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6.xml" ContentType="application/vnd.openxmlformats-officedocument.wordprocessingml.foot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702DFD" w14:textId="77777777" w:rsidR="00FA0D35" w:rsidRDefault="00BD6CDA" w:rsidP="00F100E1">
      <w:pPr>
        <w:spacing w:after="160" w:line="259" w:lineRule="auto"/>
        <w:jc w:val="right"/>
        <w:rPr>
          <w:b/>
          <w:bCs/>
          <w:color w:val="000000" w:themeColor="text1"/>
        </w:rPr>
      </w:pPr>
      <w:r w:rsidRPr="00C56257">
        <w:rPr>
          <w:b/>
          <w:color w:val="000000" w:themeColor="text1"/>
        </w:rPr>
        <w:t xml:space="preserve">ANEXA </w:t>
      </w:r>
      <w:r w:rsidR="00D270C7">
        <w:rPr>
          <w:b/>
          <w:bCs/>
          <w:color w:val="000000" w:themeColor="text1"/>
        </w:rPr>
        <w:t>la ordin</w:t>
      </w:r>
    </w:p>
    <w:p w14:paraId="24A0EFF2" w14:textId="7CB99A04" w:rsidR="00C8254F" w:rsidRPr="00C56257" w:rsidRDefault="00C8254F" w:rsidP="00F100E1">
      <w:pPr>
        <w:spacing w:after="160" w:line="259" w:lineRule="auto"/>
        <w:jc w:val="center"/>
        <w:rPr>
          <w:b/>
          <w:bCs/>
          <w:color w:val="000000" w:themeColor="text1"/>
        </w:rPr>
      </w:pPr>
      <w:r w:rsidRPr="00C56257">
        <w:rPr>
          <w:b/>
          <w:bCs/>
          <w:color w:val="000000" w:themeColor="text1"/>
        </w:rPr>
        <w:t xml:space="preserve">Ghidul  </w:t>
      </w:r>
      <w:r w:rsidR="003D35AA" w:rsidRPr="003D35AA">
        <w:rPr>
          <w:b/>
          <w:bCs/>
          <w:color w:val="000000" w:themeColor="text1"/>
        </w:rPr>
        <w:t>privind</w:t>
      </w:r>
      <w:r w:rsidRPr="00C56257">
        <w:rPr>
          <w:b/>
          <w:bCs/>
          <w:color w:val="000000" w:themeColor="text1"/>
        </w:rPr>
        <w:t xml:space="preserve"> protocoale</w:t>
      </w:r>
      <w:r w:rsidR="003D35AA">
        <w:rPr>
          <w:b/>
          <w:bCs/>
          <w:color w:val="000000" w:themeColor="text1"/>
        </w:rPr>
        <w:t>le</w:t>
      </w:r>
      <w:r w:rsidRPr="00C56257">
        <w:rPr>
          <w:b/>
          <w:bCs/>
          <w:color w:val="000000" w:themeColor="text1"/>
        </w:rPr>
        <w:t xml:space="preserve"> de monitorizare și metodologii unitare de monitorizare a stării de conservare a habitatelor de interes comunitar</w:t>
      </w:r>
    </w:p>
    <w:p w14:paraId="4D21D0C3" w14:textId="77777777" w:rsidR="003C71B0" w:rsidRPr="00C56257" w:rsidRDefault="003C71B0" w:rsidP="008E33FD">
      <w:pPr>
        <w:spacing w:after="160" w:line="259" w:lineRule="auto"/>
        <w:jc w:val="both"/>
        <w:rPr>
          <w:b/>
          <w:color w:val="000000" w:themeColor="text1"/>
        </w:rPr>
      </w:pPr>
    </w:p>
    <w:p w14:paraId="25529C03" w14:textId="77777777" w:rsidR="00C8254F" w:rsidRPr="00C56257" w:rsidRDefault="0014545B" w:rsidP="008E33FD">
      <w:pPr>
        <w:spacing w:after="160" w:line="259" w:lineRule="auto"/>
        <w:jc w:val="both"/>
        <w:rPr>
          <w:b/>
          <w:color w:val="000000" w:themeColor="text1"/>
        </w:rPr>
      </w:pPr>
      <w:r>
        <w:rPr>
          <w:b/>
          <w:color w:val="000000" w:themeColor="text1"/>
        </w:rPr>
        <w:t>C</w:t>
      </w:r>
      <w:r w:rsidRPr="00C56257">
        <w:rPr>
          <w:b/>
          <w:color w:val="000000" w:themeColor="text1"/>
        </w:rPr>
        <w:t>uprins:</w:t>
      </w:r>
    </w:p>
    <w:p w14:paraId="6D37EA64" w14:textId="77777777" w:rsidR="003100FE" w:rsidRPr="00C56257" w:rsidRDefault="009729EB" w:rsidP="008E33FD">
      <w:pPr>
        <w:spacing w:after="160" w:line="259" w:lineRule="auto"/>
        <w:jc w:val="both"/>
        <w:rPr>
          <w:b/>
          <w:color w:val="000000" w:themeColor="text1"/>
        </w:rPr>
      </w:pPr>
      <w:r>
        <w:rPr>
          <w:b/>
          <w:color w:val="000000" w:themeColor="text1"/>
        </w:rPr>
        <w:t xml:space="preserve">I. </w:t>
      </w:r>
      <w:r w:rsidR="0014545B">
        <w:rPr>
          <w:b/>
          <w:color w:val="000000" w:themeColor="text1"/>
        </w:rPr>
        <w:t>I</w:t>
      </w:r>
      <w:r w:rsidR="0014545B" w:rsidRPr="00C56257">
        <w:rPr>
          <w:b/>
          <w:color w:val="000000" w:themeColor="text1"/>
        </w:rPr>
        <w:t xml:space="preserve">ntroducere </w:t>
      </w:r>
    </w:p>
    <w:p w14:paraId="1527ED3A" w14:textId="4EB13859" w:rsidR="00852E1E" w:rsidRPr="0014545B" w:rsidRDefault="009729EB" w:rsidP="00852E1E">
      <w:pPr>
        <w:spacing w:after="160" w:line="259" w:lineRule="auto"/>
        <w:jc w:val="both"/>
        <w:rPr>
          <w:b/>
          <w:color w:val="000000" w:themeColor="text1"/>
        </w:rPr>
      </w:pPr>
      <w:r>
        <w:rPr>
          <w:b/>
          <w:color w:val="000000" w:themeColor="text1"/>
        </w:rPr>
        <w:t xml:space="preserve">II. </w:t>
      </w:r>
      <w:r w:rsidR="00852E1E" w:rsidRPr="0014545B">
        <w:rPr>
          <w:b/>
          <w:color w:val="000000" w:themeColor="text1"/>
        </w:rPr>
        <w:t xml:space="preserve">1.Ghidul </w:t>
      </w:r>
      <w:r w:rsidR="003D35AA">
        <w:rPr>
          <w:b/>
          <w:bCs/>
          <w:color w:val="000000" w:themeColor="text1"/>
        </w:rPr>
        <w:t>privind</w:t>
      </w:r>
      <w:r w:rsidR="00852E1E" w:rsidRPr="0014545B">
        <w:rPr>
          <w:b/>
          <w:color w:val="000000" w:themeColor="text1"/>
        </w:rPr>
        <w:t xml:space="preserve">  protoco</w:t>
      </w:r>
      <w:r w:rsidR="00DC7739">
        <w:rPr>
          <w:b/>
          <w:color w:val="000000" w:themeColor="text1"/>
        </w:rPr>
        <w:t>lul</w:t>
      </w:r>
      <w:r w:rsidR="00852E1E" w:rsidRPr="0014545B">
        <w:rPr>
          <w:b/>
          <w:color w:val="000000" w:themeColor="text1"/>
        </w:rPr>
        <w:t xml:space="preserve"> de monitorizare si metodologi</w:t>
      </w:r>
      <w:r w:rsidR="00DC7739">
        <w:rPr>
          <w:b/>
          <w:color w:val="000000" w:themeColor="text1"/>
        </w:rPr>
        <w:t>a</w:t>
      </w:r>
      <w:r w:rsidR="00852E1E" w:rsidRPr="0014545B">
        <w:rPr>
          <w:b/>
          <w:color w:val="000000" w:themeColor="text1"/>
        </w:rPr>
        <w:t xml:space="preserve"> unitar</w:t>
      </w:r>
      <w:r w:rsidR="00DC7739">
        <w:rPr>
          <w:b/>
          <w:color w:val="000000" w:themeColor="text1"/>
        </w:rPr>
        <w:t>ă</w:t>
      </w:r>
      <w:r w:rsidR="00852E1E" w:rsidRPr="0014545B">
        <w:rPr>
          <w:b/>
          <w:color w:val="000000" w:themeColor="text1"/>
        </w:rPr>
        <w:t xml:space="preserve"> de monitorizare a st</w:t>
      </w:r>
      <w:r w:rsidR="00FA0D35" w:rsidRPr="0014545B">
        <w:rPr>
          <w:b/>
          <w:color w:val="000000" w:themeColor="text1"/>
        </w:rPr>
        <w:t>ă</w:t>
      </w:r>
      <w:r w:rsidR="00852E1E" w:rsidRPr="0014545B">
        <w:rPr>
          <w:b/>
          <w:color w:val="000000" w:themeColor="text1"/>
        </w:rPr>
        <w:t>rii de conservare a habitatelor marine și costiere</w:t>
      </w:r>
    </w:p>
    <w:p w14:paraId="37C476F4" w14:textId="77777777" w:rsidR="00852E1E" w:rsidRPr="00F100E1" w:rsidRDefault="00852E1E" w:rsidP="00852E1E">
      <w:pPr>
        <w:spacing w:after="160" w:line="259" w:lineRule="auto"/>
        <w:jc w:val="both"/>
        <w:rPr>
          <w:bCs/>
          <w:color w:val="000000" w:themeColor="text1"/>
        </w:rPr>
      </w:pPr>
      <w:r w:rsidRPr="00F100E1">
        <w:rPr>
          <w:bCs/>
          <w:color w:val="000000" w:themeColor="text1"/>
        </w:rPr>
        <w:t xml:space="preserve">1.1. </w:t>
      </w:r>
      <w:r w:rsidR="00157CBA" w:rsidRPr="00C56257">
        <w:rPr>
          <w:bCs/>
          <w:color w:val="000000" w:themeColor="text1"/>
        </w:rPr>
        <w:t>Protoco</w:t>
      </w:r>
      <w:r w:rsidR="003100FE">
        <w:rPr>
          <w:bCs/>
          <w:color w:val="000000" w:themeColor="text1"/>
        </w:rPr>
        <w:t>lul</w:t>
      </w:r>
      <w:r w:rsidR="00157CBA" w:rsidRPr="00C56257">
        <w:rPr>
          <w:bCs/>
          <w:color w:val="000000" w:themeColor="text1"/>
        </w:rPr>
        <w:t xml:space="preserve"> de monitorizare a stării de conservare a habitatelor marine și costiere </w:t>
      </w:r>
      <w:r w:rsidR="00451ED8" w:rsidRPr="00C56257">
        <w:rPr>
          <w:bCs/>
          <w:color w:val="000000" w:themeColor="text1"/>
        </w:rPr>
        <w:t>de interes comunitar</w:t>
      </w:r>
    </w:p>
    <w:p w14:paraId="071440EA" w14:textId="77777777" w:rsidR="00852E1E" w:rsidRPr="00C56257" w:rsidRDefault="00852E1E" w:rsidP="00852E1E">
      <w:pPr>
        <w:spacing w:after="160" w:line="259" w:lineRule="auto"/>
        <w:jc w:val="both"/>
        <w:rPr>
          <w:bCs/>
          <w:color w:val="000000" w:themeColor="text1"/>
        </w:rPr>
      </w:pPr>
      <w:r w:rsidRPr="00F100E1">
        <w:rPr>
          <w:bCs/>
          <w:color w:val="000000" w:themeColor="text1"/>
        </w:rPr>
        <w:t>1.2</w:t>
      </w:r>
      <w:r w:rsidR="00BD6CDA" w:rsidRPr="00C56257">
        <w:rPr>
          <w:bCs/>
          <w:color w:val="000000" w:themeColor="text1"/>
        </w:rPr>
        <w:t>.</w:t>
      </w:r>
      <w:r w:rsidRPr="00F100E1">
        <w:rPr>
          <w:bCs/>
          <w:color w:val="000000" w:themeColor="text1"/>
        </w:rPr>
        <w:t xml:space="preserve"> </w:t>
      </w:r>
      <w:r w:rsidR="00157CBA" w:rsidRPr="00C56257">
        <w:rPr>
          <w:bCs/>
          <w:color w:val="000000" w:themeColor="text1"/>
        </w:rPr>
        <w:t>Metodologi</w:t>
      </w:r>
      <w:r w:rsidR="00DC7739">
        <w:rPr>
          <w:bCs/>
          <w:color w:val="000000" w:themeColor="text1"/>
        </w:rPr>
        <w:t>a</w:t>
      </w:r>
      <w:r w:rsidR="00157CBA" w:rsidRPr="00C56257">
        <w:rPr>
          <w:bCs/>
          <w:color w:val="000000" w:themeColor="text1"/>
        </w:rPr>
        <w:t xml:space="preserve"> de monitorizare a stării de conservare a habitatelor marine și costiere de interes comunitar</w:t>
      </w:r>
    </w:p>
    <w:p w14:paraId="2F0B156B" w14:textId="77777777" w:rsidR="00BD6CDA" w:rsidRPr="00F100E1" w:rsidRDefault="00BD6CDA" w:rsidP="00BD6CDA">
      <w:pPr>
        <w:spacing w:after="160" w:line="259" w:lineRule="auto"/>
        <w:jc w:val="both"/>
        <w:rPr>
          <w:bCs/>
          <w:color w:val="000000" w:themeColor="text1"/>
        </w:rPr>
      </w:pPr>
      <w:r w:rsidRPr="00F100E1">
        <w:rPr>
          <w:bCs/>
          <w:color w:val="000000" w:themeColor="text1"/>
        </w:rPr>
        <w:t>1.</w:t>
      </w:r>
      <w:r w:rsidR="000D6DAE">
        <w:rPr>
          <w:bCs/>
          <w:color w:val="000000" w:themeColor="text1"/>
        </w:rPr>
        <w:t>3</w:t>
      </w:r>
      <w:r w:rsidRPr="00F100E1">
        <w:rPr>
          <w:bCs/>
          <w:color w:val="000000" w:themeColor="text1"/>
        </w:rPr>
        <w:t xml:space="preserve">. Lista cu Siturile de Importanță Comunitară pentru </w:t>
      </w:r>
      <w:r w:rsidRPr="00C56257">
        <w:rPr>
          <w:bCs/>
          <w:color w:val="000000" w:themeColor="text1"/>
        </w:rPr>
        <w:t>habitate</w:t>
      </w:r>
      <w:r w:rsidR="00451ED8" w:rsidRPr="00C56257">
        <w:rPr>
          <w:bCs/>
          <w:color w:val="000000" w:themeColor="text1"/>
        </w:rPr>
        <w:t>le</w:t>
      </w:r>
      <w:r w:rsidRPr="00C56257">
        <w:rPr>
          <w:bCs/>
          <w:color w:val="000000" w:themeColor="text1"/>
        </w:rPr>
        <w:t xml:space="preserve"> marine și costiere </w:t>
      </w:r>
      <w:r w:rsidRPr="00F100E1">
        <w:rPr>
          <w:bCs/>
          <w:color w:val="000000" w:themeColor="text1"/>
        </w:rPr>
        <w:t>de interes comunitar</w:t>
      </w:r>
      <w:r w:rsidRPr="00C56257">
        <w:rPr>
          <w:bCs/>
          <w:color w:val="000000" w:themeColor="text1"/>
        </w:rPr>
        <w:t xml:space="preserve"> 1.</w:t>
      </w:r>
      <w:r w:rsidR="000D6DAE">
        <w:rPr>
          <w:bCs/>
          <w:color w:val="000000" w:themeColor="text1"/>
        </w:rPr>
        <w:t>4</w:t>
      </w:r>
      <w:r w:rsidRPr="00C56257">
        <w:rPr>
          <w:bCs/>
          <w:color w:val="000000" w:themeColor="text1"/>
        </w:rPr>
        <w:t>.</w:t>
      </w:r>
      <w:r w:rsidRPr="00F100E1">
        <w:rPr>
          <w:bCs/>
          <w:color w:val="000000" w:themeColor="text1"/>
        </w:rPr>
        <w:t xml:space="preserve"> Lista cu Presiunile și Amenințările ce acționează asupra </w:t>
      </w:r>
      <w:r w:rsidRPr="00C56257">
        <w:rPr>
          <w:bCs/>
          <w:color w:val="000000" w:themeColor="text1"/>
        </w:rPr>
        <w:t xml:space="preserve">habitatelor marine și costiere </w:t>
      </w:r>
      <w:r w:rsidRPr="00F100E1">
        <w:rPr>
          <w:bCs/>
          <w:color w:val="000000" w:themeColor="text1"/>
        </w:rPr>
        <w:t>de interes comunitar</w:t>
      </w:r>
    </w:p>
    <w:p w14:paraId="57417D7D" w14:textId="77777777" w:rsidR="00BD6CDA" w:rsidRPr="00C56257" w:rsidRDefault="000D6DAE" w:rsidP="00852E1E">
      <w:pPr>
        <w:spacing w:after="160" w:line="259" w:lineRule="auto"/>
        <w:jc w:val="both"/>
        <w:rPr>
          <w:bCs/>
          <w:color w:val="000000" w:themeColor="text1"/>
        </w:rPr>
      </w:pPr>
      <w:r>
        <w:rPr>
          <w:bCs/>
          <w:color w:val="000000" w:themeColor="text1"/>
        </w:rPr>
        <w:t xml:space="preserve"> </w:t>
      </w:r>
      <w:r w:rsidR="00BD6CDA" w:rsidRPr="00C56257">
        <w:rPr>
          <w:bCs/>
          <w:color w:val="000000" w:themeColor="text1"/>
        </w:rPr>
        <w:t>1.</w:t>
      </w:r>
      <w:r>
        <w:rPr>
          <w:bCs/>
          <w:color w:val="000000" w:themeColor="text1"/>
        </w:rPr>
        <w:t>5</w:t>
      </w:r>
      <w:r w:rsidR="00BD6CDA" w:rsidRPr="00F100E1">
        <w:rPr>
          <w:bCs/>
          <w:color w:val="000000" w:themeColor="text1"/>
        </w:rPr>
        <w:t xml:space="preserve">. Lista cu Măsurile de conservare ce se pot aplica </w:t>
      </w:r>
      <w:r w:rsidR="00BD6CDA" w:rsidRPr="00C56257">
        <w:rPr>
          <w:bCs/>
          <w:color w:val="000000" w:themeColor="text1"/>
        </w:rPr>
        <w:t xml:space="preserve">habitatelor marine și costiere </w:t>
      </w:r>
      <w:r w:rsidR="00BD6CDA" w:rsidRPr="00F100E1">
        <w:rPr>
          <w:bCs/>
          <w:color w:val="000000" w:themeColor="text1"/>
        </w:rPr>
        <w:t>de interes comunitar</w:t>
      </w:r>
    </w:p>
    <w:p w14:paraId="06781987" w14:textId="0FD070E8" w:rsidR="00852E1E" w:rsidRPr="0014545B" w:rsidRDefault="00852E1E" w:rsidP="00852E1E">
      <w:pPr>
        <w:spacing w:after="160" w:line="259" w:lineRule="auto"/>
        <w:jc w:val="both"/>
        <w:rPr>
          <w:b/>
          <w:color w:val="000000" w:themeColor="text1"/>
        </w:rPr>
      </w:pPr>
      <w:r w:rsidRPr="0014545B">
        <w:rPr>
          <w:b/>
          <w:color w:val="000000" w:themeColor="text1"/>
        </w:rPr>
        <w:t xml:space="preserve">2. Ghidul </w:t>
      </w:r>
      <w:r w:rsidR="003D35AA">
        <w:rPr>
          <w:b/>
          <w:bCs/>
          <w:color w:val="000000" w:themeColor="text1"/>
        </w:rPr>
        <w:t>privind</w:t>
      </w:r>
      <w:r w:rsidRPr="0014545B">
        <w:rPr>
          <w:b/>
          <w:color w:val="000000" w:themeColor="text1"/>
        </w:rPr>
        <w:t xml:space="preserve">  protoco</w:t>
      </w:r>
      <w:r w:rsidR="00DC7739">
        <w:rPr>
          <w:b/>
          <w:color w:val="000000" w:themeColor="text1"/>
        </w:rPr>
        <w:t>lul</w:t>
      </w:r>
      <w:r w:rsidRPr="0014545B">
        <w:rPr>
          <w:b/>
          <w:color w:val="000000" w:themeColor="text1"/>
        </w:rPr>
        <w:t xml:space="preserve"> de monitorizare si metodologi</w:t>
      </w:r>
      <w:r w:rsidR="00DC7739">
        <w:rPr>
          <w:b/>
          <w:color w:val="000000" w:themeColor="text1"/>
        </w:rPr>
        <w:t>a</w:t>
      </w:r>
      <w:r w:rsidRPr="0014545B">
        <w:rPr>
          <w:b/>
          <w:color w:val="000000" w:themeColor="text1"/>
        </w:rPr>
        <w:t xml:space="preserve"> unitar</w:t>
      </w:r>
      <w:r w:rsidR="00DC7739">
        <w:rPr>
          <w:b/>
          <w:color w:val="000000" w:themeColor="text1"/>
        </w:rPr>
        <w:t>ă</w:t>
      </w:r>
      <w:r w:rsidRPr="0014545B">
        <w:rPr>
          <w:b/>
          <w:color w:val="000000" w:themeColor="text1"/>
        </w:rPr>
        <w:t xml:space="preserve"> de monitorizare a starii de conservare a habitatelor de sărături</w:t>
      </w:r>
    </w:p>
    <w:p w14:paraId="4877FFD9" w14:textId="77777777" w:rsidR="00A1200C" w:rsidRPr="00F100E1" w:rsidRDefault="00A1200C" w:rsidP="00A1200C">
      <w:pPr>
        <w:spacing w:after="160" w:line="259" w:lineRule="auto"/>
        <w:jc w:val="both"/>
        <w:rPr>
          <w:bCs/>
          <w:color w:val="000000" w:themeColor="text1"/>
        </w:rPr>
      </w:pPr>
      <w:r w:rsidRPr="00F100E1">
        <w:rPr>
          <w:bCs/>
          <w:color w:val="000000" w:themeColor="text1"/>
        </w:rPr>
        <w:t xml:space="preserve">2.1. </w:t>
      </w:r>
      <w:r w:rsidR="00157CBA" w:rsidRPr="00C56257">
        <w:rPr>
          <w:bCs/>
          <w:color w:val="000000" w:themeColor="text1"/>
        </w:rPr>
        <w:t>Protoco</w:t>
      </w:r>
      <w:r w:rsidR="00DC7739">
        <w:rPr>
          <w:bCs/>
          <w:color w:val="000000" w:themeColor="text1"/>
        </w:rPr>
        <w:t>lul</w:t>
      </w:r>
      <w:r w:rsidR="00157CBA" w:rsidRPr="00C56257">
        <w:rPr>
          <w:bCs/>
          <w:color w:val="000000" w:themeColor="text1"/>
        </w:rPr>
        <w:t xml:space="preserve"> de monitorizare </w:t>
      </w:r>
      <w:r w:rsidRPr="00F100E1">
        <w:rPr>
          <w:bCs/>
          <w:color w:val="000000" w:themeColor="text1"/>
        </w:rPr>
        <w:t xml:space="preserve">a stării de conservare a habitatelor </w:t>
      </w:r>
      <w:r w:rsidRPr="00C56257">
        <w:rPr>
          <w:bCs/>
          <w:color w:val="000000" w:themeColor="text1"/>
        </w:rPr>
        <w:t>de sărături</w:t>
      </w:r>
      <w:r w:rsidR="00451ED8" w:rsidRPr="00C56257">
        <w:rPr>
          <w:bCs/>
          <w:color w:val="000000" w:themeColor="text1"/>
        </w:rPr>
        <w:t xml:space="preserve"> de interes comunitar</w:t>
      </w:r>
    </w:p>
    <w:p w14:paraId="3E9EFD53" w14:textId="77777777" w:rsidR="00451ED8" w:rsidRPr="00C56257" w:rsidRDefault="00A1200C" w:rsidP="00451ED8">
      <w:pPr>
        <w:spacing w:after="160" w:line="259" w:lineRule="auto"/>
        <w:jc w:val="both"/>
        <w:rPr>
          <w:bCs/>
          <w:color w:val="000000" w:themeColor="text1"/>
        </w:rPr>
      </w:pPr>
      <w:r w:rsidRPr="00F100E1">
        <w:rPr>
          <w:bCs/>
          <w:color w:val="000000" w:themeColor="text1"/>
        </w:rPr>
        <w:t xml:space="preserve">2.2 </w:t>
      </w:r>
      <w:r w:rsidR="00157CBA" w:rsidRPr="00C56257">
        <w:rPr>
          <w:bCs/>
          <w:color w:val="000000" w:themeColor="text1"/>
        </w:rPr>
        <w:t>Metodologi</w:t>
      </w:r>
      <w:r w:rsidR="00DC7739">
        <w:rPr>
          <w:bCs/>
          <w:color w:val="000000" w:themeColor="text1"/>
        </w:rPr>
        <w:t>a</w:t>
      </w:r>
      <w:r w:rsidR="00157CBA" w:rsidRPr="00C56257">
        <w:rPr>
          <w:bCs/>
          <w:color w:val="000000" w:themeColor="text1"/>
        </w:rPr>
        <w:t xml:space="preserve"> de monitorizare </w:t>
      </w:r>
      <w:r w:rsidRPr="00F100E1">
        <w:rPr>
          <w:bCs/>
          <w:color w:val="000000" w:themeColor="text1"/>
        </w:rPr>
        <w:t xml:space="preserve">a stării de conservare a habitatelor </w:t>
      </w:r>
      <w:r w:rsidRPr="00C56257">
        <w:rPr>
          <w:bCs/>
          <w:color w:val="000000" w:themeColor="text1"/>
        </w:rPr>
        <w:t>de sărături</w:t>
      </w:r>
      <w:r w:rsidR="00451ED8" w:rsidRPr="00C56257">
        <w:rPr>
          <w:bCs/>
          <w:color w:val="000000" w:themeColor="text1"/>
        </w:rPr>
        <w:t xml:space="preserve"> de interes comunitar</w:t>
      </w:r>
    </w:p>
    <w:p w14:paraId="74693CA7" w14:textId="77777777" w:rsidR="009972B7" w:rsidRPr="00C56257" w:rsidRDefault="009972B7" w:rsidP="009972B7">
      <w:pPr>
        <w:spacing w:after="160" w:line="259" w:lineRule="auto"/>
        <w:jc w:val="both"/>
        <w:rPr>
          <w:bCs/>
          <w:color w:val="000000" w:themeColor="text1"/>
        </w:rPr>
      </w:pPr>
      <w:bookmarkStart w:id="0" w:name="_Hlk119578580"/>
      <w:r w:rsidRPr="00C56257">
        <w:rPr>
          <w:bCs/>
          <w:color w:val="000000" w:themeColor="text1"/>
        </w:rPr>
        <w:t>2.</w:t>
      </w:r>
      <w:r w:rsidR="000D6DAE">
        <w:rPr>
          <w:bCs/>
          <w:color w:val="000000" w:themeColor="text1"/>
        </w:rPr>
        <w:t>3</w:t>
      </w:r>
      <w:r w:rsidRPr="00C56257">
        <w:rPr>
          <w:bCs/>
          <w:color w:val="000000" w:themeColor="text1"/>
        </w:rPr>
        <w:t>. Lista cu Siturile de Importanță Comunitară pentru habitate</w:t>
      </w:r>
      <w:r w:rsidR="00451ED8" w:rsidRPr="00C56257">
        <w:rPr>
          <w:bCs/>
          <w:color w:val="000000" w:themeColor="text1"/>
        </w:rPr>
        <w:t>le</w:t>
      </w:r>
      <w:r w:rsidRPr="00C56257">
        <w:rPr>
          <w:bCs/>
          <w:color w:val="000000" w:themeColor="text1"/>
        </w:rPr>
        <w:t xml:space="preserve"> de sărături de interes comunitar</w:t>
      </w:r>
    </w:p>
    <w:p w14:paraId="0448DB44" w14:textId="77777777" w:rsidR="009972B7" w:rsidRPr="00C56257" w:rsidRDefault="009972B7" w:rsidP="009972B7">
      <w:pPr>
        <w:spacing w:after="160" w:line="259" w:lineRule="auto"/>
        <w:jc w:val="both"/>
        <w:rPr>
          <w:bCs/>
          <w:color w:val="000000" w:themeColor="text1"/>
        </w:rPr>
      </w:pPr>
      <w:r w:rsidRPr="00C56257">
        <w:rPr>
          <w:bCs/>
          <w:color w:val="000000" w:themeColor="text1"/>
        </w:rPr>
        <w:t>2.</w:t>
      </w:r>
      <w:r w:rsidR="000D6DAE">
        <w:rPr>
          <w:bCs/>
          <w:color w:val="000000" w:themeColor="text1"/>
        </w:rPr>
        <w:t>4</w:t>
      </w:r>
      <w:r w:rsidRPr="00C56257">
        <w:rPr>
          <w:bCs/>
          <w:color w:val="000000" w:themeColor="text1"/>
        </w:rPr>
        <w:t>. Lista cu Presiunile și Amenințările ce acționează asupra habitatelor de sărături de interes comunitar</w:t>
      </w:r>
    </w:p>
    <w:p w14:paraId="7A107845" w14:textId="77777777" w:rsidR="009972B7" w:rsidRPr="00C56257" w:rsidRDefault="009972B7" w:rsidP="00852E1E">
      <w:pPr>
        <w:spacing w:after="160" w:line="259" w:lineRule="auto"/>
        <w:jc w:val="both"/>
        <w:rPr>
          <w:bCs/>
          <w:color w:val="000000" w:themeColor="text1"/>
        </w:rPr>
      </w:pPr>
      <w:r w:rsidRPr="00C56257">
        <w:rPr>
          <w:bCs/>
          <w:color w:val="000000" w:themeColor="text1"/>
        </w:rPr>
        <w:t>2.</w:t>
      </w:r>
      <w:r w:rsidR="000D6DAE">
        <w:rPr>
          <w:bCs/>
          <w:color w:val="000000" w:themeColor="text1"/>
        </w:rPr>
        <w:t>5</w:t>
      </w:r>
      <w:r w:rsidRPr="00C56257">
        <w:rPr>
          <w:bCs/>
          <w:color w:val="000000" w:themeColor="text1"/>
        </w:rPr>
        <w:t>. Lista cu Măsurile de conservare ce se pot aplica habitatelor de sărături de interes comunitar</w:t>
      </w:r>
    </w:p>
    <w:bookmarkEnd w:id="0"/>
    <w:p w14:paraId="64E2F496" w14:textId="207E439C" w:rsidR="00852E1E" w:rsidRPr="0014545B" w:rsidRDefault="00852E1E" w:rsidP="00852E1E">
      <w:pPr>
        <w:spacing w:after="160" w:line="259" w:lineRule="auto"/>
        <w:jc w:val="both"/>
        <w:rPr>
          <w:b/>
          <w:color w:val="000000" w:themeColor="text1"/>
        </w:rPr>
      </w:pPr>
      <w:r w:rsidRPr="0014545B">
        <w:rPr>
          <w:b/>
          <w:color w:val="000000" w:themeColor="text1"/>
        </w:rPr>
        <w:t xml:space="preserve">3. Ghidul </w:t>
      </w:r>
      <w:r w:rsidR="003D35AA">
        <w:rPr>
          <w:b/>
          <w:bCs/>
          <w:color w:val="000000" w:themeColor="text1"/>
        </w:rPr>
        <w:t>privind</w:t>
      </w:r>
      <w:r w:rsidRPr="0014545B">
        <w:rPr>
          <w:b/>
          <w:color w:val="000000" w:themeColor="text1"/>
        </w:rPr>
        <w:t xml:space="preserve">  protoco</w:t>
      </w:r>
      <w:r w:rsidR="00DC7739">
        <w:rPr>
          <w:b/>
          <w:color w:val="000000" w:themeColor="text1"/>
        </w:rPr>
        <w:t>lul</w:t>
      </w:r>
      <w:r w:rsidRPr="0014545B">
        <w:rPr>
          <w:b/>
          <w:color w:val="000000" w:themeColor="text1"/>
        </w:rPr>
        <w:t xml:space="preserve"> de monitorizare si metodologi</w:t>
      </w:r>
      <w:r w:rsidR="00DC7739">
        <w:rPr>
          <w:b/>
          <w:color w:val="000000" w:themeColor="text1"/>
        </w:rPr>
        <w:t>a</w:t>
      </w:r>
      <w:r w:rsidRPr="0014545B">
        <w:rPr>
          <w:b/>
          <w:color w:val="000000" w:themeColor="text1"/>
        </w:rPr>
        <w:t xml:space="preserve"> unitar</w:t>
      </w:r>
      <w:r w:rsidR="00DC7739">
        <w:rPr>
          <w:b/>
          <w:color w:val="000000" w:themeColor="text1"/>
        </w:rPr>
        <w:t>ă</w:t>
      </w:r>
      <w:r w:rsidRPr="0014545B">
        <w:rPr>
          <w:b/>
          <w:color w:val="000000" w:themeColor="text1"/>
        </w:rPr>
        <w:t xml:space="preserve"> de monitorizare a starii de conservare a habitatelor de dune continentale</w:t>
      </w:r>
    </w:p>
    <w:p w14:paraId="71CE12B4" w14:textId="77777777" w:rsidR="00A1200C" w:rsidRPr="00C56257" w:rsidRDefault="00A1200C" w:rsidP="00A1200C">
      <w:pPr>
        <w:spacing w:after="160" w:line="259" w:lineRule="auto"/>
        <w:jc w:val="both"/>
        <w:rPr>
          <w:bCs/>
          <w:color w:val="000000" w:themeColor="text1"/>
        </w:rPr>
      </w:pPr>
      <w:r w:rsidRPr="00C56257">
        <w:rPr>
          <w:bCs/>
          <w:color w:val="000000" w:themeColor="text1"/>
        </w:rPr>
        <w:t xml:space="preserve">3.1. </w:t>
      </w:r>
      <w:r w:rsidR="00157CBA" w:rsidRPr="00C56257">
        <w:rPr>
          <w:bCs/>
          <w:color w:val="000000" w:themeColor="text1"/>
        </w:rPr>
        <w:t>Protoco</w:t>
      </w:r>
      <w:r w:rsidR="00DC7739">
        <w:rPr>
          <w:bCs/>
          <w:color w:val="000000" w:themeColor="text1"/>
        </w:rPr>
        <w:t>lul</w:t>
      </w:r>
      <w:r w:rsidR="00157CBA" w:rsidRPr="00C56257">
        <w:rPr>
          <w:bCs/>
          <w:color w:val="000000" w:themeColor="text1"/>
        </w:rPr>
        <w:t xml:space="preserve"> de monitorizare </w:t>
      </w:r>
      <w:r w:rsidRPr="00C56257">
        <w:rPr>
          <w:bCs/>
          <w:color w:val="000000" w:themeColor="text1"/>
        </w:rPr>
        <w:t xml:space="preserve">a stării de conservare a habitatelor de </w:t>
      </w:r>
      <w:r w:rsidRPr="00C56257">
        <w:rPr>
          <w:color w:val="000000" w:themeColor="text1"/>
        </w:rPr>
        <w:t>dune continentale</w:t>
      </w:r>
      <w:r w:rsidR="00451ED8" w:rsidRPr="00C56257">
        <w:rPr>
          <w:bCs/>
          <w:color w:val="000000" w:themeColor="text1"/>
        </w:rPr>
        <w:t xml:space="preserve"> de interes comunitar</w:t>
      </w:r>
    </w:p>
    <w:p w14:paraId="09B07908" w14:textId="77777777" w:rsidR="00A1200C" w:rsidRPr="00C56257" w:rsidRDefault="00A1200C" w:rsidP="00A1200C">
      <w:pPr>
        <w:spacing w:after="160" w:line="259" w:lineRule="auto"/>
        <w:jc w:val="both"/>
        <w:rPr>
          <w:bCs/>
          <w:color w:val="000000" w:themeColor="text1"/>
        </w:rPr>
      </w:pPr>
      <w:r w:rsidRPr="00C56257">
        <w:rPr>
          <w:bCs/>
          <w:color w:val="000000" w:themeColor="text1"/>
        </w:rPr>
        <w:t xml:space="preserve">3.2 </w:t>
      </w:r>
      <w:r w:rsidR="00157CBA" w:rsidRPr="00C56257">
        <w:rPr>
          <w:bCs/>
          <w:color w:val="000000" w:themeColor="text1"/>
        </w:rPr>
        <w:t>Metodologi</w:t>
      </w:r>
      <w:r w:rsidR="00DC7739">
        <w:rPr>
          <w:bCs/>
          <w:color w:val="000000" w:themeColor="text1"/>
        </w:rPr>
        <w:t>a</w:t>
      </w:r>
      <w:r w:rsidR="00157CBA" w:rsidRPr="00C56257">
        <w:rPr>
          <w:bCs/>
          <w:color w:val="000000" w:themeColor="text1"/>
        </w:rPr>
        <w:t xml:space="preserve"> de monitorizare </w:t>
      </w:r>
      <w:r w:rsidRPr="00C56257">
        <w:rPr>
          <w:bCs/>
          <w:color w:val="000000" w:themeColor="text1"/>
        </w:rPr>
        <w:t>a stării de conservare a habitatelor de</w:t>
      </w:r>
      <w:r w:rsidRPr="00C56257">
        <w:rPr>
          <w:color w:val="000000" w:themeColor="text1"/>
        </w:rPr>
        <w:t xml:space="preserve"> dune continentale</w:t>
      </w:r>
      <w:r w:rsidR="00451ED8" w:rsidRPr="00C56257">
        <w:rPr>
          <w:color w:val="000000" w:themeColor="text1"/>
        </w:rPr>
        <w:t xml:space="preserve"> </w:t>
      </w:r>
      <w:r w:rsidR="00451ED8" w:rsidRPr="00C56257">
        <w:rPr>
          <w:bCs/>
          <w:color w:val="000000" w:themeColor="text1"/>
        </w:rPr>
        <w:t>de interes comunitar</w:t>
      </w:r>
    </w:p>
    <w:p w14:paraId="521FE246" w14:textId="77777777" w:rsidR="009972B7" w:rsidRPr="00C56257" w:rsidRDefault="009972B7" w:rsidP="009972B7">
      <w:pPr>
        <w:spacing w:after="160" w:line="259" w:lineRule="auto"/>
        <w:jc w:val="both"/>
        <w:rPr>
          <w:bCs/>
          <w:color w:val="000000" w:themeColor="text1"/>
        </w:rPr>
      </w:pPr>
      <w:r w:rsidRPr="00C56257">
        <w:rPr>
          <w:bCs/>
          <w:color w:val="000000" w:themeColor="text1"/>
        </w:rPr>
        <w:t>3.</w:t>
      </w:r>
      <w:r w:rsidR="000D6DAE">
        <w:rPr>
          <w:bCs/>
          <w:color w:val="000000" w:themeColor="text1"/>
        </w:rPr>
        <w:t>3</w:t>
      </w:r>
      <w:r w:rsidRPr="00C56257">
        <w:rPr>
          <w:bCs/>
          <w:color w:val="000000" w:themeColor="text1"/>
        </w:rPr>
        <w:t>. Lista cu Siturile de Importanță Comunitară pentru habitate</w:t>
      </w:r>
      <w:r w:rsidR="00451ED8" w:rsidRPr="00C56257">
        <w:rPr>
          <w:bCs/>
          <w:color w:val="000000" w:themeColor="text1"/>
        </w:rPr>
        <w:t>le</w:t>
      </w:r>
      <w:r w:rsidRPr="00C56257">
        <w:rPr>
          <w:bCs/>
          <w:color w:val="000000" w:themeColor="text1"/>
        </w:rPr>
        <w:t xml:space="preserve"> de </w:t>
      </w:r>
      <w:r w:rsidR="00451ED8" w:rsidRPr="00C56257">
        <w:rPr>
          <w:color w:val="000000" w:themeColor="text1"/>
        </w:rPr>
        <w:t>dune continentale</w:t>
      </w:r>
      <w:r w:rsidRPr="00C56257">
        <w:rPr>
          <w:bCs/>
          <w:color w:val="000000" w:themeColor="text1"/>
        </w:rPr>
        <w:t xml:space="preserve"> de interes comunitar</w:t>
      </w:r>
    </w:p>
    <w:p w14:paraId="2C388461" w14:textId="77777777" w:rsidR="009972B7" w:rsidRPr="00C56257" w:rsidRDefault="009972B7" w:rsidP="009972B7">
      <w:pPr>
        <w:spacing w:after="160" w:line="259" w:lineRule="auto"/>
        <w:jc w:val="both"/>
        <w:rPr>
          <w:bCs/>
          <w:color w:val="000000" w:themeColor="text1"/>
        </w:rPr>
      </w:pPr>
      <w:r w:rsidRPr="00C56257">
        <w:rPr>
          <w:bCs/>
          <w:color w:val="000000" w:themeColor="text1"/>
        </w:rPr>
        <w:t>3.</w:t>
      </w:r>
      <w:r w:rsidR="000D6DAE">
        <w:rPr>
          <w:bCs/>
          <w:color w:val="000000" w:themeColor="text1"/>
        </w:rPr>
        <w:t>4</w:t>
      </w:r>
      <w:r w:rsidRPr="00C56257">
        <w:rPr>
          <w:bCs/>
          <w:color w:val="000000" w:themeColor="text1"/>
        </w:rPr>
        <w:t xml:space="preserve">. Lista cu Presiunile și Amenințările ce acționează asupra habitatelor de </w:t>
      </w:r>
      <w:r w:rsidR="00451ED8" w:rsidRPr="00C56257">
        <w:rPr>
          <w:color w:val="000000" w:themeColor="text1"/>
        </w:rPr>
        <w:t>dune continentale</w:t>
      </w:r>
      <w:r w:rsidRPr="00C56257">
        <w:rPr>
          <w:bCs/>
          <w:color w:val="000000" w:themeColor="text1"/>
        </w:rPr>
        <w:t xml:space="preserve"> de interes comunitar</w:t>
      </w:r>
    </w:p>
    <w:p w14:paraId="0F3B34C3" w14:textId="77777777" w:rsidR="009972B7" w:rsidRPr="00C56257" w:rsidRDefault="009972B7" w:rsidP="00A1200C">
      <w:pPr>
        <w:spacing w:after="160" w:line="259" w:lineRule="auto"/>
        <w:jc w:val="both"/>
        <w:rPr>
          <w:bCs/>
          <w:color w:val="000000" w:themeColor="text1"/>
        </w:rPr>
      </w:pPr>
      <w:r w:rsidRPr="00C56257">
        <w:rPr>
          <w:bCs/>
          <w:color w:val="000000" w:themeColor="text1"/>
        </w:rPr>
        <w:t>3.</w:t>
      </w:r>
      <w:r w:rsidR="000D6DAE">
        <w:rPr>
          <w:bCs/>
          <w:color w:val="000000" w:themeColor="text1"/>
        </w:rPr>
        <w:t>5</w:t>
      </w:r>
      <w:r w:rsidRPr="00C56257">
        <w:rPr>
          <w:bCs/>
          <w:color w:val="000000" w:themeColor="text1"/>
        </w:rPr>
        <w:t xml:space="preserve">. Lista cu Măsurile de conservare ce se pot aplica habitatelor de </w:t>
      </w:r>
      <w:r w:rsidR="00451ED8" w:rsidRPr="00C56257">
        <w:rPr>
          <w:color w:val="000000" w:themeColor="text1"/>
        </w:rPr>
        <w:t>dune continentale</w:t>
      </w:r>
      <w:r w:rsidRPr="00C56257">
        <w:rPr>
          <w:bCs/>
          <w:color w:val="000000" w:themeColor="text1"/>
        </w:rPr>
        <w:t xml:space="preserve"> de interes comunitar</w:t>
      </w:r>
    </w:p>
    <w:p w14:paraId="6D63E72B" w14:textId="624BBFCA" w:rsidR="00852E1E" w:rsidRPr="00C56257" w:rsidRDefault="00852E1E" w:rsidP="00852E1E">
      <w:pPr>
        <w:spacing w:after="160" w:line="259" w:lineRule="auto"/>
        <w:jc w:val="both"/>
        <w:rPr>
          <w:bCs/>
          <w:color w:val="000000" w:themeColor="text1"/>
        </w:rPr>
      </w:pPr>
      <w:r w:rsidRPr="0014545B">
        <w:rPr>
          <w:b/>
          <w:color w:val="000000" w:themeColor="text1"/>
        </w:rPr>
        <w:lastRenderedPageBreak/>
        <w:t xml:space="preserve">4. Ghidul </w:t>
      </w:r>
      <w:r w:rsidR="003D35AA">
        <w:rPr>
          <w:b/>
          <w:bCs/>
          <w:color w:val="000000" w:themeColor="text1"/>
        </w:rPr>
        <w:t>privind</w:t>
      </w:r>
      <w:r w:rsidRPr="0014545B">
        <w:rPr>
          <w:b/>
          <w:color w:val="000000" w:themeColor="text1"/>
        </w:rPr>
        <w:t xml:space="preserve">  protoco</w:t>
      </w:r>
      <w:r w:rsidR="00DC7739">
        <w:rPr>
          <w:b/>
          <w:color w:val="000000" w:themeColor="text1"/>
        </w:rPr>
        <w:t>lul</w:t>
      </w:r>
      <w:r w:rsidRPr="0014545B">
        <w:rPr>
          <w:b/>
          <w:color w:val="000000" w:themeColor="text1"/>
        </w:rPr>
        <w:t xml:space="preserve"> de monitorizare si metodologi</w:t>
      </w:r>
      <w:r w:rsidR="00DC7739">
        <w:rPr>
          <w:b/>
          <w:color w:val="000000" w:themeColor="text1"/>
        </w:rPr>
        <w:t>a</w:t>
      </w:r>
      <w:r w:rsidRPr="0014545B">
        <w:rPr>
          <w:b/>
          <w:color w:val="000000" w:themeColor="text1"/>
        </w:rPr>
        <w:t xml:space="preserve"> unitar</w:t>
      </w:r>
      <w:r w:rsidR="00DC7739">
        <w:rPr>
          <w:b/>
          <w:color w:val="000000" w:themeColor="text1"/>
        </w:rPr>
        <w:t>ă</w:t>
      </w:r>
      <w:r w:rsidRPr="0014545B">
        <w:rPr>
          <w:b/>
          <w:color w:val="000000" w:themeColor="text1"/>
        </w:rPr>
        <w:t xml:space="preserve"> de monitorizare a st</w:t>
      </w:r>
      <w:r w:rsidR="00FA0D35" w:rsidRPr="0014545B">
        <w:rPr>
          <w:b/>
          <w:color w:val="000000" w:themeColor="text1"/>
        </w:rPr>
        <w:t>ă</w:t>
      </w:r>
      <w:r w:rsidRPr="0014545B">
        <w:rPr>
          <w:b/>
          <w:color w:val="000000" w:themeColor="text1"/>
        </w:rPr>
        <w:t>rii de conservare a habitatelor de apă dulce</w:t>
      </w:r>
    </w:p>
    <w:p w14:paraId="2CA83DA8" w14:textId="77777777" w:rsidR="00A1200C" w:rsidRPr="00C56257" w:rsidRDefault="00A1200C" w:rsidP="00A1200C">
      <w:pPr>
        <w:spacing w:after="160" w:line="259" w:lineRule="auto"/>
        <w:jc w:val="both"/>
        <w:rPr>
          <w:bCs/>
          <w:color w:val="000000" w:themeColor="text1"/>
        </w:rPr>
      </w:pPr>
      <w:bookmarkStart w:id="1" w:name="_Hlk119578579"/>
      <w:r w:rsidRPr="00C56257">
        <w:rPr>
          <w:bCs/>
          <w:color w:val="000000" w:themeColor="text1"/>
        </w:rPr>
        <w:t xml:space="preserve">4.1. </w:t>
      </w:r>
      <w:r w:rsidR="00157CBA" w:rsidRPr="00C56257">
        <w:rPr>
          <w:bCs/>
          <w:color w:val="000000" w:themeColor="text1"/>
        </w:rPr>
        <w:t>Protoco</w:t>
      </w:r>
      <w:r w:rsidR="00DC7739">
        <w:rPr>
          <w:bCs/>
          <w:color w:val="000000" w:themeColor="text1"/>
        </w:rPr>
        <w:t>lul</w:t>
      </w:r>
      <w:r w:rsidR="00157CBA" w:rsidRPr="00C56257">
        <w:rPr>
          <w:bCs/>
          <w:color w:val="000000" w:themeColor="text1"/>
        </w:rPr>
        <w:t xml:space="preserve"> de monitorizare </w:t>
      </w:r>
      <w:r w:rsidRPr="00C56257">
        <w:rPr>
          <w:bCs/>
          <w:color w:val="000000" w:themeColor="text1"/>
        </w:rPr>
        <w:t>a stării de conservare a habitatelor de apă dulce</w:t>
      </w:r>
      <w:r w:rsidR="00451ED8" w:rsidRPr="00C56257">
        <w:rPr>
          <w:bCs/>
          <w:color w:val="000000" w:themeColor="text1"/>
        </w:rPr>
        <w:t xml:space="preserve"> de interes comunitar</w:t>
      </w:r>
    </w:p>
    <w:p w14:paraId="4D521233" w14:textId="77777777" w:rsidR="00A1200C" w:rsidRPr="00C56257" w:rsidRDefault="00A1200C" w:rsidP="00A1200C">
      <w:pPr>
        <w:spacing w:after="160" w:line="259" w:lineRule="auto"/>
        <w:jc w:val="both"/>
        <w:rPr>
          <w:bCs/>
          <w:color w:val="000000" w:themeColor="text1"/>
        </w:rPr>
      </w:pPr>
      <w:r w:rsidRPr="00C56257">
        <w:rPr>
          <w:bCs/>
          <w:color w:val="000000" w:themeColor="text1"/>
        </w:rPr>
        <w:t xml:space="preserve">4.2 </w:t>
      </w:r>
      <w:r w:rsidR="00157CBA" w:rsidRPr="00C56257">
        <w:rPr>
          <w:bCs/>
          <w:color w:val="000000" w:themeColor="text1"/>
        </w:rPr>
        <w:t>Metodologi</w:t>
      </w:r>
      <w:r w:rsidR="00DC7739">
        <w:rPr>
          <w:bCs/>
          <w:color w:val="000000" w:themeColor="text1"/>
        </w:rPr>
        <w:t>a</w:t>
      </w:r>
      <w:r w:rsidR="00157CBA" w:rsidRPr="00C56257">
        <w:rPr>
          <w:bCs/>
          <w:color w:val="000000" w:themeColor="text1"/>
        </w:rPr>
        <w:t xml:space="preserve"> de monitorizare </w:t>
      </w:r>
      <w:r w:rsidRPr="00C56257">
        <w:rPr>
          <w:bCs/>
          <w:color w:val="000000" w:themeColor="text1"/>
        </w:rPr>
        <w:t xml:space="preserve">a stării de conservare a habitatelor de </w:t>
      </w:r>
      <w:bookmarkEnd w:id="1"/>
      <w:r w:rsidRPr="00C56257">
        <w:rPr>
          <w:bCs/>
          <w:color w:val="000000" w:themeColor="text1"/>
        </w:rPr>
        <w:t>apă dulce</w:t>
      </w:r>
      <w:r w:rsidR="00451ED8" w:rsidRPr="00C56257">
        <w:rPr>
          <w:bCs/>
          <w:color w:val="000000" w:themeColor="text1"/>
        </w:rPr>
        <w:t xml:space="preserve"> de interes comunitar</w:t>
      </w:r>
    </w:p>
    <w:p w14:paraId="609102E5" w14:textId="77777777" w:rsidR="009972B7" w:rsidRPr="00C56257" w:rsidRDefault="009972B7" w:rsidP="009972B7">
      <w:pPr>
        <w:spacing w:after="160" w:line="259" w:lineRule="auto"/>
        <w:jc w:val="both"/>
        <w:rPr>
          <w:bCs/>
          <w:color w:val="000000" w:themeColor="text1"/>
        </w:rPr>
      </w:pPr>
      <w:r w:rsidRPr="00C56257">
        <w:rPr>
          <w:bCs/>
          <w:color w:val="000000" w:themeColor="text1"/>
        </w:rPr>
        <w:t>4.</w:t>
      </w:r>
      <w:r w:rsidR="000D6DAE">
        <w:rPr>
          <w:bCs/>
          <w:color w:val="000000" w:themeColor="text1"/>
        </w:rPr>
        <w:t>3</w:t>
      </w:r>
      <w:r w:rsidRPr="00C56257">
        <w:rPr>
          <w:bCs/>
          <w:color w:val="000000" w:themeColor="text1"/>
        </w:rPr>
        <w:t>. Lista cu Siturile de Importanță Comunitară pentru habitate</w:t>
      </w:r>
      <w:r w:rsidR="00451ED8" w:rsidRPr="00C56257">
        <w:rPr>
          <w:bCs/>
          <w:color w:val="000000" w:themeColor="text1"/>
        </w:rPr>
        <w:t>le</w:t>
      </w:r>
      <w:r w:rsidRPr="00C56257">
        <w:rPr>
          <w:bCs/>
          <w:color w:val="000000" w:themeColor="text1"/>
        </w:rPr>
        <w:t xml:space="preserve"> de </w:t>
      </w:r>
      <w:r w:rsidR="00451ED8" w:rsidRPr="00C56257">
        <w:rPr>
          <w:bCs/>
          <w:color w:val="000000" w:themeColor="text1"/>
        </w:rPr>
        <w:t>apă dulce</w:t>
      </w:r>
      <w:r w:rsidRPr="00C56257">
        <w:rPr>
          <w:bCs/>
          <w:color w:val="000000" w:themeColor="text1"/>
        </w:rPr>
        <w:t xml:space="preserve"> de interes comunitar</w:t>
      </w:r>
    </w:p>
    <w:p w14:paraId="3628F943" w14:textId="77777777" w:rsidR="009972B7" w:rsidRPr="00C56257" w:rsidRDefault="009972B7" w:rsidP="009972B7">
      <w:pPr>
        <w:spacing w:after="160" w:line="259" w:lineRule="auto"/>
        <w:jc w:val="both"/>
        <w:rPr>
          <w:bCs/>
          <w:color w:val="000000" w:themeColor="text1"/>
        </w:rPr>
      </w:pPr>
      <w:r w:rsidRPr="00C56257">
        <w:rPr>
          <w:bCs/>
          <w:color w:val="000000" w:themeColor="text1"/>
        </w:rPr>
        <w:t>4.</w:t>
      </w:r>
      <w:r w:rsidR="000D6DAE">
        <w:rPr>
          <w:bCs/>
          <w:color w:val="000000" w:themeColor="text1"/>
        </w:rPr>
        <w:t>4</w:t>
      </w:r>
      <w:r w:rsidRPr="00C56257">
        <w:rPr>
          <w:bCs/>
          <w:color w:val="000000" w:themeColor="text1"/>
        </w:rPr>
        <w:t xml:space="preserve">. Lista cu Presiunile și Amenințările ce acționează asupra habitatelor de </w:t>
      </w:r>
      <w:r w:rsidR="006A7E88" w:rsidRPr="00C56257">
        <w:rPr>
          <w:bCs/>
          <w:color w:val="000000" w:themeColor="text1"/>
        </w:rPr>
        <w:t>apă dulce</w:t>
      </w:r>
      <w:r w:rsidRPr="00C56257">
        <w:rPr>
          <w:bCs/>
          <w:color w:val="000000" w:themeColor="text1"/>
        </w:rPr>
        <w:t xml:space="preserve"> de interes comunitar</w:t>
      </w:r>
    </w:p>
    <w:p w14:paraId="5CEF52A9" w14:textId="77777777" w:rsidR="009972B7" w:rsidRPr="00C56257" w:rsidRDefault="009972B7" w:rsidP="00A1200C">
      <w:pPr>
        <w:spacing w:after="160" w:line="259" w:lineRule="auto"/>
        <w:jc w:val="both"/>
        <w:rPr>
          <w:bCs/>
          <w:color w:val="000000" w:themeColor="text1"/>
        </w:rPr>
      </w:pPr>
      <w:r w:rsidRPr="00C56257">
        <w:rPr>
          <w:bCs/>
          <w:color w:val="000000" w:themeColor="text1"/>
        </w:rPr>
        <w:t>4.</w:t>
      </w:r>
      <w:r w:rsidR="000D6DAE">
        <w:rPr>
          <w:bCs/>
          <w:color w:val="000000" w:themeColor="text1"/>
        </w:rPr>
        <w:t>5</w:t>
      </w:r>
      <w:r w:rsidRPr="00C56257">
        <w:rPr>
          <w:bCs/>
          <w:color w:val="000000" w:themeColor="text1"/>
        </w:rPr>
        <w:t xml:space="preserve">. Lista cu Măsurile de conservare ce se pot aplica habitatelor de </w:t>
      </w:r>
      <w:r w:rsidR="006A7E88" w:rsidRPr="00C56257">
        <w:rPr>
          <w:bCs/>
          <w:color w:val="000000" w:themeColor="text1"/>
        </w:rPr>
        <w:t>apă dulce</w:t>
      </w:r>
      <w:r w:rsidRPr="00C56257">
        <w:rPr>
          <w:bCs/>
          <w:color w:val="000000" w:themeColor="text1"/>
        </w:rPr>
        <w:t xml:space="preserve"> de interes comunitar</w:t>
      </w:r>
    </w:p>
    <w:p w14:paraId="6442F6A2" w14:textId="41D52C19" w:rsidR="00852E1E" w:rsidRPr="0014545B" w:rsidRDefault="00852E1E" w:rsidP="00852E1E">
      <w:pPr>
        <w:spacing w:after="160" w:line="259" w:lineRule="auto"/>
        <w:jc w:val="both"/>
        <w:rPr>
          <w:b/>
          <w:color w:val="000000" w:themeColor="text1"/>
        </w:rPr>
      </w:pPr>
      <w:r w:rsidRPr="0014545B">
        <w:rPr>
          <w:b/>
          <w:color w:val="000000" w:themeColor="text1"/>
        </w:rPr>
        <w:t xml:space="preserve">5. Ghidul </w:t>
      </w:r>
      <w:r w:rsidR="003D35AA">
        <w:rPr>
          <w:b/>
          <w:bCs/>
          <w:color w:val="000000" w:themeColor="text1"/>
        </w:rPr>
        <w:t>privind</w:t>
      </w:r>
      <w:r w:rsidRPr="0014545B">
        <w:rPr>
          <w:b/>
          <w:color w:val="000000" w:themeColor="text1"/>
        </w:rPr>
        <w:t xml:space="preserve"> protoco</w:t>
      </w:r>
      <w:r w:rsidR="00FE0FCD">
        <w:rPr>
          <w:b/>
          <w:color w:val="000000" w:themeColor="text1"/>
        </w:rPr>
        <w:t>lul</w:t>
      </w:r>
      <w:r w:rsidRPr="0014545B">
        <w:rPr>
          <w:b/>
          <w:color w:val="000000" w:themeColor="text1"/>
        </w:rPr>
        <w:t xml:space="preserve"> de monitorizare si metodologi</w:t>
      </w:r>
      <w:r w:rsidR="00FE0FCD">
        <w:rPr>
          <w:b/>
          <w:color w:val="000000" w:themeColor="text1"/>
        </w:rPr>
        <w:t>a</w:t>
      </w:r>
      <w:r w:rsidRPr="0014545B">
        <w:rPr>
          <w:b/>
          <w:color w:val="000000" w:themeColor="text1"/>
        </w:rPr>
        <w:t xml:space="preserve"> unitar</w:t>
      </w:r>
      <w:r w:rsidR="00FE0FCD">
        <w:rPr>
          <w:b/>
          <w:color w:val="000000" w:themeColor="text1"/>
        </w:rPr>
        <w:t>ă</w:t>
      </w:r>
      <w:r w:rsidRPr="0014545B">
        <w:rPr>
          <w:b/>
          <w:color w:val="000000" w:themeColor="text1"/>
        </w:rPr>
        <w:t xml:space="preserve"> de monitorizare a st</w:t>
      </w:r>
      <w:r w:rsidR="00FA0D35" w:rsidRPr="0014545B">
        <w:rPr>
          <w:b/>
          <w:color w:val="000000" w:themeColor="text1"/>
        </w:rPr>
        <w:t>ă</w:t>
      </w:r>
      <w:r w:rsidRPr="0014545B">
        <w:rPr>
          <w:b/>
          <w:color w:val="000000" w:themeColor="text1"/>
        </w:rPr>
        <w:t>rii de conservare a habitatelor de tufărișuri</w:t>
      </w:r>
    </w:p>
    <w:p w14:paraId="77FC8B80" w14:textId="77777777" w:rsidR="00A1200C" w:rsidRPr="00C56257" w:rsidRDefault="00A1200C" w:rsidP="00A1200C">
      <w:pPr>
        <w:spacing w:after="160" w:line="259" w:lineRule="auto"/>
        <w:jc w:val="both"/>
        <w:rPr>
          <w:bCs/>
          <w:color w:val="000000" w:themeColor="text1"/>
        </w:rPr>
      </w:pPr>
      <w:r w:rsidRPr="00C56257">
        <w:rPr>
          <w:bCs/>
          <w:color w:val="000000" w:themeColor="text1"/>
        </w:rPr>
        <w:t xml:space="preserve">5.1. </w:t>
      </w:r>
      <w:r w:rsidR="0015221C" w:rsidRPr="00C56257">
        <w:rPr>
          <w:bCs/>
          <w:color w:val="000000" w:themeColor="text1"/>
        </w:rPr>
        <w:t>Metodologi</w:t>
      </w:r>
      <w:r w:rsidR="0015221C">
        <w:rPr>
          <w:bCs/>
          <w:color w:val="000000" w:themeColor="text1"/>
        </w:rPr>
        <w:t>a</w:t>
      </w:r>
      <w:r w:rsidR="0015221C" w:rsidRPr="00C56257">
        <w:rPr>
          <w:bCs/>
          <w:color w:val="000000" w:themeColor="text1"/>
        </w:rPr>
        <w:t xml:space="preserve"> de monitorizare a stării de conservare a habitatelor de</w:t>
      </w:r>
      <w:r w:rsidR="0015221C" w:rsidRPr="00C56257">
        <w:rPr>
          <w:color w:val="000000" w:themeColor="text1"/>
        </w:rPr>
        <w:t xml:space="preserve"> tufărișuri</w:t>
      </w:r>
      <w:r w:rsidR="0015221C" w:rsidRPr="00C56257">
        <w:rPr>
          <w:bCs/>
          <w:color w:val="000000" w:themeColor="text1"/>
        </w:rPr>
        <w:t xml:space="preserve"> de interes comunitar</w:t>
      </w:r>
    </w:p>
    <w:p w14:paraId="2E80A7DC" w14:textId="77777777" w:rsidR="00A1200C" w:rsidRPr="00C56257" w:rsidRDefault="00A1200C" w:rsidP="00A1200C">
      <w:pPr>
        <w:spacing w:after="160" w:line="259" w:lineRule="auto"/>
        <w:jc w:val="both"/>
        <w:rPr>
          <w:color w:val="000000" w:themeColor="text1"/>
        </w:rPr>
      </w:pPr>
      <w:r w:rsidRPr="00C56257">
        <w:rPr>
          <w:bCs/>
          <w:color w:val="000000" w:themeColor="text1"/>
        </w:rPr>
        <w:t xml:space="preserve">5.2 </w:t>
      </w:r>
      <w:r w:rsidR="0015221C" w:rsidRPr="0015221C">
        <w:rPr>
          <w:bCs/>
          <w:color w:val="000000" w:themeColor="text1"/>
        </w:rPr>
        <w:t>Protocol de monitorizare a stării de conservare a habitatelor de tufărișuri de interes comunitar</w:t>
      </w:r>
    </w:p>
    <w:p w14:paraId="18B46E3A" w14:textId="77777777" w:rsidR="009972B7" w:rsidRPr="00C56257" w:rsidRDefault="009972B7" w:rsidP="009972B7">
      <w:pPr>
        <w:spacing w:after="160" w:line="259" w:lineRule="auto"/>
        <w:jc w:val="both"/>
        <w:rPr>
          <w:bCs/>
          <w:color w:val="000000" w:themeColor="text1"/>
        </w:rPr>
      </w:pPr>
      <w:r w:rsidRPr="00C56257">
        <w:rPr>
          <w:bCs/>
          <w:color w:val="000000" w:themeColor="text1"/>
        </w:rPr>
        <w:t>5.</w:t>
      </w:r>
      <w:r w:rsidR="000D6DAE">
        <w:rPr>
          <w:bCs/>
          <w:color w:val="000000" w:themeColor="text1"/>
        </w:rPr>
        <w:t>3</w:t>
      </w:r>
      <w:r w:rsidRPr="00C56257">
        <w:rPr>
          <w:bCs/>
          <w:color w:val="000000" w:themeColor="text1"/>
        </w:rPr>
        <w:t>. Lista cu Siturile de Importanță Comunitară pentru habitate</w:t>
      </w:r>
      <w:r w:rsidR="00641D72" w:rsidRPr="00C56257">
        <w:rPr>
          <w:bCs/>
          <w:color w:val="000000" w:themeColor="text1"/>
        </w:rPr>
        <w:t>le</w:t>
      </w:r>
      <w:r w:rsidRPr="00C56257">
        <w:rPr>
          <w:bCs/>
          <w:color w:val="000000" w:themeColor="text1"/>
        </w:rPr>
        <w:t xml:space="preserve"> de </w:t>
      </w:r>
      <w:r w:rsidR="00641D72" w:rsidRPr="00C56257">
        <w:rPr>
          <w:color w:val="000000" w:themeColor="text1"/>
        </w:rPr>
        <w:t>tufărișuri</w:t>
      </w:r>
      <w:r w:rsidRPr="00C56257">
        <w:rPr>
          <w:bCs/>
          <w:color w:val="000000" w:themeColor="text1"/>
        </w:rPr>
        <w:t xml:space="preserve"> de interes comunitar</w:t>
      </w:r>
    </w:p>
    <w:p w14:paraId="5CF56F99" w14:textId="77777777" w:rsidR="009972B7" w:rsidRPr="00C56257" w:rsidRDefault="009972B7" w:rsidP="009972B7">
      <w:pPr>
        <w:spacing w:after="160" w:line="259" w:lineRule="auto"/>
        <w:jc w:val="both"/>
        <w:rPr>
          <w:bCs/>
          <w:color w:val="000000" w:themeColor="text1"/>
        </w:rPr>
      </w:pPr>
      <w:r w:rsidRPr="00C56257">
        <w:rPr>
          <w:bCs/>
          <w:color w:val="000000" w:themeColor="text1"/>
        </w:rPr>
        <w:t>5.</w:t>
      </w:r>
      <w:r w:rsidR="000D6DAE">
        <w:rPr>
          <w:bCs/>
          <w:color w:val="000000" w:themeColor="text1"/>
        </w:rPr>
        <w:t>4</w:t>
      </w:r>
      <w:r w:rsidRPr="00C56257">
        <w:rPr>
          <w:bCs/>
          <w:color w:val="000000" w:themeColor="text1"/>
        </w:rPr>
        <w:t xml:space="preserve">. Lista cu Presiunile și Amenințările ce acționează asupra habitatelor de </w:t>
      </w:r>
      <w:r w:rsidR="00641D72" w:rsidRPr="00C56257">
        <w:rPr>
          <w:color w:val="000000" w:themeColor="text1"/>
        </w:rPr>
        <w:t>tufărișuri</w:t>
      </w:r>
      <w:r w:rsidRPr="00C56257">
        <w:rPr>
          <w:bCs/>
          <w:color w:val="000000" w:themeColor="text1"/>
        </w:rPr>
        <w:t xml:space="preserve"> de interes comunitar</w:t>
      </w:r>
    </w:p>
    <w:p w14:paraId="4EC73A31" w14:textId="77777777" w:rsidR="009972B7" w:rsidRPr="00C56257" w:rsidRDefault="009972B7" w:rsidP="00A1200C">
      <w:pPr>
        <w:spacing w:after="160" w:line="259" w:lineRule="auto"/>
        <w:jc w:val="both"/>
        <w:rPr>
          <w:bCs/>
          <w:color w:val="000000" w:themeColor="text1"/>
        </w:rPr>
      </w:pPr>
      <w:r w:rsidRPr="00C56257">
        <w:rPr>
          <w:bCs/>
          <w:color w:val="000000" w:themeColor="text1"/>
        </w:rPr>
        <w:t>5.</w:t>
      </w:r>
      <w:r w:rsidR="000D6DAE">
        <w:rPr>
          <w:bCs/>
          <w:color w:val="000000" w:themeColor="text1"/>
        </w:rPr>
        <w:t>5</w:t>
      </w:r>
      <w:r w:rsidRPr="00C56257">
        <w:rPr>
          <w:bCs/>
          <w:color w:val="000000" w:themeColor="text1"/>
        </w:rPr>
        <w:t xml:space="preserve">. Lista cu Măsurile de conservare ce se pot aplica habitatelor de </w:t>
      </w:r>
      <w:r w:rsidR="00641D72" w:rsidRPr="00C56257">
        <w:rPr>
          <w:color w:val="000000" w:themeColor="text1"/>
        </w:rPr>
        <w:t>tufărișuri</w:t>
      </w:r>
      <w:r w:rsidRPr="00C56257">
        <w:rPr>
          <w:bCs/>
          <w:color w:val="000000" w:themeColor="text1"/>
        </w:rPr>
        <w:t xml:space="preserve"> de interes comunitar</w:t>
      </w:r>
    </w:p>
    <w:p w14:paraId="4C103C12" w14:textId="6DE9578D" w:rsidR="00852E1E" w:rsidRPr="00C56257" w:rsidRDefault="00852E1E" w:rsidP="00852E1E">
      <w:pPr>
        <w:spacing w:after="160" w:line="259" w:lineRule="auto"/>
        <w:jc w:val="both"/>
        <w:rPr>
          <w:bCs/>
          <w:color w:val="000000" w:themeColor="text1"/>
        </w:rPr>
      </w:pPr>
      <w:r w:rsidRPr="0014545B">
        <w:rPr>
          <w:b/>
          <w:color w:val="000000" w:themeColor="text1"/>
        </w:rPr>
        <w:t xml:space="preserve">6. Ghidul </w:t>
      </w:r>
      <w:r w:rsidR="003D35AA">
        <w:rPr>
          <w:b/>
          <w:bCs/>
          <w:color w:val="000000" w:themeColor="text1"/>
        </w:rPr>
        <w:t>privind</w:t>
      </w:r>
      <w:r w:rsidRPr="0014545B">
        <w:rPr>
          <w:b/>
          <w:color w:val="000000" w:themeColor="text1"/>
        </w:rPr>
        <w:t xml:space="preserve"> protoco</w:t>
      </w:r>
      <w:r w:rsidR="00DC7739">
        <w:rPr>
          <w:b/>
          <w:color w:val="000000" w:themeColor="text1"/>
        </w:rPr>
        <w:t>lul</w:t>
      </w:r>
      <w:r w:rsidRPr="0014545B">
        <w:rPr>
          <w:b/>
          <w:color w:val="000000" w:themeColor="text1"/>
        </w:rPr>
        <w:t xml:space="preserve"> de monitorizare si metodologi</w:t>
      </w:r>
      <w:r w:rsidR="00DC7739">
        <w:rPr>
          <w:b/>
          <w:color w:val="000000" w:themeColor="text1"/>
        </w:rPr>
        <w:t>a</w:t>
      </w:r>
      <w:r w:rsidRPr="0014545B">
        <w:rPr>
          <w:b/>
          <w:color w:val="000000" w:themeColor="text1"/>
        </w:rPr>
        <w:t xml:space="preserve"> unitar</w:t>
      </w:r>
      <w:r w:rsidR="00DC7739">
        <w:rPr>
          <w:b/>
          <w:color w:val="000000" w:themeColor="text1"/>
        </w:rPr>
        <w:t>ă</w:t>
      </w:r>
      <w:r w:rsidRPr="0014545B">
        <w:rPr>
          <w:b/>
          <w:color w:val="000000" w:themeColor="text1"/>
        </w:rPr>
        <w:t xml:space="preserve"> de monitorizare a starii de conservare a habitatelor de pajiști</w:t>
      </w:r>
    </w:p>
    <w:p w14:paraId="25DD6950" w14:textId="77777777" w:rsidR="00A1200C" w:rsidRPr="00C56257" w:rsidRDefault="00A1200C" w:rsidP="00A1200C">
      <w:pPr>
        <w:spacing w:after="160" w:line="259" w:lineRule="auto"/>
        <w:jc w:val="both"/>
        <w:rPr>
          <w:bCs/>
          <w:color w:val="000000" w:themeColor="text1"/>
        </w:rPr>
      </w:pPr>
      <w:r w:rsidRPr="00C56257">
        <w:rPr>
          <w:bCs/>
          <w:color w:val="000000" w:themeColor="text1"/>
        </w:rPr>
        <w:t xml:space="preserve">6.1. </w:t>
      </w:r>
      <w:r w:rsidR="00157CBA" w:rsidRPr="00C56257">
        <w:rPr>
          <w:bCs/>
          <w:color w:val="000000" w:themeColor="text1"/>
        </w:rPr>
        <w:t>Protoco</w:t>
      </w:r>
      <w:r w:rsidR="00A31F54">
        <w:rPr>
          <w:bCs/>
          <w:color w:val="000000" w:themeColor="text1"/>
        </w:rPr>
        <w:t>lul</w:t>
      </w:r>
      <w:r w:rsidR="00157CBA" w:rsidRPr="00C56257">
        <w:rPr>
          <w:bCs/>
          <w:color w:val="000000" w:themeColor="text1"/>
        </w:rPr>
        <w:t xml:space="preserve"> de monitorizare </w:t>
      </w:r>
      <w:r w:rsidRPr="00C56257">
        <w:rPr>
          <w:bCs/>
          <w:color w:val="000000" w:themeColor="text1"/>
        </w:rPr>
        <w:t xml:space="preserve">a stării de conservare a habitatelor de </w:t>
      </w:r>
      <w:r w:rsidRPr="00C56257">
        <w:rPr>
          <w:color w:val="000000" w:themeColor="text1"/>
        </w:rPr>
        <w:t>pajiști</w:t>
      </w:r>
      <w:r w:rsidR="00641D72" w:rsidRPr="00C56257">
        <w:rPr>
          <w:bCs/>
          <w:color w:val="000000" w:themeColor="text1"/>
        </w:rPr>
        <w:t xml:space="preserve"> de interes comunitar</w:t>
      </w:r>
    </w:p>
    <w:p w14:paraId="3A1DF5AF" w14:textId="77777777" w:rsidR="00A1200C" w:rsidRPr="00C56257" w:rsidRDefault="00A1200C" w:rsidP="00A1200C">
      <w:pPr>
        <w:spacing w:after="160" w:line="259" w:lineRule="auto"/>
        <w:jc w:val="both"/>
        <w:rPr>
          <w:color w:val="000000" w:themeColor="text1"/>
        </w:rPr>
      </w:pPr>
      <w:r w:rsidRPr="00C56257">
        <w:rPr>
          <w:bCs/>
          <w:color w:val="000000" w:themeColor="text1"/>
        </w:rPr>
        <w:t xml:space="preserve">6.2 </w:t>
      </w:r>
      <w:r w:rsidR="00157CBA" w:rsidRPr="00C56257">
        <w:rPr>
          <w:bCs/>
          <w:color w:val="000000" w:themeColor="text1"/>
        </w:rPr>
        <w:t xml:space="preserve">Metodologiile de monitorizare </w:t>
      </w:r>
      <w:r w:rsidRPr="00C56257">
        <w:rPr>
          <w:bCs/>
          <w:color w:val="000000" w:themeColor="text1"/>
        </w:rPr>
        <w:t>a stării de conservare a habitatelor de</w:t>
      </w:r>
      <w:r w:rsidRPr="00C56257">
        <w:rPr>
          <w:color w:val="000000" w:themeColor="text1"/>
        </w:rPr>
        <w:t xml:space="preserve"> pajiști</w:t>
      </w:r>
      <w:r w:rsidR="00641D72" w:rsidRPr="00C56257">
        <w:rPr>
          <w:bCs/>
          <w:color w:val="000000" w:themeColor="text1"/>
        </w:rPr>
        <w:t xml:space="preserve"> de interes comunitar</w:t>
      </w:r>
    </w:p>
    <w:p w14:paraId="2A670953" w14:textId="77777777" w:rsidR="009972B7" w:rsidRPr="00C56257" w:rsidRDefault="009972B7" w:rsidP="009972B7">
      <w:pPr>
        <w:spacing w:after="160" w:line="259" w:lineRule="auto"/>
        <w:jc w:val="both"/>
        <w:rPr>
          <w:bCs/>
          <w:color w:val="000000" w:themeColor="text1"/>
        </w:rPr>
      </w:pPr>
      <w:r w:rsidRPr="00C56257">
        <w:rPr>
          <w:bCs/>
          <w:color w:val="000000" w:themeColor="text1"/>
        </w:rPr>
        <w:t>6.</w:t>
      </w:r>
      <w:r w:rsidR="000D6DAE">
        <w:rPr>
          <w:bCs/>
          <w:color w:val="000000" w:themeColor="text1"/>
        </w:rPr>
        <w:t>3</w:t>
      </w:r>
      <w:r w:rsidRPr="00C56257">
        <w:rPr>
          <w:bCs/>
          <w:color w:val="000000" w:themeColor="text1"/>
        </w:rPr>
        <w:t>. Lista cu Siturile de Importanță Comunitară pentru habitate</w:t>
      </w:r>
      <w:r w:rsidR="001F7D7B" w:rsidRPr="00C56257">
        <w:rPr>
          <w:bCs/>
          <w:color w:val="000000" w:themeColor="text1"/>
        </w:rPr>
        <w:t>le</w:t>
      </w:r>
      <w:r w:rsidRPr="00C56257">
        <w:rPr>
          <w:bCs/>
          <w:color w:val="000000" w:themeColor="text1"/>
        </w:rPr>
        <w:t xml:space="preserve"> de </w:t>
      </w:r>
      <w:r w:rsidR="001F7D7B" w:rsidRPr="00C56257">
        <w:rPr>
          <w:color w:val="000000" w:themeColor="text1"/>
        </w:rPr>
        <w:t>pajiști</w:t>
      </w:r>
      <w:r w:rsidRPr="00C56257">
        <w:rPr>
          <w:bCs/>
          <w:color w:val="000000" w:themeColor="text1"/>
        </w:rPr>
        <w:t xml:space="preserve"> de interes comunitar</w:t>
      </w:r>
    </w:p>
    <w:p w14:paraId="4DDD8B52" w14:textId="77777777" w:rsidR="009972B7" w:rsidRPr="00C56257" w:rsidRDefault="009972B7" w:rsidP="009972B7">
      <w:pPr>
        <w:spacing w:after="160" w:line="259" w:lineRule="auto"/>
        <w:jc w:val="both"/>
        <w:rPr>
          <w:bCs/>
          <w:color w:val="000000" w:themeColor="text1"/>
        </w:rPr>
      </w:pPr>
      <w:r w:rsidRPr="00C56257">
        <w:rPr>
          <w:bCs/>
          <w:color w:val="000000" w:themeColor="text1"/>
        </w:rPr>
        <w:t>6.</w:t>
      </w:r>
      <w:r w:rsidR="000D6DAE">
        <w:rPr>
          <w:bCs/>
          <w:color w:val="000000" w:themeColor="text1"/>
        </w:rPr>
        <w:t>4</w:t>
      </w:r>
      <w:r w:rsidRPr="00C56257">
        <w:rPr>
          <w:bCs/>
          <w:color w:val="000000" w:themeColor="text1"/>
        </w:rPr>
        <w:t xml:space="preserve">. Lista cu Presiunile și Amenințările ce acționează asupra habitatelor de </w:t>
      </w:r>
      <w:r w:rsidR="001F7D7B" w:rsidRPr="00C56257">
        <w:rPr>
          <w:color w:val="000000" w:themeColor="text1"/>
        </w:rPr>
        <w:t>pajiști</w:t>
      </w:r>
      <w:r w:rsidRPr="00C56257">
        <w:rPr>
          <w:bCs/>
          <w:color w:val="000000" w:themeColor="text1"/>
        </w:rPr>
        <w:t xml:space="preserve"> de interes comunitar</w:t>
      </w:r>
    </w:p>
    <w:p w14:paraId="47369E48" w14:textId="77777777" w:rsidR="009972B7" w:rsidRPr="00C56257" w:rsidRDefault="009972B7" w:rsidP="00A1200C">
      <w:pPr>
        <w:spacing w:after="160" w:line="259" w:lineRule="auto"/>
        <w:jc w:val="both"/>
        <w:rPr>
          <w:bCs/>
          <w:color w:val="000000" w:themeColor="text1"/>
        </w:rPr>
      </w:pPr>
      <w:r w:rsidRPr="00C56257">
        <w:rPr>
          <w:bCs/>
          <w:color w:val="000000" w:themeColor="text1"/>
        </w:rPr>
        <w:t>6.</w:t>
      </w:r>
      <w:r w:rsidR="000D6DAE">
        <w:rPr>
          <w:bCs/>
          <w:color w:val="000000" w:themeColor="text1"/>
        </w:rPr>
        <w:t>5</w:t>
      </w:r>
      <w:r w:rsidRPr="00C56257">
        <w:rPr>
          <w:bCs/>
          <w:color w:val="000000" w:themeColor="text1"/>
        </w:rPr>
        <w:t xml:space="preserve">. Lista cu Măsurile de conservare ce se pot aplica habitatelor de </w:t>
      </w:r>
      <w:r w:rsidR="001F7D7B" w:rsidRPr="00C56257">
        <w:rPr>
          <w:color w:val="000000" w:themeColor="text1"/>
        </w:rPr>
        <w:t>pajiști</w:t>
      </w:r>
      <w:r w:rsidRPr="00C56257">
        <w:rPr>
          <w:bCs/>
          <w:color w:val="000000" w:themeColor="text1"/>
        </w:rPr>
        <w:t xml:space="preserve"> de interes comunitar</w:t>
      </w:r>
    </w:p>
    <w:p w14:paraId="156313AA" w14:textId="69DCA4CC" w:rsidR="00852E1E" w:rsidRPr="0014545B" w:rsidRDefault="00852E1E" w:rsidP="00852E1E">
      <w:pPr>
        <w:spacing w:after="160" w:line="259" w:lineRule="auto"/>
        <w:jc w:val="both"/>
        <w:rPr>
          <w:b/>
          <w:color w:val="000000" w:themeColor="text1"/>
        </w:rPr>
      </w:pPr>
      <w:r w:rsidRPr="0014545B">
        <w:rPr>
          <w:b/>
          <w:color w:val="000000" w:themeColor="text1"/>
        </w:rPr>
        <w:t xml:space="preserve">7. Ghidul </w:t>
      </w:r>
      <w:r w:rsidR="003D35AA">
        <w:rPr>
          <w:b/>
          <w:bCs/>
          <w:color w:val="000000" w:themeColor="text1"/>
        </w:rPr>
        <w:t>privind</w:t>
      </w:r>
      <w:r w:rsidRPr="0014545B">
        <w:rPr>
          <w:b/>
          <w:color w:val="000000" w:themeColor="text1"/>
        </w:rPr>
        <w:t xml:space="preserve"> protoco</w:t>
      </w:r>
      <w:r w:rsidR="00DC7739">
        <w:rPr>
          <w:b/>
          <w:color w:val="000000" w:themeColor="text1"/>
        </w:rPr>
        <w:t>lul</w:t>
      </w:r>
      <w:r w:rsidRPr="0014545B">
        <w:rPr>
          <w:b/>
          <w:color w:val="000000" w:themeColor="text1"/>
        </w:rPr>
        <w:t xml:space="preserve"> de monitorizare si metodologi</w:t>
      </w:r>
      <w:r w:rsidR="00DC7739">
        <w:rPr>
          <w:b/>
          <w:color w:val="000000" w:themeColor="text1"/>
        </w:rPr>
        <w:t>a</w:t>
      </w:r>
      <w:r w:rsidRPr="0014545B">
        <w:rPr>
          <w:b/>
          <w:color w:val="000000" w:themeColor="text1"/>
        </w:rPr>
        <w:t xml:space="preserve"> unitar</w:t>
      </w:r>
      <w:r w:rsidR="00DC7739">
        <w:rPr>
          <w:b/>
          <w:color w:val="000000" w:themeColor="text1"/>
        </w:rPr>
        <w:t>ă</w:t>
      </w:r>
      <w:r w:rsidRPr="0014545B">
        <w:rPr>
          <w:b/>
          <w:color w:val="000000" w:themeColor="text1"/>
        </w:rPr>
        <w:t xml:space="preserve"> de monitorizare a starii de conservare a habitatelor de mlaștini și turbării</w:t>
      </w:r>
    </w:p>
    <w:p w14:paraId="14F61CA1" w14:textId="77777777" w:rsidR="00A1200C" w:rsidRPr="00C56257" w:rsidRDefault="00A1200C" w:rsidP="00A1200C">
      <w:pPr>
        <w:spacing w:after="160" w:line="259" w:lineRule="auto"/>
        <w:jc w:val="both"/>
        <w:rPr>
          <w:bCs/>
          <w:color w:val="000000" w:themeColor="text1"/>
        </w:rPr>
      </w:pPr>
      <w:r w:rsidRPr="00C56257">
        <w:rPr>
          <w:bCs/>
          <w:color w:val="000000" w:themeColor="text1"/>
        </w:rPr>
        <w:t xml:space="preserve">7.1. </w:t>
      </w:r>
      <w:r w:rsidR="00157CBA" w:rsidRPr="00C56257">
        <w:rPr>
          <w:bCs/>
          <w:color w:val="000000" w:themeColor="text1"/>
        </w:rPr>
        <w:t>Protoc</w:t>
      </w:r>
      <w:r w:rsidR="00DC7739">
        <w:rPr>
          <w:bCs/>
          <w:color w:val="000000" w:themeColor="text1"/>
        </w:rPr>
        <w:t>olul</w:t>
      </w:r>
      <w:r w:rsidR="00157CBA" w:rsidRPr="00C56257">
        <w:rPr>
          <w:bCs/>
          <w:color w:val="000000" w:themeColor="text1"/>
        </w:rPr>
        <w:t xml:space="preserve"> de monitorizare </w:t>
      </w:r>
      <w:r w:rsidRPr="00C56257">
        <w:rPr>
          <w:bCs/>
          <w:color w:val="000000" w:themeColor="text1"/>
        </w:rPr>
        <w:t xml:space="preserve">a stării de conservare a habitatelor de </w:t>
      </w:r>
      <w:r w:rsidRPr="00C56257">
        <w:rPr>
          <w:color w:val="000000" w:themeColor="text1"/>
        </w:rPr>
        <w:t>mlaștini și turbării</w:t>
      </w:r>
      <w:r w:rsidR="001F7D7B" w:rsidRPr="00C56257">
        <w:rPr>
          <w:bCs/>
          <w:color w:val="000000" w:themeColor="text1"/>
        </w:rPr>
        <w:t xml:space="preserve"> de interes comunitar</w:t>
      </w:r>
    </w:p>
    <w:p w14:paraId="40B504FC" w14:textId="77777777" w:rsidR="00DC7739" w:rsidRDefault="00A1200C" w:rsidP="000D6DAE">
      <w:pPr>
        <w:spacing w:after="160" w:line="259" w:lineRule="auto"/>
        <w:jc w:val="both"/>
        <w:rPr>
          <w:bCs/>
          <w:color w:val="000000" w:themeColor="text1"/>
        </w:rPr>
      </w:pPr>
      <w:r w:rsidRPr="00C56257">
        <w:rPr>
          <w:bCs/>
          <w:color w:val="000000" w:themeColor="text1"/>
        </w:rPr>
        <w:t xml:space="preserve">7.2 </w:t>
      </w:r>
      <w:r w:rsidR="00157CBA" w:rsidRPr="00C56257">
        <w:rPr>
          <w:bCs/>
          <w:color w:val="000000" w:themeColor="text1"/>
        </w:rPr>
        <w:t>Metodolog</w:t>
      </w:r>
      <w:r w:rsidR="00DC7739">
        <w:rPr>
          <w:bCs/>
          <w:color w:val="000000" w:themeColor="text1"/>
        </w:rPr>
        <w:t>ia</w:t>
      </w:r>
      <w:r w:rsidR="00157CBA" w:rsidRPr="00C56257">
        <w:rPr>
          <w:bCs/>
          <w:color w:val="000000" w:themeColor="text1"/>
        </w:rPr>
        <w:t xml:space="preserve"> de monitorizare </w:t>
      </w:r>
      <w:r w:rsidRPr="00C56257">
        <w:rPr>
          <w:bCs/>
          <w:color w:val="000000" w:themeColor="text1"/>
        </w:rPr>
        <w:t>a stării de conservare a habitatelor de</w:t>
      </w:r>
      <w:r w:rsidRPr="00C56257">
        <w:rPr>
          <w:color w:val="000000" w:themeColor="text1"/>
        </w:rPr>
        <w:t xml:space="preserve"> mlaștini și turbării</w:t>
      </w:r>
      <w:r w:rsidR="001F7D7B" w:rsidRPr="00C56257">
        <w:rPr>
          <w:bCs/>
          <w:color w:val="000000" w:themeColor="text1"/>
        </w:rPr>
        <w:t xml:space="preserve"> de </w:t>
      </w:r>
      <w:r w:rsidR="00DC7739" w:rsidRPr="00DC7739">
        <w:rPr>
          <w:bCs/>
          <w:color w:val="000000" w:themeColor="text1"/>
        </w:rPr>
        <w:t>de interes comunitar</w:t>
      </w:r>
    </w:p>
    <w:p w14:paraId="7B8D0FBC" w14:textId="77777777" w:rsidR="009972B7" w:rsidRPr="00C56257" w:rsidRDefault="009972B7" w:rsidP="000D6DAE">
      <w:pPr>
        <w:spacing w:after="160" w:line="259" w:lineRule="auto"/>
        <w:jc w:val="both"/>
        <w:rPr>
          <w:bCs/>
          <w:color w:val="000000" w:themeColor="text1"/>
        </w:rPr>
      </w:pPr>
      <w:r w:rsidRPr="00C56257">
        <w:rPr>
          <w:bCs/>
          <w:color w:val="000000" w:themeColor="text1"/>
        </w:rPr>
        <w:t>7.</w:t>
      </w:r>
      <w:r w:rsidR="000D6DAE">
        <w:rPr>
          <w:bCs/>
          <w:color w:val="000000" w:themeColor="text1"/>
        </w:rPr>
        <w:t>3</w:t>
      </w:r>
      <w:r w:rsidRPr="00C56257">
        <w:rPr>
          <w:bCs/>
          <w:color w:val="000000" w:themeColor="text1"/>
        </w:rPr>
        <w:t>. Lista cu Siturile de Importanță Comunitară pentru habitate</w:t>
      </w:r>
      <w:r w:rsidR="001F7D7B" w:rsidRPr="00C56257">
        <w:rPr>
          <w:bCs/>
          <w:color w:val="000000" w:themeColor="text1"/>
        </w:rPr>
        <w:t>le</w:t>
      </w:r>
      <w:r w:rsidRPr="00C56257">
        <w:rPr>
          <w:bCs/>
          <w:color w:val="000000" w:themeColor="text1"/>
        </w:rPr>
        <w:t xml:space="preserve"> de </w:t>
      </w:r>
      <w:r w:rsidR="001F7D7B" w:rsidRPr="00C56257">
        <w:rPr>
          <w:color w:val="000000" w:themeColor="text1"/>
        </w:rPr>
        <w:t>mlaștini și turbării</w:t>
      </w:r>
      <w:r w:rsidRPr="00C56257">
        <w:rPr>
          <w:bCs/>
          <w:color w:val="000000" w:themeColor="text1"/>
        </w:rPr>
        <w:t xml:space="preserve"> de interes comunitar</w:t>
      </w:r>
    </w:p>
    <w:p w14:paraId="6DA1977B" w14:textId="77777777" w:rsidR="009972B7" w:rsidRPr="00C56257" w:rsidRDefault="009972B7" w:rsidP="009972B7">
      <w:pPr>
        <w:spacing w:after="160" w:line="259" w:lineRule="auto"/>
        <w:jc w:val="both"/>
        <w:rPr>
          <w:bCs/>
          <w:color w:val="000000" w:themeColor="text1"/>
        </w:rPr>
      </w:pPr>
      <w:r w:rsidRPr="00C56257">
        <w:rPr>
          <w:bCs/>
          <w:color w:val="000000" w:themeColor="text1"/>
        </w:rPr>
        <w:t>7.</w:t>
      </w:r>
      <w:r w:rsidR="000D6DAE">
        <w:rPr>
          <w:bCs/>
          <w:color w:val="000000" w:themeColor="text1"/>
        </w:rPr>
        <w:t>4</w:t>
      </w:r>
      <w:r w:rsidRPr="00C56257">
        <w:rPr>
          <w:bCs/>
          <w:color w:val="000000" w:themeColor="text1"/>
        </w:rPr>
        <w:t xml:space="preserve">. Lista cu Presiunile și Amenințările ce acționează asupra habitatelor de </w:t>
      </w:r>
      <w:r w:rsidR="001F7D7B" w:rsidRPr="00C56257">
        <w:rPr>
          <w:color w:val="000000" w:themeColor="text1"/>
        </w:rPr>
        <w:t>mlaștini și turbării</w:t>
      </w:r>
      <w:r w:rsidRPr="00C56257">
        <w:rPr>
          <w:bCs/>
          <w:color w:val="000000" w:themeColor="text1"/>
        </w:rPr>
        <w:t xml:space="preserve"> de interes comunitar</w:t>
      </w:r>
    </w:p>
    <w:p w14:paraId="6B3D3102" w14:textId="77777777" w:rsidR="009972B7" w:rsidRPr="00C56257" w:rsidRDefault="009972B7" w:rsidP="00A1200C">
      <w:pPr>
        <w:spacing w:after="160" w:line="259" w:lineRule="auto"/>
        <w:jc w:val="both"/>
        <w:rPr>
          <w:bCs/>
          <w:color w:val="000000" w:themeColor="text1"/>
        </w:rPr>
      </w:pPr>
      <w:r w:rsidRPr="00C56257">
        <w:rPr>
          <w:bCs/>
          <w:color w:val="000000" w:themeColor="text1"/>
        </w:rPr>
        <w:t>7.</w:t>
      </w:r>
      <w:r w:rsidR="000D6DAE">
        <w:rPr>
          <w:bCs/>
          <w:color w:val="000000" w:themeColor="text1"/>
        </w:rPr>
        <w:t>5</w:t>
      </w:r>
      <w:r w:rsidRPr="00C56257">
        <w:rPr>
          <w:bCs/>
          <w:color w:val="000000" w:themeColor="text1"/>
        </w:rPr>
        <w:t xml:space="preserve">. Lista cu Măsurile de conservare ce se pot aplica habitatelor de </w:t>
      </w:r>
      <w:r w:rsidR="001F7D7B" w:rsidRPr="00C56257">
        <w:rPr>
          <w:color w:val="000000" w:themeColor="text1"/>
        </w:rPr>
        <w:t>mlaștini și turbării</w:t>
      </w:r>
      <w:r w:rsidRPr="00C56257">
        <w:rPr>
          <w:bCs/>
          <w:color w:val="000000" w:themeColor="text1"/>
        </w:rPr>
        <w:t xml:space="preserve"> de interes comunitar</w:t>
      </w:r>
    </w:p>
    <w:p w14:paraId="258E0626" w14:textId="30FA8B1B" w:rsidR="00852E1E" w:rsidRPr="0014545B" w:rsidRDefault="00852E1E" w:rsidP="00852E1E">
      <w:pPr>
        <w:spacing w:after="160" w:line="259" w:lineRule="auto"/>
        <w:jc w:val="both"/>
        <w:rPr>
          <w:b/>
          <w:color w:val="000000" w:themeColor="text1"/>
        </w:rPr>
      </w:pPr>
      <w:r w:rsidRPr="0014545B">
        <w:rPr>
          <w:b/>
          <w:color w:val="000000" w:themeColor="text1"/>
        </w:rPr>
        <w:lastRenderedPageBreak/>
        <w:t xml:space="preserve">8. Ghidul </w:t>
      </w:r>
      <w:r w:rsidR="003D35AA">
        <w:rPr>
          <w:b/>
          <w:bCs/>
          <w:color w:val="000000" w:themeColor="text1"/>
        </w:rPr>
        <w:t>privind</w:t>
      </w:r>
      <w:r w:rsidRPr="0014545B">
        <w:rPr>
          <w:b/>
          <w:color w:val="000000" w:themeColor="text1"/>
        </w:rPr>
        <w:t xml:space="preserve">  protoco</w:t>
      </w:r>
      <w:r w:rsidR="00DC7739">
        <w:rPr>
          <w:b/>
          <w:color w:val="000000" w:themeColor="text1"/>
        </w:rPr>
        <w:t>lul</w:t>
      </w:r>
      <w:r w:rsidRPr="0014545B">
        <w:rPr>
          <w:b/>
          <w:color w:val="000000" w:themeColor="text1"/>
        </w:rPr>
        <w:t xml:space="preserve"> de monitorizare si metodologi</w:t>
      </w:r>
      <w:r w:rsidR="00DC7739">
        <w:rPr>
          <w:b/>
          <w:color w:val="000000" w:themeColor="text1"/>
        </w:rPr>
        <w:t>a</w:t>
      </w:r>
      <w:r w:rsidRPr="0014545B">
        <w:rPr>
          <w:b/>
          <w:color w:val="000000" w:themeColor="text1"/>
        </w:rPr>
        <w:t xml:space="preserve"> unitar</w:t>
      </w:r>
      <w:r w:rsidR="00DC7739">
        <w:rPr>
          <w:b/>
          <w:color w:val="000000" w:themeColor="text1"/>
        </w:rPr>
        <w:t>ă</w:t>
      </w:r>
      <w:r w:rsidRPr="0014545B">
        <w:rPr>
          <w:b/>
          <w:color w:val="000000" w:themeColor="text1"/>
        </w:rPr>
        <w:t xml:space="preserve"> de monitorizare a starii de conservare a habitatelor de grohotișuri și stâncării</w:t>
      </w:r>
    </w:p>
    <w:p w14:paraId="548EB359" w14:textId="77777777" w:rsidR="00A1200C" w:rsidRPr="00C56257" w:rsidRDefault="00A1200C" w:rsidP="00A1200C">
      <w:pPr>
        <w:spacing w:after="160" w:line="259" w:lineRule="auto"/>
        <w:jc w:val="both"/>
        <w:rPr>
          <w:bCs/>
          <w:color w:val="000000" w:themeColor="text1"/>
        </w:rPr>
      </w:pPr>
      <w:r w:rsidRPr="00C56257">
        <w:rPr>
          <w:bCs/>
          <w:color w:val="000000" w:themeColor="text1"/>
        </w:rPr>
        <w:t xml:space="preserve">8.1. </w:t>
      </w:r>
      <w:r w:rsidR="00157CBA" w:rsidRPr="00C56257">
        <w:rPr>
          <w:bCs/>
          <w:color w:val="000000" w:themeColor="text1"/>
        </w:rPr>
        <w:t>Protoc</w:t>
      </w:r>
      <w:r w:rsidR="00DC7739">
        <w:rPr>
          <w:bCs/>
          <w:color w:val="000000" w:themeColor="text1"/>
        </w:rPr>
        <w:t>olul</w:t>
      </w:r>
      <w:r w:rsidR="00157CBA" w:rsidRPr="00C56257">
        <w:rPr>
          <w:bCs/>
          <w:color w:val="000000" w:themeColor="text1"/>
        </w:rPr>
        <w:t xml:space="preserve"> de monitorizare </w:t>
      </w:r>
      <w:r w:rsidRPr="00C56257">
        <w:rPr>
          <w:bCs/>
          <w:color w:val="000000" w:themeColor="text1"/>
        </w:rPr>
        <w:t xml:space="preserve">a stării de conservare a habitatelor de </w:t>
      </w:r>
      <w:r w:rsidRPr="00C56257">
        <w:rPr>
          <w:color w:val="000000" w:themeColor="text1"/>
        </w:rPr>
        <w:t>grohotișuri și stâncării</w:t>
      </w:r>
      <w:r w:rsidR="001F7D7B" w:rsidRPr="00C56257">
        <w:rPr>
          <w:bCs/>
          <w:color w:val="000000" w:themeColor="text1"/>
        </w:rPr>
        <w:t xml:space="preserve"> de interes comunitar</w:t>
      </w:r>
    </w:p>
    <w:p w14:paraId="01834B7B" w14:textId="77777777" w:rsidR="00A1200C" w:rsidRPr="00C56257" w:rsidRDefault="00A1200C" w:rsidP="00A1200C">
      <w:pPr>
        <w:spacing w:after="160" w:line="259" w:lineRule="auto"/>
        <w:jc w:val="both"/>
        <w:rPr>
          <w:color w:val="000000" w:themeColor="text1"/>
        </w:rPr>
      </w:pPr>
      <w:r w:rsidRPr="00C56257">
        <w:rPr>
          <w:bCs/>
          <w:color w:val="000000" w:themeColor="text1"/>
        </w:rPr>
        <w:t xml:space="preserve">8.2 </w:t>
      </w:r>
      <w:r w:rsidR="00157CBA" w:rsidRPr="00C56257">
        <w:rPr>
          <w:bCs/>
          <w:color w:val="000000" w:themeColor="text1"/>
        </w:rPr>
        <w:t>Metodologi</w:t>
      </w:r>
      <w:r w:rsidR="00DC7739">
        <w:rPr>
          <w:bCs/>
          <w:color w:val="000000" w:themeColor="text1"/>
        </w:rPr>
        <w:t>a</w:t>
      </w:r>
      <w:r w:rsidR="00157CBA" w:rsidRPr="00C56257">
        <w:rPr>
          <w:bCs/>
          <w:color w:val="000000" w:themeColor="text1"/>
        </w:rPr>
        <w:t xml:space="preserve"> de monitorizare </w:t>
      </w:r>
      <w:r w:rsidRPr="00C56257">
        <w:rPr>
          <w:bCs/>
          <w:color w:val="000000" w:themeColor="text1"/>
        </w:rPr>
        <w:t>a stării de conservare a habitatelor de</w:t>
      </w:r>
      <w:r w:rsidRPr="00C56257">
        <w:rPr>
          <w:color w:val="000000" w:themeColor="text1"/>
        </w:rPr>
        <w:t xml:space="preserve"> grohotișuri și stâncării</w:t>
      </w:r>
      <w:r w:rsidR="001F7D7B" w:rsidRPr="00C56257">
        <w:rPr>
          <w:bCs/>
          <w:color w:val="000000" w:themeColor="text1"/>
        </w:rPr>
        <w:t xml:space="preserve"> de interes comunitar</w:t>
      </w:r>
    </w:p>
    <w:p w14:paraId="24F3619C" w14:textId="77777777" w:rsidR="009972B7" w:rsidRPr="00C56257" w:rsidRDefault="009972B7" w:rsidP="009972B7">
      <w:pPr>
        <w:spacing w:after="160" w:line="259" w:lineRule="auto"/>
        <w:jc w:val="both"/>
        <w:rPr>
          <w:bCs/>
          <w:color w:val="000000" w:themeColor="text1"/>
        </w:rPr>
      </w:pPr>
      <w:r w:rsidRPr="00C56257">
        <w:rPr>
          <w:bCs/>
          <w:color w:val="000000" w:themeColor="text1"/>
        </w:rPr>
        <w:t>8.</w:t>
      </w:r>
      <w:r w:rsidR="000D6DAE">
        <w:rPr>
          <w:bCs/>
          <w:color w:val="000000" w:themeColor="text1"/>
        </w:rPr>
        <w:t>3</w:t>
      </w:r>
      <w:r w:rsidRPr="00C56257">
        <w:rPr>
          <w:bCs/>
          <w:color w:val="000000" w:themeColor="text1"/>
        </w:rPr>
        <w:t>. Lista cu Siturile de Importanță Comunitară pentru habitate</w:t>
      </w:r>
      <w:r w:rsidR="001F7D7B" w:rsidRPr="00C56257">
        <w:rPr>
          <w:bCs/>
          <w:color w:val="000000" w:themeColor="text1"/>
        </w:rPr>
        <w:t>le</w:t>
      </w:r>
      <w:r w:rsidRPr="00C56257">
        <w:rPr>
          <w:bCs/>
          <w:color w:val="000000" w:themeColor="text1"/>
        </w:rPr>
        <w:t xml:space="preserve"> de </w:t>
      </w:r>
      <w:r w:rsidR="001F7D7B" w:rsidRPr="00C56257">
        <w:rPr>
          <w:color w:val="000000" w:themeColor="text1"/>
        </w:rPr>
        <w:t>grohotișuri și stâncării</w:t>
      </w:r>
      <w:r w:rsidRPr="00C56257">
        <w:rPr>
          <w:bCs/>
          <w:color w:val="000000" w:themeColor="text1"/>
        </w:rPr>
        <w:t xml:space="preserve"> de interes comunitar</w:t>
      </w:r>
    </w:p>
    <w:p w14:paraId="27F472CB" w14:textId="77777777" w:rsidR="009972B7" w:rsidRPr="00C56257" w:rsidRDefault="009972B7" w:rsidP="009972B7">
      <w:pPr>
        <w:spacing w:after="160" w:line="259" w:lineRule="auto"/>
        <w:jc w:val="both"/>
        <w:rPr>
          <w:bCs/>
          <w:color w:val="000000" w:themeColor="text1"/>
        </w:rPr>
      </w:pPr>
      <w:r w:rsidRPr="00C56257">
        <w:rPr>
          <w:bCs/>
          <w:color w:val="000000" w:themeColor="text1"/>
        </w:rPr>
        <w:t>8.</w:t>
      </w:r>
      <w:r w:rsidR="000D6DAE">
        <w:rPr>
          <w:bCs/>
          <w:color w:val="000000" w:themeColor="text1"/>
        </w:rPr>
        <w:t>4</w:t>
      </w:r>
      <w:r w:rsidRPr="00C56257">
        <w:rPr>
          <w:bCs/>
          <w:color w:val="000000" w:themeColor="text1"/>
        </w:rPr>
        <w:t xml:space="preserve">. Lista cu Presiunile și Amenințările ce acționează asupra habitatelor de </w:t>
      </w:r>
      <w:r w:rsidR="001F7D7B" w:rsidRPr="00C56257">
        <w:rPr>
          <w:color w:val="000000" w:themeColor="text1"/>
        </w:rPr>
        <w:t>grohotișuri și stâncării</w:t>
      </w:r>
      <w:r w:rsidRPr="00C56257">
        <w:rPr>
          <w:bCs/>
          <w:color w:val="000000" w:themeColor="text1"/>
        </w:rPr>
        <w:t xml:space="preserve"> de interes comunitar</w:t>
      </w:r>
    </w:p>
    <w:p w14:paraId="67E4A1E9" w14:textId="77777777" w:rsidR="009972B7" w:rsidRPr="00C56257" w:rsidRDefault="009972B7" w:rsidP="00A1200C">
      <w:pPr>
        <w:spacing w:after="160" w:line="259" w:lineRule="auto"/>
        <w:jc w:val="both"/>
        <w:rPr>
          <w:bCs/>
          <w:color w:val="000000" w:themeColor="text1"/>
        </w:rPr>
      </w:pPr>
      <w:r w:rsidRPr="00C56257">
        <w:rPr>
          <w:bCs/>
          <w:color w:val="000000" w:themeColor="text1"/>
        </w:rPr>
        <w:t>8.</w:t>
      </w:r>
      <w:r w:rsidR="000D6DAE">
        <w:rPr>
          <w:bCs/>
          <w:color w:val="000000" w:themeColor="text1"/>
        </w:rPr>
        <w:t>5</w:t>
      </w:r>
      <w:r w:rsidRPr="00C56257">
        <w:rPr>
          <w:bCs/>
          <w:color w:val="000000" w:themeColor="text1"/>
        </w:rPr>
        <w:t xml:space="preserve">. Lista cu Măsurile de conservare ce se pot aplica habitatelor de </w:t>
      </w:r>
      <w:r w:rsidR="001F7D7B" w:rsidRPr="00C56257">
        <w:rPr>
          <w:color w:val="000000" w:themeColor="text1"/>
        </w:rPr>
        <w:t>grohotișuri și stâncării</w:t>
      </w:r>
      <w:r w:rsidRPr="00C56257">
        <w:rPr>
          <w:bCs/>
          <w:color w:val="000000" w:themeColor="text1"/>
        </w:rPr>
        <w:t xml:space="preserve"> de interes comunitar</w:t>
      </w:r>
    </w:p>
    <w:p w14:paraId="492446C4" w14:textId="65046E15" w:rsidR="00852E1E" w:rsidRPr="0014545B" w:rsidRDefault="00852E1E" w:rsidP="00852E1E">
      <w:pPr>
        <w:spacing w:after="160" w:line="259" w:lineRule="auto"/>
        <w:jc w:val="both"/>
        <w:rPr>
          <w:b/>
          <w:color w:val="000000" w:themeColor="text1"/>
        </w:rPr>
      </w:pPr>
      <w:r w:rsidRPr="0014545B">
        <w:rPr>
          <w:b/>
          <w:color w:val="000000" w:themeColor="text1"/>
        </w:rPr>
        <w:t xml:space="preserve">9. Ghidul </w:t>
      </w:r>
      <w:r w:rsidR="003D35AA">
        <w:rPr>
          <w:b/>
          <w:bCs/>
          <w:color w:val="000000" w:themeColor="text1"/>
        </w:rPr>
        <w:t>privind</w:t>
      </w:r>
      <w:r w:rsidRPr="0014545B">
        <w:rPr>
          <w:b/>
          <w:color w:val="000000" w:themeColor="text1"/>
        </w:rPr>
        <w:t xml:space="preserve">  protoc</w:t>
      </w:r>
      <w:r w:rsidR="00DC7739">
        <w:rPr>
          <w:b/>
          <w:color w:val="000000" w:themeColor="text1"/>
        </w:rPr>
        <w:t>olul</w:t>
      </w:r>
      <w:r w:rsidRPr="0014545B">
        <w:rPr>
          <w:b/>
          <w:color w:val="000000" w:themeColor="text1"/>
        </w:rPr>
        <w:t xml:space="preserve"> de monitorizare si metodologi</w:t>
      </w:r>
      <w:r w:rsidR="00DC7739">
        <w:rPr>
          <w:b/>
          <w:color w:val="000000" w:themeColor="text1"/>
        </w:rPr>
        <w:t>a</w:t>
      </w:r>
      <w:r w:rsidRPr="0014545B">
        <w:rPr>
          <w:b/>
          <w:color w:val="000000" w:themeColor="text1"/>
        </w:rPr>
        <w:t xml:space="preserve"> unitar</w:t>
      </w:r>
      <w:r w:rsidR="00DC7739">
        <w:rPr>
          <w:b/>
          <w:color w:val="000000" w:themeColor="text1"/>
        </w:rPr>
        <w:t>ă</w:t>
      </w:r>
      <w:r w:rsidRPr="0014545B">
        <w:rPr>
          <w:b/>
          <w:color w:val="000000" w:themeColor="text1"/>
        </w:rPr>
        <w:t xml:space="preserve"> de monitorizare a stării de conservare a habitatelor de peșteri</w:t>
      </w:r>
    </w:p>
    <w:p w14:paraId="0FBBAA91" w14:textId="77777777" w:rsidR="00A1200C" w:rsidRPr="00C56257" w:rsidRDefault="00A1200C" w:rsidP="00A1200C">
      <w:pPr>
        <w:spacing w:after="160" w:line="259" w:lineRule="auto"/>
        <w:jc w:val="both"/>
        <w:rPr>
          <w:bCs/>
          <w:color w:val="000000" w:themeColor="text1"/>
        </w:rPr>
      </w:pPr>
      <w:r w:rsidRPr="00C56257">
        <w:rPr>
          <w:bCs/>
          <w:color w:val="000000" w:themeColor="text1"/>
        </w:rPr>
        <w:t xml:space="preserve">9.1. </w:t>
      </w:r>
      <w:r w:rsidR="00157CBA" w:rsidRPr="00C56257">
        <w:rPr>
          <w:bCs/>
          <w:color w:val="000000" w:themeColor="text1"/>
        </w:rPr>
        <w:t>Protoc</w:t>
      </w:r>
      <w:r w:rsidR="00DC7739">
        <w:rPr>
          <w:bCs/>
          <w:color w:val="000000" w:themeColor="text1"/>
        </w:rPr>
        <w:t>olul</w:t>
      </w:r>
      <w:r w:rsidR="00157CBA" w:rsidRPr="00C56257">
        <w:rPr>
          <w:bCs/>
          <w:color w:val="000000" w:themeColor="text1"/>
        </w:rPr>
        <w:t xml:space="preserve"> de monitorizare </w:t>
      </w:r>
      <w:r w:rsidRPr="00C56257">
        <w:rPr>
          <w:bCs/>
          <w:color w:val="000000" w:themeColor="text1"/>
        </w:rPr>
        <w:t xml:space="preserve">a stării de conservare a habitatelor de </w:t>
      </w:r>
      <w:r w:rsidRPr="00C56257">
        <w:rPr>
          <w:color w:val="000000" w:themeColor="text1"/>
        </w:rPr>
        <w:t>peșteri</w:t>
      </w:r>
      <w:r w:rsidR="00823C3B" w:rsidRPr="00C56257">
        <w:rPr>
          <w:bCs/>
          <w:color w:val="000000" w:themeColor="text1"/>
        </w:rPr>
        <w:t xml:space="preserve"> de interes comunitar</w:t>
      </w:r>
      <w:r w:rsidRPr="00C56257">
        <w:rPr>
          <w:bCs/>
          <w:color w:val="000000" w:themeColor="text1"/>
        </w:rPr>
        <w:t>.</w:t>
      </w:r>
    </w:p>
    <w:p w14:paraId="2D8B3C97" w14:textId="77777777" w:rsidR="00A1200C" w:rsidRPr="00C56257" w:rsidRDefault="00A1200C" w:rsidP="00A1200C">
      <w:pPr>
        <w:spacing w:after="160" w:line="259" w:lineRule="auto"/>
        <w:jc w:val="both"/>
        <w:rPr>
          <w:color w:val="000000" w:themeColor="text1"/>
        </w:rPr>
      </w:pPr>
      <w:r w:rsidRPr="00C56257">
        <w:rPr>
          <w:bCs/>
          <w:color w:val="000000" w:themeColor="text1"/>
        </w:rPr>
        <w:t xml:space="preserve">9.2 </w:t>
      </w:r>
      <w:r w:rsidR="00157CBA" w:rsidRPr="00C56257">
        <w:rPr>
          <w:bCs/>
          <w:color w:val="000000" w:themeColor="text1"/>
        </w:rPr>
        <w:t>Metodologi</w:t>
      </w:r>
      <w:r w:rsidR="00DC7739">
        <w:rPr>
          <w:bCs/>
          <w:color w:val="000000" w:themeColor="text1"/>
        </w:rPr>
        <w:t>a</w:t>
      </w:r>
      <w:r w:rsidR="00157CBA" w:rsidRPr="00C56257">
        <w:rPr>
          <w:bCs/>
          <w:color w:val="000000" w:themeColor="text1"/>
        </w:rPr>
        <w:t xml:space="preserve"> de monitorizare </w:t>
      </w:r>
      <w:r w:rsidRPr="00C56257">
        <w:rPr>
          <w:bCs/>
          <w:color w:val="000000" w:themeColor="text1"/>
        </w:rPr>
        <w:t>a stării de conservare a habitatelor de</w:t>
      </w:r>
      <w:r w:rsidRPr="00C56257">
        <w:rPr>
          <w:color w:val="000000" w:themeColor="text1"/>
        </w:rPr>
        <w:t xml:space="preserve"> peșteri</w:t>
      </w:r>
      <w:r w:rsidR="00823C3B" w:rsidRPr="00C56257">
        <w:rPr>
          <w:bCs/>
          <w:color w:val="000000" w:themeColor="text1"/>
        </w:rPr>
        <w:t xml:space="preserve"> de interes comunitar</w:t>
      </w:r>
    </w:p>
    <w:p w14:paraId="51A0445F" w14:textId="77777777" w:rsidR="009972B7" w:rsidRPr="00C56257" w:rsidRDefault="009972B7" w:rsidP="009972B7">
      <w:pPr>
        <w:spacing w:after="160" w:line="259" w:lineRule="auto"/>
        <w:jc w:val="both"/>
        <w:rPr>
          <w:bCs/>
          <w:color w:val="000000" w:themeColor="text1"/>
        </w:rPr>
      </w:pPr>
      <w:r w:rsidRPr="00C56257">
        <w:rPr>
          <w:bCs/>
          <w:color w:val="000000" w:themeColor="text1"/>
        </w:rPr>
        <w:t>9.</w:t>
      </w:r>
      <w:r w:rsidR="00037B2C">
        <w:rPr>
          <w:bCs/>
          <w:color w:val="000000" w:themeColor="text1"/>
        </w:rPr>
        <w:t>3</w:t>
      </w:r>
      <w:r w:rsidRPr="00C56257">
        <w:rPr>
          <w:bCs/>
          <w:color w:val="000000" w:themeColor="text1"/>
        </w:rPr>
        <w:t>. Lista cu Siturile de Importanță Comunitară pentru habitate</w:t>
      </w:r>
      <w:r w:rsidR="00823C3B" w:rsidRPr="00C56257">
        <w:rPr>
          <w:bCs/>
          <w:color w:val="000000" w:themeColor="text1"/>
        </w:rPr>
        <w:t>le</w:t>
      </w:r>
      <w:r w:rsidRPr="00C56257">
        <w:rPr>
          <w:bCs/>
          <w:color w:val="000000" w:themeColor="text1"/>
        </w:rPr>
        <w:t xml:space="preserve"> de </w:t>
      </w:r>
      <w:r w:rsidR="00823C3B" w:rsidRPr="00C56257">
        <w:rPr>
          <w:bCs/>
          <w:color w:val="000000" w:themeColor="text1"/>
        </w:rPr>
        <w:t>peșteri</w:t>
      </w:r>
      <w:r w:rsidRPr="00C56257">
        <w:rPr>
          <w:bCs/>
          <w:color w:val="000000" w:themeColor="text1"/>
        </w:rPr>
        <w:t xml:space="preserve"> de interes comunitar</w:t>
      </w:r>
    </w:p>
    <w:p w14:paraId="0C6BD059" w14:textId="77777777" w:rsidR="009972B7" w:rsidRPr="00C56257" w:rsidRDefault="009972B7" w:rsidP="009972B7">
      <w:pPr>
        <w:spacing w:after="160" w:line="259" w:lineRule="auto"/>
        <w:jc w:val="both"/>
        <w:rPr>
          <w:bCs/>
          <w:color w:val="000000" w:themeColor="text1"/>
        </w:rPr>
      </w:pPr>
      <w:r w:rsidRPr="00C56257">
        <w:rPr>
          <w:bCs/>
          <w:color w:val="000000" w:themeColor="text1"/>
        </w:rPr>
        <w:t>9.</w:t>
      </w:r>
      <w:r w:rsidR="00037B2C">
        <w:rPr>
          <w:bCs/>
          <w:color w:val="000000" w:themeColor="text1"/>
        </w:rPr>
        <w:t>4</w:t>
      </w:r>
      <w:r w:rsidRPr="00C56257">
        <w:rPr>
          <w:bCs/>
          <w:color w:val="000000" w:themeColor="text1"/>
        </w:rPr>
        <w:t xml:space="preserve">. Lista cu Presiunile și Amenințările ce acționează asupra habitatelor </w:t>
      </w:r>
      <w:r w:rsidR="00823C3B" w:rsidRPr="00C56257">
        <w:rPr>
          <w:bCs/>
          <w:color w:val="000000" w:themeColor="text1"/>
        </w:rPr>
        <w:t>de peșteri</w:t>
      </w:r>
      <w:r w:rsidRPr="00C56257">
        <w:rPr>
          <w:bCs/>
          <w:color w:val="000000" w:themeColor="text1"/>
        </w:rPr>
        <w:t xml:space="preserve"> de interes comunitar</w:t>
      </w:r>
    </w:p>
    <w:p w14:paraId="1F24A606" w14:textId="77777777" w:rsidR="009972B7" w:rsidRPr="00C56257" w:rsidRDefault="009972B7" w:rsidP="00A1200C">
      <w:pPr>
        <w:spacing w:after="160" w:line="259" w:lineRule="auto"/>
        <w:jc w:val="both"/>
        <w:rPr>
          <w:bCs/>
          <w:color w:val="000000" w:themeColor="text1"/>
        </w:rPr>
      </w:pPr>
      <w:r w:rsidRPr="00C56257">
        <w:rPr>
          <w:bCs/>
          <w:color w:val="000000" w:themeColor="text1"/>
        </w:rPr>
        <w:t>9.</w:t>
      </w:r>
      <w:r w:rsidR="00037B2C">
        <w:rPr>
          <w:bCs/>
          <w:color w:val="000000" w:themeColor="text1"/>
        </w:rPr>
        <w:t>5</w:t>
      </w:r>
      <w:r w:rsidRPr="00C56257">
        <w:rPr>
          <w:bCs/>
          <w:color w:val="000000" w:themeColor="text1"/>
        </w:rPr>
        <w:t xml:space="preserve">. Lista cu Măsurile de conservare ce se pot aplica habitatelor de </w:t>
      </w:r>
      <w:r w:rsidR="00823C3B" w:rsidRPr="00C56257">
        <w:rPr>
          <w:bCs/>
          <w:color w:val="000000" w:themeColor="text1"/>
        </w:rPr>
        <w:t xml:space="preserve">peșteri </w:t>
      </w:r>
      <w:r w:rsidRPr="00C56257">
        <w:rPr>
          <w:bCs/>
          <w:color w:val="000000" w:themeColor="text1"/>
        </w:rPr>
        <w:t>de interes comunitar</w:t>
      </w:r>
    </w:p>
    <w:p w14:paraId="5C01F6CA" w14:textId="0AF84648" w:rsidR="00852E1E" w:rsidRPr="0014545B" w:rsidRDefault="00852E1E" w:rsidP="00852E1E">
      <w:pPr>
        <w:spacing w:after="160" w:line="259" w:lineRule="auto"/>
        <w:jc w:val="both"/>
        <w:rPr>
          <w:b/>
          <w:color w:val="000000" w:themeColor="text1"/>
        </w:rPr>
      </w:pPr>
      <w:r w:rsidRPr="0014545B">
        <w:rPr>
          <w:b/>
          <w:color w:val="000000" w:themeColor="text1"/>
        </w:rPr>
        <w:t xml:space="preserve">10. Ghidul </w:t>
      </w:r>
      <w:r w:rsidR="003D35AA">
        <w:rPr>
          <w:b/>
          <w:bCs/>
          <w:color w:val="000000" w:themeColor="text1"/>
        </w:rPr>
        <w:t>privind</w:t>
      </w:r>
      <w:r w:rsidRPr="0014545B">
        <w:rPr>
          <w:b/>
          <w:color w:val="000000" w:themeColor="text1"/>
        </w:rPr>
        <w:t xml:space="preserve">  protoco</w:t>
      </w:r>
      <w:r w:rsidR="00DD3620">
        <w:rPr>
          <w:b/>
          <w:color w:val="000000" w:themeColor="text1"/>
        </w:rPr>
        <w:t>lul</w:t>
      </w:r>
      <w:r w:rsidRPr="0014545B">
        <w:rPr>
          <w:b/>
          <w:color w:val="000000" w:themeColor="text1"/>
        </w:rPr>
        <w:t xml:space="preserve"> de monitorizare </w:t>
      </w:r>
      <w:r w:rsidR="00FA0D35" w:rsidRPr="0014545B">
        <w:rPr>
          <w:b/>
          <w:color w:val="000000" w:themeColor="text1"/>
        </w:rPr>
        <w:t>ș</w:t>
      </w:r>
      <w:r w:rsidRPr="0014545B">
        <w:rPr>
          <w:b/>
          <w:color w:val="000000" w:themeColor="text1"/>
        </w:rPr>
        <w:t>i metodologi</w:t>
      </w:r>
      <w:r w:rsidR="00DD3620">
        <w:rPr>
          <w:b/>
          <w:color w:val="000000" w:themeColor="text1"/>
        </w:rPr>
        <w:t xml:space="preserve">a </w:t>
      </w:r>
      <w:r w:rsidRPr="0014545B">
        <w:rPr>
          <w:b/>
          <w:color w:val="000000" w:themeColor="text1"/>
        </w:rPr>
        <w:t>unitar</w:t>
      </w:r>
      <w:r w:rsidR="00DD3620">
        <w:rPr>
          <w:b/>
          <w:color w:val="000000" w:themeColor="text1"/>
        </w:rPr>
        <w:t>ă</w:t>
      </w:r>
      <w:r w:rsidRPr="0014545B">
        <w:rPr>
          <w:b/>
          <w:color w:val="000000" w:themeColor="text1"/>
        </w:rPr>
        <w:t xml:space="preserve"> de monitorizare a st</w:t>
      </w:r>
      <w:r w:rsidR="00FA0D35" w:rsidRPr="0014545B">
        <w:rPr>
          <w:b/>
          <w:color w:val="000000" w:themeColor="text1"/>
        </w:rPr>
        <w:t>ă</w:t>
      </w:r>
      <w:r w:rsidRPr="0014545B">
        <w:rPr>
          <w:b/>
          <w:color w:val="000000" w:themeColor="text1"/>
        </w:rPr>
        <w:t>rii de conservare a habitatelor forestiere</w:t>
      </w:r>
    </w:p>
    <w:p w14:paraId="52658F94" w14:textId="77777777" w:rsidR="00A1200C" w:rsidRPr="00C56257" w:rsidRDefault="00A1200C" w:rsidP="00A1200C">
      <w:pPr>
        <w:spacing w:after="160" w:line="259" w:lineRule="auto"/>
        <w:jc w:val="both"/>
        <w:rPr>
          <w:bCs/>
          <w:color w:val="000000" w:themeColor="text1"/>
        </w:rPr>
      </w:pPr>
      <w:r w:rsidRPr="00C56257">
        <w:rPr>
          <w:bCs/>
          <w:color w:val="000000" w:themeColor="text1"/>
        </w:rPr>
        <w:t xml:space="preserve">10.1. </w:t>
      </w:r>
      <w:bookmarkStart w:id="2" w:name="_Hlk138260529"/>
      <w:r w:rsidR="009A5CFB" w:rsidRPr="00C56257">
        <w:rPr>
          <w:bCs/>
          <w:color w:val="000000" w:themeColor="text1"/>
        </w:rPr>
        <w:t>Metodologi</w:t>
      </w:r>
      <w:r w:rsidR="009A5CFB">
        <w:rPr>
          <w:bCs/>
          <w:color w:val="000000" w:themeColor="text1"/>
        </w:rPr>
        <w:t>a</w:t>
      </w:r>
      <w:r w:rsidR="009A5CFB" w:rsidRPr="00C56257">
        <w:rPr>
          <w:bCs/>
          <w:color w:val="000000" w:themeColor="text1"/>
        </w:rPr>
        <w:t xml:space="preserve"> de monitorizare a stării de conservare a habitatelor </w:t>
      </w:r>
      <w:r w:rsidR="009A5CFB" w:rsidRPr="00C56257">
        <w:rPr>
          <w:color w:val="000000" w:themeColor="text1"/>
        </w:rPr>
        <w:t>forestiere</w:t>
      </w:r>
      <w:r w:rsidR="009A5CFB" w:rsidRPr="00C56257">
        <w:rPr>
          <w:bCs/>
          <w:color w:val="000000" w:themeColor="text1"/>
        </w:rPr>
        <w:t xml:space="preserve"> de interes comunitar</w:t>
      </w:r>
      <w:bookmarkEnd w:id="2"/>
    </w:p>
    <w:p w14:paraId="1D4205B2" w14:textId="77777777" w:rsidR="00852E1E" w:rsidRPr="00C56257" w:rsidRDefault="00A1200C" w:rsidP="00A1200C">
      <w:pPr>
        <w:spacing w:after="160" w:line="259" w:lineRule="auto"/>
        <w:jc w:val="both"/>
        <w:rPr>
          <w:color w:val="000000" w:themeColor="text1"/>
        </w:rPr>
      </w:pPr>
      <w:r w:rsidRPr="00C56257">
        <w:rPr>
          <w:bCs/>
          <w:color w:val="000000" w:themeColor="text1"/>
        </w:rPr>
        <w:t xml:space="preserve">10.2 </w:t>
      </w:r>
      <w:r w:rsidR="00E31596" w:rsidRPr="00E31596">
        <w:rPr>
          <w:bCs/>
          <w:color w:val="000000" w:themeColor="text1"/>
        </w:rPr>
        <w:t>Protocol</w:t>
      </w:r>
      <w:r w:rsidR="00A31F54">
        <w:rPr>
          <w:bCs/>
          <w:color w:val="000000" w:themeColor="text1"/>
        </w:rPr>
        <w:t>ul</w:t>
      </w:r>
      <w:r w:rsidR="00E31596" w:rsidRPr="00E31596">
        <w:rPr>
          <w:bCs/>
          <w:color w:val="000000" w:themeColor="text1"/>
        </w:rPr>
        <w:t xml:space="preserve"> de monitorizare a stării de conservare a habitatelor forestiere de interes comunitar </w:t>
      </w:r>
    </w:p>
    <w:p w14:paraId="08E14AD8" w14:textId="77777777" w:rsidR="009972B7" w:rsidRPr="00C56257" w:rsidRDefault="009972B7" w:rsidP="009972B7">
      <w:pPr>
        <w:spacing w:after="160" w:line="259" w:lineRule="auto"/>
        <w:jc w:val="both"/>
        <w:rPr>
          <w:bCs/>
          <w:color w:val="000000" w:themeColor="text1"/>
        </w:rPr>
      </w:pPr>
      <w:r w:rsidRPr="00C56257">
        <w:rPr>
          <w:bCs/>
          <w:color w:val="000000" w:themeColor="text1"/>
        </w:rPr>
        <w:t>10.</w:t>
      </w:r>
      <w:r w:rsidR="00037B2C">
        <w:rPr>
          <w:bCs/>
          <w:color w:val="000000" w:themeColor="text1"/>
        </w:rPr>
        <w:t>3</w:t>
      </w:r>
      <w:r w:rsidRPr="00C56257">
        <w:rPr>
          <w:bCs/>
          <w:color w:val="000000" w:themeColor="text1"/>
        </w:rPr>
        <w:t>. Lista cu Siturile de Importanță Comunitară pentru habitate</w:t>
      </w:r>
      <w:r w:rsidR="00641D72" w:rsidRPr="00C56257">
        <w:rPr>
          <w:bCs/>
          <w:color w:val="000000" w:themeColor="text1"/>
        </w:rPr>
        <w:t>le</w:t>
      </w:r>
      <w:r w:rsidRPr="00C56257">
        <w:rPr>
          <w:bCs/>
          <w:color w:val="000000" w:themeColor="text1"/>
        </w:rPr>
        <w:t xml:space="preserve"> </w:t>
      </w:r>
      <w:r w:rsidR="00641D72" w:rsidRPr="00C56257">
        <w:rPr>
          <w:bCs/>
          <w:color w:val="000000" w:themeColor="text1"/>
        </w:rPr>
        <w:t>forestiere</w:t>
      </w:r>
      <w:r w:rsidRPr="00C56257">
        <w:rPr>
          <w:bCs/>
          <w:color w:val="000000" w:themeColor="text1"/>
        </w:rPr>
        <w:t xml:space="preserve"> de interes comunitar</w:t>
      </w:r>
    </w:p>
    <w:p w14:paraId="4600F764" w14:textId="77777777" w:rsidR="009972B7" w:rsidRPr="00C56257" w:rsidRDefault="009972B7" w:rsidP="009972B7">
      <w:pPr>
        <w:spacing w:after="160" w:line="259" w:lineRule="auto"/>
        <w:jc w:val="both"/>
        <w:rPr>
          <w:bCs/>
          <w:color w:val="000000" w:themeColor="text1"/>
        </w:rPr>
      </w:pPr>
      <w:r w:rsidRPr="00C56257">
        <w:rPr>
          <w:bCs/>
          <w:color w:val="000000" w:themeColor="text1"/>
        </w:rPr>
        <w:t>10.</w:t>
      </w:r>
      <w:r w:rsidR="00037B2C">
        <w:rPr>
          <w:bCs/>
          <w:color w:val="000000" w:themeColor="text1"/>
        </w:rPr>
        <w:t>4</w:t>
      </w:r>
      <w:r w:rsidRPr="00C56257">
        <w:rPr>
          <w:bCs/>
          <w:color w:val="000000" w:themeColor="text1"/>
        </w:rPr>
        <w:t xml:space="preserve">. Lista cu Presiunile și Amenințările ce acționează asupra habitatelor </w:t>
      </w:r>
      <w:r w:rsidR="00641D72" w:rsidRPr="00C56257">
        <w:rPr>
          <w:bCs/>
          <w:color w:val="000000" w:themeColor="text1"/>
        </w:rPr>
        <w:t>forestiere</w:t>
      </w:r>
      <w:r w:rsidRPr="00C56257">
        <w:rPr>
          <w:bCs/>
          <w:color w:val="000000" w:themeColor="text1"/>
        </w:rPr>
        <w:t xml:space="preserve"> de interes comunitar</w:t>
      </w:r>
    </w:p>
    <w:p w14:paraId="2E1F96A3" w14:textId="77777777" w:rsidR="009972B7" w:rsidRPr="00C56257" w:rsidRDefault="009972B7" w:rsidP="009972B7">
      <w:pPr>
        <w:spacing w:after="160" w:line="259" w:lineRule="auto"/>
        <w:jc w:val="both"/>
        <w:rPr>
          <w:bCs/>
          <w:color w:val="000000" w:themeColor="text1"/>
        </w:rPr>
      </w:pPr>
      <w:r w:rsidRPr="00C56257">
        <w:rPr>
          <w:bCs/>
          <w:color w:val="000000" w:themeColor="text1"/>
        </w:rPr>
        <w:t>10.</w:t>
      </w:r>
      <w:r w:rsidR="00037B2C">
        <w:rPr>
          <w:bCs/>
          <w:color w:val="000000" w:themeColor="text1"/>
        </w:rPr>
        <w:t>5</w:t>
      </w:r>
      <w:r w:rsidRPr="00C56257">
        <w:rPr>
          <w:bCs/>
          <w:color w:val="000000" w:themeColor="text1"/>
        </w:rPr>
        <w:t xml:space="preserve">. Lista cu Măsurile de conservare ce se pot aplica habitatelor </w:t>
      </w:r>
      <w:r w:rsidR="00641D72" w:rsidRPr="00C56257">
        <w:rPr>
          <w:bCs/>
          <w:color w:val="000000" w:themeColor="text1"/>
        </w:rPr>
        <w:t>forestiere</w:t>
      </w:r>
      <w:r w:rsidRPr="00C56257">
        <w:rPr>
          <w:bCs/>
          <w:color w:val="000000" w:themeColor="text1"/>
        </w:rPr>
        <w:t xml:space="preserve"> de interes comunitar</w:t>
      </w:r>
    </w:p>
    <w:p w14:paraId="0CE2C6DB" w14:textId="77777777" w:rsidR="00C8254F" w:rsidRPr="00C56257" w:rsidRDefault="00C8254F" w:rsidP="008E33FD">
      <w:pPr>
        <w:spacing w:after="160" w:line="259" w:lineRule="auto"/>
        <w:jc w:val="both"/>
        <w:rPr>
          <w:b/>
          <w:color w:val="000000" w:themeColor="text1"/>
        </w:rPr>
      </w:pPr>
    </w:p>
    <w:p w14:paraId="72F378A7" w14:textId="77777777" w:rsidR="0037587F" w:rsidRPr="00C56257" w:rsidRDefault="0037587F" w:rsidP="008E33FD">
      <w:pPr>
        <w:spacing w:after="160" w:line="259" w:lineRule="auto"/>
        <w:jc w:val="both"/>
        <w:rPr>
          <w:bCs/>
          <w:color w:val="000000" w:themeColor="text1"/>
        </w:rPr>
      </w:pPr>
    </w:p>
    <w:p w14:paraId="0168883F" w14:textId="77777777" w:rsidR="009A3FC3" w:rsidRDefault="009A3FC3" w:rsidP="008E33FD">
      <w:pPr>
        <w:spacing w:after="160" w:line="259" w:lineRule="auto"/>
        <w:jc w:val="both"/>
        <w:rPr>
          <w:bCs/>
          <w:color w:val="000000" w:themeColor="text1"/>
        </w:rPr>
      </w:pPr>
    </w:p>
    <w:p w14:paraId="223F89D1" w14:textId="77777777" w:rsidR="00E929F2" w:rsidRDefault="00E929F2" w:rsidP="008E33FD">
      <w:pPr>
        <w:spacing w:after="160" w:line="259" w:lineRule="auto"/>
        <w:jc w:val="both"/>
        <w:rPr>
          <w:bCs/>
          <w:color w:val="000000" w:themeColor="text1"/>
        </w:rPr>
      </w:pPr>
    </w:p>
    <w:p w14:paraId="7A96E1DA" w14:textId="77777777" w:rsidR="00E929F2" w:rsidRDefault="00E929F2" w:rsidP="008E33FD">
      <w:pPr>
        <w:spacing w:after="160" w:line="259" w:lineRule="auto"/>
        <w:jc w:val="both"/>
        <w:rPr>
          <w:bCs/>
          <w:color w:val="000000" w:themeColor="text1"/>
        </w:rPr>
      </w:pPr>
    </w:p>
    <w:p w14:paraId="0963661E" w14:textId="77777777" w:rsidR="00E929F2" w:rsidRDefault="00E929F2" w:rsidP="008E33FD">
      <w:pPr>
        <w:spacing w:after="160" w:line="259" w:lineRule="auto"/>
        <w:jc w:val="both"/>
        <w:rPr>
          <w:bCs/>
          <w:color w:val="000000" w:themeColor="text1"/>
        </w:rPr>
      </w:pPr>
    </w:p>
    <w:p w14:paraId="455136C9" w14:textId="77777777" w:rsidR="00E929F2" w:rsidRPr="00C56257" w:rsidRDefault="00E929F2" w:rsidP="008E33FD">
      <w:pPr>
        <w:spacing w:after="160" w:line="259" w:lineRule="auto"/>
        <w:jc w:val="both"/>
        <w:rPr>
          <w:bCs/>
          <w:color w:val="000000" w:themeColor="text1"/>
        </w:rPr>
      </w:pPr>
    </w:p>
    <w:p w14:paraId="57AF8519" w14:textId="77777777" w:rsidR="009A3FC3" w:rsidRPr="00C56257" w:rsidRDefault="009A3FC3" w:rsidP="008E33FD">
      <w:pPr>
        <w:spacing w:after="160" w:line="259" w:lineRule="auto"/>
        <w:jc w:val="both"/>
        <w:rPr>
          <w:bCs/>
          <w:color w:val="000000" w:themeColor="text1"/>
        </w:rPr>
      </w:pPr>
    </w:p>
    <w:p w14:paraId="0392063F" w14:textId="77777777" w:rsidR="008E33FD" w:rsidRPr="00C56257" w:rsidRDefault="008E33FD" w:rsidP="008E33FD">
      <w:pPr>
        <w:spacing w:after="160" w:line="259" w:lineRule="auto"/>
        <w:jc w:val="both"/>
        <w:rPr>
          <w:b/>
          <w:bCs/>
          <w:color w:val="000000"/>
        </w:rPr>
      </w:pPr>
    </w:p>
    <w:p w14:paraId="14066386" w14:textId="77777777" w:rsidR="008E33FD" w:rsidRPr="0008707F" w:rsidRDefault="008E33FD" w:rsidP="008E33FD">
      <w:pPr>
        <w:spacing w:after="160" w:line="259" w:lineRule="auto"/>
        <w:jc w:val="both"/>
        <w:rPr>
          <w:b/>
          <w:bCs/>
          <w:color w:val="000000"/>
        </w:rPr>
      </w:pPr>
    </w:p>
    <w:p w14:paraId="5424CDD7" w14:textId="77777777" w:rsidR="008E33FD" w:rsidRPr="0008707F" w:rsidRDefault="008E33FD" w:rsidP="008E33FD">
      <w:pPr>
        <w:pStyle w:val="Heading1"/>
        <w:spacing w:before="0"/>
        <w:jc w:val="both"/>
        <w:rPr>
          <w:rFonts w:ascii="Times New Roman" w:hAnsi="Times New Roman" w:cs="Times New Roman"/>
          <w:bCs w:val="0"/>
          <w:color w:val="365F91"/>
          <w:sz w:val="24"/>
          <w:szCs w:val="24"/>
        </w:rPr>
      </w:pPr>
      <w:proofErr w:type="spellStart"/>
      <w:r w:rsidRPr="0008707F">
        <w:rPr>
          <w:rFonts w:ascii="Times New Roman" w:hAnsi="Times New Roman" w:cs="Times New Roman"/>
          <w:bCs w:val="0"/>
          <w:color w:val="365F91"/>
          <w:sz w:val="24"/>
          <w:szCs w:val="24"/>
        </w:rPr>
        <w:t>I</w:t>
      </w:r>
      <w:r w:rsidR="0008707F" w:rsidRPr="0008707F">
        <w:rPr>
          <w:rFonts w:ascii="Times New Roman" w:hAnsi="Times New Roman" w:cs="Times New Roman"/>
          <w:bCs w:val="0"/>
          <w:color w:val="365F91"/>
          <w:sz w:val="24"/>
          <w:szCs w:val="24"/>
        </w:rPr>
        <w:t>ntroducere</w:t>
      </w:r>
      <w:proofErr w:type="spellEnd"/>
      <w:r w:rsidR="0008707F" w:rsidRPr="0008707F">
        <w:rPr>
          <w:rFonts w:ascii="Times New Roman" w:hAnsi="Times New Roman" w:cs="Times New Roman"/>
          <w:bCs w:val="0"/>
          <w:color w:val="365F91"/>
          <w:sz w:val="24"/>
          <w:szCs w:val="24"/>
        </w:rPr>
        <w:t xml:space="preserve"> </w:t>
      </w:r>
    </w:p>
    <w:p w14:paraId="22F999DB" w14:textId="77777777" w:rsidR="008E33FD" w:rsidRPr="0008707F" w:rsidRDefault="008E33FD" w:rsidP="00F100E1">
      <w:pPr>
        <w:jc w:val="both"/>
        <w:rPr>
          <w:lang w:val="en-US"/>
        </w:rPr>
      </w:pPr>
    </w:p>
    <w:p w14:paraId="5C903DD9" w14:textId="77777777" w:rsidR="008E33FD" w:rsidRDefault="008E33FD" w:rsidP="00F100E1">
      <w:pPr>
        <w:jc w:val="both"/>
      </w:pPr>
      <w:r w:rsidRPr="0008707F">
        <w:t xml:space="preserve">Prezentul Ghid este elaborat în cadrul proiectului "Completarea nivelului de cunoaștere a biodiversității prin implementarea sistemului de monitorizare a stării de conservare a speciilor și habitatelor de interes comunitar din România și raportarea în baza articolului 17 al Directivei Habitate 92/43/CEE", </w:t>
      </w:r>
      <w:r w:rsidRPr="0008707F">
        <w:rPr>
          <w:bCs/>
          <w:iCs/>
        </w:rPr>
        <w:t>co-finanțat de Uniunea Europeană (UE) din Fondul European de Dezvoltare Regională prin Programul Operaţional Infrastructură Mare (POIM): 2014-2020 (</w:t>
      </w:r>
      <w:r w:rsidRPr="0008707F">
        <w:t>Cod SMIS 2014+120009), contract de finanţare POIM nr. 238/11.03.2019</w:t>
      </w:r>
      <w:r w:rsidR="0008707F">
        <w:t>.</w:t>
      </w:r>
    </w:p>
    <w:p w14:paraId="24A19F20" w14:textId="77777777" w:rsidR="0008707F" w:rsidRPr="0008707F" w:rsidRDefault="0008707F" w:rsidP="00F100E1">
      <w:pPr>
        <w:jc w:val="both"/>
        <w:rPr>
          <w:bCs/>
        </w:rPr>
      </w:pPr>
    </w:p>
    <w:p w14:paraId="67625AAD" w14:textId="77777777" w:rsidR="00D15BAB" w:rsidRPr="0008707F" w:rsidRDefault="008E33FD" w:rsidP="00D15BAB">
      <w:pPr>
        <w:spacing w:after="160" w:line="259" w:lineRule="auto"/>
        <w:jc w:val="both"/>
        <w:rPr>
          <w:strike/>
          <w:color w:val="000000" w:themeColor="text1"/>
        </w:rPr>
      </w:pPr>
      <w:r w:rsidRPr="0008707F">
        <w:rPr>
          <w:color w:val="000000"/>
        </w:rPr>
        <w:t>Scopul prezentului Ghid este crearea unui cadru unitar de monitorizare a stării de conservare a habitatelor de interes comunitar şi implementarea acestuia la nivel naţional.</w:t>
      </w:r>
      <w:r w:rsidR="00D15BAB" w:rsidRPr="0008707F">
        <w:t xml:space="preserve"> </w:t>
      </w:r>
      <w:r w:rsidR="00D15BAB" w:rsidRPr="0008707F">
        <w:rPr>
          <w:color w:val="000000"/>
        </w:rPr>
        <w:t>Metodologiile de monitorizare pentru habitatele de interes comunitar conţin planurile de monitorizare şi metodologiile de lucru pentru fiecare habitat în parte, constituindu-se într-un îndrumar în activitatea de monitorizare a habitatelor de interes comunitar.</w:t>
      </w:r>
    </w:p>
    <w:p w14:paraId="433D86B3" w14:textId="77777777" w:rsidR="00FC026B" w:rsidRPr="00A01745" w:rsidRDefault="008E33FD" w:rsidP="00FC026B">
      <w:pPr>
        <w:jc w:val="both"/>
        <w:rPr>
          <w:color w:val="000000"/>
        </w:rPr>
      </w:pPr>
      <w:r w:rsidRPr="00F100E1">
        <w:rPr>
          <w:color w:val="000000"/>
        </w:rPr>
        <w:br w:type="page"/>
      </w:r>
    </w:p>
    <w:p w14:paraId="2A65516D" w14:textId="1ADFBAAD" w:rsidR="00FC026B" w:rsidRPr="00C56257" w:rsidRDefault="00FC026B" w:rsidP="00FC026B">
      <w:pPr>
        <w:spacing w:after="160" w:line="259" w:lineRule="auto"/>
        <w:jc w:val="both"/>
        <w:rPr>
          <w:bCs/>
          <w:color w:val="000000" w:themeColor="text1"/>
        </w:rPr>
      </w:pPr>
      <w:r w:rsidRPr="00C56257">
        <w:rPr>
          <w:b/>
          <w:bCs/>
          <w:color w:val="000000" w:themeColor="text1"/>
        </w:rPr>
        <w:lastRenderedPageBreak/>
        <w:t xml:space="preserve">1. Ghidul </w:t>
      </w:r>
      <w:r w:rsidR="003D35AA">
        <w:rPr>
          <w:b/>
          <w:bCs/>
          <w:color w:val="000000" w:themeColor="text1"/>
        </w:rPr>
        <w:t>privind</w:t>
      </w:r>
      <w:r w:rsidRPr="00C56257">
        <w:rPr>
          <w:b/>
          <w:bCs/>
          <w:color w:val="000000" w:themeColor="text1"/>
        </w:rPr>
        <w:t xml:space="preserve">  protoco</w:t>
      </w:r>
      <w:r>
        <w:rPr>
          <w:b/>
          <w:bCs/>
          <w:color w:val="000000" w:themeColor="text1"/>
        </w:rPr>
        <w:t>lul</w:t>
      </w:r>
      <w:r w:rsidRPr="00C56257">
        <w:rPr>
          <w:b/>
          <w:bCs/>
          <w:color w:val="000000" w:themeColor="text1"/>
        </w:rPr>
        <w:t xml:space="preserve"> de monitorizare și metodolo</w:t>
      </w:r>
      <w:r w:rsidRPr="0094315A">
        <w:rPr>
          <w:b/>
          <w:bCs/>
          <w:color w:val="000000" w:themeColor="text1"/>
        </w:rPr>
        <w:t>giile</w:t>
      </w:r>
      <w:r w:rsidRPr="00C56257">
        <w:rPr>
          <w:b/>
          <w:bCs/>
          <w:color w:val="000000" w:themeColor="text1"/>
        </w:rPr>
        <w:t xml:space="preserve"> unitare de monitorizare a stării de conservare a habitatelor marine și costiere</w:t>
      </w:r>
    </w:p>
    <w:p w14:paraId="0BF1989E" w14:textId="77777777" w:rsidR="00FC026B" w:rsidRPr="00232068" w:rsidRDefault="00FC026B" w:rsidP="00FC026B">
      <w:pPr>
        <w:spacing w:before="120" w:after="120" w:line="276" w:lineRule="auto"/>
        <w:jc w:val="both"/>
        <w:rPr>
          <w:b/>
          <w:bCs/>
          <w:color w:val="000000" w:themeColor="text1"/>
          <w:lang w:eastAsia="sk-SK"/>
        </w:rPr>
      </w:pPr>
      <w:r w:rsidRPr="00232068">
        <w:rPr>
          <w:b/>
          <w:bCs/>
          <w:color w:val="000000" w:themeColor="text1"/>
        </w:rPr>
        <w:t>1.1. Protocol de monitorizare a stării de conservare a habitatelor marine și costiere de interes comunitar</w:t>
      </w:r>
      <w:r w:rsidRPr="00232068" w:rsidDel="0072641A">
        <w:rPr>
          <w:b/>
          <w:bCs/>
          <w:color w:val="000000" w:themeColor="text1"/>
          <w:lang w:eastAsia="sk-SK"/>
        </w:rPr>
        <w:t xml:space="preserve"> </w:t>
      </w:r>
    </w:p>
    <w:p w14:paraId="4E78ACF4" w14:textId="77777777" w:rsidR="00FC026B" w:rsidRPr="00C56257" w:rsidRDefault="00FC026B" w:rsidP="00FC026B">
      <w:pPr>
        <w:autoSpaceDE w:val="0"/>
        <w:autoSpaceDN w:val="0"/>
        <w:adjustRightInd w:val="0"/>
        <w:ind w:firstLine="720"/>
        <w:jc w:val="both"/>
        <w:rPr>
          <w:color w:val="000000" w:themeColor="text1"/>
          <w:lang w:val="x-none"/>
        </w:rPr>
      </w:pPr>
      <w:proofErr w:type="spellStart"/>
      <w:r w:rsidRPr="00C56257">
        <w:rPr>
          <w:color w:val="000000" w:themeColor="text1"/>
          <w:lang w:val="x-none"/>
        </w:rPr>
        <w:t>Ținând</w:t>
      </w:r>
      <w:proofErr w:type="spellEnd"/>
      <w:r w:rsidRPr="00C56257">
        <w:rPr>
          <w:color w:val="000000" w:themeColor="text1"/>
          <w:lang w:val="x-none"/>
        </w:rPr>
        <w:t xml:space="preserve"> </w:t>
      </w:r>
      <w:proofErr w:type="spellStart"/>
      <w:r w:rsidRPr="00C56257">
        <w:rPr>
          <w:color w:val="000000" w:themeColor="text1"/>
          <w:lang w:val="x-none"/>
        </w:rPr>
        <w:t>cont</w:t>
      </w:r>
      <w:proofErr w:type="spellEnd"/>
      <w:r w:rsidRPr="00C56257">
        <w:rPr>
          <w:color w:val="000000" w:themeColor="text1"/>
          <w:lang w:val="x-none"/>
        </w:rPr>
        <w:t xml:space="preserve"> de </w:t>
      </w:r>
      <w:proofErr w:type="spellStart"/>
      <w:r w:rsidRPr="00C56257">
        <w:rPr>
          <w:color w:val="000000" w:themeColor="text1"/>
          <w:lang w:val="x-none"/>
        </w:rPr>
        <w:t>particularităţile</w:t>
      </w:r>
      <w:proofErr w:type="spellEnd"/>
      <w:r w:rsidRPr="00C56257">
        <w:rPr>
          <w:color w:val="000000" w:themeColor="text1"/>
          <w:lang w:val="x-none"/>
        </w:rPr>
        <w:t xml:space="preserve"> </w:t>
      </w:r>
      <w:proofErr w:type="spellStart"/>
      <w:r w:rsidRPr="00C56257">
        <w:rPr>
          <w:color w:val="000000" w:themeColor="text1"/>
          <w:lang w:val="x-none"/>
        </w:rPr>
        <w:t>zonei</w:t>
      </w:r>
      <w:proofErr w:type="spellEnd"/>
      <w:r w:rsidRPr="00C56257">
        <w:rPr>
          <w:color w:val="000000" w:themeColor="text1"/>
          <w:lang w:val="x-none"/>
        </w:rPr>
        <w:t xml:space="preserve"> marine </w:t>
      </w:r>
      <w:proofErr w:type="spellStart"/>
      <w:r w:rsidRPr="00C56257">
        <w:rPr>
          <w:color w:val="000000" w:themeColor="text1"/>
          <w:lang w:val="x-none"/>
        </w:rPr>
        <w:t>româneşti</w:t>
      </w:r>
      <w:proofErr w:type="spellEnd"/>
      <w:r w:rsidRPr="00C56257">
        <w:rPr>
          <w:color w:val="000000" w:themeColor="text1"/>
          <w:lang w:val="x-none"/>
        </w:rPr>
        <w:t xml:space="preserve">, de </w:t>
      </w:r>
      <w:proofErr w:type="spellStart"/>
      <w:r w:rsidRPr="00C56257">
        <w:rPr>
          <w:color w:val="000000" w:themeColor="text1"/>
          <w:lang w:val="x-none"/>
        </w:rPr>
        <w:t>prezenţa</w:t>
      </w:r>
      <w:proofErr w:type="spellEnd"/>
      <w:r w:rsidRPr="00C56257">
        <w:rPr>
          <w:color w:val="000000" w:themeColor="text1"/>
          <w:lang w:val="x-none"/>
        </w:rPr>
        <w:t xml:space="preserve"> </w:t>
      </w:r>
      <w:proofErr w:type="spellStart"/>
      <w:r w:rsidRPr="00C56257">
        <w:rPr>
          <w:color w:val="000000" w:themeColor="text1"/>
          <w:lang w:val="x-none"/>
        </w:rPr>
        <w:t>speciilor</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habitatelor</w:t>
      </w:r>
      <w:proofErr w:type="spellEnd"/>
      <w:r w:rsidRPr="00C56257">
        <w:rPr>
          <w:color w:val="000000" w:themeColor="text1"/>
          <w:lang w:val="x-none"/>
        </w:rPr>
        <w:t xml:space="preserve"> marine de </w:t>
      </w:r>
      <w:proofErr w:type="spellStart"/>
      <w:r w:rsidRPr="00C56257">
        <w:rPr>
          <w:color w:val="000000" w:themeColor="text1"/>
          <w:lang w:val="x-none"/>
        </w:rPr>
        <w:t>interes</w:t>
      </w:r>
      <w:proofErr w:type="spellEnd"/>
      <w:r w:rsidRPr="00C56257">
        <w:rPr>
          <w:color w:val="000000" w:themeColor="text1"/>
          <w:lang w:val="x-none"/>
        </w:rPr>
        <w:t xml:space="preserve"> </w:t>
      </w:r>
      <w:proofErr w:type="spellStart"/>
      <w:r w:rsidRPr="00C56257">
        <w:rPr>
          <w:color w:val="000000" w:themeColor="text1"/>
          <w:lang w:val="x-none"/>
        </w:rPr>
        <w:t>comunitar</w:t>
      </w:r>
      <w:proofErr w:type="spellEnd"/>
      <w:r w:rsidRPr="00C56257">
        <w:rPr>
          <w:color w:val="000000" w:themeColor="text1"/>
          <w:lang w:val="x-none"/>
        </w:rPr>
        <w:t xml:space="preserve">, </w:t>
      </w:r>
      <w:proofErr w:type="spellStart"/>
      <w:r w:rsidRPr="00C56257">
        <w:rPr>
          <w:color w:val="000000" w:themeColor="text1"/>
          <w:lang w:val="x-none"/>
        </w:rPr>
        <w:t>monitorizarea</w:t>
      </w:r>
      <w:proofErr w:type="spellEnd"/>
      <w:r w:rsidRPr="00C56257">
        <w:rPr>
          <w:color w:val="000000" w:themeColor="text1"/>
          <w:lang w:val="x-none"/>
        </w:rPr>
        <w:t xml:space="preserve"> </w:t>
      </w:r>
      <w:r w:rsidRPr="00C56257">
        <w:rPr>
          <w:color w:val="000000" w:themeColor="text1"/>
        </w:rPr>
        <w:t>se</w:t>
      </w:r>
      <w:r w:rsidRPr="00C56257">
        <w:rPr>
          <w:color w:val="000000" w:themeColor="text1"/>
          <w:lang w:val="x-none"/>
        </w:rPr>
        <w:t xml:space="preserve"> </w:t>
      </w:r>
      <w:proofErr w:type="spellStart"/>
      <w:r w:rsidRPr="00C56257">
        <w:rPr>
          <w:color w:val="000000" w:themeColor="text1"/>
          <w:lang w:val="x-none"/>
        </w:rPr>
        <w:t>efectu</w:t>
      </w:r>
      <w:r w:rsidRPr="00C56257">
        <w:rPr>
          <w:color w:val="000000" w:themeColor="text1"/>
        </w:rPr>
        <w:t>ează</w:t>
      </w:r>
      <w:proofErr w:type="spellEnd"/>
      <w:r w:rsidRPr="00C56257">
        <w:rPr>
          <w:color w:val="000000" w:themeColor="text1"/>
          <w:lang w:val="x-none"/>
        </w:rPr>
        <w:t xml:space="preserve"> </w:t>
      </w:r>
      <w:proofErr w:type="spellStart"/>
      <w:r w:rsidRPr="00C56257">
        <w:rPr>
          <w:color w:val="000000" w:themeColor="text1"/>
          <w:lang w:val="x-none"/>
        </w:rPr>
        <w:t>folosind</w:t>
      </w:r>
      <w:proofErr w:type="spellEnd"/>
      <w:r w:rsidRPr="00C56257">
        <w:rPr>
          <w:color w:val="000000" w:themeColor="text1"/>
          <w:lang w:val="x-none"/>
        </w:rPr>
        <w:t xml:space="preserve"> </w:t>
      </w:r>
      <w:proofErr w:type="spellStart"/>
      <w:r w:rsidRPr="00C56257">
        <w:rPr>
          <w:color w:val="000000" w:themeColor="text1"/>
          <w:lang w:val="x-none"/>
        </w:rPr>
        <w:t>metodologii</w:t>
      </w:r>
      <w:proofErr w:type="spellEnd"/>
      <w:r w:rsidRPr="00C56257">
        <w:rPr>
          <w:color w:val="000000" w:themeColor="text1"/>
          <w:lang w:val="x-none"/>
        </w:rPr>
        <w:t xml:space="preserve"> </w:t>
      </w:r>
      <w:proofErr w:type="spellStart"/>
      <w:r w:rsidRPr="00C56257">
        <w:rPr>
          <w:color w:val="000000" w:themeColor="text1"/>
          <w:lang w:val="x-none"/>
        </w:rPr>
        <w:t>specifice</w:t>
      </w:r>
      <w:proofErr w:type="spellEnd"/>
      <w:r w:rsidRPr="00C56257">
        <w:rPr>
          <w:color w:val="000000" w:themeColor="text1"/>
          <w:lang w:val="x-none"/>
        </w:rPr>
        <w:t xml:space="preserve"> </w:t>
      </w:r>
      <w:proofErr w:type="spellStart"/>
      <w:r w:rsidRPr="00C56257">
        <w:rPr>
          <w:color w:val="000000" w:themeColor="text1"/>
          <w:lang w:val="x-none"/>
        </w:rPr>
        <w:t>până</w:t>
      </w:r>
      <w:proofErr w:type="spellEnd"/>
      <w:r w:rsidRPr="00C56257">
        <w:rPr>
          <w:color w:val="000000" w:themeColor="text1"/>
          <w:lang w:val="x-none"/>
        </w:rPr>
        <w:t xml:space="preserve"> la </w:t>
      </w:r>
      <w:proofErr w:type="spellStart"/>
      <w:r w:rsidRPr="00C56257">
        <w:rPr>
          <w:color w:val="000000" w:themeColor="text1"/>
          <w:lang w:val="x-none"/>
        </w:rPr>
        <w:t>izobata</w:t>
      </w:r>
      <w:proofErr w:type="spellEnd"/>
      <w:r w:rsidRPr="00C56257">
        <w:rPr>
          <w:color w:val="000000" w:themeColor="text1"/>
          <w:lang w:val="x-none"/>
        </w:rPr>
        <w:t xml:space="preserve"> de 150 m (</w:t>
      </w:r>
      <w:proofErr w:type="spellStart"/>
      <w:r w:rsidRPr="00C56257">
        <w:rPr>
          <w:color w:val="000000" w:themeColor="text1"/>
          <w:lang w:val="x-none"/>
        </w:rPr>
        <w:t>adică</w:t>
      </w:r>
      <w:proofErr w:type="spellEnd"/>
      <w:r w:rsidRPr="00C56257">
        <w:rPr>
          <w:color w:val="000000" w:themeColor="text1"/>
          <w:lang w:val="x-none"/>
        </w:rPr>
        <w:t xml:space="preserve"> </w:t>
      </w:r>
      <w:proofErr w:type="spellStart"/>
      <w:r w:rsidRPr="00C56257">
        <w:rPr>
          <w:color w:val="000000" w:themeColor="text1"/>
          <w:lang w:val="x-none"/>
        </w:rPr>
        <w:t>până</w:t>
      </w:r>
      <w:proofErr w:type="spellEnd"/>
      <w:r w:rsidRPr="00C56257">
        <w:rPr>
          <w:color w:val="000000" w:themeColor="text1"/>
          <w:lang w:val="x-none"/>
        </w:rPr>
        <w:t xml:space="preserve"> </w:t>
      </w:r>
      <w:proofErr w:type="spellStart"/>
      <w:r w:rsidRPr="00C56257">
        <w:rPr>
          <w:color w:val="000000" w:themeColor="text1"/>
          <w:lang w:val="x-none"/>
        </w:rPr>
        <w:t>acolo</w:t>
      </w:r>
      <w:proofErr w:type="spellEnd"/>
      <w:r w:rsidRPr="00C56257">
        <w:rPr>
          <w:color w:val="000000" w:themeColor="text1"/>
          <w:lang w:val="x-none"/>
        </w:rPr>
        <w:t xml:space="preserve"> </w:t>
      </w:r>
      <w:proofErr w:type="spellStart"/>
      <w:r w:rsidRPr="00C56257">
        <w:rPr>
          <w:color w:val="000000" w:themeColor="text1"/>
          <w:lang w:val="x-none"/>
        </w:rPr>
        <w:t>unde</w:t>
      </w:r>
      <w:proofErr w:type="spellEnd"/>
      <w:r w:rsidRPr="00C56257">
        <w:rPr>
          <w:color w:val="000000" w:themeColor="text1"/>
          <w:lang w:val="x-none"/>
        </w:rPr>
        <w:t xml:space="preserve"> </w:t>
      </w:r>
      <w:proofErr w:type="spellStart"/>
      <w:r w:rsidRPr="00C56257">
        <w:rPr>
          <w:color w:val="000000" w:themeColor="text1"/>
          <w:lang w:val="x-none"/>
        </w:rPr>
        <w:t>este</w:t>
      </w:r>
      <w:proofErr w:type="spellEnd"/>
      <w:r w:rsidRPr="00C56257">
        <w:rPr>
          <w:color w:val="000000" w:themeColor="text1"/>
          <w:lang w:val="x-none"/>
        </w:rPr>
        <w:t xml:space="preserve"> </w:t>
      </w:r>
      <w:proofErr w:type="spellStart"/>
      <w:r w:rsidRPr="00C56257">
        <w:rPr>
          <w:color w:val="000000" w:themeColor="text1"/>
          <w:lang w:val="x-none"/>
        </w:rPr>
        <w:t>considerată</w:t>
      </w:r>
      <w:proofErr w:type="spellEnd"/>
      <w:r w:rsidRPr="00C56257">
        <w:rPr>
          <w:color w:val="000000" w:themeColor="text1"/>
          <w:lang w:val="x-none"/>
        </w:rPr>
        <w:t xml:space="preserve"> </w:t>
      </w:r>
      <w:proofErr w:type="spellStart"/>
      <w:r w:rsidRPr="00C56257">
        <w:rPr>
          <w:color w:val="000000" w:themeColor="text1"/>
          <w:lang w:val="x-none"/>
        </w:rPr>
        <w:t>zonă</w:t>
      </w:r>
      <w:proofErr w:type="spellEnd"/>
      <w:r w:rsidRPr="00C56257">
        <w:rPr>
          <w:color w:val="000000" w:themeColor="text1"/>
          <w:lang w:val="x-none"/>
        </w:rPr>
        <w:t xml:space="preserve"> de </w:t>
      </w:r>
      <w:proofErr w:type="spellStart"/>
      <w:r w:rsidRPr="00C56257">
        <w:rPr>
          <w:color w:val="000000" w:themeColor="text1"/>
          <w:lang w:val="x-none"/>
        </w:rPr>
        <w:t>interes</w:t>
      </w:r>
      <w:proofErr w:type="spellEnd"/>
      <w:r w:rsidRPr="00C56257">
        <w:rPr>
          <w:color w:val="000000" w:themeColor="text1"/>
          <w:lang w:val="x-none"/>
        </w:rPr>
        <w:t xml:space="preserve"> </w:t>
      </w:r>
      <w:proofErr w:type="spellStart"/>
      <w:r w:rsidRPr="00C56257">
        <w:rPr>
          <w:color w:val="000000" w:themeColor="text1"/>
          <w:lang w:val="x-none"/>
        </w:rPr>
        <w:t>pentru</w:t>
      </w:r>
      <w:proofErr w:type="spellEnd"/>
      <w:r w:rsidRPr="00C56257">
        <w:rPr>
          <w:color w:val="000000" w:themeColor="text1"/>
          <w:lang w:val="x-none"/>
        </w:rPr>
        <w:t xml:space="preserve"> </w:t>
      </w:r>
      <w:proofErr w:type="spellStart"/>
      <w:r w:rsidRPr="00C56257">
        <w:rPr>
          <w:color w:val="000000" w:themeColor="text1"/>
          <w:lang w:val="x-none"/>
        </w:rPr>
        <w:t>speciile</w:t>
      </w:r>
      <w:proofErr w:type="spellEnd"/>
      <w:r w:rsidRPr="00C56257">
        <w:rPr>
          <w:color w:val="000000" w:themeColor="text1"/>
          <w:lang w:val="x-none"/>
        </w:rPr>
        <w:t xml:space="preserve"> </w:t>
      </w:r>
      <w:proofErr w:type="spellStart"/>
      <w:r w:rsidRPr="00C56257">
        <w:rPr>
          <w:color w:val="000000" w:themeColor="text1"/>
          <w:lang w:val="x-none"/>
        </w:rPr>
        <w:t>și</w:t>
      </w:r>
      <w:proofErr w:type="spellEnd"/>
      <w:r w:rsidRPr="00C56257">
        <w:rPr>
          <w:color w:val="000000" w:themeColor="text1"/>
          <w:lang w:val="x-none"/>
        </w:rPr>
        <w:t xml:space="preserve"> </w:t>
      </w:r>
      <w:proofErr w:type="spellStart"/>
      <w:r w:rsidRPr="00C56257">
        <w:rPr>
          <w:color w:val="000000" w:themeColor="text1"/>
          <w:lang w:val="x-none"/>
        </w:rPr>
        <w:t>habitatele</w:t>
      </w:r>
      <w:proofErr w:type="spellEnd"/>
      <w:r w:rsidRPr="00C56257">
        <w:rPr>
          <w:color w:val="000000" w:themeColor="text1"/>
          <w:lang w:val="x-none"/>
        </w:rPr>
        <w:t xml:space="preserve"> </w:t>
      </w:r>
      <w:proofErr w:type="spellStart"/>
      <w:r w:rsidRPr="00C56257">
        <w:rPr>
          <w:color w:val="000000" w:themeColor="text1"/>
          <w:lang w:val="x-none"/>
        </w:rPr>
        <w:t>cuprinse</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Directiva</w:t>
      </w:r>
      <w:proofErr w:type="spellEnd"/>
      <w:r w:rsidRPr="00C56257">
        <w:rPr>
          <w:color w:val="000000" w:themeColor="text1"/>
          <w:lang w:val="x-none"/>
        </w:rPr>
        <w:t xml:space="preserve"> </w:t>
      </w:r>
      <w:proofErr w:type="spellStart"/>
      <w:r w:rsidRPr="00C56257">
        <w:rPr>
          <w:color w:val="000000" w:themeColor="text1"/>
          <w:lang w:val="x-none"/>
        </w:rPr>
        <w:t>Habitate</w:t>
      </w:r>
      <w:proofErr w:type="spellEnd"/>
      <w:r w:rsidRPr="00C56257">
        <w:rPr>
          <w:color w:val="000000" w:themeColor="text1"/>
          <w:lang w:val="x-none"/>
        </w:rPr>
        <w:t xml:space="preserve">, </w:t>
      </w:r>
      <w:proofErr w:type="spellStart"/>
      <w:r w:rsidRPr="00C56257">
        <w:rPr>
          <w:color w:val="000000" w:themeColor="text1"/>
          <w:lang w:val="x-none"/>
        </w:rPr>
        <w:t>incluzând</w:t>
      </w:r>
      <w:proofErr w:type="spellEnd"/>
      <w:r w:rsidRPr="00C56257">
        <w:rPr>
          <w:color w:val="000000" w:themeColor="text1"/>
          <w:lang w:val="x-none"/>
        </w:rPr>
        <w:t xml:space="preserve"> </w:t>
      </w:r>
      <w:proofErr w:type="spellStart"/>
      <w:r w:rsidRPr="00C56257">
        <w:rPr>
          <w:color w:val="000000" w:themeColor="text1"/>
          <w:lang w:val="x-none"/>
        </w:rPr>
        <w:t>Canionul</w:t>
      </w:r>
      <w:proofErr w:type="spellEnd"/>
      <w:r w:rsidRPr="00C56257">
        <w:rPr>
          <w:color w:val="000000" w:themeColor="text1"/>
          <w:lang w:val="x-none"/>
        </w:rPr>
        <w:t xml:space="preserve"> </w:t>
      </w:r>
      <w:proofErr w:type="spellStart"/>
      <w:r w:rsidRPr="00C56257">
        <w:rPr>
          <w:color w:val="000000" w:themeColor="text1"/>
          <w:lang w:val="x-none"/>
        </w:rPr>
        <w:t>Viteaz</w:t>
      </w:r>
      <w:proofErr w:type="spellEnd"/>
      <w:r w:rsidRPr="00C56257">
        <w:rPr>
          <w:color w:val="000000" w:themeColor="text1"/>
          <w:lang w:val="x-none"/>
        </w:rPr>
        <w:t xml:space="preserve">) (Fig. </w:t>
      </w:r>
      <w:r w:rsidRPr="00C56257">
        <w:rPr>
          <w:color w:val="000000" w:themeColor="text1"/>
        </w:rPr>
        <w:t>1.</w:t>
      </w:r>
      <w:r w:rsidRPr="00C56257">
        <w:rPr>
          <w:color w:val="000000" w:themeColor="text1"/>
          <w:lang w:val="x-none"/>
        </w:rPr>
        <w:t xml:space="preserve">1), pe </w:t>
      </w:r>
      <w:proofErr w:type="spellStart"/>
      <w:r w:rsidRPr="00C56257">
        <w:rPr>
          <w:color w:val="000000" w:themeColor="text1"/>
          <w:lang w:val="x-none"/>
        </w:rPr>
        <w:t>sectoare</w:t>
      </w:r>
      <w:proofErr w:type="spellEnd"/>
      <w:r w:rsidRPr="00C56257">
        <w:rPr>
          <w:color w:val="000000" w:themeColor="text1"/>
          <w:lang w:val="x-none"/>
        </w:rPr>
        <w:t xml:space="preserve"> </w:t>
      </w:r>
      <w:proofErr w:type="spellStart"/>
      <w:r w:rsidRPr="00C56257">
        <w:rPr>
          <w:color w:val="000000" w:themeColor="text1"/>
          <w:lang w:val="x-none"/>
        </w:rPr>
        <w:t>distincte</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fu</w:t>
      </w:r>
      <w:r w:rsidRPr="00C56257">
        <w:rPr>
          <w:color w:val="000000" w:themeColor="text1"/>
        </w:rPr>
        <w:t>n</w:t>
      </w:r>
      <w:proofErr w:type="spellStart"/>
      <w:r w:rsidRPr="00C56257">
        <w:rPr>
          <w:color w:val="000000" w:themeColor="text1"/>
          <w:lang w:val="x-none"/>
        </w:rPr>
        <w:t>ctie</w:t>
      </w:r>
      <w:proofErr w:type="spellEnd"/>
      <w:r w:rsidRPr="00C56257">
        <w:rPr>
          <w:color w:val="000000" w:themeColor="text1"/>
          <w:lang w:val="x-none"/>
        </w:rPr>
        <w:t xml:space="preserve"> de </w:t>
      </w:r>
      <w:proofErr w:type="spellStart"/>
      <w:r w:rsidRPr="00C56257">
        <w:rPr>
          <w:color w:val="000000" w:themeColor="text1"/>
          <w:lang w:val="x-none"/>
        </w:rPr>
        <w:t>distribuţia</w:t>
      </w:r>
      <w:proofErr w:type="spellEnd"/>
      <w:r w:rsidRPr="00C56257">
        <w:rPr>
          <w:color w:val="000000" w:themeColor="text1"/>
          <w:lang w:val="x-none"/>
        </w:rPr>
        <w:t xml:space="preserve"> </w:t>
      </w:r>
      <w:proofErr w:type="spellStart"/>
      <w:r w:rsidRPr="00C56257">
        <w:rPr>
          <w:color w:val="000000" w:themeColor="text1"/>
          <w:lang w:val="x-none"/>
        </w:rPr>
        <w:t>spaţială</w:t>
      </w:r>
      <w:proofErr w:type="spellEnd"/>
      <w:r w:rsidRPr="00C56257">
        <w:rPr>
          <w:color w:val="000000" w:themeColor="text1"/>
          <w:lang w:val="x-none"/>
        </w:rPr>
        <w:t xml:space="preserve"> a habita</w:t>
      </w:r>
      <w:r w:rsidRPr="00C56257">
        <w:rPr>
          <w:color w:val="000000" w:themeColor="text1"/>
        </w:rPr>
        <w:t>t</w:t>
      </w:r>
      <w:proofErr w:type="spellStart"/>
      <w:r w:rsidRPr="00C56257">
        <w:rPr>
          <w:color w:val="000000" w:themeColor="text1"/>
          <w:lang w:val="x-none"/>
        </w:rPr>
        <w:t>elor</w:t>
      </w:r>
      <w:proofErr w:type="spellEnd"/>
      <w:r w:rsidRPr="00C56257">
        <w:rPr>
          <w:color w:val="000000" w:themeColor="text1"/>
          <w:lang w:val="x-none"/>
        </w:rPr>
        <w:t xml:space="preserve">, </w:t>
      </w:r>
      <w:proofErr w:type="spellStart"/>
      <w:r w:rsidRPr="00C56257">
        <w:rPr>
          <w:color w:val="000000" w:themeColor="text1"/>
          <w:lang w:val="x-none"/>
        </w:rPr>
        <w:t>respectând</w:t>
      </w:r>
      <w:proofErr w:type="spellEnd"/>
      <w:r w:rsidRPr="00C56257">
        <w:rPr>
          <w:color w:val="000000" w:themeColor="text1"/>
          <w:lang w:val="x-none"/>
        </w:rPr>
        <w:t xml:space="preserve"> </w:t>
      </w:r>
      <w:proofErr w:type="spellStart"/>
      <w:r w:rsidRPr="00C56257">
        <w:rPr>
          <w:color w:val="000000" w:themeColor="text1"/>
          <w:lang w:val="x-none"/>
        </w:rPr>
        <w:t>distribuția</w:t>
      </w:r>
      <w:proofErr w:type="spellEnd"/>
      <w:r w:rsidRPr="00C56257">
        <w:rPr>
          <w:color w:val="000000" w:themeColor="text1"/>
          <w:lang w:val="x-none"/>
        </w:rPr>
        <w:t xml:space="preserve"> </w:t>
      </w:r>
      <w:proofErr w:type="spellStart"/>
      <w:r w:rsidRPr="00C56257">
        <w:rPr>
          <w:color w:val="000000" w:themeColor="text1"/>
          <w:lang w:val="x-none"/>
        </w:rPr>
        <w:t>siturilor</w:t>
      </w:r>
      <w:proofErr w:type="spellEnd"/>
      <w:r w:rsidRPr="00C56257">
        <w:rPr>
          <w:color w:val="000000" w:themeColor="text1"/>
          <w:lang w:val="x-none"/>
        </w:rPr>
        <w:t xml:space="preserve"> Natura 2000, </w:t>
      </w:r>
      <w:proofErr w:type="spellStart"/>
      <w:r w:rsidRPr="00C56257">
        <w:rPr>
          <w:color w:val="000000" w:themeColor="text1"/>
          <w:lang w:val="x-none"/>
        </w:rPr>
        <w:t>condiţiile</w:t>
      </w:r>
      <w:proofErr w:type="spellEnd"/>
      <w:r w:rsidRPr="00C56257">
        <w:rPr>
          <w:color w:val="000000" w:themeColor="text1"/>
          <w:lang w:val="x-none"/>
        </w:rPr>
        <w:t xml:space="preserve"> </w:t>
      </w:r>
      <w:proofErr w:type="spellStart"/>
      <w:r w:rsidRPr="00C56257">
        <w:rPr>
          <w:color w:val="000000" w:themeColor="text1"/>
          <w:lang w:val="x-none"/>
        </w:rPr>
        <w:t>morfologice</w:t>
      </w:r>
      <w:proofErr w:type="spellEnd"/>
      <w:r w:rsidRPr="00C56257">
        <w:rPr>
          <w:color w:val="000000" w:themeColor="text1"/>
          <w:lang w:val="x-none"/>
        </w:rPr>
        <w:t xml:space="preserve"> ale </w:t>
      </w:r>
      <w:proofErr w:type="spellStart"/>
      <w:r w:rsidRPr="00C56257">
        <w:rPr>
          <w:color w:val="000000" w:themeColor="text1"/>
          <w:lang w:val="x-none"/>
        </w:rPr>
        <w:t>substratului</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r w:rsidRPr="00C56257">
        <w:rPr>
          <w:color w:val="000000" w:themeColor="text1"/>
        </w:rPr>
        <w:t xml:space="preserve">zonei de </w:t>
      </w:r>
      <w:proofErr w:type="spellStart"/>
      <w:r w:rsidRPr="00C56257">
        <w:rPr>
          <w:color w:val="000000" w:themeColor="text1"/>
          <w:lang w:val="x-none"/>
        </w:rPr>
        <w:t>coa</w:t>
      </w:r>
      <w:r w:rsidRPr="00C56257">
        <w:rPr>
          <w:color w:val="000000" w:themeColor="text1"/>
        </w:rPr>
        <w:t>stă</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caracteristicile</w:t>
      </w:r>
      <w:proofErr w:type="spellEnd"/>
      <w:r w:rsidRPr="00C56257">
        <w:rPr>
          <w:color w:val="000000" w:themeColor="text1"/>
          <w:lang w:val="x-none"/>
        </w:rPr>
        <w:t xml:space="preserve"> </w:t>
      </w:r>
      <w:proofErr w:type="spellStart"/>
      <w:r w:rsidRPr="00C56257">
        <w:rPr>
          <w:color w:val="000000" w:themeColor="text1"/>
          <w:lang w:val="x-none"/>
        </w:rPr>
        <w:t>oce</w:t>
      </w:r>
      <w:r w:rsidRPr="00C56257">
        <w:rPr>
          <w:color w:val="000000" w:themeColor="text1"/>
        </w:rPr>
        <w:t>a</w:t>
      </w:r>
      <w:r w:rsidRPr="00C56257">
        <w:rPr>
          <w:color w:val="000000" w:themeColor="text1"/>
          <w:lang w:val="x-none"/>
        </w:rPr>
        <w:t>nografice</w:t>
      </w:r>
      <w:proofErr w:type="spellEnd"/>
      <w:r w:rsidRPr="00C56257">
        <w:rPr>
          <w:color w:val="000000" w:themeColor="text1"/>
          <w:lang w:val="x-none"/>
        </w:rPr>
        <w:t xml:space="preserve"> (</w:t>
      </w:r>
      <w:proofErr w:type="spellStart"/>
      <w:r w:rsidRPr="00C56257">
        <w:rPr>
          <w:color w:val="000000" w:themeColor="text1"/>
          <w:lang w:val="x-none"/>
        </w:rPr>
        <w:t>fizice</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chimice</w:t>
      </w:r>
      <w:proofErr w:type="spellEnd"/>
      <w:r w:rsidRPr="00C56257">
        <w:rPr>
          <w:color w:val="000000" w:themeColor="text1"/>
          <w:lang w:val="x-none"/>
        </w:rPr>
        <w:t xml:space="preserve">) ale </w:t>
      </w:r>
      <w:proofErr w:type="spellStart"/>
      <w:r w:rsidRPr="00C56257">
        <w:rPr>
          <w:color w:val="000000" w:themeColor="text1"/>
          <w:lang w:val="x-none"/>
        </w:rPr>
        <w:t>sectorului</w:t>
      </w:r>
      <w:proofErr w:type="spellEnd"/>
      <w:r w:rsidRPr="00C56257">
        <w:rPr>
          <w:color w:val="000000" w:themeColor="text1"/>
          <w:lang w:val="x-none"/>
        </w:rPr>
        <w:t xml:space="preserve"> </w:t>
      </w:r>
      <w:proofErr w:type="spellStart"/>
      <w:r w:rsidRPr="00C56257">
        <w:rPr>
          <w:color w:val="000000" w:themeColor="text1"/>
          <w:lang w:val="x-none"/>
        </w:rPr>
        <w:t>marin</w:t>
      </w:r>
      <w:proofErr w:type="spellEnd"/>
      <w:r w:rsidRPr="00C56257">
        <w:rPr>
          <w:color w:val="000000" w:themeColor="text1"/>
          <w:lang w:val="x-none"/>
        </w:rPr>
        <w:t xml:space="preserve"> </w:t>
      </w:r>
      <w:proofErr w:type="spellStart"/>
      <w:r w:rsidRPr="00C56257">
        <w:rPr>
          <w:color w:val="000000" w:themeColor="text1"/>
          <w:lang w:val="x-none"/>
        </w:rPr>
        <w:t>românesc</w:t>
      </w:r>
      <w:proofErr w:type="spellEnd"/>
      <w:r w:rsidRPr="00C56257">
        <w:rPr>
          <w:color w:val="000000" w:themeColor="text1"/>
          <w:lang w:val="x-none"/>
        </w:rPr>
        <w:t>.</w:t>
      </w:r>
    </w:p>
    <w:p w14:paraId="068FF864" w14:textId="77777777" w:rsidR="00FC026B" w:rsidRPr="00C56257" w:rsidRDefault="00FC026B" w:rsidP="00FC026B">
      <w:pPr>
        <w:autoSpaceDE w:val="0"/>
        <w:autoSpaceDN w:val="0"/>
        <w:adjustRightInd w:val="0"/>
        <w:ind w:firstLine="720"/>
        <w:jc w:val="both"/>
        <w:rPr>
          <w:color w:val="000000" w:themeColor="text1"/>
        </w:rPr>
      </w:pPr>
      <w:r w:rsidRPr="00C56257">
        <w:rPr>
          <w:color w:val="000000" w:themeColor="text1"/>
        </w:rPr>
        <w:t>Zona marină românească se suprapune ecoregiunii Marea Neagr</w:t>
      </w:r>
      <w:r>
        <w:rPr>
          <w:color w:val="000000" w:themeColor="text1"/>
        </w:rPr>
        <w:t>ă</w:t>
      </w:r>
      <w:r w:rsidRPr="00C56257">
        <w:rPr>
          <w:color w:val="000000" w:themeColor="text1"/>
        </w:rPr>
        <w:t xml:space="preserve"> cuprinz</w:t>
      </w:r>
      <w:r>
        <w:rPr>
          <w:color w:val="000000" w:themeColor="text1"/>
        </w:rPr>
        <w:t>â</w:t>
      </w:r>
      <w:r w:rsidRPr="00C56257">
        <w:rPr>
          <w:color w:val="000000" w:themeColor="text1"/>
        </w:rPr>
        <w:t xml:space="preserve">nd regiunile biogeografice: pontică (BLS) </w:t>
      </w:r>
      <w:r>
        <w:rPr>
          <w:color w:val="000000" w:themeColor="text1"/>
        </w:rPr>
        <w:t>ș</w:t>
      </w:r>
      <w:r w:rsidRPr="00C56257">
        <w:rPr>
          <w:color w:val="000000" w:themeColor="text1"/>
        </w:rPr>
        <w:t xml:space="preserve">i zona marină (MBLS). </w:t>
      </w:r>
    </w:p>
    <w:p w14:paraId="5C38CF72" w14:textId="77777777" w:rsidR="00FC026B" w:rsidRPr="00C56257" w:rsidRDefault="00FC026B" w:rsidP="00FC026B">
      <w:pPr>
        <w:jc w:val="both"/>
        <w:rPr>
          <w:strike/>
          <w:color w:val="000000" w:themeColor="text1"/>
        </w:rPr>
      </w:pPr>
      <w:r w:rsidRPr="00C56257">
        <w:rPr>
          <w:strike/>
          <w:noProof/>
          <w:color w:val="000000" w:themeColor="text1"/>
          <w:lang w:val="en-US"/>
        </w:rPr>
        <w:drawing>
          <wp:inline distT="0" distB="0" distL="0" distR="0" wp14:anchorId="3C9C95BA" wp14:editId="5E28CF65">
            <wp:extent cx="5991225" cy="4615536"/>
            <wp:effectExtent l="0" t="0" r="0" b="0"/>
            <wp:docPr id="311" name="Picture 311" descr="Rezervatii ma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zervatii marin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96116" cy="4619304"/>
                    </a:xfrm>
                    <a:prstGeom prst="rect">
                      <a:avLst/>
                    </a:prstGeom>
                    <a:noFill/>
                    <a:ln>
                      <a:noFill/>
                    </a:ln>
                  </pic:spPr>
                </pic:pic>
              </a:graphicData>
            </a:graphic>
          </wp:inline>
        </w:drawing>
      </w:r>
    </w:p>
    <w:p w14:paraId="0A7B2E52" w14:textId="77777777" w:rsidR="00FC026B" w:rsidRPr="00C56257" w:rsidRDefault="00FC026B" w:rsidP="00FC026B">
      <w:pPr>
        <w:jc w:val="both"/>
        <w:rPr>
          <w:strike/>
          <w:color w:val="000000" w:themeColor="text1"/>
        </w:rPr>
      </w:pPr>
    </w:p>
    <w:p w14:paraId="32ACB477" w14:textId="77777777" w:rsidR="00FC026B" w:rsidRPr="00C56257" w:rsidRDefault="00FC026B" w:rsidP="00FC026B">
      <w:pPr>
        <w:pBdr>
          <w:top w:val="single" w:sz="4" w:space="1" w:color="auto"/>
          <w:left w:val="single" w:sz="4" w:space="4" w:color="auto"/>
          <w:bottom w:val="single" w:sz="4" w:space="1" w:color="auto"/>
          <w:right w:val="single" w:sz="4" w:space="4" w:color="auto"/>
          <w:between w:val="single" w:sz="4" w:space="1" w:color="auto"/>
          <w:bar w:val="single" w:sz="4" w:color="auto"/>
        </w:pBdr>
        <w:jc w:val="both"/>
        <w:rPr>
          <w:color w:val="000000" w:themeColor="text1"/>
        </w:rPr>
      </w:pPr>
      <w:r w:rsidRPr="003002A9">
        <w:rPr>
          <w:color w:val="000000" w:themeColor="text1"/>
        </w:rPr>
        <w:t>Fig. 1.1.</w:t>
      </w:r>
      <w:r w:rsidRPr="00C56257">
        <w:rPr>
          <w:b/>
          <w:color w:val="000000" w:themeColor="text1"/>
        </w:rPr>
        <w:t xml:space="preserve"> </w:t>
      </w:r>
      <w:r w:rsidRPr="00C56257">
        <w:rPr>
          <w:color w:val="000000" w:themeColor="text1"/>
        </w:rPr>
        <w:t>Amplasarea siturilor marine Natura 2000 în apele teritoriale și zona economică exclusivă a</w:t>
      </w:r>
      <w:r>
        <w:rPr>
          <w:color w:val="000000" w:themeColor="text1"/>
        </w:rPr>
        <w:t xml:space="preserve"> </w:t>
      </w:r>
      <w:r w:rsidRPr="00C56257">
        <w:rPr>
          <w:color w:val="000000" w:themeColor="text1"/>
        </w:rPr>
        <w:t>României în Marea Neagră</w:t>
      </w:r>
    </w:p>
    <w:p w14:paraId="2694074F" w14:textId="77777777" w:rsidR="00FC026B" w:rsidRPr="00C56257" w:rsidRDefault="00FC026B" w:rsidP="00FC026B">
      <w:pPr>
        <w:keepNext/>
        <w:keepLines/>
        <w:ind w:left="720"/>
        <w:jc w:val="both"/>
        <w:outlineLvl w:val="1"/>
        <w:rPr>
          <w:b/>
          <w:color w:val="000000" w:themeColor="text1"/>
        </w:rPr>
      </w:pPr>
      <w:bookmarkStart w:id="3" w:name="_Toc5892775"/>
    </w:p>
    <w:p w14:paraId="17E91F85" w14:textId="77777777" w:rsidR="00105BC5" w:rsidRDefault="00105BC5" w:rsidP="00105BC5">
      <w:pPr>
        <w:spacing w:before="120" w:after="120" w:line="276" w:lineRule="auto"/>
        <w:jc w:val="both"/>
        <w:rPr>
          <w:b/>
          <w:bCs/>
          <w:lang w:eastAsia="sk-SK"/>
        </w:rPr>
      </w:pPr>
    </w:p>
    <w:p w14:paraId="656ADF2C" w14:textId="77777777" w:rsidR="00105BC5" w:rsidRDefault="00105BC5" w:rsidP="00105BC5">
      <w:pPr>
        <w:spacing w:before="120" w:after="120" w:line="276" w:lineRule="auto"/>
        <w:jc w:val="both"/>
        <w:rPr>
          <w:b/>
          <w:bCs/>
          <w:lang w:eastAsia="sk-SK"/>
        </w:rPr>
      </w:pPr>
    </w:p>
    <w:p w14:paraId="50007B1E" w14:textId="77777777" w:rsidR="00105BC5" w:rsidRPr="00477BF8" w:rsidRDefault="00105BC5" w:rsidP="00105BC5">
      <w:pPr>
        <w:spacing w:before="120" w:after="120" w:line="276" w:lineRule="auto"/>
        <w:jc w:val="both"/>
        <w:rPr>
          <w:b/>
          <w:bCs/>
          <w:strike/>
          <w:lang w:eastAsia="sk-SK"/>
        </w:rPr>
      </w:pPr>
      <w:r w:rsidRPr="00477BF8">
        <w:rPr>
          <w:b/>
          <w:bCs/>
          <w:lang w:eastAsia="sk-SK"/>
        </w:rPr>
        <w:lastRenderedPageBreak/>
        <w:t>Colectarea datelor din teren</w:t>
      </w:r>
    </w:p>
    <w:p w14:paraId="3D800976" w14:textId="77777777" w:rsidR="00FC026B" w:rsidRPr="00A01F36" w:rsidRDefault="00FC026B" w:rsidP="00FC026B">
      <w:pPr>
        <w:keepNext/>
        <w:keepLines/>
        <w:jc w:val="both"/>
        <w:outlineLvl w:val="1"/>
        <w:rPr>
          <w:color w:val="000000" w:themeColor="text1"/>
        </w:rPr>
      </w:pPr>
      <w:r w:rsidRPr="00C56257">
        <w:rPr>
          <w:color w:val="000000" w:themeColor="text1"/>
        </w:rPr>
        <w:t>Modul de colectare a datelor diferă, funcție de scopul urmărit. Indiferent de metoda aleasă, sunt necesare mijloace de transport pe uscat și/sau pe mare. Pentru habitatele situate la distanță mai mare de țărm este necesară utilizarea unor ambarcațiuni adecvate (navă de cercetare, ambarcațiuni cu motor).</w:t>
      </w:r>
      <w:r>
        <w:rPr>
          <w:color w:val="000000" w:themeColor="text1"/>
        </w:rPr>
        <w:t xml:space="preserve"> </w:t>
      </w:r>
      <w:r w:rsidRPr="00A01F36">
        <w:rPr>
          <w:color w:val="000000" w:themeColor="text1"/>
        </w:rPr>
        <w:t>Metodele de colectare a datelor și eșantioanelor pot fi grupate în:</w:t>
      </w:r>
    </w:p>
    <w:p w14:paraId="73F7CC5B" w14:textId="77777777" w:rsidR="00FC026B" w:rsidRPr="00C56257" w:rsidRDefault="00FC026B" w:rsidP="00FC026B">
      <w:pPr>
        <w:keepNext/>
        <w:keepLines/>
        <w:jc w:val="both"/>
        <w:outlineLvl w:val="1"/>
        <w:rPr>
          <w:color w:val="000000" w:themeColor="text1"/>
        </w:rPr>
      </w:pPr>
    </w:p>
    <w:p w14:paraId="0467ACC2" w14:textId="77777777" w:rsidR="00FC026B" w:rsidRPr="00C56257" w:rsidRDefault="00FC026B" w:rsidP="009E63E5">
      <w:pPr>
        <w:pStyle w:val="ListParagraph"/>
        <w:keepNext/>
        <w:keepLines/>
        <w:numPr>
          <w:ilvl w:val="0"/>
          <w:numId w:val="159"/>
        </w:numPr>
        <w:jc w:val="both"/>
        <w:outlineLvl w:val="1"/>
        <w:rPr>
          <w:rFonts w:ascii="Times New Roman" w:hAnsi="Times New Roman" w:cs="Times New Roman"/>
          <w:b/>
          <w:color w:val="000000" w:themeColor="text1"/>
          <w:sz w:val="24"/>
          <w:szCs w:val="24"/>
        </w:rPr>
      </w:pPr>
      <w:r w:rsidRPr="00C56257">
        <w:rPr>
          <w:rFonts w:ascii="Times New Roman" w:hAnsi="Times New Roman" w:cs="Times New Roman"/>
          <w:b/>
          <w:i/>
          <w:color w:val="000000" w:themeColor="text1"/>
          <w:sz w:val="24"/>
          <w:szCs w:val="24"/>
        </w:rPr>
        <w:t xml:space="preserve">Census </w:t>
      </w:r>
      <w:proofErr w:type="spellStart"/>
      <w:r w:rsidRPr="00C56257">
        <w:rPr>
          <w:rFonts w:ascii="Times New Roman" w:hAnsi="Times New Roman" w:cs="Times New Roman"/>
          <w:b/>
          <w:i/>
          <w:color w:val="000000" w:themeColor="text1"/>
          <w:sz w:val="24"/>
          <w:szCs w:val="24"/>
        </w:rPr>
        <w:t>vizual</w:t>
      </w:r>
      <w:proofErr w:type="spellEnd"/>
      <w:r w:rsidRPr="00C56257">
        <w:rPr>
          <w:rFonts w:ascii="Times New Roman" w:hAnsi="Times New Roman" w:cs="Times New Roman"/>
          <w:b/>
          <w:i/>
          <w:color w:val="000000" w:themeColor="text1"/>
          <w:sz w:val="24"/>
          <w:szCs w:val="24"/>
        </w:rPr>
        <w:t xml:space="preserve"> </w:t>
      </w:r>
      <w:proofErr w:type="spellStart"/>
      <w:r w:rsidRPr="00C56257">
        <w:rPr>
          <w:rFonts w:ascii="Times New Roman" w:hAnsi="Times New Roman" w:cs="Times New Roman"/>
          <w:b/>
          <w:color w:val="000000" w:themeColor="text1"/>
          <w:sz w:val="24"/>
          <w:szCs w:val="24"/>
        </w:rPr>
        <w:t>prin</w:t>
      </w:r>
      <w:proofErr w:type="spellEnd"/>
      <w:r w:rsidRPr="00C56257">
        <w:rPr>
          <w:rFonts w:ascii="Times New Roman" w:hAnsi="Times New Roman" w:cs="Times New Roman"/>
          <w:b/>
          <w:color w:val="000000" w:themeColor="text1"/>
          <w:sz w:val="24"/>
          <w:szCs w:val="24"/>
        </w:rPr>
        <w:t xml:space="preserve"> </w:t>
      </w:r>
      <w:proofErr w:type="spellStart"/>
      <w:r w:rsidRPr="00C56257">
        <w:rPr>
          <w:rFonts w:ascii="Times New Roman" w:hAnsi="Times New Roman" w:cs="Times New Roman"/>
          <w:b/>
          <w:color w:val="000000" w:themeColor="text1"/>
          <w:sz w:val="24"/>
          <w:szCs w:val="24"/>
        </w:rPr>
        <w:t>scufundare</w:t>
      </w:r>
      <w:proofErr w:type="spellEnd"/>
      <w:r w:rsidRPr="00C56257">
        <w:rPr>
          <w:rFonts w:ascii="Times New Roman" w:hAnsi="Times New Roman" w:cs="Times New Roman"/>
          <w:b/>
          <w:color w:val="000000" w:themeColor="text1"/>
          <w:sz w:val="24"/>
          <w:szCs w:val="24"/>
        </w:rPr>
        <w:t> </w:t>
      </w:r>
      <w:proofErr w:type="spellStart"/>
      <w:r w:rsidRPr="00C56257">
        <w:rPr>
          <w:rFonts w:ascii="Times New Roman" w:hAnsi="Times New Roman" w:cs="Times New Roman"/>
          <w:b/>
          <w:color w:val="000000" w:themeColor="text1"/>
          <w:sz w:val="24"/>
          <w:szCs w:val="24"/>
        </w:rPr>
        <w:t>științifică</w:t>
      </w:r>
      <w:bookmarkEnd w:id="3"/>
      <w:proofErr w:type="spellEnd"/>
    </w:p>
    <w:p w14:paraId="185B3EF5" w14:textId="77777777" w:rsidR="00FC026B" w:rsidRPr="00C56257" w:rsidRDefault="00FC026B" w:rsidP="00FC026B">
      <w:pPr>
        <w:jc w:val="both"/>
        <w:rPr>
          <w:color w:val="000000" w:themeColor="text1"/>
        </w:rPr>
      </w:pPr>
      <w:r w:rsidRPr="00C56257">
        <w:rPr>
          <w:b/>
          <w:i/>
          <w:color w:val="000000" w:themeColor="text1"/>
        </w:rPr>
        <w:t xml:space="preserve">             Census vizual</w:t>
      </w:r>
      <w:r w:rsidRPr="00C56257">
        <w:rPr>
          <w:i/>
          <w:color w:val="000000" w:themeColor="text1"/>
        </w:rPr>
        <w:t>.</w:t>
      </w:r>
      <w:r w:rsidRPr="00C56257">
        <w:rPr>
          <w:color w:val="000000" w:themeColor="text1"/>
        </w:rPr>
        <w:t xml:space="preserve"> Prin cuantificarea suprafețelor inspectate, această metodă facilitează colectarea de date în ceea ce privește densitatea speciilor, precum și gradul de acoperire al habitatelor. Prin stabilirea de limite mai mult sau mai putin precise ale ariei luate în calcul, această metodă facilitează, de asemenea, efectuarea comparațiior între diferite suprafețe studiate.</w:t>
      </w:r>
    </w:p>
    <w:p w14:paraId="7F8B047B" w14:textId="77777777" w:rsidR="00FC026B" w:rsidRPr="00C56257" w:rsidRDefault="00FC026B" w:rsidP="00FC026B">
      <w:pPr>
        <w:ind w:firstLine="720"/>
        <w:jc w:val="both"/>
        <w:rPr>
          <w:color w:val="000000" w:themeColor="text1"/>
        </w:rPr>
      </w:pPr>
      <w:r w:rsidRPr="00C56257">
        <w:rPr>
          <w:color w:val="000000" w:themeColor="text1"/>
        </w:rPr>
        <w:t>În timpul censusului vizual se pot folosi mai multe metode de investigare:</w:t>
      </w:r>
    </w:p>
    <w:p w14:paraId="1337EDD4" w14:textId="77777777" w:rsidR="00FC026B" w:rsidRPr="00C56257" w:rsidRDefault="00FC026B" w:rsidP="00FC026B">
      <w:pPr>
        <w:keepNext/>
        <w:keepLines/>
        <w:ind w:firstLine="720"/>
        <w:jc w:val="both"/>
        <w:outlineLvl w:val="2"/>
        <w:rPr>
          <w:b/>
          <w:color w:val="000000" w:themeColor="text1"/>
        </w:rPr>
      </w:pPr>
      <w:bookmarkStart w:id="4" w:name="_Toc5892776"/>
      <w:r w:rsidRPr="00C56257">
        <w:rPr>
          <w:b/>
          <w:color w:val="000000" w:themeColor="text1"/>
        </w:rPr>
        <w:t>Transecte rectangulare</w:t>
      </w:r>
      <w:bookmarkEnd w:id="4"/>
    </w:p>
    <w:p w14:paraId="63AB9D54" w14:textId="77777777" w:rsidR="00FC026B" w:rsidRPr="00C56257" w:rsidRDefault="00FC026B" w:rsidP="00FC026B">
      <w:pPr>
        <w:ind w:firstLine="720"/>
        <w:jc w:val="both"/>
        <w:rPr>
          <w:color w:val="000000" w:themeColor="text1"/>
        </w:rPr>
      </w:pPr>
      <w:r w:rsidRPr="00C56257">
        <w:rPr>
          <w:color w:val="000000" w:themeColor="text1"/>
        </w:rPr>
        <w:t>În forma ei cea mai simplă, metoda este aplicată de un scafandru sau doi, care înoată pe cursul unei busole și care înregistrează speciile definitorii pentru habitatul investigat aflate pe o bandă de o lățime prestabilită. Această metodă permite efectuarea în timp destul de scurt a unui număr mare de transecte și cu un timp de pregătire de asemenea destul de scurt. Acest tip de transecte sunt oarecum slab definite: cursul scafandrului poate fi influențat de curenți, iar diferiți scafandrii pot acoperi diferite distanțe și pot estima transectele în mod diferit.</w:t>
      </w:r>
    </w:p>
    <w:p w14:paraId="49BF8C03" w14:textId="77777777" w:rsidR="00FC026B" w:rsidRPr="00C56257" w:rsidRDefault="00FC026B" w:rsidP="00FC026B">
      <w:pPr>
        <w:ind w:firstLine="720"/>
        <w:jc w:val="both"/>
        <w:rPr>
          <w:color w:val="000000" w:themeColor="text1"/>
        </w:rPr>
      </w:pPr>
      <w:r w:rsidRPr="00C56257">
        <w:rPr>
          <w:color w:val="000000" w:themeColor="text1"/>
        </w:rPr>
        <w:t>O arie mult mai precisă poate fi investigată prin întinderea unei linii marcate și măsurate pe fundul mării. Cel mai simplu mod de a realiza acest lucru este prin legarea sforii unui reel de scafandru de o greutate fixă. Sfoara, pe care s-au marcat distanțe exacte în prealabil, este apoi derulată de pe reel pe o distanță prestabilită. O a doua greutate va fi atașată de capătul liber al sforii, pentru a o putea menține tensionată. Apoi, scafandrul execută acest transect. Lățimea benzii investigate poate fi controlată dacă scafandrii poartă cu ei sub apă un instrument cu dimensiune cunoscută. Astfel, se pot parcurge câteva transecte nesuprapuse într-o succesiune destul de rapidă.</w:t>
      </w:r>
    </w:p>
    <w:p w14:paraId="546B2987" w14:textId="77777777" w:rsidR="00FC026B" w:rsidRPr="00C56257" w:rsidRDefault="00FC026B" w:rsidP="00FC026B">
      <w:pPr>
        <w:ind w:firstLine="720"/>
        <w:jc w:val="both"/>
        <w:rPr>
          <w:color w:val="000000" w:themeColor="text1"/>
        </w:rPr>
      </w:pPr>
      <w:r w:rsidRPr="00C56257">
        <w:rPr>
          <w:color w:val="000000" w:themeColor="text1"/>
        </w:rPr>
        <w:t>Transectele cu margini precis definite sunt mari consumatoare de timp, dar sunt deosebit de utile în cazurile în care sunt necesare raportări exacte ale numărului de indivizi sau de colonii. O metodă simplă și foarte eficientă este prin utilizarea a două tuburi din oțel ca margini la cele două capete ale coridorului. Aceste tuburi au lungime fixă și între capetele lor se întind sforile care vor demarca astfel o bandă cu lățime fixă, vizibilă ușor. În condiții de vizibilitate redusă, lățimea de 1 metru este cea mai recomandată. O centură cu lățimea de doi metri, împărțită pe mijloc de o sfoară ce delimitează două centuri cu lățimea de câte un metru este ușor de folosit în condiții de vizibilitate bună și asigură investigarea unor suprafețe destul de mari într-un timp relativ scurt.</w:t>
      </w:r>
    </w:p>
    <w:p w14:paraId="2E250319" w14:textId="77777777" w:rsidR="00FC026B" w:rsidRPr="00C56257" w:rsidRDefault="00FC026B" w:rsidP="00FC026B">
      <w:pPr>
        <w:ind w:firstLine="720"/>
        <w:jc w:val="both"/>
        <w:rPr>
          <w:color w:val="000000" w:themeColor="text1"/>
        </w:rPr>
      </w:pPr>
      <w:r w:rsidRPr="00C56257">
        <w:rPr>
          <w:color w:val="000000" w:themeColor="text1"/>
        </w:rPr>
        <w:t>De asemenea, transectele-centură sunt foarte pretabile înregistrarilor foto și video, în condițiile în care lateralele sunt marcate și rămân în vizorul camerei permanent.</w:t>
      </w:r>
    </w:p>
    <w:p w14:paraId="5CF4B4DD" w14:textId="77777777" w:rsidR="00FC026B" w:rsidRPr="00C56257" w:rsidRDefault="00FC026B" w:rsidP="00FC026B">
      <w:pPr>
        <w:ind w:firstLine="720"/>
        <w:jc w:val="both"/>
        <w:rPr>
          <w:color w:val="000000" w:themeColor="text1"/>
        </w:rPr>
      </w:pPr>
      <w:r w:rsidRPr="00C56257">
        <w:rPr>
          <w:color w:val="000000" w:themeColor="text1"/>
        </w:rPr>
        <w:t xml:space="preserve">Pentru a putea inspecta transecte de dimensiuni mari în condițiile de lucru nefavorabile oferite de Marea Neagră, se impune folosirea scuterelor subacvatice - </w:t>
      </w:r>
      <w:r w:rsidRPr="0094315A">
        <w:rPr>
          <w:bCs/>
          <w:color w:val="000000" w:themeColor="text1"/>
        </w:rPr>
        <w:t>D</w:t>
      </w:r>
      <w:r w:rsidRPr="0094315A">
        <w:rPr>
          <w:color w:val="000000" w:themeColor="text1"/>
        </w:rPr>
        <w:t xml:space="preserve">iver </w:t>
      </w:r>
      <w:r w:rsidRPr="0094315A">
        <w:rPr>
          <w:bCs/>
          <w:color w:val="000000" w:themeColor="text1"/>
        </w:rPr>
        <w:t>P</w:t>
      </w:r>
      <w:r w:rsidRPr="0094315A">
        <w:rPr>
          <w:color w:val="000000" w:themeColor="text1"/>
        </w:rPr>
        <w:t xml:space="preserve">ropulsion </w:t>
      </w:r>
      <w:r w:rsidRPr="0094315A">
        <w:rPr>
          <w:bCs/>
          <w:color w:val="000000" w:themeColor="text1"/>
        </w:rPr>
        <w:t>V</w:t>
      </w:r>
      <w:r w:rsidRPr="0094315A">
        <w:rPr>
          <w:color w:val="000000" w:themeColor="text1"/>
        </w:rPr>
        <w:t>ehicle</w:t>
      </w:r>
      <w:r w:rsidRPr="00C56257">
        <w:rPr>
          <w:color w:val="000000" w:themeColor="text1"/>
        </w:rPr>
        <w:t xml:space="preserve"> (DPV) de mare putere () și cu autonomie cât mai extinsă. Acestea rezolvă problema distanțelor foarte mari care trebuie acoperite sub apă, precum și pe cea a consumului ridicat de aer, scafandrul fiind scutit de efort fizic intens pe parcursul efectuării censusului.</w:t>
      </w:r>
    </w:p>
    <w:p w14:paraId="32CB79DF" w14:textId="77777777" w:rsidR="00FC026B" w:rsidRPr="0094315A" w:rsidRDefault="00FC026B" w:rsidP="00FC026B">
      <w:pPr>
        <w:keepNext/>
        <w:keepLines/>
        <w:ind w:firstLine="720"/>
        <w:jc w:val="both"/>
        <w:outlineLvl w:val="2"/>
        <w:rPr>
          <w:b/>
          <w:iCs/>
          <w:color w:val="000000" w:themeColor="text1"/>
        </w:rPr>
      </w:pPr>
      <w:bookmarkStart w:id="5" w:name="_Toc5892777"/>
      <w:r w:rsidRPr="0094315A">
        <w:rPr>
          <w:b/>
          <w:iCs/>
          <w:color w:val="000000" w:themeColor="text1"/>
        </w:rPr>
        <w:t>Cuadratele</w:t>
      </w:r>
      <w:bookmarkEnd w:id="5"/>
    </w:p>
    <w:p w14:paraId="430F35F4" w14:textId="77777777" w:rsidR="00FC026B" w:rsidRPr="00C56257" w:rsidRDefault="00FC026B" w:rsidP="00FC026B">
      <w:pPr>
        <w:ind w:firstLine="720"/>
        <w:jc w:val="both"/>
        <w:rPr>
          <w:color w:val="000000" w:themeColor="text1"/>
        </w:rPr>
      </w:pPr>
      <w:r w:rsidRPr="00C56257">
        <w:rPr>
          <w:color w:val="000000" w:themeColor="text1"/>
        </w:rPr>
        <w:t>Pătratele de probă pot fi aleatorii sau fixe. Cele amplasate aleatoriu dau posibilitatea efectuării unor analize statistice mai profunde și sunt mai recomandate pentru investigarea habitatelor care sunt oarecum uniforme, precum pajiștile de iarbă de mare sau habitate mâloase. Habitatele de recifi sunt de regulă mult prea eterogene ca să permită ca, prin pătrate de probă aleatorii, să poate fi descrisă corect compoziția lor specifică.</w:t>
      </w:r>
    </w:p>
    <w:p w14:paraId="3995B898" w14:textId="77777777" w:rsidR="00FC026B" w:rsidRPr="00C56257" w:rsidRDefault="00FC026B" w:rsidP="00FC026B">
      <w:pPr>
        <w:ind w:firstLine="720"/>
        <w:jc w:val="both"/>
        <w:rPr>
          <w:color w:val="000000" w:themeColor="text1"/>
        </w:rPr>
      </w:pPr>
      <w:r w:rsidRPr="00C56257">
        <w:rPr>
          <w:color w:val="000000" w:themeColor="text1"/>
        </w:rPr>
        <w:lastRenderedPageBreak/>
        <w:t>Pentru investigarea celor mai multe habitate, pătratele de probă cu suprafață de 1 m</w:t>
      </w:r>
      <w:r w:rsidRPr="00C56257">
        <w:rPr>
          <w:color w:val="000000" w:themeColor="text1"/>
          <w:vertAlign w:val="superscript"/>
        </w:rPr>
        <w:t>2</w:t>
      </w:r>
      <w:r w:rsidRPr="00C56257">
        <w:rPr>
          <w:color w:val="000000" w:themeColor="text1"/>
        </w:rPr>
        <w:t xml:space="preserve"> sunt indicate, conținând cuadrate subprobe mai mari sau mai mici, în funcție de dimensiunea și distribuția spațială a organismelor țintă. În cazul recifilor din zona temperată, cuadrate de 0,25 m</w:t>
      </w:r>
      <w:r w:rsidRPr="00C56257">
        <w:rPr>
          <w:color w:val="000000" w:themeColor="text1"/>
          <w:vertAlign w:val="superscript"/>
        </w:rPr>
        <w:t>2</w:t>
      </w:r>
      <w:r w:rsidRPr="00C56257">
        <w:rPr>
          <w:color w:val="000000" w:themeColor="text1"/>
        </w:rPr>
        <w:t xml:space="preserve"> (50 x 50 cm) sunt preferate atât pentru că vizibilitatea redusă face dificilă investigarea și fotografierea unor cuadrate mai mari, dar și pentru că cele mai multe specii prezente într-o astfel de zonă sunt destul de mici și adesea criptice, astfel că numărarea lor sistematică pe suprafețe mai mari ar fi extrem de cronofagă.</w:t>
      </w:r>
    </w:p>
    <w:p w14:paraId="3FD768B9" w14:textId="77777777" w:rsidR="00FC026B" w:rsidRPr="00C56257" w:rsidRDefault="00FC026B" w:rsidP="00FC026B">
      <w:pPr>
        <w:ind w:firstLine="720"/>
        <w:jc w:val="both"/>
        <w:rPr>
          <w:color w:val="000000" w:themeColor="text1"/>
        </w:rPr>
      </w:pPr>
      <w:r w:rsidRPr="00C56257">
        <w:rPr>
          <w:color w:val="000000" w:themeColor="text1"/>
        </w:rPr>
        <w:t>Pătratele de probă sunt foarte potrivite pentru foto-monitoring. Prin proiectarea unei fotografii a unui pătrat de probă peste o grilă, cu ajutorul softurilor de editare fotografice, mare parte a analizelor pot fi desfășurate după finalizarea scufundărilor. Marele avantaj al acestei tehnici este că speciile mai dificil de determinat pot fi verificate în literatura de specialitate sau cu ajutorul specialiștilor.</w:t>
      </w:r>
    </w:p>
    <w:p w14:paraId="45D96250" w14:textId="77777777" w:rsidR="00FC026B" w:rsidRPr="00C56257" w:rsidRDefault="00FC026B" w:rsidP="00FC026B">
      <w:pPr>
        <w:jc w:val="both"/>
        <w:rPr>
          <w:color w:val="000000" w:themeColor="text1"/>
        </w:rPr>
      </w:pPr>
    </w:p>
    <w:p w14:paraId="3F9D807D" w14:textId="77777777" w:rsidR="00FC026B" w:rsidRPr="00C56257" w:rsidRDefault="00FC026B" w:rsidP="00FC026B">
      <w:pPr>
        <w:keepNext/>
        <w:keepLines/>
        <w:jc w:val="both"/>
        <w:outlineLvl w:val="1"/>
        <w:rPr>
          <w:b/>
          <w:color w:val="000000" w:themeColor="text1"/>
        </w:rPr>
      </w:pPr>
      <w:bookmarkStart w:id="6" w:name="_Toc5892778"/>
      <w:r w:rsidRPr="00C56257">
        <w:rPr>
          <w:b/>
          <w:color w:val="000000" w:themeColor="text1"/>
        </w:rPr>
        <w:t xml:space="preserve">            b) Prelevare de probe</w:t>
      </w:r>
      <w:bookmarkEnd w:id="6"/>
      <w:r w:rsidRPr="00C56257">
        <w:rPr>
          <w:b/>
          <w:color w:val="000000" w:themeColor="text1"/>
        </w:rPr>
        <w:t xml:space="preserve"> sau imagini   </w:t>
      </w:r>
    </w:p>
    <w:p w14:paraId="185704B1" w14:textId="77777777" w:rsidR="00FC026B" w:rsidRPr="00C56257" w:rsidRDefault="00FC026B" w:rsidP="00FC026B">
      <w:pPr>
        <w:keepNext/>
        <w:keepLines/>
        <w:ind w:left="720"/>
        <w:jc w:val="both"/>
        <w:outlineLvl w:val="2"/>
        <w:rPr>
          <w:b/>
          <w:color w:val="000000" w:themeColor="text1"/>
        </w:rPr>
      </w:pPr>
      <w:bookmarkStart w:id="7" w:name="_Toc5892779"/>
      <w:r w:rsidRPr="00C56257">
        <w:rPr>
          <w:b/>
          <w:color w:val="000000" w:themeColor="text1"/>
        </w:rPr>
        <w:t>Prelevare probe cu ajutorul bodengriferului tip Van Veen</w:t>
      </w:r>
      <w:bookmarkEnd w:id="7"/>
    </w:p>
    <w:p w14:paraId="5D5BC680" w14:textId="77777777" w:rsidR="00FC026B" w:rsidRPr="00C56257" w:rsidRDefault="00FC026B" w:rsidP="00FC026B">
      <w:pPr>
        <w:ind w:firstLine="720"/>
        <w:jc w:val="both"/>
        <w:rPr>
          <w:color w:val="000000" w:themeColor="text1"/>
        </w:rPr>
      </w:pPr>
      <w:r w:rsidRPr="00C56257">
        <w:rPr>
          <w:color w:val="000000" w:themeColor="text1"/>
        </w:rPr>
        <w:t>Bodengreiferul Van Veen este folosit pentru prelevarea probelor de macrozoobentos și de sediment din zonele cu substrat mobil. Metoda standard la nivel regional de prelevare a probelor de pe substrat mobil poate fi găsită în Todorova și Konsulova, 2005.</w:t>
      </w:r>
    </w:p>
    <w:p w14:paraId="24DB124A" w14:textId="77777777" w:rsidR="00FC026B" w:rsidRPr="00C56257" w:rsidRDefault="00FC026B" w:rsidP="00FC026B">
      <w:pPr>
        <w:ind w:firstLine="720"/>
        <w:jc w:val="both"/>
        <w:rPr>
          <w:color w:val="000000" w:themeColor="text1"/>
        </w:rPr>
      </w:pPr>
      <w:r w:rsidRPr="00C56257">
        <w:rPr>
          <w:color w:val="000000" w:themeColor="text1"/>
        </w:rPr>
        <w:t xml:space="preserve">Această metodă se pretează a fi folosită pentru investigarea habitatului 1170-2 </w:t>
      </w:r>
      <w:r w:rsidRPr="00C56257">
        <w:rPr>
          <w:bCs/>
          <w:color w:val="000000" w:themeColor="text1"/>
        </w:rPr>
        <w:t xml:space="preserve">Recifi biogeni cu </w:t>
      </w:r>
      <w:r w:rsidRPr="00C56257">
        <w:rPr>
          <w:bCs/>
          <w:i/>
          <w:color w:val="000000" w:themeColor="text1"/>
        </w:rPr>
        <w:t>Mytilus galloprovincialis,</w:t>
      </w:r>
      <w:r w:rsidRPr="00C56257">
        <w:rPr>
          <w:color w:val="000000" w:themeColor="text1"/>
        </w:rPr>
        <w:t xml:space="preserve"> unde substratul predominant este sedimentary, iar adâncimea mare (30-50 m) face dificilă realizarea scufundărilor științifice.</w:t>
      </w:r>
    </w:p>
    <w:p w14:paraId="0359690B" w14:textId="77777777" w:rsidR="00FC026B" w:rsidRPr="00C56257" w:rsidRDefault="00FC026B" w:rsidP="00FC026B">
      <w:pPr>
        <w:ind w:firstLine="720"/>
        <w:jc w:val="both"/>
        <w:rPr>
          <w:bCs/>
          <w:color w:val="000000" w:themeColor="text1"/>
        </w:rPr>
      </w:pPr>
      <w:r w:rsidRPr="00C56257">
        <w:rPr>
          <w:color w:val="000000" w:themeColor="text1"/>
        </w:rPr>
        <w:t xml:space="preserve">Pe bodengreifer se poate atașa un suport pe care să se prindă o cameră GoPro dotată cu o carcasă subacvatică. Succesul obținerii unor imagini și filmări de calitate depinde de transparența apei în zonă si de condițiile meteo. </w:t>
      </w:r>
    </w:p>
    <w:p w14:paraId="181F7B67" w14:textId="77777777" w:rsidR="00FC026B" w:rsidRPr="00C56257" w:rsidRDefault="00FC026B" w:rsidP="00FC026B">
      <w:pPr>
        <w:ind w:firstLine="720"/>
        <w:jc w:val="both"/>
        <w:rPr>
          <w:color w:val="000000" w:themeColor="text1"/>
        </w:rPr>
      </w:pPr>
      <w:r w:rsidRPr="00C56257">
        <w:rPr>
          <w:color w:val="000000" w:themeColor="text1"/>
        </w:rPr>
        <w:t>Din Van Veen se pot preleva și probe pentru studii microbiologice. Probele microbiologice destinate analizei comunitatilor de microorganisme implicate în producerea metanului vor fi prelevate aseptic în seringi de 5-10 ml din stratul de la suprafața sedimentelor colectate cu draga metalică de tip Van Veen. Probele vor fi menținute la bordul navei în congelatoare (-20°C) pana la transferul acestora in laborator in vederea prelucrarilor ulterioare.</w:t>
      </w:r>
    </w:p>
    <w:p w14:paraId="0ACDDEEF" w14:textId="77777777" w:rsidR="00FC026B" w:rsidRPr="00C56257" w:rsidRDefault="00FC026B" w:rsidP="00FC026B">
      <w:pPr>
        <w:ind w:firstLine="720"/>
        <w:jc w:val="both"/>
        <w:rPr>
          <w:b/>
          <w:bCs/>
          <w:color w:val="000000" w:themeColor="text1"/>
        </w:rPr>
      </w:pPr>
      <w:r w:rsidRPr="00C56257">
        <w:rPr>
          <w:color w:val="000000" w:themeColor="text1"/>
        </w:rPr>
        <w:t xml:space="preserve">Pentru observații calitative în cadrul habitatului 1170-2: Recifi biogeni cu </w:t>
      </w:r>
      <w:r w:rsidRPr="00C56257">
        <w:rPr>
          <w:i/>
          <w:iCs/>
          <w:color w:val="000000" w:themeColor="text1"/>
        </w:rPr>
        <w:t xml:space="preserve">Mytilus galloprovincialis </w:t>
      </w:r>
      <w:r w:rsidRPr="00C56257">
        <w:rPr>
          <w:color w:val="000000" w:themeColor="text1"/>
        </w:rPr>
        <w:t>se pot realiza dragaje cu ajutorul unei drăgi de mici dimensiuni Durata de traulare poate fi de 5 până la 10 minute, timp în care nava nu trebuie să se deplaseze cu o viteză mai mare de 1-1,5 noduri.</w:t>
      </w:r>
    </w:p>
    <w:p w14:paraId="16EE395D" w14:textId="77777777" w:rsidR="00FC026B" w:rsidRPr="00C56257" w:rsidRDefault="00FC026B" w:rsidP="00FC026B">
      <w:pPr>
        <w:jc w:val="both"/>
        <w:rPr>
          <w:color w:val="000000" w:themeColor="text1"/>
        </w:rPr>
      </w:pPr>
      <w:r w:rsidRPr="00C56257">
        <w:rPr>
          <w:b/>
          <w:bCs/>
          <w:color w:val="000000" w:themeColor="text1"/>
        </w:rPr>
        <w:tab/>
      </w:r>
      <w:r w:rsidRPr="00C56257">
        <w:rPr>
          <w:color w:val="000000" w:themeColor="text1"/>
        </w:rPr>
        <w:t>Pentru majoritatea tehnicilor de inventariere a habitatelor este suficientă ca mijloc de transport o ambarcațiune de mici dimensiuni. Însă, utilizarea unei astfel de drăgi este posibilă doar de la bordul unei nave mari, dotată cu vinci pentru lansarea și virarea echipamentului.</w:t>
      </w:r>
    </w:p>
    <w:p w14:paraId="4C1B63A6" w14:textId="77777777" w:rsidR="00FC026B" w:rsidRPr="00C56257" w:rsidRDefault="00FC026B" w:rsidP="00FC026B">
      <w:pPr>
        <w:ind w:firstLine="720"/>
        <w:jc w:val="both"/>
        <w:rPr>
          <w:color w:val="000000" w:themeColor="text1"/>
        </w:rPr>
      </w:pPr>
      <w:r w:rsidRPr="00C56257">
        <w:rPr>
          <w:b/>
          <w:color w:val="000000" w:themeColor="text1"/>
        </w:rPr>
        <w:t>Corerul</w:t>
      </w:r>
      <w:r w:rsidRPr="00C56257">
        <w:rPr>
          <w:color w:val="000000" w:themeColor="text1"/>
        </w:rPr>
        <w:t xml:space="preserve"> se utilizează pentru colectarea probelor cantitative de pe substrat sedimentar. Mânuirea și funcționarea acestuia sunt simple, fiind un tub din plastic sau metal, cu suprafața de colectare care variază între 100 și 200 cm</w:t>
      </w:r>
      <w:r w:rsidRPr="00C56257">
        <w:rPr>
          <w:color w:val="000000" w:themeColor="text1"/>
          <w:vertAlign w:val="superscript"/>
        </w:rPr>
        <w:t>2</w:t>
      </w:r>
      <w:r w:rsidRPr="00C56257">
        <w:rPr>
          <w:color w:val="000000" w:themeColor="text1"/>
        </w:rPr>
        <w:t>, împins în sediment de către scafandru până la o adâncime de cca. 30 - 40 cm. În locurile în care sedimentele sunt consolidate, tubul este împins prin aplicarea unei forțe mecanice. Pentru prevenirea pierderii unei părți din probă, capătul tubului se acoperă înaintea extragerii acestuia din sediment. La scoaterea tubului din apă, ambele capete se asigură împotriva pierderii materialului colectat, prin sigilare cu capace din cauciuc.</w:t>
      </w:r>
    </w:p>
    <w:p w14:paraId="51CAC05A" w14:textId="77777777" w:rsidR="00FC026B" w:rsidRPr="00C56257" w:rsidRDefault="00FC026B" w:rsidP="00FC026B">
      <w:pPr>
        <w:ind w:firstLine="720"/>
        <w:jc w:val="both"/>
        <w:rPr>
          <w:iCs/>
          <w:color w:val="000000" w:themeColor="text1"/>
        </w:rPr>
      </w:pPr>
      <w:r w:rsidRPr="00C56257">
        <w:rPr>
          <w:b/>
          <w:iCs/>
          <w:color w:val="000000" w:themeColor="text1"/>
        </w:rPr>
        <w:t>Dragarea epibentală</w:t>
      </w:r>
      <w:r w:rsidRPr="00C56257">
        <w:rPr>
          <w:iCs/>
          <w:color w:val="000000" w:themeColor="text1"/>
        </w:rPr>
        <w:t xml:space="preserve"> se realizează cu o dragă rectangulară tractată de ambarcațiune la o viteză redusă. Metoda este foarte utilă în cazul colectării calitative a speciilor vagile active (decapode natante, miside), într-un timp scurt și cu o eficiență mare. După analiza probelor chiar la bordul ambarcațiunii, speciile de talie mare, ușor de identificat în teren, se pot elibera în locul de unde au fost prelevate. Lungimea profilului de tractare va fi stabilită în funcție de habitat. Nu se va folosi în cazul habitatelor sensibile (protejate). </w:t>
      </w:r>
    </w:p>
    <w:p w14:paraId="6A422FDC" w14:textId="77777777" w:rsidR="00FC026B" w:rsidRPr="00C56257" w:rsidRDefault="00FC026B" w:rsidP="00FC026B">
      <w:pPr>
        <w:ind w:firstLine="720"/>
        <w:jc w:val="both"/>
        <w:rPr>
          <w:iCs/>
          <w:color w:val="000000" w:themeColor="text1"/>
        </w:rPr>
      </w:pPr>
      <w:r w:rsidRPr="00C56257">
        <w:rPr>
          <w:iCs/>
          <w:color w:val="000000" w:themeColor="text1"/>
        </w:rPr>
        <w:lastRenderedPageBreak/>
        <w:t>Colectarea speciilor asociate substratului fital (</w:t>
      </w:r>
      <w:r w:rsidRPr="00C56257">
        <w:rPr>
          <w:i/>
          <w:iCs/>
          <w:color w:val="000000" w:themeColor="text1"/>
        </w:rPr>
        <w:t>Ecrobia</w:t>
      </w:r>
      <w:r w:rsidRPr="00C56257">
        <w:rPr>
          <w:iCs/>
          <w:color w:val="000000" w:themeColor="text1"/>
        </w:rPr>
        <w:t xml:space="preserve">, </w:t>
      </w:r>
      <w:r w:rsidRPr="00C56257">
        <w:rPr>
          <w:i/>
          <w:iCs/>
          <w:color w:val="000000" w:themeColor="text1"/>
        </w:rPr>
        <w:t>Rissoa, Cryptosulla, Conopeum</w:t>
      </w:r>
      <w:r w:rsidRPr="00C56257">
        <w:rPr>
          <w:iCs/>
          <w:color w:val="000000" w:themeColor="text1"/>
        </w:rPr>
        <w:t xml:space="preserve"> etc.) se realizează de pe talul fanerogamelor din suprafața unui pătrat de probă (50 x 50 cm) sau a mai multora, în funcție de prezența acestora în habitatul analizat. Pentru o colectare eficientă se poate folosi și un fileu pentru „cosirea“ câmpului de fanerogame.</w:t>
      </w:r>
    </w:p>
    <w:p w14:paraId="0832EBBC" w14:textId="77777777" w:rsidR="00FC026B" w:rsidRPr="00C56257" w:rsidRDefault="00FC026B" w:rsidP="00FC026B">
      <w:pPr>
        <w:ind w:firstLine="720"/>
        <w:jc w:val="both"/>
        <w:rPr>
          <w:iCs/>
          <w:color w:val="000000" w:themeColor="text1"/>
          <w:lang w:val="it-IT"/>
        </w:rPr>
      </w:pPr>
      <w:r w:rsidRPr="00C56257">
        <w:rPr>
          <w:iCs/>
          <w:color w:val="000000" w:themeColor="text1"/>
          <w:lang w:val="it-IT"/>
        </w:rPr>
        <w:t xml:space="preserve">În vederea colectării probelor de fanerogame marine, ca parte componentă în evaluarea habitatului bentic </w:t>
      </w:r>
      <w:r w:rsidRPr="00C56257">
        <w:rPr>
          <w:iCs/>
          <w:color w:val="000000" w:themeColor="text1"/>
        </w:rPr>
        <w:t xml:space="preserve">1110-1 Nisipuri fine, curate sau uşor mâloase, cu pajişti de </w:t>
      </w:r>
      <w:r w:rsidRPr="00C56257">
        <w:rPr>
          <w:i/>
          <w:iCs/>
          <w:color w:val="000000" w:themeColor="text1"/>
        </w:rPr>
        <w:t>Zostera</w:t>
      </w:r>
      <w:r w:rsidRPr="00C56257">
        <w:rPr>
          <w:iCs/>
          <w:color w:val="000000" w:themeColor="text1"/>
          <w:lang w:val="it-IT"/>
        </w:rPr>
        <w:t xml:space="preserve">, se va urmări metodologia standard pentru asigurarea controlului calității colectării și analizei probelor, prezentată în manualul  “Black Sea Monitoring Guidelines Macrophytobenthos“ </w:t>
      </w:r>
    </w:p>
    <w:p w14:paraId="248A327D" w14:textId="77777777" w:rsidR="00FC026B" w:rsidRPr="00C56257" w:rsidRDefault="00FC026B" w:rsidP="00FC026B">
      <w:pPr>
        <w:jc w:val="both"/>
        <w:rPr>
          <w:color w:val="000000" w:themeColor="text1"/>
        </w:rPr>
      </w:pPr>
      <w:r w:rsidRPr="00C56257">
        <w:rPr>
          <w:iCs/>
          <w:color w:val="000000" w:themeColor="text1"/>
          <w:lang w:val="it-IT"/>
        </w:rPr>
        <w:t>(</w:t>
      </w:r>
      <w:hyperlink r:id="rId9" w:history="1">
        <w:r w:rsidRPr="00C56257">
          <w:rPr>
            <w:iCs/>
            <w:color w:val="000000" w:themeColor="text1"/>
            <w:lang w:val="it-IT"/>
          </w:rPr>
          <w:t>http://emblasproject.org/wpcontent/uploads/2017/01/Macrophytes_Manual-mainAnx123Mar2015-fin-PA3.pdf</w:t>
        </w:r>
      </w:hyperlink>
      <w:r w:rsidRPr="00C56257">
        <w:rPr>
          <w:iCs/>
          <w:color w:val="000000" w:themeColor="text1"/>
          <w:lang w:val="it-IT"/>
        </w:rPr>
        <w:t xml:space="preserve">). </w:t>
      </w:r>
    </w:p>
    <w:p w14:paraId="64BF98CF" w14:textId="77777777" w:rsidR="00FC026B" w:rsidRPr="00C56257" w:rsidRDefault="00FC026B" w:rsidP="00FC026B">
      <w:pPr>
        <w:keepNext/>
        <w:keepLines/>
        <w:ind w:left="720"/>
        <w:jc w:val="both"/>
        <w:outlineLvl w:val="2"/>
        <w:rPr>
          <w:b/>
          <w:color w:val="000000" w:themeColor="text1"/>
        </w:rPr>
      </w:pPr>
      <w:bookmarkStart w:id="8" w:name="_Toc5892780"/>
      <w:r w:rsidRPr="00C56257">
        <w:rPr>
          <w:b/>
          <w:color w:val="000000" w:themeColor="text1"/>
        </w:rPr>
        <w:t>Prelevarea de probe cu ajutorul scafandrului autonom</w:t>
      </w:r>
      <w:bookmarkEnd w:id="8"/>
      <w:r w:rsidRPr="00C56257">
        <w:rPr>
          <w:b/>
          <w:color w:val="000000" w:themeColor="text1"/>
        </w:rPr>
        <w:t xml:space="preserve"> </w:t>
      </w:r>
    </w:p>
    <w:p w14:paraId="25562E45" w14:textId="77777777" w:rsidR="00FC026B" w:rsidRPr="00C56257" w:rsidRDefault="00FC026B" w:rsidP="00FC026B">
      <w:pPr>
        <w:ind w:firstLine="284"/>
        <w:jc w:val="both"/>
        <w:rPr>
          <w:color w:val="000000" w:themeColor="text1"/>
        </w:rPr>
      </w:pPr>
      <w:r w:rsidRPr="00C56257">
        <w:rPr>
          <w:color w:val="000000" w:themeColor="text1"/>
        </w:rPr>
        <w:t xml:space="preserve">       Prelevarea de probe biologice (bentos), fizice și chimice se realizează în funcție de aspectele sesizate de experți în timpul scufundărilor. Prin analizarea acestor probe se obțin datele necesare pentru:</w:t>
      </w:r>
    </w:p>
    <w:p w14:paraId="7639C436" w14:textId="77777777" w:rsidR="00FC026B" w:rsidRPr="00C56257" w:rsidRDefault="00FC026B" w:rsidP="00FC026B">
      <w:pPr>
        <w:jc w:val="both"/>
        <w:rPr>
          <w:color w:val="000000" w:themeColor="text1"/>
        </w:rPr>
      </w:pPr>
      <w:r w:rsidRPr="00C56257">
        <w:rPr>
          <w:color w:val="000000" w:themeColor="text1"/>
        </w:rPr>
        <w:t>- caracterizarea habitatului sub toate aspectele, pentru o bună definire și descriere a sa;</w:t>
      </w:r>
    </w:p>
    <w:p w14:paraId="21293FD5" w14:textId="77777777" w:rsidR="00FC026B" w:rsidRPr="00C56257" w:rsidRDefault="00FC026B" w:rsidP="00FC026B">
      <w:pPr>
        <w:jc w:val="both"/>
        <w:rPr>
          <w:color w:val="000000" w:themeColor="text1"/>
        </w:rPr>
      </w:pPr>
      <w:r w:rsidRPr="00C56257">
        <w:rPr>
          <w:color w:val="000000" w:themeColor="text1"/>
        </w:rPr>
        <w:t>- definirea și cuantificarea stării de bună conservare a habitatelor</w:t>
      </w:r>
    </w:p>
    <w:p w14:paraId="46829DBA" w14:textId="77777777" w:rsidR="00FC026B" w:rsidRPr="00C56257" w:rsidRDefault="00FC026B" w:rsidP="00FC026B">
      <w:pPr>
        <w:ind w:firstLine="720"/>
        <w:jc w:val="both"/>
        <w:rPr>
          <w:color w:val="000000" w:themeColor="text1"/>
        </w:rPr>
      </w:pPr>
      <w:r w:rsidRPr="00C56257">
        <w:rPr>
          <w:color w:val="000000" w:themeColor="text1"/>
        </w:rPr>
        <w:t>La fiecare prelevare este obligatoriu a se utiliza GPS-ul, pentru confirmări și dovezi ulterioare în cazul identificării unor speci rare, periclitate sau cu valoare ecolgică deosebită.</w:t>
      </w:r>
    </w:p>
    <w:p w14:paraId="1BE9D020" w14:textId="77777777" w:rsidR="00FC026B" w:rsidRPr="00C56257" w:rsidRDefault="00FC026B" w:rsidP="00FC026B">
      <w:pPr>
        <w:keepNext/>
        <w:keepLines/>
        <w:jc w:val="both"/>
        <w:outlineLvl w:val="2"/>
        <w:rPr>
          <w:b/>
          <w:color w:val="000000" w:themeColor="text1"/>
        </w:rPr>
      </w:pPr>
      <w:r w:rsidRPr="00C56257">
        <w:rPr>
          <w:b/>
          <w:color w:val="000000" w:themeColor="text1"/>
        </w:rPr>
        <w:t xml:space="preserve">          </w:t>
      </w:r>
      <w:bookmarkStart w:id="9" w:name="_Toc5892781"/>
      <w:r w:rsidRPr="00C56257">
        <w:rPr>
          <w:b/>
          <w:color w:val="000000" w:themeColor="text1"/>
        </w:rPr>
        <w:t xml:space="preserve">  Cameră video tractată </w:t>
      </w:r>
      <w:bookmarkEnd w:id="9"/>
    </w:p>
    <w:p w14:paraId="73E21026" w14:textId="77777777" w:rsidR="00FC026B" w:rsidRPr="00C56257" w:rsidRDefault="00FC026B" w:rsidP="00FC026B">
      <w:pPr>
        <w:ind w:firstLine="720"/>
        <w:jc w:val="both"/>
        <w:rPr>
          <w:color w:val="000000" w:themeColor="text1"/>
        </w:rPr>
      </w:pPr>
      <w:r w:rsidRPr="00C56257">
        <w:rPr>
          <w:color w:val="000000" w:themeColor="text1"/>
        </w:rPr>
        <w:t xml:space="preserve">Este o metodă vizuală de investigare a vegetației și faunei bentice, dar și a substratului. Metoda este mult mai eficientă în ceea ce privește timpul necesar de efectuare comparativ cu metode precum scufundarea științifică sau utilizarea ROV-ului. De asemenea, este nevoie de un număr redus de persoane pentru a opera un astfel de echipament. </w:t>
      </w:r>
    </w:p>
    <w:p w14:paraId="4292684F" w14:textId="77777777" w:rsidR="00FC026B" w:rsidRPr="00C56257" w:rsidRDefault="00FC026B" w:rsidP="00FC026B">
      <w:pPr>
        <w:ind w:firstLine="720"/>
        <w:jc w:val="both"/>
        <w:rPr>
          <w:color w:val="000000" w:themeColor="text1"/>
        </w:rPr>
      </w:pPr>
      <w:r w:rsidRPr="00C56257">
        <w:rPr>
          <w:color w:val="000000" w:themeColor="text1"/>
        </w:rPr>
        <w:t xml:space="preserve">De menționat este faptul că în fiecare stație trebuie să fie lăsată o lățime adecvată a transectului de observare, în funcție de condițiile predominante precum vizibilitatea, vegetația, dar și câmpul vizual al camerei. Deoarece câmpul vizual diferă dela o cameră la alta, este important să se decidă la ce distanță față de fundul mării se obține lățimea de înregistrare dorită. Acest lucru poate fi realizat cu ușurință prin plasarea unei benzi măsurabile pe fundul unui bazin sau pe fundul mării într-o zonă nisipoasă de mică adâncime. Efectuarea acestei măsurări pe uscat nu este recomandată deoarece câmpul vizual al majorității camerelor se schimbă sub apă. Se recomandă ca aparatul foto să fie protejat cu un cadru, pentru a nu fi deteriorat la contactul cu substratul. </w:t>
      </w:r>
    </w:p>
    <w:p w14:paraId="05B864C3" w14:textId="77777777" w:rsidR="00FC026B" w:rsidRPr="00C56257" w:rsidRDefault="00FC026B" w:rsidP="00FC026B">
      <w:pPr>
        <w:ind w:firstLine="720"/>
        <w:jc w:val="both"/>
        <w:rPr>
          <w:color w:val="000000" w:themeColor="text1"/>
        </w:rPr>
      </w:pPr>
      <w:r w:rsidRPr="00C56257">
        <w:rPr>
          <w:color w:val="000000" w:themeColor="text1"/>
        </w:rPr>
        <w:t>Dezavantajul metodei constă însă în faptul că are o rezoluție taxonomică foarte redusă și trebuie efectuată în combinație cu altă metodă pentru a minimiza acest dezavantaj. Este recomandat ca, din loc în loc, acolo unde este necesar, să se efectueze și scufundări științifice pentru o bună identificare a speciilor care, datorită asemănării morfologice cu alte specii, devin ușor de confundat.</w:t>
      </w:r>
    </w:p>
    <w:p w14:paraId="0DFE39F3" w14:textId="77777777" w:rsidR="00FC026B" w:rsidRPr="00C56257" w:rsidRDefault="00FC026B" w:rsidP="00FC026B">
      <w:pPr>
        <w:ind w:firstLine="720"/>
        <w:jc w:val="both"/>
        <w:rPr>
          <w:color w:val="000000" w:themeColor="text1"/>
        </w:rPr>
      </w:pPr>
      <w:r w:rsidRPr="00C56257">
        <w:rPr>
          <w:color w:val="000000" w:themeColor="text1"/>
        </w:rPr>
        <w:t>Persoana care urmărește imaginile transmise de cameră trebuie să comunice în permanență cu conducătorul ambarcațiunii pentru se nota coordonatele zonelor de unde se doresc mai multe informații. Apoi, după ce transectul monitorizat a fost terminat, să se poată întoarce în aceste puncte și să se obțină imagini mai bune sau chiar organisme vii cu ajutorul scafandrului autonom. Organismele vii pot fi identificate și fotografiate în barcă sau pot fi conservate în alcool 70%.</w:t>
      </w:r>
    </w:p>
    <w:p w14:paraId="6D01E017" w14:textId="77777777" w:rsidR="00FC026B" w:rsidRPr="00C56257" w:rsidRDefault="00FC026B" w:rsidP="00FC026B">
      <w:pPr>
        <w:ind w:firstLine="720"/>
        <w:jc w:val="both"/>
        <w:rPr>
          <w:color w:val="000000" w:themeColor="text1"/>
        </w:rPr>
      </w:pPr>
      <w:r w:rsidRPr="00C56257">
        <w:rPr>
          <w:color w:val="000000" w:themeColor="text1"/>
        </w:rPr>
        <w:t>Ca o recomandare generală, pentru a obține un film de bună calitate, viteza bărcii nu trebuie să depășească 0,3 noduri (aproape 10 m/min.).</w:t>
      </w:r>
    </w:p>
    <w:p w14:paraId="7BFEB0C3" w14:textId="77777777" w:rsidR="00FC026B" w:rsidRPr="00C56257" w:rsidRDefault="00FC026B" w:rsidP="00FC026B">
      <w:pPr>
        <w:keepNext/>
        <w:keepLines/>
        <w:jc w:val="both"/>
        <w:outlineLvl w:val="2"/>
        <w:rPr>
          <w:b/>
          <w:color w:val="000000" w:themeColor="text1"/>
        </w:rPr>
      </w:pPr>
      <w:r w:rsidRPr="00C56257">
        <w:rPr>
          <w:b/>
          <w:color w:val="000000" w:themeColor="text1"/>
        </w:rPr>
        <w:t xml:space="preserve">            Observații utilizând ROV-ul      </w:t>
      </w:r>
    </w:p>
    <w:p w14:paraId="74D023F2" w14:textId="77777777" w:rsidR="00FC026B" w:rsidRPr="00C56257" w:rsidRDefault="00FC026B" w:rsidP="00FC026B">
      <w:pPr>
        <w:ind w:firstLine="709"/>
        <w:jc w:val="both"/>
        <w:rPr>
          <w:color w:val="000000" w:themeColor="text1"/>
        </w:rPr>
      </w:pPr>
      <w:r w:rsidRPr="00C56257">
        <w:rPr>
          <w:color w:val="000000" w:themeColor="text1"/>
        </w:rPr>
        <w:t>Vehicolele subacvatice controlate de la distanță (ROV) pot fi folosite ca instrumente de cercetare cu care se pot obține date științifice foarte importante. ROV-ul este un instrument excelent de observare și monitorizare a habitatelor marine, mai ales în zonele unde scufundarea științifică este greu sau imposibil de executat.</w:t>
      </w:r>
    </w:p>
    <w:p w14:paraId="6FFFE589" w14:textId="77777777" w:rsidR="00FC026B" w:rsidRPr="00C56257" w:rsidRDefault="00FC026B" w:rsidP="00FC026B">
      <w:pPr>
        <w:ind w:firstLine="709"/>
        <w:jc w:val="both"/>
        <w:rPr>
          <w:color w:val="000000" w:themeColor="text1"/>
        </w:rPr>
      </w:pPr>
      <w:r w:rsidRPr="00C56257">
        <w:rPr>
          <w:color w:val="000000" w:themeColor="text1"/>
        </w:rPr>
        <w:t>Manevrabilitatea ușoară și vizualizarea în timp real fac ca observatorul să aibă un control mai bun în timpul observațiilor comparativ cu metoda camerei tractate.</w:t>
      </w:r>
    </w:p>
    <w:p w14:paraId="4715A4E4" w14:textId="77777777" w:rsidR="00FC026B" w:rsidRPr="00C56257" w:rsidRDefault="00FC026B" w:rsidP="00FC026B">
      <w:pPr>
        <w:ind w:firstLine="709"/>
        <w:jc w:val="both"/>
        <w:rPr>
          <w:color w:val="000000" w:themeColor="text1"/>
        </w:rPr>
      </w:pPr>
      <w:r w:rsidRPr="00C56257">
        <w:rPr>
          <w:color w:val="000000" w:themeColor="text1"/>
        </w:rPr>
        <w:lastRenderedPageBreak/>
        <w:t>Suprafața care poate fi acoperită în timpul observațiilor cu un ROV este variabilă și depinde de o serie de factori, printre care unul dintre cei mai importanți este adâncimea în zona de lucru. De exemplu, un ROV care se deplasează cu o viteză de 0,3 noduri (0,154 m/s) va parcurge într-o oră 450 m și o suprafață de 1080 m</w:t>
      </w:r>
      <w:r w:rsidRPr="00C56257">
        <w:rPr>
          <w:color w:val="000000" w:themeColor="text1"/>
          <w:vertAlign w:val="superscript"/>
        </w:rPr>
        <w:t>2</w:t>
      </w:r>
      <w:r w:rsidRPr="00C56257">
        <w:rPr>
          <w:color w:val="000000" w:themeColor="text1"/>
        </w:rPr>
        <w:t>,</w:t>
      </w:r>
      <w:r w:rsidRPr="00C56257">
        <w:rPr>
          <w:color w:val="000000" w:themeColor="text1"/>
          <w:vertAlign w:val="superscript"/>
        </w:rPr>
        <w:t xml:space="preserve"> </w:t>
      </w:r>
      <w:r w:rsidRPr="00C56257">
        <w:rPr>
          <w:color w:val="000000" w:themeColor="text1"/>
        </w:rPr>
        <w:t>dacă considerăm lățimea transectului ca având undeva la 2 m.</w:t>
      </w:r>
    </w:p>
    <w:p w14:paraId="24639CDD" w14:textId="77777777" w:rsidR="00FC026B" w:rsidRPr="00C56257" w:rsidRDefault="00FC026B" w:rsidP="00FC026B">
      <w:pPr>
        <w:ind w:firstLine="709"/>
        <w:jc w:val="both"/>
        <w:rPr>
          <w:color w:val="000000" w:themeColor="text1"/>
        </w:rPr>
      </w:pPr>
      <w:r w:rsidRPr="00C56257">
        <w:rPr>
          <w:color w:val="000000" w:themeColor="text1"/>
        </w:rPr>
        <w:t>În timpul observațiilor cu ROV-ul, în funcție de obiectivul urmărit, se pot urmări metode diferite de căutare. Dacă se ancorează, se pot realiza metode complexe, cum ar fi căutarea radiară (tip roată cu spițe) sau căutări circulare prin realizarea de cercuri din ce în ce mai mari (în timpul acestui mod de căutare ROV-ul trebuie să se deplaseze odată în sensul acelor ceasornice și odată invers, pentru a nu încurca cablul).</w:t>
      </w:r>
    </w:p>
    <w:p w14:paraId="1C85A28E" w14:textId="77777777" w:rsidR="00FC026B" w:rsidRPr="00C56257" w:rsidRDefault="00FC026B" w:rsidP="00FC026B">
      <w:pPr>
        <w:ind w:firstLine="709"/>
        <w:jc w:val="both"/>
        <w:rPr>
          <w:color w:val="000000" w:themeColor="text1"/>
        </w:rPr>
      </w:pPr>
      <w:r w:rsidRPr="00C56257">
        <w:rPr>
          <w:color w:val="000000" w:themeColor="text1"/>
        </w:rPr>
        <w:t>Cea mai potrivită metodă pentru monitorizarea habitatelor considerăm că este cea pe transecte. În planificarea și dispunea transectelor trebuie să se țină cont, pe cât posibil, ca deplasarea ROV-ului să se facă pe direcția curentului. O altă recomandare este de a poziționa echipamentul pe direcția transectului înainte de punctul de început al transectului, astfel încât să aibă o poziție stabilă când ajunge pe transect. Odată ce ROV-ul a intrat pe transect, operatorul îl poate pune pe pilot automat pentru a menține cursul dorit. Este de dorit să se păstreze o distanță constantă față de fundul mării, astfel încât să se obțină un câmp vizual bun.</w:t>
      </w:r>
    </w:p>
    <w:p w14:paraId="4DB9D403" w14:textId="77777777" w:rsidR="00FC026B" w:rsidRPr="00C56257" w:rsidRDefault="00FC026B" w:rsidP="00FC026B">
      <w:pPr>
        <w:ind w:firstLine="709"/>
        <w:jc w:val="both"/>
        <w:rPr>
          <w:color w:val="000000" w:themeColor="text1"/>
        </w:rPr>
      </w:pPr>
      <w:r w:rsidRPr="00C56257">
        <w:rPr>
          <w:color w:val="000000" w:themeColor="text1"/>
        </w:rPr>
        <w:t>La nevoie, se pot face opriri de-a lungul transectului pentru a se prelua imagini și informații suplimentare. Acestea pot ajuta fie la observarea mai în detaliu a unor fenomene, fie la identificarea unor specii de alge, nevertebrate sau pești.</w:t>
      </w:r>
    </w:p>
    <w:p w14:paraId="6D075A4B" w14:textId="77777777" w:rsidR="00FC026B" w:rsidRPr="00C56257" w:rsidRDefault="00FC026B" w:rsidP="00FC026B">
      <w:pPr>
        <w:jc w:val="both"/>
        <w:rPr>
          <w:b/>
          <w:color w:val="000000" w:themeColor="text1"/>
        </w:rPr>
      </w:pPr>
      <w:r w:rsidRPr="00C56257">
        <w:rPr>
          <w:b/>
          <w:color w:val="000000" w:themeColor="text1"/>
        </w:rPr>
        <w:t xml:space="preserve">            Cartarea topografică și batimetrică a stațiilor/ploturilor</w:t>
      </w:r>
    </w:p>
    <w:p w14:paraId="4E1FDBF7" w14:textId="77777777" w:rsidR="00FC026B" w:rsidRPr="00C56257" w:rsidRDefault="00FC026B" w:rsidP="00FC026B">
      <w:pPr>
        <w:ind w:firstLine="720"/>
        <w:jc w:val="both"/>
        <w:rPr>
          <w:color w:val="000000" w:themeColor="text1"/>
          <w:u w:val="single"/>
          <w:shd w:val="clear" w:color="auto" w:fill="FFFFFF"/>
        </w:rPr>
      </w:pPr>
      <w:proofErr w:type="spellStart"/>
      <w:r w:rsidRPr="00C56257">
        <w:rPr>
          <w:color w:val="000000" w:themeColor="text1"/>
          <w:lang w:val="x-none"/>
        </w:rPr>
        <w:t>Pentru</w:t>
      </w:r>
      <w:proofErr w:type="spellEnd"/>
      <w:r w:rsidRPr="00C56257">
        <w:rPr>
          <w:color w:val="000000" w:themeColor="text1"/>
          <w:lang w:val="x-none"/>
        </w:rPr>
        <w:t xml:space="preserve"> </w:t>
      </w:r>
      <w:proofErr w:type="spellStart"/>
      <w:r w:rsidRPr="00C56257">
        <w:rPr>
          <w:color w:val="000000" w:themeColor="text1"/>
          <w:lang w:val="x-none"/>
        </w:rPr>
        <w:t>obţinerea</w:t>
      </w:r>
      <w:proofErr w:type="spellEnd"/>
      <w:r w:rsidRPr="00C56257">
        <w:rPr>
          <w:color w:val="000000" w:themeColor="text1"/>
          <w:lang w:val="x-none"/>
        </w:rPr>
        <w:t xml:space="preserve"> </w:t>
      </w:r>
      <w:r w:rsidRPr="00C56257">
        <w:rPr>
          <w:color w:val="000000" w:themeColor="text1"/>
        </w:rPr>
        <w:t xml:space="preserve">unor </w:t>
      </w:r>
      <w:proofErr w:type="spellStart"/>
      <w:r w:rsidRPr="00C56257">
        <w:rPr>
          <w:color w:val="000000" w:themeColor="text1"/>
          <w:lang w:val="x-none"/>
        </w:rPr>
        <w:t>imagini</w:t>
      </w:r>
      <w:proofErr w:type="spellEnd"/>
      <w:r w:rsidRPr="00C56257">
        <w:rPr>
          <w:color w:val="000000" w:themeColor="text1"/>
          <w:lang w:val="x-none"/>
        </w:rPr>
        <w:t xml:space="preserve"> </w:t>
      </w:r>
      <w:proofErr w:type="spellStart"/>
      <w:r w:rsidRPr="00C56257">
        <w:rPr>
          <w:color w:val="000000" w:themeColor="text1"/>
          <w:lang w:val="x-none"/>
        </w:rPr>
        <w:t>aeriene</w:t>
      </w:r>
      <w:proofErr w:type="spellEnd"/>
      <w:r w:rsidRPr="00C56257">
        <w:rPr>
          <w:color w:val="000000" w:themeColor="text1"/>
          <w:lang w:val="x-none"/>
        </w:rPr>
        <w:t xml:space="preserve"> cu </w:t>
      </w:r>
      <w:proofErr w:type="spellStart"/>
      <w:r w:rsidRPr="00C56257">
        <w:rPr>
          <w:color w:val="000000" w:themeColor="text1"/>
          <w:lang w:val="x-none"/>
        </w:rPr>
        <w:t>rezoluţie</w:t>
      </w:r>
      <w:proofErr w:type="spellEnd"/>
      <w:r w:rsidRPr="00C56257">
        <w:rPr>
          <w:color w:val="000000" w:themeColor="text1"/>
          <w:lang w:val="x-none"/>
        </w:rPr>
        <w:t xml:space="preserve"> mare </w:t>
      </w:r>
      <w:r w:rsidRPr="00C56257">
        <w:rPr>
          <w:color w:val="000000" w:themeColor="text1"/>
        </w:rPr>
        <w:t>și cartarea topogafică a stațiilor/ploturilor se folosesc drone/UAV (unmanned aerial vehicle/aeronavă fără pilot) și echipamente GPS (cel puțin clasa GIS).</w:t>
      </w:r>
      <w:r w:rsidRPr="00C56257">
        <w:rPr>
          <w:color w:val="000000" w:themeColor="text1"/>
        </w:rPr>
        <w:fldChar w:fldCharType="begin"/>
      </w:r>
      <w:r w:rsidRPr="00C56257">
        <w:rPr>
          <w:color w:val="000000" w:themeColor="text1"/>
        </w:rPr>
        <w:instrText xml:space="preserve"> HYPERLINK "https://en.wikipedia.org/wiki/Unmanned_aerial_vehicle" </w:instrText>
      </w:r>
      <w:r w:rsidRPr="00C56257">
        <w:rPr>
          <w:color w:val="000000" w:themeColor="text1"/>
        </w:rPr>
      </w:r>
      <w:r w:rsidRPr="00C56257">
        <w:rPr>
          <w:color w:val="000000" w:themeColor="text1"/>
        </w:rPr>
        <w:fldChar w:fldCharType="separate"/>
      </w:r>
    </w:p>
    <w:p w14:paraId="37468226" w14:textId="77777777" w:rsidR="00FC026B" w:rsidRPr="00C56257" w:rsidRDefault="00FC026B" w:rsidP="00FC026B">
      <w:pPr>
        <w:autoSpaceDE w:val="0"/>
        <w:autoSpaceDN w:val="0"/>
        <w:adjustRightInd w:val="0"/>
        <w:ind w:firstLine="720"/>
        <w:jc w:val="both"/>
        <w:rPr>
          <w:color w:val="000000" w:themeColor="text1"/>
        </w:rPr>
      </w:pPr>
      <w:r w:rsidRPr="00C56257">
        <w:rPr>
          <w:color w:val="000000" w:themeColor="text1"/>
        </w:rPr>
        <w:fldChar w:fldCharType="end"/>
      </w:r>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scopul</w:t>
      </w:r>
      <w:proofErr w:type="spellEnd"/>
      <w:r w:rsidRPr="00C56257">
        <w:rPr>
          <w:color w:val="000000" w:themeColor="text1"/>
          <w:lang w:val="x-none"/>
        </w:rPr>
        <w:t xml:space="preserve"> de a </w:t>
      </w:r>
      <w:proofErr w:type="spellStart"/>
      <w:r w:rsidRPr="00C56257">
        <w:rPr>
          <w:color w:val="000000" w:themeColor="text1"/>
          <w:lang w:val="x-none"/>
        </w:rPr>
        <w:t>îmbunătăți</w:t>
      </w:r>
      <w:proofErr w:type="spellEnd"/>
      <w:r w:rsidRPr="00C56257">
        <w:rPr>
          <w:color w:val="000000" w:themeColor="text1"/>
          <w:lang w:val="x-none"/>
        </w:rPr>
        <w:t xml:space="preserve"> </w:t>
      </w:r>
      <w:proofErr w:type="spellStart"/>
      <w:r w:rsidRPr="00C56257">
        <w:rPr>
          <w:color w:val="000000" w:themeColor="text1"/>
          <w:lang w:val="x-none"/>
        </w:rPr>
        <w:t>activitatea</w:t>
      </w:r>
      <w:proofErr w:type="spellEnd"/>
      <w:r w:rsidRPr="00C56257">
        <w:rPr>
          <w:color w:val="000000" w:themeColor="text1"/>
          <w:lang w:val="x-none"/>
        </w:rPr>
        <w:t xml:space="preserve"> </w:t>
      </w:r>
      <w:proofErr w:type="spellStart"/>
      <w:r w:rsidRPr="00C56257">
        <w:rPr>
          <w:color w:val="000000" w:themeColor="text1"/>
          <w:lang w:val="x-none"/>
        </w:rPr>
        <w:t>și</w:t>
      </w:r>
      <w:proofErr w:type="spellEnd"/>
      <w:r w:rsidRPr="00C56257">
        <w:rPr>
          <w:color w:val="000000" w:themeColor="text1"/>
          <w:lang w:val="x-none"/>
        </w:rPr>
        <w:t xml:space="preserve"> </w:t>
      </w:r>
      <w:proofErr w:type="spellStart"/>
      <w:r w:rsidRPr="00C56257">
        <w:rPr>
          <w:color w:val="000000" w:themeColor="text1"/>
          <w:lang w:val="x-none"/>
        </w:rPr>
        <w:t>obținerea</w:t>
      </w:r>
      <w:proofErr w:type="spellEnd"/>
      <w:r w:rsidRPr="00C56257">
        <w:rPr>
          <w:color w:val="000000" w:themeColor="text1"/>
          <w:lang w:val="x-none"/>
        </w:rPr>
        <w:t xml:space="preserve"> </w:t>
      </w:r>
      <w:proofErr w:type="spellStart"/>
      <w:r w:rsidRPr="00C56257">
        <w:rPr>
          <w:color w:val="000000" w:themeColor="text1"/>
          <w:lang w:val="x-none"/>
        </w:rPr>
        <w:t>unor</w:t>
      </w:r>
      <w:proofErr w:type="spellEnd"/>
      <w:r w:rsidRPr="00C56257">
        <w:rPr>
          <w:color w:val="000000" w:themeColor="text1"/>
          <w:lang w:val="x-none"/>
        </w:rPr>
        <w:t xml:space="preserve"> </w:t>
      </w:r>
      <w:proofErr w:type="spellStart"/>
      <w:r w:rsidRPr="00C56257">
        <w:rPr>
          <w:color w:val="000000" w:themeColor="text1"/>
          <w:lang w:val="x-none"/>
        </w:rPr>
        <w:t>rezultate</w:t>
      </w:r>
      <w:proofErr w:type="spellEnd"/>
      <w:r w:rsidRPr="00C56257">
        <w:rPr>
          <w:color w:val="000000" w:themeColor="text1"/>
          <w:lang w:val="x-none"/>
        </w:rPr>
        <w:t xml:space="preserve"> </w:t>
      </w:r>
      <w:proofErr w:type="spellStart"/>
      <w:r w:rsidRPr="00C56257">
        <w:rPr>
          <w:color w:val="000000" w:themeColor="text1"/>
          <w:lang w:val="x-none"/>
        </w:rPr>
        <w:t>corecte</w:t>
      </w:r>
      <w:proofErr w:type="spellEnd"/>
      <w:r w:rsidRPr="00C56257">
        <w:rPr>
          <w:color w:val="000000" w:themeColor="text1"/>
          <w:lang w:val="x-none"/>
        </w:rPr>
        <w:t xml:space="preserve"> </w:t>
      </w:r>
      <w:proofErr w:type="spellStart"/>
      <w:r w:rsidRPr="00C56257">
        <w:rPr>
          <w:color w:val="000000" w:themeColor="text1"/>
          <w:lang w:val="x-none"/>
        </w:rPr>
        <w:t>și</w:t>
      </w:r>
      <w:proofErr w:type="spellEnd"/>
      <w:r w:rsidRPr="00C56257">
        <w:rPr>
          <w:color w:val="000000" w:themeColor="text1"/>
          <w:lang w:val="x-none"/>
        </w:rPr>
        <w:t xml:space="preserve"> precise, </w:t>
      </w:r>
      <w:proofErr w:type="spellStart"/>
      <w:r w:rsidRPr="00C56257">
        <w:rPr>
          <w:color w:val="000000" w:themeColor="text1"/>
          <w:lang w:val="x-none"/>
        </w:rPr>
        <w:t>activitatea</w:t>
      </w:r>
      <w:proofErr w:type="spellEnd"/>
      <w:r w:rsidRPr="00C56257">
        <w:rPr>
          <w:color w:val="000000" w:themeColor="text1"/>
          <w:lang w:val="x-none"/>
        </w:rPr>
        <w:t xml:space="preserve"> </w:t>
      </w:r>
      <w:r w:rsidRPr="00C56257">
        <w:rPr>
          <w:color w:val="000000" w:themeColor="text1"/>
        </w:rPr>
        <w:t>se organizează</w:t>
      </w:r>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patru</w:t>
      </w:r>
      <w:proofErr w:type="spellEnd"/>
      <w:r w:rsidRPr="00C56257">
        <w:rPr>
          <w:color w:val="000000" w:themeColor="text1"/>
          <w:lang w:val="x-none"/>
        </w:rPr>
        <w:t xml:space="preserve"> </w:t>
      </w:r>
      <w:proofErr w:type="spellStart"/>
      <w:r w:rsidRPr="00C56257">
        <w:rPr>
          <w:color w:val="000000" w:themeColor="text1"/>
          <w:lang w:val="x-none"/>
        </w:rPr>
        <w:t>categorii</w:t>
      </w:r>
      <w:proofErr w:type="spellEnd"/>
      <w:r w:rsidRPr="00C56257">
        <w:rPr>
          <w:color w:val="000000" w:themeColor="text1"/>
          <w:lang w:val="x-none"/>
        </w:rPr>
        <w:t xml:space="preserve"> </w:t>
      </w:r>
      <w:proofErr w:type="spellStart"/>
      <w:r w:rsidRPr="00C56257">
        <w:rPr>
          <w:color w:val="000000" w:themeColor="text1"/>
          <w:lang w:val="x-none"/>
        </w:rPr>
        <w:t>distincte</w:t>
      </w:r>
      <w:proofErr w:type="spellEnd"/>
      <w:r w:rsidRPr="00C56257">
        <w:rPr>
          <w:color w:val="000000" w:themeColor="text1"/>
          <w:lang w:val="x-none"/>
        </w:rPr>
        <w:t xml:space="preserve">: </w:t>
      </w:r>
      <w:proofErr w:type="spellStart"/>
      <w:r w:rsidRPr="00C56257">
        <w:rPr>
          <w:color w:val="000000" w:themeColor="text1"/>
          <w:lang w:val="x-none"/>
        </w:rPr>
        <w:t>misiune</w:t>
      </w:r>
      <w:proofErr w:type="spellEnd"/>
      <w:r w:rsidRPr="00C56257">
        <w:rPr>
          <w:color w:val="000000" w:themeColor="text1"/>
          <w:lang w:val="x-none"/>
        </w:rPr>
        <w:t xml:space="preserve"> de </w:t>
      </w:r>
      <w:proofErr w:type="spellStart"/>
      <w:r w:rsidRPr="00C56257">
        <w:rPr>
          <w:color w:val="000000" w:themeColor="text1"/>
          <w:lang w:val="x-none"/>
        </w:rPr>
        <w:t>planificare</w:t>
      </w:r>
      <w:proofErr w:type="spellEnd"/>
      <w:r w:rsidRPr="00C56257">
        <w:rPr>
          <w:color w:val="000000" w:themeColor="text1"/>
          <w:lang w:val="x-none"/>
        </w:rPr>
        <w:t xml:space="preserve">, de </w:t>
      </w:r>
      <w:proofErr w:type="spellStart"/>
      <w:r w:rsidRPr="00C56257">
        <w:rPr>
          <w:color w:val="000000" w:themeColor="text1"/>
          <w:lang w:val="x-none"/>
        </w:rPr>
        <w:t>pregătire</w:t>
      </w:r>
      <w:proofErr w:type="spellEnd"/>
      <w:r w:rsidRPr="00C56257">
        <w:rPr>
          <w:color w:val="000000" w:themeColor="text1"/>
          <w:lang w:val="x-none"/>
        </w:rPr>
        <w:t xml:space="preserve">, </w:t>
      </w:r>
      <w:proofErr w:type="spellStart"/>
      <w:r w:rsidRPr="00C56257">
        <w:rPr>
          <w:color w:val="000000" w:themeColor="text1"/>
          <w:lang w:val="x-none"/>
        </w:rPr>
        <w:t>operațiunile</w:t>
      </w:r>
      <w:proofErr w:type="spellEnd"/>
      <w:r w:rsidRPr="00C56257">
        <w:rPr>
          <w:color w:val="000000" w:themeColor="text1"/>
          <w:lang w:val="x-none"/>
        </w:rPr>
        <w:t xml:space="preserve"> de </w:t>
      </w:r>
      <w:proofErr w:type="spellStart"/>
      <w:r w:rsidRPr="00C56257">
        <w:rPr>
          <w:color w:val="000000" w:themeColor="text1"/>
          <w:lang w:val="x-none"/>
        </w:rPr>
        <w:t>zbor</w:t>
      </w:r>
      <w:proofErr w:type="spellEnd"/>
      <w:r w:rsidRPr="00C56257">
        <w:rPr>
          <w:color w:val="000000" w:themeColor="text1"/>
          <w:lang w:val="x-none"/>
        </w:rPr>
        <w:t xml:space="preserve"> </w:t>
      </w:r>
      <w:proofErr w:type="spellStart"/>
      <w:r w:rsidRPr="00C56257">
        <w:rPr>
          <w:color w:val="000000" w:themeColor="text1"/>
          <w:lang w:val="x-none"/>
        </w:rPr>
        <w:t>și</w:t>
      </w:r>
      <w:proofErr w:type="spellEnd"/>
      <w:r w:rsidRPr="00C56257">
        <w:rPr>
          <w:color w:val="000000" w:themeColor="text1"/>
          <w:lang w:val="x-none"/>
        </w:rPr>
        <w:t xml:space="preserve"> </w:t>
      </w:r>
      <w:proofErr w:type="spellStart"/>
      <w:r w:rsidRPr="00C56257">
        <w:rPr>
          <w:color w:val="000000" w:themeColor="text1"/>
          <w:lang w:val="x-none"/>
        </w:rPr>
        <w:t>prelucrare</w:t>
      </w:r>
      <w:proofErr w:type="spellEnd"/>
      <w:r w:rsidRPr="00C56257">
        <w:rPr>
          <w:color w:val="000000" w:themeColor="text1"/>
          <w:lang w:val="x-none"/>
        </w:rPr>
        <w:t xml:space="preserve"> a </w:t>
      </w:r>
      <w:proofErr w:type="spellStart"/>
      <w:r w:rsidRPr="00C56257">
        <w:rPr>
          <w:color w:val="000000" w:themeColor="text1"/>
          <w:lang w:val="x-none"/>
        </w:rPr>
        <w:t>datelor</w:t>
      </w:r>
      <w:proofErr w:type="spellEnd"/>
      <w:r w:rsidRPr="00C56257">
        <w:rPr>
          <w:color w:val="000000" w:themeColor="text1"/>
          <w:lang w:val="x-none"/>
        </w:rPr>
        <w:t>.</w:t>
      </w:r>
    </w:p>
    <w:p w14:paraId="26FBC978" w14:textId="77777777" w:rsidR="00FC026B" w:rsidRPr="00C56257" w:rsidRDefault="00FC026B" w:rsidP="00FC026B">
      <w:pPr>
        <w:autoSpaceDE w:val="0"/>
        <w:autoSpaceDN w:val="0"/>
        <w:adjustRightInd w:val="0"/>
        <w:ind w:firstLine="720"/>
        <w:jc w:val="both"/>
        <w:rPr>
          <w:color w:val="000000" w:themeColor="text1"/>
          <w:lang w:val="fr-FR"/>
        </w:rPr>
      </w:pPr>
      <w:proofErr w:type="spellStart"/>
      <w:r w:rsidRPr="00C56257">
        <w:rPr>
          <w:color w:val="000000" w:themeColor="text1"/>
          <w:lang w:val="fr-FR"/>
        </w:rPr>
        <w:t>Pregătirea</w:t>
      </w:r>
      <w:proofErr w:type="spellEnd"/>
      <w:r w:rsidRPr="00C56257">
        <w:rPr>
          <w:color w:val="000000" w:themeColor="text1"/>
          <w:lang w:val="fr-FR"/>
        </w:rPr>
        <w:t xml:space="preserve"> site-</w:t>
      </w:r>
      <w:proofErr w:type="spellStart"/>
      <w:r w:rsidRPr="00C56257">
        <w:rPr>
          <w:color w:val="000000" w:themeColor="text1"/>
          <w:lang w:val="fr-FR"/>
        </w:rPr>
        <w:t>ului</w:t>
      </w:r>
      <w:proofErr w:type="spellEnd"/>
      <w:r w:rsidRPr="00C56257">
        <w:rPr>
          <w:color w:val="000000" w:themeColor="text1"/>
          <w:lang w:val="fr-FR"/>
        </w:rPr>
        <w:t xml:space="preserve"> de </w:t>
      </w:r>
      <w:proofErr w:type="spellStart"/>
      <w:r w:rsidRPr="00C56257">
        <w:rPr>
          <w:color w:val="000000" w:themeColor="text1"/>
          <w:lang w:val="fr-FR"/>
        </w:rPr>
        <w:t>lucru</w:t>
      </w:r>
      <w:proofErr w:type="spellEnd"/>
      <w:r w:rsidRPr="00C56257">
        <w:rPr>
          <w:color w:val="000000" w:themeColor="text1"/>
          <w:lang w:val="fr-FR"/>
        </w:rPr>
        <w:t xml:space="preserve"> este, </w:t>
      </w:r>
      <w:proofErr w:type="spellStart"/>
      <w:r w:rsidRPr="00C56257">
        <w:rPr>
          <w:color w:val="000000" w:themeColor="text1"/>
          <w:lang w:val="fr-FR"/>
        </w:rPr>
        <w:t>probabil</w:t>
      </w:r>
      <w:proofErr w:type="spellEnd"/>
      <w:r w:rsidRPr="00C56257">
        <w:rPr>
          <w:color w:val="000000" w:themeColor="text1"/>
          <w:lang w:val="fr-FR"/>
        </w:rPr>
        <w:t xml:space="preserve">, </w:t>
      </w:r>
      <w:proofErr w:type="spellStart"/>
      <w:r w:rsidRPr="00C56257">
        <w:rPr>
          <w:color w:val="000000" w:themeColor="text1"/>
          <w:lang w:val="fr-FR"/>
        </w:rPr>
        <w:t>cel</w:t>
      </w:r>
      <w:proofErr w:type="spellEnd"/>
      <w:r w:rsidRPr="00C56257">
        <w:rPr>
          <w:color w:val="000000" w:themeColor="text1"/>
          <w:lang w:val="fr-FR"/>
        </w:rPr>
        <w:t xml:space="preserve"> mai important pas, </w:t>
      </w:r>
      <w:proofErr w:type="spellStart"/>
      <w:r w:rsidRPr="00C56257">
        <w:rPr>
          <w:color w:val="000000" w:themeColor="text1"/>
          <w:lang w:val="fr-FR"/>
        </w:rPr>
        <w:t>deoarece</w:t>
      </w:r>
      <w:proofErr w:type="spellEnd"/>
      <w:r w:rsidRPr="00C56257">
        <w:rPr>
          <w:color w:val="000000" w:themeColor="text1"/>
          <w:lang w:val="fr-FR"/>
        </w:rPr>
        <w:t xml:space="preserve"> </w:t>
      </w:r>
      <w:proofErr w:type="spellStart"/>
      <w:r w:rsidRPr="00C56257">
        <w:rPr>
          <w:color w:val="000000" w:themeColor="text1"/>
          <w:lang w:val="fr-FR"/>
        </w:rPr>
        <w:t>rezultatele</w:t>
      </w:r>
      <w:proofErr w:type="spellEnd"/>
      <w:r w:rsidRPr="00C56257">
        <w:rPr>
          <w:color w:val="000000" w:themeColor="text1"/>
          <w:lang w:val="fr-FR"/>
        </w:rPr>
        <w:t xml:space="preserve"> </w:t>
      </w:r>
      <w:proofErr w:type="spellStart"/>
      <w:r w:rsidRPr="00C56257">
        <w:rPr>
          <w:color w:val="000000" w:themeColor="text1"/>
          <w:lang w:val="fr-FR"/>
        </w:rPr>
        <w:t>depind</w:t>
      </w:r>
      <w:proofErr w:type="spellEnd"/>
      <w:r w:rsidRPr="00C56257">
        <w:rPr>
          <w:color w:val="000000" w:themeColor="text1"/>
          <w:lang w:val="fr-FR"/>
        </w:rPr>
        <w:t xml:space="preserve"> de </w:t>
      </w:r>
      <w:proofErr w:type="spellStart"/>
      <w:r w:rsidRPr="00C56257">
        <w:rPr>
          <w:color w:val="000000" w:themeColor="text1"/>
          <w:lang w:val="fr-FR"/>
        </w:rPr>
        <w:t>plasarea</w:t>
      </w:r>
      <w:proofErr w:type="spellEnd"/>
      <w:r w:rsidRPr="00C56257">
        <w:rPr>
          <w:color w:val="000000" w:themeColor="text1"/>
          <w:lang w:val="fr-FR"/>
        </w:rPr>
        <w:t xml:space="preserve"> </w:t>
      </w:r>
      <w:proofErr w:type="spellStart"/>
      <w:r w:rsidRPr="00C56257">
        <w:rPr>
          <w:color w:val="000000" w:themeColor="text1"/>
          <w:lang w:val="fr-FR"/>
        </w:rPr>
        <w:t>existentă</w:t>
      </w:r>
      <w:proofErr w:type="spellEnd"/>
      <w:r w:rsidRPr="00C56257">
        <w:rPr>
          <w:color w:val="000000" w:themeColor="text1"/>
          <w:lang w:val="fr-FR"/>
        </w:rPr>
        <w:t xml:space="preserve"> </w:t>
      </w:r>
      <w:proofErr w:type="spellStart"/>
      <w:r w:rsidRPr="00C56257">
        <w:rPr>
          <w:color w:val="000000" w:themeColor="text1"/>
          <w:lang w:val="fr-FR"/>
        </w:rPr>
        <w:t>și</w:t>
      </w:r>
      <w:proofErr w:type="spellEnd"/>
      <w:r w:rsidRPr="00C56257">
        <w:rPr>
          <w:color w:val="000000" w:themeColor="text1"/>
          <w:lang w:val="fr-FR"/>
        </w:rPr>
        <w:t xml:space="preserve"> </w:t>
      </w:r>
      <w:proofErr w:type="spellStart"/>
      <w:r w:rsidRPr="00C56257">
        <w:rPr>
          <w:color w:val="000000" w:themeColor="text1"/>
          <w:lang w:val="fr-FR"/>
        </w:rPr>
        <w:t>corespunzătoare</w:t>
      </w:r>
      <w:proofErr w:type="spellEnd"/>
      <w:r w:rsidRPr="00C56257">
        <w:rPr>
          <w:color w:val="000000" w:themeColor="text1"/>
          <w:lang w:val="fr-FR"/>
        </w:rPr>
        <w:t xml:space="preserve"> a </w:t>
      </w:r>
      <w:proofErr w:type="spellStart"/>
      <w:r w:rsidRPr="00C56257">
        <w:rPr>
          <w:color w:val="000000" w:themeColor="text1"/>
          <w:lang w:val="fr-FR"/>
        </w:rPr>
        <w:t>punctelor</w:t>
      </w:r>
      <w:proofErr w:type="spellEnd"/>
      <w:r w:rsidRPr="00C56257">
        <w:rPr>
          <w:color w:val="000000" w:themeColor="text1"/>
          <w:lang w:val="fr-FR"/>
        </w:rPr>
        <w:t xml:space="preserve"> de control </w:t>
      </w:r>
      <w:proofErr w:type="gramStart"/>
      <w:r w:rsidRPr="00C56257">
        <w:rPr>
          <w:color w:val="000000" w:themeColor="text1"/>
          <w:lang w:val="fr-FR"/>
        </w:rPr>
        <w:t>la sol</w:t>
      </w:r>
      <w:proofErr w:type="gramEnd"/>
      <w:r w:rsidRPr="00C56257">
        <w:rPr>
          <w:color w:val="000000" w:themeColor="text1"/>
          <w:lang w:val="fr-FR"/>
        </w:rPr>
        <w:t xml:space="preserve">. </w:t>
      </w:r>
      <w:proofErr w:type="spellStart"/>
      <w:r w:rsidRPr="00C56257">
        <w:rPr>
          <w:color w:val="000000" w:themeColor="text1"/>
          <w:lang w:val="fr-FR"/>
        </w:rPr>
        <w:t>Această</w:t>
      </w:r>
      <w:proofErr w:type="spellEnd"/>
      <w:r w:rsidRPr="00C56257">
        <w:rPr>
          <w:color w:val="000000" w:themeColor="text1"/>
          <w:lang w:val="fr-FR"/>
        </w:rPr>
        <w:t xml:space="preserve"> </w:t>
      </w:r>
      <w:proofErr w:type="spellStart"/>
      <w:r w:rsidRPr="00C56257">
        <w:rPr>
          <w:color w:val="000000" w:themeColor="text1"/>
          <w:lang w:val="fr-FR"/>
        </w:rPr>
        <w:t>etapă</w:t>
      </w:r>
      <w:proofErr w:type="spellEnd"/>
      <w:r w:rsidRPr="00C56257">
        <w:rPr>
          <w:color w:val="000000" w:themeColor="text1"/>
          <w:lang w:val="fr-FR"/>
        </w:rPr>
        <w:t xml:space="preserve"> </w:t>
      </w:r>
      <w:proofErr w:type="spellStart"/>
      <w:r w:rsidRPr="00C56257">
        <w:rPr>
          <w:color w:val="000000" w:themeColor="text1"/>
          <w:lang w:val="fr-FR"/>
        </w:rPr>
        <w:t>implică</w:t>
      </w:r>
      <w:proofErr w:type="spellEnd"/>
      <w:r w:rsidRPr="00C56257">
        <w:rPr>
          <w:color w:val="000000" w:themeColor="text1"/>
          <w:lang w:val="fr-FR"/>
        </w:rPr>
        <w:t xml:space="preserve"> </w:t>
      </w:r>
      <w:proofErr w:type="spellStart"/>
      <w:r w:rsidRPr="00C56257">
        <w:rPr>
          <w:color w:val="000000" w:themeColor="text1"/>
          <w:lang w:val="fr-FR"/>
        </w:rPr>
        <w:t>și</w:t>
      </w:r>
      <w:proofErr w:type="spellEnd"/>
      <w:r w:rsidRPr="00C56257">
        <w:rPr>
          <w:color w:val="000000" w:themeColor="text1"/>
          <w:lang w:val="fr-FR"/>
        </w:rPr>
        <w:t xml:space="preserve"> </w:t>
      </w:r>
      <w:proofErr w:type="spellStart"/>
      <w:r w:rsidRPr="00C56257">
        <w:rPr>
          <w:color w:val="000000" w:themeColor="text1"/>
          <w:lang w:val="fr-FR"/>
        </w:rPr>
        <w:t>verificarea</w:t>
      </w:r>
      <w:proofErr w:type="spellEnd"/>
      <w:r w:rsidRPr="00C56257">
        <w:rPr>
          <w:color w:val="000000" w:themeColor="text1"/>
          <w:lang w:val="fr-FR"/>
        </w:rPr>
        <w:t xml:space="preserve"> </w:t>
      </w:r>
      <w:proofErr w:type="spellStart"/>
      <w:r w:rsidRPr="00C56257">
        <w:rPr>
          <w:color w:val="000000" w:themeColor="text1"/>
          <w:lang w:val="fr-FR"/>
        </w:rPr>
        <w:t>zonei</w:t>
      </w:r>
      <w:proofErr w:type="spellEnd"/>
      <w:r w:rsidRPr="00C56257">
        <w:rPr>
          <w:color w:val="000000" w:themeColor="text1"/>
          <w:lang w:val="fr-FR"/>
        </w:rPr>
        <w:t xml:space="preserve"> (</w:t>
      </w:r>
      <w:proofErr w:type="spellStart"/>
      <w:r w:rsidRPr="00C56257">
        <w:rPr>
          <w:color w:val="000000" w:themeColor="text1"/>
          <w:lang w:val="fr-FR"/>
        </w:rPr>
        <w:t>pe</w:t>
      </w:r>
      <w:proofErr w:type="spellEnd"/>
      <w:r w:rsidRPr="00C56257">
        <w:rPr>
          <w:color w:val="000000" w:themeColor="text1"/>
          <w:lang w:val="fr-FR"/>
        </w:rPr>
        <w:t xml:space="preserve"> </w:t>
      </w:r>
      <w:proofErr w:type="spellStart"/>
      <w:r w:rsidRPr="00C56257">
        <w:rPr>
          <w:color w:val="000000" w:themeColor="text1"/>
          <w:lang w:val="fr-FR"/>
        </w:rPr>
        <w:t>teren</w:t>
      </w:r>
      <w:proofErr w:type="spellEnd"/>
      <w:r w:rsidRPr="00C56257">
        <w:rPr>
          <w:color w:val="000000" w:themeColor="text1"/>
          <w:lang w:val="fr-FR"/>
        </w:rPr>
        <w:t xml:space="preserve"> </w:t>
      </w:r>
      <w:proofErr w:type="spellStart"/>
      <w:r w:rsidRPr="00C56257">
        <w:rPr>
          <w:color w:val="000000" w:themeColor="text1"/>
          <w:lang w:val="fr-FR"/>
        </w:rPr>
        <w:t>sau</w:t>
      </w:r>
      <w:proofErr w:type="spellEnd"/>
      <w:r w:rsidRPr="00C56257">
        <w:rPr>
          <w:color w:val="000000" w:themeColor="text1"/>
          <w:lang w:val="fr-FR"/>
        </w:rPr>
        <w:t xml:space="preserve"> </w:t>
      </w:r>
      <w:proofErr w:type="spellStart"/>
      <w:r w:rsidRPr="00C56257">
        <w:rPr>
          <w:color w:val="000000" w:themeColor="text1"/>
          <w:lang w:val="fr-FR"/>
        </w:rPr>
        <w:t>folosind</w:t>
      </w:r>
      <w:proofErr w:type="spellEnd"/>
      <w:r w:rsidRPr="00C56257">
        <w:rPr>
          <w:color w:val="000000" w:themeColor="text1"/>
          <w:lang w:val="fr-FR"/>
        </w:rPr>
        <w:t xml:space="preserve"> </w:t>
      </w:r>
      <w:proofErr w:type="spellStart"/>
      <w:r w:rsidRPr="00C56257">
        <w:rPr>
          <w:color w:val="000000" w:themeColor="text1"/>
          <w:lang w:val="fr-FR"/>
        </w:rPr>
        <w:t>imagini</w:t>
      </w:r>
      <w:proofErr w:type="spellEnd"/>
      <w:r w:rsidRPr="00C56257">
        <w:rPr>
          <w:color w:val="000000" w:themeColor="text1"/>
          <w:lang w:val="fr-FR"/>
        </w:rPr>
        <w:t xml:space="preserve"> </w:t>
      </w:r>
      <w:proofErr w:type="spellStart"/>
      <w:r w:rsidRPr="00C56257">
        <w:rPr>
          <w:color w:val="000000" w:themeColor="text1"/>
          <w:lang w:val="fr-FR"/>
        </w:rPr>
        <w:t>din</w:t>
      </w:r>
      <w:proofErr w:type="spellEnd"/>
      <w:r w:rsidRPr="00C56257">
        <w:rPr>
          <w:color w:val="000000" w:themeColor="text1"/>
          <w:lang w:val="fr-FR"/>
        </w:rPr>
        <w:t xml:space="preserve"> </w:t>
      </w:r>
      <w:proofErr w:type="spellStart"/>
      <w:r w:rsidRPr="00C56257">
        <w:rPr>
          <w:color w:val="000000" w:themeColor="text1"/>
          <w:lang w:val="fr-FR"/>
        </w:rPr>
        <w:t>satelit</w:t>
      </w:r>
      <w:proofErr w:type="spellEnd"/>
      <w:r w:rsidRPr="00C56257">
        <w:rPr>
          <w:color w:val="000000" w:themeColor="text1"/>
          <w:lang w:val="fr-FR"/>
        </w:rPr>
        <w:t xml:space="preserve"> </w:t>
      </w:r>
      <w:proofErr w:type="spellStart"/>
      <w:r w:rsidRPr="00C56257">
        <w:rPr>
          <w:color w:val="000000" w:themeColor="text1"/>
          <w:lang w:val="fr-FR"/>
        </w:rPr>
        <w:t>sau</w:t>
      </w:r>
      <w:proofErr w:type="spellEnd"/>
      <w:r w:rsidRPr="00C56257">
        <w:rPr>
          <w:color w:val="000000" w:themeColor="text1"/>
          <w:lang w:val="fr-FR"/>
        </w:rPr>
        <w:t xml:space="preserve"> </w:t>
      </w:r>
      <w:proofErr w:type="spellStart"/>
      <w:r w:rsidRPr="00C56257">
        <w:rPr>
          <w:color w:val="000000" w:themeColor="text1"/>
          <w:lang w:val="fr-FR"/>
        </w:rPr>
        <w:t>ortofotoplanuri</w:t>
      </w:r>
      <w:proofErr w:type="spellEnd"/>
      <w:r w:rsidRPr="00C56257">
        <w:rPr>
          <w:color w:val="000000" w:themeColor="text1"/>
          <w:lang w:val="fr-FR"/>
        </w:rPr>
        <w:t xml:space="preserve">), </w:t>
      </w:r>
      <w:proofErr w:type="spellStart"/>
      <w:r w:rsidRPr="00C56257">
        <w:rPr>
          <w:color w:val="000000" w:themeColor="text1"/>
          <w:lang w:val="fr-FR"/>
        </w:rPr>
        <w:t>asigurând</w:t>
      </w:r>
      <w:proofErr w:type="spellEnd"/>
      <w:r w:rsidRPr="00C56257">
        <w:rPr>
          <w:color w:val="000000" w:themeColor="text1"/>
          <w:lang w:val="fr-FR"/>
        </w:rPr>
        <w:t xml:space="preserve"> </w:t>
      </w:r>
      <w:proofErr w:type="spellStart"/>
      <w:r w:rsidRPr="00C56257">
        <w:rPr>
          <w:color w:val="000000" w:themeColor="text1"/>
          <w:lang w:val="fr-FR"/>
        </w:rPr>
        <w:t>că</w:t>
      </w:r>
      <w:proofErr w:type="spellEnd"/>
      <w:r w:rsidRPr="00C56257">
        <w:rPr>
          <w:color w:val="000000" w:themeColor="text1"/>
          <w:lang w:val="fr-FR"/>
        </w:rPr>
        <w:t xml:space="preserve"> nu </w:t>
      </w:r>
      <w:proofErr w:type="spellStart"/>
      <w:r w:rsidRPr="00C56257">
        <w:rPr>
          <w:color w:val="000000" w:themeColor="text1"/>
          <w:lang w:val="fr-FR"/>
        </w:rPr>
        <w:t>există</w:t>
      </w:r>
      <w:proofErr w:type="spellEnd"/>
      <w:r w:rsidRPr="00C56257">
        <w:rPr>
          <w:color w:val="000000" w:themeColor="text1"/>
          <w:lang w:val="fr-FR"/>
        </w:rPr>
        <w:t xml:space="preserve"> </w:t>
      </w:r>
      <w:proofErr w:type="spellStart"/>
      <w:r w:rsidRPr="00C56257">
        <w:rPr>
          <w:color w:val="000000" w:themeColor="text1"/>
          <w:lang w:val="fr-FR"/>
        </w:rPr>
        <w:t>obstacole</w:t>
      </w:r>
      <w:proofErr w:type="spellEnd"/>
      <w:r w:rsidRPr="00C56257">
        <w:rPr>
          <w:color w:val="000000" w:themeColor="text1"/>
          <w:lang w:val="fr-FR"/>
        </w:rPr>
        <w:t xml:space="preserve"> </w:t>
      </w:r>
      <w:proofErr w:type="spellStart"/>
      <w:r w:rsidRPr="00C56257">
        <w:rPr>
          <w:color w:val="000000" w:themeColor="text1"/>
          <w:lang w:val="fr-FR"/>
        </w:rPr>
        <w:t>în</w:t>
      </w:r>
      <w:proofErr w:type="spellEnd"/>
      <w:r w:rsidRPr="00C56257">
        <w:rPr>
          <w:color w:val="000000" w:themeColor="text1"/>
          <w:lang w:val="fr-FR"/>
        </w:rPr>
        <w:t xml:space="preserve"> </w:t>
      </w:r>
      <w:proofErr w:type="spellStart"/>
      <w:r w:rsidRPr="00C56257">
        <w:rPr>
          <w:color w:val="000000" w:themeColor="text1"/>
          <w:lang w:val="fr-FR"/>
        </w:rPr>
        <w:t>calea</w:t>
      </w:r>
      <w:proofErr w:type="spellEnd"/>
      <w:r w:rsidRPr="00C56257">
        <w:rPr>
          <w:color w:val="000000" w:themeColor="text1"/>
          <w:lang w:val="fr-FR"/>
        </w:rPr>
        <w:t xml:space="preserve"> UAV (</w:t>
      </w:r>
      <w:proofErr w:type="spellStart"/>
      <w:r w:rsidRPr="00C56257">
        <w:rPr>
          <w:color w:val="000000" w:themeColor="text1"/>
          <w:lang w:val="fr-FR"/>
        </w:rPr>
        <w:t>clădiri</w:t>
      </w:r>
      <w:proofErr w:type="spellEnd"/>
      <w:r w:rsidRPr="00C56257">
        <w:rPr>
          <w:color w:val="000000" w:themeColor="text1"/>
          <w:lang w:val="fr-FR"/>
        </w:rPr>
        <w:t xml:space="preserve">, </w:t>
      </w:r>
      <w:proofErr w:type="spellStart"/>
      <w:r w:rsidRPr="00C56257">
        <w:rPr>
          <w:color w:val="000000" w:themeColor="text1"/>
          <w:lang w:val="fr-FR"/>
        </w:rPr>
        <w:t>cabluri</w:t>
      </w:r>
      <w:proofErr w:type="spellEnd"/>
      <w:r w:rsidRPr="00C56257">
        <w:rPr>
          <w:color w:val="000000" w:themeColor="text1"/>
          <w:lang w:val="fr-FR"/>
        </w:rPr>
        <w:t xml:space="preserve">), </w:t>
      </w:r>
      <w:proofErr w:type="spellStart"/>
      <w:r w:rsidRPr="00C56257">
        <w:rPr>
          <w:color w:val="000000" w:themeColor="text1"/>
          <w:lang w:val="fr-FR"/>
        </w:rPr>
        <w:t>localizarea</w:t>
      </w:r>
      <w:proofErr w:type="spellEnd"/>
      <w:r w:rsidRPr="00C56257">
        <w:rPr>
          <w:color w:val="000000" w:themeColor="text1"/>
          <w:lang w:val="fr-FR"/>
        </w:rPr>
        <w:t xml:space="preserve"> </w:t>
      </w:r>
      <w:proofErr w:type="spellStart"/>
      <w:r w:rsidRPr="00C56257">
        <w:rPr>
          <w:color w:val="000000" w:themeColor="text1"/>
          <w:lang w:val="fr-FR"/>
        </w:rPr>
        <w:t>decolării</w:t>
      </w:r>
      <w:proofErr w:type="spellEnd"/>
      <w:r w:rsidRPr="00C56257">
        <w:rPr>
          <w:color w:val="000000" w:themeColor="text1"/>
          <w:lang w:val="fr-FR"/>
        </w:rPr>
        <w:t xml:space="preserve"> </w:t>
      </w:r>
      <w:proofErr w:type="spellStart"/>
      <w:r w:rsidRPr="00C56257">
        <w:rPr>
          <w:color w:val="000000" w:themeColor="text1"/>
          <w:lang w:val="fr-FR"/>
        </w:rPr>
        <w:t>și</w:t>
      </w:r>
      <w:proofErr w:type="spellEnd"/>
      <w:r w:rsidRPr="00C56257">
        <w:rPr>
          <w:color w:val="000000" w:themeColor="text1"/>
          <w:lang w:val="fr-FR"/>
        </w:rPr>
        <w:t xml:space="preserve"> </w:t>
      </w:r>
      <w:proofErr w:type="spellStart"/>
      <w:r w:rsidRPr="00C56257">
        <w:rPr>
          <w:color w:val="000000" w:themeColor="text1"/>
          <w:lang w:val="fr-FR"/>
        </w:rPr>
        <w:t>locul</w:t>
      </w:r>
      <w:proofErr w:type="spellEnd"/>
      <w:r w:rsidRPr="00C56257">
        <w:rPr>
          <w:color w:val="000000" w:themeColor="text1"/>
          <w:lang w:val="fr-FR"/>
        </w:rPr>
        <w:t xml:space="preserve"> de </w:t>
      </w:r>
      <w:proofErr w:type="spellStart"/>
      <w:r w:rsidRPr="00C56257">
        <w:rPr>
          <w:color w:val="000000" w:themeColor="text1"/>
          <w:lang w:val="fr-FR"/>
        </w:rPr>
        <w:t>aterizare</w:t>
      </w:r>
      <w:proofErr w:type="spellEnd"/>
      <w:r w:rsidRPr="00C56257">
        <w:rPr>
          <w:color w:val="000000" w:themeColor="text1"/>
          <w:lang w:val="fr-FR"/>
        </w:rPr>
        <w:t xml:space="preserve">, </w:t>
      </w:r>
      <w:proofErr w:type="spellStart"/>
      <w:r w:rsidRPr="00C56257">
        <w:rPr>
          <w:color w:val="000000" w:themeColor="text1"/>
          <w:lang w:val="fr-FR"/>
        </w:rPr>
        <w:t>evaluarea</w:t>
      </w:r>
      <w:proofErr w:type="spellEnd"/>
      <w:r w:rsidRPr="00C56257">
        <w:rPr>
          <w:color w:val="000000" w:themeColor="text1"/>
          <w:lang w:val="fr-FR"/>
        </w:rPr>
        <w:t xml:space="preserve"> </w:t>
      </w:r>
      <w:proofErr w:type="spellStart"/>
      <w:r w:rsidRPr="00C56257">
        <w:rPr>
          <w:color w:val="000000" w:themeColor="text1"/>
          <w:lang w:val="fr-FR"/>
        </w:rPr>
        <w:t>condițiilor</w:t>
      </w:r>
      <w:proofErr w:type="spellEnd"/>
      <w:r w:rsidRPr="00C56257">
        <w:rPr>
          <w:color w:val="000000" w:themeColor="text1"/>
          <w:lang w:val="fr-FR"/>
        </w:rPr>
        <w:t xml:space="preserve"> de </w:t>
      </w:r>
      <w:proofErr w:type="spellStart"/>
      <w:r w:rsidRPr="00C56257">
        <w:rPr>
          <w:color w:val="000000" w:themeColor="text1"/>
          <w:lang w:val="fr-FR"/>
        </w:rPr>
        <w:t>mediu</w:t>
      </w:r>
      <w:proofErr w:type="spellEnd"/>
      <w:r w:rsidRPr="00C56257">
        <w:rPr>
          <w:color w:val="000000" w:themeColor="text1"/>
          <w:lang w:val="fr-FR"/>
        </w:rPr>
        <w:t xml:space="preserve"> </w:t>
      </w:r>
      <w:proofErr w:type="spellStart"/>
      <w:r w:rsidRPr="00C56257">
        <w:rPr>
          <w:color w:val="000000" w:themeColor="text1"/>
          <w:lang w:val="fr-FR"/>
        </w:rPr>
        <w:t>pentru</w:t>
      </w:r>
      <w:proofErr w:type="spellEnd"/>
      <w:r w:rsidRPr="00C56257">
        <w:rPr>
          <w:color w:val="000000" w:themeColor="text1"/>
          <w:lang w:val="fr-FR"/>
        </w:rPr>
        <w:t xml:space="preserve"> a </w:t>
      </w:r>
      <w:proofErr w:type="spellStart"/>
      <w:r w:rsidRPr="00C56257">
        <w:rPr>
          <w:color w:val="000000" w:themeColor="text1"/>
          <w:lang w:val="fr-FR"/>
        </w:rPr>
        <w:t>determina</w:t>
      </w:r>
      <w:proofErr w:type="spellEnd"/>
      <w:r w:rsidRPr="00C56257">
        <w:rPr>
          <w:color w:val="000000" w:themeColor="text1"/>
          <w:lang w:val="fr-FR"/>
        </w:rPr>
        <w:t xml:space="preserve"> </w:t>
      </w:r>
      <w:proofErr w:type="spellStart"/>
      <w:r w:rsidRPr="00C56257">
        <w:rPr>
          <w:color w:val="000000" w:themeColor="text1"/>
          <w:lang w:val="fr-FR"/>
        </w:rPr>
        <w:t>dacaă</w:t>
      </w:r>
      <w:proofErr w:type="spellEnd"/>
      <w:r w:rsidRPr="00C56257">
        <w:rPr>
          <w:color w:val="000000" w:themeColor="text1"/>
          <w:lang w:val="fr-FR"/>
        </w:rPr>
        <w:t xml:space="preserve"> </w:t>
      </w:r>
      <w:proofErr w:type="spellStart"/>
      <w:r w:rsidRPr="00C56257">
        <w:rPr>
          <w:color w:val="000000" w:themeColor="text1"/>
          <w:lang w:val="fr-FR"/>
        </w:rPr>
        <w:t>zborul</w:t>
      </w:r>
      <w:proofErr w:type="spellEnd"/>
      <w:r w:rsidRPr="00C56257">
        <w:rPr>
          <w:color w:val="000000" w:themeColor="text1"/>
          <w:lang w:val="fr-FR"/>
        </w:rPr>
        <w:t xml:space="preserve"> este </w:t>
      </w:r>
      <w:proofErr w:type="spellStart"/>
      <w:r w:rsidRPr="00C56257">
        <w:rPr>
          <w:color w:val="000000" w:themeColor="text1"/>
          <w:lang w:val="fr-FR"/>
        </w:rPr>
        <w:t>sigur</w:t>
      </w:r>
      <w:proofErr w:type="spellEnd"/>
      <w:r w:rsidRPr="00C56257">
        <w:rPr>
          <w:color w:val="000000" w:themeColor="text1"/>
          <w:lang w:val="fr-FR"/>
        </w:rPr>
        <w:t xml:space="preserve"> (</w:t>
      </w:r>
      <w:proofErr w:type="spellStart"/>
      <w:r w:rsidRPr="00C56257">
        <w:rPr>
          <w:color w:val="000000" w:themeColor="text1"/>
          <w:lang w:val="fr-FR"/>
        </w:rPr>
        <w:t>temperatura</w:t>
      </w:r>
      <w:proofErr w:type="spellEnd"/>
      <w:r w:rsidRPr="00C56257">
        <w:rPr>
          <w:color w:val="000000" w:themeColor="text1"/>
          <w:lang w:val="fr-FR"/>
        </w:rPr>
        <w:t xml:space="preserve">, </w:t>
      </w:r>
      <w:proofErr w:type="spellStart"/>
      <w:r w:rsidRPr="00C56257">
        <w:rPr>
          <w:color w:val="000000" w:themeColor="text1"/>
          <w:lang w:val="fr-FR"/>
        </w:rPr>
        <w:t>precipitații</w:t>
      </w:r>
      <w:proofErr w:type="spellEnd"/>
      <w:r w:rsidRPr="00C56257">
        <w:rPr>
          <w:color w:val="000000" w:themeColor="text1"/>
          <w:lang w:val="fr-FR"/>
        </w:rPr>
        <w:t xml:space="preserve">, </w:t>
      </w:r>
      <w:proofErr w:type="spellStart"/>
      <w:r w:rsidRPr="00C56257">
        <w:rPr>
          <w:color w:val="000000" w:themeColor="text1"/>
          <w:lang w:val="fr-FR"/>
        </w:rPr>
        <w:t>vânt</w:t>
      </w:r>
      <w:proofErr w:type="spellEnd"/>
      <w:r w:rsidRPr="00C56257">
        <w:rPr>
          <w:color w:val="000000" w:themeColor="text1"/>
          <w:lang w:val="fr-FR"/>
        </w:rPr>
        <w:t>).</w:t>
      </w:r>
    </w:p>
    <w:p w14:paraId="246CB605" w14:textId="77777777" w:rsidR="00FC026B" w:rsidRPr="00C56257" w:rsidRDefault="00FC026B" w:rsidP="00FC026B">
      <w:pPr>
        <w:autoSpaceDE w:val="0"/>
        <w:autoSpaceDN w:val="0"/>
        <w:adjustRightInd w:val="0"/>
        <w:ind w:firstLine="705"/>
        <w:jc w:val="both"/>
        <w:rPr>
          <w:color w:val="000000" w:themeColor="text1"/>
          <w:lang w:val="x-none"/>
        </w:rPr>
      </w:pPr>
      <w:proofErr w:type="spellStart"/>
      <w:r w:rsidRPr="00C56257">
        <w:rPr>
          <w:color w:val="000000" w:themeColor="text1"/>
          <w:lang w:val="x-none"/>
        </w:rPr>
        <w:t>Pentru</w:t>
      </w:r>
      <w:proofErr w:type="spellEnd"/>
      <w:r w:rsidRPr="00C56257">
        <w:rPr>
          <w:color w:val="000000" w:themeColor="text1"/>
          <w:lang w:val="x-none"/>
        </w:rPr>
        <w:t xml:space="preserve"> </w:t>
      </w:r>
      <w:proofErr w:type="spellStart"/>
      <w:r w:rsidRPr="00C56257">
        <w:rPr>
          <w:color w:val="000000" w:themeColor="text1"/>
          <w:lang w:val="x-none"/>
        </w:rPr>
        <w:t>rezultate</w:t>
      </w:r>
      <w:proofErr w:type="spellEnd"/>
      <w:r w:rsidRPr="00C56257">
        <w:rPr>
          <w:color w:val="000000" w:themeColor="text1"/>
          <w:lang w:val="x-none"/>
        </w:rPr>
        <w:t xml:space="preserve"> </w:t>
      </w:r>
      <w:proofErr w:type="spellStart"/>
      <w:r w:rsidRPr="00C56257">
        <w:rPr>
          <w:color w:val="000000" w:themeColor="text1"/>
          <w:lang w:val="x-none"/>
        </w:rPr>
        <w:t>exacte</w:t>
      </w:r>
      <w:proofErr w:type="spellEnd"/>
      <w:r w:rsidRPr="00C56257">
        <w:rPr>
          <w:color w:val="000000" w:themeColor="text1"/>
          <w:lang w:val="x-none"/>
        </w:rPr>
        <w:t xml:space="preserve">, </w:t>
      </w:r>
      <w:proofErr w:type="spellStart"/>
      <w:r w:rsidRPr="00C56257">
        <w:rPr>
          <w:color w:val="000000" w:themeColor="text1"/>
          <w:lang w:val="x-none"/>
        </w:rPr>
        <w:t>este</w:t>
      </w:r>
      <w:proofErr w:type="spellEnd"/>
      <w:r w:rsidRPr="00C56257">
        <w:rPr>
          <w:color w:val="000000" w:themeColor="text1"/>
          <w:lang w:val="x-none"/>
        </w:rPr>
        <w:t xml:space="preserve"> important </w:t>
      </w:r>
      <w:proofErr w:type="spellStart"/>
      <w:r w:rsidRPr="00C56257">
        <w:rPr>
          <w:color w:val="000000" w:themeColor="text1"/>
          <w:lang w:val="x-none"/>
        </w:rPr>
        <w:t>să</w:t>
      </w:r>
      <w:proofErr w:type="spellEnd"/>
      <w:r w:rsidRPr="00C56257">
        <w:rPr>
          <w:color w:val="000000" w:themeColor="text1"/>
          <w:lang w:val="x-none"/>
        </w:rPr>
        <w:t xml:space="preserve"> se </w:t>
      </w:r>
      <w:proofErr w:type="spellStart"/>
      <w:r w:rsidRPr="00C56257">
        <w:rPr>
          <w:color w:val="000000" w:themeColor="text1"/>
          <w:lang w:val="x-none"/>
        </w:rPr>
        <w:t>realizeze</w:t>
      </w:r>
      <w:proofErr w:type="spellEnd"/>
      <w:r w:rsidRPr="00C56257">
        <w:rPr>
          <w:color w:val="000000" w:themeColor="text1"/>
          <w:lang w:val="x-none"/>
        </w:rPr>
        <w:t xml:space="preserve"> </w:t>
      </w:r>
      <w:proofErr w:type="spellStart"/>
      <w:r w:rsidRPr="00C56257">
        <w:rPr>
          <w:color w:val="000000" w:themeColor="text1"/>
          <w:lang w:val="x-none"/>
        </w:rPr>
        <w:t>cerințele</w:t>
      </w:r>
      <w:proofErr w:type="spellEnd"/>
      <w:r w:rsidRPr="00C56257">
        <w:rPr>
          <w:color w:val="000000" w:themeColor="text1"/>
          <w:lang w:val="x-none"/>
        </w:rPr>
        <w:t xml:space="preserve"> </w:t>
      </w:r>
      <w:proofErr w:type="spellStart"/>
      <w:r w:rsidRPr="00C56257">
        <w:rPr>
          <w:color w:val="000000" w:themeColor="text1"/>
          <w:lang w:val="x-none"/>
        </w:rPr>
        <w:t>minime</w:t>
      </w:r>
      <w:proofErr w:type="spellEnd"/>
      <w:r w:rsidRPr="00C56257">
        <w:rPr>
          <w:color w:val="000000" w:themeColor="text1"/>
          <w:lang w:val="x-none"/>
        </w:rPr>
        <w:t xml:space="preserve"> </w:t>
      </w:r>
      <w:r w:rsidRPr="00C56257">
        <w:rPr>
          <w:color w:val="000000" w:themeColor="text1"/>
        </w:rPr>
        <w:t xml:space="preserve">a </w:t>
      </w:r>
      <w:proofErr w:type="spellStart"/>
      <w:r w:rsidRPr="00C56257">
        <w:rPr>
          <w:color w:val="000000" w:themeColor="text1"/>
          <w:lang w:val="x-none"/>
        </w:rPr>
        <w:t>punctelor</w:t>
      </w:r>
      <w:proofErr w:type="spellEnd"/>
      <w:r w:rsidRPr="00C56257">
        <w:rPr>
          <w:color w:val="000000" w:themeColor="text1"/>
          <w:lang w:val="x-none"/>
        </w:rPr>
        <w:t xml:space="preserve"> de control </w:t>
      </w:r>
      <w:proofErr w:type="spellStart"/>
      <w:r w:rsidRPr="00C56257">
        <w:rPr>
          <w:color w:val="000000" w:themeColor="text1"/>
          <w:lang w:val="x-none"/>
        </w:rPr>
        <w:t>plasate</w:t>
      </w:r>
      <w:proofErr w:type="spellEnd"/>
      <w:r w:rsidRPr="00C56257">
        <w:rPr>
          <w:color w:val="000000" w:themeColor="text1"/>
          <w:lang w:val="x-none"/>
        </w:rPr>
        <w:t xml:space="preserve"> la sol </w:t>
      </w:r>
      <w:proofErr w:type="spellStart"/>
      <w:r w:rsidRPr="00C56257">
        <w:rPr>
          <w:color w:val="000000" w:themeColor="text1"/>
          <w:lang w:val="x-none"/>
        </w:rPr>
        <w:t>și</w:t>
      </w:r>
      <w:proofErr w:type="spellEnd"/>
      <w:r w:rsidRPr="00C56257">
        <w:rPr>
          <w:color w:val="000000" w:themeColor="text1"/>
          <w:lang w:val="x-none"/>
        </w:rPr>
        <w:t xml:space="preserve">, de </w:t>
      </w:r>
      <w:proofErr w:type="spellStart"/>
      <w:r w:rsidRPr="00C56257">
        <w:rPr>
          <w:color w:val="000000" w:themeColor="text1"/>
          <w:lang w:val="x-none"/>
        </w:rPr>
        <w:t>asemenea</w:t>
      </w:r>
      <w:proofErr w:type="spellEnd"/>
      <w:r w:rsidRPr="00C56257">
        <w:rPr>
          <w:color w:val="000000" w:themeColor="text1"/>
          <w:lang w:val="x-none"/>
        </w:rPr>
        <w:t>, „</w:t>
      </w:r>
      <w:proofErr w:type="spellStart"/>
      <w:r w:rsidRPr="00C56257">
        <w:rPr>
          <w:color w:val="000000" w:themeColor="text1"/>
          <w:lang w:val="x-none"/>
        </w:rPr>
        <w:t>materializa</w:t>
      </w:r>
      <w:r w:rsidRPr="00C56257">
        <w:rPr>
          <w:color w:val="000000" w:themeColor="text1"/>
        </w:rPr>
        <w:t>rea</w:t>
      </w:r>
      <w:proofErr w:type="spellEnd"/>
      <w:r w:rsidRPr="00C56257">
        <w:rPr>
          <w:color w:val="000000" w:themeColor="text1"/>
          <w:lang w:val="x-none"/>
        </w:rPr>
        <w:t xml:space="preserve">“ </w:t>
      </w:r>
      <w:r w:rsidRPr="00C56257">
        <w:rPr>
          <w:color w:val="000000" w:themeColor="text1"/>
        </w:rPr>
        <w:t xml:space="preserve">acestor </w:t>
      </w:r>
      <w:proofErr w:type="spellStart"/>
      <w:r w:rsidRPr="00C56257">
        <w:rPr>
          <w:color w:val="000000" w:themeColor="text1"/>
          <w:lang w:val="x-none"/>
        </w:rPr>
        <w:t>puncte</w:t>
      </w:r>
      <w:proofErr w:type="spellEnd"/>
      <w:r w:rsidRPr="00C56257">
        <w:rPr>
          <w:color w:val="000000" w:themeColor="text1"/>
          <w:lang w:val="x-none"/>
        </w:rPr>
        <w:t xml:space="preserve"> </w:t>
      </w:r>
      <w:r w:rsidRPr="00C56257">
        <w:rPr>
          <w:color w:val="000000" w:themeColor="text1"/>
        </w:rPr>
        <w:t>în</w:t>
      </w:r>
      <w:r w:rsidRPr="00C56257">
        <w:rPr>
          <w:color w:val="000000" w:themeColor="text1"/>
          <w:lang w:val="x-none"/>
        </w:rPr>
        <w:t xml:space="preserve"> </w:t>
      </w:r>
      <w:proofErr w:type="spellStart"/>
      <w:r w:rsidRPr="00C56257">
        <w:rPr>
          <w:color w:val="000000" w:themeColor="text1"/>
          <w:lang w:val="x-none"/>
        </w:rPr>
        <w:t>teren</w:t>
      </w:r>
      <w:proofErr w:type="spellEnd"/>
      <w:r w:rsidRPr="00C56257">
        <w:rPr>
          <w:color w:val="000000" w:themeColor="text1"/>
          <w:lang w:val="x-none"/>
        </w:rPr>
        <w:t xml:space="preserve"> </w:t>
      </w:r>
      <w:proofErr w:type="spellStart"/>
      <w:r w:rsidRPr="00C56257">
        <w:rPr>
          <w:color w:val="000000" w:themeColor="text1"/>
          <w:lang w:val="x-none"/>
        </w:rPr>
        <w:t>să</w:t>
      </w:r>
      <w:proofErr w:type="spellEnd"/>
      <w:r w:rsidRPr="00C56257">
        <w:rPr>
          <w:color w:val="000000" w:themeColor="text1"/>
          <w:lang w:val="x-none"/>
        </w:rPr>
        <w:t xml:space="preserve"> fie </w:t>
      </w:r>
      <w:proofErr w:type="spellStart"/>
      <w:r w:rsidRPr="00C56257">
        <w:rPr>
          <w:color w:val="000000" w:themeColor="text1"/>
          <w:lang w:val="x-none"/>
        </w:rPr>
        <w:t>vizibil</w:t>
      </w:r>
      <w:r w:rsidRPr="00C56257">
        <w:rPr>
          <w:color w:val="000000" w:themeColor="text1"/>
        </w:rPr>
        <w:t>ă</w:t>
      </w:r>
      <w:proofErr w:type="spellEnd"/>
      <w:r w:rsidRPr="00C56257">
        <w:rPr>
          <w:color w:val="000000" w:themeColor="text1"/>
          <w:lang w:val="x-none"/>
        </w:rPr>
        <w:t xml:space="preserve"> </w:t>
      </w:r>
      <w:proofErr w:type="spellStart"/>
      <w:r w:rsidRPr="00C56257">
        <w:rPr>
          <w:color w:val="000000" w:themeColor="text1"/>
          <w:lang w:val="x-none"/>
        </w:rPr>
        <w:t>și</w:t>
      </w:r>
      <w:proofErr w:type="spellEnd"/>
      <w:r w:rsidRPr="00C56257">
        <w:rPr>
          <w:color w:val="000000" w:themeColor="text1"/>
          <w:lang w:val="x-none"/>
        </w:rPr>
        <w:t xml:space="preserve"> </w:t>
      </w:r>
      <w:proofErr w:type="spellStart"/>
      <w:r w:rsidRPr="00C56257">
        <w:rPr>
          <w:color w:val="000000" w:themeColor="text1"/>
          <w:lang w:val="x-none"/>
        </w:rPr>
        <w:t>distribuit</w:t>
      </w:r>
      <w:r w:rsidRPr="00C56257">
        <w:rPr>
          <w:color w:val="000000" w:themeColor="text1"/>
        </w:rPr>
        <w:t>ă</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mod egal, </w:t>
      </w:r>
      <w:proofErr w:type="spellStart"/>
      <w:r w:rsidRPr="00C56257">
        <w:rPr>
          <w:color w:val="000000" w:themeColor="text1"/>
          <w:lang w:val="x-none"/>
        </w:rPr>
        <w:t>pentru</w:t>
      </w:r>
      <w:proofErr w:type="spellEnd"/>
      <w:r w:rsidRPr="00C56257">
        <w:rPr>
          <w:color w:val="000000" w:themeColor="text1"/>
          <w:lang w:val="x-none"/>
        </w:rPr>
        <w:t xml:space="preserve"> a </w:t>
      </w:r>
      <w:proofErr w:type="spellStart"/>
      <w:r w:rsidRPr="00C56257">
        <w:rPr>
          <w:color w:val="000000" w:themeColor="text1"/>
          <w:lang w:val="x-none"/>
        </w:rPr>
        <w:t>facilita</w:t>
      </w:r>
      <w:proofErr w:type="spellEnd"/>
      <w:r w:rsidRPr="00C56257">
        <w:rPr>
          <w:color w:val="000000" w:themeColor="text1"/>
          <w:lang w:val="x-none"/>
        </w:rPr>
        <w:t xml:space="preserve"> o </w:t>
      </w:r>
      <w:proofErr w:type="spellStart"/>
      <w:r w:rsidRPr="00C56257">
        <w:rPr>
          <w:color w:val="000000" w:themeColor="text1"/>
          <w:lang w:val="x-none"/>
        </w:rPr>
        <w:t>georeferen</w:t>
      </w:r>
      <w:r w:rsidRPr="00C56257">
        <w:rPr>
          <w:color w:val="000000" w:themeColor="text1"/>
        </w:rPr>
        <w:t>ț</w:t>
      </w:r>
      <w:r w:rsidRPr="00C56257">
        <w:rPr>
          <w:color w:val="000000" w:themeColor="text1"/>
          <w:lang w:val="x-none"/>
        </w:rPr>
        <w:t>iere</w:t>
      </w:r>
      <w:proofErr w:type="spellEnd"/>
      <w:r w:rsidRPr="00C56257">
        <w:rPr>
          <w:color w:val="000000" w:themeColor="text1"/>
          <w:lang w:val="x-none"/>
        </w:rPr>
        <w:t xml:space="preserve"> </w:t>
      </w:r>
      <w:proofErr w:type="spellStart"/>
      <w:r w:rsidRPr="00C56257">
        <w:rPr>
          <w:color w:val="000000" w:themeColor="text1"/>
          <w:lang w:val="x-none"/>
        </w:rPr>
        <w:t>corespunzătoare</w:t>
      </w:r>
      <w:proofErr w:type="spellEnd"/>
      <w:r w:rsidRPr="00C56257">
        <w:rPr>
          <w:color w:val="000000" w:themeColor="text1"/>
          <w:lang w:val="x-none"/>
        </w:rPr>
        <w:t xml:space="preserve">. </w:t>
      </w:r>
    </w:p>
    <w:p w14:paraId="798FA4D8" w14:textId="77777777" w:rsidR="00FC026B" w:rsidRPr="00C56257" w:rsidRDefault="00FC026B" w:rsidP="00FC026B">
      <w:pPr>
        <w:autoSpaceDE w:val="0"/>
        <w:autoSpaceDN w:val="0"/>
        <w:adjustRightInd w:val="0"/>
        <w:ind w:firstLine="705"/>
        <w:jc w:val="both"/>
        <w:rPr>
          <w:color w:val="000000" w:themeColor="text1"/>
          <w:lang w:val="en-GB"/>
        </w:rPr>
      </w:pPr>
      <w:proofErr w:type="spellStart"/>
      <w:r w:rsidRPr="00C56257">
        <w:rPr>
          <w:color w:val="000000" w:themeColor="text1"/>
          <w:lang w:val="x-none"/>
        </w:rPr>
        <w:t>Pentru</w:t>
      </w:r>
      <w:proofErr w:type="spellEnd"/>
      <w:r w:rsidRPr="00C56257">
        <w:rPr>
          <w:color w:val="000000" w:themeColor="text1"/>
          <w:lang w:val="x-none"/>
        </w:rPr>
        <w:t xml:space="preserve"> </w:t>
      </w:r>
      <w:proofErr w:type="spellStart"/>
      <w:r w:rsidRPr="00C56257">
        <w:rPr>
          <w:color w:val="000000" w:themeColor="text1"/>
          <w:lang w:val="x-none"/>
        </w:rPr>
        <w:t>procesarea</w:t>
      </w:r>
      <w:proofErr w:type="spellEnd"/>
      <w:r w:rsidRPr="00C56257">
        <w:rPr>
          <w:color w:val="000000" w:themeColor="text1"/>
          <w:lang w:val="x-none"/>
        </w:rPr>
        <w:t xml:space="preserve">  </w:t>
      </w:r>
      <w:proofErr w:type="spellStart"/>
      <w:r w:rsidRPr="00C56257">
        <w:rPr>
          <w:color w:val="000000" w:themeColor="text1"/>
          <w:lang w:val="x-none"/>
        </w:rPr>
        <w:t>imaginilor</w:t>
      </w:r>
      <w:proofErr w:type="spellEnd"/>
      <w:r w:rsidRPr="00C56257">
        <w:rPr>
          <w:color w:val="000000" w:themeColor="text1"/>
          <w:lang w:val="x-none"/>
        </w:rPr>
        <w:t xml:space="preserve"> </w:t>
      </w:r>
      <w:proofErr w:type="spellStart"/>
      <w:r w:rsidRPr="00C56257">
        <w:rPr>
          <w:color w:val="000000" w:themeColor="text1"/>
          <w:lang w:val="x-none"/>
        </w:rPr>
        <w:t>aeriene</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realizarea</w:t>
      </w:r>
      <w:proofErr w:type="spellEnd"/>
      <w:r w:rsidRPr="00C56257">
        <w:rPr>
          <w:color w:val="000000" w:themeColor="text1"/>
          <w:lang w:val="x-none"/>
        </w:rPr>
        <w:t xml:space="preserve"> </w:t>
      </w:r>
      <w:proofErr w:type="spellStart"/>
      <w:r w:rsidRPr="00C56257">
        <w:rPr>
          <w:color w:val="000000" w:themeColor="text1"/>
          <w:lang w:val="x-none"/>
        </w:rPr>
        <w:t>norului</w:t>
      </w:r>
      <w:proofErr w:type="spellEnd"/>
      <w:r w:rsidRPr="00C56257">
        <w:rPr>
          <w:color w:val="000000" w:themeColor="text1"/>
          <w:lang w:val="x-none"/>
        </w:rPr>
        <w:t xml:space="preserve"> de </w:t>
      </w:r>
      <w:proofErr w:type="spellStart"/>
      <w:r w:rsidRPr="00C56257">
        <w:rPr>
          <w:color w:val="000000" w:themeColor="text1"/>
          <w:lang w:val="x-none"/>
        </w:rPr>
        <w:t>puncte</w:t>
      </w:r>
      <w:proofErr w:type="spellEnd"/>
      <w:r w:rsidRPr="00C56257">
        <w:rPr>
          <w:color w:val="000000" w:themeColor="text1"/>
          <w:lang w:val="x-none"/>
        </w:rPr>
        <w:t xml:space="preserve"> (</w:t>
      </w:r>
      <w:proofErr w:type="spellStart"/>
      <w:r w:rsidRPr="00C56257">
        <w:rPr>
          <w:color w:val="000000" w:themeColor="text1"/>
          <w:lang w:val="x-none"/>
        </w:rPr>
        <w:t>pointcloud</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a </w:t>
      </w:r>
      <w:proofErr w:type="spellStart"/>
      <w:r w:rsidRPr="00C56257">
        <w:rPr>
          <w:color w:val="000000" w:themeColor="text1"/>
          <w:lang w:val="x-none"/>
        </w:rPr>
        <w:t>modelului</w:t>
      </w:r>
      <w:proofErr w:type="spellEnd"/>
      <w:r w:rsidRPr="00C56257">
        <w:rPr>
          <w:color w:val="000000" w:themeColor="text1"/>
          <w:lang w:val="x-none"/>
        </w:rPr>
        <w:t xml:space="preserve"> 3D </w:t>
      </w:r>
      <w:r w:rsidRPr="00C56257">
        <w:rPr>
          <w:color w:val="000000" w:themeColor="text1"/>
        </w:rPr>
        <w:t>se folosesc softuri dedicate (ex:</w:t>
      </w:r>
      <w:r w:rsidRPr="00C56257">
        <w:rPr>
          <w:color w:val="000000" w:themeColor="text1"/>
          <w:lang w:val="x-none"/>
        </w:rPr>
        <w:t xml:space="preserve"> soft-</w:t>
      </w:r>
      <w:proofErr w:type="spellStart"/>
      <w:r w:rsidRPr="00C56257">
        <w:rPr>
          <w:color w:val="000000" w:themeColor="text1"/>
          <w:lang w:val="x-none"/>
        </w:rPr>
        <w:t>ul</w:t>
      </w:r>
      <w:proofErr w:type="spellEnd"/>
      <w:r w:rsidRPr="00C56257">
        <w:rPr>
          <w:color w:val="000000" w:themeColor="text1"/>
          <w:lang w:val="x-none"/>
        </w:rPr>
        <w:t xml:space="preserve"> </w:t>
      </w:r>
      <w:proofErr w:type="spellStart"/>
      <w:r w:rsidRPr="00C56257">
        <w:rPr>
          <w:color w:val="000000" w:themeColor="text1"/>
          <w:lang w:val="x-none"/>
        </w:rPr>
        <w:t>Agisoft</w:t>
      </w:r>
      <w:proofErr w:type="spellEnd"/>
      <w:r w:rsidRPr="00C56257">
        <w:rPr>
          <w:color w:val="000000" w:themeColor="text1"/>
          <w:lang w:val="x-none"/>
        </w:rPr>
        <w:t xml:space="preserve"> </w:t>
      </w:r>
      <w:proofErr w:type="spellStart"/>
      <w:r w:rsidRPr="00C56257">
        <w:rPr>
          <w:color w:val="000000" w:themeColor="text1"/>
          <w:lang w:val="x-none"/>
        </w:rPr>
        <w:t>PhotoScan</w:t>
      </w:r>
      <w:proofErr w:type="spellEnd"/>
      <w:r w:rsidRPr="00C56257">
        <w:rPr>
          <w:color w:val="000000" w:themeColor="text1"/>
          <w:lang w:val="x-none"/>
        </w:rPr>
        <w:t xml:space="preserve"> Pro</w:t>
      </w:r>
      <w:r w:rsidRPr="00C56257">
        <w:rPr>
          <w:color w:val="000000" w:themeColor="text1"/>
        </w:rPr>
        <w:t>)</w:t>
      </w:r>
      <w:r w:rsidRPr="00C56257">
        <w:rPr>
          <w:color w:val="000000" w:themeColor="text1"/>
          <w:lang w:val="x-none"/>
        </w:rPr>
        <w:t xml:space="preserve">. </w:t>
      </w:r>
      <w:proofErr w:type="spellStart"/>
      <w:r w:rsidRPr="00C56257">
        <w:rPr>
          <w:color w:val="000000" w:themeColor="text1"/>
          <w:lang w:val="x-none"/>
        </w:rPr>
        <w:t>Modelul</w:t>
      </w:r>
      <w:proofErr w:type="spellEnd"/>
      <w:r w:rsidRPr="00C56257">
        <w:rPr>
          <w:color w:val="000000" w:themeColor="text1"/>
          <w:lang w:val="x-none"/>
        </w:rPr>
        <w:t xml:space="preserve"> digital al </w:t>
      </w:r>
      <w:proofErr w:type="spellStart"/>
      <w:r w:rsidRPr="00C56257">
        <w:rPr>
          <w:color w:val="000000" w:themeColor="text1"/>
          <w:lang w:val="x-none"/>
        </w:rPr>
        <w:t>suprafeţei</w:t>
      </w:r>
      <w:proofErr w:type="spellEnd"/>
      <w:r w:rsidRPr="00C56257">
        <w:rPr>
          <w:color w:val="000000" w:themeColor="text1"/>
          <w:lang w:val="x-none"/>
        </w:rPr>
        <w:t xml:space="preserve"> (DEM) </w:t>
      </w:r>
      <w:proofErr w:type="spellStart"/>
      <w:r w:rsidRPr="00C56257">
        <w:rPr>
          <w:color w:val="000000" w:themeColor="text1"/>
          <w:lang w:val="x-none"/>
        </w:rPr>
        <w:t>și</w:t>
      </w:r>
      <w:proofErr w:type="spellEnd"/>
      <w:r w:rsidRPr="00C56257">
        <w:rPr>
          <w:color w:val="000000" w:themeColor="text1"/>
          <w:lang w:val="x-none"/>
        </w:rPr>
        <w:t xml:space="preserve"> </w:t>
      </w:r>
      <w:proofErr w:type="spellStart"/>
      <w:r w:rsidRPr="00C56257">
        <w:rPr>
          <w:color w:val="000000" w:themeColor="text1"/>
          <w:lang w:val="x-none"/>
        </w:rPr>
        <w:t>ortomozaicul</w:t>
      </w:r>
      <w:proofErr w:type="spellEnd"/>
      <w:r w:rsidRPr="00C56257">
        <w:rPr>
          <w:color w:val="000000" w:themeColor="text1"/>
          <w:lang w:val="x-none"/>
        </w:rPr>
        <w:t xml:space="preserve"> </w:t>
      </w:r>
      <w:r w:rsidRPr="00C56257">
        <w:rPr>
          <w:color w:val="000000" w:themeColor="text1"/>
        </w:rPr>
        <w:t>sunt</w:t>
      </w:r>
      <w:r w:rsidRPr="00C56257">
        <w:rPr>
          <w:color w:val="000000" w:themeColor="text1"/>
          <w:lang w:val="x-none"/>
        </w:rPr>
        <w:t xml:space="preserve"> generate </w:t>
      </w:r>
      <w:proofErr w:type="spellStart"/>
      <w:r w:rsidRPr="00C56257">
        <w:rPr>
          <w:color w:val="000000" w:themeColor="text1"/>
          <w:lang w:val="x-none"/>
        </w:rPr>
        <w:t>folosind</w:t>
      </w:r>
      <w:proofErr w:type="spellEnd"/>
      <w:r w:rsidRPr="00C56257">
        <w:rPr>
          <w:color w:val="000000" w:themeColor="text1"/>
          <w:lang w:val="x-none"/>
        </w:rPr>
        <w:t xml:space="preserve"> </w:t>
      </w:r>
      <w:proofErr w:type="spellStart"/>
      <w:r w:rsidRPr="00C56257">
        <w:rPr>
          <w:color w:val="000000" w:themeColor="text1"/>
          <w:lang w:val="x-none"/>
        </w:rPr>
        <w:t>valorile</w:t>
      </w:r>
      <w:proofErr w:type="spellEnd"/>
      <w:r w:rsidRPr="00C56257">
        <w:rPr>
          <w:color w:val="000000" w:themeColor="text1"/>
          <w:lang w:val="x-none"/>
        </w:rPr>
        <w:t xml:space="preserve"> pe z </w:t>
      </w:r>
      <w:proofErr w:type="spellStart"/>
      <w:r w:rsidRPr="00C56257">
        <w:rPr>
          <w:color w:val="000000" w:themeColor="text1"/>
          <w:lang w:val="x-none"/>
        </w:rPr>
        <w:t>și</w:t>
      </w:r>
      <w:proofErr w:type="spellEnd"/>
      <w:r w:rsidRPr="00C56257">
        <w:rPr>
          <w:color w:val="000000" w:themeColor="text1"/>
          <w:lang w:val="x-none"/>
        </w:rPr>
        <w:t xml:space="preserve"> </w:t>
      </w:r>
      <w:proofErr w:type="spellStart"/>
      <w:r w:rsidRPr="00C56257">
        <w:rPr>
          <w:color w:val="000000" w:themeColor="text1"/>
          <w:lang w:val="x-none"/>
        </w:rPr>
        <w:t>pozițiile</w:t>
      </w:r>
      <w:proofErr w:type="spellEnd"/>
      <w:r w:rsidRPr="00C56257">
        <w:rPr>
          <w:color w:val="000000" w:themeColor="text1"/>
          <w:lang w:val="x-none"/>
        </w:rPr>
        <w:t xml:space="preserve"> </w:t>
      </w:r>
      <w:proofErr w:type="spellStart"/>
      <w:r w:rsidRPr="00C56257">
        <w:rPr>
          <w:color w:val="000000" w:themeColor="text1"/>
          <w:lang w:val="x-none"/>
        </w:rPr>
        <w:t>cunoscute</w:t>
      </w:r>
      <w:proofErr w:type="spellEnd"/>
      <w:r w:rsidRPr="00C56257">
        <w:rPr>
          <w:color w:val="000000" w:themeColor="text1"/>
          <w:lang w:val="x-none"/>
        </w:rPr>
        <w:t xml:space="preserve"> ale Ground Control Points (GCP). DSM-</w:t>
      </w:r>
      <w:proofErr w:type="spellStart"/>
      <w:r w:rsidRPr="00C56257">
        <w:rPr>
          <w:color w:val="000000" w:themeColor="text1"/>
          <w:lang w:val="x-none"/>
        </w:rPr>
        <w:t>ul</w:t>
      </w:r>
      <w:proofErr w:type="spellEnd"/>
      <w:r w:rsidRPr="00C56257">
        <w:rPr>
          <w:color w:val="000000" w:themeColor="text1"/>
          <w:lang w:val="x-none"/>
        </w:rPr>
        <w:t xml:space="preserve">  </w:t>
      </w:r>
      <w:proofErr w:type="spellStart"/>
      <w:r w:rsidRPr="00C56257">
        <w:rPr>
          <w:color w:val="000000" w:themeColor="text1"/>
          <w:lang w:val="x-none"/>
        </w:rPr>
        <w:t>și</w:t>
      </w:r>
      <w:proofErr w:type="spellEnd"/>
      <w:r w:rsidRPr="00C56257">
        <w:rPr>
          <w:color w:val="000000" w:themeColor="text1"/>
          <w:lang w:val="x-none"/>
        </w:rPr>
        <w:t xml:space="preserve"> geo-</w:t>
      </w:r>
      <w:proofErr w:type="spellStart"/>
      <w:r w:rsidRPr="00C56257">
        <w:rPr>
          <w:color w:val="000000" w:themeColor="text1"/>
          <w:lang w:val="x-none"/>
        </w:rPr>
        <w:t>orthophotoplan</w:t>
      </w:r>
      <w:proofErr w:type="spellEnd"/>
      <w:r w:rsidRPr="00C56257">
        <w:rPr>
          <w:color w:val="000000" w:themeColor="text1"/>
          <w:lang w:val="x-none"/>
        </w:rPr>
        <w:t xml:space="preserve"> / </w:t>
      </w:r>
      <w:proofErr w:type="spellStart"/>
      <w:r w:rsidRPr="00C56257">
        <w:rPr>
          <w:color w:val="000000" w:themeColor="text1"/>
          <w:lang w:val="x-none"/>
        </w:rPr>
        <w:t>orthomosaic</w:t>
      </w:r>
      <w:proofErr w:type="spellEnd"/>
      <w:r w:rsidRPr="00C56257">
        <w:rPr>
          <w:color w:val="000000" w:themeColor="text1"/>
          <w:lang w:val="x-none"/>
        </w:rPr>
        <w:t xml:space="preserve"> </w:t>
      </w:r>
      <w:r w:rsidRPr="00C56257">
        <w:rPr>
          <w:color w:val="000000" w:themeColor="text1"/>
        </w:rPr>
        <w:t>sunt</w:t>
      </w:r>
      <w:r w:rsidRPr="00C56257">
        <w:rPr>
          <w:color w:val="000000" w:themeColor="text1"/>
          <w:lang w:val="x-none"/>
        </w:rPr>
        <w:t xml:space="preserve"> </w:t>
      </w:r>
      <w:proofErr w:type="spellStart"/>
      <w:r w:rsidRPr="00C56257">
        <w:rPr>
          <w:color w:val="000000" w:themeColor="text1"/>
          <w:lang w:val="x-none"/>
        </w:rPr>
        <w:t>exportate</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formate</w:t>
      </w:r>
      <w:proofErr w:type="spellEnd"/>
      <w:r w:rsidRPr="00C56257">
        <w:rPr>
          <w:color w:val="000000" w:themeColor="text1"/>
          <w:lang w:val="x-none"/>
        </w:rPr>
        <w:t xml:space="preserve"> specific (.las </w:t>
      </w:r>
      <w:proofErr w:type="spellStart"/>
      <w:r w:rsidRPr="00C56257">
        <w:rPr>
          <w:color w:val="000000" w:themeColor="text1"/>
          <w:lang w:val="x-none"/>
        </w:rPr>
        <w:t>și</w:t>
      </w:r>
      <w:proofErr w:type="spellEnd"/>
      <w:r w:rsidRPr="00C56257">
        <w:rPr>
          <w:color w:val="000000" w:themeColor="text1"/>
          <w:lang w:val="x-none"/>
        </w:rPr>
        <w:t xml:space="preserve"> </w:t>
      </w:r>
      <w:proofErr w:type="spellStart"/>
      <w:r w:rsidRPr="00C56257">
        <w:rPr>
          <w:color w:val="000000" w:themeColor="text1"/>
          <w:lang w:val="x-none"/>
        </w:rPr>
        <w:t>GeoTIFF</w:t>
      </w:r>
      <w:proofErr w:type="spellEnd"/>
      <w:r w:rsidRPr="00C56257">
        <w:rPr>
          <w:color w:val="000000" w:themeColor="text1"/>
          <w:lang w:val="x-none"/>
        </w:rPr>
        <w:t xml:space="preserve">). </w:t>
      </w:r>
    </w:p>
    <w:p w14:paraId="16B3FA2B" w14:textId="77777777" w:rsidR="00FC026B" w:rsidRPr="00C56257" w:rsidRDefault="00FC026B" w:rsidP="00FC026B">
      <w:pPr>
        <w:ind w:firstLine="709"/>
        <w:jc w:val="both"/>
        <w:rPr>
          <w:color w:val="000000" w:themeColor="text1"/>
        </w:rPr>
      </w:pPr>
      <w:r w:rsidRPr="00C56257">
        <w:rPr>
          <w:color w:val="000000" w:themeColor="text1"/>
        </w:rPr>
        <w:t xml:space="preserve">Cartarea stațiilor/ploturilor submerse se realizează cu ecosonda (singlebeam sau multibeam) pentru determinarea configurației batimetrimetrice și cu side-scan pentru natura fundului marin, utilizând GPS-uri pentru poziționare. Ambele echipamente presupun mai multe etape privind planificarea activității (sectorul vizat, stabilirea profilelor de măsurare), măsuratorile propriu-zise, prelucrarea datelor și analiza lor. </w:t>
      </w:r>
    </w:p>
    <w:p w14:paraId="1190F54D" w14:textId="77777777" w:rsidR="00FC026B" w:rsidRPr="00C56257" w:rsidRDefault="00FC026B" w:rsidP="00FC026B">
      <w:pPr>
        <w:autoSpaceDE w:val="0"/>
        <w:autoSpaceDN w:val="0"/>
        <w:adjustRightInd w:val="0"/>
        <w:ind w:firstLine="705"/>
        <w:jc w:val="both"/>
        <w:rPr>
          <w:color w:val="000000" w:themeColor="text1"/>
          <w:lang w:val="en-GB"/>
        </w:rPr>
      </w:pPr>
      <w:proofErr w:type="spellStart"/>
      <w:r w:rsidRPr="00C56257">
        <w:rPr>
          <w:color w:val="000000" w:themeColor="text1"/>
          <w:lang w:val="x-none"/>
        </w:rPr>
        <w:t>Rezultatele</w:t>
      </w:r>
      <w:proofErr w:type="spellEnd"/>
      <w:r w:rsidRPr="00C56257">
        <w:rPr>
          <w:color w:val="000000" w:themeColor="text1"/>
          <w:lang w:val="x-none"/>
        </w:rPr>
        <w:t xml:space="preserve"> </w:t>
      </w:r>
      <w:r w:rsidRPr="00C56257">
        <w:rPr>
          <w:color w:val="000000" w:themeColor="text1"/>
        </w:rPr>
        <w:t xml:space="preserve">obținute din activitățile de cartare pot fi </w:t>
      </w:r>
      <w:proofErr w:type="spellStart"/>
      <w:r w:rsidRPr="00C56257">
        <w:rPr>
          <w:color w:val="000000" w:themeColor="text1"/>
          <w:lang w:val="x-none"/>
        </w:rPr>
        <w:t>importate</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r w:rsidRPr="00C56257">
        <w:rPr>
          <w:color w:val="000000" w:themeColor="text1"/>
        </w:rPr>
        <w:t xml:space="preserve">softuri de cartografiere digitală (ex. soluție </w:t>
      </w:r>
      <w:r w:rsidRPr="00C56257">
        <w:rPr>
          <w:color w:val="000000" w:themeColor="text1"/>
          <w:lang w:val="x-none"/>
        </w:rPr>
        <w:t xml:space="preserve">ESRI </w:t>
      </w:r>
      <w:proofErr w:type="spellStart"/>
      <w:r w:rsidRPr="00C56257">
        <w:rPr>
          <w:color w:val="000000" w:themeColor="text1"/>
          <w:lang w:val="x-none"/>
        </w:rPr>
        <w:t>AcrGIS</w:t>
      </w:r>
      <w:proofErr w:type="spellEnd"/>
      <w:r w:rsidRPr="00C56257">
        <w:rPr>
          <w:color w:val="000000" w:themeColor="text1"/>
        </w:rPr>
        <w:t>)</w:t>
      </w:r>
      <w:r w:rsidRPr="00C56257">
        <w:rPr>
          <w:color w:val="000000" w:themeColor="text1"/>
          <w:lang w:val="x-none"/>
        </w:rPr>
        <w:t xml:space="preserve">. </w:t>
      </w:r>
      <w:proofErr w:type="spellStart"/>
      <w:r w:rsidRPr="00C56257">
        <w:rPr>
          <w:color w:val="000000" w:themeColor="text1"/>
          <w:lang w:val="x-none"/>
        </w:rPr>
        <w:t>Vizualizarea</w:t>
      </w:r>
      <w:proofErr w:type="spellEnd"/>
      <w:r w:rsidRPr="00C56257">
        <w:rPr>
          <w:color w:val="000000" w:themeColor="text1"/>
          <w:lang w:val="x-none"/>
        </w:rPr>
        <w:t xml:space="preserve"> </w:t>
      </w:r>
      <w:proofErr w:type="spellStart"/>
      <w:r w:rsidRPr="00C56257">
        <w:rPr>
          <w:color w:val="000000" w:themeColor="text1"/>
          <w:lang w:val="x-none"/>
        </w:rPr>
        <w:t>proceselor</w:t>
      </w:r>
      <w:proofErr w:type="spellEnd"/>
      <w:r w:rsidRPr="00C56257">
        <w:rPr>
          <w:color w:val="000000" w:themeColor="text1"/>
          <w:lang w:val="x-none"/>
        </w:rPr>
        <w:t xml:space="preserve"> </w:t>
      </w:r>
      <w:proofErr w:type="spellStart"/>
      <w:r w:rsidRPr="00C56257">
        <w:rPr>
          <w:color w:val="000000" w:themeColor="text1"/>
          <w:lang w:val="x-none"/>
        </w:rPr>
        <w:t>costiere</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ArcGIS </w:t>
      </w:r>
      <w:proofErr w:type="spellStart"/>
      <w:r w:rsidRPr="00C56257">
        <w:rPr>
          <w:color w:val="000000" w:themeColor="text1"/>
          <w:lang w:val="x-none"/>
        </w:rPr>
        <w:t>este</w:t>
      </w:r>
      <w:proofErr w:type="spellEnd"/>
      <w:r w:rsidRPr="00C56257">
        <w:rPr>
          <w:color w:val="000000" w:themeColor="text1"/>
          <w:lang w:val="x-none"/>
        </w:rPr>
        <w:t xml:space="preserve"> </w:t>
      </w:r>
      <w:proofErr w:type="spellStart"/>
      <w:r w:rsidRPr="00C56257">
        <w:rPr>
          <w:color w:val="000000" w:themeColor="text1"/>
          <w:lang w:val="x-none"/>
        </w:rPr>
        <w:t>mai</w:t>
      </w:r>
      <w:proofErr w:type="spellEnd"/>
      <w:r w:rsidRPr="00C56257">
        <w:rPr>
          <w:color w:val="000000" w:themeColor="text1"/>
          <w:lang w:val="x-none"/>
        </w:rPr>
        <w:t xml:space="preserve"> </w:t>
      </w:r>
      <w:proofErr w:type="spellStart"/>
      <w:r w:rsidRPr="00C56257">
        <w:rPr>
          <w:color w:val="000000" w:themeColor="text1"/>
          <w:lang w:val="x-none"/>
        </w:rPr>
        <w:t>ușoară</w:t>
      </w:r>
      <w:proofErr w:type="spellEnd"/>
      <w:r w:rsidRPr="00C56257">
        <w:rPr>
          <w:color w:val="000000" w:themeColor="text1"/>
        </w:rPr>
        <w:t>,</w:t>
      </w:r>
      <w:r w:rsidRPr="00C56257">
        <w:rPr>
          <w:color w:val="000000" w:themeColor="text1"/>
          <w:lang w:val="x-none"/>
        </w:rPr>
        <w:t xml:space="preserve"> </w:t>
      </w:r>
      <w:proofErr w:type="spellStart"/>
      <w:r w:rsidRPr="00C56257">
        <w:rPr>
          <w:color w:val="000000" w:themeColor="text1"/>
          <w:lang w:val="x-none"/>
        </w:rPr>
        <w:t>oferind</w:t>
      </w:r>
      <w:proofErr w:type="spellEnd"/>
      <w:r w:rsidRPr="00C56257">
        <w:rPr>
          <w:color w:val="000000" w:themeColor="text1"/>
          <w:lang w:val="x-none"/>
        </w:rPr>
        <w:t xml:space="preserve">, de </w:t>
      </w:r>
      <w:proofErr w:type="spellStart"/>
      <w:r w:rsidRPr="00C56257">
        <w:rPr>
          <w:color w:val="000000" w:themeColor="text1"/>
          <w:lang w:val="x-none"/>
        </w:rPr>
        <w:t>asemenea</w:t>
      </w:r>
      <w:proofErr w:type="spellEnd"/>
      <w:r w:rsidRPr="00C56257">
        <w:rPr>
          <w:color w:val="000000" w:themeColor="text1"/>
          <w:lang w:val="x-none"/>
        </w:rPr>
        <w:t xml:space="preserve">, </w:t>
      </w:r>
      <w:proofErr w:type="spellStart"/>
      <w:r w:rsidRPr="00C56257">
        <w:rPr>
          <w:color w:val="000000" w:themeColor="text1"/>
          <w:lang w:val="x-none"/>
        </w:rPr>
        <w:t>instrumente</w:t>
      </w:r>
      <w:proofErr w:type="spellEnd"/>
      <w:r w:rsidRPr="00C56257">
        <w:rPr>
          <w:color w:val="000000" w:themeColor="text1"/>
          <w:lang w:val="x-none"/>
        </w:rPr>
        <w:t xml:space="preserve"> </w:t>
      </w:r>
      <w:proofErr w:type="spellStart"/>
      <w:r w:rsidRPr="00C56257">
        <w:rPr>
          <w:color w:val="000000" w:themeColor="text1"/>
          <w:lang w:val="x-none"/>
        </w:rPr>
        <w:t>și</w:t>
      </w:r>
      <w:proofErr w:type="spellEnd"/>
      <w:r w:rsidRPr="00C56257">
        <w:rPr>
          <w:color w:val="000000" w:themeColor="text1"/>
          <w:lang w:val="x-none"/>
        </w:rPr>
        <w:t xml:space="preserve"> </w:t>
      </w:r>
      <w:proofErr w:type="spellStart"/>
      <w:r w:rsidRPr="00C56257">
        <w:rPr>
          <w:color w:val="000000" w:themeColor="text1"/>
          <w:lang w:val="x-none"/>
        </w:rPr>
        <w:t>pentru</w:t>
      </w:r>
      <w:proofErr w:type="spellEnd"/>
      <w:r w:rsidRPr="00C56257">
        <w:rPr>
          <w:color w:val="000000" w:themeColor="text1"/>
          <w:lang w:val="x-none"/>
        </w:rPr>
        <w:t xml:space="preserve"> </w:t>
      </w:r>
      <w:proofErr w:type="spellStart"/>
      <w:r w:rsidRPr="00C56257">
        <w:rPr>
          <w:color w:val="000000" w:themeColor="text1"/>
          <w:lang w:val="x-none"/>
        </w:rPr>
        <w:t>analize</w:t>
      </w:r>
      <w:proofErr w:type="spellEnd"/>
      <w:r w:rsidRPr="00C56257">
        <w:rPr>
          <w:color w:val="000000" w:themeColor="text1"/>
          <w:lang w:val="x-none"/>
        </w:rPr>
        <w:t xml:space="preserve"> </w:t>
      </w:r>
      <w:proofErr w:type="spellStart"/>
      <w:r w:rsidRPr="00C56257">
        <w:rPr>
          <w:color w:val="000000" w:themeColor="text1"/>
          <w:lang w:val="x-none"/>
        </w:rPr>
        <w:t>spațiale</w:t>
      </w:r>
      <w:proofErr w:type="spellEnd"/>
      <w:r w:rsidRPr="00C56257">
        <w:rPr>
          <w:color w:val="000000" w:themeColor="text1"/>
          <w:lang w:val="x-none"/>
        </w:rPr>
        <w:t xml:space="preserve"> </w:t>
      </w:r>
      <w:proofErr w:type="spellStart"/>
      <w:r w:rsidRPr="00C56257">
        <w:rPr>
          <w:color w:val="000000" w:themeColor="text1"/>
          <w:lang w:val="x-none"/>
        </w:rPr>
        <w:t>și</w:t>
      </w:r>
      <w:proofErr w:type="spellEnd"/>
      <w:r w:rsidRPr="00C56257">
        <w:rPr>
          <w:color w:val="000000" w:themeColor="text1"/>
          <w:lang w:val="x-none"/>
        </w:rPr>
        <w:t xml:space="preserve"> 3D. </w:t>
      </w:r>
    </w:p>
    <w:p w14:paraId="011F4EDD" w14:textId="77777777" w:rsidR="00FC026B" w:rsidRPr="00C56257" w:rsidRDefault="00FC026B" w:rsidP="00FC026B">
      <w:pPr>
        <w:ind w:firstLine="709"/>
        <w:jc w:val="both"/>
        <w:rPr>
          <w:color w:val="000000" w:themeColor="text1"/>
        </w:rPr>
      </w:pPr>
    </w:p>
    <w:p w14:paraId="29211721" w14:textId="77777777" w:rsidR="00FC026B" w:rsidRPr="00C56257" w:rsidRDefault="00FC026B" w:rsidP="00FC026B">
      <w:pPr>
        <w:ind w:firstLine="472"/>
        <w:jc w:val="both"/>
        <w:rPr>
          <w:b/>
          <w:color w:val="000000" w:themeColor="text1"/>
        </w:rPr>
      </w:pPr>
      <w:r w:rsidRPr="00C56257">
        <w:rPr>
          <w:b/>
          <w:color w:val="000000" w:themeColor="text1"/>
          <w:lang w:val="pt-BR"/>
        </w:rPr>
        <w:t>c) Prelevarea și prelucrarea probelor abiotice și biotice</w:t>
      </w:r>
    </w:p>
    <w:p w14:paraId="75811238" w14:textId="77777777" w:rsidR="00FC026B" w:rsidRPr="00C56257" w:rsidRDefault="00FC026B" w:rsidP="00FC026B">
      <w:pPr>
        <w:ind w:firstLine="720"/>
        <w:jc w:val="both"/>
        <w:rPr>
          <w:color w:val="000000" w:themeColor="text1"/>
        </w:rPr>
      </w:pPr>
      <w:r w:rsidRPr="00C56257">
        <w:rPr>
          <w:b/>
          <w:color w:val="000000" w:themeColor="text1"/>
        </w:rPr>
        <w:lastRenderedPageBreak/>
        <w:t>Temperatura</w:t>
      </w:r>
      <w:r w:rsidRPr="00C56257">
        <w:rPr>
          <w:color w:val="000000" w:themeColor="text1"/>
        </w:rPr>
        <w:t xml:space="preserve"> se înregistrează cu ajutorul CTD CastAway.</w:t>
      </w:r>
    </w:p>
    <w:p w14:paraId="73A4F3C0" w14:textId="77777777" w:rsidR="00FC026B" w:rsidRPr="00C56257" w:rsidRDefault="00FC026B" w:rsidP="00FC026B">
      <w:pPr>
        <w:ind w:firstLine="720"/>
        <w:jc w:val="both"/>
        <w:rPr>
          <w:color w:val="000000" w:themeColor="text1"/>
        </w:rPr>
      </w:pPr>
      <w:r w:rsidRPr="00C56257">
        <w:rPr>
          <w:b/>
          <w:bCs/>
          <w:color w:val="000000" w:themeColor="text1"/>
        </w:rPr>
        <w:t>Salinitatea</w:t>
      </w:r>
      <w:r w:rsidRPr="00C56257">
        <w:rPr>
          <w:color w:val="000000" w:themeColor="text1"/>
        </w:rPr>
        <w:t xml:space="preserve"> se determină prin metoda Mohr-Knudsen conform manualului “Methods of Seawater Analysis” (Grasshoff, 1999). Precizia metodei, exprimată ca deviație standard, este ± 0,001Cl</w:t>
      </w:r>
      <w:r w:rsidRPr="00C56257">
        <w:rPr>
          <w:color w:val="000000" w:themeColor="text1"/>
          <w:vertAlign w:val="superscript"/>
        </w:rPr>
        <w:t xml:space="preserve">- </w:t>
      </w:r>
      <w:r w:rsidRPr="00C56257">
        <w:rPr>
          <w:color w:val="000000" w:themeColor="text1"/>
        </w:rPr>
        <w:t>(‰) (Grasshoff, 1999).</w:t>
      </w:r>
    </w:p>
    <w:p w14:paraId="1A2809A8" w14:textId="77777777" w:rsidR="00FC026B" w:rsidRPr="00C56257" w:rsidRDefault="00FC026B" w:rsidP="00FC026B">
      <w:pPr>
        <w:ind w:firstLine="720"/>
        <w:jc w:val="both"/>
        <w:rPr>
          <w:b/>
          <w:bCs/>
          <w:color w:val="000000" w:themeColor="text1"/>
        </w:rPr>
      </w:pPr>
      <w:r w:rsidRPr="00C56257">
        <w:rPr>
          <w:b/>
          <w:color w:val="000000" w:themeColor="text1"/>
        </w:rPr>
        <w:t>Transparența</w:t>
      </w:r>
      <w:r w:rsidRPr="00C56257">
        <w:rPr>
          <w:color w:val="000000" w:themeColor="text1"/>
        </w:rPr>
        <w:t xml:space="preserve"> se măsoară cu discul Secchi. Metoda constă în faptul că discul este legat cu o sfoară marcată din metru în metru pe care se poate citi adâncimea până la care acesta este vizibil.</w:t>
      </w:r>
    </w:p>
    <w:p w14:paraId="0D074415" w14:textId="77777777" w:rsidR="00FC026B" w:rsidRPr="00C56257" w:rsidRDefault="00FC026B" w:rsidP="00FC026B">
      <w:pPr>
        <w:ind w:firstLine="720"/>
        <w:jc w:val="both"/>
        <w:rPr>
          <w:color w:val="000000" w:themeColor="text1"/>
        </w:rPr>
      </w:pPr>
      <w:r w:rsidRPr="00C56257">
        <w:rPr>
          <w:b/>
          <w:bCs/>
          <w:color w:val="000000" w:themeColor="text1"/>
        </w:rPr>
        <w:t xml:space="preserve">Oxigenul dizolvat </w:t>
      </w:r>
      <w:r w:rsidRPr="00C56257">
        <w:rPr>
          <w:color w:val="000000" w:themeColor="text1"/>
        </w:rPr>
        <w:t>s-a determinat prin metoda Winkler conform manualului “Methods of Seawater Analysis” (Grasshoff, 1999). Metoda se bazează pe capacitatea oxigenului dizolvat din probă de a oxida în trepte reactivii adăugați și folosește titrarea iodometrică. Oxigenul dizolvat se fixează imediat, după prelevarea în flacoane cu volum cunoscut - Winkler, cu soluție MnCl</w:t>
      </w:r>
      <w:r w:rsidRPr="00C56257">
        <w:rPr>
          <w:color w:val="000000" w:themeColor="text1"/>
          <w:vertAlign w:val="subscript"/>
        </w:rPr>
        <w:t>2</w:t>
      </w:r>
      <w:r w:rsidRPr="00C56257">
        <w:rPr>
          <w:color w:val="000000" w:themeColor="text1"/>
        </w:rPr>
        <w:t xml:space="preserve"> (3M) și soluție de iodură alcalină. Calitatea datelor este asigurată prin determinarea factorului soluției de tiosulfat de sodiu înainte de fiecare set de analize.</w:t>
      </w:r>
    </w:p>
    <w:p w14:paraId="6ACB8922" w14:textId="77777777" w:rsidR="00FC026B" w:rsidRPr="00C56257" w:rsidRDefault="00FC026B" w:rsidP="00FC026B">
      <w:pPr>
        <w:ind w:firstLine="720"/>
        <w:jc w:val="both"/>
        <w:rPr>
          <w:color w:val="000000" w:themeColor="text1"/>
        </w:rPr>
      </w:pPr>
      <w:r>
        <w:rPr>
          <w:b/>
          <w:bCs/>
          <w:color w:val="000000" w:themeColor="text1"/>
        </w:rPr>
        <w:t xml:space="preserve"> </w:t>
      </w:r>
      <w:r w:rsidRPr="00C56257">
        <w:rPr>
          <w:b/>
          <w:bCs/>
          <w:color w:val="000000" w:themeColor="text1"/>
        </w:rPr>
        <w:t xml:space="preserve">Suspensiile totale </w:t>
      </w:r>
      <w:r w:rsidRPr="00C56257">
        <w:rPr>
          <w:bCs/>
          <w:color w:val="000000" w:themeColor="text1"/>
        </w:rPr>
        <w:t>se determină în laborator prin metoda gravimetrică.</w:t>
      </w:r>
    </w:p>
    <w:p w14:paraId="1D58BD56" w14:textId="77777777" w:rsidR="00FC026B" w:rsidRPr="00C56257" w:rsidRDefault="00FC026B" w:rsidP="00FC026B">
      <w:pPr>
        <w:autoSpaceDE w:val="0"/>
        <w:autoSpaceDN w:val="0"/>
        <w:adjustRightInd w:val="0"/>
        <w:ind w:firstLine="720"/>
        <w:jc w:val="both"/>
        <w:rPr>
          <w:color w:val="000000" w:themeColor="text1"/>
          <w:lang w:val="x-none"/>
        </w:rPr>
      </w:pPr>
      <w:r>
        <w:rPr>
          <w:b/>
          <w:bCs/>
          <w:color w:val="000000" w:themeColor="text1"/>
          <w:lang w:val="en-US"/>
        </w:rPr>
        <w:t xml:space="preserve"> </w:t>
      </w:r>
      <w:proofErr w:type="spellStart"/>
      <w:r w:rsidRPr="00C56257">
        <w:rPr>
          <w:b/>
          <w:bCs/>
          <w:color w:val="000000" w:themeColor="text1"/>
          <w:lang w:val="x-none"/>
        </w:rPr>
        <w:t>Granulometria</w:t>
      </w:r>
      <w:proofErr w:type="spellEnd"/>
      <w:r w:rsidRPr="00C56257">
        <w:rPr>
          <w:b/>
          <w:bCs/>
          <w:color w:val="000000" w:themeColor="text1"/>
          <w:lang w:val="x-none"/>
        </w:rPr>
        <w:t xml:space="preserve"> </w:t>
      </w:r>
      <w:proofErr w:type="spellStart"/>
      <w:r w:rsidRPr="00C56257">
        <w:rPr>
          <w:b/>
          <w:bCs/>
          <w:color w:val="000000" w:themeColor="text1"/>
          <w:lang w:val="x-none"/>
        </w:rPr>
        <w:t>sedimentelor</w:t>
      </w:r>
      <w:proofErr w:type="spellEnd"/>
      <w:r w:rsidRPr="00C56257">
        <w:rPr>
          <w:b/>
          <w:bCs/>
          <w:color w:val="000000" w:themeColor="text1"/>
          <w:lang w:val="x-none"/>
        </w:rPr>
        <w:t xml:space="preserve"> – </w:t>
      </w:r>
      <w:proofErr w:type="spellStart"/>
      <w:r w:rsidRPr="00C56257">
        <w:rPr>
          <w:color w:val="000000" w:themeColor="text1"/>
          <w:lang w:val="x-none"/>
        </w:rPr>
        <w:t>probele</w:t>
      </w:r>
      <w:proofErr w:type="spellEnd"/>
      <w:r w:rsidRPr="00C56257">
        <w:rPr>
          <w:color w:val="000000" w:themeColor="text1"/>
          <w:lang w:val="x-none"/>
        </w:rPr>
        <w:t xml:space="preserve"> sunt </w:t>
      </w:r>
      <w:proofErr w:type="spellStart"/>
      <w:r w:rsidRPr="00C56257">
        <w:rPr>
          <w:color w:val="000000" w:themeColor="text1"/>
          <w:lang w:val="x-none"/>
        </w:rPr>
        <w:t>prelevate</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teren</w:t>
      </w:r>
      <w:proofErr w:type="spellEnd"/>
      <w:r w:rsidRPr="00C56257">
        <w:rPr>
          <w:color w:val="000000" w:themeColor="text1"/>
          <w:lang w:val="x-none"/>
        </w:rPr>
        <w:t xml:space="preserve">, </w:t>
      </w:r>
      <w:proofErr w:type="spellStart"/>
      <w:r w:rsidRPr="00C56257">
        <w:rPr>
          <w:color w:val="000000" w:themeColor="text1"/>
          <w:lang w:val="x-none"/>
        </w:rPr>
        <w:t>odată</w:t>
      </w:r>
      <w:proofErr w:type="spellEnd"/>
      <w:r w:rsidRPr="00C56257">
        <w:rPr>
          <w:color w:val="000000" w:themeColor="text1"/>
          <w:lang w:val="x-none"/>
        </w:rPr>
        <w:t xml:space="preserve"> cu </w:t>
      </w:r>
      <w:proofErr w:type="spellStart"/>
      <w:r w:rsidRPr="00C56257">
        <w:rPr>
          <w:color w:val="000000" w:themeColor="text1"/>
          <w:lang w:val="x-none"/>
        </w:rPr>
        <w:t>probele</w:t>
      </w:r>
      <w:proofErr w:type="spellEnd"/>
      <w:r w:rsidRPr="00C56257">
        <w:rPr>
          <w:color w:val="000000" w:themeColor="text1"/>
          <w:lang w:val="x-none"/>
        </w:rPr>
        <w:t xml:space="preserve"> </w:t>
      </w:r>
      <w:proofErr w:type="spellStart"/>
      <w:r w:rsidRPr="00C56257">
        <w:rPr>
          <w:color w:val="000000" w:themeColor="text1"/>
          <w:lang w:val="x-none"/>
        </w:rPr>
        <w:t>biologice</w:t>
      </w:r>
      <w:proofErr w:type="spellEnd"/>
      <w:r w:rsidRPr="00C56257">
        <w:rPr>
          <w:color w:val="000000" w:themeColor="text1"/>
          <w:lang w:val="x-none"/>
        </w:rPr>
        <w:t xml:space="preserve"> de </w:t>
      </w:r>
      <w:proofErr w:type="spellStart"/>
      <w:r w:rsidRPr="00C56257">
        <w:rPr>
          <w:color w:val="000000" w:themeColor="text1"/>
          <w:lang w:val="x-none"/>
        </w:rPr>
        <w:t>zoobentos</w:t>
      </w:r>
      <w:proofErr w:type="spellEnd"/>
      <w:r w:rsidRPr="00C56257">
        <w:rPr>
          <w:color w:val="000000" w:themeColor="text1"/>
          <w:lang w:val="x-none"/>
        </w:rPr>
        <w:t xml:space="preserve"> cu </w:t>
      </w:r>
      <w:proofErr w:type="spellStart"/>
      <w:r w:rsidRPr="00C56257">
        <w:rPr>
          <w:color w:val="000000" w:themeColor="text1"/>
          <w:lang w:val="x-none"/>
        </w:rPr>
        <w:t>ajutorul</w:t>
      </w:r>
      <w:proofErr w:type="spellEnd"/>
      <w:r w:rsidRPr="00C56257">
        <w:rPr>
          <w:color w:val="000000" w:themeColor="text1"/>
          <w:lang w:val="x-none"/>
        </w:rPr>
        <w:t xml:space="preserve"> </w:t>
      </w:r>
      <w:proofErr w:type="spellStart"/>
      <w:r w:rsidRPr="00C56257">
        <w:rPr>
          <w:color w:val="000000" w:themeColor="text1"/>
          <w:lang w:val="x-none"/>
        </w:rPr>
        <w:t>bodengriferului</w:t>
      </w:r>
      <w:proofErr w:type="spellEnd"/>
      <w:r w:rsidRPr="00C56257">
        <w:rPr>
          <w:color w:val="000000" w:themeColor="text1"/>
          <w:lang w:val="x-none"/>
        </w:rPr>
        <w:t xml:space="preserve"> tip Van Veen.</w:t>
      </w:r>
      <w:r w:rsidRPr="00C56257">
        <w:rPr>
          <w:b/>
          <w:bCs/>
          <w:color w:val="000000" w:themeColor="text1"/>
          <w:lang w:val="x-none"/>
        </w:rPr>
        <w:t xml:space="preserve"> </w:t>
      </w:r>
      <w:r w:rsidRPr="00C56257">
        <w:rPr>
          <w:color w:val="000000" w:themeColor="text1"/>
          <w:lang w:val="x-none"/>
        </w:rPr>
        <w:t xml:space="preserve">Analiza </w:t>
      </w:r>
      <w:proofErr w:type="spellStart"/>
      <w:r w:rsidRPr="00C56257">
        <w:rPr>
          <w:color w:val="000000" w:themeColor="text1"/>
          <w:lang w:val="x-none"/>
        </w:rPr>
        <w:t>granulometrica</w:t>
      </w:r>
      <w:proofErr w:type="spellEnd"/>
      <w:r w:rsidRPr="00C56257">
        <w:rPr>
          <w:color w:val="000000" w:themeColor="text1"/>
          <w:lang w:val="x-none"/>
        </w:rPr>
        <w:t xml:space="preserve"> se </w:t>
      </w:r>
      <w:proofErr w:type="spellStart"/>
      <w:r w:rsidRPr="00C56257">
        <w:rPr>
          <w:color w:val="000000" w:themeColor="text1"/>
          <w:lang w:val="x-none"/>
        </w:rPr>
        <w:t>realizează</w:t>
      </w:r>
      <w:proofErr w:type="spellEnd"/>
      <w:r w:rsidRPr="00C56257">
        <w:rPr>
          <w:color w:val="000000" w:themeColor="text1"/>
          <w:lang w:val="x-none"/>
        </w:rPr>
        <w:t xml:space="preserve"> </w:t>
      </w:r>
      <w:proofErr w:type="spellStart"/>
      <w:r w:rsidRPr="00C56257">
        <w:rPr>
          <w:color w:val="000000" w:themeColor="text1"/>
          <w:lang w:val="x-none"/>
        </w:rPr>
        <w:t>prin</w:t>
      </w:r>
      <w:proofErr w:type="spellEnd"/>
      <w:r w:rsidRPr="00C56257">
        <w:rPr>
          <w:color w:val="000000" w:themeColor="text1"/>
          <w:lang w:val="x-none"/>
        </w:rPr>
        <w:t xml:space="preserve"> </w:t>
      </w:r>
      <w:proofErr w:type="spellStart"/>
      <w:r w:rsidRPr="00C56257">
        <w:rPr>
          <w:color w:val="000000" w:themeColor="text1"/>
          <w:lang w:val="x-none"/>
        </w:rPr>
        <w:t>sitare</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cântărirea</w:t>
      </w:r>
      <w:proofErr w:type="spellEnd"/>
      <w:r w:rsidRPr="00C56257">
        <w:rPr>
          <w:color w:val="000000" w:themeColor="text1"/>
          <w:lang w:val="x-none"/>
        </w:rPr>
        <w:t xml:space="preserve"> </w:t>
      </w:r>
      <w:proofErr w:type="spellStart"/>
      <w:r w:rsidRPr="00C56257">
        <w:rPr>
          <w:color w:val="000000" w:themeColor="text1"/>
          <w:lang w:val="x-none"/>
        </w:rPr>
        <w:t>fracţiunilor</w:t>
      </w:r>
      <w:proofErr w:type="spellEnd"/>
      <w:r w:rsidRPr="00C56257">
        <w:rPr>
          <w:color w:val="000000" w:themeColor="text1"/>
          <w:lang w:val="x-none"/>
        </w:rPr>
        <w:t xml:space="preserve">, </w:t>
      </w:r>
      <w:proofErr w:type="spellStart"/>
      <w:r w:rsidRPr="00C56257">
        <w:rPr>
          <w:color w:val="000000" w:themeColor="text1"/>
          <w:lang w:val="x-none"/>
        </w:rPr>
        <w:t>urmate</w:t>
      </w:r>
      <w:proofErr w:type="spellEnd"/>
      <w:r w:rsidRPr="00C56257">
        <w:rPr>
          <w:color w:val="000000" w:themeColor="text1"/>
          <w:lang w:val="x-none"/>
        </w:rPr>
        <w:t xml:space="preserve"> de </w:t>
      </w:r>
      <w:proofErr w:type="spellStart"/>
      <w:r w:rsidRPr="00C56257">
        <w:rPr>
          <w:color w:val="000000" w:themeColor="text1"/>
          <w:lang w:val="x-none"/>
        </w:rPr>
        <w:t>clasificarea</w:t>
      </w:r>
      <w:proofErr w:type="spellEnd"/>
      <w:r w:rsidRPr="00C56257">
        <w:rPr>
          <w:color w:val="000000" w:themeColor="text1"/>
          <w:lang w:val="x-none"/>
        </w:rPr>
        <w:t xml:space="preserve"> </w:t>
      </w:r>
      <w:proofErr w:type="spellStart"/>
      <w:r w:rsidRPr="00C56257">
        <w:rPr>
          <w:color w:val="000000" w:themeColor="text1"/>
          <w:lang w:val="x-none"/>
        </w:rPr>
        <w:t>acestora</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clase</w:t>
      </w:r>
      <w:proofErr w:type="spellEnd"/>
      <w:r w:rsidRPr="00C56257">
        <w:rPr>
          <w:color w:val="000000" w:themeColor="text1"/>
          <w:lang w:val="x-none"/>
        </w:rPr>
        <w:t xml:space="preserve"> de </w:t>
      </w:r>
      <w:proofErr w:type="spellStart"/>
      <w:r w:rsidRPr="00C56257">
        <w:rPr>
          <w:color w:val="000000" w:themeColor="text1"/>
          <w:lang w:val="x-none"/>
        </w:rPr>
        <w:t>sedimente</w:t>
      </w:r>
      <w:proofErr w:type="spellEnd"/>
      <w:r w:rsidRPr="00C56257">
        <w:rPr>
          <w:color w:val="000000" w:themeColor="text1"/>
          <w:lang w:val="x-none"/>
        </w:rPr>
        <w:t xml:space="preserve"> (</w:t>
      </w:r>
      <w:proofErr w:type="spellStart"/>
      <w:r w:rsidRPr="00C56257">
        <w:rPr>
          <w:color w:val="000000" w:themeColor="text1"/>
          <w:lang w:val="x-none"/>
        </w:rPr>
        <w:t>grosiere</w:t>
      </w:r>
      <w:proofErr w:type="spellEnd"/>
      <w:r w:rsidRPr="00C56257">
        <w:rPr>
          <w:color w:val="000000" w:themeColor="text1"/>
          <w:lang w:val="x-none"/>
        </w:rPr>
        <w:t xml:space="preserve">, </w:t>
      </w:r>
      <w:proofErr w:type="spellStart"/>
      <w:r w:rsidRPr="00C56257">
        <w:rPr>
          <w:color w:val="000000" w:themeColor="text1"/>
          <w:lang w:val="x-none"/>
        </w:rPr>
        <w:t>pietriş</w:t>
      </w:r>
      <w:proofErr w:type="spellEnd"/>
      <w:r w:rsidRPr="00C56257">
        <w:rPr>
          <w:color w:val="000000" w:themeColor="text1"/>
          <w:lang w:val="x-none"/>
        </w:rPr>
        <w:t xml:space="preserve">, </w:t>
      </w:r>
      <w:proofErr w:type="spellStart"/>
      <w:r w:rsidRPr="00C56257">
        <w:rPr>
          <w:color w:val="000000" w:themeColor="text1"/>
          <w:lang w:val="x-none"/>
        </w:rPr>
        <w:t>nisip</w:t>
      </w:r>
      <w:proofErr w:type="spellEnd"/>
      <w:r w:rsidRPr="00C56257">
        <w:rPr>
          <w:color w:val="000000" w:themeColor="text1"/>
          <w:lang w:val="x-none"/>
        </w:rPr>
        <w:t xml:space="preserve">, silt, </w:t>
      </w:r>
      <w:proofErr w:type="spellStart"/>
      <w:r w:rsidRPr="00C56257">
        <w:rPr>
          <w:color w:val="000000" w:themeColor="text1"/>
          <w:lang w:val="x-none"/>
        </w:rPr>
        <w:t>argila</w:t>
      </w:r>
      <w:proofErr w:type="spellEnd"/>
      <w:r w:rsidRPr="00C56257">
        <w:rPr>
          <w:color w:val="000000" w:themeColor="text1"/>
          <w:lang w:val="x-none"/>
        </w:rPr>
        <w:t xml:space="preserve">/mal)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calcularea</w:t>
      </w:r>
      <w:proofErr w:type="spellEnd"/>
      <w:r w:rsidRPr="00C56257">
        <w:rPr>
          <w:color w:val="000000" w:themeColor="text1"/>
          <w:lang w:val="x-none"/>
        </w:rPr>
        <w:t xml:space="preserve"> </w:t>
      </w:r>
      <w:proofErr w:type="spellStart"/>
      <w:r w:rsidRPr="00C56257">
        <w:rPr>
          <w:color w:val="000000" w:themeColor="text1"/>
          <w:lang w:val="x-none"/>
        </w:rPr>
        <w:t>ponderilor</w:t>
      </w:r>
      <w:proofErr w:type="spellEnd"/>
      <w:r w:rsidRPr="00C56257">
        <w:rPr>
          <w:color w:val="000000" w:themeColor="text1"/>
          <w:lang w:val="x-none"/>
        </w:rPr>
        <w:t xml:space="preserve"> </w:t>
      </w:r>
      <w:proofErr w:type="spellStart"/>
      <w:r w:rsidRPr="00C56257">
        <w:rPr>
          <w:color w:val="000000" w:themeColor="text1"/>
          <w:lang w:val="x-none"/>
        </w:rPr>
        <w:t>pentru</w:t>
      </w:r>
      <w:proofErr w:type="spellEnd"/>
      <w:r w:rsidRPr="00C56257">
        <w:rPr>
          <w:color w:val="000000" w:themeColor="text1"/>
          <w:lang w:val="x-none"/>
        </w:rPr>
        <w:t xml:space="preserve"> </w:t>
      </w:r>
      <w:proofErr w:type="spellStart"/>
      <w:r w:rsidRPr="00C56257">
        <w:rPr>
          <w:color w:val="000000" w:themeColor="text1"/>
          <w:lang w:val="x-none"/>
        </w:rPr>
        <w:t>fiecare</w:t>
      </w:r>
      <w:proofErr w:type="spellEnd"/>
      <w:r w:rsidRPr="00C56257">
        <w:rPr>
          <w:color w:val="000000" w:themeColor="text1"/>
          <w:lang w:val="x-none"/>
        </w:rPr>
        <w:t xml:space="preserve"> </w:t>
      </w:r>
      <w:proofErr w:type="spellStart"/>
      <w:r w:rsidRPr="00C56257">
        <w:rPr>
          <w:color w:val="000000" w:themeColor="text1"/>
          <w:lang w:val="x-none"/>
        </w:rPr>
        <w:t>fracţiune</w:t>
      </w:r>
      <w:proofErr w:type="spellEnd"/>
      <w:r w:rsidRPr="00C56257">
        <w:rPr>
          <w:color w:val="000000" w:themeColor="text1"/>
          <w:lang w:val="x-none"/>
        </w:rPr>
        <w:t>.</w:t>
      </w:r>
    </w:p>
    <w:p w14:paraId="706459F1" w14:textId="77777777" w:rsidR="00FC026B" w:rsidRPr="00C56257" w:rsidRDefault="00FC026B" w:rsidP="00FC026B">
      <w:pPr>
        <w:autoSpaceDE w:val="0"/>
        <w:autoSpaceDN w:val="0"/>
        <w:adjustRightInd w:val="0"/>
        <w:ind w:firstLine="720"/>
        <w:contextualSpacing/>
        <w:jc w:val="both"/>
        <w:rPr>
          <w:color w:val="000000" w:themeColor="text1"/>
        </w:rPr>
      </w:pPr>
      <w:r w:rsidRPr="00C56257">
        <w:rPr>
          <w:b/>
          <w:color w:val="000000" w:themeColor="text1"/>
        </w:rPr>
        <w:t>Nutrienții</w:t>
      </w:r>
      <w:r w:rsidRPr="00C56257">
        <w:rPr>
          <w:color w:val="000000" w:themeColor="text1"/>
        </w:rPr>
        <w:t xml:space="preserve"> dizolvați în apa de mare se cuantifică prin metode analitice spectrofotometrice, validate în laborator și având ca referință  manualul “Methods of Seawater Analysis”, (Grasshoff, 1999), limitele de detecție și incertitudinile relative extinse, k=2, factor de acoperire, 95,45%. Ca echipament se utilizează spectrofotometrul UV-VIS Shimadzu, având interval de măsură: 0-1000 nm.</w:t>
      </w:r>
    </w:p>
    <w:p w14:paraId="54DB5A40" w14:textId="77777777" w:rsidR="00FC026B" w:rsidRPr="00C56257" w:rsidRDefault="00FC026B" w:rsidP="00FC026B">
      <w:pPr>
        <w:ind w:firstLine="720"/>
        <w:jc w:val="both"/>
        <w:rPr>
          <w:color w:val="000000" w:themeColor="text1"/>
        </w:rPr>
      </w:pPr>
      <w:r w:rsidRPr="00C56257">
        <w:rPr>
          <w:b/>
          <w:bCs/>
          <w:color w:val="000000" w:themeColor="text1"/>
        </w:rPr>
        <w:t xml:space="preserve">Poluanţi organici. </w:t>
      </w:r>
      <w:r w:rsidRPr="00C56257">
        <w:rPr>
          <w:color w:val="000000" w:themeColor="text1"/>
        </w:rPr>
        <w:t>Prelevarea probelor de sedimente superficiale pentru analiza poluanţilor se face  utilizând un boden-greifer de tip van Veen şi se păstrează în recipiente etichetate, la congelator. Prelucrarea preliminară a sedimentelor se face conform metodelor de referinţă recomandate în studiul poluării marine. Probele se liofilizează, fragmentele grosiere (&gt; 0,5 mm) se îndepărtează prin sitare, eşantioanele fiind ulterior bine omogenizate. Extracţia poluanţilor organici din eşantioanele de sediment se face cu 30 ml amestec acetonă / hexan (1: 1, v: v), într-un sistem de extracție cu microunde Start E Milestone pentru 30 de minute la 120</w:t>
      </w:r>
      <w:r w:rsidRPr="00C56257">
        <w:rPr>
          <w:color w:val="000000" w:themeColor="text1"/>
          <w:vertAlign w:val="superscript"/>
        </w:rPr>
        <w:t>o</w:t>
      </w:r>
      <w:r w:rsidRPr="00C56257">
        <w:rPr>
          <w:color w:val="000000" w:themeColor="text1"/>
        </w:rPr>
        <w:t xml:space="preserve">C. Prelucrarea ulterioară a probelor se face în următoarele etape: tratarea probelor cu cupru pentru îndepărtarea compuşilor cu sulf; separare pe coloană de fluorisil şi concentrarea probelor folosind concentratorul Kuderna-Denish şi la flux de azot. Determinarea analitică a conținutului de poluanţi organici persistenţi se face prin prin metoda gazcromatografică cu un gazcromatograf Perkin Elmer echipat cu detector cu captură de electroni. </w:t>
      </w:r>
    </w:p>
    <w:p w14:paraId="7E223212" w14:textId="77777777" w:rsidR="00FC026B" w:rsidRPr="00C56257" w:rsidRDefault="00FC026B" w:rsidP="00FC026B">
      <w:pPr>
        <w:ind w:firstLine="720"/>
        <w:jc w:val="both"/>
        <w:rPr>
          <w:color w:val="000000" w:themeColor="text1"/>
        </w:rPr>
      </w:pPr>
      <w:r w:rsidRPr="00C56257">
        <w:rPr>
          <w:b/>
          <w:bCs/>
          <w:color w:val="000000" w:themeColor="text1"/>
        </w:rPr>
        <w:t xml:space="preserve">Metale grele. </w:t>
      </w:r>
      <w:r w:rsidRPr="00C56257">
        <w:rPr>
          <w:color w:val="000000" w:themeColor="text1"/>
        </w:rPr>
        <w:t>Prelucrarea sedimentelor constă în tratamentul cu acid concentrat (HNO</w:t>
      </w:r>
      <w:r w:rsidRPr="00C56257">
        <w:rPr>
          <w:color w:val="000000" w:themeColor="text1"/>
          <w:vertAlign w:val="subscript"/>
        </w:rPr>
        <w:t>3</w:t>
      </w:r>
      <w:r w:rsidRPr="00C56257">
        <w:rPr>
          <w:color w:val="000000" w:themeColor="text1"/>
        </w:rPr>
        <w:t xml:space="preserve"> Suprapur), urmată de procesul de digestie în cuptor cu microunde. La terminarea mineralizării, probele sunt reluate în balon cotat de 100 ml, cu apa deionizată. Determinarea analitică a conţinutului de metale grele se face prin metoda spectrometriei cu absorbţie atomică, folosind un instrument model SOLAAR M6 DUAL Zeeman, Thermo Electron - UNICAM.</w:t>
      </w:r>
    </w:p>
    <w:p w14:paraId="00E7E12B" w14:textId="77777777" w:rsidR="00FC026B" w:rsidRPr="00C56257" w:rsidRDefault="00FC026B" w:rsidP="00FC026B">
      <w:pPr>
        <w:ind w:firstLine="720"/>
        <w:jc w:val="both"/>
        <w:rPr>
          <w:color w:val="000000" w:themeColor="text1"/>
        </w:rPr>
      </w:pPr>
      <w:r w:rsidRPr="00C56257">
        <w:rPr>
          <w:b/>
          <w:bCs/>
          <w:color w:val="000000" w:themeColor="text1"/>
        </w:rPr>
        <w:t>TOC in sedimente</w:t>
      </w:r>
    </w:p>
    <w:p w14:paraId="5AB5CF37" w14:textId="77777777" w:rsidR="00FC026B" w:rsidRPr="00C56257" w:rsidRDefault="00FC026B" w:rsidP="00FC026B">
      <w:pPr>
        <w:jc w:val="both"/>
        <w:rPr>
          <w:color w:val="000000" w:themeColor="text1"/>
        </w:rPr>
      </w:pPr>
      <w:r w:rsidRPr="00C56257">
        <w:rPr>
          <w:color w:val="000000" w:themeColor="text1"/>
        </w:rPr>
        <w:t>Carbonul organic total (TOC) se determină prin metoda automată, detecție cu IR a CO</w:t>
      </w:r>
      <w:r w:rsidRPr="00C56257">
        <w:rPr>
          <w:color w:val="000000" w:themeColor="text1"/>
          <w:vertAlign w:val="subscript"/>
        </w:rPr>
        <w:t>2</w:t>
      </w:r>
      <w:r w:rsidRPr="00C56257">
        <w:rPr>
          <w:color w:val="000000" w:themeColor="text1"/>
        </w:rPr>
        <w:t xml:space="preserve"> degajat prin combustie.</w:t>
      </w:r>
    </w:p>
    <w:p w14:paraId="0BDB4B59" w14:textId="77777777" w:rsidR="00FC026B" w:rsidRPr="00C56257" w:rsidRDefault="00FC026B" w:rsidP="00FC026B">
      <w:pPr>
        <w:autoSpaceDE w:val="0"/>
        <w:autoSpaceDN w:val="0"/>
        <w:adjustRightInd w:val="0"/>
        <w:ind w:firstLine="720"/>
        <w:contextualSpacing/>
        <w:jc w:val="both"/>
        <w:rPr>
          <w:color w:val="000000" w:themeColor="text1"/>
        </w:rPr>
      </w:pPr>
      <w:r w:rsidRPr="00C56257">
        <w:rPr>
          <w:b/>
          <w:color w:val="000000" w:themeColor="text1"/>
        </w:rPr>
        <w:t xml:space="preserve">Carbonul organic total - TOC </w:t>
      </w:r>
      <w:r w:rsidRPr="00C56257">
        <w:rPr>
          <w:color w:val="000000" w:themeColor="text1"/>
        </w:rPr>
        <w:t>se determină prin metoda automată cu analizor model Shimadzu cu detector NDIR.</w:t>
      </w:r>
    </w:p>
    <w:p w14:paraId="76E65684" w14:textId="77777777" w:rsidR="00FC026B" w:rsidRPr="00CE2925" w:rsidRDefault="00FC026B" w:rsidP="00FC026B">
      <w:pPr>
        <w:pStyle w:val="ListParagraph"/>
        <w:autoSpaceDE w:val="0"/>
        <w:autoSpaceDN w:val="0"/>
        <w:adjustRightInd w:val="0"/>
        <w:ind w:left="0" w:firstLine="709"/>
        <w:contextualSpacing/>
        <w:jc w:val="both"/>
        <w:rPr>
          <w:rFonts w:ascii="Times New Roman" w:hAnsi="Times New Roman" w:cs="Times New Roman"/>
          <w:color w:val="000000" w:themeColor="text1"/>
          <w:sz w:val="24"/>
          <w:szCs w:val="24"/>
        </w:rPr>
      </w:pPr>
      <w:r w:rsidRPr="00CE2925">
        <w:rPr>
          <w:rFonts w:ascii="Times New Roman" w:hAnsi="Times New Roman" w:cs="Times New Roman"/>
          <w:b/>
          <w:color w:val="000000" w:themeColor="text1"/>
          <w:sz w:val="24"/>
          <w:szCs w:val="24"/>
          <w:lang w:val="it-IT" w:eastAsia="ro-RO"/>
        </w:rPr>
        <w:t>Concentrația clorofilei</w:t>
      </w:r>
    </w:p>
    <w:p w14:paraId="7D920733" w14:textId="77777777" w:rsidR="00FC026B" w:rsidRPr="00C56257" w:rsidRDefault="00FC026B" w:rsidP="00FC026B">
      <w:pPr>
        <w:tabs>
          <w:tab w:val="left" w:pos="993"/>
        </w:tabs>
        <w:jc w:val="both"/>
        <w:rPr>
          <w:color w:val="000000" w:themeColor="text1"/>
        </w:rPr>
      </w:pPr>
      <w:r w:rsidRPr="00C56257">
        <w:rPr>
          <w:rFonts w:eastAsia="+mn-ea"/>
          <w:bCs/>
          <w:color w:val="000000" w:themeColor="text1"/>
          <w:kern w:val="24"/>
        </w:rPr>
        <w:t>Probele</w:t>
      </w:r>
      <w:r w:rsidRPr="00C56257">
        <w:rPr>
          <w:rFonts w:eastAsia="+mn-ea"/>
          <w:color w:val="000000" w:themeColor="text1"/>
          <w:kern w:val="24"/>
        </w:rPr>
        <w:t xml:space="preserve"> de apă pentru determinarea clorofilei </w:t>
      </w:r>
      <w:r w:rsidRPr="00C56257">
        <w:rPr>
          <w:rFonts w:eastAsia="+mn-ea"/>
          <w:i/>
          <w:color w:val="000000" w:themeColor="text1"/>
          <w:kern w:val="24"/>
        </w:rPr>
        <w:t>a</w:t>
      </w:r>
      <w:r w:rsidRPr="00C56257">
        <w:rPr>
          <w:rFonts w:eastAsia="+mn-ea"/>
          <w:color w:val="000000" w:themeColor="text1"/>
          <w:kern w:val="24"/>
        </w:rPr>
        <w:t xml:space="preserve"> se colectează cu </w:t>
      </w:r>
      <w:r w:rsidRPr="00C56257">
        <w:rPr>
          <w:rFonts w:eastAsia="+mn-ea"/>
          <w:bCs/>
          <w:color w:val="000000" w:themeColor="text1"/>
          <w:kern w:val="24"/>
        </w:rPr>
        <w:t>butelia Nansen</w:t>
      </w:r>
      <w:r w:rsidRPr="00C56257">
        <w:rPr>
          <w:rFonts w:eastAsia="+mn-ea"/>
          <w:color w:val="000000" w:themeColor="text1"/>
          <w:kern w:val="24"/>
        </w:rPr>
        <w:t xml:space="preserve">, din stratul de suprafaţă (0-10 m) </w:t>
      </w:r>
      <w:r w:rsidRPr="00C56257">
        <w:rPr>
          <w:color w:val="000000" w:themeColor="text1"/>
        </w:rPr>
        <w:t xml:space="preserve">în bidoane de 3L. Pentru separarea materialului pe filtrul din celuloză (cu diametrul porilor </w:t>
      </w:r>
      <w:r w:rsidRPr="00C56257">
        <w:rPr>
          <w:b/>
          <w:bCs/>
          <w:color w:val="000000" w:themeColor="text1"/>
          <w:shd w:val="clear" w:color="auto" w:fill="FFFFFF"/>
        </w:rPr>
        <w:t>Ø</w:t>
      </w:r>
      <w:r w:rsidRPr="00C56257">
        <w:rPr>
          <w:color w:val="000000" w:themeColor="text1"/>
        </w:rPr>
        <w:t xml:space="preserve"> = 0,45 </w:t>
      </w:r>
      <w:r w:rsidRPr="00C56257">
        <w:rPr>
          <w:color w:val="000000" w:themeColor="text1"/>
        </w:rPr>
        <w:sym w:font="Symbol" w:char="F06D"/>
      </w:r>
      <w:r w:rsidRPr="00C56257">
        <w:rPr>
          <w:color w:val="000000" w:themeColor="text1"/>
        </w:rPr>
        <w:t xml:space="preserve">m) se folosește un dispozitiv de filtrare sub vid. Astfel, în cel mai scurt timp posibil după prelevare, se filtrează probele sau se pot păstra pentru scurt timp la rece și la întuneric. Filtrele se introduc în eprubete </w:t>
      </w:r>
      <w:r w:rsidRPr="00C56257">
        <w:rPr>
          <w:color w:val="000000" w:themeColor="text1"/>
        </w:rPr>
        <w:lastRenderedPageBreak/>
        <w:t>care trebuie să conțină următoarele informații: profilul, stația, orizontul și volumul filtrat și se păstrează la congelator până la determinarea din laborator. Clorofila</w:t>
      </w:r>
      <w:r w:rsidRPr="00C56257">
        <w:rPr>
          <w:i/>
          <w:color w:val="000000" w:themeColor="text1"/>
        </w:rPr>
        <w:t xml:space="preserve"> a</w:t>
      </w:r>
      <w:r w:rsidRPr="00C56257">
        <w:rPr>
          <w:color w:val="000000" w:themeColor="text1"/>
        </w:rPr>
        <w:t xml:space="preserve"> se determină în laborator prin metoda bazată pe extracţia pigmentului cu acetonă 90% şi măsurarea absorbanţei probei la patru lungimi de undă (</w:t>
      </w:r>
      <w:r w:rsidRPr="00C56257">
        <w:rPr>
          <w:bCs/>
          <w:color w:val="000000" w:themeColor="text1"/>
        </w:rPr>
        <w:sym w:font="Symbol" w:char="F06C"/>
      </w:r>
      <w:r w:rsidRPr="00C56257">
        <w:rPr>
          <w:bCs/>
          <w:color w:val="000000" w:themeColor="text1"/>
        </w:rPr>
        <w:t>=</w:t>
      </w:r>
      <w:r w:rsidRPr="00C56257">
        <w:rPr>
          <w:color w:val="000000" w:themeColor="text1"/>
        </w:rPr>
        <w:t xml:space="preserve">750nm; </w:t>
      </w:r>
      <w:r w:rsidRPr="00C56257">
        <w:rPr>
          <w:bCs/>
          <w:color w:val="000000" w:themeColor="text1"/>
        </w:rPr>
        <w:sym w:font="Symbol" w:char="F06C"/>
      </w:r>
      <w:r w:rsidRPr="00C56257">
        <w:rPr>
          <w:bCs/>
          <w:color w:val="000000" w:themeColor="text1"/>
        </w:rPr>
        <w:t>=</w:t>
      </w:r>
      <w:r w:rsidRPr="00C56257">
        <w:rPr>
          <w:color w:val="000000" w:themeColor="text1"/>
        </w:rPr>
        <w:t xml:space="preserve">630nm; </w:t>
      </w:r>
      <w:r w:rsidRPr="00C56257">
        <w:rPr>
          <w:bCs/>
          <w:color w:val="000000" w:themeColor="text1"/>
        </w:rPr>
        <w:sym w:font="Symbol" w:char="F06C"/>
      </w:r>
      <w:r w:rsidRPr="00C56257">
        <w:rPr>
          <w:bCs/>
          <w:color w:val="000000" w:themeColor="text1"/>
        </w:rPr>
        <w:t>=</w:t>
      </w:r>
      <w:r w:rsidRPr="00C56257">
        <w:rPr>
          <w:color w:val="000000" w:themeColor="text1"/>
        </w:rPr>
        <w:t xml:space="preserve">645nm şi </w:t>
      </w:r>
      <w:r w:rsidRPr="00C56257">
        <w:rPr>
          <w:bCs/>
          <w:color w:val="000000" w:themeColor="text1"/>
        </w:rPr>
        <w:sym w:font="Symbol" w:char="F06C"/>
      </w:r>
      <w:r w:rsidRPr="00C56257">
        <w:rPr>
          <w:bCs/>
          <w:color w:val="000000" w:themeColor="text1"/>
        </w:rPr>
        <w:t>=</w:t>
      </w:r>
      <w:r w:rsidRPr="00C56257">
        <w:rPr>
          <w:color w:val="000000" w:themeColor="text1"/>
        </w:rPr>
        <w:t>663nm). Calculul concentraţiei clorofilei se face după ecuaţiile tricromatice SCOR-UNESCO (SCOR-UNESCO, 1966).</w:t>
      </w:r>
    </w:p>
    <w:p w14:paraId="662B3C77" w14:textId="77777777" w:rsidR="00FC026B" w:rsidRPr="00A01745" w:rsidRDefault="00FC026B" w:rsidP="00FC026B">
      <w:pPr>
        <w:pStyle w:val="ListParagraph"/>
        <w:widowControl w:val="0"/>
        <w:tabs>
          <w:tab w:val="left" w:pos="450"/>
          <w:tab w:val="left" w:pos="1260"/>
        </w:tabs>
        <w:jc w:val="both"/>
        <w:rPr>
          <w:rFonts w:ascii="Times New Roman" w:hAnsi="Times New Roman" w:cs="Times New Roman"/>
          <w:color w:val="000000" w:themeColor="text1"/>
          <w:sz w:val="24"/>
          <w:szCs w:val="24"/>
        </w:rPr>
      </w:pPr>
      <w:r w:rsidRPr="00A01745">
        <w:rPr>
          <w:rFonts w:ascii="Times New Roman" w:hAnsi="Times New Roman" w:cs="Times New Roman"/>
          <w:b/>
          <w:color w:val="000000" w:themeColor="text1"/>
          <w:sz w:val="24"/>
          <w:szCs w:val="24"/>
          <w:lang w:val="it-IT" w:eastAsia="ro-RO"/>
        </w:rPr>
        <w:t>Fitoplancton</w:t>
      </w:r>
    </w:p>
    <w:p w14:paraId="23BB94B2" w14:textId="77777777" w:rsidR="00FC026B" w:rsidRPr="00C56257" w:rsidRDefault="00FC026B" w:rsidP="00FC026B">
      <w:pPr>
        <w:tabs>
          <w:tab w:val="left" w:pos="993"/>
        </w:tabs>
        <w:contextualSpacing/>
        <w:jc w:val="both"/>
        <w:rPr>
          <w:color w:val="000000" w:themeColor="text1"/>
        </w:rPr>
      </w:pPr>
      <w:r w:rsidRPr="00C56257">
        <w:rPr>
          <w:rFonts w:eastAsia="+mn-ea"/>
          <w:color w:val="000000" w:themeColor="text1"/>
          <w:kern w:val="24"/>
        </w:rPr>
        <w:t xml:space="preserve">Probele în volum de 500 ml se colectează cu </w:t>
      </w:r>
      <w:r w:rsidRPr="00C56257">
        <w:rPr>
          <w:rFonts w:eastAsia="+mn-ea"/>
          <w:bCs/>
          <w:color w:val="000000" w:themeColor="text1"/>
          <w:kern w:val="24"/>
        </w:rPr>
        <w:t>butelia Nansen, se c</w:t>
      </w:r>
      <w:r w:rsidRPr="00C56257">
        <w:rPr>
          <w:rFonts w:eastAsia="+mn-ea"/>
          <w:color w:val="000000" w:themeColor="text1"/>
          <w:kern w:val="24"/>
        </w:rPr>
        <w:t xml:space="preserve">onservă cu formaldehidă 4% şi se prelucrează prin metoda sedimentării (Morozova-Vodianitkaia, 1948; Bodeanu, 1987 - 1988, Moncheva, 2008). </w:t>
      </w:r>
      <w:r w:rsidRPr="00C56257">
        <w:rPr>
          <w:color w:val="000000" w:themeColor="text1"/>
        </w:rPr>
        <w:t xml:space="preserve">Determinarea și numărarea celulelor speciilor din fracția de probă analizată (0,1 ml) se efectuează la microscopul inversat </w:t>
      </w:r>
      <w:r w:rsidRPr="00C56257">
        <w:rPr>
          <w:rFonts w:eastAsia="+mn-ea"/>
          <w:color w:val="000000" w:themeColor="text1"/>
          <w:kern w:val="24"/>
        </w:rPr>
        <w:t xml:space="preserve">de plancton folosind obiective de 20x sau 40x </w:t>
      </w:r>
      <w:r w:rsidRPr="00C56257">
        <w:rPr>
          <w:color w:val="000000" w:themeColor="text1"/>
        </w:rPr>
        <w:t xml:space="preserve">(Utermohl, 1958). În funcţie de scopul investigării, toate organismele întâlnite sunt identificate la nivel de specie, gen sau grup algal numărâdu-se toate celulele fiecărei specii/gen/grup întâlnit. Pentru identificarea speciilor din compoziția fitoplanctonului se folosesc următoarele determinatoare: Kisselew (1950), Proshkina-Lavrenko (1955), Carmelo R. Thomas (1993, 1995), Schiller (1937) și, în completarea lor, informaţii ale bazelor de date de specialitate disponibile pe internet. </w:t>
      </w:r>
      <w:r w:rsidRPr="00C56257">
        <w:rPr>
          <w:rFonts w:eastAsia="+mn-ea"/>
          <w:color w:val="000000" w:themeColor="text1"/>
          <w:kern w:val="24"/>
        </w:rPr>
        <w:t>Cu datele primare astfel obţinute se calculează densitatea numerică (cel/L) şi biomasa umedă (mg/m</w:t>
      </w:r>
      <w:r w:rsidRPr="00C56257">
        <w:rPr>
          <w:rFonts w:eastAsia="+mn-ea"/>
          <w:color w:val="000000" w:themeColor="text1"/>
          <w:kern w:val="24"/>
          <w:vertAlign w:val="superscript"/>
        </w:rPr>
        <w:t>3</w:t>
      </w:r>
      <w:r w:rsidRPr="00C56257">
        <w:rPr>
          <w:rFonts w:eastAsia="+mn-ea"/>
          <w:color w:val="000000" w:themeColor="text1"/>
          <w:kern w:val="24"/>
        </w:rPr>
        <w:t>) pentru fiecare componentă specifică, pentru fiecare dintre grupele taxonomice algale şi pentru fitoplanctonul total.</w:t>
      </w:r>
    </w:p>
    <w:p w14:paraId="6E4446FB" w14:textId="77777777" w:rsidR="00FC026B" w:rsidRPr="00A01745" w:rsidRDefault="00FC026B" w:rsidP="00FC026B">
      <w:pPr>
        <w:pStyle w:val="ListParagraph"/>
        <w:ind w:left="709"/>
        <w:contextualSpacing/>
        <w:jc w:val="both"/>
        <w:rPr>
          <w:rFonts w:ascii="Times New Roman" w:hAnsi="Times New Roman" w:cs="Times New Roman"/>
          <w:color w:val="000000" w:themeColor="text1"/>
          <w:sz w:val="24"/>
          <w:szCs w:val="24"/>
        </w:rPr>
      </w:pPr>
      <w:r w:rsidRPr="00A01745">
        <w:rPr>
          <w:rFonts w:ascii="Times New Roman" w:hAnsi="Times New Roman" w:cs="Times New Roman"/>
          <w:b/>
          <w:color w:val="000000" w:themeColor="text1"/>
          <w:sz w:val="24"/>
          <w:szCs w:val="24"/>
          <w:lang w:val="it-IT" w:eastAsia="ro-RO"/>
        </w:rPr>
        <w:t>Zooplancton</w:t>
      </w:r>
    </w:p>
    <w:p w14:paraId="4C63EE9D" w14:textId="77777777" w:rsidR="00FC026B" w:rsidRPr="00A01745" w:rsidRDefault="00FC026B" w:rsidP="00FC026B">
      <w:pPr>
        <w:pStyle w:val="ListParagraph"/>
        <w:ind w:left="0"/>
        <w:contextualSpacing/>
        <w:jc w:val="both"/>
        <w:rPr>
          <w:rFonts w:ascii="Times New Roman" w:hAnsi="Times New Roman" w:cs="Times New Roman"/>
          <w:color w:val="000000" w:themeColor="text1"/>
          <w:sz w:val="24"/>
          <w:szCs w:val="24"/>
        </w:rPr>
      </w:pPr>
      <w:proofErr w:type="spellStart"/>
      <w:r w:rsidRPr="00A01745">
        <w:rPr>
          <w:rFonts w:ascii="Times New Roman" w:hAnsi="Times New Roman" w:cs="Times New Roman"/>
          <w:color w:val="000000" w:themeColor="text1"/>
          <w:sz w:val="24"/>
          <w:szCs w:val="24"/>
        </w:rPr>
        <w:t>Probele</w:t>
      </w:r>
      <w:proofErr w:type="spellEnd"/>
      <w:r w:rsidRPr="00A01745">
        <w:rPr>
          <w:rFonts w:ascii="Times New Roman" w:hAnsi="Times New Roman" w:cs="Times New Roman"/>
          <w:color w:val="000000" w:themeColor="text1"/>
          <w:sz w:val="24"/>
          <w:szCs w:val="24"/>
        </w:rPr>
        <w:t xml:space="preserve"> de </w:t>
      </w:r>
      <w:proofErr w:type="spellStart"/>
      <w:r w:rsidRPr="00A01745">
        <w:rPr>
          <w:rFonts w:ascii="Times New Roman" w:hAnsi="Times New Roman" w:cs="Times New Roman"/>
          <w:color w:val="000000" w:themeColor="text1"/>
          <w:sz w:val="24"/>
          <w:szCs w:val="24"/>
        </w:rPr>
        <w:t>zooplancton</w:t>
      </w:r>
      <w:proofErr w:type="spellEnd"/>
      <w:r w:rsidRPr="00A01745">
        <w:rPr>
          <w:rFonts w:ascii="Times New Roman" w:hAnsi="Times New Roman" w:cs="Times New Roman"/>
          <w:color w:val="000000" w:themeColor="text1"/>
          <w:sz w:val="24"/>
          <w:szCs w:val="24"/>
        </w:rPr>
        <w:t xml:space="preserve"> sunt </w:t>
      </w:r>
      <w:proofErr w:type="spellStart"/>
      <w:r w:rsidRPr="00A01745">
        <w:rPr>
          <w:rFonts w:ascii="Times New Roman" w:hAnsi="Times New Roman" w:cs="Times New Roman"/>
          <w:color w:val="000000" w:themeColor="text1"/>
          <w:sz w:val="24"/>
          <w:szCs w:val="24"/>
        </w:rPr>
        <w:t>colectate</w:t>
      </w:r>
      <w:proofErr w:type="spellEnd"/>
      <w:r w:rsidRPr="00A01745">
        <w:rPr>
          <w:rFonts w:ascii="Times New Roman" w:hAnsi="Times New Roman" w:cs="Times New Roman"/>
          <w:color w:val="000000" w:themeColor="text1"/>
          <w:sz w:val="24"/>
          <w:szCs w:val="24"/>
        </w:rPr>
        <w:t xml:space="preserve"> cu  </w:t>
      </w:r>
      <w:proofErr w:type="spellStart"/>
      <w:r w:rsidRPr="00A01745">
        <w:rPr>
          <w:rFonts w:ascii="Times New Roman" w:hAnsi="Times New Roman" w:cs="Times New Roman"/>
          <w:color w:val="000000" w:themeColor="text1"/>
          <w:sz w:val="24"/>
          <w:szCs w:val="24"/>
        </w:rPr>
        <w:t>fileul</w:t>
      </w:r>
      <w:proofErr w:type="spellEnd"/>
      <w:r w:rsidRPr="00A01745">
        <w:rPr>
          <w:rFonts w:ascii="Times New Roman" w:hAnsi="Times New Roman" w:cs="Times New Roman"/>
          <w:color w:val="000000" w:themeColor="text1"/>
          <w:sz w:val="24"/>
          <w:szCs w:val="24"/>
        </w:rPr>
        <w:t xml:space="preserve"> de tip Juday, cu </w:t>
      </w:r>
      <w:proofErr w:type="spellStart"/>
      <w:r w:rsidRPr="00A01745">
        <w:rPr>
          <w:rFonts w:ascii="Times New Roman" w:hAnsi="Times New Roman" w:cs="Times New Roman"/>
          <w:color w:val="000000" w:themeColor="text1"/>
          <w:sz w:val="24"/>
          <w:szCs w:val="24"/>
        </w:rPr>
        <w:t>diametru</w:t>
      </w:r>
      <w:proofErr w:type="spellEnd"/>
      <w:r w:rsidRPr="00A01745">
        <w:rPr>
          <w:rFonts w:ascii="Times New Roman" w:hAnsi="Times New Roman" w:cs="Times New Roman"/>
          <w:color w:val="000000" w:themeColor="text1"/>
          <w:sz w:val="24"/>
          <w:szCs w:val="24"/>
        </w:rPr>
        <w:t xml:space="preserve"> intern al </w:t>
      </w:r>
      <w:proofErr w:type="spellStart"/>
      <w:r w:rsidRPr="00A01745">
        <w:rPr>
          <w:rFonts w:ascii="Times New Roman" w:hAnsi="Times New Roman" w:cs="Times New Roman"/>
          <w:color w:val="000000" w:themeColor="text1"/>
          <w:sz w:val="24"/>
          <w:szCs w:val="24"/>
        </w:rPr>
        <w:t>inelului</w:t>
      </w:r>
      <w:proofErr w:type="spellEnd"/>
      <w:r w:rsidRPr="00A01745">
        <w:rPr>
          <w:rFonts w:ascii="Times New Roman" w:hAnsi="Times New Roman" w:cs="Times New Roman"/>
          <w:color w:val="000000" w:themeColor="text1"/>
          <w:sz w:val="24"/>
          <w:szCs w:val="24"/>
        </w:rPr>
        <w:t xml:space="preserve"> superior de 36 cm </w:t>
      </w:r>
      <w:proofErr w:type="spellStart"/>
      <w:r w:rsidRPr="00A01745">
        <w:rPr>
          <w:rFonts w:ascii="Times New Roman" w:hAnsi="Times New Roman" w:cs="Times New Roman"/>
          <w:color w:val="000000" w:themeColor="text1"/>
          <w:sz w:val="24"/>
          <w:szCs w:val="24"/>
        </w:rPr>
        <w:t>și</w:t>
      </w:r>
      <w:proofErr w:type="spellEnd"/>
      <w:r w:rsidRPr="00A01745">
        <w:rPr>
          <w:rFonts w:ascii="Times New Roman" w:hAnsi="Times New Roman" w:cs="Times New Roman"/>
          <w:color w:val="000000" w:themeColor="text1"/>
          <w:sz w:val="24"/>
          <w:szCs w:val="24"/>
        </w:rPr>
        <w:t xml:space="preserve"> o </w:t>
      </w:r>
      <w:proofErr w:type="spellStart"/>
      <w:r w:rsidRPr="00A01745">
        <w:rPr>
          <w:rFonts w:ascii="Times New Roman" w:hAnsi="Times New Roman" w:cs="Times New Roman"/>
          <w:color w:val="000000" w:themeColor="text1"/>
          <w:sz w:val="24"/>
          <w:szCs w:val="24"/>
        </w:rPr>
        <w:t>sită</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filtrantă</w:t>
      </w:r>
      <w:proofErr w:type="spellEnd"/>
      <w:r w:rsidRPr="00A01745">
        <w:rPr>
          <w:rFonts w:ascii="Times New Roman" w:hAnsi="Times New Roman" w:cs="Times New Roman"/>
          <w:color w:val="000000" w:themeColor="text1"/>
          <w:sz w:val="24"/>
          <w:szCs w:val="24"/>
        </w:rPr>
        <w:t xml:space="preserve"> de 150 µm. </w:t>
      </w:r>
      <w:proofErr w:type="spellStart"/>
      <w:r w:rsidRPr="00A01745">
        <w:rPr>
          <w:rFonts w:ascii="Times New Roman" w:hAnsi="Times New Roman" w:cs="Times New Roman"/>
          <w:color w:val="000000" w:themeColor="text1"/>
          <w:sz w:val="24"/>
          <w:szCs w:val="24"/>
        </w:rPr>
        <w:t>Colectarea</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probelor</w:t>
      </w:r>
      <w:proofErr w:type="spellEnd"/>
      <w:r w:rsidRPr="00A01745">
        <w:rPr>
          <w:rFonts w:ascii="Times New Roman" w:hAnsi="Times New Roman" w:cs="Times New Roman"/>
          <w:color w:val="000000" w:themeColor="text1"/>
          <w:sz w:val="24"/>
          <w:szCs w:val="24"/>
        </w:rPr>
        <w:t xml:space="preserve"> de </w:t>
      </w:r>
      <w:proofErr w:type="spellStart"/>
      <w:r w:rsidRPr="00A01745">
        <w:rPr>
          <w:rFonts w:ascii="Times New Roman" w:hAnsi="Times New Roman" w:cs="Times New Roman"/>
          <w:color w:val="000000" w:themeColor="text1"/>
          <w:sz w:val="24"/>
          <w:szCs w:val="24"/>
        </w:rPr>
        <w:t>zooplancton</w:t>
      </w:r>
      <w:proofErr w:type="spellEnd"/>
      <w:r w:rsidRPr="00A01745">
        <w:rPr>
          <w:rFonts w:ascii="Times New Roman" w:hAnsi="Times New Roman" w:cs="Times New Roman"/>
          <w:color w:val="000000" w:themeColor="text1"/>
          <w:sz w:val="24"/>
          <w:szCs w:val="24"/>
        </w:rPr>
        <w:t xml:space="preserve"> se </w:t>
      </w:r>
      <w:proofErr w:type="spellStart"/>
      <w:r w:rsidRPr="00A01745">
        <w:rPr>
          <w:rFonts w:ascii="Times New Roman" w:hAnsi="Times New Roman" w:cs="Times New Roman"/>
          <w:color w:val="000000" w:themeColor="text1"/>
          <w:sz w:val="24"/>
          <w:szCs w:val="24"/>
        </w:rPr>
        <w:t>execută</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prin</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tractarea</w:t>
      </w:r>
      <w:proofErr w:type="spellEnd"/>
      <w:r w:rsidRPr="00A01745">
        <w:rPr>
          <w:rFonts w:ascii="Times New Roman" w:hAnsi="Times New Roman" w:cs="Times New Roman"/>
          <w:color w:val="000000" w:themeColor="text1"/>
          <w:sz w:val="24"/>
          <w:szCs w:val="24"/>
        </w:rPr>
        <w:t xml:space="preserve"> pe </w:t>
      </w:r>
      <w:proofErr w:type="spellStart"/>
      <w:r w:rsidRPr="00A01745">
        <w:rPr>
          <w:rFonts w:ascii="Times New Roman" w:hAnsi="Times New Roman" w:cs="Times New Roman"/>
          <w:color w:val="000000" w:themeColor="text1"/>
          <w:sz w:val="24"/>
          <w:szCs w:val="24"/>
        </w:rPr>
        <w:t>verticală</w:t>
      </w:r>
      <w:proofErr w:type="spellEnd"/>
      <w:r w:rsidRPr="00A01745">
        <w:rPr>
          <w:rFonts w:ascii="Times New Roman" w:hAnsi="Times New Roman" w:cs="Times New Roman"/>
          <w:color w:val="000000" w:themeColor="text1"/>
          <w:sz w:val="24"/>
          <w:szCs w:val="24"/>
        </w:rPr>
        <w:t xml:space="preserve"> a </w:t>
      </w:r>
      <w:proofErr w:type="spellStart"/>
      <w:r w:rsidRPr="00A01745">
        <w:rPr>
          <w:rFonts w:ascii="Times New Roman" w:hAnsi="Times New Roman" w:cs="Times New Roman"/>
          <w:color w:val="000000" w:themeColor="text1"/>
          <w:sz w:val="24"/>
          <w:szCs w:val="24"/>
        </w:rPr>
        <w:t>fileului</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în</w:t>
      </w:r>
      <w:proofErr w:type="spellEnd"/>
      <w:r w:rsidRPr="00A01745">
        <w:rPr>
          <w:rFonts w:ascii="Times New Roman" w:hAnsi="Times New Roman" w:cs="Times New Roman"/>
          <w:color w:val="000000" w:themeColor="text1"/>
          <w:sz w:val="24"/>
          <w:szCs w:val="24"/>
        </w:rPr>
        <w:t xml:space="preserve"> masa </w:t>
      </w:r>
      <w:proofErr w:type="spellStart"/>
      <w:r w:rsidRPr="00A01745">
        <w:rPr>
          <w:rFonts w:ascii="Times New Roman" w:hAnsi="Times New Roman" w:cs="Times New Roman"/>
          <w:color w:val="000000" w:themeColor="text1"/>
          <w:sz w:val="24"/>
          <w:szCs w:val="24"/>
        </w:rPr>
        <w:t>apei</w:t>
      </w:r>
      <w:proofErr w:type="spellEnd"/>
      <w:r w:rsidRPr="00A01745">
        <w:rPr>
          <w:rFonts w:ascii="Times New Roman" w:hAnsi="Times New Roman" w:cs="Times New Roman"/>
          <w:color w:val="000000" w:themeColor="text1"/>
          <w:sz w:val="24"/>
          <w:szCs w:val="24"/>
        </w:rPr>
        <w:t xml:space="preserve">, pe </w:t>
      </w:r>
      <w:proofErr w:type="spellStart"/>
      <w:r w:rsidRPr="00A01745">
        <w:rPr>
          <w:rFonts w:ascii="Times New Roman" w:hAnsi="Times New Roman" w:cs="Times New Roman"/>
          <w:color w:val="000000" w:themeColor="text1"/>
          <w:sz w:val="24"/>
          <w:szCs w:val="24"/>
        </w:rPr>
        <w:t>orizonturi</w:t>
      </w:r>
      <w:proofErr w:type="spellEnd"/>
      <w:r w:rsidRPr="00A01745">
        <w:rPr>
          <w:rFonts w:ascii="Times New Roman" w:hAnsi="Times New Roman" w:cs="Times New Roman"/>
          <w:color w:val="000000" w:themeColor="text1"/>
          <w:sz w:val="24"/>
          <w:szCs w:val="24"/>
        </w:rPr>
        <w:t xml:space="preserve"> standard. </w:t>
      </w:r>
      <w:proofErr w:type="spellStart"/>
      <w:r w:rsidRPr="00A01745">
        <w:rPr>
          <w:rFonts w:ascii="Times New Roman" w:hAnsi="Times New Roman" w:cs="Times New Roman"/>
          <w:color w:val="000000" w:themeColor="text1"/>
          <w:sz w:val="24"/>
          <w:szCs w:val="24"/>
        </w:rPr>
        <w:t>După</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colectare</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fileul</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este</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ridicat</w:t>
      </w:r>
      <w:proofErr w:type="spellEnd"/>
      <w:r w:rsidRPr="00A01745">
        <w:rPr>
          <w:rFonts w:ascii="Times New Roman" w:hAnsi="Times New Roman" w:cs="Times New Roman"/>
          <w:color w:val="000000" w:themeColor="text1"/>
          <w:sz w:val="24"/>
          <w:szCs w:val="24"/>
        </w:rPr>
        <w:t xml:space="preserve"> pe </w:t>
      </w:r>
      <w:proofErr w:type="spellStart"/>
      <w:r w:rsidRPr="00A01745">
        <w:rPr>
          <w:rFonts w:ascii="Times New Roman" w:hAnsi="Times New Roman" w:cs="Times New Roman"/>
          <w:color w:val="000000" w:themeColor="text1"/>
          <w:sz w:val="24"/>
          <w:szCs w:val="24"/>
        </w:rPr>
        <w:t>puntea</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navei</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și</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spălat</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ușor</w:t>
      </w:r>
      <w:proofErr w:type="spellEnd"/>
      <w:r w:rsidRPr="00A01745">
        <w:rPr>
          <w:rFonts w:ascii="Times New Roman" w:hAnsi="Times New Roman" w:cs="Times New Roman"/>
          <w:color w:val="000000" w:themeColor="text1"/>
          <w:sz w:val="24"/>
          <w:szCs w:val="24"/>
        </w:rPr>
        <w:t xml:space="preserve"> cu </w:t>
      </w:r>
      <w:proofErr w:type="spellStart"/>
      <w:r w:rsidRPr="00A01745">
        <w:rPr>
          <w:rFonts w:ascii="Times New Roman" w:hAnsi="Times New Roman" w:cs="Times New Roman"/>
          <w:color w:val="000000" w:themeColor="text1"/>
          <w:sz w:val="24"/>
          <w:szCs w:val="24"/>
        </w:rPr>
        <w:t>furtunul</w:t>
      </w:r>
      <w:proofErr w:type="spellEnd"/>
      <w:r w:rsidRPr="00A01745">
        <w:rPr>
          <w:rFonts w:ascii="Times New Roman" w:hAnsi="Times New Roman" w:cs="Times New Roman"/>
          <w:color w:val="000000" w:themeColor="text1"/>
          <w:sz w:val="24"/>
          <w:szCs w:val="24"/>
        </w:rPr>
        <w:t xml:space="preserve"> cu </w:t>
      </w:r>
      <w:proofErr w:type="spellStart"/>
      <w:r w:rsidRPr="00A01745">
        <w:rPr>
          <w:rFonts w:ascii="Times New Roman" w:hAnsi="Times New Roman" w:cs="Times New Roman"/>
          <w:color w:val="000000" w:themeColor="text1"/>
          <w:sz w:val="24"/>
          <w:szCs w:val="24"/>
        </w:rPr>
        <w:t>apă</w:t>
      </w:r>
      <w:proofErr w:type="spellEnd"/>
      <w:r w:rsidRPr="00A01745">
        <w:rPr>
          <w:rFonts w:ascii="Times New Roman" w:hAnsi="Times New Roman" w:cs="Times New Roman"/>
          <w:color w:val="000000" w:themeColor="text1"/>
          <w:sz w:val="24"/>
          <w:szCs w:val="24"/>
        </w:rPr>
        <w:t xml:space="preserve"> de mare </w:t>
      </w:r>
      <w:proofErr w:type="spellStart"/>
      <w:r w:rsidRPr="00A01745">
        <w:rPr>
          <w:rFonts w:ascii="Times New Roman" w:hAnsi="Times New Roman" w:cs="Times New Roman"/>
          <w:color w:val="000000" w:themeColor="text1"/>
          <w:sz w:val="24"/>
          <w:szCs w:val="24"/>
        </w:rPr>
        <w:t>pentru</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eliberarea</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organismelor</w:t>
      </w:r>
      <w:proofErr w:type="spellEnd"/>
      <w:r w:rsidRPr="00A01745">
        <w:rPr>
          <w:rFonts w:ascii="Times New Roman" w:hAnsi="Times New Roman" w:cs="Times New Roman"/>
          <w:color w:val="000000" w:themeColor="text1"/>
          <w:sz w:val="24"/>
          <w:szCs w:val="24"/>
        </w:rPr>
        <w:t xml:space="preserve"> care au </w:t>
      </w:r>
      <w:proofErr w:type="spellStart"/>
      <w:r w:rsidRPr="00A01745">
        <w:rPr>
          <w:rFonts w:ascii="Times New Roman" w:hAnsi="Times New Roman" w:cs="Times New Roman"/>
          <w:color w:val="000000" w:themeColor="text1"/>
          <w:sz w:val="24"/>
          <w:szCs w:val="24"/>
        </w:rPr>
        <w:t>rămas</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blocate</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în</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sita</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filtrantă</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Pentru</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determinarea</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volumului</w:t>
      </w:r>
      <w:proofErr w:type="spellEnd"/>
      <w:r w:rsidRPr="00A01745">
        <w:rPr>
          <w:rFonts w:ascii="Times New Roman" w:hAnsi="Times New Roman" w:cs="Times New Roman"/>
          <w:color w:val="000000" w:themeColor="text1"/>
          <w:sz w:val="24"/>
          <w:szCs w:val="24"/>
        </w:rPr>
        <w:t xml:space="preserve"> de </w:t>
      </w:r>
      <w:proofErr w:type="spellStart"/>
      <w:r w:rsidRPr="00A01745">
        <w:rPr>
          <w:rFonts w:ascii="Times New Roman" w:hAnsi="Times New Roman" w:cs="Times New Roman"/>
          <w:color w:val="000000" w:themeColor="text1"/>
          <w:sz w:val="24"/>
          <w:szCs w:val="24"/>
        </w:rPr>
        <w:t>apă</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filtrată</w:t>
      </w:r>
      <w:proofErr w:type="spellEnd"/>
      <w:r w:rsidRPr="00A01745">
        <w:rPr>
          <w:rFonts w:ascii="Times New Roman" w:hAnsi="Times New Roman" w:cs="Times New Roman"/>
          <w:color w:val="000000" w:themeColor="text1"/>
          <w:sz w:val="24"/>
          <w:szCs w:val="24"/>
        </w:rPr>
        <w:t xml:space="preserve"> se </w:t>
      </w:r>
      <w:proofErr w:type="spellStart"/>
      <w:r w:rsidRPr="00A01745">
        <w:rPr>
          <w:rFonts w:ascii="Times New Roman" w:hAnsi="Times New Roman" w:cs="Times New Roman"/>
          <w:color w:val="000000" w:themeColor="text1"/>
          <w:sz w:val="24"/>
          <w:szCs w:val="24"/>
        </w:rPr>
        <w:t>folosește</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lungimea</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cablului</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sau</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măsurătorile</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realizate</w:t>
      </w:r>
      <w:proofErr w:type="spellEnd"/>
      <w:r w:rsidRPr="00A01745">
        <w:rPr>
          <w:rFonts w:ascii="Times New Roman" w:hAnsi="Times New Roman" w:cs="Times New Roman"/>
          <w:color w:val="000000" w:themeColor="text1"/>
          <w:sz w:val="24"/>
          <w:szCs w:val="24"/>
        </w:rPr>
        <w:t xml:space="preserve"> cu </w:t>
      </w:r>
      <w:proofErr w:type="spellStart"/>
      <w:r w:rsidRPr="00A01745">
        <w:rPr>
          <w:rFonts w:ascii="Times New Roman" w:hAnsi="Times New Roman" w:cs="Times New Roman"/>
          <w:color w:val="000000" w:themeColor="text1"/>
          <w:sz w:val="24"/>
          <w:szCs w:val="24"/>
        </w:rPr>
        <w:t>turometru</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montat</w:t>
      </w:r>
      <w:proofErr w:type="spellEnd"/>
      <w:r w:rsidRPr="00A01745">
        <w:rPr>
          <w:rFonts w:ascii="Times New Roman" w:hAnsi="Times New Roman" w:cs="Times New Roman"/>
          <w:color w:val="000000" w:themeColor="text1"/>
          <w:sz w:val="24"/>
          <w:szCs w:val="24"/>
        </w:rPr>
        <w:t xml:space="preserve"> pe </w:t>
      </w:r>
      <w:proofErr w:type="spellStart"/>
      <w:r w:rsidRPr="00A01745">
        <w:rPr>
          <w:rFonts w:ascii="Times New Roman" w:hAnsi="Times New Roman" w:cs="Times New Roman"/>
          <w:color w:val="000000" w:themeColor="text1"/>
          <w:sz w:val="24"/>
          <w:szCs w:val="24"/>
        </w:rPr>
        <w:t>inelul</w:t>
      </w:r>
      <w:proofErr w:type="spellEnd"/>
      <w:r w:rsidRPr="00A01745">
        <w:rPr>
          <w:rFonts w:ascii="Times New Roman" w:hAnsi="Times New Roman" w:cs="Times New Roman"/>
          <w:color w:val="000000" w:themeColor="text1"/>
          <w:sz w:val="24"/>
          <w:szCs w:val="24"/>
        </w:rPr>
        <w:t xml:space="preserve"> superior al </w:t>
      </w:r>
      <w:proofErr w:type="spellStart"/>
      <w:r w:rsidRPr="00A01745">
        <w:rPr>
          <w:rFonts w:ascii="Times New Roman" w:hAnsi="Times New Roman" w:cs="Times New Roman"/>
          <w:color w:val="000000" w:themeColor="text1"/>
          <w:sz w:val="24"/>
          <w:szCs w:val="24"/>
        </w:rPr>
        <w:t>fileului</w:t>
      </w:r>
      <w:proofErr w:type="spellEnd"/>
      <w:r w:rsidRPr="00A01745">
        <w:rPr>
          <w:rFonts w:ascii="Times New Roman" w:hAnsi="Times New Roman" w:cs="Times New Roman"/>
          <w:color w:val="000000" w:themeColor="text1"/>
          <w:sz w:val="24"/>
          <w:szCs w:val="24"/>
        </w:rPr>
        <w:t xml:space="preserve"> (Harris et al., 2000). </w:t>
      </w:r>
      <w:proofErr w:type="spellStart"/>
      <w:r w:rsidRPr="00A01745">
        <w:rPr>
          <w:rFonts w:ascii="Times New Roman" w:hAnsi="Times New Roman" w:cs="Times New Roman"/>
          <w:color w:val="000000" w:themeColor="text1"/>
          <w:sz w:val="24"/>
          <w:szCs w:val="24"/>
        </w:rPr>
        <w:t>Probele</w:t>
      </w:r>
      <w:proofErr w:type="spellEnd"/>
      <w:r w:rsidRPr="00A01745">
        <w:rPr>
          <w:rFonts w:ascii="Times New Roman" w:hAnsi="Times New Roman" w:cs="Times New Roman"/>
          <w:color w:val="000000" w:themeColor="text1"/>
          <w:sz w:val="24"/>
          <w:szCs w:val="24"/>
        </w:rPr>
        <w:t xml:space="preserve"> de </w:t>
      </w:r>
      <w:proofErr w:type="spellStart"/>
      <w:r w:rsidRPr="00A01745">
        <w:rPr>
          <w:rFonts w:ascii="Times New Roman" w:hAnsi="Times New Roman" w:cs="Times New Roman"/>
          <w:color w:val="000000" w:themeColor="text1"/>
          <w:sz w:val="24"/>
          <w:szCs w:val="24"/>
        </w:rPr>
        <w:t>zooplancton</w:t>
      </w:r>
      <w:proofErr w:type="spellEnd"/>
      <w:r w:rsidRPr="00A01745">
        <w:rPr>
          <w:rFonts w:ascii="Times New Roman" w:hAnsi="Times New Roman" w:cs="Times New Roman"/>
          <w:color w:val="000000" w:themeColor="text1"/>
          <w:sz w:val="24"/>
          <w:szCs w:val="24"/>
        </w:rPr>
        <w:t xml:space="preserve"> sunt </w:t>
      </w:r>
      <w:proofErr w:type="spellStart"/>
      <w:r w:rsidRPr="00A01745">
        <w:rPr>
          <w:rFonts w:ascii="Times New Roman" w:hAnsi="Times New Roman" w:cs="Times New Roman"/>
          <w:color w:val="000000" w:themeColor="text1"/>
          <w:sz w:val="24"/>
          <w:szCs w:val="24"/>
        </w:rPr>
        <w:t>depozitate</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în</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borcane</w:t>
      </w:r>
      <w:proofErr w:type="spellEnd"/>
      <w:r w:rsidRPr="00A01745">
        <w:rPr>
          <w:rFonts w:ascii="Times New Roman" w:hAnsi="Times New Roman" w:cs="Times New Roman"/>
          <w:color w:val="000000" w:themeColor="text1"/>
          <w:sz w:val="24"/>
          <w:szCs w:val="24"/>
        </w:rPr>
        <w:t xml:space="preserve"> de plastic de 500 ml </w:t>
      </w:r>
      <w:proofErr w:type="spellStart"/>
      <w:r w:rsidRPr="00A01745">
        <w:rPr>
          <w:rFonts w:ascii="Times New Roman" w:hAnsi="Times New Roman" w:cs="Times New Roman"/>
          <w:color w:val="000000" w:themeColor="text1"/>
          <w:sz w:val="24"/>
          <w:szCs w:val="24"/>
        </w:rPr>
        <w:t>și</w:t>
      </w:r>
      <w:proofErr w:type="spellEnd"/>
      <w:r w:rsidRPr="00A01745">
        <w:rPr>
          <w:rFonts w:ascii="Times New Roman" w:hAnsi="Times New Roman" w:cs="Times New Roman"/>
          <w:color w:val="000000" w:themeColor="text1"/>
          <w:sz w:val="24"/>
          <w:szCs w:val="24"/>
        </w:rPr>
        <w:t xml:space="preserve"> conservate </w:t>
      </w:r>
      <w:proofErr w:type="spellStart"/>
      <w:r w:rsidRPr="00A01745">
        <w:rPr>
          <w:rFonts w:ascii="Times New Roman" w:hAnsi="Times New Roman" w:cs="Times New Roman"/>
          <w:color w:val="000000" w:themeColor="text1"/>
          <w:sz w:val="24"/>
          <w:szCs w:val="24"/>
        </w:rPr>
        <w:t>în</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soluție</w:t>
      </w:r>
      <w:proofErr w:type="spellEnd"/>
      <w:r w:rsidRPr="00A01745">
        <w:rPr>
          <w:rFonts w:ascii="Times New Roman" w:hAnsi="Times New Roman" w:cs="Times New Roman"/>
          <w:color w:val="000000" w:themeColor="text1"/>
          <w:sz w:val="24"/>
          <w:szCs w:val="24"/>
        </w:rPr>
        <w:t xml:space="preserve"> de </w:t>
      </w:r>
      <w:proofErr w:type="spellStart"/>
      <w:r w:rsidRPr="00A01745">
        <w:rPr>
          <w:rFonts w:ascii="Times New Roman" w:hAnsi="Times New Roman" w:cs="Times New Roman"/>
          <w:color w:val="000000" w:themeColor="text1"/>
          <w:sz w:val="24"/>
          <w:szCs w:val="24"/>
        </w:rPr>
        <w:t>formaldehidă</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tamponată</w:t>
      </w:r>
      <w:proofErr w:type="spellEnd"/>
      <w:r w:rsidRPr="00A01745">
        <w:rPr>
          <w:rFonts w:ascii="Times New Roman" w:hAnsi="Times New Roman" w:cs="Times New Roman"/>
          <w:color w:val="000000" w:themeColor="text1"/>
          <w:sz w:val="24"/>
          <w:szCs w:val="24"/>
        </w:rPr>
        <w:t xml:space="preserve"> 4%. </w:t>
      </w:r>
      <w:proofErr w:type="spellStart"/>
      <w:r w:rsidRPr="00A01745">
        <w:rPr>
          <w:rFonts w:ascii="Times New Roman" w:hAnsi="Times New Roman" w:cs="Times New Roman"/>
          <w:color w:val="000000" w:themeColor="text1"/>
          <w:sz w:val="24"/>
          <w:szCs w:val="24"/>
        </w:rPr>
        <w:t>Pentru</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prelucrarea</w:t>
      </w:r>
      <w:proofErr w:type="spellEnd"/>
      <w:r w:rsidRPr="00A01745">
        <w:rPr>
          <w:rFonts w:ascii="Times New Roman" w:hAnsi="Times New Roman" w:cs="Times New Roman"/>
          <w:color w:val="000000" w:themeColor="text1"/>
          <w:sz w:val="24"/>
          <w:szCs w:val="24"/>
        </w:rPr>
        <w:t xml:space="preserve"> la </w:t>
      </w:r>
      <w:proofErr w:type="spellStart"/>
      <w:r w:rsidRPr="00A01745">
        <w:rPr>
          <w:rFonts w:ascii="Times New Roman" w:hAnsi="Times New Roman" w:cs="Times New Roman"/>
          <w:color w:val="000000" w:themeColor="text1"/>
          <w:sz w:val="24"/>
          <w:szCs w:val="24"/>
        </w:rPr>
        <w:t>microscop</w:t>
      </w:r>
      <w:proofErr w:type="spellEnd"/>
      <w:r w:rsidRPr="00A01745">
        <w:rPr>
          <w:rFonts w:ascii="Times New Roman" w:hAnsi="Times New Roman" w:cs="Times New Roman"/>
          <w:color w:val="000000" w:themeColor="text1"/>
          <w:sz w:val="24"/>
          <w:szCs w:val="24"/>
        </w:rPr>
        <w:t xml:space="preserve"> se </w:t>
      </w:r>
      <w:proofErr w:type="spellStart"/>
      <w:r w:rsidRPr="00A01745">
        <w:rPr>
          <w:rFonts w:ascii="Times New Roman" w:hAnsi="Times New Roman" w:cs="Times New Roman"/>
          <w:color w:val="000000" w:themeColor="text1"/>
          <w:sz w:val="24"/>
          <w:szCs w:val="24"/>
        </w:rPr>
        <w:t>elimină</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surplusul</w:t>
      </w:r>
      <w:proofErr w:type="spellEnd"/>
      <w:r w:rsidRPr="00A01745">
        <w:rPr>
          <w:rFonts w:ascii="Times New Roman" w:hAnsi="Times New Roman" w:cs="Times New Roman"/>
          <w:color w:val="000000" w:themeColor="text1"/>
          <w:sz w:val="24"/>
          <w:szCs w:val="24"/>
        </w:rPr>
        <w:t xml:space="preserve"> de </w:t>
      </w:r>
      <w:proofErr w:type="spellStart"/>
      <w:r w:rsidRPr="00A01745">
        <w:rPr>
          <w:rFonts w:ascii="Times New Roman" w:hAnsi="Times New Roman" w:cs="Times New Roman"/>
          <w:color w:val="000000" w:themeColor="text1"/>
          <w:sz w:val="24"/>
          <w:szCs w:val="24"/>
        </w:rPr>
        <w:t>apă</w:t>
      </w:r>
      <w:proofErr w:type="spellEnd"/>
      <w:r w:rsidRPr="00A01745">
        <w:rPr>
          <w:rFonts w:ascii="Times New Roman" w:hAnsi="Times New Roman" w:cs="Times New Roman"/>
          <w:color w:val="000000" w:themeColor="text1"/>
          <w:sz w:val="24"/>
          <w:szCs w:val="24"/>
        </w:rPr>
        <w:t xml:space="preserve"> din </w:t>
      </w:r>
      <w:proofErr w:type="spellStart"/>
      <w:r w:rsidRPr="00A01745">
        <w:rPr>
          <w:rFonts w:ascii="Times New Roman" w:hAnsi="Times New Roman" w:cs="Times New Roman"/>
          <w:color w:val="000000" w:themeColor="text1"/>
          <w:sz w:val="24"/>
          <w:szCs w:val="24"/>
        </w:rPr>
        <w:t>borcan</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până</w:t>
      </w:r>
      <w:proofErr w:type="spellEnd"/>
      <w:r w:rsidRPr="00A01745">
        <w:rPr>
          <w:rFonts w:ascii="Times New Roman" w:hAnsi="Times New Roman" w:cs="Times New Roman"/>
          <w:color w:val="000000" w:themeColor="text1"/>
          <w:sz w:val="24"/>
          <w:szCs w:val="24"/>
        </w:rPr>
        <w:t xml:space="preserve"> se </w:t>
      </w:r>
      <w:proofErr w:type="spellStart"/>
      <w:r w:rsidRPr="00A01745">
        <w:rPr>
          <w:rFonts w:ascii="Times New Roman" w:hAnsi="Times New Roman" w:cs="Times New Roman"/>
          <w:color w:val="000000" w:themeColor="text1"/>
          <w:sz w:val="24"/>
          <w:szCs w:val="24"/>
        </w:rPr>
        <w:t>ajunge</w:t>
      </w:r>
      <w:proofErr w:type="spellEnd"/>
      <w:r w:rsidRPr="00A01745">
        <w:rPr>
          <w:rFonts w:ascii="Times New Roman" w:hAnsi="Times New Roman" w:cs="Times New Roman"/>
          <w:color w:val="000000" w:themeColor="text1"/>
          <w:sz w:val="24"/>
          <w:szCs w:val="24"/>
        </w:rPr>
        <w:t xml:space="preserve"> la un </w:t>
      </w:r>
      <w:proofErr w:type="spellStart"/>
      <w:r w:rsidRPr="00A01745">
        <w:rPr>
          <w:rFonts w:ascii="Times New Roman" w:hAnsi="Times New Roman" w:cs="Times New Roman"/>
          <w:color w:val="000000" w:themeColor="text1"/>
          <w:sz w:val="24"/>
          <w:szCs w:val="24"/>
        </w:rPr>
        <w:t>volum</w:t>
      </w:r>
      <w:proofErr w:type="spellEnd"/>
      <w:r w:rsidRPr="00A01745">
        <w:rPr>
          <w:rFonts w:ascii="Times New Roman" w:hAnsi="Times New Roman" w:cs="Times New Roman"/>
          <w:color w:val="000000" w:themeColor="text1"/>
          <w:sz w:val="24"/>
          <w:szCs w:val="24"/>
        </w:rPr>
        <w:t xml:space="preserve"> de </w:t>
      </w:r>
      <w:proofErr w:type="spellStart"/>
      <w:r w:rsidRPr="00A01745">
        <w:rPr>
          <w:rFonts w:ascii="Times New Roman" w:hAnsi="Times New Roman" w:cs="Times New Roman"/>
          <w:color w:val="000000" w:themeColor="text1"/>
          <w:sz w:val="24"/>
          <w:szCs w:val="24"/>
        </w:rPr>
        <w:t>aproximativ</w:t>
      </w:r>
      <w:proofErr w:type="spellEnd"/>
      <w:r w:rsidRPr="00A01745">
        <w:rPr>
          <w:rFonts w:ascii="Times New Roman" w:hAnsi="Times New Roman" w:cs="Times New Roman"/>
          <w:color w:val="000000" w:themeColor="text1"/>
          <w:sz w:val="24"/>
          <w:szCs w:val="24"/>
        </w:rPr>
        <w:t xml:space="preserve"> 100 ml </w:t>
      </w:r>
      <w:proofErr w:type="spellStart"/>
      <w:r w:rsidRPr="00A01745">
        <w:rPr>
          <w:rFonts w:ascii="Times New Roman" w:hAnsi="Times New Roman" w:cs="Times New Roman"/>
          <w:color w:val="000000" w:themeColor="text1"/>
          <w:sz w:val="24"/>
          <w:szCs w:val="24"/>
        </w:rPr>
        <w:t>sau</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mai</w:t>
      </w:r>
      <w:proofErr w:type="spellEnd"/>
      <w:r w:rsidRPr="00A01745">
        <w:rPr>
          <w:rFonts w:ascii="Times New Roman" w:hAnsi="Times New Roman" w:cs="Times New Roman"/>
          <w:color w:val="000000" w:themeColor="text1"/>
          <w:sz w:val="24"/>
          <w:szCs w:val="24"/>
        </w:rPr>
        <w:t xml:space="preserve"> mare, </w:t>
      </w:r>
      <w:proofErr w:type="spellStart"/>
      <w:r w:rsidRPr="00A01745">
        <w:rPr>
          <w:rFonts w:ascii="Times New Roman" w:hAnsi="Times New Roman" w:cs="Times New Roman"/>
          <w:color w:val="000000" w:themeColor="text1"/>
          <w:sz w:val="24"/>
          <w:szCs w:val="24"/>
        </w:rPr>
        <w:t>în</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funcție</w:t>
      </w:r>
      <w:proofErr w:type="spellEnd"/>
      <w:r w:rsidRPr="00A01745">
        <w:rPr>
          <w:rFonts w:ascii="Times New Roman" w:hAnsi="Times New Roman" w:cs="Times New Roman"/>
          <w:color w:val="000000" w:themeColor="text1"/>
          <w:sz w:val="24"/>
          <w:szCs w:val="24"/>
        </w:rPr>
        <w:t xml:space="preserve"> de </w:t>
      </w:r>
      <w:proofErr w:type="spellStart"/>
      <w:r w:rsidRPr="00A01745">
        <w:rPr>
          <w:rFonts w:ascii="Times New Roman" w:hAnsi="Times New Roman" w:cs="Times New Roman"/>
          <w:color w:val="000000" w:themeColor="text1"/>
          <w:sz w:val="24"/>
          <w:szCs w:val="24"/>
        </w:rPr>
        <w:t>abundența</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organismelor</w:t>
      </w:r>
      <w:proofErr w:type="spellEnd"/>
      <w:r w:rsidRPr="00A01745">
        <w:rPr>
          <w:rFonts w:ascii="Times New Roman" w:hAnsi="Times New Roman" w:cs="Times New Roman"/>
          <w:color w:val="000000" w:themeColor="text1"/>
          <w:sz w:val="24"/>
          <w:szCs w:val="24"/>
        </w:rPr>
        <w:t xml:space="preserve"> din </w:t>
      </w:r>
      <w:proofErr w:type="spellStart"/>
      <w:r w:rsidRPr="00A01745">
        <w:rPr>
          <w:rFonts w:ascii="Times New Roman" w:hAnsi="Times New Roman" w:cs="Times New Roman"/>
          <w:color w:val="000000" w:themeColor="text1"/>
          <w:sz w:val="24"/>
          <w:szCs w:val="24"/>
        </w:rPr>
        <w:t>probă</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După</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concentrarea</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probei</w:t>
      </w:r>
      <w:proofErr w:type="spellEnd"/>
      <w:r w:rsidRPr="00A01745">
        <w:rPr>
          <w:rFonts w:ascii="Times New Roman" w:hAnsi="Times New Roman" w:cs="Times New Roman"/>
          <w:color w:val="000000" w:themeColor="text1"/>
          <w:sz w:val="24"/>
          <w:szCs w:val="24"/>
        </w:rPr>
        <w:t xml:space="preserve">, se </w:t>
      </w:r>
      <w:proofErr w:type="spellStart"/>
      <w:r w:rsidRPr="00A01745">
        <w:rPr>
          <w:rFonts w:ascii="Times New Roman" w:hAnsi="Times New Roman" w:cs="Times New Roman"/>
          <w:color w:val="000000" w:themeColor="text1"/>
          <w:sz w:val="24"/>
          <w:szCs w:val="24"/>
        </w:rPr>
        <w:t>realizează</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triajul</w:t>
      </w:r>
      <w:proofErr w:type="spellEnd"/>
      <w:r w:rsidRPr="00A01745">
        <w:rPr>
          <w:rFonts w:ascii="Times New Roman" w:hAnsi="Times New Roman" w:cs="Times New Roman"/>
          <w:color w:val="000000" w:themeColor="text1"/>
          <w:sz w:val="24"/>
          <w:szCs w:val="24"/>
        </w:rPr>
        <w:t xml:space="preserve"> taxonomic al </w:t>
      </w:r>
      <w:proofErr w:type="spellStart"/>
      <w:r w:rsidRPr="00A01745">
        <w:rPr>
          <w:rFonts w:ascii="Times New Roman" w:hAnsi="Times New Roman" w:cs="Times New Roman"/>
          <w:color w:val="000000" w:themeColor="text1"/>
          <w:sz w:val="24"/>
          <w:szCs w:val="24"/>
        </w:rPr>
        <w:t>acestora</w:t>
      </w:r>
      <w:proofErr w:type="spellEnd"/>
      <w:r w:rsidRPr="00A01745">
        <w:rPr>
          <w:rFonts w:ascii="Times New Roman" w:hAnsi="Times New Roman" w:cs="Times New Roman"/>
          <w:color w:val="000000" w:themeColor="text1"/>
          <w:sz w:val="24"/>
          <w:szCs w:val="24"/>
        </w:rPr>
        <w:t xml:space="preserve"> sub </w:t>
      </w:r>
      <w:proofErr w:type="spellStart"/>
      <w:r w:rsidRPr="00A01745">
        <w:rPr>
          <w:rFonts w:ascii="Times New Roman" w:hAnsi="Times New Roman" w:cs="Times New Roman"/>
          <w:color w:val="000000" w:themeColor="text1"/>
          <w:sz w:val="24"/>
          <w:szCs w:val="24"/>
        </w:rPr>
        <w:t>lupa</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binoculară</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și</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microscop</w:t>
      </w:r>
      <w:proofErr w:type="spellEnd"/>
      <w:r w:rsidRPr="00A01745">
        <w:rPr>
          <w:rFonts w:ascii="Times New Roman" w:hAnsi="Times New Roman" w:cs="Times New Roman"/>
          <w:color w:val="000000" w:themeColor="text1"/>
          <w:sz w:val="24"/>
          <w:szCs w:val="24"/>
        </w:rPr>
        <w:t xml:space="preserve"> invers. </w:t>
      </w:r>
      <w:proofErr w:type="spellStart"/>
      <w:r w:rsidRPr="00A01745">
        <w:rPr>
          <w:rFonts w:ascii="Times New Roman" w:hAnsi="Times New Roman" w:cs="Times New Roman"/>
          <w:color w:val="000000" w:themeColor="text1"/>
          <w:sz w:val="24"/>
          <w:szCs w:val="24"/>
        </w:rPr>
        <w:t>Pentru</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organismele</w:t>
      </w:r>
      <w:proofErr w:type="spellEnd"/>
      <w:r w:rsidRPr="00A01745">
        <w:rPr>
          <w:rFonts w:ascii="Times New Roman" w:hAnsi="Times New Roman" w:cs="Times New Roman"/>
          <w:color w:val="000000" w:themeColor="text1"/>
          <w:sz w:val="24"/>
          <w:szCs w:val="24"/>
        </w:rPr>
        <w:t xml:space="preserve"> rare </w:t>
      </w:r>
      <w:proofErr w:type="spellStart"/>
      <w:r w:rsidRPr="00A01745">
        <w:rPr>
          <w:rFonts w:ascii="Times New Roman" w:hAnsi="Times New Roman" w:cs="Times New Roman"/>
          <w:color w:val="000000" w:themeColor="text1"/>
          <w:sz w:val="24"/>
          <w:szCs w:val="24"/>
        </w:rPr>
        <w:t>sau</w:t>
      </w:r>
      <w:proofErr w:type="spellEnd"/>
      <w:r w:rsidRPr="00A01745">
        <w:rPr>
          <w:rFonts w:ascii="Times New Roman" w:hAnsi="Times New Roman" w:cs="Times New Roman"/>
          <w:color w:val="000000" w:themeColor="text1"/>
          <w:sz w:val="24"/>
          <w:szCs w:val="24"/>
        </w:rPr>
        <w:t xml:space="preserve"> de </w:t>
      </w:r>
      <w:proofErr w:type="spellStart"/>
      <w:r w:rsidRPr="00A01745">
        <w:rPr>
          <w:rFonts w:ascii="Times New Roman" w:hAnsi="Times New Roman" w:cs="Times New Roman"/>
          <w:color w:val="000000" w:themeColor="text1"/>
          <w:sz w:val="24"/>
          <w:szCs w:val="24"/>
        </w:rPr>
        <w:t>mai</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mari</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dimensiuni</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proba</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este</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examinată</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în</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întregime</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într</w:t>
      </w:r>
      <w:proofErr w:type="spellEnd"/>
      <w:r w:rsidRPr="00A01745">
        <w:rPr>
          <w:rFonts w:ascii="Times New Roman" w:hAnsi="Times New Roman" w:cs="Times New Roman"/>
          <w:color w:val="000000" w:themeColor="text1"/>
          <w:sz w:val="24"/>
          <w:szCs w:val="24"/>
        </w:rPr>
        <w:t xml:space="preserve">-o </w:t>
      </w:r>
      <w:proofErr w:type="spellStart"/>
      <w:r w:rsidRPr="00A01745">
        <w:rPr>
          <w:rFonts w:ascii="Times New Roman" w:hAnsi="Times New Roman" w:cs="Times New Roman"/>
          <w:color w:val="000000" w:themeColor="text1"/>
          <w:sz w:val="24"/>
          <w:szCs w:val="24"/>
        </w:rPr>
        <w:t>placă</w:t>
      </w:r>
      <w:proofErr w:type="spellEnd"/>
      <w:r w:rsidRPr="00A01745">
        <w:rPr>
          <w:rFonts w:ascii="Times New Roman" w:hAnsi="Times New Roman" w:cs="Times New Roman"/>
          <w:color w:val="000000" w:themeColor="text1"/>
          <w:sz w:val="24"/>
          <w:szCs w:val="24"/>
        </w:rPr>
        <w:t xml:space="preserve"> Petri. </w:t>
      </w:r>
      <w:proofErr w:type="spellStart"/>
      <w:r w:rsidRPr="00A01745">
        <w:rPr>
          <w:rFonts w:ascii="Times New Roman" w:hAnsi="Times New Roman" w:cs="Times New Roman"/>
          <w:color w:val="000000" w:themeColor="text1"/>
          <w:sz w:val="24"/>
          <w:szCs w:val="24"/>
        </w:rPr>
        <w:t>Triajul</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speciilor</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abundente</w:t>
      </w:r>
      <w:proofErr w:type="spellEnd"/>
      <w:r w:rsidRPr="00A01745">
        <w:rPr>
          <w:rFonts w:ascii="Times New Roman" w:hAnsi="Times New Roman" w:cs="Times New Roman"/>
          <w:color w:val="000000" w:themeColor="text1"/>
          <w:sz w:val="24"/>
          <w:szCs w:val="24"/>
        </w:rPr>
        <w:t xml:space="preserve"> se </w:t>
      </w:r>
      <w:proofErr w:type="spellStart"/>
      <w:r w:rsidRPr="00A01745">
        <w:rPr>
          <w:rFonts w:ascii="Times New Roman" w:hAnsi="Times New Roman" w:cs="Times New Roman"/>
          <w:color w:val="000000" w:themeColor="text1"/>
          <w:sz w:val="24"/>
          <w:szCs w:val="24"/>
        </w:rPr>
        <w:t>realizează</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prin</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extragerea</w:t>
      </w:r>
      <w:proofErr w:type="spellEnd"/>
      <w:r w:rsidRPr="00A01745">
        <w:rPr>
          <w:rFonts w:ascii="Times New Roman" w:hAnsi="Times New Roman" w:cs="Times New Roman"/>
          <w:color w:val="000000" w:themeColor="text1"/>
          <w:sz w:val="24"/>
          <w:szCs w:val="24"/>
        </w:rPr>
        <w:t xml:space="preserve"> din </w:t>
      </w:r>
      <w:proofErr w:type="spellStart"/>
      <w:r w:rsidRPr="00A01745">
        <w:rPr>
          <w:rFonts w:ascii="Times New Roman" w:hAnsi="Times New Roman" w:cs="Times New Roman"/>
          <w:color w:val="000000" w:themeColor="text1"/>
          <w:sz w:val="24"/>
          <w:szCs w:val="24"/>
        </w:rPr>
        <w:t>probă</w:t>
      </w:r>
      <w:proofErr w:type="spellEnd"/>
      <w:r w:rsidRPr="00A01745">
        <w:rPr>
          <w:rFonts w:ascii="Times New Roman" w:hAnsi="Times New Roman" w:cs="Times New Roman"/>
          <w:color w:val="000000" w:themeColor="text1"/>
          <w:sz w:val="24"/>
          <w:szCs w:val="24"/>
        </w:rPr>
        <w:t xml:space="preserve"> a </w:t>
      </w:r>
      <w:proofErr w:type="spellStart"/>
      <w:r w:rsidRPr="00A01745">
        <w:rPr>
          <w:rFonts w:ascii="Times New Roman" w:hAnsi="Times New Roman" w:cs="Times New Roman"/>
          <w:color w:val="000000" w:themeColor="text1"/>
          <w:sz w:val="24"/>
          <w:szCs w:val="24"/>
        </w:rPr>
        <w:t>unei</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subprobe</w:t>
      </w:r>
      <w:proofErr w:type="spellEnd"/>
      <w:r w:rsidRPr="00A01745">
        <w:rPr>
          <w:rFonts w:ascii="Times New Roman" w:hAnsi="Times New Roman" w:cs="Times New Roman"/>
          <w:color w:val="000000" w:themeColor="text1"/>
          <w:sz w:val="24"/>
          <w:szCs w:val="24"/>
        </w:rPr>
        <w:t xml:space="preserve"> de 2 ml din care au </w:t>
      </w:r>
      <w:proofErr w:type="spellStart"/>
      <w:r w:rsidRPr="00A01745">
        <w:rPr>
          <w:rFonts w:ascii="Times New Roman" w:hAnsi="Times New Roman" w:cs="Times New Roman"/>
          <w:color w:val="000000" w:themeColor="text1"/>
          <w:sz w:val="24"/>
          <w:szCs w:val="24"/>
        </w:rPr>
        <w:t>fost</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numărate</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organismele</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Numărarea</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organismelor</w:t>
      </w:r>
      <w:proofErr w:type="spellEnd"/>
      <w:r w:rsidRPr="00A01745">
        <w:rPr>
          <w:rFonts w:ascii="Times New Roman" w:hAnsi="Times New Roman" w:cs="Times New Roman"/>
          <w:color w:val="000000" w:themeColor="text1"/>
          <w:sz w:val="24"/>
          <w:szCs w:val="24"/>
        </w:rPr>
        <w:t xml:space="preserve"> se </w:t>
      </w:r>
      <w:proofErr w:type="spellStart"/>
      <w:r w:rsidRPr="00A01745">
        <w:rPr>
          <w:rFonts w:ascii="Times New Roman" w:hAnsi="Times New Roman" w:cs="Times New Roman"/>
          <w:color w:val="000000" w:themeColor="text1"/>
          <w:sz w:val="24"/>
          <w:szCs w:val="24"/>
        </w:rPr>
        <w:t>realizează</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într</w:t>
      </w:r>
      <w:proofErr w:type="spellEnd"/>
      <w:r w:rsidRPr="00A01745">
        <w:rPr>
          <w:rFonts w:ascii="Times New Roman" w:hAnsi="Times New Roman" w:cs="Times New Roman"/>
          <w:color w:val="000000" w:themeColor="text1"/>
          <w:sz w:val="24"/>
          <w:szCs w:val="24"/>
        </w:rPr>
        <w:t xml:space="preserve">-o </w:t>
      </w:r>
      <w:proofErr w:type="spellStart"/>
      <w:r w:rsidRPr="00A01745">
        <w:rPr>
          <w:rFonts w:ascii="Times New Roman" w:hAnsi="Times New Roman" w:cs="Times New Roman"/>
          <w:color w:val="000000" w:themeColor="text1"/>
          <w:sz w:val="24"/>
          <w:szCs w:val="24"/>
        </w:rPr>
        <w:t>placă</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Bogorov</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până</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când</w:t>
      </w:r>
      <w:proofErr w:type="spellEnd"/>
      <w:r w:rsidRPr="00A01745">
        <w:rPr>
          <w:rFonts w:ascii="Times New Roman" w:hAnsi="Times New Roman" w:cs="Times New Roman"/>
          <w:color w:val="000000" w:themeColor="text1"/>
          <w:sz w:val="24"/>
          <w:szCs w:val="24"/>
        </w:rPr>
        <w:t xml:space="preserve"> au </w:t>
      </w:r>
      <w:proofErr w:type="spellStart"/>
      <w:r w:rsidRPr="00A01745">
        <w:rPr>
          <w:rFonts w:ascii="Times New Roman" w:hAnsi="Times New Roman" w:cs="Times New Roman"/>
          <w:color w:val="000000" w:themeColor="text1"/>
          <w:sz w:val="24"/>
          <w:szCs w:val="24"/>
        </w:rPr>
        <w:t>fost</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numărate</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cel</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puțin</w:t>
      </w:r>
      <w:proofErr w:type="spellEnd"/>
      <w:r w:rsidRPr="00A01745">
        <w:rPr>
          <w:rFonts w:ascii="Times New Roman" w:hAnsi="Times New Roman" w:cs="Times New Roman"/>
          <w:color w:val="000000" w:themeColor="text1"/>
          <w:sz w:val="24"/>
          <w:szCs w:val="24"/>
        </w:rPr>
        <w:t xml:space="preserve"> 100 de </w:t>
      </w:r>
      <w:proofErr w:type="spellStart"/>
      <w:r w:rsidRPr="00A01745">
        <w:rPr>
          <w:rFonts w:ascii="Times New Roman" w:hAnsi="Times New Roman" w:cs="Times New Roman"/>
          <w:color w:val="000000" w:themeColor="text1"/>
          <w:sz w:val="24"/>
          <w:szCs w:val="24"/>
        </w:rPr>
        <w:t>exemplare</w:t>
      </w:r>
      <w:proofErr w:type="spellEnd"/>
      <w:r w:rsidRPr="00A01745">
        <w:rPr>
          <w:rFonts w:ascii="Times New Roman" w:hAnsi="Times New Roman" w:cs="Times New Roman"/>
          <w:color w:val="000000" w:themeColor="text1"/>
          <w:sz w:val="24"/>
          <w:szCs w:val="24"/>
        </w:rPr>
        <w:t xml:space="preserve"> din </w:t>
      </w:r>
      <w:proofErr w:type="spellStart"/>
      <w:r w:rsidRPr="00A01745">
        <w:rPr>
          <w:rFonts w:ascii="Times New Roman" w:hAnsi="Times New Roman" w:cs="Times New Roman"/>
          <w:color w:val="000000" w:themeColor="text1"/>
          <w:sz w:val="24"/>
          <w:szCs w:val="24"/>
        </w:rPr>
        <w:t>primele</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trei</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specii</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dominante</w:t>
      </w:r>
      <w:proofErr w:type="spellEnd"/>
      <w:r w:rsidRPr="00A01745">
        <w:rPr>
          <w:rFonts w:ascii="Times New Roman" w:hAnsi="Times New Roman" w:cs="Times New Roman"/>
          <w:color w:val="000000" w:themeColor="text1"/>
          <w:sz w:val="24"/>
          <w:szCs w:val="24"/>
        </w:rPr>
        <w:t xml:space="preserve">. Analiza </w:t>
      </w:r>
      <w:proofErr w:type="spellStart"/>
      <w:r w:rsidRPr="00A01745">
        <w:rPr>
          <w:rFonts w:ascii="Times New Roman" w:hAnsi="Times New Roman" w:cs="Times New Roman"/>
          <w:color w:val="000000" w:themeColor="text1"/>
          <w:sz w:val="24"/>
          <w:szCs w:val="24"/>
        </w:rPr>
        <w:t>cantitativă</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constă</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în</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aprecierea</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numărului</w:t>
      </w:r>
      <w:proofErr w:type="spellEnd"/>
      <w:r w:rsidRPr="00A01745">
        <w:rPr>
          <w:rFonts w:ascii="Times New Roman" w:hAnsi="Times New Roman" w:cs="Times New Roman"/>
          <w:color w:val="000000" w:themeColor="text1"/>
          <w:sz w:val="24"/>
          <w:szCs w:val="24"/>
        </w:rPr>
        <w:t xml:space="preserve"> de </w:t>
      </w:r>
      <w:proofErr w:type="spellStart"/>
      <w:r w:rsidRPr="00A01745">
        <w:rPr>
          <w:rFonts w:ascii="Times New Roman" w:hAnsi="Times New Roman" w:cs="Times New Roman"/>
          <w:color w:val="000000" w:themeColor="text1"/>
          <w:sz w:val="24"/>
          <w:szCs w:val="24"/>
        </w:rPr>
        <w:t>organisme</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și</w:t>
      </w:r>
      <w:proofErr w:type="spellEnd"/>
      <w:r w:rsidRPr="00A01745">
        <w:rPr>
          <w:rFonts w:ascii="Times New Roman" w:hAnsi="Times New Roman" w:cs="Times New Roman"/>
          <w:color w:val="000000" w:themeColor="text1"/>
          <w:sz w:val="24"/>
          <w:szCs w:val="24"/>
        </w:rPr>
        <w:t xml:space="preserve"> a </w:t>
      </w:r>
      <w:proofErr w:type="spellStart"/>
      <w:r w:rsidRPr="00A01745">
        <w:rPr>
          <w:rFonts w:ascii="Times New Roman" w:hAnsi="Times New Roman" w:cs="Times New Roman"/>
          <w:color w:val="000000" w:themeColor="text1"/>
          <w:sz w:val="24"/>
          <w:szCs w:val="24"/>
        </w:rPr>
        <w:t>biomasei</w:t>
      </w:r>
      <w:proofErr w:type="spellEnd"/>
      <w:r w:rsidRPr="00A01745">
        <w:rPr>
          <w:rFonts w:ascii="Times New Roman" w:hAnsi="Times New Roman" w:cs="Times New Roman"/>
          <w:color w:val="000000" w:themeColor="text1"/>
          <w:sz w:val="24"/>
          <w:szCs w:val="24"/>
        </w:rPr>
        <w:t xml:space="preserve"> lor pe o </w:t>
      </w:r>
      <w:proofErr w:type="spellStart"/>
      <w:r w:rsidRPr="00A01745">
        <w:rPr>
          <w:rFonts w:ascii="Times New Roman" w:hAnsi="Times New Roman" w:cs="Times New Roman"/>
          <w:color w:val="000000" w:themeColor="text1"/>
          <w:sz w:val="24"/>
          <w:szCs w:val="24"/>
        </w:rPr>
        <w:t>unitate</w:t>
      </w:r>
      <w:proofErr w:type="spellEnd"/>
      <w:r w:rsidRPr="00A01745">
        <w:rPr>
          <w:rFonts w:ascii="Times New Roman" w:hAnsi="Times New Roman" w:cs="Times New Roman"/>
          <w:color w:val="000000" w:themeColor="text1"/>
          <w:sz w:val="24"/>
          <w:szCs w:val="24"/>
        </w:rPr>
        <w:t xml:space="preserve"> de </w:t>
      </w:r>
      <w:proofErr w:type="spellStart"/>
      <w:r w:rsidRPr="00A01745">
        <w:rPr>
          <w:rFonts w:ascii="Times New Roman" w:hAnsi="Times New Roman" w:cs="Times New Roman"/>
          <w:color w:val="000000" w:themeColor="text1"/>
          <w:sz w:val="24"/>
          <w:szCs w:val="24"/>
        </w:rPr>
        <w:t>volum</w:t>
      </w:r>
      <w:proofErr w:type="spellEnd"/>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cunoscută</w:t>
      </w:r>
      <w:proofErr w:type="spellEnd"/>
      <w:r w:rsidRPr="00A01745">
        <w:rPr>
          <w:rFonts w:ascii="Times New Roman" w:hAnsi="Times New Roman" w:cs="Times New Roman"/>
          <w:color w:val="000000" w:themeColor="text1"/>
          <w:sz w:val="24"/>
          <w:szCs w:val="24"/>
        </w:rPr>
        <w:t xml:space="preserve"> - </w:t>
      </w:r>
      <w:proofErr w:type="spellStart"/>
      <w:r w:rsidRPr="00A01745">
        <w:rPr>
          <w:rFonts w:ascii="Times New Roman" w:hAnsi="Times New Roman" w:cs="Times New Roman"/>
          <w:color w:val="000000" w:themeColor="text1"/>
          <w:sz w:val="24"/>
          <w:szCs w:val="24"/>
        </w:rPr>
        <w:t>indivizi</w:t>
      </w:r>
      <w:proofErr w:type="spellEnd"/>
      <w:r w:rsidRPr="00A01745">
        <w:rPr>
          <w:rFonts w:ascii="Times New Roman" w:hAnsi="Times New Roman" w:cs="Times New Roman"/>
          <w:color w:val="000000" w:themeColor="text1"/>
          <w:sz w:val="24"/>
          <w:szCs w:val="24"/>
        </w:rPr>
        <w:t>/m</w:t>
      </w:r>
      <w:r w:rsidRPr="00A01745">
        <w:rPr>
          <w:rFonts w:ascii="Times New Roman" w:hAnsi="Times New Roman" w:cs="Times New Roman"/>
          <w:color w:val="000000" w:themeColor="text1"/>
          <w:sz w:val="24"/>
          <w:szCs w:val="24"/>
          <w:vertAlign w:val="superscript"/>
        </w:rPr>
        <w:t>3</w:t>
      </w:r>
      <w:r w:rsidRPr="00A01745">
        <w:rPr>
          <w:rFonts w:ascii="Times New Roman" w:hAnsi="Times New Roman" w:cs="Times New Roman"/>
          <w:color w:val="000000" w:themeColor="text1"/>
          <w:sz w:val="24"/>
          <w:szCs w:val="24"/>
        </w:rPr>
        <w:t xml:space="preserve"> (</w:t>
      </w:r>
      <w:proofErr w:type="spellStart"/>
      <w:r w:rsidRPr="00A01745">
        <w:rPr>
          <w:rFonts w:ascii="Times New Roman" w:hAnsi="Times New Roman" w:cs="Times New Roman"/>
          <w:color w:val="000000" w:themeColor="text1"/>
          <w:sz w:val="24"/>
          <w:szCs w:val="24"/>
        </w:rPr>
        <w:t>Korshenko</w:t>
      </w:r>
      <w:proofErr w:type="spellEnd"/>
      <w:r w:rsidRPr="00A01745">
        <w:rPr>
          <w:rFonts w:ascii="Times New Roman" w:hAnsi="Times New Roman" w:cs="Times New Roman"/>
          <w:color w:val="000000" w:themeColor="text1"/>
          <w:sz w:val="24"/>
          <w:szCs w:val="24"/>
        </w:rPr>
        <w:t>, 2011).</w:t>
      </w:r>
    </w:p>
    <w:p w14:paraId="30C5D860" w14:textId="77777777" w:rsidR="00FC026B" w:rsidRPr="000C6A1A" w:rsidRDefault="00FC026B" w:rsidP="00FC026B">
      <w:pPr>
        <w:keepNext/>
        <w:keepLines/>
        <w:tabs>
          <w:tab w:val="left" w:pos="720"/>
        </w:tabs>
        <w:jc w:val="both"/>
        <w:outlineLvl w:val="2"/>
        <w:rPr>
          <w:color w:val="000000" w:themeColor="text1"/>
        </w:rPr>
      </w:pPr>
      <w:r>
        <w:rPr>
          <w:b/>
          <w:color w:val="000000" w:themeColor="text1"/>
        </w:rPr>
        <w:tab/>
      </w:r>
      <w:r w:rsidRPr="000C6A1A">
        <w:rPr>
          <w:b/>
          <w:color w:val="000000" w:themeColor="text1"/>
        </w:rPr>
        <w:t xml:space="preserve">Bentos </w:t>
      </w:r>
      <w:r w:rsidRPr="000C6A1A">
        <w:rPr>
          <w:color w:val="000000" w:themeColor="text1"/>
        </w:rPr>
        <w:t>descris anterior la prelevarea probelor cu ajutorul bodengriferului tip Van Veen</w:t>
      </w:r>
    </w:p>
    <w:p w14:paraId="310A9E76" w14:textId="77777777" w:rsidR="00FC026B" w:rsidRPr="000C6A1A" w:rsidRDefault="00FC026B" w:rsidP="00FC026B">
      <w:pPr>
        <w:keepNext/>
        <w:keepLines/>
        <w:tabs>
          <w:tab w:val="left" w:pos="720"/>
        </w:tabs>
        <w:jc w:val="both"/>
        <w:outlineLvl w:val="2"/>
        <w:rPr>
          <w:color w:val="000000" w:themeColor="text1"/>
        </w:rPr>
      </w:pPr>
      <w:r>
        <w:rPr>
          <w:b/>
          <w:color w:val="000000" w:themeColor="text1"/>
        </w:rPr>
        <w:tab/>
      </w:r>
      <w:r w:rsidRPr="000C6A1A">
        <w:rPr>
          <w:b/>
          <w:color w:val="000000" w:themeColor="text1"/>
        </w:rPr>
        <w:t>Peşti</w:t>
      </w:r>
    </w:p>
    <w:p w14:paraId="7F6DE88F" w14:textId="77777777" w:rsidR="00FC026B" w:rsidRPr="00A01745" w:rsidRDefault="00FC026B" w:rsidP="00FC026B">
      <w:pPr>
        <w:contextualSpacing/>
        <w:jc w:val="both"/>
        <w:rPr>
          <w:color w:val="000000" w:themeColor="text1"/>
        </w:rPr>
      </w:pPr>
      <w:r w:rsidRPr="00A01745">
        <w:rPr>
          <w:color w:val="000000" w:themeColor="text1"/>
        </w:rPr>
        <w:t>Probele de peşti sunt colectate prin utilizarea traulului pelagic, a năvodului de plajă şi a setcilor.</w:t>
      </w:r>
    </w:p>
    <w:p w14:paraId="367FB208" w14:textId="77777777" w:rsidR="00FC026B" w:rsidRPr="000C6A1A" w:rsidRDefault="00FC026B" w:rsidP="00FC026B">
      <w:pPr>
        <w:tabs>
          <w:tab w:val="left" w:pos="720"/>
        </w:tabs>
        <w:jc w:val="both"/>
        <w:rPr>
          <w:smallCaps/>
          <w:color w:val="000000" w:themeColor="text1"/>
        </w:rPr>
      </w:pPr>
      <w:r>
        <w:rPr>
          <w:i/>
          <w:color w:val="000000" w:themeColor="text1"/>
        </w:rPr>
        <w:t xml:space="preserve">- </w:t>
      </w:r>
      <w:r w:rsidRPr="000C6A1A">
        <w:rPr>
          <w:i/>
          <w:color w:val="000000" w:themeColor="text1"/>
        </w:rPr>
        <w:t>Traulul pelagic</w:t>
      </w:r>
      <w:r w:rsidRPr="000C6A1A">
        <w:rPr>
          <w:color w:val="000000" w:themeColor="text1"/>
        </w:rPr>
        <w:t xml:space="preserve"> este o unealtă de pescuit tractată în masa apei cu ajutorul unei nave prin intermediul elementelor de legătura (vaiere, intermediare, frâie etc.) şi care este echipată cu un sistem de armare propriu.</w:t>
      </w:r>
    </w:p>
    <w:p w14:paraId="5BDDAEF4" w14:textId="77777777" w:rsidR="00FC026B" w:rsidRPr="000C6A1A" w:rsidRDefault="00FC026B" w:rsidP="00FC026B">
      <w:pPr>
        <w:tabs>
          <w:tab w:val="left" w:pos="720"/>
        </w:tabs>
        <w:jc w:val="both"/>
        <w:rPr>
          <w:smallCaps/>
          <w:color w:val="000000" w:themeColor="text1"/>
        </w:rPr>
      </w:pPr>
      <w:r>
        <w:rPr>
          <w:i/>
          <w:color w:val="000000" w:themeColor="text1"/>
        </w:rPr>
        <w:t xml:space="preserve">- </w:t>
      </w:r>
      <w:r w:rsidRPr="000C6A1A">
        <w:rPr>
          <w:i/>
          <w:color w:val="000000" w:themeColor="text1"/>
        </w:rPr>
        <w:t xml:space="preserve">Setca </w:t>
      </w:r>
      <w:r w:rsidRPr="000C6A1A">
        <w:rPr>
          <w:color w:val="000000" w:themeColor="text1"/>
        </w:rPr>
        <w:t>este o unealtă de pescuit de tip rețea, alcătuită dintr-un singur  perete de plasă, cu o poziție de funcționare verticală, generată de elementele de armare prevăzute la partea superioară (plute) și inferioară (plumbi), destinată capturării prin agățare și încurcare a speciilor de pești care fac deplasări în masa apei sau la nivelul substratului.</w:t>
      </w:r>
    </w:p>
    <w:p w14:paraId="628D9C82" w14:textId="77777777" w:rsidR="00FC026B" w:rsidRPr="00A01745" w:rsidRDefault="00FC026B" w:rsidP="00FC026B">
      <w:pPr>
        <w:tabs>
          <w:tab w:val="left" w:pos="720"/>
        </w:tabs>
        <w:jc w:val="both"/>
        <w:rPr>
          <w:color w:val="000000" w:themeColor="text1"/>
        </w:rPr>
      </w:pPr>
      <w:r>
        <w:rPr>
          <w:i/>
          <w:color w:val="000000" w:themeColor="text1"/>
        </w:rPr>
        <w:t xml:space="preserve">- </w:t>
      </w:r>
      <w:r w:rsidRPr="000C6A1A">
        <w:rPr>
          <w:i/>
          <w:color w:val="000000" w:themeColor="text1"/>
        </w:rPr>
        <w:t xml:space="preserve">Năvodul de plajă </w:t>
      </w:r>
      <w:r w:rsidRPr="000C6A1A">
        <w:rPr>
          <w:color w:val="000000" w:themeColor="text1"/>
        </w:rPr>
        <w:t xml:space="preserve">este o unealtă de pescuit de forma unui perete vertical din plasă, cu care se înconjoară o anumită suprafață a apei, delimitând-o până la fundul bazinului, prevăzut cu elemente de armare (flotori, greutăți etc.), care se lansează din barcă, pe un traseu de forma unui semicerc, cât mai simetric, începând de la țărm spre larg și din nou spre mal. Restrângerea suprafeței înconjurate se realizează prin scurtarea </w:t>
      </w:r>
      <w:r w:rsidRPr="000C6A1A">
        <w:rPr>
          <w:color w:val="000000" w:themeColor="text1"/>
        </w:rPr>
        <w:lastRenderedPageBreak/>
        <w:t>perimetrului înconjurat, urmare a recuperării aripilor uneltei pe mal. Pentru a captura cu năvodul de plajă peștii dintr-o anumită suprafață înconjurată, este necesar ca partea inferioară a uneltei (frânghia cu greutăți) să aibă un contact permanent cu fundul mării. Părțile componente ale năvodului sunt: aripile (cu rol de înconjurare, dirijare, respectiv concentrare a peștelui) și matița (cu rol de reținere).</w:t>
      </w:r>
    </w:p>
    <w:p w14:paraId="6DBA0735" w14:textId="77777777" w:rsidR="00FC026B" w:rsidRPr="00A01745" w:rsidRDefault="00FC026B" w:rsidP="00FC026B">
      <w:pPr>
        <w:ind w:firstLine="720"/>
        <w:jc w:val="both"/>
        <w:rPr>
          <w:color w:val="000000" w:themeColor="text1"/>
        </w:rPr>
      </w:pPr>
      <w:r w:rsidRPr="00A01745">
        <w:rPr>
          <w:color w:val="000000" w:themeColor="text1"/>
        </w:rPr>
        <w:t>După capturare vor fi extrase probe în vederea eşantionării; inventarierea speciilor prin încadrarea    sistematică, compoziţia pe specii, ponderea în captură.</w:t>
      </w:r>
    </w:p>
    <w:p w14:paraId="14B3703F" w14:textId="77777777" w:rsidR="00FC026B" w:rsidRPr="00C56257" w:rsidRDefault="00FC026B" w:rsidP="00FC026B">
      <w:pPr>
        <w:ind w:left="460"/>
        <w:jc w:val="both"/>
        <w:rPr>
          <w:b/>
          <w:color w:val="000000" w:themeColor="text1"/>
        </w:rPr>
      </w:pPr>
    </w:p>
    <w:p w14:paraId="42E5DB42" w14:textId="77777777" w:rsidR="00FC026B" w:rsidRPr="00232068" w:rsidRDefault="00FC026B" w:rsidP="00FC026B">
      <w:pPr>
        <w:jc w:val="both"/>
        <w:rPr>
          <w:b/>
        </w:rPr>
      </w:pPr>
      <w:r w:rsidRPr="00232068">
        <w:rPr>
          <w:b/>
        </w:rPr>
        <w:t>Utilizarea hărților/ datelor spațiale</w:t>
      </w:r>
    </w:p>
    <w:p w14:paraId="07193990" w14:textId="77777777" w:rsidR="00FC026B" w:rsidRPr="00C56257" w:rsidRDefault="00FC026B" w:rsidP="00FC026B">
      <w:pPr>
        <w:pStyle w:val="ListParagraph"/>
        <w:ind w:left="0"/>
        <w:jc w:val="both"/>
        <w:rPr>
          <w:rFonts w:ascii="Times New Roman" w:hAnsi="Times New Roman" w:cs="Times New Roman"/>
          <w:color w:val="000000" w:themeColor="text1"/>
          <w:sz w:val="24"/>
          <w:szCs w:val="24"/>
          <w:lang w:val="ro-RO"/>
        </w:rPr>
      </w:pPr>
    </w:p>
    <w:p w14:paraId="6DC200D5" w14:textId="77777777" w:rsidR="00FC026B" w:rsidRPr="00C56257" w:rsidRDefault="00FC026B" w:rsidP="00FC026B">
      <w:pPr>
        <w:autoSpaceDE w:val="0"/>
        <w:autoSpaceDN w:val="0"/>
        <w:adjustRightInd w:val="0"/>
        <w:ind w:firstLine="720"/>
        <w:jc w:val="both"/>
        <w:rPr>
          <w:color w:val="000000" w:themeColor="text1"/>
          <w:lang w:val="x-none"/>
        </w:rPr>
      </w:pP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planificarea</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desfăşurarea</w:t>
      </w:r>
      <w:proofErr w:type="spellEnd"/>
      <w:r w:rsidRPr="00C56257">
        <w:rPr>
          <w:color w:val="000000" w:themeColor="text1"/>
          <w:lang w:val="x-none"/>
        </w:rPr>
        <w:t xml:space="preserve"> </w:t>
      </w:r>
      <w:proofErr w:type="spellStart"/>
      <w:r w:rsidRPr="00C56257">
        <w:rPr>
          <w:color w:val="000000" w:themeColor="text1"/>
          <w:lang w:val="x-none"/>
        </w:rPr>
        <w:t>activităţilor</w:t>
      </w:r>
      <w:proofErr w:type="spellEnd"/>
      <w:r w:rsidRPr="00C56257">
        <w:rPr>
          <w:color w:val="000000" w:themeColor="text1"/>
          <w:lang w:val="x-none"/>
        </w:rPr>
        <w:t xml:space="preserve"> de </w:t>
      </w:r>
      <w:proofErr w:type="spellStart"/>
      <w:r w:rsidRPr="00C56257">
        <w:rPr>
          <w:color w:val="000000" w:themeColor="text1"/>
          <w:lang w:val="x-none"/>
        </w:rPr>
        <w:t>colectare</w:t>
      </w:r>
      <w:proofErr w:type="spellEnd"/>
      <w:r w:rsidRPr="00C56257">
        <w:rPr>
          <w:color w:val="000000" w:themeColor="text1"/>
          <w:lang w:val="x-none"/>
        </w:rPr>
        <w:t xml:space="preserve"> probe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teren</w:t>
      </w:r>
      <w:proofErr w:type="spellEnd"/>
      <w:r w:rsidRPr="00C56257">
        <w:rPr>
          <w:color w:val="000000" w:themeColor="text1"/>
          <w:lang w:val="x-none"/>
        </w:rPr>
        <w:t xml:space="preserve"> se </w:t>
      </w:r>
      <w:proofErr w:type="spellStart"/>
      <w:r w:rsidRPr="00C56257">
        <w:rPr>
          <w:color w:val="000000" w:themeColor="text1"/>
          <w:lang w:val="x-none"/>
        </w:rPr>
        <w:t>utiliz</w:t>
      </w:r>
      <w:r w:rsidRPr="00C56257">
        <w:rPr>
          <w:color w:val="000000" w:themeColor="text1"/>
        </w:rPr>
        <w:t>ează</w:t>
      </w:r>
      <w:proofErr w:type="spellEnd"/>
      <w:r w:rsidRPr="00C56257">
        <w:rPr>
          <w:color w:val="000000" w:themeColor="text1"/>
          <w:lang w:val="x-none"/>
        </w:rPr>
        <w:t xml:space="preserve"> </w:t>
      </w:r>
      <w:proofErr w:type="spellStart"/>
      <w:r w:rsidRPr="00C56257">
        <w:rPr>
          <w:color w:val="000000" w:themeColor="text1"/>
          <w:lang w:val="x-none"/>
        </w:rPr>
        <w:t>următoarele</w:t>
      </w:r>
      <w:proofErr w:type="spellEnd"/>
      <w:r w:rsidRPr="00C56257">
        <w:rPr>
          <w:color w:val="000000" w:themeColor="text1"/>
          <w:lang w:val="x-none"/>
        </w:rPr>
        <w:t xml:space="preserve"> </w:t>
      </w:r>
      <w:proofErr w:type="spellStart"/>
      <w:r w:rsidRPr="00C56257">
        <w:rPr>
          <w:color w:val="000000" w:themeColor="text1"/>
          <w:lang w:val="x-none"/>
        </w:rPr>
        <w:t>tipuri</w:t>
      </w:r>
      <w:proofErr w:type="spellEnd"/>
      <w:r w:rsidRPr="00C56257">
        <w:rPr>
          <w:color w:val="000000" w:themeColor="text1"/>
          <w:lang w:val="x-none"/>
        </w:rPr>
        <w:t xml:space="preserve"> de </w:t>
      </w:r>
      <w:proofErr w:type="spellStart"/>
      <w:r w:rsidRPr="00C56257">
        <w:rPr>
          <w:color w:val="000000" w:themeColor="text1"/>
          <w:lang w:val="x-none"/>
        </w:rPr>
        <w:t>hărţi</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w:t>
      </w:r>
      <w:proofErr w:type="spellStart"/>
      <w:r w:rsidRPr="00C56257">
        <w:rPr>
          <w:color w:val="000000" w:themeColor="text1"/>
          <w:lang w:val="x-none"/>
        </w:rPr>
        <w:t>sau</w:t>
      </w:r>
      <w:proofErr w:type="spellEnd"/>
      <w:r w:rsidRPr="00C56257">
        <w:rPr>
          <w:color w:val="000000" w:themeColor="text1"/>
          <w:lang w:val="x-none"/>
        </w:rPr>
        <w:t xml:space="preserve"> </w:t>
      </w:r>
      <w:proofErr w:type="spellStart"/>
      <w:r w:rsidRPr="00C56257">
        <w:rPr>
          <w:color w:val="000000" w:themeColor="text1"/>
          <w:lang w:val="x-none"/>
        </w:rPr>
        <w:t>informaţii</w:t>
      </w:r>
      <w:proofErr w:type="spellEnd"/>
      <w:r w:rsidRPr="00C56257">
        <w:rPr>
          <w:color w:val="000000" w:themeColor="text1"/>
          <w:lang w:val="x-none"/>
        </w:rPr>
        <w:t xml:space="preserve"> </w:t>
      </w:r>
      <w:proofErr w:type="spellStart"/>
      <w:r w:rsidRPr="00C56257">
        <w:rPr>
          <w:color w:val="000000" w:themeColor="text1"/>
          <w:lang w:val="x-none"/>
        </w:rPr>
        <w:t>spaţiale</w:t>
      </w:r>
      <w:proofErr w:type="spellEnd"/>
      <w:r w:rsidRPr="00C56257">
        <w:rPr>
          <w:color w:val="000000" w:themeColor="text1"/>
          <w:lang w:val="x-none"/>
        </w:rPr>
        <w:t>:</w:t>
      </w:r>
    </w:p>
    <w:p w14:paraId="46A6DC12" w14:textId="77777777" w:rsidR="00FC026B" w:rsidRPr="00C56257" w:rsidRDefault="00FC026B" w:rsidP="009E63E5">
      <w:pPr>
        <w:numPr>
          <w:ilvl w:val="0"/>
          <w:numId w:val="25"/>
        </w:numPr>
        <w:autoSpaceDE w:val="0"/>
        <w:autoSpaceDN w:val="0"/>
        <w:adjustRightInd w:val="0"/>
        <w:ind w:left="0"/>
        <w:jc w:val="both"/>
        <w:rPr>
          <w:color w:val="000000" w:themeColor="text1"/>
          <w:lang w:val="x-none"/>
        </w:rPr>
      </w:pPr>
      <w:proofErr w:type="spellStart"/>
      <w:r w:rsidRPr="00C56257">
        <w:rPr>
          <w:color w:val="000000" w:themeColor="text1"/>
          <w:lang w:val="x-none"/>
        </w:rPr>
        <w:t>Distribuţia</w:t>
      </w:r>
      <w:proofErr w:type="spellEnd"/>
      <w:r w:rsidRPr="00C56257">
        <w:rPr>
          <w:color w:val="000000" w:themeColor="text1"/>
          <w:lang w:val="x-none"/>
        </w:rPr>
        <w:t xml:space="preserve"> </w:t>
      </w:r>
      <w:proofErr w:type="spellStart"/>
      <w:r w:rsidRPr="00C56257">
        <w:rPr>
          <w:color w:val="000000" w:themeColor="text1"/>
          <w:lang w:val="x-none"/>
        </w:rPr>
        <w:t>ploturilor</w:t>
      </w:r>
      <w:proofErr w:type="spellEnd"/>
      <w:r w:rsidRPr="00C56257">
        <w:rPr>
          <w:color w:val="000000" w:themeColor="text1"/>
          <w:lang w:val="x-none"/>
        </w:rPr>
        <w:t xml:space="preserve">/ </w:t>
      </w:r>
      <w:proofErr w:type="spellStart"/>
      <w:r w:rsidRPr="00C56257">
        <w:rPr>
          <w:color w:val="000000" w:themeColor="text1"/>
          <w:lang w:val="x-none"/>
        </w:rPr>
        <w:t>punctelor</w:t>
      </w:r>
      <w:proofErr w:type="spellEnd"/>
      <w:r w:rsidRPr="00C56257">
        <w:rPr>
          <w:color w:val="000000" w:themeColor="text1"/>
          <w:lang w:val="x-none"/>
        </w:rPr>
        <w:t xml:space="preserve"> de </w:t>
      </w:r>
      <w:proofErr w:type="spellStart"/>
      <w:r w:rsidRPr="00C56257">
        <w:rPr>
          <w:color w:val="000000" w:themeColor="text1"/>
          <w:lang w:val="x-none"/>
        </w:rPr>
        <w:t>monitorizare</w:t>
      </w:r>
      <w:proofErr w:type="spellEnd"/>
      <w:r w:rsidRPr="00C56257">
        <w:rPr>
          <w:color w:val="000000" w:themeColor="text1"/>
          <w:lang w:val="x-none"/>
        </w:rPr>
        <w:t xml:space="preserve"> la </w:t>
      </w:r>
      <w:proofErr w:type="spellStart"/>
      <w:r w:rsidRPr="00C56257">
        <w:rPr>
          <w:color w:val="000000" w:themeColor="text1"/>
          <w:lang w:val="x-none"/>
        </w:rPr>
        <w:t>nivel</w:t>
      </w:r>
      <w:proofErr w:type="spellEnd"/>
      <w:r w:rsidRPr="00C56257">
        <w:rPr>
          <w:color w:val="000000" w:themeColor="text1"/>
          <w:lang w:val="x-none"/>
        </w:rPr>
        <w:t xml:space="preserve"> de </w:t>
      </w:r>
      <w:proofErr w:type="spellStart"/>
      <w:r w:rsidRPr="00C56257">
        <w:rPr>
          <w:color w:val="000000" w:themeColor="text1"/>
          <w:lang w:val="x-none"/>
        </w:rPr>
        <w:t>bioregiune</w:t>
      </w:r>
      <w:proofErr w:type="spellEnd"/>
      <w:r w:rsidRPr="00C56257">
        <w:rPr>
          <w:color w:val="000000" w:themeColor="text1"/>
          <w:lang w:val="x-none"/>
        </w:rPr>
        <w:t>, habitat, sit Natura 2000</w:t>
      </w:r>
    </w:p>
    <w:p w14:paraId="0A557F93" w14:textId="77777777" w:rsidR="00FC026B" w:rsidRPr="00C56257" w:rsidRDefault="00FC026B" w:rsidP="009E63E5">
      <w:pPr>
        <w:numPr>
          <w:ilvl w:val="0"/>
          <w:numId w:val="25"/>
        </w:numPr>
        <w:autoSpaceDE w:val="0"/>
        <w:autoSpaceDN w:val="0"/>
        <w:adjustRightInd w:val="0"/>
        <w:ind w:left="0"/>
        <w:jc w:val="both"/>
        <w:rPr>
          <w:color w:val="000000" w:themeColor="text1"/>
          <w:lang w:val="x-none"/>
        </w:rPr>
      </w:pPr>
      <w:r w:rsidRPr="00C56257">
        <w:rPr>
          <w:color w:val="000000" w:themeColor="text1"/>
          <w:lang w:val="x-none"/>
        </w:rPr>
        <w:t xml:space="preserve">Hărţi </w:t>
      </w:r>
      <w:proofErr w:type="spellStart"/>
      <w:r w:rsidRPr="00C56257">
        <w:rPr>
          <w:color w:val="000000" w:themeColor="text1"/>
          <w:lang w:val="x-none"/>
        </w:rPr>
        <w:t>batimetrice</w:t>
      </w:r>
      <w:proofErr w:type="spellEnd"/>
      <w:r w:rsidRPr="00C56257">
        <w:rPr>
          <w:color w:val="000000" w:themeColor="text1"/>
          <w:lang w:val="x-none"/>
        </w:rPr>
        <w:t xml:space="preserve"> – </w:t>
      </w:r>
      <w:proofErr w:type="spellStart"/>
      <w:r w:rsidRPr="00C56257">
        <w:rPr>
          <w:color w:val="000000" w:themeColor="text1"/>
          <w:lang w:val="x-none"/>
        </w:rPr>
        <w:t>hărţi</w:t>
      </w:r>
      <w:proofErr w:type="spellEnd"/>
      <w:r w:rsidRPr="00C56257">
        <w:rPr>
          <w:color w:val="000000" w:themeColor="text1"/>
          <w:lang w:val="x-none"/>
        </w:rPr>
        <w:t xml:space="preserve"> de </w:t>
      </w:r>
      <w:proofErr w:type="spellStart"/>
      <w:r w:rsidRPr="00C56257">
        <w:rPr>
          <w:color w:val="000000" w:themeColor="text1"/>
          <w:lang w:val="x-none"/>
        </w:rPr>
        <w:t>navigaţie</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date </w:t>
      </w:r>
      <w:proofErr w:type="spellStart"/>
      <w:r w:rsidRPr="00C56257">
        <w:rPr>
          <w:color w:val="000000" w:themeColor="text1"/>
          <w:lang w:val="x-none"/>
        </w:rPr>
        <w:t>spaţiale</w:t>
      </w:r>
      <w:proofErr w:type="spellEnd"/>
      <w:r w:rsidRPr="00C56257">
        <w:rPr>
          <w:color w:val="000000" w:themeColor="text1"/>
          <w:lang w:val="x-none"/>
        </w:rPr>
        <w:t xml:space="preserve"> de </w:t>
      </w:r>
      <w:proofErr w:type="spellStart"/>
      <w:r w:rsidRPr="00C56257">
        <w:rPr>
          <w:color w:val="000000" w:themeColor="text1"/>
          <w:lang w:val="x-none"/>
        </w:rPr>
        <w:t>batimetrie</w:t>
      </w:r>
      <w:proofErr w:type="spellEnd"/>
      <w:r w:rsidRPr="00C56257">
        <w:rPr>
          <w:color w:val="000000" w:themeColor="text1"/>
          <w:lang w:val="x-none"/>
        </w:rPr>
        <w:t xml:space="preserve">. </w:t>
      </w:r>
    </w:p>
    <w:p w14:paraId="0D0BE680" w14:textId="77777777" w:rsidR="00FC026B" w:rsidRPr="00C56257" w:rsidRDefault="00FC026B" w:rsidP="009E63E5">
      <w:pPr>
        <w:numPr>
          <w:ilvl w:val="0"/>
          <w:numId w:val="25"/>
        </w:numPr>
        <w:autoSpaceDE w:val="0"/>
        <w:autoSpaceDN w:val="0"/>
        <w:adjustRightInd w:val="0"/>
        <w:ind w:left="0"/>
        <w:jc w:val="both"/>
        <w:rPr>
          <w:color w:val="000000" w:themeColor="text1"/>
          <w:lang w:val="x-none"/>
        </w:rPr>
      </w:pPr>
      <w:proofErr w:type="spellStart"/>
      <w:r w:rsidRPr="00C56257">
        <w:rPr>
          <w:color w:val="000000" w:themeColor="text1"/>
          <w:lang w:val="x-none"/>
        </w:rPr>
        <w:t>EMODnet</w:t>
      </w:r>
      <w:proofErr w:type="spellEnd"/>
      <w:r w:rsidRPr="00C56257">
        <w:rPr>
          <w:color w:val="000000" w:themeColor="text1"/>
          <w:lang w:val="x-none"/>
        </w:rPr>
        <w:t xml:space="preserve"> Seabed Habitats (2016 </w:t>
      </w:r>
      <w:proofErr w:type="spellStart"/>
      <w:r w:rsidRPr="00C56257">
        <w:rPr>
          <w:color w:val="000000" w:themeColor="text1"/>
          <w:lang w:val="x-none"/>
        </w:rPr>
        <w:t>şi</w:t>
      </w:r>
      <w:proofErr w:type="spellEnd"/>
      <w:r w:rsidRPr="00C56257">
        <w:rPr>
          <w:color w:val="000000" w:themeColor="text1"/>
          <w:lang w:val="x-none"/>
        </w:rPr>
        <w:t xml:space="preserve"> 2019), layer MSFD Benthic Broad Habitat Types pe </w:t>
      </w:r>
      <w:proofErr w:type="spellStart"/>
      <w:r w:rsidRPr="00C56257">
        <w:rPr>
          <w:color w:val="000000" w:themeColor="text1"/>
          <w:lang w:val="x-none"/>
        </w:rPr>
        <w:t>baza</w:t>
      </w:r>
      <w:proofErr w:type="spellEnd"/>
      <w:r w:rsidRPr="00C56257">
        <w:rPr>
          <w:color w:val="000000" w:themeColor="text1"/>
          <w:lang w:val="x-none"/>
        </w:rPr>
        <w:t xml:space="preserve"> </w:t>
      </w:r>
      <w:proofErr w:type="spellStart"/>
      <w:r w:rsidRPr="00C56257">
        <w:rPr>
          <w:color w:val="000000" w:themeColor="text1"/>
          <w:lang w:val="x-none"/>
        </w:rPr>
        <w:t>harta</w:t>
      </w:r>
      <w:proofErr w:type="spellEnd"/>
      <w:r w:rsidRPr="00C56257">
        <w:rPr>
          <w:color w:val="000000" w:themeColor="text1"/>
          <w:lang w:val="x-none"/>
        </w:rPr>
        <w:t>/</w:t>
      </w:r>
      <w:proofErr w:type="spellStart"/>
      <w:r w:rsidRPr="00C56257">
        <w:rPr>
          <w:color w:val="000000" w:themeColor="text1"/>
          <w:lang w:val="x-none"/>
        </w:rPr>
        <w:t>layerelor</w:t>
      </w:r>
      <w:proofErr w:type="spellEnd"/>
      <w:r w:rsidRPr="00C56257">
        <w:rPr>
          <w:color w:val="000000" w:themeColor="text1"/>
          <w:lang w:val="x-none"/>
        </w:rPr>
        <w:t xml:space="preserve"> EUSeaMap2 (2016), </w:t>
      </w:r>
      <w:proofErr w:type="spellStart"/>
      <w:r w:rsidRPr="00C56257">
        <w:rPr>
          <w:color w:val="000000" w:themeColor="text1"/>
          <w:lang w:val="x-none"/>
        </w:rPr>
        <w:t>rezoluție</w:t>
      </w:r>
      <w:proofErr w:type="spellEnd"/>
      <w:r w:rsidRPr="00C56257">
        <w:rPr>
          <w:color w:val="000000" w:themeColor="text1"/>
          <w:lang w:val="x-none"/>
        </w:rPr>
        <w:t xml:space="preserve"> ~ 250 m, </w:t>
      </w:r>
      <w:proofErr w:type="spellStart"/>
      <w:r w:rsidRPr="00C56257">
        <w:rPr>
          <w:color w:val="000000" w:themeColor="text1"/>
          <w:lang w:val="x-none"/>
        </w:rPr>
        <w:t>obținut</w:t>
      </w:r>
      <w:proofErr w:type="spellEnd"/>
      <w:r w:rsidRPr="00C56257">
        <w:rPr>
          <w:color w:val="000000" w:themeColor="text1"/>
          <w:lang w:val="x-none"/>
        </w:rPr>
        <w:t xml:space="preserve"> </w:t>
      </w:r>
      <w:proofErr w:type="spellStart"/>
      <w:r w:rsidRPr="00C56257">
        <w:rPr>
          <w:color w:val="000000" w:themeColor="text1"/>
          <w:lang w:val="x-none"/>
        </w:rPr>
        <w:t>prin</w:t>
      </w:r>
      <w:proofErr w:type="spellEnd"/>
      <w:r w:rsidRPr="00C56257">
        <w:rPr>
          <w:color w:val="000000" w:themeColor="text1"/>
          <w:lang w:val="x-none"/>
        </w:rPr>
        <w:t xml:space="preserve"> </w:t>
      </w:r>
      <w:proofErr w:type="spellStart"/>
      <w:r w:rsidRPr="00C56257">
        <w:rPr>
          <w:b/>
          <w:bCs/>
          <w:color w:val="000000" w:themeColor="text1"/>
          <w:lang w:val="x-none"/>
        </w:rPr>
        <w:t>modelarea</w:t>
      </w:r>
      <w:proofErr w:type="spellEnd"/>
      <w:r w:rsidRPr="00C56257">
        <w:rPr>
          <w:b/>
          <w:bCs/>
          <w:color w:val="000000" w:themeColor="text1"/>
          <w:lang w:val="x-none"/>
        </w:rPr>
        <w:t xml:space="preserve"> </w:t>
      </w:r>
      <w:proofErr w:type="spellStart"/>
      <w:r w:rsidRPr="00C56257">
        <w:rPr>
          <w:b/>
          <w:bCs/>
          <w:color w:val="000000" w:themeColor="text1"/>
          <w:lang w:val="x-none"/>
        </w:rPr>
        <w:t>și</w:t>
      </w:r>
      <w:proofErr w:type="spellEnd"/>
      <w:r w:rsidRPr="00C56257">
        <w:rPr>
          <w:b/>
          <w:bCs/>
          <w:color w:val="000000" w:themeColor="text1"/>
          <w:lang w:val="x-none"/>
        </w:rPr>
        <w:t xml:space="preserve"> </w:t>
      </w:r>
      <w:proofErr w:type="spellStart"/>
      <w:r w:rsidRPr="00C56257">
        <w:rPr>
          <w:b/>
          <w:bCs/>
          <w:color w:val="000000" w:themeColor="text1"/>
          <w:lang w:val="x-none"/>
        </w:rPr>
        <w:t>agregarea</w:t>
      </w:r>
      <w:proofErr w:type="spellEnd"/>
      <w:r w:rsidRPr="00C56257">
        <w:rPr>
          <w:b/>
          <w:bCs/>
          <w:color w:val="000000" w:themeColor="text1"/>
          <w:lang w:val="x-none"/>
        </w:rPr>
        <w:t xml:space="preserve"> la </w:t>
      </w:r>
      <w:proofErr w:type="spellStart"/>
      <w:r w:rsidRPr="00C56257">
        <w:rPr>
          <w:b/>
          <w:bCs/>
          <w:color w:val="000000" w:themeColor="text1"/>
          <w:lang w:val="x-none"/>
        </w:rPr>
        <w:t>scară</w:t>
      </w:r>
      <w:proofErr w:type="spellEnd"/>
      <w:r w:rsidRPr="00C56257">
        <w:rPr>
          <w:b/>
          <w:bCs/>
          <w:color w:val="000000" w:themeColor="text1"/>
          <w:lang w:val="x-none"/>
        </w:rPr>
        <w:t xml:space="preserve"> </w:t>
      </w:r>
      <w:proofErr w:type="spellStart"/>
      <w:r w:rsidRPr="00C56257">
        <w:rPr>
          <w:b/>
          <w:bCs/>
          <w:color w:val="000000" w:themeColor="text1"/>
          <w:lang w:val="x-none"/>
        </w:rPr>
        <w:t>largă</w:t>
      </w:r>
      <w:proofErr w:type="spellEnd"/>
      <w:r w:rsidRPr="00C56257">
        <w:rPr>
          <w:b/>
          <w:bCs/>
          <w:color w:val="000000" w:themeColor="text1"/>
          <w:lang w:val="x-none"/>
        </w:rPr>
        <w:t>,</w:t>
      </w:r>
      <w:r w:rsidRPr="00C56257">
        <w:rPr>
          <w:color w:val="000000" w:themeColor="text1"/>
          <w:lang w:val="x-none"/>
        </w:rPr>
        <w:t xml:space="preserve"> la </w:t>
      </w:r>
      <w:proofErr w:type="spellStart"/>
      <w:r w:rsidRPr="00C56257">
        <w:rPr>
          <w:color w:val="000000" w:themeColor="text1"/>
          <w:lang w:val="x-none"/>
        </w:rPr>
        <w:t>nivel</w:t>
      </w:r>
      <w:proofErr w:type="spellEnd"/>
      <w:r w:rsidRPr="00C56257">
        <w:rPr>
          <w:color w:val="000000" w:themeColor="text1"/>
          <w:lang w:val="x-none"/>
        </w:rPr>
        <w:t xml:space="preserve"> de </w:t>
      </w:r>
      <w:proofErr w:type="spellStart"/>
      <w:r w:rsidRPr="00C56257">
        <w:rPr>
          <w:color w:val="000000" w:themeColor="text1"/>
          <w:lang w:val="x-none"/>
        </w:rPr>
        <w:t>habitate</w:t>
      </w:r>
      <w:proofErr w:type="spellEnd"/>
      <w:r w:rsidRPr="00C56257">
        <w:rPr>
          <w:color w:val="000000" w:themeColor="text1"/>
          <w:lang w:val="x-none"/>
        </w:rPr>
        <w:t xml:space="preserve"> </w:t>
      </w:r>
      <w:proofErr w:type="spellStart"/>
      <w:r w:rsidRPr="00C56257">
        <w:rPr>
          <w:color w:val="000000" w:themeColor="text1"/>
          <w:lang w:val="x-none"/>
        </w:rPr>
        <w:t>bentale</w:t>
      </w:r>
      <w:proofErr w:type="spellEnd"/>
      <w:r w:rsidRPr="00C56257">
        <w:rPr>
          <w:color w:val="000000" w:themeColor="text1"/>
          <w:lang w:val="x-none"/>
        </w:rPr>
        <w:t xml:space="preserve"> din </w:t>
      </w:r>
      <w:proofErr w:type="spellStart"/>
      <w:r w:rsidRPr="00C56257">
        <w:rPr>
          <w:color w:val="000000" w:themeColor="text1"/>
          <w:lang w:val="x-none"/>
        </w:rPr>
        <w:t>cadrul</w:t>
      </w:r>
      <w:proofErr w:type="spellEnd"/>
      <w:r w:rsidRPr="00C56257">
        <w:rPr>
          <w:color w:val="000000" w:themeColor="text1"/>
          <w:lang w:val="x-none"/>
        </w:rPr>
        <w:t xml:space="preserve"> </w:t>
      </w:r>
      <w:proofErr w:type="spellStart"/>
      <w:r w:rsidRPr="00C56257">
        <w:rPr>
          <w:color w:val="000000" w:themeColor="text1"/>
          <w:lang w:val="x-none"/>
        </w:rPr>
        <w:t>Directivei</w:t>
      </w:r>
      <w:proofErr w:type="spellEnd"/>
      <w:r w:rsidRPr="00C56257">
        <w:rPr>
          <w:color w:val="000000" w:themeColor="text1"/>
          <w:lang w:val="x-none"/>
        </w:rPr>
        <w:t xml:space="preserve"> </w:t>
      </w:r>
      <w:proofErr w:type="spellStart"/>
      <w:r w:rsidRPr="00C56257">
        <w:rPr>
          <w:color w:val="000000" w:themeColor="text1"/>
          <w:lang w:val="x-none"/>
        </w:rPr>
        <w:t>Cadru</w:t>
      </w:r>
      <w:proofErr w:type="spellEnd"/>
      <w:r w:rsidRPr="00C56257">
        <w:rPr>
          <w:color w:val="000000" w:themeColor="text1"/>
          <w:lang w:val="x-none"/>
        </w:rPr>
        <w:t xml:space="preserve"> </w:t>
      </w:r>
      <w:proofErr w:type="spellStart"/>
      <w:r w:rsidRPr="00C56257">
        <w:rPr>
          <w:color w:val="000000" w:themeColor="text1"/>
          <w:lang w:val="x-none"/>
        </w:rPr>
        <w:t>pentru</w:t>
      </w:r>
      <w:proofErr w:type="spellEnd"/>
      <w:r w:rsidRPr="00C56257">
        <w:rPr>
          <w:color w:val="000000" w:themeColor="text1"/>
          <w:lang w:val="x-none"/>
        </w:rPr>
        <w:t xml:space="preserve"> </w:t>
      </w:r>
      <w:proofErr w:type="spellStart"/>
      <w:r w:rsidRPr="00C56257">
        <w:rPr>
          <w:color w:val="000000" w:themeColor="text1"/>
          <w:lang w:val="x-none"/>
        </w:rPr>
        <w:t>Strategia</w:t>
      </w:r>
      <w:proofErr w:type="spellEnd"/>
      <w:r w:rsidRPr="00C56257">
        <w:rPr>
          <w:color w:val="000000" w:themeColor="text1"/>
          <w:lang w:val="x-none"/>
        </w:rPr>
        <w:t xml:space="preserve"> </w:t>
      </w:r>
      <w:proofErr w:type="spellStart"/>
      <w:r w:rsidRPr="00C56257">
        <w:rPr>
          <w:color w:val="000000" w:themeColor="text1"/>
          <w:lang w:val="x-none"/>
        </w:rPr>
        <w:t>Marină</w:t>
      </w:r>
      <w:proofErr w:type="spellEnd"/>
      <w:r w:rsidRPr="00C56257">
        <w:rPr>
          <w:color w:val="000000" w:themeColor="text1"/>
          <w:lang w:val="x-none"/>
        </w:rPr>
        <w:t xml:space="preserve"> (definite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Decizia</w:t>
      </w:r>
      <w:proofErr w:type="spellEnd"/>
      <w:r w:rsidRPr="00C56257">
        <w:rPr>
          <w:color w:val="000000" w:themeColor="text1"/>
          <w:lang w:val="x-none"/>
        </w:rPr>
        <w:t xml:space="preserve"> </w:t>
      </w:r>
      <w:proofErr w:type="spellStart"/>
      <w:r w:rsidRPr="00C56257">
        <w:rPr>
          <w:color w:val="000000" w:themeColor="text1"/>
          <w:lang w:val="x-none"/>
        </w:rPr>
        <w:t>Comisiei</w:t>
      </w:r>
      <w:proofErr w:type="spellEnd"/>
      <w:r w:rsidRPr="00C56257">
        <w:rPr>
          <w:color w:val="000000" w:themeColor="text1"/>
          <w:lang w:val="x-none"/>
        </w:rPr>
        <w:t xml:space="preserve"> nr 848/2017); </w:t>
      </w:r>
      <w:proofErr w:type="spellStart"/>
      <w:r w:rsidRPr="00C56257">
        <w:rPr>
          <w:color w:val="000000" w:themeColor="text1"/>
          <w:lang w:val="x-none"/>
        </w:rPr>
        <w:t>rezultatele</w:t>
      </w:r>
      <w:proofErr w:type="spellEnd"/>
      <w:r w:rsidRPr="00C56257">
        <w:rPr>
          <w:color w:val="000000" w:themeColor="text1"/>
          <w:lang w:val="x-none"/>
        </w:rPr>
        <w:t xml:space="preserve"> </w:t>
      </w:r>
      <w:proofErr w:type="spellStart"/>
      <w:r w:rsidRPr="00C56257">
        <w:rPr>
          <w:color w:val="000000" w:themeColor="text1"/>
          <w:lang w:val="x-none"/>
        </w:rPr>
        <w:t>obținute</w:t>
      </w:r>
      <w:proofErr w:type="spellEnd"/>
      <w:r w:rsidRPr="00C56257">
        <w:rPr>
          <w:color w:val="000000" w:themeColor="text1"/>
          <w:lang w:val="x-none"/>
        </w:rPr>
        <w:t xml:space="preserve">, </w:t>
      </w:r>
      <w:proofErr w:type="spellStart"/>
      <w:r w:rsidRPr="00C56257">
        <w:rPr>
          <w:color w:val="000000" w:themeColor="text1"/>
          <w:lang w:val="x-none"/>
        </w:rPr>
        <w:t>bazate</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mare </w:t>
      </w:r>
      <w:proofErr w:type="spellStart"/>
      <w:r w:rsidRPr="00C56257">
        <w:rPr>
          <w:color w:val="000000" w:themeColor="text1"/>
          <w:lang w:val="x-none"/>
        </w:rPr>
        <w:t>parte</w:t>
      </w:r>
      <w:proofErr w:type="spellEnd"/>
      <w:r w:rsidRPr="00C56257">
        <w:rPr>
          <w:color w:val="000000" w:themeColor="text1"/>
          <w:lang w:val="x-none"/>
        </w:rPr>
        <w:t xml:space="preserve"> pe </w:t>
      </w:r>
      <w:proofErr w:type="spellStart"/>
      <w:r w:rsidRPr="00C56257">
        <w:rPr>
          <w:color w:val="000000" w:themeColor="text1"/>
          <w:lang w:val="x-none"/>
        </w:rPr>
        <w:t>modelări</w:t>
      </w:r>
      <w:proofErr w:type="spellEnd"/>
      <w:r w:rsidRPr="00C56257">
        <w:rPr>
          <w:color w:val="000000" w:themeColor="text1"/>
          <w:lang w:val="x-none"/>
        </w:rPr>
        <w:t xml:space="preserve">, </w:t>
      </w:r>
      <w:proofErr w:type="spellStart"/>
      <w:r w:rsidRPr="00C56257">
        <w:rPr>
          <w:color w:val="000000" w:themeColor="text1"/>
          <w:lang w:val="x-none"/>
        </w:rPr>
        <w:t>analize</w:t>
      </w:r>
      <w:proofErr w:type="spellEnd"/>
      <w:r w:rsidRPr="00C56257">
        <w:rPr>
          <w:color w:val="000000" w:themeColor="text1"/>
          <w:lang w:val="x-none"/>
        </w:rPr>
        <w:t xml:space="preserve"> </w:t>
      </w:r>
      <w:proofErr w:type="spellStart"/>
      <w:r w:rsidRPr="00C56257">
        <w:rPr>
          <w:color w:val="000000" w:themeColor="text1"/>
          <w:lang w:val="x-none"/>
        </w:rPr>
        <w:t>statistice</w:t>
      </w:r>
      <w:proofErr w:type="spellEnd"/>
      <w:r w:rsidRPr="00C56257">
        <w:rPr>
          <w:color w:val="000000" w:themeColor="text1"/>
          <w:lang w:val="x-none"/>
        </w:rPr>
        <w:t xml:space="preserve"> și </w:t>
      </w:r>
      <w:proofErr w:type="spellStart"/>
      <w:r w:rsidRPr="00C56257">
        <w:rPr>
          <w:color w:val="000000" w:themeColor="text1"/>
          <w:lang w:val="x-none"/>
        </w:rPr>
        <w:t>opinia</w:t>
      </w:r>
      <w:proofErr w:type="spellEnd"/>
      <w:r w:rsidRPr="00C56257">
        <w:rPr>
          <w:color w:val="000000" w:themeColor="text1"/>
          <w:lang w:val="x-none"/>
        </w:rPr>
        <w:t xml:space="preserve"> </w:t>
      </w:r>
      <w:proofErr w:type="spellStart"/>
      <w:r w:rsidRPr="00C56257">
        <w:rPr>
          <w:color w:val="000000" w:themeColor="text1"/>
          <w:lang w:val="x-none"/>
        </w:rPr>
        <w:t>experților</w:t>
      </w:r>
      <w:proofErr w:type="spellEnd"/>
      <w:r w:rsidRPr="00C56257">
        <w:rPr>
          <w:color w:val="000000" w:themeColor="text1"/>
          <w:lang w:val="x-none"/>
        </w:rPr>
        <w:t xml:space="preserve"> sunt considerate cu grad de </w:t>
      </w:r>
      <w:proofErr w:type="spellStart"/>
      <w:r w:rsidRPr="00C56257">
        <w:rPr>
          <w:color w:val="000000" w:themeColor="text1"/>
          <w:lang w:val="x-none"/>
        </w:rPr>
        <w:t>încredere</w:t>
      </w:r>
      <w:proofErr w:type="spellEnd"/>
      <w:r w:rsidRPr="00C56257">
        <w:rPr>
          <w:color w:val="000000" w:themeColor="text1"/>
          <w:lang w:val="x-none"/>
        </w:rPr>
        <w:t xml:space="preserve"> </w:t>
      </w:r>
      <w:proofErr w:type="spellStart"/>
      <w:r w:rsidRPr="00C56257">
        <w:rPr>
          <w:color w:val="000000" w:themeColor="text1"/>
          <w:lang w:val="x-none"/>
        </w:rPr>
        <w:t>scăzut</w:t>
      </w:r>
      <w:proofErr w:type="spellEnd"/>
    </w:p>
    <w:p w14:paraId="1C96638A" w14:textId="77777777" w:rsidR="00FC026B" w:rsidRPr="00C56257" w:rsidRDefault="00FC026B" w:rsidP="009E63E5">
      <w:pPr>
        <w:numPr>
          <w:ilvl w:val="0"/>
          <w:numId w:val="25"/>
        </w:numPr>
        <w:autoSpaceDE w:val="0"/>
        <w:autoSpaceDN w:val="0"/>
        <w:adjustRightInd w:val="0"/>
        <w:ind w:left="0"/>
        <w:jc w:val="both"/>
        <w:rPr>
          <w:color w:val="000000" w:themeColor="text1"/>
          <w:lang w:val="x-none"/>
        </w:rPr>
      </w:pPr>
      <w:r w:rsidRPr="00C56257">
        <w:rPr>
          <w:color w:val="000000" w:themeColor="text1"/>
          <w:lang w:val="x-none"/>
        </w:rPr>
        <w:t xml:space="preserve">Hărţi </w:t>
      </w:r>
      <w:proofErr w:type="spellStart"/>
      <w:r w:rsidRPr="00C56257">
        <w:rPr>
          <w:color w:val="000000" w:themeColor="text1"/>
          <w:lang w:val="x-none"/>
        </w:rPr>
        <w:t>topografice</w:t>
      </w:r>
      <w:proofErr w:type="spellEnd"/>
      <w:r w:rsidRPr="00C56257">
        <w:rPr>
          <w:color w:val="000000" w:themeColor="text1"/>
          <w:lang w:val="x-none"/>
        </w:rPr>
        <w:t xml:space="preserve"> (</w:t>
      </w:r>
      <w:proofErr w:type="spellStart"/>
      <w:r w:rsidRPr="00C56257">
        <w:rPr>
          <w:color w:val="000000" w:themeColor="text1"/>
          <w:lang w:val="x-none"/>
        </w:rPr>
        <w:t>scara</w:t>
      </w:r>
      <w:proofErr w:type="spellEnd"/>
      <w:r w:rsidRPr="00C56257">
        <w:rPr>
          <w:color w:val="000000" w:themeColor="text1"/>
          <w:lang w:val="x-none"/>
        </w:rPr>
        <w:t xml:space="preserve"> </w:t>
      </w:r>
      <w:proofErr w:type="spellStart"/>
      <w:r w:rsidRPr="00C56257">
        <w:rPr>
          <w:color w:val="000000" w:themeColor="text1"/>
          <w:lang w:val="x-none"/>
        </w:rPr>
        <w:t>maximă</w:t>
      </w:r>
      <w:proofErr w:type="spellEnd"/>
      <w:r w:rsidRPr="00C56257">
        <w:rPr>
          <w:color w:val="000000" w:themeColor="text1"/>
          <w:lang w:val="x-none"/>
        </w:rPr>
        <w:t xml:space="preserve"> 1:25000), </w:t>
      </w:r>
      <w:proofErr w:type="spellStart"/>
      <w:r w:rsidRPr="00C56257">
        <w:rPr>
          <w:color w:val="000000" w:themeColor="text1"/>
          <w:lang w:val="x-none"/>
        </w:rPr>
        <w:t>planuri</w:t>
      </w:r>
      <w:proofErr w:type="spellEnd"/>
      <w:r w:rsidRPr="00C56257">
        <w:rPr>
          <w:color w:val="000000" w:themeColor="text1"/>
          <w:lang w:val="x-none"/>
        </w:rPr>
        <w:t xml:space="preserve">, </w:t>
      </w:r>
      <w:proofErr w:type="spellStart"/>
      <w:r w:rsidRPr="00C56257">
        <w:rPr>
          <w:color w:val="000000" w:themeColor="text1"/>
          <w:lang w:val="x-none"/>
        </w:rPr>
        <w:t>ortofotoplanuri</w:t>
      </w:r>
      <w:proofErr w:type="spellEnd"/>
      <w:r w:rsidRPr="00C56257">
        <w:rPr>
          <w:color w:val="000000" w:themeColor="text1"/>
          <w:lang w:val="x-none"/>
        </w:rPr>
        <w:t>/</w:t>
      </w:r>
      <w:proofErr w:type="spellStart"/>
      <w:r w:rsidRPr="00C56257">
        <w:rPr>
          <w:color w:val="000000" w:themeColor="text1"/>
          <w:lang w:val="x-none"/>
        </w:rPr>
        <w:t>imagini</w:t>
      </w:r>
      <w:proofErr w:type="spellEnd"/>
      <w:r w:rsidRPr="00C56257">
        <w:rPr>
          <w:color w:val="000000" w:themeColor="text1"/>
          <w:lang w:val="x-none"/>
        </w:rPr>
        <w:t xml:space="preserve"> </w:t>
      </w:r>
      <w:proofErr w:type="spellStart"/>
      <w:r w:rsidRPr="00C56257">
        <w:rPr>
          <w:color w:val="000000" w:themeColor="text1"/>
          <w:lang w:val="x-none"/>
        </w:rPr>
        <w:t>aeriene</w:t>
      </w:r>
      <w:proofErr w:type="spellEnd"/>
      <w:r w:rsidRPr="00C56257">
        <w:rPr>
          <w:color w:val="000000" w:themeColor="text1"/>
          <w:lang w:val="x-none"/>
        </w:rPr>
        <w:t xml:space="preserve"> </w:t>
      </w:r>
      <w:proofErr w:type="spellStart"/>
      <w:r w:rsidRPr="00C56257">
        <w:rPr>
          <w:color w:val="000000" w:themeColor="text1"/>
          <w:lang w:val="x-none"/>
        </w:rPr>
        <w:t>pentru</w:t>
      </w:r>
      <w:proofErr w:type="spellEnd"/>
      <w:r w:rsidRPr="00C56257">
        <w:rPr>
          <w:color w:val="000000" w:themeColor="text1"/>
          <w:lang w:val="x-none"/>
        </w:rPr>
        <w:t xml:space="preserve"> zona </w:t>
      </w:r>
      <w:proofErr w:type="spellStart"/>
      <w:r w:rsidRPr="00C56257">
        <w:rPr>
          <w:color w:val="000000" w:themeColor="text1"/>
          <w:lang w:val="x-none"/>
        </w:rPr>
        <w:t>costieră</w:t>
      </w:r>
      <w:proofErr w:type="spellEnd"/>
    </w:p>
    <w:p w14:paraId="507570F6" w14:textId="77777777" w:rsidR="00FC026B" w:rsidRDefault="00FC026B" w:rsidP="009E63E5">
      <w:pPr>
        <w:numPr>
          <w:ilvl w:val="0"/>
          <w:numId w:val="25"/>
        </w:numPr>
        <w:autoSpaceDE w:val="0"/>
        <w:autoSpaceDN w:val="0"/>
        <w:adjustRightInd w:val="0"/>
        <w:ind w:left="0"/>
        <w:jc w:val="both"/>
        <w:rPr>
          <w:color w:val="000000" w:themeColor="text1"/>
          <w:lang w:val="x-none"/>
        </w:rPr>
      </w:pPr>
      <w:proofErr w:type="spellStart"/>
      <w:r w:rsidRPr="00C56257">
        <w:rPr>
          <w:color w:val="000000" w:themeColor="text1"/>
          <w:lang w:val="x-none"/>
        </w:rPr>
        <w:t>Imagini</w:t>
      </w:r>
      <w:proofErr w:type="spellEnd"/>
      <w:r w:rsidRPr="00C56257">
        <w:rPr>
          <w:color w:val="000000" w:themeColor="text1"/>
          <w:lang w:val="x-none"/>
        </w:rPr>
        <w:t xml:space="preserve"> </w:t>
      </w:r>
      <w:proofErr w:type="spellStart"/>
      <w:r w:rsidRPr="00C56257">
        <w:rPr>
          <w:color w:val="000000" w:themeColor="text1"/>
          <w:lang w:val="x-none"/>
        </w:rPr>
        <w:t>satelitare</w:t>
      </w:r>
      <w:proofErr w:type="spellEnd"/>
      <w:r w:rsidRPr="00C56257">
        <w:rPr>
          <w:color w:val="000000" w:themeColor="text1"/>
          <w:lang w:val="x-none"/>
        </w:rPr>
        <w:t xml:space="preserve">, date Copernicus Marine Services </w:t>
      </w:r>
    </w:p>
    <w:p w14:paraId="447B6050" w14:textId="77777777" w:rsidR="00AA6493" w:rsidRPr="00C56257" w:rsidRDefault="00AA6493" w:rsidP="00AA6493">
      <w:pPr>
        <w:autoSpaceDE w:val="0"/>
        <w:autoSpaceDN w:val="0"/>
        <w:adjustRightInd w:val="0"/>
        <w:jc w:val="both"/>
        <w:rPr>
          <w:color w:val="000000" w:themeColor="text1"/>
          <w:lang w:val="x-none"/>
        </w:rPr>
      </w:pPr>
    </w:p>
    <w:p w14:paraId="4C2AB9D3" w14:textId="77777777" w:rsidR="00FC026B" w:rsidRPr="00232068" w:rsidRDefault="00FC026B" w:rsidP="00FC026B">
      <w:pPr>
        <w:pStyle w:val="ListParagraph"/>
        <w:spacing w:before="120" w:after="120" w:line="276" w:lineRule="auto"/>
        <w:ind w:left="0"/>
        <w:jc w:val="both"/>
        <w:rPr>
          <w:rFonts w:ascii="Times New Roman" w:hAnsi="Times New Roman" w:cs="Times New Roman"/>
          <w:b/>
          <w:sz w:val="24"/>
          <w:szCs w:val="24"/>
          <w:lang w:val="ro-RO"/>
        </w:rPr>
      </w:pPr>
      <w:r w:rsidRPr="00232068">
        <w:rPr>
          <w:rFonts w:ascii="Times New Roman" w:hAnsi="Times New Roman" w:cs="Times New Roman"/>
          <w:b/>
          <w:sz w:val="24"/>
          <w:szCs w:val="24"/>
          <w:lang w:val="ro-RO"/>
        </w:rPr>
        <w:t>Fișa de teren</w:t>
      </w:r>
    </w:p>
    <w:p w14:paraId="1E27A88C" w14:textId="77777777" w:rsidR="00FC026B" w:rsidRDefault="00FC026B" w:rsidP="00FC026B">
      <w:pPr>
        <w:jc w:val="both"/>
        <w:rPr>
          <w:color w:val="000000" w:themeColor="text1"/>
        </w:rPr>
      </w:pPr>
      <w:r w:rsidRPr="00C56257">
        <w:rPr>
          <w:color w:val="000000" w:themeColor="text1"/>
        </w:rPr>
        <w:t>În funcție de tipologia habitatelor, acestea au fost grupate, rezultând Fișe de teren pentru Habitatele  1110, 1140, 1170, 1180, Habitatele 1130, 1150*, 1160, Habitatul 1210.</w:t>
      </w:r>
    </w:p>
    <w:p w14:paraId="7279D4FA" w14:textId="77777777" w:rsidR="00AA6493" w:rsidRDefault="00AA6493" w:rsidP="00FC026B">
      <w:pPr>
        <w:jc w:val="both"/>
        <w:rPr>
          <w:color w:val="000000" w:themeColor="text1"/>
        </w:rPr>
      </w:pPr>
    </w:p>
    <w:p w14:paraId="46EC7E05" w14:textId="77777777" w:rsidR="00AA6493" w:rsidRPr="00F100E1" w:rsidRDefault="00AA6493" w:rsidP="00AA6493">
      <w:pPr>
        <w:autoSpaceDE w:val="0"/>
        <w:autoSpaceDN w:val="0"/>
        <w:adjustRightInd w:val="0"/>
        <w:jc w:val="center"/>
      </w:pPr>
      <w:r w:rsidRPr="00C56257">
        <w:t xml:space="preserve"> Habitate costiere şi marine</w:t>
      </w:r>
    </w:p>
    <w:tbl>
      <w:tblPr>
        <w:tblW w:w="9766"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521"/>
        <w:gridCol w:w="2410"/>
        <w:gridCol w:w="2835"/>
      </w:tblGrid>
      <w:tr w:rsidR="00AA6493" w:rsidRPr="00C56257" w14:paraId="2D17DF4D" w14:textId="77777777" w:rsidTr="00DE490A">
        <w:trPr>
          <w:trHeight w:val="1780"/>
          <w:tblHeader/>
        </w:trPr>
        <w:tc>
          <w:tcPr>
            <w:tcW w:w="4521" w:type="dxa"/>
            <w:tcBorders>
              <w:top w:val="double" w:sz="4" w:space="0" w:color="auto"/>
              <w:left w:val="double" w:sz="4" w:space="0" w:color="auto"/>
              <w:bottom w:val="single" w:sz="4" w:space="0" w:color="auto"/>
              <w:right w:val="single" w:sz="4" w:space="0" w:color="auto"/>
            </w:tcBorders>
            <w:shd w:val="clear" w:color="auto" w:fill="92CDDC"/>
            <w:vAlign w:val="center"/>
            <w:hideMark/>
          </w:tcPr>
          <w:p w14:paraId="79AB61C0" w14:textId="77777777" w:rsidR="00AA6493" w:rsidRPr="00F100E1" w:rsidRDefault="00AA6493" w:rsidP="00DE490A">
            <w:pPr>
              <w:jc w:val="center"/>
              <w:rPr>
                <w:b/>
                <w:lang w:val="gsw-FR"/>
              </w:rPr>
            </w:pPr>
            <w:r w:rsidRPr="00F100E1">
              <w:rPr>
                <w:b/>
                <w:lang w:val="gsw-FR"/>
              </w:rPr>
              <w:t>Denumirea şi codul Natura 2000</w:t>
            </w:r>
          </w:p>
        </w:tc>
        <w:tc>
          <w:tcPr>
            <w:tcW w:w="2410" w:type="dxa"/>
            <w:tcBorders>
              <w:top w:val="double" w:sz="4" w:space="0" w:color="auto"/>
              <w:left w:val="single" w:sz="4" w:space="0" w:color="auto"/>
              <w:bottom w:val="single" w:sz="4" w:space="0" w:color="auto"/>
              <w:right w:val="single" w:sz="4" w:space="0" w:color="auto"/>
            </w:tcBorders>
            <w:shd w:val="clear" w:color="auto" w:fill="92CDDC"/>
            <w:vAlign w:val="center"/>
            <w:hideMark/>
          </w:tcPr>
          <w:p w14:paraId="3ED1FE15" w14:textId="77777777" w:rsidR="00AA6493" w:rsidRPr="00F100E1" w:rsidRDefault="00AA6493" w:rsidP="00DE490A">
            <w:pPr>
              <w:jc w:val="center"/>
              <w:rPr>
                <w:b/>
                <w:lang w:val="gsw-FR"/>
              </w:rPr>
            </w:pPr>
            <w:r w:rsidRPr="00F100E1">
              <w:rPr>
                <w:b/>
                <w:lang w:val="gsw-FR"/>
              </w:rPr>
              <w:t>Anexa Directivei Habitate/ OUG 57/2007</w:t>
            </w:r>
          </w:p>
        </w:tc>
        <w:tc>
          <w:tcPr>
            <w:tcW w:w="2835" w:type="dxa"/>
            <w:tcBorders>
              <w:top w:val="double" w:sz="4" w:space="0" w:color="auto"/>
              <w:left w:val="single" w:sz="4" w:space="0" w:color="auto"/>
              <w:bottom w:val="single" w:sz="4" w:space="0" w:color="auto"/>
              <w:right w:val="double" w:sz="4" w:space="0" w:color="auto"/>
            </w:tcBorders>
            <w:shd w:val="clear" w:color="auto" w:fill="92CDDC"/>
            <w:vAlign w:val="center"/>
            <w:hideMark/>
          </w:tcPr>
          <w:p w14:paraId="190D44DF" w14:textId="77777777" w:rsidR="00AA6493" w:rsidRPr="00F100E1" w:rsidRDefault="00AA6493" w:rsidP="00DE490A">
            <w:pPr>
              <w:jc w:val="center"/>
              <w:rPr>
                <w:b/>
                <w:lang w:val="gsw-FR"/>
              </w:rPr>
            </w:pPr>
            <w:r w:rsidRPr="00F100E1">
              <w:rPr>
                <w:b/>
                <w:lang w:val="gsw-FR"/>
              </w:rPr>
              <w:t>Prezenţa în regiunea biogeografică cf. OM nr. 2387/2011 (care modific</w:t>
            </w:r>
            <w:r w:rsidRPr="00F100E1">
              <w:rPr>
                <w:b/>
              </w:rPr>
              <w:t>ă OM 1964/2007)</w:t>
            </w:r>
          </w:p>
        </w:tc>
      </w:tr>
      <w:tr w:rsidR="00AA6493" w:rsidRPr="00C56257" w14:paraId="45452F99" w14:textId="77777777" w:rsidTr="00DE490A">
        <w:tc>
          <w:tcPr>
            <w:tcW w:w="4521" w:type="dxa"/>
            <w:tcBorders>
              <w:top w:val="single" w:sz="4" w:space="0" w:color="auto"/>
              <w:left w:val="double" w:sz="4" w:space="0" w:color="auto"/>
              <w:bottom w:val="single" w:sz="4" w:space="0" w:color="auto"/>
              <w:right w:val="single" w:sz="4" w:space="0" w:color="auto"/>
            </w:tcBorders>
            <w:hideMark/>
          </w:tcPr>
          <w:p w14:paraId="07DE60F9" w14:textId="77777777" w:rsidR="00AA6493" w:rsidRPr="00F100E1" w:rsidRDefault="00AA6493" w:rsidP="00DE490A">
            <w:pPr>
              <w:rPr>
                <w:lang w:eastAsia="sk-SK"/>
              </w:rPr>
            </w:pPr>
            <w:r w:rsidRPr="00F100E1">
              <w:rPr>
                <w:lang w:val="gsw-FR" w:eastAsia="sk-SK"/>
              </w:rPr>
              <w:t>1110 - Bancuri de nisip submerse de mic</w:t>
            </w:r>
            <w:r w:rsidRPr="00F100E1">
              <w:rPr>
                <w:lang w:eastAsia="sk-SK"/>
              </w:rPr>
              <w:t>ă adâncime</w:t>
            </w:r>
          </w:p>
        </w:tc>
        <w:tc>
          <w:tcPr>
            <w:tcW w:w="2410" w:type="dxa"/>
            <w:tcBorders>
              <w:top w:val="single" w:sz="4" w:space="0" w:color="auto"/>
              <w:left w:val="single" w:sz="4" w:space="0" w:color="auto"/>
              <w:bottom w:val="single" w:sz="4" w:space="0" w:color="auto"/>
              <w:right w:val="single" w:sz="4" w:space="0" w:color="auto"/>
            </w:tcBorders>
            <w:hideMark/>
          </w:tcPr>
          <w:p w14:paraId="793AD552" w14:textId="77777777" w:rsidR="00AA6493" w:rsidRPr="00F100E1" w:rsidRDefault="00AA6493" w:rsidP="00DE490A">
            <w:r w:rsidRPr="00F100E1">
              <w:t>Anexa I/</w:t>
            </w:r>
          </w:p>
          <w:p w14:paraId="611692B7" w14:textId="77777777" w:rsidR="00AA6493" w:rsidRPr="00F100E1" w:rsidRDefault="00AA6493" w:rsidP="00DE490A">
            <w:r w:rsidRPr="00F100E1">
              <w:t>Anexa 4</w:t>
            </w:r>
          </w:p>
        </w:tc>
        <w:tc>
          <w:tcPr>
            <w:tcW w:w="2835" w:type="dxa"/>
            <w:tcBorders>
              <w:top w:val="single" w:sz="4" w:space="0" w:color="auto"/>
              <w:left w:val="single" w:sz="4" w:space="0" w:color="auto"/>
              <w:bottom w:val="single" w:sz="4" w:space="0" w:color="auto"/>
              <w:right w:val="double" w:sz="4" w:space="0" w:color="auto"/>
            </w:tcBorders>
            <w:hideMark/>
          </w:tcPr>
          <w:p w14:paraId="3A074DEC" w14:textId="77777777" w:rsidR="00AA6493" w:rsidRPr="00F100E1" w:rsidRDefault="00AA6493" w:rsidP="00DE490A">
            <w:pPr>
              <w:rPr>
                <w:lang w:val="gsw-FR" w:eastAsia="sk-SK"/>
              </w:rPr>
            </w:pPr>
            <w:r w:rsidRPr="00F100E1">
              <w:rPr>
                <w:lang w:eastAsia="sk-SK"/>
              </w:rPr>
              <w:t>Marea Neagră</w:t>
            </w:r>
          </w:p>
        </w:tc>
      </w:tr>
      <w:tr w:rsidR="00AA6493" w:rsidRPr="00C56257" w14:paraId="77CE7B4F" w14:textId="77777777" w:rsidTr="00DE490A">
        <w:tc>
          <w:tcPr>
            <w:tcW w:w="4521" w:type="dxa"/>
            <w:tcBorders>
              <w:top w:val="single" w:sz="4" w:space="0" w:color="auto"/>
              <w:left w:val="double" w:sz="4" w:space="0" w:color="auto"/>
              <w:bottom w:val="single" w:sz="4" w:space="0" w:color="auto"/>
              <w:right w:val="single" w:sz="4" w:space="0" w:color="auto"/>
            </w:tcBorders>
            <w:hideMark/>
          </w:tcPr>
          <w:p w14:paraId="0A3FEAC2" w14:textId="77777777" w:rsidR="00AA6493" w:rsidRPr="00F100E1" w:rsidRDefault="00AA6493" w:rsidP="00DE490A">
            <w:pPr>
              <w:tabs>
                <w:tab w:val="left" w:pos="1485"/>
              </w:tabs>
              <w:rPr>
                <w:lang w:val="gsw-FR" w:eastAsia="sk-SK"/>
              </w:rPr>
            </w:pPr>
            <w:r w:rsidRPr="00F100E1">
              <w:rPr>
                <w:lang w:val="gsw-FR" w:eastAsia="sk-SK"/>
              </w:rPr>
              <w:t>1130 - Estuare</w:t>
            </w:r>
            <w:r w:rsidRPr="00F100E1">
              <w:rPr>
                <w:lang w:val="gsw-FR" w:eastAsia="sk-SK"/>
              </w:rPr>
              <w:tab/>
            </w:r>
          </w:p>
        </w:tc>
        <w:tc>
          <w:tcPr>
            <w:tcW w:w="2410" w:type="dxa"/>
            <w:tcBorders>
              <w:top w:val="single" w:sz="4" w:space="0" w:color="auto"/>
              <w:left w:val="single" w:sz="4" w:space="0" w:color="auto"/>
              <w:bottom w:val="single" w:sz="4" w:space="0" w:color="auto"/>
              <w:right w:val="single" w:sz="4" w:space="0" w:color="auto"/>
            </w:tcBorders>
            <w:hideMark/>
          </w:tcPr>
          <w:p w14:paraId="511DD6B6" w14:textId="77777777" w:rsidR="00AA6493" w:rsidRPr="00F100E1" w:rsidRDefault="00AA6493" w:rsidP="00DE490A">
            <w:r w:rsidRPr="00F100E1">
              <w:t>Anexa I/</w:t>
            </w:r>
          </w:p>
          <w:p w14:paraId="00C2F3D7" w14:textId="77777777" w:rsidR="00AA6493" w:rsidRPr="00F100E1" w:rsidRDefault="00AA6493" w:rsidP="00DE490A">
            <w:r w:rsidRPr="00F100E1">
              <w:t>Anexa 4</w:t>
            </w:r>
          </w:p>
        </w:tc>
        <w:tc>
          <w:tcPr>
            <w:tcW w:w="2835" w:type="dxa"/>
            <w:tcBorders>
              <w:top w:val="single" w:sz="4" w:space="0" w:color="auto"/>
              <w:left w:val="single" w:sz="4" w:space="0" w:color="auto"/>
              <w:bottom w:val="single" w:sz="4" w:space="0" w:color="auto"/>
              <w:right w:val="double" w:sz="4" w:space="0" w:color="auto"/>
            </w:tcBorders>
            <w:hideMark/>
          </w:tcPr>
          <w:p w14:paraId="52112BE9" w14:textId="77777777" w:rsidR="00AA6493" w:rsidRPr="00F100E1" w:rsidRDefault="00AA6493" w:rsidP="00DE490A">
            <w:pPr>
              <w:rPr>
                <w:lang w:eastAsia="sk-SK"/>
              </w:rPr>
            </w:pPr>
            <w:r w:rsidRPr="00F100E1">
              <w:rPr>
                <w:lang w:eastAsia="sk-SK"/>
              </w:rPr>
              <w:t>Marea Neagră</w:t>
            </w:r>
          </w:p>
        </w:tc>
      </w:tr>
      <w:tr w:rsidR="00AA6493" w:rsidRPr="00C56257" w14:paraId="5B3942B5" w14:textId="77777777" w:rsidTr="00DE490A">
        <w:tc>
          <w:tcPr>
            <w:tcW w:w="4521" w:type="dxa"/>
            <w:tcBorders>
              <w:top w:val="single" w:sz="4" w:space="0" w:color="auto"/>
              <w:left w:val="double" w:sz="4" w:space="0" w:color="auto"/>
              <w:bottom w:val="single" w:sz="4" w:space="0" w:color="auto"/>
              <w:right w:val="single" w:sz="4" w:space="0" w:color="auto"/>
            </w:tcBorders>
            <w:hideMark/>
          </w:tcPr>
          <w:p w14:paraId="475D800F" w14:textId="77777777" w:rsidR="00AA6493" w:rsidRPr="00F100E1" w:rsidRDefault="00AA6493" w:rsidP="00DE490A">
            <w:pPr>
              <w:rPr>
                <w:lang w:val="gsw-FR" w:eastAsia="sk-SK"/>
              </w:rPr>
            </w:pPr>
            <w:r w:rsidRPr="00F100E1">
              <w:rPr>
                <w:lang w:val="gsw-FR" w:eastAsia="sk-SK"/>
              </w:rPr>
              <w:t>1140 - Suprafeţe de nisip şi mâl descoperite la maree joasă</w:t>
            </w:r>
          </w:p>
        </w:tc>
        <w:tc>
          <w:tcPr>
            <w:tcW w:w="2410" w:type="dxa"/>
            <w:tcBorders>
              <w:top w:val="single" w:sz="4" w:space="0" w:color="auto"/>
              <w:left w:val="single" w:sz="4" w:space="0" w:color="auto"/>
              <w:bottom w:val="single" w:sz="4" w:space="0" w:color="auto"/>
              <w:right w:val="single" w:sz="4" w:space="0" w:color="auto"/>
            </w:tcBorders>
            <w:hideMark/>
          </w:tcPr>
          <w:p w14:paraId="69068AC0" w14:textId="77777777" w:rsidR="00AA6493" w:rsidRPr="00F100E1" w:rsidRDefault="00AA6493" w:rsidP="00DE490A">
            <w:r w:rsidRPr="00F100E1">
              <w:t>Anexa I/</w:t>
            </w:r>
          </w:p>
          <w:p w14:paraId="3B05D6A5" w14:textId="77777777" w:rsidR="00AA6493" w:rsidRPr="00F100E1" w:rsidRDefault="00AA6493" w:rsidP="00DE490A">
            <w:r w:rsidRPr="00F100E1">
              <w:t>Anexa 4</w:t>
            </w:r>
          </w:p>
        </w:tc>
        <w:tc>
          <w:tcPr>
            <w:tcW w:w="2835" w:type="dxa"/>
            <w:tcBorders>
              <w:top w:val="single" w:sz="4" w:space="0" w:color="auto"/>
              <w:left w:val="single" w:sz="4" w:space="0" w:color="auto"/>
              <w:bottom w:val="single" w:sz="4" w:space="0" w:color="auto"/>
              <w:right w:val="double" w:sz="4" w:space="0" w:color="auto"/>
            </w:tcBorders>
            <w:hideMark/>
          </w:tcPr>
          <w:p w14:paraId="6A084B2F" w14:textId="77777777" w:rsidR="00AA6493" w:rsidRPr="00F100E1" w:rsidRDefault="00AA6493" w:rsidP="00DE490A">
            <w:pPr>
              <w:rPr>
                <w:lang w:val="gsw-FR" w:eastAsia="sk-SK"/>
              </w:rPr>
            </w:pPr>
            <w:r w:rsidRPr="00F100E1">
              <w:rPr>
                <w:lang w:eastAsia="sk-SK"/>
              </w:rPr>
              <w:t>Pontic, Marea Neagră</w:t>
            </w:r>
          </w:p>
        </w:tc>
      </w:tr>
      <w:tr w:rsidR="00AA6493" w:rsidRPr="00C56257" w14:paraId="56DB772F" w14:textId="77777777" w:rsidTr="00DE490A">
        <w:tc>
          <w:tcPr>
            <w:tcW w:w="4521" w:type="dxa"/>
            <w:tcBorders>
              <w:top w:val="single" w:sz="4" w:space="0" w:color="auto"/>
              <w:left w:val="double" w:sz="4" w:space="0" w:color="auto"/>
              <w:bottom w:val="single" w:sz="4" w:space="0" w:color="auto"/>
              <w:right w:val="single" w:sz="4" w:space="0" w:color="auto"/>
            </w:tcBorders>
            <w:hideMark/>
          </w:tcPr>
          <w:p w14:paraId="3EC10487" w14:textId="77777777" w:rsidR="00AA6493" w:rsidRPr="00F100E1" w:rsidRDefault="00AA6493" w:rsidP="00DE490A">
            <w:pPr>
              <w:rPr>
                <w:lang w:val="gsw-FR" w:eastAsia="sk-SK"/>
              </w:rPr>
            </w:pPr>
            <w:r w:rsidRPr="00F100E1">
              <w:rPr>
                <w:lang w:val="gsw-FR" w:eastAsia="sk-SK"/>
              </w:rPr>
              <w:t>1150* - Lagune costiere</w:t>
            </w:r>
          </w:p>
        </w:tc>
        <w:tc>
          <w:tcPr>
            <w:tcW w:w="2410" w:type="dxa"/>
            <w:tcBorders>
              <w:top w:val="single" w:sz="4" w:space="0" w:color="auto"/>
              <w:left w:val="single" w:sz="4" w:space="0" w:color="auto"/>
              <w:bottom w:val="single" w:sz="4" w:space="0" w:color="auto"/>
              <w:right w:val="single" w:sz="4" w:space="0" w:color="auto"/>
            </w:tcBorders>
            <w:hideMark/>
          </w:tcPr>
          <w:p w14:paraId="0DD782AB" w14:textId="77777777" w:rsidR="00AA6493" w:rsidRPr="00F100E1" w:rsidRDefault="00AA6493" w:rsidP="00DE490A">
            <w:r w:rsidRPr="00F100E1">
              <w:t>Anexa I/</w:t>
            </w:r>
          </w:p>
          <w:p w14:paraId="1FBC8282" w14:textId="77777777" w:rsidR="00AA6493" w:rsidRPr="00F100E1" w:rsidRDefault="00AA6493" w:rsidP="00DE490A">
            <w:r w:rsidRPr="00F100E1">
              <w:t>Anexa 4</w:t>
            </w:r>
          </w:p>
        </w:tc>
        <w:tc>
          <w:tcPr>
            <w:tcW w:w="2835" w:type="dxa"/>
            <w:tcBorders>
              <w:top w:val="single" w:sz="4" w:space="0" w:color="auto"/>
              <w:left w:val="single" w:sz="4" w:space="0" w:color="auto"/>
              <w:bottom w:val="single" w:sz="4" w:space="0" w:color="auto"/>
              <w:right w:val="double" w:sz="4" w:space="0" w:color="auto"/>
            </w:tcBorders>
            <w:hideMark/>
          </w:tcPr>
          <w:p w14:paraId="1DE78B66" w14:textId="77777777" w:rsidR="00AA6493" w:rsidRPr="00F100E1" w:rsidRDefault="00AA6493" w:rsidP="00DE490A">
            <w:pPr>
              <w:rPr>
                <w:lang w:val="gsw-FR" w:eastAsia="sk-SK"/>
              </w:rPr>
            </w:pPr>
            <w:r w:rsidRPr="00F100E1">
              <w:rPr>
                <w:lang w:eastAsia="sk-SK"/>
              </w:rPr>
              <w:t>Pontic</w:t>
            </w:r>
          </w:p>
        </w:tc>
      </w:tr>
      <w:tr w:rsidR="00AA6493" w:rsidRPr="00C56257" w14:paraId="0C8A096A" w14:textId="77777777" w:rsidTr="00DE490A">
        <w:tc>
          <w:tcPr>
            <w:tcW w:w="4521" w:type="dxa"/>
            <w:tcBorders>
              <w:top w:val="single" w:sz="4" w:space="0" w:color="auto"/>
              <w:left w:val="double" w:sz="4" w:space="0" w:color="auto"/>
              <w:bottom w:val="single" w:sz="4" w:space="0" w:color="auto"/>
              <w:right w:val="single" w:sz="4" w:space="0" w:color="auto"/>
            </w:tcBorders>
            <w:hideMark/>
          </w:tcPr>
          <w:p w14:paraId="3C782994" w14:textId="77777777" w:rsidR="00AA6493" w:rsidRPr="00F100E1" w:rsidRDefault="00AA6493" w:rsidP="00DE490A">
            <w:pPr>
              <w:rPr>
                <w:lang w:val="gsw-FR" w:eastAsia="sk-SK"/>
              </w:rPr>
            </w:pPr>
            <w:r w:rsidRPr="00F100E1">
              <w:rPr>
                <w:lang w:val="gsw-FR" w:eastAsia="sk-SK"/>
              </w:rPr>
              <w:t>1160 - Braţe de mare şi golfuri mai puţin adânci</w:t>
            </w:r>
          </w:p>
        </w:tc>
        <w:tc>
          <w:tcPr>
            <w:tcW w:w="2410" w:type="dxa"/>
            <w:tcBorders>
              <w:top w:val="single" w:sz="4" w:space="0" w:color="auto"/>
              <w:left w:val="single" w:sz="4" w:space="0" w:color="auto"/>
              <w:bottom w:val="single" w:sz="4" w:space="0" w:color="auto"/>
              <w:right w:val="single" w:sz="4" w:space="0" w:color="auto"/>
            </w:tcBorders>
            <w:hideMark/>
          </w:tcPr>
          <w:p w14:paraId="68DFF4FF" w14:textId="77777777" w:rsidR="00AA6493" w:rsidRPr="00F100E1" w:rsidRDefault="00AA6493" w:rsidP="00DE490A">
            <w:r w:rsidRPr="00F100E1">
              <w:t>Anexa I/</w:t>
            </w:r>
          </w:p>
          <w:p w14:paraId="72C6B97E" w14:textId="77777777" w:rsidR="00AA6493" w:rsidRPr="00F100E1" w:rsidRDefault="00AA6493" w:rsidP="00DE490A">
            <w:r w:rsidRPr="00F100E1">
              <w:t>Anexa 4</w:t>
            </w:r>
          </w:p>
        </w:tc>
        <w:tc>
          <w:tcPr>
            <w:tcW w:w="2835" w:type="dxa"/>
            <w:tcBorders>
              <w:top w:val="single" w:sz="4" w:space="0" w:color="auto"/>
              <w:left w:val="single" w:sz="4" w:space="0" w:color="auto"/>
              <w:bottom w:val="single" w:sz="4" w:space="0" w:color="auto"/>
              <w:right w:val="double" w:sz="4" w:space="0" w:color="auto"/>
            </w:tcBorders>
            <w:hideMark/>
          </w:tcPr>
          <w:p w14:paraId="4CC71554" w14:textId="77777777" w:rsidR="00AA6493" w:rsidRPr="00F100E1" w:rsidRDefault="00AA6493" w:rsidP="00DE490A">
            <w:pPr>
              <w:rPr>
                <w:lang w:val="gsw-FR" w:eastAsia="sk-SK"/>
              </w:rPr>
            </w:pPr>
            <w:r w:rsidRPr="00F100E1">
              <w:rPr>
                <w:lang w:eastAsia="sk-SK"/>
              </w:rPr>
              <w:t>Marea Neagră, Pontic</w:t>
            </w:r>
          </w:p>
        </w:tc>
      </w:tr>
      <w:tr w:rsidR="00AA6493" w:rsidRPr="00C56257" w14:paraId="4A6F262B" w14:textId="77777777" w:rsidTr="00DE490A">
        <w:tc>
          <w:tcPr>
            <w:tcW w:w="4521" w:type="dxa"/>
            <w:tcBorders>
              <w:top w:val="single" w:sz="4" w:space="0" w:color="auto"/>
              <w:left w:val="double" w:sz="4" w:space="0" w:color="auto"/>
              <w:bottom w:val="single" w:sz="4" w:space="0" w:color="auto"/>
              <w:right w:val="single" w:sz="4" w:space="0" w:color="auto"/>
            </w:tcBorders>
            <w:hideMark/>
          </w:tcPr>
          <w:p w14:paraId="2697EF71" w14:textId="77777777" w:rsidR="00AA6493" w:rsidRPr="00F100E1" w:rsidRDefault="00AA6493" w:rsidP="00DE490A">
            <w:pPr>
              <w:rPr>
                <w:lang w:val="gsw-FR" w:eastAsia="sk-SK"/>
              </w:rPr>
            </w:pPr>
            <w:r w:rsidRPr="00F100E1">
              <w:rPr>
                <w:lang w:val="gsw-FR" w:eastAsia="sk-SK"/>
              </w:rPr>
              <w:t>1170 - Recifi</w:t>
            </w:r>
          </w:p>
        </w:tc>
        <w:tc>
          <w:tcPr>
            <w:tcW w:w="2410" w:type="dxa"/>
            <w:tcBorders>
              <w:top w:val="single" w:sz="4" w:space="0" w:color="auto"/>
              <w:left w:val="single" w:sz="4" w:space="0" w:color="auto"/>
              <w:bottom w:val="single" w:sz="4" w:space="0" w:color="auto"/>
              <w:right w:val="single" w:sz="4" w:space="0" w:color="auto"/>
            </w:tcBorders>
            <w:hideMark/>
          </w:tcPr>
          <w:p w14:paraId="2DC983EA" w14:textId="77777777" w:rsidR="00AA6493" w:rsidRPr="00F100E1" w:rsidRDefault="00AA6493" w:rsidP="00DE490A">
            <w:r w:rsidRPr="00F100E1">
              <w:t>Anexa I/</w:t>
            </w:r>
          </w:p>
          <w:p w14:paraId="26D674E3" w14:textId="77777777" w:rsidR="00AA6493" w:rsidRPr="00F100E1" w:rsidRDefault="00AA6493" w:rsidP="00DE490A">
            <w:r w:rsidRPr="00F100E1">
              <w:t>Anexa 5 la OM 1964/2007</w:t>
            </w:r>
          </w:p>
        </w:tc>
        <w:tc>
          <w:tcPr>
            <w:tcW w:w="2835" w:type="dxa"/>
            <w:tcBorders>
              <w:top w:val="single" w:sz="4" w:space="0" w:color="auto"/>
              <w:left w:val="single" w:sz="4" w:space="0" w:color="auto"/>
              <w:bottom w:val="single" w:sz="4" w:space="0" w:color="auto"/>
              <w:right w:val="double" w:sz="4" w:space="0" w:color="auto"/>
            </w:tcBorders>
            <w:hideMark/>
          </w:tcPr>
          <w:p w14:paraId="0C4EE9E1" w14:textId="77777777" w:rsidR="00AA6493" w:rsidRPr="00F100E1" w:rsidRDefault="00AA6493" w:rsidP="00DE490A">
            <w:pPr>
              <w:rPr>
                <w:lang w:val="gsw-FR" w:eastAsia="sk-SK"/>
              </w:rPr>
            </w:pPr>
            <w:r w:rsidRPr="00F100E1">
              <w:rPr>
                <w:lang w:eastAsia="sk-SK"/>
              </w:rPr>
              <w:t>Marea Neagră</w:t>
            </w:r>
          </w:p>
        </w:tc>
      </w:tr>
      <w:tr w:rsidR="00AA6493" w:rsidRPr="00C56257" w14:paraId="2F82EF83" w14:textId="77777777" w:rsidTr="00DE490A">
        <w:tc>
          <w:tcPr>
            <w:tcW w:w="4521" w:type="dxa"/>
            <w:tcBorders>
              <w:top w:val="single" w:sz="4" w:space="0" w:color="auto"/>
              <w:left w:val="double" w:sz="4" w:space="0" w:color="auto"/>
              <w:bottom w:val="single" w:sz="4" w:space="0" w:color="auto"/>
              <w:right w:val="single" w:sz="4" w:space="0" w:color="auto"/>
            </w:tcBorders>
            <w:hideMark/>
          </w:tcPr>
          <w:p w14:paraId="251819C3" w14:textId="77777777" w:rsidR="00AA6493" w:rsidRPr="00F100E1" w:rsidRDefault="00AA6493" w:rsidP="00DE490A">
            <w:pPr>
              <w:rPr>
                <w:lang w:val="gsw-FR" w:eastAsia="sk-SK"/>
              </w:rPr>
            </w:pPr>
            <w:r w:rsidRPr="00F100E1">
              <w:rPr>
                <w:lang w:val="gsw-FR" w:eastAsia="sk-SK"/>
              </w:rPr>
              <w:lastRenderedPageBreak/>
              <w:t>1180 - Structuri submarine create de emisii de gaze</w:t>
            </w:r>
          </w:p>
        </w:tc>
        <w:tc>
          <w:tcPr>
            <w:tcW w:w="2410" w:type="dxa"/>
            <w:tcBorders>
              <w:top w:val="single" w:sz="4" w:space="0" w:color="auto"/>
              <w:left w:val="single" w:sz="4" w:space="0" w:color="auto"/>
              <w:bottom w:val="single" w:sz="4" w:space="0" w:color="auto"/>
              <w:right w:val="single" w:sz="4" w:space="0" w:color="auto"/>
            </w:tcBorders>
            <w:hideMark/>
          </w:tcPr>
          <w:p w14:paraId="28A11506" w14:textId="77777777" w:rsidR="00AA6493" w:rsidRPr="00F100E1" w:rsidRDefault="00AA6493" w:rsidP="00DE490A">
            <w:r w:rsidRPr="00F100E1">
              <w:t>Anexa I/</w:t>
            </w:r>
          </w:p>
          <w:p w14:paraId="46B05016" w14:textId="77777777" w:rsidR="00AA6493" w:rsidRPr="00F100E1" w:rsidRDefault="00AA6493" w:rsidP="00DE490A">
            <w:r w:rsidRPr="00F100E1">
              <w:t>Anexa 5 la OM 1964/2007</w:t>
            </w:r>
          </w:p>
        </w:tc>
        <w:tc>
          <w:tcPr>
            <w:tcW w:w="2835" w:type="dxa"/>
            <w:tcBorders>
              <w:top w:val="single" w:sz="4" w:space="0" w:color="auto"/>
              <w:left w:val="single" w:sz="4" w:space="0" w:color="auto"/>
              <w:bottom w:val="single" w:sz="4" w:space="0" w:color="auto"/>
              <w:right w:val="double" w:sz="4" w:space="0" w:color="auto"/>
            </w:tcBorders>
            <w:hideMark/>
          </w:tcPr>
          <w:p w14:paraId="74FD2BB7" w14:textId="77777777" w:rsidR="00AA6493" w:rsidRPr="00F100E1" w:rsidRDefault="00AA6493" w:rsidP="00DE490A">
            <w:pPr>
              <w:rPr>
                <w:lang w:val="gsw-FR" w:eastAsia="sk-SK"/>
              </w:rPr>
            </w:pPr>
            <w:r w:rsidRPr="00F100E1">
              <w:rPr>
                <w:lang w:eastAsia="sk-SK"/>
              </w:rPr>
              <w:t>Marea Neagră</w:t>
            </w:r>
          </w:p>
        </w:tc>
      </w:tr>
      <w:tr w:rsidR="00AA6493" w:rsidRPr="00C56257" w14:paraId="4AD9E8D4" w14:textId="77777777" w:rsidTr="00DE490A">
        <w:tc>
          <w:tcPr>
            <w:tcW w:w="4521" w:type="dxa"/>
            <w:tcBorders>
              <w:top w:val="single" w:sz="4" w:space="0" w:color="auto"/>
              <w:left w:val="double" w:sz="4" w:space="0" w:color="auto"/>
              <w:bottom w:val="double" w:sz="4" w:space="0" w:color="auto"/>
              <w:right w:val="single" w:sz="4" w:space="0" w:color="auto"/>
            </w:tcBorders>
          </w:tcPr>
          <w:p w14:paraId="4D2B3AF2" w14:textId="77777777" w:rsidR="00AA6493" w:rsidRPr="00F100E1" w:rsidRDefault="00AA6493" w:rsidP="00DE490A">
            <w:pPr>
              <w:rPr>
                <w:lang w:val="gsw-FR" w:eastAsia="sk-SK"/>
              </w:rPr>
            </w:pPr>
            <w:r w:rsidRPr="00F100E1">
              <w:rPr>
                <w:lang w:val="gsw-FR" w:eastAsia="sk-SK"/>
              </w:rPr>
              <w:t>1210 - Vegetaţie anuală de-a lungul liniei ţărmului</w:t>
            </w:r>
          </w:p>
          <w:p w14:paraId="0E814543" w14:textId="77777777" w:rsidR="00AA6493" w:rsidRPr="00F100E1" w:rsidRDefault="00AA6493" w:rsidP="00DE490A">
            <w:pPr>
              <w:rPr>
                <w:lang w:val="gsw-FR" w:eastAsia="sk-SK"/>
              </w:rPr>
            </w:pPr>
          </w:p>
        </w:tc>
        <w:tc>
          <w:tcPr>
            <w:tcW w:w="2410" w:type="dxa"/>
            <w:tcBorders>
              <w:top w:val="single" w:sz="4" w:space="0" w:color="auto"/>
              <w:left w:val="single" w:sz="4" w:space="0" w:color="auto"/>
              <w:bottom w:val="double" w:sz="4" w:space="0" w:color="auto"/>
              <w:right w:val="single" w:sz="4" w:space="0" w:color="auto"/>
            </w:tcBorders>
          </w:tcPr>
          <w:p w14:paraId="104ACBAC" w14:textId="77777777" w:rsidR="00AA6493" w:rsidRPr="00F100E1" w:rsidRDefault="00AA6493" w:rsidP="00DE490A">
            <w:pPr>
              <w:jc w:val="both"/>
              <w:rPr>
                <w:lang w:val="gsw-FR" w:eastAsia="sk-SK"/>
              </w:rPr>
            </w:pPr>
            <w:r w:rsidRPr="00F100E1">
              <w:rPr>
                <w:lang w:val="gsw-FR" w:eastAsia="sk-SK"/>
              </w:rPr>
              <w:t>Anexa I/</w:t>
            </w:r>
          </w:p>
          <w:p w14:paraId="20743F08" w14:textId="77777777" w:rsidR="00AA6493" w:rsidRPr="00F100E1" w:rsidRDefault="00AA6493" w:rsidP="00DE490A">
            <w:pPr>
              <w:jc w:val="both"/>
              <w:rPr>
                <w:lang w:val="gsw-FR" w:eastAsia="sk-SK"/>
              </w:rPr>
            </w:pPr>
            <w:r w:rsidRPr="00F100E1">
              <w:rPr>
                <w:lang w:val="gsw-FR" w:eastAsia="sk-SK"/>
              </w:rPr>
              <w:t>Anexa 4</w:t>
            </w:r>
          </w:p>
          <w:p w14:paraId="26A2DC91" w14:textId="77777777" w:rsidR="00AA6493" w:rsidRPr="00F100E1" w:rsidRDefault="00AA6493" w:rsidP="00DE490A">
            <w:pPr>
              <w:jc w:val="both"/>
              <w:rPr>
                <w:lang w:val="gsw-FR" w:eastAsia="sk-SK"/>
              </w:rPr>
            </w:pPr>
          </w:p>
        </w:tc>
        <w:tc>
          <w:tcPr>
            <w:tcW w:w="2835" w:type="dxa"/>
            <w:tcBorders>
              <w:top w:val="single" w:sz="4" w:space="0" w:color="auto"/>
              <w:left w:val="single" w:sz="4" w:space="0" w:color="auto"/>
              <w:bottom w:val="double" w:sz="4" w:space="0" w:color="auto"/>
              <w:right w:val="double" w:sz="4" w:space="0" w:color="auto"/>
            </w:tcBorders>
            <w:hideMark/>
          </w:tcPr>
          <w:p w14:paraId="50F4652A" w14:textId="77777777" w:rsidR="00AA6493" w:rsidRPr="00F100E1" w:rsidRDefault="00AA6493" w:rsidP="00DE490A">
            <w:pPr>
              <w:rPr>
                <w:lang w:val="gsw-FR" w:eastAsia="sk-SK"/>
              </w:rPr>
            </w:pPr>
            <w:r w:rsidRPr="00F100E1">
              <w:rPr>
                <w:lang w:eastAsia="sk-SK"/>
              </w:rPr>
              <w:t>Pontic</w:t>
            </w:r>
          </w:p>
        </w:tc>
      </w:tr>
    </w:tbl>
    <w:p w14:paraId="24C5EE6D" w14:textId="77777777" w:rsidR="00FC026B" w:rsidRPr="00C56257" w:rsidRDefault="00FC026B" w:rsidP="00FC026B">
      <w:pPr>
        <w:ind w:firstLine="720"/>
        <w:jc w:val="both"/>
        <w:rPr>
          <w:color w:val="000000" w:themeColor="text1"/>
        </w:rPr>
      </w:pPr>
    </w:p>
    <w:p w14:paraId="5858842B" w14:textId="77777777" w:rsidR="00FC026B" w:rsidRPr="00C56257" w:rsidRDefault="00FC026B" w:rsidP="00FC026B">
      <w:pPr>
        <w:jc w:val="both"/>
        <w:rPr>
          <w:b/>
          <w:bCs/>
          <w:color w:val="000000" w:themeColor="text1"/>
        </w:rPr>
      </w:pPr>
      <w:r w:rsidRPr="00C56257">
        <w:rPr>
          <w:b/>
          <w:bCs/>
          <w:color w:val="000000" w:themeColor="text1"/>
        </w:rPr>
        <w:t>Fișă habitate marine (1110, 1140, 1170, 1180)</w:t>
      </w:r>
    </w:p>
    <w:tbl>
      <w:tblPr>
        <w:tblW w:w="5161" w:type="pct"/>
        <w:tblInd w:w="-460" w:type="dxa"/>
        <w:tblLayout w:type="fixed"/>
        <w:tblLook w:val="04A0" w:firstRow="1" w:lastRow="0" w:firstColumn="1" w:lastColumn="0" w:noHBand="0" w:noVBand="1"/>
      </w:tblPr>
      <w:tblGrid>
        <w:gridCol w:w="1936"/>
        <w:gridCol w:w="4052"/>
        <w:gridCol w:w="2425"/>
        <w:gridCol w:w="1961"/>
      </w:tblGrid>
      <w:tr w:rsidR="00FC026B" w:rsidRPr="00C56257" w14:paraId="524DE74E" w14:textId="77777777" w:rsidTr="00993B86">
        <w:trPr>
          <w:trHeight w:val="216"/>
        </w:trPr>
        <w:tc>
          <w:tcPr>
            <w:tcW w:w="933" w:type="pct"/>
            <w:vMerge w:val="restart"/>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56D344C7" w14:textId="77777777" w:rsidR="00FC026B" w:rsidRPr="00C56257" w:rsidRDefault="00FC026B" w:rsidP="00993B86">
            <w:pPr>
              <w:jc w:val="both"/>
              <w:rPr>
                <w:b/>
                <w:bCs/>
                <w:color w:val="000000" w:themeColor="text1"/>
              </w:rPr>
            </w:pPr>
            <w:r w:rsidRPr="00C56257">
              <w:rPr>
                <w:b/>
                <w:bCs/>
                <w:color w:val="000000" w:themeColor="text1"/>
              </w:rPr>
              <w:t>Descriere staţie</w:t>
            </w:r>
          </w:p>
        </w:tc>
        <w:tc>
          <w:tcPr>
            <w:tcW w:w="1953" w:type="pct"/>
            <w:tcBorders>
              <w:top w:val="single" w:sz="4" w:space="0" w:color="auto"/>
              <w:left w:val="nil"/>
              <w:bottom w:val="single" w:sz="4" w:space="0" w:color="auto"/>
              <w:right w:val="single" w:sz="4" w:space="0" w:color="auto"/>
            </w:tcBorders>
            <w:shd w:val="clear" w:color="auto" w:fill="auto"/>
            <w:vAlign w:val="bottom"/>
            <w:hideMark/>
          </w:tcPr>
          <w:p w14:paraId="02027A5C" w14:textId="77777777" w:rsidR="00FC026B" w:rsidRPr="00C56257" w:rsidRDefault="00FC026B" w:rsidP="00993B86">
            <w:pPr>
              <w:jc w:val="both"/>
              <w:rPr>
                <w:color w:val="000000" w:themeColor="text1"/>
              </w:rPr>
            </w:pPr>
            <w:r w:rsidRPr="00C56257">
              <w:rPr>
                <w:color w:val="000000" w:themeColor="text1"/>
              </w:rPr>
              <w:t>Cod_staţie</w:t>
            </w:r>
          </w:p>
        </w:tc>
        <w:tc>
          <w:tcPr>
            <w:tcW w:w="2114" w:type="pct"/>
            <w:gridSpan w:val="2"/>
            <w:tcBorders>
              <w:top w:val="single" w:sz="4" w:space="0" w:color="auto"/>
              <w:left w:val="nil"/>
              <w:bottom w:val="single" w:sz="4" w:space="0" w:color="auto"/>
              <w:right w:val="single" w:sz="4" w:space="0" w:color="auto"/>
            </w:tcBorders>
            <w:shd w:val="clear" w:color="auto" w:fill="auto"/>
            <w:noWrap/>
            <w:vAlign w:val="bottom"/>
            <w:hideMark/>
          </w:tcPr>
          <w:p w14:paraId="341CDCC3"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10B6EFE1" w14:textId="77777777" w:rsidTr="00993B86">
        <w:trPr>
          <w:trHeight w:val="216"/>
        </w:trPr>
        <w:tc>
          <w:tcPr>
            <w:tcW w:w="933" w:type="pct"/>
            <w:vMerge/>
            <w:tcBorders>
              <w:top w:val="single" w:sz="8" w:space="0" w:color="auto"/>
              <w:left w:val="single" w:sz="8" w:space="0" w:color="auto"/>
              <w:bottom w:val="single" w:sz="8" w:space="0" w:color="auto"/>
              <w:right w:val="single" w:sz="8" w:space="0" w:color="auto"/>
            </w:tcBorders>
            <w:vAlign w:val="center"/>
            <w:hideMark/>
          </w:tcPr>
          <w:p w14:paraId="11AF6A3D"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auto" w:fill="auto"/>
            <w:vAlign w:val="bottom"/>
            <w:hideMark/>
          </w:tcPr>
          <w:p w14:paraId="118B63E7" w14:textId="77777777" w:rsidR="00FC026B" w:rsidRPr="00C56257" w:rsidRDefault="00FC026B" w:rsidP="00993B86">
            <w:pPr>
              <w:jc w:val="both"/>
              <w:rPr>
                <w:color w:val="000000" w:themeColor="text1"/>
              </w:rPr>
            </w:pPr>
            <w:r w:rsidRPr="00C56257">
              <w:rPr>
                <w:color w:val="000000" w:themeColor="text1"/>
              </w:rPr>
              <w:t>Bioregiune</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2B84622C"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6F0D0E52" w14:textId="77777777" w:rsidTr="00993B86">
        <w:trPr>
          <w:trHeight w:val="216"/>
        </w:trPr>
        <w:tc>
          <w:tcPr>
            <w:tcW w:w="933" w:type="pct"/>
            <w:vMerge/>
            <w:tcBorders>
              <w:top w:val="single" w:sz="8" w:space="0" w:color="auto"/>
              <w:left w:val="single" w:sz="8" w:space="0" w:color="auto"/>
              <w:bottom w:val="single" w:sz="8" w:space="0" w:color="auto"/>
              <w:right w:val="single" w:sz="8" w:space="0" w:color="auto"/>
            </w:tcBorders>
            <w:vAlign w:val="center"/>
            <w:hideMark/>
          </w:tcPr>
          <w:p w14:paraId="551D3F90"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auto" w:fill="auto"/>
            <w:vAlign w:val="bottom"/>
            <w:hideMark/>
          </w:tcPr>
          <w:p w14:paraId="5E1C5353" w14:textId="77777777" w:rsidR="00FC026B" w:rsidRPr="00C56257" w:rsidRDefault="00FC026B" w:rsidP="00993B86">
            <w:pPr>
              <w:jc w:val="both"/>
              <w:rPr>
                <w:color w:val="000000" w:themeColor="text1"/>
              </w:rPr>
            </w:pPr>
            <w:r w:rsidRPr="00C56257">
              <w:rPr>
                <w:color w:val="000000" w:themeColor="text1"/>
              </w:rPr>
              <w:t>Localizare</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7FB57316"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020273FC" w14:textId="77777777" w:rsidTr="00993B86">
        <w:trPr>
          <w:trHeight w:val="216"/>
        </w:trPr>
        <w:tc>
          <w:tcPr>
            <w:tcW w:w="933" w:type="pct"/>
            <w:vMerge/>
            <w:tcBorders>
              <w:top w:val="single" w:sz="8" w:space="0" w:color="auto"/>
              <w:left w:val="single" w:sz="8" w:space="0" w:color="auto"/>
              <w:bottom w:val="single" w:sz="8" w:space="0" w:color="auto"/>
              <w:right w:val="single" w:sz="8" w:space="0" w:color="auto"/>
            </w:tcBorders>
            <w:vAlign w:val="center"/>
            <w:hideMark/>
          </w:tcPr>
          <w:p w14:paraId="62EB5F64"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auto" w:fill="auto"/>
            <w:vAlign w:val="bottom"/>
            <w:hideMark/>
          </w:tcPr>
          <w:p w14:paraId="7AB7660D" w14:textId="77777777" w:rsidR="00FC026B" w:rsidRPr="00C56257" w:rsidRDefault="00FC026B" w:rsidP="00993B86">
            <w:pPr>
              <w:jc w:val="both"/>
              <w:rPr>
                <w:color w:val="000000" w:themeColor="text1"/>
              </w:rPr>
            </w:pPr>
            <w:r w:rsidRPr="00C56257">
              <w:rPr>
                <w:color w:val="000000" w:themeColor="text1"/>
              </w:rPr>
              <w:t>Sit Natura 2000</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68D3020C"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7A29EF0B" w14:textId="77777777" w:rsidTr="00993B86">
        <w:trPr>
          <w:trHeight w:val="216"/>
        </w:trPr>
        <w:tc>
          <w:tcPr>
            <w:tcW w:w="933" w:type="pct"/>
            <w:vMerge/>
            <w:tcBorders>
              <w:top w:val="single" w:sz="8" w:space="0" w:color="auto"/>
              <w:left w:val="single" w:sz="8" w:space="0" w:color="auto"/>
              <w:bottom w:val="single" w:sz="8" w:space="0" w:color="auto"/>
              <w:right w:val="single" w:sz="8" w:space="0" w:color="auto"/>
            </w:tcBorders>
            <w:vAlign w:val="center"/>
            <w:hideMark/>
          </w:tcPr>
          <w:p w14:paraId="3328340F"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auto" w:fill="auto"/>
            <w:vAlign w:val="bottom"/>
            <w:hideMark/>
          </w:tcPr>
          <w:p w14:paraId="2861EF0E" w14:textId="77777777" w:rsidR="00FC026B" w:rsidRPr="00C56257" w:rsidRDefault="00FC026B" w:rsidP="00993B86">
            <w:pPr>
              <w:jc w:val="both"/>
              <w:rPr>
                <w:color w:val="000000" w:themeColor="text1"/>
              </w:rPr>
            </w:pPr>
            <w:r w:rsidRPr="00C56257">
              <w:rPr>
                <w:color w:val="000000" w:themeColor="text1"/>
              </w:rPr>
              <w:t>Latitudine</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501CC121"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3224ED4B" w14:textId="77777777" w:rsidTr="00993B86">
        <w:trPr>
          <w:trHeight w:val="216"/>
        </w:trPr>
        <w:tc>
          <w:tcPr>
            <w:tcW w:w="933" w:type="pct"/>
            <w:vMerge/>
            <w:tcBorders>
              <w:top w:val="single" w:sz="8" w:space="0" w:color="auto"/>
              <w:left w:val="single" w:sz="8" w:space="0" w:color="auto"/>
              <w:bottom w:val="single" w:sz="8" w:space="0" w:color="auto"/>
              <w:right w:val="single" w:sz="8" w:space="0" w:color="auto"/>
            </w:tcBorders>
            <w:vAlign w:val="center"/>
            <w:hideMark/>
          </w:tcPr>
          <w:p w14:paraId="35C473F4"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auto" w:fill="auto"/>
            <w:vAlign w:val="bottom"/>
            <w:hideMark/>
          </w:tcPr>
          <w:p w14:paraId="4CA13454" w14:textId="77777777" w:rsidR="00FC026B" w:rsidRPr="00C56257" w:rsidRDefault="00FC026B" w:rsidP="00993B86">
            <w:pPr>
              <w:jc w:val="both"/>
              <w:rPr>
                <w:color w:val="000000" w:themeColor="text1"/>
              </w:rPr>
            </w:pPr>
            <w:r w:rsidRPr="00C56257">
              <w:rPr>
                <w:color w:val="000000" w:themeColor="text1"/>
              </w:rPr>
              <w:t>Longitudine</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5F614871"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1DC05321" w14:textId="77777777" w:rsidTr="00993B86">
        <w:trPr>
          <w:trHeight w:val="216"/>
        </w:trPr>
        <w:tc>
          <w:tcPr>
            <w:tcW w:w="933" w:type="pct"/>
            <w:vMerge/>
            <w:tcBorders>
              <w:top w:val="single" w:sz="8" w:space="0" w:color="auto"/>
              <w:left w:val="single" w:sz="8" w:space="0" w:color="auto"/>
              <w:bottom w:val="single" w:sz="8" w:space="0" w:color="auto"/>
              <w:right w:val="single" w:sz="8" w:space="0" w:color="auto"/>
            </w:tcBorders>
            <w:vAlign w:val="center"/>
            <w:hideMark/>
          </w:tcPr>
          <w:p w14:paraId="4DB032B5"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auto" w:fill="auto"/>
            <w:vAlign w:val="bottom"/>
            <w:hideMark/>
          </w:tcPr>
          <w:p w14:paraId="7B962922" w14:textId="77777777" w:rsidR="00FC026B" w:rsidRPr="00C56257" w:rsidRDefault="00FC026B" w:rsidP="00993B86">
            <w:pPr>
              <w:jc w:val="both"/>
              <w:rPr>
                <w:color w:val="000000" w:themeColor="text1"/>
              </w:rPr>
            </w:pPr>
            <w:r w:rsidRPr="00C56257">
              <w:rPr>
                <w:color w:val="000000" w:themeColor="text1"/>
              </w:rPr>
              <w:t>Adâncime</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4AB50652"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6C626D63" w14:textId="77777777" w:rsidTr="00993B86">
        <w:trPr>
          <w:trHeight w:val="216"/>
        </w:trPr>
        <w:tc>
          <w:tcPr>
            <w:tcW w:w="933" w:type="pct"/>
            <w:vMerge/>
            <w:tcBorders>
              <w:top w:val="single" w:sz="8" w:space="0" w:color="auto"/>
              <w:left w:val="single" w:sz="8" w:space="0" w:color="auto"/>
              <w:bottom w:val="single" w:sz="8" w:space="0" w:color="auto"/>
              <w:right w:val="single" w:sz="8" w:space="0" w:color="auto"/>
            </w:tcBorders>
            <w:vAlign w:val="center"/>
            <w:hideMark/>
          </w:tcPr>
          <w:p w14:paraId="7641DC92"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auto" w:fill="auto"/>
            <w:vAlign w:val="bottom"/>
            <w:hideMark/>
          </w:tcPr>
          <w:p w14:paraId="57B7C719" w14:textId="77777777" w:rsidR="00FC026B" w:rsidRPr="00C56257" w:rsidRDefault="00FC026B" w:rsidP="00993B86">
            <w:pPr>
              <w:jc w:val="both"/>
              <w:rPr>
                <w:color w:val="000000" w:themeColor="text1"/>
              </w:rPr>
            </w:pPr>
            <w:r w:rsidRPr="00C56257">
              <w:rPr>
                <w:color w:val="000000" w:themeColor="text1"/>
              </w:rPr>
              <w:t>Dată</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405DDFE0"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66C5936E" w14:textId="77777777" w:rsidTr="00993B86">
        <w:trPr>
          <w:trHeight w:val="205"/>
        </w:trPr>
        <w:tc>
          <w:tcPr>
            <w:tcW w:w="933" w:type="pct"/>
            <w:vMerge/>
            <w:tcBorders>
              <w:top w:val="single" w:sz="8" w:space="0" w:color="auto"/>
              <w:left w:val="single" w:sz="8" w:space="0" w:color="auto"/>
              <w:bottom w:val="single" w:sz="8" w:space="0" w:color="auto"/>
              <w:right w:val="single" w:sz="8" w:space="0" w:color="auto"/>
            </w:tcBorders>
            <w:vAlign w:val="center"/>
            <w:hideMark/>
          </w:tcPr>
          <w:p w14:paraId="170B6714"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auto" w:fill="auto"/>
            <w:vAlign w:val="bottom"/>
            <w:hideMark/>
          </w:tcPr>
          <w:p w14:paraId="2B7E2456" w14:textId="77777777" w:rsidR="00FC026B" w:rsidRPr="00C56257" w:rsidRDefault="00FC026B" w:rsidP="00993B86">
            <w:pPr>
              <w:jc w:val="both"/>
              <w:rPr>
                <w:color w:val="000000" w:themeColor="text1"/>
              </w:rPr>
            </w:pPr>
            <w:r w:rsidRPr="00C56257">
              <w:rPr>
                <w:color w:val="000000" w:themeColor="text1"/>
              </w:rPr>
              <w:t>Oră începere/încetare  lucru</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2144C851"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0E265D65" w14:textId="77777777" w:rsidTr="00993B86">
        <w:trPr>
          <w:trHeight w:val="223"/>
        </w:trPr>
        <w:tc>
          <w:tcPr>
            <w:tcW w:w="933" w:type="pct"/>
            <w:vMerge/>
            <w:tcBorders>
              <w:top w:val="single" w:sz="8" w:space="0" w:color="auto"/>
              <w:left w:val="single" w:sz="8" w:space="0" w:color="auto"/>
              <w:bottom w:val="single" w:sz="8" w:space="0" w:color="auto"/>
              <w:right w:val="single" w:sz="4" w:space="0" w:color="auto"/>
            </w:tcBorders>
            <w:vAlign w:val="center"/>
            <w:hideMark/>
          </w:tcPr>
          <w:p w14:paraId="44B5D228" w14:textId="77777777" w:rsidR="00FC026B" w:rsidRPr="00C56257" w:rsidRDefault="00FC026B" w:rsidP="00993B86">
            <w:pPr>
              <w:jc w:val="both"/>
              <w:rPr>
                <w:b/>
                <w:bCs/>
                <w:color w:val="000000" w:themeColor="text1"/>
              </w:rPr>
            </w:pPr>
          </w:p>
        </w:tc>
        <w:tc>
          <w:tcPr>
            <w:tcW w:w="1953"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0E4C114A" w14:textId="77777777" w:rsidR="00FC026B" w:rsidRPr="00C56257" w:rsidRDefault="00FC026B" w:rsidP="00993B86">
            <w:pPr>
              <w:jc w:val="both"/>
              <w:rPr>
                <w:color w:val="000000" w:themeColor="text1"/>
              </w:rPr>
            </w:pPr>
            <w:r w:rsidRPr="00C56257">
              <w:rPr>
                <w:color w:val="000000" w:themeColor="text1"/>
              </w:rPr>
              <w:t>Starea vremii/ mării</w:t>
            </w:r>
          </w:p>
        </w:tc>
        <w:tc>
          <w:tcPr>
            <w:tcW w:w="2114" w:type="pct"/>
            <w:gridSpan w:val="2"/>
            <w:tcBorders>
              <w:top w:val="single" w:sz="4" w:space="0" w:color="auto"/>
              <w:left w:val="nil"/>
              <w:bottom w:val="single" w:sz="4" w:space="0" w:color="auto"/>
              <w:right w:val="single" w:sz="4" w:space="0" w:color="auto"/>
            </w:tcBorders>
            <w:shd w:val="clear" w:color="000000" w:fill="FFFFFF"/>
            <w:noWrap/>
            <w:vAlign w:val="bottom"/>
            <w:hideMark/>
          </w:tcPr>
          <w:p w14:paraId="174005AC" w14:textId="77777777" w:rsidR="00FC026B" w:rsidRPr="00C56257" w:rsidRDefault="00FC026B" w:rsidP="00993B86">
            <w:pPr>
              <w:jc w:val="both"/>
              <w:rPr>
                <w:color w:val="000000" w:themeColor="text1"/>
              </w:rPr>
            </w:pPr>
          </w:p>
        </w:tc>
      </w:tr>
      <w:tr w:rsidR="00FC026B" w:rsidRPr="00C56257" w14:paraId="5E12502D" w14:textId="77777777" w:rsidTr="00993B86">
        <w:trPr>
          <w:trHeight w:val="216"/>
        </w:trPr>
        <w:tc>
          <w:tcPr>
            <w:tcW w:w="933" w:type="pct"/>
            <w:vMerge/>
            <w:tcBorders>
              <w:top w:val="single" w:sz="8" w:space="0" w:color="auto"/>
              <w:left w:val="single" w:sz="8" w:space="0" w:color="auto"/>
              <w:bottom w:val="single" w:sz="8" w:space="0" w:color="auto"/>
              <w:right w:val="single" w:sz="4" w:space="0" w:color="auto"/>
            </w:tcBorders>
            <w:vAlign w:val="center"/>
            <w:hideMark/>
          </w:tcPr>
          <w:p w14:paraId="70D9B139" w14:textId="77777777" w:rsidR="00FC026B" w:rsidRPr="00C56257" w:rsidRDefault="00FC026B" w:rsidP="00993B86">
            <w:pPr>
              <w:jc w:val="both"/>
              <w:rPr>
                <w:b/>
                <w:bCs/>
                <w:color w:val="000000" w:themeColor="text1"/>
              </w:rPr>
            </w:pPr>
          </w:p>
        </w:tc>
        <w:tc>
          <w:tcPr>
            <w:tcW w:w="1953"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A70C720" w14:textId="77777777" w:rsidR="00FC026B" w:rsidRPr="00C56257" w:rsidRDefault="00FC026B" w:rsidP="00993B86">
            <w:pPr>
              <w:jc w:val="both"/>
              <w:rPr>
                <w:color w:val="000000" w:themeColor="text1"/>
              </w:rPr>
            </w:pPr>
            <w:r w:rsidRPr="00C56257">
              <w:rPr>
                <w:color w:val="000000" w:themeColor="text1"/>
              </w:rPr>
              <w:t>Temperatură aer</w:t>
            </w:r>
          </w:p>
        </w:tc>
        <w:tc>
          <w:tcPr>
            <w:tcW w:w="2114" w:type="pct"/>
            <w:gridSpan w:val="2"/>
            <w:tcBorders>
              <w:top w:val="single" w:sz="4" w:space="0" w:color="auto"/>
              <w:left w:val="nil"/>
              <w:bottom w:val="single" w:sz="4" w:space="0" w:color="auto"/>
              <w:right w:val="single" w:sz="4" w:space="0" w:color="auto"/>
            </w:tcBorders>
            <w:shd w:val="clear" w:color="000000" w:fill="FFFFFF"/>
            <w:noWrap/>
            <w:vAlign w:val="bottom"/>
            <w:hideMark/>
          </w:tcPr>
          <w:p w14:paraId="0393F45D"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2E908E62" w14:textId="77777777" w:rsidTr="00993B86">
        <w:trPr>
          <w:trHeight w:val="216"/>
        </w:trPr>
        <w:tc>
          <w:tcPr>
            <w:tcW w:w="933" w:type="pct"/>
            <w:vMerge/>
            <w:tcBorders>
              <w:top w:val="single" w:sz="8" w:space="0" w:color="auto"/>
              <w:left w:val="single" w:sz="8" w:space="0" w:color="auto"/>
              <w:bottom w:val="single" w:sz="8" w:space="0" w:color="auto"/>
              <w:right w:val="single" w:sz="8" w:space="0" w:color="auto"/>
            </w:tcBorders>
            <w:vAlign w:val="center"/>
            <w:hideMark/>
          </w:tcPr>
          <w:p w14:paraId="7F9AB79E"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000000" w:fill="FFFFFF"/>
            <w:vAlign w:val="bottom"/>
            <w:hideMark/>
          </w:tcPr>
          <w:p w14:paraId="6D833077" w14:textId="77777777" w:rsidR="00FC026B" w:rsidRPr="00C56257" w:rsidRDefault="00FC026B" w:rsidP="00993B86">
            <w:pPr>
              <w:jc w:val="both"/>
              <w:rPr>
                <w:color w:val="000000" w:themeColor="text1"/>
              </w:rPr>
            </w:pPr>
            <w:r w:rsidRPr="00C56257">
              <w:rPr>
                <w:color w:val="000000" w:themeColor="text1"/>
              </w:rPr>
              <w:t>Acces staţie</w:t>
            </w:r>
          </w:p>
        </w:tc>
        <w:tc>
          <w:tcPr>
            <w:tcW w:w="2114" w:type="pct"/>
            <w:gridSpan w:val="2"/>
            <w:tcBorders>
              <w:top w:val="nil"/>
              <w:left w:val="nil"/>
              <w:bottom w:val="single" w:sz="4" w:space="0" w:color="auto"/>
              <w:right w:val="single" w:sz="4" w:space="0" w:color="auto"/>
            </w:tcBorders>
            <w:shd w:val="clear" w:color="000000" w:fill="FFFFFF"/>
            <w:noWrap/>
            <w:vAlign w:val="bottom"/>
            <w:hideMark/>
          </w:tcPr>
          <w:p w14:paraId="5CE74009"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40C7A6BE" w14:textId="77777777" w:rsidTr="00993B86">
        <w:trPr>
          <w:trHeight w:val="216"/>
        </w:trPr>
        <w:tc>
          <w:tcPr>
            <w:tcW w:w="933" w:type="pct"/>
            <w:vMerge/>
            <w:tcBorders>
              <w:top w:val="single" w:sz="8" w:space="0" w:color="auto"/>
              <w:left w:val="single" w:sz="8" w:space="0" w:color="auto"/>
              <w:bottom w:val="single" w:sz="8" w:space="0" w:color="auto"/>
              <w:right w:val="single" w:sz="8" w:space="0" w:color="auto"/>
            </w:tcBorders>
            <w:vAlign w:val="center"/>
            <w:hideMark/>
          </w:tcPr>
          <w:p w14:paraId="7AB31BC4"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auto" w:fill="auto"/>
            <w:vAlign w:val="bottom"/>
            <w:hideMark/>
          </w:tcPr>
          <w:p w14:paraId="443D2A0F" w14:textId="77777777" w:rsidR="00FC026B" w:rsidRPr="00C56257" w:rsidRDefault="00FC026B" w:rsidP="00993B86">
            <w:pPr>
              <w:jc w:val="both"/>
              <w:rPr>
                <w:color w:val="000000" w:themeColor="text1"/>
              </w:rPr>
            </w:pPr>
            <w:r w:rsidRPr="00C56257">
              <w:rPr>
                <w:color w:val="000000" w:themeColor="text1"/>
              </w:rPr>
              <w:t>Descrierea staţiei/Observaţii</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79836507"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6D3BCA59" w14:textId="77777777" w:rsidTr="00993B86">
        <w:trPr>
          <w:trHeight w:val="216"/>
        </w:trPr>
        <w:tc>
          <w:tcPr>
            <w:tcW w:w="933" w:type="pct"/>
            <w:vMerge w:val="restart"/>
            <w:tcBorders>
              <w:top w:val="single" w:sz="8" w:space="0" w:color="auto"/>
              <w:left w:val="single" w:sz="8" w:space="0" w:color="auto"/>
              <w:bottom w:val="single" w:sz="8" w:space="0" w:color="000000"/>
              <w:right w:val="single" w:sz="8" w:space="0" w:color="auto"/>
            </w:tcBorders>
            <w:shd w:val="clear" w:color="000000" w:fill="D9D9D9"/>
            <w:noWrap/>
            <w:vAlign w:val="center"/>
            <w:hideMark/>
          </w:tcPr>
          <w:p w14:paraId="4654A1C3" w14:textId="77777777" w:rsidR="00FC026B" w:rsidRPr="00C56257" w:rsidRDefault="00FC026B" w:rsidP="00993B86">
            <w:pPr>
              <w:jc w:val="both"/>
              <w:rPr>
                <w:b/>
                <w:bCs/>
                <w:color w:val="000000" w:themeColor="text1"/>
              </w:rPr>
            </w:pPr>
            <w:r w:rsidRPr="00C56257">
              <w:rPr>
                <w:b/>
                <w:bCs/>
                <w:color w:val="000000" w:themeColor="text1"/>
              </w:rPr>
              <w:t>Prelevare probe</w:t>
            </w:r>
          </w:p>
        </w:tc>
        <w:tc>
          <w:tcPr>
            <w:tcW w:w="1953" w:type="pct"/>
            <w:tcBorders>
              <w:top w:val="nil"/>
              <w:left w:val="nil"/>
              <w:bottom w:val="single" w:sz="4" w:space="0" w:color="auto"/>
              <w:right w:val="single" w:sz="4" w:space="0" w:color="auto"/>
            </w:tcBorders>
            <w:shd w:val="clear" w:color="auto" w:fill="auto"/>
            <w:vAlign w:val="bottom"/>
            <w:hideMark/>
          </w:tcPr>
          <w:p w14:paraId="37CE8E68" w14:textId="77777777" w:rsidR="00FC026B" w:rsidRPr="00C56257" w:rsidRDefault="00FC026B" w:rsidP="00993B86">
            <w:pPr>
              <w:jc w:val="both"/>
              <w:rPr>
                <w:color w:val="000000" w:themeColor="text1"/>
              </w:rPr>
            </w:pPr>
            <w:r w:rsidRPr="00C56257">
              <w:rPr>
                <w:color w:val="000000" w:themeColor="text1"/>
              </w:rPr>
              <w:t xml:space="preserve">Suprafaţă proba macrozoobentos </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0A39FA16"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030817A8" w14:textId="77777777" w:rsidTr="00993B86">
        <w:trPr>
          <w:trHeight w:val="216"/>
        </w:trPr>
        <w:tc>
          <w:tcPr>
            <w:tcW w:w="933" w:type="pct"/>
            <w:vMerge/>
            <w:tcBorders>
              <w:top w:val="single" w:sz="8" w:space="0" w:color="auto"/>
              <w:left w:val="single" w:sz="8" w:space="0" w:color="auto"/>
              <w:bottom w:val="single" w:sz="8" w:space="0" w:color="000000"/>
              <w:right w:val="single" w:sz="8" w:space="0" w:color="auto"/>
            </w:tcBorders>
            <w:vAlign w:val="center"/>
            <w:hideMark/>
          </w:tcPr>
          <w:p w14:paraId="29CEA68E"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000000" w:fill="FFFFFF"/>
            <w:vAlign w:val="bottom"/>
            <w:hideMark/>
          </w:tcPr>
          <w:p w14:paraId="77D8508D" w14:textId="77777777" w:rsidR="00FC026B" w:rsidRPr="00C56257" w:rsidRDefault="00FC026B" w:rsidP="00993B86">
            <w:pPr>
              <w:jc w:val="both"/>
              <w:rPr>
                <w:color w:val="000000" w:themeColor="text1"/>
              </w:rPr>
            </w:pPr>
            <w:r w:rsidRPr="00C56257">
              <w:rPr>
                <w:color w:val="000000" w:themeColor="text1"/>
              </w:rPr>
              <w:t>Dimensiuni Van Veen (1110, 1170, 1180)</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40972F8D"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756E6149" w14:textId="77777777" w:rsidTr="00993B86">
        <w:trPr>
          <w:trHeight w:val="216"/>
        </w:trPr>
        <w:tc>
          <w:tcPr>
            <w:tcW w:w="933" w:type="pct"/>
            <w:vMerge/>
            <w:tcBorders>
              <w:top w:val="single" w:sz="8" w:space="0" w:color="auto"/>
              <w:left w:val="single" w:sz="8" w:space="0" w:color="auto"/>
              <w:bottom w:val="single" w:sz="8" w:space="0" w:color="000000"/>
              <w:right w:val="single" w:sz="8" w:space="0" w:color="auto"/>
            </w:tcBorders>
            <w:vAlign w:val="center"/>
            <w:hideMark/>
          </w:tcPr>
          <w:p w14:paraId="68803CEE"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000000" w:fill="FFFFFF"/>
            <w:vAlign w:val="bottom"/>
            <w:hideMark/>
          </w:tcPr>
          <w:p w14:paraId="1AAE5972" w14:textId="77777777" w:rsidR="00FC026B" w:rsidRPr="00C56257" w:rsidRDefault="00FC026B" w:rsidP="00993B86">
            <w:pPr>
              <w:jc w:val="both"/>
              <w:rPr>
                <w:color w:val="000000" w:themeColor="text1"/>
              </w:rPr>
            </w:pPr>
            <w:r w:rsidRPr="00C56257">
              <w:rPr>
                <w:color w:val="000000" w:themeColor="text1"/>
              </w:rPr>
              <w:t xml:space="preserve">Nr probe sedimente </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2DAA32DF"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64E4A8C6" w14:textId="77777777" w:rsidTr="00993B86">
        <w:trPr>
          <w:trHeight w:val="216"/>
        </w:trPr>
        <w:tc>
          <w:tcPr>
            <w:tcW w:w="933" w:type="pct"/>
            <w:vMerge/>
            <w:tcBorders>
              <w:top w:val="single" w:sz="8" w:space="0" w:color="auto"/>
              <w:left w:val="single" w:sz="8" w:space="0" w:color="auto"/>
              <w:bottom w:val="single" w:sz="8" w:space="0" w:color="000000"/>
              <w:right w:val="single" w:sz="8" w:space="0" w:color="auto"/>
            </w:tcBorders>
            <w:vAlign w:val="center"/>
            <w:hideMark/>
          </w:tcPr>
          <w:p w14:paraId="26972A47"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000000" w:fill="FFFFFF"/>
            <w:vAlign w:val="bottom"/>
            <w:hideMark/>
          </w:tcPr>
          <w:p w14:paraId="103DA9E8" w14:textId="77777777" w:rsidR="00FC026B" w:rsidRPr="00C56257" w:rsidRDefault="00FC026B" w:rsidP="00993B86">
            <w:pPr>
              <w:jc w:val="both"/>
              <w:rPr>
                <w:color w:val="000000" w:themeColor="text1"/>
              </w:rPr>
            </w:pPr>
            <w:r w:rsidRPr="00C56257">
              <w:rPr>
                <w:color w:val="000000" w:themeColor="text1"/>
              </w:rPr>
              <w:t>Dimensiuni corer (1140)</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28ABE108"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2736B246" w14:textId="77777777" w:rsidTr="00993B86">
        <w:trPr>
          <w:trHeight w:val="216"/>
        </w:trPr>
        <w:tc>
          <w:tcPr>
            <w:tcW w:w="933" w:type="pct"/>
            <w:vMerge/>
            <w:tcBorders>
              <w:top w:val="single" w:sz="8" w:space="0" w:color="auto"/>
              <w:left w:val="single" w:sz="8" w:space="0" w:color="auto"/>
              <w:bottom w:val="single" w:sz="8" w:space="0" w:color="000000"/>
              <w:right w:val="single" w:sz="8" w:space="0" w:color="auto"/>
            </w:tcBorders>
            <w:vAlign w:val="center"/>
            <w:hideMark/>
          </w:tcPr>
          <w:p w14:paraId="332BAEF7"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000000" w:fill="FFFFFF"/>
            <w:vAlign w:val="bottom"/>
            <w:hideMark/>
          </w:tcPr>
          <w:p w14:paraId="2DE3F6F3" w14:textId="77777777" w:rsidR="00FC026B" w:rsidRPr="00C56257" w:rsidRDefault="00FC026B" w:rsidP="00993B86">
            <w:pPr>
              <w:jc w:val="both"/>
              <w:rPr>
                <w:color w:val="000000" w:themeColor="text1"/>
              </w:rPr>
            </w:pPr>
            <w:r w:rsidRPr="00C56257">
              <w:rPr>
                <w:color w:val="000000" w:themeColor="text1"/>
              </w:rPr>
              <w:t>Dimensiuni pătrat de probă (1170)</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1D858B1E"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50E5B65F" w14:textId="77777777" w:rsidTr="00993B86">
        <w:trPr>
          <w:trHeight w:val="216"/>
        </w:trPr>
        <w:tc>
          <w:tcPr>
            <w:tcW w:w="933" w:type="pct"/>
            <w:vMerge/>
            <w:tcBorders>
              <w:top w:val="single" w:sz="8" w:space="0" w:color="auto"/>
              <w:left w:val="single" w:sz="8" w:space="0" w:color="auto"/>
              <w:bottom w:val="single" w:sz="8" w:space="0" w:color="000000"/>
              <w:right w:val="single" w:sz="8" w:space="0" w:color="auto"/>
            </w:tcBorders>
            <w:vAlign w:val="center"/>
            <w:hideMark/>
          </w:tcPr>
          <w:p w14:paraId="7861FFFE"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000000" w:fill="FFFFFF"/>
            <w:vAlign w:val="bottom"/>
            <w:hideMark/>
          </w:tcPr>
          <w:p w14:paraId="62A6A7EF" w14:textId="77777777" w:rsidR="00FC026B" w:rsidRPr="00C56257" w:rsidRDefault="00FC026B" w:rsidP="00993B86">
            <w:pPr>
              <w:jc w:val="both"/>
              <w:rPr>
                <w:color w:val="000000" w:themeColor="text1"/>
              </w:rPr>
            </w:pPr>
            <w:r w:rsidRPr="00C56257">
              <w:rPr>
                <w:color w:val="000000" w:themeColor="text1"/>
              </w:rPr>
              <w:t>Butelie Nansen (orizont) (1180)</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2E8574FC"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743A5A47" w14:textId="77777777" w:rsidTr="00993B86">
        <w:trPr>
          <w:trHeight w:val="216"/>
        </w:trPr>
        <w:tc>
          <w:tcPr>
            <w:tcW w:w="933" w:type="pct"/>
            <w:vMerge/>
            <w:tcBorders>
              <w:top w:val="single" w:sz="8" w:space="0" w:color="auto"/>
              <w:left w:val="single" w:sz="8" w:space="0" w:color="auto"/>
              <w:bottom w:val="single" w:sz="8" w:space="0" w:color="000000"/>
              <w:right w:val="single" w:sz="8" w:space="0" w:color="auto"/>
            </w:tcBorders>
            <w:vAlign w:val="center"/>
            <w:hideMark/>
          </w:tcPr>
          <w:p w14:paraId="179237A6"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000000" w:fill="FFFFFF"/>
            <w:vAlign w:val="bottom"/>
            <w:hideMark/>
          </w:tcPr>
          <w:p w14:paraId="5F6DACAD" w14:textId="77777777" w:rsidR="00FC026B" w:rsidRPr="00C56257" w:rsidRDefault="00FC026B" w:rsidP="00993B86">
            <w:pPr>
              <w:jc w:val="both"/>
              <w:rPr>
                <w:color w:val="000000" w:themeColor="text1"/>
              </w:rPr>
            </w:pPr>
            <w:r w:rsidRPr="00C56257">
              <w:rPr>
                <w:color w:val="000000" w:themeColor="text1"/>
              </w:rPr>
              <w:t>Seringi (apă/sediment din Van Veen) (1180)</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0D864CBB"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5311413E" w14:textId="77777777" w:rsidTr="00993B86">
        <w:trPr>
          <w:trHeight w:val="216"/>
        </w:trPr>
        <w:tc>
          <w:tcPr>
            <w:tcW w:w="933" w:type="pct"/>
            <w:vMerge/>
            <w:tcBorders>
              <w:top w:val="single" w:sz="8" w:space="0" w:color="auto"/>
              <w:left w:val="single" w:sz="8" w:space="0" w:color="auto"/>
              <w:bottom w:val="single" w:sz="8" w:space="0" w:color="000000"/>
              <w:right w:val="single" w:sz="8" w:space="0" w:color="auto"/>
            </w:tcBorders>
            <w:vAlign w:val="center"/>
            <w:hideMark/>
          </w:tcPr>
          <w:p w14:paraId="7DA64668"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000000" w:fill="FFFFFF"/>
            <w:vAlign w:val="bottom"/>
            <w:hideMark/>
          </w:tcPr>
          <w:p w14:paraId="6EE80448" w14:textId="77777777" w:rsidR="00FC026B" w:rsidRPr="00C56257" w:rsidRDefault="00FC026B" w:rsidP="00993B86">
            <w:pPr>
              <w:jc w:val="both"/>
              <w:rPr>
                <w:color w:val="000000" w:themeColor="text1"/>
              </w:rPr>
            </w:pPr>
            <w:r w:rsidRPr="00C56257">
              <w:rPr>
                <w:color w:val="000000" w:themeColor="text1"/>
              </w:rPr>
              <w:t>Proba sediment granulometrie</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55F92BC6"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20FE46C0" w14:textId="77777777" w:rsidTr="00993B86">
        <w:trPr>
          <w:trHeight w:val="216"/>
        </w:trPr>
        <w:tc>
          <w:tcPr>
            <w:tcW w:w="933" w:type="pct"/>
            <w:vMerge w:val="restart"/>
            <w:tcBorders>
              <w:top w:val="nil"/>
              <w:left w:val="single" w:sz="8" w:space="0" w:color="auto"/>
              <w:bottom w:val="single" w:sz="8" w:space="0" w:color="auto"/>
              <w:right w:val="single" w:sz="8" w:space="0" w:color="auto"/>
            </w:tcBorders>
            <w:shd w:val="clear" w:color="000000" w:fill="D9D9D9"/>
            <w:noWrap/>
            <w:vAlign w:val="center"/>
            <w:hideMark/>
          </w:tcPr>
          <w:p w14:paraId="5800BA18" w14:textId="77777777" w:rsidR="00FC026B" w:rsidRPr="00C56257" w:rsidRDefault="00FC026B" w:rsidP="00993B86">
            <w:pPr>
              <w:ind w:right="-187"/>
              <w:jc w:val="both"/>
              <w:rPr>
                <w:b/>
                <w:bCs/>
                <w:color w:val="000000" w:themeColor="text1"/>
              </w:rPr>
            </w:pPr>
            <w:r w:rsidRPr="00C56257">
              <w:rPr>
                <w:b/>
                <w:bCs/>
                <w:color w:val="000000" w:themeColor="text1"/>
              </w:rPr>
              <w:t>Caracterizare fiziografică</w:t>
            </w:r>
          </w:p>
        </w:tc>
        <w:tc>
          <w:tcPr>
            <w:tcW w:w="1953" w:type="pct"/>
            <w:vMerge w:val="restart"/>
            <w:tcBorders>
              <w:top w:val="nil"/>
              <w:left w:val="nil"/>
              <w:bottom w:val="single" w:sz="4" w:space="0" w:color="000000"/>
              <w:right w:val="single" w:sz="4" w:space="0" w:color="auto"/>
            </w:tcBorders>
            <w:shd w:val="clear" w:color="auto" w:fill="auto"/>
            <w:vAlign w:val="center"/>
            <w:hideMark/>
          </w:tcPr>
          <w:p w14:paraId="2EF00B01" w14:textId="77777777" w:rsidR="00FC026B" w:rsidRPr="00C56257" w:rsidRDefault="00FC026B" w:rsidP="00993B86">
            <w:pPr>
              <w:jc w:val="both"/>
              <w:rPr>
                <w:color w:val="000000" w:themeColor="text1"/>
              </w:rPr>
            </w:pPr>
            <w:r w:rsidRPr="00C56257">
              <w:rPr>
                <w:color w:val="000000" w:themeColor="text1"/>
              </w:rPr>
              <w:t>Tip fiziografic</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49E2E880" w14:textId="77777777" w:rsidR="00FC026B" w:rsidRPr="00C56257" w:rsidRDefault="00FC026B" w:rsidP="00993B86">
            <w:pPr>
              <w:jc w:val="both"/>
              <w:rPr>
                <w:color w:val="000000" w:themeColor="text1"/>
              </w:rPr>
            </w:pPr>
            <w:r w:rsidRPr="00C56257">
              <w:rPr>
                <w:color w:val="000000" w:themeColor="text1"/>
              </w:rPr>
              <w:t>Țărm deschis</w:t>
            </w:r>
          </w:p>
        </w:tc>
      </w:tr>
      <w:tr w:rsidR="00FC026B" w:rsidRPr="00C56257" w14:paraId="703B377E"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55ECFBD4"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7F85EA2D"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4F75AB58" w14:textId="77777777" w:rsidR="00FC026B" w:rsidRPr="00C56257" w:rsidRDefault="00FC026B" w:rsidP="00993B86">
            <w:pPr>
              <w:jc w:val="both"/>
              <w:rPr>
                <w:color w:val="000000" w:themeColor="text1"/>
              </w:rPr>
            </w:pPr>
            <w:r w:rsidRPr="00C56257">
              <w:rPr>
                <w:color w:val="000000" w:themeColor="text1"/>
              </w:rPr>
              <w:t>Cap</w:t>
            </w:r>
          </w:p>
        </w:tc>
      </w:tr>
      <w:tr w:rsidR="00FC026B" w:rsidRPr="00C56257" w14:paraId="671DA0CC"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2ACCC586"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0CC27D20"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1C46E721" w14:textId="77777777" w:rsidR="00FC026B" w:rsidRPr="00C56257" w:rsidRDefault="00FC026B" w:rsidP="00993B86">
            <w:pPr>
              <w:jc w:val="both"/>
              <w:rPr>
                <w:color w:val="000000" w:themeColor="text1"/>
              </w:rPr>
            </w:pPr>
            <w:r w:rsidRPr="00C56257">
              <w:rPr>
                <w:color w:val="000000" w:themeColor="text1"/>
              </w:rPr>
              <w:t>Țărm liniar</w:t>
            </w:r>
          </w:p>
        </w:tc>
      </w:tr>
      <w:tr w:rsidR="00FC026B" w:rsidRPr="00C56257" w14:paraId="4BF16729"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76AE9AB5"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23720179"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67AF5233" w14:textId="77777777" w:rsidR="00FC026B" w:rsidRPr="00C56257" w:rsidRDefault="00FC026B" w:rsidP="00993B86">
            <w:pPr>
              <w:jc w:val="both"/>
              <w:rPr>
                <w:color w:val="000000" w:themeColor="text1"/>
              </w:rPr>
            </w:pPr>
            <w:r w:rsidRPr="00C56257">
              <w:rPr>
                <w:color w:val="000000" w:themeColor="text1"/>
              </w:rPr>
              <w:t>Stânci</w:t>
            </w:r>
          </w:p>
        </w:tc>
      </w:tr>
      <w:tr w:rsidR="00FC026B" w:rsidRPr="00C56257" w14:paraId="6367FA2C"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070F7AAC"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77E1C5BD"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2B6BD8C6" w14:textId="77777777" w:rsidR="00FC026B" w:rsidRPr="00C56257" w:rsidRDefault="00FC026B" w:rsidP="00993B86">
            <w:pPr>
              <w:jc w:val="both"/>
              <w:rPr>
                <w:color w:val="000000" w:themeColor="text1"/>
              </w:rPr>
            </w:pPr>
            <w:r w:rsidRPr="00C56257">
              <w:rPr>
                <w:color w:val="000000" w:themeColor="text1"/>
              </w:rPr>
              <w:t>Țărm semi-inchis</w:t>
            </w:r>
          </w:p>
        </w:tc>
      </w:tr>
      <w:tr w:rsidR="00FC026B" w:rsidRPr="00C56257" w14:paraId="744C5DD1"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26F54673"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2A9C62CD"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4C870EB7" w14:textId="77777777" w:rsidR="00FC026B" w:rsidRPr="00C56257" w:rsidRDefault="00FC026B" w:rsidP="00993B86">
            <w:pPr>
              <w:jc w:val="both"/>
              <w:rPr>
                <w:color w:val="000000" w:themeColor="text1"/>
              </w:rPr>
            </w:pPr>
            <w:r w:rsidRPr="00C56257">
              <w:rPr>
                <w:color w:val="000000" w:themeColor="text1"/>
              </w:rPr>
              <w:t>Golf</w:t>
            </w:r>
          </w:p>
        </w:tc>
      </w:tr>
      <w:tr w:rsidR="00FC026B" w:rsidRPr="00C56257" w14:paraId="102E52CF"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30B804E0"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1E9FD939"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755D1CFF" w14:textId="77777777" w:rsidR="00FC026B" w:rsidRPr="00C56257" w:rsidRDefault="00FC026B" w:rsidP="00993B86">
            <w:pPr>
              <w:jc w:val="both"/>
              <w:rPr>
                <w:color w:val="000000" w:themeColor="text1"/>
              </w:rPr>
            </w:pPr>
            <w:r w:rsidRPr="00C56257">
              <w:rPr>
                <w:color w:val="000000" w:themeColor="text1"/>
              </w:rPr>
              <w:t>Braţ de mare</w:t>
            </w:r>
          </w:p>
        </w:tc>
      </w:tr>
      <w:tr w:rsidR="00FC026B" w:rsidRPr="00C56257" w14:paraId="672FC876"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5C2B7F87"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0BC83DF4"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1BFD804D" w14:textId="77777777" w:rsidR="00FC026B" w:rsidRPr="00C56257" w:rsidRDefault="00FC026B" w:rsidP="00993B86">
            <w:pPr>
              <w:jc w:val="both"/>
              <w:rPr>
                <w:color w:val="000000" w:themeColor="text1"/>
              </w:rPr>
            </w:pPr>
            <w:r w:rsidRPr="00C56257">
              <w:rPr>
                <w:color w:val="000000" w:themeColor="text1"/>
              </w:rPr>
              <w:t>Estuar</w:t>
            </w:r>
          </w:p>
        </w:tc>
      </w:tr>
      <w:tr w:rsidR="00FC026B" w:rsidRPr="00C56257" w14:paraId="11C2E9D4"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2F2A4371" w14:textId="77777777" w:rsidR="00FC026B" w:rsidRPr="00C56257" w:rsidRDefault="00FC026B" w:rsidP="00993B86">
            <w:pPr>
              <w:jc w:val="both"/>
              <w:rPr>
                <w:b/>
                <w:bCs/>
                <w:color w:val="000000" w:themeColor="text1"/>
              </w:rPr>
            </w:pPr>
          </w:p>
        </w:tc>
        <w:tc>
          <w:tcPr>
            <w:tcW w:w="1953" w:type="pct"/>
            <w:vMerge w:val="restart"/>
            <w:tcBorders>
              <w:top w:val="nil"/>
              <w:left w:val="nil"/>
              <w:bottom w:val="single" w:sz="4" w:space="0" w:color="000000"/>
              <w:right w:val="single" w:sz="4" w:space="0" w:color="auto"/>
            </w:tcBorders>
            <w:shd w:val="clear" w:color="auto" w:fill="auto"/>
            <w:vAlign w:val="center"/>
            <w:hideMark/>
          </w:tcPr>
          <w:p w14:paraId="036A0119" w14:textId="77777777" w:rsidR="00FC026B" w:rsidRPr="00C56257" w:rsidRDefault="00FC026B" w:rsidP="00993B86">
            <w:pPr>
              <w:jc w:val="both"/>
              <w:rPr>
                <w:color w:val="000000" w:themeColor="text1"/>
              </w:rPr>
            </w:pPr>
            <w:r w:rsidRPr="00C56257">
              <w:rPr>
                <w:color w:val="000000" w:themeColor="text1"/>
              </w:rPr>
              <w:t xml:space="preserve">Expoziţie </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14B8D4A8" w14:textId="77777777" w:rsidR="00FC026B" w:rsidRPr="00C56257" w:rsidRDefault="00FC026B" w:rsidP="00993B86">
            <w:pPr>
              <w:jc w:val="both"/>
              <w:rPr>
                <w:color w:val="000000" w:themeColor="text1"/>
              </w:rPr>
            </w:pPr>
            <w:r w:rsidRPr="00C56257">
              <w:rPr>
                <w:color w:val="000000" w:themeColor="text1"/>
              </w:rPr>
              <w:t>Nordică</w:t>
            </w:r>
          </w:p>
        </w:tc>
      </w:tr>
      <w:tr w:rsidR="00FC026B" w:rsidRPr="00C56257" w14:paraId="623CE607"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7D9137B6"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47134F2E"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4AD18089" w14:textId="77777777" w:rsidR="00FC026B" w:rsidRPr="00C56257" w:rsidRDefault="00FC026B" w:rsidP="00993B86">
            <w:pPr>
              <w:jc w:val="both"/>
              <w:rPr>
                <w:color w:val="000000" w:themeColor="text1"/>
              </w:rPr>
            </w:pPr>
            <w:r w:rsidRPr="00C56257">
              <w:rPr>
                <w:color w:val="000000" w:themeColor="text1"/>
              </w:rPr>
              <w:t>Nord-estică</w:t>
            </w:r>
          </w:p>
        </w:tc>
      </w:tr>
      <w:tr w:rsidR="00FC026B" w:rsidRPr="00C56257" w14:paraId="7B5FE5D3"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555187B6"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33D043E9"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57C9FF9C" w14:textId="77777777" w:rsidR="00FC026B" w:rsidRPr="00C56257" w:rsidRDefault="00FC026B" w:rsidP="00993B86">
            <w:pPr>
              <w:jc w:val="both"/>
              <w:rPr>
                <w:color w:val="000000" w:themeColor="text1"/>
              </w:rPr>
            </w:pPr>
            <w:r w:rsidRPr="00C56257">
              <w:rPr>
                <w:color w:val="000000" w:themeColor="text1"/>
              </w:rPr>
              <w:t>Estică</w:t>
            </w:r>
          </w:p>
        </w:tc>
      </w:tr>
      <w:tr w:rsidR="00FC026B" w:rsidRPr="00C56257" w14:paraId="739BA77E"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2900CDE9"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1EE819AC"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492D8D89" w14:textId="77777777" w:rsidR="00FC026B" w:rsidRPr="00C56257" w:rsidRDefault="00FC026B" w:rsidP="00993B86">
            <w:pPr>
              <w:jc w:val="both"/>
              <w:rPr>
                <w:color w:val="000000" w:themeColor="text1"/>
              </w:rPr>
            </w:pPr>
            <w:r w:rsidRPr="00C56257">
              <w:rPr>
                <w:color w:val="000000" w:themeColor="text1"/>
              </w:rPr>
              <w:t>Sud-estică</w:t>
            </w:r>
          </w:p>
        </w:tc>
      </w:tr>
      <w:tr w:rsidR="00FC026B" w:rsidRPr="00C56257" w14:paraId="2FAFD375"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35758E1A"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79D942B3"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1EE0C344" w14:textId="77777777" w:rsidR="00FC026B" w:rsidRPr="00C56257" w:rsidRDefault="00FC026B" w:rsidP="00993B86">
            <w:pPr>
              <w:jc w:val="both"/>
              <w:rPr>
                <w:color w:val="000000" w:themeColor="text1"/>
              </w:rPr>
            </w:pPr>
            <w:r w:rsidRPr="00C56257">
              <w:rPr>
                <w:color w:val="000000" w:themeColor="text1"/>
              </w:rPr>
              <w:t>Sudică</w:t>
            </w:r>
          </w:p>
        </w:tc>
      </w:tr>
      <w:tr w:rsidR="00FC026B" w:rsidRPr="00C56257" w14:paraId="736C34CE"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074FFB7C" w14:textId="77777777" w:rsidR="00FC026B" w:rsidRPr="00C56257" w:rsidRDefault="00FC026B" w:rsidP="00993B86">
            <w:pPr>
              <w:jc w:val="both"/>
              <w:rPr>
                <w:b/>
                <w:bCs/>
                <w:color w:val="000000" w:themeColor="text1"/>
              </w:rPr>
            </w:pPr>
          </w:p>
        </w:tc>
        <w:tc>
          <w:tcPr>
            <w:tcW w:w="1953" w:type="pct"/>
            <w:vMerge w:val="restart"/>
            <w:tcBorders>
              <w:top w:val="nil"/>
              <w:left w:val="nil"/>
              <w:bottom w:val="single" w:sz="4" w:space="0" w:color="000000"/>
              <w:right w:val="single" w:sz="4" w:space="0" w:color="auto"/>
            </w:tcBorders>
            <w:shd w:val="clear" w:color="auto" w:fill="auto"/>
            <w:vAlign w:val="center"/>
            <w:hideMark/>
          </w:tcPr>
          <w:p w14:paraId="226F7E91" w14:textId="77777777" w:rsidR="00FC026B" w:rsidRPr="00C56257" w:rsidRDefault="00FC026B" w:rsidP="00993B86">
            <w:pPr>
              <w:jc w:val="both"/>
              <w:rPr>
                <w:color w:val="000000" w:themeColor="text1"/>
              </w:rPr>
            </w:pPr>
            <w:r w:rsidRPr="00C56257">
              <w:rPr>
                <w:color w:val="000000" w:themeColor="text1"/>
              </w:rPr>
              <w:t>Expunere valuri</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2A575532" w14:textId="77777777" w:rsidR="00FC026B" w:rsidRPr="00C56257" w:rsidRDefault="00FC026B" w:rsidP="00993B86">
            <w:pPr>
              <w:jc w:val="both"/>
              <w:rPr>
                <w:color w:val="000000" w:themeColor="text1"/>
              </w:rPr>
            </w:pPr>
            <w:r w:rsidRPr="00C56257">
              <w:rPr>
                <w:color w:val="000000" w:themeColor="text1"/>
              </w:rPr>
              <w:t>Expus</w:t>
            </w:r>
          </w:p>
        </w:tc>
      </w:tr>
      <w:tr w:rsidR="00FC026B" w:rsidRPr="00C56257" w14:paraId="089BF6A3"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1932B448"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493AE1EE"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72FA5501" w14:textId="77777777" w:rsidR="00FC026B" w:rsidRPr="00C56257" w:rsidRDefault="00FC026B" w:rsidP="00993B86">
            <w:pPr>
              <w:jc w:val="both"/>
              <w:rPr>
                <w:color w:val="000000" w:themeColor="text1"/>
              </w:rPr>
            </w:pPr>
            <w:r w:rsidRPr="00C56257">
              <w:rPr>
                <w:color w:val="000000" w:themeColor="text1"/>
              </w:rPr>
              <w:t>Moderat expus</w:t>
            </w:r>
          </w:p>
        </w:tc>
      </w:tr>
      <w:tr w:rsidR="00FC026B" w:rsidRPr="00C56257" w14:paraId="6AB001E2"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625174A6"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69F4EF4D"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748D457F" w14:textId="77777777" w:rsidR="00FC026B" w:rsidRPr="00C56257" w:rsidRDefault="00FC026B" w:rsidP="00993B86">
            <w:pPr>
              <w:jc w:val="both"/>
              <w:rPr>
                <w:color w:val="000000" w:themeColor="text1"/>
              </w:rPr>
            </w:pPr>
            <w:r w:rsidRPr="00C56257">
              <w:rPr>
                <w:color w:val="000000" w:themeColor="text1"/>
              </w:rPr>
              <w:t>Adapostit</w:t>
            </w:r>
          </w:p>
        </w:tc>
      </w:tr>
      <w:tr w:rsidR="00FC026B" w:rsidRPr="00C56257" w14:paraId="7EA20D5F"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7D4538E7" w14:textId="77777777" w:rsidR="00FC026B" w:rsidRPr="00C56257" w:rsidRDefault="00FC026B" w:rsidP="00993B86">
            <w:pPr>
              <w:jc w:val="both"/>
              <w:rPr>
                <w:b/>
                <w:bCs/>
                <w:color w:val="000000" w:themeColor="text1"/>
              </w:rPr>
            </w:pPr>
          </w:p>
        </w:tc>
        <w:tc>
          <w:tcPr>
            <w:tcW w:w="1953" w:type="pct"/>
            <w:vMerge w:val="restart"/>
            <w:tcBorders>
              <w:top w:val="nil"/>
              <w:left w:val="nil"/>
              <w:bottom w:val="single" w:sz="4" w:space="0" w:color="000000"/>
              <w:right w:val="single" w:sz="4" w:space="0" w:color="auto"/>
            </w:tcBorders>
            <w:shd w:val="clear" w:color="auto" w:fill="auto"/>
            <w:vAlign w:val="center"/>
            <w:hideMark/>
          </w:tcPr>
          <w:p w14:paraId="63A4F525" w14:textId="77777777" w:rsidR="00FC026B" w:rsidRPr="00C56257" w:rsidRDefault="00FC026B" w:rsidP="00993B86">
            <w:pPr>
              <w:jc w:val="both"/>
              <w:rPr>
                <w:color w:val="000000" w:themeColor="text1"/>
              </w:rPr>
            </w:pPr>
            <w:r w:rsidRPr="00C56257">
              <w:rPr>
                <w:color w:val="000000" w:themeColor="text1"/>
              </w:rPr>
              <w:t>Tip ţărm</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4A5D76C4" w14:textId="77777777" w:rsidR="00FC026B" w:rsidRPr="00C56257" w:rsidRDefault="00FC026B" w:rsidP="00993B86">
            <w:pPr>
              <w:jc w:val="both"/>
              <w:rPr>
                <w:color w:val="000000" w:themeColor="text1"/>
              </w:rPr>
            </w:pPr>
            <w:r w:rsidRPr="00C56257">
              <w:rPr>
                <w:color w:val="000000" w:themeColor="text1"/>
              </w:rPr>
              <w:t>Faleză stâncoasă</w:t>
            </w:r>
          </w:p>
        </w:tc>
      </w:tr>
      <w:tr w:rsidR="00FC026B" w:rsidRPr="00C56257" w14:paraId="40086EF8"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29E8035A"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44D567B1"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49F7BC87" w14:textId="77777777" w:rsidR="00FC026B" w:rsidRPr="00C56257" w:rsidRDefault="00FC026B" w:rsidP="00993B86">
            <w:pPr>
              <w:jc w:val="both"/>
              <w:rPr>
                <w:color w:val="000000" w:themeColor="text1"/>
              </w:rPr>
            </w:pPr>
            <w:r w:rsidRPr="00C56257">
              <w:rPr>
                <w:color w:val="000000" w:themeColor="text1"/>
              </w:rPr>
              <w:t>Faleza argiloasă</w:t>
            </w:r>
          </w:p>
        </w:tc>
      </w:tr>
      <w:tr w:rsidR="00FC026B" w:rsidRPr="00C56257" w14:paraId="61847E93"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1E95F776"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7A433BC3"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00589623" w14:textId="77777777" w:rsidR="00FC026B" w:rsidRPr="00C56257" w:rsidRDefault="00FC026B" w:rsidP="00993B86">
            <w:pPr>
              <w:jc w:val="both"/>
              <w:rPr>
                <w:color w:val="000000" w:themeColor="text1"/>
              </w:rPr>
            </w:pPr>
            <w:r w:rsidRPr="00C56257">
              <w:rPr>
                <w:color w:val="000000" w:themeColor="text1"/>
              </w:rPr>
              <w:t>Taluz</w:t>
            </w:r>
          </w:p>
        </w:tc>
      </w:tr>
      <w:tr w:rsidR="00FC026B" w:rsidRPr="00C56257" w14:paraId="6AA88F8E"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32F8C0A5"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0C0349BE"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7530C2A8" w14:textId="77777777" w:rsidR="00FC026B" w:rsidRPr="00C56257" w:rsidRDefault="00FC026B" w:rsidP="00993B86">
            <w:pPr>
              <w:jc w:val="both"/>
              <w:rPr>
                <w:color w:val="000000" w:themeColor="text1"/>
              </w:rPr>
            </w:pPr>
            <w:r w:rsidRPr="00C56257">
              <w:rPr>
                <w:color w:val="000000" w:themeColor="text1"/>
              </w:rPr>
              <w:t>Plajă</w:t>
            </w:r>
          </w:p>
        </w:tc>
      </w:tr>
      <w:tr w:rsidR="00FC026B" w:rsidRPr="00C56257" w14:paraId="09907249"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5F982369"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6A935167"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30A6C997" w14:textId="77777777" w:rsidR="00FC026B" w:rsidRPr="00C56257" w:rsidRDefault="00FC026B" w:rsidP="00993B86">
            <w:pPr>
              <w:jc w:val="both"/>
              <w:rPr>
                <w:color w:val="000000" w:themeColor="text1"/>
              </w:rPr>
            </w:pPr>
            <w:r w:rsidRPr="00C56257">
              <w:rPr>
                <w:color w:val="000000" w:themeColor="text1"/>
              </w:rPr>
              <w:t>Dune</w:t>
            </w:r>
          </w:p>
        </w:tc>
      </w:tr>
      <w:tr w:rsidR="00FC026B" w:rsidRPr="00C56257" w14:paraId="6F7695F7"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057D187D"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2B212F34"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331CB5C8" w14:textId="77777777" w:rsidR="00FC026B" w:rsidRPr="00C56257" w:rsidRDefault="00FC026B" w:rsidP="00993B86">
            <w:pPr>
              <w:jc w:val="both"/>
              <w:rPr>
                <w:color w:val="000000" w:themeColor="text1"/>
              </w:rPr>
            </w:pPr>
            <w:r w:rsidRPr="00C56257">
              <w:rPr>
                <w:color w:val="000000" w:themeColor="text1"/>
              </w:rPr>
              <w:t>Sărătură</w:t>
            </w:r>
          </w:p>
        </w:tc>
      </w:tr>
      <w:tr w:rsidR="00FC026B" w:rsidRPr="00C56257" w14:paraId="35DCFF73"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33641C8B"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22A7C50F"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193F8BA5" w14:textId="77777777" w:rsidR="00FC026B" w:rsidRPr="00C56257" w:rsidRDefault="00FC026B" w:rsidP="00993B86">
            <w:pPr>
              <w:jc w:val="both"/>
              <w:rPr>
                <w:color w:val="000000" w:themeColor="text1"/>
              </w:rPr>
            </w:pPr>
            <w:r w:rsidRPr="00C56257">
              <w:rPr>
                <w:color w:val="000000" w:themeColor="text1"/>
              </w:rPr>
              <w:t>Lagună</w:t>
            </w:r>
          </w:p>
        </w:tc>
      </w:tr>
      <w:tr w:rsidR="00FC026B" w:rsidRPr="00C56257" w14:paraId="5B48EEA6"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7A40B5B1"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1F873C1E"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221A0545" w14:textId="77777777" w:rsidR="00FC026B" w:rsidRPr="00C56257" w:rsidRDefault="00FC026B" w:rsidP="00993B86">
            <w:pPr>
              <w:jc w:val="both"/>
              <w:rPr>
                <w:color w:val="000000" w:themeColor="text1"/>
              </w:rPr>
            </w:pPr>
            <w:r w:rsidRPr="00C56257">
              <w:rPr>
                <w:color w:val="000000" w:themeColor="text1"/>
              </w:rPr>
              <w:t>Păşune</w:t>
            </w:r>
          </w:p>
        </w:tc>
      </w:tr>
      <w:tr w:rsidR="00FC026B" w:rsidRPr="00C56257" w14:paraId="503AFF46"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17F83431"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27F70622"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4AB30105" w14:textId="77777777" w:rsidR="00FC026B" w:rsidRPr="00C56257" w:rsidRDefault="00FC026B" w:rsidP="00993B86">
            <w:pPr>
              <w:jc w:val="both"/>
              <w:rPr>
                <w:color w:val="000000" w:themeColor="text1"/>
              </w:rPr>
            </w:pPr>
            <w:r w:rsidRPr="00C56257">
              <w:rPr>
                <w:color w:val="000000" w:themeColor="text1"/>
              </w:rPr>
              <w:t>Pădure</w:t>
            </w:r>
          </w:p>
        </w:tc>
      </w:tr>
      <w:tr w:rsidR="00FC026B" w:rsidRPr="00C56257" w14:paraId="3CF61C4B"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025FEDD6"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3533D035"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1FC75434" w14:textId="77777777" w:rsidR="00FC026B" w:rsidRPr="00C56257" w:rsidRDefault="00FC026B" w:rsidP="00993B86">
            <w:pPr>
              <w:jc w:val="both"/>
              <w:rPr>
                <w:color w:val="000000" w:themeColor="text1"/>
              </w:rPr>
            </w:pPr>
            <w:r w:rsidRPr="00C56257">
              <w:rPr>
                <w:color w:val="000000" w:themeColor="text1"/>
              </w:rPr>
              <w:t>Artificial</w:t>
            </w:r>
          </w:p>
        </w:tc>
      </w:tr>
      <w:tr w:rsidR="00FC026B" w:rsidRPr="00C56257" w14:paraId="20432544"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48A83513" w14:textId="77777777" w:rsidR="00FC026B" w:rsidRPr="00C56257" w:rsidRDefault="00FC026B" w:rsidP="00993B86">
            <w:pPr>
              <w:jc w:val="both"/>
              <w:rPr>
                <w:b/>
                <w:bCs/>
                <w:color w:val="000000" w:themeColor="text1"/>
              </w:rPr>
            </w:pPr>
          </w:p>
        </w:tc>
        <w:tc>
          <w:tcPr>
            <w:tcW w:w="1953" w:type="pct"/>
            <w:vMerge w:val="restart"/>
            <w:tcBorders>
              <w:top w:val="nil"/>
              <w:left w:val="nil"/>
              <w:bottom w:val="single" w:sz="4" w:space="0" w:color="000000"/>
              <w:right w:val="single" w:sz="4" w:space="0" w:color="auto"/>
            </w:tcBorders>
            <w:shd w:val="clear" w:color="auto" w:fill="auto"/>
            <w:vAlign w:val="center"/>
            <w:hideMark/>
          </w:tcPr>
          <w:p w14:paraId="7808ECD8" w14:textId="77777777" w:rsidR="00FC026B" w:rsidRPr="00C56257" w:rsidRDefault="00FC026B" w:rsidP="00993B86">
            <w:pPr>
              <w:jc w:val="both"/>
              <w:rPr>
                <w:color w:val="000000" w:themeColor="text1"/>
              </w:rPr>
            </w:pPr>
            <w:r w:rsidRPr="00C56257">
              <w:rPr>
                <w:color w:val="000000" w:themeColor="text1"/>
              </w:rPr>
              <w:t>Ȋnclinaţie</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09731D99" w14:textId="77777777" w:rsidR="00FC026B" w:rsidRPr="00C56257" w:rsidRDefault="00FC026B" w:rsidP="00993B86">
            <w:pPr>
              <w:jc w:val="both"/>
              <w:rPr>
                <w:color w:val="000000" w:themeColor="text1"/>
              </w:rPr>
            </w:pPr>
            <w:r w:rsidRPr="00C56257">
              <w:rPr>
                <w:color w:val="000000" w:themeColor="text1"/>
              </w:rPr>
              <w:t>Surplombă</w:t>
            </w:r>
          </w:p>
        </w:tc>
      </w:tr>
      <w:tr w:rsidR="00FC026B" w:rsidRPr="00C56257" w14:paraId="063FD655"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4AF95B66"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5B342CA6"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7BA1B8EA" w14:textId="77777777" w:rsidR="00FC026B" w:rsidRPr="00C56257" w:rsidRDefault="00FC026B" w:rsidP="00993B86">
            <w:pPr>
              <w:jc w:val="both"/>
              <w:rPr>
                <w:color w:val="000000" w:themeColor="text1"/>
              </w:rPr>
            </w:pPr>
            <w:r w:rsidRPr="00C56257">
              <w:rPr>
                <w:color w:val="000000" w:themeColor="text1"/>
              </w:rPr>
              <w:t>Vertical (80-90</w:t>
            </w:r>
            <w:r w:rsidRPr="00F100E1">
              <w:rPr>
                <w:color w:val="000000" w:themeColor="text1"/>
              </w:rPr>
              <w:t>⁰</w:t>
            </w:r>
            <w:r w:rsidRPr="00C56257">
              <w:rPr>
                <w:color w:val="000000" w:themeColor="text1"/>
              </w:rPr>
              <w:t>)</w:t>
            </w:r>
          </w:p>
        </w:tc>
      </w:tr>
      <w:tr w:rsidR="00FC026B" w:rsidRPr="00C56257" w14:paraId="400EBD13"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5A0E2EF4"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6D2C29B2"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52487073" w14:textId="77777777" w:rsidR="00FC026B" w:rsidRPr="00C56257" w:rsidRDefault="00FC026B" w:rsidP="00993B86">
            <w:pPr>
              <w:jc w:val="both"/>
              <w:rPr>
                <w:color w:val="000000" w:themeColor="text1"/>
              </w:rPr>
            </w:pPr>
            <w:r w:rsidRPr="00C56257">
              <w:rPr>
                <w:color w:val="000000" w:themeColor="text1"/>
              </w:rPr>
              <w:t>Inclinat (40-80</w:t>
            </w:r>
            <w:r w:rsidRPr="00F100E1">
              <w:rPr>
                <w:color w:val="000000" w:themeColor="text1"/>
              </w:rPr>
              <w:t>⁰</w:t>
            </w:r>
            <w:r w:rsidRPr="00C56257">
              <w:rPr>
                <w:color w:val="000000" w:themeColor="text1"/>
              </w:rPr>
              <w:t>)</w:t>
            </w:r>
          </w:p>
        </w:tc>
      </w:tr>
      <w:tr w:rsidR="00FC026B" w:rsidRPr="00C56257" w14:paraId="3D064EC6"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10785ED1"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74DA3464"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7218D091" w14:textId="77777777" w:rsidR="00FC026B" w:rsidRPr="00C56257" w:rsidRDefault="00FC026B" w:rsidP="00993B86">
            <w:pPr>
              <w:jc w:val="both"/>
              <w:rPr>
                <w:color w:val="000000" w:themeColor="text1"/>
              </w:rPr>
            </w:pPr>
            <w:r w:rsidRPr="00C56257">
              <w:rPr>
                <w:color w:val="000000" w:themeColor="text1"/>
              </w:rPr>
              <w:t>Orizontal (0-40</w:t>
            </w:r>
            <w:r w:rsidRPr="00F100E1">
              <w:rPr>
                <w:color w:val="000000" w:themeColor="text1"/>
              </w:rPr>
              <w:t>⁰</w:t>
            </w:r>
            <w:r w:rsidRPr="00C56257">
              <w:rPr>
                <w:color w:val="000000" w:themeColor="text1"/>
              </w:rPr>
              <w:t>)</w:t>
            </w:r>
          </w:p>
        </w:tc>
      </w:tr>
      <w:tr w:rsidR="00FC026B" w:rsidRPr="00C56257" w14:paraId="3B3006C8"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3608E4C3"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auto"/>
              <w:right w:val="single" w:sz="4" w:space="0" w:color="auto"/>
            </w:tcBorders>
            <w:vAlign w:val="center"/>
            <w:hideMark/>
          </w:tcPr>
          <w:p w14:paraId="0E3CD6B9"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4F062E6E" w14:textId="77777777" w:rsidR="00FC026B" w:rsidRPr="00C56257" w:rsidRDefault="00FC026B" w:rsidP="00993B86">
            <w:pPr>
              <w:jc w:val="both"/>
              <w:rPr>
                <w:color w:val="000000" w:themeColor="text1"/>
              </w:rPr>
            </w:pPr>
            <w:r w:rsidRPr="00C56257">
              <w:rPr>
                <w:color w:val="000000" w:themeColor="text1"/>
              </w:rPr>
              <w:t>Sub pietre</w:t>
            </w:r>
          </w:p>
        </w:tc>
      </w:tr>
      <w:tr w:rsidR="00FC026B" w:rsidRPr="00C56257" w14:paraId="23550E57" w14:textId="77777777" w:rsidTr="00993B86">
        <w:trPr>
          <w:trHeight w:val="216"/>
        </w:trPr>
        <w:tc>
          <w:tcPr>
            <w:tcW w:w="933" w:type="pct"/>
            <w:vMerge/>
            <w:tcBorders>
              <w:top w:val="nil"/>
              <w:left w:val="single" w:sz="8" w:space="0" w:color="auto"/>
              <w:bottom w:val="single" w:sz="8" w:space="0" w:color="auto"/>
              <w:right w:val="single" w:sz="4" w:space="0" w:color="auto"/>
            </w:tcBorders>
            <w:vAlign w:val="center"/>
            <w:hideMark/>
          </w:tcPr>
          <w:p w14:paraId="3C80F1CF" w14:textId="77777777" w:rsidR="00FC026B" w:rsidRPr="00C56257" w:rsidRDefault="00FC026B" w:rsidP="00993B86">
            <w:pPr>
              <w:jc w:val="both"/>
              <w:rPr>
                <w:b/>
                <w:bCs/>
                <w:color w:val="000000" w:themeColor="text1"/>
              </w:rPr>
            </w:pPr>
          </w:p>
        </w:tc>
        <w:tc>
          <w:tcPr>
            <w:tcW w:w="195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9C97328" w14:textId="77777777" w:rsidR="00FC026B" w:rsidRPr="00C56257" w:rsidRDefault="00FC026B" w:rsidP="00993B86">
            <w:pPr>
              <w:jc w:val="both"/>
              <w:rPr>
                <w:color w:val="000000" w:themeColor="text1"/>
              </w:rPr>
            </w:pPr>
            <w:r w:rsidRPr="00C56257">
              <w:rPr>
                <w:color w:val="000000" w:themeColor="text1"/>
              </w:rPr>
              <w:t>Tip substrat predominant</w:t>
            </w:r>
          </w:p>
        </w:tc>
        <w:tc>
          <w:tcPr>
            <w:tcW w:w="2114" w:type="pct"/>
            <w:gridSpan w:val="2"/>
            <w:tcBorders>
              <w:top w:val="single" w:sz="4" w:space="0" w:color="auto"/>
              <w:left w:val="nil"/>
              <w:bottom w:val="single" w:sz="4" w:space="0" w:color="auto"/>
              <w:right w:val="single" w:sz="4" w:space="0" w:color="auto"/>
            </w:tcBorders>
            <w:shd w:val="clear" w:color="000000" w:fill="FFFFFF"/>
            <w:noWrap/>
            <w:vAlign w:val="bottom"/>
            <w:hideMark/>
          </w:tcPr>
          <w:p w14:paraId="0053A106" w14:textId="77777777" w:rsidR="00FC026B" w:rsidRPr="00C56257" w:rsidRDefault="00FC026B" w:rsidP="00993B86">
            <w:pPr>
              <w:jc w:val="both"/>
              <w:rPr>
                <w:color w:val="000000" w:themeColor="text1"/>
              </w:rPr>
            </w:pPr>
            <w:r w:rsidRPr="00C56257">
              <w:rPr>
                <w:color w:val="000000" w:themeColor="text1"/>
              </w:rPr>
              <w:t>Stânca</w:t>
            </w:r>
          </w:p>
        </w:tc>
      </w:tr>
      <w:tr w:rsidR="00FC026B" w:rsidRPr="00C56257" w14:paraId="72FB6EE6"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1113EB10" w14:textId="77777777" w:rsidR="00FC026B" w:rsidRPr="00C56257" w:rsidRDefault="00FC026B" w:rsidP="00993B86">
            <w:pPr>
              <w:jc w:val="both"/>
              <w:rPr>
                <w:b/>
                <w:bCs/>
                <w:color w:val="000000" w:themeColor="text1"/>
              </w:rPr>
            </w:pPr>
          </w:p>
        </w:tc>
        <w:tc>
          <w:tcPr>
            <w:tcW w:w="1953" w:type="pct"/>
            <w:vMerge/>
            <w:tcBorders>
              <w:top w:val="single" w:sz="4" w:space="0" w:color="auto"/>
              <w:left w:val="nil"/>
              <w:bottom w:val="single" w:sz="4" w:space="0" w:color="000000"/>
              <w:right w:val="single" w:sz="4" w:space="0" w:color="auto"/>
            </w:tcBorders>
            <w:vAlign w:val="center"/>
            <w:hideMark/>
          </w:tcPr>
          <w:p w14:paraId="442D834E" w14:textId="77777777" w:rsidR="00FC026B" w:rsidRPr="00C56257" w:rsidRDefault="00FC026B" w:rsidP="00993B86">
            <w:pPr>
              <w:jc w:val="both"/>
              <w:rPr>
                <w:color w:val="000000" w:themeColor="text1"/>
              </w:rPr>
            </w:pPr>
          </w:p>
        </w:tc>
        <w:tc>
          <w:tcPr>
            <w:tcW w:w="2114" w:type="pct"/>
            <w:gridSpan w:val="2"/>
            <w:tcBorders>
              <w:top w:val="single" w:sz="4" w:space="0" w:color="auto"/>
              <w:left w:val="nil"/>
              <w:bottom w:val="single" w:sz="4" w:space="0" w:color="auto"/>
              <w:right w:val="single" w:sz="4" w:space="0" w:color="auto"/>
            </w:tcBorders>
            <w:shd w:val="clear" w:color="000000" w:fill="FFFFFF"/>
            <w:noWrap/>
            <w:vAlign w:val="bottom"/>
            <w:hideMark/>
          </w:tcPr>
          <w:p w14:paraId="21130D8C" w14:textId="77777777" w:rsidR="00FC026B" w:rsidRPr="00C56257" w:rsidRDefault="00FC026B" w:rsidP="00993B86">
            <w:pPr>
              <w:jc w:val="both"/>
              <w:rPr>
                <w:color w:val="000000" w:themeColor="text1"/>
              </w:rPr>
            </w:pPr>
            <w:r w:rsidRPr="00C56257">
              <w:rPr>
                <w:color w:val="000000" w:themeColor="text1"/>
              </w:rPr>
              <w:t>Bolovani foarte mari (&gt; 1 m)</w:t>
            </w:r>
          </w:p>
        </w:tc>
      </w:tr>
      <w:tr w:rsidR="00FC026B" w:rsidRPr="00C56257" w14:paraId="57A2A811"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32DA72DA"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0174F46F"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000000" w:fill="FFFFFF"/>
            <w:noWrap/>
            <w:vAlign w:val="bottom"/>
            <w:hideMark/>
          </w:tcPr>
          <w:p w14:paraId="7ED1F4A0" w14:textId="77777777" w:rsidR="00FC026B" w:rsidRPr="00C56257" w:rsidRDefault="00FC026B" w:rsidP="00993B86">
            <w:pPr>
              <w:jc w:val="both"/>
              <w:rPr>
                <w:color w:val="000000" w:themeColor="text1"/>
              </w:rPr>
            </w:pPr>
            <w:r w:rsidRPr="00C56257">
              <w:rPr>
                <w:color w:val="000000" w:themeColor="text1"/>
              </w:rPr>
              <w:t>Bolovani mari (0,5- 1 m)</w:t>
            </w:r>
          </w:p>
        </w:tc>
      </w:tr>
      <w:tr w:rsidR="00FC026B" w:rsidRPr="00C56257" w14:paraId="4B2D4AC0"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161688FE"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79923291"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000000" w:fill="FFFFFF"/>
            <w:noWrap/>
            <w:vAlign w:val="bottom"/>
            <w:hideMark/>
          </w:tcPr>
          <w:p w14:paraId="78AACAA6" w14:textId="77777777" w:rsidR="00FC026B" w:rsidRPr="00C56257" w:rsidRDefault="00FC026B" w:rsidP="00993B86">
            <w:pPr>
              <w:jc w:val="both"/>
              <w:rPr>
                <w:color w:val="000000" w:themeColor="text1"/>
              </w:rPr>
            </w:pPr>
            <w:r w:rsidRPr="00C56257">
              <w:rPr>
                <w:color w:val="000000" w:themeColor="text1"/>
              </w:rPr>
              <w:t>Bolovani mici (0,25-0,50 m)</w:t>
            </w:r>
          </w:p>
        </w:tc>
      </w:tr>
      <w:tr w:rsidR="00FC026B" w:rsidRPr="00C56257" w14:paraId="53B2C39F"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239978C0"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51BA1EC9"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000000" w:fill="FFFFFF"/>
            <w:noWrap/>
            <w:vAlign w:val="bottom"/>
            <w:hideMark/>
          </w:tcPr>
          <w:p w14:paraId="6C3BF855" w14:textId="77777777" w:rsidR="00FC026B" w:rsidRPr="00C56257" w:rsidRDefault="00FC026B" w:rsidP="00993B86">
            <w:pPr>
              <w:jc w:val="both"/>
              <w:rPr>
                <w:color w:val="000000" w:themeColor="text1"/>
              </w:rPr>
            </w:pPr>
            <w:r w:rsidRPr="00C56257">
              <w:rPr>
                <w:color w:val="000000" w:themeColor="text1"/>
              </w:rPr>
              <w:t>Galeţi (6-25 cm)</w:t>
            </w:r>
          </w:p>
        </w:tc>
      </w:tr>
      <w:tr w:rsidR="00FC026B" w:rsidRPr="00C56257" w14:paraId="0C645346"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0C079696"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1A28BA95"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000000" w:fill="FFFFFF"/>
            <w:noWrap/>
            <w:vAlign w:val="bottom"/>
            <w:hideMark/>
          </w:tcPr>
          <w:p w14:paraId="278AA18D" w14:textId="77777777" w:rsidR="00FC026B" w:rsidRPr="00C56257" w:rsidRDefault="00FC026B" w:rsidP="00993B86">
            <w:pPr>
              <w:jc w:val="both"/>
              <w:rPr>
                <w:color w:val="000000" w:themeColor="text1"/>
              </w:rPr>
            </w:pPr>
            <w:r w:rsidRPr="00C56257">
              <w:rPr>
                <w:color w:val="000000" w:themeColor="text1"/>
              </w:rPr>
              <w:t>Pietricele (2-7 cm)</w:t>
            </w:r>
          </w:p>
        </w:tc>
      </w:tr>
      <w:tr w:rsidR="00FC026B" w:rsidRPr="00C56257" w14:paraId="7E317152"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7FDB6EFB"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203D891F"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000000" w:fill="FFFFFF"/>
            <w:noWrap/>
            <w:vAlign w:val="bottom"/>
            <w:hideMark/>
          </w:tcPr>
          <w:p w14:paraId="73C24080" w14:textId="77777777" w:rsidR="00FC026B" w:rsidRPr="00C56257" w:rsidRDefault="00FC026B" w:rsidP="00993B86">
            <w:pPr>
              <w:jc w:val="both"/>
              <w:rPr>
                <w:color w:val="000000" w:themeColor="text1"/>
              </w:rPr>
            </w:pPr>
            <w:r w:rsidRPr="00C56257">
              <w:rPr>
                <w:color w:val="000000" w:themeColor="text1"/>
              </w:rPr>
              <w:t>Pietriş (4-16 mm)</w:t>
            </w:r>
          </w:p>
        </w:tc>
      </w:tr>
      <w:tr w:rsidR="00FC026B" w:rsidRPr="00C56257" w14:paraId="779697DC"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49D55CB0"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19519632"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000000" w:fill="FFFFFF"/>
            <w:noWrap/>
            <w:vAlign w:val="bottom"/>
            <w:hideMark/>
          </w:tcPr>
          <w:p w14:paraId="69FBAFDD" w14:textId="77777777" w:rsidR="00FC026B" w:rsidRPr="00C56257" w:rsidRDefault="00FC026B" w:rsidP="00993B86">
            <w:pPr>
              <w:jc w:val="both"/>
              <w:rPr>
                <w:color w:val="000000" w:themeColor="text1"/>
              </w:rPr>
            </w:pPr>
            <w:r w:rsidRPr="00C56257">
              <w:rPr>
                <w:color w:val="000000" w:themeColor="text1"/>
              </w:rPr>
              <w:t>Scradiş</w:t>
            </w:r>
          </w:p>
        </w:tc>
      </w:tr>
      <w:tr w:rsidR="00FC026B" w:rsidRPr="00C56257" w14:paraId="2F04C88E"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674CC64F"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0760BA6A"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000000" w:fill="FFFFFF"/>
            <w:noWrap/>
            <w:vAlign w:val="bottom"/>
            <w:hideMark/>
          </w:tcPr>
          <w:p w14:paraId="24DC35B3" w14:textId="77777777" w:rsidR="00FC026B" w:rsidRPr="00C56257" w:rsidRDefault="00FC026B" w:rsidP="00993B86">
            <w:pPr>
              <w:jc w:val="both"/>
              <w:rPr>
                <w:color w:val="000000" w:themeColor="text1"/>
              </w:rPr>
            </w:pPr>
            <w:r w:rsidRPr="00C56257">
              <w:rPr>
                <w:color w:val="000000" w:themeColor="text1"/>
              </w:rPr>
              <w:t>Nisip grosier (1-4 mm)</w:t>
            </w:r>
          </w:p>
        </w:tc>
      </w:tr>
      <w:tr w:rsidR="00FC026B" w:rsidRPr="00C56257" w14:paraId="14EBDD2F"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658EAFB9"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2DF838A1"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000000" w:fill="FFFFFF"/>
            <w:noWrap/>
            <w:vAlign w:val="bottom"/>
            <w:hideMark/>
          </w:tcPr>
          <w:p w14:paraId="26A14BF6" w14:textId="77777777" w:rsidR="00FC026B" w:rsidRPr="00C56257" w:rsidRDefault="00FC026B" w:rsidP="00993B86">
            <w:pPr>
              <w:jc w:val="both"/>
              <w:rPr>
                <w:color w:val="000000" w:themeColor="text1"/>
              </w:rPr>
            </w:pPr>
            <w:r w:rsidRPr="00C56257">
              <w:rPr>
                <w:color w:val="000000" w:themeColor="text1"/>
              </w:rPr>
              <w:t>Nisip mediu (0,25-1 mm)</w:t>
            </w:r>
          </w:p>
        </w:tc>
      </w:tr>
      <w:tr w:rsidR="00FC026B" w:rsidRPr="00C56257" w14:paraId="584EA5B9"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37910C1F"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528AD601"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000000" w:fill="FFFFFF"/>
            <w:noWrap/>
            <w:vAlign w:val="bottom"/>
            <w:hideMark/>
          </w:tcPr>
          <w:p w14:paraId="3340CEEA" w14:textId="77777777" w:rsidR="00FC026B" w:rsidRPr="00C56257" w:rsidRDefault="00FC026B" w:rsidP="00993B86">
            <w:pPr>
              <w:jc w:val="both"/>
              <w:rPr>
                <w:color w:val="000000" w:themeColor="text1"/>
              </w:rPr>
            </w:pPr>
            <w:r w:rsidRPr="00C56257">
              <w:rPr>
                <w:color w:val="000000" w:themeColor="text1"/>
              </w:rPr>
              <w:t>Nisip fin (0,06-0,25 mm)</w:t>
            </w:r>
          </w:p>
        </w:tc>
      </w:tr>
      <w:tr w:rsidR="00FC026B" w:rsidRPr="00C56257" w14:paraId="6866836E"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5C388552"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7F5F6FD4"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000000" w:fill="FFFFFF"/>
            <w:noWrap/>
            <w:vAlign w:val="bottom"/>
            <w:hideMark/>
          </w:tcPr>
          <w:p w14:paraId="0B521E71" w14:textId="77777777" w:rsidR="00FC026B" w:rsidRPr="00C56257" w:rsidRDefault="00FC026B" w:rsidP="00993B86">
            <w:pPr>
              <w:jc w:val="both"/>
              <w:rPr>
                <w:color w:val="000000" w:themeColor="text1"/>
              </w:rPr>
            </w:pPr>
            <w:r w:rsidRPr="00C56257">
              <w:rPr>
                <w:color w:val="000000" w:themeColor="text1"/>
              </w:rPr>
              <w:t>Mâl (&lt; 0,06)</w:t>
            </w:r>
          </w:p>
        </w:tc>
      </w:tr>
      <w:tr w:rsidR="00FC026B" w:rsidRPr="00C56257" w14:paraId="569EE0D2"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3FCCFD82"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3626494E"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000000" w:fill="FFFFFF"/>
            <w:noWrap/>
            <w:vAlign w:val="bottom"/>
            <w:hideMark/>
          </w:tcPr>
          <w:p w14:paraId="75D71072" w14:textId="77777777" w:rsidR="00FC026B" w:rsidRPr="00C56257" w:rsidRDefault="00FC026B" w:rsidP="00993B86">
            <w:pPr>
              <w:jc w:val="both"/>
              <w:rPr>
                <w:color w:val="000000" w:themeColor="text1"/>
              </w:rPr>
            </w:pPr>
            <w:r w:rsidRPr="00C56257">
              <w:rPr>
                <w:color w:val="000000" w:themeColor="text1"/>
              </w:rPr>
              <w:t>Lemn</w:t>
            </w:r>
          </w:p>
        </w:tc>
      </w:tr>
      <w:tr w:rsidR="00FC026B" w:rsidRPr="00C56257" w14:paraId="7446CF59"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2823B86D"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7D66E2CB"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000000" w:fill="FFFFFF"/>
            <w:noWrap/>
            <w:vAlign w:val="bottom"/>
            <w:hideMark/>
          </w:tcPr>
          <w:p w14:paraId="6F178499" w14:textId="77777777" w:rsidR="00FC026B" w:rsidRPr="00C56257" w:rsidRDefault="00FC026B" w:rsidP="00993B86">
            <w:pPr>
              <w:jc w:val="both"/>
              <w:rPr>
                <w:color w:val="000000" w:themeColor="text1"/>
              </w:rPr>
            </w:pPr>
            <w:r w:rsidRPr="00C56257">
              <w:rPr>
                <w:color w:val="000000" w:themeColor="text1"/>
              </w:rPr>
              <w:t>Artificial (piatra/beton)</w:t>
            </w:r>
          </w:p>
        </w:tc>
      </w:tr>
      <w:tr w:rsidR="00FC026B" w:rsidRPr="00C56257" w14:paraId="1BAE481E"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5B8D8D94"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607D5788"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000000" w:fill="FFFFFF"/>
            <w:noWrap/>
            <w:vAlign w:val="bottom"/>
            <w:hideMark/>
          </w:tcPr>
          <w:p w14:paraId="4393E468" w14:textId="77777777" w:rsidR="00FC026B" w:rsidRPr="00C56257" w:rsidRDefault="00FC026B" w:rsidP="00993B86">
            <w:pPr>
              <w:jc w:val="both"/>
              <w:rPr>
                <w:color w:val="000000" w:themeColor="text1"/>
              </w:rPr>
            </w:pPr>
            <w:r w:rsidRPr="00C56257">
              <w:rPr>
                <w:color w:val="000000" w:themeColor="text1"/>
              </w:rPr>
              <w:t>Artificial (metal)</w:t>
            </w:r>
          </w:p>
        </w:tc>
      </w:tr>
      <w:tr w:rsidR="00FC026B" w:rsidRPr="00C56257" w14:paraId="0FE0F6A6"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081174AE"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20B5D928"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000000" w:fill="FFFFFF"/>
            <w:noWrap/>
            <w:vAlign w:val="bottom"/>
            <w:hideMark/>
          </w:tcPr>
          <w:p w14:paraId="7B5891DE" w14:textId="77777777" w:rsidR="00FC026B" w:rsidRPr="00C56257" w:rsidRDefault="00FC026B" w:rsidP="00993B86">
            <w:pPr>
              <w:jc w:val="both"/>
              <w:rPr>
                <w:color w:val="000000" w:themeColor="text1"/>
              </w:rPr>
            </w:pPr>
            <w:r w:rsidRPr="00C56257">
              <w:rPr>
                <w:color w:val="000000" w:themeColor="text1"/>
              </w:rPr>
              <w:t>Biogen</w:t>
            </w:r>
          </w:p>
        </w:tc>
      </w:tr>
      <w:tr w:rsidR="00FC026B" w:rsidRPr="00C56257" w14:paraId="5C0A9F7E"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446301AA" w14:textId="77777777" w:rsidR="00FC026B" w:rsidRPr="00C56257" w:rsidRDefault="00FC026B" w:rsidP="00993B86">
            <w:pPr>
              <w:jc w:val="both"/>
              <w:rPr>
                <w:b/>
                <w:bCs/>
                <w:color w:val="000000" w:themeColor="text1"/>
              </w:rPr>
            </w:pPr>
          </w:p>
        </w:tc>
        <w:tc>
          <w:tcPr>
            <w:tcW w:w="1953" w:type="pct"/>
            <w:vMerge w:val="restart"/>
            <w:tcBorders>
              <w:top w:val="nil"/>
              <w:left w:val="nil"/>
              <w:bottom w:val="single" w:sz="4" w:space="0" w:color="000000"/>
              <w:right w:val="single" w:sz="4" w:space="0" w:color="auto"/>
            </w:tcBorders>
            <w:shd w:val="clear" w:color="auto" w:fill="auto"/>
            <w:vAlign w:val="center"/>
            <w:hideMark/>
          </w:tcPr>
          <w:p w14:paraId="2543BBEA" w14:textId="77777777" w:rsidR="00FC026B" w:rsidRPr="00C56257" w:rsidRDefault="00FC026B" w:rsidP="00993B86">
            <w:pPr>
              <w:jc w:val="both"/>
              <w:rPr>
                <w:color w:val="000000" w:themeColor="text1"/>
              </w:rPr>
            </w:pPr>
            <w:r w:rsidRPr="00C56257">
              <w:rPr>
                <w:color w:val="000000" w:themeColor="text1"/>
              </w:rPr>
              <w:t>Tip substrat dur (1170)</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328CBBBA" w14:textId="77777777" w:rsidR="00FC026B" w:rsidRPr="00C56257" w:rsidRDefault="00FC026B" w:rsidP="00993B86">
            <w:pPr>
              <w:jc w:val="both"/>
              <w:rPr>
                <w:color w:val="000000" w:themeColor="text1"/>
              </w:rPr>
            </w:pPr>
            <w:r w:rsidRPr="00C56257">
              <w:rPr>
                <w:color w:val="000000" w:themeColor="text1"/>
              </w:rPr>
              <w:t>Bazine în stânca</w:t>
            </w:r>
          </w:p>
        </w:tc>
      </w:tr>
      <w:tr w:rsidR="00FC026B" w:rsidRPr="00C56257" w14:paraId="13A5EE83"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1E958535"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69241353"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28064586" w14:textId="77777777" w:rsidR="00FC026B" w:rsidRPr="00C56257" w:rsidRDefault="00FC026B" w:rsidP="00993B86">
            <w:pPr>
              <w:jc w:val="both"/>
              <w:rPr>
                <w:color w:val="000000" w:themeColor="text1"/>
              </w:rPr>
            </w:pPr>
            <w:r w:rsidRPr="00C56257">
              <w:rPr>
                <w:color w:val="000000" w:themeColor="text1"/>
              </w:rPr>
              <w:t>Crevase, grote</w:t>
            </w:r>
          </w:p>
        </w:tc>
      </w:tr>
      <w:tr w:rsidR="00FC026B" w:rsidRPr="00C56257" w14:paraId="3F297485"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5FBBE058"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hideMark/>
          </w:tcPr>
          <w:p w14:paraId="459A781E"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51FF032B" w14:textId="77777777" w:rsidR="00FC026B" w:rsidRPr="00C56257" w:rsidRDefault="00FC026B" w:rsidP="00993B86">
            <w:pPr>
              <w:jc w:val="both"/>
              <w:rPr>
                <w:color w:val="000000" w:themeColor="text1"/>
              </w:rPr>
            </w:pPr>
            <w:r w:rsidRPr="00C56257">
              <w:rPr>
                <w:color w:val="000000" w:themeColor="text1"/>
              </w:rPr>
              <w:t>Alte tipuri (descriere)</w:t>
            </w:r>
          </w:p>
        </w:tc>
      </w:tr>
      <w:tr w:rsidR="00FC026B" w:rsidRPr="00C56257" w14:paraId="2EE5EAF7"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3467DB5F" w14:textId="77777777" w:rsidR="00FC026B" w:rsidRPr="00C56257" w:rsidRDefault="00FC026B" w:rsidP="00993B86">
            <w:pPr>
              <w:jc w:val="both"/>
              <w:rPr>
                <w:b/>
                <w:bCs/>
                <w:color w:val="000000" w:themeColor="text1"/>
              </w:rPr>
            </w:pPr>
          </w:p>
        </w:tc>
        <w:tc>
          <w:tcPr>
            <w:tcW w:w="1953" w:type="pct"/>
            <w:vMerge w:val="restart"/>
            <w:tcBorders>
              <w:top w:val="nil"/>
              <w:left w:val="nil"/>
              <w:bottom w:val="nil"/>
              <w:right w:val="single" w:sz="4" w:space="0" w:color="auto"/>
            </w:tcBorders>
            <w:shd w:val="clear" w:color="auto" w:fill="auto"/>
            <w:vAlign w:val="center"/>
            <w:hideMark/>
          </w:tcPr>
          <w:p w14:paraId="0F57A92D" w14:textId="77777777" w:rsidR="00FC026B" w:rsidRPr="00C56257" w:rsidRDefault="00FC026B" w:rsidP="00993B86">
            <w:pPr>
              <w:jc w:val="both"/>
              <w:rPr>
                <w:color w:val="000000" w:themeColor="text1"/>
              </w:rPr>
            </w:pPr>
            <w:r w:rsidRPr="00C56257">
              <w:rPr>
                <w:color w:val="000000" w:themeColor="text1"/>
              </w:rPr>
              <w:t>Tip sediment mobil (1110, 1140 si 1180)</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3101D8C6" w14:textId="77777777" w:rsidR="00FC026B" w:rsidRPr="00C56257" w:rsidRDefault="00FC026B" w:rsidP="00993B86">
            <w:pPr>
              <w:jc w:val="both"/>
              <w:rPr>
                <w:color w:val="000000" w:themeColor="text1"/>
              </w:rPr>
            </w:pPr>
            <w:r w:rsidRPr="00C56257">
              <w:rPr>
                <w:color w:val="000000" w:themeColor="text1"/>
              </w:rPr>
              <w:t>Plat</w:t>
            </w:r>
          </w:p>
        </w:tc>
      </w:tr>
      <w:tr w:rsidR="00FC026B" w:rsidRPr="00C56257" w14:paraId="069F95EA"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4573C0B3" w14:textId="77777777" w:rsidR="00FC026B" w:rsidRPr="00C56257" w:rsidRDefault="00FC026B" w:rsidP="00993B86">
            <w:pPr>
              <w:jc w:val="both"/>
              <w:rPr>
                <w:b/>
                <w:bCs/>
                <w:color w:val="000000" w:themeColor="text1"/>
              </w:rPr>
            </w:pPr>
          </w:p>
        </w:tc>
        <w:tc>
          <w:tcPr>
            <w:tcW w:w="1953" w:type="pct"/>
            <w:vMerge/>
            <w:tcBorders>
              <w:top w:val="nil"/>
              <w:left w:val="nil"/>
              <w:bottom w:val="nil"/>
              <w:right w:val="single" w:sz="4" w:space="0" w:color="auto"/>
            </w:tcBorders>
            <w:vAlign w:val="center"/>
            <w:hideMark/>
          </w:tcPr>
          <w:p w14:paraId="04B46AFF"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1879758E" w14:textId="77777777" w:rsidR="00FC026B" w:rsidRPr="00C56257" w:rsidRDefault="00FC026B" w:rsidP="00993B86">
            <w:pPr>
              <w:jc w:val="both"/>
              <w:rPr>
                <w:color w:val="000000" w:themeColor="text1"/>
              </w:rPr>
            </w:pPr>
            <w:r w:rsidRPr="00C56257">
              <w:rPr>
                <w:color w:val="000000" w:themeColor="text1"/>
              </w:rPr>
              <w:t>Vălurit</w:t>
            </w:r>
          </w:p>
        </w:tc>
      </w:tr>
      <w:tr w:rsidR="00FC026B" w:rsidRPr="00C56257" w14:paraId="2C354611"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3346F6DE" w14:textId="77777777" w:rsidR="00FC026B" w:rsidRPr="00C56257" w:rsidRDefault="00FC026B" w:rsidP="00993B86">
            <w:pPr>
              <w:jc w:val="both"/>
              <w:rPr>
                <w:b/>
                <w:bCs/>
                <w:color w:val="000000" w:themeColor="text1"/>
              </w:rPr>
            </w:pPr>
          </w:p>
        </w:tc>
        <w:tc>
          <w:tcPr>
            <w:tcW w:w="1953" w:type="pct"/>
            <w:vMerge/>
            <w:tcBorders>
              <w:top w:val="nil"/>
              <w:left w:val="nil"/>
              <w:bottom w:val="nil"/>
              <w:right w:val="single" w:sz="4" w:space="0" w:color="auto"/>
            </w:tcBorders>
            <w:vAlign w:val="center"/>
            <w:hideMark/>
          </w:tcPr>
          <w:p w14:paraId="447979B7"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033F3DDF" w14:textId="77777777" w:rsidR="00FC026B" w:rsidRPr="00C56257" w:rsidRDefault="00FC026B" w:rsidP="00993B86">
            <w:pPr>
              <w:jc w:val="both"/>
              <w:rPr>
                <w:color w:val="000000" w:themeColor="text1"/>
              </w:rPr>
            </w:pPr>
            <w:r w:rsidRPr="00C56257">
              <w:rPr>
                <w:color w:val="000000" w:themeColor="text1"/>
              </w:rPr>
              <w:t>Remodelat de organismele endopsamice</w:t>
            </w:r>
          </w:p>
        </w:tc>
      </w:tr>
      <w:tr w:rsidR="00FC026B" w:rsidRPr="00C56257" w14:paraId="4E37F72C"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12CDBA8B" w14:textId="77777777" w:rsidR="00FC026B" w:rsidRPr="00C56257" w:rsidRDefault="00FC026B" w:rsidP="00993B86">
            <w:pPr>
              <w:jc w:val="both"/>
              <w:rPr>
                <w:b/>
                <w:bCs/>
                <w:color w:val="000000" w:themeColor="text1"/>
              </w:rPr>
            </w:pPr>
          </w:p>
        </w:tc>
        <w:tc>
          <w:tcPr>
            <w:tcW w:w="1953" w:type="pct"/>
            <w:tcBorders>
              <w:top w:val="single" w:sz="4" w:space="0" w:color="auto"/>
              <w:left w:val="nil"/>
              <w:bottom w:val="single" w:sz="4" w:space="0" w:color="auto"/>
              <w:right w:val="single" w:sz="4" w:space="0" w:color="auto"/>
            </w:tcBorders>
            <w:shd w:val="clear" w:color="auto" w:fill="auto"/>
            <w:vAlign w:val="bottom"/>
            <w:hideMark/>
          </w:tcPr>
          <w:p w14:paraId="797A3218" w14:textId="77777777" w:rsidR="00FC026B" w:rsidRPr="00C56257" w:rsidRDefault="00FC026B" w:rsidP="00993B86">
            <w:pPr>
              <w:jc w:val="both"/>
              <w:rPr>
                <w:color w:val="000000" w:themeColor="text1"/>
              </w:rPr>
            </w:pPr>
            <w:r w:rsidRPr="00C56257">
              <w:rPr>
                <w:color w:val="000000" w:themeColor="text1"/>
              </w:rPr>
              <w:t>Tasare</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5FE0CD7C" w14:textId="77777777" w:rsidR="00FC026B" w:rsidRPr="00C56257" w:rsidRDefault="00FC026B" w:rsidP="00993B86">
            <w:pPr>
              <w:jc w:val="both"/>
              <w:rPr>
                <w:color w:val="000000" w:themeColor="text1"/>
              </w:rPr>
            </w:pPr>
            <w:r w:rsidRPr="00C56257">
              <w:rPr>
                <w:color w:val="000000" w:themeColor="text1"/>
              </w:rPr>
              <w:t>1-5</w:t>
            </w:r>
          </w:p>
        </w:tc>
      </w:tr>
      <w:tr w:rsidR="00FC026B" w:rsidRPr="00C56257" w14:paraId="7850934B"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541226C1"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auto" w:fill="auto"/>
            <w:vAlign w:val="bottom"/>
            <w:hideMark/>
          </w:tcPr>
          <w:p w14:paraId="576596CC" w14:textId="77777777" w:rsidR="00FC026B" w:rsidRPr="00C56257" w:rsidRDefault="00FC026B" w:rsidP="00993B86">
            <w:pPr>
              <w:jc w:val="both"/>
              <w:rPr>
                <w:color w:val="000000" w:themeColor="text1"/>
              </w:rPr>
            </w:pPr>
            <w:r w:rsidRPr="00C56257">
              <w:rPr>
                <w:color w:val="000000" w:themeColor="text1"/>
              </w:rPr>
              <w:t>Stabilitate</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6F570465" w14:textId="77777777" w:rsidR="00FC026B" w:rsidRPr="00C56257" w:rsidRDefault="00FC026B" w:rsidP="00993B86">
            <w:pPr>
              <w:jc w:val="both"/>
              <w:rPr>
                <w:color w:val="000000" w:themeColor="text1"/>
              </w:rPr>
            </w:pPr>
            <w:r w:rsidRPr="00C56257">
              <w:rPr>
                <w:color w:val="000000" w:themeColor="text1"/>
              </w:rPr>
              <w:t>1-5</w:t>
            </w:r>
          </w:p>
        </w:tc>
      </w:tr>
      <w:tr w:rsidR="00FC026B" w:rsidRPr="00C56257" w14:paraId="415FFB09"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462FA725"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auto" w:fill="auto"/>
            <w:vAlign w:val="bottom"/>
            <w:hideMark/>
          </w:tcPr>
          <w:p w14:paraId="2D2C1CDF" w14:textId="77777777" w:rsidR="00FC026B" w:rsidRPr="00C56257" w:rsidRDefault="00FC026B" w:rsidP="00993B86">
            <w:pPr>
              <w:jc w:val="both"/>
              <w:rPr>
                <w:color w:val="000000" w:themeColor="text1"/>
              </w:rPr>
            </w:pPr>
            <w:r w:rsidRPr="00C56257">
              <w:rPr>
                <w:color w:val="000000" w:themeColor="text1"/>
              </w:rPr>
              <w:t>Sortare</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105C561B" w14:textId="77777777" w:rsidR="00FC026B" w:rsidRPr="00C56257" w:rsidRDefault="00FC026B" w:rsidP="00993B86">
            <w:pPr>
              <w:jc w:val="both"/>
              <w:rPr>
                <w:color w:val="000000" w:themeColor="text1"/>
              </w:rPr>
            </w:pPr>
            <w:r w:rsidRPr="00C56257">
              <w:rPr>
                <w:color w:val="000000" w:themeColor="text1"/>
              </w:rPr>
              <w:t>1-5</w:t>
            </w:r>
          </w:p>
        </w:tc>
      </w:tr>
      <w:tr w:rsidR="00FC026B" w:rsidRPr="00C56257" w14:paraId="7D613939"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1A2E6F13"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auto" w:fill="auto"/>
            <w:vAlign w:val="bottom"/>
            <w:hideMark/>
          </w:tcPr>
          <w:p w14:paraId="0267E779" w14:textId="77777777" w:rsidR="00FC026B" w:rsidRPr="00C56257" w:rsidRDefault="00FC026B" w:rsidP="00993B86">
            <w:pPr>
              <w:jc w:val="both"/>
              <w:rPr>
                <w:color w:val="000000" w:themeColor="text1"/>
              </w:rPr>
            </w:pPr>
            <w:r w:rsidRPr="00C56257">
              <w:rPr>
                <w:color w:val="000000" w:themeColor="text1"/>
              </w:rPr>
              <w:t>Tip habitat</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6727CFF1"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76675189"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15DD4D66"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auto" w:fill="auto"/>
            <w:vAlign w:val="bottom"/>
            <w:hideMark/>
          </w:tcPr>
          <w:p w14:paraId="65EF081C" w14:textId="77777777" w:rsidR="00FC026B" w:rsidRPr="00C56257" w:rsidRDefault="00FC026B" w:rsidP="00993B86">
            <w:pPr>
              <w:jc w:val="both"/>
              <w:rPr>
                <w:color w:val="000000" w:themeColor="text1"/>
              </w:rPr>
            </w:pPr>
            <w:r w:rsidRPr="00C56257">
              <w:rPr>
                <w:color w:val="000000" w:themeColor="text1"/>
              </w:rPr>
              <w:t>Subtip habitat</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1E171402"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736C88B3"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74AFF98A"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auto" w:fill="auto"/>
            <w:vAlign w:val="bottom"/>
            <w:hideMark/>
          </w:tcPr>
          <w:p w14:paraId="1E051E3E" w14:textId="77777777" w:rsidR="00FC026B" w:rsidRPr="00C56257" w:rsidRDefault="00FC026B" w:rsidP="00993B86">
            <w:pPr>
              <w:jc w:val="both"/>
              <w:rPr>
                <w:color w:val="000000" w:themeColor="text1"/>
              </w:rPr>
            </w:pPr>
            <w:r w:rsidRPr="00C56257">
              <w:rPr>
                <w:color w:val="000000" w:themeColor="text1"/>
              </w:rPr>
              <w:t>Descriere habitat</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4565F4C8"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2FE0FDF0" w14:textId="77777777" w:rsidTr="00993B86">
        <w:trPr>
          <w:trHeight w:val="268"/>
        </w:trPr>
        <w:tc>
          <w:tcPr>
            <w:tcW w:w="933" w:type="pct"/>
            <w:vMerge/>
            <w:tcBorders>
              <w:top w:val="nil"/>
              <w:left w:val="single" w:sz="8" w:space="0" w:color="auto"/>
              <w:bottom w:val="single" w:sz="8" w:space="0" w:color="auto"/>
              <w:right w:val="single" w:sz="4" w:space="0" w:color="auto"/>
            </w:tcBorders>
            <w:vAlign w:val="center"/>
            <w:hideMark/>
          </w:tcPr>
          <w:p w14:paraId="25C53862" w14:textId="77777777" w:rsidR="00FC026B" w:rsidRPr="00C56257" w:rsidRDefault="00FC026B" w:rsidP="00993B86">
            <w:pPr>
              <w:jc w:val="both"/>
              <w:rPr>
                <w:b/>
                <w:bCs/>
                <w:color w:val="000000" w:themeColor="text1"/>
              </w:rPr>
            </w:pPr>
          </w:p>
        </w:tc>
        <w:tc>
          <w:tcPr>
            <w:tcW w:w="1953"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A10DD19" w14:textId="77777777" w:rsidR="00FC026B" w:rsidRPr="00C56257" w:rsidRDefault="00FC026B" w:rsidP="00993B86">
            <w:pPr>
              <w:jc w:val="both"/>
              <w:rPr>
                <w:color w:val="000000" w:themeColor="text1"/>
              </w:rPr>
            </w:pPr>
            <w:r w:rsidRPr="00C56257">
              <w:rPr>
                <w:color w:val="000000" w:themeColor="text1"/>
              </w:rPr>
              <w:t>Salinitate suprafaţă/ fund</w:t>
            </w:r>
          </w:p>
        </w:tc>
        <w:tc>
          <w:tcPr>
            <w:tcW w:w="2114" w:type="pct"/>
            <w:gridSpan w:val="2"/>
            <w:tcBorders>
              <w:top w:val="single" w:sz="4" w:space="0" w:color="auto"/>
              <w:left w:val="nil"/>
              <w:bottom w:val="single" w:sz="4" w:space="0" w:color="auto"/>
              <w:right w:val="single" w:sz="4" w:space="0" w:color="auto"/>
            </w:tcBorders>
            <w:shd w:val="clear" w:color="auto" w:fill="auto"/>
            <w:noWrap/>
            <w:vAlign w:val="center"/>
            <w:hideMark/>
          </w:tcPr>
          <w:p w14:paraId="13FEC53A" w14:textId="77777777" w:rsidR="00FC026B" w:rsidRPr="00C56257" w:rsidRDefault="00FC026B" w:rsidP="00993B86">
            <w:pPr>
              <w:jc w:val="both"/>
              <w:rPr>
                <w:color w:val="000000" w:themeColor="text1"/>
              </w:rPr>
            </w:pPr>
          </w:p>
        </w:tc>
      </w:tr>
      <w:tr w:rsidR="00FC026B" w:rsidRPr="00C56257" w14:paraId="37A65353" w14:textId="77777777" w:rsidTr="00993B86">
        <w:trPr>
          <w:trHeight w:val="250"/>
        </w:trPr>
        <w:tc>
          <w:tcPr>
            <w:tcW w:w="933" w:type="pct"/>
            <w:vMerge/>
            <w:tcBorders>
              <w:top w:val="nil"/>
              <w:left w:val="single" w:sz="8" w:space="0" w:color="auto"/>
              <w:bottom w:val="single" w:sz="8" w:space="0" w:color="auto"/>
              <w:right w:val="single" w:sz="4" w:space="0" w:color="auto"/>
            </w:tcBorders>
            <w:vAlign w:val="center"/>
            <w:hideMark/>
          </w:tcPr>
          <w:p w14:paraId="657ABF0B" w14:textId="77777777" w:rsidR="00FC026B" w:rsidRPr="00C56257" w:rsidRDefault="00FC026B" w:rsidP="00993B86">
            <w:pPr>
              <w:jc w:val="both"/>
              <w:rPr>
                <w:b/>
                <w:bCs/>
                <w:color w:val="000000" w:themeColor="text1"/>
              </w:rPr>
            </w:pPr>
          </w:p>
        </w:tc>
        <w:tc>
          <w:tcPr>
            <w:tcW w:w="1953"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100078D" w14:textId="77777777" w:rsidR="00FC026B" w:rsidRPr="00C56257" w:rsidRDefault="00FC026B" w:rsidP="00993B86">
            <w:pPr>
              <w:jc w:val="both"/>
              <w:rPr>
                <w:color w:val="000000" w:themeColor="text1"/>
              </w:rPr>
            </w:pPr>
            <w:r w:rsidRPr="00C56257">
              <w:rPr>
                <w:color w:val="000000" w:themeColor="text1"/>
              </w:rPr>
              <w:t>Temperatură suprafaţă/ fund</w:t>
            </w:r>
          </w:p>
        </w:tc>
        <w:tc>
          <w:tcPr>
            <w:tcW w:w="2114" w:type="pct"/>
            <w:gridSpan w:val="2"/>
            <w:tcBorders>
              <w:top w:val="single" w:sz="4" w:space="0" w:color="auto"/>
              <w:left w:val="nil"/>
              <w:bottom w:val="single" w:sz="4" w:space="0" w:color="auto"/>
              <w:right w:val="single" w:sz="4" w:space="0" w:color="auto"/>
            </w:tcBorders>
            <w:shd w:val="clear" w:color="auto" w:fill="auto"/>
            <w:noWrap/>
            <w:vAlign w:val="center"/>
            <w:hideMark/>
          </w:tcPr>
          <w:p w14:paraId="692E7E0B" w14:textId="77777777" w:rsidR="00FC026B" w:rsidRPr="00C56257" w:rsidRDefault="00FC026B" w:rsidP="00993B86">
            <w:pPr>
              <w:jc w:val="both"/>
              <w:rPr>
                <w:color w:val="000000" w:themeColor="text1"/>
              </w:rPr>
            </w:pPr>
          </w:p>
        </w:tc>
      </w:tr>
      <w:tr w:rsidR="00FC026B" w:rsidRPr="00C56257" w14:paraId="5403F1D4" w14:textId="77777777" w:rsidTr="00993B86">
        <w:trPr>
          <w:trHeight w:val="216"/>
        </w:trPr>
        <w:tc>
          <w:tcPr>
            <w:tcW w:w="933" w:type="pct"/>
            <w:vMerge/>
            <w:tcBorders>
              <w:top w:val="nil"/>
              <w:left w:val="single" w:sz="8" w:space="0" w:color="auto"/>
              <w:bottom w:val="single" w:sz="8" w:space="0" w:color="auto"/>
              <w:right w:val="single" w:sz="4" w:space="0" w:color="auto"/>
            </w:tcBorders>
            <w:vAlign w:val="center"/>
            <w:hideMark/>
          </w:tcPr>
          <w:p w14:paraId="02D75D24" w14:textId="77777777" w:rsidR="00FC026B" w:rsidRPr="00C56257" w:rsidRDefault="00FC026B" w:rsidP="00993B86">
            <w:pPr>
              <w:jc w:val="both"/>
              <w:rPr>
                <w:b/>
                <w:bCs/>
                <w:color w:val="000000" w:themeColor="text1"/>
              </w:rPr>
            </w:pPr>
          </w:p>
        </w:tc>
        <w:tc>
          <w:tcPr>
            <w:tcW w:w="1953"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B1CD438" w14:textId="77777777" w:rsidR="00FC026B" w:rsidRPr="00C56257" w:rsidRDefault="00FC026B" w:rsidP="00993B86">
            <w:pPr>
              <w:jc w:val="both"/>
              <w:rPr>
                <w:color w:val="000000" w:themeColor="text1"/>
              </w:rPr>
            </w:pPr>
            <w:r w:rsidRPr="00C56257">
              <w:rPr>
                <w:color w:val="000000" w:themeColor="text1"/>
              </w:rPr>
              <w:t>Oxigen dizolvat fund</w:t>
            </w:r>
          </w:p>
        </w:tc>
        <w:tc>
          <w:tcPr>
            <w:tcW w:w="2114" w:type="pct"/>
            <w:gridSpan w:val="2"/>
            <w:tcBorders>
              <w:top w:val="single" w:sz="4" w:space="0" w:color="auto"/>
              <w:left w:val="nil"/>
              <w:bottom w:val="single" w:sz="4" w:space="0" w:color="auto"/>
              <w:right w:val="single" w:sz="4" w:space="0" w:color="auto"/>
            </w:tcBorders>
            <w:shd w:val="clear" w:color="auto" w:fill="auto"/>
            <w:noWrap/>
            <w:vAlign w:val="center"/>
            <w:hideMark/>
          </w:tcPr>
          <w:p w14:paraId="3C062D48"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7E2319E6"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36614794"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auto" w:fill="auto"/>
            <w:vAlign w:val="bottom"/>
            <w:hideMark/>
          </w:tcPr>
          <w:p w14:paraId="4D03D261" w14:textId="77777777" w:rsidR="00FC026B" w:rsidRPr="00C56257" w:rsidRDefault="00FC026B" w:rsidP="00993B86">
            <w:pPr>
              <w:jc w:val="both"/>
              <w:rPr>
                <w:color w:val="000000" w:themeColor="text1"/>
              </w:rPr>
            </w:pPr>
            <w:r w:rsidRPr="00C56257">
              <w:rPr>
                <w:color w:val="000000" w:themeColor="text1"/>
              </w:rPr>
              <w:t>pH fund</w:t>
            </w:r>
          </w:p>
        </w:tc>
        <w:tc>
          <w:tcPr>
            <w:tcW w:w="2114" w:type="pct"/>
            <w:gridSpan w:val="2"/>
            <w:tcBorders>
              <w:top w:val="nil"/>
              <w:left w:val="nil"/>
              <w:bottom w:val="single" w:sz="4" w:space="0" w:color="auto"/>
              <w:right w:val="single" w:sz="4" w:space="0" w:color="auto"/>
            </w:tcBorders>
            <w:shd w:val="clear" w:color="auto" w:fill="auto"/>
            <w:noWrap/>
            <w:vAlign w:val="center"/>
            <w:hideMark/>
          </w:tcPr>
          <w:p w14:paraId="26AAB65F"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72A0828B" w14:textId="77777777" w:rsidTr="00993B86">
        <w:trPr>
          <w:trHeight w:val="216"/>
        </w:trPr>
        <w:tc>
          <w:tcPr>
            <w:tcW w:w="933" w:type="pct"/>
            <w:vMerge w:val="restart"/>
            <w:tcBorders>
              <w:top w:val="nil"/>
              <w:left w:val="single" w:sz="8" w:space="0" w:color="auto"/>
              <w:bottom w:val="single" w:sz="8" w:space="0" w:color="auto"/>
              <w:right w:val="single" w:sz="8" w:space="0" w:color="auto"/>
            </w:tcBorders>
            <w:shd w:val="clear" w:color="000000" w:fill="D9D9D9"/>
            <w:vAlign w:val="center"/>
            <w:hideMark/>
          </w:tcPr>
          <w:p w14:paraId="23A58005" w14:textId="77777777" w:rsidR="00FC026B" w:rsidRPr="00C56257" w:rsidRDefault="00FC026B" w:rsidP="00993B86">
            <w:pPr>
              <w:ind w:left="-83" w:right="-187"/>
              <w:jc w:val="both"/>
              <w:rPr>
                <w:b/>
                <w:bCs/>
                <w:color w:val="000000" w:themeColor="text1"/>
              </w:rPr>
            </w:pPr>
            <w:r w:rsidRPr="00C56257">
              <w:rPr>
                <w:b/>
                <w:bCs/>
                <w:color w:val="000000" w:themeColor="text1"/>
              </w:rPr>
              <w:t xml:space="preserve">Structura si </w:t>
            </w:r>
          </w:p>
          <w:p w14:paraId="1F2D1636" w14:textId="77777777" w:rsidR="00FC026B" w:rsidRPr="00C56257" w:rsidRDefault="00FC026B" w:rsidP="00993B86">
            <w:pPr>
              <w:ind w:left="-83" w:right="-45"/>
              <w:jc w:val="both"/>
              <w:rPr>
                <w:b/>
                <w:bCs/>
                <w:color w:val="000000" w:themeColor="text1"/>
              </w:rPr>
            </w:pPr>
            <w:r w:rsidRPr="00C56257">
              <w:rPr>
                <w:b/>
                <w:bCs/>
                <w:color w:val="000000" w:themeColor="text1"/>
              </w:rPr>
              <w:t>funcții (indicatori ecologici)</w:t>
            </w:r>
          </w:p>
        </w:tc>
        <w:tc>
          <w:tcPr>
            <w:tcW w:w="1953" w:type="pct"/>
            <w:tcBorders>
              <w:top w:val="single" w:sz="4" w:space="0" w:color="auto"/>
              <w:left w:val="nil"/>
              <w:bottom w:val="single" w:sz="4" w:space="0" w:color="000000"/>
              <w:right w:val="single" w:sz="4" w:space="0" w:color="auto"/>
            </w:tcBorders>
            <w:shd w:val="clear" w:color="auto" w:fill="auto"/>
            <w:vAlign w:val="center"/>
            <w:hideMark/>
          </w:tcPr>
          <w:p w14:paraId="1FB9D9A8" w14:textId="77777777" w:rsidR="00FC026B" w:rsidRPr="00C56257" w:rsidRDefault="00FC026B" w:rsidP="00993B86">
            <w:pPr>
              <w:jc w:val="both"/>
              <w:rPr>
                <w:color w:val="000000" w:themeColor="text1"/>
              </w:rPr>
            </w:pPr>
            <w:r w:rsidRPr="00C56257">
              <w:rPr>
                <w:color w:val="000000" w:themeColor="text1"/>
              </w:rPr>
              <w:t>Valoare/ Evaluare (M-AMBI)</w:t>
            </w:r>
          </w:p>
        </w:tc>
        <w:tc>
          <w:tcPr>
            <w:tcW w:w="2114" w:type="pct"/>
            <w:gridSpan w:val="2"/>
            <w:vMerge w:val="restart"/>
            <w:tcBorders>
              <w:top w:val="single" w:sz="4" w:space="0" w:color="auto"/>
              <w:left w:val="nil"/>
              <w:right w:val="single" w:sz="4" w:space="0" w:color="auto"/>
            </w:tcBorders>
            <w:shd w:val="clear" w:color="auto" w:fill="auto"/>
            <w:noWrap/>
            <w:vAlign w:val="bottom"/>
            <w:hideMark/>
          </w:tcPr>
          <w:p w14:paraId="37DFB2CF" w14:textId="77777777" w:rsidR="00FC026B" w:rsidRPr="00C56257" w:rsidRDefault="00FC026B" w:rsidP="00993B86">
            <w:pPr>
              <w:jc w:val="both"/>
              <w:rPr>
                <w:color w:val="000000" w:themeColor="text1"/>
              </w:rPr>
            </w:pPr>
            <w:r w:rsidRPr="00C56257">
              <w:rPr>
                <w:color w:val="000000" w:themeColor="text1"/>
              </w:rPr>
              <w:t>Bună</w:t>
            </w:r>
          </w:p>
          <w:p w14:paraId="1BDB928F" w14:textId="77777777" w:rsidR="00FC026B" w:rsidRPr="00C56257" w:rsidRDefault="00FC026B" w:rsidP="00993B86">
            <w:pPr>
              <w:jc w:val="both"/>
              <w:rPr>
                <w:color w:val="000000" w:themeColor="text1"/>
              </w:rPr>
            </w:pPr>
            <w:r w:rsidRPr="00C56257">
              <w:rPr>
                <w:color w:val="000000" w:themeColor="text1"/>
              </w:rPr>
              <w:t>Moderată</w:t>
            </w:r>
          </w:p>
          <w:p w14:paraId="519225E1" w14:textId="77777777" w:rsidR="00FC026B" w:rsidRPr="00C56257" w:rsidRDefault="00FC026B" w:rsidP="00993B86">
            <w:pPr>
              <w:jc w:val="both"/>
              <w:rPr>
                <w:color w:val="000000" w:themeColor="text1"/>
              </w:rPr>
            </w:pPr>
            <w:r w:rsidRPr="00C56257">
              <w:rPr>
                <w:color w:val="000000" w:themeColor="text1"/>
              </w:rPr>
              <w:t>Neadecvată</w:t>
            </w:r>
          </w:p>
          <w:p w14:paraId="6EC40FD6" w14:textId="77777777" w:rsidR="00FC026B" w:rsidRPr="00C56257" w:rsidRDefault="00FC026B" w:rsidP="00993B86">
            <w:pPr>
              <w:jc w:val="both"/>
              <w:rPr>
                <w:color w:val="000000" w:themeColor="text1"/>
              </w:rPr>
            </w:pPr>
            <w:r w:rsidRPr="00C56257">
              <w:rPr>
                <w:color w:val="000000" w:themeColor="text1"/>
              </w:rPr>
              <w:t>Necunoscută</w:t>
            </w:r>
          </w:p>
        </w:tc>
      </w:tr>
      <w:tr w:rsidR="00FC026B" w:rsidRPr="00C56257" w14:paraId="2F9604B4" w14:textId="77777777" w:rsidTr="00993B86">
        <w:trPr>
          <w:trHeight w:val="412"/>
        </w:trPr>
        <w:tc>
          <w:tcPr>
            <w:tcW w:w="933" w:type="pct"/>
            <w:vMerge/>
            <w:tcBorders>
              <w:top w:val="nil"/>
              <w:left w:val="single" w:sz="8" w:space="0" w:color="auto"/>
              <w:bottom w:val="single" w:sz="8" w:space="0" w:color="auto"/>
              <w:right w:val="single" w:sz="8" w:space="0" w:color="auto"/>
            </w:tcBorders>
            <w:vAlign w:val="center"/>
            <w:hideMark/>
          </w:tcPr>
          <w:p w14:paraId="12BD0DCD"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vAlign w:val="center"/>
            <w:hideMark/>
          </w:tcPr>
          <w:p w14:paraId="79C73C53" w14:textId="77777777" w:rsidR="00FC026B" w:rsidRPr="00C56257" w:rsidRDefault="00FC026B" w:rsidP="00993B86">
            <w:pPr>
              <w:jc w:val="both"/>
              <w:rPr>
                <w:color w:val="000000" w:themeColor="text1"/>
              </w:rPr>
            </w:pPr>
            <w:r w:rsidRPr="00C56257">
              <w:rPr>
                <w:color w:val="000000" w:themeColor="text1"/>
              </w:rPr>
              <w:t>Valoare EI / EvaluareEI</w:t>
            </w:r>
          </w:p>
        </w:tc>
        <w:tc>
          <w:tcPr>
            <w:tcW w:w="2114" w:type="pct"/>
            <w:gridSpan w:val="2"/>
            <w:vMerge/>
            <w:tcBorders>
              <w:left w:val="nil"/>
              <w:bottom w:val="nil"/>
              <w:right w:val="single" w:sz="4" w:space="0" w:color="auto"/>
            </w:tcBorders>
            <w:shd w:val="clear" w:color="auto" w:fill="auto"/>
            <w:noWrap/>
            <w:vAlign w:val="bottom"/>
            <w:hideMark/>
          </w:tcPr>
          <w:p w14:paraId="6B622799" w14:textId="77777777" w:rsidR="00FC026B" w:rsidRPr="00C56257" w:rsidRDefault="00FC026B" w:rsidP="00993B86">
            <w:pPr>
              <w:jc w:val="both"/>
              <w:rPr>
                <w:color w:val="000000" w:themeColor="text1"/>
              </w:rPr>
            </w:pPr>
          </w:p>
        </w:tc>
      </w:tr>
      <w:tr w:rsidR="00FC026B" w:rsidRPr="00C56257" w14:paraId="4662432F" w14:textId="77777777" w:rsidTr="00993B86">
        <w:trPr>
          <w:trHeight w:val="250"/>
        </w:trPr>
        <w:tc>
          <w:tcPr>
            <w:tcW w:w="933" w:type="pct"/>
            <w:vMerge/>
            <w:tcBorders>
              <w:top w:val="nil"/>
              <w:left w:val="single" w:sz="8" w:space="0" w:color="auto"/>
              <w:bottom w:val="single" w:sz="8" w:space="0" w:color="auto"/>
              <w:right w:val="single" w:sz="8" w:space="0" w:color="auto"/>
            </w:tcBorders>
            <w:vAlign w:val="center"/>
            <w:hideMark/>
          </w:tcPr>
          <w:p w14:paraId="293F4B6D"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auto" w:fill="auto"/>
            <w:vAlign w:val="bottom"/>
            <w:hideMark/>
          </w:tcPr>
          <w:p w14:paraId="7C3D6CDC" w14:textId="77777777" w:rsidR="00FC026B" w:rsidRPr="00C56257" w:rsidRDefault="00FC026B" w:rsidP="00993B86">
            <w:pPr>
              <w:jc w:val="both"/>
              <w:rPr>
                <w:color w:val="000000" w:themeColor="text1"/>
              </w:rPr>
            </w:pPr>
            <w:r w:rsidRPr="00C56257">
              <w:rPr>
                <w:color w:val="000000" w:themeColor="text1"/>
              </w:rPr>
              <w:t>Simper (Primer) / Evaluare</w:t>
            </w:r>
          </w:p>
        </w:tc>
        <w:tc>
          <w:tcPr>
            <w:tcW w:w="2114" w:type="pct"/>
            <w:gridSpan w:val="2"/>
            <w:vMerge/>
            <w:tcBorders>
              <w:left w:val="nil"/>
              <w:bottom w:val="single" w:sz="4" w:space="0" w:color="auto"/>
              <w:right w:val="single" w:sz="4" w:space="0" w:color="auto"/>
            </w:tcBorders>
            <w:shd w:val="clear" w:color="auto" w:fill="auto"/>
            <w:noWrap/>
            <w:vAlign w:val="bottom"/>
            <w:hideMark/>
          </w:tcPr>
          <w:p w14:paraId="5B863313" w14:textId="77777777" w:rsidR="00FC026B" w:rsidRPr="00C56257" w:rsidRDefault="00FC026B" w:rsidP="00993B86">
            <w:pPr>
              <w:jc w:val="both"/>
              <w:rPr>
                <w:color w:val="000000" w:themeColor="text1"/>
              </w:rPr>
            </w:pPr>
          </w:p>
        </w:tc>
      </w:tr>
      <w:tr w:rsidR="00FC026B" w:rsidRPr="00C56257" w14:paraId="45AAE54F" w14:textId="77777777" w:rsidTr="00993B86">
        <w:trPr>
          <w:trHeight w:val="216"/>
        </w:trPr>
        <w:tc>
          <w:tcPr>
            <w:tcW w:w="933"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42B82F66" w14:textId="77777777" w:rsidR="00FC026B" w:rsidRPr="00C56257" w:rsidRDefault="00FC026B" w:rsidP="00993B86">
            <w:pPr>
              <w:jc w:val="both"/>
              <w:rPr>
                <w:b/>
                <w:bCs/>
                <w:color w:val="000000" w:themeColor="text1"/>
              </w:rPr>
            </w:pPr>
            <w:r w:rsidRPr="00C56257">
              <w:rPr>
                <w:b/>
                <w:bCs/>
                <w:color w:val="000000" w:themeColor="text1"/>
              </w:rPr>
              <w:t>Microbiologie (1180)</w:t>
            </w:r>
          </w:p>
        </w:tc>
        <w:tc>
          <w:tcPr>
            <w:tcW w:w="1953" w:type="pct"/>
            <w:tcBorders>
              <w:top w:val="single" w:sz="4" w:space="0" w:color="auto"/>
              <w:left w:val="nil"/>
              <w:bottom w:val="single" w:sz="4" w:space="0" w:color="auto"/>
              <w:right w:val="single" w:sz="4" w:space="0" w:color="auto"/>
            </w:tcBorders>
            <w:shd w:val="clear" w:color="000000" w:fill="FFFFFF"/>
            <w:vAlign w:val="bottom"/>
          </w:tcPr>
          <w:p w14:paraId="2EFF4747" w14:textId="77777777" w:rsidR="00FC026B" w:rsidRPr="00C56257" w:rsidRDefault="00FC026B" w:rsidP="00993B86">
            <w:pPr>
              <w:jc w:val="both"/>
              <w:rPr>
                <w:color w:val="000000" w:themeColor="text1"/>
              </w:rPr>
            </w:pPr>
            <w:r w:rsidRPr="00C56257">
              <w:rPr>
                <w:color w:val="000000" w:themeColor="text1"/>
              </w:rPr>
              <w:t>Bacterii metanogene</w:t>
            </w:r>
          </w:p>
        </w:tc>
        <w:tc>
          <w:tcPr>
            <w:tcW w:w="2114" w:type="pct"/>
            <w:gridSpan w:val="2"/>
            <w:tcBorders>
              <w:top w:val="single" w:sz="4" w:space="0" w:color="auto"/>
              <w:left w:val="nil"/>
              <w:bottom w:val="single" w:sz="4" w:space="0" w:color="auto"/>
              <w:right w:val="single" w:sz="4" w:space="0" w:color="auto"/>
            </w:tcBorders>
            <w:shd w:val="clear" w:color="000000" w:fill="FFFFFF"/>
            <w:noWrap/>
            <w:vAlign w:val="bottom"/>
          </w:tcPr>
          <w:p w14:paraId="125E45DD"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25507F72" w14:textId="77777777" w:rsidTr="00993B86">
        <w:trPr>
          <w:trHeight w:val="216"/>
        </w:trPr>
        <w:tc>
          <w:tcPr>
            <w:tcW w:w="933" w:type="pct"/>
            <w:vMerge/>
            <w:tcBorders>
              <w:top w:val="nil"/>
              <w:left w:val="single" w:sz="8" w:space="0" w:color="auto"/>
              <w:bottom w:val="single" w:sz="8" w:space="0" w:color="000000"/>
              <w:right w:val="single" w:sz="8" w:space="0" w:color="auto"/>
            </w:tcBorders>
            <w:vAlign w:val="center"/>
            <w:hideMark/>
          </w:tcPr>
          <w:p w14:paraId="482BE01D"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000000" w:fill="FFFFFF"/>
            <w:vAlign w:val="bottom"/>
          </w:tcPr>
          <w:p w14:paraId="56419F43" w14:textId="77777777" w:rsidR="00FC026B" w:rsidRPr="00C56257" w:rsidRDefault="00FC026B" w:rsidP="00993B86">
            <w:pPr>
              <w:jc w:val="both"/>
              <w:rPr>
                <w:color w:val="000000" w:themeColor="text1"/>
              </w:rPr>
            </w:pPr>
            <w:r w:rsidRPr="00C56257">
              <w:rPr>
                <w:color w:val="000000" w:themeColor="text1"/>
              </w:rPr>
              <w:t>Bacterii metanotrofe</w:t>
            </w:r>
          </w:p>
        </w:tc>
        <w:tc>
          <w:tcPr>
            <w:tcW w:w="2114" w:type="pct"/>
            <w:gridSpan w:val="2"/>
            <w:tcBorders>
              <w:top w:val="nil"/>
              <w:left w:val="nil"/>
              <w:bottom w:val="single" w:sz="4" w:space="0" w:color="auto"/>
              <w:right w:val="single" w:sz="4" w:space="0" w:color="auto"/>
            </w:tcBorders>
            <w:shd w:val="clear" w:color="auto" w:fill="auto"/>
            <w:noWrap/>
            <w:vAlign w:val="bottom"/>
          </w:tcPr>
          <w:p w14:paraId="2E87A84E" w14:textId="77777777" w:rsidR="00FC026B" w:rsidRPr="00C56257" w:rsidRDefault="00FC026B" w:rsidP="00993B86">
            <w:pPr>
              <w:jc w:val="both"/>
              <w:rPr>
                <w:color w:val="000000" w:themeColor="text1"/>
              </w:rPr>
            </w:pPr>
          </w:p>
        </w:tc>
      </w:tr>
      <w:tr w:rsidR="00FC026B" w:rsidRPr="00C56257" w14:paraId="1CF96E31" w14:textId="77777777" w:rsidTr="00993B86">
        <w:trPr>
          <w:trHeight w:val="216"/>
        </w:trPr>
        <w:tc>
          <w:tcPr>
            <w:tcW w:w="933" w:type="pct"/>
            <w:vMerge/>
            <w:tcBorders>
              <w:top w:val="nil"/>
              <w:left w:val="single" w:sz="8" w:space="0" w:color="auto"/>
              <w:bottom w:val="single" w:sz="8" w:space="0" w:color="000000"/>
              <w:right w:val="single" w:sz="8" w:space="0" w:color="auto"/>
            </w:tcBorders>
            <w:vAlign w:val="center"/>
            <w:hideMark/>
          </w:tcPr>
          <w:p w14:paraId="1C35FA5A" w14:textId="77777777" w:rsidR="00FC026B" w:rsidRPr="00C56257" w:rsidRDefault="00FC026B" w:rsidP="00993B86">
            <w:pPr>
              <w:jc w:val="both"/>
              <w:rPr>
                <w:b/>
                <w:bCs/>
                <w:color w:val="000000" w:themeColor="text1"/>
              </w:rPr>
            </w:pPr>
          </w:p>
        </w:tc>
        <w:tc>
          <w:tcPr>
            <w:tcW w:w="1953" w:type="pct"/>
            <w:tcBorders>
              <w:top w:val="nil"/>
              <w:left w:val="nil"/>
              <w:bottom w:val="single" w:sz="4" w:space="0" w:color="auto"/>
              <w:right w:val="single" w:sz="4" w:space="0" w:color="auto"/>
            </w:tcBorders>
            <w:shd w:val="clear" w:color="000000" w:fill="FFFFFF"/>
            <w:vAlign w:val="bottom"/>
          </w:tcPr>
          <w:p w14:paraId="5DD2228A" w14:textId="77777777" w:rsidR="00FC026B" w:rsidRPr="00C56257" w:rsidRDefault="00FC026B" w:rsidP="00993B86">
            <w:pPr>
              <w:jc w:val="both"/>
              <w:rPr>
                <w:color w:val="000000" w:themeColor="text1"/>
              </w:rPr>
            </w:pPr>
            <w:r w:rsidRPr="00C56257">
              <w:rPr>
                <w:color w:val="000000" w:themeColor="text1"/>
              </w:rPr>
              <w:t>Evaluare calitate habitat</w:t>
            </w:r>
          </w:p>
        </w:tc>
        <w:tc>
          <w:tcPr>
            <w:tcW w:w="2114" w:type="pct"/>
            <w:gridSpan w:val="2"/>
            <w:tcBorders>
              <w:top w:val="nil"/>
              <w:left w:val="nil"/>
              <w:bottom w:val="single" w:sz="4" w:space="0" w:color="auto"/>
              <w:right w:val="single" w:sz="4" w:space="0" w:color="auto"/>
            </w:tcBorders>
            <w:shd w:val="clear" w:color="auto" w:fill="auto"/>
            <w:noWrap/>
            <w:vAlign w:val="bottom"/>
          </w:tcPr>
          <w:p w14:paraId="6183EBC9" w14:textId="77777777" w:rsidR="00FC026B" w:rsidRPr="00C56257" w:rsidRDefault="00FC026B" w:rsidP="00993B86">
            <w:pPr>
              <w:jc w:val="both"/>
              <w:rPr>
                <w:color w:val="000000" w:themeColor="text1"/>
              </w:rPr>
            </w:pPr>
          </w:p>
        </w:tc>
      </w:tr>
      <w:tr w:rsidR="00FC026B" w:rsidRPr="00C56257" w14:paraId="53030AC2" w14:textId="77777777" w:rsidTr="00993B86">
        <w:trPr>
          <w:trHeight w:val="216"/>
        </w:trPr>
        <w:tc>
          <w:tcPr>
            <w:tcW w:w="933" w:type="pct"/>
            <w:vMerge w:val="restart"/>
            <w:tcBorders>
              <w:top w:val="nil"/>
              <w:left w:val="single" w:sz="8" w:space="0" w:color="auto"/>
              <w:bottom w:val="single" w:sz="8" w:space="0" w:color="auto"/>
              <w:right w:val="single" w:sz="8" w:space="0" w:color="auto"/>
            </w:tcBorders>
            <w:shd w:val="clear" w:color="000000" w:fill="D9D9D9"/>
            <w:noWrap/>
            <w:vAlign w:val="center"/>
            <w:hideMark/>
          </w:tcPr>
          <w:p w14:paraId="2804FE0E" w14:textId="77777777" w:rsidR="00FC026B" w:rsidRPr="00C56257" w:rsidRDefault="00FC026B" w:rsidP="00993B86">
            <w:pPr>
              <w:ind w:right="-187"/>
              <w:jc w:val="both"/>
              <w:rPr>
                <w:b/>
                <w:bCs/>
                <w:color w:val="000000" w:themeColor="text1"/>
              </w:rPr>
            </w:pPr>
            <w:r w:rsidRPr="00C56257">
              <w:rPr>
                <w:b/>
                <w:bCs/>
                <w:color w:val="000000" w:themeColor="text1"/>
              </w:rPr>
              <w:t>Stare conservare</w:t>
            </w:r>
          </w:p>
        </w:tc>
        <w:tc>
          <w:tcPr>
            <w:tcW w:w="1953" w:type="pct"/>
            <w:vMerge w:val="restart"/>
            <w:tcBorders>
              <w:top w:val="nil"/>
              <w:left w:val="nil"/>
              <w:bottom w:val="single" w:sz="4" w:space="0" w:color="000000"/>
              <w:right w:val="single" w:sz="4" w:space="0" w:color="auto"/>
            </w:tcBorders>
            <w:shd w:val="clear" w:color="auto" w:fill="auto"/>
            <w:vAlign w:val="center"/>
          </w:tcPr>
          <w:p w14:paraId="62933806" w14:textId="77777777" w:rsidR="00FC026B" w:rsidRPr="00C56257" w:rsidRDefault="00FC026B" w:rsidP="00993B86">
            <w:pPr>
              <w:jc w:val="both"/>
              <w:rPr>
                <w:color w:val="000000" w:themeColor="text1"/>
              </w:rPr>
            </w:pPr>
            <w:r w:rsidRPr="00C56257">
              <w:rPr>
                <w:color w:val="000000" w:themeColor="text1"/>
              </w:rPr>
              <w:t>Structura şi funcţii</w:t>
            </w:r>
          </w:p>
          <w:p w14:paraId="44D92F52" w14:textId="77777777" w:rsidR="00FC026B" w:rsidRPr="00C56257" w:rsidRDefault="00FC026B" w:rsidP="00993B86">
            <w:pPr>
              <w:jc w:val="both"/>
              <w:rPr>
                <w:color w:val="000000" w:themeColor="text1"/>
              </w:rPr>
            </w:pPr>
          </w:p>
        </w:tc>
        <w:tc>
          <w:tcPr>
            <w:tcW w:w="1169" w:type="pct"/>
            <w:tcBorders>
              <w:top w:val="nil"/>
              <w:left w:val="nil"/>
              <w:bottom w:val="single" w:sz="4" w:space="0" w:color="auto"/>
              <w:right w:val="single" w:sz="4" w:space="0" w:color="auto"/>
            </w:tcBorders>
            <w:shd w:val="clear" w:color="auto" w:fill="auto"/>
            <w:noWrap/>
            <w:vAlign w:val="bottom"/>
          </w:tcPr>
          <w:p w14:paraId="5AF94144" w14:textId="77777777" w:rsidR="00FC026B" w:rsidRPr="00C56257" w:rsidRDefault="00FC026B" w:rsidP="00993B86">
            <w:pPr>
              <w:jc w:val="both"/>
              <w:rPr>
                <w:color w:val="000000" w:themeColor="text1"/>
              </w:rPr>
            </w:pPr>
            <w:r w:rsidRPr="00C56257">
              <w:rPr>
                <w:color w:val="000000" w:themeColor="text1"/>
              </w:rPr>
              <w:t>Favorabil</w:t>
            </w:r>
          </w:p>
        </w:tc>
        <w:tc>
          <w:tcPr>
            <w:tcW w:w="944" w:type="pct"/>
            <w:tcBorders>
              <w:top w:val="nil"/>
              <w:left w:val="nil"/>
              <w:bottom w:val="single" w:sz="4" w:space="0" w:color="auto"/>
              <w:right w:val="single" w:sz="4" w:space="0" w:color="auto"/>
            </w:tcBorders>
            <w:shd w:val="clear" w:color="auto" w:fill="auto"/>
            <w:vAlign w:val="bottom"/>
          </w:tcPr>
          <w:p w14:paraId="2749BDCC" w14:textId="77777777" w:rsidR="00FC026B" w:rsidRPr="00C56257" w:rsidRDefault="00FC026B" w:rsidP="00993B86">
            <w:pPr>
              <w:jc w:val="both"/>
              <w:rPr>
                <w:color w:val="000000" w:themeColor="text1"/>
              </w:rPr>
            </w:pPr>
            <w:r w:rsidRPr="00C56257">
              <w:rPr>
                <w:color w:val="000000" w:themeColor="text1"/>
              </w:rPr>
              <w:t>Nefavorabil - Neadecvat</w:t>
            </w:r>
          </w:p>
        </w:tc>
      </w:tr>
      <w:tr w:rsidR="00FC026B" w:rsidRPr="00C56257" w14:paraId="746F42B1" w14:textId="77777777" w:rsidTr="00993B86">
        <w:trPr>
          <w:trHeight w:val="187"/>
        </w:trPr>
        <w:tc>
          <w:tcPr>
            <w:tcW w:w="933" w:type="pct"/>
            <w:vMerge/>
            <w:tcBorders>
              <w:top w:val="nil"/>
              <w:left w:val="single" w:sz="8" w:space="0" w:color="auto"/>
              <w:bottom w:val="single" w:sz="8" w:space="0" w:color="auto"/>
              <w:right w:val="single" w:sz="8" w:space="0" w:color="auto"/>
            </w:tcBorders>
            <w:vAlign w:val="center"/>
            <w:hideMark/>
          </w:tcPr>
          <w:p w14:paraId="36C0918A"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tcPr>
          <w:p w14:paraId="149C258A" w14:textId="77777777" w:rsidR="00FC026B" w:rsidRPr="00C56257" w:rsidRDefault="00FC026B" w:rsidP="00993B86">
            <w:pPr>
              <w:jc w:val="both"/>
              <w:rPr>
                <w:color w:val="000000" w:themeColor="text1"/>
              </w:rPr>
            </w:pPr>
          </w:p>
        </w:tc>
        <w:tc>
          <w:tcPr>
            <w:tcW w:w="1169" w:type="pct"/>
            <w:tcBorders>
              <w:top w:val="single" w:sz="4" w:space="0" w:color="auto"/>
              <w:left w:val="nil"/>
              <w:bottom w:val="single" w:sz="4" w:space="0" w:color="auto"/>
              <w:right w:val="single" w:sz="4" w:space="0" w:color="auto"/>
            </w:tcBorders>
            <w:shd w:val="clear" w:color="auto" w:fill="auto"/>
            <w:noWrap/>
            <w:vAlign w:val="bottom"/>
          </w:tcPr>
          <w:p w14:paraId="4558E0C5" w14:textId="77777777" w:rsidR="00FC026B" w:rsidRPr="00C56257" w:rsidRDefault="00FC026B" w:rsidP="00993B86">
            <w:pPr>
              <w:jc w:val="both"/>
              <w:rPr>
                <w:color w:val="000000" w:themeColor="text1"/>
              </w:rPr>
            </w:pPr>
            <w:r w:rsidRPr="00C56257">
              <w:rPr>
                <w:color w:val="000000" w:themeColor="text1"/>
              </w:rPr>
              <w:t>Nefavorabil-Rău</w:t>
            </w:r>
          </w:p>
        </w:tc>
        <w:tc>
          <w:tcPr>
            <w:tcW w:w="944" w:type="pct"/>
            <w:tcBorders>
              <w:top w:val="single" w:sz="4" w:space="0" w:color="auto"/>
              <w:left w:val="nil"/>
              <w:bottom w:val="single" w:sz="4" w:space="0" w:color="auto"/>
              <w:right w:val="single" w:sz="4" w:space="0" w:color="auto"/>
            </w:tcBorders>
            <w:shd w:val="clear" w:color="auto" w:fill="auto"/>
            <w:vAlign w:val="bottom"/>
          </w:tcPr>
          <w:p w14:paraId="7DB3C3E6" w14:textId="77777777" w:rsidR="00FC026B" w:rsidRPr="00C56257" w:rsidRDefault="00FC026B" w:rsidP="00993B86">
            <w:pPr>
              <w:jc w:val="both"/>
              <w:rPr>
                <w:color w:val="000000" w:themeColor="text1"/>
              </w:rPr>
            </w:pPr>
            <w:r w:rsidRPr="00C56257">
              <w:rPr>
                <w:color w:val="000000" w:themeColor="text1"/>
              </w:rPr>
              <w:t>Necunoscut</w:t>
            </w:r>
          </w:p>
        </w:tc>
      </w:tr>
      <w:tr w:rsidR="00FC026B" w:rsidRPr="00C56257" w14:paraId="30262DB6"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6B5E6F1E" w14:textId="77777777" w:rsidR="00FC026B" w:rsidRPr="00C56257" w:rsidRDefault="00FC026B" w:rsidP="00993B86">
            <w:pPr>
              <w:jc w:val="both"/>
              <w:rPr>
                <w:b/>
                <w:bCs/>
                <w:color w:val="000000" w:themeColor="text1"/>
              </w:rPr>
            </w:pPr>
          </w:p>
        </w:tc>
        <w:tc>
          <w:tcPr>
            <w:tcW w:w="1953" w:type="pct"/>
            <w:vMerge w:val="restart"/>
            <w:tcBorders>
              <w:top w:val="nil"/>
              <w:left w:val="nil"/>
              <w:bottom w:val="single" w:sz="4" w:space="0" w:color="000000"/>
              <w:right w:val="single" w:sz="4" w:space="0" w:color="auto"/>
            </w:tcBorders>
            <w:shd w:val="clear" w:color="auto" w:fill="auto"/>
            <w:vAlign w:val="center"/>
          </w:tcPr>
          <w:p w14:paraId="20D9C49E" w14:textId="77777777" w:rsidR="00FC026B" w:rsidRPr="00C56257" w:rsidRDefault="00FC026B" w:rsidP="00993B86">
            <w:pPr>
              <w:jc w:val="both"/>
              <w:rPr>
                <w:color w:val="000000" w:themeColor="text1"/>
              </w:rPr>
            </w:pPr>
          </w:p>
          <w:p w14:paraId="5D589878" w14:textId="77777777" w:rsidR="00FC026B" w:rsidRPr="00C56257" w:rsidRDefault="00FC026B" w:rsidP="00993B86">
            <w:pPr>
              <w:jc w:val="both"/>
              <w:rPr>
                <w:color w:val="000000" w:themeColor="text1"/>
              </w:rPr>
            </w:pPr>
            <w:r w:rsidRPr="00C56257">
              <w:rPr>
                <w:color w:val="000000" w:themeColor="text1"/>
              </w:rPr>
              <w:t>Metoda utilizată stare conservare</w:t>
            </w:r>
          </w:p>
          <w:p w14:paraId="2ADE20D7" w14:textId="77777777" w:rsidR="00FC026B" w:rsidRPr="00C56257" w:rsidRDefault="00FC026B" w:rsidP="00993B86">
            <w:pPr>
              <w:jc w:val="both"/>
              <w:rPr>
                <w:color w:val="000000" w:themeColor="text1"/>
              </w:rPr>
            </w:pPr>
          </w:p>
        </w:tc>
        <w:tc>
          <w:tcPr>
            <w:tcW w:w="2114" w:type="pct"/>
            <w:gridSpan w:val="2"/>
            <w:tcBorders>
              <w:top w:val="single" w:sz="4" w:space="0" w:color="auto"/>
              <w:left w:val="nil"/>
              <w:bottom w:val="single" w:sz="4" w:space="0" w:color="auto"/>
              <w:right w:val="single" w:sz="4" w:space="0" w:color="auto"/>
            </w:tcBorders>
            <w:shd w:val="clear" w:color="auto" w:fill="auto"/>
            <w:noWrap/>
            <w:vAlign w:val="bottom"/>
          </w:tcPr>
          <w:p w14:paraId="269EAB81" w14:textId="77777777" w:rsidR="00FC026B" w:rsidRPr="00C56257" w:rsidRDefault="00FC026B" w:rsidP="00993B86">
            <w:pPr>
              <w:jc w:val="both"/>
              <w:rPr>
                <w:color w:val="000000" w:themeColor="text1"/>
              </w:rPr>
            </w:pPr>
            <w:r w:rsidRPr="00C56257">
              <w:rPr>
                <w:color w:val="000000" w:themeColor="text1"/>
              </w:rPr>
              <w:t>Inventarieri complete sau o estimare statistică solidă</w:t>
            </w:r>
          </w:p>
        </w:tc>
      </w:tr>
      <w:tr w:rsidR="00FC026B" w:rsidRPr="00C56257" w14:paraId="3B15F02A"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43B45B49"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tcPr>
          <w:p w14:paraId="791ED3E3"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tcPr>
          <w:p w14:paraId="2EB39989" w14:textId="77777777" w:rsidR="00FC026B" w:rsidRPr="00C56257" w:rsidRDefault="00FC026B" w:rsidP="00993B86">
            <w:pPr>
              <w:jc w:val="both"/>
              <w:rPr>
                <w:color w:val="000000" w:themeColor="text1"/>
              </w:rPr>
            </w:pPr>
            <w:r w:rsidRPr="00C56257">
              <w:rPr>
                <w:color w:val="000000" w:themeColor="text1"/>
              </w:rPr>
              <w:t>Estimări prin extrapolari şi/sau modelari bazate pe date parţiale</w:t>
            </w:r>
          </w:p>
        </w:tc>
      </w:tr>
      <w:tr w:rsidR="00FC026B" w:rsidRPr="00C56257" w14:paraId="3AF30E79"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53AB5B77"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tcPr>
          <w:p w14:paraId="6FE0C6C2"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tcPr>
          <w:p w14:paraId="1D35FB36" w14:textId="77777777" w:rsidR="00FC026B" w:rsidRPr="00C56257" w:rsidRDefault="00FC026B" w:rsidP="00993B86">
            <w:pPr>
              <w:jc w:val="both"/>
              <w:rPr>
                <w:color w:val="000000" w:themeColor="text1"/>
              </w:rPr>
            </w:pPr>
            <w:r w:rsidRPr="00C56257">
              <w:rPr>
                <w:color w:val="000000" w:themeColor="text1"/>
              </w:rPr>
              <w:t>Bazat în principal pe opinia experților cu eşantionare minimală</w:t>
            </w:r>
          </w:p>
        </w:tc>
      </w:tr>
      <w:tr w:rsidR="00FC026B" w:rsidRPr="00C56257" w14:paraId="1D36F8A9" w14:textId="77777777" w:rsidTr="00993B86">
        <w:trPr>
          <w:trHeight w:val="216"/>
        </w:trPr>
        <w:tc>
          <w:tcPr>
            <w:tcW w:w="933" w:type="pct"/>
            <w:vMerge/>
            <w:tcBorders>
              <w:top w:val="nil"/>
              <w:left w:val="single" w:sz="8" w:space="0" w:color="auto"/>
              <w:bottom w:val="single" w:sz="8" w:space="0" w:color="auto"/>
              <w:right w:val="single" w:sz="8" w:space="0" w:color="auto"/>
            </w:tcBorders>
            <w:vAlign w:val="center"/>
            <w:hideMark/>
          </w:tcPr>
          <w:p w14:paraId="197F1937"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tcPr>
          <w:p w14:paraId="3BF723FB" w14:textId="77777777" w:rsidR="00FC026B" w:rsidRPr="00C56257" w:rsidRDefault="00FC026B" w:rsidP="00993B86">
            <w:pPr>
              <w:jc w:val="both"/>
              <w:rPr>
                <w:color w:val="000000" w:themeColor="text1"/>
              </w:rPr>
            </w:pPr>
          </w:p>
        </w:tc>
        <w:tc>
          <w:tcPr>
            <w:tcW w:w="2114" w:type="pct"/>
            <w:gridSpan w:val="2"/>
            <w:tcBorders>
              <w:top w:val="nil"/>
              <w:left w:val="nil"/>
              <w:bottom w:val="single" w:sz="4" w:space="0" w:color="auto"/>
              <w:right w:val="single" w:sz="4" w:space="0" w:color="auto"/>
            </w:tcBorders>
            <w:shd w:val="clear" w:color="auto" w:fill="auto"/>
            <w:noWrap/>
            <w:vAlign w:val="bottom"/>
          </w:tcPr>
          <w:p w14:paraId="132C1539" w14:textId="77777777" w:rsidR="00FC026B" w:rsidRPr="00C56257" w:rsidRDefault="00FC026B" w:rsidP="00993B86">
            <w:pPr>
              <w:jc w:val="both"/>
              <w:rPr>
                <w:color w:val="000000" w:themeColor="text1"/>
              </w:rPr>
            </w:pPr>
            <w:r w:rsidRPr="00C56257">
              <w:rPr>
                <w:color w:val="000000" w:themeColor="text1"/>
              </w:rPr>
              <w:t>Date lipsa</w:t>
            </w:r>
          </w:p>
        </w:tc>
      </w:tr>
      <w:tr w:rsidR="00FC026B" w:rsidRPr="00C56257" w14:paraId="7A7F3859" w14:textId="77777777" w:rsidTr="00993B86">
        <w:trPr>
          <w:trHeight w:val="268"/>
        </w:trPr>
        <w:tc>
          <w:tcPr>
            <w:tcW w:w="933" w:type="pct"/>
            <w:vMerge/>
            <w:tcBorders>
              <w:top w:val="nil"/>
              <w:left w:val="single" w:sz="8" w:space="0" w:color="auto"/>
              <w:bottom w:val="single" w:sz="8" w:space="0" w:color="auto"/>
              <w:right w:val="single" w:sz="8" w:space="0" w:color="auto"/>
            </w:tcBorders>
            <w:vAlign w:val="center"/>
            <w:hideMark/>
          </w:tcPr>
          <w:p w14:paraId="60EE33C6" w14:textId="77777777" w:rsidR="00FC026B" w:rsidRPr="00C56257" w:rsidRDefault="00FC026B" w:rsidP="00993B86">
            <w:pPr>
              <w:jc w:val="both"/>
              <w:rPr>
                <w:b/>
                <w:bCs/>
                <w:color w:val="000000" w:themeColor="text1"/>
              </w:rPr>
            </w:pPr>
          </w:p>
        </w:tc>
        <w:tc>
          <w:tcPr>
            <w:tcW w:w="1953" w:type="pct"/>
            <w:vMerge w:val="restart"/>
            <w:tcBorders>
              <w:top w:val="nil"/>
              <w:left w:val="nil"/>
              <w:bottom w:val="single" w:sz="4" w:space="0" w:color="000000"/>
              <w:right w:val="single" w:sz="4" w:space="0" w:color="auto"/>
            </w:tcBorders>
            <w:shd w:val="clear" w:color="auto" w:fill="auto"/>
            <w:vAlign w:val="center"/>
          </w:tcPr>
          <w:p w14:paraId="2D451E9A" w14:textId="77777777" w:rsidR="00FC026B" w:rsidRPr="00C56257" w:rsidRDefault="00FC026B" w:rsidP="00993B86">
            <w:pPr>
              <w:jc w:val="both"/>
              <w:rPr>
                <w:color w:val="000000" w:themeColor="text1"/>
              </w:rPr>
            </w:pPr>
            <w:r w:rsidRPr="00C56257">
              <w:rPr>
                <w:color w:val="000000" w:themeColor="text1"/>
              </w:rPr>
              <w:t>Perspective</w:t>
            </w:r>
          </w:p>
          <w:p w14:paraId="4FB3D475" w14:textId="77777777" w:rsidR="00FC026B" w:rsidRPr="00C56257" w:rsidRDefault="00FC026B" w:rsidP="00993B86">
            <w:pPr>
              <w:jc w:val="both"/>
              <w:rPr>
                <w:color w:val="000000" w:themeColor="text1"/>
              </w:rPr>
            </w:pPr>
            <w:r w:rsidRPr="00C56257">
              <w:rPr>
                <w:color w:val="000000" w:themeColor="text1"/>
              </w:rPr>
              <w:t> </w:t>
            </w:r>
          </w:p>
        </w:tc>
        <w:tc>
          <w:tcPr>
            <w:tcW w:w="1169" w:type="pct"/>
            <w:tcBorders>
              <w:top w:val="nil"/>
              <w:left w:val="nil"/>
              <w:bottom w:val="single" w:sz="4" w:space="0" w:color="auto"/>
              <w:right w:val="single" w:sz="4" w:space="0" w:color="auto"/>
            </w:tcBorders>
            <w:shd w:val="clear" w:color="auto" w:fill="auto"/>
            <w:noWrap/>
            <w:vAlign w:val="bottom"/>
          </w:tcPr>
          <w:p w14:paraId="40EA7687" w14:textId="77777777" w:rsidR="00FC026B" w:rsidRPr="00C56257" w:rsidRDefault="00FC026B" w:rsidP="00993B86">
            <w:pPr>
              <w:jc w:val="both"/>
              <w:rPr>
                <w:color w:val="000000" w:themeColor="text1"/>
              </w:rPr>
            </w:pPr>
            <w:r w:rsidRPr="00C56257">
              <w:rPr>
                <w:color w:val="000000" w:themeColor="text1"/>
              </w:rPr>
              <w:t>Favorabil</w:t>
            </w:r>
          </w:p>
        </w:tc>
        <w:tc>
          <w:tcPr>
            <w:tcW w:w="944" w:type="pct"/>
            <w:tcBorders>
              <w:top w:val="nil"/>
              <w:left w:val="nil"/>
              <w:bottom w:val="single" w:sz="4" w:space="0" w:color="auto"/>
              <w:right w:val="single" w:sz="4" w:space="0" w:color="auto"/>
            </w:tcBorders>
            <w:shd w:val="clear" w:color="auto" w:fill="auto"/>
            <w:vAlign w:val="bottom"/>
          </w:tcPr>
          <w:p w14:paraId="7DD1F3B4" w14:textId="77777777" w:rsidR="00FC026B" w:rsidRPr="00C56257" w:rsidRDefault="00FC026B" w:rsidP="00993B86">
            <w:pPr>
              <w:jc w:val="both"/>
              <w:rPr>
                <w:color w:val="000000" w:themeColor="text1"/>
              </w:rPr>
            </w:pPr>
            <w:r w:rsidRPr="00C56257">
              <w:rPr>
                <w:color w:val="000000" w:themeColor="text1"/>
              </w:rPr>
              <w:t>Nefavorabil - Neadecvat</w:t>
            </w:r>
          </w:p>
        </w:tc>
      </w:tr>
      <w:tr w:rsidR="00FC026B" w:rsidRPr="00C56257" w14:paraId="142D337B" w14:textId="77777777" w:rsidTr="00993B86">
        <w:trPr>
          <w:trHeight w:val="160"/>
        </w:trPr>
        <w:tc>
          <w:tcPr>
            <w:tcW w:w="933" w:type="pct"/>
            <w:vMerge/>
            <w:tcBorders>
              <w:top w:val="nil"/>
              <w:left w:val="single" w:sz="8" w:space="0" w:color="auto"/>
              <w:bottom w:val="single" w:sz="8" w:space="0" w:color="auto"/>
              <w:right w:val="single" w:sz="8" w:space="0" w:color="auto"/>
            </w:tcBorders>
            <w:vAlign w:val="center"/>
            <w:hideMark/>
          </w:tcPr>
          <w:p w14:paraId="7DA1A730" w14:textId="77777777" w:rsidR="00FC026B" w:rsidRPr="00C56257" w:rsidRDefault="00FC026B" w:rsidP="00993B86">
            <w:pPr>
              <w:jc w:val="both"/>
              <w:rPr>
                <w:b/>
                <w:bCs/>
                <w:color w:val="000000" w:themeColor="text1"/>
              </w:rPr>
            </w:pPr>
          </w:p>
        </w:tc>
        <w:tc>
          <w:tcPr>
            <w:tcW w:w="1953" w:type="pct"/>
            <w:vMerge/>
            <w:tcBorders>
              <w:top w:val="nil"/>
              <w:left w:val="nil"/>
              <w:bottom w:val="single" w:sz="4" w:space="0" w:color="000000"/>
              <w:right w:val="single" w:sz="4" w:space="0" w:color="auto"/>
            </w:tcBorders>
            <w:vAlign w:val="center"/>
          </w:tcPr>
          <w:p w14:paraId="3D97DC31" w14:textId="77777777" w:rsidR="00FC026B" w:rsidRPr="00C56257" w:rsidRDefault="00FC026B" w:rsidP="00993B86">
            <w:pPr>
              <w:jc w:val="both"/>
              <w:rPr>
                <w:color w:val="000000" w:themeColor="text1"/>
              </w:rPr>
            </w:pPr>
          </w:p>
        </w:tc>
        <w:tc>
          <w:tcPr>
            <w:tcW w:w="1169" w:type="pct"/>
            <w:tcBorders>
              <w:top w:val="single" w:sz="4" w:space="0" w:color="auto"/>
              <w:left w:val="nil"/>
              <w:bottom w:val="single" w:sz="4" w:space="0" w:color="auto"/>
              <w:right w:val="single" w:sz="4" w:space="0" w:color="auto"/>
            </w:tcBorders>
            <w:shd w:val="clear" w:color="auto" w:fill="auto"/>
            <w:noWrap/>
            <w:vAlign w:val="bottom"/>
          </w:tcPr>
          <w:p w14:paraId="05E7121B" w14:textId="77777777" w:rsidR="00FC026B" w:rsidRPr="00C56257" w:rsidRDefault="00FC026B" w:rsidP="00993B86">
            <w:pPr>
              <w:jc w:val="both"/>
              <w:rPr>
                <w:color w:val="000000" w:themeColor="text1"/>
              </w:rPr>
            </w:pPr>
            <w:r w:rsidRPr="00C56257">
              <w:rPr>
                <w:color w:val="000000" w:themeColor="text1"/>
              </w:rPr>
              <w:t>Nefavorabil-Rau</w:t>
            </w:r>
          </w:p>
        </w:tc>
        <w:tc>
          <w:tcPr>
            <w:tcW w:w="944" w:type="pct"/>
            <w:tcBorders>
              <w:top w:val="single" w:sz="4" w:space="0" w:color="auto"/>
              <w:left w:val="nil"/>
              <w:bottom w:val="single" w:sz="4" w:space="0" w:color="auto"/>
              <w:right w:val="single" w:sz="4" w:space="0" w:color="auto"/>
            </w:tcBorders>
            <w:shd w:val="clear" w:color="auto" w:fill="auto"/>
            <w:vAlign w:val="bottom"/>
          </w:tcPr>
          <w:p w14:paraId="0CAE422B" w14:textId="77777777" w:rsidR="00FC026B" w:rsidRPr="00C56257" w:rsidRDefault="00FC026B" w:rsidP="00993B86">
            <w:pPr>
              <w:jc w:val="both"/>
              <w:rPr>
                <w:color w:val="000000" w:themeColor="text1"/>
              </w:rPr>
            </w:pPr>
            <w:r w:rsidRPr="00C56257">
              <w:rPr>
                <w:color w:val="000000" w:themeColor="text1"/>
              </w:rPr>
              <w:t>Necunoscut</w:t>
            </w:r>
          </w:p>
        </w:tc>
      </w:tr>
      <w:tr w:rsidR="00FC026B" w:rsidRPr="00C56257" w14:paraId="1332957A" w14:textId="77777777" w:rsidTr="00993B86">
        <w:trPr>
          <w:trHeight w:val="216"/>
        </w:trPr>
        <w:tc>
          <w:tcPr>
            <w:tcW w:w="933" w:type="pct"/>
            <w:tcBorders>
              <w:top w:val="nil"/>
              <w:left w:val="single" w:sz="8" w:space="0" w:color="auto"/>
              <w:bottom w:val="single" w:sz="8" w:space="0" w:color="auto"/>
              <w:right w:val="single" w:sz="8" w:space="0" w:color="auto"/>
            </w:tcBorders>
            <w:shd w:val="clear" w:color="000000" w:fill="D9D9D9"/>
            <w:noWrap/>
            <w:vAlign w:val="bottom"/>
            <w:hideMark/>
          </w:tcPr>
          <w:p w14:paraId="251CB094" w14:textId="77777777" w:rsidR="00FC026B" w:rsidRPr="00C56257" w:rsidRDefault="00FC026B" w:rsidP="00993B86">
            <w:pPr>
              <w:jc w:val="both"/>
              <w:rPr>
                <w:b/>
                <w:bCs/>
                <w:color w:val="000000" w:themeColor="text1"/>
              </w:rPr>
            </w:pPr>
            <w:r w:rsidRPr="00C56257">
              <w:rPr>
                <w:b/>
                <w:bCs/>
                <w:color w:val="000000" w:themeColor="text1"/>
              </w:rPr>
              <w:t>Foto</w:t>
            </w:r>
          </w:p>
        </w:tc>
        <w:tc>
          <w:tcPr>
            <w:tcW w:w="1953" w:type="pct"/>
            <w:tcBorders>
              <w:top w:val="nil"/>
              <w:left w:val="nil"/>
              <w:bottom w:val="single" w:sz="4" w:space="0" w:color="auto"/>
              <w:right w:val="single" w:sz="4" w:space="0" w:color="auto"/>
            </w:tcBorders>
            <w:shd w:val="clear" w:color="auto" w:fill="auto"/>
            <w:vAlign w:val="bottom"/>
            <w:hideMark/>
          </w:tcPr>
          <w:p w14:paraId="58AEEEC3" w14:textId="77777777" w:rsidR="00FC026B" w:rsidRPr="00C56257" w:rsidRDefault="00FC026B" w:rsidP="00993B86">
            <w:pPr>
              <w:jc w:val="both"/>
              <w:rPr>
                <w:color w:val="000000" w:themeColor="text1"/>
              </w:rPr>
            </w:pPr>
            <w:r w:rsidRPr="00C56257">
              <w:rPr>
                <w:color w:val="000000" w:themeColor="text1"/>
              </w:rPr>
              <w:t> </w:t>
            </w:r>
          </w:p>
        </w:tc>
        <w:tc>
          <w:tcPr>
            <w:tcW w:w="2114" w:type="pct"/>
            <w:gridSpan w:val="2"/>
            <w:tcBorders>
              <w:top w:val="single" w:sz="4" w:space="0" w:color="auto"/>
              <w:left w:val="nil"/>
              <w:bottom w:val="single" w:sz="4" w:space="0" w:color="auto"/>
              <w:right w:val="single" w:sz="4" w:space="0" w:color="auto"/>
            </w:tcBorders>
            <w:shd w:val="clear" w:color="auto" w:fill="auto"/>
            <w:noWrap/>
            <w:vAlign w:val="bottom"/>
            <w:hideMark/>
          </w:tcPr>
          <w:p w14:paraId="4A0A963E"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6A0D9427" w14:textId="77777777" w:rsidTr="00993B86">
        <w:trPr>
          <w:trHeight w:val="216"/>
        </w:trPr>
        <w:tc>
          <w:tcPr>
            <w:tcW w:w="933" w:type="pct"/>
            <w:tcBorders>
              <w:top w:val="nil"/>
              <w:left w:val="single" w:sz="8" w:space="0" w:color="auto"/>
              <w:bottom w:val="single" w:sz="8" w:space="0" w:color="auto"/>
              <w:right w:val="single" w:sz="8" w:space="0" w:color="auto"/>
            </w:tcBorders>
            <w:shd w:val="clear" w:color="000000" w:fill="D9D9D9"/>
            <w:noWrap/>
            <w:vAlign w:val="bottom"/>
            <w:hideMark/>
          </w:tcPr>
          <w:p w14:paraId="169D31B4" w14:textId="77777777" w:rsidR="00FC026B" w:rsidRPr="00C56257" w:rsidRDefault="00FC026B" w:rsidP="00993B86">
            <w:pPr>
              <w:jc w:val="both"/>
              <w:rPr>
                <w:b/>
                <w:bCs/>
                <w:color w:val="000000" w:themeColor="text1"/>
              </w:rPr>
            </w:pPr>
            <w:r w:rsidRPr="00C56257">
              <w:rPr>
                <w:b/>
                <w:bCs/>
                <w:color w:val="000000" w:themeColor="text1"/>
              </w:rPr>
              <w:t>Expert/ Funcţie/ Instituţie</w:t>
            </w:r>
          </w:p>
        </w:tc>
        <w:tc>
          <w:tcPr>
            <w:tcW w:w="1953" w:type="pct"/>
            <w:tcBorders>
              <w:top w:val="nil"/>
              <w:left w:val="nil"/>
              <w:bottom w:val="single" w:sz="4" w:space="0" w:color="auto"/>
              <w:right w:val="single" w:sz="4" w:space="0" w:color="auto"/>
            </w:tcBorders>
            <w:shd w:val="clear" w:color="auto" w:fill="auto"/>
            <w:vAlign w:val="bottom"/>
            <w:hideMark/>
          </w:tcPr>
          <w:p w14:paraId="27888BB3" w14:textId="77777777" w:rsidR="00FC026B" w:rsidRPr="00C56257" w:rsidRDefault="00FC026B" w:rsidP="00993B86">
            <w:pPr>
              <w:jc w:val="both"/>
              <w:rPr>
                <w:color w:val="000000" w:themeColor="text1"/>
              </w:rPr>
            </w:pPr>
            <w:r w:rsidRPr="00C56257">
              <w:rPr>
                <w:color w:val="000000" w:themeColor="text1"/>
              </w:rPr>
              <w:t> </w:t>
            </w:r>
          </w:p>
        </w:tc>
        <w:tc>
          <w:tcPr>
            <w:tcW w:w="2114" w:type="pct"/>
            <w:gridSpan w:val="2"/>
            <w:tcBorders>
              <w:top w:val="nil"/>
              <w:left w:val="nil"/>
              <w:bottom w:val="single" w:sz="4" w:space="0" w:color="auto"/>
              <w:right w:val="single" w:sz="4" w:space="0" w:color="auto"/>
            </w:tcBorders>
            <w:shd w:val="clear" w:color="auto" w:fill="auto"/>
            <w:noWrap/>
            <w:vAlign w:val="bottom"/>
            <w:hideMark/>
          </w:tcPr>
          <w:p w14:paraId="3C642C8B" w14:textId="77777777" w:rsidR="00FC026B" w:rsidRPr="00C56257" w:rsidRDefault="00FC026B" w:rsidP="00993B86">
            <w:pPr>
              <w:jc w:val="both"/>
              <w:rPr>
                <w:color w:val="000000" w:themeColor="text1"/>
              </w:rPr>
            </w:pPr>
          </w:p>
        </w:tc>
      </w:tr>
    </w:tbl>
    <w:p w14:paraId="25F99D32" w14:textId="77777777" w:rsidR="00FC026B" w:rsidRPr="00C56257" w:rsidRDefault="00FC026B" w:rsidP="00FC026B">
      <w:pPr>
        <w:spacing w:after="160" w:line="259" w:lineRule="auto"/>
        <w:jc w:val="both"/>
        <w:rPr>
          <w:color w:val="000000" w:themeColor="text1"/>
        </w:rPr>
      </w:pPr>
    </w:p>
    <w:p w14:paraId="741058C2" w14:textId="77777777" w:rsidR="00FC026B" w:rsidRPr="00C56257" w:rsidRDefault="00FC026B" w:rsidP="00FC026B">
      <w:pPr>
        <w:spacing w:after="160" w:line="259" w:lineRule="auto"/>
        <w:jc w:val="both"/>
        <w:rPr>
          <w:b/>
          <w:color w:val="000000" w:themeColor="text1"/>
        </w:rPr>
      </w:pPr>
      <w:r w:rsidRPr="00C56257">
        <w:rPr>
          <w:b/>
          <w:color w:val="000000" w:themeColor="text1"/>
        </w:rPr>
        <w:t>Fișa habitate marine şi costiere (1130, 1150*, 1160)</w:t>
      </w:r>
    </w:p>
    <w:tbl>
      <w:tblPr>
        <w:tblW w:w="5559" w:type="pct"/>
        <w:tblInd w:w="-370" w:type="dxa"/>
        <w:tblLayout w:type="fixed"/>
        <w:tblLook w:val="04A0" w:firstRow="1" w:lastRow="0" w:firstColumn="1" w:lastColumn="0" w:noHBand="0" w:noVBand="1"/>
      </w:tblPr>
      <w:tblGrid>
        <w:gridCol w:w="2130"/>
        <w:gridCol w:w="4271"/>
        <w:gridCol w:w="2020"/>
        <w:gridCol w:w="2753"/>
      </w:tblGrid>
      <w:tr w:rsidR="00FC026B" w:rsidRPr="00C56257" w14:paraId="583E5CEC" w14:textId="77777777" w:rsidTr="00993B86">
        <w:trPr>
          <w:cantSplit/>
          <w:trHeight w:val="259"/>
        </w:trPr>
        <w:tc>
          <w:tcPr>
            <w:tcW w:w="953" w:type="pct"/>
            <w:vMerge w:val="restart"/>
            <w:tcBorders>
              <w:top w:val="single" w:sz="8" w:space="0" w:color="auto"/>
              <w:left w:val="single" w:sz="8" w:space="0" w:color="auto"/>
              <w:bottom w:val="single" w:sz="8" w:space="0" w:color="000000"/>
              <w:right w:val="single" w:sz="8" w:space="0" w:color="auto"/>
            </w:tcBorders>
            <w:shd w:val="clear" w:color="000000" w:fill="E7E6E6"/>
            <w:noWrap/>
            <w:vAlign w:val="center"/>
            <w:hideMark/>
          </w:tcPr>
          <w:p w14:paraId="322A0343" w14:textId="77777777" w:rsidR="00FC026B" w:rsidRPr="00C56257" w:rsidRDefault="00FC026B" w:rsidP="00993B86">
            <w:pPr>
              <w:jc w:val="both"/>
              <w:rPr>
                <w:b/>
                <w:bCs/>
                <w:color w:val="000000" w:themeColor="text1"/>
              </w:rPr>
            </w:pPr>
            <w:r w:rsidRPr="00C56257">
              <w:rPr>
                <w:b/>
                <w:bCs/>
                <w:color w:val="000000" w:themeColor="text1"/>
              </w:rPr>
              <w:t>Descriere staţie</w:t>
            </w:r>
          </w:p>
        </w:tc>
        <w:tc>
          <w:tcPr>
            <w:tcW w:w="1911" w:type="pct"/>
            <w:tcBorders>
              <w:top w:val="single" w:sz="4" w:space="0" w:color="auto"/>
              <w:left w:val="nil"/>
              <w:bottom w:val="single" w:sz="4" w:space="0" w:color="auto"/>
              <w:right w:val="single" w:sz="4" w:space="0" w:color="auto"/>
            </w:tcBorders>
            <w:shd w:val="clear" w:color="auto" w:fill="auto"/>
            <w:noWrap/>
            <w:vAlign w:val="bottom"/>
            <w:hideMark/>
          </w:tcPr>
          <w:p w14:paraId="10CBF3B0" w14:textId="77777777" w:rsidR="00FC026B" w:rsidRPr="00C56257" w:rsidRDefault="00FC026B" w:rsidP="00993B86">
            <w:pPr>
              <w:jc w:val="both"/>
              <w:rPr>
                <w:color w:val="000000" w:themeColor="text1"/>
              </w:rPr>
            </w:pPr>
            <w:r w:rsidRPr="00C56257">
              <w:rPr>
                <w:color w:val="000000" w:themeColor="text1"/>
              </w:rPr>
              <w:t>Cod staţie</w:t>
            </w:r>
          </w:p>
        </w:tc>
        <w:tc>
          <w:tcPr>
            <w:tcW w:w="2137" w:type="pct"/>
            <w:gridSpan w:val="2"/>
            <w:tcBorders>
              <w:top w:val="single" w:sz="4" w:space="0" w:color="auto"/>
              <w:left w:val="nil"/>
              <w:bottom w:val="single" w:sz="4" w:space="0" w:color="auto"/>
              <w:right w:val="single" w:sz="4" w:space="0" w:color="auto"/>
            </w:tcBorders>
            <w:shd w:val="clear" w:color="auto" w:fill="auto"/>
            <w:noWrap/>
            <w:vAlign w:val="bottom"/>
            <w:hideMark/>
          </w:tcPr>
          <w:p w14:paraId="7B507250"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21EB307F" w14:textId="77777777" w:rsidTr="00993B86">
        <w:trPr>
          <w:cantSplit/>
          <w:trHeight w:val="259"/>
        </w:trPr>
        <w:tc>
          <w:tcPr>
            <w:tcW w:w="953" w:type="pct"/>
            <w:vMerge/>
            <w:tcBorders>
              <w:top w:val="single" w:sz="8" w:space="0" w:color="auto"/>
              <w:left w:val="single" w:sz="8" w:space="0" w:color="auto"/>
              <w:bottom w:val="single" w:sz="8" w:space="0" w:color="000000"/>
              <w:right w:val="single" w:sz="8" w:space="0" w:color="auto"/>
            </w:tcBorders>
            <w:vAlign w:val="center"/>
            <w:hideMark/>
          </w:tcPr>
          <w:p w14:paraId="6B7FBF4B"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1EDAA03A" w14:textId="77777777" w:rsidR="00FC026B" w:rsidRPr="00C56257" w:rsidRDefault="00FC026B" w:rsidP="00993B86">
            <w:pPr>
              <w:jc w:val="both"/>
              <w:rPr>
                <w:color w:val="000000" w:themeColor="text1"/>
              </w:rPr>
            </w:pPr>
            <w:r w:rsidRPr="00C56257">
              <w:rPr>
                <w:color w:val="000000" w:themeColor="text1"/>
              </w:rPr>
              <w:t>Bioregiune</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44418DD6"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600AE303" w14:textId="77777777" w:rsidTr="00993B86">
        <w:trPr>
          <w:cantSplit/>
          <w:trHeight w:val="259"/>
        </w:trPr>
        <w:tc>
          <w:tcPr>
            <w:tcW w:w="953" w:type="pct"/>
            <w:vMerge/>
            <w:tcBorders>
              <w:top w:val="single" w:sz="8" w:space="0" w:color="auto"/>
              <w:left w:val="single" w:sz="8" w:space="0" w:color="auto"/>
              <w:bottom w:val="single" w:sz="8" w:space="0" w:color="000000"/>
              <w:right w:val="single" w:sz="8" w:space="0" w:color="auto"/>
            </w:tcBorders>
            <w:vAlign w:val="center"/>
            <w:hideMark/>
          </w:tcPr>
          <w:p w14:paraId="56B0453D"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435D0B7A" w14:textId="77777777" w:rsidR="00FC026B" w:rsidRPr="00C56257" w:rsidRDefault="00FC026B" w:rsidP="00993B86">
            <w:pPr>
              <w:jc w:val="both"/>
              <w:rPr>
                <w:color w:val="000000" w:themeColor="text1"/>
              </w:rPr>
            </w:pPr>
            <w:r w:rsidRPr="00C56257">
              <w:rPr>
                <w:color w:val="000000" w:themeColor="text1"/>
              </w:rPr>
              <w:t>Localizare</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638E2AC0"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0E4A37FD" w14:textId="77777777" w:rsidTr="00993B86">
        <w:trPr>
          <w:cantSplit/>
          <w:trHeight w:val="259"/>
        </w:trPr>
        <w:tc>
          <w:tcPr>
            <w:tcW w:w="953" w:type="pct"/>
            <w:vMerge/>
            <w:tcBorders>
              <w:top w:val="single" w:sz="8" w:space="0" w:color="auto"/>
              <w:left w:val="single" w:sz="8" w:space="0" w:color="auto"/>
              <w:bottom w:val="single" w:sz="8" w:space="0" w:color="000000"/>
              <w:right w:val="single" w:sz="8" w:space="0" w:color="auto"/>
            </w:tcBorders>
            <w:vAlign w:val="center"/>
            <w:hideMark/>
          </w:tcPr>
          <w:p w14:paraId="1CB3CD13"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38CF035B" w14:textId="77777777" w:rsidR="00FC026B" w:rsidRPr="00C56257" w:rsidRDefault="00FC026B" w:rsidP="00993B86">
            <w:pPr>
              <w:jc w:val="both"/>
              <w:rPr>
                <w:color w:val="000000" w:themeColor="text1"/>
              </w:rPr>
            </w:pPr>
            <w:r w:rsidRPr="00C56257">
              <w:rPr>
                <w:color w:val="000000" w:themeColor="text1"/>
              </w:rPr>
              <w:t>Sit Natura 2000</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78C08F66"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0F36BAF5" w14:textId="77777777" w:rsidTr="00993B86">
        <w:trPr>
          <w:cantSplit/>
          <w:trHeight w:val="259"/>
        </w:trPr>
        <w:tc>
          <w:tcPr>
            <w:tcW w:w="953" w:type="pct"/>
            <w:vMerge/>
            <w:tcBorders>
              <w:top w:val="single" w:sz="8" w:space="0" w:color="auto"/>
              <w:left w:val="single" w:sz="8" w:space="0" w:color="auto"/>
              <w:bottom w:val="single" w:sz="8" w:space="0" w:color="000000"/>
              <w:right w:val="single" w:sz="8" w:space="0" w:color="auto"/>
            </w:tcBorders>
            <w:vAlign w:val="center"/>
            <w:hideMark/>
          </w:tcPr>
          <w:p w14:paraId="5052A92B"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0E30C2AC" w14:textId="77777777" w:rsidR="00FC026B" w:rsidRPr="00C56257" w:rsidRDefault="00FC026B" w:rsidP="00993B86">
            <w:pPr>
              <w:jc w:val="both"/>
              <w:rPr>
                <w:color w:val="000000" w:themeColor="text1"/>
              </w:rPr>
            </w:pPr>
            <w:r w:rsidRPr="00C56257">
              <w:rPr>
                <w:color w:val="000000" w:themeColor="text1"/>
              </w:rPr>
              <w:t>Latitudine</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7FA8F11C"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27F48961" w14:textId="77777777" w:rsidTr="00993B86">
        <w:trPr>
          <w:cantSplit/>
          <w:trHeight w:val="259"/>
        </w:trPr>
        <w:tc>
          <w:tcPr>
            <w:tcW w:w="953" w:type="pct"/>
            <w:vMerge/>
            <w:tcBorders>
              <w:top w:val="single" w:sz="8" w:space="0" w:color="auto"/>
              <w:left w:val="single" w:sz="8" w:space="0" w:color="auto"/>
              <w:bottom w:val="single" w:sz="8" w:space="0" w:color="000000"/>
              <w:right w:val="single" w:sz="8" w:space="0" w:color="auto"/>
            </w:tcBorders>
            <w:vAlign w:val="center"/>
            <w:hideMark/>
          </w:tcPr>
          <w:p w14:paraId="41AEFF2D"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718047B2" w14:textId="77777777" w:rsidR="00FC026B" w:rsidRPr="00C56257" w:rsidRDefault="00FC026B" w:rsidP="00993B86">
            <w:pPr>
              <w:jc w:val="both"/>
              <w:rPr>
                <w:color w:val="000000" w:themeColor="text1"/>
              </w:rPr>
            </w:pPr>
            <w:r w:rsidRPr="00C56257">
              <w:rPr>
                <w:color w:val="000000" w:themeColor="text1"/>
              </w:rPr>
              <w:t>Longitudine</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614B7C83"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428CE0F8" w14:textId="77777777" w:rsidTr="00993B86">
        <w:trPr>
          <w:cantSplit/>
          <w:trHeight w:val="259"/>
        </w:trPr>
        <w:tc>
          <w:tcPr>
            <w:tcW w:w="953" w:type="pct"/>
            <w:vMerge/>
            <w:tcBorders>
              <w:top w:val="single" w:sz="8" w:space="0" w:color="auto"/>
              <w:left w:val="single" w:sz="8" w:space="0" w:color="auto"/>
              <w:bottom w:val="single" w:sz="8" w:space="0" w:color="000000"/>
              <w:right w:val="single" w:sz="8" w:space="0" w:color="auto"/>
            </w:tcBorders>
            <w:vAlign w:val="center"/>
            <w:hideMark/>
          </w:tcPr>
          <w:p w14:paraId="6B471545"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2107D967" w14:textId="77777777" w:rsidR="00FC026B" w:rsidRPr="00C56257" w:rsidRDefault="00FC026B" w:rsidP="00993B86">
            <w:pPr>
              <w:jc w:val="both"/>
              <w:rPr>
                <w:color w:val="000000" w:themeColor="text1"/>
              </w:rPr>
            </w:pPr>
            <w:r w:rsidRPr="00C56257">
              <w:rPr>
                <w:color w:val="000000" w:themeColor="text1"/>
              </w:rPr>
              <w:t>Adâncime</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452BF618"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0A2C5A42" w14:textId="77777777" w:rsidTr="00993B86">
        <w:trPr>
          <w:cantSplit/>
          <w:trHeight w:val="259"/>
        </w:trPr>
        <w:tc>
          <w:tcPr>
            <w:tcW w:w="953" w:type="pct"/>
            <w:vMerge/>
            <w:tcBorders>
              <w:top w:val="single" w:sz="8" w:space="0" w:color="auto"/>
              <w:left w:val="single" w:sz="8" w:space="0" w:color="auto"/>
              <w:bottom w:val="single" w:sz="8" w:space="0" w:color="000000"/>
              <w:right w:val="single" w:sz="8" w:space="0" w:color="auto"/>
            </w:tcBorders>
            <w:vAlign w:val="center"/>
            <w:hideMark/>
          </w:tcPr>
          <w:p w14:paraId="319F534D"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484B7635" w14:textId="77777777" w:rsidR="00FC026B" w:rsidRPr="00C56257" w:rsidRDefault="00FC026B" w:rsidP="00993B86">
            <w:pPr>
              <w:jc w:val="both"/>
              <w:rPr>
                <w:color w:val="000000" w:themeColor="text1"/>
              </w:rPr>
            </w:pPr>
            <w:r w:rsidRPr="00C56257">
              <w:rPr>
                <w:color w:val="000000" w:themeColor="text1"/>
              </w:rPr>
              <w:t>Dată</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1202A2CD"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42C22C15" w14:textId="77777777" w:rsidTr="00993B86">
        <w:trPr>
          <w:cantSplit/>
          <w:trHeight w:val="259"/>
        </w:trPr>
        <w:tc>
          <w:tcPr>
            <w:tcW w:w="953" w:type="pct"/>
            <w:vMerge/>
            <w:tcBorders>
              <w:top w:val="single" w:sz="8" w:space="0" w:color="auto"/>
              <w:left w:val="single" w:sz="8" w:space="0" w:color="auto"/>
              <w:bottom w:val="single" w:sz="8" w:space="0" w:color="000000"/>
              <w:right w:val="single" w:sz="8" w:space="0" w:color="auto"/>
            </w:tcBorders>
            <w:vAlign w:val="center"/>
            <w:hideMark/>
          </w:tcPr>
          <w:p w14:paraId="628F49E6"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2E12F80A" w14:textId="77777777" w:rsidR="00FC026B" w:rsidRPr="00C56257" w:rsidRDefault="00FC026B" w:rsidP="00993B86">
            <w:pPr>
              <w:jc w:val="both"/>
              <w:rPr>
                <w:color w:val="000000" w:themeColor="text1"/>
              </w:rPr>
            </w:pPr>
            <w:r w:rsidRPr="00C56257">
              <w:rPr>
                <w:color w:val="000000" w:themeColor="text1"/>
              </w:rPr>
              <w:t>Oră început</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28C2584C"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37BA0D76" w14:textId="77777777" w:rsidTr="00993B86">
        <w:trPr>
          <w:cantSplit/>
          <w:trHeight w:val="259"/>
        </w:trPr>
        <w:tc>
          <w:tcPr>
            <w:tcW w:w="953" w:type="pct"/>
            <w:vMerge/>
            <w:tcBorders>
              <w:top w:val="single" w:sz="8" w:space="0" w:color="auto"/>
              <w:left w:val="single" w:sz="8" w:space="0" w:color="auto"/>
              <w:bottom w:val="single" w:sz="8" w:space="0" w:color="000000"/>
              <w:right w:val="single" w:sz="8" w:space="0" w:color="auto"/>
            </w:tcBorders>
            <w:vAlign w:val="center"/>
            <w:hideMark/>
          </w:tcPr>
          <w:p w14:paraId="2E21FE9E"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6931B6D5" w14:textId="77777777" w:rsidR="00FC026B" w:rsidRPr="00C56257" w:rsidRDefault="00FC026B" w:rsidP="00993B86">
            <w:pPr>
              <w:jc w:val="both"/>
              <w:rPr>
                <w:color w:val="000000" w:themeColor="text1"/>
              </w:rPr>
            </w:pPr>
            <w:r w:rsidRPr="00C56257">
              <w:rPr>
                <w:color w:val="000000" w:themeColor="text1"/>
              </w:rPr>
              <w:t>Oră sfârşit</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333FF580"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63E63505" w14:textId="77777777" w:rsidTr="00993B86">
        <w:trPr>
          <w:cantSplit/>
          <w:trHeight w:val="259"/>
        </w:trPr>
        <w:tc>
          <w:tcPr>
            <w:tcW w:w="953" w:type="pct"/>
            <w:vMerge/>
            <w:tcBorders>
              <w:top w:val="single" w:sz="8" w:space="0" w:color="auto"/>
              <w:left w:val="single" w:sz="8" w:space="0" w:color="auto"/>
              <w:bottom w:val="single" w:sz="8" w:space="0" w:color="000000"/>
              <w:right w:val="single" w:sz="8" w:space="0" w:color="auto"/>
            </w:tcBorders>
            <w:vAlign w:val="center"/>
            <w:hideMark/>
          </w:tcPr>
          <w:p w14:paraId="77A33929"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4BD4DD2B" w14:textId="77777777" w:rsidR="00FC026B" w:rsidRPr="00C56257" w:rsidRDefault="00FC026B" w:rsidP="00993B86">
            <w:pPr>
              <w:jc w:val="both"/>
              <w:rPr>
                <w:color w:val="000000" w:themeColor="text1"/>
              </w:rPr>
            </w:pPr>
            <w:r w:rsidRPr="00C56257">
              <w:rPr>
                <w:color w:val="000000" w:themeColor="text1"/>
              </w:rPr>
              <w:t>Starea vremii</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40359D74"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76206B04" w14:textId="77777777" w:rsidTr="00993B86">
        <w:trPr>
          <w:cantSplit/>
          <w:trHeight w:val="259"/>
        </w:trPr>
        <w:tc>
          <w:tcPr>
            <w:tcW w:w="953" w:type="pct"/>
            <w:vMerge/>
            <w:tcBorders>
              <w:top w:val="single" w:sz="8" w:space="0" w:color="auto"/>
              <w:left w:val="single" w:sz="8" w:space="0" w:color="auto"/>
              <w:bottom w:val="single" w:sz="8" w:space="0" w:color="000000"/>
              <w:right w:val="single" w:sz="8" w:space="0" w:color="auto"/>
            </w:tcBorders>
            <w:vAlign w:val="center"/>
            <w:hideMark/>
          </w:tcPr>
          <w:p w14:paraId="118CDE68"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643CEA3C" w14:textId="77777777" w:rsidR="00FC026B" w:rsidRPr="00C56257" w:rsidRDefault="00FC026B" w:rsidP="00993B86">
            <w:pPr>
              <w:jc w:val="both"/>
              <w:rPr>
                <w:color w:val="000000" w:themeColor="text1"/>
              </w:rPr>
            </w:pPr>
            <w:r w:rsidRPr="00C56257">
              <w:rPr>
                <w:color w:val="000000" w:themeColor="text1"/>
              </w:rPr>
              <w:t>Starea mării</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0FF2F151"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154E253C" w14:textId="77777777" w:rsidTr="00993B86">
        <w:trPr>
          <w:cantSplit/>
          <w:trHeight w:val="259"/>
        </w:trPr>
        <w:tc>
          <w:tcPr>
            <w:tcW w:w="953" w:type="pct"/>
            <w:vMerge/>
            <w:tcBorders>
              <w:top w:val="single" w:sz="8" w:space="0" w:color="auto"/>
              <w:left w:val="single" w:sz="8" w:space="0" w:color="auto"/>
              <w:bottom w:val="single" w:sz="8" w:space="0" w:color="000000"/>
              <w:right w:val="single" w:sz="8" w:space="0" w:color="auto"/>
            </w:tcBorders>
            <w:vAlign w:val="center"/>
            <w:hideMark/>
          </w:tcPr>
          <w:p w14:paraId="54B67A4E"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777ED3EE" w14:textId="77777777" w:rsidR="00FC026B" w:rsidRPr="00C56257" w:rsidRDefault="00FC026B" w:rsidP="00993B86">
            <w:pPr>
              <w:jc w:val="both"/>
              <w:rPr>
                <w:color w:val="000000" w:themeColor="text1"/>
              </w:rPr>
            </w:pPr>
            <w:r w:rsidRPr="00C56257">
              <w:rPr>
                <w:color w:val="000000" w:themeColor="text1"/>
              </w:rPr>
              <w:t>Temperatură aer (°C)</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57954A3F"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46946785" w14:textId="77777777" w:rsidTr="00993B86">
        <w:trPr>
          <w:cantSplit/>
          <w:trHeight w:val="259"/>
        </w:trPr>
        <w:tc>
          <w:tcPr>
            <w:tcW w:w="953" w:type="pct"/>
            <w:vMerge/>
            <w:tcBorders>
              <w:top w:val="single" w:sz="8" w:space="0" w:color="auto"/>
              <w:left w:val="single" w:sz="8" w:space="0" w:color="auto"/>
              <w:bottom w:val="single" w:sz="8" w:space="0" w:color="000000"/>
              <w:right w:val="single" w:sz="8" w:space="0" w:color="auto"/>
            </w:tcBorders>
            <w:vAlign w:val="center"/>
            <w:hideMark/>
          </w:tcPr>
          <w:p w14:paraId="71F73A2C"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347F9FD9" w14:textId="77777777" w:rsidR="00FC026B" w:rsidRPr="00C56257" w:rsidRDefault="00FC026B" w:rsidP="00993B86">
            <w:pPr>
              <w:jc w:val="both"/>
              <w:rPr>
                <w:color w:val="000000" w:themeColor="text1"/>
              </w:rPr>
            </w:pPr>
            <w:r w:rsidRPr="00C56257">
              <w:rPr>
                <w:color w:val="000000" w:themeColor="text1"/>
              </w:rPr>
              <w:t>Acces staţie</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1F241709"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20B85487" w14:textId="77777777" w:rsidTr="00993B86">
        <w:trPr>
          <w:cantSplit/>
          <w:trHeight w:val="259"/>
        </w:trPr>
        <w:tc>
          <w:tcPr>
            <w:tcW w:w="953" w:type="pct"/>
            <w:vMerge/>
            <w:tcBorders>
              <w:top w:val="single" w:sz="8" w:space="0" w:color="auto"/>
              <w:left w:val="single" w:sz="8" w:space="0" w:color="auto"/>
              <w:bottom w:val="single" w:sz="8" w:space="0" w:color="000000"/>
              <w:right w:val="single" w:sz="8" w:space="0" w:color="auto"/>
            </w:tcBorders>
            <w:vAlign w:val="center"/>
            <w:hideMark/>
          </w:tcPr>
          <w:p w14:paraId="46543C72"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289FC72B" w14:textId="77777777" w:rsidR="00FC026B" w:rsidRPr="00C56257" w:rsidRDefault="00FC026B" w:rsidP="00993B86">
            <w:pPr>
              <w:jc w:val="both"/>
              <w:rPr>
                <w:color w:val="000000" w:themeColor="text1"/>
              </w:rPr>
            </w:pPr>
            <w:r w:rsidRPr="00C56257">
              <w:rPr>
                <w:color w:val="000000" w:themeColor="text1"/>
              </w:rPr>
              <w:t>Descriere staţie/Observaţii</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14A889BA"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72397A26" w14:textId="77777777" w:rsidTr="00993B86">
        <w:trPr>
          <w:cantSplit/>
          <w:trHeight w:val="259"/>
        </w:trPr>
        <w:tc>
          <w:tcPr>
            <w:tcW w:w="953" w:type="pct"/>
            <w:vMerge w:val="restart"/>
            <w:tcBorders>
              <w:top w:val="nil"/>
              <w:left w:val="single" w:sz="8" w:space="0" w:color="auto"/>
              <w:bottom w:val="single" w:sz="8" w:space="0" w:color="000000"/>
              <w:right w:val="single" w:sz="8" w:space="0" w:color="auto"/>
            </w:tcBorders>
            <w:shd w:val="clear" w:color="000000" w:fill="E7E6E6"/>
            <w:vAlign w:val="center"/>
            <w:hideMark/>
          </w:tcPr>
          <w:p w14:paraId="5A8F7C1C" w14:textId="77777777" w:rsidR="00FC026B" w:rsidRPr="00C56257" w:rsidRDefault="00FC026B" w:rsidP="00993B86">
            <w:pPr>
              <w:jc w:val="both"/>
              <w:rPr>
                <w:b/>
                <w:bCs/>
                <w:color w:val="000000" w:themeColor="text1"/>
              </w:rPr>
            </w:pPr>
            <w:r w:rsidRPr="00C56257">
              <w:rPr>
                <w:b/>
                <w:bCs/>
                <w:color w:val="000000" w:themeColor="text1"/>
              </w:rPr>
              <w:t>Prelevare probe</w:t>
            </w:r>
          </w:p>
        </w:tc>
        <w:tc>
          <w:tcPr>
            <w:tcW w:w="1911" w:type="pct"/>
            <w:tcBorders>
              <w:top w:val="nil"/>
              <w:left w:val="nil"/>
              <w:bottom w:val="single" w:sz="4" w:space="0" w:color="auto"/>
              <w:right w:val="single" w:sz="4" w:space="0" w:color="auto"/>
            </w:tcBorders>
            <w:shd w:val="clear" w:color="auto" w:fill="auto"/>
            <w:noWrap/>
            <w:vAlign w:val="bottom"/>
            <w:hideMark/>
          </w:tcPr>
          <w:p w14:paraId="4D99196F" w14:textId="77777777" w:rsidR="00FC026B" w:rsidRPr="00C56257" w:rsidRDefault="00FC026B" w:rsidP="00993B86">
            <w:pPr>
              <w:jc w:val="both"/>
              <w:rPr>
                <w:color w:val="000000" w:themeColor="text1"/>
              </w:rPr>
            </w:pPr>
            <w:r w:rsidRPr="00C56257">
              <w:rPr>
                <w:color w:val="000000" w:themeColor="text1"/>
              </w:rPr>
              <w:t>Probă apă (oxigen dizolvat)</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05719A4F"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11A87D5E"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220FFF83"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5ACA1A3B" w14:textId="77777777" w:rsidR="00FC026B" w:rsidRPr="00C56257" w:rsidRDefault="00FC026B" w:rsidP="00993B86">
            <w:pPr>
              <w:jc w:val="both"/>
              <w:rPr>
                <w:color w:val="000000" w:themeColor="text1"/>
              </w:rPr>
            </w:pPr>
            <w:r w:rsidRPr="00C56257">
              <w:rPr>
                <w:color w:val="000000" w:themeColor="text1"/>
              </w:rPr>
              <w:t>Probă apă  (CBO5)</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165D3AE1"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4CE5587D"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07DE3866"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vAlign w:val="bottom"/>
            <w:hideMark/>
          </w:tcPr>
          <w:p w14:paraId="73264BD6" w14:textId="77777777" w:rsidR="00FC026B" w:rsidRPr="00C56257" w:rsidRDefault="00FC026B" w:rsidP="00993B86">
            <w:pPr>
              <w:jc w:val="both"/>
              <w:rPr>
                <w:color w:val="000000" w:themeColor="text1"/>
              </w:rPr>
            </w:pPr>
            <w:r w:rsidRPr="00C56257">
              <w:rPr>
                <w:color w:val="000000" w:themeColor="text1"/>
              </w:rPr>
              <w:t>Probă apă  parametri chimici (nutrienţi, substanţă organică)</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1F384615"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21C2665A"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15808A7B"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7F4D46B4" w14:textId="77777777" w:rsidR="00FC026B" w:rsidRPr="00C56257" w:rsidRDefault="00FC026B" w:rsidP="00993B86">
            <w:pPr>
              <w:jc w:val="both"/>
              <w:rPr>
                <w:color w:val="000000" w:themeColor="text1"/>
              </w:rPr>
            </w:pPr>
            <w:r w:rsidRPr="00C56257">
              <w:rPr>
                <w:color w:val="000000" w:themeColor="text1"/>
              </w:rPr>
              <w:t>Probă apă  (suspensii)</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529E662B"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4FCE8580"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39DD3F4C"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77D20DB7" w14:textId="77777777" w:rsidR="00FC026B" w:rsidRPr="00C56257" w:rsidRDefault="00FC026B" w:rsidP="00993B86">
            <w:pPr>
              <w:jc w:val="both"/>
              <w:rPr>
                <w:color w:val="000000" w:themeColor="text1"/>
              </w:rPr>
            </w:pPr>
            <w:r w:rsidRPr="00C56257">
              <w:rPr>
                <w:color w:val="000000" w:themeColor="text1"/>
              </w:rPr>
              <w:t>Proba sediment (poluanţi, TOC) (1150, 1160)</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50650DC8"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6730FCDC"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40E46328"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14BCBF57" w14:textId="77777777" w:rsidR="00FC026B" w:rsidRPr="00C56257" w:rsidRDefault="00FC026B" w:rsidP="00993B86">
            <w:pPr>
              <w:jc w:val="both"/>
              <w:rPr>
                <w:color w:val="000000" w:themeColor="text1"/>
              </w:rPr>
            </w:pPr>
            <w:r w:rsidRPr="00C56257">
              <w:rPr>
                <w:color w:val="000000" w:themeColor="text1"/>
              </w:rPr>
              <w:t>Probă apă  (clorofilă) (l)</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28051CDC"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27C2D779"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5D617510"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7ED4CB4A" w14:textId="77777777" w:rsidR="00FC026B" w:rsidRPr="00C56257" w:rsidRDefault="00FC026B" w:rsidP="00993B86">
            <w:pPr>
              <w:jc w:val="both"/>
              <w:rPr>
                <w:color w:val="000000" w:themeColor="text1"/>
              </w:rPr>
            </w:pPr>
            <w:r w:rsidRPr="00C56257">
              <w:rPr>
                <w:color w:val="000000" w:themeColor="text1"/>
              </w:rPr>
              <w:t>Probă apă  (fitoplankton) (l)</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4487C5FA"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5B69FE5C"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78D0F3A7"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03203E70" w14:textId="77777777" w:rsidR="00FC026B" w:rsidRPr="00C56257" w:rsidRDefault="00FC026B" w:rsidP="00993B86">
            <w:pPr>
              <w:jc w:val="both"/>
              <w:rPr>
                <w:color w:val="000000" w:themeColor="text1"/>
              </w:rPr>
            </w:pPr>
            <w:r w:rsidRPr="00C56257">
              <w:rPr>
                <w:color w:val="000000" w:themeColor="text1"/>
              </w:rPr>
              <w:t>Probă apă  (zooplankton) (l)</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07081067"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1A8EB2A1"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0C4FF013"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71B9B93A" w14:textId="77777777" w:rsidR="00FC026B" w:rsidRPr="00C56257" w:rsidRDefault="00FC026B" w:rsidP="00993B86">
            <w:pPr>
              <w:jc w:val="both"/>
              <w:rPr>
                <w:color w:val="000000" w:themeColor="text1"/>
              </w:rPr>
            </w:pPr>
            <w:r w:rsidRPr="00C56257">
              <w:rPr>
                <w:color w:val="000000" w:themeColor="text1"/>
              </w:rPr>
              <w:t>Probă macroalge</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7D03EC57"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2C54C740"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6F67890D"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000000" w:fill="FFFFFF"/>
            <w:noWrap/>
            <w:vAlign w:val="bottom"/>
            <w:hideMark/>
          </w:tcPr>
          <w:p w14:paraId="7201AB42" w14:textId="77777777" w:rsidR="00FC026B" w:rsidRPr="00C56257" w:rsidRDefault="00FC026B" w:rsidP="00993B86">
            <w:pPr>
              <w:jc w:val="both"/>
              <w:rPr>
                <w:color w:val="000000" w:themeColor="text1"/>
              </w:rPr>
            </w:pPr>
            <w:r w:rsidRPr="00C56257">
              <w:rPr>
                <w:color w:val="000000" w:themeColor="text1"/>
              </w:rPr>
              <w:t>Cantitate Van Veen (macrozoobentos)</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451406C7"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744A1177"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4B6CBC9D"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000000" w:fill="FFFFFF"/>
            <w:noWrap/>
            <w:vAlign w:val="bottom"/>
            <w:hideMark/>
          </w:tcPr>
          <w:p w14:paraId="258CAF20" w14:textId="77777777" w:rsidR="00FC026B" w:rsidRPr="00C56257" w:rsidRDefault="00FC026B" w:rsidP="00993B86">
            <w:pPr>
              <w:jc w:val="both"/>
              <w:rPr>
                <w:color w:val="000000" w:themeColor="text1"/>
              </w:rPr>
            </w:pPr>
            <w:r w:rsidRPr="00C56257">
              <w:rPr>
                <w:color w:val="000000" w:themeColor="text1"/>
              </w:rPr>
              <w:t>Nr probe sedimente (macroozobentos)</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21271B2B"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3C614289"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588D020F"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3494CECB" w14:textId="77777777" w:rsidR="00FC026B" w:rsidRPr="00C56257" w:rsidRDefault="00FC026B" w:rsidP="00993B86">
            <w:pPr>
              <w:jc w:val="both"/>
              <w:rPr>
                <w:color w:val="000000" w:themeColor="text1"/>
              </w:rPr>
            </w:pPr>
            <w:r w:rsidRPr="00C56257">
              <w:rPr>
                <w:color w:val="000000" w:themeColor="text1"/>
              </w:rPr>
              <w:t xml:space="preserve">Proba sedimente (granulometrie) </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4BCE1750"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1E9FA114" w14:textId="77777777" w:rsidTr="00993B86">
        <w:trPr>
          <w:cantSplit/>
          <w:trHeight w:val="259"/>
        </w:trPr>
        <w:tc>
          <w:tcPr>
            <w:tcW w:w="953" w:type="pct"/>
            <w:vMerge w:val="restart"/>
            <w:tcBorders>
              <w:top w:val="nil"/>
              <w:left w:val="single" w:sz="8" w:space="0" w:color="auto"/>
              <w:bottom w:val="single" w:sz="8" w:space="0" w:color="000000"/>
              <w:right w:val="single" w:sz="8" w:space="0" w:color="auto"/>
            </w:tcBorders>
            <w:shd w:val="clear" w:color="000000" w:fill="E7E6E6"/>
            <w:noWrap/>
            <w:vAlign w:val="center"/>
            <w:hideMark/>
          </w:tcPr>
          <w:p w14:paraId="7A425FE0" w14:textId="77777777" w:rsidR="00FC026B" w:rsidRPr="00C56257" w:rsidRDefault="00FC026B" w:rsidP="00993B86">
            <w:pPr>
              <w:jc w:val="both"/>
              <w:rPr>
                <w:b/>
                <w:bCs/>
                <w:color w:val="000000" w:themeColor="text1"/>
              </w:rPr>
            </w:pPr>
            <w:r w:rsidRPr="00C56257">
              <w:rPr>
                <w:b/>
                <w:bCs/>
                <w:color w:val="000000" w:themeColor="text1"/>
              </w:rPr>
              <w:t>Caracterizare fiziografică</w:t>
            </w:r>
          </w:p>
        </w:tc>
        <w:tc>
          <w:tcPr>
            <w:tcW w:w="1911" w:type="pct"/>
            <w:tcBorders>
              <w:top w:val="nil"/>
              <w:left w:val="nil"/>
              <w:bottom w:val="single" w:sz="4" w:space="0" w:color="auto"/>
              <w:right w:val="single" w:sz="4" w:space="0" w:color="auto"/>
            </w:tcBorders>
            <w:shd w:val="clear" w:color="auto" w:fill="auto"/>
            <w:noWrap/>
            <w:vAlign w:val="bottom"/>
            <w:hideMark/>
          </w:tcPr>
          <w:p w14:paraId="5F6519F8" w14:textId="77777777" w:rsidR="00FC026B" w:rsidRPr="00C56257" w:rsidRDefault="00FC026B" w:rsidP="00993B86">
            <w:pPr>
              <w:jc w:val="both"/>
              <w:rPr>
                <w:color w:val="000000" w:themeColor="text1"/>
              </w:rPr>
            </w:pPr>
            <w:r w:rsidRPr="00C56257">
              <w:rPr>
                <w:color w:val="000000" w:themeColor="text1"/>
              </w:rPr>
              <w:t>Prezenţă barierei lagunare</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44A23A33"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248A98BA"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6CF33AFA"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4A2A8A4C" w14:textId="77777777" w:rsidR="00FC026B" w:rsidRPr="00C56257" w:rsidRDefault="00FC026B" w:rsidP="00993B86">
            <w:pPr>
              <w:jc w:val="both"/>
              <w:rPr>
                <w:color w:val="000000" w:themeColor="text1"/>
              </w:rPr>
            </w:pPr>
            <w:r w:rsidRPr="00C56257">
              <w:rPr>
                <w:color w:val="000000" w:themeColor="text1"/>
              </w:rPr>
              <w:t>Morfologia malului</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5D085AA7"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1DCE0C89"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7411EC29"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6E9DE3DE" w14:textId="77777777" w:rsidR="00FC026B" w:rsidRPr="00C56257" w:rsidRDefault="00FC026B" w:rsidP="00993B86">
            <w:pPr>
              <w:jc w:val="both"/>
              <w:rPr>
                <w:color w:val="000000" w:themeColor="text1"/>
              </w:rPr>
            </w:pPr>
            <w:r w:rsidRPr="00C56257">
              <w:rPr>
                <w:color w:val="000000" w:themeColor="text1"/>
              </w:rPr>
              <w:t>Vegetaţie maluri</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3A3BA8F8"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6EBFF0C5"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04C3A077"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5FEFADA6" w14:textId="77777777" w:rsidR="00FC026B" w:rsidRPr="00C56257" w:rsidRDefault="00FC026B" w:rsidP="00993B86">
            <w:pPr>
              <w:jc w:val="both"/>
              <w:rPr>
                <w:color w:val="000000" w:themeColor="text1"/>
              </w:rPr>
            </w:pPr>
            <w:r w:rsidRPr="00C56257">
              <w:rPr>
                <w:color w:val="000000" w:themeColor="text1"/>
              </w:rPr>
              <w:t>Vegetaţie plutitoare</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08E5B0E5"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3D3CF00C"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54849C84"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7E7563F8" w14:textId="77777777" w:rsidR="00FC026B" w:rsidRPr="00C56257" w:rsidRDefault="00FC026B" w:rsidP="00993B86">
            <w:pPr>
              <w:jc w:val="both"/>
              <w:rPr>
                <w:color w:val="000000" w:themeColor="text1"/>
              </w:rPr>
            </w:pPr>
            <w:r w:rsidRPr="00C56257">
              <w:rPr>
                <w:color w:val="000000" w:themeColor="text1"/>
              </w:rPr>
              <w:t>Tip sediment (1150 si 1160)</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78891022"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637FBDBA"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65D1D466"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000000" w:fill="FFFFFF"/>
            <w:noWrap/>
            <w:vAlign w:val="bottom"/>
            <w:hideMark/>
          </w:tcPr>
          <w:p w14:paraId="3DCE374E" w14:textId="77777777" w:rsidR="00FC026B" w:rsidRPr="00C56257" w:rsidRDefault="00FC026B" w:rsidP="00993B86">
            <w:pPr>
              <w:jc w:val="both"/>
              <w:rPr>
                <w:color w:val="000000" w:themeColor="text1"/>
              </w:rPr>
            </w:pPr>
            <w:r w:rsidRPr="00C56257">
              <w:rPr>
                <w:color w:val="000000" w:themeColor="text1"/>
              </w:rPr>
              <w:t>Temperatură suprafaţă (°C)</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2B2C748B"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30484683"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369E827B"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000000" w:fill="FFFFFF"/>
            <w:noWrap/>
            <w:vAlign w:val="bottom"/>
            <w:hideMark/>
          </w:tcPr>
          <w:p w14:paraId="7A007076" w14:textId="77777777" w:rsidR="00FC026B" w:rsidRPr="00C56257" w:rsidRDefault="00FC026B" w:rsidP="00993B86">
            <w:pPr>
              <w:jc w:val="both"/>
              <w:rPr>
                <w:color w:val="000000" w:themeColor="text1"/>
              </w:rPr>
            </w:pPr>
            <w:r w:rsidRPr="00C56257">
              <w:rPr>
                <w:color w:val="000000" w:themeColor="text1"/>
              </w:rPr>
              <w:t>Temperatură fund (°C)</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7DE75F84"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42EEE9AE"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5FC5D74B"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000000" w:fill="FFFFFF"/>
            <w:noWrap/>
            <w:vAlign w:val="bottom"/>
            <w:hideMark/>
          </w:tcPr>
          <w:p w14:paraId="43E151EE" w14:textId="77777777" w:rsidR="00FC026B" w:rsidRPr="00C56257" w:rsidRDefault="00FC026B" w:rsidP="00993B86">
            <w:pPr>
              <w:jc w:val="both"/>
              <w:rPr>
                <w:color w:val="000000" w:themeColor="text1"/>
              </w:rPr>
            </w:pPr>
            <w:r w:rsidRPr="00C56257">
              <w:rPr>
                <w:color w:val="000000" w:themeColor="text1"/>
              </w:rPr>
              <w:t>Salinitate suprafaţă (PSU)</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3610F0B4"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2863CE0A"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62878C34"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000000" w:fill="FFFFFF"/>
            <w:noWrap/>
            <w:vAlign w:val="bottom"/>
            <w:hideMark/>
          </w:tcPr>
          <w:p w14:paraId="051A987C" w14:textId="77777777" w:rsidR="00FC026B" w:rsidRPr="00C56257" w:rsidRDefault="00FC026B" w:rsidP="00993B86">
            <w:pPr>
              <w:jc w:val="both"/>
              <w:rPr>
                <w:color w:val="000000" w:themeColor="text1"/>
              </w:rPr>
            </w:pPr>
            <w:r w:rsidRPr="00C56257">
              <w:rPr>
                <w:color w:val="000000" w:themeColor="text1"/>
              </w:rPr>
              <w:t>Salinitate fund (PSU)</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68588E9B"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01DA7B79"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17E42788"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26CD5457" w14:textId="77777777" w:rsidR="00FC026B" w:rsidRPr="00C56257" w:rsidRDefault="00FC026B" w:rsidP="00993B86">
            <w:pPr>
              <w:jc w:val="both"/>
              <w:rPr>
                <w:color w:val="000000" w:themeColor="text1"/>
              </w:rPr>
            </w:pPr>
            <w:r w:rsidRPr="00C56257">
              <w:rPr>
                <w:color w:val="000000" w:themeColor="text1"/>
              </w:rPr>
              <w:t>Transparenţă (m)</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2E294F78"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46C347C8" w14:textId="77777777" w:rsidTr="00993B86">
        <w:trPr>
          <w:cantSplit/>
          <w:trHeight w:val="259"/>
        </w:trPr>
        <w:tc>
          <w:tcPr>
            <w:tcW w:w="953" w:type="pct"/>
            <w:vMerge w:val="restart"/>
            <w:tcBorders>
              <w:top w:val="nil"/>
              <w:left w:val="single" w:sz="8" w:space="0" w:color="auto"/>
              <w:bottom w:val="single" w:sz="8" w:space="0" w:color="000000"/>
              <w:right w:val="single" w:sz="8" w:space="0" w:color="auto"/>
            </w:tcBorders>
            <w:shd w:val="clear" w:color="000000" w:fill="E7E6E6"/>
            <w:noWrap/>
            <w:vAlign w:val="center"/>
            <w:hideMark/>
          </w:tcPr>
          <w:p w14:paraId="35BF925F" w14:textId="77777777" w:rsidR="00FC026B" w:rsidRPr="00C56257" w:rsidRDefault="00FC026B" w:rsidP="00993B86">
            <w:pPr>
              <w:jc w:val="both"/>
              <w:rPr>
                <w:b/>
                <w:bCs/>
                <w:color w:val="000000" w:themeColor="text1"/>
              </w:rPr>
            </w:pPr>
            <w:r w:rsidRPr="00C56257">
              <w:rPr>
                <w:b/>
                <w:bCs/>
                <w:color w:val="000000" w:themeColor="text1"/>
              </w:rPr>
              <w:t>Chimie</w:t>
            </w:r>
          </w:p>
        </w:tc>
        <w:tc>
          <w:tcPr>
            <w:tcW w:w="1911" w:type="pct"/>
            <w:tcBorders>
              <w:top w:val="nil"/>
              <w:left w:val="nil"/>
              <w:bottom w:val="single" w:sz="4" w:space="0" w:color="auto"/>
              <w:right w:val="single" w:sz="4" w:space="0" w:color="auto"/>
            </w:tcBorders>
            <w:shd w:val="clear" w:color="auto" w:fill="auto"/>
            <w:noWrap/>
            <w:vAlign w:val="bottom"/>
            <w:hideMark/>
          </w:tcPr>
          <w:p w14:paraId="115F0FF2" w14:textId="77777777" w:rsidR="00FC026B" w:rsidRPr="00C56257" w:rsidRDefault="00FC026B" w:rsidP="00993B86">
            <w:pPr>
              <w:jc w:val="both"/>
              <w:rPr>
                <w:color w:val="000000" w:themeColor="text1"/>
              </w:rPr>
            </w:pPr>
            <w:r w:rsidRPr="00C56257">
              <w:rPr>
                <w:color w:val="000000" w:themeColor="text1"/>
              </w:rPr>
              <w:t>Oxigen dizolvat  (mg/L)</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06F381B2"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370A2B7D"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4CA58D63"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062DDE9E" w14:textId="77777777" w:rsidR="00FC026B" w:rsidRPr="00C56257" w:rsidRDefault="00FC026B" w:rsidP="00993B86">
            <w:pPr>
              <w:jc w:val="both"/>
              <w:rPr>
                <w:color w:val="000000" w:themeColor="text1"/>
              </w:rPr>
            </w:pPr>
            <w:r w:rsidRPr="00C56257">
              <w:rPr>
                <w:color w:val="000000" w:themeColor="text1"/>
              </w:rPr>
              <w:t>Saturaţieî oxigen dizolvat (%)</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28C20A19"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4B760F82"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1C331C0D"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6FC7D6B1" w14:textId="77777777" w:rsidR="00FC026B" w:rsidRPr="00C56257" w:rsidRDefault="00FC026B" w:rsidP="00993B86">
            <w:pPr>
              <w:jc w:val="both"/>
              <w:rPr>
                <w:color w:val="000000" w:themeColor="text1"/>
              </w:rPr>
            </w:pPr>
            <w:r w:rsidRPr="00C56257">
              <w:rPr>
                <w:color w:val="000000" w:themeColor="text1"/>
              </w:rPr>
              <w:t>Consum biochimic de oxigen - CBO</w:t>
            </w:r>
            <w:r w:rsidRPr="00C56257">
              <w:rPr>
                <w:color w:val="000000" w:themeColor="text1"/>
                <w:vertAlign w:val="subscript"/>
              </w:rPr>
              <w:t>5</w:t>
            </w:r>
            <w:r w:rsidRPr="00C56257">
              <w:rPr>
                <w:color w:val="000000" w:themeColor="text1"/>
              </w:rPr>
              <w:t xml:space="preserve"> (mg/L)</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60843870"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2FBDB73C"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0B3DBA82"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5A28BD41" w14:textId="77777777" w:rsidR="00FC026B" w:rsidRPr="00C56257" w:rsidRDefault="00FC026B" w:rsidP="00993B86">
            <w:pPr>
              <w:jc w:val="both"/>
              <w:rPr>
                <w:color w:val="000000" w:themeColor="text1"/>
              </w:rPr>
            </w:pPr>
            <w:r w:rsidRPr="00C56257">
              <w:rPr>
                <w:color w:val="000000" w:themeColor="text1"/>
              </w:rPr>
              <w:t>pH</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67F15102"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062992B9"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1C2B35CB"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40BB5AAD" w14:textId="77777777" w:rsidR="00FC026B" w:rsidRPr="00C56257" w:rsidRDefault="00FC026B" w:rsidP="00993B86">
            <w:pPr>
              <w:jc w:val="both"/>
              <w:rPr>
                <w:color w:val="000000" w:themeColor="text1"/>
              </w:rPr>
            </w:pPr>
            <w:r w:rsidRPr="00C56257">
              <w:rPr>
                <w:color w:val="000000" w:themeColor="text1"/>
              </w:rPr>
              <w:t>Conţinutul în suspensii solide totale (mg/L)</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6E9285F2"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153782AA"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03EE75CA"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vAlign w:val="bottom"/>
            <w:hideMark/>
          </w:tcPr>
          <w:p w14:paraId="6E296ACC" w14:textId="77777777" w:rsidR="00FC026B" w:rsidRPr="00C56257" w:rsidRDefault="00FC026B" w:rsidP="00993B86">
            <w:pPr>
              <w:jc w:val="both"/>
              <w:rPr>
                <w:color w:val="000000" w:themeColor="text1"/>
              </w:rPr>
            </w:pPr>
            <w:r w:rsidRPr="00C56257">
              <w:rPr>
                <w:color w:val="000000" w:themeColor="text1"/>
              </w:rPr>
              <w:t xml:space="preserve">Poluanţi (% compuşi care depasesc limitele propuse pentru starea ecologica buna) </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45F2F897"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2384A70E"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0D9C6404"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43B5A008" w14:textId="77777777" w:rsidR="00FC026B" w:rsidRPr="00C56257" w:rsidRDefault="00FC026B" w:rsidP="00993B86">
            <w:pPr>
              <w:jc w:val="both"/>
              <w:rPr>
                <w:color w:val="000000" w:themeColor="text1"/>
              </w:rPr>
            </w:pPr>
            <w:r w:rsidRPr="00C56257">
              <w:rPr>
                <w:color w:val="000000" w:themeColor="text1"/>
              </w:rPr>
              <w:t>Azotaţi (N-NO</w:t>
            </w:r>
            <w:r w:rsidRPr="00C56257">
              <w:rPr>
                <w:color w:val="000000" w:themeColor="text1"/>
                <w:vertAlign w:val="subscript"/>
              </w:rPr>
              <w:t>3</w:t>
            </w:r>
            <w:r w:rsidRPr="00C56257">
              <w:rPr>
                <w:color w:val="000000" w:themeColor="text1"/>
              </w:rPr>
              <w:t>) (mgN/L)</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29C91DB0"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59FE1DA2"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33098DD1"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10925A94" w14:textId="77777777" w:rsidR="00FC026B" w:rsidRPr="00C56257" w:rsidRDefault="00FC026B" w:rsidP="00993B86">
            <w:pPr>
              <w:jc w:val="both"/>
              <w:rPr>
                <w:color w:val="000000" w:themeColor="text1"/>
              </w:rPr>
            </w:pPr>
            <w:r w:rsidRPr="00C56257">
              <w:rPr>
                <w:color w:val="000000" w:themeColor="text1"/>
              </w:rPr>
              <w:t>Azotiţi (N-NO</w:t>
            </w:r>
            <w:r w:rsidRPr="00C56257">
              <w:rPr>
                <w:color w:val="000000" w:themeColor="text1"/>
                <w:vertAlign w:val="subscript"/>
              </w:rPr>
              <w:t>2</w:t>
            </w:r>
            <w:r w:rsidRPr="00C56257">
              <w:rPr>
                <w:color w:val="000000" w:themeColor="text1"/>
              </w:rPr>
              <w:t>) (mgN/L)</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59A99676"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62CC0A61"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04C3B7DB"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63710487" w14:textId="77777777" w:rsidR="00FC026B" w:rsidRPr="00C56257" w:rsidRDefault="00FC026B" w:rsidP="00993B86">
            <w:pPr>
              <w:jc w:val="both"/>
              <w:rPr>
                <w:color w:val="000000" w:themeColor="text1"/>
              </w:rPr>
            </w:pPr>
            <w:r w:rsidRPr="00C56257">
              <w:rPr>
                <w:color w:val="000000" w:themeColor="text1"/>
              </w:rPr>
              <w:t>Azot amoniacal (N-NH</w:t>
            </w:r>
            <w:r w:rsidRPr="00C56257">
              <w:rPr>
                <w:color w:val="000000" w:themeColor="text1"/>
                <w:vertAlign w:val="subscript"/>
              </w:rPr>
              <w:t>4</w:t>
            </w:r>
            <w:r w:rsidRPr="00C56257">
              <w:rPr>
                <w:color w:val="000000" w:themeColor="text1"/>
              </w:rPr>
              <w:t>) (mgN/L)</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01C7A330"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79DE5ED3"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48B70FF2"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31EB8630" w14:textId="77777777" w:rsidR="00FC026B" w:rsidRPr="00C56257" w:rsidRDefault="00FC026B" w:rsidP="00993B86">
            <w:pPr>
              <w:jc w:val="both"/>
              <w:rPr>
                <w:color w:val="000000" w:themeColor="text1"/>
              </w:rPr>
            </w:pPr>
            <w:r w:rsidRPr="00C56257">
              <w:rPr>
                <w:color w:val="000000" w:themeColor="text1"/>
              </w:rPr>
              <w:t>Fosfor total (mgP/L)</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3387C005"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158E8F35"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62E8AAC7"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12EC8450" w14:textId="77777777" w:rsidR="00FC026B" w:rsidRPr="00C56257" w:rsidRDefault="00FC026B" w:rsidP="00993B86">
            <w:pPr>
              <w:jc w:val="both"/>
              <w:rPr>
                <w:color w:val="000000" w:themeColor="text1"/>
              </w:rPr>
            </w:pPr>
            <w:r w:rsidRPr="00C56257">
              <w:rPr>
                <w:color w:val="000000" w:themeColor="text1"/>
              </w:rPr>
              <w:t>Fosfati (P-PO</w:t>
            </w:r>
            <w:r w:rsidRPr="00C56257">
              <w:rPr>
                <w:color w:val="000000" w:themeColor="text1"/>
                <w:vertAlign w:val="subscript"/>
              </w:rPr>
              <w:t>4</w:t>
            </w:r>
            <w:r w:rsidRPr="00C56257">
              <w:rPr>
                <w:color w:val="000000" w:themeColor="text1"/>
              </w:rPr>
              <w:t>) (mg P/L)</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169CB9BF"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3E0D9749" w14:textId="77777777" w:rsidTr="00993B86">
        <w:trPr>
          <w:cantSplit/>
          <w:trHeight w:val="259"/>
        </w:trPr>
        <w:tc>
          <w:tcPr>
            <w:tcW w:w="953" w:type="pct"/>
            <w:vMerge/>
            <w:tcBorders>
              <w:top w:val="nil"/>
              <w:left w:val="single" w:sz="8" w:space="0" w:color="auto"/>
              <w:bottom w:val="single" w:sz="8" w:space="0" w:color="000000"/>
              <w:right w:val="single" w:sz="8" w:space="0" w:color="auto"/>
            </w:tcBorders>
            <w:vAlign w:val="center"/>
            <w:hideMark/>
          </w:tcPr>
          <w:p w14:paraId="1918AE49"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62E2EBAD" w14:textId="77777777" w:rsidR="00FC026B" w:rsidRPr="00C56257" w:rsidRDefault="00FC026B" w:rsidP="00993B86">
            <w:pPr>
              <w:jc w:val="both"/>
              <w:rPr>
                <w:color w:val="000000" w:themeColor="text1"/>
              </w:rPr>
            </w:pPr>
            <w:r w:rsidRPr="00C56257">
              <w:rPr>
                <w:color w:val="000000" w:themeColor="text1"/>
              </w:rPr>
              <w:t>CCO-Mn (mg O</w:t>
            </w:r>
            <w:r w:rsidRPr="00C56257">
              <w:rPr>
                <w:color w:val="000000" w:themeColor="text1"/>
                <w:vertAlign w:val="subscript"/>
              </w:rPr>
              <w:t>2</w:t>
            </w:r>
            <w:r w:rsidRPr="00C56257">
              <w:rPr>
                <w:color w:val="000000" w:themeColor="text1"/>
              </w:rPr>
              <w:t>/L)</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36783ECA"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11B5A69A" w14:textId="77777777" w:rsidTr="00993B86">
        <w:trPr>
          <w:cantSplit/>
          <w:trHeight w:val="259"/>
        </w:trPr>
        <w:tc>
          <w:tcPr>
            <w:tcW w:w="953" w:type="pct"/>
            <w:vMerge/>
            <w:tcBorders>
              <w:top w:val="nil"/>
              <w:left w:val="single" w:sz="8" w:space="0" w:color="auto"/>
              <w:bottom w:val="single" w:sz="8" w:space="0" w:color="auto"/>
              <w:right w:val="single" w:sz="8" w:space="0" w:color="auto"/>
            </w:tcBorders>
            <w:vAlign w:val="center"/>
            <w:hideMark/>
          </w:tcPr>
          <w:p w14:paraId="2A71A56F" w14:textId="77777777" w:rsidR="00FC026B" w:rsidRPr="00C56257" w:rsidRDefault="00FC026B" w:rsidP="00993B86">
            <w:pPr>
              <w:jc w:val="both"/>
              <w:rPr>
                <w:b/>
                <w:bCs/>
                <w:color w:val="000000" w:themeColor="text1"/>
              </w:rPr>
            </w:pPr>
          </w:p>
        </w:tc>
        <w:tc>
          <w:tcPr>
            <w:tcW w:w="1911" w:type="pct"/>
            <w:tcBorders>
              <w:top w:val="nil"/>
              <w:left w:val="nil"/>
              <w:bottom w:val="single" w:sz="4" w:space="0" w:color="auto"/>
              <w:right w:val="single" w:sz="4" w:space="0" w:color="auto"/>
            </w:tcBorders>
            <w:shd w:val="clear" w:color="auto" w:fill="auto"/>
            <w:noWrap/>
            <w:vAlign w:val="bottom"/>
            <w:hideMark/>
          </w:tcPr>
          <w:p w14:paraId="64E46BF6" w14:textId="77777777" w:rsidR="00FC026B" w:rsidRPr="00C56257" w:rsidRDefault="00FC026B" w:rsidP="00993B86">
            <w:pPr>
              <w:jc w:val="both"/>
              <w:rPr>
                <w:color w:val="000000" w:themeColor="text1"/>
              </w:rPr>
            </w:pPr>
            <w:r w:rsidRPr="00C56257">
              <w:rPr>
                <w:color w:val="000000" w:themeColor="text1"/>
              </w:rPr>
              <w:t>TOC sedimente (%)</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2A0EB800"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306F16A6" w14:textId="77777777" w:rsidTr="00993B86">
        <w:trPr>
          <w:cantSplit/>
          <w:trHeight w:val="259"/>
        </w:trPr>
        <w:tc>
          <w:tcPr>
            <w:tcW w:w="953" w:type="pct"/>
            <w:vMerge w:val="restart"/>
            <w:tcBorders>
              <w:top w:val="single" w:sz="8" w:space="0" w:color="auto"/>
              <w:left w:val="single" w:sz="8" w:space="0" w:color="auto"/>
              <w:bottom w:val="single" w:sz="8" w:space="0" w:color="auto"/>
              <w:right w:val="single" w:sz="8" w:space="0" w:color="auto"/>
            </w:tcBorders>
            <w:shd w:val="clear" w:color="000000" w:fill="E7E6E6"/>
            <w:vAlign w:val="center"/>
            <w:hideMark/>
          </w:tcPr>
          <w:p w14:paraId="00C52A2E" w14:textId="77777777" w:rsidR="00FC026B" w:rsidRPr="00C56257" w:rsidRDefault="00FC026B" w:rsidP="00993B86">
            <w:pPr>
              <w:jc w:val="both"/>
              <w:rPr>
                <w:b/>
                <w:bCs/>
                <w:color w:val="000000" w:themeColor="text1"/>
              </w:rPr>
            </w:pPr>
            <w:r w:rsidRPr="00C56257">
              <w:rPr>
                <w:b/>
                <w:bCs/>
                <w:color w:val="000000" w:themeColor="text1"/>
              </w:rPr>
              <w:t>Structură şi funcţii</w:t>
            </w:r>
          </w:p>
        </w:tc>
        <w:tc>
          <w:tcPr>
            <w:tcW w:w="1911" w:type="pct"/>
            <w:tcBorders>
              <w:top w:val="nil"/>
              <w:left w:val="single" w:sz="8" w:space="0" w:color="auto"/>
              <w:bottom w:val="nil"/>
              <w:right w:val="single" w:sz="4" w:space="0" w:color="auto"/>
            </w:tcBorders>
            <w:shd w:val="clear" w:color="auto" w:fill="auto"/>
            <w:noWrap/>
            <w:vAlign w:val="center"/>
            <w:hideMark/>
          </w:tcPr>
          <w:p w14:paraId="26EFDE16" w14:textId="77777777" w:rsidR="00FC026B" w:rsidRPr="00C56257" w:rsidRDefault="00FC026B" w:rsidP="00993B86">
            <w:pPr>
              <w:jc w:val="both"/>
              <w:rPr>
                <w:color w:val="000000" w:themeColor="text1"/>
              </w:rPr>
            </w:pPr>
            <w:r w:rsidRPr="00C56257">
              <w:rPr>
                <w:color w:val="000000" w:themeColor="text1"/>
              </w:rPr>
              <w:t xml:space="preserve">Grad eutrofizare </w:t>
            </w:r>
          </w:p>
        </w:tc>
        <w:tc>
          <w:tcPr>
            <w:tcW w:w="2137"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27AE62" w14:textId="77777777" w:rsidR="00FC026B" w:rsidRPr="00C56257" w:rsidRDefault="00FC026B" w:rsidP="00993B86">
            <w:pPr>
              <w:spacing w:line="259" w:lineRule="auto"/>
              <w:jc w:val="both"/>
              <w:rPr>
                <w:color w:val="000000" w:themeColor="text1"/>
              </w:rPr>
            </w:pPr>
            <w:r w:rsidRPr="00C56257">
              <w:rPr>
                <w:color w:val="000000" w:themeColor="text1"/>
              </w:rPr>
              <w:t>Bună</w:t>
            </w:r>
          </w:p>
          <w:p w14:paraId="1C59DA61" w14:textId="77777777" w:rsidR="00FC026B" w:rsidRPr="00C56257" w:rsidRDefault="00FC026B" w:rsidP="00993B86">
            <w:pPr>
              <w:spacing w:line="259" w:lineRule="auto"/>
              <w:jc w:val="both"/>
              <w:rPr>
                <w:color w:val="000000" w:themeColor="text1"/>
              </w:rPr>
            </w:pPr>
            <w:r w:rsidRPr="00C56257">
              <w:rPr>
                <w:color w:val="000000" w:themeColor="text1"/>
              </w:rPr>
              <w:t>Moderată</w:t>
            </w:r>
          </w:p>
          <w:p w14:paraId="3E1B8545" w14:textId="77777777" w:rsidR="00FC026B" w:rsidRPr="00C56257" w:rsidRDefault="00FC026B" w:rsidP="00993B86">
            <w:pPr>
              <w:spacing w:line="259" w:lineRule="auto"/>
              <w:jc w:val="both"/>
              <w:rPr>
                <w:color w:val="000000" w:themeColor="text1"/>
              </w:rPr>
            </w:pPr>
            <w:r w:rsidRPr="00C56257">
              <w:rPr>
                <w:color w:val="000000" w:themeColor="text1"/>
              </w:rPr>
              <w:t>Neadecvată</w:t>
            </w:r>
          </w:p>
          <w:p w14:paraId="40D46D3A" w14:textId="77777777" w:rsidR="00FC026B" w:rsidRPr="00C56257" w:rsidRDefault="00FC026B" w:rsidP="00993B86">
            <w:pPr>
              <w:spacing w:line="259" w:lineRule="auto"/>
              <w:jc w:val="both"/>
              <w:rPr>
                <w:color w:val="000000" w:themeColor="text1"/>
              </w:rPr>
            </w:pPr>
            <w:r w:rsidRPr="00C56257">
              <w:rPr>
                <w:color w:val="000000" w:themeColor="text1"/>
              </w:rPr>
              <w:t>Necunoscută</w:t>
            </w:r>
          </w:p>
        </w:tc>
      </w:tr>
      <w:tr w:rsidR="00FC026B" w:rsidRPr="00C56257" w14:paraId="16EE769C" w14:textId="77777777" w:rsidTr="00993B86">
        <w:trPr>
          <w:cantSplit/>
          <w:trHeight w:val="259"/>
        </w:trPr>
        <w:tc>
          <w:tcPr>
            <w:tcW w:w="953" w:type="pct"/>
            <w:vMerge/>
            <w:tcBorders>
              <w:top w:val="single" w:sz="12" w:space="0" w:color="auto"/>
              <w:left w:val="single" w:sz="8" w:space="0" w:color="auto"/>
              <w:bottom w:val="single" w:sz="8" w:space="0" w:color="auto"/>
              <w:right w:val="single" w:sz="8" w:space="0" w:color="auto"/>
            </w:tcBorders>
            <w:vAlign w:val="center"/>
            <w:hideMark/>
          </w:tcPr>
          <w:p w14:paraId="30C4AA35" w14:textId="77777777" w:rsidR="00FC026B" w:rsidRPr="00C56257" w:rsidRDefault="00FC026B" w:rsidP="00993B86">
            <w:pPr>
              <w:jc w:val="both"/>
              <w:rPr>
                <w:b/>
                <w:bCs/>
                <w:color w:val="000000" w:themeColor="text1"/>
              </w:rPr>
            </w:pPr>
          </w:p>
        </w:tc>
        <w:tc>
          <w:tcPr>
            <w:tcW w:w="1911" w:type="pct"/>
            <w:tcBorders>
              <w:top w:val="single" w:sz="4" w:space="0" w:color="auto"/>
              <w:left w:val="single" w:sz="8" w:space="0" w:color="auto"/>
              <w:bottom w:val="single" w:sz="4" w:space="0" w:color="auto"/>
              <w:right w:val="single" w:sz="4" w:space="0" w:color="auto"/>
            </w:tcBorders>
            <w:shd w:val="clear" w:color="000000" w:fill="FFFFFF"/>
            <w:vAlign w:val="bottom"/>
            <w:hideMark/>
          </w:tcPr>
          <w:p w14:paraId="03C28D2C" w14:textId="77777777" w:rsidR="00FC026B" w:rsidRPr="00C56257" w:rsidRDefault="00FC026B" w:rsidP="00993B86">
            <w:pPr>
              <w:jc w:val="both"/>
              <w:rPr>
                <w:color w:val="000000" w:themeColor="text1"/>
              </w:rPr>
            </w:pPr>
            <w:r w:rsidRPr="00C56257">
              <w:rPr>
                <w:color w:val="000000" w:themeColor="text1"/>
              </w:rPr>
              <w:t>Evaluare grupă ecologică</w:t>
            </w:r>
          </w:p>
        </w:tc>
        <w:tc>
          <w:tcPr>
            <w:tcW w:w="2137" w:type="pct"/>
            <w:gridSpan w:val="2"/>
            <w:vMerge/>
            <w:tcBorders>
              <w:top w:val="nil"/>
              <w:left w:val="single" w:sz="4" w:space="0" w:color="auto"/>
              <w:bottom w:val="single" w:sz="4" w:space="0" w:color="auto"/>
              <w:right w:val="single" w:sz="4" w:space="0" w:color="auto"/>
            </w:tcBorders>
            <w:shd w:val="clear" w:color="auto" w:fill="auto"/>
            <w:noWrap/>
            <w:vAlign w:val="bottom"/>
            <w:hideMark/>
          </w:tcPr>
          <w:p w14:paraId="59AE8343" w14:textId="77777777" w:rsidR="00FC026B" w:rsidRPr="00C56257" w:rsidRDefault="00FC026B" w:rsidP="00993B86">
            <w:pPr>
              <w:jc w:val="both"/>
              <w:rPr>
                <w:color w:val="000000" w:themeColor="text1"/>
              </w:rPr>
            </w:pPr>
          </w:p>
        </w:tc>
      </w:tr>
      <w:tr w:rsidR="00FC026B" w:rsidRPr="00C56257" w14:paraId="05030FD3" w14:textId="77777777" w:rsidTr="00993B86">
        <w:trPr>
          <w:cantSplit/>
          <w:trHeight w:val="259"/>
        </w:trPr>
        <w:tc>
          <w:tcPr>
            <w:tcW w:w="953" w:type="pct"/>
            <w:vMerge/>
            <w:tcBorders>
              <w:top w:val="single" w:sz="12" w:space="0" w:color="auto"/>
              <w:left w:val="single" w:sz="8" w:space="0" w:color="auto"/>
              <w:bottom w:val="single" w:sz="8" w:space="0" w:color="auto"/>
              <w:right w:val="single" w:sz="8" w:space="0" w:color="auto"/>
            </w:tcBorders>
            <w:vAlign w:val="center"/>
            <w:hideMark/>
          </w:tcPr>
          <w:p w14:paraId="55490D45" w14:textId="77777777" w:rsidR="00FC026B" w:rsidRPr="00C56257" w:rsidRDefault="00FC026B" w:rsidP="00993B86">
            <w:pPr>
              <w:jc w:val="both"/>
              <w:rPr>
                <w:b/>
                <w:bCs/>
                <w:color w:val="000000" w:themeColor="text1"/>
              </w:rPr>
            </w:pPr>
          </w:p>
        </w:tc>
        <w:tc>
          <w:tcPr>
            <w:tcW w:w="1911" w:type="pct"/>
            <w:tcBorders>
              <w:top w:val="nil"/>
              <w:left w:val="single" w:sz="8" w:space="0" w:color="auto"/>
              <w:bottom w:val="nil"/>
              <w:right w:val="single" w:sz="4" w:space="0" w:color="auto"/>
            </w:tcBorders>
            <w:shd w:val="clear" w:color="000000" w:fill="FFFFFF"/>
            <w:vAlign w:val="bottom"/>
            <w:hideMark/>
          </w:tcPr>
          <w:p w14:paraId="6E8EFEA8" w14:textId="77777777" w:rsidR="00FC026B" w:rsidRPr="00C56257" w:rsidRDefault="00FC026B" w:rsidP="00993B86">
            <w:pPr>
              <w:jc w:val="both"/>
              <w:rPr>
                <w:color w:val="000000" w:themeColor="text1"/>
              </w:rPr>
            </w:pPr>
            <w:r w:rsidRPr="00C56257">
              <w:rPr>
                <w:color w:val="000000" w:themeColor="text1"/>
              </w:rPr>
              <w:t>Tip specie salinitatea mediului</w:t>
            </w:r>
          </w:p>
        </w:tc>
        <w:tc>
          <w:tcPr>
            <w:tcW w:w="2137" w:type="pct"/>
            <w:gridSpan w:val="2"/>
            <w:vMerge/>
            <w:tcBorders>
              <w:top w:val="nil"/>
              <w:left w:val="single" w:sz="4" w:space="0" w:color="auto"/>
              <w:bottom w:val="single" w:sz="4" w:space="0" w:color="auto"/>
              <w:right w:val="single" w:sz="4" w:space="0" w:color="auto"/>
            </w:tcBorders>
            <w:shd w:val="clear" w:color="auto" w:fill="auto"/>
            <w:noWrap/>
            <w:vAlign w:val="bottom"/>
            <w:hideMark/>
          </w:tcPr>
          <w:p w14:paraId="7ECC7720" w14:textId="77777777" w:rsidR="00FC026B" w:rsidRPr="00C56257" w:rsidRDefault="00FC026B" w:rsidP="00993B86">
            <w:pPr>
              <w:jc w:val="both"/>
              <w:rPr>
                <w:color w:val="000000" w:themeColor="text1"/>
              </w:rPr>
            </w:pPr>
          </w:p>
        </w:tc>
      </w:tr>
      <w:tr w:rsidR="00FC026B" w:rsidRPr="00C56257" w14:paraId="32BD7256" w14:textId="77777777" w:rsidTr="00993B86">
        <w:trPr>
          <w:cantSplit/>
          <w:trHeight w:val="259"/>
        </w:trPr>
        <w:tc>
          <w:tcPr>
            <w:tcW w:w="953" w:type="pct"/>
            <w:vMerge/>
            <w:tcBorders>
              <w:top w:val="single" w:sz="12" w:space="0" w:color="auto"/>
              <w:left w:val="single" w:sz="8" w:space="0" w:color="auto"/>
              <w:bottom w:val="single" w:sz="8" w:space="0" w:color="auto"/>
              <w:right w:val="single" w:sz="8" w:space="0" w:color="auto"/>
            </w:tcBorders>
            <w:vAlign w:val="center"/>
            <w:hideMark/>
          </w:tcPr>
          <w:p w14:paraId="6182B53E" w14:textId="77777777" w:rsidR="00FC026B" w:rsidRPr="00C56257" w:rsidRDefault="00FC026B" w:rsidP="00993B86">
            <w:pPr>
              <w:jc w:val="both"/>
              <w:rPr>
                <w:b/>
                <w:bCs/>
                <w:color w:val="000000" w:themeColor="text1"/>
              </w:rPr>
            </w:pPr>
          </w:p>
        </w:tc>
        <w:tc>
          <w:tcPr>
            <w:tcW w:w="1911" w:type="pct"/>
            <w:tcBorders>
              <w:top w:val="single" w:sz="4" w:space="0" w:color="auto"/>
              <w:left w:val="single" w:sz="8" w:space="0" w:color="auto"/>
              <w:bottom w:val="nil"/>
              <w:right w:val="single" w:sz="4" w:space="0" w:color="auto"/>
            </w:tcBorders>
            <w:shd w:val="clear" w:color="000000" w:fill="FFFFFF"/>
            <w:vAlign w:val="bottom"/>
            <w:hideMark/>
          </w:tcPr>
          <w:p w14:paraId="6E6FF013" w14:textId="77777777" w:rsidR="00FC026B" w:rsidRPr="00C56257" w:rsidRDefault="00FC026B" w:rsidP="00993B86">
            <w:pPr>
              <w:jc w:val="both"/>
              <w:rPr>
                <w:color w:val="000000" w:themeColor="text1"/>
              </w:rPr>
            </w:pPr>
            <w:r w:rsidRPr="00C56257">
              <w:rPr>
                <w:color w:val="000000" w:themeColor="text1"/>
              </w:rPr>
              <w:t>Tip de specie apartenenţă la habitat</w:t>
            </w:r>
          </w:p>
        </w:tc>
        <w:tc>
          <w:tcPr>
            <w:tcW w:w="2137" w:type="pct"/>
            <w:gridSpan w:val="2"/>
            <w:vMerge/>
            <w:tcBorders>
              <w:top w:val="nil"/>
              <w:left w:val="single" w:sz="4" w:space="0" w:color="auto"/>
              <w:bottom w:val="single" w:sz="4" w:space="0" w:color="auto"/>
              <w:right w:val="single" w:sz="4" w:space="0" w:color="auto"/>
            </w:tcBorders>
            <w:shd w:val="clear" w:color="auto" w:fill="auto"/>
            <w:noWrap/>
            <w:vAlign w:val="bottom"/>
            <w:hideMark/>
          </w:tcPr>
          <w:p w14:paraId="5759FFF6" w14:textId="77777777" w:rsidR="00FC026B" w:rsidRPr="00C56257" w:rsidRDefault="00FC026B" w:rsidP="00993B86">
            <w:pPr>
              <w:jc w:val="both"/>
              <w:rPr>
                <w:color w:val="000000" w:themeColor="text1"/>
              </w:rPr>
            </w:pPr>
          </w:p>
        </w:tc>
      </w:tr>
      <w:tr w:rsidR="00FC026B" w:rsidRPr="00C56257" w14:paraId="6BA52BC9" w14:textId="77777777" w:rsidTr="00993B86">
        <w:trPr>
          <w:cantSplit/>
          <w:trHeight w:val="259"/>
        </w:trPr>
        <w:tc>
          <w:tcPr>
            <w:tcW w:w="953" w:type="pct"/>
            <w:vMerge/>
            <w:tcBorders>
              <w:top w:val="single" w:sz="12" w:space="0" w:color="auto"/>
              <w:left w:val="single" w:sz="8" w:space="0" w:color="auto"/>
              <w:bottom w:val="single" w:sz="8" w:space="0" w:color="auto"/>
              <w:right w:val="single" w:sz="8" w:space="0" w:color="auto"/>
            </w:tcBorders>
            <w:vAlign w:val="center"/>
            <w:hideMark/>
          </w:tcPr>
          <w:p w14:paraId="28D80B49" w14:textId="77777777" w:rsidR="00FC026B" w:rsidRPr="00C56257" w:rsidRDefault="00FC026B" w:rsidP="00993B86">
            <w:pPr>
              <w:jc w:val="both"/>
              <w:rPr>
                <w:b/>
                <w:bCs/>
                <w:color w:val="000000" w:themeColor="text1"/>
              </w:rPr>
            </w:pPr>
          </w:p>
        </w:tc>
        <w:tc>
          <w:tcPr>
            <w:tcW w:w="1911" w:type="pct"/>
            <w:tcBorders>
              <w:top w:val="single" w:sz="4" w:space="0" w:color="auto"/>
              <w:left w:val="single" w:sz="8" w:space="0" w:color="auto"/>
              <w:bottom w:val="nil"/>
              <w:right w:val="single" w:sz="4" w:space="0" w:color="auto"/>
            </w:tcBorders>
            <w:shd w:val="clear" w:color="000000" w:fill="FFFFFF"/>
            <w:vAlign w:val="center"/>
            <w:hideMark/>
          </w:tcPr>
          <w:p w14:paraId="0335B249" w14:textId="77777777" w:rsidR="00FC026B" w:rsidRPr="00C56257" w:rsidRDefault="00FC026B" w:rsidP="00993B86">
            <w:pPr>
              <w:jc w:val="both"/>
              <w:rPr>
                <w:color w:val="000000" w:themeColor="text1"/>
              </w:rPr>
            </w:pPr>
            <w:r w:rsidRPr="00C56257">
              <w:rPr>
                <w:color w:val="000000" w:themeColor="text1"/>
              </w:rPr>
              <w:t>Clorofila a/  Evaluare Chlorofila</w:t>
            </w:r>
          </w:p>
        </w:tc>
        <w:tc>
          <w:tcPr>
            <w:tcW w:w="2137" w:type="pct"/>
            <w:gridSpan w:val="2"/>
            <w:vMerge/>
            <w:tcBorders>
              <w:left w:val="nil"/>
              <w:bottom w:val="nil"/>
              <w:right w:val="single" w:sz="4" w:space="0" w:color="auto"/>
            </w:tcBorders>
            <w:shd w:val="clear" w:color="auto" w:fill="auto"/>
            <w:noWrap/>
            <w:vAlign w:val="bottom"/>
          </w:tcPr>
          <w:p w14:paraId="3E0547ED" w14:textId="77777777" w:rsidR="00FC026B" w:rsidRPr="00C56257" w:rsidRDefault="00FC026B" w:rsidP="00993B86">
            <w:pPr>
              <w:jc w:val="both"/>
              <w:rPr>
                <w:color w:val="000000" w:themeColor="text1"/>
              </w:rPr>
            </w:pPr>
          </w:p>
        </w:tc>
      </w:tr>
      <w:tr w:rsidR="00FC026B" w:rsidRPr="00C56257" w14:paraId="6A4DDACB" w14:textId="77777777" w:rsidTr="00993B86">
        <w:trPr>
          <w:cantSplit/>
          <w:trHeight w:val="259"/>
        </w:trPr>
        <w:tc>
          <w:tcPr>
            <w:tcW w:w="953" w:type="pct"/>
            <w:vMerge/>
            <w:tcBorders>
              <w:top w:val="single" w:sz="12" w:space="0" w:color="auto"/>
              <w:left w:val="single" w:sz="8" w:space="0" w:color="auto"/>
              <w:bottom w:val="single" w:sz="8" w:space="0" w:color="auto"/>
              <w:right w:val="single" w:sz="8" w:space="0" w:color="auto"/>
            </w:tcBorders>
            <w:vAlign w:val="center"/>
            <w:hideMark/>
          </w:tcPr>
          <w:p w14:paraId="3A8DA2F3" w14:textId="77777777" w:rsidR="00FC026B" w:rsidRPr="00C56257" w:rsidRDefault="00FC026B" w:rsidP="00993B86">
            <w:pPr>
              <w:jc w:val="both"/>
              <w:rPr>
                <w:b/>
                <w:bCs/>
                <w:color w:val="000000" w:themeColor="text1"/>
              </w:rPr>
            </w:pPr>
          </w:p>
        </w:tc>
        <w:tc>
          <w:tcPr>
            <w:tcW w:w="1911" w:type="pct"/>
            <w:tcBorders>
              <w:top w:val="single" w:sz="4" w:space="0" w:color="auto"/>
              <w:left w:val="single" w:sz="8" w:space="0" w:color="auto"/>
              <w:bottom w:val="single" w:sz="4" w:space="0" w:color="auto"/>
              <w:right w:val="single" w:sz="4" w:space="0" w:color="auto"/>
            </w:tcBorders>
            <w:shd w:val="clear" w:color="000000" w:fill="FFFFFF"/>
            <w:noWrap/>
            <w:vAlign w:val="bottom"/>
            <w:hideMark/>
          </w:tcPr>
          <w:p w14:paraId="66B11187" w14:textId="77777777" w:rsidR="00FC026B" w:rsidRPr="00C56257" w:rsidRDefault="00FC026B" w:rsidP="00993B86">
            <w:pPr>
              <w:jc w:val="both"/>
              <w:rPr>
                <w:color w:val="000000" w:themeColor="text1"/>
              </w:rPr>
            </w:pPr>
            <w:r w:rsidRPr="00C56257">
              <w:rPr>
                <w:color w:val="000000" w:themeColor="text1"/>
              </w:rPr>
              <w:t>Valoarea IBI / Evaluare IBI</w:t>
            </w:r>
          </w:p>
        </w:tc>
        <w:tc>
          <w:tcPr>
            <w:tcW w:w="2137" w:type="pct"/>
            <w:gridSpan w:val="2"/>
            <w:vMerge/>
            <w:tcBorders>
              <w:left w:val="nil"/>
              <w:bottom w:val="single" w:sz="4" w:space="0" w:color="auto"/>
              <w:right w:val="single" w:sz="4" w:space="0" w:color="auto"/>
            </w:tcBorders>
            <w:shd w:val="clear" w:color="auto" w:fill="auto"/>
            <w:noWrap/>
            <w:vAlign w:val="bottom"/>
          </w:tcPr>
          <w:p w14:paraId="31FA4C4C" w14:textId="77777777" w:rsidR="00FC026B" w:rsidRPr="00C56257" w:rsidRDefault="00FC026B" w:rsidP="00993B86">
            <w:pPr>
              <w:jc w:val="both"/>
              <w:rPr>
                <w:color w:val="000000" w:themeColor="text1"/>
              </w:rPr>
            </w:pPr>
          </w:p>
        </w:tc>
      </w:tr>
      <w:tr w:rsidR="00FC026B" w:rsidRPr="00C56257" w14:paraId="15C1AF8E" w14:textId="77777777" w:rsidTr="00993B86">
        <w:trPr>
          <w:cantSplit/>
          <w:trHeight w:val="259"/>
        </w:trPr>
        <w:tc>
          <w:tcPr>
            <w:tcW w:w="953" w:type="pct"/>
            <w:vMerge w:val="restart"/>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47CFA01F" w14:textId="77777777" w:rsidR="00FC026B" w:rsidRPr="00C56257" w:rsidRDefault="00FC026B" w:rsidP="00993B86">
            <w:pPr>
              <w:jc w:val="both"/>
              <w:rPr>
                <w:b/>
                <w:bCs/>
                <w:color w:val="000000" w:themeColor="text1"/>
              </w:rPr>
            </w:pPr>
            <w:r w:rsidRPr="00C56257">
              <w:rPr>
                <w:b/>
                <w:bCs/>
                <w:color w:val="000000" w:themeColor="text1"/>
              </w:rPr>
              <w:t>Stare conservare</w:t>
            </w:r>
          </w:p>
        </w:tc>
        <w:tc>
          <w:tcPr>
            <w:tcW w:w="1911" w:type="pct"/>
            <w:vMerge w:val="restart"/>
            <w:tcBorders>
              <w:top w:val="single" w:sz="4" w:space="0" w:color="auto"/>
              <w:left w:val="nil"/>
              <w:bottom w:val="single" w:sz="4" w:space="0" w:color="000000"/>
              <w:right w:val="single" w:sz="4" w:space="0" w:color="auto"/>
            </w:tcBorders>
            <w:shd w:val="clear" w:color="auto" w:fill="auto"/>
            <w:vAlign w:val="center"/>
          </w:tcPr>
          <w:p w14:paraId="033EA134" w14:textId="77777777" w:rsidR="00FC026B" w:rsidRPr="00C56257" w:rsidRDefault="00FC026B" w:rsidP="00993B86">
            <w:pPr>
              <w:jc w:val="both"/>
              <w:rPr>
                <w:color w:val="000000" w:themeColor="text1"/>
              </w:rPr>
            </w:pPr>
            <w:r w:rsidRPr="00C56257">
              <w:rPr>
                <w:color w:val="000000" w:themeColor="text1"/>
              </w:rPr>
              <w:t>Structură şi funcţii</w:t>
            </w:r>
          </w:p>
          <w:p w14:paraId="14BAF680" w14:textId="77777777" w:rsidR="00FC026B" w:rsidRPr="00C56257" w:rsidRDefault="00FC026B" w:rsidP="00993B86">
            <w:pPr>
              <w:jc w:val="both"/>
              <w:rPr>
                <w:color w:val="000000" w:themeColor="text1"/>
              </w:rPr>
            </w:pPr>
          </w:p>
        </w:tc>
        <w:tc>
          <w:tcPr>
            <w:tcW w:w="904" w:type="pct"/>
            <w:tcBorders>
              <w:top w:val="nil"/>
              <w:left w:val="nil"/>
              <w:bottom w:val="single" w:sz="4" w:space="0" w:color="auto"/>
              <w:right w:val="single" w:sz="4" w:space="0" w:color="auto"/>
            </w:tcBorders>
            <w:shd w:val="clear" w:color="auto" w:fill="auto"/>
            <w:noWrap/>
            <w:vAlign w:val="bottom"/>
          </w:tcPr>
          <w:p w14:paraId="638F3F3A" w14:textId="77777777" w:rsidR="00FC026B" w:rsidRPr="00C56257" w:rsidRDefault="00FC026B" w:rsidP="00993B86">
            <w:pPr>
              <w:jc w:val="both"/>
              <w:rPr>
                <w:color w:val="000000" w:themeColor="text1"/>
              </w:rPr>
            </w:pPr>
            <w:r w:rsidRPr="00C56257">
              <w:rPr>
                <w:color w:val="000000" w:themeColor="text1"/>
              </w:rPr>
              <w:t>Favorabil</w:t>
            </w:r>
          </w:p>
        </w:tc>
        <w:tc>
          <w:tcPr>
            <w:tcW w:w="1232" w:type="pct"/>
            <w:tcBorders>
              <w:top w:val="nil"/>
              <w:left w:val="nil"/>
              <w:bottom w:val="single" w:sz="4" w:space="0" w:color="auto"/>
              <w:right w:val="single" w:sz="4" w:space="0" w:color="auto"/>
            </w:tcBorders>
            <w:shd w:val="clear" w:color="auto" w:fill="auto"/>
            <w:vAlign w:val="bottom"/>
          </w:tcPr>
          <w:p w14:paraId="097983CB" w14:textId="77777777" w:rsidR="00FC026B" w:rsidRPr="00C56257" w:rsidRDefault="00FC026B" w:rsidP="00993B86">
            <w:pPr>
              <w:jc w:val="both"/>
              <w:rPr>
                <w:color w:val="000000" w:themeColor="text1"/>
              </w:rPr>
            </w:pPr>
            <w:r w:rsidRPr="00C56257">
              <w:rPr>
                <w:color w:val="000000" w:themeColor="text1"/>
              </w:rPr>
              <w:t>Nefavorabil - Neadecvat</w:t>
            </w:r>
          </w:p>
        </w:tc>
      </w:tr>
      <w:tr w:rsidR="00FC026B" w:rsidRPr="00C56257" w14:paraId="6BB44119" w14:textId="77777777" w:rsidTr="00993B86">
        <w:trPr>
          <w:cantSplit/>
          <w:trHeight w:val="259"/>
        </w:trPr>
        <w:tc>
          <w:tcPr>
            <w:tcW w:w="953" w:type="pct"/>
            <w:vMerge/>
            <w:tcBorders>
              <w:top w:val="nil"/>
              <w:left w:val="single" w:sz="8" w:space="0" w:color="auto"/>
              <w:bottom w:val="single" w:sz="8" w:space="0" w:color="auto"/>
              <w:right w:val="single" w:sz="8" w:space="0" w:color="auto"/>
            </w:tcBorders>
            <w:vAlign w:val="center"/>
            <w:hideMark/>
          </w:tcPr>
          <w:p w14:paraId="4278A5E4" w14:textId="77777777" w:rsidR="00FC026B" w:rsidRPr="00C56257" w:rsidRDefault="00FC026B" w:rsidP="00993B86">
            <w:pPr>
              <w:jc w:val="both"/>
              <w:rPr>
                <w:b/>
                <w:bCs/>
                <w:color w:val="000000" w:themeColor="text1"/>
              </w:rPr>
            </w:pPr>
          </w:p>
        </w:tc>
        <w:tc>
          <w:tcPr>
            <w:tcW w:w="1911" w:type="pct"/>
            <w:vMerge/>
            <w:tcBorders>
              <w:top w:val="nil"/>
              <w:left w:val="nil"/>
              <w:bottom w:val="single" w:sz="4" w:space="0" w:color="000000"/>
              <w:right w:val="single" w:sz="4" w:space="0" w:color="auto"/>
            </w:tcBorders>
            <w:vAlign w:val="center"/>
          </w:tcPr>
          <w:p w14:paraId="2980E45C" w14:textId="77777777" w:rsidR="00FC026B" w:rsidRPr="00C56257" w:rsidRDefault="00FC026B" w:rsidP="00993B86">
            <w:pPr>
              <w:jc w:val="both"/>
              <w:rPr>
                <w:color w:val="000000" w:themeColor="text1"/>
              </w:rPr>
            </w:pPr>
          </w:p>
        </w:tc>
        <w:tc>
          <w:tcPr>
            <w:tcW w:w="904" w:type="pct"/>
            <w:tcBorders>
              <w:top w:val="single" w:sz="4" w:space="0" w:color="auto"/>
              <w:left w:val="nil"/>
              <w:bottom w:val="single" w:sz="4" w:space="0" w:color="auto"/>
              <w:right w:val="single" w:sz="4" w:space="0" w:color="auto"/>
            </w:tcBorders>
            <w:shd w:val="clear" w:color="auto" w:fill="auto"/>
            <w:noWrap/>
            <w:vAlign w:val="bottom"/>
          </w:tcPr>
          <w:p w14:paraId="50C570AB" w14:textId="77777777" w:rsidR="00FC026B" w:rsidRPr="00C56257" w:rsidRDefault="00FC026B" w:rsidP="00993B86">
            <w:pPr>
              <w:jc w:val="both"/>
              <w:rPr>
                <w:color w:val="000000" w:themeColor="text1"/>
              </w:rPr>
            </w:pPr>
            <w:r w:rsidRPr="00C56257">
              <w:rPr>
                <w:color w:val="000000" w:themeColor="text1"/>
              </w:rPr>
              <w:t>Nefavorabil-Rău</w:t>
            </w:r>
          </w:p>
        </w:tc>
        <w:tc>
          <w:tcPr>
            <w:tcW w:w="1232" w:type="pct"/>
            <w:tcBorders>
              <w:top w:val="single" w:sz="4" w:space="0" w:color="auto"/>
              <w:left w:val="nil"/>
              <w:bottom w:val="single" w:sz="4" w:space="0" w:color="auto"/>
              <w:right w:val="single" w:sz="4" w:space="0" w:color="auto"/>
            </w:tcBorders>
            <w:shd w:val="clear" w:color="auto" w:fill="auto"/>
            <w:vAlign w:val="bottom"/>
          </w:tcPr>
          <w:p w14:paraId="41802265" w14:textId="77777777" w:rsidR="00FC026B" w:rsidRPr="00C56257" w:rsidRDefault="00FC026B" w:rsidP="00993B86">
            <w:pPr>
              <w:jc w:val="both"/>
              <w:rPr>
                <w:color w:val="000000" w:themeColor="text1"/>
              </w:rPr>
            </w:pPr>
            <w:r w:rsidRPr="00C56257">
              <w:rPr>
                <w:color w:val="000000" w:themeColor="text1"/>
              </w:rPr>
              <w:t>Necunoscut</w:t>
            </w:r>
          </w:p>
        </w:tc>
      </w:tr>
      <w:tr w:rsidR="00FC026B" w:rsidRPr="00C56257" w14:paraId="0D839F8F" w14:textId="77777777" w:rsidTr="00993B86">
        <w:trPr>
          <w:cantSplit/>
          <w:trHeight w:val="259"/>
        </w:trPr>
        <w:tc>
          <w:tcPr>
            <w:tcW w:w="953" w:type="pct"/>
            <w:vMerge/>
            <w:tcBorders>
              <w:top w:val="nil"/>
              <w:left w:val="single" w:sz="8" w:space="0" w:color="auto"/>
              <w:bottom w:val="single" w:sz="8" w:space="0" w:color="auto"/>
              <w:right w:val="single" w:sz="8" w:space="0" w:color="auto"/>
            </w:tcBorders>
            <w:vAlign w:val="center"/>
            <w:hideMark/>
          </w:tcPr>
          <w:p w14:paraId="7D325610" w14:textId="77777777" w:rsidR="00FC026B" w:rsidRPr="00C56257" w:rsidRDefault="00FC026B" w:rsidP="00993B86">
            <w:pPr>
              <w:jc w:val="both"/>
              <w:rPr>
                <w:b/>
                <w:bCs/>
                <w:color w:val="000000" w:themeColor="text1"/>
              </w:rPr>
            </w:pPr>
          </w:p>
        </w:tc>
        <w:tc>
          <w:tcPr>
            <w:tcW w:w="1911" w:type="pct"/>
            <w:vMerge w:val="restart"/>
            <w:tcBorders>
              <w:top w:val="nil"/>
              <w:left w:val="nil"/>
              <w:bottom w:val="single" w:sz="4" w:space="0" w:color="000000"/>
              <w:right w:val="single" w:sz="4" w:space="0" w:color="auto"/>
            </w:tcBorders>
            <w:shd w:val="clear" w:color="auto" w:fill="auto"/>
            <w:vAlign w:val="center"/>
          </w:tcPr>
          <w:p w14:paraId="0F1C98EE" w14:textId="77777777" w:rsidR="00FC026B" w:rsidRPr="00C56257" w:rsidRDefault="00FC026B" w:rsidP="00993B86">
            <w:pPr>
              <w:jc w:val="both"/>
              <w:rPr>
                <w:color w:val="000000" w:themeColor="text1"/>
              </w:rPr>
            </w:pPr>
          </w:p>
          <w:p w14:paraId="57239257" w14:textId="77777777" w:rsidR="00FC026B" w:rsidRPr="00C56257" w:rsidRDefault="00FC026B" w:rsidP="00993B86">
            <w:pPr>
              <w:jc w:val="both"/>
              <w:rPr>
                <w:color w:val="000000" w:themeColor="text1"/>
              </w:rPr>
            </w:pPr>
            <w:r w:rsidRPr="00C56257">
              <w:rPr>
                <w:color w:val="000000" w:themeColor="text1"/>
              </w:rPr>
              <w:t>Metoda utilizată stare conservare</w:t>
            </w:r>
          </w:p>
          <w:p w14:paraId="0AB1F012" w14:textId="77777777" w:rsidR="00FC026B" w:rsidRPr="00C56257" w:rsidRDefault="00FC026B" w:rsidP="00993B86">
            <w:pPr>
              <w:jc w:val="both"/>
              <w:rPr>
                <w:color w:val="000000" w:themeColor="text1"/>
              </w:rPr>
            </w:pPr>
          </w:p>
        </w:tc>
        <w:tc>
          <w:tcPr>
            <w:tcW w:w="2137" w:type="pct"/>
            <w:gridSpan w:val="2"/>
            <w:tcBorders>
              <w:top w:val="single" w:sz="4" w:space="0" w:color="auto"/>
              <w:left w:val="nil"/>
              <w:bottom w:val="single" w:sz="4" w:space="0" w:color="auto"/>
              <w:right w:val="single" w:sz="4" w:space="0" w:color="auto"/>
            </w:tcBorders>
            <w:shd w:val="clear" w:color="auto" w:fill="auto"/>
            <w:noWrap/>
            <w:vAlign w:val="bottom"/>
          </w:tcPr>
          <w:p w14:paraId="67539B8F" w14:textId="77777777" w:rsidR="00FC026B" w:rsidRPr="00C56257" w:rsidRDefault="00FC026B" w:rsidP="00993B86">
            <w:pPr>
              <w:jc w:val="both"/>
              <w:rPr>
                <w:color w:val="000000" w:themeColor="text1"/>
              </w:rPr>
            </w:pPr>
            <w:r w:rsidRPr="00C56257">
              <w:rPr>
                <w:color w:val="000000" w:themeColor="text1"/>
              </w:rPr>
              <w:t>Inventarieri complete sau o estimare statistică solidă</w:t>
            </w:r>
          </w:p>
        </w:tc>
      </w:tr>
      <w:tr w:rsidR="00FC026B" w:rsidRPr="00C56257" w14:paraId="50301DDC" w14:textId="77777777" w:rsidTr="00993B86">
        <w:trPr>
          <w:cantSplit/>
          <w:trHeight w:val="259"/>
        </w:trPr>
        <w:tc>
          <w:tcPr>
            <w:tcW w:w="953" w:type="pct"/>
            <w:vMerge/>
            <w:tcBorders>
              <w:top w:val="nil"/>
              <w:left w:val="single" w:sz="8" w:space="0" w:color="auto"/>
              <w:bottom w:val="single" w:sz="8" w:space="0" w:color="auto"/>
              <w:right w:val="single" w:sz="8" w:space="0" w:color="auto"/>
            </w:tcBorders>
            <w:vAlign w:val="center"/>
            <w:hideMark/>
          </w:tcPr>
          <w:p w14:paraId="0D8CE5ED" w14:textId="77777777" w:rsidR="00FC026B" w:rsidRPr="00C56257" w:rsidRDefault="00FC026B" w:rsidP="00993B86">
            <w:pPr>
              <w:jc w:val="both"/>
              <w:rPr>
                <w:b/>
                <w:bCs/>
                <w:color w:val="000000" w:themeColor="text1"/>
              </w:rPr>
            </w:pPr>
          </w:p>
        </w:tc>
        <w:tc>
          <w:tcPr>
            <w:tcW w:w="1911" w:type="pct"/>
            <w:vMerge/>
            <w:tcBorders>
              <w:top w:val="nil"/>
              <w:left w:val="nil"/>
              <w:bottom w:val="single" w:sz="4" w:space="0" w:color="000000"/>
              <w:right w:val="single" w:sz="4" w:space="0" w:color="auto"/>
            </w:tcBorders>
            <w:vAlign w:val="center"/>
          </w:tcPr>
          <w:p w14:paraId="715D78AE" w14:textId="77777777" w:rsidR="00FC026B" w:rsidRPr="00C56257" w:rsidRDefault="00FC026B" w:rsidP="00993B86">
            <w:pPr>
              <w:jc w:val="both"/>
              <w:rPr>
                <w:color w:val="000000" w:themeColor="text1"/>
              </w:rPr>
            </w:pPr>
          </w:p>
        </w:tc>
        <w:tc>
          <w:tcPr>
            <w:tcW w:w="2137" w:type="pct"/>
            <w:gridSpan w:val="2"/>
            <w:tcBorders>
              <w:top w:val="nil"/>
              <w:left w:val="nil"/>
              <w:bottom w:val="single" w:sz="4" w:space="0" w:color="auto"/>
              <w:right w:val="single" w:sz="4" w:space="0" w:color="auto"/>
            </w:tcBorders>
            <w:shd w:val="clear" w:color="auto" w:fill="auto"/>
            <w:noWrap/>
            <w:vAlign w:val="bottom"/>
          </w:tcPr>
          <w:p w14:paraId="29EBA545" w14:textId="77777777" w:rsidR="00FC026B" w:rsidRPr="00C56257" w:rsidRDefault="00FC026B" w:rsidP="00993B86">
            <w:pPr>
              <w:jc w:val="both"/>
              <w:rPr>
                <w:color w:val="000000" w:themeColor="text1"/>
              </w:rPr>
            </w:pPr>
            <w:r w:rsidRPr="00C56257">
              <w:rPr>
                <w:color w:val="000000" w:themeColor="text1"/>
              </w:rPr>
              <w:t>Estimări prin extrapolari şi/sau modelari bazate pe date parţiale</w:t>
            </w:r>
          </w:p>
        </w:tc>
      </w:tr>
      <w:tr w:rsidR="00FC026B" w:rsidRPr="00C56257" w14:paraId="0056E72F" w14:textId="77777777" w:rsidTr="00993B86">
        <w:trPr>
          <w:cantSplit/>
          <w:trHeight w:val="259"/>
        </w:trPr>
        <w:tc>
          <w:tcPr>
            <w:tcW w:w="953" w:type="pct"/>
            <w:vMerge/>
            <w:tcBorders>
              <w:top w:val="nil"/>
              <w:left w:val="single" w:sz="8" w:space="0" w:color="auto"/>
              <w:bottom w:val="single" w:sz="8" w:space="0" w:color="auto"/>
              <w:right w:val="single" w:sz="8" w:space="0" w:color="auto"/>
            </w:tcBorders>
            <w:vAlign w:val="center"/>
            <w:hideMark/>
          </w:tcPr>
          <w:p w14:paraId="60F659EF" w14:textId="77777777" w:rsidR="00FC026B" w:rsidRPr="00C56257" w:rsidRDefault="00FC026B" w:rsidP="00993B86">
            <w:pPr>
              <w:jc w:val="both"/>
              <w:rPr>
                <w:b/>
                <w:bCs/>
                <w:color w:val="000000" w:themeColor="text1"/>
              </w:rPr>
            </w:pPr>
          </w:p>
        </w:tc>
        <w:tc>
          <w:tcPr>
            <w:tcW w:w="1911" w:type="pct"/>
            <w:vMerge/>
            <w:tcBorders>
              <w:top w:val="nil"/>
              <w:left w:val="nil"/>
              <w:bottom w:val="single" w:sz="4" w:space="0" w:color="000000"/>
              <w:right w:val="single" w:sz="4" w:space="0" w:color="auto"/>
            </w:tcBorders>
            <w:vAlign w:val="center"/>
          </w:tcPr>
          <w:p w14:paraId="65E51DEF" w14:textId="77777777" w:rsidR="00FC026B" w:rsidRPr="00C56257" w:rsidRDefault="00FC026B" w:rsidP="00993B86">
            <w:pPr>
              <w:jc w:val="both"/>
              <w:rPr>
                <w:color w:val="000000" w:themeColor="text1"/>
              </w:rPr>
            </w:pPr>
          </w:p>
        </w:tc>
        <w:tc>
          <w:tcPr>
            <w:tcW w:w="2137" w:type="pct"/>
            <w:gridSpan w:val="2"/>
            <w:tcBorders>
              <w:top w:val="nil"/>
              <w:left w:val="nil"/>
              <w:bottom w:val="single" w:sz="4" w:space="0" w:color="auto"/>
              <w:right w:val="single" w:sz="4" w:space="0" w:color="auto"/>
            </w:tcBorders>
            <w:shd w:val="clear" w:color="auto" w:fill="auto"/>
            <w:noWrap/>
            <w:vAlign w:val="bottom"/>
          </w:tcPr>
          <w:p w14:paraId="21BA3A2F" w14:textId="77777777" w:rsidR="00FC026B" w:rsidRPr="00C56257" w:rsidRDefault="00FC026B" w:rsidP="00993B86">
            <w:pPr>
              <w:jc w:val="both"/>
              <w:rPr>
                <w:color w:val="000000" w:themeColor="text1"/>
              </w:rPr>
            </w:pPr>
            <w:r w:rsidRPr="00C56257">
              <w:rPr>
                <w:color w:val="000000" w:themeColor="text1"/>
              </w:rPr>
              <w:t>Bazat în principal pe opinia experților cu esantionare minimala</w:t>
            </w:r>
          </w:p>
        </w:tc>
      </w:tr>
      <w:tr w:rsidR="00FC026B" w:rsidRPr="00C56257" w14:paraId="3923456B" w14:textId="77777777" w:rsidTr="00993B86">
        <w:trPr>
          <w:cantSplit/>
          <w:trHeight w:val="259"/>
        </w:trPr>
        <w:tc>
          <w:tcPr>
            <w:tcW w:w="953" w:type="pct"/>
            <w:vMerge/>
            <w:tcBorders>
              <w:top w:val="nil"/>
              <w:left w:val="single" w:sz="8" w:space="0" w:color="auto"/>
              <w:bottom w:val="single" w:sz="8" w:space="0" w:color="auto"/>
              <w:right w:val="single" w:sz="8" w:space="0" w:color="auto"/>
            </w:tcBorders>
            <w:vAlign w:val="center"/>
            <w:hideMark/>
          </w:tcPr>
          <w:p w14:paraId="20EF9BD7" w14:textId="77777777" w:rsidR="00FC026B" w:rsidRPr="00C56257" w:rsidRDefault="00FC026B" w:rsidP="00993B86">
            <w:pPr>
              <w:jc w:val="both"/>
              <w:rPr>
                <w:b/>
                <w:bCs/>
                <w:color w:val="000000" w:themeColor="text1"/>
              </w:rPr>
            </w:pPr>
          </w:p>
        </w:tc>
        <w:tc>
          <w:tcPr>
            <w:tcW w:w="1911" w:type="pct"/>
            <w:vMerge/>
            <w:tcBorders>
              <w:top w:val="nil"/>
              <w:left w:val="nil"/>
              <w:bottom w:val="single" w:sz="4" w:space="0" w:color="000000"/>
              <w:right w:val="single" w:sz="4" w:space="0" w:color="auto"/>
            </w:tcBorders>
            <w:vAlign w:val="center"/>
          </w:tcPr>
          <w:p w14:paraId="233A4F91" w14:textId="77777777" w:rsidR="00FC026B" w:rsidRPr="00C56257" w:rsidRDefault="00FC026B" w:rsidP="00993B86">
            <w:pPr>
              <w:jc w:val="both"/>
              <w:rPr>
                <w:color w:val="000000" w:themeColor="text1"/>
              </w:rPr>
            </w:pPr>
          </w:p>
        </w:tc>
        <w:tc>
          <w:tcPr>
            <w:tcW w:w="2137" w:type="pct"/>
            <w:gridSpan w:val="2"/>
            <w:tcBorders>
              <w:top w:val="nil"/>
              <w:left w:val="nil"/>
              <w:bottom w:val="single" w:sz="4" w:space="0" w:color="auto"/>
              <w:right w:val="single" w:sz="4" w:space="0" w:color="auto"/>
            </w:tcBorders>
            <w:shd w:val="clear" w:color="auto" w:fill="auto"/>
            <w:noWrap/>
            <w:vAlign w:val="bottom"/>
          </w:tcPr>
          <w:p w14:paraId="0F0B21FB" w14:textId="77777777" w:rsidR="00FC026B" w:rsidRPr="00C56257" w:rsidRDefault="00FC026B" w:rsidP="00993B86">
            <w:pPr>
              <w:jc w:val="both"/>
              <w:rPr>
                <w:color w:val="000000" w:themeColor="text1"/>
              </w:rPr>
            </w:pPr>
            <w:r w:rsidRPr="00C56257">
              <w:rPr>
                <w:color w:val="000000" w:themeColor="text1"/>
              </w:rPr>
              <w:t>Date lipsa</w:t>
            </w:r>
          </w:p>
        </w:tc>
      </w:tr>
      <w:tr w:rsidR="00FC026B" w:rsidRPr="00C56257" w14:paraId="11415CC4" w14:textId="77777777" w:rsidTr="00993B86">
        <w:trPr>
          <w:cantSplit/>
          <w:trHeight w:val="259"/>
        </w:trPr>
        <w:tc>
          <w:tcPr>
            <w:tcW w:w="953" w:type="pct"/>
            <w:vMerge/>
            <w:tcBorders>
              <w:top w:val="nil"/>
              <w:left w:val="single" w:sz="8" w:space="0" w:color="auto"/>
              <w:bottom w:val="single" w:sz="8" w:space="0" w:color="auto"/>
              <w:right w:val="single" w:sz="8" w:space="0" w:color="auto"/>
            </w:tcBorders>
            <w:vAlign w:val="center"/>
            <w:hideMark/>
          </w:tcPr>
          <w:p w14:paraId="192AEC4B" w14:textId="77777777" w:rsidR="00FC026B" w:rsidRPr="00C56257" w:rsidRDefault="00FC026B" w:rsidP="00993B86">
            <w:pPr>
              <w:jc w:val="both"/>
              <w:rPr>
                <w:b/>
                <w:bCs/>
                <w:color w:val="000000" w:themeColor="text1"/>
              </w:rPr>
            </w:pPr>
          </w:p>
        </w:tc>
        <w:tc>
          <w:tcPr>
            <w:tcW w:w="1911" w:type="pct"/>
            <w:vMerge w:val="restart"/>
            <w:tcBorders>
              <w:top w:val="nil"/>
              <w:left w:val="nil"/>
              <w:bottom w:val="single" w:sz="4" w:space="0" w:color="000000"/>
              <w:right w:val="single" w:sz="4" w:space="0" w:color="auto"/>
            </w:tcBorders>
            <w:shd w:val="clear" w:color="auto" w:fill="auto"/>
            <w:vAlign w:val="center"/>
          </w:tcPr>
          <w:p w14:paraId="1EB7CB98" w14:textId="77777777" w:rsidR="00FC026B" w:rsidRPr="00C56257" w:rsidRDefault="00FC026B" w:rsidP="00993B86">
            <w:pPr>
              <w:jc w:val="both"/>
              <w:rPr>
                <w:color w:val="000000" w:themeColor="text1"/>
              </w:rPr>
            </w:pPr>
            <w:r w:rsidRPr="00C56257">
              <w:rPr>
                <w:color w:val="000000" w:themeColor="text1"/>
              </w:rPr>
              <w:t>Perspective</w:t>
            </w:r>
          </w:p>
          <w:p w14:paraId="0C0A519A" w14:textId="77777777" w:rsidR="00FC026B" w:rsidRPr="00C56257" w:rsidRDefault="00FC026B" w:rsidP="00993B86">
            <w:pPr>
              <w:jc w:val="both"/>
              <w:rPr>
                <w:color w:val="000000" w:themeColor="text1"/>
              </w:rPr>
            </w:pPr>
            <w:r w:rsidRPr="00C56257">
              <w:rPr>
                <w:color w:val="000000" w:themeColor="text1"/>
              </w:rPr>
              <w:t> </w:t>
            </w:r>
          </w:p>
        </w:tc>
        <w:tc>
          <w:tcPr>
            <w:tcW w:w="904" w:type="pct"/>
            <w:tcBorders>
              <w:top w:val="nil"/>
              <w:left w:val="nil"/>
              <w:bottom w:val="single" w:sz="4" w:space="0" w:color="auto"/>
              <w:right w:val="single" w:sz="4" w:space="0" w:color="auto"/>
            </w:tcBorders>
            <w:shd w:val="clear" w:color="auto" w:fill="auto"/>
            <w:noWrap/>
            <w:vAlign w:val="bottom"/>
          </w:tcPr>
          <w:p w14:paraId="02E92A16" w14:textId="77777777" w:rsidR="00FC026B" w:rsidRPr="00C56257" w:rsidRDefault="00FC026B" w:rsidP="00993B86">
            <w:pPr>
              <w:jc w:val="both"/>
              <w:rPr>
                <w:color w:val="000000" w:themeColor="text1"/>
              </w:rPr>
            </w:pPr>
            <w:r w:rsidRPr="00C56257">
              <w:rPr>
                <w:color w:val="000000" w:themeColor="text1"/>
              </w:rPr>
              <w:t>Favorabil</w:t>
            </w:r>
          </w:p>
        </w:tc>
        <w:tc>
          <w:tcPr>
            <w:tcW w:w="1232" w:type="pct"/>
            <w:tcBorders>
              <w:top w:val="nil"/>
              <w:left w:val="nil"/>
              <w:bottom w:val="single" w:sz="4" w:space="0" w:color="auto"/>
              <w:right w:val="single" w:sz="4" w:space="0" w:color="auto"/>
            </w:tcBorders>
            <w:shd w:val="clear" w:color="auto" w:fill="auto"/>
            <w:vAlign w:val="bottom"/>
          </w:tcPr>
          <w:p w14:paraId="460036C1" w14:textId="77777777" w:rsidR="00FC026B" w:rsidRPr="00C56257" w:rsidRDefault="00FC026B" w:rsidP="00993B86">
            <w:pPr>
              <w:jc w:val="both"/>
              <w:rPr>
                <w:color w:val="000000" w:themeColor="text1"/>
              </w:rPr>
            </w:pPr>
            <w:r w:rsidRPr="00C56257">
              <w:rPr>
                <w:color w:val="000000" w:themeColor="text1"/>
              </w:rPr>
              <w:t>Nefavorabil - Neadecvat</w:t>
            </w:r>
          </w:p>
        </w:tc>
      </w:tr>
      <w:tr w:rsidR="00FC026B" w:rsidRPr="00C56257" w14:paraId="0CADDD29" w14:textId="77777777" w:rsidTr="00993B86">
        <w:trPr>
          <w:cantSplit/>
          <w:trHeight w:val="259"/>
        </w:trPr>
        <w:tc>
          <w:tcPr>
            <w:tcW w:w="953" w:type="pct"/>
            <w:vMerge/>
            <w:tcBorders>
              <w:top w:val="nil"/>
              <w:left w:val="single" w:sz="8" w:space="0" w:color="auto"/>
              <w:bottom w:val="single" w:sz="8" w:space="0" w:color="auto"/>
              <w:right w:val="single" w:sz="8" w:space="0" w:color="auto"/>
            </w:tcBorders>
            <w:vAlign w:val="center"/>
            <w:hideMark/>
          </w:tcPr>
          <w:p w14:paraId="13907CBC" w14:textId="77777777" w:rsidR="00FC026B" w:rsidRPr="00C56257" w:rsidRDefault="00FC026B" w:rsidP="00993B86">
            <w:pPr>
              <w:jc w:val="both"/>
              <w:rPr>
                <w:b/>
                <w:bCs/>
                <w:color w:val="000000" w:themeColor="text1"/>
              </w:rPr>
            </w:pPr>
          </w:p>
        </w:tc>
        <w:tc>
          <w:tcPr>
            <w:tcW w:w="1911" w:type="pct"/>
            <w:vMerge/>
            <w:tcBorders>
              <w:top w:val="nil"/>
              <w:left w:val="nil"/>
              <w:bottom w:val="single" w:sz="4" w:space="0" w:color="000000"/>
              <w:right w:val="single" w:sz="4" w:space="0" w:color="auto"/>
            </w:tcBorders>
            <w:vAlign w:val="center"/>
          </w:tcPr>
          <w:p w14:paraId="290DEE3F" w14:textId="77777777" w:rsidR="00FC026B" w:rsidRPr="00C56257" w:rsidRDefault="00FC026B" w:rsidP="00993B86">
            <w:pPr>
              <w:jc w:val="both"/>
              <w:rPr>
                <w:color w:val="000000" w:themeColor="text1"/>
              </w:rPr>
            </w:pPr>
          </w:p>
        </w:tc>
        <w:tc>
          <w:tcPr>
            <w:tcW w:w="904" w:type="pct"/>
            <w:tcBorders>
              <w:top w:val="single" w:sz="4" w:space="0" w:color="auto"/>
              <w:left w:val="nil"/>
              <w:bottom w:val="single" w:sz="4" w:space="0" w:color="auto"/>
              <w:right w:val="single" w:sz="4" w:space="0" w:color="auto"/>
            </w:tcBorders>
            <w:shd w:val="clear" w:color="auto" w:fill="auto"/>
            <w:noWrap/>
            <w:vAlign w:val="bottom"/>
          </w:tcPr>
          <w:p w14:paraId="1679B856" w14:textId="77777777" w:rsidR="00FC026B" w:rsidRPr="00C56257" w:rsidRDefault="00FC026B" w:rsidP="00993B86">
            <w:pPr>
              <w:jc w:val="both"/>
              <w:rPr>
                <w:color w:val="000000" w:themeColor="text1"/>
              </w:rPr>
            </w:pPr>
            <w:r w:rsidRPr="00C56257">
              <w:rPr>
                <w:color w:val="000000" w:themeColor="text1"/>
              </w:rPr>
              <w:t>Nefavorabil-Rau</w:t>
            </w:r>
          </w:p>
        </w:tc>
        <w:tc>
          <w:tcPr>
            <w:tcW w:w="1232" w:type="pct"/>
            <w:tcBorders>
              <w:top w:val="single" w:sz="4" w:space="0" w:color="auto"/>
              <w:left w:val="nil"/>
              <w:bottom w:val="single" w:sz="4" w:space="0" w:color="auto"/>
              <w:right w:val="single" w:sz="4" w:space="0" w:color="auto"/>
            </w:tcBorders>
            <w:shd w:val="clear" w:color="auto" w:fill="auto"/>
            <w:vAlign w:val="bottom"/>
          </w:tcPr>
          <w:p w14:paraId="56A17FBA" w14:textId="77777777" w:rsidR="00FC026B" w:rsidRPr="00C56257" w:rsidRDefault="00FC026B" w:rsidP="00993B86">
            <w:pPr>
              <w:jc w:val="both"/>
              <w:rPr>
                <w:color w:val="000000" w:themeColor="text1"/>
              </w:rPr>
            </w:pPr>
            <w:r w:rsidRPr="00C56257">
              <w:rPr>
                <w:color w:val="000000" w:themeColor="text1"/>
              </w:rPr>
              <w:t>Necunoscut</w:t>
            </w:r>
          </w:p>
        </w:tc>
      </w:tr>
      <w:tr w:rsidR="00FC026B" w:rsidRPr="00C56257" w14:paraId="49DBE943" w14:textId="77777777" w:rsidTr="00993B86">
        <w:trPr>
          <w:cantSplit/>
          <w:trHeight w:val="259"/>
        </w:trPr>
        <w:tc>
          <w:tcPr>
            <w:tcW w:w="953" w:type="pct"/>
            <w:tcBorders>
              <w:top w:val="nil"/>
              <w:left w:val="single" w:sz="8" w:space="0" w:color="auto"/>
              <w:bottom w:val="single" w:sz="8" w:space="0" w:color="auto"/>
              <w:right w:val="single" w:sz="8" w:space="0" w:color="auto"/>
            </w:tcBorders>
            <w:shd w:val="clear" w:color="000000" w:fill="D9D9D9"/>
            <w:noWrap/>
            <w:vAlign w:val="bottom"/>
            <w:hideMark/>
          </w:tcPr>
          <w:p w14:paraId="050A3887" w14:textId="77777777" w:rsidR="00FC026B" w:rsidRPr="00C56257" w:rsidRDefault="00FC026B" w:rsidP="00993B86">
            <w:pPr>
              <w:jc w:val="both"/>
              <w:rPr>
                <w:b/>
                <w:bCs/>
                <w:color w:val="000000" w:themeColor="text1"/>
              </w:rPr>
            </w:pPr>
            <w:r w:rsidRPr="00C56257">
              <w:rPr>
                <w:b/>
                <w:bCs/>
                <w:color w:val="000000" w:themeColor="text1"/>
              </w:rPr>
              <w:t>Foto</w:t>
            </w:r>
          </w:p>
        </w:tc>
        <w:tc>
          <w:tcPr>
            <w:tcW w:w="1911" w:type="pct"/>
            <w:tcBorders>
              <w:top w:val="nil"/>
              <w:left w:val="nil"/>
              <w:bottom w:val="single" w:sz="4" w:space="0" w:color="auto"/>
              <w:right w:val="single" w:sz="4" w:space="0" w:color="auto"/>
            </w:tcBorders>
            <w:shd w:val="clear" w:color="auto" w:fill="auto"/>
            <w:vAlign w:val="bottom"/>
            <w:hideMark/>
          </w:tcPr>
          <w:p w14:paraId="74274338" w14:textId="77777777" w:rsidR="00FC026B" w:rsidRPr="00C56257" w:rsidRDefault="00FC026B" w:rsidP="00993B86">
            <w:pPr>
              <w:jc w:val="both"/>
              <w:rPr>
                <w:color w:val="000000" w:themeColor="text1"/>
              </w:rPr>
            </w:pPr>
            <w:r w:rsidRPr="00C56257">
              <w:rPr>
                <w:color w:val="000000" w:themeColor="text1"/>
              </w:rPr>
              <w:t> </w:t>
            </w:r>
          </w:p>
        </w:tc>
        <w:tc>
          <w:tcPr>
            <w:tcW w:w="2137" w:type="pct"/>
            <w:gridSpan w:val="2"/>
            <w:tcBorders>
              <w:top w:val="single" w:sz="4" w:space="0" w:color="auto"/>
              <w:left w:val="nil"/>
              <w:bottom w:val="single" w:sz="4" w:space="0" w:color="auto"/>
              <w:right w:val="single" w:sz="4" w:space="0" w:color="auto"/>
            </w:tcBorders>
            <w:shd w:val="clear" w:color="auto" w:fill="auto"/>
            <w:noWrap/>
            <w:vAlign w:val="bottom"/>
            <w:hideMark/>
          </w:tcPr>
          <w:p w14:paraId="214AB3AE"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71BEA32C" w14:textId="77777777" w:rsidTr="00993B86">
        <w:trPr>
          <w:cantSplit/>
          <w:trHeight w:val="259"/>
        </w:trPr>
        <w:tc>
          <w:tcPr>
            <w:tcW w:w="953" w:type="pct"/>
            <w:tcBorders>
              <w:top w:val="nil"/>
              <w:left w:val="single" w:sz="8" w:space="0" w:color="auto"/>
              <w:bottom w:val="single" w:sz="8" w:space="0" w:color="auto"/>
              <w:right w:val="single" w:sz="8" w:space="0" w:color="auto"/>
            </w:tcBorders>
            <w:shd w:val="clear" w:color="000000" w:fill="D9D9D9"/>
            <w:noWrap/>
            <w:vAlign w:val="bottom"/>
            <w:hideMark/>
          </w:tcPr>
          <w:p w14:paraId="14907B05" w14:textId="77777777" w:rsidR="00FC026B" w:rsidRPr="00C56257" w:rsidRDefault="00FC026B" w:rsidP="00993B86">
            <w:pPr>
              <w:jc w:val="both"/>
              <w:rPr>
                <w:b/>
                <w:bCs/>
                <w:color w:val="000000" w:themeColor="text1"/>
              </w:rPr>
            </w:pPr>
            <w:r w:rsidRPr="00C56257">
              <w:rPr>
                <w:b/>
                <w:bCs/>
                <w:color w:val="000000" w:themeColor="text1"/>
              </w:rPr>
              <w:t>Expert/ Funcţie/ Instituţie</w:t>
            </w:r>
          </w:p>
        </w:tc>
        <w:tc>
          <w:tcPr>
            <w:tcW w:w="1911" w:type="pct"/>
            <w:tcBorders>
              <w:top w:val="nil"/>
              <w:left w:val="nil"/>
              <w:bottom w:val="single" w:sz="4" w:space="0" w:color="auto"/>
              <w:right w:val="single" w:sz="4" w:space="0" w:color="auto"/>
            </w:tcBorders>
            <w:shd w:val="clear" w:color="auto" w:fill="auto"/>
            <w:vAlign w:val="bottom"/>
            <w:hideMark/>
          </w:tcPr>
          <w:p w14:paraId="05CC33D4" w14:textId="77777777" w:rsidR="00FC026B" w:rsidRPr="00C56257" w:rsidRDefault="00FC026B" w:rsidP="00993B86">
            <w:pPr>
              <w:jc w:val="both"/>
              <w:rPr>
                <w:color w:val="000000" w:themeColor="text1"/>
              </w:rPr>
            </w:pPr>
            <w:r w:rsidRPr="00C56257">
              <w:rPr>
                <w:color w:val="000000" w:themeColor="text1"/>
              </w:rPr>
              <w:t> </w:t>
            </w:r>
          </w:p>
        </w:tc>
        <w:tc>
          <w:tcPr>
            <w:tcW w:w="2137" w:type="pct"/>
            <w:gridSpan w:val="2"/>
            <w:tcBorders>
              <w:top w:val="nil"/>
              <w:left w:val="nil"/>
              <w:bottom w:val="single" w:sz="4" w:space="0" w:color="auto"/>
              <w:right w:val="single" w:sz="4" w:space="0" w:color="auto"/>
            </w:tcBorders>
            <w:shd w:val="clear" w:color="auto" w:fill="auto"/>
            <w:noWrap/>
            <w:vAlign w:val="bottom"/>
            <w:hideMark/>
          </w:tcPr>
          <w:p w14:paraId="05ED0AA9" w14:textId="77777777" w:rsidR="00FC026B" w:rsidRPr="00C56257" w:rsidRDefault="00FC026B" w:rsidP="00993B86">
            <w:pPr>
              <w:jc w:val="both"/>
              <w:rPr>
                <w:color w:val="000000" w:themeColor="text1"/>
              </w:rPr>
            </w:pPr>
          </w:p>
        </w:tc>
      </w:tr>
    </w:tbl>
    <w:p w14:paraId="3986CE83" w14:textId="77777777" w:rsidR="00FC026B" w:rsidRPr="00C56257" w:rsidRDefault="00FC026B" w:rsidP="00FC026B">
      <w:pPr>
        <w:spacing w:line="259" w:lineRule="auto"/>
        <w:jc w:val="both"/>
        <w:rPr>
          <w:b/>
          <w:color w:val="000000" w:themeColor="text1"/>
        </w:rPr>
      </w:pPr>
    </w:p>
    <w:p w14:paraId="03AD576D" w14:textId="77777777" w:rsidR="00FC026B" w:rsidRPr="00C56257" w:rsidRDefault="00FC026B" w:rsidP="00FC026B">
      <w:pPr>
        <w:spacing w:line="259" w:lineRule="auto"/>
        <w:jc w:val="both"/>
        <w:rPr>
          <w:b/>
          <w:color w:val="000000" w:themeColor="text1"/>
        </w:rPr>
      </w:pPr>
      <w:r w:rsidRPr="00C56257">
        <w:rPr>
          <w:b/>
          <w:color w:val="000000" w:themeColor="text1"/>
        </w:rPr>
        <w:t>Specii identificate</w:t>
      </w:r>
    </w:p>
    <w:tbl>
      <w:tblPr>
        <w:tblW w:w="5160" w:type="pct"/>
        <w:tblInd w:w="18" w:type="dxa"/>
        <w:tblLayout w:type="fixed"/>
        <w:tblLook w:val="04A0" w:firstRow="1" w:lastRow="0" w:firstColumn="1" w:lastColumn="0" w:noHBand="0" w:noVBand="1"/>
      </w:tblPr>
      <w:tblGrid>
        <w:gridCol w:w="827"/>
        <w:gridCol w:w="918"/>
        <w:gridCol w:w="1287"/>
        <w:gridCol w:w="1102"/>
        <w:gridCol w:w="1193"/>
        <w:gridCol w:w="985"/>
        <w:gridCol w:w="1400"/>
        <w:gridCol w:w="1469"/>
        <w:gridCol w:w="1191"/>
      </w:tblGrid>
      <w:tr w:rsidR="00FC026B" w:rsidRPr="00C56257" w14:paraId="0C8233D4" w14:textId="77777777" w:rsidTr="00993B86">
        <w:trPr>
          <w:trHeight w:val="335"/>
        </w:trPr>
        <w:tc>
          <w:tcPr>
            <w:tcW w:w="398"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BFFB04A" w14:textId="77777777" w:rsidR="00FC026B" w:rsidRPr="00C56257" w:rsidRDefault="00FC026B" w:rsidP="00993B86">
            <w:pPr>
              <w:jc w:val="both"/>
              <w:rPr>
                <w:b/>
                <w:bCs/>
                <w:color w:val="000000" w:themeColor="text1"/>
              </w:rPr>
            </w:pPr>
            <w:r w:rsidRPr="00C56257">
              <w:rPr>
                <w:b/>
                <w:bCs/>
                <w:color w:val="000000" w:themeColor="text1"/>
              </w:rPr>
              <w:t>Grup</w:t>
            </w:r>
          </w:p>
        </w:tc>
        <w:tc>
          <w:tcPr>
            <w:tcW w:w="442" w:type="pct"/>
            <w:tcBorders>
              <w:top w:val="single" w:sz="8" w:space="0" w:color="auto"/>
              <w:left w:val="nil"/>
              <w:bottom w:val="single" w:sz="4" w:space="0" w:color="auto"/>
              <w:right w:val="single" w:sz="4" w:space="0" w:color="auto"/>
            </w:tcBorders>
            <w:shd w:val="clear" w:color="000000" w:fill="D9D9D9"/>
            <w:noWrap/>
            <w:vAlign w:val="center"/>
            <w:hideMark/>
          </w:tcPr>
          <w:p w14:paraId="0B1AC97F" w14:textId="77777777" w:rsidR="00FC026B" w:rsidRPr="00C56257" w:rsidRDefault="00FC026B" w:rsidP="00993B86">
            <w:pPr>
              <w:jc w:val="both"/>
              <w:rPr>
                <w:b/>
                <w:bCs/>
                <w:color w:val="000000" w:themeColor="text1"/>
              </w:rPr>
            </w:pPr>
            <w:r w:rsidRPr="00C56257">
              <w:rPr>
                <w:b/>
                <w:bCs/>
                <w:color w:val="000000" w:themeColor="text1"/>
              </w:rPr>
              <w:t>Specie</w:t>
            </w:r>
          </w:p>
        </w:tc>
        <w:tc>
          <w:tcPr>
            <w:tcW w:w="620" w:type="pct"/>
            <w:tcBorders>
              <w:top w:val="single" w:sz="8" w:space="0" w:color="auto"/>
              <w:left w:val="nil"/>
              <w:bottom w:val="single" w:sz="8" w:space="0" w:color="auto"/>
              <w:right w:val="single" w:sz="4" w:space="0" w:color="auto"/>
            </w:tcBorders>
            <w:shd w:val="clear" w:color="000000" w:fill="D9D9D9"/>
            <w:noWrap/>
            <w:vAlign w:val="center"/>
            <w:hideMark/>
          </w:tcPr>
          <w:p w14:paraId="1DB0D2F9" w14:textId="77777777" w:rsidR="00FC026B" w:rsidRPr="00C56257" w:rsidRDefault="00FC026B" w:rsidP="00993B86">
            <w:pPr>
              <w:jc w:val="both"/>
              <w:rPr>
                <w:b/>
                <w:bCs/>
                <w:color w:val="000000" w:themeColor="text1"/>
              </w:rPr>
            </w:pPr>
            <w:r w:rsidRPr="00C56257">
              <w:rPr>
                <w:b/>
                <w:bCs/>
                <w:color w:val="000000" w:themeColor="text1"/>
              </w:rPr>
              <w:t xml:space="preserve">Grupă </w:t>
            </w:r>
          </w:p>
          <w:p w14:paraId="239A5906" w14:textId="77777777" w:rsidR="00FC026B" w:rsidRPr="00C56257" w:rsidRDefault="00FC026B" w:rsidP="00993B86">
            <w:pPr>
              <w:jc w:val="both"/>
              <w:rPr>
                <w:b/>
                <w:bCs/>
                <w:color w:val="000000" w:themeColor="text1"/>
              </w:rPr>
            </w:pPr>
            <w:r w:rsidRPr="00C56257">
              <w:rPr>
                <w:b/>
                <w:bCs/>
                <w:color w:val="000000" w:themeColor="text1"/>
              </w:rPr>
              <w:t>taxonomică</w:t>
            </w:r>
          </w:p>
        </w:tc>
        <w:tc>
          <w:tcPr>
            <w:tcW w:w="531" w:type="pct"/>
            <w:tcBorders>
              <w:top w:val="single" w:sz="8" w:space="0" w:color="auto"/>
              <w:left w:val="nil"/>
              <w:bottom w:val="single" w:sz="8" w:space="0" w:color="auto"/>
              <w:right w:val="single" w:sz="4" w:space="0" w:color="auto"/>
            </w:tcBorders>
            <w:shd w:val="clear" w:color="000000" w:fill="D9D9D9"/>
            <w:noWrap/>
            <w:vAlign w:val="center"/>
            <w:hideMark/>
          </w:tcPr>
          <w:p w14:paraId="7356085A" w14:textId="77777777" w:rsidR="00FC026B" w:rsidRPr="00C56257" w:rsidRDefault="00FC026B" w:rsidP="00993B86">
            <w:pPr>
              <w:jc w:val="both"/>
              <w:rPr>
                <w:b/>
                <w:bCs/>
                <w:color w:val="000000" w:themeColor="text1"/>
              </w:rPr>
            </w:pPr>
            <w:r w:rsidRPr="00C56257">
              <w:rPr>
                <w:b/>
                <w:bCs/>
                <w:color w:val="000000" w:themeColor="text1"/>
              </w:rPr>
              <w:t xml:space="preserve">Grupă </w:t>
            </w:r>
          </w:p>
          <w:p w14:paraId="468B6858" w14:textId="77777777" w:rsidR="00FC026B" w:rsidRPr="00C56257" w:rsidRDefault="00FC026B" w:rsidP="00993B86">
            <w:pPr>
              <w:jc w:val="both"/>
              <w:rPr>
                <w:b/>
                <w:bCs/>
                <w:color w:val="000000" w:themeColor="text1"/>
              </w:rPr>
            </w:pPr>
            <w:r w:rsidRPr="00C56257">
              <w:rPr>
                <w:b/>
                <w:bCs/>
                <w:color w:val="000000" w:themeColor="text1"/>
              </w:rPr>
              <w:t>ecologică</w:t>
            </w:r>
          </w:p>
        </w:tc>
        <w:tc>
          <w:tcPr>
            <w:tcW w:w="575" w:type="pct"/>
            <w:tcBorders>
              <w:top w:val="single" w:sz="8" w:space="0" w:color="auto"/>
              <w:left w:val="nil"/>
              <w:bottom w:val="single" w:sz="8" w:space="0" w:color="auto"/>
              <w:right w:val="single" w:sz="4" w:space="0" w:color="auto"/>
            </w:tcBorders>
            <w:shd w:val="clear" w:color="000000" w:fill="D9D9D9"/>
            <w:noWrap/>
            <w:vAlign w:val="center"/>
            <w:hideMark/>
          </w:tcPr>
          <w:p w14:paraId="6D2ED75A" w14:textId="77777777" w:rsidR="00FC026B" w:rsidRPr="00C56257" w:rsidRDefault="00FC026B" w:rsidP="00993B86">
            <w:pPr>
              <w:jc w:val="both"/>
              <w:rPr>
                <w:b/>
                <w:bCs/>
                <w:color w:val="000000" w:themeColor="text1"/>
              </w:rPr>
            </w:pPr>
            <w:r w:rsidRPr="00C56257">
              <w:rPr>
                <w:b/>
                <w:bCs/>
                <w:color w:val="000000" w:themeColor="text1"/>
              </w:rPr>
              <w:t>Abundenţă</w:t>
            </w:r>
          </w:p>
        </w:tc>
        <w:tc>
          <w:tcPr>
            <w:tcW w:w="475" w:type="pct"/>
            <w:tcBorders>
              <w:top w:val="single" w:sz="8" w:space="0" w:color="auto"/>
              <w:left w:val="nil"/>
              <w:bottom w:val="single" w:sz="8" w:space="0" w:color="auto"/>
              <w:right w:val="single" w:sz="4" w:space="0" w:color="auto"/>
            </w:tcBorders>
            <w:shd w:val="clear" w:color="000000" w:fill="D9D9D9"/>
            <w:noWrap/>
            <w:vAlign w:val="center"/>
            <w:hideMark/>
          </w:tcPr>
          <w:p w14:paraId="39087A4D" w14:textId="77777777" w:rsidR="00FC026B" w:rsidRPr="00C56257" w:rsidRDefault="00FC026B" w:rsidP="00993B86">
            <w:pPr>
              <w:jc w:val="both"/>
              <w:rPr>
                <w:b/>
                <w:bCs/>
                <w:color w:val="000000" w:themeColor="text1"/>
              </w:rPr>
            </w:pPr>
            <w:r w:rsidRPr="00C56257">
              <w:rPr>
                <w:b/>
                <w:bCs/>
                <w:color w:val="000000" w:themeColor="text1"/>
              </w:rPr>
              <w:t>Biomasă</w:t>
            </w:r>
          </w:p>
        </w:tc>
        <w:tc>
          <w:tcPr>
            <w:tcW w:w="675" w:type="pct"/>
            <w:tcBorders>
              <w:top w:val="single" w:sz="8" w:space="0" w:color="auto"/>
              <w:left w:val="single" w:sz="8" w:space="0" w:color="auto"/>
              <w:bottom w:val="single" w:sz="4" w:space="0" w:color="auto"/>
              <w:right w:val="single" w:sz="8" w:space="0" w:color="auto"/>
            </w:tcBorders>
            <w:shd w:val="clear" w:color="000000" w:fill="D9D9D9"/>
            <w:noWrap/>
            <w:vAlign w:val="center"/>
            <w:hideMark/>
          </w:tcPr>
          <w:p w14:paraId="1548B750" w14:textId="77777777" w:rsidR="00FC026B" w:rsidRPr="00C56257" w:rsidRDefault="00FC026B" w:rsidP="00993B86">
            <w:pPr>
              <w:jc w:val="both"/>
              <w:rPr>
                <w:b/>
                <w:bCs/>
                <w:color w:val="000000" w:themeColor="text1"/>
              </w:rPr>
            </w:pPr>
            <w:r w:rsidRPr="00C56257">
              <w:rPr>
                <w:b/>
                <w:bCs/>
                <w:color w:val="000000" w:themeColor="text1"/>
              </w:rPr>
              <w:t xml:space="preserve">Tip specie </w:t>
            </w:r>
          </w:p>
          <w:p w14:paraId="21AD3BA6" w14:textId="77777777" w:rsidR="00FC026B" w:rsidRPr="00C56257" w:rsidRDefault="00FC026B" w:rsidP="00993B86">
            <w:pPr>
              <w:jc w:val="both"/>
              <w:rPr>
                <w:b/>
                <w:bCs/>
                <w:color w:val="000000" w:themeColor="text1"/>
              </w:rPr>
            </w:pPr>
            <w:r w:rsidRPr="00C56257">
              <w:rPr>
                <w:b/>
                <w:bCs/>
                <w:color w:val="000000" w:themeColor="text1"/>
              </w:rPr>
              <w:t xml:space="preserve">salinitatea </w:t>
            </w:r>
          </w:p>
          <w:p w14:paraId="0DD62301" w14:textId="77777777" w:rsidR="00FC026B" w:rsidRPr="00C56257" w:rsidRDefault="00FC026B" w:rsidP="00993B86">
            <w:pPr>
              <w:jc w:val="both"/>
              <w:rPr>
                <w:b/>
                <w:bCs/>
                <w:color w:val="000000" w:themeColor="text1"/>
              </w:rPr>
            </w:pPr>
            <w:r w:rsidRPr="00C56257">
              <w:rPr>
                <w:b/>
                <w:bCs/>
                <w:color w:val="000000" w:themeColor="text1"/>
              </w:rPr>
              <w:t>mediului</w:t>
            </w:r>
          </w:p>
        </w:tc>
        <w:tc>
          <w:tcPr>
            <w:tcW w:w="708" w:type="pct"/>
            <w:tcBorders>
              <w:top w:val="single" w:sz="8" w:space="0" w:color="auto"/>
              <w:left w:val="nil"/>
              <w:bottom w:val="single" w:sz="4" w:space="0" w:color="auto"/>
              <w:right w:val="single" w:sz="8" w:space="0" w:color="auto"/>
            </w:tcBorders>
            <w:shd w:val="clear" w:color="000000" w:fill="D9D9D9"/>
            <w:noWrap/>
            <w:vAlign w:val="center"/>
            <w:hideMark/>
          </w:tcPr>
          <w:p w14:paraId="6B098CB7" w14:textId="77777777" w:rsidR="00FC026B" w:rsidRPr="00C56257" w:rsidRDefault="00FC026B" w:rsidP="00993B86">
            <w:pPr>
              <w:jc w:val="both"/>
              <w:rPr>
                <w:b/>
                <w:bCs/>
                <w:color w:val="000000" w:themeColor="text1"/>
              </w:rPr>
            </w:pPr>
            <w:r w:rsidRPr="00C56257">
              <w:rPr>
                <w:b/>
                <w:bCs/>
                <w:color w:val="000000" w:themeColor="text1"/>
              </w:rPr>
              <w:t xml:space="preserve">Tip de specie </w:t>
            </w:r>
          </w:p>
          <w:p w14:paraId="686840E3" w14:textId="77777777" w:rsidR="00FC026B" w:rsidRPr="00C56257" w:rsidRDefault="00FC026B" w:rsidP="00993B86">
            <w:pPr>
              <w:jc w:val="both"/>
              <w:rPr>
                <w:b/>
                <w:bCs/>
                <w:color w:val="000000" w:themeColor="text1"/>
              </w:rPr>
            </w:pPr>
            <w:r w:rsidRPr="00C56257">
              <w:rPr>
                <w:b/>
                <w:bCs/>
                <w:color w:val="000000" w:themeColor="text1"/>
              </w:rPr>
              <w:t xml:space="preserve">apartenenţă la </w:t>
            </w:r>
          </w:p>
          <w:p w14:paraId="028E40C6" w14:textId="77777777" w:rsidR="00FC026B" w:rsidRPr="00C56257" w:rsidRDefault="00FC026B" w:rsidP="00993B86">
            <w:pPr>
              <w:jc w:val="both"/>
              <w:rPr>
                <w:b/>
                <w:bCs/>
                <w:color w:val="000000" w:themeColor="text1"/>
              </w:rPr>
            </w:pPr>
            <w:r w:rsidRPr="00C56257">
              <w:rPr>
                <w:b/>
                <w:bCs/>
                <w:color w:val="000000" w:themeColor="text1"/>
              </w:rPr>
              <w:t>habitat</w:t>
            </w:r>
          </w:p>
        </w:tc>
        <w:tc>
          <w:tcPr>
            <w:tcW w:w="574" w:type="pct"/>
            <w:tcBorders>
              <w:top w:val="single" w:sz="8" w:space="0" w:color="auto"/>
              <w:left w:val="nil"/>
              <w:bottom w:val="single" w:sz="8" w:space="0" w:color="auto"/>
              <w:right w:val="single" w:sz="8" w:space="0" w:color="auto"/>
            </w:tcBorders>
            <w:shd w:val="clear" w:color="000000" w:fill="D9D9D9"/>
            <w:noWrap/>
            <w:vAlign w:val="center"/>
            <w:hideMark/>
          </w:tcPr>
          <w:p w14:paraId="2657AC85" w14:textId="77777777" w:rsidR="00FC026B" w:rsidRPr="00C56257" w:rsidRDefault="00FC026B" w:rsidP="00993B86">
            <w:pPr>
              <w:jc w:val="both"/>
              <w:rPr>
                <w:b/>
                <w:bCs/>
                <w:color w:val="000000" w:themeColor="text1"/>
              </w:rPr>
            </w:pPr>
            <w:r w:rsidRPr="00C56257">
              <w:rPr>
                <w:b/>
                <w:bCs/>
                <w:color w:val="000000" w:themeColor="text1"/>
              </w:rPr>
              <w:t>Observaţii</w:t>
            </w:r>
          </w:p>
        </w:tc>
      </w:tr>
      <w:tr w:rsidR="00FC026B" w:rsidRPr="00C56257" w14:paraId="0990A93A" w14:textId="77777777" w:rsidTr="00993B86">
        <w:trPr>
          <w:trHeight w:val="250"/>
        </w:trPr>
        <w:tc>
          <w:tcPr>
            <w:tcW w:w="39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A0AF765" w14:textId="77777777" w:rsidR="00FC026B" w:rsidRPr="00C56257" w:rsidRDefault="00FC026B" w:rsidP="00993B86">
            <w:pPr>
              <w:jc w:val="both"/>
              <w:rPr>
                <w:color w:val="000000" w:themeColor="text1"/>
              </w:rPr>
            </w:pPr>
          </w:p>
        </w:tc>
        <w:tc>
          <w:tcPr>
            <w:tcW w:w="442" w:type="pct"/>
            <w:tcBorders>
              <w:top w:val="single" w:sz="4" w:space="0" w:color="auto"/>
              <w:left w:val="single" w:sz="4" w:space="0" w:color="auto"/>
              <w:bottom w:val="single" w:sz="4" w:space="0" w:color="auto"/>
              <w:right w:val="nil"/>
            </w:tcBorders>
            <w:shd w:val="clear" w:color="auto" w:fill="auto"/>
            <w:noWrap/>
            <w:vAlign w:val="bottom"/>
            <w:hideMark/>
          </w:tcPr>
          <w:p w14:paraId="11C1E46A" w14:textId="77777777" w:rsidR="00FC026B" w:rsidRPr="00C56257" w:rsidRDefault="00FC026B" w:rsidP="00993B86">
            <w:pPr>
              <w:jc w:val="both"/>
              <w:rPr>
                <w:color w:val="000000" w:themeColor="text1"/>
              </w:rPr>
            </w:pPr>
          </w:p>
        </w:tc>
        <w:tc>
          <w:tcPr>
            <w:tcW w:w="620" w:type="pct"/>
            <w:tcBorders>
              <w:top w:val="nil"/>
              <w:left w:val="single" w:sz="4" w:space="0" w:color="auto"/>
              <w:bottom w:val="single" w:sz="4" w:space="0" w:color="auto"/>
              <w:right w:val="single" w:sz="4" w:space="0" w:color="auto"/>
            </w:tcBorders>
            <w:shd w:val="clear" w:color="auto" w:fill="auto"/>
            <w:noWrap/>
            <w:vAlign w:val="bottom"/>
            <w:hideMark/>
          </w:tcPr>
          <w:p w14:paraId="566480C3" w14:textId="77777777" w:rsidR="00FC026B" w:rsidRPr="00C56257" w:rsidRDefault="00FC026B" w:rsidP="00993B86">
            <w:pPr>
              <w:jc w:val="both"/>
              <w:rPr>
                <w:color w:val="000000" w:themeColor="text1"/>
              </w:rPr>
            </w:pPr>
            <w:r w:rsidRPr="00C56257">
              <w:rPr>
                <w:color w:val="000000" w:themeColor="text1"/>
              </w:rPr>
              <w:t> </w:t>
            </w:r>
          </w:p>
        </w:tc>
        <w:tc>
          <w:tcPr>
            <w:tcW w:w="531" w:type="pct"/>
            <w:tcBorders>
              <w:top w:val="nil"/>
              <w:left w:val="nil"/>
              <w:bottom w:val="single" w:sz="4" w:space="0" w:color="auto"/>
              <w:right w:val="single" w:sz="4" w:space="0" w:color="auto"/>
            </w:tcBorders>
            <w:shd w:val="clear" w:color="auto" w:fill="auto"/>
            <w:noWrap/>
            <w:vAlign w:val="bottom"/>
            <w:hideMark/>
          </w:tcPr>
          <w:p w14:paraId="68AC92E7" w14:textId="77777777" w:rsidR="00FC026B" w:rsidRPr="00C56257" w:rsidRDefault="00FC026B" w:rsidP="00993B86">
            <w:pPr>
              <w:jc w:val="both"/>
              <w:rPr>
                <w:color w:val="000000" w:themeColor="text1"/>
              </w:rPr>
            </w:pPr>
            <w:r w:rsidRPr="00C56257">
              <w:rPr>
                <w:color w:val="000000" w:themeColor="text1"/>
              </w:rPr>
              <w:t> </w:t>
            </w:r>
          </w:p>
        </w:tc>
        <w:tc>
          <w:tcPr>
            <w:tcW w:w="575" w:type="pct"/>
            <w:tcBorders>
              <w:top w:val="nil"/>
              <w:left w:val="nil"/>
              <w:bottom w:val="single" w:sz="4" w:space="0" w:color="auto"/>
              <w:right w:val="single" w:sz="4" w:space="0" w:color="auto"/>
            </w:tcBorders>
            <w:shd w:val="clear" w:color="auto" w:fill="auto"/>
            <w:noWrap/>
            <w:vAlign w:val="bottom"/>
            <w:hideMark/>
          </w:tcPr>
          <w:p w14:paraId="3F8C8E7F" w14:textId="77777777" w:rsidR="00FC026B" w:rsidRPr="00C56257" w:rsidRDefault="00FC026B" w:rsidP="00993B86">
            <w:pPr>
              <w:jc w:val="both"/>
              <w:rPr>
                <w:color w:val="000000" w:themeColor="text1"/>
              </w:rPr>
            </w:pPr>
            <w:r w:rsidRPr="00C56257">
              <w:rPr>
                <w:color w:val="000000" w:themeColor="text1"/>
              </w:rPr>
              <w:t> </w:t>
            </w:r>
          </w:p>
        </w:tc>
        <w:tc>
          <w:tcPr>
            <w:tcW w:w="475" w:type="pct"/>
            <w:tcBorders>
              <w:top w:val="nil"/>
              <w:left w:val="nil"/>
              <w:bottom w:val="single" w:sz="4" w:space="0" w:color="auto"/>
              <w:right w:val="single" w:sz="4" w:space="0" w:color="auto"/>
            </w:tcBorders>
            <w:shd w:val="clear" w:color="auto" w:fill="auto"/>
            <w:noWrap/>
            <w:vAlign w:val="bottom"/>
            <w:hideMark/>
          </w:tcPr>
          <w:p w14:paraId="0E436B2B" w14:textId="77777777" w:rsidR="00FC026B" w:rsidRPr="00C56257" w:rsidRDefault="00FC026B" w:rsidP="00993B86">
            <w:pPr>
              <w:jc w:val="both"/>
              <w:rPr>
                <w:color w:val="000000" w:themeColor="text1"/>
              </w:rPr>
            </w:pPr>
            <w:r w:rsidRPr="00C56257">
              <w:rPr>
                <w:color w:val="000000" w:themeColor="text1"/>
              </w:rPr>
              <w:t> </w:t>
            </w:r>
          </w:p>
        </w:tc>
        <w:tc>
          <w:tcPr>
            <w:tcW w:w="675" w:type="pct"/>
            <w:vMerge w:val="restart"/>
            <w:tcBorders>
              <w:top w:val="single" w:sz="4" w:space="0" w:color="auto"/>
              <w:left w:val="nil"/>
              <w:bottom w:val="single" w:sz="4" w:space="0" w:color="auto"/>
              <w:right w:val="single" w:sz="4" w:space="0" w:color="auto"/>
            </w:tcBorders>
            <w:shd w:val="clear" w:color="auto" w:fill="auto"/>
            <w:noWrap/>
            <w:vAlign w:val="center"/>
            <w:hideMark/>
          </w:tcPr>
          <w:p w14:paraId="4B72F99B" w14:textId="77777777" w:rsidR="00FC026B" w:rsidRPr="00C56257" w:rsidRDefault="00FC026B" w:rsidP="00993B86">
            <w:pPr>
              <w:jc w:val="both"/>
              <w:rPr>
                <w:color w:val="000000" w:themeColor="text1"/>
              </w:rPr>
            </w:pPr>
            <w:r w:rsidRPr="00C56257">
              <w:rPr>
                <w:color w:val="000000" w:themeColor="text1"/>
              </w:rPr>
              <w:t>Dulcicolă</w:t>
            </w:r>
          </w:p>
          <w:p w14:paraId="14DE96DD" w14:textId="77777777" w:rsidR="00FC026B" w:rsidRPr="00C56257" w:rsidRDefault="00FC026B" w:rsidP="00993B86">
            <w:pPr>
              <w:jc w:val="both"/>
              <w:rPr>
                <w:color w:val="000000" w:themeColor="text1"/>
              </w:rPr>
            </w:pPr>
            <w:r w:rsidRPr="00C56257">
              <w:rPr>
                <w:color w:val="000000" w:themeColor="text1"/>
              </w:rPr>
              <w:t>Dulcicolă – salmastricolă</w:t>
            </w:r>
          </w:p>
          <w:p w14:paraId="3A4E50D0" w14:textId="77777777" w:rsidR="00FC026B" w:rsidRPr="00C56257" w:rsidRDefault="00FC026B" w:rsidP="00993B86">
            <w:pPr>
              <w:jc w:val="both"/>
              <w:rPr>
                <w:color w:val="000000" w:themeColor="text1"/>
              </w:rPr>
            </w:pPr>
            <w:r w:rsidRPr="00C56257">
              <w:rPr>
                <w:color w:val="000000" w:themeColor="text1"/>
              </w:rPr>
              <w:t>Marină</w:t>
            </w:r>
          </w:p>
        </w:tc>
        <w:tc>
          <w:tcPr>
            <w:tcW w:w="708" w:type="pct"/>
            <w:vMerge w:val="restart"/>
            <w:tcBorders>
              <w:top w:val="single" w:sz="4" w:space="0" w:color="auto"/>
              <w:left w:val="nil"/>
              <w:bottom w:val="single" w:sz="4" w:space="0" w:color="auto"/>
              <w:right w:val="single" w:sz="4" w:space="0" w:color="auto"/>
            </w:tcBorders>
            <w:shd w:val="clear" w:color="auto" w:fill="auto"/>
            <w:noWrap/>
            <w:vAlign w:val="center"/>
            <w:hideMark/>
          </w:tcPr>
          <w:p w14:paraId="697EFBB3" w14:textId="77777777" w:rsidR="00FC026B" w:rsidRPr="00C56257" w:rsidRDefault="00FC026B" w:rsidP="00993B86">
            <w:pPr>
              <w:jc w:val="both"/>
              <w:rPr>
                <w:color w:val="000000" w:themeColor="text1"/>
              </w:rPr>
            </w:pPr>
            <w:r w:rsidRPr="00C56257">
              <w:rPr>
                <w:color w:val="000000" w:themeColor="text1"/>
              </w:rPr>
              <w:t>Caracteristică</w:t>
            </w:r>
          </w:p>
          <w:p w14:paraId="478AEE73" w14:textId="77777777" w:rsidR="00FC026B" w:rsidRPr="00C56257" w:rsidRDefault="00FC026B" w:rsidP="00993B86">
            <w:pPr>
              <w:jc w:val="both"/>
              <w:rPr>
                <w:color w:val="000000" w:themeColor="text1"/>
              </w:rPr>
            </w:pPr>
            <w:r w:rsidRPr="00C56257">
              <w:rPr>
                <w:color w:val="000000" w:themeColor="text1"/>
              </w:rPr>
              <w:t>Alohtonă</w:t>
            </w:r>
          </w:p>
          <w:p w14:paraId="37EA8540" w14:textId="77777777" w:rsidR="00FC026B" w:rsidRPr="00C56257" w:rsidRDefault="00FC026B" w:rsidP="00993B86">
            <w:pPr>
              <w:jc w:val="both"/>
              <w:rPr>
                <w:color w:val="000000" w:themeColor="text1"/>
              </w:rPr>
            </w:pPr>
            <w:r w:rsidRPr="00C56257">
              <w:rPr>
                <w:color w:val="000000" w:themeColor="text1"/>
              </w:rPr>
              <w:t>Prioritară</w:t>
            </w:r>
          </w:p>
        </w:tc>
        <w:tc>
          <w:tcPr>
            <w:tcW w:w="574" w:type="pct"/>
            <w:tcBorders>
              <w:top w:val="nil"/>
              <w:left w:val="nil"/>
              <w:bottom w:val="single" w:sz="4" w:space="0" w:color="auto"/>
              <w:right w:val="single" w:sz="4" w:space="0" w:color="auto"/>
            </w:tcBorders>
            <w:shd w:val="clear" w:color="auto" w:fill="auto"/>
            <w:noWrap/>
            <w:vAlign w:val="bottom"/>
            <w:hideMark/>
          </w:tcPr>
          <w:p w14:paraId="3B06A910"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4F168A24" w14:textId="77777777" w:rsidTr="00993B86">
        <w:trPr>
          <w:trHeight w:val="278"/>
        </w:trPr>
        <w:tc>
          <w:tcPr>
            <w:tcW w:w="39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DB8C474" w14:textId="77777777" w:rsidR="00FC026B" w:rsidRPr="00C56257" w:rsidRDefault="00FC026B" w:rsidP="00993B86">
            <w:pPr>
              <w:jc w:val="both"/>
              <w:rPr>
                <w:color w:val="000000" w:themeColor="text1"/>
              </w:rPr>
            </w:pPr>
          </w:p>
        </w:tc>
        <w:tc>
          <w:tcPr>
            <w:tcW w:w="442" w:type="pct"/>
            <w:tcBorders>
              <w:top w:val="single" w:sz="4" w:space="0" w:color="auto"/>
              <w:left w:val="nil"/>
              <w:bottom w:val="single" w:sz="4" w:space="0" w:color="auto"/>
              <w:right w:val="single" w:sz="4" w:space="0" w:color="auto"/>
            </w:tcBorders>
            <w:shd w:val="clear" w:color="auto" w:fill="auto"/>
            <w:noWrap/>
            <w:vAlign w:val="bottom"/>
            <w:hideMark/>
          </w:tcPr>
          <w:p w14:paraId="04555A54" w14:textId="77777777" w:rsidR="00FC026B" w:rsidRPr="00C56257" w:rsidRDefault="00FC026B" w:rsidP="00993B86">
            <w:pPr>
              <w:jc w:val="both"/>
              <w:rPr>
                <w:color w:val="000000" w:themeColor="text1"/>
              </w:rPr>
            </w:pPr>
            <w:r w:rsidRPr="00C56257">
              <w:rPr>
                <w:color w:val="000000" w:themeColor="text1"/>
              </w:rPr>
              <w:t> </w:t>
            </w:r>
          </w:p>
        </w:tc>
        <w:tc>
          <w:tcPr>
            <w:tcW w:w="620" w:type="pct"/>
            <w:tcBorders>
              <w:top w:val="nil"/>
              <w:left w:val="nil"/>
              <w:bottom w:val="single" w:sz="4" w:space="0" w:color="auto"/>
              <w:right w:val="single" w:sz="4" w:space="0" w:color="auto"/>
            </w:tcBorders>
            <w:shd w:val="clear" w:color="auto" w:fill="auto"/>
            <w:noWrap/>
            <w:vAlign w:val="bottom"/>
            <w:hideMark/>
          </w:tcPr>
          <w:p w14:paraId="5977073B" w14:textId="77777777" w:rsidR="00FC026B" w:rsidRPr="00C56257" w:rsidRDefault="00FC026B" w:rsidP="00993B86">
            <w:pPr>
              <w:jc w:val="both"/>
              <w:rPr>
                <w:color w:val="000000" w:themeColor="text1"/>
              </w:rPr>
            </w:pPr>
            <w:r w:rsidRPr="00C56257">
              <w:rPr>
                <w:color w:val="000000" w:themeColor="text1"/>
              </w:rPr>
              <w:t> </w:t>
            </w:r>
          </w:p>
        </w:tc>
        <w:tc>
          <w:tcPr>
            <w:tcW w:w="531" w:type="pct"/>
            <w:tcBorders>
              <w:top w:val="nil"/>
              <w:left w:val="nil"/>
              <w:bottom w:val="single" w:sz="4" w:space="0" w:color="auto"/>
              <w:right w:val="single" w:sz="4" w:space="0" w:color="auto"/>
            </w:tcBorders>
            <w:shd w:val="clear" w:color="auto" w:fill="auto"/>
            <w:noWrap/>
            <w:vAlign w:val="bottom"/>
            <w:hideMark/>
          </w:tcPr>
          <w:p w14:paraId="465D3D8C" w14:textId="77777777" w:rsidR="00FC026B" w:rsidRPr="00C56257" w:rsidRDefault="00FC026B" w:rsidP="00993B86">
            <w:pPr>
              <w:jc w:val="both"/>
              <w:rPr>
                <w:color w:val="000000" w:themeColor="text1"/>
              </w:rPr>
            </w:pPr>
            <w:r w:rsidRPr="00C56257">
              <w:rPr>
                <w:color w:val="000000" w:themeColor="text1"/>
              </w:rPr>
              <w:t> </w:t>
            </w:r>
          </w:p>
        </w:tc>
        <w:tc>
          <w:tcPr>
            <w:tcW w:w="575" w:type="pct"/>
            <w:tcBorders>
              <w:top w:val="nil"/>
              <w:left w:val="nil"/>
              <w:bottom w:val="single" w:sz="4" w:space="0" w:color="auto"/>
              <w:right w:val="single" w:sz="4" w:space="0" w:color="auto"/>
            </w:tcBorders>
            <w:shd w:val="clear" w:color="auto" w:fill="auto"/>
            <w:noWrap/>
            <w:vAlign w:val="bottom"/>
            <w:hideMark/>
          </w:tcPr>
          <w:p w14:paraId="020EF8E8" w14:textId="77777777" w:rsidR="00FC026B" w:rsidRPr="00C56257" w:rsidRDefault="00FC026B" w:rsidP="00993B86">
            <w:pPr>
              <w:jc w:val="both"/>
              <w:rPr>
                <w:color w:val="000000" w:themeColor="text1"/>
              </w:rPr>
            </w:pPr>
            <w:r w:rsidRPr="00C56257">
              <w:rPr>
                <w:color w:val="000000" w:themeColor="text1"/>
              </w:rPr>
              <w:t> </w:t>
            </w:r>
          </w:p>
        </w:tc>
        <w:tc>
          <w:tcPr>
            <w:tcW w:w="475" w:type="pct"/>
            <w:tcBorders>
              <w:top w:val="nil"/>
              <w:left w:val="nil"/>
              <w:bottom w:val="single" w:sz="4" w:space="0" w:color="auto"/>
              <w:right w:val="single" w:sz="4" w:space="0" w:color="auto"/>
            </w:tcBorders>
            <w:shd w:val="clear" w:color="auto" w:fill="auto"/>
            <w:noWrap/>
            <w:vAlign w:val="bottom"/>
            <w:hideMark/>
          </w:tcPr>
          <w:p w14:paraId="136F95FB" w14:textId="77777777" w:rsidR="00FC026B" w:rsidRPr="00C56257" w:rsidRDefault="00FC026B" w:rsidP="00993B86">
            <w:pPr>
              <w:jc w:val="both"/>
              <w:rPr>
                <w:color w:val="000000" w:themeColor="text1"/>
              </w:rPr>
            </w:pPr>
            <w:r w:rsidRPr="00C56257">
              <w:rPr>
                <w:color w:val="000000" w:themeColor="text1"/>
              </w:rPr>
              <w:t> </w:t>
            </w:r>
          </w:p>
        </w:tc>
        <w:tc>
          <w:tcPr>
            <w:tcW w:w="675" w:type="pct"/>
            <w:vMerge/>
            <w:tcBorders>
              <w:top w:val="single" w:sz="4" w:space="0" w:color="auto"/>
              <w:left w:val="nil"/>
              <w:bottom w:val="single" w:sz="4" w:space="0" w:color="auto"/>
              <w:right w:val="single" w:sz="4" w:space="0" w:color="auto"/>
            </w:tcBorders>
            <w:shd w:val="clear" w:color="auto" w:fill="auto"/>
            <w:noWrap/>
            <w:vAlign w:val="bottom"/>
            <w:hideMark/>
          </w:tcPr>
          <w:p w14:paraId="3AD96C6B" w14:textId="77777777" w:rsidR="00FC026B" w:rsidRPr="00C56257" w:rsidRDefault="00FC026B" w:rsidP="00993B86">
            <w:pPr>
              <w:jc w:val="both"/>
              <w:rPr>
                <w:color w:val="000000" w:themeColor="text1"/>
              </w:rPr>
            </w:pPr>
          </w:p>
        </w:tc>
        <w:tc>
          <w:tcPr>
            <w:tcW w:w="708" w:type="pct"/>
            <w:vMerge/>
            <w:tcBorders>
              <w:top w:val="single" w:sz="4" w:space="0" w:color="auto"/>
              <w:left w:val="nil"/>
              <w:bottom w:val="single" w:sz="4" w:space="0" w:color="auto"/>
              <w:right w:val="single" w:sz="4" w:space="0" w:color="auto"/>
            </w:tcBorders>
            <w:shd w:val="clear" w:color="auto" w:fill="auto"/>
            <w:noWrap/>
            <w:vAlign w:val="bottom"/>
            <w:hideMark/>
          </w:tcPr>
          <w:p w14:paraId="4221121F" w14:textId="77777777" w:rsidR="00FC026B" w:rsidRPr="00C56257" w:rsidRDefault="00FC026B" w:rsidP="00993B86">
            <w:pPr>
              <w:jc w:val="both"/>
              <w:rPr>
                <w:color w:val="000000" w:themeColor="text1"/>
              </w:rPr>
            </w:pPr>
          </w:p>
        </w:tc>
        <w:tc>
          <w:tcPr>
            <w:tcW w:w="574" w:type="pct"/>
            <w:tcBorders>
              <w:top w:val="nil"/>
              <w:left w:val="nil"/>
              <w:bottom w:val="single" w:sz="4" w:space="0" w:color="auto"/>
              <w:right w:val="single" w:sz="4" w:space="0" w:color="auto"/>
            </w:tcBorders>
            <w:shd w:val="clear" w:color="auto" w:fill="auto"/>
            <w:noWrap/>
            <w:vAlign w:val="bottom"/>
            <w:hideMark/>
          </w:tcPr>
          <w:p w14:paraId="09C11385" w14:textId="77777777" w:rsidR="00FC026B" w:rsidRPr="00C56257" w:rsidRDefault="00FC026B" w:rsidP="00993B86">
            <w:pPr>
              <w:jc w:val="both"/>
              <w:rPr>
                <w:color w:val="000000" w:themeColor="text1"/>
              </w:rPr>
            </w:pPr>
            <w:r w:rsidRPr="00C56257">
              <w:rPr>
                <w:color w:val="000000" w:themeColor="text1"/>
              </w:rPr>
              <w:t> </w:t>
            </w:r>
          </w:p>
        </w:tc>
      </w:tr>
      <w:tr w:rsidR="00FC026B" w:rsidRPr="00C56257" w14:paraId="10449C1E" w14:textId="77777777" w:rsidTr="00993B86">
        <w:trPr>
          <w:trHeight w:val="70"/>
        </w:trPr>
        <w:tc>
          <w:tcPr>
            <w:tcW w:w="39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EBE6317" w14:textId="77777777" w:rsidR="00FC026B" w:rsidRPr="00C56257" w:rsidRDefault="00FC026B" w:rsidP="00993B86">
            <w:pPr>
              <w:jc w:val="both"/>
              <w:rPr>
                <w:color w:val="000000" w:themeColor="text1"/>
              </w:rPr>
            </w:pPr>
          </w:p>
        </w:tc>
        <w:tc>
          <w:tcPr>
            <w:tcW w:w="442" w:type="pct"/>
            <w:tcBorders>
              <w:top w:val="nil"/>
              <w:left w:val="nil"/>
              <w:bottom w:val="single" w:sz="4" w:space="0" w:color="auto"/>
              <w:right w:val="single" w:sz="4" w:space="0" w:color="auto"/>
            </w:tcBorders>
            <w:shd w:val="clear" w:color="auto" w:fill="auto"/>
            <w:noWrap/>
            <w:vAlign w:val="bottom"/>
            <w:hideMark/>
          </w:tcPr>
          <w:p w14:paraId="58EC454B" w14:textId="77777777" w:rsidR="00FC026B" w:rsidRPr="00C56257" w:rsidRDefault="00FC026B" w:rsidP="00993B86">
            <w:pPr>
              <w:jc w:val="both"/>
              <w:rPr>
                <w:color w:val="000000" w:themeColor="text1"/>
              </w:rPr>
            </w:pPr>
          </w:p>
        </w:tc>
        <w:tc>
          <w:tcPr>
            <w:tcW w:w="620" w:type="pct"/>
            <w:tcBorders>
              <w:top w:val="nil"/>
              <w:left w:val="nil"/>
              <w:bottom w:val="single" w:sz="4" w:space="0" w:color="auto"/>
              <w:right w:val="single" w:sz="4" w:space="0" w:color="auto"/>
            </w:tcBorders>
            <w:shd w:val="clear" w:color="auto" w:fill="auto"/>
            <w:noWrap/>
            <w:vAlign w:val="bottom"/>
            <w:hideMark/>
          </w:tcPr>
          <w:p w14:paraId="7B2B2336" w14:textId="77777777" w:rsidR="00FC026B" w:rsidRPr="00C56257" w:rsidRDefault="00FC026B" w:rsidP="00993B86">
            <w:pPr>
              <w:jc w:val="both"/>
              <w:rPr>
                <w:color w:val="000000" w:themeColor="text1"/>
              </w:rPr>
            </w:pPr>
          </w:p>
        </w:tc>
        <w:tc>
          <w:tcPr>
            <w:tcW w:w="531" w:type="pct"/>
            <w:tcBorders>
              <w:top w:val="nil"/>
              <w:left w:val="nil"/>
              <w:bottom w:val="single" w:sz="4" w:space="0" w:color="auto"/>
              <w:right w:val="single" w:sz="4" w:space="0" w:color="auto"/>
            </w:tcBorders>
            <w:shd w:val="clear" w:color="auto" w:fill="auto"/>
            <w:noWrap/>
            <w:vAlign w:val="bottom"/>
            <w:hideMark/>
          </w:tcPr>
          <w:p w14:paraId="40F2CE12" w14:textId="77777777" w:rsidR="00FC026B" w:rsidRPr="00C56257" w:rsidRDefault="00FC026B" w:rsidP="00993B86">
            <w:pPr>
              <w:jc w:val="both"/>
              <w:rPr>
                <w:color w:val="000000" w:themeColor="text1"/>
              </w:rPr>
            </w:pPr>
          </w:p>
        </w:tc>
        <w:tc>
          <w:tcPr>
            <w:tcW w:w="575" w:type="pct"/>
            <w:tcBorders>
              <w:top w:val="nil"/>
              <w:left w:val="nil"/>
              <w:bottom w:val="single" w:sz="4" w:space="0" w:color="auto"/>
              <w:right w:val="single" w:sz="4" w:space="0" w:color="auto"/>
            </w:tcBorders>
            <w:shd w:val="clear" w:color="auto" w:fill="auto"/>
            <w:noWrap/>
            <w:vAlign w:val="bottom"/>
            <w:hideMark/>
          </w:tcPr>
          <w:p w14:paraId="3DD86154" w14:textId="77777777" w:rsidR="00FC026B" w:rsidRPr="00C56257" w:rsidRDefault="00FC026B" w:rsidP="00993B86">
            <w:pPr>
              <w:jc w:val="both"/>
              <w:rPr>
                <w:color w:val="000000" w:themeColor="text1"/>
              </w:rPr>
            </w:pPr>
            <w:r w:rsidRPr="00C56257">
              <w:rPr>
                <w:color w:val="000000" w:themeColor="text1"/>
              </w:rPr>
              <w:t> </w:t>
            </w:r>
          </w:p>
        </w:tc>
        <w:tc>
          <w:tcPr>
            <w:tcW w:w="475" w:type="pct"/>
            <w:tcBorders>
              <w:top w:val="nil"/>
              <w:left w:val="nil"/>
              <w:bottom w:val="single" w:sz="4" w:space="0" w:color="auto"/>
              <w:right w:val="single" w:sz="4" w:space="0" w:color="auto"/>
            </w:tcBorders>
            <w:shd w:val="clear" w:color="auto" w:fill="auto"/>
            <w:noWrap/>
            <w:vAlign w:val="bottom"/>
            <w:hideMark/>
          </w:tcPr>
          <w:p w14:paraId="311AB6B9" w14:textId="77777777" w:rsidR="00FC026B" w:rsidRPr="00C56257" w:rsidRDefault="00FC026B" w:rsidP="00993B86">
            <w:pPr>
              <w:jc w:val="both"/>
              <w:rPr>
                <w:color w:val="000000" w:themeColor="text1"/>
              </w:rPr>
            </w:pPr>
            <w:r w:rsidRPr="00C56257">
              <w:rPr>
                <w:color w:val="000000" w:themeColor="text1"/>
              </w:rPr>
              <w:t> </w:t>
            </w:r>
          </w:p>
        </w:tc>
        <w:tc>
          <w:tcPr>
            <w:tcW w:w="675" w:type="pct"/>
            <w:vMerge/>
            <w:tcBorders>
              <w:top w:val="single" w:sz="4" w:space="0" w:color="auto"/>
              <w:left w:val="nil"/>
              <w:bottom w:val="single" w:sz="4" w:space="0" w:color="auto"/>
              <w:right w:val="single" w:sz="4" w:space="0" w:color="auto"/>
            </w:tcBorders>
            <w:shd w:val="clear" w:color="auto" w:fill="auto"/>
            <w:noWrap/>
            <w:vAlign w:val="bottom"/>
            <w:hideMark/>
          </w:tcPr>
          <w:p w14:paraId="68E09D90" w14:textId="77777777" w:rsidR="00FC026B" w:rsidRPr="00C56257" w:rsidRDefault="00FC026B" w:rsidP="00993B86">
            <w:pPr>
              <w:jc w:val="both"/>
              <w:rPr>
                <w:color w:val="000000" w:themeColor="text1"/>
              </w:rPr>
            </w:pPr>
          </w:p>
        </w:tc>
        <w:tc>
          <w:tcPr>
            <w:tcW w:w="708" w:type="pct"/>
            <w:vMerge/>
            <w:tcBorders>
              <w:top w:val="single" w:sz="4" w:space="0" w:color="auto"/>
              <w:left w:val="nil"/>
              <w:bottom w:val="single" w:sz="4" w:space="0" w:color="auto"/>
              <w:right w:val="single" w:sz="4" w:space="0" w:color="auto"/>
            </w:tcBorders>
            <w:shd w:val="clear" w:color="auto" w:fill="auto"/>
            <w:noWrap/>
            <w:vAlign w:val="bottom"/>
            <w:hideMark/>
          </w:tcPr>
          <w:p w14:paraId="0C098CA9" w14:textId="77777777" w:rsidR="00FC026B" w:rsidRPr="00C56257" w:rsidRDefault="00FC026B" w:rsidP="00993B86">
            <w:pPr>
              <w:jc w:val="both"/>
              <w:rPr>
                <w:color w:val="000000" w:themeColor="text1"/>
              </w:rPr>
            </w:pPr>
          </w:p>
        </w:tc>
        <w:tc>
          <w:tcPr>
            <w:tcW w:w="574" w:type="pct"/>
            <w:tcBorders>
              <w:top w:val="nil"/>
              <w:left w:val="nil"/>
              <w:bottom w:val="single" w:sz="4" w:space="0" w:color="auto"/>
              <w:right w:val="single" w:sz="4" w:space="0" w:color="auto"/>
            </w:tcBorders>
            <w:shd w:val="clear" w:color="auto" w:fill="auto"/>
            <w:noWrap/>
            <w:vAlign w:val="bottom"/>
            <w:hideMark/>
          </w:tcPr>
          <w:p w14:paraId="6565DFB9" w14:textId="77777777" w:rsidR="00FC026B" w:rsidRPr="00C56257" w:rsidRDefault="00FC026B" w:rsidP="00993B86">
            <w:pPr>
              <w:jc w:val="both"/>
              <w:rPr>
                <w:color w:val="000000" w:themeColor="text1"/>
              </w:rPr>
            </w:pPr>
            <w:r w:rsidRPr="00C56257">
              <w:rPr>
                <w:color w:val="000000" w:themeColor="text1"/>
              </w:rPr>
              <w:t> </w:t>
            </w:r>
          </w:p>
        </w:tc>
      </w:tr>
    </w:tbl>
    <w:p w14:paraId="3325F18F" w14:textId="77777777" w:rsidR="00FC026B" w:rsidRPr="00C56257" w:rsidRDefault="00FC026B" w:rsidP="00FC026B">
      <w:pPr>
        <w:spacing w:line="259" w:lineRule="auto"/>
        <w:jc w:val="both"/>
        <w:rPr>
          <w:b/>
          <w:color w:val="000000" w:themeColor="text1"/>
        </w:rPr>
      </w:pPr>
    </w:p>
    <w:p w14:paraId="51B0B970" w14:textId="77777777" w:rsidR="00FC026B" w:rsidRPr="00C56257" w:rsidRDefault="00FC026B" w:rsidP="00FC026B">
      <w:pPr>
        <w:spacing w:line="259" w:lineRule="auto"/>
        <w:jc w:val="both"/>
        <w:rPr>
          <w:b/>
          <w:color w:val="000000" w:themeColor="text1"/>
        </w:rPr>
      </w:pPr>
      <w:r w:rsidRPr="00C56257">
        <w:rPr>
          <w:b/>
          <w:color w:val="000000" w:themeColor="text1"/>
        </w:rPr>
        <w:t>Analize granulometrice</w:t>
      </w:r>
    </w:p>
    <w:tbl>
      <w:tblPr>
        <w:tblW w:w="9805" w:type="dxa"/>
        <w:tblInd w:w="113" w:type="dxa"/>
        <w:tblLook w:val="04A0" w:firstRow="1" w:lastRow="0" w:firstColumn="1" w:lastColumn="0" w:noHBand="0" w:noVBand="1"/>
      </w:tblPr>
      <w:tblGrid>
        <w:gridCol w:w="3145"/>
        <w:gridCol w:w="1620"/>
        <w:gridCol w:w="3150"/>
        <w:gridCol w:w="1890"/>
      </w:tblGrid>
      <w:tr w:rsidR="00FC026B" w:rsidRPr="00C56257" w14:paraId="0BD3F2A1" w14:textId="77777777" w:rsidTr="00993B86">
        <w:trPr>
          <w:trHeight w:val="259"/>
        </w:trPr>
        <w:tc>
          <w:tcPr>
            <w:tcW w:w="3145"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3C6EA43" w14:textId="77777777" w:rsidR="00FC026B" w:rsidRPr="00C56257" w:rsidRDefault="00FC026B" w:rsidP="00993B86">
            <w:pPr>
              <w:jc w:val="both"/>
              <w:rPr>
                <w:b/>
                <w:bCs/>
                <w:color w:val="000000" w:themeColor="text1"/>
              </w:rPr>
            </w:pPr>
            <w:r w:rsidRPr="00C56257">
              <w:rPr>
                <w:b/>
                <w:bCs/>
                <w:color w:val="000000" w:themeColor="text1"/>
              </w:rPr>
              <w:t>Fracţiune granulometrică</w:t>
            </w:r>
          </w:p>
        </w:tc>
        <w:tc>
          <w:tcPr>
            <w:tcW w:w="1620" w:type="dxa"/>
            <w:tcBorders>
              <w:top w:val="single" w:sz="4" w:space="0" w:color="auto"/>
              <w:left w:val="nil"/>
              <w:bottom w:val="single" w:sz="4" w:space="0" w:color="auto"/>
              <w:right w:val="single" w:sz="4" w:space="0" w:color="auto"/>
            </w:tcBorders>
            <w:shd w:val="clear" w:color="000000" w:fill="D9D9D9"/>
            <w:noWrap/>
            <w:vAlign w:val="bottom"/>
            <w:hideMark/>
          </w:tcPr>
          <w:p w14:paraId="0115C763" w14:textId="77777777" w:rsidR="00FC026B" w:rsidRPr="00C56257" w:rsidRDefault="00FC026B" w:rsidP="00993B86">
            <w:pPr>
              <w:jc w:val="both"/>
              <w:rPr>
                <w:b/>
                <w:bCs/>
                <w:color w:val="000000" w:themeColor="text1"/>
              </w:rPr>
            </w:pPr>
            <w:r w:rsidRPr="00C56257">
              <w:rPr>
                <w:b/>
                <w:bCs/>
                <w:color w:val="000000" w:themeColor="text1"/>
              </w:rPr>
              <w:t>Procent (%)</w:t>
            </w:r>
          </w:p>
        </w:tc>
        <w:tc>
          <w:tcPr>
            <w:tcW w:w="3150" w:type="dxa"/>
            <w:tcBorders>
              <w:top w:val="single" w:sz="4" w:space="0" w:color="auto"/>
              <w:left w:val="nil"/>
              <w:bottom w:val="single" w:sz="4" w:space="0" w:color="auto"/>
              <w:right w:val="single" w:sz="4" w:space="0" w:color="auto"/>
            </w:tcBorders>
            <w:shd w:val="clear" w:color="000000" w:fill="D9D9D9"/>
            <w:noWrap/>
            <w:vAlign w:val="bottom"/>
            <w:hideMark/>
          </w:tcPr>
          <w:p w14:paraId="3B8ED989" w14:textId="77777777" w:rsidR="00FC026B" w:rsidRPr="00C56257" w:rsidRDefault="00FC026B" w:rsidP="00993B86">
            <w:pPr>
              <w:jc w:val="both"/>
              <w:rPr>
                <w:b/>
                <w:bCs/>
                <w:color w:val="000000" w:themeColor="text1"/>
              </w:rPr>
            </w:pPr>
            <w:r w:rsidRPr="00C56257">
              <w:rPr>
                <w:b/>
                <w:bCs/>
                <w:color w:val="000000" w:themeColor="text1"/>
              </w:rPr>
              <w:t>Fracţiune granulometrică</w:t>
            </w:r>
          </w:p>
        </w:tc>
        <w:tc>
          <w:tcPr>
            <w:tcW w:w="1890" w:type="dxa"/>
            <w:tcBorders>
              <w:top w:val="single" w:sz="4" w:space="0" w:color="auto"/>
              <w:left w:val="nil"/>
              <w:bottom w:val="single" w:sz="4" w:space="0" w:color="auto"/>
              <w:right w:val="single" w:sz="4" w:space="0" w:color="auto"/>
            </w:tcBorders>
            <w:shd w:val="clear" w:color="000000" w:fill="D9D9D9"/>
          </w:tcPr>
          <w:p w14:paraId="723C3BED" w14:textId="77777777" w:rsidR="00FC026B" w:rsidRPr="00C56257" w:rsidRDefault="00FC026B" w:rsidP="00993B86">
            <w:pPr>
              <w:jc w:val="both"/>
              <w:rPr>
                <w:b/>
                <w:bCs/>
                <w:color w:val="000000" w:themeColor="text1"/>
              </w:rPr>
            </w:pPr>
            <w:r w:rsidRPr="00C56257">
              <w:rPr>
                <w:b/>
                <w:bCs/>
                <w:color w:val="000000" w:themeColor="text1"/>
              </w:rPr>
              <w:t>Procent (%)</w:t>
            </w:r>
          </w:p>
        </w:tc>
      </w:tr>
      <w:tr w:rsidR="00FC026B" w:rsidRPr="00C56257" w14:paraId="644013DE" w14:textId="77777777" w:rsidTr="00993B86">
        <w:trPr>
          <w:trHeight w:val="259"/>
        </w:trPr>
        <w:tc>
          <w:tcPr>
            <w:tcW w:w="3145" w:type="dxa"/>
            <w:tcBorders>
              <w:top w:val="nil"/>
              <w:left w:val="single" w:sz="4" w:space="0" w:color="auto"/>
              <w:bottom w:val="single" w:sz="4" w:space="0" w:color="auto"/>
              <w:right w:val="single" w:sz="4" w:space="0" w:color="auto"/>
            </w:tcBorders>
            <w:shd w:val="clear" w:color="auto" w:fill="auto"/>
            <w:noWrap/>
            <w:vAlign w:val="bottom"/>
            <w:hideMark/>
          </w:tcPr>
          <w:p w14:paraId="5D0FC3F5" w14:textId="77777777" w:rsidR="00FC026B" w:rsidRPr="00C56257" w:rsidRDefault="00FC026B" w:rsidP="00993B86">
            <w:pPr>
              <w:jc w:val="both"/>
              <w:rPr>
                <w:color w:val="000000" w:themeColor="text1"/>
              </w:rPr>
            </w:pPr>
            <w:r w:rsidRPr="00C56257">
              <w:rPr>
                <w:color w:val="000000" w:themeColor="text1"/>
              </w:rPr>
              <w:t>Pietriş foarte grosier (&gt;256 mm)</w:t>
            </w:r>
          </w:p>
        </w:tc>
        <w:tc>
          <w:tcPr>
            <w:tcW w:w="1620" w:type="dxa"/>
            <w:tcBorders>
              <w:top w:val="nil"/>
              <w:left w:val="nil"/>
              <w:bottom w:val="single" w:sz="4" w:space="0" w:color="auto"/>
              <w:right w:val="single" w:sz="4" w:space="0" w:color="auto"/>
            </w:tcBorders>
            <w:shd w:val="clear" w:color="auto" w:fill="auto"/>
            <w:noWrap/>
            <w:vAlign w:val="bottom"/>
            <w:hideMark/>
          </w:tcPr>
          <w:p w14:paraId="40DD740E" w14:textId="77777777" w:rsidR="00FC026B" w:rsidRPr="00C56257" w:rsidRDefault="00FC026B" w:rsidP="00993B86">
            <w:pPr>
              <w:jc w:val="both"/>
              <w:rPr>
                <w:color w:val="000000" w:themeColor="text1"/>
              </w:rPr>
            </w:pPr>
            <w:r w:rsidRPr="00C56257">
              <w:rPr>
                <w:color w:val="000000" w:themeColor="text1"/>
              </w:rPr>
              <w:t> </w:t>
            </w:r>
          </w:p>
        </w:tc>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0ABA2610" w14:textId="77777777" w:rsidR="00FC026B" w:rsidRPr="00C56257" w:rsidRDefault="00FC026B" w:rsidP="00993B86">
            <w:pPr>
              <w:jc w:val="both"/>
              <w:rPr>
                <w:color w:val="000000" w:themeColor="text1"/>
              </w:rPr>
            </w:pPr>
            <w:r w:rsidRPr="00C56257">
              <w:rPr>
                <w:color w:val="000000" w:themeColor="text1"/>
              </w:rPr>
              <w:t>Nisip fin (0.125-0.250 mm)</w:t>
            </w:r>
          </w:p>
        </w:tc>
        <w:tc>
          <w:tcPr>
            <w:tcW w:w="1890" w:type="dxa"/>
            <w:tcBorders>
              <w:top w:val="nil"/>
              <w:left w:val="nil"/>
              <w:bottom w:val="single" w:sz="4" w:space="0" w:color="auto"/>
              <w:right w:val="single" w:sz="4" w:space="0" w:color="auto"/>
            </w:tcBorders>
          </w:tcPr>
          <w:p w14:paraId="2252F9A6" w14:textId="77777777" w:rsidR="00FC026B" w:rsidRPr="00C56257" w:rsidRDefault="00FC026B" w:rsidP="00993B86">
            <w:pPr>
              <w:jc w:val="both"/>
              <w:rPr>
                <w:color w:val="000000" w:themeColor="text1"/>
              </w:rPr>
            </w:pPr>
          </w:p>
        </w:tc>
      </w:tr>
      <w:tr w:rsidR="00FC026B" w:rsidRPr="00C56257" w14:paraId="4E25A450" w14:textId="77777777" w:rsidTr="00993B86">
        <w:trPr>
          <w:trHeight w:val="259"/>
        </w:trPr>
        <w:tc>
          <w:tcPr>
            <w:tcW w:w="3145" w:type="dxa"/>
            <w:tcBorders>
              <w:top w:val="nil"/>
              <w:left w:val="single" w:sz="4" w:space="0" w:color="auto"/>
              <w:bottom w:val="single" w:sz="4" w:space="0" w:color="auto"/>
              <w:right w:val="single" w:sz="4" w:space="0" w:color="auto"/>
            </w:tcBorders>
            <w:shd w:val="clear" w:color="auto" w:fill="auto"/>
            <w:noWrap/>
            <w:vAlign w:val="bottom"/>
            <w:hideMark/>
          </w:tcPr>
          <w:p w14:paraId="09471F31" w14:textId="77777777" w:rsidR="00FC026B" w:rsidRPr="00C56257" w:rsidRDefault="00FC026B" w:rsidP="00993B86">
            <w:pPr>
              <w:jc w:val="both"/>
              <w:rPr>
                <w:color w:val="000000" w:themeColor="text1"/>
              </w:rPr>
            </w:pPr>
            <w:r w:rsidRPr="00C56257">
              <w:rPr>
                <w:color w:val="000000" w:themeColor="text1"/>
              </w:rPr>
              <w:t>Pietriş  grosier (64-256 mm)</w:t>
            </w:r>
          </w:p>
        </w:tc>
        <w:tc>
          <w:tcPr>
            <w:tcW w:w="1620" w:type="dxa"/>
            <w:tcBorders>
              <w:top w:val="nil"/>
              <w:left w:val="nil"/>
              <w:bottom w:val="single" w:sz="4" w:space="0" w:color="auto"/>
              <w:right w:val="single" w:sz="4" w:space="0" w:color="auto"/>
            </w:tcBorders>
            <w:shd w:val="clear" w:color="auto" w:fill="auto"/>
            <w:noWrap/>
            <w:vAlign w:val="bottom"/>
            <w:hideMark/>
          </w:tcPr>
          <w:p w14:paraId="088451BA" w14:textId="77777777" w:rsidR="00FC026B" w:rsidRPr="00C56257" w:rsidRDefault="00FC026B" w:rsidP="00993B86">
            <w:pPr>
              <w:jc w:val="both"/>
              <w:rPr>
                <w:color w:val="000000" w:themeColor="text1"/>
              </w:rPr>
            </w:pPr>
            <w:r w:rsidRPr="00C56257">
              <w:rPr>
                <w:color w:val="000000" w:themeColor="text1"/>
              </w:rPr>
              <w:t> </w:t>
            </w:r>
          </w:p>
        </w:tc>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57400584" w14:textId="77777777" w:rsidR="00FC026B" w:rsidRPr="00C56257" w:rsidRDefault="00FC026B" w:rsidP="00993B86">
            <w:pPr>
              <w:jc w:val="both"/>
              <w:rPr>
                <w:color w:val="000000" w:themeColor="text1"/>
              </w:rPr>
            </w:pPr>
            <w:r w:rsidRPr="00C56257">
              <w:rPr>
                <w:color w:val="000000" w:themeColor="text1"/>
              </w:rPr>
              <w:t>Nisip foarte fin (0.0625-0.125 mm)</w:t>
            </w:r>
          </w:p>
        </w:tc>
        <w:tc>
          <w:tcPr>
            <w:tcW w:w="1890" w:type="dxa"/>
            <w:tcBorders>
              <w:top w:val="nil"/>
              <w:left w:val="nil"/>
              <w:bottom w:val="single" w:sz="4" w:space="0" w:color="auto"/>
              <w:right w:val="single" w:sz="4" w:space="0" w:color="auto"/>
            </w:tcBorders>
          </w:tcPr>
          <w:p w14:paraId="4E207497" w14:textId="77777777" w:rsidR="00FC026B" w:rsidRPr="00C56257" w:rsidRDefault="00FC026B" w:rsidP="00993B86">
            <w:pPr>
              <w:jc w:val="both"/>
              <w:rPr>
                <w:color w:val="000000" w:themeColor="text1"/>
              </w:rPr>
            </w:pPr>
          </w:p>
        </w:tc>
      </w:tr>
      <w:tr w:rsidR="00FC026B" w:rsidRPr="00C56257" w14:paraId="1BAC31C7" w14:textId="77777777" w:rsidTr="00993B86">
        <w:trPr>
          <w:trHeight w:val="259"/>
        </w:trPr>
        <w:tc>
          <w:tcPr>
            <w:tcW w:w="3145" w:type="dxa"/>
            <w:tcBorders>
              <w:top w:val="nil"/>
              <w:left w:val="single" w:sz="4" w:space="0" w:color="auto"/>
              <w:bottom w:val="single" w:sz="4" w:space="0" w:color="auto"/>
              <w:right w:val="single" w:sz="4" w:space="0" w:color="auto"/>
            </w:tcBorders>
            <w:shd w:val="clear" w:color="auto" w:fill="auto"/>
            <w:noWrap/>
            <w:vAlign w:val="bottom"/>
            <w:hideMark/>
          </w:tcPr>
          <w:p w14:paraId="151D7AA4" w14:textId="77777777" w:rsidR="00FC026B" w:rsidRPr="00C56257" w:rsidRDefault="00FC026B" w:rsidP="00993B86">
            <w:pPr>
              <w:jc w:val="both"/>
              <w:rPr>
                <w:color w:val="000000" w:themeColor="text1"/>
              </w:rPr>
            </w:pPr>
            <w:r w:rsidRPr="00C56257">
              <w:rPr>
                <w:color w:val="000000" w:themeColor="text1"/>
              </w:rPr>
              <w:t>Pietriş  mediu (4-64 mm)</w:t>
            </w:r>
          </w:p>
        </w:tc>
        <w:tc>
          <w:tcPr>
            <w:tcW w:w="1620" w:type="dxa"/>
            <w:tcBorders>
              <w:top w:val="nil"/>
              <w:left w:val="nil"/>
              <w:bottom w:val="single" w:sz="4" w:space="0" w:color="auto"/>
              <w:right w:val="single" w:sz="4" w:space="0" w:color="auto"/>
            </w:tcBorders>
            <w:shd w:val="clear" w:color="auto" w:fill="auto"/>
            <w:noWrap/>
            <w:vAlign w:val="bottom"/>
            <w:hideMark/>
          </w:tcPr>
          <w:p w14:paraId="26F6966F" w14:textId="77777777" w:rsidR="00FC026B" w:rsidRPr="00C56257" w:rsidRDefault="00FC026B" w:rsidP="00993B86">
            <w:pPr>
              <w:jc w:val="both"/>
              <w:rPr>
                <w:color w:val="000000" w:themeColor="text1"/>
              </w:rPr>
            </w:pPr>
            <w:r w:rsidRPr="00C56257">
              <w:rPr>
                <w:color w:val="000000" w:themeColor="text1"/>
              </w:rPr>
              <w:t> </w:t>
            </w:r>
          </w:p>
        </w:tc>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5CF5E448" w14:textId="77777777" w:rsidR="00FC026B" w:rsidRPr="00C56257" w:rsidRDefault="00FC026B" w:rsidP="00993B86">
            <w:pPr>
              <w:jc w:val="both"/>
              <w:rPr>
                <w:color w:val="000000" w:themeColor="text1"/>
              </w:rPr>
            </w:pPr>
            <w:r w:rsidRPr="00C56257">
              <w:rPr>
                <w:color w:val="000000" w:themeColor="text1"/>
              </w:rPr>
              <w:t>Silt grosier (0.031-0.0625 mm)</w:t>
            </w:r>
          </w:p>
        </w:tc>
        <w:tc>
          <w:tcPr>
            <w:tcW w:w="1890" w:type="dxa"/>
            <w:tcBorders>
              <w:top w:val="nil"/>
              <w:left w:val="nil"/>
              <w:bottom w:val="single" w:sz="4" w:space="0" w:color="auto"/>
              <w:right w:val="single" w:sz="4" w:space="0" w:color="auto"/>
            </w:tcBorders>
          </w:tcPr>
          <w:p w14:paraId="604394B1" w14:textId="77777777" w:rsidR="00FC026B" w:rsidRPr="00C56257" w:rsidRDefault="00FC026B" w:rsidP="00993B86">
            <w:pPr>
              <w:jc w:val="both"/>
              <w:rPr>
                <w:color w:val="000000" w:themeColor="text1"/>
              </w:rPr>
            </w:pPr>
          </w:p>
        </w:tc>
      </w:tr>
      <w:tr w:rsidR="00FC026B" w:rsidRPr="00C56257" w14:paraId="136F6B4F" w14:textId="77777777" w:rsidTr="00993B86">
        <w:trPr>
          <w:trHeight w:val="259"/>
        </w:trPr>
        <w:tc>
          <w:tcPr>
            <w:tcW w:w="3145" w:type="dxa"/>
            <w:tcBorders>
              <w:top w:val="nil"/>
              <w:left w:val="single" w:sz="4" w:space="0" w:color="auto"/>
              <w:bottom w:val="single" w:sz="4" w:space="0" w:color="auto"/>
              <w:right w:val="single" w:sz="4" w:space="0" w:color="auto"/>
            </w:tcBorders>
            <w:shd w:val="clear" w:color="auto" w:fill="auto"/>
            <w:noWrap/>
            <w:vAlign w:val="bottom"/>
            <w:hideMark/>
          </w:tcPr>
          <w:p w14:paraId="37FE7337" w14:textId="77777777" w:rsidR="00FC026B" w:rsidRPr="00C56257" w:rsidRDefault="00FC026B" w:rsidP="00993B86">
            <w:pPr>
              <w:jc w:val="both"/>
              <w:rPr>
                <w:color w:val="000000" w:themeColor="text1"/>
              </w:rPr>
            </w:pPr>
            <w:r w:rsidRPr="00C56257">
              <w:rPr>
                <w:color w:val="000000" w:themeColor="text1"/>
              </w:rPr>
              <w:t>Pietriş  fin (2-4 mm)</w:t>
            </w:r>
          </w:p>
        </w:tc>
        <w:tc>
          <w:tcPr>
            <w:tcW w:w="1620" w:type="dxa"/>
            <w:tcBorders>
              <w:top w:val="nil"/>
              <w:left w:val="nil"/>
              <w:bottom w:val="single" w:sz="4" w:space="0" w:color="auto"/>
              <w:right w:val="single" w:sz="4" w:space="0" w:color="auto"/>
            </w:tcBorders>
            <w:shd w:val="clear" w:color="auto" w:fill="auto"/>
            <w:noWrap/>
            <w:vAlign w:val="bottom"/>
            <w:hideMark/>
          </w:tcPr>
          <w:p w14:paraId="3796C93E" w14:textId="77777777" w:rsidR="00FC026B" w:rsidRPr="00C56257" w:rsidRDefault="00FC026B" w:rsidP="00993B86">
            <w:pPr>
              <w:jc w:val="both"/>
              <w:rPr>
                <w:color w:val="000000" w:themeColor="text1"/>
              </w:rPr>
            </w:pPr>
            <w:r w:rsidRPr="00C56257">
              <w:rPr>
                <w:color w:val="000000" w:themeColor="text1"/>
              </w:rPr>
              <w:t> </w:t>
            </w:r>
          </w:p>
        </w:tc>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2EB31535" w14:textId="77777777" w:rsidR="00FC026B" w:rsidRPr="00C56257" w:rsidRDefault="00FC026B" w:rsidP="00993B86">
            <w:pPr>
              <w:jc w:val="both"/>
              <w:rPr>
                <w:color w:val="000000" w:themeColor="text1"/>
              </w:rPr>
            </w:pPr>
            <w:r w:rsidRPr="00C56257">
              <w:rPr>
                <w:color w:val="000000" w:themeColor="text1"/>
              </w:rPr>
              <w:t>Silt mediu (0.015 - 0.031 mm)</w:t>
            </w:r>
          </w:p>
        </w:tc>
        <w:tc>
          <w:tcPr>
            <w:tcW w:w="1890" w:type="dxa"/>
            <w:tcBorders>
              <w:top w:val="nil"/>
              <w:left w:val="nil"/>
              <w:bottom w:val="single" w:sz="4" w:space="0" w:color="auto"/>
              <w:right w:val="single" w:sz="4" w:space="0" w:color="auto"/>
            </w:tcBorders>
          </w:tcPr>
          <w:p w14:paraId="2741693F" w14:textId="77777777" w:rsidR="00FC026B" w:rsidRPr="00C56257" w:rsidRDefault="00FC026B" w:rsidP="00993B86">
            <w:pPr>
              <w:jc w:val="both"/>
              <w:rPr>
                <w:color w:val="000000" w:themeColor="text1"/>
              </w:rPr>
            </w:pPr>
          </w:p>
        </w:tc>
      </w:tr>
      <w:tr w:rsidR="00FC026B" w:rsidRPr="00C56257" w14:paraId="2C707098" w14:textId="77777777" w:rsidTr="00993B86">
        <w:trPr>
          <w:trHeight w:val="259"/>
        </w:trPr>
        <w:tc>
          <w:tcPr>
            <w:tcW w:w="3145" w:type="dxa"/>
            <w:tcBorders>
              <w:top w:val="nil"/>
              <w:left w:val="single" w:sz="4" w:space="0" w:color="auto"/>
              <w:bottom w:val="single" w:sz="4" w:space="0" w:color="auto"/>
              <w:right w:val="single" w:sz="4" w:space="0" w:color="auto"/>
            </w:tcBorders>
            <w:shd w:val="clear" w:color="auto" w:fill="auto"/>
            <w:noWrap/>
            <w:vAlign w:val="bottom"/>
            <w:hideMark/>
          </w:tcPr>
          <w:p w14:paraId="34746BE0" w14:textId="77777777" w:rsidR="00FC026B" w:rsidRPr="00C56257" w:rsidRDefault="00FC026B" w:rsidP="00993B86">
            <w:pPr>
              <w:jc w:val="both"/>
              <w:rPr>
                <w:color w:val="000000" w:themeColor="text1"/>
              </w:rPr>
            </w:pPr>
            <w:r w:rsidRPr="00C56257">
              <w:rPr>
                <w:color w:val="000000" w:themeColor="text1"/>
              </w:rPr>
              <w:lastRenderedPageBreak/>
              <w:t>Nisip foarte grosier (1-2 mm)</w:t>
            </w:r>
          </w:p>
        </w:tc>
        <w:tc>
          <w:tcPr>
            <w:tcW w:w="1620" w:type="dxa"/>
            <w:tcBorders>
              <w:top w:val="nil"/>
              <w:left w:val="nil"/>
              <w:bottom w:val="single" w:sz="4" w:space="0" w:color="auto"/>
              <w:right w:val="single" w:sz="4" w:space="0" w:color="auto"/>
            </w:tcBorders>
            <w:shd w:val="clear" w:color="auto" w:fill="auto"/>
            <w:noWrap/>
            <w:vAlign w:val="bottom"/>
            <w:hideMark/>
          </w:tcPr>
          <w:p w14:paraId="715B305C" w14:textId="77777777" w:rsidR="00FC026B" w:rsidRPr="00C56257" w:rsidRDefault="00FC026B" w:rsidP="00993B86">
            <w:pPr>
              <w:jc w:val="both"/>
              <w:rPr>
                <w:color w:val="000000" w:themeColor="text1"/>
              </w:rPr>
            </w:pPr>
            <w:r w:rsidRPr="00C56257">
              <w:rPr>
                <w:color w:val="000000" w:themeColor="text1"/>
              </w:rPr>
              <w:t> </w:t>
            </w:r>
          </w:p>
        </w:tc>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525B3E45" w14:textId="77777777" w:rsidR="00FC026B" w:rsidRPr="00C56257" w:rsidRDefault="00FC026B" w:rsidP="00993B86">
            <w:pPr>
              <w:jc w:val="both"/>
              <w:rPr>
                <w:color w:val="000000" w:themeColor="text1"/>
              </w:rPr>
            </w:pPr>
            <w:r w:rsidRPr="00C56257">
              <w:rPr>
                <w:color w:val="000000" w:themeColor="text1"/>
              </w:rPr>
              <w:t>Silt fin (0.008-0.015 mm)</w:t>
            </w:r>
          </w:p>
        </w:tc>
        <w:tc>
          <w:tcPr>
            <w:tcW w:w="1890" w:type="dxa"/>
            <w:tcBorders>
              <w:top w:val="nil"/>
              <w:left w:val="nil"/>
              <w:bottom w:val="single" w:sz="4" w:space="0" w:color="auto"/>
              <w:right w:val="single" w:sz="4" w:space="0" w:color="auto"/>
            </w:tcBorders>
          </w:tcPr>
          <w:p w14:paraId="1170B8DB" w14:textId="77777777" w:rsidR="00FC026B" w:rsidRPr="00C56257" w:rsidRDefault="00FC026B" w:rsidP="00993B86">
            <w:pPr>
              <w:jc w:val="both"/>
              <w:rPr>
                <w:color w:val="000000" w:themeColor="text1"/>
              </w:rPr>
            </w:pPr>
          </w:p>
        </w:tc>
      </w:tr>
      <w:tr w:rsidR="00FC026B" w:rsidRPr="00C56257" w14:paraId="37A1BCDA" w14:textId="77777777" w:rsidTr="00993B86">
        <w:trPr>
          <w:trHeight w:val="259"/>
        </w:trPr>
        <w:tc>
          <w:tcPr>
            <w:tcW w:w="3145" w:type="dxa"/>
            <w:tcBorders>
              <w:top w:val="nil"/>
              <w:left w:val="single" w:sz="4" w:space="0" w:color="auto"/>
              <w:bottom w:val="single" w:sz="4" w:space="0" w:color="auto"/>
              <w:right w:val="single" w:sz="4" w:space="0" w:color="auto"/>
            </w:tcBorders>
            <w:shd w:val="clear" w:color="auto" w:fill="auto"/>
            <w:noWrap/>
            <w:vAlign w:val="bottom"/>
            <w:hideMark/>
          </w:tcPr>
          <w:p w14:paraId="709C322F" w14:textId="77777777" w:rsidR="00FC026B" w:rsidRPr="00C56257" w:rsidRDefault="00FC026B" w:rsidP="00993B86">
            <w:pPr>
              <w:jc w:val="both"/>
              <w:rPr>
                <w:color w:val="000000" w:themeColor="text1"/>
              </w:rPr>
            </w:pPr>
            <w:r w:rsidRPr="00C56257">
              <w:rPr>
                <w:color w:val="000000" w:themeColor="text1"/>
              </w:rPr>
              <w:t>Nisip grosier (0.5-1 mm)</w:t>
            </w:r>
          </w:p>
        </w:tc>
        <w:tc>
          <w:tcPr>
            <w:tcW w:w="1620" w:type="dxa"/>
            <w:tcBorders>
              <w:top w:val="nil"/>
              <w:left w:val="nil"/>
              <w:bottom w:val="single" w:sz="4" w:space="0" w:color="auto"/>
              <w:right w:val="single" w:sz="4" w:space="0" w:color="auto"/>
            </w:tcBorders>
            <w:shd w:val="clear" w:color="auto" w:fill="auto"/>
            <w:noWrap/>
            <w:vAlign w:val="bottom"/>
            <w:hideMark/>
          </w:tcPr>
          <w:p w14:paraId="333E3368" w14:textId="77777777" w:rsidR="00FC026B" w:rsidRPr="00C56257" w:rsidRDefault="00FC026B" w:rsidP="00993B86">
            <w:pPr>
              <w:jc w:val="both"/>
              <w:rPr>
                <w:color w:val="000000" w:themeColor="text1"/>
              </w:rPr>
            </w:pPr>
            <w:r w:rsidRPr="00C56257">
              <w:rPr>
                <w:color w:val="000000" w:themeColor="text1"/>
              </w:rPr>
              <w:t> </w:t>
            </w:r>
          </w:p>
        </w:tc>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7446D9D8" w14:textId="77777777" w:rsidR="00FC026B" w:rsidRPr="00C56257" w:rsidRDefault="00FC026B" w:rsidP="00993B86">
            <w:pPr>
              <w:jc w:val="both"/>
              <w:rPr>
                <w:color w:val="000000" w:themeColor="text1"/>
              </w:rPr>
            </w:pPr>
            <w:r w:rsidRPr="00C56257">
              <w:rPr>
                <w:color w:val="000000" w:themeColor="text1"/>
              </w:rPr>
              <w:t>Silt foarte fin (0.004-0.008 mm)</w:t>
            </w:r>
          </w:p>
        </w:tc>
        <w:tc>
          <w:tcPr>
            <w:tcW w:w="1890" w:type="dxa"/>
            <w:tcBorders>
              <w:top w:val="nil"/>
              <w:left w:val="nil"/>
              <w:bottom w:val="single" w:sz="4" w:space="0" w:color="auto"/>
              <w:right w:val="single" w:sz="4" w:space="0" w:color="auto"/>
            </w:tcBorders>
          </w:tcPr>
          <w:p w14:paraId="5D203518" w14:textId="77777777" w:rsidR="00FC026B" w:rsidRPr="00C56257" w:rsidRDefault="00FC026B" w:rsidP="00993B86">
            <w:pPr>
              <w:jc w:val="both"/>
              <w:rPr>
                <w:color w:val="000000" w:themeColor="text1"/>
              </w:rPr>
            </w:pPr>
          </w:p>
        </w:tc>
      </w:tr>
      <w:tr w:rsidR="00FC026B" w:rsidRPr="00C56257" w14:paraId="09A69CCB" w14:textId="77777777" w:rsidTr="00993B86">
        <w:trPr>
          <w:trHeight w:val="259"/>
        </w:trPr>
        <w:tc>
          <w:tcPr>
            <w:tcW w:w="3145" w:type="dxa"/>
            <w:tcBorders>
              <w:top w:val="nil"/>
              <w:left w:val="single" w:sz="4" w:space="0" w:color="auto"/>
              <w:bottom w:val="single" w:sz="4" w:space="0" w:color="auto"/>
              <w:right w:val="single" w:sz="4" w:space="0" w:color="auto"/>
            </w:tcBorders>
            <w:shd w:val="clear" w:color="auto" w:fill="auto"/>
            <w:noWrap/>
            <w:vAlign w:val="bottom"/>
            <w:hideMark/>
          </w:tcPr>
          <w:p w14:paraId="52D6B695" w14:textId="77777777" w:rsidR="00FC026B" w:rsidRPr="00C56257" w:rsidRDefault="00FC026B" w:rsidP="00993B86">
            <w:pPr>
              <w:jc w:val="both"/>
              <w:rPr>
                <w:color w:val="000000" w:themeColor="text1"/>
              </w:rPr>
            </w:pPr>
            <w:r w:rsidRPr="00C56257">
              <w:rPr>
                <w:color w:val="000000" w:themeColor="text1"/>
              </w:rPr>
              <w:t>Nisip mediu (0.25-0.5 mm)</w:t>
            </w:r>
          </w:p>
        </w:tc>
        <w:tc>
          <w:tcPr>
            <w:tcW w:w="1620" w:type="dxa"/>
            <w:tcBorders>
              <w:top w:val="nil"/>
              <w:left w:val="nil"/>
              <w:bottom w:val="single" w:sz="4" w:space="0" w:color="auto"/>
              <w:right w:val="single" w:sz="4" w:space="0" w:color="auto"/>
            </w:tcBorders>
            <w:shd w:val="clear" w:color="auto" w:fill="auto"/>
            <w:noWrap/>
            <w:vAlign w:val="bottom"/>
            <w:hideMark/>
          </w:tcPr>
          <w:p w14:paraId="12276599" w14:textId="77777777" w:rsidR="00FC026B" w:rsidRPr="00C56257" w:rsidRDefault="00FC026B" w:rsidP="00993B86">
            <w:pPr>
              <w:jc w:val="both"/>
              <w:rPr>
                <w:color w:val="000000" w:themeColor="text1"/>
              </w:rPr>
            </w:pPr>
            <w:r w:rsidRPr="00C56257">
              <w:rPr>
                <w:color w:val="000000" w:themeColor="text1"/>
              </w:rPr>
              <w:t> </w:t>
            </w:r>
          </w:p>
        </w:tc>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0C714E8A" w14:textId="77777777" w:rsidR="00FC026B" w:rsidRPr="00C56257" w:rsidRDefault="00FC026B" w:rsidP="00993B86">
            <w:pPr>
              <w:jc w:val="both"/>
              <w:rPr>
                <w:color w:val="000000" w:themeColor="text1"/>
              </w:rPr>
            </w:pPr>
            <w:r w:rsidRPr="00C56257">
              <w:rPr>
                <w:color w:val="000000" w:themeColor="text1"/>
              </w:rPr>
              <w:t>Mâl (argilă) (&lt;0.004 mm)</w:t>
            </w:r>
          </w:p>
        </w:tc>
        <w:tc>
          <w:tcPr>
            <w:tcW w:w="1890" w:type="dxa"/>
            <w:tcBorders>
              <w:top w:val="nil"/>
              <w:left w:val="nil"/>
              <w:bottom w:val="single" w:sz="4" w:space="0" w:color="auto"/>
              <w:right w:val="single" w:sz="4" w:space="0" w:color="auto"/>
            </w:tcBorders>
          </w:tcPr>
          <w:p w14:paraId="71DEC132" w14:textId="77777777" w:rsidR="00FC026B" w:rsidRPr="00C56257" w:rsidRDefault="00FC026B" w:rsidP="00993B86">
            <w:pPr>
              <w:jc w:val="both"/>
              <w:rPr>
                <w:color w:val="000000" w:themeColor="text1"/>
              </w:rPr>
            </w:pPr>
          </w:p>
        </w:tc>
      </w:tr>
    </w:tbl>
    <w:p w14:paraId="57D9D483" w14:textId="77777777" w:rsidR="00FC026B" w:rsidRPr="00C56257" w:rsidRDefault="00FC026B" w:rsidP="00FC026B">
      <w:pPr>
        <w:spacing w:line="259" w:lineRule="auto"/>
        <w:jc w:val="both"/>
        <w:rPr>
          <w:b/>
          <w:color w:val="000000" w:themeColor="text1"/>
        </w:rPr>
      </w:pPr>
    </w:p>
    <w:p w14:paraId="5ABA8B57" w14:textId="77777777" w:rsidR="006548C9" w:rsidRDefault="006548C9" w:rsidP="006548C9">
      <w:pPr>
        <w:jc w:val="both"/>
        <w:rPr>
          <w:b/>
          <w:bCs/>
          <w:color w:val="000000" w:themeColor="text1"/>
        </w:rPr>
      </w:pPr>
      <w:r>
        <w:rPr>
          <w:b/>
          <w:bCs/>
          <w:color w:val="000000" w:themeColor="text1"/>
        </w:rPr>
        <w:t>Fișă habitat 1210</w:t>
      </w:r>
    </w:p>
    <w:p w14:paraId="41807C12" w14:textId="77777777" w:rsidR="006548C9" w:rsidRDefault="006548C9" w:rsidP="006548C9">
      <w:pPr>
        <w:jc w:val="both"/>
        <w:rPr>
          <w:b/>
          <w:bCs/>
          <w:color w:val="000000" w:themeColor="text1"/>
        </w:rPr>
      </w:pPr>
    </w:p>
    <w:tbl>
      <w:tblPr>
        <w:tblStyle w:val="TableGrid"/>
        <w:tblW w:w="0" w:type="auto"/>
        <w:tblLook w:val="04A0" w:firstRow="1" w:lastRow="0" w:firstColumn="1" w:lastColumn="0" w:noHBand="0" w:noVBand="1"/>
      </w:tblPr>
      <w:tblGrid>
        <w:gridCol w:w="5651"/>
        <w:gridCol w:w="1443"/>
        <w:gridCol w:w="1412"/>
        <w:gridCol w:w="1549"/>
      </w:tblGrid>
      <w:tr w:rsidR="00FE7B91" w14:paraId="4BE29C70" w14:textId="77777777" w:rsidTr="00FE7B91">
        <w:tc>
          <w:tcPr>
            <w:tcW w:w="5681" w:type="dxa"/>
          </w:tcPr>
          <w:p w14:paraId="792494DA" w14:textId="77777777" w:rsidR="006548C9" w:rsidRPr="00996581" w:rsidRDefault="006548C9" w:rsidP="006548C9">
            <w:pPr>
              <w:jc w:val="both"/>
              <w:rPr>
                <w:bCs/>
                <w:color w:val="000000" w:themeColor="text1"/>
              </w:rPr>
            </w:pPr>
            <w:r w:rsidRPr="00996581">
              <w:rPr>
                <w:bCs/>
                <w:color w:val="000000" w:themeColor="text1"/>
              </w:rPr>
              <w:t>Nume specialist</w:t>
            </w:r>
          </w:p>
        </w:tc>
        <w:tc>
          <w:tcPr>
            <w:tcW w:w="1411" w:type="dxa"/>
          </w:tcPr>
          <w:p w14:paraId="0B6F78FE" w14:textId="77777777" w:rsidR="006548C9" w:rsidRDefault="006548C9" w:rsidP="006548C9">
            <w:pPr>
              <w:jc w:val="both"/>
              <w:rPr>
                <w:b/>
                <w:bCs/>
                <w:color w:val="000000" w:themeColor="text1"/>
              </w:rPr>
            </w:pPr>
          </w:p>
        </w:tc>
        <w:tc>
          <w:tcPr>
            <w:tcW w:w="1413" w:type="dxa"/>
          </w:tcPr>
          <w:p w14:paraId="4E815D3F" w14:textId="77777777" w:rsidR="006548C9" w:rsidRDefault="006548C9" w:rsidP="006548C9">
            <w:pPr>
              <w:jc w:val="both"/>
              <w:rPr>
                <w:b/>
                <w:bCs/>
                <w:color w:val="000000" w:themeColor="text1"/>
              </w:rPr>
            </w:pPr>
          </w:p>
        </w:tc>
        <w:tc>
          <w:tcPr>
            <w:tcW w:w="1550" w:type="dxa"/>
          </w:tcPr>
          <w:p w14:paraId="53E323D6" w14:textId="77777777" w:rsidR="006548C9" w:rsidRDefault="006548C9" w:rsidP="006548C9">
            <w:pPr>
              <w:jc w:val="both"/>
              <w:rPr>
                <w:b/>
                <w:bCs/>
                <w:color w:val="000000" w:themeColor="text1"/>
              </w:rPr>
            </w:pPr>
          </w:p>
        </w:tc>
      </w:tr>
      <w:tr w:rsidR="00FE7B91" w14:paraId="3316769E" w14:textId="77777777" w:rsidTr="00FE7B91">
        <w:tc>
          <w:tcPr>
            <w:tcW w:w="5681" w:type="dxa"/>
          </w:tcPr>
          <w:p w14:paraId="4F984A68" w14:textId="77777777" w:rsidR="006548C9" w:rsidRPr="00996581" w:rsidRDefault="006548C9" w:rsidP="006548C9">
            <w:pPr>
              <w:jc w:val="both"/>
              <w:rPr>
                <w:bCs/>
                <w:color w:val="000000" w:themeColor="text1"/>
              </w:rPr>
            </w:pPr>
            <w:r w:rsidRPr="00996581">
              <w:rPr>
                <w:bCs/>
                <w:color w:val="000000" w:themeColor="text1"/>
              </w:rPr>
              <w:t>Perioada de studiu</w:t>
            </w:r>
          </w:p>
        </w:tc>
        <w:tc>
          <w:tcPr>
            <w:tcW w:w="1411" w:type="dxa"/>
          </w:tcPr>
          <w:p w14:paraId="206B49D4" w14:textId="77777777" w:rsidR="006548C9" w:rsidRDefault="006548C9" w:rsidP="006548C9">
            <w:pPr>
              <w:jc w:val="both"/>
              <w:rPr>
                <w:b/>
                <w:bCs/>
                <w:color w:val="000000" w:themeColor="text1"/>
              </w:rPr>
            </w:pPr>
          </w:p>
        </w:tc>
        <w:tc>
          <w:tcPr>
            <w:tcW w:w="1413" w:type="dxa"/>
          </w:tcPr>
          <w:p w14:paraId="4EFC1FE2" w14:textId="77777777" w:rsidR="006548C9" w:rsidRDefault="006548C9" w:rsidP="006548C9">
            <w:pPr>
              <w:jc w:val="both"/>
              <w:rPr>
                <w:b/>
                <w:bCs/>
                <w:color w:val="000000" w:themeColor="text1"/>
              </w:rPr>
            </w:pPr>
          </w:p>
        </w:tc>
        <w:tc>
          <w:tcPr>
            <w:tcW w:w="1550" w:type="dxa"/>
          </w:tcPr>
          <w:p w14:paraId="39600116" w14:textId="77777777" w:rsidR="006548C9" w:rsidRDefault="006548C9" w:rsidP="006548C9">
            <w:pPr>
              <w:jc w:val="both"/>
              <w:rPr>
                <w:b/>
                <w:bCs/>
                <w:color w:val="000000" w:themeColor="text1"/>
              </w:rPr>
            </w:pPr>
          </w:p>
        </w:tc>
      </w:tr>
      <w:tr w:rsidR="00FE7B91" w14:paraId="767DBA39" w14:textId="77777777" w:rsidTr="00FE7B91">
        <w:tc>
          <w:tcPr>
            <w:tcW w:w="5681" w:type="dxa"/>
          </w:tcPr>
          <w:p w14:paraId="7FD16C21" w14:textId="77777777" w:rsidR="006548C9" w:rsidRPr="00996581" w:rsidRDefault="006548C9" w:rsidP="006548C9">
            <w:pPr>
              <w:jc w:val="both"/>
              <w:rPr>
                <w:bCs/>
                <w:color w:val="000000" w:themeColor="text1"/>
              </w:rPr>
            </w:pPr>
            <w:r w:rsidRPr="00996581">
              <w:rPr>
                <w:bCs/>
                <w:color w:val="000000" w:themeColor="text1"/>
              </w:rPr>
              <w:t>Cod habitat Natura 2000</w:t>
            </w:r>
          </w:p>
        </w:tc>
        <w:tc>
          <w:tcPr>
            <w:tcW w:w="1411" w:type="dxa"/>
          </w:tcPr>
          <w:p w14:paraId="202E1AF0" w14:textId="77777777" w:rsidR="006548C9" w:rsidRDefault="006548C9" w:rsidP="006548C9">
            <w:pPr>
              <w:jc w:val="both"/>
              <w:rPr>
                <w:b/>
                <w:bCs/>
                <w:color w:val="000000" w:themeColor="text1"/>
              </w:rPr>
            </w:pPr>
          </w:p>
        </w:tc>
        <w:tc>
          <w:tcPr>
            <w:tcW w:w="1413" w:type="dxa"/>
          </w:tcPr>
          <w:p w14:paraId="23CC20DC" w14:textId="77777777" w:rsidR="006548C9" w:rsidRDefault="006548C9" w:rsidP="006548C9">
            <w:pPr>
              <w:jc w:val="both"/>
              <w:rPr>
                <w:b/>
                <w:bCs/>
                <w:color w:val="000000" w:themeColor="text1"/>
              </w:rPr>
            </w:pPr>
          </w:p>
        </w:tc>
        <w:tc>
          <w:tcPr>
            <w:tcW w:w="1550" w:type="dxa"/>
          </w:tcPr>
          <w:p w14:paraId="6915702F" w14:textId="77777777" w:rsidR="006548C9" w:rsidRDefault="006548C9" w:rsidP="006548C9">
            <w:pPr>
              <w:jc w:val="both"/>
              <w:rPr>
                <w:b/>
                <w:bCs/>
                <w:color w:val="000000" w:themeColor="text1"/>
              </w:rPr>
            </w:pPr>
          </w:p>
        </w:tc>
      </w:tr>
      <w:tr w:rsidR="00FE7B91" w14:paraId="40F4D10C" w14:textId="77777777" w:rsidTr="00FE7B91">
        <w:tc>
          <w:tcPr>
            <w:tcW w:w="5681" w:type="dxa"/>
          </w:tcPr>
          <w:p w14:paraId="505E2646" w14:textId="77777777" w:rsidR="006548C9" w:rsidRPr="00996581" w:rsidRDefault="006548C9" w:rsidP="006548C9">
            <w:pPr>
              <w:jc w:val="both"/>
              <w:rPr>
                <w:bCs/>
                <w:color w:val="000000" w:themeColor="text1"/>
              </w:rPr>
            </w:pPr>
            <w:r w:rsidRPr="00996581">
              <w:rPr>
                <w:bCs/>
                <w:color w:val="000000" w:themeColor="text1"/>
              </w:rPr>
              <w:t>Denumire habitat Natura 2000</w:t>
            </w:r>
          </w:p>
        </w:tc>
        <w:tc>
          <w:tcPr>
            <w:tcW w:w="1411" w:type="dxa"/>
          </w:tcPr>
          <w:p w14:paraId="46EF3827" w14:textId="77777777" w:rsidR="006548C9" w:rsidRDefault="006548C9" w:rsidP="006548C9">
            <w:pPr>
              <w:jc w:val="both"/>
              <w:rPr>
                <w:b/>
                <w:bCs/>
                <w:color w:val="000000" w:themeColor="text1"/>
              </w:rPr>
            </w:pPr>
          </w:p>
        </w:tc>
        <w:tc>
          <w:tcPr>
            <w:tcW w:w="1413" w:type="dxa"/>
          </w:tcPr>
          <w:p w14:paraId="6249F925" w14:textId="77777777" w:rsidR="006548C9" w:rsidRDefault="006548C9" w:rsidP="006548C9">
            <w:pPr>
              <w:jc w:val="both"/>
              <w:rPr>
                <w:b/>
                <w:bCs/>
                <w:color w:val="000000" w:themeColor="text1"/>
              </w:rPr>
            </w:pPr>
          </w:p>
        </w:tc>
        <w:tc>
          <w:tcPr>
            <w:tcW w:w="1550" w:type="dxa"/>
          </w:tcPr>
          <w:p w14:paraId="4AE7FD7F" w14:textId="77777777" w:rsidR="006548C9" w:rsidRDefault="006548C9" w:rsidP="006548C9">
            <w:pPr>
              <w:jc w:val="both"/>
              <w:rPr>
                <w:b/>
                <w:bCs/>
                <w:color w:val="000000" w:themeColor="text1"/>
              </w:rPr>
            </w:pPr>
          </w:p>
        </w:tc>
      </w:tr>
      <w:tr w:rsidR="00FE7B91" w14:paraId="1D52A1E0" w14:textId="77777777" w:rsidTr="00FE7B91">
        <w:tc>
          <w:tcPr>
            <w:tcW w:w="5681" w:type="dxa"/>
          </w:tcPr>
          <w:p w14:paraId="0B048005" w14:textId="77777777" w:rsidR="006548C9" w:rsidRPr="00996581" w:rsidRDefault="006548C9" w:rsidP="006548C9">
            <w:pPr>
              <w:jc w:val="both"/>
              <w:rPr>
                <w:bCs/>
                <w:color w:val="000000" w:themeColor="text1"/>
              </w:rPr>
            </w:pPr>
            <w:r w:rsidRPr="00996581">
              <w:rPr>
                <w:bCs/>
                <w:color w:val="000000" w:themeColor="text1"/>
              </w:rPr>
              <w:t>Localizare/Județ</w:t>
            </w:r>
          </w:p>
        </w:tc>
        <w:tc>
          <w:tcPr>
            <w:tcW w:w="1411" w:type="dxa"/>
          </w:tcPr>
          <w:p w14:paraId="46AFFE4E" w14:textId="77777777" w:rsidR="006548C9" w:rsidRDefault="006548C9" w:rsidP="006548C9">
            <w:pPr>
              <w:jc w:val="both"/>
              <w:rPr>
                <w:b/>
                <w:bCs/>
                <w:color w:val="000000" w:themeColor="text1"/>
              </w:rPr>
            </w:pPr>
          </w:p>
        </w:tc>
        <w:tc>
          <w:tcPr>
            <w:tcW w:w="1413" w:type="dxa"/>
          </w:tcPr>
          <w:p w14:paraId="68BBE2E8" w14:textId="77777777" w:rsidR="006548C9" w:rsidRDefault="006548C9" w:rsidP="006548C9">
            <w:pPr>
              <w:jc w:val="both"/>
              <w:rPr>
                <w:b/>
                <w:bCs/>
                <w:color w:val="000000" w:themeColor="text1"/>
              </w:rPr>
            </w:pPr>
          </w:p>
        </w:tc>
        <w:tc>
          <w:tcPr>
            <w:tcW w:w="1550" w:type="dxa"/>
          </w:tcPr>
          <w:p w14:paraId="0AFCBFB1" w14:textId="77777777" w:rsidR="006548C9" w:rsidRDefault="006548C9" w:rsidP="006548C9">
            <w:pPr>
              <w:jc w:val="both"/>
              <w:rPr>
                <w:b/>
                <w:bCs/>
                <w:color w:val="000000" w:themeColor="text1"/>
              </w:rPr>
            </w:pPr>
          </w:p>
        </w:tc>
      </w:tr>
      <w:tr w:rsidR="00FE7B91" w14:paraId="7F6502DF" w14:textId="77777777" w:rsidTr="00FE7B91">
        <w:tc>
          <w:tcPr>
            <w:tcW w:w="5681" w:type="dxa"/>
          </w:tcPr>
          <w:p w14:paraId="0618C72D" w14:textId="77777777" w:rsidR="006548C9" w:rsidRPr="00996581" w:rsidRDefault="006548C9" w:rsidP="006548C9">
            <w:pPr>
              <w:jc w:val="both"/>
              <w:rPr>
                <w:bCs/>
                <w:color w:val="000000" w:themeColor="text1"/>
              </w:rPr>
            </w:pPr>
            <w:r w:rsidRPr="00996581">
              <w:rPr>
                <w:bCs/>
                <w:color w:val="000000" w:themeColor="text1"/>
              </w:rPr>
              <w:t>Coordonate geografice</w:t>
            </w:r>
          </w:p>
        </w:tc>
        <w:tc>
          <w:tcPr>
            <w:tcW w:w="1411" w:type="dxa"/>
          </w:tcPr>
          <w:p w14:paraId="7F9DB0AE" w14:textId="77777777" w:rsidR="006548C9" w:rsidRDefault="006548C9" w:rsidP="006548C9">
            <w:pPr>
              <w:jc w:val="both"/>
              <w:rPr>
                <w:b/>
                <w:bCs/>
                <w:color w:val="000000" w:themeColor="text1"/>
              </w:rPr>
            </w:pPr>
          </w:p>
        </w:tc>
        <w:tc>
          <w:tcPr>
            <w:tcW w:w="1413" w:type="dxa"/>
          </w:tcPr>
          <w:p w14:paraId="5F901146" w14:textId="77777777" w:rsidR="006548C9" w:rsidRDefault="006548C9" w:rsidP="006548C9">
            <w:pPr>
              <w:jc w:val="both"/>
              <w:rPr>
                <w:b/>
                <w:bCs/>
                <w:color w:val="000000" w:themeColor="text1"/>
              </w:rPr>
            </w:pPr>
          </w:p>
        </w:tc>
        <w:tc>
          <w:tcPr>
            <w:tcW w:w="1550" w:type="dxa"/>
          </w:tcPr>
          <w:p w14:paraId="34F39341" w14:textId="77777777" w:rsidR="006548C9" w:rsidRDefault="006548C9" w:rsidP="006548C9">
            <w:pPr>
              <w:jc w:val="both"/>
              <w:rPr>
                <w:b/>
                <w:bCs/>
                <w:color w:val="000000" w:themeColor="text1"/>
              </w:rPr>
            </w:pPr>
          </w:p>
        </w:tc>
      </w:tr>
      <w:tr w:rsidR="00FE7B91" w14:paraId="126E7215" w14:textId="77777777" w:rsidTr="00FE7B91">
        <w:tc>
          <w:tcPr>
            <w:tcW w:w="5681" w:type="dxa"/>
          </w:tcPr>
          <w:p w14:paraId="612C122E" w14:textId="77777777" w:rsidR="006548C9" w:rsidRPr="00996581" w:rsidRDefault="006548C9" w:rsidP="006548C9">
            <w:pPr>
              <w:jc w:val="both"/>
              <w:rPr>
                <w:bCs/>
                <w:color w:val="000000" w:themeColor="text1"/>
              </w:rPr>
            </w:pPr>
            <w:r w:rsidRPr="00996581">
              <w:rPr>
                <w:bCs/>
                <w:color w:val="000000" w:themeColor="text1"/>
              </w:rPr>
              <w:t>Date de evaluare a habitatului</w:t>
            </w:r>
          </w:p>
        </w:tc>
        <w:tc>
          <w:tcPr>
            <w:tcW w:w="1411" w:type="dxa"/>
          </w:tcPr>
          <w:p w14:paraId="72C26193" w14:textId="77777777" w:rsidR="006548C9" w:rsidRDefault="006548C9" w:rsidP="006548C9">
            <w:pPr>
              <w:jc w:val="both"/>
              <w:rPr>
                <w:b/>
                <w:bCs/>
                <w:color w:val="000000" w:themeColor="text1"/>
              </w:rPr>
            </w:pPr>
          </w:p>
        </w:tc>
        <w:tc>
          <w:tcPr>
            <w:tcW w:w="1413" w:type="dxa"/>
          </w:tcPr>
          <w:p w14:paraId="26262FB4" w14:textId="77777777" w:rsidR="006548C9" w:rsidRDefault="006548C9" w:rsidP="006548C9">
            <w:pPr>
              <w:jc w:val="both"/>
              <w:rPr>
                <w:b/>
                <w:bCs/>
                <w:color w:val="000000" w:themeColor="text1"/>
              </w:rPr>
            </w:pPr>
          </w:p>
        </w:tc>
        <w:tc>
          <w:tcPr>
            <w:tcW w:w="1550" w:type="dxa"/>
          </w:tcPr>
          <w:p w14:paraId="2200C411" w14:textId="77777777" w:rsidR="006548C9" w:rsidRDefault="006548C9" w:rsidP="006548C9">
            <w:pPr>
              <w:jc w:val="both"/>
              <w:rPr>
                <w:b/>
                <w:bCs/>
                <w:color w:val="000000" w:themeColor="text1"/>
              </w:rPr>
            </w:pPr>
          </w:p>
        </w:tc>
      </w:tr>
      <w:tr w:rsidR="00FE7B91" w14:paraId="1CAA2D94" w14:textId="77777777" w:rsidTr="00FE7B91">
        <w:tc>
          <w:tcPr>
            <w:tcW w:w="5681" w:type="dxa"/>
          </w:tcPr>
          <w:p w14:paraId="321B420F" w14:textId="77777777" w:rsidR="006548C9" w:rsidRPr="00996581" w:rsidRDefault="006548C9" w:rsidP="006548C9">
            <w:pPr>
              <w:jc w:val="both"/>
              <w:rPr>
                <w:bCs/>
                <w:color w:val="000000" w:themeColor="text1"/>
                <w:lang w:val="en-US"/>
              </w:rPr>
            </w:pPr>
            <w:r w:rsidRPr="00996581">
              <w:rPr>
                <w:bCs/>
                <w:color w:val="000000" w:themeColor="text1"/>
              </w:rPr>
              <w:t>Nr. crt</w:t>
            </w:r>
            <w:r w:rsidRPr="00996581">
              <w:rPr>
                <w:bCs/>
                <w:color w:val="000000" w:themeColor="text1"/>
                <w:lang w:val="en-US"/>
              </w:rPr>
              <w:t>:</w:t>
            </w:r>
          </w:p>
        </w:tc>
        <w:tc>
          <w:tcPr>
            <w:tcW w:w="1411" w:type="dxa"/>
          </w:tcPr>
          <w:p w14:paraId="5AC1F64A" w14:textId="77777777" w:rsidR="006548C9" w:rsidRDefault="006548C9" w:rsidP="006548C9">
            <w:pPr>
              <w:jc w:val="both"/>
              <w:rPr>
                <w:b/>
                <w:bCs/>
                <w:color w:val="000000" w:themeColor="text1"/>
              </w:rPr>
            </w:pPr>
          </w:p>
        </w:tc>
        <w:tc>
          <w:tcPr>
            <w:tcW w:w="1413" w:type="dxa"/>
          </w:tcPr>
          <w:p w14:paraId="5E12619A" w14:textId="77777777" w:rsidR="006548C9" w:rsidRDefault="006548C9" w:rsidP="006548C9">
            <w:pPr>
              <w:jc w:val="both"/>
              <w:rPr>
                <w:b/>
                <w:bCs/>
                <w:color w:val="000000" w:themeColor="text1"/>
              </w:rPr>
            </w:pPr>
          </w:p>
        </w:tc>
        <w:tc>
          <w:tcPr>
            <w:tcW w:w="1550" w:type="dxa"/>
          </w:tcPr>
          <w:p w14:paraId="0237404B" w14:textId="77777777" w:rsidR="006548C9" w:rsidRDefault="006548C9" w:rsidP="006548C9">
            <w:pPr>
              <w:jc w:val="both"/>
              <w:rPr>
                <w:b/>
                <w:bCs/>
                <w:color w:val="000000" w:themeColor="text1"/>
              </w:rPr>
            </w:pPr>
          </w:p>
        </w:tc>
      </w:tr>
      <w:tr w:rsidR="006548C9" w14:paraId="0D2E2075" w14:textId="77777777" w:rsidTr="00FE7B91">
        <w:tc>
          <w:tcPr>
            <w:tcW w:w="5681" w:type="dxa"/>
          </w:tcPr>
          <w:p w14:paraId="47A34050" w14:textId="77777777" w:rsidR="006548C9" w:rsidRPr="00996581" w:rsidRDefault="006548C9" w:rsidP="009E63E5">
            <w:pPr>
              <w:pStyle w:val="ListParagraph"/>
              <w:numPr>
                <w:ilvl w:val="0"/>
                <w:numId w:val="181"/>
              </w:numPr>
              <w:jc w:val="both"/>
              <w:rPr>
                <w:rFonts w:ascii="Times New Roman" w:hAnsi="Times New Roman" w:cs="Times New Roman"/>
                <w:bCs/>
                <w:color w:val="000000" w:themeColor="text1"/>
                <w:sz w:val="24"/>
                <w:szCs w:val="24"/>
              </w:rPr>
            </w:pPr>
            <w:proofErr w:type="spellStart"/>
            <w:r w:rsidRPr="00996581">
              <w:rPr>
                <w:rFonts w:ascii="Times New Roman" w:hAnsi="Times New Roman" w:cs="Times New Roman"/>
                <w:bCs/>
                <w:color w:val="000000" w:themeColor="text1"/>
                <w:sz w:val="24"/>
                <w:szCs w:val="24"/>
              </w:rPr>
              <w:t>Suprafa</w:t>
            </w:r>
            <w:proofErr w:type="spellEnd"/>
            <w:r w:rsidRPr="00996581">
              <w:rPr>
                <w:rFonts w:ascii="Times New Roman" w:hAnsi="Times New Roman" w:cs="Times New Roman"/>
                <w:bCs/>
                <w:color w:val="000000" w:themeColor="text1"/>
                <w:sz w:val="24"/>
                <w:szCs w:val="24"/>
                <w:lang w:val="ro-RO"/>
              </w:rPr>
              <w:t>ța estimată a habitatului</w:t>
            </w:r>
            <w:r w:rsidR="00996581">
              <w:rPr>
                <w:rFonts w:ascii="Times New Roman" w:hAnsi="Times New Roman" w:cs="Times New Roman"/>
                <w:bCs/>
                <w:color w:val="000000" w:themeColor="text1"/>
                <w:sz w:val="24"/>
                <w:szCs w:val="24"/>
                <w:lang w:val="ro-RO"/>
              </w:rPr>
              <w:t xml:space="preserve"> (în km2)</w:t>
            </w:r>
          </w:p>
        </w:tc>
        <w:tc>
          <w:tcPr>
            <w:tcW w:w="1411" w:type="dxa"/>
          </w:tcPr>
          <w:p w14:paraId="5CE71AB9" w14:textId="77777777" w:rsidR="006548C9" w:rsidRDefault="006548C9" w:rsidP="006548C9">
            <w:pPr>
              <w:jc w:val="both"/>
              <w:rPr>
                <w:b/>
                <w:bCs/>
                <w:color w:val="000000" w:themeColor="text1"/>
              </w:rPr>
            </w:pPr>
          </w:p>
        </w:tc>
        <w:tc>
          <w:tcPr>
            <w:tcW w:w="1413" w:type="dxa"/>
          </w:tcPr>
          <w:p w14:paraId="28F906FF" w14:textId="77777777" w:rsidR="006548C9" w:rsidRDefault="006548C9" w:rsidP="006548C9">
            <w:pPr>
              <w:jc w:val="both"/>
              <w:rPr>
                <w:b/>
                <w:bCs/>
                <w:color w:val="000000" w:themeColor="text1"/>
              </w:rPr>
            </w:pPr>
          </w:p>
        </w:tc>
        <w:tc>
          <w:tcPr>
            <w:tcW w:w="1550" w:type="dxa"/>
          </w:tcPr>
          <w:p w14:paraId="748E2BAA" w14:textId="77777777" w:rsidR="006548C9" w:rsidRDefault="006548C9" w:rsidP="006548C9">
            <w:pPr>
              <w:jc w:val="both"/>
              <w:rPr>
                <w:b/>
                <w:bCs/>
                <w:color w:val="000000" w:themeColor="text1"/>
              </w:rPr>
            </w:pPr>
          </w:p>
        </w:tc>
      </w:tr>
      <w:tr w:rsidR="006548C9" w14:paraId="2724B2C3" w14:textId="77777777" w:rsidTr="00FE7B91">
        <w:tc>
          <w:tcPr>
            <w:tcW w:w="5681" w:type="dxa"/>
          </w:tcPr>
          <w:p w14:paraId="3D9FDA2F" w14:textId="77777777" w:rsidR="006548C9" w:rsidRPr="00996581" w:rsidRDefault="006548C9" w:rsidP="009E63E5">
            <w:pPr>
              <w:pStyle w:val="ListParagraph"/>
              <w:numPr>
                <w:ilvl w:val="0"/>
                <w:numId w:val="181"/>
              </w:numPr>
              <w:jc w:val="both"/>
              <w:rPr>
                <w:rFonts w:ascii="Times New Roman" w:hAnsi="Times New Roman" w:cs="Times New Roman"/>
                <w:bCs/>
                <w:color w:val="000000" w:themeColor="text1"/>
                <w:sz w:val="24"/>
                <w:szCs w:val="24"/>
              </w:rPr>
            </w:pPr>
            <w:proofErr w:type="spellStart"/>
            <w:r w:rsidRPr="00996581">
              <w:rPr>
                <w:rFonts w:ascii="Times New Roman" w:hAnsi="Times New Roman" w:cs="Times New Roman"/>
                <w:bCs/>
                <w:color w:val="000000" w:themeColor="text1"/>
                <w:sz w:val="24"/>
                <w:szCs w:val="24"/>
              </w:rPr>
              <w:t>Suprafața</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studiată</w:t>
            </w:r>
            <w:proofErr w:type="spellEnd"/>
            <w:r w:rsidRPr="00996581">
              <w:rPr>
                <w:rFonts w:ascii="Times New Roman" w:hAnsi="Times New Roman" w:cs="Times New Roman"/>
                <w:bCs/>
                <w:color w:val="000000" w:themeColor="text1"/>
                <w:sz w:val="24"/>
                <w:szCs w:val="24"/>
              </w:rPr>
              <w:t xml:space="preserve"> </w:t>
            </w:r>
            <w:r w:rsidR="00FE7B91">
              <w:rPr>
                <w:rFonts w:ascii="Times New Roman" w:hAnsi="Times New Roman" w:cs="Times New Roman"/>
                <w:bCs/>
                <w:color w:val="000000" w:themeColor="text1"/>
                <w:sz w:val="24"/>
                <w:szCs w:val="24"/>
              </w:rPr>
              <w:t>(</w:t>
            </w:r>
            <w:proofErr w:type="spellStart"/>
            <w:r w:rsidRPr="00996581">
              <w:rPr>
                <w:rFonts w:ascii="Times New Roman" w:hAnsi="Times New Roman" w:cs="Times New Roman"/>
                <w:bCs/>
                <w:color w:val="000000" w:themeColor="text1"/>
                <w:sz w:val="24"/>
                <w:szCs w:val="24"/>
              </w:rPr>
              <w:t>în</w:t>
            </w:r>
            <w:proofErr w:type="spellEnd"/>
            <w:r w:rsidRPr="00996581">
              <w:rPr>
                <w:rFonts w:ascii="Times New Roman" w:hAnsi="Times New Roman" w:cs="Times New Roman"/>
                <w:bCs/>
                <w:color w:val="000000" w:themeColor="text1"/>
                <w:sz w:val="24"/>
                <w:szCs w:val="24"/>
              </w:rPr>
              <w:t xml:space="preserve"> km</w:t>
            </w:r>
            <w:r w:rsidR="00FE7B91">
              <w:rPr>
                <w:rFonts w:ascii="Times New Roman" w:hAnsi="Times New Roman" w:cs="Times New Roman"/>
                <w:bCs/>
                <w:color w:val="000000" w:themeColor="text1"/>
                <w:sz w:val="24"/>
                <w:szCs w:val="24"/>
              </w:rPr>
              <w:t>2)</w:t>
            </w:r>
          </w:p>
        </w:tc>
        <w:tc>
          <w:tcPr>
            <w:tcW w:w="1411" w:type="dxa"/>
          </w:tcPr>
          <w:p w14:paraId="388200F6" w14:textId="77777777" w:rsidR="006548C9" w:rsidRDefault="006548C9" w:rsidP="006548C9">
            <w:pPr>
              <w:jc w:val="both"/>
              <w:rPr>
                <w:b/>
                <w:bCs/>
                <w:color w:val="000000" w:themeColor="text1"/>
              </w:rPr>
            </w:pPr>
          </w:p>
        </w:tc>
        <w:tc>
          <w:tcPr>
            <w:tcW w:w="1413" w:type="dxa"/>
          </w:tcPr>
          <w:p w14:paraId="6E6BA692" w14:textId="77777777" w:rsidR="006548C9" w:rsidRDefault="006548C9" w:rsidP="006548C9">
            <w:pPr>
              <w:jc w:val="both"/>
              <w:rPr>
                <w:b/>
                <w:bCs/>
                <w:color w:val="000000" w:themeColor="text1"/>
              </w:rPr>
            </w:pPr>
          </w:p>
        </w:tc>
        <w:tc>
          <w:tcPr>
            <w:tcW w:w="1550" w:type="dxa"/>
          </w:tcPr>
          <w:p w14:paraId="32E21AA3" w14:textId="77777777" w:rsidR="006548C9" w:rsidRDefault="006548C9" w:rsidP="006548C9">
            <w:pPr>
              <w:jc w:val="both"/>
              <w:rPr>
                <w:b/>
                <w:bCs/>
                <w:color w:val="000000" w:themeColor="text1"/>
              </w:rPr>
            </w:pPr>
          </w:p>
        </w:tc>
      </w:tr>
      <w:tr w:rsidR="006548C9" w14:paraId="26379AD4" w14:textId="77777777" w:rsidTr="00FE7B91">
        <w:tc>
          <w:tcPr>
            <w:tcW w:w="5681" w:type="dxa"/>
          </w:tcPr>
          <w:p w14:paraId="45EAAA9F" w14:textId="77777777" w:rsidR="006548C9" w:rsidRPr="00996581" w:rsidRDefault="006548C9" w:rsidP="009E63E5">
            <w:pPr>
              <w:pStyle w:val="ListParagraph"/>
              <w:numPr>
                <w:ilvl w:val="0"/>
                <w:numId w:val="181"/>
              </w:numPr>
              <w:jc w:val="both"/>
              <w:rPr>
                <w:rFonts w:ascii="Times New Roman" w:hAnsi="Times New Roman" w:cs="Times New Roman"/>
                <w:bCs/>
                <w:color w:val="000000" w:themeColor="text1"/>
                <w:sz w:val="24"/>
                <w:szCs w:val="24"/>
              </w:rPr>
            </w:pPr>
            <w:proofErr w:type="spellStart"/>
            <w:r w:rsidRPr="00996581">
              <w:rPr>
                <w:rFonts w:ascii="Times New Roman" w:hAnsi="Times New Roman" w:cs="Times New Roman"/>
                <w:bCs/>
                <w:color w:val="000000" w:themeColor="text1"/>
                <w:sz w:val="24"/>
                <w:szCs w:val="24"/>
              </w:rPr>
              <w:t>Proporția</w:t>
            </w:r>
            <w:proofErr w:type="spellEnd"/>
            <w:r w:rsidR="00996581">
              <w:rPr>
                <w:rFonts w:ascii="Times New Roman" w:hAnsi="Times New Roman" w:cs="Times New Roman"/>
                <w:bCs/>
                <w:color w:val="000000" w:themeColor="text1"/>
                <w:sz w:val="24"/>
                <w:szCs w:val="24"/>
              </w:rPr>
              <w:t xml:space="preserve"> (%)</w:t>
            </w:r>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deținută</w:t>
            </w:r>
            <w:proofErr w:type="spellEnd"/>
            <w:r w:rsidRPr="00996581">
              <w:rPr>
                <w:rFonts w:ascii="Times New Roman" w:hAnsi="Times New Roman" w:cs="Times New Roman"/>
                <w:bCs/>
                <w:color w:val="000000" w:themeColor="text1"/>
                <w:sz w:val="24"/>
                <w:szCs w:val="24"/>
              </w:rPr>
              <w:t xml:space="preserve"> de habitat </w:t>
            </w:r>
            <w:proofErr w:type="spellStart"/>
            <w:r w:rsidRPr="00996581">
              <w:rPr>
                <w:rFonts w:ascii="Times New Roman" w:hAnsi="Times New Roman" w:cs="Times New Roman"/>
                <w:bCs/>
                <w:color w:val="000000" w:themeColor="text1"/>
                <w:sz w:val="24"/>
                <w:szCs w:val="24"/>
              </w:rPr>
              <w:t>în</w:t>
            </w:r>
            <w:proofErr w:type="spellEnd"/>
            <w:r w:rsidRPr="00996581">
              <w:rPr>
                <w:rFonts w:ascii="Times New Roman" w:hAnsi="Times New Roman" w:cs="Times New Roman"/>
                <w:bCs/>
                <w:color w:val="000000" w:themeColor="text1"/>
                <w:sz w:val="24"/>
                <w:szCs w:val="24"/>
              </w:rPr>
              <w:t xml:space="preserve"> zona </w:t>
            </w:r>
            <w:proofErr w:type="spellStart"/>
            <w:r w:rsidRPr="00996581">
              <w:rPr>
                <w:rFonts w:ascii="Times New Roman" w:hAnsi="Times New Roman" w:cs="Times New Roman"/>
                <w:bCs/>
                <w:color w:val="000000" w:themeColor="text1"/>
                <w:sz w:val="24"/>
                <w:szCs w:val="24"/>
              </w:rPr>
              <w:t>studiată</w:t>
            </w:r>
            <w:proofErr w:type="spellEnd"/>
          </w:p>
        </w:tc>
        <w:tc>
          <w:tcPr>
            <w:tcW w:w="1411" w:type="dxa"/>
          </w:tcPr>
          <w:p w14:paraId="56A0700D" w14:textId="77777777" w:rsidR="006548C9" w:rsidRDefault="006548C9" w:rsidP="006548C9">
            <w:pPr>
              <w:jc w:val="both"/>
              <w:rPr>
                <w:b/>
                <w:bCs/>
                <w:color w:val="000000" w:themeColor="text1"/>
              </w:rPr>
            </w:pPr>
          </w:p>
        </w:tc>
        <w:tc>
          <w:tcPr>
            <w:tcW w:w="1413" w:type="dxa"/>
          </w:tcPr>
          <w:p w14:paraId="63F777D7" w14:textId="77777777" w:rsidR="006548C9" w:rsidRDefault="006548C9" w:rsidP="006548C9">
            <w:pPr>
              <w:jc w:val="both"/>
              <w:rPr>
                <w:b/>
                <w:bCs/>
                <w:color w:val="000000" w:themeColor="text1"/>
              </w:rPr>
            </w:pPr>
          </w:p>
        </w:tc>
        <w:tc>
          <w:tcPr>
            <w:tcW w:w="1550" w:type="dxa"/>
          </w:tcPr>
          <w:p w14:paraId="27BD5A22" w14:textId="77777777" w:rsidR="006548C9" w:rsidRDefault="006548C9" w:rsidP="006548C9">
            <w:pPr>
              <w:jc w:val="both"/>
              <w:rPr>
                <w:b/>
                <w:bCs/>
                <w:color w:val="000000" w:themeColor="text1"/>
              </w:rPr>
            </w:pPr>
          </w:p>
        </w:tc>
      </w:tr>
      <w:tr w:rsidR="006548C9" w14:paraId="4BD24710" w14:textId="77777777" w:rsidTr="00FE7B91">
        <w:tc>
          <w:tcPr>
            <w:tcW w:w="5681" w:type="dxa"/>
          </w:tcPr>
          <w:p w14:paraId="3E3B6DA4" w14:textId="77777777" w:rsidR="006548C9" w:rsidRPr="00996581" w:rsidRDefault="00C4278D" w:rsidP="009E63E5">
            <w:pPr>
              <w:pStyle w:val="ListParagraph"/>
              <w:numPr>
                <w:ilvl w:val="0"/>
                <w:numId w:val="181"/>
              </w:numPr>
              <w:jc w:val="both"/>
              <w:rPr>
                <w:rFonts w:ascii="Times New Roman" w:hAnsi="Times New Roman" w:cs="Times New Roman"/>
                <w:bCs/>
                <w:color w:val="000000" w:themeColor="text1"/>
                <w:sz w:val="24"/>
                <w:szCs w:val="24"/>
              </w:rPr>
            </w:pPr>
            <w:proofErr w:type="spellStart"/>
            <w:r w:rsidRPr="00996581">
              <w:rPr>
                <w:rFonts w:ascii="Times New Roman" w:hAnsi="Times New Roman" w:cs="Times New Roman"/>
                <w:bCs/>
                <w:color w:val="000000" w:themeColor="text1"/>
                <w:sz w:val="24"/>
                <w:szCs w:val="24"/>
              </w:rPr>
              <w:t>Caracterizarea</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general</w:t>
            </w:r>
            <w:r w:rsidR="00996581">
              <w:rPr>
                <w:rFonts w:ascii="Times New Roman" w:hAnsi="Times New Roman" w:cs="Times New Roman"/>
                <w:bCs/>
                <w:color w:val="000000" w:themeColor="text1"/>
                <w:sz w:val="24"/>
                <w:szCs w:val="24"/>
              </w:rPr>
              <w:t>ă</w:t>
            </w:r>
            <w:proofErr w:type="spellEnd"/>
            <w:r w:rsidRPr="00996581">
              <w:rPr>
                <w:rFonts w:ascii="Times New Roman" w:hAnsi="Times New Roman" w:cs="Times New Roman"/>
                <w:bCs/>
                <w:color w:val="000000" w:themeColor="text1"/>
                <w:sz w:val="24"/>
                <w:szCs w:val="24"/>
              </w:rPr>
              <w:t xml:space="preserve"> a </w:t>
            </w:r>
            <w:proofErr w:type="spellStart"/>
            <w:r w:rsidRPr="00996581">
              <w:rPr>
                <w:rFonts w:ascii="Times New Roman" w:hAnsi="Times New Roman" w:cs="Times New Roman"/>
                <w:bCs/>
                <w:color w:val="000000" w:themeColor="text1"/>
                <w:sz w:val="24"/>
                <w:szCs w:val="24"/>
              </w:rPr>
              <w:t>habitatului</w:t>
            </w:r>
            <w:proofErr w:type="spellEnd"/>
            <w:r w:rsidRPr="00996581">
              <w:rPr>
                <w:rFonts w:ascii="Times New Roman" w:hAnsi="Times New Roman" w:cs="Times New Roman"/>
                <w:bCs/>
                <w:color w:val="000000" w:themeColor="text1"/>
                <w:sz w:val="24"/>
                <w:szCs w:val="24"/>
              </w:rPr>
              <w:t xml:space="preserve"> </w:t>
            </w:r>
            <w:r w:rsidR="00996581">
              <w:rPr>
                <w:rFonts w:ascii="Times New Roman" w:hAnsi="Times New Roman" w:cs="Times New Roman"/>
                <w:bCs/>
                <w:color w:val="000000" w:themeColor="text1"/>
                <w:sz w:val="24"/>
                <w:szCs w:val="24"/>
              </w:rPr>
              <w:t>(</w:t>
            </w:r>
            <w:proofErr w:type="spellStart"/>
            <w:r w:rsidRPr="00996581">
              <w:rPr>
                <w:rFonts w:ascii="Times New Roman" w:hAnsi="Times New Roman" w:cs="Times New Roman"/>
                <w:bCs/>
                <w:color w:val="000000" w:themeColor="text1"/>
                <w:sz w:val="24"/>
                <w:szCs w:val="24"/>
              </w:rPr>
              <w:t>caracteristici</w:t>
            </w:r>
            <w:proofErr w:type="spellEnd"/>
            <w:r w:rsidRPr="00996581">
              <w:rPr>
                <w:rFonts w:ascii="Times New Roman" w:hAnsi="Times New Roman" w:cs="Times New Roman"/>
                <w:bCs/>
                <w:color w:val="000000" w:themeColor="text1"/>
                <w:sz w:val="24"/>
                <w:szCs w:val="24"/>
              </w:rPr>
              <w:t xml:space="preserve"> ale </w:t>
            </w:r>
            <w:proofErr w:type="spellStart"/>
            <w:r w:rsidRPr="00996581">
              <w:rPr>
                <w:rFonts w:ascii="Times New Roman" w:hAnsi="Times New Roman" w:cs="Times New Roman"/>
                <w:bCs/>
                <w:color w:val="000000" w:themeColor="text1"/>
                <w:sz w:val="24"/>
                <w:szCs w:val="24"/>
              </w:rPr>
              <w:t>biotopului</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și</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biocenozei</w:t>
            </w:r>
            <w:proofErr w:type="spellEnd"/>
            <w:r w:rsidR="00996581">
              <w:rPr>
                <w:rFonts w:ascii="Times New Roman" w:hAnsi="Times New Roman" w:cs="Times New Roman"/>
                <w:bCs/>
                <w:color w:val="000000" w:themeColor="text1"/>
                <w:sz w:val="24"/>
                <w:szCs w:val="24"/>
              </w:rPr>
              <w:t>)</w:t>
            </w:r>
          </w:p>
        </w:tc>
        <w:tc>
          <w:tcPr>
            <w:tcW w:w="1411" w:type="dxa"/>
          </w:tcPr>
          <w:p w14:paraId="08E9F004" w14:textId="77777777" w:rsidR="006548C9" w:rsidRDefault="006548C9" w:rsidP="006548C9">
            <w:pPr>
              <w:jc w:val="both"/>
              <w:rPr>
                <w:b/>
                <w:bCs/>
                <w:color w:val="000000" w:themeColor="text1"/>
              </w:rPr>
            </w:pPr>
          </w:p>
        </w:tc>
        <w:tc>
          <w:tcPr>
            <w:tcW w:w="1413" w:type="dxa"/>
          </w:tcPr>
          <w:p w14:paraId="11A98F37" w14:textId="77777777" w:rsidR="006548C9" w:rsidRDefault="006548C9" w:rsidP="006548C9">
            <w:pPr>
              <w:jc w:val="both"/>
              <w:rPr>
                <w:b/>
                <w:bCs/>
                <w:color w:val="000000" w:themeColor="text1"/>
              </w:rPr>
            </w:pPr>
          </w:p>
        </w:tc>
        <w:tc>
          <w:tcPr>
            <w:tcW w:w="1550" w:type="dxa"/>
          </w:tcPr>
          <w:p w14:paraId="30E7E894" w14:textId="77777777" w:rsidR="006548C9" w:rsidRDefault="006548C9" w:rsidP="006548C9">
            <w:pPr>
              <w:jc w:val="both"/>
              <w:rPr>
                <w:b/>
                <w:bCs/>
                <w:color w:val="000000" w:themeColor="text1"/>
              </w:rPr>
            </w:pPr>
          </w:p>
        </w:tc>
      </w:tr>
      <w:tr w:rsidR="006548C9" w14:paraId="3A5B6FE9" w14:textId="77777777" w:rsidTr="00FE7B91">
        <w:tc>
          <w:tcPr>
            <w:tcW w:w="5681" w:type="dxa"/>
          </w:tcPr>
          <w:p w14:paraId="5CFD0DB9" w14:textId="77777777" w:rsidR="006548C9" w:rsidRPr="00996581" w:rsidRDefault="00C4278D" w:rsidP="009E63E5">
            <w:pPr>
              <w:pStyle w:val="ListParagraph"/>
              <w:numPr>
                <w:ilvl w:val="0"/>
                <w:numId w:val="181"/>
              </w:numPr>
              <w:jc w:val="both"/>
              <w:rPr>
                <w:rFonts w:ascii="Times New Roman" w:hAnsi="Times New Roman" w:cs="Times New Roman"/>
                <w:bCs/>
                <w:color w:val="000000" w:themeColor="text1"/>
                <w:sz w:val="24"/>
                <w:szCs w:val="24"/>
              </w:rPr>
            </w:pPr>
            <w:proofErr w:type="spellStart"/>
            <w:r w:rsidRPr="00996581">
              <w:rPr>
                <w:rFonts w:ascii="Times New Roman" w:hAnsi="Times New Roman" w:cs="Times New Roman"/>
                <w:bCs/>
                <w:color w:val="000000" w:themeColor="text1"/>
                <w:sz w:val="24"/>
                <w:szCs w:val="24"/>
              </w:rPr>
              <w:t>Asociații</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vegetale</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specific</w:t>
            </w:r>
            <w:r w:rsidR="00996581">
              <w:rPr>
                <w:rFonts w:ascii="Times New Roman" w:hAnsi="Times New Roman" w:cs="Times New Roman"/>
                <w:bCs/>
                <w:color w:val="000000" w:themeColor="text1"/>
                <w:sz w:val="24"/>
                <w:szCs w:val="24"/>
              </w:rPr>
              <w:t>e</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habitatului</w:t>
            </w:r>
            <w:proofErr w:type="spellEnd"/>
          </w:p>
        </w:tc>
        <w:tc>
          <w:tcPr>
            <w:tcW w:w="1411" w:type="dxa"/>
          </w:tcPr>
          <w:p w14:paraId="73045509" w14:textId="77777777" w:rsidR="006548C9" w:rsidRDefault="006548C9" w:rsidP="006548C9">
            <w:pPr>
              <w:jc w:val="both"/>
              <w:rPr>
                <w:b/>
                <w:bCs/>
                <w:color w:val="000000" w:themeColor="text1"/>
              </w:rPr>
            </w:pPr>
          </w:p>
        </w:tc>
        <w:tc>
          <w:tcPr>
            <w:tcW w:w="1413" w:type="dxa"/>
          </w:tcPr>
          <w:p w14:paraId="083F2A84" w14:textId="77777777" w:rsidR="006548C9" w:rsidRDefault="006548C9" w:rsidP="006548C9">
            <w:pPr>
              <w:jc w:val="both"/>
              <w:rPr>
                <w:b/>
                <w:bCs/>
                <w:color w:val="000000" w:themeColor="text1"/>
              </w:rPr>
            </w:pPr>
          </w:p>
        </w:tc>
        <w:tc>
          <w:tcPr>
            <w:tcW w:w="1550" w:type="dxa"/>
          </w:tcPr>
          <w:p w14:paraId="7A4EC152" w14:textId="77777777" w:rsidR="006548C9" w:rsidRDefault="006548C9" w:rsidP="006548C9">
            <w:pPr>
              <w:jc w:val="both"/>
              <w:rPr>
                <w:b/>
                <w:bCs/>
                <w:color w:val="000000" w:themeColor="text1"/>
              </w:rPr>
            </w:pPr>
          </w:p>
        </w:tc>
      </w:tr>
      <w:tr w:rsidR="006548C9" w14:paraId="370B9EC2" w14:textId="77777777" w:rsidTr="00FE7B91">
        <w:tc>
          <w:tcPr>
            <w:tcW w:w="5681" w:type="dxa"/>
          </w:tcPr>
          <w:p w14:paraId="60E100B4" w14:textId="77777777" w:rsidR="006548C9" w:rsidRPr="00996581" w:rsidRDefault="00C4278D" w:rsidP="009E63E5">
            <w:pPr>
              <w:pStyle w:val="ListParagraph"/>
              <w:numPr>
                <w:ilvl w:val="0"/>
                <w:numId w:val="181"/>
              </w:numPr>
              <w:jc w:val="both"/>
              <w:rPr>
                <w:rFonts w:ascii="Times New Roman" w:hAnsi="Times New Roman" w:cs="Times New Roman"/>
                <w:bCs/>
                <w:color w:val="000000" w:themeColor="text1"/>
                <w:sz w:val="24"/>
                <w:szCs w:val="24"/>
              </w:rPr>
            </w:pPr>
            <w:proofErr w:type="spellStart"/>
            <w:r w:rsidRPr="00996581">
              <w:rPr>
                <w:rFonts w:ascii="Times New Roman" w:hAnsi="Times New Roman" w:cs="Times New Roman"/>
                <w:bCs/>
                <w:color w:val="000000" w:themeColor="text1"/>
                <w:sz w:val="24"/>
                <w:szCs w:val="24"/>
              </w:rPr>
              <w:t>Gradul</w:t>
            </w:r>
            <w:proofErr w:type="spellEnd"/>
            <w:r w:rsidRPr="00996581">
              <w:rPr>
                <w:rFonts w:ascii="Times New Roman" w:hAnsi="Times New Roman" w:cs="Times New Roman"/>
                <w:bCs/>
                <w:color w:val="000000" w:themeColor="text1"/>
                <w:sz w:val="24"/>
                <w:szCs w:val="24"/>
              </w:rPr>
              <w:t xml:space="preserve"> de </w:t>
            </w:r>
            <w:proofErr w:type="spellStart"/>
            <w:r w:rsidRPr="00996581">
              <w:rPr>
                <w:rFonts w:ascii="Times New Roman" w:hAnsi="Times New Roman" w:cs="Times New Roman"/>
                <w:bCs/>
                <w:color w:val="000000" w:themeColor="text1"/>
                <w:sz w:val="24"/>
                <w:szCs w:val="24"/>
              </w:rPr>
              <w:t>acoperire</w:t>
            </w:r>
            <w:proofErr w:type="spellEnd"/>
            <w:r w:rsidRPr="00996581">
              <w:rPr>
                <w:rFonts w:ascii="Times New Roman" w:hAnsi="Times New Roman" w:cs="Times New Roman"/>
                <w:bCs/>
                <w:color w:val="000000" w:themeColor="text1"/>
                <w:sz w:val="24"/>
                <w:szCs w:val="24"/>
              </w:rPr>
              <w:t xml:space="preserve"> a </w:t>
            </w:r>
            <w:proofErr w:type="spellStart"/>
            <w:r w:rsidRPr="00996581">
              <w:rPr>
                <w:rFonts w:ascii="Times New Roman" w:hAnsi="Times New Roman" w:cs="Times New Roman"/>
                <w:bCs/>
                <w:color w:val="000000" w:themeColor="text1"/>
                <w:sz w:val="24"/>
                <w:szCs w:val="24"/>
              </w:rPr>
              <w:t>vegetației</w:t>
            </w:r>
            <w:proofErr w:type="spellEnd"/>
            <w:r w:rsidR="00FD377C">
              <w:rPr>
                <w:rFonts w:ascii="Times New Roman" w:hAnsi="Times New Roman" w:cs="Times New Roman"/>
                <w:bCs/>
                <w:color w:val="000000" w:themeColor="text1"/>
                <w:sz w:val="24"/>
                <w:szCs w:val="24"/>
              </w:rPr>
              <w:t xml:space="preserve"> (%)</w:t>
            </w:r>
          </w:p>
        </w:tc>
        <w:tc>
          <w:tcPr>
            <w:tcW w:w="1411" w:type="dxa"/>
          </w:tcPr>
          <w:p w14:paraId="32E4E909" w14:textId="77777777" w:rsidR="006548C9" w:rsidRDefault="006548C9" w:rsidP="006548C9">
            <w:pPr>
              <w:jc w:val="both"/>
              <w:rPr>
                <w:b/>
                <w:bCs/>
                <w:color w:val="000000" w:themeColor="text1"/>
              </w:rPr>
            </w:pPr>
          </w:p>
        </w:tc>
        <w:tc>
          <w:tcPr>
            <w:tcW w:w="1413" w:type="dxa"/>
          </w:tcPr>
          <w:p w14:paraId="12CCCA7A" w14:textId="77777777" w:rsidR="006548C9" w:rsidRDefault="006548C9" w:rsidP="006548C9">
            <w:pPr>
              <w:jc w:val="both"/>
              <w:rPr>
                <w:b/>
                <w:bCs/>
                <w:color w:val="000000" w:themeColor="text1"/>
              </w:rPr>
            </w:pPr>
          </w:p>
        </w:tc>
        <w:tc>
          <w:tcPr>
            <w:tcW w:w="1550" w:type="dxa"/>
          </w:tcPr>
          <w:p w14:paraId="55805361" w14:textId="77777777" w:rsidR="006548C9" w:rsidRDefault="006548C9" w:rsidP="006548C9">
            <w:pPr>
              <w:jc w:val="both"/>
              <w:rPr>
                <w:b/>
                <w:bCs/>
                <w:color w:val="000000" w:themeColor="text1"/>
              </w:rPr>
            </w:pPr>
          </w:p>
        </w:tc>
      </w:tr>
      <w:tr w:rsidR="006548C9" w14:paraId="48499BB3" w14:textId="77777777" w:rsidTr="00FE7B91">
        <w:tc>
          <w:tcPr>
            <w:tcW w:w="5681" w:type="dxa"/>
          </w:tcPr>
          <w:p w14:paraId="53D64F3E" w14:textId="77777777" w:rsidR="006548C9" w:rsidRPr="00996581" w:rsidRDefault="00C4278D" w:rsidP="009E63E5">
            <w:pPr>
              <w:pStyle w:val="ListParagraph"/>
              <w:numPr>
                <w:ilvl w:val="0"/>
                <w:numId w:val="181"/>
              </w:numPr>
              <w:jc w:val="both"/>
              <w:rPr>
                <w:rFonts w:ascii="Times New Roman" w:hAnsi="Times New Roman" w:cs="Times New Roman"/>
                <w:bCs/>
                <w:color w:val="000000" w:themeColor="text1"/>
                <w:sz w:val="24"/>
                <w:szCs w:val="24"/>
              </w:rPr>
            </w:pPr>
            <w:proofErr w:type="spellStart"/>
            <w:r w:rsidRPr="00996581">
              <w:rPr>
                <w:rFonts w:ascii="Times New Roman" w:hAnsi="Times New Roman" w:cs="Times New Roman"/>
                <w:bCs/>
                <w:color w:val="000000" w:themeColor="text1"/>
                <w:sz w:val="24"/>
                <w:szCs w:val="24"/>
              </w:rPr>
              <w:t>Aspectul</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vegetației</w:t>
            </w:r>
            <w:proofErr w:type="spellEnd"/>
            <w:r w:rsidRPr="00996581">
              <w:rPr>
                <w:rFonts w:ascii="Times New Roman" w:hAnsi="Times New Roman" w:cs="Times New Roman"/>
                <w:bCs/>
                <w:color w:val="000000" w:themeColor="text1"/>
                <w:sz w:val="24"/>
                <w:szCs w:val="24"/>
              </w:rPr>
              <w:t xml:space="preserve"> </w:t>
            </w:r>
            <w:r w:rsidR="00FD377C">
              <w:rPr>
                <w:rFonts w:ascii="Times New Roman" w:hAnsi="Times New Roman" w:cs="Times New Roman"/>
                <w:bCs/>
                <w:color w:val="000000" w:themeColor="text1"/>
                <w:sz w:val="24"/>
                <w:szCs w:val="24"/>
              </w:rPr>
              <w:t>(</w:t>
            </w:r>
            <w:proofErr w:type="spellStart"/>
            <w:r w:rsidRPr="00996581">
              <w:rPr>
                <w:rFonts w:ascii="Times New Roman" w:hAnsi="Times New Roman" w:cs="Times New Roman"/>
                <w:bCs/>
                <w:color w:val="000000" w:themeColor="text1"/>
                <w:sz w:val="24"/>
                <w:szCs w:val="24"/>
              </w:rPr>
              <w:t>omogen</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heterogen</w:t>
            </w:r>
            <w:proofErr w:type="spellEnd"/>
            <w:r w:rsidR="00FD377C">
              <w:rPr>
                <w:rFonts w:ascii="Times New Roman" w:hAnsi="Times New Roman" w:cs="Times New Roman"/>
                <w:bCs/>
                <w:color w:val="000000" w:themeColor="text1"/>
                <w:sz w:val="24"/>
                <w:szCs w:val="24"/>
              </w:rPr>
              <w:t>)</w:t>
            </w:r>
          </w:p>
        </w:tc>
        <w:tc>
          <w:tcPr>
            <w:tcW w:w="1411" w:type="dxa"/>
          </w:tcPr>
          <w:p w14:paraId="5FAAE466" w14:textId="77777777" w:rsidR="006548C9" w:rsidRDefault="006548C9" w:rsidP="006548C9">
            <w:pPr>
              <w:jc w:val="both"/>
              <w:rPr>
                <w:b/>
                <w:bCs/>
                <w:color w:val="000000" w:themeColor="text1"/>
              </w:rPr>
            </w:pPr>
          </w:p>
        </w:tc>
        <w:tc>
          <w:tcPr>
            <w:tcW w:w="1413" w:type="dxa"/>
          </w:tcPr>
          <w:p w14:paraId="3A0905F4" w14:textId="77777777" w:rsidR="006548C9" w:rsidRDefault="006548C9" w:rsidP="006548C9">
            <w:pPr>
              <w:jc w:val="both"/>
              <w:rPr>
                <w:b/>
                <w:bCs/>
                <w:color w:val="000000" w:themeColor="text1"/>
              </w:rPr>
            </w:pPr>
          </w:p>
        </w:tc>
        <w:tc>
          <w:tcPr>
            <w:tcW w:w="1550" w:type="dxa"/>
          </w:tcPr>
          <w:p w14:paraId="073646DF" w14:textId="77777777" w:rsidR="006548C9" w:rsidRDefault="006548C9" w:rsidP="006548C9">
            <w:pPr>
              <w:jc w:val="both"/>
              <w:rPr>
                <w:b/>
                <w:bCs/>
                <w:color w:val="000000" w:themeColor="text1"/>
              </w:rPr>
            </w:pPr>
          </w:p>
        </w:tc>
      </w:tr>
      <w:tr w:rsidR="006548C9" w14:paraId="6FABDEE2" w14:textId="77777777" w:rsidTr="00FE7B91">
        <w:tc>
          <w:tcPr>
            <w:tcW w:w="5681" w:type="dxa"/>
          </w:tcPr>
          <w:p w14:paraId="4AE6EED4" w14:textId="77777777" w:rsidR="006548C9" w:rsidRPr="00996581" w:rsidRDefault="00C4278D" w:rsidP="009E63E5">
            <w:pPr>
              <w:pStyle w:val="ListParagraph"/>
              <w:numPr>
                <w:ilvl w:val="0"/>
                <w:numId w:val="181"/>
              </w:numPr>
              <w:jc w:val="both"/>
              <w:rPr>
                <w:rFonts w:ascii="Times New Roman" w:hAnsi="Times New Roman" w:cs="Times New Roman"/>
                <w:bCs/>
                <w:color w:val="000000" w:themeColor="text1"/>
                <w:sz w:val="24"/>
                <w:szCs w:val="24"/>
              </w:rPr>
            </w:pPr>
            <w:proofErr w:type="spellStart"/>
            <w:r w:rsidRPr="00996581">
              <w:rPr>
                <w:rFonts w:ascii="Times New Roman" w:hAnsi="Times New Roman" w:cs="Times New Roman"/>
                <w:bCs/>
                <w:color w:val="000000" w:themeColor="text1"/>
                <w:sz w:val="24"/>
                <w:szCs w:val="24"/>
              </w:rPr>
              <w:t>Specii</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caracteristice</w:t>
            </w:r>
            <w:proofErr w:type="spellEnd"/>
            <w:r w:rsidRPr="00996581">
              <w:rPr>
                <w:rFonts w:ascii="Times New Roman" w:hAnsi="Times New Roman" w:cs="Times New Roman"/>
                <w:bCs/>
                <w:color w:val="000000" w:themeColor="text1"/>
                <w:sz w:val="24"/>
                <w:szCs w:val="24"/>
              </w:rPr>
              <w:t xml:space="preserve"> </w:t>
            </w:r>
            <w:r w:rsidR="00FD377C">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dominante</w:t>
            </w:r>
            <w:proofErr w:type="spellEnd"/>
          </w:p>
        </w:tc>
        <w:tc>
          <w:tcPr>
            <w:tcW w:w="1411" w:type="dxa"/>
          </w:tcPr>
          <w:p w14:paraId="18651BD3" w14:textId="77777777" w:rsidR="006548C9" w:rsidRDefault="006548C9" w:rsidP="006548C9">
            <w:pPr>
              <w:jc w:val="both"/>
              <w:rPr>
                <w:b/>
                <w:bCs/>
                <w:color w:val="000000" w:themeColor="text1"/>
              </w:rPr>
            </w:pPr>
          </w:p>
        </w:tc>
        <w:tc>
          <w:tcPr>
            <w:tcW w:w="1413" w:type="dxa"/>
          </w:tcPr>
          <w:p w14:paraId="79E93B33" w14:textId="77777777" w:rsidR="006548C9" w:rsidRDefault="006548C9" w:rsidP="006548C9">
            <w:pPr>
              <w:jc w:val="both"/>
              <w:rPr>
                <w:b/>
                <w:bCs/>
                <w:color w:val="000000" w:themeColor="text1"/>
              </w:rPr>
            </w:pPr>
          </w:p>
        </w:tc>
        <w:tc>
          <w:tcPr>
            <w:tcW w:w="1550" w:type="dxa"/>
          </w:tcPr>
          <w:p w14:paraId="039113A9" w14:textId="77777777" w:rsidR="006548C9" w:rsidRDefault="006548C9" w:rsidP="006548C9">
            <w:pPr>
              <w:jc w:val="both"/>
              <w:rPr>
                <w:b/>
                <w:bCs/>
                <w:color w:val="000000" w:themeColor="text1"/>
              </w:rPr>
            </w:pPr>
          </w:p>
        </w:tc>
      </w:tr>
      <w:tr w:rsidR="00C4278D" w14:paraId="457D4B92" w14:textId="77777777" w:rsidTr="00FE7B91">
        <w:tc>
          <w:tcPr>
            <w:tcW w:w="5681" w:type="dxa"/>
          </w:tcPr>
          <w:p w14:paraId="2F926F8D" w14:textId="77777777" w:rsidR="00C4278D" w:rsidRPr="00996581" w:rsidRDefault="00C4278D" w:rsidP="009E63E5">
            <w:pPr>
              <w:pStyle w:val="ListParagraph"/>
              <w:numPr>
                <w:ilvl w:val="0"/>
                <w:numId w:val="181"/>
              </w:numPr>
              <w:jc w:val="both"/>
              <w:rPr>
                <w:rFonts w:ascii="Times New Roman" w:hAnsi="Times New Roman" w:cs="Times New Roman"/>
                <w:bCs/>
                <w:color w:val="000000" w:themeColor="text1"/>
                <w:sz w:val="24"/>
                <w:szCs w:val="24"/>
              </w:rPr>
            </w:pPr>
            <w:proofErr w:type="spellStart"/>
            <w:r w:rsidRPr="00996581">
              <w:rPr>
                <w:rFonts w:ascii="Times New Roman" w:hAnsi="Times New Roman" w:cs="Times New Roman"/>
                <w:bCs/>
                <w:color w:val="000000" w:themeColor="text1"/>
                <w:sz w:val="24"/>
                <w:szCs w:val="24"/>
              </w:rPr>
              <w:t>Specii</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însoțitoare</w:t>
            </w:r>
            <w:proofErr w:type="spellEnd"/>
          </w:p>
        </w:tc>
        <w:tc>
          <w:tcPr>
            <w:tcW w:w="1411" w:type="dxa"/>
          </w:tcPr>
          <w:p w14:paraId="1FCE39FC" w14:textId="77777777" w:rsidR="00C4278D" w:rsidRDefault="00C4278D" w:rsidP="006548C9">
            <w:pPr>
              <w:jc w:val="both"/>
              <w:rPr>
                <w:b/>
                <w:bCs/>
                <w:color w:val="000000" w:themeColor="text1"/>
              </w:rPr>
            </w:pPr>
          </w:p>
        </w:tc>
        <w:tc>
          <w:tcPr>
            <w:tcW w:w="1413" w:type="dxa"/>
          </w:tcPr>
          <w:p w14:paraId="45933025" w14:textId="77777777" w:rsidR="00C4278D" w:rsidRDefault="00C4278D" w:rsidP="006548C9">
            <w:pPr>
              <w:jc w:val="both"/>
              <w:rPr>
                <w:b/>
                <w:bCs/>
                <w:color w:val="000000" w:themeColor="text1"/>
              </w:rPr>
            </w:pPr>
          </w:p>
        </w:tc>
        <w:tc>
          <w:tcPr>
            <w:tcW w:w="1550" w:type="dxa"/>
          </w:tcPr>
          <w:p w14:paraId="3AAACCBD" w14:textId="77777777" w:rsidR="00C4278D" w:rsidRDefault="00C4278D" w:rsidP="006548C9">
            <w:pPr>
              <w:jc w:val="both"/>
              <w:rPr>
                <w:b/>
                <w:bCs/>
                <w:color w:val="000000" w:themeColor="text1"/>
              </w:rPr>
            </w:pPr>
          </w:p>
        </w:tc>
      </w:tr>
      <w:tr w:rsidR="00C4278D" w14:paraId="6F839E73" w14:textId="77777777" w:rsidTr="00FE7B91">
        <w:tc>
          <w:tcPr>
            <w:tcW w:w="5681" w:type="dxa"/>
          </w:tcPr>
          <w:p w14:paraId="72C902DE" w14:textId="77777777" w:rsidR="00C4278D" w:rsidRPr="00996581" w:rsidRDefault="00996581" w:rsidP="009E63E5">
            <w:pPr>
              <w:pStyle w:val="ListParagraph"/>
              <w:numPr>
                <w:ilvl w:val="0"/>
                <w:numId w:val="181"/>
              </w:numPr>
              <w:jc w:val="both"/>
              <w:rPr>
                <w:rFonts w:ascii="Times New Roman" w:hAnsi="Times New Roman" w:cs="Times New Roman"/>
                <w:bCs/>
                <w:color w:val="000000" w:themeColor="text1"/>
                <w:sz w:val="24"/>
                <w:szCs w:val="24"/>
              </w:rPr>
            </w:pPr>
            <w:proofErr w:type="spellStart"/>
            <w:r w:rsidRPr="00996581">
              <w:rPr>
                <w:rFonts w:ascii="Times New Roman" w:hAnsi="Times New Roman" w:cs="Times New Roman"/>
                <w:bCs/>
                <w:color w:val="000000" w:themeColor="text1"/>
                <w:sz w:val="24"/>
                <w:szCs w:val="24"/>
              </w:rPr>
              <w:t>Specii</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accidentale</w:t>
            </w:r>
            <w:proofErr w:type="spellEnd"/>
          </w:p>
        </w:tc>
        <w:tc>
          <w:tcPr>
            <w:tcW w:w="1411" w:type="dxa"/>
          </w:tcPr>
          <w:p w14:paraId="247FEEE5" w14:textId="77777777" w:rsidR="00C4278D" w:rsidRDefault="00C4278D" w:rsidP="006548C9">
            <w:pPr>
              <w:jc w:val="both"/>
              <w:rPr>
                <w:b/>
                <w:bCs/>
                <w:color w:val="000000" w:themeColor="text1"/>
              </w:rPr>
            </w:pPr>
          </w:p>
        </w:tc>
        <w:tc>
          <w:tcPr>
            <w:tcW w:w="1413" w:type="dxa"/>
          </w:tcPr>
          <w:p w14:paraId="5AFC7E90" w14:textId="77777777" w:rsidR="00C4278D" w:rsidRDefault="00C4278D" w:rsidP="006548C9">
            <w:pPr>
              <w:jc w:val="both"/>
              <w:rPr>
                <w:b/>
                <w:bCs/>
                <w:color w:val="000000" w:themeColor="text1"/>
              </w:rPr>
            </w:pPr>
          </w:p>
        </w:tc>
        <w:tc>
          <w:tcPr>
            <w:tcW w:w="1550" w:type="dxa"/>
          </w:tcPr>
          <w:p w14:paraId="23903D12" w14:textId="77777777" w:rsidR="00C4278D" w:rsidRDefault="00C4278D" w:rsidP="006548C9">
            <w:pPr>
              <w:jc w:val="both"/>
              <w:rPr>
                <w:b/>
                <w:bCs/>
                <w:color w:val="000000" w:themeColor="text1"/>
              </w:rPr>
            </w:pPr>
          </w:p>
        </w:tc>
      </w:tr>
      <w:tr w:rsidR="006548C9" w14:paraId="32302270" w14:textId="77777777" w:rsidTr="00FE7B91">
        <w:tc>
          <w:tcPr>
            <w:tcW w:w="5681" w:type="dxa"/>
          </w:tcPr>
          <w:p w14:paraId="2762837C" w14:textId="77777777" w:rsidR="006548C9" w:rsidRPr="00996581" w:rsidRDefault="00996581" w:rsidP="009E63E5">
            <w:pPr>
              <w:pStyle w:val="ListParagraph"/>
              <w:numPr>
                <w:ilvl w:val="0"/>
                <w:numId w:val="181"/>
              </w:numPr>
              <w:jc w:val="both"/>
              <w:rPr>
                <w:rFonts w:ascii="Times New Roman" w:hAnsi="Times New Roman" w:cs="Times New Roman"/>
                <w:bCs/>
                <w:color w:val="000000" w:themeColor="text1"/>
                <w:sz w:val="24"/>
                <w:szCs w:val="24"/>
              </w:rPr>
            </w:pPr>
            <w:proofErr w:type="spellStart"/>
            <w:r w:rsidRPr="00996581">
              <w:rPr>
                <w:rFonts w:ascii="Times New Roman" w:hAnsi="Times New Roman" w:cs="Times New Roman"/>
                <w:bCs/>
                <w:color w:val="000000" w:themeColor="text1"/>
                <w:sz w:val="24"/>
                <w:szCs w:val="24"/>
              </w:rPr>
              <w:t>Specii</w:t>
            </w:r>
            <w:proofErr w:type="spellEnd"/>
            <w:r w:rsidRPr="00996581">
              <w:rPr>
                <w:rFonts w:ascii="Times New Roman" w:hAnsi="Times New Roman" w:cs="Times New Roman"/>
                <w:bCs/>
                <w:color w:val="000000" w:themeColor="text1"/>
                <w:sz w:val="24"/>
                <w:szCs w:val="24"/>
              </w:rPr>
              <w:t xml:space="preserve"> rare </w:t>
            </w:r>
            <w:proofErr w:type="spellStart"/>
            <w:r w:rsidRPr="00996581">
              <w:rPr>
                <w:rFonts w:ascii="Times New Roman" w:hAnsi="Times New Roman" w:cs="Times New Roman"/>
                <w:bCs/>
                <w:color w:val="000000" w:themeColor="text1"/>
                <w:sz w:val="24"/>
                <w:szCs w:val="24"/>
              </w:rPr>
              <w:t>și</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periclitate</w:t>
            </w:r>
            <w:proofErr w:type="spellEnd"/>
          </w:p>
        </w:tc>
        <w:tc>
          <w:tcPr>
            <w:tcW w:w="1411" w:type="dxa"/>
          </w:tcPr>
          <w:p w14:paraId="095B007F" w14:textId="77777777" w:rsidR="006548C9" w:rsidRDefault="006548C9" w:rsidP="006548C9">
            <w:pPr>
              <w:jc w:val="both"/>
              <w:rPr>
                <w:b/>
                <w:bCs/>
                <w:color w:val="000000" w:themeColor="text1"/>
              </w:rPr>
            </w:pPr>
          </w:p>
        </w:tc>
        <w:tc>
          <w:tcPr>
            <w:tcW w:w="1413" w:type="dxa"/>
          </w:tcPr>
          <w:p w14:paraId="032EB074" w14:textId="77777777" w:rsidR="006548C9" w:rsidRDefault="006548C9" w:rsidP="006548C9">
            <w:pPr>
              <w:jc w:val="both"/>
              <w:rPr>
                <w:b/>
                <w:bCs/>
                <w:color w:val="000000" w:themeColor="text1"/>
              </w:rPr>
            </w:pPr>
          </w:p>
        </w:tc>
        <w:tc>
          <w:tcPr>
            <w:tcW w:w="1550" w:type="dxa"/>
          </w:tcPr>
          <w:p w14:paraId="3133FAFA" w14:textId="77777777" w:rsidR="006548C9" w:rsidRDefault="006548C9" w:rsidP="006548C9">
            <w:pPr>
              <w:jc w:val="both"/>
              <w:rPr>
                <w:b/>
                <w:bCs/>
                <w:color w:val="000000" w:themeColor="text1"/>
              </w:rPr>
            </w:pPr>
          </w:p>
        </w:tc>
      </w:tr>
      <w:tr w:rsidR="00C4278D" w14:paraId="2D340EEB" w14:textId="77777777" w:rsidTr="00FE7B91">
        <w:tc>
          <w:tcPr>
            <w:tcW w:w="5681" w:type="dxa"/>
          </w:tcPr>
          <w:p w14:paraId="7BA5F674" w14:textId="77777777" w:rsidR="00C4278D" w:rsidRPr="00996581" w:rsidRDefault="00996581" w:rsidP="009E63E5">
            <w:pPr>
              <w:pStyle w:val="ListParagraph"/>
              <w:numPr>
                <w:ilvl w:val="0"/>
                <w:numId w:val="181"/>
              </w:numPr>
              <w:jc w:val="both"/>
              <w:rPr>
                <w:rFonts w:ascii="Times New Roman" w:hAnsi="Times New Roman" w:cs="Times New Roman"/>
                <w:bCs/>
                <w:color w:val="000000" w:themeColor="text1"/>
                <w:sz w:val="24"/>
                <w:szCs w:val="24"/>
              </w:rPr>
            </w:pPr>
            <w:r w:rsidRPr="00996581">
              <w:rPr>
                <w:rFonts w:ascii="Times New Roman" w:hAnsi="Times New Roman" w:cs="Times New Roman"/>
                <w:bCs/>
                <w:color w:val="000000" w:themeColor="text1"/>
                <w:sz w:val="24"/>
                <w:szCs w:val="24"/>
              </w:rPr>
              <w:t xml:space="preserve">Alte </w:t>
            </w:r>
            <w:proofErr w:type="spellStart"/>
            <w:r w:rsidRPr="00996581">
              <w:rPr>
                <w:rFonts w:ascii="Times New Roman" w:hAnsi="Times New Roman" w:cs="Times New Roman"/>
                <w:bCs/>
                <w:color w:val="000000" w:themeColor="text1"/>
                <w:sz w:val="24"/>
                <w:szCs w:val="24"/>
              </w:rPr>
              <w:t>specii</w:t>
            </w:r>
            <w:proofErr w:type="spellEnd"/>
            <w:r w:rsidRPr="00996581">
              <w:rPr>
                <w:rFonts w:ascii="Times New Roman" w:hAnsi="Times New Roman" w:cs="Times New Roman"/>
                <w:bCs/>
                <w:color w:val="000000" w:themeColor="text1"/>
                <w:sz w:val="24"/>
                <w:szCs w:val="24"/>
              </w:rPr>
              <w:t xml:space="preserve"> (sp. </w:t>
            </w:r>
            <w:proofErr w:type="spellStart"/>
            <w:r w:rsidRPr="00996581">
              <w:rPr>
                <w:rFonts w:ascii="Times New Roman" w:hAnsi="Times New Roman" w:cs="Times New Roman"/>
                <w:bCs/>
                <w:color w:val="000000" w:themeColor="text1"/>
                <w:sz w:val="24"/>
                <w:szCs w:val="24"/>
              </w:rPr>
              <w:t>alohtone</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invazive</w:t>
            </w:r>
            <w:proofErr w:type="spellEnd"/>
            <w:r w:rsidRPr="00996581">
              <w:rPr>
                <w:rFonts w:ascii="Times New Roman" w:hAnsi="Times New Roman" w:cs="Times New Roman"/>
                <w:bCs/>
                <w:color w:val="000000" w:themeColor="text1"/>
                <w:sz w:val="24"/>
                <w:szCs w:val="24"/>
              </w:rPr>
              <w:t>)</w:t>
            </w:r>
          </w:p>
        </w:tc>
        <w:tc>
          <w:tcPr>
            <w:tcW w:w="1411" w:type="dxa"/>
          </w:tcPr>
          <w:p w14:paraId="28ECC331" w14:textId="77777777" w:rsidR="00C4278D" w:rsidRDefault="00C4278D" w:rsidP="006548C9">
            <w:pPr>
              <w:jc w:val="both"/>
              <w:rPr>
                <w:b/>
                <w:bCs/>
                <w:color w:val="000000" w:themeColor="text1"/>
              </w:rPr>
            </w:pPr>
          </w:p>
        </w:tc>
        <w:tc>
          <w:tcPr>
            <w:tcW w:w="1413" w:type="dxa"/>
          </w:tcPr>
          <w:p w14:paraId="1E08FCCE" w14:textId="77777777" w:rsidR="00C4278D" w:rsidRDefault="00C4278D" w:rsidP="006548C9">
            <w:pPr>
              <w:jc w:val="both"/>
              <w:rPr>
                <w:b/>
                <w:bCs/>
                <w:color w:val="000000" w:themeColor="text1"/>
              </w:rPr>
            </w:pPr>
          </w:p>
        </w:tc>
        <w:tc>
          <w:tcPr>
            <w:tcW w:w="1550" w:type="dxa"/>
          </w:tcPr>
          <w:p w14:paraId="59D721AF" w14:textId="77777777" w:rsidR="00C4278D" w:rsidRDefault="00C4278D" w:rsidP="006548C9">
            <w:pPr>
              <w:jc w:val="both"/>
              <w:rPr>
                <w:b/>
                <w:bCs/>
                <w:color w:val="000000" w:themeColor="text1"/>
              </w:rPr>
            </w:pPr>
          </w:p>
        </w:tc>
      </w:tr>
      <w:tr w:rsidR="00FE7B91" w14:paraId="720CB9A3" w14:textId="77777777" w:rsidTr="00FE7B91">
        <w:trPr>
          <w:trHeight w:val="285"/>
        </w:trPr>
        <w:tc>
          <w:tcPr>
            <w:tcW w:w="5681" w:type="dxa"/>
            <w:vMerge w:val="restart"/>
          </w:tcPr>
          <w:p w14:paraId="412D06C4" w14:textId="77777777" w:rsidR="00FE7B91" w:rsidRDefault="00FE7B91" w:rsidP="00FE7B91">
            <w:pPr>
              <w:jc w:val="both"/>
              <w:rPr>
                <w:bCs/>
                <w:color w:val="000000" w:themeColor="text1"/>
              </w:rPr>
            </w:pPr>
          </w:p>
          <w:p w14:paraId="77696C49" w14:textId="77777777" w:rsidR="00FE7B91" w:rsidRPr="00FE7B91" w:rsidRDefault="00FE7B91" w:rsidP="00FE7B91">
            <w:pPr>
              <w:jc w:val="both"/>
              <w:rPr>
                <w:bCs/>
                <w:color w:val="000000" w:themeColor="text1"/>
              </w:rPr>
            </w:pPr>
          </w:p>
          <w:p w14:paraId="226C199E" w14:textId="77777777" w:rsidR="00FE7B91" w:rsidRPr="00996581" w:rsidRDefault="00FE7B91" w:rsidP="009E63E5">
            <w:pPr>
              <w:pStyle w:val="ListParagraph"/>
              <w:numPr>
                <w:ilvl w:val="0"/>
                <w:numId w:val="181"/>
              </w:numPr>
              <w:jc w:val="both"/>
              <w:rPr>
                <w:rFonts w:ascii="Times New Roman" w:hAnsi="Times New Roman" w:cs="Times New Roman"/>
                <w:bCs/>
                <w:color w:val="000000" w:themeColor="text1"/>
                <w:sz w:val="24"/>
                <w:szCs w:val="24"/>
              </w:rPr>
            </w:pPr>
            <w:proofErr w:type="spellStart"/>
            <w:r w:rsidRPr="00996581">
              <w:rPr>
                <w:rFonts w:ascii="Times New Roman" w:hAnsi="Times New Roman" w:cs="Times New Roman"/>
                <w:bCs/>
                <w:color w:val="000000" w:themeColor="text1"/>
                <w:sz w:val="24"/>
                <w:szCs w:val="24"/>
              </w:rPr>
              <w:t>Starea</w:t>
            </w:r>
            <w:proofErr w:type="spellEnd"/>
            <w:r w:rsidRPr="00996581">
              <w:rPr>
                <w:rFonts w:ascii="Times New Roman" w:hAnsi="Times New Roman" w:cs="Times New Roman"/>
                <w:bCs/>
                <w:color w:val="000000" w:themeColor="text1"/>
                <w:sz w:val="24"/>
                <w:szCs w:val="24"/>
              </w:rPr>
              <w:t xml:space="preserve"> de </w:t>
            </w:r>
            <w:proofErr w:type="spellStart"/>
            <w:r w:rsidRPr="00996581">
              <w:rPr>
                <w:rFonts w:ascii="Times New Roman" w:hAnsi="Times New Roman" w:cs="Times New Roman"/>
                <w:bCs/>
                <w:color w:val="000000" w:themeColor="text1"/>
                <w:sz w:val="24"/>
                <w:szCs w:val="24"/>
              </w:rPr>
              <w:t>conservare</w:t>
            </w:r>
            <w:proofErr w:type="spellEnd"/>
            <w:r w:rsidRPr="00996581">
              <w:rPr>
                <w:rFonts w:ascii="Times New Roman" w:hAnsi="Times New Roman" w:cs="Times New Roman"/>
                <w:bCs/>
                <w:color w:val="000000" w:themeColor="text1"/>
                <w:sz w:val="24"/>
                <w:szCs w:val="24"/>
              </w:rPr>
              <w:t xml:space="preserve"> a </w:t>
            </w:r>
            <w:proofErr w:type="spellStart"/>
            <w:r w:rsidRPr="00996581">
              <w:rPr>
                <w:rFonts w:ascii="Times New Roman" w:hAnsi="Times New Roman" w:cs="Times New Roman"/>
                <w:bCs/>
                <w:color w:val="000000" w:themeColor="text1"/>
                <w:sz w:val="24"/>
                <w:szCs w:val="24"/>
              </w:rPr>
              <w:t>habitatului</w:t>
            </w:r>
            <w:proofErr w:type="spellEnd"/>
          </w:p>
        </w:tc>
        <w:tc>
          <w:tcPr>
            <w:tcW w:w="1411" w:type="dxa"/>
          </w:tcPr>
          <w:p w14:paraId="281F87DC" w14:textId="77777777" w:rsidR="00FE7B91" w:rsidRPr="00FE7B91" w:rsidRDefault="00FE7B91" w:rsidP="006548C9">
            <w:pPr>
              <w:jc w:val="both"/>
              <w:rPr>
                <w:bCs/>
                <w:color w:val="000000" w:themeColor="text1"/>
              </w:rPr>
            </w:pPr>
            <w:r w:rsidRPr="00FE7B91">
              <w:rPr>
                <w:bCs/>
                <w:color w:val="000000" w:themeColor="text1"/>
              </w:rPr>
              <w:t>Favorabilă</w:t>
            </w:r>
          </w:p>
        </w:tc>
        <w:tc>
          <w:tcPr>
            <w:tcW w:w="1413" w:type="dxa"/>
          </w:tcPr>
          <w:p w14:paraId="5CABC502" w14:textId="77777777" w:rsidR="00FE7B91" w:rsidRPr="00FE7B91" w:rsidRDefault="00FE7B91" w:rsidP="006548C9">
            <w:pPr>
              <w:jc w:val="both"/>
              <w:rPr>
                <w:bCs/>
                <w:color w:val="000000" w:themeColor="text1"/>
              </w:rPr>
            </w:pPr>
            <w:r w:rsidRPr="00FE7B91">
              <w:rPr>
                <w:bCs/>
                <w:color w:val="000000" w:themeColor="text1"/>
              </w:rPr>
              <w:t>Inadecvată</w:t>
            </w:r>
          </w:p>
        </w:tc>
        <w:tc>
          <w:tcPr>
            <w:tcW w:w="1550" w:type="dxa"/>
          </w:tcPr>
          <w:p w14:paraId="44B1BF82" w14:textId="77777777" w:rsidR="00FE7B91" w:rsidRPr="00FE7B91" w:rsidRDefault="00FE7B91" w:rsidP="006548C9">
            <w:pPr>
              <w:jc w:val="both"/>
              <w:rPr>
                <w:bCs/>
                <w:color w:val="000000" w:themeColor="text1"/>
              </w:rPr>
            </w:pPr>
            <w:r w:rsidRPr="00FE7B91">
              <w:rPr>
                <w:bCs/>
                <w:color w:val="000000" w:themeColor="text1"/>
              </w:rPr>
              <w:t>Nefavorabilă</w:t>
            </w:r>
          </w:p>
        </w:tc>
      </w:tr>
      <w:tr w:rsidR="00FE7B91" w14:paraId="18D5EFBF" w14:textId="77777777" w:rsidTr="00FE7B91">
        <w:trPr>
          <w:trHeight w:val="330"/>
        </w:trPr>
        <w:tc>
          <w:tcPr>
            <w:tcW w:w="5681" w:type="dxa"/>
            <w:vMerge/>
          </w:tcPr>
          <w:p w14:paraId="6D3A9321" w14:textId="77777777" w:rsidR="00FE7B91" w:rsidRPr="00996581" w:rsidRDefault="00FE7B91" w:rsidP="009E63E5">
            <w:pPr>
              <w:pStyle w:val="ListParagraph"/>
              <w:numPr>
                <w:ilvl w:val="0"/>
                <w:numId w:val="181"/>
              </w:numPr>
              <w:jc w:val="both"/>
              <w:rPr>
                <w:rFonts w:ascii="Times New Roman" w:hAnsi="Times New Roman" w:cs="Times New Roman"/>
                <w:bCs/>
                <w:color w:val="000000" w:themeColor="text1"/>
                <w:sz w:val="24"/>
                <w:szCs w:val="24"/>
              </w:rPr>
            </w:pPr>
          </w:p>
        </w:tc>
        <w:tc>
          <w:tcPr>
            <w:tcW w:w="1411" w:type="dxa"/>
          </w:tcPr>
          <w:p w14:paraId="7B2B4EFF" w14:textId="77777777" w:rsidR="00FE7B91" w:rsidRPr="00FE7B91" w:rsidRDefault="00FE7B91" w:rsidP="006548C9">
            <w:pPr>
              <w:jc w:val="both"/>
              <w:rPr>
                <w:bCs/>
                <w:color w:val="000000" w:themeColor="text1"/>
              </w:rPr>
            </w:pPr>
          </w:p>
        </w:tc>
        <w:tc>
          <w:tcPr>
            <w:tcW w:w="1413" w:type="dxa"/>
          </w:tcPr>
          <w:p w14:paraId="47829023" w14:textId="77777777" w:rsidR="00FE7B91" w:rsidRPr="00FE7B91" w:rsidRDefault="00FE7B91" w:rsidP="006548C9">
            <w:pPr>
              <w:jc w:val="both"/>
              <w:rPr>
                <w:bCs/>
                <w:color w:val="000000" w:themeColor="text1"/>
              </w:rPr>
            </w:pPr>
          </w:p>
        </w:tc>
        <w:tc>
          <w:tcPr>
            <w:tcW w:w="1550" w:type="dxa"/>
          </w:tcPr>
          <w:p w14:paraId="76E06029" w14:textId="77777777" w:rsidR="00FE7B91" w:rsidRPr="00FE7B91" w:rsidRDefault="00FE7B91" w:rsidP="006548C9">
            <w:pPr>
              <w:jc w:val="both"/>
              <w:rPr>
                <w:bCs/>
                <w:color w:val="000000" w:themeColor="text1"/>
              </w:rPr>
            </w:pPr>
          </w:p>
        </w:tc>
      </w:tr>
      <w:tr w:rsidR="00FE7B91" w14:paraId="4AA43B8D" w14:textId="77777777" w:rsidTr="00FE7B91">
        <w:trPr>
          <w:trHeight w:val="378"/>
        </w:trPr>
        <w:tc>
          <w:tcPr>
            <w:tcW w:w="5681" w:type="dxa"/>
            <w:vMerge/>
          </w:tcPr>
          <w:p w14:paraId="625B26C3" w14:textId="77777777" w:rsidR="00FE7B91" w:rsidRPr="00996581" w:rsidRDefault="00FE7B91" w:rsidP="009E63E5">
            <w:pPr>
              <w:pStyle w:val="ListParagraph"/>
              <w:numPr>
                <w:ilvl w:val="0"/>
                <w:numId w:val="181"/>
              </w:numPr>
              <w:jc w:val="both"/>
              <w:rPr>
                <w:rFonts w:ascii="Times New Roman" w:hAnsi="Times New Roman" w:cs="Times New Roman"/>
                <w:bCs/>
                <w:color w:val="000000" w:themeColor="text1"/>
                <w:sz w:val="24"/>
                <w:szCs w:val="24"/>
              </w:rPr>
            </w:pPr>
          </w:p>
        </w:tc>
        <w:tc>
          <w:tcPr>
            <w:tcW w:w="1411" w:type="dxa"/>
          </w:tcPr>
          <w:p w14:paraId="5DEADF67" w14:textId="77777777" w:rsidR="00FE7B91" w:rsidRPr="00FE7B91" w:rsidRDefault="00FE7B91" w:rsidP="00FE7B91">
            <w:pPr>
              <w:jc w:val="both"/>
              <w:rPr>
                <w:bCs/>
                <w:color w:val="000000" w:themeColor="text1"/>
              </w:rPr>
            </w:pPr>
            <w:r w:rsidRPr="00FE7B91">
              <w:rPr>
                <w:bCs/>
                <w:color w:val="000000" w:themeColor="text1"/>
              </w:rPr>
              <w:t>Îmbunătățit</w:t>
            </w:r>
          </w:p>
        </w:tc>
        <w:tc>
          <w:tcPr>
            <w:tcW w:w="1413" w:type="dxa"/>
          </w:tcPr>
          <w:p w14:paraId="16896716" w14:textId="77777777" w:rsidR="00FE7B91" w:rsidRPr="00FE7B91" w:rsidRDefault="00FE7B91" w:rsidP="006548C9">
            <w:pPr>
              <w:jc w:val="both"/>
              <w:rPr>
                <w:bCs/>
                <w:color w:val="000000" w:themeColor="text1"/>
              </w:rPr>
            </w:pPr>
            <w:r w:rsidRPr="00FE7B91">
              <w:rPr>
                <w:bCs/>
                <w:color w:val="000000" w:themeColor="text1"/>
              </w:rPr>
              <w:t>Stabil</w:t>
            </w:r>
          </w:p>
        </w:tc>
        <w:tc>
          <w:tcPr>
            <w:tcW w:w="1550" w:type="dxa"/>
          </w:tcPr>
          <w:p w14:paraId="3044635A" w14:textId="77777777" w:rsidR="00FE7B91" w:rsidRPr="00FE7B91" w:rsidRDefault="00FE7B91" w:rsidP="006548C9">
            <w:pPr>
              <w:jc w:val="both"/>
              <w:rPr>
                <w:bCs/>
                <w:color w:val="000000" w:themeColor="text1"/>
              </w:rPr>
            </w:pPr>
            <w:r w:rsidRPr="00FE7B91">
              <w:rPr>
                <w:bCs/>
                <w:color w:val="000000" w:themeColor="text1"/>
              </w:rPr>
              <w:t>Deteriorat</w:t>
            </w:r>
          </w:p>
        </w:tc>
      </w:tr>
      <w:tr w:rsidR="00FE7B91" w14:paraId="3CA79F4B" w14:textId="77777777" w:rsidTr="00FE7B91">
        <w:trPr>
          <w:trHeight w:val="435"/>
        </w:trPr>
        <w:tc>
          <w:tcPr>
            <w:tcW w:w="5681" w:type="dxa"/>
            <w:vMerge/>
          </w:tcPr>
          <w:p w14:paraId="198D717B" w14:textId="77777777" w:rsidR="00FE7B91" w:rsidRPr="00996581" w:rsidRDefault="00FE7B91" w:rsidP="009E63E5">
            <w:pPr>
              <w:pStyle w:val="ListParagraph"/>
              <w:numPr>
                <w:ilvl w:val="0"/>
                <w:numId w:val="181"/>
              </w:numPr>
              <w:jc w:val="both"/>
              <w:rPr>
                <w:rFonts w:ascii="Times New Roman" w:hAnsi="Times New Roman" w:cs="Times New Roman"/>
                <w:bCs/>
                <w:color w:val="000000" w:themeColor="text1"/>
                <w:sz w:val="24"/>
                <w:szCs w:val="24"/>
              </w:rPr>
            </w:pPr>
          </w:p>
        </w:tc>
        <w:tc>
          <w:tcPr>
            <w:tcW w:w="1411" w:type="dxa"/>
          </w:tcPr>
          <w:p w14:paraId="62474CAE" w14:textId="77777777" w:rsidR="00FE7B91" w:rsidRPr="00FE7B91" w:rsidRDefault="00FE7B91" w:rsidP="006548C9">
            <w:pPr>
              <w:jc w:val="both"/>
              <w:rPr>
                <w:bCs/>
                <w:color w:val="000000" w:themeColor="text1"/>
              </w:rPr>
            </w:pPr>
          </w:p>
        </w:tc>
        <w:tc>
          <w:tcPr>
            <w:tcW w:w="1413" w:type="dxa"/>
          </w:tcPr>
          <w:p w14:paraId="6455969C" w14:textId="77777777" w:rsidR="00FE7B91" w:rsidRPr="00FE7B91" w:rsidRDefault="00FE7B91" w:rsidP="006548C9">
            <w:pPr>
              <w:jc w:val="both"/>
              <w:rPr>
                <w:bCs/>
                <w:color w:val="000000" w:themeColor="text1"/>
              </w:rPr>
            </w:pPr>
          </w:p>
        </w:tc>
        <w:tc>
          <w:tcPr>
            <w:tcW w:w="1550" w:type="dxa"/>
          </w:tcPr>
          <w:p w14:paraId="427FD1FD" w14:textId="77777777" w:rsidR="00FE7B91" w:rsidRPr="00FE7B91" w:rsidRDefault="00FE7B91" w:rsidP="006548C9">
            <w:pPr>
              <w:jc w:val="both"/>
              <w:rPr>
                <w:bCs/>
                <w:color w:val="000000" w:themeColor="text1"/>
              </w:rPr>
            </w:pPr>
          </w:p>
        </w:tc>
      </w:tr>
      <w:tr w:rsidR="00FE7B91" w14:paraId="27D4B18E" w14:textId="77777777" w:rsidTr="00FE7B91">
        <w:trPr>
          <w:trHeight w:val="285"/>
        </w:trPr>
        <w:tc>
          <w:tcPr>
            <w:tcW w:w="5681" w:type="dxa"/>
            <w:vMerge w:val="restart"/>
          </w:tcPr>
          <w:p w14:paraId="0596C58F" w14:textId="77777777" w:rsidR="00FE7B91" w:rsidRPr="00996581" w:rsidRDefault="00FE7B91" w:rsidP="009E63E5">
            <w:pPr>
              <w:pStyle w:val="ListParagraph"/>
              <w:numPr>
                <w:ilvl w:val="0"/>
                <w:numId w:val="181"/>
              </w:numPr>
              <w:jc w:val="both"/>
              <w:rPr>
                <w:rFonts w:ascii="Times New Roman" w:hAnsi="Times New Roman" w:cs="Times New Roman"/>
                <w:bCs/>
                <w:color w:val="000000" w:themeColor="text1"/>
                <w:sz w:val="24"/>
                <w:szCs w:val="24"/>
              </w:rPr>
            </w:pPr>
            <w:proofErr w:type="spellStart"/>
            <w:r w:rsidRPr="00996581">
              <w:rPr>
                <w:rFonts w:ascii="Times New Roman" w:hAnsi="Times New Roman" w:cs="Times New Roman"/>
                <w:bCs/>
                <w:color w:val="000000" w:themeColor="text1"/>
                <w:sz w:val="24"/>
                <w:szCs w:val="24"/>
              </w:rPr>
              <w:t>Factori</w:t>
            </w:r>
            <w:proofErr w:type="spellEnd"/>
            <w:r w:rsidRPr="00996581">
              <w:rPr>
                <w:rFonts w:ascii="Times New Roman" w:hAnsi="Times New Roman" w:cs="Times New Roman"/>
                <w:bCs/>
                <w:color w:val="000000" w:themeColor="text1"/>
                <w:sz w:val="24"/>
                <w:szCs w:val="24"/>
              </w:rPr>
              <w:t xml:space="preserve"> de </w:t>
            </w:r>
            <w:proofErr w:type="spellStart"/>
            <w:r w:rsidRPr="00996581">
              <w:rPr>
                <w:rFonts w:ascii="Times New Roman" w:hAnsi="Times New Roman" w:cs="Times New Roman"/>
                <w:bCs/>
                <w:color w:val="000000" w:themeColor="text1"/>
                <w:sz w:val="24"/>
                <w:szCs w:val="24"/>
              </w:rPr>
              <w:t>risc</w:t>
            </w:r>
            <w:proofErr w:type="spellEnd"/>
            <w:r w:rsidRPr="00996581">
              <w:rPr>
                <w:rFonts w:ascii="Times New Roman" w:hAnsi="Times New Roman" w:cs="Times New Roman"/>
                <w:bCs/>
                <w:color w:val="000000" w:themeColor="text1"/>
                <w:sz w:val="24"/>
                <w:szCs w:val="24"/>
              </w:rPr>
              <w:t xml:space="preserve"> la </w:t>
            </w:r>
            <w:proofErr w:type="spellStart"/>
            <w:r w:rsidRPr="00996581">
              <w:rPr>
                <w:rFonts w:ascii="Times New Roman" w:hAnsi="Times New Roman" w:cs="Times New Roman"/>
                <w:bCs/>
                <w:color w:val="000000" w:themeColor="text1"/>
                <w:sz w:val="24"/>
                <w:szCs w:val="24"/>
              </w:rPr>
              <w:t>adresa</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habitatului</w:t>
            </w:r>
            <w:proofErr w:type="spellEnd"/>
          </w:p>
        </w:tc>
        <w:tc>
          <w:tcPr>
            <w:tcW w:w="1411" w:type="dxa"/>
          </w:tcPr>
          <w:p w14:paraId="0425B31A" w14:textId="77777777" w:rsidR="00FE7B91" w:rsidRPr="00FE7B91" w:rsidRDefault="00FE7B91" w:rsidP="006548C9">
            <w:pPr>
              <w:jc w:val="both"/>
              <w:rPr>
                <w:bCs/>
                <w:color w:val="000000" w:themeColor="text1"/>
              </w:rPr>
            </w:pPr>
            <w:r w:rsidRPr="00FE7B91">
              <w:rPr>
                <w:bCs/>
                <w:color w:val="000000" w:themeColor="text1"/>
              </w:rPr>
              <w:t>Naturali</w:t>
            </w:r>
          </w:p>
        </w:tc>
        <w:tc>
          <w:tcPr>
            <w:tcW w:w="1413" w:type="dxa"/>
          </w:tcPr>
          <w:p w14:paraId="3554B01B" w14:textId="77777777" w:rsidR="00FE7B91" w:rsidRPr="00FE7B91" w:rsidRDefault="00FE7B91" w:rsidP="006548C9">
            <w:pPr>
              <w:jc w:val="both"/>
              <w:rPr>
                <w:bCs/>
                <w:color w:val="000000" w:themeColor="text1"/>
              </w:rPr>
            </w:pPr>
            <w:r w:rsidRPr="00FE7B91">
              <w:rPr>
                <w:bCs/>
                <w:color w:val="000000" w:themeColor="text1"/>
              </w:rPr>
              <w:t>Antropici</w:t>
            </w:r>
          </w:p>
        </w:tc>
        <w:tc>
          <w:tcPr>
            <w:tcW w:w="1550" w:type="dxa"/>
          </w:tcPr>
          <w:p w14:paraId="0CF4D67A" w14:textId="77777777" w:rsidR="00FE7B91" w:rsidRPr="00FE7B91" w:rsidRDefault="00FE7B91" w:rsidP="006548C9">
            <w:pPr>
              <w:jc w:val="both"/>
              <w:rPr>
                <w:bCs/>
                <w:color w:val="000000" w:themeColor="text1"/>
              </w:rPr>
            </w:pPr>
          </w:p>
        </w:tc>
      </w:tr>
      <w:tr w:rsidR="00FE7B91" w14:paraId="6E750727" w14:textId="77777777" w:rsidTr="00FE7B91">
        <w:trPr>
          <w:trHeight w:val="270"/>
        </w:trPr>
        <w:tc>
          <w:tcPr>
            <w:tcW w:w="5681" w:type="dxa"/>
            <w:vMerge/>
          </w:tcPr>
          <w:p w14:paraId="25AC6702" w14:textId="77777777" w:rsidR="00FE7B91" w:rsidRPr="00996581" w:rsidRDefault="00FE7B91" w:rsidP="009E63E5">
            <w:pPr>
              <w:pStyle w:val="ListParagraph"/>
              <w:numPr>
                <w:ilvl w:val="0"/>
                <w:numId w:val="181"/>
              </w:numPr>
              <w:jc w:val="both"/>
              <w:rPr>
                <w:rFonts w:ascii="Times New Roman" w:hAnsi="Times New Roman" w:cs="Times New Roman"/>
                <w:bCs/>
                <w:color w:val="000000" w:themeColor="text1"/>
                <w:sz w:val="24"/>
                <w:szCs w:val="24"/>
              </w:rPr>
            </w:pPr>
          </w:p>
        </w:tc>
        <w:tc>
          <w:tcPr>
            <w:tcW w:w="1411" w:type="dxa"/>
          </w:tcPr>
          <w:p w14:paraId="61F88A12" w14:textId="77777777" w:rsidR="00FE7B91" w:rsidRPr="00FE7B91" w:rsidRDefault="00FE7B91" w:rsidP="006548C9">
            <w:pPr>
              <w:jc w:val="both"/>
              <w:rPr>
                <w:bCs/>
                <w:color w:val="000000" w:themeColor="text1"/>
              </w:rPr>
            </w:pPr>
          </w:p>
        </w:tc>
        <w:tc>
          <w:tcPr>
            <w:tcW w:w="1413" w:type="dxa"/>
          </w:tcPr>
          <w:p w14:paraId="16D5C648" w14:textId="77777777" w:rsidR="00FE7B91" w:rsidRPr="00FE7B91" w:rsidRDefault="00FE7B91" w:rsidP="006548C9">
            <w:pPr>
              <w:jc w:val="both"/>
              <w:rPr>
                <w:bCs/>
                <w:color w:val="000000" w:themeColor="text1"/>
              </w:rPr>
            </w:pPr>
          </w:p>
        </w:tc>
        <w:tc>
          <w:tcPr>
            <w:tcW w:w="1550" w:type="dxa"/>
          </w:tcPr>
          <w:p w14:paraId="222487A8" w14:textId="77777777" w:rsidR="00FE7B91" w:rsidRPr="00FE7B91" w:rsidRDefault="00FE7B91" w:rsidP="006548C9">
            <w:pPr>
              <w:jc w:val="both"/>
              <w:rPr>
                <w:bCs/>
                <w:color w:val="000000" w:themeColor="text1"/>
              </w:rPr>
            </w:pPr>
          </w:p>
        </w:tc>
      </w:tr>
      <w:tr w:rsidR="00C4278D" w14:paraId="6F9C3508" w14:textId="77777777" w:rsidTr="00FE7B91">
        <w:tc>
          <w:tcPr>
            <w:tcW w:w="5681" w:type="dxa"/>
          </w:tcPr>
          <w:p w14:paraId="1AA05C2E" w14:textId="77777777" w:rsidR="00C4278D" w:rsidRPr="00996581" w:rsidRDefault="00996581" w:rsidP="009E63E5">
            <w:pPr>
              <w:pStyle w:val="ListParagraph"/>
              <w:numPr>
                <w:ilvl w:val="0"/>
                <w:numId w:val="181"/>
              </w:numPr>
              <w:jc w:val="both"/>
              <w:rPr>
                <w:rFonts w:ascii="Times New Roman" w:hAnsi="Times New Roman" w:cs="Times New Roman"/>
                <w:bCs/>
                <w:color w:val="000000" w:themeColor="text1"/>
                <w:sz w:val="24"/>
                <w:szCs w:val="24"/>
              </w:rPr>
            </w:pPr>
            <w:proofErr w:type="spellStart"/>
            <w:r w:rsidRPr="00996581">
              <w:rPr>
                <w:rFonts w:ascii="Times New Roman" w:hAnsi="Times New Roman" w:cs="Times New Roman"/>
                <w:bCs/>
                <w:color w:val="000000" w:themeColor="text1"/>
                <w:sz w:val="24"/>
                <w:szCs w:val="24"/>
              </w:rPr>
              <w:t>Presiuni</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antropice</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și</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amenințări</w:t>
            </w:r>
            <w:proofErr w:type="spellEnd"/>
            <w:r w:rsidRPr="00996581">
              <w:rPr>
                <w:rFonts w:ascii="Times New Roman" w:hAnsi="Times New Roman" w:cs="Times New Roman"/>
                <w:bCs/>
                <w:color w:val="000000" w:themeColor="text1"/>
                <w:sz w:val="24"/>
                <w:szCs w:val="24"/>
              </w:rPr>
              <w:t xml:space="preserve"> la </w:t>
            </w:r>
            <w:proofErr w:type="spellStart"/>
            <w:r w:rsidRPr="00996581">
              <w:rPr>
                <w:rFonts w:ascii="Times New Roman" w:hAnsi="Times New Roman" w:cs="Times New Roman"/>
                <w:bCs/>
                <w:color w:val="000000" w:themeColor="text1"/>
                <w:sz w:val="24"/>
                <w:szCs w:val="24"/>
              </w:rPr>
              <w:t>adresa</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habitatului</w:t>
            </w:r>
            <w:proofErr w:type="spellEnd"/>
          </w:p>
        </w:tc>
        <w:tc>
          <w:tcPr>
            <w:tcW w:w="1411" w:type="dxa"/>
          </w:tcPr>
          <w:p w14:paraId="14FD11AD" w14:textId="77777777" w:rsidR="00C4278D" w:rsidRPr="00FE7B91" w:rsidRDefault="00FE7B91" w:rsidP="006548C9">
            <w:pPr>
              <w:jc w:val="both"/>
              <w:rPr>
                <w:bCs/>
                <w:color w:val="000000" w:themeColor="text1"/>
              </w:rPr>
            </w:pPr>
            <w:r w:rsidRPr="00FE7B91">
              <w:rPr>
                <w:bCs/>
                <w:color w:val="000000" w:themeColor="text1"/>
              </w:rPr>
              <w:t>Minore</w:t>
            </w:r>
          </w:p>
        </w:tc>
        <w:tc>
          <w:tcPr>
            <w:tcW w:w="1413" w:type="dxa"/>
          </w:tcPr>
          <w:p w14:paraId="4B9BDFD5" w14:textId="77777777" w:rsidR="00C4278D" w:rsidRPr="00FE7B91" w:rsidRDefault="00FE7B91" w:rsidP="006548C9">
            <w:pPr>
              <w:jc w:val="both"/>
              <w:rPr>
                <w:bCs/>
                <w:color w:val="000000" w:themeColor="text1"/>
              </w:rPr>
            </w:pPr>
            <w:r w:rsidRPr="00FE7B91">
              <w:rPr>
                <w:bCs/>
                <w:color w:val="000000" w:themeColor="text1"/>
              </w:rPr>
              <w:t>Moderate</w:t>
            </w:r>
          </w:p>
        </w:tc>
        <w:tc>
          <w:tcPr>
            <w:tcW w:w="1550" w:type="dxa"/>
          </w:tcPr>
          <w:p w14:paraId="35E6BAE2" w14:textId="77777777" w:rsidR="00C4278D" w:rsidRPr="00FE7B91" w:rsidRDefault="00FE7B91" w:rsidP="006548C9">
            <w:pPr>
              <w:jc w:val="both"/>
              <w:rPr>
                <w:bCs/>
                <w:color w:val="000000" w:themeColor="text1"/>
              </w:rPr>
            </w:pPr>
            <w:r w:rsidRPr="00FE7B91">
              <w:rPr>
                <w:bCs/>
                <w:color w:val="000000" w:themeColor="text1"/>
              </w:rPr>
              <w:t>Majore</w:t>
            </w:r>
          </w:p>
        </w:tc>
      </w:tr>
      <w:tr w:rsidR="00C4278D" w14:paraId="0600CA6D" w14:textId="77777777" w:rsidTr="00FE7B91">
        <w:tc>
          <w:tcPr>
            <w:tcW w:w="5681" w:type="dxa"/>
          </w:tcPr>
          <w:p w14:paraId="56AB784E" w14:textId="77777777" w:rsidR="00C4278D" w:rsidRPr="00996581" w:rsidRDefault="00996581" w:rsidP="009E63E5">
            <w:pPr>
              <w:pStyle w:val="ListParagraph"/>
              <w:numPr>
                <w:ilvl w:val="0"/>
                <w:numId w:val="181"/>
              </w:numPr>
              <w:jc w:val="both"/>
              <w:rPr>
                <w:rFonts w:ascii="Times New Roman" w:hAnsi="Times New Roman" w:cs="Times New Roman"/>
                <w:bCs/>
                <w:color w:val="000000" w:themeColor="text1"/>
                <w:sz w:val="24"/>
                <w:szCs w:val="24"/>
              </w:rPr>
            </w:pPr>
            <w:proofErr w:type="spellStart"/>
            <w:r w:rsidRPr="00996581">
              <w:rPr>
                <w:rFonts w:ascii="Times New Roman" w:hAnsi="Times New Roman" w:cs="Times New Roman"/>
                <w:bCs/>
                <w:color w:val="000000" w:themeColor="text1"/>
                <w:sz w:val="24"/>
                <w:szCs w:val="24"/>
              </w:rPr>
              <w:t>Calitatea</w:t>
            </w:r>
            <w:proofErr w:type="spellEnd"/>
            <w:r w:rsidRPr="00996581">
              <w:rPr>
                <w:rFonts w:ascii="Times New Roman" w:hAnsi="Times New Roman" w:cs="Times New Roman"/>
                <w:bCs/>
                <w:color w:val="000000" w:themeColor="text1"/>
                <w:sz w:val="24"/>
                <w:szCs w:val="24"/>
              </w:rPr>
              <w:t xml:space="preserve"> </w:t>
            </w:r>
            <w:proofErr w:type="spellStart"/>
            <w:r w:rsidRPr="00996581">
              <w:rPr>
                <w:rFonts w:ascii="Times New Roman" w:hAnsi="Times New Roman" w:cs="Times New Roman"/>
                <w:bCs/>
                <w:color w:val="000000" w:themeColor="text1"/>
                <w:sz w:val="24"/>
                <w:szCs w:val="24"/>
              </w:rPr>
              <w:t>habitatului</w:t>
            </w:r>
            <w:proofErr w:type="spellEnd"/>
          </w:p>
        </w:tc>
        <w:tc>
          <w:tcPr>
            <w:tcW w:w="1411" w:type="dxa"/>
          </w:tcPr>
          <w:p w14:paraId="0B3320AE" w14:textId="77777777" w:rsidR="00C4278D" w:rsidRPr="00FE7B91" w:rsidRDefault="00FE7B91" w:rsidP="006548C9">
            <w:pPr>
              <w:jc w:val="both"/>
              <w:rPr>
                <w:bCs/>
                <w:color w:val="000000" w:themeColor="text1"/>
              </w:rPr>
            </w:pPr>
            <w:r w:rsidRPr="00FE7B91">
              <w:rPr>
                <w:bCs/>
                <w:color w:val="000000" w:themeColor="text1"/>
              </w:rPr>
              <w:t>Bună</w:t>
            </w:r>
          </w:p>
        </w:tc>
        <w:tc>
          <w:tcPr>
            <w:tcW w:w="1413" w:type="dxa"/>
          </w:tcPr>
          <w:p w14:paraId="43796C9B" w14:textId="77777777" w:rsidR="00C4278D" w:rsidRPr="00FE7B91" w:rsidRDefault="00FE7B91" w:rsidP="006548C9">
            <w:pPr>
              <w:jc w:val="both"/>
              <w:rPr>
                <w:bCs/>
                <w:color w:val="000000" w:themeColor="text1"/>
              </w:rPr>
            </w:pPr>
            <w:r w:rsidRPr="00FE7B91">
              <w:rPr>
                <w:bCs/>
                <w:color w:val="000000" w:themeColor="text1"/>
              </w:rPr>
              <w:t>Moderată</w:t>
            </w:r>
          </w:p>
        </w:tc>
        <w:tc>
          <w:tcPr>
            <w:tcW w:w="1550" w:type="dxa"/>
          </w:tcPr>
          <w:p w14:paraId="24485565" w14:textId="77777777" w:rsidR="00C4278D" w:rsidRPr="00FE7B91" w:rsidRDefault="00FE7B91" w:rsidP="006548C9">
            <w:pPr>
              <w:jc w:val="both"/>
              <w:rPr>
                <w:bCs/>
                <w:color w:val="000000" w:themeColor="text1"/>
              </w:rPr>
            </w:pPr>
            <w:r w:rsidRPr="00FE7B91">
              <w:rPr>
                <w:bCs/>
                <w:color w:val="000000" w:themeColor="text1"/>
              </w:rPr>
              <w:t>Inadecvată</w:t>
            </w:r>
          </w:p>
        </w:tc>
      </w:tr>
      <w:tr w:rsidR="00FE7B91" w14:paraId="0B6C46C6" w14:textId="77777777" w:rsidTr="00FE7B91">
        <w:trPr>
          <w:trHeight w:val="240"/>
        </w:trPr>
        <w:tc>
          <w:tcPr>
            <w:tcW w:w="5681" w:type="dxa"/>
            <w:vMerge w:val="restart"/>
          </w:tcPr>
          <w:p w14:paraId="67627D0E" w14:textId="77777777" w:rsidR="00FE7B91" w:rsidRPr="00996581" w:rsidRDefault="00FE7B91" w:rsidP="009E63E5">
            <w:pPr>
              <w:pStyle w:val="ListParagraph"/>
              <w:numPr>
                <w:ilvl w:val="0"/>
                <w:numId w:val="181"/>
              </w:numPr>
              <w:jc w:val="both"/>
              <w:rPr>
                <w:rFonts w:ascii="Times New Roman" w:hAnsi="Times New Roman" w:cs="Times New Roman"/>
                <w:bCs/>
                <w:color w:val="000000" w:themeColor="text1"/>
                <w:sz w:val="24"/>
                <w:szCs w:val="24"/>
              </w:rPr>
            </w:pPr>
            <w:proofErr w:type="spellStart"/>
            <w:r w:rsidRPr="00996581">
              <w:rPr>
                <w:rFonts w:ascii="Times New Roman" w:hAnsi="Times New Roman" w:cs="Times New Roman"/>
                <w:bCs/>
                <w:color w:val="000000" w:themeColor="text1"/>
                <w:sz w:val="24"/>
                <w:szCs w:val="24"/>
              </w:rPr>
              <w:t>Tendința</w:t>
            </w:r>
            <w:proofErr w:type="spellEnd"/>
            <w:r w:rsidRPr="00996581">
              <w:rPr>
                <w:rFonts w:ascii="Times New Roman" w:hAnsi="Times New Roman" w:cs="Times New Roman"/>
                <w:bCs/>
                <w:color w:val="000000" w:themeColor="text1"/>
                <w:sz w:val="24"/>
                <w:szCs w:val="24"/>
              </w:rPr>
              <w:t xml:space="preserve"> de </w:t>
            </w:r>
            <w:proofErr w:type="spellStart"/>
            <w:r w:rsidRPr="00996581">
              <w:rPr>
                <w:rFonts w:ascii="Times New Roman" w:hAnsi="Times New Roman" w:cs="Times New Roman"/>
                <w:bCs/>
                <w:color w:val="000000" w:themeColor="text1"/>
                <w:sz w:val="24"/>
                <w:szCs w:val="24"/>
              </w:rPr>
              <w:t>evoluție</w:t>
            </w:r>
            <w:proofErr w:type="spellEnd"/>
            <w:r w:rsidRPr="00996581">
              <w:rPr>
                <w:rFonts w:ascii="Times New Roman" w:hAnsi="Times New Roman" w:cs="Times New Roman"/>
                <w:bCs/>
                <w:color w:val="000000" w:themeColor="text1"/>
                <w:sz w:val="24"/>
                <w:szCs w:val="24"/>
              </w:rPr>
              <w:t xml:space="preserve"> a </w:t>
            </w:r>
            <w:proofErr w:type="spellStart"/>
            <w:r w:rsidRPr="00996581">
              <w:rPr>
                <w:rFonts w:ascii="Times New Roman" w:hAnsi="Times New Roman" w:cs="Times New Roman"/>
                <w:bCs/>
                <w:color w:val="000000" w:themeColor="text1"/>
                <w:sz w:val="24"/>
                <w:szCs w:val="24"/>
              </w:rPr>
              <w:t>habitatului</w:t>
            </w:r>
            <w:proofErr w:type="spellEnd"/>
          </w:p>
        </w:tc>
        <w:tc>
          <w:tcPr>
            <w:tcW w:w="1411" w:type="dxa"/>
          </w:tcPr>
          <w:p w14:paraId="48646A89" w14:textId="77777777" w:rsidR="00FE7B91" w:rsidRPr="00FE7B91" w:rsidRDefault="00FE7B91" w:rsidP="00FE7B91">
            <w:pPr>
              <w:jc w:val="center"/>
              <w:rPr>
                <w:bCs/>
                <w:color w:val="000000" w:themeColor="text1"/>
              </w:rPr>
            </w:pPr>
            <w:r w:rsidRPr="00FE7B91">
              <w:rPr>
                <w:bCs/>
                <w:color w:val="000000" w:themeColor="text1"/>
              </w:rPr>
              <w:t>Îmbunătățire</w:t>
            </w:r>
          </w:p>
        </w:tc>
        <w:tc>
          <w:tcPr>
            <w:tcW w:w="1413" w:type="dxa"/>
          </w:tcPr>
          <w:p w14:paraId="4F57EB8D" w14:textId="77777777" w:rsidR="00FE7B91" w:rsidRPr="00FE7B91" w:rsidRDefault="00FE7B91" w:rsidP="006548C9">
            <w:pPr>
              <w:jc w:val="both"/>
              <w:rPr>
                <w:bCs/>
                <w:color w:val="000000" w:themeColor="text1"/>
              </w:rPr>
            </w:pPr>
            <w:r w:rsidRPr="00FE7B91">
              <w:rPr>
                <w:bCs/>
                <w:color w:val="000000" w:themeColor="text1"/>
              </w:rPr>
              <w:t>Stabilă</w:t>
            </w:r>
          </w:p>
        </w:tc>
        <w:tc>
          <w:tcPr>
            <w:tcW w:w="1550" w:type="dxa"/>
          </w:tcPr>
          <w:p w14:paraId="7AF45BA2" w14:textId="77777777" w:rsidR="00FE7B91" w:rsidRPr="00FE7B91" w:rsidRDefault="00FE7B91" w:rsidP="006548C9">
            <w:pPr>
              <w:jc w:val="both"/>
              <w:rPr>
                <w:bCs/>
                <w:color w:val="000000" w:themeColor="text1"/>
              </w:rPr>
            </w:pPr>
            <w:r w:rsidRPr="00FE7B91">
              <w:rPr>
                <w:bCs/>
                <w:color w:val="000000" w:themeColor="text1"/>
              </w:rPr>
              <w:t>Deteriorare</w:t>
            </w:r>
          </w:p>
        </w:tc>
      </w:tr>
      <w:tr w:rsidR="00FE7B91" w14:paraId="60816E6B" w14:textId="77777777" w:rsidTr="00FE7B91">
        <w:trPr>
          <w:trHeight w:val="300"/>
        </w:trPr>
        <w:tc>
          <w:tcPr>
            <w:tcW w:w="5681" w:type="dxa"/>
            <w:vMerge/>
          </w:tcPr>
          <w:p w14:paraId="53E3C337" w14:textId="77777777" w:rsidR="00FE7B91" w:rsidRPr="00996581" w:rsidRDefault="00FE7B91" w:rsidP="009E63E5">
            <w:pPr>
              <w:pStyle w:val="ListParagraph"/>
              <w:numPr>
                <w:ilvl w:val="0"/>
                <w:numId w:val="181"/>
              </w:numPr>
              <w:jc w:val="both"/>
              <w:rPr>
                <w:rFonts w:ascii="Times New Roman" w:hAnsi="Times New Roman" w:cs="Times New Roman"/>
                <w:bCs/>
                <w:color w:val="000000" w:themeColor="text1"/>
                <w:sz w:val="24"/>
                <w:szCs w:val="24"/>
              </w:rPr>
            </w:pPr>
          </w:p>
        </w:tc>
        <w:tc>
          <w:tcPr>
            <w:tcW w:w="1411" w:type="dxa"/>
          </w:tcPr>
          <w:p w14:paraId="63C4F20A" w14:textId="77777777" w:rsidR="00FE7B91" w:rsidRDefault="00FE7B91" w:rsidP="00FE7B91">
            <w:pPr>
              <w:jc w:val="center"/>
              <w:rPr>
                <w:b/>
                <w:bCs/>
                <w:color w:val="000000" w:themeColor="text1"/>
              </w:rPr>
            </w:pPr>
          </w:p>
        </w:tc>
        <w:tc>
          <w:tcPr>
            <w:tcW w:w="1413" w:type="dxa"/>
          </w:tcPr>
          <w:p w14:paraId="15865A67" w14:textId="77777777" w:rsidR="00FE7B91" w:rsidRDefault="00FE7B91" w:rsidP="006548C9">
            <w:pPr>
              <w:jc w:val="both"/>
              <w:rPr>
                <w:b/>
                <w:bCs/>
                <w:color w:val="000000" w:themeColor="text1"/>
              </w:rPr>
            </w:pPr>
          </w:p>
        </w:tc>
        <w:tc>
          <w:tcPr>
            <w:tcW w:w="1550" w:type="dxa"/>
          </w:tcPr>
          <w:p w14:paraId="5E46E30E" w14:textId="77777777" w:rsidR="00FE7B91" w:rsidRDefault="00FE7B91" w:rsidP="006548C9">
            <w:pPr>
              <w:jc w:val="both"/>
              <w:rPr>
                <w:b/>
                <w:bCs/>
                <w:color w:val="000000" w:themeColor="text1"/>
              </w:rPr>
            </w:pPr>
          </w:p>
        </w:tc>
      </w:tr>
      <w:tr w:rsidR="00C4278D" w14:paraId="6302BFCD" w14:textId="77777777" w:rsidTr="00FE7B91">
        <w:tc>
          <w:tcPr>
            <w:tcW w:w="5681" w:type="dxa"/>
          </w:tcPr>
          <w:p w14:paraId="6075F302" w14:textId="77777777" w:rsidR="00C4278D" w:rsidRPr="00996581" w:rsidRDefault="00996581" w:rsidP="009E63E5">
            <w:pPr>
              <w:pStyle w:val="ListParagraph"/>
              <w:numPr>
                <w:ilvl w:val="0"/>
                <w:numId w:val="181"/>
              </w:numPr>
              <w:jc w:val="both"/>
              <w:rPr>
                <w:rFonts w:ascii="Times New Roman" w:hAnsi="Times New Roman" w:cs="Times New Roman"/>
                <w:bCs/>
                <w:color w:val="000000" w:themeColor="text1"/>
                <w:sz w:val="24"/>
                <w:szCs w:val="24"/>
              </w:rPr>
            </w:pPr>
            <w:r w:rsidRPr="00996581">
              <w:rPr>
                <w:rFonts w:ascii="Times New Roman" w:hAnsi="Times New Roman" w:cs="Times New Roman"/>
                <w:bCs/>
                <w:color w:val="000000" w:themeColor="text1"/>
                <w:sz w:val="24"/>
                <w:szCs w:val="24"/>
              </w:rPr>
              <w:t xml:space="preserve">Alte </w:t>
            </w:r>
            <w:proofErr w:type="spellStart"/>
            <w:r w:rsidRPr="00996581">
              <w:rPr>
                <w:rFonts w:ascii="Times New Roman" w:hAnsi="Times New Roman" w:cs="Times New Roman"/>
                <w:bCs/>
                <w:color w:val="000000" w:themeColor="text1"/>
                <w:sz w:val="24"/>
                <w:szCs w:val="24"/>
              </w:rPr>
              <w:t>observații</w:t>
            </w:r>
            <w:proofErr w:type="spellEnd"/>
          </w:p>
        </w:tc>
        <w:tc>
          <w:tcPr>
            <w:tcW w:w="1411" w:type="dxa"/>
          </w:tcPr>
          <w:p w14:paraId="27F88266" w14:textId="77777777" w:rsidR="00C4278D" w:rsidRDefault="00C4278D" w:rsidP="006548C9">
            <w:pPr>
              <w:jc w:val="both"/>
              <w:rPr>
                <w:b/>
                <w:bCs/>
                <w:color w:val="000000" w:themeColor="text1"/>
              </w:rPr>
            </w:pPr>
          </w:p>
        </w:tc>
        <w:tc>
          <w:tcPr>
            <w:tcW w:w="1413" w:type="dxa"/>
          </w:tcPr>
          <w:p w14:paraId="03AF4166" w14:textId="77777777" w:rsidR="00C4278D" w:rsidRDefault="00C4278D" w:rsidP="006548C9">
            <w:pPr>
              <w:jc w:val="both"/>
              <w:rPr>
                <w:b/>
                <w:bCs/>
                <w:color w:val="000000" w:themeColor="text1"/>
              </w:rPr>
            </w:pPr>
          </w:p>
        </w:tc>
        <w:tc>
          <w:tcPr>
            <w:tcW w:w="1550" w:type="dxa"/>
          </w:tcPr>
          <w:p w14:paraId="756C9E53" w14:textId="77777777" w:rsidR="00C4278D" w:rsidRDefault="00C4278D" w:rsidP="006548C9">
            <w:pPr>
              <w:jc w:val="both"/>
              <w:rPr>
                <w:b/>
                <w:bCs/>
                <w:color w:val="000000" w:themeColor="text1"/>
              </w:rPr>
            </w:pPr>
          </w:p>
        </w:tc>
      </w:tr>
      <w:tr w:rsidR="00996581" w14:paraId="32D312EF" w14:textId="77777777" w:rsidTr="00FE7B91">
        <w:tc>
          <w:tcPr>
            <w:tcW w:w="5681" w:type="dxa"/>
          </w:tcPr>
          <w:p w14:paraId="7B84F9CE" w14:textId="77777777" w:rsidR="00996581" w:rsidRPr="00996581" w:rsidRDefault="00996581" w:rsidP="00996581">
            <w:pPr>
              <w:pStyle w:val="ListParagraph"/>
              <w:jc w:val="both"/>
              <w:rPr>
                <w:rFonts w:ascii="Times New Roman" w:hAnsi="Times New Roman" w:cs="Times New Roman"/>
                <w:bCs/>
                <w:color w:val="000000" w:themeColor="text1"/>
                <w:sz w:val="24"/>
                <w:szCs w:val="24"/>
              </w:rPr>
            </w:pPr>
          </w:p>
        </w:tc>
        <w:tc>
          <w:tcPr>
            <w:tcW w:w="1411" w:type="dxa"/>
          </w:tcPr>
          <w:p w14:paraId="377047FA" w14:textId="77777777" w:rsidR="00996581" w:rsidRDefault="00996581" w:rsidP="006548C9">
            <w:pPr>
              <w:jc w:val="both"/>
              <w:rPr>
                <w:b/>
                <w:bCs/>
                <w:color w:val="000000" w:themeColor="text1"/>
              </w:rPr>
            </w:pPr>
          </w:p>
        </w:tc>
        <w:tc>
          <w:tcPr>
            <w:tcW w:w="1413" w:type="dxa"/>
          </w:tcPr>
          <w:p w14:paraId="69860A46" w14:textId="77777777" w:rsidR="00996581" w:rsidRDefault="00996581" w:rsidP="006548C9">
            <w:pPr>
              <w:jc w:val="both"/>
              <w:rPr>
                <w:b/>
                <w:bCs/>
                <w:color w:val="000000" w:themeColor="text1"/>
              </w:rPr>
            </w:pPr>
          </w:p>
        </w:tc>
        <w:tc>
          <w:tcPr>
            <w:tcW w:w="1550" w:type="dxa"/>
          </w:tcPr>
          <w:p w14:paraId="56451212" w14:textId="77777777" w:rsidR="00996581" w:rsidRDefault="00996581" w:rsidP="006548C9">
            <w:pPr>
              <w:jc w:val="both"/>
              <w:rPr>
                <w:b/>
                <w:bCs/>
                <w:color w:val="000000" w:themeColor="text1"/>
              </w:rPr>
            </w:pPr>
          </w:p>
        </w:tc>
      </w:tr>
      <w:tr w:rsidR="00996581" w14:paraId="43C4E31C" w14:textId="77777777" w:rsidTr="00FE7B91">
        <w:tc>
          <w:tcPr>
            <w:tcW w:w="5681" w:type="dxa"/>
          </w:tcPr>
          <w:p w14:paraId="668A1EDB" w14:textId="77777777" w:rsidR="00996581" w:rsidRPr="00996581" w:rsidRDefault="00996581" w:rsidP="00996581">
            <w:pPr>
              <w:pStyle w:val="ListParagraph"/>
              <w:jc w:val="both"/>
              <w:rPr>
                <w:bCs/>
                <w:color w:val="000000" w:themeColor="text1"/>
              </w:rPr>
            </w:pPr>
          </w:p>
        </w:tc>
        <w:tc>
          <w:tcPr>
            <w:tcW w:w="1411" w:type="dxa"/>
          </w:tcPr>
          <w:p w14:paraId="5BCEB510" w14:textId="77777777" w:rsidR="00996581" w:rsidRPr="00FE7B91" w:rsidRDefault="00FE7B91" w:rsidP="006548C9">
            <w:pPr>
              <w:jc w:val="both"/>
              <w:rPr>
                <w:bCs/>
                <w:color w:val="000000" w:themeColor="text1"/>
              </w:rPr>
            </w:pPr>
            <w:r w:rsidRPr="00FE7B91">
              <w:rPr>
                <w:bCs/>
                <w:color w:val="000000" w:themeColor="text1"/>
              </w:rPr>
              <w:t>Semnătură</w:t>
            </w:r>
          </w:p>
        </w:tc>
        <w:tc>
          <w:tcPr>
            <w:tcW w:w="1413" w:type="dxa"/>
          </w:tcPr>
          <w:p w14:paraId="24050A2B" w14:textId="77777777" w:rsidR="00996581" w:rsidRPr="00FE7B91" w:rsidRDefault="00FE7B91" w:rsidP="006548C9">
            <w:pPr>
              <w:jc w:val="both"/>
              <w:rPr>
                <w:bCs/>
                <w:color w:val="000000" w:themeColor="text1"/>
              </w:rPr>
            </w:pPr>
            <w:r w:rsidRPr="00FE7B91">
              <w:rPr>
                <w:bCs/>
                <w:color w:val="000000" w:themeColor="text1"/>
              </w:rPr>
              <w:t>specialist</w:t>
            </w:r>
          </w:p>
        </w:tc>
        <w:tc>
          <w:tcPr>
            <w:tcW w:w="1550" w:type="dxa"/>
          </w:tcPr>
          <w:p w14:paraId="7063E7EA" w14:textId="77777777" w:rsidR="00996581" w:rsidRDefault="00996581" w:rsidP="006548C9">
            <w:pPr>
              <w:jc w:val="both"/>
              <w:rPr>
                <w:b/>
                <w:bCs/>
                <w:color w:val="000000" w:themeColor="text1"/>
              </w:rPr>
            </w:pPr>
          </w:p>
        </w:tc>
      </w:tr>
      <w:tr w:rsidR="00996581" w14:paraId="05606120" w14:textId="77777777" w:rsidTr="00FE7B91">
        <w:tc>
          <w:tcPr>
            <w:tcW w:w="5681" w:type="dxa"/>
          </w:tcPr>
          <w:p w14:paraId="7349809C" w14:textId="77777777" w:rsidR="00996581" w:rsidRPr="00996581" w:rsidRDefault="00996581" w:rsidP="00996581">
            <w:pPr>
              <w:pStyle w:val="ListParagraph"/>
              <w:jc w:val="both"/>
              <w:rPr>
                <w:bCs/>
                <w:color w:val="000000" w:themeColor="text1"/>
              </w:rPr>
            </w:pPr>
          </w:p>
        </w:tc>
        <w:tc>
          <w:tcPr>
            <w:tcW w:w="1411" w:type="dxa"/>
          </w:tcPr>
          <w:p w14:paraId="65D7DFE6" w14:textId="77777777" w:rsidR="00996581" w:rsidRDefault="00996581" w:rsidP="006548C9">
            <w:pPr>
              <w:jc w:val="both"/>
              <w:rPr>
                <w:b/>
                <w:bCs/>
                <w:color w:val="000000" w:themeColor="text1"/>
              </w:rPr>
            </w:pPr>
          </w:p>
        </w:tc>
        <w:tc>
          <w:tcPr>
            <w:tcW w:w="1413" w:type="dxa"/>
          </w:tcPr>
          <w:p w14:paraId="25B564E1" w14:textId="77777777" w:rsidR="00996581" w:rsidRDefault="00996581" w:rsidP="006548C9">
            <w:pPr>
              <w:jc w:val="both"/>
              <w:rPr>
                <w:b/>
                <w:bCs/>
                <w:color w:val="000000" w:themeColor="text1"/>
              </w:rPr>
            </w:pPr>
          </w:p>
        </w:tc>
        <w:tc>
          <w:tcPr>
            <w:tcW w:w="1550" w:type="dxa"/>
          </w:tcPr>
          <w:p w14:paraId="3AEBDBEA" w14:textId="77777777" w:rsidR="00996581" w:rsidRDefault="00996581" w:rsidP="006548C9">
            <w:pPr>
              <w:jc w:val="both"/>
              <w:rPr>
                <w:b/>
                <w:bCs/>
                <w:color w:val="000000" w:themeColor="text1"/>
              </w:rPr>
            </w:pPr>
          </w:p>
        </w:tc>
      </w:tr>
      <w:tr w:rsidR="00996581" w14:paraId="47D3DFC6" w14:textId="77777777" w:rsidTr="00FE7B91">
        <w:tc>
          <w:tcPr>
            <w:tcW w:w="5681" w:type="dxa"/>
          </w:tcPr>
          <w:p w14:paraId="5D7AB62E" w14:textId="77777777" w:rsidR="00996581" w:rsidRPr="00996581" w:rsidRDefault="00996581" w:rsidP="00996581">
            <w:pPr>
              <w:pStyle w:val="ListParagraph"/>
              <w:jc w:val="both"/>
              <w:rPr>
                <w:bCs/>
                <w:color w:val="000000" w:themeColor="text1"/>
              </w:rPr>
            </w:pPr>
          </w:p>
        </w:tc>
        <w:tc>
          <w:tcPr>
            <w:tcW w:w="1411" w:type="dxa"/>
          </w:tcPr>
          <w:p w14:paraId="47ABED55" w14:textId="77777777" w:rsidR="00996581" w:rsidRDefault="00996581" w:rsidP="006548C9">
            <w:pPr>
              <w:jc w:val="both"/>
              <w:rPr>
                <w:b/>
                <w:bCs/>
                <w:color w:val="000000" w:themeColor="text1"/>
              </w:rPr>
            </w:pPr>
          </w:p>
        </w:tc>
        <w:tc>
          <w:tcPr>
            <w:tcW w:w="1413" w:type="dxa"/>
          </w:tcPr>
          <w:p w14:paraId="29BCC1ED" w14:textId="77777777" w:rsidR="00996581" w:rsidRDefault="00996581" w:rsidP="006548C9">
            <w:pPr>
              <w:jc w:val="both"/>
              <w:rPr>
                <w:b/>
                <w:bCs/>
                <w:color w:val="000000" w:themeColor="text1"/>
              </w:rPr>
            </w:pPr>
          </w:p>
        </w:tc>
        <w:tc>
          <w:tcPr>
            <w:tcW w:w="1550" w:type="dxa"/>
          </w:tcPr>
          <w:p w14:paraId="49687817" w14:textId="77777777" w:rsidR="00996581" w:rsidRDefault="00996581" w:rsidP="006548C9">
            <w:pPr>
              <w:jc w:val="both"/>
              <w:rPr>
                <w:b/>
                <w:bCs/>
                <w:color w:val="000000" w:themeColor="text1"/>
              </w:rPr>
            </w:pPr>
          </w:p>
        </w:tc>
      </w:tr>
    </w:tbl>
    <w:p w14:paraId="263C8B78" w14:textId="77777777" w:rsidR="006548C9" w:rsidRDefault="006548C9" w:rsidP="006548C9">
      <w:pPr>
        <w:jc w:val="both"/>
        <w:rPr>
          <w:b/>
          <w:bCs/>
          <w:color w:val="000000" w:themeColor="text1"/>
        </w:rPr>
      </w:pPr>
    </w:p>
    <w:p w14:paraId="7BBF3A94" w14:textId="77777777" w:rsidR="00FC026B" w:rsidRPr="00232068" w:rsidRDefault="00FC026B" w:rsidP="00FC026B">
      <w:pPr>
        <w:autoSpaceDE w:val="0"/>
        <w:autoSpaceDN w:val="0"/>
        <w:adjustRightInd w:val="0"/>
        <w:spacing w:before="120" w:after="120" w:line="276" w:lineRule="auto"/>
        <w:jc w:val="both"/>
        <w:rPr>
          <w:b/>
          <w:lang w:val="x-none"/>
        </w:rPr>
      </w:pPr>
      <w:proofErr w:type="spellStart"/>
      <w:r w:rsidRPr="00232068">
        <w:rPr>
          <w:b/>
          <w:lang w:val="x-none"/>
        </w:rPr>
        <w:lastRenderedPageBreak/>
        <w:t>Eșantionarea</w:t>
      </w:r>
      <w:bookmarkStart w:id="10" w:name="_Toc416164748"/>
      <w:bookmarkEnd w:id="10"/>
      <w:proofErr w:type="spellEnd"/>
      <w:r w:rsidRPr="00232068">
        <w:rPr>
          <w:b/>
          <w:lang w:val="x-none"/>
        </w:rPr>
        <w:t xml:space="preserve">, </w:t>
      </w:r>
      <w:proofErr w:type="spellStart"/>
      <w:r w:rsidRPr="00232068">
        <w:rPr>
          <w:b/>
          <w:lang w:val="x-none"/>
        </w:rPr>
        <w:t>colectarea</w:t>
      </w:r>
      <w:proofErr w:type="spellEnd"/>
      <w:r w:rsidRPr="00232068">
        <w:rPr>
          <w:b/>
          <w:lang w:val="x-none"/>
        </w:rPr>
        <w:t xml:space="preserve"> </w:t>
      </w:r>
      <w:proofErr w:type="spellStart"/>
      <w:r w:rsidRPr="00232068">
        <w:rPr>
          <w:b/>
          <w:lang w:val="x-none"/>
        </w:rPr>
        <w:t>şi</w:t>
      </w:r>
      <w:proofErr w:type="spellEnd"/>
      <w:r w:rsidRPr="00232068">
        <w:rPr>
          <w:b/>
          <w:lang w:val="x-none"/>
        </w:rPr>
        <w:t xml:space="preserve"> </w:t>
      </w:r>
      <w:proofErr w:type="spellStart"/>
      <w:r w:rsidRPr="00232068">
        <w:rPr>
          <w:b/>
          <w:lang w:val="x-none"/>
        </w:rPr>
        <w:t>agr</w:t>
      </w:r>
      <w:r w:rsidRPr="00232068">
        <w:rPr>
          <w:b/>
        </w:rPr>
        <w:t>e</w:t>
      </w:r>
      <w:r w:rsidRPr="00232068">
        <w:rPr>
          <w:b/>
          <w:lang w:val="x-none"/>
        </w:rPr>
        <w:t>garea</w:t>
      </w:r>
      <w:proofErr w:type="spellEnd"/>
      <w:r w:rsidRPr="00232068">
        <w:rPr>
          <w:b/>
          <w:lang w:val="x-none"/>
        </w:rPr>
        <w:t xml:space="preserve"> </w:t>
      </w:r>
      <w:proofErr w:type="spellStart"/>
      <w:r w:rsidRPr="00232068">
        <w:rPr>
          <w:b/>
          <w:lang w:val="x-none"/>
        </w:rPr>
        <w:t>informaţiilor</w:t>
      </w:r>
      <w:proofErr w:type="spellEnd"/>
      <w:r w:rsidRPr="00232068">
        <w:rPr>
          <w:b/>
          <w:lang w:val="x-none"/>
        </w:rPr>
        <w:t xml:space="preserve"> pe plot </w:t>
      </w:r>
    </w:p>
    <w:p w14:paraId="7237449C" w14:textId="77777777" w:rsidR="00FC026B" w:rsidRPr="00C56257" w:rsidRDefault="00FC026B" w:rsidP="00FC026B">
      <w:pPr>
        <w:autoSpaceDE w:val="0"/>
        <w:autoSpaceDN w:val="0"/>
        <w:adjustRightInd w:val="0"/>
        <w:ind w:firstLine="720"/>
        <w:jc w:val="both"/>
        <w:rPr>
          <w:color w:val="000000" w:themeColor="text1"/>
          <w:lang w:val="x-none"/>
        </w:rPr>
      </w:pPr>
      <w:proofErr w:type="spellStart"/>
      <w:r w:rsidRPr="00C56257">
        <w:rPr>
          <w:color w:val="000000" w:themeColor="text1"/>
          <w:lang w:val="x-none"/>
        </w:rPr>
        <w:t>Eșantionarea</w:t>
      </w:r>
      <w:proofErr w:type="spellEnd"/>
      <w:r w:rsidRPr="00C56257">
        <w:rPr>
          <w:color w:val="000000" w:themeColor="text1"/>
          <w:lang w:val="x-none"/>
        </w:rPr>
        <w:t xml:space="preserve"> </w:t>
      </w:r>
      <w:proofErr w:type="spellStart"/>
      <w:r w:rsidRPr="00C56257">
        <w:rPr>
          <w:color w:val="000000" w:themeColor="text1"/>
          <w:lang w:val="x-none"/>
        </w:rPr>
        <w:t>presupune</w:t>
      </w:r>
      <w:proofErr w:type="spellEnd"/>
      <w:r w:rsidRPr="00C56257">
        <w:rPr>
          <w:color w:val="000000" w:themeColor="text1"/>
          <w:lang w:val="x-none"/>
        </w:rPr>
        <w:t xml:space="preserve"> </w:t>
      </w:r>
      <w:proofErr w:type="spellStart"/>
      <w:r w:rsidRPr="00C56257">
        <w:rPr>
          <w:color w:val="000000" w:themeColor="text1"/>
          <w:lang w:val="x-none"/>
        </w:rPr>
        <w:t>colectarea</w:t>
      </w:r>
      <w:proofErr w:type="spellEnd"/>
      <w:r w:rsidRPr="00C56257">
        <w:rPr>
          <w:color w:val="000000" w:themeColor="text1"/>
          <w:lang w:val="x-none"/>
        </w:rPr>
        <w:t xml:space="preserve"> </w:t>
      </w:r>
      <w:proofErr w:type="spellStart"/>
      <w:r w:rsidRPr="00C56257">
        <w:rPr>
          <w:color w:val="000000" w:themeColor="text1"/>
          <w:lang w:val="x-none"/>
        </w:rPr>
        <w:t>probelor</w:t>
      </w:r>
      <w:proofErr w:type="spellEnd"/>
      <w:r w:rsidRPr="00C56257">
        <w:rPr>
          <w:color w:val="000000" w:themeColor="text1"/>
          <w:lang w:val="x-none"/>
        </w:rPr>
        <w:t xml:space="preserve"> de </w:t>
      </w:r>
      <w:proofErr w:type="spellStart"/>
      <w:r w:rsidRPr="00C56257">
        <w:rPr>
          <w:color w:val="000000" w:themeColor="text1"/>
          <w:lang w:val="x-none"/>
        </w:rPr>
        <w:t>biotă</w:t>
      </w:r>
      <w:proofErr w:type="spellEnd"/>
      <w:r w:rsidRPr="00C56257">
        <w:rPr>
          <w:color w:val="000000" w:themeColor="text1"/>
          <w:lang w:val="x-none"/>
        </w:rPr>
        <w:t xml:space="preserve">, </w:t>
      </w:r>
      <w:proofErr w:type="spellStart"/>
      <w:r w:rsidRPr="00C56257">
        <w:rPr>
          <w:color w:val="000000" w:themeColor="text1"/>
          <w:lang w:val="x-none"/>
        </w:rPr>
        <w:t>apă</w:t>
      </w:r>
      <w:proofErr w:type="spellEnd"/>
      <w:r w:rsidRPr="00C56257">
        <w:rPr>
          <w:color w:val="000000" w:themeColor="text1"/>
          <w:lang w:val="x-none"/>
        </w:rPr>
        <w:t xml:space="preserve"> </w:t>
      </w:r>
      <w:proofErr w:type="spellStart"/>
      <w:r w:rsidRPr="00C56257">
        <w:rPr>
          <w:color w:val="000000" w:themeColor="text1"/>
          <w:lang w:val="x-none"/>
        </w:rPr>
        <w:t>și</w:t>
      </w:r>
      <w:proofErr w:type="spellEnd"/>
      <w:r w:rsidRPr="00C56257">
        <w:rPr>
          <w:color w:val="000000" w:themeColor="text1"/>
          <w:lang w:val="x-none"/>
        </w:rPr>
        <w:t xml:space="preserve"> sediment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vederea</w:t>
      </w:r>
      <w:proofErr w:type="spellEnd"/>
      <w:r w:rsidRPr="00C56257">
        <w:rPr>
          <w:color w:val="000000" w:themeColor="text1"/>
          <w:lang w:val="x-none"/>
        </w:rPr>
        <w:t xml:space="preserve"> </w:t>
      </w:r>
      <w:proofErr w:type="spellStart"/>
      <w:r w:rsidRPr="00C56257">
        <w:rPr>
          <w:color w:val="000000" w:themeColor="text1"/>
          <w:lang w:val="x-none"/>
        </w:rPr>
        <w:t>caracterizării</w:t>
      </w:r>
      <w:proofErr w:type="spellEnd"/>
      <w:r w:rsidRPr="00C56257">
        <w:rPr>
          <w:color w:val="000000" w:themeColor="text1"/>
          <w:lang w:val="x-none"/>
        </w:rPr>
        <w:t xml:space="preserve"> </w:t>
      </w:r>
      <w:proofErr w:type="spellStart"/>
      <w:r w:rsidRPr="00C56257">
        <w:rPr>
          <w:color w:val="000000" w:themeColor="text1"/>
          <w:lang w:val="x-none"/>
        </w:rPr>
        <w:t>habitatelor</w:t>
      </w:r>
      <w:proofErr w:type="spellEnd"/>
      <w:r w:rsidRPr="00C56257">
        <w:rPr>
          <w:color w:val="000000" w:themeColor="text1"/>
          <w:lang w:val="x-none"/>
        </w:rPr>
        <w:t xml:space="preserve"> </w:t>
      </w:r>
      <w:proofErr w:type="spellStart"/>
      <w:r w:rsidRPr="00C56257">
        <w:rPr>
          <w:color w:val="000000" w:themeColor="text1"/>
          <w:lang w:val="x-none"/>
        </w:rPr>
        <w:t>studiate</w:t>
      </w:r>
      <w:proofErr w:type="spellEnd"/>
      <w:r w:rsidRPr="00C56257">
        <w:rPr>
          <w:color w:val="000000" w:themeColor="text1"/>
          <w:lang w:val="x-none"/>
        </w:rPr>
        <w:t xml:space="preserve">. </w:t>
      </w:r>
      <w:proofErr w:type="spellStart"/>
      <w:r w:rsidRPr="00C56257">
        <w:rPr>
          <w:color w:val="000000" w:themeColor="text1"/>
          <w:lang w:val="x-none"/>
        </w:rPr>
        <w:t>Cantitățile</w:t>
      </w:r>
      <w:proofErr w:type="spellEnd"/>
      <w:r w:rsidRPr="00C56257">
        <w:rPr>
          <w:color w:val="000000" w:themeColor="text1"/>
          <w:lang w:val="x-none"/>
        </w:rPr>
        <w:t xml:space="preserve"> </w:t>
      </w:r>
      <w:proofErr w:type="spellStart"/>
      <w:r w:rsidRPr="00C56257">
        <w:rPr>
          <w:color w:val="000000" w:themeColor="text1"/>
          <w:lang w:val="x-none"/>
        </w:rPr>
        <w:t>prelevate</w:t>
      </w:r>
      <w:proofErr w:type="spellEnd"/>
      <w:r w:rsidRPr="00C56257">
        <w:rPr>
          <w:color w:val="000000" w:themeColor="text1"/>
          <w:lang w:val="x-none"/>
        </w:rPr>
        <w:t xml:space="preserve"> sunt </w:t>
      </w:r>
      <w:proofErr w:type="spellStart"/>
      <w:r w:rsidRPr="00C56257">
        <w:rPr>
          <w:color w:val="000000" w:themeColor="text1"/>
          <w:lang w:val="x-none"/>
        </w:rPr>
        <w:t>diferite</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funcție</w:t>
      </w:r>
      <w:proofErr w:type="spellEnd"/>
      <w:r w:rsidRPr="00C56257">
        <w:rPr>
          <w:color w:val="000000" w:themeColor="text1"/>
          <w:lang w:val="x-none"/>
        </w:rPr>
        <w:t xml:space="preserve"> de </w:t>
      </w:r>
      <w:proofErr w:type="spellStart"/>
      <w:r w:rsidRPr="00C56257">
        <w:rPr>
          <w:color w:val="000000" w:themeColor="text1"/>
          <w:lang w:val="x-none"/>
        </w:rPr>
        <w:t>atributele</w:t>
      </w:r>
      <w:proofErr w:type="spellEnd"/>
      <w:r w:rsidRPr="00C56257">
        <w:rPr>
          <w:color w:val="000000" w:themeColor="text1"/>
          <w:lang w:val="x-none"/>
        </w:rPr>
        <w:t xml:space="preserve"> care </w:t>
      </w:r>
      <w:proofErr w:type="spellStart"/>
      <w:r w:rsidRPr="00C56257">
        <w:rPr>
          <w:color w:val="000000" w:themeColor="text1"/>
          <w:lang w:val="x-none"/>
        </w:rPr>
        <w:t>urmează</w:t>
      </w:r>
      <w:proofErr w:type="spellEnd"/>
      <w:r w:rsidRPr="00C56257">
        <w:rPr>
          <w:color w:val="000000" w:themeColor="text1"/>
          <w:lang w:val="x-none"/>
        </w:rPr>
        <w:t xml:space="preserve"> a fi </w:t>
      </w:r>
      <w:proofErr w:type="spellStart"/>
      <w:r w:rsidRPr="00C56257">
        <w:rPr>
          <w:color w:val="000000" w:themeColor="text1"/>
          <w:lang w:val="x-none"/>
        </w:rPr>
        <w:t>monitorizate</w:t>
      </w:r>
      <w:proofErr w:type="spellEnd"/>
      <w:r w:rsidRPr="00C56257">
        <w:rPr>
          <w:color w:val="000000" w:themeColor="text1"/>
          <w:lang w:val="x-none"/>
        </w:rPr>
        <w:t xml:space="preserve">. </w:t>
      </w:r>
      <w:proofErr w:type="spellStart"/>
      <w:r w:rsidRPr="00C56257">
        <w:rPr>
          <w:color w:val="000000" w:themeColor="text1"/>
          <w:lang w:val="x-none"/>
        </w:rPr>
        <w:t>Acestea</w:t>
      </w:r>
      <w:proofErr w:type="spellEnd"/>
      <w:r w:rsidRPr="00C56257">
        <w:rPr>
          <w:color w:val="000000" w:themeColor="text1"/>
          <w:lang w:val="x-none"/>
        </w:rPr>
        <w:t xml:space="preserve"> </w:t>
      </w:r>
      <w:proofErr w:type="spellStart"/>
      <w:r w:rsidRPr="00C56257">
        <w:rPr>
          <w:color w:val="000000" w:themeColor="text1"/>
          <w:lang w:val="x-none"/>
        </w:rPr>
        <w:t>diferă</w:t>
      </w:r>
      <w:proofErr w:type="spellEnd"/>
      <w:r w:rsidRPr="00C56257">
        <w:rPr>
          <w:color w:val="000000" w:themeColor="text1"/>
          <w:lang w:val="x-none"/>
        </w:rPr>
        <w:t xml:space="preserve"> de la un tip de habitat la </w:t>
      </w:r>
      <w:proofErr w:type="spellStart"/>
      <w:r w:rsidRPr="00C56257">
        <w:rPr>
          <w:color w:val="000000" w:themeColor="text1"/>
          <w:lang w:val="x-none"/>
        </w:rPr>
        <w:t>altul</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funcţiile</w:t>
      </w:r>
      <w:proofErr w:type="spellEnd"/>
      <w:r w:rsidRPr="00C56257">
        <w:rPr>
          <w:color w:val="000000" w:themeColor="text1"/>
          <w:lang w:val="x-none"/>
        </w:rPr>
        <w:t xml:space="preserve"> de </w:t>
      </w:r>
      <w:proofErr w:type="spellStart"/>
      <w:r w:rsidRPr="00C56257">
        <w:rPr>
          <w:color w:val="000000" w:themeColor="text1"/>
          <w:lang w:val="x-none"/>
        </w:rPr>
        <w:t>caracteristice</w:t>
      </w:r>
      <w:proofErr w:type="spellEnd"/>
      <w:r w:rsidRPr="00C56257">
        <w:rPr>
          <w:color w:val="000000" w:themeColor="text1"/>
          <w:lang w:val="x-none"/>
        </w:rPr>
        <w:t xml:space="preserve"> </w:t>
      </w:r>
      <w:proofErr w:type="spellStart"/>
      <w:r w:rsidRPr="00C56257">
        <w:rPr>
          <w:color w:val="000000" w:themeColor="text1"/>
          <w:lang w:val="x-none"/>
        </w:rPr>
        <w:t>acestora</w:t>
      </w:r>
      <w:proofErr w:type="spellEnd"/>
      <w:r w:rsidRPr="00C56257">
        <w:rPr>
          <w:color w:val="000000" w:themeColor="text1"/>
          <w:lang w:val="x-none"/>
        </w:rPr>
        <w:t>.</w:t>
      </w:r>
    </w:p>
    <w:p w14:paraId="4D5016D2" w14:textId="77777777" w:rsidR="00FC026B" w:rsidRPr="00C56257" w:rsidRDefault="00FC026B" w:rsidP="00FC026B">
      <w:pPr>
        <w:autoSpaceDE w:val="0"/>
        <w:autoSpaceDN w:val="0"/>
        <w:adjustRightInd w:val="0"/>
        <w:ind w:firstLine="720"/>
        <w:jc w:val="both"/>
        <w:rPr>
          <w:color w:val="000000" w:themeColor="text1"/>
          <w:lang w:val="x-none"/>
        </w:rPr>
      </w:pPr>
      <w:proofErr w:type="spellStart"/>
      <w:r w:rsidRPr="00C56257">
        <w:rPr>
          <w:color w:val="000000" w:themeColor="text1"/>
          <w:lang w:val="x-none"/>
        </w:rPr>
        <w:t>Colectarea</w:t>
      </w:r>
      <w:proofErr w:type="spellEnd"/>
      <w:r w:rsidRPr="00C56257">
        <w:rPr>
          <w:color w:val="000000" w:themeColor="text1"/>
          <w:lang w:val="x-none"/>
        </w:rPr>
        <w:t xml:space="preserve"> se face pe mare </w:t>
      </w:r>
      <w:proofErr w:type="spellStart"/>
      <w:r w:rsidRPr="00C56257">
        <w:rPr>
          <w:color w:val="000000" w:themeColor="text1"/>
          <w:lang w:val="x-none"/>
        </w:rPr>
        <w:t>sau</w:t>
      </w:r>
      <w:proofErr w:type="spellEnd"/>
      <w:r w:rsidRPr="00C56257">
        <w:rPr>
          <w:color w:val="000000" w:themeColor="text1"/>
          <w:lang w:val="x-none"/>
        </w:rPr>
        <w:t xml:space="preserve"> </w:t>
      </w:r>
      <w:proofErr w:type="spellStart"/>
      <w:r w:rsidRPr="00C56257">
        <w:rPr>
          <w:color w:val="000000" w:themeColor="text1"/>
          <w:lang w:val="x-none"/>
        </w:rPr>
        <w:t>lagun</w:t>
      </w:r>
      <w:r w:rsidRPr="00C56257">
        <w:rPr>
          <w:color w:val="000000" w:themeColor="text1"/>
        </w:rPr>
        <w:t>ă</w:t>
      </w:r>
      <w:proofErr w:type="spellEnd"/>
      <w:r w:rsidRPr="00C56257">
        <w:rPr>
          <w:color w:val="000000" w:themeColor="text1"/>
          <w:lang w:val="x-none"/>
        </w:rPr>
        <w:t xml:space="preserve"> cu </w:t>
      </w:r>
      <w:proofErr w:type="spellStart"/>
      <w:r w:rsidRPr="00C56257">
        <w:rPr>
          <w:color w:val="000000" w:themeColor="text1"/>
          <w:lang w:val="x-none"/>
        </w:rPr>
        <w:t>barca</w:t>
      </w:r>
      <w:proofErr w:type="spellEnd"/>
      <w:r w:rsidRPr="00C56257">
        <w:rPr>
          <w:color w:val="000000" w:themeColor="text1"/>
          <w:lang w:val="x-none"/>
        </w:rPr>
        <w:t>/</w:t>
      </w:r>
      <w:proofErr w:type="spellStart"/>
      <w:r w:rsidRPr="00C56257">
        <w:rPr>
          <w:color w:val="000000" w:themeColor="text1"/>
          <w:lang w:val="x-none"/>
        </w:rPr>
        <w:t>nav</w:t>
      </w:r>
      <w:r w:rsidRPr="00C56257">
        <w:rPr>
          <w:color w:val="000000" w:themeColor="text1"/>
        </w:rPr>
        <w:t>ă</w:t>
      </w:r>
      <w:proofErr w:type="spellEnd"/>
      <w:r w:rsidRPr="00C56257">
        <w:rPr>
          <w:color w:val="000000" w:themeColor="text1"/>
          <w:lang w:val="x-none"/>
        </w:rPr>
        <w:t xml:space="preserve"> </w:t>
      </w:r>
      <w:proofErr w:type="spellStart"/>
      <w:r w:rsidRPr="00C56257">
        <w:rPr>
          <w:color w:val="000000" w:themeColor="text1"/>
          <w:lang w:val="x-none"/>
        </w:rPr>
        <w:t>sau</w:t>
      </w:r>
      <w:proofErr w:type="spellEnd"/>
      <w:r w:rsidRPr="00C56257">
        <w:rPr>
          <w:color w:val="000000" w:themeColor="text1"/>
          <w:lang w:val="x-none"/>
        </w:rPr>
        <w:t xml:space="preserve"> pe </w:t>
      </w:r>
      <w:proofErr w:type="spellStart"/>
      <w:r w:rsidRPr="00C56257">
        <w:rPr>
          <w:color w:val="000000" w:themeColor="text1"/>
          <w:lang w:val="x-none"/>
        </w:rPr>
        <w:t>uscat</w:t>
      </w:r>
      <w:proofErr w:type="spellEnd"/>
      <w:r w:rsidRPr="00C56257">
        <w:rPr>
          <w:color w:val="000000" w:themeColor="text1"/>
          <w:lang w:val="x-none"/>
        </w:rPr>
        <w:t xml:space="preserve">, </w:t>
      </w:r>
      <w:proofErr w:type="spellStart"/>
      <w:r w:rsidRPr="00C56257">
        <w:rPr>
          <w:color w:val="000000" w:themeColor="text1"/>
          <w:lang w:val="x-none"/>
        </w:rPr>
        <w:t>ţinând</w:t>
      </w:r>
      <w:proofErr w:type="spellEnd"/>
      <w:r w:rsidRPr="00C56257">
        <w:rPr>
          <w:color w:val="000000" w:themeColor="text1"/>
          <w:lang w:val="x-none"/>
        </w:rPr>
        <w:t xml:space="preserve"> </w:t>
      </w:r>
      <w:proofErr w:type="spellStart"/>
      <w:r w:rsidRPr="00C56257">
        <w:rPr>
          <w:color w:val="000000" w:themeColor="text1"/>
          <w:lang w:val="x-none"/>
        </w:rPr>
        <w:t>cont</w:t>
      </w:r>
      <w:proofErr w:type="spellEnd"/>
      <w:r w:rsidRPr="00C56257">
        <w:rPr>
          <w:color w:val="000000" w:themeColor="text1"/>
          <w:lang w:val="x-none"/>
        </w:rPr>
        <w:t xml:space="preserve"> de </w:t>
      </w:r>
      <w:proofErr w:type="spellStart"/>
      <w:r w:rsidRPr="00C56257">
        <w:rPr>
          <w:color w:val="000000" w:themeColor="text1"/>
          <w:lang w:val="x-none"/>
        </w:rPr>
        <w:t>cond</w:t>
      </w:r>
      <w:r w:rsidRPr="00C56257">
        <w:rPr>
          <w:color w:val="000000" w:themeColor="text1"/>
        </w:rPr>
        <w:t>i</w:t>
      </w:r>
      <w:r w:rsidRPr="00C56257">
        <w:rPr>
          <w:color w:val="000000" w:themeColor="text1"/>
          <w:lang w:val="x-none"/>
        </w:rPr>
        <w:t>tiile</w:t>
      </w:r>
      <w:proofErr w:type="spellEnd"/>
      <w:r w:rsidRPr="00C56257">
        <w:rPr>
          <w:color w:val="000000" w:themeColor="text1"/>
          <w:lang w:val="x-none"/>
        </w:rPr>
        <w:t xml:space="preserve"> locale. </w:t>
      </w:r>
      <w:proofErr w:type="spellStart"/>
      <w:r w:rsidRPr="00C56257">
        <w:rPr>
          <w:color w:val="000000" w:themeColor="text1"/>
          <w:lang w:val="x-none"/>
        </w:rPr>
        <w:t>Cartarea</w:t>
      </w:r>
      <w:proofErr w:type="spellEnd"/>
      <w:r w:rsidRPr="00C56257">
        <w:rPr>
          <w:color w:val="000000" w:themeColor="text1"/>
          <w:lang w:val="x-none"/>
        </w:rPr>
        <w:t xml:space="preserve"> </w:t>
      </w:r>
      <w:proofErr w:type="spellStart"/>
      <w:r w:rsidRPr="00C56257">
        <w:rPr>
          <w:color w:val="000000" w:themeColor="text1"/>
          <w:lang w:val="x-none"/>
        </w:rPr>
        <w:t>staţiilor</w:t>
      </w:r>
      <w:proofErr w:type="spellEnd"/>
      <w:r w:rsidRPr="00C56257">
        <w:rPr>
          <w:color w:val="000000" w:themeColor="text1"/>
          <w:lang w:val="x-none"/>
        </w:rPr>
        <w:t xml:space="preserve"> de </w:t>
      </w:r>
      <w:proofErr w:type="spellStart"/>
      <w:r w:rsidRPr="00C56257">
        <w:rPr>
          <w:color w:val="000000" w:themeColor="text1"/>
          <w:lang w:val="x-none"/>
        </w:rPr>
        <w:t>colectare</w:t>
      </w:r>
      <w:proofErr w:type="spellEnd"/>
      <w:r w:rsidRPr="00C56257">
        <w:rPr>
          <w:color w:val="000000" w:themeColor="text1"/>
          <w:lang w:val="x-none"/>
        </w:rPr>
        <w:t xml:space="preserve"> se </w:t>
      </w:r>
      <w:proofErr w:type="spellStart"/>
      <w:r w:rsidRPr="00C56257">
        <w:rPr>
          <w:color w:val="000000" w:themeColor="text1"/>
          <w:lang w:val="x-none"/>
        </w:rPr>
        <w:t>realizează</w:t>
      </w:r>
      <w:proofErr w:type="spellEnd"/>
      <w:r w:rsidRPr="00C56257">
        <w:rPr>
          <w:color w:val="000000" w:themeColor="text1"/>
          <w:lang w:val="x-none"/>
        </w:rPr>
        <w:t xml:space="preserve"> </w:t>
      </w:r>
      <w:proofErr w:type="spellStart"/>
      <w:r w:rsidRPr="00C56257">
        <w:rPr>
          <w:color w:val="000000" w:themeColor="text1"/>
          <w:lang w:val="x-none"/>
        </w:rPr>
        <w:t>utilizând</w:t>
      </w:r>
      <w:proofErr w:type="spellEnd"/>
      <w:r w:rsidRPr="00C56257">
        <w:rPr>
          <w:color w:val="000000" w:themeColor="text1"/>
          <w:lang w:val="x-none"/>
        </w:rPr>
        <w:t xml:space="preserve"> </w:t>
      </w:r>
      <w:proofErr w:type="spellStart"/>
      <w:r w:rsidRPr="00C56257">
        <w:rPr>
          <w:color w:val="000000" w:themeColor="text1"/>
          <w:lang w:val="x-none"/>
        </w:rPr>
        <w:t>echipamente</w:t>
      </w:r>
      <w:proofErr w:type="spellEnd"/>
      <w:r w:rsidRPr="00C56257">
        <w:rPr>
          <w:color w:val="000000" w:themeColor="text1"/>
          <w:lang w:val="x-none"/>
        </w:rPr>
        <w:t xml:space="preserve"> </w:t>
      </w:r>
      <w:proofErr w:type="spellStart"/>
      <w:r w:rsidRPr="00C56257">
        <w:rPr>
          <w:color w:val="000000" w:themeColor="text1"/>
          <w:lang w:val="x-none"/>
        </w:rPr>
        <w:t>specifice</w:t>
      </w:r>
      <w:proofErr w:type="spellEnd"/>
      <w:r w:rsidRPr="00C56257">
        <w:rPr>
          <w:color w:val="000000" w:themeColor="text1"/>
          <w:lang w:val="x-none"/>
        </w:rPr>
        <w:t xml:space="preserve">: </w:t>
      </w:r>
      <w:proofErr w:type="spellStart"/>
      <w:r w:rsidRPr="00C56257">
        <w:rPr>
          <w:color w:val="000000" w:themeColor="text1"/>
          <w:lang w:val="x-none"/>
        </w:rPr>
        <w:t>ecosonda</w:t>
      </w:r>
      <w:proofErr w:type="spellEnd"/>
      <w:r w:rsidRPr="00C56257">
        <w:rPr>
          <w:color w:val="000000" w:themeColor="text1"/>
          <w:lang w:val="x-none"/>
        </w:rPr>
        <w:t xml:space="preserve"> multibeam </w:t>
      </w:r>
      <w:proofErr w:type="spellStart"/>
      <w:r w:rsidRPr="00C56257">
        <w:rPr>
          <w:color w:val="000000" w:themeColor="text1"/>
          <w:lang w:val="x-none"/>
        </w:rPr>
        <w:t>şi</w:t>
      </w:r>
      <w:proofErr w:type="spellEnd"/>
      <w:r w:rsidRPr="00C56257">
        <w:rPr>
          <w:color w:val="000000" w:themeColor="text1"/>
          <w:lang w:val="x-none"/>
        </w:rPr>
        <w:t>/</w:t>
      </w:r>
      <w:proofErr w:type="spellStart"/>
      <w:r w:rsidRPr="00C56257">
        <w:rPr>
          <w:color w:val="000000" w:themeColor="text1"/>
          <w:lang w:val="x-none"/>
        </w:rPr>
        <w:t>sau</w:t>
      </w:r>
      <w:proofErr w:type="spellEnd"/>
      <w:r w:rsidRPr="00C56257">
        <w:rPr>
          <w:color w:val="000000" w:themeColor="text1"/>
          <w:lang w:val="x-none"/>
        </w:rPr>
        <w:t xml:space="preserve"> side-scan (</w:t>
      </w:r>
      <w:proofErr w:type="spellStart"/>
      <w:r w:rsidRPr="00C56257">
        <w:rPr>
          <w:color w:val="000000" w:themeColor="text1"/>
          <w:lang w:val="x-none"/>
        </w:rPr>
        <w:t>scanare</w:t>
      </w:r>
      <w:proofErr w:type="spellEnd"/>
      <w:r w:rsidRPr="00C56257">
        <w:rPr>
          <w:color w:val="000000" w:themeColor="text1"/>
          <w:lang w:val="x-none"/>
        </w:rPr>
        <w:t xml:space="preserve"> </w:t>
      </w:r>
      <w:proofErr w:type="spellStart"/>
      <w:r w:rsidRPr="00C56257">
        <w:rPr>
          <w:color w:val="000000" w:themeColor="text1"/>
          <w:lang w:val="x-none"/>
        </w:rPr>
        <w:t>laterală</w:t>
      </w:r>
      <w:proofErr w:type="spellEnd"/>
      <w:r w:rsidRPr="00C56257">
        <w:rPr>
          <w:color w:val="000000" w:themeColor="text1"/>
          <w:lang w:val="x-none"/>
        </w:rPr>
        <w:t xml:space="preserve">), GPS, </w:t>
      </w:r>
      <w:proofErr w:type="spellStart"/>
      <w:r w:rsidRPr="00C56257">
        <w:rPr>
          <w:color w:val="000000" w:themeColor="text1"/>
          <w:lang w:val="x-none"/>
        </w:rPr>
        <w:t>drona</w:t>
      </w:r>
      <w:proofErr w:type="spellEnd"/>
      <w:r w:rsidRPr="00C56257">
        <w:rPr>
          <w:color w:val="000000" w:themeColor="text1"/>
          <w:lang w:val="x-none"/>
        </w:rPr>
        <w:t xml:space="preserve">, </w:t>
      </w:r>
      <w:proofErr w:type="spellStart"/>
      <w:r w:rsidRPr="00C56257">
        <w:rPr>
          <w:color w:val="000000" w:themeColor="text1"/>
          <w:lang w:val="x-none"/>
        </w:rPr>
        <w:t>echipament</w:t>
      </w:r>
      <w:proofErr w:type="spellEnd"/>
      <w:r w:rsidRPr="00C56257">
        <w:rPr>
          <w:color w:val="000000" w:themeColor="text1"/>
          <w:lang w:val="x-none"/>
        </w:rPr>
        <w:t xml:space="preserve"> </w:t>
      </w:r>
      <w:proofErr w:type="spellStart"/>
      <w:r w:rsidRPr="00C56257">
        <w:rPr>
          <w:color w:val="000000" w:themeColor="text1"/>
          <w:lang w:val="x-none"/>
        </w:rPr>
        <w:t>topografic</w:t>
      </w:r>
      <w:proofErr w:type="spellEnd"/>
      <w:r w:rsidRPr="00C56257">
        <w:rPr>
          <w:color w:val="000000" w:themeColor="text1"/>
          <w:lang w:val="x-none"/>
        </w:rPr>
        <w:t xml:space="preserve">. </w:t>
      </w:r>
    </w:p>
    <w:p w14:paraId="148863C3" w14:textId="77777777" w:rsidR="00FC026B" w:rsidRPr="00C56257" w:rsidRDefault="00FC026B" w:rsidP="00FC026B">
      <w:pPr>
        <w:autoSpaceDE w:val="0"/>
        <w:autoSpaceDN w:val="0"/>
        <w:adjustRightInd w:val="0"/>
        <w:jc w:val="both"/>
        <w:rPr>
          <w:color w:val="000000" w:themeColor="text1"/>
          <w:lang w:val="x-none"/>
        </w:rPr>
      </w:pPr>
      <w:r w:rsidRPr="00C56257">
        <w:rPr>
          <w:color w:val="000000" w:themeColor="text1"/>
          <w:lang w:val="x-none"/>
        </w:rPr>
        <w:tab/>
      </w:r>
      <w:proofErr w:type="spellStart"/>
      <w:r w:rsidRPr="00C56257">
        <w:rPr>
          <w:color w:val="000000" w:themeColor="text1"/>
          <w:lang w:val="x-none"/>
        </w:rPr>
        <w:t>Metodele</w:t>
      </w:r>
      <w:proofErr w:type="spellEnd"/>
      <w:r w:rsidRPr="00C56257">
        <w:rPr>
          <w:color w:val="000000" w:themeColor="text1"/>
          <w:lang w:val="x-none"/>
        </w:rPr>
        <w:t xml:space="preserve"> de </w:t>
      </w:r>
      <w:proofErr w:type="spellStart"/>
      <w:r w:rsidRPr="00C56257">
        <w:rPr>
          <w:color w:val="000000" w:themeColor="text1"/>
          <w:lang w:val="x-none"/>
        </w:rPr>
        <w:t>colectare</w:t>
      </w:r>
      <w:proofErr w:type="spellEnd"/>
      <w:r w:rsidRPr="00C56257">
        <w:rPr>
          <w:color w:val="000000" w:themeColor="text1"/>
          <w:lang w:val="x-none"/>
        </w:rPr>
        <w:t xml:space="preserve"> sunt </w:t>
      </w:r>
      <w:proofErr w:type="spellStart"/>
      <w:r w:rsidRPr="00C56257">
        <w:rPr>
          <w:color w:val="000000" w:themeColor="text1"/>
          <w:lang w:val="x-none"/>
        </w:rPr>
        <w:t>prezentate</w:t>
      </w:r>
      <w:proofErr w:type="spellEnd"/>
      <w:r w:rsidRPr="00C56257">
        <w:rPr>
          <w:color w:val="000000" w:themeColor="text1"/>
          <w:lang w:val="x-none"/>
        </w:rPr>
        <w:t xml:space="preserve"> anterior </w:t>
      </w:r>
      <w:proofErr w:type="spellStart"/>
      <w:r w:rsidRPr="00C56257">
        <w:rPr>
          <w:color w:val="000000" w:themeColor="text1"/>
          <w:lang w:val="x-none"/>
        </w:rPr>
        <w:t>urmărindu</w:t>
      </w:r>
      <w:proofErr w:type="spellEnd"/>
      <w:r w:rsidRPr="00C56257">
        <w:rPr>
          <w:color w:val="000000" w:themeColor="text1"/>
          <w:lang w:val="x-none"/>
        </w:rPr>
        <w:t xml:space="preserve">-se </w:t>
      </w:r>
      <w:proofErr w:type="spellStart"/>
      <w:r w:rsidRPr="00C56257">
        <w:rPr>
          <w:color w:val="000000" w:themeColor="text1"/>
          <w:lang w:val="x-none"/>
        </w:rPr>
        <w:t>parametrii</w:t>
      </w:r>
      <w:proofErr w:type="spellEnd"/>
      <w:r w:rsidRPr="00C56257">
        <w:rPr>
          <w:color w:val="000000" w:themeColor="text1"/>
          <w:lang w:val="x-none"/>
        </w:rPr>
        <w:t xml:space="preserve"> </w:t>
      </w:r>
      <w:proofErr w:type="spellStart"/>
      <w:r w:rsidRPr="00C56257">
        <w:rPr>
          <w:color w:val="000000" w:themeColor="text1"/>
          <w:lang w:val="x-none"/>
        </w:rPr>
        <w:t>specifici</w:t>
      </w:r>
      <w:proofErr w:type="spellEnd"/>
      <w:r w:rsidRPr="00C56257">
        <w:rPr>
          <w:color w:val="000000" w:themeColor="text1"/>
          <w:lang w:val="x-none"/>
        </w:rPr>
        <w:t xml:space="preserve"> </w:t>
      </w:r>
      <w:proofErr w:type="spellStart"/>
      <w:r w:rsidRPr="00C56257">
        <w:rPr>
          <w:color w:val="000000" w:themeColor="text1"/>
          <w:lang w:val="x-none"/>
        </w:rPr>
        <w:t>tipului</w:t>
      </w:r>
      <w:proofErr w:type="spellEnd"/>
      <w:r w:rsidRPr="00C56257">
        <w:rPr>
          <w:color w:val="000000" w:themeColor="text1"/>
          <w:lang w:val="x-none"/>
        </w:rPr>
        <w:t xml:space="preserve"> de habitat, conform </w:t>
      </w:r>
      <w:proofErr w:type="spellStart"/>
      <w:r w:rsidRPr="00C56257">
        <w:rPr>
          <w:color w:val="000000" w:themeColor="text1"/>
          <w:lang w:val="x-none"/>
        </w:rPr>
        <w:t>fi</w:t>
      </w:r>
      <w:r w:rsidRPr="00C56257">
        <w:rPr>
          <w:color w:val="000000" w:themeColor="text1"/>
        </w:rPr>
        <w:t>ș</w:t>
      </w:r>
      <w:r w:rsidRPr="00C56257">
        <w:rPr>
          <w:color w:val="000000" w:themeColor="text1"/>
          <w:lang w:val="x-none"/>
        </w:rPr>
        <w:t>elor</w:t>
      </w:r>
      <w:proofErr w:type="spellEnd"/>
      <w:r w:rsidRPr="00C56257">
        <w:rPr>
          <w:color w:val="000000" w:themeColor="text1"/>
          <w:lang w:val="x-none"/>
        </w:rPr>
        <w:t xml:space="preserve"> de </w:t>
      </w:r>
      <w:proofErr w:type="spellStart"/>
      <w:r w:rsidRPr="00C56257">
        <w:rPr>
          <w:color w:val="000000" w:themeColor="text1"/>
          <w:lang w:val="x-none"/>
        </w:rPr>
        <w:t>monitorizare</w:t>
      </w:r>
      <w:proofErr w:type="spellEnd"/>
      <w:r w:rsidRPr="00C56257">
        <w:rPr>
          <w:color w:val="000000" w:themeColor="text1"/>
          <w:lang w:val="x-none"/>
        </w:rPr>
        <w:t xml:space="preserve"> (</w:t>
      </w:r>
      <w:proofErr w:type="spellStart"/>
      <w:r w:rsidRPr="00C56257">
        <w:rPr>
          <w:color w:val="000000" w:themeColor="text1"/>
          <w:lang w:val="x-none"/>
        </w:rPr>
        <w:t>secţiune</w:t>
      </w:r>
      <w:proofErr w:type="spellEnd"/>
      <w:r w:rsidRPr="00C56257">
        <w:rPr>
          <w:color w:val="000000" w:themeColor="text1"/>
          <w:lang w:val="x-none"/>
        </w:rPr>
        <w:t xml:space="preserve"> </w:t>
      </w:r>
      <w:proofErr w:type="spellStart"/>
      <w:r w:rsidRPr="00C56257">
        <w:rPr>
          <w:color w:val="000000" w:themeColor="text1"/>
          <w:lang w:val="x-none"/>
        </w:rPr>
        <w:t>prelevare</w:t>
      </w:r>
      <w:proofErr w:type="spellEnd"/>
      <w:r w:rsidRPr="00C56257">
        <w:rPr>
          <w:color w:val="000000" w:themeColor="text1"/>
          <w:lang w:val="x-none"/>
        </w:rPr>
        <w:t xml:space="preserve"> probe). </w:t>
      </w:r>
      <w:proofErr w:type="spellStart"/>
      <w:r w:rsidRPr="00C56257">
        <w:rPr>
          <w:color w:val="000000" w:themeColor="text1"/>
          <w:lang w:val="x-none"/>
        </w:rPr>
        <w:t>Probele</w:t>
      </w:r>
      <w:proofErr w:type="spellEnd"/>
      <w:r w:rsidRPr="00C56257">
        <w:rPr>
          <w:color w:val="000000" w:themeColor="text1"/>
          <w:lang w:val="x-none"/>
        </w:rPr>
        <w:t xml:space="preserve"> sunt </w:t>
      </w:r>
      <w:proofErr w:type="spellStart"/>
      <w:r w:rsidRPr="00C56257">
        <w:rPr>
          <w:color w:val="000000" w:themeColor="text1"/>
          <w:lang w:val="x-none"/>
        </w:rPr>
        <w:t>etichetate</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conservate (</w:t>
      </w:r>
      <w:proofErr w:type="spellStart"/>
      <w:r w:rsidRPr="00C56257">
        <w:rPr>
          <w:color w:val="000000" w:themeColor="text1"/>
          <w:lang w:val="x-none"/>
        </w:rPr>
        <w:t>formolizare</w:t>
      </w:r>
      <w:proofErr w:type="spellEnd"/>
      <w:r w:rsidRPr="00C56257">
        <w:rPr>
          <w:color w:val="000000" w:themeColor="text1"/>
          <w:lang w:val="x-none"/>
        </w:rPr>
        <w:t xml:space="preserve">, </w:t>
      </w:r>
      <w:proofErr w:type="spellStart"/>
      <w:r w:rsidRPr="00C56257">
        <w:rPr>
          <w:color w:val="000000" w:themeColor="text1"/>
          <w:lang w:val="x-none"/>
        </w:rPr>
        <w:t>ţinute</w:t>
      </w:r>
      <w:proofErr w:type="spellEnd"/>
      <w:r w:rsidRPr="00C56257">
        <w:rPr>
          <w:color w:val="000000" w:themeColor="text1"/>
          <w:lang w:val="x-none"/>
        </w:rPr>
        <w:t xml:space="preserve"> la </w:t>
      </w:r>
      <w:proofErr w:type="spellStart"/>
      <w:r w:rsidRPr="00C56257">
        <w:rPr>
          <w:color w:val="000000" w:themeColor="text1"/>
          <w:lang w:val="x-none"/>
        </w:rPr>
        <w:t>rece</w:t>
      </w:r>
      <w:proofErr w:type="spellEnd"/>
      <w:r w:rsidRPr="00C56257">
        <w:rPr>
          <w:color w:val="000000" w:themeColor="text1"/>
          <w:lang w:val="x-none"/>
        </w:rPr>
        <w:t xml:space="preserve"> etc.)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vederea</w:t>
      </w:r>
      <w:proofErr w:type="spellEnd"/>
      <w:r w:rsidRPr="00C56257">
        <w:rPr>
          <w:color w:val="000000" w:themeColor="text1"/>
          <w:lang w:val="x-none"/>
        </w:rPr>
        <w:t xml:space="preserve"> </w:t>
      </w:r>
      <w:proofErr w:type="spellStart"/>
      <w:r w:rsidRPr="00C56257">
        <w:rPr>
          <w:color w:val="000000" w:themeColor="text1"/>
          <w:lang w:val="x-none"/>
        </w:rPr>
        <w:t>analizelor</w:t>
      </w:r>
      <w:proofErr w:type="spellEnd"/>
      <w:r w:rsidRPr="00C56257">
        <w:rPr>
          <w:color w:val="000000" w:themeColor="text1"/>
          <w:lang w:val="x-none"/>
        </w:rPr>
        <w:t xml:space="preserve"> de </w:t>
      </w:r>
      <w:proofErr w:type="spellStart"/>
      <w:r w:rsidRPr="00C56257">
        <w:rPr>
          <w:color w:val="000000" w:themeColor="text1"/>
          <w:lang w:val="x-none"/>
        </w:rPr>
        <w:t>laborator</w:t>
      </w:r>
      <w:proofErr w:type="spellEnd"/>
      <w:r w:rsidRPr="00C56257">
        <w:rPr>
          <w:color w:val="000000" w:themeColor="text1"/>
          <w:lang w:val="x-none"/>
        </w:rPr>
        <w:t xml:space="preserve">. </w:t>
      </w:r>
      <w:proofErr w:type="spellStart"/>
      <w:r w:rsidRPr="00C56257">
        <w:rPr>
          <w:color w:val="000000" w:themeColor="text1"/>
          <w:lang w:val="x-none"/>
        </w:rPr>
        <w:t>Parametri</w:t>
      </w:r>
      <w:r w:rsidRPr="00C56257">
        <w:rPr>
          <w:color w:val="000000" w:themeColor="text1"/>
        </w:rPr>
        <w:t>i</w:t>
      </w:r>
      <w:proofErr w:type="spellEnd"/>
      <w:r w:rsidRPr="00C56257">
        <w:rPr>
          <w:color w:val="000000" w:themeColor="text1"/>
          <w:lang w:val="x-none"/>
        </w:rPr>
        <w:t xml:space="preserve"> </w:t>
      </w:r>
      <w:proofErr w:type="spellStart"/>
      <w:r w:rsidRPr="00C56257">
        <w:rPr>
          <w:color w:val="000000" w:themeColor="text1"/>
          <w:lang w:val="x-none"/>
        </w:rPr>
        <w:t>fizici</w:t>
      </w:r>
      <w:proofErr w:type="spellEnd"/>
      <w:r w:rsidRPr="00C56257">
        <w:rPr>
          <w:color w:val="000000" w:themeColor="text1"/>
          <w:lang w:val="x-none"/>
        </w:rPr>
        <w:t xml:space="preserve"> (</w:t>
      </w:r>
      <w:proofErr w:type="spellStart"/>
      <w:r w:rsidRPr="00C56257">
        <w:rPr>
          <w:color w:val="000000" w:themeColor="text1"/>
          <w:lang w:val="x-none"/>
        </w:rPr>
        <w:t>temperatura</w:t>
      </w:r>
      <w:proofErr w:type="spellEnd"/>
      <w:r w:rsidRPr="00C56257">
        <w:rPr>
          <w:color w:val="000000" w:themeColor="text1"/>
          <w:lang w:val="x-none"/>
        </w:rPr>
        <w:t xml:space="preserve">, </w:t>
      </w:r>
      <w:proofErr w:type="spellStart"/>
      <w:r w:rsidRPr="00C56257">
        <w:rPr>
          <w:color w:val="000000" w:themeColor="text1"/>
          <w:lang w:val="x-none"/>
        </w:rPr>
        <w:t>salinitate</w:t>
      </w:r>
      <w:proofErr w:type="spellEnd"/>
      <w:r w:rsidRPr="00C56257">
        <w:rPr>
          <w:color w:val="000000" w:themeColor="text1"/>
          <w:lang w:val="x-none"/>
        </w:rPr>
        <w:t xml:space="preserve">, pH </w:t>
      </w:r>
      <w:proofErr w:type="spellStart"/>
      <w:r w:rsidRPr="00C56257">
        <w:rPr>
          <w:color w:val="000000" w:themeColor="text1"/>
          <w:lang w:val="x-none"/>
        </w:rPr>
        <w:t>etc</w:t>
      </w:r>
      <w:proofErr w:type="spellEnd"/>
      <w:r w:rsidRPr="00C56257">
        <w:rPr>
          <w:color w:val="000000" w:themeColor="text1"/>
          <w:lang w:val="x-none"/>
        </w:rPr>
        <w:t xml:space="preserve">) sunt </w:t>
      </w:r>
      <w:proofErr w:type="spellStart"/>
      <w:r w:rsidRPr="00C56257">
        <w:rPr>
          <w:color w:val="000000" w:themeColor="text1"/>
          <w:lang w:val="x-none"/>
        </w:rPr>
        <w:t>măsuraţi</w:t>
      </w:r>
      <w:proofErr w:type="spellEnd"/>
      <w:r w:rsidRPr="00C56257">
        <w:rPr>
          <w:color w:val="000000" w:themeColor="text1"/>
          <w:lang w:val="x-none"/>
        </w:rPr>
        <w:t xml:space="preserve"> cu </w:t>
      </w:r>
      <w:proofErr w:type="spellStart"/>
      <w:r w:rsidRPr="00C56257">
        <w:rPr>
          <w:color w:val="000000" w:themeColor="text1"/>
          <w:lang w:val="x-none"/>
        </w:rPr>
        <w:t>echipament</w:t>
      </w:r>
      <w:proofErr w:type="spellEnd"/>
      <w:r w:rsidRPr="00C56257">
        <w:rPr>
          <w:color w:val="000000" w:themeColor="text1"/>
          <w:lang w:val="x-none"/>
        </w:rPr>
        <w:t xml:space="preserve"> specific (</w:t>
      </w:r>
      <w:proofErr w:type="spellStart"/>
      <w:r w:rsidRPr="00C56257">
        <w:rPr>
          <w:color w:val="000000" w:themeColor="text1"/>
          <w:lang w:val="x-none"/>
        </w:rPr>
        <w:t>mutiparametru</w:t>
      </w:r>
      <w:proofErr w:type="spellEnd"/>
      <w:r w:rsidRPr="00C56257">
        <w:rPr>
          <w:color w:val="000000" w:themeColor="text1"/>
          <w:lang w:val="x-none"/>
        </w:rPr>
        <w:t xml:space="preserve">, </w:t>
      </w:r>
      <w:proofErr w:type="spellStart"/>
      <w:r w:rsidRPr="00C56257">
        <w:rPr>
          <w:color w:val="000000" w:themeColor="text1"/>
          <w:lang w:val="x-none"/>
        </w:rPr>
        <w:t>sonda</w:t>
      </w:r>
      <w:proofErr w:type="spellEnd"/>
      <w:r w:rsidRPr="00C56257">
        <w:rPr>
          <w:color w:val="000000" w:themeColor="text1"/>
          <w:lang w:val="x-none"/>
        </w:rPr>
        <w:t>, CTD).</w:t>
      </w:r>
    </w:p>
    <w:p w14:paraId="4F67F1C7" w14:textId="77777777" w:rsidR="00FC026B" w:rsidRPr="00C56257" w:rsidRDefault="00FC026B" w:rsidP="00FC026B">
      <w:pPr>
        <w:autoSpaceDE w:val="0"/>
        <w:autoSpaceDN w:val="0"/>
        <w:adjustRightInd w:val="0"/>
        <w:jc w:val="both"/>
        <w:rPr>
          <w:color w:val="000000" w:themeColor="text1"/>
        </w:rPr>
      </w:pPr>
      <w:r w:rsidRPr="00C56257">
        <w:rPr>
          <w:color w:val="000000" w:themeColor="text1"/>
          <w:lang w:val="x-none"/>
        </w:rPr>
        <w:tab/>
      </w:r>
      <w:proofErr w:type="spellStart"/>
      <w:r w:rsidRPr="00C56257">
        <w:rPr>
          <w:color w:val="000000" w:themeColor="text1"/>
          <w:lang w:val="x-none"/>
        </w:rPr>
        <w:t>Analizele</w:t>
      </w:r>
      <w:proofErr w:type="spellEnd"/>
      <w:r w:rsidRPr="00C56257">
        <w:rPr>
          <w:color w:val="000000" w:themeColor="text1"/>
          <w:lang w:val="x-none"/>
        </w:rPr>
        <w:t xml:space="preserve"> de </w:t>
      </w:r>
      <w:proofErr w:type="spellStart"/>
      <w:r w:rsidRPr="00C56257">
        <w:rPr>
          <w:color w:val="000000" w:themeColor="text1"/>
          <w:lang w:val="x-none"/>
        </w:rPr>
        <w:t>laborator</w:t>
      </w:r>
      <w:proofErr w:type="spellEnd"/>
      <w:r w:rsidRPr="00C56257">
        <w:rPr>
          <w:color w:val="000000" w:themeColor="text1"/>
          <w:lang w:val="x-none"/>
        </w:rPr>
        <w:t xml:space="preserve"> </w:t>
      </w:r>
      <w:proofErr w:type="spellStart"/>
      <w:r w:rsidRPr="00C56257">
        <w:rPr>
          <w:color w:val="000000" w:themeColor="text1"/>
          <w:lang w:val="x-none"/>
        </w:rPr>
        <w:t>urmăresc</w:t>
      </w:r>
      <w:proofErr w:type="spellEnd"/>
      <w:r w:rsidRPr="00C56257">
        <w:rPr>
          <w:color w:val="000000" w:themeColor="text1"/>
          <w:lang w:val="x-none"/>
        </w:rPr>
        <w:t xml:space="preserve"> </w:t>
      </w:r>
      <w:proofErr w:type="spellStart"/>
      <w:r w:rsidRPr="00C56257">
        <w:rPr>
          <w:color w:val="000000" w:themeColor="text1"/>
          <w:lang w:val="x-none"/>
        </w:rPr>
        <w:t>atât</w:t>
      </w:r>
      <w:proofErr w:type="spellEnd"/>
      <w:r w:rsidRPr="00C56257">
        <w:rPr>
          <w:color w:val="000000" w:themeColor="text1"/>
          <w:lang w:val="x-none"/>
        </w:rPr>
        <w:t xml:space="preserve"> o </w:t>
      </w:r>
      <w:proofErr w:type="spellStart"/>
      <w:r w:rsidRPr="00C56257">
        <w:rPr>
          <w:color w:val="000000" w:themeColor="text1"/>
          <w:lang w:val="x-none"/>
        </w:rPr>
        <w:t>evaluare</w:t>
      </w:r>
      <w:proofErr w:type="spellEnd"/>
      <w:r w:rsidRPr="00C56257">
        <w:rPr>
          <w:color w:val="000000" w:themeColor="text1"/>
          <w:lang w:val="x-none"/>
        </w:rPr>
        <w:t xml:space="preserve"> </w:t>
      </w:r>
      <w:proofErr w:type="spellStart"/>
      <w:r w:rsidRPr="00C56257">
        <w:rPr>
          <w:color w:val="000000" w:themeColor="text1"/>
          <w:lang w:val="x-none"/>
        </w:rPr>
        <w:t>cantitativă</w:t>
      </w:r>
      <w:proofErr w:type="spellEnd"/>
      <w:r w:rsidRPr="00C56257">
        <w:rPr>
          <w:color w:val="000000" w:themeColor="text1"/>
          <w:lang w:val="x-none"/>
        </w:rPr>
        <w:t xml:space="preserve"> </w:t>
      </w:r>
      <w:proofErr w:type="spellStart"/>
      <w:r w:rsidRPr="00C56257">
        <w:rPr>
          <w:color w:val="000000" w:themeColor="text1"/>
          <w:lang w:val="x-none"/>
        </w:rPr>
        <w:t>cât</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calitativa</w:t>
      </w:r>
      <w:proofErr w:type="spellEnd"/>
      <w:r w:rsidRPr="00C56257">
        <w:rPr>
          <w:color w:val="000000" w:themeColor="text1"/>
          <w:lang w:val="x-none"/>
        </w:rPr>
        <w:t xml:space="preserve">: </w:t>
      </w:r>
      <w:proofErr w:type="spellStart"/>
      <w:r w:rsidRPr="00C56257">
        <w:rPr>
          <w:color w:val="000000" w:themeColor="text1"/>
          <w:lang w:val="x-none"/>
        </w:rPr>
        <w:t>identificarea</w:t>
      </w:r>
      <w:proofErr w:type="spellEnd"/>
      <w:r w:rsidRPr="00C56257">
        <w:rPr>
          <w:color w:val="000000" w:themeColor="text1"/>
          <w:lang w:val="x-none"/>
        </w:rPr>
        <w:t xml:space="preserve"> </w:t>
      </w:r>
      <w:proofErr w:type="spellStart"/>
      <w:r w:rsidRPr="00C56257">
        <w:rPr>
          <w:color w:val="000000" w:themeColor="text1"/>
          <w:lang w:val="x-none"/>
        </w:rPr>
        <w:t>speciilor</w:t>
      </w:r>
      <w:proofErr w:type="spellEnd"/>
      <w:r w:rsidRPr="00C56257">
        <w:rPr>
          <w:color w:val="000000" w:themeColor="text1"/>
          <w:lang w:val="x-none"/>
        </w:rPr>
        <w:t xml:space="preserve">, </w:t>
      </w:r>
      <w:proofErr w:type="spellStart"/>
      <w:r w:rsidRPr="00C56257">
        <w:rPr>
          <w:color w:val="000000" w:themeColor="text1"/>
          <w:lang w:val="x-none"/>
        </w:rPr>
        <w:t>tipul</w:t>
      </w:r>
      <w:proofErr w:type="spellEnd"/>
      <w:r w:rsidRPr="00C56257">
        <w:rPr>
          <w:color w:val="000000" w:themeColor="text1"/>
          <w:lang w:val="x-none"/>
        </w:rPr>
        <w:t xml:space="preserve"> </w:t>
      </w:r>
      <w:proofErr w:type="spellStart"/>
      <w:r w:rsidRPr="00C56257">
        <w:rPr>
          <w:color w:val="000000" w:themeColor="text1"/>
          <w:lang w:val="x-none"/>
        </w:rPr>
        <w:t>acestora</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apartenenţa</w:t>
      </w:r>
      <w:proofErr w:type="spellEnd"/>
      <w:r w:rsidRPr="00C56257">
        <w:rPr>
          <w:color w:val="000000" w:themeColor="text1"/>
          <w:lang w:val="x-none"/>
        </w:rPr>
        <w:t xml:space="preserve"> la habitat, </w:t>
      </w:r>
      <w:proofErr w:type="spellStart"/>
      <w:r w:rsidRPr="00C56257">
        <w:rPr>
          <w:color w:val="000000" w:themeColor="text1"/>
          <w:lang w:val="x-none"/>
        </w:rPr>
        <w:t>fracţiunile</w:t>
      </w:r>
      <w:proofErr w:type="spellEnd"/>
      <w:r w:rsidRPr="00C56257">
        <w:rPr>
          <w:color w:val="000000" w:themeColor="text1"/>
          <w:lang w:val="x-none"/>
        </w:rPr>
        <w:t xml:space="preserve"> </w:t>
      </w:r>
      <w:proofErr w:type="spellStart"/>
      <w:r w:rsidRPr="00C56257">
        <w:rPr>
          <w:color w:val="000000" w:themeColor="text1"/>
          <w:lang w:val="x-none"/>
        </w:rPr>
        <w:t>granulometrice</w:t>
      </w:r>
      <w:proofErr w:type="spellEnd"/>
      <w:r w:rsidRPr="00C56257">
        <w:rPr>
          <w:color w:val="000000" w:themeColor="text1"/>
          <w:lang w:val="x-none"/>
        </w:rPr>
        <w:t xml:space="preserve">, </w:t>
      </w:r>
      <w:proofErr w:type="spellStart"/>
      <w:r w:rsidRPr="00C56257">
        <w:rPr>
          <w:color w:val="000000" w:themeColor="text1"/>
          <w:lang w:val="x-none"/>
        </w:rPr>
        <w:t>parametri</w:t>
      </w:r>
      <w:proofErr w:type="spellEnd"/>
      <w:r w:rsidRPr="00C56257">
        <w:rPr>
          <w:color w:val="000000" w:themeColor="text1"/>
          <w:lang w:val="x-none"/>
        </w:rPr>
        <w:t xml:space="preserve"> </w:t>
      </w:r>
      <w:proofErr w:type="spellStart"/>
      <w:r w:rsidRPr="00C56257">
        <w:rPr>
          <w:color w:val="000000" w:themeColor="text1"/>
          <w:lang w:val="x-none"/>
        </w:rPr>
        <w:t>chimici</w:t>
      </w:r>
      <w:proofErr w:type="spellEnd"/>
      <w:r w:rsidRPr="00C56257">
        <w:rPr>
          <w:color w:val="000000" w:themeColor="text1"/>
          <w:lang w:val="x-none"/>
        </w:rPr>
        <w:t xml:space="preserve">. </w:t>
      </w:r>
      <w:proofErr w:type="spellStart"/>
      <w:r w:rsidRPr="00C56257">
        <w:rPr>
          <w:color w:val="000000" w:themeColor="text1"/>
          <w:lang w:val="x-none"/>
        </w:rPr>
        <w:t>Agregarea</w:t>
      </w:r>
      <w:proofErr w:type="spellEnd"/>
      <w:r w:rsidRPr="00C56257">
        <w:rPr>
          <w:color w:val="000000" w:themeColor="text1"/>
          <w:lang w:val="x-none"/>
        </w:rPr>
        <w:t xml:space="preserve"> </w:t>
      </w:r>
      <w:proofErr w:type="spellStart"/>
      <w:r w:rsidRPr="00C56257">
        <w:rPr>
          <w:color w:val="000000" w:themeColor="text1"/>
          <w:lang w:val="x-none"/>
        </w:rPr>
        <w:t>informaţiilor</w:t>
      </w:r>
      <w:proofErr w:type="spellEnd"/>
      <w:r w:rsidRPr="00C56257">
        <w:rPr>
          <w:color w:val="000000" w:themeColor="text1"/>
          <w:lang w:val="x-none"/>
        </w:rPr>
        <w:t xml:space="preserve"> </w:t>
      </w:r>
      <w:proofErr w:type="spellStart"/>
      <w:r w:rsidRPr="00C56257">
        <w:rPr>
          <w:color w:val="000000" w:themeColor="text1"/>
          <w:lang w:val="x-none"/>
        </w:rPr>
        <w:t>colectate</w:t>
      </w:r>
      <w:proofErr w:type="spellEnd"/>
      <w:r w:rsidRPr="00C56257">
        <w:rPr>
          <w:color w:val="000000" w:themeColor="text1"/>
          <w:lang w:val="x-none"/>
        </w:rPr>
        <w:t xml:space="preserve"> pe plot se </w:t>
      </w:r>
      <w:proofErr w:type="spellStart"/>
      <w:r w:rsidRPr="00C56257">
        <w:rPr>
          <w:color w:val="000000" w:themeColor="text1"/>
          <w:lang w:val="x-none"/>
        </w:rPr>
        <w:t>realizează</w:t>
      </w:r>
      <w:proofErr w:type="spellEnd"/>
      <w:r w:rsidRPr="00C56257">
        <w:rPr>
          <w:color w:val="000000" w:themeColor="text1"/>
          <w:lang w:val="x-none"/>
        </w:rPr>
        <w:t xml:space="preserve"> pe </w:t>
      </w:r>
      <w:proofErr w:type="spellStart"/>
      <w:r w:rsidRPr="00C56257">
        <w:rPr>
          <w:color w:val="000000" w:themeColor="text1"/>
          <w:lang w:val="x-none"/>
        </w:rPr>
        <w:t>baza</w:t>
      </w:r>
      <w:proofErr w:type="spellEnd"/>
      <w:r w:rsidRPr="00C56257">
        <w:rPr>
          <w:color w:val="000000" w:themeColor="text1"/>
          <w:lang w:val="x-none"/>
        </w:rPr>
        <w:t xml:space="preserve"> </w:t>
      </w:r>
      <w:proofErr w:type="spellStart"/>
      <w:r w:rsidRPr="00C56257">
        <w:rPr>
          <w:color w:val="000000" w:themeColor="text1"/>
          <w:lang w:val="x-none"/>
        </w:rPr>
        <w:t>indicatorilor</w:t>
      </w:r>
      <w:proofErr w:type="spellEnd"/>
      <w:r w:rsidRPr="00C56257">
        <w:rPr>
          <w:color w:val="000000" w:themeColor="text1"/>
          <w:lang w:val="x-none"/>
        </w:rPr>
        <w:t xml:space="preserve"> </w:t>
      </w:r>
      <w:proofErr w:type="spellStart"/>
      <w:r w:rsidRPr="00C56257">
        <w:rPr>
          <w:color w:val="000000" w:themeColor="text1"/>
          <w:lang w:val="x-none"/>
        </w:rPr>
        <w:t>ecologici</w:t>
      </w:r>
      <w:proofErr w:type="spellEnd"/>
      <w:r w:rsidRPr="00C56257">
        <w:rPr>
          <w:color w:val="000000" w:themeColor="text1"/>
          <w:lang w:val="x-none"/>
        </w:rPr>
        <w:t>.</w:t>
      </w:r>
    </w:p>
    <w:p w14:paraId="61B33323" w14:textId="77777777" w:rsidR="00FC026B" w:rsidRPr="00C56257" w:rsidRDefault="00FC026B" w:rsidP="00FC026B">
      <w:pPr>
        <w:autoSpaceDE w:val="0"/>
        <w:autoSpaceDN w:val="0"/>
        <w:adjustRightInd w:val="0"/>
        <w:ind w:left="142" w:hanging="142"/>
        <w:jc w:val="both"/>
        <w:rPr>
          <w:color w:val="000000" w:themeColor="text1"/>
        </w:rPr>
      </w:pPr>
    </w:p>
    <w:p w14:paraId="32BDA95F" w14:textId="77777777" w:rsidR="00FC026B" w:rsidRPr="00C56257" w:rsidRDefault="00FC026B" w:rsidP="00FC026B">
      <w:pPr>
        <w:autoSpaceDE w:val="0"/>
        <w:autoSpaceDN w:val="0"/>
        <w:adjustRightInd w:val="0"/>
        <w:ind w:left="142" w:hanging="142"/>
        <w:jc w:val="both"/>
        <w:rPr>
          <w:b/>
          <w:color w:val="000000" w:themeColor="text1"/>
          <w:shd w:val="clear" w:color="auto" w:fill="FFFF00"/>
          <w:lang w:val="x-none"/>
        </w:rPr>
      </w:pPr>
      <w:proofErr w:type="spellStart"/>
      <w:r w:rsidRPr="00C56257">
        <w:rPr>
          <w:b/>
          <w:color w:val="000000" w:themeColor="text1"/>
          <w:lang w:val="x-none"/>
        </w:rPr>
        <w:t>Relația</w:t>
      </w:r>
      <w:proofErr w:type="spellEnd"/>
      <w:r w:rsidRPr="00C56257">
        <w:rPr>
          <w:b/>
          <w:color w:val="000000" w:themeColor="text1"/>
          <w:lang w:val="x-none"/>
        </w:rPr>
        <w:t xml:space="preserve"> plot de </w:t>
      </w:r>
      <w:proofErr w:type="spellStart"/>
      <w:r w:rsidRPr="00C56257">
        <w:rPr>
          <w:b/>
          <w:color w:val="000000" w:themeColor="text1"/>
          <w:lang w:val="x-none"/>
        </w:rPr>
        <w:t>monitorizare</w:t>
      </w:r>
      <w:proofErr w:type="spellEnd"/>
      <w:r w:rsidRPr="00C56257">
        <w:rPr>
          <w:b/>
          <w:color w:val="000000" w:themeColor="text1"/>
          <w:lang w:val="x-none"/>
        </w:rPr>
        <w:t>/</w:t>
      </w:r>
      <w:proofErr w:type="spellStart"/>
      <w:r w:rsidRPr="00C56257">
        <w:rPr>
          <w:b/>
          <w:color w:val="000000" w:themeColor="text1"/>
          <w:lang w:val="x-none"/>
        </w:rPr>
        <w:t>rețea</w:t>
      </w:r>
      <w:proofErr w:type="spellEnd"/>
      <w:r w:rsidRPr="00C56257">
        <w:rPr>
          <w:b/>
          <w:color w:val="000000" w:themeColor="text1"/>
          <w:lang w:val="x-none"/>
        </w:rPr>
        <w:t xml:space="preserve"> Natura 2000</w:t>
      </w:r>
    </w:p>
    <w:p w14:paraId="31176B51" w14:textId="77777777" w:rsidR="00FC026B" w:rsidRPr="00C56257" w:rsidRDefault="00FC026B" w:rsidP="00FC026B">
      <w:pPr>
        <w:autoSpaceDE w:val="0"/>
        <w:autoSpaceDN w:val="0"/>
        <w:adjustRightInd w:val="0"/>
        <w:ind w:left="142" w:hanging="142"/>
        <w:jc w:val="both"/>
        <w:rPr>
          <w:color w:val="000000" w:themeColor="text1"/>
          <w:lang w:val="x-none"/>
        </w:rPr>
      </w:pPr>
      <w:r w:rsidRPr="00C56257">
        <w:rPr>
          <w:color w:val="000000" w:themeColor="text1"/>
          <w:lang w:val="x-none"/>
        </w:rPr>
        <w:t xml:space="preserve">Conform </w:t>
      </w:r>
      <w:proofErr w:type="spellStart"/>
      <w:r w:rsidRPr="00C56257">
        <w:rPr>
          <w:color w:val="000000" w:themeColor="text1"/>
          <w:lang w:val="x-none"/>
        </w:rPr>
        <w:t>planului</w:t>
      </w:r>
      <w:proofErr w:type="spellEnd"/>
      <w:r w:rsidRPr="00C56257">
        <w:rPr>
          <w:color w:val="000000" w:themeColor="text1"/>
          <w:lang w:val="x-none"/>
        </w:rPr>
        <w:t xml:space="preserve"> de </w:t>
      </w:r>
      <w:proofErr w:type="spellStart"/>
      <w:r w:rsidRPr="00C56257">
        <w:rPr>
          <w:color w:val="000000" w:themeColor="text1"/>
          <w:lang w:val="x-none"/>
        </w:rPr>
        <w:t>monitorizare</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cerinţelor</w:t>
      </w:r>
      <w:proofErr w:type="spellEnd"/>
      <w:r w:rsidRPr="00C56257">
        <w:rPr>
          <w:color w:val="000000" w:themeColor="text1"/>
          <w:lang w:val="x-none"/>
        </w:rPr>
        <w:t xml:space="preserve"> </w:t>
      </w:r>
      <w:proofErr w:type="spellStart"/>
      <w:r w:rsidRPr="00C56257">
        <w:rPr>
          <w:color w:val="000000" w:themeColor="text1"/>
          <w:lang w:val="x-none"/>
        </w:rPr>
        <w:t>Directivei</w:t>
      </w:r>
      <w:proofErr w:type="spellEnd"/>
      <w:r w:rsidRPr="00C56257">
        <w:rPr>
          <w:color w:val="000000" w:themeColor="text1"/>
          <w:lang w:val="x-none"/>
        </w:rPr>
        <w:t xml:space="preserve"> </w:t>
      </w:r>
      <w:proofErr w:type="spellStart"/>
      <w:r w:rsidRPr="00C56257">
        <w:rPr>
          <w:color w:val="000000" w:themeColor="text1"/>
          <w:lang w:val="x-none"/>
        </w:rPr>
        <w:t>Habitate</w:t>
      </w:r>
      <w:proofErr w:type="spellEnd"/>
      <w:r w:rsidRPr="00C56257">
        <w:rPr>
          <w:color w:val="000000" w:themeColor="text1"/>
          <w:lang w:val="x-none"/>
        </w:rPr>
        <w:t xml:space="preserve">, </w:t>
      </w:r>
      <w:proofErr w:type="spellStart"/>
      <w:r w:rsidRPr="00C56257">
        <w:rPr>
          <w:color w:val="000000" w:themeColor="text1"/>
          <w:lang w:val="x-none"/>
        </w:rPr>
        <w:t>monitorizarea</w:t>
      </w:r>
      <w:proofErr w:type="spellEnd"/>
      <w:r w:rsidRPr="00C56257">
        <w:rPr>
          <w:color w:val="000000" w:themeColor="text1"/>
          <w:lang w:val="x-none"/>
        </w:rPr>
        <w:t xml:space="preserve"> se </w:t>
      </w:r>
      <w:proofErr w:type="spellStart"/>
      <w:r w:rsidRPr="00C56257">
        <w:rPr>
          <w:color w:val="000000" w:themeColor="text1"/>
          <w:lang w:val="x-none"/>
        </w:rPr>
        <w:t>realiz</w:t>
      </w:r>
      <w:r w:rsidRPr="00C56257">
        <w:rPr>
          <w:color w:val="000000" w:themeColor="text1"/>
        </w:rPr>
        <w:t>ează</w:t>
      </w:r>
      <w:proofErr w:type="spellEnd"/>
      <w:r w:rsidRPr="00C56257">
        <w:rPr>
          <w:color w:val="000000" w:themeColor="text1"/>
          <w:lang w:val="x-none"/>
        </w:rPr>
        <w:t xml:space="preserve"> </w:t>
      </w:r>
      <w:proofErr w:type="spellStart"/>
      <w:r w:rsidRPr="00C56257">
        <w:rPr>
          <w:color w:val="000000" w:themeColor="text1"/>
          <w:lang w:val="x-none"/>
        </w:rPr>
        <w:t>atât</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interiorul</w:t>
      </w:r>
      <w:proofErr w:type="spellEnd"/>
      <w:r w:rsidRPr="00C56257">
        <w:rPr>
          <w:color w:val="000000" w:themeColor="text1"/>
          <w:lang w:val="x-none"/>
        </w:rPr>
        <w:t xml:space="preserve"> </w:t>
      </w:r>
      <w:proofErr w:type="spellStart"/>
      <w:r w:rsidRPr="00C56257">
        <w:rPr>
          <w:color w:val="000000" w:themeColor="text1"/>
          <w:lang w:val="x-none"/>
        </w:rPr>
        <w:t>siturilor</w:t>
      </w:r>
      <w:proofErr w:type="spellEnd"/>
      <w:r w:rsidRPr="00C56257">
        <w:rPr>
          <w:color w:val="000000" w:themeColor="text1"/>
          <w:lang w:val="x-none"/>
        </w:rPr>
        <w:t xml:space="preserve"> </w:t>
      </w:r>
      <w:proofErr w:type="spellStart"/>
      <w:r w:rsidRPr="00C56257">
        <w:rPr>
          <w:color w:val="000000" w:themeColor="text1"/>
          <w:lang w:val="x-none"/>
        </w:rPr>
        <w:t>cât</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afară</w:t>
      </w:r>
      <w:proofErr w:type="spellEnd"/>
      <w:r w:rsidRPr="00C56257">
        <w:rPr>
          <w:color w:val="000000" w:themeColor="text1"/>
          <w:lang w:val="x-none"/>
        </w:rPr>
        <w:t xml:space="preserve"> </w:t>
      </w:r>
      <w:proofErr w:type="spellStart"/>
      <w:r w:rsidRPr="00C56257">
        <w:rPr>
          <w:color w:val="000000" w:themeColor="text1"/>
          <w:lang w:val="x-none"/>
        </w:rPr>
        <w:t>reţelei</w:t>
      </w:r>
      <w:proofErr w:type="spellEnd"/>
      <w:r w:rsidRPr="00C56257">
        <w:rPr>
          <w:color w:val="000000" w:themeColor="text1"/>
          <w:lang w:val="x-none"/>
        </w:rPr>
        <w:t xml:space="preserve"> Natura 2000. </w:t>
      </w:r>
      <w:proofErr w:type="spellStart"/>
      <w:r w:rsidRPr="00C56257">
        <w:rPr>
          <w:color w:val="000000" w:themeColor="text1"/>
          <w:lang w:val="x-none"/>
        </w:rPr>
        <w:t>Distribuţia</w:t>
      </w:r>
      <w:proofErr w:type="spellEnd"/>
      <w:r w:rsidRPr="00C56257">
        <w:rPr>
          <w:color w:val="000000" w:themeColor="text1"/>
          <w:lang w:val="x-none"/>
        </w:rPr>
        <w:t xml:space="preserve"> </w:t>
      </w:r>
      <w:proofErr w:type="spellStart"/>
      <w:r w:rsidRPr="00C56257">
        <w:rPr>
          <w:color w:val="000000" w:themeColor="text1"/>
          <w:lang w:val="x-none"/>
        </w:rPr>
        <w:t>spaţială</w:t>
      </w:r>
      <w:proofErr w:type="spellEnd"/>
      <w:r w:rsidRPr="00C56257">
        <w:rPr>
          <w:color w:val="000000" w:themeColor="text1"/>
          <w:lang w:val="x-none"/>
        </w:rPr>
        <w:t xml:space="preserve"> a </w:t>
      </w:r>
      <w:proofErr w:type="spellStart"/>
      <w:r w:rsidRPr="00C56257">
        <w:rPr>
          <w:color w:val="000000" w:themeColor="text1"/>
          <w:lang w:val="x-none"/>
        </w:rPr>
        <w:t>siturilor</w:t>
      </w:r>
      <w:proofErr w:type="spellEnd"/>
      <w:r w:rsidRPr="00C56257">
        <w:rPr>
          <w:color w:val="000000" w:themeColor="text1"/>
          <w:lang w:val="x-none"/>
        </w:rPr>
        <w:t xml:space="preserve"> Natura 2000 la </w:t>
      </w:r>
      <w:proofErr w:type="spellStart"/>
      <w:r w:rsidRPr="00C56257">
        <w:rPr>
          <w:color w:val="000000" w:themeColor="text1"/>
          <w:lang w:val="x-none"/>
        </w:rPr>
        <w:t>nivelul</w:t>
      </w:r>
      <w:proofErr w:type="spellEnd"/>
      <w:r w:rsidRPr="00C56257">
        <w:rPr>
          <w:color w:val="000000" w:themeColor="text1"/>
          <w:lang w:val="x-none"/>
        </w:rPr>
        <w:t xml:space="preserve"> </w:t>
      </w:r>
      <w:proofErr w:type="spellStart"/>
      <w:r w:rsidRPr="00C56257">
        <w:rPr>
          <w:color w:val="000000" w:themeColor="text1"/>
          <w:lang w:val="x-none"/>
        </w:rPr>
        <w:t>bioregiunii</w:t>
      </w:r>
      <w:proofErr w:type="spellEnd"/>
      <w:r w:rsidRPr="00C56257">
        <w:rPr>
          <w:color w:val="000000" w:themeColor="text1"/>
          <w:lang w:val="x-none"/>
        </w:rPr>
        <w:t xml:space="preserve"> marine </w:t>
      </w:r>
      <w:proofErr w:type="spellStart"/>
      <w:r w:rsidRPr="00C56257">
        <w:rPr>
          <w:color w:val="000000" w:themeColor="text1"/>
          <w:lang w:val="x-none"/>
        </w:rPr>
        <w:t>arat</w:t>
      </w:r>
      <w:r w:rsidRPr="00C56257">
        <w:rPr>
          <w:color w:val="000000" w:themeColor="text1"/>
        </w:rPr>
        <w:t>ă</w:t>
      </w:r>
      <w:proofErr w:type="spellEnd"/>
      <w:r w:rsidRPr="00C56257">
        <w:rPr>
          <w:color w:val="000000" w:themeColor="text1"/>
          <w:lang w:val="x-none"/>
        </w:rPr>
        <w:t xml:space="preserve"> o </w:t>
      </w:r>
      <w:proofErr w:type="spellStart"/>
      <w:r w:rsidRPr="00C56257">
        <w:rPr>
          <w:color w:val="000000" w:themeColor="text1"/>
          <w:lang w:val="x-none"/>
        </w:rPr>
        <w:t>acoperire</w:t>
      </w:r>
      <w:proofErr w:type="spellEnd"/>
      <w:r w:rsidRPr="00C56257">
        <w:rPr>
          <w:color w:val="000000" w:themeColor="text1"/>
          <w:lang w:val="x-none"/>
        </w:rPr>
        <w:t xml:space="preserve"> de </w:t>
      </w:r>
      <w:proofErr w:type="spellStart"/>
      <w:r w:rsidRPr="00C56257">
        <w:rPr>
          <w:color w:val="000000" w:themeColor="text1"/>
          <w:lang w:val="x-none"/>
        </w:rPr>
        <w:t>aproape</w:t>
      </w:r>
      <w:proofErr w:type="spellEnd"/>
      <w:r w:rsidRPr="00C56257">
        <w:rPr>
          <w:color w:val="000000" w:themeColor="text1"/>
          <w:lang w:val="x-none"/>
        </w:rPr>
        <w:t xml:space="preserve"> 80 - 100 % a </w:t>
      </w:r>
      <w:proofErr w:type="spellStart"/>
      <w:r w:rsidRPr="00C56257">
        <w:rPr>
          <w:color w:val="000000" w:themeColor="text1"/>
          <w:lang w:val="x-none"/>
        </w:rPr>
        <w:t>spaţiului</w:t>
      </w:r>
      <w:proofErr w:type="spellEnd"/>
      <w:r w:rsidRPr="00C56257">
        <w:rPr>
          <w:color w:val="000000" w:themeColor="text1"/>
          <w:lang w:val="x-none"/>
        </w:rPr>
        <w:t xml:space="preserve"> </w:t>
      </w:r>
      <w:proofErr w:type="spellStart"/>
      <w:r w:rsidRPr="00C56257">
        <w:rPr>
          <w:color w:val="000000" w:themeColor="text1"/>
          <w:lang w:val="x-none"/>
        </w:rPr>
        <w:t>marin</w:t>
      </w:r>
      <w:proofErr w:type="spellEnd"/>
      <w:r w:rsidRPr="00C56257">
        <w:rPr>
          <w:color w:val="000000" w:themeColor="text1"/>
          <w:lang w:val="x-none"/>
        </w:rPr>
        <w:t xml:space="preserve"> </w:t>
      </w:r>
      <w:proofErr w:type="spellStart"/>
      <w:r w:rsidRPr="00C56257">
        <w:rPr>
          <w:color w:val="000000" w:themeColor="text1"/>
          <w:lang w:val="x-none"/>
        </w:rPr>
        <w:t>cuprins</w:t>
      </w:r>
      <w:proofErr w:type="spellEnd"/>
      <w:r w:rsidRPr="00C56257">
        <w:rPr>
          <w:color w:val="000000" w:themeColor="text1"/>
          <w:lang w:val="x-none"/>
        </w:rPr>
        <w:t xml:space="preserve"> </w:t>
      </w:r>
      <w:proofErr w:type="spellStart"/>
      <w:r w:rsidRPr="00C56257">
        <w:rPr>
          <w:color w:val="000000" w:themeColor="text1"/>
          <w:lang w:val="x-none"/>
        </w:rPr>
        <w:t>între</w:t>
      </w:r>
      <w:proofErr w:type="spellEnd"/>
      <w:r w:rsidRPr="00C56257">
        <w:rPr>
          <w:color w:val="000000" w:themeColor="text1"/>
          <w:lang w:val="x-none"/>
        </w:rPr>
        <w:t xml:space="preserve"> </w:t>
      </w:r>
      <w:proofErr w:type="spellStart"/>
      <w:r w:rsidRPr="00C56257">
        <w:rPr>
          <w:color w:val="000000" w:themeColor="text1"/>
          <w:lang w:val="x-none"/>
        </w:rPr>
        <w:t>linia</w:t>
      </w:r>
      <w:proofErr w:type="spellEnd"/>
      <w:r w:rsidRPr="00C56257">
        <w:rPr>
          <w:color w:val="000000" w:themeColor="text1"/>
          <w:lang w:val="x-none"/>
        </w:rPr>
        <w:t xml:space="preserve"> </w:t>
      </w:r>
      <w:proofErr w:type="spellStart"/>
      <w:r w:rsidRPr="00C56257">
        <w:rPr>
          <w:color w:val="000000" w:themeColor="text1"/>
          <w:lang w:val="x-none"/>
        </w:rPr>
        <w:t>coastei</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izobatele</w:t>
      </w:r>
      <w:proofErr w:type="spellEnd"/>
      <w:r w:rsidRPr="00C56257">
        <w:rPr>
          <w:color w:val="000000" w:themeColor="text1"/>
          <w:lang w:val="x-none"/>
        </w:rPr>
        <w:t xml:space="preserve"> de 40 – 60 m </w:t>
      </w:r>
      <w:proofErr w:type="spellStart"/>
      <w:r w:rsidRPr="00C56257">
        <w:rPr>
          <w:color w:val="000000" w:themeColor="text1"/>
          <w:lang w:val="x-none"/>
        </w:rPr>
        <w:t>adâncime</w:t>
      </w:r>
      <w:proofErr w:type="spellEnd"/>
      <w:r w:rsidRPr="00C56257">
        <w:rPr>
          <w:color w:val="000000" w:themeColor="text1"/>
          <w:lang w:val="x-none"/>
        </w:rPr>
        <w:t xml:space="preserve">, la care se </w:t>
      </w:r>
      <w:proofErr w:type="spellStart"/>
      <w:r w:rsidRPr="00C56257">
        <w:rPr>
          <w:color w:val="000000" w:themeColor="text1"/>
          <w:lang w:val="x-none"/>
        </w:rPr>
        <w:t>adaug</w:t>
      </w:r>
      <w:r w:rsidRPr="00C56257">
        <w:rPr>
          <w:color w:val="000000" w:themeColor="text1"/>
        </w:rPr>
        <w:t>ă</w:t>
      </w:r>
      <w:proofErr w:type="spellEnd"/>
      <w:r w:rsidRPr="00C56257">
        <w:rPr>
          <w:color w:val="000000" w:themeColor="text1"/>
          <w:lang w:val="x-none"/>
        </w:rPr>
        <w:t xml:space="preserve"> </w:t>
      </w:r>
      <w:proofErr w:type="spellStart"/>
      <w:r w:rsidRPr="00C56257">
        <w:rPr>
          <w:color w:val="000000" w:themeColor="text1"/>
          <w:lang w:val="x-none"/>
        </w:rPr>
        <w:t>situl</w:t>
      </w:r>
      <w:proofErr w:type="spellEnd"/>
      <w:r w:rsidRPr="00C56257">
        <w:rPr>
          <w:color w:val="000000" w:themeColor="text1"/>
          <w:lang w:val="x-none"/>
        </w:rPr>
        <w:t xml:space="preserve"> </w:t>
      </w:r>
      <w:proofErr w:type="spellStart"/>
      <w:r w:rsidRPr="00C56257">
        <w:rPr>
          <w:color w:val="000000" w:themeColor="text1"/>
          <w:lang w:val="x-none"/>
        </w:rPr>
        <w:t>marin</w:t>
      </w:r>
      <w:proofErr w:type="spellEnd"/>
      <w:r w:rsidRPr="00C56257">
        <w:rPr>
          <w:color w:val="000000" w:themeColor="text1"/>
          <w:lang w:val="x-none"/>
        </w:rPr>
        <w:t xml:space="preserve"> </w:t>
      </w:r>
      <w:proofErr w:type="spellStart"/>
      <w:r w:rsidRPr="00C56257">
        <w:rPr>
          <w:color w:val="000000" w:themeColor="text1"/>
          <w:lang w:val="x-none"/>
        </w:rPr>
        <w:t>situat</w:t>
      </w:r>
      <w:proofErr w:type="spellEnd"/>
      <w:r w:rsidRPr="00C56257">
        <w:rPr>
          <w:color w:val="000000" w:themeColor="text1"/>
          <w:lang w:val="x-none"/>
        </w:rPr>
        <w:t xml:space="preserve"> la </w:t>
      </w:r>
      <w:proofErr w:type="spellStart"/>
      <w:r w:rsidRPr="00C56257">
        <w:rPr>
          <w:color w:val="000000" w:themeColor="text1"/>
          <w:lang w:val="x-none"/>
        </w:rPr>
        <w:t>adâncime</w:t>
      </w:r>
      <w:proofErr w:type="spellEnd"/>
      <w:r w:rsidRPr="00C56257">
        <w:rPr>
          <w:color w:val="000000" w:themeColor="text1"/>
          <w:lang w:val="x-none"/>
        </w:rPr>
        <w:t xml:space="preserve"> mare ROSCI0311 - </w:t>
      </w:r>
      <w:proofErr w:type="spellStart"/>
      <w:r w:rsidRPr="00C56257">
        <w:rPr>
          <w:color w:val="000000" w:themeColor="text1"/>
          <w:lang w:val="x-none"/>
        </w:rPr>
        <w:t>Canionul</w:t>
      </w:r>
      <w:proofErr w:type="spellEnd"/>
      <w:r w:rsidRPr="00C56257">
        <w:rPr>
          <w:color w:val="000000" w:themeColor="text1"/>
          <w:lang w:val="x-none"/>
        </w:rPr>
        <w:t xml:space="preserve"> </w:t>
      </w:r>
      <w:proofErr w:type="spellStart"/>
      <w:r w:rsidRPr="00C56257">
        <w:rPr>
          <w:color w:val="000000" w:themeColor="text1"/>
          <w:lang w:val="x-none"/>
        </w:rPr>
        <w:t>Viteaz</w:t>
      </w:r>
      <w:proofErr w:type="spellEnd"/>
      <w:r w:rsidRPr="00C56257">
        <w:rPr>
          <w:color w:val="000000" w:themeColor="text1"/>
          <w:lang w:val="x-none"/>
        </w:rPr>
        <w:t xml:space="preserve"> (</w:t>
      </w:r>
      <w:proofErr w:type="spellStart"/>
      <w:r w:rsidRPr="00C56257">
        <w:rPr>
          <w:color w:val="000000" w:themeColor="text1"/>
          <w:lang w:val="x-none"/>
        </w:rPr>
        <w:t>peste</w:t>
      </w:r>
      <w:proofErr w:type="spellEnd"/>
      <w:r w:rsidRPr="00C56257">
        <w:rPr>
          <w:color w:val="000000" w:themeColor="text1"/>
          <w:lang w:val="x-none"/>
        </w:rPr>
        <w:t xml:space="preserve"> 100 -150 m). </w:t>
      </w:r>
    </w:p>
    <w:p w14:paraId="6A7CD90A" w14:textId="77777777" w:rsidR="00FC026B" w:rsidRPr="00C56257" w:rsidRDefault="00FC026B" w:rsidP="00FC026B">
      <w:pPr>
        <w:autoSpaceDE w:val="0"/>
        <w:autoSpaceDN w:val="0"/>
        <w:adjustRightInd w:val="0"/>
        <w:ind w:left="142" w:hanging="142"/>
        <w:jc w:val="both"/>
        <w:rPr>
          <w:color w:val="000000" w:themeColor="text1"/>
          <w:lang w:val="x-none"/>
        </w:rPr>
      </w:pPr>
      <w:proofErr w:type="spellStart"/>
      <w:r w:rsidRPr="00C56257">
        <w:rPr>
          <w:color w:val="000000" w:themeColor="text1"/>
          <w:lang w:val="x-none"/>
        </w:rPr>
        <w:t>Distribuţia</w:t>
      </w:r>
      <w:proofErr w:type="spellEnd"/>
      <w:r w:rsidRPr="00C56257">
        <w:rPr>
          <w:color w:val="000000" w:themeColor="text1"/>
          <w:lang w:val="x-none"/>
        </w:rPr>
        <w:t xml:space="preserve"> </w:t>
      </w:r>
      <w:proofErr w:type="spellStart"/>
      <w:r w:rsidRPr="00C56257">
        <w:rPr>
          <w:color w:val="000000" w:themeColor="text1"/>
          <w:lang w:val="x-none"/>
        </w:rPr>
        <w:t>ploturilor</w:t>
      </w:r>
      <w:proofErr w:type="spellEnd"/>
      <w:r w:rsidRPr="00C56257">
        <w:rPr>
          <w:color w:val="000000" w:themeColor="text1"/>
          <w:lang w:val="x-none"/>
        </w:rPr>
        <w:t xml:space="preserve"> la </w:t>
      </w:r>
      <w:proofErr w:type="spellStart"/>
      <w:r w:rsidRPr="00C56257">
        <w:rPr>
          <w:color w:val="000000" w:themeColor="text1"/>
          <w:lang w:val="x-none"/>
        </w:rPr>
        <w:t>nivelul</w:t>
      </w:r>
      <w:proofErr w:type="spellEnd"/>
      <w:r w:rsidRPr="00C56257">
        <w:rPr>
          <w:color w:val="000000" w:themeColor="text1"/>
          <w:lang w:val="x-none"/>
        </w:rPr>
        <w:t xml:space="preserve"> </w:t>
      </w:r>
      <w:proofErr w:type="spellStart"/>
      <w:r w:rsidRPr="00C56257">
        <w:rPr>
          <w:color w:val="000000" w:themeColor="text1"/>
          <w:lang w:val="x-none"/>
        </w:rPr>
        <w:t>reţelei</w:t>
      </w:r>
      <w:proofErr w:type="spellEnd"/>
      <w:r w:rsidRPr="00C56257">
        <w:rPr>
          <w:color w:val="000000" w:themeColor="text1"/>
          <w:lang w:val="x-none"/>
        </w:rPr>
        <w:t xml:space="preserve"> Natura 2000 </w:t>
      </w:r>
      <w:proofErr w:type="spellStart"/>
      <w:r w:rsidRPr="00C56257">
        <w:rPr>
          <w:color w:val="000000" w:themeColor="text1"/>
          <w:lang w:val="x-none"/>
        </w:rPr>
        <w:t>trebuie</w:t>
      </w:r>
      <w:proofErr w:type="spellEnd"/>
      <w:r w:rsidRPr="00C56257">
        <w:rPr>
          <w:color w:val="000000" w:themeColor="text1"/>
          <w:lang w:val="x-none"/>
        </w:rPr>
        <w:t xml:space="preserve"> </w:t>
      </w:r>
      <w:proofErr w:type="spellStart"/>
      <w:r w:rsidRPr="00C56257">
        <w:rPr>
          <w:color w:val="000000" w:themeColor="text1"/>
          <w:lang w:val="x-none"/>
        </w:rPr>
        <w:t>să</w:t>
      </w:r>
      <w:proofErr w:type="spellEnd"/>
      <w:r w:rsidRPr="00C56257">
        <w:rPr>
          <w:color w:val="000000" w:themeColor="text1"/>
          <w:lang w:val="x-none"/>
        </w:rPr>
        <w:t xml:space="preserve"> </w:t>
      </w:r>
      <w:proofErr w:type="spellStart"/>
      <w:r w:rsidRPr="00C56257">
        <w:rPr>
          <w:color w:val="000000" w:themeColor="text1"/>
          <w:lang w:val="x-none"/>
        </w:rPr>
        <w:t>ţină</w:t>
      </w:r>
      <w:proofErr w:type="spellEnd"/>
      <w:r w:rsidRPr="00C56257">
        <w:rPr>
          <w:color w:val="000000" w:themeColor="text1"/>
          <w:lang w:val="x-none"/>
        </w:rPr>
        <w:t xml:space="preserve"> </w:t>
      </w:r>
      <w:proofErr w:type="spellStart"/>
      <w:r w:rsidRPr="00C56257">
        <w:rPr>
          <w:color w:val="000000" w:themeColor="text1"/>
          <w:lang w:val="x-none"/>
        </w:rPr>
        <w:t>cont</w:t>
      </w:r>
      <w:proofErr w:type="spellEnd"/>
      <w:r w:rsidRPr="00C56257">
        <w:rPr>
          <w:color w:val="000000" w:themeColor="text1"/>
          <w:lang w:val="x-none"/>
        </w:rPr>
        <w:t xml:space="preserve"> de </w:t>
      </w:r>
      <w:proofErr w:type="spellStart"/>
      <w:r w:rsidRPr="00C56257">
        <w:rPr>
          <w:color w:val="000000" w:themeColor="text1"/>
          <w:lang w:val="x-none"/>
        </w:rPr>
        <w:t>distribuţia</w:t>
      </w:r>
      <w:proofErr w:type="spellEnd"/>
      <w:r w:rsidRPr="00C56257">
        <w:rPr>
          <w:color w:val="000000" w:themeColor="text1"/>
          <w:lang w:val="x-none"/>
        </w:rPr>
        <w:t xml:space="preserve"> </w:t>
      </w:r>
      <w:proofErr w:type="spellStart"/>
      <w:r w:rsidRPr="00C56257">
        <w:rPr>
          <w:color w:val="000000" w:themeColor="text1"/>
          <w:lang w:val="x-none"/>
        </w:rPr>
        <w:t>spaţială</w:t>
      </w:r>
      <w:proofErr w:type="spellEnd"/>
      <w:r w:rsidRPr="00C56257">
        <w:rPr>
          <w:color w:val="000000" w:themeColor="text1"/>
          <w:lang w:val="x-none"/>
        </w:rPr>
        <w:t xml:space="preserve"> a </w:t>
      </w:r>
      <w:proofErr w:type="spellStart"/>
      <w:r w:rsidRPr="00C56257">
        <w:rPr>
          <w:color w:val="000000" w:themeColor="text1"/>
          <w:lang w:val="x-none"/>
        </w:rPr>
        <w:t>tipurilor</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subtipurile</w:t>
      </w:r>
      <w:proofErr w:type="spellEnd"/>
      <w:r w:rsidRPr="00C56257">
        <w:rPr>
          <w:color w:val="000000" w:themeColor="text1"/>
          <w:lang w:val="x-none"/>
        </w:rPr>
        <w:t xml:space="preserve"> </w:t>
      </w:r>
      <w:proofErr w:type="spellStart"/>
      <w:r w:rsidRPr="00C56257">
        <w:rPr>
          <w:color w:val="000000" w:themeColor="text1"/>
          <w:lang w:val="x-none"/>
        </w:rPr>
        <w:t>habitatelor</w:t>
      </w:r>
      <w:proofErr w:type="spellEnd"/>
      <w:r w:rsidRPr="00C56257">
        <w:rPr>
          <w:color w:val="000000" w:themeColor="text1"/>
          <w:lang w:val="x-none"/>
        </w:rPr>
        <w:t xml:space="preserve"> marine  la </w:t>
      </w:r>
      <w:proofErr w:type="spellStart"/>
      <w:r w:rsidRPr="00C56257">
        <w:rPr>
          <w:color w:val="000000" w:themeColor="text1"/>
          <w:lang w:val="x-none"/>
        </w:rPr>
        <w:t>nivelul</w:t>
      </w:r>
      <w:proofErr w:type="spellEnd"/>
      <w:r w:rsidRPr="00C56257">
        <w:rPr>
          <w:color w:val="000000" w:themeColor="text1"/>
          <w:lang w:val="x-none"/>
        </w:rPr>
        <w:t xml:space="preserve"> </w:t>
      </w:r>
      <w:proofErr w:type="spellStart"/>
      <w:r w:rsidRPr="00C56257">
        <w:rPr>
          <w:color w:val="000000" w:themeColor="text1"/>
          <w:lang w:val="x-none"/>
        </w:rPr>
        <w:t>bioregiunilor</w:t>
      </w:r>
      <w:proofErr w:type="spellEnd"/>
      <w:r w:rsidRPr="00C56257">
        <w:rPr>
          <w:color w:val="000000" w:themeColor="text1"/>
          <w:lang w:val="x-none"/>
        </w:rPr>
        <w:t xml:space="preserve"> marina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pontica</w:t>
      </w:r>
      <w:proofErr w:type="spellEnd"/>
      <w:r w:rsidRPr="00C56257">
        <w:rPr>
          <w:color w:val="000000" w:themeColor="text1"/>
          <w:lang w:val="x-none"/>
        </w:rPr>
        <w:t xml:space="preserve">, </w:t>
      </w:r>
      <w:proofErr w:type="spellStart"/>
      <w:r w:rsidRPr="00C56257">
        <w:rPr>
          <w:color w:val="000000" w:themeColor="text1"/>
          <w:lang w:val="x-none"/>
        </w:rPr>
        <w:t>cât</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la </w:t>
      </w:r>
      <w:proofErr w:type="spellStart"/>
      <w:r w:rsidRPr="00C56257">
        <w:rPr>
          <w:color w:val="000000" w:themeColor="text1"/>
          <w:lang w:val="x-none"/>
        </w:rPr>
        <w:t>nivelul</w:t>
      </w:r>
      <w:proofErr w:type="spellEnd"/>
      <w:r w:rsidRPr="00C56257">
        <w:rPr>
          <w:color w:val="000000" w:themeColor="text1"/>
          <w:lang w:val="x-none"/>
        </w:rPr>
        <w:t xml:space="preserve"> </w:t>
      </w:r>
      <w:proofErr w:type="spellStart"/>
      <w:r w:rsidRPr="00C56257">
        <w:rPr>
          <w:color w:val="000000" w:themeColor="text1"/>
          <w:lang w:val="x-none"/>
        </w:rPr>
        <w:t>siturilor</w:t>
      </w:r>
      <w:proofErr w:type="spellEnd"/>
      <w:r w:rsidRPr="00C56257">
        <w:rPr>
          <w:color w:val="000000" w:themeColor="text1"/>
          <w:lang w:val="x-none"/>
        </w:rPr>
        <w:t xml:space="preserve"> Natura 2000. </w:t>
      </w:r>
    </w:p>
    <w:p w14:paraId="529F53EF" w14:textId="77777777" w:rsidR="00FC026B" w:rsidRPr="00C56257" w:rsidRDefault="00FC026B" w:rsidP="00FC026B">
      <w:pPr>
        <w:autoSpaceDE w:val="0"/>
        <w:autoSpaceDN w:val="0"/>
        <w:adjustRightInd w:val="0"/>
        <w:ind w:left="142" w:hanging="142"/>
        <w:jc w:val="both"/>
        <w:rPr>
          <w:color w:val="000000" w:themeColor="text1"/>
          <w:lang w:val="x-none"/>
        </w:rPr>
      </w:pPr>
    </w:p>
    <w:p w14:paraId="4563E8F7" w14:textId="77777777" w:rsidR="00FC026B" w:rsidRPr="00C56257" w:rsidRDefault="00FC026B" w:rsidP="00FC026B">
      <w:pPr>
        <w:autoSpaceDE w:val="0"/>
        <w:autoSpaceDN w:val="0"/>
        <w:adjustRightInd w:val="0"/>
        <w:ind w:left="142" w:hanging="142"/>
        <w:jc w:val="both"/>
        <w:rPr>
          <w:b/>
          <w:color w:val="000000" w:themeColor="text1"/>
          <w:shd w:val="clear" w:color="auto" w:fill="FFFF00"/>
          <w:lang w:val="x-none"/>
        </w:rPr>
      </w:pPr>
      <w:proofErr w:type="spellStart"/>
      <w:r w:rsidRPr="00C56257">
        <w:rPr>
          <w:b/>
          <w:color w:val="000000" w:themeColor="text1"/>
          <w:lang w:val="x-none"/>
        </w:rPr>
        <w:t>Ploturi</w:t>
      </w:r>
      <w:proofErr w:type="spellEnd"/>
      <w:r w:rsidRPr="00C56257">
        <w:rPr>
          <w:b/>
          <w:color w:val="000000" w:themeColor="text1"/>
          <w:lang w:val="x-none"/>
        </w:rPr>
        <w:t xml:space="preserve"> de </w:t>
      </w:r>
      <w:proofErr w:type="spellStart"/>
      <w:r w:rsidRPr="00C56257">
        <w:rPr>
          <w:b/>
          <w:color w:val="000000" w:themeColor="text1"/>
          <w:lang w:val="x-none"/>
        </w:rPr>
        <w:t>monitorizare</w:t>
      </w:r>
      <w:proofErr w:type="spellEnd"/>
      <w:r w:rsidRPr="00C56257">
        <w:rPr>
          <w:b/>
          <w:color w:val="000000" w:themeColor="text1"/>
          <w:lang w:val="x-none"/>
        </w:rPr>
        <w:t xml:space="preserve"> din </w:t>
      </w:r>
      <w:proofErr w:type="spellStart"/>
      <w:r w:rsidRPr="00C56257">
        <w:rPr>
          <w:b/>
          <w:color w:val="000000" w:themeColor="text1"/>
          <w:lang w:val="x-none"/>
        </w:rPr>
        <w:t>rețeaua</w:t>
      </w:r>
      <w:proofErr w:type="spellEnd"/>
      <w:r w:rsidRPr="00C56257">
        <w:rPr>
          <w:b/>
          <w:color w:val="000000" w:themeColor="text1"/>
          <w:lang w:val="x-none"/>
        </w:rPr>
        <w:t xml:space="preserve"> Natura 2000</w:t>
      </w:r>
    </w:p>
    <w:p w14:paraId="24ED3036" w14:textId="77777777" w:rsidR="00FC026B" w:rsidRPr="00C56257" w:rsidRDefault="00FC026B" w:rsidP="00FC026B">
      <w:pPr>
        <w:autoSpaceDE w:val="0"/>
        <w:autoSpaceDN w:val="0"/>
        <w:adjustRightInd w:val="0"/>
        <w:ind w:left="142" w:hanging="142"/>
        <w:jc w:val="both"/>
        <w:rPr>
          <w:bCs/>
          <w:color w:val="000000" w:themeColor="text1"/>
        </w:rPr>
      </w:pPr>
      <w:proofErr w:type="spellStart"/>
      <w:r w:rsidRPr="00C56257">
        <w:rPr>
          <w:color w:val="000000" w:themeColor="text1"/>
          <w:lang w:val="x-none"/>
        </w:rPr>
        <w:t>Distribuţia</w:t>
      </w:r>
      <w:proofErr w:type="spellEnd"/>
      <w:r w:rsidRPr="00C56257">
        <w:rPr>
          <w:color w:val="000000" w:themeColor="text1"/>
          <w:lang w:val="x-none"/>
        </w:rPr>
        <w:t xml:space="preserve"> </w:t>
      </w:r>
      <w:proofErr w:type="spellStart"/>
      <w:r w:rsidRPr="00C56257">
        <w:rPr>
          <w:color w:val="000000" w:themeColor="text1"/>
          <w:lang w:val="x-none"/>
        </w:rPr>
        <w:t>ploturilor</w:t>
      </w:r>
      <w:proofErr w:type="spellEnd"/>
      <w:r w:rsidRPr="00C56257">
        <w:rPr>
          <w:color w:val="000000" w:themeColor="text1"/>
          <w:lang w:val="x-none"/>
        </w:rPr>
        <w:t xml:space="preserve"> de </w:t>
      </w:r>
      <w:proofErr w:type="spellStart"/>
      <w:r w:rsidRPr="00C56257">
        <w:rPr>
          <w:color w:val="000000" w:themeColor="text1"/>
          <w:lang w:val="x-none"/>
        </w:rPr>
        <w:t>monitorizare</w:t>
      </w:r>
      <w:proofErr w:type="spellEnd"/>
      <w:r w:rsidRPr="00C56257">
        <w:rPr>
          <w:color w:val="000000" w:themeColor="text1"/>
          <w:lang w:val="x-none"/>
        </w:rPr>
        <w:t xml:space="preserve"> din </w:t>
      </w:r>
      <w:proofErr w:type="spellStart"/>
      <w:r w:rsidRPr="00C56257">
        <w:rPr>
          <w:color w:val="000000" w:themeColor="text1"/>
          <w:lang w:val="x-none"/>
        </w:rPr>
        <w:t>reţeaua</w:t>
      </w:r>
      <w:proofErr w:type="spellEnd"/>
      <w:r w:rsidRPr="00C56257">
        <w:rPr>
          <w:color w:val="000000" w:themeColor="text1"/>
          <w:lang w:val="x-none"/>
        </w:rPr>
        <w:t xml:space="preserve"> Natura 2000 </w:t>
      </w:r>
      <w:proofErr w:type="spellStart"/>
      <w:r w:rsidRPr="00C56257">
        <w:rPr>
          <w:color w:val="000000" w:themeColor="text1"/>
          <w:lang w:val="x-none"/>
        </w:rPr>
        <w:t>este</w:t>
      </w:r>
      <w:proofErr w:type="spellEnd"/>
      <w:r w:rsidRPr="00C56257">
        <w:rPr>
          <w:color w:val="000000" w:themeColor="text1"/>
          <w:lang w:val="x-none"/>
        </w:rPr>
        <w:t xml:space="preserve"> </w:t>
      </w:r>
      <w:proofErr w:type="spellStart"/>
      <w:r w:rsidRPr="00C56257">
        <w:rPr>
          <w:color w:val="000000" w:themeColor="text1"/>
          <w:lang w:val="x-none"/>
        </w:rPr>
        <w:t>prezentată</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r w:rsidRPr="00C56257">
        <w:rPr>
          <w:color w:val="000000" w:themeColor="text1"/>
        </w:rPr>
        <w:t>tabelul 1.2</w:t>
      </w:r>
      <w:r w:rsidRPr="00C56257">
        <w:rPr>
          <w:color w:val="000000" w:themeColor="text1"/>
          <w:lang w:val="x-none"/>
        </w:rPr>
        <w:t>.</w:t>
      </w:r>
    </w:p>
    <w:p w14:paraId="3A5F5159" w14:textId="77777777" w:rsidR="00FC026B" w:rsidRPr="00C56257" w:rsidRDefault="00FC026B" w:rsidP="00FC026B">
      <w:pPr>
        <w:autoSpaceDE w:val="0"/>
        <w:autoSpaceDN w:val="0"/>
        <w:adjustRightInd w:val="0"/>
        <w:ind w:left="142" w:hanging="142"/>
        <w:jc w:val="both"/>
        <w:rPr>
          <w:bCs/>
          <w:color w:val="000000" w:themeColor="text1"/>
        </w:rPr>
      </w:pPr>
    </w:p>
    <w:p w14:paraId="75C092FA" w14:textId="77777777" w:rsidR="00FC026B" w:rsidRPr="00C56257" w:rsidRDefault="00FC026B" w:rsidP="00FC026B">
      <w:pPr>
        <w:autoSpaceDE w:val="0"/>
        <w:autoSpaceDN w:val="0"/>
        <w:adjustRightInd w:val="0"/>
        <w:jc w:val="both"/>
        <w:rPr>
          <w:bCs/>
          <w:color w:val="000000" w:themeColor="text1"/>
        </w:rPr>
      </w:pPr>
    </w:p>
    <w:p w14:paraId="77D3843E" w14:textId="77777777" w:rsidR="00FC026B" w:rsidRDefault="00FC026B" w:rsidP="00FC026B">
      <w:pPr>
        <w:autoSpaceDE w:val="0"/>
        <w:autoSpaceDN w:val="0"/>
        <w:adjustRightInd w:val="0"/>
        <w:ind w:left="-142" w:hanging="142"/>
        <w:jc w:val="both"/>
        <w:rPr>
          <w:bCs/>
          <w:color w:val="000000" w:themeColor="text1"/>
        </w:rPr>
        <w:sectPr w:rsidR="00FC026B" w:rsidSect="00E1608A">
          <w:headerReference w:type="even" r:id="rId10"/>
          <w:headerReference w:type="default" r:id="rId11"/>
          <w:footerReference w:type="default" r:id="rId12"/>
          <w:headerReference w:type="first" r:id="rId13"/>
          <w:pgSz w:w="12240" w:h="15840"/>
          <w:pgMar w:top="810" w:right="758" w:bottom="630" w:left="1417" w:header="720" w:footer="720" w:gutter="0"/>
          <w:cols w:space="720"/>
          <w:docGrid w:linePitch="360"/>
        </w:sectPr>
      </w:pPr>
    </w:p>
    <w:p w14:paraId="08852F72" w14:textId="77777777" w:rsidR="00683B81" w:rsidRPr="00C56257" w:rsidRDefault="00683B81" w:rsidP="00683B81">
      <w:pPr>
        <w:autoSpaceDE w:val="0"/>
        <w:autoSpaceDN w:val="0"/>
        <w:adjustRightInd w:val="0"/>
        <w:ind w:left="-142" w:hanging="142"/>
        <w:jc w:val="both"/>
        <w:rPr>
          <w:bCs/>
          <w:color w:val="000000" w:themeColor="text1"/>
          <w:lang w:val="x-none"/>
        </w:rPr>
      </w:pPr>
      <w:r w:rsidRPr="00F100E1">
        <w:rPr>
          <w:bCs/>
          <w:color w:val="000000" w:themeColor="text1"/>
        </w:rPr>
        <w:lastRenderedPageBreak/>
        <w:t>T</w:t>
      </w:r>
      <w:r w:rsidR="003002A9">
        <w:rPr>
          <w:bCs/>
          <w:color w:val="000000" w:themeColor="text1"/>
        </w:rPr>
        <w:t>abel 1.1</w:t>
      </w:r>
      <w:r w:rsidRPr="00F100E1">
        <w:rPr>
          <w:bCs/>
          <w:color w:val="000000" w:themeColor="text1"/>
        </w:rPr>
        <w:t xml:space="preserve">. </w:t>
      </w:r>
      <w:proofErr w:type="spellStart"/>
      <w:r w:rsidRPr="00F100E1">
        <w:rPr>
          <w:bCs/>
          <w:color w:val="000000" w:themeColor="text1"/>
          <w:lang w:val="x-none"/>
        </w:rPr>
        <w:t>Planul</w:t>
      </w:r>
      <w:proofErr w:type="spellEnd"/>
      <w:r w:rsidRPr="00F100E1">
        <w:rPr>
          <w:bCs/>
          <w:color w:val="000000" w:themeColor="text1"/>
          <w:lang w:val="x-none"/>
        </w:rPr>
        <w:t xml:space="preserve"> de </w:t>
      </w:r>
      <w:proofErr w:type="spellStart"/>
      <w:r w:rsidRPr="00F100E1">
        <w:rPr>
          <w:bCs/>
          <w:color w:val="000000" w:themeColor="text1"/>
          <w:lang w:val="x-none"/>
        </w:rPr>
        <w:t>monitorizare</w:t>
      </w:r>
      <w:proofErr w:type="spellEnd"/>
      <w:r w:rsidRPr="00F100E1">
        <w:rPr>
          <w:bCs/>
          <w:color w:val="000000" w:themeColor="text1"/>
          <w:lang w:val="x-none"/>
        </w:rPr>
        <w:t xml:space="preserve"> a </w:t>
      </w:r>
      <w:proofErr w:type="spellStart"/>
      <w:r w:rsidRPr="00F100E1">
        <w:rPr>
          <w:bCs/>
          <w:color w:val="000000" w:themeColor="text1"/>
          <w:lang w:val="x-none"/>
        </w:rPr>
        <w:t>habitatelor</w:t>
      </w:r>
      <w:proofErr w:type="spellEnd"/>
      <w:r w:rsidRPr="00F100E1">
        <w:rPr>
          <w:bCs/>
          <w:color w:val="000000" w:themeColor="text1"/>
          <w:lang w:val="x-none"/>
        </w:rPr>
        <w:t xml:space="preserve"> marine </w:t>
      </w:r>
      <w:proofErr w:type="spellStart"/>
      <w:r w:rsidRPr="00F100E1">
        <w:rPr>
          <w:bCs/>
          <w:color w:val="000000" w:themeColor="text1"/>
          <w:lang w:val="x-none"/>
        </w:rPr>
        <w:t>și</w:t>
      </w:r>
      <w:proofErr w:type="spellEnd"/>
      <w:r w:rsidRPr="00F100E1">
        <w:rPr>
          <w:bCs/>
          <w:color w:val="000000" w:themeColor="text1"/>
          <w:lang w:val="x-none"/>
        </w:rPr>
        <w:t xml:space="preserve"> </w:t>
      </w:r>
      <w:proofErr w:type="spellStart"/>
      <w:r w:rsidRPr="00F100E1">
        <w:rPr>
          <w:bCs/>
          <w:color w:val="000000" w:themeColor="text1"/>
          <w:lang w:val="x-none"/>
        </w:rPr>
        <w:t>costiere</w:t>
      </w:r>
      <w:proofErr w:type="spellEnd"/>
    </w:p>
    <w:tbl>
      <w:tblPr>
        <w:tblW w:w="1455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29"/>
        <w:gridCol w:w="1530"/>
        <w:gridCol w:w="1134"/>
        <w:gridCol w:w="1276"/>
        <w:gridCol w:w="2835"/>
        <w:gridCol w:w="1559"/>
        <w:gridCol w:w="1276"/>
        <w:gridCol w:w="1202"/>
        <w:gridCol w:w="1506"/>
        <w:gridCol w:w="1635"/>
      </w:tblGrid>
      <w:tr w:rsidR="00683B81" w:rsidRPr="00C56257" w14:paraId="4ADEB972" w14:textId="77777777" w:rsidTr="00105BC5">
        <w:trPr>
          <w:tblHeader/>
        </w:trPr>
        <w:tc>
          <w:tcPr>
            <w:tcW w:w="597" w:type="dxa"/>
            <w:gridSpan w:val="2"/>
            <w:tcBorders>
              <w:bottom w:val="single" w:sz="4" w:space="0" w:color="auto"/>
            </w:tcBorders>
            <w:shd w:val="clear" w:color="auto" w:fill="auto"/>
          </w:tcPr>
          <w:p w14:paraId="7879D1B2" w14:textId="77777777" w:rsidR="00683B81" w:rsidRPr="00C56257" w:rsidRDefault="00683B81" w:rsidP="00105BC5">
            <w:pPr>
              <w:jc w:val="both"/>
              <w:rPr>
                <w:b/>
                <w:color w:val="000000" w:themeColor="text1"/>
                <w:lang w:val="pt-BR"/>
              </w:rPr>
            </w:pPr>
            <w:r w:rsidRPr="00C56257">
              <w:rPr>
                <w:b/>
                <w:color w:val="000000" w:themeColor="text1"/>
                <w:lang w:val="pt-BR"/>
              </w:rPr>
              <w:t>Nr. crt.</w:t>
            </w:r>
          </w:p>
        </w:tc>
        <w:tc>
          <w:tcPr>
            <w:tcW w:w="1530" w:type="dxa"/>
            <w:tcBorders>
              <w:bottom w:val="single" w:sz="4" w:space="0" w:color="auto"/>
            </w:tcBorders>
            <w:shd w:val="clear" w:color="auto" w:fill="auto"/>
          </w:tcPr>
          <w:p w14:paraId="746E9D16" w14:textId="77777777" w:rsidR="00683B81" w:rsidRPr="00C56257" w:rsidRDefault="00683B81" w:rsidP="00105BC5">
            <w:pPr>
              <w:jc w:val="both"/>
              <w:rPr>
                <w:b/>
                <w:color w:val="000000" w:themeColor="text1"/>
                <w:vertAlign w:val="superscript"/>
                <w:lang w:val="pt-BR"/>
              </w:rPr>
            </w:pPr>
            <w:r w:rsidRPr="00C56257">
              <w:rPr>
                <w:b/>
                <w:color w:val="000000" w:themeColor="text1"/>
                <w:lang w:val="pt-BR"/>
              </w:rPr>
              <w:t>Habitatul</w:t>
            </w:r>
          </w:p>
        </w:tc>
        <w:tc>
          <w:tcPr>
            <w:tcW w:w="1134" w:type="dxa"/>
            <w:tcBorders>
              <w:bottom w:val="single" w:sz="4" w:space="0" w:color="auto"/>
            </w:tcBorders>
            <w:shd w:val="clear" w:color="auto" w:fill="auto"/>
          </w:tcPr>
          <w:p w14:paraId="528D45E9" w14:textId="77777777" w:rsidR="00683B81" w:rsidRPr="00C56257" w:rsidRDefault="00683B81" w:rsidP="00105BC5">
            <w:pPr>
              <w:jc w:val="both"/>
              <w:rPr>
                <w:b/>
                <w:color w:val="000000" w:themeColor="text1"/>
                <w:lang w:val="sv-SE"/>
              </w:rPr>
            </w:pPr>
            <w:r w:rsidRPr="00C56257">
              <w:rPr>
                <w:b/>
                <w:color w:val="000000" w:themeColor="text1"/>
                <w:lang w:val="sv-SE"/>
              </w:rPr>
              <w:t>Anexa din DH</w:t>
            </w:r>
          </w:p>
          <w:p w14:paraId="10BFCB4C" w14:textId="77777777" w:rsidR="00683B81" w:rsidRPr="00C56257" w:rsidRDefault="00683B81" w:rsidP="00105BC5">
            <w:pPr>
              <w:jc w:val="both"/>
              <w:rPr>
                <w:b/>
                <w:color w:val="000000" w:themeColor="text1"/>
                <w:lang w:val="sv-SE"/>
              </w:rPr>
            </w:pPr>
            <w:r w:rsidRPr="00C56257">
              <w:rPr>
                <w:b/>
                <w:color w:val="000000" w:themeColor="text1"/>
                <w:lang w:val="sv-SE"/>
              </w:rPr>
              <w:t>și</w:t>
            </w:r>
          </w:p>
          <w:p w14:paraId="28E6D94F" w14:textId="77777777" w:rsidR="00683B81" w:rsidRPr="00C56257" w:rsidRDefault="00683B81" w:rsidP="00105BC5">
            <w:pPr>
              <w:jc w:val="both"/>
              <w:rPr>
                <w:b/>
                <w:bCs/>
                <w:color w:val="000000" w:themeColor="text1"/>
              </w:rPr>
            </w:pPr>
            <w:r w:rsidRPr="00C56257">
              <w:rPr>
                <w:b/>
                <w:bCs/>
                <w:color w:val="000000" w:themeColor="text1"/>
              </w:rPr>
              <w:t>OUG 57/2007</w:t>
            </w:r>
          </w:p>
          <w:p w14:paraId="3B2B761B" w14:textId="77777777" w:rsidR="00683B81" w:rsidRPr="00C56257" w:rsidRDefault="00683B81" w:rsidP="00105BC5">
            <w:pPr>
              <w:jc w:val="both"/>
              <w:rPr>
                <w:b/>
                <w:color w:val="000000" w:themeColor="text1"/>
                <w:lang w:val="sv-SE"/>
              </w:rPr>
            </w:pPr>
            <w:r w:rsidRPr="00C56257">
              <w:rPr>
                <w:b/>
                <w:color w:val="000000" w:themeColor="text1"/>
                <w:lang w:val="sv-SE"/>
              </w:rPr>
              <w:t>Legea 49/2011</w:t>
            </w:r>
          </w:p>
        </w:tc>
        <w:tc>
          <w:tcPr>
            <w:tcW w:w="1276" w:type="dxa"/>
            <w:shd w:val="clear" w:color="auto" w:fill="auto"/>
          </w:tcPr>
          <w:p w14:paraId="0D5EAB73" w14:textId="77777777" w:rsidR="00683B81" w:rsidRPr="00C56257" w:rsidRDefault="00683B81" w:rsidP="00105BC5">
            <w:pPr>
              <w:jc w:val="both"/>
              <w:rPr>
                <w:b/>
                <w:color w:val="000000" w:themeColor="text1"/>
                <w:lang w:val="pt-BR"/>
              </w:rPr>
            </w:pPr>
            <w:r w:rsidRPr="00C56257">
              <w:rPr>
                <w:b/>
                <w:color w:val="000000" w:themeColor="text1"/>
                <w:lang w:val="pt-BR"/>
              </w:rPr>
              <w:t>Regiune biogeogr.</w:t>
            </w:r>
          </w:p>
        </w:tc>
        <w:tc>
          <w:tcPr>
            <w:tcW w:w="2835" w:type="dxa"/>
            <w:shd w:val="clear" w:color="auto" w:fill="auto"/>
          </w:tcPr>
          <w:p w14:paraId="03E412C1" w14:textId="77777777" w:rsidR="00683B81" w:rsidRPr="00C56257" w:rsidRDefault="00683B81" w:rsidP="00105BC5">
            <w:pPr>
              <w:jc w:val="both"/>
              <w:rPr>
                <w:b/>
                <w:color w:val="000000" w:themeColor="text1"/>
                <w:lang w:val="pt-BR"/>
              </w:rPr>
            </w:pPr>
            <w:r w:rsidRPr="00C56257">
              <w:rPr>
                <w:b/>
                <w:color w:val="000000" w:themeColor="text1"/>
                <w:lang w:val="pt-BR"/>
              </w:rPr>
              <w:t>Localitate</w:t>
            </w:r>
          </w:p>
          <w:p w14:paraId="5FB01D86" w14:textId="77777777" w:rsidR="00683B81" w:rsidRPr="00C56257" w:rsidRDefault="00683B81" w:rsidP="00105BC5">
            <w:pPr>
              <w:jc w:val="both"/>
              <w:rPr>
                <w:b/>
                <w:color w:val="000000" w:themeColor="text1"/>
                <w:lang w:val="pt-BR"/>
              </w:rPr>
            </w:pPr>
            <w:r w:rsidRPr="00C56257">
              <w:rPr>
                <w:b/>
                <w:color w:val="000000" w:themeColor="text1"/>
                <w:lang w:val="pt-BR"/>
              </w:rPr>
              <w:t>(jud.)</w:t>
            </w:r>
          </w:p>
          <w:p w14:paraId="02698C5A" w14:textId="77777777" w:rsidR="00683B81" w:rsidRPr="00C56257" w:rsidRDefault="00683B81" w:rsidP="00105BC5">
            <w:pPr>
              <w:jc w:val="both"/>
              <w:rPr>
                <w:b/>
                <w:color w:val="000000" w:themeColor="text1"/>
                <w:lang w:val="pt-BR"/>
              </w:rPr>
            </w:pPr>
          </w:p>
        </w:tc>
        <w:tc>
          <w:tcPr>
            <w:tcW w:w="1559" w:type="dxa"/>
            <w:shd w:val="clear" w:color="auto" w:fill="auto"/>
          </w:tcPr>
          <w:p w14:paraId="263A170A" w14:textId="77777777" w:rsidR="00683B81" w:rsidRPr="00C56257" w:rsidRDefault="00683B81" w:rsidP="00105BC5">
            <w:pPr>
              <w:jc w:val="both"/>
              <w:rPr>
                <w:b/>
                <w:color w:val="000000" w:themeColor="text1"/>
                <w:lang w:val="pt-BR"/>
              </w:rPr>
            </w:pPr>
            <w:r w:rsidRPr="00C56257">
              <w:rPr>
                <w:b/>
                <w:color w:val="000000" w:themeColor="text1"/>
                <w:lang w:val="pt-BR"/>
              </w:rPr>
              <w:t xml:space="preserve">Sit </w:t>
            </w:r>
          </w:p>
          <w:p w14:paraId="1D9292E9" w14:textId="77777777" w:rsidR="00683B81" w:rsidRPr="00C56257" w:rsidRDefault="00683B81" w:rsidP="00105BC5">
            <w:pPr>
              <w:jc w:val="both"/>
              <w:rPr>
                <w:b/>
                <w:color w:val="000000" w:themeColor="text1"/>
                <w:lang w:val="pt-BR"/>
              </w:rPr>
            </w:pPr>
            <w:r w:rsidRPr="00C56257">
              <w:rPr>
                <w:b/>
                <w:color w:val="000000" w:themeColor="text1"/>
                <w:lang w:val="pt-BR"/>
              </w:rPr>
              <w:t>Natura 2000</w:t>
            </w:r>
          </w:p>
          <w:p w14:paraId="1B1AA893" w14:textId="77777777" w:rsidR="00683B81" w:rsidRPr="00C56257" w:rsidRDefault="00683B81" w:rsidP="00105BC5">
            <w:pPr>
              <w:jc w:val="both"/>
              <w:rPr>
                <w:b/>
                <w:color w:val="000000" w:themeColor="text1"/>
                <w:lang w:val="pt-BR"/>
              </w:rPr>
            </w:pPr>
            <w:r w:rsidRPr="00C56257">
              <w:rPr>
                <w:b/>
                <w:color w:val="000000" w:themeColor="text1"/>
                <w:lang w:val="pt-BR"/>
              </w:rPr>
              <w:t>(cod sit)</w:t>
            </w:r>
          </w:p>
          <w:p w14:paraId="68C1BE28" w14:textId="77777777" w:rsidR="00683B81" w:rsidRPr="00C56257" w:rsidRDefault="00683B81" w:rsidP="00105BC5">
            <w:pPr>
              <w:jc w:val="both"/>
              <w:rPr>
                <w:b/>
                <w:color w:val="000000" w:themeColor="text1"/>
                <w:lang w:val="pt-BR"/>
              </w:rPr>
            </w:pPr>
          </w:p>
        </w:tc>
        <w:tc>
          <w:tcPr>
            <w:tcW w:w="1276" w:type="dxa"/>
            <w:shd w:val="clear" w:color="auto" w:fill="auto"/>
          </w:tcPr>
          <w:p w14:paraId="6BA8EB8E" w14:textId="77777777" w:rsidR="00683B81" w:rsidRPr="00C56257" w:rsidRDefault="00683B81" w:rsidP="00105BC5">
            <w:pPr>
              <w:jc w:val="both"/>
              <w:rPr>
                <w:b/>
                <w:color w:val="000000" w:themeColor="text1"/>
                <w:lang w:val="pt-BR"/>
              </w:rPr>
            </w:pPr>
            <w:r w:rsidRPr="00C56257">
              <w:rPr>
                <w:b/>
                <w:color w:val="000000" w:themeColor="text1"/>
                <w:lang w:val="pt-BR"/>
              </w:rPr>
              <w:t>Frecvența</w:t>
            </w:r>
          </w:p>
          <w:p w14:paraId="4A619D6C" w14:textId="77777777" w:rsidR="00683B81" w:rsidRPr="00C56257" w:rsidRDefault="00683B81" w:rsidP="00105BC5">
            <w:pPr>
              <w:jc w:val="both"/>
              <w:rPr>
                <w:b/>
                <w:color w:val="000000" w:themeColor="text1"/>
                <w:lang w:val="pt-BR"/>
              </w:rPr>
            </w:pPr>
          </w:p>
        </w:tc>
        <w:tc>
          <w:tcPr>
            <w:tcW w:w="1202" w:type="dxa"/>
            <w:shd w:val="clear" w:color="auto" w:fill="auto"/>
          </w:tcPr>
          <w:p w14:paraId="1DE1155F" w14:textId="77777777" w:rsidR="00683B81" w:rsidRPr="00C56257" w:rsidRDefault="00683B81" w:rsidP="00105BC5">
            <w:pPr>
              <w:jc w:val="both"/>
              <w:rPr>
                <w:b/>
                <w:color w:val="000000" w:themeColor="text1"/>
              </w:rPr>
            </w:pPr>
            <w:r w:rsidRPr="00C56257">
              <w:rPr>
                <w:b/>
                <w:color w:val="000000" w:themeColor="text1"/>
                <w:lang w:val="pt-BR"/>
              </w:rPr>
              <w:t>Luna</w:t>
            </w:r>
            <w:r w:rsidRPr="00C56257">
              <w:rPr>
                <w:b/>
                <w:color w:val="000000" w:themeColor="text1"/>
              </w:rPr>
              <w:t>/</w:t>
            </w:r>
          </w:p>
          <w:p w14:paraId="5EFDAEE2" w14:textId="77777777" w:rsidR="00683B81" w:rsidRPr="00C56257" w:rsidRDefault="00683B81" w:rsidP="00105BC5">
            <w:pPr>
              <w:jc w:val="both"/>
              <w:rPr>
                <w:b/>
                <w:color w:val="000000" w:themeColor="text1"/>
                <w:vertAlign w:val="superscript"/>
              </w:rPr>
            </w:pPr>
            <w:r w:rsidRPr="00C56257">
              <w:rPr>
                <w:b/>
                <w:color w:val="000000" w:themeColor="text1"/>
              </w:rPr>
              <w:t>Lunile</w:t>
            </w:r>
          </w:p>
        </w:tc>
        <w:tc>
          <w:tcPr>
            <w:tcW w:w="1506" w:type="dxa"/>
            <w:shd w:val="clear" w:color="auto" w:fill="auto"/>
          </w:tcPr>
          <w:p w14:paraId="452AF7FB" w14:textId="77777777" w:rsidR="00683B81" w:rsidRPr="00C56257" w:rsidRDefault="00683B81" w:rsidP="00105BC5">
            <w:pPr>
              <w:jc w:val="both"/>
              <w:rPr>
                <w:b/>
                <w:color w:val="000000" w:themeColor="text1"/>
                <w:lang w:val="pt-BR"/>
              </w:rPr>
            </w:pPr>
            <w:r w:rsidRPr="00C56257">
              <w:rPr>
                <w:b/>
                <w:color w:val="000000" w:themeColor="text1"/>
                <w:lang w:val="pt-BR"/>
              </w:rPr>
              <w:t>Metoda utilizată</w:t>
            </w:r>
          </w:p>
        </w:tc>
        <w:tc>
          <w:tcPr>
            <w:tcW w:w="1635" w:type="dxa"/>
            <w:shd w:val="clear" w:color="auto" w:fill="auto"/>
          </w:tcPr>
          <w:p w14:paraId="1C7836E5" w14:textId="77777777" w:rsidR="00683B81" w:rsidRPr="00C56257" w:rsidRDefault="00683B81" w:rsidP="00105BC5">
            <w:pPr>
              <w:jc w:val="both"/>
              <w:rPr>
                <w:b/>
                <w:color w:val="000000" w:themeColor="text1"/>
                <w:lang w:val="pt-BR"/>
              </w:rPr>
            </w:pPr>
            <w:r w:rsidRPr="00C56257">
              <w:rPr>
                <w:b/>
                <w:color w:val="000000" w:themeColor="text1"/>
                <w:lang w:val="pt-BR"/>
              </w:rPr>
              <w:t>Obs.</w:t>
            </w:r>
          </w:p>
        </w:tc>
      </w:tr>
      <w:tr w:rsidR="00683B81" w:rsidRPr="00C56257" w14:paraId="0A014B05" w14:textId="77777777" w:rsidTr="00105BC5">
        <w:tc>
          <w:tcPr>
            <w:tcW w:w="597" w:type="dxa"/>
            <w:gridSpan w:val="2"/>
            <w:tcBorders>
              <w:bottom w:val="single" w:sz="4" w:space="0" w:color="auto"/>
            </w:tcBorders>
            <w:shd w:val="clear" w:color="auto" w:fill="auto"/>
          </w:tcPr>
          <w:p w14:paraId="5D7D247A" w14:textId="77777777" w:rsidR="00683B81" w:rsidRPr="00C56257" w:rsidRDefault="00683B81" w:rsidP="00105BC5">
            <w:pPr>
              <w:jc w:val="both"/>
              <w:rPr>
                <w:color w:val="000000" w:themeColor="text1"/>
                <w:lang w:val="pt-BR"/>
              </w:rPr>
            </w:pPr>
            <w:r w:rsidRPr="00C56257">
              <w:rPr>
                <w:color w:val="000000" w:themeColor="text1"/>
                <w:lang w:val="pt-BR"/>
              </w:rPr>
              <w:t>1.</w:t>
            </w:r>
          </w:p>
        </w:tc>
        <w:tc>
          <w:tcPr>
            <w:tcW w:w="1530" w:type="dxa"/>
            <w:tcBorders>
              <w:bottom w:val="single" w:sz="4" w:space="0" w:color="auto"/>
            </w:tcBorders>
            <w:shd w:val="clear" w:color="auto" w:fill="auto"/>
          </w:tcPr>
          <w:p w14:paraId="24ED42E6" w14:textId="77777777" w:rsidR="00683B81" w:rsidRPr="00C56257" w:rsidRDefault="00683B81" w:rsidP="00105BC5">
            <w:pPr>
              <w:jc w:val="both"/>
              <w:rPr>
                <w:color w:val="000000" w:themeColor="text1"/>
              </w:rPr>
            </w:pPr>
            <w:r w:rsidRPr="00C56257">
              <w:rPr>
                <w:color w:val="000000" w:themeColor="text1"/>
              </w:rPr>
              <w:t>1110 Bancuri de nisip submerse de mică adâncime</w:t>
            </w:r>
          </w:p>
          <w:p w14:paraId="3D2C3E95" w14:textId="77777777" w:rsidR="00683B81" w:rsidRPr="00C56257" w:rsidRDefault="00683B81" w:rsidP="00105BC5">
            <w:pPr>
              <w:jc w:val="both"/>
              <w:rPr>
                <w:color w:val="000000" w:themeColor="text1"/>
              </w:rPr>
            </w:pPr>
          </w:p>
          <w:p w14:paraId="6569A97A" w14:textId="77777777" w:rsidR="00683B81" w:rsidRPr="00C56257" w:rsidRDefault="00683B81" w:rsidP="00105BC5">
            <w:pPr>
              <w:jc w:val="both"/>
              <w:rPr>
                <w:i/>
                <w:color w:val="000000" w:themeColor="text1"/>
              </w:rPr>
            </w:pPr>
          </w:p>
        </w:tc>
        <w:tc>
          <w:tcPr>
            <w:tcW w:w="1134" w:type="dxa"/>
            <w:tcBorders>
              <w:bottom w:val="single" w:sz="4" w:space="0" w:color="auto"/>
            </w:tcBorders>
            <w:shd w:val="clear" w:color="auto" w:fill="auto"/>
          </w:tcPr>
          <w:p w14:paraId="219794E0" w14:textId="77777777" w:rsidR="00683B81" w:rsidRPr="00C56257" w:rsidRDefault="00683B81" w:rsidP="00105BC5">
            <w:pPr>
              <w:jc w:val="both"/>
              <w:rPr>
                <w:color w:val="000000" w:themeColor="text1"/>
              </w:rPr>
            </w:pPr>
            <w:r w:rsidRPr="00C56257">
              <w:rPr>
                <w:color w:val="000000" w:themeColor="text1"/>
              </w:rPr>
              <w:t>Anexa I/</w:t>
            </w:r>
          </w:p>
          <w:p w14:paraId="4F3709E6" w14:textId="77777777" w:rsidR="00683B81" w:rsidRPr="00C56257" w:rsidRDefault="00683B81" w:rsidP="00105BC5">
            <w:pPr>
              <w:jc w:val="both"/>
              <w:rPr>
                <w:color w:val="000000" w:themeColor="text1"/>
                <w:lang w:val="pt-BR"/>
              </w:rPr>
            </w:pPr>
            <w:r w:rsidRPr="00C56257">
              <w:rPr>
                <w:color w:val="000000" w:themeColor="text1"/>
              </w:rPr>
              <w:t>Anexa 4</w:t>
            </w:r>
          </w:p>
        </w:tc>
        <w:tc>
          <w:tcPr>
            <w:tcW w:w="1276" w:type="dxa"/>
            <w:shd w:val="clear" w:color="auto" w:fill="auto"/>
          </w:tcPr>
          <w:p w14:paraId="0D83A30F" w14:textId="77777777" w:rsidR="00683B81" w:rsidRPr="00C56257" w:rsidRDefault="00683B81" w:rsidP="00105BC5">
            <w:pPr>
              <w:jc w:val="both"/>
              <w:rPr>
                <w:color w:val="000000" w:themeColor="text1"/>
              </w:rPr>
            </w:pPr>
            <w:r w:rsidRPr="00C56257">
              <w:rPr>
                <w:color w:val="000000" w:themeColor="text1"/>
              </w:rPr>
              <w:t>Marea Neagră (Marină)</w:t>
            </w:r>
          </w:p>
        </w:tc>
        <w:tc>
          <w:tcPr>
            <w:tcW w:w="2835" w:type="dxa"/>
            <w:shd w:val="clear" w:color="auto" w:fill="auto"/>
          </w:tcPr>
          <w:p w14:paraId="0E133C83" w14:textId="77777777" w:rsidR="00683B81" w:rsidRPr="00C56257" w:rsidRDefault="00683B81" w:rsidP="00105BC5">
            <w:pPr>
              <w:jc w:val="both"/>
              <w:rPr>
                <w:color w:val="000000" w:themeColor="text1"/>
              </w:rPr>
            </w:pPr>
            <w:r w:rsidRPr="00C56257">
              <w:rPr>
                <w:color w:val="000000" w:themeColor="text1"/>
              </w:rPr>
              <w:t xml:space="preserve"> Vama Veche  - zona 20-25 m adâncime (jud.  Constanţa) -  Sf. Gheorghe/Sulina (jud. Tulcea)</w:t>
            </w:r>
          </w:p>
        </w:tc>
        <w:tc>
          <w:tcPr>
            <w:tcW w:w="1559" w:type="dxa"/>
            <w:shd w:val="clear" w:color="auto" w:fill="auto"/>
          </w:tcPr>
          <w:p w14:paraId="13051AB3" w14:textId="77777777" w:rsidR="00683B81" w:rsidRPr="00C56257" w:rsidRDefault="00683B81" w:rsidP="00105BC5">
            <w:pPr>
              <w:jc w:val="both"/>
              <w:rPr>
                <w:color w:val="000000" w:themeColor="text1"/>
                <w:lang w:val="it-IT"/>
              </w:rPr>
            </w:pPr>
            <w:r w:rsidRPr="00C56257">
              <w:rPr>
                <w:color w:val="000000" w:themeColor="text1"/>
                <w:lang w:val="it-IT"/>
              </w:rPr>
              <w:t>ROS</w:t>
            </w:r>
            <w:r w:rsidR="00A90A2C">
              <w:rPr>
                <w:color w:val="000000" w:themeColor="text1"/>
                <w:lang w:val="it-IT"/>
              </w:rPr>
              <w:t>AC</w:t>
            </w:r>
            <w:r w:rsidRPr="00C56257">
              <w:rPr>
                <w:color w:val="000000" w:themeColor="text1"/>
                <w:lang w:val="it-IT"/>
              </w:rPr>
              <w:t xml:space="preserve"> 0269</w:t>
            </w:r>
          </w:p>
          <w:p w14:paraId="45DE05D7" w14:textId="77777777" w:rsidR="00683B81" w:rsidRPr="00C56257" w:rsidRDefault="00A90A2C" w:rsidP="00105BC5">
            <w:pPr>
              <w:jc w:val="both"/>
              <w:rPr>
                <w:bCs/>
                <w:color w:val="000000" w:themeColor="text1"/>
              </w:rPr>
            </w:pPr>
            <w:r>
              <w:rPr>
                <w:bCs/>
                <w:color w:val="000000" w:themeColor="text1"/>
              </w:rPr>
              <w:t>ROSAC</w:t>
            </w:r>
            <w:r w:rsidR="00683B81" w:rsidRPr="00C56257">
              <w:rPr>
                <w:bCs/>
                <w:color w:val="000000" w:themeColor="text1"/>
              </w:rPr>
              <w:t xml:space="preserve"> 0094</w:t>
            </w:r>
          </w:p>
          <w:p w14:paraId="7192E783" w14:textId="77777777" w:rsidR="00683B81" w:rsidRPr="00C56257" w:rsidRDefault="00683B81" w:rsidP="00105BC5">
            <w:pPr>
              <w:jc w:val="both"/>
              <w:rPr>
                <w:color w:val="000000" w:themeColor="text1"/>
              </w:rPr>
            </w:pPr>
            <w:r w:rsidRPr="00C56257">
              <w:rPr>
                <w:color w:val="000000" w:themeColor="text1"/>
              </w:rPr>
              <w:t>ROSCI 0281</w:t>
            </w:r>
          </w:p>
          <w:p w14:paraId="2BC887B3" w14:textId="77777777" w:rsidR="00683B81" w:rsidRPr="00C56257" w:rsidRDefault="00683B81" w:rsidP="00105BC5">
            <w:pPr>
              <w:jc w:val="both"/>
              <w:rPr>
                <w:color w:val="000000" w:themeColor="text1"/>
              </w:rPr>
            </w:pPr>
            <w:r w:rsidRPr="00C56257">
              <w:rPr>
                <w:color w:val="000000" w:themeColor="text1"/>
              </w:rPr>
              <w:t>ROSCI 0293</w:t>
            </w:r>
          </w:p>
          <w:p w14:paraId="470AA249" w14:textId="77777777" w:rsidR="00683B81" w:rsidRPr="00C56257" w:rsidRDefault="00A90A2C" w:rsidP="00105BC5">
            <w:pPr>
              <w:jc w:val="both"/>
              <w:rPr>
                <w:bCs/>
                <w:color w:val="000000" w:themeColor="text1"/>
                <w:lang w:val="it-IT"/>
              </w:rPr>
            </w:pPr>
            <w:r>
              <w:rPr>
                <w:bCs/>
                <w:color w:val="000000" w:themeColor="text1"/>
                <w:lang w:val="it-IT"/>
              </w:rPr>
              <w:t>ROSAC</w:t>
            </w:r>
            <w:r w:rsidR="00683B81" w:rsidRPr="00C56257">
              <w:rPr>
                <w:bCs/>
                <w:color w:val="000000" w:themeColor="text1"/>
                <w:lang w:val="it-IT"/>
              </w:rPr>
              <w:t xml:space="preserve"> 0197</w:t>
            </w:r>
          </w:p>
          <w:p w14:paraId="7E00B690" w14:textId="77777777" w:rsidR="00683B81" w:rsidRPr="00C56257" w:rsidRDefault="00683B81" w:rsidP="00105BC5">
            <w:pPr>
              <w:jc w:val="both"/>
              <w:rPr>
                <w:bCs/>
                <w:color w:val="000000" w:themeColor="text1"/>
                <w:lang w:val="it-IT"/>
              </w:rPr>
            </w:pPr>
            <w:r w:rsidRPr="00C56257">
              <w:rPr>
                <w:bCs/>
                <w:color w:val="000000" w:themeColor="text1"/>
                <w:lang w:val="it-IT"/>
              </w:rPr>
              <w:t>ROSCI 0237</w:t>
            </w:r>
          </w:p>
          <w:p w14:paraId="7C68AFAA" w14:textId="77777777" w:rsidR="00683B81" w:rsidRPr="00C56257" w:rsidRDefault="00683B81" w:rsidP="00105BC5">
            <w:pPr>
              <w:jc w:val="both"/>
              <w:rPr>
                <w:bCs/>
                <w:color w:val="000000" w:themeColor="text1"/>
                <w:lang w:val="it-IT"/>
              </w:rPr>
            </w:pPr>
            <w:r w:rsidRPr="00C56257">
              <w:rPr>
                <w:bCs/>
                <w:color w:val="000000" w:themeColor="text1"/>
                <w:lang w:val="it-IT"/>
              </w:rPr>
              <w:t>ROSCI0066</w:t>
            </w:r>
          </w:p>
        </w:tc>
        <w:tc>
          <w:tcPr>
            <w:tcW w:w="1276" w:type="dxa"/>
            <w:shd w:val="clear" w:color="auto" w:fill="auto"/>
          </w:tcPr>
          <w:p w14:paraId="5728089D" w14:textId="77777777" w:rsidR="00683B81" w:rsidRPr="00C56257" w:rsidRDefault="00683B81" w:rsidP="00105BC5">
            <w:pPr>
              <w:jc w:val="both"/>
              <w:rPr>
                <w:color w:val="000000" w:themeColor="text1"/>
              </w:rPr>
            </w:pPr>
            <w:r w:rsidRPr="00C56257">
              <w:rPr>
                <w:color w:val="000000" w:themeColor="text1"/>
                <w:lang w:val="pt-BR"/>
              </w:rPr>
              <w:t>anual</w:t>
            </w:r>
          </w:p>
        </w:tc>
        <w:tc>
          <w:tcPr>
            <w:tcW w:w="1202" w:type="dxa"/>
            <w:shd w:val="clear" w:color="auto" w:fill="auto"/>
          </w:tcPr>
          <w:p w14:paraId="35DF529E" w14:textId="77777777" w:rsidR="00683B81" w:rsidRPr="00C56257" w:rsidRDefault="00683B81" w:rsidP="00105BC5">
            <w:pPr>
              <w:jc w:val="both"/>
              <w:rPr>
                <w:color w:val="000000" w:themeColor="text1"/>
                <w:lang w:val="pt-BR"/>
              </w:rPr>
            </w:pPr>
            <w:r w:rsidRPr="00C56257">
              <w:rPr>
                <w:color w:val="000000" w:themeColor="text1"/>
                <w:lang w:val="pt-BR"/>
              </w:rPr>
              <w:t>mai-octombrie</w:t>
            </w:r>
          </w:p>
        </w:tc>
        <w:tc>
          <w:tcPr>
            <w:tcW w:w="1506" w:type="dxa"/>
            <w:shd w:val="clear" w:color="auto" w:fill="auto"/>
          </w:tcPr>
          <w:p w14:paraId="53713A3C" w14:textId="77777777" w:rsidR="00683B81" w:rsidRPr="00C56257" w:rsidRDefault="00683B81" w:rsidP="00105BC5">
            <w:pPr>
              <w:jc w:val="both"/>
              <w:rPr>
                <w:color w:val="000000" w:themeColor="text1"/>
                <w:lang w:val="it-IT"/>
              </w:rPr>
            </w:pPr>
            <w:r w:rsidRPr="00C56257">
              <w:rPr>
                <w:color w:val="000000" w:themeColor="text1"/>
                <w:lang w:val="it-IT"/>
              </w:rPr>
              <w:t>- eșantionare non-distructivă;</w:t>
            </w:r>
          </w:p>
          <w:p w14:paraId="39D3EA89" w14:textId="77777777" w:rsidR="00683B81" w:rsidRPr="00C56257" w:rsidRDefault="00683B81" w:rsidP="00105BC5">
            <w:pPr>
              <w:jc w:val="both"/>
              <w:rPr>
                <w:color w:val="000000" w:themeColor="text1"/>
                <w:lang w:val="it-IT"/>
              </w:rPr>
            </w:pPr>
            <w:r w:rsidRPr="00C56257">
              <w:rPr>
                <w:color w:val="000000" w:themeColor="text1"/>
                <w:lang w:val="it-IT"/>
              </w:rPr>
              <w:t>- pătrate de probă 1 m</w:t>
            </w:r>
            <w:r w:rsidRPr="00C56257">
              <w:rPr>
                <w:color w:val="000000" w:themeColor="text1"/>
                <w:vertAlign w:val="superscript"/>
                <w:lang w:val="it-IT"/>
              </w:rPr>
              <w:t>2</w:t>
            </w:r>
            <w:r w:rsidRPr="00C56257">
              <w:rPr>
                <w:color w:val="000000" w:themeColor="text1"/>
                <w:lang w:val="it-IT"/>
              </w:rPr>
              <w:t xml:space="preserve"> (3 replici);</w:t>
            </w:r>
          </w:p>
          <w:p w14:paraId="11D96257" w14:textId="77777777" w:rsidR="00683B81" w:rsidRPr="00C56257" w:rsidRDefault="00683B81" w:rsidP="00105BC5">
            <w:pPr>
              <w:jc w:val="both"/>
              <w:rPr>
                <w:color w:val="000000" w:themeColor="text1"/>
                <w:lang w:val="pt-BR"/>
              </w:rPr>
            </w:pPr>
            <w:r w:rsidRPr="00C56257">
              <w:rPr>
                <w:color w:val="000000" w:themeColor="text1"/>
                <w:lang w:val="pt-BR"/>
              </w:rPr>
              <w:t>- transecte foto</w:t>
            </w:r>
          </w:p>
        </w:tc>
        <w:tc>
          <w:tcPr>
            <w:tcW w:w="1635" w:type="dxa"/>
            <w:shd w:val="clear" w:color="auto" w:fill="auto"/>
          </w:tcPr>
          <w:p w14:paraId="5B9E4B8A" w14:textId="77777777" w:rsidR="00683B81" w:rsidRPr="00C56257" w:rsidRDefault="00683B81" w:rsidP="00105BC5">
            <w:pPr>
              <w:jc w:val="both"/>
              <w:rPr>
                <w:color w:val="000000" w:themeColor="text1"/>
                <w:lang w:val="es-ES"/>
              </w:rPr>
            </w:pPr>
            <w:r w:rsidRPr="00C56257">
              <w:rPr>
                <w:color w:val="000000" w:themeColor="text1"/>
                <w:lang w:val="es-ES"/>
              </w:rPr>
              <w:t xml:space="preserve">Min. 10 </w:t>
            </w:r>
            <w:proofErr w:type="spellStart"/>
            <w:r w:rsidRPr="00C56257">
              <w:rPr>
                <w:color w:val="000000" w:themeColor="text1"/>
                <w:lang w:val="es-ES"/>
              </w:rPr>
              <w:t>puncte</w:t>
            </w:r>
            <w:proofErr w:type="spellEnd"/>
            <w:r w:rsidRPr="00C56257">
              <w:rPr>
                <w:color w:val="000000" w:themeColor="text1"/>
                <w:lang w:val="es-ES"/>
              </w:rPr>
              <w:t xml:space="preserve"> de </w:t>
            </w:r>
            <w:proofErr w:type="spellStart"/>
            <w:r w:rsidRPr="00C56257">
              <w:rPr>
                <w:color w:val="000000" w:themeColor="text1"/>
                <w:lang w:val="es-ES"/>
              </w:rPr>
              <w:t>prelevare</w:t>
            </w:r>
            <w:proofErr w:type="spellEnd"/>
          </w:p>
          <w:p w14:paraId="62C4E637" w14:textId="77777777" w:rsidR="00683B81" w:rsidRPr="00C56257" w:rsidRDefault="00683B81" w:rsidP="00105BC5">
            <w:pPr>
              <w:jc w:val="both"/>
              <w:rPr>
                <w:color w:val="000000" w:themeColor="text1"/>
                <w:lang w:val="es-ES"/>
              </w:rPr>
            </w:pPr>
          </w:p>
          <w:p w14:paraId="36C0BA33" w14:textId="77777777" w:rsidR="00683B81" w:rsidRPr="00C56257" w:rsidRDefault="00683B81" w:rsidP="00105BC5">
            <w:pPr>
              <w:jc w:val="both"/>
              <w:rPr>
                <w:color w:val="000000" w:themeColor="text1"/>
                <w:lang w:val="es-ES"/>
              </w:rPr>
            </w:pPr>
            <w:proofErr w:type="spellStart"/>
            <w:r w:rsidRPr="00C56257">
              <w:rPr>
                <w:color w:val="000000" w:themeColor="text1"/>
                <w:lang w:val="es-ES"/>
              </w:rPr>
              <w:t>Acces</w:t>
            </w:r>
            <w:proofErr w:type="spellEnd"/>
            <w:r w:rsidRPr="00C56257">
              <w:rPr>
                <w:color w:val="000000" w:themeColor="text1"/>
                <w:lang w:val="es-ES"/>
              </w:rPr>
              <w:t xml:space="preserve"> </w:t>
            </w:r>
            <w:proofErr w:type="spellStart"/>
            <w:r w:rsidRPr="00C56257">
              <w:rPr>
                <w:color w:val="000000" w:themeColor="text1"/>
                <w:lang w:val="es-ES"/>
              </w:rPr>
              <w:t>cu</w:t>
            </w:r>
            <w:proofErr w:type="spellEnd"/>
            <w:r w:rsidRPr="00C56257">
              <w:rPr>
                <w:color w:val="000000" w:themeColor="text1"/>
                <w:lang w:val="es-ES"/>
              </w:rPr>
              <w:t xml:space="preserve"> </w:t>
            </w:r>
          </w:p>
          <w:p w14:paraId="1AB417C9" w14:textId="77777777" w:rsidR="00683B81" w:rsidRPr="00C56257" w:rsidRDefault="00683B81" w:rsidP="00105BC5">
            <w:pPr>
              <w:jc w:val="both"/>
              <w:rPr>
                <w:color w:val="000000" w:themeColor="text1"/>
                <w:lang w:val="es-ES"/>
              </w:rPr>
            </w:pPr>
            <w:proofErr w:type="spellStart"/>
            <w:r w:rsidRPr="00C56257">
              <w:rPr>
                <w:color w:val="000000" w:themeColor="text1"/>
                <w:lang w:val="es-ES"/>
              </w:rPr>
              <w:t>barcă</w:t>
            </w:r>
            <w:proofErr w:type="spellEnd"/>
            <w:r w:rsidRPr="00C56257">
              <w:rPr>
                <w:color w:val="000000" w:themeColor="text1"/>
                <w:lang w:val="es-ES"/>
              </w:rPr>
              <w:t xml:space="preserve"> </w:t>
            </w:r>
            <w:proofErr w:type="spellStart"/>
            <w:r w:rsidRPr="00C56257">
              <w:rPr>
                <w:color w:val="000000" w:themeColor="text1"/>
                <w:lang w:val="es-ES"/>
              </w:rPr>
              <w:t>cu</w:t>
            </w:r>
            <w:proofErr w:type="spellEnd"/>
            <w:r w:rsidRPr="00C56257">
              <w:rPr>
                <w:color w:val="000000" w:themeColor="text1"/>
                <w:lang w:val="es-ES"/>
              </w:rPr>
              <w:t xml:space="preserve"> motor </w:t>
            </w:r>
            <w:proofErr w:type="spellStart"/>
            <w:r w:rsidRPr="00C56257">
              <w:rPr>
                <w:color w:val="000000" w:themeColor="text1"/>
                <w:lang w:val="es-ES"/>
              </w:rPr>
              <w:t>și</w:t>
            </w:r>
            <w:proofErr w:type="spellEnd"/>
            <w:r w:rsidRPr="00C56257">
              <w:rPr>
                <w:color w:val="000000" w:themeColor="text1"/>
                <w:lang w:val="es-ES"/>
              </w:rPr>
              <w:t xml:space="preserve"> </w:t>
            </w:r>
            <w:proofErr w:type="spellStart"/>
            <w:r w:rsidRPr="00C56257">
              <w:rPr>
                <w:color w:val="000000" w:themeColor="text1"/>
                <w:lang w:val="es-ES"/>
              </w:rPr>
              <w:t>navă</w:t>
            </w:r>
            <w:proofErr w:type="spellEnd"/>
          </w:p>
        </w:tc>
      </w:tr>
      <w:tr w:rsidR="00683B81" w:rsidRPr="00C56257" w14:paraId="16FB9C21" w14:textId="77777777" w:rsidTr="00105BC5">
        <w:tc>
          <w:tcPr>
            <w:tcW w:w="597" w:type="dxa"/>
            <w:gridSpan w:val="2"/>
            <w:tcBorders>
              <w:top w:val="nil"/>
              <w:left w:val="single" w:sz="4" w:space="0" w:color="auto"/>
              <w:bottom w:val="single" w:sz="4" w:space="0" w:color="auto"/>
              <w:right w:val="single" w:sz="4" w:space="0" w:color="auto"/>
            </w:tcBorders>
            <w:shd w:val="clear" w:color="auto" w:fill="auto"/>
          </w:tcPr>
          <w:p w14:paraId="6EA7BFDA" w14:textId="77777777" w:rsidR="00683B81" w:rsidRPr="00C56257" w:rsidRDefault="00683B81" w:rsidP="00105BC5">
            <w:pPr>
              <w:jc w:val="both"/>
              <w:rPr>
                <w:color w:val="000000" w:themeColor="text1"/>
                <w:lang w:val="pt-BR"/>
              </w:rPr>
            </w:pPr>
            <w:r w:rsidRPr="00C56257">
              <w:rPr>
                <w:color w:val="000000" w:themeColor="text1"/>
                <w:lang w:val="pt-BR"/>
              </w:rPr>
              <w:t>2.</w:t>
            </w:r>
          </w:p>
        </w:tc>
        <w:tc>
          <w:tcPr>
            <w:tcW w:w="1530" w:type="dxa"/>
            <w:tcBorders>
              <w:top w:val="nil"/>
              <w:left w:val="single" w:sz="4" w:space="0" w:color="auto"/>
              <w:bottom w:val="single" w:sz="4" w:space="0" w:color="auto"/>
              <w:right w:val="single" w:sz="4" w:space="0" w:color="auto"/>
            </w:tcBorders>
            <w:shd w:val="clear" w:color="auto" w:fill="auto"/>
          </w:tcPr>
          <w:p w14:paraId="34780183" w14:textId="77777777" w:rsidR="00683B81" w:rsidRPr="00C56257" w:rsidRDefault="00683B81" w:rsidP="00105BC5">
            <w:pPr>
              <w:jc w:val="both"/>
              <w:rPr>
                <w:color w:val="000000" w:themeColor="text1"/>
              </w:rPr>
            </w:pPr>
            <w:r w:rsidRPr="00C56257">
              <w:rPr>
                <w:color w:val="000000" w:themeColor="text1"/>
              </w:rPr>
              <w:t>1130 - Estuare</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ADEC70B" w14:textId="77777777" w:rsidR="00683B81" w:rsidRPr="00C56257" w:rsidRDefault="00683B81" w:rsidP="00105BC5">
            <w:pPr>
              <w:jc w:val="both"/>
              <w:rPr>
                <w:color w:val="000000" w:themeColor="text1"/>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F86E3A3" w14:textId="77777777" w:rsidR="00683B81" w:rsidRPr="00C56257" w:rsidRDefault="00683B81" w:rsidP="00105BC5">
            <w:pPr>
              <w:jc w:val="both"/>
              <w:rPr>
                <w:color w:val="000000" w:themeColor="text1"/>
              </w:rPr>
            </w:pPr>
            <w:r w:rsidRPr="00C56257">
              <w:rPr>
                <w:color w:val="000000" w:themeColor="text1"/>
              </w:rPr>
              <w:t>Pontică</w:t>
            </w:r>
          </w:p>
          <w:p w14:paraId="04D7BAC3" w14:textId="77777777" w:rsidR="00683B81" w:rsidRPr="00C56257" w:rsidRDefault="00683B81" w:rsidP="00105BC5">
            <w:pPr>
              <w:jc w:val="both"/>
              <w:rPr>
                <w:color w:val="000000" w:themeColor="text1"/>
              </w:rPr>
            </w:pPr>
          </w:p>
        </w:tc>
        <w:tc>
          <w:tcPr>
            <w:tcW w:w="2835" w:type="dxa"/>
            <w:tcBorders>
              <w:top w:val="single" w:sz="4" w:space="0" w:color="auto"/>
              <w:left w:val="single" w:sz="4" w:space="0" w:color="auto"/>
              <w:bottom w:val="single" w:sz="4" w:space="0" w:color="auto"/>
              <w:right w:val="single" w:sz="4" w:space="0" w:color="auto"/>
            </w:tcBorders>
            <w:shd w:val="clear" w:color="auto" w:fill="auto"/>
          </w:tcPr>
          <w:p w14:paraId="63247672" w14:textId="77777777" w:rsidR="00683B81" w:rsidRPr="00C56257" w:rsidRDefault="00683B81" w:rsidP="00105BC5">
            <w:pPr>
              <w:jc w:val="both"/>
              <w:rPr>
                <w:color w:val="000000" w:themeColor="text1"/>
              </w:rPr>
            </w:pPr>
            <w:r w:rsidRPr="00C56257">
              <w:rPr>
                <w:color w:val="000000" w:themeColor="text1"/>
              </w:rPr>
              <w:t>Sulina, Musura - apele marine de la gurile Dunării</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8E0E8AE" w14:textId="77777777" w:rsidR="00683B81" w:rsidRPr="00C56257" w:rsidRDefault="00683B81" w:rsidP="00105BC5">
            <w:pPr>
              <w:jc w:val="both"/>
              <w:rPr>
                <w:bCs/>
                <w:color w:val="000000" w:themeColor="text1"/>
                <w:lang w:val="it-IT"/>
              </w:rPr>
            </w:pPr>
            <w:r w:rsidRPr="00C56257">
              <w:rPr>
                <w:bCs/>
                <w:color w:val="000000" w:themeColor="text1"/>
                <w:lang w:val="it-IT"/>
              </w:rPr>
              <w:t>ROSCI0066</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74B18F4" w14:textId="77777777" w:rsidR="00683B81" w:rsidRPr="00C56257" w:rsidRDefault="00683B81" w:rsidP="00105BC5">
            <w:pPr>
              <w:jc w:val="both"/>
              <w:rPr>
                <w:color w:val="000000" w:themeColor="text1"/>
                <w:lang w:val="pt-BR"/>
              </w:rPr>
            </w:pPr>
            <w:r w:rsidRPr="00C56257">
              <w:rPr>
                <w:color w:val="000000" w:themeColor="text1"/>
                <w:lang w:val="pt-BR"/>
              </w:rPr>
              <w:t>2/an</w:t>
            </w:r>
          </w:p>
          <w:p w14:paraId="570915E4" w14:textId="77777777" w:rsidR="00683B81" w:rsidRPr="00C56257" w:rsidRDefault="00683B81" w:rsidP="00105BC5">
            <w:pPr>
              <w:jc w:val="both"/>
              <w:rPr>
                <w:color w:val="000000" w:themeColor="text1"/>
                <w:lang w:val="pt-BR"/>
              </w:rPr>
            </w:pPr>
            <w:r w:rsidRPr="00C56257">
              <w:rPr>
                <w:color w:val="000000" w:themeColor="text1"/>
                <w:lang w:val="pt-BR"/>
              </w:rPr>
              <w:t>în câte 6 puncte</w:t>
            </w:r>
          </w:p>
        </w:tc>
        <w:tc>
          <w:tcPr>
            <w:tcW w:w="1202" w:type="dxa"/>
            <w:tcBorders>
              <w:top w:val="single" w:sz="4" w:space="0" w:color="auto"/>
              <w:left w:val="single" w:sz="4" w:space="0" w:color="auto"/>
              <w:bottom w:val="single" w:sz="4" w:space="0" w:color="auto"/>
              <w:right w:val="single" w:sz="4" w:space="0" w:color="auto"/>
            </w:tcBorders>
            <w:shd w:val="clear" w:color="auto" w:fill="auto"/>
          </w:tcPr>
          <w:p w14:paraId="1299B016" w14:textId="77777777" w:rsidR="00683B81" w:rsidRPr="00C56257" w:rsidRDefault="00683B81" w:rsidP="00105BC5">
            <w:pPr>
              <w:jc w:val="both"/>
              <w:rPr>
                <w:color w:val="000000" w:themeColor="text1"/>
                <w:lang w:val="pt-BR"/>
              </w:rPr>
            </w:pPr>
            <w:r w:rsidRPr="00C56257">
              <w:rPr>
                <w:color w:val="000000" w:themeColor="text1"/>
                <w:lang w:val="pt-BR"/>
              </w:rPr>
              <w:t xml:space="preserve">Sezonier </w:t>
            </w:r>
          </w:p>
        </w:tc>
        <w:tc>
          <w:tcPr>
            <w:tcW w:w="1506" w:type="dxa"/>
            <w:tcBorders>
              <w:top w:val="single" w:sz="4" w:space="0" w:color="auto"/>
              <w:left w:val="single" w:sz="4" w:space="0" w:color="auto"/>
              <w:bottom w:val="single" w:sz="4" w:space="0" w:color="auto"/>
              <w:right w:val="single" w:sz="4" w:space="0" w:color="auto"/>
            </w:tcBorders>
            <w:shd w:val="clear" w:color="auto" w:fill="auto"/>
          </w:tcPr>
          <w:p w14:paraId="2D04F0D1" w14:textId="77777777" w:rsidR="00683B81" w:rsidRPr="00C56257" w:rsidRDefault="00683B81" w:rsidP="00105BC5">
            <w:pPr>
              <w:jc w:val="both"/>
              <w:rPr>
                <w:color w:val="000000" w:themeColor="text1"/>
                <w:lang w:val="pt-BR"/>
              </w:rPr>
            </w:pPr>
            <w:r w:rsidRPr="00C56257">
              <w:rPr>
                <w:color w:val="000000" w:themeColor="text1"/>
                <w:lang w:val="pt-BR"/>
              </w:rPr>
              <w:t>monitoring integrat</w:t>
            </w:r>
          </w:p>
        </w:tc>
        <w:tc>
          <w:tcPr>
            <w:tcW w:w="1635" w:type="dxa"/>
            <w:tcBorders>
              <w:top w:val="single" w:sz="4" w:space="0" w:color="auto"/>
              <w:left w:val="single" w:sz="4" w:space="0" w:color="auto"/>
              <w:bottom w:val="single" w:sz="4" w:space="0" w:color="auto"/>
              <w:right w:val="single" w:sz="4" w:space="0" w:color="auto"/>
            </w:tcBorders>
            <w:shd w:val="clear" w:color="auto" w:fill="auto"/>
          </w:tcPr>
          <w:p w14:paraId="31975DF0" w14:textId="77777777" w:rsidR="00683B81" w:rsidRPr="00C56257" w:rsidRDefault="00683B81" w:rsidP="00105BC5">
            <w:pPr>
              <w:jc w:val="both"/>
              <w:rPr>
                <w:color w:val="000000" w:themeColor="text1"/>
                <w:lang w:val="pt-BR"/>
              </w:rPr>
            </w:pPr>
            <w:r w:rsidRPr="00C56257">
              <w:rPr>
                <w:color w:val="000000" w:themeColor="text1"/>
                <w:lang w:val="pt-BR"/>
              </w:rPr>
              <w:t>Min. 6 stații de prelevare, acces navă</w:t>
            </w:r>
          </w:p>
        </w:tc>
      </w:tr>
      <w:tr w:rsidR="00683B81" w:rsidRPr="00C56257" w14:paraId="5ED6941C" w14:textId="77777777" w:rsidTr="00105BC5">
        <w:tc>
          <w:tcPr>
            <w:tcW w:w="597" w:type="dxa"/>
            <w:gridSpan w:val="2"/>
            <w:tcBorders>
              <w:top w:val="nil"/>
              <w:left w:val="single" w:sz="4" w:space="0" w:color="auto"/>
              <w:bottom w:val="single" w:sz="4" w:space="0" w:color="auto"/>
              <w:right w:val="single" w:sz="4" w:space="0" w:color="auto"/>
            </w:tcBorders>
            <w:shd w:val="clear" w:color="auto" w:fill="auto"/>
          </w:tcPr>
          <w:p w14:paraId="4DA14C98" w14:textId="77777777" w:rsidR="00683B81" w:rsidRPr="00C56257" w:rsidRDefault="00683B81" w:rsidP="00105BC5">
            <w:pPr>
              <w:jc w:val="both"/>
              <w:rPr>
                <w:color w:val="000000" w:themeColor="text1"/>
                <w:lang w:val="pt-BR"/>
              </w:rPr>
            </w:pPr>
            <w:r w:rsidRPr="00C56257">
              <w:rPr>
                <w:color w:val="000000" w:themeColor="text1"/>
                <w:lang w:val="pt-BR"/>
              </w:rPr>
              <w:t>3.</w:t>
            </w:r>
          </w:p>
        </w:tc>
        <w:tc>
          <w:tcPr>
            <w:tcW w:w="1530" w:type="dxa"/>
            <w:tcBorders>
              <w:top w:val="nil"/>
              <w:left w:val="single" w:sz="4" w:space="0" w:color="auto"/>
              <w:bottom w:val="single" w:sz="4" w:space="0" w:color="auto"/>
              <w:right w:val="single" w:sz="4" w:space="0" w:color="auto"/>
            </w:tcBorders>
            <w:shd w:val="clear" w:color="auto" w:fill="auto"/>
          </w:tcPr>
          <w:p w14:paraId="40043C4F" w14:textId="77777777" w:rsidR="00683B81" w:rsidRPr="00C56257" w:rsidRDefault="00683B81" w:rsidP="00105BC5">
            <w:pPr>
              <w:jc w:val="both"/>
              <w:rPr>
                <w:color w:val="000000" w:themeColor="text1"/>
              </w:rPr>
            </w:pPr>
            <w:r w:rsidRPr="00C56257">
              <w:rPr>
                <w:color w:val="000000" w:themeColor="text1"/>
              </w:rPr>
              <w:t xml:space="preserve">1140 - Suprafețe de nisip și mâl descoperite la maree joasă </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D8A7B69" w14:textId="77777777" w:rsidR="00683B81" w:rsidRPr="00C56257" w:rsidRDefault="00683B81" w:rsidP="00105BC5">
            <w:pPr>
              <w:jc w:val="both"/>
              <w:rPr>
                <w:color w:val="000000" w:themeColor="text1"/>
              </w:rPr>
            </w:pPr>
            <w:r w:rsidRPr="00C56257">
              <w:rPr>
                <w:color w:val="000000" w:themeColor="text1"/>
              </w:rPr>
              <w:t>Anexa I/</w:t>
            </w:r>
          </w:p>
          <w:p w14:paraId="44AD6DBF" w14:textId="77777777" w:rsidR="00683B81" w:rsidRPr="00C56257" w:rsidRDefault="00683B81" w:rsidP="00105BC5">
            <w:pPr>
              <w:jc w:val="both"/>
              <w:rPr>
                <w:color w:val="000000" w:themeColor="text1"/>
              </w:rPr>
            </w:pPr>
            <w:r w:rsidRPr="00C56257">
              <w:rPr>
                <w:color w:val="000000" w:themeColor="text1"/>
              </w:rPr>
              <w:t>Anexa 4</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C5802F1" w14:textId="77777777" w:rsidR="00683B81" w:rsidRPr="00C56257" w:rsidRDefault="00683B81" w:rsidP="00105BC5">
            <w:pPr>
              <w:jc w:val="both"/>
              <w:rPr>
                <w:color w:val="000000" w:themeColor="text1"/>
              </w:rPr>
            </w:pPr>
            <w:r w:rsidRPr="00C56257">
              <w:rPr>
                <w:color w:val="000000" w:themeColor="text1"/>
              </w:rPr>
              <w:t>Marea Neagră (Marină)</w:t>
            </w:r>
          </w:p>
        </w:tc>
        <w:tc>
          <w:tcPr>
            <w:tcW w:w="2835" w:type="dxa"/>
            <w:tcBorders>
              <w:top w:val="single" w:sz="4" w:space="0" w:color="auto"/>
              <w:left w:val="single" w:sz="4" w:space="0" w:color="auto"/>
              <w:bottom w:val="single" w:sz="4" w:space="0" w:color="auto"/>
              <w:right w:val="single" w:sz="4" w:space="0" w:color="auto"/>
            </w:tcBorders>
            <w:shd w:val="clear" w:color="auto" w:fill="auto"/>
          </w:tcPr>
          <w:p w14:paraId="6775A71F" w14:textId="77777777" w:rsidR="00683B81" w:rsidRPr="00C56257" w:rsidRDefault="00683B81" w:rsidP="00105BC5">
            <w:pPr>
              <w:jc w:val="both"/>
              <w:rPr>
                <w:color w:val="000000" w:themeColor="text1"/>
              </w:rPr>
            </w:pPr>
            <w:r w:rsidRPr="00C56257">
              <w:rPr>
                <w:color w:val="000000" w:themeColor="text1"/>
              </w:rPr>
              <w:t>Delta Dunării (Sulina, Sf. Gheorghe, Gura Portiței, Periboina/Chituc)</w:t>
            </w:r>
          </w:p>
          <w:p w14:paraId="27994CB8" w14:textId="77777777" w:rsidR="00683B81" w:rsidRPr="00C56257" w:rsidRDefault="00683B81" w:rsidP="00105BC5">
            <w:pPr>
              <w:jc w:val="both"/>
              <w:rPr>
                <w:color w:val="000000" w:themeColor="text1"/>
              </w:rPr>
            </w:pPr>
            <w:r w:rsidRPr="00C56257">
              <w:rPr>
                <w:color w:val="000000" w:themeColor="text1"/>
              </w:rPr>
              <w:t>Eforie centru - zona 0-5 m adâncime (judeţul Constanţa)</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F20FD5E" w14:textId="77777777" w:rsidR="00683B81" w:rsidRPr="00C56257" w:rsidRDefault="00A90A2C" w:rsidP="00105BC5">
            <w:pPr>
              <w:jc w:val="both"/>
              <w:rPr>
                <w:bCs/>
                <w:color w:val="000000" w:themeColor="text1"/>
                <w:lang w:val="it-IT"/>
              </w:rPr>
            </w:pPr>
            <w:r>
              <w:rPr>
                <w:bCs/>
                <w:color w:val="000000" w:themeColor="text1"/>
                <w:lang w:val="it-IT"/>
              </w:rPr>
              <w:t>ROSAC</w:t>
            </w:r>
            <w:r w:rsidR="00683B81" w:rsidRPr="00C56257">
              <w:rPr>
                <w:bCs/>
                <w:color w:val="000000" w:themeColor="text1"/>
                <w:lang w:val="it-IT"/>
              </w:rPr>
              <w:t xml:space="preserve"> 0197</w:t>
            </w:r>
          </w:p>
          <w:p w14:paraId="6FA4E6C6" w14:textId="77777777" w:rsidR="00683B81" w:rsidRPr="00C56257" w:rsidRDefault="00683B81" w:rsidP="00105BC5">
            <w:pPr>
              <w:jc w:val="both"/>
              <w:rPr>
                <w:bCs/>
                <w:color w:val="000000" w:themeColor="text1"/>
                <w:lang w:val="it-IT"/>
              </w:rPr>
            </w:pPr>
            <w:r w:rsidRPr="00C56257">
              <w:rPr>
                <w:bCs/>
                <w:color w:val="000000" w:themeColor="text1"/>
                <w:lang w:val="it-IT"/>
              </w:rPr>
              <w:t>ROSCI0066</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4361BCA" w14:textId="77777777" w:rsidR="00683B81" w:rsidRPr="00C56257" w:rsidRDefault="00683B81" w:rsidP="00105BC5">
            <w:pPr>
              <w:jc w:val="both"/>
              <w:rPr>
                <w:color w:val="000000" w:themeColor="text1"/>
                <w:lang w:val="pt-BR"/>
              </w:rPr>
            </w:pPr>
            <w:r w:rsidRPr="00C56257">
              <w:rPr>
                <w:color w:val="000000" w:themeColor="text1"/>
                <w:lang w:val="pt-BR"/>
              </w:rPr>
              <w:t>anual</w:t>
            </w:r>
          </w:p>
        </w:tc>
        <w:tc>
          <w:tcPr>
            <w:tcW w:w="1202" w:type="dxa"/>
            <w:tcBorders>
              <w:top w:val="single" w:sz="4" w:space="0" w:color="auto"/>
              <w:left w:val="single" w:sz="4" w:space="0" w:color="auto"/>
              <w:bottom w:val="single" w:sz="4" w:space="0" w:color="auto"/>
              <w:right w:val="single" w:sz="4" w:space="0" w:color="auto"/>
            </w:tcBorders>
            <w:shd w:val="clear" w:color="auto" w:fill="auto"/>
          </w:tcPr>
          <w:p w14:paraId="4AD4D08D" w14:textId="77777777" w:rsidR="00683B81" w:rsidRPr="00C56257" w:rsidRDefault="00683B81" w:rsidP="00105BC5">
            <w:pPr>
              <w:jc w:val="both"/>
              <w:rPr>
                <w:color w:val="000000" w:themeColor="text1"/>
                <w:lang w:val="pt-BR"/>
              </w:rPr>
            </w:pPr>
            <w:r w:rsidRPr="00C56257">
              <w:rPr>
                <w:color w:val="000000" w:themeColor="text1"/>
                <w:lang w:val="pt-BR"/>
              </w:rPr>
              <w:t xml:space="preserve">mai  - iunie </w:t>
            </w:r>
          </w:p>
        </w:tc>
        <w:tc>
          <w:tcPr>
            <w:tcW w:w="1506" w:type="dxa"/>
            <w:tcBorders>
              <w:top w:val="single" w:sz="4" w:space="0" w:color="auto"/>
              <w:left w:val="single" w:sz="4" w:space="0" w:color="auto"/>
              <w:bottom w:val="single" w:sz="4" w:space="0" w:color="auto"/>
              <w:right w:val="single" w:sz="4" w:space="0" w:color="auto"/>
            </w:tcBorders>
            <w:shd w:val="clear" w:color="auto" w:fill="auto"/>
          </w:tcPr>
          <w:p w14:paraId="61518597" w14:textId="77777777" w:rsidR="00683B81" w:rsidRPr="00C56257" w:rsidRDefault="00683B81" w:rsidP="00105BC5">
            <w:pPr>
              <w:jc w:val="both"/>
              <w:rPr>
                <w:color w:val="000000" w:themeColor="text1"/>
                <w:lang w:val="pt-BR"/>
              </w:rPr>
            </w:pPr>
            <w:r w:rsidRPr="00C56257">
              <w:rPr>
                <w:color w:val="000000" w:themeColor="text1"/>
                <w:lang w:val="pt-BR"/>
              </w:rPr>
              <w:t>- transecte cu pătrate de probă corer (60 replici);</w:t>
            </w:r>
          </w:p>
        </w:tc>
        <w:tc>
          <w:tcPr>
            <w:tcW w:w="1635" w:type="dxa"/>
            <w:tcBorders>
              <w:top w:val="single" w:sz="4" w:space="0" w:color="auto"/>
              <w:left w:val="single" w:sz="4" w:space="0" w:color="auto"/>
              <w:bottom w:val="single" w:sz="4" w:space="0" w:color="auto"/>
              <w:right w:val="single" w:sz="4" w:space="0" w:color="auto"/>
            </w:tcBorders>
            <w:shd w:val="clear" w:color="auto" w:fill="auto"/>
          </w:tcPr>
          <w:p w14:paraId="0F7EDFEE" w14:textId="77777777" w:rsidR="00683B81" w:rsidRPr="00C56257" w:rsidRDefault="00683B81" w:rsidP="00105BC5">
            <w:pPr>
              <w:jc w:val="both"/>
              <w:rPr>
                <w:color w:val="000000" w:themeColor="text1"/>
                <w:lang w:val="pt-BR"/>
              </w:rPr>
            </w:pPr>
            <w:r w:rsidRPr="00C56257">
              <w:rPr>
                <w:color w:val="000000" w:themeColor="text1"/>
                <w:lang w:val="pt-BR"/>
              </w:rPr>
              <w:t>Min. 10 stații de prelevare</w:t>
            </w:r>
          </w:p>
          <w:p w14:paraId="11615A6C" w14:textId="77777777" w:rsidR="00683B81" w:rsidRPr="00C56257" w:rsidRDefault="00683B81" w:rsidP="00105BC5">
            <w:pPr>
              <w:jc w:val="both"/>
              <w:rPr>
                <w:color w:val="000000" w:themeColor="text1"/>
                <w:lang w:val="pt-BR"/>
              </w:rPr>
            </w:pPr>
            <w:r w:rsidRPr="00C56257">
              <w:rPr>
                <w:color w:val="000000" w:themeColor="text1"/>
                <w:lang w:val="pt-BR"/>
              </w:rPr>
              <w:t>Acces barcă</w:t>
            </w:r>
          </w:p>
        </w:tc>
      </w:tr>
      <w:tr w:rsidR="00683B81" w:rsidRPr="00C56257" w14:paraId="7B493D1C" w14:textId="77777777" w:rsidTr="00105BC5">
        <w:tc>
          <w:tcPr>
            <w:tcW w:w="597" w:type="dxa"/>
            <w:gridSpan w:val="2"/>
            <w:tcBorders>
              <w:top w:val="nil"/>
              <w:left w:val="single" w:sz="4" w:space="0" w:color="auto"/>
              <w:bottom w:val="single" w:sz="4" w:space="0" w:color="auto"/>
              <w:right w:val="single" w:sz="4" w:space="0" w:color="auto"/>
            </w:tcBorders>
            <w:shd w:val="clear" w:color="auto" w:fill="auto"/>
          </w:tcPr>
          <w:p w14:paraId="68FCDCD2" w14:textId="77777777" w:rsidR="00683B81" w:rsidRPr="00C56257" w:rsidRDefault="00683B81" w:rsidP="00105BC5">
            <w:pPr>
              <w:jc w:val="both"/>
              <w:rPr>
                <w:color w:val="000000" w:themeColor="text1"/>
                <w:lang w:val="pt-BR"/>
              </w:rPr>
            </w:pPr>
            <w:r w:rsidRPr="00C56257">
              <w:rPr>
                <w:color w:val="000000" w:themeColor="text1"/>
                <w:lang w:val="pt-BR"/>
              </w:rPr>
              <w:t>4.</w:t>
            </w:r>
          </w:p>
        </w:tc>
        <w:tc>
          <w:tcPr>
            <w:tcW w:w="1530" w:type="dxa"/>
            <w:tcBorders>
              <w:top w:val="nil"/>
              <w:left w:val="single" w:sz="4" w:space="0" w:color="auto"/>
              <w:bottom w:val="single" w:sz="4" w:space="0" w:color="auto"/>
              <w:right w:val="single" w:sz="4" w:space="0" w:color="auto"/>
            </w:tcBorders>
            <w:shd w:val="clear" w:color="auto" w:fill="auto"/>
          </w:tcPr>
          <w:p w14:paraId="47B05EA6" w14:textId="77777777" w:rsidR="00683B81" w:rsidRPr="00C56257" w:rsidRDefault="00683B81" w:rsidP="00105BC5">
            <w:pPr>
              <w:jc w:val="both"/>
              <w:rPr>
                <w:color w:val="000000" w:themeColor="text1"/>
              </w:rPr>
            </w:pPr>
            <w:r w:rsidRPr="00C56257">
              <w:rPr>
                <w:color w:val="000000" w:themeColor="text1"/>
              </w:rPr>
              <w:t>1150* - Lagune costiere</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42BD188" w14:textId="77777777" w:rsidR="00683B81" w:rsidRPr="00C56257" w:rsidRDefault="00683B81" w:rsidP="00105BC5">
            <w:pPr>
              <w:jc w:val="both"/>
              <w:rPr>
                <w:color w:val="000000" w:themeColor="text1"/>
              </w:rPr>
            </w:pPr>
            <w:r w:rsidRPr="00C56257">
              <w:rPr>
                <w:color w:val="000000" w:themeColor="text1"/>
              </w:rPr>
              <w:t>Anexa I/</w:t>
            </w:r>
          </w:p>
          <w:p w14:paraId="30123655" w14:textId="77777777" w:rsidR="00683B81" w:rsidRPr="00C56257" w:rsidRDefault="00683B81" w:rsidP="00105BC5">
            <w:pPr>
              <w:jc w:val="both"/>
              <w:rPr>
                <w:color w:val="000000" w:themeColor="text1"/>
              </w:rPr>
            </w:pPr>
            <w:r w:rsidRPr="00C56257">
              <w:rPr>
                <w:color w:val="000000" w:themeColor="text1"/>
              </w:rPr>
              <w:t>Anexa 4</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5BB323F" w14:textId="77777777" w:rsidR="00683B81" w:rsidRPr="00C56257" w:rsidRDefault="00683B81" w:rsidP="00105BC5">
            <w:pPr>
              <w:jc w:val="both"/>
              <w:rPr>
                <w:color w:val="000000" w:themeColor="text1"/>
              </w:rPr>
            </w:pPr>
            <w:r w:rsidRPr="00C56257">
              <w:rPr>
                <w:color w:val="000000" w:themeColor="text1"/>
              </w:rPr>
              <w:t xml:space="preserve">Pontică </w:t>
            </w:r>
          </w:p>
          <w:p w14:paraId="39836CC9" w14:textId="77777777" w:rsidR="00683B81" w:rsidRPr="00C56257" w:rsidRDefault="00683B81" w:rsidP="00105BC5">
            <w:pPr>
              <w:jc w:val="both"/>
              <w:rPr>
                <w:color w:val="000000" w:themeColor="text1"/>
              </w:rPr>
            </w:pPr>
          </w:p>
        </w:tc>
        <w:tc>
          <w:tcPr>
            <w:tcW w:w="2835" w:type="dxa"/>
            <w:tcBorders>
              <w:top w:val="single" w:sz="4" w:space="0" w:color="auto"/>
              <w:left w:val="single" w:sz="4" w:space="0" w:color="auto"/>
              <w:bottom w:val="single" w:sz="4" w:space="0" w:color="auto"/>
              <w:right w:val="single" w:sz="4" w:space="0" w:color="auto"/>
            </w:tcBorders>
            <w:shd w:val="clear" w:color="auto" w:fill="auto"/>
          </w:tcPr>
          <w:p w14:paraId="01F122F4" w14:textId="77777777" w:rsidR="00683B81" w:rsidRPr="00C56257" w:rsidRDefault="00683B81" w:rsidP="00105BC5">
            <w:pPr>
              <w:jc w:val="both"/>
              <w:rPr>
                <w:color w:val="000000" w:themeColor="text1"/>
              </w:rPr>
            </w:pPr>
            <w:r w:rsidRPr="00C56257">
              <w:rPr>
                <w:color w:val="000000" w:themeColor="text1"/>
              </w:rPr>
              <w:t>Sf. Gheorghe (Zăton), Sinoe (Laguna Sinoe)</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AD6AC81" w14:textId="77777777" w:rsidR="00683B81" w:rsidRPr="00C56257" w:rsidRDefault="00683B81" w:rsidP="00105BC5">
            <w:pPr>
              <w:jc w:val="both"/>
              <w:rPr>
                <w:color w:val="000000" w:themeColor="text1"/>
              </w:rPr>
            </w:pPr>
            <w:r w:rsidRPr="00C56257">
              <w:rPr>
                <w:color w:val="000000" w:themeColor="text1"/>
              </w:rPr>
              <w:t>ROSCI0065</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8A49DBE" w14:textId="77777777" w:rsidR="00683B81" w:rsidRPr="00C56257" w:rsidRDefault="00683B81" w:rsidP="00105BC5">
            <w:pPr>
              <w:jc w:val="both"/>
              <w:rPr>
                <w:color w:val="000000" w:themeColor="text1"/>
                <w:lang w:val="it-IT"/>
              </w:rPr>
            </w:pPr>
            <w:r w:rsidRPr="00C56257">
              <w:rPr>
                <w:color w:val="000000" w:themeColor="text1"/>
                <w:lang w:val="it-IT"/>
              </w:rPr>
              <w:t>3/an/ 8-9 puncte</w:t>
            </w:r>
          </w:p>
        </w:tc>
        <w:tc>
          <w:tcPr>
            <w:tcW w:w="1202" w:type="dxa"/>
            <w:tcBorders>
              <w:top w:val="single" w:sz="4" w:space="0" w:color="auto"/>
              <w:left w:val="single" w:sz="4" w:space="0" w:color="auto"/>
              <w:bottom w:val="single" w:sz="4" w:space="0" w:color="auto"/>
              <w:right w:val="single" w:sz="4" w:space="0" w:color="auto"/>
            </w:tcBorders>
            <w:shd w:val="clear" w:color="auto" w:fill="auto"/>
          </w:tcPr>
          <w:p w14:paraId="1E445A71" w14:textId="77777777" w:rsidR="00683B81" w:rsidRPr="00C56257" w:rsidRDefault="00683B81" w:rsidP="00105BC5">
            <w:pPr>
              <w:jc w:val="both"/>
              <w:rPr>
                <w:color w:val="000000" w:themeColor="text1"/>
                <w:lang w:val="it-IT"/>
              </w:rPr>
            </w:pPr>
            <w:r w:rsidRPr="00C56257">
              <w:rPr>
                <w:color w:val="000000" w:themeColor="text1"/>
                <w:lang w:val="it-IT"/>
              </w:rPr>
              <w:t>sezonier</w:t>
            </w:r>
          </w:p>
        </w:tc>
        <w:tc>
          <w:tcPr>
            <w:tcW w:w="1506" w:type="dxa"/>
            <w:tcBorders>
              <w:top w:val="single" w:sz="4" w:space="0" w:color="auto"/>
              <w:left w:val="single" w:sz="4" w:space="0" w:color="auto"/>
              <w:bottom w:val="single" w:sz="4" w:space="0" w:color="auto"/>
              <w:right w:val="single" w:sz="4" w:space="0" w:color="auto"/>
            </w:tcBorders>
            <w:shd w:val="clear" w:color="auto" w:fill="auto"/>
          </w:tcPr>
          <w:p w14:paraId="3F4E616A" w14:textId="77777777" w:rsidR="00683B81" w:rsidRPr="00C56257" w:rsidRDefault="00683B81" w:rsidP="00105BC5">
            <w:pPr>
              <w:jc w:val="both"/>
              <w:rPr>
                <w:color w:val="000000" w:themeColor="text1"/>
                <w:lang w:val="it-IT"/>
              </w:rPr>
            </w:pPr>
            <w:r w:rsidRPr="00C56257">
              <w:rPr>
                <w:color w:val="000000" w:themeColor="text1"/>
                <w:lang w:val="it-IT"/>
              </w:rPr>
              <w:t>monitoring integrat</w:t>
            </w:r>
          </w:p>
        </w:tc>
        <w:tc>
          <w:tcPr>
            <w:tcW w:w="1635" w:type="dxa"/>
            <w:tcBorders>
              <w:top w:val="single" w:sz="4" w:space="0" w:color="auto"/>
              <w:left w:val="single" w:sz="4" w:space="0" w:color="auto"/>
              <w:bottom w:val="single" w:sz="4" w:space="0" w:color="auto"/>
              <w:right w:val="single" w:sz="4" w:space="0" w:color="auto"/>
            </w:tcBorders>
            <w:shd w:val="clear" w:color="auto" w:fill="auto"/>
          </w:tcPr>
          <w:p w14:paraId="3CFBFA79" w14:textId="77777777" w:rsidR="00683B81" w:rsidRPr="00C56257" w:rsidRDefault="00683B81" w:rsidP="00105BC5">
            <w:pPr>
              <w:jc w:val="both"/>
              <w:rPr>
                <w:color w:val="000000" w:themeColor="text1"/>
                <w:lang w:val="it-IT"/>
              </w:rPr>
            </w:pPr>
            <w:r w:rsidRPr="00C56257">
              <w:rPr>
                <w:color w:val="000000" w:themeColor="text1"/>
                <w:lang w:val="it-IT"/>
              </w:rPr>
              <w:t>Min. 6 stații Sinoe</w:t>
            </w:r>
          </w:p>
          <w:p w14:paraId="29C4BB11" w14:textId="77777777" w:rsidR="00683B81" w:rsidRPr="00C56257" w:rsidRDefault="00683B81" w:rsidP="00105BC5">
            <w:pPr>
              <w:jc w:val="both"/>
              <w:rPr>
                <w:color w:val="000000" w:themeColor="text1"/>
                <w:lang w:val="it-IT"/>
              </w:rPr>
            </w:pPr>
            <w:r w:rsidRPr="00C56257">
              <w:rPr>
                <w:color w:val="000000" w:themeColor="text1"/>
                <w:lang w:val="it-IT"/>
              </w:rPr>
              <w:t>Min. 2 stații Zăton (funcție de condițiile locale)</w:t>
            </w:r>
          </w:p>
        </w:tc>
      </w:tr>
      <w:tr w:rsidR="00683B81" w:rsidRPr="00C56257" w14:paraId="28560D9C" w14:textId="77777777" w:rsidTr="00105BC5">
        <w:tc>
          <w:tcPr>
            <w:tcW w:w="597" w:type="dxa"/>
            <w:gridSpan w:val="2"/>
            <w:tcBorders>
              <w:top w:val="single" w:sz="4" w:space="0" w:color="auto"/>
              <w:left w:val="single" w:sz="4" w:space="0" w:color="auto"/>
              <w:bottom w:val="single" w:sz="4" w:space="0" w:color="auto"/>
              <w:right w:val="single" w:sz="4" w:space="0" w:color="auto"/>
            </w:tcBorders>
            <w:shd w:val="clear" w:color="auto" w:fill="auto"/>
          </w:tcPr>
          <w:p w14:paraId="43BA5561" w14:textId="77777777" w:rsidR="00683B81" w:rsidRPr="00C56257" w:rsidRDefault="00683B81" w:rsidP="00105BC5">
            <w:pPr>
              <w:jc w:val="both"/>
              <w:rPr>
                <w:color w:val="000000" w:themeColor="text1"/>
                <w:lang w:val="pt-BR"/>
              </w:rPr>
            </w:pPr>
            <w:r w:rsidRPr="00C56257">
              <w:rPr>
                <w:color w:val="000000" w:themeColor="text1"/>
                <w:lang w:val="pt-BR"/>
              </w:rPr>
              <w:t>5.</w:t>
            </w:r>
          </w:p>
        </w:tc>
        <w:tc>
          <w:tcPr>
            <w:tcW w:w="1530" w:type="dxa"/>
            <w:tcBorders>
              <w:top w:val="single" w:sz="4" w:space="0" w:color="auto"/>
              <w:left w:val="single" w:sz="4" w:space="0" w:color="auto"/>
              <w:bottom w:val="single" w:sz="4" w:space="0" w:color="auto"/>
              <w:right w:val="single" w:sz="4" w:space="0" w:color="auto"/>
            </w:tcBorders>
            <w:shd w:val="clear" w:color="auto" w:fill="auto"/>
          </w:tcPr>
          <w:p w14:paraId="5E6A4DF7" w14:textId="77777777" w:rsidR="00683B81" w:rsidRPr="00C56257" w:rsidRDefault="00683B81" w:rsidP="00105BC5">
            <w:pPr>
              <w:jc w:val="both"/>
              <w:rPr>
                <w:color w:val="000000" w:themeColor="text1"/>
              </w:rPr>
            </w:pPr>
            <w:r w:rsidRPr="00C56257">
              <w:rPr>
                <w:color w:val="000000" w:themeColor="text1"/>
              </w:rPr>
              <w:t xml:space="preserve">1160 - Brațe de mare și </w:t>
            </w:r>
            <w:r w:rsidRPr="00C56257">
              <w:rPr>
                <w:color w:val="000000" w:themeColor="text1"/>
              </w:rPr>
              <w:lastRenderedPageBreak/>
              <w:t xml:space="preserve">golfuri mai puțin adânci </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F3DF3DE" w14:textId="77777777" w:rsidR="00683B81" w:rsidRPr="00C56257" w:rsidRDefault="00683B81" w:rsidP="00105BC5">
            <w:pPr>
              <w:jc w:val="both"/>
              <w:rPr>
                <w:color w:val="000000" w:themeColor="text1"/>
              </w:rPr>
            </w:pPr>
            <w:r w:rsidRPr="00C56257">
              <w:rPr>
                <w:color w:val="000000" w:themeColor="text1"/>
              </w:rPr>
              <w:lastRenderedPageBreak/>
              <w:t>Anexa I/</w:t>
            </w:r>
          </w:p>
          <w:p w14:paraId="76C15E24" w14:textId="77777777" w:rsidR="00683B81" w:rsidRPr="00C56257" w:rsidRDefault="00683B81" w:rsidP="00105BC5">
            <w:pPr>
              <w:jc w:val="both"/>
              <w:rPr>
                <w:color w:val="000000" w:themeColor="text1"/>
              </w:rPr>
            </w:pPr>
            <w:r w:rsidRPr="00C56257">
              <w:rPr>
                <w:color w:val="000000" w:themeColor="text1"/>
              </w:rPr>
              <w:t>Anexa 4</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3458AC1" w14:textId="77777777" w:rsidR="00683B81" w:rsidRPr="00C56257" w:rsidRDefault="00683B81" w:rsidP="00105BC5">
            <w:pPr>
              <w:jc w:val="both"/>
              <w:rPr>
                <w:color w:val="000000" w:themeColor="text1"/>
              </w:rPr>
            </w:pPr>
            <w:r w:rsidRPr="00C56257">
              <w:rPr>
                <w:color w:val="000000" w:themeColor="text1"/>
              </w:rPr>
              <w:t>Marea Neagră (Marină)</w:t>
            </w:r>
          </w:p>
        </w:tc>
        <w:tc>
          <w:tcPr>
            <w:tcW w:w="2835" w:type="dxa"/>
            <w:tcBorders>
              <w:top w:val="single" w:sz="4" w:space="0" w:color="auto"/>
              <w:left w:val="single" w:sz="4" w:space="0" w:color="auto"/>
              <w:bottom w:val="single" w:sz="4" w:space="0" w:color="auto"/>
              <w:right w:val="single" w:sz="4" w:space="0" w:color="auto"/>
            </w:tcBorders>
            <w:shd w:val="clear" w:color="auto" w:fill="auto"/>
          </w:tcPr>
          <w:p w14:paraId="4DE8FBBC" w14:textId="77777777" w:rsidR="00683B81" w:rsidRPr="00C56257" w:rsidRDefault="00683B81" w:rsidP="00105BC5">
            <w:pPr>
              <w:jc w:val="both"/>
              <w:rPr>
                <w:color w:val="000000" w:themeColor="text1"/>
              </w:rPr>
            </w:pPr>
            <w:r w:rsidRPr="00C56257">
              <w:rPr>
                <w:color w:val="000000" w:themeColor="text1"/>
              </w:rPr>
              <w:t>Lacul  Mangalia (judeţul Constanţa)</w:t>
            </w:r>
          </w:p>
          <w:p w14:paraId="7E0E2B3E" w14:textId="77777777" w:rsidR="00683B81" w:rsidRPr="00C56257" w:rsidRDefault="00683B81" w:rsidP="00105BC5">
            <w:pPr>
              <w:jc w:val="both"/>
              <w:rPr>
                <w:color w:val="000000" w:themeColor="text1"/>
              </w:rPr>
            </w:pPr>
            <w:r w:rsidRPr="00C56257">
              <w:rPr>
                <w:color w:val="000000" w:themeColor="text1"/>
              </w:rPr>
              <w:lastRenderedPageBreak/>
              <w:t>Golful Musura (Sulina, jud. Tulcea)</w:t>
            </w:r>
          </w:p>
          <w:p w14:paraId="009DE276" w14:textId="77777777" w:rsidR="00683B81" w:rsidRPr="00C56257" w:rsidRDefault="00683B81" w:rsidP="00105BC5">
            <w:pPr>
              <w:jc w:val="both"/>
              <w:rPr>
                <w:color w:val="000000" w:themeColor="text1"/>
              </w:rPr>
            </w:pPr>
            <w:r w:rsidRPr="00C56257">
              <w:rPr>
                <w:color w:val="000000" w:themeColor="text1"/>
              </w:rPr>
              <w:t>Meleaua Sahalin (Sf. Gheorghe, jud. Tulcea)</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40582F0" w14:textId="77777777" w:rsidR="00683B81" w:rsidRPr="00C56257" w:rsidRDefault="00683B81" w:rsidP="00105BC5">
            <w:pPr>
              <w:jc w:val="both"/>
              <w:rPr>
                <w:bCs/>
                <w:color w:val="000000" w:themeColor="text1"/>
                <w:lang w:val="it-IT"/>
              </w:rPr>
            </w:pPr>
            <w:r w:rsidRPr="00C56257">
              <w:rPr>
                <w:bCs/>
                <w:color w:val="000000" w:themeColor="text1"/>
                <w:lang w:val="it-IT"/>
              </w:rPr>
              <w:lastRenderedPageBreak/>
              <w:t>ROSCI0066</w:t>
            </w:r>
          </w:p>
          <w:p w14:paraId="227D0243" w14:textId="77777777" w:rsidR="00683B81" w:rsidRPr="00C56257" w:rsidRDefault="00A90A2C" w:rsidP="00105BC5">
            <w:pPr>
              <w:jc w:val="both"/>
              <w:rPr>
                <w:bCs/>
                <w:color w:val="000000" w:themeColor="text1"/>
                <w:lang w:val="it-IT"/>
              </w:rPr>
            </w:pPr>
            <w:r>
              <w:rPr>
                <w:bCs/>
                <w:color w:val="000000" w:themeColor="text1"/>
                <w:lang w:val="it-IT"/>
              </w:rPr>
              <w:t>ROSAC</w:t>
            </w:r>
            <w:r w:rsidR="00683B81" w:rsidRPr="00C56257">
              <w:rPr>
                <w:bCs/>
                <w:color w:val="000000" w:themeColor="text1"/>
                <w:lang w:val="it-IT"/>
              </w:rPr>
              <w:t>0157</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0CC97D0" w14:textId="77777777" w:rsidR="00683B81" w:rsidRPr="00C56257" w:rsidRDefault="00683B81" w:rsidP="00105BC5">
            <w:pPr>
              <w:jc w:val="both"/>
              <w:rPr>
                <w:color w:val="000000" w:themeColor="text1"/>
                <w:lang w:val="pt-BR"/>
              </w:rPr>
            </w:pPr>
            <w:r w:rsidRPr="00C56257">
              <w:rPr>
                <w:color w:val="000000" w:themeColor="text1"/>
                <w:lang w:val="pt-BR"/>
              </w:rPr>
              <w:t>anual</w:t>
            </w:r>
          </w:p>
        </w:tc>
        <w:tc>
          <w:tcPr>
            <w:tcW w:w="1202" w:type="dxa"/>
            <w:tcBorders>
              <w:top w:val="single" w:sz="4" w:space="0" w:color="auto"/>
              <w:left w:val="single" w:sz="4" w:space="0" w:color="auto"/>
              <w:bottom w:val="single" w:sz="4" w:space="0" w:color="auto"/>
              <w:right w:val="single" w:sz="4" w:space="0" w:color="auto"/>
            </w:tcBorders>
            <w:shd w:val="clear" w:color="auto" w:fill="auto"/>
          </w:tcPr>
          <w:p w14:paraId="33E8C760" w14:textId="77777777" w:rsidR="00683B81" w:rsidRPr="00C56257" w:rsidRDefault="00683B81" w:rsidP="00105BC5">
            <w:pPr>
              <w:jc w:val="both"/>
              <w:rPr>
                <w:color w:val="000000" w:themeColor="text1"/>
                <w:lang w:val="pt-BR"/>
              </w:rPr>
            </w:pPr>
            <w:r w:rsidRPr="00C56257">
              <w:rPr>
                <w:color w:val="000000" w:themeColor="text1"/>
                <w:lang w:val="pt-BR"/>
              </w:rPr>
              <w:t xml:space="preserve">mai -octombrie </w:t>
            </w:r>
          </w:p>
        </w:tc>
        <w:tc>
          <w:tcPr>
            <w:tcW w:w="1506" w:type="dxa"/>
            <w:tcBorders>
              <w:top w:val="single" w:sz="4" w:space="0" w:color="auto"/>
              <w:left w:val="single" w:sz="4" w:space="0" w:color="auto"/>
              <w:bottom w:val="single" w:sz="4" w:space="0" w:color="auto"/>
              <w:right w:val="single" w:sz="4" w:space="0" w:color="auto"/>
            </w:tcBorders>
            <w:shd w:val="clear" w:color="auto" w:fill="auto"/>
          </w:tcPr>
          <w:p w14:paraId="04358C4A" w14:textId="77777777" w:rsidR="00683B81" w:rsidRPr="00C56257" w:rsidRDefault="00683B81" w:rsidP="00105BC5">
            <w:pPr>
              <w:jc w:val="both"/>
              <w:rPr>
                <w:color w:val="000000" w:themeColor="text1"/>
                <w:lang w:val="pt-BR"/>
              </w:rPr>
            </w:pPr>
            <w:r w:rsidRPr="00C56257">
              <w:rPr>
                <w:color w:val="000000" w:themeColor="text1"/>
                <w:lang w:val="pt-BR"/>
              </w:rPr>
              <w:t>Pătrate de probă</w:t>
            </w:r>
          </w:p>
        </w:tc>
        <w:tc>
          <w:tcPr>
            <w:tcW w:w="1635" w:type="dxa"/>
            <w:tcBorders>
              <w:top w:val="single" w:sz="4" w:space="0" w:color="auto"/>
              <w:left w:val="single" w:sz="4" w:space="0" w:color="auto"/>
              <w:bottom w:val="single" w:sz="4" w:space="0" w:color="auto"/>
              <w:right w:val="single" w:sz="4" w:space="0" w:color="auto"/>
            </w:tcBorders>
            <w:shd w:val="clear" w:color="auto" w:fill="auto"/>
          </w:tcPr>
          <w:p w14:paraId="1553A144" w14:textId="77777777" w:rsidR="00683B81" w:rsidRPr="00C56257" w:rsidRDefault="00683B81" w:rsidP="00105BC5">
            <w:pPr>
              <w:jc w:val="both"/>
              <w:rPr>
                <w:color w:val="000000" w:themeColor="text1"/>
                <w:lang w:val="pt-BR"/>
              </w:rPr>
            </w:pPr>
            <w:r w:rsidRPr="00C56257">
              <w:rPr>
                <w:color w:val="000000" w:themeColor="text1"/>
                <w:lang w:val="pt-BR"/>
              </w:rPr>
              <w:t>Min. 7 stații de prelevare</w:t>
            </w:r>
          </w:p>
          <w:p w14:paraId="445E71E3" w14:textId="77777777" w:rsidR="00683B81" w:rsidRPr="00C56257" w:rsidRDefault="00683B81" w:rsidP="00105BC5">
            <w:pPr>
              <w:jc w:val="both"/>
              <w:rPr>
                <w:color w:val="000000" w:themeColor="text1"/>
                <w:lang w:val="pt-BR"/>
              </w:rPr>
            </w:pPr>
            <w:r w:rsidRPr="00C56257">
              <w:rPr>
                <w:color w:val="000000" w:themeColor="text1"/>
                <w:lang w:val="pt-BR"/>
              </w:rPr>
              <w:t xml:space="preserve">Acces </w:t>
            </w:r>
          </w:p>
          <w:p w14:paraId="7643F68A" w14:textId="77777777" w:rsidR="00683B81" w:rsidRPr="00C56257" w:rsidRDefault="00683B81" w:rsidP="00105BC5">
            <w:pPr>
              <w:jc w:val="both"/>
              <w:rPr>
                <w:color w:val="000000" w:themeColor="text1"/>
                <w:lang w:val="pt-BR"/>
              </w:rPr>
            </w:pPr>
            <w:r w:rsidRPr="00C56257">
              <w:rPr>
                <w:color w:val="000000" w:themeColor="text1"/>
                <w:lang w:val="pt-BR"/>
              </w:rPr>
              <w:lastRenderedPageBreak/>
              <w:t>barcă cu motor</w:t>
            </w:r>
          </w:p>
        </w:tc>
      </w:tr>
      <w:tr w:rsidR="00683B81" w:rsidRPr="00C56257" w14:paraId="0B5FC7C8" w14:textId="77777777" w:rsidTr="00105BC5">
        <w:tc>
          <w:tcPr>
            <w:tcW w:w="597" w:type="dxa"/>
            <w:gridSpan w:val="2"/>
            <w:tcBorders>
              <w:top w:val="nil"/>
              <w:left w:val="single" w:sz="4" w:space="0" w:color="auto"/>
              <w:bottom w:val="single" w:sz="4" w:space="0" w:color="auto"/>
              <w:right w:val="single" w:sz="4" w:space="0" w:color="auto"/>
            </w:tcBorders>
            <w:shd w:val="clear" w:color="auto" w:fill="auto"/>
          </w:tcPr>
          <w:p w14:paraId="0854EEB8" w14:textId="77777777" w:rsidR="00683B81" w:rsidRPr="00C56257" w:rsidRDefault="00683B81" w:rsidP="00105BC5">
            <w:pPr>
              <w:jc w:val="both"/>
              <w:rPr>
                <w:color w:val="000000" w:themeColor="text1"/>
                <w:lang w:val="pt-BR"/>
              </w:rPr>
            </w:pPr>
            <w:r w:rsidRPr="00C56257">
              <w:rPr>
                <w:color w:val="000000" w:themeColor="text1"/>
                <w:lang w:val="pt-BR"/>
              </w:rPr>
              <w:t>6.</w:t>
            </w:r>
          </w:p>
        </w:tc>
        <w:tc>
          <w:tcPr>
            <w:tcW w:w="1530" w:type="dxa"/>
            <w:tcBorders>
              <w:top w:val="nil"/>
              <w:left w:val="single" w:sz="4" w:space="0" w:color="auto"/>
              <w:bottom w:val="single" w:sz="4" w:space="0" w:color="auto"/>
              <w:right w:val="single" w:sz="4" w:space="0" w:color="auto"/>
            </w:tcBorders>
            <w:shd w:val="clear" w:color="auto" w:fill="auto"/>
          </w:tcPr>
          <w:p w14:paraId="3D56C28A" w14:textId="77777777" w:rsidR="00683B81" w:rsidRPr="00C56257" w:rsidRDefault="00683B81" w:rsidP="00105BC5">
            <w:pPr>
              <w:jc w:val="both"/>
              <w:rPr>
                <w:color w:val="000000" w:themeColor="text1"/>
              </w:rPr>
            </w:pPr>
            <w:r w:rsidRPr="00C56257">
              <w:rPr>
                <w:color w:val="000000" w:themeColor="text1"/>
              </w:rPr>
              <w:t>1170 - Recifi</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471FCBA" w14:textId="77777777" w:rsidR="00683B81" w:rsidRPr="00C56257" w:rsidRDefault="00683B81" w:rsidP="00105BC5">
            <w:pPr>
              <w:jc w:val="both"/>
              <w:rPr>
                <w:color w:val="000000" w:themeColor="text1"/>
              </w:rPr>
            </w:pPr>
            <w:r w:rsidRPr="00C56257">
              <w:rPr>
                <w:color w:val="000000" w:themeColor="text1"/>
              </w:rPr>
              <w:t>Anexa I/</w:t>
            </w:r>
          </w:p>
          <w:p w14:paraId="63F9482E" w14:textId="77777777" w:rsidR="00683B81" w:rsidRPr="00C56257" w:rsidRDefault="00683B81" w:rsidP="00105BC5">
            <w:pPr>
              <w:jc w:val="both"/>
              <w:rPr>
                <w:color w:val="000000" w:themeColor="text1"/>
              </w:rPr>
            </w:pPr>
            <w:r w:rsidRPr="00C56257">
              <w:rPr>
                <w:color w:val="000000" w:themeColor="text1"/>
              </w:rPr>
              <w:t>Anexa 4</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D52FA07" w14:textId="77777777" w:rsidR="00683B81" w:rsidRPr="00C56257" w:rsidRDefault="00683B81" w:rsidP="00105BC5">
            <w:pPr>
              <w:jc w:val="both"/>
              <w:rPr>
                <w:color w:val="000000" w:themeColor="text1"/>
              </w:rPr>
            </w:pPr>
            <w:r w:rsidRPr="00C56257">
              <w:rPr>
                <w:color w:val="000000" w:themeColor="text1"/>
              </w:rPr>
              <w:t>Marea Neagră (Marină)</w:t>
            </w:r>
          </w:p>
        </w:tc>
        <w:tc>
          <w:tcPr>
            <w:tcW w:w="2835" w:type="dxa"/>
            <w:tcBorders>
              <w:top w:val="single" w:sz="4" w:space="0" w:color="auto"/>
              <w:left w:val="single" w:sz="4" w:space="0" w:color="auto"/>
              <w:bottom w:val="single" w:sz="4" w:space="0" w:color="auto"/>
              <w:right w:val="single" w:sz="4" w:space="0" w:color="auto"/>
            </w:tcBorders>
            <w:shd w:val="clear" w:color="auto" w:fill="auto"/>
          </w:tcPr>
          <w:p w14:paraId="234EDF46" w14:textId="77777777" w:rsidR="00683B81" w:rsidRPr="00C56257" w:rsidRDefault="00683B81" w:rsidP="00105BC5">
            <w:pPr>
              <w:jc w:val="both"/>
              <w:rPr>
                <w:color w:val="000000" w:themeColor="text1"/>
              </w:rPr>
            </w:pPr>
            <w:r w:rsidRPr="00C56257">
              <w:rPr>
                <w:color w:val="000000" w:themeColor="text1"/>
              </w:rPr>
              <w:t>Vama Veche - zona 10-18 m adâncime (judeţul Constanţa) -  Sf. Gheorghe - zona 30-</w:t>
            </w:r>
            <w:smartTag w:uri="urn:schemas-microsoft-com:office:smarttags" w:element="metricconverter">
              <w:smartTagPr>
                <w:attr w:name="ProductID" w:val="45 m"/>
              </w:smartTagPr>
              <w:r w:rsidRPr="00C56257">
                <w:rPr>
                  <w:color w:val="000000" w:themeColor="text1"/>
                </w:rPr>
                <w:t>45 m</w:t>
              </w:r>
            </w:smartTag>
            <w:r w:rsidRPr="00C56257">
              <w:rPr>
                <w:color w:val="000000" w:themeColor="text1"/>
              </w:rPr>
              <w:t xml:space="preserve"> adâncime (judeţul Tulcea)</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3D8364E" w14:textId="77777777" w:rsidR="00683B81" w:rsidRPr="00C56257" w:rsidRDefault="00A90A2C" w:rsidP="00105BC5">
            <w:pPr>
              <w:jc w:val="both"/>
              <w:rPr>
                <w:bCs/>
                <w:color w:val="000000" w:themeColor="text1"/>
                <w:lang w:val="it-IT"/>
              </w:rPr>
            </w:pPr>
            <w:r>
              <w:rPr>
                <w:bCs/>
                <w:color w:val="000000" w:themeColor="text1"/>
                <w:lang w:val="it-IT"/>
              </w:rPr>
              <w:t>ROSAC</w:t>
            </w:r>
            <w:r w:rsidR="00683B81" w:rsidRPr="00C56257">
              <w:rPr>
                <w:bCs/>
                <w:color w:val="000000" w:themeColor="text1"/>
                <w:lang w:val="it-IT"/>
              </w:rPr>
              <w:t xml:space="preserve"> 0269</w:t>
            </w:r>
          </w:p>
          <w:p w14:paraId="38A818D1" w14:textId="77777777" w:rsidR="00683B81" w:rsidRPr="00C56257" w:rsidRDefault="00683B81" w:rsidP="00105BC5">
            <w:pPr>
              <w:jc w:val="both"/>
              <w:rPr>
                <w:bCs/>
                <w:color w:val="000000" w:themeColor="text1"/>
                <w:lang w:val="it-IT"/>
              </w:rPr>
            </w:pPr>
            <w:r w:rsidRPr="00C56257">
              <w:rPr>
                <w:bCs/>
                <w:color w:val="000000" w:themeColor="text1"/>
                <w:lang w:val="it-IT"/>
              </w:rPr>
              <w:t>ROSCI 0094</w:t>
            </w:r>
          </w:p>
          <w:p w14:paraId="23CCD289" w14:textId="77777777" w:rsidR="00683B81" w:rsidRPr="00C56257" w:rsidRDefault="00683B81" w:rsidP="00105BC5">
            <w:pPr>
              <w:jc w:val="both"/>
              <w:rPr>
                <w:bCs/>
                <w:color w:val="000000" w:themeColor="text1"/>
                <w:lang w:val="it-IT"/>
              </w:rPr>
            </w:pPr>
            <w:r w:rsidRPr="00C56257">
              <w:rPr>
                <w:bCs/>
                <w:color w:val="000000" w:themeColor="text1"/>
                <w:lang w:val="it-IT"/>
              </w:rPr>
              <w:t>ROSCI 0281</w:t>
            </w:r>
          </w:p>
          <w:p w14:paraId="03B585A0" w14:textId="77777777" w:rsidR="00683B81" w:rsidRPr="00C56257" w:rsidRDefault="00683B81" w:rsidP="00105BC5">
            <w:pPr>
              <w:jc w:val="both"/>
              <w:rPr>
                <w:bCs/>
                <w:color w:val="000000" w:themeColor="text1"/>
                <w:lang w:val="it-IT"/>
              </w:rPr>
            </w:pPr>
            <w:r w:rsidRPr="00C56257">
              <w:rPr>
                <w:bCs/>
                <w:color w:val="000000" w:themeColor="text1"/>
                <w:lang w:val="it-IT"/>
              </w:rPr>
              <w:t>ROSCI 0293</w:t>
            </w:r>
          </w:p>
          <w:p w14:paraId="65D3F2E9" w14:textId="77777777" w:rsidR="00683B81" w:rsidRPr="00C56257" w:rsidRDefault="00683B81" w:rsidP="00105BC5">
            <w:pPr>
              <w:jc w:val="both"/>
              <w:rPr>
                <w:bCs/>
                <w:color w:val="000000" w:themeColor="text1"/>
                <w:lang w:val="it-IT"/>
              </w:rPr>
            </w:pPr>
            <w:r w:rsidRPr="00C56257">
              <w:rPr>
                <w:bCs/>
                <w:color w:val="000000" w:themeColor="text1"/>
                <w:lang w:val="it-IT"/>
              </w:rPr>
              <w:t>ROSCI 0237</w:t>
            </w:r>
          </w:p>
          <w:p w14:paraId="0F1ABFCC" w14:textId="77777777" w:rsidR="00683B81" w:rsidRPr="00C56257" w:rsidRDefault="00683B81" w:rsidP="00105BC5">
            <w:pPr>
              <w:jc w:val="both"/>
              <w:rPr>
                <w:bCs/>
                <w:color w:val="000000" w:themeColor="text1"/>
                <w:lang w:val="it-IT"/>
              </w:rPr>
            </w:pPr>
            <w:r w:rsidRPr="00C56257">
              <w:rPr>
                <w:bCs/>
                <w:color w:val="000000" w:themeColor="text1"/>
                <w:lang w:val="it-IT"/>
              </w:rPr>
              <w:t>ROSCI0413</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03C9ED9" w14:textId="77777777" w:rsidR="00683B81" w:rsidRPr="00C56257" w:rsidRDefault="00683B81" w:rsidP="00105BC5">
            <w:pPr>
              <w:jc w:val="both"/>
              <w:rPr>
                <w:color w:val="000000" w:themeColor="text1"/>
                <w:lang w:val="pt-BR"/>
              </w:rPr>
            </w:pPr>
            <w:r w:rsidRPr="00C56257">
              <w:rPr>
                <w:color w:val="000000" w:themeColor="text1"/>
                <w:lang w:val="pt-BR"/>
              </w:rPr>
              <w:t>anual</w:t>
            </w:r>
          </w:p>
        </w:tc>
        <w:tc>
          <w:tcPr>
            <w:tcW w:w="1202" w:type="dxa"/>
            <w:tcBorders>
              <w:top w:val="single" w:sz="4" w:space="0" w:color="auto"/>
              <w:left w:val="single" w:sz="4" w:space="0" w:color="auto"/>
              <w:bottom w:val="single" w:sz="4" w:space="0" w:color="auto"/>
              <w:right w:val="single" w:sz="4" w:space="0" w:color="auto"/>
            </w:tcBorders>
            <w:shd w:val="clear" w:color="auto" w:fill="auto"/>
          </w:tcPr>
          <w:p w14:paraId="00A6A4FB" w14:textId="77777777" w:rsidR="00683B81" w:rsidRPr="00C56257" w:rsidRDefault="00683B81" w:rsidP="00105BC5">
            <w:pPr>
              <w:jc w:val="both"/>
              <w:rPr>
                <w:color w:val="000000" w:themeColor="text1"/>
                <w:lang w:val="pt-BR"/>
              </w:rPr>
            </w:pPr>
            <w:r w:rsidRPr="00C56257">
              <w:rPr>
                <w:color w:val="000000" w:themeColor="text1"/>
                <w:lang w:val="pt-BR"/>
              </w:rPr>
              <w:t>mai, iunie,  octombrie;</w:t>
            </w:r>
          </w:p>
        </w:tc>
        <w:tc>
          <w:tcPr>
            <w:tcW w:w="1506" w:type="dxa"/>
            <w:tcBorders>
              <w:top w:val="single" w:sz="4" w:space="0" w:color="auto"/>
              <w:left w:val="single" w:sz="4" w:space="0" w:color="auto"/>
              <w:bottom w:val="single" w:sz="4" w:space="0" w:color="auto"/>
              <w:right w:val="single" w:sz="4" w:space="0" w:color="auto"/>
            </w:tcBorders>
            <w:shd w:val="clear" w:color="auto" w:fill="auto"/>
          </w:tcPr>
          <w:p w14:paraId="1413E2DD" w14:textId="77777777" w:rsidR="00683B81" w:rsidRPr="00C56257" w:rsidRDefault="00683B81" w:rsidP="00105BC5">
            <w:pPr>
              <w:jc w:val="both"/>
              <w:rPr>
                <w:color w:val="000000" w:themeColor="text1"/>
                <w:lang w:val="pt-BR"/>
              </w:rPr>
            </w:pPr>
            <w:r w:rsidRPr="00C56257">
              <w:rPr>
                <w:color w:val="000000" w:themeColor="text1"/>
                <w:lang w:val="pt-BR"/>
              </w:rPr>
              <w:t>- pătrate de probă;</w:t>
            </w:r>
          </w:p>
          <w:p w14:paraId="59F2FC2C" w14:textId="77777777" w:rsidR="00683B81" w:rsidRPr="00C56257" w:rsidRDefault="00683B81" w:rsidP="00105BC5">
            <w:pPr>
              <w:jc w:val="both"/>
              <w:rPr>
                <w:color w:val="000000" w:themeColor="text1"/>
                <w:lang w:val="pt-BR"/>
              </w:rPr>
            </w:pPr>
            <w:r w:rsidRPr="00C56257">
              <w:rPr>
                <w:color w:val="000000" w:themeColor="text1"/>
                <w:lang w:val="pt-BR"/>
              </w:rPr>
              <w:t>- foto;</w:t>
            </w:r>
          </w:p>
        </w:tc>
        <w:tc>
          <w:tcPr>
            <w:tcW w:w="1635" w:type="dxa"/>
            <w:tcBorders>
              <w:top w:val="single" w:sz="4" w:space="0" w:color="auto"/>
              <w:left w:val="single" w:sz="4" w:space="0" w:color="auto"/>
              <w:bottom w:val="single" w:sz="4" w:space="0" w:color="auto"/>
              <w:right w:val="single" w:sz="4" w:space="0" w:color="auto"/>
            </w:tcBorders>
            <w:shd w:val="clear" w:color="auto" w:fill="auto"/>
          </w:tcPr>
          <w:p w14:paraId="59C0F8B1" w14:textId="77777777" w:rsidR="00683B81" w:rsidRPr="00C56257" w:rsidRDefault="00683B81" w:rsidP="00105BC5">
            <w:pPr>
              <w:jc w:val="both"/>
              <w:rPr>
                <w:color w:val="000000" w:themeColor="text1"/>
                <w:lang w:val="es-ES"/>
              </w:rPr>
            </w:pPr>
            <w:r w:rsidRPr="00C56257">
              <w:rPr>
                <w:color w:val="000000" w:themeColor="text1"/>
                <w:lang w:val="es-ES"/>
              </w:rPr>
              <w:t xml:space="preserve">Min. 10 </w:t>
            </w:r>
            <w:proofErr w:type="spellStart"/>
            <w:r w:rsidRPr="00C56257">
              <w:rPr>
                <w:color w:val="000000" w:themeColor="text1"/>
                <w:lang w:val="es-ES"/>
              </w:rPr>
              <w:t>stații</w:t>
            </w:r>
            <w:proofErr w:type="spellEnd"/>
            <w:r w:rsidRPr="00C56257">
              <w:rPr>
                <w:color w:val="000000" w:themeColor="text1"/>
                <w:lang w:val="es-ES"/>
              </w:rPr>
              <w:t xml:space="preserve"> de </w:t>
            </w:r>
            <w:proofErr w:type="spellStart"/>
            <w:r w:rsidRPr="00C56257">
              <w:rPr>
                <w:color w:val="000000" w:themeColor="text1"/>
                <w:lang w:val="es-ES"/>
              </w:rPr>
              <w:t>prelevare</w:t>
            </w:r>
            <w:proofErr w:type="spellEnd"/>
          </w:p>
          <w:p w14:paraId="5B117238" w14:textId="77777777" w:rsidR="00683B81" w:rsidRPr="00C56257" w:rsidRDefault="00683B81" w:rsidP="00105BC5">
            <w:pPr>
              <w:jc w:val="both"/>
              <w:rPr>
                <w:color w:val="000000" w:themeColor="text1"/>
                <w:lang w:val="es-ES"/>
              </w:rPr>
            </w:pPr>
            <w:proofErr w:type="spellStart"/>
            <w:r w:rsidRPr="00C56257">
              <w:rPr>
                <w:color w:val="000000" w:themeColor="text1"/>
                <w:lang w:val="es-ES"/>
              </w:rPr>
              <w:t>Acces</w:t>
            </w:r>
            <w:proofErr w:type="spellEnd"/>
            <w:r w:rsidRPr="00C56257">
              <w:rPr>
                <w:color w:val="000000" w:themeColor="text1"/>
                <w:lang w:val="es-ES"/>
              </w:rPr>
              <w:t xml:space="preserve"> </w:t>
            </w:r>
            <w:proofErr w:type="spellStart"/>
            <w:r w:rsidRPr="00C56257">
              <w:rPr>
                <w:color w:val="000000" w:themeColor="text1"/>
                <w:lang w:val="es-ES"/>
              </w:rPr>
              <w:t>cu</w:t>
            </w:r>
            <w:proofErr w:type="spellEnd"/>
          </w:p>
          <w:p w14:paraId="4757B8F7" w14:textId="77777777" w:rsidR="00683B81" w:rsidRPr="00C56257" w:rsidRDefault="00683B81" w:rsidP="00105BC5">
            <w:pPr>
              <w:jc w:val="both"/>
              <w:rPr>
                <w:color w:val="000000" w:themeColor="text1"/>
                <w:lang w:val="es-ES"/>
              </w:rPr>
            </w:pPr>
            <w:proofErr w:type="spellStart"/>
            <w:r w:rsidRPr="00C56257">
              <w:rPr>
                <w:color w:val="000000" w:themeColor="text1"/>
                <w:lang w:val="es-ES"/>
              </w:rPr>
              <w:t>barcă</w:t>
            </w:r>
            <w:proofErr w:type="spellEnd"/>
            <w:r w:rsidRPr="00C56257">
              <w:rPr>
                <w:color w:val="000000" w:themeColor="text1"/>
                <w:lang w:val="es-ES"/>
              </w:rPr>
              <w:t xml:space="preserve"> </w:t>
            </w:r>
            <w:proofErr w:type="spellStart"/>
            <w:r w:rsidRPr="00C56257">
              <w:rPr>
                <w:color w:val="000000" w:themeColor="text1"/>
                <w:lang w:val="es-ES"/>
              </w:rPr>
              <w:t>cu</w:t>
            </w:r>
            <w:proofErr w:type="spellEnd"/>
            <w:r w:rsidRPr="00C56257">
              <w:rPr>
                <w:color w:val="000000" w:themeColor="text1"/>
                <w:lang w:val="es-ES"/>
              </w:rPr>
              <w:t xml:space="preserve"> motor/</w:t>
            </w:r>
            <w:proofErr w:type="spellStart"/>
            <w:r w:rsidRPr="00C56257">
              <w:rPr>
                <w:color w:val="000000" w:themeColor="text1"/>
                <w:lang w:val="es-ES"/>
              </w:rPr>
              <w:t>navă</w:t>
            </w:r>
            <w:proofErr w:type="spellEnd"/>
          </w:p>
        </w:tc>
      </w:tr>
      <w:tr w:rsidR="00683B81" w:rsidRPr="00C56257" w14:paraId="62925945" w14:textId="77777777" w:rsidTr="00105BC5">
        <w:trPr>
          <w:trHeight w:val="879"/>
        </w:trPr>
        <w:tc>
          <w:tcPr>
            <w:tcW w:w="597" w:type="dxa"/>
            <w:gridSpan w:val="2"/>
            <w:tcBorders>
              <w:top w:val="single" w:sz="4" w:space="0" w:color="auto"/>
              <w:left w:val="single" w:sz="4" w:space="0" w:color="auto"/>
              <w:bottom w:val="single" w:sz="4" w:space="0" w:color="auto"/>
              <w:right w:val="single" w:sz="4" w:space="0" w:color="auto"/>
            </w:tcBorders>
            <w:shd w:val="clear" w:color="auto" w:fill="auto"/>
          </w:tcPr>
          <w:p w14:paraId="747FF448" w14:textId="77777777" w:rsidR="00683B81" w:rsidRPr="00C56257" w:rsidRDefault="00683B81" w:rsidP="00105BC5">
            <w:pPr>
              <w:jc w:val="both"/>
              <w:rPr>
                <w:color w:val="000000" w:themeColor="text1"/>
                <w:lang w:val="pt-BR"/>
              </w:rPr>
            </w:pPr>
            <w:r w:rsidRPr="00C56257">
              <w:rPr>
                <w:color w:val="000000" w:themeColor="text1"/>
                <w:lang w:val="pt-BR"/>
              </w:rPr>
              <w:t>7.</w:t>
            </w:r>
          </w:p>
        </w:tc>
        <w:tc>
          <w:tcPr>
            <w:tcW w:w="1530" w:type="dxa"/>
            <w:tcBorders>
              <w:top w:val="single" w:sz="4" w:space="0" w:color="auto"/>
              <w:left w:val="single" w:sz="4" w:space="0" w:color="auto"/>
              <w:bottom w:val="single" w:sz="4" w:space="0" w:color="auto"/>
              <w:right w:val="single" w:sz="4" w:space="0" w:color="auto"/>
            </w:tcBorders>
            <w:shd w:val="clear" w:color="auto" w:fill="auto"/>
          </w:tcPr>
          <w:p w14:paraId="6BCB69EF" w14:textId="77777777" w:rsidR="00683B81" w:rsidRPr="00C56257" w:rsidRDefault="00683B81" w:rsidP="00105BC5">
            <w:pPr>
              <w:jc w:val="both"/>
              <w:rPr>
                <w:color w:val="000000" w:themeColor="text1"/>
              </w:rPr>
            </w:pPr>
            <w:r w:rsidRPr="00C56257">
              <w:rPr>
                <w:color w:val="000000" w:themeColor="text1"/>
              </w:rPr>
              <w:t>1180 - Structuri submarine create de emisii de gaze</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5ABF8B9" w14:textId="77777777" w:rsidR="00683B81" w:rsidRPr="00C56257" w:rsidRDefault="00683B81" w:rsidP="00105BC5">
            <w:pPr>
              <w:jc w:val="both"/>
              <w:rPr>
                <w:color w:val="000000" w:themeColor="text1"/>
              </w:rPr>
            </w:pPr>
            <w:r w:rsidRPr="00C56257">
              <w:rPr>
                <w:color w:val="000000" w:themeColor="text1"/>
              </w:rPr>
              <w:t>Anexa I/</w:t>
            </w:r>
          </w:p>
          <w:p w14:paraId="6171B7A2" w14:textId="77777777" w:rsidR="00683B81" w:rsidRPr="00C56257" w:rsidRDefault="00683B81" w:rsidP="00105BC5">
            <w:pPr>
              <w:jc w:val="both"/>
              <w:rPr>
                <w:color w:val="000000" w:themeColor="text1"/>
              </w:rPr>
            </w:pPr>
            <w:r w:rsidRPr="00C56257">
              <w:rPr>
                <w:color w:val="000000" w:themeColor="text1"/>
              </w:rPr>
              <w:t>Anexa 4</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29EA761" w14:textId="77777777" w:rsidR="00683B81" w:rsidRPr="00C56257" w:rsidRDefault="00683B81" w:rsidP="00105BC5">
            <w:pPr>
              <w:jc w:val="both"/>
              <w:rPr>
                <w:color w:val="000000" w:themeColor="text1"/>
              </w:rPr>
            </w:pPr>
            <w:r w:rsidRPr="00C56257">
              <w:rPr>
                <w:color w:val="000000" w:themeColor="text1"/>
              </w:rPr>
              <w:t>Marea Neagră (Marină)</w:t>
            </w:r>
          </w:p>
        </w:tc>
        <w:tc>
          <w:tcPr>
            <w:tcW w:w="2835" w:type="dxa"/>
            <w:tcBorders>
              <w:top w:val="single" w:sz="4" w:space="0" w:color="auto"/>
              <w:left w:val="single" w:sz="4" w:space="0" w:color="auto"/>
              <w:bottom w:val="single" w:sz="4" w:space="0" w:color="auto"/>
              <w:right w:val="single" w:sz="4" w:space="0" w:color="auto"/>
            </w:tcBorders>
            <w:shd w:val="clear" w:color="auto" w:fill="auto"/>
          </w:tcPr>
          <w:p w14:paraId="7B8812CB" w14:textId="77777777" w:rsidR="00683B81" w:rsidRPr="00C56257" w:rsidRDefault="00683B81" w:rsidP="00105BC5">
            <w:pPr>
              <w:jc w:val="both"/>
              <w:rPr>
                <w:color w:val="000000" w:themeColor="text1"/>
              </w:rPr>
            </w:pPr>
            <w:r w:rsidRPr="00C56257">
              <w:rPr>
                <w:color w:val="000000" w:themeColor="text1"/>
              </w:rPr>
              <w:t>Venus - zona 20-45 mm adâncime (judeţul Constanţa)</w:t>
            </w:r>
          </w:p>
          <w:p w14:paraId="2E45FECB" w14:textId="77777777" w:rsidR="00683B81" w:rsidRPr="00C56257" w:rsidRDefault="00683B81" w:rsidP="00105BC5">
            <w:pPr>
              <w:jc w:val="both"/>
              <w:rPr>
                <w:color w:val="000000" w:themeColor="text1"/>
              </w:rPr>
            </w:pPr>
            <w:r w:rsidRPr="00C56257">
              <w:rPr>
                <w:color w:val="000000" w:themeColor="text1"/>
              </w:rPr>
              <w:t>- Sf. Ghe.- zona 20-</w:t>
            </w:r>
            <w:smartTag w:uri="urn:schemas-microsoft-com:office:smarttags" w:element="metricconverter">
              <w:smartTagPr>
                <w:attr w:name="ProductID" w:val="45 m"/>
              </w:smartTagPr>
              <w:r w:rsidRPr="00C56257">
                <w:rPr>
                  <w:color w:val="000000" w:themeColor="text1"/>
                </w:rPr>
                <w:t>45 m</w:t>
              </w:r>
            </w:smartTag>
            <w:r w:rsidRPr="00C56257">
              <w:rPr>
                <w:color w:val="000000" w:themeColor="text1"/>
              </w:rPr>
              <w:t xml:space="preserve"> adâncime (judeţul Tulcea)</w:t>
            </w:r>
          </w:p>
          <w:p w14:paraId="4E4C6DC3" w14:textId="77777777" w:rsidR="00683B81" w:rsidRPr="00C56257" w:rsidRDefault="00683B81" w:rsidP="00105BC5">
            <w:pPr>
              <w:jc w:val="both"/>
              <w:rPr>
                <w:color w:val="000000" w:themeColor="text1"/>
              </w:rPr>
            </w:pPr>
            <w:r w:rsidRPr="00C56257">
              <w:rPr>
                <w:color w:val="000000" w:themeColor="text1"/>
              </w:rPr>
              <w:t>- Canion Viteaz (adancime 100-150 m)</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51BBEA2" w14:textId="77777777" w:rsidR="00683B81" w:rsidRPr="00C56257" w:rsidRDefault="00683B81" w:rsidP="00105BC5">
            <w:pPr>
              <w:jc w:val="both"/>
              <w:rPr>
                <w:bCs/>
                <w:color w:val="000000" w:themeColor="text1"/>
                <w:lang w:val="it-IT"/>
              </w:rPr>
            </w:pPr>
            <w:r w:rsidRPr="00C56257">
              <w:rPr>
                <w:bCs/>
                <w:color w:val="000000" w:themeColor="text1"/>
                <w:lang w:val="it-IT"/>
              </w:rPr>
              <w:t>ROSCI 0281</w:t>
            </w:r>
          </w:p>
          <w:p w14:paraId="746D4329" w14:textId="77777777" w:rsidR="00683B81" w:rsidRPr="00C56257" w:rsidRDefault="00683B81" w:rsidP="00105BC5">
            <w:pPr>
              <w:jc w:val="both"/>
              <w:rPr>
                <w:bCs/>
                <w:color w:val="000000" w:themeColor="text1"/>
                <w:lang w:val="it-IT"/>
              </w:rPr>
            </w:pPr>
            <w:r w:rsidRPr="00C56257">
              <w:rPr>
                <w:bCs/>
                <w:color w:val="000000" w:themeColor="text1"/>
                <w:lang w:val="it-IT"/>
              </w:rPr>
              <w:t>ROSCI0066</w:t>
            </w:r>
          </w:p>
          <w:p w14:paraId="1EB674D5" w14:textId="77777777" w:rsidR="00683B81" w:rsidRPr="00C56257" w:rsidRDefault="00683B81" w:rsidP="00105BC5">
            <w:pPr>
              <w:jc w:val="both"/>
              <w:rPr>
                <w:bCs/>
                <w:color w:val="000000" w:themeColor="text1"/>
                <w:lang w:val="it-IT"/>
              </w:rPr>
            </w:pPr>
            <w:r w:rsidRPr="00C56257">
              <w:rPr>
                <w:bCs/>
                <w:color w:val="000000" w:themeColor="text1"/>
                <w:lang w:val="it-IT"/>
              </w:rPr>
              <w:t>ROSCI0311</w:t>
            </w:r>
          </w:p>
          <w:p w14:paraId="58ACC972" w14:textId="77777777" w:rsidR="00683B81" w:rsidRPr="00C56257" w:rsidRDefault="00683B81" w:rsidP="00105BC5">
            <w:pPr>
              <w:jc w:val="both"/>
              <w:rPr>
                <w:bCs/>
                <w:color w:val="000000" w:themeColor="text1"/>
                <w:lang w:val="it-IT"/>
              </w:rPr>
            </w:pPr>
            <w:r w:rsidRPr="00C56257">
              <w:rPr>
                <w:bCs/>
                <w:color w:val="000000" w:themeColor="text1"/>
                <w:lang w:val="it-IT"/>
              </w:rPr>
              <w:t>ROSCI0413</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7B911D9" w14:textId="77777777" w:rsidR="00683B81" w:rsidRPr="00C56257" w:rsidRDefault="00683B81" w:rsidP="00105BC5">
            <w:pPr>
              <w:jc w:val="both"/>
              <w:rPr>
                <w:color w:val="000000" w:themeColor="text1"/>
                <w:lang w:val="pt-BR"/>
              </w:rPr>
            </w:pPr>
            <w:r w:rsidRPr="00C56257">
              <w:rPr>
                <w:color w:val="000000" w:themeColor="text1"/>
                <w:lang w:val="pt-BR"/>
              </w:rPr>
              <w:t>anual</w:t>
            </w:r>
          </w:p>
        </w:tc>
        <w:tc>
          <w:tcPr>
            <w:tcW w:w="1202" w:type="dxa"/>
            <w:tcBorders>
              <w:top w:val="single" w:sz="4" w:space="0" w:color="auto"/>
              <w:left w:val="single" w:sz="4" w:space="0" w:color="auto"/>
              <w:bottom w:val="single" w:sz="4" w:space="0" w:color="auto"/>
              <w:right w:val="single" w:sz="4" w:space="0" w:color="auto"/>
            </w:tcBorders>
            <w:shd w:val="clear" w:color="auto" w:fill="auto"/>
          </w:tcPr>
          <w:p w14:paraId="11EEA034" w14:textId="77777777" w:rsidR="00683B81" w:rsidRPr="00C56257" w:rsidRDefault="00683B81" w:rsidP="00105BC5">
            <w:pPr>
              <w:jc w:val="both"/>
              <w:rPr>
                <w:color w:val="000000" w:themeColor="text1"/>
                <w:lang w:val="pt-BR"/>
              </w:rPr>
            </w:pPr>
            <w:r w:rsidRPr="00C56257">
              <w:rPr>
                <w:color w:val="000000" w:themeColor="text1"/>
                <w:lang w:val="pt-BR"/>
              </w:rPr>
              <w:t>mai, iunie, octombrie;</w:t>
            </w:r>
          </w:p>
        </w:tc>
        <w:tc>
          <w:tcPr>
            <w:tcW w:w="1506" w:type="dxa"/>
            <w:tcBorders>
              <w:top w:val="single" w:sz="4" w:space="0" w:color="auto"/>
              <w:left w:val="single" w:sz="4" w:space="0" w:color="auto"/>
              <w:bottom w:val="single" w:sz="4" w:space="0" w:color="auto"/>
              <w:right w:val="single" w:sz="4" w:space="0" w:color="auto"/>
            </w:tcBorders>
            <w:shd w:val="clear" w:color="auto" w:fill="auto"/>
          </w:tcPr>
          <w:p w14:paraId="0A84B3CD" w14:textId="77777777" w:rsidR="00683B81" w:rsidRPr="00C56257" w:rsidRDefault="00683B81" w:rsidP="00105BC5">
            <w:pPr>
              <w:jc w:val="both"/>
              <w:rPr>
                <w:color w:val="000000" w:themeColor="text1"/>
                <w:lang w:val="pt-BR"/>
              </w:rPr>
            </w:pPr>
            <w:r w:rsidRPr="00C56257">
              <w:rPr>
                <w:color w:val="000000" w:themeColor="text1"/>
                <w:lang w:val="pt-BR"/>
              </w:rPr>
              <w:t>- pătrate de probă 1 m</w:t>
            </w:r>
            <w:r w:rsidRPr="00C56257">
              <w:rPr>
                <w:color w:val="000000" w:themeColor="text1"/>
                <w:vertAlign w:val="superscript"/>
                <w:lang w:val="pt-BR"/>
              </w:rPr>
              <w:t>2</w:t>
            </w:r>
            <w:r w:rsidRPr="00C56257">
              <w:rPr>
                <w:color w:val="000000" w:themeColor="text1"/>
                <w:lang w:val="pt-BR"/>
              </w:rPr>
              <w:t xml:space="preserve"> (3 replici);</w:t>
            </w:r>
          </w:p>
          <w:p w14:paraId="1FF268D6" w14:textId="77777777" w:rsidR="00683B81" w:rsidRPr="00C56257" w:rsidRDefault="00683B81" w:rsidP="00105BC5">
            <w:pPr>
              <w:jc w:val="both"/>
              <w:rPr>
                <w:color w:val="000000" w:themeColor="text1"/>
                <w:lang w:val="pt-BR"/>
              </w:rPr>
            </w:pPr>
            <w:r w:rsidRPr="00C56257">
              <w:rPr>
                <w:color w:val="000000" w:themeColor="text1"/>
                <w:lang w:val="pt-BR"/>
              </w:rPr>
              <w:t>- transecte foto;</w:t>
            </w:r>
          </w:p>
        </w:tc>
        <w:tc>
          <w:tcPr>
            <w:tcW w:w="1635" w:type="dxa"/>
            <w:tcBorders>
              <w:top w:val="single" w:sz="4" w:space="0" w:color="auto"/>
              <w:left w:val="single" w:sz="4" w:space="0" w:color="auto"/>
              <w:bottom w:val="single" w:sz="4" w:space="0" w:color="auto"/>
              <w:right w:val="single" w:sz="4" w:space="0" w:color="auto"/>
            </w:tcBorders>
            <w:shd w:val="clear" w:color="auto" w:fill="auto"/>
          </w:tcPr>
          <w:p w14:paraId="31AC9769" w14:textId="77777777" w:rsidR="00683B81" w:rsidRPr="00C56257" w:rsidRDefault="00683B81" w:rsidP="00105BC5">
            <w:pPr>
              <w:jc w:val="both"/>
              <w:rPr>
                <w:color w:val="000000" w:themeColor="text1"/>
                <w:lang w:val="es-ES"/>
              </w:rPr>
            </w:pPr>
            <w:r w:rsidRPr="00C56257">
              <w:rPr>
                <w:color w:val="000000" w:themeColor="text1"/>
                <w:lang w:val="es-ES"/>
              </w:rPr>
              <w:t xml:space="preserve">Min. 4 </w:t>
            </w:r>
            <w:proofErr w:type="spellStart"/>
            <w:r w:rsidRPr="00C56257">
              <w:rPr>
                <w:color w:val="000000" w:themeColor="text1"/>
                <w:lang w:val="es-ES"/>
              </w:rPr>
              <w:t>stații</w:t>
            </w:r>
            <w:proofErr w:type="spellEnd"/>
            <w:r w:rsidRPr="00C56257">
              <w:rPr>
                <w:color w:val="000000" w:themeColor="text1"/>
                <w:lang w:val="es-ES"/>
              </w:rPr>
              <w:t xml:space="preserve"> de </w:t>
            </w:r>
            <w:proofErr w:type="spellStart"/>
            <w:r w:rsidRPr="00C56257">
              <w:rPr>
                <w:color w:val="000000" w:themeColor="text1"/>
                <w:lang w:val="es-ES"/>
              </w:rPr>
              <w:t>prelevare</w:t>
            </w:r>
            <w:proofErr w:type="spellEnd"/>
          </w:p>
          <w:p w14:paraId="45395D6D" w14:textId="77777777" w:rsidR="00683B81" w:rsidRPr="00C56257" w:rsidRDefault="00683B81" w:rsidP="00105BC5">
            <w:pPr>
              <w:jc w:val="both"/>
              <w:rPr>
                <w:color w:val="000000" w:themeColor="text1"/>
                <w:lang w:val="es-ES"/>
              </w:rPr>
            </w:pPr>
            <w:proofErr w:type="spellStart"/>
            <w:r w:rsidRPr="00C56257">
              <w:rPr>
                <w:color w:val="000000" w:themeColor="text1"/>
                <w:lang w:val="es-ES"/>
              </w:rPr>
              <w:t>Acces</w:t>
            </w:r>
            <w:proofErr w:type="spellEnd"/>
            <w:r w:rsidRPr="00C56257">
              <w:rPr>
                <w:color w:val="000000" w:themeColor="text1"/>
                <w:lang w:val="es-ES"/>
              </w:rPr>
              <w:t xml:space="preserve"> </w:t>
            </w:r>
            <w:proofErr w:type="spellStart"/>
            <w:r w:rsidRPr="00C56257">
              <w:rPr>
                <w:color w:val="000000" w:themeColor="text1"/>
                <w:lang w:val="es-ES"/>
              </w:rPr>
              <w:t>cu</w:t>
            </w:r>
            <w:proofErr w:type="spellEnd"/>
          </w:p>
          <w:p w14:paraId="44C206F9" w14:textId="77777777" w:rsidR="00683B81" w:rsidRPr="00C56257" w:rsidRDefault="00683B81" w:rsidP="00105BC5">
            <w:pPr>
              <w:jc w:val="both"/>
              <w:rPr>
                <w:color w:val="000000" w:themeColor="text1"/>
                <w:lang w:val="es-ES"/>
              </w:rPr>
            </w:pPr>
            <w:proofErr w:type="spellStart"/>
            <w:r w:rsidRPr="00C56257">
              <w:rPr>
                <w:color w:val="000000" w:themeColor="text1"/>
                <w:lang w:val="es-ES"/>
              </w:rPr>
              <w:t>barcă</w:t>
            </w:r>
            <w:proofErr w:type="spellEnd"/>
            <w:r w:rsidRPr="00C56257">
              <w:rPr>
                <w:color w:val="000000" w:themeColor="text1"/>
                <w:lang w:val="es-ES"/>
              </w:rPr>
              <w:t xml:space="preserve"> </w:t>
            </w:r>
            <w:proofErr w:type="spellStart"/>
            <w:r w:rsidRPr="00C56257">
              <w:rPr>
                <w:color w:val="000000" w:themeColor="text1"/>
                <w:lang w:val="es-ES"/>
              </w:rPr>
              <w:t>cu</w:t>
            </w:r>
            <w:proofErr w:type="spellEnd"/>
            <w:r w:rsidRPr="00C56257">
              <w:rPr>
                <w:color w:val="000000" w:themeColor="text1"/>
                <w:lang w:val="es-ES"/>
              </w:rPr>
              <w:t xml:space="preserve"> motor/ </w:t>
            </w:r>
            <w:proofErr w:type="spellStart"/>
            <w:r w:rsidRPr="00C56257">
              <w:rPr>
                <w:color w:val="000000" w:themeColor="text1"/>
                <w:lang w:val="es-ES"/>
              </w:rPr>
              <w:t>navă</w:t>
            </w:r>
            <w:proofErr w:type="spellEnd"/>
          </w:p>
        </w:tc>
      </w:tr>
      <w:tr w:rsidR="00683B81" w:rsidRPr="00C56257" w14:paraId="5D0EE51F" w14:textId="77777777" w:rsidTr="00105BC5">
        <w:tc>
          <w:tcPr>
            <w:tcW w:w="568" w:type="dxa"/>
            <w:tcBorders>
              <w:top w:val="single" w:sz="4" w:space="0" w:color="auto"/>
              <w:left w:val="single" w:sz="4" w:space="0" w:color="auto"/>
              <w:bottom w:val="single" w:sz="4" w:space="0" w:color="auto"/>
              <w:right w:val="single" w:sz="4" w:space="0" w:color="auto"/>
            </w:tcBorders>
            <w:shd w:val="clear" w:color="auto" w:fill="auto"/>
          </w:tcPr>
          <w:p w14:paraId="23778B9A" w14:textId="77777777" w:rsidR="00683B81" w:rsidRPr="00C56257" w:rsidRDefault="00683B81" w:rsidP="00105BC5">
            <w:pPr>
              <w:jc w:val="both"/>
              <w:rPr>
                <w:color w:val="000000" w:themeColor="text1"/>
                <w:lang w:val="pt-BR"/>
              </w:rPr>
            </w:pPr>
            <w:r w:rsidRPr="00C56257">
              <w:rPr>
                <w:color w:val="000000" w:themeColor="text1"/>
                <w:lang w:val="pt-BR"/>
              </w:rPr>
              <w:t>8.</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tcPr>
          <w:p w14:paraId="3C335D20" w14:textId="77777777" w:rsidR="00683B81" w:rsidRPr="00C56257" w:rsidRDefault="00683B81" w:rsidP="00105BC5">
            <w:pPr>
              <w:jc w:val="both"/>
              <w:rPr>
                <w:color w:val="000000" w:themeColor="text1"/>
              </w:rPr>
            </w:pPr>
            <w:r w:rsidRPr="00C56257">
              <w:rPr>
                <w:color w:val="000000" w:themeColor="text1"/>
              </w:rPr>
              <w:t>1210 - Vegetaţie anuală de-a lungul liniei ţărmului</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98867B9" w14:textId="77777777" w:rsidR="00683B81" w:rsidRPr="00C56257" w:rsidRDefault="00683B81" w:rsidP="00105BC5">
            <w:pPr>
              <w:jc w:val="both"/>
              <w:rPr>
                <w:color w:val="000000" w:themeColor="text1"/>
              </w:rPr>
            </w:pPr>
            <w:r w:rsidRPr="00C56257">
              <w:rPr>
                <w:color w:val="000000" w:themeColor="text1"/>
              </w:rPr>
              <w:t>Anexa I/</w:t>
            </w:r>
          </w:p>
          <w:p w14:paraId="20FFE88B" w14:textId="77777777" w:rsidR="00683B81" w:rsidRPr="00C56257" w:rsidRDefault="00683B81" w:rsidP="00105BC5">
            <w:pPr>
              <w:jc w:val="both"/>
              <w:rPr>
                <w:color w:val="000000" w:themeColor="text1"/>
              </w:rPr>
            </w:pPr>
            <w:r w:rsidRPr="00C56257">
              <w:rPr>
                <w:color w:val="000000" w:themeColor="text1"/>
              </w:rPr>
              <w:t>Anexa 4</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488E927" w14:textId="77777777" w:rsidR="00683B81" w:rsidRPr="00C56257" w:rsidRDefault="00683B81" w:rsidP="00105BC5">
            <w:pPr>
              <w:jc w:val="both"/>
              <w:rPr>
                <w:color w:val="000000" w:themeColor="text1"/>
              </w:rPr>
            </w:pPr>
            <w:r w:rsidRPr="00C56257">
              <w:rPr>
                <w:color w:val="000000" w:themeColor="text1"/>
              </w:rPr>
              <w:t>Marea Neagră</w:t>
            </w:r>
          </w:p>
          <w:p w14:paraId="636529AC" w14:textId="77777777" w:rsidR="00683B81" w:rsidRPr="00C56257" w:rsidRDefault="00683B81" w:rsidP="00105BC5">
            <w:pPr>
              <w:jc w:val="both"/>
              <w:rPr>
                <w:color w:val="000000" w:themeColor="text1"/>
              </w:rPr>
            </w:pPr>
            <w:r w:rsidRPr="00C56257">
              <w:rPr>
                <w:color w:val="000000" w:themeColor="text1"/>
              </w:rPr>
              <w:t>(Pontică)</w:t>
            </w:r>
          </w:p>
        </w:tc>
        <w:tc>
          <w:tcPr>
            <w:tcW w:w="2835" w:type="dxa"/>
            <w:tcBorders>
              <w:top w:val="single" w:sz="4" w:space="0" w:color="auto"/>
              <w:left w:val="single" w:sz="4" w:space="0" w:color="auto"/>
              <w:bottom w:val="single" w:sz="4" w:space="0" w:color="auto"/>
              <w:right w:val="single" w:sz="4" w:space="0" w:color="auto"/>
            </w:tcBorders>
            <w:shd w:val="clear" w:color="auto" w:fill="auto"/>
          </w:tcPr>
          <w:p w14:paraId="3AFCA7A4" w14:textId="77777777" w:rsidR="00683B81" w:rsidRPr="00C56257" w:rsidRDefault="00683B81" w:rsidP="00105BC5">
            <w:pPr>
              <w:jc w:val="both"/>
              <w:rPr>
                <w:color w:val="000000" w:themeColor="text1"/>
              </w:rPr>
            </w:pPr>
            <w:r w:rsidRPr="00C56257">
              <w:rPr>
                <w:color w:val="000000" w:themeColor="text1"/>
              </w:rPr>
              <w:t>Vama Veche-2 Mai (judeţul Constanţa) -</w:t>
            </w:r>
          </w:p>
          <w:p w14:paraId="09B81799" w14:textId="77777777" w:rsidR="00683B81" w:rsidRPr="00C56257" w:rsidRDefault="00683B81" w:rsidP="00105BC5">
            <w:pPr>
              <w:jc w:val="both"/>
              <w:rPr>
                <w:color w:val="000000" w:themeColor="text1"/>
              </w:rPr>
            </w:pPr>
            <w:r w:rsidRPr="00C56257">
              <w:rPr>
                <w:color w:val="000000" w:themeColor="text1"/>
              </w:rPr>
              <w:t>Plaja Sulina (judeţul Tulcea): 10 sectoare</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66DF3F6" w14:textId="77777777" w:rsidR="00683B81" w:rsidRPr="00C56257" w:rsidRDefault="00477BF8" w:rsidP="00105BC5">
            <w:pPr>
              <w:jc w:val="both"/>
              <w:rPr>
                <w:bCs/>
                <w:color w:val="000000" w:themeColor="text1"/>
                <w:lang w:val="it-IT"/>
              </w:rPr>
            </w:pPr>
            <w:r>
              <w:rPr>
                <w:bCs/>
                <w:color w:val="000000" w:themeColor="text1"/>
                <w:lang w:val="it-IT"/>
              </w:rPr>
              <w:t>ROSCI</w:t>
            </w:r>
            <w:r w:rsidR="00683B81" w:rsidRPr="00C56257">
              <w:rPr>
                <w:bCs/>
                <w:color w:val="000000" w:themeColor="text1"/>
                <w:lang w:val="it-IT"/>
              </w:rPr>
              <w:t>0065</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3352B16" w14:textId="77777777" w:rsidR="00683B81" w:rsidRPr="00C56257" w:rsidRDefault="00683B81" w:rsidP="00105BC5">
            <w:pPr>
              <w:jc w:val="both"/>
              <w:rPr>
                <w:color w:val="000000" w:themeColor="text1"/>
                <w:lang w:val="pt-BR"/>
              </w:rPr>
            </w:pPr>
            <w:r w:rsidRPr="00C56257">
              <w:rPr>
                <w:color w:val="000000" w:themeColor="text1"/>
                <w:lang w:val="pt-BR"/>
              </w:rPr>
              <w:t>4 ori/an</w:t>
            </w:r>
          </w:p>
        </w:tc>
        <w:tc>
          <w:tcPr>
            <w:tcW w:w="1202" w:type="dxa"/>
            <w:tcBorders>
              <w:top w:val="single" w:sz="4" w:space="0" w:color="auto"/>
              <w:left w:val="single" w:sz="4" w:space="0" w:color="auto"/>
              <w:bottom w:val="single" w:sz="4" w:space="0" w:color="auto"/>
              <w:right w:val="single" w:sz="4" w:space="0" w:color="auto"/>
            </w:tcBorders>
            <w:shd w:val="clear" w:color="auto" w:fill="auto"/>
          </w:tcPr>
          <w:p w14:paraId="59C2DB9C" w14:textId="77777777" w:rsidR="00683B81" w:rsidRPr="00C56257" w:rsidRDefault="00683B81" w:rsidP="00105BC5">
            <w:pPr>
              <w:jc w:val="both"/>
              <w:rPr>
                <w:color w:val="000000" w:themeColor="text1"/>
                <w:lang w:val="pt-BR"/>
              </w:rPr>
            </w:pPr>
            <w:r w:rsidRPr="00C56257">
              <w:rPr>
                <w:color w:val="000000" w:themeColor="text1"/>
                <w:lang w:val="pt-BR"/>
              </w:rPr>
              <w:t>mai, iunie, iulie, septembrie;</w:t>
            </w:r>
          </w:p>
        </w:tc>
        <w:tc>
          <w:tcPr>
            <w:tcW w:w="1506" w:type="dxa"/>
            <w:tcBorders>
              <w:top w:val="single" w:sz="4" w:space="0" w:color="auto"/>
              <w:left w:val="single" w:sz="4" w:space="0" w:color="auto"/>
              <w:bottom w:val="single" w:sz="4" w:space="0" w:color="auto"/>
              <w:right w:val="single" w:sz="4" w:space="0" w:color="auto"/>
            </w:tcBorders>
            <w:shd w:val="clear" w:color="auto" w:fill="auto"/>
          </w:tcPr>
          <w:p w14:paraId="236FC9D0" w14:textId="77777777" w:rsidR="00683B81" w:rsidRPr="00C56257" w:rsidRDefault="00683B81" w:rsidP="00105BC5">
            <w:pPr>
              <w:jc w:val="both"/>
              <w:rPr>
                <w:color w:val="000000" w:themeColor="text1"/>
                <w:lang w:val="pt-BR"/>
              </w:rPr>
            </w:pPr>
            <w:r w:rsidRPr="00C56257">
              <w:rPr>
                <w:color w:val="000000" w:themeColor="text1"/>
                <w:lang w:val="pt-BR"/>
              </w:rPr>
              <w:t>- observaţii directe;</w:t>
            </w:r>
          </w:p>
          <w:p w14:paraId="129DF7BF" w14:textId="77777777" w:rsidR="00683B81" w:rsidRPr="00C56257" w:rsidRDefault="00683B81" w:rsidP="00105BC5">
            <w:pPr>
              <w:jc w:val="both"/>
              <w:rPr>
                <w:color w:val="000000" w:themeColor="text1"/>
                <w:lang w:val="pt-BR"/>
              </w:rPr>
            </w:pPr>
            <w:r w:rsidRPr="00C56257">
              <w:rPr>
                <w:color w:val="000000" w:themeColor="text1"/>
                <w:lang w:val="pt-BR"/>
              </w:rPr>
              <w:t>- metoda Braun-Blanquet</w:t>
            </w:r>
          </w:p>
        </w:tc>
        <w:tc>
          <w:tcPr>
            <w:tcW w:w="1635" w:type="dxa"/>
            <w:tcBorders>
              <w:top w:val="single" w:sz="4" w:space="0" w:color="auto"/>
              <w:left w:val="single" w:sz="4" w:space="0" w:color="auto"/>
              <w:bottom w:val="single" w:sz="4" w:space="0" w:color="auto"/>
              <w:right w:val="single" w:sz="4" w:space="0" w:color="auto"/>
            </w:tcBorders>
            <w:shd w:val="clear" w:color="auto" w:fill="auto"/>
          </w:tcPr>
          <w:p w14:paraId="5136234B" w14:textId="77777777" w:rsidR="00683B81" w:rsidRPr="00C56257" w:rsidRDefault="00683B81" w:rsidP="00105BC5">
            <w:pPr>
              <w:jc w:val="both"/>
              <w:rPr>
                <w:color w:val="000000" w:themeColor="text1"/>
                <w:lang w:val="pt-BR"/>
              </w:rPr>
            </w:pPr>
            <w:r w:rsidRPr="00C56257">
              <w:rPr>
                <w:color w:val="000000" w:themeColor="text1"/>
                <w:lang w:val="pt-BR"/>
              </w:rPr>
              <w:t>Min. 10 ploturi de monitorizare/</w:t>
            </w:r>
          </w:p>
          <w:p w14:paraId="24F4C3F9" w14:textId="77777777" w:rsidR="00683B81" w:rsidRPr="00C56257" w:rsidRDefault="00683B81" w:rsidP="00105BC5">
            <w:pPr>
              <w:jc w:val="both"/>
              <w:rPr>
                <w:color w:val="000000" w:themeColor="text1"/>
                <w:lang w:val="pt-BR"/>
              </w:rPr>
            </w:pPr>
            <w:r w:rsidRPr="00C56257">
              <w:rPr>
                <w:color w:val="000000" w:themeColor="text1"/>
                <w:lang w:val="pt-BR"/>
              </w:rPr>
              <w:t>sector</w:t>
            </w:r>
          </w:p>
        </w:tc>
      </w:tr>
    </w:tbl>
    <w:p w14:paraId="1F78C2E9" w14:textId="77777777" w:rsidR="00683B81" w:rsidRDefault="00683B81" w:rsidP="00683B81">
      <w:pPr>
        <w:autoSpaceDE w:val="0"/>
        <w:autoSpaceDN w:val="0"/>
        <w:adjustRightInd w:val="0"/>
        <w:jc w:val="both"/>
        <w:rPr>
          <w:color w:val="000000" w:themeColor="text1"/>
          <w:shd w:val="clear" w:color="auto" w:fill="FFFF00"/>
        </w:rPr>
        <w:sectPr w:rsidR="00683B81" w:rsidSect="00993B86">
          <w:pgSz w:w="15840" w:h="12240" w:orient="landscape"/>
          <w:pgMar w:top="1418" w:right="811" w:bottom="760" w:left="629" w:header="720" w:footer="720" w:gutter="0"/>
          <w:cols w:space="720"/>
          <w:docGrid w:linePitch="360"/>
        </w:sectPr>
      </w:pPr>
    </w:p>
    <w:p w14:paraId="76DA26A7" w14:textId="77777777" w:rsidR="00FC026B" w:rsidRPr="00C56257" w:rsidRDefault="00FC026B" w:rsidP="00FC026B">
      <w:pPr>
        <w:autoSpaceDE w:val="0"/>
        <w:autoSpaceDN w:val="0"/>
        <w:adjustRightInd w:val="0"/>
        <w:ind w:left="142" w:hanging="142"/>
        <w:jc w:val="both"/>
        <w:rPr>
          <w:color w:val="000000" w:themeColor="text1"/>
          <w:shd w:val="clear" w:color="auto" w:fill="FFFF00"/>
          <w:lang w:val="x-none"/>
        </w:rPr>
      </w:pPr>
    </w:p>
    <w:p w14:paraId="2A09D5D9" w14:textId="77777777" w:rsidR="00FC026B" w:rsidRPr="00C56257" w:rsidRDefault="00FC026B" w:rsidP="00FC026B">
      <w:pPr>
        <w:ind w:left="142" w:hanging="142"/>
        <w:jc w:val="both"/>
        <w:rPr>
          <w:b/>
          <w:color w:val="000000" w:themeColor="text1"/>
        </w:rPr>
      </w:pPr>
      <w:r w:rsidRPr="00C56257">
        <w:rPr>
          <w:b/>
          <w:color w:val="000000" w:themeColor="text1"/>
        </w:rPr>
        <w:t>Ploturi de monitorizare în afara rețelei Natura 2000</w:t>
      </w:r>
    </w:p>
    <w:p w14:paraId="565D9F00" w14:textId="77777777" w:rsidR="00FC026B" w:rsidRPr="00C56257" w:rsidRDefault="00FC026B" w:rsidP="00FC026B">
      <w:pPr>
        <w:autoSpaceDE w:val="0"/>
        <w:autoSpaceDN w:val="0"/>
        <w:adjustRightInd w:val="0"/>
        <w:jc w:val="both"/>
        <w:rPr>
          <w:color w:val="000000" w:themeColor="text1"/>
          <w:lang w:val="x-none"/>
        </w:rPr>
      </w:pPr>
      <w:proofErr w:type="spellStart"/>
      <w:r w:rsidRPr="00C56257">
        <w:rPr>
          <w:color w:val="000000" w:themeColor="text1"/>
          <w:lang w:val="x-none"/>
        </w:rPr>
        <w:t>Sectorul</w:t>
      </w:r>
      <w:proofErr w:type="spellEnd"/>
      <w:r w:rsidRPr="00C56257">
        <w:rPr>
          <w:color w:val="000000" w:themeColor="text1"/>
          <w:lang w:val="x-none"/>
        </w:rPr>
        <w:t xml:space="preserve"> </w:t>
      </w:r>
      <w:proofErr w:type="spellStart"/>
      <w:r w:rsidRPr="00C56257">
        <w:rPr>
          <w:color w:val="000000" w:themeColor="text1"/>
          <w:lang w:val="x-none"/>
        </w:rPr>
        <w:t>românesc</w:t>
      </w:r>
      <w:proofErr w:type="spellEnd"/>
      <w:r w:rsidRPr="00C56257">
        <w:rPr>
          <w:color w:val="000000" w:themeColor="text1"/>
          <w:lang w:val="x-none"/>
        </w:rPr>
        <w:t xml:space="preserve"> (zona </w:t>
      </w:r>
      <w:proofErr w:type="spellStart"/>
      <w:r w:rsidRPr="00C56257">
        <w:rPr>
          <w:color w:val="000000" w:themeColor="text1"/>
          <w:lang w:val="x-none"/>
        </w:rPr>
        <w:t>economică</w:t>
      </w:r>
      <w:proofErr w:type="spellEnd"/>
      <w:r w:rsidRPr="00C56257">
        <w:rPr>
          <w:color w:val="000000" w:themeColor="text1"/>
          <w:lang w:val="x-none"/>
        </w:rPr>
        <w:t xml:space="preserve"> </w:t>
      </w:r>
      <w:proofErr w:type="spellStart"/>
      <w:r w:rsidRPr="00C56257">
        <w:rPr>
          <w:color w:val="000000" w:themeColor="text1"/>
          <w:lang w:val="x-none"/>
        </w:rPr>
        <w:t>exclusivă</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zona </w:t>
      </w:r>
      <w:proofErr w:type="spellStart"/>
      <w:r w:rsidRPr="00C56257">
        <w:rPr>
          <w:color w:val="000000" w:themeColor="text1"/>
          <w:lang w:val="x-none"/>
        </w:rPr>
        <w:t>costieră</w:t>
      </w:r>
      <w:proofErr w:type="spellEnd"/>
      <w:r w:rsidRPr="00C56257">
        <w:rPr>
          <w:color w:val="000000" w:themeColor="text1"/>
          <w:lang w:val="x-none"/>
        </w:rPr>
        <w:t xml:space="preserve">) al </w:t>
      </w:r>
      <w:proofErr w:type="spellStart"/>
      <w:r w:rsidRPr="00C56257">
        <w:rPr>
          <w:color w:val="000000" w:themeColor="text1"/>
          <w:lang w:val="x-none"/>
        </w:rPr>
        <w:t>bioregiunii</w:t>
      </w:r>
      <w:proofErr w:type="spellEnd"/>
      <w:r w:rsidRPr="00C56257">
        <w:rPr>
          <w:color w:val="000000" w:themeColor="text1"/>
          <w:lang w:val="x-none"/>
        </w:rPr>
        <w:t xml:space="preserve"> marine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pontice</w:t>
      </w:r>
      <w:proofErr w:type="spellEnd"/>
      <w:r w:rsidRPr="00C56257">
        <w:rPr>
          <w:color w:val="000000" w:themeColor="text1"/>
          <w:lang w:val="x-none"/>
        </w:rPr>
        <w:t xml:space="preserve"> </w:t>
      </w:r>
      <w:proofErr w:type="spellStart"/>
      <w:r w:rsidRPr="00C56257">
        <w:rPr>
          <w:color w:val="000000" w:themeColor="text1"/>
          <w:lang w:val="x-none"/>
        </w:rPr>
        <w:t>este</w:t>
      </w:r>
      <w:proofErr w:type="spellEnd"/>
      <w:r w:rsidRPr="00C56257">
        <w:rPr>
          <w:color w:val="000000" w:themeColor="text1"/>
          <w:lang w:val="x-none"/>
        </w:rPr>
        <w:t xml:space="preserve"> </w:t>
      </w:r>
      <w:proofErr w:type="spellStart"/>
      <w:r w:rsidRPr="00C56257">
        <w:rPr>
          <w:color w:val="000000" w:themeColor="text1"/>
          <w:lang w:val="x-none"/>
        </w:rPr>
        <w:t>acoperit</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proporţie</w:t>
      </w:r>
      <w:proofErr w:type="spellEnd"/>
      <w:r w:rsidRPr="00C56257">
        <w:rPr>
          <w:color w:val="000000" w:themeColor="text1"/>
          <w:lang w:val="x-none"/>
        </w:rPr>
        <w:t xml:space="preserve"> de ~ 25% de </w:t>
      </w:r>
      <w:proofErr w:type="spellStart"/>
      <w:r w:rsidRPr="00C56257">
        <w:rPr>
          <w:color w:val="000000" w:themeColor="text1"/>
          <w:lang w:val="x-none"/>
        </w:rPr>
        <w:t>situri</w:t>
      </w:r>
      <w:proofErr w:type="spellEnd"/>
      <w:r w:rsidRPr="00C56257">
        <w:rPr>
          <w:color w:val="000000" w:themeColor="text1"/>
          <w:lang w:val="x-none"/>
        </w:rPr>
        <w:t xml:space="preserve"> Natura 2000. </w:t>
      </w:r>
      <w:proofErr w:type="spellStart"/>
      <w:r w:rsidRPr="00C56257">
        <w:rPr>
          <w:color w:val="000000" w:themeColor="text1"/>
          <w:lang w:val="x-none"/>
        </w:rPr>
        <w:t>Ţinând</w:t>
      </w:r>
      <w:proofErr w:type="spellEnd"/>
      <w:r w:rsidRPr="00C56257">
        <w:rPr>
          <w:color w:val="000000" w:themeColor="text1"/>
          <w:lang w:val="x-none"/>
        </w:rPr>
        <w:t xml:space="preserve"> </w:t>
      </w:r>
      <w:proofErr w:type="spellStart"/>
      <w:r w:rsidRPr="00C56257">
        <w:rPr>
          <w:color w:val="000000" w:themeColor="text1"/>
          <w:lang w:val="x-none"/>
        </w:rPr>
        <w:t>cont</w:t>
      </w:r>
      <w:proofErr w:type="spellEnd"/>
      <w:r w:rsidRPr="00C56257">
        <w:rPr>
          <w:color w:val="000000" w:themeColor="text1"/>
          <w:lang w:val="x-none"/>
        </w:rPr>
        <w:t xml:space="preserve"> de </w:t>
      </w:r>
      <w:proofErr w:type="spellStart"/>
      <w:r w:rsidRPr="00C56257">
        <w:rPr>
          <w:color w:val="000000" w:themeColor="text1"/>
          <w:lang w:val="x-none"/>
        </w:rPr>
        <w:t>distribuţia</w:t>
      </w:r>
      <w:proofErr w:type="spellEnd"/>
      <w:r w:rsidRPr="00C56257">
        <w:rPr>
          <w:color w:val="000000" w:themeColor="text1"/>
          <w:lang w:val="x-none"/>
        </w:rPr>
        <w:t xml:space="preserve"> </w:t>
      </w:r>
      <w:proofErr w:type="spellStart"/>
      <w:r w:rsidRPr="00C56257">
        <w:rPr>
          <w:color w:val="000000" w:themeColor="text1"/>
          <w:lang w:val="x-none"/>
        </w:rPr>
        <w:t>habitatelor</w:t>
      </w:r>
      <w:proofErr w:type="spellEnd"/>
      <w:r w:rsidRPr="00C56257">
        <w:rPr>
          <w:color w:val="000000" w:themeColor="text1"/>
          <w:lang w:val="x-none"/>
        </w:rPr>
        <w:t xml:space="preserve"> de </w:t>
      </w:r>
      <w:proofErr w:type="spellStart"/>
      <w:r w:rsidRPr="00C56257">
        <w:rPr>
          <w:color w:val="000000" w:themeColor="text1"/>
          <w:lang w:val="x-none"/>
        </w:rPr>
        <w:t>interes</w:t>
      </w:r>
      <w:proofErr w:type="spellEnd"/>
      <w:r w:rsidRPr="00C56257">
        <w:rPr>
          <w:color w:val="000000" w:themeColor="text1"/>
          <w:lang w:val="x-none"/>
        </w:rPr>
        <w:t xml:space="preserve"> </w:t>
      </w:r>
      <w:proofErr w:type="spellStart"/>
      <w:r w:rsidRPr="00C56257">
        <w:rPr>
          <w:color w:val="000000" w:themeColor="text1"/>
          <w:lang w:val="x-none"/>
        </w:rPr>
        <w:t>comunitar</w:t>
      </w:r>
      <w:proofErr w:type="spellEnd"/>
      <w:r w:rsidRPr="00C56257">
        <w:rPr>
          <w:color w:val="000000" w:themeColor="text1"/>
          <w:lang w:val="x-none"/>
        </w:rPr>
        <w:t xml:space="preserve"> la </w:t>
      </w:r>
      <w:proofErr w:type="spellStart"/>
      <w:r w:rsidRPr="00C56257">
        <w:rPr>
          <w:color w:val="000000" w:themeColor="text1"/>
          <w:lang w:val="x-none"/>
        </w:rPr>
        <w:t>nivelul</w:t>
      </w:r>
      <w:proofErr w:type="spellEnd"/>
      <w:r w:rsidRPr="00C56257">
        <w:rPr>
          <w:color w:val="000000" w:themeColor="text1"/>
          <w:lang w:val="x-none"/>
        </w:rPr>
        <w:t xml:space="preserve"> </w:t>
      </w:r>
      <w:proofErr w:type="spellStart"/>
      <w:r w:rsidRPr="00C56257">
        <w:rPr>
          <w:color w:val="000000" w:themeColor="text1"/>
          <w:lang w:val="x-none"/>
        </w:rPr>
        <w:t>bioregiunii</w:t>
      </w:r>
      <w:proofErr w:type="spellEnd"/>
      <w:r w:rsidRPr="00C56257">
        <w:rPr>
          <w:color w:val="000000" w:themeColor="text1"/>
          <w:lang w:val="x-none"/>
        </w:rPr>
        <w:t xml:space="preserve"> (</w:t>
      </w:r>
      <w:proofErr w:type="spellStart"/>
      <w:r w:rsidRPr="00C56257">
        <w:rPr>
          <w:color w:val="000000" w:themeColor="text1"/>
          <w:lang w:val="x-none"/>
        </w:rPr>
        <w:t>până</w:t>
      </w:r>
      <w:proofErr w:type="spellEnd"/>
      <w:r w:rsidRPr="00C56257">
        <w:rPr>
          <w:color w:val="000000" w:themeColor="text1"/>
          <w:lang w:val="x-none"/>
        </w:rPr>
        <w:t xml:space="preserve"> la </w:t>
      </w:r>
      <w:proofErr w:type="spellStart"/>
      <w:r w:rsidRPr="00C56257">
        <w:rPr>
          <w:color w:val="000000" w:themeColor="text1"/>
          <w:lang w:val="x-none"/>
        </w:rPr>
        <w:t>adâncimea</w:t>
      </w:r>
      <w:proofErr w:type="spellEnd"/>
      <w:r w:rsidRPr="00C56257">
        <w:rPr>
          <w:color w:val="000000" w:themeColor="text1"/>
          <w:lang w:val="x-none"/>
        </w:rPr>
        <w:t xml:space="preserve"> de </w:t>
      </w:r>
      <w:proofErr w:type="spellStart"/>
      <w:r w:rsidRPr="00C56257">
        <w:rPr>
          <w:color w:val="000000" w:themeColor="text1"/>
          <w:lang w:val="x-none"/>
        </w:rPr>
        <w:t>aproximativ</w:t>
      </w:r>
      <w:proofErr w:type="spellEnd"/>
      <w:r w:rsidRPr="00C56257">
        <w:rPr>
          <w:color w:val="000000" w:themeColor="text1"/>
          <w:lang w:val="x-none"/>
        </w:rPr>
        <w:t xml:space="preserve"> 60-70 m, </w:t>
      </w:r>
      <w:proofErr w:type="spellStart"/>
      <w:r w:rsidRPr="00C56257">
        <w:rPr>
          <w:color w:val="000000" w:themeColor="text1"/>
          <w:lang w:val="x-none"/>
        </w:rPr>
        <w:t>excepţie</w:t>
      </w:r>
      <w:proofErr w:type="spellEnd"/>
      <w:r w:rsidRPr="00C56257">
        <w:rPr>
          <w:color w:val="000000" w:themeColor="text1"/>
          <w:lang w:val="x-none"/>
        </w:rPr>
        <w:t xml:space="preserve"> </w:t>
      </w:r>
      <w:proofErr w:type="spellStart"/>
      <w:r w:rsidRPr="00C56257">
        <w:rPr>
          <w:color w:val="000000" w:themeColor="text1"/>
          <w:lang w:val="x-none"/>
        </w:rPr>
        <w:t>făcând</w:t>
      </w:r>
      <w:proofErr w:type="spellEnd"/>
      <w:r w:rsidRPr="00C56257">
        <w:rPr>
          <w:color w:val="000000" w:themeColor="text1"/>
          <w:lang w:val="x-none"/>
        </w:rPr>
        <w:t xml:space="preserve"> </w:t>
      </w:r>
      <w:proofErr w:type="spellStart"/>
      <w:r w:rsidRPr="00C56257">
        <w:rPr>
          <w:color w:val="000000" w:themeColor="text1"/>
          <w:lang w:val="x-none"/>
        </w:rPr>
        <w:t>habitatul</w:t>
      </w:r>
      <w:proofErr w:type="spellEnd"/>
      <w:r w:rsidRPr="00C56257">
        <w:rPr>
          <w:color w:val="000000" w:themeColor="text1"/>
          <w:lang w:val="x-none"/>
        </w:rPr>
        <w:t xml:space="preserve"> 1180 – </w:t>
      </w:r>
      <w:proofErr w:type="spellStart"/>
      <w:r w:rsidRPr="00C56257">
        <w:rPr>
          <w:color w:val="000000" w:themeColor="text1"/>
          <w:lang w:val="x-none"/>
        </w:rPr>
        <w:t>Structuri</w:t>
      </w:r>
      <w:proofErr w:type="spellEnd"/>
      <w:r w:rsidRPr="00C56257">
        <w:rPr>
          <w:color w:val="000000" w:themeColor="text1"/>
          <w:lang w:val="x-none"/>
        </w:rPr>
        <w:t xml:space="preserve"> submarine create de </w:t>
      </w:r>
      <w:proofErr w:type="spellStart"/>
      <w:r w:rsidRPr="00C56257">
        <w:rPr>
          <w:color w:val="000000" w:themeColor="text1"/>
          <w:lang w:val="x-none"/>
        </w:rPr>
        <w:t>emisii</w:t>
      </w:r>
      <w:proofErr w:type="spellEnd"/>
      <w:r w:rsidRPr="00C56257">
        <w:rPr>
          <w:color w:val="000000" w:themeColor="text1"/>
          <w:lang w:val="x-none"/>
        </w:rPr>
        <w:t xml:space="preserve"> de gaze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parţial</w:t>
      </w:r>
      <w:proofErr w:type="spellEnd"/>
      <w:r w:rsidRPr="00C56257">
        <w:rPr>
          <w:color w:val="000000" w:themeColor="text1"/>
          <w:lang w:val="x-none"/>
        </w:rPr>
        <w:t xml:space="preserve"> 1170 – </w:t>
      </w:r>
      <w:proofErr w:type="spellStart"/>
      <w:r w:rsidRPr="00C56257">
        <w:rPr>
          <w:color w:val="000000" w:themeColor="text1"/>
          <w:lang w:val="x-none"/>
        </w:rPr>
        <w:t>Recifi</w:t>
      </w:r>
      <w:proofErr w:type="spellEnd"/>
      <w:r w:rsidRPr="00C56257">
        <w:rPr>
          <w:color w:val="000000" w:themeColor="text1"/>
          <w:lang w:val="x-none"/>
        </w:rPr>
        <w:t xml:space="preserve">, care conform </w:t>
      </w:r>
      <w:proofErr w:type="spellStart"/>
      <w:r w:rsidRPr="00C56257">
        <w:rPr>
          <w:color w:val="000000" w:themeColor="text1"/>
          <w:lang w:val="x-none"/>
        </w:rPr>
        <w:t>fi</w:t>
      </w:r>
      <w:r w:rsidRPr="00C56257">
        <w:rPr>
          <w:color w:val="000000" w:themeColor="text1"/>
        </w:rPr>
        <w:t>ș</w:t>
      </w:r>
      <w:r w:rsidRPr="00C56257">
        <w:rPr>
          <w:color w:val="000000" w:themeColor="text1"/>
          <w:lang w:val="x-none"/>
        </w:rPr>
        <w:t>elor</w:t>
      </w:r>
      <w:proofErr w:type="spellEnd"/>
      <w:r w:rsidRPr="00C56257">
        <w:rPr>
          <w:color w:val="000000" w:themeColor="text1"/>
          <w:lang w:val="x-none"/>
        </w:rPr>
        <w:t xml:space="preserve"> standard Natura 2000 se </w:t>
      </w:r>
      <w:proofErr w:type="spellStart"/>
      <w:r w:rsidRPr="00C56257">
        <w:rPr>
          <w:color w:val="000000" w:themeColor="text1"/>
          <w:lang w:val="x-none"/>
        </w:rPr>
        <w:t>regăsesc</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situl</w:t>
      </w:r>
      <w:proofErr w:type="spellEnd"/>
      <w:r w:rsidRPr="00C56257">
        <w:rPr>
          <w:color w:val="000000" w:themeColor="text1"/>
          <w:lang w:val="x-none"/>
        </w:rPr>
        <w:t xml:space="preserve"> ROSCI0</w:t>
      </w:r>
      <w:r w:rsidRPr="00C56257">
        <w:rPr>
          <w:color w:val="000000" w:themeColor="text1"/>
        </w:rPr>
        <w:t>3</w:t>
      </w:r>
      <w:r w:rsidRPr="00C56257">
        <w:rPr>
          <w:color w:val="000000" w:themeColor="text1"/>
          <w:lang w:val="x-none"/>
        </w:rPr>
        <w:t xml:space="preserve">11 </w:t>
      </w:r>
      <w:proofErr w:type="spellStart"/>
      <w:r w:rsidRPr="00C56257">
        <w:rPr>
          <w:color w:val="000000" w:themeColor="text1"/>
          <w:lang w:val="x-none"/>
        </w:rPr>
        <w:t>Canionul</w:t>
      </w:r>
      <w:proofErr w:type="spellEnd"/>
      <w:r w:rsidRPr="00C56257">
        <w:rPr>
          <w:color w:val="000000" w:themeColor="text1"/>
          <w:lang w:val="x-none"/>
        </w:rPr>
        <w:t xml:space="preserve"> </w:t>
      </w:r>
      <w:proofErr w:type="spellStart"/>
      <w:r w:rsidRPr="00C56257">
        <w:rPr>
          <w:color w:val="000000" w:themeColor="text1"/>
          <w:lang w:val="x-none"/>
        </w:rPr>
        <w:t>Viteaz</w:t>
      </w:r>
      <w:proofErr w:type="spellEnd"/>
      <w:r w:rsidRPr="00C56257">
        <w:rPr>
          <w:color w:val="000000" w:themeColor="text1"/>
          <w:lang w:val="x-none"/>
        </w:rPr>
        <w:t xml:space="preserve"> la </w:t>
      </w:r>
      <w:proofErr w:type="spellStart"/>
      <w:r w:rsidRPr="00C56257">
        <w:rPr>
          <w:color w:val="000000" w:themeColor="text1"/>
          <w:lang w:val="x-none"/>
        </w:rPr>
        <w:t>peste</w:t>
      </w:r>
      <w:proofErr w:type="spellEnd"/>
      <w:r w:rsidRPr="00C56257">
        <w:rPr>
          <w:color w:val="000000" w:themeColor="text1"/>
          <w:lang w:val="x-none"/>
        </w:rPr>
        <w:t xml:space="preserve"> 100 m </w:t>
      </w:r>
      <w:proofErr w:type="spellStart"/>
      <w:r w:rsidRPr="00C56257">
        <w:rPr>
          <w:color w:val="000000" w:themeColor="text1"/>
          <w:lang w:val="x-none"/>
        </w:rPr>
        <w:t>adâncime</w:t>
      </w:r>
      <w:proofErr w:type="spellEnd"/>
      <w:r w:rsidRPr="00C56257">
        <w:rPr>
          <w:color w:val="000000" w:themeColor="text1"/>
          <w:lang w:val="x-none"/>
        </w:rPr>
        <w:t xml:space="preserve">), </w:t>
      </w:r>
      <w:proofErr w:type="spellStart"/>
      <w:r w:rsidRPr="00C56257">
        <w:rPr>
          <w:color w:val="000000" w:themeColor="text1"/>
          <w:lang w:val="x-none"/>
        </w:rPr>
        <w:t>acestea</w:t>
      </w:r>
      <w:proofErr w:type="spellEnd"/>
      <w:r w:rsidRPr="00C56257">
        <w:rPr>
          <w:color w:val="000000" w:themeColor="text1"/>
          <w:lang w:val="x-none"/>
        </w:rPr>
        <w:t xml:space="preserve"> sunt </w:t>
      </w:r>
      <w:proofErr w:type="spellStart"/>
      <w:r w:rsidRPr="00C56257">
        <w:rPr>
          <w:color w:val="000000" w:themeColor="text1"/>
          <w:lang w:val="x-none"/>
        </w:rPr>
        <w:t>acoperite</w:t>
      </w:r>
      <w:proofErr w:type="spellEnd"/>
      <w:r w:rsidRPr="00C56257">
        <w:rPr>
          <w:color w:val="000000" w:themeColor="text1"/>
          <w:lang w:val="x-none"/>
        </w:rPr>
        <w:t xml:space="preserve"> de </w:t>
      </w:r>
      <w:proofErr w:type="spellStart"/>
      <w:r w:rsidRPr="00C56257">
        <w:rPr>
          <w:color w:val="000000" w:themeColor="text1"/>
          <w:lang w:val="x-none"/>
        </w:rPr>
        <w:t>reţeaua</w:t>
      </w:r>
      <w:proofErr w:type="spellEnd"/>
      <w:r w:rsidRPr="00C56257">
        <w:rPr>
          <w:color w:val="000000" w:themeColor="text1"/>
          <w:lang w:val="x-none"/>
        </w:rPr>
        <w:t xml:space="preserve"> Natura 2000, </w:t>
      </w:r>
      <w:proofErr w:type="spellStart"/>
      <w:r w:rsidRPr="00C56257">
        <w:rPr>
          <w:color w:val="000000" w:themeColor="text1"/>
          <w:lang w:val="x-none"/>
        </w:rPr>
        <w:t>astfel</w:t>
      </w:r>
      <w:proofErr w:type="spellEnd"/>
      <w:r w:rsidRPr="00C56257">
        <w:rPr>
          <w:color w:val="000000" w:themeColor="text1"/>
          <w:lang w:val="x-none"/>
        </w:rPr>
        <w:t xml:space="preserve"> </w:t>
      </w:r>
      <w:proofErr w:type="spellStart"/>
      <w:r w:rsidRPr="00C56257">
        <w:rPr>
          <w:color w:val="000000" w:themeColor="text1"/>
          <w:lang w:val="x-none"/>
        </w:rPr>
        <w:t>încât</w:t>
      </w:r>
      <w:proofErr w:type="spellEnd"/>
      <w:r w:rsidRPr="00C56257">
        <w:rPr>
          <w:color w:val="000000" w:themeColor="text1"/>
          <w:lang w:val="x-none"/>
        </w:rPr>
        <w:t xml:space="preserve"> </w:t>
      </w:r>
      <w:proofErr w:type="spellStart"/>
      <w:r w:rsidRPr="00C56257">
        <w:rPr>
          <w:color w:val="000000" w:themeColor="text1"/>
          <w:lang w:val="x-none"/>
        </w:rPr>
        <w:t>majoritatea</w:t>
      </w:r>
      <w:proofErr w:type="spellEnd"/>
      <w:r w:rsidRPr="00C56257">
        <w:rPr>
          <w:color w:val="000000" w:themeColor="text1"/>
          <w:lang w:val="x-none"/>
        </w:rPr>
        <w:t xml:space="preserve"> </w:t>
      </w:r>
      <w:proofErr w:type="spellStart"/>
      <w:r w:rsidRPr="00C56257">
        <w:rPr>
          <w:color w:val="000000" w:themeColor="text1"/>
          <w:lang w:val="x-none"/>
        </w:rPr>
        <w:t>ploturilor</w:t>
      </w:r>
      <w:proofErr w:type="spellEnd"/>
      <w:r w:rsidRPr="00C56257">
        <w:rPr>
          <w:color w:val="000000" w:themeColor="text1"/>
          <w:lang w:val="x-none"/>
        </w:rPr>
        <w:t xml:space="preserve"> de </w:t>
      </w:r>
      <w:proofErr w:type="spellStart"/>
      <w:r w:rsidRPr="00C56257">
        <w:rPr>
          <w:color w:val="000000" w:themeColor="text1"/>
          <w:lang w:val="x-none"/>
        </w:rPr>
        <w:t>monitorizare</w:t>
      </w:r>
      <w:proofErr w:type="spellEnd"/>
      <w:r w:rsidRPr="00C56257">
        <w:rPr>
          <w:color w:val="000000" w:themeColor="text1"/>
          <w:lang w:val="x-none"/>
        </w:rPr>
        <w:t xml:space="preserve"> </w:t>
      </w:r>
      <w:r w:rsidRPr="00C56257">
        <w:rPr>
          <w:color w:val="000000" w:themeColor="text1"/>
        </w:rPr>
        <w:t>sunt</w:t>
      </w:r>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cadrul</w:t>
      </w:r>
      <w:proofErr w:type="spellEnd"/>
      <w:r w:rsidRPr="00C56257">
        <w:rPr>
          <w:color w:val="000000" w:themeColor="text1"/>
          <w:lang w:val="x-none"/>
        </w:rPr>
        <w:t xml:space="preserve"> </w:t>
      </w:r>
      <w:proofErr w:type="spellStart"/>
      <w:r w:rsidRPr="00C56257">
        <w:rPr>
          <w:color w:val="000000" w:themeColor="text1"/>
          <w:lang w:val="x-none"/>
        </w:rPr>
        <w:t>siturilor</w:t>
      </w:r>
      <w:proofErr w:type="spellEnd"/>
      <w:r w:rsidRPr="00C56257">
        <w:rPr>
          <w:color w:val="000000" w:themeColor="text1"/>
          <w:lang w:val="x-none"/>
        </w:rPr>
        <w:t xml:space="preserve">. </w:t>
      </w:r>
      <w:proofErr w:type="spellStart"/>
      <w:r w:rsidRPr="00C56257">
        <w:rPr>
          <w:color w:val="000000" w:themeColor="text1"/>
          <w:lang w:val="x-none"/>
        </w:rPr>
        <w:t>Ploturile</w:t>
      </w:r>
      <w:proofErr w:type="spellEnd"/>
      <w:r w:rsidRPr="00C56257">
        <w:rPr>
          <w:color w:val="000000" w:themeColor="text1"/>
          <w:lang w:val="x-none"/>
        </w:rPr>
        <w:t xml:space="preserve"> de </w:t>
      </w:r>
      <w:proofErr w:type="spellStart"/>
      <w:r w:rsidRPr="00C56257">
        <w:rPr>
          <w:color w:val="000000" w:themeColor="text1"/>
          <w:lang w:val="x-none"/>
        </w:rPr>
        <w:t>monitorizare</w:t>
      </w:r>
      <w:proofErr w:type="spellEnd"/>
      <w:r w:rsidRPr="00C56257">
        <w:rPr>
          <w:color w:val="000000" w:themeColor="text1"/>
          <w:lang w:val="x-none"/>
        </w:rPr>
        <w:t xml:space="preserve"> din afar</w:t>
      </w:r>
      <w:r w:rsidRPr="00C56257">
        <w:rPr>
          <w:color w:val="000000" w:themeColor="text1"/>
        </w:rPr>
        <w:t>a</w:t>
      </w:r>
      <w:r w:rsidRPr="00C56257">
        <w:rPr>
          <w:color w:val="000000" w:themeColor="text1"/>
          <w:lang w:val="x-none"/>
        </w:rPr>
        <w:t xml:space="preserve"> </w:t>
      </w:r>
      <w:proofErr w:type="spellStart"/>
      <w:r w:rsidRPr="00C56257">
        <w:rPr>
          <w:color w:val="000000" w:themeColor="text1"/>
          <w:lang w:val="x-none"/>
        </w:rPr>
        <w:t>reţelei</w:t>
      </w:r>
      <w:proofErr w:type="spellEnd"/>
      <w:r w:rsidRPr="00C56257">
        <w:rPr>
          <w:color w:val="000000" w:themeColor="text1"/>
          <w:lang w:val="x-none"/>
        </w:rPr>
        <w:t xml:space="preserve"> Natura 2000 </w:t>
      </w:r>
      <w:r w:rsidRPr="00C56257">
        <w:rPr>
          <w:color w:val="000000" w:themeColor="text1"/>
        </w:rPr>
        <w:t xml:space="preserve">se </w:t>
      </w:r>
      <w:r w:rsidRPr="00C56257">
        <w:rPr>
          <w:color w:val="000000" w:themeColor="text1"/>
          <w:lang w:val="x-none"/>
        </w:rPr>
        <w:t xml:space="preserve"> </w:t>
      </w:r>
      <w:proofErr w:type="spellStart"/>
      <w:r w:rsidRPr="00C56257">
        <w:rPr>
          <w:color w:val="000000" w:themeColor="text1"/>
          <w:lang w:val="x-none"/>
        </w:rPr>
        <w:t>select</w:t>
      </w:r>
      <w:r w:rsidRPr="00C56257">
        <w:rPr>
          <w:color w:val="000000" w:themeColor="text1"/>
        </w:rPr>
        <w:t>ează</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funcţie</w:t>
      </w:r>
      <w:proofErr w:type="spellEnd"/>
      <w:r w:rsidRPr="00C56257">
        <w:rPr>
          <w:color w:val="000000" w:themeColor="text1"/>
          <w:lang w:val="x-none"/>
        </w:rPr>
        <w:t xml:space="preserve"> de </w:t>
      </w:r>
      <w:proofErr w:type="spellStart"/>
      <w:r w:rsidRPr="00C56257">
        <w:rPr>
          <w:color w:val="000000" w:themeColor="text1"/>
          <w:lang w:val="x-none"/>
        </w:rPr>
        <w:t>distribuţia</w:t>
      </w:r>
      <w:proofErr w:type="spellEnd"/>
      <w:r w:rsidRPr="00C56257">
        <w:rPr>
          <w:color w:val="000000" w:themeColor="text1"/>
          <w:lang w:val="x-none"/>
        </w:rPr>
        <w:t xml:space="preserve"> </w:t>
      </w:r>
      <w:proofErr w:type="spellStart"/>
      <w:r w:rsidRPr="00C56257">
        <w:rPr>
          <w:color w:val="000000" w:themeColor="text1"/>
          <w:lang w:val="x-none"/>
        </w:rPr>
        <w:t>habitatelor</w:t>
      </w:r>
      <w:proofErr w:type="spellEnd"/>
      <w:r w:rsidRPr="00C56257">
        <w:rPr>
          <w:color w:val="000000" w:themeColor="text1"/>
          <w:lang w:val="x-none"/>
        </w:rPr>
        <w:t xml:space="preserve"> </w:t>
      </w:r>
      <w:proofErr w:type="spellStart"/>
      <w:r w:rsidRPr="00C56257">
        <w:rPr>
          <w:color w:val="000000" w:themeColor="text1"/>
          <w:lang w:val="x-none"/>
        </w:rPr>
        <w:t>urmărindu</w:t>
      </w:r>
      <w:proofErr w:type="spellEnd"/>
      <w:r w:rsidRPr="00C56257">
        <w:rPr>
          <w:color w:val="000000" w:themeColor="text1"/>
          <w:lang w:val="x-none"/>
        </w:rPr>
        <w:t xml:space="preserve">-se o </w:t>
      </w:r>
      <w:proofErr w:type="spellStart"/>
      <w:r w:rsidRPr="00C56257">
        <w:rPr>
          <w:color w:val="000000" w:themeColor="text1"/>
          <w:lang w:val="x-none"/>
        </w:rPr>
        <w:t>acoperire</w:t>
      </w:r>
      <w:proofErr w:type="spellEnd"/>
      <w:r w:rsidRPr="00C56257">
        <w:rPr>
          <w:color w:val="000000" w:themeColor="text1"/>
          <w:lang w:val="x-none"/>
        </w:rPr>
        <w:t xml:space="preserve"> </w:t>
      </w:r>
      <w:proofErr w:type="spellStart"/>
      <w:r w:rsidRPr="00C56257">
        <w:rPr>
          <w:color w:val="000000" w:themeColor="text1"/>
          <w:lang w:val="x-none"/>
        </w:rPr>
        <w:t>cât</w:t>
      </w:r>
      <w:proofErr w:type="spellEnd"/>
      <w:r w:rsidRPr="00C56257">
        <w:rPr>
          <w:color w:val="000000" w:themeColor="text1"/>
          <w:lang w:val="x-none"/>
        </w:rPr>
        <w:t xml:space="preserve"> </w:t>
      </w:r>
      <w:proofErr w:type="spellStart"/>
      <w:r w:rsidRPr="00C56257">
        <w:rPr>
          <w:color w:val="000000" w:themeColor="text1"/>
          <w:lang w:val="x-none"/>
        </w:rPr>
        <w:t>mai</w:t>
      </w:r>
      <w:proofErr w:type="spellEnd"/>
      <w:r w:rsidRPr="00C56257">
        <w:rPr>
          <w:color w:val="000000" w:themeColor="text1"/>
          <w:lang w:val="x-none"/>
        </w:rPr>
        <w:t xml:space="preserve"> </w:t>
      </w:r>
      <w:proofErr w:type="spellStart"/>
      <w:r w:rsidRPr="00C56257">
        <w:rPr>
          <w:color w:val="000000" w:themeColor="text1"/>
          <w:lang w:val="x-none"/>
        </w:rPr>
        <w:t>completă</w:t>
      </w:r>
      <w:proofErr w:type="spellEnd"/>
      <w:r w:rsidRPr="00C56257">
        <w:rPr>
          <w:color w:val="000000" w:themeColor="text1"/>
          <w:lang w:val="x-none"/>
        </w:rPr>
        <w:t xml:space="preserve"> la </w:t>
      </w:r>
      <w:proofErr w:type="spellStart"/>
      <w:r w:rsidRPr="00C56257">
        <w:rPr>
          <w:color w:val="000000" w:themeColor="text1"/>
          <w:lang w:val="x-none"/>
        </w:rPr>
        <w:t>nivelul</w:t>
      </w:r>
      <w:proofErr w:type="spellEnd"/>
      <w:r w:rsidRPr="00C56257">
        <w:rPr>
          <w:color w:val="000000" w:themeColor="text1"/>
          <w:lang w:val="x-none"/>
        </w:rPr>
        <w:t xml:space="preserve"> </w:t>
      </w:r>
      <w:proofErr w:type="spellStart"/>
      <w:r w:rsidRPr="00C56257">
        <w:rPr>
          <w:color w:val="000000" w:themeColor="text1"/>
          <w:lang w:val="x-none"/>
        </w:rPr>
        <w:t>sectorului</w:t>
      </w:r>
      <w:proofErr w:type="spellEnd"/>
      <w:r w:rsidRPr="00C56257">
        <w:rPr>
          <w:color w:val="000000" w:themeColor="text1"/>
          <w:lang w:val="x-none"/>
        </w:rPr>
        <w:t xml:space="preserve"> </w:t>
      </w:r>
      <w:proofErr w:type="spellStart"/>
      <w:r w:rsidRPr="00C56257">
        <w:rPr>
          <w:color w:val="000000" w:themeColor="text1"/>
          <w:lang w:val="x-none"/>
        </w:rPr>
        <w:t>marin</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costier</w:t>
      </w:r>
      <w:proofErr w:type="spellEnd"/>
      <w:r w:rsidRPr="00C56257">
        <w:rPr>
          <w:color w:val="000000" w:themeColor="text1"/>
          <w:lang w:val="x-none"/>
        </w:rPr>
        <w:t xml:space="preserve"> </w:t>
      </w:r>
      <w:proofErr w:type="spellStart"/>
      <w:r w:rsidRPr="00C56257">
        <w:rPr>
          <w:color w:val="000000" w:themeColor="text1"/>
          <w:lang w:val="x-none"/>
        </w:rPr>
        <w:t>românesc</w:t>
      </w:r>
      <w:proofErr w:type="spellEnd"/>
      <w:r w:rsidRPr="00C56257">
        <w:rPr>
          <w:color w:val="000000" w:themeColor="text1"/>
          <w:lang w:val="x-none"/>
        </w:rPr>
        <w:t xml:space="preserve">. </w:t>
      </w:r>
    </w:p>
    <w:p w14:paraId="60A9B38A" w14:textId="77777777" w:rsidR="00FC026B" w:rsidRPr="003D35AA" w:rsidRDefault="00FC026B" w:rsidP="00FC026B">
      <w:pPr>
        <w:autoSpaceDE w:val="0"/>
        <w:autoSpaceDN w:val="0"/>
        <w:adjustRightInd w:val="0"/>
        <w:ind w:hanging="142"/>
        <w:jc w:val="both"/>
        <w:rPr>
          <w:color w:val="000000" w:themeColor="text1"/>
          <w:lang w:val="x-none"/>
        </w:rPr>
      </w:pPr>
      <w:r w:rsidRPr="003D35AA">
        <w:rPr>
          <w:color w:val="000000" w:themeColor="text1"/>
          <w:lang w:val="x-none"/>
        </w:rPr>
        <w:t xml:space="preserve"> </w:t>
      </w:r>
    </w:p>
    <w:p w14:paraId="6959AE97" w14:textId="77777777" w:rsidR="00FB2A0C" w:rsidRPr="003D35AA" w:rsidRDefault="00FB2A0C" w:rsidP="00FB2A0C">
      <w:pPr>
        <w:spacing w:before="120" w:after="120" w:line="276" w:lineRule="auto"/>
        <w:jc w:val="both"/>
        <w:rPr>
          <w:b/>
          <w:bCs/>
          <w:color w:val="000000" w:themeColor="text1"/>
          <w:lang w:eastAsia="sk-SK"/>
        </w:rPr>
      </w:pPr>
      <w:r w:rsidRPr="003D35AA">
        <w:rPr>
          <w:b/>
          <w:bCs/>
          <w:color w:val="000000" w:themeColor="text1"/>
          <w:lang w:eastAsia="sk-SK"/>
        </w:rPr>
        <w:t>Structura și funcțiile habitatelor</w:t>
      </w:r>
    </w:p>
    <w:p w14:paraId="308BC18E" w14:textId="77777777" w:rsidR="00FB2A0C" w:rsidRPr="003D35AA" w:rsidRDefault="00FB2A0C" w:rsidP="00FB2A0C">
      <w:pPr>
        <w:autoSpaceDE w:val="0"/>
        <w:autoSpaceDN w:val="0"/>
        <w:adjustRightInd w:val="0"/>
        <w:ind w:firstLine="720"/>
        <w:jc w:val="both"/>
        <w:rPr>
          <w:color w:val="000000" w:themeColor="text1"/>
          <w:lang w:val="x-none"/>
        </w:rPr>
      </w:pPr>
      <w:proofErr w:type="spellStart"/>
      <w:r w:rsidRPr="003D35AA">
        <w:rPr>
          <w:color w:val="000000" w:themeColor="text1"/>
          <w:lang w:val="x-none"/>
        </w:rPr>
        <w:t>Structurile</w:t>
      </w:r>
      <w:proofErr w:type="spellEnd"/>
      <w:r w:rsidRPr="003D35AA">
        <w:rPr>
          <w:color w:val="000000" w:themeColor="text1"/>
          <w:lang w:val="x-none"/>
        </w:rPr>
        <w:t xml:space="preserve"> sunt considerate a fi </w:t>
      </w:r>
      <w:proofErr w:type="spellStart"/>
      <w:r w:rsidRPr="003D35AA">
        <w:rPr>
          <w:color w:val="000000" w:themeColor="text1"/>
          <w:lang w:val="x-none"/>
        </w:rPr>
        <w:t>componentele</w:t>
      </w:r>
      <w:proofErr w:type="spellEnd"/>
      <w:r w:rsidRPr="003D35AA">
        <w:rPr>
          <w:color w:val="000000" w:themeColor="text1"/>
          <w:lang w:val="x-none"/>
        </w:rPr>
        <w:t xml:space="preserve"> </w:t>
      </w:r>
      <w:proofErr w:type="spellStart"/>
      <w:r w:rsidRPr="003D35AA">
        <w:rPr>
          <w:color w:val="000000" w:themeColor="text1"/>
          <w:lang w:val="x-none"/>
        </w:rPr>
        <w:t>fizice</w:t>
      </w:r>
      <w:proofErr w:type="spellEnd"/>
      <w:r w:rsidRPr="003D35AA">
        <w:rPr>
          <w:color w:val="000000" w:themeColor="text1"/>
          <w:lang w:val="x-none"/>
        </w:rPr>
        <w:t xml:space="preserve"> ale </w:t>
      </w:r>
      <w:proofErr w:type="spellStart"/>
      <w:r w:rsidRPr="003D35AA">
        <w:rPr>
          <w:color w:val="000000" w:themeColor="text1"/>
          <w:lang w:val="x-none"/>
        </w:rPr>
        <w:t>unui</w:t>
      </w:r>
      <w:proofErr w:type="spellEnd"/>
      <w:r w:rsidRPr="003D35AA">
        <w:rPr>
          <w:color w:val="000000" w:themeColor="text1"/>
          <w:lang w:val="x-none"/>
        </w:rPr>
        <w:t xml:space="preserve"> tip de habitat. </w:t>
      </w:r>
      <w:proofErr w:type="spellStart"/>
      <w:r w:rsidRPr="003D35AA">
        <w:rPr>
          <w:color w:val="000000" w:themeColor="text1"/>
          <w:lang w:val="x-none"/>
        </w:rPr>
        <w:t>Acestea</w:t>
      </w:r>
      <w:proofErr w:type="spellEnd"/>
      <w:r w:rsidRPr="003D35AA">
        <w:rPr>
          <w:color w:val="000000" w:themeColor="text1"/>
          <w:lang w:val="x-none"/>
        </w:rPr>
        <w:t xml:space="preserve"> </w:t>
      </w:r>
      <w:proofErr w:type="spellStart"/>
      <w:r w:rsidRPr="003D35AA">
        <w:rPr>
          <w:color w:val="000000" w:themeColor="text1"/>
          <w:lang w:val="x-none"/>
        </w:rPr>
        <w:t>vor</w:t>
      </w:r>
      <w:proofErr w:type="spellEnd"/>
      <w:r w:rsidRPr="003D35AA">
        <w:rPr>
          <w:color w:val="000000" w:themeColor="text1"/>
          <w:lang w:val="x-none"/>
        </w:rPr>
        <w:t xml:space="preserve"> fi </w:t>
      </w:r>
      <w:proofErr w:type="spellStart"/>
      <w:r w:rsidRPr="003D35AA">
        <w:rPr>
          <w:color w:val="000000" w:themeColor="text1"/>
          <w:lang w:val="x-none"/>
        </w:rPr>
        <w:t>adesea</w:t>
      </w:r>
      <w:proofErr w:type="spellEnd"/>
      <w:r w:rsidRPr="003D35AA">
        <w:rPr>
          <w:color w:val="000000" w:themeColor="text1"/>
          <w:lang w:val="x-none"/>
        </w:rPr>
        <w:t xml:space="preserve"> </w:t>
      </w:r>
      <w:proofErr w:type="spellStart"/>
      <w:r w:rsidRPr="003D35AA">
        <w:rPr>
          <w:color w:val="000000" w:themeColor="text1"/>
          <w:lang w:val="x-none"/>
        </w:rPr>
        <w:t>formate</w:t>
      </w:r>
      <w:proofErr w:type="spellEnd"/>
      <w:r w:rsidRPr="003D35AA">
        <w:rPr>
          <w:color w:val="000000" w:themeColor="text1"/>
          <w:lang w:val="x-none"/>
        </w:rPr>
        <w:t xml:space="preserve"> din </w:t>
      </w:r>
      <w:proofErr w:type="spellStart"/>
      <w:r w:rsidRPr="003D35AA">
        <w:rPr>
          <w:color w:val="000000" w:themeColor="text1"/>
          <w:lang w:val="x-none"/>
        </w:rPr>
        <w:t>ansambluri</w:t>
      </w:r>
      <w:proofErr w:type="spellEnd"/>
      <w:r w:rsidRPr="003D35AA">
        <w:rPr>
          <w:color w:val="000000" w:themeColor="text1"/>
          <w:lang w:val="x-none"/>
        </w:rPr>
        <w:t xml:space="preserve"> de </w:t>
      </w:r>
      <w:proofErr w:type="spellStart"/>
      <w:r w:rsidRPr="003D35AA">
        <w:rPr>
          <w:color w:val="000000" w:themeColor="text1"/>
          <w:lang w:val="x-none"/>
        </w:rPr>
        <w:t>specii</w:t>
      </w:r>
      <w:proofErr w:type="spellEnd"/>
      <w:r w:rsidRPr="003D35AA">
        <w:rPr>
          <w:color w:val="000000" w:themeColor="text1"/>
          <w:lang w:val="x-none"/>
        </w:rPr>
        <w:t xml:space="preserve">, </w:t>
      </w:r>
      <w:proofErr w:type="spellStart"/>
      <w:r w:rsidRPr="003D35AA">
        <w:rPr>
          <w:color w:val="000000" w:themeColor="text1"/>
          <w:lang w:val="x-none"/>
        </w:rPr>
        <w:t>incluzând</w:t>
      </w:r>
      <w:proofErr w:type="spellEnd"/>
      <w:r w:rsidRPr="003D35AA">
        <w:rPr>
          <w:color w:val="000000" w:themeColor="text1"/>
          <w:lang w:val="x-none"/>
        </w:rPr>
        <w:t xml:space="preserve">, de </w:t>
      </w:r>
      <w:proofErr w:type="spellStart"/>
      <w:r w:rsidRPr="003D35AA">
        <w:rPr>
          <w:color w:val="000000" w:themeColor="text1"/>
          <w:lang w:val="x-none"/>
        </w:rPr>
        <w:t>asemenea</w:t>
      </w:r>
      <w:proofErr w:type="spellEnd"/>
      <w:r w:rsidRPr="003D35AA">
        <w:rPr>
          <w:color w:val="000000" w:themeColor="text1"/>
          <w:lang w:val="x-none"/>
        </w:rPr>
        <w:t xml:space="preserve">, </w:t>
      </w:r>
      <w:proofErr w:type="spellStart"/>
      <w:r w:rsidRPr="003D35AA">
        <w:rPr>
          <w:color w:val="000000" w:themeColor="text1"/>
          <w:lang w:val="x-none"/>
        </w:rPr>
        <w:t>caracteristici</w:t>
      </w:r>
      <w:proofErr w:type="spellEnd"/>
      <w:r w:rsidRPr="003D35AA">
        <w:rPr>
          <w:color w:val="000000" w:themeColor="text1"/>
          <w:lang w:val="x-none"/>
        </w:rPr>
        <w:t xml:space="preserve"> </w:t>
      </w:r>
      <w:proofErr w:type="spellStart"/>
      <w:r w:rsidRPr="003D35AA">
        <w:rPr>
          <w:color w:val="000000" w:themeColor="text1"/>
          <w:lang w:val="x-none"/>
        </w:rPr>
        <w:t>abiotice</w:t>
      </w:r>
      <w:proofErr w:type="spellEnd"/>
      <w:r w:rsidRPr="003D35AA">
        <w:rPr>
          <w:color w:val="000000" w:themeColor="text1"/>
          <w:lang w:val="x-none"/>
        </w:rPr>
        <w:t>, (</w:t>
      </w:r>
      <w:proofErr w:type="spellStart"/>
      <w:r w:rsidRPr="003D35AA">
        <w:rPr>
          <w:color w:val="000000" w:themeColor="text1"/>
          <w:lang w:val="x-none"/>
        </w:rPr>
        <w:t>substratul</w:t>
      </w:r>
      <w:proofErr w:type="spellEnd"/>
      <w:r w:rsidRPr="003D35AA">
        <w:rPr>
          <w:color w:val="000000" w:themeColor="text1"/>
          <w:lang w:val="x-none"/>
        </w:rPr>
        <w:t xml:space="preserve"> </w:t>
      </w:r>
      <w:proofErr w:type="spellStart"/>
      <w:r w:rsidRPr="003D35AA">
        <w:rPr>
          <w:color w:val="000000" w:themeColor="text1"/>
          <w:lang w:val="x-none"/>
        </w:rPr>
        <w:t>pentru</w:t>
      </w:r>
      <w:proofErr w:type="spellEnd"/>
      <w:r w:rsidRPr="003D35AA">
        <w:rPr>
          <w:color w:val="000000" w:themeColor="text1"/>
          <w:lang w:val="x-none"/>
        </w:rPr>
        <w:t xml:space="preserve"> </w:t>
      </w:r>
      <w:proofErr w:type="spellStart"/>
      <w:r w:rsidRPr="003D35AA">
        <w:rPr>
          <w:color w:val="000000" w:themeColor="text1"/>
          <w:lang w:val="x-none"/>
        </w:rPr>
        <w:t>habitatele</w:t>
      </w:r>
      <w:proofErr w:type="spellEnd"/>
      <w:r w:rsidRPr="003D35AA">
        <w:rPr>
          <w:color w:val="000000" w:themeColor="text1"/>
          <w:lang w:val="x-none"/>
        </w:rPr>
        <w:t xml:space="preserve"> de fund, masa </w:t>
      </w:r>
      <w:proofErr w:type="spellStart"/>
      <w:r w:rsidRPr="003D35AA">
        <w:rPr>
          <w:color w:val="000000" w:themeColor="text1"/>
          <w:lang w:val="x-none"/>
        </w:rPr>
        <w:t>apei</w:t>
      </w:r>
      <w:proofErr w:type="spellEnd"/>
      <w:r w:rsidRPr="003D35AA">
        <w:rPr>
          <w:color w:val="000000" w:themeColor="text1"/>
          <w:lang w:val="x-none"/>
        </w:rPr>
        <w:t xml:space="preserve"> </w:t>
      </w:r>
      <w:proofErr w:type="spellStart"/>
      <w:r w:rsidRPr="003D35AA">
        <w:rPr>
          <w:color w:val="000000" w:themeColor="text1"/>
          <w:lang w:val="x-none"/>
        </w:rPr>
        <w:t>pentru</w:t>
      </w:r>
      <w:proofErr w:type="spellEnd"/>
      <w:r w:rsidRPr="003D35AA">
        <w:rPr>
          <w:color w:val="000000" w:themeColor="text1"/>
          <w:lang w:val="x-none"/>
        </w:rPr>
        <w:t xml:space="preserve"> </w:t>
      </w:r>
      <w:proofErr w:type="spellStart"/>
      <w:r w:rsidRPr="003D35AA">
        <w:rPr>
          <w:color w:val="000000" w:themeColor="text1"/>
          <w:lang w:val="x-none"/>
        </w:rPr>
        <w:t>habitatele</w:t>
      </w:r>
      <w:proofErr w:type="spellEnd"/>
      <w:r w:rsidRPr="003D35AA">
        <w:rPr>
          <w:color w:val="000000" w:themeColor="text1"/>
          <w:lang w:val="x-none"/>
        </w:rPr>
        <w:t xml:space="preserve"> </w:t>
      </w:r>
      <w:proofErr w:type="spellStart"/>
      <w:r w:rsidRPr="003D35AA">
        <w:rPr>
          <w:color w:val="000000" w:themeColor="text1"/>
          <w:lang w:val="x-none"/>
        </w:rPr>
        <w:t>pelagice</w:t>
      </w:r>
      <w:proofErr w:type="spellEnd"/>
      <w:r w:rsidRPr="003D35AA">
        <w:rPr>
          <w:color w:val="000000" w:themeColor="text1"/>
          <w:lang w:val="x-none"/>
        </w:rPr>
        <w:t xml:space="preserve">). </w:t>
      </w:r>
      <w:proofErr w:type="spellStart"/>
      <w:r w:rsidRPr="003D35AA">
        <w:rPr>
          <w:color w:val="000000" w:themeColor="text1"/>
          <w:lang w:val="x-none"/>
        </w:rPr>
        <w:t>Funcțiile</w:t>
      </w:r>
      <w:proofErr w:type="spellEnd"/>
      <w:r w:rsidRPr="003D35AA">
        <w:rPr>
          <w:color w:val="000000" w:themeColor="text1"/>
          <w:lang w:val="x-none"/>
        </w:rPr>
        <w:t xml:space="preserve"> sunt </w:t>
      </w:r>
      <w:proofErr w:type="spellStart"/>
      <w:r w:rsidRPr="003D35AA">
        <w:rPr>
          <w:color w:val="000000" w:themeColor="text1"/>
          <w:lang w:val="x-none"/>
        </w:rPr>
        <w:t>procesele</w:t>
      </w:r>
      <w:proofErr w:type="spellEnd"/>
      <w:r w:rsidRPr="003D35AA">
        <w:rPr>
          <w:color w:val="000000" w:themeColor="text1"/>
          <w:lang w:val="x-none"/>
        </w:rPr>
        <w:t xml:space="preserve"> </w:t>
      </w:r>
      <w:proofErr w:type="spellStart"/>
      <w:r w:rsidRPr="003D35AA">
        <w:rPr>
          <w:color w:val="000000" w:themeColor="text1"/>
          <w:lang w:val="x-none"/>
        </w:rPr>
        <w:t>ecologice</w:t>
      </w:r>
      <w:proofErr w:type="spellEnd"/>
      <w:r w:rsidRPr="003D35AA">
        <w:rPr>
          <w:color w:val="000000" w:themeColor="text1"/>
          <w:lang w:val="x-none"/>
        </w:rPr>
        <w:t xml:space="preserve"> care au loc la o </w:t>
      </w:r>
      <w:proofErr w:type="spellStart"/>
      <w:r w:rsidRPr="003D35AA">
        <w:rPr>
          <w:color w:val="000000" w:themeColor="text1"/>
          <w:lang w:val="x-none"/>
        </w:rPr>
        <w:t>serie</w:t>
      </w:r>
      <w:proofErr w:type="spellEnd"/>
      <w:r w:rsidRPr="003D35AA">
        <w:rPr>
          <w:color w:val="000000" w:themeColor="text1"/>
          <w:lang w:val="x-none"/>
        </w:rPr>
        <w:t xml:space="preserve"> de scale </w:t>
      </w:r>
      <w:proofErr w:type="spellStart"/>
      <w:r w:rsidRPr="003D35AA">
        <w:rPr>
          <w:color w:val="000000" w:themeColor="text1"/>
          <w:lang w:val="x-none"/>
        </w:rPr>
        <w:t>temporale</w:t>
      </w:r>
      <w:proofErr w:type="spellEnd"/>
      <w:r w:rsidRPr="003D35AA">
        <w:rPr>
          <w:color w:val="000000" w:themeColor="text1"/>
          <w:lang w:val="x-none"/>
        </w:rPr>
        <w:t xml:space="preserve"> </w:t>
      </w:r>
      <w:proofErr w:type="spellStart"/>
      <w:r w:rsidRPr="003D35AA">
        <w:rPr>
          <w:color w:val="000000" w:themeColor="text1"/>
          <w:lang w:val="x-none"/>
        </w:rPr>
        <w:t>și</w:t>
      </w:r>
      <w:proofErr w:type="spellEnd"/>
      <w:r w:rsidRPr="003D35AA">
        <w:rPr>
          <w:color w:val="000000" w:themeColor="text1"/>
          <w:lang w:val="x-none"/>
        </w:rPr>
        <w:t xml:space="preserve"> </w:t>
      </w:r>
      <w:proofErr w:type="spellStart"/>
      <w:r w:rsidRPr="003D35AA">
        <w:rPr>
          <w:color w:val="000000" w:themeColor="text1"/>
          <w:lang w:val="x-none"/>
        </w:rPr>
        <w:t>spațiale</w:t>
      </w:r>
      <w:proofErr w:type="spellEnd"/>
      <w:r w:rsidRPr="003D35AA">
        <w:rPr>
          <w:color w:val="000000" w:themeColor="text1"/>
          <w:lang w:val="x-none"/>
        </w:rPr>
        <w:t xml:space="preserve"> </w:t>
      </w:r>
      <w:proofErr w:type="spellStart"/>
      <w:r w:rsidRPr="003D35AA">
        <w:rPr>
          <w:color w:val="000000" w:themeColor="text1"/>
          <w:lang w:val="x-none"/>
        </w:rPr>
        <w:t>și</w:t>
      </w:r>
      <w:proofErr w:type="spellEnd"/>
      <w:r w:rsidRPr="003D35AA">
        <w:rPr>
          <w:color w:val="000000" w:themeColor="text1"/>
          <w:lang w:val="x-none"/>
        </w:rPr>
        <w:t xml:space="preserve"> </w:t>
      </w:r>
      <w:proofErr w:type="spellStart"/>
      <w:r w:rsidRPr="003D35AA">
        <w:rPr>
          <w:color w:val="000000" w:themeColor="text1"/>
          <w:lang w:val="x-none"/>
        </w:rPr>
        <w:t>acestea</w:t>
      </w:r>
      <w:proofErr w:type="spellEnd"/>
      <w:r w:rsidRPr="003D35AA">
        <w:rPr>
          <w:color w:val="000000" w:themeColor="text1"/>
          <w:lang w:val="x-none"/>
        </w:rPr>
        <w:t xml:space="preserve"> </w:t>
      </w:r>
      <w:proofErr w:type="spellStart"/>
      <w:r w:rsidRPr="003D35AA">
        <w:rPr>
          <w:color w:val="000000" w:themeColor="text1"/>
          <w:lang w:val="x-none"/>
        </w:rPr>
        <w:t>variază</w:t>
      </w:r>
      <w:proofErr w:type="spellEnd"/>
      <w:r w:rsidRPr="003D35AA">
        <w:rPr>
          <w:color w:val="000000" w:themeColor="text1"/>
          <w:lang w:val="x-none"/>
        </w:rPr>
        <w:t xml:space="preserve"> </w:t>
      </w:r>
      <w:proofErr w:type="spellStart"/>
      <w:r w:rsidRPr="003D35AA">
        <w:rPr>
          <w:color w:val="000000" w:themeColor="text1"/>
          <w:lang w:val="x-none"/>
        </w:rPr>
        <w:t>foarte</w:t>
      </w:r>
      <w:proofErr w:type="spellEnd"/>
      <w:r w:rsidRPr="003D35AA">
        <w:rPr>
          <w:color w:val="000000" w:themeColor="text1"/>
          <w:lang w:val="x-none"/>
        </w:rPr>
        <w:t xml:space="preserve"> </w:t>
      </w:r>
      <w:proofErr w:type="spellStart"/>
      <w:r w:rsidRPr="003D35AA">
        <w:rPr>
          <w:color w:val="000000" w:themeColor="text1"/>
          <w:lang w:val="x-none"/>
        </w:rPr>
        <w:t>mult</w:t>
      </w:r>
      <w:proofErr w:type="spellEnd"/>
      <w:r w:rsidRPr="003D35AA">
        <w:rPr>
          <w:color w:val="000000" w:themeColor="text1"/>
          <w:lang w:val="x-none"/>
        </w:rPr>
        <w:t xml:space="preserve"> </w:t>
      </w:r>
      <w:proofErr w:type="spellStart"/>
      <w:r w:rsidRPr="003D35AA">
        <w:rPr>
          <w:color w:val="000000" w:themeColor="text1"/>
          <w:lang w:val="x-none"/>
        </w:rPr>
        <w:t>între</w:t>
      </w:r>
      <w:proofErr w:type="spellEnd"/>
      <w:r w:rsidRPr="003D35AA">
        <w:rPr>
          <w:color w:val="000000" w:themeColor="text1"/>
          <w:lang w:val="x-none"/>
        </w:rPr>
        <w:t xml:space="preserve"> </w:t>
      </w:r>
      <w:proofErr w:type="spellStart"/>
      <w:r w:rsidRPr="003D35AA">
        <w:rPr>
          <w:color w:val="000000" w:themeColor="text1"/>
          <w:lang w:val="x-none"/>
        </w:rPr>
        <w:t>tipurile</w:t>
      </w:r>
      <w:proofErr w:type="spellEnd"/>
      <w:r w:rsidRPr="003D35AA">
        <w:rPr>
          <w:color w:val="000000" w:themeColor="text1"/>
          <w:lang w:val="x-none"/>
        </w:rPr>
        <w:t xml:space="preserve"> de habitat. </w:t>
      </w:r>
      <w:proofErr w:type="spellStart"/>
      <w:r w:rsidRPr="003D35AA">
        <w:rPr>
          <w:color w:val="000000" w:themeColor="text1"/>
          <w:lang w:val="x-none"/>
        </w:rPr>
        <w:t>Structur</w:t>
      </w:r>
      <w:r w:rsidRPr="003D35AA">
        <w:rPr>
          <w:color w:val="000000" w:themeColor="text1"/>
        </w:rPr>
        <w:t>a</w:t>
      </w:r>
      <w:proofErr w:type="spellEnd"/>
      <w:r w:rsidRPr="003D35AA">
        <w:rPr>
          <w:color w:val="000000" w:themeColor="text1"/>
          <w:lang w:val="x-none"/>
        </w:rPr>
        <w:t xml:space="preserve"> </w:t>
      </w:r>
      <w:proofErr w:type="spellStart"/>
      <w:r w:rsidRPr="003D35AA">
        <w:rPr>
          <w:color w:val="000000" w:themeColor="text1"/>
          <w:lang w:val="x-none"/>
        </w:rPr>
        <w:t>este</w:t>
      </w:r>
      <w:proofErr w:type="spellEnd"/>
      <w:r w:rsidRPr="003D35AA">
        <w:rPr>
          <w:color w:val="000000" w:themeColor="text1"/>
          <w:lang w:val="x-none"/>
        </w:rPr>
        <w:t xml:space="preserve"> </w:t>
      </w:r>
      <w:proofErr w:type="spellStart"/>
      <w:r w:rsidRPr="003D35AA">
        <w:rPr>
          <w:color w:val="000000" w:themeColor="text1"/>
          <w:lang w:val="x-none"/>
        </w:rPr>
        <w:t>relativ</w:t>
      </w:r>
      <w:proofErr w:type="spellEnd"/>
      <w:r w:rsidRPr="003D35AA">
        <w:rPr>
          <w:color w:val="000000" w:themeColor="text1"/>
          <w:lang w:val="x-none"/>
        </w:rPr>
        <w:t xml:space="preserve"> </w:t>
      </w:r>
      <w:proofErr w:type="spellStart"/>
      <w:r w:rsidRPr="003D35AA">
        <w:rPr>
          <w:color w:val="000000" w:themeColor="text1"/>
          <w:lang w:val="x-none"/>
        </w:rPr>
        <w:t>simplu</w:t>
      </w:r>
      <w:proofErr w:type="spellEnd"/>
      <w:r w:rsidRPr="003D35AA">
        <w:rPr>
          <w:color w:val="000000" w:themeColor="text1"/>
          <w:lang w:val="x-none"/>
        </w:rPr>
        <w:t xml:space="preserve"> de </w:t>
      </w:r>
      <w:proofErr w:type="spellStart"/>
      <w:r w:rsidRPr="003D35AA">
        <w:rPr>
          <w:color w:val="000000" w:themeColor="text1"/>
          <w:lang w:val="x-none"/>
        </w:rPr>
        <w:t>observat</w:t>
      </w:r>
      <w:proofErr w:type="spellEnd"/>
      <w:r w:rsidRPr="003D35AA">
        <w:rPr>
          <w:color w:val="000000" w:themeColor="text1"/>
          <w:lang w:val="x-none"/>
        </w:rPr>
        <w:t>/</w:t>
      </w:r>
      <w:proofErr w:type="spellStart"/>
      <w:r w:rsidRPr="003D35AA">
        <w:rPr>
          <w:color w:val="000000" w:themeColor="text1"/>
          <w:lang w:val="x-none"/>
        </w:rPr>
        <w:t>măsurat</w:t>
      </w:r>
      <w:proofErr w:type="spellEnd"/>
      <w:r w:rsidRPr="003D35AA">
        <w:rPr>
          <w:color w:val="000000" w:themeColor="text1"/>
          <w:lang w:val="x-none"/>
        </w:rPr>
        <w:t xml:space="preserve">, </w:t>
      </w:r>
      <w:proofErr w:type="spellStart"/>
      <w:r w:rsidRPr="003D35AA">
        <w:rPr>
          <w:color w:val="000000" w:themeColor="text1"/>
          <w:lang w:val="x-none"/>
        </w:rPr>
        <w:t>dar</w:t>
      </w:r>
      <w:proofErr w:type="spellEnd"/>
      <w:r w:rsidRPr="003D35AA">
        <w:rPr>
          <w:color w:val="000000" w:themeColor="text1"/>
          <w:lang w:val="x-none"/>
        </w:rPr>
        <w:t xml:space="preserve"> </w:t>
      </w:r>
      <w:proofErr w:type="spellStart"/>
      <w:r w:rsidRPr="003D35AA">
        <w:rPr>
          <w:color w:val="000000" w:themeColor="text1"/>
          <w:lang w:val="x-none"/>
        </w:rPr>
        <w:t>funcțiile</w:t>
      </w:r>
      <w:proofErr w:type="spellEnd"/>
      <w:r w:rsidRPr="003D35AA">
        <w:rPr>
          <w:color w:val="000000" w:themeColor="text1"/>
          <w:lang w:val="x-none"/>
        </w:rPr>
        <w:t xml:space="preserve"> sunt de </w:t>
      </w:r>
      <w:proofErr w:type="spellStart"/>
      <w:r w:rsidRPr="003D35AA">
        <w:rPr>
          <w:color w:val="000000" w:themeColor="text1"/>
          <w:lang w:val="x-none"/>
        </w:rPr>
        <w:t>obicei</w:t>
      </w:r>
      <w:proofErr w:type="spellEnd"/>
      <w:r w:rsidRPr="003D35AA">
        <w:rPr>
          <w:color w:val="000000" w:themeColor="text1"/>
          <w:lang w:val="x-none"/>
        </w:rPr>
        <w:t xml:space="preserve"> </w:t>
      </w:r>
      <w:proofErr w:type="spellStart"/>
      <w:r w:rsidRPr="003D35AA">
        <w:rPr>
          <w:color w:val="000000" w:themeColor="text1"/>
          <w:lang w:val="x-none"/>
        </w:rPr>
        <w:t>mai</w:t>
      </w:r>
      <w:proofErr w:type="spellEnd"/>
      <w:r w:rsidRPr="003D35AA">
        <w:rPr>
          <w:color w:val="000000" w:themeColor="text1"/>
          <w:lang w:val="x-none"/>
        </w:rPr>
        <w:t xml:space="preserve"> </w:t>
      </w:r>
      <w:proofErr w:type="spellStart"/>
      <w:r w:rsidRPr="003D35AA">
        <w:rPr>
          <w:color w:val="000000" w:themeColor="text1"/>
          <w:lang w:val="x-none"/>
        </w:rPr>
        <w:t>dificile</w:t>
      </w:r>
      <w:proofErr w:type="spellEnd"/>
      <w:r w:rsidRPr="003D35AA">
        <w:rPr>
          <w:color w:val="000000" w:themeColor="text1"/>
          <w:lang w:val="x-none"/>
        </w:rPr>
        <w:t xml:space="preserve">. Cu </w:t>
      </w:r>
      <w:proofErr w:type="spellStart"/>
      <w:r w:rsidRPr="003D35AA">
        <w:rPr>
          <w:color w:val="000000" w:themeColor="text1"/>
          <w:lang w:val="x-none"/>
        </w:rPr>
        <w:t>toate</w:t>
      </w:r>
      <w:proofErr w:type="spellEnd"/>
      <w:r w:rsidRPr="003D35AA">
        <w:rPr>
          <w:color w:val="000000" w:themeColor="text1"/>
          <w:lang w:val="x-none"/>
        </w:rPr>
        <w:t xml:space="preserve"> </w:t>
      </w:r>
      <w:proofErr w:type="spellStart"/>
      <w:r w:rsidRPr="003D35AA">
        <w:rPr>
          <w:color w:val="000000" w:themeColor="text1"/>
          <w:lang w:val="x-none"/>
        </w:rPr>
        <w:t>acestea</w:t>
      </w:r>
      <w:proofErr w:type="spellEnd"/>
      <w:r w:rsidRPr="003D35AA">
        <w:rPr>
          <w:color w:val="000000" w:themeColor="text1"/>
          <w:lang w:val="x-none"/>
        </w:rPr>
        <w:t xml:space="preserve">, </w:t>
      </w:r>
      <w:proofErr w:type="spellStart"/>
      <w:r w:rsidRPr="003D35AA">
        <w:rPr>
          <w:color w:val="000000" w:themeColor="text1"/>
          <w:lang w:val="x-none"/>
        </w:rPr>
        <w:t>întrucât</w:t>
      </w:r>
      <w:proofErr w:type="spellEnd"/>
      <w:r w:rsidRPr="003D35AA">
        <w:rPr>
          <w:color w:val="000000" w:themeColor="text1"/>
          <w:lang w:val="x-none"/>
        </w:rPr>
        <w:t xml:space="preserve"> </w:t>
      </w:r>
      <w:proofErr w:type="spellStart"/>
      <w:r w:rsidRPr="003D35AA">
        <w:rPr>
          <w:color w:val="000000" w:themeColor="text1"/>
          <w:lang w:val="x-none"/>
        </w:rPr>
        <w:t>funcțiile</w:t>
      </w:r>
      <w:proofErr w:type="spellEnd"/>
      <w:r w:rsidRPr="003D35AA">
        <w:rPr>
          <w:color w:val="000000" w:themeColor="text1"/>
          <w:lang w:val="x-none"/>
        </w:rPr>
        <w:t xml:space="preserve"> sunt </w:t>
      </w:r>
      <w:proofErr w:type="spellStart"/>
      <w:r w:rsidRPr="003D35AA">
        <w:rPr>
          <w:color w:val="000000" w:themeColor="text1"/>
          <w:lang w:val="x-none"/>
        </w:rPr>
        <w:t>adesea</w:t>
      </w:r>
      <w:proofErr w:type="spellEnd"/>
      <w:r w:rsidRPr="003D35AA">
        <w:rPr>
          <w:color w:val="000000" w:themeColor="text1"/>
          <w:lang w:val="x-none"/>
        </w:rPr>
        <w:t xml:space="preserve"> legate de o </w:t>
      </w:r>
      <w:proofErr w:type="spellStart"/>
      <w:r w:rsidRPr="003D35AA">
        <w:rPr>
          <w:color w:val="000000" w:themeColor="text1"/>
          <w:lang w:val="x-none"/>
        </w:rPr>
        <w:t>anumită</w:t>
      </w:r>
      <w:proofErr w:type="spellEnd"/>
      <w:r w:rsidRPr="003D35AA">
        <w:rPr>
          <w:color w:val="000000" w:themeColor="text1"/>
          <w:lang w:val="x-none"/>
        </w:rPr>
        <w:t xml:space="preserve"> specie </w:t>
      </w:r>
      <w:proofErr w:type="spellStart"/>
      <w:r w:rsidRPr="003D35AA">
        <w:rPr>
          <w:color w:val="000000" w:themeColor="text1"/>
          <w:lang w:val="x-none"/>
        </w:rPr>
        <w:t>sau</w:t>
      </w:r>
      <w:proofErr w:type="spellEnd"/>
      <w:r w:rsidRPr="003D35AA">
        <w:rPr>
          <w:color w:val="000000" w:themeColor="text1"/>
          <w:lang w:val="x-none"/>
        </w:rPr>
        <w:t xml:space="preserve"> </w:t>
      </w:r>
      <w:proofErr w:type="spellStart"/>
      <w:r w:rsidRPr="003D35AA">
        <w:rPr>
          <w:color w:val="000000" w:themeColor="text1"/>
          <w:lang w:val="x-none"/>
        </w:rPr>
        <w:t>grupuri</w:t>
      </w:r>
      <w:proofErr w:type="spellEnd"/>
      <w:r w:rsidRPr="003D35AA">
        <w:rPr>
          <w:color w:val="000000" w:themeColor="text1"/>
          <w:lang w:val="x-none"/>
        </w:rPr>
        <w:t xml:space="preserve"> de </w:t>
      </w:r>
      <w:proofErr w:type="spellStart"/>
      <w:r w:rsidRPr="003D35AA">
        <w:rPr>
          <w:color w:val="000000" w:themeColor="text1"/>
          <w:lang w:val="x-none"/>
        </w:rPr>
        <w:t>specii</w:t>
      </w:r>
      <w:proofErr w:type="spellEnd"/>
      <w:r w:rsidRPr="003D35AA">
        <w:rPr>
          <w:color w:val="000000" w:themeColor="text1"/>
          <w:lang w:val="x-none"/>
        </w:rPr>
        <w:t xml:space="preserve">, </w:t>
      </w:r>
      <w:proofErr w:type="spellStart"/>
      <w:r w:rsidRPr="003D35AA">
        <w:rPr>
          <w:color w:val="000000" w:themeColor="text1"/>
          <w:lang w:val="x-none"/>
        </w:rPr>
        <w:t>prezența</w:t>
      </w:r>
      <w:proofErr w:type="spellEnd"/>
      <w:r w:rsidRPr="003D35AA">
        <w:rPr>
          <w:color w:val="000000" w:themeColor="text1"/>
          <w:lang w:val="x-none"/>
        </w:rPr>
        <w:t xml:space="preserve"> </w:t>
      </w:r>
      <w:proofErr w:type="spellStart"/>
      <w:r w:rsidRPr="003D35AA">
        <w:rPr>
          <w:color w:val="000000" w:themeColor="text1"/>
          <w:lang w:val="x-none"/>
        </w:rPr>
        <w:t>anumitor</w:t>
      </w:r>
      <w:proofErr w:type="spellEnd"/>
      <w:r w:rsidRPr="003D35AA">
        <w:rPr>
          <w:color w:val="000000" w:themeColor="text1"/>
          <w:lang w:val="x-none"/>
        </w:rPr>
        <w:t xml:space="preserve"> </w:t>
      </w:r>
      <w:proofErr w:type="spellStart"/>
      <w:r w:rsidRPr="003D35AA">
        <w:rPr>
          <w:color w:val="000000" w:themeColor="text1"/>
          <w:lang w:val="x-none"/>
        </w:rPr>
        <w:t>specii</w:t>
      </w:r>
      <w:proofErr w:type="spellEnd"/>
      <w:r w:rsidRPr="003D35AA">
        <w:rPr>
          <w:color w:val="000000" w:themeColor="text1"/>
          <w:lang w:val="x-none"/>
        </w:rPr>
        <w:t xml:space="preserve"> </w:t>
      </w:r>
      <w:proofErr w:type="spellStart"/>
      <w:r w:rsidRPr="003D35AA">
        <w:rPr>
          <w:color w:val="000000" w:themeColor="text1"/>
          <w:lang w:val="x-none"/>
        </w:rPr>
        <w:t>poate</w:t>
      </w:r>
      <w:proofErr w:type="spellEnd"/>
      <w:r w:rsidRPr="003D35AA">
        <w:rPr>
          <w:color w:val="000000" w:themeColor="text1"/>
          <w:lang w:val="x-none"/>
        </w:rPr>
        <w:t xml:space="preserve"> indic</w:t>
      </w:r>
      <w:r w:rsidRPr="003D35AA">
        <w:rPr>
          <w:color w:val="000000" w:themeColor="text1"/>
        </w:rPr>
        <w:t>a</w:t>
      </w:r>
      <w:r w:rsidRPr="003D35AA">
        <w:rPr>
          <w:color w:val="000000" w:themeColor="text1"/>
          <w:lang w:val="x-none"/>
        </w:rPr>
        <w:t xml:space="preserve"> </w:t>
      </w:r>
      <w:proofErr w:type="spellStart"/>
      <w:r w:rsidRPr="003D35AA">
        <w:rPr>
          <w:color w:val="000000" w:themeColor="text1"/>
          <w:lang w:val="x-none"/>
        </w:rPr>
        <w:t>faptul</w:t>
      </w:r>
      <w:proofErr w:type="spellEnd"/>
      <w:r w:rsidRPr="003D35AA">
        <w:rPr>
          <w:color w:val="000000" w:themeColor="text1"/>
          <w:lang w:val="x-none"/>
        </w:rPr>
        <w:t xml:space="preserve"> </w:t>
      </w:r>
      <w:proofErr w:type="spellStart"/>
      <w:r w:rsidRPr="003D35AA">
        <w:rPr>
          <w:color w:val="000000" w:themeColor="text1"/>
          <w:lang w:val="x-none"/>
        </w:rPr>
        <w:t>că</w:t>
      </w:r>
      <w:proofErr w:type="spellEnd"/>
      <w:r w:rsidRPr="003D35AA">
        <w:rPr>
          <w:color w:val="000000" w:themeColor="text1"/>
          <w:lang w:val="x-none"/>
        </w:rPr>
        <w:t xml:space="preserve"> </w:t>
      </w:r>
      <w:proofErr w:type="spellStart"/>
      <w:r w:rsidRPr="003D35AA">
        <w:rPr>
          <w:color w:val="000000" w:themeColor="text1"/>
          <w:lang w:val="x-none"/>
        </w:rPr>
        <w:t>funcțiile</w:t>
      </w:r>
      <w:proofErr w:type="spellEnd"/>
      <w:r w:rsidRPr="003D35AA">
        <w:rPr>
          <w:color w:val="000000" w:themeColor="text1"/>
          <w:lang w:val="x-none"/>
        </w:rPr>
        <w:t xml:space="preserve"> sunt </w:t>
      </w:r>
      <w:proofErr w:type="spellStart"/>
      <w:r w:rsidRPr="003D35AA">
        <w:rPr>
          <w:color w:val="000000" w:themeColor="text1"/>
          <w:lang w:val="x-none"/>
        </w:rPr>
        <w:t>favorabile</w:t>
      </w:r>
      <w:proofErr w:type="spellEnd"/>
      <w:r w:rsidRPr="003D35AA">
        <w:rPr>
          <w:color w:val="000000" w:themeColor="text1"/>
          <w:lang w:val="x-none"/>
        </w:rPr>
        <w:t>.</w:t>
      </w:r>
    </w:p>
    <w:p w14:paraId="7C8D313C" w14:textId="77777777" w:rsidR="00FB2A0C" w:rsidRPr="003D35AA" w:rsidRDefault="00FB2A0C" w:rsidP="00FB2A0C">
      <w:pPr>
        <w:autoSpaceDE w:val="0"/>
        <w:autoSpaceDN w:val="0"/>
        <w:adjustRightInd w:val="0"/>
        <w:ind w:firstLine="720"/>
        <w:jc w:val="both"/>
        <w:rPr>
          <w:color w:val="000000" w:themeColor="text1"/>
          <w:lang w:val="x-none"/>
        </w:rPr>
      </w:pPr>
      <w:proofErr w:type="spellStart"/>
      <w:r w:rsidRPr="003D35AA">
        <w:rPr>
          <w:color w:val="000000" w:themeColor="text1"/>
          <w:lang w:val="x-none"/>
        </w:rPr>
        <w:t>Pentru</w:t>
      </w:r>
      <w:proofErr w:type="spellEnd"/>
      <w:r w:rsidRPr="003D35AA">
        <w:rPr>
          <w:color w:val="000000" w:themeColor="text1"/>
          <w:lang w:val="x-none"/>
        </w:rPr>
        <w:t xml:space="preserve"> </w:t>
      </w:r>
      <w:proofErr w:type="spellStart"/>
      <w:r w:rsidRPr="003D35AA">
        <w:rPr>
          <w:color w:val="000000" w:themeColor="text1"/>
          <w:lang w:val="x-none"/>
        </w:rPr>
        <w:t>că</w:t>
      </w:r>
      <w:proofErr w:type="spellEnd"/>
      <w:r w:rsidRPr="003D35AA">
        <w:rPr>
          <w:color w:val="000000" w:themeColor="text1"/>
          <w:lang w:val="x-none"/>
        </w:rPr>
        <w:t xml:space="preserve"> un tip de habitat </w:t>
      </w:r>
      <w:proofErr w:type="spellStart"/>
      <w:r w:rsidRPr="003D35AA">
        <w:rPr>
          <w:color w:val="000000" w:themeColor="text1"/>
          <w:lang w:val="x-none"/>
        </w:rPr>
        <w:t>să</w:t>
      </w:r>
      <w:proofErr w:type="spellEnd"/>
      <w:r w:rsidRPr="003D35AA">
        <w:rPr>
          <w:color w:val="000000" w:themeColor="text1"/>
          <w:lang w:val="x-none"/>
        </w:rPr>
        <w:t xml:space="preserve"> fie </w:t>
      </w:r>
      <w:proofErr w:type="spellStart"/>
      <w:r w:rsidRPr="003D35AA">
        <w:rPr>
          <w:color w:val="000000" w:themeColor="text1"/>
          <w:lang w:val="x-none"/>
        </w:rPr>
        <w:t>considerat</w:t>
      </w:r>
      <w:proofErr w:type="spellEnd"/>
      <w:r w:rsidRPr="003D35AA">
        <w:rPr>
          <w:color w:val="000000" w:themeColor="text1"/>
          <w:lang w:val="x-none"/>
        </w:rPr>
        <w:t xml:space="preserve"> ca </w:t>
      </w:r>
      <w:proofErr w:type="spellStart"/>
      <w:r w:rsidRPr="003D35AA">
        <w:rPr>
          <w:color w:val="000000" w:themeColor="text1"/>
          <w:lang w:val="x-none"/>
        </w:rPr>
        <w:t>fiind</w:t>
      </w:r>
      <w:proofErr w:type="spellEnd"/>
      <w:r w:rsidRPr="003D35AA">
        <w:rPr>
          <w:color w:val="000000" w:themeColor="text1"/>
          <w:lang w:val="x-none"/>
        </w:rPr>
        <w:t xml:space="preserve"> </w:t>
      </w:r>
      <w:proofErr w:type="spellStart"/>
      <w:r w:rsidRPr="003D35AA">
        <w:rPr>
          <w:color w:val="000000" w:themeColor="text1"/>
          <w:lang w:val="x-none"/>
        </w:rPr>
        <w:t>în</w:t>
      </w:r>
      <w:proofErr w:type="spellEnd"/>
      <w:r w:rsidRPr="003D35AA">
        <w:rPr>
          <w:color w:val="000000" w:themeColor="text1"/>
          <w:lang w:val="x-none"/>
        </w:rPr>
        <w:t xml:space="preserve"> stare de </w:t>
      </w:r>
      <w:proofErr w:type="spellStart"/>
      <w:r w:rsidRPr="003D35AA">
        <w:rPr>
          <w:color w:val="000000" w:themeColor="text1"/>
          <w:lang w:val="x-none"/>
        </w:rPr>
        <w:t>conservare</w:t>
      </w:r>
      <w:proofErr w:type="spellEnd"/>
      <w:r w:rsidRPr="003D35AA">
        <w:rPr>
          <w:color w:val="000000" w:themeColor="text1"/>
          <w:lang w:val="x-none"/>
        </w:rPr>
        <w:t xml:space="preserve"> </w:t>
      </w:r>
      <w:proofErr w:type="spellStart"/>
      <w:r w:rsidRPr="003D35AA">
        <w:rPr>
          <w:color w:val="000000" w:themeColor="text1"/>
          <w:lang w:val="x-none"/>
        </w:rPr>
        <w:t>favorabilă</w:t>
      </w:r>
      <w:proofErr w:type="spellEnd"/>
      <w:r w:rsidRPr="003D35AA">
        <w:rPr>
          <w:color w:val="000000" w:themeColor="text1"/>
          <w:lang w:val="x-none"/>
        </w:rPr>
        <w:t xml:space="preserve">, </w:t>
      </w:r>
      <w:proofErr w:type="spellStart"/>
      <w:r w:rsidRPr="003D35AA">
        <w:rPr>
          <w:color w:val="000000" w:themeColor="text1"/>
          <w:lang w:val="x-none"/>
        </w:rPr>
        <w:t>Directiva</w:t>
      </w:r>
      <w:proofErr w:type="spellEnd"/>
      <w:r w:rsidRPr="003D35AA">
        <w:rPr>
          <w:color w:val="000000" w:themeColor="text1"/>
          <w:lang w:val="x-none"/>
        </w:rPr>
        <w:t xml:space="preserve"> </w:t>
      </w:r>
      <w:proofErr w:type="spellStart"/>
      <w:r w:rsidRPr="003D35AA">
        <w:rPr>
          <w:color w:val="000000" w:themeColor="text1"/>
          <w:lang w:val="x-none"/>
        </w:rPr>
        <w:t>impune</w:t>
      </w:r>
      <w:proofErr w:type="spellEnd"/>
      <w:r w:rsidRPr="003D35AA">
        <w:rPr>
          <w:color w:val="000000" w:themeColor="text1"/>
          <w:lang w:val="x-none"/>
        </w:rPr>
        <w:t xml:space="preserve"> ca </w:t>
      </w:r>
      <w:proofErr w:type="spellStart"/>
      <w:r w:rsidRPr="003D35AA">
        <w:rPr>
          <w:color w:val="000000" w:themeColor="text1"/>
          <w:lang w:val="x-none"/>
        </w:rPr>
        <w:t>structură</w:t>
      </w:r>
      <w:proofErr w:type="spellEnd"/>
      <w:r w:rsidRPr="003D35AA">
        <w:rPr>
          <w:color w:val="000000" w:themeColor="text1"/>
          <w:lang w:val="x-none"/>
        </w:rPr>
        <w:t xml:space="preserve"> </w:t>
      </w:r>
      <w:proofErr w:type="spellStart"/>
      <w:r w:rsidRPr="003D35AA">
        <w:rPr>
          <w:color w:val="000000" w:themeColor="text1"/>
          <w:lang w:val="x-none"/>
        </w:rPr>
        <w:t>și</w:t>
      </w:r>
      <w:proofErr w:type="spellEnd"/>
      <w:r w:rsidRPr="003D35AA">
        <w:rPr>
          <w:color w:val="000000" w:themeColor="text1"/>
          <w:lang w:val="x-none"/>
        </w:rPr>
        <w:t xml:space="preserve"> </w:t>
      </w:r>
      <w:proofErr w:type="spellStart"/>
      <w:r w:rsidRPr="003D35AA">
        <w:rPr>
          <w:color w:val="000000" w:themeColor="text1"/>
          <w:lang w:val="x-none"/>
        </w:rPr>
        <w:t>funcțiile</w:t>
      </w:r>
      <w:proofErr w:type="spellEnd"/>
      <w:r w:rsidRPr="003D35AA">
        <w:rPr>
          <w:color w:val="000000" w:themeColor="text1"/>
          <w:lang w:val="x-none"/>
        </w:rPr>
        <w:t xml:space="preserve"> sale </w:t>
      </w:r>
      <w:proofErr w:type="spellStart"/>
      <w:r w:rsidRPr="003D35AA">
        <w:rPr>
          <w:color w:val="000000" w:themeColor="text1"/>
          <w:lang w:val="x-none"/>
        </w:rPr>
        <w:t>să</w:t>
      </w:r>
      <w:proofErr w:type="spellEnd"/>
      <w:r w:rsidRPr="003D35AA">
        <w:rPr>
          <w:color w:val="000000" w:themeColor="text1"/>
          <w:lang w:val="x-none"/>
        </w:rPr>
        <w:t xml:space="preserve"> fie </w:t>
      </w:r>
      <w:proofErr w:type="spellStart"/>
      <w:r w:rsidRPr="003D35AA">
        <w:rPr>
          <w:color w:val="000000" w:themeColor="text1"/>
          <w:lang w:val="x-none"/>
        </w:rPr>
        <w:t>favorabile</w:t>
      </w:r>
      <w:proofErr w:type="spellEnd"/>
      <w:r w:rsidRPr="003D35AA">
        <w:rPr>
          <w:color w:val="000000" w:themeColor="text1"/>
          <w:lang w:val="x-none"/>
        </w:rPr>
        <w:t xml:space="preserve">, </w:t>
      </w:r>
      <w:proofErr w:type="spellStart"/>
      <w:r w:rsidRPr="003D35AA">
        <w:rPr>
          <w:color w:val="000000" w:themeColor="text1"/>
          <w:lang w:val="x-none"/>
        </w:rPr>
        <w:t>iar</w:t>
      </w:r>
      <w:proofErr w:type="spellEnd"/>
      <w:r w:rsidRPr="003D35AA">
        <w:rPr>
          <w:color w:val="000000" w:themeColor="text1"/>
          <w:lang w:val="x-none"/>
        </w:rPr>
        <w:t xml:space="preserve"> „</w:t>
      </w:r>
      <w:proofErr w:type="spellStart"/>
      <w:r w:rsidRPr="003D35AA">
        <w:rPr>
          <w:color w:val="000000" w:themeColor="text1"/>
          <w:lang w:val="x-none"/>
        </w:rPr>
        <w:t>speciile</w:t>
      </w:r>
      <w:proofErr w:type="spellEnd"/>
      <w:r w:rsidRPr="003D35AA">
        <w:rPr>
          <w:color w:val="000000" w:themeColor="text1"/>
          <w:lang w:val="x-none"/>
        </w:rPr>
        <w:t xml:space="preserve"> </w:t>
      </w:r>
      <w:proofErr w:type="spellStart"/>
      <w:r w:rsidRPr="003D35AA">
        <w:rPr>
          <w:color w:val="000000" w:themeColor="text1"/>
          <w:lang w:val="x-none"/>
        </w:rPr>
        <w:t>tipice</w:t>
      </w:r>
      <w:proofErr w:type="spellEnd"/>
      <w:r w:rsidRPr="003D35AA">
        <w:rPr>
          <w:color w:val="000000" w:themeColor="text1"/>
          <w:lang w:val="x-none"/>
        </w:rPr>
        <w:t xml:space="preserve">” </w:t>
      </w:r>
      <w:proofErr w:type="spellStart"/>
      <w:r w:rsidRPr="003D35AA">
        <w:rPr>
          <w:color w:val="000000" w:themeColor="text1"/>
          <w:lang w:val="x-none"/>
        </w:rPr>
        <w:t>să</w:t>
      </w:r>
      <w:proofErr w:type="spellEnd"/>
      <w:r w:rsidRPr="003D35AA">
        <w:rPr>
          <w:color w:val="000000" w:themeColor="text1"/>
          <w:lang w:val="x-none"/>
        </w:rPr>
        <w:t xml:space="preserve"> fie la </w:t>
      </w:r>
      <w:proofErr w:type="spellStart"/>
      <w:r w:rsidRPr="003D35AA">
        <w:rPr>
          <w:color w:val="000000" w:themeColor="text1"/>
          <w:lang w:val="x-none"/>
        </w:rPr>
        <w:t>starea</w:t>
      </w:r>
      <w:proofErr w:type="spellEnd"/>
      <w:r w:rsidRPr="003D35AA">
        <w:rPr>
          <w:color w:val="000000" w:themeColor="text1"/>
          <w:lang w:val="x-none"/>
        </w:rPr>
        <w:t xml:space="preserve"> de </w:t>
      </w:r>
      <w:proofErr w:type="spellStart"/>
      <w:r w:rsidRPr="003D35AA">
        <w:rPr>
          <w:color w:val="000000" w:themeColor="text1"/>
          <w:lang w:val="x-none"/>
        </w:rPr>
        <w:t>conservare</w:t>
      </w:r>
      <w:proofErr w:type="spellEnd"/>
      <w:r w:rsidRPr="003D35AA">
        <w:rPr>
          <w:color w:val="000000" w:themeColor="text1"/>
          <w:lang w:val="x-none"/>
        </w:rPr>
        <w:t xml:space="preserve"> </w:t>
      </w:r>
      <w:proofErr w:type="spellStart"/>
      <w:r w:rsidRPr="003D35AA">
        <w:rPr>
          <w:color w:val="000000" w:themeColor="text1"/>
          <w:lang w:val="x-none"/>
        </w:rPr>
        <w:t>favorabilă</w:t>
      </w:r>
      <w:proofErr w:type="spellEnd"/>
      <w:r w:rsidRPr="003D35AA">
        <w:rPr>
          <w:color w:val="000000" w:themeColor="text1"/>
          <w:lang w:val="x-none"/>
        </w:rPr>
        <w:t>.</w:t>
      </w:r>
    </w:p>
    <w:p w14:paraId="4FA6C408" w14:textId="77777777" w:rsidR="00FB2A0C" w:rsidRPr="003D35AA" w:rsidRDefault="00FB2A0C" w:rsidP="00FB2A0C">
      <w:pPr>
        <w:autoSpaceDE w:val="0"/>
        <w:autoSpaceDN w:val="0"/>
        <w:adjustRightInd w:val="0"/>
        <w:jc w:val="both"/>
        <w:rPr>
          <w:color w:val="000000" w:themeColor="text1"/>
          <w:lang w:val="x-none"/>
        </w:rPr>
      </w:pPr>
      <w:r w:rsidRPr="003D35AA">
        <w:rPr>
          <w:b/>
          <w:bCs/>
          <w:color w:val="000000" w:themeColor="text1"/>
          <w:lang w:val="x-none"/>
        </w:rPr>
        <w:tab/>
      </w:r>
      <w:proofErr w:type="spellStart"/>
      <w:r w:rsidRPr="003D35AA">
        <w:rPr>
          <w:color w:val="000000" w:themeColor="text1"/>
          <w:lang w:val="x-none"/>
        </w:rPr>
        <w:t>Structura</w:t>
      </w:r>
      <w:proofErr w:type="spellEnd"/>
      <w:r w:rsidRPr="003D35AA">
        <w:rPr>
          <w:color w:val="000000" w:themeColor="text1"/>
          <w:lang w:val="x-none"/>
        </w:rPr>
        <w:t xml:space="preserve"> </w:t>
      </w:r>
      <w:proofErr w:type="spellStart"/>
      <w:r w:rsidRPr="003D35AA">
        <w:rPr>
          <w:color w:val="000000" w:themeColor="text1"/>
          <w:lang w:val="x-none"/>
        </w:rPr>
        <w:t>funcţiil</w:t>
      </w:r>
      <w:r w:rsidRPr="003D35AA">
        <w:rPr>
          <w:color w:val="000000" w:themeColor="text1"/>
        </w:rPr>
        <w:t>or</w:t>
      </w:r>
      <w:proofErr w:type="spellEnd"/>
      <w:r w:rsidRPr="003D35AA">
        <w:rPr>
          <w:color w:val="000000" w:themeColor="text1"/>
          <w:lang w:val="x-none"/>
        </w:rPr>
        <w:t xml:space="preserve"> </w:t>
      </w:r>
      <w:proofErr w:type="spellStart"/>
      <w:r w:rsidRPr="003D35AA">
        <w:rPr>
          <w:color w:val="000000" w:themeColor="text1"/>
          <w:lang w:val="x-none"/>
        </w:rPr>
        <w:t>habitatelor</w:t>
      </w:r>
      <w:proofErr w:type="spellEnd"/>
      <w:r w:rsidRPr="003D35AA">
        <w:rPr>
          <w:color w:val="000000" w:themeColor="text1"/>
          <w:lang w:val="x-none"/>
        </w:rPr>
        <w:t xml:space="preserve"> marine </w:t>
      </w:r>
      <w:proofErr w:type="spellStart"/>
      <w:r w:rsidRPr="003D35AA">
        <w:rPr>
          <w:color w:val="000000" w:themeColor="text1"/>
          <w:lang w:val="x-none"/>
        </w:rPr>
        <w:t>şi</w:t>
      </w:r>
      <w:proofErr w:type="spellEnd"/>
      <w:r w:rsidRPr="003D35AA">
        <w:rPr>
          <w:color w:val="000000" w:themeColor="text1"/>
          <w:lang w:val="x-none"/>
        </w:rPr>
        <w:t xml:space="preserve"> </w:t>
      </w:r>
      <w:proofErr w:type="spellStart"/>
      <w:r w:rsidRPr="003D35AA">
        <w:rPr>
          <w:color w:val="000000" w:themeColor="text1"/>
          <w:lang w:val="x-none"/>
        </w:rPr>
        <w:t>costiere</w:t>
      </w:r>
      <w:proofErr w:type="spellEnd"/>
      <w:r w:rsidRPr="003D35AA">
        <w:rPr>
          <w:color w:val="000000" w:themeColor="text1"/>
          <w:lang w:val="x-none"/>
        </w:rPr>
        <w:t xml:space="preserve"> </w:t>
      </w:r>
      <w:r w:rsidRPr="003D35AA">
        <w:rPr>
          <w:color w:val="000000" w:themeColor="text1"/>
        </w:rPr>
        <w:t>se</w:t>
      </w:r>
      <w:r w:rsidRPr="003D35AA">
        <w:rPr>
          <w:color w:val="000000" w:themeColor="text1"/>
          <w:lang w:val="x-none"/>
        </w:rPr>
        <w:t xml:space="preserve"> </w:t>
      </w:r>
      <w:proofErr w:type="spellStart"/>
      <w:r w:rsidRPr="003D35AA">
        <w:rPr>
          <w:color w:val="000000" w:themeColor="text1"/>
          <w:lang w:val="x-none"/>
        </w:rPr>
        <w:t>monitoriz</w:t>
      </w:r>
      <w:r w:rsidRPr="003D35AA">
        <w:rPr>
          <w:color w:val="000000" w:themeColor="text1"/>
        </w:rPr>
        <w:t>ează</w:t>
      </w:r>
      <w:proofErr w:type="spellEnd"/>
      <w:r w:rsidRPr="003D35AA">
        <w:rPr>
          <w:color w:val="000000" w:themeColor="text1"/>
          <w:lang w:val="x-none"/>
        </w:rPr>
        <w:t xml:space="preserve"> pe </w:t>
      </w:r>
      <w:proofErr w:type="spellStart"/>
      <w:r w:rsidRPr="003D35AA">
        <w:rPr>
          <w:color w:val="000000" w:themeColor="text1"/>
          <w:lang w:val="x-none"/>
        </w:rPr>
        <w:t>baza</w:t>
      </w:r>
      <w:proofErr w:type="spellEnd"/>
      <w:r w:rsidRPr="003D35AA">
        <w:rPr>
          <w:color w:val="000000" w:themeColor="text1"/>
          <w:lang w:val="x-none"/>
        </w:rPr>
        <w:t xml:space="preserve"> </w:t>
      </w:r>
      <w:proofErr w:type="spellStart"/>
      <w:r w:rsidRPr="003D35AA">
        <w:rPr>
          <w:color w:val="000000" w:themeColor="text1"/>
          <w:lang w:val="x-none"/>
        </w:rPr>
        <w:t>unor</w:t>
      </w:r>
      <w:proofErr w:type="spellEnd"/>
      <w:r w:rsidRPr="003D35AA">
        <w:rPr>
          <w:color w:val="000000" w:themeColor="text1"/>
          <w:lang w:val="x-none"/>
        </w:rPr>
        <w:t xml:space="preserve"> </w:t>
      </w:r>
      <w:proofErr w:type="spellStart"/>
      <w:r w:rsidRPr="003D35AA">
        <w:rPr>
          <w:color w:val="000000" w:themeColor="text1"/>
          <w:lang w:val="x-none"/>
        </w:rPr>
        <w:t>parametri</w:t>
      </w:r>
      <w:proofErr w:type="spellEnd"/>
      <w:r w:rsidRPr="003D35AA">
        <w:rPr>
          <w:color w:val="000000" w:themeColor="text1"/>
          <w:lang w:val="x-none"/>
        </w:rPr>
        <w:t xml:space="preserve"> </w:t>
      </w:r>
      <w:proofErr w:type="spellStart"/>
      <w:r w:rsidRPr="003D35AA">
        <w:rPr>
          <w:color w:val="000000" w:themeColor="text1"/>
          <w:lang w:val="x-none"/>
        </w:rPr>
        <w:t>specifici</w:t>
      </w:r>
      <w:proofErr w:type="spellEnd"/>
      <w:r w:rsidRPr="003D35AA">
        <w:rPr>
          <w:color w:val="000000" w:themeColor="text1"/>
          <w:lang w:val="x-none"/>
        </w:rPr>
        <w:t xml:space="preserve"> </w:t>
      </w:r>
      <w:proofErr w:type="spellStart"/>
      <w:r w:rsidRPr="003D35AA">
        <w:rPr>
          <w:color w:val="000000" w:themeColor="text1"/>
          <w:lang w:val="x-none"/>
        </w:rPr>
        <w:t>tipului</w:t>
      </w:r>
      <w:proofErr w:type="spellEnd"/>
      <w:r w:rsidRPr="003D35AA">
        <w:rPr>
          <w:color w:val="000000" w:themeColor="text1"/>
          <w:lang w:val="x-none"/>
        </w:rPr>
        <w:t xml:space="preserve"> de habitat:</w:t>
      </w:r>
    </w:p>
    <w:p w14:paraId="4BBB3CD9" w14:textId="77777777" w:rsidR="00FB2A0C" w:rsidRPr="003D35AA" w:rsidRDefault="00FB2A0C" w:rsidP="009E63E5">
      <w:pPr>
        <w:numPr>
          <w:ilvl w:val="0"/>
          <w:numId w:val="24"/>
        </w:numPr>
        <w:autoSpaceDE w:val="0"/>
        <w:autoSpaceDN w:val="0"/>
        <w:adjustRightInd w:val="0"/>
        <w:jc w:val="both"/>
        <w:rPr>
          <w:color w:val="000000" w:themeColor="text1"/>
          <w:lang w:val="x-none"/>
        </w:rPr>
      </w:pPr>
      <w:proofErr w:type="spellStart"/>
      <w:r w:rsidRPr="003D35AA">
        <w:rPr>
          <w:color w:val="000000" w:themeColor="text1"/>
          <w:lang w:val="x-none"/>
        </w:rPr>
        <w:t>Caracteristici</w:t>
      </w:r>
      <w:proofErr w:type="spellEnd"/>
      <w:r w:rsidRPr="003D35AA">
        <w:rPr>
          <w:color w:val="000000" w:themeColor="text1"/>
          <w:lang w:val="x-none"/>
        </w:rPr>
        <w:t xml:space="preserve"> </w:t>
      </w:r>
      <w:proofErr w:type="spellStart"/>
      <w:r w:rsidRPr="003D35AA">
        <w:rPr>
          <w:color w:val="000000" w:themeColor="text1"/>
          <w:lang w:val="x-none"/>
        </w:rPr>
        <w:t>fiziografice</w:t>
      </w:r>
      <w:proofErr w:type="spellEnd"/>
      <w:r w:rsidRPr="003D35AA">
        <w:rPr>
          <w:color w:val="000000" w:themeColor="text1"/>
          <w:lang w:val="x-none"/>
        </w:rPr>
        <w:t xml:space="preserve"> ale </w:t>
      </w:r>
      <w:proofErr w:type="spellStart"/>
      <w:r w:rsidRPr="003D35AA">
        <w:rPr>
          <w:color w:val="000000" w:themeColor="text1"/>
          <w:lang w:val="x-none"/>
        </w:rPr>
        <w:t>substratului</w:t>
      </w:r>
      <w:proofErr w:type="spellEnd"/>
      <w:r w:rsidRPr="003D35AA">
        <w:rPr>
          <w:color w:val="000000" w:themeColor="text1"/>
          <w:lang w:val="x-none"/>
        </w:rPr>
        <w:t xml:space="preserve">: tip </w:t>
      </w:r>
      <w:proofErr w:type="spellStart"/>
      <w:r w:rsidRPr="003D35AA">
        <w:rPr>
          <w:color w:val="000000" w:themeColor="text1"/>
          <w:lang w:val="x-none"/>
        </w:rPr>
        <w:t>fiziografic</w:t>
      </w:r>
      <w:proofErr w:type="spellEnd"/>
      <w:r w:rsidRPr="003D35AA">
        <w:rPr>
          <w:color w:val="000000" w:themeColor="text1"/>
          <w:lang w:val="x-none"/>
        </w:rPr>
        <w:t xml:space="preserve"> - </w:t>
      </w:r>
      <w:proofErr w:type="spellStart"/>
      <w:r w:rsidRPr="003D35AA">
        <w:rPr>
          <w:color w:val="000000" w:themeColor="text1"/>
          <w:lang w:val="x-none"/>
        </w:rPr>
        <w:t>expoziţie</w:t>
      </w:r>
      <w:proofErr w:type="spellEnd"/>
      <w:r w:rsidRPr="003D35AA">
        <w:rPr>
          <w:color w:val="000000" w:themeColor="text1"/>
          <w:lang w:val="x-none"/>
        </w:rPr>
        <w:t xml:space="preserve">, </w:t>
      </w:r>
      <w:proofErr w:type="spellStart"/>
      <w:r w:rsidRPr="003D35AA">
        <w:rPr>
          <w:color w:val="000000" w:themeColor="text1"/>
          <w:lang w:val="x-none"/>
        </w:rPr>
        <w:t>expunere</w:t>
      </w:r>
      <w:proofErr w:type="spellEnd"/>
      <w:r w:rsidRPr="003D35AA">
        <w:rPr>
          <w:color w:val="000000" w:themeColor="text1"/>
          <w:lang w:val="x-none"/>
        </w:rPr>
        <w:t xml:space="preserve"> </w:t>
      </w:r>
      <w:proofErr w:type="spellStart"/>
      <w:r w:rsidRPr="003D35AA">
        <w:rPr>
          <w:color w:val="000000" w:themeColor="text1"/>
          <w:lang w:val="x-none"/>
        </w:rPr>
        <w:t>val</w:t>
      </w:r>
      <w:proofErr w:type="spellEnd"/>
      <w:r w:rsidRPr="003D35AA">
        <w:rPr>
          <w:color w:val="000000" w:themeColor="text1"/>
          <w:lang w:val="x-none"/>
        </w:rPr>
        <w:t xml:space="preserve">, tip </w:t>
      </w:r>
      <w:proofErr w:type="spellStart"/>
      <w:r w:rsidRPr="003D35AA">
        <w:rPr>
          <w:color w:val="000000" w:themeColor="text1"/>
          <w:lang w:val="x-none"/>
        </w:rPr>
        <w:t>ţărm</w:t>
      </w:r>
      <w:proofErr w:type="spellEnd"/>
      <w:r w:rsidRPr="003D35AA">
        <w:rPr>
          <w:color w:val="000000" w:themeColor="text1"/>
          <w:lang w:val="x-none"/>
        </w:rPr>
        <w:t xml:space="preserve">, </w:t>
      </w:r>
      <w:proofErr w:type="spellStart"/>
      <w:r w:rsidRPr="003D35AA">
        <w:rPr>
          <w:color w:val="000000" w:themeColor="text1"/>
          <w:lang w:val="x-none"/>
        </w:rPr>
        <w:t>înclinaţie</w:t>
      </w:r>
      <w:proofErr w:type="spellEnd"/>
      <w:r w:rsidRPr="003D35AA">
        <w:rPr>
          <w:color w:val="000000" w:themeColor="text1"/>
          <w:lang w:val="x-none"/>
        </w:rPr>
        <w:t xml:space="preserve">, tip </w:t>
      </w:r>
      <w:proofErr w:type="spellStart"/>
      <w:r w:rsidRPr="003D35AA">
        <w:rPr>
          <w:color w:val="000000" w:themeColor="text1"/>
          <w:lang w:val="x-none"/>
        </w:rPr>
        <w:t>substrat</w:t>
      </w:r>
      <w:proofErr w:type="spellEnd"/>
      <w:r w:rsidRPr="003D35AA">
        <w:rPr>
          <w:color w:val="000000" w:themeColor="text1"/>
          <w:lang w:val="x-none"/>
        </w:rPr>
        <w:t xml:space="preserve"> predominant (</w:t>
      </w:r>
      <w:proofErr w:type="spellStart"/>
      <w:r w:rsidRPr="003D35AA">
        <w:rPr>
          <w:color w:val="000000" w:themeColor="text1"/>
          <w:lang w:val="x-none"/>
        </w:rPr>
        <w:t>analize</w:t>
      </w:r>
      <w:proofErr w:type="spellEnd"/>
      <w:r w:rsidRPr="003D35AA">
        <w:rPr>
          <w:color w:val="000000" w:themeColor="text1"/>
          <w:lang w:val="x-none"/>
        </w:rPr>
        <w:t xml:space="preserve"> </w:t>
      </w:r>
      <w:proofErr w:type="spellStart"/>
      <w:r w:rsidRPr="003D35AA">
        <w:rPr>
          <w:color w:val="000000" w:themeColor="text1"/>
          <w:lang w:val="x-none"/>
        </w:rPr>
        <w:t>granulometrice</w:t>
      </w:r>
      <w:proofErr w:type="spellEnd"/>
      <w:r w:rsidRPr="003D35AA">
        <w:rPr>
          <w:color w:val="000000" w:themeColor="text1"/>
          <w:lang w:val="x-none"/>
        </w:rPr>
        <w:t xml:space="preserve">), </w:t>
      </w:r>
      <w:proofErr w:type="spellStart"/>
      <w:r w:rsidRPr="003D35AA">
        <w:rPr>
          <w:color w:val="000000" w:themeColor="text1"/>
          <w:lang w:val="x-none"/>
        </w:rPr>
        <w:t>caracteristici</w:t>
      </w:r>
      <w:proofErr w:type="spellEnd"/>
      <w:r w:rsidRPr="003D35AA">
        <w:rPr>
          <w:color w:val="000000" w:themeColor="text1"/>
          <w:lang w:val="x-none"/>
        </w:rPr>
        <w:t xml:space="preserve"> </w:t>
      </w:r>
      <w:proofErr w:type="spellStart"/>
      <w:r w:rsidRPr="003D35AA">
        <w:rPr>
          <w:color w:val="000000" w:themeColor="text1"/>
          <w:lang w:val="x-none"/>
        </w:rPr>
        <w:t>substrat</w:t>
      </w:r>
      <w:proofErr w:type="spellEnd"/>
      <w:r w:rsidRPr="003D35AA">
        <w:rPr>
          <w:color w:val="000000" w:themeColor="text1"/>
          <w:lang w:val="x-none"/>
        </w:rPr>
        <w:t xml:space="preserve"> (</w:t>
      </w:r>
      <w:proofErr w:type="spellStart"/>
      <w:r w:rsidRPr="003D35AA">
        <w:rPr>
          <w:color w:val="000000" w:themeColor="text1"/>
          <w:lang w:val="x-none"/>
        </w:rPr>
        <w:t>tasare</w:t>
      </w:r>
      <w:proofErr w:type="spellEnd"/>
      <w:r w:rsidRPr="003D35AA">
        <w:rPr>
          <w:color w:val="000000" w:themeColor="text1"/>
          <w:lang w:val="x-none"/>
        </w:rPr>
        <w:t xml:space="preserve">, </w:t>
      </w:r>
      <w:proofErr w:type="spellStart"/>
      <w:r w:rsidRPr="003D35AA">
        <w:rPr>
          <w:color w:val="000000" w:themeColor="text1"/>
          <w:lang w:val="x-none"/>
        </w:rPr>
        <w:t>stabilitate</w:t>
      </w:r>
      <w:proofErr w:type="spellEnd"/>
      <w:r w:rsidRPr="003D35AA">
        <w:rPr>
          <w:color w:val="000000" w:themeColor="text1"/>
          <w:lang w:val="x-none"/>
        </w:rPr>
        <w:t xml:space="preserve">, </w:t>
      </w:r>
      <w:proofErr w:type="spellStart"/>
      <w:r w:rsidRPr="003D35AA">
        <w:rPr>
          <w:color w:val="000000" w:themeColor="text1"/>
          <w:lang w:val="x-none"/>
        </w:rPr>
        <w:t>sortare</w:t>
      </w:r>
      <w:proofErr w:type="spellEnd"/>
      <w:r w:rsidRPr="003D35AA">
        <w:rPr>
          <w:color w:val="000000" w:themeColor="text1"/>
          <w:lang w:val="x-none"/>
        </w:rPr>
        <w:t xml:space="preserve">), </w:t>
      </w:r>
      <w:proofErr w:type="spellStart"/>
      <w:r w:rsidRPr="003D35AA">
        <w:rPr>
          <w:color w:val="000000" w:themeColor="text1"/>
          <w:lang w:val="x-none"/>
        </w:rPr>
        <w:t>morfologia</w:t>
      </w:r>
      <w:proofErr w:type="spellEnd"/>
      <w:r w:rsidRPr="003D35AA">
        <w:rPr>
          <w:color w:val="000000" w:themeColor="text1"/>
          <w:lang w:val="x-none"/>
        </w:rPr>
        <w:t xml:space="preserve"> </w:t>
      </w:r>
      <w:proofErr w:type="spellStart"/>
      <w:r w:rsidRPr="003D35AA">
        <w:rPr>
          <w:color w:val="000000" w:themeColor="text1"/>
          <w:lang w:val="x-none"/>
        </w:rPr>
        <w:t>malurilor</w:t>
      </w:r>
      <w:proofErr w:type="spellEnd"/>
      <w:r w:rsidRPr="003D35AA">
        <w:rPr>
          <w:color w:val="000000" w:themeColor="text1"/>
          <w:lang w:val="x-none"/>
        </w:rPr>
        <w:t xml:space="preserve"> (</w:t>
      </w:r>
      <w:proofErr w:type="spellStart"/>
      <w:r w:rsidRPr="003D35AA">
        <w:rPr>
          <w:color w:val="000000" w:themeColor="text1"/>
          <w:lang w:val="x-none"/>
        </w:rPr>
        <w:t>prezenţa</w:t>
      </w:r>
      <w:proofErr w:type="spellEnd"/>
      <w:r w:rsidRPr="003D35AA">
        <w:rPr>
          <w:color w:val="000000" w:themeColor="text1"/>
          <w:lang w:val="x-none"/>
        </w:rPr>
        <w:t xml:space="preserve"> </w:t>
      </w:r>
      <w:proofErr w:type="spellStart"/>
      <w:r w:rsidRPr="003D35AA">
        <w:rPr>
          <w:color w:val="000000" w:themeColor="text1"/>
          <w:lang w:val="x-none"/>
        </w:rPr>
        <w:t>barierei</w:t>
      </w:r>
      <w:proofErr w:type="spellEnd"/>
      <w:r w:rsidRPr="003D35AA">
        <w:rPr>
          <w:color w:val="000000" w:themeColor="text1"/>
          <w:lang w:val="x-none"/>
        </w:rPr>
        <w:t xml:space="preserve"> </w:t>
      </w:r>
      <w:proofErr w:type="spellStart"/>
      <w:r w:rsidRPr="003D35AA">
        <w:rPr>
          <w:color w:val="000000" w:themeColor="text1"/>
          <w:lang w:val="x-none"/>
        </w:rPr>
        <w:t>lagunare</w:t>
      </w:r>
      <w:proofErr w:type="spellEnd"/>
      <w:r w:rsidRPr="003D35AA">
        <w:rPr>
          <w:color w:val="000000" w:themeColor="text1"/>
          <w:lang w:val="x-none"/>
        </w:rPr>
        <w:t xml:space="preserve">, tip </w:t>
      </w:r>
      <w:proofErr w:type="spellStart"/>
      <w:r w:rsidRPr="003D35AA">
        <w:rPr>
          <w:color w:val="000000" w:themeColor="text1"/>
          <w:lang w:val="x-none"/>
        </w:rPr>
        <w:t>vegetaţie</w:t>
      </w:r>
      <w:proofErr w:type="spellEnd"/>
      <w:r w:rsidRPr="003D35AA">
        <w:rPr>
          <w:color w:val="000000" w:themeColor="text1"/>
          <w:lang w:val="x-none"/>
        </w:rPr>
        <w:t>)</w:t>
      </w:r>
    </w:p>
    <w:p w14:paraId="691A37C8" w14:textId="77777777" w:rsidR="00FB2A0C" w:rsidRPr="003D35AA" w:rsidRDefault="00FB2A0C" w:rsidP="009E63E5">
      <w:pPr>
        <w:numPr>
          <w:ilvl w:val="0"/>
          <w:numId w:val="24"/>
        </w:numPr>
        <w:autoSpaceDE w:val="0"/>
        <w:autoSpaceDN w:val="0"/>
        <w:adjustRightInd w:val="0"/>
        <w:jc w:val="both"/>
        <w:rPr>
          <w:color w:val="000000" w:themeColor="text1"/>
          <w:lang w:val="x-none"/>
        </w:rPr>
      </w:pPr>
      <w:proofErr w:type="spellStart"/>
      <w:r w:rsidRPr="003D35AA">
        <w:rPr>
          <w:color w:val="000000" w:themeColor="text1"/>
          <w:lang w:val="x-none"/>
        </w:rPr>
        <w:t>Caracteristicile</w:t>
      </w:r>
      <w:proofErr w:type="spellEnd"/>
      <w:r w:rsidRPr="003D35AA">
        <w:rPr>
          <w:color w:val="000000" w:themeColor="text1"/>
          <w:lang w:val="x-none"/>
        </w:rPr>
        <w:t xml:space="preserve"> </w:t>
      </w:r>
      <w:proofErr w:type="spellStart"/>
      <w:r w:rsidRPr="003D35AA">
        <w:rPr>
          <w:color w:val="000000" w:themeColor="text1"/>
          <w:lang w:val="x-none"/>
        </w:rPr>
        <w:t>maselor</w:t>
      </w:r>
      <w:proofErr w:type="spellEnd"/>
      <w:r w:rsidRPr="003D35AA">
        <w:rPr>
          <w:color w:val="000000" w:themeColor="text1"/>
          <w:lang w:val="x-none"/>
        </w:rPr>
        <w:t xml:space="preserve"> de </w:t>
      </w:r>
      <w:proofErr w:type="spellStart"/>
      <w:r w:rsidRPr="003D35AA">
        <w:rPr>
          <w:color w:val="000000" w:themeColor="text1"/>
          <w:lang w:val="x-none"/>
        </w:rPr>
        <w:t>apă</w:t>
      </w:r>
      <w:proofErr w:type="spellEnd"/>
      <w:r w:rsidRPr="003D35AA">
        <w:rPr>
          <w:color w:val="000000" w:themeColor="text1"/>
          <w:lang w:val="x-none"/>
        </w:rPr>
        <w:t xml:space="preserve">: </w:t>
      </w:r>
      <w:proofErr w:type="spellStart"/>
      <w:r w:rsidRPr="003D35AA">
        <w:rPr>
          <w:color w:val="000000" w:themeColor="text1"/>
          <w:lang w:val="x-none"/>
        </w:rPr>
        <w:t>temperatura</w:t>
      </w:r>
      <w:proofErr w:type="spellEnd"/>
      <w:r w:rsidRPr="003D35AA">
        <w:rPr>
          <w:color w:val="000000" w:themeColor="text1"/>
          <w:lang w:val="x-none"/>
        </w:rPr>
        <w:t xml:space="preserve">, </w:t>
      </w:r>
      <w:proofErr w:type="spellStart"/>
      <w:r w:rsidRPr="003D35AA">
        <w:rPr>
          <w:color w:val="000000" w:themeColor="text1"/>
          <w:lang w:val="x-none"/>
        </w:rPr>
        <w:t>salinitate</w:t>
      </w:r>
      <w:proofErr w:type="spellEnd"/>
      <w:r w:rsidRPr="003D35AA">
        <w:rPr>
          <w:color w:val="000000" w:themeColor="text1"/>
          <w:lang w:val="x-none"/>
        </w:rPr>
        <w:t xml:space="preserve">, </w:t>
      </w:r>
      <w:proofErr w:type="spellStart"/>
      <w:r w:rsidRPr="003D35AA">
        <w:rPr>
          <w:color w:val="000000" w:themeColor="text1"/>
          <w:lang w:val="x-none"/>
        </w:rPr>
        <w:t>oxigen</w:t>
      </w:r>
      <w:proofErr w:type="spellEnd"/>
      <w:r w:rsidRPr="003D35AA">
        <w:rPr>
          <w:color w:val="000000" w:themeColor="text1"/>
          <w:lang w:val="x-none"/>
        </w:rPr>
        <w:t xml:space="preserve"> </w:t>
      </w:r>
      <w:proofErr w:type="spellStart"/>
      <w:r w:rsidRPr="003D35AA">
        <w:rPr>
          <w:color w:val="000000" w:themeColor="text1"/>
          <w:lang w:val="x-none"/>
        </w:rPr>
        <w:t>dizolvat</w:t>
      </w:r>
      <w:proofErr w:type="spellEnd"/>
      <w:r w:rsidRPr="003D35AA">
        <w:rPr>
          <w:color w:val="000000" w:themeColor="text1"/>
          <w:lang w:val="x-none"/>
        </w:rPr>
        <w:t xml:space="preserve">, </w:t>
      </w:r>
      <w:proofErr w:type="spellStart"/>
      <w:r w:rsidRPr="003D35AA">
        <w:rPr>
          <w:color w:val="000000" w:themeColor="text1"/>
          <w:lang w:val="x-none"/>
        </w:rPr>
        <w:t>saturaţie</w:t>
      </w:r>
      <w:proofErr w:type="spellEnd"/>
      <w:r w:rsidRPr="003D35AA">
        <w:rPr>
          <w:color w:val="000000" w:themeColor="text1"/>
          <w:lang w:val="x-none"/>
        </w:rPr>
        <w:t xml:space="preserve"> </w:t>
      </w:r>
      <w:proofErr w:type="spellStart"/>
      <w:r w:rsidRPr="003D35AA">
        <w:rPr>
          <w:color w:val="000000" w:themeColor="text1"/>
          <w:lang w:val="x-none"/>
        </w:rPr>
        <w:t>în</w:t>
      </w:r>
      <w:proofErr w:type="spellEnd"/>
      <w:r w:rsidRPr="003D35AA">
        <w:rPr>
          <w:color w:val="000000" w:themeColor="text1"/>
          <w:lang w:val="x-none"/>
        </w:rPr>
        <w:t xml:space="preserve"> </w:t>
      </w:r>
      <w:proofErr w:type="spellStart"/>
      <w:r w:rsidRPr="003D35AA">
        <w:rPr>
          <w:color w:val="000000" w:themeColor="text1"/>
          <w:lang w:val="x-none"/>
        </w:rPr>
        <w:t>oxigen</w:t>
      </w:r>
      <w:proofErr w:type="spellEnd"/>
      <w:r w:rsidRPr="003D35AA">
        <w:rPr>
          <w:color w:val="000000" w:themeColor="text1"/>
          <w:lang w:val="x-none"/>
        </w:rPr>
        <w:t xml:space="preserve"> </w:t>
      </w:r>
      <w:proofErr w:type="spellStart"/>
      <w:r w:rsidRPr="003D35AA">
        <w:rPr>
          <w:color w:val="000000" w:themeColor="text1"/>
          <w:lang w:val="x-none"/>
        </w:rPr>
        <w:t>dizolvat</w:t>
      </w:r>
      <w:proofErr w:type="spellEnd"/>
      <w:r w:rsidRPr="003D35AA">
        <w:rPr>
          <w:color w:val="000000" w:themeColor="text1"/>
          <w:lang w:val="x-none"/>
        </w:rPr>
        <w:t xml:space="preserve">, </w:t>
      </w:r>
      <w:proofErr w:type="spellStart"/>
      <w:r w:rsidRPr="003D35AA">
        <w:rPr>
          <w:color w:val="000000" w:themeColor="text1"/>
          <w:lang w:val="x-none"/>
        </w:rPr>
        <w:t>consum</w:t>
      </w:r>
      <w:proofErr w:type="spellEnd"/>
      <w:r w:rsidRPr="003D35AA">
        <w:rPr>
          <w:color w:val="000000" w:themeColor="text1"/>
          <w:lang w:val="x-none"/>
        </w:rPr>
        <w:t xml:space="preserve"> </w:t>
      </w:r>
      <w:proofErr w:type="spellStart"/>
      <w:r w:rsidRPr="003D35AA">
        <w:rPr>
          <w:color w:val="000000" w:themeColor="text1"/>
          <w:lang w:val="x-none"/>
        </w:rPr>
        <w:t>biochimic</w:t>
      </w:r>
      <w:proofErr w:type="spellEnd"/>
      <w:r w:rsidRPr="003D35AA">
        <w:rPr>
          <w:color w:val="000000" w:themeColor="text1"/>
          <w:lang w:val="x-none"/>
        </w:rPr>
        <w:t xml:space="preserve"> de </w:t>
      </w:r>
      <w:proofErr w:type="spellStart"/>
      <w:r w:rsidRPr="003D35AA">
        <w:rPr>
          <w:color w:val="000000" w:themeColor="text1"/>
          <w:lang w:val="x-none"/>
        </w:rPr>
        <w:t>oxigen</w:t>
      </w:r>
      <w:proofErr w:type="spellEnd"/>
      <w:r w:rsidRPr="003D35AA">
        <w:rPr>
          <w:color w:val="000000" w:themeColor="text1"/>
          <w:lang w:val="x-none"/>
        </w:rPr>
        <w:t xml:space="preserve">, pH, </w:t>
      </w:r>
      <w:proofErr w:type="spellStart"/>
      <w:r w:rsidRPr="003D35AA">
        <w:rPr>
          <w:color w:val="000000" w:themeColor="text1"/>
          <w:lang w:val="x-none"/>
        </w:rPr>
        <w:t>suspensii</w:t>
      </w:r>
      <w:proofErr w:type="spellEnd"/>
      <w:r w:rsidRPr="003D35AA">
        <w:rPr>
          <w:color w:val="000000" w:themeColor="text1"/>
          <w:lang w:val="x-none"/>
        </w:rPr>
        <w:t xml:space="preserve"> </w:t>
      </w:r>
      <w:proofErr w:type="spellStart"/>
      <w:r w:rsidRPr="003D35AA">
        <w:rPr>
          <w:color w:val="000000" w:themeColor="text1"/>
          <w:lang w:val="x-none"/>
        </w:rPr>
        <w:t>solide</w:t>
      </w:r>
      <w:proofErr w:type="spellEnd"/>
      <w:r w:rsidRPr="003D35AA">
        <w:rPr>
          <w:color w:val="000000" w:themeColor="text1"/>
          <w:lang w:val="x-none"/>
        </w:rPr>
        <w:t xml:space="preserve"> </w:t>
      </w:r>
      <w:proofErr w:type="spellStart"/>
      <w:r w:rsidRPr="003D35AA">
        <w:rPr>
          <w:color w:val="000000" w:themeColor="text1"/>
          <w:lang w:val="x-none"/>
        </w:rPr>
        <w:t>totale</w:t>
      </w:r>
      <w:proofErr w:type="spellEnd"/>
      <w:r w:rsidRPr="003D35AA">
        <w:rPr>
          <w:color w:val="000000" w:themeColor="text1"/>
          <w:lang w:val="x-none"/>
        </w:rPr>
        <w:t xml:space="preserve">, </w:t>
      </w:r>
      <w:proofErr w:type="spellStart"/>
      <w:r w:rsidRPr="003D35AA">
        <w:rPr>
          <w:color w:val="000000" w:themeColor="text1"/>
          <w:lang w:val="x-none"/>
        </w:rPr>
        <w:t>poluanţi</w:t>
      </w:r>
      <w:proofErr w:type="spellEnd"/>
      <w:r w:rsidRPr="003D35AA">
        <w:rPr>
          <w:color w:val="000000" w:themeColor="text1"/>
          <w:lang w:val="x-none"/>
        </w:rPr>
        <w:t xml:space="preserve">, </w:t>
      </w:r>
      <w:proofErr w:type="spellStart"/>
      <w:r w:rsidRPr="003D35AA">
        <w:rPr>
          <w:color w:val="000000" w:themeColor="text1"/>
          <w:lang w:val="x-none"/>
        </w:rPr>
        <w:t>nutrienţi</w:t>
      </w:r>
      <w:proofErr w:type="spellEnd"/>
    </w:p>
    <w:p w14:paraId="2DDAE387" w14:textId="77777777" w:rsidR="00FB2A0C" w:rsidRPr="003D35AA" w:rsidRDefault="00FB2A0C" w:rsidP="009E63E5">
      <w:pPr>
        <w:numPr>
          <w:ilvl w:val="0"/>
          <w:numId w:val="24"/>
        </w:numPr>
        <w:autoSpaceDE w:val="0"/>
        <w:autoSpaceDN w:val="0"/>
        <w:adjustRightInd w:val="0"/>
        <w:jc w:val="both"/>
        <w:rPr>
          <w:color w:val="000000" w:themeColor="text1"/>
          <w:lang w:val="x-none"/>
        </w:rPr>
      </w:pPr>
      <w:proofErr w:type="spellStart"/>
      <w:r w:rsidRPr="003D35AA">
        <w:rPr>
          <w:color w:val="000000" w:themeColor="text1"/>
          <w:lang w:val="x-none"/>
        </w:rPr>
        <w:t>Specii</w:t>
      </w:r>
      <w:proofErr w:type="spellEnd"/>
      <w:r w:rsidRPr="003D35AA">
        <w:rPr>
          <w:color w:val="000000" w:themeColor="text1"/>
          <w:lang w:val="x-none"/>
        </w:rPr>
        <w:t xml:space="preserve"> </w:t>
      </w:r>
      <w:proofErr w:type="spellStart"/>
      <w:r w:rsidRPr="003D35AA">
        <w:rPr>
          <w:color w:val="000000" w:themeColor="text1"/>
          <w:lang w:val="x-none"/>
        </w:rPr>
        <w:t>identificate</w:t>
      </w:r>
      <w:proofErr w:type="spellEnd"/>
      <w:r w:rsidRPr="003D35AA">
        <w:rPr>
          <w:color w:val="000000" w:themeColor="text1"/>
          <w:lang w:val="x-none"/>
        </w:rPr>
        <w:t xml:space="preserve"> (</w:t>
      </w:r>
      <w:proofErr w:type="spellStart"/>
      <w:r w:rsidRPr="003D35AA">
        <w:rPr>
          <w:color w:val="000000" w:themeColor="text1"/>
          <w:lang w:val="x-none"/>
        </w:rPr>
        <w:t>prioritare</w:t>
      </w:r>
      <w:proofErr w:type="spellEnd"/>
      <w:r w:rsidRPr="003D35AA">
        <w:rPr>
          <w:color w:val="000000" w:themeColor="text1"/>
          <w:lang w:val="x-none"/>
        </w:rPr>
        <w:t xml:space="preserve">, </w:t>
      </w:r>
      <w:proofErr w:type="spellStart"/>
      <w:r w:rsidRPr="003D35AA">
        <w:rPr>
          <w:color w:val="000000" w:themeColor="text1"/>
          <w:lang w:val="x-none"/>
        </w:rPr>
        <w:t>caracteristice</w:t>
      </w:r>
      <w:proofErr w:type="spellEnd"/>
      <w:r w:rsidRPr="003D35AA">
        <w:rPr>
          <w:color w:val="000000" w:themeColor="text1"/>
          <w:lang w:val="x-none"/>
        </w:rPr>
        <w:t xml:space="preserve">, </w:t>
      </w:r>
      <w:proofErr w:type="spellStart"/>
      <w:r w:rsidRPr="003D35AA">
        <w:rPr>
          <w:color w:val="000000" w:themeColor="text1"/>
          <w:lang w:val="x-none"/>
        </w:rPr>
        <w:t>alohtone</w:t>
      </w:r>
      <w:proofErr w:type="spellEnd"/>
      <w:r w:rsidRPr="003D35AA">
        <w:rPr>
          <w:color w:val="000000" w:themeColor="text1"/>
          <w:lang w:val="x-none"/>
        </w:rPr>
        <w:t xml:space="preserve">), </w:t>
      </w:r>
      <w:proofErr w:type="spellStart"/>
      <w:r w:rsidRPr="003D35AA">
        <w:rPr>
          <w:color w:val="000000" w:themeColor="text1"/>
          <w:lang w:val="x-none"/>
        </w:rPr>
        <w:t>specii</w:t>
      </w:r>
      <w:proofErr w:type="spellEnd"/>
      <w:r w:rsidRPr="003D35AA">
        <w:rPr>
          <w:color w:val="000000" w:themeColor="text1"/>
          <w:lang w:val="x-none"/>
        </w:rPr>
        <w:t xml:space="preserve"> </w:t>
      </w:r>
      <w:proofErr w:type="spellStart"/>
      <w:r w:rsidRPr="003D35AA">
        <w:rPr>
          <w:color w:val="000000" w:themeColor="text1"/>
          <w:lang w:val="x-none"/>
        </w:rPr>
        <w:t>indicatoare</w:t>
      </w:r>
      <w:proofErr w:type="spellEnd"/>
      <w:r w:rsidRPr="003D35AA">
        <w:rPr>
          <w:color w:val="000000" w:themeColor="text1"/>
          <w:lang w:val="x-none"/>
        </w:rPr>
        <w:t xml:space="preserve"> (</w:t>
      </w:r>
      <w:proofErr w:type="spellStart"/>
      <w:r w:rsidRPr="003D35AA">
        <w:rPr>
          <w:color w:val="000000" w:themeColor="text1"/>
          <w:lang w:val="x-none"/>
        </w:rPr>
        <w:t>pentru</w:t>
      </w:r>
      <w:proofErr w:type="spellEnd"/>
      <w:r w:rsidRPr="003D35AA">
        <w:rPr>
          <w:color w:val="000000" w:themeColor="text1"/>
          <w:lang w:val="x-none"/>
        </w:rPr>
        <w:t xml:space="preserve"> </w:t>
      </w:r>
      <w:proofErr w:type="spellStart"/>
      <w:r w:rsidRPr="003D35AA">
        <w:rPr>
          <w:color w:val="000000" w:themeColor="text1"/>
          <w:lang w:val="x-none"/>
        </w:rPr>
        <w:t>habitatele</w:t>
      </w:r>
      <w:proofErr w:type="spellEnd"/>
      <w:r w:rsidRPr="003D35AA">
        <w:rPr>
          <w:color w:val="000000" w:themeColor="text1"/>
          <w:lang w:val="x-none"/>
        </w:rPr>
        <w:t xml:space="preserve"> 1130 </w:t>
      </w:r>
      <w:proofErr w:type="spellStart"/>
      <w:r w:rsidRPr="003D35AA">
        <w:rPr>
          <w:color w:val="000000" w:themeColor="text1"/>
          <w:lang w:val="x-none"/>
        </w:rPr>
        <w:t>şi</w:t>
      </w:r>
      <w:proofErr w:type="spellEnd"/>
      <w:r w:rsidRPr="003D35AA">
        <w:rPr>
          <w:color w:val="000000" w:themeColor="text1"/>
          <w:lang w:val="x-none"/>
        </w:rPr>
        <w:t xml:space="preserve"> 1150 – </w:t>
      </w:r>
      <w:proofErr w:type="spellStart"/>
      <w:r w:rsidRPr="003D35AA">
        <w:rPr>
          <w:color w:val="000000" w:themeColor="text1"/>
          <w:lang w:val="x-none"/>
        </w:rPr>
        <w:t>dulcicole</w:t>
      </w:r>
      <w:proofErr w:type="spellEnd"/>
      <w:r w:rsidRPr="003D35AA">
        <w:rPr>
          <w:color w:val="000000" w:themeColor="text1"/>
          <w:lang w:val="x-none"/>
        </w:rPr>
        <w:t xml:space="preserve">, </w:t>
      </w:r>
      <w:proofErr w:type="spellStart"/>
      <w:r w:rsidRPr="003D35AA">
        <w:rPr>
          <w:color w:val="000000" w:themeColor="text1"/>
          <w:lang w:val="x-none"/>
        </w:rPr>
        <w:t>salmastricol</w:t>
      </w:r>
      <w:r w:rsidRPr="003D35AA">
        <w:rPr>
          <w:color w:val="000000" w:themeColor="text1"/>
        </w:rPr>
        <w:t>e</w:t>
      </w:r>
      <w:proofErr w:type="spellEnd"/>
      <w:r w:rsidRPr="003D35AA">
        <w:rPr>
          <w:color w:val="000000" w:themeColor="text1"/>
          <w:lang w:val="x-none"/>
        </w:rPr>
        <w:t>, marine)</w:t>
      </w:r>
    </w:p>
    <w:p w14:paraId="41576CC9" w14:textId="77777777" w:rsidR="00FB2A0C" w:rsidRPr="003D35AA" w:rsidRDefault="00FB2A0C" w:rsidP="009E63E5">
      <w:pPr>
        <w:numPr>
          <w:ilvl w:val="0"/>
          <w:numId w:val="24"/>
        </w:numPr>
        <w:autoSpaceDE w:val="0"/>
        <w:autoSpaceDN w:val="0"/>
        <w:adjustRightInd w:val="0"/>
        <w:jc w:val="both"/>
        <w:rPr>
          <w:color w:val="000000" w:themeColor="text1"/>
          <w:lang w:val="x-none"/>
        </w:rPr>
      </w:pPr>
      <w:proofErr w:type="spellStart"/>
      <w:r w:rsidRPr="003D35AA">
        <w:rPr>
          <w:color w:val="000000" w:themeColor="text1"/>
          <w:lang w:val="x-none"/>
        </w:rPr>
        <w:t>Funcţiile</w:t>
      </w:r>
      <w:proofErr w:type="spellEnd"/>
      <w:r w:rsidRPr="003D35AA">
        <w:rPr>
          <w:color w:val="000000" w:themeColor="text1"/>
          <w:lang w:val="x-none"/>
        </w:rPr>
        <w:t xml:space="preserve"> </w:t>
      </w:r>
      <w:proofErr w:type="spellStart"/>
      <w:r w:rsidRPr="003D35AA">
        <w:rPr>
          <w:color w:val="000000" w:themeColor="text1"/>
          <w:lang w:val="x-none"/>
        </w:rPr>
        <w:t>habitatului</w:t>
      </w:r>
      <w:proofErr w:type="spellEnd"/>
      <w:r w:rsidRPr="003D35AA">
        <w:rPr>
          <w:color w:val="000000" w:themeColor="text1"/>
          <w:lang w:val="x-none"/>
        </w:rPr>
        <w:t xml:space="preserve"> – pe </w:t>
      </w:r>
      <w:proofErr w:type="spellStart"/>
      <w:r w:rsidRPr="003D35AA">
        <w:rPr>
          <w:color w:val="000000" w:themeColor="text1"/>
          <w:lang w:val="x-none"/>
        </w:rPr>
        <w:t>baza</w:t>
      </w:r>
      <w:proofErr w:type="spellEnd"/>
      <w:r w:rsidRPr="003D35AA">
        <w:rPr>
          <w:color w:val="000000" w:themeColor="text1"/>
          <w:lang w:val="x-none"/>
        </w:rPr>
        <w:t xml:space="preserve"> </w:t>
      </w:r>
      <w:proofErr w:type="spellStart"/>
      <w:r w:rsidRPr="003D35AA">
        <w:rPr>
          <w:color w:val="000000" w:themeColor="text1"/>
          <w:lang w:val="x-none"/>
        </w:rPr>
        <w:t>indic</w:t>
      </w:r>
      <w:r w:rsidRPr="003D35AA">
        <w:rPr>
          <w:color w:val="000000" w:themeColor="text1"/>
        </w:rPr>
        <w:t>ilor</w:t>
      </w:r>
      <w:proofErr w:type="spellEnd"/>
      <w:r w:rsidRPr="003D35AA">
        <w:rPr>
          <w:color w:val="000000" w:themeColor="text1"/>
          <w:lang w:val="x-none"/>
        </w:rPr>
        <w:t xml:space="preserve"> </w:t>
      </w:r>
      <w:proofErr w:type="spellStart"/>
      <w:r w:rsidRPr="003D35AA">
        <w:rPr>
          <w:color w:val="000000" w:themeColor="text1"/>
          <w:lang w:val="x-none"/>
        </w:rPr>
        <w:t>ecologici</w:t>
      </w:r>
      <w:proofErr w:type="spellEnd"/>
      <w:r w:rsidRPr="003D35AA">
        <w:rPr>
          <w:color w:val="000000" w:themeColor="text1"/>
          <w:lang w:val="x-none"/>
        </w:rPr>
        <w:t xml:space="preserve"> (grad </w:t>
      </w:r>
      <w:proofErr w:type="spellStart"/>
      <w:r w:rsidRPr="003D35AA">
        <w:rPr>
          <w:color w:val="000000" w:themeColor="text1"/>
          <w:lang w:val="x-none"/>
        </w:rPr>
        <w:t>eutrofizare</w:t>
      </w:r>
      <w:proofErr w:type="spellEnd"/>
      <w:r w:rsidRPr="003D35AA">
        <w:rPr>
          <w:color w:val="000000" w:themeColor="text1"/>
          <w:lang w:val="x-none"/>
        </w:rPr>
        <w:t xml:space="preserve">, </w:t>
      </w:r>
      <w:proofErr w:type="spellStart"/>
      <w:r w:rsidRPr="003D35AA">
        <w:rPr>
          <w:color w:val="000000" w:themeColor="text1"/>
          <w:lang w:val="x-none"/>
        </w:rPr>
        <w:t>clorofilă</w:t>
      </w:r>
      <w:proofErr w:type="spellEnd"/>
      <w:r w:rsidRPr="003D35AA">
        <w:rPr>
          <w:color w:val="000000" w:themeColor="text1"/>
          <w:lang w:val="x-none"/>
        </w:rPr>
        <w:t>, IBI, M-AMBI, EI, Simper</w:t>
      </w:r>
      <w:r w:rsidRPr="003D35AA">
        <w:rPr>
          <w:color w:val="000000" w:themeColor="text1"/>
        </w:rPr>
        <w:t>, caracteristici fiec</w:t>
      </w:r>
      <w:proofErr w:type="spellStart"/>
      <w:r w:rsidRPr="003D35AA">
        <w:rPr>
          <w:color w:val="000000" w:themeColor="text1"/>
          <w:lang w:val="x-none"/>
        </w:rPr>
        <w:t>ă</w:t>
      </w:r>
      <w:r w:rsidRPr="003D35AA">
        <w:rPr>
          <w:color w:val="000000" w:themeColor="text1"/>
        </w:rPr>
        <w:t>rui</w:t>
      </w:r>
      <w:proofErr w:type="spellEnd"/>
      <w:r w:rsidRPr="003D35AA">
        <w:rPr>
          <w:color w:val="000000" w:themeColor="text1"/>
        </w:rPr>
        <w:t xml:space="preserve"> tip de habitat) prezenta</w:t>
      </w:r>
      <w:proofErr w:type="spellStart"/>
      <w:r w:rsidRPr="003D35AA">
        <w:rPr>
          <w:color w:val="000000" w:themeColor="text1"/>
          <w:lang w:val="x-none"/>
        </w:rPr>
        <w:t>ţ</w:t>
      </w:r>
      <w:r w:rsidRPr="003D35AA">
        <w:rPr>
          <w:color w:val="000000" w:themeColor="text1"/>
        </w:rPr>
        <w:t>i</w:t>
      </w:r>
      <w:proofErr w:type="spellEnd"/>
      <w:r w:rsidRPr="003D35AA">
        <w:rPr>
          <w:color w:val="000000" w:themeColor="text1"/>
        </w:rPr>
        <w:t xml:space="preserve"> </w:t>
      </w:r>
      <w:proofErr w:type="spellStart"/>
      <w:r w:rsidRPr="003D35AA">
        <w:rPr>
          <w:color w:val="000000" w:themeColor="text1"/>
          <w:lang w:val="x-none"/>
        </w:rPr>
        <w:t>în</w:t>
      </w:r>
      <w:proofErr w:type="spellEnd"/>
      <w:r w:rsidRPr="003D35AA">
        <w:rPr>
          <w:color w:val="000000" w:themeColor="text1"/>
        </w:rPr>
        <w:t xml:space="preserve"> ghidul de monitorizare.</w:t>
      </w:r>
    </w:p>
    <w:p w14:paraId="51F54471" w14:textId="77777777" w:rsidR="00FB2A0C" w:rsidRDefault="00FB2A0C" w:rsidP="00FC026B">
      <w:pPr>
        <w:autoSpaceDE w:val="0"/>
        <w:autoSpaceDN w:val="0"/>
        <w:adjustRightInd w:val="0"/>
        <w:ind w:hanging="142"/>
        <w:jc w:val="both"/>
        <w:rPr>
          <w:color w:val="000000" w:themeColor="text1"/>
          <w:lang w:val="x-none"/>
        </w:rPr>
      </w:pPr>
    </w:p>
    <w:p w14:paraId="494F92B2" w14:textId="77777777" w:rsidR="00FC026B" w:rsidRDefault="00FC026B" w:rsidP="00FC026B">
      <w:pPr>
        <w:jc w:val="both"/>
        <w:rPr>
          <w:b/>
          <w:color w:val="000000" w:themeColor="text1"/>
        </w:rPr>
      </w:pPr>
    </w:p>
    <w:p w14:paraId="0CBB82DF" w14:textId="77777777" w:rsidR="00FC026B" w:rsidRPr="00FB2A0C" w:rsidRDefault="00FC026B" w:rsidP="00FC026B">
      <w:pPr>
        <w:jc w:val="both"/>
        <w:rPr>
          <w:b/>
        </w:rPr>
      </w:pPr>
      <w:r w:rsidRPr="00FB2A0C">
        <w:rPr>
          <w:b/>
        </w:rPr>
        <w:t xml:space="preserve">Evaluarea stării de conservare pe bioregiune </w:t>
      </w:r>
    </w:p>
    <w:p w14:paraId="10984E13" w14:textId="77777777" w:rsidR="00FC026B" w:rsidRPr="00C56257" w:rsidRDefault="00FC026B" w:rsidP="00FC026B">
      <w:pPr>
        <w:pStyle w:val="ListParagraph"/>
        <w:ind w:left="0"/>
        <w:jc w:val="both"/>
        <w:rPr>
          <w:rFonts w:ascii="Times New Roman" w:hAnsi="Times New Roman" w:cs="Times New Roman"/>
          <w:color w:val="000000" w:themeColor="text1"/>
          <w:sz w:val="24"/>
          <w:szCs w:val="24"/>
          <w:lang w:val="ro-RO"/>
        </w:rPr>
      </w:pPr>
    </w:p>
    <w:p w14:paraId="3DF7F70F" w14:textId="77777777" w:rsidR="00FC026B" w:rsidRPr="00C56257" w:rsidRDefault="00FC026B" w:rsidP="00FC026B">
      <w:pPr>
        <w:autoSpaceDE w:val="0"/>
        <w:autoSpaceDN w:val="0"/>
        <w:adjustRightInd w:val="0"/>
        <w:ind w:firstLine="720"/>
        <w:jc w:val="both"/>
        <w:rPr>
          <w:color w:val="000000" w:themeColor="text1"/>
          <w:lang w:val="x-none"/>
        </w:rPr>
      </w:pPr>
      <w:proofErr w:type="spellStart"/>
      <w:r w:rsidRPr="00C56257">
        <w:rPr>
          <w:color w:val="000000" w:themeColor="text1"/>
          <w:lang w:val="x-none"/>
        </w:rPr>
        <w:t>Starea</w:t>
      </w:r>
      <w:proofErr w:type="spellEnd"/>
      <w:r w:rsidRPr="00C56257">
        <w:rPr>
          <w:color w:val="000000" w:themeColor="text1"/>
          <w:lang w:val="x-none"/>
        </w:rPr>
        <w:t xml:space="preserve"> de </w:t>
      </w:r>
      <w:proofErr w:type="spellStart"/>
      <w:r w:rsidRPr="00C56257">
        <w:rPr>
          <w:color w:val="000000" w:themeColor="text1"/>
          <w:lang w:val="x-none"/>
        </w:rPr>
        <w:t>conservare</w:t>
      </w:r>
      <w:proofErr w:type="spellEnd"/>
      <w:r w:rsidRPr="00C56257">
        <w:rPr>
          <w:color w:val="000000" w:themeColor="text1"/>
          <w:lang w:val="x-none"/>
        </w:rPr>
        <w:t xml:space="preserve"> a </w:t>
      </w:r>
      <w:proofErr w:type="spellStart"/>
      <w:r w:rsidRPr="00C56257">
        <w:rPr>
          <w:color w:val="000000" w:themeColor="text1"/>
          <w:lang w:val="x-none"/>
        </w:rPr>
        <w:t>fiecărui</w:t>
      </w:r>
      <w:proofErr w:type="spellEnd"/>
      <w:r w:rsidRPr="00C56257">
        <w:rPr>
          <w:color w:val="000000" w:themeColor="text1"/>
          <w:lang w:val="x-none"/>
        </w:rPr>
        <w:t xml:space="preserve"> habitat la </w:t>
      </w:r>
      <w:proofErr w:type="spellStart"/>
      <w:r w:rsidRPr="00C56257">
        <w:rPr>
          <w:color w:val="000000" w:themeColor="text1"/>
          <w:lang w:val="x-none"/>
        </w:rPr>
        <w:t>nivel</w:t>
      </w:r>
      <w:proofErr w:type="spellEnd"/>
      <w:r w:rsidRPr="00C56257">
        <w:rPr>
          <w:color w:val="000000" w:themeColor="text1"/>
          <w:lang w:val="x-none"/>
        </w:rPr>
        <w:t xml:space="preserve"> de </w:t>
      </w:r>
      <w:proofErr w:type="spellStart"/>
      <w:r w:rsidRPr="00C56257">
        <w:rPr>
          <w:color w:val="000000" w:themeColor="text1"/>
          <w:lang w:val="x-none"/>
        </w:rPr>
        <w:t>bioregiune</w:t>
      </w:r>
      <w:proofErr w:type="spellEnd"/>
      <w:r w:rsidRPr="00C56257">
        <w:rPr>
          <w:color w:val="000000" w:themeColor="text1"/>
          <w:lang w:val="x-none"/>
        </w:rPr>
        <w:t xml:space="preserve"> se </w:t>
      </w:r>
      <w:proofErr w:type="spellStart"/>
      <w:r w:rsidRPr="00C56257">
        <w:rPr>
          <w:color w:val="000000" w:themeColor="text1"/>
          <w:lang w:val="x-none"/>
        </w:rPr>
        <w:t>realizează</w:t>
      </w:r>
      <w:proofErr w:type="spellEnd"/>
      <w:r w:rsidRPr="00C56257">
        <w:rPr>
          <w:color w:val="000000" w:themeColor="text1"/>
          <w:lang w:val="x-none"/>
        </w:rPr>
        <w:t xml:space="preserve"> pe </w:t>
      </w:r>
      <w:proofErr w:type="spellStart"/>
      <w:r w:rsidRPr="00C56257">
        <w:rPr>
          <w:color w:val="000000" w:themeColor="text1"/>
          <w:lang w:val="x-none"/>
        </w:rPr>
        <w:t>baza</w:t>
      </w:r>
      <w:proofErr w:type="spellEnd"/>
      <w:r w:rsidRPr="00C56257">
        <w:rPr>
          <w:color w:val="000000" w:themeColor="text1"/>
          <w:lang w:val="x-none"/>
        </w:rPr>
        <w:t xml:space="preserve"> </w:t>
      </w:r>
      <w:proofErr w:type="spellStart"/>
      <w:r w:rsidRPr="00C56257">
        <w:rPr>
          <w:color w:val="000000" w:themeColor="text1"/>
          <w:lang w:val="x-none"/>
        </w:rPr>
        <w:t>evaluării</w:t>
      </w:r>
      <w:proofErr w:type="spellEnd"/>
      <w:r w:rsidRPr="00C56257">
        <w:rPr>
          <w:color w:val="000000" w:themeColor="text1"/>
          <w:lang w:val="x-none"/>
        </w:rPr>
        <w:t xml:space="preserve">  </w:t>
      </w:r>
      <w:proofErr w:type="spellStart"/>
      <w:r w:rsidRPr="00C56257">
        <w:rPr>
          <w:color w:val="000000" w:themeColor="text1"/>
          <w:lang w:val="x-none"/>
        </w:rPr>
        <w:t>fiecărui</w:t>
      </w:r>
      <w:proofErr w:type="spellEnd"/>
      <w:r w:rsidRPr="00C56257">
        <w:rPr>
          <w:color w:val="000000" w:themeColor="text1"/>
          <w:lang w:val="x-none"/>
        </w:rPr>
        <w:t xml:space="preserve"> </w:t>
      </w:r>
      <w:proofErr w:type="spellStart"/>
      <w:r w:rsidRPr="00C56257">
        <w:rPr>
          <w:color w:val="000000" w:themeColor="text1"/>
          <w:lang w:val="x-none"/>
        </w:rPr>
        <w:t>parametru</w:t>
      </w:r>
      <w:proofErr w:type="spellEnd"/>
      <w:r w:rsidRPr="00C56257">
        <w:rPr>
          <w:color w:val="000000" w:themeColor="text1"/>
          <w:lang w:val="x-none"/>
        </w:rPr>
        <w:t xml:space="preserve">: areal, </w:t>
      </w:r>
      <w:proofErr w:type="spellStart"/>
      <w:r w:rsidRPr="00C56257">
        <w:rPr>
          <w:color w:val="000000" w:themeColor="text1"/>
          <w:lang w:val="x-none"/>
        </w:rPr>
        <w:t>distribuţie</w:t>
      </w:r>
      <w:proofErr w:type="spellEnd"/>
      <w:r w:rsidRPr="00C56257">
        <w:rPr>
          <w:color w:val="000000" w:themeColor="text1"/>
          <w:lang w:val="x-none"/>
        </w:rPr>
        <w:t xml:space="preserve">, </w:t>
      </w:r>
      <w:proofErr w:type="spellStart"/>
      <w:r w:rsidRPr="00C56257">
        <w:rPr>
          <w:color w:val="000000" w:themeColor="text1"/>
          <w:lang w:val="x-none"/>
        </w:rPr>
        <w:t>structura</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funcţii</w:t>
      </w:r>
      <w:proofErr w:type="spellEnd"/>
      <w:r w:rsidRPr="00C56257">
        <w:rPr>
          <w:color w:val="000000" w:themeColor="text1"/>
          <w:lang w:val="x-none"/>
        </w:rPr>
        <w:t xml:space="preserve">, </w:t>
      </w:r>
      <w:proofErr w:type="spellStart"/>
      <w:r w:rsidRPr="00C56257">
        <w:rPr>
          <w:color w:val="000000" w:themeColor="text1"/>
          <w:lang w:val="x-none"/>
        </w:rPr>
        <w:t>tendinţe</w:t>
      </w:r>
      <w:proofErr w:type="spellEnd"/>
      <w:r w:rsidRPr="00C56257">
        <w:rPr>
          <w:color w:val="000000" w:themeColor="text1"/>
          <w:lang w:val="x-none"/>
        </w:rPr>
        <w:t xml:space="preserve"> pe </w:t>
      </w:r>
      <w:proofErr w:type="spellStart"/>
      <w:r w:rsidRPr="00C56257">
        <w:rPr>
          <w:color w:val="000000" w:themeColor="text1"/>
          <w:lang w:val="x-none"/>
        </w:rPr>
        <w:t>baza</w:t>
      </w:r>
      <w:proofErr w:type="spellEnd"/>
      <w:r w:rsidRPr="00C56257">
        <w:rPr>
          <w:color w:val="000000" w:themeColor="text1"/>
          <w:lang w:val="x-none"/>
        </w:rPr>
        <w:t xml:space="preserve"> </w:t>
      </w:r>
      <w:proofErr w:type="spellStart"/>
      <w:r w:rsidRPr="00C56257">
        <w:rPr>
          <w:color w:val="000000" w:themeColor="text1"/>
          <w:lang w:val="x-none"/>
        </w:rPr>
        <w:t>unei</w:t>
      </w:r>
      <w:proofErr w:type="spellEnd"/>
      <w:r w:rsidRPr="00C56257">
        <w:rPr>
          <w:color w:val="000000" w:themeColor="text1"/>
          <w:lang w:val="x-none"/>
        </w:rPr>
        <w:t xml:space="preserve"> </w:t>
      </w:r>
      <w:proofErr w:type="spellStart"/>
      <w:r w:rsidRPr="00C56257">
        <w:rPr>
          <w:color w:val="000000" w:themeColor="text1"/>
          <w:lang w:val="x-none"/>
        </w:rPr>
        <w:t>mătrici</w:t>
      </w:r>
      <w:proofErr w:type="spellEnd"/>
      <w:r w:rsidRPr="00C56257">
        <w:rPr>
          <w:color w:val="000000" w:themeColor="text1"/>
          <w:lang w:val="x-none"/>
        </w:rPr>
        <w:t xml:space="preserve"> care include 4 </w:t>
      </w:r>
      <w:proofErr w:type="spellStart"/>
      <w:r w:rsidRPr="00C56257">
        <w:rPr>
          <w:color w:val="000000" w:themeColor="text1"/>
          <w:lang w:val="x-none"/>
        </w:rPr>
        <w:t>categorii</w:t>
      </w:r>
      <w:proofErr w:type="spellEnd"/>
      <w:r w:rsidRPr="00C56257">
        <w:rPr>
          <w:color w:val="000000" w:themeColor="text1"/>
          <w:lang w:val="x-none"/>
        </w:rPr>
        <w:t>: „</w:t>
      </w:r>
      <w:proofErr w:type="spellStart"/>
      <w:r w:rsidRPr="00C56257">
        <w:rPr>
          <w:color w:val="000000" w:themeColor="text1"/>
          <w:lang w:val="x-none"/>
        </w:rPr>
        <w:t>favorabil</w:t>
      </w:r>
      <w:proofErr w:type="spellEnd"/>
      <w:r w:rsidRPr="00C56257">
        <w:rPr>
          <w:color w:val="000000" w:themeColor="text1"/>
          <w:lang w:val="x-none"/>
        </w:rPr>
        <w:t>” (FV), „</w:t>
      </w:r>
      <w:proofErr w:type="spellStart"/>
      <w:r w:rsidRPr="00C56257">
        <w:rPr>
          <w:color w:val="000000" w:themeColor="text1"/>
          <w:lang w:val="x-none"/>
        </w:rPr>
        <w:t>nefavorabil</w:t>
      </w:r>
      <w:proofErr w:type="spellEnd"/>
      <w:r w:rsidRPr="00C56257">
        <w:rPr>
          <w:color w:val="000000" w:themeColor="text1"/>
          <w:lang w:val="x-none"/>
        </w:rPr>
        <w:t xml:space="preserve"> – </w:t>
      </w:r>
      <w:proofErr w:type="spellStart"/>
      <w:r w:rsidRPr="00C56257">
        <w:rPr>
          <w:color w:val="000000" w:themeColor="text1"/>
          <w:lang w:val="x-none"/>
        </w:rPr>
        <w:t>inadecvat</w:t>
      </w:r>
      <w:proofErr w:type="spellEnd"/>
      <w:r w:rsidRPr="00C56257">
        <w:rPr>
          <w:color w:val="000000" w:themeColor="text1"/>
          <w:lang w:val="x-none"/>
        </w:rPr>
        <w:t>” (U1), „</w:t>
      </w:r>
      <w:proofErr w:type="spellStart"/>
      <w:r w:rsidRPr="00C56257">
        <w:rPr>
          <w:color w:val="000000" w:themeColor="text1"/>
          <w:lang w:val="x-none"/>
        </w:rPr>
        <w:t>nefavorabil</w:t>
      </w:r>
      <w:proofErr w:type="spellEnd"/>
      <w:r w:rsidRPr="00C56257">
        <w:rPr>
          <w:color w:val="000000" w:themeColor="text1"/>
          <w:lang w:val="x-none"/>
        </w:rPr>
        <w:t xml:space="preserve"> – </w:t>
      </w:r>
      <w:proofErr w:type="spellStart"/>
      <w:r w:rsidRPr="00C56257">
        <w:rPr>
          <w:color w:val="000000" w:themeColor="text1"/>
          <w:lang w:val="x-none"/>
        </w:rPr>
        <w:t>rău</w:t>
      </w:r>
      <w:proofErr w:type="spellEnd"/>
      <w:r w:rsidRPr="00C56257">
        <w:rPr>
          <w:color w:val="000000" w:themeColor="text1"/>
          <w:lang w:val="x-none"/>
        </w:rPr>
        <w:t xml:space="preserve">” (U2)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necunoscut</w:t>
      </w:r>
      <w:proofErr w:type="spellEnd"/>
      <w:r w:rsidRPr="00C56257">
        <w:rPr>
          <w:color w:val="000000" w:themeColor="text1"/>
          <w:lang w:val="x-none"/>
        </w:rPr>
        <w:t>” (XX).</w:t>
      </w:r>
    </w:p>
    <w:p w14:paraId="6CCDD137" w14:textId="77777777" w:rsidR="00FC026B" w:rsidRPr="00C56257" w:rsidRDefault="00FC026B" w:rsidP="00FC026B">
      <w:pPr>
        <w:autoSpaceDE w:val="0"/>
        <w:autoSpaceDN w:val="0"/>
        <w:adjustRightInd w:val="0"/>
        <w:ind w:firstLine="720"/>
        <w:jc w:val="both"/>
        <w:rPr>
          <w:color w:val="000000" w:themeColor="text1"/>
          <w:lang w:val="x-none"/>
        </w:rPr>
      </w:pPr>
    </w:p>
    <w:p w14:paraId="2EE011DC" w14:textId="77777777" w:rsidR="00FC026B" w:rsidRPr="00C56257" w:rsidRDefault="00FC026B" w:rsidP="00FC026B">
      <w:pPr>
        <w:jc w:val="both"/>
        <w:rPr>
          <w:b/>
          <w:color w:val="000000" w:themeColor="text1"/>
        </w:rPr>
      </w:pPr>
      <w:r w:rsidRPr="00C56257">
        <w:rPr>
          <w:b/>
          <w:color w:val="000000" w:themeColor="text1"/>
        </w:rPr>
        <w:t xml:space="preserve">Evaluarea tendințelor pe termen scurt </w:t>
      </w:r>
      <w:proofErr w:type="spellStart"/>
      <w:r w:rsidRPr="00C56257">
        <w:rPr>
          <w:b/>
          <w:color w:val="000000" w:themeColor="text1"/>
          <w:lang w:val="x-none"/>
        </w:rPr>
        <w:t>şi</w:t>
      </w:r>
      <w:proofErr w:type="spellEnd"/>
      <w:r w:rsidRPr="00C56257">
        <w:rPr>
          <w:b/>
          <w:color w:val="000000" w:themeColor="text1"/>
        </w:rPr>
        <w:t xml:space="preserve"> lung</w:t>
      </w:r>
    </w:p>
    <w:p w14:paraId="6519E788" w14:textId="77777777" w:rsidR="00FC026B" w:rsidRPr="00C56257" w:rsidRDefault="00FC026B" w:rsidP="00FC026B">
      <w:pPr>
        <w:pStyle w:val="ListParagraph"/>
        <w:ind w:left="0"/>
        <w:jc w:val="both"/>
        <w:rPr>
          <w:rFonts w:ascii="Times New Roman" w:hAnsi="Times New Roman" w:cs="Times New Roman"/>
          <w:color w:val="000000" w:themeColor="text1"/>
          <w:sz w:val="24"/>
          <w:szCs w:val="24"/>
          <w:lang w:val="ro-RO"/>
        </w:rPr>
      </w:pPr>
    </w:p>
    <w:p w14:paraId="2DD4389B" w14:textId="77777777" w:rsidR="00FC026B" w:rsidRPr="00C56257" w:rsidRDefault="00FC026B" w:rsidP="00FC026B">
      <w:pPr>
        <w:autoSpaceDE w:val="0"/>
        <w:autoSpaceDN w:val="0"/>
        <w:adjustRightInd w:val="0"/>
        <w:ind w:firstLine="720"/>
        <w:jc w:val="both"/>
        <w:rPr>
          <w:color w:val="000000" w:themeColor="text1"/>
          <w:shd w:val="clear" w:color="auto" w:fill="00FFFF"/>
          <w:lang w:val="x-none"/>
        </w:rPr>
      </w:pPr>
      <w:proofErr w:type="spellStart"/>
      <w:r w:rsidRPr="00C56257">
        <w:rPr>
          <w:color w:val="000000" w:themeColor="text1"/>
          <w:lang w:val="x-none"/>
        </w:rPr>
        <w:t>Evaluare</w:t>
      </w:r>
      <w:r w:rsidRPr="00C56257">
        <w:rPr>
          <w:color w:val="000000" w:themeColor="text1"/>
        </w:rPr>
        <w:t>a</w:t>
      </w:r>
      <w:proofErr w:type="spellEnd"/>
      <w:r w:rsidRPr="00C56257">
        <w:rPr>
          <w:color w:val="000000" w:themeColor="text1"/>
          <w:lang w:val="x-none"/>
        </w:rPr>
        <w:t xml:space="preserve"> </w:t>
      </w:r>
      <w:proofErr w:type="spellStart"/>
      <w:r w:rsidRPr="00C56257">
        <w:rPr>
          <w:color w:val="000000" w:themeColor="text1"/>
          <w:lang w:val="x-none"/>
        </w:rPr>
        <w:t>tendinţei</w:t>
      </w:r>
      <w:proofErr w:type="spellEnd"/>
      <w:r w:rsidRPr="00C56257">
        <w:rPr>
          <w:color w:val="000000" w:themeColor="text1"/>
          <w:lang w:val="x-none"/>
        </w:rPr>
        <w:t xml:space="preserve"> pe termen </w:t>
      </w:r>
      <w:proofErr w:type="spellStart"/>
      <w:r w:rsidRPr="00C56257">
        <w:rPr>
          <w:color w:val="000000" w:themeColor="text1"/>
          <w:lang w:val="x-none"/>
        </w:rPr>
        <w:t>scurt</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cazul</w:t>
      </w:r>
      <w:proofErr w:type="spellEnd"/>
      <w:r w:rsidRPr="00C56257">
        <w:rPr>
          <w:color w:val="000000" w:themeColor="text1"/>
          <w:lang w:val="x-none"/>
        </w:rPr>
        <w:t xml:space="preserve"> </w:t>
      </w:r>
      <w:proofErr w:type="spellStart"/>
      <w:r w:rsidRPr="00C56257">
        <w:rPr>
          <w:color w:val="000000" w:themeColor="text1"/>
          <w:lang w:val="x-none"/>
        </w:rPr>
        <w:t>habitatelor</w:t>
      </w:r>
      <w:proofErr w:type="spellEnd"/>
      <w:r w:rsidRPr="00C56257">
        <w:rPr>
          <w:color w:val="000000" w:themeColor="text1"/>
          <w:lang w:val="x-none"/>
        </w:rPr>
        <w:t xml:space="preserve"> marine, </w:t>
      </w:r>
      <w:proofErr w:type="spellStart"/>
      <w:r w:rsidRPr="00C56257">
        <w:rPr>
          <w:color w:val="000000" w:themeColor="text1"/>
          <w:lang w:val="x-none"/>
        </w:rPr>
        <w:t>în</w:t>
      </w:r>
      <w:proofErr w:type="spellEnd"/>
      <w:r w:rsidRPr="00C56257">
        <w:rPr>
          <w:color w:val="000000" w:themeColor="text1"/>
          <w:lang w:val="x-none"/>
        </w:rPr>
        <w:t xml:space="preserve"> special </w:t>
      </w:r>
      <w:proofErr w:type="spellStart"/>
      <w:r w:rsidRPr="00C56257">
        <w:rPr>
          <w:color w:val="000000" w:themeColor="text1"/>
          <w:lang w:val="x-none"/>
        </w:rPr>
        <w:t>pentru</w:t>
      </w:r>
      <w:proofErr w:type="spellEnd"/>
      <w:r w:rsidRPr="00C56257">
        <w:rPr>
          <w:color w:val="000000" w:themeColor="text1"/>
          <w:lang w:val="x-none"/>
        </w:rPr>
        <w:t xml:space="preserve"> areal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suprafaţa</w:t>
      </w:r>
      <w:proofErr w:type="spellEnd"/>
      <w:r w:rsidRPr="00C56257">
        <w:rPr>
          <w:color w:val="000000" w:themeColor="text1"/>
          <w:lang w:val="x-none"/>
        </w:rPr>
        <w:t xml:space="preserve"> </w:t>
      </w:r>
      <w:proofErr w:type="spellStart"/>
      <w:r w:rsidRPr="00C56257">
        <w:rPr>
          <w:color w:val="000000" w:themeColor="text1"/>
          <w:lang w:val="x-none"/>
        </w:rPr>
        <w:t>acoperită</w:t>
      </w:r>
      <w:proofErr w:type="spellEnd"/>
      <w:r w:rsidRPr="00C56257">
        <w:rPr>
          <w:color w:val="000000" w:themeColor="text1"/>
          <w:lang w:val="x-none"/>
        </w:rPr>
        <w:t xml:space="preserve"> </w:t>
      </w:r>
      <w:proofErr w:type="spellStart"/>
      <w:r w:rsidRPr="00C56257">
        <w:rPr>
          <w:color w:val="000000" w:themeColor="text1"/>
          <w:lang w:val="x-none"/>
        </w:rPr>
        <w:t>este</w:t>
      </w:r>
      <w:proofErr w:type="spellEnd"/>
      <w:r w:rsidRPr="00C56257">
        <w:rPr>
          <w:color w:val="000000" w:themeColor="text1"/>
          <w:lang w:val="x-none"/>
        </w:rPr>
        <w:t xml:space="preserve"> </w:t>
      </w:r>
      <w:proofErr w:type="spellStart"/>
      <w:r w:rsidRPr="00C56257">
        <w:rPr>
          <w:color w:val="000000" w:themeColor="text1"/>
          <w:lang w:val="x-none"/>
        </w:rPr>
        <w:t>extrem</w:t>
      </w:r>
      <w:proofErr w:type="spellEnd"/>
      <w:r w:rsidRPr="00C56257">
        <w:rPr>
          <w:color w:val="000000" w:themeColor="text1"/>
          <w:lang w:val="x-none"/>
        </w:rPr>
        <w:t xml:space="preserve"> de </w:t>
      </w:r>
      <w:proofErr w:type="spellStart"/>
      <w:r w:rsidRPr="00C56257">
        <w:rPr>
          <w:color w:val="000000" w:themeColor="text1"/>
          <w:lang w:val="x-none"/>
        </w:rPr>
        <w:t>dificil</w:t>
      </w:r>
      <w:proofErr w:type="spellEnd"/>
      <w:r w:rsidRPr="00C56257">
        <w:rPr>
          <w:color w:val="000000" w:themeColor="text1"/>
          <w:lang w:val="x-none"/>
        </w:rPr>
        <w:t xml:space="preserve"> de </w:t>
      </w:r>
      <w:proofErr w:type="spellStart"/>
      <w:r w:rsidRPr="00C56257">
        <w:rPr>
          <w:color w:val="000000" w:themeColor="text1"/>
          <w:lang w:val="x-none"/>
        </w:rPr>
        <w:t>realizat</w:t>
      </w:r>
      <w:proofErr w:type="spellEnd"/>
      <w:r w:rsidRPr="00C56257">
        <w:rPr>
          <w:color w:val="000000" w:themeColor="text1"/>
          <w:lang w:val="x-none"/>
        </w:rPr>
        <w:t xml:space="preserve"> pe </w:t>
      </w:r>
      <w:proofErr w:type="spellStart"/>
      <w:r w:rsidRPr="00C56257">
        <w:rPr>
          <w:color w:val="000000" w:themeColor="text1"/>
          <w:lang w:val="x-none"/>
        </w:rPr>
        <w:t>baza</w:t>
      </w:r>
      <w:proofErr w:type="spellEnd"/>
      <w:r w:rsidRPr="00C56257">
        <w:rPr>
          <w:color w:val="000000" w:themeColor="text1"/>
          <w:lang w:val="x-none"/>
        </w:rPr>
        <w:t xml:space="preserve"> </w:t>
      </w:r>
      <w:proofErr w:type="spellStart"/>
      <w:r w:rsidRPr="00C56257">
        <w:rPr>
          <w:color w:val="000000" w:themeColor="text1"/>
          <w:lang w:val="x-none"/>
        </w:rPr>
        <w:t>informaţiilor</w:t>
      </w:r>
      <w:proofErr w:type="spellEnd"/>
      <w:r w:rsidRPr="00C56257">
        <w:rPr>
          <w:color w:val="000000" w:themeColor="text1"/>
          <w:lang w:val="x-none"/>
        </w:rPr>
        <w:t xml:space="preserve"> din </w:t>
      </w:r>
      <w:proofErr w:type="spellStart"/>
      <w:r w:rsidRPr="00C56257">
        <w:rPr>
          <w:color w:val="000000" w:themeColor="text1"/>
          <w:lang w:val="x-none"/>
        </w:rPr>
        <w:t>activităţile</w:t>
      </w:r>
      <w:proofErr w:type="spellEnd"/>
      <w:r w:rsidRPr="00C56257">
        <w:rPr>
          <w:color w:val="000000" w:themeColor="text1"/>
          <w:lang w:val="x-none"/>
        </w:rPr>
        <w:t xml:space="preserve"> de </w:t>
      </w:r>
      <w:proofErr w:type="spellStart"/>
      <w:r w:rsidRPr="00C56257">
        <w:rPr>
          <w:color w:val="000000" w:themeColor="text1"/>
          <w:lang w:val="x-none"/>
        </w:rPr>
        <w:t>monitorizare</w:t>
      </w:r>
      <w:proofErr w:type="spellEnd"/>
      <w:r w:rsidRPr="00C56257">
        <w:rPr>
          <w:color w:val="000000" w:themeColor="text1"/>
          <w:lang w:val="x-none"/>
        </w:rPr>
        <w:t xml:space="preserve">. </w:t>
      </w:r>
      <w:proofErr w:type="spellStart"/>
      <w:r w:rsidRPr="00C56257">
        <w:rPr>
          <w:color w:val="000000" w:themeColor="text1"/>
          <w:lang w:val="x-none"/>
        </w:rPr>
        <w:t>Aceasta</w:t>
      </w:r>
      <w:proofErr w:type="spellEnd"/>
      <w:r w:rsidRPr="00C56257">
        <w:rPr>
          <w:color w:val="000000" w:themeColor="text1"/>
          <w:lang w:val="x-none"/>
        </w:rPr>
        <w:t xml:space="preserve"> se </w:t>
      </w:r>
      <w:proofErr w:type="spellStart"/>
      <w:r w:rsidRPr="00C56257">
        <w:rPr>
          <w:color w:val="000000" w:themeColor="text1"/>
          <w:lang w:val="x-none"/>
        </w:rPr>
        <w:t>datorează</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special </w:t>
      </w:r>
      <w:proofErr w:type="spellStart"/>
      <w:r w:rsidRPr="00C56257">
        <w:rPr>
          <w:color w:val="000000" w:themeColor="text1"/>
          <w:lang w:val="x-none"/>
        </w:rPr>
        <w:t>extinderii</w:t>
      </w:r>
      <w:proofErr w:type="spellEnd"/>
      <w:r w:rsidRPr="00C56257">
        <w:rPr>
          <w:color w:val="000000" w:themeColor="text1"/>
          <w:lang w:val="x-none"/>
        </w:rPr>
        <w:t xml:space="preserve"> </w:t>
      </w:r>
      <w:proofErr w:type="spellStart"/>
      <w:r w:rsidRPr="00C56257">
        <w:rPr>
          <w:color w:val="000000" w:themeColor="text1"/>
          <w:lang w:val="x-none"/>
        </w:rPr>
        <w:t>mari</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fragmentată</w:t>
      </w:r>
      <w:proofErr w:type="spellEnd"/>
      <w:r w:rsidRPr="00C56257">
        <w:rPr>
          <w:color w:val="000000" w:themeColor="text1"/>
          <w:lang w:val="x-none"/>
        </w:rPr>
        <w:t xml:space="preserve"> a </w:t>
      </w:r>
      <w:proofErr w:type="spellStart"/>
      <w:r w:rsidRPr="00C56257">
        <w:rPr>
          <w:color w:val="000000" w:themeColor="text1"/>
          <w:lang w:val="x-none"/>
        </w:rPr>
        <w:t>habitatelor</w:t>
      </w:r>
      <w:proofErr w:type="spellEnd"/>
      <w:r w:rsidRPr="00C56257">
        <w:rPr>
          <w:color w:val="000000" w:themeColor="text1"/>
          <w:lang w:val="x-none"/>
        </w:rPr>
        <w:t xml:space="preserve"> marine, </w:t>
      </w:r>
      <w:proofErr w:type="spellStart"/>
      <w:r w:rsidRPr="00C56257">
        <w:rPr>
          <w:color w:val="000000" w:themeColor="text1"/>
          <w:lang w:val="x-none"/>
        </w:rPr>
        <w:t>dificultatea</w:t>
      </w:r>
      <w:proofErr w:type="spellEnd"/>
      <w:r w:rsidRPr="00C56257">
        <w:rPr>
          <w:color w:val="000000" w:themeColor="text1"/>
          <w:lang w:val="x-none"/>
        </w:rPr>
        <w:t xml:space="preserve"> </w:t>
      </w:r>
      <w:proofErr w:type="spellStart"/>
      <w:r w:rsidRPr="00C56257">
        <w:rPr>
          <w:color w:val="000000" w:themeColor="text1"/>
          <w:lang w:val="x-none"/>
        </w:rPr>
        <w:t>obţinerii</w:t>
      </w:r>
      <w:proofErr w:type="spellEnd"/>
      <w:r w:rsidRPr="00C56257">
        <w:rPr>
          <w:color w:val="000000" w:themeColor="text1"/>
          <w:lang w:val="x-none"/>
        </w:rPr>
        <w:t xml:space="preserve"> </w:t>
      </w:r>
      <w:proofErr w:type="spellStart"/>
      <w:r w:rsidRPr="00C56257">
        <w:rPr>
          <w:color w:val="000000" w:themeColor="text1"/>
          <w:lang w:val="x-none"/>
        </w:rPr>
        <w:t>datelor</w:t>
      </w:r>
      <w:proofErr w:type="spellEnd"/>
      <w:r w:rsidRPr="00C56257">
        <w:rPr>
          <w:color w:val="000000" w:themeColor="text1"/>
          <w:lang w:val="x-none"/>
        </w:rPr>
        <w:t xml:space="preserve"> </w:t>
      </w:r>
      <w:r w:rsidRPr="00C56257">
        <w:rPr>
          <w:color w:val="000000" w:themeColor="text1"/>
          <w:lang w:val="x-none"/>
        </w:rPr>
        <w:lastRenderedPageBreak/>
        <w:t>(</w:t>
      </w:r>
      <w:proofErr w:type="spellStart"/>
      <w:r w:rsidRPr="00C56257">
        <w:rPr>
          <w:color w:val="000000" w:themeColor="text1"/>
          <w:lang w:val="x-none"/>
        </w:rPr>
        <w:t>cartările</w:t>
      </w:r>
      <w:proofErr w:type="spellEnd"/>
      <w:r w:rsidRPr="00C56257">
        <w:rPr>
          <w:color w:val="000000" w:themeColor="text1"/>
          <w:lang w:val="x-none"/>
        </w:rPr>
        <w:t xml:space="preserve"> complete </w:t>
      </w:r>
      <w:proofErr w:type="spellStart"/>
      <w:r w:rsidRPr="00C56257">
        <w:rPr>
          <w:color w:val="000000" w:themeColor="text1"/>
          <w:lang w:val="x-none"/>
        </w:rPr>
        <w:t>prin</w:t>
      </w:r>
      <w:proofErr w:type="spellEnd"/>
      <w:r w:rsidRPr="00C56257">
        <w:rPr>
          <w:color w:val="000000" w:themeColor="text1"/>
          <w:lang w:val="x-none"/>
        </w:rPr>
        <w:t xml:space="preserve"> </w:t>
      </w:r>
      <w:proofErr w:type="spellStart"/>
      <w:r w:rsidRPr="00C56257">
        <w:rPr>
          <w:color w:val="000000" w:themeColor="text1"/>
          <w:lang w:val="x-none"/>
        </w:rPr>
        <w:t>metode</w:t>
      </w:r>
      <w:proofErr w:type="spellEnd"/>
      <w:r w:rsidRPr="00C56257">
        <w:rPr>
          <w:color w:val="000000" w:themeColor="text1"/>
          <w:lang w:val="x-none"/>
        </w:rPr>
        <w:t xml:space="preserve"> </w:t>
      </w:r>
      <w:proofErr w:type="spellStart"/>
      <w:r w:rsidRPr="00C56257">
        <w:rPr>
          <w:color w:val="000000" w:themeColor="text1"/>
          <w:lang w:val="x-none"/>
        </w:rPr>
        <w:t>specifice</w:t>
      </w:r>
      <w:proofErr w:type="spellEnd"/>
      <w:r w:rsidRPr="00C56257">
        <w:rPr>
          <w:color w:val="000000" w:themeColor="text1"/>
          <w:lang w:val="x-none"/>
        </w:rPr>
        <w:t xml:space="preserve"> – </w:t>
      </w:r>
      <w:proofErr w:type="spellStart"/>
      <w:r w:rsidRPr="00C56257">
        <w:rPr>
          <w:color w:val="000000" w:themeColor="text1"/>
          <w:lang w:val="x-none"/>
        </w:rPr>
        <w:t>scanare</w:t>
      </w:r>
      <w:proofErr w:type="spellEnd"/>
      <w:r w:rsidRPr="00C56257">
        <w:rPr>
          <w:color w:val="000000" w:themeColor="text1"/>
          <w:lang w:val="x-none"/>
        </w:rPr>
        <w:t>/</w:t>
      </w:r>
      <w:proofErr w:type="spellStart"/>
      <w:r w:rsidRPr="00C56257">
        <w:rPr>
          <w:color w:val="000000" w:themeColor="text1"/>
          <w:lang w:val="x-none"/>
        </w:rPr>
        <w:t>e</w:t>
      </w:r>
      <w:r w:rsidRPr="00C56257">
        <w:rPr>
          <w:color w:val="000000" w:themeColor="text1"/>
        </w:rPr>
        <w:t>ș</w:t>
      </w:r>
      <w:r w:rsidRPr="00C56257">
        <w:rPr>
          <w:color w:val="000000" w:themeColor="text1"/>
          <w:lang w:val="x-none"/>
        </w:rPr>
        <w:t>antionar</w:t>
      </w:r>
      <w:proofErr w:type="spellEnd"/>
      <w:r w:rsidRPr="00C56257">
        <w:rPr>
          <w:color w:val="000000" w:themeColor="text1"/>
          <w:lang w:val="x-none"/>
        </w:rPr>
        <w:t xml:space="preserve"> </w:t>
      </w:r>
      <w:proofErr w:type="spellStart"/>
      <w:r w:rsidRPr="00C56257">
        <w:rPr>
          <w:color w:val="000000" w:themeColor="text1"/>
          <w:lang w:val="x-none"/>
        </w:rPr>
        <w:t>fiind</w:t>
      </w:r>
      <w:proofErr w:type="spellEnd"/>
      <w:r w:rsidRPr="00C56257">
        <w:rPr>
          <w:color w:val="000000" w:themeColor="text1"/>
          <w:lang w:val="x-none"/>
        </w:rPr>
        <w:t xml:space="preserve"> </w:t>
      </w:r>
      <w:proofErr w:type="spellStart"/>
      <w:r w:rsidRPr="00C56257">
        <w:rPr>
          <w:color w:val="000000" w:themeColor="text1"/>
          <w:lang w:val="x-none"/>
        </w:rPr>
        <w:t>extrem</w:t>
      </w:r>
      <w:proofErr w:type="spellEnd"/>
      <w:r w:rsidRPr="00C56257">
        <w:rPr>
          <w:color w:val="000000" w:themeColor="text1"/>
          <w:lang w:val="x-none"/>
        </w:rPr>
        <w:t xml:space="preserve"> </w:t>
      </w:r>
      <w:r w:rsidRPr="00C56257">
        <w:rPr>
          <w:color w:val="000000" w:themeColor="text1"/>
        </w:rPr>
        <w:t xml:space="preserve">de </w:t>
      </w:r>
      <w:proofErr w:type="spellStart"/>
      <w:r w:rsidRPr="00C56257">
        <w:rPr>
          <w:color w:val="000000" w:themeColor="text1"/>
          <w:lang w:val="x-none"/>
        </w:rPr>
        <w:t>costisitoare</w:t>
      </w:r>
      <w:proofErr w:type="spellEnd"/>
      <w:r w:rsidRPr="00C56257">
        <w:rPr>
          <w:color w:val="000000" w:themeColor="text1"/>
          <w:lang w:val="x-none"/>
        </w:rPr>
        <w:t xml:space="preserve"> </w:t>
      </w:r>
      <w:proofErr w:type="spellStart"/>
      <w:r w:rsidRPr="00C56257">
        <w:rPr>
          <w:color w:val="000000" w:themeColor="text1"/>
          <w:lang w:val="x-none"/>
        </w:rPr>
        <w:t>necesitând</w:t>
      </w:r>
      <w:proofErr w:type="spellEnd"/>
      <w:r w:rsidRPr="00C56257">
        <w:rPr>
          <w:color w:val="000000" w:themeColor="text1"/>
          <w:lang w:val="x-none"/>
        </w:rPr>
        <w:t xml:space="preserve"> </w:t>
      </w:r>
      <w:proofErr w:type="spellStart"/>
      <w:r w:rsidRPr="00C56257">
        <w:rPr>
          <w:color w:val="000000" w:themeColor="text1"/>
          <w:lang w:val="x-none"/>
        </w:rPr>
        <w:t>timp</w:t>
      </w:r>
      <w:proofErr w:type="spellEnd"/>
      <w:r w:rsidRPr="00C56257">
        <w:rPr>
          <w:color w:val="000000" w:themeColor="text1"/>
          <w:lang w:val="x-none"/>
        </w:rPr>
        <w:t xml:space="preserve"> </w:t>
      </w:r>
      <w:proofErr w:type="spellStart"/>
      <w:r w:rsidRPr="00C56257">
        <w:rPr>
          <w:color w:val="000000" w:themeColor="text1"/>
          <w:lang w:val="x-none"/>
        </w:rPr>
        <w:t>îndelungat</w:t>
      </w:r>
      <w:proofErr w:type="spellEnd"/>
      <w:r w:rsidRPr="00C56257">
        <w:rPr>
          <w:color w:val="000000" w:themeColor="text1"/>
          <w:lang w:val="x-none"/>
        </w:rPr>
        <w:t xml:space="preserve">).  </w:t>
      </w:r>
      <w:proofErr w:type="spellStart"/>
      <w:r w:rsidRPr="00C56257">
        <w:rPr>
          <w:color w:val="000000" w:themeColor="text1"/>
          <w:lang w:val="x-none"/>
        </w:rPr>
        <w:t>Evaluarea</w:t>
      </w:r>
      <w:proofErr w:type="spellEnd"/>
      <w:r w:rsidRPr="00C56257">
        <w:rPr>
          <w:color w:val="000000" w:themeColor="text1"/>
          <w:lang w:val="x-none"/>
        </w:rPr>
        <w:t xml:space="preserve"> se </w:t>
      </w:r>
      <w:proofErr w:type="spellStart"/>
      <w:r w:rsidRPr="00C56257">
        <w:rPr>
          <w:color w:val="000000" w:themeColor="text1"/>
          <w:lang w:val="x-none"/>
        </w:rPr>
        <w:t>realiz</w:t>
      </w:r>
      <w:r w:rsidRPr="00C56257">
        <w:rPr>
          <w:color w:val="000000" w:themeColor="text1"/>
        </w:rPr>
        <w:t>ează</w:t>
      </w:r>
      <w:proofErr w:type="spellEnd"/>
      <w:r w:rsidRPr="00C56257">
        <w:rPr>
          <w:color w:val="000000" w:themeColor="text1"/>
          <w:lang w:val="x-none"/>
        </w:rPr>
        <w:t xml:space="preserve"> pe </w:t>
      </w:r>
      <w:proofErr w:type="spellStart"/>
      <w:r w:rsidRPr="00C56257">
        <w:rPr>
          <w:color w:val="000000" w:themeColor="text1"/>
          <w:lang w:val="x-none"/>
        </w:rPr>
        <w:t>baza</w:t>
      </w:r>
      <w:proofErr w:type="spellEnd"/>
      <w:r w:rsidRPr="00C56257">
        <w:rPr>
          <w:color w:val="000000" w:themeColor="text1"/>
          <w:lang w:val="x-none"/>
        </w:rPr>
        <w:t xml:space="preserve"> </w:t>
      </w:r>
      <w:proofErr w:type="spellStart"/>
      <w:r w:rsidRPr="00C56257">
        <w:rPr>
          <w:color w:val="000000" w:themeColor="text1"/>
          <w:lang w:val="x-none"/>
        </w:rPr>
        <w:t>modelării</w:t>
      </w:r>
      <w:proofErr w:type="spellEnd"/>
      <w:r w:rsidRPr="00C56257">
        <w:rPr>
          <w:color w:val="000000" w:themeColor="text1"/>
        </w:rPr>
        <w:t xml:space="preserve"> (ecosisteme marine, inclusiv geomorfologic</w:t>
      </w:r>
      <w:r w:rsidRPr="00C56257">
        <w:rPr>
          <w:color w:val="000000" w:themeColor="text1"/>
          <w:lang w:val="x-none"/>
        </w:rPr>
        <w:t>ă</w:t>
      </w:r>
      <w:r w:rsidRPr="00C56257">
        <w:rPr>
          <w:color w:val="000000" w:themeColor="text1"/>
        </w:rPr>
        <w:t xml:space="preserve">), </w:t>
      </w:r>
      <w:proofErr w:type="spellStart"/>
      <w:r w:rsidRPr="00C56257">
        <w:rPr>
          <w:color w:val="000000" w:themeColor="text1"/>
          <w:lang w:val="x-none"/>
        </w:rPr>
        <w:t>ţinând</w:t>
      </w:r>
      <w:proofErr w:type="spellEnd"/>
      <w:r w:rsidRPr="00C56257">
        <w:rPr>
          <w:color w:val="000000" w:themeColor="text1"/>
          <w:lang w:val="x-none"/>
        </w:rPr>
        <w:t xml:space="preserve"> </w:t>
      </w:r>
      <w:proofErr w:type="spellStart"/>
      <w:r w:rsidRPr="00C56257">
        <w:rPr>
          <w:color w:val="000000" w:themeColor="text1"/>
          <w:lang w:val="x-none"/>
        </w:rPr>
        <w:t>cont</w:t>
      </w:r>
      <w:proofErr w:type="spellEnd"/>
      <w:r w:rsidRPr="00C56257">
        <w:rPr>
          <w:color w:val="000000" w:themeColor="text1"/>
          <w:lang w:val="x-none"/>
        </w:rPr>
        <w:t xml:space="preserve"> de </w:t>
      </w:r>
      <w:proofErr w:type="spellStart"/>
      <w:r w:rsidRPr="00C56257">
        <w:rPr>
          <w:color w:val="000000" w:themeColor="text1"/>
          <w:lang w:val="x-none"/>
        </w:rPr>
        <w:t>presiunile</w:t>
      </w:r>
      <w:proofErr w:type="spellEnd"/>
      <w:r w:rsidRPr="00C56257">
        <w:rPr>
          <w:color w:val="000000" w:themeColor="text1"/>
          <w:lang w:val="x-none"/>
        </w:rPr>
        <w:t xml:space="preserve"> </w:t>
      </w:r>
      <w:proofErr w:type="spellStart"/>
      <w:r w:rsidRPr="00C56257">
        <w:rPr>
          <w:color w:val="000000" w:themeColor="text1"/>
          <w:lang w:val="x-none"/>
        </w:rPr>
        <w:t>exercitate</w:t>
      </w:r>
      <w:proofErr w:type="spellEnd"/>
      <w:r w:rsidRPr="00C56257">
        <w:rPr>
          <w:color w:val="000000" w:themeColor="text1"/>
          <w:lang w:val="x-none"/>
        </w:rPr>
        <w:t xml:space="preserve"> care pot produce </w:t>
      </w:r>
      <w:proofErr w:type="spellStart"/>
      <w:r w:rsidRPr="00C56257">
        <w:rPr>
          <w:color w:val="000000" w:themeColor="text1"/>
          <w:lang w:val="x-none"/>
        </w:rPr>
        <w:t>pierderi</w:t>
      </w:r>
      <w:proofErr w:type="spellEnd"/>
      <w:r w:rsidRPr="00C56257">
        <w:rPr>
          <w:color w:val="000000" w:themeColor="text1"/>
          <w:lang w:val="x-none"/>
        </w:rPr>
        <w:t xml:space="preserve"> la </w:t>
      </w:r>
      <w:proofErr w:type="spellStart"/>
      <w:r w:rsidRPr="00C56257">
        <w:rPr>
          <w:color w:val="000000" w:themeColor="text1"/>
          <w:lang w:val="x-none"/>
        </w:rPr>
        <w:t>nivelul</w:t>
      </w:r>
      <w:proofErr w:type="spellEnd"/>
      <w:r w:rsidRPr="00C56257">
        <w:rPr>
          <w:color w:val="000000" w:themeColor="text1"/>
          <w:lang w:val="x-none"/>
        </w:rPr>
        <w:t xml:space="preserve"> </w:t>
      </w:r>
      <w:proofErr w:type="spellStart"/>
      <w:r w:rsidRPr="00C56257">
        <w:rPr>
          <w:color w:val="000000" w:themeColor="text1"/>
          <w:lang w:val="x-none"/>
        </w:rPr>
        <w:t>substratului</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w:t>
      </w:r>
      <w:proofErr w:type="spellStart"/>
      <w:r w:rsidRPr="00C56257">
        <w:rPr>
          <w:color w:val="000000" w:themeColor="text1"/>
          <w:lang w:val="x-none"/>
        </w:rPr>
        <w:t>sau</w:t>
      </w:r>
      <w:proofErr w:type="spellEnd"/>
      <w:r w:rsidRPr="00C56257">
        <w:rPr>
          <w:color w:val="000000" w:themeColor="text1"/>
          <w:lang w:val="x-none"/>
        </w:rPr>
        <w:t xml:space="preserve"> </w:t>
      </w:r>
      <w:proofErr w:type="spellStart"/>
      <w:r w:rsidRPr="00C56257">
        <w:rPr>
          <w:color w:val="000000" w:themeColor="text1"/>
          <w:lang w:val="x-none"/>
        </w:rPr>
        <w:t>alterare</w:t>
      </w:r>
      <w:proofErr w:type="spellEnd"/>
      <w:r w:rsidRPr="00C56257">
        <w:rPr>
          <w:color w:val="000000" w:themeColor="text1"/>
          <w:lang w:val="x-none"/>
        </w:rPr>
        <w:t xml:space="preserve"> a </w:t>
      </w:r>
      <w:proofErr w:type="spellStart"/>
      <w:r w:rsidRPr="00C56257">
        <w:rPr>
          <w:color w:val="000000" w:themeColor="text1"/>
          <w:lang w:val="x-none"/>
        </w:rPr>
        <w:t>structurii</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funcţiei</w:t>
      </w:r>
      <w:proofErr w:type="spellEnd"/>
      <w:r w:rsidRPr="00C56257">
        <w:rPr>
          <w:color w:val="000000" w:themeColor="text1"/>
          <w:lang w:val="x-none"/>
        </w:rPr>
        <w:t xml:space="preserve"> </w:t>
      </w:r>
      <w:proofErr w:type="spellStart"/>
      <w:r w:rsidRPr="00C56257">
        <w:rPr>
          <w:color w:val="000000" w:themeColor="text1"/>
          <w:lang w:val="x-none"/>
        </w:rPr>
        <w:t>fiecărui</w:t>
      </w:r>
      <w:proofErr w:type="spellEnd"/>
      <w:r w:rsidRPr="00C56257">
        <w:rPr>
          <w:color w:val="000000" w:themeColor="text1"/>
          <w:lang w:val="x-none"/>
        </w:rPr>
        <w:t xml:space="preserve"> habitat. </w:t>
      </w:r>
      <w:proofErr w:type="spellStart"/>
      <w:r w:rsidRPr="00C56257">
        <w:rPr>
          <w:color w:val="000000" w:themeColor="text1"/>
          <w:lang w:val="x-none"/>
        </w:rPr>
        <w:t>Piederile</w:t>
      </w:r>
      <w:proofErr w:type="spellEnd"/>
      <w:r w:rsidRPr="00C56257">
        <w:rPr>
          <w:color w:val="000000" w:themeColor="text1"/>
          <w:lang w:val="x-none"/>
        </w:rPr>
        <w:t xml:space="preserve"> la </w:t>
      </w:r>
      <w:proofErr w:type="spellStart"/>
      <w:r w:rsidRPr="00C56257">
        <w:rPr>
          <w:color w:val="000000" w:themeColor="text1"/>
          <w:lang w:val="x-none"/>
        </w:rPr>
        <w:t>nivelul</w:t>
      </w:r>
      <w:proofErr w:type="spellEnd"/>
      <w:r w:rsidRPr="00C56257">
        <w:rPr>
          <w:color w:val="000000" w:themeColor="text1"/>
          <w:lang w:val="x-none"/>
        </w:rPr>
        <w:t xml:space="preserve"> </w:t>
      </w:r>
      <w:proofErr w:type="spellStart"/>
      <w:r w:rsidRPr="00C56257">
        <w:rPr>
          <w:color w:val="000000" w:themeColor="text1"/>
          <w:lang w:val="x-none"/>
        </w:rPr>
        <w:t>substratului</w:t>
      </w:r>
      <w:proofErr w:type="spellEnd"/>
      <w:r w:rsidRPr="00C56257">
        <w:rPr>
          <w:color w:val="000000" w:themeColor="text1"/>
          <w:lang w:val="x-none"/>
        </w:rPr>
        <w:t xml:space="preserve"> pot fi evaluate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concordanţă</w:t>
      </w:r>
      <w:proofErr w:type="spellEnd"/>
      <w:r w:rsidRPr="00C56257">
        <w:rPr>
          <w:color w:val="000000" w:themeColor="text1"/>
          <w:lang w:val="x-none"/>
        </w:rPr>
        <w:t xml:space="preserve"> cu </w:t>
      </w:r>
      <w:r w:rsidRPr="00C56257">
        <w:rPr>
          <w:color w:val="000000" w:themeColor="text1"/>
        </w:rPr>
        <w:t xml:space="preserve">criteriile </w:t>
      </w:r>
      <w:proofErr w:type="spellStart"/>
      <w:r w:rsidRPr="00C56257">
        <w:rPr>
          <w:color w:val="000000" w:themeColor="text1"/>
          <w:lang w:val="x-none"/>
        </w:rPr>
        <w:t>Descriptorul</w:t>
      </w:r>
      <w:r w:rsidRPr="00C56257">
        <w:rPr>
          <w:color w:val="000000" w:themeColor="text1"/>
        </w:rPr>
        <w:t>ui</w:t>
      </w:r>
      <w:proofErr w:type="spellEnd"/>
      <w:r w:rsidRPr="00C56257">
        <w:rPr>
          <w:color w:val="000000" w:themeColor="text1"/>
          <w:lang w:val="x-none"/>
        </w:rPr>
        <w:t xml:space="preserve"> 6 -</w:t>
      </w:r>
      <w:proofErr w:type="spellStart"/>
      <w:r w:rsidRPr="00C56257">
        <w:rPr>
          <w:color w:val="000000" w:themeColor="text1"/>
          <w:lang w:val="x-none"/>
        </w:rPr>
        <w:t>Integritatea</w:t>
      </w:r>
      <w:proofErr w:type="spellEnd"/>
      <w:r w:rsidRPr="00C56257">
        <w:rPr>
          <w:color w:val="000000" w:themeColor="text1"/>
          <w:lang w:val="x-none"/>
        </w:rPr>
        <w:t xml:space="preserve"> </w:t>
      </w:r>
      <w:proofErr w:type="spellStart"/>
      <w:r w:rsidRPr="00C56257">
        <w:rPr>
          <w:color w:val="000000" w:themeColor="text1"/>
          <w:lang w:val="x-none"/>
        </w:rPr>
        <w:t>substratului</w:t>
      </w:r>
      <w:proofErr w:type="spellEnd"/>
      <w:r w:rsidRPr="00C56257">
        <w:rPr>
          <w:color w:val="000000" w:themeColor="text1"/>
          <w:lang w:val="x-none"/>
        </w:rPr>
        <w:t xml:space="preserve"> </w:t>
      </w:r>
      <w:proofErr w:type="spellStart"/>
      <w:r w:rsidRPr="00C56257">
        <w:rPr>
          <w:color w:val="000000" w:themeColor="text1"/>
          <w:lang w:val="x-none"/>
        </w:rPr>
        <w:t>marin</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D7 – </w:t>
      </w:r>
      <w:proofErr w:type="spellStart"/>
      <w:r w:rsidRPr="00C56257">
        <w:rPr>
          <w:color w:val="000000" w:themeColor="text1"/>
          <w:lang w:val="x-none"/>
        </w:rPr>
        <w:t>Condiţii</w:t>
      </w:r>
      <w:proofErr w:type="spellEnd"/>
      <w:r w:rsidRPr="00C56257">
        <w:rPr>
          <w:color w:val="000000" w:themeColor="text1"/>
          <w:lang w:val="x-none"/>
        </w:rPr>
        <w:t xml:space="preserve"> </w:t>
      </w:r>
      <w:proofErr w:type="spellStart"/>
      <w:r w:rsidRPr="00C56257">
        <w:rPr>
          <w:color w:val="000000" w:themeColor="text1"/>
          <w:lang w:val="x-none"/>
        </w:rPr>
        <w:t>hidrografice</w:t>
      </w:r>
      <w:proofErr w:type="spellEnd"/>
      <w:r w:rsidRPr="00C56257">
        <w:rPr>
          <w:color w:val="000000" w:themeColor="text1"/>
          <w:lang w:val="x-none"/>
        </w:rPr>
        <w:t xml:space="preserve">, </w:t>
      </w:r>
      <w:proofErr w:type="spellStart"/>
      <w:r w:rsidRPr="00C56257">
        <w:rPr>
          <w:color w:val="000000" w:themeColor="text1"/>
          <w:lang w:val="x-none"/>
        </w:rPr>
        <w:t>Directiva</w:t>
      </w:r>
      <w:proofErr w:type="spellEnd"/>
      <w:r w:rsidRPr="00C56257">
        <w:rPr>
          <w:color w:val="000000" w:themeColor="text1"/>
          <w:lang w:val="x-none"/>
        </w:rPr>
        <w:t xml:space="preserve"> </w:t>
      </w:r>
      <w:proofErr w:type="spellStart"/>
      <w:r w:rsidRPr="00C56257">
        <w:rPr>
          <w:color w:val="000000" w:themeColor="text1"/>
          <w:lang w:val="x-none"/>
        </w:rPr>
        <w:t>Strategia</w:t>
      </w:r>
      <w:proofErr w:type="spellEnd"/>
      <w:r w:rsidRPr="00C56257">
        <w:rPr>
          <w:color w:val="000000" w:themeColor="text1"/>
          <w:lang w:val="x-none"/>
        </w:rPr>
        <w:t xml:space="preserve"> </w:t>
      </w:r>
      <w:proofErr w:type="spellStart"/>
      <w:r w:rsidRPr="00C56257">
        <w:rPr>
          <w:color w:val="000000" w:themeColor="text1"/>
          <w:lang w:val="x-none"/>
        </w:rPr>
        <w:t>Marin</w:t>
      </w:r>
      <w:r w:rsidRPr="00C56257">
        <w:rPr>
          <w:color w:val="000000" w:themeColor="text1"/>
        </w:rPr>
        <w:t>ă</w:t>
      </w:r>
      <w:proofErr w:type="spellEnd"/>
      <w:r w:rsidRPr="00C56257">
        <w:rPr>
          <w:color w:val="000000" w:themeColor="text1"/>
          <w:lang w:val="x-none"/>
        </w:rPr>
        <w:t>.</w:t>
      </w:r>
    </w:p>
    <w:p w14:paraId="418C50E0" w14:textId="77777777" w:rsidR="00FC026B" w:rsidRPr="00C56257" w:rsidRDefault="00FC026B" w:rsidP="00FC026B">
      <w:pPr>
        <w:pStyle w:val="ListParagraph"/>
        <w:ind w:left="0" w:firstLine="720"/>
        <w:jc w:val="both"/>
        <w:rPr>
          <w:rFonts w:ascii="Times New Roman" w:hAnsi="Times New Roman" w:cs="Times New Roman"/>
          <w:color w:val="000000" w:themeColor="text1"/>
          <w:sz w:val="24"/>
          <w:szCs w:val="24"/>
          <w:lang w:val="ro-RO"/>
        </w:rPr>
      </w:pPr>
    </w:p>
    <w:p w14:paraId="3F076E8D" w14:textId="77777777" w:rsidR="00FC026B" w:rsidRPr="00C56257" w:rsidRDefault="00FC026B" w:rsidP="00FC026B">
      <w:pPr>
        <w:jc w:val="both"/>
        <w:rPr>
          <w:b/>
          <w:color w:val="000000" w:themeColor="text1"/>
        </w:rPr>
      </w:pPr>
      <w:r w:rsidRPr="00C56257">
        <w:rPr>
          <w:b/>
          <w:color w:val="000000" w:themeColor="text1"/>
        </w:rPr>
        <w:t>Evaluarea presiunilor și amenințărilor</w:t>
      </w:r>
    </w:p>
    <w:p w14:paraId="1B28F483" w14:textId="77777777" w:rsidR="00FC026B" w:rsidRPr="00C56257" w:rsidRDefault="00FC026B" w:rsidP="00FC026B">
      <w:pPr>
        <w:pStyle w:val="ListParagraph"/>
        <w:ind w:left="0"/>
        <w:jc w:val="both"/>
        <w:rPr>
          <w:rFonts w:ascii="Times New Roman" w:hAnsi="Times New Roman" w:cs="Times New Roman"/>
          <w:color w:val="000000" w:themeColor="text1"/>
          <w:sz w:val="24"/>
          <w:szCs w:val="24"/>
          <w:lang w:val="ro-RO"/>
        </w:rPr>
      </w:pPr>
    </w:p>
    <w:p w14:paraId="0D38FE8A" w14:textId="77777777" w:rsidR="00FC026B" w:rsidRPr="00C56257" w:rsidRDefault="00FC026B" w:rsidP="00FC026B">
      <w:pPr>
        <w:autoSpaceDE w:val="0"/>
        <w:autoSpaceDN w:val="0"/>
        <w:adjustRightInd w:val="0"/>
        <w:ind w:firstLine="720"/>
        <w:jc w:val="both"/>
        <w:rPr>
          <w:color w:val="000000" w:themeColor="text1"/>
          <w:shd w:val="clear" w:color="auto" w:fill="00FFFF"/>
          <w:lang w:val="x-none"/>
        </w:rPr>
      </w:pPr>
      <w:proofErr w:type="spellStart"/>
      <w:r w:rsidRPr="00C56257">
        <w:rPr>
          <w:color w:val="000000" w:themeColor="text1"/>
          <w:lang w:val="x-none"/>
        </w:rPr>
        <w:t>Evaluarea</w:t>
      </w:r>
      <w:proofErr w:type="spellEnd"/>
      <w:r w:rsidRPr="00C56257">
        <w:rPr>
          <w:color w:val="000000" w:themeColor="text1"/>
          <w:lang w:val="x-none"/>
        </w:rPr>
        <w:t xml:space="preserve"> </w:t>
      </w:r>
      <w:proofErr w:type="spellStart"/>
      <w:r w:rsidRPr="00C56257">
        <w:rPr>
          <w:color w:val="000000" w:themeColor="text1"/>
          <w:lang w:val="x-none"/>
        </w:rPr>
        <w:t>presiunilor</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ameninţărilor</w:t>
      </w:r>
      <w:proofErr w:type="spellEnd"/>
      <w:r w:rsidRPr="00C56257">
        <w:rPr>
          <w:color w:val="000000" w:themeColor="text1"/>
          <w:lang w:val="x-none"/>
        </w:rPr>
        <w:t xml:space="preserve"> se </w:t>
      </w:r>
      <w:proofErr w:type="spellStart"/>
      <w:r w:rsidRPr="00C56257">
        <w:rPr>
          <w:color w:val="000000" w:themeColor="text1"/>
          <w:lang w:val="x-none"/>
        </w:rPr>
        <w:t>realizează</w:t>
      </w:r>
      <w:proofErr w:type="spellEnd"/>
      <w:r w:rsidRPr="00C56257">
        <w:rPr>
          <w:color w:val="000000" w:themeColor="text1"/>
          <w:lang w:val="x-none"/>
        </w:rPr>
        <w:t xml:space="preserve"> la </w:t>
      </w:r>
      <w:proofErr w:type="spellStart"/>
      <w:r w:rsidRPr="00C56257">
        <w:rPr>
          <w:color w:val="000000" w:themeColor="text1"/>
          <w:lang w:val="x-none"/>
        </w:rPr>
        <w:t>nivel</w:t>
      </w:r>
      <w:proofErr w:type="spellEnd"/>
      <w:r w:rsidRPr="00C56257">
        <w:rPr>
          <w:color w:val="000000" w:themeColor="text1"/>
          <w:lang w:val="x-none"/>
        </w:rPr>
        <w:t xml:space="preserve"> de plot de </w:t>
      </w:r>
      <w:proofErr w:type="spellStart"/>
      <w:r w:rsidRPr="00C56257">
        <w:rPr>
          <w:color w:val="000000" w:themeColor="text1"/>
          <w:lang w:val="x-none"/>
        </w:rPr>
        <w:t>monitorizare</w:t>
      </w:r>
      <w:proofErr w:type="spellEnd"/>
      <w:r w:rsidRPr="00C56257">
        <w:rPr>
          <w:color w:val="000000" w:themeColor="text1"/>
          <w:lang w:val="x-none"/>
        </w:rPr>
        <w:t xml:space="preserve"> (</w:t>
      </w:r>
      <w:proofErr w:type="spellStart"/>
      <w:r w:rsidRPr="00C56257">
        <w:rPr>
          <w:color w:val="000000" w:themeColor="text1"/>
          <w:lang w:val="x-none"/>
        </w:rPr>
        <w:t>acolo</w:t>
      </w:r>
      <w:proofErr w:type="spellEnd"/>
      <w:r w:rsidRPr="00C56257">
        <w:rPr>
          <w:color w:val="000000" w:themeColor="text1"/>
          <w:lang w:val="x-none"/>
        </w:rPr>
        <w:t xml:space="preserve"> </w:t>
      </w:r>
      <w:proofErr w:type="spellStart"/>
      <w:r w:rsidRPr="00C56257">
        <w:rPr>
          <w:color w:val="000000" w:themeColor="text1"/>
          <w:lang w:val="x-none"/>
        </w:rPr>
        <w:t>unde</w:t>
      </w:r>
      <w:proofErr w:type="spellEnd"/>
      <w:r w:rsidRPr="00C56257">
        <w:rPr>
          <w:color w:val="000000" w:themeColor="text1"/>
          <w:lang w:val="x-none"/>
        </w:rPr>
        <w:t xml:space="preserve"> </w:t>
      </w:r>
      <w:proofErr w:type="spellStart"/>
      <w:r w:rsidRPr="00C56257">
        <w:rPr>
          <w:color w:val="000000" w:themeColor="text1"/>
          <w:lang w:val="x-none"/>
        </w:rPr>
        <w:t>este</w:t>
      </w:r>
      <w:proofErr w:type="spellEnd"/>
      <w:r w:rsidRPr="00C56257">
        <w:rPr>
          <w:color w:val="000000" w:themeColor="text1"/>
          <w:lang w:val="x-none"/>
        </w:rPr>
        <w:t xml:space="preserve"> </w:t>
      </w:r>
      <w:proofErr w:type="spellStart"/>
      <w:r w:rsidRPr="00C56257">
        <w:rPr>
          <w:color w:val="000000" w:themeColor="text1"/>
          <w:lang w:val="x-none"/>
        </w:rPr>
        <w:t>posibil</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habitat, </w:t>
      </w:r>
      <w:proofErr w:type="spellStart"/>
      <w:r w:rsidRPr="00C56257">
        <w:rPr>
          <w:color w:val="000000" w:themeColor="text1"/>
          <w:lang w:val="x-none"/>
        </w:rPr>
        <w:t>ţinând</w:t>
      </w:r>
      <w:proofErr w:type="spellEnd"/>
      <w:r w:rsidRPr="00C56257">
        <w:rPr>
          <w:color w:val="000000" w:themeColor="text1"/>
          <w:lang w:val="x-none"/>
        </w:rPr>
        <w:t xml:space="preserve"> </w:t>
      </w:r>
      <w:proofErr w:type="spellStart"/>
      <w:r w:rsidRPr="00C56257">
        <w:rPr>
          <w:color w:val="000000" w:themeColor="text1"/>
          <w:lang w:val="x-none"/>
        </w:rPr>
        <w:t>cont</w:t>
      </w:r>
      <w:proofErr w:type="spellEnd"/>
      <w:r w:rsidRPr="00C56257">
        <w:rPr>
          <w:color w:val="000000" w:themeColor="text1"/>
          <w:lang w:val="x-none"/>
        </w:rPr>
        <w:t xml:space="preserve"> de </w:t>
      </w:r>
      <w:proofErr w:type="spellStart"/>
      <w:r w:rsidRPr="00C56257">
        <w:rPr>
          <w:color w:val="000000" w:themeColor="text1"/>
          <w:lang w:val="x-none"/>
        </w:rPr>
        <w:t>intensitate</w:t>
      </w:r>
      <w:proofErr w:type="spellEnd"/>
      <w:r w:rsidRPr="00C56257">
        <w:rPr>
          <w:color w:val="000000" w:themeColor="text1"/>
          <w:lang w:val="x-none"/>
        </w:rPr>
        <w:t xml:space="preserve"> (</w:t>
      </w:r>
      <w:proofErr w:type="spellStart"/>
      <w:r w:rsidRPr="00C56257">
        <w:rPr>
          <w:color w:val="000000" w:themeColor="text1"/>
          <w:lang w:val="x-none"/>
        </w:rPr>
        <w:t>majoră</w:t>
      </w:r>
      <w:proofErr w:type="spellEnd"/>
      <w:r w:rsidRPr="00C56257">
        <w:rPr>
          <w:color w:val="000000" w:themeColor="text1"/>
          <w:lang w:val="x-none"/>
        </w:rPr>
        <w:t xml:space="preserve">, </w:t>
      </w:r>
      <w:proofErr w:type="spellStart"/>
      <w:r w:rsidRPr="00C56257">
        <w:rPr>
          <w:color w:val="000000" w:themeColor="text1"/>
          <w:lang w:val="x-none"/>
        </w:rPr>
        <w:t>medie</w:t>
      </w:r>
      <w:proofErr w:type="spellEnd"/>
      <w:r w:rsidRPr="00C56257">
        <w:rPr>
          <w:color w:val="000000" w:themeColor="text1"/>
          <w:lang w:val="x-none"/>
        </w:rPr>
        <w:t xml:space="preserve"> </w:t>
      </w:r>
      <w:proofErr w:type="spellStart"/>
      <w:r w:rsidRPr="00C56257">
        <w:rPr>
          <w:color w:val="000000" w:themeColor="text1"/>
          <w:lang w:val="x-none"/>
        </w:rPr>
        <w:t>sau</w:t>
      </w:r>
      <w:proofErr w:type="spellEnd"/>
      <w:r w:rsidRPr="00C56257">
        <w:rPr>
          <w:color w:val="000000" w:themeColor="text1"/>
          <w:lang w:val="x-none"/>
        </w:rPr>
        <w:t xml:space="preserve"> </w:t>
      </w:r>
      <w:proofErr w:type="spellStart"/>
      <w:r w:rsidRPr="00C56257">
        <w:rPr>
          <w:color w:val="000000" w:themeColor="text1"/>
          <w:lang w:val="x-none"/>
        </w:rPr>
        <w:t>minoră</w:t>
      </w:r>
      <w:proofErr w:type="spellEnd"/>
      <w:r w:rsidRPr="00C56257">
        <w:rPr>
          <w:color w:val="000000" w:themeColor="text1"/>
          <w:lang w:val="x-none"/>
        </w:rPr>
        <w:t xml:space="preserve">), </w:t>
      </w:r>
      <w:proofErr w:type="spellStart"/>
      <w:r w:rsidRPr="00C56257">
        <w:rPr>
          <w:color w:val="000000" w:themeColor="text1"/>
          <w:lang w:val="x-none"/>
        </w:rPr>
        <w:t>durata</w:t>
      </w:r>
      <w:proofErr w:type="spellEnd"/>
      <w:r w:rsidRPr="00C56257">
        <w:rPr>
          <w:color w:val="000000" w:themeColor="text1"/>
          <w:lang w:val="x-none"/>
        </w:rPr>
        <w:t xml:space="preserve"> de </w:t>
      </w:r>
      <w:proofErr w:type="spellStart"/>
      <w:r w:rsidRPr="00C56257">
        <w:rPr>
          <w:color w:val="000000" w:themeColor="text1"/>
          <w:lang w:val="x-none"/>
        </w:rPr>
        <w:t>timp</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care </w:t>
      </w:r>
      <w:proofErr w:type="spellStart"/>
      <w:r w:rsidRPr="00C56257">
        <w:rPr>
          <w:color w:val="000000" w:themeColor="text1"/>
          <w:lang w:val="x-none"/>
        </w:rPr>
        <w:t>presiunea</w:t>
      </w:r>
      <w:proofErr w:type="spellEnd"/>
      <w:r w:rsidRPr="00C56257">
        <w:rPr>
          <w:color w:val="000000" w:themeColor="text1"/>
          <w:lang w:val="x-none"/>
        </w:rPr>
        <w:t xml:space="preserve"> a </w:t>
      </w:r>
      <w:proofErr w:type="spellStart"/>
      <w:r w:rsidRPr="00C56257">
        <w:rPr>
          <w:color w:val="000000" w:themeColor="text1"/>
          <w:lang w:val="x-none"/>
        </w:rPr>
        <w:t>fost</w:t>
      </w:r>
      <w:proofErr w:type="spellEnd"/>
      <w:r w:rsidRPr="00C56257">
        <w:rPr>
          <w:color w:val="000000" w:themeColor="text1"/>
          <w:lang w:val="x-none"/>
        </w:rPr>
        <w:t xml:space="preserve"> </w:t>
      </w:r>
      <w:proofErr w:type="spellStart"/>
      <w:r w:rsidRPr="00C56257">
        <w:rPr>
          <w:color w:val="000000" w:themeColor="text1"/>
          <w:lang w:val="x-none"/>
        </w:rPr>
        <w:t>exercitată</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extinderea</w:t>
      </w:r>
      <w:proofErr w:type="spellEnd"/>
      <w:r w:rsidRPr="00C56257">
        <w:rPr>
          <w:color w:val="000000" w:themeColor="text1"/>
          <w:lang w:val="x-none"/>
        </w:rPr>
        <w:t xml:space="preserve"> la </w:t>
      </w:r>
      <w:proofErr w:type="spellStart"/>
      <w:r w:rsidRPr="00C56257">
        <w:rPr>
          <w:color w:val="000000" w:themeColor="text1"/>
          <w:lang w:val="x-none"/>
        </w:rPr>
        <w:t>nivelul</w:t>
      </w:r>
      <w:proofErr w:type="spellEnd"/>
      <w:r w:rsidRPr="00C56257">
        <w:rPr>
          <w:color w:val="000000" w:themeColor="text1"/>
          <w:lang w:val="x-none"/>
        </w:rPr>
        <w:t xml:space="preserve"> </w:t>
      </w:r>
      <w:proofErr w:type="spellStart"/>
      <w:r w:rsidRPr="00C56257">
        <w:rPr>
          <w:color w:val="000000" w:themeColor="text1"/>
          <w:lang w:val="x-none"/>
        </w:rPr>
        <w:t>suprafeţei</w:t>
      </w:r>
      <w:proofErr w:type="spellEnd"/>
      <w:r w:rsidRPr="00C56257">
        <w:rPr>
          <w:color w:val="000000" w:themeColor="text1"/>
          <w:lang w:val="x-none"/>
        </w:rPr>
        <w:t xml:space="preserve"> </w:t>
      </w:r>
      <w:proofErr w:type="spellStart"/>
      <w:r w:rsidRPr="00C56257">
        <w:rPr>
          <w:color w:val="000000" w:themeColor="text1"/>
          <w:lang w:val="x-none"/>
        </w:rPr>
        <w:t>ocupate</w:t>
      </w:r>
      <w:proofErr w:type="spellEnd"/>
      <w:r w:rsidRPr="00C56257">
        <w:rPr>
          <w:color w:val="000000" w:themeColor="text1"/>
          <w:lang w:val="x-none"/>
        </w:rPr>
        <w:t xml:space="preserve"> de habitat.</w:t>
      </w:r>
      <w:r w:rsidRPr="00C56257">
        <w:rPr>
          <w:color w:val="000000" w:themeColor="text1"/>
          <w:shd w:val="clear" w:color="auto" w:fill="00FFFF"/>
          <w:lang w:val="x-none"/>
        </w:rPr>
        <w:t xml:space="preserve"> </w:t>
      </w:r>
    </w:p>
    <w:p w14:paraId="5E89A968" w14:textId="77777777" w:rsidR="00FC026B" w:rsidRPr="00C56257" w:rsidRDefault="00FC026B" w:rsidP="00FC026B">
      <w:pPr>
        <w:pStyle w:val="ListParagraph"/>
        <w:ind w:left="0"/>
        <w:jc w:val="both"/>
        <w:rPr>
          <w:rFonts w:ascii="Times New Roman" w:hAnsi="Times New Roman" w:cs="Times New Roman"/>
          <w:color w:val="000000" w:themeColor="text1"/>
          <w:sz w:val="24"/>
          <w:szCs w:val="24"/>
          <w:lang w:val="ro-RO"/>
        </w:rPr>
      </w:pPr>
    </w:p>
    <w:p w14:paraId="6234DA3D" w14:textId="77777777" w:rsidR="00FC026B" w:rsidRPr="00C56257" w:rsidRDefault="00FC026B" w:rsidP="00FC026B">
      <w:pPr>
        <w:pStyle w:val="ListParagraph"/>
        <w:ind w:left="0"/>
        <w:jc w:val="both"/>
        <w:rPr>
          <w:rFonts w:ascii="Times New Roman" w:hAnsi="Times New Roman" w:cs="Times New Roman"/>
          <w:b/>
          <w:color w:val="000000" w:themeColor="text1"/>
          <w:sz w:val="24"/>
          <w:szCs w:val="24"/>
          <w:lang w:val="ro-RO"/>
        </w:rPr>
      </w:pPr>
      <w:r w:rsidRPr="00C56257">
        <w:rPr>
          <w:rFonts w:ascii="Times New Roman" w:hAnsi="Times New Roman" w:cs="Times New Roman"/>
          <w:b/>
          <w:color w:val="000000" w:themeColor="text1"/>
          <w:sz w:val="24"/>
          <w:szCs w:val="24"/>
          <w:lang w:val="ro-RO"/>
        </w:rPr>
        <w:t>Generarea geometriei</w:t>
      </w:r>
      <w:r>
        <w:rPr>
          <w:rFonts w:ascii="Times New Roman" w:hAnsi="Times New Roman" w:cs="Times New Roman"/>
          <w:b/>
          <w:color w:val="000000" w:themeColor="text1"/>
          <w:sz w:val="24"/>
          <w:szCs w:val="24"/>
          <w:lang w:val="ro-RO"/>
        </w:rPr>
        <w:t xml:space="preserve"> </w:t>
      </w:r>
      <w:r w:rsidRPr="00C56257">
        <w:rPr>
          <w:rFonts w:ascii="Times New Roman" w:hAnsi="Times New Roman" w:cs="Times New Roman"/>
          <w:b/>
          <w:color w:val="000000" w:themeColor="text1"/>
          <w:sz w:val="24"/>
          <w:szCs w:val="24"/>
          <w:lang w:val="ro-RO"/>
        </w:rPr>
        <w:t>tipurilor de habitate</w:t>
      </w:r>
    </w:p>
    <w:p w14:paraId="20A53FBD" w14:textId="77777777" w:rsidR="00FC026B" w:rsidRPr="00C56257" w:rsidRDefault="00FC026B" w:rsidP="00FC026B">
      <w:pPr>
        <w:autoSpaceDE w:val="0"/>
        <w:autoSpaceDN w:val="0"/>
        <w:adjustRightInd w:val="0"/>
        <w:ind w:firstLine="720"/>
        <w:jc w:val="both"/>
        <w:rPr>
          <w:color w:val="000000" w:themeColor="text1"/>
          <w:lang w:val="x-none"/>
        </w:rPr>
      </w:pPr>
      <w:proofErr w:type="spellStart"/>
      <w:r w:rsidRPr="00C56257">
        <w:rPr>
          <w:color w:val="000000" w:themeColor="text1"/>
          <w:lang w:val="x-none"/>
        </w:rPr>
        <w:t>Hărțile</w:t>
      </w:r>
      <w:proofErr w:type="spellEnd"/>
      <w:r w:rsidRPr="00C56257">
        <w:rPr>
          <w:color w:val="000000" w:themeColor="text1"/>
          <w:lang w:val="x-none"/>
        </w:rPr>
        <w:t xml:space="preserve"> de </w:t>
      </w:r>
      <w:proofErr w:type="spellStart"/>
      <w:r w:rsidRPr="00C56257">
        <w:rPr>
          <w:color w:val="000000" w:themeColor="text1"/>
          <w:lang w:val="x-none"/>
        </w:rPr>
        <w:t>distribuție</w:t>
      </w:r>
      <w:proofErr w:type="spellEnd"/>
      <w:r w:rsidRPr="00C56257">
        <w:rPr>
          <w:color w:val="000000" w:themeColor="text1"/>
          <w:lang w:val="x-none"/>
        </w:rPr>
        <w:t xml:space="preserve"> </w:t>
      </w:r>
      <w:proofErr w:type="spellStart"/>
      <w:r w:rsidRPr="00C56257">
        <w:rPr>
          <w:color w:val="000000" w:themeColor="text1"/>
          <w:lang w:val="x-none"/>
        </w:rPr>
        <w:t>const</w:t>
      </w:r>
      <w:r w:rsidRPr="00C56257">
        <w:rPr>
          <w:color w:val="000000" w:themeColor="text1"/>
        </w:rPr>
        <w:t>ă</w:t>
      </w:r>
      <w:proofErr w:type="spellEnd"/>
      <w:r w:rsidRPr="00C56257">
        <w:rPr>
          <w:color w:val="000000" w:themeColor="text1"/>
          <w:lang w:val="x-none"/>
        </w:rPr>
        <w:t xml:space="preserve"> </w:t>
      </w:r>
      <w:r w:rsidRPr="00C56257">
        <w:rPr>
          <w:color w:val="000000" w:themeColor="text1"/>
        </w:rPr>
        <w:t xml:space="preserve">în </w:t>
      </w:r>
      <w:proofErr w:type="spellStart"/>
      <w:r w:rsidRPr="00C56257">
        <w:rPr>
          <w:color w:val="000000" w:themeColor="text1"/>
          <w:lang w:val="x-none"/>
        </w:rPr>
        <w:t>griduri</w:t>
      </w:r>
      <w:proofErr w:type="spellEnd"/>
      <w:r w:rsidRPr="00C56257">
        <w:rPr>
          <w:color w:val="000000" w:themeColor="text1"/>
          <w:lang w:val="x-none"/>
        </w:rPr>
        <w:t xml:space="preserve"> de 10 x 10 km ETRS 89, </w:t>
      </w:r>
      <w:proofErr w:type="spellStart"/>
      <w:r w:rsidRPr="00C56257">
        <w:rPr>
          <w:color w:val="000000" w:themeColor="text1"/>
          <w:lang w:val="x-none"/>
        </w:rPr>
        <w:t>proiecția</w:t>
      </w:r>
      <w:proofErr w:type="spellEnd"/>
      <w:r w:rsidRPr="00C56257">
        <w:rPr>
          <w:color w:val="000000" w:themeColor="text1"/>
          <w:lang w:val="x-none"/>
        </w:rPr>
        <w:t xml:space="preserve"> ETRS LAEA 5210 (EPSG3035). </w:t>
      </w:r>
      <w:proofErr w:type="spellStart"/>
      <w:r w:rsidRPr="00C56257">
        <w:rPr>
          <w:color w:val="000000" w:themeColor="text1"/>
          <w:lang w:val="x-none"/>
        </w:rPr>
        <w:t>Gridul</w:t>
      </w:r>
      <w:proofErr w:type="spellEnd"/>
      <w:r w:rsidRPr="00C56257">
        <w:rPr>
          <w:color w:val="000000" w:themeColor="text1"/>
          <w:lang w:val="x-none"/>
        </w:rPr>
        <w:t xml:space="preserve"> </w:t>
      </w:r>
      <w:r w:rsidRPr="00C56257">
        <w:rPr>
          <w:color w:val="000000" w:themeColor="text1"/>
        </w:rPr>
        <w:t>este</w:t>
      </w:r>
      <w:r w:rsidRPr="00C56257">
        <w:rPr>
          <w:color w:val="000000" w:themeColor="text1"/>
          <w:lang w:val="x-none"/>
        </w:rPr>
        <w:t xml:space="preserve"> </w:t>
      </w:r>
      <w:proofErr w:type="spellStart"/>
      <w:r w:rsidRPr="00C56257">
        <w:rPr>
          <w:color w:val="000000" w:themeColor="text1"/>
          <w:lang w:val="x-none"/>
        </w:rPr>
        <w:t>alcătuit</w:t>
      </w:r>
      <w:proofErr w:type="spellEnd"/>
      <w:r w:rsidRPr="00C56257">
        <w:rPr>
          <w:color w:val="000000" w:themeColor="text1"/>
          <w:lang w:val="x-none"/>
        </w:rPr>
        <w:t xml:space="preserve"> din </w:t>
      </w:r>
      <w:proofErr w:type="spellStart"/>
      <w:r w:rsidRPr="00C56257">
        <w:rPr>
          <w:color w:val="000000" w:themeColor="text1"/>
          <w:lang w:val="x-none"/>
        </w:rPr>
        <w:t>celule</w:t>
      </w:r>
      <w:proofErr w:type="spellEnd"/>
      <w:r w:rsidRPr="00C56257">
        <w:rPr>
          <w:color w:val="000000" w:themeColor="text1"/>
          <w:lang w:val="x-none"/>
        </w:rPr>
        <w:t xml:space="preserve"> de 10 km </w:t>
      </w:r>
      <w:proofErr w:type="spellStart"/>
      <w:r w:rsidRPr="00C56257">
        <w:rPr>
          <w:color w:val="000000" w:themeColor="text1"/>
          <w:lang w:val="x-none"/>
        </w:rPr>
        <w:t>reprezentând</w:t>
      </w:r>
      <w:proofErr w:type="spellEnd"/>
      <w:r w:rsidRPr="00C56257">
        <w:rPr>
          <w:color w:val="000000" w:themeColor="text1"/>
          <w:lang w:val="x-none"/>
        </w:rPr>
        <w:t xml:space="preserve"> </w:t>
      </w:r>
      <w:proofErr w:type="spellStart"/>
      <w:r w:rsidRPr="00C56257">
        <w:rPr>
          <w:color w:val="000000" w:themeColor="text1"/>
          <w:lang w:val="x-none"/>
        </w:rPr>
        <w:t>prezen</w:t>
      </w:r>
      <w:r w:rsidRPr="00C56257">
        <w:rPr>
          <w:color w:val="000000" w:themeColor="text1"/>
        </w:rPr>
        <w:t>ț</w:t>
      </w:r>
      <w:proofErr w:type="spellEnd"/>
      <w:r w:rsidRPr="00C56257">
        <w:rPr>
          <w:color w:val="000000" w:themeColor="text1"/>
          <w:lang w:val="x-none"/>
        </w:rPr>
        <w:t xml:space="preserve">a </w:t>
      </w:r>
      <w:proofErr w:type="spellStart"/>
      <w:r w:rsidRPr="00C56257">
        <w:rPr>
          <w:color w:val="000000" w:themeColor="text1"/>
          <w:lang w:val="x-none"/>
        </w:rPr>
        <w:t>habitatului</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celula</w:t>
      </w:r>
      <w:proofErr w:type="spellEnd"/>
      <w:r w:rsidRPr="00C56257">
        <w:rPr>
          <w:color w:val="000000" w:themeColor="text1"/>
          <w:lang w:val="x-none"/>
        </w:rPr>
        <w:t xml:space="preserve"> </w:t>
      </w:r>
      <w:proofErr w:type="spellStart"/>
      <w:r w:rsidRPr="00C56257">
        <w:rPr>
          <w:color w:val="000000" w:themeColor="text1"/>
          <w:lang w:val="x-none"/>
        </w:rPr>
        <w:t>respectivă</w:t>
      </w:r>
      <w:proofErr w:type="spellEnd"/>
      <w:r w:rsidRPr="00C56257">
        <w:rPr>
          <w:color w:val="000000" w:themeColor="text1"/>
          <w:lang w:val="x-none"/>
        </w:rPr>
        <w:t xml:space="preserve">. </w:t>
      </w:r>
      <w:proofErr w:type="spellStart"/>
      <w:r w:rsidRPr="00C56257">
        <w:rPr>
          <w:color w:val="000000" w:themeColor="text1"/>
          <w:lang w:val="x-none"/>
        </w:rPr>
        <w:t>Utilizarea</w:t>
      </w:r>
      <w:proofErr w:type="spellEnd"/>
      <w:r w:rsidRPr="00C56257">
        <w:rPr>
          <w:color w:val="000000" w:themeColor="text1"/>
          <w:lang w:val="x-none"/>
        </w:rPr>
        <w:t xml:space="preserve"> </w:t>
      </w:r>
      <w:proofErr w:type="spellStart"/>
      <w:r w:rsidRPr="00C56257">
        <w:rPr>
          <w:color w:val="000000" w:themeColor="text1"/>
          <w:lang w:val="x-none"/>
        </w:rPr>
        <w:t>datelor</w:t>
      </w:r>
      <w:proofErr w:type="spellEnd"/>
      <w:r w:rsidRPr="00C56257">
        <w:rPr>
          <w:color w:val="000000" w:themeColor="text1"/>
          <w:lang w:val="x-none"/>
        </w:rPr>
        <w:t xml:space="preserve"> </w:t>
      </w:r>
      <w:proofErr w:type="spellStart"/>
      <w:r w:rsidRPr="00C56257">
        <w:rPr>
          <w:color w:val="000000" w:themeColor="text1"/>
          <w:lang w:val="x-none"/>
        </w:rPr>
        <w:t>atributelor</w:t>
      </w:r>
      <w:proofErr w:type="spellEnd"/>
      <w:r w:rsidRPr="00C56257">
        <w:rPr>
          <w:color w:val="000000" w:themeColor="text1"/>
          <w:lang w:val="x-none"/>
        </w:rPr>
        <w:t xml:space="preserve"> </w:t>
      </w:r>
      <w:proofErr w:type="spellStart"/>
      <w:r w:rsidRPr="00C56257">
        <w:rPr>
          <w:color w:val="000000" w:themeColor="text1"/>
          <w:lang w:val="x-none"/>
        </w:rPr>
        <w:t>pentru</w:t>
      </w:r>
      <w:proofErr w:type="spellEnd"/>
      <w:r w:rsidRPr="00C56257">
        <w:rPr>
          <w:color w:val="000000" w:themeColor="text1"/>
          <w:lang w:val="x-none"/>
        </w:rPr>
        <w:t xml:space="preserve"> a indica </w:t>
      </w:r>
      <w:proofErr w:type="spellStart"/>
      <w:r w:rsidRPr="00C56257">
        <w:rPr>
          <w:color w:val="000000" w:themeColor="text1"/>
          <w:lang w:val="x-none"/>
        </w:rPr>
        <w:t>prezența</w:t>
      </w:r>
      <w:proofErr w:type="spellEnd"/>
      <w:r w:rsidRPr="00C56257">
        <w:rPr>
          <w:color w:val="000000" w:themeColor="text1"/>
          <w:lang w:val="x-none"/>
        </w:rPr>
        <w:t xml:space="preserve"> </w:t>
      </w:r>
      <w:proofErr w:type="spellStart"/>
      <w:r w:rsidRPr="00C56257">
        <w:rPr>
          <w:color w:val="000000" w:themeColor="text1"/>
          <w:lang w:val="x-none"/>
        </w:rPr>
        <w:t>sau</w:t>
      </w:r>
      <w:proofErr w:type="spellEnd"/>
      <w:r w:rsidRPr="00C56257">
        <w:rPr>
          <w:color w:val="000000" w:themeColor="text1"/>
          <w:lang w:val="x-none"/>
        </w:rPr>
        <w:t xml:space="preserve"> </w:t>
      </w:r>
      <w:proofErr w:type="spellStart"/>
      <w:r w:rsidRPr="00C56257">
        <w:rPr>
          <w:color w:val="000000" w:themeColor="text1"/>
          <w:lang w:val="x-none"/>
        </w:rPr>
        <w:t>absența</w:t>
      </w:r>
      <w:proofErr w:type="spellEnd"/>
      <w:r w:rsidRPr="00C56257">
        <w:rPr>
          <w:color w:val="000000" w:themeColor="text1"/>
          <w:lang w:val="x-none"/>
        </w:rPr>
        <w:t xml:space="preserve"> </w:t>
      </w:r>
      <w:proofErr w:type="spellStart"/>
      <w:r w:rsidRPr="00C56257">
        <w:rPr>
          <w:color w:val="000000" w:themeColor="text1"/>
          <w:lang w:val="x-none"/>
        </w:rPr>
        <w:t>unui</w:t>
      </w:r>
      <w:proofErr w:type="spellEnd"/>
      <w:r w:rsidRPr="00C56257">
        <w:rPr>
          <w:color w:val="000000" w:themeColor="text1"/>
          <w:lang w:val="x-none"/>
        </w:rPr>
        <w:t xml:space="preserve"> tip de habitat </w:t>
      </w:r>
      <w:proofErr w:type="spellStart"/>
      <w:r w:rsidRPr="00C56257">
        <w:rPr>
          <w:color w:val="000000" w:themeColor="text1"/>
          <w:lang w:val="x-none"/>
        </w:rPr>
        <w:t>într</w:t>
      </w:r>
      <w:proofErr w:type="spellEnd"/>
      <w:r w:rsidRPr="00C56257">
        <w:rPr>
          <w:color w:val="000000" w:themeColor="text1"/>
          <w:lang w:val="x-none"/>
        </w:rPr>
        <w:t xml:space="preserve">-o </w:t>
      </w:r>
      <w:proofErr w:type="spellStart"/>
      <w:r w:rsidRPr="00C56257">
        <w:rPr>
          <w:color w:val="000000" w:themeColor="text1"/>
          <w:lang w:val="x-none"/>
        </w:rPr>
        <w:t>celulă</w:t>
      </w:r>
      <w:proofErr w:type="spellEnd"/>
      <w:r w:rsidRPr="00C56257">
        <w:rPr>
          <w:color w:val="000000" w:themeColor="text1"/>
          <w:lang w:val="x-none"/>
        </w:rPr>
        <w:t xml:space="preserve"> de </w:t>
      </w:r>
      <w:proofErr w:type="spellStart"/>
      <w:r w:rsidRPr="00C56257">
        <w:rPr>
          <w:color w:val="000000" w:themeColor="text1"/>
          <w:lang w:val="x-none"/>
        </w:rPr>
        <w:t>grilă</w:t>
      </w:r>
      <w:proofErr w:type="spellEnd"/>
      <w:r w:rsidRPr="00C56257">
        <w:rPr>
          <w:color w:val="000000" w:themeColor="text1"/>
          <w:lang w:val="x-none"/>
        </w:rPr>
        <w:t xml:space="preserve"> nu </w:t>
      </w:r>
      <w:proofErr w:type="spellStart"/>
      <w:r w:rsidRPr="00C56257">
        <w:rPr>
          <w:color w:val="000000" w:themeColor="text1"/>
          <w:lang w:val="x-none"/>
        </w:rPr>
        <w:t>este</w:t>
      </w:r>
      <w:proofErr w:type="spellEnd"/>
      <w:r w:rsidRPr="00C56257">
        <w:rPr>
          <w:color w:val="000000" w:themeColor="text1"/>
          <w:lang w:val="x-none"/>
        </w:rPr>
        <w:t xml:space="preserve"> </w:t>
      </w:r>
      <w:proofErr w:type="spellStart"/>
      <w:r w:rsidRPr="00C56257">
        <w:rPr>
          <w:color w:val="000000" w:themeColor="text1"/>
          <w:lang w:val="x-none"/>
        </w:rPr>
        <w:t>permisă</w:t>
      </w:r>
      <w:proofErr w:type="spellEnd"/>
      <w:r w:rsidRPr="00C56257">
        <w:rPr>
          <w:color w:val="000000" w:themeColor="text1"/>
          <w:lang w:val="x-none"/>
        </w:rPr>
        <w:t xml:space="preserve">. </w:t>
      </w:r>
      <w:r w:rsidRPr="00C56257">
        <w:rPr>
          <w:color w:val="000000" w:themeColor="text1"/>
        </w:rPr>
        <w:t>Datele spa</w:t>
      </w:r>
      <w:proofErr w:type="spellStart"/>
      <w:r w:rsidRPr="00C56257">
        <w:rPr>
          <w:color w:val="000000" w:themeColor="text1"/>
          <w:lang w:val="x-none"/>
        </w:rPr>
        <w:t>ț</w:t>
      </w:r>
      <w:r w:rsidRPr="00C56257">
        <w:rPr>
          <w:color w:val="000000" w:themeColor="text1"/>
        </w:rPr>
        <w:t>iale</w:t>
      </w:r>
      <w:proofErr w:type="spellEnd"/>
      <w:r w:rsidRPr="00C56257">
        <w:rPr>
          <w:color w:val="000000" w:themeColor="text1"/>
        </w:rPr>
        <w:t xml:space="preserve"> aferente h</w:t>
      </w:r>
      <w:proofErr w:type="spellStart"/>
      <w:r w:rsidRPr="00C56257">
        <w:rPr>
          <w:color w:val="000000" w:themeColor="text1"/>
          <w:lang w:val="x-none"/>
        </w:rPr>
        <w:t>ărțil</w:t>
      </w:r>
      <w:r w:rsidRPr="00C56257">
        <w:rPr>
          <w:color w:val="000000" w:themeColor="text1"/>
        </w:rPr>
        <w:t>or</w:t>
      </w:r>
      <w:proofErr w:type="spellEnd"/>
      <w:r w:rsidRPr="00C56257">
        <w:rPr>
          <w:color w:val="000000" w:themeColor="text1"/>
        </w:rPr>
        <w:t xml:space="preserve"> </w:t>
      </w:r>
      <w:r w:rsidRPr="00C56257">
        <w:rPr>
          <w:color w:val="000000" w:themeColor="text1"/>
          <w:lang w:val="x-none"/>
        </w:rPr>
        <w:t xml:space="preserve">de </w:t>
      </w:r>
      <w:proofErr w:type="spellStart"/>
      <w:r w:rsidRPr="00C56257">
        <w:rPr>
          <w:color w:val="000000" w:themeColor="text1"/>
          <w:lang w:val="x-none"/>
        </w:rPr>
        <w:t>distribuţie</w:t>
      </w:r>
      <w:proofErr w:type="spellEnd"/>
      <w:r w:rsidRPr="00C56257">
        <w:rPr>
          <w:color w:val="000000" w:themeColor="text1"/>
          <w:lang w:val="x-none"/>
        </w:rPr>
        <w:t xml:space="preserve"> </w:t>
      </w:r>
      <w:proofErr w:type="spellStart"/>
      <w:r w:rsidRPr="00C56257">
        <w:rPr>
          <w:color w:val="000000" w:themeColor="text1"/>
          <w:lang w:val="x-none"/>
        </w:rPr>
        <w:t>trebuie</w:t>
      </w:r>
      <w:proofErr w:type="spellEnd"/>
      <w:r w:rsidRPr="00C56257">
        <w:rPr>
          <w:color w:val="000000" w:themeColor="text1"/>
          <w:lang w:val="x-none"/>
        </w:rPr>
        <w:t xml:space="preserve"> generate </w:t>
      </w:r>
      <w:proofErr w:type="spellStart"/>
      <w:r w:rsidRPr="00C56257">
        <w:rPr>
          <w:color w:val="000000" w:themeColor="text1"/>
          <w:lang w:val="x-none"/>
        </w:rPr>
        <w:t>în</w:t>
      </w:r>
      <w:proofErr w:type="spellEnd"/>
      <w:r w:rsidRPr="00C56257">
        <w:rPr>
          <w:color w:val="000000" w:themeColor="text1"/>
          <w:lang w:val="x-none"/>
        </w:rPr>
        <w:t xml:space="preserve"> format shapefile </w:t>
      </w:r>
      <w:proofErr w:type="spellStart"/>
      <w:r w:rsidRPr="00C56257">
        <w:rPr>
          <w:color w:val="000000" w:themeColor="text1"/>
          <w:lang w:val="x-none"/>
        </w:rPr>
        <w:t>sau</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format ESRI („geodatabase”). </w:t>
      </w:r>
      <w:proofErr w:type="spellStart"/>
      <w:r w:rsidRPr="00C56257">
        <w:rPr>
          <w:color w:val="000000" w:themeColor="text1"/>
          <w:lang w:val="x-none"/>
        </w:rPr>
        <w:t>Gridul</w:t>
      </w:r>
      <w:proofErr w:type="spellEnd"/>
      <w:r w:rsidRPr="00C56257">
        <w:rPr>
          <w:color w:val="000000" w:themeColor="text1"/>
          <w:lang w:val="x-none"/>
        </w:rPr>
        <w:t xml:space="preserve"> </w:t>
      </w:r>
      <w:proofErr w:type="spellStart"/>
      <w:r w:rsidRPr="00C56257">
        <w:rPr>
          <w:color w:val="000000" w:themeColor="text1"/>
          <w:lang w:val="x-none"/>
        </w:rPr>
        <w:t>poate</w:t>
      </w:r>
      <w:proofErr w:type="spellEnd"/>
      <w:r w:rsidRPr="00C56257">
        <w:rPr>
          <w:color w:val="000000" w:themeColor="text1"/>
          <w:lang w:val="x-none"/>
        </w:rPr>
        <w:t xml:space="preserve"> fi </w:t>
      </w:r>
      <w:proofErr w:type="spellStart"/>
      <w:r w:rsidRPr="00C56257">
        <w:rPr>
          <w:color w:val="000000" w:themeColor="text1"/>
          <w:lang w:val="x-none"/>
        </w:rPr>
        <w:t>raportat</w:t>
      </w:r>
      <w:proofErr w:type="spellEnd"/>
      <w:r w:rsidRPr="00C56257">
        <w:rPr>
          <w:color w:val="000000" w:themeColor="text1"/>
          <w:lang w:val="x-none"/>
        </w:rPr>
        <w:t xml:space="preserve"> </w:t>
      </w:r>
      <w:proofErr w:type="spellStart"/>
      <w:r w:rsidRPr="00C56257">
        <w:rPr>
          <w:color w:val="000000" w:themeColor="text1"/>
          <w:lang w:val="x-none"/>
        </w:rPr>
        <w:t>că</w:t>
      </w:r>
      <w:proofErr w:type="spellEnd"/>
      <w:r w:rsidRPr="00C56257">
        <w:rPr>
          <w:color w:val="000000" w:themeColor="text1"/>
          <w:lang w:val="x-none"/>
        </w:rPr>
        <w:t xml:space="preserve"> </w:t>
      </w:r>
      <w:proofErr w:type="spellStart"/>
      <w:r w:rsidRPr="00C56257">
        <w:rPr>
          <w:color w:val="000000" w:themeColor="text1"/>
          <w:lang w:val="x-none"/>
        </w:rPr>
        <w:t>celule</w:t>
      </w:r>
      <w:proofErr w:type="spellEnd"/>
      <w:r w:rsidRPr="00C56257">
        <w:rPr>
          <w:color w:val="000000" w:themeColor="text1"/>
          <w:lang w:val="x-none"/>
        </w:rPr>
        <w:t xml:space="preserve"> </w:t>
      </w:r>
      <w:proofErr w:type="spellStart"/>
      <w:r w:rsidRPr="00C56257">
        <w:rPr>
          <w:color w:val="000000" w:themeColor="text1"/>
          <w:lang w:val="x-none"/>
        </w:rPr>
        <w:t>sau</w:t>
      </w:r>
      <w:proofErr w:type="spellEnd"/>
      <w:r w:rsidRPr="00C56257">
        <w:rPr>
          <w:color w:val="000000" w:themeColor="text1"/>
          <w:lang w:val="x-none"/>
        </w:rPr>
        <w:t xml:space="preserve"> „</w:t>
      </w:r>
      <w:proofErr w:type="spellStart"/>
      <w:r w:rsidRPr="00C56257">
        <w:rPr>
          <w:color w:val="000000" w:themeColor="text1"/>
          <w:lang w:val="x-none"/>
        </w:rPr>
        <w:t>dizolvat</w:t>
      </w:r>
      <w:proofErr w:type="spellEnd"/>
      <w:r w:rsidRPr="00C56257">
        <w:rPr>
          <w:color w:val="000000" w:themeColor="text1"/>
          <w:lang w:val="x-none"/>
        </w:rPr>
        <w:t xml:space="preserve">” </w:t>
      </w:r>
      <w:proofErr w:type="spellStart"/>
      <w:r w:rsidRPr="00C56257">
        <w:rPr>
          <w:color w:val="000000" w:themeColor="text1"/>
          <w:lang w:val="x-none"/>
        </w:rPr>
        <w:t>după</w:t>
      </w:r>
      <w:proofErr w:type="spellEnd"/>
      <w:r w:rsidRPr="00C56257">
        <w:rPr>
          <w:color w:val="000000" w:themeColor="text1"/>
          <w:lang w:val="x-none"/>
        </w:rPr>
        <w:t xml:space="preserve"> </w:t>
      </w:r>
      <w:proofErr w:type="spellStart"/>
      <w:r w:rsidRPr="00C56257">
        <w:rPr>
          <w:color w:val="000000" w:themeColor="text1"/>
          <w:lang w:val="x-none"/>
        </w:rPr>
        <w:t>generare</w:t>
      </w:r>
      <w:proofErr w:type="spellEnd"/>
      <w:r w:rsidRPr="00C56257">
        <w:rPr>
          <w:color w:val="000000" w:themeColor="text1"/>
          <w:lang w:val="x-none"/>
        </w:rPr>
        <w:t>.</w:t>
      </w:r>
    </w:p>
    <w:p w14:paraId="7E8AE683" w14:textId="77777777" w:rsidR="00FC026B" w:rsidRPr="00C56257" w:rsidRDefault="00FC026B" w:rsidP="00FC026B">
      <w:pPr>
        <w:autoSpaceDE w:val="0"/>
        <w:autoSpaceDN w:val="0"/>
        <w:adjustRightInd w:val="0"/>
        <w:ind w:firstLine="720"/>
        <w:jc w:val="both"/>
        <w:rPr>
          <w:color w:val="000000" w:themeColor="text1"/>
          <w:lang w:val="x-none"/>
        </w:rPr>
      </w:pPr>
      <w:proofErr w:type="spellStart"/>
      <w:r w:rsidRPr="00C56257">
        <w:rPr>
          <w:color w:val="000000" w:themeColor="text1"/>
          <w:lang w:val="x-none"/>
        </w:rPr>
        <w:t>Atributele</w:t>
      </w:r>
      <w:proofErr w:type="spellEnd"/>
      <w:r w:rsidRPr="00C56257">
        <w:rPr>
          <w:color w:val="000000" w:themeColor="text1"/>
          <w:lang w:val="x-none"/>
        </w:rPr>
        <w:t xml:space="preserve"> </w:t>
      </w:r>
      <w:proofErr w:type="spellStart"/>
      <w:r w:rsidRPr="00C56257">
        <w:rPr>
          <w:color w:val="000000" w:themeColor="text1"/>
          <w:lang w:val="x-none"/>
        </w:rPr>
        <w:t>fişierelor</w:t>
      </w:r>
      <w:proofErr w:type="spellEnd"/>
      <w:r w:rsidRPr="00C56257">
        <w:rPr>
          <w:color w:val="000000" w:themeColor="text1"/>
          <w:lang w:val="x-none"/>
        </w:rPr>
        <w:t xml:space="preserve"> </w:t>
      </w:r>
      <w:proofErr w:type="spellStart"/>
      <w:r w:rsidRPr="00C56257">
        <w:rPr>
          <w:color w:val="000000" w:themeColor="text1"/>
          <w:lang w:val="x-none"/>
        </w:rPr>
        <w:t>trebuie</w:t>
      </w:r>
      <w:proofErr w:type="spellEnd"/>
      <w:r w:rsidRPr="00C56257">
        <w:rPr>
          <w:color w:val="000000" w:themeColor="text1"/>
          <w:lang w:val="x-none"/>
        </w:rPr>
        <w:t xml:space="preserve"> </w:t>
      </w:r>
      <w:proofErr w:type="spellStart"/>
      <w:r w:rsidRPr="00C56257">
        <w:rPr>
          <w:color w:val="000000" w:themeColor="text1"/>
          <w:lang w:val="x-none"/>
        </w:rPr>
        <w:t>să</w:t>
      </w:r>
      <w:proofErr w:type="spellEnd"/>
      <w:r w:rsidRPr="00C56257">
        <w:rPr>
          <w:color w:val="000000" w:themeColor="text1"/>
          <w:lang w:val="x-none"/>
        </w:rPr>
        <w:t xml:space="preserve"> </w:t>
      </w:r>
      <w:proofErr w:type="spellStart"/>
      <w:r w:rsidRPr="00C56257">
        <w:rPr>
          <w:color w:val="000000" w:themeColor="text1"/>
          <w:lang w:val="x-none"/>
        </w:rPr>
        <w:t>corespundă</w:t>
      </w:r>
      <w:proofErr w:type="spellEnd"/>
      <w:r w:rsidRPr="00C56257">
        <w:rPr>
          <w:color w:val="000000" w:themeColor="text1"/>
          <w:lang w:val="x-none"/>
        </w:rPr>
        <w:t xml:space="preserve"> </w:t>
      </w:r>
      <w:proofErr w:type="spellStart"/>
      <w:r w:rsidRPr="00C56257">
        <w:rPr>
          <w:color w:val="000000" w:themeColor="text1"/>
          <w:lang w:val="x-none"/>
        </w:rPr>
        <w:t>tabelului</w:t>
      </w:r>
      <w:proofErr w:type="spellEnd"/>
      <w:r w:rsidRPr="00C56257">
        <w:rPr>
          <w:color w:val="000000" w:themeColor="text1"/>
          <w:lang w:val="x-none"/>
        </w:rPr>
        <w:t xml:space="preserve"> </w:t>
      </w:r>
      <w:proofErr w:type="spellStart"/>
      <w:r w:rsidRPr="00C56257">
        <w:rPr>
          <w:color w:val="000000" w:themeColor="text1"/>
          <w:lang w:val="x-none"/>
        </w:rPr>
        <w:t>următor</w:t>
      </w:r>
      <w:proofErr w:type="spellEnd"/>
      <w:r w:rsidRPr="00C56257">
        <w:rPr>
          <w:color w:val="000000" w:themeColor="text1"/>
          <w:lang w:val="x-none"/>
        </w:rPr>
        <w:t>.</w:t>
      </w:r>
    </w:p>
    <w:p w14:paraId="31BA19EA" w14:textId="77777777" w:rsidR="00FC026B" w:rsidRPr="00C56257" w:rsidRDefault="00FC026B" w:rsidP="00FC026B">
      <w:pPr>
        <w:autoSpaceDE w:val="0"/>
        <w:autoSpaceDN w:val="0"/>
        <w:adjustRightInd w:val="0"/>
        <w:ind w:firstLine="720"/>
        <w:jc w:val="both"/>
        <w:rPr>
          <w:color w:val="000000" w:themeColor="text1"/>
          <w:lang w:val="x-none"/>
        </w:rPr>
      </w:pPr>
    </w:p>
    <w:p w14:paraId="4B80F641" w14:textId="77777777" w:rsidR="00FC026B" w:rsidRPr="00C56257" w:rsidRDefault="00FC026B" w:rsidP="00FC026B">
      <w:pPr>
        <w:autoSpaceDE w:val="0"/>
        <w:autoSpaceDN w:val="0"/>
        <w:adjustRightInd w:val="0"/>
        <w:ind w:hanging="90"/>
        <w:jc w:val="both"/>
        <w:rPr>
          <w:color w:val="000000" w:themeColor="text1"/>
          <w:lang w:val="x-none"/>
        </w:rPr>
      </w:pPr>
      <w:r w:rsidRPr="00725735">
        <w:rPr>
          <w:color w:val="000000" w:themeColor="text1"/>
          <w:lang w:val="x-none"/>
        </w:rPr>
        <w:t>Tab</w:t>
      </w:r>
      <w:r w:rsidRPr="00725735">
        <w:rPr>
          <w:color w:val="000000" w:themeColor="text1"/>
        </w:rPr>
        <w:t>el 1.3.</w:t>
      </w:r>
      <w:r w:rsidRPr="00C56257">
        <w:rPr>
          <w:color w:val="000000" w:themeColor="text1"/>
          <w:lang w:val="x-none"/>
        </w:rPr>
        <w:t xml:space="preserve"> </w:t>
      </w:r>
      <w:r w:rsidRPr="00C56257">
        <w:rPr>
          <w:color w:val="000000" w:themeColor="text1"/>
        </w:rPr>
        <w:t>A</w:t>
      </w:r>
      <w:r w:rsidRPr="00C56257">
        <w:rPr>
          <w:color w:val="000000" w:themeColor="text1"/>
          <w:lang w:val="x-none"/>
        </w:rPr>
        <w:t xml:space="preserve">tribute </w:t>
      </w:r>
      <w:proofErr w:type="spellStart"/>
      <w:r w:rsidRPr="00C56257">
        <w:rPr>
          <w:color w:val="000000" w:themeColor="text1"/>
          <w:lang w:val="x-none"/>
        </w:rPr>
        <w:t>hărţi</w:t>
      </w:r>
      <w:proofErr w:type="spellEnd"/>
      <w:r w:rsidRPr="00C56257">
        <w:rPr>
          <w:color w:val="000000" w:themeColor="text1"/>
          <w:lang w:val="x-none"/>
        </w:rPr>
        <w:t xml:space="preserve"> </w:t>
      </w:r>
      <w:proofErr w:type="spellStart"/>
      <w:r w:rsidRPr="00C56257">
        <w:rPr>
          <w:color w:val="000000" w:themeColor="text1"/>
          <w:lang w:val="x-none"/>
        </w:rPr>
        <w:t>distribuţie</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8"/>
        <w:gridCol w:w="5580"/>
        <w:gridCol w:w="2457"/>
      </w:tblGrid>
      <w:tr w:rsidR="00FC026B" w:rsidRPr="00C56257" w14:paraId="1AC9CEA1" w14:textId="77777777" w:rsidTr="00993B86">
        <w:tc>
          <w:tcPr>
            <w:tcW w:w="1818" w:type="dxa"/>
            <w:shd w:val="clear" w:color="auto" w:fill="auto"/>
          </w:tcPr>
          <w:p w14:paraId="2D740A0F" w14:textId="77777777" w:rsidR="00FC026B" w:rsidRPr="00C56257" w:rsidRDefault="00FC026B" w:rsidP="00993B86">
            <w:pPr>
              <w:pStyle w:val="ListParagraph"/>
              <w:jc w:val="both"/>
              <w:rPr>
                <w:rFonts w:ascii="Times New Roman" w:eastAsia="Times New Roman" w:hAnsi="Times New Roman" w:cs="Times New Roman"/>
                <w:b/>
                <w:bCs/>
                <w:color w:val="000000" w:themeColor="text1"/>
                <w:sz w:val="24"/>
                <w:szCs w:val="24"/>
                <w:lang w:val="ro-RO"/>
              </w:rPr>
            </w:pPr>
            <w:r w:rsidRPr="00C56257">
              <w:rPr>
                <w:rFonts w:ascii="Times New Roman" w:eastAsia="Times New Roman" w:hAnsi="Times New Roman" w:cs="Times New Roman"/>
                <w:b/>
                <w:bCs/>
                <w:color w:val="000000" w:themeColor="text1"/>
                <w:sz w:val="24"/>
                <w:szCs w:val="24"/>
                <w:lang w:val="ro-RO"/>
              </w:rPr>
              <w:t>Nume</w:t>
            </w:r>
          </w:p>
        </w:tc>
        <w:tc>
          <w:tcPr>
            <w:tcW w:w="5580" w:type="dxa"/>
            <w:shd w:val="clear" w:color="auto" w:fill="auto"/>
          </w:tcPr>
          <w:p w14:paraId="57B2B13F" w14:textId="77777777" w:rsidR="00FC026B" w:rsidRPr="00C56257" w:rsidRDefault="00FC026B" w:rsidP="00993B86">
            <w:pPr>
              <w:pStyle w:val="ListParagraph"/>
              <w:jc w:val="both"/>
              <w:rPr>
                <w:rFonts w:ascii="Times New Roman" w:eastAsia="Times New Roman" w:hAnsi="Times New Roman" w:cs="Times New Roman"/>
                <w:b/>
                <w:bCs/>
                <w:color w:val="000000" w:themeColor="text1"/>
                <w:sz w:val="24"/>
                <w:szCs w:val="24"/>
                <w:lang w:val="ro-RO"/>
              </w:rPr>
            </w:pPr>
            <w:r w:rsidRPr="00C56257">
              <w:rPr>
                <w:rFonts w:ascii="Times New Roman" w:eastAsia="Times New Roman" w:hAnsi="Times New Roman" w:cs="Times New Roman"/>
                <w:b/>
                <w:bCs/>
                <w:color w:val="000000" w:themeColor="text1"/>
                <w:sz w:val="24"/>
                <w:szCs w:val="24"/>
                <w:lang w:val="ro-RO"/>
              </w:rPr>
              <w:t>Descriere</w:t>
            </w:r>
          </w:p>
        </w:tc>
        <w:tc>
          <w:tcPr>
            <w:tcW w:w="2457" w:type="dxa"/>
            <w:shd w:val="clear" w:color="auto" w:fill="auto"/>
          </w:tcPr>
          <w:p w14:paraId="7D46A8E2" w14:textId="77777777" w:rsidR="00FC026B" w:rsidRPr="00C56257" w:rsidRDefault="00FC026B" w:rsidP="00993B86">
            <w:pPr>
              <w:pStyle w:val="ListParagraph"/>
              <w:jc w:val="both"/>
              <w:rPr>
                <w:rFonts w:ascii="Times New Roman" w:eastAsia="Times New Roman" w:hAnsi="Times New Roman" w:cs="Times New Roman"/>
                <w:b/>
                <w:bCs/>
                <w:color w:val="000000" w:themeColor="text1"/>
                <w:sz w:val="24"/>
                <w:szCs w:val="24"/>
                <w:lang w:val="ro-RO"/>
              </w:rPr>
            </w:pPr>
            <w:r w:rsidRPr="00C56257">
              <w:rPr>
                <w:rFonts w:ascii="Times New Roman" w:eastAsia="Times New Roman" w:hAnsi="Times New Roman" w:cs="Times New Roman"/>
                <w:b/>
                <w:bCs/>
                <w:color w:val="000000" w:themeColor="text1"/>
                <w:sz w:val="24"/>
                <w:szCs w:val="24"/>
                <w:lang w:val="ro-RO"/>
              </w:rPr>
              <w:t>Tip</w:t>
            </w:r>
          </w:p>
        </w:tc>
      </w:tr>
      <w:tr w:rsidR="00FC026B" w:rsidRPr="00C56257" w14:paraId="50552DFA" w14:textId="77777777" w:rsidTr="00993B86">
        <w:tc>
          <w:tcPr>
            <w:tcW w:w="1818" w:type="dxa"/>
            <w:shd w:val="clear" w:color="auto" w:fill="auto"/>
          </w:tcPr>
          <w:p w14:paraId="4B08B8F3" w14:textId="77777777" w:rsidR="00FC026B" w:rsidRPr="00C56257" w:rsidRDefault="00FC026B" w:rsidP="00993B86">
            <w:pPr>
              <w:pStyle w:val="ListParagraph"/>
              <w:jc w:val="both"/>
              <w:rPr>
                <w:rFonts w:ascii="Times New Roman" w:eastAsia="Times New Roman" w:hAnsi="Times New Roman" w:cs="Times New Roman"/>
                <w:color w:val="000000" w:themeColor="text1"/>
                <w:sz w:val="24"/>
                <w:szCs w:val="24"/>
                <w:lang w:val="ro-RO"/>
              </w:rPr>
            </w:pPr>
            <w:r w:rsidRPr="00C56257">
              <w:rPr>
                <w:rFonts w:ascii="Times New Roman" w:eastAsia="Times New Roman" w:hAnsi="Times New Roman" w:cs="Times New Roman"/>
                <w:color w:val="000000" w:themeColor="text1"/>
                <w:sz w:val="24"/>
                <w:szCs w:val="24"/>
                <w:lang w:val="ro-RO"/>
              </w:rPr>
              <w:t>Code</w:t>
            </w:r>
          </w:p>
        </w:tc>
        <w:tc>
          <w:tcPr>
            <w:tcW w:w="5580" w:type="dxa"/>
            <w:shd w:val="clear" w:color="auto" w:fill="auto"/>
          </w:tcPr>
          <w:p w14:paraId="28AC208A" w14:textId="77777777" w:rsidR="00FC026B" w:rsidRPr="00C56257" w:rsidRDefault="00FC026B" w:rsidP="00993B86">
            <w:pPr>
              <w:pStyle w:val="ListParagraph"/>
              <w:jc w:val="both"/>
              <w:rPr>
                <w:rFonts w:ascii="Times New Roman" w:eastAsia="Times New Roman" w:hAnsi="Times New Roman" w:cs="Times New Roman"/>
                <w:color w:val="000000" w:themeColor="text1"/>
                <w:sz w:val="24"/>
                <w:szCs w:val="24"/>
                <w:lang w:val="ro-RO"/>
              </w:rPr>
            </w:pPr>
            <w:r w:rsidRPr="00C56257">
              <w:rPr>
                <w:rFonts w:ascii="Times New Roman" w:eastAsia="Times New Roman" w:hAnsi="Times New Roman" w:cs="Times New Roman"/>
                <w:color w:val="000000" w:themeColor="text1"/>
                <w:sz w:val="24"/>
                <w:szCs w:val="24"/>
                <w:lang w:val="ro-RO"/>
              </w:rPr>
              <w:t>Codul habitatului din lista de referinta</w:t>
            </w:r>
          </w:p>
        </w:tc>
        <w:tc>
          <w:tcPr>
            <w:tcW w:w="2457" w:type="dxa"/>
            <w:shd w:val="clear" w:color="auto" w:fill="auto"/>
          </w:tcPr>
          <w:p w14:paraId="6E6914F0" w14:textId="77777777" w:rsidR="00FC026B" w:rsidRPr="00C56257" w:rsidRDefault="00FC026B" w:rsidP="00993B86">
            <w:pPr>
              <w:pStyle w:val="ListParagraph"/>
              <w:jc w:val="both"/>
              <w:rPr>
                <w:rFonts w:ascii="Times New Roman" w:eastAsia="Times New Roman" w:hAnsi="Times New Roman" w:cs="Times New Roman"/>
                <w:color w:val="000000" w:themeColor="text1"/>
                <w:sz w:val="24"/>
                <w:szCs w:val="24"/>
                <w:lang w:val="ro-RO"/>
              </w:rPr>
            </w:pPr>
            <w:r w:rsidRPr="00C56257">
              <w:rPr>
                <w:rFonts w:ascii="Times New Roman" w:eastAsia="Times New Roman" w:hAnsi="Times New Roman" w:cs="Times New Roman"/>
                <w:color w:val="000000" w:themeColor="text1"/>
                <w:sz w:val="24"/>
                <w:szCs w:val="24"/>
                <w:lang w:val="ro-RO"/>
              </w:rPr>
              <w:t>String (15)</w:t>
            </w:r>
          </w:p>
        </w:tc>
      </w:tr>
      <w:tr w:rsidR="00FC026B" w:rsidRPr="00C56257" w14:paraId="5CDE301A" w14:textId="77777777" w:rsidTr="00993B86">
        <w:tc>
          <w:tcPr>
            <w:tcW w:w="1818" w:type="dxa"/>
            <w:shd w:val="clear" w:color="auto" w:fill="auto"/>
          </w:tcPr>
          <w:p w14:paraId="6ED1B426" w14:textId="77777777" w:rsidR="00FC026B" w:rsidRPr="00C56257" w:rsidRDefault="00FC026B" w:rsidP="00993B86">
            <w:pPr>
              <w:pStyle w:val="ListParagraph"/>
              <w:jc w:val="both"/>
              <w:rPr>
                <w:rFonts w:ascii="Times New Roman" w:eastAsia="Times New Roman" w:hAnsi="Times New Roman" w:cs="Times New Roman"/>
                <w:color w:val="000000" w:themeColor="text1"/>
                <w:sz w:val="24"/>
                <w:szCs w:val="24"/>
                <w:lang w:val="ro-RO"/>
              </w:rPr>
            </w:pPr>
            <w:r w:rsidRPr="00C56257">
              <w:rPr>
                <w:rFonts w:ascii="Times New Roman" w:eastAsia="Times New Roman" w:hAnsi="Times New Roman" w:cs="Times New Roman"/>
                <w:color w:val="000000" w:themeColor="text1"/>
                <w:sz w:val="24"/>
                <w:szCs w:val="24"/>
                <w:lang w:val="ro-RO"/>
              </w:rPr>
              <w:t>maptype</w:t>
            </w:r>
          </w:p>
        </w:tc>
        <w:tc>
          <w:tcPr>
            <w:tcW w:w="5580" w:type="dxa"/>
            <w:shd w:val="clear" w:color="auto" w:fill="auto"/>
          </w:tcPr>
          <w:p w14:paraId="7DF8F7F5" w14:textId="77777777" w:rsidR="00FC026B" w:rsidRPr="00C56257" w:rsidRDefault="00FC026B" w:rsidP="00993B86">
            <w:pPr>
              <w:pStyle w:val="ListParagraph"/>
              <w:jc w:val="both"/>
              <w:rPr>
                <w:rFonts w:ascii="Times New Roman" w:eastAsia="Times New Roman" w:hAnsi="Times New Roman" w:cs="Times New Roman"/>
                <w:color w:val="000000" w:themeColor="text1"/>
                <w:sz w:val="24"/>
                <w:szCs w:val="24"/>
                <w:lang w:val="ro-RO"/>
              </w:rPr>
            </w:pPr>
            <w:r w:rsidRPr="00C56257">
              <w:rPr>
                <w:rFonts w:ascii="Times New Roman" w:eastAsia="Times New Roman" w:hAnsi="Times New Roman" w:cs="Times New Roman"/>
                <w:color w:val="000000" w:themeColor="text1"/>
                <w:sz w:val="24"/>
                <w:szCs w:val="24"/>
                <w:lang w:val="ro-RO"/>
              </w:rPr>
              <w:t>Distributie (Distribution)</w:t>
            </w:r>
          </w:p>
        </w:tc>
        <w:tc>
          <w:tcPr>
            <w:tcW w:w="2457" w:type="dxa"/>
            <w:shd w:val="clear" w:color="auto" w:fill="auto"/>
          </w:tcPr>
          <w:p w14:paraId="534D7068" w14:textId="77777777" w:rsidR="00FC026B" w:rsidRPr="00C56257" w:rsidRDefault="00FC026B" w:rsidP="00993B86">
            <w:pPr>
              <w:pStyle w:val="ListParagraph"/>
              <w:jc w:val="both"/>
              <w:rPr>
                <w:rFonts w:ascii="Times New Roman" w:eastAsia="Times New Roman" w:hAnsi="Times New Roman" w:cs="Times New Roman"/>
                <w:color w:val="000000" w:themeColor="text1"/>
                <w:sz w:val="24"/>
                <w:szCs w:val="24"/>
                <w:lang w:val="ro-RO"/>
              </w:rPr>
            </w:pPr>
            <w:r w:rsidRPr="00C56257">
              <w:rPr>
                <w:rFonts w:ascii="Times New Roman" w:eastAsia="Times New Roman" w:hAnsi="Times New Roman" w:cs="Times New Roman"/>
                <w:color w:val="000000" w:themeColor="text1"/>
                <w:sz w:val="24"/>
                <w:szCs w:val="24"/>
                <w:lang w:val="ro-RO"/>
              </w:rPr>
              <w:t>String (15)</w:t>
            </w:r>
          </w:p>
        </w:tc>
      </w:tr>
      <w:tr w:rsidR="00FC026B" w:rsidRPr="00C56257" w14:paraId="2DFE2DB0" w14:textId="77777777" w:rsidTr="00993B86">
        <w:tc>
          <w:tcPr>
            <w:tcW w:w="1818" w:type="dxa"/>
            <w:shd w:val="clear" w:color="auto" w:fill="auto"/>
          </w:tcPr>
          <w:p w14:paraId="52E84BFB" w14:textId="77777777" w:rsidR="00FC026B" w:rsidRPr="00C56257" w:rsidRDefault="00FC026B" w:rsidP="00993B86">
            <w:pPr>
              <w:pStyle w:val="ListParagraph"/>
              <w:jc w:val="both"/>
              <w:rPr>
                <w:rFonts w:ascii="Times New Roman" w:eastAsia="Times New Roman" w:hAnsi="Times New Roman" w:cs="Times New Roman"/>
                <w:color w:val="000000" w:themeColor="text1"/>
                <w:sz w:val="24"/>
                <w:szCs w:val="24"/>
                <w:lang w:val="ro-RO"/>
              </w:rPr>
            </w:pPr>
            <w:r w:rsidRPr="00C56257">
              <w:rPr>
                <w:rFonts w:ascii="Times New Roman" w:eastAsia="Times New Roman" w:hAnsi="Times New Roman" w:cs="Times New Roman"/>
                <w:color w:val="000000" w:themeColor="text1"/>
                <w:sz w:val="24"/>
                <w:szCs w:val="24"/>
                <w:lang w:val="ro-RO"/>
              </w:rPr>
              <w:t>Category</w:t>
            </w:r>
          </w:p>
        </w:tc>
        <w:tc>
          <w:tcPr>
            <w:tcW w:w="5580" w:type="dxa"/>
            <w:shd w:val="clear" w:color="auto" w:fill="auto"/>
          </w:tcPr>
          <w:p w14:paraId="34B7C3A9" w14:textId="77777777" w:rsidR="00FC026B" w:rsidRPr="00C56257" w:rsidRDefault="00FC026B" w:rsidP="00993B86">
            <w:pPr>
              <w:pStyle w:val="ListParagraph"/>
              <w:jc w:val="both"/>
              <w:rPr>
                <w:rFonts w:ascii="Times New Roman" w:eastAsia="Times New Roman" w:hAnsi="Times New Roman" w:cs="Times New Roman"/>
                <w:color w:val="000000" w:themeColor="text1"/>
                <w:sz w:val="24"/>
                <w:szCs w:val="24"/>
                <w:lang w:val="ro-RO"/>
              </w:rPr>
            </w:pPr>
            <w:r w:rsidRPr="00C56257">
              <w:rPr>
                <w:rFonts w:ascii="Times New Roman" w:eastAsia="Times New Roman" w:hAnsi="Times New Roman" w:cs="Times New Roman"/>
                <w:color w:val="000000" w:themeColor="text1"/>
                <w:sz w:val="24"/>
                <w:szCs w:val="24"/>
                <w:lang w:val="ro-RO"/>
              </w:rPr>
              <w:t>Habitat/ species</w:t>
            </w:r>
          </w:p>
        </w:tc>
        <w:tc>
          <w:tcPr>
            <w:tcW w:w="2457" w:type="dxa"/>
            <w:shd w:val="clear" w:color="auto" w:fill="auto"/>
          </w:tcPr>
          <w:p w14:paraId="08D9FE51" w14:textId="77777777" w:rsidR="00FC026B" w:rsidRPr="00C56257" w:rsidRDefault="00FC026B" w:rsidP="00993B86">
            <w:pPr>
              <w:pStyle w:val="ListParagraph"/>
              <w:jc w:val="both"/>
              <w:rPr>
                <w:rFonts w:ascii="Times New Roman" w:eastAsia="Times New Roman" w:hAnsi="Times New Roman" w:cs="Times New Roman"/>
                <w:color w:val="000000" w:themeColor="text1"/>
                <w:sz w:val="24"/>
                <w:szCs w:val="24"/>
                <w:lang w:val="ro-RO"/>
              </w:rPr>
            </w:pPr>
            <w:r w:rsidRPr="00C56257">
              <w:rPr>
                <w:rFonts w:ascii="Times New Roman" w:eastAsia="Times New Roman" w:hAnsi="Times New Roman" w:cs="Times New Roman"/>
                <w:color w:val="000000" w:themeColor="text1"/>
                <w:sz w:val="24"/>
                <w:szCs w:val="24"/>
                <w:lang w:val="ro-RO"/>
              </w:rPr>
              <w:t>String (15)</w:t>
            </w:r>
          </w:p>
        </w:tc>
      </w:tr>
      <w:tr w:rsidR="00FC026B" w:rsidRPr="00C56257" w14:paraId="6F874AF1" w14:textId="77777777" w:rsidTr="00993B86">
        <w:tc>
          <w:tcPr>
            <w:tcW w:w="1818" w:type="dxa"/>
            <w:shd w:val="clear" w:color="auto" w:fill="auto"/>
          </w:tcPr>
          <w:p w14:paraId="0B2B7EA0" w14:textId="77777777" w:rsidR="00FC026B" w:rsidRPr="00C56257" w:rsidRDefault="00FC026B" w:rsidP="00993B86">
            <w:pPr>
              <w:pStyle w:val="ListParagraph"/>
              <w:jc w:val="both"/>
              <w:rPr>
                <w:rFonts w:ascii="Times New Roman" w:eastAsia="Times New Roman" w:hAnsi="Times New Roman" w:cs="Times New Roman"/>
                <w:color w:val="000000" w:themeColor="text1"/>
                <w:sz w:val="24"/>
                <w:szCs w:val="24"/>
                <w:lang w:val="ro-RO"/>
              </w:rPr>
            </w:pPr>
            <w:r w:rsidRPr="00C56257">
              <w:rPr>
                <w:rFonts w:ascii="Times New Roman" w:eastAsia="Times New Roman" w:hAnsi="Times New Roman" w:cs="Times New Roman"/>
                <w:color w:val="000000" w:themeColor="text1"/>
                <w:sz w:val="24"/>
                <w:szCs w:val="24"/>
                <w:lang w:val="ro-RO"/>
              </w:rPr>
              <w:t>isocode</w:t>
            </w:r>
          </w:p>
        </w:tc>
        <w:tc>
          <w:tcPr>
            <w:tcW w:w="5580" w:type="dxa"/>
            <w:shd w:val="clear" w:color="auto" w:fill="auto"/>
          </w:tcPr>
          <w:p w14:paraId="1EA570C1" w14:textId="77777777" w:rsidR="00FC026B" w:rsidRPr="00C56257" w:rsidRDefault="00FC026B" w:rsidP="00993B86">
            <w:pPr>
              <w:pStyle w:val="ListParagraph"/>
              <w:jc w:val="both"/>
              <w:rPr>
                <w:rFonts w:ascii="Times New Roman" w:eastAsia="Times New Roman" w:hAnsi="Times New Roman" w:cs="Times New Roman"/>
                <w:color w:val="000000" w:themeColor="text1"/>
                <w:sz w:val="24"/>
                <w:szCs w:val="24"/>
                <w:lang w:val="ro-RO"/>
              </w:rPr>
            </w:pPr>
            <w:r w:rsidRPr="00C56257">
              <w:rPr>
                <w:rFonts w:ascii="Times New Roman" w:eastAsia="Times New Roman" w:hAnsi="Times New Roman" w:cs="Times New Roman"/>
                <w:color w:val="000000" w:themeColor="text1"/>
                <w:sz w:val="24"/>
                <w:szCs w:val="24"/>
                <w:lang w:val="ro-RO"/>
              </w:rPr>
              <w:t>Codul tarii „RO”</w:t>
            </w:r>
          </w:p>
        </w:tc>
        <w:tc>
          <w:tcPr>
            <w:tcW w:w="2457" w:type="dxa"/>
            <w:shd w:val="clear" w:color="auto" w:fill="auto"/>
          </w:tcPr>
          <w:p w14:paraId="4BE37188" w14:textId="77777777" w:rsidR="00FC026B" w:rsidRPr="00C56257" w:rsidRDefault="00FC026B" w:rsidP="00993B86">
            <w:pPr>
              <w:pStyle w:val="ListParagraph"/>
              <w:jc w:val="both"/>
              <w:rPr>
                <w:rFonts w:ascii="Times New Roman" w:eastAsia="Times New Roman" w:hAnsi="Times New Roman" w:cs="Times New Roman"/>
                <w:color w:val="000000" w:themeColor="text1"/>
                <w:sz w:val="24"/>
                <w:szCs w:val="24"/>
                <w:lang w:val="ro-RO"/>
              </w:rPr>
            </w:pPr>
            <w:r w:rsidRPr="00C56257">
              <w:rPr>
                <w:rFonts w:ascii="Times New Roman" w:eastAsia="Times New Roman" w:hAnsi="Times New Roman" w:cs="Times New Roman"/>
                <w:color w:val="000000" w:themeColor="text1"/>
                <w:sz w:val="24"/>
                <w:szCs w:val="24"/>
                <w:lang w:val="ro-RO"/>
              </w:rPr>
              <w:t>String (2)</w:t>
            </w:r>
          </w:p>
        </w:tc>
      </w:tr>
      <w:tr w:rsidR="00FC026B" w:rsidRPr="00C56257" w14:paraId="7662C058" w14:textId="77777777" w:rsidTr="00993B86">
        <w:tc>
          <w:tcPr>
            <w:tcW w:w="1818" w:type="dxa"/>
            <w:shd w:val="clear" w:color="auto" w:fill="auto"/>
          </w:tcPr>
          <w:p w14:paraId="3452E5E7" w14:textId="77777777" w:rsidR="00FC026B" w:rsidRPr="00C56257" w:rsidRDefault="00FC026B" w:rsidP="00993B86">
            <w:pPr>
              <w:pStyle w:val="ListParagraph"/>
              <w:jc w:val="both"/>
              <w:rPr>
                <w:rFonts w:ascii="Times New Roman" w:eastAsia="Times New Roman" w:hAnsi="Times New Roman" w:cs="Times New Roman"/>
                <w:color w:val="000000" w:themeColor="text1"/>
                <w:sz w:val="24"/>
                <w:szCs w:val="24"/>
                <w:lang w:val="ro-RO"/>
              </w:rPr>
            </w:pPr>
            <w:r w:rsidRPr="00C56257">
              <w:rPr>
                <w:rFonts w:ascii="Times New Roman" w:eastAsia="Times New Roman" w:hAnsi="Times New Roman" w:cs="Times New Roman"/>
                <w:color w:val="000000" w:themeColor="text1"/>
                <w:sz w:val="24"/>
                <w:szCs w:val="24"/>
                <w:lang w:val="ro-RO"/>
              </w:rPr>
              <w:t>refgrid</w:t>
            </w:r>
          </w:p>
        </w:tc>
        <w:tc>
          <w:tcPr>
            <w:tcW w:w="5580" w:type="dxa"/>
            <w:shd w:val="clear" w:color="auto" w:fill="auto"/>
          </w:tcPr>
          <w:p w14:paraId="6B4AAD8D" w14:textId="77777777" w:rsidR="00FC026B" w:rsidRPr="00C56257" w:rsidRDefault="00FC026B" w:rsidP="00993B86">
            <w:pPr>
              <w:pStyle w:val="ListParagraph"/>
              <w:jc w:val="both"/>
              <w:rPr>
                <w:rFonts w:ascii="Times New Roman" w:eastAsia="Times New Roman" w:hAnsi="Times New Roman" w:cs="Times New Roman"/>
                <w:color w:val="000000" w:themeColor="text1"/>
                <w:sz w:val="24"/>
                <w:szCs w:val="24"/>
                <w:lang w:val="ro-RO"/>
              </w:rPr>
            </w:pPr>
            <w:r w:rsidRPr="00C56257">
              <w:rPr>
                <w:rFonts w:ascii="Times New Roman" w:eastAsia="Times New Roman" w:hAnsi="Times New Roman" w:cs="Times New Roman"/>
                <w:color w:val="000000" w:themeColor="text1"/>
                <w:sz w:val="24"/>
                <w:szCs w:val="24"/>
                <w:lang w:val="ro-RO"/>
              </w:rPr>
              <w:t>Informatii privind gridul de referinta pe baza caruia s-au realizat hartile</w:t>
            </w:r>
          </w:p>
        </w:tc>
        <w:tc>
          <w:tcPr>
            <w:tcW w:w="2457" w:type="dxa"/>
            <w:shd w:val="clear" w:color="auto" w:fill="auto"/>
          </w:tcPr>
          <w:p w14:paraId="2AF0E3E0" w14:textId="77777777" w:rsidR="00FC026B" w:rsidRPr="00C56257" w:rsidRDefault="00FC026B" w:rsidP="00993B86">
            <w:pPr>
              <w:pStyle w:val="ListParagraph"/>
              <w:jc w:val="both"/>
              <w:rPr>
                <w:rFonts w:ascii="Times New Roman" w:eastAsia="Times New Roman" w:hAnsi="Times New Roman" w:cs="Times New Roman"/>
                <w:color w:val="000000" w:themeColor="text1"/>
                <w:sz w:val="24"/>
                <w:szCs w:val="24"/>
                <w:lang w:val="ro-RO"/>
              </w:rPr>
            </w:pPr>
            <w:r w:rsidRPr="00C56257">
              <w:rPr>
                <w:rFonts w:ascii="Times New Roman" w:eastAsia="Times New Roman" w:hAnsi="Times New Roman" w:cs="Times New Roman"/>
                <w:color w:val="000000" w:themeColor="text1"/>
                <w:sz w:val="24"/>
                <w:szCs w:val="24"/>
                <w:lang w:val="ro-RO"/>
              </w:rPr>
              <w:t>String (25)</w:t>
            </w:r>
          </w:p>
        </w:tc>
      </w:tr>
      <w:tr w:rsidR="00FC026B" w:rsidRPr="00C56257" w14:paraId="4303AFBF" w14:textId="77777777" w:rsidTr="00993B86">
        <w:tc>
          <w:tcPr>
            <w:tcW w:w="1818" w:type="dxa"/>
            <w:shd w:val="clear" w:color="auto" w:fill="auto"/>
          </w:tcPr>
          <w:p w14:paraId="4579E41C" w14:textId="77777777" w:rsidR="00FC026B" w:rsidRPr="00C56257" w:rsidRDefault="00FC026B" w:rsidP="00993B86">
            <w:pPr>
              <w:pStyle w:val="ListParagraph"/>
              <w:jc w:val="both"/>
              <w:rPr>
                <w:rFonts w:ascii="Times New Roman" w:eastAsia="Times New Roman" w:hAnsi="Times New Roman" w:cs="Times New Roman"/>
                <w:color w:val="000000" w:themeColor="text1"/>
                <w:sz w:val="24"/>
                <w:szCs w:val="24"/>
                <w:lang w:val="ro-RO"/>
              </w:rPr>
            </w:pPr>
            <w:r w:rsidRPr="00C56257">
              <w:rPr>
                <w:rFonts w:ascii="Times New Roman" w:eastAsia="Times New Roman" w:hAnsi="Times New Roman" w:cs="Times New Roman"/>
                <w:color w:val="000000" w:themeColor="text1"/>
                <w:sz w:val="24"/>
                <w:szCs w:val="24"/>
                <w:lang w:val="ro-RO"/>
              </w:rPr>
              <w:t>sensitive</w:t>
            </w:r>
          </w:p>
        </w:tc>
        <w:tc>
          <w:tcPr>
            <w:tcW w:w="5580" w:type="dxa"/>
            <w:shd w:val="clear" w:color="auto" w:fill="auto"/>
          </w:tcPr>
          <w:p w14:paraId="7030CEA0" w14:textId="77777777" w:rsidR="00FC026B" w:rsidRPr="00C56257" w:rsidRDefault="00FC026B" w:rsidP="00993B86">
            <w:pPr>
              <w:pStyle w:val="ListParagraph"/>
              <w:jc w:val="both"/>
              <w:rPr>
                <w:rFonts w:ascii="Times New Roman" w:eastAsia="Times New Roman" w:hAnsi="Times New Roman" w:cs="Times New Roman"/>
                <w:color w:val="000000" w:themeColor="text1"/>
                <w:sz w:val="24"/>
                <w:szCs w:val="24"/>
                <w:lang w:val="ro-RO"/>
              </w:rPr>
            </w:pPr>
            <w:r w:rsidRPr="00C56257">
              <w:rPr>
                <w:rFonts w:ascii="Times New Roman" w:eastAsia="Times New Roman" w:hAnsi="Times New Roman" w:cs="Times New Roman"/>
                <w:color w:val="000000" w:themeColor="text1"/>
                <w:sz w:val="24"/>
                <w:szCs w:val="24"/>
                <w:lang w:val="ro-RO"/>
              </w:rPr>
              <w:t>„sensitive” sau „non-sensitive” in functie de habitat</w:t>
            </w:r>
          </w:p>
        </w:tc>
        <w:tc>
          <w:tcPr>
            <w:tcW w:w="2457" w:type="dxa"/>
            <w:shd w:val="clear" w:color="auto" w:fill="auto"/>
          </w:tcPr>
          <w:p w14:paraId="1B73C2C5" w14:textId="77777777" w:rsidR="00FC026B" w:rsidRPr="00C56257" w:rsidRDefault="00FC026B" w:rsidP="00993B86">
            <w:pPr>
              <w:pStyle w:val="ListParagraph"/>
              <w:jc w:val="both"/>
              <w:rPr>
                <w:rFonts w:ascii="Times New Roman" w:eastAsia="Times New Roman" w:hAnsi="Times New Roman" w:cs="Times New Roman"/>
                <w:color w:val="000000" w:themeColor="text1"/>
                <w:sz w:val="24"/>
                <w:szCs w:val="24"/>
                <w:lang w:val="ro-RO"/>
              </w:rPr>
            </w:pPr>
            <w:r w:rsidRPr="00C56257">
              <w:rPr>
                <w:rFonts w:ascii="Times New Roman" w:eastAsia="Times New Roman" w:hAnsi="Times New Roman" w:cs="Times New Roman"/>
                <w:color w:val="000000" w:themeColor="text1"/>
                <w:sz w:val="24"/>
                <w:szCs w:val="24"/>
                <w:lang w:val="ro-RO"/>
              </w:rPr>
              <w:t>String (15)</w:t>
            </w:r>
          </w:p>
        </w:tc>
      </w:tr>
    </w:tbl>
    <w:p w14:paraId="7F7A045B" w14:textId="77777777" w:rsidR="00FC026B" w:rsidRPr="00C56257" w:rsidRDefault="00FC026B" w:rsidP="00FC026B">
      <w:pPr>
        <w:pStyle w:val="ListParagraph"/>
        <w:jc w:val="both"/>
        <w:rPr>
          <w:rFonts w:ascii="Times New Roman" w:hAnsi="Times New Roman" w:cs="Times New Roman"/>
          <w:color w:val="000000" w:themeColor="text1"/>
          <w:sz w:val="24"/>
          <w:szCs w:val="24"/>
          <w:lang w:val="ro-RO"/>
        </w:rPr>
      </w:pPr>
    </w:p>
    <w:p w14:paraId="07060C53" w14:textId="77777777" w:rsidR="00FC026B" w:rsidRPr="00C56257" w:rsidRDefault="00FC026B" w:rsidP="00FC026B">
      <w:pPr>
        <w:autoSpaceDE w:val="0"/>
        <w:autoSpaceDN w:val="0"/>
        <w:adjustRightInd w:val="0"/>
        <w:ind w:firstLine="720"/>
        <w:jc w:val="both"/>
        <w:rPr>
          <w:color w:val="000000" w:themeColor="text1"/>
          <w:lang w:val="x-none"/>
        </w:rPr>
      </w:pPr>
      <w:proofErr w:type="spellStart"/>
      <w:r w:rsidRPr="00C56257">
        <w:rPr>
          <w:color w:val="000000" w:themeColor="text1"/>
          <w:lang w:val="x-none"/>
        </w:rPr>
        <w:t>Hărţile</w:t>
      </w:r>
      <w:proofErr w:type="spellEnd"/>
      <w:r w:rsidRPr="00C56257">
        <w:rPr>
          <w:color w:val="000000" w:themeColor="text1"/>
          <w:lang w:val="x-none"/>
        </w:rPr>
        <w:t xml:space="preserve"> de areal </w:t>
      </w:r>
      <w:proofErr w:type="spellStart"/>
      <w:r w:rsidRPr="00C56257">
        <w:rPr>
          <w:color w:val="000000" w:themeColor="text1"/>
          <w:lang w:val="x-none"/>
        </w:rPr>
        <w:t>trebuie</w:t>
      </w:r>
      <w:proofErr w:type="spellEnd"/>
      <w:r w:rsidRPr="00C56257">
        <w:rPr>
          <w:color w:val="000000" w:themeColor="text1"/>
          <w:lang w:val="x-none"/>
        </w:rPr>
        <w:t xml:space="preserve"> generate </w:t>
      </w:r>
      <w:proofErr w:type="spellStart"/>
      <w:r w:rsidRPr="00C56257">
        <w:rPr>
          <w:color w:val="000000" w:themeColor="text1"/>
          <w:lang w:val="x-none"/>
        </w:rPr>
        <w:t>utilizând</w:t>
      </w:r>
      <w:proofErr w:type="spellEnd"/>
      <w:r w:rsidRPr="00C56257">
        <w:rPr>
          <w:color w:val="000000" w:themeColor="text1"/>
          <w:lang w:val="x-none"/>
        </w:rPr>
        <w:t xml:space="preserve"> </w:t>
      </w:r>
      <w:proofErr w:type="spellStart"/>
      <w:r w:rsidRPr="00C56257">
        <w:rPr>
          <w:color w:val="000000" w:themeColor="text1"/>
          <w:lang w:val="x-none"/>
        </w:rPr>
        <w:t>instrumentul</w:t>
      </w:r>
      <w:proofErr w:type="spellEnd"/>
      <w:r w:rsidRPr="00C56257">
        <w:rPr>
          <w:color w:val="000000" w:themeColor="text1"/>
          <w:lang w:val="x-none"/>
        </w:rPr>
        <w:t xml:space="preserve"> „range tool”, </w:t>
      </w:r>
      <w:proofErr w:type="spellStart"/>
      <w:r w:rsidRPr="00C56257">
        <w:rPr>
          <w:color w:val="000000" w:themeColor="text1"/>
          <w:lang w:val="x-none"/>
        </w:rPr>
        <w:t>disponibil</w:t>
      </w:r>
      <w:proofErr w:type="spellEnd"/>
      <w:r w:rsidRPr="00C56257">
        <w:rPr>
          <w:color w:val="000000" w:themeColor="text1"/>
          <w:lang w:val="x-none"/>
        </w:rPr>
        <w:t xml:space="preserve"> online pe </w:t>
      </w:r>
      <w:proofErr w:type="spellStart"/>
      <w:r w:rsidRPr="00C56257">
        <w:rPr>
          <w:color w:val="000000" w:themeColor="text1"/>
          <w:lang w:val="x-none"/>
        </w:rPr>
        <w:t>portalul</w:t>
      </w:r>
      <w:proofErr w:type="spellEnd"/>
      <w:r w:rsidRPr="00C56257">
        <w:rPr>
          <w:color w:val="000000" w:themeColor="text1"/>
          <w:lang w:val="x-none"/>
        </w:rPr>
        <w:t xml:space="preserve"> EIONET. </w:t>
      </w:r>
      <w:proofErr w:type="spellStart"/>
      <w:r w:rsidRPr="00C56257">
        <w:rPr>
          <w:color w:val="000000" w:themeColor="text1"/>
          <w:lang w:val="x-none"/>
        </w:rPr>
        <w:t>Instrumentul</w:t>
      </w:r>
      <w:proofErr w:type="spellEnd"/>
      <w:r w:rsidRPr="00C56257">
        <w:rPr>
          <w:color w:val="000000" w:themeColor="text1"/>
          <w:lang w:val="x-none"/>
        </w:rPr>
        <w:t xml:space="preserve"> „range tool” </w:t>
      </w:r>
      <w:proofErr w:type="spellStart"/>
      <w:r w:rsidRPr="00C56257">
        <w:rPr>
          <w:color w:val="000000" w:themeColor="text1"/>
          <w:lang w:val="x-none"/>
        </w:rPr>
        <w:t>foloseşte</w:t>
      </w:r>
      <w:proofErr w:type="spellEnd"/>
      <w:r w:rsidRPr="00C56257">
        <w:rPr>
          <w:color w:val="000000" w:themeColor="text1"/>
          <w:lang w:val="x-none"/>
        </w:rPr>
        <w:t xml:space="preserve"> </w:t>
      </w:r>
      <w:proofErr w:type="spellStart"/>
      <w:r w:rsidRPr="00C56257">
        <w:rPr>
          <w:color w:val="000000" w:themeColor="text1"/>
          <w:lang w:val="x-none"/>
        </w:rPr>
        <w:t>următoarele</w:t>
      </w:r>
      <w:proofErr w:type="spellEnd"/>
      <w:r w:rsidRPr="00C56257">
        <w:rPr>
          <w:color w:val="000000" w:themeColor="text1"/>
          <w:lang w:val="x-none"/>
        </w:rPr>
        <w:t xml:space="preserve"> </w:t>
      </w:r>
      <w:proofErr w:type="spellStart"/>
      <w:r w:rsidRPr="00C56257">
        <w:rPr>
          <w:color w:val="000000" w:themeColor="text1"/>
          <w:lang w:val="x-none"/>
        </w:rPr>
        <w:t>informaţii</w:t>
      </w:r>
      <w:proofErr w:type="spellEnd"/>
      <w:r w:rsidRPr="00C56257">
        <w:rPr>
          <w:color w:val="000000" w:themeColor="text1"/>
          <w:lang w:val="x-none"/>
        </w:rPr>
        <w:t xml:space="preserve"> </w:t>
      </w:r>
      <w:proofErr w:type="spellStart"/>
      <w:r w:rsidRPr="00C56257">
        <w:rPr>
          <w:color w:val="000000" w:themeColor="text1"/>
          <w:lang w:val="x-none"/>
        </w:rPr>
        <w:t>spaţiale</w:t>
      </w:r>
      <w:proofErr w:type="spellEnd"/>
      <w:r w:rsidRPr="00C56257">
        <w:rPr>
          <w:color w:val="000000" w:themeColor="text1"/>
          <w:lang w:val="x-none"/>
        </w:rPr>
        <w:t>:</w:t>
      </w:r>
    </w:p>
    <w:p w14:paraId="0E1389F9" w14:textId="77777777" w:rsidR="00FC026B" w:rsidRPr="00C56257" w:rsidRDefault="00FC026B" w:rsidP="009E63E5">
      <w:pPr>
        <w:numPr>
          <w:ilvl w:val="0"/>
          <w:numId w:val="26"/>
        </w:numPr>
        <w:autoSpaceDE w:val="0"/>
        <w:autoSpaceDN w:val="0"/>
        <w:adjustRightInd w:val="0"/>
        <w:jc w:val="both"/>
        <w:rPr>
          <w:color w:val="000000" w:themeColor="text1"/>
          <w:lang w:val="x-none"/>
        </w:rPr>
      </w:pPr>
      <w:proofErr w:type="spellStart"/>
      <w:r w:rsidRPr="00C56257">
        <w:rPr>
          <w:color w:val="000000" w:themeColor="text1"/>
          <w:lang w:val="x-none"/>
        </w:rPr>
        <w:t>Graniţele</w:t>
      </w:r>
      <w:proofErr w:type="spellEnd"/>
      <w:r w:rsidRPr="00C56257">
        <w:rPr>
          <w:color w:val="000000" w:themeColor="text1"/>
          <w:lang w:val="x-none"/>
        </w:rPr>
        <w:t xml:space="preserve"> </w:t>
      </w:r>
      <w:proofErr w:type="spellStart"/>
      <w:r w:rsidRPr="00C56257">
        <w:rPr>
          <w:color w:val="000000" w:themeColor="text1"/>
          <w:lang w:val="x-none"/>
        </w:rPr>
        <w:t>naţionale</w:t>
      </w:r>
      <w:proofErr w:type="spellEnd"/>
      <w:r w:rsidRPr="00C56257">
        <w:rPr>
          <w:color w:val="000000" w:themeColor="text1"/>
          <w:lang w:val="x-none"/>
        </w:rPr>
        <w:t xml:space="preserve"> (zona </w:t>
      </w:r>
      <w:proofErr w:type="spellStart"/>
      <w:r w:rsidRPr="00C56257">
        <w:rPr>
          <w:color w:val="000000" w:themeColor="text1"/>
          <w:lang w:val="x-none"/>
        </w:rPr>
        <w:t>economică</w:t>
      </w:r>
      <w:proofErr w:type="spellEnd"/>
      <w:r w:rsidRPr="00C56257">
        <w:rPr>
          <w:color w:val="000000" w:themeColor="text1"/>
          <w:lang w:val="x-none"/>
        </w:rPr>
        <w:t xml:space="preserve"> </w:t>
      </w:r>
      <w:proofErr w:type="spellStart"/>
      <w:r w:rsidRPr="00C56257">
        <w:rPr>
          <w:color w:val="000000" w:themeColor="text1"/>
          <w:lang w:val="x-none"/>
        </w:rPr>
        <w:t>exclusivă</w:t>
      </w:r>
      <w:proofErr w:type="spellEnd"/>
      <w:r w:rsidRPr="00C56257">
        <w:rPr>
          <w:color w:val="000000" w:themeColor="text1"/>
          <w:lang w:val="x-none"/>
        </w:rPr>
        <w:t xml:space="preserve"> a </w:t>
      </w:r>
      <w:proofErr w:type="spellStart"/>
      <w:r w:rsidRPr="00C56257">
        <w:rPr>
          <w:color w:val="000000" w:themeColor="text1"/>
          <w:lang w:val="x-none"/>
        </w:rPr>
        <w:t>României</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cazul</w:t>
      </w:r>
      <w:proofErr w:type="spellEnd"/>
      <w:r w:rsidRPr="00C56257">
        <w:rPr>
          <w:color w:val="000000" w:themeColor="text1"/>
          <w:lang w:val="x-none"/>
        </w:rPr>
        <w:t xml:space="preserve"> </w:t>
      </w:r>
      <w:proofErr w:type="spellStart"/>
      <w:r w:rsidRPr="00C56257">
        <w:rPr>
          <w:color w:val="000000" w:themeColor="text1"/>
          <w:lang w:val="x-none"/>
        </w:rPr>
        <w:t>bioregiunii</w:t>
      </w:r>
      <w:proofErr w:type="spellEnd"/>
      <w:r w:rsidRPr="00C56257">
        <w:rPr>
          <w:color w:val="000000" w:themeColor="text1"/>
          <w:lang w:val="x-none"/>
        </w:rPr>
        <w:t xml:space="preserve"> Marea </w:t>
      </w:r>
      <w:proofErr w:type="spellStart"/>
      <w:r w:rsidRPr="00C56257">
        <w:rPr>
          <w:color w:val="000000" w:themeColor="text1"/>
          <w:lang w:val="x-none"/>
        </w:rPr>
        <w:t>Neagră</w:t>
      </w:r>
      <w:proofErr w:type="spellEnd"/>
      <w:r w:rsidRPr="00C56257">
        <w:rPr>
          <w:color w:val="000000" w:themeColor="text1"/>
          <w:lang w:val="x-none"/>
        </w:rPr>
        <w:t>) (</w:t>
      </w:r>
      <w:proofErr w:type="spellStart"/>
      <w:r w:rsidRPr="00C56257">
        <w:rPr>
          <w:color w:val="000000" w:themeColor="text1"/>
          <w:lang w:val="x-none"/>
        </w:rPr>
        <w:t>EuroBoundaruMap</w:t>
      </w:r>
      <w:proofErr w:type="spellEnd"/>
      <w:r w:rsidRPr="00C56257">
        <w:rPr>
          <w:color w:val="000000" w:themeColor="text1"/>
          <w:lang w:val="x-none"/>
        </w:rPr>
        <w:t xml:space="preserve"> v 12);</w:t>
      </w:r>
    </w:p>
    <w:p w14:paraId="1EA0C351" w14:textId="77777777" w:rsidR="00FC026B" w:rsidRPr="00C56257" w:rsidRDefault="00FC026B" w:rsidP="009E63E5">
      <w:pPr>
        <w:numPr>
          <w:ilvl w:val="0"/>
          <w:numId w:val="26"/>
        </w:numPr>
        <w:autoSpaceDE w:val="0"/>
        <w:autoSpaceDN w:val="0"/>
        <w:adjustRightInd w:val="0"/>
        <w:jc w:val="both"/>
        <w:rPr>
          <w:color w:val="000000" w:themeColor="text1"/>
          <w:lang w:val="x-none"/>
        </w:rPr>
      </w:pPr>
      <w:proofErr w:type="spellStart"/>
      <w:r w:rsidRPr="00C56257">
        <w:rPr>
          <w:color w:val="000000" w:themeColor="text1"/>
          <w:lang w:val="x-none"/>
        </w:rPr>
        <w:t>Regiunile</w:t>
      </w:r>
      <w:proofErr w:type="spellEnd"/>
      <w:r w:rsidRPr="00C56257">
        <w:rPr>
          <w:color w:val="000000" w:themeColor="text1"/>
          <w:lang w:val="x-none"/>
        </w:rPr>
        <w:t xml:space="preserve"> </w:t>
      </w:r>
      <w:proofErr w:type="spellStart"/>
      <w:r w:rsidRPr="00C56257">
        <w:rPr>
          <w:color w:val="000000" w:themeColor="text1"/>
          <w:lang w:val="x-none"/>
        </w:rPr>
        <w:t>biogeografice</w:t>
      </w:r>
      <w:proofErr w:type="spellEnd"/>
    </w:p>
    <w:p w14:paraId="1871B433" w14:textId="77777777" w:rsidR="00FC026B" w:rsidRPr="00C56257" w:rsidRDefault="00FC026B" w:rsidP="009E63E5">
      <w:pPr>
        <w:numPr>
          <w:ilvl w:val="0"/>
          <w:numId w:val="26"/>
        </w:numPr>
        <w:autoSpaceDE w:val="0"/>
        <w:autoSpaceDN w:val="0"/>
        <w:adjustRightInd w:val="0"/>
        <w:jc w:val="both"/>
        <w:rPr>
          <w:color w:val="000000" w:themeColor="text1"/>
          <w:lang w:val="x-none"/>
        </w:rPr>
      </w:pPr>
      <w:r w:rsidRPr="00C56257">
        <w:rPr>
          <w:color w:val="000000" w:themeColor="text1"/>
          <w:lang w:val="x-none"/>
        </w:rPr>
        <w:t xml:space="preserve">Lista de </w:t>
      </w:r>
      <w:proofErr w:type="spellStart"/>
      <w:r w:rsidRPr="00C56257">
        <w:rPr>
          <w:color w:val="000000" w:themeColor="text1"/>
          <w:lang w:val="x-none"/>
        </w:rPr>
        <w:t>referinţă</w:t>
      </w:r>
      <w:proofErr w:type="spellEnd"/>
      <w:r w:rsidRPr="00C56257">
        <w:rPr>
          <w:color w:val="000000" w:themeColor="text1"/>
          <w:lang w:val="x-none"/>
        </w:rPr>
        <w:t xml:space="preserve"> </w:t>
      </w:r>
      <w:proofErr w:type="spellStart"/>
      <w:r w:rsidRPr="00C56257">
        <w:rPr>
          <w:color w:val="000000" w:themeColor="text1"/>
          <w:lang w:val="x-none"/>
        </w:rPr>
        <w:t>pentru</w:t>
      </w:r>
      <w:proofErr w:type="spellEnd"/>
      <w:r w:rsidRPr="00C56257">
        <w:rPr>
          <w:color w:val="000000" w:themeColor="text1"/>
          <w:lang w:val="x-none"/>
        </w:rPr>
        <w:t xml:space="preserve"> </w:t>
      </w:r>
      <w:proofErr w:type="spellStart"/>
      <w:r w:rsidRPr="00C56257">
        <w:rPr>
          <w:color w:val="000000" w:themeColor="text1"/>
          <w:lang w:val="x-none"/>
        </w:rPr>
        <w:t>habitatele</w:t>
      </w:r>
      <w:proofErr w:type="spellEnd"/>
      <w:r w:rsidRPr="00C56257">
        <w:rPr>
          <w:color w:val="000000" w:themeColor="text1"/>
          <w:lang w:val="x-none"/>
        </w:rPr>
        <w:t xml:space="preserve"> de </w:t>
      </w:r>
      <w:proofErr w:type="spellStart"/>
      <w:r w:rsidRPr="00C56257">
        <w:rPr>
          <w:color w:val="000000" w:themeColor="text1"/>
          <w:lang w:val="x-none"/>
        </w:rPr>
        <w:t>interes</w:t>
      </w:r>
      <w:proofErr w:type="spellEnd"/>
      <w:r w:rsidRPr="00C56257">
        <w:rPr>
          <w:color w:val="000000" w:themeColor="text1"/>
          <w:lang w:val="x-none"/>
        </w:rPr>
        <w:t xml:space="preserve"> </w:t>
      </w:r>
      <w:proofErr w:type="spellStart"/>
      <w:r w:rsidRPr="00C56257">
        <w:rPr>
          <w:color w:val="000000" w:themeColor="text1"/>
          <w:lang w:val="x-none"/>
        </w:rPr>
        <w:t>comunitar</w:t>
      </w:r>
      <w:proofErr w:type="spellEnd"/>
      <w:r w:rsidRPr="00C56257">
        <w:rPr>
          <w:color w:val="000000" w:themeColor="text1"/>
          <w:lang w:val="x-none"/>
        </w:rPr>
        <w:t xml:space="preserve"> </w:t>
      </w:r>
    </w:p>
    <w:p w14:paraId="5D1ABDBA" w14:textId="77777777" w:rsidR="00FC026B" w:rsidRPr="00C56257" w:rsidRDefault="00FC026B" w:rsidP="00FC026B">
      <w:pPr>
        <w:autoSpaceDE w:val="0"/>
        <w:autoSpaceDN w:val="0"/>
        <w:adjustRightInd w:val="0"/>
        <w:ind w:firstLine="720"/>
        <w:jc w:val="both"/>
        <w:rPr>
          <w:color w:val="000000" w:themeColor="text1"/>
          <w:lang w:val="x-none"/>
        </w:rPr>
      </w:pPr>
      <w:proofErr w:type="spellStart"/>
      <w:r w:rsidRPr="00C56257">
        <w:rPr>
          <w:color w:val="000000" w:themeColor="text1"/>
          <w:lang w:val="x-none"/>
        </w:rPr>
        <w:t>Fişierele</w:t>
      </w:r>
      <w:proofErr w:type="spellEnd"/>
      <w:r w:rsidRPr="00C56257">
        <w:rPr>
          <w:color w:val="000000" w:themeColor="text1"/>
          <w:lang w:val="x-none"/>
        </w:rPr>
        <w:t xml:space="preserve"> </w:t>
      </w:r>
      <w:proofErr w:type="spellStart"/>
      <w:r w:rsidRPr="00C56257">
        <w:rPr>
          <w:color w:val="000000" w:themeColor="text1"/>
          <w:lang w:val="x-none"/>
        </w:rPr>
        <w:t>utilizate</w:t>
      </w:r>
      <w:proofErr w:type="spellEnd"/>
      <w:r w:rsidRPr="00C56257">
        <w:rPr>
          <w:color w:val="000000" w:themeColor="text1"/>
          <w:lang w:val="x-none"/>
        </w:rPr>
        <w:t xml:space="preserve"> ca „input” sunt </w:t>
      </w:r>
      <w:proofErr w:type="spellStart"/>
      <w:r w:rsidRPr="00C56257">
        <w:rPr>
          <w:color w:val="000000" w:themeColor="text1"/>
          <w:lang w:val="x-none"/>
        </w:rPr>
        <w:t>reprezentate</w:t>
      </w:r>
      <w:proofErr w:type="spellEnd"/>
      <w:r w:rsidRPr="00C56257">
        <w:rPr>
          <w:color w:val="000000" w:themeColor="text1"/>
          <w:lang w:val="x-none"/>
        </w:rPr>
        <w:t xml:space="preserve"> de </w:t>
      </w:r>
      <w:proofErr w:type="spellStart"/>
      <w:r w:rsidRPr="00C56257">
        <w:rPr>
          <w:color w:val="000000" w:themeColor="text1"/>
          <w:lang w:val="x-none"/>
        </w:rPr>
        <w:t>distribuţia</w:t>
      </w:r>
      <w:proofErr w:type="spellEnd"/>
      <w:r w:rsidRPr="00C56257">
        <w:rPr>
          <w:color w:val="000000" w:themeColor="text1"/>
          <w:lang w:val="x-none"/>
        </w:rPr>
        <w:t xml:space="preserve"> </w:t>
      </w:r>
      <w:proofErr w:type="spellStart"/>
      <w:r w:rsidRPr="00C56257">
        <w:rPr>
          <w:color w:val="000000" w:themeColor="text1"/>
          <w:lang w:val="x-none"/>
        </w:rPr>
        <w:t>habitatelor</w:t>
      </w:r>
      <w:proofErr w:type="spellEnd"/>
      <w:r w:rsidRPr="00C56257">
        <w:rPr>
          <w:color w:val="000000" w:themeColor="text1"/>
          <w:lang w:val="x-none"/>
        </w:rPr>
        <w:t xml:space="preserve"> pe </w:t>
      </w:r>
      <w:proofErr w:type="spellStart"/>
      <w:r w:rsidRPr="00C56257">
        <w:rPr>
          <w:color w:val="000000" w:themeColor="text1"/>
          <w:lang w:val="x-none"/>
        </w:rPr>
        <w:t>baza</w:t>
      </w:r>
      <w:proofErr w:type="spellEnd"/>
      <w:r w:rsidRPr="00C56257">
        <w:rPr>
          <w:color w:val="000000" w:themeColor="text1"/>
          <w:lang w:val="x-none"/>
        </w:rPr>
        <w:t xml:space="preserve"> </w:t>
      </w:r>
      <w:proofErr w:type="spellStart"/>
      <w:r w:rsidRPr="00C56257">
        <w:rPr>
          <w:color w:val="000000" w:themeColor="text1"/>
          <w:lang w:val="x-none"/>
        </w:rPr>
        <w:t>gridului</w:t>
      </w:r>
      <w:proofErr w:type="spellEnd"/>
      <w:r w:rsidRPr="00C56257">
        <w:rPr>
          <w:color w:val="000000" w:themeColor="text1"/>
          <w:lang w:val="x-none"/>
        </w:rPr>
        <w:t xml:space="preserve"> EEA 10 x 10 km (</w:t>
      </w:r>
      <w:proofErr w:type="spellStart"/>
      <w:r w:rsidRPr="00C56257">
        <w:rPr>
          <w:color w:val="000000" w:themeColor="text1"/>
          <w:lang w:val="x-none"/>
        </w:rPr>
        <w:t>reprezentând</w:t>
      </w:r>
      <w:proofErr w:type="spellEnd"/>
      <w:r w:rsidRPr="00C56257">
        <w:rPr>
          <w:color w:val="000000" w:themeColor="text1"/>
          <w:lang w:val="x-none"/>
        </w:rPr>
        <w:t xml:space="preserve"> </w:t>
      </w:r>
      <w:proofErr w:type="spellStart"/>
      <w:r w:rsidRPr="00C56257">
        <w:rPr>
          <w:color w:val="000000" w:themeColor="text1"/>
          <w:lang w:val="x-none"/>
        </w:rPr>
        <w:t>prezenta</w:t>
      </w:r>
      <w:proofErr w:type="spellEnd"/>
      <w:r w:rsidRPr="00C56257">
        <w:rPr>
          <w:color w:val="000000" w:themeColor="text1"/>
          <w:lang w:val="x-none"/>
        </w:rPr>
        <w:t xml:space="preserve"> </w:t>
      </w:r>
      <w:proofErr w:type="spellStart"/>
      <w:r w:rsidRPr="00C56257">
        <w:rPr>
          <w:color w:val="000000" w:themeColor="text1"/>
          <w:lang w:val="x-none"/>
        </w:rPr>
        <w:t>habitatului</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gridul</w:t>
      </w:r>
      <w:proofErr w:type="spellEnd"/>
      <w:r w:rsidRPr="00C56257">
        <w:rPr>
          <w:color w:val="000000" w:themeColor="text1"/>
          <w:lang w:val="x-none"/>
        </w:rPr>
        <w:t xml:space="preserve"> </w:t>
      </w:r>
      <w:proofErr w:type="spellStart"/>
      <w:r w:rsidRPr="00C56257">
        <w:rPr>
          <w:color w:val="000000" w:themeColor="text1"/>
          <w:lang w:val="x-none"/>
        </w:rPr>
        <w:t>respectiv</w:t>
      </w:r>
      <w:proofErr w:type="spellEnd"/>
      <w:r w:rsidRPr="00C56257">
        <w:rPr>
          <w:color w:val="000000" w:themeColor="text1"/>
          <w:lang w:val="x-none"/>
        </w:rPr>
        <w:t xml:space="preserve">). </w:t>
      </w:r>
      <w:proofErr w:type="spellStart"/>
      <w:r w:rsidRPr="00C56257">
        <w:rPr>
          <w:color w:val="000000" w:themeColor="text1"/>
          <w:lang w:val="x-none"/>
        </w:rPr>
        <w:t>Versiunea</w:t>
      </w:r>
      <w:proofErr w:type="spellEnd"/>
      <w:r w:rsidRPr="00C56257">
        <w:rPr>
          <w:color w:val="000000" w:themeColor="text1"/>
          <w:lang w:val="x-none"/>
        </w:rPr>
        <w:t xml:space="preserve"> </w:t>
      </w:r>
      <w:proofErr w:type="spellStart"/>
      <w:r w:rsidRPr="00C56257">
        <w:rPr>
          <w:color w:val="000000" w:themeColor="text1"/>
          <w:lang w:val="x-none"/>
        </w:rPr>
        <w:t>actuală</w:t>
      </w:r>
      <w:proofErr w:type="spellEnd"/>
      <w:r w:rsidRPr="00C56257">
        <w:rPr>
          <w:color w:val="000000" w:themeColor="text1"/>
          <w:lang w:val="x-none"/>
        </w:rPr>
        <w:t xml:space="preserve"> a </w:t>
      </w:r>
      <w:proofErr w:type="spellStart"/>
      <w:r w:rsidRPr="00C56257">
        <w:rPr>
          <w:color w:val="000000" w:themeColor="text1"/>
          <w:lang w:val="x-none"/>
        </w:rPr>
        <w:t>instrumentului</w:t>
      </w:r>
      <w:proofErr w:type="spellEnd"/>
      <w:r w:rsidRPr="00C56257">
        <w:rPr>
          <w:color w:val="000000" w:themeColor="text1"/>
          <w:lang w:val="x-none"/>
        </w:rPr>
        <w:t xml:space="preserve"> </w:t>
      </w:r>
      <w:proofErr w:type="spellStart"/>
      <w:r w:rsidRPr="00C56257">
        <w:rPr>
          <w:color w:val="000000" w:themeColor="text1"/>
          <w:lang w:val="x-none"/>
        </w:rPr>
        <w:t>calculează</w:t>
      </w:r>
      <w:proofErr w:type="spellEnd"/>
      <w:r w:rsidRPr="00C56257">
        <w:rPr>
          <w:color w:val="000000" w:themeColor="text1"/>
          <w:lang w:val="x-none"/>
        </w:rPr>
        <w:t xml:space="preserve"> </w:t>
      </w:r>
      <w:proofErr w:type="spellStart"/>
      <w:r w:rsidRPr="00C56257">
        <w:rPr>
          <w:color w:val="000000" w:themeColor="text1"/>
          <w:lang w:val="x-none"/>
        </w:rPr>
        <w:t>distanța</w:t>
      </w:r>
      <w:proofErr w:type="spellEnd"/>
      <w:r w:rsidRPr="00C56257">
        <w:rPr>
          <w:color w:val="000000" w:themeColor="text1"/>
          <w:lang w:val="x-none"/>
        </w:rPr>
        <w:t xml:space="preserve"> </w:t>
      </w:r>
      <w:proofErr w:type="spellStart"/>
      <w:r w:rsidRPr="00C56257">
        <w:rPr>
          <w:color w:val="000000" w:themeColor="text1"/>
          <w:lang w:val="x-none"/>
        </w:rPr>
        <w:t>față</w:t>
      </w:r>
      <w:proofErr w:type="spellEnd"/>
      <w:r w:rsidRPr="00C56257">
        <w:rPr>
          <w:color w:val="000000" w:themeColor="text1"/>
          <w:lang w:val="x-none"/>
        </w:rPr>
        <w:t xml:space="preserve"> de </w:t>
      </w:r>
      <w:proofErr w:type="spellStart"/>
      <w:r w:rsidRPr="00C56257">
        <w:rPr>
          <w:color w:val="000000" w:themeColor="text1"/>
          <w:lang w:val="x-none"/>
        </w:rPr>
        <w:t>centroidul</w:t>
      </w:r>
      <w:proofErr w:type="spellEnd"/>
      <w:r w:rsidRPr="00C56257">
        <w:rPr>
          <w:color w:val="000000" w:themeColor="text1"/>
          <w:lang w:val="x-none"/>
        </w:rPr>
        <w:t xml:space="preserve"> </w:t>
      </w:r>
      <w:proofErr w:type="spellStart"/>
      <w:r w:rsidRPr="00C56257">
        <w:rPr>
          <w:color w:val="000000" w:themeColor="text1"/>
          <w:lang w:val="x-none"/>
        </w:rPr>
        <w:t>celulelor</w:t>
      </w:r>
      <w:proofErr w:type="spellEnd"/>
      <w:r w:rsidRPr="00C56257">
        <w:rPr>
          <w:color w:val="000000" w:themeColor="text1"/>
          <w:lang w:val="x-none"/>
        </w:rPr>
        <w:t xml:space="preserve">, </w:t>
      </w:r>
      <w:proofErr w:type="spellStart"/>
      <w:r w:rsidRPr="00C56257">
        <w:rPr>
          <w:color w:val="000000" w:themeColor="text1"/>
          <w:lang w:val="x-none"/>
        </w:rPr>
        <w:t>spre</w:t>
      </w:r>
      <w:proofErr w:type="spellEnd"/>
      <w:r w:rsidRPr="00C56257">
        <w:rPr>
          <w:color w:val="000000" w:themeColor="text1"/>
          <w:lang w:val="x-none"/>
        </w:rPr>
        <w:t xml:space="preserve"> </w:t>
      </w:r>
      <w:proofErr w:type="spellStart"/>
      <w:r w:rsidRPr="00C56257">
        <w:rPr>
          <w:color w:val="000000" w:themeColor="text1"/>
          <w:lang w:val="x-none"/>
        </w:rPr>
        <w:t>deosebire</w:t>
      </w:r>
      <w:proofErr w:type="spellEnd"/>
      <w:r w:rsidRPr="00C56257">
        <w:rPr>
          <w:color w:val="000000" w:themeColor="text1"/>
          <w:lang w:val="x-none"/>
        </w:rPr>
        <w:t xml:space="preserve"> de </w:t>
      </w:r>
      <w:proofErr w:type="spellStart"/>
      <w:r w:rsidRPr="00C56257">
        <w:rPr>
          <w:color w:val="000000" w:themeColor="text1"/>
          <w:lang w:val="x-none"/>
        </w:rPr>
        <w:t>marginea</w:t>
      </w:r>
      <w:proofErr w:type="spellEnd"/>
      <w:r w:rsidRPr="00C56257">
        <w:rPr>
          <w:color w:val="000000" w:themeColor="text1"/>
          <w:lang w:val="x-none"/>
        </w:rPr>
        <w:t xml:space="preserve"> </w:t>
      </w:r>
      <w:proofErr w:type="spellStart"/>
      <w:r w:rsidRPr="00C56257">
        <w:rPr>
          <w:color w:val="000000" w:themeColor="text1"/>
          <w:lang w:val="x-none"/>
        </w:rPr>
        <w:t>celulei</w:t>
      </w:r>
      <w:proofErr w:type="spellEnd"/>
      <w:r w:rsidRPr="00C56257">
        <w:rPr>
          <w:color w:val="000000" w:themeColor="text1"/>
          <w:lang w:val="x-none"/>
        </w:rPr>
        <w:t>. „Gap-</w:t>
      </w:r>
      <w:proofErr w:type="spellStart"/>
      <w:r w:rsidRPr="00C56257">
        <w:rPr>
          <w:color w:val="000000" w:themeColor="text1"/>
          <w:lang w:val="x-none"/>
        </w:rPr>
        <w:t>ul</w:t>
      </w:r>
      <w:proofErr w:type="spellEnd"/>
      <w:r w:rsidRPr="00C56257">
        <w:rPr>
          <w:color w:val="000000" w:themeColor="text1"/>
          <w:lang w:val="x-none"/>
        </w:rPr>
        <w:t xml:space="preserve">” </w:t>
      </w:r>
      <w:proofErr w:type="spellStart"/>
      <w:r w:rsidRPr="00C56257">
        <w:rPr>
          <w:color w:val="000000" w:themeColor="text1"/>
          <w:lang w:val="x-none"/>
        </w:rPr>
        <w:t>trebuie</w:t>
      </w:r>
      <w:proofErr w:type="spellEnd"/>
      <w:r w:rsidRPr="00C56257">
        <w:rPr>
          <w:color w:val="000000" w:themeColor="text1"/>
          <w:lang w:val="x-none"/>
        </w:rPr>
        <w:t xml:space="preserve"> ales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funcţie</w:t>
      </w:r>
      <w:proofErr w:type="spellEnd"/>
      <w:r w:rsidRPr="00C56257">
        <w:rPr>
          <w:color w:val="000000" w:themeColor="text1"/>
          <w:lang w:val="x-none"/>
        </w:rPr>
        <w:t xml:space="preserve"> de </w:t>
      </w:r>
      <w:proofErr w:type="spellStart"/>
      <w:r w:rsidRPr="00C56257">
        <w:rPr>
          <w:color w:val="000000" w:themeColor="text1"/>
          <w:lang w:val="x-none"/>
        </w:rPr>
        <w:t>tipul</w:t>
      </w:r>
      <w:proofErr w:type="spellEnd"/>
      <w:r w:rsidRPr="00C56257">
        <w:rPr>
          <w:color w:val="000000" w:themeColor="text1"/>
          <w:lang w:val="x-none"/>
        </w:rPr>
        <w:t xml:space="preserve"> de habitat, </w:t>
      </w:r>
      <w:proofErr w:type="spellStart"/>
      <w:r w:rsidRPr="00C56257">
        <w:rPr>
          <w:color w:val="000000" w:themeColor="text1"/>
          <w:lang w:val="x-none"/>
        </w:rPr>
        <w:t>raportat</w:t>
      </w:r>
      <w:proofErr w:type="spellEnd"/>
      <w:r w:rsidRPr="00C56257">
        <w:rPr>
          <w:color w:val="000000" w:themeColor="text1"/>
          <w:lang w:val="x-none"/>
        </w:rPr>
        <w:t xml:space="preserve"> la </w:t>
      </w:r>
      <w:proofErr w:type="spellStart"/>
      <w:r w:rsidRPr="00C56257">
        <w:rPr>
          <w:color w:val="000000" w:themeColor="text1"/>
          <w:lang w:val="x-none"/>
        </w:rPr>
        <w:t>condiţiile</w:t>
      </w:r>
      <w:proofErr w:type="spellEnd"/>
      <w:r w:rsidRPr="00C56257">
        <w:rPr>
          <w:color w:val="000000" w:themeColor="text1"/>
          <w:lang w:val="x-none"/>
        </w:rPr>
        <w:t xml:space="preserve"> </w:t>
      </w:r>
      <w:proofErr w:type="spellStart"/>
      <w:r w:rsidRPr="00C56257">
        <w:rPr>
          <w:color w:val="000000" w:themeColor="text1"/>
          <w:lang w:val="x-none"/>
        </w:rPr>
        <w:t>geografice</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morfologice</w:t>
      </w:r>
      <w:proofErr w:type="spellEnd"/>
      <w:r w:rsidRPr="00C56257">
        <w:rPr>
          <w:color w:val="000000" w:themeColor="text1"/>
          <w:lang w:val="x-none"/>
        </w:rPr>
        <w:t>.</w:t>
      </w:r>
    </w:p>
    <w:p w14:paraId="65ED610F" w14:textId="77777777" w:rsidR="00FC026B" w:rsidRPr="00C56257" w:rsidRDefault="00FC026B" w:rsidP="00FC026B">
      <w:pPr>
        <w:autoSpaceDE w:val="0"/>
        <w:autoSpaceDN w:val="0"/>
        <w:adjustRightInd w:val="0"/>
        <w:ind w:firstLine="720"/>
        <w:jc w:val="both"/>
        <w:rPr>
          <w:color w:val="000000" w:themeColor="text1"/>
          <w:lang w:val="x-none"/>
        </w:rPr>
      </w:pPr>
      <w:proofErr w:type="spellStart"/>
      <w:r w:rsidRPr="00C56257">
        <w:rPr>
          <w:color w:val="000000" w:themeColor="text1"/>
          <w:lang w:val="x-none"/>
        </w:rPr>
        <w:t>Fișierul</w:t>
      </w:r>
      <w:proofErr w:type="spellEnd"/>
      <w:r w:rsidRPr="00C56257">
        <w:rPr>
          <w:color w:val="000000" w:themeColor="text1"/>
          <w:lang w:val="x-none"/>
        </w:rPr>
        <w:t xml:space="preserve"> </w:t>
      </w:r>
      <w:proofErr w:type="spellStart"/>
      <w:r w:rsidRPr="00C56257">
        <w:rPr>
          <w:color w:val="000000" w:themeColor="text1"/>
          <w:lang w:val="x-none"/>
        </w:rPr>
        <w:t>rezultat</w:t>
      </w:r>
      <w:proofErr w:type="spellEnd"/>
      <w:r w:rsidRPr="00C56257">
        <w:rPr>
          <w:color w:val="000000" w:themeColor="text1"/>
          <w:lang w:val="x-none"/>
        </w:rPr>
        <w:t xml:space="preserve"> </w:t>
      </w:r>
      <w:proofErr w:type="spellStart"/>
      <w:r w:rsidRPr="00C56257">
        <w:rPr>
          <w:color w:val="000000" w:themeColor="text1"/>
          <w:lang w:val="x-none"/>
        </w:rPr>
        <w:t>conține</w:t>
      </w:r>
      <w:proofErr w:type="spellEnd"/>
      <w:r w:rsidRPr="00C56257">
        <w:rPr>
          <w:color w:val="000000" w:themeColor="text1"/>
          <w:lang w:val="x-none"/>
        </w:rPr>
        <w:t xml:space="preserve"> </w:t>
      </w:r>
      <w:proofErr w:type="spellStart"/>
      <w:r w:rsidRPr="00C56257">
        <w:rPr>
          <w:color w:val="000000" w:themeColor="text1"/>
          <w:lang w:val="x-none"/>
        </w:rPr>
        <w:t>multe</w:t>
      </w:r>
      <w:proofErr w:type="spellEnd"/>
      <w:r w:rsidRPr="00C56257">
        <w:rPr>
          <w:color w:val="000000" w:themeColor="text1"/>
          <w:lang w:val="x-none"/>
        </w:rPr>
        <w:t xml:space="preserve"> </w:t>
      </w:r>
      <w:proofErr w:type="spellStart"/>
      <w:r w:rsidRPr="00C56257">
        <w:rPr>
          <w:color w:val="000000" w:themeColor="text1"/>
          <w:lang w:val="x-none"/>
        </w:rPr>
        <w:t>alte</w:t>
      </w:r>
      <w:proofErr w:type="spellEnd"/>
      <w:r w:rsidRPr="00C56257">
        <w:rPr>
          <w:color w:val="000000" w:themeColor="text1"/>
          <w:lang w:val="x-none"/>
        </w:rPr>
        <w:t xml:space="preserve"> </w:t>
      </w:r>
      <w:proofErr w:type="spellStart"/>
      <w:r w:rsidRPr="00C56257">
        <w:rPr>
          <w:color w:val="000000" w:themeColor="text1"/>
          <w:lang w:val="x-none"/>
        </w:rPr>
        <w:t>înregistrări</w:t>
      </w:r>
      <w:proofErr w:type="spellEnd"/>
      <w:r w:rsidRPr="00C56257">
        <w:rPr>
          <w:color w:val="000000" w:themeColor="text1"/>
          <w:lang w:val="x-none"/>
        </w:rPr>
        <w:t xml:space="preserve">, </w:t>
      </w:r>
      <w:proofErr w:type="spellStart"/>
      <w:r w:rsidRPr="00C56257">
        <w:rPr>
          <w:color w:val="000000" w:themeColor="text1"/>
          <w:lang w:val="x-none"/>
        </w:rPr>
        <w:t>deoarece</w:t>
      </w:r>
      <w:proofErr w:type="spellEnd"/>
      <w:r w:rsidRPr="00C56257">
        <w:rPr>
          <w:color w:val="000000" w:themeColor="text1"/>
          <w:lang w:val="x-none"/>
        </w:rPr>
        <w:t xml:space="preserve"> </w:t>
      </w:r>
      <w:proofErr w:type="spellStart"/>
      <w:r w:rsidRPr="00C56257">
        <w:rPr>
          <w:color w:val="000000" w:themeColor="text1"/>
          <w:lang w:val="x-none"/>
        </w:rPr>
        <w:t>conține</w:t>
      </w:r>
      <w:proofErr w:type="spellEnd"/>
      <w:r w:rsidRPr="00C56257">
        <w:rPr>
          <w:color w:val="000000" w:themeColor="text1"/>
          <w:lang w:val="x-none"/>
        </w:rPr>
        <w:t xml:space="preserve"> </w:t>
      </w:r>
      <w:proofErr w:type="spellStart"/>
      <w:r w:rsidRPr="00C56257">
        <w:rPr>
          <w:color w:val="000000" w:themeColor="text1"/>
          <w:lang w:val="x-none"/>
        </w:rPr>
        <w:t>atât</w:t>
      </w:r>
      <w:proofErr w:type="spellEnd"/>
      <w:r w:rsidRPr="00C56257">
        <w:rPr>
          <w:color w:val="000000" w:themeColor="text1"/>
          <w:lang w:val="x-none"/>
        </w:rPr>
        <w:t xml:space="preserve"> </w:t>
      </w:r>
      <w:proofErr w:type="spellStart"/>
      <w:r w:rsidRPr="00C56257">
        <w:rPr>
          <w:color w:val="000000" w:themeColor="text1"/>
          <w:lang w:val="x-none"/>
        </w:rPr>
        <w:t>grilele</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care </w:t>
      </w:r>
      <w:proofErr w:type="spellStart"/>
      <w:r w:rsidRPr="00C56257">
        <w:rPr>
          <w:color w:val="000000" w:themeColor="text1"/>
          <w:lang w:val="x-none"/>
        </w:rPr>
        <w:t>habitatul</w:t>
      </w:r>
      <w:proofErr w:type="spellEnd"/>
      <w:r w:rsidRPr="00C56257">
        <w:rPr>
          <w:color w:val="000000" w:themeColor="text1"/>
          <w:lang w:val="x-none"/>
        </w:rPr>
        <w:t xml:space="preserve"> a </w:t>
      </w:r>
      <w:proofErr w:type="spellStart"/>
      <w:r w:rsidRPr="00C56257">
        <w:rPr>
          <w:color w:val="000000" w:themeColor="text1"/>
          <w:lang w:val="x-none"/>
        </w:rPr>
        <w:t>fost</w:t>
      </w:r>
      <w:proofErr w:type="spellEnd"/>
      <w:r w:rsidRPr="00C56257">
        <w:rPr>
          <w:color w:val="000000" w:themeColor="text1"/>
          <w:lang w:val="x-none"/>
        </w:rPr>
        <w:t xml:space="preserve"> </w:t>
      </w:r>
      <w:proofErr w:type="spellStart"/>
      <w:r w:rsidRPr="00C56257">
        <w:rPr>
          <w:color w:val="000000" w:themeColor="text1"/>
          <w:lang w:val="x-none"/>
        </w:rPr>
        <w:t>prezent</w:t>
      </w:r>
      <w:proofErr w:type="spellEnd"/>
      <w:r w:rsidRPr="00C56257">
        <w:rPr>
          <w:color w:val="000000" w:themeColor="text1"/>
          <w:lang w:val="x-none"/>
        </w:rPr>
        <w:t xml:space="preserve">, conform </w:t>
      </w:r>
      <w:proofErr w:type="spellStart"/>
      <w:r w:rsidRPr="00C56257">
        <w:rPr>
          <w:color w:val="000000" w:themeColor="text1"/>
          <w:lang w:val="x-none"/>
        </w:rPr>
        <w:t>bioregiunii</w:t>
      </w:r>
      <w:proofErr w:type="spellEnd"/>
      <w:r w:rsidRPr="00C56257">
        <w:rPr>
          <w:color w:val="000000" w:themeColor="text1"/>
          <w:lang w:val="x-none"/>
        </w:rPr>
        <w:t xml:space="preserve"> </w:t>
      </w:r>
      <w:proofErr w:type="spellStart"/>
      <w:r w:rsidRPr="00C56257">
        <w:rPr>
          <w:color w:val="000000" w:themeColor="text1"/>
          <w:lang w:val="x-none"/>
        </w:rPr>
        <w:t>cât</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w:t>
      </w:r>
      <w:proofErr w:type="spellStart"/>
      <w:r w:rsidRPr="00C56257">
        <w:rPr>
          <w:color w:val="000000" w:themeColor="text1"/>
          <w:lang w:val="x-none"/>
        </w:rPr>
        <w:t>grile</w:t>
      </w:r>
      <w:proofErr w:type="spellEnd"/>
      <w:r w:rsidRPr="00C56257">
        <w:rPr>
          <w:color w:val="000000" w:themeColor="text1"/>
          <w:lang w:val="x-none"/>
        </w:rPr>
        <w:t xml:space="preserve"> </w:t>
      </w:r>
      <w:proofErr w:type="spellStart"/>
      <w:r w:rsidRPr="00C56257">
        <w:rPr>
          <w:color w:val="000000" w:themeColor="text1"/>
          <w:lang w:val="x-none"/>
        </w:rPr>
        <w:t>suplimentare</w:t>
      </w:r>
      <w:proofErr w:type="spellEnd"/>
      <w:r w:rsidRPr="00C56257">
        <w:rPr>
          <w:color w:val="000000" w:themeColor="text1"/>
          <w:lang w:val="x-none"/>
        </w:rPr>
        <w:t xml:space="preserve"> </w:t>
      </w:r>
      <w:proofErr w:type="spellStart"/>
      <w:r w:rsidRPr="00C56257">
        <w:rPr>
          <w:color w:val="000000" w:themeColor="text1"/>
          <w:lang w:val="x-none"/>
        </w:rPr>
        <w:t>în</w:t>
      </w:r>
      <w:proofErr w:type="spellEnd"/>
      <w:r w:rsidRPr="00C56257">
        <w:rPr>
          <w:color w:val="000000" w:themeColor="text1"/>
          <w:lang w:val="x-none"/>
        </w:rPr>
        <w:t xml:space="preserve"> care </w:t>
      </w:r>
      <w:proofErr w:type="spellStart"/>
      <w:r w:rsidRPr="00C56257">
        <w:rPr>
          <w:color w:val="000000" w:themeColor="text1"/>
          <w:lang w:val="x-none"/>
        </w:rPr>
        <w:t>intervalul</w:t>
      </w:r>
      <w:proofErr w:type="spellEnd"/>
      <w:r w:rsidRPr="00C56257">
        <w:rPr>
          <w:color w:val="000000" w:themeColor="text1"/>
          <w:lang w:val="x-none"/>
        </w:rPr>
        <w:t xml:space="preserve"> a </w:t>
      </w:r>
      <w:proofErr w:type="spellStart"/>
      <w:r w:rsidRPr="00C56257">
        <w:rPr>
          <w:color w:val="000000" w:themeColor="text1"/>
          <w:lang w:val="x-none"/>
        </w:rPr>
        <w:t>fost</w:t>
      </w:r>
      <w:proofErr w:type="spellEnd"/>
      <w:r w:rsidRPr="00C56257">
        <w:rPr>
          <w:color w:val="000000" w:themeColor="text1"/>
          <w:lang w:val="x-none"/>
        </w:rPr>
        <w:t xml:space="preserve"> </w:t>
      </w:r>
      <w:proofErr w:type="spellStart"/>
      <w:r w:rsidRPr="00C56257">
        <w:rPr>
          <w:color w:val="000000" w:themeColor="text1"/>
          <w:lang w:val="x-none"/>
        </w:rPr>
        <w:t>calculat</w:t>
      </w:r>
      <w:proofErr w:type="spellEnd"/>
      <w:r w:rsidRPr="00C56257">
        <w:rPr>
          <w:color w:val="000000" w:themeColor="text1"/>
          <w:lang w:val="x-none"/>
        </w:rPr>
        <w:t xml:space="preserve">, </w:t>
      </w:r>
      <w:proofErr w:type="spellStart"/>
      <w:r w:rsidRPr="00C56257">
        <w:rPr>
          <w:color w:val="000000" w:themeColor="text1"/>
          <w:lang w:val="x-none"/>
        </w:rPr>
        <w:t>dar</w:t>
      </w:r>
      <w:proofErr w:type="spellEnd"/>
      <w:r w:rsidRPr="00C56257">
        <w:rPr>
          <w:color w:val="000000" w:themeColor="text1"/>
          <w:lang w:val="x-none"/>
        </w:rPr>
        <w:t xml:space="preserve"> nu a </w:t>
      </w:r>
      <w:proofErr w:type="spellStart"/>
      <w:r w:rsidRPr="00C56257">
        <w:rPr>
          <w:color w:val="000000" w:themeColor="text1"/>
          <w:lang w:val="x-none"/>
        </w:rPr>
        <w:t>fost</w:t>
      </w:r>
      <w:proofErr w:type="spellEnd"/>
      <w:r w:rsidRPr="00C56257">
        <w:rPr>
          <w:color w:val="000000" w:themeColor="text1"/>
          <w:lang w:val="x-none"/>
        </w:rPr>
        <w:t xml:space="preserve"> </w:t>
      </w:r>
      <w:proofErr w:type="spellStart"/>
      <w:r w:rsidRPr="00C56257">
        <w:rPr>
          <w:color w:val="000000" w:themeColor="text1"/>
          <w:lang w:val="x-none"/>
        </w:rPr>
        <w:t>regăsit</w:t>
      </w:r>
      <w:proofErr w:type="spellEnd"/>
      <w:r w:rsidRPr="00C56257">
        <w:rPr>
          <w:color w:val="000000" w:themeColor="text1"/>
          <w:lang w:val="x-none"/>
        </w:rPr>
        <w:t xml:space="preserve">. Este </w:t>
      </w:r>
      <w:proofErr w:type="spellStart"/>
      <w:r w:rsidRPr="00C56257">
        <w:rPr>
          <w:color w:val="000000" w:themeColor="text1"/>
          <w:lang w:val="x-none"/>
        </w:rPr>
        <w:t>înregistrata</w:t>
      </w:r>
      <w:proofErr w:type="spellEnd"/>
      <w:r w:rsidRPr="00C56257">
        <w:rPr>
          <w:color w:val="000000" w:themeColor="text1"/>
          <w:lang w:val="x-none"/>
        </w:rPr>
        <w:t xml:space="preserve"> a </w:t>
      </w:r>
      <w:proofErr w:type="spellStart"/>
      <w:r w:rsidRPr="00C56257">
        <w:rPr>
          <w:color w:val="000000" w:themeColor="text1"/>
          <w:lang w:val="x-none"/>
        </w:rPr>
        <w:t>prezenței</w:t>
      </w:r>
      <w:proofErr w:type="spellEnd"/>
      <w:r w:rsidRPr="00C56257">
        <w:rPr>
          <w:color w:val="000000" w:themeColor="text1"/>
          <w:lang w:val="x-none"/>
        </w:rPr>
        <w:t xml:space="preserve"> (100) </w:t>
      </w:r>
      <w:proofErr w:type="spellStart"/>
      <w:r w:rsidRPr="00C56257">
        <w:rPr>
          <w:color w:val="000000" w:themeColor="text1"/>
          <w:lang w:val="x-none"/>
        </w:rPr>
        <w:t>sau</w:t>
      </w:r>
      <w:proofErr w:type="spellEnd"/>
      <w:r w:rsidRPr="00C56257">
        <w:rPr>
          <w:color w:val="000000" w:themeColor="text1"/>
          <w:lang w:val="x-none"/>
        </w:rPr>
        <w:t xml:space="preserve"> </w:t>
      </w:r>
      <w:proofErr w:type="spellStart"/>
      <w:r w:rsidRPr="00C56257">
        <w:rPr>
          <w:color w:val="000000" w:themeColor="text1"/>
          <w:lang w:val="x-none"/>
        </w:rPr>
        <w:t>absebta</w:t>
      </w:r>
      <w:proofErr w:type="spellEnd"/>
      <w:r w:rsidRPr="00C56257">
        <w:rPr>
          <w:color w:val="000000" w:themeColor="text1"/>
          <w:lang w:val="x-none"/>
        </w:rPr>
        <w:t xml:space="preserve"> (0) a </w:t>
      </w:r>
      <w:proofErr w:type="spellStart"/>
      <w:r w:rsidRPr="00C56257">
        <w:rPr>
          <w:color w:val="000000" w:themeColor="text1"/>
          <w:lang w:val="x-none"/>
        </w:rPr>
        <w:t>unui</w:t>
      </w:r>
      <w:proofErr w:type="spellEnd"/>
      <w:r w:rsidRPr="00C56257">
        <w:rPr>
          <w:color w:val="000000" w:themeColor="text1"/>
          <w:lang w:val="x-none"/>
        </w:rPr>
        <w:t xml:space="preserve"> habitat </w:t>
      </w:r>
      <w:proofErr w:type="spellStart"/>
      <w:r w:rsidRPr="00C56257">
        <w:rPr>
          <w:color w:val="000000" w:themeColor="text1"/>
          <w:lang w:val="x-none"/>
        </w:rPr>
        <w:t>într</w:t>
      </w:r>
      <w:proofErr w:type="spellEnd"/>
      <w:r w:rsidRPr="00C56257">
        <w:rPr>
          <w:color w:val="000000" w:themeColor="text1"/>
          <w:lang w:val="x-none"/>
        </w:rPr>
        <w:t xml:space="preserve">-o </w:t>
      </w:r>
      <w:proofErr w:type="spellStart"/>
      <w:r w:rsidRPr="00C56257">
        <w:rPr>
          <w:color w:val="000000" w:themeColor="text1"/>
          <w:lang w:val="x-none"/>
        </w:rPr>
        <w:t>celulă</w:t>
      </w:r>
      <w:proofErr w:type="spellEnd"/>
      <w:r w:rsidRPr="00C56257">
        <w:rPr>
          <w:color w:val="000000" w:themeColor="text1"/>
          <w:lang w:val="x-none"/>
        </w:rPr>
        <w:t xml:space="preserve"> </w:t>
      </w:r>
      <w:proofErr w:type="spellStart"/>
      <w:r w:rsidRPr="00C56257">
        <w:rPr>
          <w:color w:val="000000" w:themeColor="text1"/>
          <w:lang w:val="x-none"/>
        </w:rPr>
        <w:t>şi</w:t>
      </w:r>
      <w:proofErr w:type="spellEnd"/>
      <w:r w:rsidRPr="00C56257">
        <w:rPr>
          <w:color w:val="000000" w:themeColor="text1"/>
          <w:lang w:val="x-none"/>
        </w:rPr>
        <w:t xml:space="preserve"> de </w:t>
      </w:r>
      <w:proofErr w:type="spellStart"/>
      <w:r w:rsidRPr="00C56257">
        <w:rPr>
          <w:color w:val="000000" w:themeColor="text1"/>
          <w:lang w:val="x-none"/>
        </w:rPr>
        <w:t>asemenea</w:t>
      </w:r>
      <w:proofErr w:type="spellEnd"/>
      <w:r w:rsidRPr="00C56257">
        <w:rPr>
          <w:color w:val="000000" w:themeColor="text1"/>
          <w:lang w:val="x-none"/>
        </w:rPr>
        <w:t xml:space="preserve">, a </w:t>
      </w:r>
      <w:proofErr w:type="spellStart"/>
      <w:r w:rsidRPr="00C56257">
        <w:rPr>
          <w:color w:val="000000" w:themeColor="text1"/>
          <w:lang w:val="x-none"/>
        </w:rPr>
        <w:t>grilelor</w:t>
      </w:r>
      <w:proofErr w:type="spellEnd"/>
      <w:r w:rsidRPr="00C56257">
        <w:rPr>
          <w:color w:val="000000" w:themeColor="text1"/>
          <w:lang w:val="x-none"/>
        </w:rPr>
        <w:t xml:space="preserve"> </w:t>
      </w:r>
      <w:proofErr w:type="spellStart"/>
      <w:r w:rsidRPr="00C56257">
        <w:rPr>
          <w:color w:val="000000" w:themeColor="text1"/>
          <w:lang w:val="x-none"/>
        </w:rPr>
        <w:t>recomandate</w:t>
      </w:r>
      <w:proofErr w:type="spellEnd"/>
      <w:r w:rsidRPr="00C56257">
        <w:rPr>
          <w:color w:val="000000" w:themeColor="text1"/>
          <w:lang w:val="x-none"/>
        </w:rPr>
        <w:t xml:space="preserve"> </w:t>
      </w:r>
      <w:proofErr w:type="spellStart"/>
      <w:r w:rsidRPr="00C56257">
        <w:rPr>
          <w:color w:val="000000" w:themeColor="text1"/>
          <w:lang w:val="x-none"/>
        </w:rPr>
        <w:t>pentru</w:t>
      </w:r>
      <w:proofErr w:type="spellEnd"/>
      <w:r w:rsidRPr="00C56257">
        <w:rPr>
          <w:color w:val="000000" w:themeColor="text1"/>
          <w:lang w:val="x-none"/>
        </w:rPr>
        <w:t xml:space="preserve"> </w:t>
      </w:r>
      <w:proofErr w:type="spellStart"/>
      <w:r w:rsidRPr="00C56257">
        <w:rPr>
          <w:color w:val="000000" w:themeColor="text1"/>
          <w:lang w:val="x-none"/>
        </w:rPr>
        <w:t>ștergere</w:t>
      </w:r>
      <w:proofErr w:type="spellEnd"/>
      <w:r w:rsidRPr="00C56257">
        <w:rPr>
          <w:color w:val="000000" w:themeColor="text1"/>
          <w:lang w:val="x-none"/>
        </w:rPr>
        <w:t xml:space="preserve"> (REGION_CHK, CNTRY_CHK), pe </w:t>
      </w:r>
      <w:proofErr w:type="spellStart"/>
      <w:r w:rsidRPr="00C56257">
        <w:rPr>
          <w:color w:val="000000" w:themeColor="text1"/>
          <w:lang w:val="x-none"/>
        </w:rPr>
        <w:t>baza</w:t>
      </w:r>
      <w:proofErr w:type="spellEnd"/>
      <w:r w:rsidRPr="00C56257">
        <w:rPr>
          <w:color w:val="000000" w:themeColor="text1"/>
          <w:lang w:val="x-none"/>
        </w:rPr>
        <w:t xml:space="preserve"> </w:t>
      </w:r>
      <w:proofErr w:type="spellStart"/>
      <w:r w:rsidRPr="00C56257">
        <w:rPr>
          <w:color w:val="000000" w:themeColor="text1"/>
          <w:lang w:val="x-none"/>
        </w:rPr>
        <w:t>următoarelor</w:t>
      </w:r>
      <w:proofErr w:type="spellEnd"/>
      <w:r w:rsidRPr="00C56257">
        <w:rPr>
          <w:color w:val="000000" w:themeColor="text1"/>
          <w:lang w:val="x-none"/>
        </w:rPr>
        <w:t xml:space="preserve"> </w:t>
      </w:r>
      <w:proofErr w:type="spellStart"/>
      <w:r w:rsidRPr="00C56257">
        <w:rPr>
          <w:color w:val="000000" w:themeColor="text1"/>
          <w:lang w:val="x-none"/>
        </w:rPr>
        <w:t>criterii</w:t>
      </w:r>
      <w:proofErr w:type="spellEnd"/>
      <w:r w:rsidRPr="00C56257">
        <w:rPr>
          <w:color w:val="000000" w:themeColor="text1"/>
          <w:lang w:val="x-none"/>
        </w:rPr>
        <w:t>:</w:t>
      </w:r>
    </w:p>
    <w:p w14:paraId="5EB16A25" w14:textId="77777777" w:rsidR="00FC026B" w:rsidRPr="00C56257" w:rsidRDefault="00FC026B" w:rsidP="00FC026B">
      <w:pPr>
        <w:autoSpaceDE w:val="0"/>
        <w:autoSpaceDN w:val="0"/>
        <w:adjustRightInd w:val="0"/>
        <w:ind w:firstLine="720"/>
        <w:jc w:val="both"/>
        <w:rPr>
          <w:color w:val="000000" w:themeColor="text1"/>
          <w:lang w:val="x-none"/>
        </w:rPr>
      </w:pPr>
      <w:r w:rsidRPr="00C56257">
        <w:rPr>
          <w:color w:val="000000" w:themeColor="text1"/>
          <w:lang w:val="x-none"/>
        </w:rPr>
        <w:lastRenderedPageBreak/>
        <w:t xml:space="preserve">•  </w:t>
      </w:r>
      <w:proofErr w:type="spellStart"/>
      <w:r w:rsidRPr="00C56257">
        <w:rPr>
          <w:color w:val="000000" w:themeColor="text1"/>
          <w:lang w:val="x-none"/>
        </w:rPr>
        <w:t>zonele</w:t>
      </w:r>
      <w:proofErr w:type="spellEnd"/>
      <w:r w:rsidRPr="00C56257">
        <w:rPr>
          <w:color w:val="000000" w:themeColor="text1"/>
          <w:lang w:val="x-none"/>
        </w:rPr>
        <w:t xml:space="preserve"> marine </w:t>
      </w:r>
      <w:proofErr w:type="spellStart"/>
      <w:r w:rsidRPr="00C56257">
        <w:rPr>
          <w:color w:val="000000" w:themeColor="text1"/>
          <w:lang w:val="x-none"/>
        </w:rPr>
        <w:t>incluse</w:t>
      </w:r>
      <w:proofErr w:type="spellEnd"/>
      <w:r w:rsidRPr="00C56257">
        <w:rPr>
          <w:color w:val="000000" w:themeColor="text1"/>
          <w:lang w:val="x-none"/>
        </w:rPr>
        <w:t xml:space="preserve"> automat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habitatele</w:t>
      </w:r>
      <w:proofErr w:type="spellEnd"/>
      <w:r w:rsidRPr="00C56257">
        <w:rPr>
          <w:color w:val="000000" w:themeColor="text1"/>
          <w:lang w:val="x-none"/>
        </w:rPr>
        <w:t xml:space="preserve"> marine; </w:t>
      </w:r>
    </w:p>
    <w:p w14:paraId="5741E448" w14:textId="77777777" w:rsidR="00FF76CF" w:rsidRDefault="00FC026B" w:rsidP="00FC026B">
      <w:pPr>
        <w:autoSpaceDE w:val="0"/>
        <w:autoSpaceDN w:val="0"/>
        <w:adjustRightInd w:val="0"/>
        <w:ind w:firstLine="720"/>
        <w:jc w:val="both"/>
        <w:rPr>
          <w:color w:val="000000" w:themeColor="text1"/>
          <w:lang w:val="x-none"/>
        </w:rPr>
      </w:pPr>
      <w:r w:rsidRPr="00C56257">
        <w:rPr>
          <w:color w:val="000000" w:themeColor="text1"/>
          <w:lang w:val="x-none"/>
        </w:rPr>
        <w:t xml:space="preserve">•  </w:t>
      </w:r>
      <w:proofErr w:type="spellStart"/>
      <w:r w:rsidRPr="00C56257">
        <w:rPr>
          <w:color w:val="000000" w:themeColor="text1"/>
          <w:lang w:val="x-none"/>
        </w:rPr>
        <w:t>zonele</w:t>
      </w:r>
      <w:proofErr w:type="spellEnd"/>
      <w:r w:rsidRPr="00C56257">
        <w:rPr>
          <w:color w:val="000000" w:themeColor="text1"/>
          <w:lang w:val="x-none"/>
        </w:rPr>
        <w:t xml:space="preserve"> </w:t>
      </w:r>
      <w:proofErr w:type="spellStart"/>
      <w:r w:rsidRPr="00C56257">
        <w:rPr>
          <w:color w:val="000000" w:themeColor="text1"/>
          <w:lang w:val="x-none"/>
        </w:rPr>
        <w:t>terestre</w:t>
      </w:r>
      <w:proofErr w:type="spellEnd"/>
      <w:r w:rsidRPr="00C56257">
        <w:rPr>
          <w:color w:val="000000" w:themeColor="text1"/>
          <w:lang w:val="x-none"/>
        </w:rPr>
        <w:t xml:space="preserve"> </w:t>
      </w:r>
      <w:proofErr w:type="spellStart"/>
      <w:r w:rsidRPr="00C56257">
        <w:rPr>
          <w:color w:val="000000" w:themeColor="text1"/>
          <w:lang w:val="x-none"/>
        </w:rPr>
        <w:t>incluse</w:t>
      </w:r>
      <w:proofErr w:type="spellEnd"/>
      <w:r w:rsidRPr="00C56257">
        <w:rPr>
          <w:color w:val="000000" w:themeColor="text1"/>
          <w:lang w:val="x-none"/>
        </w:rPr>
        <w:t xml:space="preserve"> automat </w:t>
      </w:r>
      <w:proofErr w:type="spellStart"/>
      <w:r w:rsidRPr="00C56257">
        <w:rPr>
          <w:color w:val="000000" w:themeColor="text1"/>
          <w:lang w:val="x-none"/>
        </w:rPr>
        <w:t>în</w:t>
      </w:r>
      <w:proofErr w:type="spellEnd"/>
      <w:r w:rsidRPr="00C56257">
        <w:rPr>
          <w:color w:val="000000" w:themeColor="text1"/>
          <w:lang w:val="x-none"/>
        </w:rPr>
        <w:t xml:space="preserve"> </w:t>
      </w:r>
      <w:proofErr w:type="spellStart"/>
      <w:r w:rsidRPr="00C56257">
        <w:rPr>
          <w:color w:val="000000" w:themeColor="text1"/>
          <w:lang w:val="x-none"/>
        </w:rPr>
        <w:t>habitatele</w:t>
      </w:r>
      <w:proofErr w:type="spellEnd"/>
      <w:r w:rsidRPr="00C56257">
        <w:rPr>
          <w:color w:val="000000" w:themeColor="text1"/>
          <w:lang w:val="x-none"/>
        </w:rPr>
        <w:t xml:space="preserve"> </w:t>
      </w:r>
      <w:r>
        <w:rPr>
          <w:color w:val="000000" w:themeColor="text1"/>
          <w:lang w:val="en-US"/>
        </w:rPr>
        <w:t>m</w:t>
      </w:r>
      <w:proofErr w:type="spellStart"/>
      <w:r w:rsidRPr="00C56257">
        <w:rPr>
          <w:color w:val="000000" w:themeColor="text1"/>
          <w:lang w:val="x-none"/>
        </w:rPr>
        <w:t>arine</w:t>
      </w:r>
      <w:proofErr w:type="spellEnd"/>
      <w:r w:rsidRPr="00C56257">
        <w:rPr>
          <w:color w:val="000000" w:themeColor="text1"/>
          <w:lang w:val="x-none"/>
        </w:rPr>
        <w:t xml:space="preserve">; </w:t>
      </w:r>
    </w:p>
    <w:p w14:paraId="15DF8C01" w14:textId="77777777" w:rsidR="00FF76CF" w:rsidRDefault="00FF76CF" w:rsidP="00FC026B">
      <w:pPr>
        <w:autoSpaceDE w:val="0"/>
        <w:autoSpaceDN w:val="0"/>
        <w:adjustRightInd w:val="0"/>
        <w:ind w:firstLine="720"/>
        <w:jc w:val="both"/>
        <w:rPr>
          <w:color w:val="000000" w:themeColor="text1"/>
          <w:lang w:val="x-none"/>
        </w:rPr>
      </w:pPr>
    </w:p>
    <w:p w14:paraId="3C0AC0C7" w14:textId="77777777" w:rsidR="00FF76CF" w:rsidRDefault="00FF76CF" w:rsidP="00FC026B">
      <w:pPr>
        <w:autoSpaceDE w:val="0"/>
        <w:autoSpaceDN w:val="0"/>
        <w:adjustRightInd w:val="0"/>
        <w:ind w:firstLine="720"/>
        <w:jc w:val="both"/>
        <w:rPr>
          <w:color w:val="000000" w:themeColor="text1"/>
          <w:lang w:val="x-none"/>
        </w:rPr>
      </w:pPr>
    </w:p>
    <w:p w14:paraId="039277E6" w14:textId="77777777" w:rsidR="00FF76CF" w:rsidRDefault="00FF76CF" w:rsidP="00FC026B">
      <w:pPr>
        <w:autoSpaceDE w:val="0"/>
        <w:autoSpaceDN w:val="0"/>
        <w:adjustRightInd w:val="0"/>
        <w:ind w:firstLine="720"/>
        <w:jc w:val="both"/>
        <w:rPr>
          <w:color w:val="000000" w:themeColor="text1"/>
          <w:lang w:val="x-none"/>
        </w:rPr>
      </w:pPr>
    </w:p>
    <w:p w14:paraId="250E71B9" w14:textId="77777777" w:rsidR="00FF76CF" w:rsidRDefault="00FF76CF" w:rsidP="00FC026B">
      <w:pPr>
        <w:autoSpaceDE w:val="0"/>
        <w:autoSpaceDN w:val="0"/>
        <w:adjustRightInd w:val="0"/>
        <w:ind w:firstLine="720"/>
        <w:jc w:val="both"/>
        <w:rPr>
          <w:color w:val="000000" w:themeColor="text1"/>
          <w:lang w:val="x-none"/>
        </w:rPr>
      </w:pPr>
    </w:p>
    <w:p w14:paraId="362D7E67" w14:textId="77777777" w:rsidR="00FF76CF" w:rsidRDefault="00FF76CF" w:rsidP="00FC026B">
      <w:pPr>
        <w:autoSpaceDE w:val="0"/>
        <w:autoSpaceDN w:val="0"/>
        <w:adjustRightInd w:val="0"/>
        <w:ind w:firstLine="720"/>
        <w:jc w:val="both"/>
        <w:rPr>
          <w:color w:val="000000" w:themeColor="text1"/>
          <w:lang w:val="x-none"/>
        </w:rPr>
      </w:pPr>
    </w:p>
    <w:p w14:paraId="0A57181A" w14:textId="77777777" w:rsidR="00FF76CF" w:rsidRDefault="00FF76CF" w:rsidP="00FC026B">
      <w:pPr>
        <w:autoSpaceDE w:val="0"/>
        <w:autoSpaceDN w:val="0"/>
        <w:adjustRightInd w:val="0"/>
        <w:ind w:firstLine="720"/>
        <w:jc w:val="both"/>
        <w:rPr>
          <w:color w:val="000000" w:themeColor="text1"/>
          <w:lang w:val="x-none"/>
        </w:rPr>
      </w:pPr>
    </w:p>
    <w:p w14:paraId="4A445963" w14:textId="77777777" w:rsidR="00FF76CF" w:rsidRDefault="00FF76CF" w:rsidP="00FF76CF">
      <w:pPr>
        <w:autoSpaceDE w:val="0"/>
        <w:autoSpaceDN w:val="0"/>
        <w:adjustRightInd w:val="0"/>
        <w:ind w:left="-142" w:hanging="142"/>
        <w:jc w:val="both"/>
        <w:rPr>
          <w:bCs/>
          <w:color w:val="000000" w:themeColor="text1"/>
        </w:rPr>
        <w:sectPr w:rsidR="00FF76CF" w:rsidSect="00FF76CF">
          <w:pgSz w:w="12240" w:h="15840"/>
          <w:pgMar w:top="811" w:right="760" w:bottom="629" w:left="1418" w:header="720" w:footer="720" w:gutter="0"/>
          <w:cols w:space="720"/>
          <w:docGrid w:linePitch="360"/>
        </w:sectPr>
      </w:pPr>
    </w:p>
    <w:p w14:paraId="3B2610CB" w14:textId="77777777" w:rsidR="00FC026B" w:rsidRPr="00F100E1" w:rsidRDefault="00FC026B" w:rsidP="00FC026B">
      <w:pPr>
        <w:spacing w:after="160" w:line="259" w:lineRule="auto"/>
        <w:jc w:val="both"/>
        <w:rPr>
          <w:b/>
          <w:color w:val="000000" w:themeColor="text1"/>
        </w:rPr>
      </w:pPr>
      <w:r w:rsidRPr="00F100E1">
        <w:rPr>
          <w:b/>
          <w:color w:val="000000" w:themeColor="text1"/>
        </w:rPr>
        <w:lastRenderedPageBreak/>
        <w:t>1.2. Metodologiile de monitorizare a stării de conservare a habitatelor marine și costiere de interes comunitar</w:t>
      </w:r>
    </w:p>
    <w:p w14:paraId="3E5F0FD1" w14:textId="77777777" w:rsidR="00FC026B" w:rsidRPr="00F100E1" w:rsidRDefault="00FC026B" w:rsidP="00FC026B">
      <w:pPr>
        <w:keepNext/>
        <w:keepLines/>
        <w:ind w:firstLine="360"/>
        <w:jc w:val="both"/>
        <w:outlineLvl w:val="0"/>
        <w:rPr>
          <w:rFonts w:eastAsia="Calibri"/>
        </w:rPr>
      </w:pPr>
      <w:r w:rsidRPr="00F100E1">
        <w:rPr>
          <w:rFonts w:eastAsia="Calibri"/>
        </w:rPr>
        <w:t>Caracterul de mare semiînchisă, un bazin hidrografic uriaş, precum şi particularităţile sale hidrobiologice unice fac din Marea Neagră un ecosistem extrem de sensibil</w:t>
      </w:r>
      <w:r>
        <w:rPr>
          <w:rFonts w:eastAsia="Calibri"/>
        </w:rPr>
        <w:t xml:space="preserve"> şi expus la</w:t>
      </w:r>
      <w:r w:rsidRPr="00F100E1">
        <w:rPr>
          <w:rFonts w:eastAsia="Calibri"/>
        </w:rPr>
        <w:t xml:space="preserve"> ameninţări. </w:t>
      </w:r>
    </w:p>
    <w:p w14:paraId="5FEE971F" w14:textId="77777777" w:rsidR="00FC026B" w:rsidRPr="00F100E1" w:rsidRDefault="00FC026B" w:rsidP="00FC026B">
      <w:pPr>
        <w:jc w:val="both"/>
      </w:pPr>
      <w:r w:rsidRPr="00F100E1">
        <w:t>În tabelul următor sunt redate habitatele marine si costiere de interes comunitar din România care sunt monitorizate, respectând cerințele Directivei Habitate:</w:t>
      </w:r>
    </w:p>
    <w:p w14:paraId="5F286411" w14:textId="77777777" w:rsidR="00FC026B" w:rsidRPr="00F100E1" w:rsidRDefault="00FC026B" w:rsidP="00FC026B">
      <w:pPr>
        <w:ind w:firstLine="720"/>
        <w:jc w:val="both"/>
      </w:pPr>
    </w:p>
    <w:p w14:paraId="2B93B7EB" w14:textId="77777777" w:rsidR="00FC026B" w:rsidRPr="00F100E1" w:rsidRDefault="00FC026B" w:rsidP="00FC026B">
      <w:pPr>
        <w:autoSpaceDE w:val="0"/>
        <w:autoSpaceDN w:val="0"/>
        <w:adjustRightInd w:val="0"/>
        <w:jc w:val="center"/>
      </w:pPr>
      <w:r w:rsidRPr="00C56257">
        <w:t>Tabelul1.</w:t>
      </w:r>
      <w:r>
        <w:t>4</w:t>
      </w:r>
      <w:r w:rsidRPr="00C56257">
        <w:t xml:space="preserve"> Habitate costiere şi marine</w:t>
      </w:r>
    </w:p>
    <w:tbl>
      <w:tblPr>
        <w:tblW w:w="9766"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521"/>
        <w:gridCol w:w="2410"/>
        <w:gridCol w:w="2835"/>
      </w:tblGrid>
      <w:tr w:rsidR="00FC026B" w:rsidRPr="00C56257" w14:paraId="0CAF39A3" w14:textId="77777777" w:rsidTr="00993B86">
        <w:trPr>
          <w:trHeight w:val="1780"/>
          <w:tblHeader/>
        </w:trPr>
        <w:tc>
          <w:tcPr>
            <w:tcW w:w="4521" w:type="dxa"/>
            <w:tcBorders>
              <w:top w:val="double" w:sz="4" w:space="0" w:color="auto"/>
              <w:left w:val="double" w:sz="4" w:space="0" w:color="auto"/>
              <w:bottom w:val="single" w:sz="4" w:space="0" w:color="auto"/>
              <w:right w:val="single" w:sz="4" w:space="0" w:color="auto"/>
            </w:tcBorders>
            <w:shd w:val="clear" w:color="auto" w:fill="92CDDC"/>
            <w:vAlign w:val="center"/>
            <w:hideMark/>
          </w:tcPr>
          <w:p w14:paraId="5D0380BF" w14:textId="77777777" w:rsidR="00FC026B" w:rsidRPr="00F100E1" w:rsidRDefault="00FC026B" w:rsidP="00993B86">
            <w:pPr>
              <w:jc w:val="center"/>
              <w:rPr>
                <w:b/>
                <w:lang w:val="gsw-FR"/>
              </w:rPr>
            </w:pPr>
            <w:r w:rsidRPr="00F100E1">
              <w:rPr>
                <w:b/>
                <w:lang w:val="gsw-FR"/>
              </w:rPr>
              <w:t>Denumirea şi codul Natura 2000</w:t>
            </w:r>
          </w:p>
        </w:tc>
        <w:tc>
          <w:tcPr>
            <w:tcW w:w="2410" w:type="dxa"/>
            <w:tcBorders>
              <w:top w:val="double" w:sz="4" w:space="0" w:color="auto"/>
              <w:left w:val="single" w:sz="4" w:space="0" w:color="auto"/>
              <w:bottom w:val="single" w:sz="4" w:space="0" w:color="auto"/>
              <w:right w:val="single" w:sz="4" w:space="0" w:color="auto"/>
            </w:tcBorders>
            <w:shd w:val="clear" w:color="auto" w:fill="92CDDC"/>
            <w:vAlign w:val="center"/>
            <w:hideMark/>
          </w:tcPr>
          <w:p w14:paraId="6A6EF913" w14:textId="77777777" w:rsidR="00FC026B" w:rsidRPr="00F100E1" w:rsidRDefault="00FC026B" w:rsidP="00993B86">
            <w:pPr>
              <w:jc w:val="center"/>
              <w:rPr>
                <w:b/>
                <w:lang w:val="gsw-FR"/>
              </w:rPr>
            </w:pPr>
            <w:r w:rsidRPr="00F100E1">
              <w:rPr>
                <w:b/>
                <w:lang w:val="gsw-FR"/>
              </w:rPr>
              <w:t>Anexa Directivei Habitate/ OUG 57/2007</w:t>
            </w:r>
          </w:p>
        </w:tc>
        <w:tc>
          <w:tcPr>
            <w:tcW w:w="2835" w:type="dxa"/>
            <w:tcBorders>
              <w:top w:val="double" w:sz="4" w:space="0" w:color="auto"/>
              <w:left w:val="single" w:sz="4" w:space="0" w:color="auto"/>
              <w:bottom w:val="single" w:sz="4" w:space="0" w:color="auto"/>
              <w:right w:val="double" w:sz="4" w:space="0" w:color="auto"/>
            </w:tcBorders>
            <w:shd w:val="clear" w:color="auto" w:fill="92CDDC"/>
            <w:vAlign w:val="center"/>
            <w:hideMark/>
          </w:tcPr>
          <w:p w14:paraId="3E563800" w14:textId="77777777" w:rsidR="00FC026B" w:rsidRPr="00F100E1" w:rsidRDefault="00FC026B" w:rsidP="00993B86">
            <w:pPr>
              <w:jc w:val="center"/>
              <w:rPr>
                <w:b/>
                <w:lang w:val="gsw-FR"/>
              </w:rPr>
            </w:pPr>
            <w:r w:rsidRPr="00F100E1">
              <w:rPr>
                <w:b/>
                <w:lang w:val="gsw-FR"/>
              </w:rPr>
              <w:t>Prezenţa în regiunea biogeografică cf. OM nr. 2387/2011 (care modific</w:t>
            </w:r>
            <w:r w:rsidRPr="00F100E1">
              <w:rPr>
                <w:b/>
              </w:rPr>
              <w:t>ă OM 1964/2007)</w:t>
            </w:r>
          </w:p>
        </w:tc>
      </w:tr>
      <w:tr w:rsidR="00FC026B" w:rsidRPr="00C56257" w14:paraId="24D42B65" w14:textId="77777777" w:rsidTr="00993B86">
        <w:tc>
          <w:tcPr>
            <w:tcW w:w="4521" w:type="dxa"/>
            <w:tcBorders>
              <w:top w:val="single" w:sz="4" w:space="0" w:color="auto"/>
              <w:left w:val="double" w:sz="4" w:space="0" w:color="auto"/>
              <w:bottom w:val="single" w:sz="4" w:space="0" w:color="auto"/>
              <w:right w:val="single" w:sz="4" w:space="0" w:color="auto"/>
            </w:tcBorders>
            <w:hideMark/>
          </w:tcPr>
          <w:p w14:paraId="3942C954" w14:textId="77777777" w:rsidR="00FC026B" w:rsidRPr="00F100E1" w:rsidRDefault="00FC026B" w:rsidP="00993B86">
            <w:pPr>
              <w:rPr>
                <w:lang w:eastAsia="sk-SK"/>
              </w:rPr>
            </w:pPr>
            <w:r w:rsidRPr="00F100E1">
              <w:rPr>
                <w:lang w:val="gsw-FR" w:eastAsia="sk-SK"/>
              </w:rPr>
              <w:t>1110 - Bancuri de nisip submerse de mic</w:t>
            </w:r>
            <w:r w:rsidRPr="00F100E1">
              <w:rPr>
                <w:lang w:eastAsia="sk-SK"/>
              </w:rPr>
              <w:t>ă adâncime</w:t>
            </w:r>
          </w:p>
        </w:tc>
        <w:tc>
          <w:tcPr>
            <w:tcW w:w="2410" w:type="dxa"/>
            <w:tcBorders>
              <w:top w:val="single" w:sz="4" w:space="0" w:color="auto"/>
              <w:left w:val="single" w:sz="4" w:space="0" w:color="auto"/>
              <w:bottom w:val="single" w:sz="4" w:space="0" w:color="auto"/>
              <w:right w:val="single" w:sz="4" w:space="0" w:color="auto"/>
            </w:tcBorders>
            <w:hideMark/>
          </w:tcPr>
          <w:p w14:paraId="52326E50" w14:textId="77777777" w:rsidR="00FC026B" w:rsidRPr="00F100E1" w:rsidRDefault="00FC026B" w:rsidP="00993B86">
            <w:r w:rsidRPr="00F100E1">
              <w:t>Anexa I/</w:t>
            </w:r>
          </w:p>
          <w:p w14:paraId="73BEC1E2" w14:textId="77777777" w:rsidR="00FC026B" w:rsidRPr="00F100E1" w:rsidRDefault="00FC026B" w:rsidP="00993B86">
            <w:r w:rsidRPr="00F100E1">
              <w:t>Anexa 4</w:t>
            </w:r>
          </w:p>
        </w:tc>
        <w:tc>
          <w:tcPr>
            <w:tcW w:w="2835" w:type="dxa"/>
            <w:tcBorders>
              <w:top w:val="single" w:sz="4" w:space="0" w:color="auto"/>
              <w:left w:val="single" w:sz="4" w:space="0" w:color="auto"/>
              <w:bottom w:val="single" w:sz="4" w:space="0" w:color="auto"/>
              <w:right w:val="double" w:sz="4" w:space="0" w:color="auto"/>
            </w:tcBorders>
            <w:hideMark/>
          </w:tcPr>
          <w:p w14:paraId="7820FE99" w14:textId="77777777" w:rsidR="00FC026B" w:rsidRPr="00F100E1" w:rsidRDefault="00FC026B" w:rsidP="00993B86">
            <w:pPr>
              <w:rPr>
                <w:lang w:val="gsw-FR" w:eastAsia="sk-SK"/>
              </w:rPr>
            </w:pPr>
            <w:r w:rsidRPr="00F100E1">
              <w:rPr>
                <w:lang w:eastAsia="sk-SK"/>
              </w:rPr>
              <w:t>Marea Neagră</w:t>
            </w:r>
          </w:p>
        </w:tc>
      </w:tr>
      <w:tr w:rsidR="00FC026B" w:rsidRPr="00C56257" w14:paraId="3DE5E7DE" w14:textId="77777777" w:rsidTr="00993B86">
        <w:tc>
          <w:tcPr>
            <w:tcW w:w="4521" w:type="dxa"/>
            <w:tcBorders>
              <w:top w:val="single" w:sz="4" w:space="0" w:color="auto"/>
              <w:left w:val="double" w:sz="4" w:space="0" w:color="auto"/>
              <w:bottom w:val="single" w:sz="4" w:space="0" w:color="auto"/>
              <w:right w:val="single" w:sz="4" w:space="0" w:color="auto"/>
            </w:tcBorders>
            <w:hideMark/>
          </w:tcPr>
          <w:p w14:paraId="7A91863F" w14:textId="77777777" w:rsidR="00FC026B" w:rsidRPr="00F100E1" w:rsidRDefault="00FC026B" w:rsidP="00993B86">
            <w:pPr>
              <w:tabs>
                <w:tab w:val="left" w:pos="1485"/>
              </w:tabs>
              <w:rPr>
                <w:lang w:val="gsw-FR" w:eastAsia="sk-SK"/>
              </w:rPr>
            </w:pPr>
            <w:r w:rsidRPr="00F100E1">
              <w:rPr>
                <w:lang w:val="gsw-FR" w:eastAsia="sk-SK"/>
              </w:rPr>
              <w:t>1130 - Estuare</w:t>
            </w:r>
            <w:r w:rsidRPr="00F100E1">
              <w:rPr>
                <w:lang w:val="gsw-FR" w:eastAsia="sk-SK"/>
              </w:rPr>
              <w:tab/>
            </w:r>
          </w:p>
        </w:tc>
        <w:tc>
          <w:tcPr>
            <w:tcW w:w="2410" w:type="dxa"/>
            <w:tcBorders>
              <w:top w:val="single" w:sz="4" w:space="0" w:color="auto"/>
              <w:left w:val="single" w:sz="4" w:space="0" w:color="auto"/>
              <w:bottom w:val="single" w:sz="4" w:space="0" w:color="auto"/>
              <w:right w:val="single" w:sz="4" w:space="0" w:color="auto"/>
            </w:tcBorders>
            <w:hideMark/>
          </w:tcPr>
          <w:p w14:paraId="3BD826CF" w14:textId="77777777" w:rsidR="00FC026B" w:rsidRPr="00F100E1" w:rsidRDefault="00FC026B" w:rsidP="00993B86">
            <w:r w:rsidRPr="00F100E1">
              <w:t>Anexa I/</w:t>
            </w:r>
          </w:p>
          <w:p w14:paraId="6E5599DB" w14:textId="77777777" w:rsidR="00FC026B" w:rsidRPr="00F100E1" w:rsidRDefault="00FC026B" w:rsidP="00993B86">
            <w:r w:rsidRPr="00F100E1">
              <w:t>Anexa 4</w:t>
            </w:r>
          </w:p>
        </w:tc>
        <w:tc>
          <w:tcPr>
            <w:tcW w:w="2835" w:type="dxa"/>
            <w:tcBorders>
              <w:top w:val="single" w:sz="4" w:space="0" w:color="auto"/>
              <w:left w:val="single" w:sz="4" w:space="0" w:color="auto"/>
              <w:bottom w:val="single" w:sz="4" w:space="0" w:color="auto"/>
              <w:right w:val="double" w:sz="4" w:space="0" w:color="auto"/>
            </w:tcBorders>
            <w:hideMark/>
          </w:tcPr>
          <w:p w14:paraId="64FC4B69" w14:textId="77777777" w:rsidR="00FC026B" w:rsidRPr="00F100E1" w:rsidRDefault="00FC026B" w:rsidP="00993B86">
            <w:pPr>
              <w:rPr>
                <w:lang w:eastAsia="sk-SK"/>
              </w:rPr>
            </w:pPr>
            <w:r w:rsidRPr="00F100E1">
              <w:rPr>
                <w:lang w:eastAsia="sk-SK"/>
              </w:rPr>
              <w:t>Marea Neagră</w:t>
            </w:r>
          </w:p>
        </w:tc>
      </w:tr>
      <w:tr w:rsidR="00FC026B" w:rsidRPr="00C56257" w14:paraId="777D0EB9" w14:textId="77777777" w:rsidTr="00993B86">
        <w:tc>
          <w:tcPr>
            <w:tcW w:w="4521" w:type="dxa"/>
            <w:tcBorders>
              <w:top w:val="single" w:sz="4" w:space="0" w:color="auto"/>
              <w:left w:val="double" w:sz="4" w:space="0" w:color="auto"/>
              <w:bottom w:val="single" w:sz="4" w:space="0" w:color="auto"/>
              <w:right w:val="single" w:sz="4" w:space="0" w:color="auto"/>
            </w:tcBorders>
            <w:hideMark/>
          </w:tcPr>
          <w:p w14:paraId="37FCF8A1" w14:textId="77777777" w:rsidR="00FC026B" w:rsidRPr="00F100E1" w:rsidRDefault="00FC026B" w:rsidP="00993B86">
            <w:pPr>
              <w:rPr>
                <w:lang w:val="gsw-FR" w:eastAsia="sk-SK"/>
              </w:rPr>
            </w:pPr>
            <w:r w:rsidRPr="00F100E1">
              <w:rPr>
                <w:lang w:val="gsw-FR" w:eastAsia="sk-SK"/>
              </w:rPr>
              <w:t>1140 - Suprafeţe de nisip şi mâl descoperite la maree joasă</w:t>
            </w:r>
          </w:p>
        </w:tc>
        <w:tc>
          <w:tcPr>
            <w:tcW w:w="2410" w:type="dxa"/>
            <w:tcBorders>
              <w:top w:val="single" w:sz="4" w:space="0" w:color="auto"/>
              <w:left w:val="single" w:sz="4" w:space="0" w:color="auto"/>
              <w:bottom w:val="single" w:sz="4" w:space="0" w:color="auto"/>
              <w:right w:val="single" w:sz="4" w:space="0" w:color="auto"/>
            </w:tcBorders>
            <w:hideMark/>
          </w:tcPr>
          <w:p w14:paraId="7EDB0F2D" w14:textId="77777777" w:rsidR="00FC026B" w:rsidRPr="00F100E1" w:rsidRDefault="00FC026B" w:rsidP="00993B86">
            <w:r w:rsidRPr="00F100E1">
              <w:t>Anexa I/</w:t>
            </w:r>
          </w:p>
          <w:p w14:paraId="34E2379F" w14:textId="77777777" w:rsidR="00FC026B" w:rsidRPr="00F100E1" w:rsidRDefault="00FC026B" w:rsidP="00993B86">
            <w:r w:rsidRPr="00F100E1">
              <w:t>Anexa 4</w:t>
            </w:r>
          </w:p>
        </w:tc>
        <w:tc>
          <w:tcPr>
            <w:tcW w:w="2835" w:type="dxa"/>
            <w:tcBorders>
              <w:top w:val="single" w:sz="4" w:space="0" w:color="auto"/>
              <w:left w:val="single" w:sz="4" w:space="0" w:color="auto"/>
              <w:bottom w:val="single" w:sz="4" w:space="0" w:color="auto"/>
              <w:right w:val="double" w:sz="4" w:space="0" w:color="auto"/>
            </w:tcBorders>
            <w:hideMark/>
          </w:tcPr>
          <w:p w14:paraId="657C956B" w14:textId="77777777" w:rsidR="00FC026B" w:rsidRPr="00F100E1" w:rsidRDefault="00FC026B" w:rsidP="00993B86">
            <w:pPr>
              <w:rPr>
                <w:lang w:val="gsw-FR" w:eastAsia="sk-SK"/>
              </w:rPr>
            </w:pPr>
            <w:r w:rsidRPr="00F100E1">
              <w:rPr>
                <w:lang w:eastAsia="sk-SK"/>
              </w:rPr>
              <w:t>Pontic, Marea Neagră</w:t>
            </w:r>
          </w:p>
        </w:tc>
      </w:tr>
      <w:tr w:rsidR="00FC026B" w:rsidRPr="00C56257" w14:paraId="1C8AC7F3" w14:textId="77777777" w:rsidTr="00993B86">
        <w:tc>
          <w:tcPr>
            <w:tcW w:w="4521" w:type="dxa"/>
            <w:tcBorders>
              <w:top w:val="single" w:sz="4" w:space="0" w:color="auto"/>
              <w:left w:val="double" w:sz="4" w:space="0" w:color="auto"/>
              <w:bottom w:val="single" w:sz="4" w:space="0" w:color="auto"/>
              <w:right w:val="single" w:sz="4" w:space="0" w:color="auto"/>
            </w:tcBorders>
            <w:hideMark/>
          </w:tcPr>
          <w:p w14:paraId="13AABBC8" w14:textId="77777777" w:rsidR="00FC026B" w:rsidRPr="00F100E1" w:rsidRDefault="00FC026B" w:rsidP="00993B86">
            <w:pPr>
              <w:rPr>
                <w:lang w:val="gsw-FR" w:eastAsia="sk-SK"/>
              </w:rPr>
            </w:pPr>
            <w:r w:rsidRPr="00F100E1">
              <w:rPr>
                <w:lang w:val="gsw-FR" w:eastAsia="sk-SK"/>
              </w:rPr>
              <w:t>1150* - Lagune costiere</w:t>
            </w:r>
          </w:p>
        </w:tc>
        <w:tc>
          <w:tcPr>
            <w:tcW w:w="2410" w:type="dxa"/>
            <w:tcBorders>
              <w:top w:val="single" w:sz="4" w:space="0" w:color="auto"/>
              <w:left w:val="single" w:sz="4" w:space="0" w:color="auto"/>
              <w:bottom w:val="single" w:sz="4" w:space="0" w:color="auto"/>
              <w:right w:val="single" w:sz="4" w:space="0" w:color="auto"/>
            </w:tcBorders>
            <w:hideMark/>
          </w:tcPr>
          <w:p w14:paraId="17F2A2C7" w14:textId="77777777" w:rsidR="00FC026B" w:rsidRPr="00F100E1" w:rsidRDefault="00FC026B" w:rsidP="00993B86">
            <w:r w:rsidRPr="00F100E1">
              <w:t>Anexa I/</w:t>
            </w:r>
          </w:p>
          <w:p w14:paraId="525B6BD5" w14:textId="77777777" w:rsidR="00FC026B" w:rsidRPr="00F100E1" w:rsidRDefault="00FC026B" w:rsidP="00993B86">
            <w:r w:rsidRPr="00F100E1">
              <w:t>Anexa 4</w:t>
            </w:r>
          </w:p>
        </w:tc>
        <w:tc>
          <w:tcPr>
            <w:tcW w:w="2835" w:type="dxa"/>
            <w:tcBorders>
              <w:top w:val="single" w:sz="4" w:space="0" w:color="auto"/>
              <w:left w:val="single" w:sz="4" w:space="0" w:color="auto"/>
              <w:bottom w:val="single" w:sz="4" w:space="0" w:color="auto"/>
              <w:right w:val="double" w:sz="4" w:space="0" w:color="auto"/>
            </w:tcBorders>
            <w:hideMark/>
          </w:tcPr>
          <w:p w14:paraId="1844A56B" w14:textId="77777777" w:rsidR="00FC026B" w:rsidRPr="00F100E1" w:rsidRDefault="00FC026B" w:rsidP="00993B86">
            <w:pPr>
              <w:rPr>
                <w:lang w:val="gsw-FR" w:eastAsia="sk-SK"/>
              </w:rPr>
            </w:pPr>
            <w:r w:rsidRPr="00F100E1">
              <w:rPr>
                <w:lang w:eastAsia="sk-SK"/>
              </w:rPr>
              <w:t>Pontic</w:t>
            </w:r>
          </w:p>
        </w:tc>
      </w:tr>
      <w:tr w:rsidR="00FC026B" w:rsidRPr="00C56257" w14:paraId="7258942F" w14:textId="77777777" w:rsidTr="00993B86">
        <w:tc>
          <w:tcPr>
            <w:tcW w:w="4521" w:type="dxa"/>
            <w:tcBorders>
              <w:top w:val="single" w:sz="4" w:space="0" w:color="auto"/>
              <w:left w:val="double" w:sz="4" w:space="0" w:color="auto"/>
              <w:bottom w:val="single" w:sz="4" w:space="0" w:color="auto"/>
              <w:right w:val="single" w:sz="4" w:space="0" w:color="auto"/>
            </w:tcBorders>
            <w:hideMark/>
          </w:tcPr>
          <w:p w14:paraId="13257319" w14:textId="77777777" w:rsidR="00FC026B" w:rsidRPr="00F100E1" w:rsidRDefault="00FC026B" w:rsidP="00993B86">
            <w:pPr>
              <w:rPr>
                <w:lang w:val="gsw-FR" w:eastAsia="sk-SK"/>
              </w:rPr>
            </w:pPr>
            <w:r w:rsidRPr="00F100E1">
              <w:rPr>
                <w:lang w:val="gsw-FR" w:eastAsia="sk-SK"/>
              </w:rPr>
              <w:t>1160 - Braţe de mare şi golfuri mai puţin adânci</w:t>
            </w:r>
          </w:p>
        </w:tc>
        <w:tc>
          <w:tcPr>
            <w:tcW w:w="2410" w:type="dxa"/>
            <w:tcBorders>
              <w:top w:val="single" w:sz="4" w:space="0" w:color="auto"/>
              <w:left w:val="single" w:sz="4" w:space="0" w:color="auto"/>
              <w:bottom w:val="single" w:sz="4" w:space="0" w:color="auto"/>
              <w:right w:val="single" w:sz="4" w:space="0" w:color="auto"/>
            </w:tcBorders>
            <w:hideMark/>
          </w:tcPr>
          <w:p w14:paraId="1EBD33F1" w14:textId="77777777" w:rsidR="00FC026B" w:rsidRPr="00F100E1" w:rsidRDefault="00FC026B" w:rsidP="00993B86">
            <w:r w:rsidRPr="00F100E1">
              <w:t>Anexa I/</w:t>
            </w:r>
          </w:p>
          <w:p w14:paraId="5B7E5E52" w14:textId="77777777" w:rsidR="00FC026B" w:rsidRPr="00F100E1" w:rsidRDefault="00FC026B" w:rsidP="00993B86">
            <w:r w:rsidRPr="00F100E1">
              <w:t>Anexa 4</w:t>
            </w:r>
          </w:p>
        </w:tc>
        <w:tc>
          <w:tcPr>
            <w:tcW w:w="2835" w:type="dxa"/>
            <w:tcBorders>
              <w:top w:val="single" w:sz="4" w:space="0" w:color="auto"/>
              <w:left w:val="single" w:sz="4" w:space="0" w:color="auto"/>
              <w:bottom w:val="single" w:sz="4" w:space="0" w:color="auto"/>
              <w:right w:val="double" w:sz="4" w:space="0" w:color="auto"/>
            </w:tcBorders>
            <w:hideMark/>
          </w:tcPr>
          <w:p w14:paraId="19F54B5B" w14:textId="77777777" w:rsidR="00FC026B" w:rsidRPr="00F100E1" w:rsidRDefault="00FC026B" w:rsidP="00993B86">
            <w:pPr>
              <w:rPr>
                <w:lang w:val="gsw-FR" w:eastAsia="sk-SK"/>
              </w:rPr>
            </w:pPr>
            <w:r w:rsidRPr="00F100E1">
              <w:rPr>
                <w:lang w:eastAsia="sk-SK"/>
              </w:rPr>
              <w:t>Marea Neagră, Pontic</w:t>
            </w:r>
          </w:p>
        </w:tc>
      </w:tr>
      <w:tr w:rsidR="00FC026B" w:rsidRPr="00C56257" w14:paraId="1C1C57FD" w14:textId="77777777" w:rsidTr="00993B86">
        <w:tc>
          <w:tcPr>
            <w:tcW w:w="4521" w:type="dxa"/>
            <w:tcBorders>
              <w:top w:val="single" w:sz="4" w:space="0" w:color="auto"/>
              <w:left w:val="double" w:sz="4" w:space="0" w:color="auto"/>
              <w:bottom w:val="single" w:sz="4" w:space="0" w:color="auto"/>
              <w:right w:val="single" w:sz="4" w:space="0" w:color="auto"/>
            </w:tcBorders>
            <w:hideMark/>
          </w:tcPr>
          <w:p w14:paraId="4B39BCC5" w14:textId="77777777" w:rsidR="00FC026B" w:rsidRPr="00F100E1" w:rsidRDefault="00FC026B" w:rsidP="00993B86">
            <w:pPr>
              <w:rPr>
                <w:lang w:val="gsw-FR" w:eastAsia="sk-SK"/>
              </w:rPr>
            </w:pPr>
            <w:r w:rsidRPr="00F100E1">
              <w:rPr>
                <w:lang w:val="gsw-FR" w:eastAsia="sk-SK"/>
              </w:rPr>
              <w:t>1170 - Recifi</w:t>
            </w:r>
          </w:p>
        </w:tc>
        <w:tc>
          <w:tcPr>
            <w:tcW w:w="2410" w:type="dxa"/>
            <w:tcBorders>
              <w:top w:val="single" w:sz="4" w:space="0" w:color="auto"/>
              <w:left w:val="single" w:sz="4" w:space="0" w:color="auto"/>
              <w:bottom w:val="single" w:sz="4" w:space="0" w:color="auto"/>
              <w:right w:val="single" w:sz="4" w:space="0" w:color="auto"/>
            </w:tcBorders>
            <w:hideMark/>
          </w:tcPr>
          <w:p w14:paraId="010BA86A" w14:textId="77777777" w:rsidR="00FC026B" w:rsidRPr="00F100E1" w:rsidRDefault="00FC026B" w:rsidP="00993B86">
            <w:r w:rsidRPr="00F100E1">
              <w:t>Anexa I/</w:t>
            </w:r>
          </w:p>
          <w:p w14:paraId="37488BA1" w14:textId="77777777" w:rsidR="00FC026B" w:rsidRPr="00F100E1" w:rsidRDefault="00FC026B" w:rsidP="00993B86">
            <w:r w:rsidRPr="00F100E1">
              <w:t>Anexa 5 la OM 1964/2007</w:t>
            </w:r>
          </w:p>
        </w:tc>
        <w:tc>
          <w:tcPr>
            <w:tcW w:w="2835" w:type="dxa"/>
            <w:tcBorders>
              <w:top w:val="single" w:sz="4" w:space="0" w:color="auto"/>
              <w:left w:val="single" w:sz="4" w:space="0" w:color="auto"/>
              <w:bottom w:val="single" w:sz="4" w:space="0" w:color="auto"/>
              <w:right w:val="double" w:sz="4" w:space="0" w:color="auto"/>
            </w:tcBorders>
            <w:hideMark/>
          </w:tcPr>
          <w:p w14:paraId="75215DE7" w14:textId="77777777" w:rsidR="00FC026B" w:rsidRPr="00F100E1" w:rsidRDefault="00FC026B" w:rsidP="00993B86">
            <w:pPr>
              <w:rPr>
                <w:lang w:val="gsw-FR" w:eastAsia="sk-SK"/>
              </w:rPr>
            </w:pPr>
            <w:r w:rsidRPr="00F100E1">
              <w:rPr>
                <w:lang w:eastAsia="sk-SK"/>
              </w:rPr>
              <w:t>Marea Neagră</w:t>
            </w:r>
          </w:p>
        </w:tc>
      </w:tr>
      <w:tr w:rsidR="00FC026B" w:rsidRPr="00C56257" w14:paraId="1B643CF9" w14:textId="77777777" w:rsidTr="00993B86">
        <w:tc>
          <w:tcPr>
            <w:tcW w:w="4521" w:type="dxa"/>
            <w:tcBorders>
              <w:top w:val="single" w:sz="4" w:space="0" w:color="auto"/>
              <w:left w:val="double" w:sz="4" w:space="0" w:color="auto"/>
              <w:bottom w:val="single" w:sz="4" w:space="0" w:color="auto"/>
              <w:right w:val="single" w:sz="4" w:space="0" w:color="auto"/>
            </w:tcBorders>
            <w:hideMark/>
          </w:tcPr>
          <w:p w14:paraId="06683C23" w14:textId="77777777" w:rsidR="00FC026B" w:rsidRPr="00F100E1" w:rsidRDefault="00FC026B" w:rsidP="00993B86">
            <w:pPr>
              <w:rPr>
                <w:lang w:val="gsw-FR" w:eastAsia="sk-SK"/>
              </w:rPr>
            </w:pPr>
            <w:r w:rsidRPr="00F100E1">
              <w:rPr>
                <w:lang w:val="gsw-FR" w:eastAsia="sk-SK"/>
              </w:rPr>
              <w:t>1180 - Structuri submarine create de emisii de gaze</w:t>
            </w:r>
          </w:p>
        </w:tc>
        <w:tc>
          <w:tcPr>
            <w:tcW w:w="2410" w:type="dxa"/>
            <w:tcBorders>
              <w:top w:val="single" w:sz="4" w:space="0" w:color="auto"/>
              <w:left w:val="single" w:sz="4" w:space="0" w:color="auto"/>
              <w:bottom w:val="single" w:sz="4" w:space="0" w:color="auto"/>
              <w:right w:val="single" w:sz="4" w:space="0" w:color="auto"/>
            </w:tcBorders>
            <w:hideMark/>
          </w:tcPr>
          <w:p w14:paraId="67D7B92B" w14:textId="77777777" w:rsidR="00FC026B" w:rsidRPr="00F100E1" w:rsidRDefault="00FC026B" w:rsidP="00993B86">
            <w:r w:rsidRPr="00F100E1">
              <w:t>Anexa I/</w:t>
            </w:r>
          </w:p>
          <w:p w14:paraId="59E79823" w14:textId="77777777" w:rsidR="00FC026B" w:rsidRPr="00F100E1" w:rsidRDefault="00FC026B" w:rsidP="00993B86">
            <w:r w:rsidRPr="00F100E1">
              <w:t>Anexa 5 la OM 1964/2007</w:t>
            </w:r>
          </w:p>
        </w:tc>
        <w:tc>
          <w:tcPr>
            <w:tcW w:w="2835" w:type="dxa"/>
            <w:tcBorders>
              <w:top w:val="single" w:sz="4" w:space="0" w:color="auto"/>
              <w:left w:val="single" w:sz="4" w:space="0" w:color="auto"/>
              <w:bottom w:val="single" w:sz="4" w:space="0" w:color="auto"/>
              <w:right w:val="double" w:sz="4" w:space="0" w:color="auto"/>
            </w:tcBorders>
            <w:hideMark/>
          </w:tcPr>
          <w:p w14:paraId="24C457AD" w14:textId="77777777" w:rsidR="00FC026B" w:rsidRPr="00F100E1" w:rsidRDefault="00FC026B" w:rsidP="00993B86">
            <w:pPr>
              <w:rPr>
                <w:lang w:val="gsw-FR" w:eastAsia="sk-SK"/>
              </w:rPr>
            </w:pPr>
            <w:r w:rsidRPr="00F100E1">
              <w:rPr>
                <w:lang w:eastAsia="sk-SK"/>
              </w:rPr>
              <w:t>Marea Neagră</w:t>
            </w:r>
          </w:p>
        </w:tc>
      </w:tr>
      <w:tr w:rsidR="00FC026B" w:rsidRPr="00C56257" w14:paraId="75F15BE4" w14:textId="77777777" w:rsidTr="00993B86">
        <w:tc>
          <w:tcPr>
            <w:tcW w:w="4521" w:type="dxa"/>
            <w:tcBorders>
              <w:top w:val="single" w:sz="4" w:space="0" w:color="auto"/>
              <w:left w:val="double" w:sz="4" w:space="0" w:color="auto"/>
              <w:bottom w:val="double" w:sz="4" w:space="0" w:color="auto"/>
              <w:right w:val="single" w:sz="4" w:space="0" w:color="auto"/>
            </w:tcBorders>
          </w:tcPr>
          <w:p w14:paraId="6F83EDFA" w14:textId="77777777" w:rsidR="00FC026B" w:rsidRPr="00F100E1" w:rsidRDefault="00FC026B" w:rsidP="00993B86">
            <w:pPr>
              <w:rPr>
                <w:lang w:val="gsw-FR" w:eastAsia="sk-SK"/>
              </w:rPr>
            </w:pPr>
            <w:r w:rsidRPr="00F100E1">
              <w:rPr>
                <w:lang w:val="gsw-FR" w:eastAsia="sk-SK"/>
              </w:rPr>
              <w:t>1210 - Vegetaţie anuală de-a lungul liniei ţărmului</w:t>
            </w:r>
          </w:p>
          <w:p w14:paraId="334D81A3" w14:textId="77777777" w:rsidR="00FC026B" w:rsidRPr="00F100E1" w:rsidRDefault="00FC026B" w:rsidP="00993B86">
            <w:pPr>
              <w:rPr>
                <w:lang w:val="gsw-FR" w:eastAsia="sk-SK"/>
              </w:rPr>
            </w:pPr>
          </w:p>
        </w:tc>
        <w:tc>
          <w:tcPr>
            <w:tcW w:w="2410" w:type="dxa"/>
            <w:tcBorders>
              <w:top w:val="single" w:sz="4" w:space="0" w:color="auto"/>
              <w:left w:val="single" w:sz="4" w:space="0" w:color="auto"/>
              <w:bottom w:val="double" w:sz="4" w:space="0" w:color="auto"/>
              <w:right w:val="single" w:sz="4" w:space="0" w:color="auto"/>
            </w:tcBorders>
          </w:tcPr>
          <w:p w14:paraId="3F7320C2" w14:textId="77777777" w:rsidR="00FC026B" w:rsidRPr="00F100E1" w:rsidRDefault="00FC026B" w:rsidP="00993B86">
            <w:pPr>
              <w:jc w:val="both"/>
              <w:rPr>
                <w:lang w:val="gsw-FR" w:eastAsia="sk-SK"/>
              </w:rPr>
            </w:pPr>
            <w:r w:rsidRPr="00F100E1">
              <w:rPr>
                <w:lang w:val="gsw-FR" w:eastAsia="sk-SK"/>
              </w:rPr>
              <w:t>Anexa I/</w:t>
            </w:r>
          </w:p>
          <w:p w14:paraId="3EBC8473" w14:textId="77777777" w:rsidR="00FC026B" w:rsidRPr="00F100E1" w:rsidRDefault="00FC026B" w:rsidP="00993B86">
            <w:pPr>
              <w:jc w:val="both"/>
              <w:rPr>
                <w:lang w:val="gsw-FR" w:eastAsia="sk-SK"/>
              </w:rPr>
            </w:pPr>
            <w:r w:rsidRPr="00F100E1">
              <w:rPr>
                <w:lang w:val="gsw-FR" w:eastAsia="sk-SK"/>
              </w:rPr>
              <w:t>Anexa 4</w:t>
            </w:r>
          </w:p>
          <w:p w14:paraId="6131FEAD" w14:textId="77777777" w:rsidR="00FC026B" w:rsidRPr="00F100E1" w:rsidRDefault="00FC026B" w:rsidP="00993B86">
            <w:pPr>
              <w:jc w:val="both"/>
              <w:rPr>
                <w:lang w:val="gsw-FR" w:eastAsia="sk-SK"/>
              </w:rPr>
            </w:pPr>
          </w:p>
        </w:tc>
        <w:tc>
          <w:tcPr>
            <w:tcW w:w="2835" w:type="dxa"/>
            <w:tcBorders>
              <w:top w:val="single" w:sz="4" w:space="0" w:color="auto"/>
              <w:left w:val="single" w:sz="4" w:space="0" w:color="auto"/>
              <w:bottom w:val="double" w:sz="4" w:space="0" w:color="auto"/>
              <w:right w:val="double" w:sz="4" w:space="0" w:color="auto"/>
            </w:tcBorders>
            <w:hideMark/>
          </w:tcPr>
          <w:p w14:paraId="560416F3" w14:textId="77777777" w:rsidR="00FC026B" w:rsidRPr="00F100E1" w:rsidRDefault="00FC026B" w:rsidP="00993B86">
            <w:pPr>
              <w:rPr>
                <w:lang w:val="gsw-FR" w:eastAsia="sk-SK"/>
              </w:rPr>
            </w:pPr>
            <w:r w:rsidRPr="00F100E1">
              <w:rPr>
                <w:lang w:eastAsia="sk-SK"/>
              </w:rPr>
              <w:t>Pontic</w:t>
            </w:r>
          </w:p>
        </w:tc>
      </w:tr>
    </w:tbl>
    <w:p w14:paraId="475F1E15" w14:textId="77777777" w:rsidR="00FC026B" w:rsidRPr="00F100E1" w:rsidRDefault="00FC026B" w:rsidP="00FC026B">
      <w:pPr>
        <w:jc w:val="both"/>
        <w:rPr>
          <w:rFonts w:eastAsiaTheme="minorHAnsi"/>
        </w:rPr>
      </w:pPr>
    </w:p>
    <w:p w14:paraId="2711E6F8" w14:textId="77777777" w:rsidR="00FC026B" w:rsidRPr="00F100E1" w:rsidRDefault="00FC026B" w:rsidP="00FC026B">
      <w:pPr>
        <w:pStyle w:val="ListParagraph"/>
        <w:keepNext/>
        <w:keepLines/>
        <w:contextualSpacing/>
        <w:jc w:val="both"/>
        <w:outlineLvl w:val="0"/>
        <w:rPr>
          <w:rFonts w:ascii="Times New Roman" w:eastAsia="Times New Roman" w:hAnsi="Times New Roman" w:cs="Times New Roman"/>
          <w:b/>
          <w:color w:val="000000"/>
          <w:sz w:val="24"/>
          <w:szCs w:val="24"/>
          <w:lang w:eastAsia="ro-RO"/>
        </w:rPr>
      </w:pPr>
      <w:r w:rsidRPr="00F100E1">
        <w:rPr>
          <w:rFonts w:ascii="Times New Roman" w:eastAsia="Times New Roman" w:hAnsi="Times New Roman" w:cs="Times New Roman"/>
          <w:b/>
          <w:color w:val="000000"/>
          <w:sz w:val="24"/>
          <w:szCs w:val="24"/>
          <w:lang w:eastAsia="ro-RO"/>
        </w:rPr>
        <w:t xml:space="preserve">Metode </w:t>
      </w:r>
      <w:proofErr w:type="spellStart"/>
      <w:r w:rsidRPr="00F100E1">
        <w:rPr>
          <w:rFonts w:ascii="Times New Roman" w:eastAsia="Times New Roman" w:hAnsi="Times New Roman" w:cs="Times New Roman"/>
          <w:b/>
          <w:color w:val="000000"/>
          <w:sz w:val="24"/>
          <w:szCs w:val="24"/>
          <w:lang w:eastAsia="ro-RO"/>
        </w:rPr>
        <w:t>aplicate</w:t>
      </w:r>
      <w:proofErr w:type="spellEnd"/>
      <w:r w:rsidRPr="00F100E1">
        <w:rPr>
          <w:rFonts w:ascii="Times New Roman" w:eastAsia="Times New Roman" w:hAnsi="Times New Roman" w:cs="Times New Roman"/>
          <w:b/>
          <w:color w:val="000000"/>
          <w:sz w:val="24"/>
          <w:szCs w:val="24"/>
          <w:lang w:eastAsia="ro-RO"/>
        </w:rPr>
        <w:t xml:space="preserve"> </w:t>
      </w:r>
      <w:proofErr w:type="spellStart"/>
      <w:r w:rsidRPr="00F100E1">
        <w:rPr>
          <w:rFonts w:ascii="Times New Roman" w:eastAsia="Times New Roman" w:hAnsi="Times New Roman" w:cs="Times New Roman"/>
          <w:b/>
          <w:color w:val="000000"/>
          <w:sz w:val="24"/>
          <w:szCs w:val="24"/>
          <w:lang w:eastAsia="ro-RO"/>
        </w:rPr>
        <w:t>pentru</w:t>
      </w:r>
      <w:proofErr w:type="spellEnd"/>
      <w:r w:rsidRPr="00F100E1">
        <w:rPr>
          <w:rFonts w:ascii="Times New Roman" w:eastAsia="Times New Roman" w:hAnsi="Times New Roman" w:cs="Times New Roman"/>
          <w:b/>
          <w:color w:val="000000"/>
          <w:sz w:val="24"/>
          <w:szCs w:val="24"/>
          <w:lang w:eastAsia="ro-RO"/>
        </w:rPr>
        <w:t xml:space="preserve"> </w:t>
      </w:r>
      <w:proofErr w:type="spellStart"/>
      <w:r w:rsidRPr="00F100E1">
        <w:rPr>
          <w:rFonts w:ascii="Times New Roman" w:eastAsia="Times New Roman" w:hAnsi="Times New Roman" w:cs="Times New Roman"/>
          <w:b/>
          <w:color w:val="000000"/>
          <w:sz w:val="24"/>
          <w:szCs w:val="24"/>
          <w:lang w:eastAsia="ro-RO"/>
        </w:rPr>
        <w:t>monitorizarea</w:t>
      </w:r>
      <w:proofErr w:type="spellEnd"/>
      <w:r w:rsidRPr="00F100E1">
        <w:rPr>
          <w:rFonts w:ascii="Times New Roman" w:eastAsia="Times New Roman" w:hAnsi="Times New Roman" w:cs="Times New Roman"/>
          <w:b/>
          <w:color w:val="000000"/>
          <w:sz w:val="24"/>
          <w:szCs w:val="24"/>
          <w:lang w:eastAsia="ro-RO"/>
        </w:rPr>
        <w:t xml:space="preserve"> </w:t>
      </w:r>
      <w:proofErr w:type="spellStart"/>
      <w:r w:rsidRPr="00F100E1">
        <w:rPr>
          <w:rFonts w:ascii="Times New Roman" w:eastAsia="Times New Roman" w:hAnsi="Times New Roman" w:cs="Times New Roman"/>
          <w:b/>
          <w:color w:val="000000"/>
          <w:sz w:val="24"/>
          <w:szCs w:val="24"/>
          <w:lang w:eastAsia="ro-RO"/>
        </w:rPr>
        <w:t>habitatelor</w:t>
      </w:r>
      <w:proofErr w:type="spellEnd"/>
      <w:r w:rsidRPr="00F100E1">
        <w:rPr>
          <w:rFonts w:ascii="Times New Roman" w:eastAsia="Times New Roman" w:hAnsi="Times New Roman" w:cs="Times New Roman"/>
          <w:b/>
          <w:color w:val="000000"/>
          <w:sz w:val="24"/>
          <w:szCs w:val="24"/>
          <w:lang w:eastAsia="ro-RO"/>
        </w:rPr>
        <w:t xml:space="preserve"> marine </w:t>
      </w:r>
      <w:proofErr w:type="spellStart"/>
      <w:r w:rsidRPr="00F100E1">
        <w:rPr>
          <w:rFonts w:ascii="Times New Roman" w:eastAsia="Times New Roman" w:hAnsi="Times New Roman" w:cs="Times New Roman"/>
          <w:b/>
          <w:color w:val="000000"/>
          <w:sz w:val="24"/>
          <w:szCs w:val="24"/>
          <w:lang w:eastAsia="ro-RO"/>
        </w:rPr>
        <w:t>si</w:t>
      </w:r>
      <w:proofErr w:type="spellEnd"/>
      <w:r w:rsidRPr="00F100E1">
        <w:rPr>
          <w:rFonts w:ascii="Times New Roman" w:eastAsia="Times New Roman" w:hAnsi="Times New Roman" w:cs="Times New Roman"/>
          <w:b/>
          <w:color w:val="000000"/>
          <w:sz w:val="24"/>
          <w:szCs w:val="24"/>
          <w:lang w:eastAsia="ro-RO"/>
        </w:rPr>
        <w:t xml:space="preserve"> </w:t>
      </w:r>
      <w:proofErr w:type="spellStart"/>
      <w:r w:rsidRPr="00F100E1">
        <w:rPr>
          <w:rFonts w:ascii="Times New Roman" w:eastAsia="Times New Roman" w:hAnsi="Times New Roman" w:cs="Times New Roman"/>
          <w:b/>
          <w:color w:val="000000"/>
          <w:sz w:val="24"/>
          <w:szCs w:val="24"/>
          <w:lang w:eastAsia="ro-RO"/>
        </w:rPr>
        <w:t>costiere</w:t>
      </w:r>
      <w:proofErr w:type="spellEnd"/>
    </w:p>
    <w:p w14:paraId="74D67BAD" w14:textId="77777777" w:rsidR="00FC026B" w:rsidRPr="00F100E1" w:rsidRDefault="00FC026B" w:rsidP="00FC026B">
      <w:pPr>
        <w:keepNext/>
        <w:keepLines/>
        <w:contextualSpacing/>
        <w:jc w:val="both"/>
        <w:outlineLvl w:val="0"/>
        <w:rPr>
          <w:b/>
          <w:color w:val="000000"/>
          <w:lang w:eastAsia="ro-RO"/>
        </w:rPr>
      </w:pPr>
    </w:p>
    <w:p w14:paraId="635395E7" w14:textId="77777777" w:rsidR="00FC026B" w:rsidRPr="00F100E1" w:rsidRDefault="00FC026B" w:rsidP="00FC026B">
      <w:pPr>
        <w:autoSpaceDE w:val="0"/>
        <w:autoSpaceDN w:val="0"/>
        <w:adjustRightInd w:val="0"/>
        <w:rPr>
          <w:rFonts w:eastAsia="Calibri"/>
          <w:b/>
          <w:lang w:val="en-US"/>
        </w:rPr>
      </w:pPr>
      <w:r w:rsidRPr="00C56257">
        <w:rPr>
          <w:rFonts w:eastAsia="Calibri"/>
          <w:b/>
          <w:bCs/>
          <w:lang w:val="en-US"/>
        </w:rPr>
        <w:t>1150</w:t>
      </w:r>
      <w:r w:rsidRPr="00C56257">
        <w:rPr>
          <w:rFonts w:eastAsia="Calibri"/>
          <w:b/>
          <w:lang w:val="en-US"/>
        </w:rPr>
        <w:t xml:space="preserve">* Lagune </w:t>
      </w:r>
      <w:proofErr w:type="spellStart"/>
      <w:r w:rsidRPr="00C56257">
        <w:rPr>
          <w:rFonts w:eastAsia="Calibri"/>
          <w:b/>
          <w:lang w:val="en-US"/>
        </w:rPr>
        <w:t>costiere</w:t>
      </w:r>
      <w:proofErr w:type="spellEnd"/>
      <w:r w:rsidRPr="00C56257">
        <w:rPr>
          <w:rFonts w:eastAsia="Calibri"/>
          <w:b/>
          <w:lang w:val="en-US"/>
        </w:rPr>
        <w:t xml:space="preserve"> </w:t>
      </w:r>
    </w:p>
    <w:p w14:paraId="18AABB14" w14:textId="77777777" w:rsidR="00FC026B" w:rsidRPr="00C56257" w:rsidRDefault="00FC026B" w:rsidP="00FC026B">
      <w:pPr>
        <w:autoSpaceDE w:val="0"/>
        <w:autoSpaceDN w:val="0"/>
        <w:adjustRightInd w:val="0"/>
        <w:jc w:val="both"/>
        <w:rPr>
          <w:rFonts w:eastAsia="Calibri"/>
          <w:lang w:val="en-US"/>
        </w:rPr>
      </w:pPr>
      <w:r w:rsidRPr="00C56257">
        <w:rPr>
          <w:rFonts w:eastAsia="Calibri"/>
          <w:lang w:val="en-US"/>
        </w:rPr>
        <w:t>CLAS. PAL.: 21</w:t>
      </w:r>
    </w:p>
    <w:p w14:paraId="68D7A0EA" w14:textId="77777777" w:rsidR="00FC026B" w:rsidRPr="00C56257" w:rsidRDefault="00FC026B" w:rsidP="00FC026B">
      <w:pPr>
        <w:ind w:firstLine="720"/>
        <w:jc w:val="both"/>
        <w:rPr>
          <w:rFonts w:eastAsia="Calibri"/>
          <w:bCs/>
          <w:lang w:val="fr-FR"/>
        </w:rPr>
      </w:pPr>
      <w:proofErr w:type="spellStart"/>
      <w:r w:rsidRPr="00C56257">
        <w:rPr>
          <w:rFonts w:eastAsia="Calibri"/>
          <w:bCs/>
          <w:lang w:val="fr-FR"/>
        </w:rPr>
        <w:t>Lagunele</w:t>
      </w:r>
      <w:proofErr w:type="spellEnd"/>
      <w:r w:rsidRPr="00C56257">
        <w:rPr>
          <w:rFonts w:eastAsia="Calibri"/>
          <w:bCs/>
          <w:lang w:val="fr-FR"/>
        </w:rPr>
        <w:t xml:space="preserve"> </w:t>
      </w:r>
      <w:proofErr w:type="spellStart"/>
      <w:r w:rsidRPr="00C56257">
        <w:rPr>
          <w:rFonts w:eastAsia="Calibri"/>
          <w:bCs/>
          <w:lang w:val="fr-FR"/>
        </w:rPr>
        <w:t>sunt</w:t>
      </w:r>
      <w:proofErr w:type="spellEnd"/>
      <w:r w:rsidRPr="00C56257">
        <w:rPr>
          <w:rFonts w:eastAsia="Calibri"/>
          <w:bCs/>
          <w:lang w:val="fr-FR"/>
        </w:rPr>
        <w:t xml:space="preserve"> </w:t>
      </w:r>
      <w:proofErr w:type="spellStart"/>
      <w:r w:rsidRPr="00C56257">
        <w:rPr>
          <w:rFonts w:eastAsia="Calibri"/>
          <w:bCs/>
          <w:lang w:val="fr-FR"/>
        </w:rPr>
        <w:t>ecosisteme</w:t>
      </w:r>
      <w:proofErr w:type="spellEnd"/>
      <w:r w:rsidRPr="00C56257">
        <w:rPr>
          <w:rFonts w:eastAsia="Calibri"/>
          <w:bCs/>
          <w:lang w:val="fr-FR"/>
        </w:rPr>
        <w:t xml:space="preserve"> </w:t>
      </w:r>
      <w:proofErr w:type="spellStart"/>
      <w:r w:rsidRPr="00C56257">
        <w:rPr>
          <w:rFonts w:eastAsia="Calibri"/>
          <w:bCs/>
          <w:lang w:val="fr-FR"/>
        </w:rPr>
        <w:t>costiere</w:t>
      </w:r>
      <w:proofErr w:type="spellEnd"/>
      <w:r w:rsidRPr="00C56257">
        <w:rPr>
          <w:rFonts w:eastAsia="Calibri"/>
          <w:bCs/>
          <w:lang w:val="fr-FR"/>
        </w:rPr>
        <w:t xml:space="preserve"> de </w:t>
      </w:r>
      <w:proofErr w:type="spellStart"/>
      <w:r w:rsidRPr="00C56257">
        <w:rPr>
          <w:rFonts w:eastAsia="Calibri"/>
          <w:bCs/>
          <w:lang w:val="fr-FR"/>
        </w:rPr>
        <w:t>mică</w:t>
      </w:r>
      <w:proofErr w:type="spellEnd"/>
      <w:r w:rsidRPr="00C56257">
        <w:rPr>
          <w:rFonts w:eastAsia="Calibri"/>
          <w:bCs/>
          <w:lang w:val="fr-FR"/>
        </w:rPr>
        <w:t xml:space="preserve"> </w:t>
      </w:r>
      <w:proofErr w:type="spellStart"/>
      <w:r w:rsidRPr="00C56257">
        <w:rPr>
          <w:rFonts w:eastAsia="Calibri"/>
          <w:bCs/>
          <w:lang w:val="fr-FR"/>
        </w:rPr>
        <w:t>adâncime</w:t>
      </w:r>
      <w:proofErr w:type="spellEnd"/>
      <w:r w:rsidRPr="00C56257">
        <w:rPr>
          <w:rFonts w:eastAsia="Calibri"/>
          <w:bCs/>
          <w:lang w:val="fr-FR"/>
        </w:rPr>
        <w:t xml:space="preserve">, </w:t>
      </w:r>
      <w:proofErr w:type="spellStart"/>
      <w:r w:rsidRPr="00C56257">
        <w:rPr>
          <w:rFonts w:eastAsia="Calibri"/>
          <w:bCs/>
          <w:lang w:val="fr-FR"/>
        </w:rPr>
        <w:t>separate</w:t>
      </w:r>
      <w:proofErr w:type="spellEnd"/>
      <w:r w:rsidRPr="00C56257">
        <w:rPr>
          <w:rFonts w:eastAsia="Calibri"/>
          <w:bCs/>
          <w:lang w:val="fr-FR"/>
        </w:rPr>
        <w:t xml:space="preserve"> de mare </w:t>
      </w:r>
      <w:proofErr w:type="spellStart"/>
      <w:r w:rsidRPr="00C56257">
        <w:rPr>
          <w:rFonts w:eastAsia="Calibri"/>
          <w:bCs/>
          <w:lang w:val="fr-FR"/>
        </w:rPr>
        <w:t>prin</w:t>
      </w:r>
      <w:proofErr w:type="spellEnd"/>
      <w:r w:rsidRPr="00C56257">
        <w:rPr>
          <w:rFonts w:eastAsia="Calibri"/>
          <w:bCs/>
          <w:lang w:val="fr-FR"/>
        </w:rPr>
        <w:t xml:space="preserve"> cordon de </w:t>
      </w:r>
      <w:proofErr w:type="spellStart"/>
      <w:r w:rsidRPr="00C56257">
        <w:rPr>
          <w:rFonts w:eastAsia="Calibri"/>
          <w:bCs/>
          <w:lang w:val="fr-FR"/>
        </w:rPr>
        <w:t>nisip</w:t>
      </w:r>
      <w:proofErr w:type="spellEnd"/>
      <w:r w:rsidRPr="00C56257">
        <w:rPr>
          <w:rFonts w:eastAsia="Calibri"/>
          <w:bCs/>
          <w:lang w:val="fr-FR"/>
        </w:rPr>
        <w:t xml:space="preserve"> care </w:t>
      </w:r>
      <w:proofErr w:type="spellStart"/>
      <w:r w:rsidRPr="00C56257">
        <w:rPr>
          <w:rFonts w:eastAsia="Calibri"/>
          <w:bCs/>
          <w:lang w:val="fr-FR"/>
        </w:rPr>
        <w:t>prezintă</w:t>
      </w:r>
      <w:proofErr w:type="spellEnd"/>
      <w:r w:rsidRPr="00C56257">
        <w:rPr>
          <w:rFonts w:eastAsia="Calibri"/>
          <w:bCs/>
          <w:lang w:val="fr-FR"/>
        </w:rPr>
        <w:t xml:space="preserve"> </w:t>
      </w:r>
      <w:proofErr w:type="spellStart"/>
      <w:r w:rsidRPr="00C56257">
        <w:rPr>
          <w:rFonts w:eastAsia="Calibri"/>
          <w:bCs/>
          <w:lang w:val="fr-FR"/>
        </w:rPr>
        <w:t>deschideri</w:t>
      </w:r>
      <w:proofErr w:type="spellEnd"/>
      <w:r w:rsidRPr="00C56257">
        <w:rPr>
          <w:rFonts w:eastAsia="Calibri"/>
          <w:bCs/>
          <w:lang w:val="fr-FR"/>
        </w:rPr>
        <w:t xml:space="preserve"> </w:t>
      </w:r>
      <w:proofErr w:type="spellStart"/>
      <w:r w:rsidRPr="00C56257">
        <w:rPr>
          <w:rFonts w:eastAsia="Calibri"/>
          <w:bCs/>
          <w:lang w:val="fr-FR"/>
        </w:rPr>
        <w:t>permenente</w:t>
      </w:r>
      <w:proofErr w:type="spellEnd"/>
      <w:r w:rsidRPr="00C56257">
        <w:rPr>
          <w:rFonts w:eastAsia="Calibri"/>
          <w:bCs/>
          <w:lang w:val="fr-FR"/>
        </w:rPr>
        <w:t xml:space="preserve"> </w:t>
      </w:r>
      <w:proofErr w:type="spellStart"/>
      <w:r w:rsidRPr="00C56257">
        <w:rPr>
          <w:rFonts w:eastAsia="Calibri"/>
          <w:bCs/>
          <w:lang w:val="fr-FR"/>
        </w:rPr>
        <w:t>sau</w:t>
      </w:r>
      <w:proofErr w:type="spellEnd"/>
      <w:r w:rsidRPr="00C56257">
        <w:rPr>
          <w:rFonts w:eastAsia="Calibri"/>
          <w:bCs/>
          <w:lang w:val="fr-FR"/>
        </w:rPr>
        <w:t xml:space="preserve"> </w:t>
      </w:r>
      <w:proofErr w:type="spellStart"/>
      <w:r w:rsidRPr="00C56257">
        <w:rPr>
          <w:rFonts w:eastAsia="Calibri"/>
          <w:bCs/>
          <w:lang w:val="fr-FR"/>
        </w:rPr>
        <w:t>temporare</w:t>
      </w:r>
      <w:proofErr w:type="spellEnd"/>
      <w:r w:rsidRPr="00C56257">
        <w:rPr>
          <w:rFonts w:eastAsia="Calibri"/>
          <w:bCs/>
          <w:lang w:val="fr-FR"/>
        </w:rPr>
        <w:t xml:space="preserve">, </w:t>
      </w:r>
      <w:proofErr w:type="spellStart"/>
      <w:r w:rsidRPr="00C56257">
        <w:rPr>
          <w:rFonts w:eastAsia="Calibri"/>
          <w:bCs/>
          <w:lang w:val="fr-FR"/>
        </w:rPr>
        <w:t>deschideri</w:t>
      </w:r>
      <w:proofErr w:type="spellEnd"/>
      <w:r w:rsidRPr="00C56257">
        <w:rPr>
          <w:rFonts w:eastAsia="Calibri"/>
          <w:bCs/>
          <w:lang w:val="fr-FR"/>
        </w:rPr>
        <w:t xml:space="preserve"> care permit </w:t>
      </w:r>
      <w:proofErr w:type="spellStart"/>
      <w:r w:rsidRPr="00C56257">
        <w:rPr>
          <w:rFonts w:eastAsia="Calibri"/>
          <w:bCs/>
          <w:lang w:val="fr-FR"/>
        </w:rPr>
        <w:t>primenirea</w:t>
      </w:r>
      <w:proofErr w:type="spellEnd"/>
      <w:r w:rsidRPr="00C56257">
        <w:rPr>
          <w:rFonts w:eastAsia="Calibri"/>
          <w:bCs/>
          <w:lang w:val="fr-FR"/>
        </w:rPr>
        <w:t xml:space="preserve"> </w:t>
      </w:r>
      <w:proofErr w:type="spellStart"/>
      <w:r w:rsidRPr="00C56257">
        <w:rPr>
          <w:rFonts w:eastAsia="Calibri"/>
          <w:bCs/>
          <w:lang w:val="fr-FR"/>
        </w:rPr>
        <w:t>apei</w:t>
      </w:r>
      <w:proofErr w:type="spellEnd"/>
      <w:r w:rsidRPr="00C56257">
        <w:rPr>
          <w:rFonts w:eastAsia="Calibri"/>
          <w:bCs/>
          <w:lang w:val="fr-FR"/>
        </w:rPr>
        <w:t xml:space="preserve">. </w:t>
      </w:r>
      <w:proofErr w:type="spellStart"/>
      <w:r w:rsidRPr="00C56257">
        <w:rPr>
          <w:rFonts w:eastAsia="Calibri"/>
          <w:bCs/>
          <w:lang w:val="fr-FR"/>
        </w:rPr>
        <w:t>Lagunele</w:t>
      </w:r>
      <w:proofErr w:type="spellEnd"/>
      <w:r w:rsidRPr="00C56257">
        <w:rPr>
          <w:rFonts w:eastAsia="Calibri"/>
          <w:bCs/>
          <w:lang w:val="fr-FR"/>
        </w:rPr>
        <w:t xml:space="preserve"> </w:t>
      </w:r>
      <w:proofErr w:type="spellStart"/>
      <w:r w:rsidRPr="00C56257">
        <w:rPr>
          <w:rFonts w:eastAsia="Calibri"/>
          <w:bCs/>
          <w:lang w:val="fr-FR"/>
        </w:rPr>
        <w:t>costiere</w:t>
      </w:r>
      <w:proofErr w:type="spellEnd"/>
      <w:r w:rsidRPr="00C56257">
        <w:rPr>
          <w:rFonts w:eastAsia="Calibri"/>
          <w:bCs/>
          <w:lang w:val="fr-FR"/>
        </w:rPr>
        <w:t xml:space="preserve"> se </w:t>
      </w:r>
      <w:proofErr w:type="spellStart"/>
      <w:r w:rsidRPr="00C56257">
        <w:rPr>
          <w:rFonts w:eastAsia="Calibri"/>
          <w:bCs/>
          <w:lang w:val="fr-FR"/>
        </w:rPr>
        <w:t>formează</w:t>
      </w:r>
      <w:proofErr w:type="spellEnd"/>
      <w:r w:rsidRPr="00C56257">
        <w:rPr>
          <w:rFonts w:eastAsia="Calibri"/>
          <w:bCs/>
          <w:lang w:val="fr-FR"/>
        </w:rPr>
        <w:t xml:space="preserve">, de </w:t>
      </w:r>
      <w:proofErr w:type="spellStart"/>
      <w:r w:rsidRPr="00C56257">
        <w:rPr>
          <w:rFonts w:eastAsia="Calibri"/>
          <w:bCs/>
          <w:lang w:val="fr-FR"/>
        </w:rPr>
        <w:t>obicei</w:t>
      </w:r>
      <w:proofErr w:type="spellEnd"/>
      <w:r w:rsidRPr="00C56257">
        <w:rPr>
          <w:rFonts w:eastAsia="Calibri"/>
          <w:bCs/>
          <w:lang w:val="fr-FR"/>
        </w:rPr>
        <w:t xml:space="preserve">, </w:t>
      </w:r>
      <w:proofErr w:type="spellStart"/>
      <w:r w:rsidRPr="00C56257">
        <w:rPr>
          <w:rFonts w:eastAsia="Calibri"/>
          <w:bCs/>
          <w:lang w:val="fr-FR"/>
        </w:rPr>
        <w:t>prin</w:t>
      </w:r>
      <w:proofErr w:type="spellEnd"/>
      <w:r w:rsidRPr="00C56257">
        <w:rPr>
          <w:rFonts w:eastAsia="Calibri"/>
          <w:bCs/>
          <w:lang w:val="fr-FR"/>
        </w:rPr>
        <w:t xml:space="preserve"> </w:t>
      </w:r>
      <w:proofErr w:type="spellStart"/>
      <w:r w:rsidRPr="00C56257">
        <w:rPr>
          <w:rFonts w:eastAsia="Calibri"/>
          <w:bCs/>
          <w:lang w:val="fr-FR"/>
        </w:rPr>
        <w:t>închiderea</w:t>
      </w:r>
      <w:proofErr w:type="spellEnd"/>
      <w:r w:rsidRPr="00C56257">
        <w:rPr>
          <w:rFonts w:eastAsia="Calibri"/>
          <w:bCs/>
          <w:lang w:val="fr-FR"/>
        </w:rPr>
        <w:t xml:space="preserve"> </w:t>
      </w:r>
      <w:proofErr w:type="spellStart"/>
      <w:r w:rsidRPr="00C56257">
        <w:rPr>
          <w:rFonts w:eastAsia="Calibri"/>
          <w:bCs/>
          <w:lang w:val="fr-FR"/>
        </w:rPr>
        <w:t>unor</w:t>
      </w:r>
      <w:proofErr w:type="spellEnd"/>
      <w:r w:rsidRPr="00C56257">
        <w:rPr>
          <w:rFonts w:eastAsia="Calibri"/>
          <w:bCs/>
          <w:lang w:val="fr-FR"/>
        </w:rPr>
        <w:t xml:space="preserve"> </w:t>
      </w:r>
      <w:proofErr w:type="spellStart"/>
      <w:r w:rsidRPr="00C56257">
        <w:rPr>
          <w:rFonts w:eastAsia="Calibri"/>
          <w:bCs/>
          <w:lang w:val="fr-FR"/>
        </w:rPr>
        <w:t>golfuri</w:t>
      </w:r>
      <w:proofErr w:type="spellEnd"/>
      <w:r w:rsidRPr="00C56257">
        <w:rPr>
          <w:rFonts w:eastAsia="Calibri"/>
          <w:bCs/>
          <w:lang w:val="fr-FR"/>
        </w:rPr>
        <w:t xml:space="preserve"> marine </w:t>
      </w:r>
      <w:proofErr w:type="spellStart"/>
      <w:r w:rsidRPr="00C56257">
        <w:rPr>
          <w:rFonts w:eastAsia="Calibri"/>
          <w:bCs/>
          <w:lang w:val="fr-FR"/>
        </w:rPr>
        <w:t>cu</w:t>
      </w:r>
      <w:proofErr w:type="spellEnd"/>
      <w:r w:rsidRPr="00C56257">
        <w:rPr>
          <w:rFonts w:eastAsia="Calibri"/>
          <w:bCs/>
          <w:lang w:val="fr-FR"/>
        </w:rPr>
        <w:t xml:space="preserve">  </w:t>
      </w:r>
      <w:proofErr w:type="spellStart"/>
      <w:r w:rsidRPr="00C56257">
        <w:rPr>
          <w:rFonts w:eastAsia="Calibri"/>
          <w:bCs/>
          <w:lang w:val="fr-FR"/>
        </w:rPr>
        <w:t>cordoane</w:t>
      </w:r>
      <w:proofErr w:type="spellEnd"/>
      <w:r w:rsidRPr="00C56257">
        <w:rPr>
          <w:rFonts w:eastAsia="Calibri"/>
          <w:bCs/>
          <w:lang w:val="fr-FR"/>
        </w:rPr>
        <w:t xml:space="preserve"> de </w:t>
      </w:r>
      <w:proofErr w:type="spellStart"/>
      <w:r w:rsidRPr="00C56257">
        <w:rPr>
          <w:rFonts w:eastAsia="Calibri"/>
          <w:bCs/>
          <w:lang w:val="fr-FR"/>
        </w:rPr>
        <w:t>aluviuni</w:t>
      </w:r>
      <w:proofErr w:type="spellEnd"/>
      <w:r w:rsidRPr="00C56257">
        <w:rPr>
          <w:rFonts w:eastAsia="Calibri"/>
          <w:bCs/>
          <w:lang w:val="fr-FR"/>
        </w:rPr>
        <w:t xml:space="preserve">. </w:t>
      </w:r>
      <w:proofErr w:type="spellStart"/>
      <w:r w:rsidRPr="00C56257">
        <w:rPr>
          <w:rFonts w:eastAsia="Calibri"/>
          <w:bCs/>
          <w:lang w:val="fr-FR"/>
        </w:rPr>
        <w:t>Lagunele</w:t>
      </w:r>
      <w:proofErr w:type="spellEnd"/>
      <w:r w:rsidRPr="00C56257">
        <w:rPr>
          <w:rFonts w:eastAsia="Calibri"/>
          <w:bCs/>
          <w:lang w:val="fr-FR"/>
        </w:rPr>
        <w:t xml:space="preserve"> pot fi </w:t>
      </w:r>
      <w:proofErr w:type="spellStart"/>
      <w:r w:rsidRPr="00C56257">
        <w:rPr>
          <w:rFonts w:eastAsia="Calibri"/>
          <w:bCs/>
          <w:lang w:val="fr-FR"/>
        </w:rPr>
        <w:t>alimentate</w:t>
      </w:r>
      <w:proofErr w:type="spellEnd"/>
      <w:r w:rsidRPr="00C56257">
        <w:rPr>
          <w:rFonts w:eastAsia="Calibri"/>
          <w:bCs/>
          <w:lang w:val="fr-FR"/>
        </w:rPr>
        <w:t xml:space="preserve"> </w:t>
      </w:r>
      <w:proofErr w:type="spellStart"/>
      <w:r w:rsidRPr="00C56257">
        <w:rPr>
          <w:rFonts w:eastAsia="Calibri"/>
          <w:bCs/>
          <w:lang w:val="fr-FR"/>
        </w:rPr>
        <w:t>și</w:t>
      </w:r>
      <w:proofErr w:type="spellEnd"/>
      <w:r w:rsidRPr="00C56257">
        <w:rPr>
          <w:rFonts w:eastAsia="Calibri"/>
          <w:bCs/>
          <w:lang w:val="fr-FR"/>
        </w:rPr>
        <w:t xml:space="preserve"> </w:t>
      </w:r>
      <w:proofErr w:type="spellStart"/>
      <w:r w:rsidRPr="00C56257">
        <w:rPr>
          <w:rFonts w:eastAsia="Calibri"/>
          <w:bCs/>
          <w:lang w:val="fr-FR"/>
        </w:rPr>
        <w:t>cu</w:t>
      </w:r>
      <w:proofErr w:type="spellEnd"/>
      <w:r w:rsidRPr="00C56257">
        <w:rPr>
          <w:rFonts w:eastAsia="Calibri"/>
          <w:bCs/>
          <w:lang w:val="fr-FR"/>
        </w:rPr>
        <w:t xml:space="preserve"> </w:t>
      </w:r>
      <w:proofErr w:type="spellStart"/>
      <w:r w:rsidRPr="00C56257">
        <w:rPr>
          <w:rFonts w:eastAsia="Calibri"/>
          <w:bCs/>
          <w:lang w:val="fr-FR"/>
        </w:rPr>
        <w:t>apă</w:t>
      </w:r>
      <w:proofErr w:type="spellEnd"/>
      <w:r w:rsidRPr="00C56257">
        <w:rPr>
          <w:rFonts w:eastAsia="Calibri"/>
          <w:bCs/>
          <w:lang w:val="fr-FR"/>
        </w:rPr>
        <w:t xml:space="preserve"> </w:t>
      </w:r>
      <w:proofErr w:type="spellStart"/>
      <w:r w:rsidRPr="00C56257">
        <w:rPr>
          <w:rFonts w:eastAsia="Calibri"/>
          <w:bCs/>
          <w:lang w:val="fr-FR"/>
        </w:rPr>
        <w:t>dulce</w:t>
      </w:r>
      <w:proofErr w:type="spellEnd"/>
      <w:r w:rsidRPr="00C56257">
        <w:rPr>
          <w:rFonts w:eastAsia="Calibri"/>
          <w:bCs/>
          <w:lang w:val="fr-FR"/>
        </w:rPr>
        <w:t xml:space="preserve">, </w:t>
      </w:r>
      <w:proofErr w:type="spellStart"/>
      <w:r w:rsidRPr="00C56257">
        <w:rPr>
          <w:rFonts w:eastAsia="Calibri"/>
          <w:bCs/>
          <w:lang w:val="fr-FR"/>
        </w:rPr>
        <w:t>continentală</w:t>
      </w:r>
      <w:proofErr w:type="spellEnd"/>
      <w:r w:rsidRPr="00C56257">
        <w:rPr>
          <w:rFonts w:eastAsia="Calibri"/>
          <w:bCs/>
          <w:lang w:val="fr-FR"/>
        </w:rPr>
        <w:t xml:space="preserve">. Ca </w:t>
      </w:r>
      <w:proofErr w:type="spellStart"/>
      <w:r w:rsidRPr="00C56257">
        <w:rPr>
          <w:rFonts w:eastAsia="Calibri"/>
          <w:bCs/>
          <w:lang w:val="fr-FR"/>
        </w:rPr>
        <w:t>urmare</w:t>
      </w:r>
      <w:proofErr w:type="spellEnd"/>
      <w:r w:rsidRPr="00C56257">
        <w:rPr>
          <w:rFonts w:eastAsia="Calibri"/>
          <w:bCs/>
          <w:lang w:val="fr-FR"/>
        </w:rPr>
        <w:t xml:space="preserve">, </w:t>
      </w:r>
      <w:proofErr w:type="spellStart"/>
      <w:r w:rsidRPr="00C56257">
        <w:rPr>
          <w:rFonts w:eastAsia="Calibri"/>
          <w:bCs/>
          <w:lang w:val="fr-FR"/>
        </w:rPr>
        <w:t>salinitatea</w:t>
      </w:r>
      <w:proofErr w:type="spellEnd"/>
      <w:r w:rsidRPr="00C56257">
        <w:rPr>
          <w:rFonts w:eastAsia="Calibri"/>
          <w:bCs/>
          <w:lang w:val="fr-FR"/>
        </w:rPr>
        <w:t xml:space="preserve"> </w:t>
      </w:r>
      <w:proofErr w:type="spellStart"/>
      <w:r w:rsidRPr="00C56257">
        <w:rPr>
          <w:rFonts w:eastAsia="Calibri"/>
          <w:bCs/>
          <w:lang w:val="fr-FR"/>
        </w:rPr>
        <w:t>apei</w:t>
      </w:r>
      <w:proofErr w:type="spellEnd"/>
      <w:r w:rsidRPr="00C56257">
        <w:rPr>
          <w:rFonts w:eastAsia="Calibri"/>
          <w:bCs/>
          <w:lang w:val="fr-FR"/>
        </w:rPr>
        <w:t xml:space="preserve"> </w:t>
      </w:r>
      <w:proofErr w:type="spellStart"/>
      <w:r w:rsidRPr="00C56257">
        <w:rPr>
          <w:rFonts w:eastAsia="Calibri"/>
          <w:bCs/>
          <w:lang w:val="fr-FR"/>
        </w:rPr>
        <w:t>în</w:t>
      </w:r>
      <w:proofErr w:type="spellEnd"/>
      <w:r w:rsidRPr="00C56257">
        <w:rPr>
          <w:rFonts w:eastAsia="Calibri"/>
          <w:bCs/>
          <w:lang w:val="fr-FR"/>
        </w:rPr>
        <w:t xml:space="preserve"> lagune se </w:t>
      </w:r>
      <w:proofErr w:type="spellStart"/>
      <w:r w:rsidRPr="00C56257">
        <w:rPr>
          <w:rFonts w:eastAsia="Calibri"/>
          <w:bCs/>
          <w:lang w:val="fr-FR"/>
        </w:rPr>
        <w:t>încadrează</w:t>
      </w:r>
      <w:proofErr w:type="spellEnd"/>
      <w:r w:rsidRPr="00C56257">
        <w:rPr>
          <w:rFonts w:eastAsia="Calibri"/>
          <w:bCs/>
          <w:lang w:val="fr-FR"/>
        </w:rPr>
        <w:t xml:space="preserve"> </w:t>
      </w:r>
      <w:proofErr w:type="spellStart"/>
      <w:r w:rsidRPr="00C56257">
        <w:rPr>
          <w:rFonts w:eastAsia="Calibri"/>
          <w:bCs/>
          <w:lang w:val="fr-FR"/>
        </w:rPr>
        <w:t>în</w:t>
      </w:r>
      <w:proofErr w:type="spellEnd"/>
      <w:r w:rsidRPr="00C56257">
        <w:rPr>
          <w:rFonts w:eastAsia="Calibri"/>
          <w:bCs/>
          <w:lang w:val="fr-FR"/>
        </w:rPr>
        <w:t xml:space="preserve"> </w:t>
      </w:r>
      <w:proofErr w:type="spellStart"/>
      <w:r w:rsidRPr="00C56257">
        <w:rPr>
          <w:rFonts w:eastAsia="Calibri"/>
          <w:bCs/>
          <w:lang w:val="fr-FR"/>
        </w:rPr>
        <w:t>registrul</w:t>
      </w:r>
      <w:proofErr w:type="spellEnd"/>
      <w:r w:rsidRPr="00C56257">
        <w:rPr>
          <w:rFonts w:eastAsia="Calibri"/>
          <w:bCs/>
          <w:lang w:val="fr-FR"/>
        </w:rPr>
        <w:t xml:space="preserve"> </w:t>
      </w:r>
      <w:proofErr w:type="spellStart"/>
      <w:r w:rsidRPr="00C56257">
        <w:rPr>
          <w:rFonts w:eastAsia="Calibri"/>
          <w:bCs/>
          <w:lang w:val="fr-FR"/>
        </w:rPr>
        <w:t>mixohalin</w:t>
      </w:r>
      <w:proofErr w:type="spellEnd"/>
      <w:r w:rsidRPr="00C56257">
        <w:rPr>
          <w:rFonts w:eastAsia="Calibri"/>
          <w:bCs/>
          <w:lang w:val="fr-FR"/>
        </w:rPr>
        <w:t xml:space="preserve">, </w:t>
      </w:r>
      <w:proofErr w:type="spellStart"/>
      <w:r w:rsidRPr="00C56257">
        <w:rPr>
          <w:rFonts w:eastAsia="Calibri"/>
          <w:bCs/>
          <w:lang w:val="fr-FR"/>
        </w:rPr>
        <w:t>cu</w:t>
      </w:r>
      <w:proofErr w:type="spellEnd"/>
      <w:r w:rsidRPr="00C56257">
        <w:rPr>
          <w:rFonts w:eastAsia="Calibri"/>
          <w:bCs/>
          <w:lang w:val="fr-FR"/>
        </w:rPr>
        <w:t xml:space="preserve"> </w:t>
      </w:r>
      <w:proofErr w:type="spellStart"/>
      <w:r w:rsidRPr="00C56257">
        <w:rPr>
          <w:rFonts w:eastAsia="Calibri"/>
          <w:bCs/>
          <w:lang w:val="fr-FR"/>
        </w:rPr>
        <w:t>oscilații</w:t>
      </w:r>
      <w:proofErr w:type="spellEnd"/>
      <w:r w:rsidRPr="00C56257">
        <w:rPr>
          <w:rFonts w:eastAsia="Calibri"/>
          <w:bCs/>
          <w:lang w:val="fr-FR"/>
        </w:rPr>
        <w:t xml:space="preserve"> ample </w:t>
      </w:r>
      <w:proofErr w:type="spellStart"/>
      <w:r w:rsidRPr="00C56257">
        <w:rPr>
          <w:rFonts w:eastAsia="Calibri"/>
          <w:bCs/>
          <w:lang w:val="fr-FR"/>
        </w:rPr>
        <w:t>în</w:t>
      </w:r>
      <w:proofErr w:type="spellEnd"/>
      <w:r w:rsidRPr="00C56257">
        <w:rPr>
          <w:rFonts w:eastAsia="Calibri"/>
          <w:bCs/>
          <w:lang w:val="fr-FR"/>
        </w:rPr>
        <w:t xml:space="preserve"> </w:t>
      </w:r>
      <w:proofErr w:type="spellStart"/>
      <w:r w:rsidRPr="00C56257">
        <w:rPr>
          <w:rFonts w:eastAsia="Calibri"/>
          <w:bCs/>
          <w:lang w:val="fr-FR"/>
        </w:rPr>
        <w:t>funcție</w:t>
      </w:r>
      <w:proofErr w:type="spellEnd"/>
      <w:r w:rsidRPr="00C56257">
        <w:rPr>
          <w:rFonts w:eastAsia="Calibri"/>
          <w:bCs/>
          <w:lang w:val="fr-FR"/>
        </w:rPr>
        <w:t xml:space="preserve"> de </w:t>
      </w:r>
      <w:proofErr w:type="spellStart"/>
      <w:r w:rsidRPr="00C56257">
        <w:rPr>
          <w:rFonts w:eastAsia="Calibri"/>
          <w:bCs/>
          <w:lang w:val="fr-FR"/>
        </w:rPr>
        <w:t>aportul</w:t>
      </w:r>
      <w:proofErr w:type="spellEnd"/>
      <w:r w:rsidRPr="00C56257">
        <w:rPr>
          <w:rFonts w:eastAsia="Calibri"/>
          <w:bCs/>
          <w:lang w:val="fr-FR"/>
        </w:rPr>
        <w:t xml:space="preserve"> de </w:t>
      </w:r>
      <w:proofErr w:type="spellStart"/>
      <w:r w:rsidRPr="00C56257">
        <w:rPr>
          <w:rFonts w:eastAsia="Calibri"/>
          <w:bCs/>
          <w:lang w:val="fr-FR"/>
        </w:rPr>
        <w:t>apă</w:t>
      </w:r>
      <w:proofErr w:type="spellEnd"/>
      <w:r w:rsidRPr="00C56257">
        <w:rPr>
          <w:rFonts w:eastAsia="Calibri"/>
          <w:bCs/>
          <w:lang w:val="fr-FR"/>
        </w:rPr>
        <w:t xml:space="preserve"> (</w:t>
      </w:r>
      <w:proofErr w:type="spellStart"/>
      <w:r w:rsidRPr="00C56257">
        <w:rPr>
          <w:rFonts w:eastAsia="Calibri"/>
          <w:bCs/>
          <w:lang w:val="fr-FR"/>
        </w:rPr>
        <w:t>dulce</w:t>
      </w:r>
      <w:proofErr w:type="spellEnd"/>
      <w:r w:rsidRPr="00C56257">
        <w:rPr>
          <w:rFonts w:eastAsia="Calibri"/>
          <w:bCs/>
          <w:lang w:val="fr-FR"/>
        </w:rPr>
        <w:t xml:space="preserve"> </w:t>
      </w:r>
      <w:proofErr w:type="spellStart"/>
      <w:r w:rsidRPr="00C56257">
        <w:rPr>
          <w:rFonts w:eastAsia="Calibri"/>
          <w:bCs/>
          <w:lang w:val="fr-FR"/>
        </w:rPr>
        <w:t>sau</w:t>
      </w:r>
      <w:proofErr w:type="spellEnd"/>
      <w:r w:rsidRPr="00C56257">
        <w:rPr>
          <w:rFonts w:eastAsia="Calibri"/>
          <w:bCs/>
          <w:lang w:val="fr-FR"/>
        </w:rPr>
        <w:t xml:space="preserve"> </w:t>
      </w:r>
      <w:proofErr w:type="spellStart"/>
      <w:r w:rsidRPr="00C56257">
        <w:rPr>
          <w:rFonts w:eastAsia="Calibri"/>
          <w:bCs/>
          <w:lang w:val="fr-FR"/>
        </w:rPr>
        <w:t>marină</w:t>
      </w:r>
      <w:proofErr w:type="spellEnd"/>
      <w:r w:rsidRPr="00C56257">
        <w:rPr>
          <w:rFonts w:eastAsia="Calibri"/>
          <w:bCs/>
          <w:lang w:val="fr-FR"/>
        </w:rPr>
        <w:t xml:space="preserve">), </w:t>
      </w:r>
      <w:proofErr w:type="spellStart"/>
      <w:r w:rsidRPr="00C56257">
        <w:rPr>
          <w:rFonts w:eastAsia="Calibri"/>
          <w:bCs/>
          <w:lang w:val="fr-FR"/>
        </w:rPr>
        <w:t>evaporație</w:t>
      </w:r>
      <w:proofErr w:type="spellEnd"/>
      <w:r w:rsidRPr="00C56257">
        <w:rPr>
          <w:rFonts w:eastAsia="Calibri"/>
          <w:bCs/>
          <w:lang w:val="fr-FR"/>
        </w:rPr>
        <w:t xml:space="preserve">, </w:t>
      </w:r>
      <w:proofErr w:type="spellStart"/>
      <w:r w:rsidRPr="00C56257">
        <w:rPr>
          <w:rFonts w:eastAsia="Calibri"/>
          <w:bCs/>
          <w:lang w:val="fr-FR"/>
        </w:rPr>
        <w:t>precipitații</w:t>
      </w:r>
      <w:proofErr w:type="spellEnd"/>
      <w:r w:rsidRPr="00C56257">
        <w:rPr>
          <w:rFonts w:eastAsia="Calibri"/>
          <w:bCs/>
          <w:lang w:val="fr-FR"/>
        </w:rPr>
        <w:t xml:space="preserve"> etc. </w:t>
      </w:r>
    </w:p>
    <w:p w14:paraId="3345291E" w14:textId="77777777" w:rsidR="00FC026B" w:rsidRPr="00C56257" w:rsidRDefault="00FC026B" w:rsidP="00FC026B">
      <w:pPr>
        <w:ind w:firstLine="720"/>
        <w:jc w:val="both"/>
        <w:rPr>
          <w:rFonts w:eastAsia="Calibri"/>
        </w:rPr>
      </w:pPr>
      <w:r w:rsidRPr="00C56257">
        <w:rPr>
          <w:rFonts w:eastAsia="Calibri"/>
          <w:i/>
        </w:rPr>
        <w:t>Pricipalele presiuni şi amenintări</w:t>
      </w:r>
      <w:r w:rsidRPr="00C56257">
        <w:rPr>
          <w:rFonts w:eastAsia="Calibri"/>
        </w:rPr>
        <w:t xml:space="preserve"> identificate până în prezent, pe baza analizei activităţilor desfăşurate în zonă şi a evoluţiei factorilor climatici, sunt: modificarea debitului hidrologic, pescuitul în scopuri profesionale sau recreative, schimbarea dimensiunii și calității habitatului datorită schimbările </w:t>
      </w:r>
      <w:r w:rsidRPr="00C56257">
        <w:rPr>
          <w:rFonts w:eastAsia="Calibri"/>
        </w:rPr>
        <w:lastRenderedPageBreak/>
        <w:t xml:space="preserve">climatice, procesele naturale abiotice (de exemplu, eroziunea), expunerea la valuri şi modificarea nivelului mării din cauza schimbărilor climatice, activități agricole care generează poluare difuză a apelor de suprafață, activități sportive, de turism și de agrement, crearea sau dezvoltarea infrastructurii pentru sporturi, turism și agrement (în afara zonelor urbane sau de agrement), poluarea apei marine, acumularea materialului organic, procese naturale de eutrofizare sau acidifiere. Ca urmare, </w:t>
      </w:r>
      <w:r w:rsidRPr="00C56257">
        <w:rPr>
          <w:rFonts w:eastAsia="Calibri"/>
          <w:i/>
        </w:rPr>
        <w:t>măsurile de conserva</w:t>
      </w:r>
      <w:r w:rsidRPr="00C56257">
        <w:rPr>
          <w:rFonts w:eastAsia="Calibri"/>
        </w:rPr>
        <w:t>re au în vedere:</w:t>
      </w:r>
      <w:r w:rsidRPr="00C56257">
        <w:rPr>
          <w:rFonts w:eastAsia="Calibri"/>
          <w:lang w:val="en-US"/>
        </w:rPr>
        <w:t xml:space="preserve"> </w:t>
      </w:r>
      <w:r w:rsidRPr="00C56257">
        <w:rPr>
          <w:rFonts w:eastAsia="Calibri"/>
        </w:rPr>
        <w:t>gestionarea utilizării îngrășămintelor naturale și a produselor chimice în agricultură, gestionarea operațiunilor de drenare și irigare și a infrastructurilor în agricultură, gestionarea pescuitului profesional şi comercial, reducerea impactului poluării din surse mixte, restaurarea habitatelor afectate de modificările hidrologice multifuncționale, îmbunătățirea habitatului şi consolidarea populațiilor de specii prevăzute de directive.</w:t>
      </w:r>
    </w:p>
    <w:p w14:paraId="7F474441" w14:textId="77777777" w:rsidR="00FC026B" w:rsidRPr="00C56257" w:rsidRDefault="00FC026B" w:rsidP="00FC026B">
      <w:pPr>
        <w:ind w:firstLine="720"/>
        <w:jc w:val="both"/>
        <w:rPr>
          <w:rFonts w:eastAsia="Calibri"/>
        </w:rPr>
      </w:pPr>
      <w:r w:rsidRPr="00C56257">
        <w:rPr>
          <w:rFonts w:eastAsia="Calibri"/>
        </w:rPr>
        <w:t>Tipul de habitat este complex și sunt incluse o gamă largă de tipuri și origini fizice, cu o variație geografică și ecologică. Lagunele sunt enumerate ca un habitat prioritar în Directiva Habitate. De aceea, programul de monitorizare trebuie să ia în considerare întregul ecosistem.</w:t>
      </w:r>
    </w:p>
    <w:p w14:paraId="6C126214" w14:textId="77777777" w:rsidR="00FC026B" w:rsidRPr="00C56257" w:rsidRDefault="00FC026B" w:rsidP="00FC026B">
      <w:pPr>
        <w:ind w:firstLine="720"/>
        <w:jc w:val="both"/>
        <w:rPr>
          <w:rFonts w:eastAsia="Calibri"/>
        </w:rPr>
      </w:pPr>
      <w:r w:rsidRPr="00C56257">
        <w:rPr>
          <w:rFonts w:eastAsia="Calibri"/>
        </w:rPr>
        <w:t>Monitorizarea habitatului 1150* situat cu precădere în situl Natura 2000 - ROSCI0065 presupune mai multe tipuri de activități realizate pe teren şi în laborator: estimarea suprafeței habitatului şi</w:t>
      </w:r>
      <w:r w:rsidRPr="00C56257">
        <w:rPr>
          <w:rFonts w:eastAsia="Calibri"/>
          <w:lang w:val="en-US"/>
        </w:rPr>
        <w:t xml:space="preserve"> î</w:t>
      </w:r>
      <w:r w:rsidRPr="00C56257">
        <w:rPr>
          <w:rFonts w:eastAsia="Calibri"/>
        </w:rPr>
        <w:t xml:space="preserve">ntinderea biotopurilor, studiul caracteristicilor fizice şi chimice ale acestora, evaluarea structurii și a funcțiilor specifice habitatului, estimarea calității habitatului și a stării de conservare actuale a acestuia, a tendințelor de evoluție ale habitatului pe termen scurt și lung, a principalelor presiuni și amenințări asupra acestui tip de habitat. </w:t>
      </w:r>
    </w:p>
    <w:p w14:paraId="18498BD5" w14:textId="77777777" w:rsidR="00FC026B" w:rsidRPr="00F100E1" w:rsidRDefault="00FC026B" w:rsidP="00FC026B">
      <w:r w:rsidRPr="00C56257">
        <w:rPr>
          <w:rFonts w:eastAsia="Calibri"/>
          <w:b/>
        </w:rPr>
        <w:t xml:space="preserve">           </w:t>
      </w:r>
      <w:r w:rsidRPr="00C56257">
        <w:rPr>
          <w:rFonts w:eastAsia="Calibri"/>
        </w:rPr>
        <w:t>Calitatea habitatului (bună, moderată, neadecvată sau necunoscută) va fi determinată în funcție de caracteristicile fizice şi chimice ale biotopului şi de complexitatea structurii şi funcţiilor habitatului.</w:t>
      </w:r>
    </w:p>
    <w:p w14:paraId="588639E0" w14:textId="77777777" w:rsidR="00FC026B" w:rsidRPr="00C56257" w:rsidRDefault="00FC026B" w:rsidP="00FC026B">
      <w:pPr>
        <w:ind w:firstLine="720"/>
        <w:jc w:val="both"/>
        <w:rPr>
          <w:rFonts w:eastAsia="Calibri"/>
        </w:rPr>
      </w:pPr>
      <w:r w:rsidRPr="00C56257">
        <w:rPr>
          <w:rFonts w:eastAsia="Calibri"/>
        </w:rPr>
        <w:t>Tendințele de evoluție ale habitatului pe termen scurt și lung vor fi estimate în funcție de calitatea habitatului, de intensitatea factorilor de risc (naturali sau antropici) și a presiunii antropice care ar putea amenința viabilitatea pe termen lung a habitatului. În aprecierea tendințelor de evoluție ale habitatului, vor fi luate în considerare în primul rând observațiile de teren, dar și datele din literatura de specialitate, care pot oferi indicații asupra situației și a dinamicii habitatului.  În cazul schimbărilor cuantificabile, se oferă precizări privind acuratețea datelor folosite pentru estimare.</w:t>
      </w:r>
    </w:p>
    <w:p w14:paraId="30673BDD" w14:textId="77777777" w:rsidR="00FC026B" w:rsidRPr="00C56257" w:rsidRDefault="00FC026B" w:rsidP="00FC026B">
      <w:pPr>
        <w:jc w:val="both"/>
        <w:rPr>
          <w:rFonts w:eastAsia="Calibri"/>
        </w:rPr>
      </w:pPr>
    </w:p>
    <w:p w14:paraId="03705FEF" w14:textId="77777777" w:rsidR="00FC026B" w:rsidRPr="00C56257" w:rsidRDefault="00FC026B" w:rsidP="00FC026B">
      <w:pPr>
        <w:ind w:firstLine="720"/>
        <w:jc w:val="both"/>
        <w:rPr>
          <w:rFonts w:eastAsia="Calibri"/>
        </w:rPr>
      </w:pPr>
    </w:p>
    <w:p w14:paraId="091D14B7" w14:textId="77777777" w:rsidR="00FC026B" w:rsidRPr="00C56257" w:rsidRDefault="00FC026B" w:rsidP="00FC026B">
      <w:pPr>
        <w:ind w:left="346"/>
        <w:jc w:val="center"/>
        <w:rPr>
          <w:rFonts w:eastAsia="Calibri"/>
          <w:lang w:val="en-US"/>
        </w:rPr>
      </w:pPr>
      <w:proofErr w:type="spellStart"/>
      <w:r w:rsidRPr="00C56257">
        <w:rPr>
          <w:rFonts w:eastAsia="Calibri"/>
          <w:lang w:val="en-US"/>
        </w:rPr>
        <w:t>Tabelul</w:t>
      </w:r>
      <w:proofErr w:type="spellEnd"/>
      <w:r w:rsidRPr="00C56257">
        <w:rPr>
          <w:rFonts w:eastAsia="Calibri"/>
          <w:lang w:val="en-US"/>
        </w:rPr>
        <w:t xml:space="preserve"> </w:t>
      </w:r>
      <w:r>
        <w:rPr>
          <w:rFonts w:eastAsia="Calibri"/>
          <w:lang w:val="en-US"/>
        </w:rPr>
        <w:t>1.5</w:t>
      </w:r>
      <w:r w:rsidRPr="00C56257">
        <w:rPr>
          <w:rFonts w:eastAsia="Calibri"/>
          <w:lang w:val="en-US"/>
        </w:rPr>
        <w:t xml:space="preserve">: </w:t>
      </w:r>
      <w:proofErr w:type="spellStart"/>
      <w:r w:rsidRPr="00C56257">
        <w:rPr>
          <w:rFonts w:eastAsia="Calibri"/>
          <w:lang w:val="en-US"/>
        </w:rPr>
        <w:t>Tehnici</w:t>
      </w:r>
      <w:proofErr w:type="spellEnd"/>
      <w:r w:rsidRPr="00C56257">
        <w:rPr>
          <w:rFonts w:eastAsia="Calibri"/>
          <w:lang w:val="en-US"/>
        </w:rPr>
        <w:t xml:space="preserve"> </w:t>
      </w:r>
      <w:proofErr w:type="spellStart"/>
      <w:r w:rsidRPr="00C56257">
        <w:rPr>
          <w:rFonts w:eastAsia="Calibri"/>
          <w:lang w:val="en-US"/>
        </w:rPr>
        <w:t>pentru</w:t>
      </w:r>
      <w:proofErr w:type="spellEnd"/>
      <w:r w:rsidRPr="00C56257">
        <w:rPr>
          <w:rFonts w:eastAsia="Calibri"/>
          <w:lang w:val="en-US"/>
        </w:rPr>
        <w:t xml:space="preserve"> </w:t>
      </w:r>
      <w:proofErr w:type="spellStart"/>
      <w:r w:rsidRPr="00C56257">
        <w:rPr>
          <w:rFonts w:eastAsia="Calibri"/>
          <w:lang w:val="en-US"/>
        </w:rPr>
        <w:t>măsurarea</w:t>
      </w:r>
      <w:proofErr w:type="spellEnd"/>
      <w:r w:rsidRPr="00C56257">
        <w:rPr>
          <w:rFonts w:eastAsia="Calibri"/>
          <w:lang w:val="en-US"/>
        </w:rPr>
        <w:t xml:space="preserve"> </w:t>
      </w:r>
      <w:proofErr w:type="spellStart"/>
      <w:r w:rsidRPr="00C56257">
        <w:rPr>
          <w:rFonts w:eastAsia="Calibri"/>
          <w:lang w:val="en-US"/>
        </w:rPr>
        <w:t>atributelor</w:t>
      </w:r>
      <w:proofErr w:type="spellEnd"/>
      <w:r w:rsidRPr="00C56257">
        <w:rPr>
          <w:rFonts w:eastAsia="Calibri"/>
          <w:lang w:val="en-US"/>
        </w:rPr>
        <w:t xml:space="preserve"> (</w:t>
      </w:r>
      <w:proofErr w:type="spellStart"/>
      <w:r w:rsidRPr="00C56257">
        <w:rPr>
          <w:rFonts w:eastAsia="Calibri"/>
          <w:lang w:val="en-US"/>
        </w:rPr>
        <w:t>indicatorilor</w:t>
      </w:r>
      <w:proofErr w:type="spellEnd"/>
      <w:r w:rsidRPr="00C56257">
        <w:rPr>
          <w:rFonts w:eastAsia="Calibri"/>
          <w:lang w:val="en-US"/>
        </w:rPr>
        <w:t xml:space="preserve"> </w:t>
      </w:r>
      <w:proofErr w:type="spellStart"/>
      <w:r w:rsidRPr="00C56257">
        <w:rPr>
          <w:rFonts w:eastAsia="Calibri"/>
          <w:lang w:val="en-US"/>
        </w:rPr>
        <w:t>monitorizaţi</w:t>
      </w:r>
      <w:proofErr w:type="spellEnd"/>
      <w:r w:rsidRPr="00C56257">
        <w:rPr>
          <w:rFonts w:eastAsia="Calibri"/>
          <w:lang w:val="en-US"/>
        </w:rPr>
        <w:t xml:space="preserve">) </w:t>
      </w:r>
      <w:proofErr w:type="spellStart"/>
      <w:r w:rsidRPr="00C56257">
        <w:rPr>
          <w:rFonts w:eastAsia="Calibri"/>
          <w:lang w:val="en-US"/>
        </w:rPr>
        <w:t>lagunelor</w:t>
      </w:r>
      <w:proofErr w:type="spellEnd"/>
      <w:r w:rsidRPr="00C56257">
        <w:rPr>
          <w:rFonts w:eastAsia="Calibri"/>
          <w:lang w:val="en-US"/>
        </w:rPr>
        <w:t xml:space="preserve"> 1150*.</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3118"/>
        <w:gridCol w:w="4820"/>
      </w:tblGrid>
      <w:tr w:rsidR="00FC026B" w:rsidRPr="00C56257" w14:paraId="298DD6B0" w14:textId="77777777" w:rsidTr="00993B86">
        <w:trPr>
          <w:trHeight w:val="203"/>
        </w:trPr>
        <w:tc>
          <w:tcPr>
            <w:tcW w:w="2235" w:type="dxa"/>
            <w:tcBorders>
              <w:top w:val="single" w:sz="4" w:space="0" w:color="auto"/>
              <w:left w:val="single" w:sz="4" w:space="0" w:color="auto"/>
              <w:bottom w:val="single" w:sz="4" w:space="0" w:color="auto"/>
              <w:right w:val="single" w:sz="4" w:space="0" w:color="auto"/>
            </w:tcBorders>
            <w:hideMark/>
          </w:tcPr>
          <w:p w14:paraId="3BB06F7F" w14:textId="77777777" w:rsidR="00FC026B" w:rsidRPr="00C56257" w:rsidRDefault="00FC026B" w:rsidP="00993B86">
            <w:pPr>
              <w:autoSpaceDE w:val="0"/>
              <w:autoSpaceDN w:val="0"/>
              <w:adjustRightInd w:val="0"/>
              <w:rPr>
                <w:rFonts w:eastAsia="Calibri"/>
                <w:b/>
                <w:i/>
                <w:lang w:val="en-US"/>
              </w:rPr>
            </w:pPr>
            <w:proofErr w:type="spellStart"/>
            <w:r w:rsidRPr="00C56257">
              <w:rPr>
                <w:rFonts w:eastAsia="Calibri"/>
                <w:b/>
                <w:i/>
                <w:lang w:val="en-US"/>
              </w:rPr>
              <w:t>Atribut</w:t>
            </w:r>
            <w:proofErr w:type="spellEnd"/>
            <w:r w:rsidRPr="00C56257">
              <w:rPr>
                <w:rFonts w:eastAsia="Calibri"/>
                <w:b/>
                <w:i/>
                <w:lang w:val="en-US"/>
              </w:rPr>
              <w:t xml:space="preserve"> generic </w:t>
            </w:r>
          </w:p>
        </w:tc>
        <w:tc>
          <w:tcPr>
            <w:tcW w:w="3118" w:type="dxa"/>
            <w:tcBorders>
              <w:top w:val="single" w:sz="4" w:space="0" w:color="auto"/>
              <w:left w:val="single" w:sz="4" w:space="0" w:color="auto"/>
              <w:bottom w:val="single" w:sz="4" w:space="0" w:color="auto"/>
              <w:right w:val="single" w:sz="4" w:space="0" w:color="auto"/>
            </w:tcBorders>
            <w:hideMark/>
          </w:tcPr>
          <w:p w14:paraId="7AB22BC2" w14:textId="77777777" w:rsidR="00FC026B" w:rsidRPr="00C56257" w:rsidRDefault="00FC026B" w:rsidP="00993B86">
            <w:pPr>
              <w:rPr>
                <w:b/>
                <w:i/>
                <w:lang w:eastAsia="ro-RO"/>
              </w:rPr>
            </w:pPr>
            <w:r w:rsidRPr="00C56257">
              <w:rPr>
                <w:b/>
                <w:i/>
                <w:lang w:eastAsia="ro-RO"/>
              </w:rPr>
              <w:t>Atribut specific</w:t>
            </w:r>
          </w:p>
        </w:tc>
        <w:tc>
          <w:tcPr>
            <w:tcW w:w="4820" w:type="dxa"/>
            <w:tcBorders>
              <w:top w:val="single" w:sz="4" w:space="0" w:color="auto"/>
              <w:left w:val="single" w:sz="4" w:space="0" w:color="auto"/>
              <w:bottom w:val="single" w:sz="4" w:space="0" w:color="auto"/>
              <w:right w:val="single" w:sz="4" w:space="0" w:color="auto"/>
            </w:tcBorders>
            <w:hideMark/>
          </w:tcPr>
          <w:p w14:paraId="20459C67" w14:textId="77777777" w:rsidR="00FC026B" w:rsidRPr="00C56257" w:rsidRDefault="00FC026B" w:rsidP="00993B86">
            <w:pPr>
              <w:rPr>
                <w:b/>
                <w:i/>
                <w:lang w:eastAsia="ro-RO"/>
              </w:rPr>
            </w:pPr>
            <w:r w:rsidRPr="00C56257">
              <w:rPr>
                <w:b/>
                <w:i/>
                <w:lang w:eastAsia="ro-RO"/>
              </w:rPr>
              <w:t>Tehnică</w:t>
            </w:r>
          </w:p>
        </w:tc>
      </w:tr>
      <w:tr w:rsidR="00FC026B" w:rsidRPr="00C56257" w14:paraId="27C5D948" w14:textId="77777777" w:rsidTr="00993B86">
        <w:trPr>
          <w:trHeight w:val="783"/>
        </w:trPr>
        <w:tc>
          <w:tcPr>
            <w:tcW w:w="2235" w:type="dxa"/>
            <w:tcBorders>
              <w:top w:val="single" w:sz="4" w:space="0" w:color="auto"/>
              <w:left w:val="single" w:sz="4" w:space="0" w:color="auto"/>
              <w:bottom w:val="nil"/>
              <w:right w:val="single" w:sz="4" w:space="0" w:color="auto"/>
            </w:tcBorders>
          </w:tcPr>
          <w:p w14:paraId="4171EB6A" w14:textId="77777777" w:rsidR="00FC026B" w:rsidRPr="00C56257" w:rsidRDefault="00FC026B" w:rsidP="00993B86">
            <w:pPr>
              <w:rPr>
                <w:lang w:eastAsia="ro-RO"/>
              </w:rPr>
            </w:pPr>
            <w:r w:rsidRPr="00C56257">
              <w:rPr>
                <w:lang w:eastAsia="ro-RO"/>
              </w:rPr>
              <w:t>Întindere/Distributie spațială</w:t>
            </w:r>
          </w:p>
          <w:p w14:paraId="4A61144E" w14:textId="77777777" w:rsidR="00FC026B" w:rsidRPr="00C56257" w:rsidRDefault="00FC026B" w:rsidP="00993B86">
            <w:pPr>
              <w:autoSpaceDE w:val="0"/>
              <w:autoSpaceDN w:val="0"/>
              <w:adjustRightInd w:val="0"/>
              <w:rPr>
                <w:b/>
                <w:i/>
              </w:rPr>
            </w:pPr>
          </w:p>
        </w:tc>
        <w:tc>
          <w:tcPr>
            <w:tcW w:w="3118" w:type="dxa"/>
            <w:tcBorders>
              <w:top w:val="single" w:sz="4" w:space="0" w:color="auto"/>
              <w:left w:val="single" w:sz="4" w:space="0" w:color="auto"/>
              <w:bottom w:val="single" w:sz="4" w:space="0" w:color="auto"/>
              <w:right w:val="single" w:sz="4" w:space="0" w:color="auto"/>
            </w:tcBorders>
            <w:hideMark/>
          </w:tcPr>
          <w:p w14:paraId="0954C32A" w14:textId="77777777" w:rsidR="00FC026B" w:rsidRPr="00C56257" w:rsidRDefault="00FC026B" w:rsidP="00993B86">
            <w:pPr>
              <w:autoSpaceDE w:val="0"/>
              <w:autoSpaceDN w:val="0"/>
              <w:adjustRightInd w:val="0"/>
              <w:rPr>
                <w:rFonts w:eastAsia="Calibri"/>
                <w:color w:val="000000"/>
                <w:lang w:val="en-US"/>
              </w:rPr>
            </w:pPr>
            <w:proofErr w:type="spellStart"/>
            <w:r w:rsidRPr="00C56257">
              <w:rPr>
                <w:rFonts w:eastAsia="Calibri"/>
                <w:color w:val="000000"/>
                <w:lang w:val="en-US"/>
              </w:rPr>
              <w:t>Suprafața</w:t>
            </w:r>
            <w:proofErr w:type="spellEnd"/>
            <w:r w:rsidRPr="00C56257">
              <w:rPr>
                <w:rFonts w:eastAsia="Calibri"/>
                <w:color w:val="000000"/>
                <w:lang w:val="en-US"/>
              </w:rPr>
              <w:t xml:space="preserve"> </w:t>
            </w:r>
            <w:proofErr w:type="spellStart"/>
            <w:r w:rsidRPr="00C56257">
              <w:rPr>
                <w:rFonts w:eastAsia="Calibri"/>
                <w:color w:val="000000"/>
                <w:lang w:val="en-US"/>
              </w:rPr>
              <w:t>lagunei</w:t>
            </w:r>
            <w:proofErr w:type="spellEnd"/>
            <w:r w:rsidRPr="00C56257">
              <w:rPr>
                <w:rFonts w:eastAsia="Calibri"/>
                <w:color w:val="000000"/>
                <w:lang w:val="en-US"/>
              </w:rPr>
              <w:t xml:space="preserve">  (</w:t>
            </w:r>
            <w:proofErr w:type="spellStart"/>
            <w:r w:rsidRPr="00C56257">
              <w:rPr>
                <w:rFonts w:eastAsia="Calibri"/>
                <w:color w:val="000000"/>
                <w:lang w:val="en-US"/>
              </w:rPr>
              <w:t>bazin</w:t>
            </w:r>
            <w:proofErr w:type="spellEnd"/>
            <w:r w:rsidRPr="00C56257">
              <w:rPr>
                <w:rFonts w:eastAsia="Calibri"/>
                <w:color w:val="000000"/>
                <w:lang w:val="en-US"/>
              </w:rPr>
              <w:t xml:space="preserve">; </w:t>
            </w:r>
            <w:proofErr w:type="spellStart"/>
            <w:r w:rsidRPr="00C56257">
              <w:rPr>
                <w:rFonts w:eastAsia="Calibri"/>
                <w:color w:val="000000"/>
                <w:lang w:val="en-US"/>
              </w:rPr>
              <w:t>suprafața</w:t>
            </w:r>
            <w:proofErr w:type="spellEnd"/>
            <w:r w:rsidRPr="00C56257">
              <w:rPr>
                <w:rFonts w:eastAsia="Calibri"/>
                <w:color w:val="000000"/>
                <w:lang w:val="en-US"/>
              </w:rPr>
              <w:t xml:space="preserve"> </w:t>
            </w:r>
            <w:proofErr w:type="spellStart"/>
            <w:r w:rsidRPr="00C56257">
              <w:rPr>
                <w:rFonts w:eastAsia="Calibri"/>
                <w:color w:val="000000"/>
                <w:lang w:val="en-US"/>
              </w:rPr>
              <w:t>apei</w:t>
            </w:r>
            <w:proofErr w:type="spellEnd"/>
            <w:r w:rsidRPr="00C56257">
              <w:rPr>
                <w:rFonts w:eastAsia="Calibri"/>
                <w:color w:val="000000"/>
                <w:lang w:val="en-US"/>
              </w:rPr>
              <w:t xml:space="preserve">), </w:t>
            </w:r>
            <w:r w:rsidRPr="00C56257">
              <w:rPr>
                <w:rFonts w:eastAsia="Calibri"/>
                <w:color w:val="000000"/>
                <w:lang w:val="it-IT"/>
              </w:rPr>
              <w:t>model spațial al distribuției</w:t>
            </w:r>
          </w:p>
        </w:tc>
        <w:tc>
          <w:tcPr>
            <w:tcW w:w="4820" w:type="dxa"/>
            <w:tcBorders>
              <w:top w:val="single" w:sz="4" w:space="0" w:color="auto"/>
              <w:left w:val="single" w:sz="4" w:space="0" w:color="auto"/>
              <w:bottom w:val="single" w:sz="4" w:space="0" w:color="auto"/>
              <w:right w:val="single" w:sz="4" w:space="0" w:color="auto"/>
            </w:tcBorders>
            <w:vAlign w:val="center"/>
            <w:hideMark/>
          </w:tcPr>
          <w:p w14:paraId="13CFD909" w14:textId="77777777" w:rsidR="00FC026B" w:rsidRPr="00C56257" w:rsidRDefault="00FC026B" w:rsidP="00993B86">
            <w:pPr>
              <w:autoSpaceDE w:val="0"/>
              <w:autoSpaceDN w:val="0"/>
              <w:adjustRightInd w:val="0"/>
              <w:rPr>
                <w:rFonts w:eastAsia="Calibri"/>
                <w:color w:val="000000"/>
                <w:lang w:val="fr-FR"/>
              </w:rPr>
            </w:pPr>
            <w:proofErr w:type="spellStart"/>
            <w:r w:rsidRPr="00C56257">
              <w:rPr>
                <w:rFonts w:eastAsia="Calibri"/>
                <w:iCs/>
                <w:color w:val="000000"/>
                <w:lang w:val="en-US"/>
              </w:rPr>
              <w:t>Interpretare</w:t>
            </w:r>
            <w:proofErr w:type="spellEnd"/>
            <w:r w:rsidRPr="00C56257">
              <w:rPr>
                <w:rFonts w:eastAsia="Calibri"/>
                <w:iCs/>
                <w:color w:val="000000"/>
                <w:lang w:val="en-US"/>
              </w:rPr>
              <w:t xml:space="preserve"> </w:t>
            </w:r>
            <w:proofErr w:type="spellStart"/>
            <w:r w:rsidRPr="00C56257">
              <w:rPr>
                <w:rFonts w:eastAsia="Calibri"/>
                <w:iCs/>
                <w:color w:val="000000"/>
                <w:lang w:val="en-US"/>
              </w:rPr>
              <w:t>foto-aeriană</w:t>
            </w:r>
            <w:proofErr w:type="spellEnd"/>
            <w:r w:rsidRPr="00C56257">
              <w:rPr>
                <w:rFonts w:eastAsia="Calibri"/>
                <w:iCs/>
                <w:color w:val="000000"/>
                <w:lang w:val="en-US"/>
              </w:rPr>
              <w:t>/</w:t>
            </w:r>
            <w:proofErr w:type="spellStart"/>
            <w:r w:rsidRPr="00C56257">
              <w:rPr>
                <w:rFonts w:eastAsia="Calibri"/>
                <w:iCs/>
                <w:color w:val="000000"/>
                <w:lang w:val="en-US"/>
              </w:rPr>
              <w:t>cartare</w:t>
            </w:r>
            <w:proofErr w:type="spellEnd"/>
            <w:r w:rsidRPr="00C56257">
              <w:rPr>
                <w:rFonts w:eastAsia="Calibri"/>
                <w:iCs/>
                <w:color w:val="000000"/>
                <w:lang w:val="en-US"/>
              </w:rPr>
              <w:t xml:space="preserve">; </w:t>
            </w:r>
            <w:proofErr w:type="spellStart"/>
            <w:r w:rsidRPr="00C56257">
              <w:rPr>
                <w:rFonts w:eastAsia="Calibri"/>
                <w:iCs/>
                <w:color w:val="000000"/>
                <w:lang w:val="fr-FR"/>
              </w:rPr>
              <w:t>teledetecție</w:t>
            </w:r>
            <w:proofErr w:type="spellEnd"/>
            <w:r w:rsidRPr="00C56257">
              <w:rPr>
                <w:rFonts w:eastAsia="Calibri"/>
                <w:iCs/>
                <w:color w:val="000000"/>
                <w:lang w:val="fr-FR"/>
              </w:rPr>
              <w:t xml:space="preserve">; </w:t>
            </w:r>
            <w:proofErr w:type="spellStart"/>
            <w:r w:rsidRPr="00C56257">
              <w:rPr>
                <w:rFonts w:eastAsia="Calibri"/>
                <w:iCs/>
                <w:color w:val="000000"/>
                <w:lang w:val="fr-FR"/>
              </w:rPr>
              <w:t>măsurători</w:t>
            </w:r>
            <w:proofErr w:type="spellEnd"/>
            <w:r w:rsidRPr="00C56257">
              <w:rPr>
                <w:rFonts w:eastAsia="Calibri"/>
                <w:iCs/>
                <w:color w:val="000000"/>
                <w:lang w:val="fr-FR"/>
              </w:rPr>
              <w:t xml:space="preserve"> directe (</w:t>
            </w:r>
            <w:proofErr w:type="spellStart"/>
            <w:r w:rsidRPr="00C56257">
              <w:rPr>
                <w:rFonts w:eastAsia="Calibri"/>
                <w:iCs/>
                <w:color w:val="000000"/>
                <w:lang w:val="fr-FR"/>
              </w:rPr>
              <w:t>numai</w:t>
            </w:r>
            <w:proofErr w:type="spellEnd"/>
            <w:r w:rsidRPr="00C56257">
              <w:rPr>
                <w:rFonts w:eastAsia="Calibri"/>
                <w:iCs/>
                <w:color w:val="000000"/>
                <w:lang w:val="fr-FR"/>
              </w:rPr>
              <w:t xml:space="preserve"> </w:t>
            </w:r>
            <w:proofErr w:type="spellStart"/>
            <w:r w:rsidRPr="00C56257">
              <w:rPr>
                <w:rFonts w:eastAsia="Calibri"/>
                <w:iCs/>
                <w:color w:val="000000"/>
                <w:lang w:val="fr-FR"/>
              </w:rPr>
              <w:t>pentru</w:t>
            </w:r>
            <w:proofErr w:type="spellEnd"/>
            <w:r w:rsidRPr="00C56257">
              <w:rPr>
                <w:rFonts w:eastAsia="Calibri"/>
                <w:iCs/>
                <w:color w:val="000000"/>
                <w:lang w:val="fr-FR"/>
              </w:rPr>
              <w:t xml:space="preserve"> </w:t>
            </w:r>
            <w:proofErr w:type="spellStart"/>
            <w:r w:rsidRPr="00C56257">
              <w:rPr>
                <w:rFonts w:eastAsia="Calibri"/>
                <w:iCs/>
                <w:color w:val="000000"/>
                <w:lang w:val="fr-FR"/>
              </w:rPr>
              <w:t>lagunele</w:t>
            </w:r>
            <w:proofErr w:type="spellEnd"/>
            <w:r w:rsidRPr="00C56257">
              <w:rPr>
                <w:rFonts w:eastAsia="Calibri"/>
                <w:iCs/>
                <w:color w:val="000000"/>
                <w:lang w:val="fr-FR"/>
              </w:rPr>
              <w:t xml:space="preserve"> </w:t>
            </w:r>
            <w:proofErr w:type="spellStart"/>
            <w:r w:rsidRPr="00C56257">
              <w:rPr>
                <w:rFonts w:eastAsia="Calibri"/>
                <w:iCs/>
                <w:color w:val="000000"/>
                <w:lang w:val="fr-FR"/>
              </w:rPr>
              <w:t>mici</w:t>
            </w:r>
            <w:proofErr w:type="spellEnd"/>
            <w:r w:rsidRPr="00C56257">
              <w:rPr>
                <w:rFonts w:eastAsia="Calibri"/>
                <w:iCs/>
                <w:color w:val="000000"/>
                <w:lang w:val="fr-FR"/>
              </w:rPr>
              <w:t xml:space="preserve">) </w:t>
            </w:r>
          </w:p>
        </w:tc>
      </w:tr>
      <w:tr w:rsidR="00FC026B" w:rsidRPr="00C56257" w14:paraId="491663EF" w14:textId="77777777" w:rsidTr="00993B86">
        <w:trPr>
          <w:trHeight w:val="589"/>
        </w:trPr>
        <w:tc>
          <w:tcPr>
            <w:tcW w:w="2235" w:type="dxa"/>
            <w:tcBorders>
              <w:top w:val="nil"/>
              <w:left w:val="single" w:sz="4" w:space="0" w:color="auto"/>
              <w:bottom w:val="single" w:sz="4" w:space="0" w:color="auto"/>
              <w:right w:val="single" w:sz="4" w:space="0" w:color="auto"/>
            </w:tcBorders>
          </w:tcPr>
          <w:p w14:paraId="6C2D5CAC" w14:textId="77777777" w:rsidR="00FC026B" w:rsidRPr="00C56257" w:rsidRDefault="00FC026B" w:rsidP="00993B86">
            <w:pPr>
              <w:autoSpaceDE w:val="0"/>
              <w:autoSpaceDN w:val="0"/>
              <w:adjustRightInd w:val="0"/>
              <w:rPr>
                <w:rFonts w:eastAsia="Calibri"/>
                <w:lang w:val="fr-FR"/>
              </w:rPr>
            </w:pPr>
          </w:p>
        </w:tc>
        <w:tc>
          <w:tcPr>
            <w:tcW w:w="3118" w:type="dxa"/>
            <w:tcBorders>
              <w:top w:val="single" w:sz="4" w:space="0" w:color="auto"/>
              <w:left w:val="single" w:sz="4" w:space="0" w:color="auto"/>
              <w:bottom w:val="single" w:sz="4" w:space="0" w:color="auto"/>
              <w:right w:val="single" w:sz="4" w:space="0" w:color="auto"/>
            </w:tcBorders>
            <w:hideMark/>
          </w:tcPr>
          <w:p w14:paraId="23491132" w14:textId="77777777" w:rsidR="00FC026B" w:rsidRPr="00C56257" w:rsidRDefault="00FC026B" w:rsidP="00993B86">
            <w:pPr>
              <w:autoSpaceDE w:val="0"/>
              <w:autoSpaceDN w:val="0"/>
              <w:adjustRightInd w:val="0"/>
              <w:rPr>
                <w:rFonts w:eastAsia="Calibri"/>
                <w:color w:val="000000"/>
                <w:lang w:val="en-US"/>
              </w:rPr>
            </w:pPr>
            <w:proofErr w:type="spellStart"/>
            <w:r w:rsidRPr="00C56257">
              <w:rPr>
                <w:rFonts w:eastAsia="Calibri"/>
                <w:color w:val="000000"/>
                <w:lang w:val="fr-FR"/>
              </w:rPr>
              <w:t>Întinderea</w:t>
            </w:r>
            <w:proofErr w:type="spellEnd"/>
            <w:r w:rsidRPr="00C56257">
              <w:rPr>
                <w:rFonts w:eastAsia="Calibri"/>
                <w:color w:val="000000"/>
                <w:lang w:val="fr-FR"/>
              </w:rPr>
              <w:t xml:space="preserve"> </w:t>
            </w:r>
            <w:proofErr w:type="spellStart"/>
            <w:r w:rsidRPr="00C56257">
              <w:rPr>
                <w:rFonts w:eastAsia="Calibri"/>
                <w:color w:val="000000"/>
                <w:lang w:val="fr-FR"/>
              </w:rPr>
              <w:t>biotopurilor</w:t>
            </w:r>
            <w:proofErr w:type="spellEnd"/>
            <w:r w:rsidRPr="00C56257">
              <w:rPr>
                <w:rFonts w:eastAsia="Calibri"/>
                <w:color w:val="000000"/>
                <w:lang w:val="fr-FR"/>
              </w:rPr>
              <w:t xml:space="preserve"> </w:t>
            </w:r>
          </w:p>
        </w:tc>
        <w:tc>
          <w:tcPr>
            <w:tcW w:w="4820" w:type="dxa"/>
            <w:tcBorders>
              <w:top w:val="single" w:sz="4" w:space="0" w:color="auto"/>
              <w:left w:val="single" w:sz="4" w:space="0" w:color="auto"/>
              <w:bottom w:val="single" w:sz="4" w:space="0" w:color="auto"/>
              <w:right w:val="single" w:sz="4" w:space="0" w:color="auto"/>
            </w:tcBorders>
            <w:hideMark/>
          </w:tcPr>
          <w:p w14:paraId="4525756B" w14:textId="77777777" w:rsidR="00FC026B" w:rsidRPr="00C56257" w:rsidRDefault="00FC026B" w:rsidP="00993B86">
            <w:pPr>
              <w:autoSpaceDE w:val="0"/>
              <w:autoSpaceDN w:val="0"/>
              <w:adjustRightInd w:val="0"/>
              <w:rPr>
                <w:rFonts w:eastAsia="Calibri"/>
                <w:color w:val="000000"/>
                <w:lang w:val="en-US"/>
              </w:rPr>
            </w:pPr>
            <w:proofErr w:type="spellStart"/>
            <w:r w:rsidRPr="00C56257">
              <w:rPr>
                <w:rFonts w:eastAsia="Calibri"/>
                <w:iCs/>
                <w:color w:val="000000"/>
                <w:lang w:val="en-US"/>
              </w:rPr>
              <w:t>Interpretare</w:t>
            </w:r>
            <w:proofErr w:type="spellEnd"/>
            <w:r w:rsidRPr="00C56257">
              <w:rPr>
                <w:rFonts w:eastAsia="Calibri"/>
                <w:iCs/>
                <w:color w:val="000000"/>
                <w:lang w:val="en-US"/>
              </w:rPr>
              <w:t xml:space="preserve"> </w:t>
            </w:r>
            <w:proofErr w:type="spellStart"/>
            <w:r w:rsidRPr="00C56257">
              <w:rPr>
                <w:rFonts w:eastAsia="Calibri"/>
                <w:iCs/>
                <w:color w:val="000000"/>
                <w:lang w:val="en-US"/>
              </w:rPr>
              <w:t>foto-aerienă</w:t>
            </w:r>
            <w:proofErr w:type="spellEnd"/>
            <w:r w:rsidRPr="00C56257">
              <w:rPr>
                <w:rFonts w:eastAsia="Calibri"/>
                <w:iCs/>
                <w:color w:val="000000"/>
                <w:lang w:val="en-US"/>
              </w:rPr>
              <w:t xml:space="preserve">/ </w:t>
            </w:r>
            <w:proofErr w:type="spellStart"/>
            <w:r w:rsidRPr="00C56257">
              <w:rPr>
                <w:rFonts w:eastAsia="Calibri"/>
                <w:iCs/>
                <w:color w:val="000000"/>
                <w:lang w:val="en-US"/>
              </w:rPr>
              <w:t>cartare</w:t>
            </w:r>
            <w:proofErr w:type="spellEnd"/>
            <w:r w:rsidRPr="00C56257">
              <w:rPr>
                <w:rFonts w:eastAsia="Calibri"/>
                <w:iCs/>
                <w:color w:val="000000"/>
                <w:lang w:val="en-US"/>
              </w:rPr>
              <w:t xml:space="preserve">, </w:t>
            </w:r>
            <w:proofErr w:type="spellStart"/>
            <w:r w:rsidRPr="00C56257">
              <w:rPr>
                <w:rFonts w:eastAsia="Calibri"/>
                <w:iCs/>
                <w:color w:val="000000"/>
                <w:lang w:val="en-US"/>
              </w:rPr>
              <w:t>eșantionare</w:t>
            </w:r>
            <w:proofErr w:type="spellEnd"/>
            <w:r w:rsidRPr="00C56257">
              <w:rPr>
                <w:rFonts w:eastAsia="Calibri"/>
                <w:iCs/>
                <w:color w:val="000000"/>
                <w:lang w:val="en-US"/>
              </w:rPr>
              <w:t xml:space="preserve"> </w:t>
            </w:r>
            <w:proofErr w:type="spellStart"/>
            <w:r w:rsidRPr="00C56257">
              <w:rPr>
                <w:rFonts w:eastAsia="Calibri"/>
                <w:iCs/>
                <w:color w:val="000000"/>
                <w:lang w:val="en-US"/>
              </w:rPr>
              <w:t>punctuală</w:t>
            </w:r>
            <w:proofErr w:type="spellEnd"/>
            <w:r w:rsidRPr="00C56257">
              <w:rPr>
                <w:rFonts w:eastAsia="Calibri"/>
                <w:iCs/>
                <w:color w:val="000000"/>
                <w:lang w:val="en-US"/>
              </w:rPr>
              <w:t xml:space="preserve">, </w:t>
            </w:r>
            <w:proofErr w:type="spellStart"/>
            <w:r w:rsidRPr="00C56257">
              <w:rPr>
                <w:rFonts w:eastAsia="Calibri"/>
                <w:iCs/>
                <w:color w:val="000000"/>
                <w:lang w:val="en-US"/>
              </w:rPr>
              <w:t>transecte</w:t>
            </w:r>
            <w:proofErr w:type="spellEnd"/>
          </w:p>
        </w:tc>
      </w:tr>
      <w:tr w:rsidR="00FC026B" w:rsidRPr="00C56257" w14:paraId="435C7677" w14:textId="77777777" w:rsidTr="00993B86">
        <w:trPr>
          <w:trHeight w:val="555"/>
        </w:trPr>
        <w:tc>
          <w:tcPr>
            <w:tcW w:w="2235" w:type="dxa"/>
            <w:tcBorders>
              <w:top w:val="single" w:sz="4" w:space="0" w:color="auto"/>
              <w:left w:val="single" w:sz="4" w:space="0" w:color="auto"/>
              <w:bottom w:val="nil"/>
              <w:right w:val="single" w:sz="4" w:space="0" w:color="auto"/>
            </w:tcBorders>
            <w:hideMark/>
          </w:tcPr>
          <w:p w14:paraId="7B04AE66" w14:textId="77777777" w:rsidR="00FC026B" w:rsidRPr="00C56257" w:rsidRDefault="00FC026B" w:rsidP="00993B86">
            <w:pPr>
              <w:autoSpaceDE w:val="0"/>
              <w:autoSpaceDN w:val="0"/>
              <w:adjustRightInd w:val="0"/>
              <w:rPr>
                <w:rFonts w:eastAsia="Calibri"/>
                <w:color w:val="000000"/>
                <w:lang w:val="en-US"/>
              </w:rPr>
            </w:pPr>
            <w:r w:rsidRPr="00C56257">
              <w:rPr>
                <w:rFonts w:eastAsia="Calibri"/>
                <w:color w:val="000000"/>
                <w:lang w:val="en-US"/>
              </w:rPr>
              <w:t xml:space="preserve">Proprietăți </w:t>
            </w:r>
            <w:proofErr w:type="spellStart"/>
            <w:r w:rsidRPr="00C56257">
              <w:rPr>
                <w:rFonts w:eastAsia="Calibri"/>
                <w:color w:val="000000"/>
                <w:lang w:val="en-US"/>
              </w:rPr>
              <w:t>fizice</w:t>
            </w:r>
            <w:proofErr w:type="spellEnd"/>
            <w:r w:rsidRPr="00C56257">
              <w:rPr>
                <w:rFonts w:eastAsia="Calibri"/>
                <w:color w:val="000000"/>
                <w:lang w:val="en-US"/>
              </w:rPr>
              <w:t xml:space="preserve"> </w:t>
            </w:r>
            <w:proofErr w:type="spellStart"/>
            <w:r w:rsidRPr="00C56257">
              <w:rPr>
                <w:rFonts w:eastAsia="Calibri"/>
                <w:color w:val="000000"/>
                <w:lang w:val="en-US"/>
              </w:rPr>
              <w:t>şi</w:t>
            </w:r>
            <w:proofErr w:type="spellEnd"/>
            <w:r w:rsidRPr="00C56257">
              <w:rPr>
                <w:rFonts w:eastAsia="Calibri"/>
                <w:color w:val="000000"/>
                <w:lang w:val="en-US"/>
              </w:rPr>
              <w:t xml:space="preserve"> </w:t>
            </w:r>
            <w:proofErr w:type="spellStart"/>
            <w:r w:rsidRPr="00C56257">
              <w:rPr>
                <w:rFonts w:eastAsia="Calibri"/>
                <w:color w:val="000000"/>
                <w:lang w:val="en-US"/>
              </w:rPr>
              <w:t>chimice</w:t>
            </w:r>
            <w:proofErr w:type="spellEnd"/>
          </w:p>
        </w:tc>
        <w:tc>
          <w:tcPr>
            <w:tcW w:w="3118" w:type="dxa"/>
            <w:tcBorders>
              <w:top w:val="single" w:sz="4" w:space="0" w:color="auto"/>
              <w:left w:val="single" w:sz="4" w:space="0" w:color="auto"/>
              <w:bottom w:val="single" w:sz="4" w:space="0" w:color="auto"/>
              <w:right w:val="single" w:sz="4" w:space="0" w:color="auto"/>
            </w:tcBorders>
            <w:hideMark/>
          </w:tcPr>
          <w:p w14:paraId="7DA37271" w14:textId="77777777" w:rsidR="00FC026B" w:rsidRPr="00C56257" w:rsidRDefault="00FC026B" w:rsidP="00993B86">
            <w:pPr>
              <w:rPr>
                <w:rFonts w:eastAsia="Calibri"/>
                <w:lang w:val="en-US"/>
              </w:rPr>
            </w:pPr>
            <w:proofErr w:type="spellStart"/>
            <w:r w:rsidRPr="00C56257">
              <w:rPr>
                <w:rFonts w:eastAsia="Calibri"/>
                <w:lang w:val="en-US"/>
              </w:rPr>
              <w:t>Substrat</w:t>
            </w:r>
            <w:proofErr w:type="spellEnd"/>
            <w:r w:rsidRPr="00C56257">
              <w:rPr>
                <w:rFonts w:eastAsia="Calibri"/>
                <w:lang w:val="en-US"/>
              </w:rPr>
              <w:t>: sediment</w:t>
            </w:r>
          </w:p>
        </w:tc>
        <w:tc>
          <w:tcPr>
            <w:tcW w:w="4820" w:type="dxa"/>
            <w:tcBorders>
              <w:top w:val="single" w:sz="4" w:space="0" w:color="auto"/>
              <w:left w:val="single" w:sz="4" w:space="0" w:color="auto"/>
              <w:bottom w:val="single" w:sz="4" w:space="0" w:color="auto"/>
              <w:right w:val="single" w:sz="4" w:space="0" w:color="auto"/>
            </w:tcBorders>
            <w:hideMark/>
          </w:tcPr>
          <w:p w14:paraId="026A4EC4" w14:textId="77777777" w:rsidR="00FC026B" w:rsidRPr="00C56257" w:rsidRDefault="00FC026B" w:rsidP="00993B86">
            <w:pPr>
              <w:rPr>
                <w:rFonts w:eastAsia="Calibri"/>
                <w:lang w:val="it-IT"/>
              </w:rPr>
            </w:pPr>
            <w:r w:rsidRPr="00C56257">
              <w:rPr>
                <w:rFonts w:eastAsia="Calibri"/>
                <w:lang w:val="it-IT"/>
              </w:rPr>
              <w:t>Analiza granulometrică; analize chimice ale sedimentelor (poluanţi, TOC)</w:t>
            </w:r>
          </w:p>
        </w:tc>
      </w:tr>
      <w:tr w:rsidR="00FC026B" w:rsidRPr="00C56257" w14:paraId="0BAF8F16" w14:textId="77777777" w:rsidTr="00993B86">
        <w:trPr>
          <w:trHeight w:val="540"/>
        </w:trPr>
        <w:tc>
          <w:tcPr>
            <w:tcW w:w="2235" w:type="dxa"/>
            <w:tcBorders>
              <w:top w:val="nil"/>
              <w:left w:val="single" w:sz="4" w:space="0" w:color="auto"/>
              <w:bottom w:val="nil"/>
              <w:right w:val="single" w:sz="4" w:space="0" w:color="auto"/>
            </w:tcBorders>
          </w:tcPr>
          <w:p w14:paraId="4D399517" w14:textId="77777777" w:rsidR="00FC026B" w:rsidRPr="00C56257" w:rsidRDefault="00FC026B" w:rsidP="00993B86">
            <w:pPr>
              <w:autoSpaceDE w:val="0"/>
              <w:autoSpaceDN w:val="0"/>
              <w:adjustRightInd w:val="0"/>
              <w:rPr>
                <w:rFonts w:eastAsia="Calibri"/>
                <w:lang w:val="en-US"/>
              </w:rPr>
            </w:pPr>
          </w:p>
        </w:tc>
        <w:tc>
          <w:tcPr>
            <w:tcW w:w="3118" w:type="dxa"/>
            <w:tcBorders>
              <w:top w:val="single" w:sz="4" w:space="0" w:color="auto"/>
              <w:left w:val="single" w:sz="4" w:space="0" w:color="auto"/>
              <w:bottom w:val="single" w:sz="4" w:space="0" w:color="auto"/>
              <w:right w:val="single" w:sz="4" w:space="0" w:color="auto"/>
            </w:tcBorders>
            <w:hideMark/>
          </w:tcPr>
          <w:p w14:paraId="35196661" w14:textId="77777777" w:rsidR="00FC026B" w:rsidRPr="00C56257" w:rsidRDefault="00FC026B" w:rsidP="00993B86">
            <w:pPr>
              <w:autoSpaceDE w:val="0"/>
              <w:autoSpaceDN w:val="0"/>
              <w:adjustRightInd w:val="0"/>
              <w:rPr>
                <w:rFonts w:eastAsia="Calibri"/>
                <w:color w:val="000000"/>
                <w:lang w:val="en-US"/>
              </w:rPr>
            </w:pPr>
            <w:proofErr w:type="spellStart"/>
            <w:r w:rsidRPr="00C56257">
              <w:rPr>
                <w:rFonts w:eastAsia="Calibri"/>
                <w:color w:val="000000"/>
                <w:lang w:val="en-US"/>
              </w:rPr>
              <w:t>Regimul</w:t>
            </w:r>
            <w:proofErr w:type="spellEnd"/>
            <w:r w:rsidRPr="00C56257">
              <w:rPr>
                <w:rFonts w:eastAsia="Calibri"/>
                <w:color w:val="000000"/>
                <w:lang w:val="en-US"/>
              </w:rPr>
              <w:t xml:space="preserve"> </w:t>
            </w:r>
            <w:proofErr w:type="spellStart"/>
            <w:r w:rsidRPr="00C56257">
              <w:rPr>
                <w:rFonts w:eastAsia="Calibri"/>
                <w:color w:val="000000"/>
                <w:lang w:val="en-US"/>
              </w:rPr>
              <w:t>salinității</w:t>
            </w:r>
            <w:proofErr w:type="spellEnd"/>
            <w:r w:rsidRPr="00C56257">
              <w:rPr>
                <w:rFonts w:eastAsia="Calibri"/>
                <w:color w:val="000000"/>
                <w:lang w:val="en-US"/>
              </w:rPr>
              <w:t xml:space="preserve"> </w:t>
            </w:r>
          </w:p>
        </w:tc>
        <w:tc>
          <w:tcPr>
            <w:tcW w:w="4820" w:type="dxa"/>
            <w:tcBorders>
              <w:top w:val="single" w:sz="4" w:space="0" w:color="auto"/>
              <w:left w:val="single" w:sz="4" w:space="0" w:color="auto"/>
              <w:bottom w:val="single" w:sz="4" w:space="0" w:color="auto"/>
              <w:right w:val="single" w:sz="4" w:space="0" w:color="auto"/>
            </w:tcBorders>
            <w:vAlign w:val="center"/>
            <w:hideMark/>
          </w:tcPr>
          <w:p w14:paraId="2A79549B" w14:textId="77777777" w:rsidR="00FC026B" w:rsidRPr="00C56257" w:rsidRDefault="00FC026B" w:rsidP="00993B86">
            <w:pPr>
              <w:autoSpaceDE w:val="0"/>
              <w:autoSpaceDN w:val="0"/>
              <w:adjustRightInd w:val="0"/>
              <w:rPr>
                <w:rFonts w:eastAsia="Calibri"/>
                <w:color w:val="000000"/>
                <w:lang w:val="en-US"/>
              </w:rPr>
            </w:pPr>
            <w:r w:rsidRPr="00C56257">
              <w:rPr>
                <w:rFonts w:eastAsia="Calibri"/>
                <w:color w:val="000000"/>
                <w:lang w:val="en-US"/>
              </w:rPr>
              <w:t xml:space="preserve">CTD/ </w:t>
            </w:r>
            <w:proofErr w:type="spellStart"/>
            <w:r w:rsidRPr="00C56257">
              <w:rPr>
                <w:rFonts w:eastAsia="Calibri"/>
                <w:color w:val="000000"/>
                <w:lang w:val="en-US"/>
              </w:rPr>
              <w:t>analiză</w:t>
            </w:r>
            <w:proofErr w:type="spellEnd"/>
            <w:r w:rsidRPr="00C56257">
              <w:rPr>
                <w:rFonts w:eastAsia="Calibri"/>
                <w:color w:val="000000"/>
                <w:lang w:val="en-US"/>
              </w:rPr>
              <w:t xml:space="preserve"> de </w:t>
            </w:r>
            <w:proofErr w:type="spellStart"/>
            <w:r w:rsidRPr="00C56257">
              <w:rPr>
                <w:rFonts w:eastAsia="Calibri"/>
                <w:color w:val="000000"/>
                <w:lang w:val="en-US"/>
              </w:rPr>
              <w:t>laborator</w:t>
            </w:r>
            <w:proofErr w:type="spellEnd"/>
          </w:p>
        </w:tc>
      </w:tr>
      <w:tr w:rsidR="00FC026B" w:rsidRPr="00C56257" w14:paraId="56A10412" w14:textId="77777777" w:rsidTr="00993B86">
        <w:trPr>
          <w:trHeight w:val="540"/>
        </w:trPr>
        <w:tc>
          <w:tcPr>
            <w:tcW w:w="2235" w:type="dxa"/>
            <w:tcBorders>
              <w:top w:val="nil"/>
              <w:left w:val="single" w:sz="4" w:space="0" w:color="auto"/>
              <w:bottom w:val="nil"/>
              <w:right w:val="single" w:sz="4" w:space="0" w:color="auto"/>
            </w:tcBorders>
          </w:tcPr>
          <w:p w14:paraId="6910EB1F" w14:textId="77777777" w:rsidR="00FC026B" w:rsidRPr="00C56257" w:rsidRDefault="00FC026B" w:rsidP="00993B86">
            <w:pPr>
              <w:autoSpaceDE w:val="0"/>
              <w:autoSpaceDN w:val="0"/>
              <w:adjustRightInd w:val="0"/>
              <w:rPr>
                <w:rFonts w:eastAsia="Calibri"/>
                <w:lang w:val="en-US"/>
              </w:rPr>
            </w:pPr>
          </w:p>
        </w:tc>
        <w:tc>
          <w:tcPr>
            <w:tcW w:w="3118" w:type="dxa"/>
            <w:tcBorders>
              <w:top w:val="single" w:sz="4" w:space="0" w:color="auto"/>
              <w:left w:val="single" w:sz="4" w:space="0" w:color="auto"/>
              <w:bottom w:val="single" w:sz="4" w:space="0" w:color="auto"/>
              <w:right w:val="single" w:sz="4" w:space="0" w:color="auto"/>
            </w:tcBorders>
            <w:hideMark/>
          </w:tcPr>
          <w:p w14:paraId="491903F0" w14:textId="77777777" w:rsidR="00FC026B" w:rsidRPr="00C56257" w:rsidRDefault="00FC026B" w:rsidP="00993B86">
            <w:pPr>
              <w:autoSpaceDE w:val="0"/>
              <w:autoSpaceDN w:val="0"/>
              <w:adjustRightInd w:val="0"/>
              <w:rPr>
                <w:rFonts w:eastAsia="Calibri"/>
                <w:color w:val="000000"/>
                <w:lang w:val="en-US"/>
              </w:rPr>
            </w:pPr>
            <w:r w:rsidRPr="00C56257">
              <w:rPr>
                <w:rFonts w:eastAsia="Calibri"/>
                <w:color w:val="000000"/>
                <w:lang w:val="en-US"/>
              </w:rPr>
              <w:t xml:space="preserve">Adâncimea </w:t>
            </w:r>
            <w:proofErr w:type="spellStart"/>
            <w:r w:rsidRPr="00C56257">
              <w:rPr>
                <w:rFonts w:eastAsia="Calibri"/>
                <w:color w:val="000000"/>
                <w:lang w:val="en-US"/>
              </w:rPr>
              <w:t>apei</w:t>
            </w:r>
            <w:proofErr w:type="spellEnd"/>
          </w:p>
        </w:tc>
        <w:tc>
          <w:tcPr>
            <w:tcW w:w="4820" w:type="dxa"/>
            <w:tcBorders>
              <w:top w:val="single" w:sz="4" w:space="0" w:color="auto"/>
              <w:left w:val="single" w:sz="4" w:space="0" w:color="auto"/>
              <w:bottom w:val="single" w:sz="4" w:space="0" w:color="auto"/>
              <w:right w:val="single" w:sz="4" w:space="0" w:color="auto"/>
            </w:tcBorders>
            <w:vAlign w:val="center"/>
            <w:hideMark/>
          </w:tcPr>
          <w:p w14:paraId="5FB8FBCE" w14:textId="77777777" w:rsidR="00FC026B" w:rsidRPr="00C56257" w:rsidRDefault="00FC026B" w:rsidP="00993B86">
            <w:pPr>
              <w:autoSpaceDE w:val="0"/>
              <w:autoSpaceDN w:val="0"/>
              <w:adjustRightInd w:val="0"/>
              <w:rPr>
                <w:rFonts w:eastAsia="Calibri"/>
                <w:iCs/>
                <w:color w:val="000000"/>
                <w:lang w:val="en-US"/>
              </w:rPr>
            </w:pPr>
            <w:proofErr w:type="spellStart"/>
            <w:r w:rsidRPr="00C56257">
              <w:rPr>
                <w:rFonts w:eastAsia="Calibri"/>
                <w:iCs/>
                <w:color w:val="000000"/>
                <w:lang w:val="en-US"/>
              </w:rPr>
              <w:t>Batimetrie</w:t>
            </w:r>
            <w:proofErr w:type="spellEnd"/>
            <w:r w:rsidRPr="00C56257">
              <w:rPr>
                <w:rFonts w:eastAsia="Calibri"/>
                <w:iCs/>
                <w:color w:val="000000"/>
                <w:lang w:val="en-US"/>
              </w:rPr>
              <w:t xml:space="preserve"> </w:t>
            </w:r>
            <w:proofErr w:type="spellStart"/>
            <w:r w:rsidRPr="00C56257">
              <w:rPr>
                <w:rFonts w:eastAsia="Calibri"/>
                <w:iCs/>
                <w:color w:val="000000"/>
                <w:lang w:val="en-US"/>
              </w:rPr>
              <w:t>hidroacustică</w:t>
            </w:r>
            <w:proofErr w:type="spellEnd"/>
            <w:r w:rsidRPr="00C56257">
              <w:rPr>
                <w:rFonts w:eastAsia="Calibri"/>
                <w:iCs/>
                <w:color w:val="000000"/>
                <w:lang w:val="en-US"/>
              </w:rPr>
              <w:t xml:space="preserve"> </w:t>
            </w:r>
            <w:proofErr w:type="spellStart"/>
            <w:r w:rsidRPr="00C56257">
              <w:rPr>
                <w:rFonts w:eastAsia="Calibri"/>
                <w:iCs/>
                <w:color w:val="000000"/>
                <w:lang w:val="en-US"/>
              </w:rPr>
              <w:t>sau</w:t>
            </w:r>
            <w:proofErr w:type="spellEnd"/>
            <w:r w:rsidRPr="00C56257">
              <w:rPr>
                <w:rFonts w:eastAsia="Calibri"/>
                <w:iCs/>
                <w:color w:val="000000"/>
                <w:lang w:val="en-US"/>
              </w:rPr>
              <w:t xml:space="preserve"> </w:t>
            </w:r>
            <w:proofErr w:type="spellStart"/>
            <w:r w:rsidRPr="00C56257">
              <w:rPr>
                <w:rFonts w:eastAsia="Calibri"/>
                <w:iCs/>
                <w:color w:val="000000"/>
                <w:lang w:val="en-US"/>
              </w:rPr>
              <w:t>manuală</w:t>
            </w:r>
            <w:proofErr w:type="spellEnd"/>
          </w:p>
        </w:tc>
      </w:tr>
      <w:tr w:rsidR="00FC026B" w:rsidRPr="00C56257" w14:paraId="6B26E6C8" w14:textId="77777777" w:rsidTr="00993B86">
        <w:trPr>
          <w:trHeight w:val="540"/>
        </w:trPr>
        <w:tc>
          <w:tcPr>
            <w:tcW w:w="2235" w:type="dxa"/>
            <w:tcBorders>
              <w:top w:val="nil"/>
              <w:left w:val="single" w:sz="4" w:space="0" w:color="auto"/>
              <w:bottom w:val="nil"/>
              <w:right w:val="single" w:sz="4" w:space="0" w:color="auto"/>
            </w:tcBorders>
          </w:tcPr>
          <w:p w14:paraId="7A261880" w14:textId="77777777" w:rsidR="00FC026B" w:rsidRPr="00C56257" w:rsidRDefault="00FC026B" w:rsidP="00993B86">
            <w:pPr>
              <w:autoSpaceDE w:val="0"/>
              <w:autoSpaceDN w:val="0"/>
              <w:adjustRightInd w:val="0"/>
              <w:rPr>
                <w:rFonts w:eastAsia="Calibri"/>
                <w:lang w:val="en-US"/>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2286F145" w14:textId="77777777" w:rsidR="00FC026B" w:rsidRPr="00C56257" w:rsidRDefault="00FC026B" w:rsidP="00993B86">
            <w:pPr>
              <w:autoSpaceDE w:val="0"/>
              <w:autoSpaceDN w:val="0"/>
              <w:adjustRightInd w:val="0"/>
              <w:rPr>
                <w:rFonts w:eastAsia="Calibri"/>
                <w:color w:val="000000"/>
                <w:lang w:val="fr-FR"/>
              </w:rPr>
            </w:pPr>
            <w:proofErr w:type="spellStart"/>
            <w:r w:rsidRPr="00C56257">
              <w:rPr>
                <w:rFonts w:eastAsia="Calibri"/>
                <w:color w:val="000000"/>
                <w:lang w:val="fr-FR"/>
              </w:rPr>
              <w:t>Prezență</w:t>
            </w:r>
            <w:proofErr w:type="spellEnd"/>
            <w:r w:rsidRPr="00C56257">
              <w:rPr>
                <w:rFonts w:eastAsia="Calibri"/>
                <w:color w:val="000000"/>
                <w:lang w:val="fr-FR"/>
              </w:rPr>
              <w:t xml:space="preserve"> </w:t>
            </w:r>
            <w:proofErr w:type="spellStart"/>
            <w:r w:rsidRPr="00C56257">
              <w:rPr>
                <w:rFonts w:eastAsia="Calibri"/>
                <w:color w:val="000000"/>
                <w:lang w:val="fr-FR"/>
              </w:rPr>
              <w:t>și</w:t>
            </w:r>
            <w:proofErr w:type="spellEnd"/>
            <w:r w:rsidRPr="00C56257">
              <w:rPr>
                <w:rFonts w:eastAsia="Calibri"/>
                <w:color w:val="000000"/>
                <w:lang w:val="fr-FR"/>
              </w:rPr>
              <w:t xml:space="preserve"> </w:t>
            </w:r>
            <w:proofErr w:type="spellStart"/>
            <w:r w:rsidRPr="00C56257">
              <w:rPr>
                <w:rFonts w:eastAsia="Calibri"/>
                <w:color w:val="000000"/>
                <w:lang w:val="fr-FR"/>
              </w:rPr>
              <w:t>natura</w:t>
            </w:r>
            <w:proofErr w:type="spellEnd"/>
            <w:r w:rsidRPr="00C56257">
              <w:rPr>
                <w:rFonts w:eastAsia="Calibri"/>
                <w:color w:val="000000"/>
                <w:lang w:val="fr-FR"/>
              </w:rPr>
              <w:t xml:space="preserve"> </w:t>
            </w:r>
            <w:proofErr w:type="spellStart"/>
            <w:r w:rsidRPr="00C56257">
              <w:rPr>
                <w:rFonts w:eastAsia="Calibri"/>
                <w:color w:val="000000"/>
                <w:lang w:val="fr-FR"/>
              </w:rPr>
              <w:t>barierei</w:t>
            </w:r>
            <w:proofErr w:type="spellEnd"/>
            <w:r w:rsidRPr="00C56257">
              <w:rPr>
                <w:rFonts w:eastAsia="Calibri"/>
                <w:color w:val="000000"/>
                <w:lang w:val="fr-FR"/>
              </w:rPr>
              <w:t xml:space="preserve"> de </w:t>
            </w:r>
            <w:proofErr w:type="spellStart"/>
            <w:r w:rsidRPr="00C56257">
              <w:rPr>
                <w:rFonts w:eastAsia="Calibri"/>
                <w:color w:val="000000"/>
                <w:lang w:val="fr-FR"/>
              </w:rPr>
              <w:t>izolare</w:t>
            </w:r>
            <w:proofErr w:type="spellEnd"/>
            <w:r w:rsidRPr="00C56257">
              <w:rPr>
                <w:rFonts w:eastAsia="Calibri"/>
                <w:color w:val="000000"/>
                <w:lang w:val="fr-FR"/>
              </w:rPr>
              <w:t xml:space="preserve">  </w:t>
            </w:r>
          </w:p>
        </w:tc>
        <w:tc>
          <w:tcPr>
            <w:tcW w:w="4820" w:type="dxa"/>
            <w:tcBorders>
              <w:top w:val="single" w:sz="4" w:space="0" w:color="auto"/>
              <w:left w:val="single" w:sz="4" w:space="0" w:color="auto"/>
              <w:bottom w:val="single" w:sz="4" w:space="0" w:color="auto"/>
              <w:right w:val="single" w:sz="4" w:space="0" w:color="auto"/>
            </w:tcBorders>
            <w:vAlign w:val="center"/>
            <w:hideMark/>
          </w:tcPr>
          <w:p w14:paraId="2DE2A6D4" w14:textId="77777777" w:rsidR="00FC026B" w:rsidRPr="00C56257" w:rsidRDefault="00FC026B" w:rsidP="00993B86">
            <w:pPr>
              <w:autoSpaceDE w:val="0"/>
              <w:autoSpaceDN w:val="0"/>
              <w:adjustRightInd w:val="0"/>
              <w:rPr>
                <w:rFonts w:eastAsia="Calibri"/>
                <w:color w:val="000000"/>
                <w:lang w:val="fr-FR"/>
              </w:rPr>
            </w:pPr>
            <w:proofErr w:type="spellStart"/>
            <w:r w:rsidRPr="00C56257">
              <w:rPr>
                <w:rFonts w:eastAsia="Calibri"/>
                <w:iCs/>
                <w:color w:val="000000"/>
                <w:lang w:val="fr-FR"/>
              </w:rPr>
              <w:t>Interpretare</w:t>
            </w:r>
            <w:proofErr w:type="spellEnd"/>
            <w:r w:rsidRPr="00C56257">
              <w:rPr>
                <w:rFonts w:eastAsia="Calibri"/>
                <w:iCs/>
                <w:color w:val="000000"/>
                <w:lang w:val="fr-FR"/>
              </w:rPr>
              <w:t xml:space="preserve"> </w:t>
            </w:r>
            <w:proofErr w:type="spellStart"/>
            <w:r w:rsidRPr="00C56257">
              <w:rPr>
                <w:rFonts w:eastAsia="Calibri"/>
                <w:iCs/>
                <w:color w:val="000000"/>
                <w:lang w:val="fr-FR"/>
              </w:rPr>
              <w:t>foto-aeriană</w:t>
            </w:r>
            <w:proofErr w:type="spellEnd"/>
            <w:r w:rsidRPr="00C56257">
              <w:rPr>
                <w:rFonts w:eastAsia="Calibri"/>
                <w:iCs/>
                <w:color w:val="000000"/>
                <w:lang w:val="fr-FR"/>
              </w:rPr>
              <w:t xml:space="preserve">; </w:t>
            </w:r>
            <w:proofErr w:type="spellStart"/>
            <w:r w:rsidRPr="00C56257">
              <w:rPr>
                <w:rFonts w:eastAsia="Calibri"/>
                <w:iCs/>
                <w:color w:val="000000"/>
                <w:lang w:val="fr-FR"/>
              </w:rPr>
              <w:t>măsurători</w:t>
            </w:r>
            <w:proofErr w:type="spellEnd"/>
            <w:r w:rsidRPr="00C56257">
              <w:rPr>
                <w:rFonts w:eastAsia="Calibri"/>
                <w:iCs/>
                <w:color w:val="000000"/>
                <w:lang w:val="fr-FR"/>
              </w:rPr>
              <w:t xml:space="preserve"> directe (</w:t>
            </w:r>
            <w:proofErr w:type="spellStart"/>
            <w:r w:rsidRPr="00C56257">
              <w:rPr>
                <w:rFonts w:eastAsia="Calibri"/>
                <w:iCs/>
                <w:color w:val="000000"/>
                <w:lang w:val="fr-FR"/>
              </w:rPr>
              <w:t>numai</w:t>
            </w:r>
            <w:proofErr w:type="spellEnd"/>
            <w:r w:rsidRPr="00C56257">
              <w:rPr>
                <w:rFonts w:eastAsia="Calibri"/>
                <w:iCs/>
                <w:color w:val="000000"/>
                <w:lang w:val="fr-FR"/>
              </w:rPr>
              <w:t xml:space="preserve"> </w:t>
            </w:r>
            <w:proofErr w:type="spellStart"/>
            <w:r w:rsidRPr="00C56257">
              <w:rPr>
                <w:rFonts w:eastAsia="Calibri"/>
                <w:iCs/>
                <w:color w:val="000000"/>
                <w:lang w:val="fr-FR"/>
              </w:rPr>
              <w:t>pentru</w:t>
            </w:r>
            <w:proofErr w:type="spellEnd"/>
            <w:r w:rsidRPr="00C56257">
              <w:rPr>
                <w:rFonts w:eastAsia="Calibri"/>
                <w:iCs/>
                <w:color w:val="000000"/>
                <w:lang w:val="fr-FR"/>
              </w:rPr>
              <w:t xml:space="preserve"> </w:t>
            </w:r>
            <w:proofErr w:type="spellStart"/>
            <w:r w:rsidRPr="00C56257">
              <w:rPr>
                <w:rFonts w:eastAsia="Calibri"/>
                <w:iCs/>
                <w:color w:val="000000"/>
                <w:lang w:val="fr-FR"/>
              </w:rPr>
              <w:t>lagunele</w:t>
            </w:r>
            <w:proofErr w:type="spellEnd"/>
            <w:r w:rsidRPr="00C56257">
              <w:rPr>
                <w:rFonts w:eastAsia="Calibri"/>
                <w:iCs/>
                <w:color w:val="000000"/>
                <w:lang w:val="fr-FR"/>
              </w:rPr>
              <w:t xml:space="preserve"> </w:t>
            </w:r>
            <w:proofErr w:type="spellStart"/>
            <w:r w:rsidRPr="00C56257">
              <w:rPr>
                <w:rFonts w:eastAsia="Calibri"/>
                <w:iCs/>
                <w:color w:val="000000"/>
                <w:lang w:val="fr-FR"/>
              </w:rPr>
              <w:t>mici</w:t>
            </w:r>
            <w:proofErr w:type="spellEnd"/>
            <w:r w:rsidRPr="00C56257">
              <w:rPr>
                <w:rFonts w:eastAsia="Calibri"/>
                <w:iCs/>
                <w:color w:val="000000"/>
                <w:lang w:val="fr-FR"/>
              </w:rPr>
              <w:t>)</w:t>
            </w:r>
          </w:p>
        </w:tc>
      </w:tr>
      <w:tr w:rsidR="00FC026B" w:rsidRPr="00C56257" w14:paraId="2AAA0F7F" w14:textId="77777777" w:rsidTr="00993B86">
        <w:trPr>
          <w:trHeight w:val="593"/>
        </w:trPr>
        <w:tc>
          <w:tcPr>
            <w:tcW w:w="2235" w:type="dxa"/>
            <w:tcBorders>
              <w:top w:val="nil"/>
              <w:left w:val="single" w:sz="4" w:space="0" w:color="auto"/>
              <w:bottom w:val="single" w:sz="4" w:space="0" w:color="auto"/>
              <w:right w:val="single" w:sz="4" w:space="0" w:color="auto"/>
            </w:tcBorders>
          </w:tcPr>
          <w:p w14:paraId="4E7089B5" w14:textId="77777777" w:rsidR="00FC026B" w:rsidRPr="00C56257" w:rsidRDefault="00FC026B" w:rsidP="00993B86">
            <w:pPr>
              <w:autoSpaceDE w:val="0"/>
              <w:autoSpaceDN w:val="0"/>
              <w:adjustRightInd w:val="0"/>
              <w:rPr>
                <w:rFonts w:eastAsia="Calibri"/>
                <w:lang w:val="fr-FR"/>
              </w:rPr>
            </w:pPr>
          </w:p>
        </w:tc>
        <w:tc>
          <w:tcPr>
            <w:tcW w:w="3118" w:type="dxa"/>
            <w:tcBorders>
              <w:top w:val="single" w:sz="4" w:space="0" w:color="auto"/>
              <w:left w:val="single" w:sz="4" w:space="0" w:color="auto"/>
              <w:bottom w:val="single" w:sz="4" w:space="0" w:color="auto"/>
              <w:right w:val="single" w:sz="4" w:space="0" w:color="auto"/>
            </w:tcBorders>
            <w:hideMark/>
          </w:tcPr>
          <w:p w14:paraId="4E5FB2C1" w14:textId="77777777" w:rsidR="00FC026B" w:rsidRPr="00C56257" w:rsidRDefault="00FC026B" w:rsidP="00993B86">
            <w:pPr>
              <w:autoSpaceDE w:val="0"/>
              <w:autoSpaceDN w:val="0"/>
              <w:adjustRightInd w:val="0"/>
              <w:rPr>
                <w:rFonts w:eastAsia="Calibri"/>
                <w:color w:val="000000"/>
                <w:lang w:val="en-US"/>
              </w:rPr>
            </w:pPr>
            <w:proofErr w:type="spellStart"/>
            <w:r w:rsidRPr="00C56257">
              <w:rPr>
                <w:rFonts w:eastAsia="Calibri"/>
                <w:color w:val="000000"/>
                <w:lang w:val="en-US"/>
              </w:rPr>
              <w:t>Gradul</w:t>
            </w:r>
            <w:proofErr w:type="spellEnd"/>
            <w:r w:rsidRPr="00C56257">
              <w:rPr>
                <w:rFonts w:eastAsia="Calibri"/>
                <w:color w:val="000000"/>
                <w:lang w:val="en-US"/>
              </w:rPr>
              <w:t xml:space="preserve"> de </w:t>
            </w:r>
            <w:proofErr w:type="spellStart"/>
            <w:r w:rsidRPr="00C56257">
              <w:rPr>
                <w:rFonts w:eastAsia="Calibri"/>
                <w:color w:val="000000"/>
                <w:lang w:val="en-US"/>
              </w:rPr>
              <w:t>eutrofizare</w:t>
            </w:r>
            <w:proofErr w:type="spellEnd"/>
            <w:r w:rsidRPr="00C56257">
              <w:rPr>
                <w:rFonts w:eastAsia="Calibri"/>
                <w:color w:val="000000"/>
                <w:lang w:val="en-US"/>
              </w:rPr>
              <w:t xml:space="preserve"> </w:t>
            </w:r>
            <w:r w:rsidRPr="00C56257">
              <w:rPr>
                <w:rFonts w:eastAsia="Calibri"/>
                <w:lang w:val="en-US"/>
              </w:rPr>
              <w:t>(</w:t>
            </w:r>
            <w:proofErr w:type="spellStart"/>
            <w:r w:rsidRPr="00C56257">
              <w:rPr>
                <w:rFonts w:eastAsia="Calibri"/>
                <w:lang w:val="en-US"/>
              </w:rPr>
              <w:t>regimul</w:t>
            </w:r>
            <w:proofErr w:type="spellEnd"/>
            <w:r w:rsidRPr="00C56257">
              <w:rPr>
                <w:rFonts w:eastAsia="Calibri"/>
                <w:lang w:val="en-US"/>
              </w:rPr>
              <w:t xml:space="preserve"> </w:t>
            </w:r>
            <w:proofErr w:type="spellStart"/>
            <w:r w:rsidRPr="00C56257">
              <w:rPr>
                <w:rFonts w:eastAsia="Calibri"/>
                <w:lang w:val="en-US"/>
              </w:rPr>
              <w:t>îmbogăţirii</w:t>
            </w:r>
            <w:proofErr w:type="spellEnd"/>
            <w:r w:rsidRPr="00C56257">
              <w:rPr>
                <w:rFonts w:eastAsia="Calibri"/>
                <w:lang w:val="en-US"/>
              </w:rPr>
              <w:t xml:space="preserve"> cu </w:t>
            </w:r>
            <w:proofErr w:type="spellStart"/>
            <w:r w:rsidRPr="00C56257">
              <w:rPr>
                <w:rFonts w:eastAsia="Calibri"/>
                <w:lang w:val="en-US"/>
              </w:rPr>
              <w:t>nutrienţi</w:t>
            </w:r>
            <w:proofErr w:type="spellEnd"/>
            <w:r w:rsidRPr="00C56257">
              <w:rPr>
                <w:rFonts w:eastAsia="Calibri"/>
                <w:lang w:val="en-US"/>
              </w:rPr>
              <w:t>)</w:t>
            </w:r>
          </w:p>
        </w:tc>
        <w:tc>
          <w:tcPr>
            <w:tcW w:w="4820" w:type="dxa"/>
            <w:tcBorders>
              <w:top w:val="single" w:sz="4" w:space="0" w:color="auto"/>
              <w:left w:val="single" w:sz="4" w:space="0" w:color="auto"/>
              <w:bottom w:val="single" w:sz="4" w:space="0" w:color="auto"/>
              <w:right w:val="single" w:sz="4" w:space="0" w:color="auto"/>
            </w:tcBorders>
            <w:hideMark/>
          </w:tcPr>
          <w:p w14:paraId="48597353" w14:textId="77777777" w:rsidR="00FC026B" w:rsidRPr="00C56257" w:rsidRDefault="00FC026B" w:rsidP="00993B86">
            <w:pPr>
              <w:autoSpaceDE w:val="0"/>
              <w:autoSpaceDN w:val="0"/>
              <w:adjustRightInd w:val="0"/>
              <w:rPr>
                <w:rFonts w:eastAsia="Calibri"/>
                <w:color w:val="000000"/>
                <w:lang w:val="fr-FR"/>
              </w:rPr>
            </w:pPr>
            <w:proofErr w:type="spellStart"/>
            <w:r w:rsidRPr="00C56257">
              <w:rPr>
                <w:rFonts w:eastAsia="Calibri"/>
                <w:color w:val="000000"/>
                <w:lang w:val="fr-FR"/>
              </w:rPr>
              <w:t>Analiza</w:t>
            </w:r>
            <w:proofErr w:type="spellEnd"/>
            <w:r w:rsidRPr="00C56257">
              <w:rPr>
                <w:rFonts w:eastAsia="Calibri"/>
                <w:color w:val="000000"/>
                <w:lang w:val="fr-FR"/>
              </w:rPr>
              <w:t xml:space="preserve"> de </w:t>
            </w:r>
            <w:proofErr w:type="spellStart"/>
            <w:r w:rsidRPr="00C56257">
              <w:rPr>
                <w:rFonts w:eastAsia="Calibri"/>
                <w:color w:val="000000"/>
                <w:lang w:val="fr-FR"/>
              </w:rPr>
              <w:t>apă</w:t>
            </w:r>
            <w:proofErr w:type="spellEnd"/>
            <w:r w:rsidRPr="00C56257">
              <w:rPr>
                <w:rFonts w:eastAsia="Calibri"/>
                <w:color w:val="000000"/>
                <w:lang w:val="fr-FR"/>
              </w:rPr>
              <w:t xml:space="preserve"> : </w:t>
            </w:r>
            <w:proofErr w:type="spellStart"/>
            <w:r w:rsidRPr="00C56257">
              <w:rPr>
                <w:rFonts w:eastAsia="Calibri"/>
                <w:color w:val="000000"/>
                <w:lang w:val="fr-FR"/>
              </w:rPr>
              <w:t>nutrienţi</w:t>
            </w:r>
            <w:proofErr w:type="spellEnd"/>
            <w:r w:rsidRPr="00C56257">
              <w:rPr>
                <w:rFonts w:eastAsia="Calibri"/>
                <w:color w:val="000000"/>
                <w:lang w:val="fr-FR"/>
              </w:rPr>
              <w:t xml:space="preserve">, </w:t>
            </w:r>
            <w:proofErr w:type="spellStart"/>
            <w:r w:rsidRPr="00C56257">
              <w:rPr>
                <w:rFonts w:eastAsia="Calibri"/>
                <w:color w:val="000000"/>
                <w:lang w:val="fr-FR"/>
              </w:rPr>
              <w:t>clorofilă</w:t>
            </w:r>
            <w:proofErr w:type="spellEnd"/>
            <w:r w:rsidRPr="00C56257">
              <w:rPr>
                <w:rFonts w:eastAsia="Calibri"/>
                <w:color w:val="000000"/>
                <w:lang w:val="fr-FR"/>
              </w:rPr>
              <w:t xml:space="preserve">, </w:t>
            </w:r>
            <w:proofErr w:type="spellStart"/>
            <w:r w:rsidRPr="00C56257">
              <w:rPr>
                <w:rFonts w:eastAsia="Calibri"/>
                <w:color w:val="000000"/>
                <w:lang w:val="fr-FR"/>
              </w:rPr>
              <w:t>oxigen</w:t>
            </w:r>
            <w:proofErr w:type="spellEnd"/>
            <w:r w:rsidRPr="00C56257">
              <w:rPr>
                <w:rFonts w:eastAsia="Calibri"/>
                <w:color w:val="000000"/>
                <w:lang w:val="fr-FR"/>
              </w:rPr>
              <w:t xml:space="preserve"> </w:t>
            </w:r>
            <w:proofErr w:type="spellStart"/>
            <w:r w:rsidRPr="00C56257">
              <w:rPr>
                <w:rFonts w:eastAsia="Calibri"/>
                <w:color w:val="000000"/>
                <w:lang w:val="fr-FR"/>
              </w:rPr>
              <w:t>dizolvat</w:t>
            </w:r>
            <w:proofErr w:type="spellEnd"/>
            <w:r w:rsidRPr="00C56257">
              <w:rPr>
                <w:rFonts w:eastAsia="Calibri"/>
                <w:color w:val="000000"/>
                <w:lang w:val="fr-FR"/>
              </w:rPr>
              <w:t xml:space="preserve"> </w:t>
            </w:r>
            <w:proofErr w:type="spellStart"/>
            <w:r w:rsidRPr="00C56257">
              <w:rPr>
                <w:rFonts w:eastAsia="Calibri"/>
                <w:color w:val="000000"/>
                <w:lang w:val="fr-FR"/>
              </w:rPr>
              <w:t>şi</w:t>
            </w:r>
            <w:proofErr w:type="spellEnd"/>
            <w:r w:rsidRPr="00C56257">
              <w:rPr>
                <w:rFonts w:eastAsia="Calibri"/>
                <w:color w:val="000000"/>
                <w:lang w:val="fr-FR"/>
              </w:rPr>
              <w:t xml:space="preserve"> </w:t>
            </w:r>
            <w:proofErr w:type="spellStart"/>
            <w:r w:rsidRPr="00C56257">
              <w:rPr>
                <w:rFonts w:eastAsia="Calibri"/>
                <w:color w:val="000000"/>
                <w:lang w:val="fr-FR"/>
              </w:rPr>
              <w:t>saturaţie</w:t>
            </w:r>
            <w:proofErr w:type="spellEnd"/>
            <w:r w:rsidRPr="00C56257">
              <w:rPr>
                <w:rFonts w:eastAsia="Calibri"/>
                <w:color w:val="000000"/>
                <w:lang w:val="fr-FR"/>
              </w:rPr>
              <w:t xml:space="preserve">, TOC; </w:t>
            </w:r>
            <w:proofErr w:type="spellStart"/>
            <w:r w:rsidRPr="00C56257">
              <w:rPr>
                <w:rFonts w:eastAsia="Calibri"/>
                <w:color w:val="000000"/>
                <w:lang w:val="fr-FR"/>
              </w:rPr>
              <w:t>măsurarea</w:t>
            </w:r>
            <w:proofErr w:type="spellEnd"/>
            <w:r w:rsidRPr="00C56257">
              <w:rPr>
                <w:rFonts w:eastAsia="Calibri"/>
                <w:color w:val="000000"/>
                <w:lang w:val="fr-FR"/>
              </w:rPr>
              <w:t xml:space="preserve"> </w:t>
            </w:r>
            <w:proofErr w:type="spellStart"/>
            <w:r w:rsidRPr="00C56257">
              <w:rPr>
                <w:rFonts w:eastAsia="Calibri"/>
                <w:color w:val="000000"/>
                <w:lang w:val="fr-FR"/>
              </w:rPr>
              <w:t>transparenţei</w:t>
            </w:r>
            <w:proofErr w:type="spellEnd"/>
            <w:r w:rsidRPr="00C56257">
              <w:rPr>
                <w:rFonts w:eastAsia="Calibri"/>
                <w:color w:val="000000"/>
                <w:lang w:val="fr-FR"/>
              </w:rPr>
              <w:t xml:space="preserve">; </w:t>
            </w:r>
            <w:proofErr w:type="spellStart"/>
            <w:r w:rsidRPr="00C56257">
              <w:rPr>
                <w:rFonts w:eastAsia="Calibri"/>
                <w:color w:val="000000"/>
                <w:lang w:val="fr-FR"/>
              </w:rPr>
              <w:t>suspensii</w:t>
            </w:r>
            <w:proofErr w:type="spellEnd"/>
            <w:r w:rsidRPr="00C56257">
              <w:rPr>
                <w:rFonts w:eastAsia="Calibri"/>
                <w:color w:val="000000"/>
                <w:lang w:val="fr-FR"/>
              </w:rPr>
              <w:t xml:space="preserve">; </w:t>
            </w:r>
            <w:proofErr w:type="spellStart"/>
            <w:r w:rsidRPr="00C56257">
              <w:rPr>
                <w:rFonts w:eastAsia="Calibri"/>
                <w:color w:val="000000"/>
                <w:lang w:val="fr-FR"/>
              </w:rPr>
              <w:t>analiza</w:t>
            </w:r>
            <w:proofErr w:type="spellEnd"/>
            <w:r w:rsidRPr="00C56257">
              <w:rPr>
                <w:rFonts w:eastAsia="Calibri"/>
                <w:color w:val="000000"/>
                <w:lang w:val="fr-FR"/>
              </w:rPr>
              <w:t xml:space="preserve"> </w:t>
            </w:r>
            <w:proofErr w:type="spellStart"/>
            <w:r w:rsidRPr="00C56257">
              <w:rPr>
                <w:rFonts w:eastAsia="Calibri"/>
                <w:color w:val="000000"/>
                <w:lang w:val="fr-FR"/>
              </w:rPr>
              <w:t>speciilor</w:t>
            </w:r>
            <w:proofErr w:type="spellEnd"/>
            <w:r w:rsidRPr="00C56257">
              <w:rPr>
                <w:rFonts w:eastAsia="Calibri"/>
                <w:color w:val="000000"/>
                <w:lang w:val="fr-FR"/>
              </w:rPr>
              <w:t xml:space="preserve"> </w:t>
            </w:r>
            <w:proofErr w:type="spellStart"/>
            <w:r w:rsidRPr="00C56257">
              <w:rPr>
                <w:rFonts w:eastAsia="Calibri"/>
                <w:color w:val="000000"/>
                <w:lang w:val="fr-FR"/>
              </w:rPr>
              <w:lastRenderedPageBreak/>
              <w:t>indicatoare</w:t>
            </w:r>
            <w:proofErr w:type="spellEnd"/>
            <w:r w:rsidRPr="00C56257">
              <w:rPr>
                <w:rFonts w:eastAsia="Calibri"/>
                <w:color w:val="000000"/>
                <w:lang w:val="fr-FR"/>
              </w:rPr>
              <w:t xml:space="preserve"> (</w:t>
            </w:r>
            <w:proofErr w:type="spellStart"/>
            <w:r w:rsidRPr="00C56257">
              <w:rPr>
                <w:rFonts w:eastAsia="Calibri"/>
                <w:color w:val="000000"/>
                <w:lang w:val="fr-FR"/>
              </w:rPr>
              <w:t>fitoplacton</w:t>
            </w:r>
            <w:proofErr w:type="spellEnd"/>
            <w:r w:rsidRPr="00C56257">
              <w:rPr>
                <w:rFonts w:eastAsia="Calibri"/>
                <w:color w:val="000000"/>
                <w:lang w:val="fr-FR"/>
              </w:rPr>
              <w:t xml:space="preserve">, zooplancton, </w:t>
            </w:r>
            <w:proofErr w:type="spellStart"/>
            <w:r w:rsidRPr="00C56257">
              <w:rPr>
                <w:rFonts w:eastAsia="Calibri"/>
                <w:color w:val="000000"/>
                <w:lang w:val="fr-FR"/>
              </w:rPr>
              <w:t>macroalge</w:t>
            </w:r>
            <w:proofErr w:type="spellEnd"/>
            <w:r w:rsidRPr="00C56257">
              <w:rPr>
                <w:rFonts w:eastAsia="Calibri"/>
                <w:color w:val="000000"/>
                <w:lang w:val="fr-FR"/>
              </w:rPr>
              <w:t xml:space="preserve"> </w:t>
            </w:r>
            <w:proofErr w:type="spellStart"/>
            <w:r w:rsidRPr="00C56257">
              <w:rPr>
                <w:rFonts w:eastAsia="Calibri"/>
                <w:color w:val="000000"/>
                <w:lang w:val="fr-FR"/>
              </w:rPr>
              <w:t>şi</w:t>
            </w:r>
            <w:proofErr w:type="spellEnd"/>
            <w:r w:rsidRPr="00C56257">
              <w:rPr>
                <w:rFonts w:eastAsia="Calibri"/>
                <w:color w:val="000000"/>
                <w:lang w:val="fr-FR"/>
              </w:rPr>
              <w:t xml:space="preserve"> </w:t>
            </w:r>
            <w:proofErr w:type="spellStart"/>
            <w:r w:rsidRPr="00C56257">
              <w:rPr>
                <w:rFonts w:eastAsia="Calibri"/>
                <w:color w:val="000000"/>
                <w:lang w:val="fr-FR"/>
              </w:rPr>
              <w:t>macrozoobentos</w:t>
            </w:r>
            <w:proofErr w:type="spellEnd"/>
            <w:r w:rsidRPr="00C56257">
              <w:rPr>
                <w:rFonts w:eastAsia="Calibri"/>
                <w:color w:val="000000"/>
                <w:lang w:val="fr-FR"/>
              </w:rPr>
              <w:t xml:space="preserve">) </w:t>
            </w:r>
          </w:p>
        </w:tc>
      </w:tr>
      <w:tr w:rsidR="00FC026B" w:rsidRPr="00C56257" w14:paraId="4C318CAF" w14:textId="77777777" w:rsidTr="00993B86">
        <w:trPr>
          <w:trHeight w:val="840"/>
        </w:trPr>
        <w:tc>
          <w:tcPr>
            <w:tcW w:w="2235" w:type="dxa"/>
            <w:tcBorders>
              <w:top w:val="single" w:sz="4" w:space="0" w:color="auto"/>
              <w:left w:val="single" w:sz="4" w:space="0" w:color="auto"/>
              <w:bottom w:val="single" w:sz="4" w:space="0" w:color="auto"/>
              <w:right w:val="single" w:sz="4" w:space="0" w:color="auto"/>
            </w:tcBorders>
            <w:hideMark/>
          </w:tcPr>
          <w:p w14:paraId="59213488" w14:textId="77777777" w:rsidR="00FC026B" w:rsidRPr="00C56257" w:rsidRDefault="00FC026B" w:rsidP="00993B86">
            <w:pPr>
              <w:autoSpaceDE w:val="0"/>
              <w:autoSpaceDN w:val="0"/>
              <w:adjustRightInd w:val="0"/>
              <w:rPr>
                <w:rFonts w:eastAsia="Calibri"/>
                <w:color w:val="000000"/>
                <w:lang w:val="en-US"/>
              </w:rPr>
            </w:pPr>
            <w:proofErr w:type="spellStart"/>
            <w:r w:rsidRPr="00C56257">
              <w:rPr>
                <w:rFonts w:eastAsia="Calibri"/>
                <w:color w:val="000000"/>
                <w:lang w:val="en-US"/>
              </w:rPr>
              <w:t>Structura</w:t>
            </w:r>
            <w:proofErr w:type="spellEnd"/>
            <w:r w:rsidRPr="00C56257">
              <w:rPr>
                <w:rFonts w:eastAsia="Calibri"/>
                <w:color w:val="000000"/>
                <w:lang w:val="en-US"/>
              </w:rPr>
              <w:t xml:space="preserve"> </w:t>
            </w:r>
            <w:proofErr w:type="spellStart"/>
            <w:r w:rsidRPr="00C56257">
              <w:rPr>
                <w:rFonts w:eastAsia="Calibri"/>
                <w:color w:val="000000"/>
                <w:lang w:val="en-US"/>
              </w:rPr>
              <w:t>habitatului</w:t>
            </w:r>
            <w:proofErr w:type="spellEnd"/>
          </w:p>
        </w:tc>
        <w:tc>
          <w:tcPr>
            <w:tcW w:w="3118" w:type="dxa"/>
            <w:tcBorders>
              <w:top w:val="single" w:sz="4" w:space="0" w:color="auto"/>
              <w:left w:val="single" w:sz="4" w:space="0" w:color="auto"/>
              <w:bottom w:val="single" w:sz="4" w:space="0" w:color="auto"/>
              <w:right w:val="single" w:sz="4" w:space="0" w:color="auto"/>
            </w:tcBorders>
            <w:hideMark/>
          </w:tcPr>
          <w:p w14:paraId="69E9247D" w14:textId="77777777" w:rsidR="00FC026B" w:rsidRPr="00C56257" w:rsidRDefault="00FC026B" w:rsidP="00993B86">
            <w:pPr>
              <w:autoSpaceDE w:val="0"/>
              <w:autoSpaceDN w:val="0"/>
              <w:adjustRightInd w:val="0"/>
              <w:rPr>
                <w:rFonts w:eastAsia="Calibri"/>
                <w:color w:val="000000"/>
                <w:lang w:val="en-US"/>
              </w:rPr>
            </w:pPr>
            <w:proofErr w:type="spellStart"/>
            <w:r w:rsidRPr="00C56257">
              <w:rPr>
                <w:rFonts w:eastAsia="Calibri"/>
                <w:color w:val="000000"/>
                <w:lang w:val="en-US"/>
              </w:rPr>
              <w:t>Compoziția</w:t>
            </w:r>
            <w:proofErr w:type="spellEnd"/>
            <w:r w:rsidRPr="00C56257">
              <w:rPr>
                <w:rFonts w:eastAsia="Calibri"/>
                <w:color w:val="000000"/>
                <w:lang w:val="en-US"/>
              </w:rPr>
              <w:t xml:space="preserve"> pe </w:t>
            </w:r>
            <w:proofErr w:type="spellStart"/>
            <w:r w:rsidRPr="00C56257">
              <w:rPr>
                <w:rFonts w:eastAsia="Calibri"/>
                <w:color w:val="000000"/>
                <w:lang w:val="en-US"/>
              </w:rPr>
              <w:t>specii</w:t>
            </w:r>
            <w:proofErr w:type="spellEnd"/>
            <w:r w:rsidRPr="00C56257">
              <w:rPr>
                <w:rFonts w:eastAsia="Calibri"/>
                <w:color w:val="000000"/>
                <w:lang w:val="en-US"/>
              </w:rPr>
              <w:t xml:space="preserve">, </w:t>
            </w:r>
            <w:proofErr w:type="spellStart"/>
            <w:r w:rsidRPr="00C56257">
              <w:rPr>
                <w:rFonts w:eastAsia="Calibri"/>
                <w:color w:val="000000"/>
                <w:lang w:val="en-US"/>
              </w:rPr>
              <w:t>bogăția</w:t>
            </w:r>
            <w:proofErr w:type="spellEnd"/>
            <w:r w:rsidRPr="00C56257">
              <w:rPr>
                <w:rFonts w:eastAsia="Calibri"/>
                <w:color w:val="000000"/>
                <w:lang w:val="en-US"/>
              </w:rPr>
              <w:t xml:space="preserve"> </w:t>
            </w:r>
            <w:proofErr w:type="spellStart"/>
            <w:r w:rsidRPr="00C56257">
              <w:rPr>
                <w:rFonts w:eastAsia="Calibri"/>
                <w:color w:val="000000"/>
                <w:lang w:val="en-US"/>
              </w:rPr>
              <w:t>speciilor</w:t>
            </w:r>
            <w:proofErr w:type="spellEnd"/>
            <w:r w:rsidRPr="00C56257">
              <w:rPr>
                <w:rFonts w:eastAsia="Calibri"/>
                <w:color w:val="000000"/>
                <w:lang w:val="en-US"/>
              </w:rPr>
              <w:t xml:space="preserve">, </w:t>
            </w:r>
            <w:proofErr w:type="spellStart"/>
            <w:r w:rsidRPr="00C56257">
              <w:rPr>
                <w:rFonts w:eastAsia="Calibri"/>
                <w:color w:val="000000"/>
                <w:lang w:val="en-US"/>
              </w:rPr>
              <w:t>caracteristicile</w:t>
            </w:r>
            <w:proofErr w:type="spellEnd"/>
            <w:r w:rsidRPr="00C56257">
              <w:rPr>
                <w:rFonts w:eastAsia="Calibri"/>
                <w:color w:val="000000"/>
                <w:lang w:val="en-US"/>
              </w:rPr>
              <w:t xml:space="preserve"> </w:t>
            </w:r>
            <w:proofErr w:type="spellStart"/>
            <w:r w:rsidRPr="00C56257">
              <w:rPr>
                <w:rFonts w:eastAsia="Calibri"/>
                <w:color w:val="000000"/>
                <w:lang w:val="en-US"/>
              </w:rPr>
              <w:t>speciilor</w:t>
            </w:r>
            <w:proofErr w:type="spellEnd"/>
            <w:r w:rsidRPr="00C56257">
              <w:rPr>
                <w:rFonts w:eastAsia="Calibri"/>
                <w:color w:val="000000"/>
                <w:lang w:val="en-US"/>
              </w:rPr>
              <w:t xml:space="preserve"> </w:t>
            </w:r>
          </w:p>
        </w:tc>
        <w:tc>
          <w:tcPr>
            <w:tcW w:w="4820" w:type="dxa"/>
            <w:tcBorders>
              <w:top w:val="single" w:sz="4" w:space="0" w:color="auto"/>
              <w:left w:val="single" w:sz="4" w:space="0" w:color="auto"/>
              <w:bottom w:val="single" w:sz="4" w:space="0" w:color="auto"/>
              <w:right w:val="single" w:sz="4" w:space="0" w:color="auto"/>
            </w:tcBorders>
            <w:hideMark/>
          </w:tcPr>
          <w:p w14:paraId="3029BC82" w14:textId="77777777" w:rsidR="00FC026B" w:rsidRPr="00C56257" w:rsidRDefault="00FC026B" w:rsidP="00993B86">
            <w:pPr>
              <w:autoSpaceDE w:val="0"/>
              <w:autoSpaceDN w:val="0"/>
              <w:adjustRightInd w:val="0"/>
              <w:rPr>
                <w:rFonts w:eastAsia="Calibri"/>
                <w:color w:val="000000"/>
                <w:lang w:val="en-US"/>
              </w:rPr>
            </w:pPr>
            <w:r w:rsidRPr="00C56257">
              <w:rPr>
                <w:rFonts w:eastAsia="Calibri"/>
                <w:color w:val="000000"/>
                <w:lang w:val="en-US"/>
              </w:rPr>
              <w:t xml:space="preserve">Analiza </w:t>
            </w:r>
            <w:proofErr w:type="spellStart"/>
            <w:r w:rsidRPr="00C56257">
              <w:rPr>
                <w:rFonts w:eastAsia="Calibri"/>
                <w:color w:val="000000"/>
                <w:lang w:val="en-US"/>
              </w:rPr>
              <w:t>probelor</w:t>
            </w:r>
            <w:proofErr w:type="spellEnd"/>
            <w:r w:rsidRPr="00C56257">
              <w:rPr>
                <w:rFonts w:eastAsia="Calibri"/>
                <w:color w:val="000000"/>
                <w:lang w:val="en-US"/>
              </w:rPr>
              <w:t xml:space="preserve"> de </w:t>
            </w:r>
            <w:proofErr w:type="spellStart"/>
            <w:r w:rsidRPr="00C56257">
              <w:rPr>
                <w:rFonts w:eastAsia="Calibri"/>
                <w:color w:val="000000"/>
                <w:lang w:val="en-US"/>
              </w:rPr>
              <w:t>bentos</w:t>
            </w:r>
            <w:proofErr w:type="spellEnd"/>
            <w:r w:rsidRPr="00C56257">
              <w:rPr>
                <w:rFonts w:eastAsia="Calibri"/>
                <w:color w:val="000000"/>
                <w:lang w:val="en-US"/>
              </w:rPr>
              <w:t xml:space="preserve">, </w:t>
            </w:r>
            <w:proofErr w:type="spellStart"/>
            <w:r w:rsidRPr="00C56257">
              <w:rPr>
                <w:rFonts w:eastAsia="Calibri"/>
                <w:color w:val="000000"/>
                <w:lang w:val="en-US"/>
              </w:rPr>
              <w:t>plancton</w:t>
            </w:r>
            <w:proofErr w:type="spellEnd"/>
            <w:r w:rsidRPr="00C56257">
              <w:rPr>
                <w:rFonts w:eastAsia="Calibri"/>
                <w:color w:val="000000"/>
                <w:lang w:val="en-US"/>
              </w:rPr>
              <w:t xml:space="preserve"> </w:t>
            </w:r>
            <w:proofErr w:type="spellStart"/>
            <w:r w:rsidRPr="00C56257">
              <w:rPr>
                <w:rFonts w:eastAsia="Calibri"/>
                <w:color w:val="000000"/>
                <w:lang w:val="en-US"/>
              </w:rPr>
              <w:t>și</w:t>
            </w:r>
            <w:proofErr w:type="spellEnd"/>
            <w:r w:rsidRPr="00C56257">
              <w:rPr>
                <w:rFonts w:eastAsia="Calibri"/>
                <w:color w:val="000000"/>
                <w:lang w:val="en-US"/>
              </w:rPr>
              <w:t xml:space="preserve"> </w:t>
            </w:r>
            <w:proofErr w:type="spellStart"/>
            <w:r w:rsidRPr="00C56257">
              <w:rPr>
                <w:rFonts w:eastAsia="Calibri"/>
                <w:color w:val="000000"/>
                <w:lang w:val="en-US"/>
              </w:rPr>
              <w:t>peşti</w:t>
            </w:r>
            <w:proofErr w:type="spellEnd"/>
            <w:r w:rsidRPr="00C56257">
              <w:rPr>
                <w:rFonts w:eastAsia="Calibri"/>
                <w:color w:val="000000"/>
                <w:lang w:val="en-US"/>
              </w:rPr>
              <w:t xml:space="preserve">; </w:t>
            </w:r>
            <w:proofErr w:type="spellStart"/>
            <w:r w:rsidRPr="00C56257">
              <w:rPr>
                <w:rFonts w:eastAsia="Calibri"/>
                <w:lang w:val="en-US"/>
              </w:rPr>
              <w:t>studiul</w:t>
            </w:r>
            <w:proofErr w:type="spellEnd"/>
            <w:r w:rsidRPr="00C56257">
              <w:rPr>
                <w:rFonts w:eastAsia="Calibri"/>
                <w:lang w:val="en-US"/>
              </w:rPr>
              <w:t xml:space="preserve"> </w:t>
            </w:r>
            <w:proofErr w:type="spellStart"/>
            <w:r w:rsidRPr="00C56257">
              <w:rPr>
                <w:rFonts w:eastAsia="Calibri"/>
                <w:lang w:val="en-US"/>
              </w:rPr>
              <w:t>asociațiilor</w:t>
            </w:r>
            <w:proofErr w:type="spellEnd"/>
            <w:r w:rsidRPr="00C56257">
              <w:rPr>
                <w:rFonts w:eastAsia="Calibri"/>
                <w:lang w:val="en-US"/>
              </w:rPr>
              <w:t xml:space="preserve"> </w:t>
            </w:r>
            <w:proofErr w:type="spellStart"/>
            <w:r w:rsidRPr="00C56257">
              <w:rPr>
                <w:rFonts w:eastAsia="Calibri"/>
                <w:lang w:val="en-US"/>
              </w:rPr>
              <w:t>vegetale</w:t>
            </w:r>
            <w:proofErr w:type="spellEnd"/>
          </w:p>
        </w:tc>
      </w:tr>
    </w:tbl>
    <w:p w14:paraId="23EEFE07" w14:textId="77777777" w:rsidR="00FC026B" w:rsidRPr="00F100E1" w:rsidRDefault="00FC026B" w:rsidP="00FC026B">
      <w:pPr>
        <w:ind w:firstLine="720"/>
        <w:jc w:val="both"/>
        <w:rPr>
          <w:rFonts w:eastAsia="Calibri"/>
        </w:rPr>
      </w:pPr>
    </w:p>
    <w:p w14:paraId="22940DF7" w14:textId="77777777" w:rsidR="00FC026B" w:rsidRPr="00C56257" w:rsidRDefault="00FC026B" w:rsidP="00FC026B">
      <w:pPr>
        <w:ind w:firstLine="720"/>
        <w:jc w:val="both"/>
      </w:pPr>
      <w:r w:rsidRPr="00C56257">
        <w:t>Evaluarea generală a elementelor menţionate se face după cum urmează:</w:t>
      </w:r>
    </w:p>
    <w:p w14:paraId="24E871C8" w14:textId="77777777" w:rsidR="00FC026B" w:rsidRPr="00C56257" w:rsidRDefault="00FC026B" w:rsidP="00FC026B">
      <w:pPr>
        <w:ind w:firstLine="720"/>
        <w:jc w:val="both"/>
      </w:pPr>
      <w:r w:rsidRPr="00C56257">
        <w:t>Starea de conservare a habitatului este considerată favorabilă în situația în care habitatul se află în parametrii de calitate normali, iar stabilitatea habitatului pe termen scurt și lung este asigurată, în lipsa unor presiuni și factori de risc semnificativi care ar putea afecta evoluția habitatului în prezent și viitor.</w:t>
      </w:r>
    </w:p>
    <w:p w14:paraId="0461D037" w14:textId="77777777" w:rsidR="00FC026B" w:rsidRPr="00C56257" w:rsidRDefault="00FC026B" w:rsidP="00FC026B">
      <w:pPr>
        <w:ind w:firstLine="720"/>
        <w:jc w:val="both"/>
      </w:pPr>
      <w:r w:rsidRPr="00C56257">
        <w:t>Starea de conservare a habitatului ste considerată neadecvată în situația în care habitatul este în prezent supus unor presiuni și riscuri (inclusiv antropice) de mică anvergură, care afectează deja parametrii de calitate ai habitatului, punând în pericol stabilitatea habitatului pe termen lung. Starea de conservare a habitatului este considerată nefavorabilă dacă habitatul este deja afectat semnificativ ca urmare a unor presiuni și riscuri majore, ce pun în pericol stabilitatea sa pe termen scurt și lung.</w:t>
      </w:r>
    </w:p>
    <w:p w14:paraId="377D7731" w14:textId="77777777" w:rsidR="00FC026B" w:rsidRPr="00C56257" w:rsidRDefault="00FC026B" w:rsidP="00FC026B">
      <w:pPr>
        <w:ind w:firstLine="720"/>
        <w:jc w:val="both"/>
      </w:pPr>
      <w:r w:rsidRPr="00C56257">
        <w:t>Starea de conservare a habitatului este considerată necunoscută dacă nu exista suficiente date pentru estimarea sa.</w:t>
      </w:r>
    </w:p>
    <w:p w14:paraId="635268E4" w14:textId="77777777" w:rsidR="00FC026B" w:rsidRPr="00C56257" w:rsidRDefault="00FC026B" w:rsidP="00FC026B">
      <w:pPr>
        <w:ind w:firstLine="720"/>
        <w:jc w:val="both"/>
      </w:pPr>
      <w:r w:rsidRPr="00C56257">
        <w:t>Informațiile despre presiuni și amenințări sunt necesare pentru evaluarea stării de conservare. Acestea furnizează informații despre principalii factori legați de rezultatele evaluării stării de conservare și pot ajuta la identificarea acțiunilor necesare pentru restaurare, fiind esențiale pentru a comunica rezultatele evaluării stării diverselor părți interesate.</w:t>
      </w:r>
    </w:p>
    <w:p w14:paraId="6B8EE7B7" w14:textId="77777777" w:rsidR="00FC026B" w:rsidRPr="00C56257" w:rsidRDefault="00FC026B" w:rsidP="00FC026B">
      <w:pPr>
        <w:ind w:firstLine="720"/>
        <w:jc w:val="both"/>
        <w:rPr>
          <w:lang w:val="en-US"/>
        </w:rPr>
      </w:pPr>
      <w:r w:rsidRPr="00C56257">
        <w:t xml:space="preserve">Pentru acest tip de habitat, principala amenințare este reprezentată de </w:t>
      </w:r>
      <w:r w:rsidRPr="00C56257">
        <w:rPr>
          <w:lang w:val="en-US"/>
        </w:rPr>
        <w:t>„</w:t>
      </w:r>
      <w:proofErr w:type="spellStart"/>
      <w:r w:rsidRPr="00C56257">
        <w:rPr>
          <w:lang w:val="en-US"/>
        </w:rPr>
        <w:t>Schimbări</w:t>
      </w:r>
      <w:proofErr w:type="spellEnd"/>
      <w:r w:rsidRPr="00C56257">
        <w:rPr>
          <w:lang w:val="en-US"/>
        </w:rPr>
        <w:t xml:space="preserve"> </w:t>
      </w:r>
      <w:proofErr w:type="spellStart"/>
      <w:r w:rsidRPr="00C56257">
        <w:rPr>
          <w:lang w:val="en-US"/>
        </w:rPr>
        <w:t>provocate</w:t>
      </w:r>
      <w:proofErr w:type="spellEnd"/>
      <w:r w:rsidRPr="00C56257">
        <w:rPr>
          <w:lang w:val="en-US"/>
        </w:rPr>
        <w:t xml:space="preserve"> de </w:t>
      </w:r>
      <w:proofErr w:type="spellStart"/>
      <w:r w:rsidRPr="00C56257">
        <w:rPr>
          <w:lang w:val="en-US"/>
        </w:rPr>
        <w:t>oameni</w:t>
      </w:r>
      <w:proofErr w:type="spellEnd"/>
      <w:r w:rsidRPr="00C56257">
        <w:rPr>
          <w:lang w:val="en-US"/>
        </w:rPr>
        <w:t xml:space="preserve"> </w:t>
      </w:r>
      <w:proofErr w:type="spellStart"/>
      <w:r w:rsidRPr="00C56257">
        <w:rPr>
          <w:lang w:val="en-US"/>
        </w:rPr>
        <w:t>în</w:t>
      </w:r>
      <w:proofErr w:type="spellEnd"/>
      <w:r w:rsidRPr="00C56257">
        <w:rPr>
          <w:lang w:val="en-US"/>
        </w:rPr>
        <w:t xml:space="preserve"> </w:t>
      </w:r>
      <w:proofErr w:type="spellStart"/>
      <w:r w:rsidRPr="00C56257">
        <w:rPr>
          <w:lang w:val="en-US"/>
        </w:rPr>
        <w:t>sistemele</w:t>
      </w:r>
      <w:proofErr w:type="spellEnd"/>
      <w:r w:rsidRPr="00C56257">
        <w:rPr>
          <w:lang w:val="en-US"/>
        </w:rPr>
        <w:t xml:space="preserve"> </w:t>
      </w:r>
      <w:proofErr w:type="spellStart"/>
      <w:r w:rsidRPr="00C56257">
        <w:rPr>
          <w:lang w:val="en-US"/>
        </w:rPr>
        <w:t>hidraulice</w:t>
      </w:r>
      <w:proofErr w:type="spellEnd"/>
      <w:r w:rsidRPr="00C56257">
        <w:rPr>
          <w:lang w:val="en-US"/>
        </w:rPr>
        <w:t xml:space="preserve"> (zone </w:t>
      </w:r>
      <w:proofErr w:type="spellStart"/>
      <w:r w:rsidRPr="00C56257">
        <w:rPr>
          <w:lang w:val="en-US"/>
        </w:rPr>
        <w:t>umede</w:t>
      </w:r>
      <w:proofErr w:type="spellEnd"/>
      <w:r w:rsidRPr="00C56257">
        <w:rPr>
          <w:lang w:val="en-US"/>
        </w:rPr>
        <w:t xml:space="preserve"> </w:t>
      </w:r>
      <w:proofErr w:type="spellStart"/>
      <w:r w:rsidRPr="00C56257">
        <w:rPr>
          <w:lang w:val="en-US"/>
        </w:rPr>
        <w:t>și</w:t>
      </w:r>
      <w:proofErr w:type="spellEnd"/>
      <w:r w:rsidRPr="00C56257">
        <w:rPr>
          <w:lang w:val="en-US"/>
        </w:rPr>
        <w:t xml:space="preserve"> </w:t>
      </w:r>
      <w:proofErr w:type="spellStart"/>
      <w:r w:rsidRPr="00C56257">
        <w:rPr>
          <w:lang w:val="en-US"/>
        </w:rPr>
        <w:t>mediul</w:t>
      </w:r>
      <w:proofErr w:type="spellEnd"/>
      <w:r w:rsidRPr="00C56257">
        <w:rPr>
          <w:lang w:val="en-US"/>
        </w:rPr>
        <w:t xml:space="preserve"> </w:t>
      </w:r>
      <w:proofErr w:type="spellStart"/>
      <w:r w:rsidRPr="00C56257">
        <w:rPr>
          <w:lang w:val="en-US"/>
        </w:rPr>
        <w:t>marin</w:t>
      </w:r>
      <w:proofErr w:type="spellEnd"/>
      <w:r w:rsidRPr="00C56257">
        <w:rPr>
          <w:lang w:val="en-US"/>
        </w:rPr>
        <w:t xml:space="preserve">)” - J02. </w:t>
      </w:r>
    </w:p>
    <w:p w14:paraId="645C3F1B" w14:textId="77777777" w:rsidR="00FC026B" w:rsidRPr="00C56257" w:rsidRDefault="00FC026B" w:rsidP="00FC026B"/>
    <w:p w14:paraId="41EDD0BD" w14:textId="77777777" w:rsidR="00FC026B" w:rsidRPr="00C56257" w:rsidRDefault="00FC026B" w:rsidP="00FC026B">
      <w:r w:rsidRPr="00C56257">
        <w:tab/>
      </w:r>
      <w:r w:rsidRPr="00C56257">
        <w:tab/>
      </w:r>
      <w:r w:rsidRPr="00C56257">
        <w:tab/>
      </w:r>
      <w:r w:rsidRPr="00C56257">
        <w:tab/>
      </w:r>
      <w:r w:rsidRPr="00C56257">
        <w:tab/>
      </w:r>
      <w:r w:rsidRPr="00C56257">
        <w:tab/>
      </w:r>
    </w:p>
    <w:p w14:paraId="5B6DCC02" w14:textId="77777777" w:rsidR="00FC026B" w:rsidRPr="00C56257" w:rsidRDefault="00FC026B" w:rsidP="00FC026B">
      <w:pPr>
        <w:autoSpaceDE w:val="0"/>
        <w:autoSpaceDN w:val="0"/>
        <w:adjustRightInd w:val="0"/>
        <w:rPr>
          <w:rFonts w:eastAsia="Calibri"/>
          <w:b/>
        </w:rPr>
      </w:pPr>
      <w:r w:rsidRPr="00C56257">
        <w:rPr>
          <w:rFonts w:eastAsia="Calibri"/>
          <w:b/>
          <w:bCs/>
        </w:rPr>
        <w:t xml:space="preserve">1210 </w:t>
      </w:r>
      <w:r w:rsidRPr="00C56257">
        <w:rPr>
          <w:rFonts w:eastAsia="Calibri"/>
          <w:b/>
        </w:rPr>
        <w:t xml:space="preserve">Vegetaţie anuală de-a lungul liniei ţărmului </w:t>
      </w:r>
    </w:p>
    <w:p w14:paraId="1E385167" w14:textId="77777777" w:rsidR="00FC026B" w:rsidRPr="00C56257" w:rsidRDefault="00FC026B" w:rsidP="00FC026B">
      <w:pPr>
        <w:tabs>
          <w:tab w:val="center" w:pos="4986"/>
        </w:tabs>
        <w:autoSpaceDE w:val="0"/>
        <w:autoSpaceDN w:val="0"/>
        <w:adjustRightInd w:val="0"/>
        <w:rPr>
          <w:rFonts w:eastAsia="Calibri"/>
        </w:rPr>
      </w:pPr>
      <w:r w:rsidRPr="00C56257">
        <w:rPr>
          <w:rFonts w:eastAsia="Calibri"/>
        </w:rPr>
        <w:t>CLAS. PAL.: 17.2</w:t>
      </w:r>
      <w:r w:rsidRPr="00C56257">
        <w:rPr>
          <w:rFonts w:eastAsia="Calibri"/>
        </w:rPr>
        <w:tab/>
      </w:r>
    </w:p>
    <w:tbl>
      <w:tblPr>
        <w:tblW w:w="12245" w:type="dxa"/>
        <w:tblInd w:w="-34" w:type="dxa"/>
        <w:tblLook w:val="04A0" w:firstRow="1" w:lastRow="0" w:firstColumn="1" w:lastColumn="0" w:noHBand="0" w:noVBand="1"/>
      </w:tblPr>
      <w:tblGrid>
        <w:gridCol w:w="10548"/>
        <w:gridCol w:w="2322"/>
      </w:tblGrid>
      <w:tr w:rsidR="00FC026B" w:rsidRPr="00C56257" w14:paraId="25E3B743" w14:textId="77777777" w:rsidTr="00993B86">
        <w:trPr>
          <w:trHeight w:val="297"/>
        </w:trPr>
        <w:tc>
          <w:tcPr>
            <w:tcW w:w="9923" w:type="dxa"/>
            <w:noWrap/>
            <w:vAlign w:val="bottom"/>
          </w:tcPr>
          <w:p w14:paraId="7197ACBD" w14:textId="77777777" w:rsidR="00FC026B" w:rsidRPr="00C56257" w:rsidRDefault="00FC026B" w:rsidP="00993B86">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10"/>
              <w:gridCol w:w="222"/>
            </w:tblGrid>
            <w:tr w:rsidR="00FC026B" w:rsidRPr="00C56257" w14:paraId="2BF99463" w14:textId="77777777" w:rsidTr="00993B86">
              <w:tc>
                <w:tcPr>
                  <w:tcW w:w="10110" w:type="dxa"/>
                  <w:tcBorders>
                    <w:top w:val="nil"/>
                    <w:left w:val="nil"/>
                    <w:bottom w:val="nil"/>
                    <w:right w:val="nil"/>
                  </w:tcBorders>
                  <w:vAlign w:val="bottom"/>
                </w:tcPr>
                <w:p w14:paraId="62CAC412" w14:textId="77777777" w:rsidR="00FC026B" w:rsidRPr="00C56257" w:rsidRDefault="00FC026B" w:rsidP="00993B86">
                  <w:pPr>
                    <w:ind w:firstLine="567"/>
                    <w:jc w:val="both"/>
                  </w:pPr>
                  <w:r w:rsidRPr="00C56257">
                    <w:t xml:space="preserve">Habitatul costier „Vegetaţie anuală de-a lungul liniei ţărmului” (cod 1210) cuprinde comunităţi de plante anuale sau anuale şi perene aparţinând clasei </w:t>
                  </w:r>
                  <w:r w:rsidRPr="00C56257">
                    <w:rPr>
                      <w:i/>
                    </w:rPr>
                    <w:t>Cakiletea maritimae</w:t>
                  </w:r>
                  <w:r w:rsidRPr="00C56257">
                    <w:t xml:space="preserve"> </w:t>
                  </w:r>
                  <w:r w:rsidRPr="00C56257">
                    <w:rPr>
                      <w:iCs/>
                      <w:color w:val="000000"/>
                    </w:rPr>
                    <w:t xml:space="preserve">R. Tx. et Prsg. 1952, </w:t>
                  </w:r>
                  <w:r w:rsidRPr="00C56257">
                    <w:t xml:space="preserve">dezvoltate în general pe nisipuri grosiere (cochilifere), dar pe alocuri şi pe nisipuri fine, uşor sărăturate, bogate în materii organice azotate. Ocupă în general porţiunea de plajă nisipoasă dintre mediolitoral şi dunele mobile embrionare (habitatul 2110), dar în unele situaţii (mai ales pe plajele late şi pe grinduri) pot fi întâlnite şi pe dunele joase de nisip din apropierea mediolitoralului, scăldate ocazional de valuri, în timpul furtunilor puternice. </w:t>
                  </w:r>
                </w:p>
                <w:p w14:paraId="17D0D8A8" w14:textId="77777777" w:rsidR="00FC026B" w:rsidRPr="00C56257" w:rsidRDefault="00FC026B" w:rsidP="00993B86">
                  <w:pPr>
                    <w:ind w:firstLine="567"/>
                    <w:jc w:val="both"/>
                  </w:pPr>
                  <w:r w:rsidRPr="00C56257">
                    <w:t>Din punct de vedere biogeografic, zona în care se întâlnește habitatul 1210 aparţine bioregiunii Marea Neagră (bioregiunea pontică).</w:t>
                  </w:r>
                </w:p>
                <w:p w14:paraId="42147102" w14:textId="77777777" w:rsidR="00FC026B" w:rsidRPr="00C56257" w:rsidRDefault="00FC026B" w:rsidP="00993B86">
                  <w:pPr>
                    <w:ind w:firstLine="567"/>
                    <w:jc w:val="both"/>
                  </w:pPr>
                  <w:r w:rsidRPr="00C56257">
                    <w:t xml:space="preserve">Identificarea habitatului 1210 de-a lungul zonei costiere a Mării Negre dintre Vama Veche şi Sulina se face pe baza asociaţiilor vegetale tipice acestui habitat și a unor specii cheie, caracteristice habitatului. Unui tip de habitat de interes comunitar îi pot corespunde mai multe asociaţii vegetale sau cenotaxoni inferiori. Un cenotaxon trebuie să corespundă însă unui singur tip de habitat, condiţie impusă de necesitatea individualizării cât mai clare a tipurilor de habitate (Gafta &amp; Mountford et al., 2008). </w:t>
                  </w:r>
                </w:p>
                <w:p w14:paraId="25403A9C" w14:textId="77777777" w:rsidR="00FC026B" w:rsidRPr="00C56257" w:rsidRDefault="00FC026B" w:rsidP="00993B86">
                  <w:pPr>
                    <w:tabs>
                      <w:tab w:val="left" w:pos="720"/>
                    </w:tabs>
                    <w:autoSpaceDE w:val="0"/>
                    <w:autoSpaceDN w:val="0"/>
                    <w:adjustRightInd w:val="0"/>
                    <w:ind w:firstLine="567"/>
                    <w:jc w:val="both"/>
                  </w:pPr>
                  <w:r w:rsidRPr="00C56257">
                    <w:rPr>
                      <w:iCs/>
                      <w:color w:val="000000"/>
                    </w:rPr>
                    <w:t xml:space="preserve">Asociaţiile vegetale specifice acestui tip de habitat (Făgăraş et al, 2008; Făgăraș, 2012; Făgăraș, 2013; Făgăraș, 2014; Făgăraş et al, 2015; Făgăraș &amp; Jianu, 2016; Zaharia et al., 2013;  Gafta &amp; Mountford (coord.) et al., 2008; Sanda et al., 2008) sunt: </w:t>
                  </w:r>
                  <w:r w:rsidRPr="00C56257">
                    <w:rPr>
                      <w:i/>
                    </w:rPr>
                    <w:t xml:space="preserve">Salsolo ruthenicae-Xanthietum strumarii </w:t>
                  </w:r>
                  <w:r w:rsidRPr="00C56257">
                    <w:t xml:space="preserve">Oberd et Tx. 1950 (Fig. III.3) - cu speciile edificatoare </w:t>
                  </w:r>
                  <w:r w:rsidRPr="00C56257">
                    <w:rPr>
                      <w:i/>
                    </w:rPr>
                    <w:t xml:space="preserve">Salsola kali </w:t>
                  </w:r>
                  <w:r w:rsidRPr="00C56257">
                    <w:t xml:space="preserve">subsp. </w:t>
                  </w:r>
                  <w:r w:rsidRPr="00C56257">
                    <w:rPr>
                      <w:i/>
                    </w:rPr>
                    <w:t xml:space="preserve">ruthenica </w:t>
                  </w:r>
                  <w:r w:rsidRPr="00C56257">
                    <w:t xml:space="preserve">și </w:t>
                  </w:r>
                  <w:r w:rsidRPr="00C56257">
                    <w:rPr>
                      <w:i/>
                    </w:rPr>
                    <w:t>Xanthium strumarium</w:t>
                  </w:r>
                  <w:r w:rsidRPr="00C56257">
                    <w:t xml:space="preserve"> subsp. </w:t>
                  </w:r>
                  <w:r w:rsidRPr="00C56257">
                    <w:rPr>
                      <w:i/>
                    </w:rPr>
                    <w:t>italicum</w:t>
                  </w:r>
                  <w:r w:rsidRPr="00C56257">
                    <w:t xml:space="preserve">, </w:t>
                  </w:r>
                  <w:r w:rsidRPr="00C56257">
                    <w:rPr>
                      <w:i/>
                    </w:rPr>
                    <w:t xml:space="preserve">Cakilo euxinae-Salsoletum ruthenicae </w:t>
                  </w:r>
                  <w:r w:rsidRPr="00C56257">
                    <w:t xml:space="preserve">Vicherek 1971 (Fig. III.4) - cu </w:t>
                  </w:r>
                  <w:r w:rsidRPr="00C56257">
                    <w:lastRenderedPageBreak/>
                    <w:t>speciile edificatoare</w:t>
                  </w:r>
                  <w:r w:rsidRPr="00C56257">
                    <w:rPr>
                      <w:i/>
                    </w:rPr>
                    <w:t xml:space="preserve"> Cakile maritima</w:t>
                  </w:r>
                  <w:r w:rsidRPr="00C56257">
                    <w:t xml:space="preserve"> subsp.</w:t>
                  </w:r>
                  <w:r w:rsidRPr="00C56257">
                    <w:rPr>
                      <w:i/>
                    </w:rPr>
                    <w:t xml:space="preserve"> euxina</w:t>
                  </w:r>
                  <w:r w:rsidRPr="00C56257">
                    <w:t xml:space="preserve"> și</w:t>
                  </w:r>
                  <w:r w:rsidRPr="00C56257">
                    <w:rPr>
                      <w:i/>
                    </w:rPr>
                    <w:t xml:space="preserve"> Salsola kali </w:t>
                  </w:r>
                  <w:r w:rsidRPr="00C56257">
                    <w:t xml:space="preserve">subsp. </w:t>
                  </w:r>
                  <w:r w:rsidRPr="00C56257">
                    <w:rPr>
                      <w:i/>
                    </w:rPr>
                    <w:t>ruthenica</w:t>
                  </w:r>
                  <w:r w:rsidRPr="00C56257">
                    <w:t xml:space="preserve">, </w:t>
                  </w:r>
                  <w:r w:rsidRPr="00C56257">
                    <w:rPr>
                      <w:i/>
                    </w:rPr>
                    <w:t>Lactuco tataricae-Glaucietum flavae</w:t>
                  </w:r>
                  <w:r w:rsidRPr="00C56257">
                    <w:t xml:space="preserve"> Dihoru et Negrean 1976 (Fig. III.5) -  cu speciile edificatoare </w:t>
                  </w:r>
                  <w:r w:rsidRPr="00C56257">
                    <w:rPr>
                      <w:i/>
                    </w:rPr>
                    <w:t xml:space="preserve">Glaucium flavum </w:t>
                  </w:r>
                  <w:r w:rsidRPr="00C56257">
                    <w:t>și</w:t>
                  </w:r>
                  <w:r w:rsidRPr="00C56257">
                    <w:rPr>
                      <w:i/>
                    </w:rPr>
                    <w:t xml:space="preserve"> Lactuca tatarica</w:t>
                  </w:r>
                  <w:r w:rsidRPr="00C56257">
                    <w:t xml:space="preserve">, </w:t>
                  </w:r>
                  <w:r w:rsidRPr="00C56257">
                    <w:rPr>
                      <w:i/>
                    </w:rPr>
                    <w:t>Argusietum</w:t>
                  </w:r>
                  <w:r w:rsidRPr="00C56257">
                    <w:t xml:space="preserve"> (</w:t>
                  </w:r>
                  <w:r w:rsidRPr="00C56257">
                    <w:rPr>
                      <w:i/>
                    </w:rPr>
                    <w:t>Tournefortietum)</w:t>
                  </w:r>
                  <w:r w:rsidRPr="00C56257">
                    <w:t xml:space="preserve"> </w:t>
                  </w:r>
                  <w:r w:rsidRPr="00C56257">
                    <w:rPr>
                      <w:i/>
                    </w:rPr>
                    <w:t xml:space="preserve">sibiricae </w:t>
                  </w:r>
                  <w:r w:rsidRPr="00C56257">
                    <w:t xml:space="preserve">Popescu et Sanda 1975 (Fig. III.6) - cu specia edificatoare </w:t>
                  </w:r>
                  <w:r w:rsidRPr="00C56257">
                    <w:rPr>
                      <w:i/>
                    </w:rPr>
                    <w:t>Argusia sibirica</w:t>
                  </w:r>
                  <w:r w:rsidRPr="00C56257">
                    <w:t xml:space="preserve"> (syn. </w:t>
                  </w:r>
                  <w:r w:rsidRPr="00C56257">
                    <w:rPr>
                      <w:i/>
                    </w:rPr>
                    <w:t>Tournefortia sibirica</w:t>
                  </w:r>
                  <w:r w:rsidRPr="00C56257">
                    <w:t xml:space="preserve">) și </w:t>
                  </w:r>
                  <w:r w:rsidRPr="00C56257">
                    <w:rPr>
                      <w:i/>
                    </w:rPr>
                    <w:t>Crambetum maritimae</w:t>
                  </w:r>
                  <w:r w:rsidRPr="00C56257">
                    <w:t xml:space="preserve"> (I.Şerbănescu 1965) Popescu et al. 1980 (Fig. III.7) - cu specia edificatoare </w:t>
                  </w:r>
                  <w:r w:rsidRPr="00C56257">
                    <w:rPr>
                      <w:i/>
                    </w:rPr>
                    <w:t>Crambe maritima.</w:t>
                  </w:r>
                  <w:r w:rsidRPr="00C56257">
                    <w:t xml:space="preserve"> </w:t>
                  </w:r>
                </w:p>
                <w:p w14:paraId="2C154731" w14:textId="77777777" w:rsidR="00FC026B" w:rsidRPr="00C56257" w:rsidRDefault="00FC026B" w:rsidP="00993B86">
                  <w:pPr>
                    <w:ind w:firstLine="567"/>
                    <w:jc w:val="both"/>
                    <w:rPr>
                      <w:color w:val="000000"/>
                    </w:rPr>
                  </w:pPr>
                  <w:r w:rsidRPr="00C56257">
                    <w:rPr>
                      <w:bCs/>
                    </w:rPr>
                    <w:t xml:space="preserve">Pentru o mai eficientă monitorizare a habitatului 1210, zona costieră românească va fi împărţită în mai multe segmente de coastă corespunzând zonelor unde în prezent există vegetaţie naturală pe plaje şi unde este prezent acest tip de habitat (conform ultimei raportări și a literaturii de specialitate recente): </w:t>
                  </w:r>
                  <w:r w:rsidRPr="00C56257">
                    <w:rPr>
                      <w:color w:val="000000"/>
                    </w:rPr>
                    <w:t xml:space="preserve">Vama Veche-2 Mai, Tuzla-Eforie Sud, Cap Midia (incinta portului), grindul Chituc (Corbu-Periboina), Periboina - Gura Portiţei,  Gura Portiței - Periteaşca, grindul Perişor, zona Sacalin-Zătoane, Sfântu Gheorghe-Câșla Vădanei, plaja Sulina. </w:t>
                  </w:r>
                </w:p>
                <w:p w14:paraId="4758F872" w14:textId="77777777" w:rsidR="00FC026B" w:rsidRPr="00C56257" w:rsidRDefault="00FC026B" w:rsidP="00993B86">
                  <w:pPr>
                    <w:ind w:firstLine="567"/>
                    <w:jc w:val="both"/>
                    <w:rPr>
                      <w:color w:val="000000"/>
                    </w:rPr>
                  </w:pPr>
                  <w:r w:rsidRPr="00C56257">
                    <w:rPr>
                      <w:color w:val="000000"/>
                    </w:rPr>
                    <w:t xml:space="preserve">Mare parte a observațiilor se vor desfășura în zona costieră a Rezervației Biosferei Delta Dunării, unde habitatul este prezent aproape continuu de-a lungul țărmului, mai puțin în zonele în care plajele nisipoase se îngustează mult datorită eroziunii sau pe suprafețele pe care se practică pășunatul intensiv și extensiv (vite, cai), inclusiv în zone strict protejate din Rezervația Biosferei (Periteașca-Leahova, Sahalin-Zătoane). </w:t>
                  </w:r>
                </w:p>
                <w:p w14:paraId="3B3FF87E" w14:textId="77777777" w:rsidR="00FC026B" w:rsidRPr="00C56257" w:rsidRDefault="00FC026B" w:rsidP="00993B86">
                  <w:pPr>
                    <w:ind w:firstLine="567"/>
                    <w:jc w:val="both"/>
                    <w:rPr>
                      <w:color w:val="000000"/>
                    </w:rPr>
                  </w:pPr>
                  <w:r w:rsidRPr="00C56257">
                    <w:rPr>
                      <w:color w:val="000000"/>
                    </w:rPr>
                    <w:t>În Rezervația Biosferei Delta Dunării (ROSCI 0065), habitatul 1210 este în general bine reprezentat în următoarele segmente de coastă:</w:t>
                  </w:r>
                </w:p>
                <w:p w14:paraId="202CD3C4" w14:textId="77777777" w:rsidR="00FC026B" w:rsidRPr="00C56257" w:rsidRDefault="00FC026B" w:rsidP="00993B86">
                  <w:pPr>
                    <w:ind w:firstLine="720"/>
                    <w:jc w:val="both"/>
                    <w:rPr>
                      <w:color w:val="000000"/>
                    </w:rPr>
                  </w:pPr>
                  <w:r w:rsidRPr="00C56257">
                    <w:rPr>
                      <w:color w:val="000000"/>
                    </w:rPr>
                    <w:t xml:space="preserve">- </w:t>
                  </w:r>
                  <w:r w:rsidRPr="00C56257">
                    <w:rPr>
                      <w:b/>
                      <w:color w:val="000000"/>
                    </w:rPr>
                    <w:t>pe grindul Chituc</w:t>
                  </w:r>
                  <w:r w:rsidRPr="00C56257">
                    <w:rPr>
                      <w:color w:val="000000"/>
                    </w:rPr>
                    <w:t xml:space="preserve"> (între Capul Midia și Edighiol) - mai ales prin asociația vegetală </w:t>
                  </w:r>
                  <w:r w:rsidRPr="00C56257">
                    <w:rPr>
                      <w:i/>
                      <w:color w:val="000000"/>
                    </w:rPr>
                    <w:t xml:space="preserve">Salsolo ruthenicae-Xanthietum strumarii </w:t>
                  </w:r>
                  <w:r w:rsidRPr="00C56257">
                    <w:rPr>
                      <w:color w:val="000000"/>
                    </w:rPr>
                    <w:t>Oberd et Tx. 1950;</w:t>
                  </w:r>
                </w:p>
                <w:p w14:paraId="72C4BF72" w14:textId="77777777" w:rsidR="00FC026B" w:rsidRPr="00C56257" w:rsidRDefault="00FC026B" w:rsidP="00993B86">
                  <w:pPr>
                    <w:ind w:firstLine="720"/>
                    <w:jc w:val="both"/>
                    <w:rPr>
                      <w:color w:val="000000"/>
                    </w:rPr>
                  </w:pPr>
                  <w:r w:rsidRPr="00C56257">
                    <w:rPr>
                      <w:color w:val="000000"/>
                    </w:rPr>
                    <w:t xml:space="preserve">- în </w:t>
                  </w:r>
                  <w:r w:rsidRPr="00C56257">
                    <w:rPr>
                      <w:b/>
                      <w:color w:val="000000"/>
                    </w:rPr>
                    <w:t>zona costieră dintre Edighiol și Portița</w:t>
                  </w:r>
                  <w:r w:rsidRPr="00C56257">
                    <w:rPr>
                      <w:color w:val="000000"/>
                    </w:rPr>
                    <w:t xml:space="preserve"> - prin asociațiile vegetale </w:t>
                  </w:r>
                  <w:r w:rsidRPr="00C56257">
                    <w:rPr>
                      <w:i/>
                      <w:color w:val="000000"/>
                    </w:rPr>
                    <w:t xml:space="preserve">Salsolo ruthenicae-Xanthietum strumarii </w:t>
                  </w:r>
                  <w:r w:rsidRPr="00C56257">
                    <w:rPr>
                      <w:color w:val="000000"/>
                    </w:rPr>
                    <w:t xml:space="preserve">Oberd et Tx. 1950, </w:t>
                  </w:r>
                  <w:r w:rsidRPr="00C56257">
                    <w:rPr>
                      <w:i/>
                      <w:color w:val="000000"/>
                    </w:rPr>
                    <w:t xml:space="preserve">Cakilo euxinae-Salsoletum ruthenicae </w:t>
                  </w:r>
                  <w:r w:rsidRPr="00C56257">
                    <w:rPr>
                      <w:color w:val="000000"/>
                    </w:rPr>
                    <w:t xml:space="preserve">Vicherek 1971 și </w:t>
                  </w:r>
                  <w:r w:rsidRPr="00C56257">
                    <w:rPr>
                      <w:i/>
                      <w:color w:val="000000"/>
                    </w:rPr>
                    <w:t>Argusietum</w:t>
                  </w:r>
                  <w:r w:rsidRPr="00C56257">
                    <w:rPr>
                      <w:color w:val="000000"/>
                    </w:rPr>
                    <w:t xml:space="preserve"> (</w:t>
                  </w:r>
                  <w:r w:rsidRPr="00C56257">
                    <w:rPr>
                      <w:i/>
                      <w:color w:val="000000"/>
                    </w:rPr>
                    <w:t>Tournefortietum)</w:t>
                  </w:r>
                  <w:r w:rsidRPr="00C56257">
                    <w:rPr>
                      <w:color w:val="000000"/>
                    </w:rPr>
                    <w:t xml:space="preserve"> </w:t>
                  </w:r>
                  <w:r w:rsidRPr="00C56257">
                    <w:rPr>
                      <w:i/>
                      <w:color w:val="000000"/>
                    </w:rPr>
                    <w:t xml:space="preserve">sibiricae </w:t>
                  </w:r>
                  <w:r w:rsidRPr="00C56257">
                    <w:rPr>
                      <w:color w:val="000000"/>
                    </w:rPr>
                    <w:t>Popescu et Sanda 1975;</w:t>
                  </w:r>
                </w:p>
                <w:p w14:paraId="00F16FEE" w14:textId="77777777" w:rsidR="00FC026B" w:rsidRPr="00C56257" w:rsidRDefault="00FC026B" w:rsidP="00993B86">
                  <w:pPr>
                    <w:ind w:firstLine="720"/>
                    <w:jc w:val="both"/>
                    <w:rPr>
                      <w:color w:val="000000"/>
                    </w:rPr>
                  </w:pPr>
                  <w:r w:rsidRPr="00C56257">
                    <w:rPr>
                      <w:color w:val="000000"/>
                    </w:rPr>
                    <w:t xml:space="preserve">- în </w:t>
                  </w:r>
                  <w:r w:rsidRPr="00C56257">
                    <w:rPr>
                      <w:b/>
                      <w:color w:val="000000"/>
                    </w:rPr>
                    <w:t>zona litorală dintre</w:t>
                  </w:r>
                  <w:r w:rsidRPr="00C56257">
                    <w:rPr>
                      <w:color w:val="000000"/>
                    </w:rPr>
                    <w:t xml:space="preserve"> </w:t>
                  </w:r>
                  <w:r w:rsidRPr="00C56257">
                    <w:rPr>
                      <w:b/>
                      <w:color w:val="000000"/>
                    </w:rPr>
                    <w:t>Portița și canalul Periteașca</w:t>
                  </w:r>
                  <w:r w:rsidRPr="00C56257">
                    <w:rPr>
                      <w:color w:val="000000"/>
                    </w:rPr>
                    <w:t xml:space="preserve"> (zona strict protejată Periteașca-Leahova) - prin asociațiile vegetale </w:t>
                  </w:r>
                  <w:r w:rsidRPr="00C56257">
                    <w:rPr>
                      <w:i/>
                      <w:color w:val="000000"/>
                    </w:rPr>
                    <w:t xml:space="preserve">Salsolo ruthenicae-Xanthietum strumarii </w:t>
                  </w:r>
                  <w:r w:rsidRPr="00C56257">
                    <w:rPr>
                      <w:color w:val="000000"/>
                    </w:rPr>
                    <w:t xml:space="preserve">Oberd et Tx. 1950, </w:t>
                  </w:r>
                  <w:r w:rsidRPr="00C56257">
                    <w:rPr>
                      <w:i/>
                      <w:color w:val="000000"/>
                    </w:rPr>
                    <w:t xml:space="preserve">Cakilo euxinae-Salsoletum ruthenicae </w:t>
                  </w:r>
                  <w:r w:rsidRPr="00C56257">
                    <w:rPr>
                      <w:color w:val="000000"/>
                    </w:rPr>
                    <w:t xml:space="preserve">Vicherek 1971, </w:t>
                  </w:r>
                  <w:r w:rsidRPr="00C56257">
                    <w:rPr>
                      <w:i/>
                      <w:color w:val="000000"/>
                    </w:rPr>
                    <w:t>Lactuco tataricae-Glaucietum flavae</w:t>
                  </w:r>
                  <w:r w:rsidRPr="00C56257">
                    <w:rPr>
                      <w:color w:val="000000"/>
                    </w:rPr>
                    <w:t xml:space="preserve"> Dihoru et Negrean 1976 și </w:t>
                  </w:r>
                  <w:r w:rsidRPr="00C56257">
                    <w:rPr>
                      <w:i/>
                      <w:color w:val="000000"/>
                    </w:rPr>
                    <w:t>Argusietum</w:t>
                  </w:r>
                  <w:r w:rsidRPr="00C56257">
                    <w:rPr>
                      <w:color w:val="000000"/>
                    </w:rPr>
                    <w:t xml:space="preserve"> (</w:t>
                  </w:r>
                  <w:r w:rsidRPr="00C56257">
                    <w:rPr>
                      <w:i/>
                      <w:color w:val="000000"/>
                    </w:rPr>
                    <w:t>Tournefortietum)</w:t>
                  </w:r>
                  <w:r w:rsidRPr="00C56257">
                    <w:rPr>
                      <w:color w:val="000000"/>
                    </w:rPr>
                    <w:t xml:space="preserve"> </w:t>
                  </w:r>
                  <w:r w:rsidRPr="00C56257">
                    <w:rPr>
                      <w:i/>
                      <w:color w:val="000000"/>
                    </w:rPr>
                    <w:t xml:space="preserve">sibiricae </w:t>
                  </w:r>
                  <w:r w:rsidRPr="00C56257">
                    <w:rPr>
                      <w:color w:val="000000"/>
                    </w:rPr>
                    <w:t>Popescu et Sanda 1975;</w:t>
                  </w:r>
                </w:p>
                <w:p w14:paraId="495FA626" w14:textId="77777777" w:rsidR="00FC026B" w:rsidRPr="00C56257" w:rsidRDefault="00FC026B" w:rsidP="00993B86">
                  <w:pPr>
                    <w:ind w:firstLine="720"/>
                    <w:jc w:val="both"/>
                    <w:rPr>
                      <w:color w:val="000000"/>
                    </w:rPr>
                  </w:pPr>
                  <w:r w:rsidRPr="00C56257">
                    <w:rPr>
                      <w:color w:val="000000"/>
                    </w:rPr>
                    <w:t xml:space="preserve">- în </w:t>
                  </w:r>
                  <w:r w:rsidRPr="00C56257">
                    <w:rPr>
                      <w:b/>
                      <w:color w:val="000000"/>
                    </w:rPr>
                    <w:t>zona costieră a grindului Perișor</w:t>
                  </w:r>
                  <w:r w:rsidRPr="00C56257">
                    <w:rPr>
                      <w:color w:val="000000"/>
                    </w:rPr>
                    <w:t xml:space="preserve"> - prin asociațiile vegetale </w:t>
                  </w:r>
                  <w:r w:rsidRPr="00C56257">
                    <w:rPr>
                      <w:i/>
                      <w:color w:val="000000"/>
                    </w:rPr>
                    <w:t xml:space="preserve">Salsolo ruthenicae-Xanthietum strumarii </w:t>
                  </w:r>
                  <w:r w:rsidRPr="00C56257">
                    <w:rPr>
                      <w:color w:val="000000"/>
                    </w:rPr>
                    <w:t xml:space="preserve">Oberd et Tx. 1950, </w:t>
                  </w:r>
                  <w:r w:rsidRPr="00C56257">
                    <w:rPr>
                      <w:i/>
                      <w:color w:val="000000"/>
                    </w:rPr>
                    <w:t xml:space="preserve">Cakilo euxinae-Salsoletum ruthenicae </w:t>
                  </w:r>
                  <w:r w:rsidRPr="00C56257">
                    <w:rPr>
                      <w:color w:val="000000"/>
                    </w:rPr>
                    <w:t xml:space="preserve">Vicherek 1971, </w:t>
                  </w:r>
                  <w:r w:rsidRPr="00C56257">
                    <w:rPr>
                      <w:i/>
                      <w:color w:val="000000"/>
                    </w:rPr>
                    <w:t>Lactuco tataricae-Glaucietum flavae</w:t>
                  </w:r>
                  <w:r w:rsidRPr="00C56257">
                    <w:rPr>
                      <w:color w:val="000000"/>
                    </w:rPr>
                    <w:t xml:space="preserve"> Dihoru et Negrean 1976 și </w:t>
                  </w:r>
                  <w:r w:rsidRPr="00C56257">
                    <w:rPr>
                      <w:i/>
                      <w:color w:val="000000"/>
                    </w:rPr>
                    <w:t>Argusietum</w:t>
                  </w:r>
                  <w:r w:rsidRPr="00C56257">
                    <w:rPr>
                      <w:color w:val="000000"/>
                    </w:rPr>
                    <w:t xml:space="preserve"> (</w:t>
                  </w:r>
                  <w:r w:rsidRPr="00C56257">
                    <w:rPr>
                      <w:i/>
                      <w:color w:val="000000"/>
                    </w:rPr>
                    <w:t>Tournefortietum)</w:t>
                  </w:r>
                  <w:r w:rsidRPr="00C56257">
                    <w:rPr>
                      <w:color w:val="000000"/>
                    </w:rPr>
                    <w:t xml:space="preserve"> </w:t>
                  </w:r>
                  <w:r w:rsidRPr="00C56257">
                    <w:rPr>
                      <w:i/>
                      <w:color w:val="000000"/>
                    </w:rPr>
                    <w:t xml:space="preserve">sibiricae </w:t>
                  </w:r>
                  <w:r w:rsidRPr="00C56257">
                    <w:rPr>
                      <w:color w:val="000000"/>
                    </w:rPr>
                    <w:t>Popescu et Sanda 1975;</w:t>
                  </w:r>
                </w:p>
                <w:p w14:paraId="7575CB7B" w14:textId="77777777" w:rsidR="00FC026B" w:rsidRPr="00C56257" w:rsidRDefault="00FC026B" w:rsidP="00993B86">
                  <w:pPr>
                    <w:ind w:firstLine="720"/>
                    <w:jc w:val="both"/>
                    <w:rPr>
                      <w:color w:val="000000"/>
                    </w:rPr>
                  </w:pPr>
                  <w:r w:rsidRPr="00C56257">
                    <w:rPr>
                      <w:color w:val="000000"/>
                    </w:rPr>
                    <w:t>- sporadic și pe suprafețe mici, în</w:t>
                  </w:r>
                  <w:r w:rsidRPr="00C56257">
                    <w:rPr>
                      <w:b/>
                      <w:color w:val="000000"/>
                    </w:rPr>
                    <w:t xml:space="preserve"> zona costieră a ariei strict protejate Sahalin-Zătoane</w:t>
                  </w:r>
                  <w:r w:rsidRPr="00C56257">
                    <w:rPr>
                      <w:color w:val="000000"/>
                    </w:rPr>
                    <w:t xml:space="preserve"> (grindurile Crucea, Călugărului, Cașa, Grindul cu Trestie, grindul Țigănușului, grindurile Crasovschi, Buhaz și Flămânda, dar și în zona vestică a insulei/peninsulei Sahalin) - prin asociațiile vegetale </w:t>
                  </w:r>
                  <w:r w:rsidRPr="00C56257">
                    <w:rPr>
                      <w:i/>
                      <w:color w:val="000000"/>
                    </w:rPr>
                    <w:t>Crambetum maritimae</w:t>
                  </w:r>
                  <w:r w:rsidRPr="00C56257">
                    <w:rPr>
                      <w:color w:val="000000"/>
                    </w:rPr>
                    <w:t xml:space="preserve"> (I. Şerbănescu 1965) Popescu et al. 1980 (cea mai răspândită asociație vegetală în zonă) și </w:t>
                  </w:r>
                  <w:r w:rsidRPr="00C56257">
                    <w:rPr>
                      <w:i/>
                      <w:color w:val="000000"/>
                    </w:rPr>
                    <w:t xml:space="preserve">Salsolo ruthenicae-Xanthietum strumarii </w:t>
                  </w:r>
                  <w:r w:rsidRPr="00C56257">
                    <w:rPr>
                      <w:color w:val="000000"/>
                    </w:rPr>
                    <w:t xml:space="preserve">Oberd et Tx. 1950, mai rar prin asociațiile </w:t>
                  </w:r>
                  <w:r w:rsidRPr="00C56257">
                    <w:rPr>
                      <w:i/>
                      <w:color w:val="000000"/>
                    </w:rPr>
                    <w:t xml:space="preserve">Cakilo euxinae-Salsoletum ruthenicae </w:t>
                  </w:r>
                  <w:r w:rsidRPr="00C56257">
                    <w:rPr>
                      <w:color w:val="000000"/>
                    </w:rPr>
                    <w:t xml:space="preserve">Vicherek 1971 și </w:t>
                  </w:r>
                  <w:r w:rsidRPr="00C56257">
                    <w:rPr>
                      <w:i/>
                      <w:color w:val="000000"/>
                    </w:rPr>
                    <w:t>Argusietum</w:t>
                  </w:r>
                  <w:r w:rsidRPr="00C56257">
                    <w:rPr>
                      <w:color w:val="000000"/>
                    </w:rPr>
                    <w:t xml:space="preserve"> (</w:t>
                  </w:r>
                  <w:r w:rsidRPr="00C56257">
                    <w:rPr>
                      <w:i/>
                      <w:color w:val="000000"/>
                    </w:rPr>
                    <w:t>Tournefortietum</w:t>
                  </w:r>
                  <w:r w:rsidRPr="00C56257">
                    <w:rPr>
                      <w:color w:val="000000"/>
                    </w:rPr>
                    <w:t xml:space="preserve"> </w:t>
                  </w:r>
                  <w:r w:rsidRPr="00C56257">
                    <w:rPr>
                      <w:i/>
                      <w:color w:val="000000"/>
                    </w:rPr>
                    <w:t>sibiricae</w:t>
                  </w:r>
                  <w:r w:rsidRPr="00C56257">
                    <w:rPr>
                      <w:color w:val="000000"/>
                    </w:rPr>
                    <w:t>)</w:t>
                  </w:r>
                  <w:r w:rsidRPr="00C56257">
                    <w:rPr>
                      <w:i/>
                      <w:color w:val="000000"/>
                    </w:rPr>
                    <w:t xml:space="preserve"> </w:t>
                  </w:r>
                  <w:r w:rsidRPr="00C56257">
                    <w:rPr>
                      <w:color w:val="000000"/>
                    </w:rPr>
                    <w:t>Popescu et Sanda 1975.</w:t>
                  </w:r>
                </w:p>
                <w:p w14:paraId="430C2485" w14:textId="77777777" w:rsidR="00FC026B" w:rsidRPr="00C56257" w:rsidRDefault="00FC026B" w:rsidP="00993B86">
                  <w:pPr>
                    <w:ind w:firstLine="720"/>
                    <w:jc w:val="both"/>
                    <w:rPr>
                      <w:color w:val="000000"/>
                    </w:rPr>
                  </w:pPr>
                  <w:r w:rsidRPr="00C56257">
                    <w:rPr>
                      <w:color w:val="000000"/>
                    </w:rPr>
                    <w:t xml:space="preserve"> Zona costieră a ariei strict protejate Sahalin-Zătoane se caracterizează prin prezența unor plaje înguste cu dune joase (2-5 m) marginite spre vest de zone umede cu comunități de stuf (</w:t>
                  </w:r>
                  <w:r w:rsidRPr="00C56257">
                    <w:rPr>
                      <w:i/>
                      <w:color w:val="000000"/>
                    </w:rPr>
                    <w:t>Phragmites australis</w:t>
                  </w:r>
                  <w:r w:rsidRPr="00C56257">
                    <w:rPr>
                      <w:color w:val="000000"/>
                    </w:rPr>
                    <w:t xml:space="preserve">) ce ajung adesea în imediata vecinătate a mării, mai ales acolo unde zone umede cu apă dulce (bălți, lacuri) se învecinează cu marea. Pe porțiuni întinse, plaja îngustă din zona Sahalin-Zătoane este greu accesibilă datorită unor formațiuni arbustive și subarbustive ce ajung în zona mediolitoralului (Fig. III.9), formate preponderent din </w:t>
                  </w:r>
                  <w:r w:rsidRPr="00C56257">
                    <w:rPr>
                      <w:i/>
                      <w:color w:val="000000"/>
                    </w:rPr>
                    <w:t xml:space="preserve">Elaeagnus angustifolia, Salix alba, Salix fragilis, Salix cinerea </w:t>
                  </w:r>
                  <w:r w:rsidRPr="00C56257">
                    <w:rPr>
                      <w:color w:val="000000"/>
                    </w:rPr>
                    <w:t>și</w:t>
                  </w:r>
                  <w:r w:rsidRPr="00C56257">
                    <w:rPr>
                      <w:i/>
                      <w:color w:val="000000"/>
                    </w:rPr>
                    <w:t xml:space="preserve"> Amorpha fruticosa</w:t>
                  </w:r>
                  <w:r w:rsidRPr="00C56257">
                    <w:rPr>
                      <w:color w:val="000000"/>
                    </w:rPr>
                    <w:t xml:space="preserve"> (mai ales în zona estică a insulei/peninsulei Sahalin, unde aportul de apă dulce din Dunăre este mai însemnat). Acest aspect a fost observat și în zona grindului Perișor.</w:t>
                  </w:r>
                </w:p>
                <w:p w14:paraId="43E1DF74" w14:textId="77777777" w:rsidR="00FC026B" w:rsidRPr="00C56257" w:rsidRDefault="00FC026B" w:rsidP="00993B86">
                  <w:pPr>
                    <w:ind w:firstLine="720"/>
                    <w:jc w:val="both"/>
                    <w:rPr>
                      <w:color w:val="000000"/>
                    </w:rPr>
                  </w:pPr>
                  <w:r w:rsidRPr="00C56257">
                    <w:rPr>
                      <w:color w:val="000000"/>
                    </w:rPr>
                    <w:lastRenderedPageBreak/>
                    <w:t xml:space="preserve">- în </w:t>
                  </w:r>
                  <w:r w:rsidRPr="00C56257">
                    <w:rPr>
                      <w:b/>
                      <w:color w:val="000000"/>
                    </w:rPr>
                    <w:t xml:space="preserve">zona costieră dintre Sfântu Gheorghe și Sulina </w:t>
                  </w:r>
                  <w:r w:rsidRPr="00C56257">
                    <w:rPr>
                      <w:color w:val="000000"/>
                    </w:rPr>
                    <w:t xml:space="preserve">(grindul Sărăturile) - prin asociațiile vegetale </w:t>
                  </w:r>
                  <w:r w:rsidRPr="00C56257">
                    <w:rPr>
                      <w:i/>
                      <w:color w:val="000000"/>
                    </w:rPr>
                    <w:t xml:space="preserve">Cakilo euxinae-Salsoletum ruthenicae </w:t>
                  </w:r>
                  <w:r w:rsidRPr="00C56257">
                    <w:rPr>
                      <w:color w:val="000000"/>
                    </w:rPr>
                    <w:t xml:space="preserve">Vicherek 1971, </w:t>
                  </w:r>
                  <w:r w:rsidRPr="00C56257">
                    <w:rPr>
                      <w:i/>
                      <w:color w:val="000000"/>
                    </w:rPr>
                    <w:t xml:space="preserve">Salsolo ruthenicae-Xanthietum strumarii </w:t>
                  </w:r>
                  <w:r w:rsidRPr="00C56257">
                    <w:rPr>
                      <w:color w:val="000000"/>
                    </w:rPr>
                    <w:t xml:space="preserve">Oberd et Tx. 1950 și mai rar </w:t>
                  </w:r>
                  <w:r w:rsidRPr="00C56257">
                    <w:rPr>
                      <w:i/>
                      <w:color w:val="000000"/>
                    </w:rPr>
                    <w:t>Argusietum</w:t>
                  </w:r>
                  <w:r w:rsidRPr="00C56257">
                    <w:rPr>
                      <w:color w:val="000000"/>
                    </w:rPr>
                    <w:t xml:space="preserve"> (</w:t>
                  </w:r>
                  <w:r w:rsidRPr="00C56257">
                    <w:rPr>
                      <w:i/>
                      <w:color w:val="000000"/>
                    </w:rPr>
                    <w:t>Tournefortietum)</w:t>
                  </w:r>
                  <w:r w:rsidRPr="00C56257">
                    <w:rPr>
                      <w:color w:val="000000"/>
                    </w:rPr>
                    <w:t xml:space="preserve"> </w:t>
                  </w:r>
                  <w:r w:rsidRPr="00C56257">
                    <w:rPr>
                      <w:i/>
                      <w:color w:val="000000"/>
                    </w:rPr>
                    <w:t xml:space="preserve">sibiricae </w:t>
                  </w:r>
                  <w:r w:rsidRPr="00C56257">
                    <w:rPr>
                      <w:color w:val="000000"/>
                    </w:rPr>
                    <w:t>Popescu et Sanda 1975.</w:t>
                  </w:r>
                </w:p>
                <w:p w14:paraId="4B463683" w14:textId="77777777" w:rsidR="00FC026B" w:rsidRPr="00C56257" w:rsidRDefault="00FC026B" w:rsidP="00993B86">
                  <w:pPr>
                    <w:ind w:firstLine="567"/>
                    <w:jc w:val="both"/>
                    <w:rPr>
                      <w:color w:val="000000"/>
                    </w:rPr>
                  </w:pPr>
                  <w:r w:rsidRPr="00C56257">
                    <w:rPr>
                      <w:color w:val="000000"/>
                    </w:rPr>
                    <w:t>La sud de Capul Midia (zona costieră sudică a României), vegetația tipică habitatului 1210 este discontinuă, cu prezență insulară și pe suprafețe mici, fie în zonele neamenajate dintre stațiuni, fie la marginea plajelor din stațiuni, acolo unde vegetația naturală nu a fost îndepărtată de administratorii de plaje. În zonele costiere în care se constată că habitatul 1210 nu mai este prezent, în principal datorită intervențiilor umane, nu se vor mai face monitorizări în cursul deplasărilor ulterioare.</w:t>
                  </w:r>
                </w:p>
                <w:p w14:paraId="5FA62378" w14:textId="77777777" w:rsidR="00FC026B" w:rsidRPr="00C56257" w:rsidRDefault="00FC026B" w:rsidP="00993B86">
                  <w:pPr>
                    <w:ind w:firstLine="567"/>
                    <w:jc w:val="both"/>
                    <w:rPr>
                      <w:color w:val="000000"/>
                    </w:rPr>
                  </w:pPr>
                  <w:r w:rsidRPr="00C56257">
                    <w:rPr>
                      <w:color w:val="000000"/>
                    </w:rPr>
                    <w:t>În zona sudică a litoralului românesc (Cap Midia - Vama Veche), habitatul 1210 a fost observat pe suprafețe mici pe plaja de la Eforie Sud, între Eforie Sud și Tuzla și între 2 Mai și Vama Veche. La Capul Midia, în apropierea portului, vegetația naturală a plajelor, inclusiv cea specifică habitatului 1210, a fost aproape complet îndepărtată prin amenajarea unei plaje destinate activităților recreaționale.</w:t>
                  </w:r>
                </w:p>
                <w:p w14:paraId="03AB914F" w14:textId="77777777" w:rsidR="00FC026B" w:rsidRPr="00C56257" w:rsidRDefault="00FC026B" w:rsidP="00993B86">
                  <w:pPr>
                    <w:ind w:firstLine="567"/>
                    <w:jc w:val="both"/>
                    <w:rPr>
                      <w:color w:val="000000"/>
                    </w:rPr>
                  </w:pPr>
                  <w:r w:rsidRPr="00C56257">
                    <w:rPr>
                      <w:color w:val="000000"/>
                    </w:rPr>
                    <w:t xml:space="preserve">Datorită modificărilor sezoniere ale vegetaţiei de coastă (a fenofazelor diferite), </w:t>
                  </w:r>
                  <w:r>
                    <w:rPr>
                      <w:color w:val="000000"/>
                    </w:rPr>
                    <w:t>se</w:t>
                  </w:r>
                  <w:r w:rsidRPr="00C56257">
                    <w:rPr>
                      <w:color w:val="000000"/>
                    </w:rPr>
                    <w:t xml:space="preserve"> desfăş</w:t>
                  </w:r>
                  <w:r>
                    <w:rPr>
                      <w:color w:val="000000"/>
                    </w:rPr>
                    <w:t>oară</w:t>
                  </w:r>
                  <w:r w:rsidRPr="00C56257">
                    <w:rPr>
                      <w:color w:val="000000"/>
                    </w:rPr>
                    <w:t xml:space="preserve"> câte 5-6 deplasări pe an, în fiecare din cele 10 segmente litorale delimitate de-a lungul zonei costiere româneşti a Mării Negre. Deplasările </w:t>
                  </w:r>
                  <w:r>
                    <w:rPr>
                      <w:color w:val="000000"/>
                    </w:rPr>
                    <w:t>se</w:t>
                  </w:r>
                  <w:r w:rsidRPr="00C56257">
                    <w:rPr>
                      <w:color w:val="000000"/>
                    </w:rPr>
                    <w:t xml:space="preserve"> planific</w:t>
                  </w:r>
                  <w:r>
                    <w:rPr>
                      <w:color w:val="000000"/>
                    </w:rPr>
                    <w:t>ă</w:t>
                  </w:r>
                  <w:r w:rsidRPr="00C56257">
                    <w:rPr>
                      <w:color w:val="000000"/>
                    </w:rPr>
                    <w:t xml:space="preserve"> în perioada mai-septembrie, iar în unele situații și în cursul lunii octombrie. </w:t>
                  </w:r>
                </w:p>
                <w:p w14:paraId="67F22796" w14:textId="77777777" w:rsidR="00FC026B" w:rsidRPr="00C56257" w:rsidRDefault="00FC026B" w:rsidP="00993B86">
                  <w:pPr>
                    <w:ind w:firstLine="567"/>
                    <w:jc w:val="both"/>
                  </w:pPr>
                  <w:r w:rsidRPr="00C56257">
                    <w:rPr>
                      <w:b/>
                    </w:rPr>
                    <w:t>Monitorizarea habitatului costier 1210</w:t>
                  </w:r>
                  <w:r w:rsidRPr="00C56257">
                    <w:t xml:space="preserve"> cuprinde mai multe tipuri de observații și activități: estimarea suprafeţei habitatului în km</w:t>
                  </w:r>
                  <w:r w:rsidRPr="00C56257">
                    <w:rPr>
                      <w:vertAlign w:val="superscript"/>
                    </w:rPr>
                    <w:t>2</w:t>
                  </w:r>
                  <w:r w:rsidRPr="00C56257">
                    <w:t xml:space="preserve">, observații privind distribuţia habitatului în zona costieră românească, studiul asociaţiilor vegetale specifice habitatului (compoziție floristică, structură, condiții biotice) cu evaluări cantitative asupra speciilor (prin notarea abundenței-dominanței lor), evaluarea stării de conservare a habitatului, evaluarea tendinţelor de evoluţie ale habitatului pe termen scurt, mediu şi lung, a principalelor presiuni şi ameninţări la adresa habitatului. </w:t>
                  </w:r>
                </w:p>
                <w:p w14:paraId="4FE5A5EB" w14:textId="77777777" w:rsidR="00FC026B" w:rsidRPr="00C56257" w:rsidRDefault="00FC026B" w:rsidP="00993B86">
                  <w:pPr>
                    <w:ind w:firstLine="567"/>
                    <w:jc w:val="both"/>
                    <w:rPr>
                      <w:color w:val="000000"/>
                    </w:rPr>
                  </w:pPr>
                  <w:r w:rsidRPr="00C56257">
                    <w:rPr>
                      <w:color w:val="000000"/>
                    </w:rPr>
                    <w:t xml:space="preserve">Evaluarea stării de conservare a habitatului se face prin metoda semaforului (Combroux &amp; Schwoerer, 2007), prin folosirea următorilor parametrii: favorabil (FV) - verde, nefavorabil-inadecvat (U1) - galben și nevaforabil-rău (U2) - roșu. </w:t>
                  </w:r>
                </w:p>
                <w:p w14:paraId="381B0EF3" w14:textId="77777777" w:rsidR="00FC026B" w:rsidRPr="00C56257" w:rsidRDefault="00FC026B" w:rsidP="00993B86">
                  <w:pPr>
                    <w:ind w:firstLine="567"/>
                    <w:jc w:val="both"/>
                    <w:rPr>
                      <w:color w:val="000000"/>
                    </w:rPr>
                  </w:pPr>
                  <w:r w:rsidRPr="00C56257">
                    <w:rPr>
                      <w:color w:val="000000"/>
                    </w:rPr>
                    <w:t xml:space="preserve">Starea de conservare a habitatului </w:t>
                  </w:r>
                  <w:r>
                    <w:rPr>
                      <w:color w:val="000000"/>
                    </w:rPr>
                    <w:t xml:space="preserve">este </w:t>
                  </w:r>
                  <w:r w:rsidRPr="00C56257">
                    <w:rPr>
                      <w:color w:val="000000"/>
                    </w:rPr>
                    <w:t>considerată favorabilă în situaţia în care habitatul se află în parametrii de calitate normali iar stabilitatea habitatului pe termen scurt, mediu şi lung este asigurată, în lipsa unor presiuni şi factori de risc semnificativi care ar putea afecta evoluţia habitatului în prezent şi viitor.</w:t>
                  </w:r>
                </w:p>
                <w:p w14:paraId="01194D4F" w14:textId="77777777" w:rsidR="00FC026B" w:rsidRPr="00C56257" w:rsidRDefault="00FC026B" w:rsidP="00993B86">
                  <w:pPr>
                    <w:ind w:firstLine="567"/>
                    <w:jc w:val="both"/>
                    <w:rPr>
                      <w:color w:val="000000"/>
                    </w:rPr>
                  </w:pPr>
                  <w:r w:rsidRPr="00C56257">
                    <w:rPr>
                      <w:color w:val="000000"/>
                    </w:rPr>
                    <w:t xml:space="preserve">Starea de conservare a habitatului </w:t>
                  </w:r>
                  <w:r>
                    <w:rPr>
                      <w:color w:val="000000"/>
                    </w:rPr>
                    <w:t>este</w:t>
                  </w:r>
                  <w:r w:rsidRPr="00C56257">
                    <w:rPr>
                      <w:color w:val="000000"/>
                    </w:rPr>
                    <w:t xml:space="preserve"> considerată inadecvată în situaţia în care habitatul este în prezent supus unor presiuni şi riscuri (inclusiv antropice) de mică anvergură care afectează deja parametrii de calitate ai habitatului punând în pericol stabilitatea habitatului pe termen lung.</w:t>
                  </w:r>
                </w:p>
                <w:p w14:paraId="42B778AF" w14:textId="77777777" w:rsidR="00FC026B" w:rsidRPr="00C56257" w:rsidRDefault="00FC026B" w:rsidP="00993B86">
                  <w:pPr>
                    <w:ind w:firstLine="567"/>
                    <w:jc w:val="both"/>
                    <w:rPr>
                      <w:color w:val="000000"/>
                    </w:rPr>
                  </w:pPr>
                  <w:r w:rsidRPr="00C56257">
                    <w:rPr>
                      <w:color w:val="000000"/>
                    </w:rPr>
                    <w:t xml:space="preserve">Starea de conservare a habitatului </w:t>
                  </w:r>
                  <w:r>
                    <w:rPr>
                      <w:color w:val="000000"/>
                    </w:rPr>
                    <w:t>este</w:t>
                  </w:r>
                  <w:r w:rsidRPr="00C56257">
                    <w:rPr>
                      <w:color w:val="000000"/>
                    </w:rPr>
                    <w:t xml:space="preserve"> considerată nefavorabilă dacă habitatul este deja afectat semnificativ ca urmare a unor presiuni şi riscuri majore ce pun în pericol stabilitatea sa pe termen scurt şi lung.</w:t>
                  </w:r>
                </w:p>
                <w:p w14:paraId="139DB921" w14:textId="77777777" w:rsidR="00FC026B" w:rsidRPr="00C56257" w:rsidRDefault="00FC026B" w:rsidP="00993B86">
                  <w:pPr>
                    <w:ind w:firstLine="567"/>
                    <w:jc w:val="both"/>
                    <w:rPr>
                      <w:color w:val="000000"/>
                    </w:rPr>
                  </w:pPr>
                  <w:r w:rsidRPr="00C56257">
                    <w:rPr>
                      <w:color w:val="000000"/>
                    </w:rPr>
                    <w:t xml:space="preserve">Tendinţele de evoluţie ale habitatului pe termen scurt (următorii 1-5 ani), mediu (5-10 ani) şi lung (următorii 10-15 ani) </w:t>
                  </w:r>
                  <w:r>
                    <w:rPr>
                      <w:color w:val="000000"/>
                    </w:rPr>
                    <w:t>se</w:t>
                  </w:r>
                  <w:r w:rsidRPr="00C56257">
                    <w:rPr>
                      <w:color w:val="000000"/>
                    </w:rPr>
                    <w:t xml:space="preserve"> estim</w:t>
                  </w:r>
                  <w:r>
                    <w:rPr>
                      <w:color w:val="000000"/>
                    </w:rPr>
                    <w:t>ează</w:t>
                  </w:r>
                  <w:r w:rsidRPr="00C56257">
                    <w:rPr>
                      <w:color w:val="000000"/>
                    </w:rPr>
                    <w:t xml:space="preserve"> în funcţie de presiunea antropică şi de intensitatea factorilor de risc naturali care ar putea ameninţa habitatul. Acolo unde se constată modificări evidente ale habitatului faţă de situaţii prezentate în literatura de specialitate în anii precedenţi (Mihăilescu et al. (2015), Zaharia et al. (2013), </w:t>
                  </w:r>
                  <w:r>
                    <w:rPr>
                      <w:color w:val="000000"/>
                    </w:rPr>
                    <w:t>se</w:t>
                  </w:r>
                  <w:r w:rsidRPr="00C56257">
                    <w:rPr>
                      <w:color w:val="000000"/>
                    </w:rPr>
                    <w:t xml:space="preserve"> estim</w:t>
                  </w:r>
                  <w:r>
                    <w:rPr>
                      <w:color w:val="000000"/>
                    </w:rPr>
                    <w:t>ează</w:t>
                  </w:r>
                  <w:r w:rsidRPr="00C56257">
                    <w:rPr>
                      <w:color w:val="000000"/>
                    </w:rPr>
                    <w:t xml:space="preserve"> procentual amploarea schimbărilor petrecute şi se preciz</w:t>
                  </w:r>
                  <w:r>
                    <w:rPr>
                      <w:color w:val="000000"/>
                    </w:rPr>
                    <w:t>ează</w:t>
                  </w:r>
                  <w:r w:rsidRPr="00C56257">
                    <w:rPr>
                      <w:color w:val="000000"/>
                    </w:rPr>
                    <w:t xml:space="preserve"> cauzele schimbărilor. În cazul schimbărilor cuantificabile, </w:t>
                  </w:r>
                  <w:r>
                    <w:rPr>
                      <w:color w:val="000000"/>
                    </w:rPr>
                    <w:t>se</w:t>
                  </w:r>
                  <w:r w:rsidRPr="00C56257">
                    <w:rPr>
                      <w:color w:val="000000"/>
                    </w:rPr>
                    <w:t xml:space="preserve"> ofer</w:t>
                  </w:r>
                  <w:r>
                    <w:rPr>
                      <w:color w:val="000000"/>
                    </w:rPr>
                    <w:t>ă</w:t>
                  </w:r>
                  <w:r w:rsidRPr="00C56257">
                    <w:rPr>
                      <w:color w:val="000000"/>
                    </w:rPr>
                    <w:t xml:space="preserve"> precizări privind acurateţea datelor folosite pentru estimare.</w:t>
                  </w:r>
                </w:p>
                <w:p w14:paraId="24D3E6FB" w14:textId="77777777" w:rsidR="00FC026B" w:rsidRPr="00C56257" w:rsidRDefault="00FC026B" w:rsidP="00993B86">
                  <w:pPr>
                    <w:ind w:firstLine="567"/>
                    <w:jc w:val="both"/>
                    <w:rPr>
                      <w:color w:val="000000"/>
                    </w:rPr>
                  </w:pPr>
                  <w:r w:rsidRPr="00C56257">
                    <w:rPr>
                      <w:color w:val="000000"/>
                    </w:rPr>
                    <w:t xml:space="preserve">Tendinţele de evoluţie </w:t>
                  </w:r>
                  <w:r>
                    <w:rPr>
                      <w:color w:val="000000"/>
                    </w:rPr>
                    <w:t>se</w:t>
                  </w:r>
                  <w:r w:rsidRPr="00C56257">
                    <w:rPr>
                      <w:color w:val="000000"/>
                    </w:rPr>
                    <w:t xml:space="preserve"> estim</w:t>
                  </w:r>
                  <w:r>
                    <w:rPr>
                      <w:color w:val="000000"/>
                    </w:rPr>
                    <w:t>ează</w:t>
                  </w:r>
                  <w:r w:rsidRPr="00C56257">
                    <w:rPr>
                      <w:color w:val="000000"/>
                    </w:rPr>
                    <w:t xml:space="preserve"> ca fiind stabile, în creştere, în descreştere sau necunoscute.</w:t>
                  </w:r>
                </w:p>
                <w:p w14:paraId="7050E34D" w14:textId="77777777" w:rsidR="00FC026B" w:rsidRPr="00C56257" w:rsidRDefault="00FC026B" w:rsidP="00993B86">
                  <w:pPr>
                    <w:ind w:firstLine="567"/>
                    <w:jc w:val="both"/>
                    <w:rPr>
                      <w:color w:val="000000"/>
                    </w:rPr>
                  </w:pPr>
                  <w:r w:rsidRPr="00C56257">
                    <w:rPr>
                      <w:color w:val="000000"/>
                    </w:rPr>
                    <w:t xml:space="preserve">Tendinţa de evoluţie </w:t>
                  </w:r>
                  <w:r>
                    <w:rPr>
                      <w:color w:val="000000"/>
                    </w:rPr>
                    <w:t>este</w:t>
                  </w:r>
                  <w:r w:rsidRPr="00C56257">
                    <w:rPr>
                      <w:color w:val="000000"/>
                    </w:rPr>
                    <w:t xml:space="preserve"> considerată stabilă dacă există premise pentru ca starea actuală a habitatului să nu sufere modificări semnificative, în sensul deteriorării sau îmbunătăţirii sale. Lipsa unor presiuni şi ameninţări semnificative, inclusiv de natură antropică, este o premisă a stabilităţii habitatului. </w:t>
                  </w:r>
                </w:p>
                <w:p w14:paraId="6A2D030C" w14:textId="77777777" w:rsidR="00FC026B" w:rsidRPr="00C56257" w:rsidRDefault="00FC026B" w:rsidP="00993B86">
                  <w:pPr>
                    <w:ind w:firstLine="567"/>
                    <w:jc w:val="both"/>
                    <w:rPr>
                      <w:color w:val="000000"/>
                    </w:rPr>
                  </w:pPr>
                  <w:r w:rsidRPr="00C56257">
                    <w:rPr>
                      <w:color w:val="000000"/>
                    </w:rPr>
                    <w:t xml:space="preserve">Tendinţa de evoluţie </w:t>
                  </w:r>
                  <w:r>
                    <w:rPr>
                      <w:color w:val="000000"/>
                    </w:rPr>
                    <w:t>este</w:t>
                  </w:r>
                  <w:r w:rsidRPr="00C56257">
                    <w:rPr>
                      <w:color w:val="000000"/>
                    </w:rPr>
                    <w:t xml:space="preserve"> considerată crescătoare (în sensul îmbunătăţirii stării habitatului), dacă parametrii indicatori ai stării de conservare a habitatului s-au îmbunătăţit raportat la o situaţie din trecut </w:t>
                  </w:r>
                  <w:r w:rsidRPr="00C56257">
                    <w:rPr>
                      <w:color w:val="000000"/>
                    </w:rPr>
                    <w:lastRenderedPageBreak/>
                    <w:t>menţionată în literatura de specialitate sau dacă se estimează îmbunătăţirea lor în viitor, în lipsa unor presiuni şi ameninţări semnificative, inclusiv de natură antropică.</w:t>
                  </w:r>
                </w:p>
                <w:p w14:paraId="5BDAC9C9" w14:textId="77777777" w:rsidR="00FC026B" w:rsidRPr="00C56257" w:rsidRDefault="00FC026B" w:rsidP="00993B86">
                  <w:pPr>
                    <w:ind w:firstLine="567"/>
                    <w:jc w:val="both"/>
                    <w:rPr>
                      <w:color w:val="000000"/>
                    </w:rPr>
                  </w:pPr>
                  <w:r w:rsidRPr="00C56257">
                    <w:rPr>
                      <w:color w:val="000000"/>
                    </w:rPr>
                    <w:t xml:space="preserve">Tendinţa de evoluţie </w:t>
                  </w:r>
                  <w:r>
                    <w:rPr>
                      <w:color w:val="000000"/>
                    </w:rPr>
                    <w:t>este</w:t>
                  </w:r>
                  <w:r w:rsidRPr="00C56257">
                    <w:rPr>
                      <w:color w:val="000000"/>
                    </w:rPr>
                    <w:t xml:space="preserve"> considerată în descreştere (în sensul deteriorării stării habitatului) dacă calitatea habitatului s-a deteriorat raportat la o situaţie din trecut menţionată în literatura de specialitate sau dacă se estimează o deteriorare a habitatului în viitor ca urmare a unor presiuni şi ameninţări semnificative, inclusiv de natură antropică.</w:t>
                  </w:r>
                </w:p>
                <w:p w14:paraId="737C0978" w14:textId="77777777" w:rsidR="00FC026B" w:rsidRPr="00C56257" w:rsidRDefault="00FC026B" w:rsidP="00993B86">
                  <w:pPr>
                    <w:ind w:firstLine="709"/>
                    <w:jc w:val="both"/>
                    <w:rPr>
                      <w:color w:val="000000"/>
                    </w:rPr>
                  </w:pPr>
                  <w:r w:rsidRPr="00C56257">
                    <w:rPr>
                      <w:color w:val="000000"/>
                    </w:rPr>
                    <w:t xml:space="preserve">Tendinţa de evoluţie </w:t>
                  </w:r>
                  <w:r>
                    <w:rPr>
                      <w:color w:val="000000"/>
                    </w:rPr>
                    <w:t>este</w:t>
                  </w:r>
                  <w:r w:rsidRPr="00C56257">
                    <w:rPr>
                      <w:color w:val="000000"/>
                    </w:rPr>
                    <w:t xml:space="preserve"> considerată necunoscută în situaţia în care nu există informaţii suficiente asupra evoluţiei habitatului în viitor.</w:t>
                  </w:r>
                </w:p>
                <w:p w14:paraId="78843E8C" w14:textId="77777777" w:rsidR="00FC026B" w:rsidRPr="00C56257" w:rsidRDefault="00FC026B" w:rsidP="00993B86">
                  <w:pPr>
                    <w:ind w:firstLine="709"/>
                    <w:jc w:val="both"/>
                    <w:rPr>
                      <w:color w:val="000000"/>
                    </w:rPr>
                  </w:pPr>
                  <w:r w:rsidRPr="00C56257">
                    <w:rPr>
                      <w:color w:val="000000"/>
                    </w:rPr>
                    <w:t xml:space="preserve">Calitatea habitatului (bună, moderată, inadecvată sau necunoscută) </w:t>
                  </w:r>
                  <w:r>
                    <w:rPr>
                      <w:color w:val="000000"/>
                    </w:rPr>
                    <w:t>este</w:t>
                  </w:r>
                  <w:r w:rsidRPr="00C56257">
                    <w:rPr>
                      <w:color w:val="000000"/>
                    </w:rPr>
                    <w:t xml:space="preserve"> determinată în funcţie de numărul asociaţiilor vegetale caracteristice, de gradul de acoperire a vegetaţiei, de numărul rarităţilor floristice, de intensitatea factorilor de risc (naturali sau antropici) şi a presiunii antropice care ar putea ameninţa viabilitatea pe termen lung a habitatului.</w:t>
                  </w:r>
                </w:p>
                <w:p w14:paraId="046067BD" w14:textId="77777777" w:rsidR="00FC026B" w:rsidRPr="00C56257" w:rsidRDefault="00FC026B" w:rsidP="00993B86">
                  <w:pPr>
                    <w:ind w:firstLine="709"/>
                    <w:jc w:val="both"/>
                    <w:rPr>
                      <w:color w:val="000000"/>
                    </w:rPr>
                  </w:pPr>
                  <w:r w:rsidRPr="00C56257">
                    <w:rPr>
                      <w:color w:val="000000"/>
                    </w:rPr>
                    <w:t xml:space="preserve">Presiunile (factorii de risc) care amenință/pot ameninţa starea de conservare a habitatului </w:t>
                  </w:r>
                  <w:r>
                    <w:rPr>
                      <w:color w:val="000000"/>
                    </w:rPr>
                    <w:t>sunt</w:t>
                  </w:r>
                  <w:r w:rsidRPr="00C56257">
                    <w:rPr>
                      <w:color w:val="000000"/>
                    </w:rPr>
                    <w:t xml:space="preserve"> evidenţiate în funcţie de efectele lor asupra habitatului 1210 ca fiind majore (pot produce modificări de anvergură asupra habitatului) - High (H), moderate (produc modificări, dar nu de anvergură, asupra habitatului) - Moderate (M) sau mici (produc modificări minore asupra habitatului) - Low (L). Dintre factorii de risc folosiți la nivel european pentru evaluarea riscurilor/presiunilor la adresa habitatelor de interes conservativ (conform tipologiei MSFD), vor fi selectați 10 factori considerați a avea un impact semnificativ asupra habitatului 1210.</w:t>
                  </w:r>
                </w:p>
                <w:p w14:paraId="01788047" w14:textId="77777777" w:rsidR="00FC026B" w:rsidRPr="00C56257" w:rsidRDefault="00FC026B" w:rsidP="00993B86">
                  <w:pPr>
                    <w:ind w:firstLine="709"/>
                    <w:jc w:val="both"/>
                    <w:rPr>
                      <w:color w:val="000000"/>
                    </w:rPr>
                  </w:pPr>
                  <w:r w:rsidRPr="00C56257">
                    <w:rPr>
                      <w:color w:val="000000"/>
                    </w:rPr>
                    <w:t>Factorii de risc cu impact semnificativ asupra habitatului 1210 sunt:</w:t>
                  </w:r>
                </w:p>
                <w:p w14:paraId="06DDC344" w14:textId="77777777" w:rsidR="00FC026B" w:rsidRPr="00C56257" w:rsidRDefault="00FC026B" w:rsidP="00993B86">
                  <w:pPr>
                    <w:ind w:firstLine="709"/>
                    <w:jc w:val="both"/>
                    <w:rPr>
                      <w:color w:val="000000"/>
                    </w:rPr>
                  </w:pPr>
                  <w:r w:rsidRPr="00C56257">
                    <w:rPr>
                      <w:color w:val="000000"/>
                    </w:rPr>
                    <w:t>- Pășunatul intensiv sau suprapășunatul animalelor domestice în zona plajelor (A09);</w:t>
                  </w:r>
                </w:p>
                <w:p w14:paraId="0498C646" w14:textId="77777777" w:rsidR="00FC026B" w:rsidRPr="00C56257" w:rsidRDefault="00FC026B" w:rsidP="00993B86">
                  <w:pPr>
                    <w:ind w:firstLine="709"/>
                    <w:jc w:val="both"/>
                    <w:rPr>
                      <w:color w:val="000000"/>
                    </w:rPr>
                  </w:pPr>
                  <w:r w:rsidRPr="00C56257">
                    <w:rPr>
                      <w:color w:val="000000"/>
                    </w:rPr>
                    <w:t>- Pășunatul extensiv al animalelor domestice (A10);</w:t>
                  </w:r>
                </w:p>
                <w:p w14:paraId="73FB1DBE" w14:textId="77777777" w:rsidR="00FC026B" w:rsidRPr="00C56257" w:rsidRDefault="00FC026B" w:rsidP="00993B86">
                  <w:pPr>
                    <w:ind w:firstLine="709"/>
                    <w:jc w:val="both"/>
                    <w:rPr>
                      <w:color w:val="000000"/>
                    </w:rPr>
                  </w:pPr>
                  <w:r w:rsidRPr="00C56257">
                    <w:rPr>
                      <w:color w:val="000000"/>
                    </w:rPr>
                    <w:t>- Construcția sau modificarea unor zone urbane sau recreaționale  (F02);</w:t>
                  </w:r>
                </w:p>
                <w:p w14:paraId="03B0EDF6" w14:textId="77777777" w:rsidR="00FC026B" w:rsidRPr="00C56257" w:rsidRDefault="00FC026B" w:rsidP="00993B86">
                  <w:pPr>
                    <w:ind w:firstLine="709"/>
                    <w:jc w:val="both"/>
                    <w:rPr>
                      <w:color w:val="000000"/>
                    </w:rPr>
                  </w:pPr>
                  <w:r w:rsidRPr="00C56257">
                    <w:rPr>
                      <w:color w:val="000000"/>
                    </w:rPr>
                    <w:t>- Dezvoltarea și menținerea plajelor pentru turism și recreație, inclusiv curățarea plajelor (F06);</w:t>
                  </w:r>
                </w:p>
                <w:p w14:paraId="35A5AFD7" w14:textId="77777777" w:rsidR="00FC026B" w:rsidRPr="00C56257" w:rsidRDefault="00FC026B" w:rsidP="00993B86">
                  <w:pPr>
                    <w:ind w:firstLine="709"/>
                    <w:jc w:val="both"/>
                    <w:rPr>
                      <w:color w:val="000000"/>
                    </w:rPr>
                  </w:pPr>
                  <w:r w:rsidRPr="00C56257">
                    <w:rPr>
                      <w:color w:val="000000"/>
                    </w:rPr>
                    <w:t>- Activități militare, măsuri de siguranță publică și alte intruziuni umane (H);</w:t>
                  </w:r>
                </w:p>
                <w:p w14:paraId="30578ACC" w14:textId="77777777" w:rsidR="00FC026B" w:rsidRPr="00C56257" w:rsidRDefault="00FC026B" w:rsidP="00993B86">
                  <w:pPr>
                    <w:ind w:firstLine="709"/>
                    <w:jc w:val="both"/>
                    <w:rPr>
                      <w:color w:val="000000"/>
                    </w:rPr>
                  </w:pPr>
                  <w:r w:rsidRPr="00C56257">
                    <w:rPr>
                      <w:color w:val="000000"/>
                    </w:rPr>
                    <w:t>- Specii străine și alte specii problematice (ex., invazive, colonizatoare) (I);</w:t>
                  </w:r>
                </w:p>
                <w:p w14:paraId="297476B9" w14:textId="77777777" w:rsidR="00FC026B" w:rsidRPr="00C56257" w:rsidRDefault="00FC026B" w:rsidP="00993B86">
                  <w:pPr>
                    <w:ind w:firstLine="709"/>
                    <w:jc w:val="both"/>
                    <w:rPr>
                      <w:color w:val="000000"/>
                    </w:rPr>
                  </w:pPr>
                  <w:r w:rsidRPr="00C56257">
                    <w:rPr>
                      <w:color w:val="000000"/>
                    </w:rPr>
                    <w:t xml:space="preserve">- Procese abiotice naturale precum eroziunea plajelor, tasarea nisipului, uscarea sau băltirea plajelor, salinizarea nisipului (L01); </w:t>
                  </w:r>
                </w:p>
                <w:p w14:paraId="73FB5D0A" w14:textId="77777777" w:rsidR="00FC026B" w:rsidRPr="00C56257" w:rsidRDefault="00FC026B" w:rsidP="00993B86">
                  <w:pPr>
                    <w:ind w:firstLine="709"/>
                    <w:jc w:val="both"/>
                    <w:rPr>
                      <w:color w:val="000000"/>
                    </w:rPr>
                  </w:pPr>
                  <w:r w:rsidRPr="00C56257">
                    <w:rPr>
                      <w:color w:val="000000"/>
                    </w:rPr>
                    <w:t xml:space="preserve">- Furtuni, cicloane (M07); </w:t>
                  </w:r>
                </w:p>
                <w:p w14:paraId="0D2D2D91" w14:textId="77777777" w:rsidR="00FC026B" w:rsidRPr="00C56257" w:rsidRDefault="00FC026B" w:rsidP="00993B86">
                  <w:pPr>
                    <w:ind w:firstLine="709"/>
                    <w:jc w:val="both"/>
                    <w:rPr>
                      <w:color w:val="000000"/>
                    </w:rPr>
                  </w:pPr>
                  <w:r w:rsidRPr="00C56257">
                    <w:rPr>
                      <w:color w:val="000000"/>
                    </w:rPr>
                    <w:t>- Schimbări de temperatură (ex. creșterea temperaturii și a extremelor termice) ce pot determina schimbări climatice (M01);</w:t>
                  </w:r>
                </w:p>
                <w:p w14:paraId="1939BA91" w14:textId="77777777" w:rsidR="00FC026B" w:rsidRPr="00C56257" w:rsidRDefault="00FC026B" w:rsidP="00993B86">
                  <w:pPr>
                    <w:ind w:firstLine="709"/>
                    <w:jc w:val="both"/>
                    <w:rPr>
                      <w:color w:val="000000"/>
                    </w:rPr>
                  </w:pPr>
                  <w:r w:rsidRPr="00C56257">
                    <w:rPr>
                      <w:color w:val="000000"/>
                    </w:rPr>
                    <w:t>- Expunerea plajelor la valuri și la schimbări ale nivelului mării ca urmare a schimbărilor climatice (N04);</w:t>
                  </w:r>
                </w:p>
                <w:p w14:paraId="56B70A91" w14:textId="77777777" w:rsidR="00FC026B" w:rsidRPr="00C56257" w:rsidRDefault="00FC026B" w:rsidP="00993B86">
                  <w:pPr>
                    <w:ind w:firstLine="709"/>
                    <w:jc w:val="both"/>
                    <w:rPr>
                      <w:color w:val="000000"/>
                    </w:rPr>
                  </w:pPr>
                  <w:r w:rsidRPr="00C56257">
                    <w:rPr>
                      <w:color w:val="000000"/>
                    </w:rPr>
                    <w:t xml:space="preserve">Dintre acești factori de risc, pășunatul intensiv, cel extensiv și suprapășunatul sunt cei mai dăunători pentru vegetația tipică habitatului 1210. Impactul negativ asupra vegetației se manifestă atât prin consumul selectiv al speciilor (mai ales </w:t>
                  </w:r>
                  <w:r w:rsidRPr="00C56257">
                    <w:rPr>
                      <w:i/>
                      <w:color w:val="000000"/>
                    </w:rPr>
                    <w:t>Salsola kali</w:t>
                  </w:r>
                  <w:r w:rsidRPr="00C56257">
                    <w:rPr>
                      <w:color w:val="000000"/>
                    </w:rPr>
                    <w:t xml:space="preserve"> subsp. </w:t>
                  </w:r>
                  <w:r w:rsidRPr="00C56257">
                    <w:rPr>
                      <w:i/>
                      <w:color w:val="000000"/>
                    </w:rPr>
                    <w:t>ruthenica</w:t>
                  </w:r>
                  <w:r w:rsidRPr="00C56257">
                    <w:rPr>
                      <w:color w:val="000000"/>
                    </w:rPr>
                    <w:t xml:space="preserve"> în fazele tinere de dezvoltare și </w:t>
                  </w:r>
                  <w:r w:rsidRPr="00C56257">
                    <w:rPr>
                      <w:i/>
                      <w:color w:val="000000"/>
                    </w:rPr>
                    <w:t>Crambe maritima</w:t>
                  </w:r>
                  <w:r w:rsidRPr="00C56257">
                    <w:rPr>
                      <w:color w:val="000000"/>
                    </w:rPr>
                    <w:t xml:space="preserve"> - varza de mare), cât și călcarea vegetației, tasarea substratului sub copitele animalelor (vite, cai) și modificarea calității  substratului nisipos datorită bălegarului produs. Datorită pășunatului, suprafețe mari de vegetație din cadrul habitatului 1210 au fost distruse sau puternic afectate (compoziție în specii, acoperire, densitatea speciilor). Astfel de situații au fost observate, paradoxal, în zone strict protejate din Rezervația Biosferei Delta Dunării, mai ales între Gura Portiței și canalul Periteașca, pe grindul Perișor, pe insula/peninsula Sacalin sau în afara zonelor strict protejate, la Sulina și Sfântu Gheorghe.</w:t>
                  </w:r>
                </w:p>
                <w:p w14:paraId="471D37DD" w14:textId="77777777" w:rsidR="00FC026B" w:rsidRPr="00C56257" w:rsidRDefault="00FC026B" w:rsidP="00993B86">
                  <w:pPr>
                    <w:ind w:firstLine="709"/>
                    <w:jc w:val="both"/>
                    <w:rPr>
                      <w:color w:val="000000"/>
                    </w:rPr>
                  </w:pPr>
                  <w:r w:rsidRPr="00C56257">
                    <w:rPr>
                      <w:color w:val="000000"/>
                    </w:rPr>
                    <w:t xml:space="preserve">Dezvoltarea și menținerea plajelor pentru turism și recreație, chiar extinderea unor zone recreaționale pe plaje a fost observată în zona plajei Corbu (parte a grindului Chituc), pe plaja de la Capul Midia, în zona cherhanalei 2 de pe grindul Chituc, la Gura Portiței, la Sfântu Gheorghe și la Sulina. La acestea se adaugă turismul recreațional neautorizat pe plajele neamenajate de pe grindul </w:t>
                  </w:r>
                  <w:r w:rsidRPr="00C56257">
                    <w:rPr>
                      <w:color w:val="000000"/>
                    </w:rPr>
                    <w:lastRenderedPageBreak/>
                    <w:t>Plantației (partea sudică a grindului Chituc), în zona litorală din apropierea localității Vadu, unde turiștii întind corturi pe plajă, intră cu autoturismele în zona plajelor și lasă gunoaie pe plaje.</w:t>
                  </w:r>
                </w:p>
                <w:p w14:paraId="46F4F54C" w14:textId="77777777" w:rsidR="00FC026B" w:rsidRPr="00C56257" w:rsidRDefault="00FC026B" w:rsidP="00993B86">
                  <w:pPr>
                    <w:ind w:firstLine="709"/>
                    <w:jc w:val="both"/>
                    <w:rPr>
                      <w:color w:val="000000"/>
                    </w:rPr>
                  </w:pPr>
                  <w:r w:rsidRPr="00C56257">
                    <w:rPr>
                      <w:color w:val="000000"/>
                    </w:rPr>
                    <w:t xml:space="preserve">Activități militare în zona plajelor care au determinat de altfel îngrădirea unor porțiuni de plaje, au fost observate pe plaja Corbu, în zona poligonului Cap Midia și la Sulina, la sud de canalul Busurca (unitate militara de radare). Activitățile militare sunt însă ocazionale și nu au un impact atât de mare asupra vegetației plajelor, inclusiv asupra vegetației din habitatul 1210, comparativ cu alți factori de impact negativi.  </w:t>
                  </w:r>
                </w:p>
                <w:p w14:paraId="3E73408C" w14:textId="77777777" w:rsidR="00FC026B" w:rsidRPr="00C56257" w:rsidRDefault="00FC026B" w:rsidP="00993B86">
                  <w:pPr>
                    <w:ind w:firstLine="709"/>
                    <w:jc w:val="both"/>
                    <w:rPr>
                      <w:color w:val="000000"/>
                    </w:rPr>
                  </w:pPr>
                  <w:r w:rsidRPr="00C56257">
                    <w:rPr>
                      <w:color w:val="000000"/>
                    </w:rPr>
                    <w:t xml:space="preserve">Dintre speciile alohtone invazive au fost observate în cadrul habitatului 1210 </w:t>
                  </w:r>
                  <w:r w:rsidRPr="00C56257">
                    <w:rPr>
                      <w:i/>
                      <w:color w:val="000000"/>
                    </w:rPr>
                    <w:t xml:space="preserve">Xanthium strumarium </w:t>
                  </w:r>
                  <w:r w:rsidRPr="00C56257">
                    <w:rPr>
                      <w:color w:val="000000"/>
                    </w:rPr>
                    <w:t>subsp.</w:t>
                  </w:r>
                  <w:r w:rsidRPr="00C56257">
                    <w:rPr>
                      <w:i/>
                      <w:color w:val="000000"/>
                    </w:rPr>
                    <w:t xml:space="preserve"> italicum</w:t>
                  </w:r>
                  <w:r w:rsidRPr="00C56257">
                    <w:rPr>
                      <w:color w:val="000000"/>
                    </w:rPr>
                    <w:t xml:space="preserve"> (syn. </w:t>
                  </w:r>
                  <w:r w:rsidRPr="00C56257">
                    <w:rPr>
                      <w:i/>
                      <w:color w:val="000000"/>
                    </w:rPr>
                    <w:t>Xanthium italicum</w:t>
                  </w:r>
                  <w:r w:rsidRPr="00C56257">
                    <w:rPr>
                      <w:color w:val="000000"/>
                    </w:rPr>
                    <w:t xml:space="preserve">), care, datorită constanței ridicate și a abundenței mari în unele zone dintre mediolitoral și dune, devine chiar specie edificatoare pentru asociația vegetală </w:t>
                  </w:r>
                  <w:r w:rsidRPr="00C56257">
                    <w:rPr>
                      <w:i/>
                      <w:color w:val="000000"/>
                    </w:rPr>
                    <w:t>Salsolo ruthenicae-Xanthietum strumarii.</w:t>
                  </w:r>
                  <w:r w:rsidRPr="00C56257">
                    <w:rPr>
                      <w:color w:val="000000"/>
                    </w:rPr>
                    <w:t xml:space="preserve"> Alte specii alohtone cu potențial invaziv observate în cadrul habitatului 1210 sunt </w:t>
                  </w:r>
                  <w:r w:rsidRPr="00C56257">
                    <w:rPr>
                      <w:i/>
                      <w:color w:val="000000"/>
                    </w:rPr>
                    <w:t>Amorpha fruticosa</w:t>
                  </w:r>
                  <w:r w:rsidRPr="00C56257">
                    <w:rPr>
                      <w:color w:val="000000"/>
                    </w:rPr>
                    <w:t xml:space="preserve"> - salcâmul pitic și </w:t>
                  </w:r>
                  <w:r w:rsidRPr="00C56257">
                    <w:rPr>
                      <w:i/>
                      <w:color w:val="000000"/>
                    </w:rPr>
                    <w:t>Elaeagnus angustifolia</w:t>
                  </w:r>
                  <w:r w:rsidRPr="00C56257">
                    <w:rPr>
                      <w:color w:val="000000"/>
                    </w:rPr>
                    <w:t xml:space="preserve"> - sălcioara, care se dezvoltă copios în apropierea mediolitoralului, mai ales pe plajele înguste situate la nord de grindul Perișor.</w:t>
                  </w:r>
                </w:p>
                <w:p w14:paraId="66800FD3" w14:textId="77777777" w:rsidR="00FC026B" w:rsidRPr="008B2BC0" w:rsidRDefault="00FC026B" w:rsidP="00993B86">
                  <w:pPr>
                    <w:ind w:firstLine="709"/>
                    <w:jc w:val="both"/>
                    <w:rPr>
                      <w:color w:val="000000"/>
                    </w:rPr>
                  </w:pPr>
                  <w:r w:rsidRPr="00C56257">
                    <w:rPr>
                      <w:color w:val="000000"/>
                    </w:rPr>
                    <w:t>Procesul de eroziune a plajelor este evident în diferite segmente ale litoralului nordic românesc, din zona grindului Chituc și până în zona brațului Sfântu Gheorghe. Acest proces afectează în primul rând vegetația habitatului 1210, determinând declinul sau dispariția ei pe suprafețe mai mari sau mai mici, în funcție de intensitatea și amploarea eroziunii.</w:t>
                  </w:r>
                </w:p>
                <w:p w14:paraId="59EC111B" w14:textId="77777777" w:rsidR="00FC026B" w:rsidRPr="00C56257" w:rsidRDefault="00FC026B" w:rsidP="00993B86">
                  <w:pPr>
                    <w:ind w:firstLine="709"/>
                    <w:jc w:val="both"/>
                    <w:rPr>
                      <w:color w:val="000000"/>
                    </w:rPr>
                  </w:pPr>
                  <w:r w:rsidRPr="00C56257">
                    <w:rPr>
                      <w:color w:val="000000"/>
                    </w:rPr>
                    <w:t>Furtunile și cicloanele, dar și expunerea vegetației la valuri puternice afectează de asemenea vegetația habitatului 1210 prin smulgerea plantelor din nisip sau acoperirea lor cu nisip. Modificarea compoziției covorului vegetal se realizează prin faptul că rămân și proliferează speciile mai rezistente, cu înrădăcinare puternică sau care rezistă o perioadă mai lungă la acoperirea cu nisip.</w:t>
                  </w:r>
                </w:p>
                <w:p w14:paraId="50591186" w14:textId="77777777" w:rsidR="00FC026B" w:rsidRPr="00C56257" w:rsidRDefault="00FC026B" w:rsidP="00993B86">
                  <w:pPr>
                    <w:ind w:firstLine="709"/>
                    <w:jc w:val="both"/>
                    <w:rPr>
                      <w:color w:val="000000"/>
                    </w:rPr>
                  </w:pPr>
                  <w:r w:rsidRPr="00C56257">
                    <w:rPr>
                      <w:color w:val="000000"/>
                    </w:rPr>
                    <w:t>Creșterea temperaturilor și modificările climatice determinate de acestea pot afecta covorul vegetal specific habitatului 1210, determinând uscarea unor plante mai puțin rezistente, mai ales a celor situate către baza dunelor de nisip și chiar pe versanții estici ai dunelor.</w:t>
                  </w:r>
                </w:p>
                <w:p w14:paraId="04021DEC" w14:textId="77777777" w:rsidR="00FC026B" w:rsidRPr="00C56257" w:rsidRDefault="00FC026B" w:rsidP="00993B86">
                  <w:pPr>
                    <w:ind w:firstLine="709"/>
                    <w:jc w:val="both"/>
                    <w:rPr>
                      <w:color w:val="000000"/>
                    </w:rPr>
                  </w:pPr>
                  <w:r w:rsidRPr="00C56257">
                    <w:rPr>
                      <w:color w:val="000000"/>
                    </w:rPr>
                    <w:t>În zona sudică a litoralului românesc, principalii factori de risc la adresa habitatului 1210 sunt: construcția sau modificarea unor zone urbane sau recreaționale (cum ar fi plajele) (F02) (în zona Cap Midia și Tuzla), dezvoltarea și menținerea plajelor pentru turism și recreație, inclusiv curățarea plajelor (F06) (în zona Cap Midia și Tuzla), specii străine și alte specii problematice (ex., invazive, colonizatoare) (I) (în zona Cap Midia, Tuzla, 2 Mai și Vama Veche), procese abiotice naturale precum eroziunea plajelor (Fig. III.17), tasarea nisipului, uscarea sau băltirea plajelor, salinizarea nisipului (L01) - procese de eroziune (la Eforie Sud, Tuzla, între 2 Mai și Vama Veche), expunerea plajelor la valuri și la schimbări ale nivelului mării ca urmare a schimbărilor climatice (N04) (pe întreg litoralul sudic).</w:t>
                  </w:r>
                </w:p>
                <w:p w14:paraId="60428AD9" w14:textId="77777777" w:rsidR="00FC026B" w:rsidRPr="00C56257" w:rsidRDefault="00FC026B" w:rsidP="00993B86">
                  <w:pPr>
                    <w:ind w:firstLine="567"/>
                    <w:jc w:val="both"/>
                    <w:rPr>
                      <w:bCs/>
                    </w:rPr>
                  </w:pPr>
                  <w:r w:rsidRPr="00C56257">
                    <w:rPr>
                      <w:bCs/>
                    </w:rPr>
                    <w:t>Deplasările pe teren, în fiecare segment de coastă, se realiz</w:t>
                  </w:r>
                  <w:r>
                    <w:rPr>
                      <w:bCs/>
                    </w:rPr>
                    <w:t>ează</w:t>
                  </w:r>
                  <w:r w:rsidRPr="00C56257">
                    <w:rPr>
                      <w:bCs/>
                    </w:rPr>
                    <w:t xml:space="preserve"> în perioada mai-octombrie, pentru a surprinde modificările sezoniere ale vegetaţiei litorale astfel încât compoziția în specii a asociațiilor vegetale din cadrul habitatului 1210 să fie completă, iar evaluarea indicilor populaționali ai speciilor de plante din cadrul habitatului (evaluarea abundenței-dominanței, a acoperirii) să se realizeze sezonier. </w:t>
                  </w:r>
                </w:p>
                <w:p w14:paraId="73D595CC" w14:textId="77777777" w:rsidR="00FC026B" w:rsidRPr="00C56257" w:rsidRDefault="00FC026B" w:rsidP="00993B86">
                  <w:pPr>
                    <w:ind w:firstLine="567"/>
                    <w:jc w:val="both"/>
                    <w:rPr>
                      <w:bCs/>
                    </w:rPr>
                  </w:pPr>
                  <w:r w:rsidRPr="00C56257">
                    <w:rPr>
                      <w:bCs/>
                    </w:rPr>
                    <w:t xml:space="preserve">Inventarul floristic al habitatului </w:t>
                  </w:r>
                  <w:r>
                    <w:rPr>
                      <w:bCs/>
                    </w:rPr>
                    <w:t>este</w:t>
                  </w:r>
                  <w:r w:rsidRPr="00C56257">
                    <w:rPr>
                      <w:bCs/>
                    </w:rPr>
                    <w:t xml:space="preserve"> suma taxonilor vegetali identificaţi în cadrul asociaţiilor vegetale tipice habitatului 1210, la care se adăug</w:t>
                  </w:r>
                  <w:r>
                    <w:rPr>
                      <w:bCs/>
                    </w:rPr>
                    <w:t>ă</w:t>
                  </w:r>
                  <w:r w:rsidRPr="00C56257">
                    <w:rPr>
                      <w:bCs/>
                    </w:rPr>
                    <w:t xml:space="preserve"> (dacă va fi cazul) specii de plante ce se dezvoltă sub forma unor populaţii izolate de-a lungul coastei, fără a intra în componenţa vreunei asociaţii vegetale. </w:t>
                  </w:r>
                </w:p>
                <w:p w14:paraId="63E0B3AF" w14:textId="77777777" w:rsidR="00FC026B" w:rsidRPr="00C56257" w:rsidRDefault="00FC026B" w:rsidP="00993B86">
                  <w:pPr>
                    <w:ind w:firstLine="567"/>
                    <w:jc w:val="both"/>
                    <w:rPr>
                      <w:bCs/>
                    </w:rPr>
                  </w:pPr>
                  <w:r w:rsidRPr="00C56257">
                    <w:rPr>
                      <w:bCs/>
                    </w:rPr>
                    <w:t xml:space="preserve">În cadrul inventarului floristic vor fi evidenţiate speciile de plante dominante (cele care edifică asociațiile vegetale caracteristice habitatului 1210), cele caracteristice (speciile care servesc la recunoaşterea habitatului) și speciile însoţitoare (care au o prezenţă/constanţă medie sau mică în cadrul habitatului). Va fi, de asemenea, evidenţiată prezenţa în cadrul habitatului a unor rarități floristice și a unor eventuale specii alohtone, invazive sau potenţial invazive. </w:t>
                  </w:r>
                </w:p>
                <w:p w14:paraId="3E5A3517" w14:textId="77777777" w:rsidR="00FC026B" w:rsidRPr="00C56257" w:rsidRDefault="00FC026B" w:rsidP="00993B86">
                  <w:pPr>
                    <w:ind w:firstLine="720"/>
                    <w:jc w:val="both"/>
                    <w:rPr>
                      <w:bCs/>
                    </w:rPr>
                  </w:pPr>
                  <w:r w:rsidRPr="00C56257">
                    <w:rPr>
                      <w:bCs/>
                    </w:rPr>
                    <w:t xml:space="preserve">Rarităţile floristice din cadrul habitatului 1210 </w:t>
                  </w:r>
                  <w:r>
                    <w:rPr>
                      <w:bCs/>
                    </w:rPr>
                    <w:t>se</w:t>
                  </w:r>
                  <w:r w:rsidRPr="00C56257">
                    <w:rPr>
                      <w:bCs/>
                    </w:rPr>
                    <w:t xml:space="preserve"> evidenția</w:t>
                  </w:r>
                  <w:r>
                    <w:rPr>
                      <w:bCs/>
                    </w:rPr>
                    <w:t>ză</w:t>
                  </w:r>
                  <w:r w:rsidRPr="00C56257">
                    <w:rPr>
                      <w:bCs/>
                    </w:rPr>
                    <w:t xml:space="preserve"> conform apartenenţei lor la una dintre categoriile de periclitare (categorii sozologice)</w:t>
                  </w:r>
                  <w:r w:rsidRPr="00C56257">
                    <w:rPr>
                      <w:lang w:val="en-US"/>
                    </w:rPr>
                    <w:t xml:space="preserve">. Se </w:t>
                  </w:r>
                  <w:proofErr w:type="spellStart"/>
                  <w:r w:rsidRPr="00C56257">
                    <w:rPr>
                      <w:lang w:val="en-US"/>
                    </w:rPr>
                    <w:t>acord</w:t>
                  </w:r>
                  <w:r>
                    <w:rPr>
                      <w:lang w:val="en-US"/>
                    </w:rPr>
                    <w:t>ă</w:t>
                  </w:r>
                  <w:proofErr w:type="spellEnd"/>
                  <w:r w:rsidRPr="00C56257">
                    <w:rPr>
                      <w:lang w:val="en-US"/>
                    </w:rPr>
                    <w:t xml:space="preserve"> o </w:t>
                  </w:r>
                  <w:proofErr w:type="spellStart"/>
                  <w:r w:rsidRPr="00C56257">
                    <w:rPr>
                      <w:lang w:val="en-US"/>
                    </w:rPr>
                    <w:t>atenție</w:t>
                  </w:r>
                  <w:proofErr w:type="spellEnd"/>
                  <w:r w:rsidRPr="00C56257">
                    <w:rPr>
                      <w:lang w:val="en-US"/>
                    </w:rPr>
                    <w:t xml:space="preserve"> </w:t>
                  </w:r>
                  <w:proofErr w:type="spellStart"/>
                  <w:r w:rsidRPr="00C56257">
                    <w:rPr>
                      <w:lang w:val="en-US"/>
                    </w:rPr>
                    <w:t>deosebită</w:t>
                  </w:r>
                  <w:proofErr w:type="spellEnd"/>
                  <w:r w:rsidRPr="00C56257">
                    <w:rPr>
                      <w:lang w:val="en-US"/>
                    </w:rPr>
                    <w:t xml:space="preserve"> </w:t>
                  </w:r>
                  <w:proofErr w:type="spellStart"/>
                  <w:r w:rsidRPr="00C56257">
                    <w:rPr>
                      <w:lang w:val="en-US"/>
                    </w:rPr>
                    <w:t>speciilor</w:t>
                  </w:r>
                  <w:proofErr w:type="spellEnd"/>
                  <w:r w:rsidRPr="00C56257">
                    <w:rPr>
                      <w:lang w:val="en-US"/>
                    </w:rPr>
                    <w:t xml:space="preserve"> de </w:t>
                  </w:r>
                  <w:proofErr w:type="spellStart"/>
                  <w:r w:rsidRPr="00C56257">
                    <w:rPr>
                      <w:lang w:val="en-US"/>
                    </w:rPr>
                    <w:t>plante</w:t>
                  </w:r>
                  <w:proofErr w:type="spellEnd"/>
                  <w:r w:rsidRPr="00C56257">
                    <w:rPr>
                      <w:lang w:val="en-US"/>
                    </w:rPr>
                    <w:t xml:space="preserve"> de </w:t>
                  </w:r>
                  <w:proofErr w:type="spellStart"/>
                  <w:r w:rsidRPr="00C56257">
                    <w:rPr>
                      <w:lang w:val="en-US"/>
                    </w:rPr>
                    <w:t>interes</w:t>
                  </w:r>
                  <w:proofErr w:type="spellEnd"/>
                  <w:r w:rsidRPr="00C56257">
                    <w:rPr>
                      <w:lang w:val="en-US"/>
                    </w:rPr>
                    <w:t xml:space="preserve"> </w:t>
                  </w:r>
                  <w:proofErr w:type="spellStart"/>
                  <w:r w:rsidRPr="00C56257">
                    <w:rPr>
                      <w:lang w:val="en-US"/>
                    </w:rPr>
                    <w:t>conservativ</w:t>
                  </w:r>
                  <w:proofErr w:type="spellEnd"/>
                  <w:r w:rsidRPr="00C56257">
                    <w:rPr>
                      <w:lang w:val="en-US"/>
                    </w:rPr>
                    <w:t xml:space="preserve"> </w:t>
                  </w:r>
                  <w:proofErr w:type="spellStart"/>
                  <w:r w:rsidRPr="00C56257">
                    <w:rPr>
                      <w:lang w:val="en-US"/>
                    </w:rPr>
                    <w:t>european</w:t>
                  </w:r>
                  <w:proofErr w:type="spellEnd"/>
                  <w:r w:rsidRPr="00C56257">
                    <w:rPr>
                      <w:lang w:val="en-US"/>
                    </w:rPr>
                    <w:t xml:space="preserve"> </w:t>
                  </w:r>
                  <w:proofErr w:type="spellStart"/>
                  <w:r w:rsidRPr="00C56257">
                    <w:rPr>
                      <w:lang w:val="en-US"/>
                    </w:rPr>
                    <w:t>prezente</w:t>
                  </w:r>
                  <w:proofErr w:type="spellEnd"/>
                  <w:r w:rsidRPr="00C56257">
                    <w:rPr>
                      <w:lang w:val="en-US"/>
                    </w:rPr>
                    <w:t xml:space="preserve"> </w:t>
                  </w:r>
                  <w:proofErr w:type="spellStart"/>
                  <w:r w:rsidRPr="00C56257">
                    <w:rPr>
                      <w:lang w:val="en-US"/>
                    </w:rPr>
                    <w:t>în</w:t>
                  </w:r>
                  <w:proofErr w:type="spellEnd"/>
                  <w:r w:rsidRPr="00C56257">
                    <w:rPr>
                      <w:lang w:val="en-US"/>
                    </w:rPr>
                    <w:t xml:space="preserve"> </w:t>
                  </w:r>
                  <w:proofErr w:type="spellStart"/>
                  <w:r w:rsidRPr="00C56257">
                    <w:rPr>
                      <w:lang w:val="en-US"/>
                    </w:rPr>
                    <w:t>cadrul</w:t>
                  </w:r>
                  <w:proofErr w:type="spellEnd"/>
                  <w:r>
                    <w:rPr>
                      <w:lang w:val="en-US"/>
                    </w:rPr>
                    <w:t xml:space="preserve"> </w:t>
                  </w:r>
                  <w:r w:rsidRPr="00C56257">
                    <w:rPr>
                      <w:bCs/>
                    </w:rPr>
                    <w:t>habitatului 1210</w:t>
                  </w:r>
                  <w:r>
                    <w:rPr>
                      <w:bCs/>
                    </w:rPr>
                    <w:t>.</w:t>
                  </w:r>
                </w:p>
                <w:p w14:paraId="25B37824" w14:textId="77777777" w:rsidR="00FC026B" w:rsidRPr="00C56257" w:rsidRDefault="00FC026B" w:rsidP="00993B86">
                  <w:pPr>
                    <w:ind w:firstLine="720"/>
                    <w:jc w:val="both"/>
                    <w:rPr>
                      <w:bCs/>
                    </w:rPr>
                  </w:pPr>
                  <w:r w:rsidRPr="00C56257">
                    <w:rPr>
                      <w:bCs/>
                    </w:rPr>
                    <w:lastRenderedPageBreak/>
                    <w:t xml:space="preserve">Raritățile floristice prezente în cadrul habitatului 1210 sunt: </w:t>
                  </w:r>
                  <w:r w:rsidRPr="00C56257">
                    <w:rPr>
                      <w:bCs/>
                      <w:i/>
                    </w:rPr>
                    <w:t xml:space="preserve">Argusia sibirica </w:t>
                  </w:r>
                  <w:r w:rsidRPr="00C56257">
                    <w:rPr>
                      <w:bCs/>
                    </w:rPr>
                    <w:t>- critic periclitată (CR)</w:t>
                  </w:r>
                  <w:r>
                    <w:rPr>
                      <w:bCs/>
                    </w:rPr>
                    <w:t xml:space="preserve">, </w:t>
                  </w:r>
                  <w:r w:rsidRPr="00C56257">
                    <w:rPr>
                      <w:bCs/>
                      <w:i/>
                    </w:rPr>
                    <w:t xml:space="preserve">Cakile maritima </w:t>
                  </w:r>
                  <w:r w:rsidRPr="00C56257">
                    <w:rPr>
                      <w:bCs/>
                    </w:rPr>
                    <w:t>subsp.</w:t>
                  </w:r>
                  <w:r w:rsidRPr="00C56257">
                    <w:rPr>
                      <w:bCs/>
                      <w:i/>
                    </w:rPr>
                    <w:t xml:space="preserve"> euxina</w:t>
                  </w:r>
                  <w:r w:rsidRPr="00C56257">
                    <w:rPr>
                      <w:bCs/>
                    </w:rPr>
                    <w:t xml:space="preserve"> - periclitată, </w:t>
                  </w:r>
                  <w:r w:rsidRPr="00C56257">
                    <w:rPr>
                      <w:bCs/>
                      <w:i/>
                    </w:rPr>
                    <w:t>Crambe maritima</w:t>
                  </w:r>
                  <w:r w:rsidRPr="00C56257">
                    <w:rPr>
                      <w:bCs/>
                    </w:rPr>
                    <w:t xml:space="preserve"> - periclitată (EN), </w:t>
                  </w:r>
                  <w:r w:rsidRPr="00C56257">
                    <w:rPr>
                      <w:bCs/>
                      <w:i/>
                    </w:rPr>
                    <w:t>Euphorbia peplis</w:t>
                  </w:r>
                  <w:r w:rsidRPr="00C56257">
                    <w:rPr>
                      <w:bCs/>
                    </w:rPr>
                    <w:t xml:space="preserve"> - periclitată (EN), </w:t>
                  </w:r>
                  <w:r w:rsidRPr="00C56257">
                    <w:rPr>
                      <w:bCs/>
                      <w:i/>
                    </w:rPr>
                    <w:t>Polygonum maritimum</w:t>
                  </w:r>
                  <w:r w:rsidRPr="00C56257">
                    <w:rPr>
                      <w:bCs/>
                    </w:rPr>
                    <w:t xml:space="preserve"> - vulnerabilă (VU).</w:t>
                  </w:r>
                </w:p>
                <w:p w14:paraId="7114CD2C" w14:textId="77777777" w:rsidR="00FC026B" w:rsidRPr="00F100E1" w:rsidRDefault="00FC026B" w:rsidP="00993B86">
                  <w:pPr>
                    <w:ind w:right="51" w:firstLine="567"/>
                    <w:jc w:val="both"/>
                  </w:pPr>
                  <w:r w:rsidRPr="00C56257">
                    <w:t>Studiul asociaţiilor vegetale tipice habitatului 1210 se realiz</w:t>
                  </w:r>
                  <w:r>
                    <w:t>ează</w:t>
                  </w:r>
                  <w:r w:rsidRPr="00C56257">
                    <w:t xml:space="preserve"> prin metoda transectelor itinerante şi const</w:t>
                  </w:r>
                  <w:r>
                    <w:t>ă</w:t>
                  </w:r>
                  <w:r w:rsidRPr="00C56257">
                    <w:t xml:space="preserve"> în parcurgerea unor itinerarii (transecte) care însoţesc linia ţărmului între Vama Veche şi Sulina, de-a lungul segmentelor de coastă delimitate în vederea monitorizării. De-a lungul transectelor </w:t>
                  </w:r>
                  <w:r>
                    <w:t>se</w:t>
                  </w:r>
                  <w:r w:rsidRPr="00C56257">
                    <w:t xml:space="preserve"> delimit</w:t>
                  </w:r>
                  <w:r>
                    <w:t>ează</w:t>
                  </w:r>
                  <w:r w:rsidRPr="00C56257">
                    <w:t xml:space="preserve"> ploturi de monitorizare, în care se realiz</w:t>
                  </w:r>
                  <w:r>
                    <w:t>ează</w:t>
                  </w:r>
                  <w:r w:rsidRPr="00C56257">
                    <w:t xml:space="preserve"> observații specifice (releveuri) la nivelul diferitelor fitocenoze, care vor permite identificarea şi caracterizarea pe criterii ştiinţifice a asociaţiilor vegetale tipice acestui habitat. </w:t>
                  </w:r>
                </w:p>
                <w:p w14:paraId="461017DB" w14:textId="77777777" w:rsidR="00FC026B" w:rsidRPr="00C56257" w:rsidRDefault="00FC026B" w:rsidP="00993B86">
                  <w:pPr>
                    <w:ind w:right="51" w:firstLine="567"/>
                    <w:jc w:val="both"/>
                  </w:pPr>
                  <w:proofErr w:type="spellStart"/>
                  <w:r w:rsidRPr="00C56257">
                    <w:rPr>
                      <w:lang w:val="en-US"/>
                    </w:rPr>
                    <w:t>În</w:t>
                  </w:r>
                  <w:proofErr w:type="spellEnd"/>
                  <w:r w:rsidRPr="00C56257">
                    <w:rPr>
                      <w:lang w:val="en-US"/>
                    </w:rPr>
                    <w:t xml:space="preserve"> </w:t>
                  </w:r>
                  <w:proofErr w:type="spellStart"/>
                  <w:r w:rsidRPr="00C56257">
                    <w:rPr>
                      <w:lang w:val="en-US"/>
                    </w:rPr>
                    <w:t>cursul</w:t>
                  </w:r>
                  <w:proofErr w:type="spellEnd"/>
                  <w:r w:rsidRPr="00C56257">
                    <w:rPr>
                      <w:lang w:val="en-US"/>
                    </w:rPr>
                    <w:t xml:space="preserve"> </w:t>
                  </w:r>
                  <w:proofErr w:type="spellStart"/>
                  <w:r w:rsidRPr="00C56257">
                    <w:rPr>
                      <w:lang w:val="en-US"/>
                    </w:rPr>
                    <w:t>fiecărei</w:t>
                  </w:r>
                  <w:proofErr w:type="spellEnd"/>
                  <w:r w:rsidRPr="00C56257">
                    <w:rPr>
                      <w:lang w:val="en-US"/>
                    </w:rPr>
                    <w:t xml:space="preserve"> </w:t>
                  </w:r>
                  <w:proofErr w:type="spellStart"/>
                  <w:r w:rsidRPr="00C56257">
                    <w:rPr>
                      <w:lang w:val="en-US"/>
                    </w:rPr>
                    <w:t>deplasări</w:t>
                  </w:r>
                  <w:proofErr w:type="spellEnd"/>
                  <w:r w:rsidRPr="00C56257">
                    <w:rPr>
                      <w:lang w:val="en-US"/>
                    </w:rPr>
                    <w:t xml:space="preserve">, se </w:t>
                  </w:r>
                  <w:r>
                    <w:rPr>
                      <w:lang w:val="en-US"/>
                    </w:rPr>
                    <w:t>fac</w:t>
                  </w:r>
                  <w:r w:rsidRPr="00C56257">
                    <w:rPr>
                      <w:lang w:val="en-US"/>
                    </w:rPr>
                    <w:t xml:space="preserve"> </w:t>
                  </w:r>
                  <w:proofErr w:type="spellStart"/>
                  <w:r w:rsidRPr="00C56257">
                    <w:rPr>
                      <w:lang w:val="en-US"/>
                    </w:rPr>
                    <w:t>observații</w:t>
                  </w:r>
                  <w:proofErr w:type="spellEnd"/>
                  <w:r w:rsidRPr="00C56257">
                    <w:rPr>
                      <w:lang w:val="en-US"/>
                    </w:rPr>
                    <w:t xml:space="preserve"> </w:t>
                  </w:r>
                  <w:proofErr w:type="spellStart"/>
                  <w:r w:rsidRPr="00C56257">
                    <w:rPr>
                      <w:lang w:val="en-US"/>
                    </w:rPr>
                    <w:t>în</w:t>
                  </w:r>
                  <w:proofErr w:type="spellEnd"/>
                  <w:r w:rsidRPr="00C56257">
                    <w:rPr>
                      <w:lang w:val="en-US"/>
                    </w:rPr>
                    <w:t xml:space="preserve"> minim 5 </w:t>
                  </w:r>
                  <w:proofErr w:type="spellStart"/>
                  <w:r w:rsidRPr="00C56257">
                    <w:rPr>
                      <w:lang w:val="en-US"/>
                    </w:rPr>
                    <w:t>ploturi</w:t>
                  </w:r>
                  <w:proofErr w:type="spellEnd"/>
                  <w:r w:rsidRPr="00C56257">
                    <w:rPr>
                      <w:lang w:val="en-US"/>
                    </w:rPr>
                    <w:t xml:space="preserve"> </w:t>
                  </w:r>
                  <w:proofErr w:type="spellStart"/>
                  <w:r w:rsidRPr="00C56257">
                    <w:rPr>
                      <w:lang w:val="en-US"/>
                    </w:rPr>
                    <w:t>în</w:t>
                  </w:r>
                  <w:proofErr w:type="spellEnd"/>
                  <w:r w:rsidRPr="00C56257">
                    <w:rPr>
                      <w:lang w:val="en-US"/>
                    </w:rPr>
                    <w:t xml:space="preserve"> </w:t>
                  </w:r>
                  <w:proofErr w:type="spellStart"/>
                  <w:r w:rsidRPr="00C56257">
                    <w:rPr>
                      <w:lang w:val="en-US"/>
                    </w:rPr>
                    <w:t>segmentele</w:t>
                  </w:r>
                  <w:proofErr w:type="spellEnd"/>
                  <w:r w:rsidRPr="00C56257">
                    <w:rPr>
                      <w:lang w:val="en-US"/>
                    </w:rPr>
                    <w:t xml:space="preserve"> delimitate </w:t>
                  </w:r>
                  <w:proofErr w:type="spellStart"/>
                  <w:r w:rsidRPr="00C56257">
                    <w:rPr>
                      <w:lang w:val="en-US"/>
                    </w:rPr>
                    <w:t>în</w:t>
                  </w:r>
                  <w:proofErr w:type="spellEnd"/>
                  <w:r w:rsidRPr="00C56257">
                    <w:rPr>
                      <w:lang w:val="en-US"/>
                    </w:rPr>
                    <w:t xml:space="preserve"> zona </w:t>
                  </w:r>
                  <w:proofErr w:type="spellStart"/>
                  <w:r w:rsidRPr="00C56257">
                    <w:rPr>
                      <w:lang w:val="en-US"/>
                    </w:rPr>
                    <w:t>sudică</w:t>
                  </w:r>
                  <w:proofErr w:type="spellEnd"/>
                  <w:r w:rsidRPr="00C56257">
                    <w:rPr>
                      <w:lang w:val="en-US"/>
                    </w:rPr>
                    <w:t xml:space="preserve"> a </w:t>
                  </w:r>
                  <w:proofErr w:type="spellStart"/>
                  <w:r w:rsidRPr="00C56257">
                    <w:rPr>
                      <w:lang w:val="en-US"/>
                    </w:rPr>
                    <w:t>litoralului</w:t>
                  </w:r>
                  <w:proofErr w:type="spellEnd"/>
                  <w:r w:rsidRPr="00C56257">
                    <w:rPr>
                      <w:lang w:val="en-US"/>
                    </w:rPr>
                    <w:t xml:space="preserve"> </w:t>
                  </w:r>
                  <w:proofErr w:type="spellStart"/>
                  <w:r w:rsidRPr="00C56257">
                    <w:rPr>
                      <w:lang w:val="en-US"/>
                    </w:rPr>
                    <w:t>românesc</w:t>
                  </w:r>
                  <w:proofErr w:type="spellEnd"/>
                  <w:r w:rsidRPr="00C56257">
                    <w:rPr>
                      <w:lang w:val="en-US"/>
                    </w:rPr>
                    <w:t xml:space="preserve"> </w:t>
                  </w:r>
                  <w:proofErr w:type="spellStart"/>
                  <w:r w:rsidRPr="00C56257">
                    <w:rPr>
                      <w:lang w:val="en-US"/>
                    </w:rPr>
                    <w:t>și</w:t>
                  </w:r>
                  <w:proofErr w:type="spellEnd"/>
                  <w:r w:rsidRPr="00C56257">
                    <w:rPr>
                      <w:lang w:val="en-US"/>
                    </w:rPr>
                    <w:t xml:space="preserve"> </w:t>
                  </w:r>
                  <w:proofErr w:type="spellStart"/>
                  <w:r w:rsidRPr="00C56257">
                    <w:rPr>
                      <w:lang w:val="en-US"/>
                    </w:rPr>
                    <w:t>în</w:t>
                  </w:r>
                  <w:proofErr w:type="spellEnd"/>
                  <w:r w:rsidRPr="00C56257">
                    <w:rPr>
                      <w:lang w:val="en-US"/>
                    </w:rPr>
                    <w:t xml:space="preserve"> minim 10 </w:t>
                  </w:r>
                  <w:proofErr w:type="spellStart"/>
                  <w:r w:rsidRPr="00C56257">
                    <w:rPr>
                      <w:lang w:val="en-US"/>
                    </w:rPr>
                    <w:t>ploturi</w:t>
                  </w:r>
                  <w:proofErr w:type="spellEnd"/>
                  <w:r w:rsidRPr="00C56257">
                    <w:rPr>
                      <w:lang w:val="en-US"/>
                    </w:rPr>
                    <w:t xml:space="preserve"> </w:t>
                  </w:r>
                  <w:proofErr w:type="spellStart"/>
                  <w:r w:rsidRPr="00C56257">
                    <w:rPr>
                      <w:lang w:val="en-US"/>
                    </w:rPr>
                    <w:t>în</w:t>
                  </w:r>
                  <w:proofErr w:type="spellEnd"/>
                  <w:r w:rsidRPr="00C56257">
                    <w:rPr>
                      <w:lang w:val="en-US"/>
                    </w:rPr>
                    <w:t xml:space="preserve"> </w:t>
                  </w:r>
                  <w:proofErr w:type="spellStart"/>
                  <w:r w:rsidRPr="00C56257">
                    <w:rPr>
                      <w:lang w:val="en-US"/>
                    </w:rPr>
                    <w:t>segmentele</w:t>
                  </w:r>
                  <w:proofErr w:type="spellEnd"/>
                  <w:r w:rsidRPr="00C56257">
                    <w:rPr>
                      <w:lang w:val="en-US"/>
                    </w:rPr>
                    <w:t xml:space="preserve">  </w:t>
                  </w:r>
                  <w:proofErr w:type="spellStart"/>
                  <w:r w:rsidRPr="00C56257">
                    <w:rPr>
                      <w:lang w:val="en-US"/>
                    </w:rPr>
                    <w:t>costiere</w:t>
                  </w:r>
                  <w:proofErr w:type="spellEnd"/>
                  <w:r w:rsidRPr="00C56257">
                    <w:rPr>
                      <w:lang w:val="en-US"/>
                    </w:rPr>
                    <w:t xml:space="preserve"> din zona </w:t>
                  </w:r>
                  <w:proofErr w:type="spellStart"/>
                  <w:r w:rsidRPr="00C56257">
                    <w:rPr>
                      <w:lang w:val="en-US"/>
                    </w:rPr>
                    <w:t>situată</w:t>
                  </w:r>
                  <w:proofErr w:type="spellEnd"/>
                  <w:r w:rsidRPr="00C56257">
                    <w:rPr>
                      <w:lang w:val="en-US"/>
                    </w:rPr>
                    <w:t xml:space="preserve"> la </w:t>
                  </w:r>
                  <w:proofErr w:type="spellStart"/>
                  <w:r w:rsidRPr="00C56257">
                    <w:rPr>
                      <w:lang w:val="en-US"/>
                    </w:rPr>
                    <w:t>nord</w:t>
                  </w:r>
                  <w:proofErr w:type="spellEnd"/>
                  <w:r w:rsidRPr="00C56257">
                    <w:rPr>
                      <w:lang w:val="en-US"/>
                    </w:rPr>
                    <w:t xml:space="preserve"> de Capul Midia, </w:t>
                  </w:r>
                  <w:proofErr w:type="spellStart"/>
                  <w:r w:rsidRPr="00C56257">
                    <w:rPr>
                      <w:lang w:val="en-US"/>
                    </w:rPr>
                    <w:t>unde</w:t>
                  </w:r>
                  <w:proofErr w:type="spellEnd"/>
                  <w:r w:rsidRPr="00C56257">
                    <w:rPr>
                      <w:lang w:val="en-US"/>
                    </w:rPr>
                    <w:t xml:space="preserve"> </w:t>
                  </w:r>
                  <w:proofErr w:type="spellStart"/>
                  <w:r w:rsidRPr="00C56257">
                    <w:rPr>
                      <w:lang w:val="en-US"/>
                    </w:rPr>
                    <w:t>habitatul</w:t>
                  </w:r>
                  <w:proofErr w:type="spellEnd"/>
                  <w:r w:rsidRPr="00C56257">
                    <w:rPr>
                      <w:lang w:val="en-US"/>
                    </w:rPr>
                    <w:t xml:space="preserve"> 1210 </w:t>
                  </w:r>
                  <w:proofErr w:type="spellStart"/>
                  <w:r w:rsidRPr="00C56257">
                    <w:rPr>
                      <w:lang w:val="en-US"/>
                    </w:rPr>
                    <w:t>este</w:t>
                  </w:r>
                  <w:proofErr w:type="spellEnd"/>
                  <w:r w:rsidRPr="00C56257">
                    <w:rPr>
                      <w:lang w:val="en-US"/>
                    </w:rPr>
                    <w:t xml:space="preserve"> </w:t>
                  </w:r>
                  <w:proofErr w:type="spellStart"/>
                  <w:r w:rsidRPr="00C56257">
                    <w:rPr>
                      <w:lang w:val="en-US"/>
                    </w:rPr>
                    <w:t>mai</w:t>
                  </w:r>
                  <w:proofErr w:type="spellEnd"/>
                  <w:r w:rsidRPr="00C56257">
                    <w:rPr>
                      <w:lang w:val="en-US"/>
                    </w:rPr>
                    <w:t xml:space="preserve"> bine </w:t>
                  </w:r>
                  <w:proofErr w:type="spellStart"/>
                  <w:r w:rsidRPr="00C56257">
                    <w:rPr>
                      <w:lang w:val="en-US"/>
                    </w:rPr>
                    <w:t>reprezentat</w:t>
                  </w:r>
                  <w:proofErr w:type="spellEnd"/>
                  <w:r w:rsidRPr="00C56257">
                    <w:rPr>
                      <w:lang w:val="en-US"/>
                    </w:rPr>
                    <w:t xml:space="preserve">. </w:t>
                  </w:r>
                  <w:proofErr w:type="spellStart"/>
                  <w:r w:rsidRPr="00C56257">
                    <w:rPr>
                      <w:lang w:val="en-US"/>
                    </w:rPr>
                    <w:t>Ploturile</w:t>
                  </w:r>
                  <w:proofErr w:type="spellEnd"/>
                  <w:r w:rsidRPr="00C56257">
                    <w:rPr>
                      <w:lang w:val="en-US"/>
                    </w:rPr>
                    <w:t xml:space="preserve"> de </w:t>
                  </w:r>
                  <w:proofErr w:type="spellStart"/>
                  <w:r w:rsidRPr="00C56257">
                    <w:rPr>
                      <w:lang w:val="en-US"/>
                    </w:rPr>
                    <w:t>monitorizare</w:t>
                  </w:r>
                  <w:proofErr w:type="spellEnd"/>
                  <w:r w:rsidRPr="00C56257">
                    <w:rPr>
                      <w:lang w:val="en-US"/>
                    </w:rPr>
                    <w:t xml:space="preserve"> </w:t>
                  </w:r>
                  <w:r>
                    <w:rPr>
                      <w:lang w:val="en-US"/>
                    </w:rPr>
                    <w:t>se</w:t>
                  </w:r>
                  <w:r w:rsidRPr="00C56257">
                    <w:rPr>
                      <w:lang w:val="en-US"/>
                    </w:rPr>
                    <w:t xml:space="preserve"> </w:t>
                  </w:r>
                  <w:proofErr w:type="spellStart"/>
                  <w:r w:rsidRPr="00C56257">
                    <w:rPr>
                      <w:lang w:val="en-US"/>
                    </w:rPr>
                    <w:t>delimit</w:t>
                  </w:r>
                  <w:r>
                    <w:rPr>
                      <w:lang w:val="en-US"/>
                    </w:rPr>
                    <w:t>ează</w:t>
                  </w:r>
                  <w:proofErr w:type="spellEnd"/>
                  <w:r w:rsidRPr="00C56257">
                    <w:rPr>
                      <w:lang w:val="en-US"/>
                    </w:rPr>
                    <w:t xml:space="preserve"> </w:t>
                  </w:r>
                  <w:proofErr w:type="spellStart"/>
                  <w:r w:rsidRPr="00C56257">
                    <w:rPr>
                      <w:lang w:val="en-US"/>
                    </w:rPr>
                    <w:t>în</w:t>
                  </w:r>
                  <w:proofErr w:type="spellEnd"/>
                  <w:r w:rsidRPr="00C56257">
                    <w:rPr>
                      <w:lang w:val="en-US"/>
                    </w:rPr>
                    <w:t xml:space="preserve"> zone cu </w:t>
                  </w:r>
                  <w:proofErr w:type="spellStart"/>
                  <w:r w:rsidRPr="00C56257">
                    <w:rPr>
                      <w:lang w:val="en-US"/>
                    </w:rPr>
                    <w:t>vegetație</w:t>
                  </w:r>
                  <w:proofErr w:type="spellEnd"/>
                  <w:r w:rsidRPr="00C56257">
                    <w:rPr>
                      <w:lang w:val="en-US"/>
                    </w:rPr>
                    <w:t xml:space="preserve"> </w:t>
                  </w:r>
                  <w:proofErr w:type="spellStart"/>
                  <w:r w:rsidRPr="00C56257">
                    <w:rPr>
                      <w:lang w:val="en-US"/>
                    </w:rPr>
                    <w:t>reprezentativă</w:t>
                  </w:r>
                  <w:proofErr w:type="spellEnd"/>
                  <w:r w:rsidRPr="00C56257">
                    <w:rPr>
                      <w:lang w:val="en-US"/>
                    </w:rPr>
                    <w:t xml:space="preserve"> </w:t>
                  </w:r>
                  <w:proofErr w:type="spellStart"/>
                  <w:r w:rsidRPr="00C56257">
                    <w:rPr>
                      <w:lang w:val="en-US"/>
                    </w:rPr>
                    <w:t>pentru</w:t>
                  </w:r>
                  <w:proofErr w:type="spellEnd"/>
                  <w:r w:rsidRPr="00C56257">
                    <w:rPr>
                      <w:lang w:val="en-US"/>
                    </w:rPr>
                    <w:t xml:space="preserve"> </w:t>
                  </w:r>
                  <w:proofErr w:type="spellStart"/>
                  <w:r w:rsidRPr="00C56257">
                    <w:rPr>
                      <w:lang w:val="en-US"/>
                    </w:rPr>
                    <w:t>habitatul</w:t>
                  </w:r>
                  <w:proofErr w:type="spellEnd"/>
                  <w:r w:rsidRPr="00C56257">
                    <w:rPr>
                      <w:lang w:val="en-US"/>
                    </w:rPr>
                    <w:t xml:space="preserve"> 1210, </w:t>
                  </w:r>
                  <w:proofErr w:type="spellStart"/>
                  <w:r w:rsidRPr="00C56257">
                    <w:rPr>
                      <w:lang w:val="en-US"/>
                    </w:rPr>
                    <w:t>în</w:t>
                  </w:r>
                  <w:proofErr w:type="spellEnd"/>
                  <w:r w:rsidRPr="00C56257">
                    <w:rPr>
                      <w:lang w:val="en-US"/>
                    </w:rPr>
                    <w:t xml:space="preserve"> </w:t>
                  </w:r>
                  <w:proofErr w:type="spellStart"/>
                  <w:r w:rsidRPr="00C56257">
                    <w:rPr>
                      <w:lang w:val="en-US"/>
                    </w:rPr>
                    <w:t>fiecare</w:t>
                  </w:r>
                  <w:proofErr w:type="spellEnd"/>
                  <w:r w:rsidRPr="00C56257">
                    <w:rPr>
                      <w:lang w:val="en-US"/>
                    </w:rPr>
                    <w:t xml:space="preserve"> </w:t>
                  </w:r>
                  <w:proofErr w:type="spellStart"/>
                  <w:r w:rsidRPr="00C56257">
                    <w:rPr>
                      <w:lang w:val="en-US"/>
                    </w:rPr>
                    <w:t>dintre</w:t>
                  </w:r>
                  <w:proofErr w:type="spellEnd"/>
                  <w:r w:rsidRPr="00C56257">
                    <w:rPr>
                      <w:lang w:val="en-US"/>
                    </w:rPr>
                    <w:t xml:space="preserve"> </w:t>
                  </w:r>
                  <w:proofErr w:type="spellStart"/>
                  <w:r w:rsidRPr="00C56257">
                    <w:rPr>
                      <w:lang w:val="en-US"/>
                    </w:rPr>
                    <w:t>cele</w:t>
                  </w:r>
                  <w:proofErr w:type="spellEnd"/>
                  <w:r w:rsidRPr="00C56257">
                    <w:rPr>
                      <w:lang w:val="en-US"/>
                    </w:rPr>
                    <w:t xml:space="preserve"> 10 </w:t>
                  </w:r>
                  <w:proofErr w:type="spellStart"/>
                  <w:r w:rsidRPr="00C56257">
                    <w:rPr>
                      <w:lang w:val="en-US"/>
                    </w:rPr>
                    <w:t>segmente</w:t>
                  </w:r>
                  <w:proofErr w:type="spellEnd"/>
                  <w:r w:rsidRPr="00C56257">
                    <w:rPr>
                      <w:lang w:val="en-US"/>
                    </w:rPr>
                    <w:t xml:space="preserve"> de </w:t>
                  </w:r>
                  <w:proofErr w:type="spellStart"/>
                  <w:r w:rsidRPr="00C56257">
                    <w:rPr>
                      <w:lang w:val="en-US"/>
                    </w:rPr>
                    <w:t>coastă</w:t>
                  </w:r>
                  <w:proofErr w:type="spellEnd"/>
                  <w:r w:rsidRPr="00C56257">
                    <w:rPr>
                      <w:lang w:val="en-US"/>
                    </w:rPr>
                    <w:t xml:space="preserve"> </w:t>
                  </w:r>
                  <w:proofErr w:type="spellStart"/>
                  <w:r w:rsidRPr="00C56257">
                    <w:rPr>
                      <w:lang w:val="en-US"/>
                    </w:rPr>
                    <w:t>luate</w:t>
                  </w:r>
                  <w:proofErr w:type="spellEnd"/>
                  <w:r w:rsidRPr="00C56257">
                    <w:rPr>
                      <w:lang w:val="en-US"/>
                    </w:rPr>
                    <w:t xml:space="preserve"> </w:t>
                  </w:r>
                  <w:proofErr w:type="spellStart"/>
                  <w:r w:rsidRPr="00C56257">
                    <w:rPr>
                      <w:lang w:val="en-US"/>
                    </w:rPr>
                    <w:t>în</w:t>
                  </w:r>
                  <w:proofErr w:type="spellEnd"/>
                  <w:r w:rsidRPr="00C56257">
                    <w:rPr>
                      <w:lang w:val="en-US"/>
                    </w:rPr>
                    <w:t xml:space="preserve"> </w:t>
                  </w:r>
                  <w:proofErr w:type="spellStart"/>
                  <w:r w:rsidRPr="00C56257">
                    <w:rPr>
                      <w:lang w:val="en-US"/>
                    </w:rPr>
                    <w:t>considerare</w:t>
                  </w:r>
                  <w:proofErr w:type="spellEnd"/>
                  <w:r w:rsidRPr="00C56257">
                    <w:rPr>
                      <w:lang w:val="en-US"/>
                    </w:rPr>
                    <w:t xml:space="preserve"> </w:t>
                  </w:r>
                  <w:proofErr w:type="spellStart"/>
                  <w:r w:rsidRPr="00C56257">
                    <w:rPr>
                      <w:lang w:val="en-US"/>
                    </w:rPr>
                    <w:t>pentru</w:t>
                  </w:r>
                  <w:proofErr w:type="spellEnd"/>
                  <w:r w:rsidRPr="00C56257">
                    <w:rPr>
                      <w:lang w:val="en-US"/>
                    </w:rPr>
                    <w:t xml:space="preserve"> </w:t>
                  </w:r>
                  <w:proofErr w:type="spellStart"/>
                  <w:r w:rsidRPr="00C56257">
                    <w:rPr>
                      <w:lang w:val="en-US"/>
                    </w:rPr>
                    <w:t>activitatea</w:t>
                  </w:r>
                  <w:proofErr w:type="spellEnd"/>
                  <w:r w:rsidRPr="00C56257">
                    <w:rPr>
                      <w:lang w:val="en-US"/>
                    </w:rPr>
                    <w:t xml:space="preserve"> de monitoring. </w:t>
                  </w:r>
                  <w:proofErr w:type="spellStart"/>
                  <w:r w:rsidRPr="00C56257">
                    <w:rPr>
                      <w:lang w:val="en-US"/>
                    </w:rPr>
                    <w:t>Ploturile</w:t>
                  </w:r>
                  <w:proofErr w:type="spellEnd"/>
                  <w:r w:rsidRPr="00C56257">
                    <w:rPr>
                      <w:lang w:val="en-US"/>
                    </w:rPr>
                    <w:t xml:space="preserve"> </w:t>
                  </w:r>
                  <w:r>
                    <w:rPr>
                      <w:lang w:val="en-US"/>
                    </w:rPr>
                    <w:t>sunt</w:t>
                  </w:r>
                  <w:r w:rsidRPr="00C56257">
                    <w:rPr>
                      <w:lang w:val="en-US"/>
                    </w:rPr>
                    <w:t xml:space="preserve"> </w:t>
                  </w:r>
                  <w:proofErr w:type="spellStart"/>
                  <w:r w:rsidRPr="00C56257">
                    <w:rPr>
                      <w:lang w:val="en-US"/>
                    </w:rPr>
                    <w:t>distribuite</w:t>
                  </w:r>
                  <w:proofErr w:type="spellEnd"/>
                  <w:r w:rsidRPr="00C56257">
                    <w:rPr>
                      <w:lang w:val="en-US"/>
                    </w:rPr>
                    <w:t xml:space="preserve"> </w:t>
                  </w:r>
                  <w:proofErr w:type="spellStart"/>
                  <w:r w:rsidRPr="00C56257">
                    <w:rPr>
                      <w:lang w:val="en-US"/>
                    </w:rPr>
                    <w:t>astfel</w:t>
                  </w:r>
                  <w:proofErr w:type="spellEnd"/>
                  <w:r w:rsidRPr="00C56257">
                    <w:rPr>
                      <w:lang w:val="en-US"/>
                    </w:rPr>
                    <w:t xml:space="preserve"> </w:t>
                  </w:r>
                  <w:proofErr w:type="spellStart"/>
                  <w:r w:rsidRPr="00C56257">
                    <w:rPr>
                      <w:lang w:val="en-US"/>
                    </w:rPr>
                    <w:t>încât</w:t>
                  </w:r>
                  <w:proofErr w:type="spellEnd"/>
                  <w:r w:rsidRPr="00C56257">
                    <w:rPr>
                      <w:lang w:val="en-US"/>
                    </w:rPr>
                    <w:t xml:space="preserve">, </w:t>
                  </w:r>
                  <w:proofErr w:type="spellStart"/>
                  <w:r w:rsidRPr="00C56257">
                    <w:rPr>
                      <w:lang w:val="en-US"/>
                    </w:rPr>
                    <w:t>practic</w:t>
                  </w:r>
                  <w:proofErr w:type="spellEnd"/>
                  <w:r w:rsidRPr="00C56257">
                    <w:rPr>
                      <w:lang w:val="en-US"/>
                    </w:rPr>
                    <w:t xml:space="preserve">, </w:t>
                  </w:r>
                  <w:proofErr w:type="spellStart"/>
                  <w:r w:rsidRPr="00C56257">
                    <w:rPr>
                      <w:lang w:val="en-US"/>
                    </w:rPr>
                    <w:t>întreaga</w:t>
                  </w:r>
                  <w:proofErr w:type="spellEnd"/>
                  <w:r w:rsidRPr="00C56257">
                    <w:rPr>
                      <w:lang w:val="en-US"/>
                    </w:rPr>
                    <w:t xml:space="preserve"> </w:t>
                  </w:r>
                  <w:proofErr w:type="spellStart"/>
                  <w:r w:rsidRPr="00C56257">
                    <w:rPr>
                      <w:lang w:val="en-US"/>
                    </w:rPr>
                    <w:t>zonă</w:t>
                  </w:r>
                  <w:proofErr w:type="spellEnd"/>
                  <w:r w:rsidRPr="00C56257">
                    <w:rPr>
                      <w:lang w:val="en-US"/>
                    </w:rPr>
                    <w:t xml:space="preserve"> de </w:t>
                  </w:r>
                  <w:proofErr w:type="spellStart"/>
                  <w:r w:rsidRPr="00C56257">
                    <w:rPr>
                      <w:lang w:val="en-US"/>
                    </w:rPr>
                    <w:t>coastă</w:t>
                  </w:r>
                  <w:proofErr w:type="spellEnd"/>
                  <w:r w:rsidRPr="00C56257">
                    <w:rPr>
                      <w:lang w:val="en-US"/>
                    </w:rPr>
                    <w:t xml:space="preserve"> a </w:t>
                  </w:r>
                  <w:proofErr w:type="spellStart"/>
                  <w:r w:rsidRPr="00C56257">
                    <w:rPr>
                      <w:lang w:val="en-US"/>
                    </w:rPr>
                    <w:t>României</w:t>
                  </w:r>
                  <w:proofErr w:type="spellEnd"/>
                  <w:r w:rsidRPr="00C56257">
                    <w:rPr>
                      <w:lang w:val="en-US"/>
                    </w:rPr>
                    <w:t xml:space="preserve"> </w:t>
                  </w:r>
                  <w:proofErr w:type="spellStart"/>
                  <w:r w:rsidRPr="00C56257">
                    <w:rPr>
                      <w:lang w:val="en-US"/>
                    </w:rPr>
                    <w:t>să</w:t>
                  </w:r>
                  <w:proofErr w:type="spellEnd"/>
                  <w:r w:rsidRPr="00C56257">
                    <w:rPr>
                      <w:lang w:val="en-US"/>
                    </w:rPr>
                    <w:t xml:space="preserve"> fie </w:t>
                  </w:r>
                  <w:proofErr w:type="spellStart"/>
                  <w:r w:rsidRPr="00C56257">
                    <w:rPr>
                      <w:lang w:val="en-US"/>
                    </w:rPr>
                    <w:t>acoperită</w:t>
                  </w:r>
                  <w:proofErr w:type="spellEnd"/>
                  <w:r w:rsidRPr="00C56257">
                    <w:rPr>
                      <w:lang w:val="en-US"/>
                    </w:rPr>
                    <w:t xml:space="preserve">. </w:t>
                  </w:r>
                  <w:r w:rsidRPr="00C56257">
                    <w:t xml:space="preserve">Observațiile de teren realizate în cadrul ploturilor </w:t>
                  </w:r>
                  <w:r>
                    <w:t>se</w:t>
                  </w:r>
                  <w:r w:rsidRPr="00C56257">
                    <w:t xml:space="preserve"> trec în fișe de teren.</w:t>
                  </w:r>
                </w:p>
                <w:p w14:paraId="72700499" w14:textId="77777777" w:rsidR="00FC026B" w:rsidRPr="00C56257" w:rsidRDefault="00FC026B" w:rsidP="00993B86">
                  <w:pPr>
                    <w:ind w:right="51" w:firstLine="567"/>
                    <w:jc w:val="both"/>
                  </w:pPr>
                  <w:r w:rsidRPr="00C56257">
                    <w:t>Releveul fitocenologic reprezintă înregistrarea fidelă a compoziţiei floristice a fitocenozei, a unor indici populaţionali cantitativi (abundenţa-dominanţa, acoperirea, prezenţa) şi a unor caracteristici ale biotopului (granulaţia nisipului, gradul de solificare a nisipului, prezenţa dunelor de nisip</w:t>
                  </w:r>
                </w:p>
                <w:p w14:paraId="4E6D4BD4" w14:textId="77777777" w:rsidR="00FC026B" w:rsidRPr="00C56257" w:rsidRDefault="00FC026B" w:rsidP="00993B86">
                  <w:pPr>
                    <w:ind w:right="51" w:firstLine="567"/>
                    <w:jc w:val="both"/>
                  </w:pPr>
                  <w:r w:rsidRPr="00C56257">
                    <w:t xml:space="preserve">Releveurile </w:t>
                  </w:r>
                  <w:r>
                    <w:t>se</w:t>
                  </w:r>
                  <w:r w:rsidRPr="00C56257">
                    <w:t xml:space="preserve"> realiz</w:t>
                  </w:r>
                  <w:r>
                    <w:t>ează</w:t>
                  </w:r>
                  <w:r w:rsidRPr="00C56257">
                    <w:t xml:space="preserve"> în cadrul unor suprafeţe de probă (quadrate), delimitate în porţiunile mai omogene ale fitocenozelor, evitându-se pe cât posibil zonele de tranziţie dintre fitocenozele învecinate. </w:t>
                  </w:r>
                </w:p>
                <w:p w14:paraId="5202F3BC" w14:textId="77777777" w:rsidR="00FC026B" w:rsidRPr="00C56257" w:rsidRDefault="00FC026B" w:rsidP="00993B86">
                  <w:pPr>
                    <w:ind w:right="51" w:firstLine="567"/>
                    <w:jc w:val="both"/>
                  </w:pPr>
                  <w:r w:rsidRPr="00C56257">
                    <w:t xml:space="preserve">Dat fiind specificul asociaţiilor vegetale din zona ţărmului marin (dispuse sub forma unor cordoane de vegetație, de regulă lungi şi înguste), releveurile </w:t>
                  </w:r>
                  <w:r>
                    <w:t>se</w:t>
                  </w:r>
                  <w:r w:rsidRPr="00C56257">
                    <w:t xml:space="preserve"> realiz</w:t>
                  </w:r>
                  <w:r>
                    <w:t>ează</w:t>
                  </w:r>
                  <w:r w:rsidRPr="00C56257">
                    <w:t xml:space="preserve"> în suprafeţe de probă dreptunghiulare sau pătrate având dimensiuni cuprinse între 20 şi 100 m</w:t>
                  </w:r>
                  <w:r w:rsidRPr="00C56257">
                    <w:rPr>
                      <w:vertAlign w:val="superscript"/>
                    </w:rPr>
                    <w:t>2</w:t>
                  </w:r>
                  <w:r w:rsidRPr="00C56257">
                    <w:t xml:space="preserve">, egale cel puţin cu mărimea ariei minime, astfel încât să reflecte cât mai complet compoziţia floristică, structura şi caracteristicile funcţionale ale fiecărei asociaţii vegetale. </w:t>
                  </w:r>
                </w:p>
                <w:p w14:paraId="564D4677" w14:textId="77777777" w:rsidR="00FC026B" w:rsidRPr="00C56257" w:rsidRDefault="00FC026B" w:rsidP="00993B86">
                  <w:pPr>
                    <w:ind w:right="51" w:firstLine="567"/>
                    <w:jc w:val="both"/>
                  </w:pPr>
                  <w:r w:rsidRPr="00C56257">
                    <w:t xml:space="preserve">Releveurile </w:t>
                  </w:r>
                  <w:r>
                    <w:t>se</w:t>
                  </w:r>
                  <w:r w:rsidRPr="00C56257">
                    <w:t xml:space="preserve"> realiz</w:t>
                  </w:r>
                  <w:r>
                    <w:t>ează</w:t>
                  </w:r>
                  <w:r w:rsidRPr="00C56257">
                    <w:t xml:space="preserve"> în perioada mai-octombrie, acoperind principalele sezoane de vegetaţie (vernal, estival, serotinal, autumnal). Nu </w:t>
                  </w:r>
                  <w:r>
                    <w:t>se desfîșoară</w:t>
                  </w:r>
                  <w:r w:rsidRPr="00C56257">
                    <w:t xml:space="preserve"> activităţi de monitorizare a habitatului 1210 în sezonul prevernal deoarece vegetaţia tipică este insuficient dezvoltată în această perioadă. </w:t>
                  </w:r>
                </w:p>
                <w:p w14:paraId="6D9534E5" w14:textId="77777777" w:rsidR="00FC026B" w:rsidRPr="00C56257" w:rsidRDefault="00FC026B" w:rsidP="00993B86">
                  <w:pPr>
                    <w:ind w:right="51" w:firstLine="567"/>
                    <w:jc w:val="both"/>
                  </w:pPr>
                  <w:r w:rsidRPr="00C56257">
                    <w:t>În antetul fiecărui releveu vor fi notate următoarele date: numărul releveului, mărimea suprafeţei de probă (m</w:t>
                  </w:r>
                  <w:r w:rsidRPr="00C56257">
                    <w:rPr>
                      <w:vertAlign w:val="superscript"/>
                    </w:rPr>
                    <w:t>2</w:t>
                  </w:r>
                  <w:r w:rsidRPr="00C56257">
                    <w:t xml:space="preserve">), acoperirea substratului de către vegetaţie şi data efectuării releveurilor. Releveul cuprinde lista de specii de plante înregistrate în suprafaţa de probă însoţită de notarea indicelui de abundenţă-dominanţă pentru fiecare specie. Indicele de abundenţă-dominanţă (AD) cuprinde şase trepte </w:t>
                  </w:r>
                  <w:r w:rsidRPr="00C56257">
                    <w:rPr>
                      <w:lang w:val="it-IT"/>
                    </w:rPr>
                    <w:t xml:space="preserve">ale scării Braun-Blanquet </w:t>
                  </w:r>
                  <w:r w:rsidRPr="00C56257">
                    <w:t>după cum urmează:</w:t>
                  </w:r>
                </w:p>
                <w:p w14:paraId="101B2417" w14:textId="77777777" w:rsidR="00FC026B" w:rsidRPr="00C56257" w:rsidRDefault="00FC026B" w:rsidP="00993B86">
                  <w:pPr>
                    <w:ind w:right="51" w:firstLine="567"/>
                    <w:jc w:val="both"/>
                  </w:pPr>
                  <w:r w:rsidRPr="00C56257">
                    <w:rPr>
                      <w:b/>
                    </w:rPr>
                    <w:t>+</w:t>
                  </w:r>
                  <w:r w:rsidRPr="00C56257">
                    <w:t xml:space="preserve"> = indivizi rari cu grad de acoperire foarte mic;</w:t>
                  </w:r>
                </w:p>
                <w:p w14:paraId="7C44333C" w14:textId="77777777" w:rsidR="00FC026B" w:rsidRPr="00824509" w:rsidRDefault="00FC026B" w:rsidP="00993B86">
                  <w:pPr>
                    <w:ind w:right="51" w:firstLine="567"/>
                    <w:jc w:val="both"/>
                    <w:rPr>
                      <w:bCs/>
                      <w:lang w:val="it-IT"/>
                    </w:rPr>
                  </w:pPr>
                  <w:r w:rsidRPr="00F100E1">
                    <w:rPr>
                      <w:bCs/>
                      <w:lang w:val="it-IT"/>
                    </w:rPr>
                    <w:t>1</w:t>
                  </w:r>
                  <w:r w:rsidRPr="00824509">
                    <w:rPr>
                      <w:bCs/>
                      <w:lang w:val="it-IT"/>
                    </w:rPr>
                    <w:t xml:space="preserve"> = indivizi numeroşi dar cu acoperire mică sau rari dar cu acoperire mare;</w:t>
                  </w:r>
                </w:p>
                <w:p w14:paraId="5F6E7D6E" w14:textId="77777777" w:rsidR="00FC026B" w:rsidRPr="00824509" w:rsidRDefault="00FC026B" w:rsidP="00993B86">
                  <w:pPr>
                    <w:ind w:right="51" w:firstLine="567"/>
                    <w:jc w:val="both"/>
                    <w:rPr>
                      <w:bCs/>
                      <w:lang w:val="it-IT"/>
                    </w:rPr>
                  </w:pPr>
                  <w:r w:rsidRPr="00F100E1">
                    <w:rPr>
                      <w:bCs/>
                      <w:lang w:val="it-IT"/>
                    </w:rPr>
                    <w:t xml:space="preserve">2 </w:t>
                  </w:r>
                  <w:r w:rsidRPr="00824509">
                    <w:rPr>
                      <w:bCs/>
                      <w:lang w:val="it-IT"/>
                    </w:rPr>
                    <w:t>= indivizi foarte numeroşi sau  acoperire de 10-25% din suprafaţa de probă;</w:t>
                  </w:r>
                </w:p>
                <w:p w14:paraId="2CCECFE3" w14:textId="77777777" w:rsidR="00FC026B" w:rsidRPr="00824509" w:rsidRDefault="00FC026B" w:rsidP="00993B86">
                  <w:pPr>
                    <w:ind w:left="900" w:right="51" w:hanging="360"/>
                    <w:jc w:val="both"/>
                    <w:rPr>
                      <w:bCs/>
                      <w:lang w:val="it-IT"/>
                    </w:rPr>
                  </w:pPr>
                  <w:r w:rsidRPr="00F100E1">
                    <w:rPr>
                      <w:bCs/>
                      <w:lang w:val="it-IT"/>
                    </w:rPr>
                    <w:t>3</w:t>
                  </w:r>
                  <w:r w:rsidRPr="00824509">
                    <w:rPr>
                      <w:bCs/>
                      <w:lang w:val="it-IT"/>
                    </w:rPr>
                    <w:t xml:space="preserve"> =acoperire de 25-50% din suprafaţa de probă, numărul indivizilor este indiferent;</w:t>
                  </w:r>
                </w:p>
                <w:p w14:paraId="1509F2A9" w14:textId="77777777" w:rsidR="00FC026B" w:rsidRPr="00824509" w:rsidRDefault="00FC026B" w:rsidP="00993B86">
                  <w:pPr>
                    <w:ind w:left="900" w:right="51" w:hanging="360"/>
                    <w:jc w:val="both"/>
                    <w:rPr>
                      <w:bCs/>
                      <w:lang w:val="it-IT"/>
                    </w:rPr>
                  </w:pPr>
                  <w:r w:rsidRPr="00F100E1">
                    <w:rPr>
                      <w:bCs/>
                      <w:lang w:val="it-IT"/>
                    </w:rPr>
                    <w:t>4</w:t>
                  </w:r>
                  <w:r w:rsidRPr="00824509">
                    <w:rPr>
                      <w:bCs/>
                      <w:lang w:val="it-IT"/>
                    </w:rPr>
                    <w:t xml:space="preserve"> = acoperire de 50-75% din suprafaţa de probă, numărul indivizilor este indiferent;</w:t>
                  </w:r>
                </w:p>
                <w:p w14:paraId="39AF03E7" w14:textId="77777777" w:rsidR="00FC026B" w:rsidRPr="00C56257" w:rsidRDefault="00FC026B" w:rsidP="00993B86">
                  <w:pPr>
                    <w:ind w:left="900" w:right="51" w:hanging="360"/>
                    <w:jc w:val="both"/>
                    <w:rPr>
                      <w:lang w:val="it-IT"/>
                    </w:rPr>
                  </w:pPr>
                  <w:r w:rsidRPr="00F100E1">
                    <w:rPr>
                      <w:bCs/>
                      <w:lang w:val="it-IT"/>
                    </w:rPr>
                    <w:t>5</w:t>
                  </w:r>
                  <w:r w:rsidRPr="00C56257">
                    <w:rPr>
                      <w:lang w:val="it-IT"/>
                    </w:rPr>
                    <w:t xml:space="preserve"> = acoperire de 75-100% din suprafaţa de probă, număr de  indivizi indiferent;</w:t>
                  </w:r>
                </w:p>
                <w:p w14:paraId="0A358BD7" w14:textId="77777777" w:rsidR="00FC026B" w:rsidRPr="00C56257" w:rsidRDefault="00FC026B" w:rsidP="00993B86">
                  <w:pPr>
                    <w:ind w:right="51" w:firstLine="567"/>
                    <w:jc w:val="both"/>
                    <w:rPr>
                      <w:lang w:val="it-IT"/>
                    </w:rPr>
                  </w:pPr>
                  <w:r w:rsidRPr="00C56257">
                    <w:rPr>
                      <w:lang w:val="it-IT"/>
                    </w:rPr>
                    <w:t xml:space="preserve">Fiecăreia dintre cele şase trepte ale scării Braun-Blanquet îi corespunde o valoare medie a acoperirii procentuale, după cum urmează (Borza &amp; Boşcaiu, 1965): </w:t>
                  </w:r>
                  <w:r w:rsidRPr="00C56257">
                    <w:rPr>
                      <w:b/>
                      <w:lang w:val="it-IT"/>
                    </w:rPr>
                    <w:t>5</w:t>
                  </w:r>
                  <w:r w:rsidRPr="00C56257">
                    <w:rPr>
                      <w:lang w:val="it-IT"/>
                    </w:rPr>
                    <w:t xml:space="preserve"> (</w:t>
                  </w:r>
                  <w:r w:rsidRPr="00C56257">
                    <w:rPr>
                      <w:b/>
                      <w:lang w:val="it-IT"/>
                    </w:rPr>
                    <w:t>87,5</w:t>
                  </w:r>
                  <w:r w:rsidRPr="00C56257">
                    <w:rPr>
                      <w:lang w:val="it-IT"/>
                    </w:rPr>
                    <w:t xml:space="preserve">%), </w:t>
                  </w:r>
                  <w:r w:rsidRPr="00C56257">
                    <w:rPr>
                      <w:b/>
                      <w:lang w:val="it-IT"/>
                    </w:rPr>
                    <w:t>4</w:t>
                  </w:r>
                  <w:r w:rsidRPr="00C56257">
                    <w:rPr>
                      <w:lang w:val="it-IT"/>
                    </w:rPr>
                    <w:t xml:space="preserve"> (</w:t>
                  </w:r>
                  <w:r w:rsidRPr="00C56257">
                    <w:rPr>
                      <w:b/>
                      <w:lang w:val="it-IT"/>
                    </w:rPr>
                    <w:t>62,5</w:t>
                  </w:r>
                  <w:r w:rsidRPr="00C56257">
                    <w:rPr>
                      <w:lang w:val="it-IT"/>
                    </w:rPr>
                    <w:t xml:space="preserve">%), </w:t>
                  </w:r>
                  <w:r w:rsidRPr="00C56257">
                    <w:rPr>
                      <w:b/>
                      <w:lang w:val="it-IT"/>
                    </w:rPr>
                    <w:t>3</w:t>
                  </w:r>
                  <w:r w:rsidRPr="00C56257">
                    <w:rPr>
                      <w:lang w:val="it-IT"/>
                    </w:rPr>
                    <w:t xml:space="preserve"> (</w:t>
                  </w:r>
                  <w:r w:rsidRPr="00C56257">
                    <w:rPr>
                      <w:b/>
                      <w:lang w:val="it-IT"/>
                    </w:rPr>
                    <w:t>37,5</w:t>
                  </w:r>
                  <w:r w:rsidRPr="00C56257">
                    <w:rPr>
                      <w:lang w:val="it-IT"/>
                    </w:rPr>
                    <w:t xml:space="preserve">%), </w:t>
                  </w:r>
                  <w:r w:rsidRPr="00C56257">
                    <w:rPr>
                      <w:b/>
                      <w:lang w:val="it-IT"/>
                    </w:rPr>
                    <w:t>2</w:t>
                  </w:r>
                  <w:r w:rsidRPr="00C56257">
                    <w:rPr>
                      <w:lang w:val="it-IT"/>
                    </w:rPr>
                    <w:t xml:space="preserve"> (</w:t>
                  </w:r>
                  <w:r w:rsidRPr="00C56257">
                    <w:rPr>
                      <w:b/>
                      <w:lang w:val="it-IT"/>
                    </w:rPr>
                    <w:t>17,5</w:t>
                  </w:r>
                  <w:r w:rsidRPr="00C56257">
                    <w:rPr>
                      <w:lang w:val="it-IT"/>
                    </w:rPr>
                    <w:t xml:space="preserve">%), </w:t>
                  </w:r>
                  <w:r w:rsidRPr="00C56257">
                    <w:rPr>
                      <w:b/>
                      <w:lang w:val="it-IT"/>
                    </w:rPr>
                    <w:t>1</w:t>
                  </w:r>
                  <w:r w:rsidRPr="00C56257">
                    <w:rPr>
                      <w:lang w:val="it-IT"/>
                    </w:rPr>
                    <w:t xml:space="preserve"> (</w:t>
                  </w:r>
                  <w:r w:rsidRPr="00C56257">
                    <w:rPr>
                      <w:b/>
                      <w:lang w:val="it-IT"/>
                    </w:rPr>
                    <w:t>5,0</w:t>
                  </w:r>
                  <w:r w:rsidRPr="00C56257">
                    <w:rPr>
                      <w:lang w:val="it-IT"/>
                    </w:rPr>
                    <w:t xml:space="preserve">%), </w:t>
                  </w:r>
                  <w:r w:rsidRPr="00C56257">
                    <w:rPr>
                      <w:b/>
                      <w:lang w:val="it-IT"/>
                    </w:rPr>
                    <w:t>+</w:t>
                  </w:r>
                  <w:r w:rsidRPr="00C56257">
                    <w:rPr>
                      <w:lang w:val="it-IT"/>
                    </w:rPr>
                    <w:t xml:space="preserve"> (</w:t>
                  </w:r>
                  <w:r w:rsidRPr="00C56257">
                    <w:rPr>
                      <w:b/>
                      <w:lang w:val="it-IT"/>
                    </w:rPr>
                    <w:t>0,1</w:t>
                  </w:r>
                  <w:r w:rsidRPr="00C56257">
                    <w:rPr>
                      <w:lang w:val="it-IT"/>
                    </w:rPr>
                    <w:t xml:space="preserve">%). </w:t>
                  </w:r>
                </w:p>
                <w:p w14:paraId="43425F31" w14:textId="77777777" w:rsidR="00FC026B" w:rsidRPr="00C56257" w:rsidRDefault="00FC026B" w:rsidP="00993B86">
                  <w:pPr>
                    <w:ind w:right="51" w:firstLine="567"/>
                    <w:jc w:val="both"/>
                    <w:rPr>
                      <w:lang w:val="it-IT"/>
                    </w:rPr>
                  </w:pPr>
                  <w:r w:rsidRPr="00C56257">
                    <w:rPr>
                      <w:lang w:val="it-IT"/>
                    </w:rPr>
                    <w:t xml:space="preserve">Acoperirea substratului </w:t>
                  </w:r>
                  <w:r>
                    <w:rPr>
                      <w:lang w:val="it-IT"/>
                    </w:rPr>
                    <w:t>este</w:t>
                  </w:r>
                  <w:r w:rsidRPr="00C56257">
                    <w:rPr>
                      <w:lang w:val="it-IT"/>
                    </w:rPr>
                    <w:t xml:space="preserve"> exprimată în procente şi indic</w:t>
                  </w:r>
                  <w:r>
                    <w:rPr>
                      <w:lang w:val="it-IT"/>
                    </w:rPr>
                    <w:t>ă</w:t>
                  </w:r>
                  <w:r w:rsidRPr="00C56257">
                    <w:rPr>
                      <w:lang w:val="it-IT"/>
                    </w:rPr>
                    <w:t xml:space="preserve"> dacă covorul vegetal este compact sau discontinuu. </w:t>
                  </w:r>
                </w:p>
                <w:p w14:paraId="644ABB75" w14:textId="77777777" w:rsidR="00FC026B" w:rsidRPr="00725735" w:rsidRDefault="00FC026B" w:rsidP="00993B86">
                  <w:pPr>
                    <w:ind w:right="51" w:firstLine="567"/>
                    <w:jc w:val="both"/>
                    <w:rPr>
                      <w:rFonts w:eastAsia="Calibri"/>
                    </w:rPr>
                  </w:pPr>
                  <w:r w:rsidRPr="00C56257">
                    <w:rPr>
                      <w:lang w:val="pt-BR"/>
                    </w:rPr>
                    <w:t xml:space="preserve">Pe baza releveurilor efectuate pe teren </w:t>
                  </w:r>
                  <w:r>
                    <w:rPr>
                      <w:lang w:val="pt-BR"/>
                    </w:rPr>
                    <w:t>se</w:t>
                  </w:r>
                  <w:r w:rsidRPr="00C56257">
                    <w:rPr>
                      <w:lang w:val="pt-BR"/>
                    </w:rPr>
                    <w:t xml:space="preserve"> contur</w:t>
                  </w:r>
                  <w:r>
                    <w:rPr>
                      <w:lang w:val="pt-BR"/>
                    </w:rPr>
                    <w:t>ează</w:t>
                  </w:r>
                  <w:r w:rsidRPr="00C56257">
                    <w:rPr>
                      <w:lang w:val="pt-BR"/>
                    </w:rPr>
                    <w:t xml:space="preserve"> ştiinţific asociaţiile vegetale specifice habitatului 1210, prin metoda tabelară, </w:t>
                  </w:r>
                  <w:r w:rsidRPr="00C56257">
                    <w:t xml:space="preserve">cea mai frecvent utilizată în cadrul şcolii fitosociologice europene. </w:t>
                  </w:r>
                </w:p>
                <w:p w14:paraId="22065D7C" w14:textId="77777777" w:rsidR="00FC026B" w:rsidRPr="00725735" w:rsidRDefault="00FC026B" w:rsidP="00993B86">
                  <w:pPr>
                    <w:jc w:val="center"/>
                    <w:rPr>
                      <w:rFonts w:eastAsia="Calibri"/>
                    </w:rPr>
                  </w:pPr>
                  <w:r w:rsidRPr="00725735">
                    <w:rPr>
                      <w:rFonts w:eastAsia="Calibri"/>
                    </w:rPr>
                    <w:lastRenderedPageBreak/>
                    <w:t>Tabelul 1.6: Tehnici pentru măsurarea habitatului 1210</w:t>
                  </w:r>
                </w:p>
                <w:tbl>
                  <w:tblPr>
                    <w:tblW w:w="94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9"/>
                    <w:gridCol w:w="3184"/>
                    <w:gridCol w:w="4206"/>
                  </w:tblGrid>
                  <w:tr w:rsidR="00FC026B" w:rsidRPr="00C56257" w14:paraId="3AFF6952" w14:textId="77777777" w:rsidTr="00993B86">
                    <w:trPr>
                      <w:trHeight w:val="523"/>
                      <w:jc w:val="center"/>
                    </w:trPr>
                    <w:tc>
                      <w:tcPr>
                        <w:tcW w:w="2039" w:type="dxa"/>
                        <w:tcBorders>
                          <w:top w:val="single" w:sz="4" w:space="0" w:color="auto"/>
                          <w:left w:val="single" w:sz="4" w:space="0" w:color="auto"/>
                          <w:bottom w:val="single" w:sz="4" w:space="0" w:color="auto"/>
                          <w:right w:val="single" w:sz="4" w:space="0" w:color="auto"/>
                        </w:tcBorders>
                        <w:hideMark/>
                      </w:tcPr>
                      <w:p w14:paraId="693D19B0" w14:textId="77777777" w:rsidR="00FC026B" w:rsidRPr="00C56257" w:rsidRDefault="00FC026B" w:rsidP="00993B86">
                        <w:pPr>
                          <w:autoSpaceDE w:val="0"/>
                          <w:autoSpaceDN w:val="0"/>
                          <w:adjustRightInd w:val="0"/>
                          <w:spacing w:after="240"/>
                          <w:rPr>
                            <w:b/>
                            <w:i/>
                            <w:lang w:val="it-IT"/>
                          </w:rPr>
                        </w:pPr>
                        <w:r w:rsidRPr="00C56257">
                          <w:rPr>
                            <w:b/>
                            <w:i/>
                            <w:lang w:val="it-IT"/>
                          </w:rPr>
                          <w:t xml:space="preserve">Atribut generic </w:t>
                        </w:r>
                      </w:p>
                    </w:tc>
                    <w:tc>
                      <w:tcPr>
                        <w:tcW w:w="3184" w:type="dxa"/>
                        <w:tcBorders>
                          <w:top w:val="single" w:sz="4" w:space="0" w:color="auto"/>
                          <w:left w:val="single" w:sz="4" w:space="0" w:color="auto"/>
                          <w:bottom w:val="single" w:sz="4" w:space="0" w:color="auto"/>
                          <w:right w:val="single" w:sz="4" w:space="0" w:color="auto"/>
                        </w:tcBorders>
                        <w:hideMark/>
                      </w:tcPr>
                      <w:p w14:paraId="680F6541" w14:textId="77777777" w:rsidR="00FC026B" w:rsidRPr="00C56257" w:rsidRDefault="00FC026B" w:rsidP="00993B86">
                        <w:pPr>
                          <w:rPr>
                            <w:b/>
                            <w:i/>
                            <w:lang w:val="it-IT"/>
                          </w:rPr>
                        </w:pPr>
                        <w:r w:rsidRPr="00C56257">
                          <w:rPr>
                            <w:b/>
                            <w:i/>
                            <w:lang w:val="it-IT"/>
                          </w:rPr>
                          <w:t>Atribut specific</w:t>
                        </w:r>
                      </w:p>
                    </w:tc>
                    <w:tc>
                      <w:tcPr>
                        <w:tcW w:w="4206" w:type="dxa"/>
                        <w:tcBorders>
                          <w:top w:val="single" w:sz="4" w:space="0" w:color="auto"/>
                          <w:left w:val="single" w:sz="4" w:space="0" w:color="auto"/>
                          <w:bottom w:val="single" w:sz="4" w:space="0" w:color="auto"/>
                          <w:right w:val="single" w:sz="4" w:space="0" w:color="auto"/>
                        </w:tcBorders>
                        <w:hideMark/>
                      </w:tcPr>
                      <w:p w14:paraId="31AC532B" w14:textId="77777777" w:rsidR="00FC026B" w:rsidRPr="00C56257" w:rsidRDefault="00FC026B" w:rsidP="00993B86">
                        <w:pPr>
                          <w:rPr>
                            <w:b/>
                            <w:i/>
                            <w:lang w:val="it-IT"/>
                          </w:rPr>
                        </w:pPr>
                        <w:r w:rsidRPr="00C56257">
                          <w:rPr>
                            <w:b/>
                            <w:i/>
                            <w:lang w:val="it-IT"/>
                          </w:rPr>
                          <w:t>Tehnică</w:t>
                        </w:r>
                      </w:p>
                    </w:tc>
                  </w:tr>
                  <w:tr w:rsidR="00FC026B" w:rsidRPr="00C56257" w14:paraId="030A77E4" w14:textId="77777777" w:rsidTr="00993B86">
                    <w:trPr>
                      <w:trHeight w:val="286"/>
                      <w:jc w:val="center"/>
                    </w:trPr>
                    <w:tc>
                      <w:tcPr>
                        <w:tcW w:w="2039" w:type="dxa"/>
                        <w:tcBorders>
                          <w:top w:val="single" w:sz="4" w:space="0" w:color="auto"/>
                          <w:left w:val="single" w:sz="4" w:space="0" w:color="auto"/>
                          <w:bottom w:val="single" w:sz="4" w:space="0" w:color="auto"/>
                          <w:right w:val="single" w:sz="4" w:space="0" w:color="auto"/>
                        </w:tcBorders>
                        <w:hideMark/>
                      </w:tcPr>
                      <w:p w14:paraId="73783A50" w14:textId="77777777" w:rsidR="00FC026B" w:rsidRPr="00C56257" w:rsidRDefault="00FC026B" w:rsidP="00993B86">
                        <w:pPr>
                          <w:spacing w:after="240"/>
                          <w:rPr>
                            <w:b/>
                            <w:i/>
                            <w:lang w:val="it-IT"/>
                          </w:rPr>
                        </w:pPr>
                        <w:r w:rsidRPr="00C56257">
                          <w:rPr>
                            <w:lang w:val="it-IT"/>
                          </w:rPr>
                          <w:t>Întindere /</w:t>
                        </w:r>
                      </w:p>
                    </w:tc>
                    <w:tc>
                      <w:tcPr>
                        <w:tcW w:w="3184" w:type="dxa"/>
                        <w:tcBorders>
                          <w:top w:val="single" w:sz="4" w:space="0" w:color="auto"/>
                          <w:left w:val="single" w:sz="4" w:space="0" w:color="auto"/>
                          <w:bottom w:val="single" w:sz="4" w:space="0" w:color="auto"/>
                          <w:right w:val="single" w:sz="4" w:space="0" w:color="auto"/>
                        </w:tcBorders>
                        <w:hideMark/>
                      </w:tcPr>
                      <w:p w14:paraId="666212DC" w14:textId="77777777" w:rsidR="00FC026B" w:rsidRPr="00C56257" w:rsidRDefault="00FC026B" w:rsidP="00993B86">
                        <w:pPr>
                          <w:rPr>
                            <w:b/>
                            <w:i/>
                            <w:lang w:val="it-IT"/>
                          </w:rPr>
                        </w:pPr>
                        <w:r w:rsidRPr="00C56257">
                          <w:rPr>
                            <w:lang w:val="it-IT"/>
                          </w:rPr>
                          <w:t>Întindere biocenoză</w:t>
                        </w:r>
                      </w:p>
                    </w:tc>
                    <w:tc>
                      <w:tcPr>
                        <w:tcW w:w="4206" w:type="dxa"/>
                        <w:tcBorders>
                          <w:top w:val="single" w:sz="4" w:space="0" w:color="auto"/>
                          <w:left w:val="single" w:sz="4" w:space="0" w:color="auto"/>
                          <w:bottom w:val="single" w:sz="4" w:space="0" w:color="auto"/>
                          <w:right w:val="single" w:sz="4" w:space="0" w:color="auto"/>
                        </w:tcBorders>
                        <w:hideMark/>
                      </w:tcPr>
                      <w:p w14:paraId="5B7A6F3E" w14:textId="77777777" w:rsidR="00FC026B" w:rsidRPr="00C56257" w:rsidRDefault="00FC026B" w:rsidP="00993B86">
                        <w:pPr>
                          <w:autoSpaceDE w:val="0"/>
                          <w:autoSpaceDN w:val="0"/>
                          <w:adjustRightInd w:val="0"/>
                          <w:rPr>
                            <w:lang w:val="it-IT"/>
                          </w:rPr>
                        </w:pPr>
                        <w:r w:rsidRPr="00C56257">
                          <w:rPr>
                            <w:lang w:val="it-IT"/>
                          </w:rPr>
                          <w:t>Cartarea pe baza de fotografii aeriene si pe bază de studii  de teren de-a lungul unor transecte itinerante, prin metoda releveului fitosociologic</w:t>
                        </w:r>
                      </w:p>
                    </w:tc>
                  </w:tr>
                  <w:tr w:rsidR="00FC026B" w:rsidRPr="00C56257" w14:paraId="552792E1" w14:textId="77777777" w:rsidTr="00993B86">
                    <w:trPr>
                      <w:jc w:val="center"/>
                    </w:trPr>
                    <w:tc>
                      <w:tcPr>
                        <w:tcW w:w="2039" w:type="dxa"/>
                        <w:tcBorders>
                          <w:top w:val="single" w:sz="4" w:space="0" w:color="auto"/>
                          <w:left w:val="single" w:sz="4" w:space="0" w:color="auto"/>
                          <w:bottom w:val="single" w:sz="4" w:space="0" w:color="auto"/>
                          <w:right w:val="single" w:sz="4" w:space="0" w:color="auto"/>
                        </w:tcBorders>
                      </w:tcPr>
                      <w:p w14:paraId="43A61B8D" w14:textId="77777777" w:rsidR="00FC026B" w:rsidRPr="00C56257" w:rsidRDefault="00FC026B" w:rsidP="00993B86">
                        <w:pPr>
                          <w:rPr>
                            <w:lang w:val="it-IT"/>
                          </w:rPr>
                        </w:pPr>
                      </w:p>
                      <w:p w14:paraId="567BD321" w14:textId="77777777" w:rsidR="00FC026B" w:rsidRPr="00C56257" w:rsidRDefault="00FC026B" w:rsidP="00993B86">
                        <w:pPr>
                          <w:rPr>
                            <w:lang w:val="it-IT"/>
                          </w:rPr>
                        </w:pPr>
                        <w:r w:rsidRPr="00C56257">
                          <w:rPr>
                            <w:lang w:val="it-IT"/>
                          </w:rPr>
                          <w:t>Caracterist</w:t>
                        </w:r>
                        <w:r w:rsidRPr="00C56257">
                          <w:t>ici fizice</w:t>
                        </w:r>
                      </w:p>
                    </w:tc>
                    <w:tc>
                      <w:tcPr>
                        <w:tcW w:w="3184" w:type="dxa"/>
                        <w:tcBorders>
                          <w:top w:val="single" w:sz="4" w:space="0" w:color="auto"/>
                          <w:left w:val="single" w:sz="4" w:space="0" w:color="auto"/>
                          <w:bottom w:val="single" w:sz="4" w:space="0" w:color="auto"/>
                          <w:right w:val="single" w:sz="4" w:space="0" w:color="auto"/>
                        </w:tcBorders>
                        <w:hideMark/>
                      </w:tcPr>
                      <w:p w14:paraId="675F80D6" w14:textId="77777777" w:rsidR="00FC026B" w:rsidRPr="00C56257" w:rsidRDefault="00FC026B" w:rsidP="00993B86">
                        <w:pPr>
                          <w:rPr>
                            <w:lang w:val="en-US"/>
                          </w:rPr>
                        </w:pPr>
                        <w:r w:rsidRPr="00C56257">
                          <w:rPr>
                            <w:lang w:val="en-US"/>
                          </w:rPr>
                          <w:t>Soluri: tip de sol</w:t>
                        </w:r>
                      </w:p>
                    </w:tc>
                    <w:tc>
                      <w:tcPr>
                        <w:tcW w:w="4206" w:type="dxa"/>
                        <w:tcBorders>
                          <w:top w:val="single" w:sz="4" w:space="0" w:color="auto"/>
                          <w:left w:val="single" w:sz="4" w:space="0" w:color="auto"/>
                          <w:bottom w:val="single" w:sz="4" w:space="0" w:color="auto"/>
                          <w:right w:val="single" w:sz="4" w:space="0" w:color="auto"/>
                        </w:tcBorders>
                        <w:hideMark/>
                      </w:tcPr>
                      <w:p w14:paraId="55DE8881" w14:textId="77777777" w:rsidR="00FC026B" w:rsidRPr="00C56257" w:rsidRDefault="00FC026B" w:rsidP="00993B86">
                        <w:pPr>
                          <w:autoSpaceDE w:val="0"/>
                          <w:autoSpaceDN w:val="0"/>
                          <w:adjustRightInd w:val="0"/>
                          <w:rPr>
                            <w:lang w:val="it-IT"/>
                          </w:rPr>
                        </w:pPr>
                        <w:r w:rsidRPr="00C56257">
                          <w:rPr>
                            <w:lang w:val="it-IT"/>
                          </w:rPr>
                          <w:t>Apreciere în funcție de granulometrie și conținut de substanță organică sau prin analiza sedimentelor</w:t>
                        </w:r>
                      </w:p>
                    </w:tc>
                  </w:tr>
                  <w:tr w:rsidR="00FC026B" w:rsidRPr="00C56257" w14:paraId="7BA7556A" w14:textId="77777777" w:rsidTr="00993B86">
                    <w:trPr>
                      <w:jc w:val="center"/>
                    </w:trPr>
                    <w:tc>
                      <w:tcPr>
                        <w:tcW w:w="2039" w:type="dxa"/>
                        <w:vMerge w:val="restart"/>
                        <w:tcBorders>
                          <w:top w:val="single" w:sz="4" w:space="0" w:color="auto"/>
                          <w:left w:val="single" w:sz="4" w:space="0" w:color="auto"/>
                          <w:bottom w:val="single" w:sz="4" w:space="0" w:color="auto"/>
                          <w:right w:val="single" w:sz="4" w:space="0" w:color="auto"/>
                        </w:tcBorders>
                      </w:tcPr>
                      <w:p w14:paraId="6A3AAFA8" w14:textId="77777777" w:rsidR="00FC026B" w:rsidRPr="00C56257" w:rsidRDefault="00FC026B" w:rsidP="00993B86">
                        <w:pPr>
                          <w:rPr>
                            <w:lang w:val="it-IT"/>
                          </w:rPr>
                        </w:pPr>
                      </w:p>
                      <w:p w14:paraId="6871ABC7" w14:textId="77777777" w:rsidR="00FC026B" w:rsidRPr="00C56257" w:rsidRDefault="00FC026B" w:rsidP="00993B86">
                        <w:pPr>
                          <w:rPr>
                            <w:lang w:val="it-IT"/>
                          </w:rPr>
                        </w:pPr>
                        <w:r w:rsidRPr="00C56257">
                          <w:t xml:space="preserve">Structura habitatului </w:t>
                        </w:r>
                      </w:p>
                    </w:tc>
                    <w:tc>
                      <w:tcPr>
                        <w:tcW w:w="3184" w:type="dxa"/>
                        <w:tcBorders>
                          <w:top w:val="single" w:sz="4" w:space="0" w:color="auto"/>
                          <w:left w:val="single" w:sz="4" w:space="0" w:color="auto"/>
                          <w:bottom w:val="single" w:sz="4" w:space="0" w:color="auto"/>
                          <w:right w:val="single" w:sz="4" w:space="0" w:color="auto"/>
                        </w:tcBorders>
                        <w:hideMark/>
                      </w:tcPr>
                      <w:p w14:paraId="6BD7D2C6" w14:textId="77777777" w:rsidR="00FC026B" w:rsidRPr="00C56257" w:rsidRDefault="00FC026B" w:rsidP="00993B86">
                        <w:r w:rsidRPr="00C56257">
                          <w:rPr>
                            <w:lang w:val="it-IT"/>
                          </w:rPr>
                          <w:t xml:space="preserve">Subtipuri prezente </w:t>
                        </w:r>
                      </w:p>
                    </w:tc>
                    <w:tc>
                      <w:tcPr>
                        <w:tcW w:w="4206" w:type="dxa"/>
                        <w:tcBorders>
                          <w:top w:val="single" w:sz="4" w:space="0" w:color="auto"/>
                          <w:left w:val="single" w:sz="4" w:space="0" w:color="auto"/>
                          <w:bottom w:val="single" w:sz="4" w:space="0" w:color="auto"/>
                          <w:right w:val="single" w:sz="4" w:space="0" w:color="auto"/>
                        </w:tcBorders>
                        <w:hideMark/>
                      </w:tcPr>
                      <w:p w14:paraId="51BDDBD5" w14:textId="77777777" w:rsidR="00FC026B" w:rsidRPr="00C56257" w:rsidRDefault="00FC026B" w:rsidP="00993B86">
                        <w:pPr>
                          <w:autoSpaceDE w:val="0"/>
                          <w:autoSpaceDN w:val="0"/>
                          <w:adjustRightInd w:val="0"/>
                          <w:rPr>
                            <w:lang w:val="it-IT"/>
                          </w:rPr>
                        </w:pPr>
                        <w:r w:rsidRPr="00C56257">
                          <w:rPr>
                            <w:lang w:val="it-IT"/>
                          </w:rPr>
                          <w:t>Identificare asociații vegetale specifice</w:t>
                        </w:r>
                      </w:p>
                    </w:tc>
                  </w:tr>
                  <w:tr w:rsidR="00FC026B" w:rsidRPr="00C56257" w14:paraId="106CE21B" w14:textId="77777777" w:rsidTr="00993B8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84B7F2" w14:textId="77777777" w:rsidR="00FC026B" w:rsidRPr="00F100E1" w:rsidRDefault="00FC026B" w:rsidP="00993B86">
                        <w:pPr>
                          <w:rPr>
                            <w:lang w:val="it-IT"/>
                          </w:rPr>
                        </w:pPr>
                      </w:p>
                    </w:tc>
                    <w:tc>
                      <w:tcPr>
                        <w:tcW w:w="3184" w:type="dxa"/>
                        <w:tcBorders>
                          <w:top w:val="single" w:sz="4" w:space="0" w:color="auto"/>
                          <w:left w:val="single" w:sz="4" w:space="0" w:color="auto"/>
                          <w:bottom w:val="single" w:sz="4" w:space="0" w:color="auto"/>
                          <w:right w:val="single" w:sz="4" w:space="0" w:color="auto"/>
                        </w:tcBorders>
                        <w:hideMark/>
                      </w:tcPr>
                      <w:p w14:paraId="4791A33E" w14:textId="77777777" w:rsidR="00FC026B" w:rsidRPr="00C56257" w:rsidRDefault="00FC026B" w:rsidP="00993B86">
                        <w:r w:rsidRPr="00C56257">
                          <w:t>Specii edificatoare / caracteristice</w:t>
                        </w:r>
                      </w:p>
                    </w:tc>
                    <w:tc>
                      <w:tcPr>
                        <w:tcW w:w="4206" w:type="dxa"/>
                        <w:tcBorders>
                          <w:top w:val="single" w:sz="4" w:space="0" w:color="auto"/>
                          <w:left w:val="single" w:sz="4" w:space="0" w:color="auto"/>
                          <w:bottom w:val="single" w:sz="4" w:space="0" w:color="auto"/>
                          <w:right w:val="single" w:sz="4" w:space="0" w:color="auto"/>
                        </w:tcBorders>
                        <w:hideMark/>
                      </w:tcPr>
                      <w:p w14:paraId="393063AE" w14:textId="77777777" w:rsidR="00FC026B" w:rsidRPr="00C56257" w:rsidRDefault="00FC026B" w:rsidP="00993B86">
                        <w:pPr>
                          <w:autoSpaceDE w:val="0"/>
                          <w:autoSpaceDN w:val="0"/>
                          <w:adjustRightInd w:val="0"/>
                          <w:rPr>
                            <w:lang w:val="it-IT"/>
                          </w:rPr>
                        </w:pPr>
                        <w:r w:rsidRPr="00C56257">
                          <w:rPr>
                            <w:lang w:val="it-IT"/>
                          </w:rPr>
                          <w:t>Determinare compoziție floristică, structură, condiții biotice, cu evaluări cantitative asupra speciilor (prin notarea abundenței-dominanței lor)</w:t>
                        </w:r>
                      </w:p>
                    </w:tc>
                  </w:tr>
                  <w:tr w:rsidR="00FC026B" w:rsidRPr="00C56257" w14:paraId="6CC5D8B7" w14:textId="77777777" w:rsidTr="00993B86">
                    <w:trPr>
                      <w:trHeight w:val="31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C2ADBC2" w14:textId="77777777" w:rsidR="00FC026B" w:rsidRPr="00F100E1" w:rsidRDefault="00FC026B" w:rsidP="00993B86">
                        <w:pPr>
                          <w:rPr>
                            <w:lang w:val="it-IT"/>
                          </w:rPr>
                        </w:pPr>
                      </w:p>
                    </w:tc>
                    <w:tc>
                      <w:tcPr>
                        <w:tcW w:w="3184" w:type="dxa"/>
                        <w:tcBorders>
                          <w:top w:val="single" w:sz="4" w:space="0" w:color="auto"/>
                          <w:left w:val="single" w:sz="4" w:space="0" w:color="auto"/>
                          <w:bottom w:val="single" w:sz="4" w:space="0" w:color="auto"/>
                          <w:right w:val="single" w:sz="4" w:space="0" w:color="auto"/>
                        </w:tcBorders>
                        <w:hideMark/>
                      </w:tcPr>
                      <w:p w14:paraId="533D72EC" w14:textId="77777777" w:rsidR="00FC026B" w:rsidRPr="00C56257" w:rsidRDefault="00FC026B" w:rsidP="00993B86">
                        <w:r w:rsidRPr="00C56257">
                          <w:rPr>
                            <w:lang w:val="it-IT"/>
                          </w:rPr>
                          <w:t>Specii rare / amenințate</w:t>
                        </w:r>
                      </w:p>
                    </w:tc>
                    <w:tc>
                      <w:tcPr>
                        <w:tcW w:w="4206" w:type="dxa"/>
                        <w:tcBorders>
                          <w:top w:val="single" w:sz="4" w:space="0" w:color="auto"/>
                          <w:left w:val="single" w:sz="4" w:space="0" w:color="auto"/>
                          <w:bottom w:val="single" w:sz="4" w:space="0" w:color="auto"/>
                          <w:right w:val="single" w:sz="4" w:space="0" w:color="auto"/>
                        </w:tcBorders>
                        <w:hideMark/>
                      </w:tcPr>
                      <w:p w14:paraId="776EB294" w14:textId="77777777" w:rsidR="00FC026B" w:rsidRPr="00C56257" w:rsidRDefault="00FC026B" w:rsidP="00993B86">
                        <w:pPr>
                          <w:autoSpaceDE w:val="0"/>
                          <w:autoSpaceDN w:val="0"/>
                          <w:adjustRightInd w:val="0"/>
                        </w:pPr>
                        <w:r w:rsidRPr="00C56257">
                          <w:rPr>
                            <w:lang w:val="it-IT"/>
                          </w:rPr>
                          <w:t>Determinare, localizare, monitorizare</w:t>
                        </w:r>
                      </w:p>
                    </w:tc>
                  </w:tr>
                  <w:tr w:rsidR="00FC026B" w:rsidRPr="00C56257" w14:paraId="769C6BD1" w14:textId="77777777" w:rsidTr="00993B86">
                    <w:trPr>
                      <w:jc w:val="center"/>
                    </w:trPr>
                    <w:tc>
                      <w:tcPr>
                        <w:tcW w:w="2039" w:type="dxa"/>
                        <w:tcBorders>
                          <w:top w:val="single" w:sz="4" w:space="0" w:color="auto"/>
                          <w:left w:val="single" w:sz="4" w:space="0" w:color="auto"/>
                          <w:bottom w:val="single" w:sz="4" w:space="0" w:color="auto"/>
                          <w:right w:val="single" w:sz="4" w:space="0" w:color="auto"/>
                        </w:tcBorders>
                        <w:hideMark/>
                      </w:tcPr>
                      <w:p w14:paraId="7D17D58B" w14:textId="77777777" w:rsidR="00FC026B" w:rsidRPr="00C56257" w:rsidRDefault="00FC026B" w:rsidP="00993B86">
                        <w:pPr>
                          <w:rPr>
                            <w:lang w:val="it-IT"/>
                          </w:rPr>
                        </w:pPr>
                        <w:r w:rsidRPr="00C56257">
                          <w:t>Distribuția spațială</w:t>
                        </w:r>
                      </w:p>
                    </w:tc>
                    <w:tc>
                      <w:tcPr>
                        <w:tcW w:w="3184" w:type="dxa"/>
                        <w:tcBorders>
                          <w:top w:val="single" w:sz="4" w:space="0" w:color="auto"/>
                          <w:left w:val="single" w:sz="4" w:space="0" w:color="auto"/>
                          <w:bottom w:val="single" w:sz="4" w:space="0" w:color="auto"/>
                          <w:right w:val="single" w:sz="4" w:space="0" w:color="auto"/>
                        </w:tcBorders>
                        <w:hideMark/>
                      </w:tcPr>
                      <w:p w14:paraId="16683973" w14:textId="77777777" w:rsidR="00FC026B" w:rsidRPr="00C56257" w:rsidRDefault="00FC026B" w:rsidP="00993B86">
                        <w:pPr>
                          <w:autoSpaceDE w:val="0"/>
                          <w:autoSpaceDN w:val="0"/>
                          <w:adjustRightInd w:val="0"/>
                        </w:pPr>
                        <w:r w:rsidRPr="00C56257">
                          <w:rPr>
                            <w:lang w:val="it-IT"/>
                          </w:rPr>
                          <w:t>Model spațial al distribuției subtipurilor</w:t>
                        </w:r>
                      </w:p>
                    </w:tc>
                    <w:tc>
                      <w:tcPr>
                        <w:tcW w:w="4206" w:type="dxa"/>
                        <w:tcBorders>
                          <w:top w:val="single" w:sz="4" w:space="0" w:color="auto"/>
                          <w:left w:val="single" w:sz="4" w:space="0" w:color="auto"/>
                          <w:bottom w:val="single" w:sz="4" w:space="0" w:color="auto"/>
                          <w:right w:val="single" w:sz="4" w:space="0" w:color="auto"/>
                        </w:tcBorders>
                        <w:hideMark/>
                      </w:tcPr>
                      <w:p w14:paraId="37709F4F" w14:textId="77777777" w:rsidR="00FC026B" w:rsidRPr="00C56257" w:rsidRDefault="00FC026B" w:rsidP="00993B86">
                        <w:pPr>
                          <w:autoSpaceDE w:val="0"/>
                          <w:autoSpaceDN w:val="0"/>
                          <w:adjustRightInd w:val="0"/>
                        </w:pPr>
                        <w:r w:rsidRPr="00C56257">
                          <w:t>Cartarea pe baza imaginilor aeriene si prin localizare GIS în urma observațiilor de teren</w:t>
                        </w:r>
                      </w:p>
                    </w:tc>
                  </w:tr>
                </w:tbl>
                <w:p w14:paraId="69E1341F" w14:textId="77777777" w:rsidR="00FC026B" w:rsidRPr="00C56257" w:rsidRDefault="00FC026B" w:rsidP="00993B86">
                  <w:pPr>
                    <w:ind w:right="51" w:firstLine="567"/>
                    <w:jc w:val="both"/>
                    <w:rPr>
                      <w:lang w:val="it-IT"/>
                    </w:rPr>
                  </w:pPr>
                </w:p>
                <w:p w14:paraId="7F998B8F" w14:textId="77777777" w:rsidR="00FC026B" w:rsidRDefault="00FC026B" w:rsidP="00993B86">
                  <w:pPr>
                    <w:ind w:right="51" w:firstLine="567"/>
                    <w:jc w:val="both"/>
                    <w:rPr>
                      <w:lang w:val="it-IT"/>
                    </w:rPr>
                  </w:pPr>
                  <w:r w:rsidRPr="00C56257">
                    <w:rPr>
                      <w:lang w:val="it-IT"/>
                    </w:rPr>
                    <w:t xml:space="preserve">Prezenţa (constanţa) speciilor componente ale asociaţiilor vegetale specifice habitatului 1210 este unul dintre elementele care determină ordinea speciilor din lista floristică. Prezenţa se calculează în procente, raportând numărul de releveuri în care apare o anumită specie la numărul total de releveuri (Ivan &amp; Doniță, 1975). </w:t>
                  </w:r>
                  <w:r w:rsidRPr="00C56257">
                    <w:rPr>
                      <w:lang w:val="pt-BR"/>
                    </w:rPr>
                    <w:t xml:space="preserve">Valorile obţinute sunt ulterior grupate în cinci clase de prezenţă: 1-20%, 21-40%, 41-60%, 61-80%, 81-100%. Speciile sunt </w:t>
                  </w:r>
                  <w:r>
                    <w:rPr>
                      <w:lang w:val="pt-BR"/>
                    </w:rPr>
                    <w:t>ordonate</w:t>
                  </w:r>
                  <w:r w:rsidRPr="00C56257">
                    <w:rPr>
                      <w:lang w:val="pt-BR"/>
                    </w:rPr>
                    <w:t xml:space="preserve"> în tabele de asociație (reflectate în Fișa de teren) în ordinea descrescătoare a prezenței (</w:t>
                  </w:r>
                  <w:proofErr w:type="spellStart"/>
                  <w:r w:rsidRPr="00C56257">
                    <w:rPr>
                      <w:lang w:val="en-US"/>
                    </w:rPr>
                    <w:t>şi</w:t>
                  </w:r>
                  <w:proofErr w:type="spellEnd"/>
                  <w:r w:rsidRPr="00C56257">
                    <w:rPr>
                      <w:lang w:val="en-US"/>
                    </w:rPr>
                    <w:t xml:space="preserve"> nu pe </w:t>
                  </w:r>
                  <w:proofErr w:type="spellStart"/>
                  <w:r w:rsidRPr="00C56257">
                    <w:rPr>
                      <w:lang w:val="en-US"/>
                    </w:rPr>
                    <w:t>baza</w:t>
                  </w:r>
                  <w:proofErr w:type="spellEnd"/>
                  <w:r w:rsidRPr="00C56257">
                    <w:rPr>
                      <w:lang w:val="en-US"/>
                    </w:rPr>
                    <w:t xml:space="preserve"> </w:t>
                  </w:r>
                  <w:proofErr w:type="spellStart"/>
                  <w:r w:rsidRPr="00C56257">
                    <w:rPr>
                      <w:lang w:val="en-US"/>
                    </w:rPr>
                    <w:t>apartenenţei</w:t>
                  </w:r>
                  <w:proofErr w:type="spellEnd"/>
                  <w:r w:rsidRPr="00C56257">
                    <w:rPr>
                      <w:lang w:val="en-US"/>
                    </w:rPr>
                    <w:t xml:space="preserve"> lor </w:t>
                  </w:r>
                  <w:proofErr w:type="spellStart"/>
                  <w:r w:rsidRPr="00C56257">
                    <w:rPr>
                      <w:lang w:val="en-US"/>
                    </w:rPr>
                    <w:t>cenologice</w:t>
                  </w:r>
                  <w:proofErr w:type="spellEnd"/>
                  <w:r w:rsidRPr="00C56257">
                    <w:rPr>
                      <w:lang w:val="en-US"/>
                    </w:rPr>
                    <w:t>)</w:t>
                  </w:r>
                  <w:r w:rsidRPr="00C56257">
                    <w:rPr>
                      <w:lang w:val="pt-BR"/>
                    </w:rPr>
                    <w:t>, pe criteriul că speciile de plante cu prezență ridicată au o fidelitate crescută pentru acea asociație vegetală  și s</w:t>
                  </w:r>
                  <w:proofErr w:type="spellStart"/>
                  <w:r w:rsidRPr="00C56257">
                    <w:rPr>
                      <w:lang w:val="en-US"/>
                    </w:rPr>
                    <w:t>unt</w:t>
                  </w:r>
                  <w:proofErr w:type="spellEnd"/>
                  <w:r w:rsidRPr="00C56257">
                    <w:rPr>
                      <w:lang w:val="en-US"/>
                    </w:rPr>
                    <w:t xml:space="preserve"> </w:t>
                  </w:r>
                  <w:proofErr w:type="spellStart"/>
                  <w:r w:rsidRPr="00C56257">
                    <w:rPr>
                      <w:lang w:val="en-US"/>
                    </w:rPr>
                    <w:t>mai</w:t>
                  </w:r>
                  <w:proofErr w:type="spellEnd"/>
                  <w:r w:rsidRPr="00C56257">
                    <w:rPr>
                      <w:lang w:val="en-US"/>
                    </w:rPr>
                    <w:t xml:space="preserve"> bine </w:t>
                  </w:r>
                  <w:proofErr w:type="spellStart"/>
                  <w:r w:rsidRPr="00C56257">
                    <w:rPr>
                      <w:lang w:val="en-US"/>
                    </w:rPr>
                    <w:t>adaptate</w:t>
                  </w:r>
                  <w:proofErr w:type="spellEnd"/>
                  <w:r w:rsidRPr="00C56257">
                    <w:rPr>
                      <w:lang w:val="en-US"/>
                    </w:rPr>
                    <w:t xml:space="preserve"> la </w:t>
                  </w:r>
                  <w:proofErr w:type="spellStart"/>
                  <w:r w:rsidRPr="00C56257">
                    <w:rPr>
                      <w:lang w:val="en-US"/>
                    </w:rPr>
                    <w:t>condiţiile</w:t>
                  </w:r>
                  <w:proofErr w:type="spellEnd"/>
                  <w:r w:rsidRPr="00C56257">
                    <w:rPr>
                      <w:lang w:val="en-US"/>
                    </w:rPr>
                    <w:t xml:space="preserve"> de </w:t>
                  </w:r>
                  <w:proofErr w:type="spellStart"/>
                  <w:r w:rsidRPr="00C56257">
                    <w:rPr>
                      <w:lang w:val="en-US"/>
                    </w:rPr>
                    <w:t>mediu</w:t>
                  </w:r>
                  <w:proofErr w:type="spellEnd"/>
                  <w:r w:rsidRPr="00C56257">
                    <w:rPr>
                      <w:lang w:val="en-US"/>
                    </w:rPr>
                    <w:t xml:space="preserve"> </w:t>
                  </w:r>
                  <w:proofErr w:type="spellStart"/>
                  <w:r w:rsidRPr="00C56257">
                    <w:rPr>
                      <w:lang w:val="en-US"/>
                    </w:rPr>
                    <w:t>caracteristice</w:t>
                  </w:r>
                  <w:proofErr w:type="spellEnd"/>
                  <w:r w:rsidRPr="00C56257">
                    <w:rPr>
                      <w:lang w:val="en-US"/>
                    </w:rPr>
                    <w:t xml:space="preserve"> </w:t>
                  </w:r>
                  <w:proofErr w:type="spellStart"/>
                  <w:r w:rsidRPr="00C56257">
                    <w:rPr>
                      <w:lang w:val="en-US"/>
                    </w:rPr>
                    <w:t>asociaţiei</w:t>
                  </w:r>
                  <w:proofErr w:type="spellEnd"/>
                  <w:r w:rsidRPr="00C56257">
                    <w:rPr>
                      <w:lang w:val="en-US"/>
                    </w:rPr>
                    <w:t xml:space="preserve"> respective, </w:t>
                  </w:r>
                  <w:r w:rsidRPr="00C56257">
                    <w:rPr>
                      <w:lang w:val="pt-BR"/>
                    </w:rPr>
                    <w:t>comparativ cu speciile de plante cu prezență scăzută.</w:t>
                  </w:r>
                  <w:r w:rsidRPr="00C56257">
                    <w:rPr>
                      <w:lang w:val="it-IT"/>
                    </w:rPr>
                    <w:t xml:space="preserve"> Ordinea speciilor din lista floristică (Fișa de teren) ţine cont şi de criteriul dominanţei, deoarece speciile dominante sunt principalii edificatori ai fitocenozelor și prin urmare speciile dominante vor fi plasate în capul listei de specii.</w:t>
                  </w:r>
                </w:p>
                <w:p w14:paraId="408BE848" w14:textId="77777777" w:rsidR="00FC026B" w:rsidRPr="00F100E1" w:rsidRDefault="00FC026B" w:rsidP="00993B86">
                  <w:pPr>
                    <w:ind w:right="51" w:firstLine="567"/>
                    <w:jc w:val="both"/>
                    <w:rPr>
                      <w:lang w:val="pt-BR"/>
                    </w:rPr>
                  </w:pPr>
                  <w:r w:rsidRPr="00C56257">
                    <w:rPr>
                      <w:lang w:val="it-IT"/>
                    </w:rPr>
                    <w:t>D</w:t>
                  </w:r>
                  <w:r w:rsidRPr="00C56257">
                    <w:t xml:space="preserve">istribuţia habitatului 1210 în zona costieră românească </w:t>
                  </w:r>
                  <w:r>
                    <w:t>este</w:t>
                  </w:r>
                  <w:r w:rsidRPr="00C56257">
                    <w:t xml:space="preserve"> evidenţiată pe o hartă de distribuţie realizată în format GIS. Cartarea habitatului 1210 de-a lungul zonei costiere româneşti se face prin marcarea limitelor asociaţiilor vegetale tipice, în sistem georeferențial WGS 84, urmată de transpunerea coordonatelor geografice în sistemul ArcGIS sau sinonim. </w:t>
                  </w:r>
                </w:p>
                <w:p w14:paraId="525AEB65" w14:textId="77777777" w:rsidR="00FC026B" w:rsidRPr="00C56257" w:rsidRDefault="00FC026B" w:rsidP="00993B86">
                  <w:pPr>
                    <w:jc w:val="both"/>
                  </w:pPr>
                  <w:r>
                    <w:t xml:space="preserve">          </w:t>
                  </w:r>
                  <w:r w:rsidRPr="00C56257">
                    <w:t>Estimarea suprafeţei habitatului 1210 (în km</w:t>
                  </w:r>
                  <w:r w:rsidRPr="00C56257">
                    <w:rPr>
                      <w:vertAlign w:val="superscript"/>
                    </w:rPr>
                    <w:t>2</w:t>
                  </w:r>
                  <w:r w:rsidRPr="00C56257">
                    <w:t xml:space="preserve">) se va face prin însumarea tuturor suprafeţelor costiere pe care sunt prezente asociaţii vegetale sau populaţii ale unor specii de plante tipice acestui habitat. </w:t>
                  </w:r>
                </w:p>
                <w:p w14:paraId="05056859" w14:textId="77777777" w:rsidR="00FC026B" w:rsidRPr="00C56257" w:rsidRDefault="00FC026B" w:rsidP="00993B86">
                  <w:pPr>
                    <w:jc w:val="both"/>
                  </w:pPr>
                  <w:r>
                    <w:t xml:space="preserve">          </w:t>
                  </w:r>
                  <w:r w:rsidRPr="00C56257">
                    <w:t xml:space="preserve">Proporţia (%) deţinută de habitatul 1210 </w:t>
                  </w:r>
                  <w:r>
                    <w:t>este</w:t>
                  </w:r>
                  <w:r w:rsidRPr="00C56257">
                    <w:t xml:space="preserve"> determinată prin raportarea suprafeţelor totale ocupate de acest habitat în zona costieră românească la suprafaţa totală a bioregiunii pontice (Marea Neagră). Suprafaţa totală deţinută de acest habitat </w:t>
                  </w:r>
                  <w:r>
                    <w:t>este</w:t>
                  </w:r>
                  <w:r w:rsidRPr="00C56257">
                    <w:t xml:space="preserve"> estimată pe baza observaţiilor de teren şi a datelor de încredere din literatura de specialitate.</w:t>
                  </w:r>
                </w:p>
                <w:tbl>
                  <w:tblPr>
                    <w:tblW w:w="98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2239"/>
                    <w:gridCol w:w="1843"/>
                    <w:gridCol w:w="1701"/>
                  </w:tblGrid>
                  <w:tr w:rsidR="00FC026B" w:rsidRPr="00C56257" w14:paraId="0D4842EA" w14:textId="77777777" w:rsidTr="00993B86">
                    <w:tc>
                      <w:tcPr>
                        <w:tcW w:w="4106" w:type="dxa"/>
                        <w:tcBorders>
                          <w:top w:val="nil"/>
                          <w:left w:val="nil"/>
                          <w:bottom w:val="nil"/>
                          <w:right w:val="nil"/>
                        </w:tcBorders>
                        <w:vAlign w:val="bottom"/>
                      </w:tcPr>
                      <w:p w14:paraId="3B80CBF7" w14:textId="77777777" w:rsidR="00FC026B" w:rsidRPr="00C56257" w:rsidRDefault="00FC026B" w:rsidP="00993B86">
                        <w:pPr>
                          <w:rPr>
                            <w:rFonts w:eastAsia="Calibri"/>
                            <w:color w:val="000000"/>
                            <w:lang w:val="en-US"/>
                          </w:rPr>
                        </w:pPr>
                      </w:p>
                    </w:tc>
                    <w:tc>
                      <w:tcPr>
                        <w:tcW w:w="2239" w:type="dxa"/>
                        <w:tcBorders>
                          <w:top w:val="nil"/>
                          <w:left w:val="nil"/>
                          <w:bottom w:val="nil"/>
                          <w:right w:val="nil"/>
                        </w:tcBorders>
                      </w:tcPr>
                      <w:p w14:paraId="571D8DF5" w14:textId="77777777" w:rsidR="00FC026B" w:rsidRPr="00C56257" w:rsidRDefault="00FC026B" w:rsidP="00993B86">
                        <w:pPr>
                          <w:jc w:val="right"/>
                          <w:rPr>
                            <w:rFonts w:eastAsia="Calibri"/>
                            <w:lang w:val="en-US"/>
                          </w:rPr>
                        </w:pPr>
                      </w:p>
                    </w:tc>
                    <w:tc>
                      <w:tcPr>
                        <w:tcW w:w="1843" w:type="dxa"/>
                        <w:tcBorders>
                          <w:top w:val="nil"/>
                          <w:left w:val="nil"/>
                          <w:bottom w:val="nil"/>
                          <w:right w:val="nil"/>
                        </w:tcBorders>
                      </w:tcPr>
                      <w:p w14:paraId="23DBD7EE" w14:textId="77777777" w:rsidR="00FC026B" w:rsidRPr="00C56257" w:rsidRDefault="00FC026B" w:rsidP="00993B86">
                        <w:pPr>
                          <w:rPr>
                            <w:rFonts w:eastAsia="Calibri"/>
                            <w:lang w:val="en-US"/>
                          </w:rPr>
                        </w:pPr>
                      </w:p>
                    </w:tc>
                    <w:tc>
                      <w:tcPr>
                        <w:tcW w:w="1701" w:type="dxa"/>
                        <w:tcBorders>
                          <w:top w:val="nil"/>
                          <w:left w:val="nil"/>
                          <w:bottom w:val="nil"/>
                          <w:right w:val="nil"/>
                        </w:tcBorders>
                      </w:tcPr>
                      <w:p w14:paraId="43F79CD4" w14:textId="77777777" w:rsidR="00FC026B" w:rsidRPr="00C56257" w:rsidRDefault="00FC026B" w:rsidP="00993B86">
                        <w:pPr>
                          <w:jc w:val="center"/>
                          <w:rPr>
                            <w:rFonts w:eastAsia="Calibri"/>
                            <w:lang w:val="en-US"/>
                          </w:rPr>
                        </w:pPr>
                      </w:p>
                    </w:tc>
                  </w:tr>
                </w:tbl>
                <w:p w14:paraId="283BD2F1" w14:textId="77777777" w:rsidR="00FC026B" w:rsidRPr="00C56257" w:rsidRDefault="00FC026B" w:rsidP="00993B86">
                  <w:pPr>
                    <w:rPr>
                      <w:rFonts w:eastAsia="Calibri"/>
                      <w:color w:val="000000"/>
                      <w:lang w:val="en-US"/>
                    </w:rPr>
                  </w:pPr>
                </w:p>
              </w:tc>
              <w:tc>
                <w:tcPr>
                  <w:tcW w:w="222" w:type="dxa"/>
                  <w:tcBorders>
                    <w:top w:val="nil"/>
                    <w:left w:val="nil"/>
                    <w:bottom w:val="nil"/>
                    <w:right w:val="nil"/>
                  </w:tcBorders>
                </w:tcPr>
                <w:p w14:paraId="1A18296A" w14:textId="77777777" w:rsidR="00FC026B" w:rsidRPr="00C56257" w:rsidRDefault="00FC026B" w:rsidP="00993B86">
                  <w:pPr>
                    <w:jc w:val="center"/>
                    <w:rPr>
                      <w:rFonts w:eastAsia="Calibri"/>
                      <w:lang w:val="en-US"/>
                    </w:rPr>
                  </w:pPr>
                </w:p>
              </w:tc>
            </w:tr>
          </w:tbl>
          <w:p w14:paraId="20BE5B61" w14:textId="77777777" w:rsidR="00FC026B" w:rsidRPr="00C56257" w:rsidRDefault="00FC026B" w:rsidP="00993B86">
            <w:pPr>
              <w:rPr>
                <w:color w:val="000000"/>
              </w:rPr>
            </w:pPr>
          </w:p>
        </w:tc>
        <w:tc>
          <w:tcPr>
            <w:tcW w:w="2322" w:type="dxa"/>
            <w:noWrap/>
            <w:vAlign w:val="bottom"/>
          </w:tcPr>
          <w:p w14:paraId="41C461AB" w14:textId="77777777" w:rsidR="00FC026B" w:rsidRPr="00C56257" w:rsidRDefault="00FC026B" w:rsidP="00993B86">
            <w:pPr>
              <w:jc w:val="center"/>
              <w:rPr>
                <w:color w:val="000000"/>
              </w:rPr>
            </w:pPr>
          </w:p>
        </w:tc>
      </w:tr>
    </w:tbl>
    <w:p w14:paraId="2BFA4C86" w14:textId="77777777" w:rsidR="00FC026B" w:rsidRPr="00C56257" w:rsidRDefault="00FC026B" w:rsidP="00FC026B">
      <w:pPr>
        <w:ind w:firstLine="720"/>
        <w:jc w:val="both"/>
        <w:rPr>
          <w:lang w:eastAsia="ro-RO"/>
        </w:rPr>
      </w:pPr>
    </w:p>
    <w:p w14:paraId="3C567996" w14:textId="77777777" w:rsidR="00FC026B" w:rsidRPr="00C56257" w:rsidRDefault="00FC026B" w:rsidP="00FC026B">
      <w:pPr>
        <w:autoSpaceDE w:val="0"/>
        <w:autoSpaceDN w:val="0"/>
        <w:adjustRightInd w:val="0"/>
        <w:jc w:val="both"/>
        <w:rPr>
          <w:rFonts w:eastAsia="Calibri"/>
          <w:b/>
          <w:lang w:val="en-US"/>
        </w:rPr>
      </w:pPr>
      <w:r w:rsidRPr="00C56257">
        <w:rPr>
          <w:rFonts w:eastAsia="Calibri"/>
          <w:b/>
          <w:bCs/>
          <w:lang w:val="en-US"/>
        </w:rPr>
        <w:t xml:space="preserve">1110 </w:t>
      </w:r>
      <w:proofErr w:type="spellStart"/>
      <w:r w:rsidRPr="00C56257">
        <w:rPr>
          <w:rFonts w:eastAsia="Calibri"/>
          <w:b/>
          <w:lang w:val="en-US"/>
        </w:rPr>
        <w:t>Bancuri</w:t>
      </w:r>
      <w:proofErr w:type="spellEnd"/>
      <w:r w:rsidRPr="00C56257">
        <w:rPr>
          <w:rFonts w:eastAsia="Calibri"/>
          <w:b/>
          <w:lang w:val="en-US"/>
        </w:rPr>
        <w:t xml:space="preserve"> de </w:t>
      </w:r>
      <w:proofErr w:type="spellStart"/>
      <w:r w:rsidRPr="00C56257">
        <w:rPr>
          <w:rFonts w:eastAsia="Calibri"/>
          <w:b/>
          <w:lang w:val="en-US"/>
        </w:rPr>
        <w:t>nisip</w:t>
      </w:r>
      <w:proofErr w:type="spellEnd"/>
      <w:r w:rsidRPr="00C56257">
        <w:rPr>
          <w:rFonts w:eastAsia="Calibri"/>
          <w:b/>
          <w:lang w:val="en-US"/>
        </w:rPr>
        <w:t xml:space="preserve"> permanent submerse la </w:t>
      </w:r>
      <w:proofErr w:type="spellStart"/>
      <w:r w:rsidRPr="00C56257">
        <w:rPr>
          <w:rFonts w:eastAsia="Calibri"/>
          <w:b/>
          <w:lang w:val="en-US"/>
        </w:rPr>
        <w:t>mică</w:t>
      </w:r>
      <w:proofErr w:type="spellEnd"/>
      <w:r w:rsidRPr="00C56257">
        <w:rPr>
          <w:rFonts w:eastAsia="Calibri"/>
          <w:b/>
          <w:lang w:val="en-US"/>
        </w:rPr>
        <w:t xml:space="preserve"> </w:t>
      </w:r>
      <w:proofErr w:type="spellStart"/>
      <w:r w:rsidRPr="00C56257">
        <w:rPr>
          <w:rFonts w:eastAsia="Calibri"/>
          <w:b/>
          <w:lang w:val="en-US"/>
        </w:rPr>
        <w:t>adâncime</w:t>
      </w:r>
      <w:proofErr w:type="spellEnd"/>
      <w:r w:rsidRPr="00C56257">
        <w:rPr>
          <w:rFonts w:eastAsia="Calibri"/>
          <w:b/>
          <w:lang w:val="en-US"/>
        </w:rPr>
        <w:t xml:space="preserve"> </w:t>
      </w:r>
    </w:p>
    <w:p w14:paraId="5C833F37" w14:textId="77777777" w:rsidR="00FC026B" w:rsidRPr="00C56257" w:rsidRDefault="00FC026B" w:rsidP="00FC026B">
      <w:pPr>
        <w:autoSpaceDE w:val="0"/>
        <w:autoSpaceDN w:val="0"/>
        <w:adjustRightInd w:val="0"/>
        <w:jc w:val="both"/>
        <w:rPr>
          <w:rFonts w:eastAsia="Calibri"/>
          <w:lang w:val="en-US"/>
        </w:rPr>
      </w:pPr>
      <w:r w:rsidRPr="00C56257">
        <w:rPr>
          <w:rFonts w:eastAsia="Calibri"/>
          <w:lang w:val="en-US"/>
        </w:rPr>
        <w:t>CLAS. PAL.: 11.125, 11.22, 11.31, 11.333</w:t>
      </w:r>
    </w:p>
    <w:p w14:paraId="321D0503" w14:textId="77777777" w:rsidR="00FC026B" w:rsidRPr="00C56257" w:rsidRDefault="00FC026B" w:rsidP="00FC026B">
      <w:pPr>
        <w:autoSpaceDE w:val="0"/>
        <w:autoSpaceDN w:val="0"/>
        <w:adjustRightInd w:val="0"/>
        <w:jc w:val="both"/>
        <w:rPr>
          <w:rFonts w:eastAsia="Calibri"/>
          <w:lang w:val="en-US"/>
        </w:rPr>
      </w:pPr>
    </w:p>
    <w:p w14:paraId="1E560A60" w14:textId="77777777" w:rsidR="00FC026B" w:rsidRPr="00C56257" w:rsidRDefault="00FC026B" w:rsidP="00FC026B">
      <w:pPr>
        <w:ind w:firstLine="720"/>
        <w:jc w:val="both"/>
        <w:rPr>
          <w:rFonts w:eastAsia="Calibri"/>
        </w:rPr>
      </w:pPr>
      <w:r w:rsidRPr="00C56257">
        <w:rPr>
          <w:rFonts w:eastAsia="Calibri"/>
        </w:rPr>
        <w:lastRenderedPageBreak/>
        <w:t>Bancurile de nisip sunt forme topografice înălțate, alungite, rotunjite sau neregulate, permanent submerse și înconjurate permanent de ape mai adânci. Acestea sunt constituite mai ales din sedimente nisipoase, însă un banc nisipos poate fi constituit și din nisipuri cu granulație, inclusiv bolovăniș și pietriș, dar și din sedimente mai fine, precum mâlul. Bancurile în care stratul de nisip se suprapune peste substratul stâncos sunt clasificate ca bancuri de nisip dacă fauna asociată este mai degrabă dependentă de nisip decât de substratul inferior, dur.</w:t>
      </w:r>
    </w:p>
    <w:p w14:paraId="65D8C6E3" w14:textId="77777777" w:rsidR="00FC026B" w:rsidRPr="00C56257" w:rsidRDefault="00FC026B" w:rsidP="00FC026B">
      <w:pPr>
        <w:ind w:firstLine="720"/>
        <w:jc w:val="both"/>
        <w:rPr>
          <w:rFonts w:eastAsia="Calibri"/>
        </w:rPr>
      </w:pPr>
      <w:r w:rsidRPr="00C56257">
        <w:rPr>
          <w:rFonts w:eastAsia="Calibri"/>
        </w:rPr>
        <w:t>„De mică adâncime acoperit permanent cu apă” înseamnă că, deasupra unui banc de nisip, adâncimea apei depășește rareori 20 m sub nivelul hidrografic zero. Totuși, bancurile de nisip se pot extinde mai jos de 20 m sub nivelul hidrografic zero. De aceea, poate fi adecvată includerea unor astfel de zone mai adânci, care fac parte din caracteristica bancului de nisip și găzduiesc comunitățile biotice specifice acestuia.</w:t>
      </w:r>
    </w:p>
    <w:p w14:paraId="4852CD47" w14:textId="77777777" w:rsidR="00FC026B" w:rsidRPr="00C56257" w:rsidRDefault="00FC026B" w:rsidP="00FC026B">
      <w:pPr>
        <w:ind w:firstLine="720"/>
        <w:jc w:val="both"/>
        <w:rPr>
          <w:rFonts w:eastAsia="Calibri"/>
        </w:rPr>
      </w:pPr>
      <w:r w:rsidRPr="00C56257">
        <w:rPr>
          <w:rFonts w:eastAsia="Calibri"/>
        </w:rPr>
        <w:t>În sectorul românesc, acest tip de habitat se întâlnește sub forma mai multor sub-tipuri, clasificate în funcție de dimensiunea particulelor și de comunitățile de organisme (floră și faună) predominante.</w:t>
      </w:r>
    </w:p>
    <w:p w14:paraId="2B99FC54" w14:textId="77777777" w:rsidR="00FC026B" w:rsidRPr="00C56257" w:rsidRDefault="00FC026B" w:rsidP="00FC026B">
      <w:pPr>
        <w:ind w:firstLine="720"/>
        <w:jc w:val="both"/>
        <w:rPr>
          <w:rFonts w:eastAsia="Calibri"/>
        </w:rPr>
      </w:pPr>
      <w:r w:rsidRPr="00C56257">
        <w:rPr>
          <w:rFonts w:eastAsia="Calibri"/>
          <w:b/>
          <w:i/>
        </w:rPr>
        <w:t>1110-1. Nisipuri fine, curate sau ușor mâloase</w:t>
      </w:r>
      <w:r w:rsidRPr="00C56257">
        <w:rPr>
          <w:rFonts w:eastAsia="Calibri"/>
        </w:rPr>
        <w:t xml:space="preserve">, cu pajiști de </w:t>
      </w:r>
      <w:r w:rsidRPr="00C56257">
        <w:rPr>
          <w:rFonts w:eastAsia="Calibri"/>
          <w:i/>
          <w:iCs/>
        </w:rPr>
        <w:t>Zostera</w:t>
      </w:r>
      <w:r w:rsidRPr="00C56257">
        <w:rPr>
          <w:rFonts w:eastAsia="Calibri"/>
        </w:rPr>
        <w:t xml:space="preserve">, prelungirea submarină a plajei cu nisipuri fine, venind în contact direct cu zona mediolitorală. </w:t>
      </w:r>
      <w:r w:rsidRPr="00C56257">
        <w:rPr>
          <w:rFonts w:eastAsia="Calibri"/>
          <w:i/>
        </w:rPr>
        <w:t>Zostera marina</w:t>
      </w:r>
      <w:r w:rsidRPr="00C56257">
        <w:rPr>
          <w:rFonts w:eastAsia="Calibri"/>
        </w:rPr>
        <w:t xml:space="preserve">, </w:t>
      </w:r>
      <w:r w:rsidRPr="00C56257">
        <w:rPr>
          <w:rFonts w:eastAsia="Calibri"/>
          <w:i/>
        </w:rPr>
        <w:t>Zostera noltei</w:t>
      </w:r>
      <w:r w:rsidRPr="00C56257">
        <w:rPr>
          <w:rFonts w:eastAsia="Calibri"/>
        </w:rPr>
        <w:t xml:space="preserve"> și </w:t>
      </w:r>
      <w:r w:rsidRPr="00C56257">
        <w:rPr>
          <w:rFonts w:eastAsia="Calibri"/>
          <w:i/>
        </w:rPr>
        <w:t>Zannichellia pedicellata</w:t>
      </w:r>
      <w:r w:rsidRPr="00C56257">
        <w:rPr>
          <w:rFonts w:eastAsia="Calibri"/>
        </w:rPr>
        <w:t xml:space="preserve"> formază pajiști submarine monospecifice sau mixte în golfuri adăpostite, cu adâncimi de până la 4m, acolo unde stabilitatea sedimentară duce la o ușoară înmâlire a nisipului. </w:t>
      </w:r>
    </w:p>
    <w:p w14:paraId="4D71ECB2" w14:textId="77777777" w:rsidR="00FC026B" w:rsidRPr="00C56257" w:rsidRDefault="00FC026B" w:rsidP="00FC026B">
      <w:pPr>
        <w:ind w:firstLine="720"/>
        <w:jc w:val="both"/>
        <w:rPr>
          <w:rFonts w:eastAsia="Calibri"/>
        </w:rPr>
      </w:pPr>
      <w:r w:rsidRPr="00C56257">
        <w:rPr>
          <w:rFonts w:eastAsia="Calibri"/>
          <w:b/>
          <w:i/>
        </w:rPr>
        <w:t>1110-2. Nisipuri medii sub formă de dune submarine</w:t>
      </w:r>
      <w:r w:rsidRPr="00C56257">
        <w:rPr>
          <w:rFonts w:eastAsia="Calibri"/>
        </w:rPr>
        <w:t>; acest subtip este alcături din nisipuri mobile de granulație medie care, sub acțiunea curenților puternici și a valurilor formează bancuri submerse (dune hidraulice), paralele cu țărmul. Prin acumularea în timp a nisipului, acestea pot deveni emerse, constituind insule mișcătoare sau bare de nisip permanente (ex. insula Sahalin din fața gurii Sf. Gheorghe sau bara de nisip submersă din dreptul băii Musura).</w:t>
      </w:r>
    </w:p>
    <w:p w14:paraId="26923BC3" w14:textId="77777777" w:rsidR="00FC026B" w:rsidRPr="00C56257" w:rsidRDefault="00FC026B" w:rsidP="00FC026B">
      <w:pPr>
        <w:ind w:firstLine="720"/>
        <w:jc w:val="both"/>
        <w:rPr>
          <w:rFonts w:eastAsia="Calibri"/>
        </w:rPr>
      </w:pPr>
      <w:r w:rsidRPr="00C56257">
        <w:rPr>
          <w:rFonts w:eastAsia="Calibri"/>
          <w:b/>
          <w:i/>
        </w:rPr>
        <w:t>1110-3. Nisipuri fine de mică adâncime</w:t>
      </w:r>
      <w:r w:rsidRPr="00C56257">
        <w:rPr>
          <w:rFonts w:eastAsia="Calibri"/>
        </w:rPr>
        <w:t xml:space="preserve">, de origine terigenă (silicioase) în nord, de la Sulina la Constanța și biogenă în sud, de la Constanța la Vama Veche, amestecate cu resturi de cochilii și pietricele sunt dispuse de la țărm până la izobata de 3-4 m. În funcție de originea nisipului (terigenă sau biogenă) și de salinitatea determinată de influența Dunării, aceste nisipuri adăpostesc biocenoza nisipurilor fine cu </w:t>
      </w:r>
      <w:r w:rsidRPr="00C56257">
        <w:rPr>
          <w:rFonts w:eastAsia="Calibri"/>
          <w:i/>
        </w:rPr>
        <w:t>Lentidium mediterraneum</w:t>
      </w:r>
      <w:r w:rsidRPr="00C56257">
        <w:rPr>
          <w:rFonts w:eastAsia="Calibri"/>
        </w:rPr>
        <w:t xml:space="preserve"> în nord și biocenoza cu </w:t>
      </w:r>
      <w:r w:rsidRPr="00C56257">
        <w:rPr>
          <w:rFonts w:eastAsia="Calibri"/>
          <w:i/>
        </w:rPr>
        <w:t>Donax trunculus</w:t>
      </w:r>
      <w:r w:rsidRPr="00C56257">
        <w:rPr>
          <w:rFonts w:eastAsia="Calibri"/>
        </w:rPr>
        <w:t>, în sud.</w:t>
      </w:r>
    </w:p>
    <w:p w14:paraId="530B6C2C" w14:textId="77777777" w:rsidR="00FC026B" w:rsidRPr="00C56257" w:rsidRDefault="00FC026B" w:rsidP="00FC026B">
      <w:pPr>
        <w:ind w:firstLine="720"/>
        <w:jc w:val="both"/>
        <w:rPr>
          <w:rFonts w:eastAsia="Calibri"/>
        </w:rPr>
      </w:pPr>
      <w:r w:rsidRPr="00C56257">
        <w:rPr>
          <w:rFonts w:eastAsia="Calibri"/>
          <w:b/>
          <w:i/>
        </w:rPr>
        <w:t>1110-4. Nisipuri bine calibrate</w:t>
      </w:r>
      <w:r w:rsidRPr="00C56257">
        <w:rPr>
          <w:rFonts w:eastAsia="Calibri"/>
        </w:rPr>
        <w:t xml:space="preserve">, mai slab reprezentate în nord, unde fundurile mâloase se instalează de la adâncimi relativ mici (5-6 m) și mai bine reprezentate în sud, sunt dispuse în continuarea nisipurilor fine de mică adâncime, de la 3-4 m, până la 20-25 m adâncime. Sunt caracterizate prin prezența a numeroase moluște precum: </w:t>
      </w:r>
      <w:r w:rsidRPr="00C56257">
        <w:rPr>
          <w:rFonts w:eastAsia="Calibri"/>
          <w:i/>
        </w:rPr>
        <w:t>Chamelea gallina</w:t>
      </w:r>
      <w:r w:rsidRPr="00C56257">
        <w:rPr>
          <w:rFonts w:eastAsia="Calibri"/>
        </w:rPr>
        <w:t xml:space="preserve">, </w:t>
      </w:r>
      <w:r w:rsidRPr="00C56257">
        <w:rPr>
          <w:rFonts w:eastAsia="Calibri"/>
          <w:i/>
        </w:rPr>
        <w:t>Donax trunculus</w:t>
      </w:r>
      <w:r w:rsidRPr="00C56257">
        <w:rPr>
          <w:rFonts w:eastAsia="Calibri"/>
        </w:rPr>
        <w:t xml:space="preserve">, </w:t>
      </w:r>
      <w:r w:rsidRPr="00C56257">
        <w:rPr>
          <w:rFonts w:eastAsia="Calibri"/>
          <w:i/>
        </w:rPr>
        <w:t>Cerastoderma glaucum</w:t>
      </w:r>
      <w:r w:rsidRPr="00C56257">
        <w:rPr>
          <w:rFonts w:eastAsia="Calibri"/>
        </w:rPr>
        <w:t xml:space="preserve">, </w:t>
      </w:r>
      <w:r w:rsidRPr="00C56257">
        <w:rPr>
          <w:rFonts w:eastAsia="Calibri"/>
          <w:i/>
        </w:rPr>
        <w:t>Tellina tenuis</w:t>
      </w:r>
      <w:r w:rsidRPr="00C56257">
        <w:rPr>
          <w:rFonts w:eastAsia="Calibri"/>
        </w:rPr>
        <w:t xml:space="preserve">, </w:t>
      </w:r>
      <w:r w:rsidRPr="00C56257">
        <w:rPr>
          <w:rFonts w:eastAsia="Calibri"/>
          <w:i/>
        </w:rPr>
        <w:t>Anadara kagoshimensis</w:t>
      </w:r>
      <w:r w:rsidRPr="00C56257">
        <w:rPr>
          <w:rFonts w:eastAsia="Calibri"/>
        </w:rPr>
        <w:t xml:space="preserve">, </w:t>
      </w:r>
      <w:r w:rsidRPr="00C56257">
        <w:rPr>
          <w:rFonts w:eastAsia="Calibri"/>
          <w:i/>
        </w:rPr>
        <w:t>Cyclope neritea</w:t>
      </w:r>
      <w:r w:rsidRPr="00C56257">
        <w:rPr>
          <w:rFonts w:eastAsia="Calibri"/>
        </w:rPr>
        <w:t xml:space="preserve">, </w:t>
      </w:r>
      <w:r w:rsidRPr="00C56257">
        <w:rPr>
          <w:rFonts w:eastAsia="Calibri"/>
          <w:i/>
        </w:rPr>
        <w:t>Nassarius nitidus</w:t>
      </w:r>
      <w:r w:rsidRPr="00C56257">
        <w:rPr>
          <w:rFonts w:eastAsia="Calibri"/>
        </w:rPr>
        <w:t xml:space="preserve">, crustaceele </w:t>
      </w:r>
      <w:r w:rsidRPr="00C56257">
        <w:rPr>
          <w:rFonts w:eastAsia="Calibri"/>
          <w:i/>
        </w:rPr>
        <w:t>Polybius vernalis</w:t>
      </w:r>
      <w:r w:rsidRPr="00C56257">
        <w:rPr>
          <w:rFonts w:eastAsia="Calibri"/>
        </w:rPr>
        <w:t xml:space="preserve"> și </w:t>
      </w:r>
      <w:r w:rsidRPr="00C56257">
        <w:rPr>
          <w:rFonts w:eastAsia="Calibri"/>
          <w:i/>
        </w:rPr>
        <w:t>Diogenes pugilator</w:t>
      </w:r>
      <w:r w:rsidRPr="00C56257">
        <w:rPr>
          <w:rFonts w:eastAsia="Calibri"/>
        </w:rPr>
        <w:t xml:space="preserve"> și specii de pești precum </w:t>
      </w:r>
      <w:r w:rsidRPr="00C56257">
        <w:rPr>
          <w:rFonts w:eastAsia="Calibri"/>
          <w:i/>
        </w:rPr>
        <w:t>Gymnammodytes cicerelus</w:t>
      </w:r>
      <w:r w:rsidRPr="00C56257">
        <w:rPr>
          <w:rFonts w:eastAsia="Calibri"/>
        </w:rPr>
        <w:t xml:space="preserve">, </w:t>
      </w:r>
      <w:r w:rsidRPr="00C56257">
        <w:rPr>
          <w:rFonts w:eastAsia="Calibri"/>
          <w:i/>
        </w:rPr>
        <w:t>Trachinus draco</w:t>
      </w:r>
      <w:r w:rsidRPr="00C56257">
        <w:rPr>
          <w:rFonts w:eastAsia="Calibri"/>
        </w:rPr>
        <w:t xml:space="preserve">, </w:t>
      </w:r>
      <w:r w:rsidRPr="00C56257">
        <w:rPr>
          <w:rFonts w:eastAsia="Calibri"/>
          <w:i/>
        </w:rPr>
        <w:t>Uranoscopus scaber</w:t>
      </w:r>
      <w:r w:rsidRPr="00C56257">
        <w:rPr>
          <w:rFonts w:eastAsia="Calibri"/>
        </w:rPr>
        <w:t xml:space="preserve">, </w:t>
      </w:r>
      <w:r w:rsidRPr="00C56257">
        <w:rPr>
          <w:rFonts w:eastAsia="Calibri"/>
          <w:i/>
        </w:rPr>
        <w:t>Callionymus</w:t>
      </w:r>
      <w:r w:rsidRPr="00C56257">
        <w:rPr>
          <w:rFonts w:eastAsia="Calibri"/>
        </w:rPr>
        <w:t xml:space="preserve"> spp., </w:t>
      </w:r>
      <w:r w:rsidRPr="00C56257">
        <w:rPr>
          <w:rFonts w:eastAsia="Calibri"/>
          <w:i/>
        </w:rPr>
        <w:t>Pomatoschistus</w:t>
      </w:r>
      <w:r w:rsidRPr="00C56257">
        <w:rPr>
          <w:rFonts w:eastAsia="Calibri"/>
        </w:rPr>
        <w:t xml:space="preserve"> spp., </w:t>
      </w:r>
      <w:r w:rsidRPr="00C56257">
        <w:rPr>
          <w:rFonts w:eastAsia="Calibri"/>
          <w:i/>
        </w:rPr>
        <w:t>Pegusa lascaris</w:t>
      </w:r>
      <w:r w:rsidRPr="00C56257">
        <w:rPr>
          <w:rFonts w:eastAsia="Calibri"/>
        </w:rPr>
        <w:t>.</w:t>
      </w:r>
    </w:p>
    <w:p w14:paraId="7841C6FF" w14:textId="77777777" w:rsidR="00FC026B" w:rsidRPr="00C56257" w:rsidRDefault="00FC026B" w:rsidP="00FC026B">
      <w:pPr>
        <w:ind w:firstLine="720"/>
        <w:jc w:val="both"/>
        <w:rPr>
          <w:rFonts w:eastAsia="Calibri"/>
        </w:rPr>
      </w:pPr>
      <w:r w:rsidRPr="00C56257">
        <w:rPr>
          <w:rFonts w:eastAsia="Calibri"/>
          <w:b/>
          <w:i/>
        </w:rPr>
        <w:t>1110-5. Nisipuri grosiere și pietrișuri mărunte bătute de valuri</w:t>
      </w:r>
      <w:r w:rsidRPr="00C56257">
        <w:rPr>
          <w:rFonts w:eastAsia="Calibri"/>
        </w:rPr>
        <w:t xml:space="preserve"> se întâlnesc în golfurile mici de pe țărmurile stâncoase expuse la acțiunea valurilor, la adâncimi ce nu depășesc câteva zeci de centimetri. Se prezintă sub forma unor plaje submerse foarte înguste, formate din nisip grosier și pietriș provenit din degradarea rocii, remaniate continuu de valuri.</w:t>
      </w:r>
    </w:p>
    <w:p w14:paraId="0E7C1DE0" w14:textId="77777777" w:rsidR="00FC026B" w:rsidRPr="00C56257" w:rsidRDefault="00FC026B" w:rsidP="00FC026B">
      <w:pPr>
        <w:ind w:firstLine="720"/>
        <w:jc w:val="both"/>
        <w:rPr>
          <w:rFonts w:eastAsia="Calibri"/>
        </w:rPr>
      </w:pPr>
      <w:r w:rsidRPr="00C56257">
        <w:rPr>
          <w:rFonts w:eastAsia="Calibri"/>
          <w:b/>
          <w:i/>
        </w:rPr>
        <w:t>1110-6. Galeți infralitorali</w:t>
      </w:r>
      <w:r w:rsidRPr="00C56257">
        <w:rPr>
          <w:rFonts w:eastAsia="Calibri"/>
        </w:rPr>
        <w:t xml:space="preserve"> se întâlnesc pe alocuri, de-a lungul coastelor stâncoase naturale expuse, la adâncimi mici, ce nu depășesc 2,5 m, în zonele cu hidrodinamism foarte ridicat. Habitatul constă în plaje submerse acoperite cu pietre rotunde și aplatizate (galeți), de obicei calcaroase, albe, modelate de valuri. Limita inferioară a acestui tip de habitat corespunde zonei în care forța valurilor devine insuficientă pentru rularea galeților. Interstițiile mari prezente în acest habitat sunt populate de crustacee isopode, amfipode și decapode (crabul </w:t>
      </w:r>
      <w:r w:rsidRPr="00C56257">
        <w:rPr>
          <w:rFonts w:eastAsia="Calibri"/>
          <w:i/>
        </w:rPr>
        <w:t>Xantho poressa</w:t>
      </w:r>
      <w:r w:rsidRPr="00C56257">
        <w:rPr>
          <w:rFonts w:eastAsia="Calibri"/>
        </w:rPr>
        <w:t>).</w:t>
      </w:r>
    </w:p>
    <w:p w14:paraId="4A92C9F4" w14:textId="77777777" w:rsidR="00FC026B" w:rsidRPr="00F100E1" w:rsidRDefault="00FC026B" w:rsidP="00FC026B">
      <w:pPr>
        <w:ind w:firstLine="720"/>
        <w:jc w:val="both"/>
        <w:rPr>
          <w:rFonts w:eastAsia="Calibri"/>
        </w:rPr>
      </w:pPr>
      <w:r w:rsidRPr="00C56257">
        <w:rPr>
          <w:rFonts w:eastAsia="Calibri"/>
          <w:b/>
          <w:i/>
        </w:rPr>
        <w:t>1110-7. „Camca” de la gurile Dunării</w:t>
      </w:r>
      <w:r w:rsidRPr="00C56257">
        <w:rPr>
          <w:rFonts w:eastAsia="Calibri"/>
        </w:rPr>
        <w:t xml:space="preserve"> este reprezentată de un substrat mobil alcătuit din resturi vegetale de origine continentală, formate mai ales din resturi de stuf, cărate și fărâmițate de Dunăre și depuse pe țărm peste nisipurile fine, aluvionare. Acolo unde camca se amestecă cu nisipul, datorită condițiilor hipoxice determinate de descompunerea materialului detritic, se dezvoltă populații de </w:t>
      </w:r>
      <w:r w:rsidRPr="00C56257">
        <w:rPr>
          <w:rFonts w:eastAsia="Calibri"/>
        </w:rPr>
        <w:lastRenderedPageBreak/>
        <w:t>amfipode arenicole detritivore (</w:t>
      </w:r>
      <w:r w:rsidRPr="00C56257">
        <w:rPr>
          <w:rFonts w:eastAsia="Calibri"/>
          <w:i/>
        </w:rPr>
        <w:t>Dikerogammarus villosus</w:t>
      </w:r>
      <w:r w:rsidRPr="00C56257">
        <w:rPr>
          <w:rFonts w:eastAsia="Calibri"/>
        </w:rPr>
        <w:t xml:space="preserve">, </w:t>
      </w:r>
      <w:r w:rsidRPr="00C56257">
        <w:rPr>
          <w:rFonts w:eastAsia="Calibri"/>
          <w:i/>
        </w:rPr>
        <w:t>Pontogammarus maeoticus</w:t>
      </w:r>
      <w:r w:rsidRPr="00C56257">
        <w:rPr>
          <w:rFonts w:eastAsia="Calibri"/>
        </w:rPr>
        <w:t>), precum și o bogată faună de nematode și polichete.</w:t>
      </w:r>
    </w:p>
    <w:p w14:paraId="7C5A7C97" w14:textId="77777777" w:rsidR="00FC026B" w:rsidRPr="00C56257" w:rsidRDefault="00FC026B" w:rsidP="00FC026B">
      <w:pPr>
        <w:ind w:firstLine="720"/>
        <w:jc w:val="both"/>
        <w:rPr>
          <w:rFonts w:eastAsia="Calibri"/>
        </w:rPr>
      </w:pPr>
      <w:r w:rsidRPr="00C56257">
        <w:rPr>
          <w:rFonts w:eastAsia="Calibri"/>
        </w:rPr>
        <w:t>Diversitatea de specii și comunități asociate cu bancurile de nisip sublitorale este determinată de tipul de sedimente și de o varietate de alți factori fizici. Acestea includ locația geografică care reflectă tendințele biogeografice, expunerea relativă a țărmului (de la țărmuri deschise expuse la valuri, la golfuri și estuare protejate) și diferențele de adâncime, turbiditate și salinitate ale apei.</w:t>
      </w:r>
    </w:p>
    <w:p w14:paraId="366A9CB9" w14:textId="77777777" w:rsidR="00FC026B" w:rsidRPr="00C56257" w:rsidRDefault="00FC026B" w:rsidP="00FC026B">
      <w:pPr>
        <w:rPr>
          <w:rFonts w:eastAsia="Calibri"/>
          <w:b/>
        </w:rPr>
      </w:pPr>
    </w:p>
    <w:p w14:paraId="330B4664" w14:textId="77777777" w:rsidR="00FC026B" w:rsidRPr="00C56257" w:rsidRDefault="00FC026B" w:rsidP="00FC026B">
      <w:pPr>
        <w:rPr>
          <w:rFonts w:eastAsia="Calibri"/>
          <w:b/>
        </w:rPr>
      </w:pPr>
      <w:r w:rsidRPr="00C56257">
        <w:rPr>
          <w:rFonts w:eastAsia="Calibri"/>
          <w:b/>
        </w:rPr>
        <w:t xml:space="preserve">Metode de prelevare/inventariere, indicatori monitorizați </w:t>
      </w:r>
    </w:p>
    <w:p w14:paraId="5298345B" w14:textId="77777777" w:rsidR="00FC026B" w:rsidRPr="00C56257" w:rsidRDefault="00FC026B" w:rsidP="00FC026B">
      <w:pPr>
        <w:ind w:firstLine="720"/>
        <w:jc w:val="both"/>
        <w:rPr>
          <w:rFonts w:eastAsia="Calibri"/>
          <w:lang w:val="it-IT"/>
        </w:rPr>
      </w:pPr>
      <w:r w:rsidRPr="00C56257">
        <w:rPr>
          <w:rFonts w:eastAsia="Calibri"/>
          <w:lang w:val="it-IT"/>
        </w:rPr>
        <w:t>O colectare corectă a probelor presupune prelevarea întregului aparat vegetal cu ajutorul unui instrument de răzuit în vederea unei corecte identificări a speciei (părțile bazale constituie criterii de determinare, iar deterioarea acestora sau absența lor îngreunează sau anulează analiza calitativă a probelor). Un cadru metalic cu latura de 20 x 20 cm se va utiliza pentru prelevare, care asigură și o corectă estimare ulterioară a biomasei umede (valoarea obținută se raportează la metru pătrat). Ramele se utiliz</w:t>
      </w:r>
      <w:r>
        <w:rPr>
          <w:rFonts w:eastAsia="Calibri"/>
          <w:lang w:val="it-IT"/>
        </w:rPr>
        <w:t>ează</w:t>
      </w:r>
      <w:r w:rsidRPr="00C56257">
        <w:rPr>
          <w:rFonts w:eastAsia="Calibri"/>
          <w:lang w:val="it-IT"/>
        </w:rPr>
        <w:t xml:space="preserve"> în zonele cu diversitate și abundență ridicată a speciilor și se recomandă </w:t>
      </w:r>
      <w:r>
        <w:rPr>
          <w:rFonts w:eastAsia="Calibri"/>
          <w:lang w:val="it-IT"/>
        </w:rPr>
        <w:t>să</w:t>
      </w:r>
      <w:r w:rsidRPr="00C56257">
        <w:rPr>
          <w:rFonts w:eastAsia="Calibri"/>
          <w:lang w:val="it-IT"/>
        </w:rPr>
        <w:t xml:space="preserve"> fi</w:t>
      </w:r>
      <w:r>
        <w:rPr>
          <w:rFonts w:eastAsia="Calibri"/>
          <w:lang w:val="it-IT"/>
        </w:rPr>
        <w:t>e</w:t>
      </w:r>
      <w:r w:rsidRPr="00C56257">
        <w:rPr>
          <w:rFonts w:eastAsia="Calibri"/>
          <w:lang w:val="it-IT"/>
        </w:rPr>
        <w:t xml:space="preserve"> folosite în condiții de mare calmă pentru a evita pierderea probelor proaspăt colectate. De asemenea, se va folosi o cameră foto subacvatică pentru a filma și fotografia fitocenozele analizate și a estima gradul de acoperire al substratului acolo unde este posibil. În ceea ce privește specia cheie </w:t>
      </w:r>
      <w:r w:rsidRPr="00C56257">
        <w:rPr>
          <w:rFonts w:eastAsia="Calibri"/>
          <w:i/>
          <w:lang w:val="it-IT"/>
        </w:rPr>
        <w:t>Zostera noltei,</w:t>
      </w:r>
      <w:r w:rsidRPr="00C56257">
        <w:rPr>
          <w:rFonts w:eastAsia="Calibri"/>
          <w:lang w:val="it-IT"/>
        </w:rPr>
        <w:t xml:space="preserve"> se va colecta câte 1 probă/adâncime, probe care ulterior vor fi supuse analizei calitative și cantitative. Intervalul de adâncime va fi 0 - 3 m, cunoscându-se că aceasta este zona de maximă dezvoltare a fanerogamei marine </w:t>
      </w:r>
      <w:r w:rsidRPr="00C56257">
        <w:rPr>
          <w:rFonts w:eastAsia="Calibri"/>
          <w:i/>
          <w:lang w:val="it-IT"/>
        </w:rPr>
        <w:t xml:space="preserve">Zostera noltei. </w:t>
      </w:r>
      <w:r w:rsidRPr="00C56257">
        <w:rPr>
          <w:rFonts w:eastAsia="Calibri"/>
          <w:lang w:val="it-IT"/>
        </w:rPr>
        <w:t>Biomasa umedă se calcul</w:t>
      </w:r>
      <w:r>
        <w:rPr>
          <w:rFonts w:eastAsia="Calibri"/>
          <w:lang w:val="it-IT"/>
        </w:rPr>
        <w:t>ează</w:t>
      </w:r>
      <w:r w:rsidRPr="00C56257">
        <w:rPr>
          <w:rFonts w:eastAsia="Calibri"/>
          <w:lang w:val="it-IT"/>
        </w:rPr>
        <w:t xml:space="preserve"> după spălarea probelor în vederea înlăturării organismelor asociate și a excesului de apă, pentru a evita influențarea valorii finale. De asemenea, speciile epifite </w:t>
      </w:r>
      <w:r>
        <w:rPr>
          <w:rFonts w:eastAsia="Calibri"/>
          <w:lang w:val="it-IT"/>
        </w:rPr>
        <w:t>se</w:t>
      </w:r>
      <w:r w:rsidRPr="00C56257">
        <w:rPr>
          <w:rFonts w:eastAsia="Calibri"/>
          <w:lang w:val="it-IT"/>
        </w:rPr>
        <w:t xml:space="preserve"> înlatur</w:t>
      </w:r>
      <w:r>
        <w:rPr>
          <w:rFonts w:eastAsia="Calibri"/>
          <w:lang w:val="it-IT"/>
        </w:rPr>
        <w:t>ă</w:t>
      </w:r>
      <w:r w:rsidRPr="00C56257">
        <w:rPr>
          <w:rFonts w:eastAsia="Calibri"/>
          <w:lang w:val="it-IT"/>
        </w:rPr>
        <w:t xml:space="preserve"> manual de pe talul gazdă și se cânt</w:t>
      </w:r>
      <w:r>
        <w:rPr>
          <w:rFonts w:eastAsia="Calibri"/>
          <w:lang w:val="it-IT"/>
        </w:rPr>
        <w:t>ăresc</w:t>
      </w:r>
      <w:r w:rsidRPr="00C56257">
        <w:rPr>
          <w:rFonts w:eastAsia="Calibri"/>
          <w:lang w:val="it-IT"/>
        </w:rPr>
        <w:t xml:space="preserve"> separat. După cântărire, se trece la numărarea exemplarelor, valoarea obținută estimându-se la metru pătrat.</w:t>
      </w:r>
    </w:p>
    <w:p w14:paraId="341D7295" w14:textId="77777777" w:rsidR="00FC026B" w:rsidRPr="00C56257" w:rsidRDefault="00FC026B" w:rsidP="00FC026B">
      <w:pPr>
        <w:jc w:val="both"/>
        <w:rPr>
          <w:rFonts w:eastAsia="Calibri"/>
          <w:lang w:val="it-IT"/>
        </w:rPr>
      </w:pPr>
      <w:r w:rsidRPr="00C56257">
        <w:rPr>
          <w:rFonts w:eastAsia="Calibri"/>
          <w:lang w:val="it-IT"/>
        </w:rPr>
        <w:t xml:space="preserve">În cazul speciei perene </w:t>
      </w:r>
      <w:r w:rsidRPr="00C56257">
        <w:rPr>
          <w:rFonts w:eastAsia="Calibri"/>
          <w:i/>
          <w:lang w:val="it-IT"/>
        </w:rPr>
        <w:t>Zostera noltei,</w:t>
      </w:r>
      <w:r w:rsidRPr="00C56257">
        <w:rPr>
          <w:rFonts w:eastAsia="Calibri"/>
          <w:lang w:val="it-IT"/>
        </w:rPr>
        <w:t xml:space="preserve"> indicatorii monitorizați </w:t>
      </w:r>
      <w:r>
        <w:rPr>
          <w:rFonts w:eastAsia="Calibri"/>
          <w:lang w:val="it-IT"/>
        </w:rPr>
        <w:t>sunt</w:t>
      </w:r>
      <w:r w:rsidRPr="00C56257">
        <w:rPr>
          <w:rFonts w:eastAsia="Calibri"/>
          <w:lang w:val="it-IT"/>
        </w:rPr>
        <w:t xml:space="preserve">: </w:t>
      </w:r>
    </w:p>
    <w:p w14:paraId="68C18AB4" w14:textId="77777777" w:rsidR="00FC026B" w:rsidRPr="00C56257" w:rsidRDefault="00FC026B" w:rsidP="009E63E5">
      <w:pPr>
        <w:numPr>
          <w:ilvl w:val="0"/>
          <w:numId w:val="169"/>
        </w:numPr>
        <w:ind w:left="567" w:firstLine="0"/>
        <w:contextualSpacing/>
        <w:jc w:val="both"/>
        <w:rPr>
          <w:rFonts w:eastAsia="Calibri"/>
          <w:lang w:val="it-IT"/>
        </w:rPr>
      </w:pPr>
      <w:r w:rsidRPr="00C56257">
        <w:rPr>
          <w:rFonts w:eastAsia="Calibri"/>
          <w:lang w:val="it-IT"/>
        </w:rPr>
        <w:t xml:space="preserve"> biomasa umedă totală a speciei-gazdă și biomasa epifitelor (valori raportate ulterior la metru pătrat)</w:t>
      </w:r>
    </w:p>
    <w:p w14:paraId="63F30DA8" w14:textId="77777777" w:rsidR="00FC026B" w:rsidRPr="00C56257" w:rsidRDefault="00FC026B" w:rsidP="009E63E5">
      <w:pPr>
        <w:numPr>
          <w:ilvl w:val="0"/>
          <w:numId w:val="169"/>
        </w:numPr>
        <w:ind w:left="567" w:firstLine="0"/>
        <w:contextualSpacing/>
        <w:jc w:val="both"/>
        <w:rPr>
          <w:rFonts w:eastAsia="Calibri"/>
          <w:lang w:val="it-IT"/>
        </w:rPr>
      </w:pPr>
      <w:r w:rsidRPr="00C56257">
        <w:rPr>
          <w:rFonts w:eastAsia="Calibri"/>
          <w:lang w:val="it-IT"/>
        </w:rPr>
        <w:t xml:space="preserve"> nr. exemplare/m</w:t>
      </w:r>
      <w:r w:rsidRPr="00C56257">
        <w:rPr>
          <w:rFonts w:eastAsia="Calibri"/>
          <w:vertAlign w:val="superscript"/>
          <w:lang w:val="it-IT"/>
        </w:rPr>
        <w:t xml:space="preserve">2 </w:t>
      </w:r>
      <w:r w:rsidRPr="00C56257">
        <w:rPr>
          <w:rFonts w:eastAsia="Calibri"/>
          <w:lang w:val="it-IT"/>
        </w:rPr>
        <w:t>(densitatea speciei)</w:t>
      </w:r>
    </w:p>
    <w:p w14:paraId="7E5FBFF1" w14:textId="77777777" w:rsidR="00FC026B" w:rsidRPr="00C56257" w:rsidRDefault="00FC026B" w:rsidP="009E63E5">
      <w:pPr>
        <w:numPr>
          <w:ilvl w:val="0"/>
          <w:numId w:val="169"/>
        </w:numPr>
        <w:ind w:left="567" w:firstLine="0"/>
        <w:contextualSpacing/>
        <w:jc w:val="both"/>
        <w:rPr>
          <w:rFonts w:eastAsia="Calibri"/>
          <w:lang w:val="it-IT"/>
        </w:rPr>
      </w:pPr>
      <w:r w:rsidRPr="00C56257">
        <w:rPr>
          <w:rFonts w:eastAsia="Calibri"/>
          <w:lang w:val="it-IT"/>
        </w:rPr>
        <w:t xml:space="preserve"> raportul biomasă foliară/rizomi</w:t>
      </w:r>
    </w:p>
    <w:p w14:paraId="3A537F8E" w14:textId="77777777" w:rsidR="00FC026B" w:rsidRPr="00C56257" w:rsidRDefault="00FC026B" w:rsidP="009E63E5">
      <w:pPr>
        <w:numPr>
          <w:ilvl w:val="0"/>
          <w:numId w:val="169"/>
        </w:numPr>
        <w:ind w:left="567" w:firstLine="0"/>
        <w:contextualSpacing/>
        <w:jc w:val="both"/>
        <w:rPr>
          <w:rFonts w:eastAsia="Calibri"/>
          <w:lang w:val="it-IT"/>
        </w:rPr>
      </w:pPr>
      <w:r w:rsidRPr="00C56257">
        <w:rPr>
          <w:rFonts w:eastAsia="Calibri"/>
          <w:lang w:val="it-IT"/>
        </w:rPr>
        <w:t xml:space="preserve"> lungime frunze</w:t>
      </w:r>
    </w:p>
    <w:p w14:paraId="30513FEE" w14:textId="77777777" w:rsidR="00FC026B" w:rsidRPr="00C56257" w:rsidRDefault="00FC026B" w:rsidP="009E63E5">
      <w:pPr>
        <w:numPr>
          <w:ilvl w:val="0"/>
          <w:numId w:val="169"/>
        </w:numPr>
        <w:ind w:left="567" w:firstLine="0"/>
        <w:contextualSpacing/>
        <w:jc w:val="both"/>
        <w:rPr>
          <w:rFonts w:eastAsia="Calibri"/>
          <w:lang w:val="it-IT"/>
        </w:rPr>
      </w:pPr>
      <w:r w:rsidRPr="00C56257">
        <w:rPr>
          <w:rFonts w:eastAsia="Calibri"/>
          <w:lang w:val="it-IT"/>
        </w:rPr>
        <w:t xml:space="preserve"> aplicare indicatori ecologici care vor stabili starea ecologică a subtipului de habitat, ca parte integrantă în evaluarea finală a habitatului.</w:t>
      </w:r>
    </w:p>
    <w:p w14:paraId="380E6308" w14:textId="77777777" w:rsidR="00FC026B" w:rsidRPr="00C56257" w:rsidRDefault="00FC026B" w:rsidP="00FC026B">
      <w:pPr>
        <w:ind w:firstLine="720"/>
        <w:jc w:val="both"/>
        <w:rPr>
          <w:rFonts w:eastAsia="Calibri"/>
        </w:rPr>
      </w:pPr>
      <w:r w:rsidRPr="00C56257">
        <w:rPr>
          <w:rFonts w:eastAsia="Calibri"/>
        </w:rPr>
        <w:t>În cazul zoobentosului, se monitoriz</w:t>
      </w:r>
      <w:r>
        <w:rPr>
          <w:rFonts w:eastAsia="Calibri"/>
        </w:rPr>
        <w:t>ează</w:t>
      </w:r>
      <w:r w:rsidRPr="00C56257">
        <w:rPr>
          <w:rFonts w:eastAsia="Calibri"/>
        </w:rPr>
        <w:t xml:space="preserve"> densitatea și biomasa speciilor, pe baza cărora se calcul</w:t>
      </w:r>
      <w:r>
        <w:rPr>
          <w:rFonts w:eastAsia="Calibri"/>
        </w:rPr>
        <w:t>ează</w:t>
      </w:r>
      <w:r w:rsidRPr="00C56257">
        <w:rPr>
          <w:rFonts w:eastAsia="Calibri"/>
        </w:rPr>
        <w:t xml:space="preserve"> diferiți indici ecologici: indicele de diversitate Shanon-Wiener, echitabilitatea Pielou, indicele multimetric M-AMBI*(n), utilizat pentru evaluarea stării ecologice a habitatelor bentale.  </w:t>
      </w:r>
    </w:p>
    <w:p w14:paraId="1AF9EE05" w14:textId="77777777" w:rsidR="00FC026B" w:rsidRPr="00C56257" w:rsidRDefault="00FC026B" w:rsidP="00FC026B">
      <w:pPr>
        <w:ind w:firstLine="720"/>
        <w:jc w:val="both"/>
        <w:rPr>
          <w:rFonts w:eastAsia="Calibri"/>
        </w:rPr>
      </w:pPr>
      <w:r w:rsidRPr="00C56257">
        <w:rPr>
          <w:rFonts w:eastAsia="Calibri"/>
          <w:b/>
        </w:rPr>
        <w:t>M-AMBI</w:t>
      </w:r>
      <w:r w:rsidRPr="00C56257">
        <w:rPr>
          <w:rFonts w:eastAsia="Calibri"/>
        </w:rPr>
        <w:t xml:space="preserve"> (Muxika </w:t>
      </w:r>
      <w:r w:rsidRPr="00C56257">
        <w:rPr>
          <w:rFonts w:eastAsia="Calibri"/>
          <w:i/>
        </w:rPr>
        <w:t>et al.</w:t>
      </w:r>
      <w:r w:rsidRPr="00C56257">
        <w:rPr>
          <w:rFonts w:eastAsia="Calibri"/>
        </w:rPr>
        <w:t xml:space="preserve">, 2007) este un indice multimetric pentru evaluarea calității ecologice a apelor marine și tranzitorii pe baza macronevertebratelor bentale. Acesta integrează indicele AMBI, un indice biotic bazat pe sensibilitatea / toleranța speciilor la poluarea organică  cu diversitatea și bogăția în specii (numărul de specii). </w:t>
      </w:r>
    </w:p>
    <w:p w14:paraId="012CED91" w14:textId="77777777" w:rsidR="00FC026B" w:rsidRPr="00C56257" w:rsidRDefault="00FC026B" w:rsidP="00FC026B">
      <w:pPr>
        <w:ind w:firstLine="720"/>
        <w:jc w:val="both"/>
        <w:rPr>
          <w:rFonts w:eastAsia="Calibri"/>
        </w:rPr>
      </w:pPr>
      <w:r w:rsidRPr="00C56257">
        <w:rPr>
          <w:rFonts w:eastAsia="Calibri"/>
          <w:b/>
        </w:rPr>
        <w:t>M-AMBI*</w:t>
      </w:r>
      <w:r w:rsidRPr="00C56257">
        <w:rPr>
          <w:rFonts w:eastAsia="Calibri"/>
          <w:b/>
          <w:vertAlign w:val="subscript"/>
        </w:rPr>
        <w:t>(n)</w:t>
      </w:r>
      <w:r w:rsidRPr="00C56257">
        <w:rPr>
          <w:rFonts w:eastAsia="Calibri"/>
        </w:rPr>
        <w:t xml:space="preserve"> (Sigovini et al., 2013) reprezintă o modificare simplificată a metodei originale M-AMBI. În loc să utilizeze analiza factorială, M-AMBI*</w:t>
      </w:r>
      <w:r w:rsidRPr="00C56257">
        <w:rPr>
          <w:rFonts w:eastAsia="Calibri"/>
          <w:vertAlign w:val="subscript"/>
        </w:rPr>
        <w:t>(n)</w:t>
      </w:r>
      <w:r w:rsidRPr="00C56257">
        <w:rPr>
          <w:rFonts w:eastAsia="Calibri"/>
        </w:rPr>
        <w:t xml:space="preserve"> combină cei trei parametri ca medie aritmetică a valorilor lor normalizate. Prin înlocuirea standardizării parametrilor cu normalizarea valorilor lor, indicele se transformă într-o simplă medie, devenind astfel independent de numărul de probe prelevate și analizate. </w:t>
      </w:r>
    </w:p>
    <w:p w14:paraId="33A28C8C" w14:textId="77777777" w:rsidR="00FC026B" w:rsidRPr="00C56257" w:rsidRDefault="00FC026B" w:rsidP="00FC026B">
      <w:pPr>
        <w:ind w:firstLine="720"/>
        <w:jc w:val="both"/>
        <w:rPr>
          <w:rFonts w:eastAsia="Calibri"/>
        </w:rPr>
      </w:pPr>
    </w:p>
    <w:p w14:paraId="7DF6AB87" w14:textId="77777777" w:rsidR="00FC026B" w:rsidRPr="00C56257" w:rsidRDefault="00FC026B" w:rsidP="00FC026B">
      <w:pPr>
        <w:ind w:firstLine="720"/>
        <w:rPr>
          <w:rFonts w:eastAsia="Calibri"/>
          <w:b/>
        </w:rPr>
      </w:pPr>
      <w:r w:rsidRPr="00C56257">
        <w:rPr>
          <w:rFonts w:eastAsia="Calibri"/>
          <w:b/>
        </w:rPr>
        <w:t>Planul de monitorizare a habitatului marin 1110 și a subtipurilor sale</w:t>
      </w:r>
    </w:p>
    <w:p w14:paraId="7B1F491F" w14:textId="77777777" w:rsidR="00FC026B" w:rsidRPr="00C56257" w:rsidRDefault="00FC026B" w:rsidP="00FC026B">
      <w:pPr>
        <w:ind w:firstLine="720"/>
        <w:jc w:val="both"/>
        <w:rPr>
          <w:lang w:eastAsia="ro-RO"/>
        </w:rPr>
      </w:pPr>
      <w:r w:rsidRPr="00C56257">
        <w:rPr>
          <w:lang w:eastAsia="ro-RO"/>
        </w:rPr>
        <w:t xml:space="preserve">Bancurile de nisip sublitorale prezintă o serie de probleme logistice și metodologice pentru un studiu de monitorizare. Este important să se stabilească întinderea întregului tip de habitat pentru a </w:t>
      </w:r>
      <w:r w:rsidRPr="00C56257">
        <w:rPr>
          <w:lang w:eastAsia="ro-RO"/>
        </w:rPr>
        <w:lastRenderedPageBreak/>
        <w:t>planifica o strategie de monitorizare eficientă. Adesea, bancurile de nisip formează un mozaic de petice, care sunt distribuite atât în întreaga arie specială de conservare, cât și în afara acesteia. În astfel de circumstanțe, ar putea fi necesar să se elaboreze o strategie de monitorizare stratificată, bazată pe un inventar inițial al resurselor întregului banc de nisip.</w:t>
      </w:r>
    </w:p>
    <w:p w14:paraId="7A452238" w14:textId="77777777" w:rsidR="00FC026B" w:rsidRPr="00C56257" w:rsidRDefault="00FC026B" w:rsidP="00FC026B">
      <w:pPr>
        <w:ind w:firstLine="720"/>
        <w:jc w:val="both"/>
        <w:rPr>
          <w:lang w:eastAsia="ro-RO"/>
        </w:rPr>
      </w:pPr>
      <w:r w:rsidRPr="00C56257">
        <w:rPr>
          <w:lang w:eastAsia="ro-RO"/>
        </w:rPr>
        <w:t xml:space="preserve">Bancurile de nisip individuale </w:t>
      </w:r>
      <w:r>
        <w:rPr>
          <w:lang w:eastAsia="ro-RO"/>
        </w:rPr>
        <w:t>se</w:t>
      </w:r>
      <w:r w:rsidRPr="00C56257">
        <w:rPr>
          <w:lang w:eastAsia="ro-RO"/>
        </w:rPr>
        <w:t xml:space="preserve"> clasific</w:t>
      </w:r>
      <w:r>
        <w:rPr>
          <w:lang w:eastAsia="ro-RO"/>
        </w:rPr>
        <w:t>ă</w:t>
      </w:r>
      <w:r w:rsidRPr="00C56257">
        <w:rPr>
          <w:lang w:eastAsia="ro-RO"/>
        </w:rPr>
        <w:t xml:space="preserve"> - de exemplu, în funcție de structura topografică sau de tipul de sedimente - pentru a stratifica un program de monitorizare. Un astfel de program ar trebui să asigure că toate categoriile sunt eșantionate. Pentru categoriile individuale (un singur banc de nisip), locațiile de eșantionare trebuie să fie răspândite pe întreaga suprafață, pentru a asigura o examinare adecvată a variației spațiale. Nu se poate presupune că o singură stație de prelevare a probelor este reprezentativă pentru întregul habitat. O strategie de prelevare de probe trebuie să constea din mai multe stații, cu doar câteva replici per stație (chiar și una singură), atunci când se iau în considerare atributele referitoare la descrierea biologică.</w:t>
      </w:r>
    </w:p>
    <w:p w14:paraId="493EB734" w14:textId="77777777" w:rsidR="00FC026B" w:rsidRPr="00C56257" w:rsidRDefault="00FC026B" w:rsidP="00FC026B">
      <w:pPr>
        <w:ind w:firstLine="720"/>
        <w:jc w:val="both"/>
        <w:rPr>
          <w:rFonts w:eastAsia="Calibri"/>
        </w:rPr>
      </w:pPr>
      <w:r w:rsidRPr="00C56257">
        <w:rPr>
          <w:rFonts w:eastAsia="Calibri"/>
        </w:rPr>
        <w:t>Din păcate, cartografierea întinderii bancurilor de nisip este dificilă, în special în zonele de mică adâncime în care accesul cu barca este anevoios și claritatea apei este prea mică pentru a utiliza tehnici de teledetecție, bazate pe radiații electromagnetice spectrale. În astfel de condiții, este necesar să se utilizeze o tehnică de eșantionare cu caroiaj la nivel de hartă.</w:t>
      </w:r>
      <w:r w:rsidRPr="00C56257">
        <w:rPr>
          <w:rFonts w:eastAsia="Calibri"/>
          <w:lang w:val="en-US"/>
        </w:rPr>
        <w:t xml:space="preserve"> </w:t>
      </w:r>
      <w:r w:rsidRPr="00C56257">
        <w:rPr>
          <w:rFonts w:eastAsia="Calibri"/>
        </w:rPr>
        <w:t>Condițiile predominante de hidrodinamism modelează structura topografică a bancurilor de nisip.</w:t>
      </w:r>
    </w:p>
    <w:p w14:paraId="06071F49" w14:textId="77777777" w:rsidR="00FC026B" w:rsidRPr="00C56257" w:rsidRDefault="00FC026B" w:rsidP="00FC026B">
      <w:pPr>
        <w:ind w:firstLine="720"/>
        <w:jc w:val="both"/>
        <w:rPr>
          <w:rFonts w:eastAsia="Calibri"/>
        </w:rPr>
      </w:pPr>
      <w:r w:rsidRPr="00C56257">
        <w:rPr>
          <w:rFonts w:eastAsia="Calibri"/>
          <w:b/>
          <w:i/>
        </w:rPr>
        <w:t>Principalele presiuni şi amenințări</w:t>
      </w:r>
      <w:r w:rsidRPr="00C56257">
        <w:rPr>
          <w:rFonts w:eastAsia="Calibri"/>
        </w:rPr>
        <w:t xml:space="preserve"> identificate până în prezent, pe baza analizei activităţilor desfăşurate în zonă şi a evoluţiei factorilor climatici, sunt: extracția nisipului, instalarea conductelor pentru transportul gazelor naturale și petrolului, transport maritim, amenajarea și întreținerea plajelor pentru turism și recreere, inclusiv înnisiparea și curățarea acestora, realizarea construcțiilor hidrotehnice cu rol în protecția țărmului, poluarea apelor marine din diverse surse (marine și costiere), modificări ale curenților marini, acumularea de material organic în sedimente, procese naturale de eutrofizare și acidifiere, precum și modificări în distribuția speciilor datorită schimbărilor climatice. Ca urmare, </w:t>
      </w:r>
      <w:r w:rsidRPr="00C56257">
        <w:rPr>
          <w:rFonts w:eastAsia="Calibri"/>
          <w:b/>
          <w:i/>
        </w:rPr>
        <w:t>măsurile de conserva</w:t>
      </w:r>
      <w:r w:rsidRPr="00C56257">
        <w:rPr>
          <w:rFonts w:eastAsia="Calibri"/>
          <w:b/>
          <w:i/>
          <w:iCs/>
        </w:rPr>
        <w:t>re</w:t>
      </w:r>
      <w:r w:rsidRPr="00C56257">
        <w:rPr>
          <w:rFonts w:eastAsia="Calibri"/>
          <w:b/>
        </w:rPr>
        <w:t xml:space="preserve"> </w:t>
      </w:r>
      <w:r w:rsidRPr="00C56257">
        <w:rPr>
          <w:rFonts w:eastAsia="Calibri"/>
        </w:rPr>
        <w:t>se concentrează pe:</w:t>
      </w:r>
      <w:r w:rsidRPr="00C56257">
        <w:rPr>
          <w:rFonts w:eastAsia="Calibri"/>
          <w:lang w:val="en-US"/>
        </w:rPr>
        <w:t xml:space="preserve"> </w:t>
      </w:r>
      <w:r w:rsidRPr="00C56257">
        <w:rPr>
          <w:rFonts w:eastAsia="Calibri"/>
        </w:rPr>
        <w:t>gestionarea poluării marine rezultată din exploatarea resurselor, producerea de energie, transportul maritim, activitățile industriale și comerciale, reducerea contaminării cu deșeuri marine și reducerea impactului modificărilor hidrologice, și gestionarea corespunzătoare a habitatelor pentru încetinirea, oprirea sau inversarea proceselor naturale.</w:t>
      </w:r>
    </w:p>
    <w:p w14:paraId="5A47DB61" w14:textId="77777777" w:rsidR="00FC026B" w:rsidRPr="00C56257" w:rsidRDefault="00FC026B" w:rsidP="00FC026B">
      <w:pPr>
        <w:ind w:firstLine="720"/>
        <w:jc w:val="both"/>
        <w:rPr>
          <w:rFonts w:eastAsia="Calibri"/>
        </w:rPr>
      </w:pPr>
      <w:r w:rsidRPr="00C56257">
        <w:rPr>
          <w:rFonts w:eastAsia="Calibri"/>
        </w:rPr>
        <w:t xml:space="preserve">Monitorizarea </w:t>
      </w:r>
      <w:r w:rsidRPr="00C56257">
        <w:rPr>
          <w:rFonts w:eastAsia="Calibri"/>
          <w:b/>
          <w:i/>
        </w:rPr>
        <w:t>habitatului *1110</w:t>
      </w:r>
      <w:r w:rsidRPr="00C56257">
        <w:rPr>
          <w:rFonts w:eastAsia="Calibri"/>
        </w:rPr>
        <w:t xml:space="preserve"> identificat în toate siturile NATURA 2000 din apele marine românești presupune mai multe tipuri de activități realizate pe teren şi în laborator: estimarea suprafeței habitatului şi</w:t>
      </w:r>
      <w:r w:rsidRPr="00C56257">
        <w:rPr>
          <w:rFonts w:eastAsia="Calibri"/>
          <w:lang w:val="en-US"/>
        </w:rPr>
        <w:t xml:space="preserve"> î</w:t>
      </w:r>
      <w:r w:rsidRPr="00C56257">
        <w:rPr>
          <w:rFonts w:eastAsia="Calibri"/>
        </w:rPr>
        <w:t xml:space="preserve">ntinderea biotopurilor, studiul caracteristicilor fizice şi chimice ale acestora, evaluarea structurii și a funcțiilor specifice habitatului, estimarea calității habitatului și a stării lui de conservare actuale, a tendințelor de evoluție ale habitatului pe termen scurt și lung, a principalelor presiuni și amenințări asupra acestui tip de habitat. </w:t>
      </w:r>
    </w:p>
    <w:p w14:paraId="11B80A5B" w14:textId="77777777" w:rsidR="00FC026B" w:rsidRPr="00C56257" w:rsidRDefault="00FC026B" w:rsidP="00FC026B">
      <w:pPr>
        <w:ind w:firstLine="720"/>
        <w:jc w:val="both"/>
        <w:rPr>
          <w:rFonts w:eastAsia="Calibri"/>
        </w:rPr>
      </w:pPr>
      <w:r w:rsidRPr="00C56257">
        <w:rPr>
          <w:rFonts w:eastAsia="Calibri"/>
        </w:rPr>
        <w:t xml:space="preserve">Calitatea habitatului (bună, moderată, neadecvată sau necunoscută) </w:t>
      </w:r>
      <w:r>
        <w:rPr>
          <w:rFonts w:eastAsia="Calibri"/>
        </w:rPr>
        <w:t>este</w:t>
      </w:r>
      <w:r w:rsidRPr="00C56257">
        <w:rPr>
          <w:rFonts w:eastAsia="Calibri"/>
        </w:rPr>
        <w:t xml:space="preserve"> determinată în funcție de caracteristicile fizice şi chimice ale biotopului şi de complexitatea structurii şi funcţiilor habitatului. Tendințele de evoluție ale habitatului pe termen scurt și lung </w:t>
      </w:r>
      <w:r>
        <w:rPr>
          <w:rFonts w:eastAsia="Calibri"/>
        </w:rPr>
        <w:t>sunt</w:t>
      </w:r>
      <w:r w:rsidRPr="00C56257">
        <w:rPr>
          <w:rFonts w:eastAsia="Calibri"/>
        </w:rPr>
        <w:t xml:space="preserve"> estimate în funcție de calitatea habitatului, de intensitatea factorilor de risc (naturali sau antropici) și a presiunii antropice care ar putea amenința viabilitatea pe termen lung a habitatului. În aprecierea tendințelor de evoluție a habitatului, vor fi luate în considerare în primul rând observațiile de teren, dar și datele din literatura de specialitate, care pot oferi indicații asupra situației și a dinamicii habitatului.  În cazul schimbărilor cuantificabile, </w:t>
      </w:r>
      <w:r>
        <w:rPr>
          <w:rFonts w:eastAsia="Calibri"/>
        </w:rPr>
        <w:t>se</w:t>
      </w:r>
      <w:r w:rsidRPr="00C56257">
        <w:rPr>
          <w:rFonts w:eastAsia="Calibri"/>
        </w:rPr>
        <w:t xml:space="preserve"> ofer</w:t>
      </w:r>
      <w:r>
        <w:rPr>
          <w:rFonts w:eastAsia="Calibri"/>
        </w:rPr>
        <w:t>ă</w:t>
      </w:r>
      <w:r w:rsidRPr="00C56257">
        <w:rPr>
          <w:rFonts w:eastAsia="Calibri"/>
        </w:rPr>
        <w:t xml:space="preserve"> precizări privind acuratețea datelor folosite pentru estimare.</w:t>
      </w:r>
    </w:p>
    <w:p w14:paraId="5C721109" w14:textId="77777777" w:rsidR="00FC026B" w:rsidRPr="00C56257" w:rsidRDefault="00FC026B" w:rsidP="00FC026B">
      <w:pPr>
        <w:ind w:firstLine="720"/>
        <w:jc w:val="both"/>
        <w:rPr>
          <w:rFonts w:eastAsia="Calibri"/>
        </w:rPr>
      </w:pPr>
    </w:p>
    <w:p w14:paraId="1F046727" w14:textId="77777777" w:rsidR="00FC026B" w:rsidRPr="00C56257" w:rsidRDefault="00FC026B" w:rsidP="00FC026B">
      <w:pPr>
        <w:jc w:val="center"/>
        <w:rPr>
          <w:rFonts w:eastAsia="Calibri"/>
        </w:rPr>
      </w:pPr>
      <w:r w:rsidRPr="00C56257">
        <w:rPr>
          <w:rFonts w:eastAsia="Calibri"/>
        </w:rPr>
        <w:t xml:space="preserve">Tabelul </w:t>
      </w:r>
      <w:r>
        <w:rPr>
          <w:rFonts w:eastAsia="Calibri"/>
        </w:rPr>
        <w:t>1.7</w:t>
      </w:r>
      <w:r w:rsidRPr="00C56257">
        <w:rPr>
          <w:rFonts w:eastAsia="Calibri"/>
        </w:rPr>
        <w:t>: Tehnici pentru măsurarea habitatului 1110.</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3402"/>
        <w:gridCol w:w="4394"/>
      </w:tblGrid>
      <w:tr w:rsidR="00FC026B" w:rsidRPr="00C56257" w14:paraId="56211E3E" w14:textId="77777777" w:rsidTr="00993B86">
        <w:tc>
          <w:tcPr>
            <w:tcW w:w="2660" w:type="dxa"/>
            <w:tcBorders>
              <w:top w:val="single" w:sz="4" w:space="0" w:color="auto"/>
              <w:left w:val="single" w:sz="4" w:space="0" w:color="auto"/>
              <w:bottom w:val="single" w:sz="4" w:space="0" w:color="auto"/>
              <w:right w:val="single" w:sz="4" w:space="0" w:color="auto"/>
            </w:tcBorders>
            <w:hideMark/>
          </w:tcPr>
          <w:p w14:paraId="06F617B1" w14:textId="77777777" w:rsidR="00FC026B" w:rsidRPr="00C56257" w:rsidRDefault="00FC026B" w:rsidP="00993B86">
            <w:pPr>
              <w:autoSpaceDE w:val="0"/>
              <w:autoSpaceDN w:val="0"/>
              <w:adjustRightInd w:val="0"/>
              <w:rPr>
                <w:rFonts w:eastAsia="Calibri"/>
                <w:b/>
                <w:i/>
              </w:rPr>
            </w:pPr>
            <w:r w:rsidRPr="00C56257">
              <w:rPr>
                <w:rFonts w:eastAsia="Calibri"/>
                <w:b/>
                <w:i/>
              </w:rPr>
              <w:t xml:space="preserve">Atribut generic </w:t>
            </w:r>
          </w:p>
        </w:tc>
        <w:tc>
          <w:tcPr>
            <w:tcW w:w="3402" w:type="dxa"/>
            <w:tcBorders>
              <w:top w:val="single" w:sz="4" w:space="0" w:color="auto"/>
              <w:left w:val="single" w:sz="4" w:space="0" w:color="auto"/>
              <w:bottom w:val="single" w:sz="4" w:space="0" w:color="auto"/>
              <w:right w:val="single" w:sz="4" w:space="0" w:color="auto"/>
            </w:tcBorders>
            <w:hideMark/>
          </w:tcPr>
          <w:p w14:paraId="29F79095" w14:textId="77777777" w:rsidR="00FC026B" w:rsidRPr="00C56257" w:rsidRDefault="00FC026B" w:rsidP="00993B86">
            <w:pPr>
              <w:rPr>
                <w:b/>
                <w:i/>
                <w:lang w:eastAsia="ro-RO"/>
              </w:rPr>
            </w:pPr>
            <w:r w:rsidRPr="00C56257">
              <w:rPr>
                <w:b/>
                <w:i/>
                <w:lang w:eastAsia="ro-RO"/>
              </w:rPr>
              <w:t>Atribut specific</w:t>
            </w:r>
          </w:p>
        </w:tc>
        <w:tc>
          <w:tcPr>
            <w:tcW w:w="4394" w:type="dxa"/>
            <w:tcBorders>
              <w:top w:val="single" w:sz="4" w:space="0" w:color="auto"/>
              <w:left w:val="single" w:sz="4" w:space="0" w:color="auto"/>
              <w:bottom w:val="single" w:sz="4" w:space="0" w:color="auto"/>
              <w:right w:val="single" w:sz="4" w:space="0" w:color="auto"/>
            </w:tcBorders>
            <w:hideMark/>
          </w:tcPr>
          <w:p w14:paraId="19726F36" w14:textId="77777777" w:rsidR="00FC026B" w:rsidRPr="00C56257" w:rsidRDefault="00FC026B" w:rsidP="00993B86">
            <w:pPr>
              <w:rPr>
                <w:b/>
                <w:i/>
                <w:lang w:eastAsia="ro-RO"/>
              </w:rPr>
            </w:pPr>
            <w:r w:rsidRPr="00C56257">
              <w:rPr>
                <w:b/>
                <w:i/>
                <w:lang w:eastAsia="ro-RO"/>
              </w:rPr>
              <w:t>Tehnică</w:t>
            </w:r>
          </w:p>
        </w:tc>
      </w:tr>
      <w:tr w:rsidR="00FC026B" w:rsidRPr="00C56257" w14:paraId="093AF70A" w14:textId="77777777" w:rsidTr="00993B86">
        <w:tc>
          <w:tcPr>
            <w:tcW w:w="2660" w:type="dxa"/>
            <w:vMerge w:val="restart"/>
            <w:tcBorders>
              <w:top w:val="single" w:sz="4" w:space="0" w:color="auto"/>
              <w:left w:val="single" w:sz="4" w:space="0" w:color="auto"/>
              <w:bottom w:val="single" w:sz="4" w:space="0" w:color="auto"/>
              <w:right w:val="single" w:sz="4" w:space="0" w:color="auto"/>
            </w:tcBorders>
            <w:hideMark/>
          </w:tcPr>
          <w:p w14:paraId="4F921022" w14:textId="77777777" w:rsidR="00FC026B" w:rsidRPr="00C56257" w:rsidRDefault="00FC026B" w:rsidP="00993B86">
            <w:pPr>
              <w:autoSpaceDE w:val="0"/>
              <w:autoSpaceDN w:val="0"/>
              <w:adjustRightInd w:val="0"/>
              <w:rPr>
                <w:rFonts w:eastAsia="Calibri"/>
                <w:b/>
                <w:i/>
              </w:rPr>
            </w:pPr>
            <w:r w:rsidRPr="00C56257">
              <w:rPr>
                <w:rFonts w:eastAsia="Calibri"/>
              </w:rPr>
              <w:lastRenderedPageBreak/>
              <w:t>Întindere/ Distribuția spațială</w:t>
            </w:r>
          </w:p>
        </w:tc>
        <w:tc>
          <w:tcPr>
            <w:tcW w:w="3402" w:type="dxa"/>
            <w:vMerge w:val="restart"/>
            <w:tcBorders>
              <w:top w:val="single" w:sz="4" w:space="0" w:color="auto"/>
              <w:left w:val="single" w:sz="4" w:space="0" w:color="auto"/>
              <w:bottom w:val="single" w:sz="4" w:space="0" w:color="auto"/>
              <w:right w:val="single" w:sz="4" w:space="0" w:color="auto"/>
            </w:tcBorders>
            <w:hideMark/>
          </w:tcPr>
          <w:p w14:paraId="3181B980" w14:textId="77777777" w:rsidR="00FC026B" w:rsidRPr="00C56257" w:rsidRDefault="00FC026B" w:rsidP="00993B86">
            <w:pPr>
              <w:rPr>
                <w:lang w:eastAsia="ro-RO"/>
              </w:rPr>
            </w:pPr>
            <w:r w:rsidRPr="00C56257">
              <w:rPr>
                <w:lang w:eastAsia="ro-RO"/>
              </w:rPr>
              <w:t xml:space="preserve">Suprafață </w:t>
            </w:r>
          </w:p>
          <w:p w14:paraId="58B63279" w14:textId="77777777" w:rsidR="00FC026B" w:rsidRPr="00C56257" w:rsidRDefault="00FC026B" w:rsidP="00993B86">
            <w:pPr>
              <w:rPr>
                <w:b/>
                <w:i/>
                <w:lang w:eastAsia="ro-RO"/>
              </w:rPr>
            </w:pPr>
            <w:r w:rsidRPr="00C56257">
              <w:rPr>
                <w:rFonts w:eastAsia="Calibri"/>
              </w:rPr>
              <w:t>Model spațial al distribuției subtipurilor</w:t>
            </w:r>
          </w:p>
        </w:tc>
        <w:tc>
          <w:tcPr>
            <w:tcW w:w="4394" w:type="dxa"/>
            <w:tcBorders>
              <w:top w:val="single" w:sz="4" w:space="0" w:color="auto"/>
              <w:left w:val="single" w:sz="4" w:space="0" w:color="auto"/>
              <w:bottom w:val="single" w:sz="4" w:space="0" w:color="auto"/>
              <w:right w:val="single" w:sz="4" w:space="0" w:color="auto"/>
            </w:tcBorders>
            <w:hideMark/>
          </w:tcPr>
          <w:p w14:paraId="60BB3707" w14:textId="77777777" w:rsidR="00FC026B" w:rsidRPr="00C56257" w:rsidRDefault="00FC026B" w:rsidP="00993B86">
            <w:pPr>
              <w:rPr>
                <w:lang w:eastAsia="ro-RO"/>
              </w:rPr>
            </w:pPr>
            <w:r w:rsidRPr="00C56257">
              <w:rPr>
                <w:lang w:eastAsia="ro-RO"/>
              </w:rPr>
              <w:t>Pentru zonele de mică adâncime: analiză fotografii aeriene; imagistică, teledetecție, batimetrie/sidescan</w:t>
            </w:r>
          </w:p>
        </w:tc>
      </w:tr>
      <w:tr w:rsidR="00FC026B" w:rsidRPr="00C56257" w14:paraId="62E7DF58" w14:textId="77777777" w:rsidTr="00993B86">
        <w:tc>
          <w:tcPr>
            <w:tcW w:w="0" w:type="auto"/>
            <w:vMerge/>
            <w:tcBorders>
              <w:top w:val="single" w:sz="4" w:space="0" w:color="auto"/>
              <w:left w:val="single" w:sz="4" w:space="0" w:color="auto"/>
              <w:bottom w:val="single" w:sz="4" w:space="0" w:color="auto"/>
              <w:right w:val="single" w:sz="4" w:space="0" w:color="auto"/>
            </w:tcBorders>
            <w:vAlign w:val="center"/>
            <w:hideMark/>
          </w:tcPr>
          <w:p w14:paraId="3623F8E6" w14:textId="77777777" w:rsidR="00FC026B" w:rsidRPr="00F100E1" w:rsidRDefault="00FC026B" w:rsidP="00993B86">
            <w:pPr>
              <w:rPr>
                <w:rFonts w:eastAsia="Calibri"/>
                <w:b/>
                <w:i/>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106739" w14:textId="77777777" w:rsidR="00FC026B" w:rsidRPr="00F100E1" w:rsidRDefault="00FC026B" w:rsidP="00993B86">
            <w:pPr>
              <w:rPr>
                <w:b/>
                <w:i/>
                <w:lang w:eastAsia="ro-RO"/>
              </w:rPr>
            </w:pPr>
          </w:p>
        </w:tc>
        <w:tc>
          <w:tcPr>
            <w:tcW w:w="4394" w:type="dxa"/>
            <w:tcBorders>
              <w:top w:val="single" w:sz="4" w:space="0" w:color="auto"/>
              <w:left w:val="single" w:sz="4" w:space="0" w:color="auto"/>
              <w:bottom w:val="single" w:sz="4" w:space="0" w:color="auto"/>
              <w:right w:val="single" w:sz="4" w:space="0" w:color="auto"/>
            </w:tcBorders>
            <w:hideMark/>
          </w:tcPr>
          <w:p w14:paraId="1954BD1E" w14:textId="77777777" w:rsidR="00FC026B" w:rsidRPr="00C56257" w:rsidRDefault="00FC026B" w:rsidP="00993B86">
            <w:pPr>
              <w:autoSpaceDE w:val="0"/>
              <w:autoSpaceDN w:val="0"/>
              <w:adjustRightInd w:val="0"/>
              <w:rPr>
                <w:rFonts w:eastAsia="Calibri"/>
                <w:color w:val="000000"/>
              </w:rPr>
            </w:pPr>
            <w:r w:rsidRPr="00C56257">
              <w:rPr>
                <w:rFonts w:eastAsia="Calibri"/>
              </w:rPr>
              <w:t>Cartare cu ajutorul datelor colectate prin înregistrari video cu ROV sau cu camera tractată</w:t>
            </w:r>
          </w:p>
        </w:tc>
      </w:tr>
      <w:tr w:rsidR="00FC026B" w:rsidRPr="00C56257" w14:paraId="24345E5F" w14:textId="77777777" w:rsidTr="00993B86">
        <w:tc>
          <w:tcPr>
            <w:tcW w:w="2660" w:type="dxa"/>
            <w:vMerge w:val="restart"/>
            <w:tcBorders>
              <w:top w:val="single" w:sz="4" w:space="0" w:color="auto"/>
              <w:left w:val="single" w:sz="4" w:space="0" w:color="auto"/>
              <w:bottom w:val="single" w:sz="4" w:space="0" w:color="auto"/>
              <w:right w:val="single" w:sz="4" w:space="0" w:color="auto"/>
            </w:tcBorders>
            <w:hideMark/>
          </w:tcPr>
          <w:p w14:paraId="74701CB1" w14:textId="77777777" w:rsidR="00FC026B" w:rsidRPr="00C56257" w:rsidRDefault="00FC026B" w:rsidP="00993B86">
            <w:pPr>
              <w:autoSpaceDE w:val="0"/>
              <w:autoSpaceDN w:val="0"/>
              <w:adjustRightInd w:val="0"/>
              <w:rPr>
                <w:rFonts w:eastAsia="Calibri"/>
                <w:color w:val="000000"/>
              </w:rPr>
            </w:pPr>
            <w:r w:rsidRPr="00C56257">
              <w:rPr>
                <w:rFonts w:eastAsia="Calibri"/>
              </w:rPr>
              <w:t>Caracteristici fizice</w:t>
            </w:r>
          </w:p>
        </w:tc>
        <w:tc>
          <w:tcPr>
            <w:tcW w:w="3402" w:type="dxa"/>
            <w:tcBorders>
              <w:top w:val="single" w:sz="4" w:space="0" w:color="auto"/>
              <w:left w:val="single" w:sz="4" w:space="0" w:color="auto"/>
              <w:bottom w:val="single" w:sz="4" w:space="0" w:color="auto"/>
              <w:right w:val="single" w:sz="4" w:space="0" w:color="auto"/>
            </w:tcBorders>
            <w:hideMark/>
          </w:tcPr>
          <w:p w14:paraId="0C099775" w14:textId="77777777" w:rsidR="00FC026B" w:rsidRPr="00C56257" w:rsidRDefault="00FC026B" w:rsidP="00993B86">
            <w:pPr>
              <w:autoSpaceDE w:val="0"/>
              <w:autoSpaceDN w:val="0"/>
              <w:adjustRightInd w:val="0"/>
              <w:rPr>
                <w:rFonts w:eastAsia="Calibri"/>
                <w:color w:val="000000"/>
              </w:rPr>
            </w:pPr>
            <w:r w:rsidRPr="00C56257">
              <w:rPr>
                <w:rFonts w:eastAsia="Calibri"/>
                <w:color w:val="000000"/>
              </w:rPr>
              <w:t>Substrat: tip sediment</w:t>
            </w:r>
          </w:p>
        </w:tc>
        <w:tc>
          <w:tcPr>
            <w:tcW w:w="4394" w:type="dxa"/>
            <w:tcBorders>
              <w:top w:val="single" w:sz="4" w:space="0" w:color="auto"/>
              <w:left w:val="single" w:sz="4" w:space="0" w:color="auto"/>
              <w:bottom w:val="single" w:sz="4" w:space="0" w:color="auto"/>
              <w:right w:val="single" w:sz="4" w:space="0" w:color="auto"/>
            </w:tcBorders>
            <w:hideMark/>
          </w:tcPr>
          <w:p w14:paraId="67041F5F" w14:textId="77777777" w:rsidR="00FC026B" w:rsidRPr="00C56257" w:rsidRDefault="00FC026B" w:rsidP="00993B86">
            <w:pPr>
              <w:autoSpaceDE w:val="0"/>
              <w:autoSpaceDN w:val="0"/>
              <w:adjustRightInd w:val="0"/>
              <w:rPr>
                <w:rFonts w:eastAsia="Calibri"/>
                <w:color w:val="000000"/>
              </w:rPr>
            </w:pPr>
            <w:r w:rsidRPr="00C56257">
              <w:rPr>
                <w:rFonts w:eastAsia="Calibri"/>
                <w:color w:val="000000"/>
              </w:rPr>
              <w:t>Analiza dimensiunii particulelor; imagistică cu profilul sedimentelor; analize chimice ale sedimentelor</w:t>
            </w:r>
          </w:p>
        </w:tc>
      </w:tr>
      <w:tr w:rsidR="00FC026B" w:rsidRPr="00C56257" w14:paraId="435CD4E6" w14:textId="77777777" w:rsidTr="00993B86">
        <w:trPr>
          <w:trHeight w:val="26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153AB5" w14:textId="77777777" w:rsidR="00FC026B" w:rsidRPr="00F100E1" w:rsidRDefault="00FC026B" w:rsidP="00993B86">
            <w:pPr>
              <w:rPr>
                <w:rFonts w:eastAsia="Calibri"/>
                <w:color w:val="000000"/>
              </w:rPr>
            </w:pPr>
          </w:p>
        </w:tc>
        <w:tc>
          <w:tcPr>
            <w:tcW w:w="3402" w:type="dxa"/>
            <w:tcBorders>
              <w:top w:val="single" w:sz="4" w:space="0" w:color="auto"/>
              <w:left w:val="single" w:sz="4" w:space="0" w:color="auto"/>
              <w:bottom w:val="single" w:sz="4" w:space="0" w:color="auto"/>
              <w:right w:val="single" w:sz="4" w:space="0" w:color="auto"/>
            </w:tcBorders>
            <w:hideMark/>
          </w:tcPr>
          <w:p w14:paraId="3179DD37" w14:textId="77777777" w:rsidR="00FC026B" w:rsidRPr="00C56257" w:rsidRDefault="00FC026B" w:rsidP="00993B86">
            <w:pPr>
              <w:autoSpaceDE w:val="0"/>
              <w:autoSpaceDN w:val="0"/>
              <w:adjustRightInd w:val="0"/>
              <w:rPr>
                <w:rFonts w:eastAsia="Calibri"/>
                <w:color w:val="000000"/>
              </w:rPr>
            </w:pPr>
            <w:r w:rsidRPr="00C56257">
              <w:rPr>
                <w:rFonts w:eastAsia="Calibri"/>
                <w:color w:val="000000"/>
              </w:rPr>
              <w:t>Topografie</w:t>
            </w:r>
          </w:p>
        </w:tc>
        <w:tc>
          <w:tcPr>
            <w:tcW w:w="4394" w:type="dxa"/>
            <w:tcBorders>
              <w:top w:val="single" w:sz="4" w:space="0" w:color="auto"/>
              <w:left w:val="single" w:sz="4" w:space="0" w:color="auto"/>
              <w:bottom w:val="single" w:sz="4" w:space="0" w:color="auto"/>
              <w:right w:val="single" w:sz="4" w:space="0" w:color="auto"/>
            </w:tcBorders>
            <w:hideMark/>
          </w:tcPr>
          <w:p w14:paraId="2B2847F2" w14:textId="77777777" w:rsidR="00FC026B" w:rsidRPr="00C56257" w:rsidRDefault="00FC026B" w:rsidP="00993B86">
            <w:pPr>
              <w:autoSpaceDE w:val="0"/>
              <w:autoSpaceDN w:val="0"/>
              <w:adjustRightInd w:val="0"/>
              <w:rPr>
                <w:rFonts w:eastAsia="Calibri"/>
                <w:color w:val="000000"/>
              </w:rPr>
            </w:pPr>
            <w:r w:rsidRPr="00C56257">
              <w:rPr>
                <w:rFonts w:eastAsia="Calibri"/>
                <w:color w:val="000000"/>
              </w:rPr>
              <w:t>Cartare batimetrică</w:t>
            </w:r>
          </w:p>
        </w:tc>
      </w:tr>
      <w:tr w:rsidR="00FC026B" w:rsidRPr="00C56257" w14:paraId="379FE979" w14:textId="77777777" w:rsidTr="00993B86">
        <w:tc>
          <w:tcPr>
            <w:tcW w:w="0" w:type="auto"/>
            <w:vMerge/>
            <w:tcBorders>
              <w:top w:val="single" w:sz="4" w:space="0" w:color="auto"/>
              <w:left w:val="single" w:sz="4" w:space="0" w:color="auto"/>
              <w:bottom w:val="single" w:sz="4" w:space="0" w:color="auto"/>
              <w:right w:val="single" w:sz="4" w:space="0" w:color="auto"/>
            </w:tcBorders>
            <w:vAlign w:val="center"/>
            <w:hideMark/>
          </w:tcPr>
          <w:p w14:paraId="5B60480E" w14:textId="77777777" w:rsidR="00FC026B" w:rsidRPr="00F100E1" w:rsidRDefault="00FC026B" w:rsidP="00993B86">
            <w:pPr>
              <w:rPr>
                <w:rFonts w:eastAsia="Calibri"/>
                <w:color w:val="000000"/>
              </w:rPr>
            </w:pPr>
          </w:p>
        </w:tc>
        <w:tc>
          <w:tcPr>
            <w:tcW w:w="3402" w:type="dxa"/>
            <w:tcBorders>
              <w:top w:val="single" w:sz="4" w:space="0" w:color="auto"/>
              <w:left w:val="single" w:sz="4" w:space="0" w:color="auto"/>
              <w:bottom w:val="single" w:sz="4" w:space="0" w:color="auto"/>
              <w:right w:val="single" w:sz="4" w:space="0" w:color="auto"/>
            </w:tcBorders>
          </w:tcPr>
          <w:p w14:paraId="17B92C63" w14:textId="77777777" w:rsidR="00FC026B" w:rsidRPr="00C56257" w:rsidRDefault="00FC026B" w:rsidP="00993B86">
            <w:pPr>
              <w:rPr>
                <w:lang w:eastAsia="ro-RO"/>
              </w:rPr>
            </w:pPr>
            <w:r w:rsidRPr="00C56257">
              <w:rPr>
                <w:lang w:eastAsia="ro-RO"/>
              </w:rPr>
              <w:t xml:space="preserve">Transparență apă </w:t>
            </w:r>
          </w:p>
          <w:p w14:paraId="35E889A3" w14:textId="77777777" w:rsidR="00FC026B" w:rsidRPr="00C56257" w:rsidRDefault="00FC026B" w:rsidP="00993B86">
            <w:pPr>
              <w:autoSpaceDE w:val="0"/>
              <w:autoSpaceDN w:val="0"/>
              <w:adjustRightInd w:val="0"/>
              <w:rPr>
                <w:rFonts w:eastAsia="Calibri"/>
                <w:color w:val="000000"/>
              </w:rPr>
            </w:pPr>
          </w:p>
        </w:tc>
        <w:tc>
          <w:tcPr>
            <w:tcW w:w="4394" w:type="dxa"/>
            <w:tcBorders>
              <w:top w:val="single" w:sz="4" w:space="0" w:color="auto"/>
              <w:left w:val="single" w:sz="4" w:space="0" w:color="auto"/>
              <w:bottom w:val="single" w:sz="4" w:space="0" w:color="auto"/>
              <w:right w:val="single" w:sz="4" w:space="0" w:color="auto"/>
            </w:tcBorders>
            <w:hideMark/>
          </w:tcPr>
          <w:p w14:paraId="34F50A7B" w14:textId="77777777" w:rsidR="00FC026B" w:rsidRPr="00C56257" w:rsidRDefault="00FC026B" w:rsidP="00993B86">
            <w:pPr>
              <w:rPr>
                <w:color w:val="000000"/>
                <w:lang w:eastAsia="ro-RO"/>
              </w:rPr>
            </w:pPr>
            <w:r w:rsidRPr="00C56257">
              <w:rPr>
                <w:lang w:eastAsia="ro-RO"/>
              </w:rPr>
              <w:t>Măsurarea transparenței apei; Înregistratoare de date chimie; disc Secchi</w:t>
            </w:r>
          </w:p>
        </w:tc>
      </w:tr>
      <w:tr w:rsidR="00FC026B" w:rsidRPr="00C56257" w14:paraId="2832E8EF" w14:textId="77777777" w:rsidTr="00993B86">
        <w:tc>
          <w:tcPr>
            <w:tcW w:w="0" w:type="auto"/>
            <w:vMerge/>
            <w:tcBorders>
              <w:top w:val="single" w:sz="4" w:space="0" w:color="auto"/>
              <w:left w:val="single" w:sz="4" w:space="0" w:color="auto"/>
              <w:bottom w:val="single" w:sz="4" w:space="0" w:color="auto"/>
              <w:right w:val="single" w:sz="4" w:space="0" w:color="auto"/>
            </w:tcBorders>
            <w:vAlign w:val="center"/>
            <w:hideMark/>
          </w:tcPr>
          <w:p w14:paraId="0CCCAA2A" w14:textId="77777777" w:rsidR="00FC026B" w:rsidRPr="00F100E1" w:rsidRDefault="00FC026B" w:rsidP="00993B86">
            <w:pPr>
              <w:rPr>
                <w:rFonts w:eastAsia="Calibri"/>
                <w:color w:val="000000"/>
              </w:rPr>
            </w:pPr>
          </w:p>
        </w:tc>
        <w:tc>
          <w:tcPr>
            <w:tcW w:w="3402" w:type="dxa"/>
            <w:tcBorders>
              <w:top w:val="single" w:sz="4" w:space="0" w:color="auto"/>
              <w:left w:val="single" w:sz="4" w:space="0" w:color="auto"/>
              <w:bottom w:val="single" w:sz="4" w:space="0" w:color="auto"/>
              <w:right w:val="single" w:sz="4" w:space="0" w:color="auto"/>
            </w:tcBorders>
            <w:hideMark/>
          </w:tcPr>
          <w:p w14:paraId="22A8D39E" w14:textId="77777777" w:rsidR="00FC026B" w:rsidRPr="00C56257" w:rsidRDefault="00FC026B" w:rsidP="00993B86">
            <w:pPr>
              <w:rPr>
                <w:lang w:eastAsia="ro-RO"/>
              </w:rPr>
            </w:pPr>
            <w:r w:rsidRPr="00C56257">
              <w:rPr>
                <w:lang w:eastAsia="ro-RO"/>
              </w:rPr>
              <w:t>Compoziția chimică a apei (inclusiv salinitate, temperatură)</w:t>
            </w:r>
          </w:p>
        </w:tc>
        <w:tc>
          <w:tcPr>
            <w:tcW w:w="4394" w:type="dxa"/>
            <w:tcBorders>
              <w:top w:val="single" w:sz="4" w:space="0" w:color="auto"/>
              <w:left w:val="single" w:sz="4" w:space="0" w:color="auto"/>
              <w:bottom w:val="single" w:sz="4" w:space="0" w:color="auto"/>
              <w:right w:val="single" w:sz="4" w:space="0" w:color="auto"/>
            </w:tcBorders>
            <w:hideMark/>
          </w:tcPr>
          <w:p w14:paraId="41CB1D61" w14:textId="77777777" w:rsidR="00FC026B" w:rsidRPr="00C56257" w:rsidRDefault="00FC026B" w:rsidP="00993B86">
            <w:pPr>
              <w:rPr>
                <w:color w:val="000000"/>
                <w:lang w:eastAsia="ro-RO"/>
              </w:rPr>
            </w:pPr>
            <w:r w:rsidRPr="00C56257">
              <w:rPr>
                <w:lang w:eastAsia="ro-RO"/>
              </w:rPr>
              <w:t>Măsurarea calității apei; înregistratoare de date compoziția chimică a apei</w:t>
            </w:r>
          </w:p>
        </w:tc>
      </w:tr>
      <w:tr w:rsidR="00FC026B" w:rsidRPr="00C56257" w14:paraId="22B5F931" w14:textId="77777777" w:rsidTr="00993B86">
        <w:tc>
          <w:tcPr>
            <w:tcW w:w="0" w:type="auto"/>
            <w:vMerge/>
            <w:tcBorders>
              <w:top w:val="single" w:sz="4" w:space="0" w:color="auto"/>
              <w:left w:val="single" w:sz="4" w:space="0" w:color="auto"/>
              <w:bottom w:val="single" w:sz="4" w:space="0" w:color="auto"/>
              <w:right w:val="single" w:sz="4" w:space="0" w:color="auto"/>
            </w:tcBorders>
            <w:vAlign w:val="center"/>
            <w:hideMark/>
          </w:tcPr>
          <w:p w14:paraId="441ED25F" w14:textId="77777777" w:rsidR="00FC026B" w:rsidRPr="00F100E1" w:rsidRDefault="00FC026B" w:rsidP="00993B86">
            <w:pPr>
              <w:rPr>
                <w:rFonts w:eastAsia="Calibri"/>
                <w:color w:val="000000"/>
              </w:rPr>
            </w:pPr>
          </w:p>
        </w:tc>
        <w:tc>
          <w:tcPr>
            <w:tcW w:w="3402" w:type="dxa"/>
            <w:tcBorders>
              <w:top w:val="single" w:sz="4" w:space="0" w:color="auto"/>
              <w:left w:val="single" w:sz="4" w:space="0" w:color="auto"/>
              <w:bottom w:val="single" w:sz="4" w:space="0" w:color="auto"/>
              <w:right w:val="single" w:sz="4" w:space="0" w:color="auto"/>
            </w:tcBorders>
          </w:tcPr>
          <w:p w14:paraId="6D794D2B" w14:textId="77777777" w:rsidR="00FC026B" w:rsidRPr="00C56257" w:rsidRDefault="00FC026B" w:rsidP="00993B86">
            <w:pPr>
              <w:autoSpaceDE w:val="0"/>
              <w:autoSpaceDN w:val="0"/>
              <w:adjustRightInd w:val="0"/>
              <w:rPr>
                <w:rFonts w:eastAsia="Calibri"/>
              </w:rPr>
            </w:pPr>
            <w:r w:rsidRPr="00C56257">
              <w:rPr>
                <w:rFonts w:eastAsia="Calibri"/>
                <w:color w:val="000000"/>
              </w:rPr>
              <w:t>Stare nutrienți</w:t>
            </w:r>
          </w:p>
          <w:p w14:paraId="61924F79" w14:textId="77777777" w:rsidR="00FC026B" w:rsidRPr="00C56257" w:rsidRDefault="00FC026B" w:rsidP="00993B86">
            <w:pPr>
              <w:autoSpaceDE w:val="0"/>
              <w:autoSpaceDN w:val="0"/>
              <w:adjustRightInd w:val="0"/>
              <w:rPr>
                <w:rFonts w:eastAsia="Calibri"/>
                <w:color w:val="000000"/>
              </w:rPr>
            </w:pPr>
          </w:p>
        </w:tc>
        <w:tc>
          <w:tcPr>
            <w:tcW w:w="4394" w:type="dxa"/>
            <w:tcBorders>
              <w:top w:val="single" w:sz="4" w:space="0" w:color="auto"/>
              <w:left w:val="single" w:sz="4" w:space="0" w:color="auto"/>
              <w:bottom w:val="single" w:sz="4" w:space="0" w:color="auto"/>
              <w:right w:val="single" w:sz="4" w:space="0" w:color="auto"/>
            </w:tcBorders>
            <w:hideMark/>
          </w:tcPr>
          <w:p w14:paraId="44FFC1AE" w14:textId="77777777" w:rsidR="00FC026B" w:rsidRPr="00C56257" w:rsidRDefault="00FC026B" w:rsidP="00993B86">
            <w:pPr>
              <w:autoSpaceDE w:val="0"/>
              <w:autoSpaceDN w:val="0"/>
              <w:adjustRightInd w:val="0"/>
              <w:rPr>
                <w:rFonts w:eastAsia="Calibri"/>
                <w:color w:val="000000"/>
              </w:rPr>
            </w:pPr>
            <w:r w:rsidRPr="00C56257">
              <w:rPr>
                <w:rFonts w:eastAsia="Calibri"/>
              </w:rPr>
              <w:t>Măsurarea calității apei; înregistratoare de date compoziția chimică a apei</w:t>
            </w:r>
            <w:r w:rsidRPr="00C56257">
              <w:rPr>
                <w:rFonts w:eastAsia="Calibri"/>
                <w:color w:val="000000"/>
              </w:rPr>
              <w:t xml:space="preserve"> (întinderea biocenozei în cazul covoarelor de alge)</w:t>
            </w:r>
          </w:p>
        </w:tc>
      </w:tr>
      <w:tr w:rsidR="00FC026B" w:rsidRPr="00C56257" w14:paraId="61C07449" w14:textId="77777777" w:rsidTr="00993B86">
        <w:tc>
          <w:tcPr>
            <w:tcW w:w="2660" w:type="dxa"/>
            <w:vMerge w:val="restart"/>
            <w:tcBorders>
              <w:top w:val="single" w:sz="4" w:space="0" w:color="auto"/>
              <w:left w:val="single" w:sz="4" w:space="0" w:color="auto"/>
              <w:bottom w:val="single" w:sz="4" w:space="0" w:color="auto"/>
              <w:right w:val="single" w:sz="4" w:space="0" w:color="auto"/>
            </w:tcBorders>
            <w:hideMark/>
          </w:tcPr>
          <w:p w14:paraId="3A25A37E" w14:textId="77777777" w:rsidR="00FC026B" w:rsidRPr="00C56257" w:rsidRDefault="00FC026B" w:rsidP="00993B86">
            <w:pPr>
              <w:autoSpaceDE w:val="0"/>
              <w:autoSpaceDN w:val="0"/>
              <w:adjustRightInd w:val="0"/>
              <w:rPr>
                <w:rFonts w:eastAsia="Calibri"/>
                <w:color w:val="000000"/>
              </w:rPr>
            </w:pPr>
            <w:r w:rsidRPr="00C56257">
              <w:rPr>
                <w:rFonts w:eastAsia="Calibri"/>
              </w:rPr>
              <w:t>Structura habitatului</w:t>
            </w:r>
            <w:r w:rsidRPr="00C56257">
              <w:rPr>
                <w:rFonts w:eastAsia="Calibri"/>
                <w:color w:val="000000"/>
              </w:rPr>
              <w:t xml:space="preserve"> </w:t>
            </w:r>
          </w:p>
        </w:tc>
        <w:tc>
          <w:tcPr>
            <w:tcW w:w="3402" w:type="dxa"/>
            <w:tcBorders>
              <w:top w:val="single" w:sz="4" w:space="0" w:color="auto"/>
              <w:left w:val="single" w:sz="4" w:space="0" w:color="auto"/>
              <w:bottom w:val="single" w:sz="4" w:space="0" w:color="auto"/>
              <w:right w:val="single" w:sz="4" w:space="0" w:color="auto"/>
            </w:tcBorders>
            <w:hideMark/>
          </w:tcPr>
          <w:p w14:paraId="50FDF8AE" w14:textId="77777777" w:rsidR="00FC026B" w:rsidRPr="00C56257" w:rsidRDefault="00FC026B" w:rsidP="00993B86">
            <w:pPr>
              <w:autoSpaceDE w:val="0"/>
              <w:autoSpaceDN w:val="0"/>
              <w:adjustRightInd w:val="0"/>
              <w:rPr>
                <w:rFonts w:eastAsia="Calibri"/>
                <w:color w:val="000000"/>
              </w:rPr>
            </w:pPr>
            <w:r w:rsidRPr="00C56257">
              <w:rPr>
                <w:rFonts w:eastAsia="Calibri"/>
              </w:rPr>
              <w:t xml:space="preserve">Subtipuri prezente </w:t>
            </w:r>
          </w:p>
        </w:tc>
        <w:tc>
          <w:tcPr>
            <w:tcW w:w="4394" w:type="dxa"/>
            <w:tcBorders>
              <w:top w:val="single" w:sz="4" w:space="0" w:color="auto"/>
              <w:left w:val="single" w:sz="4" w:space="0" w:color="auto"/>
              <w:bottom w:val="single" w:sz="4" w:space="0" w:color="auto"/>
              <w:right w:val="single" w:sz="4" w:space="0" w:color="auto"/>
            </w:tcBorders>
            <w:hideMark/>
          </w:tcPr>
          <w:p w14:paraId="3A3A183B" w14:textId="77777777" w:rsidR="00FC026B" w:rsidRPr="00C56257" w:rsidRDefault="00FC026B" w:rsidP="00993B86">
            <w:pPr>
              <w:autoSpaceDE w:val="0"/>
              <w:autoSpaceDN w:val="0"/>
              <w:adjustRightInd w:val="0"/>
              <w:rPr>
                <w:rFonts w:eastAsia="Calibri"/>
                <w:color w:val="000000"/>
              </w:rPr>
            </w:pPr>
            <w:r w:rsidRPr="00C56257">
              <w:rPr>
                <w:rFonts w:eastAsia="Calibri"/>
              </w:rPr>
              <w:t>Identificare subtipuri; eșantionare prin dragare, Van Veen</w:t>
            </w:r>
          </w:p>
        </w:tc>
      </w:tr>
      <w:tr w:rsidR="00FC026B" w:rsidRPr="00C56257" w14:paraId="02E11618" w14:textId="77777777" w:rsidTr="00993B86">
        <w:tc>
          <w:tcPr>
            <w:tcW w:w="0" w:type="auto"/>
            <w:vMerge/>
            <w:tcBorders>
              <w:top w:val="single" w:sz="4" w:space="0" w:color="auto"/>
              <w:left w:val="single" w:sz="4" w:space="0" w:color="auto"/>
              <w:bottom w:val="single" w:sz="4" w:space="0" w:color="auto"/>
              <w:right w:val="single" w:sz="4" w:space="0" w:color="auto"/>
            </w:tcBorders>
            <w:vAlign w:val="center"/>
            <w:hideMark/>
          </w:tcPr>
          <w:p w14:paraId="2F3A0118" w14:textId="77777777" w:rsidR="00FC026B" w:rsidRPr="00F100E1" w:rsidRDefault="00FC026B" w:rsidP="00993B86">
            <w:pPr>
              <w:rPr>
                <w:rFonts w:eastAsia="Calibri"/>
                <w:color w:val="000000"/>
              </w:rPr>
            </w:pPr>
          </w:p>
        </w:tc>
        <w:tc>
          <w:tcPr>
            <w:tcW w:w="3402" w:type="dxa"/>
            <w:tcBorders>
              <w:top w:val="single" w:sz="4" w:space="0" w:color="auto"/>
              <w:left w:val="single" w:sz="4" w:space="0" w:color="auto"/>
              <w:bottom w:val="single" w:sz="4" w:space="0" w:color="auto"/>
              <w:right w:val="single" w:sz="4" w:space="0" w:color="auto"/>
            </w:tcBorders>
            <w:hideMark/>
          </w:tcPr>
          <w:p w14:paraId="5F48B0C3" w14:textId="77777777" w:rsidR="00FC026B" w:rsidRPr="00C56257" w:rsidRDefault="00FC026B" w:rsidP="00993B86">
            <w:pPr>
              <w:autoSpaceDE w:val="0"/>
              <w:autoSpaceDN w:val="0"/>
              <w:adjustRightInd w:val="0"/>
              <w:rPr>
                <w:rFonts w:eastAsia="Calibri"/>
                <w:color w:val="000000"/>
              </w:rPr>
            </w:pPr>
            <w:r w:rsidRPr="00C56257">
              <w:rPr>
                <w:rFonts w:eastAsia="Calibri"/>
              </w:rPr>
              <w:t>Specii edificatoare / caracteristice</w:t>
            </w:r>
          </w:p>
        </w:tc>
        <w:tc>
          <w:tcPr>
            <w:tcW w:w="4394" w:type="dxa"/>
            <w:tcBorders>
              <w:top w:val="single" w:sz="4" w:space="0" w:color="auto"/>
              <w:left w:val="single" w:sz="4" w:space="0" w:color="auto"/>
              <w:bottom w:val="single" w:sz="4" w:space="0" w:color="auto"/>
              <w:right w:val="single" w:sz="4" w:space="0" w:color="auto"/>
            </w:tcBorders>
            <w:hideMark/>
          </w:tcPr>
          <w:p w14:paraId="02B207C7" w14:textId="77777777" w:rsidR="00FC026B" w:rsidRPr="00C56257" w:rsidRDefault="00FC026B" w:rsidP="00993B86">
            <w:pPr>
              <w:autoSpaceDE w:val="0"/>
              <w:autoSpaceDN w:val="0"/>
              <w:adjustRightInd w:val="0"/>
              <w:rPr>
                <w:rFonts w:eastAsia="Calibri"/>
                <w:color w:val="000000"/>
              </w:rPr>
            </w:pPr>
            <w:r w:rsidRPr="00C56257">
              <w:rPr>
                <w:rFonts w:eastAsia="Calibri"/>
              </w:rPr>
              <w:t>Eșantionare prin dragare, Van Veen; înregistrare video subacvatică cu ROV; traulare epibentică, la adâncimi de peste 20 m</w:t>
            </w:r>
          </w:p>
        </w:tc>
      </w:tr>
      <w:tr w:rsidR="00FC026B" w:rsidRPr="00C56257" w14:paraId="091AC185" w14:textId="77777777" w:rsidTr="00993B86">
        <w:tc>
          <w:tcPr>
            <w:tcW w:w="0" w:type="auto"/>
            <w:vMerge/>
            <w:tcBorders>
              <w:top w:val="single" w:sz="4" w:space="0" w:color="auto"/>
              <w:left w:val="single" w:sz="4" w:space="0" w:color="auto"/>
              <w:bottom w:val="single" w:sz="4" w:space="0" w:color="auto"/>
              <w:right w:val="single" w:sz="4" w:space="0" w:color="auto"/>
            </w:tcBorders>
            <w:vAlign w:val="center"/>
            <w:hideMark/>
          </w:tcPr>
          <w:p w14:paraId="10193E10" w14:textId="77777777" w:rsidR="00FC026B" w:rsidRPr="00F100E1" w:rsidRDefault="00FC026B" w:rsidP="00993B86">
            <w:pPr>
              <w:rPr>
                <w:rFonts w:eastAsia="Calibri"/>
                <w:color w:val="000000"/>
              </w:rPr>
            </w:pPr>
          </w:p>
        </w:tc>
        <w:tc>
          <w:tcPr>
            <w:tcW w:w="3402" w:type="dxa"/>
            <w:tcBorders>
              <w:top w:val="single" w:sz="4" w:space="0" w:color="auto"/>
              <w:left w:val="single" w:sz="4" w:space="0" w:color="auto"/>
              <w:bottom w:val="single" w:sz="4" w:space="0" w:color="auto"/>
              <w:right w:val="single" w:sz="4" w:space="0" w:color="auto"/>
            </w:tcBorders>
            <w:hideMark/>
          </w:tcPr>
          <w:p w14:paraId="336E9DC9" w14:textId="77777777" w:rsidR="00FC026B" w:rsidRPr="00C56257" w:rsidRDefault="00FC026B" w:rsidP="00993B86">
            <w:pPr>
              <w:autoSpaceDE w:val="0"/>
              <w:autoSpaceDN w:val="0"/>
              <w:adjustRightInd w:val="0"/>
              <w:rPr>
                <w:rFonts w:eastAsia="Calibri"/>
                <w:color w:val="000000"/>
              </w:rPr>
            </w:pPr>
            <w:r w:rsidRPr="00C56257">
              <w:rPr>
                <w:rFonts w:eastAsia="Calibri"/>
              </w:rPr>
              <w:t>Alte specii rare / amenințate</w:t>
            </w:r>
          </w:p>
        </w:tc>
        <w:tc>
          <w:tcPr>
            <w:tcW w:w="4394" w:type="dxa"/>
            <w:tcBorders>
              <w:top w:val="single" w:sz="4" w:space="0" w:color="auto"/>
              <w:left w:val="single" w:sz="4" w:space="0" w:color="auto"/>
              <w:bottom w:val="single" w:sz="4" w:space="0" w:color="auto"/>
              <w:right w:val="single" w:sz="4" w:space="0" w:color="auto"/>
            </w:tcBorders>
            <w:hideMark/>
          </w:tcPr>
          <w:p w14:paraId="35A80028" w14:textId="77777777" w:rsidR="00FC026B" w:rsidRPr="00C56257" w:rsidRDefault="00FC026B" w:rsidP="00993B86">
            <w:pPr>
              <w:autoSpaceDE w:val="0"/>
              <w:autoSpaceDN w:val="0"/>
              <w:adjustRightInd w:val="0"/>
              <w:rPr>
                <w:rFonts w:eastAsia="Calibri"/>
              </w:rPr>
            </w:pPr>
            <w:r w:rsidRPr="00C56257">
              <w:rPr>
                <w:rFonts w:eastAsia="Calibri"/>
              </w:rPr>
              <w:t>Eșantionare prin dragare; Van Veen; înregistrare video subacvatică cu ROV; traulare epibentică, la adâncimi de peste 20 m</w:t>
            </w:r>
          </w:p>
        </w:tc>
      </w:tr>
    </w:tbl>
    <w:p w14:paraId="627ECDA0" w14:textId="77777777" w:rsidR="00FC026B" w:rsidRPr="00F100E1" w:rsidRDefault="00FC026B" w:rsidP="00FC026B">
      <w:pPr>
        <w:autoSpaceDE w:val="0"/>
        <w:autoSpaceDN w:val="0"/>
        <w:adjustRightInd w:val="0"/>
        <w:jc w:val="both"/>
        <w:rPr>
          <w:rFonts w:eastAsia="Calibri"/>
          <w:lang w:val="en-US"/>
        </w:rPr>
      </w:pPr>
    </w:p>
    <w:p w14:paraId="35A369D0" w14:textId="77777777" w:rsidR="00FC026B" w:rsidRPr="00C56257" w:rsidRDefault="00FC026B" w:rsidP="00FC026B">
      <w:pPr>
        <w:autoSpaceDE w:val="0"/>
        <w:autoSpaceDN w:val="0"/>
        <w:adjustRightInd w:val="0"/>
        <w:ind w:left="720"/>
        <w:jc w:val="both"/>
        <w:rPr>
          <w:rFonts w:eastAsia="Calibri"/>
        </w:rPr>
      </w:pPr>
    </w:p>
    <w:p w14:paraId="591F1F9C" w14:textId="77777777" w:rsidR="00FC026B" w:rsidRPr="00C56257" w:rsidRDefault="00FC026B" w:rsidP="00FC026B">
      <w:pPr>
        <w:autoSpaceDE w:val="0"/>
        <w:autoSpaceDN w:val="0"/>
        <w:adjustRightInd w:val="0"/>
        <w:ind w:left="436" w:firstLine="284"/>
        <w:jc w:val="both"/>
        <w:rPr>
          <w:rFonts w:eastAsia="Calibri"/>
        </w:rPr>
      </w:pPr>
      <w:r w:rsidRPr="00C56257">
        <w:rPr>
          <w:rFonts w:eastAsia="Calibri"/>
        </w:rPr>
        <w:t>Evaluarea generală a elementelor menţionate pentru acest tip de habitate se va face astfel:</w:t>
      </w:r>
    </w:p>
    <w:p w14:paraId="1A0C95B7" w14:textId="77777777" w:rsidR="00FC026B" w:rsidRPr="00C56257" w:rsidRDefault="00FC026B" w:rsidP="00FC026B">
      <w:pPr>
        <w:autoSpaceDE w:val="0"/>
        <w:autoSpaceDN w:val="0"/>
        <w:adjustRightInd w:val="0"/>
        <w:ind w:firstLine="720"/>
        <w:jc w:val="both"/>
        <w:rPr>
          <w:rFonts w:eastAsia="Calibri"/>
        </w:rPr>
      </w:pPr>
      <w:r w:rsidRPr="00C56257">
        <w:rPr>
          <w:rFonts w:eastAsia="Calibri"/>
        </w:rPr>
        <w:t>Starea d</w:t>
      </w:r>
      <w:r>
        <w:rPr>
          <w:rFonts w:eastAsia="Calibri"/>
        </w:rPr>
        <w:t>e conservare a habitatului este</w:t>
      </w:r>
      <w:r w:rsidRPr="00C56257">
        <w:rPr>
          <w:rFonts w:eastAsia="Calibri"/>
        </w:rPr>
        <w:t xml:space="preserve"> considerată favorabilă în situația în care habitatul se află în parametrii de calitate normali, iar stabilitatea habitatului pe termen scurt și lung este asigurată, în lipsa unor presiuni și factori de risc semnificativi, care ar putea afecta evoluția habitatului în prezent și viitor. </w:t>
      </w:r>
    </w:p>
    <w:p w14:paraId="6FD8527D" w14:textId="77777777" w:rsidR="00FC026B" w:rsidRPr="00C56257" w:rsidRDefault="00FC026B" w:rsidP="00FC026B">
      <w:pPr>
        <w:autoSpaceDE w:val="0"/>
        <w:autoSpaceDN w:val="0"/>
        <w:adjustRightInd w:val="0"/>
        <w:ind w:firstLine="720"/>
        <w:jc w:val="both"/>
        <w:rPr>
          <w:rFonts w:eastAsia="Calibri"/>
        </w:rPr>
      </w:pPr>
      <w:r w:rsidRPr="00C56257">
        <w:rPr>
          <w:rFonts w:eastAsia="Calibri"/>
        </w:rPr>
        <w:t xml:space="preserve">Starea de conservare a habitatului </w:t>
      </w:r>
      <w:r>
        <w:rPr>
          <w:rFonts w:eastAsia="Calibri"/>
        </w:rPr>
        <w:t>este</w:t>
      </w:r>
      <w:r w:rsidRPr="00C56257">
        <w:rPr>
          <w:rFonts w:eastAsia="Calibri"/>
        </w:rPr>
        <w:t xml:space="preserve"> considerată neadecvată în situația în care habitatul este supus în prezent unor presiuni și riscuri (inclusiv antropice) de mică anvergură, care afectează deja parametrii de calitate ai acestuia, periclitându-i stabilitatea pe termen lung.</w:t>
      </w:r>
    </w:p>
    <w:p w14:paraId="58E16A6A" w14:textId="77777777" w:rsidR="00FC026B" w:rsidRPr="00C56257" w:rsidRDefault="00FC026B" w:rsidP="00FC026B">
      <w:pPr>
        <w:autoSpaceDE w:val="0"/>
        <w:autoSpaceDN w:val="0"/>
        <w:adjustRightInd w:val="0"/>
        <w:ind w:firstLine="720"/>
        <w:jc w:val="both"/>
        <w:rPr>
          <w:rFonts w:eastAsia="Calibri"/>
        </w:rPr>
      </w:pPr>
      <w:r w:rsidRPr="00C56257">
        <w:rPr>
          <w:rFonts w:eastAsia="Calibri"/>
        </w:rPr>
        <w:t xml:space="preserve">Starea de conservare a habitatului </w:t>
      </w:r>
      <w:r>
        <w:rPr>
          <w:rFonts w:eastAsia="Calibri"/>
        </w:rPr>
        <w:t>este</w:t>
      </w:r>
      <w:r w:rsidRPr="00C56257">
        <w:rPr>
          <w:rFonts w:eastAsia="Calibri"/>
        </w:rPr>
        <w:t xml:space="preserve"> considerată nefavorabilă dacă habitatul este deja afectat semnificativ ca urmare a unor presiuni și riscuri majore, ce-i periclitează stabilitatea pe termen scurt și lung.</w:t>
      </w:r>
    </w:p>
    <w:p w14:paraId="5ABC38A7" w14:textId="77777777" w:rsidR="00FC026B" w:rsidRPr="00F100E1" w:rsidRDefault="00FC026B" w:rsidP="00FC026B">
      <w:pPr>
        <w:autoSpaceDE w:val="0"/>
        <w:autoSpaceDN w:val="0"/>
        <w:adjustRightInd w:val="0"/>
        <w:ind w:firstLine="720"/>
        <w:jc w:val="both"/>
        <w:rPr>
          <w:rFonts w:eastAsia="Calibri"/>
        </w:rPr>
      </w:pPr>
      <w:r w:rsidRPr="00C56257">
        <w:rPr>
          <w:rFonts w:eastAsia="Calibri"/>
        </w:rPr>
        <w:t xml:space="preserve">Starea de conservare a habitatului </w:t>
      </w:r>
      <w:r>
        <w:rPr>
          <w:rFonts w:eastAsia="Calibri"/>
        </w:rPr>
        <w:t>este</w:t>
      </w:r>
      <w:r w:rsidRPr="00C56257">
        <w:rPr>
          <w:rFonts w:eastAsia="Calibri"/>
        </w:rPr>
        <w:t xml:space="preserve"> considerată necunoscută dacă nu exist</w:t>
      </w:r>
      <w:r>
        <w:rPr>
          <w:rFonts w:eastAsia="Calibri"/>
        </w:rPr>
        <w:t>ă</w:t>
      </w:r>
      <w:r w:rsidRPr="00C56257">
        <w:rPr>
          <w:rFonts w:eastAsia="Calibri"/>
        </w:rPr>
        <w:t xml:space="preserve"> suficiente date pentru estimarea acesteia.</w:t>
      </w:r>
    </w:p>
    <w:p w14:paraId="01D637D6" w14:textId="77777777" w:rsidR="00FC026B" w:rsidRPr="00C56257" w:rsidRDefault="00FC026B" w:rsidP="00FC026B">
      <w:pPr>
        <w:jc w:val="both"/>
        <w:rPr>
          <w:lang w:val="it-IT" w:eastAsia="ro-RO"/>
        </w:rPr>
      </w:pPr>
    </w:p>
    <w:p w14:paraId="1228C611" w14:textId="77777777" w:rsidR="00FC026B" w:rsidRPr="00C56257" w:rsidRDefault="00FC026B" w:rsidP="00FC026B">
      <w:pPr>
        <w:jc w:val="both"/>
        <w:rPr>
          <w:b/>
          <w:lang w:val="it-IT"/>
        </w:rPr>
      </w:pPr>
      <w:r w:rsidRPr="00C56257">
        <w:rPr>
          <w:b/>
          <w:bCs/>
          <w:lang w:val="it-IT"/>
        </w:rPr>
        <w:t xml:space="preserve">1130 </w:t>
      </w:r>
      <w:r w:rsidRPr="00C56257">
        <w:rPr>
          <w:b/>
          <w:lang w:val="it-IT"/>
        </w:rPr>
        <w:t>Estuare</w:t>
      </w:r>
    </w:p>
    <w:p w14:paraId="41432BEE" w14:textId="77777777" w:rsidR="00FC026B" w:rsidRPr="00C56257" w:rsidRDefault="00FC026B" w:rsidP="00FC026B">
      <w:pPr>
        <w:jc w:val="both"/>
        <w:rPr>
          <w:lang w:val="it-IT"/>
        </w:rPr>
      </w:pPr>
      <w:r w:rsidRPr="00C56257">
        <w:rPr>
          <w:lang w:val="it-IT"/>
        </w:rPr>
        <w:t>CLAS. PAL.: 13.2, 11.2</w:t>
      </w:r>
    </w:p>
    <w:p w14:paraId="48F92B51" w14:textId="77777777" w:rsidR="00FC026B" w:rsidRPr="00C56257" w:rsidRDefault="00FC026B" w:rsidP="00FC026B">
      <w:pPr>
        <w:ind w:firstLine="720"/>
        <w:jc w:val="both"/>
        <w:rPr>
          <w:lang w:val="it-IT"/>
        </w:rPr>
      </w:pPr>
    </w:p>
    <w:p w14:paraId="19FFA4CF" w14:textId="77777777" w:rsidR="00FC026B" w:rsidRPr="00C56257" w:rsidRDefault="00FC026B" w:rsidP="00FC026B">
      <w:pPr>
        <w:ind w:firstLine="708"/>
        <w:jc w:val="both"/>
        <w:rPr>
          <w:rFonts w:eastAsia="Calibri"/>
        </w:rPr>
      </w:pPr>
      <w:r w:rsidRPr="00C56257">
        <w:rPr>
          <w:rFonts w:eastAsia="Calibri"/>
        </w:rPr>
        <w:t xml:space="preserve">Estuarul este partea din aval a văii unui râu, expusă mareelor şi extinzându-se de la limita apelor salmastre. Estuarele fluviilor sunt intrânduri ale coastei unde, spre deosebire de habitatul 1160 (braţe de </w:t>
      </w:r>
      <w:r w:rsidRPr="00C56257">
        <w:rPr>
          <w:rFonts w:eastAsia="Calibri"/>
        </w:rPr>
        <w:lastRenderedPageBreak/>
        <w:t>mare şi golfuri mari puţin adânci), există în general o influenţă substanţială a apelor dulci. Acestea formează zone de tranzițieunde are loc amestecul apei dulci cu apa de mare şi care, împreună cu fluxurile reduse ale curenţilor din adăpostul estuarului, conduc la depunerea de sedimente fine, adesea formând extinse depozite intermareice de nisip şi mâl. Acolo unde curenţii sunt mai puternici decât fluxul, majoritatea sedimentelor se depun şi formează o deltă la gura estuarului.</w:t>
      </w:r>
    </w:p>
    <w:p w14:paraId="7F625FA1" w14:textId="77777777" w:rsidR="00FC026B" w:rsidRPr="00C56257" w:rsidRDefault="00FC026B" w:rsidP="00FC026B">
      <w:pPr>
        <w:ind w:firstLine="708"/>
        <w:jc w:val="both"/>
        <w:rPr>
          <w:rFonts w:eastAsia="Calibri"/>
        </w:rPr>
      </w:pPr>
      <w:r w:rsidRPr="00C56257">
        <w:rPr>
          <w:rFonts w:eastAsia="Calibri"/>
        </w:rPr>
        <w:t>Gurile fluviilor baltice, considerate ca un subtip de estuar, au ape salmastre fără maree, prezentând o vastă vegetaţie specifică zonelor umede (helofită) şi o vegetaţie acvatică luxuriantă în zonele cu ape de mică adâncime.</w:t>
      </w:r>
    </w:p>
    <w:p w14:paraId="7BFB99CC" w14:textId="77777777" w:rsidR="00FC026B" w:rsidRPr="00C56257" w:rsidRDefault="00FC026B" w:rsidP="00FC026B">
      <w:pPr>
        <w:ind w:firstLine="708"/>
        <w:jc w:val="both"/>
        <w:rPr>
          <w:rFonts w:eastAsia="Calibri"/>
        </w:rPr>
      </w:pPr>
      <w:r w:rsidRPr="00C56257">
        <w:rPr>
          <w:rFonts w:eastAsia="Calibri"/>
        </w:rPr>
        <w:t>Un estuar formează o unitate ecologică cu tipurile de habitat costier terestru înconjurătoare. În ceea ce priveşte conservarea naturii, aceste tipuri de habitat diferite nu ar trebui separate, şi această realitate trebuie luată în considerare în procesul de selectare a siturilor de importanţă comunitară.</w:t>
      </w:r>
    </w:p>
    <w:p w14:paraId="7E48201D" w14:textId="77777777" w:rsidR="00FC026B" w:rsidRPr="00C56257" w:rsidRDefault="00FC026B" w:rsidP="00FC026B">
      <w:pPr>
        <w:ind w:firstLine="708"/>
        <w:jc w:val="both"/>
        <w:rPr>
          <w:rFonts w:eastAsia="Calibri"/>
        </w:rPr>
      </w:pPr>
      <w:r w:rsidRPr="00C56257">
        <w:rPr>
          <w:rFonts w:eastAsia="Calibri"/>
        </w:rPr>
        <w:t>Acest habitat cuprinde mediolitoralul şi infralitoralul, fiind caracterizat de o salinitate redusă a apelor de suprafaţă şi de pătrunderea spre amonte a unui strat de apă marină profundă. În zona de amestec a apelor dulci cu cele salmastre au loc procese chimice în urma cărora are loc precipitarea unor particule fine. Pe aceste nuclee minerale se agregă particule organice, având ca rezultat sedimentarea unor mâluri fine, îmbogăţite organic, în care predomină condiţii anoxice, reducătoare. Astfel de procese au loc la gurile de vărsare ale Dunării şi în băile Musura şi Sahalin (la contactul cu apele Mării Negre din faţa lor până la izobata de 20 m), unde biocenozele şi parametri fizico-chimici sunt caracteristici apelor estuarine. De aceea, deşi mareele sunt foarte slabe (ca şi în mările Mediterană şi Baltică) şi gura de vărsare nu are forma tipică de pâlnie, aceste ape cu salinitate variabilă constituie un habitat estuarin.</w:t>
      </w:r>
    </w:p>
    <w:p w14:paraId="3005063A" w14:textId="77777777" w:rsidR="00FC026B" w:rsidRPr="00C56257" w:rsidRDefault="00FC026B" w:rsidP="00FC026B">
      <w:pPr>
        <w:autoSpaceDE w:val="0"/>
        <w:autoSpaceDN w:val="0"/>
        <w:adjustRightInd w:val="0"/>
        <w:ind w:firstLine="708"/>
        <w:jc w:val="both"/>
        <w:rPr>
          <w:rFonts w:eastAsia="Calibri"/>
        </w:rPr>
      </w:pPr>
      <w:r w:rsidRPr="00C56257">
        <w:rPr>
          <w:rFonts w:eastAsia="Calibri"/>
        </w:rPr>
        <w:t>Un program de monitorizare trebuie să ia în considerare întregul estuar, chiar și în cazul în care acesta poate conține și alte tipuri de habitat prevăzute în Anexa 1; aceste tip de habitat trebuie să aibă propriul program de monitorizare dedicat (a se vedea recifii, bancuri de nisip și suprafețe litorale). Un program de monitorizare pentru estuare poate, prin urmare, să fie o agregare atât a programelor de eșantionare pentru o serie de tipuri de habitat prevăzute în Anexa 1, cât și a unui program de prelevare de probe dedicat pentru tipuri de habitat suplimentare ale estuarului în întregime. Măsurarea întinderii unui estuar necesită definirea atentă a suprafeței de separație în raport cu limita dinspre mare, tranziția dinspre uscat spre râu și limita nivelului apei marine la flux. Pentru estuarele delimitate de maluri stâncoase sau de margini solide antropice, cum ar fi dane portuare sau faleze, măsurarea poate fi un simplu exercițiu cartografic, folosind cele mai actualizate hărți ale zonei.</w:t>
      </w:r>
    </w:p>
    <w:p w14:paraId="4BCCA521" w14:textId="77777777" w:rsidR="00FC026B" w:rsidRPr="00C56257" w:rsidRDefault="00FC026B" w:rsidP="00FC026B">
      <w:pPr>
        <w:autoSpaceDE w:val="0"/>
        <w:autoSpaceDN w:val="0"/>
        <w:adjustRightInd w:val="0"/>
        <w:ind w:firstLine="708"/>
        <w:jc w:val="both"/>
        <w:rPr>
          <w:rFonts w:eastAsia="Calibri"/>
          <w:lang w:val="it-IT"/>
        </w:rPr>
      </w:pPr>
      <w:r w:rsidRPr="00C56257">
        <w:rPr>
          <w:rFonts w:eastAsia="Calibri"/>
        </w:rPr>
        <w:t>Estuarele cu maluri „moi“, cum sunt sărăturile, pot necesita un exercițiu de cartografiere mult mai sofisticat, ca teledetecția, în special în estuarele dinamice, unde curenții de maree cauzează eroziunea și/sau acrețiunea acestor habitate „moi“. Poziția canalului principal al estuarului și, mai probabil, a cursurilor mai mici, se poate deplasa considerabil în timpul unei ciclu de monitorizare, deși impactul unei astfel de schimbări asupra întinderii estuarului poate fi neglijabil.</w:t>
      </w:r>
    </w:p>
    <w:p w14:paraId="04E7B676" w14:textId="77777777" w:rsidR="00FC026B" w:rsidRPr="00C56257" w:rsidRDefault="00FC026B" w:rsidP="00FC026B">
      <w:pPr>
        <w:ind w:firstLine="709"/>
        <w:jc w:val="both"/>
        <w:rPr>
          <w:rFonts w:eastAsia="Calibri"/>
        </w:rPr>
      </w:pPr>
      <w:r w:rsidRPr="00C56257">
        <w:rPr>
          <w:rFonts w:eastAsia="Calibri"/>
          <w:lang w:val="it-IT"/>
        </w:rPr>
        <w:t>Datorită amestecului celor două tipuri de apă din estuare, parametri fizico-chimici prezintă gradienți pronunțați.</w:t>
      </w:r>
      <w:r w:rsidRPr="00C56257">
        <w:rPr>
          <w:rFonts w:eastAsia="Calibri"/>
        </w:rPr>
        <w:t xml:space="preserve"> Ținând cont de aceste particularităţi, de influența acestora asupra structurii comunității fitoplanctonice, de prezenţa speciilor şi habitatelor marine de interes comunitar, de folosirea acestora din urmă pentru anumite etape ale ciclului de viaţă, monitorizarea va fi efectuată folosind metodologii specifice (Tabel 3.3), pe patru profile, cum este prezentat în Tabelul 4.1 (Capitolul 4).</w:t>
      </w:r>
    </w:p>
    <w:p w14:paraId="484F8DAE" w14:textId="77777777" w:rsidR="00FC026B" w:rsidRPr="00C56257" w:rsidRDefault="00FC026B" w:rsidP="00FC026B">
      <w:pPr>
        <w:jc w:val="both"/>
        <w:rPr>
          <w:rFonts w:eastAsia="Calibri"/>
          <w:lang w:val="it-IT"/>
        </w:rPr>
      </w:pPr>
    </w:p>
    <w:p w14:paraId="2EFB2A9F" w14:textId="77777777" w:rsidR="00FC026B" w:rsidRPr="00C56257" w:rsidRDefault="00FC026B" w:rsidP="00FC026B">
      <w:pPr>
        <w:ind w:firstLine="709"/>
        <w:jc w:val="both"/>
        <w:rPr>
          <w:rFonts w:eastAsia="Calibri"/>
          <w:lang w:val="it-IT"/>
        </w:rPr>
      </w:pPr>
    </w:p>
    <w:p w14:paraId="749EEA81" w14:textId="77777777" w:rsidR="00FC026B" w:rsidRPr="00C56257" w:rsidRDefault="00FC026B" w:rsidP="00FC026B">
      <w:pPr>
        <w:jc w:val="center"/>
        <w:rPr>
          <w:rFonts w:eastAsia="Calibri"/>
          <w:lang w:val="it-IT"/>
        </w:rPr>
      </w:pPr>
      <w:r w:rsidRPr="00C56257">
        <w:rPr>
          <w:rFonts w:eastAsia="Calibri"/>
          <w:lang w:val="it-IT"/>
        </w:rPr>
        <w:t xml:space="preserve">Tabelul </w:t>
      </w:r>
      <w:r>
        <w:rPr>
          <w:rFonts w:eastAsia="Calibri"/>
          <w:lang w:val="it-IT"/>
        </w:rPr>
        <w:t>1.8</w:t>
      </w:r>
      <w:r w:rsidRPr="00C56257">
        <w:rPr>
          <w:rFonts w:eastAsia="Calibri"/>
          <w:lang w:val="it-IT"/>
        </w:rPr>
        <w:t>: Tehnici pentru măsurarea atributelor estuarelor. Metode de evaluare a indicatorilor monitorizați în habitatul 1130.</w:t>
      </w:r>
    </w:p>
    <w:tbl>
      <w:tblPr>
        <w:tblW w:w="9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2"/>
        <w:gridCol w:w="4184"/>
        <w:gridCol w:w="3779"/>
      </w:tblGrid>
      <w:tr w:rsidR="00FC026B" w:rsidRPr="00C56257" w14:paraId="1290801E" w14:textId="77777777" w:rsidTr="00993B86">
        <w:trPr>
          <w:trHeight w:val="279"/>
        </w:trPr>
        <w:tc>
          <w:tcPr>
            <w:tcW w:w="1953" w:type="dxa"/>
            <w:tcBorders>
              <w:top w:val="single" w:sz="4" w:space="0" w:color="auto"/>
              <w:left w:val="single" w:sz="4" w:space="0" w:color="auto"/>
              <w:bottom w:val="single" w:sz="4" w:space="0" w:color="auto"/>
              <w:right w:val="single" w:sz="4" w:space="0" w:color="auto"/>
            </w:tcBorders>
            <w:hideMark/>
          </w:tcPr>
          <w:p w14:paraId="0F97416A" w14:textId="77777777" w:rsidR="00FC026B" w:rsidRPr="00C56257" w:rsidRDefault="00FC026B" w:rsidP="00993B86">
            <w:pPr>
              <w:autoSpaceDE w:val="0"/>
              <w:autoSpaceDN w:val="0"/>
              <w:adjustRightInd w:val="0"/>
              <w:jc w:val="both"/>
              <w:rPr>
                <w:rFonts w:eastAsia="Calibri"/>
                <w:b/>
                <w:i/>
              </w:rPr>
            </w:pPr>
            <w:r w:rsidRPr="00C56257">
              <w:rPr>
                <w:rFonts w:eastAsia="Calibri"/>
                <w:b/>
                <w:i/>
              </w:rPr>
              <w:t xml:space="preserve">(Atribut) Indicator generic </w:t>
            </w:r>
          </w:p>
        </w:tc>
        <w:tc>
          <w:tcPr>
            <w:tcW w:w="4185" w:type="dxa"/>
            <w:tcBorders>
              <w:top w:val="single" w:sz="4" w:space="0" w:color="auto"/>
              <w:left w:val="single" w:sz="4" w:space="0" w:color="auto"/>
              <w:bottom w:val="single" w:sz="4" w:space="0" w:color="auto"/>
              <w:right w:val="single" w:sz="4" w:space="0" w:color="auto"/>
            </w:tcBorders>
            <w:hideMark/>
          </w:tcPr>
          <w:p w14:paraId="38B53E60" w14:textId="77777777" w:rsidR="00FC026B" w:rsidRPr="00C56257" w:rsidRDefault="00FC026B" w:rsidP="00993B86">
            <w:pPr>
              <w:jc w:val="both"/>
              <w:rPr>
                <w:b/>
                <w:i/>
                <w:lang w:eastAsia="ro-RO"/>
              </w:rPr>
            </w:pPr>
            <w:r w:rsidRPr="00C56257">
              <w:rPr>
                <w:b/>
                <w:i/>
                <w:lang w:eastAsia="ro-RO"/>
              </w:rPr>
              <w:t>(Atribut) Indicator specific</w:t>
            </w:r>
          </w:p>
        </w:tc>
        <w:tc>
          <w:tcPr>
            <w:tcW w:w="3780" w:type="dxa"/>
            <w:tcBorders>
              <w:top w:val="single" w:sz="4" w:space="0" w:color="auto"/>
              <w:left w:val="single" w:sz="4" w:space="0" w:color="auto"/>
              <w:bottom w:val="single" w:sz="4" w:space="0" w:color="auto"/>
              <w:right w:val="single" w:sz="4" w:space="0" w:color="auto"/>
            </w:tcBorders>
            <w:hideMark/>
          </w:tcPr>
          <w:p w14:paraId="1C26AB90" w14:textId="77777777" w:rsidR="00FC026B" w:rsidRPr="00C56257" w:rsidRDefault="00FC026B" w:rsidP="00993B86">
            <w:pPr>
              <w:jc w:val="both"/>
              <w:rPr>
                <w:b/>
                <w:i/>
                <w:lang w:eastAsia="ro-RO"/>
              </w:rPr>
            </w:pPr>
            <w:r w:rsidRPr="00C56257">
              <w:rPr>
                <w:b/>
                <w:i/>
                <w:lang w:eastAsia="ro-RO"/>
              </w:rPr>
              <w:t>(Tehnică) Metode de evaluare</w:t>
            </w:r>
          </w:p>
        </w:tc>
      </w:tr>
      <w:tr w:rsidR="00FC026B" w:rsidRPr="00C56257" w14:paraId="2FC8E62E" w14:textId="77777777" w:rsidTr="00993B86">
        <w:trPr>
          <w:trHeight w:val="614"/>
        </w:trPr>
        <w:tc>
          <w:tcPr>
            <w:tcW w:w="1953" w:type="dxa"/>
            <w:tcBorders>
              <w:top w:val="single" w:sz="4" w:space="0" w:color="auto"/>
              <w:left w:val="single" w:sz="4" w:space="0" w:color="auto"/>
              <w:bottom w:val="single" w:sz="4" w:space="0" w:color="auto"/>
              <w:right w:val="single" w:sz="4" w:space="0" w:color="auto"/>
            </w:tcBorders>
            <w:hideMark/>
          </w:tcPr>
          <w:p w14:paraId="4C8FB958" w14:textId="77777777" w:rsidR="00FC026B" w:rsidRPr="00C56257" w:rsidRDefault="00FC026B" w:rsidP="00993B86">
            <w:pPr>
              <w:autoSpaceDE w:val="0"/>
              <w:autoSpaceDN w:val="0"/>
              <w:adjustRightInd w:val="0"/>
              <w:jc w:val="both"/>
              <w:rPr>
                <w:rFonts w:eastAsia="Calibri"/>
                <w:b/>
                <w:i/>
              </w:rPr>
            </w:pPr>
            <w:r w:rsidRPr="00C56257">
              <w:rPr>
                <w:rFonts w:eastAsia="Calibri"/>
              </w:rPr>
              <w:lastRenderedPageBreak/>
              <w:t>Întindere/ Distribuția spațială</w:t>
            </w:r>
          </w:p>
        </w:tc>
        <w:tc>
          <w:tcPr>
            <w:tcW w:w="4185" w:type="dxa"/>
            <w:tcBorders>
              <w:top w:val="single" w:sz="4" w:space="0" w:color="auto"/>
              <w:left w:val="single" w:sz="4" w:space="0" w:color="auto"/>
              <w:bottom w:val="single" w:sz="4" w:space="0" w:color="auto"/>
              <w:right w:val="single" w:sz="4" w:space="0" w:color="auto"/>
            </w:tcBorders>
            <w:hideMark/>
          </w:tcPr>
          <w:p w14:paraId="40C63285" w14:textId="77777777" w:rsidR="00FC026B" w:rsidRPr="00C56257" w:rsidRDefault="00FC026B" w:rsidP="00993B86">
            <w:pPr>
              <w:jc w:val="both"/>
              <w:rPr>
                <w:lang w:eastAsia="ro-RO"/>
              </w:rPr>
            </w:pPr>
            <w:r w:rsidRPr="00C56257">
              <w:rPr>
                <w:lang w:eastAsia="ro-RO"/>
              </w:rPr>
              <w:t xml:space="preserve">Suprafață </w:t>
            </w:r>
          </w:p>
          <w:p w14:paraId="0E8CF215" w14:textId="77777777" w:rsidR="00FC026B" w:rsidRPr="00C56257" w:rsidRDefault="00FC026B" w:rsidP="00993B86">
            <w:pPr>
              <w:jc w:val="both"/>
              <w:rPr>
                <w:b/>
                <w:i/>
                <w:lang w:eastAsia="ro-RO"/>
              </w:rPr>
            </w:pPr>
            <w:r w:rsidRPr="00C56257">
              <w:rPr>
                <w:rFonts w:eastAsia="Calibri"/>
                <w:lang w:val="it-IT"/>
              </w:rPr>
              <w:t>Model spațial al distribuției subtipurilor</w:t>
            </w:r>
          </w:p>
        </w:tc>
        <w:tc>
          <w:tcPr>
            <w:tcW w:w="3780" w:type="dxa"/>
            <w:tcBorders>
              <w:top w:val="single" w:sz="4" w:space="0" w:color="auto"/>
              <w:left w:val="single" w:sz="4" w:space="0" w:color="auto"/>
              <w:bottom w:val="single" w:sz="4" w:space="0" w:color="auto"/>
              <w:right w:val="single" w:sz="4" w:space="0" w:color="auto"/>
            </w:tcBorders>
            <w:hideMark/>
          </w:tcPr>
          <w:p w14:paraId="502FDA55" w14:textId="77777777" w:rsidR="00FC026B" w:rsidRPr="00C56257" w:rsidRDefault="00FC026B" w:rsidP="00993B86">
            <w:pPr>
              <w:rPr>
                <w:lang w:val="it-IT" w:eastAsia="ro-RO"/>
              </w:rPr>
            </w:pPr>
            <w:r w:rsidRPr="00C56257">
              <w:rPr>
                <w:lang w:val="it-IT" w:eastAsia="ro-RO"/>
              </w:rPr>
              <w:t>Analiză fotografii aeriene/ măsurători batimetrie/sidescan; imagistică teledetecție; analiză GIS;</w:t>
            </w:r>
          </w:p>
          <w:p w14:paraId="56D7CC63" w14:textId="77777777" w:rsidR="00FC026B" w:rsidRPr="00C56257" w:rsidRDefault="00FC026B" w:rsidP="00993B86">
            <w:pPr>
              <w:rPr>
                <w:lang w:val="it-IT" w:eastAsia="ro-RO"/>
              </w:rPr>
            </w:pPr>
            <w:r w:rsidRPr="00C56257">
              <w:t>Cartare cu ajutorul datelor colectate prin teledetecție și probe chimice și biologice</w:t>
            </w:r>
          </w:p>
        </w:tc>
      </w:tr>
      <w:tr w:rsidR="00FC026B" w:rsidRPr="00C56257" w14:paraId="42685952" w14:textId="77777777" w:rsidTr="00993B86">
        <w:trPr>
          <w:trHeight w:val="1620"/>
        </w:trPr>
        <w:tc>
          <w:tcPr>
            <w:tcW w:w="1953" w:type="dxa"/>
            <w:tcBorders>
              <w:top w:val="single" w:sz="4" w:space="0" w:color="auto"/>
              <w:left w:val="single" w:sz="4" w:space="0" w:color="auto"/>
              <w:bottom w:val="single" w:sz="4" w:space="0" w:color="auto"/>
              <w:right w:val="single" w:sz="4" w:space="0" w:color="auto"/>
            </w:tcBorders>
            <w:hideMark/>
          </w:tcPr>
          <w:p w14:paraId="493341FC" w14:textId="77777777" w:rsidR="00FC026B" w:rsidRPr="00C56257" w:rsidRDefault="00FC026B" w:rsidP="00993B86">
            <w:pPr>
              <w:jc w:val="both"/>
              <w:rPr>
                <w:rFonts w:eastAsia="Calibri"/>
              </w:rPr>
            </w:pPr>
            <w:r w:rsidRPr="00C56257">
              <w:rPr>
                <w:rFonts w:eastAsia="Calibri"/>
              </w:rPr>
              <w:t>Proprietăți fizice și chimice</w:t>
            </w:r>
          </w:p>
        </w:tc>
        <w:tc>
          <w:tcPr>
            <w:tcW w:w="4185" w:type="dxa"/>
            <w:tcBorders>
              <w:top w:val="single" w:sz="4" w:space="0" w:color="auto"/>
              <w:left w:val="single" w:sz="4" w:space="0" w:color="auto"/>
              <w:bottom w:val="single" w:sz="4" w:space="0" w:color="auto"/>
              <w:right w:val="single" w:sz="4" w:space="0" w:color="auto"/>
            </w:tcBorders>
            <w:hideMark/>
          </w:tcPr>
          <w:p w14:paraId="4E774121" w14:textId="77777777" w:rsidR="00FC026B" w:rsidRPr="00C56257" w:rsidRDefault="00FC026B" w:rsidP="00993B86">
            <w:pPr>
              <w:autoSpaceDE w:val="0"/>
              <w:autoSpaceDN w:val="0"/>
              <w:adjustRightInd w:val="0"/>
              <w:rPr>
                <w:rFonts w:eastAsia="Calibri"/>
                <w:color w:val="000000"/>
              </w:rPr>
            </w:pPr>
            <w:r w:rsidRPr="00C56257">
              <w:rPr>
                <w:rFonts w:eastAsia="Calibri"/>
                <w:color w:val="000000"/>
              </w:rPr>
              <w:t>Echilibru morfologic</w:t>
            </w:r>
          </w:p>
          <w:p w14:paraId="500A6DFF" w14:textId="77777777" w:rsidR="00FC026B" w:rsidRPr="00C56257" w:rsidRDefault="00FC026B" w:rsidP="00993B86">
            <w:pPr>
              <w:autoSpaceDE w:val="0"/>
              <w:autoSpaceDN w:val="0"/>
              <w:adjustRightInd w:val="0"/>
              <w:rPr>
                <w:rFonts w:eastAsia="Calibri"/>
              </w:rPr>
            </w:pPr>
            <w:r w:rsidRPr="00C56257">
              <w:rPr>
                <w:rFonts w:eastAsia="Calibri"/>
                <w:color w:val="000000"/>
              </w:rPr>
              <w:t xml:space="preserve">Temperatură, </w:t>
            </w:r>
            <w:r w:rsidRPr="00C56257">
              <w:rPr>
                <w:rFonts w:eastAsia="Calibri"/>
              </w:rPr>
              <w:t>transparență/turbiditate/suspensii apă, salinitate</w:t>
            </w:r>
          </w:p>
          <w:p w14:paraId="3B2AB5C4" w14:textId="77777777" w:rsidR="00FC026B" w:rsidRPr="00C56257" w:rsidRDefault="00FC026B" w:rsidP="00993B86">
            <w:pPr>
              <w:rPr>
                <w:lang w:val="it-IT" w:eastAsia="ro-RO"/>
              </w:rPr>
            </w:pPr>
            <w:r w:rsidRPr="00C56257">
              <w:rPr>
                <w:lang w:val="it-IT" w:eastAsia="ro-RO"/>
              </w:rPr>
              <w:t>Compoziția chimică a apei</w:t>
            </w:r>
          </w:p>
          <w:p w14:paraId="708BE9C8" w14:textId="77777777" w:rsidR="00FC026B" w:rsidRPr="00C56257" w:rsidRDefault="00FC026B" w:rsidP="00993B86">
            <w:pPr>
              <w:rPr>
                <w:color w:val="000000"/>
                <w:lang w:val="it-IT" w:eastAsia="ro-RO"/>
              </w:rPr>
            </w:pPr>
            <w:r w:rsidRPr="00C56257">
              <w:rPr>
                <w:color w:val="000000"/>
                <w:lang w:val="it-IT" w:eastAsia="ro-RO"/>
              </w:rPr>
              <w:t>Regimul îmbogățirii cu nutrienți</w:t>
            </w:r>
          </w:p>
          <w:p w14:paraId="429485BB" w14:textId="77777777" w:rsidR="00FC026B" w:rsidRPr="00C56257" w:rsidRDefault="00FC026B" w:rsidP="00993B86">
            <w:pPr>
              <w:rPr>
                <w:lang w:val="it-IT" w:eastAsia="ro-RO"/>
              </w:rPr>
            </w:pPr>
            <w:r w:rsidRPr="00C56257">
              <w:rPr>
                <w:lang w:val="it-IT" w:eastAsia="ro-RO"/>
              </w:rPr>
              <w:t xml:space="preserve">Concentrația clorofilei </w:t>
            </w:r>
            <w:r w:rsidRPr="00C56257">
              <w:rPr>
                <w:i/>
                <w:lang w:val="it-IT" w:eastAsia="ro-RO"/>
              </w:rPr>
              <w:t>a</w:t>
            </w:r>
          </w:p>
        </w:tc>
        <w:tc>
          <w:tcPr>
            <w:tcW w:w="3780" w:type="dxa"/>
            <w:tcBorders>
              <w:top w:val="single" w:sz="4" w:space="0" w:color="auto"/>
              <w:left w:val="single" w:sz="4" w:space="0" w:color="auto"/>
              <w:bottom w:val="single" w:sz="4" w:space="0" w:color="auto"/>
              <w:right w:val="single" w:sz="4" w:space="0" w:color="auto"/>
            </w:tcBorders>
            <w:hideMark/>
          </w:tcPr>
          <w:p w14:paraId="56DB3C4F" w14:textId="77777777" w:rsidR="00FC026B" w:rsidRPr="00C56257" w:rsidRDefault="00FC026B" w:rsidP="00993B86">
            <w:pPr>
              <w:autoSpaceDE w:val="0"/>
              <w:autoSpaceDN w:val="0"/>
              <w:adjustRightInd w:val="0"/>
              <w:jc w:val="both"/>
              <w:rPr>
                <w:rFonts w:eastAsia="Calibri"/>
                <w:color w:val="000000"/>
                <w:lang w:val="it-IT"/>
              </w:rPr>
            </w:pPr>
            <w:r w:rsidRPr="00C56257">
              <w:rPr>
                <w:rFonts w:eastAsia="Calibri"/>
                <w:color w:val="000000"/>
                <w:lang w:val="it-IT"/>
              </w:rPr>
              <w:t>Cartare batimetrică; curent-metre</w:t>
            </w:r>
          </w:p>
          <w:p w14:paraId="33A599B0" w14:textId="77777777" w:rsidR="00FC026B" w:rsidRPr="00C56257" w:rsidRDefault="00FC026B" w:rsidP="00993B86">
            <w:pPr>
              <w:jc w:val="both"/>
              <w:rPr>
                <w:lang w:val="it-IT" w:eastAsia="ro-RO"/>
              </w:rPr>
            </w:pPr>
            <w:r w:rsidRPr="00C56257">
              <w:rPr>
                <w:lang w:val="it-IT" w:eastAsia="ro-RO"/>
              </w:rPr>
              <w:t>CTD, sondă multiparametru</w:t>
            </w:r>
          </w:p>
          <w:p w14:paraId="7305B97E" w14:textId="77777777" w:rsidR="00FC026B" w:rsidRPr="00C56257" w:rsidRDefault="00FC026B" w:rsidP="00993B86">
            <w:pPr>
              <w:autoSpaceDE w:val="0"/>
              <w:autoSpaceDN w:val="0"/>
              <w:adjustRightInd w:val="0"/>
              <w:jc w:val="both"/>
              <w:rPr>
                <w:rFonts w:eastAsia="Calibri"/>
                <w:lang w:val="it-IT"/>
              </w:rPr>
            </w:pPr>
            <w:r w:rsidRPr="00C56257">
              <w:rPr>
                <w:rFonts w:eastAsia="Calibri"/>
                <w:lang w:val="it-IT"/>
              </w:rPr>
              <w:t>Disc Secch</w:t>
            </w:r>
            <w:r w:rsidRPr="00C56257">
              <w:rPr>
                <w:rFonts w:eastAsia="Calibri"/>
                <w:color w:val="000000"/>
                <w:lang w:val="it-IT"/>
              </w:rPr>
              <w:t>i; măsurarea cu senzori optici</w:t>
            </w:r>
            <w:r w:rsidRPr="00C56257">
              <w:rPr>
                <w:rFonts w:eastAsia="Calibri"/>
                <w:lang w:val="it-IT"/>
              </w:rPr>
              <w:t xml:space="preserve">; </w:t>
            </w:r>
          </w:p>
          <w:p w14:paraId="3DAA1EB2" w14:textId="77777777" w:rsidR="00FC026B" w:rsidRPr="00C56257" w:rsidRDefault="00FC026B" w:rsidP="00993B86">
            <w:pPr>
              <w:jc w:val="both"/>
              <w:rPr>
                <w:lang w:val="it-IT" w:eastAsia="ro-RO"/>
              </w:rPr>
            </w:pPr>
            <w:r w:rsidRPr="00C56257">
              <w:rPr>
                <w:lang w:val="it-IT" w:eastAsia="ro-RO"/>
              </w:rPr>
              <w:t>Analiză de apă: nutrienți, oxigen dizolvat și saturație, TOC</w:t>
            </w:r>
          </w:p>
        </w:tc>
      </w:tr>
      <w:tr w:rsidR="00FC026B" w:rsidRPr="00C56257" w14:paraId="22223C62" w14:textId="77777777" w:rsidTr="00993B86">
        <w:trPr>
          <w:trHeight w:val="575"/>
        </w:trPr>
        <w:tc>
          <w:tcPr>
            <w:tcW w:w="1953" w:type="dxa"/>
            <w:vMerge w:val="restart"/>
            <w:tcBorders>
              <w:top w:val="single" w:sz="4" w:space="0" w:color="auto"/>
              <w:left w:val="single" w:sz="4" w:space="0" w:color="auto"/>
              <w:bottom w:val="single" w:sz="4" w:space="0" w:color="auto"/>
              <w:right w:val="single" w:sz="4" w:space="0" w:color="auto"/>
            </w:tcBorders>
            <w:hideMark/>
          </w:tcPr>
          <w:p w14:paraId="383783A5" w14:textId="77777777" w:rsidR="00FC026B" w:rsidRPr="00C56257" w:rsidRDefault="00FC026B" w:rsidP="00993B86">
            <w:pPr>
              <w:autoSpaceDE w:val="0"/>
              <w:autoSpaceDN w:val="0"/>
              <w:adjustRightInd w:val="0"/>
              <w:jc w:val="both"/>
              <w:rPr>
                <w:rFonts w:eastAsia="Calibri"/>
                <w:color w:val="000000"/>
                <w:lang w:val="it-IT"/>
              </w:rPr>
            </w:pPr>
            <w:r w:rsidRPr="00C56257">
              <w:rPr>
                <w:rFonts w:eastAsia="Calibri"/>
              </w:rPr>
              <w:t>Structura habitatului</w:t>
            </w:r>
          </w:p>
        </w:tc>
        <w:tc>
          <w:tcPr>
            <w:tcW w:w="4185" w:type="dxa"/>
            <w:tcBorders>
              <w:top w:val="single" w:sz="4" w:space="0" w:color="auto"/>
              <w:left w:val="single" w:sz="4" w:space="0" w:color="auto"/>
              <w:bottom w:val="single" w:sz="4" w:space="0" w:color="auto"/>
              <w:right w:val="single" w:sz="4" w:space="0" w:color="auto"/>
            </w:tcBorders>
            <w:hideMark/>
          </w:tcPr>
          <w:p w14:paraId="44C21726" w14:textId="77777777" w:rsidR="00FC026B" w:rsidRPr="00C56257" w:rsidRDefault="00FC026B" w:rsidP="00993B86">
            <w:pPr>
              <w:autoSpaceDE w:val="0"/>
              <w:autoSpaceDN w:val="0"/>
              <w:adjustRightInd w:val="0"/>
              <w:rPr>
                <w:rFonts w:eastAsia="Calibri"/>
              </w:rPr>
            </w:pPr>
            <w:r w:rsidRPr="00C56257">
              <w:rPr>
                <w:rFonts w:eastAsia="Calibri"/>
              </w:rPr>
              <w:t>Specii caracteristice</w:t>
            </w:r>
          </w:p>
          <w:p w14:paraId="64FEEE36" w14:textId="77777777" w:rsidR="00FC026B" w:rsidRPr="00C56257" w:rsidRDefault="00FC026B" w:rsidP="00993B86">
            <w:pPr>
              <w:autoSpaceDE w:val="0"/>
              <w:autoSpaceDN w:val="0"/>
              <w:adjustRightInd w:val="0"/>
              <w:rPr>
                <w:rFonts w:eastAsia="Calibri"/>
                <w:color w:val="000000"/>
              </w:rPr>
            </w:pPr>
            <w:r w:rsidRPr="00C56257">
              <w:rPr>
                <w:rFonts w:eastAsia="Calibri"/>
              </w:rPr>
              <w:t>(comunităţi fitoplanctonice şi zooplancton, pești)</w:t>
            </w:r>
          </w:p>
        </w:tc>
        <w:tc>
          <w:tcPr>
            <w:tcW w:w="3780" w:type="dxa"/>
            <w:tcBorders>
              <w:top w:val="single" w:sz="4" w:space="0" w:color="auto"/>
              <w:left w:val="single" w:sz="4" w:space="0" w:color="auto"/>
              <w:bottom w:val="single" w:sz="4" w:space="0" w:color="auto"/>
              <w:right w:val="single" w:sz="4" w:space="0" w:color="auto"/>
            </w:tcBorders>
            <w:hideMark/>
          </w:tcPr>
          <w:p w14:paraId="23056C8E" w14:textId="77777777" w:rsidR="00FC026B" w:rsidRPr="00C56257" w:rsidRDefault="00FC026B" w:rsidP="00993B86">
            <w:pPr>
              <w:autoSpaceDE w:val="0"/>
              <w:autoSpaceDN w:val="0"/>
              <w:adjustRightInd w:val="0"/>
              <w:jc w:val="both"/>
              <w:rPr>
                <w:rFonts w:eastAsia="Calibri"/>
                <w:lang w:val="fr-FR"/>
              </w:rPr>
            </w:pPr>
            <w:proofErr w:type="spellStart"/>
            <w:r w:rsidRPr="00C56257">
              <w:rPr>
                <w:lang w:val="fr-FR"/>
              </w:rPr>
              <w:t>Analiză</w:t>
            </w:r>
            <w:proofErr w:type="spellEnd"/>
            <w:r w:rsidRPr="00C56257">
              <w:rPr>
                <w:lang w:val="fr-FR"/>
              </w:rPr>
              <w:t xml:space="preserve"> de </w:t>
            </w:r>
            <w:proofErr w:type="spellStart"/>
            <w:r w:rsidRPr="00C56257">
              <w:rPr>
                <w:lang w:val="fr-FR"/>
              </w:rPr>
              <w:t>apă</w:t>
            </w:r>
            <w:proofErr w:type="spellEnd"/>
            <w:r w:rsidRPr="00C56257">
              <w:rPr>
                <w:lang w:val="fr-FR"/>
              </w:rPr>
              <w:t xml:space="preserve">, </w:t>
            </w:r>
            <w:proofErr w:type="spellStart"/>
            <w:r w:rsidRPr="00C56257">
              <w:rPr>
                <w:lang w:val="fr-FR"/>
              </w:rPr>
              <w:t>inventariere</w:t>
            </w:r>
            <w:proofErr w:type="spellEnd"/>
            <w:r w:rsidRPr="00C56257">
              <w:rPr>
                <w:lang w:val="fr-FR"/>
              </w:rPr>
              <w:t xml:space="preserve"> </w:t>
            </w:r>
            <w:proofErr w:type="spellStart"/>
            <w:r w:rsidRPr="00C56257">
              <w:rPr>
                <w:lang w:val="fr-FR"/>
              </w:rPr>
              <w:t>specii</w:t>
            </w:r>
            <w:proofErr w:type="spellEnd"/>
            <w:r w:rsidRPr="00C56257">
              <w:rPr>
                <w:lang w:val="fr-FR"/>
              </w:rPr>
              <w:t xml:space="preserve"> </w:t>
            </w:r>
            <w:proofErr w:type="spellStart"/>
            <w:r w:rsidRPr="00C56257">
              <w:rPr>
                <w:lang w:val="fr-FR"/>
              </w:rPr>
              <w:t>pești</w:t>
            </w:r>
            <w:proofErr w:type="spellEnd"/>
            <w:r w:rsidRPr="00C56257">
              <w:rPr>
                <w:lang w:val="fr-FR"/>
              </w:rPr>
              <w:t xml:space="preserve"> </w:t>
            </w:r>
            <w:proofErr w:type="spellStart"/>
            <w:r w:rsidRPr="00C56257">
              <w:rPr>
                <w:lang w:val="fr-FR"/>
              </w:rPr>
              <w:t>prin</w:t>
            </w:r>
            <w:proofErr w:type="spellEnd"/>
            <w:r w:rsidRPr="00C56257">
              <w:rPr>
                <w:lang w:val="fr-FR"/>
              </w:rPr>
              <w:t xml:space="preserve"> </w:t>
            </w:r>
            <w:proofErr w:type="spellStart"/>
            <w:r w:rsidRPr="00C56257">
              <w:rPr>
                <w:lang w:val="fr-FR"/>
              </w:rPr>
              <w:t>prelevare</w:t>
            </w:r>
            <w:proofErr w:type="spellEnd"/>
            <w:r w:rsidRPr="00C56257">
              <w:rPr>
                <w:lang w:val="fr-FR"/>
              </w:rPr>
              <w:t xml:space="preserve"> probe </w:t>
            </w:r>
            <w:r w:rsidRPr="00C56257">
              <w:rPr>
                <w:rFonts w:eastAsia="Calibri"/>
              </w:rPr>
              <w:t>din p</w:t>
            </w:r>
            <w:r w:rsidRPr="00C56257">
              <w:t>escuit de sond</w:t>
            </w:r>
            <w:r w:rsidRPr="00C56257">
              <w:rPr>
                <w:rFonts w:eastAsia="Calibri"/>
              </w:rPr>
              <w:t xml:space="preserve">aj cu traulul pelagic, năvodul şi cu setcile </w:t>
            </w:r>
          </w:p>
        </w:tc>
      </w:tr>
      <w:tr w:rsidR="00FC026B" w:rsidRPr="00C56257" w14:paraId="03066DF7" w14:textId="77777777" w:rsidTr="00993B86">
        <w:trPr>
          <w:trHeight w:val="540"/>
        </w:trPr>
        <w:tc>
          <w:tcPr>
            <w:tcW w:w="1953" w:type="dxa"/>
            <w:vMerge/>
            <w:tcBorders>
              <w:top w:val="single" w:sz="4" w:space="0" w:color="auto"/>
              <w:left w:val="single" w:sz="4" w:space="0" w:color="auto"/>
              <w:bottom w:val="single" w:sz="4" w:space="0" w:color="auto"/>
              <w:right w:val="single" w:sz="4" w:space="0" w:color="auto"/>
            </w:tcBorders>
            <w:vAlign w:val="center"/>
            <w:hideMark/>
          </w:tcPr>
          <w:p w14:paraId="1673494E" w14:textId="77777777" w:rsidR="00FC026B" w:rsidRPr="00F100E1" w:rsidRDefault="00FC026B" w:rsidP="00993B86">
            <w:pPr>
              <w:rPr>
                <w:rFonts w:eastAsia="Calibri"/>
                <w:color w:val="000000"/>
                <w:lang w:val="it-IT"/>
              </w:rPr>
            </w:pPr>
          </w:p>
        </w:tc>
        <w:tc>
          <w:tcPr>
            <w:tcW w:w="4185" w:type="dxa"/>
            <w:tcBorders>
              <w:top w:val="single" w:sz="4" w:space="0" w:color="auto"/>
              <w:left w:val="single" w:sz="4" w:space="0" w:color="auto"/>
              <w:bottom w:val="single" w:sz="4" w:space="0" w:color="auto"/>
              <w:right w:val="single" w:sz="4" w:space="0" w:color="auto"/>
            </w:tcBorders>
            <w:hideMark/>
          </w:tcPr>
          <w:p w14:paraId="5FCFF6AC" w14:textId="77777777" w:rsidR="00FC026B" w:rsidRPr="00C56257" w:rsidRDefault="00FC026B" w:rsidP="00993B86">
            <w:pPr>
              <w:autoSpaceDE w:val="0"/>
              <w:autoSpaceDN w:val="0"/>
              <w:adjustRightInd w:val="0"/>
              <w:jc w:val="both"/>
              <w:rPr>
                <w:rFonts w:eastAsia="Calibri"/>
                <w:color w:val="000000"/>
              </w:rPr>
            </w:pPr>
            <w:r w:rsidRPr="00C56257">
              <w:rPr>
                <w:rFonts w:eastAsia="Calibri"/>
                <w:lang w:val="it-IT"/>
              </w:rPr>
              <w:t>Alte specii rare / amenințate (de pești)</w:t>
            </w:r>
          </w:p>
        </w:tc>
        <w:tc>
          <w:tcPr>
            <w:tcW w:w="3780" w:type="dxa"/>
            <w:tcBorders>
              <w:top w:val="single" w:sz="4" w:space="0" w:color="auto"/>
              <w:left w:val="single" w:sz="4" w:space="0" w:color="auto"/>
              <w:bottom w:val="single" w:sz="4" w:space="0" w:color="auto"/>
              <w:right w:val="single" w:sz="4" w:space="0" w:color="auto"/>
            </w:tcBorders>
            <w:hideMark/>
          </w:tcPr>
          <w:p w14:paraId="48370D4F" w14:textId="77777777" w:rsidR="00FC026B" w:rsidRPr="00C56257" w:rsidRDefault="00FC026B" w:rsidP="00993B86">
            <w:pPr>
              <w:rPr>
                <w:lang w:val="fr-FR" w:eastAsia="ro-RO"/>
              </w:rPr>
            </w:pPr>
            <w:r w:rsidRPr="00C56257">
              <w:rPr>
                <w:lang w:eastAsia="ro-RO"/>
              </w:rPr>
              <w:t>Pescuit de sondaj cu setcile experimentale de alose și sturioni</w:t>
            </w:r>
          </w:p>
        </w:tc>
      </w:tr>
    </w:tbl>
    <w:p w14:paraId="28B53D2D" w14:textId="77777777" w:rsidR="00FC026B" w:rsidRPr="00F100E1" w:rsidRDefault="00FC026B" w:rsidP="00FC026B">
      <w:pPr>
        <w:ind w:firstLine="708"/>
        <w:jc w:val="both"/>
        <w:rPr>
          <w:rFonts w:eastAsia="Calibri"/>
        </w:rPr>
      </w:pPr>
    </w:p>
    <w:p w14:paraId="4BF8B3C7" w14:textId="77777777" w:rsidR="00FC026B" w:rsidRPr="00C56257" w:rsidRDefault="00FC026B" w:rsidP="00FC026B">
      <w:pPr>
        <w:ind w:firstLine="708"/>
        <w:jc w:val="both"/>
        <w:rPr>
          <w:rFonts w:eastAsia="Calibri"/>
        </w:rPr>
      </w:pPr>
      <w:r w:rsidRPr="00C56257">
        <w:rPr>
          <w:rFonts w:eastAsia="Calibri"/>
        </w:rPr>
        <w:t>În perioada 2007-2012, s-a analizat starea de conservare a habitatul estuarin la nivel european conform articolului 17 din Directiva Habitate. Concluzia generală a fost nefavorabilă (U2) în toate regiunile, cu excepția Mării Negre. Habitatul pare să se afle în cele mai grave condiții în nordul regiunii Oceanului Atlantic. Aici ambii parametri, „structuri și funcții“ și „perspective“ au fost considerați în stare nefavorabilă. Situația din Marea Baltică a fost, de asemenea, nefavorabilă, având perspective inadecvate. În această regiune, estuarele au fost evaluate ca fiind critic amenințate (CR) în Lista Roșie a habitatelor subacvatice din Marea Baltică a HELCOM. În regiunea Mării Mediterane, perspectivele au fost considerate rele. În regiunea Mării Negre, concluzia a fost favorabilă (FV), datorată în mare parte zonei mari a habitatului din România. O mare parte a zonei din România se află în situl Natura2000 ROSCI0066, Delta Dunării. Deși amenințările și presiunile sunt numeroase, multe legate de dezvoltarea, utilizarea apei (modificarea fluxului de apă), calitatea apei și pescuit, Delta Dunării este o zonă într-o stare de conservare relativ bună și un sit al patrimoniului mondial UNESCO (EEA, 2007-2012).</w:t>
      </w:r>
    </w:p>
    <w:p w14:paraId="1F15AE44" w14:textId="77777777" w:rsidR="00FC026B" w:rsidRPr="00C56257" w:rsidRDefault="00FC026B" w:rsidP="00FC026B">
      <w:pPr>
        <w:ind w:firstLine="720"/>
        <w:jc w:val="both"/>
        <w:rPr>
          <w:rFonts w:eastAsia="Calibri"/>
        </w:rPr>
      </w:pPr>
      <w:r w:rsidRPr="00C56257">
        <w:rPr>
          <w:rFonts w:eastAsia="Calibri"/>
          <w:b/>
          <w:i/>
        </w:rPr>
        <w:t>Principalele presiuni şi amenințări</w:t>
      </w:r>
      <w:r w:rsidRPr="00C56257">
        <w:rPr>
          <w:rFonts w:eastAsia="Calibri"/>
        </w:rPr>
        <w:t xml:space="preserve"> identificate până în prezent, pe baza analizei activităţilor desfăşurate în zonă şi a evoluţiei factorilor climatici, sunt: extracția nisipului, transport maritim, amenajarea și întreținerea plajelor pentru turism și recreere, poluarea apelor marine din diverse surse (marine și costiere), modificări ale curenților marini, acumularea de material organic în sedimente, procese naturale de eutrofizare și acidifiere, precum și modificări în distribuția speciilor datorită schimbărilor climatice. Ca urmare, </w:t>
      </w:r>
      <w:r w:rsidRPr="00C56257">
        <w:rPr>
          <w:rFonts w:eastAsia="Calibri"/>
          <w:b/>
          <w:i/>
        </w:rPr>
        <w:t>măsurile de conserva</w:t>
      </w:r>
      <w:r w:rsidRPr="00C56257">
        <w:rPr>
          <w:rFonts w:eastAsia="Calibri"/>
          <w:b/>
        </w:rPr>
        <w:t xml:space="preserve">re </w:t>
      </w:r>
      <w:r w:rsidRPr="00C56257">
        <w:rPr>
          <w:rFonts w:eastAsia="Calibri"/>
        </w:rPr>
        <w:t>se concentrează pe:</w:t>
      </w:r>
      <w:r w:rsidRPr="00C56257">
        <w:rPr>
          <w:rFonts w:eastAsia="Calibri"/>
          <w:lang w:val="en-US"/>
        </w:rPr>
        <w:t xml:space="preserve"> </w:t>
      </w:r>
      <w:r w:rsidRPr="00C56257">
        <w:rPr>
          <w:rFonts w:eastAsia="Calibri"/>
        </w:rPr>
        <w:t>gestionarea poluării marine rezultată din exploatarea resurselor, producerea de energie, transportul maritim, activitățile industriale și comerciale, reducerea contaminării cu deșeuri marine și reducerea impactului modificărilor hidrologice, și gestionarea corespunzătoare a habitatelor pentru încetinirea, oprirea sau inversarea proceselor naturale.</w:t>
      </w:r>
    </w:p>
    <w:p w14:paraId="1DCB196F" w14:textId="77777777" w:rsidR="00FC026B" w:rsidRPr="00C56257" w:rsidRDefault="00FC026B" w:rsidP="00FC026B">
      <w:pPr>
        <w:jc w:val="both"/>
        <w:rPr>
          <w:b/>
          <w:i/>
          <w:lang w:val="it-IT" w:eastAsia="ro-RO"/>
        </w:rPr>
      </w:pPr>
    </w:p>
    <w:p w14:paraId="139B69AE" w14:textId="77777777" w:rsidR="00FC026B" w:rsidRPr="00C56257" w:rsidRDefault="00FC026B" w:rsidP="00FC026B">
      <w:pPr>
        <w:autoSpaceDE w:val="0"/>
        <w:autoSpaceDN w:val="0"/>
        <w:adjustRightInd w:val="0"/>
        <w:rPr>
          <w:rFonts w:eastAsia="Calibri"/>
          <w:b/>
          <w:lang w:val="it-IT"/>
        </w:rPr>
      </w:pPr>
      <w:r w:rsidRPr="00C56257">
        <w:rPr>
          <w:rFonts w:eastAsia="Calibri"/>
          <w:b/>
          <w:bCs/>
          <w:lang w:val="it-IT"/>
        </w:rPr>
        <w:t xml:space="preserve">1140 </w:t>
      </w:r>
      <w:r w:rsidRPr="00C56257">
        <w:rPr>
          <w:rFonts w:eastAsia="Calibri"/>
          <w:b/>
          <w:lang w:val="it-IT"/>
        </w:rPr>
        <w:t xml:space="preserve">Suprafeţe de mâl şi nisip neacoperite de apa mării la maree joasă </w:t>
      </w:r>
    </w:p>
    <w:p w14:paraId="4C31EE15" w14:textId="77777777" w:rsidR="00FC026B" w:rsidRPr="00C56257" w:rsidRDefault="00FC026B" w:rsidP="00FC026B">
      <w:pPr>
        <w:autoSpaceDE w:val="0"/>
        <w:autoSpaceDN w:val="0"/>
        <w:adjustRightInd w:val="0"/>
        <w:rPr>
          <w:rFonts w:eastAsia="Calibri"/>
          <w:lang w:val="it-IT"/>
        </w:rPr>
      </w:pPr>
      <w:r w:rsidRPr="00C56257">
        <w:rPr>
          <w:rFonts w:eastAsia="Calibri"/>
          <w:lang w:val="it-IT"/>
        </w:rPr>
        <w:t>CLAS. PAL.: 14</w:t>
      </w:r>
    </w:p>
    <w:p w14:paraId="32878C79" w14:textId="77777777" w:rsidR="00FC026B" w:rsidRPr="00C56257" w:rsidRDefault="00FC026B" w:rsidP="00FC026B">
      <w:pPr>
        <w:autoSpaceDE w:val="0"/>
        <w:autoSpaceDN w:val="0"/>
        <w:adjustRightInd w:val="0"/>
        <w:ind w:firstLine="720"/>
        <w:jc w:val="both"/>
        <w:rPr>
          <w:rFonts w:eastAsia="Calibri"/>
          <w:lang w:val="it-IT"/>
        </w:rPr>
      </w:pPr>
    </w:p>
    <w:p w14:paraId="1524C691" w14:textId="77777777" w:rsidR="00FC026B" w:rsidRPr="00C56257" w:rsidRDefault="00FC026B" w:rsidP="00FC026B">
      <w:pPr>
        <w:autoSpaceDE w:val="0"/>
        <w:autoSpaceDN w:val="0"/>
        <w:adjustRightInd w:val="0"/>
        <w:ind w:firstLine="720"/>
        <w:jc w:val="both"/>
        <w:rPr>
          <w:rFonts w:eastAsia="Calibri"/>
          <w:lang w:val="it-IT"/>
        </w:rPr>
      </w:pPr>
      <w:r w:rsidRPr="00C56257">
        <w:rPr>
          <w:rFonts w:eastAsia="Calibri"/>
          <w:lang w:val="it-IT"/>
        </w:rPr>
        <w:lastRenderedPageBreak/>
        <w:t>Habitat de o importanţă deosebită, cuprinde în general nisipuri şi amestecuri nisipos - mâloase şi detritice din zona de coastă a mărilor şi oceanelor, implicit a zonelor lagunare conexe. Suprafeţele ocupate de acest habitat sunt caracterizate de lipsa acoperirii de către apa mării la reflux, lipsa plantelor vasculare, precum şi de apariţia pe zone extinse a algelor albastre şi diatomeelor. Subtipurile acestui habitat prezintă o mare importanţă în asigurarea resurselor de hrană pentru păsări de apă.</w:t>
      </w:r>
    </w:p>
    <w:p w14:paraId="3EE25C87" w14:textId="77777777" w:rsidR="00FC026B" w:rsidRPr="00C56257" w:rsidRDefault="00FC026B" w:rsidP="00FC026B">
      <w:pPr>
        <w:autoSpaceDE w:val="0"/>
        <w:autoSpaceDN w:val="0"/>
        <w:adjustRightInd w:val="0"/>
        <w:ind w:firstLine="720"/>
        <w:jc w:val="both"/>
        <w:rPr>
          <w:rFonts w:eastAsia="Calibri"/>
          <w:lang w:val="it-IT"/>
        </w:rPr>
      </w:pPr>
      <w:r w:rsidRPr="00C56257">
        <w:rPr>
          <w:rFonts w:eastAsia="Calibri"/>
          <w:lang w:val="it-IT"/>
        </w:rPr>
        <w:t xml:space="preserve">Din cauza faptului că Marea Neagră are o amplitudine a mareelor de aproximativ 0,3 m, ceea ce poate fi definit ca aproape neglijabil, putem conchide fasupra ideii că acest habitat se limitează la supralitoralul şi mediolitoralul plajelor nisipoase. </w:t>
      </w:r>
    </w:p>
    <w:p w14:paraId="0D047532" w14:textId="77777777" w:rsidR="00FC026B" w:rsidRPr="00C56257" w:rsidRDefault="00FC026B" w:rsidP="00FC026B">
      <w:pPr>
        <w:autoSpaceDE w:val="0"/>
        <w:autoSpaceDN w:val="0"/>
        <w:adjustRightInd w:val="0"/>
        <w:ind w:firstLine="720"/>
        <w:jc w:val="both"/>
        <w:rPr>
          <w:rFonts w:eastAsia="Calibri"/>
          <w:lang w:val="en-US"/>
        </w:rPr>
      </w:pPr>
      <w:r w:rsidRPr="00C56257">
        <w:rPr>
          <w:rFonts w:eastAsia="Calibri"/>
          <w:lang w:val="en-US"/>
        </w:rPr>
        <w:t xml:space="preserve">La </w:t>
      </w:r>
      <w:proofErr w:type="spellStart"/>
      <w:r w:rsidRPr="00C56257">
        <w:rPr>
          <w:rFonts w:eastAsia="Calibri"/>
          <w:lang w:val="en-US"/>
        </w:rPr>
        <w:t>litoralul</w:t>
      </w:r>
      <w:proofErr w:type="spellEnd"/>
      <w:r w:rsidRPr="00C56257">
        <w:rPr>
          <w:rFonts w:eastAsia="Calibri"/>
          <w:lang w:val="en-US"/>
        </w:rPr>
        <w:t xml:space="preserve"> </w:t>
      </w:r>
      <w:proofErr w:type="spellStart"/>
      <w:r w:rsidRPr="00C56257">
        <w:rPr>
          <w:rFonts w:eastAsia="Calibri"/>
          <w:lang w:val="en-US"/>
        </w:rPr>
        <w:t>românesc</w:t>
      </w:r>
      <w:proofErr w:type="spellEnd"/>
      <w:r w:rsidRPr="00C56257">
        <w:rPr>
          <w:rFonts w:eastAsia="Calibri"/>
          <w:lang w:val="en-US"/>
        </w:rPr>
        <w:t xml:space="preserve"> </w:t>
      </w:r>
      <w:proofErr w:type="spellStart"/>
      <w:r w:rsidRPr="00C56257">
        <w:rPr>
          <w:rFonts w:eastAsia="Calibri"/>
          <w:lang w:val="en-US"/>
        </w:rPr>
        <w:t>putem</w:t>
      </w:r>
      <w:proofErr w:type="spellEnd"/>
      <w:r w:rsidRPr="00C56257">
        <w:rPr>
          <w:rFonts w:eastAsia="Calibri"/>
          <w:lang w:val="en-US"/>
        </w:rPr>
        <w:t xml:space="preserve"> </w:t>
      </w:r>
      <w:proofErr w:type="spellStart"/>
      <w:r w:rsidRPr="00C56257">
        <w:rPr>
          <w:rFonts w:eastAsia="Calibri"/>
          <w:lang w:val="en-US"/>
        </w:rPr>
        <w:t>grupa</w:t>
      </w:r>
      <w:proofErr w:type="spellEnd"/>
      <w:r w:rsidRPr="00C56257">
        <w:rPr>
          <w:rFonts w:eastAsia="Calibri"/>
          <w:lang w:val="en-US"/>
        </w:rPr>
        <w:t xml:space="preserve"> </w:t>
      </w:r>
      <w:proofErr w:type="spellStart"/>
      <w:r w:rsidRPr="00C56257">
        <w:rPr>
          <w:rFonts w:eastAsia="Calibri"/>
          <w:lang w:val="en-US"/>
        </w:rPr>
        <w:t>variaţiunile</w:t>
      </w:r>
      <w:proofErr w:type="spellEnd"/>
      <w:r w:rsidRPr="00C56257">
        <w:rPr>
          <w:rFonts w:eastAsia="Calibri"/>
          <w:lang w:val="en-US"/>
        </w:rPr>
        <w:t xml:space="preserve"> de </w:t>
      </w:r>
      <w:proofErr w:type="spellStart"/>
      <w:r w:rsidRPr="00C56257">
        <w:rPr>
          <w:rFonts w:eastAsia="Calibri"/>
          <w:lang w:val="en-US"/>
        </w:rPr>
        <w:t>prezenţă</w:t>
      </w:r>
      <w:proofErr w:type="spellEnd"/>
      <w:r w:rsidRPr="00C56257">
        <w:rPr>
          <w:rFonts w:eastAsia="Calibri"/>
          <w:lang w:val="en-US"/>
        </w:rPr>
        <w:t xml:space="preserve"> a </w:t>
      </w:r>
      <w:proofErr w:type="spellStart"/>
      <w:r w:rsidRPr="00C56257">
        <w:rPr>
          <w:rFonts w:eastAsia="Calibri"/>
          <w:lang w:val="en-US"/>
        </w:rPr>
        <w:t>acestui</w:t>
      </w:r>
      <w:proofErr w:type="spellEnd"/>
      <w:r w:rsidRPr="00C56257">
        <w:rPr>
          <w:rFonts w:eastAsia="Calibri"/>
          <w:lang w:val="en-US"/>
        </w:rPr>
        <w:t xml:space="preserve"> tip de habitat </w:t>
      </w:r>
      <w:proofErr w:type="spellStart"/>
      <w:r w:rsidRPr="00C56257">
        <w:rPr>
          <w:rFonts w:eastAsia="Calibri"/>
          <w:lang w:val="en-US"/>
        </w:rPr>
        <w:t>în</w:t>
      </w:r>
      <w:proofErr w:type="spellEnd"/>
      <w:r w:rsidRPr="00C56257">
        <w:rPr>
          <w:rFonts w:eastAsia="Calibri"/>
          <w:lang w:val="en-US"/>
        </w:rPr>
        <w:t xml:space="preserve"> </w:t>
      </w:r>
      <w:proofErr w:type="spellStart"/>
      <w:r w:rsidRPr="00C56257">
        <w:rPr>
          <w:rFonts w:eastAsia="Calibri"/>
          <w:lang w:val="en-US"/>
        </w:rPr>
        <w:t>câteva</w:t>
      </w:r>
      <w:proofErr w:type="spellEnd"/>
      <w:r w:rsidRPr="00C56257">
        <w:rPr>
          <w:rFonts w:eastAsia="Calibri"/>
          <w:lang w:val="en-US"/>
        </w:rPr>
        <w:t xml:space="preserve"> </w:t>
      </w:r>
      <w:proofErr w:type="spellStart"/>
      <w:r w:rsidRPr="00C56257">
        <w:rPr>
          <w:rFonts w:eastAsia="Calibri"/>
          <w:lang w:val="en-US"/>
        </w:rPr>
        <w:t>forme-cadru</w:t>
      </w:r>
      <w:proofErr w:type="spellEnd"/>
      <w:r w:rsidRPr="00C56257">
        <w:rPr>
          <w:rFonts w:eastAsia="Calibri"/>
          <w:lang w:val="en-US"/>
        </w:rPr>
        <w:t xml:space="preserve">, </w:t>
      </w:r>
      <w:proofErr w:type="spellStart"/>
      <w:r w:rsidRPr="00C56257">
        <w:rPr>
          <w:rFonts w:eastAsia="Calibri"/>
          <w:lang w:val="en-US"/>
        </w:rPr>
        <w:t>după</w:t>
      </w:r>
      <w:proofErr w:type="spellEnd"/>
      <w:r w:rsidRPr="00C56257">
        <w:rPr>
          <w:rFonts w:eastAsia="Calibri"/>
          <w:lang w:val="en-US"/>
        </w:rPr>
        <w:t xml:space="preserve"> cum </w:t>
      </w:r>
      <w:proofErr w:type="spellStart"/>
      <w:r w:rsidRPr="00C56257">
        <w:rPr>
          <w:rFonts w:eastAsia="Calibri"/>
          <w:lang w:val="en-US"/>
        </w:rPr>
        <w:t>urmează</w:t>
      </w:r>
      <w:proofErr w:type="spellEnd"/>
      <w:r w:rsidRPr="00C56257">
        <w:rPr>
          <w:rFonts w:eastAsia="Calibri"/>
          <w:lang w:val="en-US"/>
        </w:rPr>
        <w:t>:</w:t>
      </w:r>
    </w:p>
    <w:p w14:paraId="7F10C3F2" w14:textId="77777777" w:rsidR="00FC026B" w:rsidRPr="00F100E1" w:rsidRDefault="00FC026B" w:rsidP="009E63E5">
      <w:pPr>
        <w:numPr>
          <w:ilvl w:val="0"/>
          <w:numId w:val="170"/>
        </w:numPr>
        <w:autoSpaceDE w:val="0"/>
        <w:autoSpaceDN w:val="0"/>
        <w:adjustRightInd w:val="0"/>
        <w:jc w:val="both"/>
        <w:rPr>
          <w:rFonts w:eastAsia="Calibri"/>
          <w:lang w:val="en-US"/>
        </w:rPr>
      </w:pPr>
      <w:proofErr w:type="spellStart"/>
      <w:r w:rsidRPr="00C56257">
        <w:rPr>
          <w:rFonts w:eastAsia="Calibri"/>
          <w:lang w:val="en-US"/>
        </w:rPr>
        <w:t>Nisipuri</w:t>
      </w:r>
      <w:proofErr w:type="spellEnd"/>
      <w:r w:rsidRPr="00C56257">
        <w:rPr>
          <w:rFonts w:eastAsia="Calibri"/>
          <w:lang w:val="en-US"/>
        </w:rPr>
        <w:t xml:space="preserve"> </w:t>
      </w:r>
      <w:proofErr w:type="spellStart"/>
      <w:r w:rsidRPr="00C56257">
        <w:rPr>
          <w:rFonts w:eastAsia="Calibri"/>
          <w:lang w:val="en-US"/>
        </w:rPr>
        <w:t>supralitorale</w:t>
      </w:r>
      <w:proofErr w:type="spellEnd"/>
      <w:r w:rsidRPr="00C56257">
        <w:rPr>
          <w:rFonts w:eastAsia="Calibri"/>
          <w:lang w:val="en-US"/>
        </w:rPr>
        <w:t xml:space="preserve">, </w:t>
      </w:r>
      <w:proofErr w:type="spellStart"/>
      <w:r w:rsidRPr="00C56257">
        <w:rPr>
          <w:rFonts w:eastAsia="Calibri"/>
          <w:lang w:val="en-US"/>
        </w:rPr>
        <w:t>acoperite</w:t>
      </w:r>
      <w:proofErr w:type="spellEnd"/>
      <w:r w:rsidRPr="00C56257">
        <w:rPr>
          <w:rFonts w:eastAsia="Calibri"/>
          <w:lang w:val="en-US"/>
        </w:rPr>
        <w:t xml:space="preserve"> </w:t>
      </w:r>
      <w:proofErr w:type="spellStart"/>
      <w:r w:rsidRPr="00C56257">
        <w:rPr>
          <w:rFonts w:eastAsia="Calibri"/>
          <w:lang w:val="en-US"/>
        </w:rPr>
        <w:t>sau</w:t>
      </w:r>
      <w:proofErr w:type="spellEnd"/>
      <w:r w:rsidRPr="00C56257">
        <w:rPr>
          <w:rFonts w:eastAsia="Calibri"/>
          <w:lang w:val="en-US"/>
        </w:rPr>
        <w:t xml:space="preserve"> nu cu </w:t>
      </w:r>
      <w:proofErr w:type="spellStart"/>
      <w:r w:rsidRPr="00C56257">
        <w:rPr>
          <w:rFonts w:eastAsia="Calibri"/>
          <w:lang w:val="en-US"/>
        </w:rPr>
        <w:t>depozite</w:t>
      </w:r>
      <w:proofErr w:type="spellEnd"/>
      <w:r w:rsidRPr="00C56257">
        <w:rPr>
          <w:rFonts w:eastAsia="Calibri"/>
          <w:lang w:val="en-US"/>
        </w:rPr>
        <w:t xml:space="preserve"> </w:t>
      </w:r>
      <w:proofErr w:type="spellStart"/>
      <w:r w:rsidRPr="00C56257">
        <w:rPr>
          <w:rFonts w:eastAsia="Calibri"/>
          <w:lang w:val="en-US"/>
        </w:rPr>
        <w:t>detritice</w:t>
      </w:r>
      <w:proofErr w:type="spellEnd"/>
      <w:r w:rsidRPr="00C56257">
        <w:rPr>
          <w:rFonts w:eastAsia="Calibri"/>
          <w:lang w:val="en-US"/>
        </w:rPr>
        <w:t xml:space="preserve">, </w:t>
      </w:r>
      <w:proofErr w:type="spellStart"/>
      <w:r w:rsidRPr="00C56257">
        <w:rPr>
          <w:rFonts w:eastAsia="Calibri"/>
          <w:lang w:val="en-US"/>
        </w:rPr>
        <w:t>având</w:t>
      </w:r>
      <w:proofErr w:type="spellEnd"/>
      <w:r w:rsidRPr="00C56257">
        <w:rPr>
          <w:rFonts w:eastAsia="Calibri"/>
          <w:lang w:val="en-US"/>
        </w:rPr>
        <w:t xml:space="preserve"> </w:t>
      </w:r>
      <w:proofErr w:type="spellStart"/>
      <w:r w:rsidRPr="00C56257">
        <w:rPr>
          <w:rFonts w:eastAsia="Calibri"/>
          <w:lang w:val="en-US"/>
        </w:rPr>
        <w:t>uscare</w:t>
      </w:r>
      <w:proofErr w:type="spellEnd"/>
      <w:r w:rsidRPr="00C56257">
        <w:rPr>
          <w:rFonts w:eastAsia="Calibri"/>
          <w:lang w:val="en-US"/>
        </w:rPr>
        <w:t xml:space="preserve"> </w:t>
      </w:r>
      <w:proofErr w:type="spellStart"/>
      <w:r w:rsidRPr="00C56257">
        <w:rPr>
          <w:rFonts w:eastAsia="Calibri"/>
          <w:lang w:val="en-US"/>
        </w:rPr>
        <w:t>rapidă</w:t>
      </w:r>
      <w:proofErr w:type="spellEnd"/>
      <w:r w:rsidRPr="00C56257">
        <w:rPr>
          <w:rFonts w:eastAsia="Calibri"/>
          <w:lang w:val="en-US"/>
        </w:rPr>
        <w:t xml:space="preserve">. Această </w:t>
      </w:r>
      <w:proofErr w:type="spellStart"/>
      <w:r w:rsidRPr="00C56257">
        <w:rPr>
          <w:rFonts w:eastAsia="Calibri"/>
          <w:lang w:val="en-US"/>
        </w:rPr>
        <w:t>formă</w:t>
      </w:r>
      <w:proofErr w:type="spellEnd"/>
      <w:r w:rsidRPr="00C56257">
        <w:rPr>
          <w:rFonts w:eastAsia="Calibri"/>
          <w:lang w:val="en-US"/>
        </w:rPr>
        <w:t xml:space="preserve"> </w:t>
      </w:r>
      <w:proofErr w:type="spellStart"/>
      <w:r w:rsidRPr="00C56257">
        <w:rPr>
          <w:rFonts w:eastAsia="Calibri"/>
          <w:lang w:val="en-US"/>
        </w:rPr>
        <w:t>ocupă</w:t>
      </w:r>
      <w:proofErr w:type="spellEnd"/>
      <w:r w:rsidRPr="00C56257">
        <w:rPr>
          <w:rFonts w:eastAsia="Calibri"/>
          <w:lang w:val="en-US"/>
        </w:rPr>
        <w:t xml:space="preserve"> </w:t>
      </w:r>
      <w:proofErr w:type="spellStart"/>
      <w:r w:rsidRPr="00C56257">
        <w:rPr>
          <w:rFonts w:eastAsia="Calibri"/>
          <w:lang w:val="en-US"/>
        </w:rPr>
        <w:t>acea</w:t>
      </w:r>
      <w:proofErr w:type="spellEnd"/>
      <w:r w:rsidRPr="00C56257">
        <w:rPr>
          <w:rFonts w:eastAsia="Calibri"/>
          <w:lang w:val="en-US"/>
        </w:rPr>
        <w:t xml:space="preserve"> </w:t>
      </w:r>
      <w:proofErr w:type="spellStart"/>
      <w:r w:rsidRPr="00C56257">
        <w:rPr>
          <w:rFonts w:eastAsia="Calibri"/>
          <w:lang w:val="en-US"/>
        </w:rPr>
        <w:t>parte</w:t>
      </w:r>
      <w:proofErr w:type="spellEnd"/>
      <w:r w:rsidRPr="00C56257">
        <w:rPr>
          <w:rFonts w:eastAsia="Calibri"/>
          <w:lang w:val="en-US"/>
        </w:rPr>
        <w:t xml:space="preserve"> a </w:t>
      </w:r>
      <w:proofErr w:type="spellStart"/>
      <w:r w:rsidRPr="00C56257">
        <w:rPr>
          <w:rFonts w:eastAsia="Calibri"/>
          <w:lang w:val="en-US"/>
        </w:rPr>
        <w:t>plajei</w:t>
      </w:r>
      <w:proofErr w:type="spellEnd"/>
      <w:r w:rsidRPr="00C56257">
        <w:rPr>
          <w:rFonts w:eastAsia="Calibri"/>
          <w:lang w:val="en-US"/>
        </w:rPr>
        <w:t xml:space="preserve"> care nu </w:t>
      </w:r>
      <w:proofErr w:type="spellStart"/>
      <w:r w:rsidRPr="00C56257">
        <w:rPr>
          <w:rFonts w:eastAsia="Calibri"/>
          <w:lang w:val="en-US"/>
        </w:rPr>
        <w:t>este</w:t>
      </w:r>
      <w:proofErr w:type="spellEnd"/>
      <w:r w:rsidRPr="00C56257">
        <w:rPr>
          <w:rFonts w:eastAsia="Calibri"/>
          <w:lang w:val="en-US"/>
        </w:rPr>
        <w:t xml:space="preserve"> </w:t>
      </w:r>
      <w:proofErr w:type="spellStart"/>
      <w:r w:rsidRPr="00C56257">
        <w:rPr>
          <w:rFonts w:eastAsia="Calibri"/>
          <w:lang w:val="en-US"/>
        </w:rPr>
        <w:t>udată</w:t>
      </w:r>
      <w:proofErr w:type="spellEnd"/>
      <w:r w:rsidRPr="00C56257">
        <w:rPr>
          <w:rFonts w:eastAsia="Calibri"/>
          <w:lang w:val="en-US"/>
        </w:rPr>
        <w:t xml:space="preserve"> de mare </w:t>
      </w:r>
      <w:proofErr w:type="spellStart"/>
      <w:r w:rsidRPr="00C56257">
        <w:rPr>
          <w:rFonts w:eastAsia="Calibri"/>
          <w:lang w:val="en-US"/>
        </w:rPr>
        <w:t>decât</w:t>
      </w:r>
      <w:proofErr w:type="spellEnd"/>
      <w:r w:rsidRPr="00C56257">
        <w:rPr>
          <w:rFonts w:eastAsia="Calibri"/>
          <w:lang w:val="en-US"/>
        </w:rPr>
        <w:t xml:space="preserve"> cu </w:t>
      </w:r>
      <w:proofErr w:type="spellStart"/>
      <w:r w:rsidRPr="00C56257">
        <w:rPr>
          <w:rFonts w:eastAsia="Calibri"/>
          <w:lang w:val="en-US"/>
        </w:rPr>
        <w:t>ocazia</w:t>
      </w:r>
      <w:proofErr w:type="spellEnd"/>
      <w:r w:rsidRPr="00C56257">
        <w:rPr>
          <w:rFonts w:eastAsia="Calibri"/>
          <w:lang w:val="en-US"/>
        </w:rPr>
        <w:t xml:space="preserve"> </w:t>
      </w:r>
      <w:proofErr w:type="spellStart"/>
      <w:r w:rsidRPr="00C56257">
        <w:rPr>
          <w:rFonts w:eastAsia="Calibri"/>
          <w:lang w:val="en-US"/>
        </w:rPr>
        <w:t>furtunilor</w:t>
      </w:r>
      <w:proofErr w:type="spellEnd"/>
      <w:r w:rsidRPr="00C56257">
        <w:rPr>
          <w:rFonts w:eastAsia="Calibri"/>
          <w:lang w:val="en-US"/>
        </w:rPr>
        <w:t xml:space="preserve"> </w:t>
      </w:r>
      <w:proofErr w:type="spellStart"/>
      <w:r w:rsidRPr="00C56257">
        <w:rPr>
          <w:rFonts w:eastAsia="Calibri"/>
          <w:lang w:val="en-US"/>
        </w:rPr>
        <w:t>ceva</w:t>
      </w:r>
      <w:proofErr w:type="spellEnd"/>
      <w:r w:rsidRPr="00C56257">
        <w:rPr>
          <w:rFonts w:eastAsia="Calibri"/>
          <w:lang w:val="en-US"/>
        </w:rPr>
        <w:t xml:space="preserve"> </w:t>
      </w:r>
      <w:proofErr w:type="spellStart"/>
      <w:r w:rsidRPr="00C56257">
        <w:rPr>
          <w:rFonts w:eastAsia="Calibri"/>
          <w:lang w:val="en-US"/>
        </w:rPr>
        <w:t>mai</w:t>
      </w:r>
      <w:proofErr w:type="spellEnd"/>
      <w:r w:rsidRPr="00C56257">
        <w:rPr>
          <w:rFonts w:eastAsia="Calibri"/>
          <w:lang w:val="en-US"/>
        </w:rPr>
        <w:t xml:space="preserve"> </w:t>
      </w:r>
      <w:proofErr w:type="spellStart"/>
      <w:r w:rsidRPr="00C56257">
        <w:rPr>
          <w:rFonts w:eastAsia="Calibri"/>
          <w:lang w:val="en-US"/>
        </w:rPr>
        <w:t>puternice</w:t>
      </w:r>
      <w:proofErr w:type="spellEnd"/>
      <w:r w:rsidRPr="00C56257">
        <w:rPr>
          <w:rFonts w:eastAsia="Calibri"/>
          <w:lang w:val="en-US"/>
        </w:rPr>
        <w:t xml:space="preserve">. </w:t>
      </w:r>
      <w:proofErr w:type="spellStart"/>
      <w:r w:rsidRPr="00C56257">
        <w:rPr>
          <w:rFonts w:eastAsia="Calibri"/>
          <w:lang w:val="en-US"/>
        </w:rPr>
        <w:t>Depozitele</w:t>
      </w:r>
      <w:proofErr w:type="spellEnd"/>
      <w:r w:rsidRPr="00C56257">
        <w:rPr>
          <w:rFonts w:eastAsia="Calibri"/>
          <w:lang w:val="en-US"/>
        </w:rPr>
        <w:t xml:space="preserve"> </w:t>
      </w:r>
      <w:proofErr w:type="spellStart"/>
      <w:r w:rsidRPr="00C56257">
        <w:rPr>
          <w:rFonts w:eastAsia="Calibri"/>
          <w:lang w:val="en-US"/>
        </w:rPr>
        <w:t>detritice</w:t>
      </w:r>
      <w:proofErr w:type="spellEnd"/>
      <w:r w:rsidRPr="00C56257">
        <w:rPr>
          <w:rFonts w:eastAsia="Calibri"/>
          <w:lang w:val="en-US"/>
        </w:rPr>
        <w:t xml:space="preserve"> </w:t>
      </w:r>
      <w:proofErr w:type="spellStart"/>
      <w:r w:rsidRPr="00C56257">
        <w:rPr>
          <w:rFonts w:eastAsia="Calibri"/>
          <w:lang w:val="en-US"/>
        </w:rPr>
        <w:t>despre</w:t>
      </w:r>
      <w:proofErr w:type="spellEnd"/>
      <w:r w:rsidRPr="00C56257">
        <w:rPr>
          <w:rFonts w:eastAsia="Calibri"/>
          <w:lang w:val="en-US"/>
        </w:rPr>
        <w:t xml:space="preserve"> care </w:t>
      </w:r>
      <w:proofErr w:type="spellStart"/>
      <w:r w:rsidRPr="00C56257">
        <w:rPr>
          <w:rFonts w:eastAsia="Calibri"/>
          <w:lang w:val="en-US"/>
        </w:rPr>
        <w:t>facem</w:t>
      </w:r>
      <w:proofErr w:type="spellEnd"/>
      <w:r w:rsidRPr="00C56257">
        <w:rPr>
          <w:rFonts w:eastAsia="Calibri"/>
          <w:lang w:val="en-US"/>
        </w:rPr>
        <w:t xml:space="preserve"> </w:t>
      </w:r>
      <w:proofErr w:type="spellStart"/>
      <w:r w:rsidRPr="00C56257">
        <w:rPr>
          <w:rFonts w:eastAsia="Calibri"/>
          <w:lang w:val="en-US"/>
        </w:rPr>
        <w:t>vorbire</w:t>
      </w:r>
      <w:proofErr w:type="spellEnd"/>
      <w:r w:rsidRPr="00C56257">
        <w:rPr>
          <w:rFonts w:eastAsia="Calibri"/>
          <w:lang w:val="en-US"/>
        </w:rPr>
        <w:t xml:space="preserve"> sunt </w:t>
      </w:r>
      <w:proofErr w:type="spellStart"/>
      <w:r w:rsidRPr="00C56257">
        <w:rPr>
          <w:rFonts w:eastAsia="Calibri"/>
          <w:lang w:val="en-US"/>
        </w:rPr>
        <w:t>cel</w:t>
      </w:r>
      <w:proofErr w:type="spellEnd"/>
      <w:r w:rsidRPr="00C56257">
        <w:rPr>
          <w:rFonts w:eastAsia="Calibri"/>
          <w:lang w:val="en-US"/>
        </w:rPr>
        <w:t xml:space="preserve"> </w:t>
      </w:r>
      <w:proofErr w:type="spellStart"/>
      <w:r w:rsidRPr="00C56257">
        <w:rPr>
          <w:rFonts w:eastAsia="Calibri"/>
          <w:lang w:val="en-US"/>
        </w:rPr>
        <w:t>mai</w:t>
      </w:r>
      <w:proofErr w:type="spellEnd"/>
      <w:r w:rsidRPr="00C56257">
        <w:rPr>
          <w:rFonts w:eastAsia="Calibri"/>
          <w:lang w:val="en-US"/>
        </w:rPr>
        <w:t xml:space="preserve"> </w:t>
      </w:r>
      <w:proofErr w:type="spellStart"/>
      <w:r w:rsidRPr="00C56257">
        <w:rPr>
          <w:rFonts w:eastAsia="Calibri"/>
          <w:lang w:val="en-US"/>
        </w:rPr>
        <w:t>adesea</w:t>
      </w:r>
      <w:proofErr w:type="spellEnd"/>
      <w:r w:rsidRPr="00C56257">
        <w:rPr>
          <w:rFonts w:eastAsia="Calibri"/>
          <w:lang w:val="en-US"/>
        </w:rPr>
        <w:t xml:space="preserve"> </w:t>
      </w:r>
      <w:proofErr w:type="spellStart"/>
      <w:r w:rsidRPr="00C56257">
        <w:rPr>
          <w:rFonts w:eastAsia="Calibri"/>
          <w:lang w:val="en-US"/>
        </w:rPr>
        <w:t>reprezentate</w:t>
      </w:r>
      <w:proofErr w:type="spellEnd"/>
      <w:r w:rsidRPr="00C56257">
        <w:rPr>
          <w:rFonts w:eastAsia="Calibri"/>
          <w:lang w:val="en-US"/>
        </w:rPr>
        <w:t xml:space="preserve"> de </w:t>
      </w:r>
      <w:proofErr w:type="spellStart"/>
      <w:r w:rsidRPr="00C56257">
        <w:rPr>
          <w:rFonts w:eastAsia="Calibri"/>
          <w:lang w:val="en-US"/>
        </w:rPr>
        <w:t>materiale</w:t>
      </w:r>
      <w:proofErr w:type="spellEnd"/>
      <w:r w:rsidRPr="00C56257">
        <w:rPr>
          <w:rFonts w:eastAsia="Calibri"/>
          <w:lang w:val="en-US"/>
        </w:rPr>
        <w:t xml:space="preserve"> </w:t>
      </w:r>
      <w:proofErr w:type="spellStart"/>
      <w:r w:rsidRPr="00C56257">
        <w:rPr>
          <w:rFonts w:eastAsia="Calibri"/>
          <w:lang w:val="en-US"/>
        </w:rPr>
        <w:t>aduse</w:t>
      </w:r>
      <w:proofErr w:type="spellEnd"/>
      <w:r w:rsidRPr="00C56257">
        <w:rPr>
          <w:rFonts w:eastAsia="Calibri"/>
          <w:lang w:val="en-US"/>
        </w:rPr>
        <w:t xml:space="preserve"> de </w:t>
      </w:r>
      <w:proofErr w:type="spellStart"/>
      <w:r w:rsidRPr="00C56257">
        <w:rPr>
          <w:rFonts w:eastAsia="Calibri"/>
          <w:lang w:val="en-US"/>
        </w:rPr>
        <w:t>valuri</w:t>
      </w:r>
      <w:proofErr w:type="spellEnd"/>
      <w:r w:rsidRPr="00C56257">
        <w:rPr>
          <w:rFonts w:eastAsia="Calibri"/>
          <w:lang w:val="en-US"/>
        </w:rPr>
        <w:t xml:space="preserve">, </w:t>
      </w:r>
      <w:proofErr w:type="spellStart"/>
      <w:r w:rsidRPr="00C56257">
        <w:rPr>
          <w:rFonts w:eastAsia="Calibri"/>
          <w:lang w:val="en-US"/>
        </w:rPr>
        <w:t>având</w:t>
      </w:r>
      <w:proofErr w:type="spellEnd"/>
      <w:r w:rsidRPr="00C56257">
        <w:rPr>
          <w:rFonts w:eastAsia="Calibri"/>
          <w:lang w:val="en-US"/>
        </w:rPr>
        <w:t xml:space="preserve"> </w:t>
      </w:r>
      <w:proofErr w:type="spellStart"/>
      <w:r w:rsidRPr="00C56257">
        <w:rPr>
          <w:rFonts w:eastAsia="Calibri"/>
          <w:lang w:val="en-US"/>
        </w:rPr>
        <w:t>origine</w:t>
      </w:r>
      <w:proofErr w:type="spellEnd"/>
      <w:r w:rsidRPr="00C56257">
        <w:rPr>
          <w:rFonts w:eastAsia="Calibri"/>
          <w:lang w:val="en-US"/>
        </w:rPr>
        <w:t xml:space="preserve"> </w:t>
      </w:r>
      <w:proofErr w:type="spellStart"/>
      <w:r w:rsidRPr="00C56257">
        <w:rPr>
          <w:rFonts w:eastAsia="Calibri"/>
          <w:lang w:val="en-US"/>
        </w:rPr>
        <w:t>vegetală</w:t>
      </w:r>
      <w:proofErr w:type="spellEnd"/>
      <w:r w:rsidRPr="00C56257">
        <w:rPr>
          <w:rFonts w:eastAsia="Calibri"/>
          <w:lang w:val="en-US"/>
        </w:rPr>
        <w:t xml:space="preserve">, </w:t>
      </w:r>
      <w:proofErr w:type="spellStart"/>
      <w:r w:rsidRPr="00C56257">
        <w:rPr>
          <w:rFonts w:eastAsia="Calibri"/>
          <w:lang w:val="en-US"/>
        </w:rPr>
        <w:t>animală</w:t>
      </w:r>
      <w:proofErr w:type="spellEnd"/>
      <w:r w:rsidRPr="00C56257">
        <w:rPr>
          <w:rFonts w:eastAsia="Calibri"/>
          <w:lang w:val="en-US"/>
        </w:rPr>
        <w:t xml:space="preserve"> </w:t>
      </w:r>
      <w:proofErr w:type="spellStart"/>
      <w:r w:rsidRPr="00C56257">
        <w:rPr>
          <w:rFonts w:eastAsia="Calibri"/>
          <w:lang w:val="en-US"/>
        </w:rPr>
        <w:t>sau</w:t>
      </w:r>
      <w:proofErr w:type="spellEnd"/>
      <w:r w:rsidRPr="00C56257">
        <w:rPr>
          <w:rFonts w:eastAsia="Calibri"/>
          <w:lang w:val="en-US"/>
        </w:rPr>
        <w:t xml:space="preserve"> </w:t>
      </w:r>
      <w:proofErr w:type="spellStart"/>
      <w:r w:rsidRPr="00C56257">
        <w:rPr>
          <w:rFonts w:eastAsia="Calibri"/>
          <w:lang w:val="en-US"/>
        </w:rPr>
        <w:t>chiar</w:t>
      </w:r>
      <w:proofErr w:type="spellEnd"/>
      <w:r w:rsidRPr="00C56257">
        <w:rPr>
          <w:rFonts w:eastAsia="Calibri"/>
          <w:lang w:val="en-US"/>
        </w:rPr>
        <w:t xml:space="preserve"> </w:t>
      </w:r>
      <w:proofErr w:type="spellStart"/>
      <w:r w:rsidRPr="00C56257">
        <w:rPr>
          <w:rFonts w:eastAsia="Calibri"/>
          <w:lang w:val="en-US"/>
        </w:rPr>
        <w:t>antropică</w:t>
      </w:r>
      <w:proofErr w:type="spellEnd"/>
      <w:r w:rsidRPr="00C56257">
        <w:rPr>
          <w:rFonts w:eastAsia="Calibri"/>
          <w:lang w:val="en-US"/>
        </w:rPr>
        <w:t xml:space="preserve"> (</w:t>
      </w:r>
      <w:proofErr w:type="spellStart"/>
      <w:r w:rsidRPr="00C56257">
        <w:rPr>
          <w:rFonts w:eastAsia="Calibri"/>
          <w:lang w:val="en-US"/>
        </w:rPr>
        <w:t>reziduuri</w:t>
      </w:r>
      <w:proofErr w:type="spellEnd"/>
      <w:r w:rsidRPr="00C56257">
        <w:rPr>
          <w:rFonts w:eastAsia="Calibri"/>
          <w:lang w:val="en-US"/>
        </w:rPr>
        <w:t xml:space="preserve"> </w:t>
      </w:r>
      <w:proofErr w:type="spellStart"/>
      <w:r w:rsidRPr="00C56257">
        <w:rPr>
          <w:rFonts w:eastAsia="Calibri"/>
          <w:lang w:val="en-US"/>
        </w:rPr>
        <w:t>solide</w:t>
      </w:r>
      <w:proofErr w:type="spellEnd"/>
      <w:r w:rsidRPr="00C56257">
        <w:rPr>
          <w:rFonts w:eastAsia="Calibri"/>
          <w:lang w:val="en-US"/>
        </w:rPr>
        <w:t xml:space="preserve">), precum </w:t>
      </w:r>
      <w:proofErr w:type="spellStart"/>
      <w:r w:rsidRPr="00C56257">
        <w:rPr>
          <w:rFonts w:eastAsia="Calibri"/>
          <w:lang w:val="en-US"/>
        </w:rPr>
        <w:t>şi</w:t>
      </w:r>
      <w:proofErr w:type="spellEnd"/>
      <w:r w:rsidRPr="00C56257">
        <w:rPr>
          <w:rFonts w:eastAsia="Calibri"/>
          <w:lang w:val="en-US"/>
        </w:rPr>
        <w:t xml:space="preserve"> din </w:t>
      </w:r>
      <w:proofErr w:type="spellStart"/>
      <w:r w:rsidRPr="00C56257">
        <w:rPr>
          <w:rFonts w:eastAsia="Calibri"/>
          <w:lang w:val="en-US"/>
        </w:rPr>
        <w:t>spuma</w:t>
      </w:r>
      <w:proofErr w:type="spellEnd"/>
      <w:r w:rsidRPr="00C56257">
        <w:rPr>
          <w:rFonts w:eastAsia="Calibri"/>
          <w:lang w:val="en-US"/>
        </w:rPr>
        <w:t xml:space="preserve"> </w:t>
      </w:r>
      <w:proofErr w:type="spellStart"/>
      <w:r w:rsidRPr="00C56257">
        <w:rPr>
          <w:rFonts w:eastAsia="Calibri"/>
          <w:lang w:val="en-US"/>
        </w:rPr>
        <w:t>densă</w:t>
      </w:r>
      <w:proofErr w:type="spellEnd"/>
      <w:r w:rsidRPr="00C56257">
        <w:rPr>
          <w:rFonts w:eastAsia="Calibri"/>
          <w:lang w:val="en-US"/>
        </w:rPr>
        <w:t xml:space="preserve"> </w:t>
      </w:r>
      <w:proofErr w:type="spellStart"/>
      <w:r w:rsidRPr="00C56257">
        <w:rPr>
          <w:rFonts w:eastAsia="Calibri"/>
          <w:lang w:val="en-US"/>
        </w:rPr>
        <w:t>provenită</w:t>
      </w:r>
      <w:proofErr w:type="spellEnd"/>
      <w:r w:rsidRPr="00C56257">
        <w:rPr>
          <w:rFonts w:eastAsia="Calibri"/>
          <w:lang w:val="en-US"/>
        </w:rPr>
        <w:t xml:space="preserve"> din </w:t>
      </w:r>
      <w:proofErr w:type="spellStart"/>
      <w:r w:rsidRPr="00C56257">
        <w:rPr>
          <w:rFonts w:eastAsia="Calibri"/>
          <w:lang w:val="en-US"/>
        </w:rPr>
        <w:t>planctonul</w:t>
      </w:r>
      <w:proofErr w:type="spellEnd"/>
      <w:r w:rsidRPr="00C56257">
        <w:rPr>
          <w:rFonts w:eastAsia="Calibri"/>
          <w:lang w:val="en-US"/>
        </w:rPr>
        <w:t xml:space="preserve"> </w:t>
      </w:r>
      <w:proofErr w:type="spellStart"/>
      <w:r w:rsidRPr="00C56257">
        <w:rPr>
          <w:rFonts w:eastAsia="Calibri"/>
          <w:lang w:val="en-US"/>
        </w:rPr>
        <w:t>marin</w:t>
      </w:r>
      <w:proofErr w:type="spellEnd"/>
      <w:r w:rsidRPr="00C56257">
        <w:rPr>
          <w:rFonts w:eastAsia="Calibri"/>
          <w:lang w:val="en-US"/>
        </w:rPr>
        <w:t xml:space="preserve">. Fauna </w:t>
      </w:r>
      <w:proofErr w:type="spellStart"/>
      <w:r w:rsidRPr="00C56257">
        <w:rPr>
          <w:rFonts w:eastAsia="Calibri"/>
          <w:lang w:val="en-US"/>
        </w:rPr>
        <w:t>prezentă</w:t>
      </w:r>
      <w:proofErr w:type="spellEnd"/>
      <w:r w:rsidRPr="00C56257">
        <w:rPr>
          <w:rFonts w:eastAsia="Calibri"/>
          <w:lang w:val="en-US"/>
        </w:rPr>
        <w:t xml:space="preserve"> </w:t>
      </w:r>
      <w:proofErr w:type="spellStart"/>
      <w:r w:rsidRPr="00C56257">
        <w:rPr>
          <w:rFonts w:eastAsia="Calibri"/>
          <w:lang w:val="en-US"/>
        </w:rPr>
        <w:t>aici</w:t>
      </w:r>
      <w:proofErr w:type="spellEnd"/>
      <w:r w:rsidRPr="00C56257">
        <w:rPr>
          <w:rFonts w:eastAsia="Calibri"/>
          <w:lang w:val="en-US"/>
        </w:rPr>
        <w:t xml:space="preserve"> </w:t>
      </w:r>
      <w:proofErr w:type="spellStart"/>
      <w:r w:rsidRPr="00C56257">
        <w:rPr>
          <w:rFonts w:eastAsia="Calibri"/>
          <w:lang w:val="en-US"/>
        </w:rPr>
        <w:t>cuprinde</w:t>
      </w:r>
      <w:proofErr w:type="spellEnd"/>
      <w:r w:rsidRPr="00C56257">
        <w:rPr>
          <w:rFonts w:eastAsia="Calibri"/>
          <w:lang w:val="en-US"/>
        </w:rPr>
        <w:t xml:space="preserve"> </w:t>
      </w:r>
      <w:proofErr w:type="spellStart"/>
      <w:r w:rsidRPr="00C56257">
        <w:rPr>
          <w:rFonts w:eastAsia="Calibri"/>
          <w:lang w:val="en-US"/>
        </w:rPr>
        <w:t>cel</w:t>
      </w:r>
      <w:proofErr w:type="spellEnd"/>
      <w:r w:rsidRPr="00C56257">
        <w:rPr>
          <w:rFonts w:eastAsia="Calibri"/>
          <w:lang w:val="en-US"/>
        </w:rPr>
        <w:t xml:space="preserve"> </w:t>
      </w:r>
      <w:proofErr w:type="spellStart"/>
      <w:r w:rsidRPr="00C56257">
        <w:rPr>
          <w:rFonts w:eastAsia="Calibri"/>
          <w:lang w:val="en-US"/>
        </w:rPr>
        <w:t>mai</w:t>
      </w:r>
      <w:proofErr w:type="spellEnd"/>
      <w:r w:rsidRPr="00C56257">
        <w:rPr>
          <w:rFonts w:eastAsia="Calibri"/>
          <w:lang w:val="en-US"/>
        </w:rPr>
        <w:t xml:space="preserve"> </w:t>
      </w:r>
      <w:proofErr w:type="spellStart"/>
      <w:r w:rsidRPr="00C56257">
        <w:rPr>
          <w:rFonts w:eastAsia="Calibri"/>
          <w:lang w:val="en-US"/>
        </w:rPr>
        <w:t>adesea</w:t>
      </w:r>
      <w:proofErr w:type="spellEnd"/>
      <w:r w:rsidRPr="00C56257">
        <w:rPr>
          <w:rFonts w:eastAsia="Calibri"/>
          <w:lang w:val="en-US"/>
        </w:rPr>
        <w:t xml:space="preserve"> </w:t>
      </w:r>
      <w:proofErr w:type="spellStart"/>
      <w:r w:rsidRPr="00C56257">
        <w:rPr>
          <w:rFonts w:eastAsia="Calibri"/>
          <w:lang w:val="en-US"/>
        </w:rPr>
        <w:t>crustacee</w:t>
      </w:r>
      <w:proofErr w:type="spellEnd"/>
      <w:r w:rsidRPr="00C56257">
        <w:rPr>
          <w:rFonts w:eastAsia="Calibri"/>
          <w:lang w:val="en-US"/>
        </w:rPr>
        <w:t xml:space="preserve"> </w:t>
      </w:r>
      <w:proofErr w:type="spellStart"/>
      <w:r w:rsidRPr="00C56257">
        <w:rPr>
          <w:rFonts w:eastAsia="Calibri"/>
          <w:lang w:val="en-US"/>
        </w:rPr>
        <w:t>amfipode</w:t>
      </w:r>
      <w:proofErr w:type="spellEnd"/>
      <w:r w:rsidRPr="00C56257">
        <w:rPr>
          <w:rFonts w:eastAsia="Calibri"/>
          <w:lang w:val="en-US"/>
        </w:rPr>
        <w:t xml:space="preserve">, </w:t>
      </w:r>
      <w:proofErr w:type="spellStart"/>
      <w:r w:rsidRPr="00C56257">
        <w:rPr>
          <w:rFonts w:eastAsia="Calibri"/>
          <w:lang w:val="en-US"/>
        </w:rPr>
        <w:t>izopode</w:t>
      </w:r>
      <w:proofErr w:type="spellEnd"/>
      <w:r w:rsidRPr="00C56257">
        <w:rPr>
          <w:rFonts w:eastAsia="Calibri"/>
          <w:lang w:val="en-US"/>
        </w:rPr>
        <w:t xml:space="preserve"> </w:t>
      </w:r>
      <w:proofErr w:type="spellStart"/>
      <w:r w:rsidRPr="00C56257">
        <w:rPr>
          <w:rFonts w:eastAsia="Calibri"/>
          <w:lang w:val="en-US"/>
        </w:rPr>
        <w:t>dar</w:t>
      </w:r>
      <w:proofErr w:type="spellEnd"/>
      <w:r w:rsidRPr="00C56257">
        <w:rPr>
          <w:rFonts w:eastAsia="Calibri"/>
          <w:lang w:val="en-US"/>
        </w:rPr>
        <w:t xml:space="preserve"> </w:t>
      </w:r>
      <w:proofErr w:type="spellStart"/>
      <w:r w:rsidRPr="00C56257">
        <w:rPr>
          <w:rFonts w:eastAsia="Calibri"/>
          <w:lang w:val="en-US"/>
        </w:rPr>
        <w:t>în</w:t>
      </w:r>
      <w:proofErr w:type="spellEnd"/>
      <w:r w:rsidRPr="00C56257">
        <w:rPr>
          <w:rFonts w:eastAsia="Calibri"/>
          <w:lang w:val="en-US"/>
        </w:rPr>
        <w:t xml:space="preserve"> special </w:t>
      </w:r>
      <w:proofErr w:type="spellStart"/>
      <w:r w:rsidRPr="00C56257">
        <w:rPr>
          <w:rFonts w:eastAsia="Calibri"/>
          <w:lang w:val="en-US"/>
        </w:rPr>
        <w:t>insecte</w:t>
      </w:r>
      <w:proofErr w:type="spellEnd"/>
      <w:r w:rsidRPr="00C56257">
        <w:rPr>
          <w:rFonts w:eastAsia="Calibri"/>
          <w:lang w:val="en-US"/>
        </w:rPr>
        <w:t>.</w:t>
      </w:r>
    </w:p>
    <w:p w14:paraId="413A1160" w14:textId="77777777" w:rsidR="00FC026B" w:rsidRPr="00C56257" w:rsidRDefault="00FC026B" w:rsidP="009E63E5">
      <w:pPr>
        <w:numPr>
          <w:ilvl w:val="0"/>
          <w:numId w:val="170"/>
        </w:numPr>
        <w:autoSpaceDE w:val="0"/>
        <w:autoSpaceDN w:val="0"/>
        <w:adjustRightInd w:val="0"/>
        <w:jc w:val="both"/>
        <w:rPr>
          <w:rFonts w:eastAsia="Calibri"/>
          <w:lang w:val="it-IT"/>
        </w:rPr>
      </w:pPr>
      <w:r w:rsidRPr="00C56257">
        <w:rPr>
          <w:rFonts w:eastAsia="Calibri"/>
          <w:lang w:val="it-IT"/>
        </w:rPr>
        <w:t>Depozite detritice supralitorale cu uscare lentă, ce nu sunt udate de valuri decât în timpul furtunilor. În spaţiile libere dintre bolovani se acumulează resturi detritice, dar, datorită umidităţii ridicate, detritusul se usucă greu. Fauna este alcătuită din detritivori, descompunători şi prădătorii acestora.</w:t>
      </w:r>
    </w:p>
    <w:p w14:paraId="6BB97075" w14:textId="77777777" w:rsidR="00FC026B" w:rsidRPr="00F100E1" w:rsidRDefault="00FC026B" w:rsidP="009E63E5">
      <w:pPr>
        <w:numPr>
          <w:ilvl w:val="0"/>
          <w:numId w:val="170"/>
        </w:numPr>
        <w:autoSpaceDE w:val="0"/>
        <w:autoSpaceDN w:val="0"/>
        <w:adjustRightInd w:val="0"/>
        <w:jc w:val="both"/>
        <w:rPr>
          <w:rFonts w:eastAsia="Calibri"/>
          <w:lang w:val="en-US"/>
        </w:rPr>
      </w:pPr>
      <w:proofErr w:type="spellStart"/>
      <w:r w:rsidRPr="00C56257">
        <w:rPr>
          <w:rFonts w:eastAsia="Calibri"/>
          <w:lang w:val="en-US"/>
        </w:rPr>
        <w:t>Nisipurile</w:t>
      </w:r>
      <w:proofErr w:type="spellEnd"/>
      <w:r w:rsidRPr="00C56257">
        <w:rPr>
          <w:rFonts w:eastAsia="Calibri"/>
          <w:lang w:val="en-US"/>
        </w:rPr>
        <w:t xml:space="preserve"> </w:t>
      </w:r>
      <w:proofErr w:type="spellStart"/>
      <w:r w:rsidRPr="00C56257">
        <w:rPr>
          <w:rFonts w:eastAsia="Calibri"/>
          <w:lang w:val="en-US"/>
        </w:rPr>
        <w:t>mediolitorale</w:t>
      </w:r>
      <w:proofErr w:type="spellEnd"/>
      <w:r w:rsidRPr="00C56257">
        <w:rPr>
          <w:rFonts w:eastAsia="Calibri"/>
          <w:lang w:val="en-US"/>
        </w:rPr>
        <w:t xml:space="preserve"> sunt o </w:t>
      </w:r>
      <w:proofErr w:type="spellStart"/>
      <w:r w:rsidRPr="00C56257">
        <w:rPr>
          <w:rFonts w:eastAsia="Calibri"/>
          <w:lang w:val="en-US"/>
        </w:rPr>
        <w:t>formă</w:t>
      </w:r>
      <w:proofErr w:type="spellEnd"/>
      <w:r w:rsidRPr="00C56257">
        <w:rPr>
          <w:rFonts w:eastAsia="Calibri"/>
          <w:lang w:val="en-US"/>
        </w:rPr>
        <w:t xml:space="preserve"> a </w:t>
      </w:r>
      <w:proofErr w:type="spellStart"/>
      <w:r w:rsidRPr="00C56257">
        <w:rPr>
          <w:rFonts w:eastAsia="Calibri"/>
          <w:lang w:val="en-US"/>
        </w:rPr>
        <w:t>habitatului</w:t>
      </w:r>
      <w:proofErr w:type="spellEnd"/>
      <w:r w:rsidRPr="00C56257">
        <w:rPr>
          <w:rFonts w:eastAsia="Calibri"/>
          <w:lang w:val="en-US"/>
        </w:rPr>
        <w:t xml:space="preserve"> 1140 care </w:t>
      </w:r>
      <w:proofErr w:type="spellStart"/>
      <w:r w:rsidRPr="00C56257">
        <w:rPr>
          <w:rFonts w:eastAsia="Calibri"/>
          <w:lang w:val="en-US"/>
        </w:rPr>
        <w:t>ocupă</w:t>
      </w:r>
      <w:proofErr w:type="spellEnd"/>
      <w:r w:rsidRPr="00C56257">
        <w:rPr>
          <w:rFonts w:eastAsia="Calibri"/>
          <w:lang w:val="en-US"/>
        </w:rPr>
        <w:t xml:space="preserve"> </w:t>
      </w:r>
      <w:proofErr w:type="spellStart"/>
      <w:r w:rsidRPr="00C56257">
        <w:rPr>
          <w:rFonts w:eastAsia="Calibri"/>
          <w:lang w:val="en-US"/>
        </w:rPr>
        <w:t>fâşia</w:t>
      </w:r>
      <w:proofErr w:type="spellEnd"/>
      <w:r w:rsidRPr="00C56257">
        <w:rPr>
          <w:rFonts w:eastAsia="Calibri"/>
          <w:lang w:val="en-US"/>
        </w:rPr>
        <w:t xml:space="preserve"> de </w:t>
      </w:r>
      <w:proofErr w:type="spellStart"/>
      <w:r w:rsidRPr="00C56257">
        <w:rPr>
          <w:rFonts w:eastAsia="Calibri"/>
          <w:lang w:val="en-US"/>
        </w:rPr>
        <w:t>nisip</w:t>
      </w:r>
      <w:proofErr w:type="spellEnd"/>
      <w:r w:rsidRPr="00C56257">
        <w:rPr>
          <w:rFonts w:eastAsia="Calibri"/>
          <w:lang w:val="en-US"/>
        </w:rPr>
        <w:t xml:space="preserve"> de la </w:t>
      </w:r>
      <w:proofErr w:type="spellStart"/>
      <w:r w:rsidRPr="00C56257">
        <w:rPr>
          <w:rFonts w:eastAsia="Calibri"/>
          <w:lang w:val="en-US"/>
        </w:rPr>
        <w:t>ţărm</w:t>
      </w:r>
      <w:proofErr w:type="spellEnd"/>
      <w:r w:rsidRPr="00C56257">
        <w:rPr>
          <w:rFonts w:eastAsia="Calibri"/>
          <w:lang w:val="en-US"/>
        </w:rPr>
        <w:t xml:space="preserve">, pe care se </w:t>
      </w:r>
      <w:proofErr w:type="spellStart"/>
      <w:r w:rsidRPr="00C56257">
        <w:rPr>
          <w:rFonts w:eastAsia="Calibri"/>
          <w:lang w:val="en-US"/>
        </w:rPr>
        <w:t>sparg</w:t>
      </w:r>
      <w:proofErr w:type="spellEnd"/>
      <w:r w:rsidRPr="00C56257">
        <w:rPr>
          <w:rFonts w:eastAsia="Calibri"/>
          <w:lang w:val="en-US"/>
        </w:rPr>
        <w:t xml:space="preserve"> </w:t>
      </w:r>
      <w:proofErr w:type="spellStart"/>
      <w:r w:rsidRPr="00C56257">
        <w:rPr>
          <w:rFonts w:eastAsia="Calibri"/>
          <w:lang w:val="en-US"/>
        </w:rPr>
        <w:t>valurile</w:t>
      </w:r>
      <w:proofErr w:type="spellEnd"/>
      <w:r w:rsidRPr="00C56257">
        <w:rPr>
          <w:rFonts w:eastAsia="Calibri"/>
          <w:lang w:val="en-US"/>
        </w:rPr>
        <w:t xml:space="preserve">. </w:t>
      </w:r>
      <w:r w:rsidRPr="00C56257">
        <w:rPr>
          <w:rFonts w:eastAsia="Calibri"/>
          <w:lang w:val="it-IT"/>
        </w:rPr>
        <w:t xml:space="preserve">La litoralul nostru această fâşie are o extindere restrânsă (de la +0,5 la -0,5 m), dat fiind amplitudinea flux - reflux aproape neglijabilă. </w:t>
      </w:r>
      <w:proofErr w:type="spellStart"/>
      <w:r w:rsidRPr="00C56257">
        <w:rPr>
          <w:rFonts w:eastAsia="Calibri"/>
          <w:lang w:val="en-US"/>
        </w:rPr>
        <w:t>Speciile</w:t>
      </w:r>
      <w:proofErr w:type="spellEnd"/>
      <w:r w:rsidRPr="00C56257">
        <w:rPr>
          <w:rFonts w:eastAsia="Calibri"/>
          <w:lang w:val="en-US"/>
        </w:rPr>
        <w:t xml:space="preserve"> </w:t>
      </w:r>
      <w:proofErr w:type="spellStart"/>
      <w:r w:rsidRPr="00C56257">
        <w:rPr>
          <w:rFonts w:eastAsia="Calibri"/>
          <w:lang w:val="en-US"/>
        </w:rPr>
        <w:t>cele</w:t>
      </w:r>
      <w:proofErr w:type="spellEnd"/>
      <w:r w:rsidRPr="00C56257">
        <w:rPr>
          <w:rFonts w:eastAsia="Calibri"/>
          <w:lang w:val="en-US"/>
        </w:rPr>
        <w:t xml:space="preserve"> </w:t>
      </w:r>
      <w:proofErr w:type="spellStart"/>
      <w:r w:rsidRPr="00C56257">
        <w:rPr>
          <w:rFonts w:eastAsia="Calibri"/>
          <w:lang w:val="en-US"/>
        </w:rPr>
        <w:t>mai</w:t>
      </w:r>
      <w:proofErr w:type="spellEnd"/>
      <w:r w:rsidRPr="00C56257">
        <w:rPr>
          <w:rFonts w:eastAsia="Calibri"/>
          <w:lang w:val="en-US"/>
        </w:rPr>
        <w:t xml:space="preserve"> </w:t>
      </w:r>
      <w:proofErr w:type="spellStart"/>
      <w:r w:rsidRPr="00C56257">
        <w:rPr>
          <w:rFonts w:eastAsia="Calibri"/>
          <w:lang w:val="en-US"/>
        </w:rPr>
        <w:t>importante</w:t>
      </w:r>
      <w:proofErr w:type="spellEnd"/>
      <w:r w:rsidRPr="00C56257">
        <w:rPr>
          <w:rFonts w:eastAsia="Calibri"/>
          <w:lang w:val="en-US"/>
        </w:rPr>
        <w:t xml:space="preserve"> </w:t>
      </w:r>
      <w:proofErr w:type="spellStart"/>
      <w:r w:rsidRPr="00C56257">
        <w:rPr>
          <w:rFonts w:eastAsia="Calibri"/>
          <w:lang w:val="en-US"/>
        </w:rPr>
        <w:t>pentru</w:t>
      </w:r>
      <w:proofErr w:type="spellEnd"/>
      <w:r w:rsidRPr="00C56257">
        <w:rPr>
          <w:rFonts w:eastAsia="Calibri"/>
          <w:lang w:val="en-US"/>
        </w:rPr>
        <w:t xml:space="preserve"> </w:t>
      </w:r>
      <w:proofErr w:type="spellStart"/>
      <w:r w:rsidRPr="00C56257">
        <w:rPr>
          <w:rFonts w:eastAsia="Calibri"/>
          <w:lang w:val="en-US"/>
        </w:rPr>
        <w:t>acest</w:t>
      </w:r>
      <w:proofErr w:type="spellEnd"/>
      <w:r w:rsidRPr="00C56257">
        <w:rPr>
          <w:rFonts w:eastAsia="Calibri"/>
          <w:lang w:val="en-US"/>
        </w:rPr>
        <w:t xml:space="preserve"> </w:t>
      </w:r>
      <w:proofErr w:type="spellStart"/>
      <w:r w:rsidRPr="00C56257">
        <w:rPr>
          <w:rFonts w:eastAsia="Calibri"/>
          <w:lang w:val="en-US"/>
        </w:rPr>
        <w:t>subtip</w:t>
      </w:r>
      <w:proofErr w:type="spellEnd"/>
      <w:r w:rsidRPr="00C56257">
        <w:rPr>
          <w:rFonts w:eastAsia="Calibri"/>
          <w:lang w:val="en-US"/>
        </w:rPr>
        <w:t xml:space="preserve"> de habitat sunt </w:t>
      </w:r>
      <w:proofErr w:type="spellStart"/>
      <w:r w:rsidRPr="00C56257">
        <w:rPr>
          <w:rFonts w:eastAsia="Calibri"/>
          <w:lang w:val="en-US"/>
        </w:rPr>
        <w:t>bivalva</w:t>
      </w:r>
      <w:proofErr w:type="spellEnd"/>
      <w:r w:rsidRPr="00C56257">
        <w:rPr>
          <w:rFonts w:eastAsia="Calibri"/>
          <w:lang w:val="en-US"/>
        </w:rPr>
        <w:t xml:space="preserve"> </w:t>
      </w:r>
      <w:proofErr w:type="spellStart"/>
      <w:r w:rsidRPr="00C56257">
        <w:rPr>
          <w:rFonts w:eastAsia="Calibri"/>
          <w:i/>
          <w:iCs/>
          <w:lang w:val="en-US"/>
        </w:rPr>
        <w:t>Donacilla</w:t>
      </w:r>
      <w:proofErr w:type="spellEnd"/>
      <w:r w:rsidRPr="00C56257">
        <w:rPr>
          <w:rFonts w:eastAsia="Calibri"/>
          <w:i/>
          <w:iCs/>
          <w:lang w:val="en-US"/>
        </w:rPr>
        <w:t xml:space="preserve"> cornea</w:t>
      </w:r>
      <w:r w:rsidRPr="00C56257">
        <w:rPr>
          <w:rFonts w:eastAsia="Calibri"/>
          <w:iCs/>
          <w:lang w:val="en-US"/>
        </w:rPr>
        <w:t>,</w:t>
      </w:r>
      <w:r w:rsidRPr="00C56257">
        <w:rPr>
          <w:rFonts w:eastAsia="Calibri"/>
          <w:lang w:val="en-US"/>
        </w:rPr>
        <w:t xml:space="preserve"> </w:t>
      </w:r>
      <w:proofErr w:type="spellStart"/>
      <w:r w:rsidRPr="00C56257">
        <w:rPr>
          <w:rFonts w:eastAsia="Calibri"/>
          <w:lang w:val="en-US"/>
        </w:rPr>
        <w:t>caracteristică</w:t>
      </w:r>
      <w:proofErr w:type="spellEnd"/>
      <w:r w:rsidRPr="00C56257">
        <w:rPr>
          <w:rFonts w:eastAsia="Calibri"/>
          <w:lang w:val="en-US"/>
        </w:rPr>
        <w:t xml:space="preserve"> </w:t>
      </w:r>
      <w:proofErr w:type="spellStart"/>
      <w:r w:rsidRPr="00C56257">
        <w:rPr>
          <w:rFonts w:eastAsia="Calibri"/>
          <w:lang w:val="en-US"/>
        </w:rPr>
        <w:t>pentru</w:t>
      </w:r>
      <w:proofErr w:type="spellEnd"/>
      <w:r w:rsidRPr="00C56257">
        <w:rPr>
          <w:rFonts w:eastAsia="Calibri"/>
          <w:lang w:val="en-US"/>
        </w:rPr>
        <w:t xml:space="preserve"> </w:t>
      </w:r>
      <w:proofErr w:type="spellStart"/>
      <w:r w:rsidRPr="00C56257">
        <w:rPr>
          <w:rFonts w:eastAsia="Calibri"/>
          <w:lang w:val="en-US"/>
        </w:rPr>
        <w:t>plajele</w:t>
      </w:r>
      <w:proofErr w:type="spellEnd"/>
      <w:r w:rsidRPr="00C56257">
        <w:rPr>
          <w:rFonts w:eastAsia="Calibri"/>
          <w:lang w:val="en-US"/>
        </w:rPr>
        <w:t xml:space="preserve"> din </w:t>
      </w:r>
      <w:proofErr w:type="spellStart"/>
      <w:r w:rsidRPr="00C56257">
        <w:rPr>
          <w:rFonts w:eastAsia="Calibri"/>
          <w:lang w:val="en-US"/>
        </w:rPr>
        <w:t>sudul</w:t>
      </w:r>
      <w:proofErr w:type="spellEnd"/>
      <w:r w:rsidRPr="00C56257">
        <w:rPr>
          <w:rFonts w:eastAsia="Calibri"/>
          <w:lang w:val="en-US"/>
        </w:rPr>
        <w:t xml:space="preserve"> </w:t>
      </w:r>
      <w:proofErr w:type="spellStart"/>
      <w:r w:rsidRPr="00C56257">
        <w:rPr>
          <w:rFonts w:eastAsia="Calibri"/>
          <w:lang w:val="en-US"/>
        </w:rPr>
        <w:t>litoralului</w:t>
      </w:r>
      <w:proofErr w:type="spellEnd"/>
      <w:r w:rsidRPr="00C56257">
        <w:rPr>
          <w:rFonts w:eastAsia="Calibri"/>
          <w:lang w:val="en-US"/>
        </w:rPr>
        <w:t xml:space="preserve"> </w:t>
      </w:r>
      <w:proofErr w:type="spellStart"/>
      <w:r w:rsidRPr="00C56257">
        <w:rPr>
          <w:rFonts w:eastAsia="Calibri"/>
          <w:lang w:val="en-US"/>
        </w:rPr>
        <w:t>şi</w:t>
      </w:r>
      <w:proofErr w:type="spellEnd"/>
      <w:r w:rsidRPr="00C56257">
        <w:rPr>
          <w:rFonts w:eastAsia="Calibri"/>
          <w:lang w:val="en-US"/>
        </w:rPr>
        <w:t xml:space="preserve">, respective, </w:t>
      </w:r>
      <w:proofErr w:type="spellStart"/>
      <w:r w:rsidRPr="00C56257">
        <w:rPr>
          <w:rFonts w:eastAsia="Calibri"/>
          <w:lang w:val="en-US"/>
        </w:rPr>
        <w:t>amfipodul</w:t>
      </w:r>
      <w:proofErr w:type="spellEnd"/>
      <w:r w:rsidRPr="00C56257">
        <w:rPr>
          <w:rFonts w:eastAsia="Calibri"/>
          <w:lang w:val="en-US"/>
        </w:rPr>
        <w:t xml:space="preserve"> </w:t>
      </w:r>
      <w:proofErr w:type="spellStart"/>
      <w:r w:rsidRPr="00C56257">
        <w:rPr>
          <w:rFonts w:eastAsia="Calibri"/>
          <w:i/>
          <w:iCs/>
          <w:lang w:val="en-US"/>
        </w:rPr>
        <w:t>Pontogammarus</w:t>
      </w:r>
      <w:proofErr w:type="spellEnd"/>
      <w:r w:rsidRPr="00C56257">
        <w:rPr>
          <w:rFonts w:eastAsia="Calibri"/>
          <w:i/>
          <w:iCs/>
          <w:lang w:val="en-US"/>
        </w:rPr>
        <w:t xml:space="preserve"> </w:t>
      </w:r>
      <w:proofErr w:type="spellStart"/>
      <w:r w:rsidRPr="00C56257">
        <w:rPr>
          <w:rFonts w:eastAsia="Calibri"/>
          <w:i/>
          <w:iCs/>
          <w:lang w:val="en-US"/>
        </w:rPr>
        <w:t>maeoticus</w:t>
      </w:r>
      <w:proofErr w:type="spellEnd"/>
      <w:r w:rsidRPr="00C56257">
        <w:rPr>
          <w:rFonts w:eastAsia="Calibri"/>
          <w:i/>
          <w:iCs/>
          <w:lang w:val="en-US"/>
        </w:rPr>
        <w:t xml:space="preserve">, </w:t>
      </w:r>
      <w:proofErr w:type="spellStart"/>
      <w:r w:rsidRPr="00C56257">
        <w:rPr>
          <w:rFonts w:eastAsia="Calibri"/>
          <w:lang w:val="en-US"/>
        </w:rPr>
        <w:t>pentru</w:t>
      </w:r>
      <w:proofErr w:type="spellEnd"/>
      <w:r w:rsidRPr="00C56257">
        <w:rPr>
          <w:rFonts w:eastAsia="Calibri"/>
          <w:lang w:val="en-US"/>
        </w:rPr>
        <w:t xml:space="preserve"> </w:t>
      </w:r>
      <w:proofErr w:type="spellStart"/>
      <w:r w:rsidRPr="00C56257">
        <w:rPr>
          <w:rFonts w:eastAsia="Calibri"/>
          <w:lang w:val="en-US"/>
        </w:rPr>
        <w:t>plajele</w:t>
      </w:r>
      <w:proofErr w:type="spellEnd"/>
      <w:r w:rsidRPr="00C56257">
        <w:rPr>
          <w:rFonts w:eastAsia="Calibri"/>
          <w:lang w:val="en-US"/>
        </w:rPr>
        <w:t xml:space="preserve"> </w:t>
      </w:r>
      <w:proofErr w:type="spellStart"/>
      <w:r w:rsidRPr="00C56257">
        <w:rPr>
          <w:rFonts w:eastAsia="Calibri"/>
          <w:lang w:val="en-US"/>
        </w:rPr>
        <w:t>aferente</w:t>
      </w:r>
      <w:proofErr w:type="spellEnd"/>
      <w:r w:rsidRPr="00C56257">
        <w:rPr>
          <w:rFonts w:eastAsia="Calibri"/>
          <w:lang w:val="en-US"/>
        </w:rPr>
        <w:t xml:space="preserve"> </w:t>
      </w:r>
      <w:proofErr w:type="spellStart"/>
      <w:r w:rsidRPr="00C56257">
        <w:rPr>
          <w:rFonts w:eastAsia="Calibri"/>
          <w:lang w:val="en-US"/>
        </w:rPr>
        <w:t>zonei</w:t>
      </w:r>
      <w:proofErr w:type="spellEnd"/>
      <w:r w:rsidRPr="00C56257">
        <w:rPr>
          <w:rFonts w:eastAsia="Calibri"/>
          <w:lang w:val="en-US"/>
        </w:rPr>
        <w:t xml:space="preserve"> </w:t>
      </w:r>
      <w:proofErr w:type="spellStart"/>
      <w:r w:rsidRPr="00C56257">
        <w:rPr>
          <w:rFonts w:eastAsia="Calibri"/>
          <w:lang w:val="en-US"/>
        </w:rPr>
        <w:t>Deltei</w:t>
      </w:r>
      <w:proofErr w:type="spellEnd"/>
      <w:r w:rsidRPr="00C56257">
        <w:rPr>
          <w:rFonts w:eastAsia="Calibri"/>
          <w:lang w:val="en-US"/>
        </w:rPr>
        <w:t xml:space="preserve"> </w:t>
      </w:r>
      <w:proofErr w:type="spellStart"/>
      <w:r w:rsidRPr="00C56257">
        <w:rPr>
          <w:rFonts w:eastAsia="Calibri"/>
          <w:lang w:val="en-US"/>
        </w:rPr>
        <w:t>Dunării</w:t>
      </w:r>
      <w:proofErr w:type="spellEnd"/>
      <w:r w:rsidRPr="00C56257">
        <w:rPr>
          <w:rFonts w:eastAsia="Calibri"/>
          <w:lang w:val="en-US"/>
        </w:rPr>
        <w:t>.</w:t>
      </w:r>
    </w:p>
    <w:p w14:paraId="441C1783" w14:textId="77777777" w:rsidR="00FC026B" w:rsidRPr="00F100E1" w:rsidRDefault="00FC026B" w:rsidP="009E63E5">
      <w:pPr>
        <w:numPr>
          <w:ilvl w:val="0"/>
          <w:numId w:val="170"/>
        </w:numPr>
        <w:autoSpaceDE w:val="0"/>
        <w:autoSpaceDN w:val="0"/>
        <w:adjustRightInd w:val="0"/>
        <w:jc w:val="both"/>
        <w:rPr>
          <w:rFonts w:eastAsia="Calibri"/>
          <w:lang w:val="it-IT"/>
        </w:rPr>
      </w:pPr>
      <w:r w:rsidRPr="00C56257">
        <w:rPr>
          <w:rFonts w:eastAsia="Calibri"/>
          <w:lang w:val="it-IT"/>
        </w:rPr>
        <w:t xml:space="preserve">Acumulările detritice mediolitorale sunt o formă a habitatului 1140 care apare în zona ţărmurilor stâncoase, pe substrat dur, caracterizat de bolovăniş, galeţi sau pietriş, fiind practic conectat direct cu depozitele detritice supralitorale cu uscare lentă. Fauna este reprezentată de izopodele din genurile </w:t>
      </w:r>
      <w:r w:rsidRPr="00C56257">
        <w:rPr>
          <w:rFonts w:eastAsia="Calibri"/>
          <w:i/>
          <w:iCs/>
          <w:lang w:val="it-IT"/>
        </w:rPr>
        <w:t xml:space="preserve">Idotea </w:t>
      </w:r>
      <w:r w:rsidRPr="00C56257">
        <w:rPr>
          <w:rFonts w:eastAsia="Calibri"/>
          <w:lang w:val="it-IT"/>
        </w:rPr>
        <w:t xml:space="preserve">şi </w:t>
      </w:r>
      <w:r w:rsidRPr="00C56257">
        <w:rPr>
          <w:rFonts w:eastAsia="Calibri"/>
          <w:i/>
          <w:iCs/>
          <w:lang w:val="it-IT"/>
        </w:rPr>
        <w:t>Sphaeroma</w:t>
      </w:r>
      <w:r w:rsidRPr="00C56257">
        <w:rPr>
          <w:rFonts w:eastAsia="Calibri"/>
          <w:lang w:val="it-IT"/>
        </w:rPr>
        <w:t xml:space="preserve"> şi de crabul </w:t>
      </w:r>
      <w:r w:rsidRPr="00C56257">
        <w:rPr>
          <w:rFonts w:eastAsia="Calibri"/>
          <w:i/>
          <w:iCs/>
          <w:lang w:val="it-IT"/>
        </w:rPr>
        <w:t>Pachygrapsus marmoratus</w:t>
      </w:r>
      <w:r w:rsidRPr="00C56257">
        <w:rPr>
          <w:rFonts w:eastAsia="Calibri"/>
          <w:lang w:val="it-IT"/>
        </w:rPr>
        <w:t>.</w:t>
      </w:r>
    </w:p>
    <w:p w14:paraId="04BEE2B9" w14:textId="77777777" w:rsidR="00FC026B" w:rsidRPr="00C56257" w:rsidRDefault="00FC026B" w:rsidP="00FC026B">
      <w:pPr>
        <w:autoSpaceDE w:val="0"/>
        <w:autoSpaceDN w:val="0"/>
        <w:adjustRightInd w:val="0"/>
        <w:jc w:val="both"/>
        <w:rPr>
          <w:b/>
          <w:i/>
          <w:lang w:val="it-IT"/>
        </w:rPr>
      </w:pPr>
    </w:p>
    <w:p w14:paraId="2A0C766D" w14:textId="77777777" w:rsidR="00FC026B" w:rsidRPr="00C56257" w:rsidRDefault="00FC026B" w:rsidP="00FC026B">
      <w:pPr>
        <w:autoSpaceDE w:val="0"/>
        <w:autoSpaceDN w:val="0"/>
        <w:adjustRightInd w:val="0"/>
        <w:jc w:val="center"/>
        <w:rPr>
          <w:lang w:val="it-IT"/>
        </w:rPr>
      </w:pPr>
      <w:r w:rsidRPr="00C56257">
        <w:rPr>
          <w:rFonts w:eastAsia="Calibri"/>
          <w:lang w:val="it-IT"/>
        </w:rPr>
        <w:t xml:space="preserve">Tabelul </w:t>
      </w:r>
      <w:r>
        <w:rPr>
          <w:rFonts w:eastAsia="Calibri"/>
          <w:lang w:val="it-IT"/>
        </w:rPr>
        <w:t>1.9</w:t>
      </w:r>
      <w:r w:rsidRPr="00C56257">
        <w:rPr>
          <w:rFonts w:eastAsia="Calibri"/>
          <w:lang w:val="it-IT"/>
        </w:rPr>
        <w:t xml:space="preserve">: </w:t>
      </w:r>
      <w:r w:rsidRPr="00C56257">
        <w:rPr>
          <w:lang w:val="it-IT"/>
        </w:rPr>
        <w:t>Rezumat al atributelor ce pot defini condiții favorabile ale suprafețelor de mâl și nisip descoperite la maree joasă 1140.</w:t>
      </w:r>
    </w:p>
    <w:p w14:paraId="3B27F54F" w14:textId="77777777" w:rsidR="00FC026B" w:rsidRPr="00C56257" w:rsidRDefault="00FC026B" w:rsidP="00FC026B">
      <w:pPr>
        <w:autoSpaceDE w:val="0"/>
        <w:autoSpaceDN w:val="0"/>
        <w:adjustRightInd w:val="0"/>
        <w:jc w:val="both"/>
        <w:rPr>
          <w:lang w:val="it-IT"/>
        </w:rPr>
      </w:pPr>
    </w:p>
    <w:tbl>
      <w:tblPr>
        <w:tblW w:w="96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6"/>
        <w:gridCol w:w="2466"/>
        <w:gridCol w:w="5386"/>
      </w:tblGrid>
      <w:tr w:rsidR="00FC026B" w:rsidRPr="00C56257" w14:paraId="19207252" w14:textId="77777777" w:rsidTr="00993B86">
        <w:trPr>
          <w:jc w:val="center"/>
        </w:trPr>
        <w:tc>
          <w:tcPr>
            <w:tcW w:w="1816" w:type="dxa"/>
            <w:tcBorders>
              <w:top w:val="single" w:sz="4" w:space="0" w:color="auto"/>
              <w:left w:val="single" w:sz="4" w:space="0" w:color="auto"/>
              <w:bottom w:val="single" w:sz="4" w:space="0" w:color="auto"/>
              <w:right w:val="single" w:sz="4" w:space="0" w:color="auto"/>
            </w:tcBorders>
            <w:hideMark/>
          </w:tcPr>
          <w:p w14:paraId="06FABD02" w14:textId="77777777" w:rsidR="00FC026B" w:rsidRPr="00C56257" w:rsidRDefault="00FC026B" w:rsidP="00993B86">
            <w:pPr>
              <w:rPr>
                <w:b/>
                <w:i/>
                <w:lang w:val="en-US"/>
              </w:rPr>
            </w:pPr>
            <w:proofErr w:type="spellStart"/>
            <w:r w:rsidRPr="00C56257">
              <w:rPr>
                <w:b/>
                <w:i/>
                <w:lang w:val="en-US"/>
              </w:rPr>
              <w:t>Atribut</w:t>
            </w:r>
            <w:proofErr w:type="spellEnd"/>
          </w:p>
        </w:tc>
        <w:tc>
          <w:tcPr>
            <w:tcW w:w="2466" w:type="dxa"/>
            <w:tcBorders>
              <w:top w:val="single" w:sz="4" w:space="0" w:color="auto"/>
              <w:left w:val="single" w:sz="4" w:space="0" w:color="auto"/>
              <w:bottom w:val="single" w:sz="4" w:space="0" w:color="auto"/>
              <w:right w:val="single" w:sz="4" w:space="0" w:color="auto"/>
            </w:tcBorders>
            <w:hideMark/>
          </w:tcPr>
          <w:p w14:paraId="5C319904" w14:textId="77777777" w:rsidR="00FC026B" w:rsidRPr="00C56257" w:rsidRDefault="00FC026B" w:rsidP="00993B86">
            <w:pPr>
              <w:rPr>
                <w:b/>
                <w:i/>
                <w:lang w:val="en-US"/>
              </w:rPr>
            </w:pPr>
            <w:proofErr w:type="spellStart"/>
            <w:r w:rsidRPr="00C56257">
              <w:rPr>
                <w:b/>
                <w:i/>
                <w:lang w:val="en-US"/>
              </w:rPr>
              <w:t>Unitate</w:t>
            </w:r>
            <w:proofErr w:type="spellEnd"/>
            <w:r w:rsidRPr="00C56257">
              <w:rPr>
                <w:b/>
                <w:i/>
                <w:lang w:val="en-US"/>
              </w:rPr>
              <w:t xml:space="preserve"> de </w:t>
            </w:r>
            <w:proofErr w:type="spellStart"/>
            <w:r w:rsidRPr="00C56257">
              <w:rPr>
                <w:b/>
                <w:i/>
                <w:lang w:val="en-US"/>
              </w:rPr>
              <w:t>măsură</w:t>
            </w:r>
            <w:proofErr w:type="spellEnd"/>
          </w:p>
        </w:tc>
        <w:tc>
          <w:tcPr>
            <w:tcW w:w="5386" w:type="dxa"/>
            <w:tcBorders>
              <w:top w:val="single" w:sz="4" w:space="0" w:color="auto"/>
              <w:left w:val="single" w:sz="4" w:space="0" w:color="auto"/>
              <w:bottom w:val="single" w:sz="4" w:space="0" w:color="auto"/>
              <w:right w:val="single" w:sz="4" w:space="0" w:color="auto"/>
            </w:tcBorders>
            <w:hideMark/>
          </w:tcPr>
          <w:p w14:paraId="75C81D7E" w14:textId="77777777" w:rsidR="00FC026B" w:rsidRPr="00C56257" w:rsidRDefault="00FC026B" w:rsidP="00993B86">
            <w:pPr>
              <w:rPr>
                <w:b/>
                <w:i/>
                <w:lang w:val="en-US"/>
              </w:rPr>
            </w:pPr>
            <w:proofErr w:type="spellStart"/>
            <w:r w:rsidRPr="00C56257">
              <w:rPr>
                <w:b/>
                <w:i/>
                <w:lang w:val="en-US"/>
              </w:rPr>
              <w:t>Observații</w:t>
            </w:r>
            <w:proofErr w:type="spellEnd"/>
          </w:p>
        </w:tc>
      </w:tr>
      <w:tr w:rsidR="00FC026B" w:rsidRPr="00C56257" w14:paraId="68C08651" w14:textId="77777777" w:rsidTr="00993B86">
        <w:trPr>
          <w:jc w:val="center"/>
        </w:trPr>
        <w:tc>
          <w:tcPr>
            <w:tcW w:w="9668" w:type="dxa"/>
            <w:gridSpan w:val="3"/>
            <w:tcBorders>
              <w:top w:val="single" w:sz="4" w:space="0" w:color="auto"/>
              <w:left w:val="single" w:sz="4" w:space="0" w:color="auto"/>
              <w:bottom w:val="single" w:sz="4" w:space="0" w:color="auto"/>
              <w:right w:val="single" w:sz="4" w:space="0" w:color="auto"/>
            </w:tcBorders>
            <w:hideMark/>
          </w:tcPr>
          <w:p w14:paraId="0CCE7DE6" w14:textId="77777777" w:rsidR="00FC026B" w:rsidRPr="00C56257" w:rsidRDefault="00FC026B" w:rsidP="00993B86">
            <w:pPr>
              <w:rPr>
                <w:b/>
                <w:i/>
                <w:lang w:val="en-US"/>
              </w:rPr>
            </w:pPr>
            <w:proofErr w:type="spellStart"/>
            <w:r w:rsidRPr="00C56257">
              <w:rPr>
                <w:i/>
                <w:lang w:val="en-US"/>
              </w:rPr>
              <w:t>Întindere</w:t>
            </w:r>
            <w:proofErr w:type="spellEnd"/>
          </w:p>
        </w:tc>
      </w:tr>
      <w:tr w:rsidR="00FC026B" w:rsidRPr="00C56257" w14:paraId="2B3AA0C3" w14:textId="77777777" w:rsidTr="00993B86">
        <w:trPr>
          <w:jc w:val="center"/>
        </w:trPr>
        <w:tc>
          <w:tcPr>
            <w:tcW w:w="1816" w:type="dxa"/>
            <w:tcBorders>
              <w:top w:val="single" w:sz="4" w:space="0" w:color="auto"/>
              <w:left w:val="single" w:sz="4" w:space="0" w:color="auto"/>
              <w:bottom w:val="single" w:sz="4" w:space="0" w:color="auto"/>
              <w:right w:val="single" w:sz="4" w:space="0" w:color="auto"/>
            </w:tcBorders>
            <w:hideMark/>
          </w:tcPr>
          <w:p w14:paraId="3CEDC03F" w14:textId="77777777" w:rsidR="00FC026B" w:rsidRPr="00C56257" w:rsidRDefault="00FC026B" w:rsidP="00993B86">
            <w:pPr>
              <w:autoSpaceDE w:val="0"/>
              <w:autoSpaceDN w:val="0"/>
              <w:adjustRightInd w:val="0"/>
            </w:pPr>
            <w:r w:rsidRPr="00C56257">
              <w:t>Întinderea tipului de habitat</w:t>
            </w:r>
          </w:p>
        </w:tc>
        <w:tc>
          <w:tcPr>
            <w:tcW w:w="2466" w:type="dxa"/>
            <w:tcBorders>
              <w:top w:val="single" w:sz="4" w:space="0" w:color="auto"/>
              <w:left w:val="single" w:sz="4" w:space="0" w:color="auto"/>
              <w:bottom w:val="single" w:sz="4" w:space="0" w:color="auto"/>
              <w:right w:val="single" w:sz="4" w:space="0" w:color="auto"/>
            </w:tcBorders>
          </w:tcPr>
          <w:p w14:paraId="07F4FD2B" w14:textId="77777777" w:rsidR="00FC026B" w:rsidRPr="00C56257" w:rsidRDefault="00FC026B" w:rsidP="00993B86">
            <w:pPr>
              <w:autoSpaceDE w:val="0"/>
              <w:autoSpaceDN w:val="0"/>
              <w:adjustRightInd w:val="0"/>
            </w:pPr>
            <w:r w:rsidRPr="00C56257">
              <w:t>Suprafața zonelor litorale</w:t>
            </w:r>
          </w:p>
          <w:p w14:paraId="5CA10AA6" w14:textId="77777777" w:rsidR="00FC026B" w:rsidRPr="00C56257" w:rsidRDefault="00FC026B" w:rsidP="00993B86">
            <w:pPr>
              <w:autoSpaceDE w:val="0"/>
              <w:autoSpaceDN w:val="0"/>
              <w:adjustRightInd w:val="0"/>
              <w:rPr>
                <w:b/>
                <w:i/>
              </w:rPr>
            </w:pPr>
          </w:p>
        </w:tc>
        <w:tc>
          <w:tcPr>
            <w:tcW w:w="5386" w:type="dxa"/>
            <w:tcBorders>
              <w:top w:val="single" w:sz="4" w:space="0" w:color="auto"/>
              <w:left w:val="single" w:sz="4" w:space="0" w:color="auto"/>
              <w:bottom w:val="single" w:sz="4" w:space="0" w:color="auto"/>
              <w:right w:val="single" w:sz="4" w:space="0" w:color="auto"/>
            </w:tcBorders>
          </w:tcPr>
          <w:p w14:paraId="29226CB4" w14:textId="77777777" w:rsidR="00FC026B" w:rsidRPr="00C56257" w:rsidRDefault="00FC026B" w:rsidP="00993B86">
            <w:pPr>
              <w:rPr>
                <w:lang w:val="it-IT"/>
              </w:rPr>
            </w:pPr>
            <w:r w:rsidRPr="00C56257">
              <w:t>Î</w:t>
            </w:r>
            <w:r w:rsidRPr="00C56257">
              <w:rPr>
                <w:lang w:val="pt-BR"/>
              </w:rPr>
              <w:t xml:space="preserve">ntinderea tipului de habitat este o cerință de raportare a Directivei Habitate. </w:t>
            </w:r>
            <w:r w:rsidRPr="00C56257">
              <w:rPr>
                <w:lang w:val="it-IT"/>
              </w:rPr>
              <w:t>În cazul țărmurilor dinamice, fluctuațiile pot fi mari, din cauza proceselor costiere naturale.</w:t>
            </w:r>
          </w:p>
          <w:p w14:paraId="28B10C89" w14:textId="77777777" w:rsidR="00FC026B" w:rsidRPr="00C56257" w:rsidRDefault="00FC026B" w:rsidP="00993B86">
            <w:pPr>
              <w:rPr>
                <w:lang w:val="it-IT"/>
              </w:rPr>
            </w:pPr>
          </w:p>
        </w:tc>
      </w:tr>
      <w:tr w:rsidR="00FC026B" w:rsidRPr="00C56257" w14:paraId="14E64D73" w14:textId="77777777" w:rsidTr="00993B86">
        <w:trPr>
          <w:jc w:val="center"/>
        </w:trPr>
        <w:tc>
          <w:tcPr>
            <w:tcW w:w="1816" w:type="dxa"/>
            <w:tcBorders>
              <w:top w:val="single" w:sz="4" w:space="0" w:color="auto"/>
              <w:left w:val="single" w:sz="4" w:space="0" w:color="auto"/>
              <w:bottom w:val="single" w:sz="4" w:space="0" w:color="auto"/>
              <w:right w:val="single" w:sz="4" w:space="0" w:color="auto"/>
            </w:tcBorders>
          </w:tcPr>
          <w:p w14:paraId="03362D23" w14:textId="77777777" w:rsidR="00FC026B" w:rsidRPr="00C56257" w:rsidRDefault="00FC026B" w:rsidP="00993B86">
            <w:pPr>
              <w:autoSpaceDE w:val="0"/>
              <w:autoSpaceDN w:val="0"/>
              <w:adjustRightInd w:val="0"/>
            </w:pPr>
            <w:r w:rsidRPr="00C56257">
              <w:t>Întinderea sub-tipului de habitat sau a biocenozei tipice</w:t>
            </w:r>
          </w:p>
          <w:p w14:paraId="506E5874" w14:textId="77777777" w:rsidR="00FC026B" w:rsidRPr="00C56257" w:rsidRDefault="00FC026B" w:rsidP="00993B86">
            <w:pPr>
              <w:autoSpaceDE w:val="0"/>
              <w:autoSpaceDN w:val="0"/>
              <w:adjustRightInd w:val="0"/>
            </w:pPr>
          </w:p>
        </w:tc>
        <w:tc>
          <w:tcPr>
            <w:tcW w:w="2466" w:type="dxa"/>
            <w:tcBorders>
              <w:top w:val="single" w:sz="4" w:space="0" w:color="auto"/>
              <w:left w:val="single" w:sz="4" w:space="0" w:color="auto"/>
              <w:bottom w:val="single" w:sz="4" w:space="0" w:color="auto"/>
              <w:right w:val="single" w:sz="4" w:space="0" w:color="auto"/>
            </w:tcBorders>
          </w:tcPr>
          <w:p w14:paraId="34443196" w14:textId="77777777" w:rsidR="00FC026B" w:rsidRPr="00C56257" w:rsidRDefault="00FC026B" w:rsidP="00993B86">
            <w:pPr>
              <w:autoSpaceDE w:val="0"/>
              <w:autoSpaceDN w:val="0"/>
              <w:adjustRightInd w:val="0"/>
              <w:rPr>
                <w:lang w:val="it-IT"/>
              </w:rPr>
            </w:pPr>
            <w:r w:rsidRPr="00C56257">
              <w:rPr>
                <w:lang w:val="it-IT"/>
              </w:rPr>
              <w:t xml:space="preserve">Suprafața acoperită de </w:t>
            </w:r>
            <w:r w:rsidRPr="00C56257">
              <w:t>biocenoza tipică</w:t>
            </w:r>
          </w:p>
          <w:p w14:paraId="372F10FF" w14:textId="77777777" w:rsidR="00FC026B" w:rsidRPr="00C56257" w:rsidRDefault="00FC026B" w:rsidP="00993B86">
            <w:pPr>
              <w:autoSpaceDE w:val="0"/>
              <w:autoSpaceDN w:val="0"/>
              <w:adjustRightInd w:val="0"/>
              <w:rPr>
                <w:lang w:val="it-IT"/>
              </w:rPr>
            </w:pPr>
          </w:p>
        </w:tc>
        <w:tc>
          <w:tcPr>
            <w:tcW w:w="5386" w:type="dxa"/>
            <w:tcBorders>
              <w:top w:val="single" w:sz="4" w:space="0" w:color="auto"/>
              <w:left w:val="single" w:sz="4" w:space="0" w:color="auto"/>
              <w:bottom w:val="single" w:sz="4" w:space="0" w:color="auto"/>
              <w:right w:val="single" w:sz="4" w:space="0" w:color="auto"/>
            </w:tcBorders>
            <w:hideMark/>
          </w:tcPr>
          <w:p w14:paraId="23ABE7BF" w14:textId="77777777" w:rsidR="00FC026B" w:rsidRPr="00C56257" w:rsidRDefault="00FC026B" w:rsidP="00993B86">
            <w:pPr>
              <w:autoSpaceDE w:val="0"/>
              <w:autoSpaceDN w:val="0"/>
              <w:adjustRightInd w:val="0"/>
              <w:rPr>
                <w:lang w:val="it-IT"/>
              </w:rPr>
            </w:pPr>
            <w:r w:rsidRPr="00C56257">
              <w:rPr>
                <w:lang w:val="it-IT"/>
              </w:rPr>
              <w:t xml:space="preserve">Acolo unde este prezentă, este o componentă structurală importantă și oferă o măsură pe termen lung a condițiilor de mediu în cadrul tipului de habitat vizat. </w:t>
            </w:r>
          </w:p>
        </w:tc>
      </w:tr>
      <w:tr w:rsidR="00FC026B" w:rsidRPr="00C56257" w14:paraId="4C6051A7" w14:textId="77777777" w:rsidTr="00993B86">
        <w:trPr>
          <w:jc w:val="center"/>
        </w:trPr>
        <w:tc>
          <w:tcPr>
            <w:tcW w:w="9668" w:type="dxa"/>
            <w:gridSpan w:val="3"/>
            <w:tcBorders>
              <w:top w:val="single" w:sz="4" w:space="0" w:color="auto"/>
              <w:left w:val="single" w:sz="4" w:space="0" w:color="auto"/>
              <w:bottom w:val="single" w:sz="4" w:space="0" w:color="auto"/>
              <w:right w:val="single" w:sz="4" w:space="0" w:color="auto"/>
            </w:tcBorders>
            <w:hideMark/>
          </w:tcPr>
          <w:p w14:paraId="6235FE0E" w14:textId="77777777" w:rsidR="00FC026B" w:rsidRPr="00C56257" w:rsidRDefault="00FC026B" w:rsidP="00993B86">
            <w:pPr>
              <w:autoSpaceDE w:val="0"/>
              <w:autoSpaceDN w:val="0"/>
              <w:adjustRightInd w:val="0"/>
            </w:pPr>
            <w:r w:rsidRPr="00C56257">
              <w:rPr>
                <w:i/>
              </w:rPr>
              <w:t>Proprietăți fizice</w:t>
            </w:r>
          </w:p>
        </w:tc>
      </w:tr>
      <w:tr w:rsidR="00FC026B" w:rsidRPr="00C56257" w14:paraId="6E26F38A" w14:textId="77777777" w:rsidTr="00993B86">
        <w:trPr>
          <w:jc w:val="center"/>
        </w:trPr>
        <w:tc>
          <w:tcPr>
            <w:tcW w:w="1816" w:type="dxa"/>
            <w:tcBorders>
              <w:top w:val="single" w:sz="4" w:space="0" w:color="auto"/>
              <w:left w:val="single" w:sz="4" w:space="0" w:color="auto"/>
              <w:bottom w:val="single" w:sz="4" w:space="0" w:color="auto"/>
              <w:right w:val="single" w:sz="4" w:space="0" w:color="auto"/>
            </w:tcBorders>
          </w:tcPr>
          <w:p w14:paraId="26294318" w14:textId="77777777" w:rsidR="00FC026B" w:rsidRPr="00C56257" w:rsidRDefault="00FC026B" w:rsidP="00993B86">
            <w:pPr>
              <w:autoSpaceDE w:val="0"/>
              <w:autoSpaceDN w:val="0"/>
              <w:adjustRightInd w:val="0"/>
              <w:rPr>
                <w:lang w:val="it-IT"/>
              </w:rPr>
            </w:pPr>
            <w:r w:rsidRPr="00C56257">
              <w:rPr>
                <w:lang w:val="it-IT"/>
              </w:rPr>
              <w:lastRenderedPageBreak/>
              <w:t>Caracterul sedimentelor</w:t>
            </w:r>
          </w:p>
          <w:p w14:paraId="17FFB7E1" w14:textId="77777777" w:rsidR="00FC026B" w:rsidRPr="00C56257" w:rsidRDefault="00FC026B" w:rsidP="00993B86">
            <w:pPr>
              <w:autoSpaceDE w:val="0"/>
              <w:autoSpaceDN w:val="0"/>
              <w:adjustRightInd w:val="0"/>
            </w:pPr>
          </w:p>
        </w:tc>
        <w:tc>
          <w:tcPr>
            <w:tcW w:w="2466" w:type="dxa"/>
            <w:tcBorders>
              <w:top w:val="single" w:sz="4" w:space="0" w:color="auto"/>
              <w:left w:val="single" w:sz="4" w:space="0" w:color="auto"/>
              <w:bottom w:val="single" w:sz="4" w:space="0" w:color="auto"/>
              <w:right w:val="single" w:sz="4" w:space="0" w:color="auto"/>
            </w:tcBorders>
            <w:hideMark/>
          </w:tcPr>
          <w:p w14:paraId="483DE324" w14:textId="77777777" w:rsidR="00FC026B" w:rsidRPr="00C56257" w:rsidRDefault="00FC026B" w:rsidP="00993B86">
            <w:pPr>
              <w:autoSpaceDE w:val="0"/>
              <w:autoSpaceDN w:val="0"/>
              <w:adjustRightInd w:val="0"/>
            </w:pPr>
            <w:r w:rsidRPr="00C56257">
              <w:t>Analiza dimensiunii particulelor: parametrii includ raportul între nisip/mâl/pietriș, dimensiunea medie și mediană a particulei, pentru caracterizarea tipului de sediment</w:t>
            </w:r>
          </w:p>
        </w:tc>
        <w:tc>
          <w:tcPr>
            <w:tcW w:w="5386" w:type="dxa"/>
            <w:tcBorders>
              <w:top w:val="single" w:sz="4" w:space="0" w:color="auto"/>
              <w:left w:val="single" w:sz="4" w:space="0" w:color="auto"/>
              <w:bottom w:val="single" w:sz="4" w:space="0" w:color="auto"/>
              <w:right w:val="single" w:sz="4" w:space="0" w:color="auto"/>
            </w:tcBorders>
            <w:hideMark/>
          </w:tcPr>
          <w:p w14:paraId="093FC2F5" w14:textId="77777777" w:rsidR="00FC026B" w:rsidRPr="00C56257" w:rsidRDefault="00FC026B" w:rsidP="00993B86">
            <w:pPr>
              <w:autoSpaceDE w:val="0"/>
              <w:autoSpaceDN w:val="0"/>
              <w:adjustRightInd w:val="0"/>
            </w:pPr>
            <w:r w:rsidRPr="00C56257">
              <w:t>Caracterul sedimentelor definit de analiza dimensiunii particulelor este vital pentru structura tipului de habitat și reflectă toate procesele fizice care acționează asupra sa. Structura dimensiunii particulelor variază în cadrul tipului de habitat și poate fi utilizată pentru a indica distribuția tipurilor de sedimente, reflectând astfel stabilitatea tipului de habitat și a proceselor care o susțin.</w:t>
            </w:r>
          </w:p>
        </w:tc>
      </w:tr>
      <w:tr w:rsidR="00FC026B" w:rsidRPr="00C56257" w14:paraId="7D1AE48B" w14:textId="77777777" w:rsidTr="00993B86">
        <w:trPr>
          <w:jc w:val="center"/>
        </w:trPr>
        <w:tc>
          <w:tcPr>
            <w:tcW w:w="9668" w:type="dxa"/>
            <w:gridSpan w:val="3"/>
            <w:tcBorders>
              <w:top w:val="single" w:sz="4" w:space="0" w:color="auto"/>
              <w:left w:val="single" w:sz="4" w:space="0" w:color="auto"/>
              <w:bottom w:val="single" w:sz="4" w:space="0" w:color="auto"/>
              <w:right w:val="single" w:sz="4" w:space="0" w:color="auto"/>
            </w:tcBorders>
            <w:hideMark/>
          </w:tcPr>
          <w:p w14:paraId="6759DA5C" w14:textId="77777777" w:rsidR="00FC026B" w:rsidRPr="00C56257" w:rsidRDefault="00FC026B" w:rsidP="00993B86">
            <w:pPr>
              <w:autoSpaceDE w:val="0"/>
              <w:autoSpaceDN w:val="0"/>
              <w:adjustRightInd w:val="0"/>
            </w:pPr>
            <w:r w:rsidRPr="00C56257">
              <w:rPr>
                <w:i/>
              </w:rPr>
              <w:t>Structură biotică</w:t>
            </w:r>
          </w:p>
        </w:tc>
      </w:tr>
      <w:tr w:rsidR="00FC026B" w:rsidRPr="00C56257" w14:paraId="1270895B" w14:textId="77777777" w:rsidTr="00993B86">
        <w:trPr>
          <w:jc w:val="center"/>
        </w:trPr>
        <w:tc>
          <w:tcPr>
            <w:tcW w:w="1816" w:type="dxa"/>
            <w:tcBorders>
              <w:top w:val="single" w:sz="4" w:space="0" w:color="auto"/>
              <w:left w:val="single" w:sz="4" w:space="0" w:color="auto"/>
              <w:bottom w:val="single" w:sz="4" w:space="0" w:color="auto"/>
              <w:right w:val="single" w:sz="4" w:space="0" w:color="auto"/>
            </w:tcBorders>
          </w:tcPr>
          <w:p w14:paraId="0BBEA2A2" w14:textId="77777777" w:rsidR="00FC026B" w:rsidRPr="00C56257" w:rsidRDefault="00FC026B" w:rsidP="00993B86">
            <w:pPr>
              <w:autoSpaceDE w:val="0"/>
              <w:autoSpaceDN w:val="0"/>
              <w:adjustRightInd w:val="0"/>
            </w:pPr>
            <w:r w:rsidRPr="00C56257">
              <w:t>Structura biocenozei</w:t>
            </w:r>
          </w:p>
          <w:p w14:paraId="2B71D753" w14:textId="77777777" w:rsidR="00FC026B" w:rsidRPr="00C56257" w:rsidRDefault="00FC026B" w:rsidP="00993B86">
            <w:pPr>
              <w:autoSpaceDE w:val="0"/>
              <w:autoSpaceDN w:val="0"/>
              <w:adjustRightInd w:val="0"/>
            </w:pPr>
          </w:p>
        </w:tc>
        <w:tc>
          <w:tcPr>
            <w:tcW w:w="2466" w:type="dxa"/>
            <w:tcBorders>
              <w:top w:val="single" w:sz="4" w:space="0" w:color="auto"/>
              <w:left w:val="single" w:sz="4" w:space="0" w:color="auto"/>
              <w:bottom w:val="single" w:sz="4" w:space="0" w:color="auto"/>
              <w:right w:val="single" w:sz="4" w:space="0" w:color="auto"/>
            </w:tcBorders>
            <w:hideMark/>
          </w:tcPr>
          <w:p w14:paraId="495E6704" w14:textId="77777777" w:rsidR="00FC026B" w:rsidRPr="00C56257" w:rsidRDefault="00FC026B" w:rsidP="00993B86">
            <w:pPr>
              <w:autoSpaceDE w:val="0"/>
              <w:autoSpaceDN w:val="0"/>
              <w:adjustRightInd w:val="0"/>
              <w:rPr>
                <w:lang w:val="it-IT"/>
              </w:rPr>
            </w:pPr>
            <w:r w:rsidRPr="00C56257">
              <w:rPr>
                <w:lang w:val="it-IT"/>
              </w:rPr>
              <w:t xml:space="preserve">Număr și prezență/frecvență a unei game specifice de biocenoze </w:t>
            </w:r>
          </w:p>
        </w:tc>
        <w:tc>
          <w:tcPr>
            <w:tcW w:w="5386" w:type="dxa"/>
            <w:tcBorders>
              <w:top w:val="single" w:sz="4" w:space="0" w:color="auto"/>
              <w:left w:val="single" w:sz="4" w:space="0" w:color="auto"/>
              <w:bottom w:val="single" w:sz="4" w:space="0" w:color="auto"/>
              <w:right w:val="single" w:sz="4" w:space="0" w:color="auto"/>
            </w:tcBorders>
            <w:hideMark/>
          </w:tcPr>
          <w:p w14:paraId="45A2D274" w14:textId="77777777" w:rsidR="00FC026B" w:rsidRPr="00C56257" w:rsidRDefault="00FC026B" w:rsidP="00993B86">
            <w:pPr>
              <w:autoSpaceDE w:val="0"/>
              <w:autoSpaceDN w:val="0"/>
              <w:adjustRightInd w:val="0"/>
            </w:pPr>
            <w:r w:rsidRPr="00C56257">
              <w:rPr>
                <w:lang w:val="it-IT"/>
              </w:rPr>
              <w:t>Numărul și prezența/frecvența biocenozelor menționate este un aspect structural important al sitului.</w:t>
            </w:r>
          </w:p>
        </w:tc>
      </w:tr>
      <w:tr w:rsidR="00FC026B" w:rsidRPr="00C56257" w14:paraId="2C547A77" w14:textId="77777777" w:rsidTr="00993B86">
        <w:trPr>
          <w:jc w:val="center"/>
        </w:trPr>
        <w:tc>
          <w:tcPr>
            <w:tcW w:w="1816" w:type="dxa"/>
            <w:tcBorders>
              <w:top w:val="single" w:sz="4" w:space="0" w:color="auto"/>
              <w:left w:val="single" w:sz="4" w:space="0" w:color="auto"/>
              <w:bottom w:val="single" w:sz="4" w:space="0" w:color="auto"/>
              <w:right w:val="single" w:sz="4" w:space="0" w:color="auto"/>
            </w:tcBorders>
          </w:tcPr>
          <w:p w14:paraId="02521A0A" w14:textId="77777777" w:rsidR="00FC026B" w:rsidRPr="00C56257" w:rsidRDefault="00FC026B" w:rsidP="00993B86">
            <w:pPr>
              <w:autoSpaceDE w:val="0"/>
              <w:autoSpaceDN w:val="0"/>
              <w:adjustRightInd w:val="0"/>
              <w:rPr>
                <w:lang w:val="it-IT"/>
              </w:rPr>
            </w:pPr>
            <w:r w:rsidRPr="00C56257">
              <w:rPr>
                <w:lang w:val="it-IT"/>
              </w:rPr>
              <w:t xml:space="preserve">Structura pe specii a unei anumite biocenoze </w:t>
            </w:r>
          </w:p>
          <w:p w14:paraId="22BDAB08" w14:textId="77777777" w:rsidR="00FC026B" w:rsidRPr="00C56257" w:rsidRDefault="00FC026B" w:rsidP="00993B86">
            <w:pPr>
              <w:autoSpaceDE w:val="0"/>
              <w:autoSpaceDN w:val="0"/>
              <w:adjustRightInd w:val="0"/>
            </w:pPr>
          </w:p>
          <w:p w14:paraId="61570AA1" w14:textId="77777777" w:rsidR="00FC026B" w:rsidRPr="00C56257" w:rsidRDefault="00FC026B" w:rsidP="00993B86">
            <w:pPr>
              <w:autoSpaceDE w:val="0"/>
              <w:autoSpaceDN w:val="0"/>
              <w:adjustRightInd w:val="0"/>
            </w:pPr>
          </w:p>
        </w:tc>
        <w:tc>
          <w:tcPr>
            <w:tcW w:w="2466" w:type="dxa"/>
            <w:tcBorders>
              <w:top w:val="single" w:sz="4" w:space="0" w:color="auto"/>
              <w:left w:val="single" w:sz="4" w:space="0" w:color="auto"/>
              <w:bottom w:val="single" w:sz="4" w:space="0" w:color="auto"/>
              <w:right w:val="single" w:sz="4" w:space="0" w:color="auto"/>
            </w:tcBorders>
          </w:tcPr>
          <w:p w14:paraId="633FA039" w14:textId="77777777" w:rsidR="00FC026B" w:rsidRPr="00C56257" w:rsidRDefault="00FC026B" w:rsidP="00993B86">
            <w:pPr>
              <w:autoSpaceDE w:val="0"/>
              <w:autoSpaceDN w:val="0"/>
              <w:adjustRightInd w:val="0"/>
              <w:rPr>
                <w:lang w:val="it-IT"/>
              </w:rPr>
            </w:pPr>
            <w:r w:rsidRPr="00C56257">
              <w:rPr>
                <w:lang w:val="it-IT"/>
              </w:rPr>
              <w:t xml:space="preserve">Frecvența și indexul de prezență/diversitate al speciilor </w:t>
            </w:r>
          </w:p>
          <w:p w14:paraId="1AF28D77" w14:textId="77777777" w:rsidR="00FC026B" w:rsidRPr="00C56257" w:rsidRDefault="00FC026B" w:rsidP="00993B86">
            <w:pPr>
              <w:autoSpaceDE w:val="0"/>
              <w:autoSpaceDN w:val="0"/>
              <w:adjustRightInd w:val="0"/>
            </w:pPr>
          </w:p>
          <w:p w14:paraId="6629D124" w14:textId="77777777" w:rsidR="00FC026B" w:rsidRPr="00C56257" w:rsidRDefault="00FC026B" w:rsidP="00993B86">
            <w:pPr>
              <w:autoSpaceDE w:val="0"/>
              <w:autoSpaceDN w:val="0"/>
              <w:adjustRightInd w:val="0"/>
            </w:pPr>
          </w:p>
        </w:tc>
        <w:tc>
          <w:tcPr>
            <w:tcW w:w="5386" w:type="dxa"/>
            <w:tcBorders>
              <w:top w:val="single" w:sz="4" w:space="0" w:color="auto"/>
              <w:left w:val="single" w:sz="4" w:space="0" w:color="auto"/>
              <w:bottom w:val="single" w:sz="4" w:space="0" w:color="auto"/>
              <w:right w:val="single" w:sz="4" w:space="0" w:color="auto"/>
            </w:tcBorders>
            <w:hideMark/>
          </w:tcPr>
          <w:p w14:paraId="6D4933C8" w14:textId="77777777" w:rsidR="00FC026B" w:rsidRPr="00C56257" w:rsidRDefault="00FC026B" w:rsidP="00993B86">
            <w:pPr>
              <w:autoSpaceDE w:val="0"/>
              <w:autoSpaceDN w:val="0"/>
              <w:adjustRightInd w:val="0"/>
              <w:rPr>
                <w:lang w:val="it-IT"/>
              </w:rPr>
            </w:pPr>
            <w:r w:rsidRPr="00C56257">
              <w:rPr>
                <w:lang w:val="it-IT"/>
              </w:rPr>
              <w:t>Structura pe specii contribuie la definirea structurii biocenozelor. Prezența și abundența relativă a tuturor speciilor caracteristice oferă un indicator al calităTii biocenozei și orice modificare a acestei structuri poate indica o schimbare sau o tendință ciclică a comunităților de pe sedimente.</w:t>
            </w:r>
          </w:p>
        </w:tc>
      </w:tr>
      <w:tr w:rsidR="00FC026B" w:rsidRPr="00C56257" w14:paraId="62E1E9C8" w14:textId="77777777" w:rsidTr="00993B86">
        <w:trPr>
          <w:jc w:val="center"/>
        </w:trPr>
        <w:tc>
          <w:tcPr>
            <w:tcW w:w="1816" w:type="dxa"/>
            <w:tcBorders>
              <w:top w:val="single" w:sz="4" w:space="0" w:color="auto"/>
              <w:left w:val="single" w:sz="4" w:space="0" w:color="auto"/>
              <w:bottom w:val="single" w:sz="4" w:space="0" w:color="auto"/>
              <w:right w:val="single" w:sz="4" w:space="0" w:color="auto"/>
            </w:tcBorders>
            <w:hideMark/>
          </w:tcPr>
          <w:p w14:paraId="3FEAF5FB" w14:textId="77777777" w:rsidR="00FC026B" w:rsidRPr="00C56257" w:rsidRDefault="00FC026B" w:rsidP="00993B86">
            <w:pPr>
              <w:autoSpaceDE w:val="0"/>
              <w:autoSpaceDN w:val="0"/>
              <w:adjustRightInd w:val="0"/>
            </w:pPr>
            <w:r w:rsidRPr="00C56257">
              <w:t>Starea speciilor remarcabile</w:t>
            </w:r>
          </w:p>
        </w:tc>
        <w:tc>
          <w:tcPr>
            <w:tcW w:w="2466" w:type="dxa"/>
            <w:tcBorders>
              <w:top w:val="single" w:sz="4" w:space="0" w:color="auto"/>
              <w:left w:val="single" w:sz="4" w:space="0" w:color="auto"/>
              <w:bottom w:val="single" w:sz="4" w:space="0" w:color="auto"/>
              <w:right w:val="single" w:sz="4" w:space="0" w:color="auto"/>
            </w:tcBorders>
          </w:tcPr>
          <w:p w14:paraId="33EB745A" w14:textId="77777777" w:rsidR="00FC026B" w:rsidRPr="00C56257" w:rsidRDefault="00FC026B" w:rsidP="00993B86">
            <w:pPr>
              <w:autoSpaceDE w:val="0"/>
              <w:autoSpaceDN w:val="0"/>
              <w:adjustRightInd w:val="0"/>
              <w:rPr>
                <w:lang w:val="it-IT"/>
              </w:rPr>
            </w:pPr>
            <w:r w:rsidRPr="00C56257">
              <w:rPr>
                <w:lang w:val="it-IT"/>
              </w:rPr>
              <w:t>Măsurarea prezenței și frecvenței unei anumite specii</w:t>
            </w:r>
          </w:p>
          <w:p w14:paraId="6ADB7630" w14:textId="77777777" w:rsidR="00FC026B" w:rsidRPr="00C56257" w:rsidRDefault="00FC026B" w:rsidP="00993B86">
            <w:pPr>
              <w:autoSpaceDE w:val="0"/>
              <w:autoSpaceDN w:val="0"/>
              <w:adjustRightInd w:val="0"/>
              <w:rPr>
                <w:lang w:val="it-IT"/>
              </w:rPr>
            </w:pPr>
          </w:p>
        </w:tc>
        <w:tc>
          <w:tcPr>
            <w:tcW w:w="5386" w:type="dxa"/>
            <w:tcBorders>
              <w:top w:val="single" w:sz="4" w:space="0" w:color="auto"/>
              <w:left w:val="single" w:sz="4" w:space="0" w:color="auto"/>
              <w:bottom w:val="single" w:sz="4" w:space="0" w:color="auto"/>
              <w:right w:val="single" w:sz="4" w:space="0" w:color="auto"/>
            </w:tcBorders>
            <w:hideMark/>
          </w:tcPr>
          <w:p w14:paraId="0051F2F2" w14:textId="77777777" w:rsidR="00FC026B" w:rsidRPr="00C56257" w:rsidRDefault="00FC026B" w:rsidP="00993B86">
            <w:pPr>
              <w:autoSpaceDE w:val="0"/>
              <w:autoSpaceDN w:val="0"/>
              <w:adjustRightInd w:val="0"/>
              <w:rPr>
                <w:lang w:val="it-IT"/>
              </w:rPr>
            </w:pPr>
            <w:r w:rsidRPr="00C56257">
              <w:rPr>
                <w:lang w:val="it-IT"/>
              </w:rPr>
              <w:t xml:space="preserve">O specie remarcabilă poate: fi de importanță conservativă mare datorită unor factori ca raritatea/insuficiența sau importanța regională; este abundentă și contribuie la structura sedimentului; </w:t>
            </w:r>
          </w:p>
        </w:tc>
      </w:tr>
      <w:tr w:rsidR="00FC026B" w:rsidRPr="00C56257" w14:paraId="18FFBA88" w14:textId="77777777" w:rsidTr="00993B86">
        <w:trPr>
          <w:jc w:val="center"/>
        </w:trPr>
        <w:tc>
          <w:tcPr>
            <w:tcW w:w="9668" w:type="dxa"/>
            <w:gridSpan w:val="3"/>
            <w:tcBorders>
              <w:top w:val="single" w:sz="4" w:space="0" w:color="auto"/>
              <w:left w:val="single" w:sz="4" w:space="0" w:color="auto"/>
              <w:bottom w:val="single" w:sz="4" w:space="0" w:color="auto"/>
              <w:right w:val="single" w:sz="4" w:space="0" w:color="auto"/>
            </w:tcBorders>
            <w:hideMark/>
          </w:tcPr>
          <w:p w14:paraId="0FD27C85" w14:textId="77777777" w:rsidR="00FC026B" w:rsidRPr="00C56257" w:rsidRDefault="00FC026B" w:rsidP="00993B86">
            <w:pPr>
              <w:autoSpaceDE w:val="0"/>
              <w:autoSpaceDN w:val="0"/>
              <w:adjustRightInd w:val="0"/>
            </w:pPr>
            <w:r w:rsidRPr="00C56257">
              <w:rPr>
                <w:i/>
              </w:rPr>
              <w:t>Structură biologică</w:t>
            </w:r>
          </w:p>
        </w:tc>
      </w:tr>
      <w:tr w:rsidR="00FC026B" w:rsidRPr="00C56257" w14:paraId="75ACE328" w14:textId="77777777" w:rsidTr="00993B86">
        <w:trPr>
          <w:jc w:val="center"/>
        </w:trPr>
        <w:tc>
          <w:tcPr>
            <w:tcW w:w="1816" w:type="dxa"/>
            <w:tcBorders>
              <w:top w:val="single" w:sz="4" w:space="0" w:color="auto"/>
              <w:left w:val="single" w:sz="4" w:space="0" w:color="auto"/>
              <w:bottom w:val="single" w:sz="4" w:space="0" w:color="auto"/>
              <w:right w:val="single" w:sz="4" w:space="0" w:color="auto"/>
            </w:tcBorders>
            <w:hideMark/>
          </w:tcPr>
          <w:p w14:paraId="25A3C06F" w14:textId="77777777" w:rsidR="00FC026B" w:rsidRPr="00C56257" w:rsidRDefault="00FC026B" w:rsidP="00993B86">
            <w:pPr>
              <w:autoSpaceDE w:val="0"/>
              <w:autoSpaceDN w:val="0"/>
              <w:adjustRightInd w:val="0"/>
            </w:pPr>
            <w:r w:rsidRPr="00C56257">
              <w:t>Distribuția spațială a tuturor biocenozelor sau unui anumit tip de biocenoze</w:t>
            </w:r>
          </w:p>
        </w:tc>
        <w:tc>
          <w:tcPr>
            <w:tcW w:w="2466" w:type="dxa"/>
            <w:tcBorders>
              <w:top w:val="single" w:sz="4" w:space="0" w:color="auto"/>
              <w:left w:val="single" w:sz="4" w:space="0" w:color="auto"/>
              <w:bottom w:val="single" w:sz="4" w:space="0" w:color="auto"/>
              <w:right w:val="single" w:sz="4" w:space="0" w:color="auto"/>
            </w:tcBorders>
            <w:hideMark/>
          </w:tcPr>
          <w:p w14:paraId="161A31AD" w14:textId="77777777" w:rsidR="00FC026B" w:rsidRPr="00C56257" w:rsidRDefault="00FC026B" w:rsidP="00993B86">
            <w:pPr>
              <w:autoSpaceDE w:val="0"/>
              <w:autoSpaceDN w:val="0"/>
              <w:adjustRightInd w:val="0"/>
            </w:pPr>
            <w:r w:rsidRPr="00C56257">
              <w:rPr>
                <w:lang w:val="it-IT"/>
              </w:rPr>
              <w:t xml:space="preserve">Distribuția relativă a biocenozelor </w:t>
            </w:r>
          </w:p>
        </w:tc>
        <w:tc>
          <w:tcPr>
            <w:tcW w:w="5386" w:type="dxa"/>
            <w:tcBorders>
              <w:top w:val="single" w:sz="4" w:space="0" w:color="auto"/>
              <w:left w:val="single" w:sz="4" w:space="0" w:color="auto"/>
              <w:bottom w:val="single" w:sz="4" w:space="0" w:color="auto"/>
              <w:right w:val="single" w:sz="4" w:space="0" w:color="auto"/>
            </w:tcBorders>
            <w:hideMark/>
          </w:tcPr>
          <w:p w14:paraId="05F07B0A" w14:textId="77777777" w:rsidR="00FC026B" w:rsidRPr="00C56257" w:rsidRDefault="00FC026B" w:rsidP="00993B86">
            <w:pPr>
              <w:autoSpaceDE w:val="0"/>
              <w:autoSpaceDN w:val="0"/>
              <w:adjustRightInd w:val="0"/>
            </w:pPr>
            <w:r w:rsidRPr="00C56257">
              <w:t>Este un aspect structural important al sitului. Modificările de întindere și răspândire pot indica modificări pe termen lung ale condițiilor fizice dominante ale sitului.</w:t>
            </w:r>
          </w:p>
        </w:tc>
      </w:tr>
      <w:tr w:rsidR="00FC026B" w:rsidRPr="00C56257" w14:paraId="235D2935" w14:textId="77777777" w:rsidTr="00993B86">
        <w:trPr>
          <w:jc w:val="center"/>
        </w:trPr>
        <w:tc>
          <w:tcPr>
            <w:tcW w:w="1816" w:type="dxa"/>
            <w:tcBorders>
              <w:top w:val="single" w:sz="4" w:space="0" w:color="auto"/>
              <w:left w:val="single" w:sz="4" w:space="0" w:color="auto"/>
              <w:bottom w:val="single" w:sz="4" w:space="0" w:color="auto"/>
              <w:right w:val="single" w:sz="4" w:space="0" w:color="auto"/>
            </w:tcBorders>
          </w:tcPr>
          <w:p w14:paraId="04935C09" w14:textId="77777777" w:rsidR="00FC026B" w:rsidRPr="00C56257" w:rsidRDefault="00FC026B" w:rsidP="00993B86">
            <w:pPr>
              <w:autoSpaceDE w:val="0"/>
              <w:autoSpaceDN w:val="0"/>
              <w:adjustRightInd w:val="0"/>
            </w:pPr>
            <w:r w:rsidRPr="00C56257">
              <w:t xml:space="preserve">Modele spațiale ale populațiilor speciilor caracteristice </w:t>
            </w:r>
          </w:p>
          <w:p w14:paraId="243E8B54" w14:textId="77777777" w:rsidR="00FC026B" w:rsidRPr="00C56257" w:rsidRDefault="00FC026B" w:rsidP="00993B86">
            <w:pPr>
              <w:autoSpaceDE w:val="0"/>
              <w:autoSpaceDN w:val="0"/>
              <w:adjustRightInd w:val="0"/>
            </w:pPr>
          </w:p>
          <w:p w14:paraId="0E73E8FD" w14:textId="77777777" w:rsidR="00FC026B" w:rsidRPr="00C56257" w:rsidRDefault="00FC026B" w:rsidP="00993B86">
            <w:pPr>
              <w:autoSpaceDE w:val="0"/>
              <w:autoSpaceDN w:val="0"/>
              <w:adjustRightInd w:val="0"/>
            </w:pPr>
          </w:p>
        </w:tc>
        <w:tc>
          <w:tcPr>
            <w:tcW w:w="2466" w:type="dxa"/>
            <w:tcBorders>
              <w:top w:val="single" w:sz="4" w:space="0" w:color="auto"/>
              <w:left w:val="single" w:sz="4" w:space="0" w:color="auto"/>
              <w:bottom w:val="single" w:sz="4" w:space="0" w:color="auto"/>
              <w:right w:val="single" w:sz="4" w:space="0" w:color="auto"/>
            </w:tcBorders>
          </w:tcPr>
          <w:p w14:paraId="0FBDF2BA" w14:textId="77777777" w:rsidR="00FC026B" w:rsidRPr="00C56257" w:rsidRDefault="00FC026B" w:rsidP="00993B86">
            <w:pPr>
              <w:autoSpaceDE w:val="0"/>
              <w:autoSpaceDN w:val="0"/>
              <w:adjustRightInd w:val="0"/>
            </w:pPr>
            <w:r w:rsidRPr="00C56257">
              <w:t xml:space="preserve">Pentru bivalve se măsoară suprafaţa ocupată de populaţie, abundența și/sau raportul dimensiune/vârstă. </w:t>
            </w:r>
          </w:p>
          <w:p w14:paraId="0515819F" w14:textId="77777777" w:rsidR="00FC026B" w:rsidRPr="00C56257" w:rsidRDefault="00FC026B" w:rsidP="00993B86">
            <w:pPr>
              <w:autoSpaceDE w:val="0"/>
              <w:autoSpaceDN w:val="0"/>
              <w:adjustRightInd w:val="0"/>
            </w:pPr>
          </w:p>
        </w:tc>
        <w:tc>
          <w:tcPr>
            <w:tcW w:w="5386" w:type="dxa"/>
            <w:tcBorders>
              <w:top w:val="single" w:sz="4" w:space="0" w:color="auto"/>
              <w:left w:val="single" w:sz="4" w:space="0" w:color="auto"/>
              <w:bottom w:val="single" w:sz="4" w:space="0" w:color="auto"/>
              <w:right w:val="single" w:sz="4" w:space="0" w:color="auto"/>
            </w:tcBorders>
            <w:hideMark/>
          </w:tcPr>
          <w:p w14:paraId="251A5F25" w14:textId="77777777" w:rsidR="00FC026B" w:rsidRPr="00C56257" w:rsidRDefault="00FC026B" w:rsidP="00993B86">
            <w:pPr>
              <w:autoSpaceDE w:val="0"/>
              <w:autoSpaceDN w:val="0"/>
              <w:adjustRightInd w:val="0"/>
            </w:pPr>
            <w:r w:rsidRPr="00C56257">
              <w:t xml:space="preserve">Dacă sunt prezente, bivalvele sunt o specie importantă pentru structura tipului de habitat și au o mare influență asupra comunității asociate. </w:t>
            </w:r>
          </w:p>
          <w:p w14:paraId="7FC0D29F" w14:textId="77777777" w:rsidR="00FC026B" w:rsidRPr="00C56257" w:rsidRDefault="00FC026B" w:rsidP="00993B86">
            <w:pPr>
              <w:autoSpaceDE w:val="0"/>
              <w:autoSpaceDN w:val="0"/>
              <w:adjustRightInd w:val="0"/>
            </w:pPr>
            <w:r w:rsidRPr="00C56257">
              <w:t xml:space="preserve">Pentru o evaluare corectă, este nevoie, pe lângă întinderea arealului, și de cunoașterea dinamicii populației speciei și dacă aceasta se poate susține în cadrul bancului. </w:t>
            </w:r>
          </w:p>
        </w:tc>
      </w:tr>
    </w:tbl>
    <w:p w14:paraId="48028B14" w14:textId="77777777" w:rsidR="00FC026B" w:rsidRPr="00F100E1" w:rsidRDefault="00FC026B" w:rsidP="00FC026B">
      <w:pPr>
        <w:autoSpaceDE w:val="0"/>
        <w:autoSpaceDN w:val="0"/>
        <w:adjustRightInd w:val="0"/>
        <w:jc w:val="both"/>
      </w:pPr>
    </w:p>
    <w:p w14:paraId="249E5A48" w14:textId="77777777" w:rsidR="00FC026B" w:rsidRPr="00C56257" w:rsidRDefault="00FC026B" w:rsidP="00FC026B">
      <w:pPr>
        <w:jc w:val="both"/>
        <w:rPr>
          <w:b/>
          <w:i/>
          <w:lang w:val="pt-BR"/>
        </w:rPr>
      </w:pPr>
      <w:r w:rsidRPr="00C56257">
        <w:rPr>
          <w:b/>
          <w:i/>
          <w:lang w:val="pt-BR"/>
        </w:rPr>
        <w:t>Tehnici de monitorizare a atributelor suprafețelor de mâl și nisip recomandate</w:t>
      </w:r>
    </w:p>
    <w:p w14:paraId="69FA31BA" w14:textId="77777777" w:rsidR="00FC026B" w:rsidRPr="00C56257" w:rsidRDefault="00FC026B" w:rsidP="00FC026B">
      <w:pPr>
        <w:ind w:firstLine="720"/>
        <w:jc w:val="both"/>
        <w:rPr>
          <w:lang w:val="pt-BR"/>
        </w:rPr>
      </w:pPr>
      <w:r w:rsidRPr="00C56257">
        <w:rPr>
          <w:lang w:val="pt-BR"/>
        </w:rPr>
        <w:t>Pentru fiecare dintre atributele care pot fi selectate pentru a monitoriza starea acestui tip de habitat, există tehnici disponibile pentru a măsura valoarea acesteia.</w:t>
      </w:r>
    </w:p>
    <w:p w14:paraId="3E52A7E7" w14:textId="77777777" w:rsidR="00FC026B" w:rsidRPr="00C56257" w:rsidRDefault="00FC026B" w:rsidP="00FC026B">
      <w:pPr>
        <w:autoSpaceDE w:val="0"/>
        <w:autoSpaceDN w:val="0"/>
        <w:adjustRightInd w:val="0"/>
        <w:jc w:val="both"/>
        <w:rPr>
          <w:lang w:val="pt-BR"/>
        </w:rPr>
      </w:pPr>
    </w:p>
    <w:p w14:paraId="04002203" w14:textId="77777777" w:rsidR="00FC026B" w:rsidRPr="00C56257" w:rsidRDefault="00FC026B" w:rsidP="00FC026B">
      <w:pPr>
        <w:jc w:val="both"/>
        <w:rPr>
          <w:b/>
          <w:i/>
        </w:rPr>
      </w:pPr>
      <w:r w:rsidRPr="00C56257">
        <w:rPr>
          <w:b/>
          <w:i/>
        </w:rPr>
        <w:t>Aspecte referitoare la eșantionare</w:t>
      </w:r>
    </w:p>
    <w:p w14:paraId="14257F72" w14:textId="77777777" w:rsidR="00FC026B" w:rsidRPr="00C56257" w:rsidRDefault="00FC026B" w:rsidP="00FC026B">
      <w:pPr>
        <w:ind w:firstLine="720"/>
        <w:jc w:val="both"/>
      </w:pPr>
      <w:r w:rsidRPr="00C56257">
        <w:t xml:space="preserve">Definirea unui program de eşantionare trebuie să ia în considerare tipul de habitat în ansamblu, iar aceste aspecte, în mod evident, ridică probleme logistice considerabile atunci când este vorba de suprafeţe foarte extinse. Strategia de monitorizare trebuie să cuprindă tehnici care iau în considerare pe de o parte </w:t>
      </w:r>
      <w:r w:rsidRPr="00C56257">
        <w:lastRenderedPageBreak/>
        <w:t xml:space="preserve">atributele generale, privite la scară largă (ex. întinderea) dar și prelevări de probe detaliate, pentru a evalua compoziția biotică. </w:t>
      </w:r>
    </w:p>
    <w:p w14:paraId="7D96EE49" w14:textId="77777777" w:rsidR="00FC026B" w:rsidRPr="00C56257" w:rsidRDefault="00FC026B" w:rsidP="00FC026B">
      <w:pPr>
        <w:ind w:firstLine="720"/>
        <w:jc w:val="both"/>
      </w:pPr>
      <w:r w:rsidRPr="00C56257">
        <w:t>Un aspect important este o atenţie sporită acordată prelevării în mod corect a probelor de faună. Astfel, trebuie selectată corect dimensiunea cea mai potrivită a ochiurilor de plasă pentru o prelevare corespunzătoare a probelor de faună din substrat. O recomandare generală este că un ochi de plasă de 1 mm este suficient pentru majoritatea tipurilor de sedimente mâloase și nisipoase de la litoralul românesc.</w:t>
      </w:r>
    </w:p>
    <w:p w14:paraId="2240575D" w14:textId="77777777" w:rsidR="00FC026B" w:rsidRPr="00C56257" w:rsidRDefault="00FC026B" w:rsidP="00FC026B">
      <w:pPr>
        <w:ind w:firstLine="720"/>
        <w:jc w:val="both"/>
        <w:rPr>
          <w:lang w:val="it-IT"/>
        </w:rPr>
      </w:pPr>
      <w:r w:rsidRPr="00C56257">
        <w:rPr>
          <w:lang w:val="it-IT"/>
        </w:rPr>
        <w:t>Din cauza faptului că sunt în mod vădit medii foarte dinamice, suprafețele mediolitorale pot ridica probleme cu marcarea sitului. Markerii pot fi uneori îngropați sau luați de apă în cazul în care suprafețele își modifică profilul. Dacă se optează pentru utilizarea metodei transectelor, este util să se stabilească capătul transectului cu un stâlp de marcaj, având grijă să se înregistreze poziția acestuia cu precizie, prin GPS sau prin fotografii/desene ale tuturor reperelor evidente.</w:t>
      </w:r>
    </w:p>
    <w:p w14:paraId="1964538B" w14:textId="77777777" w:rsidR="00FC026B" w:rsidRPr="00C56257" w:rsidRDefault="00FC026B" w:rsidP="00FC026B">
      <w:pPr>
        <w:ind w:firstLine="720"/>
        <w:jc w:val="both"/>
        <w:rPr>
          <w:lang w:val="it-IT"/>
        </w:rPr>
      </w:pPr>
      <w:r w:rsidRPr="00C56257">
        <w:rPr>
          <w:i/>
          <w:lang w:val="it-IT"/>
        </w:rPr>
        <w:t>Modificările meteorologice</w:t>
      </w:r>
      <w:r w:rsidRPr="00C56257">
        <w:rPr>
          <w:lang w:val="it-IT"/>
        </w:rPr>
        <w:t xml:space="preserve"> care pot afecta suprafețele supra- si mediolitorale includ:</w:t>
      </w:r>
    </w:p>
    <w:p w14:paraId="38E5BD49" w14:textId="77777777" w:rsidR="00FC026B" w:rsidRPr="00C56257" w:rsidRDefault="00FC026B" w:rsidP="009E63E5">
      <w:pPr>
        <w:numPr>
          <w:ilvl w:val="0"/>
          <w:numId w:val="171"/>
        </w:numPr>
        <w:jc w:val="both"/>
        <w:rPr>
          <w:lang w:val="it-IT"/>
        </w:rPr>
      </w:pPr>
      <w:r w:rsidRPr="00C56257">
        <w:rPr>
          <w:lang w:val="it-IT"/>
        </w:rPr>
        <w:t>Eroziunea în urma furtunilor din sezonul rece sau inundațiile pot afecta întinderea suprafețelor;</w:t>
      </w:r>
    </w:p>
    <w:p w14:paraId="609B5F6D" w14:textId="77777777" w:rsidR="00FC026B" w:rsidRPr="00C56257" w:rsidRDefault="00FC026B" w:rsidP="009E63E5">
      <w:pPr>
        <w:numPr>
          <w:ilvl w:val="0"/>
          <w:numId w:val="171"/>
        </w:numPr>
        <w:jc w:val="both"/>
        <w:rPr>
          <w:lang w:val="it-IT"/>
        </w:rPr>
      </w:pPr>
      <w:r w:rsidRPr="00C56257">
        <w:rPr>
          <w:lang w:val="it-IT"/>
        </w:rPr>
        <w:t>Modificarea canalelor principale ale râurilor sau a fluxurilor de scurgere poate modifica topografia;</w:t>
      </w:r>
    </w:p>
    <w:p w14:paraId="43A8C47F" w14:textId="77777777" w:rsidR="00FC026B" w:rsidRPr="00C56257" w:rsidRDefault="00FC026B" w:rsidP="009E63E5">
      <w:pPr>
        <w:numPr>
          <w:ilvl w:val="0"/>
          <w:numId w:val="171"/>
        </w:numPr>
        <w:jc w:val="both"/>
        <w:rPr>
          <w:lang w:val="it-IT"/>
        </w:rPr>
      </w:pPr>
      <w:r w:rsidRPr="00C56257">
        <w:rPr>
          <w:lang w:val="it-IT"/>
        </w:rPr>
        <w:t xml:space="preserve">Regimuri diferite ale precipitațiilor pot conduce la modificarea regimurilor de depunere a sedimentelor, prin schimbări ale debitelor. </w:t>
      </w:r>
    </w:p>
    <w:p w14:paraId="3C870531" w14:textId="77777777" w:rsidR="00FC026B" w:rsidRPr="00C56257" w:rsidRDefault="00FC026B" w:rsidP="00FC026B">
      <w:pPr>
        <w:rPr>
          <w:b/>
          <w:lang w:val="it-IT"/>
        </w:rPr>
      </w:pPr>
    </w:p>
    <w:p w14:paraId="22DF0677" w14:textId="77777777" w:rsidR="00FC026B" w:rsidRPr="00C56257" w:rsidRDefault="00FC026B" w:rsidP="00FC026B">
      <w:pPr>
        <w:jc w:val="center"/>
        <w:rPr>
          <w:lang w:val="it-IT"/>
        </w:rPr>
      </w:pPr>
      <w:r w:rsidRPr="00C56257">
        <w:rPr>
          <w:rFonts w:eastAsia="Calibri"/>
          <w:lang w:val="it-IT"/>
        </w:rPr>
        <w:t xml:space="preserve">Tabelul </w:t>
      </w:r>
      <w:r>
        <w:rPr>
          <w:rFonts w:eastAsia="Calibri"/>
          <w:lang w:val="it-IT"/>
        </w:rPr>
        <w:t>1.10</w:t>
      </w:r>
      <w:r w:rsidRPr="00C56257">
        <w:rPr>
          <w:rFonts w:eastAsia="Calibri"/>
          <w:lang w:val="it-IT"/>
        </w:rPr>
        <w:t xml:space="preserve">. </w:t>
      </w:r>
      <w:r w:rsidRPr="00C56257">
        <w:rPr>
          <w:lang w:val="it-IT"/>
        </w:rPr>
        <w:t>Tehnici pentru măsurarea atributelor suprafețelor de mâl și nisip 1140.</w:t>
      </w:r>
    </w:p>
    <w:tbl>
      <w:tblPr>
        <w:tblW w:w="94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9"/>
        <w:gridCol w:w="3184"/>
        <w:gridCol w:w="4206"/>
      </w:tblGrid>
      <w:tr w:rsidR="00FC026B" w:rsidRPr="00C56257" w14:paraId="2B005A69" w14:textId="77777777" w:rsidTr="00993B86">
        <w:trPr>
          <w:trHeight w:val="523"/>
          <w:jc w:val="center"/>
        </w:trPr>
        <w:tc>
          <w:tcPr>
            <w:tcW w:w="2039" w:type="dxa"/>
            <w:tcBorders>
              <w:top w:val="single" w:sz="4" w:space="0" w:color="auto"/>
              <w:left w:val="single" w:sz="4" w:space="0" w:color="auto"/>
              <w:bottom w:val="single" w:sz="4" w:space="0" w:color="auto"/>
              <w:right w:val="single" w:sz="4" w:space="0" w:color="auto"/>
            </w:tcBorders>
            <w:hideMark/>
          </w:tcPr>
          <w:p w14:paraId="6107B8A7" w14:textId="77777777" w:rsidR="00FC026B" w:rsidRPr="00C56257" w:rsidRDefault="00FC026B" w:rsidP="00993B86">
            <w:pPr>
              <w:autoSpaceDE w:val="0"/>
              <w:autoSpaceDN w:val="0"/>
              <w:adjustRightInd w:val="0"/>
              <w:rPr>
                <w:b/>
                <w:i/>
                <w:lang w:val="it-IT"/>
              </w:rPr>
            </w:pPr>
            <w:r w:rsidRPr="00C56257">
              <w:rPr>
                <w:b/>
                <w:i/>
                <w:lang w:val="it-IT"/>
              </w:rPr>
              <w:t xml:space="preserve">Atribut generic </w:t>
            </w:r>
          </w:p>
        </w:tc>
        <w:tc>
          <w:tcPr>
            <w:tcW w:w="3184" w:type="dxa"/>
            <w:tcBorders>
              <w:top w:val="single" w:sz="4" w:space="0" w:color="auto"/>
              <w:left w:val="single" w:sz="4" w:space="0" w:color="auto"/>
              <w:bottom w:val="single" w:sz="4" w:space="0" w:color="auto"/>
              <w:right w:val="single" w:sz="4" w:space="0" w:color="auto"/>
            </w:tcBorders>
            <w:hideMark/>
          </w:tcPr>
          <w:p w14:paraId="0043CC11" w14:textId="77777777" w:rsidR="00FC026B" w:rsidRPr="00C56257" w:rsidRDefault="00FC026B" w:rsidP="00993B86">
            <w:pPr>
              <w:rPr>
                <w:b/>
                <w:i/>
                <w:lang w:val="it-IT"/>
              </w:rPr>
            </w:pPr>
            <w:r w:rsidRPr="00C56257">
              <w:rPr>
                <w:b/>
                <w:i/>
                <w:lang w:val="it-IT"/>
              </w:rPr>
              <w:t>Atribut specific</w:t>
            </w:r>
          </w:p>
        </w:tc>
        <w:tc>
          <w:tcPr>
            <w:tcW w:w="4206" w:type="dxa"/>
            <w:tcBorders>
              <w:top w:val="single" w:sz="4" w:space="0" w:color="auto"/>
              <w:left w:val="single" w:sz="4" w:space="0" w:color="auto"/>
              <w:bottom w:val="single" w:sz="4" w:space="0" w:color="auto"/>
              <w:right w:val="single" w:sz="4" w:space="0" w:color="auto"/>
            </w:tcBorders>
            <w:hideMark/>
          </w:tcPr>
          <w:p w14:paraId="43F86325" w14:textId="77777777" w:rsidR="00FC026B" w:rsidRPr="00C56257" w:rsidRDefault="00FC026B" w:rsidP="00993B86">
            <w:pPr>
              <w:rPr>
                <w:b/>
                <w:i/>
                <w:lang w:val="it-IT"/>
              </w:rPr>
            </w:pPr>
            <w:r w:rsidRPr="00C56257">
              <w:rPr>
                <w:b/>
                <w:i/>
                <w:lang w:val="it-IT"/>
              </w:rPr>
              <w:t>Tehnică</w:t>
            </w:r>
          </w:p>
        </w:tc>
      </w:tr>
      <w:tr w:rsidR="00FC026B" w:rsidRPr="00C56257" w14:paraId="2147BC30" w14:textId="77777777" w:rsidTr="00993B86">
        <w:trPr>
          <w:trHeight w:val="286"/>
          <w:jc w:val="center"/>
        </w:trPr>
        <w:tc>
          <w:tcPr>
            <w:tcW w:w="2039" w:type="dxa"/>
            <w:tcBorders>
              <w:top w:val="single" w:sz="4" w:space="0" w:color="auto"/>
              <w:left w:val="single" w:sz="4" w:space="0" w:color="auto"/>
              <w:bottom w:val="single" w:sz="4" w:space="0" w:color="auto"/>
              <w:right w:val="single" w:sz="4" w:space="0" w:color="auto"/>
            </w:tcBorders>
            <w:hideMark/>
          </w:tcPr>
          <w:p w14:paraId="47993973" w14:textId="77777777" w:rsidR="00FC026B" w:rsidRPr="00C56257" w:rsidRDefault="00FC026B" w:rsidP="00993B86">
            <w:pPr>
              <w:rPr>
                <w:b/>
                <w:i/>
                <w:lang w:val="it-IT"/>
              </w:rPr>
            </w:pPr>
            <w:r w:rsidRPr="00C56257">
              <w:rPr>
                <w:lang w:val="it-IT"/>
              </w:rPr>
              <w:t>Întindere /</w:t>
            </w:r>
          </w:p>
        </w:tc>
        <w:tc>
          <w:tcPr>
            <w:tcW w:w="3184" w:type="dxa"/>
            <w:tcBorders>
              <w:top w:val="single" w:sz="4" w:space="0" w:color="auto"/>
              <w:left w:val="single" w:sz="4" w:space="0" w:color="auto"/>
              <w:bottom w:val="single" w:sz="4" w:space="0" w:color="auto"/>
              <w:right w:val="single" w:sz="4" w:space="0" w:color="auto"/>
            </w:tcBorders>
            <w:hideMark/>
          </w:tcPr>
          <w:p w14:paraId="5C3DB94E" w14:textId="77777777" w:rsidR="00FC026B" w:rsidRPr="00C56257" w:rsidRDefault="00FC026B" w:rsidP="00993B86">
            <w:pPr>
              <w:rPr>
                <w:b/>
                <w:i/>
                <w:lang w:val="it-IT"/>
              </w:rPr>
            </w:pPr>
            <w:r w:rsidRPr="00C56257">
              <w:rPr>
                <w:lang w:val="it-IT"/>
              </w:rPr>
              <w:t>Întindere biocenoză</w:t>
            </w:r>
          </w:p>
        </w:tc>
        <w:tc>
          <w:tcPr>
            <w:tcW w:w="4206" w:type="dxa"/>
            <w:tcBorders>
              <w:top w:val="single" w:sz="4" w:space="0" w:color="auto"/>
              <w:left w:val="single" w:sz="4" w:space="0" w:color="auto"/>
              <w:bottom w:val="single" w:sz="4" w:space="0" w:color="auto"/>
              <w:right w:val="single" w:sz="4" w:space="0" w:color="auto"/>
            </w:tcBorders>
            <w:hideMark/>
          </w:tcPr>
          <w:p w14:paraId="46FADEF2" w14:textId="77777777" w:rsidR="00FC026B" w:rsidRPr="00C56257" w:rsidRDefault="00FC026B" w:rsidP="00993B86">
            <w:pPr>
              <w:autoSpaceDE w:val="0"/>
              <w:autoSpaceDN w:val="0"/>
              <w:adjustRightInd w:val="0"/>
              <w:rPr>
                <w:lang w:val="it-IT"/>
              </w:rPr>
            </w:pPr>
            <w:r w:rsidRPr="00C56257">
              <w:rPr>
                <w:lang w:val="it-IT"/>
              </w:rPr>
              <w:t>Cartarea pe baza de fotografii aeriene</w:t>
            </w:r>
          </w:p>
        </w:tc>
      </w:tr>
      <w:tr w:rsidR="00FC026B" w:rsidRPr="00C56257" w14:paraId="5E638521" w14:textId="77777777" w:rsidTr="00993B86">
        <w:trPr>
          <w:jc w:val="center"/>
        </w:trPr>
        <w:tc>
          <w:tcPr>
            <w:tcW w:w="2039" w:type="dxa"/>
            <w:vMerge w:val="restart"/>
            <w:tcBorders>
              <w:top w:val="single" w:sz="4" w:space="0" w:color="auto"/>
              <w:left w:val="single" w:sz="4" w:space="0" w:color="auto"/>
              <w:bottom w:val="single" w:sz="4" w:space="0" w:color="auto"/>
              <w:right w:val="single" w:sz="4" w:space="0" w:color="auto"/>
            </w:tcBorders>
          </w:tcPr>
          <w:p w14:paraId="580B41D9" w14:textId="77777777" w:rsidR="00FC026B" w:rsidRPr="00C56257" w:rsidRDefault="00FC026B" w:rsidP="00993B86">
            <w:pPr>
              <w:rPr>
                <w:lang w:val="it-IT"/>
              </w:rPr>
            </w:pPr>
          </w:p>
          <w:p w14:paraId="42E9F574" w14:textId="77777777" w:rsidR="00FC026B" w:rsidRPr="00C56257" w:rsidRDefault="00FC026B" w:rsidP="00993B86">
            <w:pPr>
              <w:rPr>
                <w:lang w:val="it-IT"/>
              </w:rPr>
            </w:pPr>
            <w:r w:rsidRPr="00C56257">
              <w:rPr>
                <w:lang w:val="it-IT"/>
              </w:rPr>
              <w:t>Caracterist</w:t>
            </w:r>
            <w:r w:rsidRPr="00C56257">
              <w:t>ici fizice</w:t>
            </w:r>
          </w:p>
        </w:tc>
        <w:tc>
          <w:tcPr>
            <w:tcW w:w="3184" w:type="dxa"/>
            <w:tcBorders>
              <w:top w:val="single" w:sz="4" w:space="0" w:color="auto"/>
              <w:left w:val="single" w:sz="4" w:space="0" w:color="auto"/>
              <w:bottom w:val="single" w:sz="4" w:space="0" w:color="auto"/>
              <w:right w:val="single" w:sz="4" w:space="0" w:color="auto"/>
            </w:tcBorders>
            <w:hideMark/>
          </w:tcPr>
          <w:p w14:paraId="247A31E4" w14:textId="77777777" w:rsidR="00FC026B" w:rsidRPr="00C56257" w:rsidRDefault="00FC026B" w:rsidP="00993B86">
            <w:pPr>
              <w:rPr>
                <w:lang w:val="en-US"/>
              </w:rPr>
            </w:pPr>
            <w:proofErr w:type="spellStart"/>
            <w:r w:rsidRPr="00C56257">
              <w:rPr>
                <w:lang w:val="en-US"/>
              </w:rPr>
              <w:t>Substrat</w:t>
            </w:r>
            <w:proofErr w:type="spellEnd"/>
            <w:r w:rsidRPr="00C56257">
              <w:rPr>
                <w:lang w:val="en-US"/>
              </w:rPr>
              <w:t>: tip sediment</w:t>
            </w:r>
          </w:p>
        </w:tc>
        <w:tc>
          <w:tcPr>
            <w:tcW w:w="4206" w:type="dxa"/>
            <w:tcBorders>
              <w:top w:val="single" w:sz="4" w:space="0" w:color="auto"/>
              <w:left w:val="single" w:sz="4" w:space="0" w:color="auto"/>
              <w:bottom w:val="single" w:sz="4" w:space="0" w:color="auto"/>
              <w:right w:val="single" w:sz="4" w:space="0" w:color="auto"/>
            </w:tcBorders>
            <w:hideMark/>
          </w:tcPr>
          <w:p w14:paraId="7ED8CDFE" w14:textId="77777777" w:rsidR="00FC026B" w:rsidRPr="00C56257" w:rsidRDefault="00FC026B" w:rsidP="00993B86">
            <w:pPr>
              <w:autoSpaceDE w:val="0"/>
              <w:autoSpaceDN w:val="0"/>
              <w:adjustRightInd w:val="0"/>
              <w:rPr>
                <w:lang w:val="it-IT"/>
              </w:rPr>
            </w:pPr>
            <w:r w:rsidRPr="00C56257">
              <w:rPr>
                <w:lang w:val="it-IT"/>
              </w:rPr>
              <w:t>Analiza dimensiunii particulelor; analize chimice ale sedimentelor</w:t>
            </w:r>
          </w:p>
        </w:tc>
      </w:tr>
      <w:tr w:rsidR="00FC026B" w:rsidRPr="00C56257" w14:paraId="1B03261A" w14:textId="77777777" w:rsidTr="00993B8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AF72692" w14:textId="77777777" w:rsidR="00FC026B" w:rsidRPr="00F100E1" w:rsidRDefault="00FC026B" w:rsidP="00993B86">
            <w:pPr>
              <w:rPr>
                <w:lang w:val="it-IT"/>
              </w:rPr>
            </w:pPr>
          </w:p>
        </w:tc>
        <w:tc>
          <w:tcPr>
            <w:tcW w:w="3184" w:type="dxa"/>
            <w:tcBorders>
              <w:top w:val="single" w:sz="4" w:space="0" w:color="auto"/>
              <w:left w:val="single" w:sz="4" w:space="0" w:color="auto"/>
              <w:bottom w:val="single" w:sz="4" w:space="0" w:color="auto"/>
              <w:right w:val="single" w:sz="4" w:space="0" w:color="auto"/>
            </w:tcBorders>
            <w:hideMark/>
          </w:tcPr>
          <w:p w14:paraId="668F71E0" w14:textId="77777777" w:rsidR="00FC026B" w:rsidRPr="00C56257" w:rsidRDefault="00FC026B" w:rsidP="00993B86">
            <w:pPr>
              <w:autoSpaceDE w:val="0"/>
              <w:autoSpaceDN w:val="0"/>
              <w:adjustRightInd w:val="0"/>
            </w:pPr>
            <w:r w:rsidRPr="00C56257">
              <w:t>Topografie</w:t>
            </w:r>
          </w:p>
        </w:tc>
        <w:tc>
          <w:tcPr>
            <w:tcW w:w="4206" w:type="dxa"/>
            <w:tcBorders>
              <w:top w:val="single" w:sz="4" w:space="0" w:color="auto"/>
              <w:left w:val="single" w:sz="4" w:space="0" w:color="auto"/>
              <w:bottom w:val="single" w:sz="4" w:space="0" w:color="auto"/>
              <w:right w:val="single" w:sz="4" w:space="0" w:color="auto"/>
            </w:tcBorders>
            <w:hideMark/>
          </w:tcPr>
          <w:p w14:paraId="2810791D" w14:textId="77777777" w:rsidR="00FC026B" w:rsidRPr="00C56257" w:rsidRDefault="00FC026B" w:rsidP="00993B86">
            <w:pPr>
              <w:autoSpaceDE w:val="0"/>
              <w:autoSpaceDN w:val="0"/>
              <w:adjustRightInd w:val="0"/>
            </w:pPr>
            <w:r w:rsidRPr="00C56257">
              <w:t>Realizarea profilului țărmului</w:t>
            </w:r>
          </w:p>
        </w:tc>
      </w:tr>
      <w:tr w:rsidR="00FC026B" w:rsidRPr="00C56257" w14:paraId="04A77779" w14:textId="77777777" w:rsidTr="00993B86">
        <w:trPr>
          <w:jc w:val="center"/>
        </w:trPr>
        <w:tc>
          <w:tcPr>
            <w:tcW w:w="2039" w:type="dxa"/>
            <w:vMerge w:val="restart"/>
            <w:tcBorders>
              <w:top w:val="single" w:sz="4" w:space="0" w:color="auto"/>
              <w:left w:val="single" w:sz="4" w:space="0" w:color="auto"/>
              <w:bottom w:val="single" w:sz="4" w:space="0" w:color="auto"/>
              <w:right w:val="single" w:sz="4" w:space="0" w:color="auto"/>
            </w:tcBorders>
          </w:tcPr>
          <w:p w14:paraId="62D981BE" w14:textId="77777777" w:rsidR="00FC026B" w:rsidRPr="00C56257" w:rsidRDefault="00FC026B" w:rsidP="00993B86">
            <w:pPr>
              <w:rPr>
                <w:lang w:val="it-IT"/>
              </w:rPr>
            </w:pPr>
          </w:p>
          <w:p w14:paraId="4D534F1B" w14:textId="77777777" w:rsidR="00FC026B" w:rsidRPr="00C56257" w:rsidRDefault="00FC026B" w:rsidP="00993B86">
            <w:pPr>
              <w:rPr>
                <w:lang w:val="it-IT"/>
              </w:rPr>
            </w:pPr>
            <w:r w:rsidRPr="00C56257">
              <w:t xml:space="preserve">Structura habitatului </w:t>
            </w:r>
          </w:p>
        </w:tc>
        <w:tc>
          <w:tcPr>
            <w:tcW w:w="3184" w:type="dxa"/>
            <w:tcBorders>
              <w:top w:val="single" w:sz="4" w:space="0" w:color="auto"/>
              <w:left w:val="single" w:sz="4" w:space="0" w:color="auto"/>
              <w:bottom w:val="single" w:sz="4" w:space="0" w:color="auto"/>
              <w:right w:val="single" w:sz="4" w:space="0" w:color="auto"/>
            </w:tcBorders>
            <w:hideMark/>
          </w:tcPr>
          <w:p w14:paraId="100EAD08" w14:textId="77777777" w:rsidR="00FC026B" w:rsidRPr="00C56257" w:rsidRDefault="00FC026B" w:rsidP="00993B86">
            <w:r w:rsidRPr="00C56257">
              <w:rPr>
                <w:lang w:val="it-IT"/>
              </w:rPr>
              <w:t xml:space="preserve">Subtipuri prezente </w:t>
            </w:r>
          </w:p>
        </w:tc>
        <w:tc>
          <w:tcPr>
            <w:tcW w:w="4206" w:type="dxa"/>
            <w:tcBorders>
              <w:top w:val="single" w:sz="4" w:space="0" w:color="auto"/>
              <w:left w:val="single" w:sz="4" w:space="0" w:color="auto"/>
              <w:bottom w:val="single" w:sz="4" w:space="0" w:color="auto"/>
              <w:right w:val="single" w:sz="4" w:space="0" w:color="auto"/>
            </w:tcBorders>
            <w:hideMark/>
          </w:tcPr>
          <w:p w14:paraId="1E10C6CD" w14:textId="77777777" w:rsidR="00FC026B" w:rsidRPr="00C56257" w:rsidRDefault="00FC026B" w:rsidP="00993B86">
            <w:pPr>
              <w:autoSpaceDE w:val="0"/>
              <w:autoSpaceDN w:val="0"/>
              <w:adjustRightInd w:val="0"/>
              <w:rPr>
                <w:lang w:val="it-IT"/>
              </w:rPr>
            </w:pPr>
            <w:r w:rsidRPr="00C56257">
              <w:rPr>
                <w:lang w:val="it-IT"/>
              </w:rPr>
              <w:t>Identificare subtipuri</w:t>
            </w:r>
          </w:p>
        </w:tc>
      </w:tr>
      <w:tr w:rsidR="00FC026B" w:rsidRPr="00C56257" w14:paraId="7590FA77" w14:textId="77777777" w:rsidTr="00993B8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79F1DFF" w14:textId="77777777" w:rsidR="00FC026B" w:rsidRPr="00F100E1" w:rsidRDefault="00FC026B" w:rsidP="00993B86">
            <w:pPr>
              <w:rPr>
                <w:lang w:val="it-IT"/>
              </w:rPr>
            </w:pPr>
          </w:p>
        </w:tc>
        <w:tc>
          <w:tcPr>
            <w:tcW w:w="3184" w:type="dxa"/>
            <w:tcBorders>
              <w:top w:val="single" w:sz="4" w:space="0" w:color="auto"/>
              <w:left w:val="single" w:sz="4" w:space="0" w:color="auto"/>
              <w:bottom w:val="single" w:sz="4" w:space="0" w:color="auto"/>
              <w:right w:val="single" w:sz="4" w:space="0" w:color="auto"/>
            </w:tcBorders>
            <w:hideMark/>
          </w:tcPr>
          <w:p w14:paraId="1E4E8C97" w14:textId="77777777" w:rsidR="00FC026B" w:rsidRPr="00C56257" w:rsidRDefault="00FC026B" w:rsidP="00993B86">
            <w:r w:rsidRPr="00C56257">
              <w:t>Specii edificatoare / caracteristice</w:t>
            </w:r>
          </w:p>
        </w:tc>
        <w:tc>
          <w:tcPr>
            <w:tcW w:w="4206" w:type="dxa"/>
            <w:tcBorders>
              <w:top w:val="single" w:sz="4" w:space="0" w:color="auto"/>
              <w:left w:val="single" w:sz="4" w:space="0" w:color="auto"/>
              <w:bottom w:val="single" w:sz="4" w:space="0" w:color="auto"/>
              <w:right w:val="single" w:sz="4" w:space="0" w:color="auto"/>
            </w:tcBorders>
            <w:hideMark/>
          </w:tcPr>
          <w:p w14:paraId="4674453C" w14:textId="77777777" w:rsidR="00FC026B" w:rsidRPr="00C56257" w:rsidRDefault="00FC026B" w:rsidP="00993B86">
            <w:pPr>
              <w:autoSpaceDE w:val="0"/>
              <w:autoSpaceDN w:val="0"/>
              <w:adjustRightInd w:val="0"/>
              <w:rPr>
                <w:lang w:val="it-IT"/>
              </w:rPr>
            </w:pPr>
            <w:r w:rsidRPr="00C56257">
              <w:rPr>
                <w:lang w:val="it-IT"/>
              </w:rPr>
              <w:t>Eșantionare</w:t>
            </w:r>
          </w:p>
        </w:tc>
      </w:tr>
      <w:tr w:rsidR="00FC026B" w:rsidRPr="00C56257" w14:paraId="40A40A98" w14:textId="77777777" w:rsidTr="00993B86">
        <w:trPr>
          <w:trHeight w:val="31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5E5A81B" w14:textId="77777777" w:rsidR="00FC026B" w:rsidRPr="00F100E1" w:rsidRDefault="00FC026B" w:rsidP="00993B86">
            <w:pPr>
              <w:rPr>
                <w:lang w:val="it-IT"/>
              </w:rPr>
            </w:pPr>
          </w:p>
        </w:tc>
        <w:tc>
          <w:tcPr>
            <w:tcW w:w="3184" w:type="dxa"/>
            <w:tcBorders>
              <w:top w:val="single" w:sz="4" w:space="0" w:color="auto"/>
              <w:left w:val="single" w:sz="4" w:space="0" w:color="auto"/>
              <w:bottom w:val="single" w:sz="4" w:space="0" w:color="auto"/>
              <w:right w:val="single" w:sz="4" w:space="0" w:color="auto"/>
            </w:tcBorders>
            <w:hideMark/>
          </w:tcPr>
          <w:p w14:paraId="666EFDD5" w14:textId="77777777" w:rsidR="00FC026B" w:rsidRPr="00C56257" w:rsidRDefault="00FC026B" w:rsidP="00993B86">
            <w:r w:rsidRPr="00C56257">
              <w:rPr>
                <w:lang w:val="it-IT"/>
              </w:rPr>
              <w:t>Alte specii rare / amenințate</w:t>
            </w:r>
          </w:p>
        </w:tc>
        <w:tc>
          <w:tcPr>
            <w:tcW w:w="4206" w:type="dxa"/>
            <w:tcBorders>
              <w:top w:val="single" w:sz="4" w:space="0" w:color="auto"/>
              <w:left w:val="single" w:sz="4" w:space="0" w:color="auto"/>
              <w:bottom w:val="single" w:sz="4" w:space="0" w:color="auto"/>
              <w:right w:val="single" w:sz="4" w:space="0" w:color="auto"/>
            </w:tcBorders>
            <w:hideMark/>
          </w:tcPr>
          <w:p w14:paraId="4B0CAF0B" w14:textId="77777777" w:rsidR="00FC026B" w:rsidRPr="00C56257" w:rsidRDefault="00FC026B" w:rsidP="00993B86">
            <w:pPr>
              <w:autoSpaceDE w:val="0"/>
              <w:autoSpaceDN w:val="0"/>
              <w:adjustRightInd w:val="0"/>
            </w:pPr>
            <w:r w:rsidRPr="00C56257">
              <w:rPr>
                <w:lang w:val="it-IT"/>
              </w:rPr>
              <w:t>Eșantionare</w:t>
            </w:r>
          </w:p>
        </w:tc>
      </w:tr>
      <w:tr w:rsidR="00FC026B" w:rsidRPr="00C56257" w14:paraId="66821EB0" w14:textId="77777777" w:rsidTr="00993B86">
        <w:trPr>
          <w:jc w:val="center"/>
        </w:trPr>
        <w:tc>
          <w:tcPr>
            <w:tcW w:w="2039" w:type="dxa"/>
            <w:tcBorders>
              <w:top w:val="single" w:sz="4" w:space="0" w:color="auto"/>
              <w:left w:val="single" w:sz="4" w:space="0" w:color="auto"/>
              <w:bottom w:val="single" w:sz="4" w:space="0" w:color="auto"/>
              <w:right w:val="single" w:sz="4" w:space="0" w:color="auto"/>
            </w:tcBorders>
            <w:hideMark/>
          </w:tcPr>
          <w:p w14:paraId="70373BA3" w14:textId="77777777" w:rsidR="00FC026B" w:rsidRPr="00C56257" w:rsidRDefault="00FC026B" w:rsidP="00993B86">
            <w:pPr>
              <w:rPr>
                <w:lang w:val="it-IT"/>
              </w:rPr>
            </w:pPr>
            <w:r w:rsidRPr="00C56257">
              <w:t>Distribuția spațială</w:t>
            </w:r>
          </w:p>
        </w:tc>
        <w:tc>
          <w:tcPr>
            <w:tcW w:w="3184" w:type="dxa"/>
            <w:tcBorders>
              <w:top w:val="single" w:sz="4" w:space="0" w:color="auto"/>
              <w:left w:val="single" w:sz="4" w:space="0" w:color="auto"/>
              <w:bottom w:val="single" w:sz="4" w:space="0" w:color="auto"/>
              <w:right w:val="single" w:sz="4" w:space="0" w:color="auto"/>
            </w:tcBorders>
            <w:hideMark/>
          </w:tcPr>
          <w:p w14:paraId="11F7D4ED" w14:textId="77777777" w:rsidR="00FC026B" w:rsidRPr="00C56257" w:rsidRDefault="00FC026B" w:rsidP="00993B86">
            <w:pPr>
              <w:autoSpaceDE w:val="0"/>
              <w:autoSpaceDN w:val="0"/>
              <w:adjustRightInd w:val="0"/>
            </w:pPr>
            <w:r w:rsidRPr="00C56257">
              <w:rPr>
                <w:lang w:val="it-IT"/>
              </w:rPr>
              <w:t>Model spațial al distribuției subtipurilor</w:t>
            </w:r>
          </w:p>
        </w:tc>
        <w:tc>
          <w:tcPr>
            <w:tcW w:w="4206" w:type="dxa"/>
            <w:tcBorders>
              <w:top w:val="single" w:sz="4" w:space="0" w:color="auto"/>
              <w:left w:val="single" w:sz="4" w:space="0" w:color="auto"/>
              <w:bottom w:val="single" w:sz="4" w:space="0" w:color="auto"/>
              <w:right w:val="single" w:sz="4" w:space="0" w:color="auto"/>
            </w:tcBorders>
            <w:hideMark/>
          </w:tcPr>
          <w:p w14:paraId="6BB0538C" w14:textId="77777777" w:rsidR="00FC026B" w:rsidRPr="00C56257" w:rsidRDefault="00FC026B" w:rsidP="00993B86">
            <w:pPr>
              <w:autoSpaceDE w:val="0"/>
              <w:autoSpaceDN w:val="0"/>
              <w:adjustRightInd w:val="0"/>
            </w:pPr>
            <w:r w:rsidRPr="00C56257">
              <w:t>Cartarea pe baza imaginilor aeriene, probe, GIS</w:t>
            </w:r>
          </w:p>
        </w:tc>
      </w:tr>
    </w:tbl>
    <w:p w14:paraId="28E03775" w14:textId="77777777" w:rsidR="00FC026B" w:rsidRPr="00F100E1" w:rsidRDefault="00FC026B" w:rsidP="00FC026B">
      <w:pPr>
        <w:jc w:val="both"/>
        <w:rPr>
          <w:lang w:val="it-IT"/>
        </w:rPr>
      </w:pPr>
    </w:p>
    <w:p w14:paraId="3CBC3E19" w14:textId="77777777" w:rsidR="00FC026B" w:rsidRPr="00C56257" w:rsidRDefault="00FC026B" w:rsidP="00FC026B">
      <w:pPr>
        <w:jc w:val="both"/>
        <w:rPr>
          <w:b/>
          <w:noProof/>
          <w:lang w:val="it-IT"/>
        </w:rPr>
      </w:pPr>
      <w:r w:rsidRPr="00C56257">
        <w:rPr>
          <w:rFonts w:eastAsia="Calibri"/>
          <w:b/>
          <w:noProof/>
          <w:lang w:val="en-US"/>
        </w:rPr>
        <w:t>Tipurile de presiune identificate sunt:</w:t>
      </w:r>
    </w:p>
    <w:tbl>
      <w:tblPr>
        <w:tblW w:w="9332" w:type="dxa"/>
        <w:jc w:val="center"/>
        <w:tblLook w:val="04A0" w:firstRow="1" w:lastRow="0" w:firstColumn="1" w:lastColumn="0" w:noHBand="0" w:noVBand="1"/>
      </w:tblPr>
      <w:tblGrid>
        <w:gridCol w:w="9332"/>
      </w:tblGrid>
      <w:tr w:rsidR="00FC026B" w:rsidRPr="00C56257" w14:paraId="5299528F" w14:textId="77777777" w:rsidTr="00993B86">
        <w:trPr>
          <w:jc w:val="center"/>
        </w:trPr>
        <w:tc>
          <w:tcPr>
            <w:tcW w:w="9332" w:type="dxa"/>
            <w:hideMark/>
          </w:tcPr>
          <w:p w14:paraId="1CA72092" w14:textId="77777777" w:rsidR="00FC026B" w:rsidRPr="00C56257" w:rsidRDefault="00FC026B" w:rsidP="009E63E5">
            <w:pPr>
              <w:numPr>
                <w:ilvl w:val="0"/>
                <w:numId w:val="172"/>
              </w:numPr>
              <w:jc w:val="both"/>
              <w:rPr>
                <w:rFonts w:eastAsia="Calibri"/>
                <w:noProof/>
                <w:lang w:val="en-US"/>
              </w:rPr>
            </w:pPr>
            <w:bookmarkStart w:id="11" w:name="_Hlk6826788"/>
            <w:bookmarkStart w:id="12" w:name="_Hlk6827035"/>
            <w:r w:rsidRPr="00C56257">
              <w:rPr>
                <w:rFonts w:eastAsia="Calibri"/>
                <w:noProof/>
                <w:lang w:val="en-US"/>
              </w:rPr>
              <w:t>Activități agricole care generează poluare marină.</w:t>
            </w:r>
          </w:p>
        </w:tc>
      </w:tr>
      <w:tr w:rsidR="00FC026B" w:rsidRPr="00C56257" w14:paraId="4AAC1AAC" w14:textId="77777777" w:rsidTr="00993B86">
        <w:trPr>
          <w:jc w:val="center"/>
        </w:trPr>
        <w:tc>
          <w:tcPr>
            <w:tcW w:w="9332" w:type="dxa"/>
            <w:hideMark/>
          </w:tcPr>
          <w:p w14:paraId="5F0129C4" w14:textId="77777777" w:rsidR="00FC026B" w:rsidRPr="00C56257" w:rsidRDefault="00FC026B" w:rsidP="009E63E5">
            <w:pPr>
              <w:numPr>
                <w:ilvl w:val="0"/>
                <w:numId w:val="172"/>
              </w:numPr>
              <w:jc w:val="both"/>
              <w:rPr>
                <w:rFonts w:eastAsia="Calibri"/>
                <w:noProof/>
                <w:lang w:val="en-US"/>
              </w:rPr>
            </w:pPr>
            <w:r w:rsidRPr="00C56257">
              <w:rPr>
                <w:rFonts w:eastAsia="Calibri"/>
                <w:noProof/>
                <w:lang w:val="en-US"/>
              </w:rPr>
              <w:t>Activități în domeniul transportului terestru, acvatic sau aerian care generează poluare marină.</w:t>
            </w:r>
          </w:p>
        </w:tc>
      </w:tr>
      <w:tr w:rsidR="00FC026B" w:rsidRPr="00C56257" w14:paraId="47FAA56E" w14:textId="77777777" w:rsidTr="00993B86">
        <w:trPr>
          <w:jc w:val="center"/>
        </w:trPr>
        <w:tc>
          <w:tcPr>
            <w:tcW w:w="9332" w:type="dxa"/>
            <w:hideMark/>
          </w:tcPr>
          <w:p w14:paraId="4788037D" w14:textId="77777777" w:rsidR="00FC026B" w:rsidRPr="00C56257" w:rsidRDefault="00FC026B" w:rsidP="009E63E5">
            <w:pPr>
              <w:numPr>
                <w:ilvl w:val="0"/>
                <w:numId w:val="172"/>
              </w:numPr>
              <w:jc w:val="both"/>
              <w:rPr>
                <w:rFonts w:eastAsia="Calibri"/>
                <w:noProof/>
                <w:lang w:val="en-US"/>
              </w:rPr>
            </w:pPr>
            <w:r w:rsidRPr="00C56257">
              <w:rPr>
                <w:rFonts w:eastAsia="Calibri"/>
                <w:noProof/>
                <w:lang w:val="en-US"/>
              </w:rPr>
              <w:t>Modificarea litoralului sau a condițiilor de coastă pentru dezvoltarea infrastructurii și zonelor rezidențiale, comerciale, industriale și de agrement (inclusiv lucrările de protecție și infrastructurile de coastă).</w:t>
            </w:r>
          </w:p>
        </w:tc>
      </w:tr>
      <w:tr w:rsidR="00FC026B" w:rsidRPr="00C56257" w14:paraId="7B896712" w14:textId="77777777" w:rsidTr="00993B86">
        <w:trPr>
          <w:jc w:val="center"/>
        </w:trPr>
        <w:tc>
          <w:tcPr>
            <w:tcW w:w="9332" w:type="dxa"/>
            <w:hideMark/>
          </w:tcPr>
          <w:p w14:paraId="75A950B0" w14:textId="77777777" w:rsidR="00FC026B" w:rsidRPr="00C56257" w:rsidRDefault="00FC026B" w:rsidP="009E63E5">
            <w:pPr>
              <w:numPr>
                <w:ilvl w:val="0"/>
                <w:numId w:val="172"/>
              </w:numPr>
              <w:jc w:val="both"/>
              <w:rPr>
                <w:rFonts w:eastAsia="Calibri"/>
                <w:noProof/>
                <w:lang w:val="en-US"/>
              </w:rPr>
            </w:pPr>
            <w:r w:rsidRPr="00C56257">
              <w:rPr>
                <w:rFonts w:eastAsia="Calibri"/>
                <w:noProof/>
                <w:lang w:val="en-US"/>
              </w:rPr>
              <w:t>Depozitarea și tratarea deșeurilor / gunoiului din spațiile comerciale și industriale.</w:t>
            </w:r>
          </w:p>
        </w:tc>
      </w:tr>
      <w:tr w:rsidR="00FC026B" w:rsidRPr="00C56257" w14:paraId="0C21E030" w14:textId="77777777" w:rsidTr="00993B86">
        <w:trPr>
          <w:jc w:val="center"/>
        </w:trPr>
        <w:tc>
          <w:tcPr>
            <w:tcW w:w="9332" w:type="dxa"/>
            <w:hideMark/>
          </w:tcPr>
          <w:p w14:paraId="6144168C" w14:textId="77777777" w:rsidR="00FC026B" w:rsidRPr="00C56257" w:rsidRDefault="00FC026B" w:rsidP="009E63E5">
            <w:pPr>
              <w:numPr>
                <w:ilvl w:val="0"/>
                <w:numId w:val="172"/>
              </w:numPr>
              <w:jc w:val="both"/>
              <w:rPr>
                <w:rFonts w:eastAsia="Calibri"/>
                <w:noProof/>
                <w:lang w:val="en-US"/>
              </w:rPr>
            </w:pPr>
            <w:r w:rsidRPr="00C56257">
              <w:rPr>
                <w:rFonts w:eastAsia="Calibri"/>
                <w:noProof/>
                <w:lang w:val="en-US"/>
              </w:rPr>
              <w:t>Activități rezidențiale sau de recreere și structuri similare care generează poluare marină.</w:t>
            </w:r>
          </w:p>
        </w:tc>
      </w:tr>
      <w:tr w:rsidR="00FC026B" w:rsidRPr="00C56257" w14:paraId="110096BD" w14:textId="77777777" w:rsidTr="00993B86">
        <w:trPr>
          <w:jc w:val="center"/>
        </w:trPr>
        <w:tc>
          <w:tcPr>
            <w:tcW w:w="9332" w:type="dxa"/>
            <w:hideMark/>
          </w:tcPr>
          <w:p w14:paraId="0AA2576D" w14:textId="77777777" w:rsidR="00FC026B" w:rsidRPr="00C56257" w:rsidRDefault="00FC026B" w:rsidP="009E63E5">
            <w:pPr>
              <w:numPr>
                <w:ilvl w:val="0"/>
                <w:numId w:val="172"/>
              </w:numPr>
              <w:jc w:val="both"/>
              <w:rPr>
                <w:rFonts w:eastAsia="Calibri"/>
                <w:noProof/>
                <w:lang w:val="en-US"/>
              </w:rPr>
            </w:pPr>
            <w:r w:rsidRPr="00C56257">
              <w:rPr>
                <w:rFonts w:eastAsia="Calibri"/>
                <w:noProof/>
                <w:lang w:val="en-US"/>
              </w:rPr>
              <w:t>Recoltarea peștilor sau a nevertebratelor (profesionale sau recreaționale) care determină reducerea populațiilor sau perturbarea speciilor.</w:t>
            </w:r>
          </w:p>
        </w:tc>
      </w:tr>
      <w:tr w:rsidR="00FC026B" w:rsidRPr="00C56257" w14:paraId="44AEC641" w14:textId="77777777" w:rsidTr="00993B86">
        <w:trPr>
          <w:jc w:val="center"/>
        </w:trPr>
        <w:tc>
          <w:tcPr>
            <w:tcW w:w="9332" w:type="dxa"/>
            <w:hideMark/>
          </w:tcPr>
          <w:p w14:paraId="5EA39598" w14:textId="77777777" w:rsidR="00FC026B" w:rsidRPr="00C56257" w:rsidRDefault="00FC026B" w:rsidP="009E63E5">
            <w:pPr>
              <w:numPr>
                <w:ilvl w:val="0"/>
                <w:numId w:val="172"/>
              </w:numPr>
              <w:jc w:val="both"/>
              <w:rPr>
                <w:rFonts w:eastAsia="Calibri"/>
                <w:noProof/>
                <w:lang w:val="en-US"/>
              </w:rPr>
            </w:pPr>
            <w:r w:rsidRPr="00C56257">
              <w:rPr>
                <w:rFonts w:eastAsia="Calibri"/>
                <w:noProof/>
                <w:lang w:val="en-US"/>
              </w:rPr>
              <w:t>Activități de recoltare a peștilor sau a nevertebratelor (profesionale sau recreaţionale) care cauzează pierderi fizice sau perturbări ale habitatelor marine.</w:t>
            </w:r>
          </w:p>
        </w:tc>
      </w:tr>
      <w:tr w:rsidR="00FC026B" w:rsidRPr="00C56257" w14:paraId="7BE82786" w14:textId="77777777" w:rsidTr="00993B86">
        <w:trPr>
          <w:jc w:val="center"/>
        </w:trPr>
        <w:tc>
          <w:tcPr>
            <w:tcW w:w="9332" w:type="dxa"/>
            <w:hideMark/>
          </w:tcPr>
          <w:p w14:paraId="7FF883E0" w14:textId="77777777" w:rsidR="00FC026B" w:rsidRPr="00C56257" w:rsidRDefault="00FC026B" w:rsidP="009E63E5">
            <w:pPr>
              <w:numPr>
                <w:ilvl w:val="0"/>
                <w:numId w:val="172"/>
              </w:numPr>
              <w:jc w:val="both"/>
              <w:rPr>
                <w:rFonts w:eastAsia="Calibri"/>
                <w:noProof/>
                <w:lang w:val="en-US"/>
              </w:rPr>
            </w:pPr>
            <w:r w:rsidRPr="00C56257">
              <w:rPr>
                <w:rFonts w:eastAsia="Calibri"/>
                <w:noProof/>
                <w:lang w:val="en-US"/>
              </w:rPr>
              <w:t>Poluarea apei din surse mixte (marine și / sau de coastă).</w:t>
            </w:r>
          </w:p>
        </w:tc>
      </w:tr>
      <w:bookmarkEnd w:id="11"/>
      <w:bookmarkEnd w:id="12"/>
    </w:tbl>
    <w:p w14:paraId="14414953" w14:textId="77777777" w:rsidR="00FC026B" w:rsidRPr="00F100E1" w:rsidRDefault="00FC026B" w:rsidP="00FC026B">
      <w:pPr>
        <w:jc w:val="both"/>
        <w:rPr>
          <w:b/>
          <w:noProof/>
          <w:u w:val="single"/>
          <w:lang w:val="it-IT"/>
        </w:rPr>
      </w:pPr>
    </w:p>
    <w:p w14:paraId="27A6C28E" w14:textId="77777777" w:rsidR="00FC026B" w:rsidRPr="00C56257" w:rsidRDefault="00FC026B" w:rsidP="00FC026B">
      <w:pPr>
        <w:ind w:firstLine="720"/>
        <w:jc w:val="both"/>
        <w:rPr>
          <w:b/>
          <w:noProof/>
          <w:lang w:val="it-IT"/>
        </w:rPr>
      </w:pPr>
      <w:r w:rsidRPr="00C56257">
        <w:rPr>
          <w:b/>
          <w:noProof/>
          <w:lang w:val="it-IT"/>
        </w:rPr>
        <w:lastRenderedPageBreak/>
        <w:t>Măsuri identificate</w:t>
      </w:r>
    </w:p>
    <w:tbl>
      <w:tblPr>
        <w:tblW w:w="9005" w:type="dxa"/>
        <w:jc w:val="center"/>
        <w:tblLook w:val="04A0" w:firstRow="1" w:lastRow="0" w:firstColumn="1" w:lastColumn="0" w:noHBand="0" w:noVBand="1"/>
      </w:tblPr>
      <w:tblGrid>
        <w:gridCol w:w="9005"/>
      </w:tblGrid>
      <w:tr w:rsidR="00FC026B" w:rsidRPr="00C56257" w14:paraId="0277EE75" w14:textId="77777777" w:rsidTr="00993B86">
        <w:trPr>
          <w:jc w:val="center"/>
        </w:trPr>
        <w:tc>
          <w:tcPr>
            <w:tcW w:w="9005" w:type="dxa"/>
            <w:hideMark/>
          </w:tcPr>
          <w:p w14:paraId="43828D6A" w14:textId="77777777" w:rsidR="00FC026B" w:rsidRPr="00C56257" w:rsidRDefault="00FC026B" w:rsidP="009E63E5">
            <w:pPr>
              <w:numPr>
                <w:ilvl w:val="0"/>
                <w:numId w:val="173"/>
              </w:numPr>
              <w:jc w:val="both"/>
              <w:rPr>
                <w:rFonts w:eastAsia="Calibri"/>
                <w:noProof/>
                <w:lang w:val="en-US"/>
              </w:rPr>
            </w:pPr>
            <w:bookmarkStart w:id="13" w:name="_Hlk6916593"/>
            <w:r w:rsidRPr="00C56257">
              <w:rPr>
                <w:rFonts w:eastAsia="Calibri"/>
                <w:noProof/>
                <w:lang w:val="en-US"/>
              </w:rPr>
              <w:t>Reducerea / eliminarea poluării marine din activitățile agricole</w:t>
            </w:r>
          </w:p>
        </w:tc>
      </w:tr>
      <w:tr w:rsidR="00FC026B" w:rsidRPr="00C56257" w14:paraId="7F3FD6CF" w14:textId="77777777" w:rsidTr="00993B86">
        <w:trPr>
          <w:jc w:val="center"/>
        </w:trPr>
        <w:tc>
          <w:tcPr>
            <w:tcW w:w="9005" w:type="dxa"/>
            <w:hideMark/>
          </w:tcPr>
          <w:p w14:paraId="4E03B4E7" w14:textId="77777777" w:rsidR="00FC026B" w:rsidRPr="00C56257" w:rsidRDefault="00FC026B" w:rsidP="009E63E5">
            <w:pPr>
              <w:numPr>
                <w:ilvl w:val="0"/>
                <w:numId w:val="173"/>
              </w:numPr>
              <w:jc w:val="both"/>
              <w:rPr>
                <w:rFonts w:eastAsia="Calibri"/>
                <w:noProof/>
                <w:lang w:val="en-US"/>
              </w:rPr>
            </w:pPr>
            <w:r w:rsidRPr="00C56257">
              <w:rPr>
                <w:rFonts w:eastAsia="Calibri"/>
                <w:noProof/>
                <w:lang w:val="en-US"/>
              </w:rPr>
              <w:t>Gestionarea / reducerea / eliminarea poluării maritime cauzată de transport</w:t>
            </w:r>
          </w:p>
        </w:tc>
      </w:tr>
      <w:tr w:rsidR="00FC026B" w:rsidRPr="00C56257" w14:paraId="393F7DC8" w14:textId="77777777" w:rsidTr="00993B86">
        <w:trPr>
          <w:jc w:val="center"/>
        </w:trPr>
        <w:tc>
          <w:tcPr>
            <w:tcW w:w="9005" w:type="dxa"/>
            <w:hideMark/>
          </w:tcPr>
          <w:p w14:paraId="4F20D2B0" w14:textId="77777777" w:rsidR="00FC026B" w:rsidRPr="00C56257" w:rsidRDefault="00FC026B" w:rsidP="009E63E5">
            <w:pPr>
              <w:numPr>
                <w:ilvl w:val="0"/>
                <w:numId w:val="173"/>
              </w:numPr>
              <w:jc w:val="both"/>
              <w:rPr>
                <w:rFonts w:eastAsia="Calibri"/>
                <w:noProof/>
                <w:lang w:val="en-US"/>
              </w:rPr>
            </w:pPr>
            <w:r w:rsidRPr="00C56257">
              <w:rPr>
                <w:rFonts w:eastAsia="Calibri"/>
                <w:noProof/>
                <w:lang w:val="en-US"/>
              </w:rPr>
              <w:t>Restaurarea habitatelor afectate de infrastructura rezidentiala, comerciala, industriala si recreativa, operatiuni si alte activitati</w:t>
            </w:r>
          </w:p>
        </w:tc>
      </w:tr>
      <w:tr w:rsidR="00FC026B" w:rsidRPr="00C56257" w14:paraId="6B74D7DD" w14:textId="77777777" w:rsidTr="00993B86">
        <w:trPr>
          <w:jc w:val="center"/>
        </w:trPr>
        <w:tc>
          <w:tcPr>
            <w:tcW w:w="9005" w:type="dxa"/>
            <w:hideMark/>
          </w:tcPr>
          <w:p w14:paraId="53C9454F" w14:textId="77777777" w:rsidR="00FC026B" w:rsidRPr="00C56257" w:rsidRDefault="00FC026B" w:rsidP="009E63E5">
            <w:pPr>
              <w:numPr>
                <w:ilvl w:val="0"/>
                <w:numId w:val="173"/>
              </w:numPr>
              <w:jc w:val="both"/>
              <w:rPr>
                <w:rFonts w:eastAsia="Calibri"/>
                <w:noProof/>
                <w:lang w:val="en-US"/>
              </w:rPr>
            </w:pPr>
            <w:r w:rsidRPr="00C56257">
              <w:rPr>
                <w:rFonts w:eastAsia="Calibri"/>
                <w:noProof/>
                <w:lang w:val="en-US"/>
              </w:rPr>
              <w:t>Reducerea / eliminarea poluării marine din zonele și activitățile industriale, comerciale, rezidențiale și de agrement</w:t>
            </w:r>
          </w:p>
        </w:tc>
      </w:tr>
      <w:tr w:rsidR="00FC026B" w:rsidRPr="00C56257" w14:paraId="5D50A7A4" w14:textId="77777777" w:rsidTr="00993B86">
        <w:trPr>
          <w:jc w:val="center"/>
        </w:trPr>
        <w:tc>
          <w:tcPr>
            <w:tcW w:w="9005" w:type="dxa"/>
            <w:hideMark/>
          </w:tcPr>
          <w:p w14:paraId="7C8A3643" w14:textId="77777777" w:rsidR="00FC026B" w:rsidRPr="00C56257" w:rsidRDefault="00FC026B" w:rsidP="009E63E5">
            <w:pPr>
              <w:numPr>
                <w:ilvl w:val="0"/>
                <w:numId w:val="173"/>
              </w:numPr>
              <w:jc w:val="both"/>
              <w:rPr>
                <w:rFonts w:eastAsia="Calibri"/>
                <w:noProof/>
                <w:lang w:val="en-US"/>
              </w:rPr>
            </w:pPr>
            <w:r w:rsidRPr="00C56257">
              <w:rPr>
                <w:rFonts w:eastAsia="Calibri"/>
                <w:noProof/>
                <w:lang w:val="en-US"/>
              </w:rPr>
              <w:t>Reducerea / eliminarea contaminării marine cu deşeuri</w:t>
            </w:r>
          </w:p>
        </w:tc>
      </w:tr>
      <w:tr w:rsidR="00FC026B" w:rsidRPr="00C56257" w14:paraId="72026A31" w14:textId="77777777" w:rsidTr="00993B86">
        <w:trPr>
          <w:jc w:val="center"/>
        </w:trPr>
        <w:tc>
          <w:tcPr>
            <w:tcW w:w="9005" w:type="dxa"/>
            <w:hideMark/>
          </w:tcPr>
          <w:p w14:paraId="7A3C2FCB" w14:textId="77777777" w:rsidR="00FC026B" w:rsidRPr="00C56257" w:rsidRDefault="00FC026B" w:rsidP="009E63E5">
            <w:pPr>
              <w:numPr>
                <w:ilvl w:val="0"/>
                <w:numId w:val="173"/>
              </w:numPr>
              <w:jc w:val="both"/>
              <w:rPr>
                <w:rFonts w:eastAsia="Calibri"/>
                <w:noProof/>
                <w:lang w:val="en-US"/>
              </w:rPr>
            </w:pPr>
            <w:r w:rsidRPr="00C56257">
              <w:rPr>
                <w:rFonts w:eastAsia="Calibri"/>
                <w:noProof/>
                <w:lang w:val="en-US"/>
              </w:rPr>
              <w:t>Detectarea rapidă a speciilor alohtone invazive de interes European</w:t>
            </w:r>
          </w:p>
        </w:tc>
      </w:tr>
      <w:tr w:rsidR="00FC026B" w:rsidRPr="00C56257" w14:paraId="55A5CCC5" w14:textId="77777777" w:rsidTr="00993B86">
        <w:trPr>
          <w:jc w:val="center"/>
        </w:trPr>
        <w:tc>
          <w:tcPr>
            <w:tcW w:w="9005" w:type="dxa"/>
            <w:hideMark/>
          </w:tcPr>
          <w:p w14:paraId="61B0C5EC" w14:textId="77777777" w:rsidR="00FC026B" w:rsidRPr="00C56257" w:rsidRDefault="00FC026B" w:rsidP="009E63E5">
            <w:pPr>
              <w:numPr>
                <w:ilvl w:val="0"/>
                <w:numId w:val="173"/>
              </w:numPr>
              <w:jc w:val="both"/>
              <w:rPr>
                <w:rFonts w:eastAsia="Calibri"/>
                <w:noProof/>
                <w:lang w:val="en-US"/>
              </w:rPr>
            </w:pPr>
            <w:r w:rsidRPr="00C56257">
              <w:rPr>
                <w:rFonts w:eastAsia="Calibri"/>
                <w:noProof/>
                <w:lang w:val="en-US"/>
              </w:rPr>
              <w:t>Gestionarea, controlul sau eradicarea speciilor alohtone invazive de interes European</w:t>
            </w:r>
          </w:p>
        </w:tc>
      </w:tr>
      <w:tr w:rsidR="00FC026B" w:rsidRPr="00C56257" w14:paraId="1E27B92C" w14:textId="77777777" w:rsidTr="00993B86">
        <w:trPr>
          <w:jc w:val="center"/>
        </w:trPr>
        <w:tc>
          <w:tcPr>
            <w:tcW w:w="9005" w:type="dxa"/>
            <w:hideMark/>
          </w:tcPr>
          <w:p w14:paraId="54AD79D5" w14:textId="77777777" w:rsidR="00FC026B" w:rsidRPr="00C56257" w:rsidRDefault="00FC026B" w:rsidP="009E63E5">
            <w:pPr>
              <w:numPr>
                <w:ilvl w:val="0"/>
                <w:numId w:val="173"/>
              </w:numPr>
              <w:jc w:val="both"/>
              <w:rPr>
                <w:rFonts w:eastAsia="Calibri"/>
                <w:noProof/>
                <w:lang w:val="en-US"/>
              </w:rPr>
            </w:pPr>
            <w:r w:rsidRPr="00C56257">
              <w:rPr>
                <w:rFonts w:eastAsia="Calibri"/>
                <w:noProof/>
                <w:lang w:val="en-US"/>
              </w:rPr>
              <w:t>Implementarea măsurilor de adaptare la schimbările climatice</w:t>
            </w:r>
          </w:p>
        </w:tc>
      </w:tr>
      <w:tr w:rsidR="00FC026B" w:rsidRPr="00C56257" w14:paraId="576F505F" w14:textId="77777777" w:rsidTr="00993B86">
        <w:trPr>
          <w:jc w:val="center"/>
        </w:trPr>
        <w:tc>
          <w:tcPr>
            <w:tcW w:w="9005" w:type="dxa"/>
            <w:hideMark/>
          </w:tcPr>
          <w:p w14:paraId="74F789D3" w14:textId="77777777" w:rsidR="00FC026B" w:rsidRPr="00C56257" w:rsidRDefault="00FC026B" w:rsidP="009E63E5">
            <w:pPr>
              <w:numPr>
                <w:ilvl w:val="0"/>
                <w:numId w:val="173"/>
              </w:numPr>
              <w:jc w:val="both"/>
              <w:rPr>
                <w:rFonts w:eastAsia="Calibri"/>
                <w:noProof/>
                <w:lang w:val="en-US"/>
              </w:rPr>
            </w:pPr>
            <w:r w:rsidRPr="00C56257">
              <w:rPr>
                <w:rFonts w:eastAsia="Calibri"/>
                <w:noProof/>
                <w:lang w:val="en-US"/>
              </w:rPr>
              <w:t>Îmbunătățirea habitatelor speciilor din directivele Europene</w:t>
            </w:r>
          </w:p>
        </w:tc>
      </w:tr>
      <w:bookmarkEnd w:id="13"/>
    </w:tbl>
    <w:p w14:paraId="646B3BEE" w14:textId="77777777" w:rsidR="00FC026B" w:rsidRPr="00C56257" w:rsidRDefault="00FC026B" w:rsidP="00FC026B">
      <w:pPr>
        <w:autoSpaceDE w:val="0"/>
        <w:autoSpaceDN w:val="0"/>
        <w:adjustRightInd w:val="0"/>
        <w:rPr>
          <w:rFonts w:eastAsia="Calibri"/>
          <w:b/>
          <w:bCs/>
          <w:lang w:val="it-IT"/>
        </w:rPr>
      </w:pPr>
    </w:p>
    <w:p w14:paraId="00E6F720" w14:textId="77777777" w:rsidR="00FC026B" w:rsidRPr="00C56257" w:rsidRDefault="00FC026B" w:rsidP="00FC026B">
      <w:pPr>
        <w:autoSpaceDE w:val="0"/>
        <w:autoSpaceDN w:val="0"/>
        <w:adjustRightInd w:val="0"/>
        <w:rPr>
          <w:rFonts w:eastAsia="Calibri"/>
          <w:b/>
          <w:lang w:val="it-IT"/>
        </w:rPr>
      </w:pPr>
      <w:r w:rsidRPr="00C56257">
        <w:rPr>
          <w:rFonts w:eastAsia="Calibri"/>
          <w:b/>
          <w:bCs/>
          <w:lang w:val="it-IT"/>
        </w:rPr>
        <w:t xml:space="preserve">1160 </w:t>
      </w:r>
      <w:r w:rsidRPr="00C56257">
        <w:rPr>
          <w:rFonts w:eastAsia="Calibri"/>
          <w:b/>
          <w:lang w:val="it-IT"/>
        </w:rPr>
        <w:t xml:space="preserve">Braţe de mare şi golfuri mari puţin adânci </w:t>
      </w:r>
    </w:p>
    <w:p w14:paraId="37A33C0D" w14:textId="77777777" w:rsidR="00FC026B" w:rsidRPr="00C56257" w:rsidRDefault="00FC026B" w:rsidP="00FC026B">
      <w:pPr>
        <w:autoSpaceDE w:val="0"/>
        <w:autoSpaceDN w:val="0"/>
        <w:adjustRightInd w:val="0"/>
        <w:rPr>
          <w:rFonts w:eastAsia="Calibri"/>
          <w:lang w:val="it-IT"/>
        </w:rPr>
      </w:pPr>
      <w:r w:rsidRPr="00C56257">
        <w:rPr>
          <w:rFonts w:eastAsia="Calibri"/>
          <w:lang w:val="it-IT"/>
        </w:rPr>
        <w:t>CLAS. PAL.: 12</w:t>
      </w:r>
    </w:p>
    <w:p w14:paraId="0C4385C2" w14:textId="77777777" w:rsidR="00FC026B" w:rsidRPr="00C56257" w:rsidRDefault="00FC026B" w:rsidP="00FC026B">
      <w:pPr>
        <w:autoSpaceDE w:val="0"/>
        <w:autoSpaceDN w:val="0"/>
        <w:adjustRightInd w:val="0"/>
        <w:jc w:val="both"/>
        <w:rPr>
          <w:rFonts w:eastAsia="Calibri"/>
          <w:lang w:val="it-IT"/>
        </w:rPr>
      </w:pPr>
    </w:p>
    <w:p w14:paraId="156F29E9" w14:textId="77777777" w:rsidR="00FC026B" w:rsidRPr="00C56257" w:rsidRDefault="00FC026B" w:rsidP="00FC026B">
      <w:pPr>
        <w:autoSpaceDE w:val="0"/>
        <w:autoSpaceDN w:val="0"/>
        <w:adjustRightInd w:val="0"/>
        <w:ind w:firstLine="720"/>
        <w:jc w:val="both"/>
        <w:rPr>
          <w:rFonts w:eastAsia="Calibri"/>
          <w:lang w:val="it-IT"/>
        </w:rPr>
      </w:pPr>
      <w:r w:rsidRPr="00C56257">
        <w:rPr>
          <w:rFonts w:eastAsia="Calibri"/>
          <w:lang w:val="it-IT"/>
        </w:rPr>
        <w:t xml:space="preserve">Habitat deosebit de interesant, cuprinde întinderi de apă de mică adâncime, în general adăpostite de acţiunea valurilor. Aceste intrânduri largi ale coastei diferă faţă de estuare în principal prin faptul că influenţa apei dulci este în general limitată. Adesea conţin o mare diversitate de sedimente şi substrate, demonstrând o zonare bine conturată a comunităţilor bentice care prezintă în general şi o mare biodiversitate. Limita apei de mică adâncime este uneori marcată de distribuţia asociaţiilor vegetale din </w:t>
      </w:r>
      <w:r w:rsidRPr="00C56257">
        <w:rPr>
          <w:rFonts w:eastAsia="Calibri"/>
          <w:i/>
          <w:iCs/>
          <w:lang w:val="it-IT"/>
        </w:rPr>
        <w:t xml:space="preserve">Zosteretea </w:t>
      </w:r>
      <w:r w:rsidRPr="00C56257">
        <w:rPr>
          <w:rFonts w:eastAsia="Calibri"/>
          <w:lang w:val="it-IT"/>
        </w:rPr>
        <w:t xml:space="preserve">şi </w:t>
      </w:r>
      <w:r w:rsidRPr="00C56257">
        <w:rPr>
          <w:rFonts w:eastAsia="Calibri"/>
          <w:i/>
          <w:iCs/>
          <w:lang w:val="it-IT"/>
        </w:rPr>
        <w:t>Potametea</w:t>
      </w:r>
      <w:r w:rsidRPr="00C56257">
        <w:rPr>
          <w:rFonts w:eastAsia="Calibri"/>
          <w:lang w:val="it-IT"/>
        </w:rPr>
        <w:t>.</w:t>
      </w:r>
    </w:p>
    <w:p w14:paraId="64A79F97" w14:textId="77777777" w:rsidR="00FC026B" w:rsidRPr="00C56257" w:rsidRDefault="00FC026B" w:rsidP="00FC026B">
      <w:pPr>
        <w:autoSpaceDE w:val="0"/>
        <w:autoSpaceDN w:val="0"/>
        <w:adjustRightInd w:val="0"/>
        <w:ind w:firstLine="720"/>
        <w:jc w:val="both"/>
        <w:rPr>
          <w:rFonts w:eastAsia="Calibri"/>
          <w:lang w:val="it-IT"/>
        </w:rPr>
      </w:pPr>
      <w:r w:rsidRPr="00C56257">
        <w:rPr>
          <w:rFonts w:eastAsia="Calibri"/>
          <w:lang w:val="it-IT"/>
        </w:rPr>
        <w:t>În această categorie pot fi incluse mai multe tipuri fiziografice, cu condiţia ca apa să fie puţin adâncă în cea mai mare parte a zonei: golfuri, băi, fiorduri, rias şi voes.</w:t>
      </w:r>
    </w:p>
    <w:p w14:paraId="0DA25CCB" w14:textId="77777777" w:rsidR="00FC026B" w:rsidRPr="00C56257" w:rsidRDefault="00FC026B" w:rsidP="00FC026B">
      <w:pPr>
        <w:ind w:firstLine="720"/>
        <w:jc w:val="both"/>
      </w:pPr>
      <w:r w:rsidRPr="00C56257">
        <w:rPr>
          <w:bCs/>
        </w:rPr>
        <w:t>Pentru o bună monitorizare a habitatului 1160, vom trata singurul sector în care se acceptă unanim prezenţa tipului de habitat, anume lacul Mangalia.</w:t>
      </w:r>
    </w:p>
    <w:p w14:paraId="28CE91AB" w14:textId="77777777" w:rsidR="00FC026B" w:rsidRPr="00C56257" w:rsidRDefault="00FC026B" w:rsidP="00FC026B">
      <w:pPr>
        <w:autoSpaceDE w:val="0"/>
        <w:autoSpaceDN w:val="0"/>
        <w:adjustRightInd w:val="0"/>
      </w:pPr>
    </w:p>
    <w:p w14:paraId="17B71042" w14:textId="77777777" w:rsidR="00FC026B" w:rsidRPr="00F100E1" w:rsidRDefault="00FC026B" w:rsidP="00FC026B">
      <w:pPr>
        <w:autoSpaceDE w:val="0"/>
        <w:autoSpaceDN w:val="0"/>
        <w:adjustRightInd w:val="0"/>
        <w:jc w:val="center"/>
        <w:rPr>
          <w:lang w:val="it-IT"/>
        </w:rPr>
      </w:pPr>
      <w:r w:rsidRPr="00C56257">
        <w:rPr>
          <w:rFonts w:eastAsia="Calibri"/>
          <w:lang w:val="it-IT"/>
        </w:rPr>
        <w:t xml:space="preserve">Tabelul </w:t>
      </w:r>
      <w:r>
        <w:rPr>
          <w:rFonts w:eastAsia="Calibri"/>
          <w:lang w:val="it-IT"/>
        </w:rPr>
        <w:t>1.11</w:t>
      </w:r>
      <w:r w:rsidRPr="00C56257">
        <w:rPr>
          <w:rFonts w:eastAsia="Calibri"/>
          <w:lang w:val="it-IT"/>
        </w:rPr>
        <w:t xml:space="preserve"> </w:t>
      </w:r>
      <w:r w:rsidRPr="00C56257">
        <w:t xml:space="preserve">Rezumat al atributelor ce pot defini condiții favorabile </w:t>
      </w:r>
      <w:r w:rsidRPr="00C56257">
        <w:rPr>
          <w:lang w:val="it-IT"/>
        </w:rPr>
        <w:t>ale brațelor de mare și golfurilor puțin adânci.</w:t>
      </w:r>
    </w:p>
    <w:tbl>
      <w:tblPr>
        <w:tblW w:w="9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2456"/>
        <w:gridCol w:w="5165"/>
      </w:tblGrid>
      <w:tr w:rsidR="00FC026B" w:rsidRPr="00C56257" w14:paraId="3EE92EBA" w14:textId="77777777" w:rsidTr="00993B86">
        <w:trPr>
          <w:jc w:val="center"/>
        </w:trPr>
        <w:tc>
          <w:tcPr>
            <w:tcW w:w="1861" w:type="dxa"/>
            <w:tcBorders>
              <w:top w:val="single" w:sz="4" w:space="0" w:color="auto"/>
              <w:left w:val="single" w:sz="4" w:space="0" w:color="auto"/>
              <w:bottom w:val="single" w:sz="4" w:space="0" w:color="auto"/>
              <w:right w:val="single" w:sz="4" w:space="0" w:color="auto"/>
            </w:tcBorders>
            <w:hideMark/>
          </w:tcPr>
          <w:p w14:paraId="64F78439" w14:textId="77777777" w:rsidR="00FC026B" w:rsidRPr="00C56257" w:rsidRDefault="00FC026B" w:rsidP="00993B86">
            <w:pPr>
              <w:spacing w:after="240"/>
              <w:rPr>
                <w:b/>
                <w:i/>
                <w:lang w:val="en-US"/>
              </w:rPr>
            </w:pPr>
            <w:proofErr w:type="spellStart"/>
            <w:r w:rsidRPr="00C56257">
              <w:rPr>
                <w:b/>
                <w:i/>
                <w:lang w:val="en-US"/>
              </w:rPr>
              <w:t>Atribut</w:t>
            </w:r>
            <w:proofErr w:type="spellEnd"/>
          </w:p>
        </w:tc>
        <w:tc>
          <w:tcPr>
            <w:tcW w:w="2456" w:type="dxa"/>
            <w:tcBorders>
              <w:top w:val="single" w:sz="4" w:space="0" w:color="auto"/>
              <w:left w:val="single" w:sz="4" w:space="0" w:color="auto"/>
              <w:bottom w:val="single" w:sz="4" w:space="0" w:color="auto"/>
              <w:right w:val="single" w:sz="4" w:space="0" w:color="auto"/>
            </w:tcBorders>
            <w:hideMark/>
          </w:tcPr>
          <w:p w14:paraId="06986D28" w14:textId="77777777" w:rsidR="00FC026B" w:rsidRPr="00C56257" w:rsidRDefault="00FC026B" w:rsidP="00993B86">
            <w:pPr>
              <w:rPr>
                <w:b/>
                <w:i/>
                <w:lang w:val="en-US"/>
              </w:rPr>
            </w:pPr>
            <w:proofErr w:type="spellStart"/>
            <w:r w:rsidRPr="00C56257">
              <w:rPr>
                <w:b/>
                <w:i/>
                <w:lang w:val="en-US"/>
              </w:rPr>
              <w:t>Unitate</w:t>
            </w:r>
            <w:proofErr w:type="spellEnd"/>
            <w:r w:rsidRPr="00C56257">
              <w:rPr>
                <w:b/>
                <w:i/>
                <w:lang w:val="en-US"/>
              </w:rPr>
              <w:t xml:space="preserve"> de </w:t>
            </w:r>
            <w:proofErr w:type="spellStart"/>
            <w:r w:rsidRPr="00C56257">
              <w:rPr>
                <w:b/>
                <w:i/>
                <w:lang w:val="en-US"/>
              </w:rPr>
              <w:t>măsură</w:t>
            </w:r>
            <w:proofErr w:type="spellEnd"/>
          </w:p>
        </w:tc>
        <w:tc>
          <w:tcPr>
            <w:tcW w:w="5165" w:type="dxa"/>
            <w:tcBorders>
              <w:top w:val="single" w:sz="4" w:space="0" w:color="auto"/>
              <w:left w:val="single" w:sz="4" w:space="0" w:color="auto"/>
              <w:bottom w:val="single" w:sz="4" w:space="0" w:color="auto"/>
              <w:right w:val="single" w:sz="4" w:space="0" w:color="auto"/>
            </w:tcBorders>
            <w:hideMark/>
          </w:tcPr>
          <w:p w14:paraId="20A040F8" w14:textId="77777777" w:rsidR="00FC026B" w:rsidRPr="00C56257" w:rsidRDefault="00FC026B" w:rsidP="00993B86">
            <w:pPr>
              <w:rPr>
                <w:b/>
                <w:i/>
                <w:lang w:val="en-US"/>
              </w:rPr>
            </w:pPr>
            <w:proofErr w:type="spellStart"/>
            <w:r w:rsidRPr="00C56257">
              <w:rPr>
                <w:b/>
                <w:i/>
                <w:lang w:val="en-US"/>
              </w:rPr>
              <w:t>Observații</w:t>
            </w:r>
            <w:proofErr w:type="spellEnd"/>
          </w:p>
        </w:tc>
      </w:tr>
      <w:tr w:rsidR="00FC026B" w:rsidRPr="00C56257" w14:paraId="649C4777" w14:textId="77777777" w:rsidTr="00993B86">
        <w:trPr>
          <w:jc w:val="center"/>
        </w:trPr>
        <w:tc>
          <w:tcPr>
            <w:tcW w:w="9482" w:type="dxa"/>
            <w:gridSpan w:val="3"/>
            <w:tcBorders>
              <w:top w:val="single" w:sz="4" w:space="0" w:color="auto"/>
              <w:left w:val="single" w:sz="4" w:space="0" w:color="auto"/>
              <w:bottom w:val="single" w:sz="4" w:space="0" w:color="auto"/>
              <w:right w:val="single" w:sz="4" w:space="0" w:color="auto"/>
            </w:tcBorders>
            <w:hideMark/>
          </w:tcPr>
          <w:p w14:paraId="12B27E19" w14:textId="77777777" w:rsidR="00FC026B" w:rsidRPr="00C56257" w:rsidRDefault="00FC026B" w:rsidP="00993B86">
            <w:pPr>
              <w:rPr>
                <w:b/>
                <w:i/>
                <w:lang w:val="en-US"/>
              </w:rPr>
            </w:pPr>
            <w:proofErr w:type="spellStart"/>
            <w:r w:rsidRPr="00C56257">
              <w:rPr>
                <w:i/>
                <w:lang w:val="en-US"/>
              </w:rPr>
              <w:t>Întindere</w:t>
            </w:r>
            <w:proofErr w:type="spellEnd"/>
          </w:p>
        </w:tc>
      </w:tr>
      <w:tr w:rsidR="00FC026B" w:rsidRPr="00C56257" w14:paraId="70751CF2" w14:textId="77777777" w:rsidTr="00993B86">
        <w:trPr>
          <w:jc w:val="center"/>
        </w:trPr>
        <w:tc>
          <w:tcPr>
            <w:tcW w:w="1861" w:type="dxa"/>
            <w:tcBorders>
              <w:top w:val="single" w:sz="4" w:space="0" w:color="auto"/>
              <w:left w:val="single" w:sz="4" w:space="0" w:color="auto"/>
              <w:bottom w:val="single" w:sz="4" w:space="0" w:color="auto"/>
              <w:right w:val="single" w:sz="4" w:space="0" w:color="auto"/>
            </w:tcBorders>
            <w:hideMark/>
          </w:tcPr>
          <w:p w14:paraId="5A6E9DE2" w14:textId="77777777" w:rsidR="00FC026B" w:rsidRPr="00C56257" w:rsidRDefault="00FC026B" w:rsidP="00993B86">
            <w:pPr>
              <w:autoSpaceDE w:val="0"/>
              <w:autoSpaceDN w:val="0"/>
              <w:adjustRightInd w:val="0"/>
            </w:pPr>
            <w:r w:rsidRPr="00C56257">
              <w:t>Întinderea tipului de habitat</w:t>
            </w:r>
          </w:p>
        </w:tc>
        <w:tc>
          <w:tcPr>
            <w:tcW w:w="2456" w:type="dxa"/>
            <w:tcBorders>
              <w:top w:val="single" w:sz="4" w:space="0" w:color="auto"/>
              <w:left w:val="single" w:sz="4" w:space="0" w:color="auto"/>
              <w:bottom w:val="single" w:sz="4" w:space="0" w:color="auto"/>
              <w:right w:val="single" w:sz="4" w:space="0" w:color="auto"/>
            </w:tcBorders>
          </w:tcPr>
          <w:p w14:paraId="60ABD864" w14:textId="77777777" w:rsidR="00FC026B" w:rsidRPr="00C56257" w:rsidRDefault="00FC026B" w:rsidP="00993B86">
            <w:pPr>
              <w:autoSpaceDE w:val="0"/>
              <w:autoSpaceDN w:val="0"/>
              <w:adjustRightInd w:val="0"/>
            </w:pPr>
            <w:r w:rsidRPr="00C56257">
              <w:t xml:space="preserve">Suprafața totală a întregului braț de mare sau golf </w:t>
            </w:r>
          </w:p>
          <w:p w14:paraId="3B9966BF" w14:textId="77777777" w:rsidR="00FC026B" w:rsidRPr="00C56257" w:rsidRDefault="00FC026B" w:rsidP="00993B86">
            <w:pPr>
              <w:autoSpaceDE w:val="0"/>
              <w:autoSpaceDN w:val="0"/>
              <w:adjustRightInd w:val="0"/>
              <w:rPr>
                <w:b/>
                <w:i/>
              </w:rPr>
            </w:pPr>
          </w:p>
        </w:tc>
        <w:tc>
          <w:tcPr>
            <w:tcW w:w="5165" w:type="dxa"/>
            <w:tcBorders>
              <w:top w:val="single" w:sz="4" w:space="0" w:color="auto"/>
              <w:left w:val="single" w:sz="4" w:space="0" w:color="auto"/>
              <w:bottom w:val="single" w:sz="4" w:space="0" w:color="auto"/>
              <w:right w:val="single" w:sz="4" w:space="0" w:color="auto"/>
            </w:tcBorders>
            <w:hideMark/>
          </w:tcPr>
          <w:p w14:paraId="07076EE1" w14:textId="77777777" w:rsidR="00FC026B" w:rsidRPr="00C56257" w:rsidRDefault="00FC026B" w:rsidP="00993B86">
            <w:r w:rsidRPr="00C56257">
              <w:t xml:space="preserve">Aceste măsurători vor utiliza hărțile existente, dar se pot utiliza și metode satelitare de teledetecție. </w:t>
            </w:r>
          </w:p>
          <w:p w14:paraId="433557C6" w14:textId="77777777" w:rsidR="00FC026B" w:rsidRPr="00C56257" w:rsidRDefault="00FC026B" w:rsidP="00993B86">
            <w:r w:rsidRPr="00C56257">
              <w:t xml:space="preserve">Este posibil să apară unele dificultăți în definirea exactă a limitelor, în special în cazul sistemelor dinamice. </w:t>
            </w:r>
          </w:p>
        </w:tc>
      </w:tr>
      <w:tr w:rsidR="00FC026B" w:rsidRPr="00C56257" w14:paraId="5FB4B319" w14:textId="77777777" w:rsidTr="00993B86">
        <w:trPr>
          <w:jc w:val="center"/>
        </w:trPr>
        <w:tc>
          <w:tcPr>
            <w:tcW w:w="1861" w:type="dxa"/>
            <w:tcBorders>
              <w:top w:val="single" w:sz="4" w:space="0" w:color="auto"/>
              <w:left w:val="single" w:sz="4" w:space="0" w:color="auto"/>
              <w:bottom w:val="single" w:sz="4" w:space="0" w:color="auto"/>
              <w:right w:val="single" w:sz="4" w:space="0" w:color="auto"/>
            </w:tcBorders>
            <w:hideMark/>
          </w:tcPr>
          <w:p w14:paraId="57E45DD5" w14:textId="77777777" w:rsidR="00FC026B" w:rsidRPr="00C56257" w:rsidRDefault="00FC026B" w:rsidP="00993B86">
            <w:pPr>
              <w:autoSpaceDE w:val="0"/>
              <w:autoSpaceDN w:val="0"/>
              <w:adjustRightInd w:val="0"/>
            </w:pPr>
            <w:r w:rsidRPr="00C56257">
              <w:t>Întinderea sub-tipului de habitat sau a biocenozei tipice</w:t>
            </w:r>
          </w:p>
        </w:tc>
        <w:tc>
          <w:tcPr>
            <w:tcW w:w="2456" w:type="dxa"/>
            <w:tcBorders>
              <w:top w:val="single" w:sz="4" w:space="0" w:color="auto"/>
              <w:left w:val="single" w:sz="4" w:space="0" w:color="auto"/>
              <w:bottom w:val="single" w:sz="4" w:space="0" w:color="auto"/>
              <w:right w:val="single" w:sz="4" w:space="0" w:color="auto"/>
            </w:tcBorders>
            <w:hideMark/>
          </w:tcPr>
          <w:p w14:paraId="6EF0A033" w14:textId="77777777" w:rsidR="00FC026B" w:rsidRPr="00C56257" w:rsidRDefault="00FC026B" w:rsidP="00993B86">
            <w:pPr>
              <w:autoSpaceDE w:val="0"/>
              <w:autoSpaceDN w:val="0"/>
              <w:adjustRightInd w:val="0"/>
            </w:pPr>
            <w:r w:rsidRPr="00C56257">
              <w:t>Suprafața unei sub-caracteristici</w:t>
            </w:r>
          </w:p>
          <w:p w14:paraId="203EACFB" w14:textId="77777777" w:rsidR="00FC026B" w:rsidRPr="00C56257" w:rsidRDefault="00FC026B" w:rsidP="00993B86">
            <w:pPr>
              <w:autoSpaceDE w:val="0"/>
              <w:autoSpaceDN w:val="0"/>
              <w:adjustRightInd w:val="0"/>
            </w:pPr>
            <w:r w:rsidRPr="00C56257">
              <w:t xml:space="preserve">Întinderea biotopurilor caracteristice </w:t>
            </w:r>
          </w:p>
        </w:tc>
        <w:tc>
          <w:tcPr>
            <w:tcW w:w="5165" w:type="dxa"/>
            <w:tcBorders>
              <w:top w:val="single" w:sz="4" w:space="0" w:color="auto"/>
              <w:left w:val="single" w:sz="4" w:space="0" w:color="auto"/>
              <w:bottom w:val="single" w:sz="4" w:space="0" w:color="auto"/>
              <w:right w:val="single" w:sz="4" w:space="0" w:color="auto"/>
            </w:tcBorders>
            <w:hideMark/>
          </w:tcPr>
          <w:p w14:paraId="1F7ED4C1" w14:textId="77777777" w:rsidR="00FC026B" w:rsidRPr="00C56257" w:rsidRDefault="00FC026B" w:rsidP="00993B86">
            <w:pPr>
              <w:rPr>
                <w:lang w:val="it-IT"/>
              </w:rPr>
            </w:pPr>
            <w:r w:rsidRPr="00C56257">
              <w:rPr>
                <w:lang w:val="it-IT"/>
              </w:rPr>
              <w:t>Anumite sub-caracteristici pot fi habitate din Anexa I (recifi, bancuri de nisip submerse, întinderi de nisip etc.), deci având propriul program de monitorizare. Adesea și recifii biogenici sunt incluși aici.</w:t>
            </w:r>
          </w:p>
        </w:tc>
      </w:tr>
      <w:tr w:rsidR="00FC026B" w:rsidRPr="00C56257" w14:paraId="030818CE" w14:textId="77777777" w:rsidTr="00993B86">
        <w:trPr>
          <w:jc w:val="center"/>
        </w:trPr>
        <w:tc>
          <w:tcPr>
            <w:tcW w:w="9482" w:type="dxa"/>
            <w:gridSpan w:val="3"/>
            <w:tcBorders>
              <w:top w:val="single" w:sz="4" w:space="0" w:color="auto"/>
              <w:left w:val="single" w:sz="4" w:space="0" w:color="auto"/>
              <w:bottom w:val="single" w:sz="4" w:space="0" w:color="auto"/>
              <w:right w:val="single" w:sz="4" w:space="0" w:color="auto"/>
            </w:tcBorders>
            <w:hideMark/>
          </w:tcPr>
          <w:p w14:paraId="3247AEC2" w14:textId="77777777" w:rsidR="00FC026B" w:rsidRPr="00C56257" w:rsidRDefault="00FC026B" w:rsidP="00993B86">
            <w:pPr>
              <w:rPr>
                <w:lang w:val="it-IT"/>
              </w:rPr>
            </w:pPr>
            <w:r w:rsidRPr="00C56257">
              <w:rPr>
                <w:i/>
                <w:lang w:val="en-US"/>
              </w:rPr>
              <w:t xml:space="preserve">Proprietăți </w:t>
            </w:r>
            <w:proofErr w:type="spellStart"/>
            <w:r w:rsidRPr="00C56257">
              <w:rPr>
                <w:i/>
                <w:lang w:val="en-US"/>
              </w:rPr>
              <w:t>fizice</w:t>
            </w:r>
            <w:proofErr w:type="spellEnd"/>
          </w:p>
        </w:tc>
      </w:tr>
      <w:tr w:rsidR="00FC026B" w:rsidRPr="00C56257" w14:paraId="240E8A43" w14:textId="77777777" w:rsidTr="00993B86">
        <w:trPr>
          <w:jc w:val="center"/>
        </w:trPr>
        <w:tc>
          <w:tcPr>
            <w:tcW w:w="1861" w:type="dxa"/>
            <w:tcBorders>
              <w:top w:val="single" w:sz="4" w:space="0" w:color="auto"/>
              <w:left w:val="single" w:sz="4" w:space="0" w:color="auto"/>
              <w:bottom w:val="single" w:sz="4" w:space="0" w:color="auto"/>
              <w:right w:val="single" w:sz="4" w:space="0" w:color="auto"/>
            </w:tcBorders>
            <w:hideMark/>
          </w:tcPr>
          <w:p w14:paraId="68AC3F85" w14:textId="77777777" w:rsidR="00FC026B" w:rsidRPr="00C56257" w:rsidRDefault="00FC026B" w:rsidP="00993B86">
            <w:pPr>
              <w:autoSpaceDE w:val="0"/>
              <w:autoSpaceDN w:val="0"/>
              <w:adjustRightInd w:val="0"/>
            </w:pPr>
            <w:r w:rsidRPr="00C56257">
              <w:t>Compoziția habitatului</w:t>
            </w:r>
          </w:p>
        </w:tc>
        <w:tc>
          <w:tcPr>
            <w:tcW w:w="2456" w:type="dxa"/>
            <w:tcBorders>
              <w:top w:val="single" w:sz="4" w:space="0" w:color="auto"/>
              <w:left w:val="single" w:sz="4" w:space="0" w:color="auto"/>
              <w:bottom w:val="single" w:sz="4" w:space="0" w:color="auto"/>
              <w:right w:val="single" w:sz="4" w:space="0" w:color="auto"/>
            </w:tcBorders>
            <w:hideMark/>
          </w:tcPr>
          <w:p w14:paraId="330DC35C" w14:textId="77777777" w:rsidR="00FC026B" w:rsidRPr="00C56257" w:rsidRDefault="00FC026B" w:rsidP="00993B86">
            <w:pPr>
              <w:autoSpaceDE w:val="0"/>
              <w:autoSpaceDN w:val="0"/>
              <w:adjustRightInd w:val="0"/>
            </w:pPr>
            <w:r w:rsidRPr="00C56257">
              <w:t xml:space="preserve">Caracterul sedimentelor și structura lor </w:t>
            </w:r>
          </w:p>
        </w:tc>
        <w:tc>
          <w:tcPr>
            <w:tcW w:w="5165" w:type="dxa"/>
            <w:tcBorders>
              <w:top w:val="single" w:sz="4" w:space="0" w:color="auto"/>
              <w:left w:val="single" w:sz="4" w:space="0" w:color="auto"/>
              <w:bottom w:val="single" w:sz="4" w:space="0" w:color="auto"/>
              <w:right w:val="single" w:sz="4" w:space="0" w:color="auto"/>
            </w:tcBorders>
          </w:tcPr>
          <w:p w14:paraId="320C7C6F" w14:textId="77777777" w:rsidR="00FC026B" w:rsidRPr="00C56257" w:rsidRDefault="00FC026B" w:rsidP="00993B86">
            <w:pPr>
              <w:autoSpaceDE w:val="0"/>
              <w:autoSpaceDN w:val="0"/>
              <w:adjustRightInd w:val="0"/>
            </w:pPr>
          </w:p>
        </w:tc>
      </w:tr>
      <w:tr w:rsidR="00FC026B" w:rsidRPr="00C56257" w14:paraId="2BFA588B" w14:textId="77777777" w:rsidTr="00993B86">
        <w:trPr>
          <w:jc w:val="center"/>
        </w:trPr>
        <w:tc>
          <w:tcPr>
            <w:tcW w:w="1861" w:type="dxa"/>
            <w:tcBorders>
              <w:top w:val="single" w:sz="4" w:space="0" w:color="auto"/>
              <w:left w:val="single" w:sz="4" w:space="0" w:color="auto"/>
              <w:bottom w:val="single" w:sz="4" w:space="0" w:color="auto"/>
              <w:right w:val="single" w:sz="4" w:space="0" w:color="auto"/>
            </w:tcBorders>
            <w:hideMark/>
          </w:tcPr>
          <w:p w14:paraId="5CDB014F" w14:textId="77777777" w:rsidR="00FC026B" w:rsidRPr="00C56257" w:rsidRDefault="00FC026B" w:rsidP="00993B86">
            <w:pPr>
              <w:autoSpaceDE w:val="0"/>
              <w:autoSpaceDN w:val="0"/>
              <w:adjustRightInd w:val="0"/>
              <w:rPr>
                <w:lang w:eastAsia="ro-RO"/>
              </w:rPr>
            </w:pPr>
            <w:r w:rsidRPr="00C56257">
              <w:rPr>
                <w:lang w:eastAsia="ro-RO"/>
              </w:rPr>
              <w:lastRenderedPageBreak/>
              <w:t>Densitatea apei -</w:t>
            </w:r>
          </w:p>
          <w:p w14:paraId="58CE0CCA" w14:textId="77777777" w:rsidR="00FC026B" w:rsidRPr="00C56257" w:rsidRDefault="00FC026B" w:rsidP="00993B86">
            <w:pPr>
              <w:autoSpaceDE w:val="0"/>
              <w:autoSpaceDN w:val="0"/>
              <w:adjustRightInd w:val="0"/>
              <w:rPr>
                <w:lang w:eastAsia="ro-RO"/>
              </w:rPr>
            </w:pPr>
            <w:r w:rsidRPr="00C56257">
              <w:rPr>
                <w:lang w:eastAsia="ro-RO"/>
              </w:rPr>
              <w:t>salinitate și temperatură</w:t>
            </w:r>
          </w:p>
        </w:tc>
        <w:tc>
          <w:tcPr>
            <w:tcW w:w="2456" w:type="dxa"/>
            <w:tcBorders>
              <w:top w:val="single" w:sz="4" w:space="0" w:color="auto"/>
              <w:left w:val="single" w:sz="4" w:space="0" w:color="auto"/>
              <w:bottom w:val="single" w:sz="4" w:space="0" w:color="auto"/>
              <w:right w:val="single" w:sz="4" w:space="0" w:color="auto"/>
            </w:tcBorders>
            <w:hideMark/>
          </w:tcPr>
          <w:p w14:paraId="73CD7A18" w14:textId="77777777" w:rsidR="00FC026B" w:rsidRPr="00C56257" w:rsidRDefault="00FC026B" w:rsidP="00993B86">
            <w:pPr>
              <w:autoSpaceDE w:val="0"/>
              <w:autoSpaceDN w:val="0"/>
              <w:adjustRightInd w:val="0"/>
              <w:rPr>
                <w:lang w:eastAsia="ro-RO"/>
              </w:rPr>
            </w:pPr>
            <w:r w:rsidRPr="00C56257">
              <w:rPr>
                <w:lang w:eastAsia="ro-RO"/>
              </w:rPr>
              <w:t xml:space="preserve">Salinitatea și temperatura anuale medii </w:t>
            </w:r>
          </w:p>
        </w:tc>
        <w:tc>
          <w:tcPr>
            <w:tcW w:w="5165" w:type="dxa"/>
            <w:tcBorders>
              <w:top w:val="single" w:sz="4" w:space="0" w:color="auto"/>
              <w:left w:val="single" w:sz="4" w:space="0" w:color="auto"/>
              <w:bottom w:val="single" w:sz="4" w:space="0" w:color="auto"/>
              <w:right w:val="single" w:sz="4" w:space="0" w:color="auto"/>
            </w:tcBorders>
          </w:tcPr>
          <w:p w14:paraId="2CD1ED52" w14:textId="77777777" w:rsidR="00FC026B" w:rsidRPr="00C56257" w:rsidRDefault="00FC026B" w:rsidP="00993B86">
            <w:pPr>
              <w:autoSpaceDE w:val="0"/>
              <w:autoSpaceDN w:val="0"/>
              <w:adjustRightInd w:val="0"/>
              <w:rPr>
                <w:lang w:eastAsia="ro-RO"/>
              </w:rPr>
            </w:pPr>
            <w:r w:rsidRPr="00C56257">
              <w:rPr>
                <w:lang w:eastAsia="ro-RO"/>
              </w:rPr>
              <w:t xml:space="preserve">Aceste date trebuie calculate pentru fiecare an al ciclului de monitorizare. </w:t>
            </w:r>
          </w:p>
          <w:p w14:paraId="0C8A2D59" w14:textId="77777777" w:rsidR="00FC026B" w:rsidRPr="00C56257" w:rsidRDefault="00FC026B" w:rsidP="00993B86">
            <w:pPr>
              <w:autoSpaceDE w:val="0"/>
              <w:autoSpaceDN w:val="0"/>
              <w:adjustRightInd w:val="0"/>
              <w:rPr>
                <w:lang w:eastAsia="ro-RO"/>
              </w:rPr>
            </w:pPr>
          </w:p>
        </w:tc>
      </w:tr>
      <w:tr w:rsidR="00FC026B" w:rsidRPr="00C56257" w14:paraId="62CD0137" w14:textId="77777777" w:rsidTr="00993B86">
        <w:trPr>
          <w:jc w:val="center"/>
        </w:trPr>
        <w:tc>
          <w:tcPr>
            <w:tcW w:w="1861" w:type="dxa"/>
            <w:tcBorders>
              <w:top w:val="single" w:sz="4" w:space="0" w:color="auto"/>
              <w:left w:val="single" w:sz="4" w:space="0" w:color="auto"/>
              <w:bottom w:val="single" w:sz="4" w:space="0" w:color="auto"/>
              <w:right w:val="single" w:sz="4" w:space="0" w:color="auto"/>
            </w:tcBorders>
            <w:hideMark/>
          </w:tcPr>
          <w:p w14:paraId="3E23A297" w14:textId="77777777" w:rsidR="00FC026B" w:rsidRPr="00C56257" w:rsidRDefault="00FC026B" w:rsidP="00993B86">
            <w:pPr>
              <w:autoSpaceDE w:val="0"/>
              <w:autoSpaceDN w:val="0"/>
              <w:adjustRightInd w:val="0"/>
              <w:rPr>
                <w:color w:val="C00000"/>
                <w:lang w:eastAsia="ro-RO"/>
              </w:rPr>
            </w:pPr>
            <w:r w:rsidRPr="00C56257">
              <w:rPr>
                <w:lang w:eastAsia="ro-RO"/>
              </w:rPr>
              <w:t>Oxigen dizolvat, TSS</w:t>
            </w:r>
          </w:p>
        </w:tc>
        <w:tc>
          <w:tcPr>
            <w:tcW w:w="2456" w:type="dxa"/>
            <w:tcBorders>
              <w:top w:val="single" w:sz="4" w:space="0" w:color="auto"/>
              <w:left w:val="single" w:sz="4" w:space="0" w:color="auto"/>
              <w:bottom w:val="single" w:sz="4" w:space="0" w:color="auto"/>
              <w:right w:val="single" w:sz="4" w:space="0" w:color="auto"/>
            </w:tcBorders>
          </w:tcPr>
          <w:p w14:paraId="78214961" w14:textId="77777777" w:rsidR="00FC026B" w:rsidRPr="00C56257" w:rsidRDefault="00FC026B" w:rsidP="00993B86">
            <w:pPr>
              <w:autoSpaceDE w:val="0"/>
              <w:autoSpaceDN w:val="0"/>
              <w:adjustRightInd w:val="0"/>
              <w:rPr>
                <w:color w:val="C00000"/>
                <w:lang w:eastAsia="ro-RO"/>
              </w:rPr>
            </w:pPr>
          </w:p>
        </w:tc>
        <w:tc>
          <w:tcPr>
            <w:tcW w:w="5165" w:type="dxa"/>
            <w:tcBorders>
              <w:top w:val="single" w:sz="4" w:space="0" w:color="auto"/>
              <w:left w:val="single" w:sz="4" w:space="0" w:color="auto"/>
              <w:bottom w:val="single" w:sz="4" w:space="0" w:color="auto"/>
              <w:right w:val="single" w:sz="4" w:space="0" w:color="auto"/>
            </w:tcBorders>
          </w:tcPr>
          <w:p w14:paraId="3008F5DE" w14:textId="77777777" w:rsidR="00FC026B" w:rsidRPr="00C56257" w:rsidRDefault="00FC026B" w:rsidP="00993B86">
            <w:pPr>
              <w:autoSpaceDE w:val="0"/>
              <w:autoSpaceDN w:val="0"/>
              <w:adjustRightInd w:val="0"/>
              <w:rPr>
                <w:color w:val="C00000"/>
                <w:lang w:eastAsia="ro-RO"/>
              </w:rPr>
            </w:pPr>
          </w:p>
        </w:tc>
      </w:tr>
      <w:tr w:rsidR="00FC026B" w:rsidRPr="00C56257" w14:paraId="41C54D8C" w14:textId="77777777" w:rsidTr="00993B86">
        <w:trPr>
          <w:jc w:val="center"/>
        </w:trPr>
        <w:tc>
          <w:tcPr>
            <w:tcW w:w="1861" w:type="dxa"/>
            <w:tcBorders>
              <w:top w:val="single" w:sz="4" w:space="0" w:color="auto"/>
              <w:left w:val="single" w:sz="4" w:space="0" w:color="auto"/>
              <w:bottom w:val="single" w:sz="4" w:space="0" w:color="auto"/>
              <w:right w:val="single" w:sz="4" w:space="0" w:color="auto"/>
            </w:tcBorders>
            <w:hideMark/>
          </w:tcPr>
          <w:p w14:paraId="6DB48454" w14:textId="77777777" w:rsidR="00FC026B" w:rsidRPr="00C56257" w:rsidRDefault="00FC026B" w:rsidP="00993B86">
            <w:pPr>
              <w:autoSpaceDE w:val="0"/>
              <w:autoSpaceDN w:val="0"/>
              <w:adjustRightInd w:val="0"/>
              <w:rPr>
                <w:lang w:eastAsia="ro-RO"/>
              </w:rPr>
            </w:pPr>
            <w:r w:rsidRPr="00C56257">
              <w:rPr>
                <w:lang w:eastAsia="ro-RO"/>
              </w:rPr>
              <w:t>Clorofila, FPK, ZPK</w:t>
            </w:r>
          </w:p>
        </w:tc>
        <w:tc>
          <w:tcPr>
            <w:tcW w:w="2456" w:type="dxa"/>
            <w:tcBorders>
              <w:top w:val="single" w:sz="4" w:space="0" w:color="auto"/>
              <w:left w:val="single" w:sz="4" w:space="0" w:color="auto"/>
              <w:bottom w:val="single" w:sz="4" w:space="0" w:color="auto"/>
              <w:right w:val="single" w:sz="4" w:space="0" w:color="auto"/>
            </w:tcBorders>
          </w:tcPr>
          <w:p w14:paraId="41457331" w14:textId="77777777" w:rsidR="00FC026B" w:rsidRPr="00C56257" w:rsidRDefault="00FC026B" w:rsidP="00993B86">
            <w:pPr>
              <w:autoSpaceDE w:val="0"/>
              <w:autoSpaceDN w:val="0"/>
              <w:adjustRightInd w:val="0"/>
              <w:rPr>
                <w:color w:val="C00000"/>
                <w:lang w:eastAsia="ro-RO"/>
              </w:rPr>
            </w:pPr>
          </w:p>
        </w:tc>
        <w:tc>
          <w:tcPr>
            <w:tcW w:w="5165" w:type="dxa"/>
            <w:tcBorders>
              <w:top w:val="single" w:sz="4" w:space="0" w:color="auto"/>
              <w:left w:val="single" w:sz="4" w:space="0" w:color="auto"/>
              <w:bottom w:val="single" w:sz="4" w:space="0" w:color="auto"/>
              <w:right w:val="single" w:sz="4" w:space="0" w:color="auto"/>
            </w:tcBorders>
          </w:tcPr>
          <w:p w14:paraId="2060EF33" w14:textId="77777777" w:rsidR="00FC026B" w:rsidRPr="00C56257" w:rsidRDefault="00FC026B" w:rsidP="00993B86">
            <w:pPr>
              <w:autoSpaceDE w:val="0"/>
              <w:autoSpaceDN w:val="0"/>
              <w:adjustRightInd w:val="0"/>
              <w:rPr>
                <w:color w:val="C00000"/>
                <w:lang w:eastAsia="ro-RO"/>
              </w:rPr>
            </w:pPr>
          </w:p>
        </w:tc>
      </w:tr>
      <w:tr w:rsidR="00FC026B" w:rsidRPr="00C56257" w14:paraId="0EDDA6A0" w14:textId="77777777" w:rsidTr="00993B86">
        <w:trPr>
          <w:jc w:val="center"/>
        </w:trPr>
        <w:tc>
          <w:tcPr>
            <w:tcW w:w="1861" w:type="dxa"/>
            <w:tcBorders>
              <w:top w:val="single" w:sz="4" w:space="0" w:color="auto"/>
              <w:left w:val="single" w:sz="4" w:space="0" w:color="auto"/>
              <w:bottom w:val="single" w:sz="4" w:space="0" w:color="auto"/>
              <w:right w:val="single" w:sz="4" w:space="0" w:color="auto"/>
            </w:tcBorders>
            <w:hideMark/>
          </w:tcPr>
          <w:p w14:paraId="493CBB6A" w14:textId="77777777" w:rsidR="00FC026B" w:rsidRPr="00C56257" w:rsidRDefault="00FC026B" w:rsidP="00993B86">
            <w:pPr>
              <w:autoSpaceDE w:val="0"/>
              <w:autoSpaceDN w:val="0"/>
              <w:adjustRightInd w:val="0"/>
              <w:rPr>
                <w:lang w:eastAsia="ro-RO"/>
              </w:rPr>
            </w:pPr>
            <w:r w:rsidRPr="00C56257">
              <w:rPr>
                <w:lang w:eastAsia="ro-RO"/>
              </w:rPr>
              <w:t>Echilibru morfologic</w:t>
            </w:r>
          </w:p>
        </w:tc>
        <w:tc>
          <w:tcPr>
            <w:tcW w:w="2456" w:type="dxa"/>
            <w:tcBorders>
              <w:top w:val="single" w:sz="4" w:space="0" w:color="auto"/>
              <w:left w:val="single" w:sz="4" w:space="0" w:color="auto"/>
              <w:bottom w:val="single" w:sz="4" w:space="0" w:color="auto"/>
              <w:right w:val="single" w:sz="4" w:space="0" w:color="auto"/>
            </w:tcBorders>
            <w:hideMark/>
          </w:tcPr>
          <w:p w14:paraId="39EEBD41" w14:textId="77777777" w:rsidR="00FC026B" w:rsidRPr="00C56257" w:rsidRDefault="00FC026B" w:rsidP="00993B86">
            <w:pPr>
              <w:autoSpaceDE w:val="0"/>
              <w:autoSpaceDN w:val="0"/>
              <w:adjustRightInd w:val="0"/>
              <w:rPr>
                <w:lang w:eastAsia="ro-RO"/>
              </w:rPr>
            </w:pPr>
            <w:r w:rsidRPr="00C56257">
              <w:rPr>
                <w:lang w:eastAsia="ro-RO"/>
              </w:rPr>
              <w:t xml:space="preserve">Tendința pe termen lung a interfeței dintre sărătură/suprafața de mâl, măsurată anual </w:t>
            </w:r>
          </w:p>
        </w:tc>
        <w:tc>
          <w:tcPr>
            <w:tcW w:w="5165" w:type="dxa"/>
            <w:tcBorders>
              <w:top w:val="single" w:sz="4" w:space="0" w:color="auto"/>
              <w:left w:val="single" w:sz="4" w:space="0" w:color="auto"/>
              <w:bottom w:val="single" w:sz="4" w:space="0" w:color="auto"/>
              <w:right w:val="single" w:sz="4" w:space="0" w:color="auto"/>
            </w:tcBorders>
            <w:hideMark/>
          </w:tcPr>
          <w:p w14:paraId="16DF4819" w14:textId="77777777" w:rsidR="00FC026B" w:rsidRPr="00C56257" w:rsidRDefault="00FC026B" w:rsidP="00993B86">
            <w:pPr>
              <w:autoSpaceDE w:val="0"/>
              <w:autoSpaceDN w:val="0"/>
              <w:adjustRightInd w:val="0"/>
              <w:rPr>
                <w:lang w:eastAsia="ro-RO"/>
              </w:rPr>
            </w:pPr>
            <w:r w:rsidRPr="00C56257">
              <w:rPr>
                <w:lang w:eastAsia="ro-RO"/>
              </w:rPr>
              <w:t xml:space="preserve">Aceasta se aplică numai pentru estuare incluse în tipul brațe de mare și golfuri puțin adânci. </w:t>
            </w:r>
          </w:p>
        </w:tc>
      </w:tr>
      <w:tr w:rsidR="00FC026B" w:rsidRPr="00C56257" w14:paraId="12E8128D" w14:textId="77777777" w:rsidTr="00993B86">
        <w:trPr>
          <w:jc w:val="center"/>
        </w:trPr>
        <w:tc>
          <w:tcPr>
            <w:tcW w:w="9482" w:type="dxa"/>
            <w:gridSpan w:val="3"/>
            <w:tcBorders>
              <w:top w:val="single" w:sz="4" w:space="0" w:color="auto"/>
              <w:left w:val="single" w:sz="4" w:space="0" w:color="auto"/>
              <w:bottom w:val="single" w:sz="4" w:space="0" w:color="auto"/>
              <w:right w:val="single" w:sz="4" w:space="0" w:color="auto"/>
            </w:tcBorders>
            <w:hideMark/>
          </w:tcPr>
          <w:p w14:paraId="684DFCCC" w14:textId="77777777" w:rsidR="00FC026B" w:rsidRPr="00C56257" w:rsidRDefault="00FC026B" w:rsidP="00993B86">
            <w:pPr>
              <w:autoSpaceDE w:val="0"/>
              <w:autoSpaceDN w:val="0"/>
              <w:adjustRightInd w:val="0"/>
              <w:rPr>
                <w:lang w:eastAsia="ro-RO"/>
              </w:rPr>
            </w:pPr>
            <w:r w:rsidRPr="00C56257">
              <w:rPr>
                <w:i/>
                <w:iCs/>
                <w:lang w:eastAsia="ro-RO"/>
              </w:rPr>
              <w:t>Structură biotică</w:t>
            </w:r>
          </w:p>
        </w:tc>
      </w:tr>
      <w:tr w:rsidR="00FC026B" w:rsidRPr="00C56257" w14:paraId="77B84D0A" w14:textId="77777777" w:rsidTr="00993B86">
        <w:trPr>
          <w:jc w:val="center"/>
        </w:trPr>
        <w:tc>
          <w:tcPr>
            <w:tcW w:w="1861" w:type="dxa"/>
            <w:tcBorders>
              <w:top w:val="single" w:sz="4" w:space="0" w:color="auto"/>
              <w:left w:val="single" w:sz="4" w:space="0" w:color="auto"/>
              <w:bottom w:val="single" w:sz="4" w:space="0" w:color="auto"/>
              <w:right w:val="single" w:sz="4" w:space="0" w:color="auto"/>
            </w:tcBorders>
          </w:tcPr>
          <w:p w14:paraId="6C1C6909" w14:textId="77777777" w:rsidR="00FC026B" w:rsidRPr="00C56257" w:rsidRDefault="00FC026B" w:rsidP="00993B86">
            <w:pPr>
              <w:autoSpaceDE w:val="0"/>
              <w:autoSpaceDN w:val="0"/>
              <w:adjustRightInd w:val="0"/>
              <w:rPr>
                <w:iCs/>
                <w:lang w:eastAsia="ro-RO"/>
              </w:rPr>
            </w:pPr>
            <w:r w:rsidRPr="00C56257">
              <w:rPr>
                <w:iCs/>
                <w:lang w:eastAsia="ro-RO"/>
              </w:rPr>
              <w:t xml:space="preserve">Structura pe specii a biotopurilor caracterisice </w:t>
            </w:r>
          </w:p>
          <w:p w14:paraId="18F678DB" w14:textId="77777777" w:rsidR="00FC026B" w:rsidRPr="00C56257" w:rsidRDefault="00FC026B" w:rsidP="00993B86">
            <w:pPr>
              <w:autoSpaceDE w:val="0"/>
              <w:autoSpaceDN w:val="0"/>
              <w:adjustRightInd w:val="0"/>
              <w:rPr>
                <w:i/>
                <w:iCs/>
                <w:lang w:eastAsia="ro-RO"/>
              </w:rPr>
            </w:pPr>
          </w:p>
        </w:tc>
        <w:tc>
          <w:tcPr>
            <w:tcW w:w="2456" w:type="dxa"/>
            <w:tcBorders>
              <w:top w:val="single" w:sz="4" w:space="0" w:color="auto"/>
              <w:left w:val="single" w:sz="4" w:space="0" w:color="auto"/>
              <w:bottom w:val="single" w:sz="4" w:space="0" w:color="auto"/>
              <w:right w:val="single" w:sz="4" w:space="0" w:color="auto"/>
            </w:tcBorders>
          </w:tcPr>
          <w:p w14:paraId="42872354" w14:textId="77777777" w:rsidR="00FC026B" w:rsidRPr="00C56257" w:rsidRDefault="00FC026B" w:rsidP="00993B86">
            <w:pPr>
              <w:autoSpaceDE w:val="0"/>
              <w:autoSpaceDN w:val="0"/>
              <w:adjustRightInd w:val="0"/>
              <w:rPr>
                <w:lang w:eastAsia="ro-RO"/>
              </w:rPr>
            </w:pPr>
            <w:r w:rsidRPr="00C56257">
              <w:rPr>
                <w:lang w:eastAsia="ro-RO"/>
              </w:rPr>
              <w:t xml:space="preserve">Frecvența și prezența speciilor compozite din biotopurile specifice </w:t>
            </w:r>
          </w:p>
          <w:p w14:paraId="55632914" w14:textId="77777777" w:rsidR="00FC026B" w:rsidRPr="00C56257" w:rsidRDefault="00FC026B" w:rsidP="00993B86">
            <w:pPr>
              <w:autoSpaceDE w:val="0"/>
              <w:autoSpaceDN w:val="0"/>
              <w:adjustRightInd w:val="0"/>
              <w:rPr>
                <w:lang w:eastAsia="ro-RO"/>
              </w:rPr>
            </w:pPr>
          </w:p>
          <w:p w14:paraId="582BBCC1" w14:textId="77777777" w:rsidR="00FC026B" w:rsidRPr="00C56257" w:rsidRDefault="00FC026B" w:rsidP="00993B86">
            <w:pPr>
              <w:autoSpaceDE w:val="0"/>
              <w:autoSpaceDN w:val="0"/>
              <w:adjustRightInd w:val="0"/>
              <w:rPr>
                <w:lang w:eastAsia="ro-RO"/>
              </w:rPr>
            </w:pPr>
          </w:p>
        </w:tc>
        <w:tc>
          <w:tcPr>
            <w:tcW w:w="5165" w:type="dxa"/>
            <w:tcBorders>
              <w:top w:val="single" w:sz="4" w:space="0" w:color="auto"/>
              <w:left w:val="single" w:sz="4" w:space="0" w:color="auto"/>
              <w:bottom w:val="single" w:sz="4" w:space="0" w:color="auto"/>
              <w:right w:val="single" w:sz="4" w:space="0" w:color="auto"/>
            </w:tcBorders>
            <w:hideMark/>
          </w:tcPr>
          <w:p w14:paraId="20F525CF" w14:textId="77777777" w:rsidR="00FC026B" w:rsidRPr="00C56257" w:rsidRDefault="00FC026B" w:rsidP="00993B86">
            <w:pPr>
              <w:autoSpaceDE w:val="0"/>
              <w:autoSpaceDN w:val="0"/>
              <w:adjustRightInd w:val="0"/>
              <w:rPr>
                <w:lang w:eastAsia="ro-RO"/>
              </w:rPr>
            </w:pPr>
            <w:r w:rsidRPr="00C56257">
              <w:rPr>
                <w:lang w:eastAsia="ro-RO"/>
              </w:rPr>
              <w:t xml:space="preserve">Biotopurile selectate trebuie să reflecte caracterul biologic al caracteristicii și/sau să fie extrem de importante pentru valoarea lor conservativă: spre exemplu, suprafețe bogate acoperite de midii, câmpuri de </w:t>
            </w:r>
            <w:r w:rsidRPr="00C56257">
              <w:rPr>
                <w:i/>
                <w:lang w:eastAsia="ro-RO"/>
              </w:rPr>
              <w:t>Corrallina</w:t>
            </w:r>
            <w:r w:rsidRPr="00C56257">
              <w:rPr>
                <w:lang w:eastAsia="ro-RO"/>
              </w:rPr>
              <w:t xml:space="preserve">. </w:t>
            </w:r>
          </w:p>
        </w:tc>
      </w:tr>
      <w:tr w:rsidR="00FC026B" w:rsidRPr="00C56257" w14:paraId="005CF1FD" w14:textId="77777777" w:rsidTr="00993B86">
        <w:trPr>
          <w:jc w:val="center"/>
        </w:trPr>
        <w:tc>
          <w:tcPr>
            <w:tcW w:w="1861" w:type="dxa"/>
            <w:tcBorders>
              <w:top w:val="single" w:sz="4" w:space="0" w:color="auto"/>
              <w:left w:val="single" w:sz="4" w:space="0" w:color="auto"/>
              <w:bottom w:val="single" w:sz="4" w:space="0" w:color="auto"/>
              <w:right w:val="single" w:sz="4" w:space="0" w:color="auto"/>
            </w:tcBorders>
          </w:tcPr>
          <w:p w14:paraId="7470667A" w14:textId="77777777" w:rsidR="00FC026B" w:rsidRPr="00C56257" w:rsidRDefault="00FC026B" w:rsidP="00993B86">
            <w:pPr>
              <w:autoSpaceDE w:val="0"/>
              <w:autoSpaceDN w:val="0"/>
              <w:adjustRightInd w:val="0"/>
              <w:rPr>
                <w:iCs/>
                <w:lang w:eastAsia="ro-RO"/>
              </w:rPr>
            </w:pPr>
            <w:r w:rsidRPr="00C56257">
              <w:rPr>
                <w:iCs/>
                <w:lang w:eastAsia="ro-RO"/>
              </w:rPr>
              <w:t xml:space="preserve">Structura pe specii a habitatelor caracteristice </w:t>
            </w:r>
          </w:p>
          <w:p w14:paraId="17183B40" w14:textId="77777777" w:rsidR="00FC026B" w:rsidRPr="00C56257" w:rsidRDefault="00FC026B" w:rsidP="00993B86">
            <w:pPr>
              <w:autoSpaceDE w:val="0"/>
              <w:autoSpaceDN w:val="0"/>
              <w:adjustRightInd w:val="0"/>
              <w:rPr>
                <w:iCs/>
                <w:lang w:eastAsia="ro-RO"/>
              </w:rPr>
            </w:pPr>
          </w:p>
        </w:tc>
        <w:tc>
          <w:tcPr>
            <w:tcW w:w="2456" w:type="dxa"/>
            <w:tcBorders>
              <w:top w:val="single" w:sz="4" w:space="0" w:color="auto"/>
              <w:left w:val="single" w:sz="4" w:space="0" w:color="auto"/>
              <w:bottom w:val="single" w:sz="4" w:space="0" w:color="auto"/>
              <w:right w:val="single" w:sz="4" w:space="0" w:color="auto"/>
            </w:tcBorders>
          </w:tcPr>
          <w:p w14:paraId="17A5D381" w14:textId="77777777" w:rsidR="00FC026B" w:rsidRPr="00C56257" w:rsidRDefault="00FC026B" w:rsidP="00993B86">
            <w:pPr>
              <w:autoSpaceDE w:val="0"/>
              <w:autoSpaceDN w:val="0"/>
              <w:adjustRightInd w:val="0"/>
              <w:rPr>
                <w:iCs/>
                <w:lang w:eastAsia="ro-RO"/>
              </w:rPr>
            </w:pPr>
            <w:r w:rsidRPr="00C56257">
              <w:rPr>
                <w:iCs/>
                <w:lang w:eastAsia="ro-RO"/>
              </w:rPr>
              <w:t>Structura pe specii a unor habitate anume</w:t>
            </w:r>
          </w:p>
          <w:p w14:paraId="4FAFB9C1" w14:textId="77777777" w:rsidR="00FC026B" w:rsidRPr="00C56257" w:rsidRDefault="00FC026B" w:rsidP="00993B86">
            <w:pPr>
              <w:autoSpaceDE w:val="0"/>
              <w:autoSpaceDN w:val="0"/>
              <w:adjustRightInd w:val="0"/>
              <w:rPr>
                <w:lang w:eastAsia="ro-RO"/>
              </w:rPr>
            </w:pPr>
          </w:p>
        </w:tc>
        <w:tc>
          <w:tcPr>
            <w:tcW w:w="5165" w:type="dxa"/>
            <w:tcBorders>
              <w:top w:val="single" w:sz="4" w:space="0" w:color="auto"/>
              <w:left w:val="single" w:sz="4" w:space="0" w:color="auto"/>
              <w:bottom w:val="single" w:sz="4" w:space="0" w:color="auto"/>
              <w:right w:val="single" w:sz="4" w:space="0" w:color="auto"/>
            </w:tcBorders>
            <w:hideMark/>
          </w:tcPr>
          <w:p w14:paraId="2375FC4E" w14:textId="77777777" w:rsidR="00FC026B" w:rsidRPr="00C56257" w:rsidRDefault="00FC026B" w:rsidP="00993B86">
            <w:pPr>
              <w:autoSpaceDE w:val="0"/>
              <w:autoSpaceDN w:val="0"/>
              <w:adjustRightInd w:val="0"/>
              <w:rPr>
                <w:lang w:eastAsia="ro-RO"/>
              </w:rPr>
            </w:pPr>
            <w:r w:rsidRPr="00C56257">
              <w:rPr>
                <w:lang w:eastAsia="ro-RO"/>
              </w:rPr>
              <w:t xml:space="preserve">Habitatele selectate trebuie să reflecte caracterul biologic al caracteristicii și/sau să fie extrem de importante pentru valoarea lor conservativă: spre exemplu, aglomerări bogate și diversificate de bolovani sau comunități de lagună. </w:t>
            </w:r>
          </w:p>
        </w:tc>
      </w:tr>
      <w:tr w:rsidR="00FC026B" w:rsidRPr="00C56257" w14:paraId="1D7DD6AD" w14:textId="77777777" w:rsidTr="00993B86">
        <w:trPr>
          <w:jc w:val="center"/>
        </w:trPr>
        <w:tc>
          <w:tcPr>
            <w:tcW w:w="1861" w:type="dxa"/>
            <w:tcBorders>
              <w:top w:val="single" w:sz="4" w:space="0" w:color="auto"/>
              <w:left w:val="single" w:sz="4" w:space="0" w:color="auto"/>
              <w:bottom w:val="single" w:sz="4" w:space="0" w:color="auto"/>
              <w:right w:val="single" w:sz="4" w:space="0" w:color="auto"/>
            </w:tcBorders>
            <w:hideMark/>
          </w:tcPr>
          <w:p w14:paraId="08BC2C7D" w14:textId="77777777" w:rsidR="00FC026B" w:rsidRPr="00C56257" w:rsidRDefault="00FC026B" w:rsidP="00993B86">
            <w:pPr>
              <w:autoSpaceDE w:val="0"/>
              <w:autoSpaceDN w:val="0"/>
              <w:adjustRightInd w:val="0"/>
              <w:rPr>
                <w:iCs/>
                <w:lang w:eastAsia="ro-RO"/>
              </w:rPr>
            </w:pPr>
            <w:r w:rsidRPr="00C56257">
              <w:rPr>
                <w:iCs/>
                <w:lang w:eastAsia="ro-RO"/>
              </w:rPr>
              <w:t xml:space="preserve">Starea populațiilor speciilor caracteristice </w:t>
            </w:r>
          </w:p>
        </w:tc>
        <w:tc>
          <w:tcPr>
            <w:tcW w:w="2456" w:type="dxa"/>
            <w:tcBorders>
              <w:top w:val="single" w:sz="4" w:space="0" w:color="auto"/>
              <w:left w:val="single" w:sz="4" w:space="0" w:color="auto"/>
              <w:bottom w:val="single" w:sz="4" w:space="0" w:color="auto"/>
              <w:right w:val="single" w:sz="4" w:space="0" w:color="auto"/>
            </w:tcBorders>
          </w:tcPr>
          <w:p w14:paraId="36036605" w14:textId="77777777" w:rsidR="00FC026B" w:rsidRPr="00C56257" w:rsidRDefault="00FC026B" w:rsidP="00993B86">
            <w:pPr>
              <w:autoSpaceDE w:val="0"/>
              <w:autoSpaceDN w:val="0"/>
              <w:adjustRightInd w:val="0"/>
              <w:rPr>
                <w:lang w:eastAsia="ro-RO"/>
              </w:rPr>
            </w:pPr>
            <w:r w:rsidRPr="00C56257">
              <w:rPr>
                <w:lang w:eastAsia="ro-RO"/>
              </w:rPr>
              <w:t>Estimarea dimensiunii populațiilor speciilor tipice ale caracteristicii</w:t>
            </w:r>
          </w:p>
          <w:p w14:paraId="3B6D8EEC" w14:textId="77777777" w:rsidR="00FC026B" w:rsidRPr="00C56257" w:rsidRDefault="00FC026B" w:rsidP="00993B86">
            <w:pPr>
              <w:autoSpaceDE w:val="0"/>
              <w:autoSpaceDN w:val="0"/>
              <w:adjustRightInd w:val="0"/>
              <w:rPr>
                <w:lang w:eastAsia="ro-RO"/>
              </w:rPr>
            </w:pPr>
          </w:p>
        </w:tc>
        <w:tc>
          <w:tcPr>
            <w:tcW w:w="5165" w:type="dxa"/>
            <w:tcBorders>
              <w:top w:val="single" w:sz="4" w:space="0" w:color="auto"/>
              <w:left w:val="single" w:sz="4" w:space="0" w:color="auto"/>
              <w:bottom w:val="single" w:sz="4" w:space="0" w:color="auto"/>
              <w:right w:val="single" w:sz="4" w:space="0" w:color="auto"/>
            </w:tcBorders>
            <w:hideMark/>
          </w:tcPr>
          <w:p w14:paraId="7510B85E" w14:textId="77777777" w:rsidR="00FC026B" w:rsidRPr="00C56257" w:rsidRDefault="00FC026B" w:rsidP="00993B86">
            <w:pPr>
              <w:autoSpaceDE w:val="0"/>
              <w:autoSpaceDN w:val="0"/>
              <w:adjustRightInd w:val="0"/>
              <w:rPr>
                <w:lang w:eastAsia="ro-RO"/>
              </w:rPr>
            </w:pPr>
            <w:r w:rsidRPr="00C56257">
              <w:rPr>
                <w:lang w:eastAsia="ro-RO"/>
              </w:rPr>
              <w:t xml:space="preserve">Speciile selectate trebuie să reflecte caracterul sitului și pot include și specii aflate la limita ariei lor geografice de răspândire sau care formează un aspect structural semnificativ, spre exemplu pajiștile de iarbă de mare. </w:t>
            </w:r>
          </w:p>
        </w:tc>
      </w:tr>
      <w:tr w:rsidR="00FC026B" w:rsidRPr="00C56257" w14:paraId="6EEB4DF5" w14:textId="77777777" w:rsidTr="00993B86">
        <w:trPr>
          <w:jc w:val="center"/>
        </w:trPr>
        <w:tc>
          <w:tcPr>
            <w:tcW w:w="9482" w:type="dxa"/>
            <w:gridSpan w:val="3"/>
            <w:tcBorders>
              <w:top w:val="single" w:sz="4" w:space="0" w:color="auto"/>
              <w:left w:val="single" w:sz="4" w:space="0" w:color="auto"/>
              <w:bottom w:val="single" w:sz="4" w:space="0" w:color="auto"/>
              <w:right w:val="single" w:sz="4" w:space="0" w:color="auto"/>
            </w:tcBorders>
            <w:hideMark/>
          </w:tcPr>
          <w:p w14:paraId="7FA16D4E" w14:textId="77777777" w:rsidR="00FC026B" w:rsidRPr="00C56257" w:rsidRDefault="00FC026B" w:rsidP="00993B86">
            <w:pPr>
              <w:autoSpaceDE w:val="0"/>
              <w:autoSpaceDN w:val="0"/>
              <w:adjustRightInd w:val="0"/>
              <w:rPr>
                <w:lang w:eastAsia="ro-RO"/>
              </w:rPr>
            </w:pPr>
            <w:r w:rsidRPr="00C56257">
              <w:rPr>
                <w:i/>
                <w:iCs/>
                <w:lang w:eastAsia="ro-RO"/>
              </w:rPr>
              <w:t xml:space="preserve">Structură biologică </w:t>
            </w:r>
          </w:p>
        </w:tc>
      </w:tr>
      <w:tr w:rsidR="00FC026B" w:rsidRPr="00C56257" w14:paraId="791B6967" w14:textId="77777777" w:rsidTr="00993B86">
        <w:trPr>
          <w:jc w:val="center"/>
        </w:trPr>
        <w:tc>
          <w:tcPr>
            <w:tcW w:w="1861" w:type="dxa"/>
            <w:tcBorders>
              <w:top w:val="single" w:sz="4" w:space="0" w:color="auto"/>
              <w:left w:val="single" w:sz="4" w:space="0" w:color="auto"/>
              <w:bottom w:val="single" w:sz="4" w:space="0" w:color="auto"/>
              <w:right w:val="single" w:sz="4" w:space="0" w:color="auto"/>
            </w:tcBorders>
          </w:tcPr>
          <w:p w14:paraId="541A9D53" w14:textId="77777777" w:rsidR="00FC026B" w:rsidRPr="00C56257" w:rsidRDefault="00FC026B" w:rsidP="00993B86">
            <w:pPr>
              <w:autoSpaceDE w:val="0"/>
              <w:autoSpaceDN w:val="0"/>
              <w:adjustRightInd w:val="0"/>
              <w:rPr>
                <w:iCs/>
                <w:lang w:eastAsia="ro-RO"/>
              </w:rPr>
            </w:pPr>
            <w:r w:rsidRPr="00C56257">
              <w:rPr>
                <w:iCs/>
                <w:lang w:eastAsia="ro-RO"/>
              </w:rPr>
              <w:t xml:space="preserve">Distribuția spațiala a sub-caracteristicilor </w:t>
            </w:r>
          </w:p>
          <w:p w14:paraId="1C125398" w14:textId="77777777" w:rsidR="00FC026B" w:rsidRPr="00C56257" w:rsidRDefault="00FC026B" w:rsidP="00993B86">
            <w:pPr>
              <w:autoSpaceDE w:val="0"/>
              <w:autoSpaceDN w:val="0"/>
              <w:adjustRightInd w:val="0"/>
              <w:rPr>
                <w:iCs/>
                <w:lang w:eastAsia="ro-RO"/>
              </w:rPr>
            </w:pPr>
          </w:p>
          <w:p w14:paraId="061DAAEA" w14:textId="77777777" w:rsidR="00FC026B" w:rsidRPr="00C56257" w:rsidRDefault="00FC026B" w:rsidP="00993B86">
            <w:pPr>
              <w:autoSpaceDE w:val="0"/>
              <w:autoSpaceDN w:val="0"/>
              <w:adjustRightInd w:val="0"/>
              <w:rPr>
                <w:i/>
                <w:iCs/>
                <w:lang w:eastAsia="ro-RO"/>
              </w:rPr>
            </w:pPr>
          </w:p>
        </w:tc>
        <w:tc>
          <w:tcPr>
            <w:tcW w:w="2456" w:type="dxa"/>
            <w:tcBorders>
              <w:top w:val="single" w:sz="4" w:space="0" w:color="auto"/>
              <w:left w:val="single" w:sz="4" w:space="0" w:color="auto"/>
              <w:bottom w:val="single" w:sz="4" w:space="0" w:color="auto"/>
              <w:right w:val="single" w:sz="4" w:space="0" w:color="auto"/>
            </w:tcBorders>
          </w:tcPr>
          <w:p w14:paraId="3B328B6E" w14:textId="77777777" w:rsidR="00FC026B" w:rsidRPr="00C56257" w:rsidRDefault="00FC026B" w:rsidP="00993B86">
            <w:pPr>
              <w:autoSpaceDE w:val="0"/>
              <w:autoSpaceDN w:val="0"/>
              <w:adjustRightInd w:val="0"/>
              <w:rPr>
                <w:lang w:eastAsia="ro-RO"/>
              </w:rPr>
            </w:pPr>
            <w:r w:rsidRPr="00C56257">
              <w:rPr>
                <w:lang w:eastAsia="ro-RO"/>
              </w:rPr>
              <w:t>Suprafața și distribuția tuturor caracteristicilor în cadrul ariei speciale de conservare</w:t>
            </w:r>
          </w:p>
          <w:p w14:paraId="1D1BCC30" w14:textId="77777777" w:rsidR="00FC026B" w:rsidRPr="00C56257" w:rsidRDefault="00FC026B" w:rsidP="00993B86">
            <w:pPr>
              <w:autoSpaceDE w:val="0"/>
              <w:autoSpaceDN w:val="0"/>
              <w:adjustRightInd w:val="0"/>
              <w:rPr>
                <w:lang w:eastAsia="ro-RO"/>
              </w:rPr>
            </w:pPr>
          </w:p>
        </w:tc>
        <w:tc>
          <w:tcPr>
            <w:tcW w:w="5165" w:type="dxa"/>
            <w:tcBorders>
              <w:top w:val="single" w:sz="4" w:space="0" w:color="auto"/>
              <w:left w:val="single" w:sz="4" w:space="0" w:color="auto"/>
              <w:bottom w:val="single" w:sz="4" w:space="0" w:color="auto"/>
              <w:right w:val="single" w:sz="4" w:space="0" w:color="auto"/>
            </w:tcBorders>
            <w:hideMark/>
          </w:tcPr>
          <w:p w14:paraId="4E74FD04" w14:textId="77777777" w:rsidR="00FC026B" w:rsidRPr="00C56257" w:rsidRDefault="00FC026B" w:rsidP="00993B86">
            <w:pPr>
              <w:autoSpaceDE w:val="0"/>
              <w:autoSpaceDN w:val="0"/>
              <w:adjustRightInd w:val="0"/>
              <w:rPr>
                <w:lang w:eastAsia="ro-RO"/>
              </w:rPr>
            </w:pPr>
            <w:r w:rsidRPr="00C56257">
              <w:rPr>
                <w:lang w:eastAsia="ro-RO"/>
              </w:rPr>
              <w:t xml:space="preserve">Distribuția sub-caracteristicilor este un aspect important pentru caracterul general al ASC și orice modificare a localizării sau extinderii acestora poate funcționa ca indicator al unor activități antropogenice difuze reduse. </w:t>
            </w:r>
          </w:p>
        </w:tc>
      </w:tr>
      <w:tr w:rsidR="00FC026B" w:rsidRPr="00C56257" w14:paraId="5AA58757" w14:textId="77777777" w:rsidTr="00993B86">
        <w:trPr>
          <w:jc w:val="center"/>
        </w:trPr>
        <w:tc>
          <w:tcPr>
            <w:tcW w:w="1861" w:type="dxa"/>
            <w:tcBorders>
              <w:top w:val="single" w:sz="4" w:space="0" w:color="auto"/>
              <w:left w:val="single" w:sz="4" w:space="0" w:color="auto"/>
              <w:bottom w:val="single" w:sz="4" w:space="0" w:color="auto"/>
              <w:right w:val="single" w:sz="4" w:space="0" w:color="auto"/>
            </w:tcBorders>
            <w:hideMark/>
          </w:tcPr>
          <w:p w14:paraId="2BA7844A" w14:textId="77777777" w:rsidR="00FC026B" w:rsidRPr="00C56257" w:rsidRDefault="00FC026B" w:rsidP="00993B86">
            <w:pPr>
              <w:autoSpaceDE w:val="0"/>
              <w:autoSpaceDN w:val="0"/>
              <w:adjustRightInd w:val="0"/>
              <w:rPr>
                <w:iCs/>
                <w:lang w:eastAsia="ro-RO"/>
              </w:rPr>
            </w:pPr>
            <w:r w:rsidRPr="00C56257">
              <w:rPr>
                <w:iCs/>
                <w:lang w:eastAsia="ro-RO"/>
              </w:rPr>
              <w:t xml:space="preserve">Distribuția spațială a biotopurilor caracteristice </w:t>
            </w:r>
          </w:p>
        </w:tc>
        <w:tc>
          <w:tcPr>
            <w:tcW w:w="2456" w:type="dxa"/>
            <w:tcBorders>
              <w:top w:val="single" w:sz="4" w:space="0" w:color="auto"/>
              <w:left w:val="single" w:sz="4" w:space="0" w:color="auto"/>
              <w:bottom w:val="single" w:sz="4" w:space="0" w:color="auto"/>
              <w:right w:val="single" w:sz="4" w:space="0" w:color="auto"/>
            </w:tcBorders>
            <w:hideMark/>
          </w:tcPr>
          <w:p w14:paraId="548AC5B3" w14:textId="77777777" w:rsidR="00FC026B" w:rsidRPr="00C56257" w:rsidRDefault="00FC026B" w:rsidP="00993B86">
            <w:pPr>
              <w:autoSpaceDE w:val="0"/>
              <w:autoSpaceDN w:val="0"/>
              <w:adjustRightInd w:val="0"/>
              <w:rPr>
                <w:lang w:eastAsia="ro-RO"/>
              </w:rPr>
            </w:pPr>
            <w:r w:rsidRPr="00C56257">
              <w:rPr>
                <w:lang w:eastAsia="ro-RO"/>
              </w:rPr>
              <w:t xml:space="preserve">Suprafața și frecvența biotopurilor importante în cadrul caracteristicii </w:t>
            </w:r>
          </w:p>
        </w:tc>
        <w:tc>
          <w:tcPr>
            <w:tcW w:w="5165" w:type="dxa"/>
            <w:tcBorders>
              <w:top w:val="single" w:sz="4" w:space="0" w:color="auto"/>
              <w:left w:val="single" w:sz="4" w:space="0" w:color="auto"/>
              <w:bottom w:val="single" w:sz="4" w:space="0" w:color="auto"/>
              <w:right w:val="single" w:sz="4" w:space="0" w:color="auto"/>
            </w:tcBorders>
            <w:hideMark/>
          </w:tcPr>
          <w:p w14:paraId="6ACF546B" w14:textId="77777777" w:rsidR="00FC026B" w:rsidRPr="00C56257" w:rsidRDefault="00FC026B" w:rsidP="00993B86">
            <w:pPr>
              <w:autoSpaceDE w:val="0"/>
              <w:autoSpaceDN w:val="0"/>
              <w:adjustRightInd w:val="0"/>
              <w:rPr>
                <w:lang w:eastAsia="ro-RO"/>
              </w:rPr>
            </w:pPr>
            <w:r w:rsidRPr="00C56257">
              <w:rPr>
                <w:lang w:eastAsia="ro-RO"/>
              </w:rPr>
              <w:t xml:space="preserve">Exemplele includ distrbuția relativă a comunităților intertidale stâncoase, distribuția câmpurilor de </w:t>
            </w:r>
            <w:r w:rsidRPr="00C56257">
              <w:rPr>
                <w:i/>
                <w:lang w:eastAsia="ro-RO"/>
              </w:rPr>
              <w:t>Corallina</w:t>
            </w:r>
            <w:r w:rsidRPr="00C56257">
              <w:rPr>
                <w:lang w:eastAsia="ro-RO"/>
              </w:rPr>
              <w:t xml:space="preserve">, </w:t>
            </w:r>
          </w:p>
          <w:p w14:paraId="2EE67865" w14:textId="77777777" w:rsidR="00FC026B" w:rsidRPr="00C56257" w:rsidRDefault="00FC026B" w:rsidP="00993B86">
            <w:pPr>
              <w:autoSpaceDE w:val="0"/>
              <w:autoSpaceDN w:val="0"/>
              <w:adjustRightInd w:val="0"/>
              <w:rPr>
                <w:lang w:eastAsia="ro-RO"/>
              </w:rPr>
            </w:pPr>
            <w:r w:rsidRPr="00C56257">
              <w:rPr>
                <w:lang w:eastAsia="ro-RO"/>
              </w:rPr>
              <w:t xml:space="preserve">vârtejuri (praguri) tidale </w:t>
            </w:r>
          </w:p>
        </w:tc>
      </w:tr>
    </w:tbl>
    <w:p w14:paraId="1B460DD8" w14:textId="77777777" w:rsidR="00FC026B" w:rsidRPr="00F100E1" w:rsidRDefault="00FC026B" w:rsidP="00FC026B">
      <w:pPr>
        <w:rPr>
          <w:noProof/>
          <w:lang w:val="it-IT"/>
        </w:rPr>
      </w:pPr>
    </w:p>
    <w:p w14:paraId="698DC6E5" w14:textId="77777777" w:rsidR="00FC026B" w:rsidRPr="00C56257" w:rsidRDefault="00FC026B" w:rsidP="00FC026B">
      <w:pPr>
        <w:jc w:val="both"/>
        <w:rPr>
          <w:b/>
          <w:i/>
          <w:lang w:val="pt-BR"/>
        </w:rPr>
      </w:pPr>
      <w:r w:rsidRPr="00C56257">
        <w:rPr>
          <w:b/>
          <w:i/>
          <w:lang w:val="pt-BR"/>
        </w:rPr>
        <w:t>Tehnici de monitorizare a atributelor suprafețelor brațelor de mare și golfurilor puțin adânci</w:t>
      </w:r>
    </w:p>
    <w:p w14:paraId="7F143E91" w14:textId="77777777" w:rsidR="00FC026B" w:rsidRPr="00C56257" w:rsidRDefault="00FC026B" w:rsidP="00FC026B">
      <w:pPr>
        <w:ind w:firstLine="720"/>
        <w:jc w:val="both"/>
        <w:rPr>
          <w:lang w:val="pt-BR"/>
        </w:rPr>
      </w:pPr>
      <w:r w:rsidRPr="00C56257">
        <w:rPr>
          <w:lang w:val="pt-BR"/>
        </w:rPr>
        <w:t>Pentru fiecare dintre atributele care pot fi selectate pentru a monitoriza starea acestui tip de habitat, există multe tehnici disponibile pentru a măsura valoarea acesteia.</w:t>
      </w:r>
    </w:p>
    <w:p w14:paraId="46B138C9" w14:textId="77777777" w:rsidR="00FC026B" w:rsidRPr="00C56257" w:rsidRDefault="00FC026B" w:rsidP="00FC026B">
      <w:pPr>
        <w:jc w:val="both"/>
        <w:rPr>
          <w:b/>
          <w:i/>
        </w:rPr>
      </w:pPr>
    </w:p>
    <w:p w14:paraId="17DC5774" w14:textId="77777777" w:rsidR="00FC026B" w:rsidRPr="00C56257" w:rsidRDefault="00FC026B" w:rsidP="00FC026B">
      <w:pPr>
        <w:jc w:val="both"/>
        <w:rPr>
          <w:b/>
          <w:i/>
        </w:rPr>
      </w:pPr>
      <w:r w:rsidRPr="00C56257">
        <w:rPr>
          <w:b/>
          <w:i/>
        </w:rPr>
        <w:t>Aspecte referitoare la eșantionare</w:t>
      </w:r>
    </w:p>
    <w:p w14:paraId="7B13CE36" w14:textId="77777777" w:rsidR="00FC026B" w:rsidRPr="00C56257" w:rsidRDefault="00FC026B" w:rsidP="00FC026B">
      <w:pPr>
        <w:ind w:firstLine="720"/>
        <w:jc w:val="both"/>
        <w:rPr>
          <w:noProof/>
          <w:lang w:val="it-IT"/>
        </w:rPr>
      </w:pPr>
      <w:r w:rsidRPr="00C56257">
        <w:rPr>
          <w:noProof/>
          <w:lang w:val="it-IT"/>
        </w:rPr>
        <w:t xml:space="preserve">Un program de monitorizare trebuie să analizeze caracteristica ca întreg, chiar și atunci când include și alte habitate din Anexa I (pentru acestea trebuie să existe programe de monitorizare diferite). Deci, un program de monitorizare pentru un braț de mare sau un golf puțin adânc poate fi o combinație </w:t>
      </w:r>
      <w:r w:rsidRPr="00C56257">
        <w:rPr>
          <w:noProof/>
          <w:lang w:val="it-IT"/>
        </w:rPr>
        <w:lastRenderedPageBreak/>
        <w:t xml:space="preserve">de metode pentru (sub-)caracteristici din Anexa I și eșantionări specifice pentru atributele întregii caracteristici (ca în cazul extinderii acesteia). </w:t>
      </w:r>
    </w:p>
    <w:p w14:paraId="41DADBFD" w14:textId="77777777" w:rsidR="00FC026B" w:rsidRPr="00C56257" w:rsidRDefault="00FC026B" w:rsidP="00FC026B">
      <w:pPr>
        <w:ind w:firstLine="720"/>
        <w:jc w:val="both"/>
        <w:rPr>
          <w:noProof/>
          <w:lang w:val="it-IT"/>
        </w:rPr>
      </w:pPr>
      <w:r w:rsidRPr="00C56257">
        <w:rPr>
          <w:noProof/>
          <w:lang w:val="it-IT"/>
        </w:rPr>
        <w:t>Măsurarea extinderii (suprafeței) unui braț de mare sau golf necesită o definire corectă a delimitării atât în partea dinspre mare, cât și dinspre uscat. Pentru siturile mărginite de țărmuri stâncoase sau maluri construite de oameni (dane portuare, faleze betonate), măsurarea întinderii se poate realiza utilizând cele mai noi hărți ale zonei. Siturile cu granițe mobile, cum sunt sărăturile, necesită o cartare mult mai atentă, prin intermediul teledetecției, în special în cazul sistemelor dinamice, unde curenții marini cauzează eroziunea/acrețiunea acestor habitate.</w:t>
      </w:r>
    </w:p>
    <w:p w14:paraId="043641D2" w14:textId="77777777" w:rsidR="00FC026B" w:rsidRPr="00C56257" w:rsidRDefault="00FC026B" w:rsidP="00FC026B">
      <w:pPr>
        <w:ind w:firstLine="720"/>
        <w:jc w:val="both"/>
        <w:rPr>
          <w:noProof/>
          <w:lang w:val="it-IT"/>
        </w:rPr>
      </w:pPr>
      <w:r w:rsidRPr="00C56257">
        <w:rPr>
          <w:noProof/>
          <w:lang w:val="it-IT"/>
        </w:rPr>
        <w:t xml:space="preserve">Pozițiile canalelor și bancurilor de larg se pot modifica considerabil pe parcursul unui ciclu de monitorizare, cu toate că impactul unei astfel de modificări asupra întinderii unui braț de mare sau golf ca întreg poate fi neglijabil. </w:t>
      </w:r>
    </w:p>
    <w:p w14:paraId="3087BEA7" w14:textId="77777777" w:rsidR="00FC026B" w:rsidRPr="00C56257" w:rsidRDefault="00FC026B" w:rsidP="00FC026B">
      <w:pPr>
        <w:ind w:firstLine="720"/>
        <w:jc w:val="both"/>
        <w:rPr>
          <w:noProof/>
          <w:lang w:val="it-IT"/>
        </w:rPr>
      </w:pPr>
      <w:r w:rsidRPr="00C56257">
        <w:rPr>
          <w:noProof/>
          <w:lang w:val="it-IT"/>
        </w:rPr>
        <w:t xml:space="preserve">Monitorizarea atributelor fizice și biologice pentru evaluarea stării întregii caracteristici necesită o respectare întocmai a strategiei de eșantionare. Un program cuprinzător de eșantionare pe suprafața întregii caracteristici poate fi costisitor și poate dura prea mult timp. Este necesar să se realizeze un program de eșantionare divizat, la diferite niveluri spațiale, menit să cuprindă atributele fizice cheie și biota caracteristică. Cu alte cuvinte, programul de monitorizare trebuie structurat în așa fel încât o eșantionare detaliată într-un anumit număr de zone reduse ca suprafață să permită evaluarea întregii caracteristici. </w:t>
      </w:r>
    </w:p>
    <w:p w14:paraId="62A9CA55" w14:textId="77777777" w:rsidR="00FC026B" w:rsidRPr="00C56257" w:rsidRDefault="00FC026B" w:rsidP="00FC026B">
      <w:pPr>
        <w:jc w:val="both"/>
        <w:rPr>
          <w:bCs/>
          <w:lang w:val="fr-FR"/>
        </w:rPr>
      </w:pPr>
    </w:p>
    <w:p w14:paraId="26C40B87" w14:textId="77777777" w:rsidR="00FC026B" w:rsidRPr="00C56257" w:rsidRDefault="00FC026B" w:rsidP="00FC026B">
      <w:pPr>
        <w:jc w:val="center"/>
        <w:rPr>
          <w:lang w:val="it-IT"/>
        </w:rPr>
      </w:pPr>
      <w:r w:rsidRPr="00C56257">
        <w:rPr>
          <w:rFonts w:eastAsia="Calibri"/>
          <w:lang w:val="it-IT"/>
        </w:rPr>
        <w:t xml:space="preserve">Tabelul </w:t>
      </w:r>
      <w:r>
        <w:rPr>
          <w:rFonts w:eastAsia="Calibri"/>
          <w:lang w:val="it-IT"/>
        </w:rPr>
        <w:t>1.12</w:t>
      </w:r>
      <w:r w:rsidRPr="00C56257">
        <w:rPr>
          <w:rFonts w:eastAsia="Calibri"/>
          <w:lang w:val="it-IT"/>
        </w:rPr>
        <w:t xml:space="preserve">: </w:t>
      </w:r>
      <w:r w:rsidRPr="00C56257">
        <w:rPr>
          <w:lang w:val="it-IT"/>
        </w:rPr>
        <w:t>Tehnici pentru măsurarea atributelor</w:t>
      </w:r>
      <w:r w:rsidRPr="00C56257">
        <w:rPr>
          <w:i/>
          <w:lang w:val="it-IT"/>
        </w:rPr>
        <w:t xml:space="preserve"> </w:t>
      </w:r>
      <w:r w:rsidRPr="00C56257">
        <w:rPr>
          <w:lang w:val="it-IT"/>
        </w:rPr>
        <w:t>tipului de habitat 1160.</w:t>
      </w:r>
    </w:p>
    <w:tbl>
      <w:tblPr>
        <w:tblW w:w="94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8"/>
        <w:gridCol w:w="3782"/>
        <w:gridCol w:w="3896"/>
      </w:tblGrid>
      <w:tr w:rsidR="00FC026B" w:rsidRPr="00C56257" w14:paraId="52178E89" w14:textId="77777777" w:rsidTr="00993B86">
        <w:trPr>
          <w:jc w:val="center"/>
        </w:trPr>
        <w:tc>
          <w:tcPr>
            <w:tcW w:w="1798" w:type="dxa"/>
            <w:tcBorders>
              <w:top w:val="single" w:sz="4" w:space="0" w:color="auto"/>
              <w:left w:val="single" w:sz="4" w:space="0" w:color="auto"/>
              <w:bottom w:val="single" w:sz="4" w:space="0" w:color="auto"/>
              <w:right w:val="single" w:sz="4" w:space="0" w:color="auto"/>
            </w:tcBorders>
            <w:hideMark/>
          </w:tcPr>
          <w:p w14:paraId="49FAFC0E" w14:textId="77777777" w:rsidR="00FC026B" w:rsidRPr="00C56257" w:rsidRDefault="00FC026B" w:rsidP="00993B86">
            <w:pPr>
              <w:autoSpaceDE w:val="0"/>
              <w:autoSpaceDN w:val="0"/>
              <w:adjustRightInd w:val="0"/>
              <w:spacing w:after="240"/>
              <w:rPr>
                <w:b/>
                <w:i/>
              </w:rPr>
            </w:pPr>
            <w:r w:rsidRPr="00C56257">
              <w:rPr>
                <w:b/>
                <w:i/>
              </w:rPr>
              <w:t xml:space="preserve">Atribut generic </w:t>
            </w:r>
          </w:p>
        </w:tc>
        <w:tc>
          <w:tcPr>
            <w:tcW w:w="3782" w:type="dxa"/>
            <w:tcBorders>
              <w:top w:val="single" w:sz="4" w:space="0" w:color="auto"/>
              <w:left w:val="single" w:sz="4" w:space="0" w:color="auto"/>
              <w:bottom w:val="single" w:sz="4" w:space="0" w:color="auto"/>
              <w:right w:val="single" w:sz="4" w:space="0" w:color="auto"/>
            </w:tcBorders>
            <w:hideMark/>
          </w:tcPr>
          <w:p w14:paraId="3CA47FE6" w14:textId="77777777" w:rsidR="00FC026B" w:rsidRPr="00C56257" w:rsidRDefault="00FC026B" w:rsidP="00993B86">
            <w:pPr>
              <w:rPr>
                <w:b/>
                <w:i/>
                <w:lang w:val="en-US"/>
              </w:rPr>
            </w:pPr>
            <w:proofErr w:type="spellStart"/>
            <w:r w:rsidRPr="00C56257">
              <w:rPr>
                <w:b/>
                <w:i/>
                <w:lang w:val="en-US"/>
              </w:rPr>
              <w:t>Atribut</w:t>
            </w:r>
            <w:proofErr w:type="spellEnd"/>
            <w:r w:rsidRPr="00C56257">
              <w:rPr>
                <w:b/>
                <w:i/>
                <w:lang w:val="en-US"/>
              </w:rPr>
              <w:t xml:space="preserve"> specific</w:t>
            </w:r>
          </w:p>
        </w:tc>
        <w:tc>
          <w:tcPr>
            <w:tcW w:w="3896" w:type="dxa"/>
            <w:tcBorders>
              <w:top w:val="single" w:sz="4" w:space="0" w:color="auto"/>
              <w:left w:val="single" w:sz="4" w:space="0" w:color="auto"/>
              <w:bottom w:val="single" w:sz="4" w:space="0" w:color="auto"/>
              <w:right w:val="single" w:sz="4" w:space="0" w:color="auto"/>
            </w:tcBorders>
            <w:hideMark/>
          </w:tcPr>
          <w:p w14:paraId="0DCB7A17" w14:textId="77777777" w:rsidR="00FC026B" w:rsidRPr="00C56257" w:rsidRDefault="00FC026B" w:rsidP="00993B86">
            <w:pPr>
              <w:rPr>
                <w:b/>
                <w:i/>
                <w:lang w:val="en-US"/>
              </w:rPr>
            </w:pPr>
            <w:proofErr w:type="spellStart"/>
            <w:r w:rsidRPr="00C56257">
              <w:rPr>
                <w:b/>
                <w:i/>
                <w:lang w:val="en-US"/>
              </w:rPr>
              <w:t>Tehnică</w:t>
            </w:r>
            <w:proofErr w:type="spellEnd"/>
          </w:p>
        </w:tc>
      </w:tr>
      <w:tr w:rsidR="00FC026B" w:rsidRPr="00C56257" w14:paraId="4C32BF66" w14:textId="77777777" w:rsidTr="00993B86">
        <w:trPr>
          <w:trHeight w:val="447"/>
          <w:jc w:val="center"/>
        </w:trPr>
        <w:tc>
          <w:tcPr>
            <w:tcW w:w="1798" w:type="dxa"/>
            <w:tcBorders>
              <w:top w:val="single" w:sz="4" w:space="0" w:color="auto"/>
              <w:left w:val="single" w:sz="4" w:space="0" w:color="auto"/>
              <w:bottom w:val="single" w:sz="4" w:space="0" w:color="auto"/>
              <w:right w:val="single" w:sz="4" w:space="0" w:color="auto"/>
            </w:tcBorders>
            <w:hideMark/>
          </w:tcPr>
          <w:p w14:paraId="6CC3F0DD" w14:textId="77777777" w:rsidR="00FC026B" w:rsidRPr="00C56257" w:rsidRDefault="00FC026B" w:rsidP="00993B86">
            <w:pPr>
              <w:rPr>
                <w:lang w:val="en-US"/>
              </w:rPr>
            </w:pPr>
            <w:proofErr w:type="spellStart"/>
            <w:r w:rsidRPr="00C56257">
              <w:rPr>
                <w:lang w:val="en-US"/>
              </w:rPr>
              <w:t>Întindere</w:t>
            </w:r>
            <w:proofErr w:type="spellEnd"/>
          </w:p>
        </w:tc>
        <w:tc>
          <w:tcPr>
            <w:tcW w:w="3782" w:type="dxa"/>
            <w:tcBorders>
              <w:top w:val="single" w:sz="4" w:space="0" w:color="auto"/>
              <w:left w:val="single" w:sz="4" w:space="0" w:color="auto"/>
              <w:bottom w:val="single" w:sz="4" w:space="0" w:color="auto"/>
              <w:right w:val="single" w:sz="4" w:space="0" w:color="auto"/>
            </w:tcBorders>
            <w:hideMark/>
          </w:tcPr>
          <w:p w14:paraId="33FC38FC" w14:textId="77777777" w:rsidR="00FC026B" w:rsidRPr="00C56257" w:rsidRDefault="00FC026B" w:rsidP="00993B86">
            <w:pPr>
              <w:rPr>
                <w:b/>
                <w:i/>
                <w:lang w:val="en-US"/>
              </w:rPr>
            </w:pPr>
            <w:proofErr w:type="spellStart"/>
            <w:r w:rsidRPr="00C56257">
              <w:rPr>
                <w:lang w:val="en-US"/>
              </w:rPr>
              <w:t>Suprafață</w:t>
            </w:r>
            <w:proofErr w:type="spellEnd"/>
            <w:r w:rsidRPr="00C56257">
              <w:rPr>
                <w:lang w:val="en-US"/>
              </w:rPr>
              <w:t xml:space="preserve"> habitat</w:t>
            </w:r>
          </w:p>
        </w:tc>
        <w:tc>
          <w:tcPr>
            <w:tcW w:w="3896" w:type="dxa"/>
            <w:tcBorders>
              <w:top w:val="single" w:sz="4" w:space="0" w:color="auto"/>
              <w:left w:val="single" w:sz="4" w:space="0" w:color="auto"/>
              <w:bottom w:val="single" w:sz="4" w:space="0" w:color="auto"/>
              <w:right w:val="single" w:sz="4" w:space="0" w:color="auto"/>
            </w:tcBorders>
            <w:hideMark/>
          </w:tcPr>
          <w:p w14:paraId="6E22E832" w14:textId="77777777" w:rsidR="00FC026B" w:rsidRPr="00C56257" w:rsidRDefault="00FC026B" w:rsidP="00993B86">
            <w:pPr>
              <w:autoSpaceDE w:val="0"/>
              <w:autoSpaceDN w:val="0"/>
              <w:adjustRightInd w:val="0"/>
            </w:pPr>
            <w:r w:rsidRPr="00C56257">
              <w:rPr>
                <w:lang w:val="it-IT"/>
              </w:rPr>
              <w:t>Analiză fotografii aeriene</w:t>
            </w:r>
          </w:p>
        </w:tc>
      </w:tr>
      <w:tr w:rsidR="00FC026B" w:rsidRPr="00C56257" w14:paraId="2C82769B" w14:textId="77777777" w:rsidTr="00993B86">
        <w:trPr>
          <w:jc w:val="center"/>
        </w:trPr>
        <w:tc>
          <w:tcPr>
            <w:tcW w:w="1798" w:type="dxa"/>
            <w:vMerge w:val="restart"/>
            <w:tcBorders>
              <w:top w:val="single" w:sz="4" w:space="0" w:color="auto"/>
              <w:left w:val="single" w:sz="4" w:space="0" w:color="auto"/>
              <w:bottom w:val="single" w:sz="4" w:space="0" w:color="auto"/>
              <w:right w:val="single" w:sz="4" w:space="0" w:color="auto"/>
            </w:tcBorders>
            <w:hideMark/>
          </w:tcPr>
          <w:p w14:paraId="51E581FF" w14:textId="77777777" w:rsidR="00FC026B" w:rsidRPr="00C56257" w:rsidRDefault="00FC026B" w:rsidP="00993B86">
            <w:pPr>
              <w:autoSpaceDE w:val="0"/>
              <w:autoSpaceDN w:val="0"/>
              <w:adjustRightInd w:val="0"/>
            </w:pPr>
            <w:r w:rsidRPr="00C56257">
              <w:t>Caracteristici fizice</w:t>
            </w:r>
          </w:p>
        </w:tc>
        <w:tc>
          <w:tcPr>
            <w:tcW w:w="3782" w:type="dxa"/>
            <w:tcBorders>
              <w:top w:val="single" w:sz="4" w:space="0" w:color="auto"/>
              <w:left w:val="single" w:sz="4" w:space="0" w:color="auto"/>
              <w:bottom w:val="single" w:sz="4" w:space="0" w:color="auto"/>
              <w:right w:val="single" w:sz="4" w:space="0" w:color="auto"/>
            </w:tcBorders>
            <w:hideMark/>
          </w:tcPr>
          <w:p w14:paraId="6CB8FA96" w14:textId="77777777" w:rsidR="00FC026B" w:rsidRPr="00C56257" w:rsidRDefault="00FC026B" w:rsidP="00993B86">
            <w:pPr>
              <w:rPr>
                <w:lang w:val="en-US"/>
              </w:rPr>
            </w:pPr>
            <w:proofErr w:type="spellStart"/>
            <w:r w:rsidRPr="00C56257">
              <w:rPr>
                <w:lang w:val="en-US"/>
              </w:rPr>
              <w:t>Substrat</w:t>
            </w:r>
            <w:proofErr w:type="spellEnd"/>
            <w:r w:rsidRPr="00C56257">
              <w:rPr>
                <w:lang w:val="en-US"/>
              </w:rPr>
              <w:t>: tip sediment</w:t>
            </w:r>
          </w:p>
        </w:tc>
        <w:tc>
          <w:tcPr>
            <w:tcW w:w="3896" w:type="dxa"/>
            <w:tcBorders>
              <w:top w:val="single" w:sz="4" w:space="0" w:color="auto"/>
              <w:left w:val="single" w:sz="4" w:space="0" w:color="auto"/>
              <w:bottom w:val="single" w:sz="4" w:space="0" w:color="auto"/>
              <w:right w:val="single" w:sz="4" w:space="0" w:color="auto"/>
            </w:tcBorders>
            <w:hideMark/>
          </w:tcPr>
          <w:p w14:paraId="0F723C5D" w14:textId="77777777" w:rsidR="00FC026B" w:rsidRPr="00C56257" w:rsidRDefault="00FC026B" w:rsidP="00993B86">
            <w:pPr>
              <w:autoSpaceDE w:val="0"/>
              <w:autoSpaceDN w:val="0"/>
              <w:adjustRightInd w:val="0"/>
              <w:rPr>
                <w:lang w:val="it-IT"/>
              </w:rPr>
            </w:pPr>
            <w:r w:rsidRPr="00C56257">
              <w:rPr>
                <w:lang w:val="it-IT"/>
              </w:rPr>
              <w:t>Analiza dimensiunii particulelor; analize chimice ale sedimentelor</w:t>
            </w:r>
          </w:p>
        </w:tc>
      </w:tr>
      <w:tr w:rsidR="00FC026B" w:rsidRPr="00C56257" w14:paraId="4D078B8F" w14:textId="77777777" w:rsidTr="00993B8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0CE257" w14:textId="77777777" w:rsidR="00FC026B" w:rsidRPr="00F100E1" w:rsidRDefault="00FC026B" w:rsidP="00993B86"/>
        </w:tc>
        <w:tc>
          <w:tcPr>
            <w:tcW w:w="3782" w:type="dxa"/>
            <w:tcBorders>
              <w:top w:val="single" w:sz="4" w:space="0" w:color="auto"/>
              <w:left w:val="single" w:sz="4" w:space="0" w:color="auto"/>
              <w:bottom w:val="single" w:sz="4" w:space="0" w:color="auto"/>
              <w:right w:val="single" w:sz="4" w:space="0" w:color="auto"/>
            </w:tcBorders>
            <w:hideMark/>
          </w:tcPr>
          <w:p w14:paraId="1D53E8C4" w14:textId="77777777" w:rsidR="00FC026B" w:rsidRPr="00C56257" w:rsidRDefault="00FC026B" w:rsidP="00993B86">
            <w:pPr>
              <w:autoSpaceDE w:val="0"/>
              <w:autoSpaceDN w:val="0"/>
              <w:adjustRightInd w:val="0"/>
            </w:pPr>
            <w:r w:rsidRPr="00C56257">
              <w:t>Topografie</w:t>
            </w:r>
          </w:p>
        </w:tc>
        <w:tc>
          <w:tcPr>
            <w:tcW w:w="3896" w:type="dxa"/>
            <w:tcBorders>
              <w:top w:val="single" w:sz="4" w:space="0" w:color="auto"/>
              <w:left w:val="single" w:sz="4" w:space="0" w:color="auto"/>
              <w:bottom w:val="single" w:sz="4" w:space="0" w:color="auto"/>
              <w:right w:val="single" w:sz="4" w:space="0" w:color="auto"/>
            </w:tcBorders>
            <w:hideMark/>
          </w:tcPr>
          <w:p w14:paraId="371573C8" w14:textId="77777777" w:rsidR="00FC026B" w:rsidRPr="00C56257" w:rsidRDefault="00FC026B" w:rsidP="00993B86">
            <w:pPr>
              <w:autoSpaceDE w:val="0"/>
              <w:autoSpaceDN w:val="0"/>
              <w:adjustRightInd w:val="0"/>
            </w:pPr>
            <w:r w:rsidRPr="00C56257">
              <w:t>Realizarea profilului tarmului</w:t>
            </w:r>
          </w:p>
        </w:tc>
      </w:tr>
      <w:tr w:rsidR="00FC026B" w:rsidRPr="00C56257" w14:paraId="18CE3DC0" w14:textId="77777777" w:rsidTr="00993B8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581C6DD" w14:textId="77777777" w:rsidR="00FC026B" w:rsidRPr="00F100E1" w:rsidRDefault="00FC026B" w:rsidP="00993B86"/>
        </w:tc>
        <w:tc>
          <w:tcPr>
            <w:tcW w:w="3782" w:type="dxa"/>
            <w:tcBorders>
              <w:top w:val="single" w:sz="4" w:space="0" w:color="auto"/>
              <w:left w:val="single" w:sz="4" w:space="0" w:color="auto"/>
              <w:bottom w:val="single" w:sz="4" w:space="0" w:color="auto"/>
              <w:right w:val="single" w:sz="4" w:space="0" w:color="auto"/>
            </w:tcBorders>
            <w:hideMark/>
          </w:tcPr>
          <w:p w14:paraId="4EB6E4ED" w14:textId="77777777" w:rsidR="00FC026B" w:rsidRPr="00C56257" w:rsidRDefault="00FC026B" w:rsidP="00993B86">
            <w:pPr>
              <w:autoSpaceDE w:val="0"/>
              <w:autoSpaceDN w:val="0"/>
              <w:adjustRightInd w:val="0"/>
              <w:rPr>
                <w:lang w:val="it-IT"/>
              </w:rPr>
            </w:pPr>
            <w:r w:rsidRPr="00C56257">
              <w:rPr>
                <w:lang w:val="it-IT"/>
              </w:rPr>
              <w:t>Compoziția chimică a apei (inclusiv salinitate, temperatură, oxigen dizolvat)</w:t>
            </w:r>
          </w:p>
        </w:tc>
        <w:tc>
          <w:tcPr>
            <w:tcW w:w="3896" w:type="dxa"/>
            <w:tcBorders>
              <w:top w:val="single" w:sz="4" w:space="0" w:color="auto"/>
              <w:left w:val="single" w:sz="4" w:space="0" w:color="auto"/>
              <w:bottom w:val="single" w:sz="4" w:space="0" w:color="auto"/>
              <w:right w:val="single" w:sz="4" w:space="0" w:color="auto"/>
            </w:tcBorders>
            <w:hideMark/>
          </w:tcPr>
          <w:p w14:paraId="59792D5D" w14:textId="77777777" w:rsidR="00FC026B" w:rsidRPr="00C56257" w:rsidRDefault="00FC026B" w:rsidP="00993B86">
            <w:pPr>
              <w:autoSpaceDE w:val="0"/>
              <w:autoSpaceDN w:val="0"/>
              <w:adjustRightInd w:val="0"/>
              <w:rPr>
                <w:lang w:val="it-IT"/>
              </w:rPr>
            </w:pPr>
            <w:r w:rsidRPr="00C56257">
              <w:rPr>
                <w:lang w:val="it-IT"/>
              </w:rPr>
              <w:t xml:space="preserve">Măsurarea calității apei </w:t>
            </w:r>
          </w:p>
        </w:tc>
      </w:tr>
      <w:tr w:rsidR="00FC026B" w:rsidRPr="00C56257" w14:paraId="53FD7EE6" w14:textId="77777777" w:rsidTr="00993B86">
        <w:trPr>
          <w:trHeight w:val="33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23B6FB" w14:textId="77777777" w:rsidR="00FC026B" w:rsidRPr="00F100E1" w:rsidRDefault="00FC026B" w:rsidP="00993B86"/>
        </w:tc>
        <w:tc>
          <w:tcPr>
            <w:tcW w:w="3782" w:type="dxa"/>
            <w:tcBorders>
              <w:top w:val="single" w:sz="4" w:space="0" w:color="auto"/>
              <w:left w:val="single" w:sz="4" w:space="0" w:color="auto"/>
              <w:bottom w:val="single" w:sz="4" w:space="0" w:color="auto"/>
              <w:right w:val="single" w:sz="4" w:space="0" w:color="auto"/>
            </w:tcBorders>
            <w:hideMark/>
          </w:tcPr>
          <w:p w14:paraId="642F98EB" w14:textId="77777777" w:rsidR="00FC026B" w:rsidRPr="00C56257" w:rsidRDefault="00FC026B" w:rsidP="00993B86">
            <w:pPr>
              <w:autoSpaceDE w:val="0"/>
              <w:autoSpaceDN w:val="0"/>
              <w:adjustRightInd w:val="0"/>
            </w:pPr>
            <w:r w:rsidRPr="00C56257">
              <w:t>Stare nutrienți, TOC, chlorofila</w:t>
            </w:r>
          </w:p>
        </w:tc>
        <w:tc>
          <w:tcPr>
            <w:tcW w:w="3896" w:type="dxa"/>
            <w:tcBorders>
              <w:top w:val="single" w:sz="4" w:space="0" w:color="auto"/>
              <w:left w:val="single" w:sz="4" w:space="0" w:color="auto"/>
              <w:bottom w:val="single" w:sz="4" w:space="0" w:color="auto"/>
              <w:right w:val="single" w:sz="4" w:space="0" w:color="auto"/>
            </w:tcBorders>
            <w:hideMark/>
          </w:tcPr>
          <w:p w14:paraId="110A5221" w14:textId="77777777" w:rsidR="00FC026B" w:rsidRPr="00C56257" w:rsidRDefault="00FC026B" w:rsidP="00993B86">
            <w:pPr>
              <w:autoSpaceDE w:val="0"/>
              <w:autoSpaceDN w:val="0"/>
              <w:adjustRightInd w:val="0"/>
              <w:rPr>
                <w:lang w:val="it-IT"/>
              </w:rPr>
            </w:pPr>
            <w:r w:rsidRPr="00C56257">
              <w:rPr>
                <w:lang w:val="it-IT"/>
              </w:rPr>
              <w:t xml:space="preserve">Măsurarea calității apei </w:t>
            </w:r>
          </w:p>
        </w:tc>
      </w:tr>
      <w:tr w:rsidR="00FC026B" w:rsidRPr="00C56257" w14:paraId="790360E5" w14:textId="77777777" w:rsidTr="00993B86">
        <w:trPr>
          <w:jc w:val="center"/>
        </w:trPr>
        <w:tc>
          <w:tcPr>
            <w:tcW w:w="1798" w:type="dxa"/>
            <w:vMerge w:val="restart"/>
            <w:tcBorders>
              <w:top w:val="single" w:sz="4" w:space="0" w:color="auto"/>
              <w:left w:val="single" w:sz="4" w:space="0" w:color="auto"/>
              <w:bottom w:val="single" w:sz="4" w:space="0" w:color="auto"/>
              <w:right w:val="single" w:sz="4" w:space="0" w:color="auto"/>
            </w:tcBorders>
            <w:hideMark/>
          </w:tcPr>
          <w:p w14:paraId="3EFA1F43" w14:textId="77777777" w:rsidR="00FC026B" w:rsidRPr="00C56257" w:rsidRDefault="00FC026B" w:rsidP="00993B86">
            <w:r w:rsidRPr="00C56257">
              <w:t xml:space="preserve">Structura habitatului </w:t>
            </w:r>
          </w:p>
        </w:tc>
        <w:tc>
          <w:tcPr>
            <w:tcW w:w="3782" w:type="dxa"/>
            <w:tcBorders>
              <w:top w:val="single" w:sz="4" w:space="0" w:color="auto"/>
              <w:left w:val="single" w:sz="4" w:space="0" w:color="auto"/>
              <w:bottom w:val="single" w:sz="4" w:space="0" w:color="auto"/>
              <w:right w:val="single" w:sz="4" w:space="0" w:color="auto"/>
            </w:tcBorders>
            <w:hideMark/>
          </w:tcPr>
          <w:p w14:paraId="1C8E21C9" w14:textId="77777777" w:rsidR="00FC026B" w:rsidRPr="00C56257" w:rsidRDefault="00FC026B" w:rsidP="00993B86">
            <w:r w:rsidRPr="00C56257">
              <w:t xml:space="preserve">Structura habitatului </w:t>
            </w:r>
          </w:p>
          <w:p w14:paraId="13B2EAB3" w14:textId="77777777" w:rsidR="00FC026B" w:rsidRPr="00C56257" w:rsidRDefault="00FC026B" w:rsidP="00993B86">
            <w:r w:rsidRPr="00C56257">
              <w:t>(compoziţia pe specii: fitoplancton, zooplancton, ihtiofauna)</w:t>
            </w:r>
          </w:p>
        </w:tc>
        <w:tc>
          <w:tcPr>
            <w:tcW w:w="3896" w:type="dxa"/>
            <w:tcBorders>
              <w:top w:val="single" w:sz="4" w:space="0" w:color="auto"/>
              <w:left w:val="single" w:sz="4" w:space="0" w:color="auto"/>
              <w:bottom w:val="single" w:sz="4" w:space="0" w:color="auto"/>
              <w:right w:val="single" w:sz="4" w:space="0" w:color="auto"/>
            </w:tcBorders>
            <w:hideMark/>
          </w:tcPr>
          <w:p w14:paraId="51E27DDD" w14:textId="77777777" w:rsidR="00FC026B" w:rsidRPr="00C56257" w:rsidRDefault="00FC026B" w:rsidP="00993B86">
            <w:pPr>
              <w:autoSpaceDE w:val="0"/>
              <w:autoSpaceDN w:val="0"/>
              <w:adjustRightInd w:val="0"/>
              <w:rPr>
                <w:lang w:val="it-IT"/>
              </w:rPr>
            </w:pPr>
            <w:r w:rsidRPr="00C56257">
              <w:rPr>
                <w:lang w:val="it-IT"/>
              </w:rPr>
              <w:t xml:space="preserve">Identificare subtipuri; </w:t>
            </w:r>
            <w:r w:rsidRPr="00C56257">
              <w:t xml:space="preserve">eșantionare </w:t>
            </w:r>
          </w:p>
        </w:tc>
      </w:tr>
      <w:tr w:rsidR="00FC026B" w:rsidRPr="00C56257" w14:paraId="568E5D9B" w14:textId="77777777" w:rsidTr="00993B8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A93AB0" w14:textId="77777777" w:rsidR="00FC026B" w:rsidRPr="00F100E1" w:rsidRDefault="00FC026B" w:rsidP="00993B86"/>
        </w:tc>
        <w:tc>
          <w:tcPr>
            <w:tcW w:w="3782" w:type="dxa"/>
            <w:tcBorders>
              <w:top w:val="single" w:sz="4" w:space="0" w:color="auto"/>
              <w:left w:val="single" w:sz="4" w:space="0" w:color="auto"/>
              <w:bottom w:val="single" w:sz="4" w:space="0" w:color="auto"/>
              <w:right w:val="single" w:sz="4" w:space="0" w:color="auto"/>
            </w:tcBorders>
            <w:hideMark/>
          </w:tcPr>
          <w:p w14:paraId="243D3167" w14:textId="77777777" w:rsidR="00FC026B" w:rsidRPr="00C56257" w:rsidRDefault="00FC026B" w:rsidP="00993B86">
            <w:r w:rsidRPr="00C56257">
              <w:t>Specii caracteristice</w:t>
            </w:r>
          </w:p>
        </w:tc>
        <w:tc>
          <w:tcPr>
            <w:tcW w:w="3896" w:type="dxa"/>
            <w:tcBorders>
              <w:top w:val="single" w:sz="4" w:space="0" w:color="auto"/>
              <w:left w:val="single" w:sz="4" w:space="0" w:color="auto"/>
              <w:bottom w:val="single" w:sz="4" w:space="0" w:color="auto"/>
              <w:right w:val="single" w:sz="4" w:space="0" w:color="auto"/>
            </w:tcBorders>
            <w:hideMark/>
          </w:tcPr>
          <w:p w14:paraId="5A9D107C" w14:textId="77777777" w:rsidR="00FC026B" w:rsidRPr="00C56257" w:rsidRDefault="00FC026B" w:rsidP="00993B86">
            <w:pPr>
              <w:autoSpaceDE w:val="0"/>
              <w:autoSpaceDN w:val="0"/>
              <w:adjustRightInd w:val="0"/>
              <w:rPr>
                <w:lang w:val="it-IT"/>
              </w:rPr>
            </w:pPr>
            <w:r w:rsidRPr="00C56257">
              <w:rPr>
                <w:lang w:val="it-IT"/>
              </w:rPr>
              <w:t>Eșantionare Van Veen</w:t>
            </w:r>
          </w:p>
        </w:tc>
      </w:tr>
      <w:tr w:rsidR="00FC026B" w:rsidRPr="00C56257" w14:paraId="393BE850" w14:textId="77777777" w:rsidTr="00993B8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EA9E71D" w14:textId="77777777" w:rsidR="00FC026B" w:rsidRPr="00F100E1" w:rsidRDefault="00FC026B" w:rsidP="00993B86"/>
        </w:tc>
        <w:tc>
          <w:tcPr>
            <w:tcW w:w="3782" w:type="dxa"/>
            <w:tcBorders>
              <w:top w:val="single" w:sz="4" w:space="0" w:color="auto"/>
              <w:left w:val="single" w:sz="4" w:space="0" w:color="auto"/>
              <w:bottom w:val="single" w:sz="4" w:space="0" w:color="auto"/>
              <w:right w:val="single" w:sz="4" w:space="0" w:color="auto"/>
            </w:tcBorders>
            <w:hideMark/>
          </w:tcPr>
          <w:p w14:paraId="47141B47" w14:textId="77777777" w:rsidR="00FC026B" w:rsidRPr="00C56257" w:rsidRDefault="00FC026B" w:rsidP="00993B86">
            <w:r w:rsidRPr="00C56257">
              <w:rPr>
                <w:lang w:val="it-IT"/>
              </w:rPr>
              <w:t>Alte specii rare / amenințate</w:t>
            </w:r>
          </w:p>
        </w:tc>
        <w:tc>
          <w:tcPr>
            <w:tcW w:w="3896" w:type="dxa"/>
            <w:tcBorders>
              <w:top w:val="single" w:sz="4" w:space="0" w:color="auto"/>
              <w:left w:val="single" w:sz="4" w:space="0" w:color="auto"/>
              <w:bottom w:val="single" w:sz="4" w:space="0" w:color="auto"/>
              <w:right w:val="single" w:sz="4" w:space="0" w:color="auto"/>
            </w:tcBorders>
            <w:hideMark/>
          </w:tcPr>
          <w:p w14:paraId="6967412A" w14:textId="77777777" w:rsidR="00FC026B" w:rsidRPr="00C56257" w:rsidRDefault="00FC026B" w:rsidP="00993B86">
            <w:pPr>
              <w:autoSpaceDE w:val="0"/>
              <w:autoSpaceDN w:val="0"/>
              <w:adjustRightInd w:val="0"/>
            </w:pPr>
            <w:r w:rsidRPr="00C56257">
              <w:t xml:space="preserve">Eșantionare </w:t>
            </w:r>
            <w:r w:rsidRPr="00C56257">
              <w:rPr>
                <w:lang w:val="it-IT"/>
              </w:rPr>
              <w:t>Van Veen</w:t>
            </w:r>
          </w:p>
        </w:tc>
      </w:tr>
      <w:tr w:rsidR="00FC026B" w:rsidRPr="00C56257" w14:paraId="4142E24C" w14:textId="77777777" w:rsidTr="00993B86">
        <w:trPr>
          <w:jc w:val="center"/>
        </w:trPr>
        <w:tc>
          <w:tcPr>
            <w:tcW w:w="1798" w:type="dxa"/>
            <w:tcBorders>
              <w:top w:val="single" w:sz="4" w:space="0" w:color="auto"/>
              <w:left w:val="single" w:sz="4" w:space="0" w:color="auto"/>
              <w:bottom w:val="single" w:sz="4" w:space="0" w:color="auto"/>
              <w:right w:val="single" w:sz="4" w:space="0" w:color="auto"/>
            </w:tcBorders>
            <w:hideMark/>
          </w:tcPr>
          <w:p w14:paraId="4A4C08CC" w14:textId="77777777" w:rsidR="00FC026B" w:rsidRPr="00C56257" w:rsidRDefault="00FC026B" w:rsidP="00993B86">
            <w:pPr>
              <w:autoSpaceDE w:val="0"/>
              <w:autoSpaceDN w:val="0"/>
              <w:adjustRightInd w:val="0"/>
            </w:pPr>
            <w:r w:rsidRPr="00C56257">
              <w:t>Distribuția spațială</w:t>
            </w:r>
          </w:p>
        </w:tc>
        <w:tc>
          <w:tcPr>
            <w:tcW w:w="3782" w:type="dxa"/>
            <w:tcBorders>
              <w:top w:val="single" w:sz="4" w:space="0" w:color="auto"/>
              <w:left w:val="single" w:sz="4" w:space="0" w:color="auto"/>
              <w:bottom w:val="single" w:sz="4" w:space="0" w:color="auto"/>
              <w:right w:val="single" w:sz="4" w:space="0" w:color="auto"/>
            </w:tcBorders>
            <w:hideMark/>
          </w:tcPr>
          <w:p w14:paraId="61FA5BBD" w14:textId="77777777" w:rsidR="00FC026B" w:rsidRPr="00C56257" w:rsidRDefault="00FC026B" w:rsidP="00993B86">
            <w:r w:rsidRPr="00C56257">
              <w:rPr>
                <w:lang w:val="it-IT"/>
              </w:rPr>
              <w:t>Model spațial al distribuției subtipurilor</w:t>
            </w:r>
          </w:p>
        </w:tc>
        <w:tc>
          <w:tcPr>
            <w:tcW w:w="3896" w:type="dxa"/>
            <w:tcBorders>
              <w:top w:val="single" w:sz="4" w:space="0" w:color="auto"/>
              <w:left w:val="single" w:sz="4" w:space="0" w:color="auto"/>
              <w:bottom w:val="single" w:sz="4" w:space="0" w:color="auto"/>
              <w:right w:val="single" w:sz="4" w:space="0" w:color="auto"/>
            </w:tcBorders>
            <w:hideMark/>
          </w:tcPr>
          <w:p w14:paraId="5C9E557F" w14:textId="77777777" w:rsidR="00FC026B" w:rsidRPr="00C56257" w:rsidRDefault="00FC026B" w:rsidP="00993B86">
            <w:pPr>
              <w:autoSpaceDE w:val="0"/>
              <w:autoSpaceDN w:val="0"/>
              <w:adjustRightInd w:val="0"/>
            </w:pPr>
            <w:r w:rsidRPr="00C56257">
              <w:t>Cartare cu ajutorul datelor colectate prin analiză fotografii aeriene și eșantionare</w:t>
            </w:r>
          </w:p>
        </w:tc>
      </w:tr>
    </w:tbl>
    <w:p w14:paraId="3DF04C6F" w14:textId="77777777" w:rsidR="00FC026B" w:rsidRPr="00F100E1" w:rsidRDefault="00FC026B" w:rsidP="00FC026B">
      <w:pPr>
        <w:rPr>
          <w:b/>
          <w:noProof/>
          <w:u w:val="single"/>
          <w:lang w:val="it-IT"/>
        </w:rPr>
      </w:pPr>
    </w:p>
    <w:p w14:paraId="46B11B76" w14:textId="77777777" w:rsidR="00FC026B" w:rsidRPr="00C56257" w:rsidRDefault="00FC026B" w:rsidP="00FC026B">
      <w:pPr>
        <w:ind w:firstLine="284"/>
        <w:jc w:val="both"/>
        <w:rPr>
          <w:noProof/>
          <w:lang w:val="it-IT"/>
        </w:rPr>
      </w:pPr>
      <w:r w:rsidRPr="00C56257">
        <w:rPr>
          <w:noProof/>
          <w:lang w:val="it-IT"/>
        </w:rPr>
        <w:t xml:space="preserve">Monitorizarea atributelor fizice și biologice pentru evaluarea stării întregii caracteristici necesită o respectare întocmai a strategiei de eșantionare. Un program cuprinzător de eșantionare pe suprafața întregii caracteristici poate fi costisitor și poate dura prea mult timp. Este necesar să se realizeze un program de eșantionare divizat, la diferite niveluri spațiale, menit să cuprindă atributele fizice cheie și biota caracteristică. Cu alte cuvinte, programul de monitorizare trebuie structurat în așa fel încât o eșantionare detaliată într-un anumit număr de zone reduse ca suprafață să permită evaluarea întregii caracteristici. </w:t>
      </w:r>
    </w:p>
    <w:p w14:paraId="13774F3E" w14:textId="77777777" w:rsidR="00FC026B" w:rsidRPr="00F100E1" w:rsidRDefault="00FC026B" w:rsidP="00FC026B">
      <w:pPr>
        <w:autoSpaceDE w:val="0"/>
        <w:autoSpaceDN w:val="0"/>
        <w:adjustRightInd w:val="0"/>
        <w:ind w:left="284" w:firstLine="284"/>
        <w:jc w:val="both"/>
        <w:rPr>
          <w:rFonts w:eastAsia="Calibri"/>
          <w:b/>
          <w:bCs/>
          <w:lang w:val="en-US"/>
        </w:rPr>
      </w:pPr>
      <w:r w:rsidRPr="00F100E1">
        <w:rPr>
          <w:rFonts w:eastAsia="Calibri"/>
          <w:b/>
          <w:bCs/>
        </w:rPr>
        <w:lastRenderedPageBreak/>
        <w:t>Presiuni asupra habitatului 1160 identificate sunt</w:t>
      </w:r>
      <w:r w:rsidRPr="00F100E1">
        <w:rPr>
          <w:rFonts w:eastAsia="Calibri"/>
          <w:b/>
          <w:bCs/>
          <w:lang w:val="en-US"/>
        </w:rPr>
        <w:t>:</w:t>
      </w:r>
    </w:p>
    <w:tbl>
      <w:tblPr>
        <w:tblW w:w="9402" w:type="dxa"/>
        <w:jc w:val="center"/>
        <w:tblLook w:val="04A0" w:firstRow="1" w:lastRow="0" w:firstColumn="1" w:lastColumn="0" w:noHBand="0" w:noVBand="1"/>
      </w:tblPr>
      <w:tblGrid>
        <w:gridCol w:w="9402"/>
      </w:tblGrid>
      <w:tr w:rsidR="00FC026B" w:rsidRPr="00C56257" w14:paraId="063F4D59" w14:textId="77777777" w:rsidTr="00993B86">
        <w:trPr>
          <w:jc w:val="center"/>
        </w:trPr>
        <w:tc>
          <w:tcPr>
            <w:tcW w:w="9402" w:type="dxa"/>
            <w:hideMark/>
          </w:tcPr>
          <w:p w14:paraId="6327BB0A" w14:textId="77777777" w:rsidR="00FC026B" w:rsidRPr="00C56257" w:rsidRDefault="00FC026B" w:rsidP="009E63E5">
            <w:pPr>
              <w:numPr>
                <w:ilvl w:val="0"/>
                <w:numId w:val="174"/>
              </w:numPr>
              <w:autoSpaceDE w:val="0"/>
              <w:autoSpaceDN w:val="0"/>
              <w:adjustRightInd w:val="0"/>
              <w:jc w:val="both"/>
              <w:rPr>
                <w:rFonts w:eastAsia="Calibri"/>
                <w:lang w:val="en-US"/>
              </w:rPr>
            </w:pPr>
            <w:proofErr w:type="spellStart"/>
            <w:r w:rsidRPr="00C56257">
              <w:rPr>
                <w:rFonts w:eastAsia="Calibri"/>
                <w:lang w:val="en-US"/>
              </w:rPr>
              <w:t>Activități</w:t>
            </w:r>
            <w:proofErr w:type="spellEnd"/>
            <w:r w:rsidRPr="00C56257">
              <w:rPr>
                <w:rFonts w:eastAsia="Calibri"/>
                <w:lang w:val="en-US"/>
              </w:rPr>
              <w:t xml:space="preserve"> </w:t>
            </w:r>
            <w:proofErr w:type="spellStart"/>
            <w:r w:rsidRPr="00C56257">
              <w:rPr>
                <w:rFonts w:eastAsia="Calibri"/>
                <w:lang w:val="en-US"/>
              </w:rPr>
              <w:t>agricole</w:t>
            </w:r>
            <w:proofErr w:type="spellEnd"/>
            <w:r w:rsidRPr="00C56257">
              <w:rPr>
                <w:rFonts w:eastAsia="Calibri"/>
                <w:lang w:val="en-US"/>
              </w:rPr>
              <w:t xml:space="preserve"> care </w:t>
            </w:r>
            <w:proofErr w:type="spellStart"/>
            <w:r w:rsidRPr="00C56257">
              <w:rPr>
                <w:rFonts w:eastAsia="Calibri"/>
                <w:lang w:val="en-US"/>
              </w:rPr>
              <w:t>generează</w:t>
            </w:r>
            <w:proofErr w:type="spellEnd"/>
            <w:r w:rsidRPr="00C56257">
              <w:rPr>
                <w:rFonts w:eastAsia="Calibri"/>
                <w:lang w:val="en-US"/>
              </w:rPr>
              <w:t xml:space="preserve"> </w:t>
            </w:r>
            <w:proofErr w:type="spellStart"/>
            <w:r w:rsidRPr="00C56257">
              <w:rPr>
                <w:rFonts w:eastAsia="Calibri"/>
                <w:lang w:val="en-US"/>
              </w:rPr>
              <w:t>poluare</w:t>
            </w:r>
            <w:proofErr w:type="spellEnd"/>
            <w:r w:rsidRPr="00C56257">
              <w:rPr>
                <w:rFonts w:eastAsia="Calibri"/>
                <w:lang w:val="en-US"/>
              </w:rPr>
              <w:t xml:space="preserve"> marina.</w:t>
            </w:r>
          </w:p>
        </w:tc>
      </w:tr>
      <w:tr w:rsidR="00FC026B" w:rsidRPr="00C56257" w14:paraId="652DABC5" w14:textId="77777777" w:rsidTr="00993B86">
        <w:trPr>
          <w:jc w:val="center"/>
        </w:trPr>
        <w:tc>
          <w:tcPr>
            <w:tcW w:w="9402" w:type="dxa"/>
            <w:hideMark/>
          </w:tcPr>
          <w:p w14:paraId="4586F339" w14:textId="77777777" w:rsidR="00FC026B" w:rsidRPr="00C56257" w:rsidRDefault="00FC026B" w:rsidP="009E63E5">
            <w:pPr>
              <w:numPr>
                <w:ilvl w:val="0"/>
                <w:numId w:val="174"/>
              </w:numPr>
              <w:autoSpaceDE w:val="0"/>
              <w:autoSpaceDN w:val="0"/>
              <w:adjustRightInd w:val="0"/>
              <w:jc w:val="both"/>
              <w:rPr>
                <w:rFonts w:eastAsia="Calibri"/>
                <w:lang w:val="en-US"/>
              </w:rPr>
            </w:pPr>
            <w:proofErr w:type="spellStart"/>
            <w:r w:rsidRPr="00C56257">
              <w:rPr>
                <w:rFonts w:eastAsia="Calibri"/>
                <w:lang w:val="en-US"/>
              </w:rPr>
              <w:t>Activități</w:t>
            </w:r>
            <w:proofErr w:type="spellEnd"/>
            <w:r w:rsidRPr="00C56257">
              <w:rPr>
                <w:rFonts w:eastAsia="Calibri"/>
                <w:lang w:val="en-US"/>
              </w:rPr>
              <w:t xml:space="preserve"> </w:t>
            </w:r>
            <w:proofErr w:type="spellStart"/>
            <w:r w:rsidRPr="00C56257">
              <w:rPr>
                <w:rFonts w:eastAsia="Calibri"/>
                <w:lang w:val="en-US"/>
              </w:rPr>
              <w:t>în</w:t>
            </w:r>
            <w:proofErr w:type="spellEnd"/>
            <w:r w:rsidRPr="00C56257">
              <w:rPr>
                <w:rFonts w:eastAsia="Calibri"/>
                <w:lang w:val="en-US"/>
              </w:rPr>
              <w:t xml:space="preserve"> </w:t>
            </w:r>
            <w:proofErr w:type="spellStart"/>
            <w:r w:rsidRPr="00C56257">
              <w:rPr>
                <w:rFonts w:eastAsia="Calibri"/>
                <w:lang w:val="en-US"/>
              </w:rPr>
              <w:t>domeniul</w:t>
            </w:r>
            <w:proofErr w:type="spellEnd"/>
            <w:r w:rsidRPr="00C56257">
              <w:rPr>
                <w:rFonts w:eastAsia="Calibri"/>
                <w:lang w:val="en-US"/>
              </w:rPr>
              <w:t xml:space="preserve"> </w:t>
            </w:r>
            <w:proofErr w:type="spellStart"/>
            <w:r w:rsidRPr="00C56257">
              <w:rPr>
                <w:rFonts w:eastAsia="Calibri"/>
                <w:lang w:val="en-US"/>
              </w:rPr>
              <w:t>transportului</w:t>
            </w:r>
            <w:proofErr w:type="spellEnd"/>
            <w:r w:rsidRPr="00C56257">
              <w:rPr>
                <w:rFonts w:eastAsia="Calibri"/>
                <w:lang w:val="en-US"/>
              </w:rPr>
              <w:t xml:space="preserve"> </w:t>
            </w:r>
            <w:proofErr w:type="spellStart"/>
            <w:r w:rsidRPr="00C56257">
              <w:rPr>
                <w:rFonts w:eastAsia="Calibri"/>
                <w:lang w:val="en-US"/>
              </w:rPr>
              <w:t>terestru</w:t>
            </w:r>
            <w:proofErr w:type="spellEnd"/>
            <w:r w:rsidRPr="00C56257">
              <w:rPr>
                <w:rFonts w:eastAsia="Calibri"/>
                <w:lang w:val="en-US"/>
              </w:rPr>
              <w:t xml:space="preserve">, </w:t>
            </w:r>
            <w:proofErr w:type="spellStart"/>
            <w:r w:rsidRPr="00C56257">
              <w:rPr>
                <w:rFonts w:eastAsia="Calibri"/>
                <w:lang w:val="en-US"/>
              </w:rPr>
              <w:t>acvatic</w:t>
            </w:r>
            <w:proofErr w:type="spellEnd"/>
            <w:r w:rsidRPr="00C56257">
              <w:rPr>
                <w:rFonts w:eastAsia="Calibri"/>
                <w:lang w:val="en-US"/>
              </w:rPr>
              <w:t xml:space="preserve"> </w:t>
            </w:r>
            <w:proofErr w:type="spellStart"/>
            <w:r w:rsidRPr="00C56257">
              <w:rPr>
                <w:rFonts w:eastAsia="Calibri"/>
                <w:lang w:val="en-US"/>
              </w:rPr>
              <w:t>sau</w:t>
            </w:r>
            <w:proofErr w:type="spellEnd"/>
            <w:r w:rsidRPr="00C56257">
              <w:rPr>
                <w:rFonts w:eastAsia="Calibri"/>
                <w:lang w:val="en-US"/>
              </w:rPr>
              <w:t xml:space="preserve"> </w:t>
            </w:r>
            <w:proofErr w:type="spellStart"/>
            <w:r w:rsidRPr="00C56257">
              <w:rPr>
                <w:rFonts w:eastAsia="Calibri"/>
                <w:lang w:val="en-US"/>
              </w:rPr>
              <w:t>aerian</w:t>
            </w:r>
            <w:proofErr w:type="spellEnd"/>
            <w:r w:rsidRPr="00C56257">
              <w:rPr>
                <w:rFonts w:eastAsia="Calibri"/>
                <w:lang w:val="en-US"/>
              </w:rPr>
              <w:t xml:space="preserve"> care </w:t>
            </w:r>
            <w:proofErr w:type="spellStart"/>
            <w:r w:rsidRPr="00C56257">
              <w:rPr>
                <w:rFonts w:eastAsia="Calibri"/>
                <w:lang w:val="en-US"/>
              </w:rPr>
              <w:t>generează</w:t>
            </w:r>
            <w:proofErr w:type="spellEnd"/>
            <w:r w:rsidRPr="00C56257">
              <w:rPr>
                <w:rFonts w:eastAsia="Calibri"/>
                <w:lang w:val="en-US"/>
              </w:rPr>
              <w:t xml:space="preserve"> </w:t>
            </w:r>
            <w:proofErr w:type="spellStart"/>
            <w:r w:rsidRPr="00C56257">
              <w:rPr>
                <w:rFonts w:eastAsia="Calibri"/>
                <w:lang w:val="en-US"/>
              </w:rPr>
              <w:t>poluare</w:t>
            </w:r>
            <w:proofErr w:type="spellEnd"/>
            <w:r w:rsidRPr="00C56257">
              <w:rPr>
                <w:rFonts w:eastAsia="Calibri"/>
                <w:lang w:val="en-US"/>
              </w:rPr>
              <w:t xml:space="preserve"> </w:t>
            </w:r>
            <w:proofErr w:type="spellStart"/>
            <w:r w:rsidRPr="00C56257">
              <w:rPr>
                <w:rFonts w:eastAsia="Calibri"/>
                <w:lang w:val="en-US"/>
              </w:rPr>
              <w:t>marină</w:t>
            </w:r>
            <w:proofErr w:type="spellEnd"/>
            <w:r w:rsidRPr="00C56257">
              <w:rPr>
                <w:rFonts w:eastAsia="Calibri"/>
                <w:lang w:val="en-US"/>
              </w:rPr>
              <w:t>.</w:t>
            </w:r>
          </w:p>
        </w:tc>
      </w:tr>
      <w:tr w:rsidR="00FC026B" w:rsidRPr="00C56257" w14:paraId="029DD779" w14:textId="77777777" w:rsidTr="00993B86">
        <w:trPr>
          <w:jc w:val="center"/>
        </w:trPr>
        <w:tc>
          <w:tcPr>
            <w:tcW w:w="9402" w:type="dxa"/>
            <w:hideMark/>
          </w:tcPr>
          <w:p w14:paraId="24238B25" w14:textId="77777777" w:rsidR="00FC026B" w:rsidRPr="00C56257" w:rsidRDefault="00FC026B" w:rsidP="009E63E5">
            <w:pPr>
              <w:numPr>
                <w:ilvl w:val="0"/>
                <w:numId w:val="174"/>
              </w:numPr>
              <w:autoSpaceDE w:val="0"/>
              <w:autoSpaceDN w:val="0"/>
              <w:adjustRightInd w:val="0"/>
              <w:jc w:val="both"/>
              <w:rPr>
                <w:rFonts w:eastAsia="Calibri"/>
                <w:lang w:val="en-US"/>
              </w:rPr>
            </w:pPr>
            <w:proofErr w:type="spellStart"/>
            <w:r w:rsidRPr="00C56257">
              <w:rPr>
                <w:rFonts w:eastAsia="Calibri"/>
                <w:lang w:val="en-US"/>
              </w:rPr>
              <w:t>Modificarea</w:t>
            </w:r>
            <w:proofErr w:type="spellEnd"/>
            <w:r w:rsidRPr="00C56257">
              <w:rPr>
                <w:rFonts w:eastAsia="Calibri"/>
                <w:lang w:val="en-US"/>
              </w:rPr>
              <w:t xml:space="preserve"> </w:t>
            </w:r>
            <w:proofErr w:type="spellStart"/>
            <w:r w:rsidRPr="00C56257">
              <w:rPr>
                <w:rFonts w:eastAsia="Calibri"/>
                <w:lang w:val="en-US"/>
              </w:rPr>
              <w:t>litoralului</w:t>
            </w:r>
            <w:proofErr w:type="spellEnd"/>
            <w:r w:rsidRPr="00C56257">
              <w:rPr>
                <w:rFonts w:eastAsia="Calibri"/>
                <w:lang w:val="en-US"/>
              </w:rPr>
              <w:t xml:space="preserve"> </w:t>
            </w:r>
            <w:proofErr w:type="spellStart"/>
            <w:r w:rsidRPr="00C56257">
              <w:rPr>
                <w:rFonts w:eastAsia="Calibri"/>
                <w:lang w:val="en-US"/>
              </w:rPr>
              <w:t>sau</w:t>
            </w:r>
            <w:proofErr w:type="spellEnd"/>
            <w:r w:rsidRPr="00C56257">
              <w:rPr>
                <w:rFonts w:eastAsia="Calibri"/>
                <w:lang w:val="en-US"/>
              </w:rPr>
              <w:t xml:space="preserve"> a </w:t>
            </w:r>
            <w:proofErr w:type="spellStart"/>
            <w:r w:rsidRPr="00C56257">
              <w:rPr>
                <w:rFonts w:eastAsia="Calibri"/>
                <w:lang w:val="en-US"/>
              </w:rPr>
              <w:t>condițiilor</w:t>
            </w:r>
            <w:proofErr w:type="spellEnd"/>
            <w:r w:rsidRPr="00C56257">
              <w:rPr>
                <w:rFonts w:eastAsia="Calibri"/>
                <w:lang w:val="en-US"/>
              </w:rPr>
              <w:t xml:space="preserve"> de </w:t>
            </w:r>
            <w:proofErr w:type="spellStart"/>
            <w:r w:rsidRPr="00C56257">
              <w:rPr>
                <w:rFonts w:eastAsia="Calibri"/>
                <w:lang w:val="en-US"/>
              </w:rPr>
              <w:t>coastă</w:t>
            </w:r>
            <w:proofErr w:type="spellEnd"/>
            <w:r w:rsidRPr="00C56257">
              <w:rPr>
                <w:rFonts w:eastAsia="Calibri"/>
                <w:lang w:val="en-US"/>
              </w:rPr>
              <w:t xml:space="preserve"> </w:t>
            </w:r>
            <w:proofErr w:type="spellStart"/>
            <w:r w:rsidRPr="00C56257">
              <w:rPr>
                <w:rFonts w:eastAsia="Calibri"/>
                <w:lang w:val="en-US"/>
              </w:rPr>
              <w:t>pentru</w:t>
            </w:r>
            <w:proofErr w:type="spellEnd"/>
            <w:r w:rsidRPr="00C56257">
              <w:rPr>
                <w:rFonts w:eastAsia="Calibri"/>
                <w:lang w:val="en-US"/>
              </w:rPr>
              <w:t xml:space="preserve"> </w:t>
            </w:r>
            <w:proofErr w:type="spellStart"/>
            <w:r w:rsidRPr="00C56257">
              <w:rPr>
                <w:rFonts w:eastAsia="Calibri"/>
                <w:lang w:val="en-US"/>
              </w:rPr>
              <w:t>dezvoltarea</w:t>
            </w:r>
            <w:proofErr w:type="spellEnd"/>
            <w:r w:rsidRPr="00C56257">
              <w:rPr>
                <w:rFonts w:eastAsia="Calibri"/>
                <w:lang w:val="en-US"/>
              </w:rPr>
              <w:t xml:space="preserve"> </w:t>
            </w:r>
            <w:proofErr w:type="spellStart"/>
            <w:r w:rsidRPr="00C56257">
              <w:rPr>
                <w:rFonts w:eastAsia="Calibri"/>
                <w:lang w:val="en-US"/>
              </w:rPr>
              <w:t>infrastructurii</w:t>
            </w:r>
            <w:proofErr w:type="spellEnd"/>
            <w:r w:rsidRPr="00C56257">
              <w:rPr>
                <w:rFonts w:eastAsia="Calibri"/>
                <w:lang w:val="en-US"/>
              </w:rPr>
              <w:t xml:space="preserve"> </w:t>
            </w:r>
            <w:proofErr w:type="spellStart"/>
            <w:r w:rsidRPr="00C56257">
              <w:rPr>
                <w:rFonts w:eastAsia="Calibri"/>
                <w:lang w:val="en-US"/>
              </w:rPr>
              <w:t>și</w:t>
            </w:r>
            <w:proofErr w:type="spellEnd"/>
            <w:r w:rsidRPr="00C56257">
              <w:rPr>
                <w:rFonts w:eastAsia="Calibri"/>
                <w:lang w:val="en-US"/>
              </w:rPr>
              <w:t xml:space="preserve"> </w:t>
            </w:r>
            <w:proofErr w:type="spellStart"/>
            <w:r w:rsidRPr="00C56257">
              <w:rPr>
                <w:rFonts w:eastAsia="Calibri"/>
                <w:lang w:val="en-US"/>
              </w:rPr>
              <w:t>zonelor</w:t>
            </w:r>
            <w:proofErr w:type="spellEnd"/>
            <w:r w:rsidRPr="00C56257">
              <w:rPr>
                <w:rFonts w:eastAsia="Calibri"/>
                <w:lang w:val="en-US"/>
              </w:rPr>
              <w:t xml:space="preserve"> </w:t>
            </w:r>
            <w:proofErr w:type="spellStart"/>
            <w:r w:rsidRPr="00C56257">
              <w:rPr>
                <w:rFonts w:eastAsia="Calibri"/>
                <w:lang w:val="en-US"/>
              </w:rPr>
              <w:t>rezidențiale</w:t>
            </w:r>
            <w:proofErr w:type="spellEnd"/>
            <w:r w:rsidRPr="00C56257">
              <w:rPr>
                <w:rFonts w:eastAsia="Calibri"/>
                <w:lang w:val="en-US"/>
              </w:rPr>
              <w:t xml:space="preserve">, </w:t>
            </w:r>
            <w:proofErr w:type="spellStart"/>
            <w:r w:rsidRPr="00C56257">
              <w:rPr>
                <w:rFonts w:eastAsia="Calibri"/>
                <w:lang w:val="en-US"/>
              </w:rPr>
              <w:t>comerciale</w:t>
            </w:r>
            <w:proofErr w:type="spellEnd"/>
            <w:r w:rsidRPr="00C56257">
              <w:rPr>
                <w:rFonts w:eastAsia="Calibri"/>
                <w:lang w:val="en-US"/>
              </w:rPr>
              <w:t xml:space="preserve">, </w:t>
            </w:r>
            <w:proofErr w:type="spellStart"/>
            <w:r w:rsidRPr="00C56257">
              <w:rPr>
                <w:rFonts w:eastAsia="Calibri"/>
                <w:lang w:val="en-US"/>
              </w:rPr>
              <w:t>industriale</w:t>
            </w:r>
            <w:proofErr w:type="spellEnd"/>
            <w:r w:rsidRPr="00C56257">
              <w:rPr>
                <w:rFonts w:eastAsia="Calibri"/>
                <w:lang w:val="en-US"/>
              </w:rPr>
              <w:t xml:space="preserve"> </w:t>
            </w:r>
            <w:proofErr w:type="spellStart"/>
            <w:r w:rsidRPr="00C56257">
              <w:rPr>
                <w:rFonts w:eastAsia="Calibri"/>
                <w:lang w:val="en-US"/>
              </w:rPr>
              <w:t>și</w:t>
            </w:r>
            <w:proofErr w:type="spellEnd"/>
            <w:r w:rsidRPr="00C56257">
              <w:rPr>
                <w:rFonts w:eastAsia="Calibri"/>
                <w:lang w:val="en-US"/>
              </w:rPr>
              <w:t xml:space="preserve"> de </w:t>
            </w:r>
            <w:proofErr w:type="spellStart"/>
            <w:r w:rsidRPr="00C56257">
              <w:rPr>
                <w:rFonts w:eastAsia="Calibri"/>
                <w:lang w:val="en-US"/>
              </w:rPr>
              <w:t>agrement</w:t>
            </w:r>
            <w:proofErr w:type="spellEnd"/>
            <w:r w:rsidRPr="00C56257">
              <w:rPr>
                <w:rFonts w:eastAsia="Calibri"/>
                <w:lang w:val="en-US"/>
              </w:rPr>
              <w:t xml:space="preserve"> (</w:t>
            </w:r>
            <w:proofErr w:type="spellStart"/>
            <w:r w:rsidRPr="00C56257">
              <w:rPr>
                <w:rFonts w:eastAsia="Calibri"/>
                <w:lang w:val="en-US"/>
              </w:rPr>
              <w:t>inclusiv</w:t>
            </w:r>
            <w:proofErr w:type="spellEnd"/>
            <w:r w:rsidRPr="00C56257">
              <w:rPr>
                <w:rFonts w:eastAsia="Calibri"/>
                <w:lang w:val="en-US"/>
              </w:rPr>
              <w:t xml:space="preserve"> </w:t>
            </w:r>
            <w:proofErr w:type="spellStart"/>
            <w:r w:rsidRPr="00C56257">
              <w:rPr>
                <w:rFonts w:eastAsia="Calibri"/>
                <w:lang w:val="en-US"/>
              </w:rPr>
              <w:t>lucrările</w:t>
            </w:r>
            <w:proofErr w:type="spellEnd"/>
            <w:r w:rsidRPr="00C56257">
              <w:rPr>
                <w:rFonts w:eastAsia="Calibri"/>
                <w:lang w:val="en-US"/>
              </w:rPr>
              <w:t xml:space="preserve"> de </w:t>
            </w:r>
            <w:proofErr w:type="spellStart"/>
            <w:r w:rsidRPr="00C56257">
              <w:rPr>
                <w:rFonts w:eastAsia="Calibri"/>
                <w:lang w:val="en-US"/>
              </w:rPr>
              <w:t>protecție</w:t>
            </w:r>
            <w:proofErr w:type="spellEnd"/>
            <w:r w:rsidRPr="00C56257">
              <w:rPr>
                <w:rFonts w:eastAsia="Calibri"/>
                <w:lang w:val="en-US"/>
              </w:rPr>
              <w:t xml:space="preserve"> </w:t>
            </w:r>
            <w:proofErr w:type="spellStart"/>
            <w:r w:rsidRPr="00C56257">
              <w:rPr>
                <w:rFonts w:eastAsia="Calibri"/>
                <w:lang w:val="en-US"/>
              </w:rPr>
              <w:t>și</w:t>
            </w:r>
            <w:proofErr w:type="spellEnd"/>
            <w:r w:rsidRPr="00C56257">
              <w:rPr>
                <w:rFonts w:eastAsia="Calibri"/>
                <w:lang w:val="en-US"/>
              </w:rPr>
              <w:t xml:space="preserve"> </w:t>
            </w:r>
            <w:proofErr w:type="spellStart"/>
            <w:r w:rsidRPr="00C56257">
              <w:rPr>
                <w:rFonts w:eastAsia="Calibri"/>
                <w:lang w:val="en-US"/>
              </w:rPr>
              <w:t>infrastructurile</w:t>
            </w:r>
            <w:proofErr w:type="spellEnd"/>
            <w:r w:rsidRPr="00C56257">
              <w:rPr>
                <w:rFonts w:eastAsia="Calibri"/>
                <w:lang w:val="en-US"/>
              </w:rPr>
              <w:t xml:space="preserve"> de </w:t>
            </w:r>
            <w:proofErr w:type="spellStart"/>
            <w:r w:rsidRPr="00C56257">
              <w:rPr>
                <w:rFonts w:eastAsia="Calibri"/>
                <w:lang w:val="en-US"/>
              </w:rPr>
              <w:t>coastă</w:t>
            </w:r>
            <w:proofErr w:type="spellEnd"/>
            <w:r w:rsidRPr="00C56257">
              <w:rPr>
                <w:rFonts w:eastAsia="Calibri"/>
                <w:lang w:val="en-US"/>
              </w:rPr>
              <w:t>)</w:t>
            </w:r>
          </w:p>
        </w:tc>
      </w:tr>
      <w:tr w:rsidR="00FC026B" w:rsidRPr="00C56257" w14:paraId="0605361C" w14:textId="77777777" w:rsidTr="00993B86">
        <w:trPr>
          <w:jc w:val="center"/>
        </w:trPr>
        <w:tc>
          <w:tcPr>
            <w:tcW w:w="9402" w:type="dxa"/>
            <w:hideMark/>
          </w:tcPr>
          <w:p w14:paraId="7C5FE5F1" w14:textId="77777777" w:rsidR="00FC026B" w:rsidRPr="00C56257" w:rsidRDefault="00FC026B" w:rsidP="009E63E5">
            <w:pPr>
              <w:numPr>
                <w:ilvl w:val="0"/>
                <w:numId w:val="174"/>
              </w:numPr>
              <w:autoSpaceDE w:val="0"/>
              <w:autoSpaceDN w:val="0"/>
              <w:adjustRightInd w:val="0"/>
              <w:jc w:val="both"/>
              <w:rPr>
                <w:rFonts w:eastAsia="Calibri"/>
                <w:lang w:val="en-US"/>
              </w:rPr>
            </w:pPr>
            <w:proofErr w:type="spellStart"/>
            <w:r w:rsidRPr="00C56257">
              <w:rPr>
                <w:rFonts w:eastAsia="Calibri"/>
                <w:lang w:val="en-US"/>
              </w:rPr>
              <w:t>Depozitarea</w:t>
            </w:r>
            <w:proofErr w:type="spellEnd"/>
            <w:r w:rsidRPr="00C56257">
              <w:rPr>
                <w:rFonts w:eastAsia="Calibri"/>
                <w:lang w:val="en-US"/>
              </w:rPr>
              <w:t xml:space="preserve"> </w:t>
            </w:r>
            <w:proofErr w:type="spellStart"/>
            <w:r w:rsidRPr="00C56257">
              <w:rPr>
                <w:rFonts w:eastAsia="Calibri"/>
                <w:lang w:val="en-US"/>
              </w:rPr>
              <w:t>și</w:t>
            </w:r>
            <w:proofErr w:type="spellEnd"/>
            <w:r w:rsidRPr="00C56257">
              <w:rPr>
                <w:rFonts w:eastAsia="Calibri"/>
                <w:lang w:val="en-US"/>
              </w:rPr>
              <w:t xml:space="preserve"> </w:t>
            </w:r>
            <w:proofErr w:type="spellStart"/>
            <w:r w:rsidRPr="00C56257">
              <w:rPr>
                <w:rFonts w:eastAsia="Calibri"/>
                <w:lang w:val="en-US"/>
              </w:rPr>
              <w:t>tratarea</w:t>
            </w:r>
            <w:proofErr w:type="spellEnd"/>
            <w:r w:rsidRPr="00C56257">
              <w:rPr>
                <w:rFonts w:eastAsia="Calibri"/>
                <w:lang w:val="en-US"/>
              </w:rPr>
              <w:t xml:space="preserve"> </w:t>
            </w:r>
            <w:proofErr w:type="spellStart"/>
            <w:r w:rsidRPr="00C56257">
              <w:rPr>
                <w:rFonts w:eastAsia="Calibri"/>
                <w:lang w:val="en-US"/>
              </w:rPr>
              <w:t>deșeurilor</w:t>
            </w:r>
            <w:proofErr w:type="spellEnd"/>
            <w:r w:rsidRPr="00C56257">
              <w:rPr>
                <w:rFonts w:eastAsia="Calibri"/>
                <w:lang w:val="en-US"/>
              </w:rPr>
              <w:t xml:space="preserve"> / </w:t>
            </w:r>
            <w:proofErr w:type="spellStart"/>
            <w:r w:rsidRPr="00C56257">
              <w:rPr>
                <w:rFonts w:eastAsia="Calibri"/>
                <w:lang w:val="en-US"/>
              </w:rPr>
              <w:t>gunoiului</w:t>
            </w:r>
            <w:proofErr w:type="spellEnd"/>
            <w:r w:rsidRPr="00C56257">
              <w:rPr>
                <w:rFonts w:eastAsia="Calibri"/>
                <w:lang w:val="en-US"/>
              </w:rPr>
              <w:t xml:space="preserve"> din </w:t>
            </w:r>
            <w:proofErr w:type="spellStart"/>
            <w:r w:rsidRPr="00C56257">
              <w:rPr>
                <w:rFonts w:eastAsia="Calibri"/>
                <w:lang w:val="en-US"/>
              </w:rPr>
              <w:t>spațiile</w:t>
            </w:r>
            <w:proofErr w:type="spellEnd"/>
            <w:r w:rsidRPr="00C56257">
              <w:rPr>
                <w:rFonts w:eastAsia="Calibri"/>
                <w:lang w:val="en-US"/>
              </w:rPr>
              <w:t xml:space="preserve"> </w:t>
            </w:r>
            <w:proofErr w:type="spellStart"/>
            <w:r w:rsidRPr="00C56257">
              <w:rPr>
                <w:rFonts w:eastAsia="Calibri"/>
                <w:lang w:val="en-US"/>
              </w:rPr>
              <w:t>comerciale</w:t>
            </w:r>
            <w:proofErr w:type="spellEnd"/>
            <w:r w:rsidRPr="00C56257">
              <w:rPr>
                <w:rFonts w:eastAsia="Calibri"/>
                <w:lang w:val="en-US"/>
              </w:rPr>
              <w:t xml:space="preserve"> </w:t>
            </w:r>
            <w:proofErr w:type="spellStart"/>
            <w:r w:rsidRPr="00C56257">
              <w:rPr>
                <w:rFonts w:eastAsia="Calibri"/>
                <w:lang w:val="en-US"/>
              </w:rPr>
              <w:t>și</w:t>
            </w:r>
            <w:proofErr w:type="spellEnd"/>
            <w:r w:rsidRPr="00C56257">
              <w:rPr>
                <w:rFonts w:eastAsia="Calibri"/>
                <w:lang w:val="en-US"/>
              </w:rPr>
              <w:t xml:space="preserve"> industrial.</w:t>
            </w:r>
          </w:p>
        </w:tc>
      </w:tr>
      <w:tr w:rsidR="00FC026B" w:rsidRPr="00C56257" w14:paraId="4D1A218C" w14:textId="77777777" w:rsidTr="00993B86">
        <w:trPr>
          <w:jc w:val="center"/>
        </w:trPr>
        <w:tc>
          <w:tcPr>
            <w:tcW w:w="9402" w:type="dxa"/>
            <w:hideMark/>
          </w:tcPr>
          <w:p w14:paraId="10F9756A" w14:textId="77777777" w:rsidR="00FC026B" w:rsidRPr="00C56257" w:rsidRDefault="00FC026B" w:rsidP="009E63E5">
            <w:pPr>
              <w:numPr>
                <w:ilvl w:val="0"/>
                <w:numId w:val="174"/>
              </w:numPr>
              <w:autoSpaceDE w:val="0"/>
              <w:autoSpaceDN w:val="0"/>
              <w:adjustRightInd w:val="0"/>
              <w:jc w:val="both"/>
              <w:rPr>
                <w:rFonts w:eastAsia="Calibri"/>
                <w:lang w:val="en-US"/>
              </w:rPr>
            </w:pPr>
            <w:proofErr w:type="spellStart"/>
            <w:r w:rsidRPr="00C56257">
              <w:rPr>
                <w:rFonts w:eastAsia="Calibri"/>
                <w:lang w:val="en-US"/>
              </w:rPr>
              <w:t>Activități</w:t>
            </w:r>
            <w:proofErr w:type="spellEnd"/>
            <w:r w:rsidRPr="00C56257">
              <w:rPr>
                <w:rFonts w:eastAsia="Calibri"/>
                <w:lang w:val="en-US"/>
              </w:rPr>
              <w:t xml:space="preserve"> </w:t>
            </w:r>
            <w:proofErr w:type="spellStart"/>
            <w:r w:rsidRPr="00C56257">
              <w:rPr>
                <w:rFonts w:eastAsia="Calibri"/>
                <w:lang w:val="en-US"/>
              </w:rPr>
              <w:t>rezidențiale</w:t>
            </w:r>
            <w:proofErr w:type="spellEnd"/>
            <w:r w:rsidRPr="00C56257">
              <w:rPr>
                <w:rFonts w:eastAsia="Calibri"/>
                <w:lang w:val="en-US"/>
              </w:rPr>
              <w:t xml:space="preserve"> </w:t>
            </w:r>
            <w:proofErr w:type="spellStart"/>
            <w:r w:rsidRPr="00C56257">
              <w:rPr>
                <w:rFonts w:eastAsia="Calibri"/>
                <w:lang w:val="en-US"/>
              </w:rPr>
              <w:t>sau</w:t>
            </w:r>
            <w:proofErr w:type="spellEnd"/>
            <w:r w:rsidRPr="00C56257">
              <w:rPr>
                <w:rFonts w:eastAsia="Calibri"/>
                <w:lang w:val="en-US"/>
              </w:rPr>
              <w:t xml:space="preserve"> de </w:t>
            </w:r>
            <w:proofErr w:type="spellStart"/>
            <w:r w:rsidRPr="00C56257">
              <w:rPr>
                <w:rFonts w:eastAsia="Calibri"/>
                <w:lang w:val="en-US"/>
              </w:rPr>
              <w:t>recreere</w:t>
            </w:r>
            <w:proofErr w:type="spellEnd"/>
            <w:r w:rsidRPr="00C56257">
              <w:rPr>
                <w:rFonts w:eastAsia="Calibri"/>
                <w:lang w:val="en-US"/>
              </w:rPr>
              <w:t xml:space="preserve"> </w:t>
            </w:r>
            <w:proofErr w:type="spellStart"/>
            <w:r w:rsidRPr="00C56257">
              <w:rPr>
                <w:rFonts w:eastAsia="Calibri"/>
                <w:lang w:val="en-US"/>
              </w:rPr>
              <w:t>și</w:t>
            </w:r>
            <w:proofErr w:type="spellEnd"/>
            <w:r w:rsidRPr="00C56257">
              <w:rPr>
                <w:rFonts w:eastAsia="Calibri"/>
                <w:lang w:val="en-US"/>
              </w:rPr>
              <w:t xml:space="preserve"> </w:t>
            </w:r>
            <w:proofErr w:type="spellStart"/>
            <w:r w:rsidRPr="00C56257">
              <w:rPr>
                <w:rFonts w:eastAsia="Calibri"/>
                <w:lang w:val="en-US"/>
              </w:rPr>
              <w:t>structuri</w:t>
            </w:r>
            <w:proofErr w:type="spellEnd"/>
            <w:r w:rsidRPr="00C56257">
              <w:rPr>
                <w:rFonts w:eastAsia="Calibri"/>
                <w:lang w:val="en-US"/>
              </w:rPr>
              <w:t xml:space="preserve"> </w:t>
            </w:r>
            <w:proofErr w:type="spellStart"/>
            <w:r w:rsidRPr="00C56257">
              <w:rPr>
                <w:rFonts w:eastAsia="Calibri"/>
                <w:lang w:val="en-US"/>
              </w:rPr>
              <w:t>similare</w:t>
            </w:r>
            <w:proofErr w:type="spellEnd"/>
            <w:r w:rsidRPr="00C56257">
              <w:rPr>
                <w:rFonts w:eastAsia="Calibri"/>
                <w:lang w:val="en-US"/>
              </w:rPr>
              <w:t xml:space="preserve"> care </w:t>
            </w:r>
            <w:proofErr w:type="spellStart"/>
            <w:r w:rsidRPr="00C56257">
              <w:rPr>
                <w:rFonts w:eastAsia="Calibri"/>
                <w:lang w:val="en-US"/>
              </w:rPr>
              <w:t>generează</w:t>
            </w:r>
            <w:proofErr w:type="spellEnd"/>
            <w:r w:rsidRPr="00C56257">
              <w:rPr>
                <w:rFonts w:eastAsia="Calibri"/>
                <w:lang w:val="en-US"/>
              </w:rPr>
              <w:t xml:space="preserve"> </w:t>
            </w:r>
            <w:proofErr w:type="spellStart"/>
            <w:r w:rsidRPr="00C56257">
              <w:rPr>
                <w:rFonts w:eastAsia="Calibri"/>
                <w:lang w:val="en-US"/>
              </w:rPr>
              <w:t>poluare</w:t>
            </w:r>
            <w:proofErr w:type="spellEnd"/>
            <w:r w:rsidRPr="00C56257">
              <w:rPr>
                <w:rFonts w:eastAsia="Calibri"/>
                <w:lang w:val="en-US"/>
              </w:rPr>
              <w:t xml:space="preserve"> </w:t>
            </w:r>
            <w:proofErr w:type="spellStart"/>
            <w:r w:rsidRPr="00C56257">
              <w:rPr>
                <w:rFonts w:eastAsia="Calibri"/>
                <w:lang w:val="en-US"/>
              </w:rPr>
              <w:t>marină</w:t>
            </w:r>
            <w:proofErr w:type="spellEnd"/>
            <w:r w:rsidRPr="00C56257">
              <w:rPr>
                <w:rFonts w:eastAsia="Calibri"/>
                <w:lang w:val="en-US"/>
              </w:rPr>
              <w:t>.</w:t>
            </w:r>
          </w:p>
        </w:tc>
      </w:tr>
      <w:tr w:rsidR="00FC026B" w:rsidRPr="00C56257" w14:paraId="7114F750" w14:textId="77777777" w:rsidTr="00993B86">
        <w:trPr>
          <w:jc w:val="center"/>
        </w:trPr>
        <w:tc>
          <w:tcPr>
            <w:tcW w:w="9402" w:type="dxa"/>
            <w:hideMark/>
          </w:tcPr>
          <w:p w14:paraId="7E85E0FB" w14:textId="77777777" w:rsidR="00FC026B" w:rsidRPr="00C56257" w:rsidRDefault="00FC026B" w:rsidP="009E63E5">
            <w:pPr>
              <w:numPr>
                <w:ilvl w:val="0"/>
                <w:numId w:val="174"/>
              </w:numPr>
              <w:autoSpaceDE w:val="0"/>
              <w:autoSpaceDN w:val="0"/>
              <w:adjustRightInd w:val="0"/>
              <w:jc w:val="both"/>
              <w:rPr>
                <w:rFonts w:eastAsia="Calibri"/>
                <w:lang w:val="en-US"/>
              </w:rPr>
            </w:pPr>
            <w:r w:rsidRPr="00C56257">
              <w:rPr>
                <w:rFonts w:eastAsia="Calibri"/>
                <w:lang w:val="en-US"/>
              </w:rPr>
              <w:t xml:space="preserve">Recoltarea </w:t>
            </w:r>
            <w:proofErr w:type="spellStart"/>
            <w:r w:rsidRPr="00C56257">
              <w:rPr>
                <w:rFonts w:eastAsia="Calibri"/>
                <w:lang w:val="en-US"/>
              </w:rPr>
              <w:t>peștilor</w:t>
            </w:r>
            <w:proofErr w:type="spellEnd"/>
            <w:r w:rsidRPr="00C56257">
              <w:rPr>
                <w:rFonts w:eastAsia="Calibri"/>
                <w:lang w:val="en-US"/>
              </w:rPr>
              <w:t xml:space="preserve"> </w:t>
            </w:r>
            <w:proofErr w:type="spellStart"/>
            <w:r w:rsidRPr="00C56257">
              <w:rPr>
                <w:rFonts w:eastAsia="Calibri"/>
                <w:lang w:val="en-US"/>
              </w:rPr>
              <w:t>sau</w:t>
            </w:r>
            <w:proofErr w:type="spellEnd"/>
            <w:r w:rsidRPr="00C56257">
              <w:rPr>
                <w:rFonts w:eastAsia="Calibri"/>
                <w:lang w:val="en-US"/>
              </w:rPr>
              <w:t xml:space="preserve"> a </w:t>
            </w:r>
            <w:proofErr w:type="spellStart"/>
            <w:r w:rsidRPr="00C56257">
              <w:rPr>
                <w:rFonts w:eastAsia="Calibri"/>
                <w:lang w:val="en-US"/>
              </w:rPr>
              <w:t>nevertebratelor</w:t>
            </w:r>
            <w:proofErr w:type="spellEnd"/>
            <w:r w:rsidRPr="00C56257">
              <w:rPr>
                <w:rFonts w:eastAsia="Calibri"/>
                <w:lang w:val="en-US"/>
              </w:rPr>
              <w:t xml:space="preserve"> (</w:t>
            </w:r>
            <w:proofErr w:type="spellStart"/>
            <w:r w:rsidRPr="00C56257">
              <w:rPr>
                <w:rFonts w:eastAsia="Calibri"/>
                <w:lang w:val="en-US"/>
              </w:rPr>
              <w:t>profesională</w:t>
            </w:r>
            <w:proofErr w:type="spellEnd"/>
            <w:r w:rsidRPr="00C56257">
              <w:rPr>
                <w:rFonts w:eastAsia="Calibri"/>
                <w:lang w:val="en-US"/>
              </w:rPr>
              <w:t xml:space="preserve"> </w:t>
            </w:r>
            <w:proofErr w:type="spellStart"/>
            <w:r w:rsidRPr="00C56257">
              <w:rPr>
                <w:rFonts w:eastAsia="Calibri"/>
                <w:lang w:val="en-US"/>
              </w:rPr>
              <w:t>sau</w:t>
            </w:r>
            <w:proofErr w:type="spellEnd"/>
            <w:r w:rsidRPr="00C56257">
              <w:rPr>
                <w:rFonts w:eastAsia="Calibri"/>
                <w:lang w:val="en-US"/>
              </w:rPr>
              <w:t xml:space="preserve"> </w:t>
            </w:r>
            <w:proofErr w:type="spellStart"/>
            <w:r w:rsidRPr="00C56257">
              <w:rPr>
                <w:rFonts w:eastAsia="Calibri"/>
                <w:lang w:val="en-US"/>
              </w:rPr>
              <w:t>recreațională</w:t>
            </w:r>
            <w:proofErr w:type="spellEnd"/>
            <w:r w:rsidRPr="00C56257">
              <w:rPr>
                <w:rFonts w:eastAsia="Calibri"/>
                <w:lang w:val="en-US"/>
              </w:rPr>
              <w:t xml:space="preserve">) care </w:t>
            </w:r>
            <w:proofErr w:type="spellStart"/>
            <w:r w:rsidRPr="00C56257">
              <w:rPr>
                <w:rFonts w:eastAsia="Calibri"/>
                <w:lang w:val="en-US"/>
              </w:rPr>
              <w:t>determină</w:t>
            </w:r>
            <w:proofErr w:type="spellEnd"/>
            <w:r w:rsidRPr="00C56257">
              <w:rPr>
                <w:rFonts w:eastAsia="Calibri"/>
                <w:lang w:val="en-US"/>
              </w:rPr>
              <w:t xml:space="preserve"> </w:t>
            </w:r>
            <w:proofErr w:type="spellStart"/>
            <w:r w:rsidRPr="00C56257">
              <w:rPr>
                <w:rFonts w:eastAsia="Calibri"/>
                <w:lang w:val="en-US"/>
              </w:rPr>
              <w:t>reducerea</w:t>
            </w:r>
            <w:proofErr w:type="spellEnd"/>
            <w:r w:rsidRPr="00C56257">
              <w:rPr>
                <w:rFonts w:eastAsia="Calibri"/>
                <w:lang w:val="en-US"/>
              </w:rPr>
              <w:t xml:space="preserve"> </w:t>
            </w:r>
            <w:proofErr w:type="spellStart"/>
            <w:r w:rsidRPr="00C56257">
              <w:rPr>
                <w:rFonts w:eastAsia="Calibri"/>
                <w:lang w:val="en-US"/>
              </w:rPr>
              <w:t>populațiilor</w:t>
            </w:r>
            <w:proofErr w:type="spellEnd"/>
            <w:r w:rsidRPr="00C56257">
              <w:rPr>
                <w:rFonts w:eastAsia="Calibri"/>
                <w:lang w:val="en-US"/>
              </w:rPr>
              <w:t xml:space="preserve"> </w:t>
            </w:r>
            <w:proofErr w:type="spellStart"/>
            <w:r w:rsidRPr="00C56257">
              <w:rPr>
                <w:rFonts w:eastAsia="Calibri"/>
                <w:lang w:val="en-US"/>
              </w:rPr>
              <w:t>sau</w:t>
            </w:r>
            <w:proofErr w:type="spellEnd"/>
            <w:r w:rsidRPr="00C56257">
              <w:rPr>
                <w:rFonts w:eastAsia="Calibri"/>
                <w:lang w:val="en-US"/>
              </w:rPr>
              <w:t xml:space="preserve"> </w:t>
            </w:r>
            <w:proofErr w:type="spellStart"/>
            <w:r w:rsidRPr="00C56257">
              <w:rPr>
                <w:rFonts w:eastAsia="Calibri"/>
                <w:lang w:val="en-US"/>
              </w:rPr>
              <w:t>perturbarea</w:t>
            </w:r>
            <w:proofErr w:type="spellEnd"/>
            <w:r w:rsidRPr="00C56257">
              <w:rPr>
                <w:rFonts w:eastAsia="Calibri"/>
                <w:lang w:val="en-US"/>
              </w:rPr>
              <w:t xml:space="preserve"> </w:t>
            </w:r>
            <w:proofErr w:type="spellStart"/>
            <w:r w:rsidRPr="00C56257">
              <w:rPr>
                <w:rFonts w:eastAsia="Calibri"/>
                <w:lang w:val="en-US"/>
              </w:rPr>
              <w:t>speciilor</w:t>
            </w:r>
            <w:proofErr w:type="spellEnd"/>
            <w:r w:rsidRPr="00C56257">
              <w:rPr>
                <w:rFonts w:eastAsia="Calibri"/>
                <w:lang w:val="en-US"/>
              </w:rPr>
              <w:t>.</w:t>
            </w:r>
          </w:p>
        </w:tc>
      </w:tr>
      <w:tr w:rsidR="00FC026B" w:rsidRPr="00C56257" w14:paraId="35FCD547" w14:textId="77777777" w:rsidTr="00993B86">
        <w:trPr>
          <w:jc w:val="center"/>
        </w:trPr>
        <w:tc>
          <w:tcPr>
            <w:tcW w:w="9402" w:type="dxa"/>
            <w:hideMark/>
          </w:tcPr>
          <w:p w14:paraId="4C60BB43" w14:textId="77777777" w:rsidR="00FC026B" w:rsidRPr="00C56257" w:rsidRDefault="00FC026B" w:rsidP="009E63E5">
            <w:pPr>
              <w:numPr>
                <w:ilvl w:val="0"/>
                <w:numId w:val="174"/>
              </w:numPr>
              <w:autoSpaceDE w:val="0"/>
              <w:autoSpaceDN w:val="0"/>
              <w:adjustRightInd w:val="0"/>
              <w:jc w:val="both"/>
              <w:rPr>
                <w:rFonts w:eastAsia="Calibri"/>
                <w:lang w:val="en-US"/>
              </w:rPr>
            </w:pPr>
            <w:proofErr w:type="spellStart"/>
            <w:r w:rsidRPr="00C56257">
              <w:rPr>
                <w:rFonts w:eastAsia="Calibri"/>
                <w:lang w:val="en-US"/>
              </w:rPr>
              <w:t>Activități</w:t>
            </w:r>
            <w:proofErr w:type="spellEnd"/>
            <w:r w:rsidRPr="00C56257">
              <w:rPr>
                <w:rFonts w:eastAsia="Calibri"/>
                <w:lang w:val="en-US"/>
              </w:rPr>
              <w:t xml:space="preserve"> de </w:t>
            </w:r>
            <w:proofErr w:type="spellStart"/>
            <w:r w:rsidRPr="00C56257">
              <w:rPr>
                <w:rFonts w:eastAsia="Calibri"/>
                <w:lang w:val="en-US"/>
              </w:rPr>
              <w:t>recoltare</w:t>
            </w:r>
            <w:proofErr w:type="spellEnd"/>
            <w:r w:rsidRPr="00C56257">
              <w:rPr>
                <w:rFonts w:eastAsia="Calibri"/>
                <w:lang w:val="en-US"/>
              </w:rPr>
              <w:t xml:space="preserve"> a </w:t>
            </w:r>
            <w:proofErr w:type="spellStart"/>
            <w:r w:rsidRPr="00C56257">
              <w:rPr>
                <w:rFonts w:eastAsia="Calibri"/>
                <w:lang w:val="en-US"/>
              </w:rPr>
              <w:t>peștilor</w:t>
            </w:r>
            <w:proofErr w:type="spellEnd"/>
            <w:r w:rsidRPr="00C56257">
              <w:rPr>
                <w:rFonts w:eastAsia="Calibri"/>
                <w:lang w:val="en-US"/>
              </w:rPr>
              <w:t xml:space="preserve"> </w:t>
            </w:r>
            <w:proofErr w:type="spellStart"/>
            <w:r w:rsidRPr="00C56257">
              <w:rPr>
                <w:rFonts w:eastAsia="Calibri"/>
                <w:lang w:val="en-US"/>
              </w:rPr>
              <w:t>sau</w:t>
            </w:r>
            <w:proofErr w:type="spellEnd"/>
            <w:r w:rsidRPr="00C56257">
              <w:rPr>
                <w:rFonts w:eastAsia="Calibri"/>
                <w:lang w:val="en-US"/>
              </w:rPr>
              <w:t xml:space="preserve"> a </w:t>
            </w:r>
            <w:proofErr w:type="spellStart"/>
            <w:r w:rsidRPr="00C56257">
              <w:rPr>
                <w:rFonts w:eastAsia="Calibri"/>
                <w:lang w:val="en-US"/>
              </w:rPr>
              <w:t>nevertebratelor</w:t>
            </w:r>
            <w:proofErr w:type="spellEnd"/>
            <w:r w:rsidRPr="00C56257">
              <w:rPr>
                <w:rFonts w:eastAsia="Calibri"/>
                <w:lang w:val="en-US"/>
              </w:rPr>
              <w:t xml:space="preserve"> (</w:t>
            </w:r>
            <w:proofErr w:type="spellStart"/>
            <w:r w:rsidRPr="00C56257">
              <w:rPr>
                <w:rFonts w:eastAsia="Calibri"/>
                <w:lang w:val="en-US"/>
              </w:rPr>
              <w:t>profesionale</w:t>
            </w:r>
            <w:proofErr w:type="spellEnd"/>
            <w:r w:rsidRPr="00C56257">
              <w:rPr>
                <w:rFonts w:eastAsia="Calibri"/>
                <w:lang w:val="en-US"/>
              </w:rPr>
              <w:t xml:space="preserve"> </w:t>
            </w:r>
            <w:proofErr w:type="spellStart"/>
            <w:r w:rsidRPr="00C56257">
              <w:rPr>
                <w:rFonts w:eastAsia="Calibri"/>
                <w:lang w:val="en-US"/>
              </w:rPr>
              <w:t>sau</w:t>
            </w:r>
            <w:proofErr w:type="spellEnd"/>
            <w:r w:rsidRPr="00C56257">
              <w:rPr>
                <w:rFonts w:eastAsia="Calibri"/>
                <w:lang w:val="en-US"/>
              </w:rPr>
              <w:t xml:space="preserve"> </w:t>
            </w:r>
            <w:proofErr w:type="spellStart"/>
            <w:r w:rsidRPr="00C56257">
              <w:rPr>
                <w:rFonts w:eastAsia="Calibri"/>
                <w:lang w:val="en-US"/>
              </w:rPr>
              <w:t>recreaţionale</w:t>
            </w:r>
            <w:proofErr w:type="spellEnd"/>
            <w:r w:rsidRPr="00C56257">
              <w:rPr>
                <w:rFonts w:eastAsia="Calibri"/>
                <w:lang w:val="en-US"/>
              </w:rPr>
              <w:t xml:space="preserve">) care </w:t>
            </w:r>
            <w:proofErr w:type="spellStart"/>
            <w:r w:rsidRPr="00C56257">
              <w:rPr>
                <w:rFonts w:eastAsia="Calibri"/>
                <w:lang w:val="en-US"/>
              </w:rPr>
              <w:t>cauzează</w:t>
            </w:r>
            <w:proofErr w:type="spellEnd"/>
            <w:r w:rsidRPr="00C56257">
              <w:rPr>
                <w:rFonts w:eastAsia="Calibri"/>
                <w:lang w:val="en-US"/>
              </w:rPr>
              <w:t xml:space="preserve"> </w:t>
            </w:r>
            <w:proofErr w:type="spellStart"/>
            <w:r w:rsidRPr="00C56257">
              <w:rPr>
                <w:rFonts w:eastAsia="Calibri"/>
                <w:lang w:val="en-US"/>
              </w:rPr>
              <w:t>pierderi</w:t>
            </w:r>
            <w:proofErr w:type="spellEnd"/>
            <w:r w:rsidRPr="00C56257">
              <w:rPr>
                <w:rFonts w:eastAsia="Calibri"/>
                <w:lang w:val="en-US"/>
              </w:rPr>
              <w:t xml:space="preserve"> </w:t>
            </w:r>
            <w:proofErr w:type="spellStart"/>
            <w:r w:rsidRPr="00C56257">
              <w:rPr>
                <w:rFonts w:eastAsia="Calibri"/>
                <w:lang w:val="en-US"/>
              </w:rPr>
              <w:t>fizice</w:t>
            </w:r>
            <w:proofErr w:type="spellEnd"/>
            <w:r w:rsidRPr="00C56257">
              <w:rPr>
                <w:rFonts w:eastAsia="Calibri"/>
                <w:lang w:val="en-US"/>
              </w:rPr>
              <w:t xml:space="preserve"> </w:t>
            </w:r>
            <w:proofErr w:type="spellStart"/>
            <w:r w:rsidRPr="00C56257">
              <w:rPr>
                <w:rFonts w:eastAsia="Calibri"/>
                <w:lang w:val="en-US"/>
              </w:rPr>
              <w:t>sau</w:t>
            </w:r>
            <w:proofErr w:type="spellEnd"/>
            <w:r w:rsidRPr="00C56257">
              <w:rPr>
                <w:rFonts w:eastAsia="Calibri"/>
                <w:lang w:val="en-US"/>
              </w:rPr>
              <w:t xml:space="preserve"> </w:t>
            </w:r>
            <w:proofErr w:type="spellStart"/>
            <w:r w:rsidRPr="00C56257">
              <w:rPr>
                <w:rFonts w:eastAsia="Calibri"/>
                <w:lang w:val="en-US"/>
              </w:rPr>
              <w:t>perturbări</w:t>
            </w:r>
            <w:proofErr w:type="spellEnd"/>
            <w:r w:rsidRPr="00C56257">
              <w:rPr>
                <w:rFonts w:eastAsia="Calibri"/>
                <w:lang w:val="en-US"/>
              </w:rPr>
              <w:t xml:space="preserve"> ale </w:t>
            </w:r>
            <w:proofErr w:type="spellStart"/>
            <w:r w:rsidRPr="00C56257">
              <w:rPr>
                <w:rFonts w:eastAsia="Calibri"/>
                <w:lang w:val="en-US"/>
              </w:rPr>
              <w:t>habitatelor</w:t>
            </w:r>
            <w:proofErr w:type="spellEnd"/>
            <w:r w:rsidRPr="00C56257">
              <w:rPr>
                <w:rFonts w:eastAsia="Calibri"/>
                <w:lang w:val="en-US"/>
              </w:rPr>
              <w:t xml:space="preserve"> marine.</w:t>
            </w:r>
          </w:p>
        </w:tc>
      </w:tr>
    </w:tbl>
    <w:p w14:paraId="3F8ED9C3" w14:textId="77777777" w:rsidR="00FC026B" w:rsidRPr="00F100E1" w:rsidRDefault="00FC026B" w:rsidP="00FC026B">
      <w:pPr>
        <w:autoSpaceDE w:val="0"/>
        <w:autoSpaceDN w:val="0"/>
        <w:adjustRightInd w:val="0"/>
        <w:jc w:val="both"/>
        <w:rPr>
          <w:rFonts w:eastAsia="Calibri"/>
          <w:b/>
        </w:rPr>
      </w:pPr>
      <w:r w:rsidRPr="00C56257">
        <w:rPr>
          <w:rFonts w:eastAsia="Calibri"/>
          <w:b/>
          <w:lang w:val="it-IT"/>
        </w:rPr>
        <w:t>Măsuri pentru sc</w:t>
      </w:r>
      <w:r w:rsidRPr="00C56257">
        <w:rPr>
          <w:rFonts w:eastAsia="Calibri"/>
          <w:b/>
        </w:rPr>
        <w:t>ăderea presiunilor și amenințărilor</w:t>
      </w:r>
    </w:p>
    <w:tbl>
      <w:tblPr>
        <w:tblW w:w="10000" w:type="dxa"/>
        <w:jc w:val="center"/>
        <w:tblLook w:val="04A0" w:firstRow="1" w:lastRow="0" w:firstColumn="1" w:lastColumn="0" w:noHBand="0" w:noVBand="1"/>
      </w:tblPr>
      <w:tblGrid>
        <w:gridCol w:w="10000"/>
      </w:tblGrid>
      <w:tr w:rsidR="00FC026B" w:rsidRPr="00C56257" w14:paraId="7C5C112C" w14:textId="77777777" w:rsidTr="00993B86">
        <w:trPr>
          <w:jc w:val="center"/>
        </w:trPr>
        <w:tc>
          <w:tcPr>
            <w:tcW w:w="10000" w:type="dxa"/>
            <w:hideMark/>
          </w:tcPr>
          <w:p w14:paraId="6644E6ED" w14:textId="77777777" w:rsidR="00FC026B" w:rsidRPr="00C56257" w:rsidRDefault="00FC026B" w:rsidP="009E63E5">
            <w:pPr>
              <w:numPr>
                <w:ilvl w:val="0"/>
                <w:numId w:val="175"/>
              </w:numPr>
              <w:autoSpaceDE w:val="0"/>
              <w:autoSpaceDN w:val="0"/>
              <w:adjustRightInd w:val="0"/>
              <w:jc w:val="both"/>
              <w:rPr>
                <w:rFonts w:eastAsia="Calibri"/>
                <w:lang w:val="en-US"/>
              </w:rPr>
            </w:pPr>
            <w:proofErr w:type="spellStart"/>
            <w:r w:rsidRPr="00C56257">
              <w:rPr>
                <w:rFonts w:eastAsia="Calibri"/>
                <w:lang w:val="en-US"/>
              </w:rPr>
              <w:t>Reducerea</w:t>
            </w:r>
            <w:proofErr w:type="spellEnd"/>
            <w:r w:rsidRPr="00C56257">
              <w:rPr>
                <w:rFonts w:eastAsia="Calibri"/>
                <w:lang w:val="en-US"/>
              </w:rPr>
              <w:t xml:space="preserve"> / </w:t>
            </w:r>
            <w:proofErr w:type="spellStart"/>
            <w:r w:rsidRPr="00C56257">
              <w:rPr>
                <w:rFonts w:eastAsia="Calibri"/>
                <w:lang w:val="en-US"/>
              </w:rPr>
              <w:t>eliminarea</w:t>
            </w:r>
            <w:proofErr w:type="spellEnd"/>
            <w:r w:rsidRPr="00C56257">
              <w:rPr>
                <w:rFonts w:eastAsia="Calibri"/>
                <w:lang w:val="en-US"/>
              </w:rPr>
              <w:t xml:space="preserve"> </w:t>
            </w:r>
            <w:proofErr w:type="spellStart"/>
            <w:r w:rsidRPr="00C56257">
              <w:rPr>
                <w:rFonts w:eastAsia="Calibri"/>
                <w:lang w:val="en-US"/>
              </w:rPr>
              <w:t>poluării</w:t>
            </w:r>
            <w:proofErr w:type="spellEnd"/>
            <w:r w:rsidRPr="00C56257">
              <w:rPr>
                <w:rFonts w:eastAsia="Calibri"/>
                <w:lang w:val="en-US"/>
              </w:rPr>
              <w:t xml:space="preserve"> marine din </w:t>
            </w:r>
            <w:proofErr w:type="spellStart"/>
            <w:r w:rsidRPr="00C56257">
              <w:rPr>
                <w:rFonts w:eastAsia="Calibri"/>
                <w:lang w:val="en-US"/>
              </w:rPr>
              <w:t>activitățile</w:t>
            </w:r>
            <w:proofErr w:type="spellEnd"/>
            <w:r w:rsidRPr="00C56257">
              <w:rPr>
                <w:rFonts w:eastAsia="Calibri"/>
                <w:lang w:val="en-US"/>
              </w:rPr>
              <w:t xml:space="preserve"> Agricole.</w:t>
            </w:r>
          </w:p>
        </w:tc>
      </w:tr>
      <w:tr w:rsidR="00FC026B" w:rsidRPr="00C56257" w14:paraId="25F4900C" w14:textId="77777777" w:rsidTr="00993B86">
        <w:trPr>
          <w:jc w:val="center"/>
        </w:trPr>
        <w:tc>
          <w:tcPr>
            <w:tcW w:w="10000" w:type="dxa"/>
            <w:hideMark/>
          </w:tcPr>
          <w:p w14:paraId="730BC795" w14:textId="77777777" w:rsidR="00FC026B" w:rsidRPr="00C56257" w:rsidRDefault="00FC026B" w:rsidP="009E63E5">
            <w:pPr>
              <w:numPr>
                <w:ilvl w:val="0"/>
                <w:numId w:val="175"/>
              </w:numPr>
              <w:autoSpaceDE w:val="0"/>
              <w:autoSpaceDN w:val="0"/>
              <w:adjustRightInd w:val="0"/>
              <w:jc w:val="both"/>
              <w:rPr>
                <w:rFonts w:eastAsia="Calibri"/>
                <w:lang w:val="en-US"/>
              </w:rPr>
            </w:pPr>
            <w:proofErr w:type="spellStart"/>
            <w:r w:rsidRPr="00C56257">
              <w:rPr>
                <w:rFonts w:eastAsia="Calibri"/>
                <w:lang w:val="en-US"/>
              </w:rPr>
              <w:t>Gestionarea</w:t>
            </w:r>
            <w:proofErr w:type="spellEnd"/>
            <w:r w:rsidRPr="00C56257">
              <w:rPr>
                <w:rFonts w:eastAsia="Calibri"/>
                <w:lang w:val="en-US"/>
              </w:rPr>
              <w:t xml:space="preserve"> / </w:t>
            </w:r>
            <w:proofErr w:type="spellStart"/>
            <w:r w:rsidRPr="00C56257">
              <w:rPr>
                <w:rFonts w:eastAsia="Calibri"/>
                <w:lang w:val="en-US"/>
              </w:rPr>
              <w:t>reducerea</w:t>
            </w:r>
            <w:proofErr w:type="spellEnd"/>
            <w:r w:rsidRPr="00C56257">
              <w:rPr>
                <w:rFonts w:eastAsia="Calibri"/>
                <w:lang w:val="en-US"/>
              </w:rPr>
              <w:t xml:space="preserve"> / </w:t>
            </w:r>
            <w:proofErr w:type="spellStart"/>
            <w:r w:rsidRPr="00C56257">
              <w:rPr>
                <w:rFonts w:eastAsia="Calibri"/>
                <w:lang w:val="en-US"/>
              </w:rPr>
              <w:t>eliminarea</w:t>
            </w:r>
            <w:proofErr w:type="spellEnd"/>
            <w:r w:rsidRPr="00C56257">
              <w:rPr>
                <w:rFonts w:eastAsia="Calibri"/>
                <w:lang w:val="en-US"/>
              </w:rPr>
              <w:t xml:space="preserve"> </w:t>
            </w:r>
            <w:proofErr w:type="spellStart"/>
            <w:r w:rsidRPr="00C56257">
              <w:rPr>
                <w:rFonts w:eastAsia="Calibri"/>
                <w:lang w:val="en-US"/>
              </w:rPr>
              <w:t>poluării</w:t>
            </w:r>
            <w:proofErr w:type="spellEnd"/>
            <w:r w:rsidRPr="00C56257">
              <w:rPr>
                <w:rFonts w:eastAsia="Calibri"/>
                <w:lang w:val="en-US"/>
              </w:rPr>
              <w:t xml:space="preserve"> maritime </w:t>
            </w:r>
            <w:proofErr w:type="spellStart"/>
            <w:r w:rsidRPr="00C56257">
              <w:rPr>
                <w:rFonts w:eastAsia="Calibri"/>
                <w:lang w:val="en-US"/>
              </w:rPr>
              <w:t>cauzată</w:t>
            </w:r>
            <w:proofErr w:type="spellEnd"/>
            <w:r w:rsidRPr="00C56257">
              <w:rPr>
                <w:rFonts w:eastAsia="Calibri"/>
                <w:lang w:val="en-US"/>
              </w:rPr>
              <w:t xml:space="preserve"> de transport.</w:t>
            </w:r>
          </w:p>
        </w:tc>
      </w:tr>
      <w:tr w:rsidR="00FC026B" w:rsidRPr="00C56257" w14:paraId="65D8E5C9" w14:textId="77777777" w:rsidTr="00993B86">
        <w:trPr>
          <w:jc w:val="center"/>
        </w:trPr>
        <w:tc>
          <w:tcPr>
            <w:tcW w:w="10000" w:type="dxa"/>
            <w:hideMark/>
          </w:tcPr>
          <w:p w14:paraId="3246EC02" w14:textId="77777777" w:rsidR="00FC026B" w:rsidRPr="00C56257" w:rsidRDefault="00FC026B" w:rsidP="009E63E5">
            <w:pPr>
              <w:numPr>
                <w:ilvl w:val="0"/>
                <w:numId w:val="175"/>
              </w:numPr>
              <w:autoSpaceDE w:val="0"/>
              <w:autoSpaceDN w:val="0"/>
              <w:adjustRightInd w:val="0"/>
              <w:jc w:val="both"/>
              <w:rPr>
                <w:rFonts w:eastAsia="Calibri"/>
                <w:lang w:val="en-US"/>
              </w:rPr>
            </w:pPr>
            <w:proofErr w:type="spellStart"/>
            <w:r w:rsidRPr="00C56257">
              <w:rPr>
                <w:rFonts w:eastAsia="Calibri"/>
                <w:lang w:val="en-US"/>
              </w:rPr>
              <w:t>Restaurarea</w:t>
            </w:r>
            <w:proofErr w:type="spellEnd"/>
            <w:r w:rsidRPr="00C56257">
              <w:rPr>
                <w:rFonts w:eastAsia="Calibri"/>
                <w:lang w:val="en-US"/>
              </w:rPr>
              <w:t xml:space="preserve"> </w:t>
            </w:r>
            <w:proofErr w:type="spellStart"/>
            <w:r w:rsidRPr="00C56257">
              <w:rPr>
                <w:rFonts w:eastAsia="Calibri"/>
                <w:lang w:val="en-US"/>
              </w:rPr>
              <w:t>habitatelor</w:t>
            </w:r>
            <w:proofErr w:type="spellEnd"/>
            <w:r w:rsidRPr="00C56257">
              <w:rPr>
                <w:rFonts w:eastAsia="Calibri"/>
                <w:lang w:val="en-US"/>
              </w:rPr>
              <w:t xml:space="preserve"> </w:t>
            </w:r>
            <w:proofErr w:type="spellStart"/>
            <w:r w:rsidRPr="00C56257">
              <w:rPr>
                <w:rFonts w:eastAsia="Calibri"/>
                <w:lang w:val="en-US"/>
              </w:rPr>
              <w:t>afectate</w:t>
            </w:r>
            <w:proofErr w:type="spellEnd"/>
            <w:r w:rsidRPr="00C56257">
              <w:rPr>
                <w:rFonts w:eastAsia="Calibri"/>
                <w:lang w:val="en-US"/>
              </w:rPr>
              <w:t xml:space="preserve"> de </w:t>
            </w:r>
            <w:proofErr w:type="spellStart"/>
            <w:r w:rsidRPr="00C56257">
              <w:rPr>
                <w:rFonts w:eastAsia="Calibri"/>
                <w:lang w:val="en-US"/>
              </w:rPr>
              <w:t>infrastructura</w:t>
            </w:r>
            <w:proofErr w:type="spellEnd"/>
            <w:r w:rsidRPr="00C56257">
              <w:rPr>
                <w:rFonts w:eastAsia="Calibri"/>
                <w:lang w:val="en-US"/>
              </w:rPr>
              <w:t xml:space="preserve"> </w:t>
            </w:r>
            <w:proofErr w:type="spellStart"/>
            <w:r w:rsidRPr="00C56257">
              <w:rPr>
                <w:rFonts w:eastAsia="Calibri"/>
                <w:lang w:val="en-US"/>
              </w:rPr>
              <w:t>rezidențială</w:t>
            </w:r>
            <w:proofErr w:type="spellEnd"/>
            <w:r w:rsidRPr="00C56257">
              <w:rPr>
                <w:rFonts w:eastAsia="Calibri"/>
                <w:lang w:val="en-US"/>
              </w:rPr>
              <w:t xml:space="preserve">, </w:t>
            </w:r>
            <w:proofErr w:type="spellStart"/>
            <w:r w:rsidRPr="00C56257">
              <w:rPr>
                <w:rFonts w:eastAsia="Calibri"/>
                <w:lang w:val="en-US"/>
              </w:rPr>
              <w:t>comercială</w:t>
            </w:r>
            <w:proofErr w:type="spellEnd"/>
            <w:r w:rsidRPr="00C56257">
              <w:rPr>
                <w:rFonts w:eastAsia="Calibri"/>
                <w:lang w:val="en-US"/>
              </w:rPr>
              <w:t xml:space="preserve">, </w:t>
            </w:r>
            <w:proofErr w:type="spellStart"/>
            <w:r w:rsidRPr="00C56257">
              <w:rPr>
                <w:rFonts w:eastAsia="Calibri"/>
                <w:lang w:val="en-US"/>
              </w:rPr>
              <w:t>industrială</w:t>
            </w:r>
            <w:proofErr w:type="spellEnd"/>
            <w:r w:rsidRPr="00C56257">
              <w:rPr>
                <w:rFonts w:eastAsia="Calibri"/>
                <w:lang w:val="en-US"/>
              </w:rPr>
              <w:t xml:space="preserve"> </w:t>
            </w:r>
            <w:proofErr w:type="spellStart"/>
            <w:r w:rsidRPr="00C56257">
              <w:rPr>
                <w:rFonts w:eastAsia="Calibri"/>
                <w:lang w:val="en-US"/>
              </w:rPr>
              <w:t>și</w:t>
            </w:r>
            <w:proofErr w:type="spellEnd"/>
            <w:r w:rsidRPr="00C56257">
              <w:rPr>
                <w:rFonts w:eastAsia="Calibri"/>
                <w:lang w:val="en-US"/>
              </w:rPr>
              <w:t xml:space="preserve"> </w:t>
            </w:r>
            <w:proofErr w:type="spellStart"/>
            <w:r w:rsidRPr="00C56257">
              <w:rPr>
                <w:rFonts w:eastAsia="Calibri"/>
                <w:lang w:val="en-US"/>
              </w:rPr>
              <w:t>recreativă</w:t>
            </w:r>
            <w:proofErr w:type="spellEnd"/>
            <w:r w:rsidRPr="00C56257">
              <w:rPr>
                <w:rFonts w:eastAsia="Calibri"/>
                <w:lang w:val="en-US"/>
              </w:rPr>
              <w:t xml:space="preserve">, </w:t>
            </w:r>
            <w:proofErr w:type="spellStart"/>
            <w:r w:rsidRPr="00C56257">
              <w:rPr>
                <w:rFonts w:eastAsia="Calibri"/>
                <w:lang w:val="en-US"/>
              </w:rPr>
              <w:t>operațiuni</w:t>
            </w:r>
            <w:proofErr w:type="spellEnd"/>
            <w:r w:rsidRPr="00C56257">
              <w:rPr>
                <w:rFonts w:eastAsia="Calibri"/>
                <w:lang w:val="en-US"/>
              </w:rPr>
              <w:t xml:space="preserve"> </w:t>
            </w:r>
            <w:proofErr w:type="spellStart"/>
            <w:r w:rsidRPr="00C56257">
              <w:rPr>
                <w:rFonts w:eastAsia="Calibri"/>
                <w:lang w:val="en-US"/>
              </w:rPr>
              <w:t>și</w:t>
            </w:r>
            <w:proofErr w:type="spellEnd"/>
            <w:r w:rsidRPr="00C56257">
              <w:rPr>
                <w:rFonts w:eastAsia="Calibri"/>
                <w:lang w:val="en-US"/>
              </w:rPr>
              <w:t xml:space="preserve"> </w:t>
            </w:r>
            <w:proofErr w:type="spellStart"/>
            <w:r w:rsidRPr="00C56257">
              <w:rPr>
                <w:rFonts w:eastAsia="Calibri"/>
                <w:lang w:val="en-US"/>
              </w:rPr>
              <w:t>alte</w:t>
            </w:r>
            <w:proofErr w:type="spellEnd"/>
            <w:r w:rsidRPr="00C56257">
              <w:rPr>
                <w:rFonts w:eastAsia="Calibri"/>
                <w:lang w:val="en-US"/>
              </w:rPr>
              <w:t xml:space="preserve"> </w:t>
            </w:r>
            <w:proofErr w:type="spellStart"/>
            <w:r w:rsidRPr="00C56257">
              <w:rPr>
                <w:rFonts w:eastAsia="Calibri"/>
                <w:lang w:val="en-US"/>
              </w:rPr>
              <w:t>activități</w:t>
            </w:r>
            <w:proofErr w:type="spellEnd"/>
            <w:r w:rsidRPr="00C56257">
              <w:rPr>
                <w:rFonts w:eastAsia="Calibri"/>
                <w:lang w:val="en-US"/>
              </w:rPr>
              <w:t>.</w:t>
            </w:r>
          </w:p>
        </w:tc>
      </w:tr>
      <w:tr w:rsidR="00FC026B" w:rsidRPr="00C56257" w14:paraId="51664705" w14:textId="77777777" w:rsidTr="00993B86">
        <w:trPr>
          <w:jc w:val="center"/>
        </w:trPr>
        <w:tc>
          <w:tcPr>
            <w:tcW w:w="10000" w:type="dxa"/>
            <w:hideMark/>
          </w:tcPr>
          <w:p w14:paraId="4CF440C9" w14:textId="77777777" w:rsidR="00FC026B" w:rsidRPr="00C56257" w:rsidRDefault="00FC026B" w:rsidP="009E63E5">
            <w:pPr>
              <w:numPr>
                <w:ilvl w:val="0"/>
                <w:numId w:val="175"/>
              </w:numPr>
              <w:autoSpaceDE w:val="0"/>
              <w:autoSpaceDN w:val="0"/>
              <w:adjustRightInd w:val="0"/>
              <w:jc w:val="both"/>
              <w:rPr>
                <w:rFonts w:eastAsia="Calibri"/>
                <w:lang w:val="en-US"/>
              </w:rPr>
            </w:pPr>
            <w:proofErr w:type="spellStart"/>
            <w:r w:rsidRPr="00C56257">
              <w:rPr>
                <w:rFonts w:eastAsia="Calibri"/>
                <w:lang w:val="en-US"/>
              </w:rPr>
              <w:t>Reducerea</w:t>
            </w:r>
            <w:proofErr w:type="spellEnd"/>
            <w:r w:rsidRPr="00C56257">
              <w:rPr>
                <w:rFonts w:eastAsia="Calibri"/>
                <w:lang w:val="en-US"/>
              </w:rPr>
              <w:t xml:space="preserve"> / </w:t>
            </w:r>
            <w:proofErr w:type="spellStart"/>
            <w:r w:rsidRPr="00C56257">
              <w:rPr>
                <w:rFonts w:eastAsia="Calibri"/>
                <w:lang w:val="en-US"/>
              </w:rPr>
              <w:t>eliminarea</w:t>
            </w:r>
            <w:proofErr w:type="spellEnd"/>
            <w:r w:rsidRPr="00C56257">
              <w:rPr>
                <w:rFonts w:eastAsia="Calibri"/>
                <w:lang w:val="en-US"/>
              </w:rPr>
              <w:t xml:space="preserve"> </w:t>
            </w:r>
            <w:proofErr w:type="spellStart"/>
            <w:r w:rsidRPr="00C56257">
              <w:rPr>
                <w:rFonts w:eastAsia="Calibri"/>
                <w:lang w:val="en-US"/>
              </w:rPr>
              <w:t>poluării</w:t>
            </w:r>
            <w:proofErr w:type="spellEnd"/>
            <w:r w:rsidRPr="00C56257">
              <w:rPr>
                <w:rFonts w:eastAsia="Calibri"/>
                <w:lang w:val="en-US"/>
              </w:rPr>
              <w:t xml:space="preserve"> marine din </w:t>
            </w:r>
            <w:proofErr w:type="spellStart"/>
            <w:r w:rsidRPr="00C56257">
              <w:rPr>
                <w:rFonts w:eastAsia="Calibri"/>
                <w:lang w:val="en-US"/>
              </w:rPr>
              <w:t>zonele</w:t>
            </w:r>
            <w:proofErr w:type="spellEnd"/>
            <w:r w:rsidRPr="00C56257">
              <w:rPr>
                <w:rFonts w:eastAsia="Calibri"/>
                <w:lang w:val="en-US"/>
              </w:rPr>
              <w:t xml:space="preserve"> </w:t>
            </w:r>
            <w:proofErr w:type="spellStart"/>
            <w:r w:rsidRPr="00C56257">
              <w:rPr>
                <w:rFonts w:eastAsia="Calibri"/>
                <w:lang w:val="en-US"/>
              </w:rPr>
              <w:t>și</w:t>
            </w:r>
            <w:proofErr w:type="spellEnd"/>
            <w:r w:rsidRPr="00C56257">
              <w:rPr>
                <w:rFonts w:eastAsia="Calibri"/>
                <w:lang w:val="en-US"/>
              </w:rPr>
              <w:t xml:space="preserve"> </w:t>
            </w:r>
            <w:proofErr w:type="spellStart"/>
            <w:r w:rsidRPr="00C56257">
              <w:rPr>
                <w:rFonts w:eastAsia="Calibri"/>
                <w:lang w:val="en-US"/>
              </w:rPr>
              <w:t>activitățile</w:t>
            </w:r>
            <w:proofErr w:type="spellEnd"/>
            <w:r w:rsidRPr="00C56257">
              <w:rPr>
                <w:rFonts w:eastAsia="Calibri"/>
                <w:lang w:val="en-US"/>
              </w:rPr>
              <w:t xml:space="preserve"> </w:t>
            </w:r>
            <w:proofErr w:type="spellStart"/>
            <w:r w:rsidRPr="00C56257">
              <w:rPr>
                <w:rFonts w:eastAsia="Calibri"/>
                <w:lang w:val="en-US"/>
              </w:rPr>
              <w:t>industriale</w:t>
            </w:r>
            <w:proofErr w:type="spellEnd"/>
            <w:r w:rsidRPr="00C56257">
              <w:rPr>
                <w:rFonts w:eastAsia="Calibri"/>
                <w:lang w:val="en-US"/>
              </w:rPr>
              <w:t xml:space="preserve">, </w:t>
            </w:r>
            <w:proofErr w:type="spellStart"/>
            <w:r w:rsidRPr="00C56257">
              <w:rPr>
                <w:rFonts w:eastAsia="Calibri"/>
                <w:lang w:val="en-US"/>
              </w:rPr>
              <w:t>comerciale</w:t>
            </w:r>
            <w:proofErr w:type="spellEnd"/>
            <w:r w:rsidRPr="00C56257">
              <w:rPr>
                <w:rFonts w:eastAsia="Calibri"/>
                <w:lang w:val="en-US"/>
              </w:rPr>
              <w:t xml:space="preserve">, </w:t>
            </w:r>
            <w:proofErr w:type="spellStart"/>
            <w:r w:rsidRPr="00C56257">
              <w:rPr>
                <w:rFonts w:eastAsia="Calibri"/>
                <w:lang w:val="en-US"/>
              </w:rPr>
              <w:t>rezidențiale</w:t>
            </w:r>
            <w:proofErr w:type="spellEnd"/>
            <w:r w:rsidRPr="00C56257">
              <w:rPr>
                <w:rFonts w:eastAsia="Calibri"/>
                <w:lang w:val="en-US"/>
              </w:rPr>
              <w:t xml:space="preserve"> </w:t>
            </w:r>
            <w:proofErr w:type="spellStart"/>
            <w:r w:rsidRPr="00C56257">
              <w:rPr>
                <w:rFonts w:eastAsia="Calibri"/>
                <w:lang w:val="en-US"/>
              </w:rPr>
              <w:t>și</w:t>
            </w:r>
            <w:proofErr w:type="spellEnd"/>
            <w:r w:rsidRPr="00C56257">
              <w:rPr>
                <w:rFonts w:eastAsia="Calibri"/>
                <w:lang w:val="en-US"/>
              </w:rPr>
              <w:t xml:space="preserve"> de </w:t>
            </w:r>
            <w:proofErr w:type="spellStart"/>
            <w:r w:rsidRPr="00C56257">
              <w:rPr>
                <w:rFonts w:eastAsia="Calibri"/>
                <w:lang w:val="en-US"/>
              </w:rPr>
              <w:t>agrement</w:t>
            </w:r>
            <w:proofErr w:type="spellEnd"/>
            <w:r w:rsidRPr="00C56257">
              <w:rPr>
                <w:rFonts w:eastAsia="Calibri"/>
                <w:lang w:val="en-US"/>
              </w:rPr>
              <w:t>.</w:t>
            </w:r>
          </w:p>
        </w:tc>
      </w:tr>
      <w:tr w:rsidR="00FC026B" w:rsidRPr="00C56257" w14:paraId="5931CAF1" w14:textId="77777777" w:rsidTr="00993B86">
        <w:trPr>
          <w:jc w:val="center"/>
        </w:trPr>
        <w:tc>
          <w:tcPr>
            <w:tcW w:w="10000" w:type="dxa"/>
            <w:hideMark/>
          </w:tcPr>
          <w:p w14:paraId="5BBF6926" w14:textId="77777777" w:rsidR="00FC026B" w:rsidRPr="00C56257" w:rsidRDefault="00FC026B" w:rsidP="009E63E5">
            <w:pPr>
              <w:numPr>
                <w:ilvl w:val="0"/>
                <w:numId w:val="175"/>
              </w:numPr>
              <w:autoSpaceDE w:val="0"/>
              <w:autoSpaceDN w:val="0"/>
              <w:adjustRightInd w:val="0"/>
              <w:jc w:val="both"/>
              <w:rPr>
                <w:rFonts w:eastAsia="Calibri"/>
                <w:lang w:val="en-US"/>
              </w:rPr>
            </w:pPr>
            <w:proofErr w:type="spellStart"/>
            <w:r w:rsidRPr="00C56257">
              <w:rPr>
                <w:rFonts w:eastAsia="Calibri"/>
                <w:lang w:val="en-US"/>
              </w:rPr>
              <w:t>Reducerea</w:t>
            </w:r>
            <w:proofErr w:type="spellEnd"/>
            <w:r w:rsidRPr="00C56257">
              <w:rPr>
                <w:rFonts w:eastAsia="Calibri"/>
                <w:lang w:val="en-US"/>
              </w:rPr>
              <w:t xml:space="preserve"> / </w:t>
            </w:r>
            <w:proofErr w:type="spellStart"/>
            <w:r w:rsidRPr="00C56257">
              <w:rPr>
                <w:rFonts w:eastAsia="Calibri"/>
                <w:lang w:val="en-US"/>
              </w:rPr>
              <w:t>eliminarea</w:t>
            </w:r>
            <w:proofErr w:type="spellEnd"/>
            <w:r w:rsidRPr="00C56257">
              <w:rPr>
                <w:rFonts w:eastAsia="Calibri"/>
                <w:lang w:val="en-US"/>
              </w:rPr>
              <w:t xml:space="preserve"> </w:t>
            </w:r>
            <w:proofErr w:type="spellStart"/>
            <w:r w:rsidRPr="00C56257">
              <w:rPr>
                <w:rFonts w:eastAsia="Calibri"/>
                <w:lang w:val="en-US"/>
              </w:rPr>
              <w:t>contaminării</w:t>
            </w:r>
            <w:proofErr w:type="spellEnd"/>
            <w:r w:rsidRPr="00C56257">
              <w:rPr>
                <w:rFonts w:eastAsia="Calibri"/>
                <w:lang w:val="en-US"/>
              </w:rPr>
              <w:t xml:space="preserve"> marine cu </w:t>
            </w:r>
            <w:proofErr w:type="spellStart"/>
            <w:r w:rsidRPr="00C56257">
              <w:rPr>
                <w:rFonts w:eastAsia="Calibri"/>
                <w:lang w:val="en-US"/>
              </w:rPr>
              <w:t>deşeuri</w:t>
            </w:r>
            <w:proofErr w:type="spellEnd"/>
            <w:r w:rsidRPr="00C56257">
              <w:rPr>
                <w:rFonts w:eastAsia="Calibri"/>
                <w:lang w:val="en-US"/>
              </w:rPr>
              <w:t>.</w:t>
            </w:r>
          </w:p>
        </w:tc>
      </w:tr>
      <w:tr w:rsidR="00FC026B" w:rsidRPr="00C56257" w14:paraId="43E83F0C" w14:textId="77777777" w:rsidTr="00993B86">
        <w:trPr>
          <w:jc w:val="center"/>
        </w:trPr>
        <w:tc>
          <w:tcPr>
            <w:tcW w:w="10000" w:type="dxa"/>
            <w:hideMark/>
          </w:tcPr>
          <w:p w14:paraId="66436E38" w14:textId="77777777" w:rsidR="00FC026B" w:rsidRPr="00C56257" w:rsidRDefault="00FC026B" w:rsidP="009E63E5">
            <w:pPr>
              <w:numPr>
                <w:ilvl w:val="0"/>
                <w:numId w:val="175"/>
              </w:numPr>
              <w:autoSpaceDE w:val="0"/>
              <w:autoSpaceDN w:val="0"/>
              <w:adjustRightInd w:val="0"/>
              <w:jc w:val="both"/>
              <w:rPr>
                <w:rFonts w:eastAsia="Calibri"/>
                <w:lang w:val="en-US"/>
              </w:rPr>
            </w:pPr>
            <w:proofErr w:type="spellStart"/>
            <w:r w:rsidRPr="00C56257">
              <w:rPr>
                <w:rFonts w:eastAsia="Calibri"/>
                <w:lang w:val="en-US"/>
              </w:rPr>
              <w:t>Detectarea</w:t>
            </w:r>
            <w:proofErr w:type="spellEnd"/>
            <w:r w:rsidRPr="00C56257">
              <w:rPr>
                <w:rFonts w:eastAsia="Calibri"/>
                <w:lang w:val="en-US"/>
              </w:rPr>
              <w:t xml:space="preserve"> </w:t>
            </w:r>
            <w:proofErr w:type="spellStart"/>
            <w:r w:rsidRPr="00C56257">
              <w:rPr>
                <w:rFonts w:eastAsia="Calibri"/>
                <w:lang w:val="en-US"/>
              </w:rPr>
              <w:t>rapidă</w:t>
            </w:r>
            <w:proofErr w:type="spellEnd"/>
            <w:r w:rsidRPr="00C56257">
              <w:rPr>
                <w:rFonts w:eastAsia="Calibri"/>
                <w:lang w:val="en-US"/>
              </w:rPr>
              <w:t xml:space="preserve"> a </w:t>
            </w:r>
            <w:proofErr w:type="spellStart"/>
            <w:r w:rsidRPr="00C56257">
              <w:rPr>
                <w:rFonts w:eastAsia="Calibri"/>
                <w:lang w:val="en-US"/>
              </w:rPr>
              <w:t>speciilor</w:t>
            </w:r>
            <w:proofErr w:type="spellEnd"/>
            <w:r w:rsidRPr="00C56257">
              <w:rPr>
                <w:rFonts w:eastAsia="Calibri"/>
                <w:lang w:val="en-US"/>
              </w:rPr>
              <w:t xml:space="preserve"> </w:t>
            </w:r>
            <w:proofErr w:type="spellStart"/>
            <w:r w:rsidRPr="00C56257">
              <w:rPr>
                <w:rFonts w:eastAsia="Calibri"/>
                <w:lang w:val="en-US"/>
              </w:rPr>
              <w:t>alohtone</w:t>
            </w:r>
            <w:proofErr w:type="spellEnd"/>
            <w:r w:rsidRPr="00C56257">
              <w:rPr>
                <w:rFonts w:eastAsia="Calibri"/>
                <w:lang w:val="en-US"/>
              </w:rPr>
              <w:t xml:space="preserve"> </w:t>
            </w:r>
            <w:proofErr w:type="spellStart"/>
            <w:r w:rsidRPr="00C56257">
              <w:rPr>
                <w:rFonts w:eastAsia="Calibri"/>
                <w:lang w:val="en-US"/>
              </w:rPr>
              <w:t>invazive</w:t>
            </w:r>
            <w:proofErr w:type="spellEnd"/>
            <w:r w:rsidRPr="00C56257">
              <w:rPr>
                <w:rFonts w:eastAsia="Calibri"/>
                <w:lang w:val="en-US"/>
              </w:rPr>
              <w:t xml:space="preserve"> de </w:t>
            </w:r>
            <w:proofErr w:type="spellStart"/>
            <w:r w:rsidRPr="00C56257">
              <w:rPr>
                <w:rFonts w:eastAsia="Calibri"/>
                <w:lang w:val="en-US"/>
              </w:rPr>
              <w:t>interes</w:t>
            </w:r>
            <w:proofErr w:type="spellEnd"/>
            <w:r w:rsidRPr="00C56257">
              <w:rPr>
                <w:rFonts w:eastAsia="Calibri"/>
                <w:lang w:val="en-US"/>
              </w:rPr>
              <w:t xml:space="preserve"> </w:t>
            </w:r>
            <w:proofErr w:type="spellStart"/>
            <w:r w:rsidRPr="00C56257">
              <w:rPr>
                <w:rFonts w:eastAsia="Calibri"/>
                <w:lang w:val="en-US"/>
              </w:rPr>
              <w:t>european</w:t>
            </w:r>
            <w:proofErr w:type="spellEnd"/>
            <w:r w:rsidRPr="00C56257">
              <w:rPr>
                <w:rFonts w:eastAsia="Calibri"/>
                <w:lang w:val="en-US"/>
              </w:rPr>
              <w:t>.</w:t>
            </w:r>
          </w:p>
        </w:tc>
      </w:tr>
      <w:tr w:rsidR="00FC026B" w:rsidRPr="00C56257" w14:paraId="659F32EC" w14:textId="77777777" w:rsidTr="00993B86">
        <w:trPr>
          <w:jc w:val="center"/>
        </w:trPr>
        <w:tc>
          <w:tcPr>
            <w:tcW w:w="10000" w:type="dxa"/>
            <w:hideMark/>
          </w:tcPr>
          <w:p w14:paraId="3FC78DFF" w14:textId="77777777" w:rsidR="00FC026B" w:rsidRPr="00C56257" w:rsidRDefault="00FC026B" w:rsidP="009E63E5">
            <w:pPr>
              <w:numPr>
                <w:ilvl w:val="0"/>
                <w:numId w:val="175"/>
              </w:numPr>
              <w:autoSpaceDE w:val="0"/>
              <w:autoSpaceDN w:val="0"/>
              <w:adjustRightInd w:val="0"/>
              <w:jc w:val="both"/>
              <w:rPr>
                <w:rFonts w:eastAsia="Calibri"/>
                <w:lang w:val="en-US"/>
              </w:rPr>
            </w:pPr>
            <w:proofErr w:type="spellStart"/>
            <w:r w:rsidRPr="00C56257">
              <w:rPr>
                <w:rFonts w:eastAsia="Calibri"/>
                <w:lang w:val="en-US"/>
              </w:rPr>
              <w:t>Gestionarea</w:t>
            </w:r>
            <w:proofErr w:type="spellEnd"/>
            <w:r w:rsidRPr="00C56257">
              <w:rPr>
                <w:rFonts w:eastAsia="Calibri"/>
                <w:lang w:val="en-US"/>
              </w:rPr>
              <w:t xml:space="preserve">, </w:t>
            </w:r>
            <w:proofErr w:type="spellStart"/>
            <w:r w:rsidRPr="00C56257">
              <w:rPr>
                <w:rFonts w:eastAsia="Calibri"/>
                <w:lang w:val="en-US"/>
              </w:rPr>
              <w:t>controlul</w:t>
            </w:r>
            <w:proofErr w:type="spellEnd"/>
            <w:r w:rsidRPr="00C56257">
              <w:rPr>
                <w:rFonts w:eastAsia="Calibri"/>
                <w:lang w:val="en-US"/>
              </w:rPr>
              <w:t xml:space="preserve"> </w:t>
            </w:r>
            <w:proofErr w:type="spellStart"/>
            <w:r w:rsidRPr="00C56257">
              <w:rPr>
                <w:rFonts w:eastAsia="Calibri"/>
                <w:lang w:val="en-US"/>
              </w:rPr>
              <w:t>sau</w:t>
            </w:r>
            <w:proofErr w:type="spellEnd"/>
            <w:r w:rsidRPr="00C56257">
              <w:rPr>
                <w:rFonts w:eastAsia="Calibri"/>
                <w:lang w:val="en-US"/>
              </w:rPr>
              <w:t xml:space="preserve"> </w:t>
            </w:r>
            <w:proofErr w:type="spellStart"/>
            <w:r w:rsidRPr="00C56257">
              <w:rPr>
                <w:rFonts w:eastAsia="Calibri"/>
                <w:lang w:val="en-US"/>
              </w:rPr>
              <w:t>eradicarea</w:t>
            </w:r>
            <w:proofErr w:type="spellEnd"/>
            <w:r w:rsidRPr="00C56257">
              <w:rPr>
                <w:rFonts w:eastAsia="Calibri"/>
                <w:lang w:val="en-US"/>
              </w:rPr>
              <w:t xml:space="preserve"> </w:t>
            </w:r>
            <w:proofErr w:type="spellStart"/>
            <w:r w:rsidRPr="00C56257">
              <w:rPr>
                <w:rFonts w:eastAsia="Calibri"/>
                <w:lang w:val="en-US"/>
              </w:rPr>
              <w:t>speciilor</w:t>
            </w:r>
            <w:proofErr w:type="spellEnd"/>
            <w:r w:rsidRPr="00C56257">
              <w:rPr>
                <w:rFonts w:eastAsia="Calibri"/>
                <w:lang w:val="en-US"/>
              </w:rPr>
              <w:t xml:space="preserve"> </w:t>
            </w:r>
            <w:proofErr w:type="spellStart"/>
            <w:r w:rsidRPr="00C56257">
              <w:rPr>
                <w:rFonts w:eastAsia="Calibri"/>
                <w:lang w:val="en-US"/>
              </w:rPr>
              <w:t>alohtone</w:t>
            </w:r>
            <w:proofErr w:type="spellEnd"/>
            <w:r w:rsidRPr="00C56257">
              <w:rPr>
                <w:rFonts w:eastAsia="Calibri"/>
                <w:lang w:val="en-US"/>
              </w:rPr>
              <w:t xml:space="preserve"> </w:t>
            </w:r>
            <w:proofErr w:type="spellStart"/>
            <w:r w:rsidRPr="00C56257">
              <w:rPr>
                <w:rFonts w:eastAsia="Calibri"/>
                <w:lang w:val="en-US"/>
              </w:rPr>
              <w:t>invazive</w:t>
            </w:r>
            <w:proofErr w:type="spellEnd"/>
            <w:r w:rsidRPr="00C56257">
              <w:rPr>
                <w:rFonts w:eastAsia="Calibri"/>
                <w:lang w:val="en-US"/>
              </w:rPr>
              <w:t xml:space="preserve"> de </w:t>
            </w:r>
            <w:proofErr w:type="spellStart"/>
            <w:r w:rsidRPr="00C56257">
              <w:rPr>
                <w:rFonts w:eastAsia="Calibri"/>
                <w:lang w:val="en-US"/>
              </w:rPr>
              <w:t>interes</w:t>
            </w:r>
            <w:proofErr w:type="spellEnd"/>
            <w:r w:rsidRPr="00C56257">
              <w:rPr>
                <w:rFonts w:eastAsia="Calibri"/>
                <w:lang w:val="en-US"/>
              </w:rPr>
              <w:t xml:space="preserve"> </w:t>
            </w:r>
            <w:proofErr w:type="spellStart"/>
            <w:r w:rsidRPr="00C56257">
              <w:rPr>
                <w:rFonts w:eastAsia="Calibri"/>
                <w:lang w:val="en-US"/>
              </w:rPr>
              <w:t>european</w:t>
            </w:r>
            <w:proofErr w:type="spellEnd"/>
            <w:r w:rsidRPr="00C56257">
              <w:rPr>
                <w:rFonts w:eastAsia="Calibri"/>
                <w:lang w:val="en-US"/>
              </w:rPr>
              <w:t>.</w:t>
            </w:r>
          </w:p>
        </w:tc>
      </w:tr>
      <w:tr w:rsidR="00FC026B" w:rsidRPr="00C56257" w14:paraId="445FCE93" w14:textId="77777777" w:rsidTr="00993B86">
        <w:trPr>
          <w:jc w:val="center"/>
        </w:trPr>
        <w:tc>
          <w:tcPr>
            <w:tcW w:w="10000" w:type="dxa"/>
            <w:hideMark/>
          </w:tcPr>
          <w:p w14:paraId="277165EC" w14:textId="77777777" w:rsidR="00FC026B" w:rsidRPr="00C56257" w:rsidRDefault="00FC026B" w:rsidP="009E63E5">
            <w:pPr>
              <w:numPr>
                <w:ilvl w:val="0"/>
                <w:numId w:val="175"/>
              </w:numPr>
              <w:autoSpaceDE w:val="0"/>
              <w:autoSpaceDN w:val="0"/>
              <w:adjustRightInd w:val="0"/>
              <w:jc w:val="both"/>
              <w:rPr>
                <w:rFonts w:eastAsia="Calibri"/>
                <w:lang w:val="en-US"/>
              </w:rPr>
            </w:pPr>
            <w:proofErr w:type="spellStart"/>
            <w:r w:rsidRPr="00C56257">
              <w:rPr>
                <w:rFonts w:eastAsia="Calibri"/>
                <w:lang w:val="en-US"/>
              </w:rPr>
              <w:t>Implementarea</w:t>
            </w:r>
            <w:proofErr w:type="spellEnd"/>
            <w:r w:rsidRPr="00C56257">
              <w:rPr>
                <w:rFonts w:eastAsia="Calibri"/>
                <w:lang w:val="en-US"/>
              </w:rPr>
              <w:t xml:space="preserve"> </w:t>
            </w:r>
            <w:proofErr w:type="spellStart"/>
            <w:r w:rsidRPr="00C56257">
              <w:rPr>
                <w:rFonts w:eastAsia="Calibri"/>
                <w:lang w:val="en-US"/>
              </w:rPr>
              <w:t>măsurilor</w:t>
            </w:r>
            <w:proofErr w:type="spellEnd"/>
            <w:r w:rsidRPr="00C56257">
              <w:rPr>
                <w:rFonts w:eastAsia="Calibri"/>
                <w:lang w:val="en-US"/>
              </w:rPr>
              <w:t xml:space="preserve"> de </w:t>
            </w:r>
            <w:proofErr w:type="spellStart"/>
            <w:r w:rsidRPr="00C56257">
              <w:rPr>
                <w:rFonts w:eastAsia="Calibri"/>
                <w:lang w:val="en-US"/>
              </w:rPr>
              <w:t>adaptare</w:t>
            </w:r>
            <w:proofErr w:type="spellEnd"/>
            <w:r w:rsidRPr="00C56257">
              <w:rPr>
                <w:rFonts w:eastAsia="Calibri"/>
                <w:lang w:val="en-US"/>
              </w:rPr>
              <w:t xml:space="preserve"> la </w:t>
            </w:r>
            <w:proofErr w:type="spellStart"/>
            <w:r w:rsidRPr="00C56257">
              <w:rPr>
                <w:rFonts w:eastAsia="Calibri"/>
                <w:lang w:val="en-US"/>
              </w:rPr>
              <w:t>schimbările</w:t>
            </w:r>
            <w:proofErr w:type="spellEnd"/>
            <w:r w:rsidRPr="00C56257">
              <w:rPr>
                <w:rFonts w:eastAsia="Calibri"/>
                <w:lang w:val="en-US"/>
              </w:rPr>
              <w:t xml:space="preserve"> </w:t>
            </w:r>
            <w:proofErr w:type="spellStart"/>
            <w:r w:rsidRPr="00C56257">
              <w:rPr>
                <w:rFonts w:eastAsia="Calibri"/>
                <w:lang w:val="en-US"/>
              </w:rPr>
              <w:t>climatice</w:t>
            </w:r>
            <w:proofErr w:type="spellEnd"/>
            <w:r w:rsidRPr="00C56257">
              <w:rPr>
                <w:rFonts w:eastAsia="Calibri"/>
                <w:lang w:val="en-US"/>
              </w:rPr>
              <w:t>.</w:t>
            </w:r>
          </w:p>
        </w:tc>
      </w:tr>
      <w:tr w:rsidR="00FC026B" w:rsidRPr="00C56257" w14:paraId="3F12273B" w14:textId="77777777" w:rsidTr="00993B86">
        <w:trPr>
          <w:jc w:val="center"/>
        </w:trPr>
        <w:tc>
          <w:tcPr>
            <w:tcW w:w="10000" w:type="dxa"/>
            <w:hideMark/>
          </w:tcPr>
          <w:p w14:paraId="2A84ADF4" w14:textId="77777777" w:rsidR="00FC026B" w:rsidRPr="00C56257" w:rsidRDefault="00FC026B" w:rsidP="009E63E5">
            <w:pPr>
              <w:numPr>
                <w:ilvl w:val="0"/>
                <w:numId w:val="175"/>
              </w:numPr>
              <w:autoSpaceDE w:val="0"/>
              <w:autoSpaceDN w:val="0"/>
              <w:adjustRightInd w:val="0"/>
              <w:jc w:val="both"/>
              <w:rPr>
                <w:rFonts w:eastAsia="Calibri"/>
                <w:lang w:val="en-US"/>
              </w:rPr>
            </w:pPr>
            <w:proofErr w:type="spellStart"/>
            <w:r w:rsidRPr="00C56257">
              <w:rPr>
                <w:rFonts w:eastAsia="Calibri"/>
                <w:lang w:val="en-US"/>
              </w:rPr>
              <w:t>Îmbunătățirea</w:t>
            </w:r>
            <w:proofErr w:type="spellEnd"/>
            <w:r w:rsidRPr="00C56257">
              <w:rPr>
                <w:rFonts w:eastAsia="Calibri"/>
                <w:lang w:val="en-US"/>
              </w:rPr>
              <w:t xml:space="preserve"> </w:t>
            </w:r>
            <w:proofErr w:type="spellStart"/>
            <w:r w:rsidRPr="00C56257">
              <w:rPr>
                <w:rFonts w:eastAsia="Calibri"/>
                <w:lang w:val="en-US"/>
              </w:rPr>
              <w:t>habitatelor</w:t>
            </w:r>
            <w:proofErr w:type="spellEnd"/>
            <w:r w:rsidRPr="00C56257">
              <w:rPr>
                <w:rFonts w:eastAsia="Calibri"/>
                <w:lang w:val="en-US"/>
              </w:rPr>
              <w:t xml:space="preserve"> </w:t>
            </w:r>
            <w:proofErr w:type="spellStart"/>
            <w:r w:rsidRPr="00C56257">
              <w:rPr>
                <w:rFonts w:eastAsia="Calibri"/>
                <w:lang w:val="en-US"/>
              </w:rPr>
              <w:t>speciilor</w:t>
            </w:r>
            <w:proofErr w:type="spellEnd"/>
            <w:r w:rsidRPr="00C56257">
              <w:rPr>
                <w:rFonts w:eastAsia="Calibri"/>
                <w:lang w:val="en-US"/>
              </w:rPr>
              <w:t xml:space="preserve"> din </w:t>
            </w:r>
            <w:proofErr w:type="spellStart"/>
            <w:r w:rsidRPr="00C56257">
              <w:rPr>
                <w:rFonts w:eastAsia="Calibri"/>
                <w:lang w:val="en-US"/>
              </w:rPr>
              <w:t>directivele</w:t>
            </w:r>
            <w:proofErr w:type="spellEnd"/>
            <w:r w:rsidRPr="00C56257">
              <w:rPr>
                <w:rFonts w:eastAsia="Calibri"/>
                <w:lang w:val="en-US"/>
              </w:rPr>
              <w:t xml:space="preserve"> </w:t>
            </w:r>
            <w:proofErr w:type="spellStart"/>
            <w:r w:rsidRPr="00C56257">
              <w:rPr>
                <w:rFonts w:eastAsia="Calibri"/>
                <w:lang w:val="en-US"/>
              </w:rPr>
              <w:t>europene</w:t>
            </w:r>
            <w:proofErr w:type="spellEnd"/>
            <w:r w:rsidRPr="00C56257">
              <w:rPr>
                <w:rFonts w:eastAsia="Calibri"/>
                <w:lang w:val="en-US"/>
              </w:rPr>
              <w:t>.</w:t>
            </w:r>
          </w:p>
        </w:tc>
      </w:tr>
    </w:tbl>
    <w:p w14:paraId="3677E81D" w14:textId="77777777" w:rsidR="00FC026B" w:rsidRPr="00C56257" w:rsidRDefault="00FC026B" w:rsidP="00FC026B">
      <w:pPr>
        <w:ind w:firstLine="284"/>
        <w:jc w:val="both"/>
        <w:rPr>
          <w:b/>
          <w:lang w:val="it-IT"/>
        </w:rPr>
      </w:pPr>
    </w:p>
    <w:p w14:paraId="311066AB" w14:textId="77777777" w:rsidR="00FC026B" w:rsidRPr="00C56257" w:rsidRDefault="00FC026B" w:rsidP="00FC026B">
      <w:pPr>
        <w:autoSpaceDE w:val="0"/>
        <w:autoSpaceDN w:val="0"/>
        <w:adjustRightInd w:val="0"/>
        <w:jc w:val="both"/>
        <w:rPr>
          <w:rFonts w:eastAsia="Calibri"/>
          <w:b/>
          <w:lang w:val="pt-BR"/>
        </w:rPr>
      </w:pPr>
      <w:r w:rsidRPr="00C56257">
        <w:rPr>
          <w:rFonts w:eastAsia="Calibri"/>
          <w:b/>
          <w:bCs/>
          <w:lang w:val="pt-BR"/>
        </w:rPr>
        <w:t xml:space="preserve">1170 </w:t>
      </w:r>
      <w:r w:rsidRPr="00C56257">
        <w:rPr>
          <w:rFonts w:eastAsia="Calibri"/>
          <w:b/>
          <w:lang w:val="pt-BR"/>
        </w:rPr>
        <w:t>Recif</w:t>
      </w:r>
      <w:r>
        <w:rPr>
          <w:rFonts w:eastAsia="Calibri"/>
          <w:b/>
          <w:lang w:val="pt-BR"/>
        </w:rPr>
        <w:t>uri</w:t>
      </w:r>
      <w:r w:rsidRPr="00C56257">
        <w:rPr>
          <w:rFonts w:eastAsia="Calibri"/>
          <w:b/>
          <w:lang w:val="pt-BR"/>
        </w:rPr>
        <w:t xml:space="preserve"> </w:t>
      </w:r>
    </w:p>
    <w:p w14:paraId="5D3F888F" w14:textId="77777777" w:rsidR="00FC026B" w:rsidRPr="00C56257" w:rsidRDefault="00FC026B" w:rsidP="00FC026B">
      <w:pPr>
        <w:autoSpaceDE w:val="0"/>
        <w:autoSpaceDN w:val="0"/>
        <w:adjustRightInd w:val="0"/>
        <w:jc w:val="both"/>
        <w:rPr>
          <w:rFonts w:eastAsia="Calibri"/>
          <w:lang w:val="pt-BR"/>
        </w:rPr>
      </w:pPr>
      <w:r w:rsidRPr="00C56257">
        <w:rPr>
          <w:rFonts w:eastAsia="Calibri"/>
          <w:lang w:val="pt-BR"/>
        </w:rPr>
        <w:t>CLAS. PAL.: 11.24, 11.25A</w:t>
      </w:r>
    </w:p>
    <w:p w14:paraId="6966B901" w14:textId="77777777" w:rsidR="00FC026B" w:rsidRPr="00C56257" w:rsidRDefault="00FC026B" w:rsidP="00FC026B">
      <w:pPr>
        <w:autoSpaceDE w:val="0"/>
        <w:autoSpaceDN w:val="0"/>
        <w:adjustRightInd w:val="0"/>
        <w:ind w:firstLine="720"/>
        <w:jc w:val="both"/>
        <w:rPr>
          <w:rFonts w:eastAsia="Calibri"/>
          <w:lang w:val="it-IT"/>
        </w:rPr>
      </w:pPr>
    </w:p>
    <w:p w14:paraId="24D43A26" w14:textId="77777777" w:rsidR="00FC026B" w:rsidRPr="00C56257" w:rsidRDefault="00FC026B" w:rsidP="00FC026B">
      <w:pPr>
        <w:ind w:firstLine="720"/>
        <w:jc w:val="both"/>
        <w:rPr>
          <w:rFonts w:eastAsia="Calibri"/>
          <w:lang w:val="en-US"/>
        </w:rPr>
      </w:pPr>
      <w:proofErr w:type="spellStart"/>
      <w:r w:rsidRPr="00C56257">
        <w:rPr>
          <w:rFonts w:eastAsia="Calibri"/>
          <w:b/>
          <w:lang w:val="en-US"/>
        </w:rPr>
        <w:t>Recif</w:t>
      </w:r>
      <w:r>
        <w:rPr>
          <w:rFonts w:eastAsia="Calibri"/>
          <w:b/>
          <w:lang w:val="en-US"/>
        </w:rPr>
        <w:t>ele</w:t>
      </w:r>
      <w:proofErr w:type="spellEnd"/>
      <w:r w:rsidRPr="00C56257">
        <w:rPr>
          <w:rFonts w:eastAsia="Calibri"/>
          <w:b/>
          <w:lang w:val="en-US"/>
        </w:rPr>
        <w:t xml:space="preserve"> 1170 </w:t>
      </w:r>
      <w:r w:rsidRPr="00C56257">
        <w:rPr>
          <w:rFonts w:eastAsia="Calibri"/>
          <w:lang w:val="en-US"/>
        </w:rPr>
        <w:t xml:space="preserve">sunt </w:t>
      </w:r>
      <w:proofErr w:type="spellStart"/>
      <w:r w:rsidRPr="00C56257">
        <w:rPr>
          <w:rFonts w:eastAsia="Calibri"/>
          <w:lang w:val="en-US"/>
        </w:rPr>
        <w:t>structuri</w:t>
      </w:r>
      <w:proofErr w:type="spellEnd"/>
      <w:r w:rsidRPr="00C56257">
        <w:rPr>
          <w:rFonts w:eastAsia="Calibri"/>
          <w:lang w:val="en-US"/>
        </w:rPr>
        <w:t xml:space="preserve"> </w:t>
      </w:r>
      <w:proofErr w:type="spellStart"/>
      <w:r w:rsidRPr="00C56257">
        <w:rPr>
          <w:rFonts w:eastAsia="Calibri"/>
          <w:lang w:val="en-US"/>
        </w:rPr>
        <w:t>topografice</w:t>
      </w:r>
      <w:proofErr w:type="spellEnd"/>
      <w:r w:rsidRPr="00C56257">
        <w:rPr>
          <w:rFonts w:eastAsia="Calibri"/>
          <w:lang w:val="en-US"/>
        </w:rPr>
        <w:t xml:space="preserve"> </w:t>
      </w:r>
      <w:proofErr w:type="spellStart"/>
      <w:r w:rsidRPr="00C56257">
        <w:rPr>
          <w:rFonts w:eastAsia="Calibri"/>
          <w:lang w:val="en-US"/>
        </w:rPr>
        <w:t>complexe</w:t>
      </w:r>
      <w:proofErr w:type="spellEnd"/>
      <w:r w:rsidRPr="00C56257">
        <w:rPr>
          <w:rFonts w:eastAsia="Calibri"/>
          <w:lang w:val="en-US"/>
        </w:rPr>
        <w:t xml:space="preserve"> </w:t>
      </w:r>
      <w:proofErr w:type="spellStart"/>
      <w:r w:rsidRPr="00C56257">
        <w:rPr>
          <w:rFonts w:eastAsia="Calibri"/>
          <w:lang w:val="en-US"/>
        </w:rPr>
        <w:t>și</w:t>
      </w:r>
      <w:proofErr w:type="spellEnd"/>
      <w:r w:rsidRPr="00C56257">
        <w:rPr>
          <w:rFonts w:eastAsia="Calibri"/>
          <w:lang w:val="en-US"/>
        </w:rPr>
        <w:t xml:space="preserve"> pot </w:t>
      </w:r>
      <w:proofErr w:type="spellStart"/>
      <w:r w:rsidRPr="00C56257">
        <w:rPr>
          <w:rFonts w:eastAsia="Calibri"/>
          <w:lang w:val="en-US"/>
        </w:rPr>
        <w:t>cuprinde</w:t>
      </w:r>
      <w:proofErr w:type="spellEnd"/>
      <w:r w:rsidRPr="00C56257">
        <w:rPr>
          <w:rFonts w:eastAsia="Calibri"/>
          <w:lang w:val="en-US"/>
        </w:rPr>
        <w:t xml:space="preserve"> o </w:t>
      </w:r>
      <w:proofErr w:type="spellStart"/>
      <w:r w:rsidRPr="00C56257">
        <w:rPr>
          <w:rFonts w:eastAsia="Calibri"/>
          <w:lang w:val="en-US"/>
        </w:rPr>
        <w:t>gamă</w:t>
      </w:r>
      <w:proofErr w:type="spellEnd"/>
      <w:r w:rsidRPr="00C56257">
        <w:rPr>
          <w:rFonts w:eastAsia="Calibri"/>
          <w:lang w:val="en-US"/>
        </w:rPr>
        <w:t xml:space="preserve"> </w:t>
      </w:r>
      <w:proofErr w:type="spellStart"/>
      <w:r w:rsidRPr="00C56257">
        <w:rPr>
          <w:rFonts w:eastAsia="Calibri"/>
          <w:lang w:val="en-US"/>
        </w:rPr>
        <w:t>largă</w:t>
      </w:r>
      <w:proofErr w:type="spellEnd"/>
      <w:r w:rsidRPr="00C56257">
        <w:rPr>
          <w:rFonts w:eastAsia="Calibri"/>
          <w:lang w:val="en-US"/>
        </w:rPr>
        <w:t xml:space="preserve"> de </w:t>
      </w:r>
      <w:proofErr w:type="spellStart"/>
      <w:r w:rsidRPr="00C56257">
        <w:rPr>
          <w:rFonts w:eastAsia="Calibri"/>
          <w:lang w:val="en-US"/>
        </w:rPr>
        <w:t>biocenoze</w:t>
      </w:r>
      <w:proofErr w:type="spellEnd"/>
      <w:r w:rsidRPr="00C56257">
        <w:rPr>
          <w:rFonts w:eastAsia="Calibri"/>
          <w:lang w:val="en-US"/>
        </w:rPr>
        <w:t xml:space="preserve">, </w:t>
      </w:r>
      <w:proofErr w:type="spellStart"/>
      <w:r w:rsidRPr="00C56257">
        <w:rPr>
          <w:rFonts w:eastAsia="Calibri"/>
          <w:lang w:val="en-US"/>
        </w:rPr>
        <w:t>în</w:t>
      </w:r>
      <w:proofErr w:type="spellEnd"/>
      <w:r w:rsidRPr="00C56257">
        <w:rPr>
          <w:rFonts w:eastAsia="Calibri"/>
          <w:lang w:val="en-US"/>
        </w:rPr>
        <w:t xml:space="preserve"> special </w:t>
      </w:r>
      <w:proofErr w:type="spellStart"/>
      <w:r w:rsidRPr="00C56257">
        <w:rPr>
          <w:rFonts w:eastAsia="Calibri"/>
          <w:lang w:val="en-US"/>
        </w:rPr>
        <w:t>în</w:t>
      </w:r>
      <w:proofErr w:type="spellEnd"/>
      <w:r w:rsidRPr="00C56257">
        <w:rPr>
          <w:rFonts w:eastAsia="Calibri"/>
          <w:lang w:val="en-US"/>
        </w:rPr>
        <w:t xml:space="preserve"> </w:t>
      </w:r>
      <w:proofErr w:type="spellStart"/>
      <w:r w:rsidRPr="00C56257">
        <w:rPr>
          <w:rFonts w:eastAsia="Calibri"/>
          <w:lang w:val="en-US"/>
        </w:rPr>
        <w:t>cazul</w:t>
      </w:r>
      <w:proofErr w:type="spellEnd"/>
      <w:r w:rsidRPr="00C56257">
        <w:rPr>
          <w:rFonts w:eastAsia="Calibri"/>
          <w:lang w:val="en-US"/>
        </w:rPr>
        <w:t xml:space="preserve"> </w:t>
      </w:r>
      <w:proofErr w:type="spellStart"/>
      <w:r w:rsidRPr="00C56257">
        <w:rPr>
          <w:rFonts w:eastAsia="Calibri"/>
          <w:lang w:val="en-US"/>
        </w:rPr>
        <w:t>în</w:t>
      </w:r>
      <w:proofErr w:type="spellEnd"/>
      <w:r w:rsidRPr="00C56257">
        <w:rPr>
          <w:rFonts w:eastAsia="Calibri"/>
          <w:lang w:val="en-US"/>
        </w:rPr>
        <w:t xml:space="preserve"> care un </w:t>
      </w:r>
      <w:proofErr w:type="spellStart"/>
      <w:r w:rsidRPr="00C56257">
        <w:rPr>
          <w:rFonts w:eastAsia="Calibri"/>
          <w:lang w:val="en-US"/>
        </w:rPr>
        <w:t>recif</w:t>
      </w:r>
      <w:proofErr w:type="spellEnd"/>
      <w:r w:rsidRPr="00C56257">
        <w:rPr>
          <w:rFonts w:eastAsia="Calibri"/>
          <w:lang w:val="en-US"/>
        </w:rPr>
        <w:t xml:space="preserve"> se </w:t>
      </w:r>
      <w:proofErr w:type="spellStart"/>
      <w:r w:rsidRPr="00C56257">
        <w:rPr>
          <w:rFonts w:eastAsia="Calibri"/>
          <w:lang w:val="en-US"/>
        </w:rPr>
        <w:t>extinde</w:t>
      </w:r>
      <w:proofErr w:type="spellEnd"/>
      <w:r w:rsidRPr="00C56257">
        <w:rPr>
          <w:rFonts w:eastAsia="Calibri"/>
          <w:lang w:val="en-US"/>
        </w:rPr>
        <w:t xml:space="preserve"> de la zona </w:t>
      </w:r>
      <w:proofErr w:type="spellStart"/>
      <w:r w:rsidRPr="00C56257">
        <w:rPr>
          <w:rFonts w:eastAsia="Calibri"/>
          <w:lang w:val="en-US"/>
        </w:rPr>
        <w:t>mediolitorală</w:t>
      </w:r>
      <w:proofErr w:type="spellEnd"/>
      <w:r w:rsidRPr="00C56257">
        <w:rPr>
          <w:rFonts w:eastAsia="Calibri"/>
          <w:lang w:val="en-US"/>
        </w:rPr>
        <w:t xml:space="preserve"> la zona </w:t>
      </w:r>
      <w:proofErr w:type="spellStart"/>
      <w:r w:rsidRPr="00C56257">
        <w:rPr>
          <w:rFonts w:eastAsia="Calibri"/>
          <w:lang w:val="en-US"/>
        </w:rPr>
        <w:t>circalitorală</w:t>
      </w:r>
      <w:proofErr w:type="spellEnd"/>
      <w:r w:rsidRPr="00C56257">
        <w:rPr>
          <w:rFonts w:eastAsia="Calibri"/>
          <w:lang w:val="en-US"/>
        </w:rPr>
        <w:t xml:space="preserve"> de </w:t>
      </w:r>
      <w:proofErr w:type="spellStart"/>
      <w:r w:rsidRPr="00C56257">
        <w:rPr>
          <w:rFonts w:eastAsia="Calibri"/>
          <w:lang w:val="en-US"/>
        </w:rPr>
        <w:t>adâncime</w:t>
      </w:r>
      <w:proofErr w:type="spellEnd"/>
      <w:r w:rsidRPr="00C56257">
        <w:rPr>
          <w:rFonts w:eastAsia="Calibri"/>
          <w:lang w:val="en-US"/>
        </w:rPr>
        <w:t xml:space="preserve">. O </w:t>
      </w:r>
      <w:proofErr w:type="spellStart"/>
      <w:r w:rsidRPr="00C56257">
        <w:rPr>
          <w:rFonts w:eastAsia="Calibri"/>
          <w:lang w:val="en-US"/>
        </w:rPr>
        <w:t>astfel</w:t>
      </w:r>
      <w:proofErr w:type="spellEnd"/>
      <w:r w:rsidRPr="00C56257">
        <w:rPr>
          <w:rFonts w:eastAsia="Calibri"/>
          <w:lang w:val="en-US"/>
        </w:rPr>
        <w:t xml:space="preserve"> de </w:t>
      </w:r>
      <w:proofErr w:type="spellStart"/>
      <w:r w:rsidRPr="00C56257">
        <w:rPr>
          <w:rFonts w:eastAsia="Calibri"/>
          <w:lang w:val="en-US"/>
        </w:rPr>
        <w:t>complexitate</w:t>
      </w:r>
      <w:proofErr w:type="spellEnd"/>
      <w:r w:rsidRPr="00C56257">
        <w:rPr>
          <w:rFonts w:eastAsia="Calibri"/>
          <w:lang w:val="en-US"/>
        </w:rPr>
        <w:t xml:space="preserve"> </w:t>
      </w:r>
      <w:proofErr w:type="spellStart"/>
      <w:r w:rsidRPr="00C56257">
        <w:rPr>
          <w:rFonts w:eastAsia="Calibri"/>
          <w:lang w:val="en-US"/>
        </w:rPr>
        <w:t>într</w:t>
      </w:r>
      <w:proofErr w:type="spellEnd"/>
      <w:r w:rsidRPr="00C56257">
        <w:rPr>
          <w:rFonts w:eastAsia="Calibri"/>
          <w:lang w:val="en-US"/>
        </w:rPr>
        <w:t xml:space="preserve">-un </w:t>
      </w:r>
      <w:proofErr w:type="spellStart"/>
      <w:r w:rsidRPr="00C56257">
        <w:rPr>
          <w:rFonts w:eastAsia="Calibri"/>
          <w:lang w:val="en-US"/>
        </w:rPr>
        <w:t>singur</w:t>
      </w:r>
      <w:proofErr w:type="spellEnd"/>
      <w:r w:rsidRPr="00C56257">
        <w:rPr>
          <w:rFonts w:eastAsia="Calibri"/>
          <w:lang w:val="en-US"/>
        </w:rPr>
        <w:t xml:space="preserve"> </w:t>
      </w:r>
      <w:proofErr w:type="spellStart"/>
      <w:r w:rsidRPr="00C56257">
        <w:rPr>
          <w:rFonts w:eastAsia="Calibri"/>
          <w:lang w:val="en-US"/>
        </w:rPr>
        <w:t>recif</w:t>
      </w:r>
      <w:proofErr w:type="spellEnd"/>
      <w:r w:rsidRPr="00C56257">
        <w:rPr>
          <w:rFonts w:eastAsia="Calibri"/>
          <w:lang w:val="en-US"/>
        </w:rPr>
        <w:t xml:space="preserve"> </w:t>
      </w:r>
      <w:proofErr w:type="spellStart"/>
      <w:r w:rsidRPr="00C56257">
        <w:rPr>
          <w:rFonts w:eastAsia="Calibri"/>
          <w:lang w:val="en-US"/>
        </w:rPr>
        <w:t>și</w:t>
      </w:r>
      <w:proofErr w:type="spellEnd"/>
      <w:r w:rsidRPr="00C56257">
        <w:rPr>
          <w:rFonts w:eastAsia="Calibri"/>
          <w:lang w:val="en-US"/>
        </w:rPr>
        <w:t xml:space="preserve"> </w:t>
      </w:r>
      <w:proofErr w:type="spellStart"/>
      <w:r w:rsidRPr="00C56257">
        <w:rPr>
          <w:rFonts w:eastAsia="Calibri"/>
          <w:lang w:val="en-US"/>
        </w:rPr>
        <w:t>între</w:t>
      </w:r>
      <w:proofErr w:type="spellEnd"/>
      <w:r w:rsidRPr="00C56257">
        <w:rPr>
          <w:rFonts w:eastAsia="Calibri"/>
          <w:lang w:val="en-US"/>
        </w:rPr>
        <w:t xml:space="preserve"> </w:t>
      </w:r>
      <w:proofErr w:type="spellStart"/>
      <w:r w:rsidRPr="00C56257">
        <w:rPr>
          <w:rFonts w:eastAsia="Calibri"/>
          <w:lang w:val="en-US"/>
        </w:rPr>
        <w:t>recifi</w:t>
      </w:r>
      <w:proofErr w:type="spellEnd"/>
      <w:r w:rsidRPr="00C56257">
        <w:rPr>
          <w:rFonts w:eastAsia="Calibri"/>
          <w:lang w:val="en-US"/>
        </w:rPr>
        <w:t xml:space="preserve"> </w:t>
      </w:r>
      <w:proofErr w:type="spellStart"/>
      <w:r w:rsidRPr="00C56257">
        <w:rPr>
          <w:rFonts w:eastAsia="Calibri"/>
          <w:lang w:val="en-US"/>
        </w:rPr>
        <w:t>prezintă</w:t>
      </w:r>
      <w:proofErr w:type="spellEnd"/>
      <w:r w:rsidRPr="00C56257">
        <w:rPr>
          <w:rFonts w:eastAsia="Calibri"/>
          <w:lang w:val="en-US"/>
        </w:rPr>
        <w:t xml:space="preserve"> </w:t>
      </w:r>
      <w:proofErr w:type="spellStart"/>
      <w:r w:rsidRPr="00C56257">
        <w:rPr>
          <w:rFonts w:eastAsia="Calibri"/>
          <w:lang w:val="en-US"/>
        </w:rPr>
        <w:t>obstacole</w:t>
      </w:r>
      <w:proofErr w:type="spellEnd"/>
      <w:r w:rsidRPr="00C56257">
        <w:rPr>
          <w:rFonts w:eastAsia="Calibri"/>
          <w:lang w:val="en-US"/>
        </w:rPr>
        <w:t xml:space="preserve"> </w:t>
      </w:r>
      <w:proofErr w:type="spellStart"/>
      <w:r w:rsidRPr="00C56257">
        <w:rPr>
          <w:rFonts w:eastAsia="Calibri"/>
          <w:lang w:val="en-US"/>
        </w:rPr>
        <w:t>considerabile</w:t>
      </w:r>
      <w:proofErr w:type="spellEnd"/>
      <w:r w:rsidRPr="00C56257">
        <w:rPr>
          <w:rFonts w:eastAsia="Calibri"/>
          <w:lang w:val="en-US"/>
        </w:rPr>
        <w:t xml:space="preserve"> </w:t>
      </w:r>
      <w:proofErr w:type="spellStart"/>
      <w:r w:rsidRPr="00C56257">
        <w:rPr>
          <w:rFonts w:eastAsia="Calibri"/>
          <w:lang w:val="en-US"/>
        </w:rPr>
        <w:t>pentru</w:t>
      </w:r>
      <w:proofErr w:type="spellEnd"/>
      <w:r w:rsidRPr="00C56257">
        <w:rPr>
          <w:rFonts w:eastAsia="Calibri"/>
          <w:lang w:val="en-US"/>
        </w:rPr>
        <w:t xml:space="preserve"> </w:t>
      </w:r>
      <w:proofErr w:type="spellStart"/>
      <w:r w:rsidRPr="00C56257">
        <w:rPr>
          <w:rFonts w:eastAsia="Calibri"/>
          <w:lang w:val="en-US"/>
        </w:rPr>
        <w:t>realizarea</w:t>
      </w:r>
      <w:proofErr w:type="spellEnd"/>
      <w:r w:rsidRPr="00C56257">
        <w:rPr>
          <w:rFonts w:eastAsia="Calibri"/>
          <w:lang w:val="en-US"/>
        </w:rPr>
        <w:t xml:space="preserve"> </w:t>
      </w:r>
      <w:proofErr w:type="spellStart"/>
      <w:r w:rsidRPr="00C56257">
        <w:rPr>
          <w:rFonts w:eastAsia="Calibri"/>
          <w:lang w:val="en-US"/>
        </w:rPr>
        <w:t>unei</w:t>
      </w:r>
      <w:proofErr w:type="spellEnd"/>
      <w:r w:rsidRPr="00C56257">
        <w:rPr>
          <w:rFonts w:eastAsia="Calibri"/>
          <w:lang w:val="en-US"/>
        </w:rPr>
        <w:t xml:space="preserve"> </w:t>
      </w:r>
      <w:proofErr w:type="spellStart"/>
      <w:r w:rsidRPr="00C56257">
        <w:rPr>
          <w:rFonts w:eastAsia="Calibri"/>
          <w:lang w:val="en-US"/>
        </w:rPr>
        <w:t>strategii</w:t>
      </w:r>
      <w:proofErr w:type="spellEnd"/>
      <w:r w:rsidRPr="00C56257">
        <w:rPr>
          <w:rFonts w:eastAsia="Calibri"/>
          <w:lang w:val="en-US"/>
        </w:rPr>
        <w:t xml:space="preserve"> </w:t>
      </w:r>
      <w:proofErr w:type="spellStart"/>
      <w:r w:rsidRPr="00C56257">
        <w:rPr>
          <w:rFonts w:eastAsia="Calibri"/>
          <w:lang w:val="en-US"/>
        </w:rPr>
        <w:t>coerente</w:t>
      </w:r>
      <w:proofErr w:type="spellEnd"/>
      <w:r w:rsidRPr="00C56257">
        <w:rPr>
          <w:rFonts w:eastAsia="Calibri"/>
          <w:lang w:val="en-US"/>
        </w:rPr>
        <w:t xml:space="preserve"> de </w:t>
      </w:r>
      <w:proofErr w:type="spellStart"/>
      <w:r w:rsidRPr="00C56257">
        <w:rPr>
          <w:rFonts w:eastAsia="Calibri"/>
          <w:lang w:val="en-US"/>
        </w:rPr>
        <w:t>monitorizare</w:t>
      </w:r>
      <w:proofErr w:type="spellEnd"/>
      <w:r w:rsidRPr="00C56257">
        <w:rPr>
          <w:rFonts w:eastAsia="Calibri"/>
          <w:lang w:val="en-US"/>
        </w:rPr>
        <w:t xml:space="preserve"> </w:t>
      </w:r>
      <w:proofErr w:type="spellStart"/>
      <w:r w:rsidRPr="00C56257">
        <w:rPr>
          <w:rFonts w:eastAsia="Calibri"/>
          <w:lang w:val="en-US"/>
        </w:rPr>
        <w:t>în</w:t>
      </w:r>
      <w:proofErr w:type="spellEnd"/>
      <w:r w:rsidRPr="00C56257">
        <w:rPr>
          <w:rFonts w:eastAsia="Calibri"/>
          <w:lang w:val="en-US"/>
        </w:rPr>
        <w:t xml:space="preserve"> </w:t>
      </w:r>
      <w:proofErr w:type="spellStart"/>
      <w:r w:rsidRPr="00C56257">
        <w:rPr>
          <w:rFonts w:eastAsia="Calibri"/>
          <w:lang w:val="en-US"/>
        </w:rPr>
        <w:t>cadrul</w:t>
      </w:r>
      <w:proofErr w:type="spellEnd"/>
      <w:r w:rsidRPr="00C56257">
        <w:rPr>
          <w:rFonts w:eastAsia="Calibri"/>
          <w:lang w:val="en-US"/>
        </w:rPr>
        <w:t xml:space="preserve"> </w:t>
      </w:r>
      <w:proofErr w:type="spellStart"/>
      <w:r w:rsidRPr="00C56257">
        <w:rPr>
          <w:rFonts w:eastAsia="Calibri"/>
          <w:lang w:val="en-US"/>
        </w:rPr>
        <w:t>unei</w:t>
      </w:r>
      <w:proofErr w:type="spellEnd"/>
      <w:r w:rsidRPr="00C56257">
        <w:rPr>
          <w:rFonts w:eastAsia="Calibri"/>
          <w:lang w:val="en-US"/>
        </w:rPr>
        <w:t xml:space="preserve"> </w:t>
      </w:r>
      <w:proofErr w:type="spellStart"/>
      <w:r w:rsidRPr="00C56257">
        <w:rPr>
          <w:rFonts w:eastAsia="Calibri"/>
          <w:lang w:val="en-US"/>
        </w:rPr>
        <w:t>arii</w:t>
      </w:r>
      <w:proofErr w:type="spellEnd"/>
      <w:r w:rsidRPr="00C56257">
        <w:rPr>
          <w:rFonts w:eastAsia="Calibri"/>
          <w:lang w:val="en-US"/>
        </w:rPr>
        <w:t xml:space="preserve"> </w:t>
      </w:r>
      <w:proofErr w:type="spellStart"/>
      <w:r w:rsidRPr="00C56257">
        <w:rPr>
          <w:rFonts w:eastAsia="Calibri"/>
          <w:lang w:val="en-US"/>
        </w:rPr>
        <w:t>speciale</w:t>
      </w:r>
      <w:proofErr w:type="spellEnd"/>
      <w:r w:rsidRPr="00C56257">
        <w:rPr>
          <w:rFonts w:eastAsia="Calibri"/>
          <w:lang w:val="en-US"/>
        </w:rPr>
        <w:t xml:space="preserve"> de </w:t>
      </w:r>
      <w:proofErr w:type="spellStart"/>
      <w:r w:rsidRPr="00C56257">
        <w:rPr>
          <w:rFonts w:eastAsia="Calibri"/>
          <w:lang w:val="en-US"/>
        </w:rPr>
        <w:t>conservare</w:t>
      </w:r>
      <w:proofErr w:type="spellEnd"/>
      <w:r w:rsidRPr="00C56257">
        <w:rPr>
          <w:rFonts w:eastAsia="Calibri"/>
          <w:lang w:val="en-US"/>
        </w:rPr>
        <w:t xml:space="preserve">. </w:t>
      </w:r>
      <w:proofErr w:type="spellStart"/>
      <w:r w:rsidRPr="00C56257">
        <w:rPr>
          <w:rFonts w:eastAsia="Calibri"/>
          <w:lang w:val="en-US"/>
        </w:rPr>
        <w:t>Recifii</w:t>
      </w:r>
      <w:proofErr w:type="spellEnd"/>
      <w:r w:rsidRPr="00C56257">
        <w:rPr>
          <w:rFonts w:eastAsia="Calibri"/>
          <w:lang w:val="en-US"/>
        </w:rPr>
        <w:t xml:space="preserve"> pot fi </w:t>
      </w:r>
      <w:proofErr w:type="spellStart"/>
      <w:r w:rsidRPr="00C56257">
        <w:rPr>
          <w:rFonts w:eastAsia="Calibri"/>
          <w:lang w:val="en-US"/>
        </w:rPr>
        <w:t>găsiți</w:t>
      </w:r>
      <w:proofErr w:type="spellEnd"/>
      <w:r w:rsidRPr="00C56257">
        <w:rPr>
          <w:rFonts w:eastAsia="Calibri"/>
          <w:lang w:val="en-US"/>
        </w:rPr>
        <w:t xml:space="preserve"> </w:t>
      </w:r>
      <w:proofErr w:type="spellStart"/>
      <w:r w:rsidRPr="00C56257">
        <w:rPr>
          <w:rFonts w:eastAsia="Calibri"/>
          <w:lang w:val="en-US"/>
        </w:rPr>
        <w:t>în</w:t>
      </w:r>
      <w:proofErr w:type="spellEnd"/>
      <w:r w:rsidRPr="00C56257">
        <w:rPr>
          <w:rFonts w:eastAsia="Calibri"/>
          <w:lang w:val="en-US"/>
        </w:rPr>
        <w:t xml:space="preserve"> </w:t>
      </w:r>
      <w:proofErr w:type="spellStart"/>
      <w:r w:rsidRPr="00C56257">
        <w:rPr>
          <w:rFonts w:eastAsia="Calibri"/>
          <w:lang w:val="en-US"/>
        </w:rPr>
        <w:t>asociere</w:t>
      </w:r>
      <w:proofErr w:type="spellEnd"/>
      <w:r w:rsidRPr="00C56257">
        <w:rPr>
          <w:rFonts w:eastAsia="Calibri"/>
          <w:lang w:val="en-US"/>
        </w:rPr>
        <w:t xml:space="preserve"> cu „</w:t>
      </w:r>
      <w:proofErr w:type="spellStart"/>
      <w:r w:rsidRPr="00C56257">
        <w:rPr>
          <w:rFonts w:eastAsia="Calibri"/>
          <w:lang w:val="en-US"/>
        </w:rPr>
        <w:t>bancuri</w:t>
      </w:r>
      <w:proofErr w:type="spellEnd"/>
      <w:r w:rsidRPr="00C56257">
        <w:rPr>
          <w:rFonts w:eastAsia="Calibri"/>
          <w:lang w:val="en-US"/>
        </w:rPr>
        <w:t xml:space="preserve"> de </w:t>
      </w:r>
      <w:proofErr w:type="spellStart"/>
      <w:r w:rsidRPr="00C56257">
        <w:rPr>
          <w:rFonts w:eastAsia="Calibri"/>
          <w:lang w:val="en-US"/>
        </w:rPr>
        <w:t>nisip</w:t>
      </w:r>
      <w:proofErr w:type="spellEnd"/>
      <w:r w:rsidRPr="00C56257">
        <w:rPr>
          <w:rFonts w:eastAsia="Calibri"/>
          <w:lang w:val="en-US"/>
        </w:rPr>
        <w:t xml:space="preserve"> permanent submerse la </w:t>
      </w:r>
      <w:proofErr w:type="spellStart"/>
      <w:r w:rsidRPr="00C56257">
        <w:rPr>
          <w:rFonts w:eastAsia="Calibri"/>
          <w:lang w:val="en-US"/>
        </w:rPr>
        <w:t>mică</w:t>
      </w:r>
      <w:proofErr w:type="spellEnd"/>
      <w:r w:rsidRPr="00C56257">
        <w:rPr>
          <w:rFonts w:eastAsia="Calibri"/>
          <w:lang w:val="en-US"/>
        </w:rPr>
        <w:t xml:space="preserve"> </w:t>
      </w:r>
      <w:proofErr w:type="spellStart"/>
      <w:r w:rsidRPr="00C56257">
        <w:rPr>
          <w:rFonts w:eastAsia="Calibri"/>
          <w:lang w:val="en-US"/>
        </w:rPr>
        <w:t>adâncime</w:t>
      </w:r>
      <w:proofErr w:type="spellEnd"/>
      <w:r w:rsidRPr="00C56257">
        <w:rPr>
          <w:rFonts w:eastAsia="Calibri"/>
          <w:lang w:val="en-US"/>
        </w:rPr>
        <w:t>” (</w:t>
      </w:r>
      <w:proofErr w:type="spellStart"/>
      <w:r w:rsidRPr="00C56257">
        <w:rPr>
          <w:rFonts w:eastAsia="Calibri"/>
          <w:lang w:val="en-US"/>
        </w:rPr>
        <w:t>habitatul</w:t>
      </w:r>
      <w:proofErr w:type="spellEnd"/>
      <w:r w:rsidRPr="00C56257">
        <w:rPr>
          <w:rFonts w:eastAsia="Calibri"/>
          <w:lang w:val="en-US"/>
        </w:rPr>
        <w:t xml:space="preserve"> 1110) </w:t>
      </w:r>
      <w:proofErr w:type="spellStart"/>
      <w:r w:rsidRPr="00C56257">
        <w:rPr>
          <w:rFonts w:eastAsia="Calibri"/>
          <w:lang w:val="en-US"/>
        </w:rPr>
        <w:t>şi</w:t>
      </w:r>
      <w:proofErr w:type="spellEnd"/>
      <w:r w:rsidRPr="00C56257">
        <w:rPr>
          <w:rFonts w:eastAsia="Calibri"/>
          <w:lang w:val="en-US"/>
        </w:rPr>
        <w:t xml:space="preserve"> cu „</w:t>
      </w:r>
      <w:proofErr w:type="spellStart"/>
      <w:r w:rsidRPr="00C56257">
        <w:rPr>
          <w:rFonts w:eastAsia="Calibri"/>
          <w:lang w:val="en-US"/>
        </w:rPr>
        <w:t>peşteri</w:t>
      </w:r>
      <w:proofErr w:type="spellEnd"/>
      <w:r w:rsidRPr="00C56257">
        <w:rPr>
          <w:rFonts w:eastAsia="Calibri"/>
          <w:lang w:val="en-US"/>
        </w:rPr>
        <w:t xml:space="preserve"> marine” (</w:t>
      </w:r>
      <w:proofErr w:type="spellStart"/>
      <w:r w:rsidRPr="00C56257">
        <w:rPr>
          <w:rFonts w:eastAsia="Calibri"/>
          <w:lang w:val="en-US"/>
        </w:rPr>
        <w:t>habitatul</w:t>
      </w:r>
      <w:proofErr w:type="spellEnd"/>
      <w:r w:rsidRPr="00C56257">
        <w:rPr>
          <w:rFonts w:eastAsia="Calibri"/>
          <w:lang w:val="en-US"/>
        </w:rPr>
        <w:t xml:space="preserve"> 8330). De </w:t>
      </w:r>
      <w:proofErr w:type="spellStart"/>
      <w:r w:rsidRPr="00C56257">
        <w:rPr>
          <w:rFonts w:eastAsia="Calibri"/>
          <w:lang w:val="en-US"/>
        </w:rPr>
        <w:t>asemenea</w:t>
      </w:r>
      <w:proofErr w:type="spellEnd"/>
      <w:r w:rsidRPr="00C56257">
        <w:rPr>
          <w:rFonts w:eastAsia="Calibri"/>
          <w:lang w:val="en-US"/>
        </w:rPr>
        <w:t xml:space="preserve">, </w:t>
      </w:r>
      <w:proofErr w:type="spellStart"/>
      <w:r w:rsidRPr="00C56257">
        <w:rPr>
          <w:rFonts w:eastAsia="Calibri"/>
          <w:lang w:val="en-US"/>
        </w:rPr>
        <w:t>recifii</w:t>
      </w:r>
      <w:proofErr w:type="spellEnd"/>
      <w:r w:rsidRPr="00C56257">
        <w:rPr>
          <w:rFonts w:eastAsia="Calibri"/>
          <w:lang w:val="en-US"/>
        </w:rPr>
        <w:t xml:space="preserve"> pot fi </w:t>
      </w:r>
      <w:proofErr w:type="spellStart"/>
      <w:r w:rsidRPr="00C56257">
        <w:rPr>
          <w:rFonts w:eastAsia="Calibri"/>
          <w:lang w:val="en-US"/>
        </w:rPr>
        <w:t>parte</w:t>
      </w:r>
      <w:proofErr w:type="spellEnd"/>
      <w:r w:rsidRPr="00C56257">
        <w:rPr>
          <w:rFonts w:eastAsia="Calibri"/>
          <w:lang w:val="en-US"/>
        </w:rPr>
        <w:t xml:space="preserve"> </w:t>
      </w:r>
      <w:proofErr w:type="spellStart"/>
      <w:r w:rsidRPr="00C56257">
        <w:rPr>
          <w:rFonts w:eastAsia="Calibri"/>
          <w:lang w:val="en-US"/>
        </w:rPr>
        <w:t>componentă</w:t>
      </w:r>
      <w:proofErr w:type="spellEnd"/>
      <w:r w:rsidRPr="00C56257">
        <w:rPr>
          <w:rFonts w:eastAsia="Calibri"/>
          <w:lang w:val="en-US"/>
        </w:rPr>
        <w:t xml:space="preserve"> a </w:t>
      </w:r>
      <w:proofErr w:type="spellStart"/>
      <w:r w:rsidRPr="00C56257">
        <w:rPr>
          <w:rFonts w:eastAsia="Calibri"/>
          <w:lang w:val="en-US"/>
        </w:rPr>
        <w:t>habitatului</w:t>
      </w:r>
      <w:proofErr w:type="spellEnd"/>
      <w:r w:rsidRPr="00C56257">
        <w:rPr>
          <w:rFonts w:eastAsia="Calibri"/>
          <w:lang w:val="en-US"/>
        </w:rPr>
        <w:t xml:space="preserve"> 1130 (</w:t>
      </w:r>
      <w:proofErr w:type="spellStart"/>
      <w:r w:rsidRPr="00C56257">
        <w:rPr>
          <w:rFonts w:eastAsia="Calibri"/>
          <w:lang w:val="en-US"/>
        </w:rPr>
        <w:t>estuare</w:t>
      </w:r>
      <w:proofErr w:type="spellEnd"/>
      <w:r w:rsidRPr="00C56257">
        <w:rPr>
          <w:rFonts w:eastAsia="Calibri"/>
          <w:lang w:val="en-US"/>
        </w:rPr>
        <w:t xml:space="preserve">) </w:t>
      </w:r>
      <w:proofErr w:type="spellStart"/>
      <w:r w:rsidRPr="00C56257">
        <w:rPr>
          <w:rFonts w:eastAsia="Calibri"/>
          <w:lang w:val="en-US"/>
        </w:rPr>
        <w:t>şi</w:t>
      </w:r>
      <w:proofErr w:type="spellEnd"/>
      <w:r w:rsidRPr="00C56257">
        <w:rPr>
          <w:rFonts w:eastAsia="Calibri"/>
          <w:lang w:val="en-US"/>
        </w:rPr>
        <w:t xml:space="preserve"> a </w:t>
      </w:r>
      <w:proofErr w:type="spellStart"/>
      <w:r w:rsidRPr="00C56257">
        <w:rPr>
          <w:rFonts w:eastAsia="Calibri"/>
          <w:lang w:val="en-US"/>
        </w:rPr>
        <w:t>habitatului</w:t>
      </w:r>
      <w:proofErr w:type="spellEnd"/>
      <w:r w:rsidRPr="00C56257">
        <w:rPr>
          <w:rFonts w:eastAsia="Calibri"/>
          <w:lang w:val="en-US"/>
        </w:rPr>
        <w:t xml:space="preserve"> 1160 (</w:t>
      </w:r>
      <w:proofErr w:type="spellStart"/>
      <w:r w:rsidRPr="00C56257">
        <w:rPr>
          <w:rFonts w:eastAsia="Calibri"/>
          <w:lang w:val="en-US"/>
        </w:rPr>
        <w:t>braţe</w:t>
      </w:r>
      <w:proofErr w:type="spellEnd"/>
      <w:r w:rsidRPr="00C56257">
        <w:rPr>
          <w:rFonts w:eastAsia="Calibri"/>
          <w:lang w:val="en-US"/>
        </w:rPr>
        <w:t xml:space="preserve"> de mare </w:t>
      </w:r>
      <w:proofErr w:type="spellStart"/>
      <w:r w:rsidRPr="00C56257">
        <w:rPr>
          <w:rFonts w:eastAsia="Calibri"/>
          <w:lang w:val="en-US"/>
        </w:rPr>
        <w:t>şi</w:t>
      </w:r>
      <w:proofErr w:type="spellEnd"/>
      <w:r w:rsidRPr="00C56257">
        <w:rPr>
          <w:rFonts w:eastAsia="Calibri"/>
          <w:lang w:val="en-US"/>
        </w:rPr>
        <w:t xml:space="preserve"> </w:t>
      </w:r>
      <w:proofErr w:type="spellStart"/>
      <w:r w:rsidRPr="00C56257">
        <w:rPr>
          <w:rFonts w:eastAsia="Calibri"/>
          <w:lang w:val="en-US"/>
        </w:rPr>
        <w:t>golfuri</w:t>
      </w:r>
      <w:proofErr w:type="spellEnd"/>
      <w:r w:rsidRPr="00C56257">
        <w:rPr>
          <w:rFonts w:eastAsia="Calibri"/>
          <w:lang w:val="en-US"/>
        </w:rPr>
        <w:t xml:space="preserve"> </w:t>
      </w:r>
      <w:proofErr w:type="spellStart"/>
      <w:r w:rsidRPr="00C56257">
        <w:rPr>
          <w:rFonts w:eastAsia="Calibri"/>
          <w:lang w:val="en-US"/>
        </w:rPr>
        <w:t>mari</w:t>
      </w:r>
      <w:proofErr w:type="spellEnd"/>
      <w:r w:rsidRPr="00C56257">
        <w:rPr>
          <w:rFonts w:eastAsia="Calibri"/>
          <w:lang w:val="en-US"/>
        </w:rPr>
        <w:t xml:space="preserve"> </w:t>
      </w:r>
      <w:proofErr w:type="spellStart"/>
      <w:r w:rsidRPr="00C56257">
        <w:rPr>
          <w:rFonts w:eastAsia="Calibri"/>
          <w:lang w:val="en-US"/>
        </w:rPr>
        <w:t>puţin</w:t>
      </w:r>
      <w:proofErr w:type="spellEnd"/>
      <w:r w:rsidRPr="00C56257">
        <w:rPr>
          <w:rFonts w:eastAsia="Calibri"/>
          <w:lang w:val="en-US"/>
        </w:rPr>
        <w:t xml:space="preserve"> </w:t>
      </w:r>
      <w:proofErr w:type="spellStart"/>
      <w:r w:rsidRPr="00C56257">
        <w:rPr>
          <w:rFonts w:eastAsia="Calibri"/>
          <w:lang w:val="en-US"/>
        </w:rPr>
        <w:t>adânci</w:t>
      </w:r>
      <w:proofErr w:type="spellEnd"/>
      <w:r w:rsidRPr="00C56257">
        <w:rPr>
          <w:rFonts w:eastAsia="Calibri"/>
          <w:lang w:val="en-US"/>
        </w:rPr>
        <w:t xml:space="preserve">). Prin </w:t>
      </w:r>
      <w:proofErr w:type="spellStart"/>
      <w:r w:rsidRPr="00C56257">
        <w:rPr>
          <w:rFonts w:eastAsia="Calibri"/>
          <w:lang w:val="en-US"/>
        </w:rPr>
        <w:t>urmare</w:t>
      </w:r>
      <w:proofErr w:type="spellEnd"/>
      <w:r w:rsidRPr="00C56257">
        <w:rPr>
          <w:rFonts w:eastAsia="Calibri"/>
          <w:lang w:val="en-US"/>
        </w:rPr>
        <w:t xml:space="preserve">, nu </w:t>
      </w:r>
      <w:proofErr w:type="spellStart"/>
      <w:r w:rsidRPr="00C56257">
        <w:rPr>
          <w:rFonts w:eastAsia="Calibri"/>
          <w:lang w:val="en-US"/>
        </w:rPr>
        <w:t>este</w:t>
      </w:r>
      <w:proofErr w:type="spellEnd"/>
      <w:r w:rsidRPr="00C56257">
        <w:rPr>
          <w:rFonts w:eastAsia="Calibri"/>
          <w:lang w:val="en-US"/>
        </w:rPr>
        <w:t xml:space="preserve"> </w:t>
      </w:r>
      <w:proofErr w:type="spellStart"/>
      <w:r w:rsidRPr="00C56257">
        <w:rPr>
          <w:rFonts w:eastAsia="Calibri"/>
          <w:lang w:val="en-US"/>
        </w:rPr>
        <w:t>posibil</w:t>
      </w:r>
      <w:proofErr w:type="spellEnd"/>
      <w:r w:rsidRPr="00C56257">
        <w:rPr>
          <w:rFonts w:eastAsia="Calibri"/>
          <w:lang w:val="en-US"/>
        </w:rPr>
        <w:t xml:space="preserve"> </w:t>
      </w:r>
      <w:proofErr w:type="spellStart"/>
      <w:r w:rsidRPr="00C56257">
        <w:rPr>
          <w:rFonts w:eastAsia="Calibri"/>
          <w:lang w:val="en-US"/>
        </w:rPr>
        <w:t>să</w:t>
      </w:r>
      <w:proofErr w:type="spellEnd"/>
      <w:r w:rsidRPr="00C56257">
        <w:rPr>
          <w:rFonts w:eastAsia="Calibri"/>
          <w:lang w:val="en-US"/>
        </w:rPr>
        <w:t xml:space="preserve"> se </w:t>
      </w:r>
      <w:proofErr w:type="spellStart"/>
      <w:r w:rsidRPr="00C56257">
        <w:rPr>
          <w:rFonts w:eastAsia="Calibri"/>
          <w:lang w:val="en-US"/>
        </w:rPr>
        <w:t>ia</w:t>
      </w:r>
      <w:proofErr w:type="spellEnd"/>
      <w:r w:rsidRPr="00C56257">
        <w:rPr>
          <w:rFonts w:eastAsia="Calibri"/>
          <w:lang w:val="en-US"/>
        </w:rPr>
        <w:t xml:space="preserve"> </w:t>
      </w:r>
      <w:proofErr w:type="spellStart"/>
      <w:r w:rsidRPr="00C56257">
        <w:rPr>
          <w:rFonts w:eastAsia="Calibri"/>
          <w:lang w:val="en-US"/>
        </w:rPr>
        <w:t>în</w:t>
      </w:r>
      <w:proofErr w:type="spellEnd"/>
      <w:r w:rsidRPr="00C56257">
        <w:rPr>
          <w:rFonts w:eastAsia="Calibri"/>
          <w:lang w:val="en-US"/>
        </w:rPr>
        <w:t xml:space="preserve"> </w:t>
      </w:r>
      <w:proofErr w:type="spellStart"/>
      <w:r w:rsidRPr="00C56257">
        <w:rPr>
          <w:rFonts w:eastAsia="Calibri"/>
          <w:lang w:val="en-US"/>
        </w:rPr>
        <w:t>considerare</w:t>
      </w:r>
      <w:proofErr w:type="spellEnd"/>
      <w:r w:rsidRPr="00C56257">
        <w:rPr>
          <w:rFonts w:eastAsia="Calibri"/>
          <w:lang w:val="en-US"/>
        </w:rPr>
        <w:t xml:space="preserve"> </w:t>
      </w:r>
      <w:proofErr w:type="spellStart"/>
      <w:r w:rsidRPr="00C56257">
        <w:rPr>
          <w:rFonts w:eastAsia="Calibri"/>
          <w:lang w:val="en-US"/>
        </w:rPr>
        <w:t>toate</w:t>
      </w:r>
      <w:proofErr w:type="spellEnd"/>
      <w:r w:rsidRPr="00C56257">
        <w:rPr>
          <w:rFonts w:eastAsia="Calibri"/>
          <w:lang w:val="en-US"/>
        </w:rPr>
        <w:t xml:space="preserve"> </w:t>
      </w:r>
      <w:proofErr w:type="spellStart"/>
      <w:r w:rsidRPr="00C56257">
        <w:rPr>
          <w:rFonts w:eastAsia="Calibri"/>
          <w:lang w:val="en-US"/>
        </w:rPr>
        <w:t>aspectele</w:t>
      </w:r>
      <w:proofErr w:type="spellEnd"/>
      <w:r w:rsidRPr="00C56257">
        <w:rPr>
          <w:rFonts w:eastAsia="Calibri"/>
          <w:lang w:val="en-US"/>
        </w:rPr>
        <w:t xml:space="preserve"> legate de </w:t>
      </w:r>
      <w:proofErr w:type="spellStart"/>
      <w:r w:rsidRPr="00C56257">
        <w:rPr>
          <w:rFonts w:eastAsia="Calibri"/>
          <w:lang w:val="en-US"/>
        </w:rPr>
        <w:t>eșantionarea</w:t>
      </w:r>
      <w:proofErr w:type="spellEnd"/>
      <w:r w:rsidRPr="00C56257">
        <w:rPr>
          <w:rFonts w:eastAsia="Calibri"/>
          <w:lang w:val="en-US"/>
        </w:rPr>
        <w:t xml:space="preserve"> </w:t>
      </w:r>
      <w:proofErr w:type="spellStart"/>
      <w:r w:rsidRPr="00C56257">
        <w:rPr>
          <w:rFonts w:eastAsia="Calibri"/>
          <w:lang w:val="en-US"/>
        </w:rPr>
        <w:t>recifilor</w:t>
      </w:r>
      <w:proofErr w:type="spellEnd"/>
      <w:r w:rsidRPr="00C56257">
        <w:rPr>
          <w:rFonts w:eastAsia="Calibri"/>
          <w:lang w:val="en-US"/>
        </w:rPr>
        <w:t xml:space="preserve"> </w:t>
      </w:r>
      <w:proofErr w:type="spellStart"/>
      <w:r w:rsidRPr="00C56257">
        <w:rPr>
          <w:rFonts w:eastAsia="Calibri"/>
          <w:lang w:val="en-US"/>
        </w:rPr>
        <w:t>în</w:t>
      </w:r>
      <w:proofErr w:type="spellEnd"/>
      <w:r w:rsidRPr="00C56257">
        <w:rPr>
          <w:rFonts w:eastAsia="Calibri"/>
          <w:lang w:val="en-US"/>
        </w:rPr>
        <w:t xml:space="preserve"> </w:t>
      </w:r>
      <w:proofErr w:type="spellStart"/>
      <w:r w:rsidRPr="00C56257">
        <w:rPr>
          <w:rFonts w:eastAsia="Calibri"/>
          <w:lang w:val="en-US"/>
        </w:rPr>
        <w:t>prezentul</w:t>
      </w:r>
      <w:proofErr w:type="spellEnd"/>
      <w:r w:rsidRPr="00C56257">
        <w:rPr>
          <w:rFonts w:eastAsia="Calibri"/>
          <w:lang w:val="en-US"/>
        </w:rPr>
        <w:t xml:space="preserve"> </w:t>
      </w:r>
      <w:proofErr w:type="spellStart"/>
      <w:r w:rsidRPr="00C56257">
        <w:rPr>
          <w:rFonts w:eastAsia="Calibri"/>
          <w:lang w:val="en-US"/>
        </w:rPr>
        <w:t>raport</w:t>
      </w:r>
      <w:proofErr w:type="spellEnd"/>
      <w:r w:rsidRPr="00C56257">
        <w:rPr>
          <w:rFonts w:eastAsia="Calibri"/>
          <w:lang w:val="en-US"/>
        </w:rPr>
        <w:t xml:space="preserve"> </w:t>
      </w:r>
      <w:proofErr w:type="spellStart"/>
      <w:r w:rsidRPr="00C56257">
        <w:rPr>
          <w:rFonts w:eastAsia="Calibri"/>
          <w:lang w:val="en-US"/>
        </w:rPr>
        <w:t>și</w:t>
      </w:r>
      <w:proofErr w:type="spellEnd"/>
      <w:r w:rsidRPr="00C56257">
        <w:rPr>
          <w:rFonts w:eastAsia="Calibri"/>
          <w:lang w:val="en-US"/>
        </w:rPr>
        <w:t xml:space="preserve"> </w:t>
      </w:r>
      <w:proofErr w:type="spellStart"/>
      <w:r w:rsidRPr="00C56257">
        <w:rPr>
          <w:rFonts w:eastAsia="Calibri"/>
          <w:lang w:val="en-US"/>
        </w:rPr>
        <w:t>ceea</w:t>
      </w:r>
      <w:proofErr w:type="spellEnd"/>
      <w:r w:rsidRPr="00C56257">
        <w:rPr>
          <w:rFonts w:eastAsia="Calibri"/>
          <w:lang w:val="en-US"/>
        </w:rPr>
        <w:t xml:space="preserve"> </w:t>
      </w:r>
      <w:proofErr w:type="spellStart"/>
      <w:r w:rsidRPr="00C56257">
        <w:rPr>
          <w:rFonts w:eastAsia="Calibri"/>
          <w:lang w:val="en-US"/>
        </w:rPr>
        <w:t>ce</w:t>
      </w:r>
      <w:proofErr w:type="spellEnd"/>
      <w:r w:rsidRPr="00C56257">
        <w:rPr>
          <w:rFonts w:eastAsia="Calibri"/>
          <w:lang w:val="en-US"/>
        </w:rPr>
        <w:t xml:space="preserve"> </w:t>
      </w:r>
      <w:proofErr w:type="spellStart"/>
      <w:r w:rsidRPr="00C56257">
        <w:rPr>
          <w:rFonts w:eastAsia="Calibri"/>
          <w:lang w:val="en-US"/>
        </w:rPr>
        <w:t>urmează</w:t>
      </w:r>
      <w:proofErr w:type="spellEnd"/>
      <w:r w:rsidRPr="00C56257">
        <w:rPr>
          <w:rFonts w:eastAsia="Calibri"/>
          <w:lang w:val="en-US"/>
        </w:rPr>
        <w:t xml:space="preserve"> </w:t>
      </w:r>
      <w:proofErr w:type="spellStart"/>
      <w:r w:rsidRPr="00C56257">
        <w:rPr>
          <w:rFonts w:eastAsia="Calibri"/>
          <w:lang w:val="en-US"/>
        </w:rPr>
        <w:t>va</w:t>
      </w:r>
      <w:proofErr w:type="spellEnd"/>
      <w:r w:rsidRPr="00C56257">
        <w:rPr>
          <w:rFonts w:eastAsia="Calibri"/>
          <w:lang w:val="en-US"/>
        </w:rPr>
        <w:t xml:space="preserve"> </w:t>
      </w:r>
      <w:proofErr w:type="spellStart"/>
      <w:r w:rsidRPr="00C56257">
        <w:rPr>
          <w:rFonts w:eastAsia="Calibri"/>
          <w:lang w:val="en-US"/>
        </w:rPr>
        <w:t>consta</w:t>
      </w:r>
      <w:proofErr w:type="spellEnd"/>
      <w:r w:rsidRPr="00C56257">
        <w:rPr>
          <w:rFonts w:eastAsia="Calibri"/>
          <w:lang w:val="en-US"/>
        </w:rPr>
        <w:t xml:space="preserve"> </w:t>
      </w:r>
      <w:proofErr w:type="spellStart"/>
      <w:r w:rsidRPr="00C56257">
        <w:rPr>
          <w:rFonts w:eastAsia="Calibri"/>
          <w:lang w:val="en-US"/>
        </w:rPr>
        <w:t>în</w:t>
      </w:r>
      <w:proofErr w:type="spellEnd"/>
      <w:r w:rsidRPr="00C56257">
        <w:rPr>
          <w:rFonts w:eastAsia="Calibri"/>
          <w:lang w:val="en-US"/>
        </w:rPr>
        <w:t xml:space="preserve"> </w:t>
      </w:r>
      <w:proofErr w:type="spellStart"/>
      <w:r w:rsidRPr="00C56257">
        <w:rPr>
          <w:rFonts w:eastAsia="Calibri"/>
          <w:lang w:val="en-US"/>
        </w:rPr>
        <w:t>câteva</w:t>
      </w:r>
      <w:proofErr w:type="spellEnd"/>
      <w:r w:rsidRPr="00C56257">
        <w:rPr>
          <w:rFonts w:eastAsia="Calibri"/>
          <w:lang w:val="en-US"/>
        </w:rPr>
        <w:t xml:space="preserve"> </w:t>
      </w:r>
      <w:proofErr w:type="spellStart"/>
      <w:r w:rsidRPr="00C56257">
        <w:rPr>
          <w:rFonts w:eastAsia="Calibri"/>
          <w:lang w:val="en-US"/>
        </w:rPr>
        <w:t>sfaturi</w:t>
      </w:r>
      <w:proofErr w:type="spellEnd"/>
      <w:r w:rsidRPr="00C56257">
        <w:rPr>
          <w:rFonts w:eastAsia="Calibri"/>
          <w:lang w:val="en-US"/>
        </w:rPr>
        <w:t xml:space="preserve"> de </w:t>
      </w:r>
      <w:proofErr w:type="spellStart"/>
      <w:r w:rsidRPr="00C56257">
        <w:rPr>
          <w:rFonts w:eastAsia="Calibri"/>
          <w:lang w:val="en-US"/>
        </w:rPr>
        <w:t>bază</w:t>
      </w:r>
      <w:proofErr w:type="spellEnd"/>
      <w:r w:rsidRPr="00C56257">
        <w:rPr>
          <w:rFonts w:eastAsia="Calibri"/>
          <w:lang w:val="en-US"/>
        </w:rPr>
        <w:t xml:space="preserve"> </w:t>
      </w:r>
      <w:proofErr w:type="spellStart"/>
      <w:r w:rsidRPr="00C56257">
        <w:rPr>
          <w:rFonts w:eastAsia="Calibri"/>
          <w:lang w:val="en-US"/>
        </w:rPr>
        <w:t>în</w:t>
      </w:r>
      <w:proofErr w:type="spellEnd"/>
      <w:r w:rsidRPr="00C56257">
        <w:rPr>
          <w:rFonts w:eastAsia="Calibri"/>
          <w:lang w:val="en-US"/>
        </w:rPr>
        <w:t xml:space="preserve"> </w:t>
      </w:r>
      <w:proofErr w:type="spellStart"/>
      <w:r w:rsidRPr="00C56257">
        <w:rPr>
          <w:rFonts w:eastAsia="Calibri"/>
          <w:lang w:val="en-US"/>
        </w:rPr>
        <w:t>ceea</w:t>
      </w:r>
      <w:proofErr w:type="spellEnd"/>
      <w:r w:rsidRPr="00C56257">
        <w:rPr>
          <w:rFonts w:eastAsia="Calibri"/>
          <w:lang w:val="en-US"/>
        </w:rPr>
        <w:t xml:space="preserve"> </w:t>
      </w:r>
      <w:proofErr w:type="spellStart"/>
      <w:r w:rsidRPr="00C56257">
        <w:rPr>
          <w:rFonts w:eastAsia="Calibri"/>
          <w:lang w:val="en-US"/>
        </w:rPr>
        <w:t>ce</w:t>
      </w:r>
      <w:proofErr w:type="spellEnd"/>
      <w:r w:rsidRPr="00C56257">
        <w:rPr>
          <w:rFonts w:eastAsia="Calibri"/>
          <w:lang w:val="en-US"/>
        </w:rPr>
        <w:t xml:space="preserve"> </w:t>
      </w:r>
      <w:proofErr w:type="spellStart"/>
      <w:r w:rsidRPr="00C56257">
        <w:rPr>
          <w:rFonts w:eastAsia="Calibri"/>
          <w:lang w:val="en-US"/>
        </w:rPr>
        <w:t>privește</w:t>
      </w:r>
      <w:proofErr w:type="spellEnd"/>
      <w:r w:rsidRPr="00C56257">
        <w:rPr>
          <w:rFonts w:eastAsia="Calibri"/>
          <w:lang w:val="en-US"/>
        </w:rPr>
        <w:t xml:space="preserve"> </w:t>
      </w:r>
      <w:proofErr w:type="spellStart"/>
      <w:r w:rsidRPr="00C56257">
        <w:rPr>
          <w:rFonts w:eastAsia="Calibri"/>
          <w:lang w:val="en-US"/>
        </w:rPr>
        <w:t>monitorizarea</w:t>
      </w:r>
      <w:proofErr w:type="spellEnd"/>
      <w:r w:rsidRPr="00C56257">
        <w:rPr>
          <w:rFonts w:eastAsia="Calibri"/>
          <w:lang w:val="en-US"/>
        </w:rPr>
        <w:t xml:space="preserve"> </w:t>
      </w:r>
      <w:proofErr w:type="spellStart"/>
      <w:r w:rsidRPr="00C56257">
        <w:rPr>
          <w:rFonts w:eastAsia="Calibri"/>
          <w:lang w:val="en-US"/>
        </w:rPr>
        <w:t>standardelor</w:t>
      </w:r>
      <w:proofErr w:type="spellEnd"/>
      <w:r w:rsidRPr="00C56257">
        <w:rPr>
          <w:rFonts w:eastAsia="Calibri"/>
          <w:lang w:val="en-US"/>
        </w:rPr>
        <w:t xml:space="preserve"> </w:t>
      </w:r>
      <w:proofErr w:type="spellStart"/>
      <w:r w:rsidRPr="00C56257">
        <w:rPr>
          <w:rFonts w:eastAsia="Calibri"/>
          <w:lang w:val="en-US"/>
        </w:rPr>
        <w:t>comune</w:t>
      </w:r>
      <w:proofErr w:type="spellEnd"/>
      <w:r w:rsidRPr="00C56257">
        <w:rPr>
          <w:rFonts w:eastAsia="Calibri"/>
          <w:lang w:val="en-US"/>
        </w:rPr>
        <w:t>.</w:t>
      </w:r>
    </w:p>
    <w:p w14:paraId="7CC79506" w14:textId="77777777" w:rsidR="00FC026B" w:rsidRPr="00C56257" w:rsidRDefault="00FC026B" w:rsidP="00FC026B">
      <w:pPr>
        <w:ind w:firstLine="720"/>
        <w:jc w:val="both"/>
        <w:rPr>
          <w:rFonts w:eastAsia="Calibri"/>
          <w:lang w:val="en-US"/>
        </w:rPr>
      </w:pPr>
      <w:proofErr w:type="spellStart"/>
      <w:r w:rsidRPr="00C56257">
        <w:rPr>
          <w:rFonts w:eastAsia="Calibri"/>
          <w:lang w:val="en-US"/>
        </w:rPr>
        <w:t>Trebuie</w:t>
      </w:r>
      <w:proofErr w:type="spellEnd"/>
      <w:r w:rsidRPr="00C56257">
        <w:rPr>
          <w:rFonts w:eastAsia="Calibri"/>
          <w:lang w:val="en-US"/>
        </w:rPr>
        <w:t xml:space="preserve"> </w:t>
      </w:r>
      <w:proofErr w:type="spellStart"/>
      <w:r w:rsidRPr="00C56257">
        <w:rPr>
          <w:rFonts w:eastAsia="Calibri"/>
          <w:lang w:val="en-US"/>
        </w:rPr>
        <w:t>subliniat</w:t>
      </w:r>
      <w:proofErr w:type="spellEnd"/>
      <w:r w:rsidRPr="00C56257">
        <w:rPr>
          <w:rFonts w:eastAsia="Calibri"/>
          <w:lang w:val="en-US"/>
        </w:rPr>
        <w:t xml:space="preserve"> </w:t>
      </w:r>
      <w:proofErr w:type="spellStart"/>
      <w:r w:rsidRPr="00C56257">
        <w:rPr>
          <w:rFonts w:eastAsia="Calibri"/>
          <w:lang w:val="en-US"/>
        </w:rPr>
        <w:t>faptul</w:t>
      </w:r>
      <w:proofErr w:type="spellEnd"/>
      <w:r w:rsidRPr="00C56257">
        <w:rPr>
          <w:rFonts w:eastAsia="Calibri"/>
          <w:lang w:val="en-US"/>
        </w:rPr>
        <w:t xml:space="preserve"> </w:t>
      </w:r>
      <w:proofErr w:type="spellStart"/>
      <w:r w:rsidRPr="00C56257">
        <w:rPr>
          <w:rFonts w:eastAsia="Calibri"/>
          <w:lang w:val="en-US"/>
        </w:rPr>
        <w:t>că</w:t>
      </w:r>
      <w:proofErr w:type="spellEnd"/>
      <w:r w:rsidRPr="00C56257">
        <w:rPr>
          <w:rFonts w:eastAsia="Calibri"/>
          <w:lang w:val="en-US"/>
        </w:rPr>
        <w:t xml:space="preserve"> </w:t>
      </w:r>
      <w:proofErr w:type="spellStart"/>
      <w:r w:rsidRPr="00C56257">
        <w:rPr>
          <w:rFonts w:eastAsia="Calibri"/>
          <w:lang w:val="en-US"/>
        </w:rPr>
        <w:t>scopul</w:t>
      </w:r>
      <w:proofErr w:type="spellEnd"/>
      <w:r w:rsidRPr="00C56257">
        <w:rPr>
          <w:rFonts w:eastAsia="Calibri"/>
          <w:lang w:val="en-US"/>
        </w:rPr>
        <w:t xml:space="preserve"> </w:t>
      </w:r>
      <w:proofErr w:type="spellStart"/>
      <w:r w:rsidRPr="00C56257">
        <w:rPr>
          <w:rFonts w:eastAsia="Calibri"/>
          <w:lang w:val="en-US"/>
        </w:rPr>
        <w:t>monitorizării</w:t>
      </w:r>
      <w:proofErr w:type="spellEnd"/>
      <w:r w:rsidRPr="00C56257">
        <w:rPr>
          <w:rFonts w:eastAsia="Calibri"/>
          <w:lang w:val="en-US"/>
        </w:rPr>
        <w:t xml:space="preserve"> </w:t>
      </w:r>
      <w:proofErr w:type="spellStart"/>
      <w:r w:rsidRPr="00C56257">
        <w:rPr>
          <w:rFonts w:eastAsia="Calibri"/>
          <w:lang w:val="en-US"/>
        </w:rPr>
        <w:t>este</w:t>
      </w:r>
      <w:proofErr w:type="spellEnd"/>
      <w:r w:rsidRPr="00C56257">
        <w:rPr>
          <w:rFonts w:eastAsia="Calibri"/>
          <w:lang w:val="en-US"/>
        </w:rPr>
        <w:t xml:space="preserve"> </w:t>
      </w:r>
      <w:proofErr w:type="spellStart"/>
      <w:r w:rsidRPr="00C56257">
        <w:rPr>
          <w:rFonts w:eastAsia="Calibri"/>
          <w:lang w:val="en-US"/>
        </w:rPr>
        <w:t>acela</w:t>
      </w:r>
      <w:proofErr w:type="spellEnd"/>
      <w:r w:rsidRPr="00C56257">
        <w:rPr>
          <w:rFonts w:eastAsia="Calibri"/>
          <w:lang w:val="en-US"/>
        </w:rPr>
        <w:t xml:space="preserve"> de a </w:t>
      </w:r>
      <w:proofErr w:type="spellStart"/>
      <w:r w:rsidRPr="00C56257">
        <w:rPr>
          <w:rFonts w:eastAsia="Calibri"/>
          <w:lang w:val="en-US"/>
        </w:rPr>
        <w:t>evalua</w:t>
      </w:r>
      <w:proofErr w:type="spellEnd"/>
      <w:r w:rsidRPr="00C56257">
        <w:rPr>
          <w:rFonts w:eastAsia="Calibri"/>
          <w:lang w:val="en-US"/>
        </w:rPr>
        <w:t xml:space="preserve"> </w:t>
      </w:r>
      <w:proofErr w:type="spellStart"/>
      <w:r w:rsidRPr="00C56257">
        <w:rPr>
          <w:rFonts w:eastAsia="Calibri"/>
          <w:lang w:val="en-US"/>
        </w:rPr>
        <w:t>starea</w:t>
      </w:r>
      <w:proofErr w:type="spellEnd"/>
      <w:r w:rsidRPr="00C56257">
        <w:rPr>
          <w:rFonts w:eastAsia="Calibri"/>
          <w:lang w:val="en-US"/>
        </w:rPr>
        <w:t xml:space="preserve"> </w:t>
      </w:r>
      <w:proofErr w:type="spellStart"/>
      <w:r w:rsidRPr="00C56257">
        <w:rPr>
          <w:rFonts w:eastAsia="Calibri"/>
          <w:lang w:val="en-US"/>
        </w:rPr>
        <w:t>întregului</w:t>
      </w:r>
      <w:proofErr w:type="spellEnd"/>
      <w:r w:rsidRPr="00C56257">
        <w:rPr>
          <w:rFonts w:eastAsia="Calibri"/>
          <w:lang w:val="en-US"/>
        </w:rPr>
        <w:t xml:space="preserve"> tip de habitat </w:t>
      </w:r>
      <w:proofErr w:type="spellStart"/>
      <w:r w:rsidRPr="00C56257">
        <w:rPr>
          <w:rFonts w:eastAsia="Calibri"/>
          <w:lang w:val="en-US"/>
        </w:rPr>
        <w:t>dintr</w:t>
      </w:r>
      <w:proofErr w:type="spellEnd"/>
      <w:r w:rsidRPr="00C56257">
        <w:rPr>
          <w:rFonts w:eastAsia="Calibri"/>
          <w:lang w:val="en-US"/>
        </w:rPr>
        <w:t xml:space="preserve">-o </w:t>
      </w:r>
      <w:proofErr w:type="spellStart"/>
      <w:r w:rsidRPr="00C56257">
        <w:rPr>
          <w:rFonts w:eastAsia="Calibri"/>
          <w:lang w:val="en-US"/>
        </w:rPr>
        <w:t>arie</w:t>
      </w:r>
      <w:proofErr w:type="spellEnd"/>
      <w:r w:rsidRPr="00C56257">
        <w:rPr>
          <w:rFonts w:eastAsia="Calibri"/>
          <w:lang w:val="en-US"/>
        </w:rPr>
        <w:t xml:space="preserve"> </w:t>
      </w:r>
      <w:proofErr w:type="spellStart"/>
      <w:r w:rsidRPr="00C56257">
        <w:rPr>
          <w:rFonts w:eastAsia="Calibri"/>
          <w:lang w:val="en-US"/>
        </w:rPr>
        <w:t>specială</w:t>
      </w:r>
      <w:proofErr w:type="spellEnd"/>
      <w:r w:rsidRPr="00C56257">
        <w:rPr>
          <w:rFonts w:eastAsia="Calibri"/>
          <w:lang w:val="en-US"/>
        </w:rPr>
        <w:t xml:space="preserve"> de </w:t>
      </w:r>
      <w:proofErr w:type="spellStart"/>
      <w:r w:rsidRPr="00C56257">
        <w:rPr>
          <w:rFonts w:eastAsia="Calibri"/>
          <w:lang w:val="en-US"/>
        </w:rPr>
        <w:t>conservare</w:t>
      </w:r>
      <w:proofErr w:type="spellEnd"/>
      <w:r w:rsidRPr="00C56257">
        <w:rPr>
          <w:rFonts w:eastAsia="Calibri"/>
          <w:lang w:val="en-US"/>
        </w:rPr>
        <w:t xml:space="preserve"> </w:t>
      </w:r>
      <w:proofErr w:type="spellStart"/>
      <w:r w:rsidRPr="00C56257">
        <w:rPr>
          <w:rFonts w:eastAsia="Calibri"/>
          <w:lang w:val="en-US"/>
        </w:rPr>
        <w:t>și</w:t>
      </w:r>
      <w:proofErr w:type="spellEnd"/>
      <w:r w:rsidRPr="00C56257">
        <w:rPr>
          <w:rFonts w:eastAsia="Calibri"/>
          <w:lang w:val="en-US"/>
        </w:rPr>
        <w:t xml:space="preserve">, </w:t>
      </w:r>
      <w:proofErr w:type="spellStart"/>
      <w:r w:rsidRPr="00C56257">
        <w:rPr>
          <w:rFonts w:eastAsia="Calibri"/>
          <w:lang w:val="en-US"/>
        </w:rPr>
        <w:t>prin</w:t>
      </w:r>
      <w:proofErr w:type="spellEnd"/>
      <w:r w:rsidRPr="00C56257">
        <w:rPr>
          <w:rFonts w:eastAsia="Calibri"/>
          <w:lang w:val="en-US"/>
        </w:rPr>
        <w:t xml:space="preserve"> </w:t>
      </w:r>
      <w:proofErr w:type="spellStart"/>
      <w:r w:rsidRPr="00C56257">
        <w:rPr>
          <w:rFonts w:eastAsia="Calibri"/>
          <w:lang w:val="en-US"/>
        </w:rPr>
        <w:t>urmare</w:t>
      </w:r>
      <w:proofErr w:type="spellEnd"/>
      <w:r w:rsidRPr="00C56257">
        <w:rPr>
          <w:rFonts w:eastAsia="Calibri"/>
          <w:lang w:val="en-US"/>
        </w:rPr>
        <w:t xml:space="preserve">, </w:t>
      </w:r>
      <w:proofErr w:type="spellStart"/>
      <w:r w:rsidRPr="00C56257">
        <w:rPr>
          <w:rFonts w:eastAsia="Calibri"/>
          <w:lang w:val="en-US"/>
        </w:rPr>
        <w:t>programul</w:t>
      </w:r>
      <w:proofErr w:type="spellEnd"/>
      <w:r w:rsidRPr="00C56257">
        <w:rPr>
          <w:rFonts w:eastAsia="Calibri"/>
          <w:lang w:val="en-US"/>
        </w:rPr>
        <w:t xml:space="preserve"> de </w:t>
      </w:r>
      <w:proofErr w:type="spellStart"/>
      <w:r w:rsidRPr="00C56257">
        <w:rPr>
          <w:rFonts w:eastAsia="Calibri"/>
          <w:lang w:val="en-US"/>
        </w:rPr>
        <w:t>eșantionare</w:t>
      </w:r>
      <w:proofErr w:type="spellEnd"/>
      <w:r w:rsidRPr="00C56257">
        <w:rPr>
          <w:rFonts w:eastAsia="Calibri"/>
          <w:lang w:val="en-US"/>
        </w:rPr>
        <w:t xml:space="preserve"> </w:t>
      </w:r>
      <w:proofErr w:type="spellStart"/>
      <w:r w:rsidRPr="00C56257">
        <w:rPr>
          <w:rFonts w:eastAsia="Calibri"/>
          <w:lang w:val="en-US"/>
        </w:rPr>
        <w:t>trebuie</w:t>
      </w:r>
      <w:proofErr w:type="spellEnd"/>
      <w:r w:rsidRPr="00C56257">
        <w:rPr>
          <w:rFonts w:eastAsia="Calibri"/>
          <w:lang w:val="en-US"/>
        </w:rPr>
        <w:t xml:space="preserve"> </w:t>
      </w:r>
      <w:proofErr w:type="spellStart"/>
      <w:r w:rsidRPr="00C56257">
        <w:rPr>
          <w:rFonts w:eastAsia="Calibri"/>
          <w:lang w:val="en-US"/>
        </w:rPr>
        <w:t>să</w:t>
      </w:r>
      <w:proofErr w:type="spellEnd"/>
      <w:r w:rsidRPr="00C56257">
        <w:rPr>
          <w:rFonts w:eastAsia="Calibri"/>
          <w:lang w:val="en-US"/>
        </w:rPr>
        <w:t xml:space="preserve"> </w:t>
      </w:r>
      <w:proofErr w:type="spellStart"/>
      <w:r w:rsidRPr="00C56257">
        <w:rPr>
          <w:rFonts w:eastAsia="Calibri"/>
          <w:lang w:val="en-US"/>
        </w:rPr>
        <w:t>asigure</w:t>
      </w:r>
      <w:proofErr w:type="spellEnd"/>
      <w:r w:rsidRPr="00C56257">
        <w:rPr>
          <w:rFonts w:eastAsia="Calibri"/>
          <w:lang w:val="en-US"/>
        </w:rPr>
        <w:t xml:space="preserve"> </w:t>
      </w:r>
      <w:proofErr w:type="spellStart"/>
      <w:r w:rsidRPr="00C56257">
        <w:rPr>
          <w:rFonts w:eastAsia="Calibri"/>
          <w:lang w:val="en-US"/>
        </w:rPr>
        <w:t>prelevare</w:t>
      </w:r>
      <w:proofErr w:type="spellEnd"/>
      <w:r w:rsidRPr="00C56257">
        <w:rPr>
          <w:rFonts w:eastAsia="Calibri"/>
          <w:lang w:val="en-US"/>
        </w:rPr>
        <w:t xml:space="preserve"> de probe pe </w:t>
      </w:r>
      <w:proofErr w:type="spellStart"/>
      <w:r w:rsidRPr="00C56257">
        <w:rPr>
          <w:rFonts w:eastAsia="Calibri"/>
          <w:lang w:val="en-US"/>
        </w:rPr>
        <w:t>suprafața</w:t>
      </w:r>
      <w:proofErr w:type="spellEnd"/>
      <w:r w:rsidRPr="00C56257">
        <w:rPr>
          <w:rFonts w:eastAsia="Calibri"/>
          <w:lang w:val="en-US"/>
        </w:rPr>
        <w:t xml:space="preserve"> </w:t>
      </w:r>
      <w:proofErr w:type="spellStart"/>
      <w:r w:rsidRPr="00C56257">
        <w:rPr>
          <w:rFonts w:eastAsia="Calibri"/>
          <w:lang w:val="en-US"/>
        </w:rPr>
        <w:t>întregului</w:t>
      </w:r>
      <w:proofErr w:type="spellEnd"/>
      <w:r w:rsidRPr="00C56257">
        <w:rPr>
          <w:rFonts w:eastAsia="Calibri"/>
          <w:lang w:val="en-US"/>
        </w:rPr>
        <w:t xml:space="preserve"> sit. O </w:t>
      </w:r>
      <w:proofErr w:type="spellStart"/>
      <w:r w:rsidRPr="00C56257">
        <w:rPr>
          <w:rFonts w:eastAsia="Calibri"/>
          <w:lang w:val="en-US"/>
        </w:rPr>
        <w:t>abordare</w:t>
      </w:r>
      <w:proofErr w:type="spellEnd"/>
      <w:r w:rsidRPr="00C56257">
        <w:rPr>
          <w:rFonts w:eastAsia="Calibri"/>
          <w:lang w:val="en-US"/>
        </w:rPr>
        <w:t xml:space="preserve"> </w:t>
      </w:r>
      <w:proofErr w:type="spellStart"/>
      <w:r w:rsidRPr="00C56257">
        <w:rPr>
          <w:rFonts w:eastAsia="Calibri"/>
          <w:lang w:val="en-US"/>
        </w:rPr>
        <w:t>stratificată</w:t>
      </w:r>
      <w:proofErr w:type="spellEnd"/>
      <w:r w:rsidRPr="00C56257">
        <w:rPr>
          <w:rFonts w:eastAsia="Calibri"/>
          <w:lang w:val="en-US"/>
        </w:rPr>
        <w:t xml:space="preserve"> </w:t>
      </w:r>
      <w:proofErr w:type="spellStart"/>
      <w:r w:rsidRPr="00C56257">
        <w:rPr>
          <w:rFonts w:eastAsia="Calibri"/>
          <w:lang w:val="en-US"/>
        </w:rPr>
        <w:t>poate</w:t>
      </w:r>
      <w:proofErr w:type="spellEnd"/>
      <w:r w:rsidRPr="00C56257">
        <w:rPr>
          <w:rFonts w:eastAsia="Calibri"/>
          <w:lang w:val="en-US"/>
        </w:rPr>
        <w:t xml:space="preserve"> fi </w:t>
      </w:r>
      <w:proofErr w:type="spellStart"/>
      <w:r w:rsidRPr="00C56257">
        <w:rPr>
          <w:rFonts w:eastAsia="Calibri"/>
          <w:lang w:val="en-US"/>
        </w:rPr>
        <w:t>adoptată</w:t>
      </w:r>
      <w:proofErr w:type="spellEnd"/>
      <w:r w:rsidRPr="00C56257">
        <w:rPr>
          <w:rFonts w:eastAsia="Calibri"/>
          <w:lang w:val="en-US"/>
        </w:rPr>
        <w:t xml:space="preserve"> </w:t>
      </w:r>
      <w:proofErr w:type="spellStart"/>
      <w:r w:rsidRPr="00C56257">
        <w:rPr>
          <w:rFonts w:eastAsia="Calibri"/>
          <w:lang w:val="en-US"/>
        </w:rPr>
        <w:t>pentru</w:t>
      </w:r>
      <w:proofErr w:type="spellEnd"/>
      <w:r w:rsidRPr="00C56257">
        <w:rPr>
          <w:rFonts w:eastAsia="Calibri"/>
          <w:lang w:val="en-US"/>
        </w:rPr>
        <w:t xml:space="preserve"> </w:t>
      </w:r>
      <w:proofErr w:type="spellStart"/>
      <w:r w:rsidRPr="00C56257">
        <w:rPr>
          <w:rFonts w:eastAsia="Calibri"/>
          <w:lang w:val="en-US"/>
        </w:rPr>
        <w:t>siturile</w:t>
      </w:r>
      <w:proofErr w:type="spellEnd"/>
      <w:r w:rsidRPr="00C56257">
        <w:rPr>
          <w:rFonts w:eastAsia="Calibri"/>
          <w:lang w:val="en-US"/>
        </w:rPr>
        <w:t xml:space="preserve"> </w:t>
      </w:r>
      <w:proofErr w:type="spellStart"/>
      <w:r w:rsidRPr="00C56257">
        <w:rPr>
          <w:rFonts w:eastAsia="Calibri"/>
          <w:lang w:val="en-US"/>
        </w:rPr>
        <w:t>extinse</w:t>
      </w:r>
      <w:proofErr w:type="spellEnd"/>
      <w:r w:rsidRPr="00C56257">
        <w:rPr>
          <w:rFonts w:eastAsia="Calibri"/>
          <w:lang w:val="en-US"/>
        </w:rPr>
        <w:t xml:space="preserve">, </w:t>
      </w:r>
      <w:proofErr w:type="spellStart"/>
      <w:r w:rsidRPr="00C56257">
        <w:rPr>
          <w:rFonts w:eastAsia="Calibri"/>
          <w:lang w:val="en-US"/>
        </w:rPr>
        <w:t>în</w:t>
      </w:r>
      <w:proofErr w:type="spellEnd"/>
      <w:r w:rsidRPr="00C56257">
        <w:rPr>
          <w:rFonts w:eastAsia="Calibri"/>
          <w:lang w:val="en-US"/>
        </w:rPr>
        <w:t xml:space="preserve"> </w:t>
      </w:r>
      <w:proofErr w:type="spellStart"/>
      <w:r w:rsidRPr="00C56257">
        <w:rPr>
          <w:rFonts w:eastAsia="Calibri"/>
          <w:lang w:val="en-US"/>
        </w:rPr>
        <w:t>cazul</w:t>
      </w:r>
      <w:proofErr w:type="spellEnd"/>
      <w:r w:rsidRPr="00C56257">
        <w:rPr>
          <w:rFonts w:eastAsia="Calibri"/>
          <w:lang w:val="en-US"/>
        </w:rPr>
        <w:t xml:space="preserve"> </w:t>
      </w:r>
      <w:proofErr w:type="spellStart"/>
      <w:r w:rsidRPr="00C56257">
        <w:rPr>
          <w:rFonts w:eastAsia="Calibri"/>
          <w:lang w:val="en-US"/>
        </w:rPr>
        <w:t>în</w:t>
      </w:r>
      <w:proofErr w:type="spellEnd"/>
      <w:r w:rsidRPr="00C56257">
        <w:rPr>
          <w:rFonts w:eastAsia="Calibri"/>
          <w:lang w:val="en-US"/>
        </w:rPr>
        <w:t xml:space="preserve"> care </w:t>
      </w:r>
      <w:proofErr w:type="spellStart"/>
      <w:r w:rsidRPr="00C56257">
        <w:rPr>
          <w:rFonts w:eastAsia="Calibri"/>
          <w:lang w:val="en-US"/>
        </w:rPr>
        <w:t>resursele</w:t>
      </w:r>
      <w:proofErr w:type="spellEnd"/>
      <w:r w:rsidRPr="00C56257">
        <w:rPr>
          <w:rFonts w:eastAsia="Calibri"/>
          <w:lang w:val="en-US"/>
        </w:rPr>
        <w:t xml:space="preserve"> </w:t>
      </w:r>
      <w:proofErr w:type="spellStart"/>
      <w:r w:rsidRPr="00C56257">
        <w:rPr>
          <w:rFonts w:eastAsia="Calibri"/>
          <w:lang w:val="en-US"/>
        </w:rPr>
        <w:t>disponibile</w:t>
      </w:r>
      <w:proofErr w:type="spellEnd"/>
      <w:r w:rsidRPr="00C56257">
        <w:rPr>
          <w:rFonts w:eastAsia="Calibri"/>
          <w:lang w:val="en-US"/>
        </w:rPr>
        <w:t xml:space="preserve"> permit </w:t>
      </w:r>
      <w:proofErr w:type="spellStart"/>
      <w:r w:rsidRPr="00C56257">
        <w:rPr>
          <w:rFonts w:eastAsia="Calibri"/>
          <w:lang w:val="en-US"/>
        </w:rPr>
        <w:t>doar</w:t>
      </w:r>
      <w:proofErr w:type="spellEnd"/>
      <w:r w:rsidRPr="00C56257">
        <w:rPr>
          <w:rFonts w:eastAsia="Calibri"/>
          <w:lang w:val="en-US"/>
        </w:rPr>
        <w:t xml:space="preserve"> </w:t>
      </w:r>
      <w:proofErr w:type="spellStart"/>
      <w:r w:rsidRPr="00C56257">
        <w:rPr>
          <w:rFonts w:eastAsia="Calibri"/>
          <w:lang w:val="en-US"/>
        </w:rPr>
        <w:t>câteva</w:t>
      </w:r>
      <w:proofErr w:type="spellEnd"/>
      <w:r w:rsidRPr="00C56257">
        <w:rPr>
          <w:rFonts w:eastAsia="Calibri"/>
          <w:lang w:val="en-US"/>
        </w:rPr>
        <w:t xml:space="preserve"> </w:t>
      </w:r>
      <w:proofErr w:type="spellStart"/>
      <w:r w:rsidRPr="00C56257">
        <w:rPr>
          <w:rFonts w:eastAsia="Calibri"/>
          <w:lang w:val="en-US"/>
        </w:rPr>
        <w:t>locații</w:t>
      </w:r>
      <w:proofErr w:type="spellEnd"/>
      <w:r w:rsidRPr="00C56257">
        <w:rPr>
          <w:rFonts w:eastAsia="Calibri"/>
          <w:lang w:val="en-US"/>
        </w:rPr>
        <w:t xml:space="preserve"> care </w:t>
      </w:r>
      <w:proofErr w:type="spellStart"/>
      <w:r w:rsidRPr="00C56257">
        <w:rPr>
          <w:rFonts w:eastAsia="Calibri"/>
          <w:lang w:val="en-US"/>
        </w:rPr>
        <w:t>urmează</w:t>
      </w:r>
      <w:proofErr w:type="spellEnd"/>
      <w:r w:rsidRPr="00C56257">
        <w:rPr>
          <w:rFonts w:eastAsia="Calibri"/>
          <w:lang w:val="en-US"/>
        </w:rPr>
        <w:t xml:space="preserve"> </w:t>
      </w:r>
      <w:proofErr w:type="spellStart"/>
      <w:r w:rsidRPr="00C56257">
        <w:rPr>
          <w:rFonts w:eastAsia="Calibri"/>
          <w:lang w:val="en-US"/>
        </w:rPr>
        <w:t>să</w:t>
      </w:r>
      <w:proofErr w:type="spellEnd"/>
      <w:r w:rsidRPr="00C56257">
        <w:rPr>
          <w:rFonts w:eastAsia="Calibri"/>
          <w:lang w:val="en-US"/>
        </w:rPr>
        <w:t xml:space="preserve"> fie investigate </w:t>
      </w:r>
      <w:proofErr w:type="spellStart"/>
      <w:r w:rsidRPr="00C56257">
        <w:rPr>
          <w:rFonts w:eastAsia="Calibri"/>
          <w:lang w:val="en-US"/>
        </w:rPr>
        <w:t>în</w:t>
      </w:r>
      <w:proofErr w:type="spellEnd"/>
      <w:r w:rsidRPr="00C56257">
        <w:rPr>
          <w:rFonts w:eastAsia="Calibri"/>
          <w:lang w:val="en-US"/>
        </w:rPr>
        <w:t xml:space="preserve"> </w:t>
      </w:r>
      <w:proofErr w:type="spellStart"/>
      <w:r w:rsidRPr="00C56257">
        <w:rPr>
          <w:rFonts w:eastAsia="Calibri"/>
          <w:lang w:val="en-US"/>
        </w:rPr>
        <w:t>detaliu</w:t>
      </w:r>
      <w:proofErr w:type="spellEnd"/>
      <w:r w:rsidRPr="00C56257">
        <w:rPr>
          <w:rFonts w:eastAsia="Calibri"/>
          <w:lang w:val="en-US"/>
        </w:rPr>
        <w:t xml:space="preserve">, </w:t>
      </w:r>
      <w:proofErr w:type="spellStart"/>
      <w:r w:rsidRPr="00C56257">
        <w:rPr>
          <w:rFonts w:eastAsia="Calibri"/>
          <w:lang w:val="en-US"/>
        </w:rPr>
        <w:t>iar</w:t>
      </w:r>
      <w:proofErr w:type="spellEnd"/>
      <w:r w:rsidRPr="00C56257">
        <w:rPr>
          <w:rFonts w:eastAsia="Calibri"/>
          <w:lang w:val="en-US"/>
        </w:rPr>
        <w:t xml:space="preserve"> </w:t>
      </w:r>
      <w:proofErr w:type="spellStart"/>
      <w:r w:rsidRPr="00C56257">
        <w:rPr>
          <w:rFonts w:eastAsia="Calibri"/>
          <w:lang w:val="en-US"/>
        </w:rPr>
        <w:t>rezultatele</w:t>
      </w:r>
      <w:proofErr w:type="spellEnd"/>
      <w:r w:rsidRPr="00C56257">
        <w:rPr>
          <w:rFonts w:eastAsia="Calibri"/>
          <w:lang w:val="en-US"/>
        </w:rPr>
        <w:t xml:space="preserve"> </w:t>
      </w:r>
      <w:proofErr w:type="spellStart"/>
      <w:r w:rsidRPr="00C56257">
        <w:rPr>
          <w:rFonts w:eastAsia="Calibri"/>
          <w:lang w:val="en-US"/>
        </w:rPr>
        <w:t>trebuie</w:t>
      </w:r>
      <w:proofErr w:type="spellEnd"/>
      <w:r w:rsidRPr="00C56257">
        <w:rPr>
          <w:rFonts w:eastAsia="Calibri"/>
          <w:lang w:val="en-US"/>
        </w:rPr>
        <w:t xml:space="preserve"> </w:t>
      </w:r>
      <w:proofErr w:type="spellStart"/>
      <w:r w:rsidRPr="00C56257">
        <w:rPr>
          <w:rFonts w:eastAsia="Calibri"/>
          <w:lang w:val="en-US"/>
        </w:rPr>
        <w:t>să</w:t>
      </w:r>
      <w:proofErr w:type="spellEnd"/>
      <w:r w:rsidRPr="00C56257">
        <w:rPr>
          <w:rFonts w:eastAsia="Calibri"/>
          <w:lang w:val="en-US"/>
        </w:rPr>
        <w:t xml:space="preserve"> fie extrapolate la </w:t>
      </w:r>
      <w:proofErr w:type="spellStart"/>
      <w:r w:rsidRPr="00C56257">
        <w:rPr>
          <w:rFonts w:eastAsia="Calibri"/>
          <w:lang w:val="en-US"/>
        </w:rPr>
        <w:t>întregul</w:t>
      </w:r>
      <w:proofErr w:type="spellEnd"/>
      <w:r w:rsidRPr="00C56257">
        <w:rPr>
          <w:rFonts w:eastAsia="Calibri"/>
          <w:lang w:val="en-US"/>
        </w:rPr>
        <w:t xml:space="preserve"> sit.</w:t>
      </w:r>
    </w:p>
    <w:p w14:paraId="0FAD037D" w14:textId="77777777" w:rsidR="00FC026B" w:rsidRPr="00C56257" w:rsidRDefault="00FC026B" w:rsidP="00FC026B">
      <w:pPr>
        <w:ind w:firstLine="720"/>
        <w:jc w:val="both"/>
        <w:rPr>
          <w:rFonts w:eastAsia="Calibri"/>
          <w:lang w:val="en-US"/>
        </w:rPr>
      </w:pPr>
      <w:r w:rsidRPr="00C56257">
        <w:rPr>
          <w:rFonts w:eastAsia="Calibri"/>
          <w:lang w:val="en-US"/>
        </w:rPr>
        <w:t xml:space="preserve">Cu </w:t>
      </w:r>
      <w:proofErr w:type="spellStart"/>
      <w:r w:rsidRPr="00C56257">
        <w:rPr>
          <w:rFonts w:eastAsia="Calibri"/>
          <w:lang w:val="en-US"/>
        </w:rPr>
        <w:t>toate</w:t>
      </w:r>
      <w:proofErr w:type="spellEnd"/>
      <w:r w:rsidRPr="00C56257">
        <w:rPr>
          <w:rFonts w:eastAsia="Calibri"/>
          <w:lang w:val="en-US"/>
        </w:rPr>
        <w:t xml:space="preserve"> </w:t>
      </w:r>
      <w:proofErr w:type="spellStart"/>
      <w:r w:rsidRPr="00C56257">
        <w:rPr>
          <w:rFonts w:eastAsia="Calibri"/>
          <w:lang w:val="en-US"/>
        </w:rPr>
        <w:t>acestea</w:t>
      </w:r>
      <w:proofErr w:type="spellEnd"/>
      <w:r w:rsidRPr="00C56257">
        <w:rPr>
          <w:rFonts w:eastAsia="Calibri"/>
          <w:lang w:val="en-US"/>
        </w:rPr>
        <w:t xml:space="preserve">, </w:t>
      </w:r>
      <w:proofErr w:type="spellStart"/>
      <w:r w:rsidRPr="00C56257">
        <w:rPr>
          <w:rFonts w:eastAsia="Calibri"/>
          <w:lang w:val="en-US"/>
        </w:rPr>
        <w:t>strategia</w:t>
      </w:r>
      <w:proofErr w:type="spellEnd"/>
      <w:r w:rsidRPr="00C56257">
        <w:rPr>
          <w:rFonts w:eastAsia="Calibri"/>
          <w:lang w:val="en-US"/>
        </w:rPr>
        <w:t xml:space="preserve"> de </w:t>
      </w:r>
      <w:proofErr w:type="spellStart"/>
      <w:r w:rsidRPr="00C56257">
        <w:rPr>
          <w:rFonts w:eastAsia="Calibri"/>
          <w:lang w:val="en-US"/>
        </w:rPr>
        <w:t>eșantionare</w:t>
      </w:r>
      <w:proofErr w:type="spellEnd"/>
      <w:r w:rsidRPr="00C56257">
        <w:rPr>
          <w:rFonts w:eastAsia="Calibri"/>
          <w:lang w:val="en-US"/>
        </w:rPr>
        <w:t xml:space="preserve"> </w:t>
      </w:r>
      <w:proofErr w:type="spellStart"/>
      <w:r w:rsidRPr="00C56257">
        <w:rPr>
          <w:rFonts w:eastAsia="Calibri"/>
          <w:lang w:val="en-US"/>
        </w:rPr>
        <w:t>trebui</w:t>
      </w:r>
      <w:proofErr w:type="spellEnd"/>
      <w:r w:rsidRPr="00C56257">
        <w:rPr>
          <w:rFonts w:eastAsia="Calibri"/>
          <w:lang w:val="en-US"/>
        </w:rPr>
        <w:t xml:space="preserve"> </w:t>
      </w:r>
      <w:proofErr w:type="spellStart"/>
      <w:r w:rsidRPr="00C56257">
        <w:rPr>
          <w:rFonts w:eastAsia="Calibri"/>
          <w:lang w:val="en-US"/>
        </w:rPr>
        <w:t>să</w:t>
      </w:r>
      <w:proofErr w:type="spellEnd"/>
      <w:r w:rsidRPr="00C56257">
        <w:rPr>
          <w:rFonts w:eastAsia="Calibri"/>
          <w:lang w:val="en-US"/>
        </w:rPr>
        <w:t xml:space="preserve"> </w:t>
      </w:r>
      <w:proofErr w:type="spellStart"/>
      <w:r w:rsidRPr="00C56257">
        <w:rPr>
          <w:rFonts w:eastAsia="Calibri"/>
          <w:lang w:val="en-US"/>
        </w:rPr>
        <w:t>includă</w:t>
      </w:r>
      <w:proofErr w:type="spellEnd"/>
      <w:r w:rsidRPr="00C56257">
        <w:rPr>
          <w:rFonts w:eastAsia="Calibri"/>
          <w:lang w:val="en-US"/>
        </w:rPr>
        <w:t xml:space="preserve"> </w:t>
      </w:r>
      <w:proofErr w:type="spellStart"/>
      <w:r w:rsidRPr="00C56257">
        <w:rPr>
          <w:rFonts w:eastAsia="Calibri"/>
          <w:lang w:val="en-US"/>
        </w:rPr>
        <w:t>și</w:t>
      </w:r>
      <w:proofErr w:type="spellEnd"/>
      <w:r w:rsidRPr="00C56257">
        <w:rPr>
          <w:rFonts w:eastAsia="Calibri"/>
          <w:lang w:val="en-US"/>
        </w:rPr>
        <w:t xml:space="preserve"> o </w:t>
      </w:r>
      <w:proofErr w:type="spellStart"/>
      <w:r w:rsidRPr="00C56257">
        <w:rPr>
          <w:rFonts w:eastAsia="Calibri"/>
          <w:lang w:val="en-US"/>
        </w:rPr>
        <w:t>serie</w:t>
      </w:r>
      <w:proofErr w:type="spellEnd"/>
      <w:r w:rsidRPr="00C56257">
        <w:rPr>
          <w:rFonts w:eastAsia="Calibri"/>
          <w:lang w:val="en-US"/>
        </w:rPr>
        <w:t xml:space="preserve"> de „</w:t>
      </w:r>
      <w:proofErr w:type="spellStart"/>
      <w:r w:rsidRPr="00C56257">
        <w:rPr>
          <w:rFonts w:eastAsia="Calibri"/>
          <w:lang w:val="en-US"/>
        </w:rPr>
        <w:t>controale</w:t>
      </w:r>
      <w:proofErr w:type="spellEnd"/>
      <w:r w:rsidRPr="00C56257">
        <w:rPr>
          <w:rFonts w:eastAsia="Calibri"/>
          <w:lang w:val="en-US"/>
        </w:rPr>
        <w:t xml:space="preserve"> la </w:t>
      </w:r>
      <w:proofErr w:type="spellStart"/>
      <w:r w:rsidRPr="00C56257">
        <w:rPr>
          <w:rFonts w:eastAsia="Calibri"/>
          <w:lang w:val="en-US"/>
        </w:rPr>
        <w:t>fața</w:t>
      </w:r>
      <w:proofErr w:type="spellEnd"/>
      <w:r w:rsidRPr="00C56257">
        <w:rPr>
          <w:rFonts w:eastAsia="Calibri"/>
          <w:lang w:val="en-US"/>
        </w:rPr>
        <w:t xml:space="preserve"> </w:t>
      </w:r>
      <w:proofErr w:type="spellStart"/>
      <w:r w:rsidRPr="00C56257">
        <w:rPr>
          <w:rFonts w:eastAsia="Calibri"/>
          <w:lang w:val="en-US"/>
        </w:rPr>
        <w:t>locului</w:t>
      </w:r>
      <w:proofErr w:type="spellEnd"/>
      <w:r w:rsidRPr="00C56257">
        <w:rPr>
          <w:rFonts w:eastAsia="Calibri"/>
          <w:lang w:val="en-US"/>
        </w:rPr>
        <w:t xml:space="preserve">“ </w:t>
      </w:r>
      <w:proofErr w:type="spellStart"/>
      <w:r w:rsidRPr="00C56257">
        <w:rPr>
          <w:rFonts w:eastAsia="Calibri"/>
          <w:lang w:val="en-US"/>
        </w:rPr>
        <w:t>în</w:t>
      </w:r>
      <w:proofErr w:type="spellEnd"/>
      <w:r w:rsidRPr="00C56257">
        <w:rPr>
          <w:rFonts w:eastAsia="Calibri"/>
          <w:lang w:val="en-US"/>
        </w:rPr>
        <w:t xml:space="preserve"> sit, </w:t>
      </w:r>
      <w:proofErr w:type="spellStart"/>
      <w:r w:rsidRPr="00C56257">
        <w:rPr>
          <w:rFonts w:eastAsia="Calibri"/>
          <w:lang w:val="en-US"/>
        </w:rPr>
        <w:t>pentru</w:t>
      </w:r>
      <w:proofErr w:type="spellEnd"/>
      <w:r w:rsidRPr="00C56257">
        <w:rPr>
          <w:rFonts w:eastAsia="Calibri"/>
          <w:lang w:val="en-US"/>
        </w:rPr>
        <w:t xml:space="preserve"> a </w:t>
      </w:r>
      <w:proofErr w:type="spellStart"/>
      <w:r w:rsidRPr="00C56257">
        <w:rPr>
          <w:rFonts w:eastAsia="Calibri"/>
          <w:lang w:val="en-US"/>
        </w:rPr>
        <w:t>asigura</w:t>
      </w:r>
      <w:proofErr w:type="spellEnd"/>
      <w:r w:rsidRPr="00C56257">
        <w:rPr>
          <w:rFonts w:eastAsia="Calibri"/>
          <w:lang w:val="en-US"/>
        </w:rPr>
        <w:t xml:space="preserve"> </w:t>
      </w:r>
      <w:proofErr w:type="spellStart"/>
      <w:r w:rsidRPr="00C56257">
        <w:rPr>
          <w:rFonts w:eastAsia="Calibri"/>
          <w:lang w:val="en-US"/>
        </w:rPr>
        <w:t>că</w:t>
      </w:r>
      <w:proofErr w:type="spellEnd"/>
      <w:r w:rsidRPr="00C56257">
        <w:rPr>
          <w:rFonts w:eastAsia="Calibri"/>
          <w:lang w:val="en-US"/>
        </w:rPr>
        <w:t xml:space="preserve"> </w:t>
      </w:r>
      <w:proofErr w:type="spellStart"/>
      <w:r w:rsidRPr="00C56257">
        <w:rPr>
          <w:rFonts w:eastAsia="Calibri"/>
          <w:lang w:val="en-US"/>
        </w:rPr>
        <w:t>rezultatele</w:t>
      </w:r>
      <w:proofErr w:type="spellEnd"/>
      <w:r w:rsidRPr="00C56257">
        <w:rPr>
          <w:rFonts w:eastAsia="Calibri"/>
          <w:lang w:val="en-US"/>
        </w:rPr>
        <w:t xml:space="preserve"> extrapolate sunt </w:t>
      </w:r>
      <w:proofErr w:type="spellStart"/>
      <w:r w:rsidRPr="00C56257">
        <w:rPr>
          <w:rFonts w:eastAsia="Calibri"/>
          <w:lang w:val="en-US"/>
        </w:rPr>
        <w:t>reprezentative</w:t>
      </w:r>
      <w:proofErr w:type="spellEnd"/>
      <w:r w:rsidRPr="00C56257">
        <w:rPr>
          <w:rFonts w:eastAsia="Calibri"/>
          <w:lang w:val="en-US"/>
        </w:rPr>
        <w:t xml:space="preserve"> </w:t>
      </w:r>
      <w:proofErr w:type="spellStart"/>
      <w:r w:rsidRPr="00C56257">
        <w:rPr>
          <w:rFonts w:eastAsia="Calibri"/>
          <w:lang w:val="en-US"/>
        </w:rPr>
        <w:t>pentru</w:t>
      </w:r>
      <w:proofErr w:type="spellEnd"/>
      <w:r w:rsidRPr="00C56257">
        <w:rPr>
          <w:rFonts w:eastAsia="Calibri"/>
          <w:lang w:val="en-US"/>
        </w:rPr>
        <w:t xml:space="preserve"> </w:t>
      </w:r>
      <w:proofErr w:type="spellStart"/>
      <w:r w:rsidRPr="00C56257">
        <w:rPr>
          <w:rFonts w:eastAsia="Calibri"/>
          <w:lang w:val="en-US"/>
        </w:rPr>
        <w:t>starea</w:t>
      </w:r>
      <w:proofErr w:type="spellEnd"/>
      <w:r w:rsidRPr="00C56257">
        <w:rPr>
          <w:rFonts w:eastAsia="Calibri"/>
          <w:lang w:val="en-US"/>
        </w:rPr>
        <w:t xml:space="preserve"> </w:t>
      </w:r>
      <w:proofErr w:type="spellStart"/>
      <w:r w:rsidRPr="00C56257">
        <w:rPr>
          <w:rFonts w:eastAsia="Calibri"/>
          <w:lang w:val="en-US"/>
        </w:rPr>
        <w:t>întregului</w:t>
      </w:r>
      <w:proofErr w:type="spellEnd"/>
      <w:r w:rsidRPr="00C56257">
        <w:rPr>
          <w:rFonts w:eastAsia="Calibri"/>
          <w:lang w:val="en-US"/>
        </w:rPr>
        <w:t xml:space="preserve"> sit.</w:t>
      </w:r>
    </w:p>
    <w:p w14:paraId="7B6B9312" w14:textId="77777777" w:rsidR="00FC026B" w:rsidRPr="00C56257" w:rsidRDefault="00FC026B" w:rsidP="00FC026B">
      <w:pPr>
        <w:ind w:left="436" w:firstLine="284"/>
        <w:contextualSpacing/>
        <w:jc w:val="both"/>
        <w:rPr>
          <w:rFonts w:eastAsia="Calibri"/>
          <w:lang w:val="en-US"/>
        </w:rPr>
      </w:pPr>
      <w:bookmarkStart w:id="14" w:name="_Toc14614816"/>
      <w:proofErr w:type="spellStart"/>
      <w:r w:rsidRPr="00C56257">
        <w:rPr>
          <w:rFonts w:eastAsia="Calibri"/>
          <w:lang w:val="en-US"/>
        </w:rPr>
        <w:t>În</w:t>
      </w:r>
      <w:proofErr w:type="spellEnd"/>
      <w:r w:rsidRPr="00C56257">
        <w:rPr>
          <w:rFonts w:eastAsia="Calibri"/>
          <w:lang w:val="en-US"/>
        </w:rPr>
        <w:t xml:space="preserve"> </w:t>
      </w:r>
      <w:proofErr w:type="spellStart"/>
      <w:r w:rsidRPr="00C56257">
        <w:rPr>
          <w:rFonts w:eastAsia="Calibri"/>
          <w:lang w:val="en-US"/>
        </w:rPr>
        <w:t>sectorul</w:t>
      </w:r>
      <w:proofErr w:type="spellEnd"/>
      <w:r w:rsidRPr="00C56257">
        <w:rPr>
          <w:rFonts w:eastAsia="Calibri"/>
          <w:lang w:val="en-US"/>
        </w:rPr>
        <w:t xml:space="preserve"> </w:t>
      </w:r>
      <w:proofErr w:type="spellStart"/>
      <w:r w:rsidRPr="00C56257">
        <w:rPr>
          <w:rFonts w:eastAsia="Calibri"/>
          <w:lang w:val="en-US"/>
        </w:rPr>
        <w:t>românesc</w:t>
      </w:r>
      <w:proofErr w:type="spellEnd"/>
      <w:r w:rsidRPr="00C56257">
        <w:rPr>
          <w:rFonts w:eastAsia="Calibri"/>
          <w:lang w:val="en-US"/>
        </w:rPr>
        <w:t xml:space="preserve"> al </w:t>
      </w:r>
      <w:proofErr w:type="spellStart"/>
      <w:r w:rsidRPr="00C56257">
        <w:rPr>
          <w:rFonts w:eastAsia="Calibri"/>
          <w:lang w:val="en-US"/>
        </w:rPr>
        <w:t>Mării</w:t>
      </w:r>
      <w:proofErr w:type="spellEnd"/>
      <w:r w:rsidRPr="00C56257">
        <w:rPr>
          <w:rFonts w:eastAsia="Calibri"/>
          <w:lang w:val="en-US"/>
        </w:rPr>
        <w:t xml:space="preserve"> Negre se </w:t>
      </w:r>
      <w:proofErr w:type="spellStart"/>
      <w:r w:rsidRPr="00C56257">
        <w:rPr>
          <w:rFonts w:eastAsia="Calibri"/>
          <w:lang w:val="en-US"/>
        </w:rPr>
        <w:t>întâlnesc</w:t>
      </w:r>
      <w:proofErr w:type="spellEnd"/>
      <w:r w:rsidRPr="00C56257">
        <w:rPr>
          <w:rFonts w:eastAsia="Calibri"/>
          <w:lang w:val="en-US"/>
        </w:rPr>
        <w:t xml:space="preserve"> </w:t>
      </w:r>
      <w:proofErr w:type="spellStart"/>
      <w:r w:rsidRPr="00C56257">
        <w:rPr>
          <w:rFonts w:eastAsia="Calibri"/>
          <w:lang w:val="en-US"/>
        </w:rPr>
        <w:t>mai</w:t>
      </w:r>
      <w:proofErr w:type="spellEnd"/>
      <w:r w:rsidRPr="00C56257">
        <w:rPr>
          <w:rFonts w:eastAsia="Calibri"/>
          <w:lang w:val="en-US"/>
        </w:rPr>
        <w:t xml:space="preserve"> </w:t>
      </w:r>
      <w:proofErr w:type="spellStart"/>
      <w:r w:rsidRPr="00C56257">
        <w:rPr>
          <w:rFonts w:eastAsia="Calibri"/>
          <w:lang w:val="en-US"/>
        </w:rPr>
        <w:t>multe</w:t>
      </w:r>
      <w:proofErr w:type="spellEnd"/>
      <w:r w:rsidRPr="00C56257">
        <w:rPr>
          <w:rFonts w:eastAsia="Calibri"/>
          <w:lang w:val="en-US"/>
        </w:rPr>
        <w:t xml:space="preserve"> </w:t>
      </w:r>
      <w:proofErr w:type="spellStart"/>
      <w:r w:rsidRPr="00C56257">
        <w:rPr>
          <w:rFonts w:eastAsia="Calibri"/>
          <w:lang w:val="en-US"/>
        </w:rPr>
        <w:t>tipuri</w:t>
      </w:r>
      <w:proofErr w:type="spellEnd"/>
      <w:r w:rsidRPr="00C56257">
        <w:rPr>
          <w:rFonts w:eastAsia="Calibri"/>
          <w:lang w:val="en-US"/>
        </w:rPr>
        <w:t xml:space="preserve"> de </w:t>
      </w:r>
      <w:proofErr w:type="spellStart"/>
      <w:r w:rsidRPr="00C56257">
        <w:rPr>
          <w:rFonts w:eastAsia="Calibri"/>
          <w:lang w:val="en-US"/>
        </w:rPr>
        <w:t>recifi</w:t>
      </w:r>
      <w:proofErr w:type="spellEnd"/>
      <w:r w:rsidRPr="00C56257">
        <w:rPr>
          <w:rFonts w:eastAsia="Calibri"/>
          <w:lang w:val="en-US"/>
        </w:rPr>
        <w:t xml:space="preserve">: </w:t>
      </w:r>
    </w:p>
    <w:p w14:paraId="68F61060" w14:textId="77777777" w:rsidR="00FC026B" w:rsidRPr="00C56257" w:rsidRDefault="00FC026B" w:rsidP="00FC026B">
      <w:pPr>
        <w:contextualSpacing/>
        <w:jc w:val="both"/>
        <w:rPr>
          <w:rFonts w:eastAsia="Calibri"/>
        </w:rPr>
      </w:pPr>
      <w:r w:rsidRPr="00C56257">
        <w:rPr>
          <w:b/>
          <w:lang w:val="en-GB"/>
        </w:rPr>
        <w:lastRenderedPageBreak/>
        <w:t>1170-1: Recif</w:t>
      </w:r>
      <w:r>
        <w:rPr>
          <w:b/>
          <w:lang w:val="en-GB"/>
        </w:rPr>
        <w:t>e</w:t>
      </w:r>
      <w:r w:rsidRPr="00C56257">
        <w:rPr>
          <w:b/>
          <w:lang w:val="en-GB"/>
        </w:rPr>
        <w:t xml:space="preserve"> </w:t>
      </w:r>
      <w:proofErr w:type="spellStart"/>
      <w:r w:rsidRPr="00C56257">
        <w:rPr>
          <w:b/>
          <w:lang w:val="en-GB"/>
        </w:rPr>
        <w:t>biogenic</w:t>
      </w:r>
      <w:r>
        <w:rPr>
          <w:b/>
          <w:lang w:val="en-GB"/>
        </w:rPr>
        <w:t>e</w:t>
      </w:r>
      <w:proofErr w:type="spellEnd"/>
      <w:r w:rsidRPr="00C56257">
        <w:rPr>
          <w:b/>
          <w:lang w:val="en-GB"/>
        </w:rPr>
        <w:t xml:space="preserve"> de </w:t>
      </w:r>
      <w:proofErr w:type="spellStart"/>
      <w:r w:rsidRPr="00C56257">
        <w:rPr>
          <w:b/>
          <w:i/>
          <w:iCs/>
          <w:lang w:val="en-GB"/>
        </w:rPr>
        <w:t>Ficopomatus</w:t>
      </w:r>
      <w:proofErr w:type="spellEnd"/>
      <w:r w:rsidRPr="00C56257">
        <w:rPr>
          <w:b/>
          <w:i/>
          <w:iCs/>
          <w:lang w:val="en-GB"/>
        </w:rPr>
        <w:t xml:space="preserve"> </w:t>
      </w:r>
      <w:proofErr w:type="spellStart"/>
      <w:r w:rsidRPr="00C56257">
        <w:rPr>
          <w:b/>
          <w:i/>
          <w:iCs/>
          <w:lang w:val="en-GB"/>
        </w:rPr>
        <w:t>enigmaticus</w:t>
      </w:r>
      <w:bookmarkEnd w:id="14"/>
      <w:proofErr w:type="spellEnd"/>
      <w:r w:rsidRPr="00C56257">
        <w:t xml:space="preserve"> - </w:t>
      </w:r>
      <w:r w:rsidRPr="00C56257">
        <w:rPr>
          <w:rFonts w:eastAsia="Calibri"/>
        </w:rPr>
        <w:t xml:space="preserve">Sunt construiţi de viermele polichet tubicol </w:t>
      </w:r>
      <w:r w:rsidRPr="00C56257">
        <w:rPr>
          <w:rFonts w:eastAsia="Calibri"/>
          <w:i/>
          <w:iCs/>
        </w:rPr>
        <w:t>Ficopomatus enigmaticus</w:t>
      </w:r>
      <w:r w:rsidRPr="00C56257">
        <w:rPr>
          <w:rFonts w:eastAsia="Calibri"/>
        </w:rPr>
        <w:t xml:space="preserve">, ale cărui tuburi calcaroase cresc aglomerate şi cimentate între ele. Sunt similari recifilor biogenici construiţi de viermii policheţi tubicoli </w:t>
      </w:r>
      <w:r w:rsidRPr="00C56257">
        <w:rPr>
          <w:rFonts w:eastAsia="Calibri"/>
          <w:i/>
          <w:iCs/>
        </w:rPr>
        <w:t>Serpula vermicularis</w:t>
      </w:r>
      <w:r w:rsidRPr="00C56257">
        <w:rPr>
          <w:rFonts w:eastAsia="Calibri"/>
        </w:rPr>
        <w:t xml:space="preserve"> pe coastele atlantice ale Europei, deosebirea fiind că </w:t>
      </w:r>
      <w:r w:rsidRPr="00C56257">
        <w:rPr>
          <w:rFonts w:eastAsia="Calibri"/>
          <w:i/>
          <w:iCs/>
        </w:rPr>
        <w:t>Ficopomatus</w:t>
      </w:r>
      <w:r w:rsidRPr="00C56257">
        <w:rPr>
          <w:rFonts w:eastAsia="Calibri"/>
        </w:rPr>
        <w:t xml:space="preserve"> preferă apele adăpostite de valuri, cu un uşor curent şi cu salinitate variabilă. Fauna este extrem de diversă, contrastând cu zonele sedimentare înconjurătoare. Crabii, bleniidele şi Scorpaena cresc şi mai mult complexitatea acestui habitat săpând galerii, camere şi canale anastomozate în materialul poros al recifului.</w:t>
      </w:r>
    </w:p>
    <w:p w14:paraId="42DF1003" w14:textId="77777777" w:rsidR="00FC026B" w:rsidRPr="00C56257" w:rsidRDefault="00FC026B" w:rsidP="00FC026B">
      <w:pPr>
        <w:contextualSpacing/>
        <w:jc w:val="both"/>
        <w:rPr>
          <w:lang w:val="it-IT"/>
        </w:rPr>
      </w:pPr>
      <w:bookmarkStart w:id="15" w:name="_Toc14614817"/>
      <w:r w:rsidRPr="00C56257">
        <w:rPr>
          <w:b/>
        </w:rPr>
        <w:t>1170-2: Recif</w:t>
      </w:r>
      <w:r>
        <w:rPr>
          <w:b/>
        </w:rPr>
        <w:t>e</w:t>
      </w:r>
      <w:r w:rsidRPr="00C56257">
        <w:rPr>
          <w:b/>
        </w:rPr>
        <w:t xml:space="preserve"> biogeni cu </w:t>
      </w:r>
      <w:r w:rsidRPr="00C56257">
        <w:rPr>
          <w:b/>
          <w:i/>
          <w:iCs/>
        </w:rPr>
        <w:t>Mytilus galloprovincialis</w:t>
      </w:r>
      <w:bookmarkEnd w:id="15"/>
      <w:r w:rsidRPr="00C56257">
        <w:t xml:space="preserve"> - Recifii de midii apar pe substrat sedimentar (mâl, nisip, scrădiş sau amestec), cel mai frecvent între izobatele de 30 şi 50 m. Sunt răspândiţi în tot lungul coastei româneşti, între izobatele amintite mai sus. Recifii biogenici de </w:t>
      </w:r>
      <w:r w:rsidRPr="00C56257">
        <w:rPr>
          <w:i/>
          <w:iCs/>
        </w:rPr>
        <w:t xml:space="preserve">Mytilus galloprovincialis </w:t>
      </w:r>
      <w:r w:rsidRPr="00C56257">
        <w:t>sunt constituiţi din bancuri de midii ale căror cochilii s-au acumulat de-a lungul timpului, formând un suport dur supraînălţat faţă de sedimentele înconjurătoare (mâl, nisip, scrădiş sau amestec), pe care trăiesc coloniile de midii vii. Acest tip de recif este unic prin rolul ecologic crucial al bancurilor de midii în epurarea ecosistemului şi realizarea cuplajului bentic-pelagic, prin existenţa aici a mai multor specii ameninţate, prin importanţa lui socio-economică ca habitat şi zonă de pescuit pentru multe specii cu valoare comercială.</w:t>
      </w:r>
    </w:p>
    <w:p w14:paraId="02761477" w14:textId="77777777" w:rsidR="00FC026B" w:rsidRPr="00C56257" w:rsidRDefault="00FC026B" w:rsidP="00FC026B">
      <w:pPr>
        <w:contextualSpacing/>
        <w:jc w:val="both"/>
      </w:pPr>
      <w:bookmarkStart w:id="16" w:name="_Toc14614818"/>
      <w:r w:rsidRPr="00C56257">
        <w:rPr>
          <w:b/>
        </w:rPr>
        <w:t>1170-3 Izvoare sulfuroase de mică adâncime</w:t>
      </w:r>
      <w:bookmarkEnd w:id="16"/>
      <w:r w:rsidRPr="00C56257">
        <w:t xml:space="preserve"> - Izvoare hidrotermale sulfuroase de mică adâncime. Apele sulfuroase din subteran, de provenienţă carstică continentală, ies la suprafaţă prin liniile de falie şi canalele calcarului sarmaţian, fie că acesta este expus sau acoperit cu un strat sedimentar. Izvoarele sunt ușor de localizat după halourile inelare alb-gălbui formate de bacteriile tiofile care se dezvoltă în jurul lor. Flora algală nu rezistă în imediata apropiere a izvorului, dar se dezvoltă luxuriant în vecinatatea acestuia. Fauna este formată din puţine specii tolerante la hipoxie, care pot fi foarte abundente.</w:t>
      </w:r>
    </w:p>
    <w:p w14:paraId="06FBD6C0" w14:textId="77777777" w:rsidR="00FC026B" w:rsidRPr="00C56257" w:rsidRDefault="00FC026B" w:rsidP="00FC026B">
      <w:pPr>
        <w:contextualSpacing/>
        <w:jc w:val="both"/>
      </w:pPr>
      <w:bookmarkStart w:id="17" w:name="_Toc14614819"/>
      <w:r w:rsidRPr="00C56257">
        <w:rPr>
          <w:b/>
        </w:rPr>
        <w:t>1170-4: Aglomerări de stânci şi bolovani</w:t>
      </w:r>
      <w:bookmarkEnd w:id="17"/>
      <w:r w:rsidRPr="00C56257">
        <w:rPr>
          <w:color w:val="1F3763"/>
        </w:rPr>
        <w:t xml:space="preserve"> </w:t>
      </w:r>
      <w:r w:rsidRPr="00C56257">
        <w:t xml:space="preserve">- Aglomerările de stânci şi bolovani de dimensiuni mari apar în mediolitoralul ţărmurilor stâncoase, la piciorul falezelor. Aceste blocuri pot fi rostogolite sau erodate de apa încărcată cu nisip în timpul furtunilor, de aceea populaţiile algale sunt efemere; </w:t>
      </w:r>
    </w:p>
    <w:tbl>
      <w:tblPr>
        <w:tblW w:w="0" w:type="auto"/>
        <w:jc w:val="center"/>
        <w:tblLook w:val="04A0" w:firstRow="1" w:lastRow="0" w:firstColumn="1" w:lastColumn="0" w:noHBand="0" w:noVBand="1"/>
      </w:tblPr>
      <w:tblGrid>
        <w:gridCol w:w="8454"/>
      </w:tblGrid>
      <w:tr w:rsidR="00FC026B" w:rsidRPr="00C56257" w14:paraId="34906C55" w14:textId="77777777" w:rsidTr="00993B86">
        <w:trPr>
          <w:jc w:val="center"/>
        </w:trPr>
        <w:tc>
          <w:tcPr>
            <w:tcW w:w="8454" w:type="dxa"/>
            <w:hideMark/>
          </w:tcPr>
          <w:p w14:paraId="066A3C1A" w14:textId="77777777" w:rsidR="00FC026B" w:rsidRPr="00C56257" w:rsidRDefault="00FC026B" w:rsidP="00993B86">
            <w:pPr>
              <w:contextualSpacing/>
              <w:jc w:val="center"/>
              <w:rPr>
                <w:lang w:val="en-US"/>
              </w:rPr>
            </w:pPr>
          </w:p>
        </w:tc>
      </w:tr>
    </w:tbl>
    <w:p w14:paraId="2398BA9F" w14:textId="77777777" w:rsidR="00FC026B" w:rsidRPr="00C56257" w:rsidRDefault="00FC026B" w:rsidP="00FC026B">
      <w:pPr>
        <w:autoSpaceDE w:val="0"/>
        <w:autoSpaceDN w:val="0"/>
        <w:adjustRightInd w:val="0"/>
        <w:contextualSpacing/>
        <w:jc w:val="both"/>
        <w:rPr>
          <w:lang w:val="es-ES"/>
        </w:rPr>
      </w:pPr>
      <w:bookmarkStart w:id="18" w:name="_Toc14614820"/>
      <w:r w:rsidRPr="00C56257">
        <w:rPr>
          <w:b/>
        </w:rPr>
        <w:t>1170-5: Stâncă supralitorală</w:t>
      </w:r>
      <w:bookmarkEnd w:id="18"/>
      <w:r w:rsidRPr="00C56257">
        <w:t xml:space="preserve"> - Stânca supralitorală este situată deasupra nivelului mării şi este umezită de spuma valurilor sau udată numai în timpul furtunilor. </w:t>
      </w:r>
      <w:r w:rsidRPr="00C56257">
        <w:rPr>
          <w:lang w:val="it-IT"/>
        </w:rPr>
        <w:t xml:space="preserve">Extinderea verticală depinde de </w:t>
      </w:r>
      <w:proofErr w:type="spellStart"/>
      <w:r w:rsidRPr="00C56257">
        <w:rPr>
          <w:lang w:val="es-ES"/>
        </w:rPr>
        <w:t>hidrodinamism</w:t>
      </w:r>
      <w:proofErr w:type="spellEnd"/>
      <w:r w:rsidRPr="00C56257">
        <w:rPr>
          <w:lang w:val="es-ES"/>
        </w:rPr>
        <w:t xml:space="preserve">, de </w:t>
      </w:r>
      <w:proofErr w:type="spellStart"/>
      <w:r w:rsidRPr="00C56257">
        <w:rPr>
          <w:lang w:val="es-ES"/>
        </w:rPr>
        <w:t>expunerea</w:t>
      </w:r>
      <w:proofErr w:type="spellEnd"/>
      <w:r w:rsidRPr="00C56257">
        <w:rPr>
          <w:lang w:val="es-ES"/>
        </w:rPr>
        <w:t xml:space="preserve"> la </w:t>
      </w:r>
      <w:proofErr w:type="spellStart"/>
      <w:r w:rsidRPr="00C56257">
        <w:rPr>
          <w:lang w:val="es-ES"/>
        </w:rPr>
        <w:t>soare</w:t>
      </w:r>
      <w:proofErr w:type="spellEnd"/>
      <w:r w:rsidRPr="00C56257">
        <w:rPr>
          <w:lang w:val="es-ES"/>
        </w:rPr>
        <w:t xml:space="preserve"> </w:t>
      </w:r>
      <w:proofErr w:type="spellStart"/>
      <w:r w:rsidRPr="00C56257">
        <w:rPr>
          <w:lang w:val="es-ES"/>
        </w:rPr>
        <w:t>şi</w:t>
      </w:r>
      <w:proofErr w:type="spellEnd"/>
      <w:r w:rsidRPr="00C56257">
        <w:rPr>
          <w:lang w:val="es-ES"/>
        </w:rPr>
        <w:t xml:space="preserve"> de </w:t>
      </w:r>
      <w:proofErr w:type="spellStart"/>
      <w:r w:rsidRPr="00C56257">
        <w:rPr>
          <w:lang w:val="es-ES"/>
        </w:rPr>
        <w:t>pantă</w:t>
      </w:r>
      <w:proofErr w:type="spellEnd"/>
      <w:r w:rsidRPr="00C56257">
        <w:rPr>
          <w:lang w:val="es-ES"/>
        </w:rPr>
        <w:t xml:space="preserve">; </w:t>
      </w:r>
    </w:p>
    <w:p w14:paraId="353C2C1F" w14:textId="77777777" w:rsidR="00FC026B" w:rsidRPr="00F100E1" w:rsidRDefault="00FC026B" w:rsidP="00FC026B">
      <w:pPr>
        <w:contextualSpacing/>
        <w:jc w:val="both"/>
      </w:pPr>
      <w:bookmarkStart w:id="19" w:name="_Toc14614821"/>
      <w:r w:rsidRPr="00C56257">
        <w:rPr>
          <w:b/>
        </w:rPr>
        <w:t>1170-6: Stânca mediolitorală superioară</w:t>
      </w:r>
      <w:bookmarkEnd w:id="19"/>
      <w:r w:rsidRPr="00C56257">
        <w:rPr>
          <w:color w:val="1F3763"/>
        </w:rPr>
        <w:t xml:space="preserve"> </w:t>
      </w:r>
      <w:r w:rsidRPr="00C56257">
        <w:t xml:space="preserve">- Stânca mediolitorală superioară este situată în partea superioară a zonei de spargere a valurilor şi nu este acoperită permanent de apă, fiind udată intermitent de valurile mai înalte; </w:t>
      </w:r>
    </w:p>
    <w:p w14:paraId="60756A3D" w14:textId="77777777" w:rsidR="00FC026B" w:rsidRPr="00C56257" w:rsidRDefault="00FC026B" w:rsidP="00FC026B">
      <w:pPr>
        <w:contextualSpacing/>
        <w:jc w:val="both"/>
        <w:rPr>
          <w:lang w:val="it-IT"/>
        </w:rPr>
      </w:pPr>
      <w:bookmarkStart w:id="20" w:name="_Toc14614822"/>
      <w:r w:rsidRPr="00C56257">
        <w:rPr>
          <w:b/>
        </w:rPr>
        <w:t>1170-7: Stânca mediolitorală inferioară</w:t>
      </w:r>
      <w:bookmarkEnd w:id="20"/>
      <w:r w:rsidRPr="00C56257">
        <w:rPr>
          <w:color w:val="1F3763"/>
        </w:rPr>
        <w:t xml:space="preserve"> </w:t>
      </w:r>
      <w:r w:rsidRPr="00C56257">
        <w:t>- Stânca mediolitorală inferioară e</w:t>
      </w:r>
      <w:r w:rsidRPr="00C56257">
        <w:rPr>
          <w:lang w:val="it-IT"/>
        </w:rPr>
        <w:t xml:space="preserve">ste situată în partea inferioară a zonei de spargere a valurilor şi este acoperită de apă în cea mai mare parte a timpului. Umiditatea ridicată şi constantă şi lumina puternică constituie factorii dominanţi în acest habitat; </w:t>
      </w:r>
    </w:p>
    <w:p w14:paraId="1379A338" w14:textId="77777777" w:rsidR="00FC026B" w:rsidRPr="00C56257" w:rsidRDefault="00FC026B" w:rsidP="00FC026B">
      <w:pPr>
        <w:contextualSpacing/>
        <w:jc w:val="both"/>
        <w:rPr>
          <w:lang w:val="it-IT" w:eastAsia="ar-SA"/>
        </w:rPr>
      </w:pPr>
      <w:bookmarkStart w:id="21" w:name="_Toc14614823"/>
      <w:r w:rsidRPr="00C56257">
        <w:rPr>
          <w:b/>
          <w:lang w:eastAsia="ar-SA"/>
        </w:rPr>
        <w:t>1170-8: Stâncă infralitorală cu alge fotofile</w:t>
      </w:r>
      <w:bookmarkEnd w:id="21"/>
      <w:r w:rsidRPr="00C56257">
        <w:rPr>
          <w:lang w:val="en-GB" w:eastAsia="ar-SA"/>
        </w:rPr>
        <w:t xml:space="preserve"> </w:t>
      </w:r>
      <w:r w:rsidRPr="00C56257">
        <w:rPr>
          <w:lang w:val="it-IT" w:eastAsia="ar-SA"/>
        </w:rPr>
        <w:t>-</w:t>
      </w:r>
      <w:r w:rsidRPr="00C56257">
        <w:rPr>
          <w:lang w:val="en-GB" w:eastAsia="ar-SA"/>
        </w:rPr>
        <w:t xml:space="preserve"> </w:t>
      </w:r>
      <w:proofErr w:type="spellStart"/>
      <w:r w:rsidRPr="00C56257">
        <w:rPr>
          <w:lang w:val="en-GB" w:eastAsia="ar-SA"/>
        </w:rPr>
        <w:t>Stânca</w:t>
      </w:r>
      <w:proofErr w:type="spellEnd"/>
      <w:r w:rsidRPr="00C56257">
        <w:rPr>
          <w:lang w:val="en-GB" w:eastAsia="ar-SA"/>
        </w:rPr>
        <w:t xml:space="preserve"> </w:t>
      </w:r>
      <w:proofErr w:type="spellStart"/>
      <w:r w:rsidRPr="00C56257">
        <w:rPr>
          <w:lang w:val="en-GB" w:eastAsia="ar-SA"/>
        </w:rPr>
        <w:t>infralitorală</w:t>
      </w:r>
      <w:proofErr w:type="spellEnd"/>
      <w:r w:rsidRPr="00C56257">
        <w:rPr>
          <w:lang w:val="en-GB" w:eastAsia="ar-SA"/>
        </w:rPr>
        <w:t xml:space="preserve"> cu </w:t>
      </w:r>
      <w:proofErr w:type="spellStart"/>
      <w:r w:rsidRPr="00C56257">
        <w:rPr>
          <w:lang w:val="en-GB" w:eastAsia="ar-SA"/>
        </w:rPr>
        <w:t>alge</w:t>
      </w:r>
      <w:proofErr w:type="spellEnd"/>
      <w:r w:rsidRPr="00C56257">
        <w:rPr>
          <w:lang w:val="en-GB" w:eastAsia="ar-SA"/>
        </w:rPr>
        <w:t xml:space="preserve"> </w:t>
      </w:r>
      <w:proofErr w:type="spellStart"/>
      <w:r w:rsidRPr="00C56257">
        <w:rPr>
          <w:lang w:val="en-GB" w:eastAsia="ar-SA"/>
        </w:rPr>
        <w:t>fotofile</w:t>
      </w:r>
      <w:proofErr w:type="spellEnd"/>
      <w:r>
        <w:rPr>
          <w:lang w:val="en-GB" w:eastAsia="ar-SA"/>
        </w:rPr>
        <w:t xml:space="preserve"> </w:t>
      </w:r>
      <w:proofErr w:type="spellStart"/>
      <w:r w:rsidRPr="00C56257">
        <w:rPr>
          <w:lang w:val="en-GB" w:eastAsia="ar-SA"/>
        </w:rPr>
        <w:t>începe</w:t>
      </w:r>
      <w:proofErr w:type="spellEnd"/>
      <w:r w:rsidRPr="00C56257">
        <w:rPr>
          <w:lang w:val="en-GB" w:eastAsia="ar-SA"/>
        </w:rPr>
        <w:t xml:space="preserve"> </w:t>
      </w:r>
      <w:proofErr w:type="spellStart"/>
      <w:r w:rsidRPr="00C56257">
        <w:rPr>
          <w:lang w:val="en-GB" w:eastAsia="ar-SA"/>
        </w:rPr>
        <w:t>imediat</w:t>
      </w:r>
      <w:proofErr w:type="spellEnd"/>
      <w:r w:rsidRPr="00C56257">
        <w:rPr>
          <w:lang w:val="en-GB" w:eastAsia="ar-SA"/>
        </w:rPr>
        <w:t xml:space="preserve"> sub </w:t>
      </w:r>
      <w:proofErr w:type="spellStart"/>
      <w:r w:rsidRPr="00C56257">
        <w:rPr>
          <w:lang w:val="en-GB" w:eastAsia="ar-SA"/>
        </w:rPr>
        <w:t>etajul</w:t>
      </w:r>
      <w:proofErr w:type="spellEnd"/>
      <w:r w:rsidRPr="00C56257">
        <w:rPr>
          <w:lang w:val="en-GB" w:eastAsia="ar-SA"/>
        </w:rPr>
        <w:t xml:space="preserve"> </w:t>
      </w:r>
      <w:proofErr w:type="spellStart"/>
      <w:r w:rsidRPr="00C56257">
        <w:rPr>
          <w:lang w:val="en-GB" w:eastAsia="ar-SA"/>
        </w:rPr>
        <w:t>mediolitoral</w:t>
      </w:r>
      <w:proofErr w:type="spellEnd"/>
      <w:r w:rsidRPr="00C56257">
        <w:rPr>
          <w:lang w:val="en-GB" w:eastAsia="ar-SA"/>
        </w:rPr>
        <w:t xml:space="preserve"> inferior, </w:t>
      </w:r>
      <w:proofErr w:type="spellStart"/>
      <w:r w:rsidRPr="00C56257">
        <w:rPr>
          <w:lang w:val="en-GB" w:eastAsia="ar-SA"/>
        </w:rPr>
        <w:t>acolo</w:t>
      </w:r>
      <w:proofErr w:type="spellEnd"/>
      <w:r w:rsidRPr="00C56257">
        <w:rPr>
          <w:lang w:val="en-GB" w:eastAsia="ar-SA"/>
        </w:rPr>
        <w:t xml:space="preserve"> </w:t>
      </w:r>
      <w:proofErr w:type="spellStart"/>
      <w:r w:rsidRPr="00C56257">
        <w:rPr>
          <w:lang w:val="en-GB" w:eastAsia="ar-SA"/>
        </w:rPr>
        <w:t>unde</w:t>
      </w:r>
      <w:proofErr w:type="spellEnd"/>
      <w:r w:rsidRPr="00C56257">
        <w:rPr>
          <w:lang w:val="en-GB" w:eastAsia="ar-SA"/>
        </w:rPr>
        <w:t xml:space="preserve"> </w:t>
      </w:r>
      <w:proofErr w:type="spellStart"/>
      <w:r w:rsidRPr="00C56257">
        <w:rPr>
          <w:lang w:val="en-GB" w:eastAsia="ar-SA"/>
        </w:rPr>
        <w:t>emersiunile</w:t>
      </w:r>
      <w:proofErr w:type="spellEnd"/>
      <w:r w:rsidRPr="00C56257">
        <w:rPr>
          <w:lang w:val="en-GB" w:eastAsia="ar-SA"/>
        </w:rPr>
        <w:t xml:space="preserve"> sunt </w:t>
      </w:r>
      <w:proofErr w:type="spellStart"/>
      <w:r w:rsidRPr="00C56257">
        <w:rPr>
          <w:lang w:val="en-GB" w:eastAsia="ar-SA"/>
        </w:rPr>
        <w:t>doar</w:t>
      </w:r>
      <w:proofErr w:type="spellEnd"/>
      <w:r w:rsidRPr="00C56257">
        <w:rPr>
          <w:lang w:val="en-GB" w:eastAsia="ar-SA"/>
        </w:rPr>
        <w:t xml:space="preserve"> </w:t>
      </w:r>
      <w:proofErr w:type="spellStart"/>
      <w:r w:rsidRPr="00C56257">
        <w:rPr>
          <w:lang w:val="en-GB" w:eastAsia="ar-SA"/>
        </w:rPr>
        <w:t>accidentale</w:t>
      </w:r>
      <w:proofErr w:type="spellEnd"/>
      <w:r w:rsidRPr="00C56257">
        <w:rPr>
          <w:lang w:val="en-GB" w:eastAsia="ar-SA"/>
        </w:rPr>
        <w:t xml:space="preserve">, </w:t>
      </w:r>
      <w:proofErr w:type="spellStart"/>
      <w:r w:rsidRPr="00C56257">
        <w:rPr>
          <w:lang w:val="en-GB" w:eastAsia="ar-SA"/>
        </w:rPr>
        <w:t>şi</w:t>
      </w:r>
      <w:proofErr w:type="spellEnd"/>
      <w:r w:rsidRPr="00C56257">
        <w:rPr>
          <w:lang w:val="en-GB" w:eastAsia="ar-SA"/>
        </w:rPr>
        <w:t xml:space="preserve"> se </w:t>
      </w:r>
      <w:proofErr w:type="spellStart"/>
      <w:r w:rsidRPr="00C56257">
        <w:rPr>
          <w:lang w:val="en-GB" w:eastAsia="ar-SA"/>
        </w:rPr>
        <w:t>întinde</w:t>
      </w:r>
      <w:proofErr w:type="spellEnd"/>
      <w:r w:rsidRPr="00C56257">
        <w:rPr>
          <w:lang w:val="en-GB" w:eastAsia="ar-SA"/>
        </w:rPr>
        <w:t xml:space="preserve"> </w:t>
      </w:r>
      <w:proofErr w:type="spellStart"/>
      <w:r w:rsidRPr="00C56257">
        <w:rPr>
          <w:lang w:val="en-GB" w:eastAsia="ar-SA"/>
        </w:rPr>
        <w:t>până</w:t>
      </w:r>
      <w:proofErr w:type="spellEnd"/>
      <w:r w:rsidRPr="00C56257">
        <w:rPr>
          <w:lang w:val="en-GB" w:eastAsia="ar-SA"/>
        </w:rPr>
        <w:t xml:space="preserve"> la </w:t>
      </w:r>
      <w:proofErr w:type="spellStart"/>
      <w:r w:rsidRPr="00C56257">
        <w:rPr>
          <w:lang w:val="en-GB" w:eastAsia="ar-SA"/>
        </w:rPr>
        <w:t>limita</w:t>
      </w:r>
      <w:proofErr w:type="spellEnd"/>
      <w:r w:rsidRPr="00C56257">
        <w:rPr>
          <w:lang w:val="en-GB" w:eastAsia="ar-SA"/>
        </w:rPr>
        <w:t xml:space="preserve"> </w:t>
      </w:r>
      <w:proofErr w:type="spellStart"/>
      <w:r w:rsidRPr="00C56257">
        <w:rPr>
          <w:lang w:val="en-GB" w:eastAsia="ar-SA"/>
        </w:rPr>
        <w:t>inferioară</w:t>
      </w:r>
      <w:proofErr w:type="spellEnd"/>
      <w:r w:rsidRPr="00C56257">
        <w:rPr>
          <w:lang w:val="en-GB" w:eastAsia="ar-SA"/>
        </w:rPr>
        <w:t xml:space="preserve"> a </w:t>
      </w:r>
      <w:proofErr w:type="spellStart"/>
      <w:r w:rsidRPr="00C56257">
        <w:rPr>
          <w:lang w:val="en-GB" w:eastAsia="ar-SA"/>
        </w:rPr>
        <w:t>răspândirii</w:t>
      </w:r>
      <w:proofErr w:type="spellEnd"/>
      <w:r w:rsidRPr="00C56257">
        <w:rPr>
          <w:lang w:val="en-GB" w:eastAsia="ar-SA"/>
        </w:rPr>
        <w:t xml:space="preserve"> </w:t>
      </w:r>
      <w:proofErr w:type="spellStart"/>
      <w:r w:rsidRPr="00C56257">
        <w:rPr>
          <w:lang w:val="en-GB" w:eastAsia="ar-SA"/>
        </w:rPr>
        <w:t>algelor</w:t>
      </w:r>
      <w:proofErr w:type="spellEnd"/>
      <w:r w:rsidRPr="00C56257">
        <w:rPr>
          <w:lang w:val="en-GB" w:eastAsia="ar-SA"/>
        </w:rPr>
        <w:t xml:space="preserve"> </w:t>
      </w:r>
      <w:proofErr w:type="spellStart"/>
      <w:r w:rsidRPr="00C56257">
        <w:rPr>
          <w:lang w:val="en-GB" w:eastAsia="ar-SA"/>
        </w:rPr>
        <w:t>fotofile</w:t>
      </w:r>
      <w:proofErr w:type="spellEnd"/>
      <w:r w:rsidRPr="00C56257">
        <w:rPr>
          <w:lang w:val="en-GB" w:eastAsia="ar-SA"/>
        </w:rPr>
        <w:t xml:space="preserve"> </w:t>
      </w:r>
      <w:proofErr w:type="spellStart"/>
      <w:r w:rsidRPr="00C56257">
        <w:rPr>
          <w:lang w:val="en-GB" w:eastAsia="ar-SA"/>
        </w:rPr>
        <w:t>şi</w:t>
      </w:r>
      <w:proofErr w:type="spellEnd"/>
      <w:r w:rsidRPr="00C56257">
        <w:rPr>
          <w:lang w:val="en-GB" w:eastAsia="ar-SA"/>
        </w:rPr>
        <w:t xml:space="preserve"> </w:t>
      </w:r>
      <w:proofErr w:type="spellStart"/>
      <w:r w:rsidRPr="00C56257">
        <w:rPr>
          <w:lang w:val="en-GB" w:eastAsia="ar-SA"/>
        </w:rPr>
        <w:t>fanerogamelor</w:t>
      </w:r>
      <w:proofErr w:type="spellEnd"/>
      <w:r w:rsidRPr="00C56257">
        <w:rPr>
          <w:lang w:val="en-GB" w:eastAsia="ar-SA"/>
        </w:rPr>
        <w:t xml:space="preserve"> marine. </w:t>
      </w:r>
      <w:proofErr w:type="spellStart"/>
      <w:r w:rsidRPr="00C56257">
        <w:rPr>
          <w:lang w:val="en-GB" w:eastAsia="ar-SA"/>
        </w:rPr>
        <w:t>Limita</w:t>
      </w:r>
      <w:proofErr w:type="spellEnd"/>
      <w:r w:rsidRPr="00C56257">
        <w:rPr>
          <w:lang w:val="en-GB" w:eastAsia="ar-SA"/>
        </w:rPr>
        <w:t xml:space="preserve"> </w:t>
      </w:r>
      <w:proofErr w:type="spellStart"/>
      <w:r w:rsidRPr="00C56257">
        <w:rPr>
          <w:lang w:val="en-GB" w:eastAsia="ar-SA"/>
        </w:rPr>
        <w:t>inferioară</w:t>
      </w:r>
      <w:proofErr w:type="spellEnd"/>
      <w:r w:rsidRPr="00C56257">
        <w:rPr>
          <w:lang w:val="en-GB" w:eastAsia="ar-SA"/>
        </w:rPr>
        <w:t xml:space="preserve"> </w:t>
      </w:r>
      <w:proofErr w:type="spellStart"/>
      <w:r w:rsidRPr="00C56257">
        <w:rPr>
          <w:lang w:val="en-GB" w:eastAsia="ar-SA"/>
        </w:rPr>
        <w:t>este</w:t>
      </w:r>
      <w:proofErr w:type="spellEnd"/>
      <w:r w:rsidRPr="00C56257">
        <w:rPr>
          <w:lang w:val="en-GB" w:eastAsia="ar-SA"/>
        </w:rPr>
        <w:t xml:space="preserve"> </w:t>
      </w:r>
      <w:proofErr w:type="spellStart"/>
      <w:r w:rsidRPr="00C56257">
        <w:rPr>
          <w:lang w:val="en-GB" w:eastAsia="ar-SA"/>
        </w:rPr>
        <w:t>condiţionată</w:t>
      </w:r>
      <w:proofErr w:type="spellEnd"/>
      <w:r w:rsidRPr="00C56257">
        <w:rPr>
          <w:lang w:val="en-GB" w:eastAsia="ar-SA"/>
        </w:rPr>
        <w:t xml:space="preserve"> de </w:t>
      </w:r>
      <w:proofErr w:type="spellStart"/>
      <w:r w:rsidRPr="00C56257">
        <w:rPr>
          <w:lang w:val="en-GB" w:eastAsia="ar-SA"/>
        </w:rPr>
        <w:t>pătrunderea</w:t>
      </w:r>
      <w:proofErr w:type="spellEnd"/>
      <w:r w:rsidRPr="00C56257">
        <w:rPr>
          <w:lang w:val="en-GB" w:eastAsia="ar-SA"/>
        </w:rPr>
        <w:t xml:space="preserve"> </w:t>
      </w:r>
      <w:proofErr w:type="spellStart"/>
      <w:r w:rsidRPr="00C56257">
        <w:rPr>
          <w:lang w:val="en-GB" w:eastAsia="ar-SA"/>
        </w:rPr>
        <w:t>luminii</w:t>
      </w:r>
      <w:proofErr w:type="spellEnd"/>
      <w:r w:rsidRPr="00C56257">
        <w:rPr>
          <w:lang w:val="en-GB" w:eastAsia="ar-SA"/>
        </w:rPr>
        <w:t xml:space="preserve"> </w:t>
      </w:r>
      <w:proofErr w:type="spellStart"/>
      <w:r w:rsidRPr="00C56257">
        <w:rPr>
          <w:lang w:val="en-GB" w:eastAsia="ar-SA"/>
        </w:rPr>
        <w:t>şi</w:t>
      </w:r>
      <w:proofErr w:type="spellEnd"/>
      <w:r w:rsidRPr="00C56257">
        <w:rPr>
          <w:lang w:val="en-GB" w:eastAsia="ar-SA"/>
        </w:rPr>
        <w:t xml:space="preserve"> </w:t>
      </w:r>
      <w:proofErr w:type="spellStart"/>
      <w:r w:rsidRPr="00C56257">
        <w:rPr>
          <w:lang w:val="en-GB" w:eastAsia="ar-SA"/>
        </w:rPr>
        <w:t>deci</w:t>
      </w:r>
      <w:proofErr w:type="spellEnd"/>
      <w:r w:rsidRPr="00C56257">
        <w:rPr>
          <w:lang w:val="en-GB" w:eastAsia="ar-SA"/>
        </w:rPr>
        <w:t xml:space="preserve"> </w:t>
      </w:r>
      <w:proofErr w:type="spellStart"/>
      <w:r w:rsidRPr="00C56257">
        <w:rPr>
          <w:lang w:val="en-GB" w:eastAsia="ar-SA"/>
        </w:rPr>
        <w:t>extrem</w:t>
      </w:r>
      <w:proofErr w:type="spellEnd"/>
      <w:r w:rsidRPr="00C56257">
        <w:rPr>
          <w:lang w:val="en-GB" w:eastAsia="ar-SA"/>
        </w:rPr>
        <w:t xml:space="preserve"> de </w:t>
      </w:r>
      <w:proofErr w:type="spellStart"/>
      <w:r w:rsidRPr="00C56257">
        <w:rPr>
          <w:lang w:val="en-GB" w:eastAsia="ar-SA"/>
        </w:rPr>
        <w:t>variabilă</w:t>
      </w:r>
      <w:proofErr w:type="spellEnd"/>
      <w:r w:rsidRPr="00C56257">
        <w:rPr>
          <w:lang w:val="en-GB" w:eastAsia="ar-SA"/>
        </w:rPr>
        <w:t xml:space="preserve"> </w:t>
      </w:r>
      <w:proofErr w:type="spellStart"/>
      <w:r w:rsidRPr="00C56257">
        <w:rPr>
          <w:lang w:val="en-GB" w:eastAsia="ar-SA"/>
        </w:rPr>
        <w:t>în</w:t>
      </w:r>
      <w:proofErr w:type="spellEnd"/>
      <w:r w:rsidRPr="00C56257">
        <w:rPr>
          <w:lang w:val="en-GB" w:eastAsia="ar-SA"/>
        </w:rPr>
        <w:t xml:space="preserve"> </w:t>
      </w:r>
      <w:proofErr w:type="spellStart"/>
      <w:r w:rsidRPr="00C56257">
        <w:rPr>
          <w:lang w:val="en-GB" w:eastAsia="ar-SA"/>
        </w:rPr>
        <w:t>funcţie</w:t>
      </w:r>
      <w:proofErr w:type="spellEnd"/>
      <w:r w:rsidRPr="00C56257">
        <w:rPr>
          <w:lang w:val="en-GB" w:eastAsia="ar-SA"/>
        </w:rPr>
        <w:t xml:space="preserve"> de </w:t>
      </w:r>
      <w:proofErr w:type="spellStart"/>
      <w:r w:rsidRPr="00C56257">
        <w:rPr>
          <w:lang w:val="en-GB" w:eastAsia="ar-SA"/>
        </w:rPr>
        <w:t>topografie</w:t>
      </w:r>
      <w:proofErr w:type="spellEnd"/>
      <w:r w:rsidRPr="00C56257">
        <w:rPr>
          <w:lang w:val="en-GB" w:eastAsia="ar-SA"/>
        </w:rPr>
        <w:t xml:space="preserve"> </w:t>
      </w:r>
      <w:proofErr w:type="spellStart"/>
      <w:r w:rsidRPr="00C56257">
        <w:rPr>
          <w:lang w:val="en-GB" w:eastAsia="ar-SA"/>
        </w:rPr>
        <w:t>şi</w:t>
      </w:r>
      <w:proofErr w:type="spellEnd"/>
      <w:r w:rsidRPr="00C56257">
        <w:rPr>
          <w:lang w:val="en-GB" w:eastAsia="ar-SA"/>
        </w:rPr>
        <w:t xml:space="preserve"> de </w:t>
      </w:r>
      <w:proofErr w:type="spellStart"/>
      <w:r w:rsidRPr="00C56257">
        <w:rPr>
          <w:lang w:val="en-GB" w:eastAsia="ar-SA"/>
        </w:rPr>
        <w:t>claritatea</w:t>
      </w:r>
      <w:proofErr w:type="spellEnd"/>
      <w:r w:rsidRPr="00C56257">
        <w:rPr>
          <w:lang w:val="en-GB" w:eastAsia="ar-SA"/>
        </w:rPr>
        <w:t xml:space="preserve"> </w:t>
      </w:r>
      <w:proofErr w:type="spellStart"/>
      <w:r w:rsidRPr="00C56257">
        <w:rPr>
          <w:lang w:val="en-GB" w:eastAsia="ar-SA"/>
        </w:rPr>
        <w:t>apei</w:t>
      </w:r>
      <w:proofErr w:type="spellEnd"/>
      <w:r w:rsidRPr="00C56257">
        <w:rPr>
          <w:lang w:val="en-GB" w:eastAsia="ar-SA"/>
        </w:rPr>
        <w:t xml:space="preserve">. </w:t>
      </w:r>
      <w:proofErr w:type="spellStart"/>
      <w:r w:rsidRPr="00C56257">
        <w:rPr>
          <w:lang w:val="en-GB" w:eastAsia="ar-SA"/>
        </w:rPr>
        <w:t>În</w:t>
      </w:r>
      <w:proofErr w:type="spellEnd"/>
      <w:r w:rsidRPr="00C56257">
        <w:rPr>
          <w:lang w:val="en-GB" w:eastAsia="ar-SA"/>
        </w:rPr>
        <w:t xml:space="preserve"> general</w:t>
      </w:r>
      <w:r w:rsidRPr="00C56257">
        <w:rPr>
          <w:lang w:eastAsia="ar-SA"/>
        </w:rPr>
        <w:t>,</w:t>
      </w:r>
      <w:r w:rsidRPr="00C56257">
        <w:rPr>
          <w:lang w:val="en-GB" w:eastAsia="ar-SA"/>
        </w:rPr>
        <w:t xml:space="preserve"> la </w:t>
      </w:r>
      <w:proofErr w:type="spellStart"/>
      <w:r w:rsidRPr="00C56257">
        <w:rPr>
          <w:lang w:val="en-GB" w:eastAsia="ar-SA"/>
        </w:rPr>
        <w:t>litoralul</w:t>
      </w:r>
      <w:proofErr w:type="spellEnd"/>
      <w:r w:rsidRPr="00C56257">
        <w:rPr>
          <w:lang w:val="en-GB" w:eastAsia="ar-SA"/>
        </w:rPr>
        <w:t xml:space="preserve"> </w:t>
      </w:r>
      <w:proofErr w:type="spellStart"/>
      <w:r w:rsidRPr="00C56257">
        <w:rPr>
          <w:lang w:val="en-GB" w:eastAsia="ar-SA"/>
        </w:rPr>
        <w:t>românesc</w:t>
      </w:r>
      <w:proofErr w:type="spellEnd"/>
      <w:r w:rsidRPr="00C56257">
        <w:rPr>
          <w:lang w:val="en-GB" w:eastAsia="ar-SA"/>
        </w:rPr>
        <w:t xml:space="preserve"> </w:t>
      </w:r>
      <w:proofErr w:type="spellStart"/>
      <w:r w:rsidRPr="00C56257">
        <w:rPr>
          <w:lang w:val="en-GB" w:eastAsia="ar-SA"/>
        </w:rPr>
        <w:t>este</w:t>
      </w:r>
      <w:proofErr w:type="spellEnd"/>
      <w:r w:rsidRPr="00C56257">
        <w:rPr>
          <w:lang w:val="en-GB" w:eastAsia="ar-SA"/>
        </w:rPr>
        <w:t xml:space="preserve"> </w:t>
      </w:r>
      <w:proofErr w:type="spellStart"/>
      <w:r w:rsidRPr="00C56257">
        <w:rPr>
          <w:lang w:val="en-GB" w:eastAsia="ar-SA"/>
        </w:rPr>
        <w:t>în</w:t>
      </w:r>
      <w:proofErr w:type="spellEnd"/>
      <w:r w:rsidRPr="00C56257">
        <w:rPr>
          <w:lang w:val="en-GB" w:eastAsia="ar-SA"/>
        </w:rPr>
        <w:t xml:space="preserve"> </w:t>
      </w:r>
      <w:proofErr w:type="spellStart"/>
      <w:r w:rsidRPr="00C56257">
        <w:rPr>
          <w:lang w:val="en-GB" w:eastAsia="ar-SA"/>
        </w:rPr>
        <w:t>jur</w:t>
      </w:r>
      <w:proofErr w:type="spellEnd"/>
      <w:r w:rsidRPr="00C56257">
        <w:rPr>
          <w:lang w:val="en-GB" w:eastAsia="ar-SA"/>
        </w:rPr>
        <w:t xml:space="preserve"> de 10 m </w:t>
      </w:r>
      <w:proofErr w:type="spellStart"/>
      <w:r w:rsidRPr="00C56257">
        <w:rPr>
          <w:lang w:val="en-GB" w:eastAsia="ar-SA"/>
        </w:rPr>
        <w:t>adâncime</w:t>
      </w:r>
      <w:proofErr w:type="spellEnd"/>
      <w:r w:rsidRPr="00C56257">
        <w:rPr>
          <w:lang w:val="en-GB" w:eastAsia="ar-SA"/>
        </w:rPr>
        <w:t xml:space="preserve">, </w:t>
      </w:r>
      <w:proofErr w:type="spellStart"/>
      <w:r w:rsidRPr="00C56257">
        <w:rPr>
          <w:lang w:val="en-GB" w:eastAsia="ar-SA"/>
        </w:rPr>
        <w:t>dar</w:t>
      </w:r>
      <w:proofErr w:type="spellEnd"/>
      <w:r w:rsidRPr="00C56257">
        <w:rPr>
          <w:lang w:val="en-GB" w:eastAsia="ar-SA"/>
        </w:rPr>
        <w:t xml:space="preserve"> </w:t>
      </w:r>
      <w:proofErr w:type="spellStart"/>
      <w:r w:rsidRPr="00C56257">
        <w:rPr>
          <w:lang w:val="en-GB" w:eastAsia="ar-SA"/>
        </w:rPr>
        <w:t>în</w:t>
      </w:r>
      <w:proofErr w:type="spellEnd"/>
      <w:r w:rsidRPr="00C56257">
        <w:rPr>
          <w:lang w:val="en-GB" w:eastAsia="ar-SA"/>
        </w:rPr>
        <w:t xml:space="preserve"> </w:t>
      </w:r>
      <w:proofErr w:type="spellStart"/>
      <w:r w:rsidRPr="00C56257">
        <w:rPr>
          <w:lang w:val="en-GB" w:eastAsia="ar-SA"/>
        </w:rPr>
        <w:t>zonele</w:t>
      </w:r>
      <w:proofErr w:type="spellEnd"/>
      <w:r w:rsidRPr="00C56257">
        <w:rPr>
          <w:lang w:val="en-GB" w:eastAsia="ar-SA"/>
        </w:rPr>
        <w:t xml:space="preserve"> cu </w:t>
      </w:r>
      <w:proofErr w:type="spellStart"/>
      <w:r w:rsidRPr="00C56257">
        <w:rPr>
          <w:lang w:val="en-GB" w:eastAsia="ar-SA"/>
        </w:rPr>
        <w:t>turbiditate</w:t>
      </w:r>
      <w:proofErr w:type="spellEnd"/>
      <w:r w:rsidRPr="00C56257">
        <w:rPr>
          <w:lang w:val="en-GB" w:eastAsia="ar-SA"/>
        </w:rPr>
        <w:t xml:space="preserve"> </w:t>
      </w:r>
      <w:proofErr w:type="spellStart"/>
      <w:r w:rsidRPr="00C56257">
        <w:rPr>
          <w:lang w:val="en-GB" w:eastAsia="ar-SA"/>
        </w:rPr>
        <w:t>ridicată</w:t>
      </w:r>
      <w:proofErr w:type="spellEnd"/>
      <w:r w:rsidRPr="00C56257">
        <w:rPr>
          <w:lang w:val="en-GB" w:eastAsia="ar-SA"/>
        </w:rPr>
        <w:t xml:space="preserve"> </w:t>
      </w:r>
      <w:proofErr w:type="spellStart"/>
      <w:r w:rsidRPr="00C56257">
        <w:rPr>
          <w:lang w:val="en-GB" w:eastAsia="ar-SA"/>
        </w:rPr>
        <w:t>poate</w:t>
      </w:r>
      <w:proofErr w:type="spellEnd"/>
      <w:r w:rsidRPr="00C56257">
        <w:rPr>
          <w:lang w:val="en-GB" w:eastAsia="ar-SA"/>
        </w:rPr>
        <w:t xml:space="preserve"> fi sub 1 m; </w:t>
      </w:r>
    </w:p>
    <w:p w14:paraId="3C7754E4" w14:textId="77777777" w:rsidR="00FC026B" w:rsidRPr="00C56257" w:rsidRDefault="00FC026B" w:rsidP="00FC026B">
      <w:pPr>
        <w:contextualSpacing/>
        <w:jc w:val="both"/>
        <w:rPr>
          <w:lang w:val="it-IT"/>
        </w:rPr>
      </w:pPr>
      <w:bookmarkStart w:id="22" w:name="_Toc14614824"/>
      <w:r w:rsidRPr="00C56257">
        <w:rPr>
          <w:b/>
        </w:rPr>
        <w:t xml:space="preserve">1170-9: Stâncă infralitorală cu </w:t>
      </w:r>
      <w:r w:rsidRPr="00C56257">
        <w:rPr>
          <w:b/>
          <w:i/>
          <w:iCs/>
        </w:rPr>
        <w:t>Mytilus galloprovincialis</w:t>
      </w:r>
      <w:bookmarkEnd w:id="22"/>
      <w:r w:rsidRPr="00C56257">
        <w:t xml:space="preserve"> - </w:t>
      </w:r>
      <w:r w:rsidRPr="00C56257">
        <w:rPr>
          <w:lang w:val="it-IT"/>
        </w:rPr>
        <w:t>Pătrunde în adâncime până la maxim 28 m, la limita inferioară a platformelor stâncoase</w:t>
      </w:r>
      <w:r>
        <w:rPr>
          <w:lang w:val="it-IT"/>
        </w:rPr>
        <w:t xml:space="preserve">. </w:t>
      </w:r>
      <w:r w:rsidRPr="00C56257">
        <w:rPr>
          <w:lang w:val="it-IT"/>
        </w:rPr>
        <w:t>În zona algelor fotofile se suprapune cu habitatul precedent, dar continuă în adâncime mult dincolo de limitele acestuia;</w:t>
      </w:r>
    </w:p>
    <w:p w14:paraId="4900757C" w14:textId="77777777" w:rsidR="00FC026B" w:rsidRPr="00F100E1" w:rsidRDefault="00FC026B" w:rsidP="00FC026B">
      <w:pPr>
        <w:contextualSpacing/>
        <w:jc w:val="both"/>
        <w:rPr>
          <w:lang w:val="fr-FR"/>
        </w:rPr>
      </w:pPr>
      <w:bookmarkStart w:id="23" w:name="_Toc14614825"/>
      <w:r w:rsidRPr="00C56257">
        <w:rPr>
          <w:b/>
          <w:lang w:val="en-GB"/>
        </w:rPr>
        <w:t xml:space="preserve">1170-10: </w:t>
      </w:r>
      <w:proofErr w:type="spellStart"/>
      <w:r w:rsidRPr="00C56257">
        <w:rPr>
          <w:b/>
          <w:lang w:val="en-GB"/>
        </w:rPr>
        <w:t>Bancuri</w:t>
      </w:r>
      <w:proofErr w:type="spellEnd"/>
      <w:r w:rsidRPr="00C56257">
        <w:rPr>
          <w:b/>
          <w:lang w:val="en-GB"/>
        </w:rPr>
        <w:t xml:space="preserve"> de </w:t>
      </w:r>
      <w:proofErr w:type="spellStart"/>
      <w:r w:rsidRPr="00C56257">
        <w:rPr>
          <w:b/>
          <w:lang w:val="en-GB"/>
        </w:rPr>
        <w:t>argilă</w:t>
      </w:r>
      <w:proofErr w:type="spellEnd"/>
      <w:r w:rsidRPr="00C56257">
        <w:rPr>
          <w:b/>
          <w:lang w:val="en-GB"/>
        </w:rPr>
        <w:t xml:space="preserve"> tare </w:t>
      </w:r>
      <w:proofErr w:type="spellStart"/>
      <w:r w:rsidRPr="00C56257">
        <w:rPr>
          <w:b/>
          <w:lang w:val="en-GB"/>
        </w:rPr>
        <w:t>infralitorală</w:t>
      </w:r>
      <w:proofErr w:type="spellEnd"/>
      <w:r w:rsidRPr="00C56257">
        <w:rPr>
          <w:b/>
          <w:lang w:val="en-GB"/>
        </w:rPr>
        <w:t xml:space="preserve"> cu </w:t>
      </w:r>
      <w:proofErr w:type="spellStart"/>
      <w:r w:rsidRPr="00C56257">
        <w:rPr>
          <w:b/>
          <w:i/>
          <w:iCs/>
          <w:lang w:val="en-GB"/>
        </w:rPr>
        <w:t>Pholadidae</w:t>
      </w:r>
      <w:bookmarkEnd w:id="23"/>
      <w:proofErr w:type="spellEnd"/>
      <w:r w:rsidRPr="00C56257">
        <w:rPr>
          <w:b/>
          <w:lang w:val="en-GB"/>
        </w:rPr>
        <w:t xml:space="preserve"> -</w:t>
      </w:r>
      <w:r w:rsidRPr="00C56257">
        <w:rPr>
          <w:lang w:val="en-GB"/>
        </w:rPr>
        <w:t xml:space="preserve"> </w:t>
      </w:r>
      <w:r w:rsidRPr="00C56257">
        <w:rPr>
          <w:lang w:val="fr-FR"/>
        </w:rPr>
        <w:t xml:space="preserve">Este format </w:t>
      </w:r>
      <w:proofErr w:type="spellStart"/>
      <w:r w:rsidRPr="00C56257">
        <w:rPr>
          <w:lang w:val="fr-FR"/>
        </w:rPr>
        <w:t>din</w:t>
      </w:r>
      <w:proofErr w:type="spellEnd"/>
      <w:r w:rsidRPr="00C56257">
        <w:rPr>
          <w:lang w:val="fr-FR"/>
        </w:rPr>
        <w:t xml:space="preserve"> </w:t>
      </w:r>
      <w:proofErr w:type="spellStart"/>
      <w:r w:rsidRPr="00C56257">
        <w:rPr>
          <w:lang w:val="fr-FR"/>
        </w:rPr>
        <w:t>bancuri</w:t>
      </w:r>
      <w:proofErr w:type="spellEnd"/>
      <w:r w:rsidRPr="00C56257">
        <w:rPr>
          <w:lang w:val="fr-FR"/>
        </w:rPr>
        <w:t xml:space="preserve"> de </w:t>
      </w:r>
      <w:proofErr w:type="spellStart"/>
      <w:r w:rsidRPr="00C56257">
        <w:rPr>
          <w:lang w:val="fr-FR"/>
        </w:rPr>
        <w:t>argilă</w:t>
      </w:r>
      <w:proofErr w:type="spellEnd"/>
      <w:r w:rsidRPr="00C56257">
        <w:rPr>
          <w:lang w:val="fr-FR"/>
        </w:rPr>
        <w:t xml:space="preserve"> </w:t>
      </w:r>
      <w:proofErr w:type="spellStart"/>
      <w:r w:rsidRPr="00C56257">
        <w:rPr>
          <w:lang w:val="fr-FR"/>
        </w:rPr>
        <w:t>întarită</w:t>
      </w:r>
      <w:proofErr w:type="spellEnd"/>
      <w:r w:rsidRPr="00C56257">
        <w:rPr>
          <w:lang w:val="fr-FR"/>
        </w:rPr>
        <w:t xml:space="preserve">, </w:t>
      </w:r>
      <w:proofErr w:type="spellStart"/>
      <w:r w:rsidRPr="00C56257">
        <w:rPr>
          <w:lang w:val="fr-FR"/>
        </w:rPr>
        <w:t>având</w:t>
      </w:r>
      <w:proofErr w:type="spellEnd"/>
      <w:r w:rsidRPr="00C56257">
        <w:rPr>
          <w:lang w:val="fr-FR"/>
        </w:rPr>
        <w:t xml:space="preserve"> aspect de </w:t>
      </w:r>
      <w:proofErr w:type="spellStart"/>
      <w:r w:rsidRPr="00C56257">
        <w:rPr>
          <w:lang w:val="fr-FR"/>
        </w:rPr>
        <w:t>platou</w:t>
      </w:r>
      <w:proofErr w:type="spellEnd"/>
      <w:r w:rsidRPr="00C56257">
        <w:rPr>
          <w:lang w:val="fr-FR"/>
        </w:rPr>
        <w:t xml:space="preserve"> </w:t>
      </w:r>
      <w:proofErr w:type="spellStart"/>
      <w:r w:rsidRPr="00C56257">
        <w:rPr>
          <w:lang w:val="fr-FR"/>
        </w:rPr>
        <w:t>sau</w:t>
      </w:r>
      <w:proofErr w:type="spellEnd"/>
      <w:r w:rsidRPr="00C56257">
        <w:rPr>
          <w:lang w:val="fr-FR"/>
        </w:rPr>
        <w:t xml:space="preserve"> </w:t>
      </w:r>
      <w:proofErr w:type="spellStart"/>
      <w:r w:rsidRPr="00C56257">
        <w:rPr>
          <w:lang w:val="fr-FR"/>
        </w:rPr>
        <w:t>vălurit</w:t>
      </w:r>
      <w:proofErr w:type="spellEnd"/>
      <w:r w:rsidRPr="00C56257">
        <w:rPr>
          <w:lang w:val="fr-FR"/>
        </w:rPr>
        <w:t xml:space="preserve">, care este </w:t>
      </w:r>
      <w:proofErr w:type="spellStart"/>
      <w:r w:rsidRPr="00C56257">
        <w:rPr>
          <w:lang w:val="fr-FR"/>
        </w:rPr>
        <w:t>parţial</w:t>
      </w:r>
      <w:proofErr w:type="spellEnd"/>
      <w:r w:rsidRPr="00C56257">
        <w:rPr>
          <w:lang w:val="fr-FR"/>
        </w:rPr>
        <w:t xml:space="preserve"> </w:t>
      </w:r>
      <w:proofErr w:type="spellStart"/>
      <w:r w:rsidRPr="00C56257">
        <w:rPr>
          <w:lang w:val="fr-FR"/>
        </w:rPr>
        <w:t>acoperit</w:t>
      </w:r>
      <w:proofErr w:type="spellEnd"/>
      <w:r w:rsidRPr="00C56257">
        <w:rPr>
          <w:lang w:val="fr-FR"/>
        </w:rPr>
        <w:t xml:space="preserve"> de </w:t>
      </w:r>
      <w:proofErr w:type="spellStart"/>
      <w:r w:rsidRPr="00C56257">
        <w:rPr>
          <w:lang w:val="fr-FR"/>
        </w:rPr>
        <w:t>sediment</w:t>
      </w:r>
      <w:proofErr w:type="spellEnd"/>
      <w:r w:rsidRPr="00C56257">
        <w:rPr>
          <w:lang w:val="fr-FR"/>
        </w:rPr>
        <w:t xml:space="preserve">. </w:t>
      </w:r>
      <w:proofErr w:type="spellStart"/>
      <w:r w:rsidRPr="00C56257">
        <w:rPr>
          <w:lang w:val="fr-FR"/>
        </w:rPr>
        <w:t>Găurile</w:t>
      </w:r>
      <w:proofErr w:type="spellEnd"/>
      <w:r w:rsidRPr="00C56257">
        <w:rPr>
          <w:lang w:val="fr-FR"/>
        </w:rPr>
        <w:t xml:space="preserve"> </w:t>
      </w:r>
      <w:proofErr w:type="spellStart"/>
      <w:r w:rsidRPr="00C56257">
        <w:rPr>
          <w:lang w:val="fr-FR"/>
        </w:rPr>
        <w:t>facute</w:t>
      </w:r>
      <w:proofErr w:type="spellEnd"/>
      <w:r w:rsidRPr="00C56257">
        <w:rPr>
          <w:lang w:val="fr-FR"/>
        </w:rPr>
        <w:t xml:space="preserve"> de </w:t>
      </w:r>
      <w:proofErr w:type="spellStart"/>
      <w:r w:rsidRPr="00C56257">
        <w:rPr>
          <w:i/>
          <w:iCs/>
          <w:lang w:val="fr-FR"/>
        </w:rPr>
        <w:t>Pholas</w:t>
      </w:r>
      <w:proofErr w:type="spellEnd"/>
      <w:r w:rsidRPr="00C56257">
        <w:rPr>
          <w:i/>
          <w:iCs/>
          <w:lang w:val="fr-FR"/>
        </w:rPr>
        <w:t xml:space="preserve"> </w:t>
      </w:r>
      <w:proofErr w:type="spellStart"/>
      <w:r w:rsidRPr="00C56257">
        <w:rPr>
          <w:i/>
          <w:iCs/>
          <w:lang w:val="fr-FR"/>
        </w:rPr>
        <w:t>dactylus</w:t>
      </w:r>
      <w:proofErr w:type="spellEnd"/>
      <w:r w:rsidRPr="00C56257">
        <w:rPr>
          <w:lang w:val="fr-FR"/>
        </w:rPr>
        <w:t xml:space="preserve"> </w:t>
      </w:r>
      <w:proofErr w:type="spellStart"/>
      <w:r w:rsidRPr="00C56257">
        <w:rPr>
          <w:lang w:val="fr-FR"/>
        </w:rPr>
        <w:t>şi</w:t>
      </w:r>
      <w:proofErr w:type="spellEnd"/>
      <w:r w:rsidRPr="00C56257">
        <w:rPr>
          <w:lang w:val="fr-FR"/>
        </w:rPr>
        <w:t xml:space="preserve"> </w:t>
      </w:r>
      <w:proofErr w:type="spellStart"/>
      <w:r w:rsidRPr="00C56257">
        <w:rPr>
          <w:i/>
          <w:iCs/>
          <w:lang w:val="fr-FR"/>
        </w:rPr>
        <w:t>Barnea</w:t>
      </w:r>
      <w:proofErr w:type="spellEnd"/>
      <w:r w:rsidRPr="00C56257">
        <w:rPr>
          <w:i/>
          <w:iCs/>
          <w:lang w:val="fr-FR"/>
        </w:rPr>
        <w:t xml:space="preserve"> candida</w:t>
      </w:r>
      <w:r w:rsidRPr="00C56257">
        <w:rPr>
          <w:lang w:val="fr-FR"/>
        </w:rPr>
        <w:t xml:space="preserve"> </w:t>
      </w:r>
      <w:proofErr w:type="spellStart"/>
      <w:r w:rsidRPr="00C56257">
        <w:rPr>
          <w:lang w:val="fr-FR"/>
        </w:rPr>
        <w:t>dau</w:t>
      </w:r>
      <w:proofErr w:type="spellEnd"/>
      <w:r w:rsidRPr="00C56257">
        <w:rPr>
          <w:lang w:val="fr-FR"/>
        </w:rPr>
        <w:t xml:space="preserve"> o mare </w:t>
      </w:r>
      <w:proofErr w:type="spellStart"/>
      <w:r w:rsidRPr="00C56257">
        <w:rPr>
          <w:lang w:val="fr-FR"/>
        </w:rPr>
        <w:t>complexitate</w:t>
      </w:r>
      <w:proofErr w:type="spellEnd"/>
      <w:r w:rsidRPr="00C56257">
        <w:rPr>
          <w:lang w:val="fr-FR"/>
        </w:rPr>
        <w:t xml:space="preserve"> </w:t>
      </w:r>
      <w:proofErr w:type="spellStart"/>
      <w:r w:rsidRPr="00C56257">
        <w:rPr>
          <w:lang w:val="fr-FR"/>
        </w:rPr>
        <w:t>tridimensională</w:t>
      </w:r>
      <w:proofErr w:type="spellEnd"/>
      <w:r w:rsidRPr="00C56257">
        <w:rPr>
          <w:lang w:val="fr-FR"/>
        </w:rPr>
        <w:t xml:space="preserve"> </w:t>
      </w:r>
      <w:proofErr w:type="spellStart"/>
      <w:r w:rsidRPr="00C56257">
        <w:rPr>
          <w:lang w:val="fr-FR"/>
        </w:rPr>
        <w:t>şi</w:t>
      </w:r>
      <w:proofErr w:type="spellEnd"/>
      <w:r w:rsidRPr="00C56257">
        <w:rPr>
          <w:lang w:val="fr-FR"/>
        </w:rPr>
        <w:t xml:space="preserve"> permit </w:t>
      </w:r>
      <w:proofErr w:type="spellStart"/>
      <w:r w:rsidRPr="00C56257">
        <w:rPr>
          <w:lang w:val="fr-FR"/>
        </w:rPr>
        <w:t>multor</w:t>
      </w:r>
      <w:proofErr w:type="spellEnd"/>
      <w:r w:rsidRPr="00C56257">
        <w:rPr>
          <w:lang w:val="fr-FR"/>
        </w:rPr>
        <w:t xml:space="preserve"> </w:t>
      </w:r>
      <w:proofErr w:type="spellStart"/>
      <w:r w:rsidRPr="00C56257">
        <w:rPr>
          <w:lang w:val="fr-FR"/>
        </w:rPr>
        <w:t>specii</w:t>
      </w:r>
      <w:proofErr w:type="spellEnd"/>
      <w:r w:rsidRPr="00C56257">
        <w:rPr>
          <w:lang w:val="fr-FR"/>
        </w:rPr>
        <w:t xml:space="preserve"> </w:t>
      </w:r>
      <w:proofErr w:type="spellStart"/>
      <w:r w:rsidRPr="00C56257">
        <w:rPr>
          <w:lang w:val="fr-FR"/>
        </w:rPr>
        <w:t>să</w:t>
      </w:r>
      <w:proofErr w:type="spellEnd"/>
      <w:r w:rsidRPr="00C56257">
        <w:rPr>
          <w:lang w:val="fr-FR"/>
        </w:rPr>
        <w:t xml:space="preserve"> </w:t>
      </w:r>
      <w:proofErr w:type="spellStart"/>
      <w:r w:rsidRPr="00C56257">
        <w:rPr>
          <w:lang w:val="fr-FR"/>
        </w:rPr>
        <w:t>formeze</w:t>
      </w:r>
      <w:proofErr w:type="spellEnd"/>
      <w:r w:rsidRPr="00C56257">
        <w:rPr>
          <w:lang w:val="fr-FR"/>
        </w:rPr>
        <w:t xml:space="preserve"> </w:t>
      </w:r>
      <w:proofErr w:type="spellStart"/>
      <w:r w:rsidRPr="00C56257">
        <w:rPr>
          <w:lang w:val="fr-FR"/>
        </w:rPr>
        <w:t>asociaţii</w:t>
      </w:r>
      <w:proofErr w:type="spellEnd"/>
      <w:r w:rsidRPr="00C56257">
        <w:rPr>
          <w:lang w:val="fr-FR"/>
        </w:rPr>
        <w:t xml:space="preserve"> </w:t>
      </w:r>
      <w:proofErr w:type="spellStart"/>
      <w:r w:rsidRPr="00C56257">
        <w:rPr>
          <w:lang w:val="fr-FR"/>
        </w:rPr>
        <w:t>faunistice</w:t>
      </w:r>
      <w:proofErr w:type="spellEnd"/>
      <w:r w:rsidRPr="00C56257">
        <w:rPr>
          <w:lang w:val="fr-FR"/>
        </w:rPr>
        <w:t xml:space="preserve"> </w:t>
      </w:r>
      <w:proofErr w:type="spellStart"/>
      <w:r w:rsidRPr="00C56257">
        <w:rPr>
          <w:lang w:val="fr-FR"/>
        </w:rPr>
        <w:t>interesante</w:t>
      </w:r>
      <w:proofErr w:type="spellEnd"/>
      <w:r>
        <w:rPr>
          <w:lang w:val="fr-FR"/>
        </w:rPr>
        <w:t>.</w:t>
      </w:r>
    </w:p>
    <w:p w14:paraId="31A7FAE7" w14:textId="77777777" w:rsidR="00FC026B" w:rsidRPr="00C56257" w:rsidRDefault="00FC026B" w:rsidP="00FC026B">
      <w:pPr>
        <w:ind w:firstLine="284"/>
        <w:jc w:val="both"/>
        <w:rPr>
          <w:rFonts w:eastAsia="Calibri"/>
          <w:lang w:val="fr-FR"/>
        </w:rPr>
      </w:pPr>
      <w:r w:rsidRPr="00C56257">
        <w:rPr>
          <w:rFonts w:eastAsia="Calibri"/>
          <w:lang w:val="fr-FR"/>
        </w:rPr>
        <w:t xml:space="preserve">         </w:t>
      </w:r>
      <w:proofErr w:type="spellStart"/>
      <w:r w:rsidRPr="00C56257">
        <w:rPr>
          <w:rFonts w:eastAsia="Calibri"/>
          <w:lang w:val="fr-FR"/>
        </w:rPr>
        <w:t>În</w:t>
      </w:r>
      <w:proofErr w:type="spellEnd"/>
      <w:r w:rsidRPr="00C56257">
        <w:rPr>
          <w:rFonts w:eastAsia="Calibri"/>
          <w:lang w:val="fr-FR"/>
        </w:rPr>
        <w:t xml:space="preserve"> </w:t>
      </w:r>
      <w:proofErr w:type="spellStart"/>
      <w:r w:rsidRPr="00C56257">
        <w:rPr>
          <w:rFonts w:eastAsia="Calibri"/>
          <w:lang w:val="fr-FR"/>
        </w:rPr>
        <w:t>funcție</w:t>
      </w:r>
      <w:proofErr w:type="spellEnd"/>
      <w:r w:rsidRPr="00C56257">
        <w:rPr>
          <w:rFonts w:eastAsia="Calibri"/>
          <w:lang w:val="fr-FR"/>
        </w:rPr>
        <w:t xml:space="preserve"> de </w:t>
      </w:r>
      <w:proofErr w:type="spellStart"/>
      <w:r w:rsidRPr="00C56257">
        <w:rPr>
          <w:rFonts w:eastAsia="Calibri"/>
          <w:lang w:val="fr-FR"/>
        </w:rPr>
        <w:t>indicatorul</w:t>
      </w:r>
      <w:proofErr w:type="spellEnd"/>
      <w:r w:rsidRPr="00C56257">
        <w:rPr>
          <w:rFonts w:eastAsia="Calibri"/>
          <w:lang w:val="fr-FR"/>
        </w:rPr>
        <w:t xml:space="preserve"> </w:t>
      </w:r>
      <w:proofErr w:type="spellStart"/>
      <w:r w:rsidRPr="00C56257">
        <w:rPr>
          <w:rFonts w:eastAsia="Calibri"/>
          <w:lang w:val="fr-FR"/>
        </w:rPr>
        <w:t>urmărit</w:t>
      </w:r>
      <w:proofErr w:type="spellEnd"/>
      <w:r w:rsidRPr="00C56257">
        <w:rPr>
          <w:rFonts w:eastAsia="Calibri"/>
          <w:lang w:val="fr-FR"/>
        </w:rPr>
        <w:t xml:space="preserve">, se vor </w:t>
      </w:r>
      <w:proofErr w:type="spellStart"/>
      <w:r w:rsidRPr="00C56257">
        <w:rPr>
          <w:rFonts w:eastAsia="Calibri"/>
          <w:lang w:val="fr-FR"/>
        </w:rPr>
        <w:t>folosi</w:t>
      </w:r>
      <w:proofErr w:type="spellEnd"/>
      <w:r w:rsidRPr="00C56257">
        <w:rPr>
          <w:rFonts w:eastAsia="Calibri"/>
          <w:lang w:val="fr-FR"/>
        </w:rPr>
        <w:t xml:space="preserve"> </w:t>
      </w:r>
      <w:proofErr w:type="spellStart"/>
      <w:r w:rsidRPr="00C56257">
        <w:rPr>
          <w:rFonts w:eastAsia="Calibri"/>
          <w:lang w:val="fr-FR"/>
        </w:rPr>
        <w:t>diferite</w:t>
      </w:r>
      <w:proofErr w:type="spellEnd"/>
      <w:r w:rsidRPr="00C56257">
        <w:rPr>
          <w:rFonts w:eastAsia="Calibri"/>
          <w:lang w:val="fr-FR"/>
        </w:rPr>
        <w:t xml:space="preserve"> </w:t>
      </w:r>
      <w:proofErr w:type="spellStart"/>
      <w:r w:rsidRPr="00C56257">
        <w:rPr>
          <w:rFonts w:eastAsia="Calibri"/>
          <w:lang w:val="fr-FR"/>
        </w:rPr>
        <w:t>metode</w:t>
      </w:r>
      <w:proofErr w:type="spellEnd"/>
      <w:r w:rsidRPr="00C56257">
        <w:rPr>
          <w:rFonts w:eastAsia="Calibri"/>
          <w:lang w:val="fr-FR"/>
        </w:rPr>
        <w:t xml:space="preserve"> de </w:t>
      </w:r>
      <w:proofErr w:type="spellStart"/>
      <w:r w:rsidRPr="00C56257">
        <w:rPr>
          <w:rFonts w:eastAsia="Calibri"/>
          <w:lang w:val="fr-FR"/>
        </w:rPr>
        <w:t>măsurare</w:t>
      </w:r>
      <w:proofErr w:type="spellEnd"/>
      <w:r w:rsidRPr="00C56257">
        <w:rPr>
          <w:rFonts w:eastAsia="Calibri"/>
          <w:lang w:val="fr-FR"/>
        </w:rPr>
        <w:t xml:space="preserve"> (</w:t>
      </w:r>
      <w:proofErr w:type="spellStart"/>
      <w:r w:rsidRPr="00C56257">
        <w:rPr>
          <w:rFonts w:eastAsia="Calibri"/>
          <w:lang w:val="fr-FR"/>
        </w:rPr>
        <w:t>Tabel</w:t>
      </w:r>
      <w:proofErr w:type="spellEnd"/>
      <w:r w:rsidRPr="00C56257">
        <w:rPr>
          <w:rFonts w:eastAsia="Calibri"/>
          <w:lang w:val="fr-FR"/>
        </w:rPr>
        <w:t xml:space="preserve"> </w:t>
      </w:r>
      <w:r>
        <w:rPr>
          <w:rFonts w:eastAsia="Calibri"/>
          <w:lang w:val="fr-FR"/>
        </w:rPr>
        <w:t>1.12</w:t>
      </w:r>
      <w:r w:rsidRPr="00C56257">
        <w:rPr>
          <w:rFonts w:eastAsia="Calibri"/>
          <w:lang w:val="fr-FR"/>
        </w:rPr>
        <w:t xml:space="preserve">). </w:t>
      </w:r>
      <w:proofErr w:type="spellStart"/>
      <w:r w:rsidRPr="00C56257">
        <w:rPr>
          <w:rFonts w:eastAsia="Calibri"/>
          <w:lang w:val="fr-FR"/>
        </w:rPr>
        <w:t>Pentru</w:t>
      </w:r>
      <w:proofErr w:type="spellEnd"/>
      <w:r w:rsidRPr="00C56257">
        <w:rPr>
          <w:rFonts w:eastAsia="Calibri"/>
          <w:lang w:val="fr-FR"/>
        </w:rPr>
        <w:t xml:space="preserve"> </w:t>
      </w:r>
      <w:proofErr w:type="spellStart"/>
      <w:r w:rsidRPr="00C56257">
        <w:rPr>
          <w:rFonts w:eastAsia="Calibri"/>
          <w:lang w:val="fr-FR"/>
        </w:rPr>
        <w:t>același</w:t>
      </w:r>
      <w:proofErr w:type="spellEnd"/>
      <w:r w:rsidRPr="00C56257">
        <w:rPr>
          <w:rFonts w:eastAsia="Calibri"/>
          <w:lang w:val="fr-FR"/>
        </w:rPr>
        <w:t xml:space="preserve"> </w:t>
      </w:r>
      <w:proofErr w:type="spellStart"/>
      <w:r w:rsidRPr="00C56257">
        <w:rPr>
          <w:rFonts w:eastAsia="Calibri"/>
          <w:lang w:val="fr-FR"/>
        </w:rPr>
        <w:t>indicator</w:t>
      </w:r>
      <w:proofErr w:type="spellEnd"/>
      <w:r w:rsidRPr="00C56257">
        <w:rPr>
          <w:rFonts w:eastAsia="Calibri"/>
          <w:lang w:val="fr-FR"/>
        </w:rPr>
        <w:t xml:space="preserve"> se pot </w:t>
      </w:r>
      <w:proofErr w:type="spellStart"/>
      <w:r w:rsidRPr="00C56257">
        <w:rPr>
          <w:rFonts w:eastAsia="Calibri"/>
          <w:lang w:val="fr-FR"/>
        </w:rPr>
        <w:t>folosi</w:t>
      </w:r>
      <w:proofErr w:type="spellEnd"/>
      <w:r w:rsidRPr="00C56257">
        <w:rPr>
          <w:rFonts w:eastAsia="Calibri"/>
          <w:lang w:val="fr-FR"/>
        </w:rPr>
        <w:t xml:space="preserve"> mai </w:t>
      </w:r>
      <w:proofErr w:type="spellStart"/>
      <w:r w:rsidRPr="00C56257">
        <w:rPr>
          <w:rFonts w:eastAsia="Calibri"/>
          <w:lang w:val="fr-FR"/>
        </w:rPr>
        <w:t>multe</w:t>
      </w:r>
      <w:proofErr w:type="spellEnd"/>
      <w:r w:rsidRPr="00C56257">
        <w:rPr>
          <w:rFonts w:eastAsia="Calibri"/>
          <w:lang w:val="fr-FR"/>
        </w:rPr>
        <w:t xml:space="preserve"> </w:t>
      </w:r>
      <w:proofErr w:type="spellStart"/>
      <w:r w:rsidRPr="00C56257">
        <w:rPr>
          <w:rFonts w:eastAsia="Calibri"/>
          <w:lang w:val="fr-FR"/>
        </w:rPr>
        <w:t>tehnici</w:t>
      </w:r>
      <w:proofErr w:type="spellEnd"/>
      <w:r w:rsidRPr="00C56257">
        <w:rPr>
          <w:rFonts w:eastAsia="Calibri"/>
          <w:lang w:val="fr-FR"/>
        </w:rPr>
        <w:t xml:space="preserve"> </w:t>
      </w:r>
      <w:proofErr w:type="spellStart"/>
      <w:r w:rsidRPr="00C56257">
        <w:rPr>
          <w:rFonts w:eastAsia="Calibri"/>
          <w:lang w:val="fr-FR"/>
        </w:rPr>
        <w:t>în</w:t>
      </w:r>
      <w:proofErr w:type="spellEnd"/>
      <w:r w:rsidRPr="00C56257">
        <w:rPr>
          <w:rFonts w:eastAsia="Calibri"/>
          <w:lang w:val="fr-FR"/>
        </w:rPr>
        <w:t xml:space="preserve"> </w:t>
      </w:r>
      <w:proofErr w:type="spellStart"/>
      <w:r w:rsidRPr="00C56257">
        <w:rPr>
          <w:rFonts w:eastAsia="Calibri"/>
          <w:lang w:val="fr-FR"/>
        </w:rPr>
        <w:t>scopul</w:t>
      </w:r>
      <w:proofErr w:type="spellEnd"/>
      <w:r w:rsidRPr="00C56257">
        <w:rPr>
          <w:rFonts w:eastAsia="Calibri"/>
          <w:lang w:val="fr-FR"/>
        </w:rPr>
        <w:t xml:space="preserve"> </w:t>
      </w:r>
      <w:proofErr w:type="spellStart"/>
      <w:r w:rsidRPr="00C56257">
        <w:rPr>
          <w:rFonts w:eastAsia="Calibri"/>
          <w:lang w:val="fr-FR"/>
        </w:rPr>
        <w:t>obținerii</w:t>
      </w:r>
      <w:proofErr w:type="spellEnd"/>
      <w:r w:rsidRPr="00C56257">
        <w:rPr>
          <w:rFonts w:eastAsia="Calibri"/>
          <w:lang w:val="fr-FR"/>
        </w:rPr>
        <w:t xml:space="preserve"> </w:t>
      </w:r>
      <w:proofErr w:type="spellStart"/>
      <w:r w:rsidRPr="00C56257">
        <w:rPr>
          <w:rFonts w:eastAsia="Calibri"/>
          <w:lang w:val="fr-FR"/>
        </w:rPr>
        <w:t>unor</w:t>
      </w:r>
      <w:proofErr w:type="spellEnd"/>
      <w:r w:rsidRPr="00C56257">
        <w:rPr>
          <w:rFonts w:eastAsia="Calibri"/>
          <w:lang w:val="fr-FR"/>
        </w:rPr>
        <w:t xml:space="preserve"> date </w:t>
      </w:r>
      <w:proofErr w:type="spellStart"/>
      <w:r w:rsidRPr="00C56257">
        <w:rPr>
          <w:rFonts w:eastAsia="Calibri"/>
          <w:lang w:val="fr-FR"/>
        </w:rPr>
        <w:t>cu</w:t>
      </w:r>
      <w:proofErr w:type="spellEnd"/>
      <w:r w:rsidRPr="00C56257">
        <w:rPr>
          <w:rFonts w:eastAsia="Calibri"/>
          <w:lang w:val="fr-FR"/>
        </w:rPr>
        <w:t xml:space="preserve"> </w:t>
      </w:r>
      <w:proofErr w:type="spellStart"/>
      <w:r w:rsidRPr="00C56257">
        <w:rPr>
          <w:rFonts w:eastAsia="Calibri"/>
          <w:lang w:val="fr-FR"/>
        </w:rPr>
        <w:t>precizie</w:t>
      </w:r>
      <w:proofErr w:type="spellEnd"/>
      <w:r w:rsidRPr="00C56257">
        <w:rPr>
          <w:rFonts w:eastAsia="Calibri"/>
          <w:lang w:val="fr-FR"/>
        </w:rPr>
        <w:t xml:space="preserve"> </w:t>
      </w:r>
      <w:proofErr w:type="spellStart"/>
      <w:r w:rsidRPr="00C56257">
        <w:rPr>
          <w:rFonts w:eastAsia="Calibri"/>
          <w:lang w:val="fr-FR"/>
        </w:rPr>
        <w:t>ridicată</w:t>
      </w:r>
      <w:proofErr w:type="spellEnd"/>
      <w:r w:rsidRPr="00C56257">
        <w:rPr>
          <w:rFonts w:eastAsia="Calibri"/>
          <w:lang w:val="fr-FR"/>
        </w:rPr>
        <w:t xml:space="preserve">. De </w:t>
      </w:r>
      <w:proofErr w:type="spellStart"/>
      <w:r w:rsidRPr="00C56257">
        <w:rPr>
          <w:rFonts w:eastAsia="Calibri"/>
          <w:lang w:val="fr-FR"/>
        </w:rPr>
        <w:lastRenderedPageBreak/>
        <w:t>exemplu</w:t>
      </w:r>
      <w:proofErr w:type="spellEnd"/>
      <w:r w:rsidRPr="00C56257">
        <w:rPr>
          <w:rFonts w:eastAsia="Calibri"/>
          <w:lang w:val="fr-FR"/>
        </w:rPr>
        <w:t xml:space="preserve">, </w:t>
      </w:r>
      <w:proofErr w:type="spellStart"/>
      <w:r w:rsidRPr="00C56257">
        <w:rPr>
          <w:rFonts w:eastAsia="Calibri"/>
          <w:lang w:val="fr-FR"/>
        </w:rPr>
        <w:t>observații</w:t>
      </w:r>
      <w:proofErr w:type="spellEnd"/>
      <w:r w:rsidRPr="00C56257">
        <w:rPr>
          <w:rFonts w:eastAsia="Calibri"/>
          <w:lang w:val="fr-FR"/>
        </w:rPr>
        <w:t xml:space="preserve"> </w:t>
      </w:r>
      <w:proofErr w:type="spellStart"/>
      <w:r w:rsidRPr="00C56257">
        <w:rPr>
          <w:rFonts w:eastAsia="Calibri"/>
          <w:lang w:val="fr-FR"/>
        </w:rPr>
        <w:t>asupra</w:t>
      </w:r>
      <w:proofErr w:type="spellEnd"/>
      <w:r w:rsidRPr="00C56257">
        <w:rPr>
          <w:rFonts w:eastAsia="Calibri"/>
          <w:lang w:val="fr-FR"/>
        </w:rPr>
        <w:t xml:space="preserve"> </w:t>
      </w:r>
      <w:proofErr w:type="spellStart"/>
      <w:r w:rsidRPr="00C56257">
        <w:rPr>
          <w:rFonts w:eastAsia="Calibri"/>
          <w:lang w:val="fr-FR"/>
        </w:rPr>
        <w:t>distribuției</w:t>
      </w:r>
      <w:proofErr w:type="spellEnd"/>
      <w:r w:rsidRPr="00C56257">
        <w:rPr>
          <w:rFonts w:eastAsia="Calibri"/>
          <w:lang w:val="fr-FR"/>
        </w:rPr>
        <w:t xml:space="preserve"> </w:t>
      </w:r>
      <w:proofErr w:type="spellStart"/>
      <w:r w:rsidRPr="00C56257">
        <w:rPr>
          <w:rFonts w:eastAsia="Calibri"/>
          <w:lang w:val="fr-FR"/>
        </w:rPr>
        <w:t>spațiale</w:t>
      </w:r>
      <w:proofErr w:type="spellEnd"/>
      <w:r w:rsidRPr="00C56257">
        <w:rPr>
          <w:rFonts w:eastAsia="Calibri"/>
          <w:lang w:val="fr-FR"/>
        </w:rPr>
        <w:t xml:space="preserve"> a </w:t>
      </w:r>
      <w:proofErr w:type="spellStart"/>
      <w:r w:rsidRPr="00C56257">
        <w:rPr>
          <w:rFonts w:eastAsia="Calibri"/>
          <w:lang w:val="fr-FR"/>
        </w:rPr>
        <w:t>habitatului</w:t>
      </w:r>
      <w:proofErr w:type="spellEnd"/>
      <w:r w:rsidRPr="00C56257">
        <w:rPr>
          <w:rFonts w:eastAsia="Calibri"/>
          <w:lang w:val="fr-FR"/>
        </w:rPr>
        <w:t xml:space="preserve"> se pot face </w:t>
      </w:r>
      <w:proofErr w:type="spellStart"/>
      <w:r w:rsidRPr="00C56257">
        <w:rPr>
          <w:rFonts w:eastAsia="Calibri"/>
          <w:lang w:val="fr-FR"/>
        </w:rPr>
        <w:t>cu</w:t>
      </w:r>
      <w:proofErr w:type="spellEnd"/>
      <w:r w:rsidRPr="00C56257">
        <w:rPr>
          <w:rFonts w:eastAsia="Calibri"/>
          <w:lang w:val="fr-FR"/>
        </w:rPr>
        <w:t xml:space="preserve"> </w:t>
      </w:r>
      <w:proofErr w:type="spellStart"/>
      <w:r w:rsidRPr="00C56257">
        <w:rPr>
          <w:rFonts w:eastAsia="Calibri"/>
          <w:lang w:val="fr-FR"/>
        </w:rPr>
        <w:t>ajutorul</w:t>
      </w:r>
      <w:proofErr w:type="spellEnd"/>
      <w:r w:rsidRPr="00C56257">
        <w:rPr>
          <w:rFonts w:eastAsia="Calibri"/>
          <w:lang w:val="fr-FR"/>
        </w:rPr>
        <w:t xml:space="preserve"> </w:t>
      </w:r>
      <w:proofErr w:type="spellStart"/>
      <w:r w:rsidRPr="00C56257">
        <w:rPr>
          <w:rFonts w:eastAsia="Calibri"/>
          <w:lang w:val="fr-FR"/>
        </w:rPr>
        <w:t>înregistrărilor</w:t>
      </w:r>
      <w:proofErr w:type="spellEnd"/>
      <w:r w:rsidRPr="00C56257">
        <w:rPr>
          <w:rFonts w:eastAsia="Calibri"/>
          <w:lang w:val="fr-FR"/>
        </w:rPr>
        <w:t xml:space="preserve"> </w:t>
      </w:r>
      <w:proofErr w:type="spellStart"/>
      <w:r w:rsidRPr="00C56257">
        <w:rPr>
          <w:rFonts w:eastAsia="Calibri"/>
          <w:lang w:val="fr-FR"/>
        </w:rPr>
        <w:t>video</w:t>
      </w:r>
      <w:proofErr w:type="spellEnd"/>
      <w:r w:rsidRPr="00C56257">
        <w:rPr>
          <w:rFonts w:eastAsia="Calibri"/>
          <w:lang w:val="fr-FR"/>
        </w:rPr>
        <w:t xml:space="preserve"> (ROV </w:t>
      </w:r>
      <w:proofErr w:type="spellStart"/>
      <w:r w:rsidRPr="00C56257">
        <w:rPr>
          <w:rFonts w:eastAsia="Calibri"/>
          <w:lang w:val="fr-FR"/>
        </w:rPr>
        <w:t>sau</w:t>
      </w:r>
      <w:proofErr w:type="spellEnd"/>
      <w:r w:rsidRPr="00C56257">
        <w:rPr>
          <w:rFonts w:eastAsia="Calibri"/>
          <w:lang w:val="fr-FR"/>
        </w:rPr>
        <w:t xml:space="preserve"> </w:t>
      </w:r>
      <w:proofErr w:type="spellStart"/>
      <w:r w:rsidRPr="00C56257">
        <w:rPr>
          <w:rFonts w:eastAsia="Calibri"/>
          <w:lang w:val="fr-FR"/>
        </w:rPr>
        <w:t>cameră</w:t>
      </w:r>
      <w:proofErr w:type="spellEnd"/>
      <w:r w:rsidRPr="00C56257">
        <w:rPr>
          <w:rFonts w:eastAsia="Calibri"/>
          <w:lang w:val="fr-FR"/>
        </w:rPr>
        <w:t xml:space="preserve"> </w:t>
      </w:r>
      <w:proofErr w:type="spellStart"/>
      <w:r w:rsidRPr="00C56257">
        <w:rPr>
          <w:rFonts w:eastAsia="Calibri"/>
          <w:lang w:val="fr-FR"/>
        </w:rPr>
        <w:t>tractată</w:t>
      </w:r>
      <w:proofErr w:type="spellEnd"/>
      <w:r w:rsidRPr="00C56257">
        <w:rPr>
          <w:rFonts w:eastAsia="Calibri"/>
          <w:lang w:val="fr-FR"/>
        </w:rPr>
        <w:t xml:space="preserve">), </w:t>
      </w:r>
      <w:proofErr w:type="spellStart"/>
      <w:r w:rsidRPr="00C56257">
        <w:rPr>
          <w:rFonts w:eastAsia="Calibri"/>
          <w:lang w:val="fr-FR"/>
        </w:rPr>
        <w:t>însă</w:t>
      </w:r>
      <w:proofErr w:type="spellEnd"/>
      <w:r w:rsidRPr="00C56257">
        <w:rPr>
          <w:rFonts w:eastAsia="Calibri"/>
          <w:lang w:val="fr-FR"/>
        </w:rPr>
        <w:t xml:space="preserve"> </w:t>
      </w:r>
      <w:proofErr w:type="spellStart"/>
      <w:r w:rsidRPr="00C56257">
        <w:rPr>
          <w:rFonts w:eastAsia="Calibri"/>
          <w:lang w:val="fr-FR"/>
        </w:rPr>
        <w:t>poate</w:t>
      </w:r>
      <w:proofErr w:type="spellEnd"/>
      <w:r w:rsidRPr="00C56257">
        <w:rPr>
          <w:rFonts w:eastAsia="Calibri"/>
          <w:lang w:val="fr-FR"/>
        </w:rPr>
        <w:t xml:space="preserve"> fi </w:t>
      </w:r>
      <w:proofErr w:type="spellStart"/>
      <w:r w:rsidRPr="00C56257">
        <w:rPr>
          <w:rFonts w:eastAsia="Calibri"/>
          <w:lang w:val="fr-FR"/>
        </w:rPr>
        <w:t>necesară</w:t>
      </w:r>
      <w:proofErr w:type="spellEnd"/>
      <w:r w:rsidRPr="00C56257">
        <w:rPr>
          <w:rFonts w:eastAsia="Calibri"/>
          <w:lang w:val="fr-FR"/>
        </w:rPr>
        <w:t xml:space="preserve"> </w:t>
      </w:r>
      <w:proofErr w:type="spellStart"/>
      <w:r w:rsidRPr="00C56257">
        <w:rPr>
          <w:rFonts w:eastAsia="Calibri"/>
          <w:lang w:val="fr-FR"/>
        </w:rPr>
        <w:t>și</w:t>
      </w:r>
      <w:proofErr w:type="spellEnd"/>
      <w:r w:rsidRPr="00C56257">
        <w:rPr>
          <w:rFonts w:eastAsia="Calibri"/>
          <w:lang w:val="fr-FR"/>
        </w:rPr>
        <w:t xml:space="preserve"> </w:t>
      </w:r>
      <w:proofErr w:type="spellStart"/>
      <w:r w:rsidRPr="00C56257">
        <w:rPr>
          <w:rFonts w:eastAsia="Calibri"/>
          <w:lang w:val="fr-FR"/>
        </w:rPr>
        <w:t>realizarea</w:t>
      </w:r>
      <w:proofErr w:type="spellEnd"/>
      <w:r w:rsidRPr="00C56257">
        <w:rPr>
          <w:rFonts w:eastAsia="Calibri"/>
          <w:lang w:val="fr-FR"/>
        </w:rPr>
        <w:t xml:space="preserve"> </w:t>
      </w:r>
      <w:proofErr w:type="spellStart"/>
      <w:r w:rsidRPr="00C56257">
        <w:rPr>
          <w:rFonts w:eastAsia="Calibri"/>
          <w:lang w:val="fr-FR"/>
        </w:rPr>
        <w:t>scufundărilor</w:t>
      </w:r>
      <w:proofErr w:type="spellEnd"/>
      <w:r w:rsidRPr="00C56257">
        <w:rPr>
          <w:rFonts w:eastAsia="Calibri"/>
          <w:lang w:val="fr-FR"/>
        </w:rPr>
        <w:t xml:space="preserve"> </w:t>
      </w:r>
      <w:proofErr w:type="spellStart"/>
      <w:r w:rsidRPr="00C56257">
        <w:rPr>
          <w:rFonts w:eastAsia="Calibri"/>
          <w:lang w:val="fr-FR"/>
        </w:rPr>
        <w:t>științifice</w:t>
      </w:r>
      <w:proofErr w:type="spellEnd"/>
      <w:r w:rsidRPr="00C56257">
        <w:rPr>
          <w:rFonts w:eastAsia="Calibri"/>
          <w:lang w:val="fr-FR"/>
        </w:rPr>
        <w:t xml:space="preserve"> </w:t>
      </w:r>
      <w:proofErr w:type="spellStart"/>
      <w:r w:rsidRPr="00C56257">
        <w:rPr>
          <w:rFonts w:eastAsia="Calibri"/>
          <w:lang w:val="fr-FR"/>
        </w:rPr>
        <w:t>pentru</w:t>
      </w:r>
      <w:proofErr w:type="spellEnd"/>
      <w:r w:rsidRPr="00C56257">
        <w:rPr>
          <w:rFonts w:eastAsia="Calibri"/>
          <w:lang w:val="fr-FR"/>
        </w:rPr>
        <w:t xml:space="preserve"> </w:t>
      </w:r>
      <w:proofErr w:type="spellStart"/>
      <w:r w:rsidRPr="00C56257">
        <w:rPr>
          <w:rFonts w:eastAsia="Calibri"/>
          <w:lang w:val="fr-FR"/>
        </w:rPr>
        <w:t>prelevarea</w:t>
      </w:r>
      <w:proofErr w:type="spellEnd"/>
      <w:r w:rsidRPr="00C56257">
        <w:rPr>
          <w:rFonts w:eastAsia="Calibri"/>
          <w:lang w:val="fr-FR"/>
        </w:rPr>
        <w:t xml:space="preserve"> </w:t>
      </w:r>
      <w:proofErr w:type="spellStart"/>
      <w:r w:rsidRPr="00C56257">
        <w:rPr>
          <w:rFonts w:eastAsia="Calibri"/>
          <w:lang w:val="fr-FR"/>
        </w:rPr>
        <w:t>unor</w:t>
      </w:r>
      <w:proofErr w:type="spellEnd"/>
      <w:r w:rsidRPr="00C56257">
        <w:rPr>
          <w:rFonts w:eastAsia="Calibri"/>
          <w:lang w:val="fr-FR"/>
        </w:rPr>
        <w:t xml:space="preserve"> </w:t>
      </w:r>
      <w:proofErr w:type="spellStart"/>
      <w:r w:rsidRPr="00C56257">
        <w:rPr>
          <w:rFonts w:eastAsia="Calibri"/>
          <w:lang w:val="fr-FR"/>
        </w:rPr>
        <w:t>imagini</w:t>
      </w:r>
      <w:proofErr w:type="spellEnd"/>
      <w:r w:rsidRPr="00C56257">
        <w:rPr>
          <w:rFonts w:eastAsia="Calibri"/>
          <w:lang w:val="fr-FR"/>
        </w:rPr>
        <w:t xml:space="preserve"> mai </w:t>
      </w:r>
      <w:proofErr w:type="spellStart"/>
      <w:r w:rsidRPr="00C56257">
        <w:rPr>
          <w:rFonts w:eastAsia="Calibri"/>
          <w:lang w:val="fr-FR"/>
        </w:rPr>
        <w:t>clare</w:t>
      </w:r>
      <w:proofErr w:type="spellEnd"/>
      <w:r w:rsidRPr="00C56257">
        <w:rPr>
          <w:rFonts w:eastAsia="Calibri"/>
          <w:lang w:val="fr-FR"/>
        </w:rPr>
        <w:t xml:space="preserve">. </w:t>
      </w:r>
    </w:p>
    <w:p w14:paraId="14513621" w14:textId="77777777" w:rsidR="00FC026B" w:rsidRPr="00C56257" w:rsidRDefault="00FC026B" w:rsidP="00FC026B">
      <w:pPr>
        <w:ind w:firstLine="284"/>
        <w:jc w:val="both"/>
        <w:rPr>
          <w:rFonts w:eastAsia="Calibri"/>
          <w:lang w:val="fr-FR"/>
        </w:rPr>
      </w:pPr>
      <w:r w:rsidRPr="00C56257">
        <w:rPr>
          <w:rFonts w:eastAsia="Calibri"/>
          <w:lang w:val="fr-FR"/>
        </w:rPr>
        <w:t xml:space="preserve">        </w:t>
      </w:r>
      <w:proofErr w:type="spellStart"/>
      <w:r w:rsidRPr="00C56257">
        <w:rPr>
          <w:rFonts w:eastAsia="Calibri"/>
          <w:lang w:val="fr-FR"/>
        </w:rPr>
        <w:t>Metodele</w:t>
      </w:r>
      <w:proofErr w:type="spellEnd"/>
      <w:r w:rsidRPr="00C56257">
        <w:rPr>
          <w:rFonts w:eastAsia="Calibri"/>
          <w:lang w:val="fr-FR"/>
        </w:rPr>
        <w:t xml:space="preserve"> de </w:t>
      </w:r>
      <w:proofErr w:type="spellStart"/>
      <w:r w:rsidRPr="00C56257">
        <w:rPr>
          <w:rFonts w:eastAsia="Calibri"/>
          <w:lang w:val="fr-FR"/>
        </w:rPr>
        <w:t>prelevare</w:t>
      </w:r>
      <w:proofErr w:type="spellEnd"/>
      <w:r w:rsidRPr="00C56257">
        <w:rPr>
          <w:rFonts w:eastAsia="Calibri"/>
          <w:lang w:val="fr-FR"/>
        </w:rPr>
        <w:t xml:space="preserve"> </w:t>
      </w:r>
      <w:proofErr w:type="spellStart"/>
      <w:r w:rsidRPr="00C56257">
        <w:rPr>
          <w:rFonts w:eastAsia="Calibri"/>
          <w:lang w:val="fr-FR"/>
        </w:rPr>
        <w:t>descrise</w:t>
      </w:r>
      <w:proofErr w:type="spellEnd"/>
      <w:r w:rsidRPr="00C56257">
        <w:rPr>
          <w:rFonts w:eastAsia="Calibri"/>
          <w:lang w:val="fr-FR"/>
        </w:rPr>
        <w:t xml:space="preserve"> se </w:t>
      </w:r>
      <w:proofErr w:type="spellStart"/>
      <w:r w:rsidRPr="00C56257">
        <w:rPr>
          <w:rFonts w:eastAsia="Calibri"/>
          <w:lang w:val="fr-FR"/>
        </w:rPr>
        <w:t>aplic</w:t>
      </w:r>
      <w:r>
        <w:rPr>
          <w:rFonts w:eastAsia="Calibri"/>
          <w:lang w:val="fr-FR"/>
        </w:rPr>
        <w:t>ă</w:t>
      </w:r>
      <w:proofErr w:type="spellEnd"/>
      <w:r w:rsidRPr="00C56257">
        <w:rPr>
          <w:rFonts w:eastAsia="Calibri"/>
          <w:lang w:val="fr-FR"/>
        </w:rPr>
        <w:t xml:space="preserve"> </w:t>
      </w:r>
      <w:proofErr w:type="spellStart"/>
      <w:r w:rsidRPr="00C56257">
        <w:rPr>
          <w:rFonts w:eastAsia="Calibri"/>
          <w:lang w:val="fr-FR"/>
        </w:rPr>
        <w:t>în</w:t>
      </w:r>
      <w:proofErr w:type="spellEnd"/>
      <w:r w:rsidRPr="00C56257">
        <w:rPr>
          <w:rFonts w:eastAsia="Calibri"/>
          <w:lang w:val="fr-FR"/>
        </w:rPr>
        <w:t xml:space="preserve"> </w:t>
      </w:r>
      <w:proofErr w:type="spellStart"/>
      <w:r w:rsidRPr="00C56257">
        <w:rPr>
          <w:rFonts w:eastAsia="Calibri"/>
          <w:lang w:val="fr-FR"/>
        </w:rPr>
        <w:t>funcție</w:t>
      </w:r>
      <w:proofErr w:type="spellEnd"/>
      <w:r w:rsidRPr="00C56257">
        <w:rPr>
          <w:rFonts w:eastAsia="Calibri"/>
          <w:lang w:val="fr-FR"/>
        </w:rPr>
        <w:t xml:space="preserve"> de </w:t>
      </w:r>
      <w:proofErr w:type="spellStart"/>
      <w:r w:rsidRPr="00C56257">
        <w:rPr>
          <w:rFonts w:eastAsia="Calibri"/>
          <w:lang w:val="fr-FR"/>
        </w:rPr>
        <w:t>cerințele</w:t>
      </w:r>
      <w:proofErr w:type="spellEnd"/>
      <w:r w:rsidRPr="00C56257">
        <w:rPr>
          <w:rFonts w:eastAsia="Calibri"/>
          <w:lang w:val="fr-FR"/>
        </w:rPr>
        <w:t xml:space="preserve"> </w:t>
      </w:r>
      <w:proofErr w:type="spellStart"/>
      <w:r w:rsidRPr="00C56257">
        <w:rPr>
          <w:rFonts w:eastAsia="Calibri"/>
          <w:lang w:val="fr-FR"/>
        </w:rPr>
        <w:t>specifice</w:t>
      </w:r>
      <w:proofErr w:type="spellEnd"/>
      <w:r w:rsidRPr="00C56257">
        <w:rPr>
          <w:rFonts w:eastAsia="Calibri"/>
          <w:lang w:val="fr-FR"/>
        </w:rPr>
        <w:t xml:space="preserve"> </w:t>
      </w:r>
      <w:proofErr w:type="spellStart"/>
      <w:r w:rsidRPr="00C56257">
        <w:rPr>
          <w:rFonts w:eastAsia="Calibri"/>
          <w:lang w:val="fr-FR"/>
        </w:rPr>
        <w:t>din</w:t>
      </w:r>
      <w:proofErr w:type="spellEnd"/>
      <w:r w:rsidRPr="00C56257">
        <w:rPr>
          <w:rFonts w:eastAsia="Calibri"/>
          <w:lang w:val="fr-FR"/>
        </w:rPr>
        <w:t xml:space="preserve"> </w:t>
      </w:r>
      <w:proofErr w:type="spellStart"/>
      <w:r w:rsidRPr="00C56257">
        <w:rPr>
          <w:rFonts w:eastAsia="Calibri"/>
          <w:lang w:val="fr-FR"/>
        </w:rPr>
        <w:t>teren</w:t>
      </w:r>
      <w:proofErr w:type="spellEnd"/>
      <w:r w:rsidRPr="00C56257">
        <w:rPr>
          <w:rFonts w:eastAsia="Calibri"/>
          <w:lang w:val="fr-FR"/>
        </w:rPr>
        <w:t xml:space="preserve">. </w:t>
      </w:r>
      <w:proofErr w:type="spellStart"/>
      <w:r w:rsidRPr="00C56257">
        <w:rPr>
          <w:rFonts w:eastAsia="Calibri"/>
          <w:lang w:val="fr-FR"/>
        </w:rPr>
        <w:t>Unul</w:t>
      </w:r>
      <w:proofErr w:type="spellEnd"/>
      <w:r w:rsidRPr="00C56257">
        <w:rPr>
          <w:rFonts w:eastAsia="Calibri"/>
          <w:lang w:val="fr-FR"/>
        </w:rPr>
        <w:t xml:space="preserve"> </w:t>
      </w:r>
      <w:proofErr w:type="spellStart"/>
      <w:r w:rsidRPr="00C56257">
        <w:rPr>
          <w:rFonts w:eastAsia="Calibri"/>
          <w:lang w:val="fr-FR"/>
        </w:rPr>
        <w:t>dintre</w:t>
      </w:r>
      <w:proofErr w:type="spellEnd"/>
      <w:r w:rsidRPr="00C56257">
        <w:rPr>
          <w:rFonts w:eastAsia="Calibri"/>
          <w:lang w:val="fr-FR"/>
        </w:rPr>
        <w:t xml:space="preserve"> </w:t>
      </w:r>
      <w:proofErr w:type="spellStart"/>
      <w:r w:rsidRPr="00C56257">
        <w:rPr>
          <w:rFonts w:eastAsia="Calibri"/>
          <w:lang w:val="fr-FR"/>
        </w:rPr>
        <w:t>factorii</w:t>
      </w:r>
      <w:proofErr w:type="spellEnd"/>
      <w:r w:rsidRPr="00C56257">
        <w:rPr>
          <w:rFonts w:eastAsia="Calibri"/>
          <w:lang w:val="fr-FR"/>
        </w:rPr>
        <w:t xml:space="preserve"> care </w:t>
      </w:r>
      <w:proofErr w:type="spellStart"/>
      <w:r w:rsidRPr="00C56257">
        <w:rPr>
          <w:rFonts w:eastAsia="Calibri"/>
          <w:lang w:val="fr-FR"/>
        </w:rPr>
        <w:t>dict</w:t>
      </w:r>
      <w:r>
        <w:rPr>
          <w:rFonts w:eastAsia="Calibri"/>
          <w:lang w:val="fr-FR"/>
        </w:rPr>
        <w:t>ează</w:t>
      </w:r>
      <w:proofErr w:type="spellEnd"/>
      <w:r w:rsidRPr="00C56257">
        <w:rPr>
          <w:rFonts w:eastAsia="Calibri"/>
          <w:lang w:val="fr-FR"/>
        </w:rPr>
        <w:t xml:space="preserve"> </w:t>
      </w:r>
      <w:proofErr w:type="spellStart"/>
      <w:r w:rsidRPr="00C56257">
        <w:rPr>
          <w:rFonts w:eastAsia="Calibri"/>
          <w:lang w:val="fr-FR"/>
        </w:rPr>
        <w:t>metoda</w:t>
      </w:r>
      <w:proofErr w:type="spellEnd"/>
      <w:r w:rsidRPr="00C56257">
        <w:rPr>
          <w:rFonts w:eastAsia="Calibri"/>
          <w:lang w:val="fr-FR"/>
        </w:rPr>
        <w:t xml:space="preserve"> de </w:t>
      </w:r>
      <w:proofErr w:type="spellStart"/>
      <w:r w:rsidRPr="00C56257">
        <w:rPr>
          <w:rFonts w:eastAsia="Calibri"/>
          <w:lang w:val="fr-FR"/>
        </w:rPr>
        <w:t>inventariere</w:t>
      </w:r>
      <w:proofErr w:type="spellEnd"/>
      <w:r w:rsidRPr="00C56257">
        <w:rPr>
          <w:rFonts w:eastAsia="Calibri"/>
          <w:lang w:val="fr-FR"/>
        </w:rPr>
        <w:t xml:space="preserve"> este </w:t>
      </w:r>
      <w:proofErr w:type="spellStart"/>
      <w:r w:rsidRPr="00C56257">
        <w:rPr>
          <w:rFonts w:eastAsia="Calibri"/>
          <w:lang w:val="fr-FR"/>
        </w:rPr>
        <w:t>substratul</w:t>
      </w:r>
      <w:proofErr w:type="spellEnd"/>
      <w:r w:rsidRPr="00C56257">
        <w:rPr>
          <w:rFonts w:eastAsia="Calibri"/>
          <w:lang w:val="fr-FR"/>
        </w:rPr>
        <w:t xml:space="preserve">, la </w:t>
      </w:r>
      <w:proofErr w:type="spellStart"/>
      <w:r w:rsidRPr="00C56257">
        <w:rPr>
          <w:rFonts w:eastAsia="Calibri"/>
          <w:lang w:val="fr-FR"/>
        </w:rPr>
        <w:t>litoralul</w:t>
      </w:r>
      <w:proofErr w:type="spellEnd"/>
      <w:r w:rsidRPr="00C56257">
        <w:rPr>
          <w:rFonts w:eastAsia="Calibri"/>
          <w:lang w:val="fr-FR"/>
        </w:rPr>
        <w:t xml:space="preserve"> </w:t>
      </w:r>
      <w:proofErr w:type="spellStart"/>
      <w:r w:rsidRPr="00C56257">
        <w:rPr>
          <w:rFonts w:eastAsia="Calibri"/>
          <w:lang w:val="fr-FR"/>
        </w:rPr>
        <w:t>românesc</w:t>
      </w:r>
      <w:proofErr w:type="spellEnd"/>
      <w:r w:rsidRPr="00C56257">
        <w:rPr>
          <w:rFonts w:eastAsia="Calibri"/>
          <w:lang w:val="fr-FR"/>
        </w:rPr>
        <w:t xml:space="preserve"> </w:t>
      </w:r>
      <w:proofErr w:type="spellStart"/>
      <w:r w:rsidRPr="00C56257">
        <w:rPr>
          <w:rFonts w:eastAsia="Calibri"/>
          <w:lang w:val="fr-FR"/>
        </w:rPr>
        <w:t>habitatul</w:t>
      </w:r>
      <w:proofErr w:type="spellEnd"/>
      <w:r w:rsidRPr="00C56257">
        <w:rPr>
          <w:rFonts w:eastAsia="Calibri"/>
          <w:lang w:val="fr-FR"/>
        </w:rPr>
        <w:t xml:space="preserve"> 1170 / </w:t>
      </w:r>
      <w:proofErr w:type="spellStart"/>
      <w:r w:rsidRPr="00C56257">
        <w:rPr>
          <w:rFonts w:eastAsia="Calibri"/>
          <w:lang w:val="fr-FR"/>
        </w:rPr>
        <w:t>Recifi</w:t>
      </w:r>
      <w:proofErr w:type="spellEnd"/>
      <w:r w:rsidRPr="00C56257">
        <w:rPr>
          <w:rFonts w:eastAsia="Calibri"/>
          <w:lang w:val="fr-FR"/>
        </w:rPr>
        <w:t xml:space="preserve">  </w:t>
      </w:r>
      <w:proofErr w:type="spellStart"/>
      <w:r w:rsidRPr="00C56257">
        <w:rPr>
          <w:rFonts w:eastAsia="Calibri"/>
          <w:lang w:val="fr-FR"/>
        </w:rPr>
        <w:t>fiind</w:t>
      </w:r>
      <w:proofErr w:type="spellEnd"/>
      <w:r w:rsidRPr="00C56257">
        <w:rPr>
          <w:rFonts w:eastAsia="Calibri"/>
          <w:lang w:val="fr-FR"/>
        </w:rPr>
        <w:t xml:space="preserve"> </w:t>
      </w:r>
      <w:proofErr w:type="spellStart"/>
      <w:r w:rsidRPr="00C56257">
        <w:rPr>
          <w:rFonts w:eastAsia="Calibri"/>
          <w:lang w:val="fr-FR"/>
        </w:rPr>
        <w:t>întâlnit</w:t>
      </w:r>
      <w:proofErr w:type="spellEnd"/>
      <w:r w:rsidRPr="00C56257">
        <w:rPr>
          <w:rFonts w:eastAsia="Calibri"/>
          <w:lang w:val="fr-FR"/>
        </w:rPr>
        <w:t xml:space="preserve"> </w:t>
      </w:r>
      <w:proofErr w:type="spellStart"/>
      <w:r w:rsidRPr="00C56257">
        <w:rPr>
          <w:rFonts w:eastAsia="Calibri"/>
          <w:lang w:val="fr-FR"/>
        </w:rPr>
        <w:t>atât</w:t>
      </w:r>
      <w:proofErr w:type="spellEnd"/>
      <w:r w:rsidRPr="00C56257">
        <w:rPr>
          <w:rFonts w:eastAsia="Calibri"/>
          <w:lang w:val="fr-FR"/>
        </w:rPr>
        <w:t xml:space="preserve"> </w:t>
      </w:r>
      <w:proofErr w:type="spellStart"/>
      <w:r w:rsidRPr="00C56257">
        <w:rPr>
          <w:rFonts w:eastAsia="Calibri"/>
          <w:lang w:val="fr-FR"/>
        </w:rPr>
        <w:t>pe</w:t>
      </w:r>
      <w:proofErr w:type="spellEnd"/>
      <w:r w:rsidRPr="00C56257">
        <w:rPr>
          <w:rFonts w:eastAsia="Calibri"/>
          <w:lang w:val="fr-FR"/>
        </w:rPr>
        <w:t xml:space="preserve"> substrat dur, </w:t>
      </w:r>
      <w:proofErr w:type="spellStart"/>
      <w:r w:rsidRPr="00C56257">
        <w:rPr>
          <w:rFonts w:eastAsia="Calibri"/>
          <w:lang w:val="fr-FR"/>
        </w:rPr>
        <w:t>cât</w:t>
      </w:r>
      <w:proofErr w:type="spellEnd"/>
      <w:r w:rsidRPr="00C56257">
        <w:rPr>
          <w:rFonts w:eastAsia="Calibri"/>
          <w:lang w:val="fr-FR"/>
        </w:rPr>
        <w:t xml:space="preserve"> </w:t>
      </w:r>
      <w:proofErr w:type="spellStart"/>
      <w:r w:rsidRPr="00C56257">
        <w:rPr>
          <w:rFonts w:eastAsia="Calibri"/>
          <w:lang w:val="fr-FR"/>
        </w:rPr>
        <w:t>și</w:t>
      </w:r>
      <w:proofErr w:type="spellEnd"/>
      <w:r w:rsidRPr="00C56257">
        <w:rPr>
          <w:rFonts w:eastAsia="Calibri"/>
          <w:lang w:val="fr-FR"/>
        </w:rPr>
        <w:t xml:space="preserve"> </w:t>
      </w:r>
      <w:proofErr w:type="spellStart"/>
      <w:r w:rsidRPr="00C56257">
        <w:rPr>
          <w:rFonts w:eastAsia="Calibri"/>
          <w:lang w:val="fr-FR"/>
        </w:rPr>
        <w:t>sedimentar</w:t>
      </w:r>
      <w:proofErr w:type="spellEnd"/>
      <w:r w:rsidRPr="00C56257">
        <w:rPr>
          <w:rFonts w:eastAsia="Calibri"/>
          <w:lang w:val="fr-FR"/>
        </w:rPr>
        <w:t xml:space="preserve">. </w:t>
      </w:r>
    </w:p>
    <w:p w14:paraId="0A964B09" w14:textId="77777777" w:rsidR="00FC026B" w:rsidRPr="00C56257" w:rsidRDefault="00FC026B" w:rsidP="00FC026B">
      <w:pPr>
        <w:jc w:val="both"/>
        <w:rPr>
          <w:rFonts w:eastAsia="Calibri"/>
          <w:lang w:val="fr-FR"/>
        </w:rPr>
      </w:pPr>
    </w:p>
    <w:p w14:paraId="42C950D7" w14:textId="77777777" w:rsidR="00FC026B" w:rsidRPr="00C56257" w:rsidRDefault="00FC026B" w:rsidP="00FC026B">
      <w:pPr>
        <w:autoSpaceDE w:val="0"/>
        <w:autoSpaceDN w:val="0"/>
        <w:adjustRightInd w:val="0"/>
        <w:ind w:firstLine="720"/>
        <w:jc w:val="center"/>
        <w:rPr>
          <w:rFonts w:eastAsia="Calibri"/>
          <w:lang w:val="it-IT"/>
        </w:rPr>
      </w:pPr>
      <w:r w:rsidRPr="00C56257">
        <w:rPr>
          <w:rFonts w:eastAsia="Calibri"/>
          <w:lang w:val="it-IT"/>
        </w:rPr>
        <w:t xml:space="preserve">Tabelul </w:t>
      </w:r>
      <w:r>
        <w:rPr>
          <w:rFonts w:eastAsia="Calibri"/>
          <w:lang w:val="it-IT"/>
        </w:rPr>
        <w:t>1.13</w:t>
      </w:r>
      <w:r w:rsidRPr="00C56257">
        <w:rPr>
          <w:rFonts w:eastAsia="Calibri"/>
          <w:lang w:val="it-IT"/>
        </w:rPr>
        <w:t>: Tehnici pentru măsurarea atributelor recif</w:t>
      </w:r>
      <w:r>
        <w:rPr>
          <w:rFonts w:eastAsia="Calibri"/>
          <w:lang w:val="it-IT"/>
        </w:rPr>
        <w:t>e</w:t>
      </w:r>
      <w:r w:rsidRPr="00C56257">
        <w:rPr>
          <w:rFonts w:eastAsia="Calibri"/>
          <w:lang w:val="it-IT"/>
        </w:rPr>
        <w:t>lor 1170.</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3656"/>
        <w:gridCol w:w="4962"/>
      </w:tblGrid>
      <w:tr w:rsidR="00FC026B" w:rsidRPr="00C56257" w14:paraId="263E33BA" w14:textId="77777777" w:rsidTr="00993B86">
        <w:tc>
          <w:tcPr>
            <w:tcW w:w="1555" w:type="dxa"/>
            <w:tcBorders>
              <w:top w:val="single" w:sz="4" w:space="0" w:color="auto"/>
              <w:left w:val="single" w:sz="4" w:space="0" w:color="auto"/>
              <w:bottom w:val="single" w:sz="4" w:space="0" w:color="auto"/>
              <w:right w:val="single" w:sz="4" w:space="0" w:color="auto"/>
            </w:tcBorders>
            <w:hideMark/>
          </w:tcPr>
          <w:p w14:paraId="402F2744" w14:textId="77777777" w:rsidR="00FC026B" w:rsidRPr="00C56257" w:rsidRDefault="00FC026B" w:rsidP="00993B86">
            <w:pPr>
              <w:autoSpaceDE w:val="0"/>
              <w:autoSpaceDN w:val="0"/>
              <w:adjustRightInd w:val="0"/>
              <w:rPr>
                <w:rFonts w:eastAsia="Calibri"/>
                <w:b/>
                <w:lang w:val="en-GB"/>
              </w:rPr>
            </w:pPr>
            <w:r w:rsidRPr="00C56257">
              <w:rPr>
                <w:rFonts w:eastAsia="Calibri"/>
                <w:b/>
                <w:lang w:val="en-GB"/>
              </w:rPr>
              <w:t xml:space="preserve">Indicator  </w:t>
            </w:r>
          </w:p>
        </w:tc>
        <w:tc>
          <w:tcPr>
            <w:tcW w:w="3656" w:type="dxa"/>
            <w:tcBorders>
              <w:top w:val="single" w:sz="4" w:space="0" w:color="auto"/>
              <w:left w:val="single" w:sz="4" w:space="0" w:color="auto"/>
              <w:bottom w:val="single" w:sz="4" w:space="0" w:color="auto"/>
              <w:right w:val="single" w:sz="4" w:space="0" w:color="auto"/>
            </w:tcBorders>
            <w:hideMark/>
          </w:tcPr>
          <w:p w14:paraId="6C022967" w14:textId="77777777" w:rsidR="00FC026B" w:rsidRPr="00C56257" w:rsidRDefault="00FC026B" w:rsidP="00993B86">
            <w:pPr>
              <w:rPr>
                <w:b/>
                <w:lang w:val="fr-FR" w:eastAsia="ro-RO"/>
              </w:rPr>
            </w:pPr>
            <w:r w:rsidRPr="00C56257">
              <w:rPr>
                <w:b/>
                <w:lang w:val="fr-FR" w:eastAsia="ro-RO"/>
              </w:rPr>
              <w:t xml:space="preserve">Indicator </w:t>
            </w:r>
            <w:proofErr w:type="spellStart"/>
            <w:r w:rsidRPr="00C56257">
              <w:rPr>
                <w:b/>
                <w:lang w:val="fr-FR" w:eastAsia="ro-RO"/>
              </w:rPr>
              <w:t>specific</w:t>
            </w:r>
            <w:proofErr w:type="spellEnd"/>
          </w:p>
        </w:tc>
        <w:tc>
          <w:tcPr>
            <w:tcW w:w="4962" w:type="dxa"/>
            <w:tcBorders>
              <w:top w:val="single" w:sz="4" w:space="0" w:color="auto"/>
              <w:left w:val="single" w:sz="4" w:space="0" w:color="auto"/>
              <w:bottom w:val="single" w:sz="4" w:space="0" w:color="auto"/>
              <w:right w:val="single" w:sz="4" w:space="0" w:color="auto"/>
            </w:tcBorders>
            <w:hideMark/>
          </w:tcPr>
          <w:p w14:paraId="29FB3C1F" w14:textId="77777777" w:rsidR="00FC026B" w:rsidRPr="00C56257" w:rsidRDefault="00FC026B" w:rsidP="00993B86">
            <w:pPr>
              <w:rPr>
                <w:b/>
                <w:lang w:eastAsia="ro-RO"/>
              </w:rPr>
            </w:pPr>
            <w:r w:rsidRPr="00C56257">
              <w:rPr>
                <w:b/>
                <w:lang w:eastAsia="ro-RO"/>
              </w:rPr>
              <w:t>Tehnică</w:t>
            </w:r>
          </w:p>
        </w:tc>
      </w:tr>
      <w:tr w:rsidR="00FC026B" w:rsidRPr="00C56257" w14:paraId="35A099CC" w14:textId="77777777" w:rsidTr="00993B86">
        <w:tc>
          <w:tcPr>
            <w:tcW w:w="1555" w:type="dxa"/>
            <w:tcBorders>
              <w:top w:val="single" w:sz="4" w:space="0" w:color="auto"/>
              <w:left w:val="single" w:sz="4" w:space="0" w:color="auto"/>
              <w:bottom w:val="single" w:sz="4" w:space="0" w:color="auto"/>
              <w:right w:val="single" w:sz="4" w:space="0" w:color="auto"/>
            </w:tcBorders>
            <w:hideMark/>
          </w:tcPr>
          <w:p w14:paraId="3B531E78" w14:textId="77777777" w:rsidR="00FC026B" w:rsidRPr="00C56257" w:rsidRDefault="00FC026B" w:rsidP="00993B86">
            <w:pPr>
              <w:autoSpaceDE w:val="0"/>
              <w:autoSpaceDN w:val="0"/>
              <w:adjustRightInd w:val="0"/>
              <w:rPr>
                <w:rFonts w:eastAsia="Calibri"/>
                <w:lang w:val="en-GB"/>
              </w:rPr>
            </w:pPr>
            <w:proofErr w:type="spellStart"/>
            <w:r w:rsidRPr="00C56257">
              <w:rPr>
                <w:rFonts w:eastAsia="Calibri"/>
                <w:lang w:val="en-GB"/>
              </w:rPr>
              <w:t>Întindere</w:t>
            </w:r>
            <w:proofErr w:type="spellEnd"/>
          </w:p>
        </w:tc>
        <w:tc>
          <w:tcPr>
            <w:tcW w:w="3656" w:type="dxa"/>
            <w:tcBorders>
              <w:top w:val="single" w:sz="4" w:space="0" w:color="auto"/>
              <w:left w:val="single" w:sz="4" w:space="0" w:color="auto"/>
              <w:bottom w:val="single" w:sz="4" w:space="0" w:color="auto"/>
              <w:right w:val="single" w:sz="4" w:space="0" w:color="auto"/>
            </w:tcBorders>
            <w:hideMark/>
          </w:tcPr>
          <w:p w14:paraId="7EC4A866" w14:textId="77777777" w:rsidR="00FC026B" w:rsidRPr="00C56257" w:rsidRDefault="00FC026B" w:rsidP="00993B86">
            <w:pPr>
              <w:rPr>
                <w:lang w:val="it-IT" w:eastAsia="ro-RO"/>
              </w:rPr>
            </w:pPr>
            <w:r w:rsidRPr="00C56257">
              <w:rPr>
                <w:lang w:val="it-IT" w:eastAsia="ro-RO"/>
              </w:rPr>
              <w:t>Suprafața habitat (biogen și abiogen)</w:t>
            </w:r>
          </w:p>
        </w:tc>
        <w:tc>
          <w:tcPr>
            <w:tcW w:w="4962" w:type="dxa"/>
            <w:tcBorders>
              <w:top w:val="single" w:sz="4" w:space="0" w:color="auto"/>
              <w:left w:val="single" w:sz="4" w:space="0" w:color="auto"/>
              <w:bottom w:val="single" w:sz="4" w:space="0" w:color="auto"/>
              <w:right w:val="single" w:sz="4" w:space="0" w:color="auto"/>
            </w:tcBorders>
            <w:hideMark/>
          </w:tcPr>
          <w:p w14:paraId="597D43D8" w14:textId="77777777" w:rsidR="00FC026B" w:rsidRPr="00C56257" w:rsidRDefault="00FC026B" w:rsidP="00993B86">
            <w:pPr>
              <w:rPr>
                <w:lang w:val="it-IT" w:eastAsia="ro-RO"/>
              </w:rPr>
            </w:pPr>
            <w:r w:rsidRPr="00C56257">
              <w:rPr>
                <w:lang w:val="it-IT" w:eastAsia="ro-RO"/>
              </w:rPr>
              <w:t>Analiză fotografii aeriene; imagistică, teledetecție</w:t>
            </w:r>
          </w:p>
        </w:tc>
      </w:tr>
      <w:tr w:rsidR="00FC026B" w:rsidRPr="00C56257" w14:paraId="2E08B87E" w14:textId="77777777" w:rsidTr="00993B86">
        <w:tc>
          <w:tcPr>
            <w:tcW w:w="1555" w:type="dxa"/>
            <w:tcBorders>
              <w:top w:val="single" w:sz="4" w:space="0" w:color="auto"/>
              <w:left w:val="single" w:sz="4" w:space="0" w:color="auto"/>
              <w:bottom w:val="single" w:sz="4" w:space="0" w:color="auto"/>
              <w:right w:val="single" w:sz="4" w:space="0" w:color="auto"/>
            </w:tcBorders>
            <w:hideMark/>
          </w:tcPr>
          <w:p w14:paraId="6D390943" w14:textId="77777777" w:rsidR="00FC026B" w:rsidRPr="00C56257" w:rsidRDefault="00FC026B" w:rsidP="00993B86">
            <w:pPr>
              <w:autoSpaceDE w:val="0"/>
              <w:autoSpaceDN w:val="0"/>
              <w:adjustRightInd w:val="0"/>
              <w:rPr>
                <w:rFonts w:eastAsia="Calibri"/>
                <w:lang w:val="en-GB"/>
              </w:rPr>
            </w:pPr>
            <w:proofErr w:type="spellStart"/>
            <w:r w:rsidRPr="00C56257">
              <w:rPr>
                <w:rFonts w:eastAsia="Calibri"/>
                <w:lang w:val="en-GB"/>
              </w:rPr>
              <w:t>Caracteristici</w:t>
            </w:r>
            <w:proofErr w:type="spellEnd"/>
            <w:r w:rsidRPr="00C56257">
              <w:rPr>
                <w:rFonts w:eastAsia="Calibri"/>
                <w:lang w:val="en-GB"/>
              </w:rPr>
              <w:t xml:space="preserve"> </w:t>
            </w:r>
            <w:proofErr w:type="spellStart"/>
            <w:r w:rsidRPr="00C56257">
              <w:rPr>
                <w:rFonts w:eastAsia="Calibri"/>
                <w:lang w:val="en-GB"/>
              </w:rPr>
              <w:t>fizice</w:t>
            </w:r>
            <w:proofErr w:type="spellEnd"/>
          </w:p>
        </w:tc>
        <w:tc>
          <w:tcPr>
            <w:tcW w:w="3656" w:type="dxa"/>
            <w:tcBorders>
              <w:top w:val="single" w:sz="4" w:space="0" w:color="auto"/>
              <w:left w:val="single" w:sz="4" w:space="0" w:color="auto"/>
              <w:bottom w:val="single" w:sz="4" w:space="0" w:color="auto"/>
              <w:right w:val="single" w:sz="4" w:space="0" w:color="auto"/>
            </w:tcBorders>
            <w:hideMark/>
          </w:tcPr>
          <w:p w14:paraId="40254D98" w14:textId="77777777" w:rsidR="00FC026B" w:rsidRPr="00C56257" w:rsidRDefault="00FC026B" w:rsidP="00993B86">
            <w:pPr>
              <w:rPr>
                <w:lang w:val="it-IT" w:eastAsia="ro-RO"/>
              </w:rPr>
            </w:pPr>
            <w:r w:rsidRPr="00C56257">
              <w:rPr>
                <w:lang w:val="it-IT" w:eastAsia="ro-RO"/>
              </w:rPr>
              <w:t>Compoziția chimică a apei (inclusiv salinitate, temperatură)</w:t>
            </w:r>
          </w:p>
          <w:p w14:paraId="721E9C9A" w14:textId="77777777" w:rsidR="00FC026B" w:rsidRPr="00C56257" w:rsidRDefault="00FC026B" w:rsidP="00993B86">
            <w:pPr>
              <w:rPr>
                <w:lang w:val="it-IT" w:eastAsia="ro-RO"/>
              </w:rPr>
            </w:pPr>
            <w:r w:rsidRPr="00C56257">
              <w:rPr>
                <w:lang w:val="it-IT" w:eastAsia="ro-RO"/>
              </w:rPr>
              <w:t>Substrat</w:t>
            </w:r>
          </w:p>
        </w:tc>
        <w:tc>
          <w:tcPr>
            <w:tcW w:w="4962" w:type="dxa"/>
            <w:tcBorders>
              <w:top w:val="single" w:sz="4" w:space="0" w:color="auto"/>
              <w:left w:val="single" w:sz="4" w:space="0" w:color="auto"/>
              <w:bottom w:val="single" w:sz="4" w:space="0" w:color="auto"/>
              <w:right w:val="single" w:sz="4" w:space="0" w:color="auto"/>
            </w:tcBorders>
          </w:tcPr>
          <w:p w14:paraId="1B6ABEBA" w14:textId="77777777" w:rsidR="00FC026B" w:rsidRPr="00C56257" w:rsidRDefault="00FC026B" w:rsidP="00993B86">
            <w:pPr>
              <w:rPr>
                <w:lang w:val="it-IT" w:eastAsia="ro-RO"/>
              </w:rPr>
            </w:pPr>
            <w:r w:rsidRPr="00C56257">
              <w:rPr>
                <w:lang w:val="it-IT" w:eastAsia="ro-RO"/>
              </w:rPr>
              <w:t>CTD</w:t>
            </w:r>
          </w:p>
          <w:p w14:paraId="6923A5EE" w14:textId="77777777" w:rsidR="00FC026B" w:rsidRPr="00C56257" w:rsidRDefault="00FC026B" w:rsidP="00993B86">
            <w:pPr>
              <w:rPr>
                <w:lang w:val="it-IT" w:eastAsia="ro-RO"/>
              </w:rPr>
            </w:pPr>
          </w:p>
          <w:p w14:paraId="17A19CCA" w14:textId="77777777" w:rsidR="00FC026B" w:rsidRPr="00C56257" w:rsidRDefault="00FC026B" w:rsidP="00993B86">
            <w:pPr>
              <w:rPr>
                <w:lang w:val="it-IT" w:eastAsia="ro-RO"/>
              </w:rPr>
            </w:pPr>
            <w:r w:rsidRPr="00C56257">
              <w:rPr>
                <w:lang w:val="it-IT" w:eastAsia="ro-RO"/>
              </w:rPr>
              <w:t>Înregistrari video subacvatice cu ROV;</w:t>
            </w:r>
          </w:p>
        </w:tc>
      </w:tr>
      <w:tr w:rsidR="00FC026B" w:rsidRPr="00C56257" w14:paraId="21D3D4FC" w14:textId="77777777" w:rsidTr="00993B86">
        <w:tc>
          <w:tcPr>
            <w:tcW w:w="1555" w:type="dxa"/>
            <w:vMerge w:val="restart"/>
            <w:tcBorders>
              <w:top w:val="single" w:sz="4" w:space="0" w:color="auto"/>
              <w:left w:val="single" w:sz="4" w:space="0" w:color="auto"/>
              <w:bottom w:val="single" w:sz="4" w:space="0" w:color="auto"/>
              <w:right w:val="single" w:sz="4" w:space="0" w:color="auto"/>
            </w:tcBorders>
            <w:hideMark/>
          </w:tcPr>
          <w:p w14:paraId="1F9A7BB6" w14:textId="77777777" w:rsidR="00FC026B" w:rsidRPr="00C56257" w:rsidRDefault="00FC026B" w:rsidP="00993B86">
            <w:pPr>
              <w:rPr>
                <w:rFonts w:eastAsia="Calibri"/>
                <w:lang w:val="en-GB"/>
              </w:rPr>
            </w:pPr>
            <w:proofErr w:type="spellStart"/>
            <w:r w:rsidRPr="00C56257">
              <w:rPr>
                <w:rFonts w:eastAsia="Calibri"/>
                <w:lang w:val="en-GB"/>
              </w:rPr>
              <w:t>Structura</w:t>
            </w:r>
            <w:proofErr w:type="spellEnd"/>
            <w:r w:rsidRPr="00C56257">
              <w:rPr>
                <w:rFonts w:eastAsia="Calibri"/>
                <w:lang w:val="en-GB"/>
              </w:rPr>
              <w:t xml:space="preserve"> </w:t>
            </w:r>
            <w:proofErr w:type="spellStart"/>
            <w:r w:rsidRPr="00C56257">
              <w:rPr>
                <w:rFonts w:eastAsia="Calibri"/>
                <w:lang w:val="en-GB"/>
              </w:rPr>
              <w:t>habitatului</w:t>
            </w:r>
            <w:proofErr w:type="spellEnd"/>
            <w:r w:rsidRPr="00C56257">
              <w:rPr>
                <w:rFonts w:eastAsia="Calibri"/>
                <w:lang w:val="en-GB"/>
              </w:rPr>
              <w:t xml:space="preserve"> </w:t>
            </w:r>
          </w:p>
        </w:tc>
        <w:tc>
          <w:tcPr>
            <w:tcW w:w="3656" w:type="dxa"/>
            <w:tcBorders>
              <w:top w:val="single" w:sz="4" w:space="0" w:color="auto"/>
              <w:left w:val="single" w:sz="4" w:space="0" w:color="auto"/>
              <w:bottom w:val="single" w:sz="4" w:space="0" w:color="auto"/>
              <w:right w:val="single" w:sz="4" w:space="0" w:color="auto"/>
            </w:tcBorders>
            <w:hideMark/>
          </w:tcPr>
          <w:p w14:paraId="0488C8F7" w14:textId="77777777" w:rsidR="00FC026B" w:rsidRPr="00C56257" w:rsidRDefault="00FC026B" w:rsidP="00993B86">
            <w:pPr>
              <w:rPr>
                <w:rFonts w:eastAsia="Calibri"/>
                <w:lang w:val="en-GB"/>
              </w:rPr>
            </w:pPr>
            <w:r w:rsidRPr="00C56257">
              <w:rPr>
                <w:rFonts w:eastAsia="Calibri"/>
                <w:lang w:val="it-IT"/>
              </w:rPr>
              <w:t xml:space="preserve">Subtipuri prezente </w:t>
            </w:r>
          </w:p>
        </w:tc>
        <w:tc>
          <w:tcPr>
            <w:tcW w:w="4962" w:type="dxa"/>
            <w:tcBorders>
              <w:top w:val="single" w:sz="4" w:space="0" w:color="auto"/>
              <w:left w:val="single" w:sz="4" w:space="0" w:color="auto"/>
              <w:bottom w:val="single" w:sz="4" w:space="0" w:color="auto"/>
              <w:right w:val="single" w:sz="4" w:space="0" w:color="auto"/>
            </w:tcBorders>
            <w:hideMark/>
          </w:tcPr>
          <w:p w14:paraId="0E926906" w14:textId="77777777" w:rsidR="00FC026B" w:rsidRPr="00C56257" w:rsidRDefault="00FC026B" w:rsidP="00993B86">
            <w:pPr>
              <w:rPr>
                <w:lang w:val="it-IT" w:eastAsia="ro-RO"/>
              </w:rPr>
            </w:pPr>
            <w:r w:rsidRPr="00C56257">
              <w:rPr>
                <w:lang w:val="it-IT" w:eastAsia="ro-RO"/>
              </w:rPr>
              <w:t xml:space="preserve">Identificare subtipuri; fotografiere subacvatică cu ROV sau cameră tractată </w:t>
            </w:r>
          </w:p>
        </w:tc>
      </w:tr>
      <w:tr w:rsidR="00FC026B" w:rsidRPr="00C56257" w14:paraId="102341D1" w14:textId="77777777" w:rsidTr="00993B86">
        <w:tc>
          <w:tcPr>
            <w:tcW w:w="0" w:type="auto"/>
            <w:vMerge/>
            <w:tcBorders>
              <w:top w:val="single" w:sz="4" w:space="0" w:color="auto"/>
              <w:left w:val="single" w:sz="4" w:space="0" w:color="auto"/>
              <w:bottom w:val="single" w:sz="4" w:space="0" w:color="auto"/>
              <w:right w:val="single" w:sz="4" w:space="0" w:color="auto"/>
            </w:tcBorders>
            <w:vAlign w:val="center"/>
            <w:hideMark/>
          </w:tcPr>
          <w:p w14:paraId="569E9E2A" w14:textId="77777777" w:rsidR="00FC026B" w:rsidRPr="00F100E1" w:rsidRDefault="00FC026B" w:rsidP="00993B86">
            <w:pPr>
              <w:rPr>
                <w:rFonts w:eastAsia="Calibri"/>
                <w:lang w:val="en-GB"/>
              </w:rPr>
            </w:pPr>
          </w:p>
        </w:tc>
        <w:tc>
          <w:tcPr>
            <w:tcW w:w="3656" w:type="dxa"/>
            <w:tcBorders>
              <w:top w:val="single" w:sz="4" w:space="0" w:color="auto"/>
              <w:left w:val="single" w:sz="4" w:space="0" w:color="auto"/>
              <w:bottom w:val="single" w:sz="4" w:space="0" w:color="auto"/>
              <w:right w:val="single" w:sz="4" w:space="0" w:color="auto"/>
            </w:tcBorders>
            <w:hideMark/>
          </w:tcPr>
          <w:p w14:paraId="1E268A33" w14:textId="77777777" w:rsidR="00FC026B" w:rsidRPr="00C56257" w:rsidRDefault="00FC026B" w:rsidP="00993B86">
            <w:pPr>
              <w:rPr>
                <w:rFonts w:eastAsia="Calibri"/>
                <w:lang w:val="en-GB"/>
              </w:rPr>
            </w:pPr>
            <w:proofErr w:type="spellStart"/>
            <w:r w:rsidRPr="00C56257">
              <w:rPr>
                <w:rFonts w:eastAsia="Calibri"/>
                <w:lang w:val="en-GB"/>
              </w:rPr>
              <w:t>Specii</w:t>
            </w:r>
            <w:proofErr w:type="spellEnd"/>
            <w:r w:rsidRPr="00C56257">
              <w:rPr>
                <w:rFonts w:eastAsia="Calibri"/>
                <w:lang w:val="en-GB"/>
              </w:rPr>
              <w:t xml:space="preserve"> </w:t>
            </w:r>
            <w:proofErr w:type="spellStart"/>
            <w:r w:rsidRPr="00C56257">
              <w:rPr>
                <w:rFonts w:eastAsia="Calibri"/>
                <w:lang w:val="en-GB"/>
              </w:rPr>
              <w:t>edificatoare</w:t>
            </w:r>
            <w:proofErr w:type="spellEnd"/>
            <w:r w:rsidRPr="00C56257">
              <w:rPr>
                <w:rFonts w:eastAsia="Calibri"/>
                <w:lang w:val="en-GB"/>
              </w:rPr>
              <w:t xml:space="preserve"> / </w:t>
            </w:r>
            <w:proofErr w:type="spellStart"/>
            <w:r w:rsidRPr="00C56257">
              <w:rPr>
                <w:rFonts w:eastAsia="Calibri"/>
                <w:lang w:val="en-GB"/>
              </w:rPr>
              <w:t>caracteristice</w:t>
            </w:r>
            <w:proofErr w:type="spellEnd"/>
          </w:p>
        </w:tc>
        <w:tc>
          <w:tcPr>
            <w:tcW w:w="4962" w:type="dxa"/>
            <w:tcBorders>
              <w:top w:val="single" w:sz="4" w:space="0" w:color="auto"/>
              <w:left w:val="single" w:sz="4" w:space="0" w:color="auto"/>
              <w:bottom w:val="single" w:sz="4" w:space="0" w:color="auto"/>
              <w:right w:val="single" w:sz="4" w:space="0" w:color="auto"/>
            </w:tcBorders>
            <w:hideMark/>
          </w:tcPr>
          <w:p w14:paraId="4790914E" w14:textId="77777777" w:rsidR="00FC026B" w:rsidRPr="00C56257" w:rsidRDefault="00FC026B" w:rsidP="00993B86">
            <w:pPr>
              <w:rPr>
                <w:lang w:val="it-IT" w:eastAsia="ro-RO"/>
              </w:rPr>
            </w:pPr>
            <w:r w:rsidRPr="00C56257">
              <w:rPr>
                <w:lang w:val="it-IT" w:eastAsia="ro-RO"/>
              </w:rPr>
              <w:t>Prelevare probe; census vizual (pești, nevertebrate, alge macrofite)</w:t>
            </w:r>
          </w:p>
        </w:tc>
      </w:tr>
      <w:tr w:rsidR="00FC026B" w:rsidRPr="00C56257" w14:paraId="599EEBD5" w14:textId="77777777" w:rsidTr="00993B86">
        <w:trPr>
          <w:trHeight w:val="32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3A0B8A8" w14:textId="77777777" w:rsidR="00FC026B" w:rsidRPr="00F100E1" w:rsidRDefault="00FC026B" w:rsidP="00993B86">
            <w:pPr>
              <w:rPr>
                <w:rFonts w:eastAsia="Calibri"/>
                <w:lang w:val="en-GB"/>
              </w:rPr>
            </w:pPr>
          </w:p>
        </w:tc>
        <w:tc>
          <w:tcPr>
            <w:tcW w:w="3656" w:type="dxa"/>
            <w:tcBorders>
              <w:top w:val="single" w:sz="4" w:space="0" w:color="auto"/>
              <w:left w:val="single" w:sz="4" w:space="0" w:color="auto"/>
              <w:bottom w:val="single" w:sz="4" w:space="0" w:color="auto"/>
              <w:right w:val="single" w:sz="4" w:space="0" w:color="auto"/>
            </w:tcBorders>
            <w:hideMark/>
          </w:tcPr>
          <w:p w14:paraId="37D8D4AE" w14:textId="77777777" w:rsidR="00FC026B" w:rsidRPr="00C56257" w:rsidRDefault="00FC026B" w:rsidP="00993B86">
            <w:pPr>
              <w:rPr>
                <w:rFonts w:eastAsia="Calibri"/>
                <w:lang w:val="en-GB"/>
              </w:rPr>
            </w:pPr>
            <w:r w:rsidRPr="00C56257">
              <w:rPr>
                <w:rFonts w:eastAsia="Calibri"/>
                <w:lang w:val="it-IT"/>
              </w:rPr>
              <w:t>Alte specii rare / amenințate</w:t>
            </w:r>
          </w:p>
        </w:tc>
        <w:tc>
          <w:tcPr>
            <w:tcW w:w="4962" w:type="dxa"/>
            <w:tcBorders>
              <w:top w:val="single" w:sz="4" w:space="0" w:color="auto"/>
              <w:left w:val="single" w:sz="4" w:space="0" w:color="auto"/>
              <w:bottom w:val="single" w:sz="4" w:space="0" w:color="auto"/>
              <w:right w:val="single" w:sz="4" w:space="0" w:color="auto"/>
            </w:tcBorders>
            <w:hideMark/>
          </w:tcPr>
          <w:p w14:paraId="1463F446" w14:textId="77777777" w:rsidR="00FC026B" w:rsidRPr="00C56257" w:rsidRDefault="00FC026B" w:rsidP="00993B86">
            <w:pPr>
              <w:rPr>
                <w:lang w:val="it-IT" w:eastAsia="ro-RO"/>
              </w:rPr>
            </w:pPr>
            <w:r w:rsidRPr="00C56257">
              <w:rPr>
                <w:lang w:val="it-IT" w:eastAsia="ro-RO"/>
              </w:rPr>
              <w:t>Prelevare probe; census vizual.</w:t>
            </w:r>
          </w:p>
        </w:tc>
      </w:tr>
      <w:tr w:rsidR="00FC026B" w:rsidRPr="00C56257" w14:paraId="6FEAE704" w14:textId="77777777" w:rsidTr="00993B86">
        <w:tc>
          <w:tcPr>
            <w:tcW w:w="1555" w:type="dxa"/>
            <w:tcBorders>
              <w:top w:val="single" w:sz="4" w:space="0" w:color="auto"/>
              <w:left w:val="single" w:sz="4" w:space="0" w:color="auto"/>
              <w:bottom w:val="single" w:sz="4" w:space="0" w:color="auto"/>
              <w:right w:val="single" w:sz="4" w:space="0" w:color="auto"/>
            </w:tcBorders>
            <w:hideMark/>
          </w:tcPr>
          <w:p w14:paraId="40CA3261" w14:textId="77777777" w:rsidR="00FC026B" w:rsidRPr="00C56257" w:rsidRDefault="00FC026B" w:rsidP="00993B86">
            <w:pPr>
              <w:rPr>
                <w:rFonts w:eastAsia="Calibri"/>
                <w:lang w:val="en-GB"/>
              </w:rPr>
            </w:pPr>
            <w:proofErr w:type="spellStart"/>
            <w:r w:rsidRPr="00C56257">
              <w:rPr>
                <w:rFonts w:eastAsia="Calibri"/>
                <w:lang w:val="en-GB"/>
              </w:rPr>
              <w:t>Distribuția</w:t>
            </w:r>
            <w:proofErr w:type="spellEnd"/>
            <w:r w:rsidRPr="00C56257">
              <w:rPr>
                <w:rFonts w:eastAsia="Calibri"/>
                <w:lang w:val="en-GB"/>
              </w:rPr>
              <w:t xml:space="preserve"> </w:t>
            </w:r>
            <w:proofErr w:type="spellStart"/>
            <w:r w:rsidRPr="00C56257">
              <w:rPr>
                <w:rFonts w:eastAsia="Calibri"/>
                <w:lang w:val="en-GB"/>
              </w:rPr>
              <w:t>spațială</w:t>
            </w:r>
            <w:proofErr w:type="spellEnd"/>
          </w:p>
        </w:tc>
        <w:tc>
          <w:tcPr>
            <w:tcW w:w="3656" w:type="dxa"/>
            <w:tcBorders>
              <w:top w:val="single" w:sz="4" w:space="0" w:color="auto"/>
              <w:left w:val="single" w:sz="4" w:space="0" w:color="auto"/>
              <w:bottom w:val="single" w:sz="4" w:space="0" w:color="auto"/>
              <w:right w:val="single" w:sz="4" w:space="0" w:color="auto"/>
            </w:tcBorders>
            <w:hideMark/>
          </w:tcPr>
          <w:p w14:paraId="27FB9193" w14:textId="77777777" w:rsidR="00FC026B" w:rsidRPr="00C56257" w:rsidRDefault="00FC026B" w:rsidP="00993B86">
            <w:pPr>
              <w:rPr>
                <w:rFonts w:eastAsia="Calibri"/>
                <w:lang w:val="en-GB"/>
              </w:rPr>
            </w:pPr>
            <w:r w:rsidRPr="00C56257">
              <w:rPr>
                <w:rFonts w:eastAsia="Calibri"/>
                <w:lang w:val="it-IT"/>
              </w:rPr>
              <w:t>Model spațial al distribuției subtipurilor</w:t>
            </w:r>
          </w:p>
        </w:tc>
        <w:tc>
          <w:tcPr>
            <w:tcW w:w="4962" w:type="dxa"/>
            <w:tcBorders>
              <w:top w:val="single" w:sz="4" w:space="0" w:color="auto"/>
              <w:left w:val="single" w:sz="4" w:space="0" w:color="auto"/>
              <w:bottom w:val="single" w:sz="4" w:space="0" w:color="auto"/>
              <w:right w:val="single" w:sz="4" w:space="0" w:color="auto"/>
            </w:tcBorders>
            <w:hideMark/>
          </w:tcPr>
          <w:p w14:paraId="790C822D" w14:textId="77777777" w:rsidR="00FC026B" w:rsidRPr="00C56257" w:rsidRDefault="00FC026B" w:rsidP="00993B86">
            <w:pPr>
              <w:rPr>
                <w:lang w:val="it-IT" w:eastAsia="ro-RO"/>
              </w:rPr>
            </w:pPr>
            <w:proofErr w:type="spellStart"/>
            <w:r w:rsidRPr="00C56257">
              <w:rPr>
                <w:lang w:val="fr-FR" w:eastAsia="ro-RO"/>
              </w:rPr>
              <w:t>Cartare</w:t>
            </w:r>
            <w:proofErr w:type="spellEnd"/>
            <w:r w:rsidRPr="00C56257">
              <w:rPr>
                <w:lang w:val="fr-FR" w:eastAsia="ro-RO"/>
              </w:rPr>
              <w:t xml:space="preserve"> </w:t>
            </w:r>
            <w:proofErr w:type="spellStart"/>
            <w:r w:rsidRPr="00C56257">
              <w:rPr>
                <w:lang w:val="fr-FR" w:eastAsia="ro-RO"/>
              </w:rPr>
              <w:t>cu</w:t>
            </w:r>
            <w:proofErr w:type="spellEnd"/>
            <w:r w:rsidRPr="00C56257">
              <w:rPr>
                <w:lang w:val="fr-FR" w:eastAsia="ro-RO"/>
              </w:rPr>
              <w:t xml:space="preserve"> </w:t>
            </w:r>
            <w:proofErr w:type="spellStart"/>
            <w:r w:rsidRPr="00C56257">
              <w:rPr>
                <w:lang w:val="fr-FR" w:eastAsia="ro-RO"/>
              </w:rPr>
              <w:t>ajutorul</w:t>
            </w:r>
            <w:proofErr w:type="spellEnd"/>
            <w:r w:rsidRPr="00C56257">
              <w:rPr>
                <w:lang w:val="fr-FR" w:eastAsia="ro-RO"/>
              </w:rPr>
              <w:t xml:space="preserve"> </w:t>
            </w:r>
            <w:proofErr w:type="spellStart"/>
            <w:r w:rsidRPr="00C56257">
              <w:rPr>
                <w:lang w:val="fr-FR" w:eastAsia="ro-RO"/>
              </w:rPr>
              <w:t>datelor</w:t>
            </w:r>
            <w:proofErr w:type="spellEnd"/>
            <w:r w:rsidRPr="00C56257">
              <w:rPr>
                <w:lang w:val="fr-FR" w:eastAsia="ro-RO"/>
              </w:rPr>
              <w:t xml:space="preserve"> </w:t>
            </w:r>
            <w:proofErr w:type="spellStart"/>
            <w:r w:rsidRPr="00C56257">
              <w:rPr>
                <w:lang w:val="fr-FR" w:eastAsia="ro-RO"/>
              </w:rPr>
              <w:t>colectate</w:t>
            </w:r>
            <w:proofErr w:type="spellEnd"/>
            <w:r w:rsidRPr="00C56257">
              <w:rPr>
                <w:lang w:val="fr-FR" w:eastAsia="ro-RO"/>
              </w:rPr>
              <w:t xml:space="preserve"> </w:t>
            </w:r>
            <w:proofErr w:type="spellStart"/>
            <w:r w:rsidRPr="00C56257">
              <w:rPr>
                <w:lang w:val="fr-FR" w:eastAsia="ro-RO"/>
              </w:rPr>
              <w:t>prin</w:t>
            </w:r>
            <w:proofErr w:type="spellEnd"/>
            <w:r w:rsidRPr="00C56257">
              <w:rPr>
                <w:lang w:val="fr-FR" w:eastAsia="ro-RO"/>
              </w:rPr>
              <w:t xml:space="preserve"> </w:t>
            </w:r>
            <w:proofErr w:type="spellStart"/>
            <w:r w:rsidRPr="00C56257">
              <w:rPr>
                <w:lang w:val="fr-FR" w:eastAsia="ro-RO"/>
              </w:rPr>
              <w:t>înregistrari</w:t>
            </w:r>
            <w:proofErr w:type="spellEnd"/>
            <w:r w:rsidRPr="00C56257">
              <w:rPr>
                <w:lang w:val="fr-FR" w:eastAsia="ro-RO"/>
              </w:rPr>
              <w:t xml:space="preserve"> </w:t>
            </w:r>
            <w:proofErr w:type="spellStart"/>
            <w:r w:rsidRPr="00C56257">
              <w:rPr>
                <w:lang w:val="fr-FR" w:eastAsia="ro-RO"/>
              </w:rPr>
              <w:t>video</w:t>
            </w:r>
            <w:proofErr w:type="spellEnd"/>
            <w:r w:rsidRPr="00C56257">
              <w:rPr>
                <w:lang w:val="fr-FR" w:eastAsia="ro-RO"/>
              </w:rPr>
              <w:t xml:space="preserve"> </w:t>
            </w:r>
            <w:proofErr w:type="spellStart"/>
            <w:r w:rsidRPr="00C56257">
              <w:rPr>
                <w:lang w:val="fr-FR" w:eastAsia="ro-RO"/>
              </w:rPr>
              <w:t>cu</w:t>
            </w:r>
            <w:proofErr w:type="spellEnd"/>
            <w:r w:rsidRPr="00C56257">
              <w:rPr>
                <w:lang w:val="fr-FR" w:eastAsia="ro-RO"/>
              </w:rPr>
              <w:t xml:space="preserve"> ROV </w:t>
            </w:r>
            <w:proofErr w:type="spellStart"/>
            <w:r w:rsidRPr="00C56257">
              <w:rPr>
                <w:lang w:val="fr-FR" w:eastAsia="ro-RO"/>
              </w:rPr>
              <w:t>sau</w:t>
            </w:r>
            <w:proofErr w:type="spellEnd"/>
            <w:r w:rsidRPr="00C56257">
              <w:rPr>
                <w:lang w:val="fr-FR" w:eastAsia="ro-RO"/>
              </w:rPr>
              <w:t xml:space="preserve"> </w:t>
            </w:r>
            <w:proofErr w:type="spellStart"/>
            <w:r w:rsidRPr="00C56257">
              <w:rPr>
                <w:lang w:val="fr-FR" w:eastAsia="ro-RO"/>
              </w:rPr>
              <w:t>cu</w:t>
            </w:r>
            <w:proofErr w:type="spellEnd"/>
            <w:r w:rsidRPr="00C56257">
              <w:rPr>
                <w:lang w:val="fr-FR" w:eastAsia="ro-RO"/>
              </w:rPr>
              <w:t xml:space="preserve"> camera </w:t>
            </w:r>
            <w:proofErr w:type="spellStart"/>
            <w:r w:rsidRPr="00C56257">
              <w:rPr>
                <w:lang w:val="fr-FR" w:eastAsia="ro-RO"/>
              </w:rPr>
              <w:t>tractată</w:t>
            </w:r>
            <w:proofErr w:type="spellEnd"/>
          </w:p>
        </w:tc>
      </w:tr>
    </w:tbl>
    <w:p w14:paraId="21AD693C" w14:textId="77777777" w:rsidR="00FC026B" w:rsidRPr="00F100E1" w:rsidRDefault="00FC026B" w:rsidP="00FC026B">
      <w:pPr>
        <w:rPr>
          <w:rFonts w:eastAsia="Calibri"/>
          <w:b/>
          <w:lang w:val="it-IT"/>
        </w:rPr>
      </w:pPr>
    </w:p>
    <w:p w14:paraId="14AAE21D" w14:textId="77777777" w:rsidR="00FC026B" w:rsidRPr="00C56257" w:rsidRDefault="00FC026B" w:rsidP="00FC026B">
      <w:pPr>
        <w:ind w:firstLine="284"/>
        <w:jc w:val="both"/>
        <w:rPr>
          <w:rFonts w:eastAsia="Calibri"/>
          <w:lang w:val="it-IT"/>
        </w:rPr>
      </w:pPr>
      <w:r w:rsidRPr="00C56257">
        <w:rPr>
          <w:rFonts w:eastAsia="Calibri"/>
          <w:lang w:val="it-IT"/>
        </w:rPr>
        <w:t xml:space="preserve">     Trebuie subliniat faptul că scopul monitorizării este acela de a evalua starea întregului tip de habitat dintr-o arie specială de conservare și, prin urmare, programul de eșantionare trebuie să asigure că probele sunt reprezentative pentru întregul sit. Monitorizarea, indiferent de tehnicile folosite, se face cu o frecvență anuală în intervalul lunar mai-septembrie. </w:t>
      </w:r>
    </w:p>
    <w:p w14:paraId="7AB138AA" w14:textId="77777777" w:rsidR="00FC026B" w:rsidRPr="00C56257" w:rsidRDefault="00FC026B" w:rsidP="00FC026B">
      <w:pPr>
        <w:ind w:firstLine="284"/>
        <w:jc w:val="both"/>
        <w:rPr>
          <w:rFonts w:eastAsia="Calibri"/>
          <w:lang w:val="it-IT"/>
        </w:rPr>
      </w:pPr>
    </w:p>
    <w:p w14:paraId="7BD7D28E" w14:textId="77777777" w:rsidR="00FC026B" w:rsidRPr="00C56257" w:rsidRDefault="00FC026B" w:rsidP="00FC026B">
      <w:pPr>
        <w:ind w:firstLine="284"/>
        <w:jc w:val="both"/>
        <w:rPr>
          <w:rFonts w:eastAsia="Calibri"/>
          <w:lang w:val="it-IT"/>
        </w:rPr>
      </w:pPr>
      <w:proofErr w:type="spellStart"/>
      <w:r w:rsidRPr="00C56257">
        <w:rPr>
          <w:rFonts w:eastAsia="Calibri"/>
          <w:b/>
          <w:bCs/>
          <w:lang w:val="fr-FR"/>
        </w:rPr>
        <w:t>Presiunile</w:t>
      </w:r>
      <w:proofErr w:type="spellEnd"/>
      <w:r w:rsidRPr="00C56257">
        <w:rPr>
          <w:rFonts w:eastAsia="Calibri"/>
          <w:b/>
          <w:bCs/>
          <w:lang w:val="fr-FR"/>
        </w:rPr>
        <w:t xml:space="preserve"> </w:t>
      </w:r>
      <w:proofErr w:type="spellStart"/>
      <w:r w:rsidRPr="00C56257">
        <w:rPr>
          <w:rFonts w:eastAsia="Calibri"/>
          <w:b/>
          <w:bCs/>
          <w:lang w:val="fr-FR"/>
        </w:rPr>
        <w:t>identificate</w:t>
      </w:r>
      <w:proofErr w:type="spellEnd"/>
      <w:r w:rsidRPr="00C56257">
        <w:rPr>
          <w:rFonts w:eastAsia="Calibri"/>
          <w:b/>
          <w:bCs/>
          <w:lang w:val="fr-FR"/>
        </w:rPr>
        <w:t xml:space="preserve"> </w:t>
      </w:r>
      <w:proofErr w:type="spellStart"/>
      <w:r w:rsidRPr="00C56257">
        <w:rPr>
          <w:rFonts w:eastAsia="Calibri"/>
          <w:b/>
          <w:bCs/>
          <w:lang w:val="fr-FR"/>
        </w:rPr>
        <w:t>sunt</w:t>
      </w:r>
      <w:proofErr w:type="spellEnd"/>
    </w:p>
    <w:tbl>
      <w:tblPr>
        <w:tblW w:w="0" w:type="auto"/>
        <w:tblLayout w:type="fixed"/>
        <w:tblLook w:val="06A0" w:firstRow="1" w:lastRow="0" w:firstColumn="1" w:lastColumn="0" w:noHBand="1" w:noVBand="1"/>
      </w:tblPr>
      <w:tblGrid>
        <w:gridCol w:w="10031"/>
      </w:tblGrid>
      <w:tr w:rsidR="00FC026B" w:rsidRPr="00C56257" w14:paraId="4F0B3418" w14:textId="77777777" w:rsidTr="00993B86">
        <w:tc>
          <w:tcPr>
            <w:tcW w:w="10031" w:type="dxa"/>
            <w:hideMark/>
          </w:tcPr>
          <w:p w14:paraId="21B59B15" w14:textId="77777777" w:rsidR="00FC026B" w:rsidRPr="00C56257" w:rsidRDefault="00FC026B" w:rsidP="009E63E5">
            <w:pPr>
              <w:numPr>
                <w:ilvl w:val="0"/>
                <w:numId w:val="176"/>
              </w:numPr>
              <w:jc w:val="both"/>
              <w:rPr>
                <w:lang w:val="fr-FR"/>
              </w:rPr>
            </w:pPr>
            <w:r w:rsidRPr="00C56257">
              <w:rPr>
                <w:lang w:val="en-US"/>
              </w:rPr>
              <w:t xml:space="preserve">Recoltarea </w:t>
            </w:r>
            <w:proofErr w:type="spellStart"/>
            <w:r w:rsidRPr="00C56257">
              <w:rPr>
                <w:lang w:val="en-US"/>
              </w:rPr>
              <w:t>peștilor</w:t>
            </w:r>
            <w:proofErr w:type="spellEnd"/>
            <w:r w:rsidRPr="00C56257">
              <w:rPr>
                <w:lang w:val="en-US"/>
              </w:rPr>
              <w:t xml:space="preserve"> </w:t>
            </w:r>
            <w:proofErr w:type="spellStart"/>
            <w:r w:rsidRPr="00C56257">
              <w:rPr>
                <w:lang w:val="en-US"/>
              </w:rPr>
              <w:t>sau</w:t>
            </w:r>
            <w:proofErr w:type="spellEnd"/>
            <w:r w:rsidRPr="00C56257">
              <w:rPr>
                <w:lang w:val="en-US"/>
              </w:rPr>
              <w:t xml:space="preserve"> a </w:t>
            </w:r>
            <w:proofErr w:type="spellStart"/>
            <w:r w:rsidRPr="00C56257">
              <w:rPr>
                <w:lang w:val="en-US"/>
              </w:rPr>
              <w:t>nevertebratelor</w:t>
            </w:r>
            <w:proofErr w:type="spellEnd"/>
            <w:r w:rsidRPr="00C56257">
              <w:rPr>
                <w:lang w:val="en-US"/>
              </w:rPr>
              <w:t xml:space="preserve"> (</w:t>
            </w:r>
            <w:proofErr w:type="spellStart"/>
            <w:r w:rsidRPr="00C56257">
              <w:rPr>
                <w:lang w:val="en-US"/>
              </w:rPr>
              <w:t>profesional</w:t>
            </w:r>
            <w:proofErr w:type="spellEnd"/>
            <w:r w:rsidRPr="00C56257">
              <w:rPr>
                <w:lang w:val="en-US"/>
              </w:rPr>
              <w:t xml:space="preserve"> </w:t>
            </w:r>
            <w:proofErr w:type="spellStart"/>
            <w:r w:rsidRPr="00C56257">
              <w:rPr>
                <w:lang w:val="en-US"/>
              </w:rPr>
              <w:t>sau</w:t>
            </w:r>
            <w:proofErr w:type="spellEnd"/>
            <w:r w:rsidRPr="00C56257">
              <w:rPr>
                <w:lang w:val="en-US"/>
              </w:rPr>
              <w:t xml:space="preserve"> </w:t>
            </w:r>
            <w:proofErr w:type="spellStart"/>
            <w:r w:rsidRPr="00C56257">
              <w:rPr>
                <w:lang w:val="en-US"/>
              </w:rPr>
              <w:t>recreațional</w:t>
            </w:r>
            <w:proofErr w:type="spellEnd"/>
            <w:r w:rsidRPr="00C56257">
              <w:rPr>
                <w:lang w:val="en-US"/>
              </w:rPr>
              <w:t xml:space="preserve">) care </w:t>
            </w:r>
            <w:proofErr w:type="spellStart"/>
            <w:r w:rsidRPr="00C56257">
              <w:rPr>
                <w:lang w:val="en-US"/>
              </w:rPr>
              <w:t>determină</w:t>
            </w:r>
            <w:proofErr w:type="spellEnd"/>
            <w:r w:rsidRPr="00C56257">
              <w:rPr>
                <w:lang w:val="en-US"/>
              </w:rPr>
              <w:t xml:space="preserve"> </w:t>
            </w:r>
            <w:proofErr w:type="spellStart"/>
            <w:r w:rsidRPr="00C56257">
              <w:rPr>
                <w:lang w:val="en-US"/>
              </w:rPr>
              <w:t>reducerea</w:t>
            </w:r>
            <w:proofErr w:type="spellEnd"/>
            <w:r w:rsidRPr="00C56257">
              <w:rPr>
                <w:lang w:val="en-US"/>
              </w:rPr>
              <w:t xml:space="preserve"> </w:t>
            </w:r>
            <w:proofErr w:type="spellStart"/>
            <w:r w:rsidRPr="00C56257">
              <w:rPr>
                <w:lang w:val="en-US"/>
              </w:rPr>
              <w:t>populațiilor</w:t>
            </w:r>
            <w:proofErr w:type="spellEnd"/>
            <w:r w:rsidRPr="00C56257">
              <w:rPr>
                <w:lang w:val="en-US"/>
              </w:rPr>
              <w:t xml:space="preserve"> </w:t>
            </w:r>
            <w:proofErr w:type="spellStart"/>
            <w:r w:rsidRPr="00C56257">
              <w:rPr>
                <w:lang w:val="en-US"/>
              </w:rPr>
              <w:t>sau</w:t>
            </w:r>
            <w:proofErr w:type="spellEnd"/>
            <w:r w:rsidRPr="00C56257">
              <w:rPr>
                <w:lang w:val="en-US"/>
              </w:rPr>
              <w:t xml:space="preserve"> </w:t>
            </w:r>
            <w:proofErr w:type="spellStart"/>
            <w:r w:rsidRPr="00C56257">
              <w:rPr>
                <w:lang w:val="en-US"/>
              </w:rPr>
              <w:t>perturbarea</w:t>
            </w:r>
            <w:proofErr w:type="spellEnd"/>
            <w:r w:rsidRPr="00C56257">
              <w:rPr>
                <w:lang w:val="en-US"/>
              </w:rPr>
              <w:t xml:space="preserve"> </w:t>
            </w:r>
            <w:proofErr w:type="spellStart"/>
            <w:r w:rsidRPr="00C56257">
              <w:rPr>
                <w:lang w:val="en-US"/>
              </w:rPr>
              <w:t>speciilor</w:t>
            </w:r>
            <w:proofErr w:type="spellEnd"/>
            <w:r w:rsidRPr="00C56257">
              <w:rPr>
                <w:lang w:val="en-US"/>
              </w:rPr>
              <w:t>.</w:t>
            </w:r>
          </w:p>
        </w:tc>
      </w:tr>
      <w:tr w:rsidR="00FC026B" w:rsidRPr="00C56257" w14:paraId="015A2795" w14:textId="77777777" w:rsidTr="00993B86">
        <w:tc>
          <w:tcPr>
            <w:tcW w:w="10031" w:type="dxa"/>
            <w:hideMark/>
          </w:tcPr>
          <w:p w14:paraId="7BDA50C9" w14:textId="77777777" w:rsidR="00FC026B" w:rsidRPr="00C56257" w:rsidRDefault="00FC026B" w:rsidP="009E63E5">
            <w:pPr>
              <w:numPr>
                <w:ilvl w:val="0"/>
                <w:numId w:val="176"/>
              </w:numPr>
              <w:jc w:val="both"/>
              <w:rPr>
                <w:lang w:val="fr-FR"/>
              </w:rPr>
            </w:pPr>
            <w:proofErr w:type="spellStart"/>
            <w:r w:rsidRPr="00C56257">
              <w:rPr>
                <w:lang w:val="en-US"/>
              </w:rPr>
              <w:t>Activități</w:t>
            </w:r>
            <w:proofErr w:type="spellEnd"/>
            <w:r w:rsidRPr="00C56257">
              <w:rPr>
                <w:lang w:val="en-US"/>
              </w:rPr>
              <w:t xml:space="preserve"> de </w:t>
            </w:r>
            <w:proofErr w:type="spellStart"/>
            <w:r w:rsidRPr="00C56257">
              <w:rPr>
                <w:lang w:val="en-US"/>
              </w:rPr>
              <w:t>recoltare</w:t>
            </w:r>
            <w:proofErr w:type="spellEnd"/>
            <w:r w:rsidRPr="00C56257">
              <w:rPr>
                <w:lang w:val="en-US"/>
              </w:rPr>
              <w:t xml:space="preserve"> a </w:t>
            </w:r>
            <w:proofErr w:type="spellStart"/>
            <w:r w:rsidRPr="00C56257">
              <w:rPr>
                <w:lang w:val="en-US"/>
              </w:rPr>
              <w:t>peștilor</w:t>
            </w:r>
            <w:proofErr w:type="spellEnd"/>
            <w:r w:rsidRPr="00C56257">
              <w:rPr>
                <w:lang w:val="en-US"/>
              </w:rPr>
              <w:t xml:space="preserve"> </w:t>
            </w:r>
            <w:proofErr w:type="spellStart"/>
            <w:r w:rsidRPr="00C56257">
              <w:rPr>
                <w:lang w:val="en-US"/>
              </w:rPr>
              <w:t>sau</w:t>
            </w:r>
            <w:proofErr w:type="spellEnd"/>
            <w:r w:rsidRPr="00C56257">
              <w:rPr>
                <w:lang w:val="en-US"/>
              </w:rPr>
              <w:t xml:space="preserve"> a </w:t>
            </w:r>
            <w:proofErr w:type="spellStart"/>
            <w:r w:rsidRPr="00C56257">
              <w:rPr>
                <w:lang w:val="en-US"/>
              </w:rPr>
              <w:t>nevertebratelor</w:t>
            </w:r>
            <w:proofErr w:type="spellEnd"/>
            <w:r w:rsidRPr="00C56257">
              <w:rPr>
                <w:lang w:val="en-US"/>
              </w:rPr>
              <w:t xml:space="preserve"> (</w:t>
            </w:r>
            <w:proofErr w:type="spellStart"/>
            <w:r w:rsidRPr="00C56257">
              <w:rPr>
                <w:lang w:val="en-US"/>
              </w:rPr>
              <w:t>profesionale</w:t>
            </w:r>
            <w:proofErr w:type="spellEnd"/>
            <w:r w:rsidRPr="00C56257">
              <w:rPr>
                <w:lang w:val="en-US"/>
              </w:rPr>
              <w:t xml:space="preserve"> </w:t>
            </w:r>
            <w:proofErr w:type="spellStart"/>
            <w:r w:rsidRPr="00C56257">
              <w:rPr>
                <w:lang w:val="en-US"/>
              </w:rPr>
              <w:t>sau</w:t>
            </w:r>
            <w:proofErr w:type="spellEnd"/>
            <w:r w:rsidRPr="00C56257">
              <w:rPr>
                <w:lang w:val="en-US"/>
              </w:rPr>
              <w:t xml:space="preserve"> </w:t>
            </w:r>
            <w:proofErr w:type="spellStart"/>
            <w:r w:rsidRPr="00C56257">
              <w:rPr>
                <w:lang w:val="en-US"/>
              </w:rPr>
              <w:t>recreaţionale</w:t>
            </w:r>
            <w:proofErr w:type="spellEnd"/>
            <w:r w:rsidRPr="00C56257">
              <w:rPr>
                <w:lang w:val="en-US"/>
              </w:rPr>
              <w:t xml:space="preserve">) care </w:t>
            </w:r>
            <w:proofErr w:type="spellStart"/>
            <w:r w:rsidRPr="00C56257">
              <w:rPr>
                <w:lang w:val="en-US"/>
              </w:rPr>
              <w:t>cauzează</w:t>
            </w:r>
            <w:proofErr w:type="spellEnd"/>
            <w:r w:rsidRPr="00C56257">
              <w:rPr>
                <w:lang w:val="en-US"/>
              </w:rPr>
              <w:t xml:space="preserve"> </w:t>
            </w:r>
            <w:proofErr w:type="spellStart"/>
            <w:r w:rsidRPr="00C56257">
              <w:rPr>
                <w:lang w:val="en-US"/>
              </w:rPr>
              <w:t>pierderi</w:t>
            </w:r>
            <w:proofErr w:type="spellEnd"/>
            <w:r w:rsidRPr="00C56257">
              <w:rPr>
                <w:lang w:val="en-US"/>
              </w:rPr>
              <w:t xml:space="preserve"> </w:t>
            </w:r>
            <w:proofErr w:type="spellStart"/>
            <w:r w:rsidRPr="00C56257">
              <w:rPr>
                <w:lang w:val="en-US"/>
              </w:rPr>
              <w:t>fizice</w:t>
            </w:r>
            <w:proofErr w:type="spellEnd"/>
            <w:r w:rsidRPr="00C56257">
              <w:rPr>
                <w:lang w:val="en-US"/>
              </w:rPr>
              <w:t xml:space="preserve"> </w:t>
            </w:r>
            <w:proofErr w:type="spellStart"/>
            <w:r w:rsidRPr="00C56257">
              <w:rPr>
                <w:lang w:val="en-US"/>
              </w:rPr>
              <w:t>sau</w:t>
            </w:r>
            <w:proofErr w:type="spellEnd"/>
            <w:r w:rsidRPr="00C56257">
              <w:rPr>
                <w:lang w:val="en-US"/>
              </w:rPr>
              <w:t xml:space="preserve"> </w:t>
            </w:r>
            <w:proofErr w:type="spellStart"/>
            <w:r w:rsidRPr="00C56257">
              <w:rPr>
                <w:lang w:val="en-US"/>
              </w:rPr>
              <w:t>perturbări</w:t>
            </w:r>
            <w:proofErr w:type="spellEnd"/>
            <w:r w:rsidRPr="00C56257">
              <w:rPr>
                <w:lang w:val="en-US"/>
              </w:rPr>
              <w:t xml:space="preserve"> ale </w:t>
            </w:r>
            <w:proofErr w:type="spellStart"/>
            <w:r w:rsidRPr="00C56257">
              <w:rPr>
                <w:lang w:val="en-US"/>
              </w:rPr>
              <w:t>habitatelor</w:t>
            </w:r>
            <w:proofErr w:type="spellEnd"/>
            <w:r w:rsidRPr="00C56257">
              <w:rPr>
                <w:lang w:val="en-US"/>
              </w:rPr>
              <w:t xml:space="preserve"> marine.</w:t>
            </w:r>
          </w:p>
        </w:tc>
      </w:tr>
      <w:tr w:rsidR="00FC026B" w:rsidRPr="00C56257" w14:paraId="62FC64A6" w14:textId="77777777" w:rsidTr="00993B86">
        <w:tc>
          <w:tcPr>
            <w:tcW w:w="10031" w:type="dxa"/>
            <w:hideMark/>
          </w:tcPr>
          <w:p w14:paraId="7AAD3CA4" w14:textId="77777777" w:rsidR="00FC026B" w:rsidRPr="00C56257" w:rsidRDefault="00FC026B" w:rsidP="009E63E5">
            <w:pPr>
              <w:numPr>
                <w:ilvl w:val="0"/>
                <w:numId w:val="176"/>
              </w:numPr>
              <w:jc w:val="both"/>
              <w:rPr>
                <w:lang w:val="en-US"/>
              </w:rPr>
            </w:pPr>
            <w:proofErr w:type="spellStart"/>
            <w:r w:rsidRPr="00C56257">
              <w:rPr>
                <w:lang w:val="en-US"/>
              </w:rPr>
              <w:t>Navigație</w:t>
            </w:r>
            <w:proofErr w:type="spellEnd"/>
            <w:r w:rsidRPr="00C56257">
              <w:rPr>
                <w:lang w:val="en-US"/>
              </w:rPr>
              <w:t>.</w:t>
            </w:r>
          </w:p>
        </w:tc>
      </w:tr>
      <w:tr w:rsidR="00FC026B" w:rsidRPr="00C56257" w14:paraId="4085F7E2" w14:textId="77777777" w:rsidTr="00993B86">
        <w:tc>
          <w:tcPr>
            <w:tcW w:w="10031" w:type="dxa"/>
            <w:hideMark/>
          </w:tcPr>
          <w:p w14:paraId="07AE3077" w14:textId="77777777" w:rsidR="00FC026B" w:rsidRPr="00C56257" w:rsidRDefault="00FC026B" w:rsidP="009E63E5">
            <w:pPr>
              <w:numPr>
                <w:ilvl w:val="0"/>
                <w:numId w:val="176"/>
              </w:numPr>
              <w:jc w:val="both"/>
              <w:rPr>
                <w:lang w:val="en-US"/>
              </w:rPr>
            </w:pPr>
            <w:proofErr w:type="spellStart"/>
            <w:r w:rsidRPr="00C56257">
              <w:rPr>
                <w:lang w:val="en-US"/>
              </w:rPr>
              <w:t>Turism</w:t>
            </w:r>
            <w:proofErr w:type="spellEnd"/>
            <w:r w:rsidRPr="00C56257">
              <w:rPr>
                <w:lang w:val="en-US"/>
              </w:rPr>
              <w:t>.</w:t>
            </w:r>
          </w:p>
        </w:tc>
      </w:tr>
      <w:tr w:rsidR="00FC026B" w:rsidRPr="00C56257" w14:paraId="42A6E731" w14:textId="77777777" w:rsidTr="00993B86">
        <w:tc>
          <w:tcPr>
            <w:tcW w:w="10031" w:type="dxa"/>
            <w:hideMark/>
          </w:tcPr>
          <w:p w14:paraId="6E836AD9" w14:textId="77777777" w:rsidR="00FC026B" w:rsidRPr="00C56257" w:rsidRDefault="00FC026B" w:rsidP="009E63E5">
            <w:pPr>
              <w:numPr>
                <w:ilvl w:val="0"/>
                <w:numId w:val="176"/>
              </w:numPr>
              <w:jc w:val="both"/>
              <w:rPr>
                <w:lang w:val="en-US"/>
              </w:rPr>
            </w:pPr>
            <w:proofErr w:type="spellStart"/>
            <w:r w:rsidRPr="00C56257">
              <w:rPr>
                <w:lang w:val="en-US"/>
              </w:rPr>
              <w:t>Modificarea</w:t>
            </w:r>
            <w:proofErr w:type="spellEnd"/>
            <w:r w:rsidRPr="00C56257">
              <w:rPr>
                <w:lang w:val="en-US"/>
              </w:rPr>
              <w:t xml:space="preserve"> </w:t>
            </w:r>
            <w:proofErr w:type="spellStart"/>
            <w:r w:rsidRPr="00C56257">
              <w:rPr>
                <w:lang w:val="en-US"/>
              </w:rPr>
              <w:t>litoralului</w:t>
            </w:r>
            <w:proofErr w:type="spellEnd"/>
            <w:r w:rsidRPr="00C56257">
              <w:rPr>
                <w:lang w:val="en-US"/>
              </w:rPr>
              <w:t xml:space="preserve"> </w:t>
            </w:r>
            <w:proofErr w:type="spellStart"/>
            <w:r w:rsidRPr="00C56257">
              <w:rPr>
                <w:lang w:val="en-US"/>
              </w:rPr>
              <w:t>sau</w:t>
            </w:r>
            <w:proofErr w:type="spellEnd"/>
            <w:r w:rsidRPr="00C56257">
              <w:rPr>
                <w:lang w:val="en-US"/>
              </w:rPr>
              <w:t xml:space="preserve"> a </w:t>
            </w:r>
            <w:proofErr w:type="spellStart"/>
            <w:r w:rsidRPr="00C56257">
              <w:rPr>
                <w:lang w:val="en-US"/>
              </w:rPr>
              <w:t>condițiilor</w:t>
            </w:r>
            <w:proofErr w:type="spellEnd"/>
            <w:r w:rsidRPr="00C56257">
              <w:rPr>
                <w:lang w:val="en-US"/>
              </w:rPr>
              <w:t xml:space="preserve"> de </w:t>
            </w:r>
            <w:proofErr w:type="spellStart"/>
            <w:r w:rsidRPr="00C56257">
              <w:rPr>
                <w:lang w:val="en-US"/>
              </w:rPr>
              <w:t>coastă</w:t>
            </w:r>
            <w:proofErr w:type="spellEnd"/>
            <w:r w:rsidRPr="00C56257">
              <w:rPr>
                <w:lang w:val="en-US"/>
              </w:rPr>
              <w:t xml:space="preserve"> </w:t>
            </w:r>
            <w:proofErr w:type="spellStart"/>
            <w:r w:rsidRPr="00C56257">
              <w:rPr>
                <w:lang w:val="en-US"/>
              </w:rPr>
              <w:t>pentru</w:t>
            </w:r>
            <w:proofErr w:type="spellEnd"/>
            <w:r w:rsidRPr="00C56257">
              <w:rPr>
                <w:lang w:val="en-US"/>
              </w:rPr>
              <w:t xml:space="preserve"> </w:t>
            </w:r>
            <w:proofErr w:type="spellStart"/>
            <w:r w:rsidRPr="00C56257">
              <w:rPr>
                <w:lang w:val="en-US"/>
              </w:rPr>
              <w:t>dezvoltarea</w:t>
            </w:r>
            <w:proofErr w:type="spellEnd"/>
            <w:r w:rsidRPr="00C56257">
              <w:rPr>
                <w:lang w:val="en-US"/>
              </w:rPr>
              <w:t xml:space="preserve"> </w:t>
            </w:r>
            <w:proofErr w:type="spellStart"/>
            <w:r w:rsidRPr="00C56257">
              <w:rPr>
                <w:lang w:val="en-US"/>
              </w:rPr>
              <w:t>infrastructurii</w:t>
            </w:r>
            <w:proofErr w:type="spellEnd"/>
            <w:r w:rsidRPr="00C56257">
              <w:rPr>
                <w:lang w:val="en-US"/>
              </w:rPr>
              <w:t xml:space="preserve"> </w:t>
            </w:r>
            <w:proofErr w:type="spellStart"/>
            <w:r w:rsidRPr="00C56257">
              <w:rPr>
                <w:lang w:val="en-US"/>
              </w:rPr>
              <w:t>și</w:t>
            </w:r>
            <w:proofErr w:type="spellEnd"/>
            <w:r w:rsidRPr="00C56257">
              <w:rPr>
                <w:lang w:val="en-US"/>
              </w:rPr>
              <w:t xml:space="preserve"> </w:t>
            </w:r>
            <w:proofErr w:type="spellStart"/>
            <w:r w:rsidRPr="00C56257">
              <w:rPr>
                <w:lang w:val="en-US"/>
              </w:rPr>
              <w:t>zonelor</w:t>
            </w:r>
            <w:proofErr w:type="spellEnd"/>
            <w:r w:rsidRPr="00C56257">
              <w:rPr>
                <w:lang w:val="en-US"/>
              </w:rPr>
              <w:t xml:space="preserve"> </w:t>
            </w:r>
            <w:proofErr w:type="spellStart"/>
            <w:r w:rsidRPr="00C56257">
              <w:rPr>
                <w:lang w:val="en-US"/>
              </w:rPr>
              <w:t>rezidențiale</w:t>
            </w:r>
            <w:proofErr w:type="spellEnd"/>
            <w:r w:rsidRPr="00C56257">
              <w:rPr>
                <w:lang w:val="en-US"/>
              </w:rPr>
              <w:t xml:space="preserve">, </w:t>
            </w:r>
            <w:proofErr w:type="spellStart"/>
            <w:r w:rsidRPr="00C56257">
              <w:rPr>
                <w:lang w:val="en-US"/>
              </w:rPr>
              <w:t>comerciale</w:t>
            </w:r>
            <w:proofErr w:type="spellEnd"/>
            <w:r w:rsidRPr="00C56257">
              <w:rPr>
                <w:lang w:val="en-US"/>
              </w:rPr>
              <w:t xml:space="preserve">, </w:t>
            </w:r>
            <w:proofErr w:type="spellStart"/>
            <w:r w:rsidRPr="00C56257">
              <w:rPr>
                <w:lang w:val="en-US"/>
              </w:rPr>
              <w:t>industriale</w:t>
            </w:r>
            <w:proofErr w:type="spellEnd"/>
            <w:r w:rsidRPr="00C56257">
              <w:rPr>
                <w:lang w:val="en-US"/>
              </w:rPr>
              <w:t xml:space="preserve"> </w:t>
            </w:r>
            <w:proofErr w:type="spellStart"/>
            <w:r w:rsidRPr="00C56257">
              <w:rPr>
                <w:lang w:val="en-US"/>
              </w:rPr>
              <w:t>și</w:t>
            </w:r>
            <w:proofErr w:type="spellEnd"/>
            <w:r w:rsidRPr="00C56257">
              <w:rPr>
                <w:lang w:val="en-US"/>
              </w:rPr>
              <w:t xml:space="preserve"> de </w:t>
            </w:r>
            <w:proofErr w:type="spellStart"/>
            <w:r w:rsidRPr="00C56257">
              <w:rPr>
                <w:lang w:val="en-US"/>
              </w:rPr>
              <w:t>agrement</w:t>
            </w:r>
            <w:proofErr w:type="spellEnd"/>
            <w:r w:rsidRPr="00C56257">
              <w:rPr>
                <w:lang w:val="en-US"/>
              </w:rPr>
              <w:t xml:space="preserve"> (</w:t>
            </w:r>
            <w:proofErr w:type="spellStart"/>
            <w:r w:rsidRPr="00C56257">
              <w:rPr>
                <w:lang w:val="en-US"/>
              </w:rPr>
              <w:t>inclusiv</w:t>
            </w:r>
            <w:proofErr w:type="spellEnd"/>
            <w:r w:rsidRPr="00C56257">
              <w:rPr>
                <w:lang w:val="en-US"/>
              </w:rPr>
              <w:t xml:space="preserve"> </w:t>
            </w:r>
            <w:proofErr w:type="spellStart"/>
            <w:r w:rsidRPr="00C56257">
              <w:rPr>
                <w:lang w:val="en-US"/>
              </w:rPr>
              <w:t>lucrările</w:t>
            </w:r>
            <w:proofErr w:type="spellEnd"/>
            <w:r w:rsidRPr="00C56257">
              <w:rPr>
                <w:lang w:val="en-US"/>
              </w:rPr>
              <w:t xml:space="preserve"> de </w:t>
            </w:r>
            <w:proofErr w:type="spellStart"/>
            <w:r w:rsidRPr="00C56257">
              <w:rPr>
                <w:lang w:val="en-US"/>
              </w:rPr>
              <w:t>protecție</w:t>
            </w:r>
            <w:proofErr w:type="spellEnd"/>
            <w:r w:rsidRPr="00C56257">
              <w:rPr>
                <w:lang w:val="en-US"/>
              </w:rPr>
              <w:t xml:space="preserve"> </w:t>
            </w:r>
            <w:proofErr w:type="spellStart"/>
            <w:r w:rsidRPr="00C56257">
              <w:rPr>
                <w:lang w:val="en-US"/>
              </w:rPr>
              <w:t>și</w:t>
            </w:r>
            <w:proofErr w:type="spellEnd"/>
            <w:r w:rsidRPr="00C56257">
              <w:rPr>
                <w:lang w:val="en-US"/>
              </w:rPr>
              <w:t xml:space="preserve"> </w:t>
            </w:r>
            <w:proofErr w:type="spellStart"/>
            <w:r w:rsidRPr="00C56257">
              <w:rPr>
                <w:lang w:val="en-US"/>
              </w:rPr>
              <w:t>infrastructurile</w:t>
            </w:r>
            <w:proofErr w:type="spellEnd"/>
            <w:r w:rsidRPr="00C56257">
              <w:rPr>
                <w:lang w:val="en-US"/>
              </w:rPr>
              <w:t xml:space="preserve"> de </w:t>
            </w:r>
            <w:proofErr w:type="spellStart"/>
            <w:r w:rsidRPr="00C56257">
              <w:rPr>
                <w:lang w:val="en-US"/>
              </w:rPr>
              <w:t>coastă</w:t>
            </w:r>
            <w:proofErr w:type="spellEnd"/>
            <w:r w:rsidRPr="00C56257">
              <w:rPr>
                <w:lang w:val="en-US"/>
              </w:rPr>
              <w:t>)</w:t>
            </w:r>
          </w:p>
        </w:tc>
      </w:tr>
      <w:tr w:rsidR="00FC026B" w:rsidRPr="00C56257" w14:paraId="5501AC26" w14:textId="77777777" w:rsidTr="00993B86">
        <w:tc>
          <w:tcPr>
            <w:tcW w:w="10031" w:type="dxa"/>
            <w:hideMark/>
          </w:tcPr>
          <w:p w14:paraId="18000D0F" w14:textId="77777777" w:rsidR="00FC026B" w:rsidRPr="00C56257" w:rsidRDefault="00FC026B" w:rsidP="009E63E5">
            <w:pPr>
              <w:numPr>
                <w:ilvl w:val="0"/>
                <w:numId w:val="176"/>
              </w:numPr>
              <w:jc w:val="both"/>
              <w:rPr>
                <w:lang w:val="en-US"/>
              </w:rPr>
            </w:pPr>
            <w:proofErr w:type="spellStart"/>
            <w:r w:rsidRPr="00C56257">
              <w:rPr>
                <w:lang w:val="en-US"/>
              </w:rPr>
              <w:t>Activități</w:t>
            </w:r>
            <w:proofErr w:type="spellEnd"/>
            <w:r w:rsidRPr="00C56257">
              <w:rPr>
                <w:lang w:val="en-US"/>
              </w:rPr>
              <w:t xml:space="preserve"> </w:t>
            </w:r>
            <w:proofErr w:type="spellStart"/>
            <w:r w:rsidRPr="00C56257">
              <w:rPr>
                <w:lang w:val="en-US"/>
              </w:rPr>
              <w:t>în</w:t>
            </w:r>
            <w:proofErr w:type="spellEnd"/>
            <w:r w:rsidRPr="00C56257">
              <w:rPr>
                <w:lang w:val="en-US"/>
              </w:rPr>
              <w:t xml:space="preserve"> </w:t>
            </w:r>
            <w:proofErr w:type="spellStart"/>
            <w:r w:rsidRPr="00C56257">
              <w:rPr>
                <w:lang w:val="en-US"/>
              </w:rPr>
              <w:t>domeniul</w:t>
            </w:r>
            <w:proofErr w:type="spellEnd"/>
            <w:r w:rsidRPr="00C56257">
              <w:rPr>
                <w:lang w:val="en-US"/>
              </w:rPr>
              <w:t xml:space="preserve"> </w:t>
            </w:r>
            <w:proofErr w:type="spellStart"/>
            <w:r w:rsidRPr="00C56257">
              <w:rPr>
                <w:lang w:val="en-US"/>
              </w:rPr>
              <w:t>transportului</w:t>
            </w:r>
            <w:proofErr w:type="spellEnd"/>
            <w:r w:rsidRPr="00C56257">
              <w:rPr>
                <w:lang w:val="en-US"/>
              </w:rPr>
              <w:t xml:space="preserve"> </w:t>
            </w:r>
            <w:proofErr w:type="spellStart"/>
            <w:r w:rsidRPr="00C56257">
              <w:rPr>
                <w:lang w:val="en-US"/>
              </w:rPr>
              <w:t>terestru</w:t>
            </w:r>
            <w:proofErr w:type="spellEnd"/>
            <w:r w:rsidRPr="00C56257">
              <w:rPr>
                <w:lang w:val="en-US"/>
              </w:rPr>
              <w:t xml:space="preserve">, </w:t>
            </w:r>
            <w:proofErr w:type="spellStart"/>
            <w:r w:rsidRPr="00C56257">
              <w:rPr>
                <w:lang w:val="en-US"/>
              </w:rPr>
              <w:t>acvatic</w:t>
            </w:r>
            <w:proofErr w:type="spellEnd"/>
            <w:r w:rsidRPr="00C56257">
              <w:rPr>
                <w:lang w:val="en-US"/>
              </w:rPr>
              <w:t xml:space="preserve"> </w:t>
            </w:r>
            <w:proofErr w:type="spellStart"/>
            <w:r w:rsidRPr="00C56257">
              <w:rPr>
                <w:lang w:val="en-US"/>
              </w:rPr>
              <w:t>sau</w:t>
            </w:r>
            <w:proofErr w:type="spellEnd"/>
            <w:r w:rsidRPr="00C56257">
              <w:rPr>
                <w:lang w:val="en-US"/>
              </w:rPr>
              <w:t xml:space="preserve"> </w:t>
            </w:r>
            <w:proofErr w:type="spellStart"/>
            <w:r w:rsidRPr="00C56257">
              <w:rPr>
                <w:lang w:val="en-US"/>
              </w:rPr>
              <w:t>aerian</w:t>
            </w:r>
            <w:proofErr w:type="spellEnd"/>
            <w:r w:rsidRPr="00C56257">
              <w:rPr>
                <w:lang w:val="en-US"/>
              </w:rPr>
              <w:t xml:space="preserve"> care </w:t>
            </w:r>
            <w:proofErr w:type="spellStart"/>
            <w:r w:rsidRPr="00C56257">
              <w:rPr>
                <w:lang w:val="en-US"/>
              </w:rPr>
              <w:t>generează</w:t>
            </w:r>
            <w:proofErr w:type="spellEnd"/>
            <w:r w:rsidRPr="00C56257">
              <w:rPr>
                <w:lang w:val="en-US"/>
              </w:rPr>
              <w:t xml:space="preserve"> </w:t>
            </w:r>
            <w:proofErr w:type="spellStart"/>
            <w:r w:rsidRPr="00C56257">
              <w:rPr>
                <w:lang w:val="en-US"/>
              </w:rPr>
              <w:t>poluare</w:t>
            </w:r>
            <w:proofErr w:type="spellEnd"/>
            <w:r w:rsidRPr="00C56257">
              <w:rPr>
                <w:lang w:val="en-US"/>
              </w:rPr>
              <w:t xml:space="preserve"> </w:t>
            </w:r>
            <w:proofErr w:type="spellStart"/>
            <w:r w:rsidRPr="00C56257">
              <w:rPr>
                <w:lang w:val="en-US"/>
              </w:rPr>
              <w:t>marină</w:t>
            </w:r>
            <w:proofErr w:type="spellEnd"/>
          </w:p>
        </w:tc>
      </w:tr>
    </w:tbl>
    <w:p w14:paraId="3C361462" w14:textId="77777777" w:rsidR="00FC026B" w:rsidRPr="00C56257" w:rsidRDefault="00FC026B" w:rsidP="00FC026B">
      <w:pPr>
        <w:jc w:val="both"/>
        <w:rPr>
          <w:noProof/>
          <w:lang w:val="it-IT" w:eastAsia="ro-RO"/>
        </w:rPr>
      </w:pPr>
    </w:p>
    <w:p w14:paraId="01B8C0A2" w14:textId="77777777" w:rsidR="00FC026B" w:rsidRPr="00C56257" w:rsidRDefault="00FC026B" w:rsidP="00FC026B">
      <w:pPr>
        <w:autoSpaceDE w:val="0"/>
        <w:autoSpaceDN w:val="0"/>
        <w:adjustRightInd w:val="0"/>
        <w:rPr>
          <w:rFonts w:eastAsia="Calibri"/>
          <w:b/>
          <w:lang w:val="en-US"/>
        </w:rPr>
      </w:pPr>
      <w:r w:rsidRPr="00C56257">
        <w:rPr>
          <w:rFonts w:eastAsia="Calibri"/>
          <w:b/>
          <w:bCs/>
          <w:lang w:val="en-US"/>
        </w:rPr>
        <w:t xml:space="preserve">1180 </w:t>
      </w:r>
      <w:proofErr w:type="spellStart"/>
      <w:r w:rsidRPr="00C56257">
        <w:rPr>
          <w:rFonts w:eastAsia="Calibri"/>
          <w:b/>
          <w:lang w:val="en-US"/>
        </w:rPr>
        <w:t>Structuri</w:t>
      </w:r>
      <w:proofErr w:type="spellEnd"/>
      <w:r w:rsidRPr="00C56257">
        <w:rPr>
          <w:rFonts w:eastAsia="Calibri"/>
          <w:b/>
          <w:lang w:val="en-US"/>
        </w:rPr>
        <w:t xml:space="preserve"> submarine create de </w:t>
      </w:r>
      <w:proofErr w:type="spellStart"/>
      <w:r w:rsidRPr="00C56257">
        <w:rPr>
          <w:rFonts w:eastAsia="Calibri"/>
          <w:b/>
          <w:lang w:val="en-US"/>
        </w:rPr>
        <w:t>emisiile</w:t>
      </w:r>
      <w:proofErr w:type="spellEnd"/>
      <w:r w:rsidRPr="00C56257">
        <w:rPr>
          <w:rFonts w:eastAsia="Calibri"/>
          <w:b/>
          <w:lang w:val="en-US"/>
        </w:rPr>
        <w:t xml:space="preserve"> de gaze</w:t>
      </w:r>
    </w:p>
    <w:p w14:paraId="27C2AFD7" w14:textId="77777777" w:rsidR="00FC026B" w:rsidRPr="00C56257" w:rsidRDefault="00FC026B" w:rsidP="00FC026B">
      <w:pPr>
        <w:autoSpaceDE w:val="0"/>
        <w:autoSpaceDN w:val="0"/>
        <w:adjustRightInd w:val="0"/>
        <w:rPr>
          <w:rFonts w:eastAsia="Calibri"/>
          <w:lang w:val="it-IT"/>
        </w:rPr>
      </w:pPr>
      <w:r w:rsidRPr="00C56257">
        <w:rPr>
          <w:rFonts w:eastAsia="Calibri"/>
          <w:lang w:val="it-IT"/>
        </w:rPr>
        <w:t>CLAS. PAL.: 11.24</w:t>
      </w:r>
    </w:p>
    <w:p w14:paraId="72E08C4B" w14:textId="77777777" w:rsidR="00FC026B" w:rsidRPr="00C56257" w:rsidRDefault="00FC026B" w:rsidP="00FC026B">
      <w:pPr>
        <w:ind w:firstLine="720"/>
        <w:jc w:val="both"/>
        <w:rPr>
          <w:rFonts w:eastAsia="Calibri"/>
          <w:lang w:val="en-GB"/>
        </w:rPr>
      </w:pPr>
      <w:proofErr w:type="spellStart"/>
      <w:r w:rsidRPr="00C56257">
        <w:rPr>
          <w:rFonts w:eastAsia="Calibri"/>
          <w:b/>
          <w:lang w:val="en-GB"/>
        </w:rPr>
        <w:t>Structurile</w:t>
      </w:r>
      <w:proofErr w:type="spellEnd"/>
      <w:r w:rsidRPr="00C56257">
        <w:rPr>
          <w:rFonts w:eastAsia="Calibri"/>
          <w:b/>
          <w:lang w:val="en-GB"/>
        </w:rPr>
        <w:t xml:space="preserve"> submarine</w:t>
      </w:r>
      <w:r w:rsidRPr="00C56257">
        <w:rPr>
          <w:rFonts w:eastAsia="Calibri"/>
          <w:lang w:val="en-GB"/>
        </w:rPr>
        <w:t xml:space="preserve"> </w:t>
      </w:r>
      <w:r w:rsidRPr="00C56257">
        <w:rPr>
          <w:rFonts w:eastAsia="Calibri"/>
          <w:b/>
        </w:rPr>
        <w:t>1180</w:t>
      </w:r>
      <w:r w:rsidRPr="00C56257">
        <w:rPr>
          <w:rFonts w:eastAsia="Calibri"/>
          <w:lang w:val="en-GB"/>
        </w:rPr>
        <w:t xml:space="preserve"> </w:t>
      </w:r>
      <w:proofErr w:type="spellStart"/>
      <w:r w:rsidRPr="00C56257">
        <w:rPr>
          <w:rFonts w:eastAsia="Calibri"/>
          <w:lang w:val="en-GB"/>
        </w:rPr>
        <w:t>const</w:t>
      </w:r>
      <w:r>
        <w:rPr>
          <w:rFonts w:eastAsia="Calibri"/>
          <w:lang w:val="en-GB"/>
        </w:rPr>
        <w:t>ă</w:t>
      </w:r>
      <w:proofErr w:type="spellEnd"/>
      <w:r w:rsidRPr="00C56257">
        <w:rPr>
          <w:rFonts w:eastAsia="Calibri"/>
          <w:lang w:val="en-GB"/>
        </w:rPr>
        <w:t xml:space="preserve"> </w:t>
      </w:r>
      <w:proofErr w:type="spellStart"/>
      <w:r w:rsidRPr="00C56257">
        <w:rPr>
          <w:rFonts w:eastAsia="Calibri"/>
          <w:lang w:val="en-GB"/>
        </w:rPr>
        <w:t>în</w:t>
      </w:r>
      <w:proofErr w:type="spellEnd"/>
      <w:r w:rsidRPr="00C56257">
        <w:rPr>
          <w:rFonts w:eastAsia="Calibri"/>
          <w:lang w:val="en-GB"/>
        </w:rPr>
        <w:t xml:space="preserve"> </w:t>
      </w:r>
      <w:proofErr w:type="spellStart"/>
      <w:r w:rsidRPr="00C56257">
        <w:rPr>
          <w:rFonts w:eastAsia="Calibri"/>
          <w:lang w:val="en-GB"/>
        </w:rPr>
        <w:t>plăci</w:t>
      </w:r>
      <w:proofErr w:type="spellEnd"/>
      <w:r w:rsidRPr="00C56257">
        <w:rPr>
          <w:rFonts w:eastAsia="Calibri"/>
          <w:lang w:val="en-GB"/>
        </w:rPr>
        <w:t xml:space="preserve"> de </w:t>
      </w:r>
      <w:proofErr w:type="spellStart"/>
      <w:r w:rsidRPr="00C56257">
        <w:rPr>
          <w:rFonts w:eastAsia="Calibri"/>
          <w:lang w:val="en-GB"/>
        </w:rPr>
        <w:t>gresie</w:t>
      </w:r>
      <w:proofErr w:type="spellEnd"/>
      <w:r w:rsidRPr="00C56257">
        <w:rPr>
          <w:rFonts w:eastAsia="Calibri"/>
          <w:lang w:val="en-GB"/>
        </w:rPr>
        <w:t xml:space="preserve">, </w:t>
      </w:r>
      <w:proofErr w:type="spellStart"/>
      <w:r w:rsidRPr="00C56257">
        <w:rPr>
          <w:rFonts w:eastAsia="Calibri"/>
          <w:lang w:val="en-GB"/>
        </w:rPr>
        <w:t>pavaje</w:t>
      </w:r>
      <w:proofErr w:type="spellEnd"/>
      <w:r w:rsidRPr="00C56257">
        <w:rPr>
          <w:rFonts w:eastAsia="Calibri"/>
          <w:lang w:val="en-GB"/>
        </w:rPr>
        <w:t xml:space="preserve"> </w:t>
      </w:r>
      <w:proofErr w:type="spellStart"/>
      <w:r w:rsidRPr="00C56257">
        <w:rPr>
          <w:rFonts w:eastAsia="Calibri"/>
          <w:lang w:val="en-GB"/>
        </w:rPr>
        <w:t>şi</w:t>
      </w:r>
      <w:proofErr w:type="spellEnd"/>
      <w:r w:rsidRPr="00C56257">
        <w:rPr>
          <w:rFonts w:eastAsia="Calibri"/>
          <w:lang w:val="en-GB"/>
        </w:rPr>
        <w:t xml:space="preserve"> </w:t>
      </w:r>
      <w:proofErr w:type="spellStart"/>
      <w:r w:rsidRPr="00C56257">
        <w:rPr>
          <w:rFonts w:eastAsia="Calibri"/>
          <w:lang w:val="en-GB"/>
        </w:rPr>
        <w:t>coloane</w:t>
      </w:r>
      <w:proofErr w:type="spellEnd"/>
      <w:r w:rsidRPr="00C56257">
        <w:rPr>
          <w:rFonts w:eastAsia="Calibri"/>
          <w:lang w:val="en-GB"/>
        </w:rPr>
        <w:t xml:space="preserve"> de </w:t>
      </w:r>
      <w:proofErr w:type="spellStart"/>
      <w:r w:rsidRPr="00C56257">
        <w:rPr>
          <w:rFonts w:eastAsia="Calibri"/>
          <w:lang w:val="en-GB"/>
        </w:rPr>
        <w:t>până</w:t>
      </w:r>
      <w:proofErr w:type="spellEnd"/>
      <w:r w:rsidRPr="00C56257">
        <w:rPr>
          <w:rFonts w:eastAsia="Calibri"/>
          <w:lang w:val="en-GB"/>
        </w:rPr>
        <w:t xml:space="preserve"> la 4 m </w:t>
      </w:r>
      <w:proofErr w:type="spellStart"/>
      <w:r w:rsidRPr="00C56257">
        <w:rPr>
          <w:rFonts w:eastAsia="Calibri"/>
          <w:lang w:val="en-GB"/>
        </w:rPr>
        <w:t>înălţime</w:t>
      </w:r>
      <w:proofErr w:type="spellEnd"/>
      <w:r w:rsidRPr="00C56257">
        <w:rPr>
          <w:rFonts w:eastAsia="Calibri"/>
          <w:lang w:val="en-GB"/>
        </w:rPr>
        <w:t xml:space="preserve">, </w:t>
      </w:r>
      <w:proofErr w:type="spellStart"/>
      <w:r w:rsidRPr="00C56257">
        <w:rPr>
          <w:rFonts w:eastAsia="Calibri"/>
          <w:lang w:val="en-GB"/>
        </w:rPr>
        <w:t>formate</w:t>
      </w:r>
      <w:proofErr w:type="spellEnd"/>
      <w:r w:rsidRPr="00C56257">
        <w:rPr>
          <w:rFonts w:eastAsia="Calibri"/>
          <w:lang w:val="en-GB"/>
        </w:rPr>
        <w:t xml:space="preserve"> </w:t>
      </w:r>
      <w:proofErr w:type="spellStart"/>
      <w:r w:rsidRPr="00C56257">
        <w:rPr>
          <w:rFonts w:eastAsia="Calibri"/>
          <w:lang w:val="en-GB"/>
        </w:rPr>
        <w:t>prin</w:t>
      </w:r>
      <w:proofErr w:type="spellEnd"/>
      <w:r w:rsidRPr="00C56257">
        <w:rPr>
          <w:rFonts w:eastAsia="Calibri"/>
          <w:lang w:val="en-GB"/>
        </w:rPr>
        <w:t xml:space="preserve"> </w:t>
      </w:r>
      <w:proofErr w:type="spellStart"/>
      <w:r w:rsidRPr="00C56257">
        <w:rPr>
          <w:rFonts w:eastAsia="Calibri"/>
          <w:lang w:val="en-GB"/>
        </w:rPr>
        <w:t>agregarea</w:t>
      </w:r>
      <w:proofErr w:type="spellEnd"/>
      <w:r w:rsidRPr="00C56257">
        <w:rPr>
          <w:rFonts w:eastAsia="Calibri"/>
          <w:lang w:val="en-GB"/>
        </w:rPr>
        <w:t xml:space="preserve"> </w:t>
      </w:r>
      <w:proofErr w:type="spellStart"/>
      <w:r w:rsidRPr="00C56257">
        <w:rPr>
          <w:rFonts w:eastAsia="Calibri"/>
          <w:lang w:val="en-GB"/>
        </w:rPr>
        <w:t>cimentului</w:t>
      </w:r>
      <w:proofErr w:type="spellEnd"/>
      <w:r w:rsidRPr="00C56257">
        <w:rPr>
          <w:rFonts w:eastAsia="Calibri"/>
          <w:lang w:val="en-GB"/>
        </w:rPr>
        <w:t xml:space="preserve"> de </w:t>
      </w:r>
      <w:proofErr w:type="spellStart"/>
      <w:r w:rsidRPr="00C56257">
        <w:rPr>
          <w:rFonts w:eastAsia="Calibri"/>
          <w:lang w:val="en-GB"/>
        </w:rPr>
        <w:t>carbonaţi</w:t>
      </w:r>
      <w:proofErr w:type="spellEnd"/>
      <w:r w:rsidRPr="00C56257">
        <w:rPr>
          <w:rFonts w:eastAsia="Calibri"/>
          <w:lang w:val="en-GB"/>
        </w:rPr>
        <w:t xml:space="preserve"> </w:t>
      </w:r>
      <w:proofErr w:type="spellStart"/>
      <w:r w:rsidRPr="00C56257">
        <w:rPr>
          <w:rFonts w:eastAsia="Calibri"/>
          <w:lang w:val="en-GB"/>
        </w:rPr>
        <w:t>rezultat</w:t>
      </w:r>
      <w:proofErr w:type="spellEnd"/>
      <w:r w:rsidRPr="00C56257">
        <w:rPr>
          <w:rFonts w:eastAsia="Calibri"/>
          <w:lang w:val="en-GB"/>
        </w:rPr>
        <w:t xml:space="preserve"> din </w:t>
      </w:r>
      <w:proofErr w:type="spellStart"/>
      <w:r w:rsidRPr="00C56257">
        <w:rPr>
          <w:rFonts w:eastAsia="Calibri"/>
          <w:lang w:val="en-GB"/>
        </w:rPr>
        <w:t>oxidarea</w:t>
      </w:r>
      <w:proofErr w:type="spellEnd"/>
      <w:r w:rsidRPr="00C56257">
        <w:rPr>
          <w:rFonts w:eastAsia="Calibri"/>
          <w:lang w:val="en-GB"/>
        </w:rPr>
        <w:t xml:space="preserve"> </w:t>
      </w:r>
      <w:proofErr w:type="spellStart"/>
      <w:r w:rsidRPr="00C56257">
        <w:rPr>
          <w:rFonts w:eastAsia="Calibri"/>
          <w:lang w:val="en-GB"/>
        </w:rPr>
        <w:t>microbiană</w:t>
      </w:r>
      <w:proofErr w:type="spellEnd"/>
      <w:r w:rsidRPr="00C56257">
        <w:rPr>
          <w:rFonts w:eastAsia="Calibri"/>
          <w:lang w:val="en-GB"/>
        </w:rPr>
        <w:t xml:space="preserve"> a </w:t>
      </w:r>
      <w:proofErr w:type="spellStart"/>
      <w:r w:rsidRPr="00C56257">
        <w:rPr>
          <w:rFonts w:eastAsia="Calibri"/>
          <w:lang w:val="en-GB"/>
        </w:rPr>
        <w:t>emisiilor</w:t>
      </w:r>
      <w:proofErr w:type="spellEnd"/>
      <w:r w:rsidRPr="00C56257">
        <w:rPr>
          <w:rFonts w:eastAsia="Calibri"/>
          <w:lang w:val="en-GB"/>
        </w:rPr>
        <w:t xml:space="preserve"> de gaze, </w:t>
      </w:r>
      <w:proofErr w:type="spellStart"/>
      <w:r w:rsidRPr="00C56257">
        <w:rPr>
          <w:rFonts w:eastAsia="Calibri"/>
          <w:lang w:val="en-GB"/>
        </w:rPr>
        <w:t>în</w:t>
      </w:r>
      <w:proofErr w:type="spellEnd"/>
      <w:r w:rsidRPr="00C56257">
        <w:rPr>
          <w:rFonts w:eastAsia="Calibri"/>
          <w:lang w:val="en-GB"/>
        </w:rPr>
        <w:t xml:space="preserve"> special de </w:t>
      </w:r>
      <w:proofErr w:type="spellStart"/>
      <w:r w:rsidRPr="00C56257">
        <w:rPr>
          <w:rFonts w:eastAsia="Calibri"/>
          <w:lang w:val="en-GB"/>
        </w:rPr>
        <w:t>metan</w:t>
      </w:r>
      <w:proofErr w:type="spellEnd"/>
      <w:r w:rsidRPr="00C56257">
        <w:rPr>
          <w:rFonts w:eastAsia="Calibri"/>
          <w:lang w:val="en-GB"/>
        </w:rPr>
        <w:t xml:space="preserve">. </w:t>
      </w:r>
      <w:proofErr w:type="spellStart"/>
      <w:r w:rsidRPr="00C56257">
        <w:rPr>
          <w:rFonts w:eastAsia="Calibri"/>
          <w:lang w:val="en-GB"/>
        </w:rPr>
        <w:t>Formaţiunile</w:t>
      </w:r>
      <w:proofErr w:type="spellEnd"/>
      <w:r w:rsidRPr="00C56257">
        <w:rPr>
          <w:rFonts w:eastAsia="Calibri"/>
          <w:lang w:val="en-GB"/>
        </w:rPr>
        <w:t xml:space="preserve"> sunt </w:t>
      </w:r>
      <w:proofErr w:type="spellStart"/>
      <w:r w:rsidRPr="00C56257">
        <w:rPr>
          <w:rFonts w:eastAsia="Calibri"/>
          <w:lang w:val="en-GB"/>
        </w:rPr>
        <w:t>presărate</w:t>
      </w:r>
      <w:proofErr w:type="spellEnd"/>
      <w:r w:rsidRPr="00C56257">
        <w:rPr>
          <w:rFonts w:eastAsia="Calibri"/>
          <w:lang w:val="en-GB"/>
        </w:rPr>
        <w:t xml:space="preserve"> cu </w:t>
      </w:r>
      <w:proofErr w:type="spellStart"/>
      <w:r w:rsidRPr="00C56257">
        <w:rPr>
          <w:rFonts w:eastAsia="Calibri"/>
          <w:lang w:val="en-GB"/>
        </w:rPr>
        <w:t>orificii</w:t>
      </w:r>
      <w:proofErr w:type="spellEnd"/>
      <w:r w:rsidRPr="00C56257">
        <w:rPr>
          <w:rFonts w:eastAsia="Calibri"/>
          <w:lang w:val="en-GB"/>
        </w:rPr>
        <w:t xml:space="preserve"> care </w:t>
      </w:r>
      <w:proofErr w:type="spellStart"/>
      <w:r w:rsidRPr="00C56257">
        <w:rPr>
          <w:rFonts w:eastAsia="Calibri"/>
          <w:lang w:val="en-GB"/>
        </w:rPr>
        <w:t>emană</w:t>
      </w:r>
      <w:proofErr w:type="spellEnd"/>
      <w:r w:rsidRPr="00C56257">
        <w:rPr>
          <w:rFonts w:eastAsia="Calibri"/>
          <w:lang w:val="en-GB"/>
        </w:rPr>
        <w:t xml:space="preserve"> </w:t>
      </w:r>
      <w:proofErr w:type="spellStart"/>
      <w:r w:rsidRPr="00C56257">
        <w:rPr>
          <w:rFonts w:eastAsia="Calibri"/>
          <w:lang w:val="en-GB"/>
        </w:rPr>
        <w:t>gaz</w:t>
      </w:r>
      <w:proofErr w:type="spellEnd"/>
      <w:r w:rsidRPr="00C56257">
        <w:rPr>
          <w:rFonts w:eastAsia="Calibri"/>
          <w:lang w:val="en-GB"/>
        </w:rPr>
        <w:t xml:space="preserve"> </w:t>
      </w:r>
      <w:proofErr w:type="spellStart"/>
      <w:r w:rsidRPr="00C56257">
        <w:rPr>
          <w:rFonts w:eastAsia="Calibri"/>
          <w:lang w:val="en-GB"/>
        </w:rPr>
        <w:t>în</w:t>
      </w:r>
      <w:proofErr w:type="spellEnd"/>
      <w:r w:rsidRPr="00C56257">
        <w:rPr>
          <w:rFonts w:eastAsia="Calibri"/>
          <w:lang w:val="en-GB"/>
        </w:rPr>
        <w:t xml:space="preserve"> mod </w:t>
      </w:r>
      <w:proofErr w:type="spellStart"/>
      <w:r w:rsidRPr="00C56257">
        <w:rPr>
          <w:rFonts w:eastAsia="Calibri"/>
          <w:lang w:val="en-GB"/>
        </w:rPr>
        <w:t>intermitent</w:t>
      </w:r>
      <w:proofErr w:type="spellEnd"/>
      <w:r w:rsidRPr="00C56257">
        <w:rPr>
          <w:rFonts w:eastAsia="Calibri"/>
          <w:lang w:val="en-GB"/>
        </w:rPr>
        <w:t xml:space="preserve">. </w:t>
      </w:r>
      <w:proofErr w:type="spellStart"/>
      <w:r w:rsidRPr="00C56257">
        <w:rPr>
          <w:rFonts w:eastAsia="Calibri"/>
          <w:lang w:val="en-GB"/>
        </w:rPr>
        <w:t>Metanul</w:t>
      </w:r>
      <w:proofErr w:type="spellEnd"/>
      <w:r w:rsidRPr="00C56257">
        <w:rPr>
          <w:rFonts w:eastAsia="Calibri"/>
          <w:lang w:val="en-GB"/>
        </w:rPr>
        <w:t xml:space="preserve"> </w:t>
      </w:r>
      <w:proofErr w:type="spellStart"/>
      <w:r w:rsidRPr="00C56257">
        <w:rPr>
          <w:rFonts w:eastAsia="Calibri"/>
          <w:lang w:val="en-GB"/>
        </w:rPr>
        <w:t>provine</w:t>
      </w:r>
      <w:proofErr w:type="spellEnd"/>
      <w:r w:rsidRPr="00C56257">
        <w:rPr>
          <w:rFonts w:eastAsia="Calibri"/>
          <w:lang w:val="en-GB"/>
        </w:rPr>
        <w:t xml:space="preserve">, </w:t>
      </w:r>
      <w:proofErr w:type="spellStart"/>
      <w:r w:rsidRPr="00C56257">
        <w:rPr>
          <w:rFonts w:eastAsia="Calibri"/>
          <w:lang w:val="en-GB"/>
        </w:rPr>
        <w:t>cel</w:t>
      </w:r>
      <w:proofErr w:type="spellEnd"/>
      <w:r w:rsidRPr="00C56257">
        <w:rPr>
          <w:rFonts w:eastAsia="Calibri"/>
          <w:lang w:val="en-GB"/>
        </w:rPr>
        <w:t xml:space="preserve"> </w:t>
      </w:r>
      <w:proofErr w:type="spellStart"/>
      <w:r w:rsidRPr="00C56257">
        <w:rPr>
          <w:rFonts w:eastAsia="Calibri"/>
          <w:lang w:val="en-GB"/>
        </w:rPr>
        <w:t>mai</w:t>
      </w:r>
      <w:proofErr w:type="spellEnd"/>
      <w:r w:rsidRPr="00C56257">
        <w:rPr>
          <w:rFonts w:eastAsia="Calibri"/>
          <w:lang w:val="en-GB"/>
        </w:rPr>
        <w:t xml:space="preserve"> </w:t>
      </w:r>
      <w:proofErr w:type="spellStart"/>
      <w:r w:rsidRPr="00C56257">
        <w:rPr>
          <w:rFonts w:eastAsia="Calibri"/>
          <w:lang w:val="en-GB"/>
        </w:rPr>
        <w:t>probabil</w:t>
      </w:r>
      <w:proofErr w:type="spellEnd"/>
      <w:r w:rsidRPr="00C56257">
        <w:rPr>
          <w:rFonts w:eastAsia="Calibri"/>
          <w:lang w:val="en-GB"/>
        </w:rPr>
        <w:t xml:space="preserve">, din </w:t>
      </w:r>
      <w:proofErr w:type="spellStart"/>
      <w:r w:rsidRPr="00C56257">
        <w:rPr>
          <w:rFonts w:eastAsia="Calibri"/>
          <w:lang w:val="en-GB"/>
        </w:rPr>
        <w:t>descompunerea</w:t>
      </w:r>
      <w:proofErr w:type="spellEnd"/>
      <w:r w:rsidRPr="00C56257">
        <w:rPr>
          <w:rFonts w:eastAsia="Calibri"/>
          <w:lang w:val="en-GB"/>
        </w:rPr>
        <w:t xml:space="preserve"> </w:t>
      </w:r>
      <w:proofErr w:type="spellStart"/>
      <w:r w:rsidRPr="00C56257">
        <w:rPr>
          <w:rFonts w:eastAsia="Calibri"/>
          <w:lang w:val="en-GB"/>
        </w:rPr>
        <w:t>microbiană</w:t>
      </w:r>
      <w:proofErr w:type="spellEnd"/>
      <w:r w:rsidRPr="00C56257">
        <w:rPr>
          <w:rFonts w:eastAsia="Calibri"/>
          <w:lang w:val="en-GB"/>
        </w:rPr>
        <w:t xml:space="preserve"> a </w:t>
      </w:r>
      <w:proofErr w:type="spellStart"/>
      <w:r w:rsidRPr="00C56257">
        <w:rPr>
          <w:rFonts w:eastAsia="Calibri"/>
          <w:lang w:val="en-GB"/>
        </w:rPr>
        <w:t>resturilor</w:t>
      </w:r>
      <w:proofErr w:type="spellEnd"/>
      <w:r w:rsidRPr="00C56257">
        <w:rPr>
          <w:rFonts w:eastAsia="Calibri"/>
          <w:lang w:val="en-GB"/>
        </w:rPr>
        <w:t xml:space="preserve"> </w:t>
      </w:r>
      <w:proofErr w:type="spellStart"/>
      <w:r w:rsidRPr="00C56257">
        <w:rPr>
          <w:rFonts w:eastAsia="Calibri"/>
          <w:lang w:val="en-GB"/>
        </w:rPr>
        <w:t>vegetale</w:t>
      </w:r>
      <w:proofErr w:type="spellEnd"/>
      <w:r w:rsidRPr="00C56257">
        <w:rPr>
          <w:rFonts w:eastAsia="Calibri"/>
          <w:lang w:val="en-GB"/>
        </w:rPr>
        <w:t xml:space="preserve"> </w:t>
      </w:r>
      <w:proofErr w:type="spellStart"/>
      <w:r w:rsidRPr="00C56257">
        <w:rPr>
          <w:rFonts w:eastAsia="Calibri"/>
          <w:lang w:val="en-GB"/>
        </w:rPr>
        <w:t>fosile</w:t>
      </w:r>
      <w:proofErr w:type="spellEnd"/>
      <w:r w:rsidRPr="00C56257">
        <w:rPr>
          <w:rFonts w:eastAsia="Calibri"/>
          <w:lang w:val="en-GB"/>
        </w:rPr>
        <w:t xml:space="preserve">. </w:t>
      </w:r>
      <w:proofErr w:type="spellStart"/>
      <w:r w:rsidRPr="00C56257">
        <w:rPr>
          <w:rFonts w:eastAsia="Calibri"/>
          <w:lang w:val="en-GB"/>
        </w:rPr>
        <w:t>Primul</w:t>
      </w:r>
      <w:proofErr w:type="spellEnd"/>
      <w:r w:rsidRPr="00C56257">
        <w:rPr>
          <w:rFonts w:eastAsia="Calibri"/>
          <w:lang w:val="en-GB"/>
        </w:rPr>
        <w:t xml:space="preserve"> tip de </w:t>
      </w:r>
      <w:proofErr w:type="spellStart"/>
      <w:r w:rsidRPr="00C56257">
        <w:rPr>
          <w:rFonts w:eastAsia="Calibri"/>
          <w:lang w:val="en-GB"/>
        </w:rPr>
        <w:t>structuri</w:t>
      </w:r>
      <w:proofErr w:type="spellEnd"/>
      <w:r w:rsidRPr="00C56257">
        <w:rPr>
          <w:rFonts w:eastAsia="Calibri"/>
          <w:lang w:val="en-GB"/>
        </w:rPr>
        <w:t xml:space="preserve"> submarine </w:t>
      </w:r>
      <w:proofErr w:type="spellStart"/>
      <w:r w:rsidRPr="00C56257">
        <w:rPr>
          <w:rFonts w:eastAsia="Calibri"/>
          <w:lang w:val="en-GB"/>
        </w:rPr>
        <w:t>este</w:t>
      </w:r>
      <w:proofErr w:type="spellEnd"/>
      <w:r w:rsidRPr="00C56257">
        <w:rPr>
          <w:rFonts w:eastAsia="Calibri"/>
          <w:lang w:val="en-GB"/>
        </w:rPr>
        <w:t xml:space="preserve"> </w:t>
      </w:r>
      <w:proofErr w:type="spellStart"/>
      <w:r w:rsidRPr="00C56257">
        <w:rPr>
          <w:rFonts w:eastAsia="Calibri"/>
          <w:lang w:val="en-GB"/>
        </w:rPr>
        <w:t>cunoscut</w:t>
      </w:r>
      <w:proofErr w:type="spellEnd"/>
      <w:r w:rsidRPr="00C56257">
        <w:rPr>
          <w:rFonts w:eastAsia="Calibri"/>
          <w:lang w:val="en-GB"/>
        </w:rPr>
        <w:t xml:space="preserve"> sub </w:t>
      </w:r>
      <w:proofErr w:type="spellStart"/>
      <w:r w:rsidRPr="00C56257">
        <w:rPr>
          <w:rFonts w:eastAsia="Calibri"/>
          <w:lang w:val="en-GB"/>
        </w:rPr>
        <w:t>denumirea</w:t>
      </w:r>
      <w:proofErr w:type="spellEnd"/>
      <w:r w:rsidRPr="00C56257">
        <w:rPr>
          <w:rFonts w:eastAsia="Calibri"/>
          <w:lang w:val="en-GB"/>
        </w:rPr>
        <w:t xml:space="preserve"> de </w:t>
      </w:r>
      <w:proofErr w:type="spellStart"/>
      <w:r w:rsidRPr="00C56257">
        <w:rPr>
          <w:rFonts w:eastAsia="Calibri"/>
          <w:lang w:val="en-GB"/>
        </w:rPr>
        <w:t>recifi</w:t>
      </w:r>
      <w:proofErr w:type="spellEnd"/>
      <w:r w:rsidRPr="00C56257">
        <w:rPr>
          <w:rFonts w:eastAsia="Calibri"/>
          <w:lang w:val="en-GB"/>
        </w:rPr>
        <w:t xml:space="preserve"> cu </w:t>
      </w:r>
      <w:proofErr w:type="spellStart"/>
      <w:r w:rsidRPr="00C56257">
        <w:rPr>
          <w:rFonts w:eastAsia="Calibri"/>
          <w:lang w:val="en-GB"/>
        </w:rPr>
        <w:t>emisii</w:t>
      </w:r>
      <w:proofErr w:type="spellEnd"/>
      <w:r w:rsidRPr="00C56257">
        <w:rPr>
          <w:rFonts w:eastAsia="Calibri"/>
          <w:lang w:val="en-GB"/>
        </w:rPr>
        <w:t xml:space="preserve"> de bule. </w:t>
      </w:r>
      <w:proofErr w:type="spellStart"/>
      <w:r w:rsidRPr="00C56257">
        <w:rPr>
          <w:rFonts w:eastAsia="Calibri"/>
          <w:lang w:val="en-GB"/>
        </w:rPr>
        <w:t>Aceste</w:t>
      </w:r>
      <w:proofErr w:type="spellEnd"/>
      <w:r w:rsidRPr="00C56257">
        <w:rPr>
          <w:rFonts w:eastAsia="Calibri"/>
          <w:lang w:val="en-GB"/>
        </w:rPr>
        <w:t xml:space="preserve"> </w:t>
      </w:r>
      <w:proofErr w:type="spellStart"/>
      <w:r w:rsidRPr="00C56257">
        <w:rPr>
          <w:rFonts w:eastAsia="Calibri"/>
          <w:lang w:val="en-GB"/>
        </w:rPr>
        <w:t>formaţiuni</w:t>
      </w:r>
      <w:proofErr w:type="spellEnd"/>
      <w:r w:rsidRPr="00C56257">
        <w:rPr>
          <w:rFonts w:eastAsia="Calibri"/>
          <w:lang w:val="en-GB"/>
        </w:rPr>
        <w:t xml:space="preserve"> </w:t>
      </w:r>
      <w:proofErr w:type="spellStart"/>
      <w:r w:rsidRPr="00C56257">
        <w:rPr>
          <w:rFonts w:eastAsia="Calibri"/>
          <w:lang w:val="en-GB"/>
        </w:rPr>
        <w:t>susţin</w:t>
      </w:r>
      <w:proofErr w:type="spellEnd"/>
      <w:r w:rsidRPr="00C56257">
        <w:rPr>
          <w:rFonts w:eastAsia="Calibri"/>
          <w:lang w:val="en-GB"/>
        </w:rPr>
        <w:t xml:space="preserve"> o </w:t>
      </w:r>
      <w:proofErr w:type="spellStart"/>
      <w:r w:rsidRPr="00C56257">
        <w:rPr>
          <w:rFonts w:eastAsia="Calibri"/>
          <w:lang w:val="en-GB"/>
        </w:rPr>
        <w:t>zonare</w:t>
      </w:r>
      <w:proofErr w:type="spellEnd"/>
      <w:r w:rsidRPr="00C56257">
        <w:rPr>
          <w:rFonts w:eastAsia="Calibri"/>
          <w:lang w:val="en-GB"/>
        </w:rPr>
        <w:t xml:space="preserve"> a </w:t>
      </w:r>
      <w:proofErr w:type="spellStart"/>
      <w:r w:rsidRPr="00C56257">
        <w:rPr>
          <w:rFonts w:eastAsia="Calibri"/>
          <w:lang w:val="en-GB"/>
        </w:rPr>
        <w:t>diferitelor</w:t>
      </w:r>
      <w:proofErr w:type="spellEnd"/>
      <w:r w:rsidRPr="00C56257">
        <w:rPr>
          <w:rFonts w:eastAsia="Calibri"/>
          <w:lang w:val="en-GB"/>
        </w:rPr>
        <w:t xml:space="preserve"> </w:t>
      </w:r>
      <w:proofErr w:type="spellStart"/>
      <w:r w:rsidRPr="00C56257">
        <w:rPr>
          <w:rFonts w:eastAsia="Calibri"/>
          <w:lang w:val="en-GB"/>
        </w:rPr>
        <w:t>comunităţi</w:t>
      </w:r>
      <w:proofErr w:type="spellEnd"/>
      <w:r w:rsidRPr="00C56257">
        <w:rPr>
          <w:rFonts w:eastAsia="Calibri"/>
          <w:lang w:val="en-GB"/>
        </w:rPr>
        <w:t xml:space="preserve"> </w:t>
      </w:r>
      <w:proofErr w:type="spellStart"/>
      <w:r w:rsidRPr="00C56257">
        <w:rPr>
          <w:rFonts w:eastAsia="Calibri"/>
          <w:lang w:val="en-GB"/>
        </w:rPr>
        <w:t>bentonice</w:t>
      </w:r>
      <w:proofErr w:type="spellEnd"/>
      <w:r w:rsidRPr="00C56257">
        <w:rPr>
          <w:rFonts w:eastAsia="Calibri"/>
          <w:lang w:val="en-GB"/>
        </w:rPr>
        <w:t xml:space="preserve"> </w:t>
      </w:r>
      <w:proofErr w:type="spellStart"/>
      <w:r w:rsidRPr="00C56257">
        <w:rPr>
          <w:rFonts w:eastAsia="Calibri"/>
          <w:lang w:val="en-GB"/>
        </w:rPr>
        <w:t>constând</w:t>
      </w:r>
      <w:proofErr w:type="spellEnd"/>
      <w:r w:rsidRPr="00C56257">
        <w:rPr>
          <w:rFonts w:eastAsia="Calibri"/>
          <w:lang w:val="en-GB"/>
        </w:rPr>
        <w:t xml:space="preserve"> din </w:t>
      </w:r>
      <w:proofErr w:type="spellStart"/>
      <w:r w:rsidRPr="00C56257">
        <w:rPr>
          <w:rFonts w:eastAsia="Calibri"/>
          <w:lang w:val="en-GB"/>
        </w:rPr>
        <w:t>alge</w:t>
      </w:r>
      <w:proofErr w:type="spellEnd"/>
      <w:r w:rsidRPr="00C56257">
        <w:rPr>
          <w:rFonts w:eastAsia="Calibri"/>
          <w:lang w:val="en-GB"/>
        </w:rPr>
        <w:t xml:space="preserve"> </w:t>
      </w:r>
      <w:proofErr w:type="spellStart"/>
      <w:r w:rsidRPr="00C56257">
        <w:rPr>
          <w:rFonts w:eastAsia="Calibri"/>
          <w:lang w:val="en-GB"/>
        </w:rPr>
        <w:t>şi</w:t>
      </w:r>
      <w:proofErr w:type="spellEnd"/>
      <w:r w:rsidRPr="00C56257">
        <w:rPr>
          <w:rFonts w:eastAsia="Calibri"/>
          <w:lang w:val="en-GB"/>
        </w:rPr>
        <w:t>/</w:t>
      </w:r>
      <w:proofErr w:type="spellStart"/>
      <w:r w:rsidRPr="00C56257">
        <w:rPr>
          <w:rFonts w:eastAsia="Calibri"/>
          <w:lang w:val="en-GB"/>
        </w:rPr>
        <w:t>sau</w:t>
      </w:r>
      <w:proofErr w:type="spellEnd"/>
      <w:r w:rsidRPr="00C56257">
        <w:rPr>
          <w:rFonts w:eastAsia="Calibri"/>
          <w:lang w:val="en-GB"/>
        </w:rPr>
        <w:t xml:space="preserve"> </w:t>
      </w:r>
      <w:proofErr w:type="spellStart"/>
      <w:r w:rsidRPr="00C56257">
        <w:rPr>
          <w:rFonts w:eastAsia="Calibri"/>
          <w:lang w:val="en-GB"/>
        </w:rPr>
        <w:t>nevertebrate</w:t>
      </w:r>
      <w:proofErr w:type="spellEnd"/>
      <w:r w:rsidRPr="00C56257">
        <w:rPr>
          <w:rFonts w:eastAsia="Calibri"/>
          <w:lang w:val="en-GB"/>
        </w:rPr>
        <w:t xml:space="preserve"> </w:t>
      </w:r>
      <w:proofErr w:type="spellStart"/>
      <w:r w:rsidRPr="00C56257">
        <w:rPr>
          <w:rFonts w:eastAsia="Calibri"/>
          <w:lang w:val="en-GB"/>
        </w:rPr>
        <w:t>specifice</w:t>
      </w:r>
      <w:proofErr w:type="spellEnd"/>
      <w:r w:rsidRPr="00C56257">
        <w:rPr>
          <w:rFonts w:eastAsia="Calibri"/>
          <w:lang w:val="en-GB"/>
        </w:rPr>
        <w:t xml:space="preserve"> </w:t>
      </w:r>
      <w:proofErr w:type="spellStart"/>
      <w:r w:rsidRPr="00C56257">
        <w:rPr>
          <w:rFonts w:eastAsia="Calibri"/>
          <w:lang w:val="en-GB"/>
        </w:rPr>
        <w:t>substratelor</w:t>
      </w:r>
      <w:proofErr w:type="spellEnd"/>
      <w:r w:rsidRPr="00C56257">
        <w:rPr>
          <w:rFonts w:eastAsia="Calibri"/>
          <w:lang w:val="en-GB"/>
        </w:rPr>
        <w:t xml:space="preserve"> </w:t>
      </w:r>
      <w:r w:rsidRPr="00C56257">
        <w:rPr>
          <w:rFonts w:eastAsia="Calibri"/>
          <w:lang w:val="en-GB"/>
        </w:rPr>
        <w:lastRenderedPageBreak/>
        <w:t xml:space="preserve">marine dure, </w:t>
      </w:r>
      <w:proofErr w:type="spellStart"/>
      <w:r w:rsidRPr="00C56257">
        <w:rPr>
          <w:rFonts w:eastAsia="Calibri"/>
          <w:lang w:val="en-GB"/>
        </w:rPr>
        <w:t>diferite</w:t>
      </w:r>
      <w:proofErr w:type="spellEnd"/>
      <w:r w:rsidRPr="00C56257">
        <w:rPr>
          <w:rFonts w:eastAsia="Calibri"/>
          <w:lang w:val="en-GB"/>
        </w:rPr>
        <w:t xml:space="preserve"> de </w:t>
      </w:r>
      <w:proofErr w:type="spellStart"/>
      <w:r w:rsidRPr="00C56257">
        <w:rPr>
          <w:rFonts w:eastAsia="Calibri"/>
          <w:lang w:val="en-GB"/>
        </w:rPr>
        <w:t>cele</w:t>
      </w:r>
      <w:proofErr w:type="spellEnd"/>
      <w:r w:rsidRPr="00C56257">
        <w:rPr>
          <w:rFonts w:eastAsia="Calibri"/>
          <w:lang w:val="en-GB"/>
        </w:rPr>
        <w:t xml:space="preserve"> ale </w:t>
      </w:r>
      <w:proofErr w:type="spellStart"/>
      <w:r w:rsidRPr="00C56257">
        <w:rPr>
          <w:rFonts w:eastAsia="Calibri"/>
          <w:lang w:val="en-GB"/>
        </w:rPr>
        <w:t>habitatului</w:t>
      </w:r>
      <w:proofErr w:type="spellEnd"/>
      <w:r w:rsidRPr="00C56257">
        <w:rPr>
          <w:rFonts w:eastAsia="Calibri"/>
          <w:lang w:val="en-GB"/>
        </w:rPr>
        <w:t xml:space="preserve"> </w:t>
      </w:r>
      <w:proofErr w:type="spellStart"/>
      <w:r w:rsidRPr="00C56257">
        <w:rPr>
          <w:rFonts w:eastAsia="Calibri"/>
          <w:lang w:val="en-GB"/>
        </w:rPr>
        <w:t>înconjurător</w:t>
      </w:r>
      <w:proofErr w:type="spellEnd"/>
      <w:r w:rsidRPr="00C56257">
        <w:rPr>
          <w:rFonts w:eastAsia="Calibri"/>
          <w:lang w:val="en-GB"/>
        </w:rPr>
        <w:t xml:space="preserve">. </w:t>
      </w:r>
      <w:proofErr w:type="spellStart"/>
      <w:r w:rsidRPr="00C56257">
        <w:rPr>
          <w:rFonts w:eastAsia="Calibri"/>
          <w:lang w:val="en-GB"/>
        </w:rPr>
        <w:t>Animalele</w:t>
      </w:r>
      <w:proofErr w:type="spellEnd"/>
      <w:r w:rsidRPr="00C56257">
        <w:rPr>
          <w:rFonts w:eastAsia="Calibri"/>
          <w:lang w:val="en-GB"/>
        </w:rPr>
        <w:t xml:space="preserve"> </w:t>
      </w:r>
      <w:proofErr w:type="spellStart"/>
      <w:r w:rsidRPr="00C56257">
        <w:rPr>
          <w:rFonts w:eastAsia="Calibri"/>
          <w:lang w:val="en-GB"/>
        </w:rPr>
        <w:t>ce</w:t>
      </w:r>
      <w:proofErr w:type="spellEnd"/>
      <w:r w:rsidRPr="00C56257">
        <w:rPr>
          <w:rFonts w:eastAsia="Calibri"/>
          <w:lang w:val="en-GB"/>
        </w:rPr>
        <w:t xml:space="preserve"> </w:t>
      </w:r>
      <w:proofErr w:type="spellStart"/>
      <w:r w:rsidRPr="00C56257">
        <w:rPr>
          <w:rFonts w:eastAsia="Calibri"/>
          <w:lang w:val="en-GB"/>
        </w:rPr>
        <w:t>îşi</w:t>
      </w:r>
      <w:proofErr w:type="spellEnd"/>
      <w:r w:rsidRPr="00C56257">
        <w:rPr>
          <w:rFonts w:eastAsia="Calibri"/>
          <w:lang w:val="en-GB"/>
        </w:rPr>
        <w:t xml:space="preserve"> </w:t>
      </w:r>
      <w:proofErr w:type="spellStart"/>
      <w:r w:rsidRPr="00C56257">
        <w:rPr>
          <w:rFonts w:eastAsia="Calibri"/>
          <w:lang w:val="en-GB"/>
        </w:rPr>
        <w:t>caută</w:t>
      </w:r>
      <w:proofErr w:type="spellEnd"/>
      <w:r w:rsidRPr="00C56257">
        <w:rPr>
          <w:rFonts w:eastAsia="Calibri"/>
          <w:lang w:val="en-GB"/>
        </w:rPr>
        <w:t xml:space="preserve"> </w:t>
      </w:r>
      <w:proofErr w:type="spellStart"/>
      <w:r w:rsidRPr="00C56257">
        <w:rPr>
          <w:rFonts w:eastAsia="Calibri"/>
          <w:lang w:val="en-GB"/>
        </w:rPr>
        <w:t>adăpost</w:t>
      </w:r>
      <w:proofErr w:type="spellEnd"/>
      <w:r w:rsidRPr="00C56257">
        <w:rPr>
          <w:rFonts w:eastAsia="Calibri"/>
          <w:lang w:val="en-GB"/>
        </w:rPr>
        <w:t xml:space="preserve"> </w:t>
      </w:r>
      <w:proofErr w:type="spellStart"/>
      <w:r w:rsidRPr="00C56257">
        <w:rPr>
          <w:rFonts w:eastAsia="Calibri"/>
          <w:lang w:val="en-GB"/>
        </w:rPr>
        <w:t>în</w:t>
      </w:r>
      <w:proofErr w:type="spellEnd"/>
      <w:r w:rsidRPr="00C56257">
        <w:rPr>
          <w:rFonts w:eastAsia="Calibri"/>
          <w:lang w:val="en-GB"/>
        </w:rPr>
        <w:t xml:space="preserve"> </w:t>
      </w:r>
      <w:proofErr w:type="spellStart"/>
      <w:r w:rsidRPr="00C56257">
        <w:rPr>
          <w:rFonts w:eastAsia="Calibri"/>
          <w:lang w:val="en-GB"/>
        </w:rPr>
        <w:t>numeroasele</w:t>
      </w:r>
      <w:proofErr w:type="spellEnd"/>
      <w:r w:rsidRPr="00C56257">
        <w:rPr>
          <w:rFonts w:eastAsia="Calibri"/>
          <w:lang w:val="en-GB"/>
        </w:rPr>
        <w:t xml:space="preserve"> </w:t>
      </w:r>
      <w:proofErr w:type="spellStart"/>
      <w:r w:rsidRPr="00C56257">
        <w:rPr>
          <w:rFonts w:eastAsia="Calibri"/>
          <w:lang w:val="en-GB"/>
        </w:rPr>
        <w:t>crevase</w:t>
      </w:r>
      <w:proofErr w:type="spellEnd"/>
      <w:r w:rsidRPr="00C56257">
        <w:rPr>
          <w:rFonts w:eastAsia="Calibri"/>
          <w:lang w:val="en-GB"/>
        </w:rPr>
        <w:t xml:space="preserve"> </w:t>
      </w:r>
      <w:proofErr w:type="spellStart"/>
      <w:r w:rsidRPr="00C56257">
        <w:rPr>
          <w:rFonts w:eastAsia="Calibri"/>
          <w:lang w:val="en-GB"/>
        </w:rPr>
        <w:t>contribuie</w:t>
      </w:r>
      <w:proofErr w:type="spellEnd"/>
      <w:r w:rsidRPr="00C56257">
        <w:rPr>
          <w:rFonts w:eastAsia="Calibri"/>
          <w:lang w:val="en-GB"/>
        </w:rPr>
        <w:t xml:space="preserve"> la </w:t>
      </w:r>
      <w:proofErr w:type="spellStart"/>
      <w:r w:rsidRPr="00C56257">
        <w:rPr>
          <w:rFonts w:eastAsia="Calibri"/>
          <w:lang w:val="en-GB"/>
        </w:rPr>
        <w:t>sporirea</w:t>
      </w:r>
      <w:proofErr w:type="spellEnd"/>
      <w:r w:rsidRPr="00C56257">
        <w:rPr>
          <w:rFonts w:eastAsia="Calibri"/>
          <w:lang w:val="en-GB"/>
        </w:rPr>
        <w:t xml:space="preserve"> </w:t>
      </w:r>
      <w:proofErr w:type="spellStart"/>
      <w:r w:rsidRPr="00C56257">
        <w:rPr>
          <w:rFonts w:eastAsia="Calibri"/>
          <w:lang w:val="en-GB"/>
        </w:rPr>
        <w:t>biodiversităţii</w:t>
      </w:r>
      <w:proofErr w:type="spellEnd"/>
      <w:r w:rsidRPr="00C56257">
        <w:rPr>
          <w:rFonts w:eastAsia="Calibri"/>
          <w:lang w:val="en-GB"/>
        </w:rPr>
        <w:t xml:space="preserve">. </w:t>
      </w:r>
      <w:proofErr w:type="spellStart"/>
      <w:r w:rsidRPr="00C56257">
        <w:rPr>
          <w:rFonts w:eastAsia="Calibri"/>
          <w:lang w:val="en-GB"/>
        </w:rPr>
        <w:t>În</w:t>
      </w:r>
      <w:proofErr w:type="spellEnd"/>
      <w:r w:rsidRPr="00C56257">
        <w:rPr>
          <w:rFonts w:eastAsia="Calibri"/>
          <w:lang w:val="en-GB"/>
        </w:rPr>
        <w:t xml:space="preserve"> </w:t>
      </w:r>
      <w:proofErr w:type="spellStart"/>
      <w:r w:rsidRPr="00C56257">
        <w:rPr>
          <w:rFonts w:eastAsia="Calibri"/>
          <w:lang w:val="en-GB"/>
        </w:rPr>
        <w:t>acest</w:t>
      </w:r>
      <w:proofErr w:type="spellEnd"/>
      <w:r w:rsidRPr="00C56257">
        <w:rPr>
          <w:rFonts w:eastAsia="Calibri"/>
          <w:lang w:val="en-GB"/>
        </w:rPr>
        <w:t xml:space="preserve"> habitat </w:t>
      </w:r>
      <w:proofErr w:type="spellStart"/>
      <w:r w:rsidRPr="00C56257">
        <w:rPr>
          <w:rFonts w:eastAsia="Calibri"/>
          <w:lang w:val="en-GB"/>
        </w:rPr>
        <w:t>este</w:t>
      </w:r>
      <w:proofErr w:type="spellEnd"/>
      <w:r w:rsidRPr="00C56257">
        <w:rPr>
          <w:rFonts w:eastAsia="Calibri"/>
          <w:lang w:val="en-GB"/>
        </w:rPr>
        <w:t xml:space="preserve"> </w:t>
      </w:r>
      <w:proofErr w:type="spellStart"/>
      <w:r w:rsidRPr="00C56257">
        <w:rPr>
          <w:rFonts w:eastAsia="Calibri"/>
          <w:lang w:val="en-GB"/>
        </w:rPr>
        <w:t>inclusă</w:t>
      </w:r>
      <w:proofErr w:type="spellEnd"/>
      <w:r w:rsidRPr="00C56257">
        <w:rPr>
          <w:rFonts w:eastAsia="Calibri"/>
          <w:lang w:val="en-GB"/>
        </w:rPr>
        <w:t xml:space="preserve"> o </w:t>
      </w:r>
      <w:proofErr w:type="spellStart"/>
      <w:r w:rsidRPr="00C56257">
        <w:rPr>
          <w:rFonts w:eastAsia="Calibri"/>
          <w:lang w:val="en-GB"/>
        </w:rPr>
        <w:t>varietate</w:t>
      </w:r>
      <w:proofErr w:type="spellEnd"/>
      <w:r w:rsidRPr="00C56257">
        <w:rPr>
          <w:rFonts w:eastAsia="Calibri"/>
          <w:lang w:val="en-GB"/>
        </w:rPr>
        <w:t xml:space="preserve"> de </w:t>
      </w:r>
      <w:proofErr w:type="spellStart"/>
      <w:r w:rsidRPr="00C56257">
        <w:rPr>
          <w:rFonts w:eastAsia="Calibri"/>
          <w:lang w:val="en-GB"/>
        </w:rPr>
        <w:t>forme</w:t>
      </w:r>
      <w:proofErr w:type="spellEnd"/>
      <w:r w:rsidRPr="00C56257">
        <w:rPr>
          <w:rFonts w:eastAsia="Calibri"/>
          <w:lang w:val="en-GB"/>
        </w:rPr>
        <w:t xml:space="preserve"> </w:t>
      </w:r>
      <w:proofErr w:type="spellStart"/>
      <w:r w:rsidRPr="00C56257">
        <w:rPr>
          <w:rFonts w:eastAsia="Calibri"/>
          <w:lang w:val="en-GB"/>
        </w:rPr>
        <w:t>topografice</w:t>
      </w:r>
      <w:proofErr w:type="spellEnd"/>
      <w:r w:rsidRPr="00C56257">
        <w:rPr>
          <w:rFonts w:eastAsia="Calibri"/>
          <w:lang w:val="en-GB"/>
        </w:rPr>
        <w:t xml:space="preserve"> </w:t>
      </w:r>
      <w:proofErr w:type="spellStart"/>
      <w:r w:rsidRPr="00C56257">
        <w:rPr>
          <w:rFonts w:eastAsia="Calibri"/>
          <w:lang w:val="en-GB"/>
        </w:rPr>
        <w:t>infralitorale</w:t>
      </w:r>
      <w:proofErr w:type="spellEnd"/>
      <w:r w:rsidRPr="00C56257">
        <w:rPr>
          <w:rFonts w:eastAsia="Calibri"/>
          <w:lang w:val="en-GB"/>
        </w:rPr>
        <w:t xml:space="preserve">, precum: </w:t>
      </w:r>
      <w:proofErr w:type="spellStart"/>
      <w:r w:rsidRPr="00C56257">
        <w:rPr>
          <w:rFonts w:eastAsia="Calibri"/>
          <w:lang w:val="en-GB"/>
        </w:rPr>
        <w:t>surplombe</w:t>
      </w:r>
      <w:proofErr w:type="spellEnd"/>
      <w:r w:rsidRPr="00C56257">
        <w:rPr>
          <w:rFonts w:eastAsia="Calibri"/>
          <w:lang w:val="en-GB"/>
        </w:rPr>
        <w:t xml:space="preserve">, </w:t>
      </w:r>
      <w:proofErr w:type="spellStart"/>
      <w:r w:rsidRPr="00C56257">
        <w:rPr>
          <w:rFonts w:eastAsia="Calibri"/>
          <w:lang w:val="en-GB"/>
        </w:rPr>
        <w:t>coloane</w:t>
      </w:r>
      <w:proofErr w:type="spellEnd"/>
      <w:r w:rsidRPr="00C56257">
        <w:rPr>
          <w:rFonts w:eastAsia="Calibri"/>
          <w:lang w:val="en-GB"/>
        </w:rPr>
        <w:t xml:space="preserve"> </w:t>
      </w:r>
      <w:proofErr w:type="spellStart"/>
      <w:r w:rsidRPr="00C56257">
        <w:rPr>
          <w:rFonts w:eastAsia="Calibri"/>
          <w:lang w:val="en-GB"/>
        </w:rPr>
        <w:t>şi</w:t>
      </w:r>
      <w:proofErr w:type="spellEnd"/>
      <w:r w:rsidRPr="00C56257">
        <w:rPr>
          <w:rFonts w:eastAsia="Calibri"/>
          <w:lang w:val="en-GB"/>
        </w:rPr>
        <w:t xml:space="preserve"> </w:t>
      </w:r>
      <w:proofErr w:type="spellStart"/>
      <w:r w:rsidRPr="00C56257">
        <w:rPr>
          <w:rFonts w:eastAsia="Calibri"/>
          <w:lang w:val="en-GB"/>
        </w:rPr>
        <w:t>structuri</w:t>
      </w:r>
      <w:proofErr w:type="spellEnd"/>
      <w:r w:rsidRPr="00C56257">
        <w:rPr>
          <w:rFonts w:eastAsia="Calibri"/>
          <w:lang w:val="en-GB"/>
        </w:rPr>
        <w:t xml:space="preserve"> </w:t>
      </w:r>
      <w:proofErr w:type="spellStart"/>
      <w:r w:rsidRPr="00C56257">
        <w:rPr>
          <w:rFonts w:eastAsia="Calibri"/>
          <w:lang w:val="en-GB"/>
        </w:rPr>
        <w:t>stratificate</w:t>
      </w:r>
      <w:proofErr w:type="spellEnd"/>
      <w:r w:rsidRPr="00C56257">
        <w:rPr>
          <w:rFonts w:eastAsia="Calibri"/>
          <w:lang w:val="en-GB"/>
        </w:rPr>
        <w:t xml:space="preserve"> </w:t>
      </w:r>
      <w:proofErr w:type="spellStart"/>
      <w:r w:rsidRPr="00C56257">
        <w:rPr>
          <w:rFonts w:eastAsia="Calibri"/>
          <w:lang w:val="en-GB"/>
        </w:rPr>
        <w:t>asemănătoare</w:t>
      </w:r>
      <w:proofErr w:type="spellEnd"/>
      <w:r w:rsidRPr="00C56257">
        <w:rPr>
          <w:rFonts w:eastAsia="Calibri"/>
          <w:lang w:val="en-GB"/>
        </w:rPr>
        <w:t xml:space="preserve"> </w:t>
      </w:r>
      <w:proofErr w:type="spellStart"/>
      <w:r w:rsidRPr="00C56257">
        <w:rPr>
          <w:rFonts w:eastAsia="Calibri"/>
          <w:lang w:val="en-GB"/>
        </w:rPr>
        <w:t>frunzelor</w:t>
      </w:r>
      <w:proofErr w:type="spellEnd"/>
      <w:r w:rsidRPr="00C56257">
        <w:rPr>
          <w:rFonts w:eastAsia="Calibri"/>
          <w:lang w:val="en-GB"/>
        </w:rPr>
        <w:t xml:space="preserve"> cu </w:t>
      </w:r>
      <w:proofErr w:type="spellStart"/>
      <w:r w:rsidRPr="00C56257">
        <w:rPr>
          <w:rFonts w:eastAsia="Calibri"/>
          <w:lang w:val="en-GB"/>
        </w:rPr>
        <w:t>numeroase</w:t>
      </w:r>
      <w:proofErr w:type="spellEnd"/>
      <w:r w:rsidRPr="00C56257">
        <w:rPr>
          <w:rFonts w:eastAsia="Calibri"/>
          <w:lang w:val="en-GB"/>
        </w:rPr>
        <w:t xml:space="preserve"> </w:t>
      </w:r>
      <w:proofErr w:type="spellStart"/>
      <w:r w:rsidRPr="00C56257">
        <w:rPr>
          <w:rFonts w:eastAsia="Calibri"/>
          <w:lang w:val="en-GB"/>
        </w:rPr>
        <w:t>interstiţii</w:t>
      </w:r>
      <w:proofErr w:type="spellEnd"/>
      <w:r w:rsidRPr="00C56257">
        <w:rPr>
          <w:rFonts w:eastAsia="Calibri"/>
          <w:lang w:val="en-GB"/>
        </w:rPr>
        <w:t>.</w:t>
      </w:r>
    </w:p>
    <w:p w14:paraId="2B730B24" w14:textId="77777777" w:rsidR="00FC026B" w:rsidRPr="00C56257" w:rsidRDefault="00FC026B" w:rsidP="00FC026B">
      <w:pPr>
        <w:ind w:firstLine="720"/>
        <w:jc w:val="both"/>
        <w:rPr>
          <w:rFonts w:eastAsia="Calibri"/>
          <w:lang w:val="en-GB"/>
        </w:rPr>
      </w:pPr>
      <w:r w:rsidRPr="00C56257">
        <w:rPr>
          <w:rFonts w:eastAsia="Calibri"/>
          <w:lang w:val="en-GB"/>
        </w:rPr>
        <w:t xml:space="preserve">Cel de-al </w:t>
      </w:r>
      <w:proofErr w:type="spellStart"/>
      <w:r w:rsidRPr="00C56257">
        <w:rPr>
          <w:rFonts w:eastAsia="Calibri"/>
          <w:lang w:val="en-GB"/>
        </w:rPr>
        <w:t>doilea</w:t>
      </w:r>
      <w:proofErr w:type="spellEnd"/>
      <w:r w:rsidRPr="00C56257">
        <w:rPr>
          <w:rFonts w:eastAsia="Calibri"/>
          <w:lang w:val="en-GB"/>
        </w:rPr>
        <w:t xml:space="preserve"> tip </w:t>
      </w:r>
      <w:proofErr w:type="spellStart"/>
      <w:r w:rsidRPr="00C56257">
        <w:rPr>
          <w:rFonts w:eastAsia="Calibri"/>
          <w:lang w:val="en-GB"/>
        </w:rPr>
        <w:t>constă</w:t>
      </w:r>
      <w:proofErr w:type="spellEnd"/>
      <w:r w:rsidRPr="00C56257">
        <w:rPr>
          <w:rFonts w:eastAsia="Calibri"/>
          <w:lang w:val="en-GB"/>
        </w:rPr>
        <w:t xml:space="preserve"> </w:t>
      </w:r>
      <w:proofErr w:type="spellStart"/>
      <w:r w:rsidRPr="00C56257">
        <w:rPr>
          <w:rFonts w:eastAsia="Calibri"/>
          <w:lang w:val="en-GB"/>
        </w:rPr>
        <w:t>în</w:t>
      </w:r>
      <w:proofErr w:type="spellEnd"/>
      <w:r w:rsidRPr="00C56257">
        <w:rPr>
          <w:rFonts w:eastAsia="Calibri"/>
          <w:lang w:val="en-GB"/>
        </w:rPr>
        <w:t xml:space="preserve"> </w:t>
      </w:r>
      <w:proofErr w:type="spellStart"/>
      <w:r w:rsidRPr="00C56257">
        <w:rPr>
          <w:rFonts w:eastAsia="Calibri"/>
          <w:lang w:val="en-GB"/>
        </w:rPr>
        <w:t>structurile</w:t>
      </w:r>
      <w:proofErr w:type="spellEnd"/>
      <w:r w:rsidRPr="00C56257">
        <w:rPr>
          <w:rFonts w:eastAsia="Calibri"/>
          <w:lang w:val="en-GB"/>
        </w:rPr>
        <w:t xml:space="preserve"> de </w:t>
      </w:r>
      <w:proofErr w:type="spellStart"/>
      <w:r w:rsidRPr="00C56257">
        <w:rPr>
          <w:rFonts w:eastAsia="Calibri"/>
          <w:lang w:val="en-GB"/>
        </w:rPr>
        <w:t>carbonaţi</w:t>
      </w:r>
      <w:proofErr w:type="spellEnd"/>
      <w:r w:rsidRPr="00C56257">
        <w:rPr>
          <w:rFonts w:eastAsia="Calibri"/>
          <w:lang w:val="en-GB"/>
        </w:rPr>
        <w:t xml:space="preserve"> din „</w:t>
      </w:r>
      <w:proofErr w:type="spellStart"/>
      <w:r w:rsidRPr="00C56257">
        <w:rPr>
          <w:rFonts w:eastAsia="Calibri"/>
          <w:lang w:val="en-GB"/>
        </w:rPr>
        <w:t>ciupituri</w:t>
      </w:r>
      <w:proofErr w:type="spellEnd"/>
      <w:r w:rsidRPr="00C56257">
        <w:rPr>
          <w:rFonts w:eastAsia="Calibri"/>
          <w:lang w:val="en-GB"/>
        </w:rPr>
        <w:t xml:space="preserve">”. </w:t>
      </w:r>
      <w:proofErr w:type="spellStart"/>
      <w:r w:rsidRPr="00C56257">
        <w:rPr>
          <w:rFonts w:eastAsia="Calibri"/>
          <w:lang w:val="en-GB"/>
        </w:rPr>
        <w:t>Acestea</w:t>
      </w:r>
      <w:proofErr w:type="spellEnd"/>
      <w:r w:rsidRPr="00C56257">
        <w:rPr>
          <w:rFonts w:eastAsia="Calibri"/>
          <w:lang w:val="en-GB"/>
        </w:rPr>
        <w:t xml:space="preserve"> sunt </w:t>
      </w:r>
      <w:proofErr w:type="spellStart"/>
      <w:r w:rsidRPr="00C56257">
        <w:rPr>
          <w:rFonts w:eastAsia="Calibri"/>
          <w:lang w:val="en-GB"/>
        </w:rPr>
        <w:t>depresiuni</w:t>
      </w:r>
      <w:proofErr w:type="spellEnd"/>
      <w:r w:rsidRPr="00C56257">
        <w:rPr>
          <w:rFonts w:eastAsia="Calibri"/>
          <w:lang w:val="en-GB"/>
        </w:rPr>
        <w:t xml:space="preserve"> de pe </w:t>
      </w:r>
      <w:proofErr w:type="spellStart"/>
      <w:r w:rsidRPr="00C56257">
        <w:rPr>
          <w:rFonts w:eastAsia="Calibri"/>
          <w:lang w:val="en-GB"/>
        </w:rPr>
        <w:t>funduri</w:t>
      </w:r>
      <w:proofErr w:type="spellEnd"/>
      <w:r w:rsidRPr="00C56257">
        <w:rPr>
          <w:rFonts w:eastAsia="Calibri"/>
          <w:lang w:val="en-GB"/>
        </w:rPr>
        <w:t xml:space="preserve"> </w:t>
      </w:r>
      <w:proofErr w:type="spellStart"/>
      <w:r w:rsidRPr="00C56257">
        <w:rPr>
          <w:rFonts w:eastAsia="Calibri"/>
          <w:lang w:val="en-GB"/>
        </w:rPr>
        <w:t>moi</w:t>
      </w:r>
      <w:proofErr w:type="spellEnd"/>
      <w:r w:rsidRPr="00C56257">
        <w:rPr>
          <w:rFonts w:eastAsia="Calibri"/>
          <w:lang w:val="en-GB"/>
        </w:rPr>
        <w:t xml:space="preserve"> </w:t>
      </w:r>
      <w:proofErr w:type="spellStart"/>
      <w:r w:rsidRPr="00C56257">
        <w:rPr>
          <w:rFonts w:eastAsia="Calibri"/>
          <w:lang w:val="en-GB"/>
        </w:rPr>
        <w:t>sedimentare</w:t>
      </w:r>
      <w:proofErr w:type="spellEnd"/>
      <w:r w:rsidRPr="00C56257">
        <w:rPr>
          <w:rFonts w:eastAsia="Calibri"/>
          <w:lang w:val="en-GB"/>
        </w:rPr>
        <w:t xml:space="preserve">, </w:t>
      </w:r>
      <w:proofErr w:type="spellStart"/>
      <w:r w:rsidRPr="00C56257">
        <w:rPr>
          <w:rFonts w:eastAsia="Calibri"/>
          <w:lang w:val="en-GB"/>
        </w:rPr>
        <w:t>având</w:t>
      </w:r>
      <w:proofErr w:type="spellEnd"/>
      <w:r w:rsidRPr="00C56257">
        <w:rPr>
          <w:rFonts w:eastAsia="Calibri"/>
          <w:lang w:val="en-GB"/>
        </w:rPr>
        <w:t xml:space="preserve"> o </w:t>
      </w:r>
      <w:proofErr w:type="spellStart"/>
      <w:r w:rsidRPr="00C56257">
        <w:rPr>
          <w:rFonts w:eastAsia="Calibri"/>
          <w:lang w:val="en-GB"/>
        </w:rPr>
        <w:t>adâncime</w:t>
      </w:r>
      <w:proofErr w:type="spellEnd"/>
      <w:r w:rsidRPr="00C56257">
        <w:rPr>
          <w:rFonts w:eastAsia="Calibri"/>
          <w:lang w:val="en-GB"/>
        </w:rPr>
        <w:t xml:space="preserve"> de maximum 45 m </w:t>
      </w:r>
      <w:proofErr w:type="spellStart"/>
      <w:r w:rsidRPr="00C56257">
        <w:rPr>
          <w:rFonts w:eastAsia="Calibri"/>
          <w:lang w:val="en-GB"/>
        </w:rPr>
        <w:t>şi</w:t>
      </w:r>
      <w:proofErr w:type="spellEnd"/>
      <w:r w:rsidRPr="00C56257">
        <w:rPr>
          <w:rFonts w:eastAsia="Calibri"/>
          <w:lang w:val="en-GB"/>
        </w:rPr>
        <w:t xml:space="preserve"> o </w:t>
      </w:r>
      <w:proofErr w:type="spellStart"/>
      <w:r w:rsidRPr="00C56257">
        <w:rPr>
          <w:rFonts w:eastAsia="Calibri"/>
          <w:lang w:val="en-GB"/>
        </w:rPr>
        <w:t>lăţime</w:t>
      </w:r>
      <w:proofErr w:type="spellEnd"/>
      <w:r w:rsidRPr="00C56257">
        <w:rPr>
          <w:rFonts w:eastAsia="Calibri"/>
          <w:lang w:val="en-GB"/>
        </w:rPr>
        <w:t xml:space="preserve"> de </w:t>
      </w:r>
      <w:proofErr w:type="spellStart"/>
      <w:r w:rsidRPr="00C56257">
        <w:rPr>
          <w:rFonts w:eastAsia="Calibri"/>
          <w:lang w:val="en-GB"/>
        </w:rPr>
        <w:t>câteva</w:t>
      </w:r>
      <w:proofErr w:type="spellEnd"/>
      <w:r w:rsidRPr="00C56257">
        <w:rPr>
          <w:rFonts w:eastAsia="Calibri"/>
          <w:lang w:val="en-GB"/>
        </w:rPr>
        <w:t xml:space="preserve"> </w:t>
      </w:r>
      <w:proofErr w:type="spellStart"/>
      <w:r w:rsidRPr="00C56257">
        <w:rPr>
          <w:rFonts w:eastAsia="Calibri"/>
          <w:lang w:val="en-GB"/>
        </w:rPr>
        <w:t>sute</w:t>
      </w:r>
      <w:proofErr w:type="spellEnd"/>
      <w:r w:rsidRPr="00C56257">
        <w:rPr>
          <w:rFonts w:eastAsia="Calibri"/>
          <w:lang w:val="en-GB"/>
        </w:rPr>
        <w:t xml:space="preserve"> de </w:t>
      </w:r>
      <w:proofErr w:type="spellStart"/>
      <w:r w:rsidRPr="00C56257">
        <w:rPr>
          <w:rFonts w:eastAsia="Calibri"/>
          <w:lang w:val="en-GB"/>
        </w:rPr>
        <w:t>metri</w:t>
      </w:r>
      <w:proofErr w:type="spellEnd"/>
      <w:r w:rsidRPr="00C56257">
        <w:rPr>
          <w:rFonts w:eastAsia="Calibri"/>
          <w:lang w:val="en-GB"/>
        </w:rPr>
        <w:t xml:space="preserve">. Nu </w:t>
      </w:r>
      <w:proofErr w:type="spellStart"/>
      <w:r w:rsidRPr="00C56257">
        <w:rPr>
          <w:rFonts w:eastAsia="Calibri"/>
          <w:lang w:val="en-GB"/>
        </w:rPr>
        <w:t>toate</w:t>
      </w:r>
      <w:proofErr w:type="spellEnd"/>
      <w:r w:rsidRPr="00C56257">
        <w:rPr>
          <w:rFonts w:eastAsia="Calibri"/>
          <w:lang w:val="en-GB"/>
        </w:rPr>
        <w:t xml:space="preserve"> </w:t>
      </w:r>
      <w:proofErr w:type="spellStart"/>
      <w:r w:rsidRPr="00C56257">
        <w:rPr>
          <w:rFonts w:eastAsia="Calibri"/>
          <w:lang w:val="en-GB"/>
        </w:rPr>
        <w:t>aceste</w:t>
      </w:r>
      <w:proofErr w:type="spellEnd"/>
      <w:r w:rsidRPr="00C56257">
        <w:rPr>
          <w:rFonts w:eastAsia="Calibri"/>
          <w:lang w:val="en-GB"/>
        </w:rPr>
        <w:t xml:space="preserve"> </w:t>
      </w:r>
      <w:proofErr w:type="spellStart"/>
      <w:r w:rsidRPr="00C56257">
        <w:rPr>
          <w:rFonts w:eastAsia="Calibri"/>
          <w:lang w:val="en-GB"/>
        </w:rPr>
        <w:t>depresiuni</w:t>
      </w:r>
      <w:proofErr w:type="spellEnd"/>
      <w:r w:rsidRPr="00C56257">
        <w:rPr>
          <w:rFonts w:eastAsia="Calibri"/>
          <w:lang w:val="en-GB"/>
        </w:rPr>
        <w:t xml:space="preserve"> sunt create de </w:t>
      </w:r>
      <w:proofErr w:type="spellStart"/>
      <w:r w:rsidRPr="00C56257">
        <w:rPr>
          <w:rFonts w:eastAsia="Calibri"/>
          <w:lang w:val="en-GB"/>
        </w:rPr>
        <w:t>emisii</w:t>
      </w:r>
      <w:proofErr w:type="spellEnd"/>
      <w:r w:rsidRPr="00C56257">
        <w:rPr>
          <w:rFonts w:eastAsia="Calibri"/>
          <w:lang w:val="en-GB"/>
        </w:rPr>
        <w:t xml:space="preserve"> de gaze, </w:t>
      </w:r>
      <w:proofErr w:type="spellStart"/>
      <w:r w:rsidRPr="00C56257">
        <w:rPr>
          <w:rFonts w:eastAsia="Calibri"/>
          <w:lang w:val="en-GB"/>
        </w:rPr>
        <w:t>iar</w:t>
      </w:r>
      <w:proofErr w:type="spellEnd"/>
      <w:r w:rsidRPr="00C56257">
        <w:rPr>
          <w:rFonts w:eastAsia="Calibri"/>
          <w:lang w:val="en-GB"/>
        </w:rPr>
        <w:t xml:space="preserve"> </w:t>
      </w:r>
      <w:proofErr w:type="spellStart"/>
      <w:r w:rsidRPr="00C56257">
        <w:rPr>
          <w:rFonts w:eastAsia="Calibri"/>
          <w:lang w:val="en-GB"/>
        </w:rPr>
        <w:t>dintre</w:t>
      </w:r>
      <w:proofErr w:type="spellEnd"/>
      <w:r w:rsidRPr="00C56257">
        <w:rPr>
          <w:rFonts w:eastAsia="Calibri"/>
          <w:lang w:val="en-GB"/>
        </w:rPr>
        <w:t xml:space="preserve"> </w:t>
      </w:r>
      <w:proofErr w:type="spellStart"/>
      <w:r w:rsidRPr="00C56257">
        <w:rPr>
          <w:rFonts w:eastAsia="Calibri"/>
          <w:lang w:val="en-GB"/>
        </w:rPr>
        <w:t>acestea</w:t>
      </w:r>
      <w:proofErr w:type="spellEnd"/>
      <w:r w:rsidRPr="00C56257">
        <w:rPr>
          <w:rFonts w:eastAsia="Calibri"/>
          <w:lang w:val="en-GB"/>
        </w:rPr>
        <w:t xml:space="preserve">, </w:t>
      </w:r>
      <w:proofErr w:type="spellStart"/>
      <w:r w:rsidRPr="00C56257">
        <w:rPr>
          <w:rFonts w:eastAsia="Calibri"/>
          <w:lang w:val="en-GB"/>
        </w:rPr>
        <w:t>multe</w:t>
      </w:r>
      <w:proofErr w:type="spellEnd"/>
      <w:r w:rsidRPr="00C56257">
        <w:rPr>
          <w:rFonts w:eastAsia="Calibri"/>
          <w:lang w:val="en-GB"/>
        </w:rPr>
        <w:t xml:space="preserve"> nu </w:t>
      </w:r>
      <w:proofErr w:type="spellStart"/>
      <w:r w:rsidRPr="00C56257">
        <w:rPr>
          <w:rFonts w:eastAsia="Calibri"/>
          <w:lang w:val="en-GB"/>
        </w:rPr>
        <w:t>conţin</w:t>
      </w:r>
      <w:proofErr w:type="spellEnd"/>
      <w:r w:rsidRPr="00C56257">
        <w:rPr>
          <w:rFonts w:eastAsia="Calibri"/>
          <w:lang w:val="en-GB"/>
        </w:rPr>
        <w:t xml:space="preserve"> </w:t>
      </w:r>
      <w:proofErr w:type="spellStart"/>
      <w:r w:rsidRPr="00C56257">
        <w:rPr>
          <w:rFonts w:eastAsia="Calibri"/>
          <w:lang w:val="en-GB"/>
        </w:rPr>
        <w:t>structuri</w:t>
      </w:r>
      <w:proofErr w:type="spellEnd"/>
      <w:r w:rsidRPr="00C56257">
        <w:rPr>
          <w:rFonts w:eastAsia="Calibri"/>
          <w:lang w:val="en-GB"/>
        </w:rPr>
        <w:t xml:space="preserve"> </w:t>
      </w:r>
      <w:proofErr w:type="spellStart"/>
      <w:r w:rsidRPr="00C56257">
        <w:rPr>
          <w:rFonts w:eastAsia="Calibri"/>
          <w:lang w:val="en-GB"/>
        </w:rPr>
        <w:t>substanţiale</w:t>
      </w:r>
      <w:proofErr w:type="spellEnd"/>
      <w:r w:rsidRPr="00C56257">
        <w:rPr>
          <w:rFonts w:eastAsia="Calibri"/>
          <w:lang w:val="en-GB"/>
        </w:rPr>
        <w:t xml:space="preserve"> de </w:t>
      </w:r>
      <w:proofErr w:type="spellStart"/>
      <w:r w:rsidRPr="00C56257">
        <w:rPr>
          <w:rFonts w:eastAsia="Calibri"/>
          <w:lang w:val="en-GB"/>
        </w:rPr>
        <w:t>carbonaţi</w:t>
      </w:r>
      <w:proofErr w:type="spellEnd"/>
      <w:r w:rsidRPr="00C56257">
        <w:rPr>
          <w:rFonts w:eastAsia="Calibri"/>
          <w:lang w:val="en-GB"/>
        </w:rPr>
        <w:t xml:space="preserve"> </w:t>
      </w:r>
      <w:proofErr w:type="spellStart"/>
      <w:r w:rsidRPr="00C56257">
        <w:rPr>
          <w:rFonts w:eastAsia="Calibri"/>
          <w:lang w:val="en-GB"/>
        </w:rPr>
        <w:t>şi</w:t>
      </w:r>
      <w:proofErr w:type="spellEnd"/>
      <w:r w:rsidRPr="00C56257">
        <w:rPr>
          <w:rFonts w:eastAsia="Calibri"/>
          <w:lang w:val="en-GB"/>
        </w:rPr>
        <w:t xml:space="preserve"> din </w:t>
      </w:r>
      <w:proofErr w:type="spellStart"/>
      <w:r w:rsidRPr="00C56257">
        <w:rPr>
          <w:rFonts w:eastAsia="Calibri"/>
          <w:lang w:val="en-GB"/>
        </w:rPr>
        <w:t>acest</w:t>
      </w:r>
      <w:proofErr w:type="spellEnd"/>
      <w:r w:rsidRPr="00C56257">
        <w:rPr>
          <w:rFonts w:eastAsia="Calibri"/>
          <w:lang w:val="en-GB"/>
        </w:rPr>
        <w:t xml:space="preserve"> </w:t>
      </w:r>
      <w:proofErr w:type="spellStart"/>
      <w:r w:rsidRPr="00C56257">
        <w:rPr>
          <w:rFonts w:eastAsia="Calibri"/>
          <w:lang w:val="en-GB"/>
        </w:rPr>
        <w:t>motiv</w:t>
      </w:r>
      <w:proofErr w:type="spellEnd"/>
      <w:r w:rsidRPr="00C56257">
        <w:rPr>
          <w:rFonts w:eastAsia="Calibri"/>
          <w:lang w:val="en-GB"/>
        </w:rPr>
        <w:t xml:space="preserve"> nu sunt </w:t>
      </w:r>
      <w:proofErr w:type="spellStart"/>
      <w:r w:rsidRPr="00C56257">
        <w:rPr>
          <w:rFonts w:eastAsia="Calibri"/>
          <w:lang w:val="en-GB"/>
        </w:rPr>
        <w:t>incluse</w:t>
      </w:r>
      <w:proofErr w:type="spellEnd"/>
      <w:r w:rsidRPr="00C56257">
        <w:rPr>
          <w:rFonts w:eastAsia="Calibri"/>
          <w:lang w:val="en-GB"/>
        </w:rPr>
        <w:t xml:space="preserve"> </w:t>
      </w:r>
      <w:proofErr w:type="spellStart"/>
      <w:r w:rsidRPr="00C56257">
        <w:rPr>
          <w:rFonts w:eastAsia="Calibri"/>
          <w:lang w:val="en-GB"/>
        </w:rPr>
        <w:t>în</w:t>
      </w:r>
      <w:proofErr w:type="spellEnd"/>
      <w:r w:rsidRPr="00C56257">
        <w:rPr>
          <w:rFonts w:eastAsia="Calibri"/>
          <w:lang w:val="en-GB"/>
        </w:rPr>
        <w:t xml:space="preserve"> </w:t>
      </w:r>
      <w:proofErr w:type="spellStart"/>
      <w:r w:rsidRPr="00C56257">
        <w:rPr>
          <w:rFonts w:eastAsia="Calibri"/>
          <w:lang w:val="en-GB"/>
        </w:rPr>
        <w:t>acest</w:t>
      </w:r>
      <w:proofErr w:type="spellEnd"/>
      <w:r w:rsidRPr="00C56257">
        <w:rPr>
          <w:rFonts w:eastAsia="Calibri"/>
          <w:lang w:val="en-GB"/>
        </w:rPr>
        <w:t xml:space="preserve"> habitat. </w:t>
      </w:r>
      <w:proofErr w:type="spellStart"/>
      <w:r w:rsidRPr="00C56257">
        <w:rPr>
          <w:rFonts w:eastAsia="Calibri"/>
          <w:lang w:val="en-GB"/>
        </w:rPr>
        <w:t>Comunităţile</w:t>
      </w:r>
      <w:proofErr w:type="spellEnd"/>
      <w:r w:rsidRPr="00C56257">
        <w:rPr>
          <w:rFonts w:eastAsia="Calibri"/>
          <w:lang w:val="en-GB"/>
        </w:rPr>
        <w:t xml:space="preserve"> </w:t>
      </w:r>
      <w:proofErr w:type="spellStart"/>
      <w:r w:rsidRPr="00C56257">
        <w:rPr>
          <w:rFonts w:eastAsia="Calibri"/>
          <w:lang w:val="en-GB"/>
        </w:rPr>
        <w:t>bentice</w:t>
      </w:r>
      <w:proofErr w:type="spellEnd"/>
      <w:r w:rsidRPr="00C56257">
        <w:rPr>
          <w:rFonts w:eastAsia="Calibri"/>
          <w:lang w:val="en-GB"/>
        </w:rPr>
        <w:t xml:space="preserve"> </w:t>
      </w:r>
      <w:proofErr w:type="spellStart"/>
      <w:r w:rsidRPr="00C56257">
        <w:rPr>
          <w:rFonts w:eastAsia="Calibri"/>
          <w:lang w:val="en-GB"/>
        </w:rPr>
        <w:t>constau</w:t>
      </w:r>
      <w:proofErr w:type="spellEnd"/>
      <w:r w:rsidRPr="00C56257">
        <w:rPr>
          <w:rFonts w:eastAsia="Calibri"/>
          <w:lang w:val="en-GB"/>
        </w:rPr>
        <w:t xml:space="preserve"> din </w:t>
      </w:r>
      <w:proofErr w:type="spellStart"/>
      <w:r w:rsidRPr="00C56257">
        <w:rPr>
          <w:rFonts w:eastAsia="Calibri"/>
          <w:lang w:val="en-GB"/>
        </w:rPr>
        <w:t>nevertebrate</w:t>
      </w:r>
      <w:proofErr w:type="spellEnd"/>
      <w:r w:rsidRPr="00C56257">
        <w:rPr>
          <w:rFonts w:eastAsia="Calibri"/>
          <w:lang w:val="en-GB"/>
        </w:rPr>
        <w:t xml:space="preserve"> </w:t>
      </w:r>
      <w:proofErr w:type="spellStart"/>
      <w:r w:rsidRPr="00C56257">
        <w:rPr>
          <w:rFonts w:eastAsia="Calibri"/>
          <w:lang w:val="en-GB"/>
        </w:rPr>
        <w:t>specifice</w:t>
      </w:r>
      <w:proofErr w:type="spellEnd"/>
      <w:r w:rsidRPr="00C56257">
        <w:rPr>
          <w:rFonts w:eastAsia="Calibri"/>
          <w:lang w:val="en-GB"/>
        </w:rPr>
        <w:t xml:space="preserve"> </w:t>
      </w:r>
      <w:proofErr w:type="spellStart"/>
      <w:r w:rsidRPr="00C56257">
        <w:rPr>
          <w:rFonts w:eastAsia="Calibri"/>
          <w:lang w:val="en-GB"/>
        </w:rPr>
        <w:t>substratelor</w:t>
      </w:r>
      <w:proofErr w:type="spellEnd"/>
      <w:r w:rsidRPr="00C56257">
        <w:rPr>
          <w:rFonts w:eastAsia="Calibri"/>
          <w:lang w:val="en-GB"/>
        </w:rPr>
        <w:t xml:space="preserve"> dure </w:t>
      </w:r>
      <w:proofErr w:type="spellStart"/>
      <w:r w:rsidRPr="00C56257">
        <w:rPr>
          <w:rFonts w:eastAsia="Calibri"/>
          <w:lang w:val="en-GB"/>
        </w:rPr>
        <w:t>şi</w:t>
      </w:r>
      <w:proofErr w:type="spellEnd"/>
      <w:r w:rsidRPr="00C56257">
        <w:rPr>
          <w:rFonts w:eastAsia="Calibri"/>
          <w:lang w:val="en-GB"/>
        </w:rPr>
        <w:t xml:space="preserve"> sunt </w:t>
      </w:r>
      <w:proofErr w:type="spellStart"/>
      <w:r w:rsidRPr="00C56257">
        <w:rPr>
          <w:rFonts w:eastAsia="Calibri"/>
          <w:lang w:val="en-GB"/>
        </w:rPr>
        <w:t>diferite</w:t>
      </w:r>
      <w:proofErr w:type="spellEnd"/>
      <w:r w:rsidRPr="00C56257">
        <w:rPr>
          <w:rFonts w:eastAsia="Calibri"/>
          <w:lang w:val="en-GB"/>
        </w:rPr>
        <w:t xml:space="preserve"> de </w:t>
      </w:r>
      <w:proofErr w:type="spellStart"/>
      <w:r w:rsidRPr="00C56257">
        <w:rPr>
          <w:rFonts w:eastAsia="Calibri"/>
          <w:lang w:val="en-GB"/>
        </w:rPr>
        <w:t>habitatul</w:t>
      </w:r>
      <w:proofErr w:type="spellEnd"/>
      <w:r w:rsidRPr="00C56257">
        <w:rPr>
          <w:rFonts w:eastAsia="Calibri"/>
          <w:lang w:val="en-GB"/>
        </w:rPr>
        <w:t xml:space="preserve"> </w:t>
      </w:r>
      <w:proofErr w:type="spellStart"/>
      <w:r w:rsidRPr="00C56257">
        <w:rPr>
          <w:rFonts w:eastAsia="Calibri"/>
          <w:lang w:val="en-GB"/>
        </w:rPr>
        <w:t>înconjurător</w:t>
      </w:r>
      <w:proofErr w:type="spellEnd"/>
      <w:r w:rsidRPr="00C56257">
        <w:rPr>
          <w:rFonts w:eastAsia="Calibri"/>
          <w:lang w:val="en-GB"/>
        </w:rPr>
        <w:t xml:space="preserve">, de </w:t>
      </w:r>
      <w:proofErr w:type="spellStart"/>
      <w:r w:rsidRPr="00C56257">
        <w:rPr>
          <w:rFonts w:eastAsia="Calibri"/>
          <w:lang w:val="en-GB"/>
        </w:rPr>
        <w:t>obicei</w:t>
      </w:r>
      <w:proofErr w:type="spellEnd"/>
      <w:r w:rsidRPr="00C56257">
        <w:rPr>
          <w:rFonts w:eastAsia="Calibri"/>
          <w:lang w:val="en-GB"/>
        </w:rPr>
        <w:t xml:space="preserve"> </w:t>
      </w:r>
      <w:proofErr w:type="spellStart"/>
      <w:r w:rsidRPr="00C56257">
        <w:rPr>
          <w:rFonts w:eastAsia="Calibri"/>
          <w:lang w:val="en-GB"/>
        </w:rPr>
        <w:t>mâlos</w:t>
      </w:r>
      <w:proofErr w:type="spellEnd"/>
      <w:r w:rsidRPr="00C56257">
        <w:rPr>
          <w:rFonts w:eastAsia="Calibri"/>
          <w:lang w:val="en-GB"/>
        </w:rPr>
        <w:t xml:space="preserve">. </w:t>
      </w:r>
      <w:proofErr w:type="spellStart"/>
      <w:r w:rsidRPr="00C56257">
        <w:rPr>
          <w:rFonts w:eastAsia="Calibri"/>
          <w:lang w:val="en-GB"/>
        </w:rPr>
        <w:t>Diversitatea</w:t>
      </w:r>
      <w:proofErr w:type="spellEnd"/>
      <w:r w:rsidRPr="00C56257">
        <w:rPr>
          <w:rFonts w:eastAsia="Calibri"/>
          <w:lang w:val="en-GB"/>
        </w:rPr>
        <w:t xml:space="preserve"> </w:t>
      </w:r>
      <w:proofErr w:type="spellStart"/>
      <w:r w:rsidRPr="00C56257">
        <w:rPr>
          <w:rFonts w:eastAsia="Calibri"/>
          <w:lang w:val="en-GB"/>
        </w:rPr>
        <w:t>comunităţii</w:t>
      </w:r>
      <w:proofErr w:type="spellEnd"/>
      <w:r w:rsidRPr="00C56257">
        <w:rPr>
          <w:rFonts w:eastAsia="Calibri"/>
          <w:lang w:val="en-GB"/>
        </w:rPr>
        <w:t xml:space="preserve"> de </w:t>
      </w:r>
      <w:proofErr w:type="spellStart"/>
      <w:r w:rsidRPr="00C56257">
        <w:rPr>
          <w:rFonts w:eastAsia="Calibri"/>
          <w:lang w:val="en-GB"/>
        </w:rPr>
        <w:t>animale</w:t>
      </w:r>
      <w:proofErr w:type="spellEnd"/>
      <w:r w:rsidRPr="00C56257">
        <w:rPr>
          <w:rFonts w:eastAsia="Calibri"/>
          <w:lang w:val="en-GB"/>
        </w:rPr>
        <w:t xml:space="preserve"> </w:t>
      </w:r>
      <w:proofErr w:type="spellStart"/>
      <w:r w:rsidRPr="00C56257">
        <w:rPr>
          <w:rFonts w:eastAsia="Calibri"/>
          <w:lang w:val="en-GB"/>
        </w:rPr>
        <w:t>acvatice</w:t>
      </w:r>
      <w:proofErr w:type="spellEnd"/>
      <w:r w:rsidRPr="00C56257">
        <w:rPr>
          <w:rFonts w:eastAsia="Calibri"/>
          <w:lang w:val="en-GB"/>
        </w:rPr>
        <w:t xml:space="preserve"> care </w:t>
      </w:r>
      <w:proofErr w:type="spellStart"/>
      <w:r w:rsidRPr="00C56257">
        <w:rPr>
          <w:rFonts w:eastAsia="Calibri"/>
          <w:lang w:val="en-GB"/>
        </w:rPr>
        <w:t>trăiesc</w:t>
      </w:r>
      <w:proofErr w:type="spellEnd"/>
      <w:r w:rsidRPr="00C56257">
        <w:rPr>
          <w:rFonts w:eastAsia="Calibri"/>
          <w:lang w:val="en-GB"/>
        </w:rPr>
        <w:t xml:space="preserve"> </w:t>
      </w:r>
      <w:proofErr w:type="spellStart"/>
      <w:r w:rsidRPr="00C56257">
        <w:rPr>
          <w:rFonts w:eastAsia="Calibri"/>
          <w:lang w:val="en-GB"/>
        </w:rPr>
        <w:t>în</w:t>
      </w:r>
      <w:proofErr w:type="spellEnd"/>
      <w:r w:rsidRPr="00C56257">
        <w:rPr>
          <w:rFonts w:eastAsia="Calibri"/>
          <w:lang w:val="en-GB"/>
        </w:rPr>
        <w:t xml:space="preserve"> </w:t>
      </w:r>
      <w:proofErr w:type="spellStart"/>
      <w:r w:rsidRPr="00C56257">
        <w:rPr>
          <w:rFonts w:eastAsia="Calibri"/>
          <w:lang w:val="en-GB"/>
        </w:rPr>
        <w:t>mâlul</w:t>
      </w:r>
      <w:proofErr w:type="spellEnd"/>
      <w:r w:rsidRPr="00C56257">
        <w:rPr>
          <w:rFonts w:eastAsia="Calibri"/>
          <w:lang w:val="en-GB"/>
        </w:rPr>
        <w:t xml:space="preserve"> </w:t>
      </w:r>
      <w:proofErr w:type="spellStart"/>
      <w:r w:rsidRPr="00C56257">
        <w:rPr>
          <w:rFonts w:eastAsia="Calibri"/>
          <w:lang w:val="en-GB"/>
        </w:rPr>
        <w:t>versantului</w:t>
      </w:r>
      <w:proofErr w:type="spellEnd"/>
      <w:r w:rsidRPr="00C56257">
        <w:rPr>
          <w:rFonts w:eastAsia="Calibri"/>
          <w:lang w:val="en-GB"/>
        </w:rPr>
        <w:t xml:space="preserve"> </w:t>
      </w:r>
      <w:proofErr w:type="spellStart"/>
      <w:r w:rsidRPr="00C56257">
        <w:rPr>
          <w:rFonts w:eastAsia="Calibri"/>
          <w:lang w:val="en-GB"/>
        </w:rPr>
        <w:t>ce</w:t>
      </w:r>
      <w:proofErr w:type="spellEnd"/>
      <w:r w:rsidRPr="00C56257">
        <w:rPr>
          <w:rFonts w:eastAsia="Calibri"/>
          <w:lang w:val="en-GB"/>
        </w:rPr>
        <w:t xml:space="preserve"> </w:t>
      </w:r>
      <w:proofErr w:type="spellStart"/>
      <w:r w:rsidRPr="00C56257">
        <w:rPr>
          <w:rFonts w:eastAsia="Calibri"/>
          <w:lang w:val="en-GB"/>
        </w:rPr>
        <w:t>înconjoară</w:t>
      </w:r>
      <w:proofErr w:type="spellEnd"/>
      <w:r w:rsidRPr="00C56257">
        <w:rPr>
          <w:rFonts w:eastAsia="Calibri"/>
          <w:lang w:val="en-GB"/>
        </w:rPr>
        <w:t xml:space="preserve"> </w:t>
      </w:r>
      <w:proofErr w:type="spellStart"/>
      <w:r w:rsidRPr="00C56257">
        <w:rPr>
          <w:rFonts w:eastAsia="Calibri"/>
          <w:lang w:val="en-GB"/>
        </w:rPr>
        <w:t>depresiunea</w:t>
      </w:r>
      <w:proofErr w:type="spellEnd"/>
      <w:r w:rsidRPr="00C56257">
        <w:rPr>
          <w:rFonts w:eastAsia="Calibri"/>
          <w:lang w:val="en-GB"/>
        </w:rPr>
        <w:t xml:space="preserve"> </w:t>
      </w:r>
      <w:proofErr w:type="spellStart"/>
      <w:r w:rsidRPr="00C56257">
        <w:rPr>
          <w:rFonts w:eastAsia="Calibri"/>
          <w:lang w:val="en-GB"/>
        </w:rPr>
        <w:t>poate</w:t>
      </w:r>
      <w:proofErr w:type="spellEnd"/>
      <w:r w:rsidRPr="00C56257">
        <w:rPr>
          <w:rFonts w:eastAsia="Calibri"/>
          <w:lang w:val="en-GB"/>
        </w:rPr>
        <w:t xml:space="preserve"> fi, de </w:t>
      </w:r>
      <w:proofErr w:type="spellStart"/>
      <w:r w:rsidRPr="00C56257">
        <w:rPr>
          <w:rFonts w:eastAsia="Calibri"/>
          <w:lang w:val="en-GB"/>
        </w:rPr>
        <w:t>asemenea</w:t>
      </w:r>
      <w:proofErr w:type="spellEnd"/>
      <w:r w:rsidRPr="00C56257">
        <w:rPr>
          <w:rFonts w:eastAsia="Calibri"/>
          <w:lang w:val="en-GB"/>
        </w:rPr>
        <w:t xml:space="preserve">, </w:t>
      </w:r>
      <w:proofErr w:type="spellStart"/>
      <w:r w:rsidRPr="00C56257">
        <w:rPr>
          <w:rFonts w:eastAsia="Calibri"/>
          <w:lang w:val="en-GB"/>
        </w:rPr>
        <w:t>ridicată</w:t>
      </w:r>
      <w:proofErr w:type="spellEnd"/>
      <w:r w:rsidRPr="00C56257">
        <w:rPr>
          <w:rFonts w:eastAsia="Calibri"/>
          <w:lang w:val="en-GB"/>
        </w:rPr>
        <w:t xml:space="preserve">. </w:t>
      </w:r>
    </w:p>
    <w:p w14:paraId="777F1B26" w14:textId="77777777" w:rsidR="00FC026B" w:rsidRPr="00C56257" w:rsidRDefault="00FC026B" w:rsidP="00FC026B">
      <w:pPr>
        <w:ind w:firstLine="720"/>
        <w:jc w:val="both"/>
        <w:rPr>
          <w:rFonts w:eastAsia="Calibri"/>
          <w:lang w:val="en-GB"/>
        </w:rPr>
      </w:pPr>
      <w:proofErr w:type="spellStart"/>
      <w:r w:rsidRPr="00C56257">
        <w:rPr>
          <w:rFonts w:eastAsia="Calibri"/>
          <w:lang w:val="en-GB"/>
        </w:rPr>
        <w:t>Recifii</w:t>
      </w:r>
      <w:proofErr w:type="spellEnd"/>
      <w:r w:rsidRPr="00C56257">
        <w:rPr>
          <w:rFonts w:eastAsia="Calibri"/>
          <w:lang w:val="en-GB"/>
        </w:rPr>
        <w:t xml:space="preserve"> cu </w:t>
      </w:r>
      <w:proofErr w:type="spellStart"/>
      <w:r w:rsidRPr="00C56257">
        <w:rPr>
          <w:rFonts w:eastAsia="Calibri"/>
          <w:lang w:val="en-GB"/>
        </w:rPr>
        <w:t>emisii</w:t>
      </w:r>
      <w:proofErr w:type="spellEnd"/>
      <w:r w:rsidRPr="00C56257">
        <w:rPr>
          <w:rFonts w:eastAsia="Calibri"/>
          <w:lang w:val="en-GB"/>
        </w:rPr>
        <w:t xml:space="preserve"> de bule pot fi </w:t>
      </w:r>
      <w:proofErr w:type="spellStart"/>
      <w:r w:rsidRPr="00C56257">
        <w:rPr>
          <w:rFonts w:eastAsia="Calibri"/>
          <w:lang w:val="en-GB"/>
        </w:rPr>
        <w:t>întâlniți</w:t>
      </w:r>
      <w:proofErr w:type="spellEnd"/>
      <w:r w:rsidRPr="00C56257">
        <w:rPr>
          <w:rFonts w:eastAsia="Calibri"/>
          <w:lang w:val="en-GB"/>
        </w:rPr>
        <w:t xml:space="preserve"> </w:t>
      </w:r>
      <w:proofErr w:type="spellStart"/>
      <w:r w:rsidRPr="00C56257">
        <w:rPr>
          <w:rFonts w:eastAsia="Calibri"/>
          <w:lang w:val="en-GB"/>
        </w:rPr>
        <w:t>în</w:t>
      </w:r>
      <w:proofErr w:type="spellEnd"/>
      <w:r w:rsidRPr="00C56257">
        <w:rPr>
          <w:rFonts w:eastAsia="Calibri"/>
          <w:lang w:val="en-GB"/>
        </w:rPr>
        <w:t xml:space="preserve"> </w:t>
      </w:r>
      <w:proofErr w:type="spellStart"/>
      <w:r w:rsidRPr="00C56257">
        <w:rPr>
          <w:rFonts w:eastAsia="Calibri"/>
          <w:lang w:val="en-GB"/>
        </w:rPr>
        <w:t>asociere</w:t>
      </w:r>
      <w:proofErr w:type="spellEnd"/>
      <w:r w:rsidRPr="00C56257">
        <w:rPr>
          <w:rFonts w:eastAsia="Calibri"/>
          <w:lang w:val="en-GB"/>
        </w:rPr>
        <w:t xml:space="preserve"> cu </w:t>
      </w:r>
      <w:proofErr w:type="spellStart"/>
      <w:r w:rsidRPr="00C56257">
        <w:rPr>
          <w:rFonts w:eastAsia="Calibri"/>
          <w:lang w:val="en-GB"/>
        </w:rPr>
        <w:t>tipurile</w:t>
      </w:r>
      <w:proofErr w:type="spellEnd"/>
      <w:r w:rsidRPr="00C56257">
        <w:rPr>
          <w:rFonts w:eastAsia="Calibri"/>
          <w:lang w:val="en-GB"/>
        </w:rPr>
        <w:t xml:space="preserve"> de habitat „</w:t>
      </w:r>
      <w:proofErr w:type="spellStart"/>
      <w:r w:rsidRPr="00C56257">
        <w:rPr>
          <w:rFonts w:eastAsia="Calibri"/>
          <w:lang w:val="en-GB"/>
        </w:rPr>
        <w:t>bancuri</w:t>
      </w:r>
      <w:proofErr w:type="spellEnd"/>
      <w:r w:rsidRPr="00C56257">
        <w:rPr>
          <w:rFonts w:eastAsia="Calibri"/>
          <w:lang w:val="en-GB"/>
        </w:rPr>
        <w:t xml:space="preserve"> de </w:t>
      </w:r>
      <w:proofErr w:type="spellStart"/>
      <w:r w:rsidRPr="00C56257">
        <w:rPr>
          <w:rFonts w:eastAsia="Calibri"/>
          <w:lang w:val="en-GB"/>
        </w:rPr>
        <w:t>nisip</w:t>
      </w:r>
      <w:proofErr w:type="spellEnd"/>
      <w:r w:rsidRPr="00C56257">
        <w:rPr>
          <w:rFonts w:eastAsia="Calibri"/>
          <w:lang w:val="en-GB"/>
        </w:rPr>
        <w:t xml:space="preserve"> permanent submerse la </w:t>
      </w:r>
      <w:proofErr w:type="spellStart"/>
      <w:r w:rsidRPr="00C56257">
        <w:rPr>
          <w:rFonts w:eastAsia="Calibri"/>
          <w:lang w:val="en-GB"/>
        </w:rPr>
        <w:t>mică</w:t>
      </w:r>
      <w:proofErr w:type="spellEnd"/>
      <w:r w:rsidRPr="00C56257">
        <w:rPr>
          <w:rFonts w:eastAsia="Calibri"/>
          <w:lang w:val="en-GB"/>
        </w:rPr>
        <w:t xml:space="preserve"> </w:t>
      </w:r>
      <w:proofErr w:type="spellStart"/>
      <w:r w:rsidRPr="00C56257">
        <w:rPr>
          <w:rFonts w:eastAsia="Calibri"/>
          <w:lang w:val="en-GB"/>
        </w:rPr>
        <w:t>adâncime</w:t>
      </w:r>
      <w:proofErr w:type="spellEnd"/>
      <w:r w:rsidRPr="00C56257">
        <w:rPr>
          <w:rFonts w:eastAsia="Calibri"/>
          <w:lang w:val="en-GB"/>
        </w:rPr>
        <w:t xml:space="preserve">” (1110) </w:t>
      </w:r>
      <w:proofErr w:type="spellStart"/>
      <w:r w:rsidRPr="00C56257">
        <w:rPr>
          <w:rFonts w:eastAsia="Calibri"/>
          <w:lang w:val="en-GB"/>
        </w:rPr>
        <w:t>şi</w:t>
      </w:r>
      <w:proofErr w:type="spellEnd"/>
      <w:r w:rsidRPr="00C56257">
        <w:rPr>
          <w:rFonts w:eastAsia="Calibri"/>
          <w:lang w:val="en-GB"/>
        </w:rPr>
        <w:t xml:space="preserve"> „</w:t>
      </w:r>
      <w:proofErr w:type="spellStart"/>
      <w:r w:rsidRPr="00C56257">
        <w:rPr>
          <w:rFonts w:eastAsia="Calibri"/>
          <w:lang w:val="en-GB"/>
        </w:rPr>
        <w:t>recifi</w:t>
      </w:r>
      <w:proofErr w:type="spellEnd"/>
      <w:r w:rsidRPr="00C56257">
        <w:rPr>
          <w:rFonts w:eastAsia="Calibri"/>
          <w:lang w:val="en-GB"/>
        </w:rPr>
        <w:t xml:space="preserve">” (1170). </w:t>
      </w:r>
      <w:proofErr w:type="spellStart"/>
      <w:r w:rsidRPr="00C56257">
        <w:rPr>
          <w:rFonts w:eastAsia="Calibri"/>
          <w:lang w:val="en-GB"/>
        </w:rPr>
        <w:t>Aceste</w:t>
      </w:r>
      <w:proofErr w:type="spellEnd"/>
      <w:r w:rsidRPr="00C56257">
        <w:rPr>
          <w:rFonts w:eastAsia="Calibri"/>
          <w:lang w:val="en-GB"/>
        </w:rPr>
        <w:t xml:space="preserve"> </w:t>
      </w:r>
      <w:proofErr w:type="spellStart"/>
      <w:r w:rsidRPr="00C56257">
        <w:rPr>
          <w:rFonts w:eastAsia="Calibri"/>
          <w:lang w:val="en-GB"/>
        </w:rPr>
        <w:t>structuri</w:t>
      </w:r>
      <w:proofErr w:type="spellEnd"/>
      <w:r w:rsidRPr="00C56257">
        <w:rPr>
          <w:rFonts w:eastAsia="Calibri"/>
          <w:lang w:val="en-GB"/>
        </w:rPr>
        <w:t xml:space="preserve"> sunt </w:t>
      </w:r>
      <w:proofErr w:type="spellStart"/>
      <w:r w:rsidRPr="00C56257">
        <w:rPr>
          <w:rFonts w:eastAsia="Calibri"/>
          <w:lang w:val="en-GB"/>
        </w:rPr>
        <w:t>prezente</w:t>
      </w:r>
      <w:proofErr w:type="spellEnd"/>
      <w:r w:rsidRPr="00C56257">
        <w:rPr>
          <w:rFonts w:eastAsia="Calibri"/>
          <w:lang w:val="en-GB"/>
        </w:rPr>
        <w:t xml:space="preserve"> sub </w:t>
      </w:r>
      <w:proofErr w:type="spellStart"/>
      <w:r w:rsidRPr="00C56257">
        <w:rPr>
          <w:rFonts w:eastAsia="Calibri"/>
          <w:lang w:val="en-GB"/>
        </w:rPr>
        <w:t>formă</w:t>
      </w:r>
      <w:proofErr w:type="spellEnd"/>
      <w:r w:rsidRPr="00C56257">
        <w:rPr>
          <w:rFonts w:eastAsia="Calibri"/>
          <w:lang w:val="en-GB"/>
        </w:rPr>
        <w:t xml:space="preserve"> de </w:t>
      </w:r>
      <w:proofErr w:type="spellStart"/>
      <w:r w:rsidRPr="00C56257">
        <w:rPr>
          <w:rFonts w:eastAsia="Calibri"/>
          <w:lang w:val="en-GB"/>
        </w:rPr>
        <w:t>plăci</w:t>
      </w:r>
      <w:proofErr w:type="spellEnd"/>
      <w:r w:rsidRPr="00C56257">
        <w:rPr>
          <w:rFonts w:eastAsia="Calibri"/>
          <w:lang w:val="en-GB"/>
        </w:rPr>
        <w:t xml:space="preserve"> </w:t>
      </w:r>
      <w:proofErr w:type="spellStart"/>
      <w:r w:rsidRPr="00C56257">
        <w:rPr>
          <w:rFonts w:eastAsia="Calibri"/>
          <w:lang w:val="en-GB"/>
        </w:rPr>
        <w:t>şi</w:t>
      </w:r>
      <w:proofErr w:type="spellEnd"/>
      <w:r w:rsidRPr="00C56257">
        <w:rPr>
          <w:rFonts w:eastAsia="Calibri"/>
          <w:lang w:val="en-GB"/>
        </w:rPr>
        <w:t xml:space="preserve"> </w:t>
      </w:r>
      <w:proofErr w:type="spellStart"/>
      <w:r w:rsidRPr="00C56257">
        <w:rPr>
          <w:rFonts w:eastAsia="Calibri"/>
          <w:lang w:val="en-GB"/>
        </w:rPr>
        <w:t>pavimente</w:t>
      </w:r>
      <w:proofErr w:type="spellEnd"/>
      <w:r w:rsidRPr="00C56257">
        <w:rPr>
          <w:rFonts w:eastAsia="Calibri"/>
          <w:lang w:val="en-GB"/>
        </w:rPr>
        <w:t xml:space="preserve"> de </w:t>
      </w:r>
      <w:proofErr w:type="spellStart"/>
      <w:r w:rsidRPr="00C56257">
        <w:rPr>
          <w:rFonts w:eastAsia="Calibri"/>
          <w:lang w:val="en-GB"/>
        </w:rPr>
        <w:t>gresii</w:t>
      </w:r>
      <w:proofErr w:type="spellEnd"/>
      <w:r w:rsidRPr="00C56257">
        <w:rPr>
          <w:rFonts w:eastAsia="Calibri"/>
          <w:lang w:val="en-GB"/>
        </w:rPr>
        <w:t xml:space="preserve"> </w:t>
      </w:r>
      <w:proofErr w:type="spellStart"/>
      <w:r w:rsidRPr="00C56257">
        <w:rPr>
          <w:rFonts w:eastAsia="Calibri"/>
          <w:lang w:val="en-GB"/>
        </w:rPr>
        <w:t>carbonatate</w:t>
      </w:r>
      <w:proofErr w:type="spellEnd"/>
      <w:r w:rsidRPr="00C56257">
        <w:rPr>
          <w:rFonts w:eastAsia="Calibri"/>
          <w:lang w:val="en-GB"/>
        </w:rPr>
        <w:t xml:space="preserve"> </w:t>
      </w:r>
      <w:proofErr w:type="spellStart"/>
      <w:r w:rsidRPr="00C56257">
        <w:rPr>
          <w:rFonts w:eastAsia="Calibri"/>
          <w:lang w:val="en-GB"/>
        </w:rPr>
        <w:t>începând</w:t>
      </w:r>
      <w:proofErr w:type="spellEnd"/>
      <w:r w:rsidRPr="00C56257">
        <w:rPr>
          <w:rFonts w:eastAsia="Calibri"/>
          <w:lang w:val="en-GB"/>
        </w:rPr>
        <w:t xml:space="preserve"> de la </w:t>
      </w:r>
      <w:proofErr w:type="spellStart"/>
      <w:r w:rsidRPr="00C56257">
        <w:rPr>
          <w:rFonts w:eastAsia="Calibri"/>
          <w:lang w:val="en-GB"/>
        </w:rPr>
        <w:t>adâncimea</w:t>
      </w:r>
      <w:proofErr w:type="spellEnd"/>
      <w:r w:rsidRPr="00C56257">
        <w:rPr>
          <w:rFonts w:eastAsia="Calibri"/>
          <w:lang w:val="en-GB"/>
        </w:rPr>
        <w:t xml:space="preserve"> de 10 m, </w:t>
      </w:r>
      <w:proofErr w:type="spellStart"/>
      <w:r w:rsidRPr="00C56257">
        <w:rPr>
          <w:rFonts w:eastAsia="Calibri"/>
          <w:lang w:val="en-GB"/>
        </w:rPr>
        <w:t>iar</w:t>
      </w:r>
      <w:proofErr w:type="spellEnd"/>
      <w:r w:rsidRPr="00C56257">
        <w:rPr>
          <w:rFonts w:eastAsia="Calibri"/>
          <w:lang w:val="en-GB"/>
        </w:rPr>
        <w:t xml:space="preserve"> sub </w:t>
      </w:r>
      <w:proofErr w:type="spellStart"/>
      <w:r w:rsidRPr="00C56257">
        <w:rPr>
          <w:rFonts w:eastAsia="Calibri"/>
          <w:lang w:val="en-GB"/>
        </w:rPr>
        <w:t>formă</w:t>
      </w:r>
      <w:proofErr w:type="spellEnd"/>
      <w:r w:rsidRPr="00C56257">
        <w:rPr>
          <w:rFonts w:eastAsia="Calibri"/>
          <w:lang w:val="en-GB"/>
        </w:rPr>
        <w:t xml:space="preserve"> de </w:t>
      </w:r>
      <w:proofErr w:type="spellStart"/>
      <w:r w:rsidRPr="00C56257">
        <w:rPr>
          <w:rFonts w:eastAsia="Calibri"/>
          <w:lang w:val="en-GB"/>
        </w:rPr>
        <w:t>muşuroaie</w:t>
      </w:r>
      <w:proofErr w:type="spellEnd"/>
      <w:r w:rsidRPr="00C56257">
        <w:rPr>
          <w:rFonts w:eastAsia="Calibri"/>
          <w:lang w:val="en-GB"/>
        </w:rPr>
        <w:t xml:space="preserve"> </w:t>
      </w:r>
      <w:proofErr w:type="spellStart"/>
      <w:r w:rsidRPr="00C56257">
        <w:rPr>
          <w:rFonts w:eastAsia="Calibri"/>
          <w:lang w:val="en-GB"/>
        </w:rPr>
        <w:t>şi</w:t>
      </w:r>
      <w:proofErr w:type="spellEnd"/>
      <w:r w:rsidRPr="00C56257">
        <w:rPr>
          <w:rFonts w:eastAsia="Calibri"/>
          <w:lang w:val="en-GB"/>
        </w:rPr>
        <w:t xml:space="preserve"> </w:t>
      </w:r>
      <w:proofErr w:type="spellStart"/>
      <w:r w:rsidRPr="00C56257">
        <w:rPr>
          <w:rFonts w:eastAsia="Calibri"/>
          <w:lang w:val="en-GB"/>
        </w:rPr>
        <w:t>coloane</w:t>
      </w:r>
      <w:proofErr w:type="spellEnd"/>
      <w:r w:rsidRPr="00C56257">
        <w:rPr>
          <w:rFonts w:eastAsia="Calibri"/>
          <w:lang w:val="en-GB"/>
        </w:rPr>
        <w:t xml:space="preserve"> </w:t>
      </w:r>
      <w:proofErr w:type="spellStart"/>
      <w:r w:rsidRPr="00C56257">
        <w:rPr>
          <w:rFonts w:eastAsia="Calibri"/>
          <w:lang w:val="en-GB"/>
        </w:rPr>
        <w:t>drepte</w:t>
      </w:r>
      <w:proofErr w:type="spellEnd"/>
      <w:r w:rsidRPr="00C56257">
        <w:rPr>
          <w:rFonts w:eastAsia="Calibri"/>
          <w:lang w:val="en-GB"/>
        </w:rPr>
        <w:t xml:space="preserve"> </w:t>
      </w:r>
      <w:proofErr w:type="spellStart"/>
      <w:r w:rsidRPr="00C56257">
        <w:rPr>
          <w:rFonts w:eastAsia="Calibri"/>
          <w:lang w:val="en-GB"/>
        </w:rPr>
        <w:t>sau</w:t>
      </w:r>
      <w:proofErr w:type="spellEnd"/>
      <w:r w:rsidRPr="00C56257">
        <w:rPr>
          <w:rFonts w:eastAsia="Calibri"/>
          <w:lang w:val="en-GB"/>
        </w:rPr>
        <w:t xml:space="preserve"> </w:t>
      </w:r>
      <w:proofErr w:type="spellStart"/>
      <w:r w:rsidRPr="00C56257">
        <w:rPr>
          <w:rFonts w:eastAsia="Calibri"/>
          <w:lang w:val="en-GB"/>
        </w:rPr>
        <w:t>ramificate</w:t>
      </w:r>
      <w:proofErr w:type="spellEnd"/>
      <w:r w:rsidRPr="00C56257">
        <w:rPr>
          <w:rFonts w:eastAsia="Calibri"/>
          <w:lang w:val="en-GB"/>
        </w:rPr>
        <w:t xml:space="preserve"> </w:t>
      </w:r>
      <w:proofErr w:type="spellStart"/>
      <w:r w:rsidRPr="00C56257">
        <w:rPr>
          <w:rFonts w:eastAsia="Calibri"/>
          <w:lang w:val="en-GB"/>
        </w:rPr>
        <w:t>începând</w:t>
      </w:r>
      <w:proofErr w:type="spellEnd"/>
      <w:r w:rsidRPr="00C56257">
        <w:rPr>
          <w:rFonts w:eastAsia="Calibri"/>
          <w:lang w:val="en-GB"/>
        </w:rPr>
        <w:t xml:space="preserve"> de la 40- 50 m </w:t>
      </w:r>
      <w:proofErr w:type="spellStart"/>
      <w:r w:rsidRPr="00C56257">
        <w:rPr>
          <w:rFonts w:eastAsia="Calibri"/>
          <w:lang w:val="en-GB"/>
        </w:rPr>
        <w:t>adâncime</w:t>
      </w:r>
      <w:proofErr w:type="spellEnd"/>
      <w:r w:rsidRPr="00C56257">
        <w:rPr>
          <w:rFonts w:eastAsia="Calibri"/>
          <w:lang w:val="en-GB"/>
        </w:rPr>
        <w:t xml:space="preserve">, </w:t>
      </w:r>
      <w:proofErr w:type="spellStart"/>
      <w:r w:rsidRPr="00C56257">
        <w:rPr>
          <w:rFonts w:eastAsia="Calibri"/>
          <w:lang w:val="en-GB"/>
        </w:rPr>
        <w:t>extinzându</w:t>
      </w:r>
      <w:proofErr w:type="spellEnd"/>
      <w:r w:rsidRPr="00C56257">
        <w:rPr>
          <w:rFonts w:eastAsia="Calibri"/>
          <w:lang w:val="en-GB"/>
        </w:rPr>
        <w:t xml:space="preserve">-se </w:t>
      </w:r>
      <w:proofErr w:type="spellStart"/>
      <w:r w:rsidRPr="00C56257">
        <w:rPr>
          <w:rFonts w:eastAsia="Calibri"/>
          <w:lang w:val="en-GB"/>
        </w:rPr>
        <w:t>mult</w:t>
      </w:r>
      <w:proofErr w:type="spellEnd"/>
      <w:r w:rsidRPr="00C56257">
        <w:rPr>
          <w:rFonts w:eastAsia="Calibri"/>
          <w:lang w:val="en-GB"/>
        </w:rPr>
        <w:t xml:space="preserve"> </w:t>
      </w:r>
      <w:proofErr w:type="spellStart"/>
      <w:r w:rsidRPr="00C56257">
        <w:rPr>
          <w:rFonts w:eastAsia="Calibri"/>
          <w:lang w:val="en-GB"/>
        </w:rPr>
        <w:t>spre</w:t>
      </w:r>
      <w:proofErr w:type="spellEnd"/>
      <w:r w:rsidRPr="00C56257">
        <w:rPr>
          <w:rFonts w:eastAsia="Calibri"/>
          <w:lang w:val="en-GB"/>
        </w:rPr>
        <w:t xml:space="preserve"> </w:t>
      </w:r>
      <w:proofErr w:type="spellStart"/>
      <w:r w:rsidRPr="00C56257">
        <w:rPr>
          <w:rFonts w:eastAsia="Calibri"/>
          <w:lang w:val="en-GB"/>
        </w:rPr>
        <w:t>adânc</w:t>
      </w:r>
      <w:proofErr w:type="spellEnd"/>
      <w:r w:rsidRPr="00C56257">
        <w:rPr>
          <w:rFonts w:eastAsia="Calibri"/>
          <w:lang w:val="en-GB"/>
        </w:rPr>
        <w:t xml:space="preserve"> </w:t>
      </w:r>
      <w:proofErr w:type="spellStart"/>
      <w:r w:rsidRPr="00C56257">
        <w:rPr>
          <w:rFonts w:eastAsia="Calibri"/>
          <w:lang w:val="en-GB"/>
        </w:rPr>
        <w:t>în</w:t>
      </w:r>
      <w:proofErr w:type="spellEnd"/>
      <w:r w:rsidRPr="00C56257">
        <w:rPr>
          <w:rFonts w:eastAsia="Calibri"/>
          <w:lang w:val="en-GB"/>
        </w:rPr>
        <w:t xml:space="preserve"> zona </w:t>
      </w:r>
      <w:proofErr w:type="spellStart"/>
      <w:r w:rsidRPr="00C56257">
        <w:rPr>
          <w:rFonts w:eastAsia="Calibri"/>
          <w:lang w:val="en-GB"/>
        </w:rPr>
        <w:t>anoxică</w:t>
      </w:r>
      <w:proofErr w:type="spellEnd"/>
      <w:r w:rsidRPr="00C56257">
        <w:rPr>
          <w:rFonts w:eastAsia="Calibri"/>
          <w:lang w:val="en-GB"/>
        </w:rPr>
        <w:t xml:space="preserve">. </w:t>
      </w:r>
      <w:proofErr w:type="spellStart"/>
      <w:r w:rsidRPr="00C56257">
        <w:rPr>
          <w:rFonts w:eastAsia="Calibri"/>
          <w:lang w:val="en-GB"/>
        </w:rPr>
        <w:t>Dimensiunile</w:t>
      </w:r>
      <w:proofErr w:type="spellEnd"/>
      <w:r w:rsidRPr="00C56257">
        <w:rPr>
          <w:rFonts w:eastAsia="Calibri"/>
          <w:lang w:val="en-GB"/>
        </w:rPr>
        <w:t xml:space="preserve"> </w:t>
      </w:r>
      <w:proofErr w:type="spellStart"/>
      <w:r w:rsidRPr="00C56257">
        <w:rPr>
          <w:rFonts w:eastAsia="Calibri"/>
          <w:lang w:val="en-GB"/>
        </w:rPr>
        <w:t>şi</w:t>
      </w:r>
      <w:proofErr w:type="spellEnd"/>
      <w:r w:rsidRPr="00C56257">
        <w:rPr>
          <w:rFonts w:eastAsia="Calibri"/>
          <w:lang w:val="en-GB"/>
        </w:rPr>
        <w:t xml:space="preserve"> </w:t>
      </w:r>
      <w:proofErr w:type="spellStart"/>
      <w:r w:rsidRPr="00C56257">
        <w:rPr>
          <w:rFonts w:eastAsia="Calibri"/>
          <w:lang w:val="en-GB"/>
        </w:rPr>
        <w:t>complexitatea</w:t>
      </w:r>
      <w:proofErr w:type="spellEnd"/>
      <w:r w:rsidRPr="00C56257">
        <w:rPr>
          <w:rFonts w:eastAsia="Calibri"/>
          <w:lang w:val="en-GB"/>
        </w:rPr>
        <w:t xml:space="preserve"> </w:t>
      </w:r>
      <w:proofErr w:type="spellStart"/>
      <w:r w:rsidRPr="00C56257">
        <w:rPr>
          <w:rFonts w:eastAsia="Calibri"/>
          <w:lang w:val="en-GB"/>
        </w:rPr>
        <w:t>acestor</w:t>
      </w:r>
      <w:proofErr w:type="spellEnd"/>
      <w:r w:rsidRPr="00C56257">
        <w:rPr>
          <w:rFonts w:eastAsia="Calibri"/>
          <w:lang w:val="en-GB"/>
        </w:rPr>
        <w:t xml:space="preserve"> </w:t>
      </w:r>
      <w:proofErr w:type="spellStart"/>
      <w:r w:rsidRPr="00C56257">
        <w:rPr>
          <w:rFonts w:eastAsia="Calibri"/>
          <w:lang w:val="en-GB"/>
        </w:rPr>
        <w:t>formaţiuni</w:t>
      </w:r>
      <w:proofErr w:type="spellEnd"/>
      <w:r w:rsidRPr="00C56257">
        <w:rPr>
          <w:rFonts w:eastAsia="Calibri"/>
          <w:lang w:val="en-GB"/>
        </w:rPr>
        <w:t xml:space="preserve"> </w:t>
      </w:r>
      <w:proofErr w:type="spellStart"/>
      <w:r w:rsidRPr="00C56257">
        <w:rPr>
          <w:rFonts w:eastAsia="Calibri"/>
          <w:lang w:val="en-GB"/>
        </w:rPr>
        <w:t>cresc</w:t>
      </w:r>
      <w:proofErr w:type="spellEnd"/>
      <w:r w:rsidRPr="00C56257">
        <w:rPr>
          <w:rFonts w:eastAsia="Calibri"/>
          <w:lang w:val="en-GB"/>
        </w:rPr>
        <w:t xml:space="preserve"> </w:t>
      </w:r>
      <w:proofErr w:type="spellStart"/>
      <w:r w:rsidRPr="00C56257">
        <w:rPr>
          <w:rFonts w:eastAsia="Calibri"/>
          <w:lang w:val="en-GB"/>
        </w:rPr>
        <w:t>odată</w:t>
      </w:r>
      <w:proofErr w:type="spellEnd"/>
      <w:r w:rsidRPr="00C56257">
        <w:rPr>
          <w:rFonts w:eastAsia="Calibri"/>
          <w:lang w:val="en-GB"/>
        </w:rPr>
        <w:t xml:space="preserve"> cu </w:t>
      </w:r>
      <w:proofErr w:type="spellStart"/>
      <w:r w:rsidRPr="00C56257">
        <w:rPr>
          <w:rFonts w:eastAsia="Calibri"/>
          <w:lang w:val="en-GB"/>
        </w:rPr>
        <w:t>adâncimea</w:t>
      </w:r>
      <w:proofErr w:type="spellEnd"/>
      <w:r w:rsidRPr="00C56257">
        <w:rPr>
          <w:rFonts w:eastAsia="Calibri"/>
          <w:lang w:val="en-GB"/>
        </w:rPr>
        <w:t xml:space="preserve">. Sunt </w:t>
      </w:r>
      <w:proofErr w:type="spellStart"/>
      <w:r w:rsidRPr="00C56257">
        <w:rPr>
          <w:rFonts w:eastAsia="Calibri"/>
          <w:lang w:val="en-GB"/>
        </w:rPr>
        <w:t>răspândite</w:t>
      </w:r>
      <w:proofErr w:type="spellEnd"/>
      <w:r w:rsidRPr="00C56257">
        <w:rPr>
          <w:rFonts w:eastAsia="Calibri"/>
          <w:lang w:val="en-GB"/>
        </w:rPr>
        <w:t xml:space="preserve"> </w:t>
      </w:r>
      <w:proofErr w:type="spellStart"/>
      <w:r w:rsidRPr="00C56257">
        <w:rPr>
          <w:rFonts w:eastAsia="Calibri"/>
          <w:lang w:val="en-GB"/>
        </w:rPr>
        <w:t>în</w:t>
      </w:r>
      <w:proofErr w:type="spellEnd"/>
      <w:r w:rsidRPr="00C56257">
        <w:rPr>
          <w:rFonts w:eastAsia="Calibri"/>
          <w:lang w:val="en-GB"/>
        </w:rPr>
        <w:t xml:space="preserve"> tot </w:t>
      </w:r>
      <w:proofErr w:type="spellStart"/>
      <w:r w:rsidRPr="00C56257">
        <w:rPr>
          <w:rFonts w:eastAsia="Calibri"/>
          <w:lang w:val="en-GB"/>
        </w:rPr>
        <w:t>lungul</w:t>
      </w:r>
      <w:proofErr w:type="spellEnd"/>
      <w:r w:rsidRPr="00C56257">
        <w:rPr>
          <w:rFonts w:eastAsia="Calibri"/>
          <w:lang w:val="en-GB"/>
        </w:rPr>
        <w:t xml:space="preserve"> </w:t>
      </w:r>
      <w:proofErr w:type="spellStart"/>
      <w:r w:rsidRPr="00C56257">
        <w:rPr>
          <w:rFonts w:eastAsia="Calibri"/>
          <w:lang w:val="en-GB"/>
        </w:rPr>
        <w:t>sectorului</w:t>
      </w:r>
      <w:proofErr w:type="spellEnd"/>
      <w:r w:rsidRPr="00C56257">
        <w:rPr>
          <w:rFonts w:eastAsia="Calibri"/>
          <w:lang w:val="en-GB"/>
        </w:rPr>
        <w:t xml:space="preserve"> </w:t>
      </w:r>
      <w:proofErr w:type="spellStart"/>
      <w:r w:rsidRPr="00C56257">
        <w:rPr>
          <w:rFonts w:eastAsia="Calibri"/>
          <w:lang w:val="en-GB"/>
        </w:rPr>
        <w:t>românesc</w:t>
      </w:r>
      <w:proofErr w:type="spellEnd"/>
      <w:r w:rsidRPr="00C56257">
        <w:rPr>
          <w:rFonts w:eastAsia="Calibri"/>
          <w:lang w:val="en-GB"/>
        </w:rPr>
        <w:t xml:space="preserve"> al </w:t>
      </w:r>
      <w:proofErr w:type="spellStart"/>
      <w:r w:rsidRPr="00C56257">
        <w:rPr>
          <w:rFonts w:eastAsia="Calibri"/>
          <w:lang w:val="en-GB"/>
        </w:rPr>
        <w:t>Mării</w:t>
      </w:r>
      <w:proofErr w:type="spellEnd"/>
      <w:r w:rsidRPr="00C56257">
        <w:rPr>
          <w:rFonts w:eastAsia="Calibri"/>
          <w:lang w:val="en-GB"/>
        </w:rPr>
        <w:t xml:space="preserve"> Negre, </w:t>
      </w:r>
      <w:proofErr w:type="spellStart"/>
      <w:r w:rsidRPr="00C56257">
        <w:rPr>
          <w:rFonts w:eastAsia="Calibri"/>
          <w:lang w:val="en-GB"/>
        </w:rPr>
        <w:t>dar</w:t>
      </w:r>
      <w:proofErr w:type="spellEnd"/>
      <w:r w:rsidRPr="00C56257">
        <w:rPr>
          <w:rFonts w:eastAsia="Calibri"/>
          <w:lang w:val="en-GB"/>
        </w:rPr>
        <w:t xml:space="preserve"> </w:t>
      </w:r>
      <w:proofErr w:type="spellStart"/>
      <w:r w:rsidRPr="00C56257">
        <w:rPr>
          <w:rFonts w:eastAsia="Calibri"/>
          <w:lang w:val="en-GB"/>
        </w:rPr>
        <w:t>densitatea</w:t>
      </w:r>
      <w:proofErr w:type="spellEnd"/>
      <w:r w:rsidRPr="00C56257">
        <w:rPr>
          <w:rFonts w:eastAsia="Calibri"/>
          <w:lang w:val="en-GB"/>
        </w:rPr>
        <w:t xml:space="preserve"> </w:t>
      </w:r>
      <w:proofErr w:type="spellStart"/>
      <w:r w:rsidRPr="00C56257">
        <w:rPr>
          <w:rFonts w:eastAsia="Calibri"/>
          <w:lang w:val="en-GB"/>
        </w:rPr>
        <w:t>cea</w:t>
      </w:r>
      <w:proofErr w:type="spellEnd"/>
      <w:r w:rsidRPr="00C56257">
        <w:rPr>
          <w:rFonts w:eastAsia="Calibri"/>
          <w:lang w:val="en-GB"/>
        </w:rPr>
        <w:t xml:space="preserve"> </w:t>
      </w:r>
      <w:proofErr w:type="spellStart"/>
      <w:r w:rsidRPr="00C56257">
        <w:rPr>
          <w:rFonts w:eastAsia="Calibri"/>
          <w:lang w:val="en-GB"/>
        </w:rPr>
        <w:t>mai</w:t>
      </w:r>
      <w:proofErr w:type="spellEnd"/>
      <w:r w:rsidRPr="00C56257">
        <w:rPr>
          <w:rFonts w:eastAsia="Calibri"/>
          <w:lang w:val="en-GB"/>
        </w:rPr>
        <w:t xml:space="preserve"> mare se </w:t>
      </w:r>
      <w:proofErr w:type="spellStart"/>
      <w:r w:rsidRPr="00C56257">
        <w:rPr>
          <w:rFonts w:eastAsia="Calibri"/>
          <w:lang w:val="en-GB"/>
        </w:rPr>
        <w:t>înregistrează</w:t>
      </w:r>
      <w:proofErr w:type="spellEnd"/>
      <w:r w:rsidRPr="00C56257">
        <w:rPr>
          <w:rFonts w:eastAsia="Calibri"/>
          <w:lang w:val="en-GB"/>
        </w:rPr>
        <w:t xml:space="preserve"> </w:t>
      </w:r>
      <w:proofErr w:type="spellStart"/>
      <w:r w:rsidRPr="00C56257">
        <w:rPr>
          <w:rFonts w:eastAsia="Calibri"/>
          <w:lang w:val="en-GB"/>
        </w:rPr>
        <w:t>în</w:t>
      </w:r>
      <w:proofErr w:type="spellEnd"/>
      <w:r w:rsidRPr="00C56257">
        <w:rPr>
          <w:rFonts w:eastAsia="Calibri"/>
          <w:lang w:val="en-GB"/>
        </w:rPr>
        <w:t xml:space="preserve"> </w:t>
      </w:r>
      <w:proofErr w:type="spellStart"/>
      <w:r w:rsidRPr="00C56257">
        <w:rPr>
          <w:rFonts w:eastAsia="Calibri"/>
          <w:lang w:val="en-GB"/>
        </w:rPr>
        <w:t>dreptul</w:t>
      </w:r>
      <w:proofErr w:type="spellEnd"/>
      <w:r w:rsidRPr="00C56257">
        <w:rPr>
          <w:rFonts w:eastAsia="Calibri"/>
          <w:lang w:val="en-GB"/>
        </w:rPr>
        <w:t xml:space="preserve"> </w:t>
      </w:r>
      <w:proofErr w:type="spellStart"/>
      <w:r w:rsidRPr="00C56257">
        <w:rPr>
          <w:rFonts w:eastAsia="Calibri"/>
          <w:lang w:val="en-GB"/>
        </w:rPr>
        <w:t>Deltei</w:t>
      </w:r>
      <w:proofErr w:type="spellEnd"/>
      <w:r w:rsidRPr="00C56257">
        <w:rPr>
          <w:rFonts w:eastAsia="Calibri"/>
          <w:lang w:val="en-GB"/>
        </w:rPr>
        <w:t xml:space="preserve"> </w:t>
      </w:r>
      <w:proofErr w:type="spellStart"/>
      <w:r w:rsidRPr="00C56257">
        <w:rPr>
          <w:rFonts w:eastAsia="Calibri"/>
          <w:lang w:val="en-GB"/>
        </w:rPr>
        <w:t>Dunării</w:t>
      </w:r>
      <w:proofErr w:type="spellEnd"/>
      <w:r w:rsidRPr="00C56257">
        <w:rPr>
          <w:rFonts w:eastAsia="Calibri"/>
          <w:lang w:val="en-GB"/>
        </w:rPr>
        <w:t>.</w:t>
      </w:r>
    </w:p>
    <w:p w14:paraId="62416E0C" w14:textId="77777777" w:rsidR="00FC026B" w:rsidRPr="00C56257" w:rsidRDefault="00FC026B" w:rsidP="00FC026B">
      <w:pPr>
        <w:ind w:firstLine="720"/>
        <w:jc w:val="both"/>
        <w:rPr>
          <w:rFonts w:eastAsia="Calibri"/>
          <w:lang w:val="en-GB"/>
        </w:rPr>
      </w:pPr>
    </w:p>
    <w:p w14:paraId="0327BC46" w14:textId="77777777" w:rsidR="00FC026B" w:rsidRPr="00725735" w:rsidRDefault="00FC026B" w:rsidP="00FC026B">
      <w:pPr>
        <w:ind w:firstLine="720"/>
        <w:jc w:val="center"/>
        <w:rPr>
          <w:lang w:eastAsia="ro-RO"/>
        </w:rPr>
      </w:pPr>
      <w:r w:rsidRPr="00725735">
        <w:rPr>
          <w:lang w:val="it-IT" w:eastAsia="ro-RO"/>
        </w:rPr>
        <w:t xml:space="preserve">Tabelul 1.14: Tehnici pentru masurarea atributelor </w:t>
      </w:r>
      <w:r w:rsidRPr="00725735">
        <w:rPr>
          <w:lang w:eastAsia="ro-RO"/>
        </w:rPr>
        <w:t>habitatului 1180.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3402"/>
        <w:gridCol w:w="3793"/>
      </w:tblGrid>
      <w:tr w:rsidR="00FC026B" w:rsidRPr="00C56257" w14:paraId="23BDE3A3" w14:textId="77777777" w:rsidTr="00993B86">
        <w:tc>
          <w:tcPr>
            <w:tcW w:w="2660" w:type="dxa"/>
            <w:tcBorders>
              <w:top w:val="single" w:sz="4" w:space="0" w:color="auto"/>
              <w:left w:val="single" w:sz="4" w:space="0" w:color="auto"/>
              <w:bottom w:val="single" w:sz="4" w:space="0" w:color="auto"/>
              <w:right w:val="single" w:sz="4" w:space="0" w:color="auto"/>
            </w:tcBorders>
            <w:hideMark/>
          </w:tcPr>
          <w:p w14:paraId="266E6AD9" w14:textId="77777777" w:rsidR="00FC026B" w:rsidRPr="00C56257" w:rsidRDefault="00FC026B" w:rsidP="00993B86">
            <w:pPr>
              <w:autoSpaceDE w:val="0"/>
              <w:autoSpaceDN w:val="0"/>
              <w:adjustRightInd w:val="0"/>
              <w:rPr>
                <w:rFonts w:eastAsia="Calibri"/>
                <w:b/>
                <w:i/>
                <w:lang w:val="en-GB"/>
              </w:rPr>
            </w:pPr>
            <w:proofErr w:type="spellStart"/>
            <w:r w:rsidRPr="00C56257">
              <w:rPr>
                <w:rFonts w:eastAsia="Calibri"/>
                <w:b/>
                <w:i/>
                <w:lang w:val="en-GB"/>
              </w:rPr>
              <w:t>Structură</w:t>
            </w:r>
            <w:proofErr w:type="spellEnd"/>
            <w:r w:rsidRPr="00C56257">
              <w:rPr>
                <w:rFonts w:eastAsia="Calibri"/>
                <w:b/>
                <w:i/>
                <w:lang w:val="en-GB"/>
              </w:rPr>
              <w:t xml:space="preserve"> </w:t>
            </w:r>
            <w:proofErr w:type="spellStart"/>
            <w:r w:rsidRPr="00C56257">
              <w:rPr>
                <w:rFonts w:eastAsia="Calibri"/>
                <w:b/>
                <w:i/>
                <w:lang w:val="en-GB"/>
              </w:rPr>
              <w:t>biologică</w:t>
            </w:r>
            <w:proofErr w:type="spellEnd"/>
            <w:r w:rsidRPr="00C56257">
              <w:rPr>
                <w:rFonts w:eastAsia="Calibri"/>
                <w:b/>
                <w:i/>
                <w:lang w:val="en-GB"/>
              </w:rPr>
              <w:t xml:space="preserve"> </w:t>
            </w:r>
          </w:p>
        </w:tc>
        <w:tc>
          <w:tcPr>
            <w:tcW w:w="3402" w:type="dxa"/>
            <w:tcBorders>
              <w:top w:val="single" w:sz="4" w:space="0" w:color="auto"/>
              <w:left w:val="single" w:sz="4" w:space="0" w:color="auto"/>
              <w:bottom w:val="single" w:sz="4" w:space="0" w:color="auto"/>
              <w:right w:val="single" w:sz="4" w:space="0" w:color="auto"/>
            </w:tcBorders>
            <w:hideMark/>
          </w:tcPr>
          <w:p w14:paraId="7505E11F" w14:textId="77777777" w:rsidR="00FC026B" w:rsidRPr="00C56257" w:rsidRDefault="00FC026B" w:rsidP="00993B86">
            <w:pPr>
              <w:rPr>
                <w:b/>
                <w:i/>
                <w:lang w:val="fr-FR" w:eastAsia="ro-RO"/>
              </w:rPr>
            </w:pPr>
            <w:r w:rsidRPr="00C56257">
              <w:rPr>
                <w:b/>
                <w:i/>
                <w:lang w:val="fr-FR" w:eastAsia="ro-RO"/>
              </w:rPr>
              <w:t xml:space="preserve">Tip de habitat - </w:t>
            </w:r>
            <w:proofErr w:type="spellStart"/>
            <w:r w:rsidRPr="00C56257">
              <w:rPr>
                <w:b/>
                <w:i/>
                <w:lang w:val="fr-FR" w:eastAsia="ro-RO"/>
              </w:rPr>
              <w:t>atribut</w:t>
            </w:r>
            <w:proofErr w:type="spellEnd"/>
            <w:r w:rsidRPr="00C56257">
              <w:rPr>
                <w:b/>
                <w:i/>
                <w:lang w:val="fr-FR" w:eastAsia="ro-RO"/>
              </w:rPr>
              <w:t xml:space="preserve"> </w:t>
            </w:r>
            <w:proofErr w:type="spellStart"/>
            <w:r w:rsidRPr="00C56257">
              <w:rPr>
                <w:b/>
                <w:i/>
                <w:lang w:val="fr-FR" w:eastAsia="ro-RO"/>
              </w:rPr>
              <w:t>specific</w:t>
            </w:r>
            <w:proofErr w:type="spellEnd"/>
          </w:p>
        </w:tc>
        <w:tc>
          <w:tcPr>
            <w:tcW w:w="3793" w:type="dxa"/>
            <w:tcBorders>
              <w:top w:val="single" w:sz="4" w:space="0" w:color="auto"/>
              <w:left w:val="single" w:sz="4" w:space="0" w:color="auto"/>
              <w:bottom w:val="single" w:sz="4" w:space="0" w:color="auto"/>
              <w:right w:val="single" w:sz="4" w:space="0" w:color="auto"/>
            </w:tcBorders>
            <w:hideMark/>
          </w:tcPr>
          <w:p w14:paraId="7D9A4E61" w14:textId="77777777" w:rsidR="00FC026B" w:rsidRPr="00C56257" w:rsidRDefault="00FC026B" w:rsidP="00993B86">
            <w:pPr>
              <w:rPr>
                <w:b/>
                <w:i/>
                <w:lang w:eastAsia="ro-RO"/>
              </w:rPr>
            </w:pPr>
            <w:r w:rsidRPr="00C56257">
              <w:rPr>
                <w:b/>
                <w:i/>
                <w:lang w:eastAsia="ro-RO"/>
              </w:rPr>
              <w:t>Tehnică</w:t>
            </w:r>
          </w:p>
        </w:tc>
      </w:tr>
      <w:tr w:rsidR="00FC026B" w:rsidRPr="00C56257" w14:paraId="510846BF" w14:textId="77777777" w:rsidTr="00993B86">
        <w:tc>
          <w:tcPr>
            <w:tcW w:w="2660" w:type="dxa"/>
            <w:tcBorders>
              <w:top w:val="single" w:sz="4" w:space="0" w:color="auto"/>
              <w:left w:val="single" w:sz="4" w:space="0" w:color="auto"/>
              <w:bottom w:val="single" w:sz="4" w:space="0" w:color="auto"/>
              <w:right w:val="single" w:sz="4" w:space="0" w:color="auto"/>
            </w:tcBorders>
            <w:hideMark/>
          </w:tcPr>
          <w:p w14:paraId="46D2BC8E" w14:textId="77777777" w:rsidR="00FC026B" w:rsidRPr="00C56257" w:rsidRDefault="00FC026B" w:rsidP="00993B86">
            <w:pPr>
              <w:autoSpaceDE w:val="0"/>
              <w:autoSpaceDN w:val="0"/>
              <w:adjustRightInd w:val="0"/>
              <w:rPr>
                <w:rFonts w:eastAsia="Calibri"/>
                <w:lang w:val="en-GB"/>
              </w:rPr>
            </w:pPr>
            <w:proofErr w:type="spellStart"/>
            <w:r w:rsidRPr="00C56257">
              <w:rPr>
                <w:rFonts w:eastAsia="Calibri"/>
                <w:lang w:val="en-GB"/>
              </w:rPr>
              <w:t>Întindere</w:t>
            </w:r>
            <w:proofErr w:type="spellEnd"/>
          </w:p>
        </w:tc>
        <w:tc>
          <w:tcPr>
            <w:tcW w:w="3402" w:type="dxa"/>
            <w:tcBorders>
              <w:top w:val="single" w:sz="4" w:space="0" w:color="auto"/>
              <w:left w:val="single" w:sz="4" w:space="0" w:color="auto"/>
              <w:bottom w:val="single" w:sz="4" w:space="0" w:color="auto"/>
              <w:right w:val="single" w:sz="4" w:space="0" w:color="auto"/>
            </w:tcBorders>
          </w:tcPr>
          <w:p w14:paraId="1D987359" w14:textId="77777777" w:rsidR="00FC026B" w:rsidRPr="00C56257" w:rsidRDefault="00FC026B" w:rsidP="00993B86">
            <w:pPr>
              <w:rPr>
                <w:lang w:val="it-IT" w:eastAsia="ro-RO"/>
              </w:rPr>
            </w:pPr>
            <w:r w:rsidRPr="00C56257">
              <w:rPr>
                <w:lang w:val="it-IT" w:eastAsia="ro-RO"/>
              </w:rPr>
              <w:t>Suprafață habitat</w:t>
            </w:r>
          </w:p>
          <w:p w14:paraId="7C8DD60D" w14:textId="77777777" w:rsidR="00FC026B" w:rsidRPr="00C56257" w:rsidRDefault="00FC026B" w:rsidP="00993B86">
            <w:pPr>
              <w:rPr>
                <w:lang w:val="it-IT" w:eastAsia="ro-RO"/>
              </w:rPr>
            </w:pPr>
          </w:p>
        </w:tc>
        <w:tc>
          <w:tcPr>
            <w:tcW w:w="3793" w:type="dxa"/>
            <w:tcBorders>
              <w:top w:val="single" w:sz="4" w:space="0" w:color="auto"/>
              <w:left w:val="single" w:sz="4" w:space="0" w:color="auto"/>
              <w:bottom w:val="single" w:sz="4" w:space="0" w:color="auto"/>
              <w:right w:val="single" w:sz="4" w:space="0" w:color="auto"/>
            </w:tcBorders>
            <w:hideMark/>
          </w:tcPr>
          <w:p w14:paraId="68599DD1" w14:textId="77777777" w:rsidR="00FC026B" w:rsidRPr="00C56257" w:rsidRDefault="00FC026B" w:rsidP="00993B86">
            <w:pPr>
              <w:rPr>
                <w:lang w:val="it-IT" w:eastAsia="ro-RO"/>
              </w:rPr>
            </w:pPr>
            <w:r w:rsidRPr="00C56257">
              <w:rPr>
                <w:lang w:val="it-IT" w:eastAsia="ro-RO"/>
              </w:rPr>
              <w:t xml:space="preserve">Sonar cu scanare laterală, batimetrie multibeam, ROV </w:t>
            </w:r>
          </w:p>
        </w:tc>
      </w:tr>
      <w:tr w:rsidR="00FC026B" w:rsidRPr="00C56257" w14:paraId="268C2746" w14:textId="77777777" w:rsidTr="00993B86">
        <w:trPr>
          <w:trHeight w:val="402"/>
        </w:trPr>
        <w:tc>
          <w:tcPr>
            <w:tcW w:w="2660" w:type="dxa"/>
            <w:vMerge w:val="restart"/>
            <w:tcBorders>
              <w:top w:val="single" w:sz="4" w:space="0" w:color="auto"/>
              <w:left w:val="single" w:sz="4" w:space="0" w:color="auto"/>
              <w:bottom w:val="single" w:sz="4" w:space="0" w:color="auto"/>
              <w:right w:val="single" w:sz="4" w:space="0" w:color="auto"/>
            </w:tcBorders>
            <w:hideMark/>
          </w:tcPr>
          <w:p w14:paraId="458EF5D6" w14:textId="77777777" w:rsidR="00FC026B" w:rsidRPr="00C56257" w:rsidRDefault="00FC026B" w:rsidP="00993B86">
            <w:pPr>
              <w:autoSpaceDE w:val="0"/>
              <w:autoSpaceDN w:val="0"/>
              <w:adjustRightInd w:val="0"/>
              <w:rPr>
                <w:rFonts w:eastAsia="Calibri"/>
                <w:lang w:val="en-GB"/>
              </w:rPr>
            </w:pPr>
            <w:proofErr w:type="spellStart"/>
            <w:r w:rsidRPr="00C56257">
              <w:rPr>
                <w:rFonts w:eastAsia="Calibri"/>
                <w:lang w:val="en-GB"/>
              </w:rPr>
              <w:t>Caracteristici</w:t>
            </w:r>
            <w:proofErr w:type="spellEnd"/>
            <w:r w:rsidRPr="00C56257">
              <w:rPr>
                <w:rFonts w:eastAsia="Calibri"/>
                <w:lang w:val="en-GB"/>
              </w:rPr>
              <w:t xml:space="preserve"> </w:t>
            </w:r>
            <w:proofErr w:type="spellStart"/>
            <w:r w:rsidRPr="00C56257">
              <w:rPr>
                <w:rFonts w:eastAsia="Calibri"/>
                <w:lang w:val="en-GB"/>
              </w:rPr>
              <w:t>fizice</w:t>
            </w:r>
            <w:proofErr w:type="spellEnd"/>
          </w:p>
        </w:tc>
        <w:tc>
          <w:tcPr>
            <w:tcW w:w="3402" w:type="dxa"/>
            <w:tcBorders>
              <w:top w:val="single" w:sz="4" w:space="0" w:color="auto"/>
              <w:left w:val="single" w:sz="4" w:space="0" w:color="auto"/>
              <w:bottom w:val="single" w:sz="4" w:space="0" w:color="auto"/>
              <w:right w:val="single" w:sz="4" w:space="0" w:color="auto"/>
            </w:tcBorders>
            <w:hideMark/>
          </w:tcPr>
          <w:p w14:paraId="1879F487" w14:textId="77777777" w:rsidR="00FC026B" w:rsidRPr="00C56257" w:rsidRDefault="00FC026B" w:rsidP="00993B86">
            <w:pPr>
              <w:rPr>
                <w:rFonts w:eastAsia="Calibri"/>
                <w:lang w:val="en-GB"/>
              </w:rPr>
            </w:pPr>
            <w:proofErr w:type="spellStart"/>
            <w:r w:rsidRPr="00C56257">
              <w:rPr>
                <w:rFonts w:eastAsia="Calibri"/>
                <w:lang w:val="en-GB"/>
              </w:rPr>
              <w:t>Substrat</w:t>
            </w:r>
            <w:proofErr w:type="spellEnd"/>
            <w:r w:rsidRPr="00C56257">
              <w:rPr>
                <w:rFonts w:eastAsia="Calibri"/>
                <w:lang w:val="en-GB"/>
              </w:rPr>
              <w:t xml:space="preserve">: tip de </w:t>
            </w:r>
            <w:proofErr w:type="spellStart"/>
            <w:r w:rsidRPr="00C56257">
              <w:rPr>
                <w:rFonts w:eastAsia="Calibri"/>
                <w:lang w:val="en-GB"/>
              </w:rPr>
              <w:t>substrat</w:t>
            </w:r>
            <w:proofErr w:type="spellEnd"/>
          </w:p>
        </w:tc>
        <w:tc>
          <w:tcPr>
            <w:tcW w:w="3793" w:type="dxa"/>
            <w:tcBorders>
              <w:top w:val="single" w:sz="4" w:space="0" w:color="auto"/>
              <w:left w:val="single" w:sz="4" w:space="0" w:color="auto"/>
              <w:bottom w:val="single" w:sz="4" w:space="0" w:color="auto"/>
              <w:right w:val="single" w:sz="4" w:space="0" w:color="auto"/>
            </w:tcBorders>
            <w:hideMark/>
          </w:tcPr>
          <w:p w14:paraId="19A69418" w14:textId="77777777" w:rsidR="00FC026B" w:rsidRPr="00C56257" w:rsidRDefault="00FC026B" w:rsidP="00993B86">
            <w:pPr>
              <w:rPr>
                <w:rFonts w:eastAsia="Calibri"/>
                <w:lang w:val="it-IT"/>
              </w:rPr>
            </w:pPr>
            <w:r w:rsidRPr="00C56257">
              <w:rPr>
                <w:rFonts w:eastAsia="Calibri"/>
                <w:lang w:val="it-IT"/>
              </w:rPr>
              <w:t>Analiza sedimentelor; analize chimice ale structurilor de carbonat</w:t>
            </w:r>
          </w:p>
        </w:tc>
      </w:tr>
      <w:tr w:rsidR="00FC026B" w:rsidRPr="00C56257" w14:paraId="3BF4C32B" w14:textId="77777777" w:rsidTr="00993B86">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CB7800" w14:textId="77777777" w:rsidR="00FC026B" w:rsidRPr="00F100E1" w:rsidRDefault="00FC026B" w:rsidP="00993B86">
            <w:pPr>
              <w:rPr>
                <w:rFonts w:eastAsia="Calibri"/>
                <w:lang w:val="en-GB"/>
              </w:rPr>
            </w:pPr>
          </w:p>
        </w:tc>
        <w:tc>
          <w:tcPr>
            <w:tcW w:w="3402" w:type="dxa"/>
            <w:tcBorders>
              <w:top w:val="single" w:sz="4" w:space="0" w:color="auto"/>
              <w:left w:val="single" w:sz="4" w:space="0" w:color="auto"/>
              <w:bottom w:val="single" w:sz="4" w:space="0" w:color="auto"/>
              <w:right w:val="single" w:sz="4" w:space="0" w:color="auto"/>
            </w:tcBorders>
            <w:hideMark/>
          </w:tcPr>
          <w:p w14:paraId="3DC79475" w14:textId="77777777" w:rsidR="00FC026B" w:rsidRPr="00C56257" w:rsidRDefault="00FC026B" w:rsidP="00993B86">
            <w:pPr>
              <w:rPr>
                <w:rFonts w:eastAsia="Calibri"/>
                <w:lang w:val="en-GB"/>
              </w:rPr>
            </w:pPr>
            <w:proofErr w:type="spellStart"/>
            <w:r w:rsidRPr="00C56257">
              <w:rPr>
                <w:rFonts w:eastAsia="Calibri"/>
                <w:lang w:val="en-GB"/>
              </w:rPr>
              <w:t>Topografie</w:t>
            </w:r>
            <w:proofErr w:type="spellEnd"/>
          </w:p>
        </w:tc>
        <w:tc>
          <w:tcPr>
            <w:tcW w:w="3793" w:type="dxa"/>
            <w:tcBorders>
              <w:top w:val="single" w:sz="4" w:space="0" w:color="auto"/>
              <w:left w:val="single" w:sz="4" w:space="0" w:color="auto"/>
              <w:bottom w:val="single" w:sz="4" w:space="0" w:color="auto"/>
              <w:right w:val="single" w:sz="4" w:space="0" w:color="auto"/>
            </w:tcBorders>
            <w:hideMark/>
          </w:tcPr>
          <w:p w14:paraId="2C971B08" w14:textId="77777777" w:rsidR="00FC026B" w:rsidRPr="00C56257" w:rsidRDefault="00FC026B" w:rsidP="00993B86">
            <w:pPr>
              <w:rPr>
                <w:rFonts w:eastAsia="Calibri"/>
                <w:lang w:val="it-IT"/>
              </w:rPr>
            </w:pPr>
            <w:r w:rsidRPr="00C56257">
              <w:rPr>
                <w:rFonts w:eastAsia="Calibri"/>
                <w:lang w:val="it-IT"/>
              </w:rPr>
              <w:t>Cartare batimetrică, backscatter</w:t>
            </w:r>
          </w:p>
        </w:tc>
      </w:tr>
      <w:tr w:rsidR="00FC026B" w:rsidRPr="00C56257" w14:paraId="2CFE0D01" w14:textId="77777777" w:rsidTr="00993B86">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7F02A7A" w14:textId="77777777" w:rsidR="00FC026B" w:rsidRPr="00F100E1" w:rsidRDefault="00FC026B" w:rsidP="00993B86">
            <w:pPr>
              <w:rPr>
                <w:rFonts w:eastAsia="Calibri"/>
                <w:lang w:val="en-GB"/>
              </w:rPr>
            </w:pPr>
          </w:p>
        </w:tc>
        <w:tc>
          <w:tcPr>
            <w:tcW w:w="3402" w:type="dxa"/>
            <w:tcBorders>
              <w:top w:val="single" w:sz="4" w:space="0" w:color="auto"/>
              <w:left w:val="single" w:sz="4" w:space="0" w:color="auto"/>
              <w:bottom w:val="single" w:sz="4" w:space="0" w:color="auto"/>
              <w:right w:val="single" w:sz="4" w:space="0" w:color="auto"/>
            </w:tcBorders>
          </w:tcPr>
          <w:p w14:paraId="139A6CB4" w14:textId="77777777" w:rsidR="00FC026B" w:rsidRPr="00C56257" w:rsidRDefault="00FC026B" w:rsidP="00993B86">
            <w:pPr>
              <w:rPr>
                <w:lang w:val="it-IT" w:eastAsia="ro-RO"/>
              </w:rPr>
            </w:pPr>
            <w:r w:rsidRPr="00C56257">
              <w:rPr>
                <w:lang w:val="it-IT" w:eastAsia="ro-RO"/>
              </w:rPr>
              <w:t>Chimismul apei</w:t>
            </w:r>
          </w:p>
          <w:p w14:paraId="2648FBD3" w14:textId="77777777" w:rsidR="00FC026B" w:rsidRPr="00C56257" w:rsidRDefault="00FC026B" w:rsidP="00993B86">
            <w:pPr>
              <w:rPr>
                <w:lang w:val="it-IT" w:eastAsia="ro-RO"/>
              </w:rPr>
            </w:pPr>
          </w:p>
          <w:p w14:paraId="58F19D9A" w14:textId="77777777" w:rsidR="00FC026B" w:rsidRPr="00C56257" w:rsidRDefault="00FC026B" w:rsidP="00993B86">
            <w:pPr>
              <w:rPr>
                <w:lang w:val="it-IT" w:eastAsia="ro-RO"/>
              </w:rPr>
            </w:pPr>
          </w:p>
          <w:p w14:paraId="4837EF84" w14:textId="77777777" w:rsidR="00FC026B" w:rsidRPr="00C56257" w:rsidRDefault="00FC026B" w:rsidP="00993B86">
            <w:pPr>
              <w:rPr>
                <w:lang w:val="it-IT" w:eastAsia="ro-RO"/>
              </w:rPr>
            </w:pPr>
            <w:r w:rsidRPr="00C56257">
              <w:rPr>
                <w:lang w:val="it-IT" w:eastAsia="ro-RO"/>
              </w:rPr>
              <w:t>Salinitate, temperatură</w:t>
            </w:r>
          </w:p>
        </w:tc>
        <w:tc>
          <w:tcPr>
            <w:tcW w:w="3793" w:type="dxa"/>
            <w:tcBorders>
              <w:top w:val="single" w:sz="4" w:space="0" w:color="auto"/>
              <w:left w:val="single" w:sz="4" w:space="0" w:color="auto"/>
              <w:bottom w:val="single" w:sz="4" w:space="0" w:color="auto"/>
              <w:right w:val="single" w:sz="4" w:space="0" w:color="auto"/>
            </w:tcBorders>
          </w:tcPr>
          <w:p w14:paraId="24EC7B3D" w14:textId="77777777" w:rsidR="00FC026B" w:rsidRPr="00C56257" w:rsidRDefault="00FC026B" w:rsidP="00993B86">
            <w:pPr>
              <w:rPr>
                <w:lang w:val="it-IT" w:eastAsia="ro-RO"/>
              </w:rPr>
            </w:pPr>
            <w:r w:rsidRPr="00C56257">
              <w:rPr>
                <w:lang w:val="it-IT" w:eastAsia="ro-RO"/>
              </w:rPr>
              <w:t>Analize chimice labordul navei pt apa de fund și cea din coloana de gaze</w:t>
            </w:r>
          </w:p>
          <w:p w14:paraId="1F40964C" w14:textId="77777777" w:rsidR="00FC026B" w:rsidRPr="00C56257" w:rsidRDefault="00FC026B" w:rsidP="00993B86">
            <w:pPr>
              <w:rPr>
                <w:lang w:val="it-IT" w:eastAsia="ro-RO"/>
              </w:rPr>
            </w:pPr>
          </w:p>
          <w:p w14:paraId="0BD2B1DC" w14:textId="77777777" w:rsidR="00FC026B" w:rsidRPr="00C56257" w:rsidRDefault="00FC026B" w:rsidP="00993B86">
            <w:pPr>
              <w:rPr>
                <w:lang w:val="it-IT" w:eastAsia="ro-RO"/>
              </w:rPr>
            </w:pPr>
            <w:r w:rsidRPr="00C56257">
              <w:rPr>
                <w:lang w:val="it-IT" w:eastAsia="ro-RO"/>
              </w:rPr>
              <w:t>CTD ape de fund</w:t>
            </w:r>
          </w:p>
        </w:tc>
      </w:tr>
      <w:tr w:rsidR="00FC026B" w:rsidRPr="00C56257" w14:paraId="79247E84" w14:textId="77777777" w:rsidTr="00993B86">
        <w:trPr>
          <w:trHeight w:val="29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45AF2A" w14:textId="77777777" w:rsidR="00FC026B" w:rsidRPr="00F100E1" w:rsidRDefault="00FC026B" w:rsidP="00993B86">
            <w:pPr>
              <w:rPr>
                <w:rFonts w:eastAsia="Calibri"/>
                <w:lang w:val="en-GB"/>
              </w:rPr>
            </w:pPr>
          </w:p>
        </w:tc>
        <w:tc>
          <w:tcPr>
            <w:tcW w:w="3402" w:type="dxa"/>
            <w:tcBorders>
              <w:top w:val="single" w:sz="4" w:space="0" w:color="auto"/>
              <w:left w:val="single" w:sz="4" w:space="0" w:color="auto"/>
              <w:bottom w:val="single" w:sz="4" w:space="0" w:color="auto"/>
              <w:right w:val="single" w:sz="4" w:space="0" w:color="auto"/>
            </w:tcBorders>
            <w:hideMark/>
          </w:tcPr>
          <w:p w14:paraId="715DA2E4" w14:textId="77777777" w:rsidR="00FC026B" w:rsidRPr="00C56257" w:rsidRDefault="00FC026B" w:rsidP="00993B86">
            <w:pPr>
              <w:rPr>
                <w:lang w:val="it-IT" w:eastAsia="ro-RO"/>
              </w:rPr>
            </w:pPr>
            <w:r w:rsidRPr="00C56257">
              <w:rPr>
                <w:lang w:val="it-IT" w:eastAsia="ro-RO"/>
              </w:rPr>
              <w:t>Emisii de metan</w:t>
            </w:r>
          </w:p>
        </w:tc>
        <w:tc>
          <w:tcPr>
            <w:tcW w:w="3793" w:type="dxa"/>
            <w:tcBorders>
              <w:top w:val="single" w:sz="4" w:space="0" w:color="auto"/>
              <w:left w:val="single" w:sz="4" w:space="0" w:color="auto"/>
              <w:bottom w:val="single" w:sz="4" w:space="0" w:color="auto"/>
              <w:right w:val="single" w:sz="4" w:space="0" w:color="auto"/>
            </w:tcBorders>
            <w:hideMark/>
          </w:tcPr>
          <w:p w14:paraId="303EED5B" w14:textId="77777777" w:rsidR="00FC026B" w:rsidRPr="00C56257" w:rsidRDefault="00FC026B" w:rsidP="00993B86">
            <w:pPr>
              <w:rPr>
                <w:lang w:val="it-IT" w:eastAsia="ro-RO"/>
              </w:rPr>
            </w:pPr>
            <w:r w:rsidRPr="00C56257">
              <w:rPr>
                <w:lang w:val="it-IT" w:eastAsia="ro-RO"/>
              </w:rPr>
              <w:t>Detectoare de gaze</w:t>
            </w:r>
          </w:p>
        </w:tc>
      </w:tr>
      <w:tr w:rsidR="00FC026B" w:rsidRPr="00C56257" w14:paraId="749AB887" w14:textId="77777777" w:rsidTr="00993B86">
        <w:tc>
          <w:tcPr>
            <w:tcW w:w="2660" w:type="dxa"/>
            <w:vMerge w:val="restart"/>
            <w:tcBorders>
              <w:top w:val="single" w:sz="4" w:space="0" w:color="auto"/>
              <w:left w:val="single" w:sz="4" w:space="0" w:color="auto"/>
              <w:bottom w:val="single" w:sz="4" w:space="0" w:color="auto"/>
              <w:right w:val="single" w:sz="4" w:space="0" w:color="auto"/>
            </w:tcBorders>
            <w:hideMark/>
          </w:tcPr>
          <w:p w14:paraId="08169294" w14:textId="77777777" w:rsidR="00FC026B" w:rsidRPr="00C56257" w:rsidRDefault="00FC026B" w:rsidP="00993B86">
            <w:pPr>
              <w:autoSpaceDE w:val="0"/>
              <w:autoSpaceDN w:val="0"/>
              <w:adjustRightInd w:val="0"/>
              <w:rPr>
                <w:rFonts w:eastAsia="Calibri"/>
                <w:lang w:val="en-GB"/>
              </w:rPr>
            </w:pPr>
            <w:proofErr w:type="spellStart"/>
            <w:r w:rsidRPr="00C56257">
              <w:rPr>
                <w:rFonts w:eastAsia="Calibri"/>
                <w:lang w:val="en-GB"/>
              </w:rPr>
              <w:t>Structura</w:t>
            </w:r>
            <w:proofErr w:type="spellEnd"/>
            <w:r w:rsidRPr="00C56257">
              <w:rPr>
                <w:rFonts w:eastAsia="Calibri"/>
                <w:lang w:val="en-GB"/>
              </w:rPr>
              <w:t xml:space="preserve"> </w:t>
            </w:r>
            <w:proofErr w:type="spellStart"/>
            <w:r w:rsidRPr="00C56257">
              <w:rPr>
                <w:rFonts w:eastAsia="Calibri"/>
                <w:lang w:val="en-GB"/>
              </w:rPr>
              <w:t>habitatului</w:t>
            </w:r>
            <w:proofErr w:type="spellEnd"/>
          </w:p>
        </w:tc>
        <w:tc>
          <w:tcPr>
            <w:tcW w:w="3402" w:type="dxa"/>
            <w:tcBorders>
              <w:top w:val="single" w:sz="4" w:space="0" w:color="auto"/>
              <w:left w:val="single" w:sz="4" w:space="0" w:color="auto"/>
              <w:bottom w:val="single" w:sz="4" w:space="0" w:color="auto"/>
              <w:right w:val="single" w:sz="4" w:space="0" w:color="auto"/>
            </w:tcBorders>
            <w:hideMark/>
          </w:tcPr>
          <w:p w14:paraId="6501FEB9" w14:textId="77777777" w:rsidR="00FC026B" w:rsidRPr="00C56257" w:rsidRDefault="00FC026B" w:rsidP="00993B86">
            <w:pPr>
              <w:rPr>
                <w:rFonts w:eastAsia="Calibri"/>
                <w:lang w:val="en-GB"/>
              </w:rPr>
            </w:pPr>
            <w:r w:rsidRPr="00C56257">
              <w:rPr>
                <w:rFonts w:eastAsia="Calibri"/>
                <w:lang w:val="it-IT"/>
              </w:rPr>
              <w:t xml:space="preserve">Subtipuri prezente </w:t>
            </w:r>
          </w:p>
        </w:tc>
        <w:tc>
          <w:tcPr>
            <w:tcW w:w="3793" w:type="dxa"/>
            <w:tcBorders>
              <w:top w:val="single" w:sz="4" w:space="0" w:color="auto"/>
              <w:left w:val="single" w:sz="4" w:space="0" w:color="auto"/>
              <w:bottom w:val="single" w:sz="4" w:space="0" w:color="auto"/>
              <w:right w:val="single" w:sz="4" w:space="0" w:color="auto"/>
            </w:tcBorders>
            <w:hideMark/>
          </w:tcPr>
          <w:p w14:paraId="1895D993" w14:textId="77777777" w:rsidR="00FC026B" w:rsidRPr="00C56257" w:rsidRDefault="00FC026B" w:rsidP="00993B86">
            <w:pPr>
              <w:rPr>
                <w:lang w:val="it-IT" w:eastAsia="ro-RO"/>
              </w:rPr>
            </w:pPr>
            <w:r w:rsidRPr="00C56257">
              <w:rPr>
                <w:lang w:val="it-IT" w:eastAsia="ro-RO"/>
              </w:rPr>
              <w:t>Cartarea emisiilor și structurilor de carbonat</w:t>
            </w:r>
          </w:p>
          <w:p w14:paraId="47C89220" w14:textId="77777777" w:rsidR="00FC026B" w:rsidRPr="00C56257" w:rsidRDefault="00FC026B" w:rsidP="00993B86">
            <w:pPr>
              <w:rPr>
                <w:lang w:val="it-IT" w:eastAsia="ro-RO"/>
              </w:rPr>
            </w:pPr>
            <w:r w:rsidRPr="00C56257">
              <w:rPr>
                <w:lang w:val="it-IT" w:eastAsia="ro-RO"/>
              </w:rPr>
              <w:t>Înregistrare video subacvatică ROV sau cameră tractată</w:t>
            </w:r>
          </w:p>
        </w:tc>
      </w:tr>
      <w:tr w:rsidR="00FC026B" w:rsidRPr="00C56257" w14:paraId="71E58555" w14:textId="77777777" w:rsidTr="00993B86">
        <w:tc>
          <w:tcPr>
            <w:tcW w:w="0" w:type="auto"/>
            <w:vMerge/>
            <w:tcBorders>
              <w:top w:val="single" w:sz="4" w:space="0" w:color="auto"/>
              <w:left w:val="single" w:sz="4" w:space="0" w:color="auto"/>
              <w:bottom w:val="single" w:sz="4" w:space="0" w:color="auto"/>
              <w:right w:val="single" w:sz="4" w:space="0" w:color="auto"/>
            </w:tcBorders>
            <w:vAlign w:val="center"/>
            <w:hideMark/>
          </w:tcPr>
          <w:p w14:paraId="6EA60A40" w14:textId="77777777" w:rsidR="00FC026B" w:rsidRPr="00F100E1" w:rsidRDefault="00FC026B" w:rsidP="00993B86">
            <w:pPr>
              <w:rPr>
                <w:rFonts w:eastAsia="Calibri"/>
                <w:lang w:val="en-GB"/>
              </w:rPr>
            </w:pPr>
          </w:p>
        </w:tc>
        <w:tc>
          <w:tcPr>
            <w:tcW w:w="3402" w:type="dxa"/>
            <w:tcBorders>
              <w:top w:val="single" w:sz="4" w:space="0" w:color="auto"/>
              <w:left w:val="single" w:sz="4" w:space="0" w:color="auto"/>
              <w:bottom w:val="single" w:sz="4" w:space="0" w:color="auto"/>
              <w:right w:val="single" w:sz="4" w:space="0" w:color="auto"/>
            </w:tcBorders>
            <w:hideMark/>
          </w:tcPr>
          <w:p w14:paraId="72E43926" w14:textId="77777777" w:rsidR="00FC026B" w:rsidRPr="00C56257" w:rsidRDefault="00FC026B" w:rsidP="00993B86">
            <w:pPr>
              <w:rPr>
                <w:rFonts w:eastAsia="Calibri"/>
                <w:lang w:val="en-GB"/>
              </w:rPr>
            </w:pPr>
            <w:proofErr w:type="spellStart"/>
            <w:r w:rsidRPr="00C56257">
              <w:rPr>
                <w:rFonts w:eastAsia="Calibri"/>
                <w:lang w:val="en-GB"/>
              </w:rPr>
              <w:t>Specii</w:t>
            </w:r>
            <w:proofErr w:type="spellEnd"/>
            <w:r w:rsidRPr="00C56257">
              <w:rPr>
                <w:rFonts w:eastAsia="Calibri"/>
                <w:lang w:val="en-GB"/>
              </w:rPr>
              <w:t xml:space="preserve"> </w:t>
            </w:r>
            <w:proofErr w:type="spellStart"/>
            <w:r w:rsidRPr="00C56257">
              <w:rPr>
                <w:rFonts w:eastAsia="Calibri"/>
                <w:lang w:val="en-GB"/>
              </w:rPr>
              <w:t>edificatoare</w:t>
            </w:r>
            <w:proofErr w:type="spellEnd"/>
            <w:r w:rsidRPr="00C56257">
              <w:rPr>
                <w:rFonts w:eastAsia="Calibri"/>
                <w:lang w:val="en-GB"/>
              </w:rPr>
              <w:t xml:space="preserve"> / </w:t>
            </w:r>
            <w:proofErr w:type="spellStart"/>
            <w:r w:rsidRPr="00C56257">
              <w:rPr>
                <w:rFonts w:eastAsia="Calibri"/>
                <w:lang w:val="en-GB"/>
              </w:rPr>
              <w:t>caracteristice</w:t>
            </w:r>
            <w:proofErr w:type="spellEnd"/>
          </w:p>
        </w:tc>
        <w:tc>
          <w:tcPr>
            <w:tcW w:w="3793" w:type="dxa"/>
            <w:tcBorders>
              <w:top w:val="single" w:sz="4" w:space="0" w:color="auto"/>
              <w:left w:val="single" w:sz="4" w:space="0" w:color="auto"/>
              <w:bottom w:val="single" w:sz="4" w:space="0" w:color="auto"/>
              <w:right w:val="single" w:sz="4" w:space="0" w:color="auto"/>
            </w:tcBorders>
            <w:hideMark/>
          </w:tcPr>
          <w:p w14:paraId="38716968" w14:textId="77777777" w:rsidR="00FC026B" w:rsidRPr="00C56257" w:rsidRDefault="00FC026B" w:rsidP="00993B86">
            <w:pPr>
              <w:rPr>
                <w:lang w:val="it-IT" w:eastAsia="ro-RO"/>
              </w:rPr>
            </w:pPr>
            <w:r w:rsidRPr="00C56257">
              <w:rPr>
                <w:lang w:val="it-IT" w:eastAsia="ro-RO"/>
              </w:rPr>
              <w:t>Prelevarea de probe microbiologica</w:t>
            </w:r>
          </w:p>
        </w:tc>
      </w:tr>
      <w:tr w:rsidR="00FC026B" w:rsidRPr="00C56257" w14:paraId="5B4FD203" w14:textId="77777777" w:rsidTr="00993B86">
        <w:tc>
          <w:tcPr>
            <w:tcW w:w="0" w:type="auto"/>
            <w:vMerge/>
            <w:tcBorders>
              <w:top w:val="single" w:sz="4" w:space="0" w:color="auto"/>
              <w:left w:val="single" w:sz="4" w:space="0" w:color="auto"/>
              <w:bottom w:val="single" w:sz="4" w:space="0" w:color="auto"/>
              <w:right w:val="single" w:sz="4" w:space="0" w:color="auto"/>
            </w:tcBorders>
            <w:vAlign w:val="center"/>
            <w:hideMark/>
          </w:tcPr>
          <w:p w14:paraId="0D3903D2" w14:textId="77777777" w:rsidR="00FC026B" w:rsidRPr="00F100E1" w:rsidRDefault="00FC026B" w:rsidP="00993B86">
            <w:pPr>
              <w:rPr>
                <w:rFonts w:eastAsia="Calibri"/>
                <w:lang w:val="en-GB"/>
              </w:rPr>
            </w:pPr>
          </w:p>
        </w:tc>
        <w:tc>
          <w:tcPr>
            <w:tcW w:w="3402" w:type="dxa"/>
            <w:tcBorders>
              <w:top w:val="single" w:sz="4" w:space="0" w:color="auto"/>
              <w:left w:val="single" w:sz="4" w:space="0" w:color="auto"/>
              <w:bottom w:val="single" w:sz="4" w:space="0" w:color="auto"/>
              <w:right w:val="single" w:sz="4" w:space="0" w:color="auto"/>
            </w:tcBorders>
            <w:hideMark/>
          </w:tcPr>
          <w:p w14:paraId="5F543F2B" w14:textId="77777777" w:rsidR="00FC026B" w:rsidRPr="00C56257" w:rsidRDefault="00FC026B" w:rsidP="00993B86">
            <w:pPr>
              <w:rPr>
                <w:rFonts w:eastAsia="Calibri"/>
                <w:lang w:val="en-GB"/>
              </w:rPr>
            </w:pPr>
            <w:r w:rsidRPr="00C56257">
              <w:rPr>
                <w:rFonts w:eastAsia="Calibri"/>
                <w:lang w:val="it-IT"/>
              </w:rPr>
              <w:t>Alte specii rare / amenințate</w:t>
            </w:r>
          </w:p>
        </w:tc>
        <w:tc>
          <w:tcPr>
            <w:tcW w:w="3793" w:type="dxa"/>
            <w:tcBorders>
              <w:top w:val="single" w:sz="4" w:space="0" w:color="auto"/>
              <w:left w:val="single" w:sz="4" w:space="0" w:color="auto"/>
              <w:bottom w:val="single" w:sz="4" w:space="0" w:color="auto"/>
              <w:right w:val="single" w:sz="4" w:space="0" w:color="auto"/>
            </w:tcBorders>
            <w:hideMark/>
          </w:tcPr>
          <w:p w14:paraId="3E083115" w14:textId="77777777" w:rsidR="00FC026B" w:rsidRPr="00C56257" w:rsidRDefault="00FC026B" w:rsidP="00993B86">
            <w:pPr>
              <w:rPr>
                <w:lang w:eastAsia="ro-RO"/>
              </w:rPr>
            </w:pPr>
            <w:r w:rsidRPr="00C56257">
              <w:rPr>
                <w:lang w:val="it-IT" w:eastAsia="ro-RO"/>
              </w:rPr>
              <w:t>înregistrare video subacvatică ROV sau cameră tractată</w:t>
            </w:r>
          </w:p>
        </w:tc>
      </w:tr>
      <w:tr w:rsidR="00FC026B" w:rsidRPr="00C56257" w14:paraId="3D3CC5F9" w14:textId="77777777" w:rsidTr="00993B86">
        <w:tc>
          <w:tcPr>
            <w:tcW w:w="2660" w:type="dxa"/>
            <w:tcBorders>
              <w:top w:val="single" w:sz="4" w:space="0" w:color="auto"/>
              <w:left w:val="single" w:sz="4" w:space="0" w:color="auto"/>
              <w:bottom w:val="single" w:sz="4" w:space="0" w:color="auto"/>
              <w:right w:val="single" w:sz="4" w:space="0" w:color="auto"/>
            </w:tcBorders>
            <w:hideMark/>
          </w:tcPr>
          <w:p w14:paraId="20389FB3" w14:textId="77777777" w:rsidR="00FC026B" w:rsidRPr="00C56257" w:rsidRDefault="00FC026B" w:rsidP="00993B86">
            <w:pPr>
              <w:rPr>
                <w:rFonts w:eastAsia="Calibri"/>
                <w:lang w:val="en-GB"/>
              </w:rPr>
            </w:pPr>
            <w:proofErr w:type="spellStart"/>
            <w:r w:rsidRPr="00C56257">
              <w:rPr>
                <w:rFonts w:eastAsia="Calibri"/>
                <w:lang w:val="en-GB"/>
              </w:rPr>
              <w:t>Distribuția</w:t>
            </w:r>
            <w:proofErr w:type="spellEnd"/>
            <w:r w:rsidRPr="00C56257">
              <w:rPr>
                <w:rFonts w:eastAsia="Calibri"/>
                <w:lang w:val="en-GB"/>
              </w:rPr>
              <w:t xml:space="preserve"> </w:t>
            </w:r>
            <w:proofErr w:type="spellStart"/>
            <w:r w:rsidRPr="00C56257">
              <w:rPr>
                <w:rFonts w:eastAsia="Calibri"/>
                <w:lang w:val="en-GB"/>
              </w:rPr>
              <w:t>spațială</w:t>
            </w:r>
            <w:proofErr w:type="spellEnd"/>
          </w:p>
        </w:tc>
        <w:tc>
          <w:tcPr>
            <w:tcW w:w="3402" w:type="dxa"/>
            <w:tcBorders>
              <w:top w:val="single" w:sz="4" w:space="0" w:color="auto"/>
              <w:left w:val="single" w:sz="4" w:space="0" w:color="auto"/>
              <w:bottom w:val="single" w:sz="4" w:space="0" w:color="auto"/>
              <w:right w:val="single" w:sz="4" w:space="0" w:color="auto"/>
            </w:tcBorders>
            <w:hideMark/>
          </w:tcPr>
          <w:p w14:paraId="37534B01" w14:textId="77777777" w:rsidR="00FC026B" w:rsidRPr="00C56257" w:rsidRDefault="00FC026B" w:rsidP="00993B86">
            <w:pPr>
              <w:rPr>
                <w:rFonts w:eastAsia="Calibri"/>
                <w:lang w:val="en-GB"/>
              </w:rPr>
            </w:pPr>
            <w:r w:rsidRPr="00C56257">
              <w:rPr>
                <w:rFonts w:eastAsia="Calibri"/>
                <w:lang w:val="it-IT"/>
              </w:rPr>
              <w:t>Model spațial al distribuției subtipurilor</w:t>
            </w:r>
          </w:p>
        </w:tc>
        <w:tc>
          <w:tcPr>
            <w:tcW w:w="3793" w:type="dxa"/>
            <w:tcBorders>
              <w:top w:val="single" w:sz="4" w:space="0" w:color="auto"/>
              <w:left w:val="single" w:sz="4" w:space="0" w:color="auto"/>
              <w:bottom w:val="single" w:sz="4" w:space="0" w:color="auto"/>
              <w:right w:val="single" w:sz="4" w:space="0" w:color="auto"/>
            </w:tcBorders>
            <w:hideMark/>
          </w:tcPr>
          <w:p w14:paraId="117128F4" w14:textId="77777777" w:rsidR="00FC026B" w:rsidRPr="00C56257" w:rsidRDefault="00FC026B" w:rsidP="00993B86">
            <w:pPr>
              <w:rPr>
                <w:rFonts w:eastAsia="Calibri"/>
                <w:lang w:val="fr-FR"/>
              </w:rPr>
            </w:pPr>
            <w:proofErr w:type="spellStart"/>
            <w:r w:rsidRPr="00C56257">
              <w:rPr>
                <w:rFonts w:eastAsia="Calibri"/>
                <w:lang w:val="fr-FR"/>
              </w:rPr>
              <w:t>Cartare</w:t>
            </w:r>
            <w:proofErr w:type="spellEnd"/>
            <w:r w:rsidRPr="00C56257">
              <w:rPr>
                <w:rFonts w:eastAsia="Calibri"/>
                <w:lang w:val="fr-FR"/>
              </w:rPr>
              <w:t xml:space="preserve"> </w:t>
            </w:r>
            <w:proofErr w:type="spellStart"/>
            <w:r w:rsidRPr="00C56257">
              <w:rPr>
                <w:rFonts w:eastAsia="Calibri"/>
                <w:lang w:val="fr-FR"/>
              </w:rPr>
              <w:t>cu</w:t>
            </w:r>
            <w:proofErr w:type="spellEnd"/>
            <w:r w:rsidRPr="00C56257">
              <w:rPr>
                <w:rFonts w:eastAsia="Calibri"/>
                <w:lang w:val="fr-FR"/>
              </w:rPr>
              <w:t xml:space="preserve"> </w:t>
            </w:r>
            <w:proofErr w:type="spellStart"/>
            <w:r w:rsidRPr="00C56257">
              <w:rPr>
                <w:rFonts w:eastAsia="Calibri"/>
                <w:lang w:val="fr-FR"/>
              </w:rPr>
              <w:t>ajutorul</w:t>
            </w:r>
            <w:proofErr w:type="spellEnd"/>
            <w:r w:rsidRPr="00C56257">
              <w:rPr>
                <w:rFonts w:eastAsia="Calibri"/>
                <w:lang w:val="fr-FR"/>
              </w:rPr>
              <w:t xml:space="preserve"> </w:t>
            </w:r>
            <w:proofErr w:type="spellStart"/>
            <w:r w:rsidRPr="00C56257">
              <w:rPr>
                <w:rFonts w:eastAsia="Calibri"/>
                <w:lang w:val="fr-FR"/>
              </w:rPr>
              <w:t>datelor</w:t>
            </w:r>
            <w:proofErr w:type="spellEnd"/>
            <w:r w:rsidRPr="00C56257">
              <w:rPr>
                <w:rFonts w:eastAsia="Calibri"/>
                <w:lang w:val="fr-FR"/>
              </w:rPr>
              <w:t xml:space="preserve"> </w:t>
            </w:r>
            <w:proofErr w:type="spellStart"/>
            <w:r w:rsidRPr="00C56257">
              <w:rPr>
                <w:rFonts w:eastAsia="Calibri"/>
                <w:lang w:val="fr-FR"/>
              </w:rPr>
              <w:t>colectate</w:t>
            </w:r>
            <w:proofErr w:type="spellEnd"/>
            <w:r w:rsidRPr="00C56257">
              <w:rPr>
                <w:rFonts w:eastAsia="Calibri"/>
                <w:lang w:val="fr-FR"/>
              </w:rPr>
              <w:t xml:space="preserve"> </w:t>
            </w:r>
            <w:proofErr w:type="spellStart"/>
            <w:r w:rsidRPr="00C56257">
              <w:rPr>
                <w:rFonts w:eastAsia="Calibri"/>
                <w:lang w:val="fr-FR"/>
              </w:rPr>
              <w:t>prin</w:t>
            </w:r>
            <w:proofErr w:type="spellEnd"/>
            <w:r w:rsidRPr="00C56257">
              <w:rPr>
                <w:rFonts w:eastAsia="Calibri"/>
                <w:lang w:val="fr-FR"/>
              </w:rPr>
              <w:t xml:space="preserve"> </w:t>
            </w:r>
            <w:proofErr w:type="spellStart"/>
            <w:r w:rsidRPr="00C56257">
              <w:rPr>
                <w:rFonts w:eastAsia="Calibri"/>
                <w:lang w:val="fr-FR"/>
              </w:rPr>
              <w:t>înregistrari</w:t>
            </w:r>
            <w:proofErr w:type="spellEnd"/>
            <w:r w:rsidRPr="00C56257">
              <w:rPr>
                <w:rFonts w:eastAsia="Calibri"/>
                <w:lang w:val="fr-FR"/>
              </w:rPr>
              <w:t xml:space="preserve"> </w:t>
            </w:r>
            <w:proofErr w:type="spellStart"/>
            <w:r w:rsidRPr="00C56257">
              <w:rPr>
                <w:rFonts w:eastAsia="Calibri"/>
                <w:lang w:val="fr-FR"/>
              </w:rPr>
              <w:t>video</w:t>
            </w:r>
            <w:proofErr w:type="spellEnd"/>
            <w:r w:rsidRPr="00C56257">
              <w:rPr>
                <w:rFonts w:eastAsia="Calibri"/>
                <w:lang w:val="fr-FR"/>
              </w:rPr>
              <w:t xml:space="preserve"> </w:t>
            </w:r>
            <w:proofErr w:type="spellStart"/>
            <w:r w:rsidRPr="00C56257">
              <w:rPr>
                <w:rFonts w:eastAsia="Calibri"/>
                <w:lang w:val="fr-FR"/>
              </w:rPr>
              <w:t>cu</w:t>
            </w:r>
            <w:proofErr w:type="spellEnd"/>
            <w:r w:rsidRPr="00C56257">
              <w:rPr>
                <w:rFonts w:eastAsia="Calibri"/>
                <w:lang w:val="fr-FR"/>
              </w:rPr>
              <w:t xml:space="preserve"> ROV </w:t>
            </w:r>
            <w:proofErr w:type="spellStart"/>
            <w:r w:rsidRPr="00C56257">
              <w:rPr>
                <w:rFonts w:eastAsia="Calibri"/>
                <w:lang w:val="fr-FR"/>
              </w:rPr>
              <w:t>sau</w:t>
            </w:r>
            <w:proofErr w:type="spellEnd"/>
            <w:r w:rsidRPr="00C56257">
              <w:rPr>
                <w:rFonts w:eastAsia="Calibri"/>
                <w:lang w:val="fr-FR"/>
              </w:rPr>
              <w:t xml:space="preserve"> </w:t>
            </w:r>
            <w:proofErr w:type="spellStart"/>
            <w:r w:rsidRPr="00C56257">
              <w:rPr>
                <w:rFonts w:eastAsia="Calibri"/>
                <w:lang w:val="fr-FR"/>
              </w:rPr>
              <w:t>cu</w:t>
            </w:r>
            <w:proofErr w:type="spellEnd"/>
            <w:r w:rsidRPr="00C56257">
              <w:rPr>
                <w:rFonts w:eastAsia="Calibri"/>
                <w:lang w:val="fr-FR"/>
              </w:rPr>
              <w:t xml:space="preserve"> camera </w:t>
            </w:r>
            <w:proofErr w:type="spellStart"/>
            <w:r w:rsidRPr="00C56257">
              <w:rPr>
                <w:rFonts w:eastAsia="Calibri"/>
                <w:lang w:val="fr-FR"/>
              </w:rPr>
              <w:t>tractată</w:t>
            </w:r>
            <w:proofErr w:type="spellEnd"/>
          </w:p>
        </w:tc>
      </w:tr>
    </w:tbl>
    <w:p w14:paraId="5F83B72C" w14:textId="77777777" w:rsidR="00FC026B" w:rsidRPr="00C56257" w:rsidRDefault="00FC026B" w:rsidP="00FC026B">
      <w:pPr>
        <w:jc w:val="both"/>
        <w:rPr>
          <w:lang w:eastAsia="ro-RO"/>
        </w:rPr>
      </w:pPr>
    </w:p>
    <w:p w14:paraId="5B170B65" w14:textId="77777777" w:rsidR="00FC026B" w:rsidRPr="00C56257" w:rsidRDefault="00FC026B" w:rsidP="00FC026B">
      <w:pPr>
        <w:rPr>
          <w:rFonts w:eastAsia="Calibri"/>
          <w:bCs/>
        </w:rPr>
      </w:pPr>
      <w:proofErr w:type="spellStart"/>
      <w:r w:rsidRPr="00C56257">
        <w:rPr>
          <w:rFonts w:eastAsia="Calibri"/>
          <w:b/>
          <w:bCs/>
          <w:lang w:val="fr-FR"/>
        </w:rPr>
        <w:t>Presiunile</w:t>
      </w:r>
      <w:proofErr w:type="spellEnd"/>
      <w:r w:rsidRPr="00C56257">
        <w:rPr>
          <w:rFonts w:eastAsia="Calibri"/>
          <w:b/>
          <w:bCs/>
          <w:lang w:val="fr-FR"/>
        </w:rPr>
        <w:t xml:space="preserve"> </w:t>
      </w:r>
      <w:proofErr w:type="spellStart"/>
      <w:r w:rsidRPr="00C56257">
        <w:rPr>
          <w:rFonts w:eastAsia="Calibri"/>
          <w:b/>
          <w:bCs/>
          <w:lang w:val="fr-FR"/>
        </w:rPr>
        <w:t>identificate</w:t>
      </w:r>
      <w:proofErr w:type="spellEnd"/>
      <w:r w:rsidRPr="00C56257">
        <w:rPr>
          <w:rFonts w:eastAsia="Calibri"/>
          <w:b/>
          <w:bCs/>
          <w:lang w:val="fr-FR"/>
        </w:rPr>
        <w:t> </w:t>
      </w:r>
      <w:proofErr w:type="spellStart"/>
      <w:r w:rsidRPr="00C56257">
        <w:rPr>
          <w:rFonts w:eastAsia="Calibri"/>
          <w:bCs/>
          <w:lang w:val="fr-FR"/>
        </w:rPr>
        <w:t>pînă</w:t>
      </w:r>
      <w:proofErr w:type="spellEnd"/>
      <w:r w:rsidRPr="00C56257">
        <w:rPr>
          <w:rFonts w:eastAsia="Calibri"/>
          <w:bCs/>
          <w:lang w:val="fr-FR"/>
        </w:rPr>
        <w:t xml:space="preserve"> </w:t>
      </w:r>
      <w:proofErr w:type="spellStart"/>
      <w:r w:rsidRPr="00C56257">
        <w:rPr>
          <w:rFonts w:eastAsia="Calibri"/>
          <w:bCs/>
          <w:lang w:val="fr-FR"/>
        </w:rPr>
        <w:t>în</w:t>
      </w:r>
      <w:proofErr w:type="spellEnd"/>
      <w:r w:rsidRPr="00C56257">
        <w:rPr>
          <w:rFonts w:eastAsia="Calibri"/>
          <w:bCs/>
          <w:lang w:val="fr-FR"/>
        </w:rPr>
        <w:t xml:space="preserve"> </w:t>
      </w:r>
      <w:proofErr w:type="spellStart"/>
      <w:r w:rsidRPr="00C56257">
        <w:rPr>
          <w:rFonts w:eastAsia="Calibri"/>
          <w:bCs/>
          <w:lang w:val="fr-FR"/>
        </w:rPr>
        <w:t>prezent</w:t>
      </w:r>
      <w:proofErr w:type="spellEnd"/>
      <w:r w:rsidRPr="00C56257">
        <w:rPr>
          <w:rFonts w:eastAsia="Calibri"/>
          <w:bCs/>
          <w:lang w:val="fr-FR"/>
        </w:rPr>
        <w:t xml:space="preserve"> </w:t>
      </w:r>
      <w:proofErr w:type="spellStart"/>
      <w:r w:rsidRPr="00C56257">
        <w:rPr>
          <w:rFonts w:eastAsia="Calibri"/>
          <w:bCs/>
          <w:lang w:val="fr-FR"/>
        </w:rPr>
        <w:t>sunt</w:t>
      </w:r>
      <w:proofErr w:type="spellEnd"/>
      <w:r w:rsidRPr="00C56257">
        <w:rPr>
          <w:rFonts w:eastAsia="Calibri"/>
          <w:bCs/>
          <w:lang w:val="fr-FR"/>
        </w:rPr>
        <w:t>:</w:t>
      </w:r>
    </w:p>
    <w:tbl>
      <w:tblPr>
        <w:tblW w:w="0" w:type="auto"/>
        <w:tblLayout w:type="fixed"/>
        <w:tblLook w:val="06A0" w:firstRow="1" w:lastRow="0" w:firstColumn="1" w:lastColumn="0" w:noHBand="1" w:noVBand="1"/>
      </w:tblPr>
      <w:tblGrid>
        <w:gridCol w:w="10031"/>
      </w:tblGrid>
      <w:tr w:rsidR="00FC026B" w:rsidRPr="00C56257" w14:paraId="585208EE" w14:textId="77777777" w:rsidTr="00993B86">
        <w:tc>
          <w:tcPr>
            <w:tcW w:w="10031" w:type="dxa"/>
            <w:hideMark/>
          </w:tcPr>
          <w:p w14:paraId="1E1CF790" w14:textId="77777777" w:rsidR="00FC026B" w:rsidRPr="00C56257" w:rsidRDefault="00FC026B" w:rsidP="009E63E5">
            <w:pPr>
              <w:numPr>
                <w:ilvl w:val="0"/>
                <w:numId w:val="177"/>
              </w:numPr>
              <w:jc w:val="both"/>
              <w:rPr>
                <w:lang w:val="fr-FR"/>
              </w:rPr>
            </w:pPr>
            <w:r w:rsidRPr="00C56257">
              <w:rPr>
                <w:lang w:val="en-US"/>
              </w:rPr>
              <w:t xml:space="preserve">Recoltarea </w:t>
            </w:r>
            <w:proofErr w:type="spellStart"/>
            <w:r w:rsidRPr="00C56257">
              <w:rPr>
                <w:lang w:val="en-US"/>
              </w:rPr>
              <w:t>peștilor</w:t>
            </w:r>
            <w:proofErr w:type="spellEnd"/>
            <w:r w:rsidRPr="00C56257">
              <w:rPr>
                <w:lang w:val="en-US"/>
              </w:rPr>
              <w:t xml:space="preserve"> </w:t>
            </w:r>
            <w:proofErr w:type="spellStart"/>
            <w:r w:rsidRPr="00C56257">
              <w:rPr>
                <w:lang w:val="en-US"/>
              </w:rPr>
              <w:t>sau</w:t>
            </w:r>
            <w:proofErr w:type="spellEnd"/>
            <w:r w:rsidRPr="00C56257">
              <w:rPr>
                <w:lang w:val="en-US"/>
              </w:rPr>
              <w:t xml:space="preserve"> a </w:t>
            </w:r>
            <w:proofErr w:type="spellStart"/>
            <w:r w:rsidRPr="00C56257">
              <w:rPr>
                <w:lang w:val="en-US"/>
              </w:rPr>
              <w:t>nevertebratelor</w:t>
            </w:r>
            <w:proofErr w:type="spellEnd"/>
            <w:r w:rsidRPr="00C56257">
              <w:rPr>
                <w:lang w:val="en-US"/>
              </w:rPr>
              <w:t xml:space="preserve"> (</w:t>
            </w:r>
            <w:proofErr w:type="spellStart"/>
            <w:r w:rsidRPr="00C56257">
              <w:rPr>
                <w:lang w:val="en-US"/>
              </w:rPr>
              <w:t>profesional</w:t>
            </w:r>
            <w:proofErr w:type="spellEnd"/>
            <w:r w:rsidRPr="00C56257">
              <w:rPr>
                <w:lang w:val="en-US"/>
              </w:rPr>
              <w:t xml:space="preserve"> </w:t>
            </w:r>
            <w:proofErr w:type="spellStart"/>
            <w:r w:rsidRPr="00C56257">
              <w:rPr>
                <w:lang w:val="en-US"/>
              </w:rPr>
              <w:t>sau</w:t>
            </w:r>
            <w:proofErr w:type="spellEnd"/>
            <w:r w:rsidRPr="00C56257">
              <w:rPr>
                <w:lang w:val="en-US"/>
              </w:rPr>
              <w:t xml:space="preserve"> </w:t>
            </w:r>
            <w:proofErr w:type="spellStart"/>
            <w:r w:rsidRPr="00C56257">
              <w:rPr>
                <w:lang w:val="en-US"/>
              </w:rPr>
              <w:t>recreațional</w:t>
            </w:r>
            <w:proofErr w:type="spellEnd"/>
            <w:r w:rsidRPr="00C56257">
              <w:rPr>
                <w:lang w:val="en-US"/>
              </w:rPr>
              <w:t xml:space="preserve">) care </w:t>
            </w:r>
            <w:proofErr w:type="spellStart"/>
            <w:r w:rsidRPr="00C56257">
              <w:rPr>
                <w:lang w:val="en-US"/>
              </w:rPr>
              <w:t>determină</w:t>
            </w:r>
            <w:proofErr w:type="spellEnd"/>
            <w:r w:rsidRPr="00C56257">
              <w:rPr>
                <w:lang w:val="en-US"/>
              </w:rPr>
              <w:t xml:space="preserve"> </w:t>
            </w:r>
            <w:proofErr w:type="spellStart"/>
            <w:r w:rsidRPr="00C56257">
              <w:rPr>
                <w:lang w:val="en-US"/>
              </w:rPr>
              <w:t>reducerea</w:t>
            </w:r>
            <w:proofErr w:type="spellEnd"/>
            <w:r w:rsidRPr="00C56257">
              <w:rPr>
                <w:lang w:val="en-US"/>
              </w:rPr>
              <w:t xml:space="preserve"> </w:t>
            </w:r>
            <w:proofErr w:type="spellStart"/>
            <w:r w:rsidRPr="00C56257">
              <w:rPr>
                <w:lang w:val="en-US"/>
              </w:rPr>
              <w:t>populațiilor</w:t>
            </w:r>
            <w:proofErr w:type="spellEnd"/>
            <w:r w:rsidRPr="00C56257">
              <w:rPr>
                <w:lang w:val="en-US"/>
              </w:rPr>
              <w:t xml:space="preserve"> </w:t>
            </w:r>
            <w:proofErr w:type="spellStart"/>
            <w:r w:rsidRPr="00C56257">
              <w:rPr>
                <w:lang w:val="en-US"/>
              </w:rPr>
              <w:t>sau</w:t>
            </w:r>
            <w:proofErr w:type="spellEnd"/>
            <w:r w:rsidRPr="00C56257">
              <w:rPr>
                <w:lang w:val="en-US"/>
              </w:rPr>
              <w:t xml:space="preserve"> </w:t>
            </w:r>
            <w:proofErr w:type="spellStart"/>
            <w:r w:rsidRPr="00C56257">
              <w:rPr>
                <w:lang w:val="en-US"/>
              </w:rPr>
              <w:t>perturbarea</w:t>
            </w:r>
            <w:proofErr w:type="spellEnd"/>
            <w:r w:rsidRPr="00C56257">
              <w:rPr>
                <w:lang w:val="en-US"/>
              </w:rPr>
              <w:t xml:space="preserve"> </w:t>
            </w:r>
            <w:proofErr w:type="spellStart"/>
            <w:r w:rsidRPr="00C56257">
              <w:rPr>
                <w:lang w:val="en-US"/>
              </w:rPr>
              <w:t>speciilor</w:t>
            </w:r>
            <w:proofErr w:type="spellEnd"/>
            <w:r w:rsidRPr="00C56257">
              <w:rPr>
                <w:lang w:val="en-US"/>
              </w:rPr>
              <w:t>.</w:t>
            </w:r>
          </w:p>
        </w:tc>
      </w:tr>
      <w:tr w:rsidR="00FC026B" w:rsidRPr="00C56257" w14:paraId="138BCA83" w14:textId="77777777" w:rsidTr="00993B86">
        <w:tc>
          <w:tcPr>
            <w:tcW w:w="10031" w:type="dxa"/>
            <w:hideMark/>
          </w:tcPr>
          <w:p w14:paraId="5E2D8673" w14:textId="77777777" w:rsidR="00FC026B" w:rsidRPr="00C56257" w:rsidRDefault="00FC026B" w:rsidP="009E63E5">
            <w:pPr>
              <w:numPr>
                <w:ilvl w:val="0"/>
                <w:numId w:val="177"/>
              </w:numPr>
              <w:jc w:val="both"/>
              <w:rPr>
                <w:lang w:val="fr-FR"/>
              </w:rPr>
            </w:pPr>
            <w:proofErr w:type="spellStart"/>
            <w:r w:rsidRPr="00C56257">
              <w:rPr>
                <w:lang w:val="en-US"/>
              </w:rPr>
              <w:lastRenderedPageBreak/>
              <w:t>Activități</w:t>
            </w:r>
            <w:proofErr w:type="spellEnd"/>
            <w:r w:rsidRPr="00C56257">
              <w:rPr>
                <w:lang w:val="en-US"/>
              </w:rPr>
              <w:t xml:space="preserve"> de </w:t>
            </w:r>
            <w:proofErr w:type="spellStart"/>
            <w:r w:rsidRPr="00C56257">
              <w:rPr>
                <w:lang w:val="en-US"/>
              </w:rPr>
              <w:t>recoltare</w:t>
            </w:r>
            <w:proofErr w:type="spellEnd"/>
            <w:r w:rsidRPr="00C56257">
              <w:rPr>
                <w:lang w:val="en-US"/>
              </w:rPr>
              <w:t xml:space="preserve"> a </w:t>
            </w:r>
            <w:proofErr w:type="spellStart"/>
            <w:r w:rsidRPr="00C56257">
              <w:rPr>
                <w:lang w:val="en-US"/>
              </w:rPr>
              <w:t>peștilor</w:t>
            </w:r>
            <w:proofErr w:type="spellEnd"/>
            <w:r w:rsidRPr="00C56257">
              <w:rPr>
                <w:lang w:val="en-US"/>
              </w:rPr>
              <w:t xml:space="preserve"> </w:t>
            </w:r>
            <w:proofErr w:type="spellStart"/>
            <w:r w:rsidRPr="00C56257">
              <w:rPr>
                <w:lang w:val="en-US"/>
              </w:rPr>
              <w:t>sau</w:t>
            </w:r>
            <w:proofErr w:type="spellEnd"/>
            <w:r w:rsidRPr="00C56257">
              <w:rPr>
                <w:lang w:val="en-US"/>
              </w:rPr>
              <w:t xml:space="preserve"> a </w:t>
            </w:r>
            <w:proofErr w:type="spellStart"/>
            <w:r w:rsidRPr="00C56257">
              <w:rPr>
                <w:lang w:val="en-US"/>
              </w:rPr>
              <w:t>nevertebratelor</w:t>
            </w:r>
            <w:proofErr w:type="spellEnd"/>
            <w:r w:rsidRPr="00C56257">
              <w:rPr>
                <w:lang w:val="en-US"/>
              </w:rPr>
              <w:t xml:space="preserve"> (</w:t>
            </w:r>
            <w:proofErr w:type="spellStart"/>
            <w:r w:rsidRPr="00C56257">
              <w:rPr>
                <w:lang w:val="en-US"/>
              </w:rPr>
              <w:t>profesionale</w:t>
            </w:r>
            <w:proofErr w:type="spellEnd"/>
            <w:r w:rsidRPr="00C56257">
              <w:rPr>
                <w:lang w:val="en-US"/>
              </w:rPr>
              <w:t xml:space="preserve"> </w:t>
            </w:r>
            <w:proofErr w:type="spellStart"/>
            <w:r w:rsidRPr="00C56257">
              <w:rPr>
                <w:lang w:val="en-US"/>
              </w:rPr>
              <w:t>sau</w:t>
            </w:r>
            <w:proofErr w:type="spellEnd"/>
            <w:r w:rsidRPr="00C56257">
              <w:rPr>
                <w:lang w:val="en-US"/>
              </w:rPr>
              <w:t xml:space="preserve"> </w:t>
            </w:r>
            <w:proofErr w:type="spellStart"/>
            <w:r w:rsidRPr="00C56257">
              <w:rPr>
                <w:lang w:val="en-US"/>
              </w:rPr>
              <w:t>recreaţionale</w:t>
            </w:r>
            <w:proofErr w:type="spellEnd"/>
            <w:r w:rsidRPr="00C56257">
              <w:rPr>
                <w:lang w:val="en-US"/>
              </w:rPr>
              <w:t xml:space="preserve">) care </w:t>
            </w:r>
            <w:proofErr w:type="spellStart"/>
            <w:r w:rsidRPr="00C56257">
              <w:rPr>
                <w:lang w:val="en-US"/>
              </w:rPr>
              <w:t>cauzează</w:t>
            </w:r>
            <w:proofErr w:type="spellEnd"/>
            <w:r w:rsidRPr="00C56257">
              <w:rPr>
                <w:lang w:val="en-US"/>
              </w:rPr>
              <w:t xml:space="preserve"> </w:t>
            </w:r>
            <w:proofErr w:type="spellStart"/>
            <w:r w:rsidRPr="00C56257">
              <w:rPr>
                <w:lang w:val="en-US"/>
              </w:rPr>
              <w:t>pierderi</w:t>
            </w:r>
            <w:proofErr w:type="spellEnd"/>
            <w:r w:rsidRPr="00C56257">
              <w:rPr>
                <w:lang w:val="en-US"/>
              </w:rPr>
              <w:t xml:space="preserve"> </w:t>
            </w:r>
            <w:proofErr w:type="spellStart"/>
            <w:r w:rsidRPr="00C56257">
              <w:rPr>
                <w:lang w:val="en-US"/>
              </w:rPr>
              <w:t>fizice</w:t>
            </w:r>
            <w:proofErr w:type="spellEnd"/>
            <w:r w:rsidRPr="00C56257">
              <w:rPr>
                <w:lang w:val="en-US"/>
              </w:rPr>
              <w:t xml:space="preserve"> </w:t>
            </w:r>
            <w:proofErr w:type="spellStart"/>
            <w:r w:rsidRPr="00C56257">
              <w:rPr>
                <w:lang w:val="en-US"/>
              </w:rPr>
              <w:t>sau</w:t>
            </w:r>
            <w:proofErr w:type="spellEnd"/>
            <w:r w:rsidRPr="00C56257">
              <w:rPr>
                <w:lang w:val="en-US"/>
              </w:rPr>
              <w:t xml:space="preserve"> </w:t>
            </w:r>
            <w:proofErr w:type="spellStart"/>
            <w:r w:rsidRPr="00C56257">
              <w:rPr>
                <w:lang w:val="en-US"/>
              </w:rPr>
              <w:t>perturbări</w:t>
            </w:r>
            <w:proofErr w:type="spellEnd"/>
            <w:r w:rsidRPr="00C56257">
              <w:rPr>
                <w:lang w:val="en-US"/>
              </w:rPr>
              <w:t xml:space="preserve"> ale </w:t>
            </w:r>
            <w:proofErr w:type="spellStart"/>
            <w:r w:rsidRPr="00C56257">
              <w:rPr>
                <w:lang w:val="en-US"/>
              </w:rPr>
              <w:t>habitatelor</w:t>
            </w:r>
            <w:proofErr w:type="spellEnd"/>
            <w:r w:rsidRPr="00C56257">
              <w:rPr>
                <w:lang w:val="en-US"/>
              </w:rPr>
              <w:t xml:space="preserve"> marine.</w:t>
            </w:r>
          </w:p>
        </w:tc>
      </w:tr>
      <w:tr w:rsidR="00FC026B" w:rsidRPr="00C56257" w14:paraId="082CD7E0" w14:textId="77777777" w:rsidTr="00993B86">
        <w:tc>
          <w:tcPr>
            <w:tcW w:w="10031" w:type="dxa"/>
            <w:hideMark/>
          </w:tcPr>
          <w:p w14:paraId="74E4CA2B" w14:textId="77777777" w:rsidR="00FC026B" w:rsidRPr="00C56257" w:rsidRDefault="00FC026B" w:rsidP="009E63E5">
            <w:pPr>
              <w:numPr>
                <w:ilvl w:val="0"/>
                <w:numId w:val="177"/>
              </w:numPr>
              <w:jc w:val="both"/>
              <w:rPr>
                <w:lang w:val="en-US"/>
              </w:rPr>
            </w:pPr>
            <w:proofErr w:type="spellStart"/>
            <w:r w:rsidRPr="00C56257">
              <w:rPr>
                <w:lang w:val="en-US"/>
              </w:rPr>
              <w:t>Navigație</w:t>
            </w:r>
            <w:proofErr w:type="spellEnd"/>
            <w:r w:rsidRPr="00C56257">
              <w:rPr>
                <w:lang w:val="en-US"/>
              </w:rPr>
              <w:t>.</w:t>
            </w:r>
          </w:p>
        </w:tc>
      </w:tr>
      <w:tr w:rsidR="00FC026B" w:rsidRPr="00C56257" w14:paraId="45B3DA82" w14:textId="77777777" w:rsidTr="00993B86">
        <w:tc>
          <w:tcPr>
            <w:tcW w:w="10031" w:type="dxa"/>
            <w:hideMark/>
          </w:tcPr>
          <w:p w14:paraId="3B62506B" w14:textId="77777777" w:rsidR="00FC026B" w:rsidRPr="00C56257" w:rsidRDefault="00FC026B" w:rsidP="009E63E5">
            <w:pPr>
              <w:numPr>
                <w:ilvl w:val="0"/>
                <w:numId w:val="177"/>
              </w:numPr>
              <w:jc w:val="both"/>
              <w:rPr>
                <w:lang w:val="en-US"/>
              </w:rPr>
            </w:pPr>
            <w:proofErr w:type="spellStart"/>
            <w:r w:rsidRPr="00C56257">
              <w:rPr>
                <w:lang w:val="en-US"/>
              </w:rPr>
              <w:t>Activități</w:t>
            </w:r>
            <w:proofErr w:type="spellEnd"/>
            <w:r w:rsidRPr="00C56257">
              <w:rPr>
                <w:lang w:val="en-US"/>
              </w:rPr>
              <w:t xml:space="preserve"> </w:t>
            </w:r>
            <w:proofErr w:type="spellStart"/>
            <w:r w:rsidRPr="00C56257">
              <w:rPr>
                <w:lang w:val="en-US"/>
              </w:rPr>
              <w:t>agricole</w:t>
            </w:r>
            <w:proofErr w:type="spellEnd"/>
            <w:r w:rsidRPr="00C56257">
              <w:rPr>
                <w:lang w:val="en-US"/>
              </w:rPr>
              <w:t xml:space="preserve"> care </w:t>
            </w:r>
            <w:proofErr w:type="spellStart"/>
            <w:r w:rsidRPr="00C56257">
              <w:rPr>
                <w:lang w:val="en-US"/>
              </w:rPr>
              <w:t>generează</w:t>
            </w:r>
            <w:proofErr w:type="spellEnd"/>
            <w:r w:rsidRPr="00C56257">
              <w:rPr>
                <w:lang w:val="en-US"/>
              </w:rPr>
              <w:t xml:space="preserve"> </w:t>
            </w:r>
            <w:proofErr w:type="spellStart"/>
            <w:r w:rsidRPr="00C56257">
              <w:rPr>
                <w:lang w:val="en-US"/>
              </w:rPr>
              <w:t>poluare</w:t>
            </w:r>
            <w:proofErr w:type="spellEnd"/>
            <w:r w:rsidRPr="00C56257">
              <w:rPr>
                <w:lang w:val="en-US"/>
              </w:rPr>
              <w:t xml:space="preserve"> marina.</w:t>
            </w:r>
          </w:p>
        </w:tc>
      </w:tr>
      <w:tr w:rsidR="00FC026B" w:rsidRPr="00C56257" w14:paraId="6B40E116" w14:textId="77777777" w:rsidTr="00993B86">
        <w:tc>
          <w:tcPr>
            <w:tcW w:w="10031" w:type="dxa"/>
            <w:hideMark/>
          </w:tcPr>
          <w:p w14:paraId="1FD28B90" w14:textId="77777777" w:rsidR="00FC026B" w:rsidRPr="00C56257" w:rsidRDefault="00FC026B" w:rsidP="009E63E5">
            <w:pPr>
              <w:numPr>
                <w:ilvl w:val="0"/>
                <w:numId w:val="177"/>
              </w:numPr>
              <w:jc w:val="both"/>
              <w:rPr>
                <w:lang w:val="en-US"/>
              </w:rPr>
            </w:pPr>
            <w:proofErr w:type="spellStart"/>
            <w:r w:rsidRPr="00C56257">
              <w:rPr>
                <w:lang w:val="en-US"/>
              </w:rPr>
              <w:t>Activități</w:t>
            </w:r>
            <w:proofErr w:type="spellEnd"/>
            <w:r w:rsidRPr="00C56257">
              <w:rPr>
                <w:lang w:val="en-US"/>
              </w:rPr>
              <w:t xml:space="preserve"> </w:t>
            </w:r>
            <w:proofErr w:type="spellStart"/>
            <w:r w:rsidRPr="00C56257">
              <w:rPr>
                <w:lang w:val="en-US"/>
              </w:rPr>
              <w:t>în</w:t>
            </w:r>
            <w:proofErr w:type="spellEnd"/>
            <w:r w:rsidRPr="00C56257">
              <w:rPr>
                <w:lang w:val="en-US"/>
              </w:rPr>
              <w:t xml:space="preserve"> </w:t>
            </w:r>
            <w:proofErr w:type="spellStart"/>
            <w:r w:rsidRPr="00C56257">
              <w:rPr>
                <w:lang w:val="en-US"/>
              </w:rPr>
              <w:t>domeniul</w:t>
            </w:r>
            <w:proofErr w:type="spellEnd"/>
            <w:r w:rsidRPr="00C56257">
              <w:rPr>
                <w:lang w:val="en-US"/>
              </w:rPr>
              <w:t xml:space="preserve"> </w:t>
            </w:r>
            <w:proofErr w:type="spellStart"/>
            <w:r w:rsidRPr="00C56257">
              <w:rPr>
                <w:lang w:val="en-US"/>
              </w:rPr>
              <w:t>transportului</w:t>
            </w:r>
            <w:proofErr w:type="spellEnd"/>
            <w:r w:rsidRPr="00C56257">
              <w:rPr>
                <w:lang w:val="en-US"/>
              </w:rPr>
              <w:t xml:space="preserve"> </w:t>
            </w:r>
            <w:proofErr w:type="spellStart"/>
            <w:r w:rsidRPr="00C56257">
              <w:rPr>
                <w:lang w:val="en-US"/>
              </w:rPr>
              <w:t>terestru</w:t>
            </w:r>
            <w:proofErr w:type="spellEnd"/>
            <w:r w:rsidRPr="00C56257">
              <w:rPr>
                <w:lang w:val="en-US"/>
              </w:rPr>
              <w:t xml:space="preserve">, </w:t>
            </w:r>
            <w:proofErr w:type="spellStart"/>
            <w:r w:rsidRPr="00C56257">
              <w:rPr>
                <w:lang w:val="en-US"/>
              </w:rPr>
              <w:t>acvatic</w:t>
            </w:r>
            <w:proofErr w:type="spellEnd"/>
            <w:r w:rsidRPr="00C56257">
              <w:rPr>
                <w:lang w:val="en-US"/>
              </w:rPr>
              <w:t xml:space="preserve"> </w:t>
            </w:r>
            <w:proofErr w:type="spellStart"/>
            <w:r w:rsidRPr="00C56257">
              <w:rPr>
                <w:lang w:val="en-US"/>
              </w:rPr>
              <w:t>sau</w:t>
            </w:r>
            <w:proofErr w:type="spellEnd"/>
            <w:r w:rsidRPr="00C56257">
              <w:rPr>
                <w:lang w:val="en-US"/>
              </w:rPr>
              <w:t xml:space="preserve"> </w:t>
            </w:r>
            <w:proofErr w:type="spellStart"/>
            <w:r w:rsidRPr="00C56257">
              <w:rPr>
                <w:lang w:val="en-US"/>
              </w:rPr>
              <w:t>aerian</w:t>
            </w:r>
            <w:proofErr w:type="spellEnd"/>
            <w:r w:rsidRPr="00C56257">
              <w:rPr>
                <w:lang w:val="en-US"/>
              </w:rPr>
              <w:t xml:space="preserve"> care </w:t>
            </w:r>
            <w:proofErr w:type="spellStart"/>
            <w:r w:rsidRPr="00C56257">
              <w:rPr>
                <w:lang w:val="en-US"/>
              </w:rPr>
              <w:t>generează</w:t>
            </w:r>
            <w:proofErr w:type="spellEnd"/>
            <w:r w:rsidRPr="00C56257">
              <w:rPr>
                <w:lang w:val="en-US"/>
              </w:rPr>
              <w:t xml:space="preserve"> </w:t>
            </w:r>
            <w:proofErr w:type="spellStart"/>
            <w:r w:rsidRPr="00C56257">
              <w:rPr>
                <w:lang w:val="en-US"/>
              </w:rPr>
              <w:t>poluare</w:t>
            </w:r>
            <w:proofErr w:type="spellEnd"/>
            <w:r w:rsidRPr="00C56257">
              <w:rPr>
                <w:lang w:val="en-US"/>
              </w:rPr>
              <w:t xml:space="preserve"> </w:t>
            </w:r>
            <w:proofErr w:type="spellStart"/>
            <w:r w:rsidRPr="00C56257">
              <w:rPr>
                <w:lang w:val="en-US"/>
              </w:rPr>
              <w:t>marină</w:t>
            </w:r>
            <w:proofErr w:type="spellEnd"/>
          </w:p>
        </w:tc>
      </w:tr>
    </w:tbl>
    <w:p w14:paraId="3307F7AA" w14:textId="77777777" w:rsidR="00FC026B" w:rsidRPr="00C56257" w:rsidRDefault="00FC026B" w:rsidP="00FC026B">
      <w:pPr>
        <w:spacing w:after="160" w:line="259" w:lineRule="auto"/>
        <w:jc w:val="both"/>
        <w:rPr>
          <w:bCs/>
          <w:color w:val="000000" w:themeColor="text1"/>
        </w:rPr>
      </w:pPr>
    </w:p>
    <w:p w14:paraId="53B4F32C" w14:textId="77777777" w:rsidR="00FC026B" w:rsidRPr="00F100E1" w:rsidRDefault="00FC026B" w:rsidP="00FC026B">
      <w:pPr>
        <w:spacing w:after="160" w:line="259" w:lineRule="auto"/>
        <w:jc w:val="both"/>
        <w:rPr>
          <w:b/>
          <w:color w:val="000000" w:themeColor="text1"/>
        </w:rPr>
      </w:pPr>
      <w:r w:rsidRPr="00F100E1">
        <w:rPr>
          <w:b/>
          <w:color w:val="000000" w:themeColor="text1"/>
        </w:rPr>
        <w:t>1.</w:t>
      </w:r>
      <w:r>
        <w:rPr>
          <w:b/>
          <w:color w:val="000000" w:themeColor="text1"/>
        </w:rPr>
        <w:t>3</w:t>
      </w:r>
      <w:r w:rsidRPr="00F100E1">
        <w:rPr>
          <w:b/>
          <w:color w:val="000000" w:themeColor="text1"/>
        </w:rPr>
        <w:t>. Lista cu Siturile de Importanță Comunitară pentru habitatele marine și costiere de interes comunitar</w:t>
      </w:r>
    </w:p>
    <w:p w14:paraId="5FE1C496" w14:textId="77777777" w:rsidR="00FC026B" w:rsidRPr="00C56257" w:rsidRDefault="00FC026B" w:rsidP="009E63E5">
      <w:pPr>
        <w:numPr>
          <w:ilvl w:val="0"/>
          <w:numId w:val="27"/>
        </w:numPr>
        <w:spacing w:line="259" w:lineRule="auto"/>
        <w:ind w:left="0"/>
        <w:jc w:val="both"/>
        <w:rPr>
          <w:bCs/>
          <w:color w:val="000000" w:themeColor="text1"/>
          <w:lang w:val="it-IT"/>
        </w:rPr>
      </w:pPr>
      <w:r w:rsidRPr="00C56257">
        <w:rPr>
          <w:bCs/>
          <w:color w:val="000000" w:themeColor="text1"/>
          <w:lang w:val="it-IT"/>
        </w:rPr>
        <w:t>ROSCI0065</w:t>
      </w:r>
      <w:r w:rsidRPr="00C56257">
        <w:rPr>
          <w:color w:val="000000" w:themeColor="text1"/>
          <w:lang w:val="it-IT"/>
        </w:rPr>
        <w:t xml:space="preserve"> </w:t>
      </w:r>
      <w:r w:rsidRPr="00C56257">
        <w:rPr>
          <w:bCs/>
          <w:color w:val="000000" w:themeColor="text1"/>
          <w:lang w:val="it-IT"/>
        </w:rPr>
        <w:t>Rezervaţia Biosferei Delta Dunării</w:t>
      </w:r>
    </w:p>
    <w:p w14:paraId="733F9404" w14:textId="77777777" w:rsidR="00FC026B" w:rsidRPr="00C56257" w:rsidRDefault="00FC026B" w:rsidP="009E63E5">
      <w:pPr>
        <w:numPr>
          <w:ilvl w:val="0"/>
          <w:numId w:val="27"/>
        </w:numPr>
        <w:spacing w:line="259" w:lineRule="auto"/>
        <w:ind w:left="0"/>
        <w:jc w:val="both"/>
        <w:rPr>
          <w:bCs/>
          <w:color w:val="000000" w:themeColor="text1"/>
          <w:lang w:val="it-IT"/>
        </w:rPr>
      </w:pPr>
      <w:r w:rsidRPr="00C56257">
        <w:rPr>
          <w:color w:val="000000" w:themeColor="text1"/>
          <w:lang w:val="it-IT"/>
        </w:rPr>
        <w:t xml:space="preserve">ROSCI0066 Rezervaţia Biosferei Delta Dunării - zona marină </w:t>
      </w:r>
    </w:p>
    <w:p w14:paraId="691E6260" w14:textId="77777777" w:rsidR="00FC026B" w:rsidRPr="00C56257" w:rsidRDefault="00A90A2C" w:rsidP="009E63E5">
      <w:pPr>
        <w:numPr>
          <w:ilvl w:val="0"/>
          <w:numId w:val="27"/>
        </w:numPr>
        <w:spacing w:line="259" w:lineRule="auto"/>
        <w:ind w:left="0"/>
        <w:jc w:val="both"/>
        <w:rPr>
          <w:bCs/>
          <w:color w:val="000000" w:themeColor="text1"/>
          <w:lang w:val="it-IT"/>
        </w:rPr>
      </w:pPr>
      <w:r>
        <w:rPr>
          <w:bCs/>
          <w:color w:val="000000" w:themeColor="text1"/>
          <w:lang w:val="fr-FR"/>
        </w:rPr>
        <w:t>ROSAC</w:t>
      </w:r>
      <w:r w:rsidR="00FC026B" w:rsidRPr="00C56257">
        <w:rPr>
          <w:bCs/>
          <w:color w:val="000000" w:themeColor="text1"/>
          <w:lang w:val="fr-FR"/>
        </w:rPr>
        <w:t xml:space="preserve">0094 </w:t>
      </w:r>
      <w:proofErr w:type="spellStart"/>
      <w:r w:rsidR="00FC026B" w:rsidRPr="00C56257">
        <w:rPr>
          <w:bCs/>
          <w:color w:val="000000" w:themeColor="text1"/>
          <w:lang w:val="fr-FR"/>
        </w:rPr>
        <w:t>Izvoarele</w:t>
      </w:r>
      <w:proofErr w:type="spellEnd"/>
      <w:r w:rsidR="00FC026B" w:rsidRPr="00C56257">
        <w:rPr>
          <w:bCs/>
          <w:color w:val="000000" w:themeColor="text1"/>
          <w:lang w:val="fr-FR"/>
        </w:rPr>
        <w:t xml:space="preserve"> </w:t>
      </w:r>
      <w:proofErr w:type="spellStart"/>
      <w:r w:rsidR="00FC026B" w:rsidRPr="00C56257">
        <w:rPr>
          <w:bCs/>
          <w:color w:val="000000" w:themeColor="text1"/>
          <w:lang w:val="fr-FR"/>
        </w:rPr>
        <w:t>sulfuroase</w:t>
      </w:r>
      <w:proofErr w:type="spellEnd"/>
      <w:r w:rsidR="00FC026B" w:rsidRPr="00C56257">
        <w:rPr>
          <w:bCs/>
          <w:color w:val="000000" w:themeColor="text1"/>
          <w:lang w:val="fr-FR"/>
        </w:rPr>
        <w:t xml:space="preserve"> </w:t>
      </w:r>
      <w:proofErr w:type="spellStart"/>
      <w:r w:rsidR="00FC026B" w:rsidRPr="00C56257">
        <w:rPr>
          <w:bCs/>
          <w:color w:val="000000" w:themeColor="text1"/>
          <w:lang w:val="fr-FR"/>
        </w:rPr>
        <w:t>submarine</w:t>
      </w:r>
      <w:proofErr w:type="spellEnd"/>
      <w:r w:rsidR="00FC026B" w:rsidRPr="00C56257">
        <w:rPr>
          <w:bCs/>
          <w:color w:val="000000" w:themeColor="text1"/>
          <w:lang w:val="fr-FR"/>
        </w:rPr>
        <w:t xml:space="preserve"> de la Mangalia </w:t>
      </w:r>
    </w:p>
    <w:p w14:paraId="4DB0DFB4" w14:textId="77777777" w:rsidR="00FC026B" w:rsidRPr="00C56257" w:rsidRDefault="00A90A2C" w:rsidP="009E63E5">
      <w:pPr>
        <w:numPr>
          <w:ilvl w:val="0"/>
          <w:numId w:val="27"/>
        </w:numPr>
        <w:spacing w:line="259" w:lineRule="auto"/>
        <w:ind w:left="0"/>
        <w:jc w:val="both"/>
        <w:rPr>
          <w:bCs/>
          <w:color w:val="000000" w:themeColor="text1"/>
          <w:lang w:val="it-IT"/>
        </w:rPr>
      </w:pPr>
      <w:r>
        <w:rPr>
          <w:bCs/>
          <w:color w:val="000000" w:themeColor="text1"/>
          <w:lang w:val="fr-FR"/>
        </w:rPr>
        <w:t>ROSAC</w:t>
      </w:r>
      <w:r w:rsidR="00FC026B" w:rsidRPr="00C56257">
        <w:rPr>
          <w:bCs/>
          <w:color w:val="000000" w:themeColor="text1"/>
          <w:lang w:val="fr-FR"/>
        </w:rPr>
        <w:t xml:space="preserve">0197 </w:t>
      </w:r>
      <w:proofErr w:type="spellStart"/>
      <w:r w:rsidR="00FC026B" w:rsidRPr="00C56257">
        <w:rPr>
          <w:bCs/>
          <w:color w:val="000000" w:themeColor="text1"/>
          <w:lang w:val="fr-FR"/>
        </w:rPr>
        <w:t>Plaja</w:t>
      </w:r>
      <w:proofErr w:type="spellEnd"/>
      <w:r w:rsidR="00FC026B" w:rsidRPr="00C56257">
        <w:rPr>
          <w:bCs/>
          <w:color w:val="000000" w:themeColor="text1"/>
          <w:lang w:val="fr-FR"/>
        </w:rPr>
        <w:t xml:space="preserve"> </w:t>
      </w:r>
      <w:proofErr w:type="spellStart"/>
      <w:r w:rsidR="00FC026B" w:rsidRPr="00C56257">
        <w:rPr>
          <w:bCs/>
          <w:color w:val="000000" w:themeColor="text1"/>
          <w:lang w:val="fr-FR"/>
        </w:rPr>
        <w:t>submersă</w:t>
      </w:r>
      <w:proofErr w:type="spellEnd"/>
      <w:r w:rsidR="00FC026B" w:rsidRPr="00C56257">
        <w:rPr>
          <w:bCs/>
          <w:color w:val="000000" w:themeColor="text1"/>
          <w:lang w:val="fr-FR"/>
        </w:rPr>
        <w:t xml:space="preserve"> </w:t>
      </w:r>
      <w:proofErr w:type="spellStart"/>
      <w:r w:rsidR="00FC026B" w:rsidRPr="00C56257">
        <w:rPr>
          <w:bCs/>
          <w:color w:val="000000" w:themeColor="text1"/>
          <w:lang w:val="fr-FR"/>
        </w:rPr>
        <w:t>Eforie</w:t>
      </w:r>
      <w:proofErr w:type="spellEnd"/>
      <w:r w:rsidR="00FC026B" w:rsidRPr="00C56257">
        <w:rPr>
          <w:bCs/>
          <w:color w:val="000000" w:themeColor="text1"/>
          <w:lang w:val="fr-FR"/>
        </w:rPr>
        <w:t xml:space="preserve"> Nord - </w:t>
      </w:r>
      <w:proofErr w:type="spellStart"/>
      <w:r w:rsidR="00FC026B" w:rsidRPr="00C56257">
        <w:rPr>
          <w:bCs/>
          <w:color w:val="000000" w:themeColor="text1"/>
          <w:lang w:val="fr-FR"/>
        </w:rPr>
        <w:t>Eforie</w:t>
      </w:r>
      <w:proofErr w:type="spellEnd"/>
      <w:r w:rsidR="00FC026B" w:rsidRPr="00C56257">
        <w:rPr>
          <w:bCs/>
          <w:color w:val="000000" w:themeColor="text1"/>
          <w:lang w:val="fr-FR"/>
        </w:rPr>
        <w:t xml:space="preserve"> Sud </w:t>
      </w:r>
    </w:p>
    <w:p w14:paraId="1582ECA3" w14:textId="77777777" w:rsidR="00FC026B" w:rsidRPr="00C56257" w:rsidRDefault="00A90A2C" w:rsidP="009E63E5">
      <w:pPr>
        <w:numPr>
          <w:ilvl w:val="0"/>
          <w:numId w:val="27"/>
        </w:numPr>
        <w:spacing w:line="259" w:lineRule="auto"/>
        <w:ind w:left="0"/>
        <w:jc w:val="both"/>
        <w:rPr>
          <w:bCs/>
          <w:color w:val="000000" w:themeColor="text1"/>
          <w:lang w:val="it-IT"/>
        </w:rPr>
      </w:pPr>
      <w:r>
        <w:rPr>
          <w:color w:val="000000" w:themeColor="text1"/>
          <w:lang w:val="fr-FR"/>
        </w:rPr>
        <w:t>ROSAC</w:t>
      </w:r>
      <w:r w:rsidR="00FC026B" w:rsidRPr="00C56257">
        <w:rPr>
          <w:color w:val="000000" w:themeColor="text1"/>
          <w:lang w:val="fr-FR"/>
        </w:rPr>
        <w:t xml:space="preserve">0269 </w:t>
      </w:r>
      <w:proofErr w:type="spellStart"/>
      <w:r w:rsidR="00FC026B" w:rsidRPr="00C56257">
        <w:rPr>
          <w:color w:val="000000" w:themeColor="text1"/>
          <w:lang w:val="fr-FR"/>
        </w:rPr>
        <w:t>Vama</w:t>
      </w:r>
      <w:proofErr w:type="spellEnd"/>
      <w:r w:rsidR="00FC026B" w:rsidRPr="00C56257">
        <w:rPr>
          <w:color w:val="000000" w:themeColor="text1"/>
          <w:lang w:val="fr-FR"/>
        </w:rPr>
        <w:t xml:space="preserve"> </w:t>
      </w:r>
      <w:proofErr w:type="spellStart"/>
      <w:r w:rsidR="00FC026B" w:rsidRPr="00C56257">
        <w:rPr>
          <w:color w:val="000000" w:themeColor="text1"/>
          <w:lang w:val="fr-FR"/>
        </w:rPr>
        <w:t>Veche</w:t>
      </w:r>
      <w:proofErr w:type="spellEnd"/>
      <w:r w:rsidR="00FC026B" w:rsidRPr="00C56257">
        <w:rPr>
          <w:color w:val="000000" w:themeColor="text1"/>
          <w:lang w:val="fr-FR"/>
        </w:rPr>
        <w:t xml:space="preserve"> - 2 Mai </w:t>
      </w:r>
    </w:p>
    <w:p w14:paraId="5ABCE070" w14:textId="77777777" w:rsidR="00FC026B" w:rsidRPr="00C56257" w:rsidRDefault="00A90A2C" w:rsidP="009E63E5">
      <w:pPr>
        <w:numPr>
          <w:ilvl w:val="0"/>
          <w:numId w:val="27"/>
        </w:numPr>
        <w:spacing w:line="259" w:lineRule="auto"/>
        <w:ind w:left="0"/>
        <w:jc w:val="both"/>
        <w:rPr>
          <w:bCs/>
          <w:color w:val="000000" w:themeColor="text1"/>
          <w:lang w:val="it-IT"/>
        </w:rPr>
      </w:pPr>
      <w:r>
        <w:rPr>
          <w:color w:val="000000" w:themeColor="text1"/>
          <w:lang w:val="fr-FR"/>
        </w:rPr>
        <w:t>ROSAC</w:t>
      </w:r>
      <w:r w:rsidR="00FC026B" w:rsidRPr="00C56257">
        <w:rPr>
          <w:color w:val="000000" w:themeColor="text1"/>
          <w:lang w:val="fr-FR"/>
        </w:rPr>
        <w:t xml:space="preserve">0273 Zona </w:t>
      </w:r>
      <w:proofErr w:type="spellStart"/>
      <w:r w:rsidR="00FC026B" w:rsidRPr="00C56257">
        <w:rPr>
          <w:color w:val="000000" w:themeColor="text1"/>
          <w:lang w:val="fr-FR"/>
        </w:rPr>
        <w:t>marină</w:t>
      </w:r>
      <w:proofErr w:type="spellEnd"/>
      <w:r w:rsidR="00FC026B" w:rsidRPr="00C56257">
        <w:rPr>
          <w:color w:val="000000" w:themeColor="text1"/>
          <w:lang w:val="fr-FR"/>
        </w:rPr>
        <w:t xml:space="preserve"> de la </w:t>
      </w:r>
      <w:proofErr w:type="spellStart"/>
      <w:r w:rsidR="00FC026B" w:rsidRPr="00C56257">
        <w:rPr>
          <w:color w:val="000000" w:themeColor="text1"/>
          <w:lang w:val="fr-FR"/>
        </w:rPr>
        <w:t>Capul</w:t>
      </w:r>
      <w:proofErr w:type="spellEnd"/>
      <w:r w:rsidR="00FC026B" w:rsidRPr="00C56257">
        <w:rPr>
          <w:color w:val="000000" w:themeColor="text1"/>
          <w:lang w:val="fr-FR"/>
        </w:rPr>
        <w:t xml:space="preserve"> Tuzla </w:t>
      </w:r>
    </w:p>
    <w:p w14:paraId="1AFAFD82" w14:textId="77777777" w:rsidR="00FC026B" w:rsidRPr="00C56257" w:rsidRDefault="00FC026B" w:rsidP="009E63E5">
      <w:pPr>
        <w:numPr>
          <w:ilvl w:val="0"/>
          <w:numId w:val="27"/>
        </w:numPr>
        <w:spacing w:line="259" w:lineRule="auto"/>
        <w:ind w:left="0"/>
        <w:jc w:val="both"/>
        <w:rPr>
          <w:bCs/>
          <w:color w:val="000000" w:themeColor="text1"/>
          <w:lang w:val="it-IT"/>
        </w:rPr>
      </w:pPr>
      <w:r w:rsidRPr="00C56257">
        <w:rPr>
          <w:color w:val="000000" w:themeColor="text1"/>
          <w:lang w:val="fr-FR"/>
        </w:rPr>
        <w:t xml:space="preserve">ROSCI0281 Cap Aurora </w:t>
      </w:r>
    </w:p>
    <w:p w14:paraId="29DC2F62" w14:textId="77777777" w:rsidR="00FC026B" w:rsidRPr="00C56257" w:rsidRDefault="00FC026B" w:rsidP="009E63E5">
      <w:pPr>
        <w:numPr>
          <w:ilvl w:val="0"/>
          <w:numId w:val="27"/>
        </w:numPr>
        <w:spacing w:line="259" w:lineRule="auto"/>
        <w:ind w:left="0"/>
        <w:jc w:val="both"/>
        <w:rPr>
          <w:bCs/>
          <w:color w:val="000000" w:themeColor="text1"/>
          <w:lang w:val="it-IT"/>
        </w:rPr>
      </w:pPr>
      <w:r w:rsidRPr="00C56257">
        <w:rPr>
          <w:color w:val="000000" w:themeColor="text1"/>
          <w:lang w:val="fr-FR"/>
        </w:rPr>
        <w:t xml:space="preserve">ROSCI0293 </w:t>
      </w:r>
      <w:proofErr w:type="spellStart"/>
      <w:r w:rsidRPr="00C56257">
        <w:rPr>
          <w:color w:val="000000" w:themeColor="text1"/>
          <w:lang w:val="fr-FR"/>
        </w:rPr>
        <w:t>Costineşti</w:t>
      </w:r>
      <w:proofErr w:type="spellEnd"/>
      <w:r w:rsidRPr="00C56257">
        <w:rPr>
          <w:color w:val="000000" w:themeColor="text1"/>
          <w:lang w:val="fr-FR"/>
        </w:rPr>
        <w:t xml:space="preserve"> - 23 August </w:t>
      </w:r>
    </w:p>
    <w:p w14:paraId="7F127D31" w14:textId="77777777" w:rsidR="00FC026B" w:rsidRPr="00C56257" w:rsidRDefault="00FC026B" w:rsidP="009E63E5">
      <w:pPr>
        <w:numPr>
          <w:ilvl w:val="0"/>
          <w:numId w:val="27"/>
        </w:numPr>
        <w:spacing w:line="259" w:lineRule="auto"/>
        <w:ind w:left="0"/>
        <w:jc w:val="both"/>
        <w:rPr>
          <w:bCs/>
          <w:color w:val="000000" w:themeColor="text1"/>
          <w:lang w:val="it-IT"/>
        </w:rPr>
      </w:pPr>
      <w:r w:rsidRPr="00C56257">
        <w:rPr>
          <w:bCs/>
          <w:color w:val="000000" w:themeColor="text1"/>
          <w:lang w:val="fr-FR"/>
        </w:rPr>
        <w:t xml:space="preserve">ROSCI0311 </w:t>
      </w:r>
      <w:proofErr w:type="spellStart"/>
      <w:r w:rsidRPr="00C56257">
        <w:rPr>
          <w:bCs/>
          <w:color w:val="000000" w:themeColor="text1"/>
          <w:lang w:val="fr-FR"/>
        </w:rPr>
        <w:t>Canionul</w:t>
      </w:r>
      <w:proofErr w:type="spellEnd"/>
      <w:r w:rsidRPr="00C56257">
        <w:rPr>
          <w:bCs/>
          <w:color w:val="000000" w:themeColor="text1"/>
          <w:lang w:val="fr-FR"/>
        </w:rPr>
        <w:t xml:space="preserve"> </w:t>
      </w:r>
      <w:proofErr w:type="spellStart"/>
      <w:r w:rsidRPr="00C56257">
        <w:rPr>
          <w:bCs/>
          <w:color w:val="000000" w:themeColor="text1"/>
          <w:lang w:val="fr-FR"/>
        </w:rPr>
        <w:t>Viteaz</w:t>
      </w:r>
      <w:proofErr w:type="spellEnd"/>
      <w:r w:rsidRPr="00C56257">
        <w:rPr>
          <w:bCs/>
          <w:color w:val="000000" w:themeColor="text1"/>
          <w:lang w:val="fr-FR"/>
        </w:rPr>
        <w:t xml:space="preserve"> </w:t>
      </w:r>
    </w:p>
    <w:p w14:paraId="0359C2A8" w14:textId="77777777" w:rsidR="00FC026B" w:rsidRPr="00C56257" w:rsidRDefault="00FC026B" w:rsidP="009E63E5">
      <w:pPr>
        <w:numPr>
          <w:ilvl w:val="0"/>
          <w:numId w:val="27"/>
        </w:numPr>
        <w:spacing w:line="259" w:lineRule="auto"/>
        <w:ind w:left="0"/>
        <w:jc w:val="both"/>
        <w:rPr>
          <w:color w:val="000000" w:themeColor="text1"/>
        </w:rPr>
      </w:pPr>
      <w:r w:rsidRPr="00C56257">
        <w:rPr>
          <w:bCs/>
          <w:color w:val="000000" w:themeColor="text1"/>
          <w:lang w:val="it-IT"/>
        </w:rPr>
        <w:t xml:space="preserve">ROSCI0413 Lobul sudic al Câmpului de </w:t>
      </w:r>
      <w:r w:rsidRPr="00C56257">
        <w:rPr>
          <w:bCs/>
          <w:i/>
          <w:color w:val="000000" w:themeColor="text1"/>
          <w:lang w:val="it-IT"/>
        </w:rPr>
        <w:t>Phyllophora</w:t>
      </w:r>
      <w:r w:rsidRPr="00C56257">
        <w:rPr>
          <w:bCs/>
          <w:color w:val="000000" w:themeColor="text1"/>
          <w:lang w:val="it-IT"/>
        </w:rPr>
        <w:t xml:space="preserve"> al lui Zernov</w:t>
      </w:r>
    </w:p>
    <w:p w14:paraId="258D5244" w14:textId="77777777" w:rsidR="00FC026B" w:rsidRPr="00511F14" w:rsidRDefault="00A90A2C" w:rsidP="009E63E5">
      <w:pPr>
        <w:numPr>
          <w:ilvl w:val="0"/>
          <w:numId w:val="27"/>
        </w:numPr>
        <w:spacing w:after="160" w:line="259" w:lineRule="auto"/>
        <w:ind w:left="0"/>
        <w:jc w:val="both"/>
        <w:rPr>
          <w:bCs/>
          <w:color w:val="000000" w:themeColor="text1"/>
        </w:rPr>
      </w:pPr>
      <w:r>
        <w:rPr>
          <w:color w:val="000000" w:themeColor="text1"/>
        </w:rPr>
        <w:t>ROSAC</w:t>
      </w:r>
      <w:r w:rsidR="00FC026B" w:rsidRPr="00511F14">
        <w:rPr>
          <w:color w:val="000000" w:themeColor="text1"/>
        </w:rPr>
        <w:t>0157 Pădurea Hagieni - Cotul Văii</w:t>
      </w:r>
    </w:p>
    <w:p w14:paraId="3999CD20" w14:textId="77777777" w:rsidR="00F73A38" w:rsidRDefault="00F73A38" w:rsidP="00F73A38">
      <w:pPr>
        <w:spacing w:after="160" w:line="259" w:lineRule="auto"/>
        <w:jc w:val="both"/>
        <w:rPr>
          <w:b/>
          <w:color w:val="000000" w:themeColor="text1"/>
        </w:rPr>
      </w:pPr>
      <w:bookmarkStart w:id="24" w:name="_Hlk140050017"/>
    </w:p>
    <w:p w14:paraId="5C5F16F8" w14:textId="77777777" w:rsidR="00F73A38" w:rsidRDefault="00F73A38" w:rsidP="00F73A38">
      <w:pPr>
        <w:spacing w:after="160" w:line="259" w:lineRule="auto"/>
        <w:jc w:val="both"/>
        <w:rPr>
          <w:b/>
          <w:color w:val="000000" w:themeColor="text1"/>
        </w:rPr>
      </w:pPr>
      <w:r w:rsidRPr="00F100E1">
        <w:rPr>
          <w:b/>
          <w:color w:val="000000" w:themeColor="text1"/>
        </w:rPr>
        <w:t>1.</w:t>
      </w:r>
      <w:r>
        <w:rPr>
          <w:b/>
          <w:color w:val="000000" w:themeColor="text1"/>
        </w:rPr>
        <w:t>4</w:t>
      </w:r>
      <w:r w:rsidRPr="00F100E1">
        <w:rPr>
          <w:b/>
          <w:color w:val="000000" w:themeColor="text1"/>
        </w:rPr>
        <w:t>.</w:t>
      </w:r>
      <w:r w:rsidRPr="00C56257">
        <w:rPr>
          <w:b/>
          <w:color w:val="000000" w:themeColor="text1"/>
        </w:rPr>
        <w:t xml:space="preserve">. Lista cu Presiunile și Amenințările </w:t>
      </w:r>
      <w:r w:rsidR="00AE3946">
        <w:rPr>
          <w:b/>
          <w:color w:val="000000" w:themeColor="text1"/>
        </w:rPr>
        <w:t>ce acționează asupra habitatelor</w:t>
      </w:r>
      <w:r w:rsidRPr="00C56257">
        <w:rPr>
          <w:b/>
          <w:color w:val="000000" w:themeColor="text1"/>
        </w:rPr>
        <w:t xml:space="preserve"> marine și costiere</w:t>
      </w:r>
      <w:r w:rsidRPr="00F100E1">
        <w:rPr>
          <w:b/>
          <w:color w:val="000000" w:themeColor="text1"/>
        </w:rPr>
        <w:t xml:space="preserve"> de interes comunitar</w:t>
      </w:r>
    </w:p>
    <w:tbl>
      <w:tblPr>
        <w:tblStyle w:val="TableGrid61"/>
        <w:tblW w:w="0" w:type="auto"/>
        <w:tblInd w:w="-289" w:type="dxa"/>
        <w:tblLook w:val="04A0" w:firstRow="1" w:lastRow="0" w:firstColumn="1" w:lastColumn="0" w:noHBand="0" w:noVBand="1"/>
      </w:tblPr>
      <w:tblGrid>
        <w:gridCol w:w="1019"/>
        <w:gridCol w:w="8332"/>
      </w:tblGrid>
      <w:tr w:rsidR="00F73A38" w:rsidRPr="00514649" w14:paraId="5A1B77A5" w14:textId="77777777" w:rsidTr="00105BC5">
        <w:trPr>
          <w:trHeight w:val="300"/>
        </w:trPr>
        <w:tc>
          <w:tcPr>
            <w:tcW w:w="1019" w:type="dxa"/>
            <w:noWrap/>
            <w:hideMark/>
          </w:tcPr>
          <w:p w14:paraId="470119D6" w14:textId="77777777" w:rsidR="00F73A38" w:rsidRPr="00514649" w:rsidRDefault="00F73A38" w:rsidP="00105BC5">
            <w:pPr>
              <w:jc w:val="center"/>
            </w:pPr>
            <w:r w:rsidRPr="00514649">
              <w:t>Codul</w:t>
            </w:r>
          </w:p>
        </w:tc>
        <w:tc>
          <w:tcPr>
            <w:tcW w:w="8332" w:type="dxa"/>
            <w:noWrap/>
            <w:hideMark/>
          </w:tcPr>
          <w:p w14:paraId="1048F63F" w14:textId="77777777" w:rsidR="00F73A38" w:rsidRPr="00514649" w:rsidRDefault="00F73A38" w:rsidP="00105BC5">
            <w:pPr>
              <w:jc w:val="center"/>
            </w:pPr>
            <w:r w:rsidRPr="00514649">
              <w:t>Denumirea</w:t>
            </w:r>
          </w:p>
        </w:tc>
      </w:tr>
      <w:tr w:rsidR="00F73A38" w:rsidRPr="00514649" w14:paraId="0D95A293" w14:textId="77777777" w:rsidTr="00105BC5">
        <w:trPr>
          <w:trHeight w:val="300"/>
        </w:trPr>
        <w:tc>
          <w:tcPr>
            <w:tcW w:w="1019" w:type="dxa"/>
            <w:noWrap/>
            <w:hideMark/>
          </w:tcPr>
          <w:p w14:paraId="6AC9EDF3" w14:textId="77777777" w:rsidR="00F73A38" w:rsidRPr="00514649" w:rsidRDefault="00F73A38" w:rsidP="00105BC5">
            <w:pPr>
              <w:jc w:val="center"/>
            </w:pPr>
            <w:r w:rsidRPr="00514649">
              <w:t>A</w:t>
            </w:r>
          </w:p>
        </w:tc>
        <w:tc>
          <w:tcPr>
            <w:tcW w:w="8332" w:type="dxa"/>
            <w:noWrap/>
            <w:hideMark/>
          </w:tcPr>
          <w:p w14:paraId="5FBA6A87" w14:textId="77777777" w:rsidR="00F73A38" w:rsidRPr="00514649" w:rsidRDefault="00F73A38" w:rsidP="00105BC5">
            <w:r w:rsidRPr="00514649">
              <w:t>Agricultura</w:t>
            </w:r>
          </w:p>
        </w:tc>
      </w:tr>
      <w:tr w:rsidR="00F73A38" w:rsidRPr="00514649" w14:paraId="6EC09DA5" w14:textId="77777777" w:rsidTr="00105BC5">
        <w:trPr>
          <w:trHeight w:val="300"/>
        </w:trPr>
        <w:tc>
          <w:tcPr>
            <w:tcW w:w="1019" w:type="dxa"/>
            <w:noWrap/>
            <w:hideMark/>
          </w:tcPr>
          <w:p w14:paraId="408A9999" w14:textId="77777777" w:rsidR="00F73A38" w:rsidRPr="00514649" w:rsidRDefault="00F73A38" w:rsidP="00105BC5">
            <w:pPr>
              <w:jc w:val="center"/>
            </w:pPr>
            <w:r w:rsidRPr="00514649">
              <w:t>A01</w:t>
            </w:r>
          </w:p>
        </w:tc>
        <w:tc>
          <w:tcPr>
            <w:tcW w:w="8332" w:type="dxa"/>
            <w:noWrap/>
            <w:hideMark/>
          </w:tcPr>
          <w:p w14:paraId="20336544" w14:textId="77777777" w:rsidR="00F73A38" w:rsidRPr="00514649" w:rsidRDefault="00F73A38" w:rsidP="00105BC5">
            <w:r w:rsidRPr="00514649">
              <w:t>Transformarea în teren agricol (exclusiv drenarea și arderea)</w:t>
            </w:r>
          </w:p>
        </w:tc>
      </w:tr>
      <w:tr w:rsidR="00F73A38" w:rsidRPr="001F056A" w14:paraId="06185C5C" w14:textId="77777777" w:rsidTr="00105BC5">
        <w:trPr>
          <w:trHeight w:val="300"/>
        </w:trPr>
        <w:tc>
          <w:tcPr>
            <w:tcW w:w="1019" w:type="dxa"/>
            <w:noWrap/>
            <w:hideMark/>
          </w:tcPr>
          <w:p w14:paraId="6E6CA8C4" w14:textId="77777777" w:rsidR="00F73A38" w:rsidRPr="00EA334D" w:rsidRDefault="00F73A38" w:rsidP="00105BC5">
            <w:pPr>
              <w:jc w:val="center"/>
            </w:pPr>
            <w:r w:rsidRPr="00EA334D">
              <w:t>A08</w:t>
            </w:r>
          </w:p>
        </w:tc>
        <w:tc>
          <w:tcPr>
            <w:tcW w:w="8332" w:type="dxa"/>
            <w:noWrap/>
            <w:hideMark/>
          </w:tcPr>
          <w:p w14:paraId="599361B6" w14:textId="77777777" w:rsidR="00F73A38" w:rsidRPr="00EA334D" w:rsidRDefault="00F73A38" w:rsidP="00105BC5">
            <w:r w:rsidRPr="00EA334D">
              <w:t>Cosirea sau tăierea pajiștilor</w:t>
            </w:r>
          </w:p>
        </w:tc>
      </w:tr>
      <w:tr w:rsidR="00F73A38" w:rsidRPr="001F056A" w14:paraId="7CD2F2D6" w14:textId="77777777" w:rsidTr="00105BC5">
        <w:trPr>
          <w:trHeight w:val="300"/>
        </w:trPr>
        <w:tc>
          <w:tcPr>
            <w:tcW w:w="1019" w:type="dxa"/>
            <w:noWrap/>
            <w:hideMark/>
          </w:tcPr>
          <w:p w14:paraId="6F9BF5B5" w14:textId="77777777" w:rsidR="00F73A38" w:rsidRPr="00EA334D" w:rsidRDefault="00F73A38" w:rsidP="00105BC5">
            <w:pPr>
              <w:jc w:val="center"/>
            </w:pPr>
            <w:r w:rsidRPr="00EA334D">
              <w:t>A09</w:t>
            </w:r>
          </w:p>
        </w:tc>
        <w:tc>
          <w:tcPr>
            <w:tcW w:w="8332" w:type="dxa"/>
            <w:noWrap/>
            <w:hideMark/>
          </w:tcPr>
          <w:p w14:paraId="4D2E1B1D" w14:textId="77777777" w:rsidR="00F73A38" w:rsidRPr="00EA334D" w:rsidRDefault="00F73A38" w:rsidP="00105BC5">
            <w:r w:rsidRPr="00EA334D">
              <w:t>Păscut intensiv sau suprapășunat de către animale</w:t>
            </w:r>
          </w:p>
        </w:tc>
      </w:tr>
      <w:tr w:rsidR="00F73A38" w:rsidRPr="00514649" w14:paraId="41AA7B24" w14:textId="77777777" w:rsidTr="00105BC5">
        <w:trPr>
          <w:trHeight w:val="300"/>
        </w:trPr>
        <w:tc>
          <w:tcPr>
            <w:tcW w:w="1019" w:type="dxa"/>
            <w:noWrap/>
            <w:hideMark/>
          </w:tcPr>
          <w:p w14:paraId="43BAEAA3" w14:textId="77777777" w:rsidR="00F73A38" w:rsidRPr="00EA334D" w:rsidRDefault="00F73A38" w:rsidP="00105BC5">
            <w:pPr>
              <w:jc w:val="center"/>
            </w:pPr>
            <w:r w:rsidRPr="00EA334D">
              <w:t>A10</w:t>
            </w:r>
          </w:p>
        </w:tc>
        <w:tc>
          <w:tcPr>
            <w:tcW w:w="8332" w:type="dxa"/>
            <w:noWrap/>
            <w:hideMark/>
          </w:tcPr>
          <w:p w14:paraId="74C84275" w14:textId="77777777" w:rsidR="00F73A38" w:rsidRPr="00EA334D" w:rsidRDefault="00F73A38" w:rsidP="00105BC5">
            <w:r w:rsidRPr="00EA334D">
              <w:t>Pășunat extensiv sau subextensiv de către animale</w:t>
            </w:r>
          </w:p>
        </w:tc>
      </w:tr>
      <w:tr w:rsidR="00F73A38" w:rsidRPr="00514649" w14:paraId="1B3F6071" w14:textId="77777777" w:rsidTr="00105BC5">
        <w:trPr>
          <w:trHeight w:val="300"/>
        </w:trPr>
        <w:tc>
          <w:tcPr>
            <w:tcW w:w="1019" w:type="dxa"/>
            <w:noWrap/>
            <w:hideMark/>
          </w:tcPr>
          <w:p w14:paraId="4442D8A3" w14:textId="77777777" w:rsidR="00F73A38" w:rsidRPr="00EA334D" w:rsidRDefault="00F73A38" w:rsidP="00105BC5">
            <w:pPr>
              <w:jc w:val="center"/>
            </w:pPr>
            <w:r w:rsidRPr="00EA334D">
              <w:t>A11</w:t>
            </w:r>
          </w:p>
        </w:tc>
        <w:tc>
          <w:tcPr>
            <w:tcW w:w="8332" w:type="dxa"/>
            <w:noWrap/>
            <w:hideMark/>
          </w:tcPr>
          <w:p w14:paraId="537DC6C5" w14:textId="77777777" w:rsidR="00F73A38" w:rsidRPr="00EA334D" w:rsidRDefault="00F73A38" w:rsidP="00105BC5">
            <w:r w:rsidRPr="00EA334D">
              <w:t>Incendiere pentru agricultură</w:t>
            </w:r>
          </w:p>
        </w:tc>
      </w:tr>
      <w:tr w:rsidR="00F73A38" w:rsidRPr="00514649" w14:paraId="45529222" w14:textId="77777777" w:rsidTr="00105BC5">
        <w:trPr>
          <w:trHeight w:val="300"/>
        </w:trPr>
        <w:tc>
          <w:tcPr>
            <w:tcW w:w="1019" w:type="dxa"/>
            <w:noWrap/>
            <w:hideMark/>
          </w:tcPr>
          <w:p w14:paraId="69637F9A" w14:textId="77777777" w:rsidR="00F73A38" w:rsidRPr="00EA334D" w:rsidRDefault="00F73A38" w:rsidP="00105BC5">
            <w:pPr>
              <w:jc w:val="center"/>
            </w:pPr>
            <w:r w:rsidRPr="00EA334D">
              <w:t>A12</w:t>
            </w:r>
          </w:p>
        </w:tc>
        <w:tc>
          <w:tcPr>
            <w:tcW w:w="8332" w:type="dxa"/>
            <w:noWrap/>
            <w:hideMark/>
          </w:tcPr>
          <w:p w14:paraId="29232BC3" w14:textId="77777777" w:rsidR="00F73A38" w:rsidRPr="00EA334D" w:rsidRDefault="00F73A38" w:rsidP="00105BC5">
            <w:r w:rsidRPr="00EA334D">
              <w:t>Stingerea incendiilor pentru agricultură</w:t>
            </w:r>
          </w:p>
        </w:tc>
      </w:tr>
      <w:tr w:rsidR="00F73A38" w:rsidRPr="00514649" w14:paraId="7984BEA1" w14:textId="77777777" w:rsidTr="00105BC5">
        <w:trPr>
          <w:trHeight w:val="300"/>
        </w:trPr>
        <w:tc>
          <w:tcPr>
            <w:tcW w:w="1019" w:type="dxa"/>
            <w:noWrap/>
            <w:hideMark/>
          </w:tcPr>
          <w:p w14:paraId="0BBD0855" w14:textId="77777777" w:rsidR="00F73A38" w:rsidRPr="00EA334D" w:rsidRDefault="00F73A38" w:rsidP="00105BC5">
            <w:pPr>
              <w:jc w:val="center"/>
            </w:pPr>
            <w:r w:rsidRPr="00EA334D">
              <w:t>A14</w:t>
            </w:r>
          </w:p>
        </w:tc>
        <w:tc>
          <w:tcPr>
            <w:tcW w:w="8332" w:type="dxa"/>
            <w:noWrap/>
            <w:hideMark/>
          </w:tcPr>
          <w:p w14:paraId="6DF56085" w14:textId="77777777" w:rsidR="00F73A38" w:rsidRPr="00EA334D" w:rsidRDefault="00F73A38" w:rsidP="00105BC5">
            <w:r w:rsidRPr="00EA334D">
              <w:t>Cresterea animalelor (fara pasunat)</w:t>
            </w:r>
          </w:p>
        </w:tc>
      </w:tr>
      <w:tr w:rsidR="00F73A38" w:rsidRPr="00514649" w14:paraId="1DD30B0D" w14:textId="77777777" w:rsidTr="00105BC5">
        <w:trPr>
          <w:trHeight w:val="300"/>
        </w:trPr>
        <w:tc>
          <w:tcPr>
            <w:tcW w:w="1019" w:type="dxa"/>
            <w:noWrap/>
            <w:hideMark/>
          </w:tcPr>
          <w:p w14:paraId="7492317A" w14:textId="77777777" w:rsidR="00F73A38" w:rsidRPr="00EA334D" w:rsidRDefault="00F73A38" w:rsidP="00105BC5">
            <w:pPr>
              <w:jc w:val="center"/>
            </w:pPr>
            <w:r w:rsidRPr="00EA334D">
              <w:t>A18</w:t>
            </w:r>
          </w:p>
        </w:tc>
        <w:tc>
          <w:tcPr>
            <w:tcW w:w="8332" w:type="dxa"/>
            <w:noWrap/>
            <w:hideMark/>
          </w:tcPr>
          <w:p w14:paraId="2781136D" w14:textId="77777777" w:rsidR="00F73A38" w:rsidRPr="00EA334D" w:rsidRDefault="00F73A38" w:rsidP="00105BC5">
            <w:r w:rsidRPr="00EA334D">
              <w:t>Irigarea terenurilor agricole</w:t>
            </w:r>
          </w:p>
        </w:tc>
      </w:tr>
      <w:tr w:rsidR="00F73A38" w:rsidRPr="00514649" w14:paraId="1DD48CF8" w14:textId="77777777" w:rsidTr="00105BC5">
        <w:trPr>
          <w:trHeight w:val="300"/>
        </w:trPr>
        <w:tc>
          <w:tcPr>
            <w:tcW w:w="1019" w:type="dxa"/>
            <w:noWrap/>
            <w:hideMark/>
          </w:tcPr>
          <w:p w14:paraId="445BAC04" w14:textId="77777777" w:rsidR="00F73A38" w:rsidRPr="00EA334D" w:rsidRDefault="00F73A38" w:rsidP="00105BC5">
            <w:pPr>
              <w:jc w:val="center"/>
            </w:pPr>
            <w:r w:rsidRPr="00EA334D">
              <w:t>A19</w:t>
            </w:r>
          </w:p>
        </w:tc>
        <w:tc>
          <w:tcPr>
            <w:tcW w:w="8332" w:type="dxa"/>
            <w:noWrap/>
            <w:hideMark/>
          </w:tcPr>
          <w:p w14:paraId="0BE2FB6F" w14:textId="77777777" w:rsidR="00F73A38" w:rsidRPr="00EA334D" w:rsidRDefault="00F73A38" w:rsidP="00105BC5">
            <w:r w:rsidRPr="00EA334D">
              <w:t>Aplicarea îngrășămintelor naturale pe terenurile agricole</w:t>
            </w:r>
          </w:p>
        </w:tc>
      </w:tr>
      <w:tr w:rsidR="00F73A38" w:rsidRPr="00514649" w14:paraId="6B8921DA" w14:textId="77777777" w:rsidTr="00105BC5">
        <w:trPr>
          <w:trHeight w:val="300"/>
        </w:trPr>
        <w:tc>
          <w:tcPr>
            <w:tcW w:w="1019" w:type="dxa"/>
            <w:noWrap/>
            <w:hideMark/>
          </w:tcPr>
          <w:p w14:paraId="7E30D00B" w14:textId="77777777" w:rsidR="00F73A38" w:rsidRPr="00EA334D" w:rsidRDefault="00F73A38" w:rsidP="00105BC5">
            <w:pPr>
              <w:jc w:val="center"/>
            </w:pPr>
            <w:r w:rsidRPr="00EA334D">
              <w:t>A20</w:t>
            </w:r>
          </w:p>
        </w:tc>
        <w:tc>
          <w:tcPr>
            <w:tcW w:w="8332" w:type="dxa"/>
            <w:noWrap/>
            <w:hideMark/>
          </w:tcPr>
          <w:p w14:paraId="31AA40EA" w14:textId="77777777" w:rsidR="00F73A38" w:rsidRPr="00EA334D" w:rsidRDefault="00F73A38" w:rsidP="00105BC5">
            <w:r w:rsidRPr="00EA334D">
              <w:t>Aplicarea îngrășămintelor sintetice (minerale) pe terenurile agricole</w:t>
            </w:r>
          </w:p>
        </w:tc>
      </w:tr>
      <w:tr w:rsidR="00F73A38" w:rsidRPr="00514649" w14:paraId="0A6FC140" w14:textId="77777777" w:rsidTr="00105BC5">
        <w:trPr>
          <w:trHeight w:val="300"/>
        </w:trPr>
        <w:tc>
          <w:tcPr>
            <w:tcW w:w="1019" w:type="dxa"/>
            <w:noWrap/>
            <w:hideMark/>
          </w:tcPr>
          <w:p w14:paraId="06E4A807" w14:textId="77777777" w:rsidR="00F73A38" w:rsidRPr="00EA334D" w:rsidRDefault="00F73A38" w:rsidP="00105BC5">
            <w:pPr>
              <w:jc w:val="center"/>
            </w:pPr>
            <w:r w:rsidRPr="00EA334D">
              <w:t>A21</w:t>
            </w:r>
          </w:p>
        </w:tc>
        <w:tc>
          <w:tcPr>
            <w:tcW w:w="8332" w:type="dxa"/>
            <w:noWrap/>
            <w:hideMark/>
          </w:tcPr>
          <w:p w14:paraId="0D0EC387" w14:textId="77777777" w:rsidR="00F73A38" w:rsidRPr="00EA334D" w:rsidRDefault="00F73A38" w:rsidP="00105BC5">
            <w:r w:rsidRPr="00EA334D">
              <w:t>Utilizarea substanțelor chimice pentru protecția plantelor în agricultură</w:t>
            </w:r>
          </w:p>
        </w:tc>
      </w:tr>
      <w:tr w:rsidR="00F73A38" w:rsidRPr="00514649" w14:paraId="294D23A4" w14:textId="77777777" w:rsidTr="00105BC5">
        <w:trPr>
          <w:trHeight w:val="300"/>
        </w:trPr>
        <w:tc>
          <w:tcPr>
            <w:tcW w:w="1019" w:type="dxa"/>
            <w:noWrap/>
            <w:hideMark/>
          </w:tcPr>
          <w:p w14:paraId="7C55785B" w14:textId="77777777" w:rsidR="00F73A38" w:rsidRPr="00EA334D" w:rsidRDefault="00F73A38" w:rsidP="00105BC5">
            <w:pPr>
              <w:jc w:val="center"/>
            </w:pPr>
            <w:r w:rsidRPr="00EA334D">
              <w:t>A23</w:t>
            </w:r>
          </w:p>
        </w:tc>
        <w:tc>
          <w:tcPr>
            <w:tcW w:w="8332" w:type="dxa"/>
            <w:noWrap/>
            <w:hideMark/>
          </w:tcPr>
          <w:p w14:paraId="75F73F87" w14:textId="77777777" w:rsidR="00F73A38" w:rsidRPr="00EA334D" w:rsidRDefault="00F73A38" w:rsidP="00105BC5">
            <w:r w:rsidRPr="00EA334D">
              <w:t>Utilizarea altor metode de combatere a dăunătorilor în agricultură (cu excepția terenului cultivat)</w:t>
            </w:r>
          </w:p>
        </w:tc>
      </w:tr>
      <w:tr w:rsidR="00F73A38" w:rsidRPr="00514649" w14:paraId="21FA0353" w14:textId="77777777" w:rsidTr="00105BC5">
        <w:trPr>
          <w:trHeight w:val="300"/>
        </w:trPr>
        <w:tc>
          <w:tcPr>
            <w:tcW w:w="1019" w:type="dxa"/>
            <w:noWrap/>
            <w:hideMark/>
          </w:tcPr>
          <w:p w14:paraId="0F5D1F53" w14:textId="77777777" w:rsidR="00F73A38" w:rsidRPr="00EA334D" w:rsidRDefault="00F73A38" w:rsidP="00105BC5">
            <w:pPr>
              <w:jc w:val="center"/>
            </w:pPr>
            <w:r w:rsidRPr="00EA334D">
              <w:t>A24</w:t>
            </w:r>
          </w:p>
        </w:tc>
        <w:tc>
          <w:tcPr>
            <w:tcW w:w="8332" w:type="dxa"/>
            <w:noWrap/>
            <w:hideMark/>
          </w:tcPr>
          <w:p w14:paraId="02877757" w14:textId="77777777" w:rsidR="00F73A38" w:rsidRPr="00EA334D" w:rsidRDefault="00F73A38" w:rsidP="00105BC5">
            <w:r w:rsidRPr="00EA334D">
              <w:t>Practici de gestionare a deșeurilor în agricultură</w:t>
            </w:r>
          </w:p>
        </w:tc>
      </w:tr>
      <w:tr w:rsidR="00F73A38" w:rsidRPr="001F056A" w14:paraId="3157F2B9" w14:textId="77777777" w:rsidTr="00105BC5">
        <w:trPr>
          <w:trHeight w:val="300"/>
        </w:trPr>
        <w:tc>
          <w:tcPr>
            <w:tcW w:w="1019" w:type="dxa"/>
            <w:noWrap/>
            <w:hideMark/>
          </w:tcPr>
          <w:p w14:paraId="0F5E3BE8" w14:textId="77777777" w:rsidR="00F73A38" w:rsidRPr="00EA334D" w:rsidRDefault="00F73A38" w:rsidP="00105BC5">
            <w:pPr>
              <w:jc w:val="center"/>
            </w:pPr>
            <w:r w:rsidRPr="00EA334D">
              <w:t>A25</w:t>
            </w:r>
          </w:p>
        </w:tc>
        <w:tc>
          <w:tcPr>
            <w:tcW w:w="8332" w:type="dxa"/>
            <w:noWrap/>
            <w:hideMark/>
          </w:tcPr>
          <w:p w14:paraId="2D2CF8F7" w14:textId="77777777" w:rsidR="00F73A38" w:rsidRPr="00EA334D" w:rsidRDefault="00F73A38" w:rsidP="00105BC5">
            <w:r w:rsidRPr="00EA334D">
              <w:t>Activități agricole care generează poluarea surselor punctiforme la apele de suprafață sau subterane</w:t>
            </w:r>
          </w:p>
        </w:tc>
      </w:tr>
      <w:tr w:rsidR="00F73A38" w:rsidRPr="001F056A" w14:paraId="46C12FBF" w14:textId="77777777" w:rsidTr="00105BC5">
        <w:trPr>
          <w:trHeight w:val="300"/>
        </w:trPr>
        <w:tc>
          <w:tcPr>
            <w:tcW w:w="1019" w:type="dxa"/>
            <w:noWrap/>
            <w:hideMark/>
          </w:tcPr>
          <w:p w14:paraId="160778A1" w14:textId="77777777" w:rsidR="00F73A38" w:rsidRPr="00EA334D" w:rsidRDefault="00F73A38" w:rsidP="00105BC5">
            <w:pPr>
              <w:jc w:val="center"/>
            </w:pPr>
            <w:r w:rsidRPr="00EA334D">
              <w:t>A26</w:t>
            </w:r>
          </w:p>
        </w:tc>
        <w:tc>
          <w:tcPr>
            <w:tcW w:w="8332" w:type="dxa"/>
            <w:noWrap/>
            <w:hideMark/>
          </w:tcPr>
          <w:p w14:paraId="37AB6EAA" w14:textId="77777777" w:rsidR="00F73A38" w:rsidRPr="00EA334D" w:rsidRDefault="00F73A38" w:rsidP="00105BC5">
            <w:r w:rsidRPr="00EA334D">
              <w:t>Activități agricole care generează poluare difuză la apele de suprafață sau subterane</w:t>
            </w:r>
          </w:p>
        </w:tc>
      </w:tr>
      <w:tr w:rsidR="00F73A38" w:rsidRPr="001F056A" w14:paraId="1CB61DA3" w14:textId="77777777" w:rsidTr="00105BC5">
        <w:trPr>
          <w:trHeight w:val="300"/>
        </w:trPr>
        <w:tc>
          <w:tcPr>
            <w:tcW w:w="1019" w:type="dxa"/>
            <w:noWrap/>
            <w:hideMark/>
          </w:tcPr>
          <w:p w14:paraId="7C5190DE" w14:textId="77777777" w:rsidR="00F73A38" w:rsidRPr="00EA334D" w:rsidRDefault="00F73A38" w:rsidP="00105BC5">
            <w:pPr>
              <w:jc w:val="center"/>
            </w:pPr>
            <w:r w:rsidRPr="00EA334D">
              <w:lastRenderedPageBreak/>
              <w:t>A27</w:t>
            </w:r>
          </w:p>
        </w:tc>
        <w:tc>
          <w:tcPr>
            <w:tcW w:w="8332" w:type="dxa"/>
            <w:noWrap/>
            <w:hideMark/>
          </w:tcPr>
          <w:p w14:paraId="602F96B9" w14:textId="77777777" w:rsidR="00F73A38" w:rsidRPr="00EA334D" w:rsidRDefault="00F73A38" w:rsidP="00105BC5">
            <w:r w:rsidRPr="00EA334D">
              <w:t>Activități agricole generatoare de poluare a aerului</w:t>
            </w:r>
          </w:p>
        </w:tc>
      </w:tr>
      <w:tr w:rsidR="00F73A38" w:rsidRPr="001F056A" w14:paraId="6A0592E6" w14:textId="77777777" w:rsidTr="00105BC5">
        <w:trPr>
          <w:trHeight w:val="300"/>
        </w:trPr>
        <w:tc>
          <w:tcPr>
            <w:tcW w:w="1019" w:type="dxa"/>
            <w:noWrap/>
            <w:hideMark/>
          </w:tcPr>
          <w:p w14:paraId="119BB54F" w14:textId="77777777" w:rsidR="00F73A38" w:rsidRPr="00EA334D" w:rsidRDefault="00F73A38" w:rsidP="00105BC5">
            <w:pPr>
              <w:jc w:val="center"/>
            </w:pPr>
            <w:r w:rsidRPr="00EA334D">
              <w:t>A28</w:t>
            </w:r>
          </w:p>
        </w:tc>
        <w:tc>
          <w:tcPr>
            <w:tcW w:w="8332" w:type="dxa"/>
            <w:noWrap/>
            <w:hideMark/>
          </w:tcPr>
          <w:p w14:paraId="1D8748EE" w14:textId="77777777" w:rsidR="00F73A38" w:rsidRPr="00EA334D" w:rsidRDefault="00F73A38" w:rsidP="00105BC5">
            <w:r w:rsidRPr="00EA334D">
              <w:t>Activități agricole care generează poluare marină</w:t>
            </w:r>
          </w:p>
        </w:tc>
      </w:tr>
      <w:tr w:rsidR="00F73A38" w:rsidRPr="00514649" w14:paraId="184E8C85" w14:textId="77777777" w:rsidTr="00105BC5">
        <w:trPr>
          <w:trHeight w:val="300"/>
        </w:trPr>
        <w:tc>
          <w:tcPr>
            <w:tcW w:w="1019" w:type="dxa"/>
            <w:noWrap/>
            <w:hideMark/>
          </w:tcPr>
          <w:p w14:paraId="72E1637C" w14:textId="77777777" w:rsidR="00F73A38" w:rsidRPr="00EA334D" w:rsidRDefault="00F73A38" w:rsidP="00105BC5">
            <w:pPr>
              <w:jc w:val="center"/>
            </w:pPr>
            <w:r w:rsidRPr="00EA334D">
              <w:t>A29</w:t>
            </w:r>
          </w:p>
        </w:tc>
        <w:tc>
          <w:tcPr>
            <w:tcW w:w="8332" w:type="dxa"/>
            <w:noWrap/>
            <w:hideMark/>
          </w:tcPr>
          <w:p w14:paraId="4BB27565" w14:textId="77777777" w:rsidR="00F73A38" w:rsidRPr="00EA334D" w:rsidRDefault="00F73A38" w:rsidP="00105BC5">
            <w:r w:rsidRPr="00EA334D">
              <w:t>Activități agricole generatoare de poluare a solului</w:t>
            </w:r>
          </w:p>
        </w:tc>
      </w:tr>
      <w:tr w:rsidR="00F73A38" w:rsidRPr="00514649" w14:paraId="0C7E97D0" w14:textId="77777777" w:rsidTr="00105BC5">
        <w:trPr>
          <w:trHeight w:val="300"/>
        </w:trPr>
        <w:tc>
          <w:tcPr>
            <w:tcW w:w="1019" w:type="dxa"/>
            <w:noWrap/>
            <w:hideMark/>
          </w:tcPr>
          <w:p w14:paraId="18718237" w14:textId="77777777" w:rsidR="00F73A38" w:rsidRPr="00EA334D" w:rsidRDefault="00F73A38" w:rsidP="00105BC5">
            <w:pPr>
              <w:jc w:val="center"/>
            </w:pPr>
            <w:r w:rsidRPr="00EA334D">
              <w:t>A31</w:t>
            </w:r>
          </w:p>
        </w:tc>
        <w:tc>
          <w:tcPr>
            <w:tcW w:w="8332" w:type="dxa"/>
            <w:noWrap/>
            <w:hideMark/>
          </w:tcPr>
          <w:p w14:paraId="559D3EC9" w14:textId="77777777" w:rsidR="00F73A38" w:rsidRPr="00EA334D" w:rsidRDefault="00F73A38" w:rsidP="00105BC5">
            <w:r w:rsidRPr="00EA334D">
              <w:t>Drenaj pentru utilizare ca teren agricol</w:t>
            </w:r>
          </w:p>
        </w:tc>
      </w:tr>
      <w:tr w:rsidR="00F73A38" w:rsidRPr="00514649" w14:paraId="1159E992" w14:textId="77777777" w:rsidTr="00105BC5">
        <w:trPr>
          <w:trHeight w:val="300"/>
        </w:trPr>
        <w:tc>
          <w:tcPr>
            <w:tcW w:w="1019" w:type="dxa"/>
            <w:noWrap/>
            <w:hideMark/>
          </w:tcPr>
          <w:p w14:paraId="6F92C487" w14:textId="77777777" w:rsidR="00F73A38" w:rsidRPr="00EA334D" w:rsidRDefault="00F73A38" w:rsidP="00105BC5">
            <w:pPr>
              <w:jc w:val="center"/>
            </w:pPr>
            <w:r w:rsidRPr="00EA334D">
              <w:t>A33</w:t>
            </w:r>
          </w:p>
        </w:tc>
        <w:tc>
          <w:tcPr>
            <w:tcW w:w="8332" w:type="dxa"/>
            <w:noWrap/>
            <w:hideMark/>
          </w:tcPr>
          <w:p w14:paraId="6C8A5132" w14:textId="77777777" w:rsidR="00F73A38" w:rsidRPr="00EA334D" w:rsidRDefault="00F73A38" w:rsidP="00105BC5">
            <w:r w:rsidRPr="00EA334D">
              <w:t>Modificarea fluxului hidrologic sau modificarea fizică a corpurilor de apă pentru agricultură (exclusiv dezvoltarea și exploatarea barajelor)</w:t>
            </w:r>
          </w:p>
        </w:tc>
      </w:tr>
      <w:tr w:rsidR="00F73A38" w:rsidRPr="00514649" w14:paraId="72692975" w14:textId="77777777" w:rsidTr="00105BC5">
        <w:trPr>
          <w:trHeight w:val="300"/>
        </w:trPr>
        <w:tc>
          <w:tcPr>
            <w:tcW w:w="1019" w:type="dxa"/>
            <w:noWrap/>
            <w:hideMark/>
          </w:tcPr>
          <w:p w14:paraId="41624A00" w14:textId="77777777" w:rsidR="00F73A38" w:rsidRPr="00EA334D" w:rsidRDefault="00F73A38" w:rsidP="00105BC5">
            <w:pPr>
              <w:jc w:val="center"/>
            </w:pPr>
            <w:r w:rsidRPr="00EA334D">
              <w:t>A36</w:t>
            </w:r>
          </w:p>
        </w:tc>
        <w:tc>
          <w:tcPr>
            <w:tcW w:w="8332" w:type="dxa"/>
            <w:noWrap/>
            <w:hideMark/>
          </w:tcPr>
          <w:p w14:paraId="72BDB22C" w14:textId="77777777" w:rsidR="00F73A38" w:rsidRPr="00EA334D" w:rsidRDefault="00F73A38" w:rsidP="00105BC5">
            <w:r w:rsidRPr="00EA334D">
              <w:t>Activități agricole care nu sunt menționate mai sus</w:t>
            </w:r>
          </w:p>
        </w:tc>
      </w:tr>
      <w:tr w:rsidR="00F73A38" w:rsidRPr="00514649" w14:paraId="496AED63" w14:textId="77777777" w:rsidTr="00105BC5">
        <w:trPr>
          <w:trHeight w:val="300"/>
        </w:trPr>
        <w:tc>
          <w:tcPr>
            <w:tcW w:w="1019" w:type="dxa"/>
            <w:noWrap/>
            <w:hideMark/>
          </w:tcPr>
          <w:p w14:paraId="476867DD" w14:textId="77777777" w:rsidR="00F73A38" w:rsidRPr="00EA334D" w:rsidRDefault="00F73A38" w:rsidP="00105BC5">
            <w:pPr>
              <w:jc w:val="center"/>
            </w:pPr>
            <w:r w:rsidRPr="00EA334D">
              <w:t>B</w:t>
            </w:r>
          </w:p>
        </w:tc>
        <w:tc>
          <w:tcPr>
            <w:tcW w:w="8332" w:type="dxa"/>
            <w:noWrap/>
            <w:hideMark/>
          </w:tcPr>
          <w:p w14:paraId="0B655497" w14:textId="77777777" w:rsidR="00F73A38" w:rsidRPr="00EA334D" w:rsidRDefault="00F73A38" w:rsidP="00105BC5">
            <w:r w:rsidRPr="00EA334D">
              <w:t>Silvicultură</w:t>
            </w:r>
          </w:p>
        </w:tc>
      </w:tr>
      <w:tr w:rsidR="00F73A38" w:rsidRPr="00514649" w14:paraId="2718E63D" w14:textId="77777777" w:rsidTr="00105BC5">
        <w:trPr>
          <w:trHeight w:val="300"/>
        </w:trPr>
        <w:tc>
          <w:tcPr>
            <w:tcW w:w="1019" w:type="dxa"/>
            <w:noWrap/>
            <w:hideMark/>
          </w:tcPr>
          <w:p w14:paraId="2621C236" w14:textId="77777777" w:rsidR="00F73A38" w:rsidRPr="00EA334D" w:rsidRDefault="00F73A38" w:rsidP="00105BC5">
            <w:pPr>
              <w:jc w:val="center"/>
            </w:pPr>
            <w:r w:rsidRPr="00EA334D">
              <w:t>B25</w:t>
            </w:r>
          </w:p>
        </w:tc>
        <w:tc>
          <w:tcPr>
            <w:tcW w:w="8332" w:type="dxa"/>
            <w:noWrap/>
            <w:hideMark/>
          </w:tcPr>
          <w:p w14:paraId="782463E3" w14:textId="77777777" w:rsidR="00F73A38" w:rsidRPr="00EA334D" w:rsidRDefault="00F73A38" w:rsidP="00105BC5">
            <w:r w:rsidRPr="00EA334D">
              <w:t>Activități forestiere care generează poluare marină</w:t>
            </w:r>
          </w:p>
        </w:tc>
      </w:tr>
      <w:tr w:rsidR="00F73A38" w:rsidRPr="00514649" w14:paraId="4F3D8DD7" w14:textId="77777777" w:rsidTr="00105BC5">
        <w:trPr>
          <w:trHeight w:val="300"/>
        </w:trPr>
        <w:tc>
          <w:tcPr>
            <w:tcW w:w="1019" w:type="dxa"/>
            <w:noWrap/>
            <w:hideMark/>
          </w:tcPr>
          <w:p w14:paraId="014585DC" w14:textId="77777777" w:rsidR="00F73A38" w:rsidRPr="00EA334D" w:rsidRDefault="00F73A38" w:rsidP="00105BC5">
            <w:pPr>
              <w:jc w:val="center"/>
            </w:pPr>
            <w:r w:rsidRPr="00EA334D">
              <w:t>C</w:t>
            </w:r>
          </w:p>
        </w:tc>
        <w:tc>
          <w:tcPr>
            <w:tcW w:w="8332" w:type="dxa"/>
            <w:noWrap/>
            <w:hideMark/>
          </w:tcPr>
          <w:p w14:paraId="632CF846" w14:textId="77777777" w:rsidR="00F73A38" w:rsidRPr="00EA334D" w:rsidRDefault="00F73A38" w:rsidP="00105BC5">
            <w:r w:rsidRPr="00EA334D">
              <w:t>Extragerea resurselor (minerale, turbă, resurse de energie neregenerabile)</w:t>
            </w:r>
          </w:p>
        </w:tc>
      </w:tr>
      <w:tr w:rsidR="00F73A38" w:rsidRPr="00514649" w14:paraId="7CE26BF2" w14:textId="77777777" w:rsidTr="00105BC5">
        <w:trPr>
          <w:trHeight w:val="300"/>
        </w:trPr>
        <w:tc>
          <w:tcPr>
            <w:tcW w:w="1019" w:type="dxa"/>
            <w:noWrap/>
            <w:hideMark/>
          </w:tcPr>
          <w:p w14:paraId="07775271" w14:textId="77777777" w:rsidR="00F73A38" w:rsidRPr="00EA334D" w:rsidRDefault="00F73A38" w:rsidP="00105BC5">
            <w:pPr>
              <w:jc w:val="center"/>
            </w:pPr>
            <w:r w:rsidRPr="00EA334D">
              <w:t>C01</w:t>
            </w:r>
          </w:p>
        </w:tc>
        <w:tc>
          <w:tcPr>
            <w:tcW w:w="8332" w:type="dxa"/>
            <w:noWrap/>
            <w:hideMark/>
          </w:tcPr>
          <w:p w14:paraId="07A26AA8" w14:textId="77777777" w:rsidR="00F73A38" w:rsidRPr="00EA334D" w:rsidRDefault="00F73A38" w:rsidP="00105BC5">
            <w:r w:rsidRPr="00EA334D">
              <w:t>Extracție de minerale (de exemplu, rocă, minereuri metalice, pietriș, nisip, cochilii)</w:t>
            </w:r>
          </w:p>
        </w:tc>
      </w:tr>
      <w:tr w:rsidR="00F73A38" w:rsidRPr="00514649" w14:paraId="0C4431B1" w14:textId="77777777" w:rsidTr="00105BC5">
        <w:trPr>
          <w:trHeight w:val="300"/>
        </w:trPr>
        <w:tc>
          <w:tcPr>
            <w:tcW w:w="1019" w:type="dxa"/>
            <w:noWrap/>
            <w:hideMark/>
          </w:tcPr>
          <w:p w14:paraId="1554169B" w14:textId="77777777" w:rsidR="00F73A38" w:rsidRPr="00EA334D" w:rsidRDefault="00F73A38" w:rsidP="00105BC5">
            <w:pPr>
              <w:jc w:val="center"/>
            </w:pPr>
            <w:r w:rsidRPr="00EA334D">
              <w:t>C03</w:t>
            </w:r>
          </w:p>
        </w:tc>
        <w:tc>
          <w:tcPr>
            <w:tcW w:w="8332" w:type="dxa"/>
            <w:noWrap/>
            <w:hideMark/>
          </w:tcPr>
          <w:p w14:paraId="55F3FD2B" w14:textId="77777777" w:rsidR="00F73A38" w:rsidRPr="00EA334D" w:rsidRDefault="00F73A38" w:rsidP="00105BC5">
            <w:r w:rsidRPr="00EA334D">
              <w:t>Extracția de petrol și gaze, inclusiv infrastructura</w:t>
            </w:r>
          </w:p>
        </w:tc>
      </w:tr>
      <w:tr w:rsidR="00F73A38" w:rsidRPr="00514649" w14:paraId="27B8DA67" w14:textId="77777777" w:rsidTr="00105BC5">
        <w:trPr>
          <w:trHeight w:val="300"/>
        </w:trPr>
        <w:tc>
          <w:tcPr>
            <w:tcW w:w="1019" w:type="dxa"/>
            <w:noWrap/>
            <w:hideMark/>
          </w:tcPr>
          <w:p w14:paraId="2F330953" w14:textId="77777777" w:rsidR="00F73A38" w:rsidRPr="00EA334D" w:rsidRDefault="00F73A38" w:rsidP="00105BC5">
            <w:pPr>
              <w:jc w:val="center"/>
            </w:pPr>
            <w:r w:rsidRPr="00EA334D">
              <w:t>C06</w:t>
            </w:r>
          </w:p>
        </w:tc>
        <w:tc>
          <w:tcPr>
            <w:tcW w:w="8332" w:type="dxa"/>
            <w:noWrap/>
            <w:hideMark/>
          </w:tcPr>
          <w:p w14:paraId="53F98D91" w14:textId="77777777" w:rsidR="00F73A38" w:rsidRPr="00EA334D" w:rsidRDefault="00F73A38" w:rsidP="00105BC5">
            <w:r w:rsidRPr="00EA334D">
              <w:t>Depozitarea / depozitarea materialelor inerte din extracția terestră</w:t>
            </w:r>
          </w:p>
        </w:tc>
      </w:tr>
      <w:tr w:rsidR="00F73A38" w:rsidRPr="00514649" w14:paraId="486A4221" w14:textId="77777777" w:rsidTr="00105BC5">
        <w:trPr>
          <w:trHeight w:val="300"/>
        </w:trPr>
        <w:tc>
          <w:tcPr>
            <w:tcW w:w="1019" w:type="dxa"/>
            <w:noWrap/>
            <w:hideMark/>
          </w:tcPr>
          <w:p w14:paraId="799F7C61" w14:textId="77777777" w:rsidR="00F73A38" w:rsidRPr="00EA334D" w:rsidRDefault="00F73A38" w:rsidP="00105BC5">
            <w:pPr>
              <w:jc w:val="center"/>
            </w:pPr>
            <w:r w:rsidRPr="00EA334D">
              <w:t>C07</w:t>
            </w:r>
          </w:p>
        </w:tc>
        <w:tc>
          <w:tcPr>
            <w:tcW w:w="8332" w:type="dxa"/>
            <w:noWrap/>
            <w:hideMark/>
          </w:tcPr>
          <w:p w14:paraId="767382B5" w14:textId="77777777" w:rsidR="00F73A38" w:rsidRPr="00EA334D" w:rsidRDefault="00F73A38" w:rsidP="00105BC5">
            <w:r w:rsidRPr="00EA334D">
              <w:t>Depunerea / depozitarea materialelor dragate din extracția marină</w:t>
            </w:r>
          </w:p>
        </w:tc>
      </w:tr>
      <w:tr w:rsidR="00F73A38" w:rsidRPr="001F056A" w14:paraId="4CF22ECC" w14:textId="77777777" w:rsidTr="00105BC5">
        <w:trPr>
          <w:trHeight w:val="300"/>
        </w:trPr>
        <w:tc>
          <w:tcPr>
            <w:tcW w:w="1019" w:type="dxa"/>
            <w:noWrap/>
            <w:hideMark/>
          </w:tcPr>
          <w:p w14:paraId="2F77C6E1" w14:textId="77777777" w:rsidR="00F73A38" w:rsidRPr="00EA334D" w:rsidRDefault="00F73A38" w:rsidP="00105BC5">
            <w:pPr>
              <w:jc w:val="center"/>
            </w:pPr>
            <w:r w:rsidRPr="00EA334D">
              <w:t>C09</w:t>
            </w:r>
          </w:p>
        </w:tc>
        <w:tc>
          <w:tcPr>
            <w:tcW w:w="8332" w:type="dxa"/>
            <w:noWrap/>
            <w:hideMark/>
          </w:tcPr>
          <w:p w14:paraId="211565E1" w14:textId="77777777" w:rsidR="00F73A38" w:rsidRPr="00EA334D" w:rsidRDefault="00F73A38" w:rsidP="00105BC5">
            <w:r w:rsidRPr="00EA334D">
              <w:t>Cercetare geotehnică</w:t>
            </w:r>
          </w:p>
        </w:tc>
      </w:tr>
      <w:tr w:rsidR="00F73A38" w:rsidRPr="001F056A" w14:paraId="043572F7" w14:textId="77777777" w:rsidTr="00105BC5">
        <w:trPr>
          <w:trHeight w:val="300"/>
        </w:trPr>
        <w:tc>
          <w:tcPr>
            <w:tcW w:w="1019" w:type="dxa"/>
            <w:noWrap/>
            <w:hideMark/>
          </w:tcPr>
          <w:p w14:paraId="01FA1B95" w14:textId="77777777" w:rsidR="00F73A38" w:rsidRPr="00EA334D" w:rsidRDefault="00F73A38" w:rsidP="00105BC5">
            <w:pPr>
              <w:jc w:val="center"/>
            </w:pPr>
            <w:r w:rsidRPr="00EA334D">
              <w:t>C10</w:t>
            </w:r>
          </w:p>
        </w:tc>
        <w:tc>
          <w:tcPr>
            <w:tcW w:w="8332" w:type="dxa"/>
            <w:noWrap/>
            <w:hideMark/>
          </w:tcPr>
          <w:p w14:paraId="7300E3F0" w14:textId="77777777" w:rsidR="00F73A38" w:rsidRPr="00EA334D" w:rsidRDefault="00F73A38" w:rsidP="00105BC5">
            <w:r w:rsidRPr="00EA334D">
              <w:t>Activități de extracție care generează poluarea surselor punctiforme la apele de suprafață sau subterane</w:t>
            </w:r>
          </w:p>
        </w:tc>
      </w:tr>
      <w:tr w:rsidR="00F73A38" w:rsidRPr="001F056A" w14:paraId="4BC9063F" w14:textId="77777777" w:rsidTr="00105BC5">
        <w:trPr>
          <w:trHeight w:val="300"/>
        </w:trPr>
        <w:tc>
          <w:tcPr>
            <w:tcW w:w="1019" w:type="dxa"/>
            <w:noWrap/>
            <w:hideMark/>
          </w:tcPr>
          <w:p w14:paraId="11883331" w14:textId="77777777" w:rsidR="00F73A38" w:rsidRPr="00EA334D" w:rsidRDefault="00F73A38" w:rsidP="00105BC5">
            <w:pPr>
              <w:jc w:val="center"/>
            </w:pPr>
            <w:r w:rsidRPr="00EA334D">
              <w:t>C11</w:t>
            </w:r>
          </w:p>
        </w:tc>
        <w:tc>
          <w:tcPr>
            <w:tcW w:w="8332" w:type="dxa"/>
            <w:noWrap/>
            <w:hideMark/>
          </w:tcPr>
          <w:p w14:paraId="3120A0E4" w14:textId="77777777" w:rsidR="00F73A38" w:rsidRPr="00EA334D" w:rsidRDefault="00F73A38" w:rsidP="00105BC5">
            <w:r w:rsidRPr="00EA334D">
              <w:t>Activități de extracție care generează poluare difuză la apele subterane sau de suprafață</w:t>
            </w:r>
          </w:p>
        </w:tc>
      </w:tr>
      <w:tr w:rsidR="00F73A38" w:rsidRPr="001F056A" w14:paraId="77AA58B0" w14:textId="77777777" w:rsidTr="00105BC5">
        <w:trPr>
          <w:trHeight w:val="300"/>
        </w:trPr>
        <w:tc>
          <w:tcPr>
            <w:tcW w:w="1019" w:type="dxa"/>
            <w:noWrap/>
            <w:hideMark/>
          </w:tcPr>
          <w:p w14:paraId="7A017A4C" w14:textId="77777777" w:rsidR="00F73A38" w:rsidRPr="00EA334D" w:rsidRDefault="00F73A38" w:rsidP="00105BC5">
            <w:pPr>
              <w:jc w:val="center"/>
            </w:pPr>
            <w:r w:rsidRPr="00EA334D">
              <w:t>C12</w:t>
            </w:r>
          </w:p>
        </w:tc>
        <w:tc>
          <w:tcPr>
            <w:tcW w:w="8332" w:type="dxa"/>
            <w:noWrap/>
            <w:hideMark/>
          </w:tcPr>
          <w:p w14:paraId="25BDA687" w14:textId="77777777" w:rsidR="00F73A38" w:rsidRPr="00EA334D" w:rsidRDefault="00F73A38" w:rsidP="00105BC5">
            <w:r w:rsidRPr="00EA334D">
              <w:t>Activități de extracție care generează poluare marină</w:t>
            </w:r>
          </w:p>
        </w:tc>
      </w:tr>
      <w:tr w:rsidR="00F73A38" w:rsidRPr="00514649" w14:paraId="2182DE2E" w14:textId="77777777" w:rsidTr="00105BC5">
        <w:trPr>
          <w:trHeight w:val="300"/>
        </w:trPr>
        <w:tc>
          <w:tcPr>
            <w:tcW w:w="1019" w:type="dxa"/>
            <w:noWrap/>
            <w:hideMark/>
          </w:tcPr>
          <w:p w14:paraId="5D195B5C" w14:textId="77777777" w:rsidR="00F73A38" w:rsidRPr="00EA334D" w:rsidRDefault="00F73A38" w:rsidP="00105BC5">
            <w:pPr>
              <w:jc w:val="center"/>
            </w:pPr>
            <w:r w:rsidRPr="00EA334D">
              <w:t>C13</w:t>
            </w:r>
          </w:p>
        </w:tc>
        <w:tc>
          <w:tcPr>
            <w:tcW w:w="8332" w:type="dxa"/>
            <w:noWrap/>
            <w:hideMark/>
          </w:tcPr>
          <w:p w14:paraId="30D2C957" w14:textId="77777777" w:rsidR="00F73A38" w:rsidRPr="00EA334D" w:rsidRDefault="00F73A38" w:rsidP="00105BC5">
            <w:r w:rsidRPr="00EA334D">
              <w:t>Activități de extracție care generează zgomot, lumină sau alte forme de poluare</w:t>
            </w:r>
          </w:p>
        </w:tc>
      </w:tr>
      <w:tr w:rsidR="00F73A38" w:rsidRPr="00514649" w14:paraId="6D73EA0C" w14:textId="77777777" w:rsidTr="00105BC5">
        <w:trPr>
          <w:trHeight w:val="300"/>
        </w:trPr>
        <w:tc>
          <w:tcPr>
            <w:tcW w:w="1019" w:type="dxa"/>
            <w:noWrap/>
            <w:hideMark/>
          </w:tcPr>
          <w:p w14:paraId="349260CE" w14:textId="77777777" w:rsidR="00F73A38" w:rsidRPr="00EA334D" w:rsidRDefault="00F73A38" w:rsidP="00105BC5">
            <w:pPr>
              <w:jc w:val="center"/>
            </w:pPr>
            <w:r w:rsidRPr="00EA334D">
              <w:t>C14</w:t>
            </w:r>
          </w:p>
        </w:tc>
        <w:tc>
          <w:tcPr>
            <w:tcW w:w="8332" w:type="dxa"/>
            <w:noWrap/>
            <w:hideMark/>
          </w:tcPr>
          <w:p w14:paraId="6E988D5C" w14:textId="77777777" w:rsidR="00F73A38" w:rsidRPr="00EA334D" w:rsidRDefault="00F73A38" w:rsidP="00105BC5">
            <w:r w:rsidRPr="00EA334D">
              <w:t>Extragerea apelor de suprafață și subterane pentru extragerea resurselor</w:t>
            </w:r>
          </w:p>
        </w:tc>
      </w:tr>
      <w:tr w:rsidR="00F73A38" w:rsidRPr="00514649" w14:paraId="79E0CFFA" w14:textId="77777777" w:rsidTr="00105BC5">
        <w:trPr>
          <w:trHeight w:val="300"/>
        </w:trPr>
        <w:tc>
          <w:tcPr>
            <w:tcW w:w="1019" w:type="dxa"/>
            <w:noWrap/>
            <w:hideMark/>
          </w:tcPr>
          <w:p w14:paraId="12E6B04B" w14:textId="77777777" w:rsidR="00F73A38" w:rsidRPr="00EA334D" w:rsidRDefault="00F73A38" w:rsidP="00105BC5">
            <w:pPr>
              <w:jc w:val="center"/>
            </w:pPr>
            <w:r w:rsidRPr="00EA334D">
              <w:t>C15</w:t>
            </w:r>
          </w:p>
        </w:tc>
        <w:tc>
          <w:tcPr>
            <w:tcW w:w="8332" w:type="dxa"/>
            <w:noWrap/>
            <w:hideMark/>
          </w:tcPr>
          <w:p w14:paraId="3705F04F" w14:textId="77777777" w:rsidR="00F73A38" w:rsidRPr="00EA334D" w:rsidRDefault="00F73A38" w:rsidP="00105BC5">
            <w:r w:rsidRPr="00EA334D">
              <w:t>Activități miniere și de extracție la care nu se face referire mai sus</w:t>
            </w:r>
          </w:p>
        </w:tc>
      </w:tr>
      <w:tr w:rsidR="00F73A38" w:rsidRPr="001F056A" w14:paraId="17DD115C" w14:textId="77777777" w:rsidTr="00105BC5">
        <w:trPr>
          <w:trHeight w:val="300"/>
        </w:trPr>
        <w:tc>
          <w:tcPr>
            <w:tcW w:w="1019" w:type="dxa"/>
            <w:noWrap/>
            <w:hideMark/>
          </w:tcPr>
          <w:p w14:paraId="40979C63" w14:textId="77777777" w:rsidR="00F73A38" w:rsidRPr="00EA334D" w:rsidRDefault="00F73A38" w:rsidP="00105BC5">
            <w:pPr>
              <w:jc w:val="center"/>
            </w:pPr>
            <w:r w:rsidRPr="00EA334D">
              <w:t>D</w:t>
            </w:r>
          </w:p>
        </w:tc>
        <w:tc>
          <w:tcPr>
            <w:tcW w:w="8332" w:type="dxa"/>
            <w:noWrap/>
            <w:hideMark/>
          </w:tcPr>
          <w:p w14:paraId="13575178" w14:textId="77777777" w:rsidR="00F73A38" w:rsidRPr="00EA334D" w:rsidRDefault="00F73A38" w:rsidP="00105BC5">
            <w:r w:rsidRPr="00EA334D">
              <w:t>Procesele de producție de energie și dezvoltarea infrastructurii aferente</w:t>
            </w:r>
          </w:p>
        </w:tc>
      </w:tr>
      <w:tr w:rsidR="00F73A38" w:rsidRPr="00514649" w14:paraId="2EA20AF5" w14:textId="77777777" w:rsidTr="00105BC5">
        <w:trPr>
          <w:trHeight w:val="300"/>
        </w:trPr>
        <w:tc>
          <w:tcPr>
            <w:tcW w:w="1019" w:type="dxa"/>
            <w:noWrap/>
            <w:hideMark/>
          </w:tcPr>
          <w:p w14:paraId="16EFA2B5" w14:textId="77777777" w:rsidR="00F73A38" w:rsidRPr="00EA334D" w:rsidRDefault="00F73A38" w:rsidP="00105BC5">
            <w:pPr>
              <w:jc w:val="center"/>
            </w:pPr>
            <w:r w:rsidRPr="00EA334D">
              <w:t>D01</w:t>
            </w:r>
          </w:p>
        </w:tc>
        <w:tc>
          <w:tcPr>
            <w:tcW w:w="8332" w:type="dxa"/>
            <w:noWrap/>
            <w:hideMark/>
          </w:tcPr>
          <w:p w14:paraId="0241BAA5" w14:textId="77777777" w:rsidR="00F73A38" w:rsidRPr="00EA334D" w:rsidRDefault="00F73A38" w:rsidP="00105BC5">
            <w:r w:rsidRPr="00EA334D">
              <w:t>Energia eoliană, valurilor și mareei, inclusiv infrastructura</w:t>
            </w:r>
          </w:p>
        </w:tc>
      </w:tr>
      <w:tr w:rsidR="00F73A38" w:rsidRPr="00514649" w14:paraId="576E8836" w14:textId="77777777" w:rsidTr="00105BC5">
        <w:trPr>
          <w:trHeight w:val="300"/>
        </w:trPr>
        <w:tc>
          <w:tcPr>
            <w:tcW w:w="1019" w:type="dxa"/>
            <w:noWrap/>
            <w:hideMark/>
          </w:tcPr>
          <w:p w14:paraId="198B29A2" w14:textId="77777777" w:rsidR="00F73A38" w:rsidRPr="00EA334D" w:rsidRDefault="00F73A38" w:rsidP="00105BC5">
            <w:pPr>
              <w:jc w:val="center"/>
            </w:pPr>
            <w:r w:rsidRPr="00EA334D">
              <w:t>D02</w:t>
            </w:r>
          </w:p>
        </w:tc>
        <w:tc>
          <w:tcPr>
            <w:tcW w:w="8332" w:type="dxa"/>
            <w:noWrap/>
            <w:hideMark/>
          </w:tcPr>
          <w:p w14:paraId="0AC8E10E" w14:textId="77777777" w:rsidR="00F73A38" w:rsidRPr="00EA334D" w:rsidRDefault="00F73A38" w:rsidP="00105BC5">
            <w:r w:rsidRPr="00EA334D">
              <w:t>Hidrocentrale (baraje, deșeuri, scurgere pe râu), inclusiv infrastructură</w:t>
            </w:r>
          </w:p>
        </w:tc>
      </w:tr>
      <w:tr w:rsidR="00F73A38" w:rsidRPr="00514649" w14:paraId="4D20C7C3" w14:textId="77777777" w:rsidTr="00105BC5">
        <w:trPr>
          <w:trHeight w:val="300"/>
        </w:trPr>
        <w:tc>
          <w:tcPr>
            <w:tcW w:w="1019" w:type="dxa"/>
            <w:noWrap/>
            <w:hideMark/>
          </w:tcPr>
          <w:p w14:paraId="466C6D50" w14:textId="77777777" w:rsidR="00F73A38" w:rsidRPr="00EA334D" w:rsidRDefault="00F73A38" w:rsidP="00105BC5">
            <w:pPr>
              <w:jc w:val="center"/>
            </w:pPr>
            <w:r w:rsidRPr="00EA334D">
              <w:t>D03</w:t>
            </w:r>
          </w:p>
        </w:tc>
        <w:tc>
          <w:tcPr>
            <w:tcW w:w="8332" w:type="dxa"/>
            <w:noWrap/>
            <w:hideMark/>
          </w:tcPr>
          <w:p w14:paraId="48AA6CE7" w14:textId="77777777" w:rsidR="00F73A38" w:rsidRPr="00EA334D" w:rsidRDefault="00F73A38" w:rsidP="00105BC5">
            <w:r w:rsidRPr="00EA334D">
              <w:t>Energie solară, inclusiv infrastructura</w:t>
            </w:r>
          </w:p>
        </w:tc>
      </w:tr>
      <w:tr w:rsidR="00F73A38" w:rsidRPr="001F056A" w14:paraId="15BDF488" w14:textId="77777777" w:rsidTr="00105BC5">
        <w:trPr>
          <w:trHeight w:val="300"/>
        </w:trPr>
        <w:tc>
          <w:tcPr>
            <w:tcW w:w="1019" w:type="dxa"/>
            <w:noWrap/>
            <w:hideMark/>
          </w:tcPr>
          <w:p w14:paraId="7D9C689D" w14:textId="77777777" w:rsidR="00F73A38" w:rsidRPr="00EA334D" w:rsidRDefault="00F73A38" w:rsidP="00105BC5">
            <w:pPr>
              <w:jc w:val="center"/>
            </w:pPr>
            <w:r w:rsidRPr="00EA334D">
              <w:t>D06</w:t>
            </w:r>
          </w:p>
        </w:tc>
        <w:tc>
          <w:tcPr>
            <w:tcW w:w="8332" w:type="dxa"/>
            <w:noWrap/>
            <w:hideMark/>
          </w:tcPr>
          <w:p w14:paraId="74665B00" w14:textId="77777777" w:rsidR="00F73A38" w:rsidRPr="00EA334D" w:rsidRDefault="00F73A38" w:rsidP="00105BC5">
            <w:r w:rsidRPr="00EA334D">
              <w:t>Transmisie de energie electrică și comunicații (cabluri)</w:t>
            </w:r>
          </w:p>
        </w:tc>
      </w:tr>
      <w:tr w:rsidR="00F73A38" w:rsidRPr="00514649" w14:paraId="0EC70953" w14:textId="77777777" w:rsidTr="00105BC5">
        <w:trPr>
          <w:trHeight w:val="300"/>
        </w:trPr>
        <w:tc>
          <w:tcPr>
            <w:tcW w:w="1019" w:type="dxa"/>
            <w:noWrap/>
            <w:hideMark/>
          </w:tcPr>
          <w:p w14:paraId="335ABDAE" w14:textId="77777777" w:rsidR="00F73A38" w:rsidRPr="00EA334D" w:rsidRDefault="00F73A38" w:rsidP="00105BC5">
            <w:pPr>
              <w:jc w:val="center"/>
            </w:pPr>
            <w:r w:rsidRPr="00EA334D">
              <w:t>D07</w:t>
            </w:r>
          </w:p>
        </w:tc>
        <w:tc>
          <w:tcPr>
            <w:tcW w:w="8332" w:type="dxa"/>
            <w:noWrap/>
            <w:hideMark/>
          </w:tcPr>
          <w:p w14:paraId="3B2B7F7F" w14:textId="77777777" w:rsidR="00F73A38" w:rsidRPr="00EA334D" w:rsidRDefault="00F73A38" w:rsidP="00105BC5">
            <w:r w:rsidRPr="00EA334D">
              <w:t>Conducte de petrol și gaze</w:t>
            </w:r>
          </w:p>
        </w:tc>
      </w:tr>
      <w:tr w:rsidR="00F73A38" w:rsidRPr="00514649" w14:paraId="2D4BD03F" w14:textId="77777777" w:rsidTr="00105BC5">
        <w:trPr>
          <w:trHeight w:val="300"/>
        </w:trPr>
        <w:tc>
          <w:tcPr>
            <w:tcW w:w="1019" w:type="dxa"/>
            <w:noWrap/>
            <w:hideMark/>
          </w:tcPr>
          <w:p w14:paraId="04BD74FF" w14:textId="77777777" w:rsidR="00F73A38" w:rsidRPr="00EA334D" w:rsidRDefault="00F73A38" w:rsidP="00105BC5">
            <w:pPr>
              <w:jc w:val="center"/>
            </w:pPr>
            <w:r w:rsidRPr="00EA334D">
              <w:t>D10</w:t>
            </w:r>
          </w:p>
        </w:tc>
        <w:tc>
          <w:tcPr>
            <w:tcW w:w="8332" w:type="dxa"/>
            <w:noWrap/>
            <w:hideMark/>
          </w:tcPr>
          <w:p w14:paraId="733E04D2" w14:textId="77777777" w:rsidR="00F73A38" w:rsidRPr="00EA334D" w:rsidRDefault="00F73A38" w:rsidP="00105BC5">
            <w:r w:rsidRPr="00EA334D">
              <w:t>Activități de producție și transmisie de energie generatoare de poluare marină</w:t>
            </w:r>
          </w:p>
        </w:tc>
      </w:tr>
      <w:tr w:rsidR="00F73A38" w:rsidRPr="00514649" w14:paraId="5E700166" w14:textId="77777777" w:rsidTr="00105BC5">
        <w:trPr>
          <w:trHeight w:val="300"/>
        </w:trPr>
        <w:tc>
          <w:tcPr>
            <w:tcW w:w="1019" w:type="dxa"/>
            <w:noWrap/>
            <w:hideMark/>
          </w:tcPr>
          <w:p w14:paraId="5080C05A" w14:textId="77777777" w:rsidR="00F73A38" w:rsidRPr="00EA334D" w:rsidRDefault="00F73A38" w:rsidP="00105BC5">
            <w:pPr>
              <w:jc w:val="center"/>
            </w:pPr>
            <w:r w:rsidRPr="00EA334D">
              <w:t>D11</w:t>
            </w:r>
          </w:p>
        </w:tc>
        <w:tc>
          <w:tcPr>
            <w:tcW w:w="8332" w:type="dxa"/>
            <w:noWrap/>
            <w:hideMark/>
          </w:tcPr>
          <w:p w14:paraId="766010C3" w14:textId="77777777" w:rsidR="00F73A38" w:rsidRPr="00EA334D" w:rsidRDefault="00F73A38" w:rsidP="00105BC5">
            <w:r w:rsidRPr="00EA334D">
              <w:t>Activități de producție și transmisie de energie generatoare de poluare fonică</w:t>
            </w:r>
          </w:p>
        </w:tc>
      </w:tr>
      <w:tr w:rsidR="00F73A38" w:rsidRPr="00514649" w14:paraId="4B5D7606" w14:textId="77777777" w:rsidTr="00105BC5">
        <w:trPr>
          <w:trHeight w:val="300"/>
        </w:trPr>
        <w:tc>
          <w:tcPr>
            <w:tcW w:w="1019" w:type="dxa"/>
            <w:noWrap/>
            <w:hideMark/>
          </w:tcPr>
          <w:p w14:paraId="09F289F0" w14:textId="77777777" w:rsidR="00F73A38" w:rsidRPr="00EA334D" w:rsidRDefault="00F73A38" w:rsidP="00105BC5">
            <w:pPr>
              <w:jc w:val="center"/>
            </w:pPr>
            <w:r w:rsidRPr="00EA334D">
              <w:t>D12</w:t>
            </w:r>
          </w:p>
        </w:tc>
        <w:tc>
          <w:tcPr>
            <w:tcW w:w="8332" w:type="dxa"/>
            <w:noWrap/>
            <w:hideMark/>
          </w:tcPr>
          <w:p w14:paraId="38A27489" w14:textId="77777777" w:rsidR="00F73A38" w:rsidRPr="00EA334D" w:rsidRDefault="00F73A38" w:rsidP="00105BC5">
            <w:r w:rsidRPr="00EA334D">
              <w:t>Activități de producție și transmisie de energie care generează lumină, căldură sau alte forme de poluare</w:t>
            </w:r>
          </w:p>
        </w:tc>
      </w:tr>
      <w:tr w:rsidR="00F73A38" w:rsidRPr="00514649" w14:paraId="20F58D79" w14:textId="77777777" w:rsidTr="00105BC5">
        <w:trPr>
          <w:trHeight w:val="300"/>
        </w:trPr>
        <w:tc>
          <w:tcPr>
            <w:tcW w:w="1019" w:type="dxa"/>
            <w:noWrap/>
            <w:hideMark/>
          </w:tcPr>
          <w:p w14:paraId="5B859E3E" w14:textId="77777777" w:rsidR="00F73A38" w:rsidRPr="00EA334D" w:rsidRDefault="00F73A38" w:rsidP="00105BC5">
            <w:pPr>
              <w:jc w:val="center"/>
            </w:pPr>
            <w:r w:rsidRPr="00EA334D">
              <w:t>D14</w:t>
            </w:r>
          </w:p>
        </w:tc>
        <w:tc>
          <w:tcPr>
            <w:tcW w:w="8332" w:type="dxa"/>
            <w:noWrap/>
            <w:hideMark/>
          </w:tcPr>
          <w:p w14:paraId="3014971A" w14:textId="77777777" w:rsidR="00F73A38" w:rsidRPr="00EA334D" w:rsidRDefault="00F73A38" w:rsidP="00105BC5">
            <w:r w:rsidRPr="00EA334D">
              <w:t>Activități de producție și transmisie de energie la care nu se face referire</w:t>
            </w:r>
          </w:p>
        </w:tc>
      </w:tr>
      <w:tr w:rsidR="00F73A38" w:rsidRPr="00514649" w14:paraId="3DB3B45A" w14:textId="77777777" w:rsidTr="00105BC5">
        <w:trPr>
          <w:trHeight w:val="300"/>
        </w:trPr>
        <w:tc>
          <w:tcPr>
            <w:tcW w:w="1019" w:type="dxa"/>
            <w:noWrap/>
            <w:hideMark/>
          </w:tcPr>
          <w:p w14:paraId="07412A4F" w14:textId="77777777" w:rsidR="00F73A38" w:rsidRPr="00EA334D" w:rsidRDefault="00F73A38" w:rsidP="00105BC5">
            <w:pPr>
              <w:jc w:val="center"/>
            </w:pPr>
            <w:r w:rsidRPr="00EA334D">
              <w:t>E</w:t>
            </w:r>
          </w:p>
        </w:tc>
        <w:tc>
          <w:tcPr>
            <w:tcW w:w="8332" w:type="dxa"/>
            <w:noWrap/>
            <w:hideMark/>
          </w:tcPr>
          <w:p w14:paraId="6A00D9E2" w14:textId="77777777" w:rsidR="00F73A38" w:rsidRPr="00EA334D" w:rsidRDefault="00F73A38" w:rsidP="00105BC5">
            <w:r w:rsidRPr="00EA334D">
              <w:t>Dezvoltarea și funcționarea sistemelor de transport</w:t>
            </w:r>
          </w:p>
        </w:tc>
      </w:tr>
      <w:tr w:rsidR="00F73A38" w:rsidRPr="001F056A" w14:paraId="0E3B0EF7" w14:textId="77777777" w:rsidTr="00105BC5">
        <w:trPr>
          <w:trHeight w:val="300"/>
        </w:trPr>
        <w:tc>
          <w:tcPr>
            <w:tcW w:w="1019" w:type="dxa"/>
            <w:noWrap/>
            <w:hideMark/>
          </w:tcPr>
          <w:p w14:paraId="321AC733" w14:textId="77777777" w:rsidR="00F73A38" w:rsidRPr="00EA334D" w:rsidRDefault="00F73A38" w:rsidP="00105BC5">
            <w:pPr>
              <w:jc w:val="center"/>
            </w:pPr>
            <w:r w:rsidRPr="00EA334D">
              <w:t>E01</w:t>
            </w:r>
          </w:p>
        </w:tc>
        <w:tc>
          <w:tcPr>
            <w:tcW w:w="8332" w:type="dxa"/>
            <w:noWrap/>
            <w:hideMark/>
          </w:tcPr>
          <w:p w14:paraId="4858B596" w14:textId="77777777" w:rsidR="00F73A38" w:rsidRPr="00EA334D" w:rsidRDefault="00F73A38" w:rsidP="00105BC5">
            <w:r w:rsidRPr="00EA334D">
              <w:t>Drumuri, rute, căi ferate și infrastructura aferentă (de exemplu, poduri, viaducte, tuneluri)</w:t>
            </w:r>
          </w:p>
        </w:tc>
      </w:tr>
      <w:tr w:rsidR="00F73A38" w:rsidRPr="001F056A" w14:paraId="3EB76D07" w14:textId="77777777" w:rsidTr="00105BC5">
        <w:trPr>
          <w:trHeight w:val="300"/>
        </w:trPr>
        <w:tc>
          <w:tcPr>
            <w:tcW w:w="1019" w:type="dxa"/>
            <w:noWrap/>
            <w:hideMark/>
          </w:tcPr>
          <w:p w14:paraId="0AB9DA8C" w14:textId="77777777" w:rsidR="00F73A38" w:rsidRPr="00EA334D" w:rsidRDefault="00F73A38" w:rsidP="00105BC5">
            <w:pPr>
              <w:jc w:val="center"/>
            </w:pPr>
            <w:r w:rsidRPr="00EA334D">
              <w:t>E02</w:t>
            </w:r>
          </w:p>
        </w:tc>
        <w:tc>
          <w:tcPr>
            <w:tcW w:w="8332" w:type="dxa"/>
            <w:noWrap/>
            <w:hideMark/>
          </w:tcPr>
          <w:p w14:paraId="1701E4E9" w14:textId="77777777" w:rsidR="00F73A38" w:rsidRPr="00EA334D" w:rsidRDefault="00F73A38" w:rsidP="00105BC5">
            <w:r w:rsidRPr="00EA334D">
              <w:t xml:space="preserve">Coridoare pentru nave și operațiuni de transport cu feribot </w:t>
            </w:r>
          </w:p>
        </w:tc>
      </w:tr>
      <w:tr w:rsidR="00F73A38" w:rsidRPr="00514649" w14:paraId="0432606C" w14:textId="77777777" w:rsidTr="00105BC5">
        <w:trPr>
          <w:trHeight w:val="300"/>
        </w:trPr>
        <w:tc>
          <w:tcPr>
            <w:tcW w:w="1019" w:type="dxa"/>
            <w:noWrap/>
            <w:hideMark/>
          </w:tcPr>
          <w:p w14:paraId="1DDE69BB" w14:textId="77777777" w:rsidR="00F73A38" w:rsidRPr="00EA334D" w:rsidRDefault="00F73A38" w:rsidP="00105BC5">
            <w:pPr>
              <w:jc w:val="center"/>
            </w:pPr>
            <w:r w:rsidRPr="00EA334D">
              <w:t>E03</w:t>
            </w:r>
          </w:p>
        </w:tc>
        <w:tc>
          <w:tcPr>
            <w:tcW w:w="8332" w:type="dxa"/>
            <w:noWrap/>
            <w:hideMark/>
          </w:tcPr>
          <w:p w14:paraId="788AE9A5" w14:textId="77777777" w:rsidR="00F73A38" w:rsidRPr="00EA334D" w:rsidRDefault="00F73A38" w:rsidP="00105BC5">
            <w:r w:rsidRPr="00EA334D">
              <w:t>Coridoare pentru nave,feribot si infrastructură de ancorare (de exemplu, canalizare, dragare)</w:t>
            </w:r>
          </w:p>
        </w:tc>
      </w:tr>
      <w:tr w:rsidR="00F73A38" w:rsidRPr="001F056A" w14:paraId="250E52C6" w14:textId="77777777" w:rsidTr="00105BC5">
        <w:trPr>
          <w:trHeight w:val="300"/>
        </w:trPr>
        <w:tc>
          <w:tcPr>
            <w:tcW w:w="1019" w:type="dxa"/>
            <w:noWrap/>
            <w:hideMark/>
          </w:tcPr>
          <w:p w14:paraId="1BA9BDEB" w14:textId="77777777" w:rsidR="00F73A38" w:rsidRPr="00EA334D" w:rsidRDefault="00F73A38" w:rsidP="00105BC5">
            <w:pPr>
              <w:jc w:val="center"/>
            </w:pPr>
            <w:r w:rsidRPr="00EA334D">
              <w:t>E05</w:t>
            </w:r>
          </w:p>
        </w:tc>
        <w:tc>
          <w:tcPr>
            <w:tcW w:w="8332" w:type="dxa"/>
            <w:noWrap/>
            <w:hideMark/>
          </w:tcPr>
          <w:p w14:paraId="59E79A11" w14:textId="77777777" w:rsidR="00F73A38" w:rsidRPr="00EA334D" w:rsidRDefault="00F73A38" w:rsidP="00105BC5">
            <w:r w:rsidRPr="00EA334D">
              <w:t>Activități de transport terestru, pe apă și în aer generatoare de poluare la apele de suprafață sau subterane</w:t>
            </w:r>
          </w:p>
        </w:tc>
      </w:tr>
      <w:tr w:rsidR="00F73A38" w:rsidRPr="001F056A" w14:paraId="18A6257D" w14:textId="77777777" w:rsidTr="00105BC5">
        <w:trPr>
          <w:trHeight w:val="300"/>
        </w:trPr>
        <w:tc>
          <w:tcPr>
            <w:tcW w:w="1019" w:type="dxa"/>
            <w:noWrap/>
            <w:hideMark/>
          </w:tcPr>
          <w:p w14:paraId="318A2C2E" w14:textId="77777777" w:rsidR="00F73A38" w:rsidRPr="00EA334D" w:rsidRDefault="00F73A38" w:rsidP="00105BC5">
            <w:pPr>
              <w:jc w:val="center"/>
            </w:pPr>
            <w:r w:rsidRPr="00EA334D">
              <w:t>E06</w:t>
            </w:r>
          </w:p>
        </w:tc>
        <w:tc>
          <w:tcPr>
            <w:tcW w:w="8332" w:type="dxa"/>
            <w:noWrap/>
            <w:hideMark/>
          </w:tcPr>
          <w:p w14:paraId="1CCDA7AC" w14:textId="77777777" w:rsidR="00F73A38" w:rsidRPr="00EA334D" w:rsidRDefault="00F73A38" w:rsidP="00105BC5">
            <w:r w:rsidRPr="00EA334D">
              <w:t>Activități de transport terestru, pe  apă și în  aer generatoare de poluare a aerului</w:t>
            </w:r>
          </w:p>
        </w:tc>
      </w:tr>
      <w:tr w:rsidR="00F73A38" w:rsidRPr="001F056A" w14:paraId="342455D3" w14:textId="77777777" w:rsidTr="00105BC5">
        <w:trPr>
          <w:trHeight w:val="300"/>
        </w:trPr>
        <w:tc>
          <w:tcPr>
            <w:tcW w:w="1019" w:type="dxa"/>
            <w:noWrap/>
            <w:hideMark/>
          </w:tcPr>
          <w:p w14:paraId="38F8E222" w14:textId="77777777" w:rsidR="00F73A38" w:rsidRPr="00EA334D" w:rsidRDefault="00F73A38" w:rsidP="00105BC5">
            <w:pPr>
              <w:jc w:val="center"/>
            </w:pPr>
            <w:r w:rsidRPr="00EA334D">
              <w:t>E07</w:t>
            </w:r>
          </w:p>
        </w:tc>
        <w:tc>
          <w:tcPr>
            <w:tcW w:w="8332" w:type="dxa"/>
            <w:noWrap/>
            <w:hideMark/>
          </w:tcPr>
          <w:p w14:paraId="3F081542" w14:textId="77777777" w:rsidR="00F73A38" w:rsidRPr="00EA334D" w:rsidRDefault="00F73A38" w:rsidP="00105BC5">
            <w:r w:rsidRPr="00EA334D">
              <w:t>Activități de transport terestru, apă și aer generatoare de poluare marină</w:t>
            </w:r>
          </w:p>
        </w:tc>
      </w:tr>
      <w:tr w:rsidR="00F73A38" w:rsidRPr="001F056A" w14:paraId="2B73C56D" w14:textId="77777777" w:rsidTr="00105BC5">
        <w:trPr>
          <w:trHeight w:val="300"/>
        </w:trPr>
        <w:tc>
          <w:tcPr>
            <w:tcW w:w="1019" w:type="dxa"/>
            <w:noWrap/>
            <w:hideMark/>
          </w:tcPr>
          <w:p w14:paraId="70FD591D" w14:textId="77777777" w:rsidR="00F73A38" w:rsidRPr="00EA334D" w:rsidRDefault="00F73A38" w:rsidP="00105BC5">
            <w:pPr>
              <w:jc w:val="center"/>
            </w:pPr>
            <w:r w:rsidRPr="00EA334D">
              <w:lastRenderedPageBreak/>
              <w:t>E08</w:t>
            </w:r>
          </w:p>
        </w:tc>
        <w:tc>
          <w:tcPr>
            <w:tcW w:w="8332" w:type="dxa"/>
            <w:noWrap/>
            <w:hideMark/>
          </w:tcPr>
          <w:p w14:paraId="4250A918" w14:textId="77777777" w:rsidR="00F73A38" w:rsidRPr="00EA334D" w:rsidRDefault="00F73A38" w:rsidP="00105BC5">
            <w:r w:rsidRPr="00EA334D">
              <w:t>Activități de transport terestru, apă și aer generatoare de zgomot, lumină și alte forme de poluare</w:t>
            </w:r>
          </w:p>
        </w:tc>
      </w:tr>
      <w:tr w:rsidR="00F73A38" w:rsidRPr="00514649" w14:paraId="70915852" w14:textId="77777777" w:rsidTr="00105BC5">
        <w:trPr>
          <w:trHeight w:val="300"/>
        </w:trPr>
        <w:tc>
          <w:tcPr>
            <w:tcW w:w="1019" w:type="dxa"/>
            <w:noWrap/>
            <w:hideMark/>
          </w:tcPr>
          <w:p w14:paraId="1369B9EC" w14:textId="77777777" w:rsidR="00F73A38" w:rsidRPr="00EA334D" w:rsidRDefault="00F73A38" w:rsidP="00105BC5">
            <w:pPr>
              <w:jc w:val="center"/>
            </w:pPr>
            <w:r w:rsidRPr="00EA334D">
              <w:t>E09</w:t>
            </w:r>
          </w:p>
        </w:tc>
        <w:tc>
          <w:tcPr>
            <w:tcW w:w="8332" w:type="dxa"/>
            <w:noWrap/>
            <w:hideMark/>
          </w:tcPr>
          <w:p w14:paraId="5A0E459C" w14:textId="77777777" w:rsidR="00F73A38" w:rsidRPr="00EA334D" w:rsidRDefault="00F73A38" w:rsidP="00105BC5">
            <w:r w:rsidRPr="00EA334D">
              <w:t>Activități de transport terestru, nautic și aerian neprecizate mai sus</w:t>
            </w:r>
          </w:p>
        </w:tc>
      </w:tr>
      <w:tr w:rsidR="00F73A38" w:rsidRPr="00514649" w14:paraId="20F77FB4" w14:textId="77777777" w:rsidTr="00105BC5">
        <w:trPr>
          <w:trHeight w:val="300"/>
        </w:trPr>
        <w:tc>
          <w:tcPr>
            <w:tcW w:w="1019" w:type="dxa"/>
            <w:noWrap/>
            <w:hideMark/>
          </w:tcPr>
          <w:p w14:paraId="12F63C26" w14:textId="77777777" w:rsidR="00F73A38" w:rsidRPr="00EA334D" w:rsidRDefault="00F73A38" w:rsidP="00105BC5">
            <w:pPr>
              <w:jc w:val="center"/>
            </w:pPr>
            <w:r w:rsidRPr="00EA334D">
              <w:t>F</w:t>
            </w:r>
          </w:p>
        </w:tc>
        <w:tc>
          <w:tcPr>
            <w:tcW w:w="8332" w:type="dxa"/>
            <w:noWrap/>
            <w:hideMark/>
          </w:tcPr>
          <w:p w14:paraId="0B6E491C" w14:textId="77777777" w:rsidR="00F73A38" w:rsidRPr="00EA334D" w:rsidRDefault="00F73A38" w:rsidP="00105BC5">
            <w:r w:rsidRPr="00EA334D">
              <w:t>Dezvoltarea, construcția și utilizarea infrastructurilor și zonelor rezidențiale, comerciale, industriale și de agrement</w:t>
            </w:r>
          </w:p>
        </w:tc>
      </w:tr>
      <w:tr w:rsidR="00F73A38" w:rsidRPr="001F056A" w14:paraId="13EA09D3" w14:textId="77777777" w:rsidTr="00105BC5">
        <w:trPr>
          <w:trHeight w:val="300"/>
        </w:trPr>
        <w:tc>
          <w:tcPr>
            <w:tcW w:w="1019" w:type="dxa"/>
            <w:noWrap/>
            <w:hideMark/>
          </w:tcPr>
          <w:p w14:paraId="51EAEFA3" w14:textId="77777777" w:rsidR="00F73A38" w:rsidRPr="00EA334D" w:rsidRDefault="00F73A38" w:rsidP="00105BC5">
            <w:pPr>
              <w:jc w:val="center"/>
            </w:pPr>
            <w:r w:rsidRPr="00EA334D">
              <w:t>F01</w:t>
            </w:r>
          </w:p>
        </w:tc>
        <w:tc>
          <w:tcPr>
            <w:tcW w:w="8332" w:type="dxa"/>
            <w:noWrap/>
            <w:hideMark/>
          </w:tcPr>
          <w:p w14:paraId="3CF8127D" w14:textId="77777777" w:rsidR="00F73A38" w:rsidRPr="00EA334D" w:rsidRDefault="00F73A38" w:rsidP="00105BC5">
            <w:r w:rsidRPr="00EA334D">
              <w:t>Transformarea altor utilizări de teren în locuințe, așezări sau zone de agrement (excluzând drenarea și modificarea liniei de coastă, a estuarului și a condițiilor de coastă)</w:t>
            </w:r>
          </w:p>
        </w:tc>
      </w:tr>
      <w:tr w:rsidR="00F73A38" w:rsidRPr="001F056A" w14:paraId="34A83DDC" w14:textId="77777777" w:rsidTr="00105BC5">
        <w:trPr>
          <w:trHeight w:val="300"/>
        </w:trPr>
        <w:tc>
          <w:tcPr>
            <w:tcW w:w="1019" w:type="dxa"/>
            <w:noWrap/>
            <w:hideMark/>
          </w:tcPr>
          <w:p w14:paraId="148790E9" w14:textId="77777777" w:rsidR="00F73A38" w:rsidRPr="00EA334D" w:rsidRDefault="00F73A38" w:rsidP="00105BC5">
            <w:pPr>
              <w:jc w:val="center"/>
            </w:pPr>
            <w:r w:rsidRPr="00EA334D">
              <w:t>F02</w:t>
            </w:r>
          </w:p>
        </w:tc>
        <w:tc>
          <w:tcPr>
            <w:tcW w:w="8332" w:type="dxa"/>
            <w:noWrap/>
            <w:hideMark/>
          </w:tcPr>
          <w:p w14:paraId="2FCF0965" w14:textId="77777777" w:rsidR="00F73A38" w:rsidRPr="00EA334D" w:rsidRDefault="00F73A38" w:rsidP="00105BC5">
            <w:r w:rsidRPr="00EA334D">
              <w:t>Construcție sau modificare (de exemplu, locuințe și așezări) în zonele urbane sau de agrement existente</w:t>
            </w:r>
          </w:p>
        </w:tc>
      </w:tr>
      <w:tr w:rsidR="00F73A38" w:rsidRPr="00514649" w14:paraId="12256953" w14:textId="77777777" w:rsidTr="00105BC5">
        <w:trPr>
          <w:trHeight w:val="300"/>
        </w:trPr>
        <w:tc>
          <w:tcPr>
            <w:tcW w:w="1019" w:type="dxa"/>
            <w:noWrap/>
            <w:hideMark/>
          </w:tcPr>
          <w:p w14:paraId="3559F66B" w14:textId="77777777" w:rsidR="00F73A38" w:rsidRPr="00EA334D" w:rsidRDefault="00F73A38" w:rsidP="00105BC5">
            <w:pPr>
              <w:jc w:val="center"/>
            </w:pPr>
            <w:r w:rsidRPr="00EA334D">
              <w:t>F03</w:t>
            </w:r>
          </w:p>
        </w:tc>
        <w:tc>
          <w:tcPr>
            <w:tcW w:w="8332" w:type="dxa"/>
            <w:noWrap/>
            <w:hideMark/>
          </w:tcPr>
          <w:p w14:paraId="574F2403" w14:textId="77777777" w:rsidR="00F73A38" w:rsidRPr="00EA334D" w:rsidRDefault="00F73A38" w:rsidP="00105BC5">
            <w:r w:rsidRPr="00EA334D">
              <w:t>Transformarea altor utilizări de terenuri în zone comerciale / industriale (excluzând drenarea și modificarea liniei de coastă, a estuarului și a condițiilor de coastă)</w:t>
            </w:r>
          </w:p>
        </w:tc>
      </w:tr>
      <w:tr w:rsidR="00F73A38" w:rsidRPr="001F056A" w14:paraId="622F26F5" w14:textId="77777777" w:rsidTr="00105BC5">
        <w:trPr>
          <w:trHeight w:val="300"/>
        </w:trPr>
        <w:tc>
          <w:tcPr>
            <w:tcW w:w="1019" w:type="dxa"/>
            <w:noWrap/>
            <w:hideMark/>
          </w:tcPr>
          <w:p w14:paraId="40464DA6" w14:textId="77777777" w:rsidR="00F73A38" w:rsidRPr="00EA334D" w:rsidRDefault="00F73A38" w:rsidP="00105BC5">
            <w:pPr>
              <w:jc w:val="center"/>
            </w:pPr>
            <w:r w:rsidRPr="00EA334D">
              <w:t>F04</w:t>
            </w:r>
          </w:p>
        </w:tc>
        <w:tc>
          <w:tcPr>
            <w:tcW w:w="8332" w:type="dxa"/>
            <w:noWrap/>
            <w:hideMark/>
          </w:tcPr>
          <w:p w14:paraId="641DB17E" w14:textId="77777777" w:rsidR="00F73A38" w:rsidRPr="00EA334D" w:rsidRDefault="00F73A38" w:rsidP="00105BC5">
            <w:r w:rsidRPr="00EA334D">
              <w:t>Construcția sau modificarea infrastructurii comerciale / industriale în zonele comerciale / industriale existente</w:t>
            </w:r>
          </w:p>
        </w:tc>
      </w:tr>
      <w:tr w:rsidR="00F73A38" w:rsidRPr="001F056A" w14:paraId="2CF4F0CA" w14:textId="77777777" w:rsidTr="00105BC5">
        <w:trPr>
          <w:trHeight w:val="300"/>
        </w:trPr>
        <w:tc>
          <w:tcPr>
            <w:tcW w:w="1019" w:type="dxa"/>
            <w:noWrap/>
            <w:hideMark/>
          </w:tcPr>
          <w:p w14:paraId="45F66C54" w14:textId="77777777" w:rsidR="00F73A38" w:rsidRPr="00EA334D" w:rsidRDefault="00F73A38" w:rsidP="00105BC5">
            <w:pPr>
              <w:jc w:val="center"/>
            </w:pPr>
            <w:r w:rsidRPr="00EA334D">
              <w:t>F05</w:t>
            </w:r>
          </w:p>
        </w:tc>
        <w:tc>
          <w:tcPr>
            <w:tcW w:w="8332" w:type="dxa"/>
            <w:noWrap/>
            <w:hideMark/>
          </w:tcPr>
          <w:p w14:paraId="19A6BEDD" w14:textId="77777777" w:rsidR="00F73A38" w:rsidRPr="00EA334D" w:rsidRDefault="00F73A38" w:rsidP="00105BC5">
            <w:r w:rsidRPr="00EA334D">
              <w:t>Crearea sau dezvoltarea infrastructurii de sport, turism și agrement (în afara zonelor urbane sau de agrement)</w:t>
            </w:r>
          </w:p>
        </w:tc>
      </w:tr>
      <w:tr w:rsidR="00F73A38" w:rsidRPr="001F056A" w14:paraId="46CF6E22" w14:textId="77777777" w:rsidTr="00105BC5">
        <w:trPr>
          <w:trHeight w:val="300"/>
        </w:trPr>
        <w:tc>
          <w:tcPr>
            <w:tcW w:w="1019" w:type="dxa"/>
            <w:noWrap/>
            <w:hideMark/>
          </w:tcPr>
          <w:p w14:paraId="4BC63A51" w14:textId="77777777" w:rsidR="00F73A38" w:rsidRPr="00EA334D" w:rsidRDefault="00F73A38" w:rsidP="00105BC5">
            <w:pPr>
              <w:jc w:val="center"/>
            </w:pPr>
            <w:r w:rsidRPr="00EA334D">
              <w:t>F06</w:t>
            </w:r>
          </w:p>
        </w:tc>
        <w:tc>
          <w:tcPr>
            <w:tcW w:w="8332" w:type="dxa"/>
            <w:noWrap/>
            <w:hideMark/>
          </w:tcPr>
          <w:p w14:paraId="0EB81377" w14:textId="77777777" w:rsidR="00F73A38" w:rsidRPr="00EA334D" w:rsidRDefault="00F73A38" w:rsidP="00105BC5">
            <w:r w:rsidRPr="00EA334D">
              <w:t>Dezvoltarea și întreținerea zonelor de plajă pentru turism și agrement, inclusiv extinderea și curățarea plajei</w:t>
            </w:r>
          </w:p>
        </w:tc>
      </w:tr>
      <w:tr w:rsidR="00F73A38" w:rsidRPr="00514649" w14:paraId="106C3DE1" w14:textId="77777777" w:rsidTr="00105BC5">
        <w:trPr>
          <w:trHeight w:val="300"/>
        </w:trPr>
        <w:tc>
          <w:tcPr>
            <w:tcW w:w="1019" w:type="dxa"/>
            <w:noWrap/>
            <w:hideMark/>
          </w:tcPr>
          <w:p w14:paraId="1EC0E725" w14:textId="77777777" w:rsidR="00F73A38" w:rsidRPr="00EA334D" w:rsidRDefault="00F73A38" w:rsidP="00105BC5">
            <w:pPr>
              <w:jc w:val="center"/>
            </w:pPr>
            <w:r w:rsidRPr="00EA334D">
              <w:t>F07</w:t>
            </w:r>
          </w:p>
        </w:tc>
        <w:tc>
          <w:tcPr>
            <w:tcW w:w="8332" w:type="dxa"/>
            <w:noWrap/>
            <w:hideMark/>
          </w:tcPr>
          <w:p w14:paraId="69703348" w14:textId="77777777" w:rsidR="00F73A38" w:rsidRPr="00EA334D" w:rsidRDefault="00F73A38" w:rsidP="00105BC5">
            <w:r w:rsidRPr="00EA334D">
              <w:t>Sport, turism și activități de agrement</w:t>
            </w:r>
          </w:p>
        </w:tc>
      </w:tr>
      <w:tr w:rsidR="00F73A38" w:rsidRPr="001F056A" w14:paraId="4D2D3DAD" w14:textId="77777777" w:rsidTr="00105BC5">
        <w:trPr>
          <w:trHeight w:val="300"/>
        </w:trPr>
        <w:tc>
          <w:tcPr>
            <w:tcW w:w="1019" w:type="dxa"/>
            <w:noWrap/>
            <w:hideMark/>
          </w:tcPr>
          <w:p w14:paraId="238EA9B8" w14:textId="77777777" w:rsidR="00F73A38" w:rsidRPr="00EA334D" w:rsidRDefault="00F73A38" w:rsidP="00105BC5">
            <w:pPr>
              <w:jc w:val="center"/>
            </w:pPr>
            <w:r w:rsidRPr="00EA334D">
              <w:t>F08</w:t>
            </w:r>
          </w:p>
        </w:tc>
        <w:tc>
          <w:tcPr>
            <w:tcW w:w="8332" w:type="dxa"/>
            <w:noWrap/>
            <w:hideMark/>
          </w:tcPr>
          <w:p w14:paraId="3311CE89" w14:textId="77777777" w:rsidR="00F73A38" w:rsidRPr="00EA334D" w:rsidRDefault="00F73A38" w:rsidP="00105BC5">
            <w:r w:rsidRPr="00EA334D">
              <w:t>Modificarea liniei de coastă, estuar și a condițiilor costiere pentru dezvoltarea, utilizarea și protejarea infrastructurilor și a zonelor rezidențiale, comerciale, industriale și de agrement (inclusiv lucrări de protecșie și infrastructuri de protecție a coastei)</w:t>
            </w:r>
          </w:p>
        </w:tc>
      </w:tr>
      <w:tr w:rsidR="00F73A38" w:rsidRPr="001F056A" w14:paraId="5C3A9212" w14:textId="77777777" w:rsidTr="00105BC5">
        <w:trPr>
          <w:trHeight w:val="300"/>
        </w:trPr>
        <w:tc>
          <w:tcPr>
            <w:tcW w:w="1019" w:type="dxa"/>
            <w:noWrap/>
            <w:hideMark/>
          </w:tcPr>
          <w:p w14:paraId="5BA402DE" w14:textId="77777777" w:rsidR="00F73A38" w:rsidRPr="00EA334D" w:rsidRDefault="00F73A38" w:rsidP="00105BC5">
            <w:pPr>
              <w:jc w:val="center"/>
            </w:pPr>
            <w:r w:rsidRPr="00EA334D">
              <w:t>F09</w:t>
            </w:r>
          </w:p>
        </w:tc>
        <w:tc>
          <w:tcPr>
            <w:tcW w:w="8332" w:type="dxa"/>
            <w:noWrap/>
            <w:hideMark/>
          </w:tcPr>
          <w:p w14:paraId="3E0EE381" w14:textId="77777777" w:rsidR="00F73A38" w:rsidRPr="00EA334D" w:rsidRDefault="00F73A38" w:rsidP="00105BC5">
            <w:r w:rsidRPr="00EA334D">
              <w:t>Depunerea și tratarea deșeurilor / gunoiului din gospodăriile / instalațiile de agrement</w:t>
            </w:r>
          </w:p>
        </w:tc>
      </w:tr>
      <w:tr w:rsidR="00F73A38" w:rsidRPr="001F056A" w14:paraId="180902FE" w14:textId="77777777" w:rsidTr="00105BC5">
        <w:trPr>
          <w:trHeight w:val="300"/>
        </w:trPr>
        <w:tc>
          <w:tcPr>
            <w:tcW w:w="1019" w:type="dxa"/>
            <w:noWrap/>
            <w:hideMark/>
          </w:tcPr>
          <w:p w14:paraId="4E029DF2" w14:textId="77777777" w:rsidR="00F73A38" w:rsidRPr="00EA334D" w:rsidRDefault="00F73A38" w:rsidP="00105BC5">
            <w:pPr>
              <w:jc w:val="center"/>
            </w:pPr>
            <w:r w:rsidRPr="00EA334D">
              <w:t>F10</w:t>
            </w:r>
          </w:p>
        </w:tc>
        <w:tc>
          <w:tcPr>
            <w:tcW w:w="8332" w:type="dxa"/>
            <w:noWrap/>
            <w:hideMark/>
          </w:tcPr>
          <w:p w14:paraId="55722BD9" w14:textId="77777777" w:rsidR="00F73A38" w:rsidRPr="00EA334D" w:rsidRDefault="00F73A38" w:rsidP="00105BC5">
            <w:r w:rsidRPr="00EA334D">
              <w:t>Depunerea și tratarea deșeurilor / gunoiului din instalații comerciale și industriale</w:t>
            </w:r>
          </w:p>
        </w:tc>
      </w:tr>
      <w:tr w:rsidR="00F73A38" w:rsidRPr="001F056A" w14:paraId="6376CE5B" w14:textId="77777777" w:rsidTr="00105BC5">
        <w:trPr>
          <w:trHeight w:val="300"/>
        </w:trPr>
        <w:tc>
          <w:tcPr>
            <w:tcW w:w="1019" w:type="dxa"/>
            <w:noWrap/>
            <w:hideMark/>
          </w:tcPr>
          <w:p w14:paraId="2CC497FA" w14:textId="77777777" w:rsidR="00F73A38" w:rsidRPr="00EA334D" w:rsidRDefault="00F73A38" w:rsidP="00105BC5">
            <w:pPr>
              <w:jc w:val="center"/>
            </w:pPr>
            <w:r w:rsidRPr="00EA334D">
              <w:t>F11</w:t>
            </w:r>
          </w:p>
        </w:tc>
        <w:tc>
          <w:tcPr>
            <w:tcW w:w="8332" w:type="dxa"/>
            <w:noWrap/>
            <w:hideMark/>
          </w:tcPr>
          <w:p w14:paraId="0D071329" w14:textId="77777777" w:rsidR="00F73A38" w:rsidRPr="00EA334D" w:rsidRDefault="00F73A38" w:rsidP="00105BC5">
            <w:r w:rsidRPr="00EA334D">
              <w:t>Poluarea apelor de suprafață sau subterane din cauza scurgerilor urbane</w:t>
            </w:r>
          </w:p>
        </w:tc>
      </w:tr>
      <w:tr w:rsidR="00F73A38" w:rsidRPr="001F056A" w14:paraId="4FECD902" w14:textId="77777777" w:rsidTr="00105BC5">
        <w:trPr>
          <w:trHeight w:val="300"/>
        </w:trPr>
        <w:tc>
          <w:tcPr>
            <w:tcW w:w="1019" w:type="dxa"/>
            <w:noWrap/>
            <w:hideMark/>
          </w:tcPr>
          <w:p w14:paraId="5FD75751" w14:textId="77777777" w:rsidR="00F73A38" w:rsidRPr="00EA334D" w:rsidRDefault="00F73A38" w:rsidP="00105BC5">
            <w:pPr>
              <w:jc w:val="center"/>
            </w:pPr>
            <w:r w:rsidRPr="00EA334D">
              <w:t>F12</w:t>
            </w:r>
          </w:p>
        </w:tc>
        <w:tc>
          <w:tcPr>
            <w:tcW w:w="8332" w:type="dxa"/>
            <w:noWrap/>
            <w:hideMark/>
          </w:tcPr>
          <w:p w14:paraId="633DAB98" w14:textId="77777777" w:rsidR="00F73A38" w:rsidRPr="00EA334D" w:rsidRDefault="00F73A38" w:rsidP="00105BC5">
            <w:r w:rsidRPr="00EA334D">
              <w:t>Descărcarea apelor uzate urbane (exclusiv revărsările de furtună și / sau scurgerile urbane) care generează poluare la apele de suprafață sau subterane</w:t>
            </w:r>
          </w:p>
        </w:tc>
      </w:tr>
      <w:tr w:rsidR="00F73A38" w:rsidRPr="001F056A" w14:paraId="267A076B" w14:textId="77777777" w:rsidTr="00105BC5">
        <w:trPr>
          <w:trHeight w:val="300"/>
        </w:trPr>
        <w:tc>
          <w:tcPr>
            <w:tcW w:w="1019" w:type="dxa"/>
            <w:noWrap/>
            <w:hideMark/>
          </w:tcPr>
          <w:p w14:paraId="4C4E060E" w14:textId="77777777" w:rsidR="00F73A38" w:rsidRPr="00EA334D" w:rsidRDefault="00F73A38" w:rsidP="00105BC5">
            <w:pPr>
              <w:jc w:val="center"/>
            </w:pPr>
            <w:r w:rsidRPr="00EA334D">
              <w:t>F13</w:t>
            </w:r>
          </w:p>
        </w:tc>
        <w:tc>
          <w:tcPr>
            <w:tcW w:w="8332" w:type="dxa"/>
            <w:noWrap/>
            <w:hideMark/>
          </w:tcPr>
          <w:p w14:paraId="684B293D" w14:textId="77777777" w:rsidR="00F73A38" w:rsidRPr="00EA334D" w:rsidRDefault="00F73A38" w:rsidP="00105BC5">
            <w:r w:rsidRPr="00EA334D">
              <w:t>Fabricile, siturile industriale contaminate sau abandonate care generează poluare la apele de suprafață sau subterane</w:t>
            </w:r>
          </w:p>
        </w:tc>
      </w:tr>
      <w:tr w:rsidR="00F73A38" w:rsidRPr="001F056A" w14:paraId="2BC6ED25" w14:textId="77777777" w:rsidTr="00105BC5">
        <w:trPr>
          <w:trHeight w:val="300"/>
        </w:trPr>
        <w:tc>
          <w:tcPr>
            <w:tcW w:w="1019" w:type="dxa"/>
            <w:noWrap/>
            <w:hideMark/>
          </w:tcPr>
          <w:p w14:paraId="327B49D2" w14:textId="77777777" w:rsidR="00F73A38" w:rsidRPr="00EA334D" w:rsidRDefault="00F73A38" w:rsidP="00105BC5">
            <w:pPr>
              <w:jc w:val="center"/>
            </w:pPr>
            <w:r w:rsidRPr="00EA334D">
              <w:t>F14</w:t>
            </w:r>
          </w:p>
        </w:tc>
        <w:tc>
          <w:tcPr>
            <w:tcW w:w="8332" w:type="dxa"/>
            <w:noWrap/>
            <w:hideMark/>
          </w:tcPr>
          <w:p w14:paraId="3ECBCEBD" w14:textId="77777777" w:rsidR="00F73A38" w:rsidRPr="00EA334D" w:rsidRDefault="00F73A38" w:rsidP="00105BC5">
            <w:r w:rsidRPr="00EA334D">
              <w:t>Alte activități și structuri rezidențiale și recreative care generează poluare la apele de suprafață sau subterane</w:t>
            </w:r>
          </w:p>
        </w:tc>
      </w:tr>
      <w:tr w:rsidR="00F73A38" w:rsidRPr="001F056A" w14:paraId="0E8EFE51" w14:textId="77777777" w:rsidTr="00105BC5">
        <w:trPr>
          <w:trHeight w:val="300"/>
        </w:trPr>
        <w:tc>
          <w:tcPr>
            <w:tcW w:w="1019" w:type="dxa"/>
            <w:noWrap/>
            <w:hideMark/>
          </w:tcPr>
          <w:p w14:paraId="09847F09" w14:textId="77777777" w:rsidR="00F73A38" w:rsidRPr="00EA334D" w:rsidRDefault="00F73A38" w:rsidP="00105BC5">
            <w:pPr>
              <w:jc w:val="center"/>
            </w:pPr>
            <w:r w:rsidRPr="00EA334D">
              <w:t>F15</w:t>
            </w:r>
          </w:p>
        </w:tc>
        <w:tc>
          <w:tcPr>
            <w:tcW w:w="8332" w:type="dxa"/>
            <w:noWrap/>
            <w:hideMark/>
          </w:tcPr>
          <w:p w14:paraId="3B0A2089" w14:textId="77777777" w:rsidR="00F73A38" w:rsidRPr="00EA334D" w:rsidRDefault="00F73A38" w:rsidP="00105BC5">
            <w:r w:rsidRPr="00EA334D">
              <w:t>Alte activități și structuri industriale și comerciale care generează poluare la apele de suprafață sau subterane</w:t>
            </w:r>
          </w:p>
        </w:tc>
      </w:tr>
      <w:tr w:rsidR="00F73A38" w:rsidRPr="001F056A" w14:paraId="6AB05AB9" w14:textId="77777777" w:rsidTr="00105BC5">
        <w:trPr>
          <w:trHeight w:val="300"/>
        </w:trPr>
        <w:tc>
          <w:tcPr>
            <w:tcW w:w="1019" w:type="dxa"/>
            <w:noWrap/>
            <w:hideMark/>
          </w:tcPr>
          <w:p w14:paraId="1EBF1509" w14:textId="77777777" w:rsidR="00F73A38" w:rsidRPr="00EA334D" w:rsidRDefault="00F73A38" w:rsidP="00105BC5">
            <w:pPr>
              <w:jc w:val="center"/>
            </w:pPr>
            <w:r w:rsidRPr="00EA334D">
              <w:t>F16</w:t>
            </w:r>
          </w:p>
        </w:tc>
        <w:tc>
          <w:tcPr>
            <w:tcW w:w="8332" w:type="dxa"/>
            <w:noWrap/>
            <w:hideMark/>
          </w:tcPr>
          <w:p w14:paraId="2396C92C" w14:textId="77777777" w:rsidR="00F73A38" w:rsidRPr="00EA334D" w:rsidRDefault="00F73A38" w:rsidP="00105BC5">
            <w:r w:rsidRPr="00EA334D">
              <w:t>Alte activități și structuri rezidențiale și recreative care generează poluare difuză la apele de suprafață sau subterane</w:t>
            </w:r>
          </w:p>
        </w:tc>
      </w:tr>
      <w:tr w:rsidR="00F73A38" w:rsidRPr="001F056A" w14:paraId="4793E9AF" w14:textId="77777777" w:rsidTr="00105BC5">
        <w:trPr>
          <w:trHeight w:val="300"/>
        </w:trPr>
        <w:tc>
          <w:tcPr>
            <w:tcW w:w="1019" w:type="dxa"/>
            <w:noWrap/>
            <w:hideMark/>
          </w:tcPr>
          <w:p w14:paraId="0A955ED3" w14:textId="77777777" w:rsidR="00F73A38" w:rsidRPr="00EA334D" w:rsidRDefault="00F73A38" w:rsidP="00105BC5">
            <w:pPr>
              <w:jc w:val="center"/>
            </w:pPr>
            <w:r w:rsidRPr="00EA334D">
              <w:t>F17</w:t>
            </w:r>
          </w:p>
        </w:tc>
        <w:tc>
          <w:tcPr>
            <w:tcW w:w="8332" w:type="dxa"/>
            <w:noWrap/>
            <w:hideMark/>
          </w:tcPr>
          <w:p w14:paraId="1F63828C" w14:textId="77777777" w:rsidR="00F73A38" w:rsidRPr="00EA334D" w:rsidRDefault="00F73A38" w:rsidP="00105BC5">
            <w:r w:rsidRPr="00EA334D">
              <w:t>Alte activități și structuri industriale și comerciale care generează poluare difuză la apele de suprafață sau subterane</w:t>
            </w:r>
          </w:p>
        </w:tc>
      </w:tr>
      <w:tr w:rsidR="00F73A38" w:rsidRPr="001F056A" w14:paraId="0BD398EF" w14:textId="77777777" w:rsidTr="00105BC5">
        <w:trPr>
          <w:trHeight w:val="300"/>
        </w:trPr>
        <w:tc>
          <w:tcPr>
            <w:tcW w:w="1019" w:type="dxa"/>
            <w:noWrap/>
            <w:hideMark/>
          </w:tcPr>
          <w:p w14:paraId="1078BA97" w14:textId="77777777" w:rsidR="00F73A38" w:rsidRPr="00EA334D" w:rsidRDefault="00F73A38" w:rsidP="00105BC5">
            <w:pPr>
              <w:jc w:val="center"/>
            </w:pPr>
            <w:r w:rsidRPr="00EA334D">
              <w:t>F18</w:t>
            </w:r>
          </w:p>
        </w:tc>
        <w:tc>
          <w:tcPr>
            <w:tcW w:w="8332" w:type="dxa"/>
            <w:noWrap/>
            <w:hideMark/>
          </w:tcPr>
          <w:p w14:paraId="029AE86F" w14:textId="77777777" w:rsidR="00F73A38" w:rsidRPr="00EA334D" w:rsidRDefault="00F73A38" w:rsidP="00105BC5">
            <w:r w:rsidRPr="00EA334D">
              <w:t>Activități și structuri rezidențiale și recreative care generează poluarea aerului</w:t>
            </w:r>
          </w:p>
        </w:tc>
      </w:tr>
      <w:tr w:rsidR="00F73A38" w:rsidRPr="001F056A" w14:paraId="3DA037B6" w14:textId="77777777" w:rsidTr="00105BC5">
        <w:trPr>
          <w:trHeight w:val="300"/>
        </w:trPr>
        <w:tc>
          <w:tcPr>
            <w:tcW w:w="1019" w:type="dxa"/>
            <w:noWrap/>
            <w:hideMark/>
          </w:tcPr>
          <w:p w14:paraId="4F9EBB8D" w14:textId="77777777" w:rsidR="00F73A38" w:rsidRPr="00EA334D" w:rsidRDefault="00F73A38" w:rsidP="00105BC5">
            <w:pPr>
              <w:jc w:val="center"/>
            </w:pPr>
            <w:r w:rsidRPr="00EA334D">
              <w:t>F19</w:t>
            </w:r>
          </w:p>
        </w:tc>
        <w:tc>
          <w:tcPr>
            <w:tcW w:w="8332" w:type="dxa"/>
            <w:noWrap/>
            <w:hideMark/>
          </w:tcPr>
          <w:p w14:paraId="178DFFEF" w14:textId="77777777" w:rsidR="00F73A38" w:rsidRPr="00EA334D" w:rsidRDefault="00F73A38" w:rsidP="00105BC5">
            <w:r w:rsidRPr="00EA334D">
              <w:t>Activități și structuri industriale și comerciale care generează poluarea aerului</w:t>
            </w:r>
          </w:p>
        </w:tc>
      </w:tr>
      <w:tr w:rsidR="00F73A38" w:rsidRPr="001F056A" w14:paraId="7BC1C482" w14:textId="77777777" w:rsidTr="00105BC5">
        <w:trPr>
          <w:trHeight w:val="300"/>
        </w:trPr>
        <w:tc>
          <w:tcPr>
            <w:tcW w:w="1019" w:type="dxa"/>
            <w:noWrap/>
            <w:hideMark/>
          </w:tcPr>
          <w:p w14:paraId="46860A52" w14:textId="77777777" w:rsidR="00F73A38" w:rsidRPr="00EA334D" w:rsidRDefault="00F73A38" w:rsidP="00105BC5">
            <w:pPr>
              <w:jc w:val="center"/>
            </w:pPr>
            <w:r w:rsidRPr="00EA334D">
              <w:t>F20</w:t>
            </w:r>
          </w:p>
        </w:tc>
        <w:tc>
          <w:tcPr>
            <w:tcW w:w="8332" w:type="dxa"/>
            <w:noWrap/>
            <w:hideMark/>
          </w:tcPr>
          <w:p w14:paraId="1F46D763" w14:textId="77777777" w:rsidR="00F73A38" w:rsidRPr="00EA334D" w:rsidRDefault="00F73A38" w:rsidP="00105BC5">
            <w:r w:rsidRPr="00EA334D">
              <w:t>Activități și structuri rezidențiale sau de agrement care generează poluare marină (cu excepția poluării marine macro și micro-particulare)</w:t>
            </w:r>
          </w:p>
        </w:tc>
      </w:tr>
      <w:tr w:rsidR="00F73A38" w:rsidRPr="00514649" w14:paraId="622C9055" w14:textId="77777777" w:rsidTr="00105BC5">
        <w:trPr>
          <w:trHeight w:val="300"/>
        </w:trPr>
        <w:tc>
          <w:tcPr>
            <w:tcW w:w="1019" w:type="dxa"/>
            <w:noWrap/>
            <w:hideMark/>
          </w:tcPr>
          <w:p w14:paraId="539C9D5F" w14:textId="77777777" w:rsidR="00F73A38" w:rsidRPr="00EA334D" w:rsidRDefault="00F73A38" w:rsidP="00105BC5">
            <w:pPr>
              <w:jc w:val="center"/>
            </w:pPr>
            <w:r w:rsidRPr="00EA334D">
              <w:t>F21</w:t>
            </w:r>
          </w:p>
        </w:tc>
        <w:tc>
          <w:tcPr>
            <w:tcW w:w="8332" w:type="dxa"/>
            <w:noWrap/>
            <w:hideMark/>
          </w:tcPr>
          <w:p w14:paraId="3A4E1FF3" w14:textId="77777777" w:rsidR="00F73A38" w:rsidRPr="00EA334D" w:rsidRDefault="00F73A38" w:rsidP="00105BC5">
            <w:r w:rsidRPr="00EA334D">
              <w:t>Activități și structuri industriale sau comerciale care generează poluare marină (cu excepția poluării marine macro și micro-particulare)</w:t>
            </w:r>
          </w:p>
        </w:tc>
      </w:tr>
      <w:tr w:rsidR="00F73A38" w:rsidRPr="001F056A" w14:paraId="65FFD820" w14:textId="77777777" w:rsidTr="00105BC5">
        <w:trPr>
          <w:trHeight w:val="300"/>
        </w:trPr>
        <w:tc>
          <w:tcPr>
            <w:tcW w:w="1019" w:type="dxa"/>
            <w:noWrap/>
            <w:hideMark/>
          </w:tcPr>
          <w:p w14:paraId="62A9EBA9" w14:textId="77777777" w:rsidR="00F73A38" w:rsidRPr="00EA334D" w:rsidRDefault="00F73A38" w:rsidP="00105BC5">
            <w:pPr>
              <w:jc w:val="center"/>
            </w:pPr>
            <w:r w:rsidRPr="00EA334D">
              <w:lastRenderedPageBreak/>
              <w:t>F22</w:t>
            </w:r>
          </w:p>
        </w:tc>
        <w:tc>
          <w:tcPr>
            <w:tcW w:w="8332" w:type="dxa"/>
            <w:noWrap/>
            <w:hideMark/>
          </w:tcPr>
          <w:p w14:paraId="2BC2A9FB" w14:textId="77777777" w:rsidR="00F73A38" w:rsidRPr="00EA334D" w:rsidRDefault="00F73A38" w:rsidP="00105BC5">
            <w:r w:rsidRPr="00EA334D">
              <w:t>Activități și structuri rezidențiale sau de agrement care generează poluarea marină și micro-particule marine (de exemplu, saci de plastic, polistiren)</w:t>
            </w:r>
          </w:p>
        </w:tc>
      </w:tr>
      <w:tr w:rsidR="00F73A38" w:rsidRPr="001F056A" w14:paraId="2D82ED2D" w14:textId="77777777" w:rsidTr="00105BC5">
        <w:trPr>
          <w:trHeight w:val="300"/>
        </w:trPr>
        <w:tc>
          <w:tcPr>
            <w:tcW w:w="1019" w:type="dxa"/>
            <w:noWrap/>
            <w:hideMark/>
          </w:tcPr>
          <w:p w14:paraId="23132A94" w14:textId="77777777" w:rsidR="00F73A38" w:rsidRPr="00EA334D" w:rsidRDefault="00F73A38" w:rsidP="00105BC5">
            <w:pPr>
              <w:jc w:val="center"/>
            </w:pPr>
            <w:r w:rsidRPr="00EA334D">
              <w:t>F23</w:t>
            </w:r>
          </w:p>
        </w:tc>
        <w:tc>
          <w:tcPr>
            <w:tcW w:w="8332" w:type="dxa"/>
            <w:noWrap/>
            <w:hideMark/>
          </w:tcPr>
          <w:p w14:paraId="31553946" w14:textId="77777777" w:rsidR="00F73A38" w:rsidRPr="00EA334D" w:rsidRDefault="00F73A38" w:rsidP="00105BC5">
            <w:r w:rsidRPr="00EA334D">
              <w:t>Activități și structuri industriale sau comerciale care generează poluare marină și micro-particule marine (de exemplu, saci de plastic, polistiren)</w:t>
            </w:r>
          </w:p>
        </w:tc>
      </w:tr>
      <w:tr w:rsidR="00F73A38" w:rsidRPr="001F056A" w14:paraId="1B7B5CCD" w14:textId="77777777" w:rsidTr="00105BC5">
        <w:trPr>
          <w:trHeight w:val="300"/>
        </w:trPr>
        <w:tc>
          <w:tcPr>
            <w:tcW w:w="1019" w:type="dxa"/>
            <w:noWrap/>
            <w:hideMark/>
          </w:tcPr>
          <w:p w14:paraId="12D19A69" w14:textId="77777777" w:rsidR="00F73A38" w:rsidRPr="00EA334D" w:rsidRDefault="00F73A38" w:rsidP="00105BC5">
            <w:pPr>
              <w:jc w:val="center"/>
            </w:pPr>
            <w:r w:rsidRPr="00EA334D">
              <w:t>F24</w:t>
            </w:r>
          </w:p>
        </w:tc>
        <w:tc>
          <w:tcPr>
            <w:tcW w:w="8332" w:type="dxa"/>
            <w:noWrap/>
            <w:hideMark/>
          </w:tcPr>
          <w:p w14:paraId="0E1D776E" w14:textId="77777777" w:rsidR="00F73A38" w:rsidRPr="00EA334D" w:rsidRDefault="00F73A38" w:rsidP="00105BC5">
            <w:r w:rsidRPr="00EA334D">
              <w:t>Activități și structuri rezidențiale sau recreative care generează zgomot, lumină, căldură sau alte forme de poluare</w:t>
            </w:r>
          </w:p>
        </w:tc>
      </w:tr>
      <w:tr w:rsidR="00F73A38" w:rsidRPr="001F056A" w14:paraId="6CCCCAE2" w14:textId="77777777" w:rsidTr="00105BC5">
        <w:trPr>
          <w:trHeight w:val="300"/>
        </w:trPr>
        <w:tc>
          <w:tcPr>
            <w:tcW w:w="1019" w:type="dxa"/>
            <w:noWrap/>
            <w:hideMark/>
          </w:tcPr>
          <w:p w14:paraId="66A3F3E5" w14:textId="77777777" w:rsidR="00F73A38" w:rsidRPr="00EA334D" w:rsidRDefault="00F73A38" w:rsidP="00105BC5">
            <w:pPr>
              <w:jc w:val="center"/>
            </w:pPr>
            <w:r w:rsidRPr="00EA334D">
              <w:t>F25</w:t>
            </w:r>
          </w:p>
        </w:tc>
        <w:tc>
          <w:tcPr>
            <w:tcW w:w="8332" w:type="dxa"/>
            <w:noWrap/>
            <w:hideMark/>
          </w:tcPr>
          <w:p w14:paraId="3AD086B6" w14:textId="77777777" w:rsidR="00F73A38" w:rsidRPr="00EA334D" w:rsidRDefault="00F73A38" w:rsidP="00105BC5">
            <w:r w:rsidRPr="00EA334D">
              <w:t>Activități și structuri industriale sau comerciale care generează zgomot, lumină, căldură sau alte forme de poluare</w:t>
            </w:r>
          </w:p>
        </w:tc>
      </w:tr>
      <w:tr w:rsidR="00F73A38" w:rsidRPr="001F056A" w14:paraId="2CCDB0F2" w14:textId="77777777" w:rsidTr="00105BC5">
        <w:trPr>
          <w:trHeight w:val="300"/>
        </w:trPr>
        <w:tc>
          <w:tcPr>
            <w:tcW w:w="1019" w:type="dxa"/>
            <w:noWrap/>
            <w:hideMark/>
          </w:tcPr>
          <w:p w14:paraId="079026FB" w14:textId="77777777" w:rsidR="00F73A38" w:rsidRPr="00EA334D" w:rsidRDefault="00F73A38" w:rsidP="00105BC5">
            <w:pPr>
              <w:jc w:val="center"/>
            </w:pPr>
            <w:r w:rsidRPr="00EA334D">
              <w:t>F26</w:t>
            </w:r>
          </w:p>
        </w:tc>
        <w:tc>
          <w:tcPr>
            <w:tcW w:w="8332" w:type="dxa"/>
            <w:noWrap/>
            <w:hideMark/>
          </w:tcPr>
          <w:p w14:paraId="40342DCC" w14:textId="77777777" w:rsidR="00F73A38" w:rsidRPr="00EA334D" w:rsidRDefault="00F73A38" w:rsidP="00105BC5">
            <w:r w:rsidRPr="00EA334D">
              <w:t>Drenarea, refacerea terenurilor și transformarea zonelor umede, mlaștini, bălți etc. în așezări sau zone de agrement</w:t>
            </w:r>
          </w:p>
        </w:tc>
      </w:tr>
      <w:tr w:rsidR="00F73A38" w:rsidRPr="00514649" w14:paraId="3FC14635" w14:textId="77777777" w:rsidTr="00105BC5">
        <w:trPr>
          <w:trHeight w:val="300"/>
        </w:trPr>
        <w:tc>
          <w:tcPr>
            <w:tcW w:w="1019" w:type="dxa"/>
            <w:noWrap/>
            <w:hideMark/>
          </w:tcPr>
          <w:p w14:paraId="6A09F27A" w14:textId="77777777" w:rsidR="00F73A38" w:rsidRPr="00EA334D" w:rsidRDefault="00F73A38" w:rsidP="00105BC5">
            <w:pPr>
              <w:jc w:val="center"/>
            </w:pPr>
            <w:r w:rsidRPr="00EA334D">
              <w:t>F27</w:t>
            </w:r>
          </w:p>
        </w:tc>
        <w:tc>
          <w:tcPr>
            <w:tcW w:w="8332" w:type="dxa"/>
            <w:noWrap/>
            <w:hideMark/>
          </w:tcPr>
          <w:p w14:paraId="1AA825DD" w14:textId="77777777" w:rsidR="00F73A38" w:rsidRPr="00EA334D" w:rsidRDefault="00F73A38" w:rsidP="00105BC5">
            <w:r w:rsidRPr="00EA334D">
              <w:t>Drenarea, refacerea terenurilor sau transformarea zonelor umede, mlaștini, bălți etc. în zone industriale / comerciale</w:t>
            </w:r>
          </w:p>
        </w:tc>
      </w:tr>
      <w:tr w:rsidR="00F73A38" w:rsidRPr="00514649" w14:paraId="538B4ACF" w14:textId="77777777" w:rsidTr="00105BC5">
        <w:trPr>
          <w:trHeight w:val="300"/>
        </w:trPr>
        <w:tc>
          <w:tcPr>
            <w:tcW w:w="1019" w:type="dxa"/>
            <w:noWrap/>
            <w:hideMark/>
          </w:tcPr>
          <w:p w14:paraId="74AF3E8F" w14:textId="77777777" w:rsidR="00F73A38" w:rsidRPr="00EA334D" w:rsidRDefault="00F73A38" w:rsidP="00105BC5">
            <w:pPr>
              <w:jc w:val="center"/>
            </w:pPr>
            <w:r w:rsidRPr="00EA334D">
              <w:t>F28</w:t>
            </w:r>
          </w:p>
        </w:tc>
        <w:tc>
          <w:tcPr>
            <w:tcW w:w="8332" w:type="dxa"/>
            <w:noWrap/>
            <w:hideMark/>
          </w:tcPr>
          <w:p w14:paraId="01FFF5F4" w14:textId="77777777" w:rsidR="00F73A38" w:rsidRPr="00EA334D" w:rsidRDefault="00F73A38" w:rsidP="00105BC5">
            <w:r w:rsidRPr="00EA334D">
              <w:t>Modificarea regimurilor de inundații, protecția împotriva inundațiilor pentru dezvoltare rezidențială sau recreativă</w:t>
            </w:r>
          </w:p>
        </w:tc>
      </w:tr>
      <w:tr w:rsidR="00F73A38" w:rsidRPr="001F056A" w14:paraId="23B94CE5" w14:textId="77777777" w:rsidTr="00105BC5">
        <w:trPr>
          <w:trHeight w:val="300"/>
        </w:trPr>
        <w:tc>
          <w:tcPr>
            <w:tcW w:w="1019" w:type="dxa"/>
            <w:noWrap/>
            <w:hideMark/>
          </w:tcPr>
          <w:p w14:paraId="21C1D7BF" w14:textId="77777777" w:rsidR="00F73A38" w:rsidRPr="00EA334D" w:rsidRDefault="00F73A38" w:rsidP="00105BC5">
            <w:pPr>
              <w:jc w:val="center"/>
            </w:pPr>
            <w:r w:rsidRPr="00EA334D">
              <w:t>F29</w:t>
            </w:r>
          </w:p>
        </w:tc>
        <w:tc>
          <w:tcPr>
            <w:tcW w:w="8332" w:type="dxa"/>
            <w:noWrap/>
            <w:hideMark/>
          </w:tcPr>
          <w:p w14:paraId="247E7E20" w14:textId="77777777" w:rsidR="00F73A38" w:rsidRPr="00EA334D" w:rsidRDefault="00F73A38" w:rsidP="00105BC5">
            <w:r w:rsidRPr="00EA334D">
              <w:t>Construcția sau dezvoltarea rezervoarelor și barajelor destinate dezvoltării rezidențiale sau recreative</w:t>
            </w:r>
          </w:p>
        </w:tc>
      </w:tr>
      <w:tr w:rsidR="00F73A38" w:rsidRPr="00514649" w14:paraId="4A367A32" w14:textId="77777777" w:rsidTr="00105BC5">
        <w:trPr>
          <w:trHeight w:val="300"/>
        </w:trPr>
        <w:tc>
          <w:tcPr>
            <w:tcW w:w="1019" w:type="dxa"/>
            <w:noWrap/>
            <w:hideMark/>
          </w:tcPr>
          <w:p w14:paraId="16C7BAAC" w14:textId="77777777" w:rsidR="00F73A38" w:rsidRPr="00EA334D" w:rsidRDefault="00F73A38" w:rsidP="00105BC5">
            <w:pPr>
              <w:jc w:val="center"/>
            </w:pPr>
            <w:r w:rsidRPr="00EA334D">
              <w:t>F30</w:t>
            </w:r>
          </w:p>
        </w:tc>
        <w:tc>
          <w:tcPr>
            <w:tcW w:w="8332" w:type="dxa"/>
            <w:noWrap/>
            <w:hideMark/>
          </w:tcPr>
          <w:p w14:paraId="075104EC" w14:textId="77777777" w:rsidR="00F73A38" w:rsidRPr="00EA334D" w:rsidRDefault="00F73A38" w:rsidP="00105BC5">
            <w:r w:rsidRPr="00EA334D">
              <w:t>Construcția sau dezvoltarea rezervoarelor și barajelor destinate dezvoltării industriale sau comerciale</w:t>
            </w:r>
          </w:p>
        </w:tc>
      </w:tr>
      <w:tr w:rsidR="00F73A38" w:rsidRPr="001F056A" w14:paraId="4FFFF7D9" w14:textId="77777777" w:rsidTr="00105BC5">
        <w:trPr>
          <w:trHeight w:val="300"/>
        </w:trPr>
        <w:tc>
          <w:tcPr>
            <w:tcW w:w="1019" w:type="dxa"/>
            <w:noWrap/>
            <w:hideMark/>
          </w:tcPr>
          <w:p w14:paraId="26FAAD4D" w14:textId="77777777" w:rsidR="00F73A38" w:rsidRPr="00EA334D" w:rsidRDefault="00F73A38" w:rsidP="00105BC5">
            <w:pPr>
              <w:jc w:val="center"/>
            </w:pPr>
            <w:r w:rsidRPr="00EA334D">
              <w:t>F31</w:t>
            </w:r>
          </w:p>
        </w:tc>
        <w:tc>
          <w:tcPr>
            <w:tcW w:w="8332" w:type="dxa"/>
            <w:noWrap/>
            <w:hideMark/>
          </w:tcPr>
          <w:p w14:paraId="79D73457" w14:textId="77777777" w:rsidR="00F73A38" w:rsidRPr="00EA334D" w:rsidRDefault="00F73A38" w:rsidP="00105BC5">
            <w:r w:rsidRPr="00EA334D">
              <w:t>Alte modificări ale condițiilor hidrologice pentru dezvoltarea rezidențială sau recreativă</w:t>
            </w:r>
          </w:p>
        </w:tc>
      </w:tr>
      <w:tr w:rsidR="00F73A38" w:rsidRPr="00514649" w14:paraId="35CBFDB5" w14:textId="77777777" w:rsidTr="00105BC5">
        <w:trPr>
          <w:trHeight w:val="300"/>
        </w:trPr>
        <w:tc>
          <w:tcPr>
            <w:tcW w:w="1019" w:type="dxa"/>
            <w:noWrap/>
            <w:hideMark/>
          </w:tcPr>
          <w:p w14:paraId="29D41E9E" w14:textId="77777777" w:rsidR="00F73A38" w:rsidRPr="00EA334D" w:rsidRDefault="00F73A38" w:rsidP="00105BC5">
            <w:pPr>
              <w:jc w:val="center"/>
            </w:pPr>
            <w:r w:rsidRPr="00EA334D">
              <w:t>F32</w:t>
            </w:r>
          </w:p>
        </w:tc>
        <w:tc>
          <w:tcPr>
            <w:tcW w:w="8332" w:type="dxa"/>
            <w:noWrap/>
            <w:hideMark/>
          </w:tcPr>
          <w:p w14:paraId="49A7649F" w14:textId="77777777" w:rsidR="00F73A38" w:rsidRPr="00EA334D" w:rsidRDefault="00F73A38" w:rsidP="00105BC5">
            <w:r w:rsidRPr="00EA334D">
              <w:t>Alte modificări ale condițiilor hidrologice pentru dezvoltarea industrială sau comercială</w:t>
            </w:r>
          </w:p>
        </w:tc>
      </w:tr>
      <w:tr w:rsidR="00F73A38" w:rsidRPr="001F056A" w14:paraId="22D74924" w14:textId="77777777" w:rsidTr="00105BC5">
        <w:trPr>
          <w:trHeight w:val="300"/>
        </w:trPr>
        <w:tc>
          <w:tcPr>
            <w:tcW w:w="1019" w:type="dxa"/>
            <w:noWrap/>
            <w:hideMark/>
          </w:tcPr>
          <w:p w14:paraId="6DD0C957" w14:textId="77777777" w:rsidR="00F73A38" w:rsidRPr="00EA334D" w:rsidRDefault="00F73A38" w:rsidP="00105BC5">
            <w:pPr>
              <w:jc w:val="center"/>
            </w:pPr>
            <w:r w:rsidRPr="00EA334D">
              <w:t>F33</w:t>
            </w:r>
          </w:p>
        </w:tc>
        <w:tc>
          <w:tcPr>
            <w:tcW w:w="8332" w:type="dxa"/>
            <w:noWrap/>
            <w:hideMark/>
          </w:tcPr>
          <w:p w14:paraId="7DC8FE78" w14:textId="77777777" w:rsidR="00F73A38" w:rsidRPr="00EA334D" w:rsidRDefault="00F73A38" w:rsidP="00105BC5">
            <w:r w:rsidRPr="00EA334D">
              <w:t>Extragerea apelor subterane și de suprafață (inclusiv cele marine) pentru furnizarea apei publice și recreere</w:t>
            </w:r>
          </w:p>
        </w:tc>
      </w:tr>
      <w:tr w:rsidR="00F73A38" w:rsidRPr="001F056A" w14:paraId="2C6A0259" w14:textId="77777777" w:rsidTr="00105BC5">
        <w:trPr>
          <w:trHeight w:val="300"/>
        </w:trPr>
        <w:tc>
          <w:tcPr>
            <w:tcW w:w="1019" w:type="dxa"/>
            <w:noWrap/>
            <w:hideMark/>
          </w:tcPr>
          <w:p w14:paraId="381DB42F" w14:textId="77777777" w:rsidR="00F73A38" w:rsidRPr="00EA334D" w:rsidRDefault="00F73A38" w:rsidP="00105BC5">
            <w:pPr>
              <w:jc w:val="center"/>
            </w:pPr>
            <w:r w:rsidRPr="00EA334D">
              <w:t>F34</w:t>
            </w:r>
          </w:p>
        </w:tc>
        <w:tc>
          <w:tcPr>
            <w:tcW w:w="8332" w:type="dxa"/>
            <w:noWrap/>
            <w:hideMark/>
          </w:tcPr>
          <w:p w14:paraId="66963B33" w14:textId="77777777" w:rsidR="00F73A38" w:rsidRPr="00EA334D" w:rsidRDefault="00F73A38" w:rsidP="00105BC5">
            <w:r w:rsidRPr="00EA334D">
              <w:t>Extragerea apelor subterane și de suprafață (inclusiv marine) pentru uz comercial / industrial (cu excepția energiei)</w:t>
            </w:r>
          </w:p>
        </w:tc>
      </w:tr>
      <w:tr w:rsidR="00F73A38" w:rsidRPr="00514649" w14:paraId="1DA2074A" w14:textId="77777777" w:rsidTr="00105BC5">
        <w:trPr>
          <w:trHeight w:val="300"/>
        </w:trPr>
        <w:tc>
          <w:tcPr>
            <w:tcW w:w="1019" w:type="dxa"/>
            <w:noWrap/>
            <w:hideMark/>
          </w:tcPr>
          <w:p w14:paraId="79E8DC9B" w14:textId="77777777" w:rsidR="00F73A38" w:rsidRPr="00EA334D" w:rsidRDefault="00F73A38" w:rsidP="00105BC5">
            <w:pPr>
              <w:jc w:val="center"/>
            </w:pPr>
            <w:r w:rsidRPr="00EA334D">
              <w:t>G</w:t>
            </w:r>
          </w:p>
        </w:tc>
        <w:tc>
          <w:tcPr>
            <w:tcW w:w="8332" w:type="dxa"/>
            <w:noWrap/>
            <w:hideMark/>
          </w:tcPr>
          <w:p w14:paraId="75642310" w14:textId="77777777" w:rsidR="00F73A38" w:rsidRPr="00EA334D" w:rsidRDefault="00F73A38" w:rsidP="00105BC5">
            <w:r w:rsidRPr="00EA334D">
              <w:t>Extragerea și cultivarea resurselor biologice vii(altele decât agricultura și silvicultura)</w:t>
            </w:r>
          </w:p>
        </w:tc>
      </w:tr>
      <w:tr w:rsidR="00F73A38" w:rsidRPr="00514649" w14:paraId="5D227BC4" w14:textId="77777777" w:rsidTr="00105BC5">
        <w:trPr>
          <w:trHeight w:val="300"/>
        </w:trPr>
        <w:tc>
          <w:tcPr>
            <w:tcW w:w="1019" w:type="dxa"/>
            <w:noWrap/>
            <w:hideMark/>
          </w:tcPr>
          <w:p w14:paraId="6BFE59B4" w14:textId="77777777" w:rsidR="00F73A38" w:rsidRPr="00EA334D" w:rsidRDefault="00F73A38" w:rsidP="00105BC5">
            <w:pPr>
              <w:jc w:val="center"/>
            </w:pPr>
            <w:r w:rsidRPr="00EA334D">
              <w:t>G01</w:t>
            </w:r>
          </w:p>
        </w:tc>
        <w:tc>
          <w:tcPr>
            <w:tcW w:w="8332" w:type="dxa"/>
            <w:noWrap/>
            <w:hideMark/>
          </w:tcPr>
          <w:p w14:paraId="17C43498" w14:textId="77777777" w:rsidR="00F73A38" w:rsidRPr="00EA334D" w:rsidRDefault="00F73A38" w:rsidP="00105BC5">
            <w:r w:rsidRPr="00EA334D">
              <w:t>Recoltarea peștilor și crustaceelor marine (profesionale, recreative) care determină reducerea populației de specii  și perturbarea speciilor</w:t>
            </w:r>
          </w:p>
        </w:tc>
      </w:tr>
      <w:tr w:rsidR="00F73A38" w:rsidRPr="001F056A" w14:paraId="6633B3C0" w14:textId="77777777" w:rsidTr="00105BC5">
        <w:trPr>
          <w:trHeight w:val="300"/>
        </w:trPr>
        <w:tc>
          <w:tcPr>
            <w:tcW w:w="1019" w:type="dxa"/>
            <w:noWrap/>
            <w:hideMark/>
          </w:tcPr>
          <w:p w14:paraId="0EF2F229" w14:textId="77777777" w:rsidR="00F73A38" w:rsidRPr="00EA334D" w:rsidRDefault="00F73A38" w:rsidP="00105BC5">
            <w:pPr>
              <w:jc w:val="center"/>
            </w:pPr>
            <w:r w:rsidRPr="00EA334D">
              <w:t>G02</w:t>
            </w:r>
          </w:p>
        </w:tc>
        <w:tc>
          <w:tcPr>
            <w:tcW w:w="8332" w:type="dxa"/>
            <w:noWrap/>
            <w:hideMark/>
          </w:tcPr>
          <w:p w14:paraId="1940CE36" w14:textId="77777777" w:rsidR="00F73A38" w:rsidRPr="00EA334D" w:rsidRDefault="00F73A38" w:rsidP="00105BC5">
            <w:r w:rsidRPr="00EA334D">
              <w:t>Prelucrarea peștilor și crustaceelor marine</w:t>
            </w:r>
          </w:p>
        </w:tc>
      </w:tr>
      <w:tr w:rsidR="00F73A38" w:rsidRPr="001F056A" w14:paraId="470C238F" w14:textId="77777777" w:rsidTr="00105BC5">
        <w:trPr>
          <w:trHeight w:val="300"/>
        </w:trPr>
        <w:tc>
          <w:tcPr>
            <w:tcW w:w="1019" w:type="dxa"/>
            <w:noWrap/>
            <w:hideMark/>
          </w:tcPr>
          <w:p w14:paraId="6883A730" w14:textId="77777777" w:rsidR="00F73A38" w:rsidRPr="00EA334D" w:rsidRDefault="00F73A38" w:rsidP="00105BC5">
            <w:pPr>
              <w:jc w:val="center"/>
            </w:pPr>
            <w:r w:rsidRPr="00EA334D">
              <w:t>G03</w:t>
            </w:r>
          </w:p>
        </w:tc>
        <w:tc>
          <w:tcPr>
            <w:tcW w:w="8332" w:type="dxa"/>
            <w:noWrap/>
            <w:hideMark/>
          </w:tcPr>
          <w:p w14:paraId="1DB1BF7F" w14:textId="77777777" w:rsidR="00F73A38" w:rsidRPr="00EA334D" w:rsidRDefault="00F73A38" w:rsidP="00105BC5">
            <w:r w:rsidRPr="00EA334D">
              <w:t>Activități de recoltare a peștilor și crustaceelor marine (profesionale, recreative) care provoacă pierderi fizice și perturbări ale habitatelor de pe malul mării</w:t>
            </w:r>
          </w:p>
        </w:tc>
      </w:tr>
      <w:tr w:rsidR="00F73A38" w:rsidRPr="00514649" w14:paraId="22682A0D" w14:textId="77777777" w:rsidTr="00105BC5">
        <w:trPr>
          <w:trHeight w:val="300"/>
        </w:trPr>
        <w:tc>
          <w:tcPr>
            <w:tcW w:w="1019" w:type="dxa"/>
            <w:noWrap/>
            <w:hideMark/>
          </w:tcPr>
          <w:p w14:paraId="37BCF62C" w14:textId="77777777" w:rsidR="00F73A38" w:rsidRPr="00EA334D" w:rsidRDefault="00F73A38" w:rsidP="00105BC5">
            <w:pPr>
              <w:jc w:val="center"/>
            </w:pPr>
            <w:r w:rsidRPr="00EA334D">
              <w:t>G04</w:t>
            </w:r>
          </w:p>
        </w:tc>
        <w:tc>
          <w:tcPr>
            <w:tcW w:w="8332" w:type="dxa"/>
            <w:noWrap/>
            <w:hideMark/>
          </w:tcPr>
          <w:p w14:paraId="673CCBED" w14:textId="77777777" w:rsidR="00F73A38" w:rsidRPr="00EA334D" w:rsidRDefault="00F73A38" w:rsidP="00105BC5">
            <w:r w:rsidRPr="00EA334D">
              <w:t>Recoltarea plantelor marine</w:t>
            </w:r>
          </w:p>
        </w:tc>
      </w:tr>
      <w:tr w:rsidR="00F73A38" w:rsidRPr="001F056A" w14:paraId="33CC1FC6" w14:textId="77777777" w:rsidTr="00105BC5">
        <w:trPr>
          <w:trHeight w:val="300"/>
        </w:trPr>
        <w:tc>
          <w:tcPr>
            <w:tcW w:w="1019" w:type="dxa"/>
            <w:noWrap/>
            <w:hideMark/>
          </w:tcPr>
          <w:p w14:paraId="1121FE3B" w14:textId="77777777" w:rsidR="00F73A38" w:rsidRPr="00EA334D" w:rsidRDefault="00F73A38" w:rsidP="00105BC5">
            <w:pPr>
              <w:jc w:val="center"/>
            </w:pPr>
            <w:r w:rsidRPr="00EA334D">
              <w:t>G08</w:t>
            </w:r>
          </w:p>
        </w:tc>
        <w:tc>
          <w:tcPr>
            <w:tcW w:w="8332" w:type="dxa"/>
            <w:noWrap/>
            <w:hideMark/>
          </w:tcPr>
          <w:p w14:paraId="6022D82D" w14:textId="77777777" w:rsidR="00F73A38" w:rsidRPr="00EA334D" w:rsidRDefault="00F73A38" w:rsidP="00105BC5">
            <w:r w:rsidRPr="00EA334D">
              <w:t>Managementul stocurilor de pescuit și vânătoare</w:t>
            </w:r>
          </w:p>
        </w:tc>
      </w:tr>
      <w:tr w:rsidR="00F73A38" w:rsidRPr="00514649" w14:paraId="0B6036B7" w14:textId="77777777" w:rsidTr="00105BC5">
        <w:trPr>
          <w:trHeight w:val="300"/>
        </w:trPr>
        <w:tc>
          <w:tcPr>
            <w:tcW w:w="1019" w:type="dxa"/>
            <w:noWrap/>
            <w:hideMark/>
          </w:tcPr>
          <w:p w14:paraId="38EBB836" w14:textId="77777777" w:rsidR="00F73A38" w:rsidRPr="00EA334D" w:rsidRDefault="00F73A38" w:rsidP="00105BC5">
            <w:pPr>
              <w:jc w:val="center"/>
            </w:pPr>
            <w:r w:rsidRPr="00EA334D">
              <w:t>G09</w:t>
            </w:r>
          </w:p>
        </w:tc>
        <w:tc>
          <w:tcPr>
            <w:tcW w:w="8332" w:type="dxa"/>
            <w:noWrap/>
            <w:hideMark/>
          </w:tcPr>
          <w:p w14:paraId="4606BBD2" w14:textId="77777777" w:rsidR="00F73A38" w:rsidRPr="00EA334D" w:rsidRDefault="00F73A38" w:rsidP="00105BC5">
            <w:r w:rsidRPr="00EA334D">
              <w:t>Recoltarea sau colectarea altor plante și animale sălbatice (cu excepția vânătoarei și a pescuitului de agrement)</w:t>
            </w:r>
          </w:p>
        </w:tc>
      </w:tr>
      <w:tr w:rsidR="00F73A38" w:rsidRPr="00514649" w14:paraId="31B3BD10" w14:textId="77777777" w:rsidTr="00105BC5">
        <w:trPr>
          <w:trHeight w:val="300"/>
        </w:trPr>
        <w:tc>
          <w:tcPr>
            <w:tcW w:w="1019" w:type="dxa"/>
            <w:noWrap/>
            <w:hideMark/>
          </w:tcPr>
          <w:p w14:paraId="051FD2A4" w14:textId="77777777" w:rsidR="00F73A38" w:rsidRPr="00EA334D" w:rsidRDefault="00F73A38" w:rsidP="00105BC5">
            <w:pPr>
              <w:jc w:val="center"/>
            </w:pPr>
            <w:r w:rsidRPr="00EA334D">
              <w:t>G11</w:t>
            </w:r>
          </w:p>
        </w:tc>
        <w:tc>
          <w:tcPr>
            <w:tcW w:w="8332" w:type="dxa"/>
            <w:noWrap/>
            <w:hideMark/>
          </w:tcPr>
          <w:p w14:paraId="30E08DFC" w14:textId="77777777" w:rsidR="00F73A38" w:rsidRPr="00EA334D" w:rsidRDefault="00F73A38" w:rsidP="00105BC5">
            <w:r w:rsidRPr="00EA334D">
              <w:t>Recoltarea și colectarea ilegală</w:t>
            </w:r>
          </w:p>
        </w:tc>
      </w:tr>
      <w:tr w:rsidR="00F73A38" w:rsidRPr="001F056A" w14:paraId="4B04DF00" w14:textId="77777777" w:rsidTr="00105BC5">
        <w:trPr>
          <w:trHeight w:val="300"/>
        </w:trPr>
        <w:tc>
          <w:tcPr>
            <w:tcW w:w="1019" w:type="dxa"/>
            <w:noWrap/>
            <w:hideMark/>
          </w:tcPr>
          <w:p w14:paraId="5768D159" w14:textId="77777777" w:rsidR="00F73A38" w:rsidRPr="00EA334D" w:rsidRDefault="00F73A38" w:rsidP="00105BC5">
            <w:pPr>
              <w:jc w:val="center"/>
            </w:pPr>
            <w:r w:rsidRPr="00EA334D">
              <w:t>G12</w:t>
            </w:r>
          </w:p>
        </w:tc>
        <w:tc>
          <w:tcPr>
            <w:tcW w:w="8332" w:type="dxa"/>
            <w:noWrap/>
            <w:hideMark/>
          </w:tcPr>
          <w:p w14:paraId="6B34288F" w14:textId="77777777" w:rsidR="00F73A38" w:rsidRPr="00EA334D" w:rsidRDefault="00F73A38" w:rsidP="00105BC5">
            <w:r w:rsidRPr="00EA334D">
              <w:t>Captura accidentală și uciderea accidentală (din cauza activităților de pescuit și vânătoare)</w:t>
            </w:r>
          </w:p>
        </w:tc>
      </w:tr>
      <w:tr w:rsidR="00F73A38" w:rsidRPr="00514649" w14:paraId="4529877D" w14:textId="77777777" w:rsidTr="00105BC5">
        <w:trPr>
          <w:trHeight w:val="300"/>
        </w:trPr>
        <w:tc>
          <w:tcPr>
            <w:tcW w:w="1019" w:type="dxa"/>
            <w:noWrap/>
            <w:hideMark/>
          </w:tcPr>
          <w:p w14:paraId="14EBCFF4" w14:textId="77777777" w:rsidR="00F73A38" w:rsidRPr="00EA334D" w:rsidRDefault="00F73A38" w:rsidP="00105BC5">
            <w:pPr>
              <w:jc w:val="center"/>
            </w:pPr>
            <w:r w:rsidRPr="00EA334D">
              <w:t>G13</w:t>
            </w:r>
          </w:p>
        </w:tc>
        <w:tc>
          <w:tcPr>
            <w:tcW w:w="8332" w:type="dxa"/>
            <w:noWrap/>
            <w:hideMark/>
          </w:tcPr>
          <w:p w14:paraId="35958C06" w14:textId="77777777" w:rsidR="00F73A38" w:rsidRPr="00EA334D" w:rsidRDefault="00F73A38" w:rsidP="00105BC5">
            <w:r w:rsidRPr="00EA334D">
              <w:t>Intoxicații ale animalelor (cu excepția otrăvirii cu plumb)</w:t>
            </w:r>
          </w:p>
        </w:tc>
      </w:tr>
      <w:tr w:rsidR="00F73A38" w:rsidRPr="001F056A" w14:paraId="7E525823" w14:textId="77777777" w:rsidTr="00105BC5">
        <w:trPr>
          <w:trHeight w:val="300"/>
        </w:trPr>
        <w:tc>
          <w:tcPr>
            <w:tcW w:w="1019" w:type="dxa"/>
            <w:noWrap/>
            <w:hideMark/>
          </w:tcPr>
          <w:p w14:paraId="653FA0EC" w14:textId="77777777" w:rsidR="00F73A38" w:rsidRPr="00EA334D" w:rsidRDefault="00F73A38" w:rsidP="00105BC5">
            <w:pPr>
              <w:jc w:val="center"/>
            </w:pPr>
            <w:r w:rsidRPr="00EA334D">
              <w:t>G15</w:t>
            </w:r>
          </w:p>
        </w:tc>
        <w:tc>
          <w:tcPr>
            <w:tcW w:w="8332" w:type="dxa"/>
            <w:noWrap/>
            <w:hideMark/>
          </w:tcPr>
          <w:p w14:paraId="550D67C2" w14:textId="77777777" w:rsidR="00F73A38" w:rsidRPr="00EA334D" w:rsidRDefault="00F73A38" w:rsidP="00105BC5">
            <w:r w:rsidRPr="00EA334D">
              <w:t>Modificarea condițiilor de coastă pentru acvacultura marină</w:t>
            </w:r>
          </w:p>
        </w:tc>
      </w:tr>
      <w:tr w:rsidR="00F73A38" w:rsidRPr="001F056A" w14:paraId="0A0D8A49" w14:textId="77777777" w:rsidTr="00105BC5">
        <w:trPr>
          <w:trHeight w:val="300"/>
        </w:trPr>
        <w:tc>
          <w:tcPr>
            <w:tcW w:w="1019" w:type="dxa"/>
            <w:noWrap/>
            <w:hideMark/>
          </w:tcPr>
          <w:p w14:paraId="380C2EAD" w14:textId="77777777" w:rsidR="00F73A38" w:rsidRPr="00EA334D" w:rsidRDefault="00F73A38" w:rsidP="00105BC5">
            <w:pPr>
              <w:jc w:val="center"/>
            </w:pPr>
            <w:r w:rsidRPr="00EA334D">
              <w:t>G16</w:t>
            </w:r>
          </w:p>
        </w:tc>
        <w:tc>
          <w:tcPr>
            <w:tcW w:w="8332" w:type="dxa"/>
            <w:noWrap/>
            <w:hideMark/>
          </w:tcPr>
          <w:p w14:paraId="46677558" w14:textId="77777777" w:rsidR="00F73A38" w:rsidRPr="00EA334D" w:rsidRDefault="00F73A38" w:rsidP="00105BC5">
            <w:r w:rsidRPr="00EA334D">
              <w:t>Acvacultura marină generatoare de poluare marină</w:t>
            </w:r>
          </w:p>
        </w:tc>
      </w:tr>
      <w:tr w:rsidR="00F73A38" w:rsidRPr="001F056A" w14:paraId="2269783A" w14:textId="77777777" w:rsidTr="00105BC5">
        <w:trPr>
          <w:trHeight w:val="300"/>
        </w:trPr>
        <w:tc>
          <w:tcPr>
            <w:tcW w:w="1019" w:type="dxa"/>
            <w:noWrap/>
            <w:hideMark/>
          </w:tcPr>
          <w:p w14:paraId="447ED9C7" w14:textId="77777777" w:rsidR="00F73A38" w:rsidRPr="00EA334D" w:rsidRDefault="00F73A38" w:rsidP="00105BC5">
            <w:pPr>
              <w:jc w:val="center"/>
            </w:pPr>
            <w:r w:rsidRPr="00EA334D">
              <w:t>G17</w:t>
            </w:r>
          </w:p>
        </w:tc>
        <w:tc>
          <w:tcPr>
            <w:tcW w:w="8332" w:type="dxa"/>
            <w:noWrap/>
            <w:hideMark/>
          </w:tcPr>
          <w:p w14:paraId="5175772A" w14:textId="77777777" w:rsidR="00F73A38" w:rsidRPr="00EA334D" w:rsidRDefault="00F73A38" w:rsidP="00105BC5">
            <w:r w:rsidRPr="00EA334D">
              <w:t>Introducere și răspândire de specii (inclusiv OMG) în acvacultura marină</w:t>
            </w:r>
          </w:p>
        </w:tc>
      </w:tr>
      <w:tr w:rsidR="00F73A38" w:rsidRPr="001F056A" w14:paraId="5BE78561" w14:textId="77777777" w:rsidTr="00105BC5">
        <w:trPr>
          <w:trHeight w:val="300"/>
        </w:trPr>
        <w:tc>
          <w:tcPr>
            <w:tcW w:w="1019" w:type="dxa"/>
            <w:noWrap/>
            <w:hideMark/>
          </w:tcPr>
          <w:p w14:paraId="4336071C" w14:textId="77777777" w:rsidR="00F73A38" w:rsidRPr="00EA334D" w:rsidRDefault="00F73A38" w:rsidP="00105BC5">
            <w:pPr>
              <w:jc w:val="center"/>
            </w:pPr>
            <w:r w:rsidRPr="00EA334D">
              <w:t>G18</w:t>
            </w:r>
          </w:p>
        </w:tc>
        <w:tc>
          <w:tcPr>
            <w:tcW w:w="8332" w:type="dxa"/>
            <w:noWrap/>
            <w:hideMark/>
          </w:tcPr>
          <w:p w14:paraId="0ABBA64D" w14:textId="77777777" w:rsidR="00F73A38" w:rsidRPr="00EA334D" w:rsidRDefault="00F73A38" w:rsidP="00105BC5">
            <w:r w:rsidRPr="00EA334D">
              <w:t>Abandonarea acvaculturii marine</w:t>
            </w:r>
          </w:p>
        </w:tc>
      </w:tr>
      <w:tr w:rsidR="00F73A38" w:rsidRPr="00514649" w14:paraId="4F486C6C" w14:textId="77777777" w:rsidTr="00105BC5">
        <w:trPr>
          <w:trHeight w:val="300"/>
        </w:trPr>
        <w:tc>
          <w:tcPr>
            <w:tcW w:w="1019" w:type="dxa"/>
            <w:noWrap/>
            <w:hideMark/>
          </w:tcPr>
          <w:p w14:paraId="5BF4B6EC" w14:textId="77777777" w:rsidR="00F73A38" w:rsidRPr="00EA334D" w:rsidRDefault="00F73A38" w:rsidP="00105BC5">
            <w:pPr>
              <w:jc w:val="center"/>
            </w:pPr>
            <w:r w:rsidRPr="00EA334D">
              <w:t>G19</w:t>
            </w:r>
          </w:p>
        </w:tc>
        <w:tc>
          <w:tcPr>
            <w:tcW w:w="8332" w:type="dxa"/>
            <w:noWrap/>
            <w:hideMark/>
          </w:tcPr>
          <w:p w14:paraId="561A7006" w14:textId="77777777" w:rsidR="00F73A38" w:rsidRPr="00EA334D" w:rsidRDefault="00F73A38" w:rsidP="00105BC5">
            <w:r w:rsidRPr="00EA334D">
              <w:t>Alte impacturi din acvacultura marină, inclusiv infrastructura</w:t>
            </w:r>
          </w:p>
        </w:tc>
      </w:tr>
      <w:tr w:rsidR="00F73A38" w:rsidRPr="00514649" w14:paraId="6BEB49F6" w14:textId="77777777" w:rsidTr="00105BC5">
        <w:trPr>
          <w:trHeight w:val="300"/>
        </w:trPr>
        <w:tc>
          <w:tcPr>
            <w:tcW w:w="1019" w:type="dxa"/>
            <w:noWrap/>
            <w:hideMark/>
          </w:tcPr>
          <w:p w14:paraId="287447B3" w14:textId="77777777" w:rsidR="00F73A38" w:rsidRPr="00EA334D" w:rsidRDefault="00F73A38" w:rsidP="00105BC5">
            <w:pPr>
              <w:jc w:val="center"/>
            </w:pPr>
            <w:r w:rsidRPr="00EA334D">
              <w:lastRenderedPageBreak/>
              <w:t>G27</w:t>
            </w:r>
          </w:p>
        </w:tc>
        <w:tc>
          <w:tcPr>
            <w:tcW w:w="8332" w:type="dxa"/>
            <w:noWrap/>
            <w:hideMark/>
          </w:tcPr>
          <w:p w14:paraId="0FEF570D" w14:textId="77777777" w:rsidR="00F73A38" w:rsidRPr="00EA334D" w:rsidRDefault="00F73A38" w:rsidP="00105BC5">
            <w:r w:rsidRPr="00EA334D">
              <w:t>Alte activități legate de extracția și cultivarea resurselor biologice vii care nu sunt menționate mai sus</w:t>
            </w:r>
          </w:p>
        </w:tc>
      </w:tr>
      <w:tr w:rsidR="00F73A38" w:rsidRPr="00514649" w14:paraId="5FA1E130" w14:textId="77777777" w:rsidTr="00105BC5">
        <w:trPr>
          <w:trHeight w:val="300"/>
        </w:trPr>
        <w:tc>
          <w:tcPr>
            <w:tcW w:w="1019" w:type="dxa"/>
            <w:noWrap/>
            <w:hideMark/>
          </w:tcPr>
          <w:p w14:paraId="3C816412" w14:textId="77777777" w:rsidR="00F73A38" w:rsidRPr="00EA334D" w:rsidRDefault="00F73A38" w:rsidP="00105BC5">
            <w:pPr>
              <w:jc w:val="center"/>
            </w:pPr>
            <w:r w:rsidRPr="00EA334D">
              <w:t>H</w:t>
            </w:r>
          </w:p>
        </w:tc>
        <w:tc>
          <w:tcPr>
            <w:tcW w:w="8332" w:type="dxa"/>
            <w:noWrap/>
            <w:hideMark/>
          </w:tcPr>
          <w:p w14:paraId="4AE8CA33" w14:textId="77777777" w:rsidR="00F73A38" w:rsidRPr="00EA334D" w:rsidRDefault="00F73A38" w:rsidP="00105BC5">
            <w:r w:rsidRPr="00EA334D">
              <w:t>Acțiune militară, măsuri de siguranță publică și alte intruziuni umane</w:t>
            </w:r>
          </w:p>
        </w:tc>
      </w:tr>
      <w:tr w:rsidR="00F73A38" w:rsidRPr="001F056A" w14:paraId="25617FAB" w14:textId="77777777" w:rsidTr="00105BC5">
        <w:trPr>
          <w:trHeight w:val="300"/>
        </w:trPr>
        <w:tc>
          <w:tcPr>
            <w:tcW w:w="1019" w:type="dxa"/>
            <w:noWrap/>
            <w:hideMark/>
          </w:tcPr>
          <w:p w14:paraId="6048E665" w14:textId="77777777" w:rsidR="00F73A38" w:rsidRPr="00EA334D" w:rsidRDefault="00F73A38" w:rsidP="00105BC5">
            <w:pPr>
              <w:jc w:val="center"/>
            </w:pPr>
            <w:r w:rsidRPr="00EA334D">
              <w:t>H01</w:t>
            </w:r>
          </w:p>
        </w:tc>
        <w:tc>
          <w:tcPr>
            <w:tcW w:w="8332" w:type="dxa"/>
            <w:noWrap/>
            <w:hideMark/>
          </w:tcPr>
          <w:p w14:paraId="67BBA979" w14:textId="77777777" w:rsidR="00F73A38" w:rsidRPr="00EA334D" w:rsidRDefault="00F73A38" w:rsidP="00105BC5">
            <w:r w:rsidRPr="00EA334D">
              <w:t>Exerciții și operațiuni militare, paramilitare sau de poliție pe uscat</w:t>
            </w:r>
          </w:p>
        </w:tc>
      </w:tr>
      <w:tr w:rsidR="00F73A38" w:rsidRPr="001F056A" w14:paraId="4BA89320" w14:textId="77777777" w:rsidTr="00105BC5">
        <w:trPr>
          <w:trHeight w:val="300"/>
        </w:trPr>
        <w:tc>
          <w:tcPr>
            <w:tcW w:w="1019" w:type="dxa"/>
            <w:noWrap/>
            <w:hideMark/>
          </w:tcPr>
          <w:p w14:paraId="286B8E80" w14:textId="77777777" w:rsidR="00F73A38" w:rsidRPr="00EA334D" w:rsidRDefault="00F73A38" w:rsidP="00105BC5">
            <w:pPr>
              <w:jc w:val="center"/>
            </w:pPr>
            <w:r w:rsidRPr="00EA334D">
              <w:t>H02</w:t>
            </w:r>
          </w:p>
        </w:tc>
        <w:tc>
          <w:tcPr>
            <w:tcW w:w="8332" w:type="dxa"/>
            <w:noWrap/>
            <w:hideMark/>
          </w:tcPr>
          <w:p w14:paraId="41469400" w14:textId="77777777" w:rsidR="00F73A38" w:rsidRPr="00EA334D" w:rsidRDefault="00F73A38" w:rsidP="00105BC5">
            <w:r w:rsidRPr="00EA334D">
              <w:t>Exerciții și operațiuni militare, paramilitare sau de poliție în mediul marin și dulce</w:t>
            </w:r>
          </w:p>
        </w:tc>
      </w:tr>
      <w:tr w:rsidR="00F73A38" w:rsidRPr="001F056A" w14:paraId="605C7BCD" w14:textId="77777777" w:rsidTr="00105BC5">
        <w:trPr>
          <w:trHeight w:val="300"/>
        </w:trPr>
        <w:tc>
          <w:tcPr>
            <w:tcW w:w="1019" w:type="dxa"/>
            <w:noWrap/>
            <w:hideMark/>
          </w:tcPr>
          <w:p w14:paraId="1D210546" w14:textId="77777777" w:rsidR="00F73A38" w:rsidRPr="00EA334D" w:rsidRDefault="00F73A38" w:rsidP="00105BC5">
            <w:pPr>
              <w:jc w:val="center"/>
            </w:pPr>
            <w:r w:rsidRPr="00EA334D">
              <w:t>H03</w:t>
            </w:r>
          </w:p>
        </w:tc>
        <w:tc>
          <w:tcPr>
            <w:tcW w:w="8332" w:type="dxa"/>
            <w:noWrap/>
            <w:hideMark/>
          </w:tcPr>
          <w:p w14:paraId="16D40F52" w14:textId="77777777" w:rsidR="00F73A38" w:rsidRPr="00EA334D" w:rsidRDefault="00F73A38" w:rsidP="00105BC5">
            <w:r w:rsidRPr="00EA334D">
              <w:t>Abandonarea exercițiilor militare terestre sau similare (pierderea habitatelor deschise)</w:t>
            </w:r>
          </w:p>
        </w:tc>
      </w:tr>
      <w:tr w:rsidR="00F73A38" w:rsidRPr="001F056A" w14:paraId="23A4CC28" w14:textId="77777777" w:rsidTr="00105BC5">
        <w:trPr>
          <w:trHeight w:val="300"/>
        </w:trPr>
        <w:tc>
          <w:tcPr>
            <w:tcW w:w="1019" w:type="dxa"/>
            <w:noWrap/>
            <w:hideMark/>
          </w:tcPr>
          <w:p w14:paraId="57065E75" w14:textId="77777777" w:rsidR="00F73A38" w:rsidRPr="00EA334D" w:rsidRDefault="00F73A38" w:rsidP="00105BC5">
            <w:pPr>
              <w:jc w:val="center"/>
            </w:pPr>
            <w:r w:rsidRPr="00EA334D">
              <w:t>H04</w:t>
            </w:r>
          </w:p>
        </w:tc>
        <w:tc>
          <w:tcPr>
            <w:tcW w:w="8332" w:type="dxa"/>
            <w:noWrap/>
            <w:hideMark/>
          </w:tcPr>
          <w:p w14:paraId="2A62996E" w14:textId="77777777" w:rsidR="00F73A38" w:rsidRPr="00EA334D" w:rsidRDefault="00F73A38" w:rsidP="00105BC5">
            <w:r w:rsidRPr="00EA334D">
              <w:t>Vandalism sau incendiu</w:t>
            </w:r>
          </w:p>
        </w:tc>
      </w:tr>
      <w:tr w:rsidR="00F73A38" w:rsidRPr="001F056A" w14:paraId="3DE0D6AC" w14:textId="77777777" w:rsidTr="00105BC5">
        <w:trPr>
          <w:trHeight w:val="300"/>
        </w:trPr>
        <w:tc>
          <w:tcPr>
            <w:tcW w:w="1019" w:type="dxa"/>
            <w:noWrap/>
            <w:hideMark/>
          </w:tcPr>
          <w:p w14:paraId="0438E10B" w14:textId="77777777" w:rsidR="00F73A38" w:rsidRPr="00EA334D" w:rsidRDefault="00F73A38" w:rsidP="00105BC5">
            <w:pPr>
              <w:jc w:val="center"/>
            </w:pPr>
            <w:r w:rsidRPr="00EA334D">
              <w:t>H05</w:t>
            </w:r>
          </w:p>
        </w:tc>
        <w:tc>
          <w:tcPr>
            <w:tcW w:w="8332" w:type="dxa"/>
            <w:noWrap/>
            <w:hideMark/>
          </w:tcPr>
          <w:p w14:paraId="151E138D" w14:textId="77777777" w:rsidR="00F73A38" w:rsidRPr="00EA334D" w:rsidRDefault="00F73A38" w:rsidP="00105BC5">
            <w:r w:rsidRPr="00EA334D">
              <w:t>Toaletarea arborilor, tăierea / îndepărtarea copacilor și vegetației pentru siguranța publică</w:t>
            </w:r>
          </w:p>
        </w:tc>
      </w:tr>
      <w:tr w:rsidR="00F73A38" w:rsidRPr="001F056A" w14:paraId="5A0E872A" w14:textId="77777777" w:rsidTr="00105BC5">
        <w:trPr>
          <w:trHeight w:val="300"/>
        </w:trPr>
        <w:tc>
          <w:tcPr>
            <w:tcW w:w="1019" w:type="dxa"/>
            <w:noWrap/>
            <w:hideMark/>
          </w:tcPr>
          <w:p w14:paraId="75986524" w14:textId="77777777" w:rsidR="00F73A38" w:rsidRPr="00EA334D" w:rsidRDefault="00F73A38" w:rsidP="00105BC5">
            <w:pPr>
              <w:jc w:val="center"/>
            </w:pPr>
            <w:r w:rsidRPr="00EA334D">
              <w:t>H06</w:t>
            </w:r>
          </w:p>
        </w:tc>
        <w:tc>
          <w:tcPr>
            <w:tcW w:w="8332" w:type="dxa"/>
            <w:noWrap/>
            <w:hideMark/>
          </w:tcPr>
          <w:p w14:paraId="726CFC0E" w14:textId="77777777" w:rsidR="00F73A38" w:rsidRPr="00EA334D" w:rsidRDefault="00F73A38" w:rsidP="00105BC5">
            <w:r w:rsidRPr="00EA334D">
              <w:t>Acces închis sau restricționat la sit / habitat</w:t>
            </w:r>
          </w:p>
        </w:tc>
      </w:tr>
      <w:tr w:rsidR="00F73A38" w:rsidRPr="001F056A" w14:paraId="7E06BE6C" w14:textId="77777777" w:rsidTr="00105BC5">
        <w:trPr>
          <w:trHeight w:val="300"/>
        </w:trPr>
        <w:tc>
          <w:tcPr>
            <w:tcW w:w="1019" w:type="dxa"/>
            <w:noWrap/>
            <w:hideMark/>
          </w:tcPr>
          <w:p w14:paraId="7A644D9E" w14:textId="77777777" w:rsidR="00F73A38" w:rsidRPr="00EA334D" w:rsidRDefault="00F73A38" w:rsidP="00105BC5">
            <w:pPr>
              <w:jc w:val="center"/>
            </w:pPr>
            <w:r w:rsidRPr="00EA334D">
              <w:t>H07</w:t>
            </w:r>
          </w:p>
        </w:tc>
        <w:tc>
          <w:tcPr>
            <w:tcW w:w="8332" w:type="dxa"/>
            <w:noWrap/>
            <w:hideMark/>
          </w:tcPr>
          <w:p w14:paraId="75028DCC" w14:textId="77777777" w:rsidR="00F73A38" w:rsidRPr="00EA334D" w:rsidRDefault="00F73A38" w:rsidP="00105BC5">
            <w:r w:rsidRPr="00EA334D">
              <w:t>Activități de cercetare și monitorizare intruzive și distructive</w:t>
            </w:r>
          </w:p>
        </w:tc>
      </w:tr>
      <w:tr w:rsidR="00F73A38" w:rsidRPr="00514649" w14:paraId="25191B0D" w14:textId="77777777" w:rsidTr="00105BC5">
        <w:trPr>
          <w:trHeight w:val="300"/>
        </w:trPr>
        <w:tc>
          <w:tcPr>
            <w:tcW w:w="1019" w:type="dxa"/>
            <w:noWrap/>
            <w:hideMark/>
          </w:tcPr>
          <w:p w14:paraId="63C4240D" w14:textId="77777777" w:rsidR="00F73A38" w:rsidRPr="00EA334D" w:rsidRDefault="00F73A38" w:rsidP="00105BC5">
            <w:pPr>
              <w:jc w:val="center"/>
            </w:pPr>
            <w:r w:rsidRPr="00EA334D">
              <w:t>H08</w:t>
            </w:r>
          </w:p>
        </w:tc>
        <w:tc>
          <w:tcPr>
            <w:tcW w:w="8332" w:type="dxa"/>
            <w:noWrap/>
            <w:hideMark/>
          </w:tcPr>
          <w:p w14:paraId="76A7F96F" w14:textId="77777777" w:rsidR="00F73A38" w:rsidRPr="00EA334D" w:rsidRDefault="00F73A38" w:rsidP="00105BC5">
            <w:r w:rsidRPr="00EA334D">
              <w:t>Alte intruziuni și tulburări umane nemenționate mai sus</w:t>
            </w:r>
          </w:p>
        </w:tc>
      </w:tr>
      <w:tr w:rsidR="00F73A38" w:rsidRPr="00EA334D" w14:paraId="59E0B68C" w14:textId="77777777" w:rsidTr="00105BC5">
        <w:trPr>
          <w:trHeight w:val="300"/>
        </w:trPr>
        <w:tc>
          <w:tcPr>
            <w:tcW w:w="1019" w:type="dxa"/>
            <w:noWrap/>
            <w:hideMark/>
          </w:tcPr>
          <w:p w14:paraId="4F2F81C9" w14:textId="77777777" w:rsidR="00F73A38" w:rsidRPr="00EA334D" w:rsidRDefault="00F73A38" w:rsidP="00105BC5">
            <w:pPr>
              <w:jc w:val="center"/>
            </w:pPr>
            <w:r w:rsidRPr="00EA334D">
              <w:t>I</w:t>
            </w:r>
          </w:p>
        </w:tc>
        <w:tc>
          <w:tcPr>
            <w:tcW w:w="8332" w:type="dxa"/>
            <w:noWrap/>
            <w:hideMark/>
          </w:tcPr>
          <w:p w14:paraId="6C92E178" w14:textId="77777777" w:rsidR="00F73A38" w:rsidRPr="00EA334D" w:rsidRDefault="00F73A38" w:rsidP="00105BC5">
            <w:r w:rsidRPr="00EA334D">
              <w:t>Specii invazive și problematice</w:t>
            </w:r>
          </w:p>
        </w:tc>
      </w:tr>
      <w:tr w:rsidR="00F73A38" w:rsidRPr="00514649" w14:paraId="13693B65" w14:textId="77777777" w:rsidTr="00105BC5">
        <w:trPr>
          <w:trHeight w:val="300"/>
        </w:trPr>
        <w:tc>
          <w:tcPr>
            <w:tcW w:w="1019" w:type="dxa"/>
            <w:noWrap/>
            <w:hideMark/>
          </w:tcPr>
          <w:p w14:paraId="1CC7FFBD" w14:textId="77777777" w:rsidR="00F73A38" w:rsidRPr="00EA334D" w:rsidRDefault="00F73A38" w:rsidP="00105BC5">
            <w:pPr>
              <w:jc w:val="center"/>
            </w:pPr>
            <w:r w:rsidRPr="00EA334D">
              <w:t>I01</w:t>
            </w:r>
          </w:p>
        </w:tc>
        <w:tc>
          <w:tcPr>
            <w:tcW w:w="8332" w:type="dxa"/>
            <w:noWrap/>
            <w:hideMark/>
          </w:tcPr>
          <w:p w14:paraId="3FAAB832" w14:textId="77777777" w:rsidR="00F73A38" w:rsidRPr="00EA334D" w:rsidRDefault="00F73A38" w:rsidP="00105BC5">
            <w:r w:rsidRPr="00EA334D">
              <w:t>Specii invazive invazive de interes pentru Uniune</w:t>
            </w:r>
          </w:p>
        </w:tc>
      </w:tr>
      <w:tr w:rsidR="00F73A38" w:rsidRPr="00EA334D" w14:paraId="76DE9270" w14:textId="77777777" w:rsidTr="00105BC5">
        <w:trPr>
          <w:trHeight w:val="300"/>
        </w:trPr>
        <w:tc>
          <w:tcPr>
            <w:tcW w:w="1019" w:type="dxa"/>
            <w:noWrap/>
            <w:hideMark/>
          </w:tcPr>
          <w:p w14:paraId="47185461" w14:textId="77777777" w:rsidR="00F73A38" w:rsidRPr="00EA334D" w:rsidRDefault="00F73A38" w:rsidP="00105BC5">
            <w:pPr>
              <w:jc w:val="center"/>
            </w:pPr>
            <w:r w:rsidRPr="00EA334D">
              <w:t>I02</w:t>
            </w:r>
          </w:p>
        </w:tc>
        <w:tc>
          <w:tcPr>
            <w:tcW w:w="8332" w:type="dxa"/>
            <w:noWrap/>
            <w:hideMark/>
          </w:tcPr>
          <w:p w14:paraId="0B69DA0B" w14:textId="77777777" w:rsidR="00F73A38" w:rsidRPr="00EA334D" w:rsidRDefault="00F73A38" w:rsidP="00105BC5">
            <w:r w:rsidRPr="00EA334D">
              <w:t>Alte specii invazive (alte specii de interes ale Uniunii)</w:t>
            </w:r>
          </w:p>
        </w:tc>
      </w:tr>
      <w:tr w:rsidR="00F73A38" w:rsidRPr="00EA334D" w14:paraId="58F37FB1" w14:textId="77777777" w:rsidTr="00105BC5">
        <w:trPr>
          <w:trHeight w:val="300"/>
        </w:trPr>
        <w:tc>
          <w:tcPr>
            <w:tcW w:w="1019" w:type="dxa"/>
            <w:noWrap/>
            <w:hideMark/>
          </w:tcPr>
          <w:p w14:paraId="53A4C69A" w14:textId="77777777" w:rsidR="00F73A38" w:rsidRPr="00EA334D" w:rsidRDefault="00F73A38" w:rsidP="00105BC5">
            <w:pPr>
              <w:jc w:val="center"/>
            </w:pPr>
            <w:r w:rsidRPr="00EA334D">
              <w:t>I03</w:t>
            </w:r>
          </w:p>
        </w:tc>
        <w:tc>
          <w:tcPr>
            <w:tcW w:w="8332" w:type="dxa"/>
            <w:noWrap/>
            <w:hideMark/>
          </w:tcPr>
          <w:p w14:paraId="7363DBC8" w14:textId="77777777" w:rsidR="00F73A38" w:rsidRPr="00EA334D" w:rsidRDefault="00F73A38" w:rsidP="00105BC5">
            <w:r w:rsidRPr="00EA334D">
              <w:t>NU UTILIZAȚI Alte specii exotice (non invazive)</w:t>
            </w:r>
          </w:p>
        </w:tc>
      </w:tr>
      <w:tr w:rsidR="00F73A38" w:rsidRPr="00EA334D" w14:paraId="14757094" w14:textId="77777777" w:rsidTr="00105BC5">
        <w:trPr>
          <w:trHeight w:val="300"/>
        </w:trPr>
        <w:tc>
          <w:tcPr>
            <w:tcW w:w="1019" w:type="dxa"/>
            <w:noWrap/>
            <w:hideMark/>
          </w:tcPr>
          <w:p w14:paraId="107682D8" w14:textId="77777777" w:rsidR="00F73A38" w:rsidRPr="00EA334D" w:rsidRDefault="00F73A38" w:rsidP="00105BC5">
            <w:pPr>
              <w:jc w:val="center"/>
            </w:pPr>
            <w:r w:rsidRPr="00EA334D">
              <w:t>I04</w:t>
            </w:r>
          </w:p>
        </w:tc>
        <w:tc>
          <w:tcPr>
            <w:tcW w:w="8332" w:type="dxa"/>
            <w:noWrap/>
            <w:hideMark/>
          </w:tcPr>
          <w:p w14:paraId="2D864E45" w14:textId="77777777" w:rsidR="00F73A38" w:rsidRPr="00EA334D" w:rsidRDefault="00F73A38" w:rsidP="00105BC5">
            <w:r w:rsidRPr="00EA334D">
              <w:t>Specie autohtonă problematică</w:t>
            </w:r>
          </w:p>
        </w:tc>
      </w:tr>
      <w:tr w:rsidR="00F73A38" w:rsidRPr="00514649" w14:paraId="4840C1C8" w14:textId="77777777" w:rsidTr="00105BC5">
        <w:trPr>
          <w:trHeight w:val="300"/>
        </w:trPr>
        <w:tc>
          <w:tcPr>
            <w:tcW w:w="1019" w:type="dxa"/>
            <w:noWrap/>
            <w:hideMark/>
          </w:tcPr>
          <w:p w14:paraId="786CAA7D" w14:textId="77777777" w:rsidR="00F73A38" w:rsidRPr="00EA334D" w:rsidRDefault="00F73A38" w:rsidP="00105BC5">
            <w:pPr>
              <w:jc w:val="center"/>
            </w:pPr>
            <w:r w:rsidRPr="00EA334D">
              <w:t>I05</w:t>
            </w:r>
          </w:p>
        </w:tc>
        <w:tc>
          <w:tcPr>
            <w:tcW w:w="8332" w:type="dxa"/>
            <w:noWrap/>
            <w:hideMark/>
          </w:tcPr>
          <w:p w14:paraId="7BD57D9C" w14:textId="77777777" w:rsidR="00F73A38" w:rsidRPr="00EA334D" w:rsidRDefault="00F73A38" w:rsidP="00105BC5">
            <w:r w:rsidRPr="00EA334D">
              <w:t>Boli de plante și animale, agenți patogeni și dăunători</w:t>
            </w:r>
          </w:p>
        </w:tc>
      </w:tr>
      <w:tr w:rsidR="00F73A38" w:rsidRPr="00514649" w14:paraId="4ADCC11E" w14:textId="77777777" w:rsidTr="00105BC5">
        <w:trPr>
          <w:trHeight w:val="300"/>
        </w:trPr>
        <w:tc>
          <w:tcPr>
            <w:tcW w:w="1019" w:type="dxa"/>
            <w:noWrap/>
            <w:hideMark/>
          </w:tcPr>
          <w:p w14:paraId="7756F616" w14:textId="77777777" w:rsidR="00F73A38" w:rsidRPr="00EA334D" w:rsidRDefault="00F73A38" w:rsidP="00105BC5">
            <w:pPr>
              <w:jc w:val="center"/>
            </w:pPr>
            <w:r w:rsidRPr="00EA334D">
              <w:t>J</w:t>
            </w:r>
          </w:p>
        </w:tc>
        <w:tc>
          <w:tcPr>
            <w:tcW w:w="8332" w:type="dxa"/>
            <w:noWrap/>
            <w:hideMark/>
          </w:tcPr>
          <w:p w14:paraId="5E2BA16D" w14:textId="77777777" w:rsidR="00F73A38" w:rsidRPr="00EA334D" w:rsidRDefault="00F73A38" w:rsidP="00105BC5">
            <w:r w:rsidRPr="00EA334D">
              <w:t>Poluarea din surse mixte</w:t>
            </w:r>
          </w:p>
        </w:tc>
      </w:tr>
      <w:tr w:rsidR="00F73A38" w:rsidRPr="00EA334D" w14:paraId="21CA91C1" w14:textId="77777777" w:rsidTr="00105BC5">
        <w:trPr>
          <w:trHeight w:val="300"/>
        </w:trPr>
        <w:tc>
          <w:tcPr>
            <w:tcW w:w="1019" w:type="dxa"/>
            <w:noWrap/>
            <w:hideMark/>
          </w:tcPr>
          <w:p w14:paraId="11E972AB" w14:textId="77777777" w:rsidR="00F73A38" w:rsidRPr="00EA334D" w:rsidRDefault="00F73A38" w:rsidP="00105BC5">
            <w:pPr>
              <w:jc w:val="center"/>
            </w:pPr>
            <w:r w:rsidRPr="00EA334D">
              <w:t>J01</w:t>
            </w:r>
          </w:p>
        </w:tc>
        <w:tc>
          <w:tcPr>
            <w:tcW w:w="8332" w:type="dxa"/>
            <w:noWrap/>
            <w:hideMark/>
          </w:tcPr>
          <w:p w14:paraId="43E0CAA2" w14:textId="77777777" w:rsidR="00F73A38" w:rsidRPr="00EA334D" w:rsidRDefault="00F73A38" w:rsidP="00105BC5">
            <w:r w:rsidRPr="00EA334D">
              <w:t>Poluarea din surse mixte a apelor de suprafață și subterane (limnic și terestru)</w:t>
            </w:r>
          </w:p>
        </w:tc>
      </w:tr>
      <w:tr w:rsidR="00F73A38" w:rsidRPr="00EA334D" w14:paraId="500A09F6" w14:textId="77777777" w:rsidTr="00105BC5">
        <w:trPr>
          <w:trHeight w:val="300"/>
        </w:trPr>
        <w:tc>
          <w:tcPr>
            <w:tcW w:w="1019" w:type="dxa"/>
            <w:noWrap/>
            <w:hideMark/>
          </w:tcPr>
          <w:p w14:paraId="734657FA" w14:textId="77777777" w:rsidR="00F73A38" w:rsidRPr="00EA334D" w:rsidRDefault="00F73A38" w:rsidP="00105BC5">
            <w:pPr>
              <w:jc w:val="center"/>
            </w:pPr>
            <w:r w:rsidRPr="00EA334D">
              <w:t>J02</w:t>
            </w:r>
          </w:p>
        </w:tc>
        <w:tc>
          <w:tcPr>
            <w:tcW w:w="8332" w:type="dxa"/>
            <w:noWrap/>
            <w:hideMark/>
          </w:tcPr>
          <w:p w14:paraId="6CA9FADE" w14:textId="77777777" w:rsidR="00F73A38" w:rsidRPr="00EA334D" w:rsidRDefault="00F73A38" w:rsidP="00105BC5">
            <w:r w:rsidRPr="00EA334D">
              <w:t>Poluarea apei marine din surse mixte (marine și de coastă)</w:t>
            </w:r>
          </w:p>
        </w:tc>
      </w:tr>
      <w:tr w:rsidR="00F73A38" w:rsidRPr="00EA334D" w14:paraId="0CE884E0" w14:textId="77777777" w:rsidTr="00105BC5">
        <w:trPr>
          <w:trHeight w:val="300"/>
        </w:trPr>
        <w:tc>
          <w:tcPr>
            <w:tcW w:w="1019" w:type="dxa"/>
            <w:noWrap/>
            <w:hideMark/>
          </w:tcPr>
          <w:p w14:paraId="2C2D1130" w14:textId="77777777" w:rsidR="00F73A38" w:rsidRPr="00EA334D" w:rsidRDefault="00F73A38" w:rsidP="00105BC5">
            <w:pPr>
              <w:jc w:val="center"/>
            </w:pPr>
            <w:r w:rsidRPr="00EA334D">
              <w:t>J03</w:t>
            </w:r>
          </w:p>
        </w:tc>
        <w:tc>
          <w:tcPr>
            <w:tcW w:w="8332" w:type="dxa"/>
            <w:noWrap/>
            <w:hideMark/>
          </w:tcPr>
          <w:p w14:paraId="57F92AB7" w14:textId="77777777" w:rsidR="00F73A38" w:rsidRPr="00EA334D" w:rsidRDefault="00F73A38" w:rsidP="00105BC5">
            <w:r w:rsidRPr="00EA334D">
              <w:t>Poluarea aerului din surse mixte, poluanți transmisi de aer</w:t>
            </w:r>
          </w:p>
        </w:tc>
      </w:tr>
      <w:tr w:rsidR="00F73A38" w:rsidRPr="00EA334D" w14:paraId="5D178BDF" w14:textId="77777777" w:rsidTr="00105BC5">
        <w:trPr>
          <w:trHeight w:val="300"/>
        </w:trPr>
        <w:tc>
          <w:tcPr>
            <w:tcW w:w="1019" w:type="dxa"/>
            <w:noWrap/>
            <w:hideMark/>
          </w:tcPr>
          <w:p w14:paraId="4F3E4969" w14:textId="77777777" w:rsidR="00F73A38" w:rsidRPr="00EA334D" w:rsidRDefault="00F73A38" w:rsidP="00105BC5">
            <w:pPr>
              <w:jc w:val="center"/>
            </w:pPr>
            <w:r w:rsidRPr="00EA334D">
              <w:t>J04</w:t>
            </w:r>
          </w:p>
        </w:tc>
        <w:tc>
          <w:tcPr>
            <w:tcW w:w="8332" w:type="dxa"/>
            <w:noWrap/>
            <w:hideMark/>
          </w:tcPr>
          <w:p w14:paraId="2393184A" w14:textId="77777777" w:rsidR="00F73A38" w:rsidRPr="00EA334D" w:rsidRDefault="00F73A38" w:rsidP="00105BC5">
            <w:r w:rsidRPr="00EA334D">
              <w:t>Poluarea solului din surse mixte cu deșeuri solide (cu excepția deversărilor)</w:t>
            </w:r>
          </w:p>
        </w:tc>
      </w:tr>
      <w:tr w:rsidR="00F73A38" w:rsidRPr="00514649" w14:paraId="6A2A7125" w14:textId="77777777" w:rsidTr="00105BC5">
        <w:trPr>
          <w:trHeight w:val="300"/>
        </w:trPr>
        <w:tc>
          <w:tcPr>
            <w:tcW w:w="1019" w:type="dxa"/>
            <w:noWrap/>
            <w:hideMark/>
          </w:tcPr>
          <w:p w14:paraId="6B5DE4AB" w14:textId="77777777" w:rsidR="00F73A38" w:rsidRPr="00EA334D" w:rsidRDefault="00F73A38" w:rsidP="00105BC5">
            <w:pPr>
              <w:jc w:val="center"/>
            </w:pPr>
            <w:r w:rsidRPr="00EA334D">
              <w:t>J05</w:t>
            </w:r>
          </w:p>
        </w:tc>
        <w:tc>
          <w:tcPr>
            <w:tcW w:w="8332" w:type="dxa"/>
            <w:noWrap/>
            <w:hideMark/>
          </w:tcPr>
          <w:p w14:paraId="0C1A5B3A" w14:textId="77777777" w:rsidR="00F73A38" w:rsidRPr="00EA334D" w:rsidRDefault="00F73A38" w:rsidP="00105BC5">
            <w:r w:rsidRPr="00EA334D">
              <w:t>Exces de sursă mixtă de energie</w:t>
            </w:r>
          </w:p>
        </w:tc>
      </w:tr>
      <w:tr w:rsidR="00F73A38" w:rsidRPr="00514649" w14:paraId="7620D6EB" w14:textId="77777777" w:rsidTr="00105BC5">
        <w:trPr>
          <w:trHeight w:val="300"/>
        </w:trPr>
        <w:tc>
          <w:tcPr>
            <w:tcW w:w="1019" w:type="dxa"/>
            <w:noWrap/>
            <w:hideMark/>
          </w:tcPr>
          <w:p w14:paraId="794397AB" w14:textId="77777777" w:rsidR="00F73A38" w:rsidRPr="00EA334D" w:rsidRDefault="00F73A38" w:rsidP="00105BC5">
            <w:pPr>
              <w:jc w:val="center"/>
            </w:pPr>
            <w:r w:rsidRPr="00EA334D">
              <w:t>K</w:t>
            </w:r>
          </w:p>
        </w:tc>
        <w:tc>
          <w:tcPr>
            <w:tcW w:w="8332" w:type="dxa"/>
            <w:noWrap/>
            <w:hideMark/>
          </w:tcPr>
          <w:p w14:paraId="311E654C" w14:textId="77777777" w:rsidR="00F73A38" w:rsidRPr="00EA334D" w:rsidRDefault="00F73A38" w:rsidP="00105BC5">
            <w:r w:rsidRPr="00EA334D">
              <w:t>Modificări provocate de om în regimurile de apă</w:t>
            </w:r>
          </w:p>
        </w:tc>
      </w:tr>
      <w:tr w:rsidR="00F73A38" w:rsidRPr="00514649" w14:paraId="404A5C2E" w14:textId="77777777" w:rsidTr="00105BC5">
        <w:trPr>
          <w:trHeight w:val="300"/>
        </w:trPr>
        <w:tc>
          <w:tcPr>
            <w:tcW w:w="1019" w:type="dxa"/>
            <w:noWrap/>
            <w:hideMark/>
          </w:tcPr>
          <w:p w14:paraId="64E1EC0E" w14:textId="77777777" w:rsidR="00F73A38" w:rsidRPr="00EA334D" w:rsidRDefault="00F73A38" w:rsidP="00105BC5">
            <w:pPr>
              <w:jc w:val="center"/>
            </w:pPr>
            <w:r w:rsidRPr="00EA334D">
              <w:t>K01</w:t>
            </w:r>
          </w:p>
        </w:tc>
        <w:tc>
          <w:tcPr>
            <w:tcW w:w="8332" w:type="dxa"/>
            <w:noWrap/>
            <w:hideMark/>
          </w:tcPr>
          <w:p w14:paraId="4A29CA80" w14:textId="77777777" w:rsidR="00F73A38" w:rsidRPr="00EA334D" w:rsidRDefault="00F73A38" w:rsidP="00105BC5">
            <w:r w:rsidRPr="00EA334D">
              <w:t>Extragere de ape subterane, de suprafață sau de apă mixtă</w:t>
            </w:r>
          </w:p>
        </w:tc>
      </w:tr>
      <w:tr w:rsidR="00F73A38" w:rsidRPr="00514649" w14:paraId="051310FB" w14:textId="77777777" w:rsidTr="00105BC5">
        <w:trPr>
          <w:trHeight w:val="300"/>
        </w:trPr>
        <w:tc>
          <w:tcPr>
            <w:tcW w:w="1019" w:type="dxa"/>
            <w:noWrap/>
            <w:hideMark/>
          </w:tcPr>
          <w:p w14:paraId="7FBF15B7" w14:textId="77777777" w:rsidR="00F73A38" w:rsidRPr="00EA334D" w:rsidRDefault="00F73A38" w:rsidP="00105BC5">
            <w:pPr>
              <w:jc w:val="center"/>
            </w:pPr>
            <w:r w:rsidRPr="00EA334D">
              <w:t>K02</w:t>
            </w:r>
          </w:p>
        </w:tc>
        <w:tc>
          <w:tcPr>
            <w:tcW w:w="8332" w:type="dxa"/>
            <w:noWrap/>
            <w:hideMark/>
          </w:tcPr>
          <w:p w14:paraId="60B118D8" w14:textId="77777777" w:rsidR="00F73A38" w:rsidRPr="00EA334D" w:rsidRDefault="00F73A38" w:rsidP="00105BC5">
            <w:r w:rsidRPr="00EA334D">
              <w:t>Drenaj</w:t>
            </w:r>
          </w:p>
        </w:tc>
      </w:tr>
      <w:tr w:rsidR="00F73A38" w:rsidRPr="00514649" w14:paraId="1E5F3D8D" w14:textId="77777777" w:rsidTr="00105BC5">
        <w:trPr>
          <w:trHeight w:val="300"/>
        </w:trPr>
        <w:tc>
          <w:tcPr>
            <w:tcW w:w="1019" w:type="dxa"/>
            <w:noWrap/>
            <w:hideMark/>
          </w:tcPr>
          <w:p w14:paraId="477F1FFC" w14:textId="77777777" w:rsidR="00F73A38" w:rsidRPr="00EA334D" w:rsidRDefault="00F73A38" w:rsidP="00105BC5">
            <w:pPr>
              <w:jc w:val="center"/>
            </w:pPr>
            <w:r w:rsidRPr="00EA334D">
              <w:t>K04</w:t>
            </w:r>
          </w:p>
        </w:tc>
        <w:tc>
          <w:tcPr>
            <w:tcW w:w="8332" w:type="dxa"/>
            <w:noWrap/>
            <w:hideMark/>
          </w:tcPr>
          <w:p w14:paraId="72FAE63A" w14:textId="77777777" w:rsidR="00F73A38" w:rsidRPr="00EA334D" w:rsidRDefault="00F73A38" w:rsidP="00105BC5">
            <w:r w:rsidRPr="00EA334D">
              <w:t>Modificarea debitului hidrologic</w:t>
            </w:r>
          </w:p>
        </w:tc>
      </w:tr>
      <w:tr w:rsidR="00F73A38" w:rsidRPr="00514649" w14:paraId="7A4EF34D" w14:textId="77777777" w:rsidTr="00105BC5">
        <w:trPr>
          <w:trHeight w:val="300"/>
        </w:trPr>
        <w:tc>
          <w:tcPr>
            <w:tcW w:w="1019" w:type="dxa"/>
            <w:noWrap/>
            <w:hideMark/>
          </w:tcPr>
          <w:p w14:paraId="46C91513" w14:textId="77777777" w:rsidR="00F73A38" w:rsidRPr="00EA334D" w:rsidRDefault="00F73A38" w:rsidP="00105BC5">
            <w:pPr>
              <w:jc w:val="center"/>
            </w:pPr>
            <w:r w:rsidRPr="00EA334D">
              <w:t>K05</w:t>
            </w:r>
          </w:p>
        </w:tc>
        <w:tc>
          <w:tcPr>
            <w:tcW w:w="8332" w:type="dxa"/>
            <w:noWrap/>
            <w:hideMark/>
          </w:tcPr>
          <w:p w14:paraId="2B3A655A" w14:textId="77777777" w:rsidR="00F73A38" w:rsidRPr="00EA334D" w:rsidRDefault="00F73A38" w:rsidP="00105BC5">
            <w:r w:rsidRPr="00EA334D">
              <w:t>Alterarea fizică a corpurilor de apă</w:t>
            </w:r>
          </w:p>
        </w:tc>
      </w:tr>
      <w:tr w:rsidR="00F73A38" w:rsidRPr="00514649" w14:paraId="1F09D288" w14:textId="77777777" w:rsidTr="00105BC5">
        <w:trPr>
          <w:trHeight w:val="300"/>
        </w:trPr>
        <w:tc>
          <w:tcPr>
            <w:tcW w:w="1019" w:type="dxa"/>
            <w:noWrap/>
            <w:hideMark/>
          </w:tcPr>
          <w:p w14:paraId="41D8C75C" w14:textId="77777777" w:rsidR="00F73A38" w:rsidRPr="00EA334D" w:rsidRDefault="00F73A38" w:rsidP="00105BC5">
            <w:pPr>
              <w:jc w:val="center"/>
            </w:pPr>
            <w:r w:rsidRPr="00EA334D">
              <w:t>L</w:t>
            </w:r>
          </w:p>
        </w:tc>
        <w:tc>
          <w:tcPr>
            <w:tcW w:w="8332" w:type="dxa"/>
            <w:noWrap/>
            <w:hideMark/>
          </w:tcPr>
          <w:p w14:paraId="3464EDF6" w14:textId="77777777" w:rsidR="00F73A38" w:rsidRPr="00EA334D" w:rsidRDefault="00F73A38" w:rsidP="00105BC5">
            <w:r w:rsidRPr="00EA334D">
              <w:t>Procese naturale (excluzând catastrofele și procesele induse de activitatea umană sau schimbările climatice)</w:t>
            </w:r>
          </w:p>
        </w:tc>
      </w:tr>
      <w:tr w:rsidR="00F73A38" w:rsidRPr="00EA334D" w14:paraId="19F46AEC" w14:textId="77777777" w:rsidTr="00105BC5">
        <w:trPr>
          <w:trHeight w:val="300"/>
        </w:trPr>
        <w:tc>
          <w:tcPr>
            <w:tcW w:w="1019" w:type="dxa"/>
            <w:noWrap/>
            <w:hideMark/>
          </w:tcPr>
          <w:p w14:paraId="56DE6EEA" w14:textId="77777777" w:rsidR="00F73A38" w:rsidRPr="00EA334D" w:rsidRDefault="00F73A38" w:rsidP="00105BC5">
            <w:pPr>
              <w:jc w:val="center"/>
            </w:pPr>
            <w:r w:rsidRPr="00EA334D">
              <w:t>L01</w:t>
            </w:r>
          </w:p>
        </w:tc>
        <w:tc>
          <w:tcPr>
            <w:tcW w:w="8332" w:type="dxa"/>
            <w:noWrap/>
            <w:hideMark/>
          </w:tcPr>
          <w:p w14:paraId="2E51FA19" w14:textId="77777777" w:rsidR="00F73A38" w:rsidRPr="00EA334D" w:rsidRDefault="00F73A38" w:rsidP="00105BC5">
            <w:r w:rsidRPr="00EA334D">
              <w:t>Procese naturale abiotice (de exemplu, eroziune, colmatare, desertificare, submersiune, salinizare)</w:t>
            </w:r>
          </w:p>
        </w:tc>
      </w:tr>
      <w:tr w:rsidR="00F73A38" w:rsidRPr="00EA334D" w14:paraId="7BFFB235" w14:textId="77777777" w:rsidTr="00105BC5">
        <w:trPr>
          <w:trHeight w:val="300"/>
        </w:trPr>
        <w:tc>
          <w:tcPr>
            <w:tcW w:w="1019" w:type="dxa"/>
            <w:noWrap/>
            <w:hideMark/>
          </w:tcPr>
          <w:p w14:paraId="50B6B168" w14:textId="77777777" w:rsidR="00F73A38" w:rsidRPr="00EA334D" w:rsidRDefault="00F73A38" w:rsidP="00105BC5">
            <w:pPr>
              <w:jc w:val="center"/>
            </w:pPr>
            <w:r w:rsidRPr="00EA334D">
              <w:t>L02</w:t>
            </w:r>
          </w:p>
        </w:tc>
        <w:tc>
          <w:tcPr>
            <w:tcW w:w="8332" w:type="dxa"/>
            <w:noWrap/>
            <w:hideMark/>
          </w:tcPr>
          <w:p w14:paraId="0BC0BC2D" w14:textId="77777777" w:rsidR="00F73A38" w:rsidRPr="00EA334D" w:rsidRDefault="00F73A38" w:rsidP="00105BC5">
            <w:r w:rsidRPr="00EA334D">
              <w:t>Succesiunea naturală care rezultă în schimbarea compoziției speciilor (cu excepția modificărilor directe ale practicilor agricole sau forestiere)</w:t>
            </w:r>
          </w:p>
        </w:tc>
      </w:tr>
      <w:tr w:rsidR="00F73A38" w:rsidRPr="00EA334D" w14:paraId="68301929" w14:textId="77777777" w:rsidTr="00105BC5">
        <w:trPr>
          <w:trHeight w:val="300"/>
        </w:trPr>
        <w:tc>
          <w:tcPr>
            <w:tcW w:w="1019" w:type="dxa"/>
            <w:noWrap/>
            <w:hideMark/>
          </w:tcPr>
          <w:p w14:paraId="1B648D5F" w14:textId="77777777" w:rsidR="00F73A38" w:rsidRPr="00EA334D" w:rsidRDefault="00F73A38" w:rsidP="00105BC5">
            <w:pPr>
              <w:jc w:val="center"/>
            </w:pPr>
            <w:r w:rsidRPr="00EA334D">
              <w:t>L03</w:t>
            </w:r>
          </w:p>
        </w:tc>
        <w:tc>
          <w:tcPr>
            <w:tcW w:w="8332" w:type="dxa"/>
            <w:noWrap/>
            <w:hideMark/>
          </w:tcPr>
          <w:p w14:paraId="7B904190" w14:textId="77777777" w:rsidR="00F73A38" w:rsidRPr="00EA334D" w:rsidRDefault="00F73A38" w:rsidP="00105BC5">
            <w:r w:rsidRPr="00EA334D">
              <w:t>Acumularea de material organic</w:t>
            </w:r>
          </w:p>
        </w:tc>
      </w:tr>
      <w:tr w:rsidR="00F73A38" w:rsidRPr="00514649" w14:paraId="32445510" w14:textId="77777777" w:rsidTr="00105BC5">
        <w:trPr>
          <w:trHeight w:val="300"/>
        </w:trPr>
        <w:tc>
          <w:tcPr>
            <w:tcW w:w="1019" w:type="dxa"/>
            <w:noWrap/>
            <w:hideMark/>
          </w:tcPr>
          <w:p w14:paraId="184230CF" w14:textId="77777777" w:rsidR="00F73A38" w:rsidRPr="00EA334D" w:rsidRDefault="00F73A38" w:rsidP="00105BC5">
            <w:pPr>
              <w:jc w:val="center"/>
            </w:pPr>
            <w:r w:rsidRPr="00EA334D">
              <w:t>L04</w:t>
            </w:r>
          </w:p>
        </w:tc>
        <w:tc>
          <w:tcPr>
            <w:tcW w:w="8332" w:type="dxa"/>
            <w:noWrap/>
            <w:hideMark/>
          </w:tcPr>
          <w:p w14:paraId="3E5732CA" w14:textId="77777777" w:rsidR="00F73A38" w:rsidRPr="00EA334D" w:rsidRDefault="00F73A38" w:rsidP="00105BC5">
            <w:r w:rsidRPr="00EA334D">
              <w:t>Procese naturale de eutrofizare sau acidificare</w:t>
            </w:r>
          </w:p>
        </w:tc>
      </w:tr>
      <w:tr w:rsidR="00F73A38" w:rsidRPr="00514649" w14:paraId="39CBB1C1" w14:textId="77777777" w:rsidTr="00105BC5">
        <w:trPr>
          <w:trHeight w:val="300"/>
        </w:trPr>
        <w:tc>
          <w:tcPr>
            <w:tcW w:w="1019" w:type="dxa"/>
            <w:noWrap/>
            <w:hideMark/>
          </w:tcPr>
          <w:p w14:paraId="02800CF3" w14:textId="77777777" w:rsidR="00F73A38" w:rsidRPr="00EA334D" w:rsidRDefault="00F73A38" w:rsidP="00105BC5">
            <w:pPr>
              <w:jc w:val="center"/>
            </w:pPr>
            <w:r w:rsidRPr="00EA334D">
              <w:t>L06</w:t>
            </w:r>
          </w:p>
        </w:tc>
        <w:tc>
          <w:tcPr>
            <w:tcW w:w="8332" w:type="dxa"/>
            <w:noWrap/>
            <w:hideMark/>
          </w:tcPr>
          <w:p w14:paraId="057D7A5B" w14:textId="77777777" w:rsidR="00F73A38" w:rsidRPr="00EA334D" w:rsidRDefault="00F73A38" w:rsidP="00105BC5">
            <w:r w:rsidRPr="00EA334D">
              <w:t>Relații interspecifice (concurență, prădare, parazitism, agenți patogeni)</w:t>
            </w:r>
          </w:p>
        </w:tc>
      </w:tr>
      <w:tr w:rsidR="00F73A38" w:rsidRPr="00514649" w14:paraId="2E0F3277" w14:textId="77777777" w:rsidTr="00105BC5">
        <w:trPr>
          <w:trHeight w:val="300"/>
        </w:trPr>
        <w:tc>
          <w:tcPr>
            <w:tcW w:w="1019" w:type="dxa"/>
            <w:noWrap/>
            <w:hideMark/>
          </w:tcPr>
          <w:p w14:paraId="566F0887" w14:textId="77777777" w:rsidR="00F73A38" w:rsidRPr="00EA334D" w:rsidRDefault="00F73A38" w:rsidP="00105BC5">
            <w:pPr>
              <w:jc w:val="center"/>
            </w:pPr>
            <w:r w:rsidRPr="00EA334D">
              <w:t>M</w:t>
            </w:r>
          </w:p>
        </w:tc>
        <w:tc>
          <w:tcPr>
            <w:tcW w:w="8332" w:type="dxa"/>
            <w:noWrap/>
            <w:hideMark/>
          </w:tcPr>
          <w:p w14:paraId="7CA70246" w14:textId="77777777" w:rsidR="00F73A38" w:rsidRPr="00EA334D" w:rsidRDefault="00F73A38" w:rsidP="00105BC5">
            <w:r w:rsidRPr="00EA334D">
              <w:t>Evenimente geologice, catastrofe naturale</w:t>
            </w:r>
          </w:p>
        </w:tc>
      </w:tr>
      <w:tr w:rsidR="00F73A38" w:rsidRPr="00EA334D" w14:paraId="0B71178F" w14:textId="77777777" w:rsidTr="00105BC5">
        <w:trPr>
          <w:trHeight w:val="300"/>
        </w:trPr>
        <w:tc>
          <w:tcPr>
            <w:tcW w:w="1019" w:type="dxa"/>
            <w:noWrap/>
            <w:hideMark/>
          </w:tcPr>
          <w:p w14:paraId="180FBC99" w14:textId="77777777" w:rsidR="00F73A38" w:rsidRPr="00EA334D" w:rsidRDefault="00F73A38" w:rsidP="00105BC5">
            <w:pPr>
              <w:jc w:val="center"/>
            </w:pPr>
            <w:r w:rsidRPr="00EA334D">
              <w:t>M02</w:t>
            </w:r>
          </w:p>
        </w:tc>
        <w:tc>
          <w:tcPr>
            <w:tcW w:w="8332" w:type="dxa"/>
            <w:noWrap/>
            <w:hideMark/>
          </w:tcPr>
          <w:p w14:paraId="2EC30A5B" w14:textId="77777777" w:rsidR="00F73A38" w:rsidRPr="00EA334D" w:rsidRDefault="00F73A38" w:rsidP="00105BC5">
            <w:r w:rsidRPr="00EA334D">
              <w:t>Valuri de maree, tsunami</w:t>
            </w:r>
          </w:p>
        </w:tc>
      </w:tr>
      <w:tr w:rsidR="00F73A38" w:rsidRPr="00514649" w14:paraId="6BE1D238" w14:textId="77777777" w:rsidTr="00105BC5">
        <w:trPr>
          <w:trHeight w:val="300"/>
        </w:trPr>
        <w:tc>
          <w:tcPr>
            <w:tcW w:w="1019" w:type="dxa"/>
            <w:noWrap/>
            <w:hideMark/>
          </w:tcPr>
          <w:p w14:paraId="0CA17BE7" w14:textId="77777777" w:rsidR="00F73A38" w:rsidRPr="00EA334D" w:rsidRDefault="00F73A38" w:rsidP="00105BC5">
            <w:pPr>
              <w:jc w:val="center"/>
            </w:pPr>
            <w:r w:rsidRPr="00EA334D">
              <w:t>M03</w:t>
            </w:r>
          </w:p>
        </w:tc>
        <w:tc>
          <w:tcPr>
            <w:tcW w:w="8332" w:type="dxa"/>
            <w:noWrap/>
            <w:hideMark/>
          </w:tcPr>
          <w:p w14:paraId="2A1B142D" w14:textId="77777777" w:rsidR="00F73A38" w:rsidRPr="00EA334D" w:rsidRDefault="00F73A38" w:rsidP="00105BC5">
            <w:r w:rsidRPr="00EA334D">
              <w:t>Cutremure</w:t>
            </w:r>
          </w:p>
        </w:tc>
      </w:tr>
      <w:tr w:rsidR="00F73A38" w:rsidRPr="00514649" w14:paraId="6A893D70" w14:textId="77777777" w:rsidTr="00105BC5">
        <w:trPr>
          <w:trHeight w:val="300"/>
        </w:trPr>
        <w:tc>
          <w:tcPr>
            <w:tcW w:w="1019" w:type="dxa"/>
            <w:noWrap/>
            <w:hideMark/>
          </w:tcPr>
          <w:p w14:paraId="514AA04F" w14:textId="77777777" w:rsidR="00F73A38" w:rsidRPr="00EA334D" w:rsidRDefault="00F73A38" w:rsidP="00105BC5">
            <w:pPr>
              <w:jc w:val="center"/>
            </w:pPr>
            <w:r w:rsidRPr="00EA334D">
              <w:t>M05</w:t>
            </w:r>
          </w:p>
        </w:tc>
        <w:tc>
          <w:tcPr>
            <w:tcW w:w="8332" w:type="dxa"/>
            <w:noWrap/>
            <w:hideMark/>
          </w:tcPr>
          <w:p w14:paraId="36F4DB2E" w14:textId="77777777" w:rsidR="00F73A38" w:rsidRPr="00EA334D" w:rsidRDefault="00F73A38" w:rsidP="00105BC5">
            <w:r w:rsidRPr="00EA334D">
              <w:t>Prabusirea terenului, alunecare de teren</w:t>
            </w:r>
          </w:p>
        </w:tc>
      </w:tr>
      <w:tr w:rsidR="00F73A38" w:rsidRPr="00EA334D" w14:paraId="71918BC2" w14:textId="77777777" w:rsidTr="00105BC5">
        <w:trPr>
          <w:trHeight w:val="300"/>
        </w:trPr>
        <w:tc>
          <w:tcPr>
            <w:tcW w:w="1019" w:type="dxa"/>
            <w:noWrap/>
            <w:hideMark/>
          </w:tcPr>
          <w:p w14:paraId="2E06E7B3" w14:textId="77777777" w:rsidR="00F73A38" w:rsidRPr="00EA334D" w:rsidRDefault="00F73A38" w:rsidP="00105BC5">
            <w:pPr>
              <w:jc w:val="center"/>
            </w:pPr>
            <w:r w:rsidRPr="00EA334D">
              <w:lastRenderedPageBreak/>
              <w:t>M07</w:t>
            </w:r>
          </w:p>
        </w:tc>
        <w:tc>
          <w:tcPr>
            <w:tcW w:w="8332" w:type="dxa"/>
            <w:noWrap/>
            <w:hideMark/>
          </w:tcPr>
          <w:p w14:paraId="59F39B16" w14:textId="77777777" w:rsidR="00F73A38" w:rsidRPr="00EA334D" w:rsidRDefault="00F73A38" w:rsidP="00105BC5">
            <w:r w:rsidRPr="00EA334D">
              <w:t>Furtună, ciclon</w:t>
            </w:r>
          </w:p>
        </w:tc>
      </w:tr>
      <w:tr w:rsidR="00F73A38" w:rsidRPr="00EA334D" w14:paraId="6A11C9E1" w14:textId="77777777" w:rsidTr="00105BC5">
        <w:trPr>
          <w:trHeight w:val="300"/>
        </w:trPr>
        <w:tc>
          <w:tcPr>
            <w:tcW w:w="1019" w:type="dxa"/>
            <w:noWrap/>
            <w:hideMark/>
          </w:tcPr>
          <w:p w14:paraId="77AB7979" w14:textId="77777777" w:rsidR="00F73A38" w:rsidRPr="00EA334D" w:rsidRDefault="00F73A38" w:rsidP="00105BC5">
            <w:pPr>
              <w:jc w:val="center"/>
            </w:pPr>
            <w:r w:rsidRPr="00EA334D">
              <w:t>M08</w:t>
            </w:r>
          </w:p>
        </w:tc>
        <w:tc>
          <w:tcPr>
            <w:tcW w:w="8332" w:type="dxa"/>
            <w:noWrap/>
            <w:hideMark/>
          </w:tcPr>
          <w:p w14:paraId="08601BA9" w14:textId="77777777" w:rsidR="00F73A38" w:rsidRPr="00EA334D" w:rsidRDefault="00F73A38" w:rsidP="00105BC5">
            <w:r w:rsidRPr="00EA334D">
              <w:t>Inundații (procese naturale)</w:t>
            </w:r>
          </w:p>
        </w:tc>
      </w:tr>
      <w:tr w:rsidR="00F73A38" w:rsidRPr="00EA334D" w14:paraId="02B78084" w14:textId="77777777" w:rsidTr="00105BC5">
        <w:trPr>
          <w:trHeight w:val="300"/>
        </w:trPr>
        <w:tc>
          <w:tcPr>
            <w:tcW w:w="1019" w:type="dxa"/>
            <w:noWrap/>
            <w:hideMark/>
          </w:tcPr>
          <w:p w14:paraId="477AB260" w14:textId="77777777" w:rsidR="00F73A38" w:rsidRPr="00EA334D" w:rsidRDefault="00F73A38" w:rsidP="00105BC5">
            <w:pPr>
              <w:jc w:val="center"/>
            </w:pPr>
            <w:r w:rsidRPr="00EA334D">
              <w:t>M09</w:t>
            </w:r>
          </w:p>
        </w:tc>
        <w:tc>
          <w:tcPr>
            <w:tcW w:w="8332" w:type="dxa"/>
            <w:noWrap/>
            <w:hideMark/>
          </w:tcPr>
          <w:p w14:paraId="4919ED75" w14:textId="77777777" w:rsidR="00F73A38" w:rsidRPr="00EA334D" w:rsidRDefault="00F73A38" w:rsidP="00105BC5">
            <w:r w:rsidRPr="00EA334D">
              <w:t>Foc (natural)</w:t>
            </w:r>
          </w:p>
        </w:tc>
      </w:tr>
      <w:tr w:rsidR="00F73A38" w:rsidRPr="00514649" w14:paraId="69391950" w14:textId="77777777" w:rsidTr="00105BC5">
        <w:trPr>
          <w:trHeight w:val="300"/>
        </w:trPr>
        <w:tc>
          <w:tcPr>
            <w:tcW w:w="1019" w:type="dxa"/>
            <w:noWrap/>
            <w:hideMark/>
          </w:tcPr>
          <w:p w14:paraId="54CA07B7" w14:textId="77777777" w:rsidR="00F73A38" w:rsidRPr="00EA334D" w:rsidRDefault="00F73A38" w:rsidP="00105BC5">
            <w:pPr>
              <w:jc w:val="center"/>
            </w:pPr>
            <w:r w:rsidRPr="00EA334D">
              <w:t>M10</w:t>
            </w:r>
          </w:p>
        </w:tc>
        <w:tc>
          <w:tcPr>
            <w:tcW w:w="8332" w:type="dxa"/>
            <w:noWrap/>
            <w:hideMark/>
          </w:tcPr>
          <w:p w14:paraId="6596E76C" w14:textId="77777777" w:rsidR="00F73A38" w:rsidRPr="00EA334D" w:rsidRDefault="00F73A38" w:rsidP="00105BC5">
            <w:r w:rsidRPr="00EA334D">
              <w:t>Alte catastrofe naturale</w:t>
            </w:r>
          </w:p>
        </w:tc>
      </w:tr>
      <w:tr w:rsidR="00F73A38" w:rsidRPr="00EA334D" w14:paraId="59C98CBF" w14:textId="77777777" w:rsidTr="00105BC5">
        <w:trPr>
          <w:trHeight w:val="300"/>
        </w:trPr>
        <w:tc>
          <w:tcPr>
            <w:tcW w:w="1019" w:type="dxa"/>
            <w:noWrap/>
            <w:hideMark/>
          </w:tcPr>
          <w:p w14:paraId="4E8CEE4C" w14:textId="77777777" w:rsidR="00F73A38" w:rsidRPr="00EA334D" w:rsidRDefault="00F73A38" w:rsidP="00105BC5">
            <w:pPr>
              <w:jc w:val="center"/>
            </w:pPr>
            <w:r w:rsidRPr="00EA334D">
              <w:t>N</w:t>
            </w:r>
          </w:p>
        </w:tc>
        <w:tc>
          <w:tcPr>
            <w:tcW w:w="8332" w:type="dxa"/>
            <w:noWrap/>
            <w:hideMark/>
          </w:tcPr>
          <w:p w14:paraId="0F9ECA74" w14:textId="77777777" w:rsidR="00F73A38" w:rsidRPr="00EA334D" w:rsidRDefault="00F73A38" w:rsidP="00105BC5">
            <w:r w:rsidRPr="00EA334D">
              <w:t>Schimbări climatice</w:t>
            </w:r>
          </w:p>
        </w:tc>
      </w:tr>
      <w:tr w:rsidR="00F73A38" w:rsidRPr="00EA334D" w14:paraId="1DDA5ADE" w14:textId="77777777" w:rsidTr="00105BC5">
        <w:trPr>
          <w:trHeight w:val="300"/>
        </w:trPr>
        <w:tc>
          <w:tcPr>
            <w:tcW w:w="1019" w:type="dxa"/>
            <w:noWrap/>
            <w:hideMark/>
          </w:tcPr>
          <w:p w14:paraId="2429559A" w14:textId="77777777" w:rsidR="00F73A38" w:rsidRPr="00EA334D" w:rsidRDefault="00F73A38" w:rsidP="00105BC5">
            <w:pPr>
              <w:jc w:val="center"/>
            </w:pPr>
            <w:r w:rsidRPr="00EA334D">
              <w:t>N01</w:t>
            </w:r>
          </w:p>
        </w:tc>
        <w:tc>
          <w:tcPr>
            <w:tcW w:w="8332" w:type="dxa"/>
            <w:noWrap/>
            <w:hideMark/>
          </w:tcPr>
          <w:p w14:paraId="60C5C318" w14:textId="77777777" w:rsidR="00F73A38" w:rsidRPr="00EA334D" w:rsidRDefault="00F73A38" w:rsidP="00105BC5">
            <w:r w:rsidRPr="00EA334D">
              <w:t>Schimbări de temperatură (de exemplu, creșterea temperaturii și extreme) din cauza schimbărilor climatice</w:t>
            </w:r>
          </w:p>
        </w:tc>
      </w:tr>
      <w:tr w:rsidR="00F73A38" w:rsidRPr="00EA334D" w14:paraId="43A1C23B" w14:textId="77777777" w:rsidTr="00105BC5">
        <w:trPr>
          <w:trHeight w:val="300"/>
        </w:trPr>
        <w:tc>
          <w:tcPr>
            <w:tcW w:w="1019" w:type="dxa"/>
            <w:noWrap/>
            <w:hideMark/>
          </w:tcPr>
          <w:p w14:paraId="5CDCC6BF" w14:textId="77777777" w:rsidR="00F73A38" w:rsidRPr="00EA334D" w:rsidRDefault="00F73A38" w:rsidP="00105BC5">
            <w:pPr>
              <w:jc w:val="center"/>
            </w:pPr>
            <w:r w:rsidRPr="00EA334D">
              <w:t>N02</w:t>
            </w:r>
          </w:p>
        </w:tc>
        <w:tc>
          <w:tcPr>
            <w:tcW w:w="8332" w:type="dxa"/>
            <w:noWrap/>
            <w:hideMark/>
          </w:tcPr>
          <w:p w14:paraId="1CC16DE6" w14:textId="77777777" w:rsidR="00F73A38" w:rsidRPr="00EA334D" w:rsidRDefault="00F73A38" w:rsidP="00105BC5">
            <w:r w:rsidRPr="00EA334D">
              <w:t>Seceta și scăderi ale precipitațiilor datorate schimbărilor climatice</w:t>
            </w:r>
          </w:p>
        </w:tc>
      </w:tr>
      <w:tr w:rsidR="00F73A38" w:rsidRPr="00EA334D" w14:paraId="2CECCAE4" w14:textId="77777777" w:rsidTr="00105BC5">
        <w:trPr>
          <w:trHeight w:val="300"/>
        </w:trPr>
        <w:tc>
          <w:tcPr>
            <w:tcW w:w="1019" w:type="dxa"/>
            <w:noWrap/>
            <w:hideMark/>
          </w:tcPr>
          <w:p w14:paraId="2FA53BAF" w14:textId="77777777" w:rsidR="00F73A38" w:rsidRPr="00EA334D" w:rsidRDefault="00F73A38" w:rsidP="00105BC5">
            <w:pPr>
              <w:jc w:val="center"/>
            </w:pPr>
            <w:r w:rsidRPr="00EA334D">
              <w:t>N03</w:t>
            </w:r>
          </w:p>
        </w:tc>
        <w:tc>
          <w:tcPr>
            <w:tcW w:w="8332" w:type="dxa"/>
            <w:noWrap/>
            <w:hideMark/>
          </w:tcPr>
          <w:p w14:paraId="70EF71C7" w14:textId="77777777" w:rsidR="00F73A38" w:rsidRPr="00EA334D" w:rsidRDefault="00F73A38" w:rsidP="00105BC5">
            <w:r w:rsidRPr="00EA334D">
              <w:t>Creșteri sau modificări ale precipitațiilor datorate schimbărilor climatice</w:t>
            </w:r>
          </w:p>
        </w:tc>
      </w:tr>
      <w:tr w:rsidR="00F73A38" w:rsidRPr="00EA334D" w14:paraId="641BA951" w14:textId="77777777" w:rsidTr="00105BC5">
        <w:trPr>
          <w:trHeight w:val="300"/>
        </w:trPr>
        <w:tc>
          <w:tcPr>
            <w:tcW w:w="1019" w:type="dxa"/>
            <w:noWrap/>
            <w:hideMark/>
          </w:tcPr>
          <w:p w14:paraId="13306060" w14:textId="77777777" w:rsidR="00F73A38" w:rsidRPr="00EA334D" w:rsidRDefault="00F73A38" w:rsidP="00105BC5">
            <w:pPr>
              <w:jc w:val="center"/>
            </w:pPr>
            <w:r w:rsidRPr="00EA334D">
              <w:t>N04</w:t>
            </w:r>
          </w:p>
        </w:tc>
        <w:tc>
          <w:tcPr>
            <w:tcW w:w="8332" w:type="dxa"/>
            <w:noWrap/>
            <w:hideMark/>
          </w:tcPr>
          <w:p w14:paraId="41EE0AA8" w14:textId="77777777" w:rsidR="00F73A38" w:rsidRPr="00EA334D" w:rsidRDefault="00F73A38" w:rsidP="00105BC5">
            <w:r w:rsidRPr="00EA334D">
              <w:t>Modificările la nivelul mării și la expunerea la val din cauza schimbărilor climatice</w:t>
            </w:r>
          </w:p>
        </w:tc>
      </w:tr>
      <w:tr w:rsidR="00F73A38" w:rsidRPr="00EA334D" w14:paraId="1E3CA12D" w14:textId="77777777" w:rsidTr="00105BC5">
        <w:trPr>
          <w:trHeight w:val="300"/>
        </w:trPr>
        <w:tc>
          <w:tcPr>
            <w:tcW w:w="1019" w:type="dxa"/>
            <w:noWrap/>
            <w:hideMark/>
          </w:tcPr>
          <w:p w14:paraId="143B83E9" w14:textId="77777777" w:rsidR="00F73A38" w:rsidRPr="00EA334D" w:rsidRDefault="00F73A38" w:rsidP="00105BC5">
            <w:pPr>
              <w:jc w:val="center"/>
            </w:pPr>
            <w:r w:rsidRPr="00EA334D">
              <w:t>N05</w:t>
            </w:r>
          </w:p>
        </w:tc>
        <w:tc>
          <w:tcPr>
            <w:tcW w:w="8332" w:type="dxa"/>
            <w:noWrap/>
            <w:hideMark/>
          </w:tcPr>
          <w:p w14:paraId="4A40424F" w14:textId="77777777" w:rsidR="00F73A38" w:rsidRPr="00EA334D" w:rsidRDefault="00F73A38" w:rsidP="00105BC5">
            <w:r w:rsidRPr="00EA334D">
              <w:t>Schimbarea locației, dimensiunii și / sau calității habitatului din cauza schimbărilor climatice</w:t>
            </w:r>
          </w:p>
        </w:tc>
      </w:tr>
      <w:tr w:rsidR="00F73A38" w:rsidRPr="00EA334D" w14:paraId="3E1336F3" w14:textId="77777777" w:rsidTr="00105BC5">
        <w:trPr>
          <w:trHeight w:val="300"/>
        </w:trPr>
        <w:tc>
          <w:tcPr>
            <w:tcW w:w="1019" w:type="dxa"/>
            <w:noWrap/>
            <w:hideMark/>
          </w:tcPr>
          <w:p w14:paraId="16FFF1F9" w14:textId="77777777" w:rsidR="00F73A38" w:rsidRPr="00EA334D" w:rsidRDefault="00F73A38" w:rsidP="00105BC5">
            <w:pPr>
              <w:jc w:val="center"/>
            </w:pPr>
            <w:r w:rsidRPr="00EA334D">
              <w:t>N06</w:t>
            </w:r>
          </w:p>
        </w:tc>
        <w:tc>
          <w:tcPr>
            <w:tcW w:w="8332" w:type="dxa"/>
            <w:noWrap/>
            <w:hideMark/>
          </w:tcPr>
          <w:p w14:paraId="73F2A0E4" w14:textId="77777777" w:rsidR="00F73A38" w:rsidRPr="00EA334D" w:rsidRDefault="00F73A38" w:rsidP="00105BC5">
            <w:r w:rsidRPr="00EA334D">
              <w:t>Desincronizarea proceselor biologice / ecologice datorate schimbărilor climatice</w:t>
            </w:r>
          </w:p>
        </w:tc>
      </w:tr>
      <w:tr w:rsidR="00F73A38" w:rsidRPr="00EA334D" w14:paraId="5126664F" w14:textId="77777777" w:rsidTr="00105BC5">
        <w:trPr>
          <w:trHeight w:val="300"/>
        </w:trPr>
        <w:tc>
          <w:tcPr>
            <w:tcW w:w="1019" w:type="dxa"/>
            <w:noWrap/>
            <w:hideMark/>
          </w:tcPr>
          <w:p w14:paraId="022FE651" w14:textId="77777777" w:rsidR="00F73A38" w:rsidRPr="00EA334D" w:rsidRDefault="00F73A38" w:rsidP="00105BC5">
            <w:pPr>
              <w:jc w:val="center"/>
            </w:pPr>
            <w:r w:rsidRPr="00EA334D">
              <w:t>N07</w:t>
            </w:r>
          </w:p>
        </w:tc>
        <w:tc>
          <w:tcPr>
            <w:tcW w:w="8332" w:type="dxa"/>
            <w:noWrap/>
            <w:hideMark/>
          </w:tcPr>
          <w:p w14:paraId="02A36355" w14:textId="77777777" w:rsidR="00F73A38" w:rsidRPr="00EA334D" w:rsidRDefault="00F73A38" w:rsidP="00105BC5">
            <w:r w:rsidRPr="00EA334D">
              <w:t>Declinul sau extinctia speciilor înrudite (de ex. sursa de hrana / prada, prădător / parazit, simbionti etc.) din cauza schimbărilor climatice</w:t>
            </w:r>
          </w:p>
        </w:tc>
      </w:tr>
      <w:tr w:rsidR="00F73A38" w:rsidRPr="00EA334D" w14:paraId="6A0D0160" w14:textId="77777777" w:rsidTr="00105BC5">
        <w:trPr>
          <w:trHeight w:val="300"/>
        </w:trPr>
        <w:tc>
          <w:tcPr>
            <w:tcW w:w="1019" w:type="dxa"/>
            <w:noWrap/>
            <w:hideMark/>
          </w:tcPr>
          <w:p w14:paraId="492FB88A" w14:textId="77777777" w:rsidR="00F73A38" w:rsidRPr="00EA334D" w:rsidRDefault="00F73A38" w:rsidP="00105BC5">
            <w:pPr>
              <w:jc w:val="center"/>
            </w:pPr>
            <w:r w:rsidRPr="00EA334D">
              <w:t>N08</w:t>
            </w:r>
          </w:p>
        </w:tc>
        <w:tc>
          <w:tcPr>
            <w:tcW w:w="8332" w:type="dxa"/>
            <w:noWrap/>
            <w:hideMark/>
          </w:tcPr>
          <w:p w14:paraId="46C76225" w14:textId="77777777" w:rsidR="00F73A38" w:rsidRPr="00EA334D" w:rsidRDefault="00F73A38" w:rsidP="00105BC5">
            <w:r w:rsidRPr="00EA334D">
              <w:t>Schimbarea distribuției speciilor (noii veniți naturali) din cauza schimbărilor climatice</w:t>
            </w:r>
          </w:p>
        </w:tc>
      </w:tr>
      <w:tr w:rsidR="00F73A38" w:rsidRPr="00514649" w14:paraId="348F3DAF" w14:textId="77777777" w:rsidTr="00105BC5">
        <w:trPr>
          <w:trHeight w:val="300"/>
        </w:trPr>
        <w:tc>
          <w:tcPr>
            <w:tcW w:w="1019" w:type="dxa"/>
            <w:noWrap/>
            <w:hideMark/>
          </w:tcPr>
          <w:p w14:paraId="0FFABB36" w14:textId="77777777" w:rsidR="00F73A38" w:rsidRPr="00EA334D" w:rsidRDefault="00F73A38" w:rsidP="00105BC5">
            <w:pPr>
              <w:jc w:val="center"/>
            </w:pPr>
            <w:r w:rsidRPr="00EA334D">
              <w:t>N09</w:t>
            </w:r>
          </w:p>
        </w:tc>
        <w:tc>
          <w:tcPr>
            <w:tcW w:w="8332" w:type="dxa"/>
            <w:noWrap/>
            <w:hideMark/>
          </w:tcPr>
          <w:p w14:paraId="20ECB959" w14:textId="77777777" w:rsidR="00F73A38" w:rsidRPr="00EA334D" w:rsidRDefault="00F73A38" w:rsidP="00105BC5">
            <w:r w:rsidRPr="00EA334D">
              <w:t>Alte schimbări legate de climă în condițiile abiotice</w:t>
            </w:r>
          </w:p>
        </w:tc>
      </w:tr>
      <w:tr w:rsidR="00F73A38" w:rsidRPr="00EA334D" w14:paraId="0D2F7AC1" w14:textId="77777777" w:rsidTr="00105BC5">
        <w:trPr>
          <w:trHeight w:val="300"/>
        </w:trPr>
        <w:tc>
          <w:tcPr>
            <w:tcW w:w="1019" w:type="dxa"/>
            <w:noWrap/>
            <w:hideMark/>
          </w:tcPr>
          <w:p w14:paraId="763E3ECF" w14:textId="77777777" w:rsidR="00F73A38" w:rsidRPr="00EA334D" w:rsidRDefault="00F73A38" w:rsidP="00105BC5">
            <w:pPr>
              <w:jc w:val="center"/>
            </w:pPr>
            <w:r w:rsidRPr="00EA334D">
              <w:t>X</w:t>
            </w:r>
          </w:p>
        </w:tc>
        <w:tc>
          <w:tcPr>
            <w:tcW w:w="8332" w:type="dxa"/>
            <w:noWrap/>
            <w:hideMark/>
          </w:tcPr>
          <w:p w14:paraId="4CFC7C0A" w14:textId="77777777" w:rsidR="00F73A38" w:rsidRPr="00EA334D" w:rsidRDefault="00F73A38" w:rsidP="00105BC5">
            <w:r w:rsidRPr="00EA334D">
              <w:t>Presiuni necunoscute, non-presiuni și presiuni din afara statului membru</w:t>
            </w:r>
          </w:p>
        </w:tc>
      </w:tr>
      <w:tr w:rsidR="00F73A38" w:rsidRPr="00EA334D" w14:paraId="16C4B8A0" w14:textId="77777777" w:rsidTr="00105BC5">
        <w:trPr>
          <w:trHeight w:val="300"/>
        </w:trPr>
        <w:tc>
          <w:tcPr>
            <w:tcW w:w="1019" w:type="dxa"/>
            <w:noWrap/>
            <w:hideMark/>
          </w:tcPr>
          <w:p w14:paraId="7184FFE6" w14:textId="77777777" w:rsidR="00F73A38" w:rsidRPr="00EA334D" w:rsidRDefault="00F73A38" w:rsidP="00105BC5">
            <w:pPr>
              <w:jc w:val="center"/>
            </w:pPr>
            <w:r w:rsidRPr="00EA334D">
              <w:t>Xu</w:t>
            </w:r>
          </w:p>
        </w:tc>
        <w:tc>
          <w:tcPr>
            <w:tcW w:w="8332" w:type="dxa"/>
            <w:noWrap/>
            <w:hideMark/>
          </w:tcPr>
          <w:p w14:paraId="165A06D4" w14:textId="77777777" w:rsidR="00F73A38" w:rsidRPr="00EA334D" w:rsidRDefault="00F73A38" w:rsidP="00105BC5">
            <w:r w:rsidRPr="00EA334D">
              <w:t>Presiuni necunoscute</w:t>
            </w:r>
          </w:p>
        </w:tc>
      </w:tr>
      <w:tr w:rsidR="00F73A38" w:rsidRPr="00EA334D" w14:paraId="2A14BD22" w14:textId="77777777" w:rsidTr="00105BC5">
        <w:trPr>
          <w:trHeight w:val="300"/>
        </w:trPr>
        <w:tc>
          <w:tcPr>
            <w:tcW w:w="1019" w:type="dxa"/>
            <w:noWrap/>
            <w:hideMark/>
          </w:tcPr>
          <w:p w14:paraId="13EBA227" w14:textId="77777777" w:rsidR="00F73A38" w:rsidRPr="00EA334D" w:rsidRDefault="00F73A38" w:rsidP="00105BC5">
            <w:pPr>
              <w:jc w:val="center"/>
            </w:pPr>
            <w:r w:rsidRPr="00EA334D">
              <w:t>Xxp</w:t>
            </w:r>
          </w:p>
        </w:tc>
        <w:tc>
          <w:tcPr>
            <w:tcW w:w="8332" w:type="dxa"/>
            <w:noWrap/>
            <w:hideMark/>
          </w:tcPr>
          <w:p w14:paraId="51B86558" w14:textId="77777777" w:rsidR="00F73A38" w:rsidRPr="00EA334D" w:rsidRDefault="00F73A38" w:rsidP="00105BC5">
            <w:r w:rsidRPr="00EA334D">
              <w:t>Fără presiuni</w:t>
            </w:r>
          </w:p>
        </w:tc>
      </w:tr>
      <w:tr w:rsidR="00F73A38" w:rsidRPr="00EA334D" w14:paraId="6D614FED" w14:textId="77777777" w:rsidTr="00105BC5">
        <w:trPr>
          <w:trHeight w:val="300"/>
        </w:trPr>
        <w:tc>
          <w:tcPr>
            <w:tcW w:w="1019" w:type="dxa"/>
            <w:noWrap/>
            <w:hideMark/>
          </w:tcPr>
          <w:p w14:paraId="78A884DC" w14:textId="77777777" w:rsidR="00F73A38" w:rsidRPr="00EA334D" w:rsidRDefault="00F73A38" w:rsidP="00105BC5">
            <w:pPr>
              <w:jc w:val="center"/>
            </w:pPr>
            <w:r w:rsidRPr="00EA334D">
              <w:t>Xxt</w:t>
            </w:r>
          </w:p>
        </w:tc>
        <w:tc>
          <w:tcPr>
            <w:tcW w:w="8332" w:type="dxa"/>
            <w:noWrap/>
            <w:hideMark/>
          </w:tcPr>
          <w:p w14:paraId="73FDDF02" w14:textId="77777777" w:rsidR="00F73A38" w:rsidRPr="00EA334D" w:rsidRDefault="00F73A38" w:rsidP="00105BC5">
            <w:r w:rsidRPr="00EA334D">
              <w:t>Fără amenințări</w:t>
            </w:r>
          </w:p>
        </w:tc>
      </w:tr>
      <w:tr w:rsidR="00F73A38" w:rsidRPr="00EA334D" w14:paraId="76F90502" w14:textId="77777777" w:rsidTr="00105BC5">
        <w:trPr>
          <w:trHeight w:val="300"/>
        </w:trPr>
        <w:tc>
          <w:tcPr>
            <w:tcW w:w="1019" w:type="dxa"/>
            <w:noWrap/>
            <w:hideMark/>
          </w:tcPr>
          <w:p w14:paraId="49442F35" w14:textId="77777777" w:rsidR="00F73A38" w:rsidRPr="00EA334D" w:rsidRDefault="00F73A38" w:rsidP="00105BC5">
            <w:pPr>
              <w:jc w:val="center"/>
            </w:pPr>
            <w:r w:rsidRPr="00EA334D">
              <w:t>Xp</w:t>
            </w:r>
          </w:p>
        </w:tc>
        <w:tc>
          <w:tcPr>
            <w:tcW w:w="8332" w:type="dxa"/>
            <w:noWrap/>
            <w:hideMark/>
          </w:tcPr>
          <w:p w14:paraId="57D3E4AF" w14:textId="77777777" w:rsidR="00F73A38" w:rsidRPr="00EA334D" w:rsidRDefault="00F73A38" w:rsidP="00105BC5">
            <w:r w:rsidRPr="00EA334D">
              <w:t>Nu există informații despre presiuni</w:t>
            </w:r>
          </w:p>
        </w:tc>
      </w:tr>
      <w:tr w:rsidR="00F73A38" w:rsidRPr="00EA334D" w14:paraId="68F530A2" w14:textId="77777777" w:rsidTr="00105BC5">
        <w:trPr>
          <w:trHeight w:val="300"/>
        </w:trPr>
        <w:tc>
          <w:tcPr>
            <w:tcW w:w="1019" w:type="dxa"/>
            <w:noWrap/>
            <w:hideMark/>
          </w:tcPr>
          <w:p w14:paraId="4A420C18" w14:textId="77777777" w:rsidR="00F73A38" w:rsidRPr="00EA334D" w:rsidRDefault="00F73A38" w:rsidP="00105BC5">
            <w:pPr>
              <w:jc w:val="center"/>
            </w:pPr>
            <w:r w:rsidRPr="00EA334D">
              <w:t>Xt</w:t>
            </w:r>
          </w:p>
        </w:tc>
        <w:tc>
          <w:tcPr>
            <w:tcW w:w="8332" w:type="dxa"/>
            <w:noWrap/>
            <w:hideMark/>
          </w:tcPr>
          <w:p w14:paraId="62D6E3FC" w14:textId="77777777" w:rsidR="00F73A38" w:rsidRPr="00EA334D" w:rsidRDefault="00F73A38" w:rsidP="00105BC5">
            <w:r w:rsidRPr="00EA334D">
              <w:t>Nu există informații despre amenințări</w:t>
            </w:r>
          </w:p>
        </w:tc>
      </w:tr>
      <w:tr w:rsidR="00F73A38" w:rsidRPr="00EA334D" w14:paraId="27DF15FA" w14:textId="77777777" w:rsidTr="00105BC5">
        <w:trPr>
          <w:trHeight w:val="300"/>
        </w:trPr>
        <w:tc>
          <w:tcPr>
            <w:tcW w:w="1019" w:type="dxa"/>
            <w:noWrap/>
            <w:hideMark/>
          </w:tcPr>
          <w:p w14:paraId="21579AE2" w14:textId="77777777" w:rsidR="00F73A38" w:rsidRPr="00EA334D" w:rsidRDefault="00F73A38" w:rsidP="00105BC5">
            <w:pPr>
              <w:jc w:val="center"/>
            </w:pPr>
            <w:r w:rsidRPr="00EA334D">
              <w:t>Xe</w:t>
            </w:r>
          </w:p>
        </w:tc>
        <w:tc>
          <w:tcPr>
            <w:tcW w:w="8332" w:type="dxa"/>
            <w:noWrap/>
            <w:hideMark/>
          </w:tcPr>
          <w:p w14:paraId="38DD9663" w14:textId="77777777" w:rsidR="00F73A38" w:rsidRPr="00EA334D" w:rsidRDefault="00F73A38" w:rsidP="00105BC5">
            <w:r w:rsidRPr="00EA334D">
              <w:t>Amenințări și presiuni din afara teritoriului UE</w:t>
            </w:r>
          </w:p>
        </w:tc>
      </w:tr>
      <w:tr w:rsidR="00F73A38" w:rsidRPr="00514649" w14:paraId="49507025" w14:textId="77777777" w:rsidTr="00105BC5">
        <w:trPr>
          <w:trHeight w:val="300"/>
        </w:trPr>
        <w:tc>
          <w:tcPr>
            <w:tcW w:w="1019" w:type="dxa"/>
            <w:noWrap/>
            <w:hideMark/>
          </w:tcPr>
          <w:p w14:paraId="345AF2A2" w14:textId="77777777" w:rsidR="00F73A38" w:rsidRPr="00EA334D" w:rsidRDefault="00F73A38" w:rsidP="00105BC5">
            <w:pPr>
              <w:jc w:val="center"/>
            </w:pPr>
            <w:r w:rsidRPr="00EA334D">
              <w:t>Xo</w:t>
            </w:r>
          </w:p>
        </w:tc>
        <w:tc>
          <w:tcPr>
            <w:tcW w:w="8332" w:type="dxa"/>
            <w:noWrap/>
            <w:hideMark/>
          </w:tcPr>
          <w:p w14:paraId="201B1063" w14:textId="77777777" w:rsidR="00F73A38" w:rsidRPr="00EA334D" w:rsidRDefault="00F73A38" w:rsidP="00105BC5">
            <w:r w:rsidRPr="00EA334D">
              <w:t>Amenințări și presiuni din afara Statului Membru</w:t>
            </w:r>
          </w:p>
        </w:tc>
      </w:tr>
    </w:tbl>
    <w:p w14:paraId="2DEB0E8A" w14:textId="77777777" w:rsidR="00F73A38" w:rsidRPr="00C56257" w:rsidRDefault="00F73A38" w:rsidP="00F73A38">
      <w:pPr>
        <w:spacing w:after="160" w:line="259" w:lineRule="auto"/>
        <w:jc w:val="both"/>
        <w:rPr>
          <w:color w:val="000000" w:themeColor="text1"/>
        </w:rPr>
      </w:pPr>
    </w:p>
    <w:p w14:paraId="2D998878" w14:textId="77777777" w:rsidR="00F73A38" w:rsidRPr="00C56257" w:rsidRDefault="00F73A38" w:rsidP="00F73A38">
      <w:pPr>
        <w:jc w:val="both"/>
        <w:rPr>
          <w:color w:val="000000" w:themeColor="text1"/>
        </w:rPr>
      </w:pPr>
    </w:p>
    <w:p w14:paraId="7615303E" w14:textId="77777777" w:rsidR="00F73A38" w:rsidRPr="00C56257" w:rsidRDefault="00F73A38" w:rsidP="00F73A38">
      <w:pPr>
        <w:jc w:val="both"/>
        <w:rPr>
          <w:color w:val="000000" w:themeColor="text1"/>
        </w:rPr>
      </w:pPr>
    </w:p>
    <w:p w14:paraId="25E8B3C2" w14:textId="77777777" w:rsidR="00F73A38" w:rsidRPr="00C56257" w:rsidRDefault="00F73A38" w:rsidP="00F73A38">
      <w:pPr>
        <w:jc w:val="both"/>
        <w:rPr>
          <w:color w:val="000000" w:themeColor="text1"/>
        </w:rPr>
      </w:pPr>
    </w:p>
    <w:p w14:paraId="6B44EF6B" w14:textId="77777777" w:rsidR="00F73A38" w:rsidRPr="00C56257" w:rsidRDefault="00F73A38" w:rsidP="00F73A38">
      <w:pPr>
        <w:jc w:val="both"/>
        <w:rPr>
          <w:color w:val="000000" w:themeColor="text1"/>
        </w:rPr>
      </w:pPr>
    </w:p>
    <w:p w14:paraId="4EA1C2D2" w14:textId="77777777" w:rsidR="00F73A38" w:rsidRPr="00C56257" w:rsidRDefault="00F73A38" w:rsidP="00F73A38">
      <w:pPr>
        <w:jc w:val="both"/>
        <w:rPr>
          <w:color w:val="000000" w:themeColor="text1"/>
        </w:rPr>
      </w:pPr>
    </w:p>
    <w:p w14:paraId="2EBBE24F" w14:textId="77777777" w:rsidR="00F73A38" w:rsidRPr="00C56257" w:rsidRDefault="00F73A38" w:rsidP="00F73A38">
      <w:pPr>
        <w:jc w:val="both"/>
        <w:rPr>
          <w:color w:val="000000" w:themeColor="text1"/>
        </w:rPr>
      </w:pPr>
    </w:p>
    <w:p w14:paraId="78E5B960" w14:textId="77777777" w:rsidR="00F73A38" w:rsidRPr="00C56257" w:rsidRDefault="00F73A38" w:rsidP="00F73A38">
      <w:pPr>
        <w:jc w:val="both"/>
        <w:rPr>
          <w:color w:val="000000" w:themeColor="text1"/>
        </w:rPr>
      </w:pPr>
    </w:p>
    <w:p w14:paraId="20059F6C" w14:textId="77777777" w:rsidR="00F73A38" w:rsidRPr="00C56257" w:rsidRDefault="00F73A38" w:rsidP="00F73A38">
      <w:pPr>
        <w:jc w:val="both"/>
        <w:rPr>
          <w:color w:val="000000" w:themeColor="text1"/>
        </w:rPr>
      </w:pPr>
    </w:p>
    <w:p w14:paraId="12C1BC57" w14:textId="77777777" w:rsidR="00F73A38" w:rsidRPr="00C56257" w:rsidRDefault="00F73A38" w:rsidP="00F73A38">
      <w:pPr>
        <w:spacing w:after="160" w:line="259" w:lineRule="auto"/>
        <w:jc w:val="both"/>
        <w:rPr>
          <w:bCs/>
          <w:color w:val="000000" w:themeColor="text1"/>
        </w:rPr>
      </w:pPr>
    </w:p>
    <w:p w14:paraId="2D6321BC" w14:textId="77777777" w:rsidR="00F73A38" w:rsidRPr="00C56257" w:rsidRDefault="00F73A38" w:rsidP="00F73A38">
      <w:pPr>
        <w:spacing w:after="160" w:line="259" w:lineRule="auto"/>
        <w:jc w:val="both"/>
        <w:rPr>
          <w:bCs/>
          <w:color w:val="000000" w:themeColor="text1"/>
        </w:rPr>
      </w:pPr>
    </w:p>
    <w:p w14:paraId="4F11F1C0" w14:textId="77777777" w:rsidR="00F73A38" w:rsidRPr="00C56257" w:rsidRDefault="00F73A38" w:rsidP="00F73A38">
      <w:pPr>
        <w:spacing w:after="160" w:line="259" w:lineRule="auto"/>
        <w:jc w:val="both"/>
        <w:rPr>
          <w:bCs/>
          <w:color w:val="000000" w:themeColor="text1"/>
        </w:rPr>
      </w:pPr>
    </w:p>
    <w:p w14:paraId="7E744563" w14:textId="77777777" w:rsidR="00F73A38" w:rsidRPr="00C56257" w:rsidRDefault="00F73A38" w:rsidP="00F73A38">
      <w:pPr>
        <w:spacing w:after="160" w:line="259" w:lineRule="auto"/>
        <w:jc w:val="both"/>
        <w:rPr>
          <w:bCs/>
          <w:color w:val="000000" w:themeColor="text1"/>
        </w:rPr>
      </w:pPr>
    </w:p>
    <w:p w14:paraId="4D96E3B8" w14:textId="77777777" w:rsidR="00F73A38" w:rsidRPr="00C56257" w:rsidRDefault="00F73A38" w:rsidP="00F73A38">
      <w:pPr>
        <w:spacing w:after="160" w:line="259" w:lineRule="auto"/>
        <w:jc w:val="both"/>
        <w:rPr>
          <w:bCs/>
          <w:color w:val="000000" w:themeColor="text1"/>
        </w:rPr>
      </w:pPr>
    </w:p>
    <w:p w14:paraId="30AAF451" w14:textId="77777777" w:rsidR="00F73A38" w:rsidRPr="00C56257" w:rsidRDefault="00F73A38" w:rsidP="00F73A38">
      <w:pPr>
        <w:spacing w:after="160" w:line="259" w:lineRule="auto"/>
        <w:jc w:val="both"/>
        <w:rPr>
          <w:bCs/>
          <w:color w:val="000000" w:themeColor="text1"/>
        </w:rPr>
      </w:pPr>
    </w:p>
    <w:bookmarkEnd w:id="24"/>
    <w:p w14:paraId="296BA58A" w14:textId="77777777" w:rsidR="006F1400" w:rsidRPr="00C56257" w:rsidRDefault="006F1400" w:rsidP="008E33FD">
      <w:pPr>
        <w:jc w:val="both"/>
        <w:rPr>
          <w:color w:val="000000" w:themeColor="text1"/>
        </w:rPr>
      </w:pPr>
    </w:p>
    <w:p w14:paraId="21BA5801" w14:textId="77777777" w:rsidR="00F73A38" w:rsidRPr="00C56257" w:rsidRDefault="00F73A38" w:rsidP="00F73A38">
      <w:pPr>
        <w:spacing w:after="160" w:line="259" w:lineRule="auto"/>
        <w:ind w:left="360"/>
        <w:jc w:val="both"/>
        <w:rPr>
          <w:b/>
          <w:bCs/>
          <w:color w:val="000000" w:themeColor="text1"/>
        </w:rPr>
      </w:pPr>
      <w:r w:rsidRPr="00F100E1">
        <w:rPr>
          <w:b/>
          <w:color w:val="000000" w:themeColor="text1"/>
        </w:rPr>
        <w:t>1.</w:t>
      </w:r>
      <w:r>
        <w:rPr>
          <w:b/>
          <w:color w:val="000000" w:themeColor="text1"/>
        </w:rPr>
        <w:t>5</w:t>
      </w:r>
      <w:r w:rsidRPr="00F100E1">
        <w:rPr>
          <w:b/>
          <w:color w:val="000000" w:themeColor="text1"/>
        </w:rPr>
        <w:t xml:space="preserve">. </w:t>
      </w:r>
      <w:r w:rsidRPr="00C56257">
        <w:rPr>
          <w:b/>
          <w:color w:val="000000" w:themeColor="text1"/>
        </w:rPr>
        <w:t>Lista cu Măsurile de conservare ce se pot aplica habitatelor marine și costiere</w:t>
      </w:r>
      <w:r w:rsidRPr="00F100E1">
        <w:rPr>
          <w:b/>
          <w:color w:val="000000" w:themeColor="text1"/>
        </w:rPr>
        <w:t xml:space="preserve"> de interes comunitar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3"/>
        <w:gridCol w:w="9162"/>
      </w:tblGrid>
      <w:tr w:rsidR="00F73A38" w:rsidRPr="008F1D81" w14:paraId="6365473F" w14:textId="77777777" w:rsidTr="00105BC5">
        <w:trPr>
          <w:trHeight w:val="300"/>
        </w:trPr>
        <w:tc>
          <w:tcPr>
            <w:tcW w:w="444" w:type="pct"/>
            <w:shd w:val="clear" w:color="C0C0C0" w:fill="C0C0C0"/>
            <w:noWrap/>
            <w:vAlign w:val="center"/>
            <w:hideMark/>
          </w:tcPr>
          <w:p w14:paraId="04CEF309" w14:textId="77777777" w:rsidR="00F73A38" w:rsidRPr="008F1D81" w:rsidRDefault="00F73A38" w:rsidP="00105BC5">
            <w:pPr>
              <w:jc w:val="center"/>
              <w:rPr>
                <w:b/>
                <w:bCs/>
                <w:color w:val="000000"/>
                <w:lang w:val="en-US"/>
              </w:rPr>
            </w:pPr>
            <w:r w:rsidRPr="008F1D81">
              <w:rPr>
                <w:b/>
                <w:bCs/>
                <w:color w:val="000000"/>
                <w:lang w:val="en-US"/>
              </w:rPr>
              <w:t>Cod</w:t>
            </w:r>
          </w:p>
        </w:tc>
        <w:tc>
          <w:tcPr>
            <w:tcW w:w="4556" w:type="pct"/>
            <w:shd w:val="clear" w:color="C0C0C0" w:fill="C0C0C0"/>
            <w:noWrap/>
            <w:vAlign w:val="center"/>
            <w:hideMark/>
          </w:tcPr>
          <w:p w14:paraId="124E5D7D" w14:textId="77777777" w:rsidR="00F73A38" w:rsidRPr="008F1D81" w:rsidRDefault="00F73A38" w:rsidP="00105BC5">
            <w:pPr>
              <w:jc w:val="center"/>
              <w:rPr>
                <w:b/>
                <w:bCs/>
                <w:color w:val="000000"/>
                <w:lang w:val="en-US"/>
              </w:rPr>
            </w:pPr>
            <w:proofErr w:type="spellStart"/>
            <w:r w:rsidRPr="008F1D81">
              <w:rPr>
                <w:b/>
                <w:bCs/>
                <w:color w:val="000000"/>
                <w:lang w:val="en-US"/>
              </w:rPr>
              <w:t>Denumire</w:t>
            </w:r>
            <w:proofErr w:type="spellEnd"/>
          </w:p>
        </w:tc>
      </w:tr>
      <w:tr w:rsidR="00F73A38" w:rsidRPr="008F1D81" w14:paraId="3305E49A" w14:textId="77777777" w:rsidTr="00105BC5">
        <w:trPr>
          <w:trHeight w:val="300"/>
        </w:trPr>
        <w:tc>
          <w:tcPr>
            <w:tcW w:w="444" w:type="pct"/>
            <w:shd w:val="clear" w:color="auto" w:fill="auto"/>
            <w:vAlign w:val="center"/>
            <w:hideMark/>
          </w:tcPr>
          <w:p w14:paraId="3F6B16A0" w14:textId="77777777" w:rsidR="00F73A38" w:rsidRPr="008F1D81" w:rsidRDefault="00F73A38" w:rsidP="00105BC5">
            <w:pPr>
              <w:rPr>
                <w:color w:val="000000"/>
                <w:lang w:val="en-US"/>
              </w:rPr>
            </w:pPr>
            <w:r w:rsidRPr="008F1D81">
              <w:rPr>
                <w:color w:val="000000"/>
                <w:lang w:val="en-US"/>
              </w:rPr>
              <w:t>CA</w:t>
            </w:r>
          </w:p>
        </w:tc>
        <w:tc>
          <w:tcPr>
            <w:tcW w:w="4556" w:type="pct"/>
            <w:shd w:val="clear" w:color="auto" w:fill="auto"/>
            <w:noWrap/>
            <w:vAlign w:val="bottom"/>
            <w:hideMark/>
          </w:tcPr>
          <w:p w14:paraId="0A4FD0B2" w14:textId="77777777" w:rsidR="00F73A38" w:rsidRPr="008F1D81" w:rsidRDefault="00F73A38" w:rsidP="00105BC5">
            <w:pPr>
              <w:rPr>
                <w:color w:val="000000"/>
                <w:lang w:val="en-US"/>
              </w:rPr>
            </w:pPr>
            <w:proofErr w:type="spellStart"/>
            <w:r w:rsidRPr="008F1D81">
              <w:rPr>
                <w:color w:val="000000"/>
                <w:lang w:val="en-US"/>
              </w:rPr>
              <w:t>Măsuri</w:t>
            </w:r>
            <w:proofErr w:type="spellEnd"/>
            <w:r w:rsidRPr="008F1D81">
              <w:rPr>
                <w:color w:val="000000"/>
                <w:lang w:val="en-US"/>
              </w:rPr>
              <w:t xml:space="preserve"> legate de </w:t>
            </w:r>
            <w:proofErr w:type="spellStart"/>
            <w:r w:rsidRPr="008F1D81">
              <w:rPr>
                <w:color w:val="000000"/>
                <w:lang w:val="en-US"/>
              </w:rPr>
              <w:t>agricultură</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habitatele</w:t>
            </w:r>
            <w:proofErr w:type="spellEnd"/>
            <w:r w:rsidRPr="008F1D81">
              <w:rPr>
                <w:color w:val="000000"/>
                <w:lang w:val="en-US"/>
              </w:rPr>
              <w:t xml:space="preserve"> </w:t>
            </w:r>
            <w:proofErr w:type="spellStart"/>
            <w:r w:rsidRPr="008F1D81">
              <w:rPr>
                <w:color w:val="000000"/>
                <w:lang w:val="en-US"/>
              </w:rPr>
              <w:t>agricole</w:t>
            </w:r>
            <w:proofErr w:type="spellEnd"/>
          </w:p>
        </w:tc>
      </w:tr>
      <w:tr w:rsidR="00F73A38" w:rsidRPr="008F1D81" w14:paraId="1AAACD14" w14:textId="77777777" w:rsidTr="00105BC5">
        <w:trPr>
          <w:trHeight w:val="300"/>
        </w:trPr>
        <w:tc>
          <w:tcPr>
            <w:tcW w:w="444" w:type="pct"/>
            <w:shd w:val="clear" w:color="auto" w:fill="auto"/>
            <w:vAlign w:val="center"/>
            <w:hideMark/>
          </w:tcPr>
          <w:p w14:paraId="041FBAAC" w14:textId="77777777" w:rsidR="00F73A38" w:rsidRPr="008F1D81" w:rsidRDefault="00F73A38" w:rsidP="00105BC5">
            <w:pPr>
              <w:rPr>
                <w:color w:val="000000"/>
                <w:lang w:val="en-US"/>
              </w:rPr>
            </w:pPr>
            <w:r w:rsidRPr="008F1D81">
              <w:rPr>
                <w:color w:val="000000"/>
                <w:lang w:val="en-US"/>
              </w:rPr>
              <w:t>CA13</w:t>
            </w:r>
          </w:p>
        </w:tc>
        <w:tc>
          <w:tcPr>
            <w:tcW w:w="4556" w:type="pct"/>
            <w:shd w:val="clear" w:color="auto" w:fill="auto"/>
            <w:noWrap/>
            <w:vAlign w:val="bottom"/>
            <w:hideMark/>
          </w:tcPr>
          <w:p w14:paraId="5048F9FA"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poluării</w:t>
            </w:r>
            <w:proofErr w:type="spellEnd"/>
            <w:r w:rsidRPr="008F1D81">
              <w:rPr>
                <w:color w:val="000000"/>
                <w:lang w:val="en-US"/>
              </w:rPr>
              <w:t xml:space="preserve"> marine din </w:t>
            </w:r>
            <w:proofErr w:type="spellStart"/>
            <w:r w:rsidRPr="008F1D81">
              <w:rPr>
                <w:color w:val="000000"/>
                <w:lang w:val="en-US"/>
              </w:rPr>
              <w:t>activitățile</w:t>
            </w:r>
            <w:proofErr w:type="spellEnd"/>
            <w:r w:rsidRPr="008F1D81">
              <w:rPr>
                <w:color w:val="000000"/>
                <w:lang w:val="en-US"/>
              </w:rPr>
              <w:t xml:space="preserve"> </w:t>
            </w:r>
            <w:proofErr w:type="spellStart"/>
            <w:r w:rsidRPr="008F1D81">
              <w:rPr>
                <w:color w:val="000000"/>
                <w:lang w:val="en-US"/>
              </w:rPr>
              <w:t>agricole</w:t>
            </w:r>
            <w:proofErr w:type="spellEnd"/>
          </w:p>
        </w:tc>
      </w:tr>
      <w:tr w:rsidR="00F73A38" w:rsidRPr="008F1D81" w14:paraId="62BD23F9" w14:textId="77777777" w:rsidTr="00105BC5">
        <w:trPr>
          <w:trHeight w:val="300"/>
        </w:trPr>
        <w:tc>
          <w:tcPr>
            <w:tcW w:w="444" w:type="pct"/>
            <w:shd w:val="clear" w:color="auto" w:fill="auto"/>
            <w:vAlign w:val="center"/>
            <w:hideMark/>
          </w:tcPr>
          <w:p w14:paraId="258A4944" w14:textId="77777777" w:rsidR="00F73A38" w:rsidRPr="008F1D81" w:rsidRDefault="00F73A38" w:rsidP="00105BC5">
            <w:pPr>
              <w:rPr>
                <w:color w:val="000000"/>
                <w:lang w:val="en-US"/>
              </w:rPr>
            </w:pPr>
            <w:r w:rsidRPr="008F1D81">
              <w:rPr>
                <w:color w:val="000000"/>
                <w:lang w:val="en-US"/>
              </w:rPr>
              <w:t>CA14</w:t>
            </w:r>
          </w:p>
        </w:tc>
        <w:tc>
          <w:tcPr>
            <w:tcW w:w="4556" w:type="pct"/>
            <w:shd w:val="clear" w:color="auto" w:fill="auto"/>
            <w:noWrap/>
            <w:vAlign w:val="bottom"/>
            <w:hideMark/>
          </w:tcPr>
          <w:p w14:paraId="452976BE"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poluării</w:t>
            </w:r>
            <w:proofErr w:type="spellEnd"/>
            <w:r w:rsidRPr="008F1D81">
              <w:rPr>
                <w:color w:val="000000"/>
                <w:lang w:val="en-US"/>
              </w:rPr>
              <w:t xml:space="preserve"> </w:t>
            </w:r>
            <w:proofErr w:type="spellStart"/>
            <w:r w:rsidRPr="008F1D81">
              <w:rPr>
                <w:color w:val="000000"/>
                <w:lang w:val="en-US"/>
              </w:rPr>
              <w:t>solului</w:t>
            </w:r>
            <w:proofErr w:type="spellEnd"/>
            <w:r w:rsidRPr="008F1D81">
              <w:rPr>
                <w:color w:val="000000"/>
                <w:lang w:val="en-US"/>
              </w:rPr>
              <w:t xml:space="preserve"> din </w:t>
            </w:r>
            <w:proofErr w:type="spellStart"/>
            <w:r w:rsidRPr="008F1D81">
              <w:rPr>
                <w:color w:val="000000"/>
                <w:lang w:val="en-US"/>
              </w:rPr>
              <w:t>activitățile</w:t>
            </w:r>
            <w:proofErr w:type="spellEnd"/>
            <w:r w:rsidRPr="008F1D81">
              <w:rPr>
                <w:color w:val="000000"/>
                <w:lang w:val="en-US"/>
              </w:rPr>
              <w:t xml:space="preserve"> </w:t>
            </w:r>
            <w:proofErr w:type="spellStart"/>
            <w:r w:rsidRPr="008F1D81">
              <w:rPr>
                <w:color w:val="000000"/>
                <w:lang w:val="en-US"/>
              </w:rPr>
              <w:t>agricole</w:t>
            </w:r>
            <w:proofErr w:type="spellEnd"/>
          </w:p>
        </w:tc>
      </w:tr>
      <w:tr w:rsidR="00F73A38" w:rsidRPr="008F1D81" w14:paraId="7CECF50A" w14:textId="77777777" w:rsidTr="00105BC5">
        <w:trPr>
          <w:trHeight w:val="300"/>
        </w:trPr>
        <w:tc>
          <w:tcPr>
            <w:tcW w:w="444" w:type="pct"/>
            <w:shd w:val="clear" w:color="auto" w:fill="auto"/>
            <w:vAlign w:val="center"/>
            <w:hideMark/>
          </w:tcPr>
          <w:p w14:paraId="0D19F634" w14:textId="77777777" w:rsidR="00F73A38" w:rsidRPr="008F1D81" w:rsidRDefault="00F73A38" w:rsidP="00105BC5">
            <w:pPr>
              <w:rPr>
                <w:color w:val="000000"/>
                <w:lang w:val="en-US"/>
              </w:rPr>
            </w:pPr>
            <w:r w:rsidRPr="008F1D81">
              <w:rPr>
                <w:color w:val="000000"/>
                <w:lang w:val="en-US"/>
              </w:rPr>
              <w:t>CA15</w:t>
            </w:r>
          </w:p>
        </w:tc>
        <w:tc>
          <w:tcPr>
            <w:tcW w:w="4556" w:type="pct"/>
            <w:shd w:val="clear" w:color="auto" w:fill="auto"/>
            <w:noWrap/>
            <w:vAlign w:val="bottom"/>
            <w:hideMark/>
          </w:tcPr>
          <w:p w14:paraId="3806EE33" w14:textId="77777777" w:rsidR="00F73A38" w:rsidRPr="008F1D81" w:rsidRDefault="00F73A38" w:rsidP="00105BC5">
            <w:pPr>
              <w:rPr>
                <w:color w:val="000000"/>
                <w:lang w:val="en-US"/>
              </w:rPr>
            </w:pPr>
            <w:proofErr w:type="spellStart"/>
            <w:r w:rsidRPr="008F1D81">
              <w:rPr>
                <w:color w:val="000000"/>
                <w:lang w:val="en-US"/>
              </w:rPr>
              <w:t>Gestionarea</w:t>
            </w:r>
            <w:proofErr w:type="spellEnd"/>
            <w:r w:rsidRPr="008F1D81">
              <w:rPr>
                <w:color w:val="000000"/>
                <w:lang w:val="en-US"/>
              </w:rPr>
              <w:t xml:space="preserve"> </w:t>
            </w:r>
            <w:proofErr w:type="spellStart"/>
            <w:r w:rsidRPr="008F1D81">
              <w:rPr>
                <w:color w:val="000000"/>
                <w:lang w:val="en-US"/>
              </w:rPr>
              <w:t>operațiunilor</w:t>
            </w:r>
            <w:proofErr w:type="spellEnd"/>
            <w:r w:rsidRPr="008F1D81">
              <w:rPr>
                <w:color w:val="000000"/>
                <w:lang w:val="en-US"/>
              </w:rPr>
              <w:t xml:space="preserve"> de </w:t>
            </w:r>
            <w:proofErr w:type="spellStart"/>
            <w:r w:rsidRPr="008F1D81">
              <w:rPr>
                <w:color w:val="000000"/>
                <w:lang w:val="en-US"/>
              </w:rPr>
              <w:t>drenaj</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irigare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infrastructurii</w:t>
            </w:r>
            <w:proofErr w:type="spellEnd"/>
            <w:r w:rsidRPr="008F1D81">
              <w:rPr>
                <w:color w:val="000000"/>
                <w:lang w:val="en-US"/>
              </w:rPr>
              <w:t xml:space="preserve"> din </w:t>
            </w:r>
            <w:proofErr w:type="spellStart"/>
            <w:r w:rsidRPr="008F1D81">
              <w:rPr>
                <w:color w:val="000000"/>
                <w:lang w:val="en-US"/>
              </w:rPr>
              <w:t>agricultură</w:t>
            </w:r>
            <w:proofErr w:type="spellEnd"/>
          </w:p>
        </w:tc>
      </w:tr>
      <w:tr w:rsidR="00F73A38" w:rsidRPr="008F1D81" w14:paraId="54E32321" w14:textId="77777777" w:rsidTr="00105BC5">
        <w:trPr>
          <w:trHeight w:val="300"/>
        </w:trPr>
        <w:tc>
          <w:tcPr>
            <w:tcW w:w="444" w:type="pct"/>
            <w:shd w:val="clear" w:color="auto" w:fill="auto"/>
            <w:vAlign w:val="center"/>
            <w:hideMark/>
          </w:tcPr>
          <w:p w14:paraId="29816AA8" w14:textId="77777777" w:rsidR="00F73A38" w:rsidRPr="008F1D81" w:rsidRDefault="00F73A38" w:rsidP="00105BC5">
            <w:pPr>
              <w:rPr>
                <w:color w:val="000000"/>
                <w:lang w:val="en-US"/>
              </w:rPr>
            </w:pPr>
            <w:r w:rsidRPr="008F1D81">
              <w:rPr>
                <w:color w:val="000000"/>
                <w:lang w:val="en-US"/>
              </w:rPr>
              <w:t>CA16</w:t>
            </w:r>
          </w:p>
        </w:tc>
        <w:tc>
          <w:tcPr>
            <w:tcW w:w="4556" w:type="pct"/>
            <w:shd w:val="clear" w:color="auto" w:fill="auto"/>
            <w:noWrap/>
            <w:vAlign w:val="bottom"/>
            <w:hideMark/>
          </w:tcPr>
          <w:p w14:paraId="64E589C4" w14:textId="77777777" w:rsidR="00F73A38" w:rsidRPr="008F1D81" w:rsidRDefault="00F73A38" w:rsidP="00105BC5">
            <w:pPr>
              <w:rPr>
                <w:color w:val="000000"/>
                <w:lang w:val="en-US"/>
              </w:rPr>
            </w:pPr>
            <w:r w:rsidRPr="008F1D81">
              <w:rPr>
                <w:color w:val="000000"/>
                <w:lang w:val="en-US"/>
              </w:rPr>
              <w:t xml:space="preserve">Alte </w:t>
            </w:r>
            <w:proofErr w:type="spellStart"/>
            <w:r w:rsidRPr="008F1D81">
              <w:rPr>
                <w:color w:val="000000"/>
                <w:lang w:val="en-US"/>
              </w:rPr>
              <w:t>măsuri</w:t>
            </w:r>
            <w:proofErr w:type="spellEnd"/>
            <w:r w:rsidRPr="008F1D81">
              <w:rPr>
                <w:color w:val="000000"/>
                <w:lang w:val="en-US"/>
              </w:rPr>
              <w:t xml:space="preserve"> legate de </w:t>
            </w:r>
            <w:proofErr w:type="spellStart"/>
            <w:r w:rsidRPr="008F1D81">
              <w:rPr>
                <w:color w:val="000000"/>
                <w:lang w:val="en-US"/>
              </w:rPr>
              <w:t>practicile</w:t>
            </w:r>
            <w:proofErr w:type="spellEnd"/>
            <w:r w:rsidRPr="008F1D81">
              <w:rPr>
                <w:color w:val="000000"/>
                <w:lang w:val="en-US"/>
              </w:rPr>
              <w:t xml:space="preserve"> </w:t>
            </w:r>
            <w:proofErr w:type="spellStart"/>
            <w:r w:rsidRPr="008F1D81">
              <w:rPr>
                <w:color w:val="000000"/>
                <w:lang w:val="en-US"/>
              </w:rPr>
              <w:t>agricole</w:t>
            </w:r>
            <w:proofErr w:type="spellEnd"/>
          </w:p>
        </w:tc>
      </w:tr>
      <w:tr w:rsidR="00F73A38" w:rsidRPr="008F1D81" w14:paraId="1CB4DE30" w14:textId="77777777" w:rsidTr="00105BC5">
        <w:trPr>
          <w:trHeight w:val="300"/>
        </w:trPr>
        <w:tc>
          <w:tcPr>
            <w:tcW w:w="444" w:type="pct"/>
            <w:shd w:val="clear" w:color="auto" w:fill="auto"/>
            <w:vAlign w:val="center"/>
            <w:hideMark/>
          </w:tcPr>
          <w:p w14:paraId="28C79DA7" w14:textId="77777777" w:rsidR="00F73A38" w:rsidRPr="008F1D81" w:rsidRDefault="00F73A38" w:rsidP="00105BC5">
            <w:pPr>
              <w:rPr>
                <w:color w:val="000000"/>
                <w:lang w:val="en-US"/>
              </w:rPr>
            </w:pPr>
            <w:r w:rsidRPr="008F1D81">
              <w:rPr>
                <w:color w:val="000000"/>
                <w:lang w:val="en-US"/>
              </w:rPr>
              <w:t>CB</w:t>
            </w:r>
          </w:p>
        </w:tc>
        <w:tc>
          <w:tcPr>
            <w:tcW w:w="4556" w:type="pct"/>
            <w:shd w:val="clear" w:color="auto" w:fill="auto"/>
            <w:noWrap/>
            <w:vAlign w:val="bottom"/>
            <w:hideMark/>
          </w:tcPr>
          <w:p w14:paraId="0CF7E264" w14:textId="77777777" w:rsidR="00F73A38" w:rsidRPr="008F1D81" w:rsidRDefault="00F73A38" w:rsidP="00105BC5">
            <w:pPr>
              <w:rPr>
                <w:color w:val="000000"/>
                <w:lang w:val="en-US"/>
              </w:rPr>
            </w:pPr>
            <w:proofErr w:type="spellStart"/>
            <w:r w:rsidRPr="008F1D81">
              <w:rPr>
                <w:color w:val="000000"/>
                <w:lang w:val="en-US"/>
              </w:rPr>
              <w:t>Masuri</w:t>
            </w:r>
            <w:proofErr w:type="spellEnd"/>
            <w:r w:rsidRPr="008F1D81">
              <w:rPr>
                <w:color w:val="000000"/>
                <w:lang w:val="en-US"/>
              </w:rPr>
              <w:t xml:space="preserve"> legate de </w:t>
            </w:r>
            <w:proofErr w:type="spellStart"/>
            <w:r w:rsidRPr="008F1D81">
              <w:rPr>
                <w:color w:val="000000"/>
                <w:lang w:val="en-US"/>
              </w:rPr>
              <w:t>paduri</w:t>
            </w:r>
            <w:proofErr w:type="spellEnd"/>
            <w:r w:rsidRPr="008F1D81">
              <w:rPr>
                <w:color w:val="000000"/>
                <w:lang w:val="en-US"/>
              </w:rPr>
              <w:t xml:space="preserve"> </w:t>
            </w:r>
            <w:proofErr w:type="spellStart"/>
            <w:r w:rsidRPr="008F1D81">
              <w:rPr>
                <w:color w:val="000000"/>
                <w:lang w:val="en-US"/>
              </w:rPr>
              <w:t>si</w:t>
            </w:r>
            <w:proofErr w:type="spellEnd"/>
            <w:r w:rsidRPr="008F1D81">
              <w:rPr>
                <w:color w:val="000000"/>
                <w:lang w:val="en-US"/>
              </w:rPr>
              <w:t xml:space="preserve"> </w:t>
            </w:r>
            <w:proofErr w:type="spellStart"/>
            <w:r w:rsidRPr="008F1D81">
              <w:rPr>
                <w:color w:val="000000"/>
                <w:lang w:val="en-US"/>
              </w:rPr>
              <w:t>habitatele</w:t>
            </w:r>
            <w:proofErr w:type="spellEnd"/>
            <w:r w:rsidRPr="008F1D81">
              <w:rPr>
                <w:color w:val="000000"/>
                <w:lang w:val="en-US"/>
              </w:rPr>
              <w:t xml:space="preserve"> </w:t>
            </w:r>
            <w:proofErr w:type="spellStart"/>
            <w:r w:rsidRPr="008F1D81">
              <w:rPr>
                <w:color w:val="000000"/>
                <w:lang w:val="en-US"/>
              </w:rPr>
              <w:t>forestiere</w:t>
            </w:r>
            <w:proofErr w:type="spellEnd"/>
          </w:p>
        </w:tc>
      </w:tr>
      <w:tr w:rsidR="00F73A38" w:rsidRPr="008F1D81" w14:paraId="213D53C7" w14:textId="77777777" w:rsidTr="00105BC5">
        <w:trPr>
          <w:trHeight w:val="300"/>
        </w:trPr>
        <w:tc>
          <w:tcPr>
            <w:tcW w:w="444" w:type="pct"/>
            <w:shd w:val="clear" w:color="auto" w:fill="auto"/>
            <w:vAlign w:val="center"/>
            <w:hideMark/>
          </w:tcPr>
          <w:p w14:paraId="61BC9254" w14:textId="77777777" w:rsidR="00F73A38" w:rsidRPr="008F1D81" w:rsidRDefault="00F73A38" w:rsidP="00105BC5">
            <w:pPr>
              <w:rPr>
                <w:color w:val="000000"/>
                <w:lang w:val="en-US"/>
              </w:rPr>
            </w:pPr>
            <w:r w:rsidRPr="008F1D81">
              <w:rPr>
                <w:color w:val="000000"/>
                <w:lang w:val="en-US"/>
              </w:rPr>
              <w:t>CB12</w:t>
            </w:r>
          </w:p>
        </w:tc>
        <w:tc>
          <w:tcPr>
            <w:tcW w:w="4556" w:type="pct"/>
            <w:shd w:val="clear" w:color="auto" w:fill="auto"/>
            <w:noWrap/>
            <w:vAlign w:val="bottom"/>
            <w:hideMark/>
          </w:tcPr>
          <w:p w14:paraId="1A4697E1"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w:t>
            </w:r>
            <w:proofErr w:type="spellStart"/>
            <w:r w:rsidRPr="008F1D81">
              <w:rPr>
                <w:color w:val="000000"/>
                <w:lang w:val="en-US"/>
              </w:rPr>
              <w:t>poluarii</w:t>
            </w:r>
            <w:proofErr w:type="spellEnd"/>
            <w:r w:rsidRPr="008F1D81">
              <w:rPr>
                <w:color w:val="000000"/>
                <w:lang w:val="en-US"/>
              </w:rPr>
              <w:t xml:space="preserve"> marine din </w:t>
            </w:r>
            <w:proofErr w:type="spellStart"/>
            <w:r w:rsidRPr="008F1D81">
              <w:rPr>
                <w:color w:val="000000"/>
                <w:lang w:val="en-US"/>
              </w:rPr>
              <w:t>activitatile</w:t>
            </w:r>
            <w:proofErr w:type="spellEnd"/>
            <w:r w:rsidRPr="008F1D81">
              <w:rPr>
                <w:color w:val="000000"/>
                <w:lang w:val="en-US"/>
              </w:rPr>
              <w:t xml:space="preserve"> </w:t>
            </w:r>
            <w:proofErr w:type="spellStart"/>
            <w:r w:rsidRPr="008F1D81">
              <w:rPr>
                <w:color w:val="000000"/>
                <w:lang w:val="en-US"/>
              </w:rPr>
              <w:t>silvice</w:t>
            </w:r>
            <w:proofErr w:type="spellEnd"/>
          </w:p>
        </w:tc>
      </w:tr>
      <w:tr w:rsidR="00F73A38" w:rsidRPr="008F1D81" w14:paraId="23844761" w14:textId="77777777" w:rsidTr="00105BC5">
        <w:trPr>
          <w:trHeight w:val="300"/>
        </w:trPr>
        <w:tc>
          <w:tcPr>
            <w:tcW w:w="444" w:type="pct"/>
            <w:shd w:val="clear" w:color="auto" w:fill="auto"/>
            <w:vAlign w:val="center"/>
            <w:hideMark/>
          </w:tcPr>
          <w:p w14:paraId="48C3C63E" w14:textId="77777777" w:rsidR="00F73A38" w:rsidRPr="008F1D81" w:rsidRDefault="00F73A38" w:rsidP="00105BC5">
            <w:pPr>
              <w:rPr>
                <w:color w:val="000000"/>
                <w:lang w:val="en-US"/>
              </w:rPr>
            </w:pPr>
            <w:r w:rsidRPr="008F1D81">
              <w:rPr>
                <w:color w:val="000000"/>
                <w:lang w:val="en-US"/>
              </w:rPr>
              <w:t>CB13</w:t>
            </w:r>
          </w:p>
        </w:tc>
        <w:tc>
          <w:tcPr>
            <w:tcW w:w="4556" w:type="pct"/>
            <w:shd w:val="clear" w:color="auto" w:fill="auto"/>
            <w:noWrap/>
            <w:vAlign w:val="bottom"/>
            <w:hideMark/>
          </w:tcPr>
          <w:p w14:paraId="19992745"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w:t>
            </w:r>
            <w:proofErr w:type="spellStart"/>
            <w:r w:rsidRPr="008F1D81">
              <w:rPr>
                <w:color w:val="000000"/>
                <w:lang w:val="en-US"/>
              </w:rPr>
              <w:t>poluarii</w:t>
            </w:r>
            <w:proofErr w:type="spellEnd"/>
            <w:r w:rsidRPr="008F1D81">
              <w:rPr>
                <w:color w:val="000000"/>
                <w:lang w:val="en-US"/>
              </w:rPr>
              <w:t xml:space="preserve"> </w:t>
            </w:r>
            <w:proofErr w:type="spellStart"/>
            <w:r w:rsidRPr="008F1D81">
              <w:rPr>
                <w:color w:val="000000"/>
                <w:lang w:val="en-US"/>
              </w:rPr>
              <w:t>solului</w:t>
            </w:r>
            <w:proofErr w:type="spellEnd"/>
            <w:r w:rsidRPr="008F1D81">
              <w:rPr>
                <w:color w:val="000000"/>
                <w:lang w:val="en-US"/>
              </w:rPr>
              <w:t xml:space="preserve"> din </w:t>
            </w:r>
            <w:proofErr w:type="spellStart"/>
            <w:r w:rsidRPr="008F1D81">
              <w:rPr>
                <w:color w:val="000000"/>
                <w:lang w:val="en-US"/>
              </w:rPr>
              <w:t>activitatile</w:t>
            </w:r>
            <w:proofErr w:type="spellEnd"/>
            <w:r w:rsidRPr="008F1D81">
              <w:rPr>
                <w:color w:val="000000"/>
                <w:lang w:val="en-US"/>
              </w:rPr>
              <w:t xml:space="preserve"> </w:t>
            </w:r>
            <w:proofErr w:type="spellStart"/>
            <w:r w:rsidRPr="008F1D81">
              <w:rPr>
                <w:color w:val="000000"/>
                <w:lang w:val="en-US"/>
              </w:rPr>
              <w:t>silvice</w:t>
            </w:r>
            <w:proofErr w:type="spellEnd"/>
          </w:p>
        </w:tc>
      </w:tr>
      <w:tr w:rsidR="00F73A38" w:rsidRPr="008F1D81" w14:paraId="081A6F94" w14:textId="77777777" w:rsidTr="00105BC5">
        <w:trPr>
          <w:trHeight w:val="300"/>
        </w:trPr>
        <w:tc>
          <w:tcPr>
            <w:tcW w:w="444" w:type="pct"/>
            <w:shd w:val="clear" w:color="auto" w:fill="auto"/>
            <w:vAlign w:val="center"/>
            <w:hideMark/>
          </w:tcPr>
          <w:p w14:paraId="24B30864" w14:textId="77777777" w:rsidR="00F73A38" w:rsidRPr="008F1D81" w:rsidRDefault="00F73A38" w:rsidP="00105BC5">
            <w:pPr>
              <w:rPr>
                <w:color w:val="000000"/>
                <w:lang w:val="en-US"/>
              </w:rPr>
            </w:pPr>
            <w:r w:rsidRPr="008F1D81">
              <w:rPr>
                <w:color w:val="000000"/>
                <w:lang w:val="en-US"/>
              </w:rPr>
              <w:t>CB14</w:t>
            </w:r>
          </w:p>
        </w:tc>
        <w:tc>
          <w:tcPr>
            <w:tcW w:w="4556" w:type="pct"/>
            <w:shd w:val="clear" w:color="auto" w:fill="auto"/>
            <w:noWrap/>
            <w:vAlign w:val="bottom"/>
            <w:hideMark/>
          </w:tcPr>
          <w:p w14:paraId="0355A7FE" w14:textId="77777777" w:rsidR="00F73A38" w:rsidRPr="008F1D81" w:rsidRDefault="00F73A38" w:rsidP="00105BC5">
            <w:pPr>
              <w:rPr>
                <w:color w:val="000000"/>
                <w:lang w:val="en-US"/>
              </w:rPr>
            </w:pPr>
            <w:proofErr w:type="spellStart"/>
            <w:r w:rsidRPr="008F1D81">
              <w:rPr>
                <w:color w:val="000000"/>
                <w:lang w:val="en-US"/>
              </w:rPr>
              <w:t>Gestionarea</w:t>
            </w:r>
            <w:proofErr w:type="spellEnd"/>
            <w:r w:rsidRPr="008F1D81">
              <w:rPr>
                <w:color w:val="000000"/>
                <w:lang w:val="en-US"/>
              </w:rPr>
              <w:t xml:space="preserve"> </w:t>
            </w:r>
            <w:proofErr w:type="spellStart"/>
            <w:r w:rsidRPr="008F1D81">
              <w:rPr>
                <w:color w:val="000000"/>
                <w:lang w:val="en-US"/>
              </w:rPr>
              <w:t>operațiunilor</w:t>
            </w:r>
            <w:proofErr w:type="spellEnd"/>
            <w:r w:rsidRPr="008F1D81">
              <w:rPr>
                <w:color w:val="000000"/>
                <w:lang w:val="en-US"/>
              </w:rPr>
              <w:t xml:space="preserve"> de </w:t>
            </w:r>
            <w:proofErr w:type="spellStart"/>
            <w:r w:rsidRPr="008F1D81">
              <w:rPr>
                <w:color w:val="000000"/>
                <w:lang w:val="en-US"/>
              </w:rPr>
              <w:t>drenaj</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irigare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infrastructurii</w:t>
            </w:r>
            <w:proofErr w:type="spellEnd"/>
            <w:r w:rsidRPr="008F1D81">
              <w:rPr>
                <w:color w:val="000000"/>
                <w:lang w:val="en-US"/>
              </w:rPr>
              <w:t xml:space="preserve"> din </w:t>
            </w:r>
            <w:proofErr w:type="spellStart"/>
            <w:r w:rsidRPr="008F1D81">
              <w:rPr>
                <w:color w:val="000000"/>
                <w:lang w:val="en-US"/>
              </w:rPr>
              <w:t>silvicultura</w:t>
            </w:r>
            <w:proofErr w:type="spellEnd"/>
          </w:p>
        </w:tc>
      </w:tr>
      <w:tr w:rsidR="00F73A38" w:rsidRPr="008F1D81" w14:paraId="11BED795" w14:textId="77777777" w:rsidTr="00105BC5">
        <w:trPr>
          <w:trHeight w:val="300"/>
        </w:trPr>
        <w:tc>
          <w:tcPr>
            <w:tcW w:w="444" w:type="pct"/>
            <w:shd w:val="clear" w:color="auto" w:fill="auto"/>
            <w:vAlign w:val="center"/>
            <w:hideMark/>
          </w:tcPr>
          <w:p w14:paraId="79372BFF" w14:textId="77777777" w:rsidR="00F73A38" w:rsidRPr="008F1D81" w:rsidRDefault="00F73A38" w:rsidP="00105BC5">
            <w:pPr>
              <w:rPr>
                <w:color w:val="000000"/>
                <w:lang w:val="en-US"/>
              </w:rPr>
            </w:pPr>
            <w:r w:rsidRPr="008F1D81">
              <w:rPr>
                <w:color w:val="000000"/>
                <w:lang w:val="en-US"/>
              </w:rPr>
              <w:t>CB15</w:t>
            </w:r>
          </w:p>
        </w:tc>
        <w:tc>
          <w:tcPr>
            <w:tcW w:w="4556" w:type="pct"/>
            <w:shd w:val="clear" w:color="auto" w:fill="auto"/>
            <w:noWrap/>
            <w:vAlign w:val="bottom"/>
            <w:hideMark/>
          </w:tcPr>
          <w:p w14:paraId="549FCE6C" w14:textId="77777777" w:rsidR="00F73A38" w:rsidRPr="008F1D81" w:rsidRDefault="00F73A38" w:rsidP="00105BC5">
            <w:pPr>
              <w:rPr>
                <w:color w:val="000000"/>
                <w:lang w:val="en-US"/>
              </w:rPr>
            </w:pPr>
            <w:r w:rsidRPr="008F1D81">
              <w:rPr>
                <w:color w:val="000000"/>
                <w:lang w:val="en-US"/>
              </w:rPr>
              <w:t xml:space="preserve">Alte </w:t>
            </w:r>
            <w:proofErr w:type="spellStart"/>
            <w:r w:rsidRPr="008F1D81">
              <w:rPr>
                <w:color w:val="000000"/>
                <w:lang w:val="en-US"/>
              </w:rPr>
              <w:t>măsuri</w:t>
            </w:r>
            <w:proofErr w:type="spellEnd"/>
            <w:r w:rsidRPr="008F1D81">
              <w:rPr>
                <w:color w:val="000000"/>
                <w:lang w:val="en-US"/>
              </w:rPr>
              <w:t xml:space="preserve"> legate de </w:t>
            </w:r>
            <w:proofErr w:type="spellStart"/>
            <w:r w:rsidRPr="008F1D81">
              <w:rPr>
                <w:color w:val="000000"/>
                <w:lang w:val="en-US"/>
              </w:rPr>
              <w:t>practicile</w:t>
            </w:r>
            <w:proofErr w:type="spellEnd"/>
            <w:r w:rsidRPr="008F1D81">
              <w:rPr>
                <w:color w:val="000000"/>
                <w:lang w:val="en-US"/>
              </w:rPr>
              <w:t xml:space="preserve"> </w:t>
            </w:r>
            <w:proofErr w:type="spellStart"/>
            <w:r w:rsidRPr="008F1D81">
              <w:rPr>
                <w:color w:val="000000"/>
                <w:lang w:val="en-US"/>
              </w:rPr>
              <w:t>silvice</w:t>
            </w:r>
            <w:proofErr w:type="spellEnd"/>
          </w:p>
        </w:tc>
      </w:tr>
      <w:tr w:rsidR="00F73A38" w:rsidRPr="008F1D81" w14:paraId="44081AB2" w14:textId="77777777" w:rsidTr="00105BC5">
        <w:trPr>
          <w:trHeight w:val="300"/>
        </w:trPr>
        <w:tc>
          <w:tcPr>
            <w:tcW w:w="444" w:type="pct"/>
            <w:shd w:val="clear" w:color="auto" w:fill="auto"/>
            <w:vAlign w:val="center"/>
            <w:hideMark/>
          </w:tcPr>
          <w:p w14:paraId="61613A81" w14:textId="77777777" w:rsidR="00F73A38" w:rsidRPr="008F1D81" w:rsidRDefault="00F73A38" w:rsidP="00105BC5">
            <w:pPr>
              <w:rPr>
                <w:color w:val="000000"/>
                <w:lang w:val="en-US"/>
              </w:rPr>
            </w:pPr>
            <w:r w:rsidRPr="008F1D81">
              <w:rPr>
                <w:color w:val="000000"/>
                <w:lang w:val="en-US"/>
              </w:rPr>
              <w:t>CC</w:t>
            </w:r>
          </w:p>
        </w:tc>
        <w:tc>
          <w:tcPr>
            <w:tcW w:w="4556" w:type="pct"/>
            <w:shd w:val="clear" w:color="auto" w:fill="auto"/>
            <w:noWrap/>
            <w:vAlign w:val="bottom"/>
            <w:hideMark/>
          </w:tcPr>
          <w:p w14:paraId="6A0E5CB9" w14:textId="77777777" w:rsidR="00F73A38" w:rsidRPr="008F1D81" w:rsidRDefault="00F73A38" w:rsidP="00105BC5">
            <w:pPr>
              <w:rPr>
                <w:color w:val="000000"/>
                <w:lang w:val="en-US"/>
              </w:rPr>
            </w:pPr>
            <w:proofErr w:type="spellStart"/>
            <w:r w:rsidRPr="008F1D81">
              <w:rPr>
                <w:color w:val="000000"/>
                <w:lang w:val="en-US"/>
              </w:rPr>
              <w:t>Măsuri</w:t>
            </w:r>
            <w:proofErr w:type="spellEnd"/>
            <w:r w:rsidRPr="008F1D81">
              <w:rPr>
                <w:color w:val="000000"/>
                <w:lang w:val="en-US"/>
              </w:rPr>
              <w:t xml:space="preserve"> legate de </w:t>
            </w:r>
            <w:proofErr w:type="spellStart"/>
            <w:r w:rsidRPr="008F1D81">
              <w:rPr>
                <w:color w:val="000000"/>
                <w:lang w:val="en-US"/>
              </w:rPr>
              <w:t>extragerea</w:t>
            </w:r>
            <w:proofErr w:type="spellEnd"/>
            <w:r w:rsidRPr="008F1D81">
              <w:rPr>
                <w:color w:val="000000"/>
                <w:lang w:val="en-US"/>
              </w:rPr>
              <w:t xml:space="preserve"> </w:t>
            </w:r>
            <w:proofErr w:type="spellStart"/>
            <w:r w:rsidRPr="008F1D81">
              <w:rPr>
                <w:color w:val="000000"/>
                <w:lang w:val="en-US"/>
              </w:rPr>
              <w:t>resurselor</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producția</w:t>
            </w:r>
            <w:proofErr w:type="spellEnd"/>
            <w:r w:rsidRPr="008F1D81">
              <w:rPr>
                <w:color w:val="000000"/>
                <w:lang w:val="en-US"/>
              </w:rPr>
              <w:t xml:space="preserve"> de </w:t>
            </w:r>
            <w:proofErr w:type="spellStart"/>
            <w:r w:rsidRPr="008F1D81">
              <w:rPr>
                <w:color w:val="000000"/>
                <w:lang w:val="en-US"/>
              </w:rPr>
              <w:t>energie</w:t>
            </w:r>
            <w:proofErr w:type="spellEnd"/>
          </w:p>
        </w:tc>
      </w:tr>
      <w:tr w:rsidR="00F73A38" w:rsidRPr="008F1D81" w14:paraId="717A31A7" w14:textId="77777777" w:rsidTr="00105BC5">
        <w:trPr>
          <w:trHeight w:val="300"/>
        </w:trPr>
        <w:tc>
          <w:tcPr>
            <w:tcW w:w="444" w:type="pct"/>
            <w:shd w:val="clear" w:color="auto" w:fill="auto"/>
            <w:vAlign w:val="center"/>
            <w:hideMark/>
          </w:tcPr>
          <w:p w14:paraId="05F4F150" w14:textId="77777777" w:rsidR="00F73A38" w:rsidRPr="008F1D81" w:rsidRDefault="00F73A38" w:rsidP="00105BC5">
            <w:pPr>
              <w:rPr>
                <w:color w:val="000000"/>
                <w:lang w:val="en-US"/>
              </w:rPr>
            </w:pPr>
            <w:r w:rsidRPr="008F1D81">
              <w:rPr>
                <w:color w:val="000000"/>
                <w:lang w:val="en-US"/>
              </w:rPr>
              <w:t>CC01</w:t>
            </w:r>
          </w:p>
        </w:tc>
        <w:tc>
          <w:tcPr>
            <w:tcW w:w="4556" w:type="pct"/>
            <w:shd w:val="clear" w:color="auto" w:fill="auto"/>
            <w:noWrap/>
            <w:vAlign w:val="bottom"/>
            <w:hideMark/>
          </w:tcPr>
          <w:p w14:paraId="20DA4AF4" w14:textId="77777777" w:rsidR="00F73A38" w:rsidRPr="008F1D81" w:rsidRDefault="00F73A38" w:rsidP="00105BC5">
            <w:pPr>
              <w:rPr>
                <w:color w:val="000000"/>
                <w:lang w:val="en-US"/>
              </w:rPr>
            </w:pPr>
            <w:proofErr w:type="spellStart"/>
            <w:r w:rsidRPr="008F1D81">
              <w:rPr>
                <w:color w:val="000000"/>
                <w:lang w:val="en-US"/>
              </w:rPr>
              <w:t>Adaptarea</w:t>
            </w:r>
            <w:proofErr w:type="spellEnd"/>
            <w:r w:rsidRPr="008F1D81">
              <w:rPr>
                <w:color w:val="000000"/>
                <w:lang w:val="en-US"/>
              </w:rPr>
              <w:t xml:space="preserve"> / </w:t>
            </w:r>
            <w:proofErr w:type="spellStart"/>
            <w:r w:rsidRPr="008F1D81">
              <w:rPr>
                <w:color w:val="000000"/>
                <w:lang w:val="en-US"/>
              </w:rPr>
              <w:t>gestionarea</w:t>
            </w:r>
            <w:proofErr w:type="spellEnd"/>
            <w:r w:rsidRPr="008F1D81">
              <w:rPr>
                <w:color w:val="000000"/>
                <w:lang w:val="en-US"/>
              </w:rPr>
              <w:t xml:space="preserve"> </w:t>
            </w:r>
            <w:proofErr w:type="spellStart"/>
            <w:r w:rsidRPr="008F1D81">
              <w:rPr>
                <w:color w:val="000000"/>
                <w:lang w:val="en-US"/>
              </w:rPr>
              <w:t>extragerii</w:t>
            </w:r>
            <w:proofErr w:type="spellEnd"/>
            <w:r w:rsidRPr="008F1D81">
              <w:rPr>
                <w:color w:val="000000"/>
                <w:lang w:val="en-US"/>
              </w:rPr>
              <w:t xml:space="preserve"> </w:t>
            </w:r>
            <w:proofErr w:type="spellStart"/>
            <w:r w:rsidRPr="008F1D81">
              <w:rPr>
                <w:color w:val="000000"/>
                <w:lang w:val="en-US"/>
              </w:rPr>
              <w:t>resurselor</w:t>
            </w:r>
            <w:proofErr w:type="spellEnd"/>
            <w:r w:rsidRPr="008F1D81">
              <w:rPr>
                <w:color w:val="000000"/>
                <w:lang w:val="en-US"/>
              </w:rPr>
              <w:t xml:space="preserve"> non-</w:t>
            </w:r>
            <w:proofErr w:type="spellStart"/>
            <w:r w:rsidRPr="008F1D81">
              <w:rPr>
                <w:color w:val="000000"/>
                <w:lang w:val="en-US"/>
              </w:rPr>
              <w:t>energetice</w:t>
            </w:r>
            <w:proofErr w:type="spellEnd"/>
          </w:p>
        </w:tc>
      </w:tr>
      <w:tr w:rsidR="00F73A38" w:rsidRPr="008F1D81" w14:paraId="49F9A97D" w14:textId="77777777" w:rsidTr="00105BC5">
        <w:trPr>
          <w:trHeight w:val="300"/>
        </w:trPr>
        <w:tc>
          <w:tcPr>
            <w:tcW w:w="444" w:type="pct"/>
            <w:shd w:val="clear" w:color="auto" w:fill="auto"/>
            <w:vAlign w:val="center"/>
            <w:hideMark/>
          </w:tcPr>
          <w:p w14:paraId="77CFCAA7" w14:textId="77777777" w:rsidR="00F73A38" w:rsidRPr="008F1D81" w:rsidRDefault="00F73A38" w:rsidP="00105BC5">
            <w:pPr>
              <w:rPr>
                <w:color w:val="000000"/>
                <w:lang w:val="en-US"/>
              </w:rPr>
            </w:pPr>
            <w:r w:rsidRPr="008F1D81">
              <w:rPr>
                <w:color w:val="000000"/>
                <w:lang w:val="en-US"/>
              </w:rPr>
              <w:t>CC02</w:t>
            </w:r>
          </w:p>
        </w:tc>
        <w:tc>
          <w:tcPr>
            <w:tcW w:w="4556" w:type="pct"/>
            <w:shd w:val="clear" w:color="auto" w:fill="auto"/>
            <w:noWrap/>
            <w:vAlign w:val="bottom"/>
            <w:hideMark/>
          </w:tcPr>
          <w:p w14:paraId="799E5396" w14:textId="77777777" w:rsidR="00F73A38" w:rsidRPr="008F1D81" w:rsidRDefault="00F73A38" w:rsidP="00105BC5">
            <w:pPr>
              <w:rPr>
                <w:color w:val="000000"/>
                <w:lang w:val="en-US"/>
              </w:rPr>
            </w:pPr>
            <w:proofErr w:type="spellStart"/>
            <w:r w:rsidRPr="008F1D81">
              <w:rPr>
                <w:color w:val="000000"/>
                <w:lang w:val="en-US"/>
              </w:rPr>
              <w:t>Adaptarea</w:t>
            </w:r>
            <w:proofErr w:type="spellEnd"/>
            <w:r w:rsidRPr="008F1D81">
              <w:rPr>
                <w:color w:val="000000"/>
                <w:lang w:val="en-US"/>
              </w:rPr>
              <w:t xml:space="preserve"> / </w:t>
            </w:r>
            <w:proofErr w:type="spellStart"/>
            <w:r w:rsidRPr="008F1D81">
              <w:rPr>
                <w:color w:val="000000"/>
                <w:lang w:val="en-US"/>
              </w:rPr>
              <w:t>gestionarea</w:t>
            </w:r>
            <w:proofErr w:type="spellEnd"/>
            <w:r w:rsidRPr="008F1D81">
              <w:rPr>
                <w:color w:val="000000"/>
                <w:lang w:val="en-US"/>
              </w:rPr>
              <w:t xml:space="preserve"> </w:t>
            </w:r>
            <w:proofErr w:type="spellStart"/>
            <w:r w:rsidRPr="008F1D81">
              <w:rPr>
                <w:color w:val="000000"/>
                <w:lang w:val="en-US"/>
              </w:rPr>
              <w:t>exploatării</w:t>
            </w:r>
            <w:proofErr w:type="spellEnd"/>
            <w:r w:rsidRPr="008F1D81">
              <w:rPr>
                <w:color w:val="000000"/>
                <w:lang w:val="en-US"/>
              </w:rPr>
              <w:t xml:space="preserve"> </w:t>
            </w:r>
            <w:proofErr w:type="spellStart"/>
            <w:r w:rsidRPr="008F1D81">
              <w:rPr>
                <w:color w:val="000000"/>
                <w:lang w:val="en-US"/>
              </w:rPr>
              <w:t>resurselor</w:t>
            </w:r>
            <w:proofErr w:type="spellEnd"/>
            <w:r w:rsidRPr="008F1D81">
              <w:rPr>
                <w:color w:val="000000"/>
                <w:lang w:val="en-US"/>
              </w:rPr>
              <w:t xml:space="preserve"> </w:t>
            </w:r>
            <w:proofErr w:type="spellStart"/>
            <w:r w:rsidRPr="008F1D81">
              <w:rPr>
                <w:color w:val="000000"/>
                <w:lang w:val="en-US"/>
              </w:rPr>
              <w:t>energetice</w:t>
            </w:r>
            <w:proofErr w:type="spellEnd"/>
          </w:p>
        </w:tc>
      </w:tr>
      <w:tr w:rsidR="00F73A38" w:rsidRPr="008F1D81" w14:paraId="315D730E" w14:textId="77777777" w:rsidTr="00105BC5">
        <w:trPr>
          <w:trHeight w:val="300"/>
        </w:trPr>
        <w:tc>
          <w:tcPr>
            <w:tcW w:w="444" w:type="pct"/>
            <w:shd w:val="clear" w:color="auto" w:fill="auto"/>
            <w:vAlign w:val="center"/>
            <w:hideMark/>
          </w:tcPr>
          <w:p w14:paraId="09E7EDF7" w14:textId="77777777" w:rsidR="00F73A38" w:rsidRPr="008F1D81" w:rsidRDefault="00F73A38" w:rsidP="00105BC5">
            <w:pPr>
              <w:rPr>
                <w:color w:val="000000"/>
                <w:lang w:val="en-US"/>
              </w:rPr>
            </w:pPr>
            <w:r w:rsidRPr="008F1D81">
              <w:rPr>
                <w:color w:val="000000"/>
                <w:lang w:val="en-US"/>
              </w:rPr>
              <w:t>CC03</w:t>
            </w:r>
          </w:p>
        </w:tc>
        <w:tc>
          <w:tcPr>
            <w:tcW w:w="4556" w:type="pct"/>
            <w:shd w:val="clear" w:color="auto" w:fill="auto"/>
            <w:noWrap/>
            <w:vAlign w:val="bottom"/>
            <w:hideMark/>
          </w:tcPr>
          <w:p w14:paraId="21A0D022" w14:textId="77777777" w:rsidR="00F73A38" w:rsidRPr="008F1D81" w:rsidRDefault="00F73A38" w:rsidP="00105BC5">
            <w:pPr>
              <w:rPr>
                <w:color w:val="000000"/>
                <w:lang w:val="en-US"/>
              </w:rPr>
            </w:pPr>
            <w:proofErr w:type="spellStart"/>
            <w:r w:rsidRPr="008F1D81">
              <w:rPr>
                <w:color w:val="000000"/>
                <w:lang w:val="en-US"/>
              </w:rPr>
              <w:t>Adaptarea</w:t>
            </w:r>
            <w:proofErr w:type="spellEnd"/>
            <w:r w:rsidRPr="008F1D81">
              <w:rPr>
                <w:color w:val="000000"/>
                <w:lang w:val="en-US"/>
              </w:rPr>
              <w:t xml:space="preserve"> / </w:t>
            </w:r>
            <w:proofErr w:type="spellStart"/>
            <w:r w:rsidRPr="008F1D81">
              <w:rPr>
                <w:color w:val="000000"/>
                <w:lang w:val="en-US"/>
              </w:rPr>
              <w:t>administrarea</w:t>
            </w:r>
            <w:proofErr w:type="spellEnd"/>
            <w:r w:rsidRPr="008F1D81">
              <w:rPr>
                <w:color w:val="000000"/>
                <w:lang w:val="en-US"/>
              </w:rPr>
              <w:t xml:space="preserve"> </w:t>
            </w:r>
            <w:proofErr w:type="spellStart"/>
            <w:r w:rsidRPr="008F1D81">
              <w:rPr>
                <w:color w:val="000000"/>
                <w:lang w:val="en-US"/>
              </w:rPr>
              <w:t>instalațiilor</w:t>
            </w:r>
            <w:proofErr w:type="spellEnd"/>
            <w:r w:rsidRPr="008F1D81">
              <w:rPr>
                <w:color w:val="000000"/>
                <w:lang w:val="en-US"/>
              </w:rPr>
              <w:t xml:space="preserve"> de </w:t>
            </w:r>
            <w:proofErr w:type="spellStart"/>
            <w:r w:rsidRPr="008F1D81">
              <w:rPr>
                <w:color w:val="000000"/>
                <w:lang w:val="en-US"/>
              </w:rPr>
              <w:t>energie</w:t>
            </w:r>
            <w:proofErr w:type="spellEnd"/>
            <w:r w:rsidRPr="008F1D81">
              <w:rPr>
                <w:color w:val="000000"/>
                <w:lang w:val="en-US"/>
              </w:rPr>
              <w:t xml:space="preserve"> </w:t>
            </w:r>
            <w:proofErr w:type="spellStart"/>
            <w:r w:rsidRPr="008F1D81">
              <w:rPr>
                <w:color w:val="000000"/>
                <w:lang w:val="en-US"/>
              </w:rPr>
              <w:t>regenerabila</w:t>
            </w:r>
            <w:proofErr w:type="spellEnd"/>
            <w:r w:rsidRPr="008F1D81">
              <w:rPr>
                <w:color w:val="000000"/>
                <w:lang w:val="en-US"/>
              </w:rPr>
              <w:t xml:space="preserve">, </w:t>
            </w:r>
            <w:proofErr w:type="spellStart"/>
            <w:r w:rsidRPr="008F1D81">
              <w:rPr>
                <w:color w:val="000000"/>
                <w:lang w:val="en-US"/>
              </w:rPr>
              <w:t>facilitatilor</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funcționării</w:t>
            </w:r>
            <w:proofErr w:type="spellEnd"/>
            <w:r w:rsidRPr="008F1D81">
              <w:rPr>
                <w:color w:val="000000"/>
                <w:lang w:val="en-US"/>
              </w:rPr>
              <w:t xml:space="preserve"> </w:t>
            </w:r>
            <w:proofErr w:type="spellStart"/>
            <w:r w:rsidRPr="008F1D81">
              <w:rPr>
                <w:color w:val="000000"/>
                <w:lang w:val="en-US"/>
              </w:rPr>
              <w:t>acestora</w:t>
            </w:r>
            <w:proofErr w:type="spellEnd"/>
          </w:p>
        </w:tc>
      </w:tr>
      <w:tr w:rsidR="00F73A38" w:rsidRPr="008F1D81" w14:paraId="5AE2C599" w14:textId="77777777" w:rsidTr="00105BC5">
        <w:trPr>
          <w:trHeight w:val="300"/>
        </w:trPr>
        <w:tc>
          <w:tcPr>
            <w:tcW w:w="444" w:type="pct"/>
            <w:shd w:val="clear" w:color="auto" w:fill="auto"/>
            <w:vAlign w:val="center"/>
            <w:hideMark/>
          </w:tcPr>
          <w:p w14:paraId="6913BD98" w14:textId="77777777" w:rsidR="00F73A38" w:rsidRPr="008F1D81" w:rsidRDefault="00F73A38" w:rsidP="00105BC5">
            <w:pPr>
              <w:rPr>
                <w:color w:val="000000"/>
                <w:lang w:val="en-US"/>
              </w:rPr>
            </w:pPr>
            <w:r w:rsidRPr="008F1D81">
              <w:rPr>
                <w:color w:val="000000"/>
                <w:lang w:val="en-US"/>
              </w:rPr>
              <w:t>CC05</w:t>
            </w:r>
          </w:p>
        </w:tc>
        <w:tc>
          <w:tcPr>
            <w:tcW w:w="4556" w:type="pct"/>
            <w:shd w:val="clear" w:color="auto" w:fill="auto"/>
            <w:noWrap/>
            <w:vAlign w:val="bottom"/>
            <w:hideMark/>
          </w:tcPr>
          <w:p w14:paraId="355D646F" w14:textId="77777777" w:rsidR="00F73A38" w:rsidRPr="008F1D81" w:rsidRDefault="00F73A38" w:rsidP="00105BC5">
            <w:pPr>
              <w:rPr>
                <w:color w:val="000000"/>
                <w:lang w:val="en-US"/>
              </w:rPr>
            </w:pPr>
            <w:proofErr w:type="spellStart"/>
            <w:r w:rsidRPr="008F1D81">
              <w:rPr>
                <w:color w:val="000000"/>
                <w:lang w:val="en-US"/>
              </w:rPr>
              <w:t>Adaptarea</w:t>
            </w:r>
            <w:proofErr w:type="spellEnd"/>
            <w:r w:rsidRPr="008F1D81">
              <w:rPr>
                <w:color w:val="000000"/>
                <w:lang w:val="en-US"/>
              </w:rPr>
              <w:t xml:space="preserve"> / </w:t>
            </w:r>
            <w:proofErr w:type="spellStart"/>
            <w:r w:rsidRPr="008F1D81">
              <w:rPr>
                <w:color w:val="000000"/>
                <w:lang w:val="en-US"/>
              </w:rPr>
              <w:t>administrarea</w:t>
            </w:r>
            <w:proofErr w:type="spellEnd"/>
            <w:r w:rsidRPr="008F1D81">
              <w:rPr>
                <w:color w:val="000000"/>
                <w:lang w:val="en-US"/>
              </w:rPr>
              <w:t xml:space="preserve"> </w:t>
            </w:r>
            <w:proofErr w:type="spellStart"/>
            <w:r w:rsidRPr="008F1D81">
              <w:rPr>
                <w:color w:val="000000"/>
                <w:lang w:val="en-US"/>
              </w:rPr>
              <w:t>instalațiilor</w:t>
            </w:r>
            <w:proofErr w:type="spellEnd"/>
            <w:r w:rsidRPr="008F1D81">
              <w:rPr>
                <w:color w:val="000000"/>
                <w:lang w:val="en-US"/>
              </w:rPr>
              <w:t xml:space="preserve"> de </w:t>
            </w:r>
            <w:proofErr w:type="spellStart"/>
            <w:r w:rsidRPr="008F1D81">
              <w:rPr>
                <w:color w:val="000000"/>
                <w:lang w:val="en-US"/>
              </w:rPr>
              <w:t>energie</w:t>
            </w:r>
            <w:proofErr w:type="spellEnd"/>
            <w:r w:rsidRPr="008F1D81">
              <w:rPr>
                <w:color w:val="000000"/>
                <w:lang w:val="en-US"/>
              </w:rPr>
              <w:t xml:space="preserve"> </w:t>
            </w:r>
            <w:proofErr w:type="spellStart"/>
            <w:r w:rsidRPr="008F1D81">
              <w:rPr>
                <w:color w:val="000000"/>
                <w:lang w:val="en-US"/>
              </w:rPr>
              <w:t>fosila</w:t>
            </w:r>
            <w:proofErr w:type="spellEnd"/>
            <w:r w:rsidRPr="008F1D81">
              <w:rPr>
                <w:color w:val="000000"/>
                <w:lang w:val="en-US"/>
              </w:rPr>
              <w:t xml:space="preserve">, </w:t>
            </w:r>
            <w:proofErr w:type="spellStart"/>
            <w:r w:rsidRPr="008F1D81">
              <w:rPr>
                <w:color w:val="000000"/>
                <w:lang w:val="en-US"/>
              </w:rPr>
              <w:t>facilitatilor</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funcționării</w:t>
            </w:r>
            <w:proofErr w:type="spellEnd"/>
            <w:r w:rsidRPr="008F1D81">
              <w:rPr>
                <w:color w:val="000000"/>
                <w:lang w:val="en-US"/>
              </w:rPr>
              <w:t xml:space="preserve"> </w:t>
            </w:r>
            <w:proofErr w:type="spellStart"/>
            <w:r w:rsidRPr="008F1D81">
              <w:rPr>
                <w:color w:val="000000"/>
                <w:lang w:val="en-US"/>
              </w:rPr>
              <w:t>acestora</w:t>
            </w:r>
            <w:proofErr w:type="spellEnd"/>
          </w:p>
        </w:tc>
      </w:tr>
      <w:tr w:rsidR="00F73A38" w:rsidRPr="008F1D81" w14:paraId="08D1EFD6" w14:textId="77777777" w:rsidTr="00105BC5">
        <w:trPr>
          <w:trHeight w:val="300"/>
        </w:trPr>
        <w:tc>
          <w:tcPr>
            <w:tcW w:w="444" w:type="pct"/>
            <w:shd w:val="clear" w:color="auto" w:fill="auto"/>
            <w:vAlign w:val="center"/>
            <w:hideMark/>
          </w:tcPr>
          <w:p w14:paraId="48C35F2A" w14:textId="77777777" w:rsidR="00F73A38" w:rsidRPr="008F1D81" w:rsidRDefault="00F73A38" w:rsidP="00105BC5">
            <w:pPr>
              <w:rPr>
                <w:color w:val="000000"/>
                <w:lang w:val="en-US"/>
              </w:rPr>
            </w:pPr>
            <w:r w:rsidRPr="008F1D81">
              <w:rPr>
                <w:color w:val="000000"/>
                <w:lang w:val="en-US"/>
              </w:rPr>
              <w:t>CC06</w:t>
            </w:r>
          </w:p>
        </w:tc>
        <w:tc>
          <w:tcPr>
            <w:tcW w:w="4556" w:type="pct"/>
            <w:shd w:val="clear" w:color="auto" w:fill="auto"/>
            <w:noWrap/>
            <w:vAlign w:val="bottom"/>
            <w:hideMark/>
          </w:tcPr>
          <w:p w14:paraId="0A26AD45"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w:t>
            </w:r>
            <w:proofErr w:type="spellStart"/>
            <w:r w:rsidRPr="008F1D81">
              <w:rPr>
                <w:color w:val="000000"/>
                <w:lang w:val="en-US"/>
              </w:rPr>
              <w:t>impactului</w:t>
            </w:r>
            <w:proofErr w:type="spellEnd"/>
            <w:r w:rsidRPr="008F1D81">
              <w:rPr>
                <w:color w:val="000000"/>
                <w:lang w:val="en-US"/>
              </w:rPr>
              <w:t xml:space="preserve"> </w:t>
            </w:r>
            <w:proofErr w:type="spellStart"/>
            <w:r w:rsidRPr="008F1D81">
              <w:rPr>
                <w:color w:val="000000"/>
                <w:lang w:val="en-US"/>
              </w:rPr>
              <w:t>coridoarelor</w:t>
            </w:r>
            <w:proofErr w:type="spellEnd"/>
            <w:r w:rsidRPr="008F1D81">
              <w:rPr>
                <w:color w:val="000000"/>
                <w:lang w:val="en-US"/>
              </w:rPr>
              <w:t xml:space="preserve"> </w:t>
            </w:r>
            <w:proofErr w:type="spellStart"/>
            <w:r w:rsidRPr="008F1D81">
              <w:rPr>
                <w:color w:val="000000"/>
                <w:lang w:val="en-US"/>
              </w:rPr>
              <w:t>si</w:t>
            </w:r>
            <w:proofErr w:type="spellEnd"/>
            <w:r w:rsidRPr="008F1D81">
              <w:rPr>
                <w:color w:val="000000"/>
                <w:lang w:val="en-US"/>
              </w:rPr>
              <w:t xml:space="preserve"> </w:t>
            </w:r>
            <w:proofErr w:type="spellStart"/>
            <w:r w:rsidRPr="008F1D81">
              <w:rPr>
                <w:color w:val="000000"/>
                <w:lang w:val="en-US"/>
              </w:rPr>
              <w:t>retelelor</w:t>
            </w:r>
            <w:proofErr w:type="spellEnd"/>
            <w:r w:rsidRPr="008F1D81">
              <w:rPr>
                <w:color w:val="000000"/>
                <w:lang w:val="en-US"/>
              </w:rPr>
              <w:t xml:space="preserve"> de </w:t>
            </w:r>
            <w:proofErr w:type="spellStart"/>
            <w:r w:rsidRPr="008F1D81">
              <w:rPr>
                <w:color w:val="000000"/>
                <w:lang w:val="en-US"/>
              </w:rPr>
              <w:t>sercivii</w:t>
            </w:r>
            <w:proofErr w:type="spellEnd"/>
          </w:p>
        </w:tc>
      </w:tr>
      <w:tr w:rsidR="00F73A38" w:rsidRPr="008F1D81" w14:paraId="287FA6A5" w14:textId="77777777" w:rsidTr="00105BC5">
        <w:trPr>
          <w:trHeight w:val="300"/>
        </w:trPr>
        <w:tc>
          <w:tcPr>
            <w:tcW w:w="444" w:type="pct"/>
            <w:shd w:val="clear" w:color="auto" w:fill="auto"/>
            <w:vAlign w:val="center"/>
            <w:hideMark/>
          </w:tcPr>
          <w:p w14:paraId="78EA87F5" w14:textId="77777777" w:rsidR="00F73A38" w:rsidRPr="008F1D81" w:rsidRDefault="00F73A38" w:rsidP="00105BC5">
            <w:pPr>
              <w:rPr>
                <w:color w:val="000000"/>
                <w:lang w:val="en-US"/>
              </w:rPr>
            </w:pPr>
            <w:r w:rsidRPr="008F1D81">
              <w:rPr>
                <w:color w:val="000000"/>
                <w:lang w:val="en-US"/>
              </w:rPr>
              <w:t>CC07</w:t>
            </w:r>
          </w:p>
        </w:tc>
        <w:tc>
          <w:tcPr>
            <w:tcW w:w="4556" w:type="pct"/>
            <w:shd w:val="clear" w:color="auto" w:fill="auto"/>
            <w:noWrap/>
            <w:vAlign w:val="bottom"/>
            <w:hideMark/>
          </w:tcPr>
          <w:p w14:paraId="586EAA14" w14:textId="77777777" w:rsidR="00F73A38" w:rsidRPr="008F1D81" w:rsidRDefault="00F73A38" w:rsidP="00105BC5">
            <w:pPr>
              <w:rPr>
                <w:color w:val="000000"/>
                <w:lang w:val="en-US"/>
              </w:rPr>
            </w:pPr>
            <w:proofErr w:type="spellStart"/>
            <w:r w:rsidRPr="008F1D81">
              <w:rPr>
                <w:color w:val="000000"/>
                <w:lang w:val="en-US"/>
              </w:rPr>
              <w:t>Restaurarea</w:t>
            </w:r>
            <w:proofErr w:type="spellEnd"/>
            <w:r w:rsidRPr="008F1D81">
              <w:rPr>
                <w:color w:val="000000"/>
                <w:lang w:val="en-US"/>
              </w:rPr>
              <w:t xml:space="preserve"> / </w:t>
            </w:r>
            <w:proofErr w:type="spellStart"/>
            <w:r w:rsidRPr="008F1D81">
              <w:rPr>
                <w:color w:val="000000"/>
                <w:lang w:val="en-US"/>
              </w:rPr>
              <w:t>crearea</w:t>
            </w:r>
            <w:proofErr w:type="spellEnd"/>
            <w:r w:rsidRPr="008F1D81">
              <w:rPr>
                <w:color w:val="000000"/>
                <w:lang w:val="en-US"/>
              </w:rPr>
              <w:t xml:space="preserve"> </w:t>
            </w:r>
            <w:proofErr w:type="spellStart"/>
            <w:r w:rsidRPr="008F1D81">
              <w:rPr>
                <w:color w:val="000000"/>
                <w:lang w:val="en-US"/>
              </w:rPr>
              <w:t>habitatelor</w:t>
            </w:r>
            <w:proofErr w:type="spellEnd"/>
            <w:r w:rsidRPr="008F1D81">
              <w:rPr>
                <w:color w:val="000000"/>
                <w:lang w:val="en-US"/>
              </w:rPr>
              <w:t xml:space="preserve"> din </w:t>
            </w:r>
            <w:proofErr w:type="spellStart"/>
            <w:r w:rsidRPr="008F1D81">
              <w:rPr>
                <w:color w:val="000000"/>
                <w:lang w:val="en-US"/>
              </w:rPr>
              <w:t>resurse</w:t>
            </w:r>
            <w:proofErr w:type="spellEnd"/>
            <w:r w:rsidRPr="008F1D81">
              <w:rPr>
                <w:color w:val="000000"/>
                <w:lang w:val="en-US"/>
              </w:rPr>
              <w:t xml:space="preserve">, zone de </w:t>
            </w:r>
            <w:proofErr w:type="spellStart"/>
            <w:r w:rsidRPr="008F1D81">
              <w:rPr>
                <w:color w:val="000000"/>
                <w:lang w:val="en-US"/>
              </w:rPr>
              <w:t>exploatare</w:t>
            </w:r>
            <w:proofErr w:type="spellEnd"/>
            <w:r w:rsidRPr="008F1D81">
              <w:rPr>
                <w:color w:val="000000"/>
                <w:lang w:val="en-US"/>
              </w:rPr>
              <w:t xml:space="preserve"> </w:t>
            </w:r>
            <w:proofErr w:type="spellStart"/>
            <w:r w:rsidRPr="008F1D81">
              <w:rPr>
                <w:color w:val="000000"/>
                <w:lang w:val="en-US"/>
              </w:rPr>
              <w:t>sau</w:t>
            </w:r>
            <w:proofErr w:type="spellEnd"/>
            <w:r w:rsidRPr="008F1D81">
              <w:rPr>
                <w:color w:val="000000"/>
                <w:lang w:val="en-US"/>
              </w:rPr>
              <w:t xml:space="preserve"> zone deteriorate din </w:t>
            </w:r>
            <w:proofErr w:type="spellStart"/>
            <w:r w:rsidRPr="008F1D81">
              <w:rPr>
                <w:color w:val="000000"/>
                <w:lang w:val="en-US"/>
              </w:rPr>
              <w:t>cauza</w:t>
            </w:r>
            <w:proofErr w:type="spellEnd"/>
            <w:r w:rsidRPr="008F1D81">
              <w:rPr>
                <w:color w:val="000000"/>
                <w:lang w:val="en-US"/>
              </w:rPr>
              <w:t xml:space="preserve"> </w:t>
            </w:r>
            <w:proofErr w:type="spellStart"/>
            <w:r w:rsidRPr="008F1D81">
              <w:rPr>
                <w:color w:val="000000"/>
                <w:lang w:val="en-US"/>
              </w:rPr>
              <w:t>instalării</w:t>
            </w:r>
            <w:proofErr w:type="spellEnd"/>
            <w:r w:rsidRPr="008F1D81">
              <w:rPr>
                <w:color w:val="000000"/>
                <w:lang w:val="en-US"/>
              </w:rPr>
              <w:t xml:space="preserve"> </w:t>
            </w:r>
            <w:proofErr w:type="spellStart"/>
            <w:r w:rsidRPr="008F1D81">
              <w:rPr>
                <w:color w:val="000000"/>
                <w:lang w:val="en-US"/>
              </w:rPr>
              <w:t>infrastructurii</w:t>
            </w:r>
            <w:proofErr w:type="spellEnd"/>
            <w:r w:rsidRPr="008F1D81">
              <w:rPr>
                <w:color w:val="000000"/>
                <w:lang w:val="en-US"/>
              </w:rPr>
              <w:t xml:space="preserve"> de </w:t>
            </w:r>
            <w:proofErr w:type="spellStart"/>
            <w:r w:rsidRPr="008F1D81">
              <w:rPr>
                <w:color w:val="000000"/>
                <w:lang w:val="en-US"/>
              </w:rPr>
              <w:t>energie</w:t>
            </w:r>
            <w:proofErr w:type="spellEnd"/>
            <w:r w:rsidRPr="008F1D81">
              <w:rPr>
                <w:color w:val="000000"/>
                <w:lang w:val="en-US"/>
              </w:rPr>
              <w:t xml:space="preserve"> </w:t>
            </w:r>
            <w:proofErr w:type="spellStart"/>
            <w:r w:rsidRPr="008F1D81">
              <w:rPr>
                <w:color w:val="000000"/>
                <w:lang w:val="en-US"/>
              </w:rPr>
              <w:t>regenerabilă</w:t>
            </w:r>
            <w:proofErr w:type="spellEnd"/>
          </w:p>
        </w:tc>
      </w:tr>
      <w:tr w:rsidR="00F73A38" w:rsidRPr="008F1D81" w14:paraId="69019A5A" w14:textId="77777777" w:rsidTr="00105BC5">
        <w:trPr>
          <w:trHeight w:val="300"/>
        </w:trPr>
        <w:tc>
          <w:tcPr>
            <w:tcW w:w="444" w:type="pct"/>
            <w:shd w:val="clear" w:color="auto" w:fill="auto"/>
            <w:vAlign w:val="center"/>
            <w:hideMark/>
          </w:tcPr>
          <w:p w14:paraId="4428D890" w14:textId="77777777" w:rsidR="00F73A38" w:rsidRPr="008F1D81" w:rsidRDefault="00F73A38" w:rsidP="00105BC5">
            <w:pPr>
              <w:rPr>
                <w:color w:val="000000"/>
                <w:lang w:val="en-US"/>
              </w:rPr>
            </w:pPr>
            <w:r w:rsidRPr="008F1D81">
              <w:rPr>
                <w:color w:val="000000"/>
                <w:lang w:val="en-US"/>
              </w:rPr>
              <w:t>CC08</w:t>
            </w:r>
          </w:p>
        </w:tc>
        <w:tc>
          <w:tcPr>
            <w:tcW w:w="4556" w:type="pct"/>
            <w:shd w:val="clear" w:color="auto" w:fill="auto"/>
            <w:noWrap/>
            <w:vAlign w:val="bottom"/>
            <w:hideMark/>
          </w:tcPr>
          <w:p w14:paraId="6E08F73C" w14:textId="77777777" w:rsidR="00F73A38" w:rsidRPr="008F1D81" w:rsidRDefault="00F73A38" w:rsidP="00105BC5">
            <w:pPr>
              <w:rPr>
                <w:color w:val="000000"/>
                <w:lang w:val="en-US"/>
              </w:rPr>
            </w:pPr>
            <w:proofErr w:type="spellStart"/>
            <w:r w:rsidRPr="008F1D81">
              <w:rPr>
                <w:color w:val="000000"/>
                <w:lang w:val="en-US"/>
              </w:rPr>
              <w:t>Gestionarea</w:t>
            </w:r>
            <w:proofErr w:type="spellEnd"/>
            <w:r w:rsidRPr="008F1D81">
              <w:rPr>
                <w:color w:val="000000"/>
                <w:lang w:val="en-US"/>
              </w:rPr>
              <w:t xml:space="preserve"> / </w:t>
            </w: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poluării</w:t>
            </w:r>
            <w:proofErr w:type="spellEnd"/>
            <w:r w:rsidRPr="008F1D81">
              <w:rPr>
                <w:color w:val="000000"/>
                <w:lang w:val="en-US"/>
              </w:rPr>
              <w:t xml:space="preserve"> </w:t>
            </w:r>
            <w:proofErr w:type="spellStart"/>
            <w:r w:rsidRPr="008F1D81">
              <w:rPr>
                <w:color w:val="000000"/>
                <w:lang w:val="en-US"/>
              </w:rPr>
              <w:t>punctuale</w:t>
            </w:r>
            <w:proofErr w:type="spellEnd"/>
            <w:r w:rsidRPr="008F1D81">
              <w:rPr>
                <w:color w:val="000000"/>
                <w:lang w:val="en-US"/>
              </w:rPr>
              <w:t xml:space="preserve"> a </w:t>
            </w:r>
            <w:proofErr w:type="spellStart"/>
            <w:r w:rsidRPr="008F1D81">
              <w:rPr>
                <w:color w:val="000000"/>
                <w:lang w:val="en-US"/>
              </w:rPr>
              <w:t>apelor</w:t>
            </w:r>
            <w:proofErr w:type="spellEnd"/>
            <w:r w:rsidRPr="008F1D81">
              <w:rPr>
                <w:color w:val="000000"/>
                <w:lang w:val="en-US"/>
              </w:rPr>
              <w:t xml:space="preserve"> de </w:t>
            </w:r>
            <w:proofErr w:type="spellStart"/>
            <w:r w:rsidRPr="008F1D81">
              <w:rPr>
                <w:color w:val="000000"/>
                <w:lang w:val="en-US"/>
              </w:rPr>
              <w:t>suprafață</w:t>
            </w:r>
            <w:proofErr w:type="spellEnd"/>
            <w:r w:rsidRPr="008F1D81">
              <w:rPr>
                <w:color w:val="000000"/>
                <w:lang w:val="en-US"/>
              </w:rPr>
              <w:t xml:space="preserve"> </w:t>
            </w:r>
            <w:proofErr w:type="spellStart"/>
            <w:r w:rsidRPr="008F1D81">
              <w:rPr>
                <w:color w:val="000000"/>
                <w:lang w:val="en-US"/>
              </w:rPr>
              <w:t>sau</w:t>
            </w:r>
            <w:proofErr w:type="spellEnd"/>
            <w:r w:rsidRPr="008F1D81">
              <w:rPr>
                <w:color w:val="000000"/>
                <w:lang w:val="en-US"/>
              </w:rPr>
              <w:t xml:space="preserve"> </w:t>
            </w:r>
            <w:proofErr w:type="spellStart"/>
            <w:r w:rsidRPr="008F1D81">
              <w:rPr>
                <w:color w:val="000000"/>
                <w:lang w:val="en-US"/>
              </w:rPr>
              <w:t>subterane</w:t>
            </w:r>
            <w:proofErr w:type="spellEnd"/>
            <w:r w:rsidRPr="008F1D81">
              <w:rPr>
                <w:color w:val="000000"/>
                <w:lang w:val="en-US"/>
              </w:rPr>
              <w:t xml:space="preserve"> din </w:t>
            </w:r>
            <w:proofErr w:type="spellStart"/>
            <w:r w:rsidRPr="008F1D81">
              <w:rPr>
                <w:color w:val="000000"/>
                <w:lang w:val="en-US"/>
              </w:rPr>
              <w:t>exploatarea</w:t>
            </w:r>
            <w:proofErr w:type="spellEnd"/>
            <w:r w:rsidRPr="008F1D81">
              <w:rPr>
                <w:color w:val="000000"/>
                <w:lang w:val="en-US"/>
              </w:rPr>
              <w:t xml:space="preserve"> </w:t>
            </w:r>
            <w:proofErr w:type="spellStart"/>
            <w:r w:rsidRPr="008F1D81">
              <w:rPr>
                <w:color w:val="000000"/>
                <w:lang w:val="en-US"/>
              </w:rPr>
              <w:t>resurselor</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producția</w:t>
            </w:r>
            <w:proofErr w:type="spellEnd"/>
            <w:r w:rsidRPr="008F1D81">
              <w:rPr>
                <w:color w:val="000000"/>
                <w:lang w:val="en-US"/>
              </w:rPr>
              <w:t xml:space="preserve"> de </w:t>
            </w:r>
            <w:proofErr w:type="spellStart"/>
            <w:r w:rsidRPr="008F1D81">
              <w:rPr>
                <w:color w:val="000000"/>
                <w:lang w:val="en-US"/>
              </w:rPr>
              <w:t>energie</w:t>
            </w:r>
            <w:proofErr w:type="spellEnd"/>
          </w:p>
        </w:tc>
      </w:tr>
      <w:tr w:rsidR="00F73A38" w:rsidRPr="008F1D81" w14:paraId="4E5E8999" w14:textId="77777777" w:rsidTr="00105BC5">
        <w:trPr>
          <w:trHeight w:val="300"/>
        </w:trPr>
        <w:tc>
          <w:tcPr>
            <w:tcW w:w="444" w:type="pct"/>
            <w:shd w:val="clear" w:color="auto" w:fill="auto"/>
            <w:vAlign w:val="center"/>
            <w:hideMark/>
          </w:tcPr>
          <w:p w14:paraId="7D8B5BB6" w14:textId="77777777" w:rsidR="00F73A38" w:rsidRPr="008F1D81" w:rsidRDefault="00F73A38" w:rsidP="00105BC5">
            <w:pPr>
              <w:rPr>
                <w:color w:val="000000"/>
                <w:lang w:val="en-US"/>
              </w:rPr>
            </w:pPr>
            <w:r w:rsidRPr="008F1D81">
              <w:rPr>
                <w:color w:val="000000"/>
                <w:lang w:val="en-US"/>
              </w:rPr>
              <w:t>CC09</w:t>
            </w:r>
          </w:p>
        </w:tc>
        <w:tc>
          <w:tcPr>
            <w:tcW w:w="4556" w:type="pct"/>
            <w:shd w:val="clear" w:color="auto" w:fill="auto"/>
            <w:noWrap/>
            <w:vAlign w:val="bottom"/>
            <w:hideMark/>
          </w:tcPr>
          <w:p w14:paraId="664A6055" w14:textId="77777777" w:rsidR="00F73A38" w:rsidRPr="008F1D81" w:rsidRDefault="00F73A38" w:rsidP="00105BC5">
            <w:pPr>
              <w:rPr>
                <w:color w:val="000000"/>
                <w:lang w:val="en-US"/>
              </w:rPr>
            </w:pPr>
            <w:proofErr w:type="spellStart"/>
            <w:r w:rsidRPr="008F1D81">
              <w:rPr>
                <w:color w:val="000000"/>
                <w:lang w:val="en-US"/>
              </w:rPr>
              <w:t>Gestionarea</w:t>
            </w:r>
            <w:proofErr w:type="spellEnd"/>
            <w:r w:rsidRPr="008F1D81">
              <w:rPr>
                <w:color w:val="000000"/>
                <w:lang w:val="en-US"/>
              </w:rPr>
              <w:t xml:space="preserve"> / </w:t>
            </w: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poluarea</w:t>
            </w:r>
            <w:proofErr w:type="spellEnd"/>
            <w:r w:rsidRPr="008F1D81">
              <w:rPr>
                <w:color w:val="000000"/>
                <w:lang w:val="en-US"/>
              </w:rPr>
              <w:t xml:space="preserve"> </w:t>
            </w:r>
            <w:proofErr w:type="spellStart"/>
            <w:r w:rsidRPr="008F1D81">
              <w:rPr>
                <w:color w:val="000000"/>
                <w:lang w:val="en-US"/>
              </w:rPr>
              <w:t>difuză</w:t>
            </w:r>
            <w:proofErr w:type="spellEnd"/>
            <w:r w:rsidRPr="008F1D81">
              <w:rPr>
                <w:color w:val="000000"/>
                <w:lang w:val="en-US"/>
              </w:rPr>
              <w:t xml:space="preserve"> a </w:t>
            </w:r>
            <w:proofErr w:type="spellStart"/>
            <w:r w:rsidRPr="008F1D81">
              <w:rPr>
                <w:color w:val="000000"/>
                <w:lang w:val="en-US"/>
              </w:rPr>
              <w:t>apelor</w:t>
            </w:r>
            <w:proofErr w:type="spellEnd"/>
            <w:r w:rsidRPr="008F1D81">
              <w:rPr>
                <w:color w:val="000000"/>
                <w:lang w:val="en-US"/>
              </w:rPr>
              <w:t xml:space="preserve"> de </w:t>
            </w:r>
            <w:proofErr w:type="spellStart"/>
            <w:r w:rsidRPr="008F1D81">
              <w:rPr>
                <w:color w:val="000000"/>
                <w:lang w:val="en-US"/>
              </w:rPr>
              <w:t>suprafață</w:t>
            </w:r>
            <w:proofErr w:type="spellEnd"/>
            <w:r w:rsidRPr="008F1D81">
              <w:rPr>
                <w:color w:val="000000"/>
                <w:lang w:val="en-US"/>
              </w:rPr>
              <w:t xml:space="preserve"> </w:t>
            </w:r>
            <w:proofErr w:type="spellStart"/>
            <w:r w:rsidRPr="008F1D81">
              <w:rPr>
                <w:color w:val="000000"/>
                <w:lang w:val="en-US"/>
              </w:rPr>
              <w:t>sau</w:t>
            </w:r>
            <w:proofErr w:type="spellEnd"/>
            <w:r w:rsidRPr="008F1D81">
              <w:rPr>
                <w:color w:val="000000"/>
                <w:lang w:val="en-US"/>
              </w:rPr>
              <w:t xml:space="preserve"> </w:t>
            </w:r>
            <w:proofErr w:type="spellStart"/>
            <w:r w:rsidRPr="008F1D81">
              <w:rPr>
                <w:color w:val="000000"/>
                <w:lang w:val="en-US"/>
              </w:rPr>
              <w:t>subterane</w:t>
            </w:r>
            <w:proofErr w:type="spellEnd"/>
            <w:r w:rsidRPr="008F1D81">
              <w:rPr>
                <w:color w:val="000000"/>
                <w:lang w:val="en-US"/>
              </w:rPr>
              <w:t xml:space="preserve"> din </w:t>
            </w:r>
            <w:proofErr w:type="spellStart"/>
            <w:r w:rsidRPr="008F1D81">
              <w:rPr>
                <w:color w:val="000000"/>
                <w:lang w:val="en-US"/>
              </w:rPr>
              <w:t>exploatarea</w:t>
            </w:r>
            <w:proofErr w:type="spellEnd"/>
            <w:r w:rsidRPr="008F1D81">
              <w:rPr>
                <w:color w:val="000000"/>
                <w:lang w:val="en-US"/>
              </w:rPr>
              <w:t xml:space="preserve"> </w:t>
            </w:r>
            <w:proofErr w:type="spellStart"/>
            <w:r w:rsidRPr="008F1D81">
              <w:rPr>
                <w:color w:val="000000"/>
                <w:lang w:val="en-US"/>
              </w:rPr>
              <w:t>resurselor</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producția</w:t>
            </w:r>
            <w:proofErr w:type="spellEnd"/>
            <w:r w:rsidRPr="008F1D81">
              <w:rPr>
                <w:color w:val="000000"/>
                <w:lang w:val="en-US"/>
              </w:rPr>
              <w:t xml:space="preserve"> de </w:t>
            </w:r>
            <w:proofErr w:type="spellStart"/>
            <w:r w:rsidRPr="008F1D81">
              <w:rPr>
                <w:color w:val="000000"/>
                <w:lang w:val="en-US"/>
              </w:rPr>
              <w:t>energie</w:t>
            </w:r>
            <w:proofErr w:type="spellEnd"/>
          </w:p>
        </w:tc>
      </w:tr>
      <w:tr w:rsidR="00F73A38" w:rsidRPr="008F1D81" w14:paraId="638C404A" w14:textId="77777777" w:rsidTr="00105BC5">
        <w:trPr>
          <w:trHeight w:val="300"/>
        </w:trPr>
        <w:tc>
          <w:tcPr>
            <w:tcW w:w="444" w:type="pct"/>
            <w:shd w:val="clear" w:color="auto" w:fill="auto"/>
            <w:vAlign w:val="center"/>
            <w:hideMark/>
          </w:tcPr>
          <w:p w14:paraId="1BD1A1EE" w14:textId="77777777" w:rsidR="00F73A38" w:rsidRPr="008F1D81" w:rsidRDefault="00F73A38" w:rsidP="00105BC5">
            <w:pPr>
              <w:rPr>
                <w:color w:val="000000"/>
                <w:lang w:val="en-US"/>
              </w:rPr>
            </w:pPr>
            <w:r w:rsidRPr="008F1D81">
              <w:rPr>
                <w:color w:val="000000"/>
                <w:lang w:val="en-US"/>
              </w:rPr>
              <w:t>CC10</w:t>
            </w:r>
          </w:p>
        </w:tc>
        <w:tc>
          <w:tcPr>
            <w:tcW w:w="4556" w:type="pct"/>
            <w:shd w:val="clear" w:color="auto" w:fill="auto"/>
            <w:noWrap/>
            <w:vAlign w:val="bottom"/>
            <w:hideMark/>
          </w:tcPr>
          <w:p w14:paraId="543DD7CA" w14:textId="77777777" w:rsidR="00F73A38" w:rsidRPr="008F1D81" w:rsidRDefault="00F73A38" w:rsidP="00105BC5">
            <w:pPr>
              <w:rPr>
                <w:color w:val="000000"/>
                <w:lang w:val="en-US"/>
              </w:rPr>
            </w:pPr>
            <w:proofErr w:type="spellStart"/>
            <w:r w:rsidRPr="008F1D81">
              <w:rPr>
                <w:color w:val="000000"/>
                <w:lang w:val="en-US"/>
              </w:rPr>
              <w:t>Gestionarea</w:t>
            </w:r>
            <w:proofErr w:type="spellEnd"/>
            <w:r w:rsidRPr="008F1D81">
              <w:rPr>
                <w:color w:val="000000"/>
                <w:lang w:val="en-US"/>
              </w:rPr>
              <w:t xml:space="preserve"> / </w:t>
            </w: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poluarea</w:t>
            </w:r>
            <w:proofErr w:type="spellEnd"/>
            <w:r w:rsidRPr="008F1D81">
              <w:rPr>
                <w:color w:val="000000"/>
                <w:lang w:val="en-US"/>
              </w:rPr>
              <w:t xml:space="preserve"> </w:t>
            </w:r>
            <w:proofErr w:type="spellStart"/>
            <w:r w:rsidRPr="008F1D81">
              <w:rPr>
                <w:color w:val="000000"/>
                <w:lang w:val="en-US"/>
              </w:rPr>
              <w:t>aerului</w:t>
            </w:r>
            <w:proofErr w:type="spellEnd"/>
            <w:r w:rsidRPr="008F1D81">
              <w:rPr>
                <w:color w:val="000000"/>
                <w:lang w:val="en-US"/>
              </w:rPr>
              <w:t xml:space="preserve"> din </w:t>
            </w:r>
            <w:proofErr w:type="spellStart"/>
            <w:r w:rsidRPr="008F1D81">
              <w:rPr>
                <w:color w:val="000000"/>
                <w:lang w:val="en-US"/>
              </w:rPr>
              <w:t>exploatarea</w:t>
            </w:r>
            <w:proofErr w:type="spellEnd"/>
            <w:r w:rsidRPr="008F1D81">
              <w:rPr>
                <w:color w:val="000000"/>
                <w:lang w:val="en-US"/>
              </w:rPr>
              <w:t xml:space="preserve"> </w:t>
            </w:r>
            <w:proofErr w:type="spellStart"/>
            <w:r w:rsidRPr="008F1D81">
              <w:rPr>
                <w:color w:val="000000"/>
                <w:lang w:val="en-US"/>
              </w:rPr>
              <w:t>resurselor</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producția</w:t>
            </w:r>
            <w:proofErr w:type="spellEnd"/>
            <w:r w:rsidRPr="008F1D81">
              <w:rPr>
                <w:color w:val="000000"/>
                <w:lang w:val="en-US"/>
              </w:rPr>
              <w:t xml:space="preserve"> de </w:t>
            </w:r>
            <w:proofErr w:type="spellStart"/>
            <w:r w:rsidRPr="008F1D81">
              <w:rPr>
                <w:color w:val="000000"/>
                <w:lang w:val="en-US"/>
              </w:rPr>
              <w:t>energie</w:t>
            </w:r>
            <w:proofErr w:type="spellEnd"/>
          </w:p>
        </w:tc>
      </w:tr>
      <w:tr w:rsidR="00F73A38" w:rsidRPr="008F1D81" w14:paraId="09874724" w14:textId="77777777" w:rsidTr="00105BC5">
        <w:trPr>
          <w:trHeight w:val="300"/>
        </w:trPr>
        <w:tc>
          <w:tcPr>
            <w:tcW w:w="444" w:type="pct"/>
            <w:shd w:val="clear" w:color="auto" w:fill="auto"/>
            <w:vAlign w:val="center"/>
            <w:hideMark/>
          </w:tcPr>
          <w:p w14:paraId="168B43E8" w14:textId="77777777" w:rsidR="00F73A38" w:rsidRPr="008F1D81" w:rsidRDefault="00F73A38" w:rsidP="00105BC5">
            <w:pPr>
              <w:rPr>
                <w:color w:val="000000"/>
                <w:lang w:val="en-US"/>
              </w:rPr>
            </w:pPr>
            <w:r w:rsidRPr="008F1D81">
              <w:rPr>
                <w:color w:val="000000"/>
                <w:lang w:val="en-US"/>
              </w:rPr>
              <w:t>CC11</w:t>
            </w:r>
          </w:p>
        </w:tc>
        <w:tc>
          <w:tcPr>
            <w:tcW w:w="4556" w:type="pct"/>
            <w:shd w:val="clear" w:color="auto" w:fill="auto"/>
            <w:noWrap/>
            <w:vAlign w:val="bottom"/>
            <w:hideMark/>
          </w:tcPr>
          <w:p w14:paraId="77B8D9C5" w14:textId="77777777" w:rsidR="00F73A38" w:rsidRPr="008F1D81" w:rsidRDefault="00F73A38" w:rsidP="00105BC5">
            <w:pPr>
              <w:rPr>
                <w:color w:val="000000"/>
                <w:lang w:val="en-US"/>
              </w:rPr>
            </w:pPr>
            <w:proofErr w:type="spellStart"/>
            <w:r w:rsidRPr="008F1D81">
              <w:rPr>
                <w:color w:val="000000"/>
                <w:lang w:val="en-US"/>
              </w:rPr>
              <w:t>Gestionarea</w:t>
            </w:r>
            <w:proofErr w:type="spellEnd"/>
            <w:r w:rsidRPr="008F1D81">
              <w:rPr>
                <w:color w:val="000000"/>
                <w:lang w:val="en-US"/>
              </w:rPr>
              <w:t xml:space="preserve"> / </w:t>
            </w: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poluarii</w:t>
            </w:r>
            <w:proofErr w:type="spellEnd"/>
            <w:r w:rsidRPr="008F1D81">
              <w:rPr>
                <w:color w:val="000000"/>
                <w:lang w:val="en-US"/>
              </w:rPr>
              <w:t xml:space="preserve"> marine din </w:t>
            </w:r>
            <w:proofErr w:type="spellStart"/>
            <w:r w:rsidRPr="008F1D81">
              <w:rPr>
                <w:color w:val="000000"/>
                <w:lang w:val="en-US"/>
              </w:rPr>
              <w:t>exploatarea</w:t>
            </w:r>
            <w:proofErr w:type="spellEnd"/>
            <w:r w:rsidRPr="008F1D81">
              <w:rPr>
                <w:color w:val="000000"/>
                <w:lang w:val="en-US"/>
              </w:rPr>
              <w:t xml:space="preserve"> </w:t>
            </w:r>
            <w:proofErr w:type="spellStart"/>
            <w:r w:rsidRPr="008F1D81">
              <w:rPr>
                <w:color w:val="000000"/>
                <w:lang w:val="en-US"/>
              </w:rPr>
              <w:t>resurselor</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producția</w:t>
            </w:r>
            <w:proofErr w:type="spellEnd"/>
            <w:r w:rsidRPr="008F1D81">
              <w:rPr>
                <w:color w:val="000000"/>
                <w:lang w:val="en-US"/>
              </w:rPr>
              <w:t xml:space="preserve"> de </w:t>
            </w:r>
            <w:proofErr w:type="spellStart"/>
            <w:r w:rsidRPr="008F1D81">
              <w:rPr>
                <w:color w:val="000000"/>
                <w:lang w:val="en-US"/>
              </w:rPr>
              <w:t>energie</w:t>
            </w:r>
            <w:proofErr w:type="spellEnd"/>
          </w:p>
        </w:tc>
      </w:tr>
      <w:tr w:rsidR="00F73A38" w:rsidRPr="008F1D81" w14:paraId="5F473E36" w14:textId="77777777" w:rsidTr="00105BC5">
        <w:trPr>
          <w:trHeight w:val="300"/>
        </w:trPr>
        <w:tc>
          <w:tcPr>
            <w:tcW w:w="444" w:type="pct"/>
            <w:shd w:val="clear" w:color="auto" w:fill="auto"/>
            <w:vAlign w:val="center"/>
            <w:hideMark/>
          </w:tcPr>
          <w:p w14:paraId="25C0EB33" w14:textId="77777777" w:rsidR="00F73A38" w:rsidRPr="008F1D81" w:rsidRDefault="00F73A38" w:rsidP="00105BC5">
            <w:pPr>
              <w:rPr>
                <w:color w:val="000000"/>
                <w:lang w:val="en-US"/>
              </w:rPr>
            </w:pPr>
            <w:r w:rsidRPr="008F1D81">
              <w:rPr>
                <w:color w:val="000000"/>
                <w:lang w:val="en-US"/>
              </w:rPr>
              <w:t>CC12</w:t>
            </w:r>
          </w:p>
        </w:tc>
        <w:tc>
          <w:tcPr>
            <w:tcW w:w="4556" w:type="pct"/>
            <w:shd w:val="clear" w:color="auto" w:fill="auto"/>
            <w:noWrap/>
            <w:vAlign w:val="bottom"/>
            <w:hideMark/>
          </w:tcPr>
          <w:p w14:paraId="750BC310"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zgomotului</w:t>
            </w:r>
            <w:proofErr w:type="spellEnd"/>
            <w:r w:rsidRPr="008F1D81">
              <w:rPr>
                <w:color w:val="000000"/>
                <w:lang w:val="en-US"/>
              </w:rPr>
              <w:t xml:space="preserve">, </w:t>
            </w:r>
            <w:proofErr w:type="spellStart"/>
            <w:r w:rsidRPr="008F1D81">
              <w:rPr>
                <w:color w:val="000000"/>
                <w:lang w:val="en-US"/>
              </w:rPr>
              <w:t>luminii</w:t>
            </w:r>
            <w:proofErr w:type="spellEnd"/>
            <w:r w:rsidRPr="008F1D81">
              <w:rPr>
                <w:color w:val="000000"/>
                <w:lang w:val="en-US"/>
              </w:rPr>
              <w:t xml:space="preserve">, </w:t>
            </w:r>
            <w:proofErr w:type="spellStart"/>
            <w:r w:rsidRPr="008F1D81">
              <w:rPr>
                <w:color w:val="000000"/>
                <w:lang w:val="en-US"/>
              </w:rPr>
              <w:t>caldurii</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altor</w:t>
            </w:r>
            <w:proofErr w:type="spellEnd"/>
            <w:r w:rsidRPr="008F1D81">
              <w:rPr>
                <w:color w:val="000000"/>
                <w:lang w:val="en-US"/>
              </w:rPr>
              <w:t xml:space="preserve"> </w:t>
            </w:r>
            <w:proofErr w:type="spellStart"/>
            <w:r w:rsidRPr="008F1D81">
              <w:rPr>
                <w:color w:val="000000"/>
                <w:lang w:val="en-US"/>
              </w:rPr>
              <w:t>forme</w:t>
            </w:r>
            <w:proofErr w:type="spellEnd"/>
            <w:r w:rsidRPr="008F1D81">
              <w:rPr>
                <w:color w:val="000000"/>
                <w:lang w:val="en-US"/>
              </w:rPr>
              <w:t xml:space="preserve"> de </w:t>
            </w:r>
            <w:proofErr w:type="spellStart"/>
            <w:r w:rsidRPr="008F1D81">
              <w:rPr>
                <w:color w:val="000000"/>
                <w:lang w:val="en-US"/>
              </w:rPr>
              <w:t>poluare</w:t>
            </w:r>
            <w:proofErr w:type="spellEnd"/>
            <w:r w:rsidRPr="008F1D81">
              <w:rPr>
                <w:color w:val="000000"/>
                <w:lang w:val="en-US"/>
              </w:rPr>
              <w:t xml:space="preserve"> legate de </w:t>
            </w:r>
            <w:proofErr w:type="spellStart"/>
            <w:r w:rsidRPr="008F1D81">
              <w:rPr>
                <w:color w:val="000000"/>
                <w:lang w:val="en-US"/>
              </w:rPr>
              <w:t>exploatarea</w:t>
            </w:r>
            <w:proofErr w:type="spellEnd"/>
            <w:r w:rsidRPr="008F1D81">
              <w:rPr>
                <w:color w:val="000000"/>
                <w:lang w:val="en-US"/>
              </w:rPr>
              <w:t xml:space="preserve"> </w:t>
            </w:r>
            <w:proofErr w:type="spellStart"/>
            <w:r w:rsidRPr="008F1D81">
              <w:rPr>
                <w:color w:val="000000"/>
                <w:lang w:val="en-US"/>
              </w:rPr>
              <w:t>resurselor</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producția</w:t>
            </w:r>
            <w:proofErr w:type="spellEnd"/>
            <w:r w:rsidRPr="008F1D81">
              <w:rPr>
                <w:color w:val="000000"/>
                <w:lang w:val="en-US"/>
              </w:rPr>
              <w:t xml:space="preserve"> de </w:t>
            </w:r>
            <w:proofErr w:type="spellStart"/>
            <w:r w:rsidRPr="008F1D81">
              <w:rPr>
                <w:color w:val="000000"/>
                <w:lang w:val="en-US"/>
              </w:rPr>
              <w:t>energie</w:t>
            </w:r>
            <w:proofErr w:type="spellEnd"/>
          </w:p>
        </w:tc>
      </w:tr>
      <w:tr w:rsidR="00F73A38" w:rsidRPr="008F1D81" w14:paraId="7793F9CF" w14:textId="77777777" w:rsidTr="00105BC5">
        <w:trPr>
          <w:trHeight w:val="300"/>
        </w:trPr>
        <w:tc>
          <w:tcPr>
            <w:tcW w:w="444" w:type="pct"/>
            <w:shd w:val="clear" w:color="auto" w:fill="auto"/>
            <w:vAlign w:val="center"/>
            <w:hideMark/>
          </w:tcPr>
          <w:p w14:paraId="4B2A9221" w14:textId="77777777" w:rsidR="00F73A38" w:rsidRPr="008F1D81" w:rsidRDefault="00F73A38" w:rsidP="00105BC5">
            <w:pPr>
              <w:rPr>
                <w:color w:val="000000"/>
                <w:lang w:val="en-US"/>
              </w:rPr>
            </w:pPr>
            <w:r w:rsidRPr="008F1D81">
              <w:rPr>
                <w:color w:val="000000"/>
                <w:lang w:val="en-US"/>
              </w:rPr>
              <w:t>CC13</w:t>
            </w:r>
          </w:p>
        </w:tc>
        <w:tc>
          <w:tcPr>
            <w:tcW w:w="4556" w:type="pct"/>
            <w:shd w:val="clear" w:color="auto" w:fill="auto"/>
            <w:noWrap/>
            <w:vAlign w:val="bottom"/>
            <w:hideMark/>
          </w:tcPr>
          <w:p w14:paraId="3B34E723" w14:textId="77777777" w:rsidR="00F73A38" w:rsidRPr="008F1D81" w:rsidRDefault="00F73A38" w:rsidP="00105BC5">
            <w:pPr>
              <w:rPr>
                <w:color w:val="000000"/>
                <w:lang w:val="en-US"/>
              </w:rPr>
            </w:pPr>
            <w:proofErr w:type="spellStart"/>
            <w:r w:rsidRPr="008F1D81">
              <w:rPr>
                <w:color w:val="000000"/>
                <w:lang w:val="en-US"/>
              </w:rPr>
              <w:t>Gestionarea</w:t>
            </w:r>
            <w:proofErr w:type="spellEnd"/>
            <w:r w:rsidRPr="008F1D81">
              <w:rPr>
                <w:color w:val="000000"/>
                <w:lang w:val="en-US"/>
              </w:rPr>
              <w:t xml:space="preserve"> </w:t>
            </w:r>
            <w:proofErr w:type="spellStart"/>
            <w:r w:rsidRPr="008F1D81">
              <w:rPr>
                <w:color w:val="000000"/>
                <w:lang w:val="en-US"/>
              </w:rPr>
              <w:t>extragerii</w:t>
            </w:r>
            <w:proofErr w:type="spellEnd"/>
            <w:r w:rsidRPr="008F1D81">
              <w:rPr>
                <w:color w:val="000000"/>
                <w:lang w:val="en-US"/>
              </w:rPr>
              <w:t xml:space="preserve"> </w:t>
            </w:r>
            <w:proofErr w:type="spellStart"/>
            <w:r w:rsidRPr="008F1D81">
              <w:rPr>
                <w:color w:val="000000"/>
                <w:lang w:val="en-US"/>
              </w:rPr>
              <w:t>apei</w:t>
            </w:r>
            <w:proofErr w:type="spellEnd"/>
            <w:r w:rsidRPr="008F1D81">
              <w:rPr>
                <w:color w:val="000000"/>
                <w:lang w:val="en-US"/>
              </w:rPr>
              <w:t xml:space="preserve"> </w:t>
            </w:r>
            <w:proofErr w:type="spellStart"/>
            <w:r w:rsidRPr="008F1D81">
              <w:rPr>
                <w:color w:val="000000"/>
                <w:lang w:val="en-US"/>
              </w:rPr>
              <w:t>pentru</w:t>
            </w:r>
            <w:proofErr w:type="spellEnd"/>
            <w:r w:rsidRPr="008F1D81">
              <w:rPr>
                <w:color w:val="000000"/>
                <w:lang w:val="en-US"/>
              </w:rPr>
              <w:t xml:space="preserve"> </w:t>
            </w:r>
            <w:proofErr w:type="spellStart"/>
            <w:r w:rsidRPr="008F1D81">
              <w:rPr>
                <w:color w:val="000000"/>
                <w:lang w:val="en-US"/>
              </w:rPr>
              <w:t>extragerea</w:t>
            </w:r>
            <w:proofErr w:type="spellEnd"/>
            <w:r w:rsidRPr="008F1D81">
              <w:rPr>
                <w:color w:val="000000"/>
                <w:lang w:val="en-US"/>
              </w:rPr>
              <w:t xml:space="preserve"> </w:t>
            </w:r>
            <w:proofErr w:type="spellStart"/>
            <w:r w:rsidRPr="008F1D81">
              <w:rPr>
                <w:color w:val="000000"/>
                <w:lang w:val="en-US"/>
              </w:rPr>
              <w:t>resurselor</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producerea</w:t>
            </w:r>
            <w:proofErr w:type="spellEnd"/>
            <w:r w:rsidRPr="008F1D81">
              <w:rPr>
                <w:color w:val="000000"/>
                <w:lang w:val="en-US"/>
              </w:rPr>
              <w:t xml:space="preserve"> de </w:t>
            </w:r>
            <w:proofErr w:type="spellStart"/>
            <w:r w:rsidRPr="008F1D81">
              <w:rPr>
                <w:color w:val="000000"/>
                <w:lang w:val="en-US"/>
              </w:rPr>
              <w:t>energie</w:t>
            </w:r>
            <w:proofErr w:type="spellEnd"/>
          </w:p>
        </w:tc>
      </w:tr>
      <w:tr w:rsidR="00F73A38" w:rsidRPr="008F1D81" w14:paraId="38218304" w14:textId="77777777" w:rsidTr="00105BC5">
        <w:trPr>
          <w:trHeight w:val="300"/>
        </w:trPr>
        <w:tc>
          <w:tcPr>
            <w:tcW w:w="444" w:type="pct"/>
            <w:shd w:val="clear" w:color="auto" w:fill="auto"/>
            <w:vAlign w:val="center"/>
            <w:hideMark/>
          </w:tcPr>
          <w:p w14:paraId="02E38113" w14:textId="77777777" w:rsidR="00F73A38" w:rsidRPr="008F1D81" w:rsidRDefault="00F73A38" w:rsidP="00105BC5">
            <w:pPr>
              <w:rPr>
                <w:color w:val="000000"/>
                <w:lang w:val="en-US"/>
              </w:rPr>
            </w:pPr>
            <w:r w:rsidRPr="008F1D81">
              <w:rPr>
                <w:color w:val="000000"/>
                <w:lang w:val="en-US"/>
              </w:rPr>
              <w:t>CC14</w:t>
            </w:r>
          </w:p>
        </w:tc>
        <w:tc>
          <w:tcPr>
            <w:tcW w:w="4556" w:type="pct"/>
            <w:shd w:val="clear" w:color="auto" w:fill="auto"/>
            <w:noWrap/>
            <w:vAlign w:val="bottom"/>
            <w:hideMark/>
          </w:tcPr>
          <w:p w14:paraId="6CDB6794" w14:textId="77777777" w:rsidR="00F73A38" w:rsidRPr="008F1D81" w:rsidRDefault="00F73A38" w:rsidP="00105BC5">
            <w:pPr>
              <w:rPr>
                <w:color w:val="000000"/>
                <w:lang w:val="en-US"/>
              </w:rPr>
            </w:pPr>
            <w:r w:rsidRPr="008F1D81">
              <w:rPr>
                <w:color w:val="000000"/>
                <w:lang w:val="en-US"/>
              </w:rPr>
              <w:t xml:space="preserve">Alte </w:t>
            </w:r>
            <w:proofErr w:type="spellStart"/>
            <w:r w:rsidRPr="008F1D81">
              <w:rPr>
                <w:color w:val="000000"/>
                <w:lang w:val="en-US"/>
              </w:rPr>
              <w:t>măsuri</w:t>
            </w:r>
            <w:proofErr w:type="spellEnd"/>
            <w:r w:rsidRPr="008F1D81">
              <w:rPr>
                <w:color w:val="000000"/>
                <w:lang w:val="en-US"/>
              </w:rPr>
              <w:t xml:space="preserve"> legate de </w:t>
            </w:r>
            <w:proofErr w:type="spellStart"/>
            <w:r w:rsidRPr="008F1D81">
              <w:rPr>
                <w:color w:val="000000"/>
                <w:lang w:val="en-US"/>
              </w:rPr>
              <w:t>activitățile</w:t>
            </w:r>
            <w:proofErr w:type="spellEnd"/>
            <w:r w:rsidRPr="008F1D81">
              <w:rPr>
                <w:color w:val="000000"/>
                <w:lang w:val="en-US"/>
              </w:rPr>
              <w:t xml:space="preserve"> de </w:t>
            </w:r>
            <w:proofErr w:type="spellStart"/>
            <w:r w:rsidRPr="008F1D81">
              <w:rPr>
                <w:color w:val="000000"/>
                <w:lang w:val="en-US"/>
              </w:rPr>
              <w:t>extracție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exploatare</w:t>
            </w:r>
            <w:proofErr w:type="spellEnd"/>
            <w:r w:rsidRPr="008F1D81">
              <w:rPr>
                <w:color w:val="000000"/>
                <w:lang w:val="en-US"/>
              </w:rPr>
              <w:t xml:space="preserve"> a </w:t>
            </w:r>
            <w:proofErr w:type="spellStart"/>
            <w:r w:rsidRPr="008F1D81">
              <w:rPr>
                <w:color w:val="000000"/>
                <w:lang w:val="en-US"/>
              </w:rPr>
              <w:t>energiei</w:t>
            </w:r>
            <w:proofErr w:type="spellEnd"/>
          </w:p>
        </w:tc>
      </w:tr>
      <w:tr w:rsidR="00F73A38" w:rsidRPr="008F1D81" w14:paraId="491E935B" w14:textId="77777777" w:rsidTr="00105BC5">
        <w:trPr>
          <w:trHeight w:val="300"/>
        </w:trPr>
        <w:tc>
          <w:tcPr>
            <w:tcW w:w="444" w:type="pct"/>
            <w:shd w:val="clear" w:color="auto" w:fill="auto"/>
            <w:vAlign w:val="center"/>
            <w:hideMark/>
          </w:tcPr>
          <w:p w14:paraId="78AC10BC" w14:textId="77777777" w:rsidR="00F73A38" w:rsidRPr="008F1D81" w:rsidRDefault="00F73A38" w:rsidP="00105BC5">
            <w:pPr>
              <w:rPr>
                <w:color w:val="000000"/>
                <w:lang w:val="en-US"/>
              </w:rPr>
            </w:pPr>
            <w:r w:rsidRPr="008F1D81">
              <w:rPr>
                <w:color w:val="000000"/>
                <w:lang w:val="en-US"/>
              </w:rPr>
              <w:t>CE</w:t>
            </w:r>
          </w:p>
        </w:tc>
        <w:tc>
          <w:tcPr>
            <w:tcW w:w="4556" w:type="pct"/>
            <w:shd w:val="clear" w:color="auto" w:fill="auto"/>
            <w:noWrap/>
            <w:vAlign w:val="bottom"/>
            <w:hideMark/>
          </w:tcPr>
          <w:p w14:paraId="7C0AE5CB" w14:textId="77777777" w:rsidR="00F73A38" w:rsidRPr="008F1D81" w:rsidRDefault="00F73A38" w:rsidP="00105BC5">
            <w:pPr>
              <w:rPr>
                <w:color w:val="000000"/>
                <w:lang w:val="en-US"/>
              </w:rPr>
            </w:pPr>
            <w:proofErr w:type="spellStart"/>
            <w:r w:rsidRPr="008F1D81">
              <w:rPr>
                <w:color w:val="000000"/>
                <w:lang w:val="en-US"/>
              </w:rPr>
              <w:t>Măsuri</w:t>
            </w:r>
            <w:proofErr w:type="spellEnd"/>
            <w:r w:rsidRPr="008F1D81">
              <w:rPr>
                <w:color w:val="000000"/>
                <w:lang w:val="en-US"/>
              </w:rPr>
              <w:t xml:space="preserve"> legate de </w:t>
            </w:r>
            <w:proofErr w:type="spellStart"/>
            <w:r w:rsidRPr="008F1D81">
              <w:rPr>
                <w:color w:val="000000"/>
                <w:lang w:val="en-US"/>
              </w:rPr>
              <w:t>dezvoltarea</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funcționarea</w:t>
            </w:r>
            <w:proofErr w:type="spellEnd"/>
            <w:r w:rsidRPr="008F1D81">
              <w:rPr>
                <w:color w:val="000000"/>
                <w:lang w:val="en-US"/>
              </w:rPr>
              <w:t xml:space="preserve"> </w:t>
            </w:r>
            <w:proofErr w:type="spellStart"/>
            <w:r w:rsidRPr="008F1D81">
              <w:rPr>
                <w:color w:val="000000"/>
                <w:lang w:val="en-US"/>
              </w:rPr>
              <w:t>sistemelor</w:t>
            </w:r>
            <w:proofErr w:type="spellEnd"/>
            <w:r w:rsidRPr="008F1D81">
              <w:rPr>
                <w:color w:val="000000"/>
                <w:lang w:val="en-US"/>
              </w:rPr>
              <w:t xml:space="preserve"> de transport</w:t>
            </w:r>
          </w:p>
        </w:tc>
      </w:tr>
      <w:tr w:rsidR="00F73A38" w:rsidRPr="008F1D81" w14:paraId="36CB7449" w14:textId="77777777" w:rsidTr="00105BC5">
        <w:trPr>
          <w:trHeight w:val="300"/>
        </w:trPr>
        <w:tc>
          <w:tcPr>
            <w:tcW w:w="444" w:type="pct"/>
            <w:shd w:val="clear" w:color="auto" w:fill="auto"/>
            <w:vAlign w:val="center"/>
            <w:hideMark/>
          </w:tcPr>
          <w:p w14:paraId="3507F894" w14:textId="77777777" w:rsidR="00F73A38" w:rsidRPr="008F1D81" w:rsidRDefault="00F73A38" w:rsidP="00105BC5">
            <w:pPr>
              <w:rPr>
                <w:color w:val="000000"/>
                <w:lang w:val="en-US"/>
              </w:rPr>
            </w:pPr>
            <w:r w:rsidRPr="008F1D81">
              <w:rPr>
                <w:color w:val="000000"/>
                <w:lang w:val="en-US"/>
              </w:rPr>
              <w:t>CE01</w:t>
            </w:r>
          </w:p>
        </w:tc>
        <w:tc>
          <w:tcPr>
            <w:tcW w:w="4556" w:type="pct"/>
            <w:shd w:val="clear" w:color="auto" w:fill="auto"/>
            <w:noWrap/>
            <w:vAlign w:val="bottom"/>
            <w:hideMark/>
          </w:tcPr>
          <w:p w14:paraId="0DD81C89"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w:t>
            </w:r>
            <w:proofErr w:type="spellStart"/>
            <w:r w:rsidRPr="008F1D81">
              <w:rPr>
                <w:color w:val="000000"/>
                <w:lang w:val="en-US"/>
              </w:rPr>
              <w:t>impactului</w:t>
            </w:r>
            <w:proofErr w:type="spellEnd"/>
            <w:r w:rsidRPr="008F1D81">
              <w:rPr>
                <w:color w:val="000000"/>
                <w:lang w:val="en-US"/>
              </w:rPr>
              <w:t xml:space="preserve"> </w:t>
            </w:r>
            <w:proofErr w:type="spellStart"/>
            <w:r w:rsidRPr="008F1D81">
              <w:rPr>
                <w:color w:val="000000"/>
                <w:lang w:val="en-US"/>
              </w:rPr>
              <w:t>operațiunilor</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infrastructurii</w:t>
            </w:r>
            <w:proofErr w:type="spellEnd"/>
            <w:r w:rsidRPr="008F1D81">
              <w:rPr>
                <w:color w:val="000000"/>
                <w:lang w:val="en-US"/>
              </w:rPr>
              <w:t xml:space="preserve"> de transport</w:t>
            </w:r>
          </w:p>
        </w:tc>
      </w:tr>
      <w:tr w:rsidR="00F73A38" w:rsidRPr="008F1D81" w14:paraId="1B9AFB1D" w14:textId="77777777" w:rsidTr="00105BC5">
        <w:trPr>
          <w:trHeight w:val="300"/>
        </w:trPr>
        <w:tc>
          <w:tcPr>
            <w:tcW w:w="444" w:type="pct"/>
            <w:shd w:val="clear" w:color="auto" w:fill="auto"/>
            <w:vAlign w:val="center"/>
            <w:hideMark/>
          </w:tcPr>
          <w:p w14:paraId="3638D70F" w14:textId="77777777" w:rsidR="00F73A38" w:rsidRPr="008F1D81" w:rsidRDefault="00F73A38" w:rsidP="00105BC5">
            <w:pPr>
              <w:rPr>
                <w:color w:val="000000"/>
                <w:lang w:val="en-US"/>
              </w:rPr>
            </w:pPr>
            <w:r w:rsidRPr="008F1D81">
              <w:rPr>
                <w:color w:val="000000"/>
                <w:lang w:val="en-US"/>
              </w:rPr>
              <w:t>CE02</w:t>
            </w:r>
          </w:p>
        </w:tc>
        <w:tc>
          <w:tcPr>
            <w:tcW w:w="4556" w:type="pct"/>
            <w:shd w:val="clear" w:color="auto" w:fill="auto"/>
            <w:noWrap/>
            <w:vAlign w:val="bottom"/>
            <w:hideMark/>
          </w:tcPr>
          <w:p w14:paraId="3D9F1951" w14:textId="77777777" w:rsidR="00F73A38" w:rsidRPr="008F1D81" w:rsidRDefault="00F73A38" w:rsidP="00105BC5">
            <w:pPr>
              <w:rPr>
                <w:color w:val="000000"/>
                <w:lang w:val="en-US"/>
              </w:rPr>
            </w:pPr>
            <w:proofErr w:type="spellStart"/>
            <w:r w:rsidRPr="008F1D81">
              <w:rPr>
                <w:color w:val="000000"/>
                <w:lang w:val="en-US"/>
              </w:rPr>
              <w:t>Gestionarea</w:t>
            </w:r>
            <w:proofErr w:type="spellEnd"/>
            <w:r w:rsidRPr="008F1D81">
              <w:rPr>
                <w:color w:val="000000"/>
                <w:lang w:val="en-US"/>
              </w:rPr>
              <w:t xml:space="preserve">/ </w:t>
            </w: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poluarii</w:t>
            </w:r>
            <w:proofErr w:type="spellEnd"/>
            <w:r w:rsidRPr="008F1D81">
              <w:rPr>
                <w:color w:val="000000"/>
                <w:lang w:val="en-US"/>
              </w:rPr>
              <w:t xml:space="preserve"> </w:t>
            </w:r>
            <w:proofErr w:type="spellStart"/>
            <w:r w:rsidRPr="008F1D81">
              <w:rPr>
                <w:color w:val="000000"/>
                <w:lang w:val="en-US"/>
              </w:rPr>
              <w:t>apelor</w:t>
            </w:r>
            <w:proofErr w:type="spellEnd"/>
            <w:r w:rsidRPr="008F1D81">
              <w:rPr>
                <w:color w:val="000000"/>
                <w:lang w:val="en-US"/>
              </w:rPr>
              <w:t xml:space="preserve"> de </w:t>
            </w:r>
            <w:proofErr w:type="spellStart"/>
            <w:r w:rsidRPr="008F1D81">
              <w:rPr>
                <w:color w:val="000000"/>
                <w:lang w:val="en-US"/>
              </w:rPr>
              <w:t>suprafață</w:t>
            </w:r>
            <w:proofErr w:type="spellEnd"/>
            <w:r w:rsidRPr="008F1D81">
              <w:rPr>
                <w:color w:val="000000"/>
                <w:lang w:val="en-US"/>
              </w:rPr>
              <w:t xml:space="preserve"> </w:t>
            </w:r>
            <w:proofErr w:type="spellStart"/>
            <w:r w:rsidRPr="008F1D81">
              <w:rPr>
                <w:color w:val="000000"/>
                <w:lang w:val="en-US"/>
              </w:rPr>
              <w:t>sau</w:t>
            </w:r>
            <w:proofErr w:type="spellEnd"/>
            <w:r w:rsidRPr="008F1D81">
              <w:rPr>
                <w:color w:val="000000"/>
                <w:lang w:val="en-US"/>
              </w:rPr>
              <w:t xml:space="preserve"> </w:t>
            </w:r>
            <w:proofErr w:type="spellStart"/>
            <w:r w:rsidRPr="008F1D81">
              <w:rPr>
                <w:color w:val="000000"/>
                <w:lang w:val="en-US"/>
              </w:rPr>
              <w:t>subterane</w:t>
            </w:r>
            <w:proofErr w:type="spellEnd"/>
            <w:r w:rsidRPr="008F1D81">
              <w:rPr>
                <w:color w:val="000000"/>
                <w:lang w:val="en-US"/>
              </w:rPr>
              <w:t xml:space="preserve"> din </w:t>
            </w:r>
            <w:proofErr w:type="spellStart"/>
            <w:r w:rsidRPr="008F1D81">
              <w:rPr>
                <w:color w:val="000000"/>
                <w:lang w:val="en-US"/>
              </w:rPr>
              <w:t>transporturi</w:t>
            </w:r>
            <w:proofErr w:type="spellEnd"/>
          </w:p>
        </w:tc>
      </w:tr>
      <w:tr w:rsidR="00F73A38" w:rsidRPr="008F1D81" w14:paraId="4968E846" w14:textId="77777777" w:rsidTr="00105BC5">
        <w:trPr>
          <w:trHeight w:val="300"/>
        </w:trPr>
        <w:tc>
          <w:tcPr>
            <w:tcW w:w="444" w:type="pct"/>
            <w:shd w:val="clear" w:color="auto" w:fill="auto"/>
            <w:vAlign w:val="center"/>
            <w:hideMark/>
          </w:tcPr>
          <w:p w14:paraId="23A05457" w14:textId="77777777" w:rsidR="00F73A38" w:rsidRPr="008F1D81" w:rsidRDefault="00F73A38" w:rsidP="00105BC5">
            <w:pPr>
              <w:rPr>
                <w:color w:val="000000"/>
                <w:lang w:val="en-US"/>
              </w:rPr>
            </w:pPr>
            <w:r w:rsidRPr="008F1D81">
              <w:rPr>
                <w:color w:val="000000"/>
                <w:lang w:val="en-US"/>
              </w:rPr>
              <w:t>CE03</w:t>
            </w:r>
          </w:p>
        </w:tc>
        <w:tc>
          <w:tcPr>
            <w:tcW w:w="4556" w:type="pct"/>
            <w:shd w:val="clear" w:color="auto" w:fill="auto"/>
            <w:noWrap/>
            <w:vAlign w:val="bottom"/>
            <w:hideMark/>
          </w:tcPr>
          <w:p w14:paraId="58D0480C" w14:textId="77777777" w:rsidR="00F73A38" w:rsidRPr="008F1D81" w:rsidRDefault="00F73A38" w:rsidP="00105BC5">
            <w:pPr>
              <w:rPr>
                <w:color w:val="000000"/>
                <w:lang w:val="en-US"/>
              </w:rPr>
            </w:pPr>
            <w:proofErr w:type="spellStart"/>
            <w:r w:rsidRPr="008F1D81">
              <w:rPr>
                <w:color w:val="000000"/>
                <w:lang w:val="en-US"/>
              </w:rPr>
              <w:t>Gestionarea</w:t>
            </w:r>
            <w:proofErr w:type="spellEnd"/>
            <w:r w:rsidRPr="008F1D81">
              <w:rPr>
                <w:color w:val="000000"/>
                <w:lang w:val="en-US"/>
              </w:rPr>
              <w:t xml:space="preserve">/ </w:t>
            </w: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poluarii</w:t>
            </w:r>
            <w:proofErr w:type="spellEnd"/>
            <w:r w:rsidRPr="008F1D81">
              <w:rPr>
                <w:color w:val="000000"/>
                <w:lang w:val="en-US"/>
              </w:rPr>
              <w:t xml:space="preserve"> </w:t>
            </w:r>
            <w:proofErr w:type="spellStart"/>
            <w:r w:rsidRPr="008F1D81">
              <w:rPr>
                <w:color w:val="000000"/>
                <w:lang w:val="en-US"/>
              </w:rPr>
              <w:t>aerului</w:t>
            </w:r>
            <w:proofErr w:type="spellEnd"/>
            <w:r w:rsidRPr="008F1D81">
              <w:rPr>
                <w:color w:val="000000"/>
                <w:lang w:val="en-US"/>
              </w:rPr>
              <w:t xml:space="preserve"> din </w:t>
            </w:r>
            <w:proofErr w:type="spellStart"/>
            <w:r w:rsidRPr="008F1D81">
              <w:rPr>
                <w:color w:val="000000"/>
                <w:lang w:val="en-US"/>
              </w:rPr>
              <w:t>transporturi</w:t>
            </w:r>
            <w:proofErr w:type="spellEnd"/>
          </w:p>
        </w:tc>
      </w:tr>
      <w:tr w:rsidR="00F73A38" w:rsidRPr="008F1D81" w14:paraId="7A172128" w14:textId="77777777" w:rsidTr="00105BC5">
        <w:trPr>
          <w:trHeight w:val="300"/>
        </w:trPr>
        <w:tc>
          <w:tcPr>
            <w:tcW w:w="444" w:type="pct"/>
            <w:shd w:val="clear" w:color="auto" w:fill="auto"/>
            <w:vAlign w:val="center"/>
            <w:hideMark/>
          </w:tcPr>
          <w:p w14:paraId="58A39F31" w14:textId="77777777" w:rsidR="00F73A38" w:rsidRPr="008F1D81" w:rsidRDefault="00F73A38" w:rsidP="00105BC5">
            <w:pPr>
              <w:rPr>
                <w:color w:val="000000"/>
                <w:lang w:val="en-US"/>
              </w:rPr>
            </w:pPr>
            <w:r w:rsidRPr="008F1D81">
              <w:rPr>
                <w:color w:val="000000"/>
                <w:lang w:val="en-US"/>
              </w:rPr>
              <w:t>CE04</w:t>
            </w:r>
          </w:p>
        </w:tc>
        <w:tc>
          <w:tcPr>
            <w:tcW w:w="4556" w:type="pct"/>
            <w:shd w:val="clear" w:color="auto" w:fill="auto"/>
            <w:noWrap/>
            <w:vAlign w:val="bottom"/>
            <w:hideMark/>
          </w:tcPr>
          <w:p w14:paraId="181F0BDF" w14:textId="77777777" w:rsidR="00F73A38" w:rsidRPr="008F1D81" w:rsidRDefault="00F73A38" w:rsidP="00105BC5">
            <w:pPr>
              <w:rPr>
                <w:color w:val="000000"/>
                <w:lang w:val="en-US"/>
              </w:rPr>
            </w:pPr>
            <w:proofErr w:type="spellStart"/>
            <w:r w:rsidRPr="008F1D81">
              <w:rPr>
                <w:color w:val="000000"/>
                <w:lang w:val="en-US"/>
              </w:rPr>
              <w:t>Gestionarea</w:t>
            </w:r>
            <w:proofErr w:type="spellEnd"/>
            <w:r w:rsidRPr="008F1D81">
              <w:rPr>
                <w:color w:val="000000"/>
                <w:lang w:val="en-US"/>
              </w:rPr>
              <w:t xml:space="preserve">/ </w:t>
            </w: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poluarii</w:t>
            </w:r>
            <w:proofErr w:type="spellEnd"/>
            <w:r w:rsidRPr="008F1D81">
              <w:rPr>
                <w:color w:val="000000"/>
                <w:lang w:val="en-US"/>
              </w:rPr>
              <w:t xml:space="preserve"> marine din </w:t>
            </w:r>
            <w:proofErr w:type="spellStart"/>
            <w:r w:rsidRPr="008F1D81">
              <w:rPr>
                <w:color w:val="000000"/>
                <w:lang w:val="en-US"/>
              </w:rPr>
              <w:t>transporturi</w:t>
            </w:r>
            <w:proofErr w:type="spellEnd"/>
          </w:p>
        </w:tc>
      </w:tr>
      <w:tr w:rsidR="00F73A38" w:rsidRPr="008F1D81" w14:paraId="134FB0DA" w14:textId="77777777" w:rsidTr="00105BC5">
        <w:trPr>
          <w:trHeight w:val="300"/>
        </w:trPr>
        <w:tc>
          <w:tcPr>
            <w:tcW w:w="444" w:type="pct"/>
            <w:shd w:val="clear" w:color="auto" w:fill="auto"/>
            <w:vAlign w:val="center"/>
            <w:hideMark/>
          </w:tcPr>
          <w:p w14:paraId="645FEFBE" w14:textId="77777777" w:rsidR="00F73A38" w:rsidRPr="008F1D81" w:rsidRDefault="00F73A38" w:rsidP="00105BC5">
            <w:pPr>
              <w:rPr>
                <w:color w:val="000000"/>
                <w:lang w:val="en-US"/>
              </w:rPr>
            </w:pPr>
            <w:r w:rsidRPr="008F1D81">
              <w:rPr>
                <w:color w:val="000000"/>
                <w:lang w:val="en-US"/>
              </w:rPr>
              <w:t>CE05</w:t>
            </w:r>
          </w:p>
        </w:tc>
        <w:tc>
          <w:tcPr>
            <w:tcW w:w="4556" w:type="pct"/>
            <w:shd w:val="clear" w:color="auto" w:fill="auto"/>
            <w:noWrap/>
            <w:vAlign w:val="bottom"/>
            <w:hideMark/>
          </w:tcPr>
          <w:p w14:paraId="4F7D41BC" w14:textId="77777777" w:rsidR="00F73A38" w:rsidRPr="008F1D81" w:rsidRDefault="00F73A38" w:rsidP="00105BC5">
            <w:pPr>
              <w:rPr>
                <w:color w:val="000000"/>
                <w:lang w:val="en-US"/>
              </w:rPr>
            </w:pPr>
            <w:proofErr w:type="spellStart"/>
            <w:r w:rsidRPr="008F1D81">
              <w:rPr>
                <w:color w:val="000000"/>
                <w:lang w:val="en-US"/>
              </w:rPr>
              <w:t>Gestionarea</w:t>
            </w:r>
            <w:proofErr w:type="spellEnd"/>
            <w:r w:rsidRPr="008F1D81">
              <w:rPr>
                <w:color w:val="000000"/>
                <w:lang w:val="en-US"/>
              </w:rPr>
              <w:t xml:space="preserve">/ </w:t>
            </w: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zgomotului</w:t>
            </w:r>
            <w:proofErr w:type="spellEnd"/>
            <w:r w:rsidRPr="008F1D81">
              <w:rPr>
                <w:color w:val="000000"/>
                <w:lang w:val="en-US"/>
              </w:rPr>
              <w:t xml:space="preserve">, </w:t>
            </w:r>
            <w:proofErr w:type="spellStart"/>
            <w:r w:rsidRPr="008F1D81">
              <w:rPr>
                <w:color w:val="000000"/>
                <w:lang w:val="en-US"/>
              </w:rPr>
              <w:t>luminii</w:t>
            </w:r>
            <w:proofErr w:type="spellEnd"/>
            <w:r w:rsidRPr="008F1D81">
              <w:rPr>
                <w:color w:val="000000"/>
                <w:lang w:val="en-US"/>
              </w:rPr>
              <w:t xml:space="preserve"> </w:t>
            </w:r>
            <w:proofErr w:type="spellStart"/>
            <w:r w:rsidRPr="008F1D81">
              <w:rPr>
                <w:color w:val="000000"/>
                <w:lang w:val="en-US"/>
              </w:rPr>
              <w:t>si</w:t>
            </w:r>
            <w:proofErr w:type="spellEnd"/>
            <w:r w:rsidRPr="008F1D81">
              <w:rPr>
                <w:color w:val="000000"/>
                <w:lang w:val="en-US"/>
              </w:rPr>
              <w:t xml:space="preserve"> </w:t>
            </w:r>
            <w:proofErr w:type="spellStart"/>
            <w:r w:rsidRPr="008F1D81">
              <w:rPr>
                <w:color w:val="000000"/>
                <w:lang w:val="en-US"/>
              </w:rPr>
              <w:t>altor</w:t>
            </w:r>
            <w:proofErr w:type="spellEnd"/>
            <w:r w:rsidRPr="008F1D81">
              <w:rPr>
                <w:color w:val="000000"/>
                <w:lang w:val="en-US"/>
              </w:rPr>
              <w:t xml:space="preserve"> </w:t>
            </w:r>
            <w:proofErr w:type="spellStart"/>
            <w:r w:rsidRPr="008F1D81">
              <w:rPr>
                <w:color w:val="000000"/>
                <w:lang w:val="en-US"/>
              </w:rPr>
              <w:t>forme</w:t>
            </w:r>
            <w:proofErr w:type="spellEnd"/>
            <w:r w:rsidRPr="008F1D81">
              <w:rPr>
                <w:color w:val="000000"/>
                <w:lang w:val="en-US"/>
              </w:rPr>
              <w:t xml:space="preserve"> de </w:t>
            </w:r>
            <w:proofErr w:type="spellStart"/>
            <w:r w:rsidRPr="008F1D81">
              <w:rPr>
                <w:color w:val="000000"/>
                <w:lang w:val="en-US"/>
              </w:rPr>
              <w:t>poluare</w:t>
            </w:r>
            <w:proofErr w:type="spellEnd"/>
            <w:r w:rsidRPr="008F1D81">
              <w:rPr>
                <w:color w:val="000000"/>
                <w:lang w:val="en-US"/>
              </w:rPr>
              <w:t xml:space="preserve"> din </w:t>
            </w:r>
            <w:proofErr w:type="spellStart"/>
            <w:r w:rsidRPr="008F1D81">
              <w:rPr>
                <w:color w:val="000000"/>
                <w:lang w:val="en-US"/>
              </w:rPr>
              <w:t>transporturi</w:t>
            </w:r>
            <w:proofErr w:type="spellEnd"/>
          </w:p>
        </w:tc>
      </w:tr>
      <w:tr w:rsidR="00F73A38" w:rsidRPr="008F1D81" w14:paraId="63951863" w14:textId="77777777" w:rsidTr="00105BC5">
        <w:trPr>
          <w:trHeight w:val="300"/>
        </w:trPr>
        <w:tc>
          <w:tcPr>
            <w:tcW w:w="444" w:type="pct"/>
            <w:shd w:val="clear" w:color="auto" w:fill="auto"/>
            <w:vAlign w:val="center"/>
            <w:hideMark/>
          </w:tcPr>
          <w:p w14:paraId="73404FB8" w14:textId="77777777" w:rsidR="00F73A38" w:rsidRPr="008F1D81" w:rsidRDefault="00F73A38" w:rsidP="00105BC5">
            <w:pPr>
              <w:rPr>
                <w:color w:val="000000"/>
                <w:lang w:val="en-US"/>
              </w:rPr>
            </w:pPr>
            <w:r w:rsidRPr="008F1D81">
              <w:rPr>
                <w:color w:val="000000"/>
                <w:lang w:val="en-US"/>
              </w:rPr>
              <w:t>CE06</w:t>
            </w:r>
          </w:p>
        </w:tc>
        <w:tc>
          <w:tcPr>
            <w:tcW w:w="4556" w:type="pct"/>
            <w:shd w:val="clear" w:color="auto" w:fill="auto"/>
            <w:noWrap/>
            <w:vAlign w:val="bottom"/>
            <w:hideMark/>
          </w:tcPr>
          <w:p w14:paraId="053F2C59" w14:textId="77777777" w:rsidR="00F73A38" w:rsidRPr="008F1D81" w:rsidRDefault="00F73A38" w:rsidP="00105BC5">
            <w:pPr>
              <w:rPr>
                <w:color w:val="000000"/>
                <w:lang w:val="en-US"/>
              </w:rPr>
            </w:pPr>
            <w:proofErr w:type="spellStart"/>
            <w:r w:rsidRPr="008F1D81">
              <w:rPr>
                <w:color w:val="000000"/>
                <w:lang w:val="en-US"/>
              </w:rPr>
              <w:t>Restaurarea</w:t>
            </w:r>
            <w:proofErr w:type="spellEnd"/>
            <w:r w:rsidRPr="008F1D81">
              <w:rPr>
                <w:color w:val="000000"/>
                <w:lang w:val="en-US"/>
              </w:rPr>
              <w:t xml:space="preserve"> </w:t>
            </w:r>
            <w:proofErr w:type="spellStart"/>
            <w:r w:rsidRPr="008F1D81">
              <w:rPr>
                <w:color w:val="000000"/>
                <w:lang w:val="en-US"/>
              </w:rPr>
              <w:t>habitatelor</w:t>
            </w:r>
            <w:proofErr w:type="spellEnd"/>
            <w:r w:rsidRPr="008F1D81">
              <w:rPr>
                <w:color w:val="000000"/>
                <w:lang w:val="en-US"/>
              </w:rPr>
              <w:t xml:space="preserve"> in </w:t>
            </w:r>
            <w:proofErr w:type="spellStart"/>
            <w:r w:rsidRPr="008F1D81">
              <w:rPr>
                <w:color w:val="000000"/>
                <w:lang w:val="en-US"/>
              </w:rPr>
              <w:t>zonele</w:t>
            </w:r>
            <w:proofErr w:type="spellEnd"/>
            <w:r w:rsidRPr="008F1D81">
              <w:rPr>
                <w:color w:val="000000"/>
                <w:lang w:val="en-US"/>
              </w:rPr>
              <w:t xml:space="preserve"> </w:t>
            </w:r>
            <w:proofErr w:type="spellStart"/>
            <w:r w:rsidRPr="008F1D81">
              <w:rPr>
                <w:color w:val="000000"/>
                <w:lang w:val="en-US"/>
              </w:rPr>
              <w:t>afectate</w:t>
            </w:r>
            <w:proofErr w:type="spellEnd"/>
            <w:r w:rsidRPr="008F1D81">
              <w:rPr>
                <w:color w:val="000000"/>
                <w:lang w:val="en-US"/>
              </w:rPr>
              <w:t xml:space="preserve"> de </w:t>
            </w:r>
            <w:proofErr w:type="spellStart"/>
            <w:r w:rsidRPr="008F1D81">
              <w:rPr>
                <w:color w:val="000000"/>
                <w:lang w:val="en-US"/>
              </w:rPr>
              <w:t>transporturi</w:t>
            </w:r>
            <w:proofErr w:type="spellEnd"/>
          </w:p>
        </w:tc>
      </w:tr>
      <w:tr w:rsidR="00F73A38" w:rsidRPr="008F1D81" w14:paraId="642AC2ED" w14:textId="77777777" w:rsidTr="00105BC5">
        <w:trPr>
          <w:trHeight w:val="300"/>
        </w:trPr>
        <w:tc>
          <w:tcPr>
            <w:tcW w:w="444" w:type="pct"/>
            <w:shd w:val="clear" w:color="auto" w:fill="auto"/>
            <w:vAlign w:val="center"/>
            <w:hideMark/>
          </w:tcPr>
          <w:p w14:paraId="69D587CC" w14:textId="77777777" w:rsidR="00F73A38" w:rsidRPr="008F1D81" w:rsidRDefault="00F73A38" w:rsidP="00105BC5">
            <w:pPr>
              <w:rPr>
                <w:color w:val="000000"/>
                <w:lang w:val="en-US"/>
              </w:rPr>
            </w:pPr>
            <w:r w:rsidRPr="008F1D81">
              <w:rPr>
                <w:color w:val="000000"/>
                <w:lang w:val="en-US"/>
              </w:rPr>
              <w:lastRenderedPageBreak/>
              <w:t>CE07</w:t>
            </w:r>
          </w:p>
        </w:tc>
        <w:tc>
          <w:tcPr>
            <w:tcW w:w="4556" w:type="pct"/>
            <w:shd w:val="clear" w:color="auto" w:fill="auto"/>
            <w:noWrap/>
            <w:vAlign w:val="bottom"/>
            <w:hideMark/>
          </w:tcPr>
          <w:p w14:paraId="3FC78449" w14:textId="77777777" w:rsidR="00F73A38" w:rsidRPr="008F1D81" w:rsidRDefault="00F73A38" w:rsidP="00105BC5">
            <w:pPr>
              <w:rPr>
                <w:color w:val="000000"/>
                <w:lang w:val="en-US"/>
              </w:rPr>
            </w:pPr>
            <w:r w:rsidRPr="008F1D81">
              <w:rPr>
                <w:color w:val="000000"/>
                <w:lang w:val="en-US"/>
              </w:rPr>
              <w:t xml:space="preserve">Alte </w:t>
            </w:r>
            <w:proofErr w:type="spellStart"/>
            <w:r w:rsidRPr="008F1D81">
              <w:rPr>
                <w:color w:val="000000"/>
                <w:lang w:val="en-US"/>
              </w:rPr>
              <w:t>masuri</w:t>
            </w:r>
            <w:proofErr w:type="spellEnd"/>
            <w:r w:rsidRPr="008F1D81">
              <w:rPr>
                <w:color w:val="000000"/>
                <w:lang w:val="en-US"/>
              </w:rPr>
              <w:t xml:space="preserve"> legate de </w:t>
            </w:r>
            <w:proofErr w:type="spellStart"/>
            <w:r w:rsidRPr="008F1D81">
              <w:rPr>
                <w:color w:val="000000"/>
                <w:lang w:val="en-US"/>
              </w:rPr>
              <w:t>transporturi</w:t>
            </w:r>
            <w:proofErr w:type="spellEnd"/>
          </w:p>
        </w:tc>
      </w:tr>
      <w:tr w:rsidR="00F73A38" w:rsidRPr="008F1D81" w14:paraId="2EBDEFC4" w14:textId="77777777" w:rsidTr="00105BC5">
        <w:trPr>
          <w:trHeight w:val="300"/>
        </w:trPr>
        <w:tc>
          <w:tcPr>
            <w:tcW w:w="444" w:type="pct"/>
            <w:shd w:val="clear" w:color="auto" w:fill="auto"/>
            <w:vAlign w:val="center"/>
            <w:hideMark/>
          </w:tcPr>
          <w:p w14:paraId="5784F934" w14:textId="77777777" w:rsidR="00F73A38" w:rsidRPr="008F1D81" w:rsidRDefault="00F73A38" w:rsidP="00105BC5">
            <w:pPr>
              <w:rPr>
                <w:color w:val="000000"/>
                <w:lang w:val="en-US"/>
              </w:rPr>
            </w:pPr>
            <w:r w:rsidRPr="008F1D81">
              <w:rPr>
                <w:color w:val="000000"/>
                <w:lang w:val="en-US"/>
              </w:rPr>
              <w:t>CF</w:t>
            </w:r>
          </w:p>
        </w:tc>
        <w:tc>
          <w:tcPr>
            <w:tcW w:w="4556" w:type="pct"/>
            <w:shd w:val="clear" w:color="auto" w:fill="auto"/>
            <w:noWrap/>
            <w:vAlign w:val="bottom"/>
            <w:hideMark/>
          </w:tcPr>
          <w:p w14:paraId="23592A71" w14:textId="77777777" w:rsidR="00F73A38" w:rsidRPr="008F1D81" w:rsidRDefault="00F73A38" w:rsidP="00105BC5">
            <w:pPr>
              <w:rPr>
                <w:color w:val="000000"/>
                <w:lang w:val="en-US"/>
              </w:rPr>
            </w:pPr>
            <w:proofErr w:type="spellStart"/>
            <w:r w:rsidRPr="008F1D81">
              <w:rPr>
                <w:color w:val="000000"/>
                <w:lang w:val="en-US"/>
              </w:rPr>
              <w:t>Măsuri</w:t>
            </w:r>
            <w:proofErr w:type="spellEnd"/>
            <w:r w:rsidRPr="008F1D81">
              <w:rPr>
                <w:color w:val="000000"/>
                <w:lang w:val="en-US"/>
              </w:rPr>
              <w:t xml:space="preserve"> legate de </w:t>
            </w:r>
            <w:proofErr w:type="spellStart"/>
            <w:r w:rsidRPr="008F1D81">
              <w:rPr>
                <w:color w:val="000000"/>
                <w:lang w:val="en-US"/>
              </w:rPr>
              <w:t>infrastructura</w:t>
            </w:r>
            <w:proofErr w:type="spellEnd"/>
            <w:r w:rsidRPr="008F1D81">
              <w:rPr>
                <w:color w:val="000000"/>
                <w:lang w:val="en-US"/>
              </w:rPr>
              <w:t xml:space="preserve">, </w:t>
            </w:r>
            <w:proofErr w:type="spellStart"/>
            <w:r w:rsidRPr="008F1D81">
              <w:rPr>
                <w:color w:val="000000"/>
                <w:lang w:val="en-US"/>
              </w:rPr>
              <w:t>operațiuni</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activități</w:t>
            </w:r>
            <w:proofErr w:type="spellEnd"/>
            <w:r w:rsidRPr="008F1D81">
              <w:rPr>
                <w:color w:val="000000"/>
                <w:lang w:val="en-US"/>
              </w:rPr>
              <w:t xml:space="preserve"> </w:t>
            </w:r>
            <w:proofErr w:type="spellStart"/>
            <w:r w:rsidRPr="008F1D81">
              <w:rPr>
                <w:color w:val="000000"/>
                <w:lang w:val="en-US"/>
              </w:rPr>
              <w:t>rezidențiale</w:t>
            </w:r>
            <w:proofErr w:type="spellEnd"/>
            <w:r w:rsidRPr="008F1D81">
              <w:rPr>
                <w:color w:val="000000"/>
                <w:lang w:val="en-US"/>
              </w:rPr>
              <w:t xml:space="preserve">, </w:t>
            </w:r>
            <w:proofErr w:type="spellStart"/>
            <w:r w:rsidRPr="008F1D81">
              <w:rPr>
                <w:color w:val="000000"/>
                <w:lang w:val="en-US"/>
              </w:rPr>
              <w:t>comerciale</w:t>
            </w:r>
            <w:proofErr w:type="spellEnd"/>
            <w:r w:rsidRPr="008F1D81">
              <w:rPr>
                <w:color w:val="000000"/>
                <w:lang w:val="en-US"/>
              </w:rPr>
              <w:t xml:space="preserve">, </w:t>
            </w:r>
            <w:proofErr w:type="spellStart"/>
            <w:r w:rsidRPr="008F1D81">
              <w:rPr>
                <w:color w:val="000000"/>
                <w:lang w:val="en-US"/>
              </w:rPr>
              <w:t>industriale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de </w:t>
            </w:r>
            <w:proofErr w:type="spellStart"/>
            <w:r w:rsidRPr="008F1D81">
              <w:rPr>
                <w:color w:val="000000"/>
                <w:lang w:val="en-US"/>
              </w:rPr>
              <w:t>agrement</w:t>
            </w:r>
            <w:proofErr w:type="spellEnd"/>
          </w:p>
        </w:tc>
      </w:tr>
      <w:tr w:rsidR="00F73A38" w:rsidRPr="008F1D81" w14:paraId="386828A7" w14:textId="77777777" w:rsidTr="00105BC5">
        <w:trPr>
          <w:trHeight w:val="300"/>
        </w:trPr>
        <w:tc>
          <w:tcPr>
            <w:tcW w:w="444" w:type="pct"/>
            <w:shd w:val="clear" w:color="auto" w:fill="auto"/>
            <w:vAlign w:val="center"/>
            <w:hideMark/>
          </w:tcPr>
          <w:p w14:paraId="47A40D51" w14:textId="77777777" w:rsidR="00F73A38" w:rsidRPr="008F1D81" w:rsidRDefault="00F73A38" w:rsidP="00105BC5">
            <w:pPr>
              <w:rPr>
                <w:color w:val="000000"/>
                <w:lang w:val="en-US"/>
              </w:rPr>
            </w:pPr>
            <w:r w:rsidRPr="008F1D81">
              <w:rPr>
                <w:color w:val="000000"/>
                <w:lang w:val="en-US"/>
              </w:rPr>
              <w:t>CF01</w:t>
            </w:r>
          </w:p>
        </w:tc>
        <w:tc>
          <w:tcPr>
            <w:tcW w:w="4556" w:type="pct"/>
            <w:shd w:val="clear" w:color="auto" w:fill="auto"/>
            <w:noWrap/>
            <w:vAlign w:val="bottom"/>
            <w:hideMark/>
          </w:tcPr>
          <w:p w14:paraId="7B9FB177" w14:textId="77777777" w:rsidR="00F73A38" w:rsidRPr="008F1D81" w:rsidRDefault="00F73A38" w:rsidP="00105BC5">
            <w:pPr>
              <w:rPr>
                <w:color w:val="000000"/>
                <w:lang w:val="en-US"/>
              </w:rPr>
            </w:pPr>
            <w:proofErr w:type="spellStart"/>
            <w:r w:rsidRPr="008F1D81">
              <w:rPr>
                <w:color w:val="000000"/>
                <w:lang w:val="en-US"/>
              </w:rPr>
              <w:t>Gestionarea</w:t>
            </w:r>
            <w:proofErr w:type="spellEnd"/>
            <w:r w:rsidRPr="008F1D81">
              <w:rPr>
                <w:color w:val="000000"/>
                <w:lang w:val="en-US"/>
              </w:rPr>
              <w:t xml:space="preserve"> </w:t>
            </w:r>
            <w:proofErr w:type="spellStart"/>
            <w:r w:rsidRPr="008F1D81">
              <w:rPr>
                <w:color w:val="000000"/>
                <w:lang w:val="en-US"/>
              </w:rPr>
              <w:t>conversiei</w:t>
            </w:r>
            <w:proofErr w:type="spellEnd"/>
            <w:r w:rsidRPr="008F1D81">
              <w:rPr>
                <w:color w:val="000000"/>
                <w:lang w:val="en-US"/>
              </w:rPr>
              <w:t xml:space="preserve"> </w:t>
            </w:r>
            <w:proofErr w:type="spellStart"/>
            <w:r w:rsidRPr="008F1D81">
              <w:rPr>
                <w:color w:val="000000"/>
                <w:lang w:val="en-US"/>
              </w:rPr>
              <w:t>terenurilor</w:t>
            </w:r>
            <w:proofErr w:type="spellEnd"/>
            <w:r w:rsidRPr="008F1D81">
              <w:rPr>
                <w:color w:val="000000"/>
                <w:lang w:val="en-US"/>
              </w:rPr>
              <w:t xml:space="preserve"> </w:t>
            </w:r>
            <w:proofErr w:type="spellStart"/>
            <w:r w:rsidRPr="008F1D81">
              <w:rPr>
                <w:color w:val="000000"/>
                <w:lang w:val="en-US"/>
              </w:rPr>
              <w:t>pentru</w:t>
            </w:r>
            <w:proofErr w:type="spellEnd"/>
            <w:r w:rsidRPr="008F1D81">
              <w:rPr>
                <w:color w:val="000000"/>
                <w:lang w:val="en-US"/>
              </w:rPr>
              <w:t xml:space="preserve"> </w:t>
            </w:r>
            <w:proofErr w:type="spellStart"/>
            <w:r w:rsidRPr="008F1D81">
              <w:rPr>
                <w:color w:val="000000"/>
                <w:lang w:val="en-US"/>
              </w:rPr>
              <w:t>construcția</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dezvoltarea</w:t>
            </w:r>
            <w:proofErr w:type="spellEnd"/>
            <w:r w:rsidRPr="008F1D81">
              <w:rPr>
                <w:color w:val="000000"/>
                <w:lang w:val="en-US"/>
              </w:rPr>
              <w:t xml:space="preserve"> </w:t>
            </w:r>
            <w:proofErr w:type="spellStart"/>
            <w:r w:rsidRPr="008F1D81">
              <w:rPr>
                <w:color w:val="000000"/>
                <w:lang w:val="en-US"/>
              </w:rPr>
              <w:t>infrastructurii</w:t>
            </w:r>
            <w:proofErr w:type="spellEnd"/>
          </w:p>
        </w:tc>
      </w:tr>
      <w:tr w:rsidR="00F73A38" w:rsidRPr="008F1D81" w14:paraId="4EE47461" w14:textId="77777777" w:rsidTr="00105BC5">
        <w:trPr>
          <w:trHeight w:val="300"/>
        </w:trPr>
        <w:tc>
          <w:tcPr>
            <w:tcW w:w="444" w:type="pct"/>
            <w:shd w:val="clear" w:color="auto" w:fill="auto"/>
            <w:vAlign w:val="center"/>
            <w:hideMark/>
          </w:tcPr>
          <w:p w14:paraId="0EEC636A" w14:textId="77777777" w:rsidR="00F73A38" w:rsidRPr="008F1D81" w:rsidRDefault="00F73A38" w:rsidP="00105BC5">
            <w:pPr>
              <w:rPr>
                <w:color w:val="000000"/>
                <w:lang w:val="en-US"/>
              </w:rPr>
            </w:pPr>
            <w:r w:rsidRPr="008F1D81">
              <w:rPr>
                <w:color w:val="000000"/>
                <w:lang w:val="en-US"/>
              </w:rPr>
              <w:t>CF02</w:t>
            </w:r>
          </w:p>
        </w:tc>
        <w:tc>
          <w:tcPr>
            <w:tcW w:w="4556" w:type="pct"/>
            <w:shd w:val="clear" w:color="auto" w:fill="auto"/>
            <w:noWrap/>
            <w:vAlign w:val="bottom"/>
            <w:hideMark/>
          </w:tcPr>
          <w:p w14:paraId="1DAE9DB2" w14:textId="77777777" w:rsidR="00F73A38" w:rsidRPr="008F1D81" w:rsidRDefault="00F73A38" w:rsidP="00105BC5">
            <w:pPr>
              <w:rPr>
                <w:color w:val="000000"/>
                <w:lang w:val="en-US"/>
              </w:rPr>
            </w:pPr>
            <w:proofErr w:type="spellStart"/>
            <w:r w:rsidRPr="008F1D81">
              <w:rPr>
                <w:color w:val="000000"/>
                <w:lang w:val="en-US"/>
              </w:rPr>
              <w:t>Restaurarea</w:t>
            </w:r>
            <w:proofErr w:type="spellEnd"/>
            <w:r w:rsidRPr="008F1D81">
              <w:rPr>
                <w:color w:val="000000"/>
                <w:lang w:val="en-US"/>
              </w:rPr>
              <w:t xml:space="preserve"> </w:t>
            </w:r>
            <w:proofErr w:type="spellStart"/>
            <w:r w:rsidRPr="008F1D81">
              <w:rPr>
                <w:color w:val="000000"/>
                <w:lang w:val="en-US"/>
              </w:rPr>
              <w:t>habitatelor</w:t>
            </w:r>
            <w:proofErr w:type="spellEnd"/>
            <w:r w:rsidRPr="008F1D81">
              <w:rPr>
                <w:color w:val="000000"/>
                <w:lang w:val="en-US"/>
              </w:rPr>
              <w:t xml:space="preserve"> din </w:t>
            </w:r>
            <w:proofErr w:type="spellStart"/>
            <w:r w:rsidRPr="008F1D81">
              <w:rPr>
                <w:color w:val="000000"/>
                <w:lang w:val="en-US"/>
              </w:rPr>
              <w:t>zonele</w:t>
            </w:r>
            <w:proofErr w:type="spellEnd"/>
            <w:r w:rsidRPr="008F1D81">
              <w:rPr>
                <w:color w:val="000000"/>
                <w:lang w:val="en-US"/>
              </w:rPr>
              <w:t xml:space="preserve"> </w:t>
            </w:r>
            <w:proofErr w:type="spellStart"/>
            <w:r w:rsidRPr="008F1D81">
              <w:rPr>
                <w:color w:val="000000"/>
                <w:lang w:val="en-US"/>
              </w:rPr>
              <w:t>afectate</w:t>
            </w:r>
            <w:proofErr w:type="spellEnd"/>
            <w:r w:rsidRPr="008F1D81">
              <w:rPr>
                <w:color w:val="000000"/>
                <w:lang w:val="en-US"/>
              </w:rPr>
              <w:t xml:space="preserve"> de </w:t>
            </w:r>
            <w:proofErr w:type="spellStart"/>
            <w:r w:rsidRPr="008F1D81">
              <w:rPr>
                <w:color w:val="000000"/>
                <w:lang w:val="en-US"/>
              </w:rPr>
              <w:t>infrastructuri</w:t>
            </w:r>
            <w:proofErr w:type="spellEnd"/>
            <w:r w:rsidRPr="008F1D81">
              <w:rPr>
                <w:color w:val="000000"/>
                <w:lang w:val="en-US"/>
              </w:rPr>
              <w:t xml:space="preserve">, </w:t>
            </w:r>
            <w:proofErr w:type="spellStart"/>
            <w:r w:rsidRPr="008F1D81">
              <w:rPr>
                <w:color w:val="000000"/>
                <w:lang w:val="en-US"/>
              </w:rPr>
              <w:t>operațiuni</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activitățile</w:t>
            </w:r>
            <w:proofErr w:type="spellEnd"/>
            <w:r w:rsidRPr="008F1D81">
              <w:rPr>
                <w:color w:val="000000"/>
                <w:lang w:val="en-US"/>
              </w:rPr>
              <w:t xml:space="preserve"> </w:t>
            </w:r>
            <w:proofErr w:type="spellStart"/>
            <w:r w:rsidRPr="008F1D81">
              <w:rPr>
                <w:color w:val="000000"/>
                <w:lang w:val="en-US"/>
              </w:rPr>
              <w:t>rezidențiale</w:t>
            </w:r>
            <w:proofErr w:type="spellEnd"/>
            <w:r w:rsidRPr="008F1D81">
              <w:rPr>
                <w:color w:val="000000"/>
                <w:lang w:val="en-US"/>
              </w:rPr>
              <w:t xml:space="preserve">, </w:t>
            </w:r>
            <w:proofErr w:type="spellStart"/>
            <w:r w:rsidRPr="008F1D81">
              <w:rPr>
                <w:color w:val="000000"/>
                <w:lang w:val="en-US"/>
              </w:rPr>
              <w:t>comerciale</w:t>
            </w:r>
            <w:proofErr w:type="spellEnd"/>
            <w:r w:rsidRPr="008F1D81">
              <w:rPr>
                <w:color w:val="000000"/>
                <w:lang w:val="en-US"/>
              </w:rPr>
              <w:t xml:space="preserve">, </w:t>
            </w:r>
            <w:proofErr w:type="spellStart"/>
            <w:r w:rsidRPr="008F1D81">
              <w:rPr>
                <w:color w:val="000000"/>
                <w:lang w:val="en-US"/>
              </w:rPr>
              <w:t>industriale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de </w:t>
            </w:r>
            <w:proofErr w:type="spellStart"/>
            <w:r w:rsidRPr="008F1D81">
              <w:rPr>
                <w:color w:val="000000"/>
                <w:lang w:val="en-US"/>
              </w:rPr>
              <w:t>agrement</w:t>
            </w:r>
            <w:proofErr w:type="spellEnd"/>
          </w:p>
        </w:tc>
      </w:tr>
      <w:tr w:rsidR="00F73A38" w:rsidRPr="008F1D81" w14:paraId="1A2A67B9" w14:textId="77777777" w:rsidTr="00105BC5">
        <w:trPr>
          <w:trHeight w:val="300"/>
        </w:trPr>
        <w:tc>
          <w:tcPr>
            <w:tcW w:w="444" w:type="pct"/>
            <w:shd w:val="clear" w:color="auto" w:fill="auto"/>
            <w:vAlign w:val="center"/>
            <w:hideMark/>
          </w:tcPr>
          <w:p w14:paraId="2D51885A" w14:textId="77777777" w:rsidR="00F73A38" w:rsidRPr="008F1D81" w:rsidRDefault="00F73A38" w:rsidP="00105BC5">
            <w:pPr>
              <w:rPr>
                <w:color w:val="000000"/>
                <w:lang w:val="en-US"/>
              </w:rPr>
            </w:pPr>
            <w:r w:rsidRPr="008F1D81">
              <w:rPr>
                <w:color w:val="000000"/>
                <w:lang w:val="en-US"/>
              </w:rPr>
              <w:t>CF03</w:t>
            </w:r>
          </w:p>
        </w:tc>
        <w:tc>
          <w:tcPr>
            <w:tcW w:w="4556" w:type="pct"/>
            <w:shd w:val="clear" w:color="auto" w:fill="auto"/>
            <w:noWrap/>
            <w:vAlign w:val="bottom"/>
            <w:hideMark/>
          </w:tcPr>
          <w:p w14:paraId="2BE8B9BE"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w:t>
            </w:r>
            <w:proofErr w:type="spellStart"/>
            <w:r w:rsidRPr="008F1D81">
              <w:rPr>
                <w:color w:val="000000"/>
                <w:lang w:val="en-US"/>
              </w:rPr>
              <w:t>impactul</w:t>
            </w:r>
            <w:proofErr w:type="spellEnd"/>
            <w:r w:rsidRPr="008F1D81">
              <w:rPr>
                <w:color w:val="000000"/>
                <w:lang w:val="en-US"/>
              </w:rPr>
              <w:t xml:space="preserve"> </w:t>
            </w:r>
            <w:proofErr w:type="spellStart"/>
            <w:r w:rsidRPr="008F1D81">
              <w:rPr>
                <w:color w:val="000000"/>
                <w:lang w:val="en-US"/>
              </w:rPr>
              <w:t>rezultat</w:t>
            </w:r>
            <w:proofErr w:type="spellEnd"/>
            <w:r w:rsidRPr="008F1D81">
              <w:rPr>
                <w:color w:val="000000"/>
                <w:lang w:val="en-US"/>
              </w:rPr>
              <w:t xml:space="preserve"> din </w:t>
            </w:r>
            <w:proofErr w:type="spellStart"/>
            <w:r w:rsidRPr="008F1D81">
              <w:rPr>
                <w:color w:val="000000"/>
                <w:lang w:val="en-US"/>
              </w:rPr>
              <w:t>practicarea</w:t>
            </w:r>
            <w:proofErr w:type="spellEnd"/>
            <w:r w:rsidRPr="008F1D81">
              <w:rPr>
                <w:color w:val="000000"/>
                <w:lang w:val="en-US"/>
              </w:rPr>
              <w:t xml:space="preserve"> </w:t>
            </w:r>
            <w:proofErr w:type="spellStart"/>
            <w:r w:rsidRPr="008F1D81">
              <w:rPr>
                <w:color w:val="000000"/>
                <w:lang w:val="en-US"/>
              </w:rPr>
              <w:t>sporturilor</w:t>
            </w:r>
            <w:proofErr w:type="spellEnd"/>
            <w:r w:rsidRPr="008F1D81">
              <w:rPr>
                <w:color w:val="000000"/>
                <w:lang w:val="en-US"/>
              </w:rPr>
              <w:t xml:space="preserve"> </w:t>
            </w:r>
            <w:proofErr w:type="spellStart"/>
            <w:r w:rsidRPr="008F1D81">
              <w:rPr>
                <w:color w:val="000000"/>
                <w:lang w:val="en-US"/>
              </w:rPr>
              <w:t>în</w:t>
            </w:r>
            <w:proofErr w:type="spellEnd"/>
            <w:r w:rsidRPr="008F1D81">
              <w:rPr>
                <w:color w:val="000000"/>
                <w:lang w:val="en-US"/>
              </w:rPr>
              <w:t xml:space="preserve"> </w:t>
            </w:r>
            <w:proofErr w:type="spellStart"/>
            <w:r w:rsidRPr="008F1D81">
              <w:rPr>
                <w:color w:val="000000"/>
                <w:lang w:val="en-US"/>
              </w:rPr>
              <w:t>aer</w:t>
            </w:r>
            <w:proofErr w:type="spellEnd"/>
            <w:r w:rsidRPr="008F1D81">
              <w:rPr>
                <w:color w:val="000000"/>
                <w:lang w:val="en-US"/>
              </w:rPr>
              <w:t xml:space="preserve"> liber, al </w:t>
            </w:r>
            <w:proofErr w:type="spellStart"/>
            <w:r w:rsidRPr="008F1D81">
              <w:rPr>
                <w:color w:val="000000"/>
                <w:lang w:val="en-US"/>
              </w:rPr>
              <w:t>timpului</w:t>
            </w:r>
            <w:proofErr w:type="spellEnd"/>
            <w:r w:rsidRPr="008F1D81">
              <w:rPr>
                <w:color w:val="000000"/>
                <w:lang w:val="en-US"/>
              </w:rPr>
              <w:t xml:space="preserve"> liber </w:t>
            </w:r>
            <w:proofErr w:type="spellStart"/>
            <w:r w:rsidRPr="008F1D81">
              <w:rPr>
                <w:color w:val="000000"/>
                <w:lang w:val="en-US"/>
              </w:rPr>
              <w:t>și</w:t>
            </w:r>
            <w:proofErr w:type="spellEnd"/>
            <w:r w:rsidRPr="008F1D81">
              <w:rPr>
                <w:color w:val="000000"/>
                <w:lang w:val="en-US"/>
              </w:rPr>
              <w:t xml:space="preserve"> al </w:t>
            </w:r>
            <w:proofErr w:type="spellStart"/>
            <w:r w:rsidRPr="008F1D81">
              <w:rPr>
                <w:color w:val="000000"/>
                <w:lang w:val="en-US"/>
              </w:rPr>
              <w:t>activităților</w:t>
            </w:r>
            <w:proofErr w:type="spellEnd"/>
            <w:r w:rsidRPr="008F1D81">
              <w:rPr>
                <w:color w:val="000000"/>
                <w:lang w:val="en-US"/>
              </w:rPr>
              <w:t xml:space="preserve"> recreative</w:t>
            </w:r>
          </w:p>
        </w:tc>
      </w:tr>
      <w:tr w:rsidR="00F73A38" w:rsidRPr="008F1D81" w14:paraId="636B23EE" w14:textId="77777777" w:rsidTr="00105BC5">
        <w:trPr>
          <w:trHeight w:val="300"/>
        </w:trPr>
        <w:tc>
          <w:tcPr>
            <w:tcW w:w="444" w:type="pct"/>
            <w:shd w:val="clear" w:color="auto" w:fill="auto"/>
            <w:vAlign w:val="center"/>
            <w:hideMark/>
          </w:tcPr>
          <w:p w14:paraId="67D9D270" w14:textId="77777777" w:rsidR="00F73A38" w:rsidRPr="008F1D81" w:rsidRDefault="00F73A38" w:rsidP="00105BC5">
            <w:pPr>
              <w:rPr>
                <w:color w:val="000000"/>
                <w:lang w:val="en-US"/>
              </w:rPr>
            </w:pPr>
            <w:r w:rsidRPr="008F1D81">
              <w:rPr>
                <w:color w:val="000000"/>
                <w:lang w:val="en-US"/>
              </w:rPr>
              <w:t>CF04</w:t>
            </w:r>
          </w:p>
        </w:tc>
        <w:tc>
          <w:tcPr>
            <w:tcW w:w="4556" w:type="pct"/>
            <w:shd w:val="clear" w:color="auto" w:fill="auto"/>
            <w:noWrap/>
            <w:vAlign w:val="bottom"/>
            <w:hideMark/>
          </w:tcPr>
          <w:p w14:paraId="2A6AEF4D"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poluării</w:t>
            </w:r>
            <w:proofErr w:type="spellEnd"/>
            <w:r w:rsidRPr="008F1D81">
              <w:rPr>
                <w:color w:val="000000"/>
                <w:lang w:val="en-US"/>
              </w:rPr>
              <w:t xml:space="preserve"> din </w:t>
            </w:r>
            <w:proofErr w:type="spellStart"/>
            <w:r w:rsidRPr="008F1D81">
              <w:rPr>
                <w:color w:val="000000"/>
                <w:lang w:val="en-US"/>
              </w:rPr>
              <w:t>surse</w:t>
            </w:r>
            <w:proofErr w:type="spellEnd"/>
            <w:r w:rsidRPr="008F1D81">
              <w:rPr>
                <w:color w:val="000000"/>
                <w:lang w:val="en-US"/>
              </w:rPr>
              <w:t xml:space="preserve"> </w:t>
            </w:r>
            <w:proofErr w:type="spellStart"/>
            <w:r w:rsidRPr="008F1D81">
              <w:rPr>
                <w:color w:val="000000"/>
                <w:lang w:val="en-US"/>
              </w:rPr>
              <w:t>punctuale</w:t>
            </w:r>
            <w:proofErr w:type="spellEnd"/>
            <w:r w:rsidRPr="008F1D81">
              <w:rPr>
                <w:color w:val="000000"/>
                <w:lang w:val="en-US"/>
              </w:rPr>
              <w:t xml:space="preserve"> a </w:t>
            </w:r>
            <w:proofErr w:type="spellStart"/>
            <w:r w:rsidRPr="008F1D81">
              <w:rPr>
                <w:color w:val="000000"/>
                <w:lang w:val="en-US"/>
              </w:rPr>
              <w:t>apele</w:t>
            </w:r>
            <w:proofErr w:type="spellEnd"/>
            <w:r w:rsidRPr="008F1D81">
              <w:rPr>
                <w:color w:val="000000"/>
                <w:lang w:val="en-US"/>
              </w:rPr>
              <w:t xml:space="preserve"> de </w:t>
            </w:r>
            <w:proofErr w:type="spellStart"/>
            <w:r w:rsidRPr="008F1D81">
              <w:rPr>
                <w:color w:val="000000"/>
                <w:lang w:val="en-US"/>
              </w:rPr>
              <w:t>suprafață</w:t>
            </w:r>
            <w:proofErr w:type="spellEnd"/>
            <w:r w:rsidRPr="008F1D81">
              <w:rPr>
                <w:color w:val="000000"/>
                <w:lang w:val="en-US"/>
              </w:rPr>
              <w:t xml:space="preserve"> </w:t>
            </w:r>
            <w:proofErr w:type="spellStart"/>
            <w:r w:rsidRPr="008F1D81">
              <w:rPr>
                <w:color w:val="000000"/>
                <w:lang w:val="en-US"/>
              </w:rPr>
              <w:t>sau</w:t>
            </w:r>
            <w:proofErr w:type="spellEnd"/>
            <w:r w:rsidRPr="008F1D81">
              <w:rPr>
                <w:color w:val="000000"/>
                <w:lang w:val="en-US"/>
              </w:rPr>
              <w:t xml:space="preserve"> </w:t>
            </w:r>
            <w:proofErr w:type="spellStart"/>
            <w:r w:rsidRPr="008F1D81">
              <w:rPr>
                <w:color w:val="000000"/>
                <w:lang w:val="en-US"/>
              </w:rPr>
              <w:t>subterane</w:t>
            </w:r>
            <w:proofErr w:type="spellEnd"/>
            <w:r w:rsidRPr="008F1D81">
              <w:rPr>
                <w:color w:val="000000"/>
                <w:lang w:val="en-US"/>
              </w:rPr>
              <w:t xml:space="preserve"> din </w:t>
            </w:r>
            <w:proofErr w:type="spellStart"/>
            <w:r w:rsidRPr="008F1D81">
              <w:rPr>
                <w:color w:val="000000"/>
                <w:lang w:val="en-US"/>
              </w:rPr>
              <w:t>zonele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activitățile</w:t>
            </w:r>
            <w:proofErr w:type="spellEnd"/>
            <w:r w:rsidRPr="008F1D81">
              <w:rPr>
                <w:color w:val="000000"/>
                <w:lang w:val="en-US"/>
              </w:rPr>
              <w:t xml:space="preserve"> </w:t>
            </w:r>
            <w:proofErr w:type="spellStart"/>
            <w:r w:rsidRPr="008F1D81">
              <w:rPr>
                <w:color w:val="000000"/>
                <w:lang w:val="en-US"/>
              </w:rPr>
              <w:t>industriale</w:t>
            </w:r>
            <w:proofErr w:type="spellEnd"/>
            <w:r w:rsidRPr="008F1D81">
              <w:rPr>
                <w:color w:val="000000"/>
                <w:lang w:val="en-US"/>
              </w:rPr>
              <w:t xml:space="preserve">, </w:t>
            </w:r>
            <w:proofErr w:type="spellStart"/>
            <w:r w:rsidRPr="008F1D81">
              <w:rPr>
                <w:color w:val="000000"/>
                <w:lang w:val="en-US"/>
              </w:rPr>
              <w:t>comerciale</w:t>
            </w:r>
            <w:proofErr w:type="spellEnd"/>
            <w:r w:rsidRPr="008F1D81">
              <w:rPr>
                <w:color w:val="000000"/>
                <w:lang w:val="en-US"/>
              </w:rPr>
              <w:t xml:space="preserve">, </w:t>
            </w:r>
            <w:proofErr w:type="spellStart"/>
            <w:r w:rsidRPr="008F1D81">
              <w:rPr>
                <w:color w:val="000000"/>
                <w:lang w:val="en-US"/>
              </w:rPr>
              <w:t>rezidențiale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de </w:t>
            </w:r>
            <w:proofErr w:type="spellStart"/>
            <w:r w:rsidRPr="008F1D81">
              <w:rPr>
                <w:color w:val="000000"/>
                <w:lang w:val="en-US"/>
              </w:rPr>
              <w:t>agrement</w:t>
            </w:r>
            <w:proofErr w:type="spellEnd"/>
          </w:p>
        </w:tc>
      </w:tr>
      <w:tr w:rsidR="00F73A38" w:rsidRPr="008F1D81" w14:paraId="3868DA91" w14:textId="77777777" w:rsidTr="00105BC5">
        <w:trPr>
          <w:trHeight w:val="300"/>
        </w:trPr>
        <w:tc>
          <w:tcPr>
            <w:tcW w:w="444" w:type="pct"/>
            <w:shd w:val="clear" w:color="auto" w:fill="auto"/>
            <w:vAlign w:val="center"/>
            <w:hideMark/>
          </w:tcPr>
          <w:p w14:paraId="204E3BD4" w14:textId="77777777" w:rsidR="00F73A38" w:rsidRPr="008F1D81" w:rsidRDefault="00F73A38" w:rsidP="00105BC5">
            <w:pPr>
              <w:rPr>
                <w:color w:val="000000"/>
                <w:lang w:val="en-US"/>
              </w:rPr>
            </w:pPr>
            <w:r w:rsidRPr="008F1D81">
              <w:rPr>
                <w:color w:val="000000"/>
                <w:lang w:val="en-US"/>
              </w:rPr>
              <w:t>CF05</w:t>
            </w:r>
          </w:p>
        </w:tc>
        <w:tc>
          <w:tcPr>
            <w:tcW w:w="4556" w:type="pct"/>
            <w:shd w:val="clear" w:color="auto" w:fill="auto"/>
            <w:noWrap/>
            <w:vAlign w:val="bottom"/>
            <w:hideMark/>
          </w:tcPr>
          <w:p w14:paraId="7459E9BD"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poluării</w:t>
            </w:r>
            <w:proofErr w:type="spellEnd"/>
            <w:r w:rsidRPr="008F1D81">
              <w:rPr>
                <w:color w:val="000000"/>
                <w:lang w:val="en-US"/>
              </w:rPr>
              <w:t xml:space="preserve"> </w:t>
            </w:r>
            <w:proofErr w:type="spellStart"/>
            <w:r w:rsidRPr="008F1D81">
              <w:rPr>
                <w:color w:val="000000"/>
                <w:lang w:val="en-US"/>
              </w:rPr>
              <w:t>difuze</w:t>
            </w:r>
            <w:proofErr w:type="spellEnd"/>
            <w:r w:rsidRPr="008F1D81">
              <w:rPr>
                <w:color w:val="000000"/>
                <w:lang w:val="en-US"/>
              </w:rPr>
              <w:t xml:space="preserve"> a </w:t>
            </w:r>
            <w:proofErr w:type="spellStart"/>
            <w:r w:rsidRPr="008F1D81">
              <w:rPr>
                <w:color w:val="000000"/>
                <w:lang w:val="en-US"/>
              </w:rPr>
              <w:t>apele</w:t>
            </w:r>
            <w:proofErr w:type="spellEnd"/>
            <w:r w:rsidRPr="008F1D81">
              <w:rPr>
                <w:color w:val="000000"/>
                <w:lang w:val="en-US"/>
              </w:rPr>
              <w:t xml:space="preserve"> de </w:t>
            </w:r>
            <w:proofErr w:type="spellStart"/>
            <w:r w:rsidRPr="008F1D81">
              <w:rPr>
                <w:color w:val="000000"/>
                <w:lang w:val="en-US"/>
              </w:rPr>
              <w:t>suprafață</w:t>
            </w:r>
            <w:proofErr w:type="spellEnd"/>
            <w:r w:rsidRPr="008F1D81">
              <w:rPr>
                <w:color w:val="000000"/>
                <w:lang w:val="en-US"/>
              </w:rPr>
              <w:t xml:space="preserve"> </w:t>
            </w:r>
            <w:proofErr w:type="spellStart"/>
            <w:r w:rsidRPr="008F1D81">
              <w:rPr>
                <w:color w:val="000000"/>
                <w:lang w:val="en-US"/>
              </w:rPr>
              <w:t>sau</w:t>
            </w:r>
            <w:proofErr w:type="spellEnd"/>
            <w:r w:rsidRPr="008F1D81">
              <w:rPr>
                <w:color w:val="000000"/>
                <w:lang w:val="en-US"/>
              </w:rPr>
              <w:t xml:space="preserve"> </w:t>
            </w:r>
            <w:proofErr w:type="spellStart"/>
            <w:r w:rsidRPr="008F1D81">
              <w:rPr>
                <w:color w:val="000000"/>
                <w:lang w:val="en-US"/>
              </w:rPr>
              <w:t>subterane</w:t>
            </w:r>
            <w:proofErr w:type="spellEnd"/>
            <w:r w:rsidRPr="008F1D81">
              <w:rPr>
                <w:color w:val="000000"/>
                <w:lang w:val="en-US"/>
              </w:rPr>
              <w:t xml:space="preserve"> din </w:t>
            </w:r>
            <w:proofErr w:type="spellStart"/>
            <w:r w:rsidRPr="008F1D81">
              <w:rPr>
                <w:color w:val="000000"/>
                <w:lang w:val="en-US"/>
              </w:rPr>
              <w:t>zonele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activitățile</w:t>
            </w:r>
            <w:proofErr w:type="spellEnd"/>
            <w:r w:rsidRPr="008F1D81">
              <w:rPr>
                <w:color w:val="000000"/>
                <w:lang w:val="en-US"/>
              </w:rPr>
              <w:t xml:space="preserve"> </w:t>
            </w:r>
            <w:proofErr w:type="spellStart"/>
            <w:r w:rsidRPr="008F1D81">
              <w:rPr>
                <w:color w:val="000000"/>
                <w:lang w:val="en-US"/>
              </w:rPr>
              <w:t>industriale</w:t>
            </w:r>
            <w:proofErr w:type="spellEnd"/>
            <w:r w:rsidRPr="008F1D81">
              <w:rPr>
                <w:color w:val="000000"/>
                <w:lang w:val="en-US"/>
              </w:rPr>
              <w:t xml:space="preserve">, </w:t>
            </w:r>
            <w:proofErr w:type="spellStart"/>
            <w:r w:rsidRPr="008F1D81">
              <w:rPr>
                <w:color w:val="000000"/>
                <w:lang w:val="en-US"/>
              </w:rPr>
              <w:t>comerciale</w:t>
            </w:r>
            <w:proofErr w:type="spellEnd"/>
            <w:r w:rsidRPr="008F1D81">
              <w:rPr>
                <w:color w:val="000000"/>
                <w:lang w:val="en-US"/>
              </w:rPr>
              <w:t xml:space="preserve">, </w:t>
            </w:r>
            <w:proofErr w:type="spellStart"/>
            <w:r w:rsidRPr="008F1D81">
              <w:rPr>
                <w:color w:val="000000"/>
                <w:lang w:val="en-US"/>
              </w:rPr>
              <w:t>rezidențiale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de </w:t>
            </w:r>
            <w:proofErr w:type="spellStart"/>
            <w:r w:rsidRPr="008F1D81">
              <w:rPr>
                <w:color w:val="000000"/>
                <w:lang w:val="en-US"/>
              </w:rPr>
              <w:t>agrement</w:t>
            </w:r>
            <w:proofErr w:type="spellEnd"/>
          </w:p>
        </w:tc>
      </w:tr>
      <w:tr w:rsidR="00F73A38" w:rsidRPr="008F1D81" w14:paraId="0F773BA3" w14:textId="77777777" w:rsidTr="00105BC5">
        <w:trPr>
          <w:trHeight w:val="300"/>
        </w:trPr>
        <w:tc>
          <w:tcPr>
            <w:tcW w:w="444" w:type="pct"/>
            <w:shd w:val="clear" w:color="auto" w:fill="auto"/>
            <w:vAlign w:val="center"/>
            <w:hideMark/>
          </w:tcPr>
          <w:p w14:paraId="2995BD86" w14:textId="77777777" w:rsidR="00F73A38" w:rsidRPr="008F1D81" w:rsidRDefault="00F73A38" w:rsidP="00105BC5">
            <w:pPr>
              <w:rPr>
                <w:color w:val="000000"/>
                <w:lang w:val="en-US"/>
              </w:rPr>
            </w:pPr>
            <w:r w:rsidRPr="008F1D81">
              <w:rPr>
                <w:color w:val="000000"/>
                <w:lang w:val="en-US"/>
              </w:rPr>
              <w:t>CF06</w:t>
            </w:r>
          </w:p>
        </w:tc>
        <w:tc>
          <w:tcPr>
            <w:tcW w:w="4556" w:type="pct"/>
            <w:shd w:val="clear" w:color="auto" w:fill="auto"/>
            <w:noWrap/>
            <w:vAlign w:val="bottom"/>
            <w:hideMark/>
          </w:tcPr>
          <w:p w14:paraId="70949724"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poluării</w:t>
            </w:r>
            <w:proofErr w:type="spellEnd"/>
            <w:r w:rsidRPr="008F1D81">
              <w:rPr>
                <w:color w:val="000000"/>
                <w:lang w:val="en-US"/>
              </w:rPr>
              <w:t xml:space="preserve"> </w:t>
            </w:r>
            <w:proofErr w:type="spellStart"/>
            <w:r w:rsidRPr="008F1D81">
              <w:rPr>
                <w:color w:val="000000"/>
                <w:lang w:val="en-US"/>
              </w:rPr>
              <w:t>aerului</w:t>
            </w:r>
            <w:proofErr w:type="spellEnd"/>
            <w:r w:rsidRPr="008F1D81">
              <w:rPr>
                <w:color w:val="000000"/>
                <w:lang w:val="en-US"/>
              </w:rPr>
              <w:t xml:space="preserve"> din </w:t>
            </w:r>
            <w:proofErr w:type="spellStart"/>
            <w:r w:rsidRPr="008F1D81">
              <w:rPr>
                <w:color w:val="000000"/>
                <w:lang w:val="en-US"/>
              </w:rPr>
              <w:t>zonele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activitățile</w:t>
            </w:r>
            <w:proofErr w:type="spellEnd"/>
            <w:r w:rsidRPr="008F1D81">
              <w:rPr>
                <w:color w:val="000000"/>
                <w:lang w:val="en-US"/>
              </w:rPr>
              <w:t xml:space="preserve"> </w:t>
            </w:r>
            <w:proofErr w:type="spellStart"/>
            <w:r w:rsidRPr="008F1D81">
              <w:rPr>
                <w:color w:val="000000"/>
                <w:lang w:val="en-US"/>
              </w:rPr>
              <w:t>industriale</w:t>
            </w:r>
            <w:proofErr w:type="spellEnd"/>
            <w:r w:rsidRPr="008F1D81">
              <w:rPr>
                <w:color w:val="000000"/>
                <w:lang w:val="en-US"/>
              </w:rPr>
              <w:t xml:space="preserve">, </w:t>
            </w:r>
            <w:proofErr w:type="spellStart"/>
            <w:r w:rsidRPr="008F1D81">
              <w:rPr>
                <w:color w:val="000000"/>
                <w:lang w:val="en-US"/>
              </w:rPr>
              <w:t>comerciale</w:t>
            </w:r>
            <w:proofErr w:type="spellEnd"/>
            <w:r w:rsidRPr="008F1D81">
              <w:rPr>
                <w:color w:val="000000"/>
                <w:lang w:val="en-US"/>
              </w:rPr>
              <w:t xml:space="preserve">, </w:t>
            </w:r>
            <w:proofErr w:type="spellStart"/>
            <w:r w:rsidRPr="008F1D81">
              <w:rPr>
                <w:color w:val="000000"/>
                <w:lang w:val="en-US"/>
              </w:rPr>
              <w:t>rezidențiale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de </w:t>
            </w:r>
            <w:proofErr w:type="spellStart"/>
            <w:r w:rsidRPr="008F1D81">
              <w:rPr>
                <w:color w:val="000000"/>
                <w:lang w:val="en-US"/>
              </w:rPr>
              <w:t>agrement</w:t>
            </w:r>
            <w:proofErr w:type="spellEnd"/>
          </w:p>
        </w:tc>
      </w:tr>
      <w:tr w:rsidR="00F73A38" w:rsidRPr="008F1D81" w14:paraId="4ADCBA53" w14:textId="77777777" w:rsidTr="00105BC5">
        <w:trPr>
          <w:trHeight w:val="300"/>
        </w:trPr>
        <w:tc>
          <w:tcPr>
            <w:tcW w:w="444" w:type="pct"/>
            <w:shd w:val="clear" w:color="auto" w:fill="auto"/>
            <w:vAlign w:val="center"/>
            <w:hideMark/>
          </w:tcPr>
          <w:p w14:paraId="6C37A3EB" w14:textId="77777777" w:rsidR="00F73A38" w:rsidRPr="008F1D81" w:rsidRDefault="00F73A38" w:rsidP="00105BC5">
            <w:pPr>
              <w:rPr>
                <w:color w:val="000000"/>
                <w:lang w:val="en-US"/>
              </w:rPr>
            </w:pPr>
            <w:r w:rsidRPr="008F1D81">
              <w:rPr>
                <w:color w:val="000000"/>
                <w:lang w:val="en-US"/>
              </w:rPr>
              <w:t>CF07</w:t>
            </w:r>
          </w:p>
        </w:tc>
        <w:tc>
          <w:tcPr>
            <w:tcW w:w="4556" w:type="pct"/>
            <w:shd w:val="clear" w:color="auto" w:fill="auto"/>
            <w:noWrap/>
            <w:vAlign w:val="bottom"/>
            <w:hideMark/>
          </w:tcPr>
          <w:p w14:paraId="2D98680E"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poluării</w:t>
            </w:r>
            <w:proofErr w:type="spellEnd"/>
            <w:r w:rsidRPr="008F1D81">
              <w:rPr>
                <w:color w:val="000000"/>
                <w:lang w:val="en-US"/>
              </w:rPr>
              <w:t xml:space="preserve"> marine din </w:t>
            </w:r>
            <w:proofErr w:type="spellStart"/>
            <w:r w:rsidRPr="008F1D81">
              <w:rPr>
                <w:color w:val="000000"/>
                <w:lang w:val="en-US"/>
              </w:rPr>
              <w:t>zonele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activitățile</w:t>
            </w:r>
            <w:proofErr w:type="spellEnd"/>
            <w:r w:rsidRPr="008F1D81">
              <w:rPr>
                <w:color w:val="000000"/>
                <w:lang w:val="en-US"/>
              </w:rPr>
              <w:t xml:space="preserve"> </w:t>
            </w:r>
            <w:proofErr w:type="spellStart"/>
            <w:r w:rsidRPr="008F1D81">
              <w:rPr>
                <w:color w:val="000000"/>
                <w:lang w:val="en-US"/>
              </w:rPr>
              <w:t>industriale</w:t>
            </w:r>
            <w:proofErr w:type="spellEnd"/>
            <w:r w:rsidRPr="008F1D81">
              <w:rPr>
                <w:color w:val="000000"/>
                <w:lang w:val="en-US"/>
              </w:rPr>
              <w:t xml:space="preserve">, </w:t>
            </w:r>
            <w:proofErr w:type="spellStart"/>
            <w:r w:rsidRPr="008F1D81">
              <w:rPr>
                <w:color w:val="000000"/>
                <w:lang w:val="en-US"/>
              </w:rPr>
              <w:t>comerciale</w:t>
            </w:r>
            <w:proofErr w:type="spellEnd"/>
            <w:r w:rsidRPr="008F1D81">
              <w:rPr>
                <w:color w:val="000000"/>
                <w:lang w:val="en-US"/>
              </w:rPr>
              <w:t xml:space="preserve">, </w:t>
            </w:r>
            <w:proofErr w:type="spellStart"/>
            <w:r w:rsidRPr="008F1D81">
              <w:rPr>
                <w:color w:val="000000"/>
                <w:lang w:val="en-US"/>
              </w:rPr>
              <w:t>rezidențiale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de </w:t>
            </w:r>
            <w:proofErr w:type="spellStart"/>
            <w:r w:rsidRPr="008F1D81">
              <w:rPr>
                <w:color w:val="000000"/>
                <w:lang w:val="en-US"/>
              </w:rPr>
              <w:t>agrement</w:t>
            </w:r>
            <w:proofErr w:type="spellEnd"/>
          </w:p>
        </w:tc>
      </w:tr>
      <w:tr w:rsidR="00F73A38" w:rsidRPr="008F1D81" w14:paraId="517A889B" w14:textId="77777777" w:rsidTr="00105BC5">
        <w:trPr>
          <w:trHeight w:val="300"/>
        </w:trPr>
        <w:tc>
          <w:tcPr>
            <w:tcW w:w="444" w:type="pct"/>
            <w:shd w:val="clear" w:color="auto" w:fill="auto"/>
            <w:vAlign w:val="center"/>
            <w:hideMark/>
          </w:tcPr>
          <w:p w14:paraId="10E4E8CF" w14:textId="77777777" w:rsidR="00F73A38" w:rsidRPr="008F1D81" w:rsidRDefault="00F73A38" w:rsidP="00105BC5">
            <w:pPr>
              <w:rPr>
                <w:color w:val="000000"/>
                <w:lang w:val="en-US"/>
              </w:rPr>
            </w:pPr>
            <w:r w:rsidRPr="008F1D81">
              <w:rPr>
                <w:color w:val="000000"/>
                <w:lang w:val="en-US"/>
              </w:rPr>
              <w:t>CF08</w:t>
            </w:r>
          </w:p>
        </w:tc>
        <w:tc>
          <w:tcPr>
            <w:tcW w:w="4556" w:type="pct"/>
            <w:shd w:val="clear" w:color="auto" w:fill="auto"/>
            <w:noWrap/>
            <w:vAlign w:val="bottom"/>
            <w:hideMark/>
          </w:tcPr>
          <w:p w14:paraId="38C3FAD5"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contaminarii</w:t>
            </w:r>
            <w:proofErr w:type="spellEnd"/>
            <w:r w:rsidRPr="008F1D81">
              <w:rPr>
                <w:color w:val="000000"/>
                <w:lang w:val="en-US"/>
              </w:rPr>
              <w:t xml:space="preserve"> marine cu </w:t>
            </w:r>
            <w:proofErr w:type="spellStart"/>
            <w:r w:rsidRPr="008F1D81">
              <w:rPr>
                <w:color w:val="000000"/>
                <w:lang w:val="en-US"/>
              </w:rPr>
              <w:t>deseuri</w:t>
            </w:r>
            <w:proofErr w:type="spellEnd"/>
          </w:p>
        </w:tc>
      </w:tr>
      <w:tr w:rsidR="00F73A38" w:rsidRPr="008F1D81" w14:paraId="73BCD827" w14:textId="77777777" w:rsidTr="00105BC5">
        <w:trPr>
          <w:trHeight w:val="300"/>
        </w:trPr>
        <w:tc>
          <w:tcPr>
            <w:tcW w:w="444" w:type="pct"/>
            <w:shd w:val="clear" w:color="auto" w:fill="auto"/>
            <w:vAlign w:val="center"/>
            <w:hideMark/>
          </w:tcPr>
          <w:p w14:paraId="64D78A3B" w14:textId="77777777" w:rsidR="00F73A38" w:rsidRPr="008F1D81" w:rsidRDefault="00F73A38" w:rsidP="00105BC5">
            <w:pPr>
              <w:rPr>
                <w:color w:val="000000"/>
                <w:lang w:val="en-US"/>
              </w:rPr>
            </w:pPr>
            <w:r w:rsidRPr="008F1D81">
              <w:rPr>
                <w:color w:val="000000"/>
                <w:lang w:val="en-US"/>
              </w:rPr>
              <w:t>CF09</w:t>
            </w:r>
          </w:p>
        </w:tc>
        <w:tc>
          <w:tcPr>
            <w:tcW w:w="4556" w:type="pct"/>
            <w:shd w:val="clear" w:color="auto" w:fill="auto"/>
            <w:noWrap/>
            <w:vAlign w:val="bottom"/>
            <w:hideMark/>
          </w:tcPr>
          <w:p w14:paraId="3BDEF72A"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zgomotului</w:t>
            </w:r>
            <w:proofErr w:type="spellEnd"/>
            <w:r w:rsidRPr="008F1D81">
              <w:rPr>
                <w:color w:val="000000"/>
                <w:lang w:val="en-US"/>
              </w:rPr>
              <w:t xml:space="preserve">, </w:t>
            </w:r>
            <w:proofErr w:type="spellStart"/>
            <w:r w:rsidRPr="008F1D81">
              <w:rPr>
                <w:color w:val="000000"/>
                <w:lang w:val="en-US"/>
              </w:rPr>
              <w:t>luminii</w:t>
            </w:r>
            <w:proofErr w:type="spellEnd"/>
            <w:r w:rsidRPr="008F1D81">
              <w:rPr>
                <w:color w:val="000000"/>
                <w:lang w:val="en-US"/>
              </w:rPr>
              <w:t xml:space="preserve">, </w:t>
            </w:r>
            <w:proofErr w:type="spellStart"/>
            <w:r w:rsidRPr="008F1D81">
              <w:rPr>
                <w:color w:val="000000"/>
                <w:lang w:val="en-US"/>
              </w:rPr>
              <w:t>căldurii</w:t>
            </w:r>
            <w:proofErr w:type="spellEnd"/>
            <w:r w:rsidRPr="008F1D81">
              <w:rPr>
                <w:color w:val="000000"/>
                <w:lang w:val="en-US"/>
              </w:rPr>
              <w:t xml:space="preserve"> </w:t>
            </w:r>
            <w:proofErr w:type="spellStart"/>
            <w:r w:rsidRPr="008F1D81">
              <w:rPr>
                <w:color w:val="000000"/>
                <w:lang w:val="en-US"/>
              </w:rPr>
              <w:t>sau</w:t>
            </w:r>
            <w:proofErr w:type="spellEnd"/>
            <w:r w:rsidRPr="008F1D81">
              <w:rPr>
                <w:color w:val="000000"/>
                <w:lang w:val="en-US"/>
              </w:rPr>
              <w:t xml:space="preserve"> </w:t>
            </w:r>
            <w:proofErr w:type="spellStart"/>
            <w:r w:rsidRPr="008F1D81">
              <w:rPr>
                <w:color w:val="000000"/>
                <w:lang w:val="en-US"/>
              </w:rPr>
              <w:t>alte</w:t>
            </w:r>
            <w:proofErr w:type="spellEnd"/>
            <w:r w:rsidRPr="008F1D81">
              <w:rPr>
                <w:color w:val="000000"/>
                <w:lang w:val="en-US"/>
              </w:rPr>
              <w:t xml:space="preserve"> </w:t>
            </w:r>
            <w:proofErr w:type="spellStart"/>
            <w:r w:rsidRPr="008F1D81">
              <w:rPr>
                <w:color w:val="000000"/>
                <w:lang w:val="en-US"/>
              </w:rPr>
              <w:t>forme</w:t>
            </w:r>
            <w:proofErr w:type="spellEnd"/>
            <w:r w:rsidRPr="008F1D81">
              <w:rPr>
                <w:color w:val="000000"/>
                <w:lang w:val="en-US"/>
              </w:rPr>
              <w:t xml:space="preserve"> de </w:t>
            </w:r>
            <w:proofErr w:type="spellStart"/>
            <w:r w:rsidRPr="008F1D81">
              <w:rPr>
                <w:color w:val="000000"/>
                <w:lang w:val="en-US"/>
              </w:rPr>
              <w:t>poluare</w:t>
            </w:r>
            <w:proofErr w:type="spellEnd"/>
            <w:r w:rsidRPr="008F1D81">
              <w:rPr>
                <w:color w:val="000000"/>
                <w:lang w:val="en-US"/>
              </w:rPr>
              <w:t xml:space="preserve"> din </w:t>
            </w:r>
            <w:proofErr w:type="spellStart"/>
            <w:r w:rsidRPr="008F1D81">
              <w:rPr>
                <w:color w:val="000000"/>
                <w:lang w:val="en-US"/>
              </w:rPr>
              <w:t>zonele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activitățile</w:t>
            </w:r>
            <w:proofErr w:type="spellEnd"/>
            <w:r w:rsidRPr="008F1D81">
              <w:rPr>
                <w:color w:val="000000"/>
                <w:lang w:val="en-US"/>
              </w:rPr>
              <w:t xml:space="preserve"> </w:t>
            </w:r>
            <w:proofErr w:type="spellStart"/>
            <w:r w:rsidRPr="008F1D81">
              <w:rPr>
                <w:color w:val="000000"/>
                <w:lang w:val="en-US"/>
              </w:rPr>
              <w:t>industriale</w:t>
            </w:r>
            <w:proofErr w:type="spellEnd"/>
            <w:r w:rsidRPr="008F1D81">
              <w:rPr>
                <w:color w:val="000000"/>
                <w:lang w:val="en-US"/>
              </w:rPr>
              <w:t xml:space="preserve">, </w:t>
            </w:r>
            <w:proofErr w:type="spellStart"/>
            <w:r w:rsidRPr="008F1D81">
              <w:rPr>
                <w:color w:val="000000"/>
                <w:lang w:val="en-US"/>
              </w:rPr>
              <w:t>comerciale</w:t>
            </w:r>
            <w:proofErr w:type="spellEnd"/>
            <w:r w:rsidRPr="008F1D81">
              <w:rPr>
                <w:color w:val="000000"/>
                <w:lang w:val="en-US"/>
              </w:rPr>
              <w:t xml:space="preserve">, </w:t>
            </w:r>
            <w:proofErr w:type="spellStart"/>
            <w:r w:rsidRPr="008F1D81">
              <w:rPr>
                <w:color w:val="000000"/>
                <w:lang w:val="en-US"/>
              </w:rPr>
              <w:t>rezidențiale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de </w:t>
            </w:r>
            <w:proofErr w:type="spellStart"/>
            <w:r w:rsidRPr="008F1D81">
              <w:rPr>
                <w:color w:val="000000"/>
                <w:lang w:val="en-US"/>
              </w:rPr>
              <w:t>agrement</w:t>
            </w:r>
            <w:proofErr w:type="spellEnd"/>
          </w:p>
        </w:tc>
      </w:tr>
      <w:tr w:rsidR="00F73A38" w:rsidRPr="008F1D81" w14:paraId="2AF2EE99" w14:textId="77777777" w:rsidTr="00105BC5">
        <w:trPr>
          <w:trHeight w:val="300"/>
        </w:trPr>
        <w:tc>
          <w:tcPr>
            <w:tcW w:w="444" w:type="pct"/>
            <w:shd w:val="clear" w:color="auto" w:fill="auto"/>
            <w:vAlign w:val="center"/>
            <w:hideMark/>
          </w:tcPr>
          <w:p w14:paraId="2EBD3E77" w14:textId="77777777" w:rsidR="00F73A38" w:rsidRPr="008F1D81" w:rsidRDefault="00F73A38" w:rsidP="00105BC5">
            <w:pPr>
              <w:rPr>
                <w:color w:val="000000"/>
                <w:lang w:val="en-US"/>
              </w:rPr>
            </w:pPr>
            <w:r w:rsidRPr="008F1D81">
              <w:rPr>
                <w:color w:val="000000"/>
                <w:lang w:val="en-US"/>
              </w:rPr>
              <w:t>CF10</w:t>
            </w:r>
          </w:p>
        </w:tc>
        <w:tc>
          <w:tcPr>
            <w:tcW w:w="4556" w:type="pct"/>
            <w:shd w:val="clear" w:color="auto" w:fill="auto"/>
            <w:noWrap/>
            <w:vAlign w:val="bottom"/>
            <w:hideMark/>
          </w:tcPr>
          <w:p w14:paraId="2D121D18" w14:textId="77777777" w:rsidR="00F73A38" w:rsidRPr="008F1D81" w:rsidRDefault="00F73A38" w:rsidP="00105BC5">
            <w:pPr>
              <w:rPr>
                <w:color w:val="000000"/>
                <w:lang w:val="en-US"/>
              </w:rPr>
            </w:pPr>
            <w:proofErr w:type="spellStart"/>
            <w:r w:rsidRPr="008F1D81">
              <w:rPr>
                <w:color w:val="000000"/>
                <w:lang w:val="en-US"/>
              </w:rPr>
              <w:t>Gestionarea</w:t>
            </w:r>
            <w:proofErr w:type="spellEnd"/>
            <w:r w:rsidRPr="008F1D81">
              <w:rPr>
                <w:color w:val="000000"/>
                <w:lang w:val="en-US"/>
              </w:rPr>
              <w:t xml:space="preserve"> </w:t>
            </w:r>
            <w:proofErr w:type="spellStart"/>
            <w:r w:rsidRPr="008F1D81">
              <w:rPr>
                <w:color w:val="000000"/>
                <w:lang w:val="en-US"/>
              </w:rPr>
              <w:t>schimbărilor</w:t>
            </w:r>
            <w:proofErr w:type="spellEnd"/>
            <w:r w:rsidRPr="008F1D81">
              <w:rPr>
                <w:color w:val="000000"/>
                <w:lang w:val="en-US"/>
              </w:rPr>
              <w:t xml:space="preserve"> </w:t>
            </w:r>
            <w:proofErr w:type="spellStart"/>
            <w:r w:rsidRPr="008F1D81">
              <w:rPr>
                <w:color w:val="000000"/>
                <w:lang w:val="en-US"/>
              </w:rPr>
              <w:t>în</w:t>
            </w:r>
            <w:proofErr w:type="spellEnd"/>
            <w:r w:rsidRPr="008F1D81">
              <w:rPr>
                <w:color w:val="000000"/>
                <w:lang w:val="en-US"/>
              </w:rPr>
              <w:t xml:space="preserve"> </w:t>
            </w:r>
            <w:proofErr w:type="spellStart"/>
            <w:r w:rsidRPr="008F1D81">
              <w:rPr>
                <w:color w:val="000000"/>
                <w:lang w:val="en-US"/>
              </w:rPr>
              <w:t>sistemele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regimurile</w:t>
            </w:r>
            <w:proofErr w:type="spellEnd"/>
            <w:r w:rsidRPr="008F1D81">
              <w:rPr>
                <w:color w:val="000000"/>
                <w:lang w:val="en-US"/>
              </w:rPr>
              <w:t xml:space="preserve"> </w:t>
            </w:r>
            <w:proofErr w:type="spellStart"/>
            <w:r w:rsidRPr="008F1D81">
              <w:rPr>
                <w:color w:val="000000"/>
                <w:lang w:val="en-US"/>
              </w:rPr>
              <w:t>hidrologice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costiere</w:t>
            </w:r>
            <w:proofErr w:type="spellEnd"/>
            <w:r w:rsidRPr="008F1D81">
              <w:rPr>
                <w:color w:val="000000"/>
                <w:lang w:val="en-US"/>
              </w:rPr>
              <w:t xml:space="preserve"> </w:t>
            </w:r>
            <w:proofErr w:type="spellStart"/>
            <w:r w:rsidRPr="008F1D81">
              <w:rPr>
                <w:color w:val="000000"/>
                <w:lang w:val="en-US"/>
              </w:rPr>
              <w:t>pentru</w:t>
            </w:r>
            <w:proofErr w:type="spellEnd"/>
            <w:r w:rsidRPr="008F1D81">
              <w:rPr>
                <w:color w:val="000000"/>
                <w:lang w:val="en-US"/>
              </w:rPr>
              <w:t xml:space="preserve"> </w:t>
            </w:r>
            <w:proofErr w:type="spellStart"/>
            <w:r w:rsidRPr="008F1D81">
              <w:rPr>
                <w:color w:val="000000"/>
                <w:lang w:val="en-US"/>
              </w:rPr>
              <w:t>construcție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dezvoltare</w:t>
            </w:r>
            <w:proofErr w:type="spellEnd"/>
          </w:p>
        </w:tc>
      </w:tr>
      <w:tr w:rsidR="00F73A38" w:rsidRPr="008F1D81" w14:paraId="51BEAA50" w14:textId="77777777" w:rsidTr="00105BC5">
        <w:trPr>
          <w:trHeight w:val="300"/>
        </w:trPr>
        <w:tc>
          <w:tcPr>
            <w:tcW w:w="444" w:type="pct"/>
            <w:shd w:val="clear" w:color="auto" w:fill="auto"/>
            <w:vAlign w:val="center"/>
            <w:hideMark/>
          </w:tcPr>
          <w:p w14:paraId="44B824FF" w14:textId="77777777" w:rsidR="00F73A38" w:rsidRPr="008F1D81" w:rsidRDefault="00F73A38" w:rsidP="00105BC5">
            <w:pPr>
              <w:rPr>
                <w:color w:val="000000"/>
                <w:lang w:val="en-US"/>
              </w:rPr>
            </w:pPr>
            <w:r w:rsidRPr="008F1D81">
              <w:rPr>
                <w:color w:val="000000"/>
                <w:lang w:val="en-US"/>
              </w:rPr>
              <w:t>CF11</w:t>
            </w:r>
          </w:p>
        </w:tc>
        <w:tc>
          <w:tcPr>
            <w:tcW w:w="4556" w:type="pct"/>
            <w:shd w:val="clear" w:color="auto" w:fill="auto"/>
            <w:noWrap/>
            <w:vAlign w:val="bottom"/>
            <w:hideMark/>
          </w:tcPr>
          <w:p w14:paraId="67701410" w14:textId="77777777" w:rsidR="00F73A38" w:rsidRPr="008F1D81" w:rsidRDefault="00F73A38" w:rsidP="00105BC5">
            <w:pPr>
              <w:rPr>
                <w:color w:val="000000"/>
                <w:lang w:val="en-US"/>
              </w:rPr>
            </w:pPr>
            <w:proofErr w:type="spellStart"/>
            <w:r w:rsidRPr="008F1D81">
              <w:rPr>
                <w:color w:val="000000"/>
                <w:lang w:val="en-US"/>
              </w:rPr>
              <w:t>Gestionarea</w:t>
            </w:r>
            <w:proofErr w:type="spellEnd"/>
            <w:r w:rsidRPr="008F1D81">
              <w:rPr>
                <w:color w:val="000000"/>
                <w:lang w:val="en-US"/>
              </w:rPr>
              <w:t xml:space="preserve"> </w:t>
            </w:r>
            <w:proofErr w:type="spellStart"/>
            <w:r w:rsidRPr="008F1D81">
              <w:rPr>
                <w:color w:val="000000"/>
                <w:lang w:val="en-US"/>
              </w:rPr>
              <w:t>extragerii</w:t>
            </w:r>
            <w:proofErr w:type="spellEnd"/>
            <w:r w:rsidRPr="008F1D81">
              <w:rPr>
                <w:color w:val="000000"/>
                <w:lang w:val="en-US"/>
              </w:rPr>
              <w:t xml:space="preserve"> </w:t>
            </w:r>
            <w:proofErr w:type="spellStart"/>
            <w:r w:rsidRPr="008F1D81">
              <w:rPr>
                <w:color w:val="000000"/>
                <w:lang w:val="en-US"/>
              </w:rPr>
              <w:t>apei</w:t>
            </w:r>
            <w:proofErr w:type="spellEnd"/>
            <w:r w:rsidRPr="008F1D81">
              <w:rPr>
                <w:color w:val="000000"/>
                <w:lang w:val="en-US"/>
              </w:rPr>
              <w:t xml:space="preserve"> </w:t>
            </w:r>
            <w:proofErr w:type="spellStart"/>
            <w:r w:rsidRPr="008F1D81">
              <w:rPr>
                <w:color w:val="000000"/>
                <w:lang w:val="en-US"/>
              </w:rPr>
              <w:t>pentru</w:t>
            </w:r>
            <w:proofErr w:type="spellEnd"/>
            <w:r w:rsidRPr="008F1D81">
              <w:rPr>
                <w:color w:val="000000"/>
                <w:lang w:val="en-US"/>
              </w:rPr>
              <w:t xml:space="preserve"> </w:t>
            </w:r>
            <w:proofErr w:type="spellStart"/>
            <w:r w:rsidRPr="008F1D81">
              <w:rPr>
                <w:color w:val="000000"/>
                <w:lang w:val="en-US"/>
              </w:rPr>
              <w:t>aprovizionarea</w:t>
            </w:r>
            <w:proofErr w:type="spellEnd"/>
            <w:r w:rsidRPr="008F1D81">
              <w:rPr>
                <w:color w:val="000000"/>
                <w:lang w:val="en-US"/>
              </w:rPr>
              <w:t xml:space="preserve"> </w:t>
            </w:r>
            <w:proofErr w:type="spellStart"/>
            <w:r w:rsidRPr="008F1D81">
              <w:rPr>
                <w:color w:val="000000"/>
                <w:lang w:val="en-US"/>
              </w:rPr>
              <w:t>publică</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pentru</w:t>
            </w:r>
            <w:proofErr w:type="spellEnd"/>
            <w:r w:rsidRPr="008F1D81">
              <w:rPr>
                <w:color w:val="000000"/>
                <w:lang w:val="en-US"/>
              </w:rPr>
              <w:t xml:space="preserve"> </w:t>
            </w:r>
            <w:proofErr w:type="spellStart"/>
            <w:r w:rsidRPr="008F1D81">
              <w:rPr>
                <w:color w:val="000000"/>
                <w:lang w:val="en-US"/>
              </w:rPr>
              <w:t>uz</w:t>
            </w:r>
            <w:proofErr w:type="spellEnd"/>
            <w:r w:rsidRPr="008F1D81">
              <w:rPr>
                <w:color w:val="000000"/>
                <w:lang w:val="en-US"/>
              </w:rPr>
              <w:t xml:space="preserve"> industrial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comercial</w:t>
            </w:r>
            <w:proofErr w:type="spellEnd"/>
          </w:p>
        </w:tc>
      </w:tr>
      <w:tr w:rsidR="00F73A38" w:rsidRPr="008F1D81" w14:paraId="4236EE7D" w14:textId="77777777" w:rsidTr="00105BC5">
        <w:trPr>
          <w:trHeight w:val="300"/>
        </w:trPr>
        <w:tc>
          <w:tcPr>
            <w:tcW w:w="444" w:type="pct"/>
            <w:shd w:val="clear" w:color="auto" w:fill="auto"/>
            <w:vAlign w:val="center"/>
            <w:hideMark/>
          </w:tcPr>
          <w:p w14:paraId="1A98AC9C" w14:textId="77777777" w:rsidR="00F73A38" w:rsidRPr="008F1D81" w:rsidRDefault="00F73A38" w:rsidP="00105BC5">
            <w:pPr>
              <w:rPr>
                <w:color w:val="000000"/>
                <w:lang w:val="en-US"/>
              </w:rPr>
            </w:pPr>
            <w:r w:rsidRPr="008F1D81">
              <w:rPr>
                <w:color w:val="000000"/>
                <w:lang w:val="en-US"/>
              </w:rPr>
              <w:t>CF12</w:t>
            </w:r>
          </w:p>
        </w:tc>
        <w:tc>
          <w:tcPr>
            <w:tcW w:w="4556" w:type="pct"/>
            <w:shd w:val="clear" w:color="auto" w:fill="auto"/>
            <w:noWrap/>
            <w:vAlign w:val="bottom"/>
            <w:hideMark/>
          </w:tcPr>
          <w:p w14:paraId="6E22A593" w14:textId="77777777" w:rsidR="00F73A38" w:rsidRPr="008F1D81" w:rsidRDefault="00F73A38" w:rsidP="00105BC5">
            <w:pPr>
              <w:rPr>
                <w:color w:val="000000"/>
                <w:lang w:val="en-US"/>
              </w:rPr>
            </w:pPr>
            <w:r w:rsidRPr="008F1D81">
              <w:rPr>
                <w:color w:val="000000"/>
                <w:lang w:val="en-US"/>
              </w:rPr>
              <w:t xml:space="preserve">Alte </w:t>
            </w:r>
            <w:proofErr w:type="spellStart"/>
            <w:r w:rsidRPr="008F1D81">
              <w:rPr>
                <w:color w:val="000000"/>
                <w:lang w:val="en-US"/>
              </w:rPr>
              <w:t>măsuri</w:t>
            </w:r>
            <w:proofErr w:type="spellEnd"/>
            <w:r w:rsidRPr="008F1D81">
              <w:rPr>
                <w:color w:val="000000"/>
                <w:lang w:val="en-US"/>
              </w:rPr>
              <w:t xml:space="preserve"> legate de </w:t>
            </w:r>
            <w:proofErr w:type="spellStart"/>
            <w:r w:rsidRPr="008F1D81">
              <w:rPr>
                <w:color w:val="000000"/>
                <w:lang w:val="en-US"/>
              </w:rPr>
              <w:t>infrastructuri</w:t>
            </w:r>
            <w:proofErr w:type="spellEnd"/>
            <w:r w:rsidRPr="008F1D81">
              <w:rPr>
                <w:color w:val="000000"/>
                <w:lang w:val="en-US"/>
              </w:rPr>
              <w:t xml:space="preserve">, </w:t>
            </w:r>
            <w:proofErr w:type="spellStart"/>
            <w:r w:rsidRPr="008F1D81">
              <w:rPr>
                <w:color w:val="000000"/>
                <w:lang w:val="en-US"/>
              </w:rPr>
              <w:t>operațiuni</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activități</w:t>
            </w:r>
            <w:proofErr w:type="spellEnd"/>
            <w:r w:rsidRPr="008F1D81">
              <w:rPr>
                <w:color w:val="000000"/>
                <w:lang w:val="en-US"/>
              </w:rPr>
              <w:t xml:space="preserve"> </w:t>
            </w:r>
            <w:proofErr w:type="spellStart"/>
            <w:r w:rsidRPr="008F1D81">
              <w:rPr>
                <w:color w:val="000000"/>
                <w:lang w:val="en-US"/>
              </w:rPr>
              <w:t>rezidențiale</w:t>
            </w:r>
            <w:proofErr w:type="spellEnd"/>
            <w:r w:rsidRPr="008F1D81">
              <w:rPr>
                <w:color w:val="000000"/>
                <w:lang w:val="en-US"/>
              </w:rPr>
              <w:t xml:space="preserve">, </w:t>
            </w:r>
            <w:proofErr w:type="spellStart"/>
            <w:r w:rsidRPr="008F1D81">
              <w:rPr>
                <w:color w:val="000000"/>
                <w:lang w:val="en-US"/>
              </w:rPr>
              <w:t>comerciale</w:t>
            </w:r>
            <w:proofErr w:type="spellEnd"/>
            <w:r w:rsidRPr="008F1D81">
              <w:rPr>
                <w:color w:val="000000"/>
                <w:lang w:val="en-US"/>
              </w:rPr>
              <w:t xml:space="preserve">, </w:t>
            </w:r>
            <w:proofErr w:type="spellStart"/>
            <w:r w:rsidRPr="008F1D81">
              <w:rPr>
                <w:color w:val="000000"/>
                <w:lang w:val="en-US"/>
              </w:rPr>
              <w:t>industriale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de </w:t>
            </w:r>
            <w:proofErr w:type="spellStart"/>
            <w:r w:rsidRPr="008F1D81">
              <w:rPr>
                <w:color w:val="000000"/>
                <w:lang w:val="en-US"/>
              </w:rPr>
              <w:t>agrement</w:t>
            </w:r>
            <w:proofErr w:type="spellEnd"/>
          </w:p>
        </w:tc>
      </w:tr>
      <w:tr w:rsidR="00F73A38" w:rsidRPr="008F1D81" w14:paraId="01FBE342" w14:textId="77777777" w:rsidTr="00105BC5">
        <w:trPr>
          <w:trHeight w:val="300"/>
        </w:trPr>
        <w:tc>
          <w:tcPr>
            <w:tcW w:w="444" w:type="pct"/>
            <w:shd w:val="clear" w:color="auto" w:fill="auto"/>
            <w:vAlign w:val="center"/>
            <w:hideMark/>
          </w:tcPr>
          <w:p w14:paraId="50681570" w14:textId="77777777" w:rsidR="00F73A38" w:rsidRPr="008F1D81" w:rsidRDefault="00F73A38" w:rsidP="00105BC5">
            <w:pPr>
              <w:rPr>
                <w:color w:val="000000"/>
                <w:lang w:val="en-US"/>
              </w:rPr>
            </w:pPr>
            <w:r w:rsidRPr="008F1D81">
              <w:rPr>
                <w:color w:val="000000"/>
                <w:lang w:val="en-US"/>
              </w:rPr>
              <w:t>CG</w:t>
            </w:r>
          </w:p>
        </w:tc>
        <w:tc>
          <w:tcPr>
            <w:tcW w:w="4556" w:type="pct"/>
            <w:shd w:val="clear" w:color="auto" w:fill="auto"/>
            <w:noWrap/>
            <w:vAlign w:val="bottom"/>
            <w:hideMark/>
          </w:tcPr>
          <w:p w14:paraId="440B5655" w14:textId="77777777" w:rsidR="00F73A38" w:rsidRPr="008F1D81" w:rsidRDefault="00F73A38" w:rsidP="00105BC5">
            <w:pPr>
              <w:rPr>
                <w:color w:val="000000"/>
                <w:lang w:val="en-US"/>
              </w:rPr>
            </w:pPr>
            <w:proofErr w:type="spellStart"/>
            <w:r w:rsidRPr="008F1D81">
              <w:rPr>
                <w:color w:val="000000"/>
                <w:lang w:val="en-US"/>
              </w:rPr>
              <w:t>Măsuri</w:t>
            </w:r>
            <w:proofErr w:type="spellEnd"/>
            <w:r w:rsidRPr="008F1D81">
              <w:rPr>
                <w:color w:val="000000"/>
                <w:lang w:val="en-US"/>
              </w:rPr>
              <w:t xml:space="preserve"> legate de </w:t>
            </w:r>
            <w:proofErr w:type="spellStart"/>
            <w:r w:rsidRPr="008F1D81">
              <w:rPr>
                <w:color w:val="000000"/>
                <w:lang w:val="en-US"/>
              </w:rPr>
              <w:t>efectele</w:t>
            </w:r>
            <w:proofErr w:type="spellEnd"/>
            <w:r w:rsidRPr="008F1D81">
              <w:rPr>
                <w:color w:val="000000"/>
                <w:lang w:val="en-US"/>
              </w:rPr>
              <w:t xml:space="preserve"> </w:t>
            </w:r>
            <w:proofErr w:type="spellStart"/>
            <w:r w:rsidRPr="008F1D81">
              <w:rPr>
                <w:color w:val="000000"/>
                <w:lang w:val="en-US"/>
              </w:rPr>
              <w:t>extracției</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cultivării</w:t>
            </w:r>
            <w:proofErr w:type="spellEnd"/>
            <w:r w:rsidRPr="008F1D81">
              <w:rPr>
                <w:color w:val="000000"/>
                <w:lang w:val="en-US"/>
              </w:rPr>
              <w:t xml:space="preserve"> </w:t>
            </w:r>
            <w:proofErr w:type="spellStart"/>
            <w:r w:rsidRPr="008F1D81">
              <w:rPr>
                <w:color w:val="000000"/>
                <w:lang w:val="en-US"/>
              </w:rPr>
              <w:t>resurselor</w:t>
            </w:r>
            <w:proofErr w:type="spellEnd"/>
            <w:r w:rsidRPr="008F1D81">
              <w:rPr>
                <w:color w:val="000000"/>
                <w:lang w:val="en-US"/>
              </w:rPr>
              <w:t xml:space="preserve"> </w:t>
            </w:r>
            <w:proofErr w:type="spellStart"/>
            <w:r w:rsidRPr="008F1D81">
              <w:rPr>
                <w:color w:val="000000"/>
                <w:lang w:val="en-US"/>
              </w:rPr>
              <w:t>biologice</w:t>
            </w:r>
            <w:proofErr w:type="spellEnd"/>
            <w:r w:rsidRPr="008F1D81">
              <w:rPr>
                <w:color w:val="000000"/>
                <w:lang w:val="en-US"/>
              </w:rPr>
              <w:t xml:space="preserve"> vii</w:t>
            </w:r>
          </w:p>
        </w:tc>
      </w:tr>
      <w:tr w:rsidR="00F73A38" w:rsidRPr="008F1D81" w14:paraId="11C50189" w14:textId="77777777" w:rsidTr="00105BC5">
        <w:trPr>
          <w:trHeight w:val="300"/>
        </w:trPr>
        <w:tc>
          <w:tcPr>
            <w:tcW w:w="444" w:type="pct"/>
            <w:shd w:val="clear" w:color="auto" w:fill="auto"/>
            <w:vAlign w:val="center"/>
            <w:hideMark/>
          </w:tcPr>
          <w:p w14:paraId="374A0F6D" w14:textId="77777777" w:rsidR="00F73A38" w:rsidRPr="008F1D81" w:rsidRDefault="00F73A38" w:rsidP="00105BC5">
            <w:pPr>
              <w:rPr>
                <w:color w:val="000000"/>
                <w:lang w:val="en-US"/>
              </w:rPr>
            </w:pPr>
            <w:r w:rsidRPr="008F1D81">
              <w:rPr>
                <w:color w:val="000000"/>
                <w:lang w:val="en-US"/>
              </w:rPr>
              <w:t>CG01</w:t>
            </w:r>
          </w:p>
        </w:tc>
        <w:tc>
          <w:tcPr>
            <w:tcW w:w="4556" w:type="pct"/>
            <w:shd w:val="clear" w:color="auto" w:fill="auto"/>
            <w:noWrap/>
            <w:vAlign w:val="bottom"/>
            <w:hideMark/>
          </w:tcPr>
          <w:p w14:paraId="2F3EA823" w14:textId="77777777" w:rsidR="00F73A38" w:rsidRPr="008F1D81" w:rsidRDefault="00F73A38" w:rsidP="00105BC5">
            <w:pPr>
              <w:rPr>
                <w:color w:val="000000"/>
                <w:lang w:val="en-US"/>
              </w:rPr>
            </w:pPr>
            <w:proofErr w:type="spellStart"/>
            <w:r w:rsidRPr="008F1D81">
              <w:rPr>
                <w:color w:val="000000"/>
                <w:lang w:val="en-US"/>
              </w:rPr>
              <w:t>Gestionarea</w:t>
            </w:r>
            <w:proofErr w:type="spellEnd"/>
            <w:r w:rsidRPr="008F1D81">
              <w:rPr>
                <w:color w:val="000000"/>
                <w:lang w:val="en-US"/>
              </w:rPr>
              <w:t xml:space="preserve"> </w:t>
            </w:r>
            <w:proofErr w:type="spellStart"/>
            <w:r w:rsidRPr="008F1D81">
              <w:rPr>
                <w:color w:val="000000"/>
                <w:lang w:val="en-US"/>
              </w:rPr>
              <w:t>pescuitului</w:t>
            </w:r>
            <w:proofErr w:type="spellEnd"/>
            <w:r w:rsidRPr="008F1D81">
              <w:rPr>
                <w:color w:val="000000"/>
                <w:lang w:val="en-US"/>
              </w:rPr>
              <w:t xml:space="preserve"> </w:t>
            </w:r>
            <w:proofErr w:type="spellStart"/>
            <w:r w:rsidRPr="008F1D81">
              <w:rPr>
                <w:color w:val="000000"/>
                <w:lang w:val="en-US"/>
              </w:rPr>
              <w:t>profesional</w:t>
            </w:r>
            <w:proofErr w:type="spellEnd"/>
            <w:r w:rsidRPr="008F1D81">
              <w:rPr>
                <w:color w:val="000000"/>
                <w:lang w:val="en-US"/>
              </w:rPr>
              <w:t xml:space="preserve"> / </w:t>
            </w:r>
            <w:proofErr w:type="spellStart"/>
            <w:r w:rsidRPr="008F1D81">
              <w:rPr>
                <w:color w:val="000000"/>
                <w:lang w:val="en-US"/>
              </w:rPr>
              <w:t>comercial</w:t>
            </w:r>
            <w:proofErr w:type="spellEnd"/>
            <w:r w:rsidRPr="008F1D81">
              <w:rPr>
                <w:color w:val="000000"/>
                <w:lang w:val="en-US"/>
              </w:rPr>
              <w:t xml:space="preserve"> (</w:t>
            </w:r>
            <w:proofErr w:type="spellStart"/>
            <w:r w:rsidRPr="008F1D81">
              <w:rPr>
                <w:color w:val="000000"/>
                <w:lang w:val="en-US"/>
              </w:rPr>
              <w:t>inclusiv</w:t>
            </w:r>
            <w:proofErr w:type="spellEnd"/>
            <w:r w:rsidRPr="008F1D81">
              <w:rPr>
                <w:color w:val="000000"/>
                <w:lang w:val="en-US"/>
              </w:rPr>
              <w:t xml:space="preserve"> </w:t>
            </w:r>
            <w:proofErr w:type="spellStart"/>
            <w:r w:rsidRPr="008F1D81">
              <w:rPr>
                <w:color w:val="000000"/>
                <w:lang w:val="en-US"/>
              </w:rPr>
              <w:t>recoltarea</w:t>
            </w:r>
            <w:proofErr w:type="spellEnd"/>
            <w:r w:rsidRPr="008F1D81">
              <w:rPr>
                <w:color w:val="000000"/>
                <w:lang w:val="en-US"/>
              </w:rPr>
              <w:t xml:space="preserve"> de </w:t>
            </w:r>
            <w:proofErr w:type="spellStart"/>
            <w:r w:rsidRPr="008F1D81">
              <w:rPr>
                <w:color w:val="000000"/>
                <w:lang w:val="en-US"/>
              </w:rPr>
              <w:t>crustacee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alge</w:t>
            </w:r>
            <w:proofErr w:type="spellEnd"/>
            <w:r w:rsidRPr="008F1D81">
              <w:rPr>
                <w:color w:val="000000"/>
                <w:lang w:val="en-US"/>
              </w:rPr>
              <w:t xml:space="preserve"> marine)</w:t>
            </w:r>
          </w:p>
        </w:tc>
      </w:tr>
      <w:tr w:rsidR="00F73A38" w:rsidRPr="008F1D81" w14:paraId="58161A6D" w14:textId="77777777" w:rsidTr="00105BC5">
        <w:trPr>
          <w:trHeight w:val="300"/>
        </w:trPr>
        <w:tc>
          <w:tcPr>
            <w:tcW w:w="444" w:type="pct"/>
            <w:shd w:val="clear" w:color="auto" w:fill="auto"/>
            <w:vAlign w:val="center"/>
            <w:hideMark/>
          </w:tcPr>
          <w:p w14:paraId="4DD8AECC" w14:textId="77777777" w:rsidR="00F73A38" w:rsidRPr="008F1D81" w:rsidRDefault="00F73A38" w:rsidP="00105BC5">
            <w:pPr>
              <w:rPr>
                <w:color w:val="000000"/>
                <w:lang w:val="en-US"/>
              </w:rPr>
            </w:pPr>
            <w:r w:rsidRPr="008F1D81">
              <w:rPr>
                <w:color w:val="000000"/>
                <w:lang w:val="en-US"/>
              </w:rPr>
              <w:t>CG02</w:t>
            </w:r>
          </w:p>
        </w:tc>
        <w:tc>
          <w:tcPr>
            <w:tcW w:w="4556" w:type="pct"/>
            <w:shd w:val="clear" w:color="auto" w:fill="auto"/>
            <w:noWrap/>
            <w:vAlign w:val="bottom"/>
            <w:hideMark/>
          </w:tcPr>
          <w:p w14:paraId="0CB6B3A3" w14:textId="77777777" w:rsidR="00F73A38" w:rsidRPr="008F1D81" w:rsidRDefault="00F73A38" w:rsidP="00105BC5">
            <w:pPr>
              <w:rPr>
                <w:color w:val="000000"/>
                <w:lang w:val="en-US"/>
              </w:rPr>
            </w:pPr>
            <w:proofErr w:type="spellStart"/>
            <w:r w:rsidRPr="008F1D81">
              <w:rPr>
                <w:color w:val="000000"/>
                <w:lang w:val="en-US"/>
              </w:rPr>
              <w:t>Managementul</w:t>
            </w:r>
            <w:proofErr w:type="spellEnd"/>
            <w:r w:rsidRPr="008F1D81">
              <w:rPr>
                <w:color w:val="000000"/>
                <w:lang w:val="en-US"/>
              </w:rPr>
              <w:t xml:space="preserve"> </w:t>
            </w:r>
            <w:proofErr w:type="spellStart"/>
            <w:r w:rsidRPr="008F1D81">
              <w:rPr>
                <w:color w:val="000000"/>
                <w:lang w:val="en-US"/>
              </w:rPr>
              <w:t>vânătorii</w:t>
            </w:r>
            <w:proofErr w:type="spellEnd"/>
            <w:r w:rsidRPr="008F1D81">
              <w:rPr>
                <w:color w:val="000000"/>
                <w:lang w:val="en-US"/>
              </w:rPr>
              <w:t xml:space="preserve">, </w:t>
            </w:r>
            <w:proofErr w:type="spellStart"/>
            <w:r w:rsidRPr="008F1D81">
              <w:rPr>
                <w:color w:val="000000"/>
                <w:lang w:val="en-US"/>
              </w:rPr>
              <w:t>pescuitului</w:t>
            </w:r>
            <w:proofErr w:type="spellEnd"/>
            <w:r w:rsidRPr="008F1D81">
              <w:rPr>
                <w:color w:val="000000"/>
                <w:lang w:val="en-US"/>
              </w:rPr>
              <w:t xml:space="preserve"> </w:t>
            </w:r>
            <w:proofErr w:type="spellStart"/>
            <w:r w:rsidRPr="008F1D81">
              <w:rPr>
                <w:color w:val="000000"/>
                <w:lang w:val="en-US"/>
              </w:rPr>
              <w:t>recreativ</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recoltarea</w:t>
            </w:r>
            <w:proofErr w:type="spellEnd"/>
            <w:r w:rsidRPr="008F1D81">
              <w:rPr>
                <w:color w:val="000000"/>
                <w:lang w:val="en-US"/>
              </w:rPr>
              <w:t xml:space="preserve"> </w:t>
            </w:r>
            <w:proofErr w:type="spellStart"/>
            <w:r w:rsidRPr="008F1D81">
              <w:rPr>
                <w:color w:val="000000"/>
                <w:lang w:val="en-US"/>
              </w:rPr>
              <w:t>recreativă</w:t>
            </w:r>
            <w:proofErr w:type="spellEnd"/>
            <w:r w:rsidRPr="008F1D81">
              <w:rPr>
                <w:color w:val="000000"/>
                <w:lang w:val="en-US"/>
              </w:rPr>
              <w:t xml:space="preserve"> </w:t>
            </w:r>
            <w:proofErr w:type="spellStart"/>
            <w:r w:rsidRPr="008F1D81">
              <w:rPr>
                <w:color w:val="000000"/>
                <w:lang w:val="en-US"/>
              </w:rPr>
              <w:t>sau</w:t>
            </w:r>
            <w:proofErr w:type="spellEnd"/>
            <w:r w:rsidRPr="008F1D81">
              <w:rPr>
                <w:color w:val="000000"/>
                <w:lang w:val="en-US"/>
              </w:rPr>
              <w:t xml:space="preserve"> </w:t>
            </w:r>
            <w:proofErr w:type="spellStart"/>
            <w:r w:rsidRPr="008F1D81">
              <w:rPr>
                <w:color w:val="000000"/>
                <w:lang w:val="en-US"/>
              </w:rPr>
              <w:t>comercială</w:t>
            </w:r>
            <w:proofErr w:type="spellEnd"/>
            <w:r w:rsidRPr="008F1D81">
              <w:rPr>
                <w:color w:val="000000"/>
                <w:lang w:val="en-US"/>
              </w:rPr>
              <w:t xml:space="preserve"> </w:t>
            </w:r>
            <w:proofErr w:type="spellStart"/>
            <w:r w:rsidRPr="008F1D81">
              <w:rPr>
                <w:color w:val="000000"/>
                <w:lang w:val="en-US"/>
              </w:rPr>
              <w:t>sau</w:t>
            </w:r>
            <w:proofErr w:type="spellEnd"/>
            <w:r w:rsidRPr="008F1D81">
              <w:rPr>
                <w:color w:val="000000"/>
                <w:lang w:val="en-US"/>
              </w:rPr>
              <w:t xml:space="preserve"> </w:t>
            </w:r>
            <w:proofErr w:type="spellStart"/>
            <w:r w:rsidRPr="008F1D81">
              <w:rPr>
                <w:color w:val="000000"/>
                <w:lang w:val="en-US"/>
              </w:rPr>
              <w:t>colectarea</w:t>
            </w:r>
            <w:proofErr w:type="spellEnd"/>
            <w:r w:rsidRPr="008F1D81">
              <w:rPr>
                <w:color w:val="000000"/>
                <w:lang w:val="en-US"/>
              </w:rPr>
              <w:t xml:space="preserve"> </w:t>
            </w:r>
            <w:proofErr w:type="spellStart"/>
            <w:r w:rsidRPr="008F1D81">
              <w:rPr>
                <w:color w:val="000000"/>
                <w:lang w:val="en-US"/>
              </w:rPr>
              <w:t>plantelor</w:t>
            </w:r>
            <w:proofErr w:type="spellEnd"/>
          </w:p>
        </w:tc>
      </w:tr>
      <w:tr w:rsidR="00F73A38" w:rsidRPr="008F1D81" w14:paraId="18BDD62C" w14:textId="77777777" w:rsidTr="00105BC5">
        <w:trPr>
          <w:trHeight w:val="300"/>
        </w:trPr>
        <w:tc>
          <w:tcPr>
            <w:tcW w:w="444" w:type="pct"/>
            <w:shd w:val="clear" w:color="auto" w:fill="auto"/>
            <w:vAlign w:val="center"/>
            <w:hideMark/>
          </w:tcPr>
          <w:p w14:paraId="6300B9DD" w14:textId="77777777" w:rsidR="00F73A38" w:rsidRPr="008F1D81" w:rsidRDefault="00F73A38" w:rsidP="00105BC5">
            <w:pPr>
              <w:rPr>
                <w:color w:val="000000"/>
                <w:lang w:val="en-US"/>
              </w:rPr>
            </w:pPr>
            <w:r w:rsidRPr="008F1D81">
              <w:rPr>
                <w:color w:val="000000"/>
                <w:lang w:val="en-US"/>
              </w:rPr>
              <w:t>CG03</w:t>
            </w:r>
          </w:p>
        </w:tc>
        <w:tc>
          <w:tcPr>
            <w:tcW w:w="4556" w:type="pct"/>
            <w:shd w:val="clear" w:color="auto" w:fill="auto"/>
            <w:noWrap/>
            <w:vAlign w:val="bottom"/>
            <w:hideMark/>
          </w:tcPr>
          <w:p w14:paraId="2DE72D33"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w:t>
            </w:r>
            <w:proofErr w:type="spellStart"/>
            <w:r w:rsidRPr="008F1D81">
              <w:rPr>
                <w:color w:val="000000"/>
                <w:lang w:val="en-US"/>
              </w:rPr>
              <w:t>impactului</w:t>
            </w:r>
            <w:proofErr w:type="spellEnd"/>
            <w:r w:rsidRPr="008F1D81">
              <w:rPr>
                <w:color w:val="000000"/>
                <w:lang w:val="en-US"/>
              </w:rPr>
              <w:t xml:space="preserve"> (re) </w:t>
            </w:r>
            <w:proofErr w:type="spellStart"/>
            <w:r w:rsidRPr="008F1D81">
              <w:rPr>
                <w:color w:val="000000"/>
                <w:lang w:val="en-US"/>
              </w:rPr>
              <w:t>stocării</w:t>
            </w:r>
            <w:proofErr w:type="spellEnd"/>
            <w:r w:rsidRPr="008F1D81">
              <w:rPr>
                <w:color w:val="000000"/>
                <w:lang w:val="en-US"/>
              </w:rPr>
              <w:t xml:space="preserve"> </w:t>
            </w:r>
            <w:proofErr w:type="spellStart"/>
            <w:r w:rsidRPr="008F1D81">
              <w:rPr>
                <w:color w:val="000000"/>
                <w:lang w:val="en-US"/>
              </w:rPr>
              <w:t>pentru</w:t>
            </w:r>
            <w:proofErr w:type="spellEnd"/>
            <w:r w:rsidRPr="008F1D81">
              <w:rPr>
                <w:color w:val="000000"/>
                <w:lang w:val="en-US"/>
              </w:rPr>
              <w:t xml:space="preserve"> </w:t>
            </w:r>
            <w:proofErr w:type="spellStart"/>
            <w:r w:rsidRPr="008F1D81">
              <w:rPr>
                <w:color w:val="000000"/>
                <w:lang w:val="en-US"/>
              </w:rPr>
              <w:t>pescuit</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vânătoare</w:t>
            </w:r>
            <w:proofErr w:type="spellEnd"/>
            <w:r w:rsidRPr="008F1D81">
              <w:rPr>
                <w:color w:val="000000"/>
                <w:lang w:val="en-US"/>
              </w:rPr>
              <w:t xml:space="preserve">, a </w:t>
            </w:r>
            <w:proofErr w:type="spellStart"/>
            <w:r w:rsidRPr="008F1D81">
              <w:rPr>
                <w:color w:val="000000"/>
                <w:lang w:val="en-US"/>
              </w:rPr>
              <w:t>hrănirii</w:t>
            </w:r>
            <w:proofErr w:type="spellEnd"/>
            <w:r w:rsidRPr="008F1D81">
              <w:rPr>
                <w:color w:val="000000"/>
                <w:lang w:val="en-US"/>
              </w:rPr>
              <w:t xml:space="preserve"> </w:t>
            </w:r>
            <w:proofErr w:type="spellStart"/>
            <w:r w:rsidRPr="008F1D81">
              <w:rPr>
                <w:color w:val="000000"/>
                <w:lang w:val="en-US"/>
              </w:rPr>
              <w:t>artificiale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a </w:t>
            </w:r>
            <w:proofErr w:type="spellStart"/>
            <w:r w:rsidRPr="008F1D81">
              <w:rPr>
                <w:color w:val="000000"/>
                <w:lang w:val="en-US"/>
              </w:rPr>
              <w:t>controlului</w:t>
            </w:r>
            <w:proofErr w:type="spellEnd"/>
            <w:r w:rsidRPr="008F1D81">
              <w:rPr>
                <w:color w:val="000000"/>
                <w:lang w:val="en-US"/>
              </w:rPr>
              <w:t xml:space="preserve"> </w:t>
            </w:r>
            <w:proofErr w:type="spellStart"/>
            <w:r w:rsidRPr="008F1D81">
              <w:rPr>
                <w:color w:val="000000"/>
                <w:lang w:val="en-US"/>
              </w:rPr>
              <w:t>prădătorilor</w:t>
            </w:r>
            <w:proofErr w:type="spellEnd"/>
          </w:p>
        </w:tc>
      </w:tr>
      <w:tr w:rsidR="00F73A38" w:rsidRPr="008F1D81" w14:paraId="57D8DD31" w14:textId="77777777" w:rsidTr="00105BC5">
        <w:trPr>
          <w:trHeight w:val="300"/>
        </w:trPr>
        <w:tc>
          <w:tcPr>
            <w:tcW w:w="444" w:type="pct"/>
            <w:shd w:val="clear" w:color="auto" w:fill="auto"/>
            <w:vAlign w:val="center"/>
            <w:hideMark/>
          </w:tcPr>
          <w:p w14:paraId="45CE04E4" w14:textId="77777777" w:rsidR="00F73A38" w:rsidRPr="008F1D81" w:rsidRDefault="00F73A38" w:rsidP="00105BC5">
            <w:pPr>
              <w:rPr>
                <w:color w:val="000000"/>
                <w:lang w:val="en-US"/>
              </w:rPr>
            </w:pPr>
            <w:r w:rsidRPr="008F1D81">
              <w:rPr>
                <w:color w:val="000000"/>
                <w:lang w:val="en-US"/>
              </w:rPr>
              <w:t>CG04</w:t>
            </w:r>
          </w:p>
        </w:tc>
        <w:tc>
          <w:tcPr>
            <w:tcW w:w="4556" w:type="pct"/>
            <w:shd w:val="clear" w:color="auto" w:fill="auto"/>
            <w:noWrap/>
            <w:vAlign w:val="bottom"/>
            <w:hideMark/>
          </w:tcPr>
          <w:p w14:paraId="0B9E6D6E" w14:textId="77777777" w:rsidR="00F73A38" w:rsidRPr="008F1D81" w:rsidRDefault="00F73A38" w:rsidP="00105BC5">
            <w:pPr>
              <w:rPr>
                <w:color w:val="000000"/>
                <w:lang w:val="en-US"/>
              </w:rPr>
            </w:pPr>
            <w:proofErr w:type="spellStart"/>
            <w:r w:rsidRPr="008F1D81">
              <w:rPr>
                <w:color w:val="000000"/>
                <w:lang w:val="en-US"/>
              </w:rPr>
              <w:t>Controlul</w:t>
            </w:r>
            <w:proofErr w:type="spellEnd"/>
            <w:r w:rsidRPr="008F1D81">
              <w:rPr>
                <w:color w:val="000000"/>
                <w:lang w:val="en-US"/>
              </w:rPr>
              <w:t xml:space="preserve"> / </w:t>
            </w:r>
            <w:proofErr w:type="spellStart"/>
            <w:r w:rsidRPr="008F1D81">
              <w:rPr>
                <w:color w:val="000000"/>
                <w:lang w:val="en-US"/>
              </w:rPr>
              <w:t>eradicarea</w:t>
            </w:r>
            <w:proofErr w:type="spellEnd"/>
            <w:r w:rsidRPr="008F1D81">
              <w:rPr>
                <w:color w:val="000000"/>
                <w:lang w:val="en-US"/>
              </w:rPr>
              <w:t xml:space="preserve"> </w:t>
            </w:r>
            <w:proofErr w:type="spellStart"/>
            <w:r w:rsidRPr="008F1D81">
              <w:rPr>
                <w:color w:val="000000"/>
                <w:lang w:val="en-US"/>
              </w:rPr>
              <w:t>uciderii</w:t>
            </w:r>
            <w:proofErr w:type="spellEnd"/>
            <w:r w:rsidRPr="008F1D81">
              <w:rPr>
                <w:color w:val="000000"/>
                <w:lang w:val="en-US"/>
              </w:rPr>
              <w:t xml:space="preserve">, </w:t>
            </w:r>
            <w:proofErr w:type="spellStart"/>
            <w:r w:rsidRPr="008F1D81">
              <w:rPr>
                <w:color w:val="000000"/>
                <w:lang w:val="en-US"/>
              </w:rPr>
              <w:t>pescuitului</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recoltarea</w:t>
            </w:r>
            <w:proofErr w:type="spellEnd"/>
            <w:r w:rsidRPr="008F1D81">
              <w:rPr>
                <w:color w:val="000000"/>
                <w:lang w:val="en-US"/>
              </w:rPr>
              <w:t xml:space="preserve"> </w:t>
            </w:r>
            <w:proofErr w:type="spellStart"/>
            <w:r w:rsidRPr="008F1D81">
              <w:rPr>
                <w:color w:val="000000"/>
                <w:lang w:val="en-US"/>
              </w:rPr>
              <w:t>ilegala</w:t>
            </w:r>
            <w:proofErr w:type="spellEnd"/>
          </w:p>
        </w:tc>
      </w:tr>
      <w:tr w:rsidR="00F73A38" w:rsidRPr="008F1D81" w14:paraId="6FE36DF4" w14:textId="77777777" w:rsidTr="00105BC5">
        <w:trPr>
          <w:trHeight w:val="300"/>
        </w:trPr>
        <w:tc>
          <w:tcPr>
            <w:tcW w:w="444" w:type="pct"/>
            <w:shd w:val="clear" w:color="auto" w:fill="auto"/>
            <w:vAlign w:val="center"/>
            <w:hideMark/>
          </w:tcPr>
          <w:p w14:paraId="35AA7E89" w14:textId="77777777" w:rsidR="00F73A38" w:rsidRPr="008F1D81" w:rsidRDefault="00F73A38" w:rsidP="00105BC5">
            <w:pPr>
              <w:rPr>
                <w:color w:val="000000"/>
                <w:lang w:val="en-US"/>
              </w:rPr>
            </w:pPr>
            <w:r w:rsidRPr="008F1D81">
              <w:rPr>
                <w:color w:val="000000"/>
                <w:lang w:val="en-US"/>
              </w:rPr>
              <w:t>CG05</w:t>
            </w:r>
          </w:p>
        </w:tc>
        <w:tc>
          <w:tcPr>
            <w:tcW w:w="4556" w:type="pct"/>
            <w:shd w:val="clear" w:color="auto" w:fill="auto"/>
            <w:noWrap/>
            <w:vAlign w:val="bottom"/>
            <w:hideMark/>
          </w:tcPr>
          <w:p w14:paraId="68C53086"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w:t>
            </w:r>
            <w:proofErr w:type="spellStart"/>
            <w:r w:rsidRPr="008F1D81">
              <w:rPr>
                <w:color w:val="000000"/>
                <w:lang w:val="en-US"/>
              </w:rPr>
              <w:t>capturilor</w:t>
            </w:r>
            <w:proofErr w:type="spellEnd"/>
            <w:r w:rsidRPr="008F1D81">
              <w:rPr>
                <w:color w:val="000000"/>
                <w:lang w:val="en-US"/>
              </w:rPr>
              <w:t xml:space="preserve"> </w:t>
            </w:r>
            <w:proofErr w:type="spellStart"/>
            <w:r w:rsidRPr="008F1D81">
              <w:rPr>
                <w:color w:val="000000"/>
                <w:lang w:val="en-US"/>
              </w:rPr>
              <w:t>accidentale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uciderea</w:t>
            </w:r>
            <w:proofErr w:type="spellEnd"/>
            <w:r w:rsidRPr="008F1D81">
              <w:rPr>
                <w:color w:val="000000"/>
                <w:lang w:val="en-US"/>
              </w:rPr>
              <w:t xml:space="preserve"> </w:t>
            </w:r>
            <w:proofErr w:type="spellStart"/>
            <w:r w:rsidRPr="008F1D81">
              <w:rPr>
                <w:color w:val="000000"/>
                <w:lang w:val="en-US"/>
              </w:rPr>
              <w:t>accidentală</w:t>
            </w:r>
            <w:proofErr w:type="spellEnd"/>
            <w:r w:rsidRPr="008F1D81">
              <w:rPr>
                <w:color w:val="000000"/>
                <w:lang w:val="en-US"/>
              </w:rPr>
              <w:t xml:space="preserve"> a </w:t>
            </w:r>
            <w:proofErr w:type="spellStart"/>
            <w:r w:rsidRPr="008F1D81">
              <w:rPr>
                <w:color w:val="000000"/>
                <w:lang w:val="en-US"/>
              </w:rPr>
              <w:t>speciilor</w:t>
            </w:r>
            <w:proofErr w:type="spellEnd"/>
            <w:r w:rsidRPr="008F1D81">
              <w:rPr>
                <w:color w:val="000000"/>
                <w:lang w:val="en-US"/>
              </w:rPr>
              <w:t xml:space="preserve"> care nu sunt </w:t>
            </w:r>
            <w:proofErr w:type="spellStart"/>
            <w:r w:rsidRPr="008F1D81">
              <w:rPr>
                <w:color w:val="000000"/>
                <w:lang w:val="en-US"/>
              </w:rPr>
              <w:t>vizate</w:t>
            </w:r>
            <w:proofErr w:type="spellEnd"/>
          </w:p>
        </w:tc>
      </w:tr>
      <w:tr w:rsidR="00F73A38" w:rsidRPr="008F1D81" w14:paraId="727D85F8" w14:textId="77777777" w:rsidTr="00105BC5">
        <w:trPr>
          <w:trHeight w:val="300"/>
        </w:trPr>
        <w:tc>
          <w:tcPr>
            <w:tcW w:w="444" w:type="pct"/>
            <w:shd w:val="clear" w:color="auto" w:fill="auto"/>
            <w:vAlign w:val="center"/>
            <w:hideMark/>
          </w:tcPr>
          <w:p w14:paraId="02FE0B5A" w14:textId="77777777" w:rsidR="00F73A38" w:rsidRPr="008F1D81" w:rsidRDefault="00F73A38" w:rsidP="00105BC5">
            <w:pPr>
              <w:rPr>
                <w:color w:val="000000"/>
                <w:lang w:val="en-US"/>
              </w:rPr>
            </w:pPr>
            <w:r w:rsidRPr="008F1D81">
              <w:rPr>
                <w:color w:val="000000"/>
                <w:lang w:val="en-US"/>
              </w:rPr>
              <w:t>CG06</w:t>
            </w:r>
          </w:p>
        </w:tc>
        <w:tc>
          <w:tcPr>
            <w:tcW w:w="4556" w:type="pct"/>
            <w:shd w:val="clear" w:color="auto" w:fill="auto"/>
            <w:noWrap/>
            <w:vAlign w:val="bottom"/>
            <w:hideMark/>
          </w:tcPr>
          <w:p w14:paraId="670629C6" w14:textId="77777777" w:rsidR="00F73A38" w:rsidRPr="008F1D81" w:rsidRDefault="00F73A38" w:rsidP="00105BC5">
            <w:pPr>
              <w:rPr>
                <w:color w:val="000000"/>
                <w:lang w:val="en-US"/>
              </w:rPr>
            </w:pPr>
            <w:proofErr w:type="spellStart"/>
            <w:r w:rsidRPr="008F1D81">
              <w:rPr>
                <w:color w:val="000000"/>
                <w:lang w:val="en-US"/>
              </w:rPr>
              <w:t>Reduceți</w:t>
            </w:r>
            <w:proofErr w:type="spellEnd"/>
            <w:r w:rsidRPr="008F1D81">
              <w:rPr>
                <w:color w:val="000000"/>
                <w:lang w:val="en-US"/>
              </w:rPr>
              <w:t xml:space="preserve"> </w:t>
            </w:r>
            <w:proofErr w:type="spellStart"/>
            <w:r w:rsidRPr="008F1D81">
              <w:rPr>
                <w:color w:val="000000"/>
                <w:lang w:val="en-US"/>
              </w:rPr>
              <w:t>impactul</w:t>
            </w:r>
            <w:proofErr w:type="spellEnd"/>
            <w:r w:rsidRPr="008F1D81">
              <w:rPr>
                <w:color w:val="000000"/>
                <w:lang w:val="en-US"/>
              </w:rPr>
              <w:t xml:space="preserve"> </w:t>
            </w:r>
            <w:proofErr w:type="spellStart"/>
            <w:r w:rsidRPr="008F1D81">
              <w:rPr>
                <w:color w:val="000000"/>
                <w:lang w:val="en-US"/>
              </w:rPr>
              <w:t>intoxicației</w:t>
            </w:r>
            <w:proofErr w:type="spellEnd"/>
            <w:r w:rsidRPr="008F1D81">
              <w:rPr>
                <w:color w:val="000000"/>
                <w:lang w:val="en-US"/>
              </w:rPr>
              <w:t xml:space="preserve"> cu plumb</w:t>
            </w:r>
          </w:p>
        </w:tc>
      </w:tr>
      <w:tr w:rsidR="00F73A38" w:rsidRPr="008F1D81" w14:paraId="360FEF7D" w14:textId="77777777" w:rsidTr="00105BC5">
        <w:trPr>
          <w:trHeight w:val="300"/>
        </w:trPr>
        <w:tc>
          <w:tcPr>
            <w:tcW w:w="444" w:type="pct"/>
            <w:shd w:val="clear" w:color="auto" w:fill="auto"/>
            <w:vAlign w:val="center"/>
            <w:hideMark/>
          </w:tcPr>
          <w:p w14:paraId="5489614C" w14:textId="77777777" w:rsidR="00F73A38" w:rsidRPr="008F1D81" w:rsidRDefault="00F73A38" w:rsidP="00105BC5">
            <w:pPr>
              <w:rPr>
                <w:color w:val="000000"/>
                <w:lang w:val="en-US"/>
              </w:rPr>
            </w:pPr>
            <w:r w:rsidRPr="008F1D81">
              <w:rPr>
                <w:color w:val="000000"/>
                <w:lang w:val="en-US"/>
              </w:rPr>
              <w:t>CG07</w:t>
            </w:r>
          </w:p>
        </w:tc>
        <w:tc>
          <w:tcPr>
            <w:tcW w:w="4556" w:type="pct"/>
            <w:shd w:val="clear" w:color="auto" w:fill="auto"/>
            <w:noWrap/>
            <w:vAlign w:val="bottom"/>
            <w:hideMark/>
          </w:tcPr>
          <w:p w14:paraId="35667129" w14:textId="77777777" w:rsidR="00F73A38" w:rsidRPr="008F1D81" w:rsidRDefault="00F73A38" w:rsidP="00105BC5">
            <w:pPr>
              <w:rPr>
                <w:color w:val="000000"/>
                <w:lang w:val="en-US"/>
              </w:rPr>
            </w:pPr>
            <w:proofErr w:type="spellStart"/>
            <w:r w:rsidRPr="008F1D81">
              <w:rPr>
                <w:color w:val="000000"/>
                <w:lang w:val="en-US"/>
              </w:rPr>
              <w:t>Gestionarea</w:t>
            </w:r>
            <w:proofErr w:type="spellEnd"/>
            <w:r w:rsidRPr="008F1D81">
              <w:rPr>
                <w:color w:val="000000"/>
                <w:lang w:val="en-US"/>
              </w:rPr>
              <w:t xml:space="preserve"> </w:t>
            </w:r>
            <w:proofErr w:type="spellStart"/>
            <w:r w:rsidRPr="008F1D81">
              <w:rPr>
                <w:color w:val="000000"/>
                <w:lang w:val="en-US"/>
              </w:rPr>
              <w:t>schimbărilor</w:t>
            </w:r>
            <w:proofErr w:type="spellEnd"/>
            <w:r w:rsidRPr="008F1D81">
              <w:rPr>
                <w:color w:val="000000"/>
                <w:lang w:val="en-US"/>
              </w:rPr>
              <w:t xml:space="preserve"> </w:t>
            </w:r>
            <w:proofErr w:type="spellStart"/>
            <w:r w:rsidRPr="008F1D81">
              <w:rPr>
                <w:color w:val="000000"/>
                <w:lang w:val="en-US"/>
              </w:rPr>
              <w:t>condițiilor</w:t>
            </w:r>
            <w:proofErr w:type="spellEnd"/>
            <w:r w:rsidRPr="008F1D81">
              <w:rPr>
                <w:color w:val="000000"/>
                <w:lang w:val="en-US"/>
              </w:rPr>
              <w:t xml:space="preserve"> </w:t>
            </w:r>
            <w:proofErr w:type="spellStart"/>
            <w:r w:rsidRPr="008F1D81">
              <w:rPr>
                <w:color w:val="000000"/>
                <w:lang w:val="en-US"/>
              </w:rPr>
              <w:t>zonei</w:t>
            </w:r>
            <w:proofErr w:type="spellEnd"/>
            <w:r w:rsidRPr="008F1D81">
              <w:rPr>
                <w:color w:val="000000"/>
                <w:lang w:val="en-US"/>
              </w:rPr>
              <w:t xml:space="preserve"> </w:t>
            </w:r>
            <w:proofErr w:type="spellStart"/>
            <w:r w:rsidRPr="008F1D81">
              <w:rPr>
                <w:color w:val="000000"/>
                <w:lang w:val="en-US"/>
              </w:rPr>
              <w:t>costiere</w:t>
            </w:r>
            <w:proofErr w:type="spellEnd"/>
            <w:r w:rsidRPr="008F1D81">
              <w:rPr>
                <w:color w:val="000000"/>
                <w:lang w:val="en-US"/>
              </w:rPr>
              <w:t xml:space="preserve"> </w:t>
            </w:r>
            <w:proofErr w:type="spellStart"/>
            <w:r w:rsidRPr="008F1D81">
              <w:rPr>
                <w:color w:val="000000"/>
                <w:lang w:val="en-US"/>
              </w:rPr>
              <w:t>pentru</w:t>
            </w:r>
            <w:proofErr w:type="spellEnd"/>
            <w:r w:rsidRPr="008F1D81">
              <w:rPr>
                <w:color w:val="000000"/>
                <w:lang w:val="en-US"/>
              </w:rPr>
              <w:t xml:space="preserve"> </w:t>
            </w:r>
            <w:proofErr w:type="spellStart"/>
            <w:r w:rsidRPr="008F1D81">
              <w:rPr>
                <w:color w:val="000000"/>
                <w:lang w:val="en-US"/>
              </w:rPr>
              <w:t>acvacultura</w:t>
            </w:r>
            <w:proofErr w:type="spellEnd"/>
            <w:r w:rsidRPr="008F1D81">
              <w:rPr>
                <w:color w:val="000000"/>
                <w:lang w:val="en-US"/>
              </w:rPr>
              <w:t xml:space="preserve"> </w:t>
            </w:r>
            <w:proofErr w:type="spellStart"/>
            <w:r w:rsidRPr="008F1D81">
              <w:rPr>
                <w:color w:val="000000"/>
                <w:lang w:val="en-US"/>
              </w:rPr>
              <w:t>marină</w:t>
            </w:r>
            <w:proofErr w:type="spellEnd"/>
          </w:p>
        </w:tc>
      </w:tr>
      <w:tr w:rsidR="00F73A38" w:rsidRPr="008F1D81" w14:paraId="0E3A39D5" w14:textId="77777777" w:rsidTr="00105BC5">
        <w:trPr>
          <w:trHeight w:val="300"/>
        </w:trPr>
        <w:tc>
          <w:tcPr>
            <w:tcW w:w="444" w:type="pct"/>
            <w:shd w:val="clear" w:color="auto" w:fill="auto"/>
            <w:vAlign w:val="center"/>
            <w:hideMark/>
          </w:tcPr>
          <w:p w14:paraId="1C634DBA" w14:textId="77777777" w:rsidR="00F73A38" w:rsidRPr="008F1D81" w:rsidRDefault="00F73A38" w:rsidP="00105BC5">
            <w:pPr>
              <w:rPr>
                <w:color w:val="000000"/>
                <w:lang w:val="en-US"/>
              </w:rPr>
            </w:pPr>
            <w:r w:rsidRPr="008F1D81">
              <w:rPr>
                <w:color w:val="000000"/>
                <w:lang w:val="en-US"/>
              </w:rPr>
              <w:t>CG08</w:t>
            </w:r>
          </w:p>
        </w:tc>
        <w:tc>
          <w:tcPr>
            <w:tcW w:w="4556" w:type="pct"/>
            <w:shd w:val="clear" w:color="auto" w:fill="auto"/>
            <w:noWrap/>
            <w:vAlign w:val="bottom"/>
            <w:hideMark/>
          </w:tcPr>
          <w:p w14:paraId="28A99EB4"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poluării</w:t>
            </w:r>
            <w:proofErr w:type="spellEnd"/>
            <w:r w:rsidRPr="008F1D81">
              <w:rPr>
                <w:color w:val="000000"/>
                <w:lang w:val="en-US"/>
              </w:rPr>
              <w:t xml:space="preserve"> marine din </w:t>
            </w:r>
            <w:proofErr w:type="spellStart"/>
            <w:r w:rsidRPr="008F1D81">
              <w:rPr>
                <w:color w:val="000000"/>
                <w:lang w:val="en-US"/>
              </w:rPr>
              <w:t>acvacultura</w:t>
            </w:r>
            <w:proofErr w:type="spellEnd"/>
            <w:r w:rsidRPr="008F1D81">
              <w:rPr>
                <w:color w:val="000000"/>
                <w:lang w:val="en-US"/>
              </w:rPr>
              <w:t xml:space="preserve"> marina</w:t>
            </w:r>
          </w:p>
        </w:tc>
      </w:tr>
      <w:tr w:rsidR="00F73A38" w:rsidRPr="008F1D81" w14:paraId="2409F374" w14:textId="77777777" w:rsidTr="00105BC5">
        <w:trPr>
          <w:trHeight w:val="300"/>
        </w:trPr>
        <w:tc>
          <w:tcPr>
            <w:tcW w:w="444" w:type="pct"/>
            <w:shd w:val="clear" w:color="auto" w:fill="auto"/>
            <w:vAlign w:val="center"/>
            <w:hideMark/>
          </w:tcPr>
          <w:p w14:paraId="6AC95D12" w14:textId="77777777" w:rsidR="00F73A38" w:rsidRPr="008F1D81" w:rsidRDefault="00F73A38" w:rsidP="00105BC5">
            <w:pPr>
              <w:rPr>
                <w:color w:val="000000"/>
                <w:lang w:val="en-US"/>
              </w:rPr>
            </w:pPr>
            <w:r w:rsidRPr="008F1D81">
              <w:rPr>
                <w:color w:val="000000"/>
                <w:lang w:val="en-US"/>
              </w:rPr>
              <w:t>CG09</w:t>
            </w:r>
          </w:p>
        </w:tc>
        <w:tc>
          <w:tcPr>
            <w:tcW w:w="4556" w:type="pct"/>
            <w:shd w:val="clear" w:color="auto" w:fill="auto"/>
            <w:noWrap/>
            <w:vAlign w:val="bottom"/>
            <w:hideMark/>
          </w:tcPr>
          <w:p w14:paraId="4A045A53" w14:textId="77777777" w:rsidR="00F73A38" w:rsidRPr="008F1D81" w:rsidRDefault="00F73A38" w:rsidP="00105BC5">
            <w:pPr>
              <w:rPr>
                <w:color w:val="000000"/>
                <w:lang w:val="en-US"/>
              </w:rPr>
            </w:pPr>
            <w:r w:rsidRPr="008F1D81">
              <w:rPr>
                <w:color w:val="000000"/>
                <w:lang w:val="en-US"/>
              </w:rPr>
              <w:t xml:space="preserve">Alte </w:t>
            </w:r>
            <w:proofErr w:type="spellStart"/>
            <w:r w:rsidRPr="008F1D81">
              <w:rPr>
                <w:color w:val="000000"/>
                <w:lang w:val="en-US"/>
              </w:rPr>
              <w:t>măsuri</w:t>
            </w:r>
            <w:proofErr w:type="spellEnd"/>
            <w:r w:rsidRPr="008F1D81">
              <w:rPr>
                <w:color w:val="000000"/>
                <w:lang w:val="en-US"/>
              </w:rPr>
              <w:t xml:space="preserve"> </w:t>
            </w:r>
            <w:proofErr w:type="spellStart"/>
            <w:r w:rsidRPr="008F1D81">
              <w:rPr>
                <w:color w:val="000000"/>
                <w:lang w:val="en-US"/>
              </w:rPr>
              <w:t>pentru</w:t>
            </w:r>
            <w:proofErr w:type="spellEnd"/>
            <w:r w:rsidRPr="008F1D81">
              <w:rPr>
                <w:color w:val="000000"/>
                <w:lang w:val="en-US"/>
              </w:rPr>
              <w:t xml:space="preserve"> </w:t>
            </w:r>
            <w:proofErr w:type="spellStart"/>
            <w:r w:rsidRPr="008F1D81">
              <w:rPr>
                <w:color w:val="000000"/>
                <w:lang w:val="en-US"/>
              </w:rPr>
              <w:t>reducerea</w:t>
            </w:r>
            <w:proofErr w:type="spellEnd"/>
            <w:r w:rsidRPr="008F1D81">
              <w:rPr>
                <w:color w:val="000000"/>
                <w:lang w:val="en-US"/>
              </w:rPr>
              <w:t xml:space="preserve"> </w:t>
            </w:r>
            <w:proofErr w:type="spellStart"/>
            <w:r w:rsidRPr="008F1D81">
              <w:rPr>
                <w:color w:val="000000"/>
                <w:lang w:val="en-US"/>
              </w:rPr>
              <w:t>impactului</w:t>
            </w:r>
            <w:proofErr w:type="spellEnd"/>
            <w:r w:rsidRPr="008F1D81">
              <w:rPr>
                <w:color w:val="000000"/>
                <w:lang w:val="en-US"/>
              </w:rPr>
              <w:t xml:space="preserve"> din </w:t>
            </w:r>
            <w:proofErr w:type="spellStart"/>
            <w:r w:rsidRPr="008F1D81">
              <w:rPr>
                <w:color w:val="000000"/>
                <w:lang w:val="en-US"/>
              </w:rPr>
              <w:t>infrastructurile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operațiunile</w:t>
            </w:r>
            <w:proofErr w:type="spellEnd"/>
            <w:r w:rsidRPr="008F1D81">
              <w:rPr>
                <w:color w:val="000000"/>
                <w:lang w:val="en-US"/>
              </w:rPr>
              <w:t xml:space="preserve"> destinate </w:t>
            </w:r>
            <w:proofErr w:type="spellStart"/>
            <w:r w:rsidRPr="008F1D81">
              <w:rPr>
                <w:color w:val="000000"/>
                <w:lang w:val="en-US"/>
              </w:rPr>
              <w:t>acvaculturii</w:t>
            </w:r>
            <w:proofErr w:type="spellEnd"/>
            <w:r w:rsidRPr="008F1D81">
              <w:rPr>
                <w:color w:val="000000"/>
                <w:lang w:val="en-US"/>
              </w:rPr>
              <w:t xml:space="preserve"> marine</w:t>
            </w:r>
          </w:p>
        </w:tc>
      </w:tr>
      <w:tr w:rsidR="00F73A38" w:rsidRPr="008F1D81" w14:paraId="799BE071" w14:textId="77777777" w:rsidTr="00105BC5">
        <w:trPr>
          <w:trHeight w:val="300"/>
        </w:trPr>
        <w:tc>
          <w:tcPr>
            <w:tcW w:w="444" w:type="pct"/>
            <w:shd w:val="clear" w:color="auto" w:fill="auto"/>
            <w:vAlign w:val="center"/>
            <w:hideMark/>
          </w:tcPr>
          <w:p w14:paraId="2CCD5FB1" w14:textId="77777777" w:rsidR="00F73A38" w:rsidRPr="008F1D81" w:rsidRDefault="00F73A38" w:rsidP="00105BC5">
            <w:pPr>
              <w:rPr>
                <w:color w:val="000000"/>
                <w:lang w:val="en-US"/>
              </w:rPr>
            </w:pPr>
            <w:r w:rsidRPr="008F1D81">
              <w:rPr>
                <w:color w:val="000000"/>
                <w:lang w:val="en-US"/>
              </w:rPr>
              <w:t>CG10</w:t>
            </w:r>
          </w:p>
        </w:tc>
        <w:tc>
          <w:tcPr>
            <w:tcW w:w="4556" w:type="pct"/>
            <w:shd w:val="clear" w:color="auto" w:fill="auto"/>
            <w:noWrap/>
            <w:vAlign w:val="bottom"/>
            <w:hideMark/>
          </w:tcPr>
          <w:p w14:paraId="5DDCC5C4" w14:textId="77777777" w:rsidR="00F73A38" w:rsidRPr="008F1D81" w:rsidRDefault="00F73A38" w:rsidP="00105BC5">
            <w:pPr>
              <w:rPr>
                <w:color w:val="000000"/>
                <w:lang w:val="en-US"/>
              </w:rPr>
            </w:pPr>
            <w:proofErr w:type="spellStart"/>
            <w:r w:rsidRPr="008F1D81">
              <w:rPr>
                <w:color w:val="000000"/>
                <w:lang w:val="en-US"/>
              </w:rPr>
              <w:t>Gestionarea</w:t>
            </w:r>
            <w:proofErr w:type="spellEnd"/>
            <w:r w:rsidRPr="008F1D81">
              <w:rPr>
                <w:color w:val="000000"/>
                <w:lang w:val="en-US"/>
              </w:rPr>
              <w:t xml:space="preserve"> </w:t>
            </w:r>
            <w:proofErr w:type="spellStart"/>
            <w:r w:rsidRPr="008F1D81">
              <w:rPr>
                <w:color w:val="000000"/>
                <w:lang w:val="en-US"/>
              </w:rPr>
              <w:t>extragerii</w:t>
            </w:r>
            <w:proofErr w:type="spellEnd"/>
            <w:r w:rsidRPr="008F1D81">
              <w:rPr>
                <w:color w:val="000000"/>
                <w:lang w:val="en-US"/>
              </w:rPr>
              <w:t xml:space="preserve"> </w:t>
            </w:r>
            <w:proofErr w:type="spellStart"/>
            <w:r w:rsidRPr="008F1D81">
              <w:rPr>
                <w:color w:val="000000"/>
                <w:lang w:val="en-US"/>
              </w:rPr>
              <w:t>apei</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modificările</w:t>
            </w:r>
            <w:proofErr w:type="spellEnd"/>
            <w:r w:rsidRPr="008F1D81">
              <w:rPr>
                <w:color w:val="000000"/>
                <w:lang w:val="en-US"/>
              </w:rPr>
              <w:t xml:space="preserve"> </w:t>
            </w:r>
            <w:proofErr w:type="spellStart"/>
            <w:r w:rsidRPr="008F1D81">
              <w:rPr>
                <w:color w:val="000000"/>
                <w:lang w:val="en-US"/>
              </w:rPr>
              <w:t>condițiilor</w:t>
            </w:r>
            <w:proofErr w:type="spellEnd"/>
            <w:r w:rsidRPr="008F1D81">
              <w:rPr>
                <w:color w:val="000000"/>
                <w:lang w:val="en-US"/>
              </w:rPr>
              <w:t xml:space="preserve"> </w:t>
            </w:r>
            <w:proofErr w:type="spellStart"/>
            <w:r w:rsidRPr="008F1D81">
              <w:rPr>
                <w:color w:val="000000"/>
                <w:lang w:val="en-US"/>
              </w:rPr>
              <w:t>hidrologice</w:t>
            </w:r>
            <w:proofErr w:type="spellEnd"/>
            <w:r w:rsidRPr="008F1D81">
              <w:rPr>
                <w:color w:val="000000"/>
                <w:lang w:val="en-US"/>
              </w:rPr>
              <w:t xml:space="preserve"> </w:t>
            </w:r>
            <w:proofErr w:type="spellStart"/>
            <w:r w:rsidRPr="008F1D81">
              <w:rPr>
                <w:color w:val="000000"/>
                <w:lang w:val="en-US"/>
              </w:rPr>
              <w:t>pentru</w:t>
            </w:r>
            <w:proofErr w:type="spellEnd"/>
            <w:r w:rsidRPr="008F1D81">
              <w:rPr>
                <w:color w:val="000000"/>
                <w:lang w:val="en-US"/>
              </w:rPr>
              <w:t xml:space="preserve"> </w:t>
            </w:r>
            <w:proofErr w:type="spellStart"/>
            <w:r w:rsidRPr="008F1D81">
              <w:rPr>
                <w:color w:val="000000"/>
                <w:lang w:val="en-US"/>
              </w:rPr>
              <w:t>acvacultura</w:t>
            </w:r>
            <w:proofErr w:type="spellEnd"/>
            <w:r w:rsidRPr="008F1D81">
              <w:rPr>
                <w:color w:val="000000"/>
                <w:lang w:val="en-US"/>
              </w:rPr>
              <w:t xml:space="preserve"> </w:t>
            </w:r>
            <w:proofErr w:type="spellStart"/>
            <w:r w:rsidRPr="008F1D81">
              <w:rPr>
                <w:color w:val="000000"/>
                <w:lang w:val="en-US"/>
              </w:rPr>
              <w:t>în</w:t>
            </w:r>
            <w:proofErr w:type="spellEnd"/>
            <w:r w:rsidRPr="008F1D81">
              <w:rPr>
                <w:color w:val="000000"/>
                <w:lang w:val="en-US"/>
              </w:rPr>
              <w:t xml:space="preserve"> </w:t>
            </w:r>
            <w:proofErr w:type="spellStart"/>
            <w:r w:rsidRPr="008F1D81">
              <w:rPr>
                <w:color w:val="000000"/>
                <w:lang w:val="en-US"/>
              </w:rPr>
              <w:t>aple</w:t>
            </w:r>
            <w:proofErr w:type="spellEnd"/>
            <w:r w:rsidRPr="008F1D81">
              <w:rPr>
                <w:color w:val="000000"/>
                <w:lang w:val="en-US"/>
              </w:rPr>
              <w:t xml:space="preserve"> </w:t>
            </w:r>
            <w:proofErr w:type="spellStart"/>
            <w:r w:rsidRPr="008F1D81">
              <w:rPr>
                <w:color w:val="000000"/>
                <w:lang w:val="en-US"/>
              </w:rPr>
              <w:t>dulci</w:t>
            </w:r>
            <w:proofErr w:type="spellEnd"/>
          </w:p>
        </w:tc>
      </w:tr>
      <w:tr w:rsidR="00F73A38" w:rsidRPr="008F1D81" w14:paraId="51465263" w14:textId="77777777" w:rsidTr="00105BC5">
        <w:trPr>
          <w:trHeight w:val="300"/>
        </w:trPr>
        <w:tc>
          <w:tcPr>
            <w:tcW w:w="444" w:type="pct"/>
            <w:shd w:val="clear" w:color="auto" w:fill="auto"/>
            <w:vAlign w:val="center"/>
            <w:hideMark/>
          </w:tcPr>
          <w:p w14:paraId="6BFE52FF" w14:textId="77777777" w:rsidR="00F73A38" w:rsidRPr="008F1D81" w:rsidRDefault="00F73A38" w:rsidP="00105BC5">
            <w:pPr>
              <w:rPr>
                <w:color w:val="000000"/>
                <w:lang w:val="en-US"/>
              </w:rPr>
            </w:pPr>
            <w:r w:rsidRPr="008F1D81">
              <w:rPr>
                <w:color w:val="000000"/>
                <w:lang w:val="en-US"/>
              </w:rPr>
              <w:t>CG11</w:t>
            </w:r>
          </w:p>
        </w:tc>
        <w:tc>
          <w:tcPr>
            <w:tcW w:w="4556" w:type="pct"/>
            <w:shd w:val="clear" w:color="auto" w:fill="auto"/>
            <w:noWrap/>
            <w:vAlign w:val="bottom"/>
            <w:hideMark/>
          </w:tcPr>
          <w:p w14:paraId="16C2FBE6"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poluării</w:t>
            </w:r>
            <w:proofErr w:type="spellEnd"/>
            <w:r w:rsidRPr="008F1D81">
              <w:rPr>
                <w:color w:val="000000"/>
                <w:lang w:val="en-US"/>
              </w:rPr>
              <w:t xml:space="preserve"> din </w:t>
            </w:r>
            <w:proofErr w:type="spellStart"/>
            <w:r w:rsidRPr="008F1D81">
              <w:rPr>
                <w:color w:val="000000"/>
                <w:lang w:val="en-US"/>
              </w:rPr>
              <w:t>sursele</w:t>
            </w:r>
            <w:proofErr w:type="spellEnd"/>
            <w:r w:rsidRPr="008F1D81">
              <w:rPr>
                <w:color w:val="000000"/>
                <w:lang w:val="en-US"/>
              </w:rPr>
              <w:t xml:space="preserve"> </w:t>
            </w:r>
            <w:proofErr w:type="spellStart"/>
            <w:r w:rsidRPr="008F1D81">
              <w:rPr>
                <w:color w:val="000000"/>
                <w:lang w:val="en-US"/>
              </w:rPr>
              <w:t>punctiforme</w:t>
            </w:r>
            <w:proofErr w:type="spellEnd"/>
            <w:r w:rsidRPr="008F1D81">
              <w:rPr>
                <w:color w:val="000000"/>
                <w:lang w:val="en-US"/>
              </w:rPr>
              <w:t xml:space="preserve"> a </w:t>
            </w:r>
            <w:proofErr w:type="spellStart"/>
            <w:r w:rsidRPr="008F1D81">
              <w:rPr>
                <w:color w:val="000000"/>
                <w:lang w:val="en-US"/>
              </w:rPr>
              <w:t>apele</w:t>
            </w:r>
            <w:proofErr w:type="spellEnd"/>
            <w:r w:rsidRPr="008F1D81">
              <w:rPr>
                <w:color w:val="000000"/>
                <w:lang w:val="en-US"/>
              </w:rPr>
              <w:t xml:space="preserve"> de </w:t>
            </w:r>
            <w:proofErr w:type="spellStart"/>
            <w:r w:rsidRPr="008F1D81">
              <w:rPr>
                <w:color w:val="000000"/>
                <w:lang w:val="en-US"/>
              </w:rPr>
              <w:t>suprafață</w:t>
            </w:r>
            <w:proofErr w:type="spellEnd"/>
            <w:r w:rsidRPr="008F1D81">
              <w:rPr>
                <w:color w:val="000000"/>
                <w:lang w:val="en-US"/>
              </w:rPr>
              <w:t xml:space="preserve"> din </w:t>
            </w:r>
            <w:proofErr w:type="spellStart"/>
            <w:r w:rsidRPr="008F1D81">
              <w:rPr>
                <w:color w:val="000000"/>
                <w:lang w:val="en-US"/>
              </w:rPr>
              <w:t>acvacultura</w:t>
            </w:r>
            <w:proofErr w:type="spellEnd"/>
            <w:r w:rsidRPr="008F1D81">
              <w:rPr>
                <w:color w:val="000000"/>
                <w:lang w:val="en-US"/>
              </w:rPr>
              <w:t xml:space="preserve"> din </w:t>
            </w:r>
            <w:proofErr w:type="spellStart"/>
            <w:r w:rsidRPr="008F1D81">
              <w:rPr>
                <w:color w:val="000000"/>
                <w:lang w:val="en-US"/>
              </w:rPr>
              <w:t>apele</w:t>
            </w:r>
            <w:proofErr w:type="spellEnd"/>
            <w:r w:rsidRPr="008F1D81">
              <w:rPr>
                <w:color w:val="000000"/>
                <w:lang w:val="en-US"/>
              </w:rPr>
              <w:t xml:space="preserve"> </w:t>
            </w:r>
            <w:proofErr w:type="spellStart"/>
            <w:r w:rsidRPr="008F1D81">
              <w:rPr>
                <w:color w:val="000000"/>
                <w:lang w:val="en-US"/>
              </w:rPr>
              <w:t>dulci</w:t>
            </w:r>
            <w:proofErr w:type="spellEnd"/>
          </w:p>
        </w:tc>
      </w:tr>
      <w:tr w:rsidR="00F73A38" w:rsidRPr="008F1D81" w14:paraId="27134913" w14:textId="77777777" w:rsidTr="00105BC5">
        <w:trPr>
          <w:trHeight w:val="300"/>
        </w:trPr>
        <w:tc>
          <w:tcPr>
            <w:tcW w:w="444" w:type="pct"/>
            <w:shd w:val="clear" w:color="auto" w:fill="auto"/>
            <w:vAlign w:val="center"/>
            <w:hideMark/>
          </w:tcPr>
          <w:p w14:paraId="11D383C6" w14:textId="77777777" w:rsidR="00F73A38" w:rsidRPr="008F1D81" w:rsidRDefault="00F73A38" w:rsidP="00105BC5">
            <w:pPr>
              <w:rPr>
                <w:color w:val="000000"/>
                <w:lang w:val="en-US"/>
              </w:rPr>
            </w:pPr>
            <w:r w:rsidRPr="008F1D81">
              <w:rPr>
                <w:color w:val="000000"/>
                <w:lang w:val="en-US"/>
              </w:rPr>
              <w:t>CG12</w:t>
            </w:r>
          </w:p>
        </w:tc>
        <w:tc>
          <w:tcPr>
            <w:tcW w:w="4556" w:type="pct"/>
            <w:shd w:val="clear" w:color="auto" w:fill="auto"/>
            <w:noWrap/>
            <w:vAlign w:val="bottom"/>
            <w:hideMark/>
          </w:tcPr>
          <w:p w14:paraId="7A72F44E"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poluarii</w:t>
            </w:r>
            <w:proofErr w:type="spellEnd"/>
            <w:r w:rsidRPr="008F1D81">
              <w:rPr>
                <w:color w:val="000000"/>
                <w:lang w:val="en-US"/>
              </w:rPr>
              <w:t xml:space="preserve"> </w:t>
            </w:r>
            <w:proofErr w:type="spellStart"/>
            <w:r w:rsidRPr="008F1D81">
              <w:rPr>
                <w:color w:val="000000"/>
                <w:lang w:val="en-US"/>
              </w:rPr>
              <w:t>difuze</w:t>
            </w:r>
            <w:proofErr w:type="spellEnd"/>
            <w:r w:rsidRPr="008F1D81">
              <w:rPr>
                <w:color w:val="000000"/>
                <w:lang w:val="en-US"/>
              </w:rPr>
              <w:t xml:space="preserve"> a </w:t>
            </w:r>
            <w:proofErr w:type="spellStart"/>
            <w:r w:rsidRPr="008F1D81">
              <w:rPr>
                <w:color w:val="000000"/>
                <w:lang w:val="en-US"/>
              </w:rPr>
              <w:t>apele</w:t>
            </w:r>
            <w:proofErr w:type="spellEnd"/>
            <w:r w:rsidRPr="008F1D81">
              <w:rPr>
                <w:color w:val="000000"/>
                <w:lang w:val="en-US"/>
              </w:rPr>
              <w:t xml:space="preserve"> de </w:t>
            </w:r>
            <w:proofErr w:type="spellStart"/>
            <w:r w:rsidRPr="008F1D81">
              <w:rPr>
                <w:color w:val="000000"/>
                <w:lang w:val="en-US"/>
              </w:rPr>
              <w:t>suprafață</w:t>
            </w:r>
            <w:proofErr w:type="spellEnd"/>
            <w:r w:rsidRPr="008F1D81">
              <w:rPr>
                <w:color w:val="000000"/>
                <w:lang w:val="en-US"/>
              </w:rPr>
              <w:t xml:space="preserve"> din </w:t>
            </w:r>
            <w:proofErr w:type="spellStart"/>
            <w:r w:rsidRPr="008F1D81">
              <w:rPr>
                <w:color w:val="000000"/>
                <w:lang w:val="en-US"/>
              </w:rPr>
              <w:t>acvacultura</w:t>
            </w:r>
            <w:proofErr w:type="spellEnd"/>
            <w:r w:rsidRPr="008F1D81">
              <w:rPr>
                <w:color w:val="000000"/>
                <w:lang w:val="en-US"/>
              </w:rPr>
              <w:t xml:space="preserve"> din </w:t>
            </w:r>
            <w:proofErr w:type="spellStart"/>
            <w:r w:rsidRPr="008F1D81">
              <w:rPr>
                <w:color w:val="000000"/>
                <w:lang w:val="en-US"/>
              </w:rPr>
              <w:t>apele</w:t>
            </w:r>
            <w:proofErr w:type="spellEnd"/>
            <w:r w:rsidRPr="008F1D81">
              <w:rPr>
                <w:color w:val="000000"/>
                <w:lang w:val="en-US"/>
              </w:rPr>
              <w:t xml:space="preserve"> </w:t>
            </w:r>
            <w:proofErr w:type="spellStart"/>
            <w:r w:rsidRPr="008F1D81">
              <w:rPr>
                <w:color w:val="000000"/>
                <w:lang w:val="en-US"/>
              </w:rPr>
              <w:t>dulci</w:t>
            </w:r>
            <w:proofErr w:type="spellEnd"/>
          </w:p>
        </w:tc>
      </w:tr>
      <w:tr w:rsidR="00F73A38" w:rsidRPr="008F1D81" w14:paraId="3D48970E" w14:textId="77777777" w:rsidTr="00105BC5">
        <w:trPr>
          <w:trHeight w:val="300"/>
        </w:trPr>
        <w:tc>
          <w:tcPr>
            <w:tcW w:w="444" w:type="pct"/>
            <w:shd w:val="clear" w:color="auto" w:fill="auto"/>
            <w:vAlign w:val="center"/>
            <w:hideMark/>
          </w:tcPr>
          <w:p w14:paraId="29E737BE" w14:textId="77777777" w:rsidR="00F73A38" w:rsidRPr="008F1D81" w:rsidRDefault="00F73A38" w:rsidP="00105BC5">
            <w:pPr>
              <w:rPr>
                <w:color w:val="000000"/>
                <w:lang w:val="en-US"/>
              </w:rPr>
            </w:pPr>
            <w:r w:rsidRPr="008F1D81">
              <w:rPr>
                <w:color w:val="000000"/>
                <w:lang w:val="en-US"/>
              </w:rPr>
              <w:t>CG13</w:t>
            </w:r>
          </w:p>
        </w:tc>
        <w:tc>
          <w:tcPr>
            <w:tcW w:w="4556" w:type="pct"/>
            <w:shd w:val="clear" w:color="auto" w:fill="auto"/>
            <w:noWrap/>
            <w:vAlign w:val="bottom"/>
            <w:hideMark/>
          </w:tcPr>
          <w:p w14:paraId="265245B2"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 </w:t>
            </w:r>
            <w:proofErr w:type="spellStart"/>
            <w:r w:rsidRPr="008F1D81">
              <w:rPr>
                <w:color w:val="000000"/>
                <w:lang w:val="en-US"/>
              </w:rPr>
              <w:t>eliminarea</w:t>
            </w:r>
            <w:proofErr w:type="spellEnd"/>
            <w:r w:rsidRPr="008F1D81">
              <w:rPr>
                <w:color w:val="000000"/>
                <w:lang w:val="en-US"/>
              </w:rPr>
              <w:t xml:space="preserve"> </w:t>
            </w:r>
            <w:proofErr w:type="spellStart"/>
            <w:r w:rsidRPr="008F1D81">
              <w:rPr>
                <w:color w:val="000000"/>
                <w:lang w:val="en-US"/>
              </w:rPr>
              <w:t>poluării</w:t>
            </w:r>
            <w:proofErr w:type="spellEnd"/>
            <w:r w:rsidRPr="008F1D81">
              <w:rPr>
                <w:color w:val="000000"/>
                <w:lang w:val="en-US"/>
              </w:rPr>
              <w:t xml:space="preserve"> marine din </w:t>
            </w:r>
            <w:proofErr w:type="spellStart"/>
            <w:r w:rsidRPr="008F1D81">
              <w:rPr>
                <w:color w:val="000000"/>
                <w:lang w:val="en-US"/>
              </w:rPr>
              <w:t>acvacultura</w:t>
            </w:r>
            <w:proofErr w:type="spellEnd"/>
            <w:r w:rsidRPr="008F1D81">
              <w:rPr>
                <w:color w:val="000000"/>
                <w:lang w:val="en-US"/>
              </w:rPr>
              <w:t xml:space="preserve"> din ape </w:t>
            </w:r>
            <w:proofErr w:type="spellStart"/>
            <w:r w:rsidRPr="008F1D81">
              <w:rPr>
                <w:color w:val="000000"/>
                <w:lang w:val="en-US"/>
              </w:rPr>
              <w:t>dulci</w:t>
            </w:r>
            <w:proofErr w:type="spellEnd"/>
          </w:p>
        </w:tc>
      </w:tr>
      <w:tr w:rsidR="00F73A38" w:rsidRPr="008F1D81" w14:paraId="167E17E8" w14:textId="77777777" w:rsidTr="00105BC5">
        <w:trPr>
          <w:trHeight w:val="300"/>
        </w:trPr>
        <w:tc>
          <w:tcPr>
            <w:tcW w:w="444" w:type="pct"/>
            <w:shd w:val="clear" w:color="auto" w:fill="auto"/>
            <w:vAlign w:val="center"/>
            <w:hideMark/>
          </w:tcPr>
          <w:p w14:paraId="24D7C250" w14:textId="77777777" w:rsidR="00F73A38" w:rsidRPr="008F1D81" w:rsidRDefault="00F73A38" w:rsidP="00105BC5">
            <w:pPr>
              <w:rPr>
                <w:color w:val="000000"/>
                <w:lang w:val="en-US"/>
              </w:rPr>
            </w:pPr>
            <w:r w:rsidRPr="008F1D81">
              <w:rPr>
                <w:color w:val="000000"/>
                <w:lang w:val="en-US"/>
              </w:rPr>
              <w:lastRenderedPageBreak/>
              <w:t>CG14</w:t>
            </w:r>
          </w:p>
        </w:tc>
        <w:tc>
          <w:tcPr>
            <w:tcW w:w="4556" w:type="pct"/>
            <w:shd w:val="clear" w:color="auto" w:fill="auto"/>
            <w:noWrap/>
            <w:vAlign w:val="bottom"/>
            <w:hideMark/>
          </w:tcPr>
          <w:p w14:paraId="044642D2" w14:textId="77777777" w:rsidR="00F73A38" w:rsidRPr="008F1D81" w:rsidRDefault="00F73A38" w:rsidP="00105BC5">
            <w:pPr>
              <w:rPr>
                <w:color w:val="000000"/>
                <w:lang w:val="en-US"/>
              </w:rPr>
            </w:pPr>
            <w:r w:rsidRPr="008F1D81">
              <w:rPr>
                <w:color w:val="000000"/>
                <w:lang w:val="en-US"/>
              </w:rPr>
              <w:t xml:space="preserve">Alte </w:t>
            </w:r>
            <w:proofErr w:type="spellStart"/>
            <w:r w:rsidRPr="008F1D81">
              <w:rPr>
                <w:color w:val="000000"/>
                <w:lang w:val="en-US"/>
              </w:rPr>
              <w:t>măsuri</w:t>
            </w:r>
            <w:proofErr w:type="spellEnd"/>
            <w:r w:rsidRPr="008F1D81">
              <w:rPr>
                <w:color w:val="000000"/>
                <w:lang w:val="en-US"/>
              </w:rPr>
              <w:t xml:space="preserve"> </w:t>
            </w:r>
            <w:proofErr w:type="spellStart"/>
            <w:r w:rsidRPr="008F1D81">
              <w:rPr>
                <w:color w:val="000000"/>
                <w:lang w:val="en-US"/>
              </w:rPr>
              <w:t>pentru</w:t>
            </w:r>
            <w:proofErr w:type="spellEnd"/>
            <w:r w:rsidRPr="008F1D81">
              <w:rPr>
                <w:color w:val="000000"/>
                <w:lang w:val="en-US"/>
              </w:rPr>
              <w:t xml:space="preserve"> </w:t>
            </w:r>
            <w:proofErr w:type="spellStart"/>
            <w:r w:rsidRPr="008F1D81">
              <w:rPr>
                <w:color w:val="000000"/>
                <w:lang w:val="en-US"/>
              </w:rPr>
              <w:t>reducerea</w:t>
            </w:r>
            <w:proofErr w:type="spellEnd"/>
            <w:r w:rsidRPr="008F1D81">
              <w:rPr>
                <w:color w:val="000000"/>
                <w:lang w:val="en-US"/>
              </w:rPr>
              <w:t xml:space="preserve"> </w:t>
            </w:r>
            <w:proofErr w:type="spellStart"/>
            <w:r w:rsidRPr="008F1D81">
              <w:rPr>
                <w:color w:val="000000"/>
                <w:lang w:val="en-US"/>
              </w:rPr>
              <w:t>impactului</w:t>
            </w:r>
            <w:proofErr w:type="spellEnd"/>
            <w:r w:rsidRPr="008F1D81">
              <w:rPr>
                <w:color w:val="000000"/>
                <w:lang w:val="en-US"/>
              </w:rPr>
              <w:t xml:space="preserve"> </w:t>
            </w:r>
            <w:proofErr w:type="spellStart"/>
            <w:r w:rsidRPr="008F1D81">
              <w:rPr>
                <w:color w:val="000000"/>
                <w:lang w:val="en-US"/>
              </w:rPr>
              <w:t>infrastructurilor</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exploatării</w:t>
            </w:r>
            <w:proofErr w:type="spellEnd"/>
            <w:r w:rsidRPr="008F1D81">
              <w:rPr>
                <w:color w:val="000000"/>
                <w:lang w:val="en-US"/>
              </w:rPr>
              <w:t xml:space="preserve"> din </w:t>
            </w:r>
            <w:proofErr w:type="spellStart"/>
            <w:r w:rsidRPr="008F1D81">
              <w:rPr>
                <w:color w:val="000000"/>
                <w:lang w:val="en-US"/>
              </w:rPr>
              <w:t>acvacultura</w:t>
            </w:r>
            <w:proofErr w:type="spellEnd"/>
            <w:r w:rsidRPr="008F1D81">
              <w:rPr>
                <w:color w:val="000000"/>
                <w:lang w:val="en-US"/>
              </w:rPr>
              <w:t xml:space="preserve"> din </w:t>
            </w:r>
            <w:proofErr w:type="spellStart"/>
            <w:r w:rsidRPr="008F1D81">
              <w:rPr>
                <w:color w:val="000000"/>
                <w:lang w:val="en-US"/>
              </w:rPr>
              <w:t>apele</w:t>
            </w:r>
            <w:proofErr w:type="spellEnd"/>
            <w:r w:rsidRPr="008F1D81">
              <w:rPr>
                <w:color w:val="000000"/>
                <w:lang w:val="en-US"/>
              </w:rPr>
              <w:t xml:space="preserve"> </w:t>
            </w:r>
            <w:proofErr w:type="spellStart"/>
            <w:r w:rsidRPr="008F1D81">
              <w:rPr>
                <w:color w:val="000000"/>
                <w:lang w:val="en-US"/>
              </w:rPr>
              <w:t>dulci</w:t>
            </w:r>
            <w:proofErr w:type="spellEnd"/>
          </w:p>
        </w:tc>
      </w:tr>
      <w:tr w:rsidR="00F73A38" w:rsidRPr="008F1D81" w14:paraId="428B22EB" w14:textId="77777777" w:rsidTr="00105BC5">
        <w:trPr>
          <w:trHeight w:val="300"/>
        </w:trPr>
        <w:tc>
          <w:tcPr>
            <w:tcW w:w="444" w:type="pct"/>
            <w:shd w:val="clear" w:color="auto" w:fill="auto"/>
            <w:vAlign w:val="center"/>
            <w:hideMark/>
          </w:tcPr>
          <w:p w14:paraId="7E67D9CC" w14:textId="77777777" w:rsidR="00F73A38" w:rsidRPr="008F1D81" w:rsidRDefault="00F73A38" w:rsidP="00105BC5">
            <w:pPr>
              <w:rPr>
                <w:color w:val="000000"/>
                <w:lang w:val="en-US"/>
              </w:rPr>
            </w:pPr>
            <w:r w:rsidRPr="008F1D81">
              <w:rPr>
                <w:color w:val="000000"/>
                <w:lang w:val="en-US"/>
              </w:rPr>
              <w:t>CG15</w:t>
            </w:r>
          </w:p>
        </w:tc>
        <w:tc>
          <w:tcPr>
            <w:tcW w:w="4556" w:type="pct"/>
            <w:shd w:val="clear" w:color="auto" w:fill="auto"/>
            <w:noWrap/>
            <w:vAlign w:val="bottom"/>
            <w:hideMark/>
          </w:tcPr>
          <w:p w14:paraId="711B61FD" w14:textId="77777777" w:rsidR="00F73A38" w:rsidRPr="008F1D81" w:rsidRDefault="00F73A38" w:rsidP="00105BC5">
            <w:pPr>
              <w:rPr>
                <w:color w:val="000000"/>
                <w:lang w:val="en-US"/>
              </w:rPr>
            </w:pPr>
            <w:r w:rsidRPr="008F1D81">
              <w:rPr>
                <w:color w:val="000000"/>
                <w:lang w:val="en-US"/>
              </w:rPr>
              <w:t xml:space="preserve">Alte </w:t>
            </w:r>
            <w:proofErr w:type="spellStart"/>
            <w:r w:rsidRPr="008F1D81">
              <w:rPr>
                <w:color w:val="000000"/>
                <w:lang w:val="en-US"/>
              </w:rPr>
              <w:t>măsuri</w:t>
            </w:r>
            <w:proofErr w:type="spellEnd"/>
            <w:r w:rsidRPr="008F1D81">
              <w:rPr>
                <w:color w:val="000000"/>
                <w:lang w:val="en-US"/>
              </w:rPr>
              <w:t xml:space="preserve"> legate de </w:t>
            </w:r>
            <w:proofErr w:type="spellStart"/>
            <w:r w:rsidRPr="008F1D81">
              <w:rPr>
                <w:color w:val="000000"/>
                <w:lang w:val="en-US"/>
              </w:rPr>
              <w:t>exploatarea</w:t>
            </w:r>
            <w:proofErr w:type="spellEnd"/>
            <w:r w:rsidRPr="008F1D81">
              <w:rPr>
                <w:color w:val="000000"/>
                <w:lang w:val="en-US"/>
              </w:rPr>
              <w:t xml:space="preserve"> </w:t>
            </w:r>
            <w:proofErr w:type="spellStart"/>
            <w:r w:rsidRPr="008F1D81">
              <w:rPr>
                <w:color w:val="000000"/>
                <w:lang w:val="en-US"/>
              </w:rPr>
              <w:t>speciilor</w:t>
            </w:r>
            <w:proofErr w:type="spellEnd"/>
          </w:p>
        </w:tc>
      </w:tr>
      <w:tr w:rsidR="00F73A38" w:rsidRPr="008F1D81" w14:paraId="27EF85DB" w14:textId="77777777" w:rsidTr="00105BC5">
        <w:trPr>
          <w:trHeight w:val="300"/>
        </w:trPr>
        <w:tc>
          <w:tcPr>
            <w:tcW w:w="444" w:type="pct"/>
            <w:shd w:val="clear" w:color="auto" w:fill="auto"/>
            <w:vAlign w:val="center"/>
            <w:hideMark/>
          </w:tcPr>
          <w:p w14:paraId="6EC75C86" w14:textId="77777777" w:rsidR="00F73A38" w:rsidRPr="008F1D81" w:rsidRDefault="00F73A38" w:rsidP="00105BC5">
            <w:pPr>
              <w:rPr>
                <w:color w:val="000000"/>
                <w:lang w:val="en-US"/>
              </w:rPr>
            </w:pPr>
            <w:r w:rsidRPr="008F1D81">
              <w:rPr>
                <w:color w:val="000000"/>
                <w:lang w:val="en-US"/>
              </w:rPr>
              <w:t>CH</w:t>
            </w:r>
          </w:p>
        </w:tc>
        <w:tc>
          <w:tcPr>
            <w:tcW w:w="4556" w:type="pct"/>
            <w:shd w:val="clear" w:color="auto" w:fill="auto"/>
            <w:noWrap/>
            <w:vAlign w:val="bottom"/>
            <w:hideMark/>
          </w:tcPr>
          <w:p w14:paraId="713561A2" w14:textId="77777777" w:rsidR="00F73A38" w:rsidRPr="008F1D81" w:rsidRDefault="00F73A38" w:rsidP="00105BC5">
            <w:pPr>
              <w:rPr>
                <w:color w:val="000000"/>
                <w:lang w:val="en-US"/>
              </w:rPr>
            </w:pPr>
            <w:proofErr w:type="spellStart"/>
            <w:r w:rsidRPr="008F1D81">
              <w:rPr>
                <w:color w:val="000000"/>
                <w:lang w:val="en-US"/>
              </w:rPr>
              <w:t>Măsuri</w:t>
            </w:r>
            <w:proofErr w:type="spellEnd"/>
            <w:r w:rsidRPr="008F1D81">
              <w:rPr>
                <w:color w:val="000000"/>
                <w:lang w:val="en-US"/>
              </w:rPr>
              <w:t xml:space="preserve"> legate de </w:t>
            </w:r>
            <w:proofErr w:type="spellStart"/>
            <w:r w:rsidRPr="008F1D81">
              <w:rPr>
                <w:color w:val="000000"/>
                <w:lang w:val="en-US"/>
              </w:rPr>
              <w:t>instalații</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activități</w:t>
            </w:r>
            <w:proofErr w:type="spellEnd"/>
            <w:r w:rsidRPr="008F1D81">
              <w:rPr>
                <w:color w:val="000000"/>
                <w:lang w:val="en-US"/>
              </w:rPr>
              <w:t xml:space="preserve"> </w:t>
            </w:r>
            <w:proofErr w:type="spellStart"/>
            <w:r w:rsidRPr="008F1D81">
              <w:rPr>
                <w:color w:val="000000"/>
                <w:lang w:val="en-US"/>
              </w:rPr>
              <w:t>militare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alte</w:t>
            </w:r>
            <w:proofErr w:type="spellEnd"/>
            <w:r w:rsidRPr="008F1D81">
              <w:rPr>
                <w:color w:val="000000"/>
                <w:lang w:val="en-US"/>
              </w:rPr>
              <w:t xml:space="preserve"> </w:t>
            </w:r>
            <w:proofErr w:type="spellStart"/>
            <w:r w:rsidRPr="008F1D81">
              <w:rPr>
                <w:color w:val="000000"/>
                <w:lang w:val="en-US"/>
              </w:rPr>
              <w:t>activități</w:t>
            </w:r>
            <w:proofErr w:type="spellEnd"/>
            <w:r w:rsidRPr="008F1D81">
              <w:rPr>
                <w:color w:val="000000"/>
                <w:lang w:val="en-US"/>
              </w:rPr>
              <w:t xml:space="preserve"> </w:t>
            </w:r>
            <w:proofErr w:type="spellStart"/>
            <w:r w:rsidRPr="008F1D81">
              <w:rPr>
                <w:color w:val="000000"/>
                <w:lang w:val="en-US"/>
              </w:rPr>
              <w:t>umane</w:t>
            </w:r>
            <w:proofErr w:type="spellEnd"/>
            <w:r w:rsidRPr="008F1D81">
              <w:rPr>
                <w:color w:val="000000"/>
                <w:lang w:val="en-US"/>
              </w:rPr>
              <w:t xml:space="preserve"> </w:t>
            </w:r>
            <w:proofErr w:type="spellStart"/>
            <w:r w:rsidRPr="008F1D81">
              <w:rPr>
                <w:color w:val="000000"/>
                <w:lang w:val="en-US"/>
              </w:rPr>
              <w:t>specifice</w:t>
            </w:r>
            <w:proofErr w:type="spellEnd"/>
          </w:p>
        </w:tc>
      </w:tr>
      <w:tr w:rsidR="00F73A38" w:rsidRPr="008F1D81" w14:paraId="79FDAEA1" w14:textId="77777777" w:rsidTr="00105BC5">
        <w:trPr>
          <w:trHeight w:val="300"/>
        </w:trPr>
        <w:tc>
          <w:tcPr>
            <w:tcW w:w="444" w:type="pct"/>
            <w:shd w:val="clear" w:color="auto" w:fill="auto"/>
            <w:vAlign w:val="center"/>
            <w:hideMark/>
          </w:tcPr>
          <w:p w14:paraId="2AEEDBBB" w14:textId="77777777" w:rsidR="00F73A38" w:rsidRPr="008F1D81" w:rsidRDefault="00F73A38" w:rsidP="00105BC5">
            <w:pPr>
              <w:rPr>
                <w:color w:val="000000"/>
                <w:lang w:val="en-US"/>
              </w:rPr>
            </w:pPr>
            <w:r w:rsidRPr="008F1D81">
              <w:rPr>
                <w:color w:val="000000"/>
                <w:lang w:val="en-US"/>
              </w:rPr>
              <w:t>CH01</w:t>
            </w:r>
          </w:p>
        </w:tc>
        <w:tc>
          <w:tcPr>
            <w:tcW w:w="4556" w:type="pct"/>
            <w:shd w:val="clear" w:color="auto" w:fill="auto"/>
            <w:noWrap/>
            <w:vAlign w:val="bottom"/>
            <w:hideMark/>
          </w:tcPr>
          <w:p w14:paraId="28705F1D"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w:t>
            </w:r>
            <w:proofErr w:type="spellStart"/>
            <w:r w:rsidRPr="008F1D81">
              <w:rPr>
                <w:color w:val="000000"/>
                <w:lang w:val="en-US"/>
              </w:rPr>
              <w:t>impactul</w:t>
            </w:r>
            <w:proofErr w:type="spellEnd"/>
            <w:r w:rsidRPr="008F1D81">
              <w:rPr>
                <w:color w:val="000000"/>
                <w:lang w:val="en-US"/>
              </w:rPr>
              <w:t xml:space="preserve"> </w:t>
            </w:r>
            <w:proofErr w:type="spellStart"/>
            <w:r w:rsidRPr="008F1D81">
              <w:rPr>
                <w:color w:val="000000"/>
                <w:lang w:val="en-US"/>
              </w:rPr>
              <w:t>instalațiilor</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activităților</w:t>
            </w:r>
            <w:proofErr w:type="spellEnd"/>
            <w:r w:rsidRPr="008F1D81">
              <w:rPr>
                <w:color w:val="000000"/>
                <w:lang w:val="en-US"/>
              </w:rPr>
              <w:t xml:space="preserve"> </w:t>
            </w:r>
            <w:proofErr w:type="spellStart"/>
            <w:r w:rsidRPr="008F1D81">
              <w:rPr>
                <w:color w:val="000000"/>
                <w:lang w:val="en-US"/>
              </w:rPr>
              <w:t>militare</w:t>
            </w:r>
            <w:proofErr w:type="spellEnd"/>
          </w:p>
        </w:tc>
      </w:tr>
      <w:tr w:rsidR="00F73A38" w:rsidRPr="008F1D81" w14:paraId="4320943A" w14:textId="77777777" w:rsidTr="00105BC5">
        <w:trPr>
          <w:trHeight w:val="300"/>
        </w:trPr>
        <w:tc>
          <w:tcPr>
            <w:tcW w:w="444" w:type="pct"/>
            <w:shd w:val="clear" w:color="auto" w:fill="auto"/>
            <w:vAlign w:val="center"/>
            <w:hideMark/>
          </w:tcPr>
          <w:p w14:paraId="14214130" w14:textId="77777777" w:rsidR="00F73A38" w:rsidRPr="008F1D81" w:rsidRDefault="00F73A38" w:rsidP="00105BC5">
            <w:pPr>
              <w:rPr>
                <w:color w:val="000000"/>
                <w:lang w:val="en-US"/>
              </w:rPr>
            </w:pPr>
            <w:r w:rsidRPr="008F1D81">
              <w:rPr>
                <w:color w:val="000000"/>
                <w:lang w:val="en-US"/>
              </w:rPr>
              <w:t>CH02</w:t>
            </w:r>
          </w:p>
        </w:tc>
        <w:tc>
          <w:tcPr>
            <w:tcW w:w="4556" w:type="pct"/>
            <w:shd w:val="clear" w:color="auto" w:fill="auto"/>
            <w:noWrap/>
            <w:vAlign w:val="bottom"/>
            <w:hideMark/>
          </w:tcPr>
          <w:p w14:paraId="5ACE9B16" w14:textId="77777777" w:rsidR="00F73A38" w:rsidRPr="008F1D81" w:rsidRDefault="00F73A38" w:rsidP="00105BC5">
            <w:pPr>
              <w:rPr>
                <w:color w:val="000000"/>
                <w:lang w:val="en-US"/>
              </w:rPr>
            </w:pPr>
            <w:proofErr w:type="spellStart"/>
            <w:r w:rsidRPr="008F1D81">
              <w:rPr>
                <w:color w:val="000000"/>
                <w:lang w:val="en-US"/>
              </w:rPr>
              <w:t>Adaptarea</w:t>
            </w:r>
            <w:proofErr w:type="spellEnd"/>
            <w:r w:rsidRPr="008F1D81">
              <w:rPr>
                <w:color w:val="000000"/>
                <w:lang w:val="en-US"/>
              </w:rPr>
              <w:t xml:space="preserve"> / </w:t>
            </w:r>
            <w:proofErr w:type="spellStart"/>
            <w:r w:rsidRPr="008F1D81">
              <w:rPr>
                <w:color w:val="000000"/>
                <w:lang w:val="en-US"/>
              </w:rPr>
              <w:t>menținerea</w:t>
            </w:r>
            <w:proofErr w:type="spellEnd"/>
            <w:r w:rsidRPr="008F1D81">
              <w:rPr>
                <w:color w:val="000000"/>
                <w:lang w:val="en-US"/>
              </w:rPr>
              <w:t xml:space="preserve"> </w:t>
            </w:r>
            <w:proofErr w:type="spellStart"/>
            <w:r w:rsidRPr="008F1D81">
              <w:rPr>
                <w:color w:val="000000"/>
                <w:lang w:val="en-US"/>
              </w:rPr>
              <w:t>activităților</w:t>
            </w:r>
            <w:proofErr w:type="spellEnd"/>
            <w:r w:rsidRPr="008F1D81">
              <w:rPr>
                <w:color w:val="000000"/>
                <w:lang w:val="en-US"/>
              </w:rPr>
              <w:t xml:space="preserve"> </w:t>
            </w:r>
            <w:proofErr w:type="spellStart"/>
            <w:r w:rsidRPr="008F1D81">
              <w:rPr>
                <w:color w:val="000000"/>
                <w:lang w:val="en-US"/>
              </w:rPr>
              <w:t>militare</w:t>
            </w:r>
            <w:proofErr w:type="spellEnd"/>
          </w:p>
        </w:tc>
      </w:tr>
      <w:tr w:rsidR="00F73A38" w:rsidRPr="008F1D81" w14:paraId="2E8C30B9" w14:textId="77777777" w:rsidTr="00105BC5">
        <w:trPr>
          <w:trHeight w:val="300"/>
        </w:trPr>
        <w:tc>
          <w:tcPr>
            <w:tcW w:w="444" w:type="pct"/>
            <w:shd w:val="clear" w:color="auto" w:fill="auto"/>
            <w:vAlign w:val="center"/>
            <w:hideMark/>
          </w:tcPr>
          <w:p w14:paraId="53E34ADD" w14:textId="77777777" w:rsidR="00F73A38" w:rsidRPr="008F1D81" w:rsidRDefault="00F73A38" w:rsidP="00105BC5">
            <w:pPr>
              <w:rPr>
                <w:color w:val="000000"/>
                <w:lang w:val="en-US"/>
              </w:rPr>
            </w:pPr>
            <w:r w:rsidRPr="008F1D81">
              <w:rPr>
                <w:color w:val="000000"/>
                <w:lang w:val="en-US"/>
              </w:rPr>
              <w:t>CH03</w:t>
            </w:r>
          </w:p>
        </w:tc>
        <w:tc>
          <w:tcPr>
            <w:tcW w:w="4556" w:type="pct"/>
            <w:shd w:val="clear" w:color="auto" w:fill="auto"/>
            <w:noWrap/>
            <w:vAlign w:val="bottom"/>
            <w:hideMark/>
          </w:tcPr>
          <w:p w14:paraId="51BBD94D"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w:t>
            </w:r>
            <w:proofErr w:type="spellStart"/>
            <w:r w:rsidRPr="008F1D81">
              <w:rPr>
                <w:color w:val="000000"/>
                <w:lang w:val="en-US"/>
              </w:rPr>
              <w:t>impactul</w:t>
            </w:r>
            <w:proofErr w:type="spellEnd"/>
            <w:r w:rsidRPr="008F1D81">
              <w:rPr>
                <w:color w:val="000000"/>
                <w:lang w:val="en-US"/>
              </w:rPr>
              <w:t xml:space="preserve"> </w:t>
            </w:r>
            <w:proofErr w:type="spellStart"/>
            <w:r w:rsidRPr="008F1D81">
              <w:rPr>
                <w:color w:val="000000"/>
                <w:lang w:val="en-US"/>
              </w:rPr>
              <w:t>altor</w:t>
            </w:r>
            <w:proofErr w:type="spellEnd"/>
            <w:r w:rsidRPr="008F1D81">
              <w:rPr>
                <w:color w:val="000000"/>
                <w:lang w:val="en-US"/>
              </w:rPr>
              <w:t xml:space="preserve"> </w:t>
            </w:r>
            <w:proofErr w:type="spellStart"/>
            <w:r w:rsidRPr="008F1D81">
              <w:rPr>
                <w:color w:val="000000"/>
                <w:lang w:val="en-US"/>
              </w:rPr>
              <w:t>acțiuni</w:t>
            </w:r>
            <w:proofErr w:type="spellEnd"/>
            <w:r w:rsidRPr="008F1D81">
              <w:rPr>
                <w:color w:val="000000"/>
                <w:lang w:val="en-US"/>
              </w:rPr>
              <w:t xml:space="preserve"> </w:t>
            </w:r>
            <w:proofErr w:type="spellStart"/>
            <w:r w:rsidRPr="008F1D81">
              <w:rPr>
                <w:color w:val="000000"/>
                <w:lang w:val="en-US"/>
              </w:rPr>
              <w:t>umane</w:t>
            </w:r>
            <w:proofErr w:type="spellEnd"/>
            <w:r w:rsidRPr="008F1D81">
              <w:rPr>
                <w:color w:val="000000"/>
                <w:lang w:val="en-US"/>
              </w:rPr>
              <w:t xml:space="preserve"> </w:t>
            </w:r>
            <w:proofErr w:type="spellStart"/>
            <w:r w:rsidRPr="008F1D81">
              <w:rPr>
                <w:color w:val="000000"/>
                <w:lang w:val="en-US"/>
              </w:rPr>
              <w:t>specifice</w:t>
            </w:r>
            <w:proofErr w:type="spellEnd"/>
          </w:p>
        </w:tc>
      </w:tr>
      <w:tr w:rsidR="00F73A38" w:rsidRPr="008F1D81" w14:paraId="7A8B01C3" w14:textId="77777777" w:rsidTr="00105BC5">
        <w:trPr>
          <w:trHeight w:val="300"/>
        </w:trPr>
        <w:tc>
          <w:tcPr>
            <w:tcW w:w="444" w:type="pct"/>
            <w:shd w:val="clear" w:color="auto" w:fill="auto"/>
            <w:vAlign w:val="center"/>
            <w:hideMark/>
          </w:tcPr>
          <w:p w14:paraId="5335E333" w14:textId="77777777" w:rsidR="00F73A38" w:rsidRPr="008F1D81" w:rsidRDefault="00F73A38" w:rsidP="00105BC5">
            <w:pPr>
              <w:rPr>
                <w:color w:val="000000"/>
                <w:lang w:val="en-US"/>
              </w:rPr>
            </w:pPr>
            <w:r w:rsidRPr="008F1D81">
              <w:rPr>
                <w:color w:val="000000"/>
                <w:lang w:val="en-US"/>
              </w:rPr>
              <w:t>CI</w:t>
            </w:r>
          </w:p>
        </w:tc>
        <w:tc>
          <w:tcPr>
            <w:tcW w:w="4556" w:type="pct"/>
            <w:shd w:val="clear" w:color="auto" w:fill="auto"/>
            <w:noWrap/>
            <w:hideMark/>
          </w:tcPr>
          <w:p w14:paraId="555A0BFE" w14:textId="77777777" w:rsidR="00F73A38" w:rsidRPr="008F1D81" w:rsidRDefault="00F73A38" w:rsidP="00105BC5">
            <w:r w:rsidRPr="008F1D81">
              <w:t>Măsuri legate de speciile exotice și native problematice</w:t>
            </w:r>
          </w:p>
        </w:tc>
      </w:tr>
      <w:tr w:rsidR="00F73A38" w:rsidRPr="008F1D81" w14:paraId="7CFF63BE" w14:textId="77777777" w:rsidTr="00105BC5">
        <w:trPr>
          <w:trHeight w:val="300"/>
        </w:trPr>
        <w:tc>
          <w:tcPr>
            <w:tcW w:w="444" w:type="pct"/>
            <w:shd w:val="clear" w:color="auto" w:fill="auto"/>
            <w:vAlign w:val="center"/>
            <w:hideMark/>
          </w:tcPr>
          <w:p w14:paraId="41CF84A9" w14:textId="77777777" w:rsidR="00F73A38" w:rsidRPr="008F1D81" w:rsidRDefault="00F73A38" w:rsidP="00105BC5">
            <w:pPr>
              <w:rPr>
                <w:color w:val="000000"/>
                <w:lang w:val="en-US"/>
              </w:rPr>
            </w:pPr>
            <w:r w:rsidRPr="008F1D81">
              <w:rPr>
                <w:color w:val="000000"/>
                <w:lang w:val="en-US"/>
              </w:rPr>
              <w:t>CI01</w:t>
            </w:r>
          </w:p>
        </w:tc>
        <w:tc>
          <w:tcPr>
            <w:tcW w:w="4556" w:type="pct"/>
            <w:shd w:val="clear" w:color="auto" w:fill="auto"/>
            <w:noWrap/>
            <w:hideMark/>
          </w:tcPr>
          <w:p w14:paraId="512113BF" w14:textId="77777777" w:rsidR="00F73A38" w:rsidRPr="008F1D81" w:rsidRDefault="00F73A38" w:rsidP="00105BC5">
            <w:r w:rsidRPr="008F1D81">
              <w:t>Detectarea precoce și eradicarea rapidă a speciilor invazive exotice care privesc Uniunea Europeana</w:t>
            </w:r>
          </w:p>
        </w:tc>
      </w:tr>
      <w:tr w:rsidR="00F73A38" w:rsidRPr="008F1D81" w14:paraId="6D2B0635" w14:textId="77777777" w:rsidTr="00105BC5">
        <w:trPr>
          <w:trHeight w:val="300"/>
        </w:trPr>
        <w:tc>
          <w:tcPr>
            <w:tcW w:w="444" w:type="pct"/>
            <w:shd w:val="clear" w:color="auto" w:fill="auto"/>
            <w:vAlign w:val="center"/>
            <w:hideMark/>
          </w:tcPr>
          <w:p w14:paraId="6CA27CA9" w14:textId="77777777" w:rsidR="00F73A38" w:rsidRPr="008F1D81" w:rsidRDefault="00F73A38" w:rsidP="00105BC5">
            <w:pPr>
              <w:rPr>
                <w:color w:val="000000"/>
                <w:lang w:val="en-US"/>
              </w:rPr>
            </w:pPr>
            <w:r w:rsidRPr="008F1D81">
              <w:rPr>
                <w:color w:val="000000"/>
                <w:lang w:val="en-US"/>
              </w:rPr>
              <w:t>CI02</w:t>
            </w:r>
          </w:p>
        </w:tc>
        <w:tc>
          <w:tcPr>
            <w:tcW w:w="4556" w:type="pct"/>
            <w:shd w:val="clear" w:color="auto" w:fill="auto"/>
            <w:noWrap/>
            <w:hideMark/>
          </w:tcPr>
          <w:p w14:paraId="30955D5A" w14:textId="77777777" w:rsidR="00F73A38" w:rsidRPr="008F1D81" w:rsidRDefault="00F73A38" w:rsidP="00105BC5">
            <w:r w:rsidRPr="008F1D81">
              <w:t>Gestionarea, controlul sau eradicarea speciilor  invazive exotice stabilite la  nivelul Uniunii Europene</w:t>
            </w:r>
          </w:p>
        </w:tc>
      </w:tr>
      <w:tr w:rsidR="00F73A38" w:rsidRPr="008F1D81" w14:paraId="37D0FCBE" w14:textId="77777777" w:rsidTr="00105BC5">
        <w:trPr>
          <w:trHeight w:val="300"/>
        </w:trPr>
        <w:tc>
          <w:tcPr>
            <w:tcW w:w="444" w:type="pct"/>
            <w:shd w:val="clear" w:color="auto" w:fill="auto"/>
            <w:vAlign w:val="center"/>
            <w:hideMark/>
          </w:tcPr>
          <w:p w14:paraId="269A0828" w14:textId="77777777" w:rsidR="00F73A38" w:rsidRPr="008F1D81" w:rsidRDefault="00F73A38" w:rsidP="00105BC5">
            <w:pPr>
              <w:rPr>
                <w:color w:val="000000"/>
                <w:lang w:val="en-US"/>
              </w:rPr>
            </w:pPr>
            <w:r w:rsidRPr="008F1D81">
              <w:rPr>
                <w:color w:val="000000"/>
                <w:lang w:val="en-US"/>
              </w:rPr>
              <w:t>CI03</w:t>
            </w:r>
          </w:p>
        </w:tc>
        <w:tc>
          <w:tcPr>
            <w:tcW w:w="4556" w:type="pct"/>
            <w:shd w:val="clear" w:color="auto" w:fill="auto"/>
            <w:noWrap/>
            <w:hideMark/>
          </w:tcPr>
          <w:p w14:paraId="7E37A565" w14:textId="77777777" w:rsidR="00F73A38" w:rsidRPr="008F1D81" w:rsidRDefault="00F73A38" w:rsidP="00105BC5">
            <w:r w:rsidRPr="008F1D81">
              <w:t>Managementul, controlul sau eradicarea altor specii exotice</w:t>
            </w:r>
          </w:p>
        </w:tc>
      </w:tr>
      <w:tr w:rsidR="00F73A38" w:rsidRPr="008F1D81" w14:paraId="47FC8C33" w14:textId="77777777" w:rsidTr="00105BC5">
        <w:trPr>
          <w:trHeight w:val="300"/>
        </w:trPr>
        <w:tc>
          <w:tcPr>
            <w:tcW w:w="444" w:type="pct"/>
            <w:shd w:val="clear" w:color="auto" w:fill="auto"/>
            <w:vAlign w:val="center"/>
            <w:hideMark/>
          </w:tcPr>
          <w:p w14:paraId="677CD1F9" w14:textId="77777777" w:rsidR="00F73A38" w:rsidRPr="008F1D81" w:rsidRDefault="00F73A38" w:rsidP="00105BC5">
            <w:pPr>
              <w:rPr>
                <w:color w:val="000000"/>
                <w:lang w:val="en-US"/>
              </w:rPr>
            </w:pPr>
            <w:r w:rsidRPr="008F1D81">
              <w:rPr>
                <w:color w:val="000000"/>
                <w:lang w:val="en-US"/>
              </w:rPr>
              <w:t>CI04</w:t>
            </w:r>
          </w:p>
        </w:tc>
        <w:tc>
          <w:tcPr>
            <w:tcW w:w="4556" w:type="pct"/>
            <w:shd w:val="clear" w:color="auto" w:fill="auto"/>
            <w:noWrap/>
            <w:hideMark/>
          </w:tcPr>
          <w:p w14:paraId="3A902C34" w14:textId="77777777" w:rsidR="00F73A38" w:rsidRPr="008F1D81" w:rsidRDefault="00F73A38" w:rsidP="00105BC5">
            <w:r w:rsidRPr="008F1D81">
              <w:t>NU UTILIZAȚI Gestiunea, controlul sau eradicarea altor specii exotice</w:t>
            </w:r>
          </w:p>
        </w:tc>
      </w:tr>
      <w:tr w:rsidR="00F73A38" w:rsidRPr="008F1D81" w14:paraId="52219FB2" w14:textId="77777777" w:rsidTr="00105BC5">
        <w:trPr>
          <w:trHeight w:val="300"/>
        </w:trPr>
        <w:tc>
          <w:tcPr>
            <w:tcW w:w="444" w:type="pct"/>
            <w:shd w:val="clear" w:color="auto" w:fill="auto"/>
            <w:vAlign w:val="center"/>
            <w:hideMark/>
          </w:tcPr>
          <w:p w14:paraId="3E9B5B0B" w14:textId="77777777" w:rsidR="00F73A38" w:rsidRPr="008F1D81" w:rsidRDefault="00F73A38" w:rsidP="00105BC5">
            <w:pPr>
              <w:rPr>
                <w:color w:val="000000"/>
                <w:lang w:val="en-US"/>
              </w:rPr>
            </w:pPr>
            <w:r w:rsidRPr="008F1D81">
              <w:rPr>
                <w:color w:val="000000"/>
                <w:lang w:val="en-US"/>
              </w:rPr>
              <w:t>CI05</w:t>
            </w:r>
          </w:p>
        </w:tc>
        <w:tc>
          <w:tcPr>
            <w:tcW w:w="4556" w:type="pct"/>
            <w:shd w:val="clear" w:color="auto" w:fill="auto"/>
            <w:noWrap/>
            <w:hideMark/>
          </w:tcPr>
          <w:p w14:paraId="690078A7" w14:textId="77777777" w:rsidR="00F73A38" w:rsidRPr="008F1D81" w:rsidRDefault="00F73A38" w:rsidP="00105BC5">
            <w:r w:rsidRPr="008F1D81">
              <w:t>Managementul speciilor native problematice</w:t>
            </w:r>
          </w:p>
        </w:tc>
      </w:tr>
      <w:tr w:rsidR="00F73A38" w:rsidRPr="008F1D81" w14:paraId="3F080030" w14:textId="77777777" w:rsidTr="00105BC5">
        <w:trPr>
          <w:trHeight w:val="300"/>
        </w:trPr>
        <w:tc>
          <w:tcPr>
            <w:tcW w:w="444" w:type="pct"/>
            <w:shd w:val="clear" w:color="auto" w:fill="auto"/>
            <w:vAlign w:val="center"/>
            <w:hideMark/>
          </w:tcPr>
          <w:p w14:paraId="6EF84142" w14:textId="77777777" w:rsidR="00F73A38" w:rsidRPr="008F1D81" w:rsidRDefault="00F73A38" w:rsidP="00105BC5">
            <w:pPr>
              <w:rPr>
                <w:color w:val="000000"/>
                <w:lang w:val="en-US"/>
              </w:rPr>
            </w:pPr>
            <w:r w:rsidRPr="008F1D81">
              <w:rPr>
                <w:color w:val="000000"/>
                <w:lang w:val="en-US"/>
              </w:rPr>
              <w:t>CI06</w:t>
            </w:r>
          </w:p>
        </w:tc>
        <w:tc>
          <w:tcPr>
            <w:tcW w:w="4556" w:type="pct"/>
            <w:shd w:val="clear" w:color="auto" w:fill="auto"/>
            <w:noWrap/>
            <w:hideMark/>
          </w:tcPr>
          <w:p w14:paraId="44EC79C3" w14:textId="77777777" w:rsidR="00F73A38" w:rsidRPr="008F1D81" w:rsidRDefault="00F73A38" w:rsidP="00105BC5">
            <w:r w:rsidRPr="008F1D81">
              <w:t>Alte măsuri legate de speciile problematice</w:t>
            </w:r>
          </w:p>
        </w:tc>
      </w:tr>
      <w:tr w:rsidR="00F73A38" w:rsidRPr="008F1D81" w14:paraId="09EFFDBA" w14:textId="77777777" w:rsidTr="00105BC5">
        <w:trPr>
          <w:trHeight w:val="300"/>
        </w:trPr>
        <w:tc>
          <w:tcPr>
            <w:tcW w:w="444" w:type="pct"/>
            <w:shd w:val="clear" w:color="auto" w:fill="auto"/>
            <w:vAlign w:val="center"/>
            <w:hideMark/>
          </w:tcPr>
          <w:p w14:paraId="30FBFCD1" w14:textId="77777777" w:rsidR="00F73A38" w:rsidRPr="008F1D81" w:rsidRDefault="00F73A38" w:rsidP="00105BC5">
            <w:pPr>
              <w:rPr>
                <w:color w:val="000000"/>
                <w:lang w:val="en-US"/>
              </w:rPr>
            </w:pPr>
            <w:r w:rsidRPr="008F1D81">
              <w:rPr>
                <w:color w:val="000000"/>
                <w:lang w:val="en-US"/>
              </w:rPr>
              <w:t>CI07</w:t>
            </w:r>
          </w:p>
        </w:tc>
        <w:tc>
          <w:tcPr>
            <w:tcW w:w="4556" w:type="pct"/>
            <w:shd w:val="clear" w:color="auto" w:fill="auto"/>
            <w:noWrap/>
            <w:hideMark/>
          </w:tcPr>
          <w:p w14:paraId="4E1EAD6D" w14:textId="77777777" w:rsidR="00F73A38" w:rsidRPr="008F1D81" w:rsidRDefault="00F73A38" w:rsidP="00105BC5">
            <w:r w:rsidRPr="008F1D81">
              <w:t>Controlul și eradicarea bolilor plantelor și animalelor, agenților patogeni și dăunătorilor</w:t>
            </w:r>
          </w:p>
        </w:tc>
      </w:tr>
      <w:tr w:rsidR="00F73A38" w:rsidRPr="008F1D81" w14:paraId="6B2418CA" w14:textId="77777777" w:rsidTr="00105BC5">
        <w:trPr>
          <w:trHeight w:val="300"/>
        </w:trPr>
        <w:tc>
          <w:tcPr>
            <w:tcW w:w="444" w:type="pct"/>
            <w:shd w:val="clear" w:color="auto" w:fill="auto"/>
            <w:vAlign w:val="center"/>
            <w:hideMark/>
          </w:tcPr>
          <w:p w14:paraId="56E574DA" w14:textId="77777777" w:rsidR="00F73A38" w:rsidRPr="008F1D81" w:rsidRDefault="00F73A38" w:rsidP="00105BC5">
            <w:pPr>
              <w:rPr>
                <w:color w:val="000000"/>
                <w:lang w:val="en-US"/>
              </w:rPr>
            </w:pPr>
            <w:r w:rsidRPr="008F1D81">
              <w:rPr>
                <w:color w:val="000000"/>
                <w:lang w:val="en-US"/>
              </w:rPr>
              <w:t>CJ</w:t>
            </w:r>
          </w:p>
        </w:tc>
        <w:tc>
          <w:tcPr>
            <w:tcW w:w="4556" w:type="pct"/>
            <w:shd w:val="clear" w:color="auto" w:fill="auto"/>
            <w:noWrap/>
            <w:vAlign w:val="bottom"/>
            <w:hideMark/>
          </w:tcPr>
          <w:p w14:paraId="3BC0B672" w14:textId="77777777" w:rsidR="00F73A38" w:rsidRPr="008F1D81" w:rsidRDefault="00F73A38" w:rsidP="00105BC5">
            <w:pPr>
              <w:rPr>
                <w:color w:val="000000"/>
                <w:lang w:val="en-US"/>
              </w:rPr>
            </w:pPr>
            <w:proofErr w:type="spellStart"/>
            <w:r w:rsidRPr="008F1D81">
              <w:rPr>
                <w:color w:val="000000"/>
                <w:lang w:val="en-US"/>
              </w:rPr>
              <w:t>Măsuri</w:t>
            </w:r>
            <w:proofErr w:type="spellEnd"/>
            <w:r w:rsidRPr="008F1D81">
              <w:rPr>
                <w:color w:val="000000"/>
                <w:lang w:val="en-US"/>
              </w:rPr>
              <w:t xml:space="preserve"> legate de </w:t>
            </w:r>
            <w:proofErr w:type="spellStart"/>
            <w:r w:rsidRPr="008F1D81">
              <w:rPr>
                <w:color w:val="000000"/>
                <w:lang w:val="en-US"/>
              </w:rPr>
              <w:t>poluarea</w:t>
            </w:r>
            <w:proofErr w:type="spellEnd"/>
            <w:r w:rsidRPr="008F1D81">
              <w:rPr>
                <w:color w:val="000000"/>
                <w:lang w:val="en-US"/>
              </w:rPr>
              <w:t xml:space="preserve"> din </w:t>
            </w:r>
            <w:proofErr w:type="spellStart"/>
            <w:r w:rsidRPr="008F1D81">
              <w:rPr>
                <w:color w:val="000000"/>
                <w:lang w:val="en-US"/>
              </w:rPr>
              <w:t>surse</w:t>
            </w:r>
            <w:proofErr w:type="spellEnd"/>
            <w:r w:rsidRPr="008F1D81">
              <w:rPr>
                <w:color w:val="000000"/>
                <w:lang w:val="en-US"/>
              </w:rPr>
              <w:t xml:space="preserve"> </w:t>
            </w:r>
            <w:proofErr w:type="spellStart"/>
            <w:r w:rsidRPr="008F1D81">
              <w:rPr>
                <w:color w:val="000000"/>
                <w:lang w:val="en-US"/>
              </w:rPr>
              <w:t>mixte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modificări</w:t>
            </w:r>
            <w:proofErr w:type="spellEnd"/>
            <w:r w:rsidRPr="008F1D81">
              <w:rPr>
                <w:color w:val="000000"/>
                <w:lang w:val="en-US"/>
              </w:rPr>
              <w:t xml:space="preserve"> a </w:t>
            </w:r>
            <w:proofErr w:type="spellStart"/>
            <w:r w:rsidRPr="008F1D81">
              <w:rPr>
                <w:color w:val="000000"/>
                <w:lang w:val="en-US"/>
              </w:rPr>
              <w:t>conditiilor</w:t>
            </w:r>
            <w:proofErr w:type="spellEnd"/>
            <w:r w:rsidRPr="008F1D81">
              <w:rPr>
                <w:color w:val="000000"/>
                <w:lang w:val="en-US"/>
              </w:rPr>
              <w:t xml:space="preserve"> </w:t>
            </w:r>
            <w:proofErr w:type="spellStart"/>
            <w:r w:rsidRPr="008F1D81">
              <w:rPr>
                <w:color w:val="000000"/>
                <w:lang w:val="en-US"/>
              </w:rPr>
              <w:t>hidraulice</w:t>
            </w:r>
            <w:proofErr w:type="spellEnd"/>
            <w:r w:rsidRPr="008F1D81">
              <w:rPr>
                <w:color w:val="000000"/>
                <w:lang w:val="en-US"/>
              </w:rPr>
              <w:t xml:space="preserve"> </w:t>
            </w:r>
            <w:proofErr w:type="spellStart"/>
            <w:r w:rsidRPr="008F1D81">
              <w:rPr>
                <w:color w:val="000000"/>
                <w:lang w:val="en-US"/>
              </w:rPr>
              <w:t>antropice</w:t>
            </w:r>
            <w:proofErr w:type="spellEnd"/>
            <w:r w:rsidRPr="008F1D81">
              <w:rPr>
                <w:color w:val="000000"/>
                <w:lang w:val="en-US"/>
              </w:rPr>
              <w:t xml:space="preserve"> </w:t>
            </w:r>
            <w:proofErr w:type="spellStart"/>
            <w:r w:rsidRPr="008F1D81">
              <w:rPr>
                <w:color w:val="000000"/>
                <w:lang w:val="en-US"/>
              </w:rPr>
              <w:t>pentru</w:t>
            </w:r>
            <w:proofErr w:type="spellEnd"/>
            <w:r w:rsidRPr="008F1D81">
              <w:rPr>
                <w:color w:val="000000"/>
                <w:lang w:val="en-US"/>
              </w:rPr>
              <w:t xml:space="preserve"> </w:t>
            </w:r>
            <w:proofErr w:type="spellStart"/>
            <w:r w:rsidRPr="008F1D81">
              <w:rPr>
                <w:color w:val="000000"/>
                <w:lang w:val="en-US"/>
              </w:rPr>
              <w:t>utilizări</w:t>
            </w:r>
            <w:proofErr w:type="spellEnd"/>
            <w:r w:rsidRPr="008F1D81">
              <w:rPr>
                <w:color w:val="000000"/>
                <w:lang w:val="en-US"/>
              </w:rPr>
              <w:t xml:space="preserve"> multiple</w:t>
            </w:r>
          </w:p>
        </w:tc>
      </w:tr>
      <w:tr w:rsidR="00F73A38" w:rsidRPr="008F1D81" w14:paraId="0CB78519" w14:textId="77777777" w:rsidTr="00105BC5">
        <w:trPr>
          <w:trHeight w:val="300"/>
        </w:trPr>
        <w:tc>
          <w:tcPr>
            <w:tcW w:w="444" w:type="pct"/>
            <w:shd w:val="clear" w:color="auto" w:fill="auto"/>
            <w:vAlign w:val="center"/>
            <w:hideMark/>
          </w:tcPr>
          <w:p w14:paraId="62D7F45E" w14:textId="77777777" w:rsidR="00F73A38" w:rsidRPr="008F1D81" w:rsidRDefault="00F73A38" w:rsidP="00105BC5">
            <w:pPr>
              <w:rPr>
                <w:color w:val="000000"/>
                <w:lang w:val="en-US"/>
              </w:rPr>
            </w:pPr>
            <w:r w:rsidRPr="008F1D81">
              <w:rPr>
                <w:color w:val="000000"/>
                <w:lang w:val="en-US"/>
              </w:rPr>
              <w:t>CJ01</w:t>
            </w:r>
          </w:p>
        </w:tc>
        <w:tc>
          <w:tcPr>
            <w:tcW w:w="4556" w:type="pct"/>
            <w:shd w:val="clear" w:color="auto" w:fill="auto"/>
            <w:noWrap/>
            <w:vAlign w:val="bottom"/>
            <w:hideMark/>
          </w:tcPr>
          <w:p w14:paraId="11C6A513" w14:textId="77777777" w:rsidR="00F73A38" w:rsidRPr="008F1D81" w:rsidRDefault="00F73A38" w:rsidP="00105BC5">
            <w:pPr>
              <w:rPr>
                <w:color w:val="000000"/>
                <w:lang w:val="en-US"/>
              </w:rPr>
            </w:pPr>
            <w:proofErr w:type="spellStart"/>
            <w:r w:rsidRPr="008F1D81">
              <w:rPr>
                <w:color w:val="000000"/>
                <w:lang w:val="en-US"/>
              </w:rPr>
              <w:t>Reducerea</w:t>
            </w:r>
            <w:proofErr w:type="spellEnd"/>
            <w:r w:rsidRPr="008F1D81">
              <w:rPr>
                <w:color w:val="000000"/>
                <w:lang w:val="en-US"/>
              </w:rPr>
              <w:t xml:space="preserve"> </w:t>
            </w:r>
            <w:proofErr w:type="spellStart"/>
            <w:r w:rsidRPr="008F1D81">
              <w:rPr>
                <w:color w:val="000000"/>
                <w:lang w:val="en-US"/>
              </w:rPr>
              <w:t>impactului</w:t>
            </w:r>
            <w:proofErr w:type="spellEnd"/>
            <w:r w:rsidRPr="008F1D81">
              <w:rPr>
                <w:color w:val="000000"/>
                <w:lang w:val="en-US"/>
              </w:rPr>
              <w:t xml:space="preserve"> </w:t>
            </w:r>
            <w:proofErr w:type="spellStart"/>
            <w:r w:rsidRPr="008F1D81">
              <w:rPr>
                <w:color w:val="000000"/>
                <w:lang w:val="en-US"/>
              </w:rPr>
              <w:t>poluării</w:t>
            </w:r>
            <w:proofErr w:type="spellEnd"/>
            <w:r w:rsidRPr="008F1D81">
              <w:rPr>
                <w:color w:val="000000"/>
                <w:lang w:val="en-US"/>
              </w:rPr>
              <w:t xml:space="preserve"> din </w:t>
            </w:r>
            <w:proofErr w:type="spellStart"/>
            <w:r w:rsidRPr="008F1D81">
              <w:rPr>
                <w:color w:val="000000"/>
                <w:lang w:val="en-US"/>
              </w:rPr>
              <w:t>surse</w:t>
            </w:r>
            <w:proofErr w:type="spellEnd"/>
            <w:r w:rsidRPr="008F1D81">
              <w:rPr>
                <w:color w:val="000000"/>
                <w:lang w:val="en-US"/>
              </w:rPr>
              <w:t xml:space="preserve"> </w:t>
            </w:r>
            <w:proofErr w:type="spellStart"/>
            <w:r w:rsidRPr="008F1D81">
              <w:rPr>
                <w:color w:val="000000"/>
                <w:lang w:val="en-US"/>
              </w:rPr>
              <w:t>mixte</w:t>
            </w:r>
            <w:proofErr w:type="spellEnd"/>
          </w:p>
        </w:tc>
      </w:tr>
      <w:tr w:rsidR="00F73A38" w:rsidRPr="008F1D81" w14:paraId="265DBB62" w14:textId="77777777" w:rsidTr="00105BC5">
        <w:trPr>
          <w:trHeight w:val="300"/>
        </w:trPr>
        <w:tc>
          <w:tcPr>
            <w:tcW w:w="444" w:type="pct"/>
            <w:shd w:val="clear" w:color="auto" w:fill="auto"/>
            <w:vAlign w:val="center"/>
            <w:hideMark/>
          </w:tcPr>
          <w:p w14:paraId="7779D696" w14:textId="77777777" w:rsidR="00F73A38" w:rsidRPr="008F1D81" w:rsidRDefault="00F73A38" w:rsidP="00105BC5">
            <w:pPr>
              <w:rPr>
                <w:color w:val="000000"/>
                <w:lang w:val="en-US"/>
              </w:rPr>
            </w:pPr>
            <w:r w:rsidRPr="008F1D81">
              <w:rPr>
                <w:color w:val="000000"/>
                <w:lang w:val="en-US"/>
              </w:rPr>
              <w:t>CJ02</w:t>
            </w:r>
          </w:p>
        </w:tc>
        <w:tc>
          <w:tcPr>
            <w:tcW w:w="4556" w:type="pct"/>
            <w:shd w:val="clear" w:color="auto" w:fill="auto"/>
            <w:noWrap/>
            <w:vAlign w:val="bottom"/>
            <w:hideMark/>
          </w:tcPr>
          <w:p w14:paraId="182A35C6" w14:textId="77777777" w:rsidR="00F73A38" w:rsidRPr="008F1D81" w:rsidRDefault="00F73A38" w:rsidP="00105BC5">
            <w:pPr>
              <w:rPr>
                <w:color w:val="000000"/>
                <w:lang w:val="en-US"/>
              </w:rPr>
            </w:pPr>
            <w:proofErr w:type="spellStart"/>
            <w:r w:rsidRPr="008F1D81">
              <w:rPr>
                <w:color w:val="000000"/>
                <w:lang w:val="en-US"/>
              </w:rPr>
              <w:t>Reduceți</w:t>
            </w:r>
            <w:proofErr w:type="spellEnd"/>
            <w:r w:rsidRPr="008F1D81">
              <w:rPr>
                <w:color w:val="000000"/>
                <w:lang w:val="en-US"/>
              </w:rPr>
              <w:t xml:space="preserve"> </w:t>
            </w:r>
            <w:proofErr w:type="spellStart"/>
            <w:r w:rsidRPr="008F1D81">
              <w:rPr>
                <w:color w:val="000000"/>
                <w:lang w:val="en-US"/>
              </w:rPr>
              <w:t>impactul</w:t>
            </w:r>
            <w:proofErr w:type="spellEnd"/>
            <w:r w:rsidRPr="008F1D81">
              <w:rPr>
                <w:color w:val="000000"/>
                <w:lang w:val="en-US"/>
              </w:rPr>
              <w:t xml:space="preserve"> </w:t>
            </w:r>
            <w:proofErr w:type="spellStart"/>
            <w:r w:rsidRPr="008F1D81">
              <w:rPr>
                <w:color w:val="000000"/>
                <w:lang w:val="en-US"/>
              </w:rPr>
              <w:t>modificărilor</w:t>
            </w:r>
            <w:proofErr w:type="spellEnd"/>
            <w:r w:rsidRPr="008F1D81">
              <w:rPr>
                <w:color w:val="000000"/>
                <w:lang w:val="en-US"/>
              </w:rPr>
              <w:t xml:space="preserve"> </w:t>
            </w:r>
            <w:proofErr w:type="spellStart"/>
            <w:r w:rsidRPr="008F1D81">
              <w:rPr>
                <w:color w:val="000000"/>
                <w:lang w:val="en-US"/>
              </w:rPr>
              <w:t>hidrologice</w:t>
            </w:r>
            <w:proofErr w:type="spellEnd"/>
            <w:r w:rsidRPr="008F1D81">
              <w:rPr>
                <w:color w:val="000000"/>
                <w:lang w:val="en-US"/>
              </w:rPr>
              <w:t xml:space="preserve"> </w:t>
            </w:r>
            <w:proofErr w:type="spellStart"/>
            <w:r w:rsidRPr="008F1D81">
              <w:rPr>
                <w:color w:val="000000"/>
                <w:lang w:val="en-US"/>
              </w:rPr>
              <w:t>pentru</w:t>
            </w:r>
            <w:proofErr w:type="spellEnd"/>
            <w:r w:rsidRPr="008F1D81">
              <w:rPr>
                <w:color w:val="000000"/>
                <w:lang w:val="en-US"/>
              </w:rPr>
              <w:t xml:space="preserve"> </w:t>
            </w:r>
            <w:proofErr w:type="spellStart"/>
            <w:r w:rsidRPr="008F1D81">
              <w:rPr>
                <w:color w:val="000000"/>
                <w:lang w:val="en-US"/>
              </w:rPr>
              <w:t>utilizari</w:t>
            </w:r>
            <w:proofErr w:type="spellEnd"/>
            <w:r w:rsidRPr="008F1D81">
              <w:rPr>
                <w:color w:val="000000"/>
                <w:lang w:val="en-US"/>
              </w:rPr>
              <w:t xml:space="preserve"> multiple</w:t>
            </w:r>
          </w:p>
        </w:tc>
      </w:tr>
      <w:tr w:rsidR="00F73A38" w:rsidRPr="008F1D81" w14:paraId="745B66B3" w14:textId="77777777" w:rsidTr="00105BC5">
        <w:trPr>
          <w:trHeight w:val="300"/>
        </w:trPr>
        <w:tc>
          <w:tcPr>
            <w:tcW w:w="444" w:type="pct"/>
            <w:shd w:val="clear" w:color="auto" w:fill="auto"/>
            <w:vAlign w:val="center"/>
            <w:hideMark/>
          </w:tcPr>
          <w:p w14:paraId="74EA58E5" w14:textId="77777777" w:rsidR="00F73A38" w:rsidRPr="008F1D81" w:rsidRDefault="00F73A38" w:rsidP="00105BC5">
            <w:pPr>
              <w:rPr>
                <w:color w:val="000000"/>
                <w:lang w:val="en-US"/>
              </w:rPr>
            </w:pPr>
            <w:r w:rsidRPr="008F1D81">
              <w:rPr>
                <w:color w:val="000000"/>
                <w:lang w:val="en-US"/>
              </w:rPr>
              <w:t>CJ03</w:t>
            </w:r>
          </w:p>
        </w:tc>
        <w:tc>
          <w:tcPr>
            <w:tcW w:w="4556" w:type="pct"/>
            <w:shd w:val="clear" w:color="auto" w:fill="auto"/>
            <w:noWrap/>
            <w:vAlign w:val="bottom"/>
            <w:hideMark/>
          </w:tcPr>
          <w:p w14:paraId="5D612F2B" w14:textId="77777777" w:rsidR="00F73A38" w:rsidRPr="008F1D81" w:rsidRDefault="00F73A38" w:rsidP="00105BC5">
            <w:pPr>
              <w:rPr>
                <w:color w:val="000000"/>
                <w:lang w:val="en-US"/>
              </w:rPr>
            </w:pPr>
            <w:proofErr w:type="spellStart"/>
            <w:r w:rsidRPr="008F1D81">
              <w:rPr>
                <w:color w:val="000000"/>
                <w:lang w:val="en-US"/>
              </w:rPr>
              <w:t>Restaurarea</w:t>
            </w:r>
            <w:proofErr w:type="spellEnd"/>
            <w:r w:rsidRPr="008F1D81">
              <w:rPr>
                <w:color w:val="000000"/>
                <w:lang w:val="en-US"/>
              </w:rPr>
              <w:t xml:space="preserve"> </w:t>
            </w:r>
            <w:proofErr w:type="spellStart"/>
            <w:r w:rsidRPr="008F1D81">
              <w:rPr>
                <w:color w:val="000000"/>
                <w:lang w:val="en-US"/>
              </w:rPr>
              <w:t>habitatelor</w:t>
            </w:r>
            <w:proofErr w:type="spellEnd"/>
            <w:r w:rsidRPr="008F1D81">
              <w:rPr>
                <w:color w:val="000000"/>
                <w:lang w:val="en-US"/>
              </w:rPr>
              <w:t xml:space="preserve"> </w:t>
            </w:r>
            <w:proofErr w:type="spellStart"/>
            <w:r w:rsidRPr="008F1D81">
              <w:rPr>
                <w:color w:val="000000"/>
                <w:lang w:val="en-US"/>
              </w:rPr>
              <w:t>afectate</w:t>
            </w:r>
            <w:proofErr w:type="spellEnd"/>
            <w:r w:rsidRPr="008F1D81">
              <w:rPr>
                <w:color w:val="000000"/>
                <w:lang w:val="en-US"/>
              </w:rPr>
              <w:t xml:space="preserve"> de </w:t>
            </w:r>
            <w:proofErr w:type="spellStart"/>
            <w:r w:rsidRPr="008F1D81">
              <w:rPr>
                <w:color w:val="000000"/>
                <w:lang w:val="en-US"/>
              </w:rPr>
              <w:t>modificările</w:t>
            </w:r>
            <w:proofErr w:type="spellEnd"/>
            <w:r w:rsidRPr="008F1D81">
              <w:rPr>
                <w:color w:val="000000"/>
                <w:lang w:val="en-US"/>
              </w:rPr>
              <w:t xml:space="preserve"> </w:t>
            </w:r>
            <w:proofErr w:type="spellStart"/>
            <w:r w:rsidRPr="008F1D81">
              <w:rPr>
                <w:color w:val="000000"/>
                <w:lang w:val="en-US"/>
              </w:rPr>
              <w:t>hidrologice</w:t>
            </w:r>
            <w:proofErr w:type="spellEnd"/>
            <w:r w:rsidRPr="008F1D81">
              <w:rPr>
                <w:color w:val="000000"/>
                <w:lang w:val="en-US"/>
              </w:rPr>
              <w:t xml:space="preserve"> </w:t>
            </w:r>
            <w:proofErr w:type="spellStart"/>
            <w:r w:rsidRPr="008F1D81">
              <w:rPr>
                <w:color w:val="000000"/>
                <w:lang w:val="en-US"/>
              </w:rPr>
              <w:t>pentru</w:t>
            </w:r>
            <w:proofErr w:type="spellEnd"/>
            <w:r w:rsidRPr="008F1D81">
              <w:rPr>
                <w:color w:val="000000"/>
                <w:lang w:val="en-US"/>
              </w:rPr>
              <w:t xml:space="preserve"> </w:t>
            </w:r>
            <w:proofErr w:type="spellStart"/>
            <w:r w:rsidRPr="008F1D81">
              <w:rPr>
                <w:color w:val="000000"/>
                <w:lang w:val="en-US"/>
              </w:rPr>
              <w:t>utilizari</w:t>
            </w:r>
            <w:proofErr w:type="spellEnd"/>
            <w:r w:rsidRPr="008F1D81">
              <w:rPr>
                <w:color w:val="000000"/>
                <w:lang w:val="en-US"/>
              </w:rPr>
              <w:t xml:space="preserve"> multiple</w:t>
            </w:r>
          </w:p>
        </w:tc>
      </w:tr>
      <w:tr w:rsidR="00F73A38" w:rsidRPr="008F1D81" w14:paraId="4BCEBA49" w14:textId="77777777" w:rsidTr="00105BC5">
        <w:trPr>
          <w:trHeight w:val="300"/>
        </w:trPr>
        <w:tc>
          <w:tcPr>
            <w:tcW w:w="444" w:type="pct"/>
            <w:shd w:val="clear" w:color="auto" w:fill="auto"/>
            <w:vAlign w:val="center"/>
            <w:hideMark/>
          </w:tcPr>
          <w:p w14:paraId="717FD84F" w14:textId="77777777" w:rsidR="00F73A38" w:rsidRPr="008F1D81" w:rsidRDefault="00F73A38" w:rsidP="00105BC5">
            <w:pPr>
              <w:rPr>
                <w:color w:val="000000"/>
                <w:lang w:val="en-US"/>
              </w:rPr>
            </w:pPr>
            <w:r w:rsidRPr="008F1D81">
              <w:rPr>
                <w:color w:val="000000"/>
                <w:lang w:val="en-US"/>
              </w:rPr>
              <w:t>CJ04</w:t>
            </w:r>
          </w:p>
        </w:tc>
        <w:tc>
          <w:tcPr>
            <w:tcW w:w="4556" w:type="pct"/>
            <w:shd w:val="clear" w:color="auto" w:fill="auto"/>
            <w:noWrap/>
            <w:vAlign w:val="bottom"/>
            <w:hideMark/>
          </w:tcPr>
          <w:p w14:paraId="509A557F" w14:textId="77777777" w:rsidR="00F73A38" w:rsidRPr="008F1D81" w:rsidRDefault="00F73A38" w:rsidP="00105BC5">
            <w:pPr>
              <w:rPr>
                <w:color w:val="000000"/>
                <w:lang w:val="en-US"/>
              </w:rPr>
            </w:pPr>
            <w:r w:rsidRPr="008F1D81">
              <w:rPr>
                <w:color w:val="000000"/>
                <w:lang w:val="en-US"/>
              </w:rPr>
              <w:t xml:space="preserve">Alte </w:t>
            </w:r>
            <w:proofErr w:type="spellStart"/>
            <w:r w:rsidRPr="008F1D81">
              <w:rPr>
                <w:color w:val="000000"/>
                <w:lang w:val="en-US"/>
              </w:rPr>
              <w:t>măsuri</w:t>
            </w:r>
            <w:proofErr w:type="spellEnd"/>
            <w:r w:rsidRPr="008F1D81">
              <w:rPr>
                <w:color w:val="000000"/>
                <w:lang w:val="en-US"/>
              </w:rPr>
              <w:t xml:space="preserve"> legate de </w:t>
            </w:r>
            <w:proofErr w:type="spellStart"/>
            <w:r w:rsidRPr="008F1D81">
              <w:rPr>
                <w:color w:val="000000"/>
                <w:lang w:val="en-US"/>
              </w:rPr>
              <w:t>poluarea</w:t>
            </w:r>
            <w:proofErr w:type="spellEnd"/>
            <w:r w:rsidRPr="008F1D81">
              <w:rPr>
                <w:color w:val="000000"/>
                <w:lang w:val="en-US"/>
              </w:rPr>
              <w:t xml:space="preserve"> din </w:t>
            </w:r>
            <w:proofErr w:type="spellStart"/>
            <w:r w:rsidRPr="008F1D81">
              <w:rPr>
                <w:color w:val="000000"/>
                <w:lang w:val="en-US"/>
              </w:rPr>
              <w:t>surse</w:t>
            </w:r>
            <w:proofErr w:type="spellEnd"/>
            <w:r w:rsidRPr="008F1D81">
              <w:rPr>
                <w:color w:val="000000"/>
                <w:lang w:val="en-US"/>
              </w:rPr>
              <w:t xml:space="preserve"> </w:t>
            </w:r>
            <w:proofErr w:type="spellStart"/>
            <w:r w:rsidRPr="008F1D81">
              <w:rPr>
                <w:color w:val="000000"/>
                <w:lang w:val="en-US"/>
              </w:rPr>
              <w:t>mixte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modificări</w:t>
            </w:r>
            <w:proofErr w:type="spellEnd"/>
            <w:r w:rsidRPr="008F1D81">
              <w:rPr>
                <w:color w:val="000000"/>
                <w:lang w:val="en-US"/>
              </w:rPr>
              <w:t xml:space="preserve"> </w:t>
            </w:r>
            <w:proofErr w:type="spellStart"/>
            <w:r w:rsidRPr="008F1D81">
              <w:rPr>
                <w:color w:val="000000"/>
                <w:lang w:val="en-US"/>
              </w:rPr>
              <w:t>hidraulice</w:t>
            </w:r>
            <w:proofErr w:type="spellEnd"/>
            <w:r w:rsidRPr="008F1D81">
              <w:rPr>
                <w:color w:val="000000"/>
                <w:lang w:val="en-US"/>
              </w:rPr>
              <w:t xml:space="preserve"> </w:t>
            </w:r>
            <w:proofErr w:type="spellStart"/>
            <w:r w:rsidRPr="008F1D81">
              <w:rPr>
                <w:color w:val="000000"/>
                <w:lang w:val="en-US"/>
              </w:rPr>
              <w:t>antropice</w:t>
            </w:r>
            <w:proofErr w:type="spellEnd"/>
            <w:r w:rsidRPr="008F1D81">
              <w:rPr>
                <w:color w:val="000000"/>
                <w:lang w:val="en-US"/>
              </w:rPr>
              <w:t xml:space="preserve"> </w:t>
            </w:r>
            <w:proofErr w:type="spellStart"/>
            <w:r w:rsidRPr="008F1D81">
              <w:rPr>
                <w:color w:val="000000"/>
                <w:lang w:val="en-US"/>
              </w:rPr>
              <w:t>pentru</w:t>
            </w:r>
            <w:proofErr w:type="spellEnd"/>
            <w:r w:rsidRPr="008F1D81">
              <w:rPr>
                <w:color w:val="000000"/>
                <w:lang w:val="en-US"/>
              </w:rPr>
              <w:t xml:space="preserve"> </w:t>
            </w:r>
            <w:proofErr w:type="spellStart"/>
            <w:r w:rsidRPr="008F1D81">
              <w:rPr>
                <w:color w:val="000000"/>
                <w:lang w:val="en-US"/>
              </w:rPr>
              <w:t>utilizari</w:t>
            </w:r>
            <w:proofErr w:type="spellEnd"/>
            <w:r w:rsidRPr="008F1D81">
              <w:rPr>
                <w:color w:val="000000"/>
                <w:lang w:val="en-US"/>
              </w:rPr>
              <w:t xml:space="preserve"> multiple</w:t>
            </w:r>
          </w:p>
        </w:tc>
      </w:tr>
      <w:tr w:rsidR="00F73A38" w:rsidRPr="008F1D81" w14:paraId="470402F6" w14:textId="77777777" w:rsidTr="00105BC5">
        <w:trPr>
          <w:trHeight w:val="300"/>
        </w:trPr>
        <w:tc>
          <w:tcPr>
            <w:tcW w:w="444" w:type="pct"/>
            <w:shd w:val="clear" w:color="auto" w:fill="auto"/>
            <w:vAlign w:val="center"/>
            <w:hideMark/>
          </w:tcPr>
          <w:p w14:paraId="54CD517E" w14:textId="77777777" w:rsidR="00F73A38" w:rsidRPr="008F1D81" w:rsidRDefault="00F73A38" w:rsidP="00105BC5">
            <w:pPr>
              <w:rPr>
                <w:color w:val="000000"/>
                <w:lang w:val="en-US"/>
              </w:rPr>
            </w:pPr>
            <w:r w:rsidRPr="008F1D81">
              <w:rPr>
                <w:color w:val="000000"/>
                <w:lang w:val="en-US"/>
              </w:rPr>
              <w:t>CL</w:t>
            </w:r>
          </w:p>
        </w:tc>
        <w:tc>
          <w:tcPr>
            <w:tcW w:w="4556" w:type="pct"/>
            <w:shd w:val="clear" w:color="auto" w:fill="auto"/>
            <w:noWrap/>
            <w:vAlign w:val="bottom"/>
            <w:hideMark/>
          </w:tcPr>
          <w:p w14:paraId="63BC39D8" w14:textId="77777777" w:rsidR="00F73A38" w:rsidRPr="008F1D81" w:rsidRDefault="00F73A38" w:rsidP="00105BC5">
            <w:pPr>
              <w:rPr>
                <w:color w:val="000000"/>
                <w:lang w:val="en-US"/>
              </w:rPr>
            </w:pPr>
            <w:proofErr w:type="spellStart"/>
            <w:r w:rsidRPr="008F1D81">
              <w:rPr>
                <w:color w:val="000000"/>
                <w:lang w:val="en-US"/>
              </w:rPr>
              <w:t>Măsuri</w:t>
            </w:r>
            <w:proofErr w:type="spellEnd"/>
            <w:r w:rsidRPr="008F1D81">
              <w:rPr>
                <w:color w:val="000000"/>
                <w:lang w:val="en-US"/>
              </w:rPr>
              <w:t xml:space="preserve"> legate de </w:t>
            </w:r>
            <w:proofErr w:type="spellStart"/>
            <w:r w:rsidRPr="008F1D81">
              <w:rPr>
                <w:color w:val="000000"/>
                <w:lang w:val="en-US"/>
              </w:rPr>
              <w:t>procese</w:t>
            </w:r>
            <w:proofErr w:type="spellEnd"/>
            <w:r w:rsidRPr="008F1D81">
              <w:rPr>
                <w:color w:val="000000"/>
                <w:lang w:val="en-US"/>
              </w:rPr>
              <w:t xml:space="preserve"> </w:t>
            </w:r>
            <w:proofErr w:type="spellStart"/>
            <w:r w:rsidRPr="008F1D81">
              <w:rPr>
                <w:color w:val="000000"/>
                <w:lang w:val="en-US"/>
              </w:rPr>
              <w:t>naturale</w:t>
            </w:r>
            <w:proofErr w:type="spellEnd"/>
            <w:r w:rsidRPr="008F1D81">
              <w:rPr>
                <w:color w:val="000000"/>
                <w:lang w:val="en-US"/>
              </w:rPr>
              <w:t xml:space="preserve">, </w:t>
            </w:r>
            <w:proofErr w:type="spellStart"/>
            <w:r w:rsidRPr="008F1D81">
              <w:rPr>
                <w:color w:val="000000"/>
                <w:lang w:val="en-US"/>
              </w:rPr>
              <w:t>evenimente</w:t>
            </w:r>
            <w:proofErr w:type="spellEnd"/>
            <w:r w:rsidRPr="008F1D81">
              <w:rPr>
                <w:color w:val="000000"/>
                <w:lang w:val="en-US"/>
              </w:rPr>
              <w:t xml:space="preserve"> </w:t>
            </w:r>
            <w:proofErr w:type="spellStart"/>
            <w:r w:rsidRPr="008F1D81">
              <w:rPr>
                <w:color w:val="000000"/>
                <w:lang w:val="en-US"/>
              </w:rPr>
              <w:t>geologice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catastrofe</w:t>
            </w:r>
            <w:proofErr w:type="spellEnd"/>
            <w:r w:rsidRPr="008F1D81">
              <w:rPr>
                <w:color w:val="000000"/>
                <w:lang w:val="en-US"/>
              </w:rPr>
              <w:t xml:space="preserve"> </w:t>
            </w:r>
            <w:proofErr w:type="spellStart"/>
            <w:r w:rsidRPr="008F1D81">
              <w:rPr>
                <w:color w:val="000000"/>
                <w:lang w:val="en-US"/>
              </w:rPr>
              <w:t>naturale</w:t>
            </w:r>
            <w:proofErr w:type="spellEnd"/>
          </w:p>
        </w:tc>
      </w:tr>
      <w:tr w:rsidR="00F73A38" w:rsidRPr="008F1D81" w14:paraId="4FEA20E4" w14:textId="77777777" w:rsidTr="00105BC5">
        <w:trPr>
          <w:trHeight w:val="300"/>
        </w:trPr>
        <w:tc>
          <w:tcPr>
            <w:tcW w:w="444" w:type="pct"/>
            <w:shd w:val="clear" w:color="auto" w:fill="auto"/>
            <w:vAlign w:val="center"/>
            <w:hideMark/>
          </w:tcPr>
          <w:p w14:paraId="7FF27BFE" w14:textId="77777777" w:rsidR="00F73A38" w:rsidRPr="008F1D81" w:rsidRDefault="00F73A38" w:rsidP="00105BC5">
            <w:pPr>
              <w:rPr>
                <w:color w:val="000000"/>
                <w:lang w:val="en-US"/>
              </w:rPr>
            </w:pPr>
            <w:r w:rsidRPr="008F1D81">
              <w:rPr>
                <w:color w:val="000000"/>
                <w:lang w:val="en-US"/>
              </w:rPr>
              <w:t>CL01</w:t>
            </w:r>
          </w:p>
        </w:tc>
        <w:tc>
          <w:tcPr>
            <w:tcW w:w="4556" w:type="pct"/>
            <w:shd w:val="clear" w:color="auto" w:fill="auto"/>
            <w:noWrap/>
            <w:vAlign w:val="bottom"/>
            <w:hideMark/>
          </w:tcPr>
          <w:p w14:paraId="148BBD4E" w14:textId="77777777" w:rsidR="00F73A38" w:rsidRPr="008F1D81" w:rsidRDefault="00F73A38" w:rsidP="00105BC5">
            <w:pPr>
              <w:rPr>
                <w:color w:val="000000"/>
                <w:lang w:val="en-US"/>
              </w:rPr>
            </w:pPr>
            <w:proofErr w:type="spellStart"/>
            <w:r w:rsidRPr="008F1D81">
              <w:rPr>
                <w:color w:val="000000"/>
                <w:lang w:val="en-US"/>
              </w:rPr>
              <w:t>Gestionarea</w:t>
            </w:r>
            <w:proofErr w:type="spellEnd"/>
            <w:r w:rsidRPr="008F1D81">
              <w:rPr>
                <w:color w:val="000000"/>
                <w:lang w:val="en-US"/>
              </w:rPr>
              <w:t xml:space="preserve"> </w:t>
            </w:r>
            <w:proofErr w:type="spellStart"/>
            <w:r w:rsidRPr="008F1D81">
              <w:rPr>
                <w:color w:val="000000"/>
                <w:lang w:val="en-US"/>
              </w:rPr>
              <w:t>habitatelor</w:t>
            </w:r>
            <w:proofErr w:type="spellEnd"/>
            <w:r w:rsidRPr="008F1D81">
              <w:rPr>
                <w:color w:val="000000"/>
                <w:lang w:val="en-US"/>
              </w:rPr>
              <w:t xml:space="preserve"> (</w:t>
            </w:r>
            <w:proofErr w:type="spellStart"/>
            <w:r w:rsidRPr="008F1D81">
              <w:rPr>
                <w:color w:val="000000"/>
                <w:lang w:val="en-US"/>
              </w:rPr>
              <w:t>altele</w:t>
            </w:r>
            <w:proofErr w:type="spellEnd"/>
            <w:r w:rsidRPr="008F1D81">
              <w:rPr>
                <w:color w:val="000000"/>
                <w:lang w:val="en-US"/>
              </w:rPr>
              <w:t xml:space="preserve"> </w:t>
            </w:r>
            <w:proofErr w:type="spellStart"/>
            <w:r w:rsidRPr="008F1D81">
              <w:rPr>
                <w:color w:val="000000"/>
                <w:lang w:val="en-US"/>
              </w:rPr>
              <w:t>decât</w:t>
            </w:r>
            <w:proofErr w:type="spellEnd"/>
            <w:r w:rsidRPr="008F1D81">
              <w:rPr>
                <w:color w:val="000000"/>
                <w:lang w:val="en-US"/>
              </w:rPr>
              <w:t xml:space="preserve"> </w:t>
            </w:r>
            <w:proofErr w:type="spellStart"/>
            <w:r w:rsidRPr="008F1D81">
              <w:rPr>
                <w:color w:val="000000"/>
                <w:lang w:val="en-US"/>
              </w:rPr>
              <w:t>agricole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forestiere</w:t>
            </w:r>
            <w:proofErr w:type="spellEnd"/>
            <w:r w:rsidRPr="008F1D81">
              <w:rPr>
                <w:color w:val="000000"/>
                <w:lang w:val="en-US"/>
              </w:rPr>
              <w:t xml:space="preserve">) </w:t>
            </w:r>
            <w:proofErr w:type="spellStart"/>
            <w:r w:rsidRPr="008F1D81">
              <w:rPr>
                <w:color w:val="000000"/>
                <w:lang w:val="en-US"/>
              </w:rPr>
              <w:t>pentru</w:t>
            </w:r>
            <w:proofErr w:type="spellEnd"/>
            <w:r w:rsidRPr="008F1D81">
              <w:rPr>
                <w:color w:val="000000"/>
                <w:lang w:val="en-US"/>
              </w:rPr>
              <w:t xml:space="preserve"> </w:t>
            </w:r>
            <w:proofErr w:type="spellStart"/>
            <w:r w:rsidRPr="008F1D81">
              <w:rPr>
                <w:color w:val="000000"/>
                <w:lang w:val="en-US"/>
              </w:rPr>
              <w:t>încetinirea</w:t>
            </w:r>
            <w:proofErr w:type="spellEnd"/>
            <w:r w:rsidRPr="008F1D81">
              <w:rPr>
                <w:color w:val="000000"/>
                <w:lang w:val="en-US"/>
              </w:rPr>
              <w:t xml:space="preserve">, </w:t>
            </w:r>
            <w:proofErr w:type="spellStart"/>
            <w:r w:rsidRPr="008F1D81">
              <w:rPr>
                <w:color w:val="000000"/>
                <w:lang w:val="en-US"/>
              </w:rPr>
              <w:t>oprirea</w:t>
            </w:r>
            <w:proofErr w:type="spellEnd"/>
            <w:r w:rsidRPr="008F1D81">
              <w:rPr>
                <w:color w:val="000000"/>
                <w:lang w:val="en-US"/>
              </w:rPr>
              <w:t xml:space="preserve"> </w:t>
            </w:r>
            <w:proofErr w:type="spellStart"/>
            <w:r w:rsidRPr="008F1D81">
              <w:rPr>
                <w:color w:val="000000"/>
                <w:lang w:val="en-US"/>
              </w:rPr>
              <w:t>sau</w:t>
            </w:r>
            <w:proofErr w:type="spellEnd"/>
            <w:r w:rsidRPr="008F1D81">
              <w:rPr>
                <w:color w:val="000000"/>
                <w:lang w:val="en-US"/>
              </w:rPr>
              <w:t xml:space="preserve"> </w:t>
            </w:r>
            <w:proofErr w:type="spellStart"/>
            <w:r w:rsidRPr="008F1D81">
              <w:rPr>
                <w:color w:val="000000"/>
                <w:lang w:val="en-US"/>
              </w:rPr>
              <w:t>inversarea</w:t>
            </w:r>
            <w:proofErr w:type="spellEnd"/>
            <w:r w:rsidRPr="008F1D81">
              <w:rPr>
                <w:color w:val="000000"/>
                <w:lang w:val="en-US"/>
              </w:rPr>
              <w:t xml:space="preserve"> </w:t>
            </w:r>
            <w:proofErr w:type="spellStart"/>
            <w:r w:rsidRPr="008F1D81">
              <w:rPr>
                <w:color w:val="000000"/>
                <w:lang w:val="en-US"/>
              </w:rPr>
              <w:t>proceselor</w:t>
            </w:r>
            <w:proofErr w:type="spellEnd"/>
            <w:r w:rsidRPr="008F1D81">
              <w:rPr>
                <w:color w:val="000000"/>
                <w:lang w:val="en-US"/>
              </w:rPr>
              <w:t xml:space="preserve"> </w:t>
            </w:r>
            <w:proofErr w:type="spellStart"/>
            <w:r w:rsidRPr="008F1D81">
              <w:rPr>
                <w:color w:val="000000"/>
                <w:lang w:val="en-US"/>
              </w:rPr>
              <w:t>naturale</w:t>
            </w:r>
            <w:proofErr w:type="spellEnd"/>
          </w:p>
        </w:tc>
      </w:tr>
      <w:tr w:rsidR="00F73A38" w:rsidRPr="008F1D81" w14:paraId="0315F202" w14:textId="77777777" w:rsidTr="00105BC5">
        <w:trPr>
          <w:trHeight w:val="300"/>
        </w:trPr>
        <w:tc>
          <w:tcPr>
            <w:tcW w:w="444" w:type="pct"/>
            <w:shd w:val="clear" w:color="auto" w:fill="auto"/>
            <w:vAlign w:val="center"/>
            <w:hideMark/>
          </w:tcPr>
          <w:p w14:paraId="63FCB693" w14:textId="77777777" w:rsidR="00F73A38" w:rsidRPr="008F1D81" w:rsidRDefault="00F73A38" w:rsidP="00105BC5">
            <w:pPr>
              <w:rPr>
                <w:color w:val="000000"/>
                <w:lang w:val="en-US"/>
              </w:rPr>
            </w:pPr>
            <w:r w:rsidRPr="008F1D81">
              <w:rPr>
                <w:color w:val="000000"/>
                <w:lang w:val="en-US"/>
              </w:rPr>
              <w:t>CL02</w:t>
            </w:r>
          </w:p>
        </w:tc>
        <w:tc>
          <w:tcPr>
            <w:tcW w:w="4556" w:type="pct"/>
            <w:shd w:val="clear" w:color="auto" w:fill="auto"/>
            <w:noWrap/>
            <w:vAlign w:val="bottom"/>
            <w:hideMark/>
          </w:tcPr>
          <w:p w14:paraId="70F506E2" w14:textId="77777777" w:rsidR="00F73A38" w:rsidRPr="008F1D81" w:rsidRDefault="00F73A38" w:rsidP="00105BC5">
            <w:pPr>
              <w:rPr>
                <w:color w:val="000000"/>
                <w:lang w:val="en-US"/>
              </w:rPr>
            </w:pPr>
            <w:proofErr w:type="spellStart"/>
            <w:r w:rsidRPr="008F1D81">
              <w:rPr>
                <w:color w:val="000000"/>
                <w:lang w:val="en-US"/>
              </w:rPr>
              <w:t>Minimizarea</w:t>
            </w:r>
            <w:proofErr w:type="spellEnd"/>
            <w:r w:rsidRPr="008F1D81">
              <w:rPr>
                <w:color w:val="000000"/>
                <w:lang w:val="en-US"/>
              </w:rPr>
              <w:t xml:space="preserve"> / </w:t>
            </w:r>
            <w:proofErr w:type="spellStart"/>
            <w:r w:rsidRPr="008F1D81">
              <w:rPr>
                <w:color w:val="000000"/>
                <w:lang w:val="en-US"/>
              </w:rPr>
              <w:t>prevenirea</w:t>
            </w:r>
            <w:proofErr w:type="spellEnd"/>
            <w:r w:rsidRPr="008F1D81">
              <w:rPr>
                <w:color w:val="000000"/>
                <w:lang w:val="en-US"/>
              </w:rPr>
              <w:t xml:space="preserve"> </w:t>
            </w:r>
            <w:proofErr w:type="spellStart"/>
            <w:r w:rsidRPr="008F1D81">
              <w:rPr>
                <w:color w:val="000000"/>
                <w:lang w:val="en-US"/>
              </w:rPr>
              <w:t>impactului</w:t>
            </w:r>
            <w:proofErr w:type="spellEnd"/>
            <w:r w:rsidRPr="008F1D81">
              <w:rPr>
                <w:color w:val="000000"/>
                <w:lang w:val="en-US"/>
              </w:rPr>
              <w:t xml:space="preserve"> </w:t>
            </w:r>
            <w:proofErr w:type="spellStart"/>
            <w:r w:rsidRPr="008F1D81">
              <w:rPr>
                <w:color w:val="000000"/>
                <w:lang w:val="en-US"/>
              </w:rPr>
              <w:t>catastrofelor</w:t>
            </w:r>
            <w:proofErr w:type="spellEnd"/>
            <w:r w:rsidRPr="008F1D81">
              <w:rPr>
                <w:color w:val="000000"/>
                <w:lang w:val="en-US"/>
              </w:rPr>
              <w:t xml:space="preserve"> </w:t>
            </w:r>
            <w:proofErr w:type="spellStart"/>
            <w:r w:rsidRPr="008F1D81">
              <w:rPr>
                <w:color w:val="000000"/>
                <w:lang w:val="en-US"/>
              </w:rPr>
              <w:t>geologice</w:t>
            </w:r>
            <w:proofErr w:type="spellEnd"/>
            <w:r w:rsidRPr="008F1D81">
              <w:rPr>
                <w:color w:val="000000"/>
                <w:lang w:val="en-US"/>
              </w:rPr>
              <w:t xml:space="preserve">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naturale</w:t>
            </w:r>
            <w:proofErr w:type="spellEnd"/>
          </w:p>
        </w:tc>
      </w:tr>
      <w:tr w:rsidR="00F73A38" w:rsidRPr="008F1D81" w14:paraId="65E08907" w14:textId="77777777" w:rsidTr="00105BC5">
        <w:trPr>
          <w:trHeight w:val="300"/>
        </w:trPr>
        <w:tc>
          <w:tcPr>
            <w:tcW w:w="444" w:type="pct"/>
            <w:shd w:val="clear" w:color="auto" w:fill="auto"/>
            <w:vAlign w:val="center"/>
            <w:hideMark/>
          </w:tcPr>
          <w:p w14:paraId="7BF1EB66" w14:textId="77777777" w:rsidR="00F73A38" w:rsidRPr="008F1D81" w:rsidRDefault="00F73A38" w:rsidP="00105BC5">
            <w:pPr>
              <w:rPr>
                <w:color w:val="000000"/>
                <w:lang w:val="en-US"/>
              </w:rPr>
            </w:pPr>
            <w:r w:rsidRPr="008F1D81">
              <w:rPr>
                <w:color w:val="000000"/>
                <w:lang w:val="en-US"/>
              </w:rPr>
              <w:t>CL03</w:t>
            </w:r>
          </w:p>
        </w:tc>
        <w:tc>
          <w:tcPr>
            <w:tcW w:w="4556" w:type="pct"/>
            <w:shd w:val="clear" w:color="auto" w:fill="auto"/>
            <w:noWrap/>
            <w:vAlign w:val="bottom"/>
            <w:hideMark/>
          </w:tcPr>
          <w:p w14:paraId="0AE09C80" w14:textId="77777777" w:rsidR="00F73A38" w:rsidRPr="008F1D81" w:rsidRDefault="00F73A38" w:rsidP="00105BC5">
            <w:pPr>
              <w:rPr>
                <w:color w:val="000000"/>
                <w:lang w:val="en-US"/>
              </w:rPr>
            </w:pPr>
            <w:proofErr w:type="spellStart"/>
            <w:r w:rsidRPr="008F1D81">
              <w:rPr>
                <w:color w:val="000000"/>
                <w:lang w:val="en-US"/>
              </w:rPr>
              <w:t>Restaurarea</w:t>
            </w:r>
            <w:proofErr w:type="spellEnd"/>
            <w:r w:rsidRPr="008F1D81">
              <w:rPr>
                <w:color w:val="000000"/>
                <w:lang w:val="en-US"/>
              </w:rPr>
              <w:t xml:space="preserve"> </w:t>
            </w:r>
            <w:proofErr w:type="spellStart"/>
            <w:r w:rsidRPr="008F1D81">
              <w:rPr>
                <w:color w:val="000000"/>
                <w:lang w:val="en-US"/>
              </w:rPr>
              <w:t>habitatelor</w:t>
            </w:r>
            <w:proofErr w:type="spellEnd"/>
            <w:r w:rsidRPr="008F1D81">
              <w:rPr>
                <w:color w:val="000000"/>
                <w:lang w:val="en-US"/>
              </w:rPr>
              <w:t xml:space="preserve"> </w:t>
            </w:r>
            <w:proofErr w:type="spellStart"/>
            <w:r w:rsidRPr="008F1D81">
              <w:rPr>
                <w:color w:val="000000"/>
                <w:lang w:val="en-US"/>
              </w:rPr>
              <w:t>în</w:t>
            </w:r>
            <w:proofErr w:type="spellEnd"/>
            <w:r w:rsidRPr="008F1D81">
              <w:rPr>
                <w:color w:val="000000"/>
                <w:lang w:val="en-US"/>
              </w:rPr>
              <w:t xml:space="preserve"> </w:t>
            </w:r>
            <w:proofErr w:type="spellStart"/>
            <w:r w:rsidRPr="008F1D81">
              <w:rPr>
                <w:color w:val="000000"/>
                <w:lang w:val="en-US"/>
              </w:rPr>
              <w:t>urma</w:t>
            </w:r>
            <w:proofErr w:type="spellEnd"/>
            <w:r w:rsidRPr="008F1D81">
              <w:rPr>
                <w:color w:val="000000"/>
                <w:lang w:val="en-US"/>
              </w:rPr>
              <w:t xml:space="preserve"> </w:t>
            </w:r>
            <w:proofErr w:type="spellStart"/>
            <w:r w:rsidRPr="008F1D81">
              <w:rPr>
                <w:color w:val="000000"/>
                <w:lang w:val="en-US"/>
              </w:rPr>
              <w:t>unor</w:t>
            </w:r>
            <w:proofErr w:type="spellEnd"/>
            <w:r w:rsidRPr="008F1D81">
              <w:rPr>
                <w:color w:val="000000"/>
                <w:lang w:val="en-US"/>
              </w:rPr>
              <w:t xml:space="preserve"> </w:t>
            </w:r>
            <w:proofErr w:type="spellStart"/>
            <w:r w:rsidRPr="008F1D81">
              <w:rPr>
                <w:color w:val="000000"/>
                <w:lang w:val="en-US"/>
              </w:rPr>
              <w:t>catastrofe</w:t>
            </w:r>
            <w:proofErr w:type="spellEnd"/>
            <w:r w:rsidRPr="008F1D81">
              <w:rPr>
                <w:color w:val="000000"/>
                <w:lang w:val="en-US"/>
              </w:rPr>
              <w:t xml:space="preserve"> </w:t>
            </w:r>
            <w:proofErr w:type="spellStart"/>
            <w:r w:rsidRPr="008F1D81">
              <w:rPr>
                <w:color w:val="000000"/>
                <w:lang w:val="en-US"/>
              </w:rPr>
              <w:t>geologice</w:t>
            </w:r>
            <w:proofErr w:type="spellEnd"/>
            <w:r w:rsidRPr="008F1D81">
              <w:rPr>
                <w:color w:val="000000"/>
                <w:lang w:val="en-US"/>
              </w:rPr>
              <w:t xml:space="preserve"> </w:t>
            </w:r>
            <w:proofErr w:type="spellStart"/>
            <w:r w:rsidRPr="008F1D81">
              <w:rPr>
                <w:color w:val="000000"/>
                <w:lang w:val="en-US"/>
              </w:rPr>
              <w:t>si</w:t>
            </w:r>
            <w:proofErr w:type="spellEnd"/>
            <w:r w:rsidRPr="008F1D81">
              <w:rPr>
                <w:color w:val="000000"/>
                <w:lang w:val="en-US"/>
              </w:rPr>
              <w:t xml:space="preserve"> </w:t>
            </w:r>
            <w:proofErr w:type="spellStart"/>
            <w:r w:rsidRPr="008F1D81">
              <w:rPr>
                <w:color w:val="000000"/>
                <w:lang w:val="en-US"/>
              </w:rPr>
              <w:t>naturale</w:t>
            </w:r>
            <w:proofErr w:type="spellEnd"/>
          </w:p>
        </w:tc>
      </w:tr>
      <w:tr w:rsidR="00F73A38" w:rsidRPr="008F1D81" w14:paraId="25DCA42D" w14:textId="77777777" w:rsidTr="00105BC5">
        <w:trPr>
          <w:trHeight w:val="300"/>
        </w:trPr>
        <w:tc>
          <w:tcPr>
            <w:tcW w:w="444" w:type="pct"/>
            <w:shd w:val="clear" w:color="auto" w:fill="auto"/>
            <w:vAlign w:val="center"/>
            <w:hideMark/>
          </w:tcPr>
          <w:p w14:paraId="71F5CA06" w14:textId="77777777" w:rsidR="00F73A38" w:rsidRPr="008F1D81" w:rsidRDefault="00F73A38" w:rsidP="00105BC5">
            <w:pPr>
              <w:rPr>
                <w:color w:val="000000"/>
                <w:lang w:val="en-US"/>
              </w:rPr>
            </w:pPr>
            <w:r w:rsidRPr="008F1D81">
              <w:rPr>
                <w:color w:val="000000"/>
                <w:lang w:val="en-US"/>
              </w:rPr>
              <w:t>CL04</w:t>
            </w:r>
          </w:p>
        </w:tc>
        <w:tc>
          <w:tcPr>
            <w:tcW w:w="4556" w:type="pct"/>
            <w:shd w:val="clear" w:color="auto" w:fill="auto"/>
            <w:noWrap/>
            <w:vAlign w:val="bottom"/>
            <w:hideMark/>
          </w:tcPr>
          <w:p w14:paraId="7D544B60" w14:textId="77777777" w:rsidR="00F73A38" w:rsidRPr="008F1D81" w:rsidRDefault="00F73A38" w:rsidP="00105BC5">
            <w:pPr>
              <w:rPr>
                <w:color w:val="000000"/>
                <w:lang w:val="en-US"/>
              </w:rPr>
            </w:pPr>
            <w:r w:rsidRPr="008F1D81">
              <w:rPr>
                <w:color w:val="000000"/>
                <w:lang w:val="en-US"/>
              </w:rPr>
              <w:t xml:space="preserve">Alte </w:t>
            </w:r>
            <w:proofErr w:type="spellStart"/>
            <w:r w:rsidRPr="008F1D81">
              <w:rPr>
                <w:color w:val="000000"/>
                <w:lang w:val="en-US"/>
              </w:rPr>
              <w:t>măsuri</w:t>
            </w:r>
            <w:proofErr w:type="spellEnd"/>
            <w:r w:rsidRPr="008F1D81">
              <w:rPr>
                <w:color w:val="000000"/>
                <w:lang w:val="en-US"/>
              </w:rPr>
              <w:t xml:space="preserve"> legate de </w:t>
            </w:r>
            <w:proofErr w:type="spellStart"/>
            <w:r w:rsidRPr="008F1D81">
              <w:rPr>
                <w:color w:val="000000"/>
                <w:lang w:val="en-US"/>
              </w:rPr>
              <w:t>procesele</w:t>
            </w:r>
            <w:proofErr w:type="spellEnd"/>
            <w:r w:rsidRPr="008F1D81">
              <w:rPr>
                <w:color w:val="000000"/>
                <w:lang w:val="en-US"/>
              </w:rPr>
              <w:t xml:space="preserve"> </w:t>
            </w:r>
            <w:proofErr w:type="spellStart"/>
            <w:r w:rsidRPr="008F1D81">
              <w:rPr>
                <w:color w:val="000000"/>
                <w:lang w:val="en-US"/>
              </w:rPr>
              <w:t>naturale</w:t>
            </w:r>
            <w:proofErr w:type="spellEnd"/>
          </w:p>
        </w:tc>
      </w:tr>
      <w:tr w:rsidR="00F73A38" w:rsidRPr="008F1D81" w14:paraId="4337358F" w14:textId="77777777" w:rsidTr="00105BC5">
        <w:trPr>
          <w:trHeight w:val="300"/>
        </w:trPr>
        <w:tc>
          <w:tcPr>
            <w:tcW w:w="444" w:type="pct"/>
            <w:shd w:val="clear" w:color="auto" w:fill="auto"/>
            <w:vAlign w:val="center"/>
            <w:hideMark/>
          </w:tcPr>
          <w:p w14:paraId="1C932765" w14:textId="77777777" w:rsidR="00F73A38" w:rsidRPr="008F1D81" w:rsidRDefault="00F73A38" w:rsidP="00105BC5">
            <w:pPr>
              <w:rPr>
                <w:color w:val="000000"/>
                <w:lang w:val="en-US"/>
              </w:rPr>
            </w:pPr>
            <w:r w:rsidRPr="008F1D81">
              <w:rPr>
                <w:color w:val="000000"/>
                <w:lang w:val="en-US"/>
              </w:rPr>
              <w:t>CN</w:t>
            </w:r>
          </w:p>
        </w:tc>
        <w:tc>
          <w:tcPr>
            <w:tcW w:w="4556" w:type="pct"/>
            <w:shd w:val="clear" w:color="auto" w:fill="auto"/>
            <w:noWrap/>
            <w:vAlign w:val="bottom"/>
            <w:hideMark/>
          </w:tcPr>
          <w:p w14:paraId="545B0763" w14:textId="77777777" w:rsidR="00F73A38" w:rsidRPr="008F1D81" w:rsidRDefault="00F73A38" w:rsidP="00105BC5">
            <w:pPr>
              <w:rPr>
                <w:color w:val="000000"/>
                <w:lang w:val="en-US"/>
              </w:rPr>
            </w:pPr>
            <w:proofErr w:type="spellStart"/>
            <w:r w:rsidRPr="008F1D81">
              <w:rPr>
                <w:color w:val="000000"/>
                <w:lang w:val="en-US"/>
              </w:rPr>
              <w:t>Măsuri</w:t>
            </w:r>
            <w:proofErr w:type="spellEnd"/>
            <w:r w:rsidRPr="008F1D81">
              <w:rPr>
                <w:color w:val="000000"/>
                <w:lang w:val="en-US"/>
              </w:rPr>
              <w:t xml:space="preserve"> legate de </w:t>
            </w:r>
            <w:proofErr w:type="spellStart"/>
            <w:r w:rsidRPr="008F1D81">
              <w:rPr>
                <w:color w:val="000000"/>
                <w:lang w:val="en-US"/>
              </w:rPr>
              <w:t>schimbările</w:t>
            </w:r>
            <w:proofErr w:type="spellEnd"/>
            <w:r w:rsidRPr="008F1D81">
              <w:rPr>
                <w:color w:val="000000"/>
                <w:lang w:val="en-US"/>
              </w:rPr>
              <w:t xml:space="preserve"> </w:t>
            </w:r>
            <w:proofErr w:type="spellStart"/>
            <w:r w:rsidRPr="008F1D81">
              <w:rPr>
                <w:color w:val="000000"/>
                <w:lang w:val="en-US"/>
              </w:rPr>
              <w:t>climatice</w:t>
            </w:r>
            <w:proofErr w:type="spellEnd"/>
          </w:p>
        </w:tc>
      </w:tr>
      <w:tr w:rsidR="00F73A38" w:rsidRPr="008F1D81" w14:paraId="051E636F" w14:textId="77777777" w:rsidTr="00105BC5">
        <w:trPr>
          <w:trHeight w:val="300"/>
        </w:trPr>
        <w:tc>
          <w:tcPr>
            <w:tcW w:w="444" w:type="pct"/>
            <w:shd w:val="clear" w:color="auto" w:fill="auto"/>
            <w:vAlign w:val="center"/>
            <w:hideMark/>
          </w:tcPr>
          <w:p w14:paraId="380E8B90" w14:textId="77777777" w:rsidR="00F73A38" w:rsidRPr="008F1D81" w:rsidRDefault="00F73A38" w:rsidP="00105BC5">
            <w:pPr>
              <w:rPr>
                <w:color w:val="000000"/>
                <w:lang w:val="en-US"/>
              </w:rPr>
            </w:pPr>
            <w:r w:rsidRPr="008F1D81">
              <w:rPr>
                <w:color w:val="000000"/>
                <w:lang w:val="en-US"/>
              </w:rPr>
              <w:t>CN01</w:t>
            </w:r>
          </w:p>
        </w:tc>
        <w:tc>
          <w:tcPr>
            <w:tcW w:w="4556" w:type="pct"/>
            <w:shd w:val="clear" w:color="auto" w:fill="auto"/>
            <w:noWrap/>
            <w:vAlign w:val="bottom"/>
            <w:hideMark/>
          </w:tcPr>
          <w:p w14:paraId="210CDA46" w14:textId="77777777" w:rsidR="00F73A38" w:rsidRPr="008F1D81" w:rsidRDefault="00F73A38" w:rsidP="00105BC5">
            <w:pPr>
              <w:rPr>
                <w:color w:val="000000"/>
                <w:lang w:val="en-US"/>
              </w:rPr>
            </w:pPr>
            <w:proofErr w:type="spellStart"/>
            <w:r w:rsidRPr="008F1D81">
              <w:rPr>
                <w:color w:val="000000"/>
                <w:lang w:val="en-US"/>
              </w:rPr>
              <w:t>Adoptarea</w:t>
            </w:r>
            <w:proofErr w:type="spellEnd"/>
            <w:r w:rsidRPr="008F1D81">
              <w:rPr>
                <w:color w:val="000000"/>
                <w:lang w:val="en-US"/>
              </w:rPr>
              <w:t xml:space="preserve"> </w:t>
            </w:r>
            <w:proofErr w:type="spellStart"/>
            <w:r w:rsidRPr="008F1D81">
              <w:rPr>
                <w:color w:val="000000"/>
                <w:lang w:val="en-US"/>
              </w:rPr>
              <w:t>măsurilor</w:t>
            </w:r>
            <w:proofErr w:type="spellEnd"/>
            <w:r w:rsidRPr="008F1D81">
              <w:rPr>
                <w:color w:val="000000"/>
                <w:lang w:val="en-US"/>
              </w:rPr>
              <w:t xml:space="preserve"> de </w:t>
            </w:r>
            <w:proofErr w:type="spellStart"/>
            <w:r w:rsidRPr="008F1D81">
              <w:rPr>
                <w:color w:val="000000"/>
                <w:lang w:val="en-US"/>
              </w:rPr>
              <w:t>atenuare</w:t>
            </w:r>
            <w:proofErr w:type="spellEnd"/>
            <w:r w:rsidRPr="008F1D81">
              <w:rPr>
                <w:color w:val="000000"/>
                <w:lang w:val="en-US"/>
              </w:rPr>
              <w:t xml:space="preserve"> a </w:t>
            </w:r>
            <w:proofErr w:type="spellStart"/>
            <w:r w:rsidRPr="008F1D81">
              <w:rPr>
                <w:color w:val="000000"/>
                <w:lang w:val="en-US"/>
              </w:rPr>
              <w:t>schimbărilor</w:t>
            </w:r>
            <w:proofErr w:type="spellEnd"/>
            <w:r w:rsidRPr="008F1D81">
              <w:rPr>
                <w:color w:val="000000"/>
                <w:lang w:val="en-US"/>
              </w:rPr>
              <w:t xml:space="preserve"> </w:t>
            </w:r>
            <w:proofErr w:type="spellStart"/>
            <w:r w:rsidRPr="008F1D81">
              <w:rPr>
                <w:color w:val="000000"/>
                <w:lang w:val="en-US"/>
              </w:rPr>
              <w:t>climatice</w:t>
            </w:r>
            <w:proofErr w:type="spellEnd"/>
          </w:p>
        </w:tc>
      </w:tr>
      <w:tr w:rsidR="00F73A38" w:rsidRPr="008F1D81" w14:paraId="29589B8D" w14:textId="77777777" w:rsidTr="00105BC5">
        <w:trPr>
          <w:trHeight w:val="300"/>
        </w:trPr>
        <w:tc>
          <w:tcPr>
            <w:tcW w:w="444" w:type="pct"/>
            <w:shd w:val="clear" w:color="auto" w:fill="auto"/>
            <w:vAlign w:val="center"/>
            <w:hideMark/>
          </w:tcPr>
          <w:p w14:paraId="79D94F0B" w14:textId="77777777" w:rsidR="00F73A38" w:rsidRPr="008F1D81" w:rsidRDefault="00F73A38" w:rsidP="00105BC5">
            <w:pPr>
              <w:rPr>
                <w:color w:val="000000"/>
                <w:lang w:val="en-US"/>
              </w:rPr>
            </w:pPr>
            <w:r w:rsidRPr="008F1D81">
              <w:rPr>
                <w:color w:val="000000"/>
                <w:lang w:val="en-US"/>
              </w:rPr>
              <w:t>CN02</w:t>
            </w:r>
          </w:p>
        </w:tc>
        <w:tc>
          <w:tcPr>
            <w:tcW w:w="4556" w:type="pct"/>
            <w:shd w:val="clear" w:color="auto" w:fill="auto"/>
            <w:noWrap/>
            <w:vAlign w:val="bottom"/>
            <w:hideMark/>
          </w:tcPr>
          <w:p w14:paraId="20BA6244" w14:textId="77777777" w:rsidR="00F73A38" w:rsidRPr="008F1D81" w:rsidRDefault="00F73A38" w:rsidP="00105BC5">
            <w:pPr>
              <w:rPr>
                <w:color w:val="000000"/>
                <w:lang w:val="en-US"/>
              </w:rPr>
            </w:pPr>
            <w:proofErr w:type="spellStart"/>
            <w:r w:rsidRPr="008F1D81">
              <w:rPr>
                <w:color w:val="000000"/>
                <w:lang w:val="en-US"/>
              </w:rPr>
              <w:t>Implementarea</w:t>
            </w:r>
            <w:proofErr w:type="spellEnd"/>
            <w:r w:rsidRPr="008F1D81">
              <w:rPr>
                <w:color w:val="000000"/>
                <w:lang w:val="en-US"/>
              </w:rPr>
              <w:t xml:space="preserve"> </w:t>
            </w:r>
            <w:proofErr w:type="spellStart"/>
            <w:r w:rsidRPr="008F1D81">
              <w:rPr>
                <w:color w:val="000000"/>
                <w:lang w:val="en-US"/>
              </w:rPr>
              <w:t>măsurilor</w:t>
            </w:r>
            <w:proofErr w:type="spellEnd"/>
            <w:r w:rsidRPr="008F1D81">
              <w:rPr>
                <w:color w:val="000000"/>
                <w:lang w:val="en-US"/>
              </w:rPr>
              <w:t xml:space="preserve"> de </w:t>
            </w:r>
            <w:proofErr w:type="spellStart"/>
            <w:r w:rsidRPr="008F1D81">
              <w:rPr>
                <w:color w:val="000000"/>
                <w:lang w:val="en-US"/>
              </w:rPr>
              <w:t>adaptare</w:t>
            </w:r>
            <w:proofErr w:type="spellEnd"/>
            <w:r w:rsidRPr="008F1D81">
              <w:rPr>
                <w:color w:val="000000"/>
                <w:lang w:val="en-US"/>
              </w:rPr>
              <w:t xml:space="preserve"> la </w:t>
            </w:r>
            <w:proofErr w:type="spellStart"/>
            <w:r w:rsidRPr="008F1D81">
              <w:rPr>
                <w:color w:val="000000"/>
                <w:lang w:val="en-US"/>
              </w:rPr>
              <w:t>schimbările</w:t>
            </w:r>
            <w:proofErr w:type="spellEnd"/>
            <w:r w:rsidRPr="008F1D81">
              <w:rPr>
                <w:color w:val="000000"/>
                <w:lang w:val="en-US"/>
              </w:rPr>
              <w:t xml:space="preserve"> </w:t>
            </w:r>
            <w:proofErr w:type="spellStart"/>
            <w:r w:rsidRPr="008F1D81">
              <w:rPr>
                <w:color w:val="000000"/>
                <w:lang w:val="en-US"/>
              </w:rPr>
              <w:t>climatice</w:t>
            </w:r>
            <w:proofErr w:type="spellEnd"/>
          </w:p>
        </w:tc>
      </w:tr>
      <w:tr w:rsidR="00F73A38" w:rsidRPr="008F1D81" w14:paraId="7C4071FB" w14:textId="77777777" w:rsidTr="00105BC5">
        <w:trPr>
          <w:trHeight w:val="300"/>
        </w:trPr>
        <w:tc>
          <w:tcPr>
            <w:tcW w:w="444" w:type="pct"/>
            <w:shd w:val="clear" w:color="auto" w:fill="auto"/>
            <w:vAlign w:val="center"/>
            <w:hideMark/>
          </w:tcPr>
          <w:p w14:paraId="475449B0" w14:textId="77777777" w:rsidR="00F73A38" w:rsidRPr="008F1D81" w:rsidRDefault="00F73A38" w:rsidP="00105BC5">
            <w:pPr>
              <w:rPr>
                <w:color w:val="000000"/>
                <w:lang w:val="en-US"/>
              </w:rPr>
            </w:pPr>
            <w:r w:rsidRPr="008F1D81">
              <w:rPr>
                <w:color w:val="000000"/>
                <w:lang w:val="en-US"/>
              </w:rPr>
              <w:t>CS</w:t>
            </w:r>
          </w:p>
        </w:tc>
        <w:tc>
          <w:tcPr>
            <w:tcW w:w="4556" w:type="pct"/>
            <w:shd w:val="clear" w:color="auto" w:fill="auto"/>
            <w:noWrap/>
            <w:vAlign w:val="bottom"/>
            <w:hideMark/>
          </w:tcPr>
          <w:p w14:paraId="079BBA22" w14:textId="77777777" w:rsidR="00F73A38" w:rsidRPr="008F1D81" w:rsidRDefault="00F73A38" w:rsidP="00105BC5">
            <w:pPr>
              <w:rPr>
                <w:color w:val="000000"/>
                <w:lang w:val="en-US"/>
              </w:rPr>
            </w:pPr>
            <w:proofErr w:type="spellStart"/>
            <w:r w:rsidRPr="008F1D81">
              <w:rPr>
                <w:color w:val="000000"/>
                <w:lang w:val="en-US"/>
              </w:rPr>
              <w:t>Măsuri</w:t>
            </w:r>
            <w:proofErr w:type="spellEnd"/>
            <w:r w:rsidRPr="008F1D81">
              <w:rPr>
                <w:color w:val="000000"/>
                <w:lang w:val="en-US"/>
              </w:rPr>
              <w:t xml:space="preserve"> legate de </w:t>
            </w:r>
            <w:proofErr w:type="spellStart"/>
            <w:r w:rsidRPr="008F1D81">
              <w:rPr>
                <w:color w:val="000000"/>
                <w:lang w:val="en-US"/>
              </w:rPr>
              <w:t>gestionarea</w:t>
            </w:r>
            <w:proofErr w:type="spellEnd"/>
            <w:r w:rsidRPr="008F1D81">
              <w:rPr>
                <w:color w:val="000000"/>
                <w:lang w:val="en-US"/>
              </w:rPr>
              <w:t xml:space="preserve"> </w:t>
            </w:r>
            <w:proofErr w:type="spellStart"/>
            <w:r w:rsidRPr="008F1D81">
              <w:rPr>
                <w:color w:val="000000"/>
                <w:lang w:val="en-US"/>
              </w:rPr>
              <w:t>speciilor</w:t>
            </w:r>
            <w:proofErr w:type="spellEnd"/>
            <w:r w:rsidRPr="008F1D81">
              <w:rPr>
                <w:color w:val="000000"/>
                <w:lang w:val="en-US"/>
              </w:rPr>
              <w:t xml:space="preserve"> din </w:t>
            </w:r>
            <w:proofErr w:type="spellStart"/>
            <w:r w:rsidRPr="008F1D81">
              <w:rPr>
                <w:color w:val="000000"/>
                <w:lang w:val="en-US"/>
              </w:rPr>
              <w:t>directivele</w:t>
            </w:r>
            <w:proofErr w:type="spellEnd"/>
            <w:r w:rsidRPr="008F1D81">
              <w:rPr>
                <w:color w:val="000000"/>
                <w:lang w:val="en-US"/>
              </w:rPr>
              <w:t xml:space="preserve"> </w:t>
            </w:r>
            <w:proofErr w:type="spellStart"/>
            <w:r w:rsidRPr="008F1D81">
              <w:rPr>
                <w:color w:val="000000"/>
                <w:lang w:val="en-US"/>
              </w:rPr>
              <w:t>privind</w:t>
            </w:r>
            <w:proofErr w:type="spellEnd"/>
            <w:r w:rsidRPr="008F1D81">
              <w:rPr>
                <w:color w:val="000000"/>
                <w:lang w:val="en-US"/>
              </w:rPr>
              <w:t xml:space="preserve"> natura </w:t>
            </w:r>
            <w:proofErr w:type="spellStart"/>
            <w:r w:rsidRPr="008F1D81">
              <w:rPr>
                <w:color w:val="000000"/>
                <w:lang w:val="en-US"/>
              </w:rPr>
              <w:t>și</w:t>
            </w:r>
            <w:proofErr w:type="spellEnd"/>
            <w:r w:rsidRPr="008F1D81">
              <w:rPr>
                <w:color w:val="000000"/>
                <w:lang w:val="en-US"/>
              </w:rPr>
              <w:t xml:space="preserve"> </w:t>
            </w:r>
            <w:proofErr w:type="spellStart"/>
            <w:r w:rsidRPr="008F1D81">
              <w:rPr>
                <w:color w:val="000000"/>
                <w:lang w:val="en-US"/>
              </w:rPr>
              <w:t>alte</w:t>
            </w:r>
            <w:proofErr w:type="spellEnd"/>
            <w:r w:rsidRPr="008F1D81">
              <w:rPr>
                <w:color w:val="000000"/>
                <w:lang w:val="en-US"/>
              </w:rPr>
              <w:t xml:space="preserve"> </w:t>
            </w:r>
            <w:proofErr w:type="spellStart"/>
            <w:r w:rsidRPr="008F1D81">
              <w:rPr>
                <w:color w:val="000000"/>
                <w:lang w:val="en-US"/>
              </w:rPr>
              <w:t>specii</w:t>
            </w:r>
            <w:proofErr w:type="spellEnd"/>
            <w:r w:rsidRPr="008F1D81">
              <w:rPr>
                <w:color w:val="000000"/>
                <w:lang w:val="en-US"/>
              </w:rPr>
              <w:t xml:space="preserve"> native</w:t>
            </w:r>
          </w:p>
        </w:tc>
      </w:tr>
      <w:tr w:rsidR="00F73A38" w:rsidRPr="008F1D81" w14:paraId="49ABD728" w14:textId="77777777" w:rsidTr="00105BC5">
        <w:trPr>
          <w:trHeight w:val="300"/>
        </w:trPr>
        <w:tc>
          <w:tcPr>
            <w:tcW w:w="444" w:type="pct"/>
            <w:shd w:val="clear" w:color="auto" w:fill="auto"/>
            <w:vAlign w:val="center"/>
            <w:hideMark/>
          </w:tcPr>
          <w:p w14:paraId="4F619CE6" w14:textId="77777777" w:rsidR="00F73A38" w:rsidRPr="008F1D81" w:rsidRDefault="00F73A38" w:rsidP="00105BC5">
            <w:pPr>
              <w:rPr>
                <w:color w:val="000000"/>
                <w:lang w:val="en-US"/>
              </w:rPr>
            </w:pPr>
            <w:r w:rsidRPr="008F1D81">
              <w:rPr>
                <w:color w:val="000000"/>
                <w:lang w:val="en-US"/>
              </w:rPr>
              <w:t>CS01</w:t>
            </w:r>
          </w:p>
        </w:tc>
        <w:tc>
          <w:tcPr>
            <w:tcW w:w="4556" w:type="pct"/>
            <w:shd w:val="clear" w:color="auto" w:fill="auto"/>
            <w:noWrap/>
            <w:vAlign w:val="bottom"/>
            <w:hideMark/>
          </w:tcPr>
          <w:p w14:paraId="6ECD00FD" w14:textId="77777777" w:rsidR="00F73A38" w:rsidRPr="008F1D81" w:rsidRDefault="00F73A38" w:rsidP="00105BC5">
            <w:pPr>
              <w:rPr>
                <w:color w:val="000000"/>
                <w:lang w:val="en-US"/>
              </w:rPr>
            </w:pPr>
            <w:proofErr w:type="spellStart"/>
            <w:r w:rsidRPr="008F1D81">
              <w:rPr>
                <w:color w:val="000000"/>
                <w:lang w:val="en-US"/>
              </w:rPr>
              <w:t>Consolidarea</w:t>
            </w:r>
            <w:proofErr w:type="spellEnd"/>
            <w:r w:rsidRPr="008F1D81">
              <w:rPr>
                <w:color w:val="000000"/>
                <w:lang w:val="en-US"/>
              </w:rPr>
              <w:t xml:space="preserve"> </w:t>
            </w:r>
            <w:proofErr w:type="spellStart"/>
            <w:r w:rsidRPr="008F1D81">
              <w:rPr>
                <w:color w:val="000000"/>
                <w:lang w:val="en-US"/>
              </w:rPr>
              <w:t>populațiilor</w:t>
            </w:r>
            <w:proofErr w:type="spellEnd"/>
            <w:r w:rsidRPr="008F1D81">
              <w:rPr>
                <w:color w:val="000000"/>
                <w:lang w:val="en-US"/>
              </w:rPr>
              <w:t xml:space="preserve"> de </w:t>
            </w:r>
            <w:proofErr w:type="spellStart"/>
            <w:r w:rsidRPr="008F1D81">
              <w:rPr>
                <w:color w:val="000000"/>
                <w:lang w:val="en-US"/>
              </w:rPr>
              <w:t>specii</w:t>
            </w:r>
            <w:proofErr w:type="spellEnd"/>
            <w:r w:rsidRPr="008F1D81">
              <w:rPr>
                <w:color w:val="000000"/>
                <w:lang w:val="en-US"/>
              </w:rPr>
              <w:t xml:space="preserve"> din directive</w:t>
            </w:r>
          </w:p>
        </w:tc>
      </w:tr>
      <w:tr w:rsidR="00F73A38" w:rsidRPr="008F1D81" w14:paraId="017806A7" w14:textId="77777777" w:rsidTr="00105BC5">
        <w:trPr>
          <w:trHeight w:val="300"/>
        </w:trPr>
        <w:tc>
          <w:tcPr>
            <w:tcW w:w="444" w:type="pct"/>
            <w:shd w:val="clear" w:color="auto" w:fill="auto"/>
            <w:vAlign w:val="center"/>
            <w:hideMark/>
          </w:tcPr>
          <w:p w14:paraId="6069ED13" w14:textId="77777777" w:rsidR="00F73A38" w:rsidRPr="008F1D81" w:rsidRDefault="00F73A38" w:rsidP="00105BC5">
            <w:pPr>
              <w:rPr>
                <w:color w:val="000000"/>
                <w:lang w:val="en-US"/>
              </w:rPr>
            </w:pPr>
            <w:r w:rsidRPr="008F1D81">
              <w:rPr>
                <w:color w:val="000000"/>
                <w:lang w:val="en-US"/>
              </w:rPr>
              <w:t>CS02</w:t>
            </w:r>
          </w:p>
        </w:tc>
        <w:tc>
          <w:tcPr>
            <w:tcW w:w="4556" w:type="pct"/>
            <w:shd w:val="clear" w:color="auto" w:fill="auto"/>
            <w:noWrap/>
            <w:vAlign w:val="bottom"/>
            <w:hideMark/>
          </w:tcPr>
          <w:p w14:paraId="5AB8E00C" w14:textId="77777777" w:rsidR="00F73A38" w:rsidRPr="008F1D81" w:rsidRDefault="00F73A38" w:rsidP="00105BC5">
            <w:pPr>
              <w:rPr>
                <w:color w:val="000000"/>
                <w:lang w:val="en-US"/>
              </w:rPr>
            </w:pPr>
            <w:proofErr w:type="spellStart"/>
            <w:r w:rsidRPr="008F1D81">
              <w:rPr>
                <w:color w:val="000000"/>
                <w:lang w:val="en-US"/>
              </w:rPr>
              <w:t>Reintroducerea</w:t>
            </w:r>
            <w:proofErr w:type="spellEnd"/>
            <w:r w:rsidRPr="008F1D81">
              <w:rPr>
                <w:color w:val="000000"/>
                <w:lang w:val="en-US"/>
              </w:rPr>
              <w:t xml:space="preserve"> de </w:t>
            </w:r>
            <w:proofErr w:type="spellStart"/>
            <w:r w:rsidRPr="008F1D81">
              <w:rPr>
                <w:color w:val="000000"/>
                <w:lang w:val="en-US"/>
              </w:rPr>
              <w:t>specii</w:t>
            </w:r>
            <w:proofErr w:type="spellEnd"/>
            <w:r w:rsidRPr="008F1D81">
              <w:rPr>
                <w:color w:val="000000"/>
                <w:lang w:val="en-US"/>
              </w:rPr>
              <w:t xml:space="preserve"> din directive</w:t>
            </w:r>
          </w:p>
        </w:tc>
      </w:tr>
      <w:tr w:rsidR="00F73A38" w:rsidRPr="008F1D81" w14:paraId="36301F6D" w14:textId="77777777" w:rsidTr="00105BC5">
        <w:trPr>
          <w:trHeight w:val="300"/>
        </w:trPr>
        <w:tc>
          <w:tcPr>
            <w:tcW w:w="444" w:type="pct"/>
            <w:shd w:val="clear" w:color="auto" w:fill="auto"/>
            <w:vAlign w:val="center"/>
            <w:hideMark/>
          </w:tcPr>
          <w:p w14:paraId="74A3E36C" w14:textId="77777777" w:rsidR="00F73A38" w:rsidRPr="008F1D81" w:rsidRDefault="00F73A38" w:rsidP="00105BC5">
            <w:pPr>
              <w:rPr>
                <w:color w:val="000000"/>
                <w:lang w:val="en-US"/>
              </w:rPr>
            </w:pPr>
            <w:r w:rsidRPr="008F1D81">
              <w:rPr>
                <w:color w:val="000000"/>
                <w:lang w:val="en-US"/>
              </w:rPr>
              <w:t>CS03</w:t>
            </w:r>
          </w:p>
        </w:tc>
        <w:tc>
          <w:tcPr>
            <w:tcW w:w="4556" w:type="pct"/>
            <w:shd w:val="clear" w:color="auto" w:fill="auto"/>
            <w:noWrap/>
            <w:vAlign w:val="bottom"/>
            <w:hideMark/>
          </w:tcPr>
          <w:p w14:paraId="4E588D43" w14:textId="77777777" w:rsidR="00F73A38" w:rsidRPr="008F1D81" w:rsidRDefault="00F73A38" w:rsidP="00105BC5">
            <w:pPr>
              <w:rPr>
                <w:color w:val="000000"/>
                <w:lang w:val="en-US"/>
              </w:rPr>
            </w:pPr>
            <w:proofErr w:type="spellStart"/>
            <w:r w:rsidRPr="008F1D81">
              <w:rPr>
                <w:color w:val="000000"/>
                <w:lang w:val="en-US"/>
              </w:rPr>
              <w:t>Îmbunătățirea</w:t>
            </w:r>
            <w:proofErr w:type="spellEnd"/>
            <w:r w:rsidRPr="008F1D81">
              <w:rPr>
                <w:color w:val="000000"/>
                <w:lang w:val="en-US"/>
              </w:rPr>
              <w:t xml:space="preserve"> </w:t>
            </w:r>
            <w:proofErr w:type="spellStart"/>
            <w:r w:rsidRPr="008F1D81">
              <w:rPr>
                <w:color w:val="000000"/>
                <w:lang w:val="en-US"/>
              </w:rPr>
              <w:t>habitatelor</w:t>
            </w:r>
            <w:proofErr w:type="spellEnd"/>
            <w:r w:rsidRPr="008F1D81">
              <w:rPr>
                <w:color w:val="000000"/>
                <w:lang w:val="en-US"/>
              </w:rPr>
              <w:t xml:space="preserve"> </w:t>
            </w:r>
            <w:proofErr w:type="spellStart"/>
            <w:r w:rsidRPr="008F1D81">
              <w:rPr>
                <w:color w:val="000000"/>
                <w:lang w:val="en-US"/>
              </w:rPr>
              <w:t>pentru</w:t>
            </w:r>
            <w:proofErr w:type="spellEnd"/>
            <w:r w:rsidRPr="008F1D81">
              <w:rPr>
                <w:color w:val="000000"/>
                <w:lang w:val="en-US"/>
              </w:rPr>
              <w:t xml:space="preserve"> </w:t>
            </w:r>
            <w:proofErr w:type="spellStart"/>
            <w:r w:rsidRPr="008F1D81">
              <w:rPr>
                <w:color w:val="000000"/>
                <w:lang w:val="en-US"/>
              </w:rPr>
              <w:t>speciile</w:t>
            </w:r>
            <w:proofErr w:type="spellEnd"/>
            <w:r w:rsidRPr="008F1D81">
              <w:rPr>
                <w:color w:val="000000"/>
                <w:lang w:val="en-US"/>
              </w:rPr>
              <w:t xml:space="preserve"> din directive</w:t>
            </w:r>
          </w:p>
        </w:tc>
      </w:tr>
      <w:tr w:rsidR="00F73A38" w:rsidRPr="008F1D81" w14:paraId="13C523A9" w14:textId="77777777" w:rsidTr="00105BC5">
        <w:trPr>
          <w:trHeight w:val="300"/>
        </w:trPr>
        <w:tc>
          <w:tcPr>
            <w:tcW w:w="444" w:type="pct"/>
            <w:shd w:val="clear" w:color="auto" w:fill="auto"/>
            <w:vAlign w:val="center"/>
            <w:hideMark/>
          </w:tcPr>
          <w:p w14:paraId="6F327B80" w14:textId="77777777" w:rsidR="00F73A38" w:rsidRPr="008F1D81" w:rsidRDefault="00F73A38" w:rsidP="00105BC5">
            <w:pPr>
              <w:rPr>
                <w:color w:val="000000"/>
                <w:lang w:val="en-US"/>
              </w:rPr>
            </w:pPr>
            <w:r w:rsidRPr="008F1D81">
              <w:rPr>
                <w:color w:val="000000"/>
                <w:lang w:val="en-US"/>
              </w:rPr>
              <w:t>CS04</w:t>
            </w:r>
          </w:p>
        </w:tc>
        <w:tc>
          <w:tcPr>
            <w:tcW w:w="4556" w:type="pct"/>
            <w:shd w:val="clear" w:color="auto" w:fill="auto"/>
            <w:noWrap/>
            <w:vAlign w:val="bottom"/>
            <w:hideMark/>
          </w:tcPr>
          <w:p w14:paraId="7EB8D4B5" w14:textId="77777777" w:rsidR="00F73A38" w:rsidRPr="008F1D81" w:rsidRDefault="00F73A38" w:rsidP="00105BC5">
            <w:pPr>
              <w:rPr>
                <w:color w:val="000000"/>
                <w:lang w:val="en-US"/>
              </w:rPr>
            </w:pPr>
            <w:proofErr w:type="spellStart"/>
            <w:r w:rsidRPr="008F1D81">
              <w:rPr>
                <w:color w:val="000000"/>
                <w:lang w:val="en-US"/>
              </w:rPr>
              <w:t>Gestionarea</w:t>
            </w:r>
            <w:proofErr w:type="spellEnd"/>
            <w:r w:rsidRPr="008F1D81">
              <w:rPr>
                <w:color w:val="000000"/>
                <w:lang w:val="en-US"/>
              </w:rPr>
              <w:t xml:space="preserve"> </w:t>
            </w:r>
            <w:proofErr w:type="spellStart"/>
            <w:r w:rsidRPr="008F1D81">
              <w:rPr>
                <w:color w:val="000000"/>
                <w:lang w:val="en-US"/>
              </w:rPr>
              <w:t>alte</w:t>
            </w:r>
            <w:proofErr w:type="spellEnd"/>
            <w:r w:rsidRPr="008F1D81">
              <w:rPr>
                <w:color w:val="000000"/>
                <w:lang w:val="en-US"/>
              </w:rPr>
              <w:t xml:space="preserve"> </w:t>
            </w:r>
            <w:proofErr w:type="spellStart"/>
            <w:r w:rsidRPr="008F1D81">
              <w:rPr>
                <w:color w:val="000000"/>
                <w:lang w:val="en-US"/>
              </w:rPr>
              <w:t>specii</w:t>
            </w:r>
            <w:proofErr w:type="spellEnd"/>
            <w:r w:rsidRPr="008F1D81">
              <w:rPr>
                <w:color w:val="000000"/>
                <w:lang w:val="en-US"/>
              </w:rPr>
              <w:t xml:space="preserve"> </w:t>
            </w:r>
            <w:proofErr w:type="spellStart"/>
            <w:r w:rsidRPr="008F1D81">
              <w:rPr>
                <w:color w:val="000000"/>
                <w:lang w:val="en-US"/>
              </w:rPr>
              <w:t>autohtone</w:t>
            </w:r>
            <w:proofErr w:type="spellEnd"/>
          </w:p>
        </w:tc>
      </w:tr>
      <w:tr w:rsidR="00F73A38" w:rsidRPr="008F1D81" w14:paraId="3D228077" w14:textId="77777777" w:rsidTr="00105BC5">
        <w:trPr>
          <w:trHeight w:val="300"/>
        </w:trPr>
        <w:tc>
          <w:tcPr>
            <w:tcW w:w="444" w:type="pct"/>
            <w:shd w:val="clear" w:color="auto" w:fill="auto"/>
            <w:vAlign w:val="center"/>
            <w:hideMark/>
          </w:tcPr>
          <w:p w14:paraId="0CF5C045" w14:textId="77777777" w:rsidR="00F73A38" w:rsidRPr="008F1D81" w:rsidRDefault="00F73A38" w:rsidP="00105BC5">
            <w:pPr>
              <w:rPr>
                <w:color w:val="000000"/>
                <w:lang w:val="en-US"/>
              </w:rPr>
            </w:pPr>
            <w:r w:rsidRPr="008F1D81">
              <w:rPr>
                <w:color w:val="000000"/>
                <w:lang w:val="en-US"/>
              </w:rPr>
              <w:t>CX</w:t>
            </w:r>
          </w:p>
        </w:tc>
        <w:tc>
          <w:tcPr>
            <w:tcW w:w="4556" w:type="pct"/>
            <w:shd w:val="clear" w:color="auto" w:fill="auto"/>
            <w:noWrap/>
            <w:vAlign w:val="bottom"/>
            <w:hideMark/>
          </w:tcPr>
          <w:p w14:paraId="4ADDE18B" w14:textId="77777777" w:rsidR="00F73A38" w:rsidRPr="008F1D81" w:rsidRDefault="00F73A38" w:rsidP="00105BC5">
            <w:pPr>
              <w:rPr>
                <w:color w:val="000000"/>
                <w:lang w:val="en-US"/>
              </w:rPr>
            </w:pPr>
            <w:proofErr w:type="spellStart"/>
            <w:r w:rsidRPr="008F1D81">
              <w:rPr>
                <w:color w:val="000000"/>
                <w:lang w:val="en-US"/>
              </w:rPr>
              <w:t>Măsuri</w:t>
            </w:r>
            <w:proofErr w:type="spellEnd"/>
            <w:r w:rsidRPr="008F1D81">
              <w:rPr>
                <w:color w:val="000000"/>
                <w:lang w:val="en-US"/>
              </w:rPr>
              <w:t xml:space="preserve"> </w:t>
            </w:r>
            <w:proofErr w:type="spellStart"/>
            <w:r w:rsidRPr="008F1D81">
              <w:rPr>
                <w:color w:val="000000"/>
                <w:lang w:val="en-US"/>
              </w:rPr>
              <w:t>în</w:t>
            </w:r>
            <w:proofErr w:type="spellEnd"/>
            <w:r w:rsidRPr="008F1D81">
              <w:rPr>
                <w:color w:val="000000"/>
                <w:lang w:val="en-US"/>
              </w:rPr>
              <w:t xml:space="preserve"> afara </w:t>
            </w:r>
            <w:proofErr w:type="spellStart"/>
            <w:r w:rsidRPr="008F1D81">
              <w:rPr>
                <w:color w:val="000000"/>
                <w:lang w:val="en-US"/>
              </w:rPr>
              <w:t>statului</w:t>
            </w:r>
            <w:proofErr w:type="spellEnd"/>
            <w:r w:rsidRPr="008F1D81">
              <w:rPr>
                <w:color w:val="000000"/>
                <w:lang w:val="en-US"/>
              </w:rPr>
              <w:t xml:space="preserve"> </w:t>
            </w:r>
            <w:proofErr w:type="spellStart"/>
            <w:r w:rsidRPr="008F1D81">
              <w:rPr>
                <w:color w:val="000000"/>
                <w:lang w:val="en-US"/>
              </w:rPr>
              <w:t>membru</w:t>
            </w:r>
            <w:proofErr w:type="spellEnd"/>
          </w:p>
        </w:tc>
      </w:tr>
      <w:tr w:rsidR="00F73A38" w:rsidRPr="008F1D81" w14:paraId="0DA6DD8A" w14:textId="77777777" w:rsidTr="00105BC5">
        <w:trPr>
          <w:trHeight w:val="300"/>
        </w:trPr>
        <w:tc>
          <w:tcPr>
            <w:tcW w:w="444" w:type="pct"/>
            <w:shd w:val="clear" w:color="auto" w:fill="auto"/>
            <w:vAlign w:val="center"/>
            <w:hideMark/>
          </w:tcPr>
          <w:p w14:paraId="6FA72F71" w14:textId="77777777" w:rsidR="00F73A38" w:rsidRPr="008F1D81" w:rsidRDefault="00F73A38" w:rsidP="00105BC5">
            <w:pPr>
              <w:rPr>
                <w:color w:val="000000"/>
                <w:lang w:val="en-US"/>
              </w:rPr>
            </w:pPr>
            <w:r w:rsidRPr="008F1D81">
              <w:rPr>
                <w:color w:val="000000"/>
                <w:lang w:val="en-US"/>
              </w:rPr>
              <w:t>CX01</w:t>
            </w:r>
          </w:p>
        </w:tc>
        <w:tc>
          <w:tcPr>
            <w:tcW w:w="4556" w:type="pct"/>
            <w:shd w:val="clear" w:color="auto" w:fill="auto"/>
            <w:noWrap/>
            <w:vAlign w:val="bottom"/>
            <w:hideMark/>
          </w:tcPr>
          <w:p w14:paraId="7BD3F690" w14:textId="77777777" w:rsidR="00F73A38" w:rsidRPr="008F1D81" w:rsidRDefault="00F73A38" w:rsidP="00105BC5">
            <w:pPr>
              <w:rPr>
                <w:color w:val="000000"/>
                <w:lang w:val="en-US"/>
              </w:rPr>
            </w:pPr>
            <w:proofErr w:type="spellStart"/>
            <w:r w:rsidRPr="008F1D81">
              <w:rPr>
                <w:color w:val="000000"/>
                <w:lang w:val="en-US"/>
              </w:rPr>
              <w:t>Sprijinirea</w:t>
            </w:r>
            <w:proofErr w:type="spellEnd"/>
            <w:r w:rsidRPr="008F1D81">
              <w:rPr>
                <w:color w:val="000000"/>
                <w:lang w:val="en-US"/>
              </w:rPr>
              <w:t xml:space="preserve"> </w:t>
            </w:r>
            <w:proofErr w:type="spellStart"/>
            <w:r w:rsidRPr="008F1D81">
              <w:rPr>
                <w:color w:val="000000"/>
                <w:lang w:val="en-US"/>
              </w:rPr>
              <w:t>măsurilor</w:t>
            </w:r>
            <w:proofErr w:type="spellEnd"/>
            <w:r w:rsidRPr="008F1D81">
              <w:rPr>
                <w:color w:val="000000"/>
                <w:lang w:val="en-US"/>
              </w:rPr>
              <w:t xml:space="preserve"> de </w:t>
            </w:r>
            <w:proofErr w:type="spellStart"/>
            <w:r w:rsidRPr="008F1D81">
              <w:rPr>
                <w:color w:val="000000"/>
                <w:lang w:val="en-US"/>
              </w:rPr>
              <w:t>conservare</w:t>
            </w:r>
            <w:proofErr w:type="spellEnd"/>
            <w:r w:rsidRPr="008F1D81">
              <w:rPr>
                <w:color w:val="000000"/>
                <w:lang w:val="en-US"/>
              </w:rPr>
              <w:t xml:space="preserve"> </w:t>
            </w:r>
            <w:proofErr w:type="spellStart"/>
            <w:r w:rsidRPr="008F1D81">
              <w:rPr>
                <w:color w:val="000000"/>
                <w:lang w:val="en-US"/>
              </w:rPr>
              <w:t>într</w:t>
            </w:r>
            <w:proofErr w:type="spellEnd"/>
            <w:r w:rsidRPr="008F1D81">
              <w:rPr>
                <w:color w:val="000000"/>
                <w:lang w:val="en-US"/>
              </w:rPr>
              <w:t xml:space="preserve">-un alt stat </w:t>
            </w:r>
            <w:proofErr w:type="spellStart"/>
            <w:r w:rsidRPr="008F1D81">
              <w:rPr>
                <w:color w:val="000000"/>
                <w:lang w:val="en-US"/>
              </w:rPr>
              <w:t>membru</w:t>
            </w:r>
            <w:proofErr w:type="spellEnd"/>
            <w:r w:rsidRPr="008F1D81">
              <w:rPr>
                <w:color w:val="000000"/>
                <w:lang w:val="en-US"/>
              </w:rPr>
              <w:t xml:space="preserve"> al UE</w:t>
            </w:r>
          </w:p>
        </w:tc>
      </w:tr>
      <w:tr w:rsidR="00F73A38" w:rsidRPr="008F1D81" w14:paraId="6D81C94B" w14:textId="77777777" w:rsidTr="00105BC5">
        <w:trPr>
          <w:trHeight w:val="300"/>
        </w:trPr>
        <w:tc>
          <w:tcPr>
            <w:tcW w:w="444" w:type="pct"/>
            <w:shd w:val="clear" w:color="auto" w:fill="auto"/>
            <w:vAlign w:val="center"/>
            <w:hideMark/>
          </w:tcPr>
          <w:p w14:paraId="558DA7E9" w14:textId="77777777" w:rsidR="00F73A38" w:rsidRPr="008F1D81" w:rsidRDefault="00F73A38" w:rsidP="00105BC5">
            <w:pPr>
              <w:rPr>
                <w:color w:val="000000"/>
                <w:lang w:val="en-US"/>
              </w:rPr>
            </w:pPr>
            <w:r w:rsidRPr="008F1D81">
              <w:rPr>
                <w:color w:val="000000"/>
                <w:lang w:val="en-US"/>
              </w:rPr>
              <w:t>CX02</w:t>
            </w:r>
          </w:p>
        </w:tc>
        <w:tc>
          <w:tcPr>
            <w:tcW w:w="4556" w:type="pct"/>
            <w:shd w:val="clear" w:color="auto" w:fill="auto"/>
            <w:noWrap/>
            <w:vAlign w:val="bottom"/>
            <w:hideMark/>
          </w:tcPr>
          <w:p w14:paraId="366F7900" w14:textId="77777777" w:rsidR="00F73A38" w:rsidRPr="008F1D81" w:rsidRDefault="00F73A38" w:rsidP="00105BC5">
            <w:pPr>
              <w:rPr>
                <w:color w:val="000000"/>
                <w:lang w:val="en-US"/>
              </w:rPr>
            </w:pPr>
            <w:proofErr w:type="spellStart"/>
            <w:r w:rsidRPr="008F1D81">
              <w:rPr>
                <w:color w:val="000000"/>
                <w:lang w:val="en-US"/>
              </w:rPr>
              <w:t>Sprijinirea</w:t>
            </w:r>
            <w:proofErr w:type="spellEnd"/>
            <w:r w:rsidRPr="008F1D81">
              <w:rPr>
                <w:color w:val="000000"/>
                <w:lang w:val="en-US"/>
              </w:rPr>
              <w:t xml:space="preserve"> </w:t>
            </w:r>
            <w:proofErr w:type="spellStart"/>
            <w:r w:rsidRPr="008F1D81">
              <w:rPr>
                <w:color w:val="000000"/>
                <w:lang w:val="en-US"/>
              </w:rPr>
              <w:t>măsurilor</w:t>
            </w:r>
            <w:proofErr w:type="spellEnd"/>
            <w:r w:rsidRPr="008F1D81">
              <w:rPr>
                <w:color w:val="000000"/>
                <w:lang w:val="en-US"/>
              </w:rPr>
              <w:t xml:space="preserve"> de </w:t>
            </w:r>
            <w:proofErr w:type="spellStart"/>
            <w:r w:rsidRPr="008F1D81">
              <w:rPr>
                <w:color w:val="000000"/>
                <w:lang w:val="en-US"/>
              </w:rPr>
              <w:t>conservare</w:t>
            </w:r>
            <w:proofErr w:type="spellEnd"/>
            <w:r w:rsidRPr="008F1D81">
              <w:rPr>
                <w:color w:val="000000"/>
                <w:lang w:val="en-US"/>
              </w:rPr>
              <w:t xml:space="preserve"> </w:t>
            </w:r>
            <w:proofErr w:type="spellStart"/>
            <w:r w:rsidRPr="008F1D81">
              <w:rPr>
                <w:color w:val="000000"/>
                <w:lang w:val="en-US"/>
              </w:rPr>
              <w:t>în</w:t>
            </w:r>
            <w:proofErr w:type="spellEnd"/>
            <w:r w:rsidRPr="008F1D81">
              <w:rPr>
                <w:color w:val="000000"/>
                <w:lang w:val="en-US"/>
              </w:rPr>
              <w:t xml:space="preserve"> </w:t>
            </w:r>
            <w:proofErr w:type="spellStart"/>
            <w:r w:rsidRPr="008F1D81">
              <w:rPr>
                <w:color w:val="000000"/>
                <w:lang w:val="en-US"/>
              </w:rPr>
              <w:t>țările</w:t>
            </w:r>
            <w:proofErr w:type="spellEnd"/>
            <w:r w:rsidRPr="008F1D81">
              <w:rPr>
                <w:color w:val="000000"/>
                <w:lang w:val="en-US"/>
              </w:rPr>
              <w:t xml:space="preserve"> din afara UE</w:t>
            </w:r>
          </w:p>
        </w:tc>
      </w:tr>
    </w:tbl>
    <w:p w14:paraId="27142959" w14:textId="77777777" w:rsidR="00F73A38" w:rsidRPr="00A01745" w:rsidRDefault="00F73A38" w:rsidP="00F73A38">
      <w:pPr>
        <w:spacing w:before="120" w:after="120" w:line="276" w:lineRule="auto"/>
        <w:jc w:val="both"/>
        <w:rPr>
          <w:b/>
          <w:color w:val="000000" w:themeColor="text1"/>
        </w:rPr>
        <w:sectPr w:rsidR="00F73A38" w:rsidRPr="00A01745" w:rsidSect="00E1608A">
          <w:pgSz w:w="12240" w:h="15840"/>
          <w:pgMar w:top="810" w:right="758" w:bottom="630" w:left="1417" w:header="720" w:footer="720" w:gutter="0"/>
          <w:cols w:space="720"/>
          <w:docGrid w:linePitch="360"/>
        </w:sectPr>
      </w:pPr>
    </w:p>
    <w:p w14:paraId="4B8312C6" w14:textId="77777777" w:rsidR="00E929F2" w:rsidRPr="004242AA" w:rsidRDefault="008572F7" w:rsidP="00101046">
      <w:pPr>
        <w:pStyle w:val="BodyText"/>
        <w:spacing w:before="72"/>
        <w:ind w:left="300" w:right="-31"/>
        <w:jc w:val="both"/>
        <w:rPr>
          <w:b/>
          <w:color w:val="000000" w:themeColor="text1"/>
          <w:sz w:val="24"/>
          <w:szCs w:val="24"/>
        </w:rPr>
      </w:pPr>
      <w:r w:rsidRPr="004242AA">
        <w:rPr>
          <w:b/>
          <w:color w:val="000000" w:themeColor="text1"/>
          <w:sz w:val="24"/>
          <w:szCs w:val="24"/>
        </w:rPr>
        <w:lastRenderedPageBreak/>
        <w:t xml:space="preserve">2. </w:t>
      </w:r>
      <w:proofErr w:type="spellStart"/>
      <w:r w:rsidRPr="004242AA">
        <w:rPr>
          <w:b/>
          <w:color w:val="000000" w:themeColor="text1"/>
          <w:sz w:val="24"/>
          <w:szCs w:val="24"/>
        </w:rPr>
        <w:t>Ghidul</w:t>
      </w:r>
      <w:proofErr w:type="spellEnd"/>
      <w:r w:rsidRPr="004242AA">
        <w:rPr>
          <w:b/>
          <w:color w:val="000000" w:themeColor="text1"/>
          <w:sz w:val="24"/>
          <w:szCs w:val="24"/>
        </w:rPr>
        <w:t xml:space="preserve"> cu </w:t>
      </w:r>
      <w:proofErr w:type="spellStart"/>
      <w:r w:rsidRPr="004242AA">
        <w:rPr>
          <w:b/>
          <w:color w:val="000000" w:themeColor="text1"/>
          <w:sz w:val="24"/>
          <w:szCs w:val="24"/>
        </w:rPr>
        <w:t>protocoalele</w:t>
      </w:r>
      <w:proofErr w:type="spellEnd"/>
      <w:r w:rsidRPr="004242AA">
        <w:rPr>
          <w:b/>
          <w:color w:val="000000" w:themeColor="text1"/>
          <w:sz w:val="24"/>
          <w:szCs w:val="24"/>
        </w:rPr>
        <w:t xml:space="preserve"> de </w:t>
      </w:r>
      <w:proofErr w:type="spellStart"/>
      <w:r w:rsidRPr="004242AA">
        <w:rPr>
          <w:b/>
          <w:color w:val="000000" w:themeColor="text1"/>
          <w:sz w:val="24"/>
          <w:szCs w:val="24"/>
        </w:rPr>
        <w:t>monitorizare</w:t>
      </w:r>
      <w:proofErr w:type="spellEnd"/>
      <w:r w:rsidRPr="004242AA">
        <w:rPr>
          <w:b/>
          <w:color w:val="000000" w:themeColor="text1"/>
          <w:sz w:val="24"/>
          <w:szCs w:val="24"/>
        </w:rPr>
        <w:t xml:space="preserve"> </w:t>
      </w:r>
      <w:proofErr w:type="spellStart"/>
      <w:r w:rsidRPr="004242AA">
        <w:rPr>
          <w:b/>
          <w:color w:val="000000" w:themeColor="text1"/>
          <w:sz w:val="24"/>
          <w:szCs w:val="24"/>
        </w:rPr>
        <w:t>si</w:t>
      </w:r>
      <w:proofErr w:type="spellEnd"/>
      <w:r w:rsidRPr="004242AA">
        <w:rPr>
          <w:b/>
          <w:color w:val="000000" w:themeColor="text1"/>
          <w:sz w:val="24"/>
          <w:szCs w:val="24"/>
        </w:rPr>
        <w:t xml:space="preserve"> </w:t>
      </w:r>
      <w:proofErr w:type="spellStart"/>
      <w:r w:rsidRPr="004242AA">
        <w:rPr>
          <w:b/>
          <w:color w:val="000000" w:themeColor="text1"/>
          <w:sz w:val="24"/>
          <w:szCs w:val="24"/>
        </w:rPr>
        <w:t>metodologiile</w:t>
      </w:r>
      <w:proofErr w:type="spellEnd"/>
      <w:r w:rsidRPr="004242AA">
        <w:rPr>
          <w:b/>
          <w:color w:val="000000" w:themeColor="text1"/>
          <w:sz w:val="24"/>
          <w:szCs w:val="24"/>
        </w:rPr>
        <w:t xml:space="preserve"> </w:t>
      </w:r>
      <w:proofErr w:type="spellStart"/>
      <w:r w:rsidRPr="004242AA">
        <w:rPr>
          <w:b/>
          <w:color w:val="000000" w:themeColor="text1"/>
          <w:sz w:val="24"/>
          <w:szCs w:val="24"/>
        </w:rPr>
        <w:t>unitare</w:t>
      </w:r>
      <w:proofErr w:type="spellEnd"/>
      <w:r w:rsidRPr="004242AA">
        <w:rPr>
          <w:b/>
          <w:color w:val="000000" w:themeColor="text1"/>
          <w:sz w:val="24"/>
          <w:szCs w:val="24"/>
        </w:rPr>
        <w:t xml:space="preserve"> de </w:t>
      </w:r>
      <w:proofErr w:type="spellStart"/>
      <w:r w:rsidRPr="004242AA">
        <w:rPr>
          <w:b/>
          <w:color w:val="000000" w:themeColor="text1"/>
          <w:sz w:val="24"/>
          <w:szCs w:val="24"/>
        </w:rPr>
        <w:t>monitorizare</w:t>
      </w:r>
      <w:proofErr w:type="spellEnd"/>
      <w:r w:rsidRPr="004242AA">
        <w:rPr>
          <w:b/>
          <w:color w:val="000000" w:themeColor="text1"/>
          <w:sz w:val="24"/>
          <w:szCs w:val="24"/>
        </w:rPr>
        <w:t xml:space="preserve"> a </w:t>
      </w:r>
      <w:proofErr w:type="spellStart"/>
      <w:r w:rsidRPr="004242AA">
        <w:rPr>
          <w:b/>
          <w:color w:val="000000" w:themeColor="text1"/>
          <w:sz w:val="24"/>
          <w:szCs w:val="24"/>
        </w:rPr>
        <w:t>starii</w:t>
      </w:r>
      <w:proofErr w:type="spellEnd"/>
      <w:r w:rsidRPr="004242AA">
        <w:rPr>
          <w:b/>
          <w:color w:val="000000" w:themeColor="text1"/>
          <w:sz w:val="24"/>
          <w:szCs w:val="24"/>
        </w:rPr>
        <w:t xml:space="preserve"> de </w:t>
      </w:r>
      <w:proofErr w:type="spellStart"/>
      <w:r w:rsidRPr="004242AA">
        <w:rPr>
          <w:b/>
          <w:color w:val="000000" w:themeColor="text1"/>
          <w:sz w:val="24"/>
          <w:szCs w:val="24"/>
        </w:rPr>
        <w:t>conservare</w:t>
      </w:r>
      <w:proofErr w:type="spellEnd"/>
      <w:r w:rsidRPr="004242AA">
        <w:rPr>
          <w:b/>
          <w:color w:val="000000" w:themeColor="text1"/>
          <w:sz w:val="24"/>
          <w:szCs w:val="24"/>
        </w:rPr>
        <w:t xml:space="preserve"> a </w:t>
      </w:r>
      <w:proofErr w:type="spellStart"/>
      <w:r w:rsidRPr="004242AA">
        <w:rPr>
          <w:b/>
          <w:color w:val="000000" w:themeColor="text1"/>
          <w:sz w:val="24"/>
          <w:szCs w:val="24"/>
        </w:rPr>
        <w:t>habitatelor</w:t>
      </w:r>
      <w:proofErr w:type="spellEnd"/>
      <w:r w:rsidRPr="004242AA">
        <w:rPr>
          <w:b/>
          <w:color w:val="000000" w:themeColor="text1"/>
          <w:sz w:val="24"/>
          <w:szCs w:val="24"/>
        </w:rPr>
        <w:t xml:space="preserve"> de </w:t>
      </w:r>
      <w:proofErr w:type="spellStart"/>
      <w:r w:rsidRPr="004242AA">
        <w:rPr>
          <w:b/>
          <w:color w:val="000000" w:themeColor="text1"/>
          <w:sz w:val="24"/>
          <w:szCs w:val="24"/>
        </w:rPr>
        <w:t>sărături</w:t>
      </w:r>
      <w:proofErr w:type="spellEnd"/>
    </w:p>
    <w:p w14:paraId="7E740ECB" w14:textId="77777777" w:rsidR="00883E92" w:rsidRPr="00C56257" w:rsidRDefault="00883E92" w:rsidP="00B538DD">
      <w:pPr>
        <w:pStyle w:val="BodyText"/>
        <w:spacing w:before="262"/>
        <w:ind w:left="300" w:right="-31"/>
        <w:jc w:val="both"/>
        <w:rPr>
          <w:color w:val="000000" w:themeColor="text1"/>
          <w:sz w:val="24"/>
          <w:szCs w:val="24"/>
          <w:lang w:val="fr-FR"/>
        </w:rPr>
      </w:pPr>
      <w:proofErr w:type="spellStart"/>
      <w:r>
        <w:rPr>
          <w:color w:val="000000" w:themeColor="text1"/>
          <w:sz w:val="24"/>
          <w:szCs w:val="24"/>
          <w:lang w:val="fr-FR"/>
        </w:rPr>
        <w:t>Protocoalele</w:t>
      </w:r>
      <w:proofErr w:type="spellEnd"/>
      <w:r>
        <w:rPr>
          <w:color w:val="000000" w:themeColor="text1"/>
          <w:sz w:val="24"/>
          <w:szCs w:val="24"/>
          <w:lang w:val="fr-FR"/>
        </w:rPr>
        <w:t xml:space="preserve"> de </w:t>
      </w:r>
      <w:proofErr w:type="spellStart"/>
      <w:r>
        <w:rPr>
          <w:color w:val="000000" w:themeColor="text1"/>
          <w:sz w:val="24"/>
          <w:szCs w:val="24"/>
          <w:lang w:val="fr-FR"/>
        </w:rPr>
        <w:t>monitorizare</w:t>
      </w:r>
      <w:proofErr w:type="spellEnd"/>
      <w:r>
        <w:rPr>
          <w:color w:val="000000" w:themeColor="text1"/>
          <w:sz w:val="24"/>
          <w:szCs w:val="24"/>
          <w:lang w:val="fr-FR"/>
        </w:rPr>
        <w:t xml:space="preserve"> </w:t>
      </w:r>
      <w:proofErr w:type="spellStart"/>
      <w:r>
        <w:rPr>
          <w:color w:val="000000" w:themeColor="text1"/>
          <w:sz w:val="24"/>
          <w:szCs w:val="24"/>
          <w:lang w:val="fr-FR"/>
        </w:rPr>
        <w:t>și</w:t>
      </w:r>
      <w:proofErr w:type="spellEnd"/>
      <w:r>
        <w:rPr>
          <w:color w:val="000000" w:themeColor="text1"/>
          <w:sz w:val="24"/>
          <w:szCs w:val="24"/>
          <w:lang w:val="fr-FR"/>
        </w:rPr>
        <w:t xml:space="preserve"> </w:t>
      </w:r>
      <w:proofErr w:type="spellStart"/>
      <w:r>
        <w:rPr>
          <w:color w:val="000000" w:themeColor="text1"/>
          <w:sz w:val="24"/>
          <w:szCs w:val="24"/>
          <w:lang w:val="fr-FR"/>
        </w:rPr>
        <w:t>m</w:t>
      </w:r>
      <w:r w:rsidRPr="00C56257">
        <w:rPr>
          <w:color w:val="000000" w:themeColor="text1"/>
          <w:sz w:val="24"/>
          <w:szCs w:val="24"/>
          <w:lang w:val="fr-FR"/>
        </w:rPr>
        <w:t>etodologiile</w:t>
      </w:r>
      <w:proofErr w:type="spellEnd"/>
      <w:r w:rsidRPr="00C56257">
        <w:rPr>
          <w:color w:val="000000" w:themeColor="text1"/>
          <w:spacing w:val="56"/>
          <w:sz w:val="24"/>
          <w:szCs w:val="24"/>
          <w:lang w:val="fr-FR"/>
        </w:rPr>
        <w:t xml:space="preserve"> </w:t>
      </w:r>
      <w:r w:rsidRPr="00C56257">
        <w:rPr>
          <w:color w:val="000000" w:themeColor="text1"/>
          <w:sz w:val="24"/>
          <w:szCs w:val="24"/>
          <w:lang w:val="fr-FR"/>
        </w:rPr>
        <w:t>de</w:t>
      </w:r>
      <w:r w:rsidRPr="00C56257">
        <w:rPr>
          <w:color w:val="000000" w:themeColor="text1"/>
          <w:spacing w:val="56"/>
          <w:sz w:val="24"/>
          <w:szCs w:val="24"/>
          <w:lang w:val="fr-FR"/>
        </w:rPr>
        <w:t xml:space="preserve"> </w:t>
      </w:r>
      <w:proofErr w:type="spellStart"/>
      <w:r w:rsidRPr="00C56257">
        <w:rPr>
          <w:color w:val="000000" w:themeColor="text1"/>
          <w:sz w:val="24"/>
          <w:szCs w:val="24"/>
          <w:lang w:val="fr-FR"/>
        </w:rPr>
        <w:t>monitorizare</w:t>
      </w:r>
      <w:proofErr w:type="spellEnd"/>
      <w:r w:rsidRPr="00C56257">
        <w:rPr>
          <w:color w:val="000000" w:themeColor="text1"/>
          <w:spacing w:val="56"/>
          <w:sz w:val="24"/>
          <w:szCs w:val="24"/>
          <w:lang w:val="fr-FR"/>
        </w:rPr>
        <w:t xml:space="preserve"> </w:t>
      </w:r>
      <w:r w:rsidRPr="00C56257">
        <w:rPr>
          <w:color w:val="000000" w:themeColor="text1"/>
          <w:sz w:val="24"/>
          <w:szCs w:val="24"/>
          <w:lang w:val="fr-FR"/>
        </w:rPr>
        <w:t>a</w:t>
      </w:r>
      <w:r w:rsidRPr="00C56257">
        <w:rPr>
          <w:color w:val="000000" w:themeColor="text1"/>
          <w:spacing w:val="56"/>
          <w:sz w:val="24"/>
          <w:szCs w:val="24"/>
          <w:lang w:val="fr-FR"/>
        </w:rPr>
        <w:t xml:space="preserve"> </w:t>
      </w:r>
      <w:proofErr w:type="spellStart"/>
      <w:r w:rsidRPr="00C56257">
        <w:rPr>
          <w:color w:val="000000" w:themeColor="text1"/>
          <w:sz w:val="24"/>
          <w:szCs w:val="24"/>
          <w:lang w:val="fr-FR"/>
        </w:rPr>
        <w:t>habitatelor</w:t>
      </w:r>
      <w:proofErr w:type="spellEnd"/>
      <w:r w:rsidRPr="00C56257">
        <w:rPr>
          <w:color w:val="000000" w:themeColor="text1"/>
          <w:sz w:val="24"/>
          <w:szCs w:val="24"/>
          <w:lang w:val="fr-FR"/>
        </w:rPr>
        <w:t xml:space="preserve">  de</w:t>
      </w:r>
      <w:r w:rsidRPr="00C56257">
        <w:rPr>
          <w:color w:val="000000" w:themeColor="text1"/>
          <w:spacing w:val="58"/>
          <w:sz w:val="24"/>
          <w:szCs w:val="24"/>
          <w:lang w:val="fr-FR"/>
        </w:rPr>
        <w:t xml:space="preserve"> </w:t>
      </w:r>
      <w:proofErr w:type="spellStart"/>
      <w:r w:rsidRPr="00C56257">
        <w:rPr>
          <w:color w:val="000000" w:themeColor="text1"/>
          <w:sz w:val="24"/>
          <w:szCs w:val="24"/>
          <w:lang w:val="fr-FR"/>
        </w:rPr>
        <w:t>sărături</w:t>
      </w:r>
      <w:proofErr w:type="spellEnd"/>
      <w:r w:rsidRPr="00C56257">
        <w:rPr>
          <w:color w:val="000000" w:themeColor="text1"/>
          <w:spacing w:val="59"/>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pacing w:val="58"/>
          <w:sz w:val="24"/>
          <w:szCs w:val="24"/>
          <w:lang w:val="fr-FR"/>
        </w:rPr>
        <w:t xml:space="preserve"> </w:t>
      </w:r>
      <w:proofErr w:type="spellStart"/>
      <w:r w:rsidRPr="00C56257">
        <w:rPr>
          <w:color w:val="000000" w:themeColor="text1"/>
          <w:sz w:val="24"/>
          <w:szCs w:val="24"/>
          <w:lang w:val="fr-FR"/>
        </w:rPr>
        <w:t>aferente</w:t>
      </w:r>
      <w:proofErr w:type="spellEnd"/>
      <w:r w:rsidRPr="00C56257">
        <w:rPr>
          <w:color w:val="000000" w:themeColor="text1"/>
          <w:spacing w:val="59"/>
          <w:sz w:val="24"/>
          <w:szCs w:val="24"/>
          <w:lang w:val="fr-FR"/>
        </w:rPr>
        <w:t xml:space="preserve"> </w:t>
      </w:r>
      <w:proofErr w:type="spellStart"/>
      <w:r w:rsidRPr="00C56257">
        <w:rPr>
          <w:color w:val="000000" w:themeColor="text1"/>
          <w:sz w:val="24"/>
          <w:szCs w:val="24"/>
          <w:lang w:val="fr-FR"/>
        </w:rPr>
        <w:t>următoarelor</w:t>
      </w:r>
      <w:proofErr w:type="spellEnd"/>
      <w:r w:rsidRPr="00C56257">
        <w:rPr>
          <w:color w:val="000000" w:themeColor="text1"/>
          <w:spacing w:val="57"/>
          <w:sz w:val="24"/>
          <w:szCs w:val="24"/>
          <w:lang w:val="fr-FR"/>
        </w:rPr>
        <w:t xml:space="preserve"> </w:t>
      </w:r>
      <w:proofErr w:type="spellStart"/>
      <w:r w:rsidRPr="00C56257">
        <w:rPr>
          <w:color w:val="000000" w:themeColor="text1"/>
          <w:sz w:val="24"/>
          <w:szCs w:val="24"/>
          <w:lang w:val="fr-FR"/>
        </w:rPr>
        <w:t>tipuri</w:t>
      </w:r>
      <w:proofErr w:type="spellEnd"/>
      <w:r w:rsidRPr="00C56257">
        <w:rPr>
          <w:color w:val="000000" w:themeColor="text1"/>
          <w:spacing w:val="57"/>
          <w:sz w:val="24"/>
          <w:szCs w:val="24"/>
          <w:lang w:val="fr-FR"/>
        </w:rPr>
        <w:t xml:space="preserve"> </w:t>
      </w:r>
      <w:r w:rsidRPr="00C56257">
        <w:rPr>
          <w:color w:val="000000" w:themeColor="text1"/>
          <w:sz w:val="24"/>
          <w:szCs w:val="24"/>
          <w:lang w:val="fr-FR"/>
        </w:rPr>
        <w:t>de</w:t>
      </w:r>
      <w:r w:rsidRPr="00C56257">
        <w:rPr>
          <w:color w:val="000000" w:themeColor="text1"/>
          <w:spacing w:val="-58"/>
          <w:sz w:val="24"/>
          <w:szCs w:val="24"/>
          <w:lang w:val="fr-FR"/>
        </w:rPr>
        <w:t xml:space="preserve"> </w:t>
      </w:r>
      <w:proofErr w:type="spellStart"/>
      <w:r w:rsidRPr="00C56257">
        <w:rPr>
          <w:color w:val="000000" w:themeColor="text1"/>
          <w:sz w:val="24"/>
          <w:szCs w:val="24"/>
          <w:lang w:val="fr-FR"/>
        </w:rPr>
        <w:t>habitate</w:t>
      </w:r>
      <w:proofErr w:type="spellEnd"/>
      <w:r w:rsidRPr="00C56257">
        <w:rPr>
          <w:color w:val="000000" w:themeColor="text1"/>
          <w:sz w:val="24"/>
          <w:szCs w:val="24"/>
          <w:lang w:val="fr-FR"/>
        </w:rPr>
        <w:t xml:space="preserve">: 1310 </w:t>
      </w:r>
      <w:proofErr w:type="spellStart"/>
      <w:r w:rsidRPr="00C56257">
        <w:rPr>
          <w:color w:val="000000" w:themeColor="text1"/>
          <w:sz w:val="24"/>
          <w:szCs w:val="24"/>
          <w:lang w:val="fr-FR"/>
        </w:rPr>
        <w:t>Comunități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cu</w:t>
      </w:r>
      <w:proofErr w:type="spellEnd"/>
      <w:r w:rsidRPr="00C56257">
        <w:rPr>
          <w:color w:val="000000" w:themeColor="text1"/>
          <w:sz w:val="24"/>
          <w:szCs w:val="24"/>
          <w:lang w:val="fr-FR"/>
        </w:rPr>
        <w:t xml:space="preserve"> </w:t>
      </w:r>
      <w:proofErr w:type="spellStart"/>
      <w:r w:rsidRPr="00883E92">
        <w:rPr>
          <w:i/>
          <w:color w:val="000000" w:themeColor="text1"/>
          <w:sz w:val="24"/>
          <w:szCs w:val="24"/>
          <w:lang w:val="fr-FR"/>
        </w:rPr>
        <w:t>Salicornia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spp</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alte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specii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anuale</w:t>
      </w:r>
      <w:proofErr w:type="spellEnd"/>
      <w:r w:rsidRPr="00C56257">
        <w:rPr>
          <w:color w:val="000000" w:themeColor="text1"/>
          <w:sz w:val="24"/>
          <w:szCs w:val="24"/>
          <w:lang w:val="fr-FR"/>
        </w:rPr>
        <w:t xml:space="preserve"> care </w:t>
      </w:r>
      <w:proofErr w:type="spellStart"/>
      <w:r w:rsidRPr="00C56257">
        <w:rPr>
          <w:color w:val="000000" w:themeColor="text1"/>
          <w:sz w:val="24"/>
          <w:szCs w:val="24"/>
          <w:lang w:val="fr-FR"/>
        </w:rPr>
        <w:t>colonizează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terenurile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umede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nisipoase</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r w:rsidRPr="00C56257">
        <w:rPr>
          <w:color w:val="000000" w:themeColor="text1"/>
          <w:sz w:val="24"/>
          <w:szCs w:val="24"/>
          <w:lang w:val="fr-FR"/>
        </w:rPr>
        <w:t>1410</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Pajiști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sărăturate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tip</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mediteranean</w:t>
      </w:r>
      <w:proofErr w:type="spellEnd"/>
      <w:r>
        <w:rPr>
          <w:color w:val="000000" w:themeColor="text1"/>
          <w:sz w:val="24"/>
          <w:szCs w:val="24"/>
          <w:lang w:val="fr-FR"/>
        </w:rPr>
        <w:t xml:space="preserve"> </w:t>
      </w:r>
      <w:r w:rsidRPr="00C56257">
        <w:rPr>
          <w:color w:val="000000" w:themeColor="text1"/>
          <w:sz w:val="24"/>
          <w:szCs w:val="24"/>
          <w:lang w:val="fr-FR"/>
        </w:rPr>
        <w:t>–</w:t>
      </w:r>
      <w:r>
        <w:rPr>
          <w:color w:val="000000" w:themeColor="text1"/>
          <w:sz w:val="24"/>
          <w:szCs w:val="24"/>
          <w:lang w:val="fr-FR"/>
        </w:rPr>
        <w:t xml:space="preserve"> </w:t>
      </w:r>
      <w:proofErr w:type="spellStart"/>
      <w:r w:rsidRPr="00883E92">
        <w:rPr>
          <w:i/>
          <w:color w:val="000000" w:themeColor="text1"/>
          <w:sz w:val="24"/>
          <w:szCs w:val="24"/>
          <w:lang w:val="fr-FR"/>
        </w:rPr>
        <w:t>Juncetalia</w:t>
      </w:r>
      <w:proofErr w:type="spellEnd"/>
      <w:r w:rsidRPr="00883E92">
        <w:rPr>
          <w:i/>
          <w:color w:val="000000" w:themeColor="text1"/>
          <w:spacing w:val="1"/>
          <w:sz w:val="24"/>
          <w:szCs w:val="24"/>
          <w:lang w:val="fr-FR"/>
        </w:rPr>
        <w:t xml:space="preserve"> </w:t>
      </w:r>
      <w:proofErr w:type="spellStart"/>
      <w:r w:rsidRPr="00883E92">
        <w:rPr>
          <w:i/>
          <w:color w:val="000000" w:themeColor="text1"/>
          <w:sz w:val="24"/>
          <w:szCs w:val="24"/>
          <w:lang w:val="fr-FR"/>
        </w:rPr>
        <w:t>maritimi</w:t>
      </w:r>
      <w:proofErr w:type="spellEnd"/>
      <w:r w:rsidRPr="00C56257">
        <w:rPr>
          <w:color w:val="000000" w:themeColor="text1"/>
          <w:sz w:val="24"/>
          <w:szCs w:val="24"/>
          <w:lang w:val="fr-FR"/>
        </w:rPr>
        <w:t>;</w:t>
      </w:r>
      <w:r w:rsidRPr="00C56257">
        <w:rPr>
          <w:color w:val="000000" w:themeColor="text1"/>
          <w:spacing w:val="60"/>
          <w:sz w:val="24"/>
          <w:szCs w:val="24"/>
          <w:lang w:val="fr-FR"/>
        </w:rPr>
        <w:t xml:space="preserve"> </w:t>
      </w:r>
      <w:r w:rsidRPr="00C56257">
        <w:rPr>
          <w:color w:val="000000" w:themeColor="text1"/>
          <w:sz w:val="24"/>
          <w:szCs w:val="24"/>
          <w:lang w:val="fr-FR"/>
        </w:rPr>
        <w:t>1530*</w:t>
      </w:r>
      <w:r w:rsidRPr="00C56257">
        <w:rPr>
          <w:color w:val="000000" w:themeColor="text1"/>
          <w:spacing w:val="-57"/>
          <w:sz w:val="24"/>
          <w:szCs w:val="24"/>
          <w:lang w:val="fr-FR"/>
        </w:rPr>
        <w:t xml:space="preserve"> </w:t>
      </w:r>
      <w:proofErr w:type="spellStart"/>
      <w:r w:rsidRPr="00C56257">
        <w:rPr>
          <w:color w:val="000000" w:themeColor="text1"/>
          <w:sz w:val="24"/>
          <w:szCs w:val="24"/>
          <w:lang w:val="fr-FR"/>
        </w:rPr>
        <w:t>Pajiști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mlaștini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halofile</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panonice</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ponto-</w:t>
      </w:r>
      <w:proofErr w:type="spellStart"/>
      <w:r w:rsidRPr="00C56257">
        <w:rPr>
          <w:color w:val="000000" w:themeColor="text1"/>
          <w:sz w:val="24"/>
          <w:szCs w:val="24"/>
          <w:lang w:val="fr-FR"/>
        </w:rPr>
        <w:t>sarmatice</w:t>
      </w:r>
      <w:proofErr w:type="spellEnd"/>
      <w:r w:rsidRPr="00C56257">
        <w:rPr>
          <w:color w:val="000000" w:themeColor="text1"/>
          <w:sz w:val="24"/>
          <w:szCs w:val="24"/>
          <w:lang w:val="fr-FR"/>
        </w:rPr>
        <w:t>.</w:t>
      </w:r>
    </w:p>
    <w:p w14:paraId="45686BEB" w14:textId="77777777" w:rsidR="00BC5122" w:rsidRPr="00C56257" w:rsidRDefault="00BC5122" w:rsidP="008E33FD">
      <w:pPr>
        <w:pStyle w:val="BodyText"/>
        <w:spacing w:before="3"/>
        <w:jc w:val="both"/>
        <w:rPr>
          <w:color w:val="000000" w:themeColor="text1"/>
          <w:sz w:val="24"/>
          <w:szCs w:val="24"/>
          <w:lang w:val="ro-RO"/>
        </w:rPr>
      </w:pPr>
    </w:p>
    <w:p w14:paraId="5200FF0C" w14:textId="77777777" w:rsidR="00BC5122" w:rsidRDefault="008572F7" w:rsidP="004242AA">
      <w:pPr>
        <w:pStyle w:val="BodyText"/>
        <w:tabs>
          <w:tab w:val="left" w:pos="9180"/>
        </w:tabs>
        <w:spacing w:before="72"/>
        <w:ind w:left="300" w:right="957"/>
        <w:jc w:val="both"/>
        <w:rPr>
          <w:b/>
          <w:color w:val="000000" w:themeColor="text1"/>
          <w:sz w:val="24"/>
          <w:szCs w:val="24"/>
        </w:rPr>
      </w:pPr>
      <w:proofErr w:type="spellStart"/>
      <w:r w:rsidRPr="00F100E1">
        <w:rPr>
          <w:b/>
          <w:color w:val="000000" w:themeColor="text1"/>
          <w:sz w:val="24"/>
          <w:szCs w:val="24"/>
        </w:rPr>
        <w:t>Capitolul</w:t>
      </w:r>
      <w:proofErr w:type="spellEnd"/>
      <w:r w:rsidRPr="00F100E1">
        <w:rPr>
          <w:b/>
          <w:color w:val="000000" w:themeColor="text1"/>
          <w:sz w:val="24"/>
          <w:szCs w:val="24"/>
        </w:rPr>
        <w:t xml:space="preserve"> 2.1. Protoc</w:t>
      </w:r>
      <w:r w:rsidR="00292922">
        <w:rPr>
          <w:b/>
          <w:color w:val="000000" w:themeColor="text1"/>
          <w:sz w:val="24"/>
          <w:szCs w:val="24"/>
        </w:rPr>
        <w:t>ol</w:t>
      </w:r>
      <w:r w:rsidRPr="00F100E1">
        <w:rPr>
          <w:b/>
          <w:color w:val="000000" w:themeColor="text1"/>
          <w:sz w:val="24"/>
          <w:szCs w:val="24"/>
        </w:rPr>
        <w:t xml:space="preserve"> de </w:t>
      </w:r>
      <w:proofErr w:type="spellStart"/>
      <w:r w:rsidRPr="00F100E1">
        <w:rPr>
          <w:b/>
          <w:color w:val="000000" w:themeColor="text1"/>
          <w:sz w:val="24"/>
          <w:szCs w:val="24"/>
        </w:rPr>
        <w:t>monitorizare</w:t>
      </w:r>
      <w:proofErr w:type="spellEnd"/>
      <w:r w:rsidRPr="00F100E1">
        <w:rPr>
          <w:b/>
          <w:color w:val="000000" w:themeColor="text1"/>
          <w:sz w:val="24"/>
          <w:szCs w:val="24"/>
        </w:rPr>
        <w:t xml:space="preserve"> a </w:t>
      </w:r>
      <w:proofErr w:type="spellStart"/>
      <w:r w:rsidRPr="00F100E1">
        <w:rPr>
          <w:b/>
          <w:color w:val="000000" w:themeColor="text1"/>
          <w:sz w:val="24"/>
          <w:szCs w:val="24"/>
        </w:rPr>
        <w:t>stării</w:t>
      </w:r>
      <w:proofErr w:type="spellEnd"/>
      <w:r w:rsidRPr="00F100E1">
        <w:rPr>
          <w:b/>
          <w:color w:val="000000" w:themeColor="text1"/>
          <w:sz w:val="24"/>
          <w:szCs w:val="24"/>
        </w:rPr>
        <w:t xml:space="preserve"> de </w:t>
      </w:r>
      <w:proofErr w:type="spellStart"/>
      <w:r w:rsidRPr="00F100E1">
        <w:rPr>
          <w:b/>
          <w:color w:val="000000" w:themeColor="text1"/>
          <w:sz w:val="24"/>
          <w:szCs w:val="24"/>
        </w:rPr>
        <w:t>conservare</w:t>
      </w:r>
      <w:proofErr w:type="spellEnd"/>
      <w:r w:rsidRPr="00F100E1">
        <w:rPr>
          <w:b/>
          <w:color w:val="000000" w:themeColor="text1"/>
          <w:sz w:val="24"/>
          <w:szCs w:val="24"/>
        </w:rPr>
        <w:t xml:space="preserve"> a </w:t>
      </w:r>
      <w:proofErr w:type="spellStart"/>
      <w:r w:rsidRPr="00F100E1">
        <w:rPr>
          <w:b/>
          <w:color w:val="000000" w:themeColor="text1"/>
          <w:sz w:val="24"/>
          <w:szCs w:val="24"/>
        </w:rPr>
        <w:t>habitatelor</w:t>
      </w:r>
      <w:proofErr w:type="spellEnd"/>
      <w:r w:rsidRPr="00F100E1">
        <w:rPr>
          <w:b/>
          <w:color w:val="000000" w:themeColor="text1"/>
          <w:sz w:val="24"/>
          <w:szCs w:val="24"/>
        </w:rPr>
        <w:t xml:space="preserve"> de </w:t>
      </w:r>
      <w:proofErr w:type="spellStart"/>
      <w:r w:rsidRPr="00F100E1">
        <w:rPr>
          <w:b/>
          <w:color w:val="000000" w:themeColor="text1"/>
          <w:sz w:val="24"/>
          <w:szCs w:val="24"/>
        </w:rPr>
        <w:t>sărături</w:t>
      </w:r>
      <w:proofErr w:type="spellEnd"/>
      <w:r w:rsidRPr="00F100E1">
        <w:rPr>
          <w:b/>
          <w:color w:val="000000" w:themeColor="text1"/>
          <w:sz w:val="24"/>
          <w:szCs w:val="24"/>
        </w:rPr>
        <w:t xml:space="preserve"> de </w:t>
      </w:r>
      <w:proofErr w:type="spellStart"/>
      <w:r w:rsidRPr="00F100E1">
        <w:rPr>
          <w:b/>
          <w:color w:val="000000" w:themeColor="text1"/>
          <w:sz w:val="24"/>
          <w:szCs w:val="24"/>
        </w:rPr>
        <w:t>interes</w:t>
      </w:r>
      <w:proofErr w:type="spellEnd"/>
      <w:r w:rsidRPr="00F100E1">
        <w:rPr>
          <w:b/>
          <w:color w:val="000000" w:themeColor="text1"/>
          <w:sz w:val="24"/>
          <w:szCs w:val="24"/>
        </w:rPr>
        <w:t xml:space="preserve"> </w:t>
      </w:r>
      <w:proofErr w:type="spellStart"/>
      <w:r w:rsidRPr="00F100E1">
        <w:rPr>
          <w:b/>
          <w:color w:val="000000" w:themeColor="text1"/>
          <w:sz w:val="24"/>
          <w:szCs w:val="24"/>
        </w:rPr>
        <w:t>comunitar</w:t>
      </w:r>
      <w:proofErr w:type="spellEnd"/>
    </w:p>
    <w:p w14:paraId="0B453FB0" w14:textId="77777777" w:rsidR="008572F7" w:rsidRPr="00C56257" w:rsidRDefault="008572F7" w:rsidP="003100FE">
      <w:pPr>
        <w:pStyle w:val="Heading2"/>
        <w:ind w:right="255" w:firstLine="293"/>
        <w:jc w:val="both"/>
        <w:rPr>
          <w:color w:val="000000" w:themeColor="text1"/>
          <w:sz w:val="24"/>
          <w:szCs w:val="24"/>
          <w:lang w:val="ro-RO"/>
        </w:rPr>
      </w:pPr>
      <w:r w:rsidRPr="00C56257">
        <w:rPr>
          <w:color w:val="000000" w:themeColor="text1"/>
          <w:sz w:val="24"/>
          <w:szCs w:val="24"/>
          <w:lang w:val="ro-RO"/>
        </w:rPr>
        <w:t>Alegerea și distribuția ploturilor se face în funcție de perioadele optime de culegere a</w:t>
      </w:r>
      <w:r w:rsidRPr="00C56257">
        <w:rPr>
          <w:color w:val="000000" w:themeColor="text1"/>
          <w:spacing w:val="1"/>
          <w:sz w:val="24"/>
          <w:szCs w:val="24"/>
          <w:lang w:val="ro-RO"/>
        </w:rPr>
        <w:t xml:space="preserve"> </w:t>
      </w:r>
      <w:r w:rsidRPr="00C56257">
        <w:rPr>
          <w:color w:val="000000" w:themeColor="text1"/>
          <w:sz w:val="24"/>
          <w:szCs w:val="24"/>
          <w:lang w:val="ro-RO"/>
        </w:rPr>
        <w:t>datelor</w:t>
      </w:r>
    </w:p>
    <w:p w14:paraId="7AA8EB9F" w14:textId="77777777" w:rsidR="008572F7" w:rsidRPr="00C56257" w:rsidRDefault="008572F7" w:rsidP="00101046">
      <w:pPr>
        <w:pStyle w:val="BodyText"/>
        <w:ind w:left="293" w:right="59"/>
        <w:jc w:val="both"/>
        <w:rPr>
          <w:color w:val="000000" w:themeColor="text1"/>
          <w:sz w:val="24"/>
          <w:szCs w:val="24"/>
          <w:lang w:val="ro-RO"/>
        </w:rPr>
      </w:pPr>
      <w:r>
        <w:rPr>
          <w:color w:val="000000" w:themeColor="text1"/>
          <w:sz w:val="24"/>
          <w:szCs w:val="24"/>
          <w:lang w:val="ro-RO"/>
        </w:rPr>
        <w:t>M</w:t>
      </w:r>
      <w:r w:rsidRPr="00C56257">
        <w:rPr>
          <w:color w:val="000000" w:themeColor="text1"/>
          <w:sz w:val="24"/>
          <w:szCs w:val="24"/>
          <w:lang w:val="ro-RO"/>
        </w:rPr>
        <w:t>onitorizarea habitatelor de sărături se realizează la nivel național, în</w:t>
      </w:r>
      <w:r w:rsidRPr="00C56257">
        <w:rPr>
          <w:color w:val="000000" w:themeColor="text1"/>
          <w:spacing w:val="1"/>
          <w:sz w:val="24"/>
          <w:szCs w:val="24"/>
          <w:lang w:val="ro-RO"/>
        </w:rPr>
        <w:t xml:space="preserve"> </w:t>
      </w:r>
      <w:r w:rsidRPr="00C56257">
        <w:rPr>
          <w:color w:val="000000" w:themeColor="text1"/>
          <w:sz w:val="24"/>
          <w:szCs w:val="24"/>
          <w:lang w:val="ro-RO"/>
        </w:rPr>
        <w:t>interiorul</w:t>
      </w:r>
      <w:r w:rsidRPr="00C56257">
        <w:rPr>
          <w:color w:val="000000" w:themeColor="text1"/>
          <w:spacing w:val="1"/>
          <w:sz w:val="24"/>
          <w:szCs w:val="24"/>
          <w:lang w:val="ro-RO"/>
        </w:rPr>
        <w:t xml:space="preserve"> </w:t>
      </w:r>
      <w:r w:rsidRPr="00C56257">
        <w:rPr>
          <w:color w:val="000000" w:themeColor="text1"/>
          <w:sz w:val="24"/>
          <w:szCs w:val="24"/>
          <w:lang w:val="ro-RO"/>
        </w:rPr>
        <w:t>și</w:t>
      </w:r>
      <w:r w:rsidRPr="00C56257">
        <w:rPr>
          <w:color w:val="000000" w:themeColor="text1"/>
          <w:spacing w:val="1"/>
          <w:sz w:val="24"/>
          <w:szCs w:val="24"/>
          <w:lang w:val="ro-RO"/>
        </w:rPr>
        <w:t xml:space="preserve"> </w:t>
      </w:r>
      <w:r w:rsidRPr="00C56257">
        <w:rPr>
          <w:color w:val="000000" w:themeColor="text1"/>
          <w:sz w:val="24"/>
          <w:szCs w:val="24"/>
          <w:lang w:val="ro-RO"/>
        </w:rPr>
        <w:t>în</w:t>
      </w:r>
      <w:r w:rsidRPr="00C56257">
        <w:rPr>
          <w:color w:val="000000" w:themeColor="text1"/>
          <w:spacing w:val="1"/>
          <w:sz w:val="24"/>
          <w:szCs w:val="24"/>
          <w:lang w:val="ro-RO"/>
        </w:rPr>
        <w:t xml:space="preserve"> </w:t>
      </w:r>
      <w:r w:rsidRPr="00C56257">
        <w:rPr>
          <w:color w:val="000000" w:themeColor="text1"/>
          <w:sz w:val="24"/>
          <w:szCs w:val="24"/>
          <w:lang w:val="ro-RO"/>
        </w:rPr>
        <w:t>exteriorul</w:t>
      </w:r>
      <w:r w:rsidRPr="00C56257">
        <w:rPr>
          <w:color w:val="000000" w:themeColor="text1"/>
          <w:spacing w:val="1"/>
          <w:sz w:val="24"/>
          <w:szCs w:val="24"/>
          <w:lang w:val="ro-RO"/>
        </w:rPr>
        <w:t xml:space="preserve"> </w:t>
      </w:r>
      <w:r w:rsidRPr="00C56257">
        <w:rPr>
          <w:color w:val="000000" w:themeColor="text1"/>
          <w:sz w:val="24"/>
          <w:szCs w:val="24"/>
          <w:lang w:val="ro-RO"/>
        </w:rPr>
        <w:t>rețelei</w:t>
      </w:r>
      <w:r w:rsidRPr="00C56257">
        <w:rPr>
          <w:color w:val="000000" w:themeColor="text1"/>
          <w:spacing w:val="1"/>
          <w:sz w:val="24"/>
          <w:szCs w:val="24"/>
          <w:lang w:val="ro-RO"/>
        </w:rPr>
        <w:t xml:space="preserve"> </w:t>
      </w:r>
      <w:r w:rsidRPr="00C56257">
        <w:rPr>
          <w:color w:val="000000" w:themeColor="text1"/>
          <w:sz w:val="24"/>
          <w:szCs w:val="24"/>
          <w:lang w:val="ro-RO"/>
        </w:rPr>
        <w:t>Natura</w:t>
      </w:r>
      <w:r w:rsidRPr="00C56257">
        <w:rPr>
          <w:color w:val="000000" w:themeColor="text1"/>
          <w:spacing w:val="1"/>
          <w:sz w:val="24"/>
          <w:szCs w:val="24"/>
          <w:lang w:val="ro-RO"/>
        </w:rPr>
        <w:t xml:space="preserve"> </w:t>
      </w:r>
      <w:r w:rsidRPr="00C56257">
        <w:rPr>
          <w:color w:val="000000" w:themeColor="text1"/>
          <w:sz w:val="24"/>
          <w:szCs w:val="24"/>
          <w:lang w:val="ro-RO"/>
        </w:rPr>
        <w:t>2000,</w:t>
      </w:r>
      <w:r w:rsidRPr="00C56257">
        <w:rPr>
          <w:color w:val="000000" w:themeColor="text1"/>
          <w:spacing w:val="1"/>
          <w:sz w:val="24"/>
          <w:szCs w:val="24"/>
          <w:lang w:val="ro-RO"/>
        </w:rPr>
        <w:t xml:space="preserve"> </w:t>
      </w:r>
      <w:r w:rsidRPr="00C56257">
        <w:rPr>
          <w:color w:val="000000" w:themeColor="text1"/>
          <w:sz w:val="24"/>
          <w:szCs w:val="24"/>
          <w:lang w:val="ro-RO"/>
        </w:rPr>
        <w:t>în</w:t>
      </w:r>
      <w:r w:rsidRPr="00C56257">
        <w:rPr>
          <w:color w:val="000000" w:themeColor="text1"/>
          <w:spacing w:val="1"/>
          <w:sz w:val="24"/>
          <w:szCs w:val="24"/>
          <w:lang w:val="ro-RO"/>
        </w:rPr>
        <w:t xml:space="preserve"> </w:t>
      </w:r>
      <w:r w:rsidRPr="00C56257">
        <w:rPr>
          <w:color w:val="000000" w:themeColor="text1"/>
          <w:sz w:val="24"/>
          <w:szCs w:val="24"/>
          <w:lang w:val="ro-RO"/>
        </w:rPr>
        <w:t>funcție</w:t>
      </w:r>
      <w:r w:rsidRPr="00C56257">
        <w:rPr>
          <w:color w:val="000000" w:themeColor="text1"/>
          <w:spacing w:val="1"/>
          <w:sz w:val="24"/>
          <w:szCs w:val="24"/>
          <w:lang w:val="ro-RO"/>
        </w:rPr>
        <w:t xml:space="preserve"> </w:t>
      </w:r>
      <w:r w:rsidRPr="00C56257">
        <w:rPr>
          <w:color w:val="000000" w:themeColor="text1"/>
          <w:sz w:val="24"/>
          <w:szCs w:val="24"/>
          <w:lang w:val="ro-RO"/>
        </w:rPr>
        <w:t>de</w:t>
      </w:r>
      <w:r w:rsidRPr="00C56257">
        <w:rPr>
          <w:color w:val="000000" w:themeColor="text1"/>
          <w:spacing w:val="1"/>
          <w:sz w:val="24"/>
          <w:szCs w:val="24"/>
          <w:lang w:val="ro-RO"/>
        </w:rPr>
        <w:t xml:space="preserve"> </w:t>
      </w:r>
      <w:r w:rsidRPr="00C56257">
        <w:rPr>
          <w:color w:val="000000" w:themeColor="text1"/>
          <w:sz w:val="24"/>
          <w:szCs w:val="24"/>
          <w:lang w:val="ro-RO"/>
        </w:rPr>
        <w:t>distribuția</w:t>
      </w:r>
      <w:r w:rsidRPr="00C56257">
        <w:rPr>
          <w:color w:val="000000" w:themeColor="text1"/>
          <w:spacing w:val="1"/>
          <w:sz w:val="24"/>
          <w:szCs w:val="24"/>
          <w:lang w:val="ro-RO"/>
        </w:rPr>
        <w:t xml:space="preserve"> </w:t>
      </w:r>
      <w:r w:rsidRPr="00C56257">
        <w:rPr>
          <w:color w:val="000000" w:themeColor="text1"/>
          <w:sz w:val="24"/>
          <w:szCs w:val="24"/>
          <w:lang w:val="ro-RO"/>
        </w:rPr>
        <w:t>habitatelor</w:t>
      </w:r>
      <w:r w:rsidRPr="00C56257">
        <w:rPr>
          <w:color w:val="000000" w:themeColor="text1"/>
          <w:spacing w:val="1"/>
          <w:sz w:val="24"/>
          <w:szCs w:val="24"/>
          <w:lang w:val="ro-RO"/>
        </w:rPr>
        <w:t xml:space="preserve"> </w:t>
      </w:r>
      <w:r w:rsidRPr="00C56257">
        <w:rPr>
          <w:color w:val="000000" w:themeColor="text1"/>
          <w:sz w:val="24"/>
          <w:szCs w:val="24"/>
          <w:lang w:val="ro-RO"/>
        </w:rPr>
        <w:t>pe</w:t>
      </w:r>
      <w:r w:rsidRPr="00C56257">
        <w:rPr>
          <w:color w:val="000000" w:themeColor="text1"/>
          <w:spacing w:val="1"/>
          <w:sz w:val="24"/>
          <w:szCs w:val="24"/>
          <w:lang w:val="ro-RO"/>
        </w:rPr>
        <w:t xml:space="preserve"> </w:t>
      </w:r>
      <w:r w:rsidRPr="00C56257">
        <w:rPr>
          <w:color w:val="000000" w:themeColor="text1"/>
          <w:sz w:val="24"/>
          <w:szCs w:val="24"/>
          <w:lang w:val="ro-RO"/>
        </w:rPr>
        <w:t>regiuni</w:t>
      </w:r>
      <w:r w:rsidRPr="00C56257">
        <w:rPr>
          <w:color w:val="000000" w:themeColor="text1"/>
          <w:spacing w:val="1"/>
          <w:sz w:val="24"/>
          <w:szCs w:val="24"/>
          <w:lang w:val="ro-RO"/>
        </w:rPr>
        <w:t xml:space="preserve"> </w:t>
      </w:r>
      <w:r w:rsidRPr="00C56257">
        <w:rPr>
          <w:color w:val="000000" w:themeColor="text1"/>
          <w:sz w:val="24"/>
          <w:szCs w:val="24"/>
          <w:lang w:val="ro-RO"/>
        </w:rPr>
        <w:t>biogeografice.</w:t>
      </w:r>
    </w:p>
    <w:p w14:paraId="3D6424CE" w14:textId="77777777" w:rsidR="008572F7" w:rsidRPr="00C56257" w:rsidRDefault="008572F7" w:rsidP="00101046">
      <w:pPr>
        <w:pStyle w:val="BodyText"/>
        <w:ind w:left="293" w:right="59"/>
        <w:jc w:val="both"/>
        <w:rPr>
          <w:color w:val="000000" w:themeColor="text1"/>
          <w:sz w:val="24"/>
          <w:szCs w:val="24"/>
          <w:lang w:val="fr-FR"/>
        </w:rPr>
      </w:pP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tabelul</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 xml:space="preserve">de mai </w:t>
      </w:r>
      <w:proofErr w:type="spellStart"/>
      <w:r w:rsidRPr="00C56257">
        <w:rPr>
          <w:color w:val="000000" w:themeColor="text1"/>
          <w:sz w:val="24"/>
          <w:szCs w:val="24"/>
          <w:lang w:val="fr-FR"/>
        </w:rPr>
        <w:t>jos</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z w:val="24"/>
          <w:szCs w:val="24"/>
          <w:lang w:val="fr-FR"/>
        </w:rPr>
        <w:t xml:space="preserve"> redate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habitatele</w:t>
      </w:r>
      <w:proofErr w:type="spellEnd"/>
      <w:r w:rsidRPr="00C56257">
        <w:rPr>
          <w:color w:val="000000" w:themeColor="text1"/>
          <w:sz w:val="24"/>
          <w:szCs w:val="24"/>
          <w:lang w:val="fr-FR"/>
        </w:rPr>
        <w:t xml:space="preserve"> 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sărături</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interes</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comunitar</w:t>
      </w:r>
      <w:proofErr w:type="spellEnd"/>
      <w:r w:rsidRPr="00C56257">
        <w:rPr>
          <w:color w:val="000000" w:themeColor="text1"/>
          <w:sz w:val="24"/>
          <w:szCs w:val="24"/>
          <w:lang w:val="fr-FR"/>
        </w:rPr>
        <w:t xml:space="preserve"> care fac </w:t>
      </w:r>
      <w:proofErr w:type="spellStart"/>
      <w:r w:rsidRPr="00C56257">
        <w:rPr>
          <w:color w:val="000000" w:themeColor="text1"/>
          <w:sz w:val="24"/>
          <w:szCs w:val="24"/>
          <w:lang w:val="fr-FR"/>
        </w:rPr>
        <w:t>obiectul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prezentei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metodologii</w:t>
      </w:r>
      <w:proofErr w:type="spellEnd"/>
      <w:r w:rsidRPr="00C56257">
        <w:rPr>
          <w:color w:val="000000" w:themeColor="text1"/>
          <w:sz w:val="24"/>
          <w:szCs w:val="24"/>
          <w:lang w:val="fr-FR"/>
        </w:rPr>
        <w:t>:</w:t>
      </w:r>
    </w:p>
    <w:p w14:paraId="45E4B7FF" w14:textId="77777777" w:rsidR="008572F7" w:rsidRPr="00C56257" w:rsidRDefault="008572F7" w:rsidP="008572F7">
      <w:pPr>
        <w:pStyle w:val="BodyText"/>
        <w:spacing w:before="2"/>
        <w:jc w:val="both"/>
        <w:rPr>
          <w:color w:val="000000" w:themeColor="text1"/>
          <w:sz w:val="24"/>
          <w:szCs w:val="24"/>
          <w:lang w:val="fr-FR"/>
        </w:rPr>
      </w:pPr>
    </w:p>
    <w:tbl>
      <w:tblPr>
        <w:tblW w:w="0" w:type="auto"/>
        <w:tblInd w:w="3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07"/>
        <w:gridCol w:w="708"/>
        <w:gridCol w:w="709"/>
        <w:gridCol w:w="711"/>
        <w:gridCol w:w="766"/>
        <w:gridCol w:w="745"/>
      </w:tblGrid>
      <w:tr w:rsidR="008572F7" w:rsidRPr="00C56257" w14:paraId="33DCEB17" w14:textId="77777777" w:rsidTr="00C902DF">
        <w:trPr>
          <w:trHeight w:val="254"/>
        </w:trPr>
        <w:tc>
          <w:tcPr>
            <w:tcW w:w="5907" w:type="dxa"/>
            <w:vMerge w:val="restart"/>
            <w:shd w:val="clear" w:color="auto" w:fill="D9D9D9"/>
          </w:tcPr>
          <w:p w14:paraId="72737E36" w14:textId="77777777" w:rsidR="008572F7" w:rsidRPr="00C56257" w:rsidRDefault="008572F7" w:rsidP="00C902DF">
            <w:pPr>
              <w:pStyle w:val="TableParagraph"/>
              <w:spacing w:before="130"/>
              <w:ind w:left="1430"/>
              <w:jc w:val="both"/>
              <w:rPr>
                <w:b/>
                <w:color w:val="000000" w:themeColor="text1"/>
                <w:sz w:val="24"/>
                <w:szCs w:val="24"/>
              </w:rPr>
            </w:pPr>
            <w:r w:rsidRPr="00C56257">
              <w:rPr>
                <w:b/>
                <w:color w:val="000000" w:themeColor="text1"/>
                <w:sz w:val="24"/>
                <w:szCs w:val="24"/>
              </w:rPr>
              <w:t>Denumirea</w:t>
            </w:r>
            <w:r w:rsidRPr="00C56257">
              <w:rPr>
                <w:b/>
                <w:color w:val="000000" w:themeColor="text1"/>
                <w:spacing w:val="-1"/>
                <w:sz w:val="24"/>
                <w:szCs w:val="24"/>
              </w:rPr>
              <w:t xml:space="preserve"> </w:t>
            </w:r>
            <w:r w:rsidRPr="00C56257">
              <w:rPr>
                <w:b/>
                <w:color w:val="000000" w:themeColor="text1"/>
                <w:sz w:val="24"/>
                <w:szCs w:val="24"/>
              </w:rPr>
              <w:t>şi codul Natura</w:t>
            </w:r>
            <w:r w:rsidRPr="00C56257">
              <w:rPr>
                <w:b/>
                <w:color w:val="000000" w:themeColor="text1"/>
                <w:spacing w:val="-1"/>
                <w:sz w:val="24"/>
                <w:szCs w:val="24"/>
              </w:rPr>
              <w:t xml:space="preserve"> </w:t>
            </w:r>
            <w:r w:rsidRPr="00C56257">
              <w:rPr>
                <w:b/>
                <w:color w:val="000000" w:themeColor="text1"/>
                <w:sz w:val="24"/>
                <w:szCs w:val="24"/>
              </w:rPr>
              <w:t>2000</w:t>
            </w:r>
          </w:p>
        </w:tc>
        <w:tc>
          <w:tcPr>
            <w:tcW w:w="3639" w:type="dxa"/>
            <w:gridSpan w:val="5"/>
            <w:shd w:val="clear" w:color="auto" w:fill="D9D9D9"/>
          </w:tcPr>
          <w:p w14:paraId="53BDCFE2" w14:textId="77777777" w:rsidR="008572F7" w:rsidRPr="00C56257" w:rsidRDefault="008572F7" w:rsidP="003100FE">
            <w:pPr>
              <w:pStyle w:val="TableParagraph"/>
              <w:spacing w:line="234" w:lineRule="exact"/>
              <w:ind w:left="182"/>
              <w:jc w:val="center"/>
              <w:rPr>
                <w:b/>
                <w:color w:val="000000" w:themeColor="text1"/>
                <w:sz w:val="24"/>
                <w:szCs w:val="24"/>
              </w:rPr>
            </w:pPr>
            <w:r w:rsidRPr="00C56257">
              <w:rPr>
                <w:b/>
                <w:color w:val="000000" w:themeColor="text1"/>
                <w:sz w:val="24"/>
                <w:szCs w:val="24"/>
              </w:rPr>
              <w:t>Prezenţa</w:t>
            </w:r>
            <w:r w:rsidRPr="00C56257">
              <w:rPr>
                <w:b/>
                <w:color w:val="000000" w:themeColor="text1"/>
                <w:spacing w:val="-5"/>
                <w:sz w:val="24"/>
                <w:szCs w:val="24"/>
              </w:rPr>
              <w:t xml:space="preserve"> </w:t>
            </w:r>
            <w:r w:rsidRPr="00C56257">
              <w:rPr>
                <w:b/>
                <w:color w:val="000000" w:themeColor="text1"/>
                <w:sz w:val="24"/>
                <w:szCs w:val="24"/>
              </w:rPr>
              <w:t>în</w:t>
            </w:r>
            <w:r w:rsidRPr="00C56257">
              <w:rPr>
                <w:b/>
                <w:color w:val="000000" w:themeColor="text1"/>
                <w:spacing w:val="-1"/>
                <w:sz w:val="24"/>
                <w:szCs w:val="24"/>
              </w:rPr>
              <w:t xml:space="preserve"> </w:t>
            </w:r>
            <w:r w:rsidRPr="00C56257">
              <w:rPr>
                <w:b/>
                <w:color w:val="000000" w:themeColor="text1"/>
                <w:sz w:val="24"/>
                <w:szCs w:val="24"/>
              </w:rPr>
              <w:t>regiunea</w:t>
            </w:r>
            <w:r w:rsidRPr="00C56257">
              <w:rPr>
                <w:b/>
                <w:color w:val="000000" w:themeColor="text1"/>
                <w:spacing w:val="-3"/>
                <w:sz w:val="24"/>
                <w:szCs w:val="24"/>
              </w:rPr>
              <w:t xml:space="preserve"> </w:t>
            </w:r>
            <w:r w:rsidRPr="00C56257">
              <w:rPr>
                <w:b/>
                <w:color w:val="000000" w:themeColor="text1"/>
                <w:sz w:val="24"/>
                <w:szCs w:val="24"/>
              </w:rPr>
              <w:t>biogeografică</w:t>
            </w:r>
          </w:p>
        </w:tc>
      </w:tr>
      <w:tr w:rsidR="008572F7" w:rsidRPr="00C56257" w14:paraId="2DA02875" w14:textId="77777777" w:rsidTr="00C902DF">
        <w:trPr>
          <w:trHeight w:val="251"/>
        </w:trPr>
        <w:tc>
          <w:tcPr>
            <w:tcW w:w="5907" w:type="dxa"/>
            <w:vMerge/>
            <w:tcBorders>
              <w:top w:val="nil"/>
            </w:tcBorders>
            <w:shd w:val="clear" w:color="auto" w:fill="D9D9D9"/>
          </w:tcPr>
          <w:p w14:paraId="3D33B0F7" w14:textId="77777777" w:rsidR="008572F7" w:rsidRPr="00C56257" w:rsidRDefault="008572F7" w:rsidP="00C902DF">
            <w:pPr>
              <w:jc w:val="both"/>
              <w:rPr>
                <w:color w:val="000000" w:themeColor="text1"/>
              </w:rPr>
            </w:pPr>
          </w:p>
        </w:tc>
        <w:tc>
          <w:tcPr>
            <w:tcW w:w="708" w:type="dxa"/>
          </w:tcPr>
          <w:p w14:paraId="0318C4E2" w14:textId="77777777" w:rsidR="008572F7" w:rsidRPr="00C56257" w:rsidRDefault="008572F7" w:rsidP="00C902DF">
            <w:pPr>
              <w:pStyle w:val="TableParagraph"/>
              <w:spacing w:line="232" w:lineRule="exact"/>
              <w:ind w:left="74"/>
              <w:jc w:val="both"/>
              <w:rPr>
                <w:b/>
                <w:color w:val="000000" w:themeColor="text1"/>
                <w:sz w:val="24"/>
                <w:szCs w:val="24"/>
              </w:rPr>
            </w:pPr>
            <w:r w:rsidRPr="00C56257">
              <w:rPr>
                <w:b/>
                <w:color w:val="000000" w:themeColor="text1"/>
                <w:sz w:val="24"/>
                <w:szCs w:val="24"/>
              </w:rPr>
              <w:t>PAN</w:t>
            </w:r>
          </w:p>
        </w:tc>
        <w:tc>
          <w:tcPr>
            <w:tcW w:w="709" w:type="dxa"/>
          </w:tcPr>
          <w:p w14:paraId="6845BAB6" w14:textId="77777777" w:rsidR="008572F7" w:rsidRPr="00C56257" w:rsidRDefault="008572F7" w:rsidP="00C902DF">
            <w:pPr>
              <w:pStyle w:val="TableParagraph"/>
              <w:spacing w:line="232" w:lineRule="exact"/>
              <w:ind w:left="54" w:right="115"/>
              <w:jc w:val="both"/>
              <w:rPr>
                <w:b/>
                <w:color w:val="000000" w:themeColor="text1"/>
                <w:sz w:val="24"/>
                <w:szCs w:val="24"/>
              </w:rPr>
            </w:pPr>
            <w:r w:rsidRPr="00C56257">
              <w:rPr>
                <w:b/>
                <w:color w:val="000000" w:themeColor="text1"/>
                <w:sz w:val="24"/>
                <w:szCs w:val="24"/>
              </w:rPr>
              <w:t>CON</w:t>
            </w:r>
          </w:p>
        </w:tc>
        <w:tc>
          <w:tcPr>
            <w:tcW w:w="711" w:type="dxa"/>
          </w:tcPr>
          <w:p w14:paraId="5618C331" w14:textId="77777777" w:rsidR="008572F7" w:rsidRPr="00C56257" w:rsidRDefault="008572F7" w:rsidP="00C902DF">
            <w:pPr>
              <w:pStyle w:val="TableParagraph"/>
              <w:spacing w:line="232" w:lineRule="exact"/>
              <w:ind w:left="136"/>
              <w:jc w:val="both"/>
              <w:rPr>
                <w:b/>
                <w:color w:val="000000" w:themeColor="text1"/>
                <w:sz w:val="24"/>
                <w:szCs w:val="24"/>
              </w:rPr>
            </w:pPr>
            <w:r w:rsidRPr="00C56257">
              <w:rPr>
                <w:b/>
                <w:color w:val="000000" w:themeColor="text1"/>
                <w:sz w:val="24"/>
                <w:szCs w:val="24"/>
              </w:rPr>
              <w:t>ALP</w:t>
            </w:r>
          </w:p>
        </w:tc>
        <w:tc>
          <w:tcPr>
            <w:tcW w:w="766" w:type="dxa"/>
          </w:tcPr>
          <w:p w14:paraId="0F050EF0" w14:textId="77777777" w:rsidR="008572F7" w:rsidRPr="00C56257" w:rsidRDefault="008572F7" w:rsidP="00C902DF">
            <w:pPr>
              <w:pStyle w:val="TableParagraph"/>
              <w:spacing w:line="232" w:lineRule="exact"/>
              <w:ind w:left="156" w:right="143"/>
              <w:jc w:val="both"/>
              <w:rPr>
                <w:b/>
                <w:color w:val="000000" w:themeColor="text1"/>
                <w:sz w:val="24"/>
                <w:szCs w:val="24"/>
              </w:rPr>
            </w:pPr>
            <w:r w:rsidRPr="00C56257">
              <w:rPr>
                <w:b/>
                <w:color w:val="000000" w:themeColor="text1"/>
                <w:sz w:val="24"/>
                <w:szCs w:val="24"/>
              </w:rPr>
              <w:t>STE</w:t>
            </w:r>
          </w:p>
        </w:tc>
        <w:tc>
          <w:tcPr>
            <w:tcW w:w="745" w:type="dxa"/>
          </w:tcPr>
          <w:p w14:paraId="501AC263" w14:textId="77777777" w:rsidR="008572F7" w:rsidRPr="00C56257" w:rsidRDefault="008572F7" w:rsidP="00C902DF">
            <w:pPr>
              <w:pStyle w:val="TableParagraph"/>
              <w:spacing w:line="232" w:lineRule="exact"/>
              <w:ind w:left="118" w:right="111"/>
              <w:jc w:val="both"/>
              <w:rPr>
                <w:b/>
                <w:color w:val="000000" w:themeColor="text1"/>
                <w:sz w:val="24"/>
                <w:szCs w:val="24"/>
              </w:rPr>
            </w:pPr>
            <w:r w:rsidRPr="00C56257">
              <w:rPr>
                <w:b/>
                <w:color w:val="000000" w:themeColor="text1"/>
                <w:sz w:val="24"/>
                <w:szCs w:val="24"/>
              </w:rPr>
              <w:t>PON</w:t>
            </w:r>
          </w:p>
        </w:tc>
      </w:tr>
      <w:tr w:rsidR="008572F7" w:rsidRPr="00C56257" w14:paraId="4F86F999" w14:textId="77777777" w:rsidTr="00C902DF">
        <w:trPr>
          <w:trHeight w:val="506"/>
        </w:trPr>
        <w:tc>
          <w:tcPr>
            <w:tcW w:w="5907" w:type="dxa"/>
          </w:tcPr>
          <w:p w14:paraId="743CD7D5" w14:textId="77777777" w:rsidR="008572F7" w:rsidRPr="00C56257" w:rsidRDefault="008572F7" w:rsidP="00C902DF">
            <w:pPr>
              <w:pStyle w:val="TableParagraph"/>
              <w:spacing w:line="247" w:lineRule="exact"/>
              <w:ind w:left="165"/>
              <w:jc w:val="both"/>
              <w:rPr>
                <w:color w:val="000000" w:themeColor="text1"/>
                <w:sz w:val="24"/>
                <w:szCs w:val="24"/>
              </w:rPr>
            </w:pPr>
            <w:r w:rsidRPr="00C56257">
              <w:rPr>
                <w:color w:val="000000" w:themeColor="text1"/>
                <w:sz w:val="24"/>
                <w:szCs w:val="24"/>
              </w:rPr>
              <w:t>1310</w:t>
            </w:r>
            <w:r w:rsidRPr="00C56257">
              <w:rPr>
                <w:color w:val="000000" w:themeColor="text1"/>
                <w:spacing w:val="-2"/>
                <w:sz w:val="24"/>
                <w:szCs w:val="24"/>
              </w:rPr>
              <w:t xml:space="preserve"> </w:t>
            </w:r>
            <w:r w:rsidRPr="00C56257">
              <w:rPr>
                <w:color w:val="000000" w:themeColor="text1"/>
                <w:sz w:val="24"/>
                <w:szCs w:val="24"/>
              </w:rPr>
              <w:t>–</w:t>
            </w:r>
            <w:r w:rsidRPr="00C56257">
              <w:rPr>
                <w:color w:val="000000" w:themeColor="text1"/>
                <w:spacing w:val="-1"/>
                <w:sz w:val="24"/>
                <w:szCs w:val="24"/>
              </w:rPr>
              <w:t xml:space="preserve"> </w:t>
            </w:r>
            <w:r w:rsidRPr="00C56257">
              <w:rPr>
                <w:color w:val="000000" w:themeColor="text1"/>
                <w:sz w:val="24"/>
                <w:szCs w:val="24"/>
              </w:rPr>
              <w:t>Comunităţi</w:t>
            </w:r>
            <w:r w:rsidRPr="00C56257">
              <w:rPr>
                <w:color w:val="000000" w:themeColor="text1"/>
                <w:spacing w:val="-3"/>
                <w:sz w:val="24"/>
                <w:szCs w:val="24"/>
              </w:rPr>
              <w:t xml:space="preserve"> </w:t>
            </w:r>
            <w:r w:rsidRPr="00C56257">
              <w:rPr>
                <w:color w:val="000000" w:themeColor="text1"/>
                <w:sz w:val="24"/>
                <w:szCs w:val="24"/>
              </w:rPr>
              <w:t>cu</w:t>
            </w:r>
            <w:r w:rsidRPr="00C56257">
              <w:rPr>
                <w:color w:val="000000" w:themeColor="text1"/>
                <w:spacing w:val="-1"/>
                <w:sz w:val="24"/>
                <w:szCs w:val="24"/>
              </w:rPr>
              <w:t xml:space="preserve"> </w:t>
            </w:r>
            <w:r w:rsidRPr="00C56257">
              <w:rPr>
                <w:i/>
                <w:color w:val="000000" w:themeColor="text1"/>
                <w:sz w:val="24"/>
                <w:szCs w:val="24"/>
              </w:rPr>
              <w:t>Salicornia</w:t>
            </w:r>
            <w:r w:rsidRPr="00C56257">
              <w:rPr>
                <w:i/>
                <w:color w:val="000000" w:themeColor="text1"/>
                <w:spacing w:val="-3"/>
                <w:sz w:val="24"/>
                <w:szCs w:val="24"/>
              </w:rPr>
              <w:t xml:space="preserve"> </w:t>
            </w:r>
            <w:r w:rsidRPr="00C56257">
              <w:rPr>
                <w:color w:val="000000" w:themeColor="text1"/>
                <w:sz w:val="24"/>
                <w:szCs w:val="24"/>
              </w:rPr>
              <w:t>spp.şi alte</w:t>
            </w:r>
            <w:r w:rsidRPr="00C56257">
              <w:rPr>
                <w:color w:val="000000" w:themeColor="text1"/>
                <w:spacing w:val="-1"/>
                <w:sz w:val="24"/>
                <w:szCs w:val="24"/>
              </w:rPr>
              <w:t xml:space="preserve"> </w:t>
            </w:r>
            <w:r w:rsidRPr="00C56257">
              <w:rPr>
                <w:color w:val="000000" w:themeColor="text1"/>
                <w:sz w:val="24"/>
                <w:szCs w:val="24"/>
              </w:rPr>
              <w:t>specii anuale</w:t>
            </w:r>
            <w:r w:rsidRPr="00C56257">
              <w:rPr>
                <w:color w:val="000000" w:themeColor="text1"/>
                <w:spacing w:val="-1"/>
                <w:sz w:val="24"/>
                <w:szCs w:val="24"/>
              </w:rPr>
              <w:t xml:space="preserve"> </w:t>
            </w:r>
            <w:r w:rsidRPr="00C56257">
              <w:rPr>
                <w:color w:val="000000" w:themeColor="text1"/>
                <w:sz w:val="24"/>
                <w:szCs w:val="24"/>
              </w:rPr>
              <w:t>care</w:t>
            </w:r>
          </w:p>
          <w:p w14:paraId="5D310395" w14:textId="77777777" w:rsidR="008572F7" w:rsidRPr="00C56257" w:rsidRDefault="008572F7" w:rsidP="00C902DF">
            <w:pPr>
              <w:pStyle w:val="TableParagraph"/>
              <w:spacing w:before="2" w:line="238" w:lineRule="exact"/>
              <w:ind w:left="165"/>
              <w:jc w:val="both"/>
              <w:rPr>
                <w:color w:val="000000" w:themeColor="text1"/>
                <w:sz w:val="24"/>
                <w:szCs w:val="24"/>
              </w:rPr>
            </w:pPr>
            <w:r w:rsidRPr="00C56257">
              <w:rPr>
                <w:color w:val="000000" w:themeColor="text1"/>
                <w:sz w:val="24"/>
                <w:szCs w:val="24"/>
              </w:rPr>
              <w:t>colonizează</w:t>
            </w:r>
            <w:r w:rsidRPr="00C56257">
              <w:rPr>
                <w:color w:val="000000" w:themeColor="text1"/>
                <w:spacing w:val="-1"/>
                <w:sz w:val="24"/>
                <w:szCs w:val="24"/>
              </w:rPr>
              <w:t xml:space="preserve"> </w:t>
            </w:r>
            <w:r w:rsidRPr="00C56257">
              <w:rPr>
                <w:color w:val="000000" w:themeColor="text1"/>
                <w:sz w:val="24"/>
                <w:szCs w:val="24"/>
              </w:rPr>
              <w:t>terenurile</w:t>
            </w:r>
            <w:r w:rsidRPr="00C56257">
              <w:rPr>
                <w:color w:val="000000" w:themeColor="text1"/>
                <w:spacing w:val="-3"/>
                <w:sz w:val="24"/>
                <w:szCs w:val="24"/>
              </w:rPr>
              <w:t xml:space="preserve"> </w:t>
            </w:r>
            <w:r w:rsidRPr="00C56257">
              <w:rPr>
                <w:color w:val="000000" w:themeColor="text1"/>
                <w:sz w:val="24"/>
                <w:szCs w:val="24"/>
              </w:rPr>
              <w:t>umede şi</w:t>
            </w:r>
            <w:r w:rsidRPr="00C56257">
              <w:rPr>
                <w:color w:val="000000" w:themeColor="text1"/>
                <w:spacing w:val="-3"/>
                <w:sz w:val="24"/>
                <w:szCs w:val="24"/>
              </w:rPr>
              <w:t xml:space="preserve"> </w:t>
            </w:r>
            <w:r w:rsidRPr="00C56257">
              <w:rPr>
                <w:color w:val="000000" w:themeColor="text1"/>
                <w:sz w:val="24"/>
                <w:szCs w:val="24"/>
              </w:rPr>
              <w:t>nisipoase</w:t>
            </w:r>
          </w:p>
        </w:tc>
        <w:tc>
          <w:tcPr>
            <w:tcW w:w="708" w:type="dxa"/>
          </w:tcPr>
          <w:p w14:paraId="3C63590D" w14:textId="77777777" w:rsidR="008572F7" w:rsidRPr="00C56257" w:rsidRDefault="008572F7" w:rsidP="00C902DF">
            <w:pPr>
              <w:pStyle w:val="TableParagraph"/>
              <w:jc w:val="both"/>
              <w:rPr>
                <w:color w:val="000000" w:themeColor="text1"/>
                <w:sz w:val="24"/>
                <w:szCs w:val="24"/>
              </w:rPr>
            </w:pPr>
          </w:p>
        </w:tc>
        <w:tc>
          <w:tcPr>
            <w:tcW w:w="709" w:type="dxa"/>
            <w:shd w:val="clear" w:color="auto" w:fill="D9D9D9"/>
          </w:tcPr>
          <w:p w14:paraId="4A5C0D1B" w14:textId="77777777" w:rsidR="008572F7" w:rsidRPr="00C56257" w:rsidRDefault="008572F7" w:rsidP="00C902DF">
            <w:pPr>
              <w:pStyle w:val="TableParagraph"/>
              <w:spacing w:before="125"/>
              <w:ind w:left="14"/>
              <w:jc w:val="both"/>
              <w:rPr>
                <w:b/>
                <w:color w:val="000000" w:themeColor="text1"/>
                <w:sz w:val="24"/>
                <w:szCs w:val="24"/>
              </w:rPr>
            </w:pPr>
            <w:r w:rsidRPr="00C56257">
              <w:rPr>
                <w:b/>
                <w:color w:val="000000" w:themeColor="text1"/>
                <w:sz w:val="24"/>
                <w:szCs w:val="24"/>
              </w:rPr>
              <w:t>√</w:t>
            </w:r>
          </w:p>
        </w:tc>
        <w:tc>
          <w:tcPr>
            <w:tcW w:w="711" w:type="dxa"/>
          </w:tcPr>
          <w:p w14:paraId="486FA64A" w14:textId="77777777" w:rsidR="008572F7" w:rsidRPr="00C56257" w:rsidRDefault="008572F7" w:rsidP="00C902DF">
            <w:pPr>
              <w:pStyle w:val="TableParagraph"/>
              <w:jc w:val="both"/>
              <w:rPr>
                <w:color w:val="000000" w:themeColor="text1"/>
                <w:sz w:val="24"/>
                <w:szCs w:val="24"/>
              </w:rPr>
            </w:pPr>
          </w:p>
        </w:tc>
        <w:tc>
          <w:tcPr>
            <w:tcW w:w="766" w:type="dxa"/>
            <w:shd w:val="clear" w:color="auto" w:fill="D9D9D9"/>
          </w:tcPr>
          <w:p w14:paraId="7E4B4AC8" w14:textId="77777777" w:rsidR="008572F7" w:rsidRPr="00C56257" w:rsidRDefault="008572F7" w:rsidP="00C902DF">
            <w:pPr>
              <w:pStyle w:val="TableParagraph"/>
              <w:spacing w:before="125"/>
              <w:ind w:left="11"/>
              <w:jc w:val="both"/>
              <w:rPr>
                <w:b/>
                <w:color w:val="000000" w:themeColor="text1"/>
                <w:sz w:val="24"/>
                <w:szCs w:val="24"/>
              </w:rPr>
            </w:pPr>
            <w:r w:rsidRPr="00C56257">
              <w:rPr>
                <w:b/>
                <w:color w:val="000000" w:themeColor="text1"/>
                <w:sz w:val="24"/>
                <w:szCs w:val="24"/>
              </w:rPr>
              <w:t>√</w:t>
            </w:r>
          </w:p>
        </w:tc>
        <w:tc>
          <w:tcPr>
            <w:tcW w:w="745" w:type="dxa"/>
            <w:shd w:val="clear" w:color="auto" w:fill="D9D9D9"/>
          </w:tcPr>
          <w:p w14:paraId="2980DC0F" w14:textId="77777777" w:rsidR="008572F7" w:rsidRPr="00C56257" w:rsidRDefault="008572F7" w:rsidP="00C902DF">
            <w:pPr>
              <w:pStyle w:val="TableParagraph"/>
              <w:spacing w:before="125"/>
              <w:ind w:left="8"/>
              <w:jc w:val="both"/>
              <w:rPr>
                <w:b/>
                <w:color w:val="000000" w:themeColor="text1"/>
                <w:sz w:val="24"/>
                <w:szCs w:val="24"/>
              </w:rPr>
            </w:pPr>
            <w:r w:rsidRPr="00C56257">
              <w:rPr>
                <w:b/>
                <w:color w:val="000000" w:themeColor="text1"/>
                <w:sz w:val="24"/>
                <w:szCs w:val="24"/>
              </w:rPr>
              <w:t>√</w:t>
            </w:r>
          </w:p>
        </w:tc>
      </w:tr>
      <w:tr w:rsidR="008572F7" w:rsidRPr="00C56257" w14:paraId="52897F80" w14:textId="77777777" w:rsidTr="00C902DF">
        <w:trPr>
          <w:trHeight w:val="505"/>
        </w:trPr>
        <w:tc>
          <w:tcPr>
            <w:tcW w:w="5907" w:type="dxa"/>
          </w:tcPr>
          <w:p w14:paraId="08224DBC" w14:textId="77777777" w:rsidR="008572F7" w:rsidRPr="00C56257" w:rsidRDefault="008572F7" w:rsidP="00C902DF">
            <w:pPr>
              <w:pStyle w:val="TableParagraph"/>
              <w:spacing w:line="247" w:lineRule="exact"/>
              <w:ind w:left="165"/>
              <w:jc w:val="both"/>
              <w:rPr>
                <w:i/>
                <w:color w:val="000000" w:themeColor="text1"/>
                <w:sz w:val="24"/>
                <w:szCs w:val="24"/>
              </w:rPr>
            </w:pPr>
            <w:r w:rsidRPr="00C56257">
              <w:rPr>
                <w:color w:val="000000" w:themeColor="text1"/>
                <w:sz w:val="24"/>
                <w:szCs w:val="24"/>
              </w:rPr>
              <w:t>1410</w:t>
            </w:r>
            <w:r w:rsidRPr="00C56257">
              <w:rPr>
                <w:color w:val="000000" w:themeColor="text1"/>
                <w:spacing w:val="-2"/>
                <w:sz w:val="24"/>
                <w:szCs w:val="24"/>
              </w:rPr>
              <w:t xml:space="preserve"> </w:t>
            </w:r>
            <w:r w:rsidRPr="00C56257">
              <w:rPr>
                <w:color w:val="000000" w:themeColor="text1"/>
                <w:sz w:val="24"/>
                <w:szCs w:val="24"/>
              </w:rPr>
              <w:t>-</w:t>
            </w:r>
            <w:r w:rsidRPr="00C56257">
              <w:rPr>
                <w:color w:val="000000" w:themeColor="text1"/>
                <w:spacing w:val="-5"/>
                <w:sz w:val="24"/>
                <w:szCs w:val="24"/>
              </w:rPr>
              <w:t xml:space="preserve"> </w:t>
            </w:r>
            <w:r w:rsidRPr="00C56257">
              <w:rPr>
                <w:color w:val="000000" w:themeColor="text1"/>
                <w:sz w:val="24"/>
                <w:szCs w:val="24"/>
              </w:rPr>
              <w:t>Pajişti sărăturate</w:t>
            </w:r>
            <w:r w:rsidRPr="00C56257">
              <w:rPr>
                <w:color w:val="000000" w:themeColor="text1"/>
                <w:spacing w:val="-1"/>
                <w:sz w:val="24"/>
                <w:szCs w:val="24"/>
              </w:rPr>
              <w:t xml:space="preserve"> </w:t>
            </w:r>
            <w:r w:rsidRPr="00C56257">
              <w:rPr>
                <w:color w:val="000000" w:themeColor="text1"/>
                <w:sz w:val="24"/>
                <w:szCs w:val="24"/>
              </w:rPr>
              <w:t>de</w:t>
            </w:r>
            <w:r w:rsidRPr="00C56257">
              <w:rPr>
                <w:color w:val="000000" w:themeColor="text1"/>
                <w:spacing w:val="-5"/>
                <w:sz w:val="24"/>
                <w:szCs w:val="24"/>
              </w:rPr>
              <w:t xml:space="preserve"> </w:t>
            </w:r>
            <w:r w:rsidRPr="00C56257">
              <w:rPr>
                <w:color w:val="000000" w:themeColor="text1"/>
                <w:sz w:val="24"/>
                <w:szCs w:val="24"/>
              </w:rPr>
              <w:t>tip</w:t>
            </w:r>
            <w:r w:rsidRPr="00C56257">
              <w:rPr>
                <w:color w:val="000000" w:themeColor="text1"/>
                <w:spacing w:val="-1"/>
                <w:sz w:val="24"/>
                <w:szCs w:val="24"/>
              </w:rPr>
              <w:t xml:space="preserve"> </w:t>
            </w:r>
            <w:r w:rsidRPr="00C56257">
              <w:rPr>
                <w:color w:val="000000" w:themeColor="text1"/>
                <w:sz w:val="24"/>
                <w:szCs w:val="24"/>
              </w:rPr>
              <w:t>mediteranean</w:t>
            </w:r>
            <w:r w:rsidRPr="00C56257">
              <w:rPr>
                <w:color w:val="000000" w:themeColor="text1"/>
                <w:spacing w:val="-1"/>
                <w:sz w:val="24"/>
                <w:szCs w:val="24"/>
              </w:rPr>
              <w:t xml:space="preserve"> </w:t>
            </w:r>
            <w:r w:rsidRPr="00C56257">
              <w:rPr>
                <w:color w:val="000000" w:themeColor="text1"/>
                <w:sz w:val="24"/>
                <w:szCs w:val="24"/>
              </w:rPr>
              <w:t>(</w:t>
            </w:r>
            <w:r w:rsidRPr="00C56257">
              <w:rPr>
                <w:i/>
                <w:color w:val="000000" w:themeColor="text1"/>
                <w:sz w:val="24"/>
                <w:szCs w:val="24"/>
              </w:rPr>
              <w:t>Juncetalia</w:t>
            </w:r>
          </w:p>
          <w:p w14:paraId="270CCF09" w14:textId="77777777" w:rsidR="008572F7" w:rsidRPr="00C56257" w:rsidRDefault="008572F7" w:rsidP="00C902DF">
            <w:pPr>
              <w:pStyle w:val="TableParagraph"/>
              <w:spacing w:before="1" w:line="238" w:lineRule="exact"/>
              <w:ind w:left="165"/>
              <w:jc w:val="both"/>
              <w:rPr>
                <w:color w:val="000000" w:themeColor="text1"/>
                <w:sz w:val="24"/>
                <w:szCs w:val="24"/>
              </w:rPr>
            </w:pPr>
            <w:r w:rsidRPr="00C56257">
              <w:rPr>
                <w:i/>
                <w:color w:val="000000" w:themeColor="text1"/>
                <w:sz w:val="24"/>
                <w:szCs w:val="24"/>
              </w:rPr>
              <w:t>maritimi</w:t>
            </w:r>
            <w:r w:rsidRPr="00C56257">
              <w:rPr>
                <w:color w:val="000000" w:themeColor="text1"/>
                <w:sz w:val="24"/>
                <w:szCs w:val="24"/>
              </w:rPr>
              <w:t>)</w:t>
            </w:r>
          </w:p>
        </w:tc>
        <w:tc>
          <w:tcPr>
            <w:tcW w:w="708" w:type="dxa"/>
          </w:tcPr>
          <w:p w14:paraId="316F466A" w14:textId="77777777" w:rsidR="008572F7" w:rsidRPr="00C56257" w:rsidRDefault="008572F7" w:rsidP="00C902DF">
            <w:pPr>
              <w:pStyle w:val="TableParagraph"/>
              <w:jc w:val="both"/>
              <w:rPr>
                <w:color w:val="000000" w:themeColor="text1"/>
                <w:sz w:val="24"/>
                <w:szCs w:val="24"/>
              </w:rPr>
            </w:pPr>
          </w:p>
        </w:tc>
        <w:tc>
          <w:tcPr>
            <w:tcW w:w="709" w:type="dxa"/>
          </w:tcPr>
          <w:p w14:paraId="14ED288D" w14:textId="77777777" w:rsidR="008572F7" w:rsidRPr="00C56257" w:rsidRDefault="008572F7" w:rsidP="00C902DF">
            <w:pPr>
              <w:pStyle w:val="TableParagraph"/>
              <w:jc w:val="both"/>
              <w:rPr>
                <w:color w:val="000000" w:themeColor="text1"/>
                <w:sz w:val="24"/>
                <w:szCs w:val="24"/>
              </w:rPr>
            </w:pPr>
          </w:p>
        </w:tc>
        <w:tc>
          <w:tcPr>
            <w:tcW w:w="711" w:type="dxa"/>
          </w:tcPr>
          <w:p w14:paraId="69396D1B" w14:textId="77777777" w:rsidR="008572F7" w:rsidRPr="00C56257" w:rsidRDefault="008572F7" w:rsidP="00C902DF">
            <w:pPr>
              <w:pStyle w:val="TableParagraph"/>
              <w:jc w:val="both"/>
              <w:rPr>
                <w:color w:val="000000" w:themeColor="text1"/>
                <w:sz w:val="24"/>
                <w:szCs w:val="24"/>
              </w:rPr>
            </w:pPr>
          </w:p>
        </w:tc>
        <w:tc>
          <w:tcPr>
            <w:tcW w:w="766" w:type="dxa"/>
          </w:tcPr>
          <w:p w14:paraId="5B1B9460" w14:textId="77777777" w:rsidR="008572F7" w:rsidRPr="00C56257" w:rsidRDefault="008572F7" w:rsidP="00C902DF">
            <w:pPr>
              <w:pStyle w:val="TableParagraph"/>
              <w:jc w:val="both"/>
              <w:rPr>
                <w:color w:val="000000" w:themeColor="text1"/>
                <w:sz w:val="24"/>
                <w:szCs w:val="24"/>
              </w:rPr>
            </w:pPr>
          </w:p>
        </w:tc>
        <w:tc>
          <w:tcPr>
            <w:tcW w:w="745" w:type="dxa"/>
            <w:shd w:val="clear" w:color="auto" w:fill="D9D9D9"/>
          </w:tcPr>
          <w:p w14:paraId="4C181279" w14:textId="77777777" w:rsidR="008572F7" w:rsidRPr="00C56257" w:rsidRDefault="008572F7" w:rsidP="00C902DF">
            <w:pPr>
              <w:pStyle w:val="TableParagraph"/>
              <w:spacing w:before="125"/>
              <w:ind w:left="8"/>
              <w:jc w:val="both"/>
              <w:rPr>
                <w:b/>
                <w:color w:val="000000" w:themeColor="text1"/>
                <w:sz w:val="24"/>
                <w:szCs w:val="24"/>
              </w:rPr>
            </w:pPr>
            <w:r w:rsidRPr="00C56257">
              <w:rPr>
                <w:b/>
                <w:color w:val="000000" w:themeColor="text1"/>
                <w:sz w:val="24"/>
                <w:szCs w:val="24"/>
              </w:rPr>
              <w:t>√</w:t>
            </w:r>
          </w:p>
        </w:tc>
      </w:tr>
      <w:tr w:rsidR="008572F7" w:rsidRPr="00C56257" w14:paraId="6142E59C" w14:textId="77777777" w:rsidTr="00C902DF">
        <w:trPr>
          <w:trHeight w:val="506"/>
        </w:trPr>
        <w:tc>
          <w:tcPr>
            <w:tcW w:w="5907" w:type="dxa"/>
          </w:tcPr>
          <w:p w14:paraId="7FED3FA4" w14:textId="77777777" w:rsidR="008572F7" w:rsidRPr="00C56257" w:rsidRDefault="008572F7" w:rsidP="00C902DF">
            <w:pPr>
              <w:pStyle w:val="TableParagraph"/>
              <w:spacing w:line="247" w:lineRule="exact"/>
              <w:ind w:left="165"/>
              <w:jc w:val="both"/>
              <w:rPr>
                <w:color w:val="000000" w:themeColor="text1"/>
                <w:sz w:val="24"/>
                <w:szCs w:val="24"/>
              </w:rPr>
            </w:pPr>
            <w:r w:rsidRPr="00C56257">
              <w:rPr>
                <w:color w:val="000000" w:themeColor="text1"/>
                <w:sz w:val="24"/>
                <w:szCs w:val="24"/>
              </w:rPr>
              <w:t>1530*</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5"/>
                <w:sz w:val="24"/>
                <w:szCs w:val="24"/>
              </w:rPr>
              <w:t xml:space="preserve"> </w:t>
            </w:r>
            <w:r w:rsidRPr="00C56257">
              <w:rPr>
                <w:color w:val="000000" w:themeColor="text1"/>
                <w:sz w:val="24"/>
                <w:szCs w:val="24"/>
              </w:rPr>
              <w:t>Pajişti</w:t>
            </w:r>
            <w:r w:rsidRPr="00C56257">
              <w:rPr>
                <w:color w:val="000000" w:themeColor="text1"/>
                <w:spacing w:val="-3"/>
                <w:sz w:val="24"/>
                <w:szCs w:val="24"/>
              </w:rPr>
              <w:t xml:space="preserve"> </w:t>
            </w:r>
            <w:r w:rsidRPr="00C56257">
              <w:rPr>
                <w:color w:val="000000" w:themeColor="text1"/>
                <w:sz w:val="24"/>
                <w:szCs w:val="24"/>
              </w:rPr>
              <w:t>şi mlaştini halofile panonice</w:t>
            </w:r>
            <w:r w:rsidRPr="00C56257">
              <w:rPr>
                <w:color w:val="000000" w:themeColor="text1"/>
                <w:spacing w:val="1"/>
                <w:sz w:val="24"/>
                <w:szCs w:val="24"/>
              </w:rPr>
              <w:t xml:space="preserve"> </w:t>
            </w:r>
            <w:r w:rsidRPr="00C56257">
              <w:rPr>
                <w:color w:val="000000" w:themeColor="text1"/>
                <w:sz w:val="24"/>
                <w:szCs w:val="24"/>
              </w:rPr>
              <w:t>şi ponto</w:t>
            </w:r>
            <w:r w:rsidRPr="00C56257">
              <w:rPr>
                <w:color w:val="000000" w:themeColor="text1"/>
                <w:spacing w:val="-1"/>
                <w:sz w:val="24"/>
                <w:szCs w:val="24"/>
              </w:rPr>
              <w:t xml:space="preserve"> </w:t>
            </w:r>
            <w:r w:rsidRPr="00C56257">
              <w:rPr>
                <w:color w:val="000000" w:themeColor="text1"/>
                <w:sz w:val="24"/>
                <w:szCs w:val="24"/>
              </w:rPr>
              <w:t>-</w:t>
            </w:r>
          </w:p>
          <w:p w14:paraId="4BAF773B" w14:textId="77777777" w:rsidR="008572F7" w:rsidRPr="00C56257" w:rsidRDefault="008572F7" w:rsidP="00C902DF">
            <w:pPr>
              <w:pStyle w:val="TableParagraph"/>
              <w:spacing w:before="1" w:line="238" w:lineRule="exact"/>
              <w:ind w:left="165"/>
              <w:jc w:val="both"/>
              <w:rPr>
                <w:color w:val="000000" w:themeColor="text1"/>
                <w:sz w:val="24"/>
                <w:szCs w:val="24"/>
              </w:rPr>
            </w:pPr>
            <w:r w:rsidRPr="00C56257">
              <w:rPr>
                <w:color w:val="000000" w:themeColor="text1"/>
                <w:sz w:val="24"/>
                <w:szCs w:val="24"/>
              </w:rPr>
              <w:t>sarmatice</w:t>
            </w:r>
          </w:p>
        </w:tc>
        <w:tc>
          <w:tcPr>
            <w:tcW w:w="708" w:type="dxa"/>
            <w:shd w:val="clear" w:color="auto" w:fill="D9D9D9"/>
          </w:tcPr>
          <w:p w14:paraId="257DE7A1" w14:textId="77777777" w:rsidR="008572F7" w:rsidRPr="00C56257" w:rsidRDefault="008572F7" w:rsidP="00C902DF">
            <w:pPr>
              <w:pStyle w:val="TableParagraph"/>
              <w:spacing w:before="125"/>
              <w:ind w:left="13"/>
              <w:jc w:val="both"/>
              <w:rPr>
                <w:b/>
                <w:color w:val="000000" w:themeColor="text1"/>
                <w:sz w:val="24"/>
                <w:szCs w:val="24"/>
              </w:rPr>
            </w:pPr>
            <w:r w:rsidRPr="00C56257">
              <w:rPr>
                <w:b/>
                <w:color w:val="000000" w:themeColor="text1"/>
                <w:sz w:val="24"/>
                <w:szCs w:val="24"/>
              </w:rPr>
              <w:t>√</w:t>
            </w:r>
          </w:p>
        </w:tc>
        <w:tc>
          <w:tcPr>
            <w:tcW w:w="709" w:type="dxa"/>
            <w:shd w:val="clear" w:color="auto" w:fill="D9D9D9"/>
          </w:tcPr>
          <w:p w14:paraId="6A2BD31E" w14:textId="77777777" w:rsidR="008572F7" w:rsidRPr="00C56257" w:rsidRDefault="008572F7" w:rsidP="00C902DF">
            <w:pPr>
              <w:pStyle w:val="TableParagraph"/>
              <w:spacing w:before="125"/>
              <w:ind w:left="14"/>
              <w:jc w:val="both"/>
              <w:rPr>
                <w:b/>
                <w:color w:val="000000" w:themeColor="text1"/>
                <w:sz w:val="24"/>
                <w:szCs w:val="24"/>
              </w:rPr>
            </w:pPr>
            <w:r w:rsidRPr="00C56257">
              <w:rPr>
                <w:b/>
                <w:color w:val="000000" w:themeColor="text1"/>
                <w:sz w:val="24"/>
                <w:szCs w:val="24"/>
              </w:rPr>
              <w:t>√</w:t>
            </w:r>
          </w:p>
        </w:tc>
        <w:tc>
          <w:tcPr>
            <w:tcW w:w="711" w:type="dxa"/>
          </w:tcPr>
          <w:p w14:paraId="2E4F189D" w14:textId="77777777" w:rsidR="008572F7" w:rsidRPr="00C56257" w:rsidRDefault="008572F7" w:rsidP="00C902DF">
            <w:pPr>
              <w:pStyle w:val="TableParagraph"/>
              <w:jc w:val="both"/>
              <w:rPr>
                <w:color w:val="000000" w:themeColor="text1"/>
                <w:sz w:val="24"/>
                <w:szCs w:val="24"/>
              </w:rPr>
            </w:pPr>
          </w:p>
        </w:tc>
        <w:tc>
          <w:tcPr>
            <w:tcW w:w="766" w:type="dxa"/>
            <w:shd w:val="clear" w:color="auto" w:fill="D9D9D9"/>
          </w:tcPr>
          <w:p w14:paraId="2B701C66" w14:textId="77777777" w:rsidR="008572F7" w:rsidRPr="00C56257" w:rsidRDefault="008572F7" w:rsidP="00C902DF">
            <w:pPr>
              <w:pStyle w:val="TableParagraph"/>
              <w:spacing w:before="125"/>
              <w:ind w:left="11"/>
              <w:jc w:val="both"/>
              <w:rPr>
                <w:b/>
                <w:color w:val="000000" w:themeColor="text1"/>
                <w:sz w:val="24"/>
                <w:szCs w:val="24"/>
              </w:rPr>
            </w:pPr>
            <w:r w:rsidRPr="00C56257">
              <w:rPr>
                <w:b/>
                <w:color w:val="000000" w:themeColor="text1"/>
                <w:sz w:val="24"/>
                <w:szCs w:val="24"/>
              </w:rPr>
              <w:t>√</w:t>
            </w:r>
          </w:p>
        </w:tc>
        <w:tc>
          <w:tcPr>
            <w:tcW w:w="745" w:type="dxa"/>
            <w:shd w:val="clear" w:color="auto" w:fill="D9D9D9"/>
          </w:tcPr>
          <w:p w14:paraId="06FE34F9" w14:textId="77777777" w:rsidR="008572F7" w:rsidRPr="00C56257" w:rsidRDefault="008572F7" w:rsidP="00C902DF">
            <w:pPr>
              <w:pStyle w:val="TableParagraph"/>
              <w:spacing w:before="125"/>
              <w:ind w:left="8"/>
              <w:jc w:val="both"/>
              <w:rPr>
                <w:b/>
                <w:color w:val="000000" w:themeColor="text1"/>
                <w:sz w:val="24"/>
                <w:szCs w:val="24"/>
              </w:rPr>
            </w:pPr>
            <w:r w:rsidRPr="00C56257">
              <w:rPr>
                <w:b/>
                <w:color w:val="000000" w:themeColor="text1"/>
                <w:sz w:val="24"/>
                <w:szCs w:val="24"/>
              </w:rPr>
              <w:t>√</w:t>
            </w:r>
          </w:p>
        </w:tc>
      </w:tr>
    </w:tbl>
    <w:p w14:paraId="5E6F7181" w14:textId="77777777" w:rsidR="008572F7" w:rsidRPr="00C56257" w:rsidRDefault="008572F7" w:rsidP="008572F7">
      <w:pPr>
        <w:pStyle w:val="BodyText"/>
        <w:jc w:val="both"/>
        <w:rPr>
          <w:color w:val="000000" w:themeColor="text1"/>
          <w:sz w:val="24"/>
          <w:szCs w:val="24"/>
        </w:rPr>
      </w:pPr>
    </w:p>
    <w:p w14:paraId="746247EA" w14:textId="77777777" w:rsidR="008572F7" w:rsidRPr="00C56257" w:rsidRDefault="008572F7" w:rsidP="008572F7">
      <w:pPr>
        <w:pStyle w:val="BodyText"/>
        <w:spacing w:before="223"/>
        <w:ind w:left="293"/>
        <w:jc w:val="both"/>
        <w:rPr>
          <w:color w:val="000000" w:themeColor="text1"/>
          <w:sz w:val="24"/>
          <w:szCs w:val="24"/>
          <w:lang w:val="fr-FR"/>
        </w:rPr>
      </w:pP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tabelul</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 mai</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jos</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redate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perioadele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optime</w:t>
      </w:r>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culegere</w:t>
      </w:r>
      <w:proofErr w:type="spellEnd"/>
      <w:r w:rsidRPr="00C56257">
        <w:rPr>
          <w:color w:val="000000" w:themeColor="text1"/>
          <w:spacing w:val="-3"/>
          <w:sz w:val="24"/>
          <w:szCs w:val="24"/>
          <w:lang w:val="fr-FR"/>
        </w:rPr>
        <w:t xml:space="preserve"> </w:t>
      </w:r>
      <w:r w:rsidRPr="00C56257">
        <w:rPr>
          <w:color w:val="000000" w:themeColor="text1"/>
          <w:sz w:val="24"/>
          <w:szCs w:val="24"/>
          <w:lang w:val="fr-FR"/>
        </w:rPr>
        <w:t>a</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datelor</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cadrul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habitatelor</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țintă</w:t>
      </w:r>
      <w:proofErr w:type="spellEnd"/>
    </w:p>
    <w:p w14:paraId="796DC4FB" w14:textId="77777777" w:rsidR="008572F7" w:rsidRPr="00C56257" w:rsidRDefault="008572F7" w:rsidP="008572F7">
      <w:pPr>
        <w:pStyle w:val="BodyText"/>
        <w:spacing w:before="8"/>
        <w:jc w:val="both"/>
        <w:rPr>
          <w:color w:val="000000" w:themeColor="text1"/>
          <w:sz w:val="24"/>
          <w:szCs w:val="24"/>
          <w:lang w:val="fr-FR"/>
        </w:rPr>
      </w:pPr>
    </w:p>
    <w:tbl>
      <w:tblPr>
        <w:tblW w:w="0" w:type="auto"/>
        <w:tblInd w:w="25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261"/>
        <w:gridCol w:w="2847"/>
        <w:gridCol w:w="2184"/>
        <w:gridCol w:w="2448"/>
      </w:tblGrid>
      <w:tr w:rsidR="008572F7" w:rsidRPr="00C56257" w14:paraId="3A0715DF" w14:textId="77777777" w:rsidTr="00C902DF">
        <w:trPr>
          <w:trHeight w:val="464"/>
        </w:trPr>
        <w:tc>
          <w:tcPr>
            <w:tcW w:w="2261" w:type="dxa"/>
            <w:tcBorders>
              <w:bottom w:val="single" w:sz="6" w:space="0" w:color="000000"/>
              <w:right w:val="single" w:sz="6" w:space="0" w:color="000000"/>
            </w:tcBorders>
            <w:shd w:val="clear" w:color="auto" w:fill="D9D9D9"/>
          </w:tcPr>
          <w:p w14:paraId="032ABD76" w14:textId="77777777" w:rsidR="008572F7" w:rsidRPr="00C56257" w:rsidRDefault="008572F7" w:rsidP="00C902DF">
            <w:pPr>
              <w:pStyle w:val="TableParagraph"/>
              <w:ind w:left="650"/>
              <w:jc w:val="both"/>
              <w:rPr>
                <w:b/>
                <w:color w:val="000000" w:themeColor="text1"/>
                <w:sz w:val="24"/>
                <w:szCs w:val="24"/>
              </w:rPr>
            </w:pPr>
            <w:r w:rsidRPr="00C56257">
              <w:rPr>
                <w:b/>
                <w:color w:val="000000" w:themeColor="text1"/>
                <w:sz w:val="24"/>
                <w:szCs w:val="24"/>
              </w:rPr>
              <w:t>Tip</w:t>
            </w:r>
            <w:r w:rsidRPr="00C56257">
              <w:rPr>
                <w:b/>
                <w:color w:val="000000" w:themeColor="text1"/>
                <w:spacing w:val="-3"/>
                <w:sz w:val="24"/>
                <w:szCs w:val="24"/>
              </w:rPr>
              <w:t xml:space="preserve"> </w:t>
            </w:r>
            <w:r w:rsidRPr="00C56257">
              <w:rPr>
                <w:b/>
                <w:color w:val="000000" w:themeColor="text1"/>
                <w:sz w:val="24"/>
                <w:szCs w:val="24"/>
              </w:rPr>
              <w:t>habitat</w:t>
            </w:r>
          </w:p>
        </w:tc>
        <w:tc>
          <w:tcPr>
            <w:tcW w:w="2847" w:type="dxa"/>
            <w:tcBorders>
              <w:left w:val="single" w:sz="6" w:space="0" w:color="000000"/>
              <w:bottom w:val="single" w:sz="6" w:space="0" w:color="000000"/>
              <w:right w:val="single" w:sz="6" w:space="0" w:color="000000"/>
            </w:tcBorders>
            <w:shd w:val="clear" w:color="auto" w:fill="D9D9D9"/>
          </w:tcPr>
          <w:p w14:paraId="19B2F71D" w14:textId="77777777" w:rsidR="008572F7" w:rsidRPr="00C56257" w:rsidRDefault="008572F7" w:rsidP="00C902DF">
            <w:pPr>
              <w:pStyle w:val="TableParagraph"/>
              <w:ind w:left="614"/>
              <w:jc w:val="both"/>
              <w:rPr>
                <w:b/>
                <w:color w:val="000000" w:themeColor="text1"/>
                <w:sz w:val="24"/>
                <w:szCs w:val="24"/>
              </w:rPr>
            </w:pPr>
            <w:r w:rsidRPr="00C56257">
              <w:rPr>
                <w:b/>
                <w:color w:val="000000" w:themeColor="text1"/>
                <w:sz w:val="24"/>
                <w:szCs w:val="24"/>
              </w:rPr>
              <w:t>Tipul</w:t>
            </w:r>
            <w:r w:rsidRPr="00C56257">
              <w:rPr>
                <w:b/>
                <w:color w:val="000000" w:themeColor="text1"/>
                <w:spacing w:val="-4"/>
                <w:sz w:val="24"/>
                <w:szCs w:val="24"/>
              </w:rPr>
              <w:t xml:space="preserve"> </w:t>
            </w:r>
            <w:r w:rsidRPr="00C56257">
              <w:rPr>
                <w:b/>
                <w:color w:val="000000" w:themeColor="text1"/>
                <w:sz w:val="24"/>
                <w:szCs w:val="24"/>
              </w:rPr>
              <w:t>de</w:t>
            </w:r>
            <w:r w:rsidRPr="00C56257">
              <w:rPr>
                <w:b/>
                <w:color w:val="000000" w:themeColor="text1"/>
                <w:spacing w:val="-2"/>
                <w:sz w:val="24"/>
                <w:szCs w:val="24"/>
              </w:rPr>
              <w:t xml:space="preserve"> </w:t>
            </w:r>
            <w:r w:rsidRPr="00C56257">
              <w:rPr>
                <w:b/>
                <w:color w:val="000000" w:themeColor="text1"/>
                <w:sz w:val="24"/>
                <w:szCs w:val="24"/>
              </w:rPr>
              <w:t>fitocenoză</w:t>
            </w:r>
          </w:p>
        </w:tc>
        <w:tc>
          <w:tcPr>
            <w:tcW w:w="2184" w:type="dxa"/>
            <w:tcBorders>
              <w:left w:val="single" w:sz="6" w:space="0" w:color="000000"/>
              <w:bottom w:val="single" w:sz="6" w:space="0" w:color="000000"/>
              <w:right w:val="single" w:sz="6" w:space="0" w:color="000000"/>
            </w:tcBorders>
            <w:shd w:val="clear" w:color="auto" w:fill="D9D9D9"/>
          </w:tcPr>
          <w:p w14:paraId="01BEE391" w14:textId="77777777" w:rsidR="008572F7" w:rsidRPr="00C56257" w:rsidRDefault="008572F7" w:rsidP="00C902DF">
            <w:pPr>
              <w:pStyle w:val="TableParagraph"/>
              <w:ind w:left="323" w:right="291"/>
              <w:jc w:val="both"/>
              <w:rPr>
                <w:b/>
                <w:color w:val="000000" w:themeColor="text1"/>
                <w:sz w:val="24"/>
                <w:szCs w:val="24"/>
              </w:rPr>
            </w:pPr>
            <w:r w:rsidRPr="00C56257">
              <w:rPr>
                <w:b/>
                <w:color w:val="000000" w:themeColor="text1"/>
                <w:sz w:val="24"/>
                <w:szCs w:val="24"/>
              </w:rPr>
              <w:t>Aspectul</w:t>
            </w:r>
            <w:r w:rsidRPr="00C56257">
              <w:rPr>
                <w:b/>
                <w:color w:val="000000" w:themeColor="text1"/>
                <w:spacing w:val="-3"/>
                <w:sz w:val="24"/>
                <w:szCs w:val="24"/>
              </w:rPr>
              <w:t xml:space="preserve"> </w:t>
            </w:r>
            <w:r w:rsidRPr="00C56257">
              <w:rPr>
                <w:b/>
                <w:color w:val="000000" w:themeColor="text1"/>
                <w:sz w:val="24"/>
                <w:szCs w:val="24"/>
              </w:rPr>
              <w:t>surprins</w:t>
            </w:r>
          </w:p>
        </w:tc>
        <w:tc>
          <w:tcPr>
            <w:tcW w:w="2448" w:type="dxa"/>
            <w:tcBorders>
              <w:left w:val="single" w:sz="6" w:space="0" w:color="000000"/>
              <w:bottom w:val="single" w:sz="6" w:space="0" w:color="000000"/>
            </w:tcBorders>
            <w:shd w:val="clear" w:color="auto" w:fill="D9D9D9"/>
          </w:tcPr>
          <w:p w14:paraId="132CD57F" w14:textId="77777777" w:rsidR="008572F7" w:rsidRPr="00C56257" w:rsidRDefault="008572F7" w:rsidP="00C902DF">
            <w:pPr>
              <w:pStyle w:val="TableParagraph"/>
              <w:ind w:left="504" w:right="469"/>
              <w:jc w:val="both"/>
              <w:rPr>
                <w:b/>
                <w:color w:val="000000" w:themeColor="text1"/>
                <w:sz w:val="24"/>
                <w:szCs w:val="24"/>
              </w:rPr>
            </w:pPr>
            <w:r w:rsidRPr="00C56257">
              <w:rPr>
                <w:b/>
                <w:color w:val="000000" w:themeColor="text1"/>
                <w:sz w:val="24"/>
                <w:szCs w:val="24"/>
              </w:rPr>
              <w:t>Perioada</w:t>
            </w:r>
            <w:r w:rsidRPr="00C56257">
              <w:rPr>
                <w:b/>
                <w:color w:val="000000" w:themeColor="text1"/>
                <w:spacing w:val="-5"/>
                <w:sz w:val="24"/>
                <w:szCs w:val="24"/>
              </w:rPr>
              <w:t xml:space="preserve"> </w:t>
            </w:r>
            <w:r w:rsidRPr="00C56257">
              <w:rPr>
                <w:b/>
                <w:color w:val="000000" w:themeColor="text1"/>
                <w:sz w:val="24"/>
                <w:szCs w:val="24"/>
              </w:rPr>
              <w:t>optimă</w:t>
            </w:r>
          </w:p>
        </w:tc>
      </w:tr>
      <w:tr w:rsidR="008572F7" w:rsidRPr="00C56257" w14:paraId="574CB3F2" w14:textId="77777777" w:rsidTr="00C902DF">
        <w:trPr>
          <w:trHeight w:val="455"/>
        </w:trPr>
        <w:tc>
          <w:tcPr>
            <w:tcW w:w="2261" w:type="dxa"/>
            <w:vMerge w:val="restart"/>
            <w:tcBorders>
              <w:top w:val="single" w:sz="6" w:space="0" w:color="000000"/>
              <w:right w:val="single" w:sz="6" w:space="0" w:color="000000"/>
            </w:tcBorders>
          </w:tcPr>
          <w:p w14:paraId="3CDEE75A" w14:textId="77777777" w:rsidR="008572F7" w:rsidRPr="00C56257" w:rsidRDefault="008572F7" w:rsidP="00C902DF">
            <w:pPr>
              <w:pStyle w:val="TableParagraph"/>
              <w:jc w:val="both"/>
              <w:rPr>
                <w:color w:val="000000" w:themeColor="text1"/>
                <w:sz w:val="24"/>
                <w:szCs w:val="24"/>
              </w:rPr>
            </w:pPr>
          </w:p>
          <w:p w14:paraId="4E5E2B48" w14:textId="77777777" w:rsidR="008572F7" w:rsidRPr="00C56257" w:rsidRDefault="008572F7" w:rsidP="00C902DF">
            <w:pPr>
              <w:pStyle w:val="TableParagraph"/>
              <w:jc w:val="both"/>
              <w:rPr>
                <w:color w:val="000000" w:themeColor="text1"/>
                <w:sz w:val="24"/>
                <w:szCs w:val="24"/>
              </w:rPr>
            </w:pPr>
          </w:p>
          <w:p w14:paraId="0DAF3CDB" w14:textId="77777777" w:rsidR="008572F7" w:rsidRPr="00C56257" w:rsidRDefault="008572F7" w:rsidP="00C902DF">
            <w:pPr>
              <w:pStyle w:val="TableParagraph"/>
              <w:jc w:val="both"/>
              <w:rPr>
                <w:color w:val="000000" w:themeColor="text1"/>
                <w:sz w:val="24"/>
                <w:szCs w:val="24"/>
              </w:rPr>
            </w:pPr>
          </w:p>
          <w:p w14:paraId="16BE4CEB" w14:textId="77777777" w:rsidR="008572F7" w:rsidRPr="00C56257" w:rsidRDefault="008572F7" w:rsidP="00C902DF">
            <w:pPr>
              <w:pStyle w:val="TableParagraph"/>
              <w:spacing w:before="8"/>
              <w:jc w:val="both"/>
              <w:rPr>
                <w:color w:val="000000" w:themeColor="text1"/>
                <w:sz w:val="24"/>
                <w:szCs w:val="24"/>
              </w:rPr>
            </w:pPr>
          </w:p>
          <w:p w14:paraId="1D997F0F" w14:textId="77777777" w:rsidR="008572F7" w:rsidRPr="00C56257" w:rsidRDefault="008572F7" w:rsidP="00C902DF">
            <w:pPr>
              <w:pStyle w:val="TableParagraph"/>
              <w:spacing w:line="278" w:lineRule="auto"/>
              <w:ind w:left="609" w:right="402" w:hanging="168"/>
              <w:jc w:val="both"/>
              <w:rPr>
                <w:b/>
                <w:color w:val="000000" w:themeColor="text1"/>
                <w:spacing w:val="-47"/>
                <w:sz w:val="24"/>
                <w:szCs w:val="24"/>
              </w:rPr>
            </w:pPr>
            <w:r w:rsidRPr="00C56257">
              <w:rPr>
                <w:b/>
                <w:color w:val="000000" w:themeColor="text1"/>
                <w:spacing w:val="-1"/>
                <w:sz w:val="24"/>
                <w:szCs w:val="24"/>
              </w:rPr>
              <w:t xml:space="preserve">HABITATE </w:t>
            </w:r>
            <w:r w:rsidRPr="00C56257">
              <w:rPr>
                <w:b/>
                <w:color w:val="000000" w:themeColor="text1"/>
                <w:sz w:val="24"/>
                <w:szCs w:val="24"/>
              </w:rPr>
              <w:t>DE</w:t>
            </w:r>
          </w:p>
          <w:p w14:paraId="24AC11F5" w14:textId="77777777" w:rsidR="008572F7" w:rsidRPr="00C56257" w:rsidRDefault="008572F7" w:rsidP="00C902DF">
            <w:pPr>
              <w:pStyle w:val="TableParagraph"/>
              <w:spacing w:line="278" w:lineRule="auto"/>
              <w:ind w:left="609" w:right="402" w:hanging="168"/>
              <w:jc w:val="both"/>
              <w:rPr>
                <w:b/>
                <w:color w:val="000000" w:themeColor="text1"/>
                <w:sz w:val="24"/>
                <w:szCs w:val="24"/>
              </w:rPr>
            </w:pPr>
            <w:r w:rsidRPr="00C56257">
              <w:rPr>
                <w:b/>
                <w:color w:val="000000" w:themeColor="text1"/>
                <w:sz w:val="24"/>
                <w:szCs w:val="24"/>
              </w:rPr>
              <w:t>SĂRĂTURI</w:t>
            </w:r>
          </w:p>
        </w:tc>
        <w:tc>
          <w:tcPr>
            <w:tcW w:w="2847" w:type="dxa"/>
            <w:vMerge w:val="restart"/>
            <w:tcBorders>
              <w:top w:val="single" w:sz="6" w:space="0" w:color="000000"/>
              <w:left w:val="single" w:sz="6" w:space="0" w:color="000000"/>
              <w:bottom w:val="single" w:sz="6" w:space="0" w:color="000000"/>
              <w:right w:val="single" w:sz="6" w:space="0" w:color="000000"/>
            </w:tcBorders>
          </w:tcPr>
          <w:p w14:paraId="78399D9F" w14:textId="77777777" w:rsidR="008572F7" w:rsidRPr="00C56257" w:rsidRDefault="008572F7" w:rsidP="00C902DF">
            <w:pPr>
              <w:pStyle w:val="TableParagraph"/>
              <w:jc w:val="both"/>
              <w:rPr>
                <w:color w:val="000000" w:themeColor="text1"/>
                <w:sz w:val="24"/>
                <w:szCs w:val="24"/>
              </w:rPr>
            </w:pPr>
          </w:p>
          <w:p w14:paraId="5560D0C0" w14:textId="77777777" w:rsidR="008572F7" w:rsidRPr="00C56257" w:rsidRDefault="008572F7" w:rsidP="00C902DF">
            <w:pPr>
              <w:pStyle w:val="TableParagraph"/>
              <w:spacing w:before="4"/>
              <w:jc w:val="both"/>
              <w:rPr>
                <w:color w:val="000000" w:themeColor="text1"/>
                <w:sz w:val="24"/>
                <w:szCs w:val="24"/>
              </w:rPr>
            </w:pPr>
          </w:p>
          <w:p w14:paraId="7E35367B" w14:textId="77777777" w:rsidR="008572F7" w:rsidRPr="00C56257" w:rsidRDefault="008572F7" w:rsidP="00C902DF">
            <w:pPr>
              <w:pStyle w:val="TableParagraph"/>
              <w:ind w:left="118"/>
              <w:jc w:val="both"/>
              <w:rPr>
                <w:color w:val="000000" w:themeColor="text1"/>
                <w:sz w:val="24"/>
                <w:szCs w:val="24"/>
              </w:rPr>
            </w:pPr>
            <w:r w:rsidRPr="00C56257">
              <w:rPr>
                <w:color w:val="000000" w:themeColor="text1"/>
                <w:sz w:val="24"/>
                <w:szCs w:val="24"/>
              </w:rPr>
              <w:t>de</w:t>
            </w:r>
            <w:r w:rsidRPr="00C56257">
              <w:rPr>
                <w:color w:val="000000" w:themeColor="text1"/>
                <w:spacing w:val="-2"/>
                <w:sz w:val="24"/>
                <w:szCs w:val="24"/>
              </w:rPr>
              <w:t xml:space="preserve"> </w:t>
            </w:r>
            <w:r w:rsidRPr="00C56257">
              <w:rPr>
                <w:color w:val="000000" w:themeColor="text1"/>
                <w:sz w:val="24"/>
                <w:szCs w:val="24"/>
              </w:rPr>
              <w:t>stepă</w:t>
            </w:r>
            <w:r w:rsidRPr="00C56257">
              <w:rPr>
                <w:color w:val="000000" w:themeColor="text1"/>
                <w:spacing w:val="-2"/>
                <w:sz w:val="24"/>
                <w:szCs w:val="24"/>
              </w:rPr>
              <w:t xml:space="preserve"> </w:t>
            </w:r>
            <w:r w:rsidRPr="00C56257">
              <w:rPr>
                <w:color w:val="000000" w:themeColor="text1"/>
                <w:sz w:val="24"/>
                <w:szCs w:val="24"/>
              </w:rPr>
              <w:t>şi</w:t>
            </w:r>
            <w:r w:rsidRPr="00C56257">
              <w:rPr>
                <w:color w:val="000000" w:themeColor="text1"/>
                <w:spacing w:val="-3"/>
                <w:sz w:val="24"/>
                <w:szCs w:val="24"/>
              </w:rPr>
              <w:t xml:space="preserve"> </w:t>
            </w:r>
            <w:r w:rsidRPr="00C56257">
              <w:rPr>
                <w:color w:val="000000" w:themeColor="text1"/>
                <w:sz w:val="24"/>
                <w:szCs w:val="24"/>
              </w:rPr>
              <w:t>silvostepă</w:t>
            </w:r>
          </w:p>
        </w:tc>
        <w:tc>
          <w:tcPr>
            <w:tcW w:w="2184" w:type="dxa"/>
            <w:tcBorders>
              <w:top w:val="single" w:sz="6" w:space="0" w:color="000000"/>
              <w:left w:val="single" w:sz="6" w:space="0" w:color="000000"/>
              <w:bottom w:val="single" w:sz="4" w:space="0" w:color="000000"/>
              <w:right w:val="single" w:sz="6" w:space="0" w:color="000000"/>
            </w:tcBorders>
          </w:tcPr>
          <w:p w14:paraId="5A77F9A1" w14:textId="77777777" w:rsidR="008572F7" w:rsidRPr="00C56257" w:rsidRDefault="008572F7" w:rsidP="00C902DF">
            <w:pPr>
              <w:pStyle w:val="TableParagraph"/>
              <w:spacing w:line="225" w:lineRule="exact"/>
              <w:ind w:left="320" w:right="291"/>
              <w:jc w:val="both"/>
              <w:rPr>
                <w:color w:val="000000" w:themeColor="text1"/>
                <w:sz w:val="24"/>
                <w:szCs w:val="24"/>
              </w:rPr>
            </w:pPr>
            <w:r w:rsidRPr="00C56257">
              <w:rPr>
                <w:color w:val="000000" w:themeColor="text1"/>
                <w:sz w:val="24"/>
                <w:szCs w:val="24"/>
              </w:rPr>
              <w:t>Vernal</w:t>
            </w:r>
          </w:p>
        </w:tc>
        <w:tc>
          <w:tcPr>
            <w:tcW w:w="2448" w:type="dxa"/>
            <w:tcBorders>
              <w:top w:val="single" w:sz="6" w:space="0" w:color="000000"/>
              <w:left w:val="single" w:sz="6" w:space="0" w:color="000000"/>
              <w:bottom w:val="single" w:sz="4" w:space="0" w:color="000000"/>
            </w:tcBorders>
          </w:tcPr>
          <w:p w14:paraId="47B07386" w14:textId="77777777" w:rsidR="008572F7" w:rsidRPr="00C56257" w:rsidRDefault="008572F7" w:rsidP="00C902DF">
            <w:pPr>
              <w:pStyle w:val="TableParagraph"/>
              <w:spacing w:line="225" w:lineRule="exact"/>
              <w:ind w:left="504" w:right="468"/>
              <w:jc w:val="both"/>
              <w:rPr>
                <w:color w:val="000000" w:themeColor="text1"/>
                <w:sz w:val="24"/>
                <w:szCs w:val="24"/>
              </w:rPr>
            </w:pPr>
            <w:r w:rsidRPr="00C56257">
              <w:rPr>
                <w:color w:val="000000" w:themeColor="text1"/>
                <w:sz w:val="24"/>
                <w:szCs w:val="24"/>
              </w:rPr>
              <w:t>III-IV</w:t>
            </w:r>
          </w:p>
        </w:tc>
      </w:tr>
      <w:tr w:rsidR="008572F7" w:rsidRPr="00C56257" w14:paraId="39B30FF8" w14:textId="77777777" w:rsidTr="00C902DF">
        <w:trPr>
          <w:trHeight w:val="447"/>
        </w:trPr>
        <w:tc>
          <w:tcPr>
            <w:tcW w:w="2261" w:type="dxa"/>
            <w:vMerge/>
            <w:tcBorders>
              <w:top w:val="nil"/>
              <w:right w:val="single" w:sz="6" w:space="0" w:color="000000"/>
            </w:tcBorders>
          </w:tcPr>
          <w:p w14:paraId="34A023B5" w14:textId="77777777" w:rsidR="008572F7" w:rsidRPr="00C56257" w:rsidRDefault="008572F7" w:rsidP="00C902DF">
            <w:pPr>
              <w:jc w:val="both"/>
              <w:rPr>
                <w:color w:val="000000" w:themeColor="text1"/>
              </w:rPr>
            </w:pPr>
          </w:p>
        </w:tc>
        <w:tc>
          <w:tcPr>
            <w:tcW w:w="2847" w:type="dxa"/>
            <w:vMerge/>
            <w:tcBorders>
              <w:top w:val="nil"/>
              <w:left w:val="single" w:sz="6" w:space="0" w:color="000000"/>
              <w:bottom w:val="single" w:sz="6" w:space="0" w:color="000000"/>
              <w:right w:val="single" w:sz="6" w:space="0" w:color="000000"/>
            </w:tcBorders>
          </w:tcPr>
          <w:p w14:paraId="7E869398" w14:textId="77777777" w:rsidR="008572F7" w:rsidRPr="00C56257" w:rsidRDefault="008572F7" w:rsidP="00C902DF">
            <w:pPr>
              <w:jc w:val="both"/>
              <w:rPr>
                <w:color w:val="000000" w:themeColor="text1"/>
              </w:rPr>
            </w:pPr>
          </w:p>
        </w:tc>
        <w:tc>
          <w:tcPr>
            <w:tcW w:w="2184" w:type="dxa"/>
            <w:tcBorders>
              <w:top w:val="single" w:sz="4" w:space="0" w:color="000000"/>
              <w:left w:val="single" w:sz="6" w:space="0" w:color="000000"/>
              <w:bottom w:val="single" w:sz="4" w:space="0" w:color="000000"/>
              <w:right w:val="single" w:sz="6" w:space="0" w:color="000000"/>
            </w:tcBorders>
          </w:tcPr>
          <w:p w14:paraId="0BD91AF1" w14:textId="77777777" w:rsidR="008572F7" w:rsidRPr="00C56257" w:rsidRDefault="008572F7" w:rsidP="00C902DF">
            <w:pPr>
              <w:pStyle w:val="TableParagraph"/>
              <w:spacing w:line="220" w:lineRule="exact"/>
              <w:ind w:left="320" w:right="291"/>
              <w:jc w:val="both"/>
              <w:rPr>
                <w:color w:val="000000" w:themeColor="text1"/>
                <w:sz w:val="24"/>
                <w:szCs w:val="24"/>
              </w:rPr>
            </w:pPr>
            <w:r w:rsidRPr="00C56257">
              <w:rPr>
                <w:color w:val="000000" w:themeColor="text1"/>
                <w:sz w:val="24"/>
                <w:szCs w:val="24"/>
              </w:rPr>
              <w:t>Estival</w:t>
            </w:r>
          </w:p>
        </w:tc>
        <w:tc>
          <w:tcPr>
            <w:tcW w:w="2448" w:type="dxa"/>
            <w:tcBorders>
              <w:top w:val="single" w:sz="4" w:space="0" w:color="000000"/>
              <w:left w:val="single" w:sz="6" w:space="0" w:color="000000"/>
              <w:bottom w:val="single" w:sz="4" w:space="0" w:color="000000"/>
            </w:tcBorders>
          </w:tcPr>
          <w:p w14:paraId="22EB589C" w14:textId="77777777" w:rsidR="008572F7" w:rsidRPr="00C56257" w:rsidRDefault="008572F7" w:rsidP="00C902DF">
            <w:pPr>
              <w:pStyle w:val="TableParagraph"/>
              <w:spacing w:line="220" w:lineRule="exact"/>
              <w:ind w:left="503" w:right="469"/>
              <w:jc w:val="both"/>
              <w:rPr>
                <w:color w:val="000000" w:themeColor="text1"/>
                <w:sz w:val="24"/>
                <w:szCs w:val="24"/>
              </w:rPr>
            </w:pPr>
            <w:r w:rsidRPr="00C56257">
              <w:rPr>
                <w:color w:val="000000" w:themeColor="text1"/>
                <w:sz w:val="24"/>
                <w:szCs w:val="24"/>
              </w:rPr>
              <w:t>V-VIII</w:t>
            </w:r>
          </w:p>
        </w:tc>
      </w:tr>
      <w:tr w:rsidR="008572F7" w:rsidRPr="00C56257" w14:paraId="193D706A" w14:textId="77777777" w:rsidTr="00C902DF">
        <w:trPr>
          <w:trHeight w:val="452"/>
        </w:trPr>
        <w:tc>
          <w:tcPr>
            <w:tcW w:w="2261" w:type="dxa"/>
            <w:vMerge/>
            <w:tcBorders>
              <w:top w:val="nil"/>
              <w:right w:val="single" w:sz="6" w:space="0" w:color="000000"/>
            </w:tcBorders>
          </w:tcPr>
          <w:p w14:paraId="257878E2" w14:textId="77777777" w:rsidR="008572F7" w:rsidRPr="00C56257" w:rsidRDefault="008572F7" w:rsidP="00C902DF">
            <w:pPr>
              <w:jc w:val="both"/>
              <w:rPr>
                <w:color w:val="000000" w:themeColor="text1"/>
              </w:rPr>
            </w:pPr>
          </w:p>
        </w:tc>
        <w:tc>
          <w:tcPr>
            <w:tcW w:w="2847" w:type="dxa"/>
            <w:vMerge/>
            <w:tcBorders>
              <w:top w:val="nil"/>
              <w:left w:val="single" w:sz="6" w:space="0" w:color="000000"/>
              <w:bottom w:val="single" w:sz="6" w:space="0" w:color="000000"/>
              <w:right w:val="single" w:sz="6" w:space="0" w:color="000000"/>
            </w:tcBorders>
          </w:tcPr>
          <w:p w14:paraId="19C23D23" w14:textId="77777777" w:rsidR="008572F7" w:rsidRPr="00C56257" w:rsidRDefault="008572F7" w:rsidP="00C902DF">
            <w:pPr>
              <w:jc w:val="both"/>
              <w:rPr>
                <w:color w:val="000000" w:themeColor="text1"/>
              </w:rPr>
            </w:pPr>
          </w:p>
        </w:tc>
        <w:tc>
          <w:tcPr>
            <w:tcW w:w="2184" w:type="dxa"/>
            <w:tcBorders>
              <w:top w:val="single" w:sz="4" w:space="0" w:color="000000"/>
              <w:left w:val="single" w:sz="6" w:space="0" w:color="000000"/>
              <w:bottom w:val="single" w:sz="6" w:space="0" w:color="000000"/>
              <w:right w:val="single" w:sz="6" w:space="0" w:color="000000"/>
            </w:tcBorders>
          </w:tcPr>
          <w:p w14:paraId="4BB022AF" w14:textId="77777777" w:rsidR="008572F7" w:rsidRPr="00C56257" w:rsidRDefault="008572F7" w:rsidP="00C902DF">
            <w:pPr>
              <w:pStyle w:val="TableParagraph"/>
              <w:spacing w:line="223" w:lineRule="exact"/>
              <w:ind w:left="320" w:right="291"/>
              <w:jc w:val="both"/>
              <w:rPr>
                <w:color w:val="000000" w:themeColor="text1"/>
                <w:sz w:val="24"/>
                <w:szCs w:val="24"/>
              </w:rPr>
            </w:pPr>
            <w:r w:rsidRPr="00C56257">
              <w:rPr>
                <w:color w:val="000000" w:themeColor="text1"/>
                <w:sz w:val="24"/>
                <w:szCs w:val="24"/>
              </w:rPr>
              <w:t>Autumnal</w:t>
            </w:r>
          </w:p>
        </w:tc>
        <w:tc>
          <w:tcPr>
            <w:tcW w:w="2448" w:type="dxa"/>
            <w:tcBorders>
              <w:top w:val="single" w:sz="4" w:space="0" w:color="000000"/>
              <w:left w:val="single" w:sz="6" w:space="0" w:color="000000"/>
              <w:bottom w:val="single" w:sz="6" w:space="0" w:color="000000"/>
            </w:tcBorders>
          </w:tcPr>
          <w:p w14:paraId="3F2F6B8A" w14:textId="77777777" w:rsidR="008572F7" w:rsidRPr="00C56257" w:rsidRDefault="008572F7" w:rsidP="00C902DF">
            <w:pPr>
              <w:pStyle w:val="TableParagraph"/>
              <w:spacing w:line="223" w:lineRule="exact"/>
              <w:ind w:left="504" w:right="469"/>
              <w:jc w:val="both"/>
              <w:rPr>
                <w:color w:val="000000" w:themeColor="text1"/>
                <w:sz w:val="24"/>
                <w:szCs w:val="24"/>
              </w:rPr>
            </w:pPr>
            <w:r w:rsidRPr="00C56257">
              <w:rPr>
                <w:color w:val="000000" w:themeColor="text1"/>
                <w:sz w:val="24"/>
                <w:szCs w:val="24"/>
              </w:rPr>
              <w:t>IX-XI</w:t>
            </w:r>
          </w:p>
        </w:tc>
      </w:tr>
      <w:tr w:rsidR="008572F7" w:rsidRPr="00C56257" w14:paraId="22D69D71" w14:textId="77777777" w:rsidTr="00C902DF">
        <w:trPr>
          <w:trHeight w:val="450"/>
        </w:trPr>
        <w:tc>
          <w:tcPr>
            <w:tcW w:w="2261" w:type="dxa"/>
            <w:vMerge/>
            <w:tcBorders>
              <w:top w:val="nil"/>
              <w:right w:val="single" w:sz="6" w:space="0" w:color="000000"/>
            </w:tcBorders>
          </w:tcPr>
          <w:p w14:paraId="650E5FD5" w14:textId="77777777" w:rsidR="008572F7" w:rsidRPr="00C56257" w:rsidRDefault="008572F7" w:rsidP="00C902DF">
            <w:pPr>
              <w:jc w:val="both"/>
              <w:rPr>
                <w:color w:val="000000" w:themeColor="text1"/>
              </w:rPr>
            </w:pPr>
          </w:p>
        </w:tc>
        <w:tc>
          <w:tcPr>
            <w:tcW w:w="2847" w:type="dxa"/>
            <w:vMerge w:val="restart"/>
            <w:tcBorders>
              <w:top w:val="single" w:sz="6" w:space="0" w:color="000000"/>
              <w:left w:val="single" w:sz="6" w:space="0" w:color="000000"/>
              <w:right w:val="single" w:sz="6" w:space="0" w:color="000000"/>
            </w:tcBorders>
          </w:tcPr>
          <w:p w14:paraId="737F5999" w14:textId="77777777" w:rsidR="008572F7" w:rsidRPr="00C56257" w:rsidRDefault="008572F7" w:rsidP="00C902DF">
            <w:pPr>
              <w:pStyle w:val="TableParagraph"/>
              <w:jc w:val="both"/>
              <w:rPr>
                <w:color w:val="000000" w:themeColor="text1"/>
                <w:sz w:val="24"/>
                <w:szCs w:val="24"/>
              </w:rPr>
            </w:pPr>
          </w:p>
          <w:p w14:paraId="779D4002" w14:textId="77777777" w:rsidR="008572F7" w:rsidRPr="00C56257" w:rsidRDefault="008572F7" w:rsidP="00C902DF">
            <w:pPr>
              <w:pStyle w:val="TableParagraph"/>
              <w:spacing w:before="7"/>
              <w:jc w:val="both"/>
              <w:rPr>
                <w:color w:val="000000" w:themeColor="text1"/>
                <w:sz w:val="24"/>
                <w:szCs w:val="24"/>
              </w:rPr>
            </w:pPr>
          </w:p>
          <w:p w14:paraId="66AD8FA0" w14:textId="77777777" w:rsidR="008572F7" w:rsidRPr="00C56257" w:rsidRDefault="008572F7" w:rsidP="00C902DF">
            <w:pPr>
              <w:pStyle w:val="TableParagraph"/>
              <w:spacing w:before="1"/>
              <w:ind w:left="118"/>
              <w:jc w:val="both"/>
              <w:rPr>
                <w:color w:val="000000" w:themeColor="text1"/>
                <w:sz w:val="24"/>
                <w:szCs w:val="24"/>
              </w:rPr>
            </w:pPr>
            <w:r w:rsidRPr="00C56257">
              <w:rPr>
                <w:color w:val="000000" w:themeColor="text1"/>
                <w:sz w:val="24"/>
                <w:szCs w:val="24"/>
              </w:rPr>
              <w:t>continentale</w:t>
            </w:r>
          </w:p>
        </w:tc>
        <w:tc>
          <w:tcPr>
            <w:tcW w:w="2184" w:type="dxa"/>
            <w:tcBorders>
              <w:top w:val="single" w:sz="6" w:space="0" w:color="000000"/>
              <w:left w:val="single" w:sz="6" w:space="0" w:color="000000"/>
              <w:bottom w:val="single" w:sz="6" w:space="0" w:color="000000"/>
              <w:right w:val="single" w:sz="6" w:space="0" w:color="000000"/>
            </w:tcBorders>
          </w:tcPr>
          <w:p w14:paraId="2B6BD38E" w14:textId="77777777" w:rsidR="008572F7" w:rsidRPr="00C56257" w:rsidRDefault="008572F7" w:rsidP="00C902DF">
            <w:pPr>
              <w:pStyle w:val="TableParagraph"/>
              <w:spacing w:line="218" w:lineRule="exact"/>
              <w:ind w:left="320" w:right="291"/>
              <w:jc w:val="both"/>
              <w:rPr>
                <w:color w:val="000000" w:themeColor="text1"/>
                <w:sz w:val="24"/>
                <w:szCs w:val="24"/>
              </w:rPr>
            </w:pPr>
            <w:r w:rsidRPr="00C56257">
              <w:rPr>
                <w:color w:val="000000" w:themeColor="text1"/>
                <w:sz w:val="24"/>
                <w:szCs w:val="24"/>
              </w:rPr>
              <w:t>Vernal</w:t>
            </w:r>
          </w:p>
        </w:tc>
        <w:tc>
          <w:tcPr>
            <w:tcW w:w="2448" w:type="dxa"/>
            <w:tcBorders>
              <w:top w:val="single" w:sz="6" w:space="0" w:color="000000"/>
              <w:left w:val="single" w:sz="6" w:space="0" w:color="000000"/>
              <w:bottom w:val="single" w:sz="6" w:space="0" w:color="000000"/>
            </w:tcBorders>
          </w:tcPr>
          <w:p w14:paraId="629FADAC" w14:textId="77777777" w:rsidR="008572F7" w:rsidRPr="00C56257" w:rsidRDefault="008572F7" w:rsidP="00C902DF">
            <w:pPr>
              <w:pStyle w:val="TableParagraph"/>
              <w:spacing w:line="218" w:lineRule="exact"/>
              <w:ind w:left="504" w:right="468"/>
              <w:jc w:val="both"/>
              <w:rPr>
                <w:color w:val="000000" w:themeColor="text1"/>
                <w:sz w:val="24"/>
                <w:szCs w:val="24"/>
              </w:rPr>
            </w:pPr>
            <w:r w:rsidRPr="00C56257">
              <w:rPr>
                <w:color w:val="000000" w:themeColor="text1"/>
                <w:sz w:val="24"/>
                <w:szCs w:val="24"/>
              </w:rPr>
              <w:t>III-IV</w:t>
            </w:r>
          </w:p>
        </w:tc>
      </w:tr>
      <w:tr w:rsidR="008572F7" w:rsidRPr="00C56257" w14:paraId="78F733BF" w14:textId="77777777" w:rsidTr="00C902DF">
        <w:trPr>
          <w:trHeight w:val="447"/>
        </w:trPr>
        <w:tc>
          <w:tcPr>
            <w:tcW w:w="2261" w:type="dxa"/>
            <w:vMerge/>
            <w:tcBorders>
              <w:top w:val="nil"/>
              <w:right w:val="single" w:sz="6" w:space="0" w:color="000000"/>
            </w:tcBorders>
          </w:tcPr>
          <w:p w14:paraId="1E62B87E" w14:textId="77777777" w:rsidR="008572F7" w:rsidRPr="00C56257" w:rsidRDefault="008572F7" w:rsidP="00C902DF">
            <w:pPr>
              <w:jc w:val="both"/>
              <w:rPr>
                <w:color w:val="000000" w:themeColor="text1"/>
              </w:rPr>
            </w:pPr>
          </w:p>
        </w:tc>
        <w:tc>
          <w:tcPr>
            <w:tcW w:w="2847" w:type="dxa"/>
            <w:vMerge/>
            <w:tcBorders>
              <w:top w:val="nil"/>
              <w:left w:val="single" w:sz="6" w:space="0" w:color="000000"/>
              <w:right w:val="single" w:sz="6" w:space="0" w:color="000000"/>
            </w:tcBorders>
          </w:tcPr>
          <w:p w14:paraId="4C4C7557" w14:textId="77777777" w:rsidR="008572F7" w:rsidRPr="00C56257" w:rsidRDefault="008572F7" w:rsidP="00C902DF">
            <w:pPr>
              <w:jc w:val="both"/>
              <w:rPr>
                <w:color w:val="000000" w:themeColor="text1"/>
              </w:rPr>
            </w:pPr>
          </w:p>
        </w:tc>
        <w:tc>
          <w:tcPr>
            <w:tcW w:w="2184" w:type="dxa"/>
            <w:tcBorders>
              <w:top w:val="single" w:sz="6" w:space="0" w:color="000000"/>
              <w:left w:val="single" w:sz="6" w:space="0" w:color="000000"/>
              <w:bottom w:val="single" w:sz="4" w:space="0" w:color="000000"/>
              <w:right w:val="single" w:sz="6" w:space="0" w:color="000000"/>
            </w:tcBorders>
          </w:tcPr>
          <w:p w14:paraId="2C3E73F5" w14:textId="77777777" w:rsidR="008572F7" w:rsidRPr="00C56257" w:rsidRDefault="008572F7" w:rsidP="00C902DF">
            <w:pPr>
              <w:pStyle w:val="TableParagraph"/>
              <w:spacing w:line="218" w:lineRule="exact"/>
              <w:ind w:left="320" w:right="291"/>
              <w:jc w:val="both"/>
              <w:rPr>
                <w:color w:val="000000" w:themeColor="text1"/>
                <w:sz w:val="24"/>
                <w:szCs w:val="24"/>
              </w:rPr>
            </w:pPr>
            <w:r w:rsidRPr="00C56257">
              <w:rPr>
                <w:color w:val="000000" w:themeColor="text1"/>
                <w:sz w:val="24"/>
                <w:szCs w:val="24"/>
              </w:rPr>
              <w:t>Estival</w:t>
            </w:r>
          </w:p>
        </w:tc>
        <w:tc>
          <w:tcPr>
            <w:tcW w:w="2448" w:type="dxa"/>
            <w:tcBorders>
              <w:top w:val="single" w:sz="6" w:space="0" w:color="000000"/>
              <w:left w:val="single" w:sz="6" w:space="0" w:color="000000"/>
              <w:bottom w:val="single" w:sz="4" w:space="0" w:color="000000"/>
            </w:tcBorders>
          </w:tcPr>
          <w:p w14:paraId="72F34050" w14:textId="77777777" w:rsidR="008572F7" w:rsidRPr="00C56257" w:rsidRDefault="008572F7" w:rsidP="00C902DF">
            <w:pPr>
              <w:pStyle w:val="TableParagraph"/>
              <w:spacing w:line="218" w:lineRule="exact"/>
              <w:ind w:left="503" w:right="469"/>
              <w:jc w:val="both"/>
              <w:rPr>
                <w:color w:val="000000" w:themeColor="text1"/>
                <w:sz w:val="24"/>
                <w:szCs w:val="24"/>
              </w:rPr>
            </w:pPr>
            <w:r w:rsidRPr="00C56257">
              <w:rPr>
                <w:color w:val="000000" w:themeColor="text1"/>
                <w:sz w:val="24"/>
                <w:szCs w:val="24"/>
              </w:rPr>
              <w:t>V-VIII</w:t>
            </w:r>
          </w:p>
        </w:tc>
      </w:tr>
      <w:tr w:rsidR="008572F7" w:rsidRPr="00C56257" w14:paraId="6C06BC0A" w14:textId="77777777" w:rsidTr="00C902DF">
        <w:trPr>
          <w:trHeight w:val="459"/>
        </w:trPr>
        <w:tc>
          <w:tcPr>
            <w:tcW w:w="2261" w:type="dxa"/>
            <w:vMerge/>
            <w:tcBorders>
              <w:top w:val="nil"/>
              <w:right w:val="single" w:sz="6" w:space="0" w:color="000000"/>
            </w:tcBorders>
          </w:tcPr>
          <w:p w14:paraId="3E891BCD" w14:textId="77777777" w:rsidR="008572F7" w:rsidRPr="00C56257" w:rsidRDefault="008572F7" w:rsidP="00C902DF">
            <w:pPr>
              <w:jc w:val="both"/>
              <w:rPr>
                <w:color w:val="000000" w:themeColor="text1"/>
              </w:rPr>
            </w:pPr>
          </w:p>
        </w:tc>
        <w:tc>
          <w:tcPr>
            <w:tcW w:w="2847" w:type="dxa"/>
            <w:vMerge/>
            <w:tcBorders>
              <w:top w:val="nil"/>
              <w:left w:val="single" w:sz="6" w:space="0" w:color="000000"/>
              <w:right w:val="single" w:sz="6" w:space="0" w:color="000000"/>
            </w:tcBorders>
          </w:tcPr>
          <w:p w14:paraId="2CFC533A" w14:textId="77777777" w:rsidR="008572F7" w:rsidRPr="00C56257" w:rsidRDefault="008572F7" w:rsidP="00C902DF">
            <w:pPr>
              <w:jc w:val="both"/>
              <w:rPr>
                <w:color w:val="000000" w:themeColor="text1"/>
              </w:rPr>
            </w:pPr>
          </w:p>
        </w:tc>
        <w:tc>
          <w:tcPr>
            <w:tcW w:w="2184" w:type="dxa"/>
            <w:tcBorders>
              <w:top w:val="single" w:sz="4" w:space="0" w:color="000000"/>
              <w:left w:val="single" w:sz="6" w:space="0" w:color="000000"/>
              <w:right w:val="single" w:sz="6" w:space="0" w:color="000000"/>
            </w:tcBorders>
          </w:tcPr>
          <w:p w14:paraId="6711A40C" w14:textId="77777777" w:rsidR="008572F7" w:rsidRPr="00C56257" w:rsidRDefault="008572F7" w:rsidP="00C902DF">
            <w:pPr>
              <w:pStyle w:val="TableParagraph"/>
              <w:spacing w:line="220" w:lineRule="exact"/>
              <w:ind w:left="320" w:right="291"/>
              <w:jc w:val="both"/>
              <w:rPr>
                <w:color w:val="000000" w:themeColor="text1"/>
                <w:sz w:val="24"/>
                <w:szCs w:val="24"/>
              </w:rPr>
            </w:pPr>
            <w:r w:rsidRPr="00C56257">
              <w:rPr>
                <w:color w:val="000000" w:themeColor="text1"/>
                <w:sz w:val="24"/>
                <w:szCs w:val="24"/>
              </w:rPr>
              <w:t>Autumnal</w:t>
            </w:r>
          </w:p>
        </w:tc>
        <w:tc>
          <w:tcPr>
            <w:tcW w:w="2448" w:type="dxa"/>
            <w:tcBorders>
              <w:top w:val="single" w:sz="4" w:space="0" w:color="000000"/>
              <w:left w:val="single" w:sz="6" w:space="0" w:color="000000"/>
            </w:tcBorders>
          </w:tcPr>
          <w:p w14:paraId="2ACF413E" w14:textId="77777777" w:rsidR="008572F7" w:rsidRPr="00C56257" w:rsidRDefault="008572F7" w:rsidP="00C902DF">
            <w:pPr>
              <w:pStyle w:val="TableParagraph"/>
              <w:spacing w:line="220" w:lineRule="exact"/>
              <w:ind w:left="504" w:right="469"/>
              <w:jc w:val="both"/>
              <w:rPr>
                <w:color w:val="000000" w:themeColor="text1"/>
                <w:sz w:val="24"/>
                <w:szCs w:val="24"/>
              </w:rPr>
            </w:pPr>
            <w:r w:rsidRPr="00C56257">
              <w:rPr>
                <w:color w:val="000000" w:themeColor="text1"/>
                <w:sz w:val="24"/>
                <w:szCs w:val="24"/>
              </w:rPr>
              <w:t>IX-XI</w:t>
            </w:r>
          </w:p>
        </w:tc>
      </w:tr>
    </w:tbl>
    <w:p w14:paraId="5968C7A3" w14:textId="77777777" w:rsidR="008572F7" w:rsidRPr="00C56257" w:rsidRDefault="008572F7" w:rsidP="008572F7">
      <w:pPr>
        <w:pStyle w:val="BodyText"/>
        <w:spacing w:before="9"/>
        <w:jc w:val="both"/>
        <w:rPr>
          <w:color w:val="000000" w:themeColor="text1"/>
          <w:sz w:val="24"/>
          <w:szCs w:val="24"/>
        </w:rPr>
      </w:pPr>
    </w:p>
    <w:p w14:paraId="23BFA9BC" w14:textId="77777777" w:rsidR="008572F7" w:rsidRPr="004242AA" w:rsidRDefault="008572F7" w:rsidP="004242AA">
      <w:pPr>
        <w:pStyle w:val="BodyText"/>
        <w:tabs>
          <w:tab w:val="left" w:pos="9180"/>
        </w:tabs>
        <w:spacing w:before="72"/>
        <w:ind w:left="300" w:right="957"/>
        <w:jc w:val="both"/>
        <w:rPr>
          <w:b/>
          <w:color w:val="000000" w:themeColor="text1"/>
          <w:sz w:val="24"/>
          <w:szCs w:val="24"/>
        </w:rPr>
      </w:pPr>
      <w:proofErr w:type="spellStart"/>
      <w:r w:rsidRPr="004242AA">
        <w:rPr>
          <w:b/>
          <w:color w:val="000000" w:themeColor="text1"/>
          <w:sz w:val="24"/>
          <w:szCs w:val="24"/>
        </w:rPr>
        <w:t>Utilizarea</w:t>
      </w:r>
      <w:proofErr w:type="spellEnd"/>
      <w:r w:rsidRPr="004242AA">
        <w:rPr>
          <w:b/>
          <w:color w:val="000000" w:themeColor="text1"/>
          <w:sz w:val="24"/>
          <w:szCs w:val="24"/>
        </w:rPr>
        <w:t xml:space="preserve"> </w:t>
      </w:r>
      <w:proofErr w:type="spellStart"/>
      <w:r w:rsidRPr="004242AA">
        <w:rPr>
          <w:b/>
          <w:color w:val="000000" w:themeColor="text1"/>
          <w:sz w:val="24"/>
          <w:szCs w:val="24"/>
        </w:rPr>
        <w:t>hărților</w:t>
      </w:r>
      <w:proofErr w:type="spellEnd"/>
    </w:p>
    <w:p w14:paraId="0ADF4BE5" w14:textId="77777777" w:rsidR="008572F7" w:rsidRPr="00C56257" w:rsidRDefault="008572F7" w:rsidP="008572F7">
      <w:pPr>
        <w:pStyle w:val="BodyText"/>
        <w:spacing w:before="157"/>
        <w:ind w:left="293" w:right="255"/>
        <w:jc w:val="both"/>
        <w:rPr>
          <w:color w:val="000000" w:themeColor="text1"/>
          <w:sz w:val="24"/>
          <w:szCs w:val="24"/>
        </w:rPr>
      </w:pPr>
      <w:proofErr w:type="spellStart"/>
      <w:r w:rsidRPr="00C56257">
        <w:rPr>
          <w:color w:val="000000" w:themeColor="text1"/>
          <w:sz w:val="24"/>
          <w:szCs w:val="24"/>
        </w:rPr>
        <w:t>Obiectivele</w:t>
      </w:r>
      <w:proofErr w:type="spellEnd"/>
      <w:r w:rsidRPr="00C56257">
        <w:rPr>
          <w:color w:val="000000" w:themeColor="text1"/>
          <w:sz w:val="24"/>
          <w:szCs w:val="24"/>
        </w:rPr>
        <w:t xml:space="preserve"> </w:t>
      </w:r>
      <w:proofErr w:type="spellStart"/>
      <w:r w:rsidRPr="00C56257">
        <w:rPr>
          <w:color w:val="000000" w:themeColor="text1"/>
          <w:sz w:val="24"/>
          <w:szCs w:val="24"/>
        </w:rPr>
        <w:t>specifice</w:t>
      </w:r>
      <w:proofErr w:type="spellEnd"/>
      <w:r w:rsidRPr="00C56257">
        <w:rPr>
          <w:color w:val="000000" w:themeColor="text1"/>
          <w:sz w:val="24"/>
          <w:szCs w:val="24"/>
        </w:rPr>
        <w:t xml:space="preserve"> </w:t>
      </w:r>
      <w:proofErr w:type="spellStart"/>
      <w:r w:rsidRPr="00C56257">
        <w:rPr>
          <w:color w:val="000000" w:themeColor="text1"/>
          <w:sz w:val="24"/>
          <w:szCs w:val="24"/>
        </w:rPr>
        <w:t>propuse</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cadrul</w:t>
      </w:r>
      <w:proofErr w:type="spellEnd"/>
      <w:r w:rsidRPr="00C56257">
        <w:rPr>
          <w:color w:val="000000" w:themeColor="text1"/>
          <w:sz w:val="24"/>
          <w:szCs w:val="24"/>
        </w:rPr>
        <w:t xml:space="preserve"> </w:t>
      </w:r>
      <w:proofErr w:type="spellStart"/>
      <w:r w:rsidRPr="00C56257">
        <w:rPr>
          <w:color w:val="000000" w:themeColor="text1"/>
          <w:sz w:val="24"/>
          <w:szCs w:val="24"/>
        </w:rPr>
        <w:t>programului</w:t>
      </w:r>
      <w:proofErr w:type="spellEnd"/>
      <w:r w:rsidRPr="00C56257">
        <w:rPr>
          <w:color w:val="000000" w:themeColor="text1"/>
          <w:sz w:val="24"/>
          <w:szCs w:val="24"/>
        </w:rPr>
        <w:t xml:space="preserve"> de </w:t>
      </w:r>
      <w:proofErr w:type="spellStart"/>
      <w:r w:rsidRPr="00C56257">
        <w:rPr>
          <w:color w:val="000000" w:themeColor="text1"/>
          <w:sz w:val="24"/>
          <w:szCs w:val="24"/>
        </w:rPr>
        <w:t>monitorizare</w:t>
      </w:r>
      <w:proofErr w:type="spellEnd"/>
      <w:r w:rsidRPr="00C56257">
        <w:rPr>
          <w:color w:val="000000" w:themeColor="text1"/>
          <w:sz w:val="24"/>
          <w:szCs w:val="24"/>
        </w:rPr>
        <w:t xml:space="preserve"> nu pot fi </w:t>
      </w:r>
      <w:proofErr w:type="spellStart"/>
      <w:r w:rsidRPr="00C56257">
        <w:rPr>
          <w:color w:val="000000" w:themeColor="text1"/>
          <w:sz w:val="24"/>
          <w:szCs w:val="24"/>
        </w:rPr>
        <w:t>atinse</w:t>
      </w:r>
      <w:proofErr w:type="spellEnd"/>
      <w:r w:rsidRPr="00C56257">
        <w:rPr>
          <w:color w:val="000000" w:themeColor="text1"/>
          <w:sz w:val="24"/>
          <w:szCs w:val="24"/>
        </w:rPr>
        <w:t xml:space="preserve"> </w:t>
      </w:r>
      <w:proofErr w:type="spellStart"/>
      <w:r w:rsidRPr="00C56257">
        <w:rPr>
          <w:color w:val="000000" w:themeColor="text1"/>
          <w:sz w:val="24"/>
          <w:szCs w:val="24"/>
        </w:rPr>
        <w:t>fără</w:t>
      </w:r>
      <w:proofErr w:type="spellEnd"/>
      <w:r w:rsidRPr="00C56257">
        <w:rPr>
          <w:color w:val="000000" w:themeColor="text1"/>
          <w:sz w:val="24"/>
          <w:szCs w:val="24"/>
        </w:rPr>
        <w:t xml:space="preserve"> o </w:t>
      </w:r>
      <w:proofErr w:type="spellStart"/>
      <w:r w:rsidRPr="00C56257">
        <w:rPr>
          <w:color w:val="000000" w:themeColor="text1"/>
          <w:sz w:val="24"/>
          <w:szCs w:val="24"/>
        </w:rPr>
        <w:t>alegere</w:t>
      </w:r>
      <w:proofErr w:type="spellEnd"/>
      <w:r w:rsidRPr="00C56257">
        <w:rPr>
          <w:color w:val="000000" w:themeColor="text1"/>
          <w:spacing w:val="1"/>
          <w:sz w:val="24"/>
          <w:szCs w:val="24"/>
        </w:rPr>
        <w:t xml:space="preserve"> </w:t>
      </w:r>
      <w:proofErr w:type="spellStart"/>
      <w:r w:rsidRPr="00C56257">
        <w:rPr>
          <w:color w:val="000000" w:themeColor="text1"/>
          <w:sz w:val="24"/>
          <w:szCs w:val="24"/>
        </w:rPr>
        <w:lastRenderedPageBreak/>
        <w:t>riguroasă</w:t>
      </w:r>
      <w:proofErr w:type="spellEnd"/>
      <w:r w:rsidRPr="00C56257">
        <w:rPr>
          <w:color w:val="000000" w:themeColor="text1"/>
          <w:sz w:val="24"/>
          <w:szCs w:val="24"/>
        </w:rPr>
        <w:t xml:space="preserve"> a </w:t>
      </w:r>
      <w:proofErr w:type="spellStart"/>
      <w:r w:rsidRPr="00C56257">
        <w:rPr>
          <w:color w:val="000000" w:themeColor="text1"/>
          <w:sz w:val="24"/>
          <w:szCs w:val="24"/>
        </w:rPr>
        <w:t>atributelor</w:t>
      </w:r>
      <w:proofErr w:type="spellEnd"/>
      <w:r w:rsidRPr="00C56257">
        <w:rPr>
          <w:color w:val="000000" w:themeColor="text1"/>
          <w:sz w:val="24"/>
          <w:szCs w:val="24"/>
        </w:rPr>
        <w:t xml:space="preserve"> care </w:t>
      </w:r>
      <w:proofErr w:type="spellStart"/>
      <w:r w:rsidRPr="00C56257">
        <w:rPr>
          <w:color w:val="000000" w:themeColor="text1"/>
          <w:sz w:val="24"/>
          <w:szCs w:val="24"/>
        </w:rPr>
        <w:t>trebuie</w:t>
      </w:r>
      <w:proofErr w:type="spellEnd"/>
      <w:r w:rsidRPr="00C56257">
        <w:rPr>
          <w:color w:val="000000" w:themeColor="text1"/>
          <w:sz w:val="24"/>
          <w:szCs w:val="24"/>
        </w:rPr>
        <w:t xml:space="preserve"> </w:t>
      </w:r>
      <w:proofErr w:type="spellStart"/>
      <w:r w:rsidRPr="00C56257">
        <w:rPr>
          <w:color w:val="000000" w:themeColor="text1"/>
          <w:sz w:val="24"/>
          <w:szCs w:val="24"/>
        </w:rPr>
        <w:t>măsurate</w:t>
      </w:r>
      <w:proofErr w:type="spellEnd"/>
      <w:r w:rsidRPr="00C56257">
        <w:rPr>
          <w:color w:val="000000" w:themeColor="text1"/>
          <w:sz w:val="24"/>
          <w:szCs w:val="24"/>
        </w:rPr>
        <w:t xml:space="preserve">, a </w:t>
      </w:r>
      <w:proofErr w:type="spellStart"/>
      <w:r w:rsidRPr="00C56257">
        <w:rPr>
          <w:color w:val="000000" w:themeColor="text1"/>
          <w:sz w:val="24"/>
          <w:szCs w:val="24"/>
        </w:rPr>
        <w:t>tipului</w:t>
      </w:r>
      <w:proofErr w:type="spellEnd"/>
      <w:r w:rsidRPr="00C56257">
        <w:rPr>
          <w:color w:val="000000" w:themeColor="text1"/>
          <w:sz w:val="24"/>
          <w:szCs w:val="24"/>
        </w:rPr>
        <w:t xml:space="preserve"> de date </w:t>
      </w:r>
      <w:proofErr w:type="spellStart"/>
      <w:r w:rsidRPr="00C56257">
        <w:rPr>
          <w:color w:val="000000" w:themeColor="text1"/>
          <w:sz w:val="24"/>
          <w:szCs w:val="24"/>
        </w:rPr>
        <w:t>colectate</w:t>
      </w:r>
      <w:proofErr w:type="spellEnd"/>
      <w:r w:rsidRPr="00C56257">
        <w:rPr>
          <w:color w:val="000000" w:themeColor="text1"/>
          <w:sz w:val="24"/>
          <w:szCs w:val="24"/>
        </w:rPr>
        <w:t xml:space="preserve"> </w:t>
      </w:r>
      <w:proofErr w:type="spellStart"/>
      <w:r w:rsidRPr="00C56257">
        <w:rPr>
          <w:color w:val="000000" w:themeColor="text1"/>
          <w:sz w:val="24"/>
          <w:szCs w:val="24"/>
        </w:rPr>
        <w:t>şi</w:t>
      </w:r>
      <w:proofErr w:type="spellEnd"/>
      <w:r w:rsidRPr="00C56257">
        <w:rPr>
          <w:color w:val="000000" w:themeColor="text1"/>
          <w:sz w:val="24"/>
          <w:szCs w:val="24"/>
        </w:rPr>
        <w:t xml:space="preserve"> a </w:t>
      </w:r>
      <w:proofErr w:type="spellStart"/>
      <w:r w:rsidRPr="00C56257">
        <w:rPr>
          <w:color w:val="000000" w:themeColor="text1"/>
          <w:sz w:val="24"/>
          <w:szCs w:val="24"/>
        </w:rPr>
        <w:t>metodelor</w:t>
      </w:r>
      <w:proofErr w:type="spellEnd"/>
      <w:r w:rsidRPr="00C56257">
        <w:rPr>
          <w:color w:val="000000" w:themeColor="text1"/>
          <w:sz w:val="24"/>
          <w:szCs w:val="24"/>
        </w:rPr>
        <w:t xml:space="preserve"> </w:t>
      </w:r>
      <w:proofErr w:type="spellStart"/>
      <w:r w:rsidRPr="00C56257">
        <w:rPr>
          <w:color w:val="000000" w:themeColor="text1"/>
          <w:sz w:val="24"/>
          <w:szCs w:val="24"/>
        </w:rPr>
        <w:t>utilizate</w:t>
      </w:r>
      <w:proofErr w:type="spellEnd"/>
      <w:r w:rsidRPr="00C56257">
        <w:rPr>
          <w:color w:val="000000" w:themeColor="text1"/>
          <w:spacing w:val="1"/>
          <w:sz w:val="24"/>
          <w:szCs w:val="24"/>
        </w:rPr>
        <w:t xml:space="preserve"> </w:t>
      </w:r>
      <w:proofErr w:type="spellStart"/>
      <w:r w:rsidRPr="00C56257">
        <w:rPr>
          <w:color w:val="000000" w:themeColor="text1"/>
          <w:sz w:val="24"/>
          <w:szCs w:val="24"/>
        </w:rPr>
        <w:t>pentru</w:t>
      </w:r>
      <w:proofErr w:type="spellEnd"/>
      <w:r w:rsidRPr="00C56257">
        <w:rPr>
          <w:color w:val="000000" w:themeColor="text1"/>
          <w:sz w:val="24"/>
          <w:szCs w:val="24"/>
        </w:rPr>
        <w:t xml:space="preserve"> </w:t>
      </w:r>
      <w:proofErr w:type="spellStart"/>
      <w:r w:rsidRPr="00C56257">
        <w:rPr>
          <w:color w:val="000000" w:themeColor="text1"/>
          <w:sz w:val="24"/>
          <w:szCs w:val="24"/>
        </w:rPr>
        <w:t>colectarea</w:t>
      </w:r>
      <w:proofErr w:type="spellEnd"/>
      <w:r w:rsidRPr="00C56257">
        <w:rPr>
          <w:color w:val="000000" w:themeColor="text1"/>
          <w:sz w:val="24"/>
          <w:szCs w:val="24"/>
        </w:rPr>
        <w:t xml:space="preserve"> </w:t>
      </w:r>
      <w:proofErr w:type="spellStart"/>
      <w:r w:rsidRPr="00C56257">
        <w:rPr>
          <w:color w:val="000000" w:themeColor="text1"/>
          <w:sz w:val="24"/>
          <w:szCs w:val="24"/>
        </w:rPr>
        <w:t>acestora</w:t>
      </w:r>
      <w:proofErr w:type="spellEnd"/>
      <w:r w:rsidRPr="00C56257">
        <w:rPr>
          <w:color w:val="000000" w:themeColor="text1"/>
          <w:sz w:val="24"/>
          <w:szCs w:val="24"/>
        </w:rPr>
        <w:t xml:space="preserve">. </w:t>
      </w:r>
      <w:proofErr w:type="spellStart"/>
      <w:r w:rsidRPr="00C56257">
        <w:rPr>
          <w:color w:val="000000" w:themeColor="text1"/>
          <w:sz w:val="24"/>
          <w:szCs w:val="24"/>
        </w:rPr>
        <w:t>Alegerea</w:t>
      </w:r>
      <w:proofErr w:type="spellEnd"/>
      <w:r w:rsidRPr="00C56257">
        <w:rPr>
          <w:color w:val="000000" w:themeColor="text1"/>
          <w:sz w:val="24"/>
          <w:szCs w:val="24"/>
        </w:rPr>
        <w:t xml:space="preserve"> </w:t>
      </w:r>
      <w:proofErr w:type="spellStart"/>
      <w:r w:rsidRPr="00C56257">
        <w:rPr>
          <w:color w:val="000000" w:themeColor="text1"/>
          <w:sz w:val="24"/>
          <w:szCs w:val="24"/>
        </w:rPr>
        <w:t>variabilelor</w:t>
      </w:r>
      <w:proofErr w:type="spellEnd"/>
      <w:r w:rsidRPr="00C56257">
        <w:rPr>
          <w:color w:val="000000" w:themeColor="text1"/>
          <w:sz w:val="24"/>
          <w:szCs w:val="24"/>
        </w:rPr>
        <w:t xml:space="preserve"> care </w:t>
      </w:r>
      <w:proofErr w:type="spellStart"/>
      <w:r w:rsidRPr="00C56257">
        <w:rPr>
          <w:color w:val="000000" w:themeColor="text1"/>
          <w:sz w:val="24"/>
          <w:szCs w:val="24"/>
        </w:rPr>
        <w:t>vor</w:t>
      </w:r>
      <w:proofErr w:type="spellEnd"/>
      <w:r w:rsidRPr="00C56257">
        <w:rPr>
          <w:color w:val="000000" w:themeColor="text1"/>
          <w:sz w:val="24"/>
          <w:szCs w:val="24"/>
        </w:rPr>
        <w:t xml:space="preserve"> fi </w:t>
      </w:r>
      <w:proofErr w:type="spellStart"/>
      <w:r w:rsidRPr="00C56257">
        <w:rPr>
          <w:color w:val="000000" w:themeColor="text1"/>
          <w:sz w:val="24"/>
          <w:szCs w:val="24"/>
        </w:rPr>
        <w:t>monitorizate</w:t>
      </w:r>
      <w:proofErr w:type="spellEnd"/>
      <w:r w:rsidRPr="00C56257">
        <w:rPr>
          <w:color w:val="000000" w:themeColor="text1"/>
          <w:sz w:val="24"/>
          <w:szCs w:val="24"/>
        </w:rPr>
        <w:t xml:space="preserve"> </w:t>
      </w:r>
      <w:proofErr w:type="spellStart"/>
      <w:r w:rsidRPr="00C56257">
        <w:rPr>
          <w:color w:val="000000" w:themeColor="text1"/>
          <w:sz w:val="24"/>
          <w:szCs w:val="24"/>
        </w:rPr>
        <w:t>şi</w:t>
      </w:r>
      <w:proofErr w:type="spellEnd"/>
      <w:r w:rsidRPr="00C56257">
        <w:rPr>
          <w:color w:val="000000" w:themeColor="text1"/>
          <w:sz w:val="24"/>
          <w:szCs w:val="24"/>
        </w:rPr>
        <w:t xml:space="preserve"> a </w:t>
      </w:r>
      <w:proofErr w:type="spellStart"/>
      <w:r w:rsidRPr="00C56257">
        <w:rPr>
          <w:color w:val="000000" w:themeColor="text1"/>
          <w:sz w:val="24"/>
          <w:szCs w:val="24"/>
        </w:rPr>
        <w:t>metodelor</w:t>
      </w:r>
      <w:proofErr w:type="spellEnd"/>
      <w:r w:rsidRPr="00C56257">
        <w:rPr>
          <w:color w:val="000000" w:themeColor="text1"/>
          <w:sz w:val="24"/>
          <w:szCs w:val="24"/>
        </w:rPr>
        <w:t xml:space="preserve"> de </w:t>
      </w:r>
      <w:proofErr w:type="spellStart"/>
      <w:r w:rsidRPr="00C56257">
        <w:rPr>
          <w:color w:val="000000" w:themeColor="text1"/>
          <w:sz w:val="24"/>
          <w:szCs w:val="24"/>
        </w:rPr>
        <w:t>lucru</w:t>
      </w:r>
      <w:proofErr w:type="spellEnd"/>
      <w:r w:rsidRPr="00C56257">
        <w:rPr>
          <w:color w:val="000000" w:themeColor="text1"/>
          <w:sz w:val="24"/>
          <w:szCs w:val="24"/>
        </w:rPr>
        <w:t xml:space="preserve"> se</w:t>
      </w:r>
      <w:r w:rsidRPr="00C56257">
        <w:rPr>
          <w:color w:val="000000" w:themeColor="text1"/>
          <w:spacing w:val="1"/>
          <w:sz w:val="24"/>
          <w:szCs w:val="24"/>
        </w:rPr>
        <w:t xml:space="preserve"> </w:t>
      </w:r>
      <w:r w:rsidRPr="00C56257">
        <w:rPr>
          <w:color w:val="000000" w:themeColor="text1"/>
          <w:sz w:val="24"/>
          <w:szCs w:val="24"/>
        </w:rPr>
        <w:t xml:space="preserve">face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același</w:t>
      </w:r>
      <w:proofErr w:type="spellEnd"/>
      <w:r w:rsidRPr="00C56257">
        <w:rPr>
          <w:color w:val="000000" w:themeColor="text1"/>
          <w:sz w:val="24"/>
          <w:szCs w:val="24"/>
        </w:rPr>
        <w:t xml:space="preserve"> </w:t>
      </w:r>
      <w:proofErr w:type="spellStart"/>
      <w:r w:rsidRPr="00C56257">
        <w:rPr>
          <w:color w:val="000000" w:themeColor="text1"/>
          <w:sz w:val="24"/>
          <w:szCs w:val="24"/>
        </w:rPr>
        <w:t>timp</w:t>
      </w:r>
      <w:proofErr w:type="spellEnd"/>
      <w:r w:rsidRPr="00C56257">
        <w:rPr>
          <w:color w:val="000000" w:themeColor="text1"/>
          <w:sz w:val="24"/>
          <w:szCs w:val="24"/>
        </w:rPr>
        <w:t xml:space="preserve"> cu </w:t>
      </w:r>
      <w:proofErr w:type="spellStart"/>
      <w:r w:rsidRPr="00C56257">
        <w:rPr>
          <w:color w:val="000000" w:themeColor="text1"/>
          <w:sz w:val="24"/>
          <w:szCs w:val="24"/>
        </w:rPr>
        <w:t>definirea</w:t>
      </w:r>
      <w:proofErr w:type="spellEnd"/>
      <w:r w:rsidRPr="00C56257">
        <w:rPr>
          <w:color w:val="000000" w:themeColor="text1"/>
          <w:sz w:val="24"/>
          <w:szCs w:val="24"/>
        </w:rPr>
        <w:t xml:space="preserve"> </w:t>
      </w:r>
      <w:proofErr w:type="spellStart"/>
      <w:r w:rsidRPr="00C56257">
        <w:rPr>
          <w:color w:val="000000" w:themeColor="text1"/>
          <w:sz w:val="24"/>
          <w:szCs w:val="24"/>
        </w:rPr>
        <w:t>obiectivelor</w:t>
      </w:r>
      <w:proofErr w:type="spellEnd"/>
      <w:r w:rsidRPr="00C56257">
        <w:rPr>
          <w:color w:val="000000" w:themeColor="text1"/>
          <w:sz w:val="24"/>
          <w:szCs w:val="24"/>
        </w:rPr>
        <w:t xml:space="preserve"> </w:t>
      </w:r>
      <w:proofErr w:type="spellStart"/>
      <w:r w:rsidRPr="00C56257">
        <w:rPr>
          <w:color w:val="000000" w:themeColor="text1"/>
          <w:sz w:val="24"/>
          <w:szCs w:val="24"/>
        </w:rPr>
        <w:t>principale</w:t>
      </w:r>
      <w:proofErr w:type="spellEnd"/>
      <w:r w:rsidRPr="00C56257">
        <w:rPr>
          <w:color w:val="000000" w:themeColor="text1"/>
          <w:sz w:val="24"/>
          <w:szCs w:val="24"/>
        </w:rPr>
        <w:t xml:space="preserve"> ale </w:t>
      </w:r>
      <w:proofErr w:type="spellStart"/>
      <w:r w:rsidRPr="00C56257">
        <w:rPr>
          <w:color w:val="000000" w:themeColor="text1"/>
          <w:sz w:val="24"/>
          <w:szCs w:val="24"/>
        </w:rPr>
        <w:t>ghidului</w:t>
      </w:r>
      <w:proofErr w:type="spellEnd"/>
      <w:r w:rsidRPr="00C56257">
        <w:rPr>
          <w:color w:val="000000" w:themeColor="text1"/>
          <w:sz w:val="24"/>
          <w:szCs w:val="24"/>
        </w:rPr>
        <w:t xml:space="preserve"> </w:t>
      </w:r>
      <w:proofErr w:type="spellStart"/>
      <w:r w:rsidRPr="00C56257">
        <w:rPr>
          <w:color w:val="000000" w:themeColor="text1"/>
          <w:sz w:val="24"/>
          <w:szCs w:val="24"/>
        </w:rPr>
        <w:t>sintetic</w:t>
      </w:r>
      <w:proofErr w:type="spellEnd"/>
      <w:r w:rsidRPr="00C56257">
        <w:rPr>
          <w:color w:val="000000" w:themeColor="text1"/>
          <w:sz w:val="24"/>
          <w:szCs w:val="24"/>
        </w:rPr>
        <w:t xml:space="preserve">, </w:t>
      </w:r>
      <w:proofErr w:type="spellStart"/>
      <w:r w:rsidRPr="00C56257">
        <w:rPr>
          <w:color w:val="000000" w:themeColor="text1"/>
          <w:sz w:val="24"/>
          <w:szCs w:val="24"/>
        </w:rPr>
        <w:t>cele</w:t>
      </w:r>
      <w:proofErr w:type="spellEnd"/>
      <w:r w:rsidRPr="00C56257">
        <w:rPr>
          <w:color w:val="000000" w:themeColor="text1"/>
          <w:sz w:val="24"/>
          <w:szCs w:val="24"/>
        </w:rPr>
        <w:t xml:space="preserve"> </w:t>
      </w:r>
      <w:proofErr w:type="spellStart"/>
      <w:r w:rsidRPr="00C56257">
        <w:rPr>
          <w:color w:val="000000" w:themeColor="text1"/>
          <w:sz w:val="24"/>
          <w:szCs w:val="24"/>
        </w:rPr>
        <w:t>două</w:t>
      </w:r>
      <w:proofErr w:type="spellEnd"/>
      <w:r w:rsidRPr="00C56257">
        <w:rPr>
          <w:color w:val="000000" w:themeColor="text1"/>
          <w:sz w:val="24"/>
          <w:szCs w:val="24"/>
        </w:rPr>
        <w:t xml:space="preserve"> </w:t>
      </w:r>
      <w:proofErr w:type="spellStart"/>
      <w:r w:rsidRPr="00C56257">
        <w:rPr>
          <w:color w:val="000000" w:themeColor="text1"/>
          <w:sz w:val="24"/>
          <w:szCs w:val="24"/>
        </w:rPr>
        <w:t>procese</w:t>
      </w:r>
      <w:proofErr w:type="spellEnd"/>
      <w:r w:rsidRPr="00C56257">
        <w:rPr>
          <w:color w:val="000000" w:themeColor="text1"/>
          <w:spacing w:val="1"/>
          <w:sz w:val="24"/>
          <w:szCs w:val="24"/>
        </w:rPr>
        <w:t xml:space="preserve"> </w:t>
      </w:r>
      <w:proofErr w:type="spellStart"/>
      <w:r w:rsidRPr="00C56257">
        <w:rPr>
          <w:color w:val="000000" w:themeColor="text1"/>
          <w:sz w:val="24"/>
          <w:szCs w:val="24"/>
        </w:rPr>
        <w:t>fiind</w:t>
      </w:r>
      <w:proofErr w:type="spellEnd"/>
      <w:r w:rsidRPr="00C56257">
        <w:rPr>
          <w:color w:val="000000" w:themeColor="text1"/>
          <w:spacing w:val="-1"/>
          <w:sz w:val="24"/>
          <w:szCs w:val="24"/>
        </w:rPr>
        <w:t xml:space="preserve"> </w:t>
      </w:r>
      <w:proofErr w:type="spellStart"/>
      <w:r w:rsidRPr="00C56257">
        <w:rPr>
          <w:color w:val="000000" w:themeColor="text1"/>
          <w:sz w:val="24"/>
          <w:szCs w:val="24"/>
        </w:rPr>
        <w:t>strâns</w:t>
      </w:r>
      <w:proofErr w:type="spellEnd"/>
      <w:r w:rsidRPr="00C56257">
        <w:rPr>
          <w:color w:val="000000" w:themeColor="text1"/>
          <w:sz w:val="24"/>
          <w:szCs w:val="24"/>
        </w:rPr>
        <w:t xml:space="preserve"> corelate</w:t>
      </w:r>
      <w:r w:rsidRPr="00C56257">
        <w:rPr>
          <w:color w:val="000000" w:themeColor="text1"/>
          <w:spacing w:val="-1"/>
          <w:sz w:val="24"/>
          <w:szCs w:val="24"/>
        </w:rPr>
        <w:t xml:space="preserve"> </w:t>
      </w:r>
      <w:proofErr w:type="spellStart"/>
      <w:r w:rsidRPr="00C56257">
        <w:rPr>
          <w:color w:val="000000" w:themeColor="text1"/>
          <w:sz w:val="24"/>
          <w:szCs w:val="24"/>
        </w:rPr>
        <w:t>între</w:t>
      </w:r>
      <w:proofErr w:type="spellEnd"/>
      <w:r w:rsidRPr="00C56257">
        <w:rPr>
          <w:color w:val="000000" w:themeColor="text1"/>
          <w:sz w:val="24"/>
          <w:szCs w:val="24"/>
        </w:rPr>
        <w:t xml:space="preserve"> </w:t>
      </w:r>
      <w:proofErr w:type="spellStart"/>
      <w:r w:rsidRPr="00C56257">
        <w:rPr>
          <w:color w:val="000000" w:themeColor="text1"/>
          <w:sz w:val="24"/>
          <w:szCs w:val="24"/>
        </w:rPr>
        <w:t>ele</w:t>
      </w:r>
      <w:proofErr w:type="spellEnd"/>
      <w:r w:rsidRPr="00C56257">
        <w:rPr>
          <w:color w:val="000000" w:themeColor="text1"/>
          <w:sz w:val="24"/>
          <w:szCs w:val="24"/>
        </w:rPr>
        <w:t>.</w:t>
      </w:r>
    </w:p>
    <w:p w14:paraId="336F4551" w14:textId="77777777" w:rsidR="008572F7" w:rsidRDefault="008572F7" w:rsidP="008572F7">
      <w:pPr>
        <w:ind w:left="293" w:right="249"/>
        <w:jc w:val="both"/>
        <w:rPr>
          <w:color w:val="000000" w:themeColor="text1"/>
        </w:rPr>
      </w:pPr>
      <w:r w:rsidRPr="00C56257">
        <w:rPr>
          <w:color w:val="000000" w:themeColor="text1"/>
        </w:rPr>
        <w:t xml:space="preserve">Exemplu: Harta de distribuție pentru habitatul de sărături 1310 Comunităţi cu </w:t>
      </w:r>
      <w:r w:rsidRPr="00C56257">
        <w:rPr>
          <w:i/>
          <w:color w:val="000000" w:themeColor="text1"/>
        </w:rPr>
        <w:t xml:space="preserve">Salicornia </w:t>
      </w:r>
      <w:r w:rsidRPr="00C56257">
        <w:rPr>
          <w:color w:val="000000" w:themeColor="text1"/>
        </w:rPr>
        <w:t>spp.şi alte</w:t>
      </w:r>
      <w:r w:rsidRPr="00C56257">
        <w:rPr>
          <w:color w:val="000000" w:themeColor="text1"/>
          <w:spacing w:val="1"/>
        </w:rPr>
        <w:t xml:space="preserve"> </w:t>
      </w:r>
      <w:r w:rsidRPr="00C56257">
        <w:rPr>
          <w:color w:val="000000" w:themeColor="text1"/>
        </w:rPr>
        <w:t>specii</w:t>
      </w:r>
      <w:r w:rsidRPr="00C56257">
        <w:rPr>
          <w:color w:val="000000" w:themeColor="text1"/>
          <w:spacing w:val="-3"/>
        </w:rPr>
        <w:t xml:space="preserve"> </w:t>
      </w:r>
      <w:r w:rsidRPr="00C56257">
        <w:rPr>
          <w:color w:val="000000" w:themeColor="text1"/>
        </w:rPr>
        <w:t>anuale care colonizează terenurile umede</w:t>
      </w:r>
      <w:r w:rsidRPr="00C56257">
        <w:rPr>
          <w:color w:val="000000" w:themeColor="text1"/>
          <w:spacing w:val="2"/>
        </w:rPr>
        <w:t xml:space="preserve"> </w:t>
      </w:r>
      <w:r w:rsidRPr="00C56257">
        <w:rPr>
          <w:color w:val="000000" w:themeColor="text1"/>
        </w:rPr>
        <w:t>şi</w:t>
      </w:r>
      <w:r w:rsidRPr="00C56257">
        <w:rPr>
          <w:color w:val="000000" w:themeColor="text1"/>
          <w:spacing w:val="-2"/>
        </w:rPr>
        <w:t xml:space="preserve"> </w:t>
      </w:r>
      <w:r w:rsidRPr="00C56257">
        <w:rPr>
          <w:color w:val="000000" w:themeColor="text1"/>
        </w:rPr>
        <w:t>nisipoase:</w:t>
      </w:r>
    </w:p>
    <w:p w14:paraId="4EC305F2" w14:textId="77777777" w:rsidR="003C06FE" w:rsidRPr="00C56257" w:rsidRDefault="003C06FE" w:rsidP="008572F7">
      <w:pPr>
        <w:ind w:left="293" w:right="249"/>
        <w:jc w:val="both"/>
        <w:rPr>
          <w:color w:val="000000" w:themeColor="text1"/>
        </w:rPr>
      </w:pPr>
    </w:p>
    <w:p w14:paraId="2AC806BB" w14:textId="77777777" w:rsidR="008572F7" w:rsidRPr="00C56257" w:rsidRDefault="008572F7" w:rsidP="008572F7">
      <w:pPr>
        <w:pStyle w:val="BodyText"/>
        <w:ind w:left="533"/>
        <w:jc w:val="both"/>
        <w:rPr>
          <w:color w:val="000000" w:themeColor="text1"/>
          <w:sz w:val="24"/>
          <w:szCs w:val="24"/>
        </w:rPr>
      </w:pPr>
      <w:r w:rsidRPr="00C56257">
        <w:rPr>
          <w:noProof/>
          <w:color w:val="000000" w:themeColor="text1"/>
          <w:sz w:val="24"/>
          <w:szCs w:val="24"/>
        </w:rPr>
        <mc:AlternateContent>
          <mc:Choice Requires="wpg">
            <w:drawing>
              <wp:inline distT="0" distB="0" distL="0" distR="0" wp14:anchorId="5EA932D3" wp14:editId="1C0FC064">
                <wp:extent cx="5817235" cy="3670935"/>
                <wp:effectExtent l="0" t="0" r="0" b="0"/>
                <wp:docPr id="479"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7235" cy="3670935"/>
                          <a:chOff x="0" y="0"/>
                          <a:chExt cx="9161" cy="5781"/>
                        </a:xfrm>
                      </wpg:grpSpPr>
                      <pic:pic xmlns:pic="http://schemas.openxmlformats.org/drawingml/2006/picture">
                        <pic:nvPicPr>
                          <pic:cNvPr id="480" name="Picture 36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 y="9"/>
                            <a:ext cx="9140" cy="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1" name="Freeform 365"/>
                        <wps:cNvSpPr>
                          <a:spLocks/>
                        </wps:cNvSpPr>
                        <wps:spPr bwMode="auto">
                          <a:xfrm>
                            <a:off x="0" y="0"/>
                            <a:ext cx="9161" cy="5781"/>
                          </a:xfrm>
                          <a:custGeom>
                            <a:avLst/>
                            <a:gdLst>
                              <a:gd name="T0" fmla="*/ 9160 w 9161"/>
                              <a:gd name="T1" fmla="*/ 0 h 5781"/>
                              <a:gd name="T2" fmla="*/ 9151 w 9161"/>
                              <a:gd name="T3" fmla="*/ 0 h 5781"/>
                              <a:gd name="T4" fmla="*/ 9151 w 9161"/>
                              <a:gd name="T5" fmla="*/ 10 h 5781"/>
                              <a:gd name="T6" fmla="*/ 9151 w 9161"/>
                              <a:gd name="T7" fmla="*/ 5771 h 5781"/>
                              <a:gd name="T8" fmla="*/ 10 w 9161"/>
                              <a:gd name="T9" fmla="*/ 5771 h 5781"/>
                              <a:gd name="T10" fmla="*/ 10 w 9161"/>
                              <a:gd name="T11" fmla="*/ 10 h 5781"/>
                              <a:gd name="T12" fmla="*/ 9151 w 9161"/>
                              <a:gd name="T13" fmla="*/ 10 h 5781"/>
                              <a:gd name="T14" fmla="*/ 9151 w 9161"/>
                              <a:gd name="T15" fmla="*/ 0 h 5781"/>
                              <a:gd name="T16" fmla="*/ 10 w 9161"/>
                              <a:gd name="T17" fmla="*/ 0 h 5781"/>
                              <a:gd name="T18" fmla="*/ 0 w 9161"/>
                              <a:gd name="T19" fmla="*/ 0 h 5781"/>
                              <a:gd name="T20" fmla="*/ 0 w 9161"/>
                              <a:gd name="T21" fmla="*/ 10 h 5781"/>
                              <a:gd name="T22" fmla="*/ 0 w 9161"/>
                              <a:gd name="T23" fmla="*/ 5771 h 5781"/>
                              <a:gd name="T24" fmla="*/ 0 w 9161"/>
                              <a:gd name="T25" fmla="*/ 5780 h 5781"/>
                              <a:gd name="T26" fmla="*/ 10 w 9161"/>
                              <a:gd name="T27" fmla="*/ 5780 h 5781"/>
                              <a:gd name="T28" fmla="*/ 9151 w 9161"/>
                              <a:gd name="T29" fmla="*/ 5780 h 5781"/>
                              <a:gd name="T30" fmla="*/ 9160 w 9161"/>
                              <a:gd name="T31" fmla="*/ 5780 h 5781"/>
                              <a:gd name="T32" fmla="*/ 9160 w 9161"/>
                              <a:gd name="T33" fmla="*/ 5771 h 5781"/>
                              <a:gd name="T34" fmla="*/ 9160 w 9161"/>
                              <a:gd name="T35" fmla="*/ 10 h 5781"/>
                              <a:gd name="T36" fmla="*/ 9160 w 9161"/>
                              <a:gd name="T37" fmla="*/ 0 h 57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9161" h="5781">
                                <a:moveTo>
                                  <a:pt x="9160" y="0"/>
                                </a:moveTo>
                                <a:lnTo>
                                  <a:pt x="9151" y="0"/>
                                </a:lnTo>
                                <a:lnTo>
                                  <a:pt x="9151" y="10"/>
                                </a:lnTo>
                                <a:lnTo>
                                  <a:pt x="9151" y="5771"/>
                                </a:lnTo>
                                <a:lnTo>
                                  <a:pt x="10" y="5771"/>
                                </a:lnTo>
                                <a:lnTo>
                                  <a:pt x="10" y="10"/>
                                </a:lnTo>
                                <a:lnTo>
                                  <a:pt x="9151" y="10"/>
                                </a:lnTo>
                                <a:lnTo>
                                  <a:pt x="9151" y="0"/>
                                </a:lnTo>
                                <a:lnTo>
                                  <a:pt x="10" y="0"/>
                                </a:lnTo>
                                <a:lnTo>
                                  <a:pt x="0" y="0"/>
                                </a:lnTo>
                                <a:lnTo>
                                  <a:pt x="0" y="10"/>
                                </a:lnTo>
                                <a:lnTo>
                                  <a:pt x="0" y="5771"/>
                                </a:lnTo>
                                <a:lnTo>
                                  <a:pt x="0" y="5780"/>
                                </a:lnTo>
                                <a:lnTo>
                                  <a:pt x="10" y="5780"/>
                                </a:lnTo>
                                <a:lnTo>
                                  <a:pt x="9151" y="5780"/>
                                </a:lnTo>
                                <a:lnTo>
                                  <a:pt x="9160" y="5780"/>
                                </a:lnTo>
                                <a:lnTo>
                                  <a:pt x="9160" y="5771"/>
                                </a:lnTo>
                                <a:lnTo>
                                  <a:pt x="9160" y="10"/>
                                </a:lnTo>
                                <a:lnTo>
                                  <a:pt x="91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4128B43" id="Group 569" o:spid="_x0000_s1026" style="width:458.05pt;height:289.05pt;mso-position-horizontal-relative:char;mso-position-vertical-relative:line" coordsize="9161,5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4" o:spid="_x0000_s1027" type="#_x0000_t75" style="position:absolute;left:8;top:9;width:9140;height:5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mpSDAAAAA3AAAAA8AAABkcnMvZG93bnJldi54bWxET8uKwjAU3QvzD+EOuNNUUSkdowwDvpiN&#10;VhezvDTXptjc1CZq/fvJQnB5OO/5srO1uFPrK8cKRsMEBHHhdMWlgtNxNUhB+ICssXZMCp7kYbn4&#10;6M0x0+7BB7rnoRQxhH2GCkwITSalLwxZ9EPXEEfu7FqLIcK2lLrFRwy3tRwnyUxarDg2GGzox1Bx&#10;yW9WwdEVm+vEmr9kvZvuN3rk/a9Llep/dt9fIAJ14S1+ubdawSSN8+OZeATk4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GalIMAAAADcAAAADwAAAAAAAAAAAAAAAACfAgAA&#10;ZHJzL2Rvd25yZXYueG1sUEsFBgAAAAAEAAQA9wAAAIwDAAAAAA==&#10;">
                  <v:imagedata r:id="rId16" o:title=""/>
                </v:shape>
                <v:shape id="Freeform 365" o:spid="_x0000_s1028" style="position:absolute;width:9161;height:5781;visibility:visible;mso-wrap-style:square;v-text-anchor:top" coordsize="9161,57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MwFsUA&#10;AADcAAAADwAAAGRycy9kb3ducmV2LnhtbESP0WrCQBRE3wv+w3IF3+omYkNIXUWsQuhDqWk+4JK9&#10;JsHs3TS70fj33UKhj8PMnGE2u8l04kaDay0riJcRCOLK6pZrBeXX6TkF4Tyyxs4yKXiQg9129rTB&#10;TNs7n+lW+FoECLsMFTTe95mUrmrIoFvanjh4FzsY9EEOtdQD3gPcdHIVRYk02HJYaLCnQ0PVtRiN&#10;gst7Mua2Topj+/GZvL18X8tzHim1mE/7VxCeJv8f/mvnWsE6jeH3TDg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kzAWxQAAANwAAAAPAAAAAAAAAAAAAAAAAJgCAABkcnMv&#10;ZG93bnJldi54bWxQSwUGAAAAAAQABAD1AAAAigMAAAAA&#10;" path="m9160,r-9,l9151,10r,5761l10,5771,10,10r9141,l9151,,10,,,,,10,,5771r,9l10,5780r9141,l9160,5780r,-9l9160,10r,-10xe" fillcolor="black" stroked="f">
                  <v:path arrowok="t" o:connecttype="custom" o:connectlocs="9160,0;9151,0;9151,10;9151,5771;10,5771;10,10;9151,10;9151,0;10,0;0,0;0,10;0,5771;0,5780;10,5780;9151,5780;9160,5780;9160,5771;9160,10;9160,0" o:connectangles="0,0,0,0,0,0,0,0,0,0,0,0,0,0,0,0,0,0,0"/>
                </v:shape>
                <w10:anchorlock/>
              </v:group>
            </w:pict>
          </mc:Fallback>
        </mc:AlternateContent>
      </w:r>
    </w:p>
    <w:p w14:paraId="56B70A66" w14:textId="77777777" w:rsidR="008572F7" w:rsidRPr="00C56257" w:rsidRDefault="008572F7" w:rsidP="008572F7">
      <w:pPr>
        <w:pStyle w:val="BodyText"/>
        <w:spacing w:before="11"/>
        <w:jc w:val="both"/>
        <w:rPr>
          <w:color w:val="000000" w:themeColor="text1"/>
          <w:sz w:val="24"/>
          <w:szCs w:val="24"/>
        </w:rPr>
      </w:pPr>
    </w:p>
    <w:p w14:paraId="4716DC6C" w14:textId="77777777" w:rsidR="008572F7" w:rsidRPr="00C56257" w:rsidRDefault="008572F7" w:rsidP="008572F7">
      <w:pPr>
        <w:pStyle w:val="BodyText"/>
        <w:spacing w:before="90"/>
        <w:ind w:left="293" w:right="251"/>
        <w:jc w:val="both"/>
        <w:rPr>
          <w:color w:val="000000" w:themeColor="text1"/>
          <w:sz w:val="24"/>
          <w:szCs w:val="24"/>
          <w:lang w:val="fr-FR"/>
        </w:rPr>
      </w:pPr>
      <w:proofErr w:type="spellStart"/>
      <w:r w:rsidRPr="00C56257">
        <w:rPr>
          <w:color w:val="000000" w:themeColor="text1"/>
          <w:sz w:val="24"/>
          <w:szCs w:val="24"/>
          <w:lang w:val="fr-FR"/>
        </w:rPr>
        <w:t>Pentru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fiecare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obiectiv</w:t>
      </w:r>
      <w:proofErr w:type="spellEnd"/>
      <w:r w:rsidRPr="00C56257">
        <w:rPr>
          <w:color w:val="000000" w:themeColor="text1"/>
          <w:sz w:val="24"/>
          <w:szCs w:val="24"/>
          <w:lang w:val="fr-FR"/>
        </w:rPr>
        <w:t xml:space="preserve"> principal </w:t>
      </w:r>
      <w:proofErr w:type="spellStart"/>
      <w:r w:rsidRPr="00C56257">
        <w:rPr>
          <w:color w:val="000000" w:themeColor="text1"/>
          <w:sz w:val="24"/>
          <w:szCs w:val="24"/>
          <w:lang w:val="fr-FR"/>
        </w:rPr>
        <w:t>propus</w:t>
      </w:r>
      <w:proofErr w:type="spellEnd"/>
      <w:r w:rsidRPr="00C56257">
        <w:rPr>
          <w:color w:val="000000" w:themeColor="text1"/>
          <w:sz w:val="24"/>
          <w:szCs w:val="24"/>
          <w:lang w:val="fr-FR"/>
        </w:rPr>
        <w:t xml:space="preserve">, la </w:t>
      </w:r>
      <w:proofErr w:type="spellStart"/>
      <w:r w:rsidRPr="00C56257">
        <w:rPr>
          <w:color w:val="000000" w:themeColor="text1"/>
          <w:sz w:val="24"/>
          <w:szCs w:val="24"/>
          <w:lang w:val="fr-FR"/>
        </w:rPr>
        <w:t>nivelul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fiecărui</w:t>
      </w:r>
      <w:proofErr w:type="spellEnd"/>
      <w:r w:rsidRPr="00C56257">
        <w:rPr>
          <w:color w:val="000000" w:themeColor="text1"/>
          <w:sz w:val="24"/>
          <w:szCs w:val="24"/>
          <w:lang w:val="fr-FR"/>
        </w:rPr>
        <w:t xml:space="preserve"> habitat </w:t>
      </w:r>
      <w:proofErr w:type="spellStart"/>
      <w:r w:rsidRPr="00C56257">
        <w:rPr>
          <w:color w:val="000000" w:themeColor="text1"/>
          <w:sz w:val="24"/>
          <w:szCs w:val="24"/>
          <w:lang w:val="fr-FR"/>
        </w:rPr>
        <w:t>țintă</w:t>
      </w:r>
      <w:proofErr w:type="spellEnd"/>
      <w:r w:rsidRPr="00C56257">
        <w:rPr>
          <w:color w:val="000000" w:themeColor="text1"/>
          <w:sz w:val="24"/>
          <w:szCs w:val="24"/>
          <w:lang w:val="fr-FR"/>
        </w:rPr>
        <w:t xml:space="preserve">, se </w:t>
      </w:r>
      <w:proofErr w:type="spellStart"/>
      <w:r w:rsidRPr="00C56257">
        <w:rPr>
          <w:color w:val="000000" w:themeColor="text1"/>
          <w:sz w:val="24"/>
          <w:szCs w:val="24"/>
          <w:lang w:val="fr-FR"/>
        </w:rPr>
        <w:t>identific</w:t>
      </w:r>
      <w:r>
        <w:rPr>
          <w:color w:val="000000" w:themeColor="text1"/>
          <w:sz w:val="24"/>
          <w:szCs w:val="24"/>
          <w:lang w:val="fr-FR"/>
        </w:rPr>
        <w:t>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acele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caracteristici</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w:t>
      </w:r>
      <w:proofErr w:type="spellStart"/>
      <w:r w:rsidRPr="00C56257">
        <w:rPr>
          <w:color w:val="000000" w:themeColor="text1"/>
          <w:sz w:val="24"/>
          <w:szCs w:val="24"/>
          <w:lang w:val="fr-FR"/>
        </w:rPr>
        <w:t>atribute</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r w:rsidRPr="00C56257">
        <w:rPr>
          <w:color w:val="000000" w:themeColor="text1"/>
          <w:sz w:val="24"/>
          <w:szCs w:val="24"/>
          <w:lang w:val="fr-FR"/>
        </w:rPr>
        <w:t>ale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habitatului</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care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reflectă</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proprietățile</w:t>
      </w:r>
      <w:proofErr w:type="spellEnd"/>
      <w:r>
        <w:rPr>
          <w:color w:val="000000" w:themeColor="text1"/>
          <w:sz w:val="24"/>
          <w:szCs w:val="24"/>
          <w:lang w:val="fr-FR"/>
        </w:rPr>
        <w:t xml:space="preserve"> </w:t>
      </w:r>
      <w:proofErr w:type="spellStart"/>
      <w:r w:rsidRPr="00C56257">
        <w:rPr>
          <w:color w:val="000000" w:themeColor="text1"/>
          <w:sz w:val="24"/>
          <w:szCs w:val="24"/>
          <w:lang w:val="fr-FR"/>
        </w:rPr>
        <w:t>acestuia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pot</w:t>
      </w:r>
      <w:r w:rsidRPr="00C56257">
        <w:rPr>
          <w:color w:val="000000" w:themeColor="text1"/>
          <w:spacing w:val="1"/>
          <w:sz w:val="24"/>
          <w:szCs w:val="24"/>
          <w:lang w:val="fr-FR"/>
        </w:rPr>
        <w:t xml:space="preserve"> </w:t>
      </w:r>
      <w:r w:rsidRPr="00C56257">
        <w:rPr>
          <w:color w:val="000000" w:themeColor="text1"/>
          <w:sz w:val="24"/>
          <w:szCs w:val="24"/>
          <w:lang w:val="fr-FR"/>
        </w:rPr>
        <w:t>fi</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cuantificate</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Fiecărui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atribut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acolo</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unde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informațiile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existente</w:t>
      </w:r>
      <w:proofErr w:type="spellEnd"/>
      <w:r w:rsidRPr="00C56257">
        <w:rPr>
          <w:color w:val="000000" w:themeColor="text1"/>
          <w:sz w:val="24"/>
          <w:szCs w:val="24"/>
          <w:lang w:val="fr-FR"/>
        </w:rPr>
        <w:t xml:space="preserve"> permit </w:t>
      </w:r>
      <w:proofErr w:type="spellStart"/>
      <w:r w:rsidRPr="00C56257">
        <w:rPr>
          <w:color w:val="000000" w:themeColor="text1"/>
          <w:sz w:val="24"/>
          <w:szCs w:val="24"/>
          <w:lang w:val="fr-FR"/>
        </w:rPr>
        <w:t>acest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lucru</w:t>
      </w:r>
      <w:proofErr w:type="spellEnd"/>
      <w:r w:rsidRPr="00C56257">
        <w:rPr>
          <w:color w:val="000000" w:themeColor="text1"/>
          <w:sz w:val="24"/>
          <w:szCs w:val="24"/>
          <w:lang w:val="fr-FR"/>
        </w:rPr>
        <w:t xml:space="preserve">, i se va </w:t>
      </w:r>
      <w:proofErr w:type="spellStart"/>
      <w:r w:rsidRPr="00C56257">
        <w:rPr>
          <w:color w:val="000000" w:themeColor="text1"/>
          <w:sz w:val="24"/>
          <w:szCs w:val="24"/>
          <w:lang w:val="fr-FR"/>
        </w:rPr>
        <w:t>defini</w:t>
      </w:r>
      <w:proofErr w:type="spellEnd"/>
      <w:r w:rsidRPr="00C56257">
        <w:rPr>
          <w:color w:val="000000" w:themeColor="text1"/>
          <w:sz w:val="24"/>
          <w:szCs w:val="24"/>
          <w:lang w:val="fr-FR"/>
        </w:rPr>
        <w:t xml:space="preserve"> un </w:t>
      </w:r>
      <w:proofErr w:type="spellStart"/>
      <w:r w:rsidRPr="00C56257">
        <w:rPr>
          <w:color w:val="000000" w:themeColor="text1"/>
          <w:sz w:val="24"/>
          <w:szCs w:val="24"/>
          <w:lang w:val="fr-FR"/>
        </w:rPr>
        <w:t>interval</w:t>
      </w:r>
      <w:proofErr w:type="spellEnd"/>
      <w:r w:rsidRPr="00C56257">
        <w:rPr>
          <w:color w:val="000000" w:themeColor="text1"/>
          <w:sz w:val="24"/>
          <w:szCs w:val="24"/>
          <w:lang w:val="fr-FR"/>
        </w:rPr>
        <w:t xml:space="preserve"> 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valori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w:t>
      </w:r>
      <w:proofErr w:type="spellEnd"/>
      <w:r w:rsidRPr="00C56257">
        <w:rPr>
          <w:color w:val="000000" w:themeColor="text1"/>
          <w:sz w:val="24"/>
          <w:szCs w:val="24"/>
          <w:lang w:val="fr-FR"/>
        </w:rPr>
        <w:t xml:space="preserve"> care le </w:t>
      </w:r>
      <w:proofErr w:type="spellStart"/>
      <w:r w:rsidRPr="00C56257">
        <w:rPr>
          <w:color w:val="000000" w:themeColor="text1"/>
          <w:sz w:val="24"/>
          <w:szCs w:val="24"/>
          <w:lang w:val="fr-FR"/>
        </w:rPr>
        <w:t>poate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lua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fără</w:t>
      </w:r>
      <w:proofErr w:type="spellEnd"/>
      <w:r w:rsidRPr="00C56257">
        <w:rPr>
          <w:color w:val="000000" w:themeColor="text1"/>
          <w:sz w:val="24"/>
          <w:szCs w:val="24"/>
          <w:lang w:val="fr-FR"/>
        </w:rPr>
        <w:t xml:space="preserve"> ca </w:t>
      </w:r>
      <w:proofErr w:type="spellStart"/>
      <w:r w:rsidRPr="00C56257">
        <w:rPr>
          <w:color w:val="000000" w:themeColor="text1"/>
          <w:sz w:val="24"/>
          <w:szCs w:val="24"/>
          <w:lang w:val="fr-FR"/>
        </w:rPr>
        <w:t>proprietățile</w:t>
      </w:r>
      <w:proofErr w:type="spellEnd"/>
      <w:r>
        <w:rPr>
          <w:color w:val="000000" w:themeColor="text1"/>
          <w:sz w:val="24"/>
          <w:szCs w:val="24"/>
          <w:lang w:val="fr-FR"/>
        </w:rPr>
        <w:t xml:space="preserve"> </w:t>
      </w:r>
      <w:proofErr w:type="spellStart"/>
      <w:r w:rsidRPr="00C56257">
        <w:rPr>
          <w:color w:val="000000" w:themeColor="text1"/>
          <w:sz w:val="24"/>
          <w:szCs w:val="24"/>
          <w:lang w:val="fr-FR"/>
        </w:rPr>
        <w:t>habitatului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analizat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să</w:t>
      </w:r>
      <w:proofErr w:type="spellEnd"/>
      <w:r w:rsidRPr="00C56257">
        <w:rPr>
          <w:color w:val="000000" w:themeColor="text1"/>
          <w:sz w:val="24"/>
          <w:szCs w:val="24"/>
          <w:lang w:val="fr-FR"/>
        </w:rPr>
        <w:t xml:space="preserve"> fie </w:t>
      </w:r>
      <w:proofErr w:type="spellStart"/>
      <w:r w:rsidRPr="00C56257">
        <w:rPr>
          <w:color w:val="000000" w:themeColor="text1"/>
          <w:sz w:val="24"/>
          <w:szCs w:val="24"/>
          <w:lang w:val="fr-FR"/>
        </w:rPr>
        <w:t>alterate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uşurându</w:t>
      </w:r>
      <w:proofErr w:type="spellEnd"/>
      <w:r w:rsidRPr="00C56257">
        <w:rPr>
          <w:color w:val="000000" w:themeColor="text1"/>
          <w:sz w:val="24"/>
          <w:szCs w:val="24"/>
          <w:lang w:val="fr-FR"/>
        </w:rPr>
        <w:t xml:space="preserve">-se </w:t>
      </w:r>
      <w:proofErr w:type="spellStart"/>
      <w:r w:rsidRPr="00C56257">
        <w:rPr>
          <w:color w:val="000000" w:themeColor="text1"/>
          <w:sz w:val="24"/>
          <w:szCs w:val="24"/>
          <w:lang w:val="fr-FR"/>
        </w:rPr>
        <w:t>astfel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interpretarea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rezultatelor</w:t>
      </w:r>
      <w:proofErr w:type="spellEnd"/>
      <w:r w:rsidRPr="00C56257">
        <w:rPr>
          <w:color w:val="000000" w:themeColor="text1"/>
          <w:sz w:val="24"/>
          <w:szCs w:val="24"/>
          <w:lang w:val="fr-FR"/>
        </w:rPr>
        <w:t>.</w:t>
      </w:r>
    </w:p>
    <w:p w14:paraId="5312EE41" w14:textId="77777777" w:rsidR="008572F7" w:rsidRPr="00C56257" w:rsidRDefault="008572F7" w:rsidP="008572F7">
      <w:pPr>
        <w:pStyle w:val="BodyText"/>
        <w:ind w:left="293"/>
        <w:jc w:val="both"/>
        <w:rPr>
          <w:color w:val="000000" w:themeColor="text1"/>
          <w:sz w:val="24"/>
          <w:szCs w:val="24"/>
          <w:lang w:val="fr-FR"/>
        </w:rPr>
      </w:pP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tabelul</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care</w:t>
      </w:r>
      <w:r w:rsidRPr="00C56257">
        <w:rPr>
          <w:color w:val="000000" w:themeColor="text1"/>
          <w:spacing w:val="-3"/>
          <w:sz w:val="24"/>
          <w:szCs w:val="24"/>
          <w:lang w:val="fr-FR"/>
        </w:rPr>
        <w:t xml:space="preserve"> </w:t>
      </w:r>
      <w:proofErr w:type="spellStart"/>
      <w:r w:rsidRPr="00C56257">
        <w:rPr>
          <w:color w:val="000000" w:themeColor="text1"/>
          <w:sz w:val="24"/>
          <w:szCs w:val="24"/>
          <w:lang w:val="fr-FR"/>
        </w:rPr>
        <w:t>urmează</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se</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regăsesc</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indicatorii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generali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din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cadrul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planului</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monitorizare</w:t>
      </w:r>
      <w:proofErr w:type="spellEnd"/>
      <w:r w:rsidR="004242AA">
        <w:rPr>
          <w:color w:val="000000" w:themeColor="text1"/>
          <w:sz w:val="24"/>
          <w:szCs w:val="24"/>
          <w:lang w:val="fr-FR"/>
        </w:rPr>
        <w:t>.</w:t>
      </w:r>
    </w:p>
    <w:p w14:paraId="184B1758" w14:textId="77777777" w:rsidR="008572F7" w:rsidRPr="00C56257" w:rsidRDefault="008572F7" w:rsidP="008572F7">
      <w:pPr>
        <w:pStyle w:val="BodyText"/>
        <w:spacing w:before="8"/>
        <w:jc w:val="both"/>
        <w:rPr>
          <w:color w:val="000000" w:themeColor="text1"/>
          <w:sz w:val="24"/>
          <w:szCs w:val="24"/>
          <w:lang w:val="fr-FR"/>
        </w:rPr>
      </w:pPr>
    </w:p>
    <w:tbl>
      <w:tblPr>
        <w:tblW w:w="0" w:type="auto"/>
        <w:tblInd w:w="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04"/>
        <w:gridCol w:w="7101"/>
      </w:tblGrid>
      <w:tr w:rsidR="008572F7" w:rsidRPr="00C56257" w14:paraId="2C1C79A2" w14:textId="77777777" w:rsidTr="00C902DF">
        <w:trPr>
          <w:trHeight w:val="421"/>
        </w:trPr>
        <w:tc>
          <w:tcPr>
            <w:tcW w:w="2204" w:type="dxa"/>
            <w:shd w:val="clear" w:color="auto" w:fill="D9D9D9"/>
          </w:tcPr>
          <w:p w14:paraId="13CB5BBF" w14:textId="77777777" w:rsidR="008572F7" w:rsidRPr="00C56257" w:rsidRDefault="008572F7" w:rsidP="00C902DF">
            <w:pPr>
              <w:pStyle w:val="TableParagraph"/>
              <w:spacing w:before="68"/>
              <w:ind w:left="395"/>
              <w:jc w:val="both"/>
              <w:rPr>
                <w:b/>
                <w:color w:val="000000" w:themeColor="text1"/>
                <w:sz w:val="24"/>
                <w:szCs w:val="24"/>
              </w:rPr>
            </w:pPr>
            <w:r w:rsidRPr="00C56257">
              <w:rPr>
                <w:b/>
                <w:color w:val="000000" w:themeColor="text1"/>
                <w:sz w:val="24"/>
                <w:szCs w:val="24"/>
              </w:rPr>
              <w:t>Indicatori</w:t>
            </w:r>
          </w:p>
        </w:tc>
        <w:tc>
          <w:tcPr>
            <w:tcW w:w="7101" w:type="dxa"/>
            <w:shd w:val="clear" w:color="auto" w:fill="D9D9D9"/>
          </w:tcPr>
          <w:p w14:paraId="7B8B5A84" w14:textId="77777777" w:rsidR="008572F7" w:rsidRPr="00C56257" w:rsidRDefault="008572F7" w:rsidP="00C902DF">
            <w:pPr>
              <w:pStyle w:val="TableParagraph"/>
              <w:spacing w:before="68"/>
              <w:ind w:left="395"/>
              <w:jc w:val="both"/>
              <w:rPr>
                <w:b/>
                <w:color w:val="000000" w:themeColor="text1"/>
                <w:sz w:val="24"/>
                <w:szCs w:val="24"/>
              </w:rPr>
            </w:pPr>
            <w:r w:rsidRPr="00C56257">
              <w:rPr>
                <w:b/>
                <w:color w:val="000000" w:themeColor="text1"/>
                <w:sz w:val="24"/>
                <w:szCs w:val="24"/>
              </w:rPr>
              <w:t>Compoziție</w:t>
            </w:r>
          </w:p>
        </w:tc>
      </w:tr>
      <w:tr w:rsidR="008572F7" w:rsidRPr="00C56257" w14:paraId="51D297B1" w14:textId="77777777" w:rsidTr="00C902DF">
        <w:trPr>
          <w:trHeight w:val="827"/>
        </w:trPr>
        <w:tc>
          <w:tcPr>
            <w:tcW w:w="2204" w:type="dxa"/>
          </w:tcPr>
          <w:p w14:paraId="5B73031B" w14:textId="77777777" w:rsidR="008572F7" w:rsidRPr="00C56257" w:rsidRDefault="008572F7" w:rsidP="00C902DF">
            <w:pPr>
              <w:pStyle w:val="TableParagraph"/>
              <w:spacing w:before="131"/>
              <w:ind w:left="395" w:right="715"/>
              <w:jc w:val="both"/>
              <w:rPr>
                <w:color w:val="000000" w:themeColor="text1"/>
                <w:sz w:val="24"/>
                <w:szCs w:val="24"/>
              </w:rPr>
            </w:pPr>
            <w:r w:rsidRPr="00C56257">
              <w:rPr>
                <w:color w:val="000000" w:themeColor="text1"/>
                <w:sz w:val="24"/>
                <w:szCs w:val="24"/>
              </w:rPr>
              <w:t>La</w:t>
            </w:r>
            <w:r w:rsidRPr="00C56257">
              <w:rPr>
                <w:color w:val="000000" w:themeColor="text1"/>
                <w:spacing w:val="-9"/>
                <w:sz w:val="24"/>
                <w:szCs w:val="24"/>
              </w:rPr>
              <w:t xml:space="preserve"> </w:t>
            </w:r>
            <w:r w:rsidRPr="00C56257">
              <w:rPr>
                <w:color w:val="000000" w:themeColor="text1"/>
                <w:sz w:val="24"/>
                <w:szCs w:val="24"/>
              </w:rPr>
              <w:t>nivel</w:t>
            </w:r>
            <w:r w:rsidRPr="00C56257">
              <w:rPr>
                <w:color w:val="000000" w:themeColor="text1"/>
                <w:spacing w:val="-7"/>
                <w:sz w:val="24"/>
                <w:szCs w:val="24"/>
              </w:rPr>
              <w:t xml:space="preserve"> </w:t>
            </w:r>
            <w:r w:rsidRPr="00C56257">
              <w:rPr>
                <w:color w:val="000000" w:themeColor="text1"/>
                <w:sz w:val="24"/>
                <w:szCs w:val="24"/>
              </w:rPr>
              <w:t>de</w:t>
            </w:r>
            <w:r w:rsidRPr="00C56257">
              <w:rPr>
                <w:color w:val="000000" w:themeColor="text1"/>
                <w:spacing w:val="-57"/>
                <w:sz w:val="24"/>
                <w:szCs w:val="24"/>
              </w:rPr>
              <w:t xml:space="preserve"> </w:t>
            </w:r>
            <w:r w:rsidRPr="00C56257">
              <w:rPr>
                <w:color w:val="000000" w:themeColor="text1"/>
                <w:sz w:val="24"/>
                <w:szCs w:val="24"/>
              </w:rPr>
              <w:t>habitat</w:t>
            </w:r>
          </w:p>
        </w:tc>
        <w:tc>
          <w:tcPr>
            <w:tcW w:w="7101" w:type="dxa"/>
          </w:tcPr>
          <w:p w14:paraId="664B190B" w14:textId="77777777" w:rsidR="008572F7" w:rsidRPr="00C56257" w:rsidRDefault="008572F7" w:rsidP="009E63E5">
            <w:pPr>
              <w:pStyle w:val="TableParagraph"/>
              <w:numPr>
                <w:ilvl w:val="0"/>
                <w:numId w:val="118"/>
              </w:numPr>
              <w:tabs>
                <w:tab w:val="left" w:pos="367"/>
              </w:tabs>
              <w:spacing w:line="268" w:lineRule="exact"/>
              <w:jc w:val="both"/>
              <w:rPr>
                <w:color w:val="000000" w:themeColor="text1"/>
                <w:sz w:val="24"/>
                <w:szCs w:val="24"/>
              </w:rPr>
            </w:pPr>
            <w:r w:rsidRPr="00C56257">
              <w:rPr>
                <w:color w:val="000000" w:themeColor="text1"/>
                <w:sz w:val="24"/>
                <w:szCs w:val="24"/>
              </w:rPr>
              <w:t>proporția</w:t>
            </w:r>
            <w:r w:rsidRPr="00C56257">
              <w:rPr>
                <w:color w:val="000000" w:themeColor="text1"/>
                <w:spacing w:val="-2"/>
                <w:sz w:val="24"/>
                <w:szCs w:val="24"/>
              </w:rPr>
              <w:t xml:space="preserve"> </w:t>
            </w:r>
            <w:r w:rsidRPr="00C56257">
              <w:rPr>
                <w:color w:val="000000" w:themeColor="text1"/>
                <w:sz w:val="24"/>
                <w:szCs w:val="24"/>
              </w:rPr>
              <w:t>habitatului</w:t>
            </w:r>
            <w:r w:rsidRPr="00C56257">
              <w:rPr>
                <w:color w:val="000000" w:themeColor="text1"/>
                <w:spacing w:val="-2"/>
                <w:sz w:val="24"/>
                <w:szCs w:val="24"/>
              </w:rPr>
              <w:t xml:space="preserve"> </w:t>
            </w:r>
            <w:r w:rsidRPr="00C56257">
              <w:rPr>
                <w:color w:val="000000" w:themeColor="text1"/>
                <w:sz w:val="24"/>
                <w:szCs w:val="24"/>
              </w:rPr>
              <w:t>în</w:t>
            </w:r>
            <w:r w:rsidRPr="00C56257">
              <w:rPr>
                <w:color w:val="000000" w:themeColor="text1"/>
                <w:spacing w:val="-2"/>
                <w:sz w:val="24"/>
                <w:szCs w:val="24"/>
              </w:rPr>
              <w:t xml:space="preserve"> </w:t>
            </w:r>
            <w:r w:rsidRPr="00C56257">
              <w:rPr>
                <w:color w:val="000000" w:themeColor="text1"/>
                <w:sz w:val="24"/>
                <w:szCs w:val="24"/>
              </w:rPr>
              <w:t>cadrul</w:t>
            </w:r>
            <w:r w:rsidRPr="00C56257">
              <w:rPr>
                <w:color w:val="000000" w:themeColor="text1"/>
                <w:spacing w:val="-1"/>
                <w:sz w:val="24"/>
                <w:szCs w:val="24"/>
              </w:rPr>
              <w:t xml:space="preserve"> </w:t>
            </w:r>
            <w:r w:rsidRPr="00C56257">
              <w:rPr>
                <w:color w:val="000000" w:themeColor="text1"/>
                <w:sz w:val="24"/>
                <w:szCs w:val="24"/>
              </w:rPr>
              <w:t>arealului</w:t>
            </w:r>
            <w:r w:rsidRPr="00C56257">
              <w:rPr>
                <w:color w:val="000000" w:themeColor="text1"/>
                <w:spacing w:val="-2"/>
                <w:sz w:val="24"/>
                <w:szCs w:val="24"/>
              </w:rPr>
              <w:t xml:space="preserve"> </w:t>
            </w:r>
            <w:r w:rsidRPr="00C56257">
              <w:rPr>
                <w:color w:val="000000" w:themeColor="text1"/>
                <w:sz w:val="24"/>
                <w:szCs w:val="24"/>
              </w:rPr>
              <w:t>analizat</w:t>
            </w:r>
          </w:p>
          <w:p w14:paraId="6A0CACF6" w14:textId="77777777" w:rsidR="008572F7" w:rsidRPr="00C56257" w:rsidRDefault="008572F7" w:rsidP="009E63E5">
            <w:pPr>
              <w:pStyle w:val="TableParagraph"/>
              <w:numPr>
                <w:ilvl w:val="0"/>
                <w:numId w:val="118"/>
              </w:numPr>
              <w:tabs>
                <w:tab w:val="left" w:pos="367"/>
              </w:tabs>
              <w:jc w:val="both"/>
              <w:rPr>
                <w:color w:val="000000" w:themeColor="text1"/>
                <w:sz w:val="24"/>
                <w:szCs w:val="24"/>
              </w:rPr>
            </w:pPr>
            <w:r w:rsidRPr="00C56257">
              <w:rPr>
                <w:color w:val="000000" w:themeColor="text1"/>
                <w:sz w:val="24"/>
                <w:szCs w:val="24"/>
              </w:rPr>
              <w:t>tipuri</w:t>
            </w:r>
            <w:r w:rsidRPr="00C56257">
              <w:rPr>
                <w:color w:val="000000" w:themeColor="text1"/>
                <w:spacing w:val="-3"/>
                <w:sz w:val="24"/>
                <w:szCs w:val="24"/>
              </w:rPr>
              <w:t xml:space="preserve"> </w:t>
            </w:r>
            <w:r w:rsidRPr="00C56257">
              <w:rPr>
                <w:color w:val="000000" w:themeColor="text1"/>
                <w:sz w:val="24"/>
                <w:szCs w:val="24"/>
              </w:rPr>
              <w:t>de</w:t>
            </w:r>
            <w:r w:rsidRPr="00C56257">
              <w:rPr>
                <w:color w:val="000000" w:themeColor="text1"/>
                <w:spacing w:val="-4"/>
                <w:sz w:val="24"/>
                <w:szCs w:val="24"/>
              </w:rPr>
              <w:t xml:space="preserve"> </w:t>
            </w:r>
            <w:r w:rsidRPr="00C56257">
              <w:rPr>
                <w:color w:val="000000" w:themeColor="text1"/>
                <w:sz w:val="24"/>
                <w:szCs w:val="24"/>
              </w:rPr>
              <w:t>asociații</w:t>
            </w:r>
            <w:r w:rsidRPr="00C56257">
              <w:rPr>
                <w:color w:val="000000" w:themeColor="text1"/>
                <w:spacing w:val="-1"/>
                <w:sz w:val="24"/>
                <w:szCs w:val="24"/>
              </w:rPr>
              <w:t xml:space="preserve"> </w:t>
            </w:r>
            <w:r w:rsidRPr="00C56257">
              <w:rPr>
                <w:color w:val="000000" w:themeColor="text1"/>
                <w:sz w:val="24"/>
                <w:szCs w:val="24"/>
              </w:rPr>
              <w:t>vegetale</w:t>
            </w:r>
            <w:r w:rsidRPr="00C56257">
              <w:rPr>
                <w:color w:val="000000" w:themeColor="text1"/>
                <w:spacing w:val="-2"/>
                <w:sz w:val="24"/>
                <w:szCs w:val="24"/>
              </w:rPr>
              <w:t xml:space="preserve"> </w:t>
            </w:r>
            <w:r w:rsidRPr="00C56257">
              <w:rPr>
                <w:color w:val="000000" w:themeColor="text1"/>
                <w:sz w:val="24"/>
                <w:szCs w:val="24"/>
              </w:rPr>
              <w:t>componente</w:t>
            </w:r>
          </w:p>
          <w:p w14:paraId="03543DC6" w14:textId="77777777" w:rsidR="008572F7" w:rsidRPr="00C56257" w:rsidRDefault="008572F7" w:rsidP="009E63E5">
            <w:pPr>
              <w:pStyle w:val="TableParagraph"/>
              <w:numPr>
                <w:ilvl w:val="0"/>
                <w:numId w:val="118"/>
              </w:numPr>
              <w:tabs>
                <w:tab w:val="left" w:pos="367"/>
              </w:tabs>
              <w:spacing w:line="264" w:lineRule="exact"/>
              <w:jc w:val="both"/>
              <w:rPr>
                <w:color w:val="000000" w:themeColor="text1"/>
                <w:sz w:val="24"/>
                <w:szCs w:val="24"/>
              </w:rPr>
            </w:pPr>
            <w:r w:rsidRPr="00C56257">
              <w:rPr>
                <w:color w:val="000000" w:themeColor="text1"/>
                <w:sz w:val="24"/>
                <w:szCs w:val="24"/>
              </w:rPr>
              <w:t>identificare,</w:t>
            </w:r>
            <w:r w:rsidRPr="00C56257">
              <w:rPr>
                <w:color w:val="000000" w:themeColor="text1"/>
                <w:spacing w:val="-3"/>
                <w:sz w:val="24"/>
                <w:szCs w:val="24"/>
              </w:rPr>
              <w:t xml:space="preserve"> </w:t>
            </w:r>
            <w:r w:rsidRPr="00C56257">
              <w:rPr>
                <w:color w:val="000000" w:themeColor="text1"/>
                <w:sz w:val="24"/>
                <w:szCs w:val="24"/>
              </w:rPr>
              <w:t>distribuție,</w:t>
            </w:r>
            <w:r w:rsidRPr="00C56257">
              <w:rPr>
                <w:color w:val="000000" w:themeColor="text1"/>
                <w:spacing w:val="-2"/>
                <w:sz w:val="24"/>
                <w:szCs w:val="24"/>
              </w:rPr>
              <w:t xml:space="preserve"> </w:t>
            </w:r>
            <w:r w:rsidRPr="00C56257">
              <w:rPr>
                <w:color w:val="000000" w:themeColor="text1"/>
                <w:sz w:val="24"/>
                <w:szCs w:val="24"/>
              </w:rPr>
              <w:t>diversitate,</w:t>
            </w:r>
            <w:r w:rsidRPr="00C56257">
              <w:rPr>
                <w:color w:val="000000" w:themeColor="text1"/>
                <w:spacing w:val="-2"/>
                <w:sz w:val="24"/>
                <w:szCs w:val="24"/>
              </w:rPr>
              <w:t xml:space="preserve"> </w:t>
            </w:r>
            <w:r w:rsidRPr="00C56257">
              <w:rPr>
                <w:color w:val="000000" w:themeColor="text1"/>
                <w:sz w:val="24"/>
                <w:szCs w:val="24"/>
              </w:rPr>
              <w:t>abundență</w:t>
            </w:r>
          </w:p>
        </w:tc>
      </w:tr>
      <w:tr w:rsidR="008572F7" w:rsidRPr="00C56257" w14:paraId="7DAA4030" w14:textId="77777777" w:rsidTr="00C902DF">
        <w:trPr>
          <w:trHeight w:val="1104"/>
        </w:trPr>
        <w:tc>
          <w:tcPr>
            <w:tcW w:w="2204" w:type="dxa"/>
          </w:tcPr>
          <w:p w14:paraId="17123513" w14:textId="77777777" w:rsidR="008572F7" w:rsidRPr="00C56257" w:rsidRDefault="008572F7" w:rsidP="00C902DF">
            <w:pPr>
              <w:pStyle w:val="TableParagraph"/>
              <w:spacing w:before="3"/>
              <w:jc w:val="both"/>
              <w:rPr>
                <w:color w:val="000000" w:themeColor="text1"/>
                <w:sz w:val="24"/>
                <w:szCs w:val="24"/>
              </w:rPr>
            </w:pPr>
          </w:p>
          <w:p w14:paraId="308AE73B" w14:textId="77777777" w:rsidR="008572F7" w:rsidRPr="00C56257" w:rsidRDefault="008572F7" w:rsidP="00C902DF">
            <w:pPr>
              <w:pStyle w:val="TableParagraph"/>
              <w:spacing w:before="1"/>
              <w:ind w:left="395" w:right="479"/>
              <w:jc w:val="both"/>
              <w:rPr>
                <w:color w:val="000000" w:themeColor="text1"/>
                <w:sz w:val="24"/>
                <w:szCs w:val="24"/>
              </w:rPr>
            </w:pPr>
            <w:r w:rsidRPr="00C56257">
              <w:rPr>
                <w:color w:val="000000" w:themeColor="text1"/>
                <w:sz w:val="24"/>
                <w:szCs w:val="24"/>
              </w:rPr>
              <w:t>Comunitate –</w:t>
            </w:r>
            <w:r w:rsidRPr="00C56257">
              <w:rPr>
                <w:color w:val="000000" w:themeColor="text1"/>
                <w:spacing w:val="-57"/>
                <w:sz w:val="24"/>
                <w:szCs w:val="24"/>
              </w:rPr>
              <w:t xml:space="preserve"> </w:t>
            </w:r>
            <w:r w:rsidRPr="00C56257">
              <w:rPr>
                <w:color w:val="000000" w:themeColor="text1"/>
                <w:sz w:val="24"/>
                <w:szCs w:val="24"/>
              </w:rPr>
              <w:t>ecosistem</w:t>
            </w:r>
          </w:p>
        </w:tc>
        <w:tc>
          <w:tcPr>
            <w:tcW w:w="7101" w:type="dxa"/>
          </w:tcPr>
          <w:p w14:paraId="5BD5874B" w14:textId="77777777" w:rsidR="008572F7" w:rsidRPr="00C56257" w:rsidRDefault="008572F7" w:rsidP="009E63E5">
            <w:pPr>
              <w:pStyle w:val="TableParagraph"/>
              <w:numPr>
                <w:ilvl w:val="0"/>
                <w:numId w:val="117"/>
              </w:numPr>
              <w:tabs>
                <w:tab w:val="left" w:pos="367"/>
              </w:tabs>
              <w:spacing w:line="268" w:lineRule="exact"/>
              <w:jc w:val="both"/>
              <w:rPr>
                <w:color w:val="000000" w:themeColor="text1"/>
                <w:sz w:val="24"/>
                <w:szCs w:val="24"/>
              </w:rPr>
            </w:pPr>
            <w:r w:rsidRPr="00C56257">
              <w:rPr>
                <w:color w:val="000000" w:themeColor="text1"/>
                <w:sz w:val="24"/>
                <w:szCs w:val="24"/>
              </w:rPr>
              <w:t>identificarea</w:t>
            </w:r>
            <w:r w:rsidRPr="00C56257">
              <w:rPr>
                <w:color w:val="000000" w:themeColor="text1"/>
                <w:spacing w:val="-3"/>
                <w:sz w:val="24"/>
                <w:szCs w:val="24"/>
              </w:rPr>
              <w:t xml:space="preserve"> </w:t>
            </w:r>
            <w:r w:rsidRPr="00C56257">
              <w:rPr>
                <w:color w:val="000000" w:themeColor="text1"/>
                <w:sz w:val="24"/>
                <w:szCs w:val="24"/>
              </w:rPr>
              <w:t>de</w:t>
            </w:r>
            <w:r w:rsidRPr="00C56257">
              <w:rPr>
                <w:color w:val="000000" w:themeColor="text1"/>
                <w:spacing w:val="-2"/>
                <w:sz w:val="24"/>
                <w:szCs w:val="24"/>
              </w:rPr>
              <w:t xml:space="preserve"> </w:t>
            </w:r>
            <w:r w:rsidRPr="00C56257">
              <w:rPr>
                <w:color w:val="000000" w:themeColor="text1"/>
                <w:sz w:val="24"/>
                <w:szCs w:val="24"/>
              </w:rPr>
              <w:t>speciişi</w:t>
            </w:r>
            <w:r w:rsidRPr="00C56257">
              <w:rPr>
                <w:color w:val="000000" w:themeColor="text1"/>
                <w:spacing w:val="-2"/>
                <w:sz w:val="24"/>
                <w:szCs w:val="24"/>
              </w:rPr>
              <w:t xml:space="preserve"> </w:t>
            </w:r>
            <w:r w:rsidRPr="00C56257">
              <w:rPr>
                <w:color w:val="000000" w:themeColor="text1"/>
                <w:sz w:val="24"/>
                <w:szCs w:val="24"/>
              </w:rPr>
              <w:t>abundența</w:t>
            </w:r>
            <w:r w:rsidRPr="00C56257">
              <w:rPr>
                <w:color w:val="000000" w:themeColor="text1"/>
                <w:spacing w:val="-2"/>
                <w:sz w:val="24"/>
                <w:szCs w:val="24"/>
              </w:rPr>
              <w:t xml:space="preserve"> </w:t>
            </w:r>
            <w:r w:rsidRPr="00C56257">
              <w:rPr>
                <w:color w:val="000000" w:themeColor="text1"/>
                <w:sz w:val="24"/>
                <w:szCs w:val="24"/>
              </w:rPr>
              <w:t>relativă</w:t>
            </w:r>
          </w:p>
          <w:p w14:paraId="29B41F51" w14:textId="77777777" w:rsidR="008572F7" w:rsidRPr="00C56257" w:rsidRDefault="008572F7" w:rsidP="00C902DF">
            <w:pPr>
              <w:pStyle w:val="TableParagraph"/>
              <w:ind w:left="227" w:right="219"/>
              <w:jc w:val="both"/>
              <w:rPr>
                <w:color w:val="000000" w:themeColor="text1"/>
                <w:sz w:val="24"/>
                <w:szCs w:val="24"/>
              </w:rPr>
            </w:pPr>
            <w:r w:rsidRPr="00C56257">
              <w:rPr>
                <w:color w:val="000000" w:themeColor="text1"/>
                <w:sz w:val="24"/>
                <w:szCs w:val="24"/>
              </w:rPr>
              <w:t>-frecvență, abundență, diversitatea în specii a comunității, proporțiile</w:t>
            </w:r>
            <w:r w:rsidRPr="00C56257">
              <w:rPr>
                <w:color w:val="000000" w:themeColor="text1"/>
                <w:spacing w:val="-58"/>
                <w:sz w:val="24"/>
                <w:szCs w:val="24"/>
              </w:rPr>
              <w:t xml:space="preserve"> </w:t>
            </w:r>
            <w:r w:rsidRPr="00C56257">
              <w:rPr>
                <w:color w:val="000000" w:themeColor="text1"/>
                <w:sz w:val="24"/>
                <w:szCs w:val="24"/>
              </w:rPr>
              <w:t>de</w:t>
            </w:r>
            <w:r w:rsidRPr="00C56257">
              <w:rPr>
                <w:color w:val="000000" w:themeColor="text1"/>
                <w:spacing w:val="-2"/>
                <w:sz w:val="24"/>
                <w:szCs w:val="24"/>
              </w:rPr>
              <w:t xml:space="preserve"> </w:t>
            </w:r>
            <w:r w:rsidRPr="00C56257">
              <w:rPr>
                <w:color w:val="000000" w:themeColor="text1"/>
                <w:sz w:val="24"/>
                <w:szCs w:val="24"/>
              </w:rPr>
              <w:t>specii</w:t>
            </w:r>
            <w:r w:rsidRPr="00C56257">
              <w:rPr>
                <w:color w:val="000000" w:themeColor="text1"/>
                <w:spacing w:val="-1"/>
                <w:sz w:val="24"/>
                <w:szCs w:val="24"/>
              </w:rPr>
              <w:t xml:space="preserve"> </w:t>
            </w:r>
            <w:r w:rsidRPr="00C56257">
              <w:rPr>
                <w:color w:val="000000" w:themeColor="text1"/>
                <w:sz w:val="24"/>
                <w:szCs w:val="24"/>
              </w:rPr>
              <w:t>endemice</w:t>
            </w:r>
            <w:r w:rsidRPr="00C56257">
              <w:rPr>
                <w:color w:val="000000" w:themeColor="text1"/>
                <w:spacing w:val="-1"/>
                <w:sz w:val="24"/>
                <w:szCs w:val="24"/>
              </w:rPr>
              <w:t xml:space="preserve"> </w:t>
            </w:r>
            <w:r w:rsidRPr="00C56257">
              <w:rPr>
                <w:color w:val="000000" w:themeColor="text1"/>
                <w:sz w:val="24"/>
                <w:szCs w:val="24"/>
              </w:rPr>
              <w:t>amenințate</w:t>
            </w:r>
            <w:r w:rsidRPr="00C56257">
              <w:rPr>
                <w:color w:val="000000" w:themeColor="text1"/>
                <w:spacing w:val="-1"/>
                <w:sz w:val="24"/>
                <w:szCs w:val="24"/>
              </w:rPr>
              <w:t xml:space="preserve"> </w:t>
            </w:r>
            <w:r w:rsidRPr="00C56257">
              <w:rPr>
                <w:color w:val="000000" w:themeColor="text1"/>
                <w:sz w:val="24"/>
                <w:szCs w:val="24"/>
              </w:rPr>
              <w:t>şi</w:t>
            </w:r>
            <w:r w:rsidRPr="00C56257">
              <w:rPr>
                <w:color w:val="000000" w:themeColor="text1"/>
                <w:spacing w:val="-2"/>
                <w:sz w:val="24"/>
                <w:szCs w:val="24"/>
              </w:rPr>
              <w:t xml:space="preserve"> </w:t>
            </w:r>
            <w:r w:rsidRPr="00C56257">
              <w:rPr>
                <w:color w:val="000000" w:themeColor="text1"/>
                <w:sz w:val="24"/>
                <w:szCs w:val="24"/>
              </w:rPr>
              <w:t>specii</w:t>
            </w:r>
            <w:r w:rsidRPr="00C56257">
              <w:rPr>
                <w:color w:val="000000" w:themeColor="text1"/>
                <w:spacing w:val="3"/>
                <w:sz w:val="24"/>
                <w:szCs w:val="24"/>
              </w:rPr>
              <w:t xml:space="preserve"> </w:t>
            </w:r>
            <w:r w:rsidRPr="00C56257">
              <w:rPr>
                <w:color w:val="000000" w:themeColor="text1"/>
                <w:sz w:val="24"/>
                <w:szCs w:val="24"/>
              </w:rPr>
              <w:t>pe</w:t>
            </w:r>
            <w:r w:rsidRPr="00C56257">
              <w:rPr>
                <w:color w:val="000000" w:themeColor="text1"/>
                <w:spacing w:val="-2"/>
                <w:sz w:val="24"/>
                <w:szCs w:val="24"/>
              </w:rPr>
              <w:t xml:space="preserve"> </w:t>
            </w:r>
            <w:r w:rsidRPr="00C56257">
              <w:rPr>
                <w:color w:val="000000" w:themeColor="text1"/>
                <w:sz w:val="24"/>
                <w:szCs w:val="24"/>
              </w:rPr>
              <w:t>cale</w:t>
            </w:r>
            <w:r w:rsidRPr="00C56257">
              <w:rPr>
                <w:color w:val="000000" w:themeColor="text1"/>
                <w:spacing w:val="-1"/>
                <w:sz w:val="24"/>
                <w:szCs w:val="24"/>
              </w:rPr>
              <w:t xml:space="preserve"> </w:t>
            </w:r>
            <w:r w:rsidRPr="00C56257">
              <w:rPr>
                <w:color w:val="000000" w:themeColor="text1"/>
                <w:sz w:val="24"/>
                <w:szCs w:val="24"/>
              </w:rPr>
              <w:t>de</w:t>
            </w:r>
            <w:r w:rsidRPr="00C56257">
              <w:rPr>
                <w:color w:val="000000" w:themeColor="text1"/>
                <w:spacing w:val="1"/>
                <w:sz w:val="24"/>
                <w:szCs w:val="24"/>
              </w:rPr>
              <w:t xml:space="preserve"> </w:t>
            </w:r>
            <w:r w:rsidRPr="00C56257">
              <w:rPr>
                <w:color w:val="000000" w:themeColor="text1"/>
                <w:sz w:val="24"/>
                <w:szCs w:val="24"/>
              </w:rPr>
              <w:t>dispariție</w:t>
            </w:r>
          </w:p>
          <w:p w14:paraId="7E221C72" w14:textId="77777777" w:rsidR="008572F7" w:rsidRPr="00C56257" w:rsidRDefault="008572F7" w:rsidP="009E63E5">
            <w:pPr>
              <w:pStyle w:val="TableParagraph"/>
              <w:numPr>
                <w:ilvl w:val="0"/>
                <w:numId w:val="117"/>
              </w:numPr>
              <w:tabs>
                <w:tab w:val="left" w:pos="367"/>
              </w:tabs>
              <w:spacing w:line="264" w:lineRule="exact"/>
              <w:jc w:val="both"/>
              <w:rPr>
                <w:color w:val="000000" w:themeColor="text1"/>
                <w:sz w:val="24"/>
                <w:szCs w:val="24"/>
              </w:rPr>
            </w:pPr>
            <w:r w:rsidRPr="00C56257">
              <w:rPr>
                <w:color w:val="000000" w:themeColor="text1"/>
                <w:sz w:val="24"/>
                <w:szCs w:val="24"/>
              </w:rPr>
              <w:t>dominanța</w:t>
            </w:r>
            <w:r w:rsidRPr="00C56257">
              <w:rPr>
                <w:color w:val="000000" w:themeColor="text1"/>
                <w:spacing w:val="-3"/>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diversitate,</w:t>
            </w:r>
            <w:r w:rsidRPr="00C56257">
              <w:rPr>
                <w:color w:val="000000" w:themeColor="text1"/>
                <w:spacing w:val="-1"/>
                <w:sz w:val="24"/>
                <w:szCs w:val="24"/>
              </w:rPr>
              <w:t xml:space="preserve"> </w:t>
            </w:r>
            <w:r w:rsidRPr="00C56257">
              <w:rPr>
                <w:color w:val="000000" w:themeColor="text1"/>
                <w:sz w:val="24"/>
                <w:szCs w:val="24"/>
              </w:rPr>
              <w:t>proporții</w:t>
            </w:r>
          </w:p>
        </w:tc>
      </w:tr>
      <w:tr w:rsidR="008572F7" w:rsidRPr="00C56257" w14:paraId="7BD0E091" w14:textId="77777777" w:rsidTr="00C902DF">
        <w:trPr>
          <w:trHeight w:val="554"/>
        </w:trPr>
        <w:tc>
          <w:tcPr>
            <w:tcW w:w="2204" w:type="dxa"/>
          </w:tcPr>
          <w:p w14:paraId="076D7E88" w14:textId="77777777" w:rsidR="008572F7" w:rsidRPr="00C56257" w:rsidRDefault="008572F7" w:rsidP="00C902DF">
            <w:pPr>
              <w:pStyle w:val="TableParagraph"/>
              <w:spacing w:before="131"/>
              <w:ind w:left="395"/>
              <w:jc w:val="both"/>
              <w:rPr>
                <w:color w:val="000000" w:themeColor="text1"/>
                <w:sz w:val="24"/>
                <w:szCs w:val="24"/>
              </w:rPr>
            </w:pPr>
            <w:r w:rsidRPr="00C56257">
              <w:rPr>
                <w:color w:val="000000" w:themeColor="text1"/>
                <w:sz w:val="24"/>
                <w:szCs w:val="24"/>
              </w:rPr>
              <w:t>Populație</w:t>
            </w:r>
            <w:r w:rsidRPr="00C56257">
              <w:rPr>
                <w:color w:val="000000" w:themeColor="text1"/>
                <w:spacing w:val="-2"/>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specii</w:t>
            </w:r>
          </w:p>
        </w:tc>
        <w:tc>
          <w:tcPr>
            <w:tcW w:w="7101" w:type="dxa"/>
          </w:tcPr>
          <w:p w14:paraId="0E9BDC16" w14:textId="77777777" w:rsidR="008572F7" w:rsidRPr="00C56257" w:rsidRDefault="008572F7" w:rsidP="009E63E5">
            <w:pPr>
              <w:pStyle w:val="TableParagraph"/>
              <w:numPr>
                <w:ilvl w:val="0"/>
                <w:numId w:val="116"/>
              </w:numPr>
              <w:tabs>
                <w:tab w:val="left" w:pos="394"/>
              </w:tabs>
              <w:spacing w:line="268" w:lineRule="exact"/>
              <w:ind w:hanging="329"/>
              <w:jc w:val="both"/>
              <w:rPr>
                <w:color w:val="000000" w:themeColor="text1"/>
                <w:sz w:val="24"/>
                <w:szCs w:val="24"/>
              </w:rPr>
            </w:pPr>
            <w:r w:rsidRPr="00C56257">
              <w:rPr>
                <w:color w:val="000000" w:themeColor="text1"/>
                <w:sz w:val="24"/>
                <w:szCs w:val="24"/>
              </w:rPr>
              <w:t>abundența</w:t>
            </w:r>
            <w:r w:rsidRPr="00C56257">
              <w:rPr>
                <w:color w:val="000000" w:themeColor="text1"/>
                <w:spacing w:val="-1"/>
                <w:sz w:val="24"/>
                <w:szCs w:val="24"/>
              </w:rPr>
              <w:t xml:space="preserve"> </w:t>
            </w:r>
            <w:r w:rsidRPr="00C56257">
              <w:rPr>
                <w:color w:val="000000" w:themeColor="text1"/>
                <w:sz w:val="24"/>
                <w:szCs w:val="24"/>
              </w:rPr>
              <w:t>relativă</w:t>
            </w:r>
            <w:r w:rsidRPr="00C56257">
              <w:rPr>
                <w:color w:val="000000" w:themeColor="text1"/>
                <w:spacing w:val="-2"/>
                <w:sz w:val="24"/>
                <w:szCs w:val="24"/>
              </w:rPr>
              <w:t xml:space="preserve"> </w:t>
            </w:r>
            <w:r w:rsidRPr="00C56257">
              <w:rPr>
                <w:color w:val="000000" w:themeColor="text1"/>
                <w:sz w:val="24"/>
                <w:szCs w:val="24"/>
              </w:rPr>
              <w:t>şi</w:t>
            </w:r>
            <w:r w:rsidRPr="00C56257">
              <w:rPr>
                <w:color w:val="000000" w:themeColor="text1"/>
                <w:spacing w:val="-3"/>
                <w:sz w:val="24"/>
                <w:szCs w:val="24"/>
              </w:rPr>
              <w:t xml:space="preserve"> </w:t>
            </w:r>
            <w:r w:rsidRPr="00C56257">
              <w:rPr>
                <w:color w:val="000000" w:themeColor="text1"/>
                <w:sz w:val="24"/>
                <w:szCs w:val="24"/>
              </w:rPr>
              <w:t>absolută</w:t>
            </w:r>
          </w:p>
          <w:p w14:paraId="0C56DFB5" w14:textId="77777777" w:rsidR="008572F7" w:rsidRPr="00C56257" w:rsidRDefault="008572F7" w:rsidP="009E63E5">
            <w:pPr>
              <w:pStyle w:val="TableParagraph"/>
              <w:numPr>
                <w:ilvl w:val="0"/>
                <w:numId w:val="116"/>
              </w:numPr>
              <w:tabs>
                <w:tab w:val="left" w:pos="394"/>
              </w:tabs>
              <w:spacing w:line="266" w:lineRule="exact"/>
              <w:ind w:hanging="329"/>
              <w:jc w:val="both"/>
              <w:rPr>
                <w:color w:val="000000" w:themeColor="text1"/>
                <w:sz w:val="24"/>
                <w:szCs w:val="24"/>
              </w:rPr>
            </w:pPr>
            <w:r w:rsidRPr="00C56257">
              <w:rPr>
                <w:color w:val="000000" w:themeColor="text1"/>
                <w:sz w:val="24"/>
                <w:szCs w:val="24"/>
              </w:rPr>
              <w:t>densitate</w:t>
            </w:r>
          </w:p>
        </w:tc>
      </w:tr>
    </w:tbl>
    <w:p w14:paraId="17441543" w14:textId="77777777" w:rsidR="008572F7" w:rsidRPr="00C56257" w:rsidRDefault="008572F7" w:rsidP="008572F7">
      <w:pPr>
        <w:pStyle w:val="BodyText"/>
        <w:jc w:val="both"/>
        <w:rPr>
          <w:color w:val="000000" w:themeColor="text1"/>
          <w:sz w:val="24"/>
          <w:szCs w:val="24"/>
        </w:rPr>
      </w:pPr>
    </w:p>
    <w:p w14:paraId="29F0651C" w14:textId="77777777" w:rsidR="008572F7" w:rsidRPr="004242AA" w:rsidRDefault="008572F7" w:rsidP="004242AA">
      <w:pPr>
        <w:pStyle w:val="BodyText"/>
        <w:tabs>
          <w:tab w:val="left" w:pos="9180"/>
        </w:tabs>
        <w:spacing w:before="72"/>
        <w:ind w:left="300" w:right="957"/>
        <w:jc w:val="both"/>
        <w:rPr>
          <w:b/>
          <w:color w:val="000000" w:themeColor="text1"/>
          <w:sz w:val="24"/>
          <w:szCs w:val="24"/>
        </w:rPr>
      </w:pPr>
      <w:proofErr w:type="spellStart"/>
      <w:r w:rsidRPr="004242AA">
        <w:rPr>
          <w:b/>
          <w:color w:val="000000" w:themeColor="text1"/>
          <w:sz w:val="24"/>
          <w:szCs w:val="24"/>
        </w:rPr>
        <w:lastRenderedPageBreak/>
        <w:t>Metoda</w:t>
      </w:r>
      <w:proofErr w:type="spellEnd"/>
      <w:r w:rsidRPr="004242AA">
        <w:rPr>
          <w:b/>
          <w:color w:val="000000" w:themeColor="text1"/>
          <w:sz w:val="24"/>
          <w:szCs w:val="24"/>
        </w:rPr>
        <w:t xml:space="preserve"> de </w:t>
      </w:r>
      <w:proofErr w:type="spellStart"/>
      <w:r w:rsidRPr="004242AA">
        <w:rPr>
          <w:b/>
          <w:color w:val="000000" w:themeColor="text1"/>
          <w:sz w:val="24"/>
          <w:szCs w:val="24"/>
        </w:rPr>
        <w:t>evaluare</w:t>
      </w:r>
      <w:proofErr w:type="spellEnd"/>
      <w:r w:rsidRPr="004242AA">
        <w:rPr>
          <w:b/>
          <w:color w:val="000000" w:themeColor="text1"/>
          <w:sz w:val="24"/>
          <w:szCs w:val="24"/>
        </w:rPr>
        <w:t xml:space="preserve"> pe plot de </w:t>
      </w:r>
      <w:proofErr w:type="spellStart"/>
      <w:r w:rsidRPr="004242AA">
        <w:rPr>
          <w:b/>
          <w:color w:val="000000" w:themeColor="text1"/>
          <w:sz w:val="24"/>
          <w:szCs w:val="24"/>
        </w:rPr>
        <w:t>monitorizare</w:t>
      </w:r>
      <w:proofErr w:type="spellEnd"/>
    </w:p>
    <w:p w14:paraId="0663BEBD" w14:textId="77777777" w:rsidR="00F35C9C" w:rsidRDefault="008572F7" w:rsidP="008572F7">
      <w:pPr>
        <w:pStyle w:val="BodyText"/>
        <w:spacing w:before="160" w:line="276" w:lineRule="auto"/>
        <w:ind w:left="293" w:right="248"/>
        <w:jc w:val="both"/>
        <w:rPr>
          <w:color w:val="000000" w:themeColor="text1"/>
          <w:sz w:val="24"/>
          <w:szCs w:val="24"/>
          <w:lang w:val="fr-FR"/>
        </w:rPr>
      </w:pPr>
      <w:proofErr w:type="spellStart"/>
      <w:r w:rsidRPr="00C56257">
        <w:rPr>
          <w:color w:val="000000" w:themeColor="text1"/>
          <w:sz w:val="24"/>
          <w:szCs w:val="24"/>
          <w:lang w:val="fr-FR"/>
        </w:rPr>
        <w:t>Hărțile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distribuție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z w:val="24"/>
          <w:szCs w:val="24"/>
          <w:lang w:val="fr-FR"/>
        </w:rPr>
        <w:t xml:space="preserve"> ale </w:t>
      </w:r>
      <w:proofErr w:type="spellStart"/>
      <w:r w:rsidRPr="00C56257">
        <w:rPr>
          <w:color w:val="000000" w:themeColor="text1"/>
          <w:sz w:val="24"/>
          <w:szCs w:val="24"/>
          <w:lang w:val="fr-FR"/>
        </w:rPr>
        <w:t>arealului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fiecărui</w:t>
      </w:r>
      <w:proofErr w:type="spellEnd"/>
      <w:r w:rsidRPr="00C56257">
        <w:rPr>
          <w:color w:val="000000" w:themeColor="text1"/>
          <w:sz w:val="24"/>
          <w:szCs w:val="24"/>
          <w:lang w:val="fr-FR"/>
        </w:rPr>
        <w:t xml:space="preserve"> tip de habitat se vor </w:t>
      </w:r>
      <w:proofErr w:type="spellStart"/>
      <w:r w:rsidRPr="00C56257">
        <w:rPr>
          <w:color w:val="000000" w:themeColor="text1"/>
          <w:sz w:val="24"/>
          <w:szCs w:val="24"/>
          <w:lang w:val="fr-FR"/>
        </w:rPr>
        <w:t>realiza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formatul</w:t>
      </w:r>
      <w:proofErr w:type="spellEnd"/>
      <w:r w:rsidRPr="00C56257">
        <w:rPr>
          <w:color w:val="000000" w:themeColor="text1"/>
          <w:sz w:val="24"/>
          <w:szCs w:val="24"/>
          <w:lang w:val="fr-FR"/>
        </w:rPr>
        <w:t xml:space="preserve"> standard 10x10</w:t>
      </w:r>
      <w:r w:rsidRPr="00C56257">
        <w:rPr>
          <w:color w:val="000000" w:themeColor="text1"/>
          <w:spacing w:val="1"/>
          <w:sz w:val="24"/>
          <w:szCs w:val="24"/>
          <w:lang w:val="fr-FR"/>
        </w:rPr>
        <w:t xml:space="preserve"> </w:t>
      </w:r>
      <w:r w:rsidRPr="00C56257">
        <w:rPr>
          <w:color w:val="000000" w:themeColor="text1"/>
          <w:sz w:val="24"/>
          <w:szCs w:val="24"/>
          <w:lang w:val="fr-FR"/>
        </w:rPr>
        <w:t xml:space="preserve">km ETRS, </w:t>
      </w:r>
      <w:proofErr w:type="spellStart"/>
      <w:r w:rsidRPr="00C56257">
        <w:rPr>
          <w:color w:val="000000" w:themeColor="text1"/>
          <w:sz w:val="24"/>
          <w:szCs w:val="24"/>
          <w:lang w:val="fr-FR"/>
        </w:rPr>
        <w:t>proiecţie</w:t>
      </w:r>
      <w:proofErr w:type="spellEnd"/>
      <w:r w:rsidRPr="00C56257">
        <w:rPr>
          <w:color w:val="000000" w:themeColor="text1"/>
          <w:sz w:val="24"/>
          <w:szCs w:val="24"/>
          <w:lang w:val="fr-FR"/>
        </w:rPr>
        <w:t xml:space="preserve"> ETRS 5210. </w:t>
      </w:r>
      <w:proofErr w:type="spellStart"/>
      <w:r w:rsidRPr="00C56257">
        <w:rPr>
          <w:color w:val="000000" w:themeColor="text1"/>
          <w:sz w:val="24"/>
          <w:szCs w:val="24"/>
          <w:lang w:val="fr-FR"/>
        </w:rPr>
        <w:t>Conform</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in</w:t>
      </w:r>
      <w:r w:rsidR="004242AA">
        <w:rPr>
          <w:color w:val="000000" w:themeColor="text1"/>
          <w:sz w:val="24"/>
          <w:szCs w:val="24"/>
          <w:lang w:val="fr-FR"/>
        </w:rPr>
        <w:t>strucțiunilor</w:t>
      </w:r>
      <w:proofErr w:type="spellEnd"/>
      <w:r w:rsidR="004242AA">
        <w:rPr>
          <w:color w:val="000000" w:themeColor="text1"/>
          <w:sz w:val="24"/>
          <w:szCs w:val="24"/>
          <w:lang w:val="fr-FR"/>
        </w:rPr>
        <w:t xml:space="preserve"> CE nu este permis</w:t>
      </w:r>
      <w:r w:rsidR="004242AA">
        <w:rPr>
          <w:color w:val="000000" w:themeColor="text1"/>
          <w:sz w:val="24"/>
          <w:szCs w:val="24"/>
          <w:lang w:val="ro-RO"/>
        </w:rPr>
        <w:t>ă</w:t>
      </w:r>
      <w:r w:rsidRPr="00C56257">
        <w:rPr>
          <w:color w:val="000000" w:themeColor="text1"/>
          <w:sz w:val="24"/>
          <w:szCs w:val="24"/>
          <w:lang w:val="fr-FR"/>
        </w:rPr>
        <w:t xml:space="preserve"> </w:t>
      </w:r>
      <w:proofErr w:type="spellStart"/>
      <w:r w:rsidRPr="00C56257">
        <w:rPr>
          <w:color w:val="000000" w:themeColor="text1"/>
          <w:sz w:val="24"/>
          <w:szCs w:val="24"/>
          <w:lang w:val="fr-FR"/>
        </w:rPr>
        <w:t>utilizarea</w:t>
      </w:r>
      <w:proofErr w:type="spellEnd"/>
      <w:r w:rsidRPr="00C56257">
        <w:rPr>
          <w:color w:val="000000" w:themeColor="text1"/>
          <w:sz w:val="24"/>
          <w:szCs w:val="24"/>
          <w:lang w:val="fr-FR"/>
        </w:rPr>
        <w:t xml:space="preserve"> de date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atribut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pentru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indicarea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prezenței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unui</w:t>
      </w:r>
      <w:proofErr w:type="spellEnd"/>
      <w:r w:rsidRPr="00C56257">
        <w:rPr>
          <w:color w:val="000000" w:themeColor="text1"/>
          <w:sz w:val="24"/>
          <w:szCs w:val="24"/>
          <w:lang w:val="fr-FR"/>
        </w:rPr>
        <w:t xml:space="preserve"> habitat </w:t>
      </w:r>
      <w:proofErr w:type="spellStart"/>
      <w:r w:rsidRPr="00C56257">
        <w:rPr>
          <w:color w:val="000000" w:themeColor="text1"/>
          <w:sz w:val="24"/>
          <w:szCs w:val="24"/>
          <w:lang w:val="fr-FR"/>
        </w:rPr>
        <w:t>într</w:t>
      </w:r>
      <w:proofErr w:type="spellEnd"/>
      <w:r w:rsidRPr="00C56257">
        <w:rPr>
          <w:color w:val="000000" w:themeColor="text1"/>
          <w:sz w:val="24"/>
          <w:szCs w:val="24"/>
          <w:lang w:val="fr-FR"/>
        </w:rPr>
        <w:t xml:space="preserve">-o </w:t>
      </w:r>
      <w:proofErr w:type="spellStart"/>
      <w:r w:rsidRPr="00C56257">
        <w:rPr>
          <w:color w:val="000000" w:themeColor="text1"/>
          <w:sz w:val="24"/>
          <w:szCs w:val="24"/>
          <w:lang w:val="fr-FR"/>
        </w:rPr>
        <w:t>celula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din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grid</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Hărțile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distribuție</w:t>
      </w:r>
      <w:proofErr w:type="spellEnd"/>
      <w:r w:rsidRPr="00C56257">
        <w:rPr>
          <w:color w:val="000000" w:themeColor="text1"/>
          <w:sz w:val="24"/>
          <w:szCs w:val="24"/>
          <w:lang w:val="fr-FR"/>
        </w:rPr>
        <w:t xml:space="preserve"> vor fi</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completate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metadatele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necesare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conform</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cerințele</w:t>
      </w:r>
      <w:proofErr w:type="spellEnd"/>
      <w:r w:rsidRPr="00C56257">
        <w:rPr>
          <w:color w:val="000000" w:themeColor="text1"/>
          <w:sz w:val="24"/>
          <w:szCs w:val="24"/>
          <w:lang w:val="fr-FR"/>
        </w:rPr>
        <w:t xml:space="preserve"> CE, </w:t>
      </w:r>
      <w:proofErr w:type="spellStart"/>
      <w:r w:rsidRPr="00C56257">
        <w:rPr>
          <w:color w:val="000000" w:themeColor="text1"/>
          <w:sz w:val="24"/>
          <w:szCs w:val="24"/>
          <w:lang w:val="fr-FR"/>
        </w:rPr>
        <w:t>și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concordanță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specificațiile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 xml:space="preserve">INSPIRE, </w:t>
      </w:r>
      <w:proofErr w:type="spellStart"/>
      <w:r w:rsidRPr="00C56257">
        <w:rPr>
          <w:color w:val="000000" w:themeColor="text1"/>
          <w:sz w:val="24"/>
          <w:szCs w:val="24"/>
          <w:lang w:val="fr-FR"/>
        </w:rPr>
        <w:t>atunci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când</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acestea</w:t>
      </w:r>
      <w:proofErr w:type="spellEnd"/>
      <w:r w:rsidRPr="00C56257">
        <w:rPr>
          <w:color w:val="000000" w:themeColor="text1"/>
          <w:sz w:val="24"/>
          <w:szCs w:val="24"/>
          <w:lang w:val="fr-FR"/>
        </w:rPr>
        <w:t xml:space="preserve"> vor fi </w:t>
      </w:r>
      <w:proofErr w:type="spellStart"/>
      <w:r w:rsidRPr="00C56257">
        <w:rPr>
          <w:color w:val="000000" w:themeColor="text1"/>
          <w:sz w:val="24"/>
          <w:szCs w:val="24"/>
          <w:lang w:val="fr-FR"/>
        </w:rPr>
        <w:t>disponibile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pentru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aceste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tipuri</w:t>
      </w:r>
      <w:proofErr w:type="spellEnd"/>
      <w:r w:rsidRPr="00C56257">
        <w:rPr>
          <w:color w:val="000000" w:themeColor="text1"/>
          <w:sz w:val="24"/>
          <w:szCs w:val="24"/>
          <w:lang w:val="fr-FR"/>
        </w:rPr>
        <w:t xml:space="preserve"> de date. </w:t>
      </w:r>
      <w:proofErr w:type="spellStart"/>
      <w:r w:rsidRPr="00C56257">
        <w:rPr>
          <w:color w:val="000000" w:themeColor="text1"/>
          <w:sz w:val="24"/>
          <w:szCs w:val="24"/>
          <w:lang w:val="fr-FR"/>
        </w:rPr>
        <w:t>Metadatele</w:t>
      </w:r>
      <w:proofErr w:type="spellEnd"/>
      <w:r w:rsidRPr="00C56257">
        <w:rPr>
          <w:color w:val="000000" w:themeColor="text1"/>
          <w:sz w:val="24"/>
          <w:szCs w:val="24"/>
          <w:lang w:val="fr-FR"/>
        </w:rPr>
        <w:t xml:space="preserve"> vor </w:t>
      </w:r>
      <w:proofErr w:type="spellStart"/>
      <w:r w:rsidRPr="00C56257">
        <w:rPr>
          <w:color w:val="000000" w:themeColor="text1"/>
          <w:sz w:val="24"/>
          <w:szCs w:val="24"/>
          <w:lang w:val="fr-FR"/>
        </w:rPr>
        <w:t>conține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între</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altele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perioada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care</w:t>
      </w:r>
      <w:r w:rsidRPr="00C56257">
        <w:rPr>
          <w:color w:val="000000" w:themeColor="text1"/>
          <w:spacing w:val="-2"/>
          <w:sz w:val="24"/>
          <w:szCs w:val="24"/>
          <w:lang w:val="fr-FR"/>
        </w:rPr>
        <w:t xml:space="preserve"> </w:t>
      </w:r>
      <w:r w:rsidRPr="00C56257">
        <w:rPr>
          <w:color w:val="000000" w:themeColor="text1"/>
          <w:sz w:val="24"/>
          <w:szCs w:val="24"/>
          <w:lang w:val="fr-FR"/>
        </w:rPr>
        <w:t xml:space="preserve">au </w:t>
      </w:r>
      <w:proofErr w:type="spellStart"/>
      <w:r w:rsidRPr="00C56257">
        <w:rPr>
          <w:color w:val="000000" w:themeColor="text1"/>
          <w:sz w:val="24"/>
          <w:szCs w:val="24"/>
          <w:lang w:val="fr-FR"/>
        </w:rPr>
        <w:t>fost</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culese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datele</w:t>
      </w:r>
      <w:proofErr w:type="spellEnd"/>
      <w:r w:rsidRPr="00C56257">
        <w:rPr>
          <w:color w:val="000000" w:themeColor="text1"/>
          <w:sz w:val="24"/>
          <w:szCs w:val="24"/>
          <w:lang w:val="fr-FR"/>
        </w:rPr>
        <w:t xml:space="preserve"> de</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distribuție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sistemul</w:t>
      </w:r>
      <w:proofErr w:type="spellEnd"/>
      <w:r w:rsidRPr="00C56257">
        <w:rPr>
          <w:color w:val="000000" w:themeColor="text1"/>
          <w:sz w:val="24"/>
          <w:szCs w:val="24"/>
          <w:lang w:val="fr-FR"/>
        </w:rPr>
        <w:t xml:space="preserve"> 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proiecție</w:t>
      </w:r>
      <w:proofErr w:type="spellEnd"/>
      <w:r w:rsidRPr="00C56257">
        <w:rPr>
          <w:color w:val="000000" w:themeColor="text1"/>
          <w:sz w:val="24"/>
          <w:szCs w:val="24"/>
          <w:lang w:val="fr-FR"/>
        </w:rPr>
        <w:t>, data,</w:t>
      </w:r>
      <w:r w:rsidRPr="00C56257">
        <w:rPr>
          <w:color w:val="000000" w:themeColor="text1"/>
          <w:spacing w:val="2"/>
          <w:sz w:val="24"/>
          <w:szCs w:val="24"/>
          <w:lang w:val="fr-FR"/>
        </w:rPr>
        <w:t xml:space="preserve"> </w:t>
      </w:r>
      <w:r w:rsidRPr="00C56257">
        <w:rPr>
          <w:color w:val="000000" w:themeColor="text1"/>
          <w:sz w:val="24"/>
          <w:szCs w:val="24"/>
          <w:lang w:val="fr-FR"/>
        </w:rPr>
        <w:t>etc.</w:t>
      </w:r>
    </w:p>
    <w:p w14:paraId="3B990ACA" w14:textId="77777777" w:rsidR="00F35C9C" w:rsidRDefault="00F35C9C" w:rsidP="008572F7">
      <w:pPr>
        <w:pStyle w:val="BodyText"/>
        <w:spacing w:before="160" w:line="276" w:lineRule="auto"/>
        <w:ind w:left="293" w:right="248"/>
        <w:jc w:val="both"/>
        <w:rPr>
          <w:color w:val="000000" w:themeColor="text1"/>
          <w:sz w:val="24"/>
          <w:szCs w:val="24"/>
          <w:lang w:val="fr-FR"/>
        </w:rPr>
      </w:pPr>
    </w:p>
    <w:p w14:paraId="793FAEB6" w14:textId="77777777" w:rsidR="008572F7" w:rsidRPr="00C56257" w:rsidRDefault="008572F7" w:rsidP="008572F7">
      <w:pPr>
        <w:pStyle w:val="BodyText"/>
        <w:spacing w:before="160" w:line="276" w:lineRule="auto"/>
        <w:ind w:left="293" w:right="248"/>
        <w:jc w:val="both"/>
        <w:rPr>
          <w:color w:val="000000" w:themeColor="text1"/>
          <w:sz w:val="24"/>
          <w:szCs w:val="24"/>
          <w:lang w:val="fr-FR"/>
        </w:rPr>
      </w:pPr>
      <w:r w:rsidRPr="00C56257">
        <w:rPr>
          <w:noProof/>
          <w:color w:val="000000" w:themeColor="text1"/>
          <w:sz w:val="24"/>
          <w:szCs w:val="24"/>
        </w:rPr>
        <mc:AlternateContent>
          <mc:Choice Requires="wpg">
            <w:drawing>
              <wp:inline distT="0" distB="0" distL="0" distR="0" wp14:anchorId="235479D9" wp14:editId="7AD3322D">
                <wp:extent cx="6012180" cy="4231640"/>
                <wp:effectExtent l="0" t="0" r="2540" b="0"/>
                <wp:docPr id="485" name="Group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2180" cy="4231640"/>
                          <a:chOff x="0" y="0"/>
                          <a:chExt cx="9468" cy="6664"/>
                        </a:xfrm>
                      </wpg:grpSpPr>
                      <pic:pic xmlns:pic="http://schemas.openxmlformats.org/drawingml/2006/picture">
                        <pic:nvPicPr>
                          <pic:cNvPr id="486" name="Picture 3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 y="9"/>
                            <a:ext cx="9447" cy="6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7" name="Freeform 359"/>
                        <wps:cNvSpPr>
                          <a:spLocks/>
                        </wps:cNvSpPr>
                        <wps:spPr bwMode="auto">
                          <a:xfrm>
                            <a:off x="0" y="0"/>
                            <a:ext cx="9468" cy="6664"/>
                          </a:xfrm>
                          <a:custGeom>
                            <a:avLst/>
                            <a:gdLst>
                              <a:gd name="T0" fmla="*/ 9468 w 9468"/>
                              <a:gd name="T1" fmla="*/ 0 h 6664"/>
                              <a:gd name="T2" fmla="*/ 9458 w 9468"/>
                              <a:gd name="T3" fmla="*/ 0 h 6664"/>
                              <a:gd name="T4" fmla="*/ 9458 w 9468"/>
                              <a:gd name="T5" fmla="*/ 10 h 6664"/>
                              <a:gd name="T6" fmla="*/ 9458 w 9468"/>
                              <a:gd name="T7" fmla="*/ 6654 h 6664"/>
                              <a:gd name="T8" fmla="*/ 10 w 9468"/>
                              <a:gd name="T9" fmla="*/ 6654 h 6664"/>
                              <a:gd name="T10" fmla="*/ 10 w 9468"/>
                              <a:gd name="T11" fmla="*/ 10 h 6664"/>
                              <a:gd name="T12" fmla="*/ 9458 w 9468"/>
                              <a:gd name="T13" fmla="*/ 10 h 6664"/>
                              <a:gd name="T14" fmla="*/ 9458 w 9468"/>
                              <a:gd name="T15" fmla="*/ 0 h 6664"/>
                              <a:gd name="T16" fmla="*/ 10 w 9468"/>
                              <a:gd name="T17" fmla="*/ 0 h 6664"/>
                              <a:gd name="T18" fmla="*/ 0 w 9468"/>
                              <a:gd name="T19" fmla="*/ 0 h 6664"/>
                              <a:gd name="T20" fmla="*/ 0 w 9468"/>
                              <a:gd name="T21" fmla="*/ 10 h 6664"/>
                              <a:gd name="T22" fmla="*/ 0 w 9468"/>
                              <a:gd name="T23" fmla="*/ 6654 h 6664"/>
                              <a:gd name="T24" fmla="*/ 0 w 9468"/>
                              <a:gd name="T25" fmla="*/ 6664 h 6664"/>
                              <a:gd name="T26" fmla="*/ 10 w 9468"/>
                              <a:gd name="T27" fmla="*/ 6664 h 6664"/>
                              <a:gd name="T28" fmla="*/ 9458 w 9468"/>
                              <a:gd name="T29" fmla="*/ 6664 h 6664"/>
                              <a:gd name="T30" fmla="*/ 9468 w 9468"/>
                              <a:gd name="T31" fmla="*/ 6664 h 6664"/>
                              <a:gd name="T32" fmla="*/ 9468 w 9468"/>
                              <a:gd name="T33" fmla="*/ 6654 h 6664"/>
                              <a:gd name="T34" fmla="*/ 9468 w 9468"/>
                              <a:gd name="T35" fmla="*/ 10 h 6664"/>
                              <a:gd name="T36" fmla="*/ 9468 w 9468"/>
                              <a:gd name="T37" fmla="*/ 0 h 66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9468" h="6664">
                                <a:moveTo>
                                  <a:pt x="9468" y="0"/>
                                </a:moveTo>
                                <a:lnTo>
                                  <a:pt x="9458" y="0"/>
                                </a:lnTo>
                                <a:lnTo>
                                  <a:pt x="9458" y="10"/>
                                </a:lnTo>
                                <a:lnTo>
                                  <a:pt x="9458" y="6654"/>
                                </a:lnTo>
                                <a:lnTo>
                                  <a:pt x="10" y="6654"/>
                                </a:lnTo>
                                <a:lnTo>
                                  <a:pt x="10" y="10"/>
                                </a:lnTo>
                                <a:lnTo>
                                  <a:pt x="9458" y="10"/>
                                </a:lnTo>
                                <a:lnTo>
                                  <a:pt x="9458" y="0"/>
                                </a:lnTo>
                                <a:lnTo>
                                  <a:pt x="10" y="0"/>
                                </a:lnTo>
                                <a:lnTo>
                                  <a:pt x="0" y="0"/>
                                </a:lnTo>
                                <a:lnTo>
                                  <a:pt x="0" y="10"/>
                                </a:lnTo>
                                <a:lnTo>
                                  <a:pt x="0" y="6654"/>
                                </a:lnTo>
                                <a:lnTo>
                                  <a:pt x="0" y="6664"/>
                                </a:lnTo>
                                <a:lnTo>
                                  <a:pt x="10" y="6664"/>
                                </a:lnTo>
                                <a:lnTo>
                                  <a:pt x="9458" y="6664"/>
                                </a:lnTo>
                                <a:lnTo>
                                  <a:pt x="9468" y="6664"/>
                                </a:lnTo>
                                <a:lnTo>
                                  <a:pt x="9468" y="6654"/>
                                </a:lnTo>
                                <a:lnTo>
                                  <a:pt x="9468" y="10"/>
                                </a:lnTo>
                                <a:lnTo>
                                  <a:pt x="946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B95B27D" id="Group 563" o:spid="_x0000_s1026" style="width:473.4pt;height:333.2pt;mso-position-horizontal-relative:char;mso-position-vertical-relative:line" coordsize="9468,66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">
                <v:shape id="Picture 358" o:spid="_x0000_s1027" type="#_x0000_t75" style="position:absolute;left:8;top:9;width:9447;height:66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chwbEAAAA3AAAAA8AAABkcnMvZG93bnJldi54bWxEj0FrwkAUhO+F/oflFXqrG4ukEl2lWJT0&#10;VKri+ZF9JsHs23T3adJ/3y0Uehxm5htmuR5dp24UYuvZwHSSgSKuvG25NnA8bJ/moKIgW+w8k4Fv&#10;irBe3d8tsbB+4E+67aVWCcKxQAONSF9oHauGHMaJ74mTd/bBoSQZam0DDgnuOv2cZbl22HJaaLCn&#10;TUPVZX91Bk7v2yDl8DbbTeXlI98ctJRf2pjHh/F1AUpolP/wX7u0BmbzHH7PpCOgV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chwbEAAAA3AAAAA8AAAAAAAAAAAAAAAAA&#10;nwIAAGRycy9kb3ducmV2LnhtbFBLBQYAAAAABAAEAPcAAACQAwAAAAA=&#10;">
                  <v:imagedata r:id="rId18" o:title=""/>
                </v:shape>
                <v:shape id="Freeform 359" o:spid="_x0000_s1028" style="position:absolute;width:9468;height:6664;visibility:visible;mso-wrap-style:square;v-text-anchor:top" coordsize="9468,6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E6EsUA&#10;AADcAAAADwAAAGRycy9kb3ducmV2LnhtbESPS4vCQBCE78L+h6EXvOnEBypZRxHBx0lQd8W99WZ6&#10;k2CmJ2ZGjf/eEQSPRVV9RY2ntSnElSqXW1bQaUcgiBOrc04VfO8XrREI55E1FpZJwZ0cTCcfjTHG&#10;2t54S9edT0WAsItRQeZ9GUvpkowMurYtiYP3byuDPsgqlbrCW4CbQnajaCAN5hwWMixpnlFy2l2M&#10;gkNvqN3v39H6vGPP9XJWrMzmR6nmZz37AuGp9u/wq73WCvqjITzPhCMgJ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sToSxQAAANwAAAAPAAAAAAAAAAAAAAAAAJgCAABkcnMv&#10;ZG93bnJldi54bWxQSwUGAAAAAAQABAD1AAAAigMAAAAA&#10;" path="m9468,r-10,l9458,10r,6644l10,6654,10,10r9448,l9458,,10,,,,,10,,6654r,10l10,6664r9448,l9468,6664r,-10l9468,10r,-10xe" fillcolor="black" stroked="f">
                  <v:path arrowok="t" o:connecttype="custom" o:connectlocs="9468,0;9458,0;9458,10;9458,6654;10,6654;10,10;9458,10;9458,0;10,0;0,0;0,10;0,6654;0,6664;10,6664;9458,6664;9468,6664;9468,6654;9468,10;9468,0" o:connectangles="0,0,0,0,0,0,0,0,0,0,0,0,0,0,0,0,0,0,0"/>
                </v:shape>
                <w10:anchorlock/>
              </v:group>
            </w:pict>
          </mc:Fallback>
        </mc:AlternateContent>
      </w:r>
    </w:p>
    <w:p w14:paraId="1B1E7953" w14:textId="77777777" w:rsidR="008572F7" w:rsidRPr="00C56257" w:rsidRDefault="008572F7" w:rsidP="008572F7">
      <w:pPr>
        <w:pStyle w:val="BodyText"/>
        <w:jc w:val="both"/>
        <w:rPr>
          <w:color w:val="000000" w:themeColor="text1"/>
          <w:sz w:val="24"/>
          <w:szCs w:val="24"/>
          <w:lang w:val="fr-FR"/>
        </w:rPr>
      </w:pPr>
    </w:p>
    <w:p w14:paraId="7B212CB5" w14:textId="77777777" w:rsidR="008572F7" w:rsidRPr="00C56257" w:rsidRDefault="008572F7" w:rsidP="00F35C9C">
      <w:pPr>
        <w:pStyle w:val="Heading2"/>
        <w:spacing w:before="195"/>
        <w:ind w:firstLine="293"/>
        <w:jc w:val="both"/>
        <w:rPr>
          <w:color w:val="000000" w:themeColor="text1"/>
          <w:sz w:val="24"/>
          <w:szCs w:val="24"/>
        </w:rPr>
      </w:pPr>
      <w:proofErr w:type="spellStart"/>
      <w:r w:rsidRPr="00C56257">
        <w:rPr>
          <w:color w:val="000000" w:themeColor="text1"/>
          <w:sz w:val="24"/>
          <w:szCs w:val="24"/>
        </w:rPr>
        <w:t>Agregarea</w:t>
      </w:r>
      <w:proofErr w:type="spellEnd"/>
      <w:r w:rsidRPr="00C56257">
        <w:rPr>
          <w:color w:val="000000" w:themeColor="text1"/>
          <w:spacing w:val="-5"/>
          <w:sz w:val="24"/>
          <w:szCs w:val="24"/>
        </w:rPr>
        <w:t xml:space="preserve"> </w:t>
      </w:r>
      <w:proofErr w:type="spellStart"/>
      <w:r w:rsidRPr="00C56257">
        <w:rPr>
          <w:color w:val="000000" w:themeColor="text1"/>
          <w:sz w:val="24"/>
          <w:szCs w:val="24"/>
        </w:rPr>
        <w:t>informației</w:t>
      </w:r>
      <w:proofErr w:type="spellEnd"/>
      <w:r w:rsidRPr="00C56257">
        <w:rPr>
          <w:color w:val="000000" w:themeColor="text1"/>
          <w:spacing w:val="-5"/>
          <w:sz w:val="24"/>
          <w:szCs w:val="24"/>
        </w:rPr>
        <w:t xml:space="preserve"> </w:t>
      </w:r>
      <w:r w:rsidRPr="00C56257">
        <w:rPr>
          <w:color w:val="000000" w:themeColor="text1"/>
          <w:sz w:val="24"/>
          <w:szCs w:val="24"/>
        </w:rPr>
        <w:t>pe</w:t>
      </w:r>
      <w:r w:rsidRPr="00C56257">
        <w:rPr>
          <w:color w:val="000000" w:themeColor="text1"/>
          <w:spacing w:val="-5"/>
          <w:sz w:val="24"/>
          <w:szCs w:val="24"/>
        </w:rPr>
        <w:t xml:space="preserve"> </w:t>
      </w:r>
      <w:r w:rsidRPr="00C56257">
        <w:rPr>
          <w:color w:val="000000" w:themeColor="text1"/>
          <w:sz w:val="24"/>
          <w:szCs w:val="24"/>
        </w:rPr>
        <w:t>plot</w:t>
      </w:r>
      <w:r w:rsidRPr="00C56257">
        <w:rPr>
          <w:color w:val="000000" w:themeColor="text1"/>
          <w:spacing w:val="-4"/>
          <w:sz w:val="24"/>
          <w:szCs w:val="24"/>
        </w:rPr>
        <w:t xml:space="preserve"> </w:t>
      </w:r>
      <w:r w:rsidRPr="00C56257">
        <w:rPr>
          <w:color w:val="000000" w:themeColor="text1"/>
          <w:sz w:val="24"/>
          <w:szCs w:val="24"/>
        </w:rPr>
        <w:t>de</w:t>
      </w:r>
      <w:r w:rsidRPr="00C56257">
        <w:rPr>
          <w:color w:val="000000" w:themeColor="text1"/>
          <w:spacing w:val="-5"/>
          <w:sz w:val="24"/>
          <w:szCs w:val="24"/>
        </w:rPr>
        <w:t xml:space="preserve"> </w:t>
      </w:r>
      <w:proofErr w:type="spellStart"/>
      <w:r w:rsidRPr="00C56257">
        <w:rPr>
          <w:color w:val="000000" w:themeColor="text1"/>
          <w:sz w:val="24"/>
          <w:szCs w:val="24"/>
        </w:rPr>
        <w:t>monitorizare</w:t>
      </w:r>
      <w:proofErr w:type="spellEnd"/>
    </w:p>
    <w:p w14:paraId="42BD0780" w14:textId="77777777" w:rsidR="008572F7" w:rsidRPr="00C56257" w:rsidRDefault="008572F7" w:rsidP="008572F7">
      <w:pPr>
        <w:pStyle w:val="BodyText"/>
        <w:spacing w:before="157"/>
        <w:ind w:left="293"/>
        <w:jc w:val="both"/>
        <w:rPr>
          <w:color w:val="000000" w:themeColor="text1"/>
          <w:sz w:val="24"/>
          <w:szCs w:val="24"/>
          <w:lang w:val="fr-FR"/>
        </w:rPr>
      </w:pPr>
      <w:proofErr w:type="spellStart"/>
      <w:r w:rsidRPr="00C56257">
        <w:rPr>
          <w:color w:val="000000" w:themeColor="text1"/>
          <w:sz w:val="24"/>
          <w:szCs w:val="24"/>
          <w:lang w:val="fr-FR"/>
        </w:rPr>
        <w:t>Modul</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agregare</w:t>
      </w:r>
      <w:proofErr w:type="spellEnd"/>
      <w:r w:rsidRPr="00C56257">
        <w:rPr>
          <w:color w:val="000000" w:themeColor="text1"/>
          <w:sz w:val="24"/>
          <w:szCs w:val="24"/>
          <w:lang w:val="fr-FR"/>
        </w:rPr>
        <w:t xml:space="preserve"> a</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datelor</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se</w:t>
      </w:r>
      <w:r w:rsidRPr="00C56257">
        <w:rPr>
          <w:color w:val="000000" w:themeColor="text1"/>
          <w:spacing w:val="-1"/>
          <w:sz w:val="24"/>
          <w:szCs w:val="24"/>
          <w:lang w:val="fr-FR"/>
        </w:rPr>
        <w:t xml:space="preserve"> </w:t>
      </w:r>
      <w:r w:rsidRPr="00C56257">
        <w:rPr>
          <w:color w:val="000000" w:themeColor="text1"/>
          <w:sz w:val="24"/>
          <w:szCs w:val="24"/>
          <w:lang w:val="fr-FR"/>
        </w:rPr>
        <w:t>face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două</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etape</w:t>
      </w:r>
      <w:proofErr w:type="spellEnd"/>
      <w:r w:rsidRPr="00C56257">
        <w:rPr>
          <w:color w:val="000000" w:themeColor="text1"/>
          <w:sz w:val="24"/>
          <w:szCs w:val="24"/>
          <w:lang w:val="fr-FR"/>
        </w:rPr>
        <w:t>:</w:t>
      </w:r>
    </w:p>
    <w:p w14:paraId="68D59B21" w14:textId="77777777" w:rsidR="008572F7" w:rsidRPr="004242AA" w:rsidRDefault="008572F7" w:rsidP="009E63E5">
      <w:pPr>
        <w:pStyle w:val="ListParagraph"/>
        <w:widowControl w:val="0"/>
        <w:numPr>
          <w:ilvl w:val="0"/>
          <w:numId w:val="107"/>
        </w:numPr>
        <w:tabs>
          <w:tab w:val="left" w:pos="713"/>
          <w:tab w:val="left" w:pos="714"/>
        </w:tabs>
        <w:autoSpaceDE w:val="0"/>
        <w:autoSpaceDN w:val="0"/>
        <w:spacing w:before="10" w:line="230" w:lineRule="auto"/>
        <w:ind w:right="252"/>
        <w:jc w:val="both"/>
        <w:rPr>
          <w:rFonts w:ascii="Times New Roman" w:hAnsi="Times New Roman" w:cs="Times New Roman"/>
          <w:color w:val="000000" w:themeColor="text1"/>
          <w:sz w:val="24"/>
          <w:szCs w:val="24"/>
        </w:rPr>
      </w:pPr>
      <w:proofErr w:type="spellStart"/>
      <w:r w:rsidRPr="00C56257">
        <w:rPr>
          <w:rFonts w:ascii="Times New Roman" w:hAnsi="Times New Roman" w:cs="Times New Roman"/>
          <w:color w:val="000000" w:themeColor="text1"/>
          <w:sz w:val="24"/>
          <w:szCs w:val="24"/>
        </w:rPr>
        <w:t>Agregarea</w:t>
      </w:r>
      <w:proofErr w:type="spellEnd"/>
      <w:r w:rsidRPr="00C56257">
        <w:rPr>
          <w:rFonts w:ascii="Times New Roman" w:hAnsi="Times New Roman" w:cs="Times New Roman"/>
          <w:color w:val="000000" w:themeColor="text1"/>
          <w:spacing w:val="14"/>
          <w:sz w:val="24"/>
          <w:szCs w:val="24"/>
        </w:rPr>
        <w:t xml:space="preserve"> </w:t>
      </w:r>
      <w:proofErr w:type="spellStart"/>
      <w:r w:rsidRPr="00C56257">
        <w:rPr>
          <w:rFonts w:ascii="Times New Roman" w:hAnsi="Times New Roman" w:cs="Times New Roman"/>
          <w:color w:val="000000" w:themeColor="text1"/>
          <w:sz w:val="24"/>
          <w:szCs w:val="24"/>
        </w:rPr>
        <w:t>spațială</w:t>
      </w:r>
      <w:proofErr w:type="spellEnd"/>
      <w:r w:rsidRPr="00C56257">
        <w:rPr>
          <w:rFonts w:ascii="Times New Roman" w:hAnsi="Times New Roman" w:cs="Times New Roman"/>
          <w:color w:val="000000" w:themeColor="text1"/>
          <w:sz w:val="24"/>
          <w:szCs w:val="24"/>
        </w:rPr>
        <w:t>,</w:t>
      </w:r>
      <w:r w:rsidRPr="00C56257">
        <w:rPr>
          <w:rFonts w:ascii="Times New Roman" w:hAnsi="Times New Roman" w:cs="Times New Roman"/>
          <w:color w:val="000000" w:themeColor="text1"/>
          <w:spacing w:val="15"/>
          <w:sz w:val="24"/>
          <w:szCs w:val="24"/>
        </w:rPr>
        <w:t xml:space="preserve"> </w:t>
      </w:r>
      <w:proofErr w:type="spellStart"/>
      <w:r w:rsidRPr="00C56257">
        <w:rPr>
          <w:rFonts w:ascii="Times New Roman" w:hAnsi="Times New Roman" w:cs="Times New Roman"/>
          <w:color w:val="000000" w:themeColor="text1"/>
          <w:sz w:val="24"/>
          <w:szCs w:val="24"/>
        </w:rPr>
        <w:t>respectiv</w:t>
      </w:r>
      <w:proofErr w:type="spellEnd"/>
      <w:r w:rsidRPr="00C56257">
        <w:rPr>
          <w:rFonts w:ascii="Times New Roman" w:hAnsi="Times New Roman" w:cs="Times New Roman"/>
          <w:color w:val="000000" w:themeColor="text1"/>
          <w:spacing w:val="17"/>
          <w:sz w:val="24"/>
          <w:szCs w:val="24"/>
        </w:rPr>
        <w:t xml:space="preserve"> </w:t>
      </w:r>
      <w:proofErr w:type="spellStart"/>
      <w:r w:rsidRPr="00C56257">
        <w:rPr>
          <w:rFonts w:ascii="Times New Roman" w:hAnsi="Times New Roman" w:cs="Times New Roman"/>
          <w:color w:val="000000" w:themeColor="text1"/>
          <w:sz w:val="24"/>
          <w:szCs w:val="24"/>
        </w:rPr>
        <w:t>generarea</w:t>
      </w:r>
      <w:proofErr w:type="spellEnd"/>
      <w:r w:rsidRPr="00C56257">
        <w:rPr>
          <w:rFonts w:ascii="Times New Roman" w:hAnsi="Times New Roman" w:cs="Times New Roman"/>
          <w:color w:val="000000" w:themeColor="text1"/>
          <w:spacing w:val="14"/>
          <w:sz w:val="24"/>
          <w:szCs w:val="24"/>
        </w:rPr>
        <w:t xml:space="preserve"> </w:t>
      </w:r>
      <w:proofErr w:type="spellStart"/>
      <w:r w:rsidRPr="00C56257">
        <w:rPr>
          <w:rFonts w:ascii="Times New Roman" w:hAnsi="Times New Roman" w:cs="Times New Roman"/>
          <w:color w:val="000000" w:themeColor="text1"/>
          <w:sz w:val="24"/>
          <w:szCs w:val="24"/>
        </w:rPr>
        <w:t>hărților</w:t>
      </w:r>
      <w:proofErr w:type="spellEnd"/>
      <w:r w:rsidRPr="00C56257">
        <w:rPr>
          <w:rFonts w:ascii="Times New Roman" w:hAnsi="Times New Roman" w:cs="Times New Roman"/>
          <w:color w:val="000000" w:themeColor="text1"/>
          <w:spacing w:val="15"/>
          <w:sz w:val="24"/>
          <w:szCs w:val="24"/>
        </w:rPr>
        <w:t xml:space="preserve"> </w:t>
      </w:r>
      <w:proofErr w:type="spellStart"/>
      <w:r w:rsidRPr="00C56257">
        <w:rPr>
          <w:rFonts w:ascii="Times New Roman" w:hAnsi="Times New Roman" w:cs="Times New Roman"/>
          <w:color w:val="000000" w:themeColor="text1"/>
          <w:sz w:val="24"/>
          <w:szCs w:val="24"/>
        </w:rPr>
        <w:t>în</w:t>
      </w:r>
      <w:proofErr w:type="spellEnd"/>
      <w:r w:rsidRPr="00C56257">
        <w:rPr>
          <w:rFonts w:ascii="Times New Roman" w:hAnsi="Times New Roman" w:cs="Times New Roman"/>
          <w:color w:val="000000" w:themeColor="text1"/>
          <w:spacing w:val="15"/>
          <w:sz w:val="24"/>
          <w:szCs w:val="24"/>
        </w:rPr>
        <w:t xml:space="preserve"> </w:t>
      </w:r>
      <w:proofErr w:type="spellStart"/>
      <w:r w:rsidRPr="00C56257">
        <w:rPr>
          <w:rFonts w:ascii="Times New Roman" w:hAnsi="Times New Roman" w:cs="Times New Roman"/>
          <w:color w:val="000000" w:themeColor="text1"/>
          <w:sz w:val="24"/>
          <w:szCs w:val="24"/>
        </w:rPr>
        <w:t>conformitate</w:t>
      </w:r>
      <w:proofErr w:type="spellEnd"/>
      <w:r w:rsidRPr="00C56257">
        <w:rPr>
          <w:rFonts w:ascii="Times New Roman" w:hAnsi="Times New Roman" w:cs="Times New Roman"/>
          <w:color w:val="000000" w:themeColor="text1"/>
          <w:spacing w:val="14"/>
          <w:sz w:val="24"/>
          <w:szCs w:val="24"/>
        </w:rPr>
        <w:t xml:space="preserve"> </w:t>
      </w:r>
      <w:r w:rsidRPr="00C56257">
        <w:rPr>
          <w:rFonts w:ascii="Times New Roman" w:hAnsi="Times New Roman" w:cs="Times New Roman"/>
          <w:color w:val="000000" w:themeColor="text1"/>
          <w:sz w:val="24"/>
          <w:szCs w:val="24"/>
        </w:rPr>
        <w:t>cu</w:t>
      </w:r>
      <w:r w:rsidRPr="00C56257">
        <w:rPr>
          <w:rFonts w:ascii="Times New Roman" w:hAnsi="Times New Roman" w:cs="Times New Roman"/>
          <w:color w:val="000000" w:themeColor="text1"/>
          <w:spacing w:val="15"/>
          <w:sz w:val="24"/>
          <w:szCs w:val="24"/>
        </w:rPr>
        <w:t xml:space="preserve"> </w:t>
      </w:r>
      <w:proofErr w:type="spellStart"/>
      <w:r w:rsidRPr="00C56257">
        <w:rPr>
          <w:rFonts w:ascii="Times New Roman" w:hAnsi="Times New Roman" w:cs="Times New Roman"/>
          <w:color w:val="000000" w:themeColor="text1"/>
          <w:sz w:val="24"/>
          <w:szCs w:val="24"/>
        </w:rPr>
        <w:t>formatul</w:t>
      </w:r>
      <w:proofErr w:type="spellEnd"/>
      <w:r w:rsidRPr="00C56257">
        <w:rPr>
          <w:rFonts w:ascii="Times New Roman" w:hAnsi="Times New Roman" w:cs="Times New Roman"/>
          <w:color w:val="000000" w:themeColor="text1"/>
          <w:spacing w:val="16"/>
          <w:sz w:val="24"/>
          <w:szCs w:val="24"/>
        </w:rPr>
        <w:t xml:space="preserve"> </w:t>
      </w:r>
      <w:r w:rsidRPr="00C56257">
        <w:rPr>
          <w:rFonts w:ascii="Times New Roman" w:hAnsi="Times New Roman" w:cs="Times New Roman"/>
          <w:color w:val="000000" w:themeColor="text1"/>
          <w:sz w:val="24"/>
          <w:szCs w:val="24"/>
        </w:rPr>
        <w:t>de</w:t>
      </w:r>
      <w:r w:rsidRPr="00C56257">
        <w:rPr>
          <w:rFonts w:ascii="Times New Roman" w:hAnsi="Times New Roman" w:cs="Times New Roman"/>
          <w:color w:val="000000" w:themeColor="text1"/>
          <w:spacing w:val="14"/>
          <w:sz w:val="24"/>
          <w:szCs w:val="24"/>
        </w:rPr>
        <w:t xml:space="preserve"> </w:t>
      </w:r>
      <w:proofErr w:type="spellStart"/>
      <w:r w:rsidR="004242AA">
        <w:rPr>
          <w:rFonts w:ascii="Times New Roman" w:hAnsi="Times New Roman" w:cs="Times New Roman"/>
          <w:color w:val="000000" w:themeColor="text1"/>
          <w:spacing w:val="14"/>
          <w:sz w:val="24"/>
          <w:szCs w:val="24"/>
        </w:rPr>
        <w:t>r</w:t>
      </w:r>
      <w:r w:rsidRPr="004242AA">
        <w:rPr>
          <w:rFonts w:ascii="Times New Roman" w:hAnsi="Times New Roman" w:cs="Times New Roman"/>
          <w:color w:val="000000" w:themeColor="text1"/>
          <w:sz w:val="24"/>
          <w:szCs w:val="24"/>
        </w:rPr>
        <w:t>aportare</w:t>
      </w:r>
      <w:proofErr w:type="spellEnd"/>
      <w:r w:rsidR="004242AA" w:rsidRPr="004242AA">
        <w:rPr>
          <w:rFonts w:ascii="Times New Roman" w:hAnsi="Times New Roman" w:cs="Times New Roman"/>
          <w:color w:val="000000" w:themeColor="text1"/>
          <w:sz w:val="24"/>
          <w:szCs w:val="24"/>
        </w:rPr>
        <w:t xml:space="preserve"> </w:t>
      </w:r>
      <w:r w:rsidRPr="004242AA">
        <w:rPr>
          <w:rFonts w:ascii="Times New Roman" w:hAnsi="Times New Roman" w:cs="Times New Roman"/>
          <w:color w:val="000000" w:themeColor="text1"/>
          <w:spacing w:val="-57"/>
          <w:sz w:val="24"/>
          <w:szCs w:val="24"/>
        </w:rPr>
        <w:t xml:space="preserve"> </w:t>
      </w:r>
      <w:r w:rsidR="004242AA" w:rsidRPr="004242AA">
        <w:rPr>
          <w:rFonts w:ascii="Times New Roman" w:hAnsi="Times New Roman" w:cs="Times New Roman"/>
          <w:color w:val="000000" w:themeColor="text1"/>
          <w:spacing w:val="-57"/>
          <w:sz w:val="24"/>
          <w:szCs w:val="24"/>
        </w:rPr>
        <w:t xml:space="preserve">  </w:t>
      </w:r>
      <w:proofErr w:type="spellStart"/>
      <w:r w:rsidRPr="004242AA">
        <w:rPr>
          <w:rFonts w:ascii="Times New Roman" w:hAnsi="Times New Roman" w:cs="Times New Roman"/>
          <w:color w:val="000000" w:themeColor="text1"/>
          <w:sz w:val="24"/>
          <w:szCs w:val="24"/>
        </w:rPr>
        <w:t>pornind</w:t>
      </w:r>
      <w:proofErr w:type="spellEnd"/>
      <w:r w:rsidRPr="004242AA">
        <w:rPr>
          <w:rFonts w:ascii="Times New Roman" w:hAnsi="Times New Roman" w:cs="Times New Roman"/>
          <w:color w:val="000000" w:themeColor="text1"/>
          <w:spacing w:val="-1"/>
          <w:sz w:val="24"/>
          <w:szCs w:val="24"/>
        </w:rPr>
        <w:t xml:space="preserve"> </w:t>
      </w:r>
      <w:r w:rsidRPr="004242AA">
        <w:rPr>
          <w:rFonts w:ascii="Times New Roman" w:hAnsi="Times New Roman" w:cs="Times New Roman"/>
          <w:color w:val="000000" w:themeColor="text1"/>
          <w:sz w:val="24"/>
          <w:szCs w:val="24"/>
        </w:rPr>
        <w:t>de</w:t>
      </w:r>
      <w:r w:rsidRPr="004242AA">
        <w:rPr>
          <w:rFonts w:ascii="Times New Roman" w:hAnsi="Times New Roman" w:cs="Times New Roman"/>
          <w:color w:val="000000" w:themeColor="text1"/>
          <w:spacing w:val="-2"/>
          <w:sz w:val="24"/>
          <w:szCs w:val="24"/>
        </w:rPr>
        <w:t xml:space="preserve"> </w:t>
      </w:r>
      <w:r w:rsidRPr="004242AA">
        <w:rPr>
          <w:rFonts w:ascii="Times New Roman" w:hAnsi="Times New Roman" w:cs="Times New Roman"/>
          <w:color w:val="000000" w:themeColor="text1"/>
          <w:sz w:val="24"/>
          <w:szCs w:val="24"/>
        </w:rPr>
        <w:t xml:space="preserve">la </w:t>
      </w:r>
      <w:proofErr w:type="spellStart"/>
      <w:r w:rsidRPr="004242AA">
        <w:rPr>
          <w:rFonts w:ascii="Times New Roman" w:hAnsi="Times New Roman" w:cs="Times New Roman"/>
          <w:color w:val="000000" w:themeColor="text1"/>
          <w:sz w:val="24"/>
          <w:szCs w:val="24"/>
        </w:rPr>
        <w:t>datele</w:t>
      </w:r>
      <w:proofErr w:type="spellEnd"/>
      <w:r w:rsidRPr="004242AA">
        <w:rPr>
          <w:rFonts w:ascii="Times New Roman" w:hAnsi="Times New Roman" w:cs="Times New Roman"/>
          <w:color w:val="000000" w:themeColor="text1"/>
          <w:spacing w:val="-1"/>
          <w:sz w:val="24"/>
          <w:szCs w:val="24"/>
        </w:rPr>
        <w:t xml:space="preserve"> </w:t>
      </w:r>
      <w:proofErr w:type="spellStart"/>
      <w:r w:rsidRPr="004242AA">
        <w:rPr>
          <w:rFonts w:ascii="Times New Roman" w:hAnsi="Times New Roman" w:cs="Times New Roman"/>
          <w:color w:val="000000" w:themeColor="text1"/>
          <w:sz w:val="24"/>
          <w:szCs w:val="24"/>
        </w:rPr>
        <w:t>primare</w:t>
      </w:r>
      <w:proofErr w:type="spellEnd"/>
      <w:r w:rsidRPr="004242AA">
        <w:rPr>
          <w:rFonts w:ascii="Times New Roman" w:hAnsi="Times New Roman" w:cs="Times New Roman"/>
          <w:color w:val="000000" w:themeColor="text1"/>
          <w:sz w:val="24"/>
          <w:szCs w:val="24"/>
        </w:rPr>
        <w:t>/</w:t>
      </w:r>
      <w:proofErr w:type="spellStart"/>
      <w:r w:rsidRPr="004242AA">
        <w:rPr>
          <w:rFonts w:ascii="Times New Roman" w:hAnsi="Times New Roman" w:cs="Times New Roman"/>
          <w:color w:val="000000" w:themeColor="text1"/>
          <w:sz w:val="24"/>
          <w:szCs w:val="24"/>
        </w:rPr>
        <w:t>datele</w:t>
      </w:r>
      <w:proofErr w:type="spellEnd"/>
      <w:r w:rsidRPr="004242AA">
        <w:rPr>
          <w:rFonts w:ascii="Times New Roman" w:hAnsi="Times New Roman" w:cs="Times New Roman"/>
          <w:color w:val="000000" w:themeColor="text1"/>
          <w:spacing w:val="-1"/>
          <w:sz w:val="24"/>
          <w:szCs w:val="24"/>
        </w:rPr>
        <w:t xml:space="preserve"> </w:t>
      </w:r>
      <w:r w:rsidRPr="004242AA">
        <w:rPr>
          <w:rFonts w:ascii="Times New Roman" w:hAnsi="Times New Roman" w:cs="Times New Roman"/>
          <w:color w:val="000000" w:themeColor="text1"/>
          <w:sz w:val="24"/>
          <w:szCs w:val="24"/>
        </w:rPr>
        <w:t xml:space="preserve">din </w:t>
      </w:r>
      <w:proofErr w:type="spellStart"/>
      <w:r w:rsidRPr="004242AA">
        <w:rPr>
          <w:rFonts w:ascii="Times New Roman" w:hAnsi="Times New Roman" w:cs="Times New Roman"/>
          <w:color w:val="000000" w:themeColor="text1"/>
          <w:sz w:val="24"/>
          <w:szCs w:val="24"/>
        </w:rPr>
        <w:t>teren</w:t>
      </w:r>
      <w:proofErr w:type="spellEnd"/>
      <w:r w:rsidRPr="004242AA">
        <w:rPr>
          <w:rFonts w:ascii="Times New Roman" w:hAnsi="Times New Roman" w:cs="Times New Roman"/>
          <w:color w:val="000000" w:themeColor="text1"/>
          <w:sz w:val="24"/>
          <w:szCs w:val="24"/>
        </w:rPr>
        <w:t>.</w:t>
      </w:r>
    </w:p>
    <w:p w14:paraId="65AD34D3" w14:textId="77777777" w:rsidR="008572F7" w:rsidRPr="00C56257" w:rsidRDefault="008572F7" w:rsidP="009E63E5">
      <w:pPr>
        <w:pStyle w:val="ListParagraph"/>
        <w:widowControl w:val="0"/>
        <w:numPr>
          <w:ilvl w:val="0"/>
          <w:numId w:val="107"/>
        </w:numPr>
        <w:tabs>
          <w:tab w:val="left" w:pos="713"/>
          <w:tab w:val="left" w:pos="714"/>
        </w:tabs>
        <w:autoSpaceDE w:val="0"/>
        <w:autoSpaceDN w:val="0"/>
        <w:spacing w:before="10" w:line="230" w:lineRule="auto"/>
        <w:ind w:right="249"/>
        <w:jc w:val="both"/>
        <w:rPr>
          <w:rFonts w:ascii="Times New Roman" w:hAnsi="Times New Roman" w:cs="Times New Roman"/>
          <w:color w:val="000000" w:themeColor="text1"/>
          <w:sz w:val="24"/>
          <w:szCs w:val="24"/>
        </w:rPr>
      </w:pPr>
      <w:proofErr w:type="spellStart"/>
      <w:r w:rsidRPr="00C56257">
        <w:rPr>
          <w:rFonts w:ascii="Times New Roman" w:hAnsi="Times New Roman" w:cs="Times New Roman"/>
          <w:color w:val="000000" w:themeColor="text1"/>
          <w:sz w:val="24"/>
          <w:szCs w:val="24"/>
        </w:rPr>
        <w:t>Agregarea</w:t>
      </w:r>
      <w:proofErr w:type="spellEnd"/>
      <w:r w:rsidRPr="00C56257">
        <w:rPr>
          <w:rFonts w:ascii="Times New Roman" w:hAnsi="Times New Roman" w:cs="Times New Roman"/>
          <w:color w:val="000000" w:themeColor="text1"/>
          <w:spacing w:val="23"/>
          <w:sz w:val="24"/>
          <w:szCs w:val="24"/>
        </w:rPr>
        <w:t xml:space="preserve"> </w:t>
      </w:r>
      <w:r w:rsidRPr="00C56257">
        <w:rPr>
          <w:rFonts w:ascii="Times New Roman" w:hAnsi="Times New Roman" w:cs="Times New Roman"/>
          <w:color w:val="000000" w:themeColor="text1"/>
          <w:sz w:val="24"/>
          <w:szCs w:val="24"/>
        </w:rPr>
        <w:t>non-</w:t>
      </w:r>
      <w:proofErr w:type="spellStart"/>
      <w:r w:rsidRPr="00C56257">
        <w:rPr>
          <w:rFonts w:ascii="Times New Roman" w:hAnsi="Times New Roman" w:cs="Times New Roman"/>
          <w:color w:val="000000" w:themeColor="text1"/>
          <w:sz w:val="24"/>
          <w:szCs w:val="24"/>
        </w:rPr>
        <w:t>spațială</w:t>
      </w:r>
      <w:proofErr w:type="spellEnd"/>
      <w:r w:rsidRPr="00C56257">
        <w:rPr>
          <w:rFonts w:ascii="Times New Roman" w:hAnsi="Times New Roman" w:cs="Times New Roman"/>
          <w:color w:val="000000" w:themeColor="text1"/>
          <w:spacing w:val="25"/>
          <w:sz w:val="24"/>
          <w:szCs w:val="24"/>
        </w:rPr>
        <w:t xml:space="preserve"> </w:t>
      </w:r>
      <w:r w:rsidRPr="00C56257">
        <w:rPr>
          <w:rFonts w:ascii="Times New Roman" w:hAnsi="Times New Roman" w:cs="Times New Roman"/>
          <w:color w:val="000000" w:themeColor="text1"/>
          <w:sz w:val="24"/>
          <w:szCs w:val="24"/>
        </w:rPr>
        <w:t>care</w:t>
      </w:r>
      <w:r w:rsidRPr="00C56257">
        <w:rPr>
          <w:rFonts w:ascii="Times New Roman" w:hAnsi="Times New Roman" w:cs="Times New Roman"/>
          <w:color w:val="000000" w:themeColor="text1"/>
          <w:spacing w:val="22"/>
          <w:sz w:val="24"/>
          <w:szCs w:val="24"/>
        </w:rPr>
        <w:t xml:space="preserve"> </w:t>
      </w:r>
      <w:proofErr w:type="spellStart"/>
      <w:r w:rsidRPr="00C56257">
        <w:rPr>
          <w:rFonts w:ascii="Times New Roman" w:hAnsi="Times New Roman" w:cs="Times New Roman"/>
          <w:color w:val="000000" w:themeColor="text1"/>
          <w:sz w:val="24"/>
          <w:szCs w:val="24"/>
        </w:rPr>
        <w:t>presupune</w:t>
      </w:r>
      <w:proofErr w:type="spellEnd"/>
      <w:r w:rsidRPr="00C56257">
        <w:rPr>
          <w:rFonts w:ascii="Times New Roman" w:hAnsi="Times New Roman" w:cs="Times New Roman"/>
          <w:color w:val="000000" w:themeColor="text1"/>
          <w:spacing w:val="25"/>
          <w:sz w:val="24"/>
          <w:szCs w:val="24"/>
        </w:rPr>
        <w:t xml:space="preserve"> </w:t>
      </w:r>
      <w:proofErr w:type="spellStart"/>
      <w:r w:rsidRPr="00C56257">
        <w:rPr>
          <w:rFonts w:ascii="Times New Roman" w:hAnsi="Times New Roman" w:cs="Times New Roman"/>
          <w:color w:val="000000" w:themeColor="text1"/>
          <w:sz w:val="24"/>
          <w:szCs w:val="24"/>
        </w:rPr>
        <w:t>generarea</w:t>
      </w:r>
      <w:proofErr w:type="spellEnd"/>
      <w:r w:rsidRPr="00C56257">
        <w:rPr>
          <w:rFonts w:ascii="Times New Roman" w:hAnsi="Times New Roman" w:cs="Times New Roman"/>
          <w:color w:val="000000" w:themeColor="text1"/>
          <w:spacing w:val="23"/>
          <w:sz w:val="24"/>
          <w:szCs w:val="24"/>
        </w:rPr>
        <w:t xml:space="preserve"> </w:t>
      </w:r>
      <w:proofErr w:type="spellStart"/>
      <w:r w:rsidRPr="00C56257">
        <w:rPr>
          <w:rFonts w:ascii="Times New Roman" w:hAnsi="Times New Roman" w:cs="Times New Roman"/>
          <w:color w:val="000000" w:themeColor="text1"/>
          <w:sz w:val="24"/>
          <w:szCs w:val="24"/>
        </w:rPr>
        <w:t>fișierelor</w:t>
      </w:r>
      <w:proofErr w:type="spellEnd"/>
      <w:r w:rsidRPr="00C56257">
        <w:rPr>
          <w:rFonts w:ascii="Times New Roman" w:hAnsi="Times New Roman" w:cs="Times New Roman"/>
          <w:color w:val="000000" w:themeColor="text1"/>
          <w:spacing w:val="24"/>
          <w:sz w:val="24"/>
          <w:szCs w:val="24"/>
        </w:rPr>
        <w:t xml:space="preserve"> </w:t>
      </w:r>
      <w:proofErr w:type="spellStart"/>
      <w:r w:rsidRPr="00C56257">
        <w:rPr>
          <w:rFonts w:ascii="Times New Roman" w:hAnsi="Times New Roman" w:cs="Times New Roman"/>
          <w:color w:val="000000" w:themeColor="text1"/>
          <w:sz w:val="24"/>
          <w:szCs w:val="24"/>
        </w:rPr>
        <w:t>specifice</w:t>
      </w:r>
      <w:proofErr w:type="spellEnd"/>
      <w:r w:rsidRPr="00C56257">
        <w:rPr>
          <w:rFonts w:ascii="Times New Roman" w:hAnsi="Times New Roman" w:cs="Times New Roman"/>
          <w:color w:val="000000" w:themeColor="text1"/>
          <w:sz w:val="24"/>
          <w:szCs w:val="24"/>
        </w:rPr>
        <w:t>,</w:t>
      </w:r>
      <w:r w:rsidRPr="00C56257">
        <w:rPr>
          <w:rFonts w:ascii="Times New Roman" w:hAnsi="Times New Roman" w:cs="Times New Roman"/>
          <w:color w:val="000000" w:themeColor="text1"/>
          <w:spacing w:val="24"/>
          <w:sz w:val="24"/>
          <w:szCs w:val="24"/>
        </w:rPr>
        <w:t xml:space="preserve"> </w:t>
      </w:r>
      <w:proofErr w:type="spellStart"/>
      <w:r w:rsidRPr="00C56257">
        <w:rPr>
          <w:rFonts w:ascii="Times New Roman" w:hAnsi="Times New Roman" w:cs="Times New Roman"/>
          <w:color w:val="000000" w:themeColor="text1"/>
          <w:sz w:val="24"/>
          <w:szCs w:val="24"/>
        </w:rPr>
        <w:t>în</w:t>
      </w:r>
      <w:proofErr w:type="spellEnd"/>
      <w:r w:rsidRPr="00C56257">
        <w:rPr>
          <w:rFonts w:ascii="Times New Roman" w:hAnsi="Times New Roman" w:cs="Times New Roman"/>
          <w:color w:val="000000" w:themeColor="text1"/>
          <w:spacing w:val="26"/>
          <w:sz w:val="24"/>
          <w:szCs w:val="24"/>
        </w:rPr>
        <w:t xml:space="preserve"> </w:t>
      </w:r>
      <w:proofErr w:type="spellStart"/>
      <w:r w:rsidRPr="00C56257">
        <w:rPr>
          <w:rFonts w:ascii="Times New Roman" w:hAnsi="Times New Roman" w:cs="Times New Roman"/>
          <w:color w:val="000000" w:themeColor="text1"/>
          <w:sz w:val="24"/>
          <w:szCs w:val="24"/>
        </w:rPr>
        <w:t>conformitate</w:t>
      </w:r>
      <w:proofErr w:type="spellEnd"/>
      <w:r w:rsidRPr="00C56257">
        <w:rPr>
          <w:rFonts w:ascii="Times New Roman" w:hAnsi="Times New Roman" w:cs="Times New Roman"/>
          <w:color w:val="000000" w:themeColor="text1"/>
          <w:spacing w:val="23"/>
          <w:sz w:val="24"/>
          <w:szCs w:val="24"/>
        </w:rPr>
        <w:t xml:space="preserve"> </w:t>
      </w:r>
      <w:r w:rsidRPr="00C56257">
        <w:rPr>
          <w:rFonts w:ascii="Times New Roman" w:hAnsi="Times New Roman" w:cs="Times New Roman"/>
          <w:color w:val="000000" w:themeColor="text1"/>
          <w:sz w:val="24"/>
          <w:szCs w:val="24"/>
        </w:rPr>
        <w:t>cu</w:t>
      </w:r>
      <w:r w:rsidRPr="00C56257">
        <w:rPr>
          <w:rFonts w:ascii="Times New Roman" w:hAnsi="Times New Roman" w:cs="Times New Roman"/>
          <w:color w:val="000000" w:themeColor="text1"/>
          <w:spacing w:val="-57"/>
          <w:sz w:val="24"/>
          <w:szCs w:val="24"/>
        </w:rPr>
        <w:t xml:space="preserve"> </w:t>
      </w:r>
      <w:proofErr w:type="spellStart"/>
      <w:r w:rsidRPr="00C56257">
        <w:rPr>
          <w:rFonts w:ascii="Times New Roman" w:hAnsi="Times New Roman" w:cs="Times New Roman"/>
          <w:color w:val="000000" w:themeColor="text1"/>
          <w:sz w:val="24"/>
          <w:szCs w:val="24"/>
        </w:rPr>
        <w:t>formatul</w:t>
      </w:r>
      <w:proofErr w:type="spellEnd"/>
      <w:r w:rsidRPr="00C56257">
        <w:rPr>
          <w:rFonts w:ascii="Times New Roman" w:hAnsi="Times New Roman" w:cs="Times New Roman"/>
          <w:color w:val="000000" w:themeColor="text1"/>
          <w:spacing w:val="-1"/>
          <w:sz w:val="24"/>
          <w:szCs w:val="24"/>
        </w:rPr>
        <w:t xml:space="preserve"> </w:t>
      </w:r>
      <w:r w:rsidRPr="00C56257">
        <w:rPr>
          <w:rFonts w:ascii="Times New Roman" w:hAnsi="Times New Roman" w:cs="Times New Roman"/>
          <w:color w:val="000000" w:themeColor="text1"/>
          <w:sz w:val="24"/>
          <w:szCs w:val="24"/>
        </w:rPr>
        <w:t xml:space="preserve">de </w:t>
      </w:r>
      <w:proofErr w:type="spellStart"/>
      <w:r w:rsidRPr="00C56257">
        <w:rPr>
          <w:rFonts w:ascii="Times New Roman" w:hAnsi="Times New Roman" w:cs="Times New Roman"/>
          <w:color w:val="000000" w:themeColor="text1"/>
          <w:sz w:val="24"/>
          <w:szCs w:val="24"/>
        </w:rPr>
        <w:t>raportare</w:t>
      </w:r>
      <w:proofErr w:type="spellEnd"/>
      <w:r w:rsidRPr="00C56257">
        <w:rPr>
          <w:rFonts w:ascii="Times New Roman" w:hAnsi="Times New Roman" w:cs="Times New Roman"/>
          <w:color w:val="000000" w:themeColor="text1"/>
          <w:sz w:val="24"/>
          <w:szCs w:val="24"/>
        </w:rPr>
        <w:t xml:space="preserve">, </w:t>
      </w:r>
      <w:proofErr w:type="spellStart"/>
      <w:r w:rsidRPr="00C56257">
        <w:rPr>
          <w:rFonts w:ascii="Times New Roman" w:hAnsi="Times New Roman" w:cs="Times New Roman"/>
          <w:color w:val="000000" w:themeColor="text1"/>
          <w:sz w:val="24"/>
          <w:szCs w:val="24"/>
        </w:rPr>
        <w:t>pornind</w:t>
      </w:r>
      <w:proofErr w:type="spellEnd"/>
      <w:r w:rsidRPr="00C56257">
        <w:rPr>
          <w:rFonts w:ascii="Times New Roman" w:hAnsi="Times New Roman" w:cs="Times New Roman"/>
          <w:color w:val="000000" w:themeColor="text1"/>
          <w:sz w:val="24"/>
          <w:szCs w:val="24"/>
        </w:rPr>
        <w:t xml:space="preserve"> de</w:t>
      </w:r>
      <w:r w:rsidRPr="00C56257">
        <w:rPr>
          <w:rFonts w:ascii="Times New Roman" w:hAnsi="Times New Roman" w:cs="Times New Roman"/>
          <w:color w:val="000000" w:themeColor="text1"/>
          <w:spacing w:val="-2"/>
          <w:sz w:val="24"/>
          <w:szCs w:val="24"/>
        </w:rPr>
        <w:t xml:space="preserve"> </w:t>
      </w:r>
      <w:r w:rsidRPr="00C56257">
        <w:rPr>
          <w:rFonts w:ascii="Times New Roman" w:hAnsi="Times New Roman" w:cs="Times New Roman"/>
          <w:color w:val="000000" w:themeColor="text1"/>
          <w:sz w:val="24"/>
          <w:szCs w:val="24"/>
        </w:rPr>
        <w:t xml:space="preserve">la </w:t>
      </w:r>
      <w:proofErr w:type="spellStart"/>
      <w:r w:rsidRPr="00C56257">
        <w:rPr>
          <w:rFonts w:ascii="Times New Roman" w:hAnsi="Times New Roman" w:cs="Times New Roman"/>
          <w:color w:val="000000" w:themeColor="text1"/>
          <w:sz w:val="24"/>
          <w:szCs w:val="24"/>
        </w:rPr>
        <w:t>datele</w:t>
      </w:r>
      <w:proofErr w:type="spellEnd"/>
      <w:r w:rsidRPr="00C56257">
        <w:rPr>
          <w:rFonts w:ascii="Times New Roman" w:hAnsi="Times New Roman" w:cs="Times New Roman"/>
          <w:color w:val="000000" w:themeColor="text1"/>
          <w:spacing w:val="-1"/>
          <w:sz w:val="24"/>
          <w:szCs w:val="24"/>
        </w:rPr>
        <w:t xml:space="preserve"> </w:t>
      </w:r>
      <w:proofErr w:type="spellStart"/>
      <w:r w:rsidRPr="00C56257">
        <w:rPr>
          <w:rFonts w:ascii="Times New Roman" w:hAnsi="Times New Roman" w:cs="Times New Roman"/>
          <w:color w:val="000000" w:themeColor="text1"/>
          <w:sz w:val="24"/>
          <w:szCs w:val="24"/>
        </w:rPr>
        <w:t>primare</w:t>
      </w:r>
      <w:proofErr w:type="spellEnd"/>
      <w:r w:rsidRPr="00C56257">
        <w:rPr>
          <w:rFonts w:ascii="Times New Roman" w:hAnsi="Times New Roman" w:cs="Times New Roman"/>
          <w:color w:val="000000" w:themeColor="text1"/>
          <w:sz w:val="24"/>
          <w:szCs w:val="24"/>
        </w:rPr>
        <w:t>.</w:t>
      </w:r>
    </w:p>
    <w:p w14:paraId="40D07BD0" w14:textId="77777777" w:rsidR="008572F7" w:rsidRPr="00C56257" w:rsidRDefault="008572F7" w:rsidP="008572F7">
      <w:pPr>
        <w:pStyle w:val="ListParagraph"/>
        <w:widowControl w:val="0"/>
        <w:tabs>
          <w:tab w:val="left" w:pos="713"/>
          <w:tab w:val="left" w:pos="714"/>
        </w:tabs>
        <w:autoSpaceDE w:val="0"/>
        <w:autoSpaceDN w:val="0"/>
        <w:spacing w:before="10" w:line="230" w:lineRule="auto"/>
        <w:ind w:left="713" w:right="249"/>
        <w:jc w:val="both"/>
        <w:rPr>
          <w:rFonts w:ascii="Times New Roman" w:hAnsi="Times New Roman" w:cs="Times New Roman"/>
          <w:color w:val="000000" w:themeColor="text1"/>
          <w:sz w:val="24"/>
          <w:szCs w:val="24"/>
        </w:rPr>
      </w:pPr>
    </w:p>
    <w:p w14:paraId="192AA964" w14:textId="77777777" w:rsidR="00493079" w:rsidRDefault="00493079">
      <w:pPr>
        <w:spacing w:after="160" w:line="259" w:lineRule="auto"/>
        <w:rPr>
          <w:b/>
          <w:bCs/>
          <w:color w:val="000000" w:themeColor="text1"/>
          <w:lang w:val="fr-FR"/>
        </w:rPr>
      </w:pPr>
      <w:r>
        <w:rPr>
          <w:color w:val="000000" w:themeColor="text1"/>
          <w:lang w:val="fr-FR"/>
        </w:rPr>
        <w:br w:type="page"/>
      </w:r>
    </w:p>
    <w:p w14:paraId="14B1181B" w14:textId="77777777" w:rsidR="008572F7" w:rsidRPr="00C56257" w:rsidRDefault="008572F7" w:rsidP="008572F7">
      <w:pPr>
        <w:pStyle w:val="Heading2"/>
        <w:spacing w:before="195"/>
        <w:ind w:firstLine="293"/>
        <w:jc w:val="both"/>
        <w:rPr>
          <w:b w:val="0"/>
          <w:color w:val="000000" w:themeColor="text1"/>
          <w:sz w:val="24"/>
          <w:szCs w:val="24"/>
          <w:lang w:val="fr-FR"/>
        </w:rPr>
      </w:pPr>
      <w:proofErr w:type="spellStart"/>
      <w:r w:rsidRPr="00C56257">
        <w:rPr>
          <w:color w:val="000000" w:themeColor="text1"/>
          <w:sz w:val="24"/>
          <w:szCs w:val="24"/>
          <w:lang w:val="fr-FR"/>
        </w:rPr>
        <w:lastRenderedPageBreak/>
        <w:t>Reprezentativitatea</w:t>
      </w:r>
      <w:proofErr w:type="spellEnd"/>
      <w:r w:rsidRPr="00C56257">
        <w:rPr>
          <w:color w:val="000000" w:themeColor="text1"/>
          <w:spacing w:val="-4"/>
          <w:sz w:val="24"/>
          <w:szCs w:val="24"/>
          <w:lang w:val="fr-FR"/>
        </w:rPr>
        <w:t xml:space="preserve"> </w:t>
      </w:r>
      <w:proofErr w:type="spellStart"/>
      <w:r w:rsidRPr="00C56257">
        <w:rPr>
          <w:color w:val="000000" w:themeColor="text1"/>
          <w:sz w:val="24"/>
          <w:szCs w:val="24"/>
          <w:lang w:val="fr-FR"/>
        </w:rPr>
        <w:t>habitatelor</w:t>
      </w:r>
      <w:proofErr w:type="spellEnd"/>
      <w:r w:rsidRPr="00C56257">
        <w:rPr>
          <w:color w:val="000000" w:themeColor="text1"/>
          <w:spacing w:val="-3"/>
          <w:sz w:val="24"/>
          <w:szCs w:val="24"/>
          <w:lang w:val="fr-FR"/>
        </w:rPr>
        <w:t xml:space="preserve"> </w:t>
      </w:r>
      <w:r w:rsidRPr="00C56257">
        <w:rPr>
          <w:color w:val="000000" w:themeColor="text1"/>
          <w:sz w:val="24"/>
          <w:szCs w:val="24"/>
          <w:lang w:val="fr-FR"/>
        </w:rPr>
        <w:t>de</w:t>
      </w:r>
      <w:r w:rsidRPr="00C56257">
        <w:rPr>
          <w:color w:val="000000" w:themeColor="text1"/>
          <w:spacing w:val="-4"/>
          <w:sz w:val="24"/>
          <w:szCs w:val="24"/>
          <w:lang w:val="fr-FR"/>
        </w:rPr>
        <w:t xml:space="preserve"> </w:t>
      </w:r>
      <w:proofErr w:type="spellStart"/>
      <w:r w:rsidRPr="00C56257">
        <w:rPr>
          <w:color w:val="000000" w:themeColor="text1"/>
          <w:sz w:val="24"/>
          <w:szCs w:val="24"/>
          <w:lang w:val="fr-FR"/>
        </w:rPr>
        <w:t>sărături</w:t>
      </w:r>
      <w:proofErr w:type="spellEnd"/>
      <w:r w:rsidRPr="00C56257">
        <w:rPr>
          <w:color w:val="000000" w:themeColor="text1"/>
          <w:spacing w:val="-4"/>
          <w:sz w:val="24"/>
          <w:szCs w:val="24"/>
          <w:lang w:val="fr-FR"/>
        </w:rPr>
        <w:t xml:space="preserve"> </w:t>
      </w:r>
      <w:proofErr w:type="spellStart"/>
      <w:r w:rsidRPr="00C56257">
        <w:rPr>
          <w:color w:val="000000" w:themeColor="text1"/>
          <w:sz w:val="24"/>
          <w:szCs w:val="24"/>
          <w:lang w:val="fr-FR"/>
        </w:rPr>
        <w:t>pe</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teritoriul</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României</w:t>
      </w:r>
      <w:proofErr w:type="spellEnd"/>
    </w:p>
    <w:p w14:paraId="68F66ED1" w14:textId="77777777" w:rsidR="008572F7" w:rsidRPr="00C56257" w:rsidRDefault="008572F7" w:rsidP="008572F7">
      <w:pPr>
        <w:pStyle w:val="BodyText"/>
        <w:ind w:left="293" w:right="255"/>
        <w:jc w:val="both"/>
        <w:rPr>
          <w:color w:val="000000" w:themeColor="text1"/>
          <w:sz w:val="24"/>
          <w:szCs w:val="24"/>
          <w:lang w:val="fr-FR"/>
        </w:rPr>
      </w:pPr>
      <w:proofErr w:type="spellStart"/>
      <w:r w:rsidRPr="00C56257">
        <w:rPr>
          <w:color w:val="000000" w:themeColor="text1"/>
          <w:sz w:val="24"/>
          <w:szCs w:val="24"/>
          <w:lang w:val="fr-FR"/>
        </w:rPr>
        <w:t>Unitățile</w:t>
      </w:r>
      <w:proofErr w:type="spellEnd"/>
      <w:r w:rsidRPr="00C56257">
        <w:rPr>
          <w:color w:val="000000" w:themeColor="text1"/>
          <w:sz w:val="24"/>
          <w:szCs w:val="24"/>
          <w:lang w:val="fr-FR"/>
        </w:rPr>
        <w:t xml:space="preserve"> majore </w:t>
      </w:r>
      <w:proofErr w:type="spellStart"/>
      <w:r w:rsidRPr="00C56257">
        <w:rPr>
          <w:color w:val="000000" w:themeColor="text1"/>
          <w:sz w:val="24"/>
          <w:szCs w:val="24"/>
          <w:lang w:val="fr-FR"/>
        </w:rPr>
        <w:t>fizico-geografice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care </w:t>
      </w:r>
      <w:proofErr w:type="spellStart"/>
      <w:r w:rsidRPr="00C56257">
        <w:rPr>
          <w:color w:val="000000" w:themeColor="text1"/>
          <w:sz w:val="24"/>
          <w:szCs w:val="24"/>
          <w:lang w:val="fr-FR"/>
        </w:rPr>
        <w:t>apar</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habitatele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sărături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teritoriul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României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Câmpia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Română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Podişul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Moldovei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Podişul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Getic</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Dealurile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Vest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Câmpia</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Vest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Podişul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Moldovei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Podişul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Dobrogei</w:t>
      </w:r>
      <w:proofErr w:type="spellEnd"/>
      <w:r w:rsidRPr="00C56257">
        <w:rPr>
          <w:color w:val="000000" w:themeColor="text1"/>
          <w:sz w:val="24"/>
          <w:szCs w:val="24"/>
          <w:lang w:val="fr-FR"/>
        </w:rPr>
        <w:t xml:space="preserve">, Delta </w:t>
      </w:r>
      <w:proofErr w:type="spellStart"/>
      <w:r w:rsidRPr="00C56257">
        <w:rPr>
          <w:color w:val="000000" w:themeColor="text1"/>
          <w:sz w:val="24"/>
          <w:szCs w:val="24"/>
          <w:lang w:val="fr-FR"/>
        </w:rPr>
        <w:t>Dunării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Lunca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Dunării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Litoralul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Mării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Negre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Depresiunea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Transilvaniei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Depresiunea</w:t>
      </w:r>
      <w:proofErr w:type="spellEnd"/>
      <w:r w:rsidRPr="00C56257">
        <w:rPr>
          <w:color w:val="000000" w:themeColor="text1"/>
          <w:sz w:val="24"/>
          <w:szCs w:val="24"/>
          <w:lang w:val="fr-FR"/>
        </w:rPr>
        <w:t xml:space="preserve"> Maramureş, </w:t>
      </w:r>
      <w:proofErr w:type="spellStart"/>
      <w:r w:rsidRPr="00C56257">
        <w:rPr>
          <w:color w:val="000000" w:themeColor="text1"/>
          <w:sz w:val="24"/>
          <w:szCs w:val="24"/>
          <w:lang w:val="fr-FR"/>
        </w:rPr>
        <w:t>Subcarpații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Moldovei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Subcarpații</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Curbură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Subcarpații</w:t>
      </w:r>
      <w:proofErr w:type="spellEnd"/>
      <w:r w:rsidRPr="00C56257">
        <w:rPr>
          <w:color w:val="000000" w:themeColor="text1"/>
          <w:spacing w:val="1"/>
          <w:sz w:val="24"/>
          <w:szCs w:val="24"/>
          <w:lang w:val="fr-FR"/>
        </w:rPr>
        <w:t xml:space="preserve"> </w:t>
      </w:r>
      <w:proofErr w:type="spellStart"/>
      <w:r w:rsidR="004242AA">
        <w:rPr>
          <w:color w:val="000000" w:themeColor="text1"/>
          <w:sz w:val="24"/>
          <w:szCs w:val="24"/>
          <w:lang w:val="fr-FR"/>
        </w:rPr>
        <w:t>Getici</w:t>
      </w:r>
      <w:proofErr w:type="spellEnd"/>
      <w:r w:rsidR="004242AA">
        <w:rPr>
          <w:color w:val="000000" w:themeColor="text1"/>
          <w:sz w:val="24"/>
          <w:szCs w:val="24"/>
          <w:lang w:val="fr-FR"/>
        </w:rPr>
        <w:t xml:space="preserve"> </w:t>
      </w:r>
      <w:proofErr w:type="spellStart"/>
      <w:r w:rsidRPr="00C56257">
        <w:rPr>
          <w:color w:val="000000" w:themeColor="text1"/>
          <w:sz w:val="24"/>
          <w:szCs w:val="24"/>
          <w:lang w:val="fr-FR"/>
        </w:rPr>
        <w:t>şi</w:t>
      </w:r>
      <w:proofErr w:type="spellEnd"/>
      <w:r w:rsidR="004242AA">
        <w:rPr>
          <w:color w:val="000000" w:themeColor="text1"/>
          <w:sz w:val="24"/>
          <w:szCs w:val="24"/>
          <w:lang w:val="fr-FR"/>
        </w:rPr>
        <w:t>,</w:t>
      </w:r>
      <w:r w:rsidRPr="00C56257">
        <w:rPr>
          <w:color w:val="000000" w:themeColor="text1"/>
          <w:sz w:val="24"/>
          <w:szCs w:val="24"/>
          <w:lang w:val="fr-FR"/>
        </w:rPr>
        <w:t xml:space="preserve"> </w:t>
      </w:r>
      <w:proofErr w:type="spellStart"/>
      <w:r w:rsidRPr="00C56257">
        <w:rPr>
          <w:color w:val="000000" w:themeColor="text1"/>
          <w:sz w:val="24"/>
          <w:szCs w:val="24"/>
          <w:lang w:val="fr-FR"/>
        </w:rPr>
        <w:t>cu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puține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excepții</w:t>
      </w:r>
      <w:proofErr w:type="spellEnd"/>
      <w:r w:rsidR="004242AA">
        <w:rPr>
          <w:color w:val="000000" w:themeColor="text1"/>
          <w:sz w:val="24"/>
          <w:szCs w:val="24"/>
          <w:lang w:val="fr-FR"/>
        </w:rPr>
        <w:t>,</w:t>
      </w:r>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depresiunile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intramontane</w:t>
      </w:r>
      <w:proofErr w:type="spellEnd"/>
      <w:r w:rsidRPr="00C56257">
        <w:rPr>
          <w:color w:val="000000" w:themeColor="text1"/>
          <w:sz w:val="24"/>
          <w:szCs w:val="24"/>
          <w:lang w:val="fr-FR"/>
        </w:rPr>
        <w:t>.</w:t>
      </w:r>
    </w:p>
    <w:p w14:paraId="51062BCE" w14:textId="77777777" w:rsidR="008572F7" w:rsidRPr="00C56257" w:rsidRDefault="008572F7" w:rsidP="008572F7">
      <w:pPr>
        <w:pStyle w:val="BodyText"/>
        <w:jc w:val="both"/>
        <w:rPr>
          <w:color w:val="000000" w:themeColor="text1"/>
          <w:sz w:val="24"/>
          <w:szCs w:val="24"/>
          <w:lang w:val="fr-FR"/>
        </w:rPr>
      </w:pPr>
    </w:p>
    <w:p w14:paraId="74CB5C8B" w14:textId="77777777" w:rsidR="008572F7" w:rsidRPr="00C56257" w:rsidRDefault="008572F7" w:rsidP="008572F7">
      <w:pPr>
        <w:pStyle w:val="BodyText"/>
        <w:ind w:left="293"/>
        <w:jc w:val="both"/>
        <w:rPr>
          <w:color w:val="000000" w:themeColor="text1"/>
          <w:sz w:val="24"/>
          <w:szCs w:val="24"/>
          <w:lang w:val="fr-FR"/>
        </w:rPr>
      </w:pPr>
      <w:proofErr w:type="spellStart"/>
      <w:r w:rsidRPr="00C56257">
        <w:rPr>
          <w:color w:val="000000" w:themeColor="text1"/>
          <w:sz w:val="24"/>
          <w:szCs w:val="24"/>
          <w:lang w:val="fr-FR"/>
        </w:rPr>
        <w:t>Trei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tipuri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diferite</w:t>
      </w:r>
      <w:proofErr w:type="spellEnd"/>
      <w:r w:rsidRPr="00C56257">
        <w:rPr>
          <w:color w:val="000000" w:themeColor="text1"/>
          <w:sz w:val="24"/>
          <w:szCs w:val="24"/>
          <w:lang w:val="fr-FR"/>
        </w:rPr>
        <w:t xml:space="preserve"> de</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sărături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există</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pe</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teritoriul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României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funcție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 xml:space="preserve">de </w:t>
      </w:r>
      <w:proofErr w:type="spellStart"/>
      <w:r w:rsidRPr="00C56257">
        <w:rPr>
          <w:color w:val="000000" w:themeColor="text1"/>
          <w:sz w:val="24"/>
          <w:szCs w:val="24"/>
          <w:lang w:val="fr-FR"/>
        </w:rPr>
        <w:t>geneza</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lor</w:t>
      </w:r>
      <w:proofErr w:type="spellEnd"/>
      <w:r w:rsidRPr="00C56257">
        <w:rPr>
          <w:color w:val="000000" w:themeColor="text1"/>
          <w:sz w:val="24"/>
          <w:szCs w:val="24"/>
          <w:lang w:val="fr-FR"/>
        </w:rPr>
        <w:t>:</w:t>
      </w:r>
    </w:p>
    <w:p w14:paraId="38AA311D" w14:textId="77777777" w:rsidR="008572F7" w:rsidRPr="00C56257" w:rsidRDefault="008572F7" w:rsidP="009E63E5">
      <w:pPr>
        <w:pStyle w:val="ListParagraph"/>
        <w:widowControl w:val="0"/>
        <w:numPr>
          <w:ilvl w:val="3"/>
          <w:numId w:val="167"/>
        </w:numPr>
        <w:tabs>
          <w:tab w:val="left" w:pos="1105"/>
        </w:tabs>
        <w:autoSpaceDE w:val="0"/>
        <w:autoSpaceDN w:val="0"/>
        <w:ind w:right="255" w:firstLine="566"/>
        <w:jc w:val="both"/>
        <w:rPr>
          <w:rFonts w:ascii="Times New Roman" w:hAnsi="Times New Roman" w:cs="Times New Roman"/>
          <w:color w:val="000000" w:themeColor="text1"/>
          <w:sz w:val="24"/>
          <w:szCs w:val="24"/>
          <w:lang w:val="fr-FR"/>
        </w:rPr>
      </w:pPr>
      <w:proofErr w:type="spellStart"/>
      <w:r w:rsidRPr="00C56257">
        <w:rPr>
          <w:rFonts w:ascii="Times New Roman" w:hAnsi="Times New Roman" w:cs="Times New Roman"/>
          <w:color w:val="000000" w:themeColor="text1"/>
          <w:sz w:val="24"/>
          <w:szCs w:val="24"/>
          <w:lang w:val="fr-FR"/>
        </w:rPr>
        <w:t>Sărăturile</w:t>
      </w:r>
      <w:proofErr w:type="spellEnd"/>
      <w:r w:rsidRPr="00C56257">
        <w:rPr>
          <w:rFonts w:ascii="Times New Roman" w:hAnsi="Times New Roman" w:cs="Times New Roman"/>
          <w:color w:val="000000" w:themeColor="text1"/>
          <w:sz w:val="24"/>
          <w:szCs w:val="24"/>
          <w:lang w:val="fr-FR"/>
        </w:rPr>
        <w:t xml:space="preserve"> de origine </w:t>
      </w:r>
      <w:proofErr w:type="spellStart"/>
      <w:r w:rsidRPr="00C56257">
        <w:rPr>
          <w:rFonts w:ascii="Times New Roman" w:hAnsi="Times New Roman" w:cs="Times New Roman"/>
          <w:color w:val="000000" w:themeColor="text1"/>
          <w:sz w:val="24"/>
          <w:szCs w:val="24"/>
          <w:lang w:val="fr-FR"/>
        </w:rPr>
        <w:t>climatică</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apar</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în</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condițiile</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unui</w:t>
      </w:r>
      <w:proofErr w:type="spellEnd"/>
      <w:r w:rsidRPr="00C56257">
        <w:rPr>
          <w:rFonts w:ascii="Times New Roman" w:hAnsi="Times New Roman" w:cs="Times New Roman"/>
          <w:color w:val="000000" w:themeColor="text1"/>
          <w:sz w:val="24"/>
          <w:szCs w:val="24"/>
          <w:lang w:val="fr-FR"/>
        </w:rPr>
        <w:t xml:space="preserve"> climat </w:t>
      </w:r>
      <w:proofErr w:type="spellStart"/>
      <w:r w:rsidRPr="00C56257">
        <w:rPr>
          <w:rFonts w:ascii="Times New Roman" w:hAnsi="Times New Roman" w:cs="Times New Roman"/>
          <w:color w:val="000000" w:themeColor="text1"/>
          <w:sz w:val="24"/>
          <w:szCs w:val="24"/>
          <w:lang w:val="fr-FR"/>
        </w:rPr>
        <w:t>semiarid</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în</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silvostepa</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şi</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stepa</w:t>
      </w:r>
      <w:proofErr w:type="spellEnd"/>
      <w:r w:rsidRPr="00C56257">
        <w:rPr>
          <w:rFonts w:ascii="Times New Roman" w:hAnsi="Times New Roman" w:cs="Times New Roman"/>
          <w:color w:val="000000" w:themeColor="text1"/>
          <w:spacing w:val="-57"/>
          <w:sz w:val="24"/>
          <w:szCs w:val="24"/>
          <w:lang w:val="fr-FR"/>
        </w:rPr>
        <w:t xml:space="preserve"> </w:t>
      </w:r>
      <w:proofErr w:type="spellStart"/>
      <w:r w:rsidRPr="00C56257">
        <w:rPr>
          <w:rFonts w:ascii="Times New Roman" w:hAnsi="Times New Roman" w:cs="Times New Roman"/>
          <w:color w:val="000000" w:themeColor="text1"/>
          <w:sz w:val="24"/>
          <w:szCs w:val="24"/>
          <w:lang w:val="fr-FR"/>
        </w:rPr>
        <w:t>din</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Câmpia</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Română</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Podişul</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Moldovei</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Dobrogea</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Câmpia</w:t>
      </w:r>
      <w:proofErr w:type="spellEnd"/>
      <w:r w:rsidRPr="00C56257">
        <w:rPr>
          <w:rFonts w:ascii="Times New Roman" w:hAnsi="Times New Roman" w:cs="Times New Roman"/>
          <w:color w:val="000000" w:themeColor="text1"/>
          <w:sz w:val="24"/>
          <w:szCs w:val="24"/>
          <w:lang w:val="fr-FR"/>
        </w:rPr>
        <w:t xml:space="preserve"> de </w:t>
      </w:r>
      <w:proofErr w:type="spellStart"/>
      <w:r w:rsidRPr="00C56257">
        <w:rPr>
          <w:rFonts w:ascii="Times New Roman" w:hAnsi="Times New Roman" w:cs="Times New Roman"/>
          <w:color w:val="000000" w:themeColor="text1"/>
          <w:sz w:val="24"/>
          <w:szCs w:val="24"/>
          <w:lang w:val="fr-FR"/>
        </w:rPr>
        <w:t>Vest</w:t>
      </w:r>
      <w:proofErr w:type="spellEnd"/>
      <w:r w:rsidRPr="00C56257">
        <w:rPr>
          <w:rFonts w:ascii="Times New Roman" w:hAnsi="Times New Roman" w:cs="Times New Roman"/>
          <w:color w:val="000000" w:themeColor="text1"/>
          <w:sz w:val="24"/>
          <w:szCs w:val="24"/>
          <w:lang w:val="fr-FR"/>
        </w:rPr>
        <w:t xml:space="preserve">, Delta </w:t>
      </w:r>
      <w:proofErr w:type="spellStart"/>
      <w:r w:rsidRPr="00C56257">
        <w:rPr>
          <w:rFonts w:ascii="Times New Roman" w:hAnsi="Times New Roman" w:cs="Times New Roman"/>
          <w:color w:val="000000" w:themeColor="text1"/>
          <w:sz w:val="24"/>
          <w:szCs w:val="24"/>
          <w:lang w:val="fr-FR"/>
        </w:rPr>
        <w:t>Dunării</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Lunca</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Dunării</w:t>
      </w:r>
      <w:proofErr w:type="spellEnd"/>
      <w:r w:rsidRPr="00C56257">
        <w:rPr>
          <w:rFonts w:ascii="Times New Roman" w:hAnsi="Times New Roman" w:cs="Times New Roman"/>
          <w:color w:val="000000" w:themeColor="text1"/>
          <w:sz w:val="24"/>
          <w:szCs w:val="24"/>
          <w:lang w:val="fr-FR"/>
        </w:rPr>
        <w:t>,</w:t>
      </w:r>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arealul</w:t>
      </w:r>
      <w:proofErr w:type="spellEnd"/>
      <w:r w:rsidRPr="00C56257">
        <w:rPr>
          <w:rFonts w:ascii="Times New Roman" w:hAnsi="Times New Roman" w:cs="Times New Roman"/>
          <w:color w:val="000000" w:themeColor="text1"/>
          <w:spacing w:val="-1"/>
          <w:sz w:val="24"/>
          <w:szCs w:val="24"/>
          <w:lang w:val="fr-FR"/>
        </w:rPr>
        <w:t xml:space="preserve"> </w:t>
      </w:r>
      <w:r w:rsidRPr="00C56257">
        <w:rPr>
          <w:rFonts w:ascii="Times New Roman" w:hAnsi="Times New Roman" w:cs="Times New Roman"/>
          <w:color w:val="000000" w:themeColor="text1"/>
          <w:sz w:val="24"/>
          <w:szCs w:val="24"/>
          <w:lang w:val="fr-FR"/>
        </w:rPr>
        <w:t>de</w:t>
      </w:r>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litoral</w:t>
      </w:r>
      <w:proofErr w:type="spellEnd"/>
      <w:r w:rsidRPr="00C56257">
        <w:rPr>
          <w:rFonts w:ascii="Times New Roman" w:hAnsi="Times New Roman" w:cs="Times New Roman"/>
          <w:color w:val="000000" w:themeColor="text1"/>
          <w:spacing w:val="2"/>
          <w:sz w:val="24"/>
          <w:szCs w:val="24"/>
          <w:lang w:val="fr-FR"/>
        </w:rPr>
        <w:t xml:space="preserve"> </w:t>
      </w:r>
      <w:r w:rsidRPr="00C56257">
        <w:rPr>
          <w:rFonts w:ascii="Times New Roman" w:hAnsi="Times New Roman" w:cs="Times New Roman"/>
          <w:color w:val="000000" w:themeColor="text1"/>
          <w:sz w:val="24"/>
          <w:szCs w:val="24"/>
          <w:lang w:val="fr-FR"/>
        </w:rPr>
        <w:t xml:space="preserve">al </w:t>
      </w:r>
      <w:proofErr w:type="spellStart"/>
      <w:r w:rsidRPr="00C56257">
        <w:rPr>
          <w:rFonts w:ascii="Times New Roman" w:hAnsi="Times New Roman" w:cs="Times New Roman"/>
          <w:color w:val="000000" w:themeColor="text1"/>
          <w:sz w:val="24"/>
          <w:szCs w:val="24"/>
          <w:lang w:val="fr-FR"/>
        </w:rPr>
        <w:t>Mării</w:t>
      </w:r>
      <w:proofErr w:type="spellEnd"/>
      <w:r w:rsidRPr="00C56257">
        <w:rPr>
          <w:rFonts w:ascii="Times New Roman" w:hAnsi="Times New Roman" w:cs="Times New Roman"/>
          <w:color w:val="000000" w:themeColor="text1"/>
          <w:spacing w:val="3"/>
          <w:sz w:val="24"/>
          <w:szCs w:val="24"/>
          <w:lang w:val="fr-FR"/>
        </w:rPr>
        <w:t xml:space="preserve"> </w:t>
      </w:r>
      <w:proofErr w:type="spellStart"/>
      <w:r w:rsidRPr="00C56257">
        <w:rPr>
          <w:rFonts w:ascii="Times New Roman" w:hAnsi="Times New Roman" w:cs="Times New Roman"/>
          <w:color w:val="000000" w:themeColor="text1"/>
          <w:sz w:val="24"/>
          <w:szCs w:val="24"/>
          <w:lang w:val="fr-FR"/>
        </w:rPr>
        <w:t>Negre</w:t>
      </w:r>
      <w:proofErr w:type="spellEnd"/>
      <w:r w:rsidRPr="00C56257">
        <w:rPr>
          <w:rFonts w:ascii="Times New Roman" w:hAnsi="Times New Roman" w:cs="Times New Roman"/>
          <w:color w:val="000000" w:themeColor="text1"/>
          <w:sz w:val="24"/>
          <w:szCs w:val="24"/>
          <w:lang w:val="fr-FR"/>
        </w:rPr>
        <w:t>.</w:t>
      </w:r>
    </w:p>
    <w:p w14:paraId="742AFFAC" w14:textId="77777777" w:rsidR="008572F7" w:rsidRPr="00C56257" w:rsidRDefault="008572F7" w:rsidP="009E63E5">
      <w:pPr>
        <w:pStyle w:val="ListParagraph"/>
        <w:widowControl w:val="0"/>
        <w:numPr>
          <w:ilvl w:val="3"/>
          <w:numId w:val="167"/>
        </w:numPr>
        <w:tabs>
          <w:tab w:val="left" w:pos="1220"/>
        </w:tabs>
        <w:autoSpaceDE w:val="0"/>
        <w:autoSpaceDN w:val="0"/>
        <w:ind w:right="253" w:firstLine="566"/>
        <w:jc w:val="both"/>
        <w:rPr>
          <w:rFonts w:ascii="Times New Roman" w:hAnsi="Times New Roman" w:cs="Times New Roman"/>
          <w:color w:val="000000" w:themeColor="text1"/>
          <w:sz w:val="24"/>
          <w:szCs w:val="24"/>
          <w:lang w:val="fr-FR"/>
        </w:rPr>
      </w:pPr>
      <w:proofErr w:type="spellStart"/>
      <w:r w:rsidRPr="00C56257">
        <w:rPr>
          <w:rFonts w:ascii="Times New Roman" w:hAnsi="Times New Roman" w:cs="Times New Roman"/>
          <w:color w:val="000000" w:themeColor="text1"/>
          <w:sz w:val="24"/>
          <w:szCs w:val="24"/>
          <w:lang w:val="fr-FR"/>
        </w:rPr>
        <w:t>Sărăturile</w:t>
      </w:r>
      <w:proofErr w:type="spellEnd"/>
      <w:r w:rsidRPr="00C56257">
        <w:rPr>
          <w:rFonts w:ascii="Times New Roman" w:hAnsi="Times New Roman" w:cs="Times New Roman"/>
          <w:color w:val="000000" w:themeColor="text1"/>
          <w:sz w:val="24"/>
          <w:szCs w:val="24"/>
          <w:lang w:val="fr-FR"/>
        </w:rPr>
        <w:t xml:space="preserve"> de</w:t>
      </w:r>
      <w:r w:rsidRPr="00C56257">
        <w:rPr>
          <w:rFonts w:ascii="Times New Roman" w:hAnsi="Times New Roman" w:cs="Times New Roman"/>
          <w:color w:val="000000" w:themeColor="text1"/>
          <w:spacing w:val="1"/>
          <w:sz w:val="24"/>
          <w:szCs w:val="24"/>
          <w:lang w:val="fr-FR"/>
        </w:rPr>
        <w:t xml:space="preserve"> </w:t>
      </w:r>
      <w:r w:rsidRPr="00C56257">
        <w:rPr>
          <w:rFonts w:ascii="Times New Roman" w:hAnsi="Times New Roman" w:cs="Times New Roman"/>
          <w:color w:val="000000" w:themeColor="text1"/>
          <w:sz w:val="24"/>
          <w:szCs w:val="24"/>
          <w:lang w:val="fr-FR"/>
        </w:rPr>
        <w:t>origine</w:t>
      </w:r>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geologică</w:t>
      </w:r>
      <w:proofErr w:type="spellEnd"/>
      <w:r w:rsidRPr="00C56257">
        <w:rPr>
          <w:rFonts w:ascii="Times New Roman" w:hAnsi="Times New Roman" w:cs="Times New Roman"/>
          <w:color w:val="000000" w:themeColor="text1"/>
          <w:sz w:val="24"/>
          <w:szCs w:val="24"/>
          <w:lang w:val="fr-FR"/>
        </w:rPr>
        <w:t>,</w:t>
      </w:r>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apărute</w:t>
      </w:r>
      <w:proofErr w:type="spellEnd"/>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în</w:t>
      </w:r>
      <w:proofErr w:type="spellEnd"/>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arealele</w:t>
      </w:r>
      <w:proofErr w:type="spellEnd"/>
      <w:r w:rsidRPr="00C56257">
        <w:rPr>
          <w:rFonts w:ascii="Times New Roman" w:hAnsi="Times New Roman" w:cs="Times New Roman"/>
          <w:color w:val="000000" w:themeColor="text1"/>
          <w:spacing w:val="1"/>
          <w:sz w:val="24"/>
          <w:szCs w:val="24"/>
          <w:lang w:val="fr-FR"/>
        </w:rPr>
        <w:t xml:space="preserve"> </w:t>
      </w:r>
      <w:r w:rsidRPr="00C56257">
        <w:rPr>
          <w:rFonts w:ascii="Times New Roman" w:hAnsi="Times New Roman" w:cs="Times New Roman"/>
          <w:color w:val="000000" w:themeColor="text1"/>
          <w:sz w:val="24"/>
          <w:szCs w:val="24"/>
          <w:lang w:val="fr-FR"/>
        </w:rPr>
        <w:t>de</w:t>
      </w:r>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cute</w:t>
      </w:r>
      <w:proofErr w:type="spellEnd"/>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diapire</w:t>
      </w:r>
      <w:proofErr w:type="spellEnd"/>
      <w:r w:rsidRPr="00C56257">
        <w:rPr>
          <w:rFonts w:ascii="Times New Roman" w:hAnsi="Times New Roman" w:cs="Times New Roman"/>
          <w:color w:val="000000" w:themeColor="text1"/>
          <w:sz w:val="24"/>
          <w:szCs w:val="24"/>
          <w:lang w:val="fr-FR"/>
        </w:rPr>
        <w:t>:</w:t>
      </w:r>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Depresiunea</w:t>
      </w:r>
      <w:proofErr w:type="spellEnd"/>
      <w:r w:rsidRPr="00C56257">
        <w:rPr>
          <w:rFonts w:ascii="Times New Roman" w:hAnsi="Times New Roman" w:cs="Times New Roman"/>
          <w:color w:val="000000" w:themeColor="text1"/>
          <w:spacing w:val="-57"/>
          <w:sz w:val="24"/>
          <w:szCs w:val="24"/>
          <w:lang w:val="fr-FR"/>
        </w:rPr>
        <w:t xml:space="preserve"> </w:t>
      </w:r>
      <w:proofErr w:type="spellStart"/>
      <w:r w:rsidRPr="00C56257">
        <w:rPr>
          <w:rFonts w:ascii="Times New Roman" w:hAnsi="Times New Roman" w:cs="Times New Roman"/>
          <w:color w:val="000000" w:themeColor="text1"/>
          <w:sz w:val="24"/>
          <w:szCs w:val="24"/>
          <w:lang w:val="fr-FR"/>
        </w:rPr>
        <w:t>Transilvaniei</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Depresiunea</w:t>
      </w:r>
      <w:proofErr w:type="spellEnd"/>
      <w:r w:rsidRPr="00C56257">
        <w:rPr>
          <w:rFonts w:ascii="Times New Roman" w:hAnsi="Times New Roman" w:cs="Times New Roman"/>
          <w:color w:val="000000" w:themeColor="text1"/>
          <w:sz w:val="24"/>
          <w:szCs w:val="24"/>
          <w:lang w:val="fr-FR"/>
        </w:rPr>
        <w:t xml:space="preserve"> Maramureş, </w:t>
      </w:r>
      <w:proofErr w:type="spellStart"/>
      <w:r w:rsidRPr="00C56257">
        <w:rPr>
          <w:rFonts w:ascii="Times New Roman" w:hAnsi="Times New Roman" w:cs="Times New Roman"/>
          <w:color w:val="000000" w:themeColor="text1"/>
          <w:sz w:val="24"/>
          <w:szCs w:val="24"/>
          <w:lang w:val="fr-FR"/>
        </w:rPr>
        <w:t>Subcarpații</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Moldovei</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Subcarpații</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Getici</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Subcarpații</w:t>
      </w:r>
      <w:proofErr w:type="spellEnd"/>
      <w:r w:rsidRPr="00C56257">
        <w:rPr>
          <w:rFonts w:ascii="Times New Roman" w:hAnsi="Times New Roman" w:cs="Times New Roman"/>
          <w:color w:val="000000" w:themeColor="text1"/>
          <w:sz w:val="24"/>
          <w:szCs w:val="24"/>
          <w:lang w:val="fr-FR"/>
        </w:rPr>
        <w:t xml:space="preserve"> de</w:t>
      </w:r>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Curbură</w:t>
      </w:r>
      <w:proofErr w:type="spellEnd"/>
      <w:r w:rsidRPr="00C56257">
        <w:rPr>
          <w:rFonts w:ascii="Times New Roman" w:hAnsi="Times New Roman" w:cs="Times New Roman"/>
          <w:color w:val="000000" w:themeColor="text1"/>
          <w:sz w:val="24"/>
          <w:szCs w:val="24"/>
          <w:lang w:val="fr-FR"/>
        </w:rPr>
        <w:t>.</w:t>
      </w:r>
    </w:p>
    <w:p w14:paraId="309F5708" w14:textId="77777777" w:rsidR="008572F7" w:rsidRPr="00C56257" w:rsidRDefault="008572F7" w:rsidP="009E63E5">
      <w:pPr>
        <w:pStyle w:val="ListParagraph"/>
        <w:widowControl w:val="0"/>
        <w:numPr>
          <w:ilvl w:val="3"/>
          <w:numId w:val="167"/>
        </w:numPr>
        <w:tabs>
          <w:tab w:val="left" w:pos="1119"/>
        </w:tabs>
        <w:autoSpaceDE w:val="0"/>
        <w:autoSpaceDN w:val="0"/>
        <w:spacing w:before="64"/>
        <w:ind w:right="257" w:firstLine="566"/>
        <w:jc w:val="both"/>
        <w:rPr>
          <w:rFonts w:ascii="Times New Roman" w:hAnsi="Times New Roman" w:cs="Times New Roman"/>
          <w:color w:val="000000" w:themeColor="text1"/>
          <w:sz w:val="24"/>
          <w:szCs w:val="24"/>
          <w:lang w:val="fr-FR"/>
        </w:rPr>
      </w:pPr>
      <w:proofErr w:type="spellStart"/>
      <w:r w:rsidRPr="00C56257">
        <w:rPr>
          <w:rFonts w:ascii="Times New Roman" w:hAnsi="Times New Roman" w:cs="Times New Roman"/>
          <w:color w:val="000000" w:themeColor="text1"/>
          <w:sz w:val="24"/>
          <w:szCs w:val="24"/>
        </w:rPr>
        <w:t>Sărăturile</w:t>
      </w:r>
      <w:proofErr w:type="spellEnd"/>
      <w:r w:rsidRPr="00C56257">
        <w:rPr>
          <w:rFonts w:ascii="Times New Roman" w:hAnsi="Times New Roman" w:cs="Times New Roman"/>
          <w:color w:val="000000" w:themeColor="text1"/>
          <w:sz w:val="24"/>
          <w:szCs w:val="24"/>
        </w:rPr>
        <w:t xml:space="preserve"> marine sunt </w:t>
      </w:r>
      <w:proofErr w:type="spellStart"/>
      <w:r w:rsidRPr="00C56257">
        <w:rPr>
          <w:rFonts w:ascii="Times New Roman" w:hAnsi="Times New Roman" w:cs="Times New Roman"/>
          <w:color w:val="000000" w:themeColor="text1"/>
          <w:sz w:val="24"/>
          <w:szCs w:val="24"/>
        </w:rPr>
        <w:t>localizate</w:t>
      </w:r>
      <w:proofErr w:type="spellEnd"/>
      <w:r w:rsidRPr="00C56257">
        <w:rPr>
          <w:rFonts w:ascii="Times New Roman" w:hAnsi="Times New Roman" w:cs="Times New Roman"/>
          <w:color w:val="000000" w:themeColor="text1"/>
          <w:sz w:val="24"/>
          <w:szCs w:val="24"/>
        </w:rPr>
        <w:t xml:space="preserve"> pe </w:t>
      </w:r>
      <w:proofErr w:type="spellStart"/>
      <w:r w:rsidRPr="00C56257">
        <w:rPr>
          <w:rFonts w:ascii="Times New Roman" w:hAnsi="Times New Roman" w:cs="Times New Roman"/>
          <w:color w:val="000000" w:themeColor="text1"/>
          <w:sz w:val="24"/>
          <w:szCs w:val="24"/>
        </w:rPr>
        <w:t>țărmul</w:t>
      </w:r>
      <w:proofErr w:type="spellEnd"/>
      <w:r w:rsidRPr="00C56257">
        <w:rPr>
          <w:rFonts w:ascii="Times New Roman" w:hAnsi="Times New Roman" w:cs="Times New Roman"/>
          <w:color w:val="000000" w:themeColor="text1"/>
          <w:sz w:val="24"/>
          <w:szCs w:val="24"/>
        </w:rPr>
        <w:t xml:space="preserve"> </w:t>
      </w:r>
      <w:proofErr w:type="spellStart"/>
      <w:r w:rsidRPr="00C56257">
        <w:rPr>
          <w:rFonts w:ascii="Times New Roman" w:hAnsi="Times New Roman" w:cs="Times New Roman"/>
          <w:color w:val="000000" w:themeColor="text1"/>
          <w:sz w:val="24"/>
          <w:szCs w:val="24"/>
        </w:rPr>
        <w:t>Mării</w:t>
      </w:r>
      <w:proofErr w:type="spellEnd"/>
      <w:r w:rsidRPr="00C56257">
        <w:rPr>
          <w:rFonts w:ascii="Times New Roman" w:hAnsi="Times New Roman" w:cs="Times New Roman"/>
          <w:color w:val="000000" w:themeColor="text1"/>
          <w:sz w:val="24"/>
          <w:szCs w:val="24"/>
        </w:rPr>
        <w:t xml:space="preserve"> Negre. </w:t>
      </w:r>
      <w:proofErr w:type="spellStart"/>
      <w:r w:rsidRPr="00C56257">
        <w:rPr>
          <w:rFonts w:ascii="Times New Roman" w:hAnsi="Times New Roman" w:cs="Times New Roman"/>
          <w:color w:val="000000" w:themeColor="text1"/>
          <w:sz w:val="24"/>
          <w:szCs w:val="24"/>
          <w:lang w:val="fr-FR"/>
        </w:rPr>
        <w:t>În</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apariția</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acestora</w:t>
      </w:r>
      <w:proofErr w:type="spellEnd"/>
      <w:r w:rsidRPr="00C56257">
        <w:rPr>
          <w:rFonts w:ascii="Times New Roman" w:hAnsi="Times New Roman" w:cs="Times New Roman"/>
          <w:color w:val="000000" w:themeColor="text1"/>
          <w:sz w:val="24"/>
          <w:szCs w:val="24"/>
          <w:lang w:val="fr-FR"/>
        </w:rPr>
        <w:t xml:space="preserve">, un </w:t>
      </w:r>
      <w:proofErr w:type="spellStart"/>
      <w:r w:rsidRPr="00C56257">
        <w:rPr>
          <w:rFonts w:ascii="Times New Roman" w:hAnsi="Times New Roman" w:cs="Times New Roman"/>
          <w:color w:val="000000" w:themeColor="text1"/>
          <w:sz w:val="24"/>
          <w:szCs w:val="24"/>
          <w:lang w:val="fr-FR"/>
        </w:rPr>
        <w:t>rol</w:t>
      </w:r>
      <w:proofErr w:type="spellEnd"/>
      <w:r w:rsidRPr="00C56257">
        <w:rPr>
          <w:rFonts w:ascii="Times New Roman" w:hAnsi="Times New Roman" w:cs="Times New Roman"/>
          <w:color w:val="000000" w:themeColor="text1"/>
          <w:sz w:val="24"/>
          <w:szCs w:val="24"/>
          <w:lang w:val="fr-FR"/>
        </w:rPr>
        <w:t xml:space="preserve"> major</w:t>
      </w:r>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revine</w:t>
      </w:r>
      <w:proofErr w:type="spellEnd"/>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procesului</w:t>
      </w:r>
      <w:proofErr w:type="spellEnd"/>
      <w:r w:rsidRPr="00C56257">
        <w:rPr>
          <w:rFonts w:ascii="Times New Roman" w:hAnsi="Times New Roman" w:cs="Times New Roman"/>
          <w:color w:val="000000" w:themeColor="text1"/>
          <w:spacing w:val="1"/>
          <w:sz w:val="24"/>
          <w:szCs w:val="24"/>
          <w:lang w:val="fr-FR"/>
        </w:rPr>
        <w:t xml:space="preserve"> </w:t>
      </w:r>
      <w:r w:rsidRPr="00C56257">
        <w:rPr>
          <w:rFonts w:ascii="Times New Roman" w:hAnsi="Times New Roman" w:cs="Times New Roman"/>
          <w:color w:val="000000" w:themeColor="text1"/>
          <w:sz w:val="24"/>
          <w:szCs w:val="24"/>
          <w:lang w:val="fr-FR"/>
        </w:rPr>
        <w:t>de</w:t>
      </w:r>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impulverizație</w:t>
      </w:r>
      <w:proofErr w:type="spellEnd"/>
      <w:r w:rsidRPr="00C56257">
        <w:rPr>
          <w:rFonts w:ascii="Times New Roman" w:hAnsi="Times New Roman" w:cs="Times New Roman"/>
          <w:color w:val="000000" w:themeColor="text1"/>
          <w:spacing w:val="1"/>
          <w:sz w:val="24"/>
          <w:szCs w:val="24"/>
          <w:lang w:val="fr-FR"/>
        </w:rPr>
        <w:t xml:space="preserve"> </w:t>
      </w:r>
      <w:r w:rsidRPr="00C56257">
        <w:rPr>
          <w:rFonts w:ascii="Times New Roman" w:hAnsi="Times New Roman" w:cs="Times New Roman"/>
          <w:color w:val="000000" w:themeColor="text1"/>
          <w:sz w:val="24"/>
          <w:szCs w:val="24"/>
          <w:lang w:val="fr-FR"/>
        </w:rPr>
        <w:t>(</w:t>
      </w:r>
      <w:proofErr w:type="spellStart"/>
      <w:r w:rsidRPr="00C56257">
        <w:rPr>
          <w:rFonts w:ascii="Times New Roman" w:hAnsi="Times New Roman" w:cs="Times New Roman"/>
          <w:color w:val="000000" w:themeColor="text1"/>
          <w:sz w:val="24"/>
          <w:szCs w:val="24"/>
          <w:lang w:val="fr-FR"/>
        </w:rPr>
        <w:t>acumularea</w:t>
      </w:r>
      <w:proofErr w:type="spellEnd"/>
      <w:r w:rsidRPr="00C56257">
        <w:rPr>
          <w:rFonts w:ascii="Times New Roman" w:hAnsi="Times New Roman" w:cs="Times New Roman"/>
          <w:color w:val="000000" w:themeColor="text1"/>
          <w:spacing w:val="1"/>
          <w:sz w:val="24"/>
          <w:szCs w:val="24"/>
          <w:lang w:val="fr-FR"/>
        </w:rPr>
        <w:t xml:space="preserve"> </w:t>
      </w:r>
      <w:r w:rsidRPr="00C56257">
        <w:rPr>
          <w:rFonts w:ascii="Times New Roman" w:hAnsi="Times New Roman" w:cs="Times New Roman"/>
          <w:color w:val="000000" w:themeColor="text1"/>
          <w:sz w:val="24"/>
          <w:szCs w:val="24"/>
          <w:lang w:val="fr-FR"/>
        </w:rPr>
        <w:t>de</w:t>
      </w:r>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săruri</w:t>
      </w:r>
      <w:proofErr w:type="spellEnd"/>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datorită</w:t>
      </w:r>
      <w:proofErr w:type="spellEnd"/>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aerosolilor</w:t>
      </w:r>
      <w:proofErr w:type="spellEnd"/>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marini</w:t>
      </w:r>
      <w:proofErr w:type="spellEnd"/>
      <w:r w:rsidRPr="00C56257">
        <w:rPr>
          <w:rFonts w:ascii="Times New Roman" w:hAnsi="Times New Roman" w:cs="Times New Roman"/>
          <w:color w:val="000000" w:themeColor="text1"/>
          <w:sz w:val="24"/>
          <w:szCs w:val="24"/>
          <w:lang w:val="fr-FR"/>
        </w:rPr>
        <w:t>)</w:t>
      </w:r>
      <w:r w:rsidRPr="00C56257">
        <w:rPr>
          <w:rFonts w:ascii="Times New Roman" w:hAnsi="Times New Roman" w:cs="Times New Roman"/>
          <w:color w:val="000000" w:themeColor="text1"/>
          <w:spacing w:val="60"/>
          <w:sz w:val="24"/>
          <w:szCs w:val="24"/>
          <w:lang w:val="fr-FR"/>
        </w:rPr>
        <w:t xml:space="preserve"> </w:t>
      </w:r>
      <w:r w:rsidRPr="00C56257">
        <w:rPr>
          <w:rFonts w:ascii="Times New Roman" w:hAnsi="Times New Roman" w:cs="Times New Roman"/>
          <w:color w:val="000000" w:themeColor="text1"/>
          <w:sz w:val="24"/>
          <w:szCs w:val="24"/>
          <w:lang w:val="fr-FR"/>
        </w:rPr>
        <w:t>(</w:t>
      </w:r>
      <w:proofErr w:type="spellStart"/>
      <w:r w:rsidRPr="00C56257">
        <w:rPr>
          <w:rFonts w:ascii="Times New Roman" w:hAnsi="Times New Roman" w:cs="Times New Roman"/>
          <w:color w:val="000000" w:themeColor="text1"/>
          <w:sz w:val="24"/>
          <w:szCs w:val="24"/>
          <w:lang w:val="fr-FR"/>
        </w:rPr>
        <w:t>Florea</w:t>
      </w:r>
      <w:proofErr w:type="spellEnd"/>
      <w:r w:rsidRPr="00C56257">
        <w:rPr>
          <w:rFonts w:ascii="Times New Roman" w:hAnsi="Times New Roman" w:cs="Times New Roman"/>
          <w:color w:val="000000" w:themeColor="text1"/>
          <w:sz w:val="24"/>
          <w:szCs w:val="24"/>
          <w:lang w:val="fr-FR"/>
        </w:rPr>
        <w:t>,</w:t>
      </w:r>
      <w:r w:rsidRPr="00C56257">
        <w:rPr>
          <w:rFonts w:ascii="Times New Roman" w:hAnsi="Times New Roman" w:cs="Times New Roman"/>
          <w:color w:val="000000" w:themeColor="text1"/>
          <w:spacing w:val="-57"/>
          <w:sz w:val="24"/>
          <w:szCs w:val="24"/>
          <w:lang w:val="fr-FR"/>
        </w:rPr>
        <w:t xml:space="preserve"> </w:t>
      </w:r>
      <w:r w:rsidRPr="00C56257">
        <w:rPr>
          <w:rFonts w:ascii="Times New Roman" w:hAnsi="Times New Roman" w:cs="Times New Roman"/>
          <w:color w:val="000000" w:themeColor="text1"/>
          <w:sz w:val="24"/>
          <w:szCs w:val="24"/>
          <w:lang w:val="fr-FR"/>
        </w:rPr>
        <w:t>1976).</w:t>
      </w:r>
    </w:p>
    <w:p w14:paraId="6BDA96F6" w14:textId="77777777" w:rsidR="008572F7" w:rsidRPr="00C56257" w:rsidRDefault="008572F7" w:rsidP="008572F7">
      <w:pPr>
        <w:pStyle w:val="BodyText"/>
        <w:jc w:val="both"/>
        <w:rPr>
          <w:color w:val="000000" w:themeColor="text1"/>
          <w:sz w:val="24"/>
          <w:szCs w:val="24"/>
          <w:lang w:val="fr-FR"/>
        </w:rPr>
      </w:pPr>
    </w:p>
    <w:p w14:paraId="3BDE3907" w14:textId="77777777" w:rsidR="008572F7" w:rsidRPr="00C56257" w:rsidRDefault="008572F7" w:rsidP="008572F7">
      <w:pPr>
        <w:pStyle w:val="BodyText"/>
        <w:ind w:left="293" w:right="259"/>
        <w:jc w:val="both"/>
        <w:rPr>
          <w:color w:val="000000" w:themeColor="text1"/>
          <w:sz w:val="24"/>
          <w:szCs w:val="24"/>
          <w:lang w:val="fr-FR"/>
        </w:rPr>
      </w:pP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toate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cele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trei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cazuri</w:t>
      </w:r>
      <w:proofErr w:type="spellEnd"/>
      <w:r w:rsidRPr="00C56257">
        <w:rPr>
          <w:color w:val="000000" w:themeColor="text1"/>
          <w:sz w:val="24"/>
          <w:szCs w:val="24"/>
          <w:lang w:val="fr-FR"/>
        </w:rPr>
        <w:t xml:space="preserve"> este </w:t>
      </w:r>
      <w:proofErr w:type="spellStart"/>
      <w:r w:rsidRPr="00C56257">
        <w:rPr>
          <w:color w:val="000000" w:themeColor="text1"/>
          <w:sz w:val="24"/>
          <w:szCs w:val="24"/>
          <w:lang w:val="fr-FR"/>
        </w:rPr>
        <w:t>foarte</w:t>
      </w:r>
      <w:proofErr w:type="spellEnd"/>
      <w:r w:rsidRPr="00C56257">
        <w:rPr>
          <w:color w:val="000000" w:themeColor="text1"/>
          <w:sz w:val="24"/>
          <w:szCs w:val="24"/>
          <w:lang w:val="fr-FR"/>
        </w:rPr>
        <w:t xml:space="preserve"> important </w:t>
      </w:r>
      <w:proofErr w:type="spellStart"/>
      <w:r w:rsidRPr="00C56257">
        <w:rPr>
          <w:color w:val="000000" w:themeColor="text1"/>
          <w:sz w:val="24"/>
          <w:szCs w:val="24"/>
          <w:lang w:val="fr-FR"/>
        </w:rPr>
        <w:t>şi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rolul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apei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freatice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fără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aportul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acesteia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nefiind</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posibile</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procesele</w:t>
      </w:r>
      <w:proofErr w:type="spellEnd"/>
      <w:r w:rsidRPr="00C56257">
        <w:rPr>
          <w:color w:val="000000" w:themeColor="text1"/>
          <w:sz w:val="24"/>
          <w:szCs w:val="24"/>
          <w:lang w:val="fr-FR"/>
        </w:rPr>
        <w:t xml:space="preserve"> 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salinizare</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 xml:space="preserve">ale </w:t>
      </w:r>
      <w:proofErr w:type="spellStart"/>
      <w:r w:rsidRPr="00C56257">
        <w:rPr>
          <w:color w:val="000000" w:themeColor="text1"/>
          <w:sz w:val="24"/>
          <w:szCs w:val="24"/>
          <w:lang w:val="fr-FR"/>
        </w:rPr>
        <w:t>profilului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solului</w:t>
      </w:r>
      <w:proofErr w:type="spellEnd"/>
      <w:r w:rsidRPr="00C56257">
        <w:rPr>
          <w:color w:val="000000" w:themeColor="text1"/>
          <w:sz w:val="24"/>
          <w:szCs w:val="24"/>
          <w:lang w:val="fr-FR"/>
        </w:rPr>
        <w:t>.</w:t>
      </w:r>
    </w:p>
    <w:p w14:paraId="573E9D7B" w14:textId="77777777" w:rsidR="008572F7" w:rsidRPr="00C56257" w:rsidRDefault="008572F7" w:rsidP="008572F7">
      <w:pPr>
        <w:pStyle w:val="Heading2"/>
        <w:spacing w:line="274" w:lineRule="exact"/>
        <w:ind w:firstLine="293"/>
        <w:jc w:val="both"/>
        <w:rPr>
          <w:color w:val="000000" w:themeColor="text1"/>
          <w:sz w:val="24"/>
          <w:szCs w:val="24"/>
          <w:lang w:val="fr-FR"/>
        </w:rPr>
      </w:pPr>
      <w:proofErr w:type="spellStart"/>
      <w:r w:rsidRPr="00C56257">
        <w:rPr>
          <w:color w:val="000000" w:themeColor="text1"/>
          <w:sz w:val="24"/>
          <w:szCs w:val="24"/>
          <w:lang w:val="fr-FR"/>
        </w:rPr>
        <w:t>Factorul</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antropic</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geneza</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sărăturilor</w:t>
      </w:r>
      <w:proofErr w:type="spellEnd"/>
    </w:p>
    <w:p w14:paraId="182C4CA8" w14:textId="77777777" w:rsidR="008572F7" w:rsidRPr="00C56257" w:rsidRDefault="008572F7" w:rsidP="008572F7">
      <w:pPr>
        <w:pStyle w:val="BodyText"/>
        <w:ind w:left="293" w:right="252"/>
        <w:jc w:val="both"/>
        <w:rPr>
          <w:color w:val="000000" w:themeColor="text1"/>
          <w:sz w:val="24"/>
          <w:szCs w:val="24"/>
          <w:lang w:val="fr-FR"/>
        </w:rPr>
      </w:pPr>
      <w:r w:rsidRPr="00C56257">
        <w:rPr>
          <w:color w:val="000000" w:themeColor="text1"/>
          <w:sz w:val="24"/>
          <w:szCs w:val="24"/>
          <w:lang w:val="fr-FR"/>
        </w:rPr>
        <w:t xml:space="preserve">Un aspect important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cercetarea</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teren</w:t>
      </w:r>
      <w:proofErr w:type="spellEnd"/>
      <w:r w:rsidRPr="00C56257">
        <w:rPr>
          <w:color w:val="000000" w:themeColor="text1"/>
          <w:sz w:val="24"/>
          <w:szCs w:val="24"/>
          <w:lang w:val="fr-FR"/>
        </w:rPr>
        <w:t xml:space="preserve"> este </w:t>
      </w:r>
      <w:proofErr w:type="spellStart"/>
      <w:r w:rsidRPr="00C56257">
        <w:rPr>
          <w:color w:val="000000" w:themeColor="text1"/>
          <w:sz w:val="24"/>
          <w:szCs w:val="24"/>
          <w:lang w:val="fr-FR"/>
        </w:rPr>
        <w:t>legat</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necesitatea</w:t>
      </w:r>
      <w:proofErr w:type="spellEnd"/>
      <w:r w:rsidRPr="00C56257">
        <w:rPr>
          <w:color w:val="000000" w:themeColor="text1"/>
          <w:sz w:val="24"/>
          <w:szCs w:val="24"/>
          <w:lang w:val="fr-FR"/>
        </w:rPr>
        <w:t xml:space="preserve"> de a se face </w:t>
      </w:r>
      <w:proofErr w:type="spellStart"/>
      <w:r w:rsidRPr="00C56257">
        <w:rPr>
          <w:color w:val="000000" w:themeColor="text1"/>
          <w:sz w:val="24"/>
          <w:szCs w:val="24"/>
          <w:lang w:val="fr-FR"/>
        </w:rPr>
        <w:t>distincția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între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caracterul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arealului</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 xml:space="preserve">de </w:t>
      </w:r>
      <w:proofErr w:type="spellStart"/>
      <w:r w:rsidRPr="00C56257">
        <w:rPr>
          <w:color w:val="000000" w:themeColor="text1"/>
          <w:sz w:val="24"/>
          <w:szCs w:val="24"/>
          <w:lang w:val="fr-FR"/>
        </w:rPr>
        <w:t>sărătură</w:t>
      </w:r>
      <w:proofErr w:type="spellEnd"/>
      <w:r w:rsidRPr="00C56257">
        <w:rPr>
          <w:color w:val="000000" w:themeColor="text1"/>
          <w:sz w:val="24"/>
          <w:szCs w:val="24"/>
          <w:lang w:val="fr-FR"/>
        </w:rPr>
        <w:t>:</w:t>
      </w:r>
      <w:r w:rsidR="00DD451C">
        <w:rPr>
          <w:color w:val="000000" w:themeColor="text1"/>
          <w:sz w:val="24"/>
          <w:szCs w:val="24"/>
          <w:lang w:val="fr-FR"/>
        </w:rPr>
        <w:t xml:space="preserve"> </w:t>
      </w:r>
      <w:proofErr w:type="spellStart"/>
      <w:r w:rsidRPr="00C56257">
        <w:rPr>
          <w:color w:val="000000" w:themeColor="text1"/>
          <w:sz w:val="24"/>
          <w:szCs w:val="24"/>
          <w:lang w:val="fr-FR"/>
        </w:rPr>
        <w:t>primar</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respectiv</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natural</w:t>
      </w:r>
      <w:proofErr w:type="spellEnd"/>
      <w:r w:rsidR="004242AA">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şi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secundar</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sau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antropogen</w:t>
      </w:r>
      <w:proofErr w:type="spellEnd"/>
      <w:r w:rsidRPr="00C56257">
        <w:rPr>
          <w:color w:val="000000" w:themeColor="text1"/>
          <w:sz w:val="24"/>
          <w:szCs w:val="24"/>
          <w:lang w:val="fr-FR"/>
        </w:rPr>
        <w:t>.</w:t>
      </w:r>
    </w:p>
    <w:p w14:paraId="76857BC1" w14:textId="77777777" w:rsidR="008572F7" w:rsidRPr="00C56257" w:rsidRDefault="008572F7" w:rsidP="008572F7">
      <w:pPr>
        <w:pStyle w:val="BodyText"/>
        <w:ind w:left="293" w:right="247"/>
        <w:jc w:val="both"/>
        <w:rPr>
          <w:color w:val="000000" w:themeColor="text1"/>
          <w:sz w:val="24"/>
          <w:szCs w:val="24"/>
          <w:lang w:val="fr-FR"/>
        </w:rPr>
      </w:pPr>
      <w:proofErr w:type="spellStart"/>
      <w:r w:rsidRPr="00C56257">
        <w:rPr>
          <w:color w:val="000000" w:themeColor="text1"/>
          <w:sz w:val="24"/>
          <w:szCs w:val="24"/>
          <w:lang w:val="fr-FR"/>
        </w:rPr>
        <w:t>Sărăturile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secundare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apar</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urma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folosirii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unor</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agrotehnici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deficitare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w:t>
      </w:r>
      <w:proofErr w:type="spellStart"/>
      <w:r w:rsidRPr="00C56257">
        <w:rPr>
          <w:color w:val="000000" w:themeColor="text1"/>
          <w:sz w:val="24"/>
          <w:szCs w:val="24"/>
          <w:lang w:val="fr-FR"/>
        </w:rPr>
        <w:t>îndiguiri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şi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irigații</w:t>
      </w:r>
      <w:proofErr w:type="spellEnd"/>
      <w:r w:rsidRPr="00C56257">
        <w:rPr>
          <w:color w:val="000000" w:themeColor="text1"/>
          <w:sz w:val="24"/>
          <w:szCs w:val="24"/>
          <w:lang w:val="fr-FR"/>
        </w:rPr>
        <w:t>),</w:t>
      </w:r>
      <w:r w:rsidR="00DD451C">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special</w:t>
      </w:r>
      <w:proofErr w:type="spellEnd"/>
      <w:r w:rsidR="00DD451C">
        <w:rPr>
          <w:color w:val="000000" w:themeColor="text1"/>
          <w:sz w:val="24"/>
          <w:szCs w:val="24"/>
          <w:lang w:val="fr-FR"/>
        </w:rPr>
        <w:t xml:space="preserve"> </w:t>
      </w:r>
      <w:proofErr w:type="spellStart"/>
      <w:r w:rsidRPr="00C56257">
        <w:rPr>
          <w:color w:val="000000" w:themeColor="text1"/>
          <w:sz w:val="24"/>
          <w:szCs w:val="24"/>
          <w:lang w:val="fr-FR"/>
        </w:rPr>
        <w:t>greşit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dozate</w:t>
      </w:r>
      <w:proofErr w:type="spellEnd"/>
      <w:r w:rsidRPr="00C56257">
        <w:rPr>
          <w:color w:val="000000" w:themeColor="text1"/>
          <w:sz w:val="24"/>
          <w:szCs w:val="24"/>
          <w:lang w:val="fr-FR"/>
        </w:rPr>
        <w:t xml:space="preserve">. Din </w:t>
      </w:r>
      <w:proofErr w:type="spellStart"/>
      <w:r w:rsidRPr="00C56257">
        <w:rPr>
          <w:color w:val="000000" w:themeColor="text1"/>
          <w:sz w:val="24"/>
          <w:szCs w:val="24"/>
          <w:lang w:val="fr-FR"/>
        </w:rPr>
        <w:t>punct</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vedere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agrotehnic</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salinizarea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secundară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este</w:t>
      </w:r>
      <w:proofErr w:type="spellEnd"/>
      <w:r w:rsidRPr="00C56257">
        <w:rPr>
          <w:color w:val="000000" w:themeColor="text1"/>
          <w:sz w:val="24"/>
          <w:szCs w:val="24"/>
          <w:lang w:val="fr-FR"/>
        </w:rPr>
        <w:t xml:space="preserve"> un tip major 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degradare</w:t>
      </w:r>
      <w:proofErr w:type="spellEnd"/>
      <w:r w:rsidRPr="00C56257">
        <w:rPr>
          <w:color w:val="000000" w:themeColor="text1"/>
          <w:sz w:val="24"/>
          <w:szCs w:val="24"/>
          <w:lang w:val="fr-FR"/>
        </w:rPr>
        <w:t xml:space="preserve"> a </w:t>
      </w:r>
      <w:proofErr w:type="spellStart"/>
      <w:r w:rsidRPr="00C56257">
        <w:rPr>
          <w:color w:val="000000" w:themeColor="text1"/>
          <w:sz w:val="24"/>
          <w:szCs w:val="24"/>
          <w:lang w:val="fr-FR"/>
        </w:rPr>
        <w:t>terenurilor</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arabile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arealele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silvostepă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şi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stepă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Totuşi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anumite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situații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sărăturile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primare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naturale</w:t>
      </w:r>
      <w:proofErr w:type="spellEnd"/>
      <w:r w:rsidRPr="00C56257">
        <w:rPr>
          <w:color w:val="000000" w:themeColor="text1"/>
          <w:sz w:val="24"/>
          <w:szCs w:val="24"/>
          <w:lang w:val="fr-FR"/>
        </w:rPr>
        <w:t xml:space="preserve"> se pot </w:t>
      </w:r>
      <w:proofErr w:type="spellStart"/>
      <w:r w:rsidRPr="00C56257">
        <w:rPr>
          <w:color w:val="000000" w:themeColor="text1"/>
          <w:sz w:val="24"/>
          <w:szCs w:val="24"/>
          <w:lang w:val="fr-FR"/>
        </w:rPr>
        <w:t>extinde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condiții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bune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astfel</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terenuri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secundar</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salinizate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realizându</w:t>
      </w:r>
      <w:proofErr w:type="spellEnd"/>
      <w:r w:rsidRPr="00C56257">
        <w:rPr>
          <w:color w:val="000000" w:themeColor="text1"/>
          <w:sz w:val="24"/>
          <w:szCs w:val="24"/>
          <w:lang w:val="fr-FR"/>
        </w:rPr>
        <w:t xml:space="preserve">-se </w:t>
      </w:r>
      <w:proofErr w:type="spellStart"/>
      <w:r w:rsidRPr="00C56257">
        <w:rPr>
          <w:color w:val="000000" w:themeColor="text1"/>
          <w:sz w:val="24"/>
          <w:szCs w:val="24"/>
          <w:lang w:val="fr-FR"/>
        </w:rPr>
        <w:t>habitate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pajişti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sărăturate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remarcabile</w:t>
      </w:r>
      <w:proofErr w:type="spellEnd"/>
      <w:r w:rsidRPr="00C56257">
        <w:rPr>
          <w:color w:val="000000" w:themeColor="text1"/>
          <w:sz w:val="24"/>
          <w:szCs w:val="24"/>
          <w:lang w:val="fr-FR"/>
        </w:rPr>
        <w:t xml:space="preserve"> ce </w:t>
      </w:r>
      <w:proofErr w:type="spellStart"/>
      <w:r w:rsidRPr="00C56257">
        <w:rPr>
          <w:color w:val="000000" w:themeColor="text1"/>
          <w:sz w:val="24"/>
          <w:szCs w:val="24"/>
          <w:lang w:val="fr-FR"/>
        </w:rPr>
        <w:t>acoperă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suprafețe</w:t>
      </w:r>
      <w:proofErr w:type="spellEnd"/>
      <w:r w:rsidRPr="00C56257">
        <w:rPr>
          <w:color w:val="000000" w:themeColor="text1"/>
          <w:sz w:val="24"/>
          <w:szCs w:val="24"/>
          <w:lang w:val="fr-FR"/>
        </w:rPr>
        <w:t xml:space="preserve"> mari.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acest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caz</w:t>
      </w:r>
      <w:proofErr w:type="spellEnd"/>
      <w:r w:rsidRPr="00C56257">
        <w:rPr>
          <w:color w:val="000000" w:themeColor="text1"/>
          <w:sz w:val="24"/>
          <w:szCs w:val="24"/>
          <w:lang w:val="fr-FR"/>
        </w:rPr>
        <w:t xml:space="preserve">, mai ales </w:t>
      </w:r>
      <w:proofErr w:type="spellStart"/>
      <w:r w:rsidRPr="00C56257">
        <w:rPr>
          <w:color w:val="000000" w:themeColor="text1"/>
          <w:sz w:val="24"/>
          <w:szCs w:val="24"/>
          <w:lang w:val="fr-FR"/>
        </w:rPr>
        <w:t>dacă</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implicate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fitocenoze</w:t>
      </w:r>
      <w:proofErr w:type="spellEnd"/>
      <w:r w:rsidRPr="00C56257">
        <w:rPr>
          <w:color w:val="000000" w:themeColor="text1"/>
          <w:sz w:val="24"/>
          <w:szCs w:val="24"/>
          <w:lang w:val="fr-FR"/>
        </w:rPr>
        <w:t xml:space="preserve"> bine </w:t>
      </w:r>
      <w:proofErr w:type="spellStart"/>
      <w:r w:rsidRPr="00C56257">
        <w:rPr>
          <w:color w:val="000000" w:themeColor="text1"/>
          <w:sz w:val="24"/>
          <w:szCs w:val="24"/>
          <w:lang w:val="fr-FR"/>
        </w:rPr>
        <w:t>conturate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şi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dacă</w:t>
      </w:r>
      <w:proofErr w:type="spellEnd"/>
      <w:r w:rsidRPr="00C56257">
        <w:rPr>
          <w:color w:val="000000" w:themeColor="text1"/>
          <w:sz w:val="24"/>
          <w:szCs w:val="24"/>
          <w:lang w:val="fr-FR"/>
        </w:rPr>
        <w:t xml:space="preserve"> se </w:t>
      </w:r>
      <w:proofErr w:type="spellStart"/>
      <w:r w:rsidRPr="00C56257">
        <w:rPr>
          <w:color w:val="000000" w:themeColor="text1"/>
          <w:sz w:val="24"/>
          <w:szCs w:val="24"/>
          <w:lang w:val="fr-FR"/>
        </w:rPr>
        <w:t>regăsesc</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populații</w:t>
      </w:r>
      <w:proofErr w:type="spellEnd"/>
      <w:r w:rsidRPr="00C56257">
        <w:rPr>
          <w:color w:val="000000" w:themeColor="text1"/>
          <w:sz w:val="24"/>
          <w:szCs w:val="24"/>
          <w:lang w:val="fr-FR"/>
        </w:rPr>
        <w:t xml:space="preserve"> ale </w:t>
      </w:r>
      <w:proofErr w:type="spellStart"/>
      <w:r w:rsidRPr="00C56257">
        <w:rPr>
          <w:color w:val="000000" w:themeColor="text1"/>
          <w:sz w:val="24"/>
          <w:szCs w:val="24"/>
          <w:lang w:val="fr-FR"/>
        </w:rPr>
        <w:t>unor</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specii</w:t>
      </w:r>
      <w:proofErr w:type="spellEnd"/>
      <w:r w:rsidRPr="00C56257">
        <w:rPr>
          <w:color w:val="000000" w:themeColor="text1"/>
          <w:sz w:val="24"/>
          <w:szCs w:val="24"/>
          <w:lang w:val="fr-FR"/>
        </w:rPr>
        <w:t xml:space="preserve"> rare </w:t>
      </w:r>
      <w:proofErr w:type="spellStart"/>
      <w:r w:rsidRPr="00C56257">
        <w:rPr>
          <w:color w:val="000000" w:themeColor="text1"/>
          <w:sz w:val="24"/>
          <w:szCs w:val="24"/>
          <w:lang w:val="fr-FR"/>
        </w:rPr>
        <w:t>halofile</w:t>
      </w:r>
      <w:proofErr w:type="spellEnd"/>
      <w:r w:rsidRPr="00C56257">
        <w:rPr>
          <w:color w:val="000000" w:themeColor="text1"/>
          <w:sz w:val="24"/>
          <w:szCs w:val="24"/>
          <w:lang w:val="fr-FR"/>
        </w:rPr>
        <w:t>, se</w:t>
      </w:r>
      <w:r w:rsidRPr="00C56257">
        <w:rPr>
          <w:color w:val="000000" w:themeColor="text1"/>
          <w:spacing w:val="-57"/>
          <w:sz w:val="24"/>
          <w:szCs w:val="24"/>
          <w:lang w:val="fr-FR"/>
        </w:rPr>
        <w:t xml:space="preserve"> </w:t>
      </w:r>
      <w:r w:rsidRPr="00C56257">
        <w:rPr>
          <w:color w:val="000000" w:themeColor="text1"/>
          <w:sz w:val="24"/>
          <w:szCs w:val="24"/>
          <w:lang w:val="fr-FR"/>
        </w:rPr>
        <w:t xml:space="preserve">vor face </w:t>
      </w:r>
      <w:proofErr w:type="spellStart"/>
      <w:r w:rsidRPr="00C56257">
        <w:rPr>
          <w:color w:val="000000" w:themeColor="text1"/>
          <w:sz w:val="24"/>
          <w:szCs w:val="24"/>
          <w:lang w:val="fr-FR"/>
        </w:rPr>
        <w:t>recomandările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necesare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pentru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Pentru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problemele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salinizării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secundare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din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România</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se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recomandă</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sinteza</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 xml:space="preserve">lui </w:t>
      </w:r>
      <w:proofErr w:type="spellStart"/>
      <w:r w:rsidRPr="00C56257">
        <w:rPr>
          <w:color w:val="000000" w:themeColor="text1"/>
          <w:sz w:val="24"/>
          <w:szCs w:val="24"/>
          <w:lang w:val="fr-FR"/>
        </w:rPr>
        <w:t>Măianu</w:t>
      </w:r>
      <w:proofErr w:type="spellEnd"/>
      <w:r w:rsidRPr="00C56257">
        <w:rPr>
          <w:color w:val="000000" w:themeColor="text1"/>
          <w:sz w:val="24"/>
          <w:szCs w:val="24"/>
          <w:lang w:val="fr-FR"/>
        </w:rPr>
        <w:t xml:space="preserve"> (1964).</w:t>
      </w:r>
    </w:p>
    <w:p w14:paraId="79E99A30" w14:textId="77777777" w:rsidR="008572F7" w:rsidRPr="00C56257" w:rsidRDefault="008572F7" w:rsidP="008572F7">
      <w:pPr>
        <w:pStyle w:val="BodyText"/>
        <w:ind w:left="293" w:right="247"/>
        <w:jc w:val="both"/>
        <w:rPr>
          <w:color w:val="000000" w:themeColor="text1"/>
          <w:sz w:val="24"/>
          <w:szCs w:val="24"/>
          <w:lang w:val="fr-FR"/>
        </w:rPr>
      </w:pPr>
    </w:p>
    <w:p w14:paraId="11CD260A" w14:textId="77777777" w:rsidR="008572F7" w:rsidRPr="0030520C" w:rsidRDefault="008572F7" w:rsidP="00B538DD">
      <w:pPr>
        <w:pStyle w:val="Heading2"/>
        <w:widowControl w:val="0"/>
        <w:tabs>
          <w:tab w:val="left" w:pos="1191"/>
        </w:tabs>
        <w:autoSpaceDE w:val="0"/>
        <w:autoSpaceDN w:val="0"/>
        <w:spacing w:before="0" w:beforeAutospacing="0" w:after="0" w:afterAutospacing="0"/>
        <w:ind w:left="270"/>
        <w:jc w:val="both"/>
        <w:rPr>
          <w:color w:val="000000" w:themeColor="text1"/>
          <w:sz w:val="24"/>
          <w:szCs w:val="24"/>
        </w:rPr>
      </w:pPr>
      <w:proofErr w:type="spellStart"/>
      <w:r w:rsidRPr="0030520C">
        <w:rPr>
          <w:color w:val="000000" w:themeColor="text1"/>
          <w:sz w:val="24"/>
          <w:szCs w:val="24"/>
        </w:rPr>
        <w:t>Măsuri</w:t>
      </w:r>
      <w:proofErr w:type="spellEnd"/>
      <w:r w:rsidRPr="0030520C">
        <w:rPr>
          <w:color w:val="000000" w:themeColor="text1"/>
          <w:spacing w:val="-4"/>
          <w:sz w:val="24"/>
          <w:szCs w:val="24"/>
        </w:rPr>
        <w:t xml:space="preserve"> </w:t>
      </w:r>
      <w:r w:rsidRPr="0030520C">
        <w:rPr>
          <w:color w:val="000000" w:themeColor="text1"/>
          <w:sz w:val="24"/>
          <w:szCs w:val="24"/>
        </w:rPr>
        <w:t>de</w:t>
      </w:r>
      <w:r w:rsidRPr="0030520C">
        <w:rPr>
          <w:color w:val="000000" w:themeColor="text1"/>
          <w:spacing w:val="-2"/>
          <w:sz w:val="24"/>
          <w:szCs w:val="24"/>
        </w:rPr>
        <w:t xml:space="preserve"> </w:t>
      </w:r>
      <w:proofErr w:type="spellStart"/>
      <w:r w:rsidRPr="0030520C">
        <w:rPr>
          <w:color w:val="000000" w:themeColor="text1"/>
          <w:sz w:val="24"/>
          <w:szCs w:val="24"/>
        </w:rPr>
        <w:t>conservare</w:t>
      </w:r>
      <w:proofErr w:type="spellEnd"/>
    </w:p>
    <w:p w14:paraId="06391831" w14:textId="77777777" w:rsidR="00DD451C" w:rsidRPr="00C56257" w:rsidRDefault="008572F7" w:rsidP="00B538DD">
      <w:pPr>
        <w:spacing w:after="160" w:line="259" w:lineRule="auto"/>
        <w:ind w:left="270"/>
        <w:jc w:val="both"/>
        <w:rPr>
          <w:bCs/>
          <w:color w:val="000000" w:themeColor="text1"/>
        </w:rPr>
      </w:pPr>
      <w:r w:rsidRPr="0030520C">
        <w:rPr>
          <w:color w:val="000000" w:themeColor="text1"/>
          <w:lang w:val="fr-FR"/>
        </w:rPr>
        <w:t>Se</w:t>
      </w:r>
      <w:r w:rsidRPr="0030520C">
        <w:rPr>
          <w:color w:val="000000" w:themeColor="text1"/>
          <w:spacing w:val="1"/>
          <w:lang w:val="fr-FR"/>
        </w:rPr>
        <w:t xml:space="preserve"> </w:t>
      </w:r>
      <w:r w:rsidRPr="0030520C">
        <w:rPr>
          <w:color w:val="000000" w:themeColor="text1"/>
          <w:lang w:val="fr-FR"/>
        </w:rPr>
        <w:t>vor</w:t>
      </w:r>
      <w:r w:rsidRPr="0030520C">
        <w:rPr>
          <w:color w:val="000000" w:themeColor="text1"/>
          <w:spacing w:val="1"/>
          <w:lang w:val="fr-FR"/>
        </w:rPr>
        <w:t xml:space="preserve"> </w:t>
      </w:r>
      <w:r w:rsidRPr="0030520C">
        <w:rPr>
          <w:color w:val="000000" w:themeColor="text1"/>
          <w:lang w:val="fr-FR"/>
        </w:rPr>
        <w:t>lista</w:t>
      </w:r>
      <w:r w:rsidRPr="0030520C">
        <w:rPr>
          <w:color w:val="000000" w:themeColor="text1"/>
          <w:spacing w:val="1"/>
          <w:lang w:val="fr-FR"/>
        </w:rPr>
        <w:t xml:space="preserve"> </w:t>
      </w:r>
      <w:r w:rsidRPr="0030520C">
        <w:rPr>
          <w:color w:val="000000" w:themeColor="text1"/>
          <w:lang w:val="fr-FR"/>
        </w:rPr>
        <w:t>maximum</w:t>
      </w:r>
      <w:r w:rsidRPr="0030520C">
        <w:rPr>
          <w:color w:val="000000" w:themeColor="text1"/>
          <w:spacing w:val="1"/>
          <w:lang w:val="fr-FR"/>
        </w:rPr>
        <w:t xml:space="preserve"> </w:t>
      </w:r>
      <w:r w:rsidRPr="0030520C">
        <w:rPr>
          <w:color w:val="000000" w:themeColor="text1"/>
          <w:lang w:val="fr-FR"/>
        </w:rPr>
        <w:t>10</w:t>
      </w:r>
      <w:r w:rsidRPr="0030520C">
        <w:rPr>
          <w:color w:val="000000" w:themeColor="text1"/>
          <w:spacing w:val="1"/>
          <w:lang w:val="fr-FR"/>
        </w:rPr>
        <w:t xml:space="preserve"> </w:t>
      </w:r>
      <w:proofErr w:type="spellStart"/>
      <w:r w:rsidRPr="0030520C">
        <w:rPr>
          <w:color w:val="000000" w:themeColor="text1"/>
          <w:lang w:val="fr-FR"/>
        </w:rPr>
        <w:t>măsuri</w:t>
      </w:r>
      <w:proofErr w:type="spellEnd"/>
      <w:r w:rsidRPr="0030520C">
        <w:rPr>
          <w:color w:val="000000" w:themeColor="text1"/>
          <w:spacing w:val="1"/>
          <w:lang w:val="fr-FR"/>
        </w:rPr>
        <w:t xml:space="preserve"> </w:t>
      </w:r>
      <w:r w:rsidRPr="0030520C">
        <w:rPr>
          <w:color w:val="000000" w:themeColor="text1"/>
          <w:lang w:val="fr-FR"/>
        </w:rPr>
        <w:t>de</w:t>
      </w:r>
      <w:r w:rsidRPr="0030520C">
        <w:rPr>
          <w:color w:val="000000" w:themeColor="text1"/>
          <w:spacing w:val="1"/>
          <w:lang w:val="fr-FR"/>
        </w:rPr>
        <w:t xml:space="preserve"> </w:t>
      </w:r>
      <w:proofErr w:type="spellStart"/>
      <w:r w:rsidRPr="0030520C">
        <w:rPr>
          <w:color w:val="000000" w:themeColor="text1"/>
          <w:lang w:val="fr-FR"/>
        </w:rPr>
        <w:t>conservare</w:t>
      </w:r>
      <w:proofErr w:type="spellEnd"/>
      <w:r w:rsidRPr="0030520C">
        <w:rPr>
          <w:color w:val="000000" w:themeColor="text1"/>
          <w:spacing w:val="1"/>
          <w:lang w:val="fr-FR"/>
        </w:rPr>
        <w:t xml:space="preserve"> </w:t>
      </w:r>
      <w:proofErr w:type="spellStart"/>
      <w:r w:rsidRPr="0030520C">
        <w:rPr>
          <w:color w:val="000000" w:themeColor="text1"/>
          <w:lang w:val="fr-FR"/>
        </w:rPr>
        <w:t>și</w:t>
      </w:r>
      <w:proofErr w:type="spellEnd"/>
      <w:r w:rsidRPr="0030520C">
        <w:rPr>
          <w:color w:val="000000" w:themeColor="text1"/>
          <w:spacing w:val="1"/>
          <w:lang w:val="fr-FR"/>
        </w:rPr>
        <w:t xml:space="preserve"> </w:t>
      </w:r>
      <w:proofErr w:type="spellStart"/>
      <w:r w:rsidRPr="0030520C">
        <w:rPr>
          <w:color w:val="000000" w:themeColor="text1"/>
          <w:lang w:val="fr-FR"/>
        </w:rPr>
        <w:t>măsurile</w:t>
      </w:r>
      <w:proofErr w:type="spellEnd"/>
      <w:r w:rsidRPr="0030520C">
        <w:rPr>
          <w:color w:val="000000" w:themeColor="text1"/>
          <w:spacing w:val="1"/>
          <w:lang w:val="fr-FR"/>
        </w:rPr>
        <w:t xml:space="preserve"> </w:t>
      </w:r>
      <w:r w:rsidRPr="0030520C">
        <w:rPr>
          <w:color w:val="000000" w:themeColor="text1"/>
          <w:lang w:val="fr-FR"/>
        </w:rPr>
        <w:t>de</w:t>
      </w:r>
      <w:r w:rsidRPr="0030520C">
        <w:rPr>
          <w:color w:val="000000" w:themeColor="text1"/>
          <w:spacing w:val="1"/>
          <w:lang w:val="fr-FR"/>
        </w:rPr>
        <w:t xml:space="preserve"> </w:t>
      </w:r>
      <w:proofErr w:type="spellStart"/>
      <w:r w:rsidRPr="0030520C">
        <w:rPr>
          <w:color w:val="000000" w:themeColor="text1"/>
          <w:lang w:val="fr-FR"/>
        </w:rPr>
        <w:t>conservare</w:t>
      </w:r>
      <w:proofErr w:type="spellEnd"/>
      <w:r w:rsidRPr="0030520C">
        <w:rPr>
          <w:color w:val="000000" w:themeColor="text1"/>
          <w:spacing w:val="1"/>
          <w:lang w:val="fr-FR"/>
        </w:rPr>
        <w:t xml:space="preserve"> </w:t>
      </w:r>
      <w:proofErr w:type="spellStart"/>
      <w:r w:rsidRPr="0030520C">
        <w:rPr>
          <w:color w:val="000000" w:themeColor="text1"/>
          <w:lang w:val="fr-FR"/>
        </w:rPr>
        <w:t>implementate</w:t>
      </w:r>
      <w:proofErr w:type="spellEnd"/>
      <w:r w:rsidRPr="0030520C">
        <w:rPr>
          <w:color w:val="000000" w:themeColor="text1"/>
          <w:lang w:val="fr-FR"/>
        </w:rPr>
        <w:t>,</w:t>
      </w:r>
      <w:r w:rsidRPr="0030520C">
        <w:rPr>
          <w:color w:val="000000" w:themeColor="text1"/>
          <w:spacing w:val="1"/>
          <w:lang w:val="fr-FR"/>
        </w:rPr>
        <w:t xml:space="preserve"> </w:t>
      </w:r>
      <w:proofErr w:type="spellStart"/>
      <w:r w:rsidRPr="0030520C">
        <w:rPr>
          <w:color w:val="000000" w:themeColor="text1"/>
          <w:lang w:val="fr-FR"/>
        </w:rPr>
        <w:t>recomandabil</w:t>
      </w:r>
      <w:proofErr w:type="spellEnd"/>
      <w:r w:rsidRPr="0030520C">
        <w:rPr>
          <w:color w:val="000000" w:themeColor="text1"/>
          <w:lang w:val="fr-FR"/>
        </w:rPr>
        <w:t xml:space="preserve"> </w:t>
      </w:r>
      <w:proofErr w:type="spellStart"/>
      <w:r w:rsidRPr="0030520C">
        <w:rPr>
          <w:color w:val="000000" w:themeColor="text1"/>
          <w:lang w:val="fr-FR"/>
        </w:rPr>
        <w:t>cele</w:t>
      </w:r>
      <w:proofErr w:type="spellEnd"/>
      <w:r w:rsidRPr="0030520C">
        <w:rPr>
          <w:color w:val="000000" w:themeColor="text1"/>
          <w:lang w:val="fr-FR"/>
        </w:rPr>
        <w:t xml:space="preserve"> </w:t>
      </w:r>
      <w:proofErr w:type="spellStart"/>
      <w:r w:rsidRPr="0030520C">
        <w:rPr>
          <w:color w:val="000000" w:themeColor="text1"/>
          <w:lang w:val="fr-FR"/>
        </w:rPr>
        <w:t>menționate</w:t>
      </w:r>
      <w:proofErr w:type="spellEnd"/>
      <w:r w:rsidRPr="0030520C">
        <w:rPr>
          <w:color w:val="000000" w:themeColor="text1"/>
          <w:lang w:val="fr-FR"/>
        </w:rPr>
        <w:t xml:space="preserve"> </w:t>
      </w:r>
      <w:proofErr w:type="spellStart"/>
      <w:r w:rsidRPr="0030520C">
        <w:rPr>
          <w:color w:val="000000" w:themeColor="text1"/>
          <w:lang w:val="fr-FR"/>
        </w:rPr>
        <w:t>în</w:t>
      </w:r>
      <w:proofErr w:type="spellEnd"/>
      <w:r w:rsidRPr="0030520C">
        <w:rPr>
          <w:color w:val="000000" w:themeColor="text1"/>
          <w:lang w:val="fr-FR"/>
        </w:rPr>
        <w:t xml:space="preserve"> </w:t>
      </w:r>
      <w:proofErr w:type="spellStart"/>
      <w:r w:rsidRPr="0030520C">
        <w:rPr>
          <w:color w:val="000000" w:themeColor="text1"/>
          <w:lang w:val="fr-FR"/>
        </w:rPr>
        <w:t>planurile</w:t>
      </w:r>
      <w:proofErr w:type="spellEnd"/>
      <w:r w:rsidRPr="0030520C">
        <w:rPr>
          <w:color w:val="000000" w:themeColor="text1"/>
          <w:lang w:val="fr-FR"/>
        </w:rPr>
        <w:t xml:space="preserve"> de management ale </w:t>
      </w:r>
      <w:proofErr w:type="spellStart"/>
      <w:r w:rsidRPr="0030520C">
        <w:rPr>
          <w:color w:val="000000" w:themeColor="text1"/>
          <w:lang w:val="fr-FR"/>
        </w:rPr>
        <w:t>siturilor</w:t>
      </w:r>
      <w:proofErr w:type="spellEnd"/>
      <w:r w:rsidRPr="0030520C">
        <w:rPr>
          <w:color w:val="000000" w:themeColor="text1"/>
          <w:lang w:val="fr-FR"/>
        </w:rPr>
        <w:t xml:space="preserve"> Natura 2000. Lista </w:t>
      </w:r>
      <w:proofErr w:type="spellStart"/>
      <w:r w:rsidRPr="0030520C">
        <w:rPr>
          <w:color w:val="000000" w:themeColor="text1"/>
          <w:lang w:val="fr-FR"/>
        </w:rPr>
        <w:t>măsurilor</w:t>
      </w:r>
      <w:proofErr w:type="spellEnd"/>
      <w:r w:rsidRPr="0030520C">
        <w:rPr>
          <w:color w:val="000000" w:themeColor="text1"/>
          <w:spacing w:val="-57"/>
          <w:lang w:val="fr-FR"/>
        </w:rPr>
        <w:t xml:space="preserve"> </w:t>
      </w:r>
      <w:r w:rsidRPr="0030520C">
        <w:rPr>
          <w:color w:val="000000" w:themeColor="text1"/>
          <w:lang w:val="fr-FR"/>
        </w:rPr>
        <w:t>de</w:t>
      </w:r>
      <w:r w:rsidRPr="0030520C">
        <w:rPr>
          <w:color w:val="000000" w:themeColor="text1"/>
          <w:spacing w:val="-2"/>
          <w:lang w:val="fr-FR"/>
        </w:rPr>
        <w:t xml:space="preserve"> </w:t>
      </w:r>
      <w:proofErr w:type="spellStart"/>
      <w:r w:rsidRPr="0030520C">
        <w:rPr>
          <w:color w:val="000000" w:themeColor="text1"/>
          <w:lang w:val="fr-FR"/>
        </w:rPr>
        <w:t>conservare</w:t>
      </w:r>
      <w:proofErr w:type="spellEnd"/>
      <w:r w:rsidRPr="0030520C">
        <w:rPr>
          <w:color w:val="000000" w:themeColor="text1"/>
          <w:spacing w:val="-2"/>
          <w:lang w:val="fr-FR"/>
        </w:rPr>
        <w:t xml:space="preserve"> </w:t>
      </w:r>
      <w:r w:rsidRPr="0030520C">
        <w:rPr>
          <w:color w:val="000000" w:themeColor="text1"/>
          <w:lang w:val="fr-FR"/>
        </w:rPr>
        <w:t>se</w:t>
      </w:r>
      <w:r w:rsidRPr="0030520C">
        <w:rPr>
          <w:color w:val="000000" w:themeColor="text1"/>
          <w:spacing w:val="-2"/>
          <w:lang w:val="fr-FR"/>
        </w:rPr>
        <w:t xml:space="preserve"> </w:t>
      </w:r>
      <w:proofErr w:type="spellStart"/>
      <w:r w:rsidRPr="0030520C">
        <w:rPr>
          <w:color w:val="000000" w:themeColor="text1"/>
          <w:lang w:val="fr-FR"/>
        </w:rPr>
        <w:t>regăsește</w:t>
      </w:r>
      <w:proofErr w:type="spellEnd"/>
      <w:r w:rsidRPr="0030520C">
        <w:rPr>
          <w:color w:val="000000" w:themeColor="text1"/>
          <w:spacing w:val="-1"/>
          <w:lang w:val="fr-FR"/>
        </w:rPr>
        <w:t xml:space="preserve"> </w:t>
      </w:r>
      <w:r w:rsidR="00DD451C" w:rsidRPr="0030520C">
        <w:rPr>
          <w:bCs/>
          <w:color w:val="000000" w:themeColor="text1"/>
        </w:rPr>
        <w:t xml:space="preserve"> </w:t>
      </w:r>
      <w:r w:rsidR="0030520C" w:rsidRPr="0030520C">
        <w:rPr>
          <w:bCs/>
          <w:color w:val="000000" w:themeColor="text1"/>
        </w:rPr>
        <w:t>la punctul 2.5 din prezentul document</w:t>
      </w:r>
      <w:r w:rsidR="00DD451C" w:rsidRPr="0030520C">
        <w:rPr>
          <w:bCs/>
          <w:color w:val="000000" w:themeColor="text1"/>
        </w:rPr>
        <w:t xml:space="preserve">. </w:t>
      </w:r>
    </w:p>
    <w:p w14:paraId="5761B903" w14:textId="77777777" w:rsidR="008572F7" w:rsidRPr="00C56257" w:rsidRDefault="008572F7" w:rsidP="00F100E1">
      <w:pPr>
        <w:pStyle w:val="BodyText"/>
        <w:ind w:left="0"/>
        <w:jc w:val="both"/>
        <w:rPr>
          <w:color w:val="000000" w:themeColor="text1"/>
          <w:sz w:val="24"/>
          <w:szCs w:val="24"/>
          <w:lang w:val="fr-FR"/>
        </w:rPr>
      </w:pPr>
    </w:p>
    <w:p w14:paraId="5B037E2E" w14:textId="77777777" w:rsidR="008572F7" w:rsidRPr="00C56257" w:rsidRDefault="008572F7" w:rsidP="008572F7">
      <w:pPr>
        <w:spacing w:after="160" w:line="259" w:lineRule="auto"/>
        <w:jc w:val="both"/>
        <w:rPr>
          <w:rFonts w:eastAsiaTheme="majorEastAsia"/>
          <w:b/>
          <w:bCs/>
          <w:color w:val="000000" w:themeColor="text1"/>
          <w:lang w:val="fr-FR"/>
        </w:rPr>
      </w:pPr>
      <w:r w:rsidRPr="00C56257">
        <w:rPr>
          <w:color w:val="000000" w:themeColor="text1"/>
          <w:lang w:val="fr-FR"/>
        </w:rPr>
        <w:br w:type="page"/>
      </w:r>
    </w:p>
    <w:p w14:paraId="300C9F9A" w14:textId="77777777" w:rsidR="008572F7" w:rsidRPr="00C56257" w:rsidRDefault="008572F7" w:rsidP="008572F7">
      <w:pPr>
        <w:pStyle w:val="Heading1"/>
        <w:keepNext w:val="0"/>
        <w:keepLines w:val="0"/>
        <w:tabs>
          <w:tab w:val="left" w:pos="1115"/>
        </w:tabs>
        <w:adjustRightInd/>
        <w:spacing w:before="90"/>
        <w:jc w:val="both"/>
        <w:rPr>
          <w:rFonts w:ascii="Times New Roman" w:hAnsi="Times New Roman" w:cs="Times New Roman"/>
          <w:color w:val="000000" w:themeColor="text1"/>
          <w:sz w:val="24"/>
          <w:szCs w:val="24"/>
          <w:lang w:val="fr-FR"/>
        </w:rPr>
      </w:pPr>
      <w:proofErr w:type="spellStart"/>
      <w:r w:rsidRPr="00C56257">
        <w:rPr>
          <w:rFonts w:ascii="Times New Roman" w:hAnsi="Times New Roman" w:cs="Times New Roman"/>
          <w:color w:val="000000" w:themeColor="text1"/>
          <w:sz w:val="24"/>
          <w:szCs w:val="24"/>
          <w:lang w:val="fr-FR"/>
        </w:rPr>
        <w:lastRenderedPageBreak/>
        <w:t>Siturile</w:t>
      </w:r>
      <w:proofErr w:type="spellEnd"/>
      <w:r w:rsidRPr="00C56257">
        <w:rPr>
          <w:rFonts w:ascii="Times New Roman" w:hAnsi="Times New Roman" w:cs="Times New Roman"/>
          <w:color w:val="000000" w:themeColor="text1"/>
          <w:sz w:val="24"/>
          <w:szCs w:val="24"/>
          <w:lang w:val="fr-FR"/>
        </w:rPr>
        <w:t xml:space="preserve"> Natura 2000 (</w:t>
      </w:r>
      <w:proofErr w:type="spellStart"/>
      <w:r w:rsidRPr="00C56257">
        <w:rPr>
          <w:rFonts w:ascii="Times New Roman" w:hAnsi="Times New Roman" w:cs="Times New Roman"/>
          <w:color w:val="000000" w:themeColor="text1"/>
          <w:sz w:val="24"/>
          <w:szCs w:val="24"/>
          <w:lang w:val="fr-FR"/>
        </w:rPr>
        <w:t>pSCI</w:t>
      </w:r>
      <w:proofErr w:type="spellEnd"/>
      <w:r w:rsidRPr="00C56257">
        <w:rPr>
          <w:rFonts w:ascii="Times New Roman" w:hAnsi="Times New Roman" w:cs="Times New Roman"/>
          <w:color w:val="000000" w:themeColor="text1"/>
          <w:sz w:val="24"/>
          <w:szCs w:val="24"/>
          <w:lang w:val="fr-FR"/>
        </w:rPr>
        <w:t xml:space="preserve">, SCI) </w:t>
      </w:r>
      <w:proofErr w:type="spellStart"/>
      <w:r w:rsidRPr="00C56257">
        <w:rPr>
          <w:rFonts w:ascii="Times New Roman" w:hAnsi="Times New Roman" w:cs="Times New Roman"/>
          <w:color w:val="000000" w:themeColor="text1"/>
          <w:sz w:val="24"/>
          <w:szCs w:val="24"/>
          <w:lang w:val="fr-FR"/>
        </w:rPr>
        <w:t>pentru</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tipurile</w:t>
      </w:r>
      <w:proofErr w:type="spellEnd"/>
      <w:r w:rsidRPr="00C56257">
        <w:rPr>
          <w:rFonts w:ascii="Times New Roman" w:hAnsi="Times New Roman" w:cs="Times New Roman"/>
          <w:color w:val="000000" w:themeColor="text1"/>
          <w:sz w:val="24"/>
          <w:szCs w:val="24"/>
          <w:lang w:val="fr-FR"/>
        </w:rPr>
        <w:t xml:space="preserve"> de </w:t>
      </w:r>
      <w:proofErr w:type="spellStart"/>
      <w:r w:rsidRPr="00C56257">
        <w:rPr>
          <w:rFonts w:ascii="Times New Roman" w:hAnsi="Times New Roman" w:cs="Times New Roman"/>
          <w:color w:val="000000" w:themeColor="text1"/>
          <w:sz w:val="24"/>
          <w:szCs w:val="24"/>
          <w:lang w:val="fr-FR"/>
        </w:rPr>
        <w:t>habitate</w:t>
      </w:r>
      <w:proofErr w:type="spellEnd"/>
      <w:r w:rsidRPr="00C56257">
        <w:rPr>
          <w:rFonts w:ascii="Times New Roman" w:hAnsi="Times New Roman" w:cs="Times New Roman"/>
          <w:color w:val="000000" w:themeColor="text1"/>
          <w:sz w:val="24"/>
          <w:szCs w:val="24"/>
          <w:lang w:val="fr-FR"/>
        </w:rPr>
        <w:t xml:space="preserve"> de </w:t>
      </w:r>
      <w:proofErr w:type="spellStart"/>
      <w:r w:rsidRPr="00C56257">
        <w:rPr>
          <w:rFonts w:ascii="Times New Roman" w:hAnsi="Times New Roman" w:cs="Times New Roman"/>
          <w:color w:val="000000" w:themeColor="text1"/>
          <w:sz w:val="24"/>
          <w:szCs w:val="24"/>
          <w:lang w:val="fr-FR"/>
        </w:rPr>
        <w:t>sărături</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din</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anexa</w:t>
      </w:r>
      <w:proofErr w:type="spellEnd"/>
      <w:r w:rsidRPr="00C56257">
        <w:rPr>
          <w:rFonts w:ascii="Times New Roman" w:hAnsi="Times New Roman" w:cs="Times New Roman"/>
          <w:color w:val="000000" w:themeColor="text1"/>
          <w:sz w:val="24"/>
          <w:szCs w:val="24"/>
          <w:lang w:val="fr-FR"/>
        </w:rPr>
        <w:t xml:space="preserve"> I a </w:t>
      </w:r>
      <w:proofErr w:type="spellStart"/>
      <w:r w:rsidRPr="00C56257">
        <w:rPr>
          <w:rFonts w:ascii="Times New Roman" w:hAnsi="Times New Roman" w:cs="Times New Roman"/>
          <w:color w:val="000000" w:themeColor="text1"/>
          <w:sz w:val="24"/>
          <w:szCs w:val="24"/>
          <w:lang w:val="fr-FR"/>
        </w:rPr>
        <w:t>Directivei</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Habitate</w:t>
      </w:r>
      <w:proofErr w:type="spellEnd"/>
    </w:p>
    <w:p w14:paraId="6F539835" w14:textId="77777777" w:rsidR="008572F7" w:rsidRPr="00C56257" w:rsidRDefault="008572F7" w:rsidP="008572F7">
      <w:pPr>
        <w:pStyle w:val="BodyText"/>
        <w:spacing w:before="11"/>
        <w:jc w:val="both"/>
        <w:rPr>
          <w:b/>
          <w:color w:val="000000" w:themeColor="text1"/>
          <w:sz w:val="24"/>
          <w:szCs w:val="24"/>
          <w:lang w:val="fr-FR"/>
        </w:rPr>
      </w:pPr>
    </w:p>
    <w:p w14:paraId="75030B1B" w14:textId="77777777" w:rsidR="008572F7" w:rsidRPr="00737A92" w:rsidRDefault="00DD451C" w:rsidP="00B538DD">
      <w:pPr>
        <w:pStyle w:val="BodyText"/>
        <w:spacing w:before="1"/>
        <w:ind w:left="0" w:right="252"/>
        <w:jc w:val="both"/>
        <w:rPr>
          <w:sz w:val="24"/>
          <w:szCs w:val="24"/>
        </w:rPr>
      </w:pPr>
      <w:proofErr w:type="spellStart"/>
      <w:r>
        <w:rPr>
          <w:sz w:val="24"/>
          <w:szCs w:val="24"/>
        </w:rPr>
        <w:t>Î</w:t>
      </w:r>
      <w:r w:rsidR="008572F7" w:rsidRPr="00737A92">
        <w:rPr>
          <w:sz w:val="24"/>
          <w:szCs w:val="24"/>
        </w:rPr>
        <w:t>n</w:t>
      </w:r>
      <w:proofErr w:type="spellEnd"/>
      <w:r w:rsidR="008572F7" w:rsidRPr="00737A92">
        <w:rPr>
          <w:spacing w:val="1"/>
          <w:sz w:val="24"/>
          <w:szCs w:val="24"/>
        </w:rPr>
        <w:t xml:space="preserve"> </w:t>
      </w:r>
      <w:proofErr w:type="spellStart"/>
      <w:r w:rsidR="008572F7" w:rsidRPr="00737A92">
        <w:rPr>
          <w:sz w:val="24"/>
          <w:szCs w:val="24"/>
        </w:rPr>
        <w:t>vederea</w:t>
      </w:r>
      <w:proofErr w:type="spellEnd"/>
      <w:r w:rsidR="008572F7" w:rsidRPr="00737A92">
        <w:rPr>
          <w:spacing w:val="1"/>
          <w:sz w:val="24"/>
          <w:szCs w:val="24"/>
        </w:rPr>
        <w:t xml:space="preserve"> </w:t>
      </w:r>
      <w:proofErr w:type="spellStart"/>
      <w:r w:rsidR="008572F7" w:rsidRPr="00737A92">
        <w:rPr>
          <w:sz w:val="24"/>
          <w:szCs w:val="24"/>
        </w:rPr>
        <w:t>stabilirii</w:t>
      </w:r>
      <w:proofErr w:type="spellEnd"/>
      <w:r w:rsidR="008572F7" w:rsidRPr="00737A92">
        <w:rPr>
          <w:spacing w:val="1"/>
          <w:sz w:val="24"/>
          <w:szCs w:val="24"/>
        </w:rPr>
        <w:t xml:space="preserve"> </w:t>
      </w:r>
      <w:proofErr w:type="spellStart"/>
      <w:r w:rsidR="008572F7" w:rsidRPr="00737A92">
        <w:rPr>
          <w:sz w:val="24"/>
          <w:szCs w:val="24"/>
        </w:rPr>
        <w:t>măsurilor</w:t>
      </w:r>
      <w:proofErr w:type="spellEnd"/>
      <w:r w:rsidR="008572F7" w:rsidRPr="00737A92">
        <w:rPr>
          <w:spacing w:val="1"/>
          <w:sz w:val="24"/>
          <w:szCs w:val="24"/>
        </w:rPr>
        <w:t xml:space="preserve"> </w:t>
      </w:r>
      <w:proofErr w:type="spellStart"/>
      <w:r w:rsidR="008572F7" w:rsidRPr="00737A92">
        <w:rPr>
          <w:sz w:val="24"/>
          <w:szCs w:val="24"/>
        </w:rPr>
        <w:t>specifice</w:t>
      </w:r>
      <w:proofErr w:type="spellEnd"/>
      <w:r w:rsidR="008572F7" w:rsidRPr="00737A92">
        <w:rPr>
          <w:sz w:val="24"/>
          <w:szCs w:val="24"/>
        </w:rPr>
        <w:t>/</w:t>
      </w:r>
      <w:proofErr w:type="spellStart"/>
      <w:r w:rsidR="008572F7" w:rsidRPr="00737A92">
        <w:rPr>
          <w:sz w:val="24"/>
          <w:szCs w:val="24"/>
        </w:rPr>
        <w:t>măsurilor</w:t>
      </w:r>
      <w:proofErr w:type="spellEnd"/>
      <w:r w:rsidR="008572F7" w:rsidRPr="00737A92">
        <w:rPr>
          <w:spacing w:val="1"/>
          <w:sz w:val="24"/>
          <w:szCs w:val="24"/>
        </w:rPr>
        <w:t xml:space="preserve"> </w:t>
      </w:r>
      <w:r w:rsidR="008572F7" w:rsidRPr="00737A92">
        <w:rPr>
          <w:sz w:val="24"/>
          <w:szCs w:val="24"/>
        </w:rPr>
        <w:t>de</w:t>
      </w:r>
      <w:r w:rsidR="008572F7" w:rsidRPr="00737A92">
        <w:rPr>
          <w:spacing w:val="1"/>
          <w:sz w:val="24"/>
          <w:szCs w:val="24"/>
        </w:rPr>
        <w:t xml:space="preserve"> </w:t>
      </w:r>
      <w:r w:rsidR="008572F7" w:rsidRPr="00737A92">
        <w:rPr>
          <w:sz w:val="24"/>
          <w:szCs w:val="24"/>
        </w:rPr>
        <w:t>management,</w:t>
      </w:r>
      <w:r w:rsidR="008572F7" w:rsidRPr="00737A92">
        <w:rPr>
          <w:spacing w:val="1"/>
          <w:sz w:val="24"/>
          <w:szCs w:val="24"/>
        </w:rPr>
        <w:t xml:space="preserve"> </w:t>
      </w:r>
      <w:proofErr w:type="spellStart"/>
      <w:r w:rsidR="008572F7" w:rsidRPr="00737A92">
        <w:rPr>
          <w:sz w:val="24"/>
          <w:szCs w:val="24"/>
        </w:rPr>
        <w:t>trebuie</w:t>
      </w:r>
      <w:proofErr w:type="spellEnd"/>
      <w:r w:rsidR="008572F7" w:rsidRPr="00737A92">
        <w:rPr>
          <w:spacing w:val="1"/>
          <w:sz w:val="24"/>
          <w:szCs w:val="24"/>
        </w:rPr>
        <w:t xml:space="preserve"> </w:t>
      </w:r>
      <w:proofErr w:type="spellStart"/>
      <w:r w:rsidR="008572F7" w:rsidRPr="00737A92">
        <w:rPr>
          <w:sz w:val="24"/>
          <w:szCs w:val="24"/>
        </w:rPr>
        <w:t>furnizate</w:t>
      </w:r>
      <w:proofErr w:type="spellEnd"/>
      <w:r w:rsidR="008572F7" w:rsidRPr="00737A92">
        <w:rPr>
          <w:spacing w:val="1"/>
          <w:sz w:val="24"/>
          <w:szCs w:val="24"/>
        </w:rPr>
        <w:t xml:space="preserve"> </w:t>
      </w:r>
      <w:proofErr w:type="spellStart"/>
      <w:r w:rsidR="008572F7" w:rsidRPr="00737A92">
        <w:rPr>
          <w:sz w:val="24"/>
          <w:szCs w:val="24"/>
        </w:rPr>
        <w:t>informaţii</w:t>
      </w:r>
      <w:proofErr w:type="spellEnd"/>
      <w:r w:rsidR="008572F7" w:rsidRPr="00737A92">
        <w:rPr>
          <w:spacing w:val="1"/>
          <w:sz w:val="24"/>
          <w:szCs w:val="24"/>
        </w:rPr>
        <w:t xml:space="preserve"> </w:t>
      </w:r>
      <w:proofErr w:type="spellStart"/>
      <w:r w:rsidR="008572F7" w:rsidRPr="00737A92">
        <w:rPr>
          <w:sz w:val="24"/>
          <w:szCs w:val="24"/>
        </w:rPr>
        <w:t>suplimentare</w:t>
      </w:r>
      <w:proofErr w:type="spellEnd"/>
      <w:r w:rsidR="008572F7" w:rsidRPr="00737A92">
        <w:rPr>
          <w:spacing w:val="1"/>
          <w:sz w:val="24"/>
          <w:szCs w:val="24"/>
        </w:rPr>
        <w:t xml:space="preserve"> </w:t>
      </w:r>
      <w:proofErr w:type="spellStart"/>
      <w:r w:rsidR="008572F7" w:rsidRPr="00737A92">
        <w:rPr>
          <w:sz w:val="24"/>
          <w:szCs w:val="24"/>
        </w:rPr>
        <w:t>privind</w:t>
      </w:r>
      <w:proofErr w:type="spellEnd"/>
      <w:r w:rsidR="008572F7" w:rsidRPr="00737A92">
        <w:rPr>
          <w:spacing w:val="1"/>
          <w:sz w:val="24"/>
          <w:szCs w:val="24"/>
        </w:rPr>
        <w:t xml:space="preserve"> </w:t>
      </w:r>
      <w:proofErr w:type="spellStart"/>
      <w:r w:rsidR="008572F7" w:rsidRPr="00737A92">
        <w:rPr>
          <w:sz w:val="24"/>
          <w:szCs w:val="24"/>
        </w:rPr>
        <w:t>indicarea</w:t>
      </w:r>
      <w:proofErr w:type="spellEnd"/>
      <w:r w:rsidR="008572F7" w:rsidRPr="00737A92">
        <w:rPr>
          <w:spacing w:val="-57"/>
          <w:sz w:val="24"/>
          <w:szCs w:val="24"/>
        </w:rPr>
        <w:t xml:space="preserve"> </w:t>
      </w:r>
      <w:r w:rsidR="00DE490A">
        <w:rPr>
          <w:spacing w:val="-57"/>
          <w:sz w:val="24"/>
          <w:szCs w:val="24"/>
        </w:rPr>
        <w:t xml:space="preserve"> </w:t>
      </w:r>
      <w:r w:rsidR="00DE490A">
        <w:rPr>
          <w:sz w:val="24"/>
          <w:szCs w:val="24"/>
        </w:rPr>
        <w:t xml:space="preserve"> </w:t>
      </w:r>
      <w:proofErr w:type="spellStart"/>
      <w:r w:rsidR="00DE490A">
        <w:rPr>
          <w:sz w:val="24"/>
          <w:szCs w:val="24"/>
        </w:rPr>
        <w:t>pentru</w:t>
      </w:r>
      <w:proofErr w:type="spellEnd"/>
      <w:r w:rsidR="00DE490A">
        <w:rPr>
          <w:sz w:val="24"/>
          <w:szCs w:val="24"/>
        </w:rPr>
        <w:t xml:space="preserve"> </w:t>
      </w:r>
      <w:proofErr w:type="spellStart"/>
      <w:r w:rsidR="008572F7" w:rsidRPr="00737A92">
        <w:rPr>
          <w:sz w:val="24"/>
          <w:szCs w:val="24"/>
        </w:rPr>
        <w:t>fiecare</w:t>
      </w:r>
      <w:proofErr w:type="spellEnd"/>
      <w:r w:rsidR="008572F7" w:rsidRPr="00737A92">
        <w:rPr>
          <w:sz w:val="24"/>
          <w:szCs w:val="24"/>
        </w:rPr>
        <w:t xml:space="preserve"> </w:t>
      </w:r>
      <w:proofErr w:type="spellStart"/>
      <w:r w:rsidR="008572F7" w:rsidRPr="00737A92">
        <w:rPr>
          <w:sz w:val="24"/>
          <w:szCs w:val="24"/>
        </w:rPr>
        <w:t>activitate</w:t>
      </w:r>
      <w:proofErr w:type="spellEnd"/>
      <w:r w:rsidR="008572F7" w:rsidRPr="00737A92">
        <w:rPr>
          <w:sz w:val="24"/>
          <w:szCs w:val="24"/>
        </w:rPr>
        <w:t xml:space="preserve"> cu impact </w:t>
      </w:r>
      <w:proofErr w:type="spellStart"/>
      <w:r w:rsidR="008572F7" w:rsidRPr="00737A92">
        <w:rPr>
          <w:sz w:val="24"/>
          <w:szCs w:val="24"/>
        </w:rPr>
        <w:t>asupra</w:t>
      </w:r>
      <w:proofErr w:type="spellEnd"/>
      <w:r w:rsidR="008572F7" w:rsidRPr="00737A92">
        <w:rPr>
          <w:sz w:val="24"/>
          <w:szCs w:val="24"/>
        </w:rPr>
        <w:t xml:space="preserve"> </w:t>
      </w:r>
      <w:proofErr w:type="spellStart"/>
      <w:r w:rsidR="008572F7" w:rsidRPr="00737A92">
        <w:rPr>
          <w:sz w:val="24"/>
          <w:szCs w:val="24"/>
        </w:rPr>
        <w:t>speciilor</w:t>
      </w:r>
      <w:proofErr w:type="spellEnd"/>
      <w:r w:rsidR="008572F7" w:rsidRPr="00737A92">
        <w:rPr>
          <w:sz w:val="24"/>
          <w:szCs w:val="24"/>
        </w:rPr>
        <w:t xml:space="preserve"> </w:t>
      </w:r>
      <w:proofErr w:type="spellStart"/>
      <w:r w:rsidR="008572F7" w:rsidRPr="00737A92">
        <w:rPr>
          <w:sz w:val="24"/>
          <w:szCs w:val="24"/>
        </w:rPr>
        <w:t>şi</w:t>
      </w:r>
      <w:proofErr w:type="spellEnd"/>
      <w:r w:rsidR="008572F7" w:rsidRPr="00737A92">
        <w:rPr>
          <w:sz w:val="24"/>
          <w:szCs w:val="24"/>
        </w:rPr>
        <w:t xml:space="preserve"> </w:t>
      </w:r>
      <w:proofErr w:type="spellStart"/>
      <w:r w:rsidR="008572F7" w:rsidRPr="00737A92">
        <w:rPr>
          <w:sz w:val="24"/>
          <w:szCs w:val="24"/>
        </w:rPr>
        <w:t>tipurilor</w:t>
      </w:r>
      <w:proofErr w:type="spellEnd"/>
      <w:r w:rsidR="008572F7" w:rsidRPr="00737A92">
        <w:rPr>
          <w:sz w:val="24"/>
          <w:szCs w:val="24"/>
        </w:rPr>
        <w:t xml:space="preserve"> de </w:t>
      </w:r>
      <w:proofErr w:type="spellStart"/>
      <w:r w:rsidR="008572F7" w:rsidRPr="00737A92">
        <w:rPr>
          <w:sz w:val="24"/>
          <w:szCs w:val="24"/>
        </w:rPr>
        <w:t>habitate</w:t>
      </w:r>
      <w:proofErr w:type="spellEnd"/>
      <w:r w:rsidR="008572F7" w:rsidRPr="00737A92">
        <w:rPr>
          <w:sz w:val="24"/>
          <w:szCs w:val="24"/>
        </w:rPr>
        <w:t xml:space="preserve"> </w:t>
      </w:r>
      <w:proofErr w:type="spellStart"/>
      <w:r w:rsidR="008572F7" w:rsidRPr="00737A92">
        <w:rPr>
          <w:sz w:val="24"/>
          <w:szCs w:val="24"/>
        </w:rPr>
        <w:t>impactate</w:t>
      </w:r>
      <w:proofErr w:type="spellEnd"/>
      <w:r w:rsidR="008572F7" w:rsidRPr="00737A92">
        <w:rPr>
          <w:sz w:val="24"/>
          <w:szCs w:val="24"/>
        </w:rPr>
        <w:t xml:space="preserve">, </w:t>
      </w:r>
      <w:proofErr w:type="spellStart"/>
      <w:r w:rsidR="008572F7" w:rsidRPr="00737A92">
        <w:rPr>
          <w:sz w:val="24"/>
          <w:szCs w:val="24"/>
        </w:rPr>
        <w:t>inclusiv</w:t>
      </w:r>
      <w:proofErr w:type="spellEnd"/>
      <w:r w:rsidR="008572F7" w:rsidRPr="00737A92">
        <w:rPr>
          <w:sz w:val="24"/>
          <w:szCs w:val="24"/>
        </w:rPr>
        <w:t xml:space="preserve"> a</w:t>
      </w:r>
      <w:r w:rsidR="008572F7" w:rsidRPr="00737A92">
        <w:rPr>
          <w:spacing w:val="1"/>
          <w:sz w:val="24"/>
          <w:szCs w:val="24"/>
        </w:rPr>
        <w:t xml:space="preserve"> </w:t>
      </w:r>
      <w:proofErr w:type="spellStart"/>
      <w:r w:rsidR="008572F7" w:rsidRPr="00737A92">
        <w:rPr>
          <w:sz w:val="24"/>
          <w:szCs w:val="24"/>
        </w:rPr>
        <w:t>intensităţii</w:t>
      </w:r>
      <w:proofErr w:type="spellEnd"/>
      <w:r w:rsidR="008572F7" w:rsidRPr="00737A92">
        <w:rPr>
          <w:spacing w:val="-1"/>
          <w:sz w:val="24"/>
          <w:szCs w:val="24"/>
        </w:rPr>
        <w:t xml:space="preserve"> </w:t>
      </w:r>
      <w:proofErr w:type="spellStart"/>
      <w:r w:rsidR="008572F7" w:rsidRPr="00737A92">
        <w:rPr>
          <w:sz w:val="24"/>
          <w:szCs w:val="24"/>
        </w:rPr>
        <w:t>impactului</w:t>
      </w:r>
      <w:proofErr w:type="spellEnd"/>
      <w:r w:rsidR="008572F7" w:rsidRPr="00737A92">
        <w:rPr>
          <w:sz w:val="24"/>
          <w:szCs w:val="24"/>
        </w:rPr>
        <w:t xml:space="preserve"> </w:t>
      </w:r>
      <w:proofErr w:type="spellStart"/>
      <w:r w:rsidR="008572F7" w:rsidRPr="00737A92">
        <w:rPr>
          <w:sz w:val="24"/>
          <w:szCs w:val="24"/>
        </w:rPr>
        <w:t>funcţie</w:t>
      </w:r>
      <w:proofErr w:type="spellEnd"/>
      <w:r w:rsidR="008572F7" w:rsidRPr="00737A92">
        <w:rPr>
          <w:spacing w:val="-1"/>
          <w:sz w:val="24"/>
          <w:szCs w:val="24"/>
        </w:rPr>
        <w:t xml:space="preserve"> </w:t>
      </w:r>
      <w:r w:rsidR="008572F7" w:rsidRPr="00737A92">
        <w:rPr>
          <w:sz w:val="24"/>
          <w:szCs w:val="24"/>
        </w:rPr>
        <w:t>de</w:t>
      </w:r>
      <w:r w:rsidR="008572F7" w:rsidRPr="00737A92">
        <w:rPr>
          <w:spacing w:val="-1"/>
          <w:sz w:val="24"/>
          <w:szCs w:val="24"/>
        </w:rPr>
        <w:t xml:space="preserve"> </w:t>
      </w:r>
      <w:proofErr w:type="spellStart"/>
      <w:r w:rsidR="008572F7" w:rsidRPr="00737A92">
        <w:rPr>
          <w:sz w:val="24"/>
          <w:szCs w:val="24"/>
        </w:rPr>
        <w:t>localizare</w:t>
      </w:r>
      <w:proofErr w:type="spellEnd"/>
      <w:r w:rsidR="008572F7" w:rsidRPr="00737A92">
        <w:rPr>
          <w:sz w:val="24"/>
          <w:szCs w:val="24"/>
        </w:rPr>
        <w:t>.</w:t>
      </w:r>
    </w:p>
    <w:p w14:paraId="10CE13B5" w14:textId="77777777" w:rsidR="008572F7" w:rsidRPr="00737A92" w:rsidRDefault="008572F7" w:rsidP="00B538DD">
      <w:pPr>
        <w:pStyle w:val="BodyText"/>
        <w:ind w:left="0"/>
        <w:jc w:val="both"/>
        <w:rPr>
          <w:sz w:val="24"/>
          <w:szCs w:val="24"/>
        </w:rPr>
      </w:pPr>
      <w:proofErr w:type="spellStart"/>
      <w:r w:rsidRPr="00737A92">
        <w:rPr>
          <w:sz w:val="24"/>
          <w:szCs w:val="24"/>
        </w:rPr>
        <w:t>În</w:t>
      </w:r>
      <w:proofErr w:type="spellEnd"/>
      <w:r w:rsidRPr="00737A92">
        <w:rPr>
          <w:sz w:val="24"/>
          <w:szCs w:val="24"/>
        </w:rPr>
        <w:t xml:space="preserve"> </w:t>
      </w:r>
      <w:proofErr w:type="spellStart"/>
      <w:r w:rsidRPr="00737A92">
        <w:rPr>
          <w:sz w:val="24"/>
          <w:szCs w:val="24"/>
        </w:rPr>
        <w:t>acest</w:t>
      </w:r>
      <w:proofErr w:type="spellEnd"/>
      <w:r w:rsidRPr="00737A92">
        <w:rPr>
          <w:spacing w:val="-1"/>
          <w:sz w:val="24"/>
          <w:szCs w:val="24"/>
        </w:rPr>
        <w:t xml:space="preserve"> </w:t>
      </w:r>
      <w:proofErr w:type="spellStart"/>
      <w:r w:rsidRPr="00737A92">
        <w:rPr>
          <w:sz w:val="24"/>
          <w:szCs w:val="24"/>
        </w:rPr>
        <w:t>sens</w:t>
      </w:r>
      <w:proofErr w:type="spellEnd"/>
      <w:r w:rsidRPr="00737A92">
        <w:rPr>
          <w:sz w:val="24"/>
          <w:szCs w:val="24"/>
        </w:rPr>
        <w:t>,</w:t>
      </w:r>
      <w:r w:rsidRPr="00737A92">
        <w:rPr>
          <w:spacing w:val="-1"/>
          <w:sz w:val="24"/>
          <w:szCs w:val="24"/>
        </w:rPr>
        <w:t xml:space="preserve"> </w:t>
      </w:r>
      <w:proofErr w:type="spellStart"/>
      <w:r w:rsidRPr="00737A92">
        <w:rPr>
          <w:sz w:val="24"/>
          <w:szCs w:val="24"/>
        </w:rPr>
        <w:t>pentru</w:t>
      </w:r>
      <w:proofErr w:type="spellEnd"/>
      <w:r w:rsidRPr="00737A92">
        <w:rPr>
          <w:spacing w:val="-1"/>
          <w:sz w:val="24"/>
          <w:szCs w:val="24"/>
        </w:rPr>
        <w:t xml:space="preserve"> </w:t>
      </w:r>
      <w:proofErr w:type="spellStart"/>
      <w:r w:rsidRPr="00737A92">
        <w:rPr>
          <w:sz w:val="24"/>
          <w:szCs w:val="24"/>
        </w:rPr>
        <w:t>evaluarea</w:t>
      </w:r>
      <w:proofErr w:type="spellEnd"/>
      <w:r w:rsidRPr="00737A92">
        <w:rPr>
          <w:spacing w:val="-2"/>
          <w:sz w:val="24"/>
          <w:szCs w:val="24"/>
        </w:rPr>
        <w:t xml:space="preserve"> </w:t>
      </w:r>
      <w:proofErr w:type="spellStart"/>
      <w:r w:rsidRPr="00737A92">
        <w:rPr>
          <w:sz w:val="24"/>
          <w:szCs w:val="24"/>
        </w:rPr>
        <w:t>impacturilor</w:t>
      </w:r>
      <w:proofErr w:type="spellEnd"/>
      <w:r w:rsidRPr="00737A92">
        <w:rPr>
          <w:spacing w:val="-1"/>
          <w:sz w:val="24"/>
          <w:szCs w:val="24"/>
        </w:rPr>
        <w:t xml:space="preserve"> </w:t>
      </w:r>
      <w:proofErr w:type="spellStart"/>
      <w:r w:rsidRPr="00737A92">
        <w:rPr>
          <w:sz w:val="24"/>
          <w:szCs w:val="24"/>
        </w:rPr>
        <w:t>trebuie</w:t>
      </w:r>
      <w:proofErr w:type="spellEnd"/>
      <w:r w:rsidRPr="00737A92">
        <w:rPr>
          <w:spacing w:val="-3"/>
          <w:sz w:val="24"/>
          <w:szCs w:val="24"/>
        </w:rPr>
        <w:t xml:space="preserve"> </w:t>
      </w:r>
      <w:proofErr w:type="spellStart"/>
      <w:r w:rsidRPr="00737A92">
        <w:rPr>
          <w:sz w:val="24"/>
          <w:szCs w:val="24"/>
        </w:rPr>
        <w:t>furnizate</w:t>
      </w:r>
      <w:proofErr w:type="spellEnd"/>
      <w:r w:rsidRPr="00737A92">
        <w:rPr>
          <w:spacing w:val="-1"/>
          <w:sz w:val="24"/>
          <w:szCs w:val="24"/>
        </w:rPr>
        <w:t xml:space="preserve"> </w:t>
      </w:r>
      <w:proofErr w:type="spellStart"/>
      <w:r w:rsidRPr="00737A92">
        <w:rPr>
          <w:sz w:val="24"/>
          <w:szCs w:val="24"/>
        </w:rPr>
        <w:t>informaţiile</w:t>
      </w:r>
      <w:proofErr w:type="spellEnd"/>
      <w:r w:rsidRPr="00737A92">
        <w:rPr>
          <w:spacing w:val="-1"/>
          <w:sz w:val="24"/>
          <w:szCs w:val="24"/>
        </w:rPr>
        <w:t xml:space="preserve"> </w:t>
      </w:r>
      <w:proofErr w:type="spellStart"/>
      <w:r w:rsidRPr="00737A92">
        <w:rPr>
          <w:sz w:val="24"/>
          <w:szCs w:val="24"/>
        </w:rPr>
        <w:t>necesare</w:t>
      </w:r>
      <w:proofErr w:type="spellEnd"/>
      <w:r w:rsidRPr="00737A92">
        <w:rPr>
          <w:spacing w:val="-3"/>
          <w:sz w:val="24"/>
          <w:szCs w:val="24"/>
        </w:rPr>
        <w:t xml:space="preserve"> </w:t>
      </w:r>
      <w:proofErr w:type="spellStart"/>
      <w:r w:rsidRPr="00737A92">
        <w:rPr>
          <w:sz w:val="24"/>
          <w:szCs w:val="24"/>
        </w:rPr>
        <w:t>pentru</w:t>
      </w:r>
      <w:proofErr w:type="spellEnd"/>
      <w:r w:rsidRPr="00737A92">
        <w:rPr>
          <w:sz w:val="24"/>
          <w:szCs w:val="24"/>
        </w:rPr>
        <w:t>:</w:t>
      </w:r>
    </w:p>
    <w:p w14:paraId="4CD6B4D6" w14:textId="77777777" w:rsidR="008572F7" w:rsidRPr="00C56257" w:rsidRDefault="008572F7" w:rsidP="009E63E5">
      <w:pPr>
        <w:pStyle w:val="Heading2"/>
        <w:widowControl w:val="0"/>
        <w:numPr>
          <w:ilvl w:val="1"/>
          <w:numId w:val="161"/>
        </w:numPr>
        <w:tabs>
          <w:tab w:val="left" w:pos="1194"/>
        </w:tabs>
        <w:autoSpaceDE w:val="0"/>
        <w:autoSpaceDN w:val="0"/>
        <w:spacing w:before="0" w:beforeAutospacing="0" w:after="0" w:afterAutospacing="0"/>
        <w:ind w:left="0" w:firstLine="0"/>
        <w:jc w:val="both"/>
        <w:rPr>
          <w:rFonts w:eastAsiaTheme="minorEastAsia"/>
          <w:b w:val="0"/>
          <w:bCs w:val="0"/>
          <w:color w:val="000000" w:themeColor="text1"/>
          <w:sz w:val="24"/>
          <w:szCs w:val="24"/>
        </w:rPr>
      </w:pPr>
      <w:proofErr w:type="spellStart"/>
      <w:r w:rsidRPr="00C56257">
        <w:rPr>
          <w:rFonts w:eastAsiaTheme="minorEastAsia"/>
          <w:b w:val="0"/>
          <w:bCs w:val="0"/>
          <w:color w:val="000000" w:themeColor="text1"/>
          <w:sz w:val="24"/>
          <w:szCs w:val="24"/>
        </w:rPr>
        <w:t>Evaluarea</w:t>
      </w:r>
      <w:proofErr w:type="spellEnd"/>
      <w:r w:rsidRPr="00C56257">
        <w:rPr>
          <w:rFonts w:eastAsiaTheme="minorEastAsia"/>
          <w:b w:val="0"/>
          <w:bCs w:val="0"/>
          <w:color w:val="000000" w:themeColor="text1"/>
          <w:sz w:val="24"/>
          <w:szCs w:val="24"/>
        </w:rPr>
        <w:t xml:space="preserve"> </w:t>
      </w:r>
      <w:proofErr w:type="spellStart"/>
      <w:r w:rsidRPr="00C56257">
        <w:rPr>
          <w:rFonts w:eastAsiaTheme="minorEastAsia"/>
          <w:b w:val="0"/>
          <w:bCs w:val="0"/>
          <w:color w:val="000000" w:themeColor="text1"/>
          <w:sz w:val="24"/>
          <w:szCs w:val="24"/>
        </w:rPr>
        <w:t>activităţilor</w:t>
      </w:r>
      <w:proofErr w:type="spellEnd"/>
      <w:r w:rsidRPr="00C56257">
        <w:rPr>
          <w:rFonts w:eastAsiaTheme="minorEastAsia"/>
          <w:b w:val="0"/>
          <w:bCs w:val="0"/>
          <w:color w:val="000000" w:themeColor="text1"/>
          <w:sz w:val="24"/>
          <w:szCs w:val="24"/>
        </w:rPr>
        <w:t xml:space="preserve"> cu impact </w:t>
      </w:r>
      <w:proofErr w:type="spellStart"/>
      <w:r w:rsidRPr="00C56257">
        <w:rPr>
          <w:rFonts w:eastAsiaTheme="minorEastAsia"/>
          <w:b w:val="0"/>
          <w:bCs w:val="0"/>
          <w:color w:val="000000" w:themeColor="text1"/>
          <w:sz w:val="24"/>
          <w:szCs w:val="24"/>
        </w:rPr>
        <w:t>asupra</w:t>
      </w:r>
      <w:proofErr w:type="spellEnd"/>
      <w:r w:rsidRPr="00C56257">
        <w:rPr>
          <w:rFonts w:eastAsiaTheme="minorEastAsia"/>
          <w:b w:val="0"/>
          <w:bCs w:val="0"/>
          <w:color w:val="000000" w:themeColor="text1"/>
          <w:sz w:val="24"/>
          <w:szCs w:val="24"/>
        </w:rPr>
        <w:t xml:space="preserve"> </w:t>
      </w:r>
      <w:proofErr w:type="spellStart"/>
      <w:r w:rsidRPr="00C56257">
        <w:rPr>
          <w:rFonts w:eastAsiaTheme="minorEastAsia"/>
          <w:b w:val="0"/>
          <w:bCs w:val="0"/>
          <w:color w:val="000000" w:themeColor="text1"/>
          <w:sz w:val="24"/>
          <w:szCs w:val="24"/>
        </w:rPr>
        <w:t>ariei</w:t>
      </w:r>
      <w:proofErr w:type="spellEnd"/>
      <w:r w:rsidRPr="00C56257">
        <w:rPr>
          <w:rFonts w:eastAsiaTheme="minorEastAsia"/>
          <w:b w:val="0"/>
          <w:bCs w:val="0"/>
          <w:color w:val="000000" w:themeColor="text1"/>
          <w:sz w:val="24"/>
          <w:szCs w:val="24"/>
        </w:rPr>
        <w:t xml:space="preserve"> </w:t>
      </w:r>
      <w:proofErr w:type="spellStart"/>
      <w:r w:rsidRPr="00C56257">
        <w:rPr>
          <w:rFonts w:eastAsiaTheme="minorEastAsia"/>
          <w:b w:val="0"/>
          <w:bCs w:val="0"/>
          <w:color w:val="000000" w:themeColor="text1"/>
          <w:sz w:val="24"/>
          <w:szCs w:val="24"/>
        </w:rPr>
        <w:t>naturale</w:t>
      </w:r>
      <w:proofErr w:type="spellEnd"/>
      <w:r w:rsidRPr="00C56257">
        <w:rPr>
          <w:rFonts w:eastAsiaTheme="minorEastAsia"/>
          <w:b w:val="0"/>
          <w:bCs w:val="0"/>
          <w:color w:val="000000" w:themeColor="text1"/>
          <w:sz w:val="24"/>
          <w:szCs w:val="24"/>
        </w:rPr>
        <w:t xml:space="preserve"> </w:t>
      </w:r>
      <w:proofErr w:type="spellStart"/>
      <w:r w:rsidRPr="00C56257">
        <w:rPr>
          <w:rFonts w:eastAsiaTheme="minorEastAsia"/>
          <w:b w:val="0"/>
          <w:bCs w:val="0"/>
          <w:color w:val="000000" w:themeColor="text1"/>
          <w:sz w:val="24"/>
          <w:szCs w:val="24"/>
        </w:rPr>
        <w:t>protejate</w:t>
      </w:r>
      <w:proofErr w:type="spellEnd"/>
      <w:r w:rsidRPr="00C56257">
        <w:rPr>
          <w:rFonts w:eastAsiaTheme="minorEastAsia"/>
          <w:b w:val="0"/>
          <w:bCs w:val="0"/>
          <w:color w:val="000000" w:themeColor="text1"/>
          <w:sz w:val="24"/>
          <w:szCs w:val="24"/>
        </w:rPr>
        <w:t xml:space="preserve">, </w:t>
      </w:r>
      <w:proofErr w:type="spellStart"/>
      <w:r w:rsidRPr="00C56257">
        <w:rPr>
          <w:rFonts w:eastAsiaTheme="minorEastAsia"/>
          <w:b w:val="0"/>
          <w:bCs w:val="0"/>
          <w:color w:val="000000" w:themeColor="text1"/>
          <w:sz w:val="24"/>
          <w:szCs w:val="24"/>
        </w:rPr>
        <w:t>în</w:t>
      </w:r>
      <w:proofErr w:type="spellEnd"/>
      <w:r w:rsidRPr="00C56257">
        <w:rPr>
          <w:rFonts w:eastAsiaTheme="minorEastAsia"/>
          <w:b w:val="0"/>
          <w:bCs w:val="0"/>
          <w:color w:val="000000" w:themeColor="text1"/>
          <w:sz w:val="24"/>
          <w:szCs w:val="24"/>
        </w:rPr>
        <w:t xml:space="preserve"> general</w:t>
      </w:r>
    </w:p>
    <w:p w14:paraId="63E4446A" w14:textId="77777777" w:rsidR="008572F7" w:rsidRPr="00C56257" w:rsidRDefault="008572F7" w:rsidP="009E63E5">
      <w:pPr>
        <w:pStyle w:val="Heading2"/>
        <w:widowControl w:val="0"/>
        <w:numPr>
          <w:ilvl w:val="1"/>
          <w:numId w:val="161"/>
        </w:numPr>
        <w:tabs>
          <w:tab w:val="left" w:pos="1194"/>
        </w:tabs>
        <w:autoSpaceDE w:val="0"/>
        <w:autoSpaceDN w:val="0"/>
        <w:spacing w:before="0" w:beforeAutospacing="0" w:after="0" w:afterAutospacing="0"/>
        <w:ind w:left="0" w:firstLine="0"/>
        <w:jc w:val="both"/>
        <w:rPr>
          <w:rFonts w:eastAsiaTheme="minorEastAsia"/>
          <w:b w:val="0"/>
          <w:bCs w:val="0"/>
          <w:color w:val="000000" w:themeColor="text1"/>
          <w:sz w:val="24"/>
          <w:szCs w:val="24"/>
        </w:rPr>
      </w:pPr>
      <w:proofErr w:type="spellStart"/>
      <w:r w:rsidRPr="00C56257">
        <w:rPr>
          <w:rFonts w:eastAsiaTheme="minorEastAsia"/>
          <w:b w:val="0"/>
          <w:bCs w:val="0"/>
          <w:color w:val="000000" w:themeColor="text1"/>
          <w:sz w:val="24"/>
          <w:szCs w:val="24"/>
        </w:rPr>
        <w:t>Evaluarea</w:t>
      </w:r>
      <w:proofErr w:type="spellEnd"/>
      <w:r w:rsidRPr="00C56257">
        <w:rPr>
          <w:rFonts w:eastAsiaTheme="minorEastAsia"/>
          <w:b w:val="0"/>
          <w:bCs w:val="0"/>
          <w:color w:val="000000" w:themeColor="text1"/>
          <w:sz w:val="24"/>
          <w:szCs w:val="24"/>
        </w:rPr>
        <w:t xml:space="preserve"> </w:t>
      </w:r>
      <w:proofErr w:type="spellStart"/>
      <w:r w:rsidRPr="00C56257">
        <w:rPr>
          <w:rFonts w:eastAsiaTheme="minorEastAsia"/>
          <w:b w:val="0"/>
          <w:bCs w:val="0"/>
          <w:color w:val="000000" w:themeColor="text1"/>
          <w:sz w:val="24"/>
          <w:szCs w:val="24"/>
        </w:rPr>
        <w:t>activităţilor</w:t>
      </w:r>
      <w:proofErr w:type="spellEnd"/>
      <w:r w:rsidRPr="00C56257">
        <w:rPr>
          <w:rFonts w:eastAsiaTheme="minorEastAsia"/>
          <w:b w:val="0"/>
          <w:bCs w:val="0"/>
          <w:color w:val="000000" w:themeColor="text1"/>
          <w:sz w:val="24"/>
          <w:szCs w:val="24"/>
        </w:rPr>
        <w:t xml:space="preserve"> cu impact </w:t>
      </w:r>
      <w:proofErr w:type="spellStart"/>
      <w:r w:rsidRPr="00C56257">
        <w:rPr>
          <w:rFonts w:eastAsiaTheme="minorEastAsia"/>
          <w:b w:val="0"/>
          <w:bCs w:val="0"/>
          <w:color w:val="000000" w:themeColor="text1"/>
          <w:sz w:val="24"/>
          <w:szCs w:val="24"/>
        </w:rPr>
        <w:t>asupra</w:t>
      </w:r>
      <w:proofErr w:type="spellEnd"/>
      <w:r w:rsidRPr="00C56257">
        <w:rPr>
          <w:rFonts w:eastAsiaTheme="minorEastAsia"/>
          <w:b w:val="0"/>
          <w:bCs w:val="0"/>
          <w:color w:val="000000" w:themeColor="text1"/>
          <w:sz w:val="24"/>
          <w:szCs w:val="24"/>
        </w:rPr>
        <w:t xml:space="preserve"> </w:t>
      </w:r>
      <w:proofErr w:type="spellStart"/>
      <w:r w:rsidRPr="00C56257">
        <w:rPr>
          <w:rFonts w:eastAsiaTheme="minorEastAsia"/>
          <w:b w:val="0"/>
          <w:bCs w:val="0"/>
          <w:color w:val="000000" w:themeColor="text1"/>
          <w:sz w:val="24"/>
          <w:szCs w:val="24"/>
        </w:rPr>
        <w:t>speciilor</w:t>
      </w:r>
      <w:proofErr w:type="spellEnd"/>
      <w:r w:rsidRPr="00C56257">
        <w:rPr>
          <w:rFonts w:eastAsiaTheme="minorEastAsia"/>
          <w:b w:val="0"/>
          <w:bCs w:val="0"/>
          <w:color w:val="000000" w:themeColor="text1"/>
          <w:sz w:val="24"/>
          <w:szCs w:val="24"/>
        </w:rPr>
        <w:t xml:space="preserve"> de </w:t>
      </w:r>
      <w:proofErr w:type="spellStart"/>
      <w:r w:rsidRPr="00C56257">
        <w:rPr>
          <w:rFonts w:eastAsiaTheme="minorEastAsia"/>
          <w:b w:val="0"/>
          <w:bCs w:val="0"/>
          <w:color w:val="000000" w:themeColor="text1"/>
          <w:sz w:val="24"/>
          <w:szCs w:val="24"/>
        </w:rPr>
        <w:t>interes</w:t>
      </w:r>
      <w:proofErr w:type="spellEnd"/>
      <w:r w:rsidRPr="00C56257">
        <w:rPr>
          <w:rFonts w:eastAsiaTheme="minorEastAsia"/>
          <w:b w:val="0"/>
          <w:bCs w:val="0"/>
          <w:color w:val="000000" w:themeColor="text1"/>
          <w:sz w:val="24"/>
          <w:szCs w:val="24"/>
        </w:rPr>
        <w:t xml:space="preserve"> conservative</w:t>
      </w:r>
    </w:p>
    <w:p w14:paraId="47218C12" w14:textId="77777777" w:rsidR="008572F7" w:rsidRPr="00C56257" w:rsidRDefault="008572F7" w:rsidP="009E63E5">
      <w:pPr>
        <w:pStyle w:val="Heading2"/>
        <w:widowControl w:val="0"/>
        <w:numPr>
          <w:ilvl w:val="1"/>
          <w:numId w:val="161"/>
        </w:numPr>
        <w:tabs>
          <w:tab w:val="left" w:pos="1194"/>
        </w:tabs>
        <w:autoSpaceDE w:val="0"/>
        <w:autoSpaceDN w:val="0"/>
        <w:spacing w:before="0" w:beforeAutospacing="0" w:after="0" w:afterAutospacing="0"/>
        <w:ind w:left="0" w:firstLine="0"/>
        <w:jc w:val="both"/>
        <w:rPr>
          <w:rFonts w:eastAsiaTheme="minorEastAsia"/>
          <w:b w:val="0"/>
          <w:bCs w:val="0"/>
          <w:color w:val="000000" w:themeColor="text1"/>
          <w:sz w:val="24"/>
          <w:szCs w:val="24"/>
        </w:rPr>
      </w:pPr>
      <w:proofErr w:type="spellStart"/>
      <w:r w:rsidRPr="00C56257">
        <w:rPr>
          <w:rFonts w:eastAsiaTheme="minorEastAsia"/>
          <w:b w:val="0"/>
          <w:bCs w:val="0"/>
          <w:color w:val="000000" w:themeColor="text1"/>
          <w:sz w:val="24"/>
          <w:szCs w:val="24"/>
        </w:rPr>
        <w:t>Evaluarea</w:t>
      </w:r>
      <w:proofErr w:type="spellEnd"/>
      <w:r w:rsidRPr="00C56257">
        <w:rPr>
          <w:rFonts w:eastAsiaTheme="minorEastAsia"/>
          <w:b w:val="0"/>
          <w:bCs w:val="0"/>
          <w:color w:val="000000" w:themeColor="text1"/>
          <w:sz w:val="24"/>
          <w:szCs w:val="24"/>
        </w:rPr>
        <w:t xml:space="preserve"> </w:t>
      </w:r>
      <w:proofErr w:type="spellStart"/>
      <w:r w:rsidRPr="00C56257">
        <w:rPr>
          <w:rFonts w:eastAsiaTheme="minorEastAsia"/>
          <w:b w:val="0"/>
          <w:bCs w:val="0"/>
          <w:color w:val="000000" w:themeColor="text1"/>
          <w:sz w:val="24"/>
          <w:szCs w:val="24"/>
        </w:rPr>
        <w:t>activităţilor</w:t>
      </w:r>
      <w:proofErr w:type="spellEnd"/>
      <w:r w:rsidRPr="00C56257">
        <w:rPr>
          <w:rFonts w:eastAsiaTheme="minorEastAsia"/>
          <w:b w:val="0"/>
          <w:bCs w:val="0"/>
          <w:color w:val="000000" w:themeColor="text1"/>
          <w:sz w:val="24"/>
          <w:szCs w:val="24"/>
        </w:rPr>
        <w:t xml:space="preserve"> cu impact </w:t>
      </w:r>
      <w:proofErr w:type="spellStart"/>
      <w:r w:rsidRPr="00C56257">
        <w:rPr>
          <w:rFonts w:eastAsiaTheme="minorEastAsia"/>
          <w:b w:val="0"/>
          <w:bCs w:val="0"/>
          <w:color w:val="000000" w:themeColor="text1"/>
          <w:sz w:val="24"/>
          <w:szCs w:val="24"/>
        </w:rPr>
        <w:t>asupra</w:t>
      </w:r>
      <w:proofErr w:type="spellEnd"/>
      <w:r w:rsidRPr="00C56257">
        <w:rPr>
          <w:rFonts w:eastAsiaTheme="minorEastAsia"/>
          <w:b w:val="0"/>
          <w:bCs w:val="0"/>
          <w:color w:val="000000" w:themeColor="text1"/>
          <w:sz w:val="24"/>
          <w:szCs w:val="24"/>
        </w:rPr>
        <w:t xml:space="preserve"> </w:t>
      </w:r>
      <w:proofErr w:type="spellStart"/>
      <w:r w:rsidRPr="00C56257">
        <w:rPr>
          <w:rFonts w:eastAsiaTheme="minorEastAsia"/>
          <w:b w:val="0"/>
          <w:bCs w:val="0"/>
          <w:color w:val="000000" w:themeColor="text1"/>
          <w:sz w:val="24"/>
          <w:szCs w:val="24"/>
        </w:rPr>
        <w:t>tipurilor</w:t>
      </w:r>
      <w:proofErr w:type="spellEnd"/>
      <w:r w:rsidRPr="00C56257">
        <w:rPr>
          <w:rFonts w:eastAsiaTheme="minorEastAsia"/>
          <w:b w:val="0"/>
          <w:bCs w:val="0"/>
          <w:color w:val="000000" w:themeColor="text1"/>
          <w:sz w:val="24"/>
          <w:szCs w:val="24"/>
        </w:rPr>
        <w:t xml:space="preserve"> de </w:t>
      </w:r>
      <w:proofErr w:type="spellStart"/>
      <w:r w:rsidRPr="00C56257">
        <w:rPr>
          <w:rFonts w:eastAsiaTheme="minorEastAsia"/>
          <w:b w:val="0"/>
          <w:bCs w:val="0"/>
          <w:color w:val="000000" w:themeColor="text1"/>
          <w:sz w:val="24"/>
          <w:szCs w:val="24"/>
        </w:rPr>
        <w:t>habitate</w:t>
      </w:r>
      <w:proofErr w:type="spellEnd"/>
      <w:r w:rsidRPr="00C56257">
        <w:rPr>
          <w:rFonts w:eastAsiaTheme="minorEastAsia"/>
          <w:b w:val="0"/>
          <w:bCs w:val="0"/>
          <w:color w:val="000000" w:themeColor="text1"/>
          <w:sz w:val="24"/>
          <w:szCs w:val="24"/>
        </w:rPr>
        <w:t xml:space="preserve"> de </w:t>
      </w:r>
      <w:proofErr w:type="spellStart"/>
      <w:r w:rsidRPr="00C56257">
        <w:rPr>
          <w:rFonts w:eastAsiaTheme="minorEastAsia"/>
          <w:b w:val="0"/>
          <w:bCs w:val="0"/>
          <w:color w:val="000000" w:themeColor="text1"/>
          <w:sz w:val="24"/>
          <w:szCs w:val="24"/>
        </w:rPr>
        <w:t>interes</w:t>
      </w:r>
      <w:proofErr w:type="spellEnd"/>
      <w:r w:rsidRPr="00C56257">
        <w:rPr>
          <w:rFonts w:eastAsiaTheme="minorEastAsia"/>
          <w:b w:val="0"/>
          <w:bCs w:val="0"/>
          <w:color w:val="000000" w:themeColor="text1"/>
          <w:sz w:val="24"/>
          <w:szCs w:val="24"/>
        </w:rPr>
        <w:t xml:space="preserve"> </w:t>
      </w:r>
      <w:proofErr w:type="spellStart"/>
      <w:r w:rsidRPr="00C56257">
        <w:rPr>
          <w:rFonts w:eastAsiaTheme="minorEastAsia"/>
          <w:b w:val="0"/>
          <w:bCs w:val="0"/>
          <w:color w:val="000000" w:themeColor="text1"/>
          <w:sz w:val="24"/>
          <w:szCs w:val="24"/>
        </w:rPr>
        <w:t>conservativ</w:t>
      </w:r>
      <w:proofErr w:type="spellEnd"/>
      <w:r w:rsidRPr="00C56257">
        <w:rPr>
          <w:rFonts w:eastAsiaTheme="minorEastAsia"/>
          <w:b w:val="0"/>
          <w:bCs w:val="0"/>
          <w:color w:val="000000" w:themeColor="text1"/>
          <w:sz w:val="24"/>
          <w:szCs w:val="24"/>
        </w:rPr>
        <w:t>.</w:t>
      </w:r>
    </w:p>
    <w:p w14:paraId="6D076827" w14:textId="77777777" w:rsidR="008572F7" w:rsidRPr="00C56257" w:rsidRDefault="008572F7" w:rsidP="00F100E1">
      <w:pPr>
        <w:pStyle w:val="Heading2"/>
        <w:widowControl w:val="0"/>
        <w:tabs>
          <w:tab w:val="left" w:pos="1194"/>
        </w:tabs>
        <w:autoSpaceDE w:val="0"/>
        <w:autoSpaceDN w:val="0"/>
        <w:spacing w:before="245" w:beforeAutospacing="0" w:after="0" w:afterAutospacing="0"/>
        <w:jc w:val="both"/>
        <w:rPr>
          <w:color w:val="000000" w:themeColor="text1"/>
          <w:sz w:val="24"/>
          <w:szCs w:val="24"/>
          <w:lang w:val="fr-FR"/>
        </w:rPr>
      </w:pPr>
      <w:proofErr w:type="spellStart"/>
      <w:r w:rsidRPr="00C56257">
        <w:rPr>
          <w:color w:val="000000" w:themeColor="text1"/>
          <w:sz w:val="24"/>
          <w:szCs w:val="24"/>
          <w:lang w:val="fr-FR"/>
        </w:rPr>
        <w:t>Relația</w:t>
      </w:r>
      <w:proofErr w:type="spellEnd"/>
      <w:r w:rsidRPr="00C56257">
        <w:rPr>
          <w:color w:val="000000" w:themeColor="text1"/>
          <w:spacing w:val="-5"/>
          <w:sz w:val="24"/>
          <w:szCs w:val="24"/>
          <w:lang w:val="fr-FR"/>
        </w:rPr>
        <w:t xml:space="preserve"> </w:t>
      </w:r>
      <w:r w:rsidRPr="00C56257">
        <w:rPr>
          <w:color w:val="000000" w:themeColor="text1"/>
          <w:sz w:val="24"/>
          <w:szCs w:val="24"/>
          <w:lang w:val="fr-FR"/>
        </w:rPr>
        <w:t>plot</w:t>
      </w:r>
      <w:r w:rsidRPr="00C56257">
        <w:rPr>
          <w:color w:val="000000" w:themeColor="text1"/>
          <w:spacing w:val="-5"/>
          <w:sz w:val="24"/>
          <w:szCs w:val="24"/>
          <w:lang w:val="fr-FR"/>
        </w:rPr>
        <w:t xml:space="preserve"> </w:t>
      </w:r>
      <w:r w:rsidRPr="00C56257">
        <w:rPr>
          <w:color w:val="000000" w:themeColor="text1"/>
          <w:sz w:val="24"/>
          <w:szCs w:val="24"/>
          <w:lang w:val="fr-FR"/>
        </w:rPr>
        <w:t>de</w:t>
      </w:r>
      <w:r w:rsidRPr="00C56257">
        <w:rPr>
          <w:color w:val="000000" w:themeColor="text1"/>
          <w:spacing w:val="-6"/>
          <w:sz w:val="24"/>
          <w:szCs w:val="24"/>
          <w:lang w:val="fr-FR"/>
        </w:rPr>
        <w:t xml:space="preserve"> </w:t>
      </w:r>
      <w:proofErr w:type="spellStart"/>
      <w:r w:rsidRPr="00C56257">
        <w:rPr>
          <w:color w:val="000000" w:themeColor="text1"/>
          <w:sz w:val="24"/>
          <w:szCs w:val="24"/>
          <w:lang w:val="fr-FR"/>
        </w:rPr>
        <w:t>monitorizare</w:t>
      </w:r>
      <w:proofErr w:type="spellEnd"/>
      <w:r w:rsidRPr="00C56257">
        <w:rPr>
          <w:color w:val="000000" w:themeColor="text1"/>
          <w:sz w:val="24"/>
          <w:szCs w:val="24"/>
          <w:lang w:val="fr-FR"/>
        </w:rPr>
        <w:t>/</w:t>
      </w:r>
      <w:proofErr w:type="spellStart"/>
      <w:r w:rsidRPr="00C56257">
        <w:rPr>
          <w:color w:val="000000" w:themeColor="text1"/>
          <w:sz w:val="24"/>
          <w:szCs w:val="24"/>
          <w:lang w:val="fr-FR"/>
        </w:rPr>
        <w:t>rețea</w:t>
      </w:r>
      <w:proofErr w:type="spellEnd"/>
      <w:r w:rsidRPr="00C56257">
        <w:rPr>
          <w:color w:val="000000" w:themeColor="text1"/>
          <w:spacing w:val="-5"/>
          <w:sz w:val="24"/>
          <w:szCs w:val="24"/>
          <w:lang w:val="fr-FR"/>
        </w:rPr>
        <w:t xml:space="preserve"> </w:t>
      </w:r>
      <w:r w:rsidRPr="00C56257">
        <w:rPr>
          <w:color w:val="000000" w:themeColor="text1"/>
          <w:sz w:val="24"/>
          <w:szCs w:val="24"/>
          <w:lang w:val="fr-FR"/>
        </w:rPr>
        <w:t>Natura</w:t>
      </w:r>
      <w:r w:rsidRPr="00C56257">
        <w:rPr>
          <w:color w:val="000000" w:themeColor="text1"/>
          <w:spacing w:val="-4"/>
          <w:sz w:val="24"/>
          <w:szCs w:val="24"/>
          <w:lang w:val="fr-FR"/>
        </w:rPr>
        <w:t xml:space="preserve"> </w:t>
      </w:r>
      <w:r w:rsidRPr="00C56257">
        <w:rPr>
          <w:color w:val="000000" w:themeColor="text1"/>
          <w:sz w:val="24"/>
          <w:szCs w:val="24"/>
          <w:lang w:val="fr-FR"/>
        </w:rPr>
        <w:t>2000</w:t>
      </w:r>
    </w:p>
    <w:p w14:paraId="5033834C" w14:textId="77777777" w:rsidR="008572F7" w:rsidRPr="00C56257" w:rsidRDefault="008572F7" w:rsidP="00B538DD">
      <w:pPr>
        <w:spacing w:before="157"/>
        <w:jc w:val="both"/>
        <w:rPr>
          <w:i/>
          <w:color w:val="000000" w:themeColor="text1"/>
        </w:rPr>
      </w:pPr>
      <w:r w:rsidRPr="00C56257">
        <w:rPr>
          <w:i/>
          <w:color w:val="000000" w:themeColor="text1"/>
        </w:rPr>
        <w:t>Acoperirea</w:t>
      </w:r>
      <w:r w:rsidRPr="00C56257">
        <w:rPr>
          <w:i/>
          <w:color w:val="000000" w:themeColor="text1"/>
          <w:spacing w:val="-1"/>
        </w:rPr>
        <w:t xml:space="preserve"> </w:t>
      </w:r>
      <w:r w:rsidRPr="00C56257">
        <w:rPr>
          <w:i/>
          <w:color w:val="000000" w:themeColor="text1"/>
        </w:rPr>
        <w:t>NATURA</w:t>
      </w:r>
      <w:r w:rsidRPr="00C56257">
        <w:rPr>
          <w:i/>
          <w:color w:val="000000" w:themeColor="text1"/>
          <w:spacing w:val="-2"/>
        </w:rPr>
        <w:t xml:space="preserve"> </w:t>
      </w:r>
      <w:r w:rsidRPr="00C56257">
        <w:rPr>
          <w:i/>
          <w:color w:val="000000" w:themeColor="text1"/>
        </w:rPr>
        <w:t>2000</w:t>
      </w:r>
      <w:r w:rsidRPr="00C56257">
        <w:rPr>
          <w:i/>
          <w:color w:val="000000" w:themeColor="text1"/>
          <w:spacing w:val="-1"/>
        </w:rPr>
        <w:t xml:space="preserve"> </w:t>
      </w:r>
      <w:r w:rsidRPr="00C56257">
        <w:rPr>
          <w:i/>
          <w:color w:val="000000" w:themeColor="text1"/>
        </w:rPr>
        <w:t>(pSCIs,</w:t>
      </w:r>
      <w:r w:rsidRPr="00C56257">
        <w:rPr>
          <w:i/>
          <w:color w:val="000000" w:themeColor="text1"/>
          <w:spacing w:val="-1"/>
        </w:rPr>
        <w:t xml:space="preserve"> </w:t>
      </w:r>
      <w:r w:rsidRPr="00C56257">
        <w:rPr>
          <w:i/>
          <w:color w:val="000000" w:themeColor="text1"/>
        </w:rPr>
        <w:t>SCI</w:t>
      </w:r>
      <w:r w:rsidRPr="00C56257">
        <w:rPr>
          <w:i/>
          <w:color w:val="000000" w:themeColor="text1"/>
          <w:spacing w:val="-1"/>
        </w:rPr>
        <w:t xml:space="preserve"> </w:t>
      </w:r>
      <w:r w:rsidRPr="00C56257">
        <w:rPr>
          <w:i/>
          <w:color w:val="000000" w:themeColor="text1"/>
        </w:rPr>
        <w:t>și</w:t>
      </w:r>
      <w:r w:rsidRPr="00C56257">
        <w:rPr>
          <w:i/>
          <w:color w:val="000000" w:themeColor="text1"/>
          <w:spacing w:val="-2"/>
        </w:rPr>
        <w:t xml:space="preserve"> </w:t>
      </w:r>
      <w:r w:rsidRPr="00C56257">
        <w:rPr>
          <w:i/>
          <w:color w:val="000000" w:themeColor="text1"/>
        </w:rPr>
        <w:t>SACs)</w:t>
      </w:r>
      <w:r w:rsidRPr="00C56257">
        <w:rPr>
          <w:i/>
          <w:color w:val="000000" w:themeColor="text1"/>
          <w:spacing w:val="-2"/>
        </w:rPr>
        <w:t xml:space="preserve"> </w:t>
      </w:r>
      <w:r w:rsidRPr="00C56257">
        <w:rPr>
          <w:i/>
          <w:color w:val="000000" w:themeColor="text1"/>
        </w:rPr>
        <w:t>pentru</w:t>
      </w:r>
      <w:r w:rsidRPr="00C56257">
        <w:rPr>
          <w:i/>
          <w:color w:val="000000" w:themeColor="text1"/>
          <w:spacing w:val="-1"/>
        </w:rPr>
        <w:t xml:space="preserve"> </w:t>
      </w:r>
      <w:r w:rsidRPr="00C56257">
        <w:rPr>
          <w:i/>
          <w:color w:val="000000" w:themeColor="text1"/>
        </w:rPr>
        <w:t>habitatele</w:t>
      </w:r>
      <w:r w:rsidRPr="00C56257">
        <w:rPr>
          <w:i/>
          <w:color w:val="000000" w:themeColor="text1"/>
          <w:spacing w:val="-2"/>
        </w:rPr>
        <w:t xml:space="preserve"> </w:t>
      </w:r>
      <w:r w:rsidRPr="00C56257">
        <w:rPr>
          <w:i/>
          <w:color w:val="000000" w:themeColor="text1"/>
        </w:rPr>
        <w:t>din anexa</w:t>
      </w:r>
      <w:r w:rsidRPr="00C56257">
        <w:rPr>
          <w:i/>
          <w:color w:val="000000" w:themeColor="text1"/>
          <w:spacing w:val="-1"/>
        </w:rPr>
        <w:t xml:space="preserve"> </w:t>
      </w:r>
      <w:r w:rsidRPr="00C56257">
        <w:rPr>
          <w:i/>
          <w:color w:val="000000" w:themeColor="text1"/>
        </w:rPr>
        <w:t>I</w:t>
      </w:r>
    </w:p>
    <w:p w14:paraId="6340E06F" w14:textId="77777777" w:rsidR="008572F7" w:rsidRPr="00C56257" w:rsidRDefault="008572F7" w:rsidP="00B538DD">
      <w:pPr>
        <w:pStyle w:val="BodyText"/>
        <w:ind w:left="0" w:right="259"/>
        <w:jc w:val="both"/>
        <w:rPr>
          <w:color w:val="000000" w:themeColor="text1"/>
          <w:sz w:val="24"/>
          <w:szCs w:val="24"/>
          <w:lang w:val="ro-RO"/>
        </w:rPr>
      </w:pPr>
      <w:r w:rsidRPr="00C56257">
        <w:rPr>
          <w:color w:val="000000" w:themeColor="text1"/>
          <w:sz w:val="24"/>
          <w:szCs w:val="24"/>
          <w:lang w:val="ro-RO"/>
        </w:rPr>
        <w:t>Această secțiune oferă informații despre suprafața habitatului și tendința suprafeței în stare bună în</w:t>
      </w:r>
      <w:r w:rsidRPr="00C56257">
        <w:rPr>
          <w:color w:val="000000" w:themeColor="text1"/>
          <w:spacing w:val="1"/>
          <w:sz w:val="24"/>
          <w:szCs w:val="24"/>
          <w:lang w:val="ro-RO"/>
        </w:rPr>
        <w:t xml:space="preserve"> </w:t>
      </w:r>
      <w:r w:rsidRPr="00C56257">
        <w:rPr>
          <w:color w:val="000000" w:themeColor="text1"/>
          <w:sz w:val="24"/>
          <w:szCs w:val="24"/>
          <w:lang w:val="ro-RO"/>
        </w:rPr>
        <w:t>rețeaua Natura 2000. Informațiile solicitate ar trebui să acopere siturile de importanță comunitară</w:t>
      </w:r>
      <w:r w:rsidRPr="00C56257">
        <w:rPr>
          <w:color w:val="000000" w:themeColor="text1"/>
          <w:spacing w:val="1"/>
          <w:sz w:val="24"/>
          <w:szCs w:val="24"/>
          <w:lang w:val="ro-RO"/>
        </w:rPr>
        <w:t xml:space="preserve"> </w:t>
      </w:r>
      <w:r w:rsidRPr="00C56257">
        <w:rPr>
          <w:color w:val="000000" w:themeColor="text1"/>
          <w:sz w:val="24"/>
          <w:szCs w:val="24"/>
          <w:lang w:val="ro-RO"/>
        </w:rPr>
        <w:t>propuse (pSCI), siturile de importanță comunitară (SCI) și zonele speciale de conservare (SAC) ale</w:t>
      </w:r>
      <w:r w:rsidRPr="00C56257">
        <w:rPr>
          <w:color w:val="000000" w:themeColor="text1"/>
          <w:spacing w:val="1"/>
          <w:sz w:val="24"/>
          <w:szCs w:val="24"/>
          <w:lang w:val="ro-RO"/>
        </w:rPr>
        <w:t xml:space="preserve"> </w:t>
      </w:r>
      <w:r w:rsidRPr="00C56257">
        <w:rPr>
          <w:color w:val="000000" w:themeColor="text1"/>
          <w:sz w:val="24"/>
          <w:szCs w:val="24"/>
          <w:lang w:val="ro-RO"/>
        </w:rPr>
        <w:t>rețelei</w:t>
      </w:r>
      <w:r w:rsidRPr="00C56257">
        <w:rPr>
          <w:color w:val="000000" w:themeColor="text1"/>
          <w:spacing w:val="-1"/>
          <w:sz w:val="24"/>
          <w:szCs w:val="24"/>
          <w:lang w:val="ro-RO"/>
        </w:rPr>
        <w:t xml:space="preserve"> </w:t>
      </w:r>
      <w:r w:rsidRPr="00C56257">
        <w:rPr>
          <w:color w:val="000000" w:themeColor="text1"/>
          <w:sz w:val="24"/>
          <w:szCs w:val="24"/>
          <w:lang w:val="ro-RO"/>
        </w:rPr>
        <w:t>Natura</w:t>
      </w:r>
      <w:r w:rsidRPr="00C56257">
        <w:rPr>
          <w:color w:val="000000" w:themeColor="text1"/>
          <w:spacing w:val="-2"/>
          <w:sz w:val="24"/>
          <w:szCs w:val="24"/>
          <w:lang w:val="ro-RO"/>
        </w:rPr>
        <w:t xml:space="preserve"> </w:t>
      </w:r>
      <w:r w:rsidRPr="00C56257">
        <w:rPr>
          <w:color w:val="000000" w:themeColor="text1"/>
          <w:sz w:val="24"/>
          <w:szCs w:val="24"/>
          <w:lang w:val="ro-RO"/>
        </w:rPr>
        <w:t>2000 din regiunea</w:t>
      </w:r>
      <w:r w:rsidRPr="00C56257">
        <w:rPr>
          <w:color w:val="000000" w:themeColor="text1"/>
          <w:spacing w:val="-1"/>
          <w:sz w:val="24"/>
          <w:szCs w:val="24"/>
          <w:lang w:val="ro-RO"/>
        </w:rPr>
        <w:t xml:space="preserve"> </w:t>
      </w:r>
      <w:r w:rsidRPr="00C56257">
        <w:rPr>
          <w:color w:val="000000" w:themeColor="text1"/>
          <w:sz w:val="24"/>
          <w:szCs w:val="24"/>
          <w:lang w:val="ro-RO"/>
        </w:rPr>
        <w:t>biogeografică</w:t>
      </w:r>
      <w:r w:rsidRPr="00C56257">
        <w:rPr>
          <w:color w:val="000000" w:themeColor="text1"/>
          <w:spacing w:val="-2"/>
          <w:sz w:val="24"/>
          <w:szCs w:val="24"/>
          <w:lang w:val="ro-RO"/>
        </w:rPr>
        <w:t xml:space="preserve"> </w:t>
      </w:r>
      <w:r w:rsidRPr="00C56257">
        <w:rPr>
          <w:color w:val="000000" w:themeColor="text1"/>
          <w:sz w:val="24"/>
          <w:szCs w:val="24"/>
          <w:lang w:val="ro-RO"/>
        </w:rPr>
        <w:t>/</w:t>
      </w:r>
      <w:r w:rsidRPr="00C56257">
        <w:rPr>
          <w:color w:val="000000" w:themeColor="text1"/>
          <w:spacing w:val="2"/>
          <w:sz w:val="24"/>
          <w:szCs w:val="24"/>
          <w:lang w:val="ro-RO"/>
        </w:rPr>
        <w:t xml:space="preserve"> </w:t>
      </w:r>
      <w:r w:rsidRPr="00C56257">
        <w:rPr>
          <w:color w:val="000000" w:themeColor="text1"/>
          <w:sz w:val="24"/>
          <w:szCs w:val="24"/>
          <w:lang w:val="ro-RO"/>
        </w:rPr>
        <w:t>marină în cauză.</w:t>
      </w:r>
    </w:p>
    <w:p w14:paraId="4AEEFCC2" w14:textId="77777777" w:rsidR="008572F7" w:rsidRPr="00C56257" w:rsidRDefault="008572F7" w:rsidP="00B538DD">
      <w:pPr>
        <w:pStyle w:val="BodyText"/>
        <w:ind w:left="0" w:right="253"/>
        <w:jc w:val="both"/>
        <w:rPr>
          <w:color w:val="000000" w:themeColor="text1"/>
          <w:sz w:val="24"/>
          <w:szCs w:val="24"/>
          <w:lang w:val="fr-FR"/>
        </w:rPr>
      </w:pPr>
      <w:proofErr w:type="spellStart"/>
      <w:r w:rsidRPr="00C56257">
        <w:rPr>
          <w:color w:val="000000" w:themeColor="text1"/>
          <w:sz w:val="24"/>
          <w:szCs w:val="24"/>
          <w:lang w:val="fr-FR"/>
        </w:rPr>
        <w:t>Informațiile</w:t>
      </w:r>
      <w:proofErr w:type="spellEnd"/>
      <w:r w:rsidRPr="00C56257">
        <w:rPr>
          <w:color w:val="000000" w:themeColor="text1"/>
          <w:sz w:val="24"/>
          <w:szCs w:val="24"/>
          <w:lang w:val="fr-FR"/>
        </w:rPr>
        <w:t xml:space="preserve"> se </w:t>
      </w:r>
      <w:proofErr w:type="spellStart"/>
      <w:r w:rsidRPr="00C56257">
        <w:rPr>
          <w:color w:val="000000" w:themeColor="text1"/>
          <w:sz w:val="24"/>
          <w:szCs w:val="24"/>
          <w:lang w:val="fr-FR"/>
        </w:rPr>
        <w:t>referă</w:t>
      </w:r>
      <w:proofErr w:type="spellEnd"/>
      <w:r w:rsidRPr="00C56257">
        <w:rPr>
          <w:color w:val="000000" w:themeColor="text1"/>
          <w:sz w:val="24"/>
          <w:szCs w:val="24"/>
          <w:lang w:val="fr-FR"/>
        </w:rPr>
        <w:t xml:space="preserve"> la </w:t>
      </w:r>
      <w:proofErr w:type="spellStart"/>
      <w:r w:rsidRPr="00C56257">
        <w:rPr>
          <w:color w:val="000000" w:themeColor="text1"/>
          <w:sz w:val="24"/>
          <w:szCs w:val="24"/>
          <w:lang w:val="fr-FR"/>
        </w:rPr>
        <w:t>toate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pSCI-urile</w:t>
      </w:r>
      <w:proofErr w:type="spellEnd"/>
      <w:r w:rsidRPr="00C56257">
        <w:rPr>
          <w:color w:val="000000" w:themeColor="text1"/>
          <w:sz w:val="24"/>
          <w:szCs w:val="24"/>
          <w:lang w:val="fr-FR"/>
        </w:rPr>
        <w:t xml:space="preserve"> / SCI-</w:t>
      </w:r>
      <w:proofErr w:type="spellStart"/>
      <w:r w:rsidRPr="00C56257">
        <w:rPr>
          <w:color w:val="000000" w:themeColor="text1"/>
          <w:sz w:val="24"/>
          <w:szCs w:val="24"/>
          <w:lang w:val="fr-FR"/>
        </w:rPr>
        <w:t>urile</w:t>
      </w:r>
      <w:proofErr w:type="spellEnd"/>
      <w:r w:rsidRPr="00C56257">
        <w:rPr>
          <w:color w:val="000000" w:themeColor="text1"/>
          <w:sz w:val="24"/>
          <w:szCs w:val="24"/>
          <w:lang w:val="fr-FR"/>
        </w:rPr>
        <w:t xml:space="preserve"> / SAC-</w:t>
      </w:r>
      <w:proofErr w:type="spellStart"/>
      <w:r w:rsidRPr="00C56257">
        <w:rPr>
          <w:color w:val="000000" w:themeColor="text1"/>
          <w:sz w:val="24"/>
          <w:szCs w:val="24"/>
          <w:lang w:val="fr-FR"/>
        </w:rPr>
        <w:t>urile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care </w:t>
      </w:r>
      <w:proofErr w:type="spellStart"/>
      <w:r w:rsidRPr="00C56257">
        <w:rPr>
          <w:color w:val="000000" w:themeColor="text1"/>
          <w:sz w:val="24"/>
          <w:szCs w:val="24"/>
          <w:lang w:val="fr-FR"/>
        </w:rPr>
        <w:t>habitatele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din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anexa</w:t>
      </w:r>
      <w:proofErr w:type="spellEnd"/>
      <w:r w:rsidRPr="00C56257">
        <w:rPr>
          <w:color w:val="000000" w:themeColor="text1"/>
          <w:sz w:val="24"/>
          <w:szCs w:val="24"/>
          <w:lang w:val="fr-FR"/>
        </w:rPr>
        <w:t xml:space="preserve"> I </w:t>
      </w:r>
      <w:proofErr w:type="spellStart"/>
      <w:r w:rsidRPr="00C56257">
        <w:rPr>
          <w:color w:val="000000" w:themeColor="text1"/>
          <w:sz w:val="24"/>
          <w:szCs w:val="24"/>
          <w:lang w:val="fr-FR"/>
        </w:rPr>
        <w:t>sunt</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prezente</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r w:rsidRPr="00C56257">
        <w:rPr>
          <w:color w:val="000000" w:themeColor="text1"/>
          <w:sz w:val="24"/>
          <w:szCs w:val="24"/>
          <w:lang w:val="fr-FR"/>
        </w:rPr>
        <w:t xml:space="preserve">nu </w:t>
      </w:r>
      <w:proofErr w:type="spellStart"/>
      <w:r w:rsidRPr="00C56257">
        <w:rPr>
          <w:color w:val="000000" w:themeColor="text1"/>
          <w:sz w:val="24"/>
          <w:szCs w:val="24"/>
          <w:lang w:val="fr-FR"/>
        </w:rPr>
        <w:t>numai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acele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sit-uri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care</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habitatul</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 xml:space="preserve">este </w:t>
      </w:r>
      <w:proofErr w:type="spellStart"/>
      <w:r w:rsidRPr="00C56257">
        <w:rPr>
          <w:color w:val="000000" w:themeColor="text1"/>
          <w:sz w:val="24"/>
          <w:szCs w:val="24"/>
          <w:lang w:val="fr-FR"/>
        </w:rPr>
        <w:t>declarat</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obiectiv</w:t>
      </w:r>
      <w:proofErr w:type="spellEnd"/>
      <w:r w:rsidRPr="00C56257">
        <w:rPr>
          <w:color w:val="000000" w:themeColor="text1"/>
          <w:sz w:val="24"/>
          <w:szCs w:val="24"/>
          <w:lang w:val="fr-FR"/>
        </w:rPr>
        <w:t xml:space="preserve"> 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w:t>
      </w:r>
    </w:p>
    <w:p w14:paraId="4D6370AC" w14:textId="77777777" w:rsidR="008572F7" w:rsidRPr="00C56257" w:rsidRDefault="008572F7" w:rsidP="00B538DD">
      <w:pPr>
        <w:jc w:val="both"/>
        <w:rPr>
          <w:i/>
          <w:color w:val="000000" w:themeColor="text1"/>
        </w:rPr>
      </w:pPr>
      <w:r w:rsidRPr="00C56257">
        <w:rPr>
          <w:i/>
          <w:color w:val="000000" w:themeColor="text1"/>
        </w:rPr>
        <w:t>Suprafața</w:t>
      </w:r>
      <w:r w:rsidRPr="00C56257">
        <w:rPr>
          <w:i/>
          <w:color w:val="000000" w:themeColor="text1"/>
          <w:spacing w:val="-1"/>
        </w:rPr>
        <w:t xml:space="preserve"> </w:t>
      </w:r>
      <w:r w:rsidRPr="00C56257">
        <w:rPr>
          <w:i/>
          <w:color w:val="000000" w:themeColor="text1"/>
        </w:rPr>
        <w:t>tipului de</w:t>
      </w:r>
      <w:r w:rsidRPr="00C56257">
        <w:rPr>
          <w:i/>
          <w:color w:val="000000" w:themeColor="text1"/>
          <w:spacing w:val="-1"/>
        </w:rPr>
        <w:t xml:space="preserve"> </w:t>
      </w:r>
      <w:r w:rsidRPr="00C56257">
        <w:rPr>
          <w:i/>
          <w:color w:val="000000" w:themeColor="text1"/>
        </w:rPr>
        <w:t>habitat din</w:t>
      </w:r>
      <w:r w:rsidRPr="00C56257">
        <w:rPr>
          <w:i/>
          <w:color w:val="000000" w:themeColor="text1"/>
          <w:spacing w:val="-1"/>
        </w:rPr>
        <w:t xml:space="preserve"> </w:t>
      </w:r>
      <w:r w:rsidRPr="00C56257">
        <w:rPr>
          <w:i/>
          <w:color w:val="000000" w:themeColor="text1"/>
        </w:rPr>
        <w:t>rețeaua pSCI,</w:t>
      </w:r>
      <w:r w:rsidRPr="00C56257">
        <w:rPr>
          <w:i/>
          <w:color w:val="000000" w:themeColor="text1"/>
          <w:spacing w:val="-1"/>
        </w:rPr>
        <w:t xml:space="preserve"> </w:t>
      </w:r>
      <w:r w:rsidRPr="00C56257">
        <w:rPr>
          <w:i/>
          <w:color w:val="000000" w:themeColor="text1"/>
        </w:rPr>
        <w:t>SCI și</w:t>
      </w:r>
      <w:r w:rsidRPr="00C56257">
        <w:rPr>
          <w:i/>
          <w:color w:val="000000" w:themeColor="text1"/>
          <w:spacing w:val="-2"/>
        </w:rPr>
        <w:t xml:space="preserve"> </w:t>
      </w:r>
      <w:r w:rsidRPr="00C56257">
        <w:rPr>
          <w:i/>
          <w:color w:val="000000" w:themeColor="text1"/>
        </w:rPr>
        <w:t>SAC</w:t>
      </w:r>
    </w:p>
    <w:p w14:paraId="7AE65A49" w14:textId="77777777" w:rsidR="008572F7" w:rsidRPr="00C56257" w:rsidRDefault="008572F7" w:rsidP="00B538DD">
      <w:pPr>
        <w:pStyle w:val="BodyText"/>
        <w:ind w:left="0" w:right="253"/>
        <w:jc w:val="both"/>
        <w:rPr>
          <w:color w:val="000000" w:themeColor="text1"/>
          <w:sz w:val="24"/>
          <w:szCs w:val="24"/>
        </w:rPr>
      </w:pPr>
      <w:r w:rsidRPr="00C56257">
        <w:rPr>
          <w:color w:val="000000" w:themeColor="text1"/>
          <w:sz w:val="24"/>
          <w:szCs w:val="24"/>
          <w:lang w:val="fr-FR"/>
        </w:rPr>
        <w:t xml:space="preserve">Se </w:t>
      </w:r>
      <w:proofErr w:type="spellStart"/>
      <w:r w:rsidRPr="00C56257">
        <w:rPr>
          <w:color w:val="000000" w:themeColor="text1"/>
          <w:sz w:val="24"/>
          <w:szCs w:val="24"/>
          <w:lang w:val="fr-FR"/>
        </w:rPr>
        <w:t>indică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suprafața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tipului</w:t>
      </w:r>
      <w:proofErr w:type="spellEnd"/>
      <w:r w:rsidRPr="00C56257">
        <w:rPr>
          <w:color w:val="000000" w:themeColor="text1"/>
          <w:sz w:val="24"/>
          <w:szCs w:val="24"/>
          <w:lang w:val="fr-FR"/>
        </w:rPr>
        <w:t xml:space="preserve"> de habitat </w:t>
      </w:r>
      <w:proofErr w:type="spellStart"/>
      <w:r w:rsidRPr="00C56257">
        <w:rPr>
          <w:color w:val="000000" w:themeColor="text1"/>
          <w:sz w:val="24"/>
          <w:szCs w:val="24"/>
          <w:lang w:val="fr-FR"/>
        </w:rPr>
        <w:t>din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rețea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din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regiunea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biogeografică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sau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marină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cauză</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inclusiv</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toate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siturile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care este </w:t>
      </w:r>
      <w:proofErr w:type="spellStart"/>
      <w:r w:rsidRPr="00C56257">
        <w:rPr>
          <w:color w:val="000000" w:themeColor="text1"/>
          <w:sz w:val="24"/>
          <w:szCs w:val="24"/>
          <w:lang w:val="fr-FR"/>
        </w:rPr>
        <w:t>prezent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tipul</w:t>
      </w:r>
      <w:proofErr w:type="spellEnd"/>
      <w:r w:rsidRPr="00C56257">
        <w:rPr>
          <w:color w:val="000000" w:themeColor="text1"/>
          <w:sz w:val="24"/>
          <w:szCs w:val="24"/>
          <w:lang w:val="fr-FR"/>
        </w:rPr>
        <w:t xml:space="preserve"> de habitat. </w:t>
      </w:r>
      <w:r w:rsidRPr="00C56257">
        <w:rPr>
          <w:color w:val="000000" w:themeColor="text1"/>
          <w:sz w:val="24"/>
          <w:szCs w:val="24"/>
        </w:rPr>
        <w:t xml:space="preserve">Se </w:t>
      </w:r>
      <w:proofErr w:type="spellStart"/>
      <w:r w:rsidRPr="00C56257">
        <w:rPr>
          <w:color w:val="000000" w:themeColor="text1"/>
          <w:sz w:val="24"/>
          <w:szCs w:val="24"/>
        </w:rPr>
        <w:t>urmăresc</w:t>
      </w:r>
      <w:proofErr w:type="spellEnd"/>
      <w:r w:rsidRPr="00C56257">
        <w:rPr>
          <w:color w:val="000000" w:themeColor="text1"/>
          <w:sz w:val="24"/>
          <w:szCs w:val="24"/>
        </w:rPr>
        <w:t xml:space="preserve"> </w:t>
      </w:r>
      <w:proofErr w:type="spellStart"/>
      <w:r w:rsidRPr="00C56257">
        <w:rPr>
          <w:color w:val="000000" w:themeColor="text1"/>
          <w:sz w:val="24"/>
          <w:szCs w:val="24"/>
        </w:rPr>
        <w:t>aceleași</w:t>
      </w:r>
      <w:proofErr w:type="spellEnd"/>
      <w:r w:rsidRPr="00C56257">
        <w:rPr>
          <w:color w:val="000000" w:themeColor="text1"/>
          <w:sz w:val="24"/>
          <w:szCs w:val="24"/>
        </w:rPr>
        <w:t xml:space="preserve"> </w:t>
      </w:r>
      <w:proofErr w:type="spellStart"/>
      <w:r w:rsidRPr="00C56257">
        <w:rPr>
          <w:color w:val="000000" w:themeColor="text1"/>
          <w:sz w:val="24"/>
          <w:szCs w:val="24"/>
        </w:rPr>
        <w:t>recomandări</w:t>
      </w:r>
      <w:proofErr w:type="spellEnd"/>
      <w:r w:rsidRPr="00C56257">
        <w:rPr>
          <w:color w:val="000000" w:themeColor="text1"/>
          <w:sz w:val="24"/>
          <w:szCs w:val="24"/>
        </w:rPr>
        <w:t xml:space="preserve"> ca </w:t>
      </w:r>
      <w:proofErr w:type="spellStart"/>
      <w:r w:rsidRPr="00C56257">
        <w:rPr>
          <w:color w:val="000000" w:themeColor="text1"/>
          <w:sz w:val="24"/>
          <w:szCs w:val="24"/>
        </w:rPr>
        <w:t>și</w:t>
      </w:r>
      <w:proofErr w:type="spellEnd"/>
      <w:r w:rsidRPr="00C56257">
        <w:rPr>
          <w:color w:val="000000" w:themeColor="text1"/>
          <w:spacing w:val="1"/>
          <w:sz w:val="24"/>
          <w:szCs w:val="24"/>
        </w:rPr>
        <w:t xml:space="preserve"> </w:t>
      </w:r>
      <w:proofErr w:type="spellStart"/>
      <w:r w:rsidRPr="00C56257">
        <w:rPr>
          <w:color w:val="000000" w:themeColor="text1"/>
          <w:sz w:val="24"/>
          <w:szCs w:val="24"/>
        </w:rPr>
        <w:t>pentru</w:t>
      </w:r>
      <w:proofErr w:type="spellEnd"/>
      <w:r w:rsidRPr="00C56257">
        <w:rPr>
          <w:color w:val="000000" w:themeColor="text1"/>
          <w:spacing w:val="-1"/>
          <w:sz w:val="24"/>
          <w:szCs w:val="24"/>
        </w:rPr>
        <w:t xml:space="preserve"> </w:t>
      </w:r>
      <w:proofErr w:type="spellStart"/>
      <w:r w:rsidRPr="00C56257">
        <w:rPr>
          <w:color w:val="000000" w:themeColor="text1"/>
          <w:sz w:val="24"/>
          <w:szCs w:val="24"/>
        </w:rPr>
        <w:t>suprafața</w:t>
      </w:r>
      <w:proofErr w:type="spellEnd"/>
      <w:r w:rsidRPr="00C56257">
        <w:rPr>
          <w:color w:val="000000" w:themeColor="text1"/>
          <w:sz w:val="24"/>
          <w:szCs w:val="24"/>
        </w:rPr>
        <w:t xml:space="preserve"> </w:t>
      </w:r>
      <w:proofErr w:type="spellStart"/>
      <w:r w:rsidRPr="00C56257">
        <w:rPr>
          <w:color w:val="000000" w:themeColor="text1"/>
          <w:sz w:val="24"/>
          <w:szCs w:val="24"/>
        </w:rPr>
        <w:t>habitatului</w:t>
      </w:r>
      <w:proofErr w:type="spellEnd"/>
      <w:r w:rsidRPr="00C56257">
        <w:rPr>
          <w:color w:val="000000" w:themeColor="text1"/>
          <w:sz w:val="24"/>
          <w:szCs w:val="24"/>
        </w:rPr>
        <w:t>.</w:t>
      </w:r>
    </w:p>
    <w:p w14:paraId="7222A09F" w14:textId="77777777" w:rsidR="008572F7" w:rsidRPr="00C56257" w:rsidRDefault="008572F7" w:rsidP="008572F7">
      <w:pPr>
        <w:pStyle w:val="BodyText"/>
        <w:spacing w:before="8" w:after="1"/>
        <w:jc w:val="both"/>
        <w:rPr>
          <w:color w:val="000000" w:themeColor="text1"/>
          <w:sz w:val="24"/>
          <w:szCs w:val="24"/>
        </w:rPr>
      </w:pPr>
    </w:p>
    <w:tbl>
      <w:tblPr>
        <w:tblW w:w="0" w:type="auto"/>
        <w:tblInd w:w="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706"/>
        <w:gridCol w:w="707"/>
        <w:gridCol w:w="706"/>
        <w:gridCol w:w="706"/>
        <w:gridCol w:w="704"/>
        <w:gridCol w:w="706"/>
        <w:gridCol w:w="1422"/>
        <w:gridCol w:w="2603"/>
      </w:tblGrid>
      <w:tr w:rsidR="008572F7" w:rsidRPr="00C56257" w14:paraId="07640CBD" w14:textId="77777777" w:rsidTr="00C902DF">
        <w:trPr>
          <w:trHeight w:val="506"/>
        </w:trPr>
        <w:tc>
          <w:tcPr>
            <w:tcW w:w="1385" w:type="dxa"/>
          </w:tcPr>
          <w:p w14:paraId="3578E893" w14:textId="77777777" w:rsidR="008572F7" w:rsidRPr="00C56257" w:rsidRDefault="008572F7" w:rsidP="00C902DF">
            <w:pPr>
              <w:pStyle w:val="TableParagraph"/>
              <w:spacing w:before="8"/>
              <w:jc w:val="both"/>
              <w:rPr>
                <w:color w:val="000000" w:themeColor="text1"/>
                <w:sz w:val="24"/>
                <w:szCs w:val="24"/>
              </w:rPr>
            </w:pPr>
          </w:p>
          <w:p w14:paraId="7A7F3022" w14:textId="77777777" w:rsidR="008572F7" w:rsidRPr="00C56257" w:rsidRDefault="008572F7" w:rsidP="00C902DF">
            <w:pPr>
              <w:pStyle w:val="TableParagraph"/>
              <w:spacing w:before="1" w:line="236" w:lineRule="exact"/>
              <w:ind w:left="88" w:right="80"/>
              <w:jc w:val="both"/>
              <w:rPr>
                <w:b/>
                <w:color w:val="000000" w:themeColor="text1"/>
                <w:sz w:val="24"/>
                <w:szCs w:val="24"/>
              </w:rPr>
            </w:pPr>
            <w:r w:rsidRPr="00C56257">
              <w:rPr>
                <w:b/>
                <w:color w:val="000000" w:themeColor="text1"/>
                <w:sz w:val="24"/>
                <w:szCs w:val="24"/>
              </w:rPr>
              <w:t>Cod</w:t>
            </w:r>
            <w:r w:rsidRPr="00C56257">
              <w:rPr>
                <w:b/>
                <w:color w:val="000000" w:themeColor="text1"/>
                <w:spacing w:val="-2"/>
                <w:sz w:val="24"/>
                <w:szCs w:val="24"/>
              </w:rPr>
              <w:t xml:space="preserve"> </w:t>
            </w:r>
            <w:r w:rsidRPr="00C56257">
              <w:rPr>
                <w:b/>
                <w:color w:val="000000" w:themeColor="text1"/>
                <w:sz w:val="24"/>
                <w:szCs w:val="24"/>
              </w:rPr>
              <w:t>Habitat</w:t>
            </w:r>
          </w:p>
        </w:tc>
        <w:tc>
          <w:tcPr>
            <w:tcW w:w="706" w:type="dxa"/>
          </w:tcPr>
          <w:p w14:paraId="7C66754B" w14:textId="77777777" w:rsidR="008572F7" w:rsidRPr="00C56257" w:rsidRDefault="008572F7" w:rsidP="00C902DF">
            <w:pPr>
              <w:pStyle w:val="TableParagraph"/>
              <w:spacing w:before="8"/>
              <w:jc w:val="both"/>
              <w:rPr>
                <w:color w:val="000000" w:themeColor="text1"/>
                <w:sz w:val="24"/>
                <w:szCs w:val="24"/>
              </w:rPr>
            </w:pPr>
          </w:p>
          <w:p w14:paraId="01AEC2A6" w14:textId="77777777" w:rsidR="008572F7" w:rsidRPr="00C56257" w:rsidRDefault="008572F7" w:rsidP="00C902DF">
            <w:pPr>
              <w:pStyle w:val="TableParagraph"/>
              <w:spacing w:before="1" w:line="236" w:lineRule="exact"/>
              <w:ind w:left="93" w:right="83"/>
              <w:jc w:val="both"/>
              <w:rPr>
                <w:b/>
                <w:color w:val="000000" w:themeColor="text1"/>
                <w:sz w:val="24"/>
                <w:szCs w:val="24"/>
              </w:rPr>
            </w:pPr>
            <w:r w:rsidRPr="00C56257">
              <w:rPr>
                <w:b/>
                <w:color w:val="000000" w:themeColor="text1"/>
                <w:sz w:val="24"/>
                <w:szCs w:val="24"/>
              </w:rPr>
              <w:t>ALP</w:t>
            </w:r>
          </w:p>
        </w:tc>
        <w:tc>
          <w:tcPr>
            <w:tcW w:w="707" w:type="dxa"/>
          </w:tcPr>
          <w:p w14:paraId="286E0C49" w14:textId="77777777" w:rsidR="008572F7" w:rsidRPr="00C56257" w:rsidRDefault="008572F7" w:rsidP="00C902DF">
            <w:pPr>
              <w:pStyle w:val="TableParagraph"/>
              <w:spacing w:before="8"/>
              <w:jc w:val="both"/>
              <w:rPr>
                <w:color w:val="000000" w:themeColor="text1"/>
                <w:sz w:val="24"/>
                <w:szCs w:val="24"/>
              </w:rPr>
            </w:pPr>
          </w:p>
          <w:p w14:paraId="20DA05EB" w14:textId="77777777" w:rsidR="008572F7" w:rsidRPr="00C56257" w:rsidRDefault="008572F7" w:rsidP="00C902DF">
            <w:pPr>
              <w:pStyle w:val="TableParagraph"/>
              <w:spacing w:before="1" w:line="236" w:lineRule="exact"/>
              <w:ind w:left="90" w:right="78"/>
              <w:jc w:val="both"/>
              <w:rPr>
                <w:b/>
                <w:color w:val="000000" w:themeColor="text1"/>
                <w:sz w:val="24"/>
                <w:szCs w:val="24"/>
              </w:rPr>
            </w:pPr>
            <w:r w:rsidRPr="00C56257">
              <w:rPr>
                <w:b/>
                <w:color w:val="000000" w:themeColor="text1"/>
                <w:sz w:val="24"/>
                <w:szCs w:val="24"/>
              </w:rPr>
              <w:t>CON</w:t>
            </w:r>
          </w:p>
        </w:tc>
        <w:tc>
          <w:tcPr>
            <w:tcW w:w="706" w:type="dxa"/>
          </w:tcPr>
          <w:p w14:paraId="6721D818" w14:textId="77777777" w:rsidR="008572F7" w:rsidRPr="00C56257" w:rsidRDefault="008572F7" w:rsidP="00C902DF">
            <w:pPr>
              <w:pStyle w:val="TableParagraph"/>
              <w:spacing w:before="8"/>
              <w:jc w:val="both"/>
              <w:rPr>
                <w:color w:val="000000" w:themeColor="text1"/>
                <w:sz w:val="24"/>
                <w:szCs w:val="24"/>
              </w:rPr>
            </w:pPr>
          </w:p>
          <w:p w14:paraId="186BF4C0" w14:textId="77777777" w:rsidR="008572F7" w:rsidRPr="00C56257" w:rsidRDefault="008572F7" w:rsidP="00C902DF">
            <w:pPr>
              <w:pStyle w:val="TableParagraph"/>
              <w:spacing w:before="1" w:line="236" w:lineRule="exact"/>
              <w:ind w:left="93" w:right="84"/>
              <w:jc w:val="both"/>
              <w:rPr>
                <w:b/>
                <w:color w:val="000000" w:themeColor="text1"/>
                <w:sz w:val="24"/>
                <w:szCs w:val="24"/>
              </w:rPr>
            </w:pPr>
            <w:r w:rsidRPr="00C56257">
              <w:rPr>
                <w:b/>
                <w:color w:val="000000" w:themeColor="text1"/>
                <w:sz w:val="24"/>
                <w:szCs w:val="24"/>
              </w:rPr>
              <w:t>PAN</w:t>
            </w:r>
          </w:p>
        </w:tc>
        <w:tc>
          <w:tcPr>
            <w:tcW w:w="706" w:type="dxa"/>
          </w:tcPr>
          <w:p w14:paraId="00993009" w14:textId="77777777" w:rsidR="008572F7" w:rsidRPr="00C56257" w:rsidRDefault="008572F7" w:rsidP="00C902DF">
            <w:pPr>
              <w:pStyle w:val="TableParagraph"/>
              <w:spacing w:before="8"/>
              <w:jc w:val="both"/>
              <w:rPr>
                <w:color w:val="000000" w:themeColor="text1"/>
                <w:sz w:val="24"/>
                <w:szCs w:val="24"/>
              </w:rPr>
            </w:pPr>
          </w:p>
          <w:p w14:paraId="0FD48B49" w14:textId="77777777" w:rsidR="008572F7" w:rsidRPr="00C56257" w:rsidRDefault="008572F7" w:rsidP="00C902DF">
            <w:pPr>
              <w:pStyle w:val="TableParagraph"/>
              <w:spacing w:before="1" w:line="236" w:lineRule="exact"/>
              <w:ind w:left="88" w:right="85"/>
              <w:jc w:val="both"/>
              <w:rPr>
                <w:b/>
                <w:color w:val="000000" w:themeColor="text1"/>
                <w:sz w:val="24"/>
                <w:szCs w:val="24"/>
              </w:rPr>
            </w:pPr>
            <w:r w:rsidRPr="00C56257">
              <w:rPr>
                <w:b/>
                <w:color w:val="000000" w:themeColor="text1"/>
                <w:sz w:val="24"/>
                <w:szCs w:val="24"/>
              </w:rPr>
              <w:t>STE</w:t>
            </w:r>
          </w:p>
        </w:tc>
        <w:tc>
          <w:tcPr>
            <w:tcW w:w="704" w:type="dxa"/>
          </w:tcPr>
          <w:p w14:paraId="67F023F8" w14:textId="77777777" w:rsidR="008572F7" w:rsidRPr="00C56257" w:rsidRDefault="008572F7" w:rsidP="00C902DF">
            <w:pPr>
              <w:pStyle w:val="TableParagraph"/>
              <w:spacing w:before="8"/>
              <w:jc w:val="both"/>
              <w:rPr>
                <w:color w:val="000000" w:themeColor="text1"/>
                <w:sz w:val="24"/>
                <w:szCs w:val="24"/>
              </w:rPr>
            </w:pPr>
          </w:p>
          <w:p w14:paraId="02A0CC22" w14:textId="77777777" w:rsidR="008572F7" w:rsidRPr="00C56257" w:rsidRDefault="008572F7" w:rsidP="00C902DF">
            <w:pPr>
              <w:pStyle w:val="TableParagraph"/>
              <w:spacing w:before="1" w:line="236" w:lineRule="exact"/>
              <w:ind w:left="122" w:right="116"/>
              <w:jc w:val="both"/>
              <w:rPr>
                <w:b/>
                <w:color w:val="000000" w:themeColor="text1"/>
                <w:sz w:val="24"/>
                <w:szCs w:val="24"/>
              </w:rPr>
            </w:pPr>
            <w:r w:rsidRPr="00C56257">
              <w:rPr>
                <w:b/>
                <w:color w:val="000000" w:themeColor="text1"/>
                <w:sz w:val="24"/>
                <w:szCs w:val="24"/>
              </w:rPr>
              <w:t>BLS</w:t>
            </w:r>
          </w:p>
        </w:tc>
        <w:tc>
          <w:tcPr>
            <w:tcW w:w="706" w:type="dxa"/>
          </w:tcPr>
          <w:p w14:paraId="6DC3E6DA" w14:textId="77777777" w:rsidR="008572F7" w:rsidRPr="00C56257" w:rsidRDefault="008572F7" w:rsidP="00C902DF">
            <w:pPr>
              <w:pStyle w:val="TableParagraph"/>
              <w:spacing w:before="8"/>
              <w:jc w:val="both"/>
              <w:rPr>
                <w:color w:val="000000" w:themeColor="text1"/>
                <w:sz w:val="24"/>
                <w:szCs w:val="24"/>
              </w:rPr>
            </w:pPr>
          </w:p>
          <w:p w14:paraId="0F7C2360" w14:textId="77777777" w:rsidR="008572F7" w:rsidRPr="00C56257" w:rsidRDefault="008572F7" w:rsidP="00C902DF">
            <w:pPr>
              <w:pStyle w:val="TableParagraph"/>
              <w:spacing w:before="1" w:line="236" w:lineRule="exact"/>
              <w:ind w:left="93" w:right="85"/>
              <w:jc w:val="both"/>
              <w:rPr>
                <w:b/>
                <w:color w:val="000000" w:themeColor="text1"/>
                <w:sz w:val="24"/>
                <w:szCs w:val="24"/>
              </w:rPr>
            </w:pPr>
            <w:r w:rsidRPr="00C56257">
              <w:rPr>
                <w:b/>
                <w:color w:val="000000" w:themeColor="text1"/>
                <w:sz w:val="24"/>
                <w:szCs w:val="24"/>
              </w:rPr>
              <w:t>MBS</w:t>
            </w:r>
          </w:p>
        </w:tc>
        <w:tc>
          <w:tcPr>
            <w:tcW w:w="1422" w:type="dxa"/>
          </w:tcPr>
          <w:p w14:paraId="2865CCC1" w14:textId="77777777" w:rsidR="008572F7" w:rsidRPr="00C56257" w:rsidRDefault="008572F7" w:rsidP="00C902DF">
            <w:pPr>
              <w:pStyle w:val="TableParagraph"/>
              <w:spacing w:before="8"/>
              <w:jc w:val="both"/>
              <w:rPr>
                <w:color w:val="000000" w:themeColor="text1"/>
                <w:sz w:val="24"/>
                <w:szCs w:val="24"/>
              </w:rPr>
            </w:pPr>
          </w:p>
          <w:p w14:paraId="646CC866" w14:textId="77777777" w:rsidR="008572F7" w:rsidRPr="00C56257" w:rsidRDefault="008572F7" w:rsidP="00C902DF">
            <w:pPr>
              <w:pStyle w:val="TableParagraph"/>
              <w:spacing w:before="1" w:line="236" w:lineRule="exact"/>
              <w:ind w:left="85" w:right="83"/>
              <w:jc w:val="both"/>
              <w:rPr>
                <w:b/>
                <w:color w:val="000000" w:themeColor="text1"/>
                <w:sz w:val="24"/>
                <w:szCs w:val="24"/>
              </w:rPr>
            </w:pPr>
            <w:r w:rsidRPr="00C56257">
              <w:rPr>
                <w:b/>
                <w:color w:val="000000" w:themeColor="text1"/>
                <w:sz w:val="24"/>
                <w:szCs w:val="24"/>
              </w:rPr>
              <w:t>Total</w:t>
            </w:r>
            <w:r w:rsidRPr="00C56257">
              <w:rPr>
                <w:b/>
                <w:color w:val="000000" w:themeColor="text1"/>
                <w:spacing w:val="-1"/>
                <w:sz w:val="24"/>
                <w:szCs w:val="24"/>
              </w:rPr>
              <w:t xml:space="preserve"> </w:t>
            </w:r>
            <w:r w:rsidRPr="00C56257">
              <w:rPr>
                <w:b/>
                <w:color w:val="000000" w:themeColor="text1"/>
                <w:sz w:val="24"/>
                <w:szCs w:val="24"/>
              </w:rPr>
              <w:t>ploturi</w:t>
            </w:r>
          </w:p>
        </w:tc>
        <w:tc>
          <w:tcPr>
            <w:tcW w:w="2603" w:type="dxa"/>
          </w:tcPr>
          <w:p w14:paraId="3C50EB6A" w14:textId="77777777" w:rsidR="008572F7" w:rsidRPr="00C56257" w:rsidRDefault="008572F7" w:rsidP="00DE490A">
            <w:pPr>
              <w:pStyle w:val="TableParagraph"/>
              <w:spacing w:line="252" w:lineRule="exact"/>
              <w:ind w:left="444" w:right="437" w:firstLine="141"/>
              <w:jc w:val="center"/>
              <w:rPr>
                <w:b/>
                <w:color w:val="000000" w:themeColor="text1"/>
                <w:sz w:val="24"/>
                <w:szCs w:val="24"/>
              </w:rPr>
            </w:pPr>
            <w:r w:rsidRPr="00C56257">
              <w:rPr>
                <w:b/>
                <w:color w:val="000000" w:themeColor="text1"/>
                <w:sz w:val="24"/>
                <w:szCs w:val="24"/>
              </w:rPr>
              <w:t>Ploturi in doua</w:t>
            </w:r>
            <w:r w:rsidRPr="00C56257">
              <w:rPr>
                <w:b/>
                <w:color w:val="000000" w:themeColor="text1"/>
                <w:spacing w:val="1"/>
                <w:sz w:val="24"/>
                <w:szCs w:val="24"/>
              </w:rPr>
              <w:t xml:space="preserve"> </w:t>
            </w:r>
            <w:r w:rsidRPr="00C56257">
              <w:rPr>
                <w:b/>
                <w:color w:val="000000" w:themeColor="text1"/>
                <w:sz w:val="24"/>
                <w:szCs w:val="24"/>
              </w:rPr>
              <w:t>bioregiuni</w:t>
            </w:r>
            <w:r w:rsidRPr="00C56257">
              <w:rPr>
                <w:b/>
                <w:color w:val="000000" w:themeColor="text1"/>
                <w:spacing w:val="-13"/>
                <w:sz w:val="24"/>
                <w:szCs w:val="24"/>
              </w:rPr>
              <w:t xml:space="preserve"> </w:t>
            </w:r>
            <w:r w:rsidRPr="00C56257">
              <w:rPr>
                <w:b/>
                <w:color w:val="000000" w:themeColor="text1"/>
                <w:sz w:val="24"/>
                <w:szCs w:val="24"/>
              </w:rPr>
              <w:t>diferite</w:t>
            </w:r>
          </w:p>
        </w:tc>
      </w:tr>
      <w:tr w:rsidR="008572F7" w:rsidRPr="00C56257" w14:paraId="6A633124" w14:textId="77777777" w:rsidTr="00C902DF">
        <w:trPr>
          <w:trHeight w:val="299"/>
        </w:trPr>
        <w:tc>
          <w:tcPr>
            <w:tcW w:w="1385" w:type="dxa"/>
          </w:tcPr>
          <w:p w14:paraId="24497039" w14:textId="77777777" w:rsidR="008572F7" w:rsidRPr="00C56257" w:rsidRDefault="008572F7" w:rsidP="00C902DF">
            <w:pPr>
              <w:pStyle w:val="TableParagraph"/>
              <w:spacing w:before="39" w:line="240" w:lineRule="exact"/>
              <w:ind w:left="88" w:right="77"/>
              <w:jc w:val="both"/>
              <w:rPr>
                <w:color w:val="000000" w:themeColor="text1"/>
                <w:sz w:val="24"/>
                <w:szCs w:val="24"/>
              </w:rPr>
            </w:pPr>
            <w:r w:rsidRPr="00C56257">
              <w:rPr>
                <w:color w:val="000000" w:themeColor="text1"/>
                <w:sz w:val="24"/>
                <w:szCs w:val="24"/>
              </w:rPr>
              <w:t>1310</w:t>
            </w:r>
          </w:p>
        </w:tc>
        <w:tc>
          <w:tcPr>
            <w:tcW w:w="706" w:type="dxa"/>
          </w:tcPr>
          <w:p w14:paraId="30631213" w14:textId="77777777" w:rsidR="008572F7" w:rsidRPr="00C56257" w:rsidRDefault="008572F7" w:rsidP="00C902DF">
            <w:pPr>
              <w:pStyle w:val="TableParagraph"/>
              <w:spacing w:before="39" w:line="240" w:lineRule="exact"/>
              <w:ind w:left="8"/>
              <w:jc w:val="both"/>
              <w:rPr>
                <w:color w:val="000000" w:themeColor="text1"/>
                <w:sz w:val="24"/>
                <w:szCs w:val="24"/>
              </w:rPr>
            </w:pPr>
            <w:r w:rsidRPr="00C56257">
              <w:rPr>
                <w:color w:val="000000" w:themeColor="text1"/>
                <w:sz w:val="24"/>
                <w:szCs w:val="24"/>
              </w:rPr>
              <w:t>0</w:t>
            </w:r>
          </w:p>
        </w:tc>
        <w:tc>
          <w:tcPr>
            <w:tcW w:w="707" w:type="dxa"/>
          </w:tcPr>
          <w:p w14:paraId="63B934CC" w14:textId="77777777" w:rsidR="008572F7" w:rsidRPr="00C56257" w:rsidRDefault="008572F7" w:rsidP="00C902DF">
            <w:pPr>
              <w:pStyle w:val="TableParagraph"/>
              <w:spacing w:before="39" w:line="240" w:lineRule="exact"/>
              <w:ind w:left="12"/>
              <w:jc w:val="both"/>
              <w:rPr>
                <w:color w:val="000000" w:themeColor="text1"/>
                <w:sz w:val="24"/>
                <w:szCs w:val="24"/>
              </w:rPr>
            </w:pPr>
            <w:r w:rsidRPr="00C56257">
              <w:rPr>
                <w:color w:val="000000" w:themeColor="text1"/>
                <w:sz w:val="24"/>
                <w:szCs w:val="24"/>
              </w:rPr>
              <w:t>3</w:t>
            </w:r>
          </w:p>
        </w:tc>
        <w:tc>
          <w:tcPr>
            <w:tcW w:w="706" w:type="dxa"/>
          </w:tcPr>
          <w:p w14:paraId="532B6467" w14:textId="77777777" w:rsidR="008572F7" w:rsidRPr="00C56257" w:rsidRDefault="008572F7" w:rsidP="00C902DF">
            <w:pPr>
              <w:pStyle w:val="TableParagraph"/>
              <w:spacing w:before="39" w:line="240" w:lineRule="exact"/>
              <w:ind w:left="6"/>
              <w:jc w:val="both"/>
              <w:rPr>
                <w:color w:val="000000" w:themeColor="text1"/>
                <w:sz w:val="24"/>
                <w:szCs w:val="24"/>
              </w:rPr>
            </w:pPr>
            <w:r w:rsidRPr="00C56257">
              <w:rPr>
                <w:color w:val="000000" w:themeColor="text1"/>
                <w:sz w:val="24"/>
                <w:szCs w:val="24"/>
              </w:rPr>
              <w:t>0</w:t>
            </w:r>
          </w:p>
        </w:tc>
        <w:tc>
          <w:tcPr>
            <w:tcW w:w="706" w:type="dxa"/>
          </w:tcPr>
          <w:p w14:paraId="42B7ABA5" w14:textId="77777777" w:rsidR="008572F7" w:rsidRPr="00C56257" w:rsidRDefault="008572F7" w:rsidP="00C902DF">
            <w:pPr>
              <w:pStyle w:val="TableParagraph"/>
              <w:spacing w:before="39" w:line="240" w:lineRule="exact"/>
              <w:ind w:left="90" w:right="85"/>
              <w:jc w:val="both"/>
              <w:rPr>
                <w:color w:val="000000" w:themeColor="text1"/>
                <w:sz w:val="24"/>
                <w:szCs w:val="24"/>
              </w:rPr>
            </w:pPr>
            <w:r w:rsidRPr="00C56257">
              <w:rPr>
                <w:color w:val="000000" w:themeColor="text1"/>
                <w:sz w:val="24"/>
                <w:szCs w:val="24"/>
              </w:rPr>
              <w:t>11</w:t>
            </w:r>
          </w:p>
        </w:tc>
        <w:tc>
          <w:tcPr>
            <w:tcW w:w="704" w:type="dxa"/>
          </w:tcPr>
          <w:p w14:paraId="1B40A5D2" w14:textId="77777777" w:rsidR="008572F7" w:rsidRPr="00C56257" w:rsidRDefault="008572F7" w:rsidP="00C902DF">
            <w:pPr>
              <w:pStyle w:val="TableParagraph"/>
              <w:spacing w:before="39" w:line="240" w:lineRule="exact"/>
              <w:ind w:left="7"/>
              <w:jc w:val="both"/>
              <w:rPr>
                <w:color w:val="000000" w:themeColor="text1"/>
                <w:sz w:val="24"/>
                <w:szCs w:val="24"/>
              </w:rPr>
            </w:pPr>
            <w:r w:rsidRPr="00C56257">
              <w:rPr>
                <w:color w:val="000000" w:themeColor="text1"/>
                <w:sz w:val="24"/>
                <w:szCs w:val="24"/>
              </w:rPr>
              <w:t>7</w:t>
            </w:r>
          </w:p>
        </w:tc>
        <w:tc>
          <w:tcPr>
            <w:tcW w:w="706" w:type="dxa"/>
          </w:tcPr>
          <w:p w14:paraId="1A262AB4" w14:textId="77777777" w:rsidR="008572F7" w:rsidRPr="00C56257" w:rsidRDefault="008572F7" w:rsidP="00C902DF">
            <w:pPr>
              <w:pStyle w:val="TableParagraph"/>
              <w:spacing w:before="39" w:line="240" w:lineRule="exact"/>
              <w:ind w:left="8"/>
              <w:jc w:val="both"/>
              <w:rPr>
                <w:color w:val="000000" w:themeColor="text1"/>
                <w:sz w:val="24"/>
                <w:szCs w:val="24"/>
              </w:rPr>
            </w:pPr>
            <w:r w:rsidRPr="00C56257">
              <w:rPr>
                <w:color w:val="000000" w:themeColor="text1"/>
                <w:sz w:val="24"/>
                <w:szCs w:val="24"/>
              </w:rPr>
              <w:t>0</w:t>
            </w:r>
          </w:p>
        </w:tc>
        <w:tc>
          <w:tcPr>
            <w:tcW w:w="1422" w:type="dxa"/>
          </w:tcPr>
          <w:p w14:paraId="454104D2" w14:textId="77777777" w:rsidR="008572F7" w:rsidRPr="00C56257" w:rsidRDefault="008572F7" w:rsidP="00C902DF">
            <w:pPr>
              <w:pStyle w:val="TableParagraph"/>
              <w:spacing w:before="39" w:line="240" w:lineRule="exact"/>
              <w:ind w:left="85" w:right="83"/>
              <w:jc w:val="both"/>
              <w:rPr>
                <w:color w:val="000000" w:themeColor="text1"/>
                <w:sz w:val="24"/>
                <w:szCs w:val="24"/>
              </w:rPr>
            </w:pPr>
            <w:r w:rsidRPr="00C56257">
              <w:rPr>
                <w:color w:val="000000" w:themeColor="text1"/>
                <w:sz w:val="24"/>
                <w:szCs w:val="24"/>
              </w:rPr>
              <w:t>16</w:t>
            </w:r>
          </w:p>
        </w:tc>
        <w:tc>
          <w:tcPr>
            <w:tcW w:w="2603" w:type="dxa"/>
          </w:tcPr>
          <w:p w14:paraId="6A62C66D" w14:textId="77777777" w:rsidR="008572F7" w:rsidRPr="00C56257" w:rsidRDefault="008572F7" w:rsidP="00C902DF">
            <w:pPr>
              <w:pStyle w:val="TableParagraph"/>
              <w:spacing w:before="39" w:line="240" w:lineRule="exact"/>
              <w:jc w:val="both"/>
              <w:rPr>
                <w:color w:val="000000" w:themeColor="text1"/>
                <w:sz w:val="24"/>
                <w:szCs w:val="24"/>
              </w:rPr>
            </w:pPr>
            <w:r w:rsidRPr="00C56257">
              <w:rPr>
                <w:color w:val="000000" w:themeColor="text1"/>
                <w:sz w:val="24"/>
                <w:szCs w:val="24"/>
              </w:rPr>
              <w:t>5</w:t>
            </w:r>
          </w:p>
        </w:tc>
      </w:tr>
      <w:tr w:rsidR="008572F7" w:rsidRPr="00C56257" w14:paraId="665286EA" w14:textId="77777777" w:rsidTr="00C902DF">
        <w:trPr>
          <w:trHeight w:val="299"/>
        </w:trPr>
        <w:tc>
          <w:tcPr>
            <w:tcW w:w="1385" w:type="dxa"/>
          </w:tcPr>
          <w:p w14:paraId="7A612158" w14:textId="77777777" w:rsidR="008572F7" w:rsidRPr="00C56257" w:rsidRDefault="008572F7" w:rsidP="00C902DF">
            <w:pPr>
              <w:pStyle w:val="TableParagraph"/>
              <w:spacing w:before="39" w:line="240" w:lineRule="exact"/>
              <w:ind w:left="88" w:right="77"/>
              <w:jc w:val="both"/>
              <w:rPr>
                <w:color w:val="000000" w:themeColor="text1"/>
                <w:sz w:val="24"/>
                <w:szCs w:val="24"/>
              </w:rPr>
            </w:pPr>
            <w:r w:rsidRPr="00C56257">
              <w:rPr>
                <w:color w:val="000000" w:themeColor="text1"/>
                <w:sz w:val="24"/>
                <w:szCs w:val="24"/>
              </w:rPr>
              <w:t>1410</w:t>
            </w:r>
          </w:p>
        </w:tc>
        <w:tc>
          <w:tcPr>
            <w:tcW w:w="706" w:type="dxa"/>
          </w:tcPr>
          <w:p w14:paraId="7B49230D" w14:textId="77777777" w:rsidR="008572F7" w:rsidRPr="00C56257" w:rsidRDefault="008572F7" w:rsidP="00C902DF">
            <w:pPr>
              <w:pStyle w:val="TableParagraph"/>
              <w:spacing w:before="39" w:line="240" w:lineRule="exact"/>
              <w:ind w:left="8"/>
              <w:jc w:val="both"/>
              <w:rPr>
                <w:color w:val="000000" w:themeColor="text1"/>
                <w:sz w:val="24"/>
                <w:szCs w:val="24"/>
              </w:rPr>
            </w:pPr>
            <w:r w:rsidRPr="00C56257">
              <w:rPr>
                <w:color w:val="000000" w:themeColor="text1"/>
                <w:sz w:val="24"/>
                <w:szCs w:val="24"/>
              </w:rPr>
              <w:t>0</w:t>
            </w:r>
          </w:p>
        </w:tc>
        <w:tc>
          <w:tcPr>
            <w:tcW w:w="707" w:type="dxa"/>
          </w:tcPr>
          <w:p w14:paraId="3FD2B41E" w14:textId="77777777" w:rsidR="008572F7" w:rsidRPr="00C56257" w:rsidRDefault="008572F7" w:rsidP="00C902DF">
            <w:pPr>
              <w:pStyle w:val="TableParagraph"/>
              <w:spacing w:before="39" w:line="240" w:lineRule="exact"/>
              <w:ind w:left="12"/>
              <w:jc w:val="both"/>
              <w:rPr>
                <w:color w:val="000000" w:themeColor="text1"/>
                <w:sz w:val="24"/>
                <w:szCs w:val="24"/>
              </w:rPr>
            </w:pPr>
            <w:r w:rsidRPr="00C56257">
              <w:rPr>
                <w:color w:val="000000" w:themeColor="text1"/>
                <w:sz w:val="24"/>
                <w:szCs w:val="24"/>
              </w:rPr>
              <w:t>0</w:t>
            </w:r>
          </w:p>
        </w:tc>
        <w:tc>
          <w:tcPr>
            <w:tcW w:w="706" w:type="dxa"/>
          </w:tcPr>
          <w:p w14:paraId="1154A942" w14:textId="77777777" w:rsidR="008572F7" w:rsidRPr="00C56257" w:rsidRDefault="008572F7" w:rsidP="00C902DF">
            <w:pPr>
              <w:pStyle w:val="TableParagraph"/>
              <w:spacing w:before="39" w:line="240" w:lineRule="exact"/>
              <w:ind w:left="6"/>
              <w:jc w:val="both"/>
              <w:rPr>
                <w:color w:val="000000" w:themeColor="text1"/>
                <w:sz w:val="24"/>
                <w:szCs w:val="24"/>
              </w:rPr>
            </w:pPr>
            <w:r w:rsidRPr="00C56257">
              <w:rPr>
                <w:color w:val="000000" w:themeColor="text1"/>
                <w:sz w:val="24"/>
                <w:szCs w:val="24"/>
              </w:rPr>
              <w:t>0</w:t>
            </w:r>
          </w:p>
        </w:tc>
        <w:tc>
          <w:tcPr>
            <w:tcW w:w="706" w:type="dxa"/>
          </w:tcPr>
          <w:p w14:paraId="77EE11F4" w14:textId="77777777" w:rsidR="008572F7" w:rsidRPr="00C56257" w:rsidRDefault="008572F7" w:rsidP="00C902DF">
            <w:pPr>
              <w:pStyle w:val="TableParagraph"/>
              <w:spacing w:before="39" w:line="240" w:lineRule="exact"/>
              <w:ind w:left="5"/>
              <w:jc w:val="both"/>
              <w:rPr>
                <w:color w:val="000000" w:themeColor="text1"/>
                <w:sz w:val="24"/>
                <w:szCs w:val="24"/>
              </w:rPr>
            </w:pPr>
            <w:r w:rsidRPr="00C56257">
              <w:rPr>
                <w:color w:val="000000" w:themeColor="text1"/>
                <w:sz w:val="24"/>
                <w:szCs w:val="24"/>
              </w:rPr>
              <w:t>0</w:t>
            </w:r>
          </w:p>
        </w:tc>
        <w:tc>
          <w:tcPr>
            <w:tcW w:w="704" w:type="dxa"/>
          </w:tcPr>
          <w:p w14:paraId="0333BAB3" w14:textId="77777777" w:rsidR="008572F7" w:rsidRPr="00C56257" w:rsidRDefault="008572F7" w:rsidP="00C902DF">
            <w:pPr>
              <w:pStyle w:val="TableParagraph"/>
              <w:spacing w:before="39" w:line="240" w:lineRule="exact"/>
              <w:ind w:left="7"/>
              <w:jc w:val="both"/>
              <w:rPr>
                <w:color w:val="000000" w:themeColor="text1"/>
                <w:sz w:val="24"/>
                <w:szCs w:val="24"/>
              </w:rPr>
            </w:pPr>
            <w:r w:rsidRPr="00C56257">
              <w:rPr>
                <w:color w:val="000000" w:themeColor="text1"/>
                <w:sz w:val="24"/>
                <w:szCs w:val="24"/>
              </w:rPr>
              <w:t>7</w:t>
            </w:r>
          </w:p>
        </w:tc>
        <w:tc>
          <w:tcPr>
            <w:tcW w:w="706" w:type="dxa"/>
          </w:tcPr>
          <w:p w14:paraId="728E1EA5" w14:textId="77777777" w:rsidR="008572F7" w:rsidRPr="00C56257" w:rsidRDefault="008572F7" w:rsidP="00C902DF">
            <w:pPr>
              <w:pStyle w:val="TableParagraph"/>
              <w:spacing w:before="39" w:line="240" w:lineRule="exact"/>
              <w:ind w:left="8"/>
              <w:jc w:val="both"/>
              <w:rPr>
                <w:color w:val="000000" w:themeColor="text1"/>
                <w:sz w:val="24"/>
                <w:szCs w:val="24"/>
              </w:rPr>
            </w:pPr>
            <w:r w:rsidRPr="00C56257">
              <w:rPr>
                <w:color w:val="000000" w:themeColor="text1"/>
                <w:sz w:val="24"/>
                <w:szCs w:val="24"/>
              </w:rPr>
              <w:t>0</w:t>
            </w:r>
          </w:p>
        </w:tc>
        <w:tc>
          <w:tcPr>
            <w:tcW w:w="1422" w:type="dxa"/>
          </w:tcPr>
          <w:p w14:paraId="513A93EF" w14:textId="77777777" w:rsidR="008572F7" w:rsidRPr="00C56257" w:rsidRDefault="008572F7" w:rsidP="00C902DF">
            <w:pPr>
              <w:pStyle w:val="TableParagraph"/>
              <w:spacing w:before="39" w:line="240" w:lineRule="exact"/>
              <w:ind w:left="2"/>
              <w:jc w:val="both"/>
              <w:rPr>
                <w:color w:val="000000" w:themeColor="text1"/>
                <w:sz w:val="24"/>
                <w:szCs w:val="24"/>
              </w:rPr>
            </w:pPr>
            <w:r w:rsidRPr="00C56257">
              <w:rPr>
                <w:color w:val="000000" w:themeColor="text1"/>
                <w:sz w:val="24"/>
                <w:szCs w:val="24"/>
              </w:rPr>
              <w:t>7</w:t>
            </w:r>
          </w:p>
        </w:tc>
        <w:tc>
          <w:tcPr>
            <w:tcW w:w="2603" w:type="dxa"/>
          </w:tcPr>
          <w:p w14:paraId="4F4A0945" w14:textId="77777777" w:rsidR="008572F7" w:rsidRPr="00C56257" w:rsidRDefault="008572F7" w:rsidP="00C902DF">
            <w:pPr>
              <w:pStyle w:val="TableParagraph"/>
              <w:spacing w:before="39" w:line="240" w:lineRule="exact"/>
              <w:jc w:val="both"/>
              <w:rPr>
                <w:color w:val="000000" w:themeColor="text1"/>
                <w:sz w:val="24"/>
                <w:szCs w:val="24"/>
              </w:rPr>
            </w:pPr>
            <w:r w:rsidRPr="00C56257">
              <w:rPr>
                <w:color w:val="000000" w:themeColor="text1"/>
                <w:sz w:val="24"/>
                <w:szCs w:val="24"/>
              </w:rPr>
              <w:t>0</w:t>
            </w:r>
          </w:p>
        </w:tc>
      </w:tr>
      <w:tr w:rsidR="008572F7" w:rsidRPr="00C56257" w14:paraId="24EF3548" w14:textId="77777777" w:rsidTr="00C902DF">
        <w:trPr>
          <w:trHeight w:val="300"/>
        </w:trPr>
        <w:tc>
          <w:tcPr>
            <w:tcW w:w="1385" w:type="dxa"/>
          </w:tcPr>
          <w:p w14:paraId="070E999A" w14:textId="77777777" w:rsidR="008572F7" w:rsidRPr="00C56257" w:rsidRDefault="008572F7" w:rsidP="00C902DF">
            <w:pPr>
              <w:pStyle w:val="TableParagraph"/>
              <w:spacing w:before="42" w:line="238" w:lineRule="exact"/>
              <w:ind w:left="88" w:right="77"/>
              <w:jc w:val="both"/>
              <w:rPr>
                <w:color w:val="000000" w:themeColor="text1"/>
                <w:sz w:val="24"/>
                <w:szCs w:val="24"/>
              </w:rPr>
            </w:pPr>
            <w:r w:rsidRPr="00C56257">
              <w:rPr>
                <w:color w:val="000000" w:themeColor="text1"/>
                <w:sz w:val="24"/>
                <w:szCs w:val="24"/>
              </w:rPr>
              <w:t>1530</w:t>
            </w:r>
          </w:p>
        </w:tc>
        <w:tc>
          <w:tcPr>
            <w:tcW w:w="706" w:type="dxa"/>
          </w:tcPr>
          <w:p w14:paraId="56274D36" w14:textId="77777777" w:rsidR="008572F7" w:rsidRPr="00C56257" w:rsidRDefault="008572F7" w:rsidP="00C902DF">
            <w:pPr>
              <w:pStyle w:val="TableParagraph"/>
              <w:spacing w:before="42" w:line="238" w:lineRule="exact"/>
              <w:ind w:left="8"/>
              <w:jc w:val="both"/>
              <w:rPr>
                <w:color w:val="000000" w:themeColor="text1"/>
                <w:sz w:val="24"/>
                <w:szCs w:val="24"/>
              </w:rPr>
            </w:pPr>
            <w:r w:rsidRPr="00C56257">
              <w:rPr>
                <w:color w:val="000000" w:themeColor="text1"/>
                <w:sz w:val="24"/>
                <w:szCs w:val="24"/>
              </w:rPr>
              <w:t>0</w:t>
            </w:r>
          </w:p>
        </w:tc>
        <w:tc>
          <w:tcPr>
            <w:tcW w:w="707" w:type="dxa"/>
          </w:tcPr>
          <w:p w14:paraId="3CC9E729" w14:textId="77777777" w:rsidR="008572F7" w:rsidRPr="00C56257" w:rsidRDefault="008572F7" w:rsidP="00C902DF">
            <w:pPr>
              <w:pStyle w:val="TableParagraph"/>
              <w:spacing w:before="42" w:line="238" w:lineRule="exact"/>
              <w:ind w:left="90" w:right="78"/>
              <w:jc w:val="both"/>
              <w:rPr>
                <w:color w:val="000000" w:themeColor="text1"/>
                <w:sz w:val="24"/>
                <w:szCs w:val="24"/>
              </w:rPr>
            </w:pPr>
            <w:r w:rsidRPr="00C56257">
              <w:rPr>
                <w:color w:val="000000" w:themeColor="text1"/>
                <w:sz w:val="24"/>
                <w:szCs w:val="24"/>
              </w:rPr>
              <w:t>17</w:t>
            </w:r>
          </w:p>
        </w:tc>
        <w:tc>
          <w:tcPr>
            <w:tcW w:w="706" w:type="dxa"/>
          </w:tcPr>
          <w:p w14:paraId="28B5E1DE" w14:textId="77777777" w:rsidR="008572F7" w:rsidRPr="00C56257" w:rsidRDefault="008572F7" w:rsidP="00C902DF">
            <w:pPr>
              <w:pStyle w:val="TableParagraph"/>
              <w:spacing w:before="42" w:line="238" w:lineRule="exact"/>
              <w:ind w:left="6"/>
              <w:jc w:val="both"/>
              <w:rPr>
                <w:color w:val="000000" w:themeColor="text1"/>
                <w:sz w:val="24"/>
                <w:szCs w:val="24"/>
              </w:rPr>
            </w:pPr>
            <w:r w:rsidRPr="00C56257">
              <w:rPr>
                <w:color w:val="000000" w:themeColor="text1"/>
                <w:sz w:val="24"/>
                <w:szCs w:val="24"/>
              </w:rPr>
              <w:t>9</w:t>
            </w:r>
          </w:p>
        </w:tc>
        <w:tc>
          <w:tcPr>
            <w:tcW w:w="706" w:type="dxa"/>
          </w:tcPr>
          <w:p w14:paraId="64A6D08C" w14:textId="77777777" w:rsidR="008572F7" w:rsidRPr="00C56257" w:rsidRDefault="008572F7" w:rsidP="00C902DF">
            <w:pPr>
              <w:pStyle w:val="TableParagraph"/>
              <w:spacing w:before="42" w:line="238" w:lineRule="exact"/>
              <w:ind w:left="90" w:right="85"/>
              <w:jc w:val="both"/>
              <w:rPr>
                <w:color w:val="000000" w:themeColor="text1"/>
                <w:sz w:val="24"/>
                <w:szCs w:val="24"/>
              </w:rPr>
            </w:pPr>
            <w:r w:rsidRPr="00C56257">
              <w:rPr>
                <w:color w:val="000000" w:themeColor="text1"/>
                <w:sz w:val="24"/>
                <w:szCs w:val="24"/>
              </w:rPr>
              <w:t>11</w:t>
            </w:r>
          </w:p>
        </w:tc>
        <w:tc>
          <w:tcPr>
            <w:tcW w:w="704" w:type="dxa"/>
          </w:tcPr>
          <w:p w14:paraId="6E9B6EF6" w14:textId="77777777" w:rsidR="008572F7" w:rsidRPr="00C56257" w:rsidRDefault="008572F7" w:rsidP="00C902DF">
            <w:pPr>
              <w:pStyle w:val="TableParagraph"/>
              <w:spacing w:before="42" w:line="238" w:lineRule="exact"/>
              <w:ind w:left="7"/>
              <w:jc w:val="both"/>
              <w:rPr>
                <w:color w:val="000000" w:themeColor="text1"/>
                <w:sz w:val="24"/>
                <w:szCs w:val="24"/>
              </w:rPr>
            </w:pPr>
            <w:r w:rsidRPr="00C56257">
              <w:rPr>
                <w:color w:val="000000" w:themeColor="text1"/>
                <w:sz w:val="24"/>
                <w:szCs w:val="24"/>
              </w:rPr>
              <w:t>5</w:t>
            </w:r>
          </w:p>
        </w:tc>
        <w:tc>
          <w:tcPr>
            <w:tcW w:w="706" w:type="dxa"/>
          </w:tcPr>
          <w:p w14:paraId="5BFCC6FB" w14:textId="77777777" w:rsidR="008572F7" w:rsidRPr="00C56257" w:rsidRDefault="008572F7" w:rsidP="00C902DF">
            <w:pPr>
              <w:pStyle w:val="TableParagraph"/>
              <w:spacing w:before="42" w:line="238" w:lineRule="exact"/>
              <w:ind w:left="8"/>
              <w:jc w:val="both"/>
              <w:rPr>
                <w:color w:val="000000" w:themeColor="text1"/>
                <w:sz w:val="24"/>
                <w:szCs w:val="24"/>
              </w:rPr>
            </w:pPr>
            <w:r w:rsidRPr="00C56257">
              <w:rPr>
                <w:color w:val="000000" w:themeColor="text1"/>
                <w:sz w:val="24"/>
                <w:szCs w:val="24"/>
              </w:rPr>
              <w:t>0</w:t>
            </w:r>
          </w:p>
        </w:tc>
        <w:tc>
          <w:tcPr>
            <w:tcW w:w="1422" w:type="dxa"/>
          </w:tcPr>
          <w:p w14:paraId="0B6A6F84" w14:textId="77777777" w:rsidR="008572F7" w:rsidRPr="00C56257" w:rsidRDefault="008572F7" w:rsidP="00C902DF">
            <w:pPr>
              <w:pStyle w:val="TableParagraph"/>
              <w:spacing w:before="42" w:line="238" w:lineRule="exact"/>
              <w:ind w:left="85" w:right="83"/>
              <w:jc w:val="both"/>
              <w:rPr>
                <w:color w:val="000000" w:themeColor="text1"/>
                <w:sz w:val="24"/>
                <w:szCs w:val="24"/>
              </w:rPr>
            </w:pPr>
            <w:r w:rsidRPr="00C56257">
              <w:rPr>
                <w:color w:val="000000" w:themeColor="text1"/>
                <w:sz w:val="24"/>
                <w:szCs w:val="24"/>
              </w:rPr>
              <w:t>39</w:t>
            </w:r>
          </w:p>
        </w:tc>
        <w:tc>
          <w:tcPr>
            <w:tcW w:w="2603" w:type="dxa"/>
          </w:tcPr>
          <w:p w14:paraId="0D44D6C0" w14:textId="77777777" w:rsidR="008572F7" w:rsidRPr="00C56257" w:rsidRDefault="008572F7" w:rsidP="00C902DF">
            <w:pPr>
              <w:pStyle w:val="TableParagraph"/>
              <w:spacing w:before="42" w:line="238" w:lineRule="exact"/>
              <w:jc w:val="both"/>
              <w:rPr>
                <w:color w:val="000000" w:themeColor="text1"/>
                <w:sz w:val="24"/>
                <w:szCs w:val="24"/>
              </w:rPr>
            </w:pPr>
            <w:r w:rsidRPr="00C56257">
              <w:rPr>
                <w:color w:val="000000" w:themeColor="text1"/>
                <w:sz w:val="24"/>
                <w:szCs w:val="24"/>
              </w:rPr>
              <w:t>3</w:t>
            </w:r>
          </w:p>
        </w:tc>
      </w:tr>
    </w:tbl>
    <w:p w14:paraId="07DBC11C" w14:textId="77777777" w:rsidR="008572F7" w:rsidRPr="00C56257" w:rsidRDefault="008572F7" w:rsidP="008572F7">
      <w:pPr>
        <w:pStyle w:val="BodyText"/>
        <w:jc w:val="both"/>
        <w:rPr>
          <w:color w:val="000000" w:themeColor="text1"/>
          <w:sz w:val="24"/>
          <w:szCs w:val="24"/>
        </w:rPr>
      </w:pPr>
    </w:p>
    <w:p w14:paraId="148BFA42" w14:textId="77777777" w:rsidR="008572F7" w:rsidRPr="00C56257" w:rsidRDefault="008572F7" w:rsidP="00F100E1">
      <w:pPr>
        <w:pStyle w:val="Heading2"/>
        <w:widowControl w:val="0"/>
        <w:tabs>
          <w:tab w:val="left" w:pos="1194"/>
        </w:tabs>
        <w:autoSpaceDE w:val="0"/>
        <w:autoSpaceDN w:val="0"/>
        <w:spacing w:before="0" w:beforeAutospacing="0" w:after="0" w:afterAutospacing="0"/>
        <w:jc w:val="both"/>
        <w:rPr>
          <w:color w:val="000000" w:themeColor="text1"/>
          <w:sz w:val="24"/>
          <w:szCs w:val="24"/>
          <w:lang w:val="fr-FR"/>
        </w:rPr>
      </w:pPr>
      <w:proofErr w:type="spellStart"/>
      <w:r w:rsidRPr="00C56257">
        <w:rPr>
          <w:color w:val="000000" w:themeColor="text1"/>
          <w:sz w:val="24"/>
          <w:szCs w:val="24"/>
          <w:lang w:val="fr-FR"/>
        </w:rPr>
        <w:t>Ploturi</w:t>
      </w:r>
      <w:proofErr w:type="spellEnd"/>
      <w:r w:rsidRPr="00C56257">
        <w:rPr>
          <w:color w:val="000000" w:themeColor="text1"/>
          <w:spacing w:val="-5"/>
          <w:sz w:val="24"/>
          <w:szCs w:val="24"/>
          <w:lang w:val="fr-FR"/>
        </w:rPr>
        <w:t xml:space="preserve"> </w:t>
      </w:r>
      <w:r w:rsidRPr="00C56257">
        <w:rPr>
          <w:color w:val="000000" w:themeColor="text1"/>
          <w:sz w:val="24"/>
          <w:szCs w:val="24"/>
          <w:lang w:val="fr-FR"/>
        </w:rPr>
        <w:t>de</w:t>
      </w:r>
      <w:r w:rsidRPr="00C56257">
        <w:rPr>
          <w:color w:val="000000" w:themeColor="text1"/>
          <w:spacing w:val="-5"/>
          <w:sz w:val="24"/>
          <w:szCs w:val="24"/>
          <w:lang w:val="fr-FR"/>
        </w:rPr>
        <w:t xml:space="preserve"> </w:t>
      </w:r>
      <w:proofErr w:type="spellStart"/>
      <w:r w:rsidRPr="00C56257">
        <w:rPr>
          <w:color w:val="000000" w:themeColor="text1"/>
          <w:sz w:val="24"/>
          <w:szCs w:val="24"/>
          <w:lang w:val="fr-FR"/>
        </w:rPr>
        <w:t>monitorizare</w:t>
      </w:r>
      <w:proofErr w:type="spellEnd"/>
      <w:r w:rsidRPr="00C56257">
        <w:rPr>
          <w:color w:val="000000" w:themeColor="text1"/>
          <w:spacing w:val="-5"/>
          <w:sz w:val="24"/>
          <w:szCs w:val="24"/>
          <w:lang w:val="fr-FR"/>
        </w:rPr>
        <w:t xml:space="preserve"> </w:t>
      </w:r>
      <w:proofErr w:type="spellStart"/>
      <w:r w:rsidRPr="00C56257">
        <w:rPr>
          <w:color w:val="000000" w:themeColor="text1"/>
          <w:sz w:val="24"/>
          <w:szCs w:val="24"/>
          <w:lang w:val="fr-FR"/>
        </w:rPr>
        <w:t>din</w:t>
      </w:r>
      <w:proofErr w:type="spellEnd"/>
      <w:r w:rsidRPr="00C56257">
        <w:rPr>
          <w:color w:val="000000" w:themeColor="text1"/>
          <w:spacing w:val="-4"/>
          <w:sz w:val="24"/>
          <w:szCs w:val="24"/>
          <w:lang w:val="fr-FR"/>
        </w:rPr>
        <w:t xml:space="preserve"> </w:t>
      </w:r>
      <w:proofErr w:type="spellStart"/>
      <w:r w:rsidRPr="00C56257">
        <w:rPr>
          <w:color w:val="000000" w:themeColor="text1"/>
          <w:sz w:val="24"/>
          <w:szCs w:val="24"/>
          <w:lang w:val="fr-FR"/>
        </w:rPr>
        <w:t>rețeaua</w:t>
      </w:r>
      <w:proofErr w:type="spellEnd"/>
      <w:r w:rsidRPr="00C56257">
        <w:rPr>
          <w:color w:val="000000" w:themeColor="text1"/>
          <w:spacing w:val="-3"/>
          <w:sz w:val="24"/>
          <w:szCs w:val="24"/>
          <w:lang w:val="fr-FR"/>
        </w:rPr>
        <w:t xml:space="preserve"> </w:t>
      </w:r>
      <w:r w:rsidRPr="00C56257">
        <w:rPr>
          <w:color w:val="000000" w:themeColor="text1"/>
          <w:sz w:val="24"/>
          <w:szCs w:val="24"/>
          <w:lang w:val="fr-FR"/>
        </w:rPr>
        <w:t>Natura</w:t>
      </w:r>
      <w:r w:rsidRPr="00C56257">
        <w:rPr>
          <w:color w:val="000000" w:themeColor="text1"/>
          <w:spacing w:val="-6"/>
          <w:sz w:val="24"/>
          <w:szCs w:val="24"/>
          <w:lang w:val="fr-FR"/>
        </w:rPr>
        <w:t xml:space="preserve"> </w:t>
      </w:r>
      <w:r w:rsidRPr="00C56257">
        <w:rPr>
          <w:color w:val="000000" w:themeColor="text1"/>
          <w:sz w:val="24"/>
          <w:szCs w:val="24"/>
          <w:lang w:val="fr-FR"/>
        </w:rPr>
        <w:t>2000</w:t>
      </w:r>
    </w:p>
    <w:p w14:paraId="590C7A76" w14:textId="77777777" w:rsidR="008572F7" w:rsidRPr="00C56257" w:rsidRDefault="008572F7" w:rsidP="00B538DD">
      <w:pPr>
        <w:pStyle w:val="BodyText"/>
        <w:spacing w:before="157"/>
        <w:ind w:left="0"/>
        <w:jc w:val="both"/>
        <w:rPr>
          <w:color w:val="000000" w:themeColor="text1"/>
          <w:sz w:val="24"/>
          <w:szCs w:val="24"/>
          <w:lang w:val="fr-FR"/>
        </w:rPr>
      </w:pPr>
      <w:proofErr w:type="spellStart"/>
      <w:r w:rsidRPr="00C56257">
        <w:rPr>
          <w:color w:val="000000" w:themeColor="text1"/>
          <w:sz w:val="24"/>
          <w:szCs w:val="24"/>
          <w:lang w:val="fr-FR"/>
        </w:rPr>
        <w:t>Ploturile</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de</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monitorizare</w:t>
      </w:r>
      <w:proofErr w:type="spellEnd"/>
      <w:r w:rsidRPr="00C56257">
        <w:rPr>
          <w:color w:val="000000" w:themeColor="text1"/>
          <w:spacing w:val="-3"/>
          <w:sz w:val="24"/>
          <w:szCs w:val="24"/>
          <w:lang w:val="fr-FR"/>
        </w:rPr>
        <w:t xml:space="preserve"> </w:t>
      </w:r>
      <w:r w:rsidRPr="00C56257">
        <w:rPr>
          <w:color w:val="000000" w:themeColor="text1"/>
          <w:sz w:val="24"/>
          <w:szCs w:val="24"/>
          <w:lang w:val="fr-FR"/>
        </w:rPr>
        <w:t>se</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stabilesc</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corelație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cu</w:t>
      </w:r>
      <w:proofErr w:type="spellEnd"/>
      <w:r w:rsidRPr="00C56257">
        <w:rPr>
          <w:color w:val="000000" w:themeColor="text1"/>
          <w:sz w:val="24"/>
          <w:szCs w:val="24"/>
          <w:lang w:val="fr-FR"/>
        </w:rPr>
        <w:t>:</w:t>
      </w:r>
    </w:p>
    <w:p w14:paraId="4EC2DB74" w14:textId="77777777" w:rsidR="008572F7" w:rsidRPr="00C56257" w:rsidRDefault="008572F7" w:rsidP="009E63E5">
      <w:pPr>
        <w:pStyle w:val="ListParagraph"/>
        <w:widowControl w:val="0"/>
        <w:numPr>
          <w:ilvl w:val="0"/>
          <w:numId w:val="102"/>
        </w:numPr>
        <w:tabs>
          <w:tab w:val="left" w:pos="90"/>
        </w:tabs>
        <w:autoSpaceDE w:val="0"/>
        <w:autoSpaceDN w:val="0"/>
        <w:ind w:left="0" w:firstLine="0"/>
        <w:jc w:val="both"/>
        <w:rPr>
          <w:rFonts w:ascii="Times New Roman" w:hAnsi="Times New Roman" w:cs="Times New Roman"/>
          <w:color w:val="000000" w:themeColor="text1"/>
          <w:sz w:val="24"/>
          <w:szCs w:val="24"/>
          <w:lang w:val="fr-FR"/>
        </w:rPr>
      </w:pPr>
      <w:proofErr w:type="spellStart"/>
      <w:r w:rsidRPr="00C56257">
        <w:rPr>
          <w:rFonts w:ascii="Times New Roman" w:hAnsi="Times New Roman" w:cs="Times New Roman"/>
          <w:color w:val="000000" w:themeColor="text1"/>
          <w:sz w:val="24"/>
          <w:szCs w:val="24"/>
          <w:lang w:val="fr-FR"/>
        </w:rPr>
        <w:t>arealul</w:t>
      </w:r>
      <w:proofErr w:type="spellEnd"/>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tipului</w:t>
      </w:r>
      <w:proofErr w:type="spellEnd"/>
      <w:r w:rsidRPr="00C56257">
        <w:rPr>
          <w:rFonts w:ascii="Times New Roman" w:hAnsi="Times New Roman" w:cs="Times New Roman"/>
          <w:color w:val="000000" w:themeColor="text1"/>
          <w:spacing w:val="-1"/>
          <w:sz w:val="24"/>
          <w:szCs w:val="24"/>
          <w:lang w:val="fr-FR"/>
        </w:rPr>
        <w:t xml:space="preserve"> </w:t>
      </w:r>
      <w:r w:rsidRPr="00C56257">
        <w:rPr>
          <w:rFonts w:ascii="Times New Roman" w:hAnsi="Times New Roman" w:cs="Times New Roman"/>
          <w:color w:val="000000" w:themeColor="text1"/>
          <w:sz w:val="24"/>
          <w:szCs w:val="24"/>
          <w:lang w:val="fr-FR"/>
        </w:rPr>
        <w:t>de</w:t>
      </w:r>
      <w:r w:rsidRPr="00C56257">
        <w:rPr>
          <w:rFonts w:ascii="Times New Roman" w:hAnsi="Times New Roman" w:cs="Times New Roman"/>
          <w:color w:val="000000" w:themeColor="text1"/>
          <w:spacing w:val="-2"/>
          <w:sz w:val="24"/>
          <w:szCs w:val="24"/>
          <w:lang w:val="fr-FR"/>
        </w:rPr>
        <w:t xml:space="preserve"> </w:t>
      </w:r>
      <w:r w:rsidRPr="00C56257">
        <w:rPr>
          <w:rFonts w:ascii="Times New Roman" w:hAnsi="Times New Roman" w:cs="Times New Roman"/>
          <w:color w:val="000000" w:themeColor="text1"/>
          <w:sz w:val="24"/>
          <w:szCs w:val="24"/>
          <w:lang w:val="fr-FR"/>
        </w:rPr>
        <w:t>habitat</w:t>
      </w:r>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din</w:t>
      </w:r>
      <w:proofErr w:type="spellEnd"/>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interiorul</w:t>
      </w:r>
      <w:proofErr w:type="spellEnd"/>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rețelei</w:t>
      </w:r>
      <w:proofErr w:type="spellEnd"/>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pSCI</w:t>
      </w:r>
      <w:proofErr w:type="spellEnd"/>
      <w:r w:rsidRPr="00C56257">
        <w:rPr>
          <w:rFonts w:ascii="Times New Roman" w:hAnsi="Times New Roman" w:cs="Times New Roman"/>
          <w:color w:val="000000" w:themeColor="text1"/>
          <w:sz w:val="24"/>
          <w:szCs w:val="24"/>
          <w:lang w:val="fr-FR"/>
        </w:rPr>
        <w:t>,</w:t>
      </w:r>
      <w:r w:rsidRPr="00C56257">
        <w:rPr>
          <w:rFonts w:ascii="Times New Roman" w:hAnsi="Times New Roman" w:cs="Times New Roman"/>
          <w:color w:val="000000" w:themeColor="text1"/>
          <w:spacing w:val="-1"/>
          <w:sz w:val="24"/>
          <w:szCs w:val="24"/>
          <w:lang w:val="fr-FR"/>
        </w:rPr>
        <w:t xml:space="preserve"> </w:t>
      </w:r>
      <w:r w:rsidRPr="00C56257">
        <w:rPr>
          <w:rFonts w:ascii="Times New Roman" w:hAnsi="Times New Roman" w:cs="Times New Roman"/>
          <w:color w:val="000000" w:themeColor="text1"/>
          <w:sz w:val="24"/>
          <w:szCs w:val="24"/>
          <w:lang w:val="fr-FR"/>
        </w:rPr>
        <w:t>SCI</w:t>
      </w:r>
      <w:r w:rsidRPr="00C56257">
        <w:rPr>
          <w:rFonts w:ascii="Times New Roman" w:hAnsi="Times New Roman" w:cs="Times New Roman"/>
          <w:color w:val="000000" w:themeColor="text1"/>
          <w:spacing w:val="-5"/>
          <w:sz w:val="24"/>
          <w:szCs w:val="24"/>
          <w:lang w:val="fr-FR"/>
        </w:rPr>
        <w:t xml:space="preserve"> </w:t>
      </w:r>
      <w:proofErr w:type="spellStart"/>
      <w:r w:rsidRPr="00C56257">
        <w:rPr>
          <w:rFonts w:ascii="Times New Roman" w:hAnsi="Times New Roman" w:cs="Times New Roman"/>
          <w:color w:val="000000" w:themeColor="text1"/>
          <w:sz w:val="24"/>
          <w:szCs w:val="24"/>
          <w:lang w:val="fr-FR"/>
        </w:rPr>
        <w:t>și</w:t>
      </w:r>
      <w:proofErr w:type="spellEnd"/>
      <w:r w:rsidRPr="00C56257">
        <w:rPr>
          <w:rFonts w:ascii="Times New Roman" w:hAnsi="Times New Roman" w:cs="Times New Roman"/>
          <w:color w:val="000000" w:themeColor="text1"/>
          <w:spacing w:val="-2"/>
          <w:sz w:val="24"/>
          <w:szCs w:val="24"/>
          <w:lang w:val="fr-FR"/>
        </w:rPr>
        <w:t xml:space="preserve"> </w:t>
      </w:r>
      <w:r w:rsidRPr="00C56257">
        <w:rPr>
          <w:rFonts w:ascii="Times New Roman" w:hAnsi="Times New Roman" w:cs="Times New Roman"/>
          <w:color w:val="000000" w:themeColor="text1"/>
          <w:sz w:val="24"/>
          <w:szCs w:val="24"/>
          <w:lang w:val="fr-FR"/>
        </w:rPr>
        <w:t>SAC,</w:t>
      </w:r>
    </w:p>
    <w:p w14:paraId="2469E222" w14:textId="77777777" w:rsidR="008572F7" w:rsidRPr="00C56257" w:rsidRDefault="008572F7" w:rsidP="00B538DD">
      <w:pPr>
        <w:pStyle w:val="BodyText"/>
        <w:ind w:left="0"/>
        <w:jc w:val="both"/>
        <w:rPr>
          <w:color w:val="000000" w:themeColor="text1"/>
          <w:sz w:val="24"/>
          <w:szCs w:val="24"/>
          <w:lang w:val="fr-FR"/>
        </w:rPr>
      </w:pPr>
      <w:r w:rsidRPr="00C56257">
        <w:rPr>
          <w:color w:val="000000" w:themeColor="text1"/>
          <w:sz w:val="24"/>
          <w:szCs w:val="24"/>
          <w:lang w:val="fr-FR"/>
        </w:rPr>
        <w:t>-</w:t>
      </w:r>
      <w:proofErr w:type="spellStart"/>
      <w:r w:rsidRPr="00C56257">
        <w:rPr>
          <w:color w:val="000000" w:themeColor="text1"/>
          <w:sz w:val="24"/>
          <w:szCs w:val="24"/>
          <w:lang w:val="fr-FR"/>
        </w:rPr>
        <w:t>modul</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de</w:t>
      </w:r>
      <w:r w:rsidRPr="00C56257">
        <w:rPr>
          <w:color w:val="000000" w:themeColor="text1"/>
          <w:spacing w:val="-3"/>
          <w:sz w:val="24"/>
          <w:szCs w:val="24"/>
          <w:lang w:val="fr-FR"/>
        </w:rPr>
        <w:t xml:space="preserve"> </w:t>
      </w:r>
      <w:proofErr w:type="spellStart"/>
      <w:r w:rsidRPr="00C56257">
        <w:rPr>
          <w:color w:val="000000" w:themeColor="text1"/>
          <w:sz w:val="24"/>
          <w:szCs w:val="24"/>
          <w:lang w:val="fr-FR"/>
        </w:rPr>
        <w:t>estimare</w:t>
      </w:r>
      <w:proofErr w:type="spellEnd"/>
      <w:r w:rsidRPr="00C56257">
        <w:rPr>
          <w:color w:val="000000" w:themeColor="text1"/>
          <w:sz w:val="24"/>
          <w:szCs w:val="24"/>
          <w:lang w:val="fr-FR"/>
        </w:rPr>
        <w:t>,</w:t>
      </w:r>
    </w:p>
    <w:p w14:paraId="0D1508E6" w14:textId="77777777" w:rsidR="008572F7" w:rsidRPr="00C56257" w:rsidRDefault="008572F7" w:rsidP="00B538DD">
      <w:pPr>
        <w:pStyle w:val="BodyText"/>
        <w:ind w:left="0"/>
        <w:jc w:val="both"/>
        <w:rPr>
          <w:color w:val="000000" w:themeColor="text1"/>
          <w:sz w:val="24"/>
          <w:szCs w:val="24"/>
          <w:lang w:val="fr-FR"/>
        </w:rPr>
      </w:pPr>
      <w:r w:rsidRPr="00C56257">
        <w:rPr>
          <w:color w:val="000000" w:themeColor="text1"/>
          <w:sz w:val="24"/>
          <w:szCs w:val="24"/>
          <w:lang w:val="fr-FR"/>
        </w:rPr>
        <w:t>-</w:t>
      </w:r>
      <w:proofErr w:type="spellStart"/>
      <w:r w:rsidRPr="00C56257">
        <w:rPr>
          <w:color w:val="000000" w:themeColor="text1"/>
          <w:sz w:val="24"/>
          <w:szCs w:val="24"/>
          <w:lang w:val="fr-FR"/>
        </w:rPr>
        <w:t>suprafața</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tipului</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r w:rsidRPr="00C56257">
        <w:rPr>
          <w:color w:val="000000" w:themeColor="text1"/>
          <w:sz w:val="24"/>
          <w:szCs w:val="24"/>
          <w:lang w:val="fr-FR"/>
        </w:rPr>
        <w:t>habitat</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din</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interiorul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rețelei</w:t>
      </w:r>
      <w:proofErr w:type="spellEnd"/>
      <w:r w:rsidRPr="00C56257">
        <w:rPr>
          <w:color w:val="000000" w:themeColor="text1"/>
          <w:sz w:val="24"/>
          <w:szCs w:val="24"/>
          <w:lang w:val="fr-FR"/>
        </w:rPr>
        <w:t>,</w:t>
      </w:r>
    </w:p>
    <w:p w14:paraId="7B030B29" w14:textId="77777777" w:rsidR="008572F7" w:rsidRPr="00C56257" w:rsidRDefault="008572F7" w:rsidP="00B538DD">
      <w:pPr>
        <w:pStyle w:val="BodyText"/>
        <w:ind w:left="0"/>
        <w:jc w:val="both"/>
        <w:rPr>
          <w:color w:val="000000" w:themeColor="text1"/>
          <w:sz w:val="24"/>
          <w:szCs w:val="24"/>
          <w:lang w:val="fr-FR"/>
        </w:rPr>
      </w:pPr>
      <w:r w:rsidRPr="00C56257">
        <w:rPr>
          <w:color w:val="000000" w:themeColor="text1"/>
          <w:sz w:val="24"/>
          <w:szCs w:val="24"/>
          <w:lang w:val="fr-FR"/>
        </w:rPr>
        <w:t>-</w:t>
      </w:r>
      <w:proofErr w:type="spellStart"/>
      <w:r w:rsidRPr="00C56257">
        <w:rPr>
          <w:color w:val="000000" w:themeColor="text1"/>
          <w:sz w:val="24"/>
          <w:szCs w:val="24"/>
          <w:lang w:val="fr-FR"/>
        </w:rPr>
        <w:t>metoda</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folosită</w:t>
      </w:r>
      <w:proofErr w:type="spellEnd"/>
      <w:r w:rsidRPr="00C56257">
        <w:rPr>
          <w:color w:val="000000" w:themeColor="text1"/>
          <w:sz w:val="24"/>
          <w:szCs w:val="24"/>
          <w:lang w:val="fr-FR"/>
        </w:rPr>
        <w:t>,</w:t>
      </w:r>
    </w:p>
    <w:p w14:paraId="3ED01928" w14:textId="77777777" w:rsidR="008572F7" w:rsidRPr="00C56257" w:rsidRDefault="008572F7" w:rsidP="00B538DD">
      <w:pPr>
        <w:pStyle w:val="BodyText"/>
        <w:ind w:left="0"/>
        <w:jc w:val="both"/>
        <w:rPr>
          <w:color w:val="000000" w:themeColor="text1"/>
          <w:sz w:val="24"/>
          <w:szCs w:val="24"/>
          <w:lang w:val="fr-FR"/>
        </w:rPr>
      </w:pPr>
      <w:r w:rsidRPr="00C56257">
        <w:rPr>
          <w:color w:val="000000" w:themeColor="text1"/>
          <w:sz w:val="24"/>
          <w:szCs w:val="24"/>
          <w:lang w:val="fr-FR"/>
        </w:rPr>
        <w:t>-</w:t>
      </w:r>
      <w:proofErr w:type="spellStart"/>
      <w:r w:rsidRPr="00C56257">
        <w:rPr>
          <w:color w:val="000000" w:themeColor="text1"/>
          <w:sz w:val="24"/>
          <w:szCs w:val="24"/>
          <w:lang w:val="fr-FR"/>
        </w:rPr>
        <w:t>tendința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pe</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termen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scurt</w:t>
      </w:r>
      <w:proofErr w:type="spellEnd"/>
      <w:r w:rsidRPr="00C56257">
        <w:rPr>
          <w:color w:val="000000" w:themeColor="text1"/>
          <w:sz w:val="24"/>
          <w:szCs w:val="24"/>
          <w:lang w:val="fr-FR"/>
        </w:rPr>
        <w:t xml:space="preserve"> a</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habitatului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stare</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bună</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cadrul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rețelei</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w:t>
      </w:r>
      <w:proofErr w:type="spellStart"/>
      <w:r w:rsidRPr="00C56257">
        <w:rPr>
          <w:color w:val="000000" w:themeColor="text1"/>
          <w:sz w:val="24"/>
          <w:szCs w:val="24"/>
          <w:lang w:val="fr-FR"/>
        </w:rPr>
        <w:t>direcţia</w:t>
      </w:r>
      <w:proofErr w:type="spellEnd"/>
      <w:r w:rsidRPr="00C56257">
        <w:rPr>
          <w:color w:val="000000" w:themeColor="text1"/>
          <w:sz w:val="24"/>
          <w:szCs w:val="24"/>
          <w:lang w:val="fr-FR"/>
        </w:rPr>
        <w:t>),</w:t>
      </w:r>
    </w:p>
    <w:p w14:paraId="5061F7B6" w14:textId="77777777" w:rsidR="008572F7" w:rsidRPr="00C56257" w:rsidRDefault="008572F7" w:rsidP="00B538DD">
      <w:pPr>
        <w:pStyle w:val="BodyText"/>
        <w:spacing w:before="1"/>
        <w:ind w:left="0"/>
        <w:jc w:val="both"/>
        <w:rPr>
          <w:color w:val="000000" w:themeColor="text1"/>
          <w:sz w:val="24"/>
          <w:szCs w:val="24"/>
          <w:lang w:val="fr-FR"/>
        </w:rPr>
      </w:pPr>
      <w:r w:rsidRPr="00C56257">
        <w:rPr>
          <w:color w:val="000000" w:themeColor="text1"/>
          <w:sz w:val="24"/>
          <w:szCs w:val="24"/>
          <w:lang w:val="fr-FR"/>
        </w:rPr>
        <w:t>-</w:t>
      </w:r>
      <w:proofErr w:type="spellStart"/>
      <w:r w:rsidRPr="00C56257">
        <w:rPr>
          <w:color w:val="000000" w:themeColor="text1"/>
          <w:sz w:val="24"/>
          <w:szCs w:val="24"/>
          <w:lang w:val="fr-FR"/>
        </w:rPr>
        <w:t>tendința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pe</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termen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scurt</w:t>
      </w:r>
      <w:proofErr w:type="spellEnd"/>
      <w:r w:rsidRPr="00C56257">
        <w:rPr>
          <w:color w:val="000000" w:themeColor="text1"/>
          <w:sz w:val="24"/>
          <w:szCs w:val="24"/>
          <w:lang w:val="fr-FR"/>
        </w:rPr>
        <w:t xml:space="preserve"> a</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habitatului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stare</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bună</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cadrul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rețelei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metoda</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folosită</w:t>
      </w:r>
      <w:proofErr w:type="spellEnd"/>
      <w:r w:rsidRPr="00C56257">
        <w:rPr>
          <w:color w:val="000000" w:themeColor="text1"/>
          <w:sz w:val="24"/>
          <w:szCs w:val="24"/>
          <w:lang w:val="fr-FR"/>
        </w:rPr>
        <w:t>).</w:t>
      </w:r>
    </w:p>
    <w:p w14:paraId="5968D556" w14:textId="77777777" w:rsidR="008572F7" w:rsidRPr="00C56257" w:rsidRDefault="008572F7" w:rsidP="008572F7">
      <w:pPr>
        <w:pStyle w:val="BodyText"/>
        <w:jc w:val="both"/>
        <w:rPr>
          <w:color w:val="000000" w:themeColor="text1"/>
          <w:sz w:val="24"/>
          <w:szCs w:val="24"/>
          <w:lang w:val="fr-FR"/>
        </w:rPr>
      </w:pPr>
    </w:p>
    <w:p w14:paraId="25CD2461" w14:textId="77777777" w:rsidR="008572F7" w:rsidRPr="00C56257" w:rsidRDefault="008572F7" w:rsidP="00F100E1">
      <w:pPr>
        <w:pStyle w:val="Heading2"/>
        <w:widowControl w:val="0"/>
        <w:tabs>
          <w:tab w:val="left" w:pos="1194"/>
        </w:tabs>
        <w:autoSpaceDE w:val="0"/>
        <w:autoSpaceDN w:val="0"/>
        <w:spacing w:beforeAutospacing="0" w:after="0" w:afterAutospacing="0"/>
        <w:jc w:val="both"/>
        <w:rPr>
          <w:color w:val="000000" w:themeColor="text1"/>
          <w:sz w:val="24"/>
          <w:szCs w:val="24"/>
          <w:lang w:val="fr-FR"/>
        </w:rPr>
      </w:pPr>
      <w:proofErr w:type="spellStart"/>
      <w:r w:rsidRPr="00C56257">
        <w:rPr>
          <w:color w:val="000000" w:themeColor="text1"/>
          <w:sz w:val="24"/>
          <w:szCs w:val="24"/>
          <w:lang w:val="fr-FR"/>
        </w:rPr>
        <w:t>Ploturi</w:t>
      </w:r>
      <w:proofErr w:type="spellEnd"/>
      <w:r w:rsidRPr="00C56257">
        <w:rPr>
          <w:color w:val="000000" w:themeColor="text1"/>
          <w:spacing w:val="-5"/>
          <w:sz w:val="24"/>
          <w:szCs w:val="24"/>
          <w:lang w:val="fr-FR"/>
        </w:rPr>
        <w:t xml:space="preserve"> </w:t>
      </w:r>
      <w:r w:rsidRPr="00C56257">
        <w:rPr>
          <w:color w:val="000000" w:themeColor="text1"/>
          <w:sz w:val="24"/>
          <w:szCs w:val="24"/>
          <w:lang w:val="fr-FR"/>
        </w:rPr>
        <w:t>de</w:t>
      </w:r>
      <w:r w:rsidRPr="00C56257">
        <w:rPr>
          <w:color w:val="000000" w:themeColor="text1"/>
          <w:spacing w:val="-4"/>
          <w:sz w:val="24"/>
          <w:szCs w:val="24"/>
          <w:lang w:val="fr-FR"/>
        </w:rPr>
        <w:t xml:space="preserve"> </w:t>
      </w:r>
      <w:proofErr w:type="spellStart"/>
      <w:r w:rsidRPr="00C56257">
        <w:rPr>
          <w:color w:val="000000" w:themeColor="text1"/>
          <w:sz w:val="24"/>
          <w:szCs w:val="24"/>
          <w:lang w:val="fr-FR"/>
        </w:rPr>
        <w:t>monitorizare</w:t>
      </w:r>
      <w:proofErr w:type="spellEnd"/>
      <w:r w:rsidRPr="00C56257">
        <w:rPr>
          <w:color w:val="000000" w:themeColor="text1"/>
          <w:spacing w:val="-4"/>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5"/>
          <w:sz w:val="24"/>
          <w:szCs w:val="24"/>
          <w:lang w:val="fr-FR"/>
        </w:rPr>
        <w:t xml:space="preserve"> </w:t>
      </w:r>
      <w:proofErr w:type="spellStart"/>
      <w:r w:rsidRPr="00C56257">
        <w:rPr>
          <w:color w:val="000000" w:themeColor="text1"/>
          <w:sz w:val="24"/>
          <w:szCs w:val="24"/>
          <w:lang w:val="fr-FR"/>
        </w:rPr>
        <w:t>afara</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rețelei</w:t>
      </w:r>
      <w:proofErr w:type="spellEnd"/>
      <w:r w:rsidRPr="00C56257">
        <w:rPr>
          <w:color w:val="000000" w:themeColor="text1"/>
          <w:spacing w:val="-4"/>
          <w:sz w:val="24"/>
          <w:szCs w:val="24"/>
          <w:lang w:val="fr-FR"/>
        </w:rPr>
        <w:t xml:space="preserve"> </w:t>
      </w:r>
      <w:r w:rsidRPr="00C56257">
        <w:rPr>
          <w:color w:val="000000" w:themeColor="text1"/>
          <w:sz w:val="24"/>
          <w:szCs w:val="24"/>
          <w:lang w:val="fr-FR"/>
        </w:rPr>
        <w:t>Natura</w:t>
      </w:r>
      <w:r w:rsidRPr="00C56257">
        <w:rPr>
          <w:color w:val="000000" w:themeColor="text1"/>
          <w:spacing w:val="-2"/>
          <w:sz w:val="24"/>
          <w:szCs w:val="24"/>
          <w:lang w:val="fr-FR"/>
        </w:rPr>
        <w:t xml:space="preserve"> </w:t>
      </w:r>
      <w:r w:rsidRPr="00C56257">
        <w:rPr>
          <w:color w:val="000000" w:themeColor="text1"/>
          <w:sz w:val="24"/>
          <w:szCs w:val="24"/>
          <w:lang w:val="fr-FR"/>
        </w:rPr>
        <w:t>2000</w:t>
      </w:r>
    </w:p>
    <w:p w14:paraId="49F95270" w14:textId="77777777" w:rsidR="008572F7" w:rsidRPr="00C56257" w:rsidRDefault="008572F7" w:rsidP="00DE490A">
      <w:pPr>
        <w:pStyle w:val="BodyText"/>
        <w:spacing w:before="157"/>
        <w:ind w:left="0" w:right="105"/>
        <w:jc w:val="both"/>
        <w:rPr>
          <w:color w:val="000000" w:themeColor="text1"/>
          <w:sz w:val="24"/>
          <w:szCs w:val="24"/>
          <w:lang w:val="fr-FR"/>
        </w:rPr>
      </w:pPr>
      <w:proofErr w:type="spellStart"/>
      <w:r w:rsidRPr="00C56257">
        <w:rPr>
          <w:color w:val="000000" w:themeColor="text1"/>
          <w:sz w:val="24"/>
          <w:szCs w:val="24"/>
          <w:lang w:val="fr-FR"/>
        </w:rPr>
        <w:t>Monitorizarea</w:t>
      </w:r>
      <w:proofErr w:type="spellEnd"/>
      <w:r w:rsidRPr="00C56257">
        <w:rPr>
          <w:color w:val="000000" w:themeColor="text1"/>
          <w:spacing w:val="15"/>
          <w:sz w:val="24"/>
          <w:szCs w:val="24"/>
          <w:lang w:val="fr-FR"/>
        </w:rPr>
        <w:t xml:space="preserve"> </w:t>
      </w:r>
      <w:proofErr w:type="spellStart"/>
      <w:r w:rsidRPr="00C56257">
        <w:rPr>
          <w:color w:val="000000" w:themeColor="text1"/>
          <w:sz w:val="24"/>
          <w:szCs w:val="24"/>
          <w:lang w:val="fr-FR"/>
        </w:rPr>
        <w:t>habitatelor</w:t>
      </w:r>
      <w:proofErr w:type="spellEnd"/>
      <w:r w:rsidRPr="00C56257">
        <w:rPr>
          <w:color w:val="000000" w:themeColor="text1"/>
          <w:spacing w:val="16"/>
          <w:sz w:val="24"/>
          <w:szCs w:val="24"/>
          <w:lang w:val="fr-FR"/>
        </w:rPr>
        <w:t xml:space="preserve"> </w:t>
      </w:r>
      <w:r w:rsidRPr="00C56257">
        <w:rPr>
          <w:color w:val="000000" w:themeColor="text1"/>
          <w:sz w:val="24"/>
          <w:szCs w:val="24"/>
          <w:lang w:val="fr-FR"/>
        </w:rPr>
        <w:t>de</w:t>
      </w:r>
      <w:r w:rsidRPr="00C56257">
        <w:rPr>
          <w:color w:val="000000" w:themeColor="text1"/>
          <w:spacing w:val="14"/>
          <w:sz w:val="24"/>
          <w:szCs w:val="24"/>
          <w:lang w:val="fr-FR"/>
        </w:rPr>
        <w:t xml:space="preserve"> </w:t>
      </w:r>
      <w:proofErr w:type="spellStart"/>
      <w:r w:rsidRPr="00C56257">
        <w:rPr>
          <w:color w:val="000000" w:themeColor="text1"/>
          <w:sz w:val="24"/>
          <w:szCs w:val="24"/>
          <w:lang w:val="fr-FR"/>
        </w:rPr>
        <w:t>interes</w:t>
      </w:r>
      <w:proofErr w:type="spellEnd"/>
      <w:r w:rsidRPr="00C56257">
        <w:rPr>
          <w:color w:val="000000" w:themeColor="text1"/>
          <w:spacing w:val="18"/>
          <w:sz w:val="24"/>
          <w:szCs w:val="24"/>
          <w:lang w:val="fr-FR"/>
        </w:rPr>
        <w:t xml:space="preserve"> </w:t>
      </w:r>
      <w:proofErr w:type="spellStart"/>
      <w:r w:rsidRPr="00C56257">
        <w:rPr>
          <w:color w:val="000000" w:themeColor="text1"/>
          <w:sz w:val="24"/>
          <w:szCs w:val="24"/>
          <w:lang w:val="fr-FR"/>
        </w:rPr>
        <w:t>comunitar</w:t>
      </w:r>
      <w:proofErr w:type="spellEnd"/>
      <w:r w:rsidRPr="00C56257">
        <w:rPr>
          <w:color w:val="000000" w:themeColor="text1"/>
          <w:spacing w:val="16"/>
          <w:sz w:val="24"/>
          <w:szCs w:val="24"/>
          <w:lang w:val="fr-FR"/>
        </w:rPr>
        <w:t xml:space="preserve"> </w:t>
      </w:r>
      <w:r w:rsidRPr="00C56257">
        <w:rPr>
          <w:color w:val="000000" w:themeColor="text1"/>
          <w:sz w:val="24"/>
          <w:szCs w:val="24"/>
          <w:lang w:val="fr-FR"/>
        </w:rPr>
        <w:t>se</w:t>
      </w:r>
      <w:r w:rsidRPr="00C56257">
        <w:rPr>
          <w:color w:val="000000" w:themeColor="text1"/>
          <w:spacing w:val="17"/>
          <w:sz w:val="24"/>
          <w:szCs w:val="24"/>
          <w:lang w:val="fr-FR"/>
        </w:rPr>
        <w:t xml:space="preserve"> </w:t>
      </w:r>
      <w:r w:rsidRPr="00C56257">
        <w:rPr>
          <w:color w:val="000000" w:themeColor="text1"/>
          <w:sz w:val="24"/>
          <w:szCs w:val="24"/>
          <w:lang w:val="fr-FR"/>
        </w:rPr>
        <w:t>face</w:t>
      </w:r>
      <w:r w:rsidRPr="00C56257">
        <w:rPr>
          <w:color w:val="000000" w:themeColor="text1"/>
          <w:spacing w:val="16"/>
          <w:sz w:val="24"/>
          <w:szCs w:val="24"/>
          <w:lang w:val="fr-FR"/>
        </w:rPr>
        <w:t xml:space="preserve"> </w:t>
      </w:r>
      <w:proofErr w:type="spellStart"/>
      <w:r w:rsidRPr="00C56257">
        <w:rPr>
          <w:color w:val="000000" w:themeColor="text1"/>
          <w:sz w:val="24"/>
          <w:szCs w:val="24"/>
          <w:lang w:val="fr-FR"/>
        </w:rPr>
        <w:t>atât</w:t>
      </w:r>
      <w:proofErr w:type="spellEnd"/>
      <w:r w:rsidRPr="00C56257">
        <w:rPr>
          <w:color w:val="000000" w:themeColor="text1"/>
          <w:spacing w:val="16"/>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7"/>
          <w:sz w:val="24"/>
          <w:szCs w:val="24"/>
          <w:lang w:val="fr-FR"/>
        </w:rPr>
        <w:t xml:space="preserve"> </w:t>
      </w:r>
      <w:proofErr w:type="spellStart"/>
      <w:r w:rsidRPr="00C56257">
        <w:rPr>
          <w:color w:val="000000" w:themeColor="text1"/>
          <w:sz w:val="24"/>
          <w:szCs w:val="24"/>
          <w:lang w:val="fr-FR"/>
        </w:rPr>
        <w:t>interiorul</w:t>
      </w:r>
      <w:proofErr w:type="spellEnd"/>
      <w:r w:rsidRPr="00C56257">
        <w:rPr>
          <w:color w:val="000000" w:themeColor="text1"/>
          <w:spacing w:val="16"/>
          <w:sz w:val="24"/>
          <w:szCs w:val="24"/>
          <w:lang w:val="fr-FR"/>
        </w:rPr>
        <w:t xml:space="preserve"> </w:t>
      </w:r>
      <w:proofErr w:type="spellStart"/>
      <w:r w:rsidRPr="00C56257">
        <w:rPr>
          <w:color w:val="000000" w:themeColor="text1"/>
          <w:sz w:val="24"/>
          <w:szCs w:val="24"/>
          <w:lang w:val="fr-FR"/>
        </w:rPr>
        <w:t>Rețelei</w:t>
      </w:r>
      <w:proofErr w:type="spellEnd"/>
      <w:r w:rsidRPr="00C56257">
        <w:rPr>
          <w:color w:val="000000" w:themeColor="text1"/>
          <w:spacing w:val="16"/>
          <w:sz w:val="24"/>
          <w:szCs w:val="24"/>
          <w:lang w:val="fr-FR"/>
        </w:rPr>
        <w:t xml:space="preserve"> </w:t>
      </w:r>
      <w:r w:rsidRPr="00C56257">
        <w:rPr>
          <w:color w:val="000000" w:themeColor="text1"/>
          <w:sz w:val="24"/>
          <w:szCs w:val="24"/>
          <w:lang w:val="fr-FR"/>
        </w:rPr>
        <w:t>Natura</w:t>
      </w:r>
      <w:r w:rsidRPr="00C56257">
        <w:rPr>
          <w:color w:val="000000" w:themeColor="text1"/>
          <w:spacing w:val="14"/>
          <w:sz w:val="24"/>
          <w:szCs w:val="24"/>
          <w:lang w:val="fr-FR"/>
        </w:rPr>
        <w:t xml:space="preserve"> </w:t>
      </w:r>
      <w:r w:rsidRPr="00C56257">
        <w:rPr>
          <w:color w:val="000000" w:themeColor="text1"/>
          <w:sz w:val="24"/>
          <w:szCs w:val="24"/>
          <w:lang w:val="fr-FR"/>
        </w:rPr>
        <w:t>2000,</w:t>
      </w:r>
      <w:r w:rsidRPr="00C56257">
        <w:rPr>
          <w:color w:val="000000" w:themeColor="text1"/>
          <w:spacing w:val="15"/>
          <w:sz w:val="24"/>
          <w:szCs w:val="24"/>
          <w:lang w:val="fr-FR"/>
        </w:rPr>
        <w:t xml:space="preserve"> </w:t>
      </w:r>
      <w:proofErr w:type="spellStart"/>
      <w:r w:rsidRPr="00C56257">
        <w:rPr>
          <w:color w:val="000000" w:themeColor="text1"/>
          <w:sz w:val="24"/>
          <w:szCs w:val="24"/>
          <w:lang w:val="fr-FR"/>
        </w:rPr>
        <w:t>cât</w:t>
      </w:r>
      <w:proofErr w:type="spellEnd"/>
      <w:r w:rsidRPr="00C56257">
        <w:rPr>
          <w:color w:val="000000" w:themeColor="text1"/>
          <w:spacing w:val="16"/>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pacing w:val="-57"/>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afara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rețelei</w:t>
      </w:r>
      <w:proofErr w:type="spellEnd"/>
      <w:r w:rsidRPr="00C56257">
        <w:rPr>
          <w:color w:val="000000" w:themeColor="text1"/>
          <w:sz w:val="24"/>
          <w:szCs w:val="24"/>
          <w:lang w:val="fr-FR"/>
        </w:rPr>
        <w:t xml:space="preserve"> Natura</w:t>
      </w:r>
      <w:r w:rsidRPr="00C56257">
        <w:rPr>
          <w:color w:val="000000" w:themeColor="text1"/>
          <w:spacing w:val="-2"/>
          <w:sz w:val="24"/>
          <w:szCs w:val="24"/>
          <w:lang w:val="fr-FR"/>
        </w:rPr>
        <w:t xml:space="preserve"> </w:t>
      </w:r>
      <w:r w:rsidRPr="00C56257">
        <w:rPr>
          <w:color w:val="000000" w:themeColor="text1"/>
          <w:sz w:val="24"/>
          <w:szCs w:val="24"/>
          <w:lang w:val="fr-FR"/>
        </w:rPr>
        <w:t xml:space="preserve">2000,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scopul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evaluării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vederea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raportării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către</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CE.</w:t>
      </w:r>
    </w:p>
    <w:p w14:paraId="7CDC6B2D" w14:textId="77777777" w:rsidR="008572F7" w:rsidRPr="00C56257" w:rsidRDefault="008572F7" w:rsidP="00DE490A">
      <w:pPr>
        <w:pStyle w:val="BodyText"/>
        <w:ind w:left="0"/>
        <w:jc w:val="both"/>
        <w:rPr>
          <w:color w:val="000000" w:themeColor="text1"/>
          <w:sz w:val="24"/>
          <w:szCs w:val="24"/>
          <w:lang w:val="fr-FR"/>
        </w:rPr>
      </w:pP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esență</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acest</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fapt</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se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transpune</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astfel</w:t>
      </w:r>
      <w:proofErr w:type="spellEnd"/>
      <w:r w:rsidRPr="00C56257">
        <w:rPr>
          <w:color w:val="000000" w:themeColor="text1"/>
          <w:sz w:val="24"/>
          <w:szCs w:val="24"/>
          <w:lang w:val="fr-FR"/>
        </w:rPr>
        <w:t>:</w:t>
      </w:r>
    </w:p>
    <w:p w14:paraId="2F088B0B" w14:textId="77777777" w:rsidR="008572F7" w:rsidRPr="00C56257" w:rsidRDefault="008572F7" w:rsidP="009E63E5">
      <w:pPr>
        <w:pStyle w:val="ListParagraph"/>
        <w:widowControl w:val="0"/>
        <w:numPr>
          <w:ilvl w:val="0"/>
          <w:numId w:val="101"/>
        </w:numPr>
        <w:tabs>
          <w:tab w:val="left" w:pos="1014"/>
        </w:tabs>
        <w:autoSpaceDE w:val="0"/>
        <w:autoSpaceDN w:val="0"/>
        <w:ind w:left="0" w:firstLine="0"/>
        <w:jc w:val="both"/>
        <w:rPr>
          <w:rFonts w:ascii="Times New Roman" w:hAnsi="Times New Roman" w:cs="Times New Roman"/>
          <w:color w:val="000000" w:themeColor="text1"/>
          <w:sz w:val="24"/>
          <w:szCs w:val="24"/>
        </w:rPr>
      </w:pPr>
      <w:proofErr w:type="spellStart"/>
      <w:r w:rsidRPr="00C56257">
        <w:rPr>
          <w:rFonts w:ascii="Times New Roman" w:hAnsi="Times New Roman" w:cs="Times New Roman"/>
          <w:color w:val="000000" w:themeColor="text1"/>
          <w:sz w:val="24"/>
          <w:szCs w:val="24"/>
        </w:rPr>
        <w:t>Monitorizare</w:t>
      </w:r>
      <w:proofErr w:type="spellEnd"/>
      <w:r w:rsidRPr="00C56257">
        <w:rPr>
          <w:rFonts w:ascii="Times New Roman" w:hAnsi="Times New Roman" w:cs="Times New Roman"/>
          <w:color w:val="000000" w:themeColor="text1"/>
          <w:spacing w:val="-3"/>
          <w:sz w:val="24"/>
          <w:szCs w:val="24"/>
        </w:rPr>
        <w:t xml:space="preserve"> </w:t>
      </w:r>
      <w:proofErr w:type="spellStart"/>
      <w:r w:rsidRPr="00C56257">
        <w:rPr>
          <w:rFonts w:ascii="Times New Roman" w:hAnsi="Times New Roman" w:cs="Times New Roman"/>
          <w:color w:val="000000" w:themeColor="text1"/>
          <w:sz w:val="24"/>
          <w:szCs w:val="24"/>
        </w:rPr>
        <w:t>în</w:t>
      </w:r>
      <w:proofErr w:type="spellEnd"/>
      <w:r w:rsidRPr="00C56257">
        <w:rPr>
          <w:rFonts w:ascii="Times New Roman" w:hAnsi="Times New Roman" w:cs="Times New Roman"/>
          <w:color w:val="000000" w:themeColor="text1"/>
          <w:sz w:val="24"/>
          <w:szCs w:val="24"/>
        </w:rPr>
        <w:t xml:space="preserve"> </w:t>
      </w:r>
      <w:proofErr w:type="spellStart"/>
      <w:r w:rsidRPr="00C56257">
        <w:rPr>
          <w:rFonts w:ascii="Times New Roman" w:hAnsi="Times New Roman" w:cs="Times New Roman"/>
          <w:color w:val="000000" w:themeColor="text1"/>
          <w:sz w:val="24"/>
          <w:szCs w:val="24"/>
        </w:rPr>
        <w:t>ploturi</w:t>
      </w:r>
      <w:proofErr w:type="spellEnd"/>
      <w:r w:rsidRPr="00C56257">
        <w:rPr>
          <w:rFonts w:ascii="Times New Roman" w:hAnsi="Times New Roman" w:cs="Times New Roman"/>
          <w:color w:val="000000" w:themeColor="text1"/>
          <w:sz w:val="24"/>
          <w:szCs w:val="24"/>
        </w:rPr>
        <w:t xml:space="preserve"> </w:t>
      </w:r>
      <w:proofErr w:type="spellStart"/>
      <w:r w:rsidRPr="00C56257">
        <w:rPr>
          <w:rFonts w:ascii="Times New Roman" w:hAnsi="Times New Roman" w:cs="Times New Roman"/>
          <w:color w:val="000000" w:themeColor="text1"/>
          <w:sz w:val="24"/>
          <w:szCs w:val="24"/>
        </w:rPr>
        <w:t>numai</w:t>
      </w:r>
      <w:proofErr w:type="spellEnd"/>
      <w:r w:rsidRPr="00C56257">
        <w:rPr>
          <w:rFonts w:ascii="Times New Roman" w:hAnsi="Times New Roman" w:cs="Times New Roman"/>
          <w:color w:val="000000" w:themeColor="text1"/>
          <w:sz w:val="24"/>
          <w:szCs w:val="24"/>
        </w:rPr>
        <w:t xml:space="preserve"> </w:t>
      </w:r>
      <w:proofErr w:type="spellStart"/>
      <w:r w:rsidRPr="00C56257">
        <w:rPr>
          <w:rFonts w:ascii="Times New Roman" w:hAnsi="Times New Roman" w:cs="Times New Roman"/>
          <w:color w:val="000000" w:themeColor="text1"/>
          <w:sz w:val="24"/>
          <w:szCs w:val="24"/>
        </w:rPr>
        <w:t>în</w:t>
      </w:r>
      <w:proofErr w:type="spellEnd"/>
      <w:r w:rsidRPr="00C56257">
        <w:rPr>
          <w:rFonts w:ascii="Times New Roman" w:hAnsi="Times New Roman" w:cs="Times New Roman"/>
          <w:color w:val="000000" w:themeColor="text1"/>
          <w:spacing w:val="-1"/>
          <w:sz w:val="24"/>
          <w:szCs w:val="24"/>
        </w:rPr>
        <w:t xml:space="preserve"> </w:t>
      </w:r>
      <w:proofErr w:type="spellStart"/>
      <w:r w:rsidRPr="00C56257">
        <w:rPr>
          <w:rFonts w:ascii="Times New Roman" w:hAnsi="Times New Roman" w:cs="Times New Roman"/>
          <w:color w:val="000000" w:themeColor="text1"/>
          <w:sz w:val="24"/>
          <w:szCs w:val="24"/>
        </w:rPr>
        <w:t>interiorul</w:t>
      </w:r>
      <w:proofErr w:type="spellEnd"/>
      <w:r w:rsidRPr="00C56257">
        <w:rPr>
          <w:rFonts w:ascii="Times New Roman" w:hAnsi="Times New Roman" w:cs="Times New Roman"/>
          <w:color w:val="000000" w:themeColor="text1"/>
          <w:sz w:val="24"/>
          <w:szCs w:val="24"/>
        </w:rPr>
        <w:t xml:space="preserve"> Natura</w:t>
      </w:r>
      <w:r w:rsidRPr="00C56257">
        <w:rPr>
          <w:rFonts w:ascii="Times New Roman" w:hAnsi="Times New Roman" w:cs="Times New Roman"/>
          <w:color w:val="000000" w:themeColor="text1"/>
          <w:spacing w:val="-1"/>
          <w:sz w:val="24"/>
          <w:szCs w:val="24"/>
        </w:rPr>
        <w:t xml:space="preserve"> </w:t>
      </w:r>
      <w:r w:rsidRPr="00C56257">
        <w:rPr>
          <w:rFonts w:ascii="Times New Roman" w:hAnsi="Times New Roman" w:cs="Times New Roman"/>
          <w:color w:val="000000" w:themeColor="text1"/>
          <w:sz w:val="24"/>
          <w:szCs w:val="24"/>
        </w:rPr>
        <w:t>2000;</w:t>
      </w:r>
    </w:p>
    <w:p w14:paraId="75CAFBD6" w14:textId="77777777" w:rsidR="008572F7" w:rsidRPr="00C56257" w:rsidRDefault="008572F7" w:rsidP="009E63E5">
      <w:pPr>
        <w:pStyle w:val="ListParagraph"/>
        <w:widowControl w:val="0"/>
        <w:numPr>
          <w:ilvl w:val="0"/>
          <w:numId w:val="101"/>
        </w:numPr>
        <w:tabs>
          <w:tab w:val="left" w:pos="1014"/>
        </w:tabs>
        <w:autoSpaceDE w:val="0"/>
        <w:autoSpaceDN w:val="0"/>
        <w:spacing w:before="1"/>
        <w:ind w:left="0" w:firstLine="0"/>
        <w:jc w:val="both"/>
        <w:rPr>
          <w:rFonts w:ascii="Times New Roman" w:hAnsi="Times New Roman" w:cs="Times New Roman"/>
          <w:color w:val="000000" w:themeColor="text1"/>
          <w:sz w:val="24"/>
          <w:szCs w:val="24"/>
        </w:rPr>
      </w:pPr>
      <w:proofErr w:type="spellStart"/>
      <w:r w:rsidRPr="00C56257">
        <w:rPr>
          <w:rFonts w:ascii="Times New Roman" w:hAnsi="Times New Roman" w:cs="Times New Roman"/>
          <w:color w:val="000000" w:themeColor="text1"/>
          <w:sz w:val="24"/>
          <w:szCs w:val="24"/>
        </w:rPr>
        <w:t>Monitorizare</w:t>
      </w:r>
      <w:proofErr w:type="spellEnd"/>
      <w:r w:rsidRPr="00C56257">
        <w:rPr>
          <w:rFonts w:ascii="Times New Roman" w:hAnsi="Times New Roman" w:cs="Times New Roman"/>
          <w:color w:val="000000" w:themeColor="text1"/>
          <w:spacing w:val="-3"/>
          <w:sz w:val="24"/>
          <w:szCs w:val="24"/>
        </w:rPr>
        <w:t xml:space="preserve"> </w:t>
      </w:r>
      <w:proofErr w:type="spellStart"/>
      <w:r w:rsidRPr="00C56257">
        <w:rPr>
          <w:rFonts w:ascii="Times New Roman" w:hAnsi="Times New Roman" w:cs="Times New Roman"/>
          <w:color w:val="000000" w:themeColor="text1"/>
          <w:sz w:val="24"/>
          <w:szCs w:val="24"/>
        </w:rPr>
        <w:t>în</w:t>
      </w:r>
      <w:proofErr w:type="spellEnd"/>
      <w:r w:rsidRPr="00C56257">
        <w:rPr>
          <w:rFonts w:ascii="Times New Roman" w:hAnsi="Times New Roman" w:cs="Times New Roman"/>
          <w:color w:val="000000" w:themeColor="text1"/>
          <w:spacing w:val="-1"/>
          <w:sz w:val="24"/>
          <w:szCs w:val="24"/>
        </w:rPr>
        <w:t xml:space="preserve"> </w:t>
      </w:r>
      <w:proofErr w:type="spellStart"/>
      <w:r w:rsidRPr="00C56257">
        <w:rPr>
          <w:rFonts w:ascii="Times New Roman" w:hAnsi="Times New Roman" w:cs="Times New Roman"/>
          <w:color w:val="000000" w:themeColor="text1"/>
          <w:sz w:val="24"/>
          <w:szCs w:val="24"/>
        </w:rPr>
        <w:t>ploturi</w:t>
      </w:r>
      <w:proofErr w:type="spellEnd"/>
      <w:r w:rsidRPr="00C56257">
        <w:rPr>
          <w:rFonts w:ascii="Times New Roman" w:hAnsi="Times New Roman" w:cs="Times New Roman"/>
          <w:color w:val="000000" w:themeColor="text1"/>
          <w:sz w:val="24"/>
          <w:szCs w:val="24"/>
        </w:rPr>
        <w:t xml:space="preserve"> </w:t>
      </w:r>
      <w:proofErr w:type="spellStart"/>
      <w:r w:rsidRPr="00C56257">
        <w:rPr>
          <w:rFonts w:ascii="Times New Roman" w:hAnsi="Times New Roman" w:cs="Times New Roman"/>
          <w:color w:val="000000" w:themeColor="text1"/>
          <w:sz w:val="24"/>
          <w:szCs w:val="24"/>
        </w:rPr>
        <w:t>atât</w:t>
      </w:r>
      <w:proofErr w:type="spellEnd"/>
      <w:r w:rsidRPr="00C56257">
        <w:rPr>
          <w:rFonts w:ascii="Times New Roman" w:hAnsi="Times New Roman" w:cs="Times New Roman"/>
          <w:color w:val="000000" w:themeColor="text1"/>
          <w:spacing w:val="-1"/>
          <w:sz w:val="24"/>
          <w:szCs w:val="24"/>
        </w:rPr>
        <w:t xml:space="preserve"> </w:t>
      </w:r>
      <w:proofErr w:type="spellStart"/>
      <w:r w:rsidRPr="00C56257">
        <w:rPr>
          <w:rFonts w:ascii="Times New Roman" w:hAnsi="Times New Roman" w:cs="Times New Roman"/>
          <w:color w:val="000000" w:themeColor="text1"/>
          <w:sz w:val="24"/>
          <w:szCs w:val="24"/>
        </w:rPr>
        <w:t>în</w:t>
      </w:r>
      <w:proofErr w:type="spellEnd"/>
      <w:r w:rsidRPr="00C56257">
        <w:rPr>
          <w:rFonts w:ascii="Times New Roman" w:hAnsi="Times New Roman" w:cs="Times New Roman"/>
          <w:color w:val="000000" w:themeColor="text1"/>
          <w:spacing w:val="-1"/>
          <w:sz w:val="24"/>
          <w:szCs w:val="24"/>
        </w:rPr>
        <w:t xml:space="preserve"> </w:t>
      </w:r>
      <w:proofErr w:type="spellStart"/>
      <w:r w:rsidRPr="00C56257">
        <w:rPr>
          <w:rFonts w:ascii="Times New Roman" w:hAnsi="Times New Roman" w:cs="Times New Roman"/>
          <w:color w:val="000000" w:themeColor="text1"/>
          <w:sz w:val="24"/>
          <w:szCs w:val="24"/>
        </w:rPr>
        <w:t>interiorul</w:t>
      </w:r>
      <w:proofErr w:type="spellEnd"/>
      <w:r w:rsidRPr="00C56257">
        <w:rPr>
          <w:rFonts w:ascii="Times New Roman" w:hAnsi="Times New Roman" w:cs="Times New Roman"/>
          <w:color w:val="000000" w:themeColor="text1"/>
          <w:sz w:val="24"/>
          <w:szCs w:val="24"/>
        </w:rPr>
        <w:t xml:space="preserve">, </w:t>
      </w:r>
      <w:proofErr w:type="spellStart"/>
      <w:r w:rsidRPr="00C56257">
        <w:rPr>
          <w:rFonts w:ascii="Times New Roman" w:hAnsi="Times New Roman" w:cs="Times New Roman"/>
          <w:color w:val="000000" w:themeColor="text1"/>
          <w:sz w:val="24"/>
          <w:szCs w:val="24"/>
        </w:rPr>
        <w:t>cât</w:t>
      </w:r>
      <w:proofErr w:type="spellEnd"/>
      <w:r w:rsidRPr="00C56257">
        <w:rPr>
          <w:rFonts w:ascii="Times New Roman" w:hAnsi="Times New Roman" w:cs="Times New Roman"/>
          <w:color w:val="000000" w:themeColor="text1"/>
          <w:spacing w:val="-1"/>
          <w:sz w:val="24"/>
          <w:szCs w:val="24"/>
        </w:rPr>
        <w:t xml:space="preserve"> </w:t>
      </w:r>
      <w:proofErr w:type="spellStart"/>
      <w:r w:rsidRPr="00C56257">
        <w:rPr>
          <w:rFonts w:ascii="Times New Roman" w:hAnsi="Times New Roman" w:cs="Times New Roman"/>
          <w:color w:val="000000" w:themeColor="text1"/>
          <w:sz w:val="24"/>
          <w:szCs w:val="24"/>
        </w:rPr>
        <w:t>și</w:t>
      </w:r>
      <w:proofErr w:type="spellEnd"/>
      <w:r w:rsidRPr="00C56257">
        <w:rPr>
          <w:rFonts w:ascii="Times New Roman" w:hAnsi="Times New Roman" w:cs="Times New Roman"/>
          <w:color w:val="000000" w:themeColor="text1"/>
          <w:spacing w:val="-1"/>
          <w:sz w:val="24"/>
          <w:szCs w:val="24"/>
        </w:rPr>
        <w:t xml:space="preserve"> </w:t>
      </w:r>
      <w:proofErr w:type="spellStart"/>
      <w:r w:rsidRPr="00C56257">
        <w:rPr>
          <w:rFonts w:ascii="Times New Roman" w:hAnsi="Times New Roman" w:cs="Times New Roman"/>
          <w:color w:val="000000" w:themeColor="text1"/>
          <w:sz w:val="24"/>
          <w:szCs w:val="24"/>
        </w:rPr>
        <w:t>în</w:t>
      </w:r>
      <w:proofErr w:type="spellEnd"/>
      <w:r w:rsidRPr="00C56257">
        <w:rPr>
          <w:rFonts w:ascii="Times New Roman" w:hAnsi="Times New Roman" w:cs="Times New Roman"/>
          <w:color w:val="000000" w:themeColor="text1"/>
          <w:spacing w:val="-1"/>
          <w:sz w:val="24"/>
          <w:szCs w:val="24"/>
        </w:rPr>
        <w:t xml:space="preserve"> </w:t>
      </w:r>
      <w:r w:rsidRPr="00C56257">
        <w:rPr>
          <w:rFonts w:ascii="Times New Roman" w:hAnsi="Times New Roman" w:cs="Times New Roman"/>
          <w:color w:val="000000" w:themeColor="text1"/>
          <w:sz w:val="24"/>
          <w:szCs w:val="24"/>
        </w:rPr>
        <w:t>afara</w:t>
      </w:r>
      <w:r w:rsidRPr="00C56257">
        <w:rPr>
          <w:rFonts w:ascii="Times New Roman" w:hAnsi="Times New Roman" w:cs="Times New Roman"/>
          <w:color w:val="000000" w:themeColor="text1"/>
          <w:spacing w:val="-1"/>
          <w:sz w:val="24"/>
          <w:szCs w:val="24"/>
        </w:rPr>
        <w:t xml:space="preserve"> </w:t>
      </w:r>
      <w:r w:rsidRPr="00C56257">
        <w:rPr>
          <w:rFonts w:ascii="Times New Roman" w:hAnsi="Times New Roman" w:cs="Times New Roman"/>
          <w:color w:val="000000" w:themeColor="text1"/>
          <w:sz w:val="24"/>
          <w:szCs w:val="24"/>
        </w:rPr>
        <w:t>Natura</w:t>
      </w:r>
      <w:r w:rsidRPr="00C56257">
        <w:rPr>
          <w:rFonts w:ascii="Times New Roman" w:hAnsi="Times New Roman" w:cs="Times New Roman"/>
          <w:color w:val="000000" w:themeColor="text1"/>
          <w:spacing w:val="-2"/>
          <w:sz w:val="24"/>
          <w:szCs w:val="24"/>
        </w:rPr>
        <w:t xml:space="preserve"> </w:t>
      </w:r>
      <w:r w:rsidRPr="00C56257">
        <w:rPr>
          <w:rFonts w:ascii="Times New Roman" w:hAnsi="Times New Roman" w:cs="Times New Roman"/>
          <w:color w:val="000000" w:themeColor="text1"/>
          <w:sz w:val="24"/>
          <w:szCs w:val="24"/>
        </w:rPr>
        <w:t>2000;</w:t>
      </w:r>
    </w:p>
    <w:p w14:paraId="072C2E97" w14:textId="77777777" w:rsidR="008572F7" w:rsidRPr="00C56257" w:rsidRDefault="008572F7" w:rsidP="009E63E5">
      <w:pPr>
        <w:pStyle w:val="ListParagraph"/>
        <w:widowControl w:val="0"/>
        <w:numPr>
          <w:ilvl w:val="0"/>
          <w:numId w:val="101"/>
        </w:numPr>
        <w:tabs>
          <w:tab w:val="left" w:pos="1014"/>
        </w:tabs>
        <w:autoSpaceDE w:val="0"/>
        <w:autoSpaceDN w:val="0"/>
        <w:ind w:left="0" w:firstLine="0"/>
        <w:jc w:val="both"/>
        <w:rPr>
          <w:rFonts w:ascii="Times New Roman" w:hAnsi="Times New Roman" w:cs="Times New Roman"/>
          <w:color w:val="000000" w:themeColor="text1"/>
          <w:sz w:val="24"/>
          <w:szCs w:val="24"/>
          <w:lang w:val="fr-FR"/>
        </w:rPr>
      </w:pPr>
      <w:proofErr w:type="spellStart"/>
      <w:r w:rsidRPr="00C56257">
        <w:rPr>
          <w:rFonts w:ascii="Times New Roman" w:hAnsi="Times New Roman" w:cs="Times New Roman"/>
          <w:color w:val="000000" w:themeColor="text1"/>
          <w:sz w:val="24"/>
          <w:szCs w:val="24"/>
          <w:lang w:val="fr-FR"/>
        </w:rPr>
        <w:lastRenderedPageBreak/>
        <w:t>Monitorizare</w:t>
      </w:r>
      <w:proofErr w:type="spellEnd"/>
      <w:r w:rsidRPr="00C56257">
        <w:rPr>
          <w:rFonts w:ascii="Times New Roman" w:hAnsi="Times New Roman" w:cs="Times New Roman"/>
          <w:color w:val="000000" w:themeColor="text1"/>
          <w:spacing w:val="-3"/>
          <w:sz w:val="24"/>
          <w:szCs w:val="24"/>
          <w:lang w:val="fr-FR"/>
        </w:rPr>
        <w:t xml:space="preserve"> </w:t>
      </w:r>
      <w:proofErr w:type="spellStart"/>
      <w:r w:rsidRPr="00C56257">
        <w:rPr>
          <w:rFonts w:ascii="Times New Roman" w:hAnsi="Times New Roman" w:cs="Times New Roman"/>
          <w:color w:val="000000" w:themeColor="text1"/>
          <w:sz w:val="24"/>
          <w:szCs w:val="24"/>
          <w:lang w:val="fr-FR"/>
        </w:rPr>
        <w:t>în</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ploturi</w:t>
      </w:r>
      <w:proofErr w:type="spellEnd"/>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numai</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în</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afara</w:t>
      </w:r>
      <w:proofErr w:type="spellEnd"/>
      <w:r w:rsidRPr="00C56257">
        <w:rPr>
          <w:rFonts w:ascii="Times New Roman" w:hAnsi="Times New Roman" w:cs="Times New Roman"/>
          <w:color w:val="000000" w:themeColor="text1"/>
          <w:spacing w:val="-1"/>
          <w:sz w:val="24"/>
          <w:szCs w:val="24"/>
          <w:lang w:val="fr-FR"/>
        </w:rPr>
        <w:t xml:space="preserve"> </w:t>
      </w:r>
      <w:r w:rsidRPr="00C56257">
        <w:rPr>
          <w:rFonts w:ascii="Times New Roman" w:hAnsi="Times New Roman" w:cs="Times New Roman"/>
          <w:color w:val="000000" w:themeColor="text1"/>
          <w:sz w:val="24"/>
          <w:szCs w:val="24"/>
          <w:lang w:val="fr-FR"/>
        </w:rPr>
        <w:t>Natura</w:t>
      </w:r>
      <w:r w:rsidRPr="00C56257">
        <w:rPr>
          <w:rFonts w:ascii="Times New Roman" w:hAnsi="Times New Roman" w:cs="Times New Roman"/>
          <w:color w:val="000000" w:themeColor="text1"/>
          <w:spacing w:val="-1"/>
          <w:sz w:val="24"/>
          <w:szCs w:val="24"/>
          <w:lang w:val="fr-FR"/>
        </w:rPr>
        <w:t xml:space="preserve"> </w:t>
      </w:r>
      <w:r w:rsidRPr="00C56257">
        <w:rPr>
          <w:rFonts w:ascii="Times New Roman" w:hAnsi="Times New Roman" w:cs="Times New Roman"/>
          <w:color w:val="000000" w:themeColor="text1"/>
          <w:sz w:val="24"/>
          <w:szCs w:val="24"/>
          <w:lang w:val="fr-FR"/>
        </w:rPr>
        <w:t>2000.</w:t>
      </w:r>
    </w:p>
    <w:p w14:paraId="4504156C" w14:textId="77777777" w:rsidR="008572F7" w:rsidRPr="00C56257" w:rsidRDefault="008572F7" w:rsidP="00DE490A">
      <w:pPr>
        <w:pStyle w:val="BodyText"/>
        <w:ind w:left="0" w:right="252"/>
        <w:jc w:val="both"/>
        <w:rPr>
          <w:color w:val="000000" w:themeColor="text1"/>
          <w:sz w:val="24"/>
          <w:szCs w:val="24"/>
          <w:lang w:val="fr-FR"/>
        </w:rPr>
      </w:pPr>
      <w:proofErr w:type="spellStart"/>
      <w:r w:rsidRPr="00C56257">
        <w:rPr>
          <w:color w:val="000000" w:themeColor="text1"/>
          <w:sz w:val="24"/>
          <w:szCs w:val="24"/>
          <w:lang w:val="fr-FR"/>
        </w:rPr>
        <w:t>Datele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rezultate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urma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monitorizării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trebuie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surprindă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unde</w:t>
      </w:r>
      <w:proofErr w:type="spellEnd"/>
      <w:r w:rsidRPr="00C56257">
        <w:rPr>
          <w:color w:val="000000" w:themeColor="text1"/>
          <w:sz w:val="24"/>
          <w:szCs w:val="24"/>
          <w:lang w:val="fr-FR"/>
        </w:rPr>
        <w:t xml:space="preserve"> are </w:t>
      </w:r>
      <w:proofErr w:type="spellStart"/>
      <w:r w:rsidRPr="00C56257">
        <w:rPr>
          <w:color w:val="000000" w:themeColor="text1"/>
          <w:sz w:val="24"/>
          <w:szCs w:val="24"/>
          <w:lang w:val="fr-FR"/>
        </w:rPr>
        <w:t>loc</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principalul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obiectiv</w:t>
      </w:r>
      <w:proofErr w:type="spellEnd"/>
      <w:r w:rsidRPr="00C56257">
        <w:rPr>
          <w:color w:val="000000" w:themeColor="text1"/>
          <w:sz w:val="24"/>
          <w:szCs w:val="24"/>
          <w:lang w:val="fr-FR"/>
        </w:rPr>
        <w:t xml:space="preserve"> al</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acțiunii</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 xml:space="preserve">. Prin </w:t>
      </w:r>
      <w:proofErr w:type="spellStart"/>
      <w:r w:rsidRPr="00C56257">
        <w:rPr>
          <w:color w:val="000000" w:themeColor="text1"/>
          <w:sz w:val="24"/>
          <w:szCs w:val="24"/>
          <w:lang w:val="fr-FR"/>
        </w:rPr>
        <w:t>urmare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corelare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formatul</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raportare</w:t>
      </w:r>
      <w:proofErr w:type="spellEnd"/>
      <w:r w:rsidRPr="00C56257">
        <w:rPr>
          <w:color w:val="000000" w:themeColor="text1"/>
          <w:sz w:val="24"/>
          <w:szCs w:val="24"/>
          <w:lang w:val="fr-FR"/>
        </w:rPr>
        <w:t xml:space="preserve">, se </w:t>
      </w:r>
      <w:proofErr w:type="spellStart"/>
      <w:r w:rsidRPr="00C56257">
        <w:rPr>
          <w:color w:val="000000" w:themeColor="text1"/>
          <w:sz w:val="24"/>
          <w:szCs w:val="24"/>
          <w:lang w:val="fr-FR"/>
        </w:rPr>
        <w:t>alege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opțiunea</w:t>
      </w:r>
      <w:proofErr w:type="spellEnd"/>
      <w:r w:rsidRPr="00C56257">
        <w:rPr>
          <w:color w:val="000000" w:themeColor="text1"/>
          <w:sz w:val="24"/>
          <w:szCs w:val="24"/>
          <w:lang w:val="fr-FR"/>
        </w:rPr>
        <w:t xml:space="preserve"> (a) </w:t>
      </w:r>
      <w:proofErr w:type="spellStart"/>
      <w:r w:rsidRPr="00C56257">
        <w:rPr>
          <w:color w:val="000000" w:themeColor="text1"/>
          <w:sz w:val="24"/>
          <w:szCs w:val="24"/>
          <w:lang w:val="fr-FR"/>
        </w:rPr>
        <w:t>dacă</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toate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sau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marea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majoritate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dintre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măsurile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limitate</w:t>
      </w:r>
      <w:proofErr w:type="spellEnd"/>
      <w:r w:rsidRPr="00C56257">
        <w:rPr>
          <w:color w:val="000000" w:themeColor="text1"/>
          <w:sz w:val="24"/>
          <w:szCs w:val="24"/>
          <w:lang w:val="fr-FR"/>
        </w:rPr>
        <w:t xml:space="preserve"> la Natura 2000, </w:t>
      </w:r>
      <w:proofErr w:type="spellStart"/>
      <w:r w:rsidRPr="00C56257">
        <w:rPr>
          <w:color w:val="000000" w:themeColor="text1"/>
          <w:sz w:val="24"/>
          <w:szCs w:val="24"/>
          <w:lang w:val="fr-FR"/>
        </w:rPr>
        <w:t>opțiunea</w:t>
      </w:r>
      <w:proofErr w:type="spellEnd"/>
      <w:r w:rsidRPr="00C56257">
        <w:rPr>
          <w:color w:val="000000" w:themeColor="text1"/>
          <w:sz w:val="24"/>
          <w:szCs w:val="24"/>
          <w:lang w:val="fr-FR"/>
        </w:rPr>
        <w:t xml:space="preserve"> (b)</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dacă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există</w:t>
      </w:r>
      <w:proofErr w:type="spellEnd"/>
      <w:r w:rsidRPr="00C56257">
        <w:rPr>
          <w:color w:val="000000" w:themeColor="text1"/>
          <w:sz w:val="24"/>
          <w:szCs w:val="24"/>
          <w:lang w:val="fr-FR"/>
        </w:rPr>
        <w:t xml:space="preserve"> o </w:t>
      </w:r>
      <w:proofErr w:type="spellStart"/>
      <w:r w:rsidRPr="00C56257">
        <w:rPr>
          <w:color w:val="000000" w:themeColor="text1"/>
          <w:sz w:val="24"/>
          <w:szCs w:val="24"/>
          <w:lang w:val="fr-FR"/>
        </w:rPr>
        <w:t>investiție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proporțională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punerea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aplicare</w:t>
      </w:r>
      <w:proofErr w:type="spellEnd"/>
      <w:r w:rsidRPr="00C56257">
        <w:rPr>
          <w:color w:val="000000" w:themeColor="text1"/>
          <w:sz w:val="24"/>
          <w:szCs w:val="24"/>
          <w:lang w:val="fr-FR"/>
        </w:rPr>
        <w:t xml:space="preserve"> a </w:t>
      </w:r>
      <w:proofErr w:type="spellStart"/>
      <w:r w:rsidRPr="00C56257">
        <w:rPr>
          <w:color w:val="000000" w:themeColor="text1"/>
          <w:sz w:val="24"/>
          <w:szCs w:val="24"/>
          <w:lang w:val="fr-FR"/>
        </w:rPr>
        <w:t>măsurilor</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interiorul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afara</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 xml:space="preserve">Natura 2000 </w:t>
      </w:r>
      <w:proofErr w:type="spellStart"/>
      <w:r w:rsidRPr="00C56257">
        <w:rPr>
          <w:color w:val="000000" w:themeColor="text1"/>
          <w:sz w:val="24"/>
          <w:szCs w:val="24"/>
          <w:lang w:val="fr-FR"/>
        </w:rPr>
        <w:t>și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opțiunea</w:t>
      </w:r>
      <w:proofErr w:type="spellEnd"/>
      <w:r w:rsidRPr="00C56257">
        <w:rPr>
          <w:color w:val="000000" w:themeColor="text1"/>
          <w:sz w:val="24"/>
          <w:szCs w:val="24"/>
          <w:lang w:val="fr-FR"/>
        </w:rPr>
        <w:t xml:space="preserve"> (c ) </w:t>
      </w:r>
      <w:proofErr w:type="spellStart"/>
      <w:r w:rsidRPr="00C56257">
        <w:rPr>
          <w:color w:val="000000" w:themeColor="text1"/>
          <w:sz w:val="24"/>
          <w:szCs w:val="24"/>
          <w:lang w:val="fr-FR"/>
        </w:rPr>
        <w:t>dacă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toate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sau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marea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majoritate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dintre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măsuri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luate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afara</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Natura</w:t>
      </w:r>
      <w:r w:rsidRPr="00C56257">
        <w:rPr>
          <w:color w:val="000000" w:themeColor="text1"/>
          <w:spacing w:val="-3"/>
          <w:sz w:val="24"/>
          <w:szCs w:val="24"/>
          <w:lang w:val="fr-FR"/>
        </w:rPr>
        <w:t xml:space="preserve"> </w:t>
      </w:r>
      <w:r w:rsidRPr="00C56257">
        <w:rPr>
          <w:color w:val="000000" w:themeColor="text1"/>
          <w:sz w:val="24"/>
          <w:szCs w:val="24"/>
          <w:lang w:val="fr-FR"/>
        </w:rPr>
        <w:t>2000.</w:t>
      </w:r>
    </w:p>
    <w:p w14:paraId="48B69D69" w14:textId="77777777" w:rsidR="008572F7" w:rsidRPr="00C56257" w:rsidRDefault="008572F7" w:rsidP="00DE490A">
      <w:pPr>
        <w:pStyle w:val="BodyText"/>
        <w:ind w:left="0" w:right="254"/>
        <w:jc w:val="both"/>
        <w:rPr>
          <w:color w:val="000000" w:themeColor="text1"/>
          <w:sz w:val="24"/>
          <w:szCs w:val="24"/>
          <w:lang w:val="fr-FR"/>
        </w:rPr>
      </w:pP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stadiul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actual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majoritatea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habitatelor</w:t>
      </w:r>
      <w:proofErr w:type="spellEnd"/>
      <w:r w:rsidRPr="00C56257">
        <w:rPr>
          <w:color w:val="000000" w:themeColor="text1"/>
          <w:sz w:val="24"/>
          <w:szCs w:val="24"/>
          <w:lang w:val="fr-FR"/>
        </w:rPr>
        <w:t xml:space="preserve"> care nu </w:t>
      </w:r>
      <w:proofErr w:type="spellStart"/>
      <w:r w:rsidRPr="00C56257">
        <w:rPr>
          <w:color w:val="000000" w:themeColor="text1"/>
          <w:sz w:val="24"/>
          <w:szCs w:val="24"/>
          <w:lang w:val="fr-FR"/>
        </w:rPr>
        <w:t>sunt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rețeaua</w:t>
      </w:r>
      <w:proofErr w:type="spellEnd"/>
      <w:r w:rsidRPr="00C56257">
        <w:rPr>
          <w:color w:val="000000" w:themeColor="text1"/>
          <w:sz w:val="24"/>
          <w:szCs w:val="24"/>
          <w:lang w:val="fr-FR"/>
        </w:rPr>
        <w:t xml:space="preserve"> Natura 2000, nu </w:t>
      </w:r>
      <w:proofErr w:type="spellStart"/>
      <w:r w:rsidRPr="00C56257">
        <w:rPr>
          <w:color w:val="000000" w:themeColor="text1"/>
          <w:sz w:val="24"/>
          <w:szCs w:val="24"/>
          <w:lang w:val="fr-FR"/>
        </w:rPr>
        <w:t>sunt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cartate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nici</w:t>
      </w:r>
      <w:proofErr w:type="spellEnd"/>
      <w:r w:rsidRPr="00C56257">
        <w:rPr>
          <w:color w:val="000000" w:themeColor="text1"/>
          <w:sz w:val="24"/>
          <w:szCs w:val="24"/>
          <w:lang w:val="fr-FR"/>
        </w:rPr>
        <w:t xml:space="preserve"> la</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nivel</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bioregiune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nici</w:t>
      </w:r>
      <w:proofErr w:type="spellEnd"/>
      <w:r w:rsidRPr="00C56257">
        <w:rPr>
          <w:color w:val="000000" w:themeColor="text1"/>
          <w:sz w:val="24"/>
          <w:szCs w:val="24"/>
          <w:lang w:val="fr-FR"/>
        </w:rPr>
        <w:t xml:space="preserve"> la</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nivel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național</w:t>
      </w:r>
      <w:proofErr w:type="spellEnd"/>
      <w:r w:rsidRPr="00C56257">
        <w:rPr>
          <w:color w:val="000000" w:themeColor="text1"/>
          <w:sz w:val="24"/>
          <w:szCs w:val="24"/>
          <w:lang w:val="fr-FR"/>
        </w:rPr>
        <w:t>.</w:t>
      </w:r>
    </w:p>
    <w:p w14:paraId="20C1A26F" w14:textId="77777777" w:rsidR="008572F7" w:rsidRPr="00C56257" w:rsidRDefault="008572F7" w:rsidP="008572F7">
      <w:pPr>
        <w:pStyle w:val="BodyText"/>
        <w:ind w:left="293" w:right="254"/>
        <w:jc w:val="both"/>
        <w:rPr>
          <w:color w:val="000000" w:themeColor="text1"/>
          <w:sz w:val="24"/>
          <w:szCs w:val="24"/>
          <w:lang w:val="fr-FR"/>
        </w:rPr>
      </w:pPr>
    </w:p>
    <w:p w14:paraId="3F813545" w14:textId="77777777" w:rsidR="008572F7" w:rsidRPr="00C56257" w:rsidRDefault="008572F7" w:rsidP="00F100E1">
      <w:pPr>
        <w:pStyle w:val="Heading1"/>
        <w:keepNext w:val="0"/>
        <w:keepLines w:val="0"/>
        <w:tabs>
          <w:tab w:val="left" w:pos="1448"/>
        </w:tabs>
        <w:adjustRightInd/>
        <w:spacing w:before="70" w:line="242" w:lineRule="auto"/>
        <w:ind w:right="306"/>
        <w:jc w:val="both"/>
        <w:rPr>
          <w:rFonts w:ascii="Times New Roman" w:hAnsi="Times New Roman" w:cs="Times New Roman"/>
          <w:color w:val="000000" w:themeColor="text1"/>
          <w:sz w:val="24"/>
          <w:szCs w:val="24"/>
          <w:lang w:val="fr-FR"/>
        </w:rPr>
      </w:pPr>
      <w:proofErr w:type="spellStart"/>
      <w:r w:rsidRPr="00C56257">
        <w:rPr>
          <w:rFonts w:ascii="Times New Roman" w:hAnsi="Times New Roman" w:cs="Times New Roman"/>
          <w:color w:val="000000" w:themeColor="text1"/>
          <w:sz w:val="24"/>
          <w:szCs w:val="24"/>
          <w:lang w:val="fr-FR"/>
        </w:rPr>
        <w:t>Evaluarea</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stării</w:t>
      </w:r>
      <w:proofErr w:type="spellEnd"/>
      <w:r w:rsidRPr="00C56257">
        <w:rPr>
          <w:rFonts w:ascii="Times New Roman" w:hAnsi="Times New Roman" w:cs="Times New Roman"/>
          <w:color w:val="000000" w:themeColor="text1"/>
          <w:sz w:val="24"/>
          <w:szCs w:val="24"/>
          <w:lang w:val="fr-FR"/>
        </w:rPr>
        <w:t xml:space="preserve"> de </w:t>
      </w:r>
      <w:proofErr w:type="spellStart"/>
      <w:r w:rsidRPr="00C56257">
        <w:rPr>
          <w:rFonts w:ascii="Times New Roman" w:hAnsi="Times New Roman" w:cs="Times New Roman"/>
          <w:color w:val="000000" w:themeColor="text1"/>
          <w:sz w:val="24"/>
          <w:szCs w:val="24"/>
          <w:lang w:val="fr-FR"/>
        </w:rPr>
        <w:t>conservare</w:t>
      </w:r>
      <w:proofErr w:type="spellEnd"/>
      <w:r w:rsidRPr="00C56257">
        <w:rPr>
          <w:rFonts w:ascii="Times New Roman" w:hAnsi="Times New Roman" w:cs="Times New Roman"/>
          <w:color w:val="000000" w:themeColor="text1"/>
          <w:sz w:val="24"/>
          <w:szCs w:val="24"/>
          <w:lang w:val="fr-FR"/>
        </w:rPr>
        <w:t xml:space="preserve"> a </w:t>
      </w:r>
      <w:proofErr w:type="spellStart"/>
      <w:r w:rsidRPr="00C56257">
        <w:rPr>
          <w:rFonts w:ascii="Times New Roman" w:hAnsi="Times New Roman" w:cs="Times New Roman"/>
          <w:color w:val="000000" w:themeColor="text1"/>
          <w:sz w:val="24"/>
          <w:szCs w:val="24"/>
          <w:lang w:val="fr-FR"/>
        </w:rPr>
        <w:t>habitatelor</w:t>
      </w:r>
      <w:proofErr w:type="spellEnd"/>
      <w:r w:rsidRPr="00C56257">
        <w:rPr>
          <w:rFonts w:ascii="Times New Roman" w:hAnsi="Times New Roman" w:cs="Times New Roman"/>
          <w:color w:val="000000" w:themeColor="text1"/>
          <w:sz w:val="24"/>
          <w:szCs w:val="24"/>
          <w:lang w:val="fr-FR"/>
        </w:rPr>
        <w:t xml:space="preserve"> de </w:t>
      </w:r>
      <w:r w:rsidRPr="00C56257">
        <w:rPr>
          <w:rFonts w:ascii="Times New Roman" w:hAnsi="Times New Roman" w:cs="Times New Roman"/>
          <w:color w:val="000000" w:themeColor="text1"/>
          <w:spacing w:val="-68"/>
          <w:sz w:val="24"/>
          <w:szCs w:val="24"/>
          <w:lang w:val="fr-FR"/>
        </w:rPr>
        <w:t xml:space="preserve"> </w:t>
      </w:r>
      <w:proofErr w:type="spellStart"/>
      <w:r w:rsidRPr="00C56257">
        <w:rPr>
          <w:rFonts w:ascii="Times New Roman" w:hAnsi="Times New Roman" w:cs="Times New Roman"/>
          <w:color w:val="000000" w:themeColor="text1"/>
          <w:sz w:val="24"/>
          <w:szCs w:val="24"/>
          <w:lang w:val="fr-FR"/>
        </w:rPr>
        <w:t>sărături</w:t>
      </w:r>
      <w:proofErr w:type="spellEnd"/>
    </w:p>
    <w:p w14:paraId="5AE573B4" w14:textId="77777777" w:rsidR="008572F7" w:rsidRPr="00C56257" w:rsidRDefault="008572F7" w:rsidP="008572F7">
      <w:pPr>
        <w:pStyle w:val="BodyText"/>
        <w:spacing w:before="6"/>
        <w:jc w:val="both"/>
        <w:rPr>
          <w:b/>
          <w:color w:val="000000" w:themeColor="text1"/>
          <w:sz w:val="24"/>
          <w:szCs w:val="24"/>
          <w:lang w:val="fr-FR"/>
        </w:rPr>
      </w:pPr>
    </w:p>
    <w:p w14:paraId="2F949FDA" w14:textId="77777777" w:rsidR="008572F7" w:rsidRPr="00C56257" w:rsidRDefault="008572F7" w:rsidP="008572F7">
      <w:pPr>
        <w:pStyle w:val="Heading2"/>
        <w:widowControl w:val="0"/>
        <w:tabs>
          <w:tab w:val="left" w:pos="1232"/>
        </w:tabs>
        <w:autoSpaceDE w:val="0"/>
        <w:autoSpaceDN w:val="0"/>
        <w:spacing w:before="0" w:beforeAutospacing="0" w:after="0" w:afterAutospacing="0"/>
        <w:jc w:val="both"/>
        <w:rPr>
          <w:color w:val="000000" w:themeColor="text1"/>
          <w:sz w:val="24"/>
          <w:szCs w:val="24"/>
        </w:rPr>
      </w:pPr>
      <w:proofErr w:type="spellStart"/>
      <w:r w:rsidRPr="00C56257">
        <w:rPr>
          <w:color w:val="000000" w:themeColor="text1"/>
          <w:sz w:val="24"/>
          <w:szCs w:val="24"/>
        </w:rPr>
        <w:t>Metodologia</w:t>
      </w:r>
      <w:proofErr w:type="spellEnd"/>
      <w:r w:rsidRPr="00C56257">
        <w:rPr>
          <w:color w:val="000000" w:themeColor="text1"/>
          <w:spacing w:val="-3"/>
          <w:sz w:val="24"/>
          <w:szCs w:val="24"/>
        </w:rPr>
        <w:t xml:space="preserve"> </w:t>
      </w:r>
      <w:r w:rsidRPr="00C56257">
        <w:rPr>
          <w:color w:val="000000" w:themeColor="text1"/>
          <w:sz w:val="24"/>
          <w:szCs w:val="24"/>
        </w:rPr>
        <w:t>de</w:t>
      </w:r>
      <w:r w:rsidRPr="00C56257">
        <w:rPr>
          <w:color w:val="000000" w:themeColor="text1"/>
          <w:spacing w:val="-4"/>
          <w:sz w:val="24"/>
          <w:szCs w:val="24"/>
        </w:rPr>
        <w:t xml:space="preserve"> </w:t>
      </w:r>
      <w:proofErr w:type="spellStart"/>
      <w:r w:rsidRPr="00C56257">
        <w:rPr>
          <w:color w:val="000000" w:themeColor="text1"/>
          <w:sz w:val="24"/>
          <w:szCs w:val="24"/>
        </w:rPr>
        <w:t>agregare</w:t>
      </w:r>
      <w:proofErr w:type="spellEnd"/>
      <w:r w:rsidRPr="00C56257">
        <w:rPr>
          <w:color w:val="000000" w:themeColor="text1"/>
          <w:spacing w:val="-3"/>
          <w:sz w:val="24"/>
          <w:szCs w:val="24"/>
        </w:rPr>
        <w:t xml:space="preserve"> </w:t>
      </w:r>
      <w:r w:rsidRPr="00C56257">
        <w:rPr>
          <w:color w:val="000000" w:themeColor="text1"/>
          <w:sz w:val="24"/>
          <w:szCs w:val="24"/>
        </w:rPr>
        <w:t>a</w:t>
      </w:r>
      <w:r w:rsidRPr="00C56257">
        <w:rPr>
          <w:color w:val="000000" w:themeColor="text1"/>
          <w:spacing w:val="-3"/>
          <w:sz w:val="24"/>
          <w:szCs w:val="24"/>
        </w:rPr>
        <w:t xml:space="preserve"> </w:t>
      </w:r>
      <w:proofErr w:type="spellStart"/>
      <w:r w:rsidRPr="00C56257">
        <w:rPr>
          <w:color w:val="000000" w:themeColor="text1"/>
          <w:sz w:val="24"/>
          <w:szCs w:val="24"/>
        </w:rPr>
        <w:t>datelor</w:t>
      </w:r>
      <w:proofErr w:type="spellEnd"/>
    </w:p>
    <w:p w14:paraId="73C53167" w14:textId="77777777" w:rsidR="008572F7" w:rsidRPr="00C56257" w:rsidRDefault="008572F7" w:rsidP="00B538DD">
      <w:pPr>
        <w:pStyle w:val="BodyText"/>
        <w:spacing w:before="157"/>
        <w:ind w:left="0" w:right="250"/>
        <w:jc w:val="both"/>
        <w:rPr>
          <w:color w:val="000000" w:themeColor="text1"/>
          <w:sz w:val="24"/>
          <w:szCs w:val="24"/>
          <w:lang w:val="fr-FR"/>
        </w:rPr>
      </w:pPr>
      <w:proofErr w:type="spellStart"/>
      <w:r w:rsidRPr="00C56257">
        <w:rPr>
          <w:color w:val="000000" w:themeColor="text1"/>
          <w:sz w:val="24"/>
          <w:szCs w:val="24"/>
        </w:rPr>
        <w:t>Observațiile</w:t>
      </w:r>
      <w:proofErr w:type="spellEnd"/>
      <w:r w:rsidRPr="00C56257">
        <w:rPr>
          <w:color w:val="000000" w:themeColor="text1"/>
          <w:sz w:val="24"/>
          <w:szCs w:val="24"/>
        </w:rPr>
        <w:t xml:space="preserve"> </w:t>
      </w:r>
      <w:proofErr w:type="spellStart"/>
      <w:r w:rsidRPr="00C56257">
        <w:rPr>
          <w:color w:val="000000" w:themeColor="text1"/>
          <w:sz w:val="24"/>
          <w:szCs w:val="24"/>
        </w:rPr>
        <w:t>directe</w:t>
      </w:r>
      <w:proofErr w:type="spellEnd"/>
      <w:r w:rsidRPr="00C56257">
        <w:rPr>
          <w:color w:val="000000" w:themeColor="text1"/>
          <w:sz w:val="24"/>
          <w:szCs w:val="24"/>
        </w:rPr>
        <w:t xml:space="preserve"> evaluate de </w:t>
      </w:r>
      <w:proofErr w:type="spellStart"/>
      <w:r w:rsidRPr="00C56257">
        <w:rPr>
          <w:color w:val="000000" w:themeColor="text1"/>
          <w:sz w:val="24"/>
          <w:szCs w:val="24"/>
        </w:rPr>
        <w:t>către</w:t>
      </w:r>
      <w:proofErr w:type="spellEnd"/>
      <w:r w:rsidRPr="00C56257">
        <w:rPr>
          <w:color w:val="000000" w:themeColor="text1"/>
          <w:sz w:val="24"/>
          <w:szCs w:val="24"/>
        </w:rPr>
        <w:t xml:space="preserve"> </w:t>
      </w:r>
      <w:proofErr w:type="spellStart"/>
      <w:r w:rsidRPr="00C56257">
        <w:rPr>
          <w:color w:val="000000" w:themeColor="text1"/>
          <w:sz w:val="24"/>
          <w:szCs w:val="24"/>
        </w:rPr>
        <w:t>experții</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biodiversitate</w:t>
      </w:r>
      <w:proofErr w:type="spellEnd"/>
      <w:r w:rsidRPr="00C56257">
        <w:rPr>
          <w:color w:val="000000" w:themeColor="text1"/>
          <w:sz w:val="24"/>
          <w:szCs w:val="24"/>
        </w:rPr>
        <w:t xml:space="preserve">, </w:t>
      </w:r>
      <w:proofErr w:type="spellStart"/>
      <w:r w:rsidRPr="00C56257">
        <w:rPr>
          <w:color w:val="000000" w:themeColor="text1"/>
          <w:sz w:val="24"/>
          <w:szCs w:val="24"/>
        </w:rPr>
        <w:t>selectați</w:t>
      </w:r>
      <w:proofErr w:type="spellEnd"/>
      <w:r w:rsidRPr="00C56257">
        <w:rPr>
          <w:color w:val="000000" w:themeColor="text1"/>
          <w:sz w:val="24"/>
          <w:szCs w:val="24"/>
        </w:rPr>
        <w:t xml:space="preserve"> </w:t>
      </w:r>
      <w:proofErr w:type="spellStart"/>
      <w:r w:rsidRPr="00C56257">
        <w:rPr>
          <w:color w:val="000000" w:themeColor="text1"/>
          <w:sz w:val="24"/>
          <w:szCs w:val="24"/>
        </w:rPr>
        <w:t>pentru</w:t>
      </w:r>
      <w:proofErr w:type="spellEnd"/>
      <w:r w:rsidRPr="00C56257">
        <w:rPr>
          <w:color w:val="000000" w:themeColor="text1"/>
          <w:sz w:val="24"/>
          <w:szCs w:val="24"/>
        </w:rPr>
        <w:t xml:space="preserve"> </w:t>
      </w:r>
      <w:proofErr w:type="spellStart"/>
      <w:r w:rsidRPr="00C56257">
        <w:rPr>
          <w:color w:val="000000" w:themeColor="text1"/>
          <w:sz w:val="24"/>
          <w:szCs w:val="24"/>
        </w:rPr>
        <w:t>evaluarea</w:t>
      </w:r>
      <w:proofErr w:type="spellEnd"/>
      <w:r w:rsidRPr="00C56257">
        <w:rPr>
          <w:color w:val="000000" w:themeColor="text1"/>
          <w:sz w:val="24"/>
          <w:szCs w:val="24"/>
        </w:rPr>
        <w:t xml:space="preserve"> </w:t>
      </w:r>
      <w:proofErr w:type="spellStart"/>
      <w:r w:rsidRPr="00C56257">
        <w:rPr>
          <w:color w:val="000000" w:themeColor="text1"/>
          <w:sz w:val="24"/>
          <w:szCs w:val="24"/>
        </w:rPr>
        <w:t>habitatelor</w:t>
      </w:r>
      <w:proofErr w:type="spellEnd"/>
      <w:r w:rsidRPr="00C56257">
        <w:rPr>
          <w:color w:val="000000" w:themeColor="text1"/>
          <w:spacing w:val="-57"/>
          <w:sz w:val="24"/>
          <w:szCs w:val="24"/>
        </w:rPr>
        <w:t xml:space="preserve"> </w:t>
      </w:r>
      <w:proofErr w:type="spellStart"/>
      <w:r w:rsidRPr="00C56257">
        <w:rPr>
          <w:color w:val="000000" w:themeColor="text1"/>
          <w:sz w:val="24"/>
          <w:szCs w:val="24"/>
        </w:rPr>
        <w:t>țintă</w:t>
      </w:r>
      <w:proofErr w:type="spellEnd"/>
      <w:r w:rsidRPr="00C56257">
        <w:rPr>
          <w:color w:val="000000" w:themeColor="text1"/>
          <w:sz w:val="24"/>
          <w:szCs w:val="24"/>
        </w:rPr>
        <w:t xml:space="preserve">, </w:t>
      </w:r>
      <w:proofErr w:type="spellStart"/>
      <w:r w:rsidRPr="00C56257">
        <w:rPr>
          <w:color w:val="000000" w:themeColor="text1"/>
          <w:sz w:val="24"/>
          <w:szCs w:val="24"/>
        </w:rPr>
        <w:t>utilizează</w:t>
      </w:r>
      <w:proofErr w:type="spellEnd"/>
      <w:r w:rsidRPr="00C56257">
        <w:rPr>
          <w:color w:val="000000" w:themeColor="text1"/>
          <w:sz w:val="24"/>
          <w:szCs w:val="24"/>
        </w:rPr>
        <w:t xml:space="preserve"> </w:t>
      </w:r>
      <w:proofErr w:type="spellStart"/>
      <w:r w:rsidRPr="00C56257">
        <w:rPr>
          <w:color w:val="000000" w:themeColor="text1"/>
          <w:sz w:val="24"/>
          <w:szCs w:val="24"/>
        </w:rPr>
        <w:t>tehnologiile</w:t>
      </w:r>
      <w:proofErr w:type="spellEnd"/>
      <w:r w:rsidRPr="00C56257">
        <w:rPr>
          <w:color w:val="000000" w:themeColor="text1"/>
          <w:sz w:val="24"/>
          <w:szCs w:val="24"/>
        </w:rPr>
        <w:t xml:space="preserve"> de </w:t>
      </w:r>
      <w:proofErr w:type="spellStart"/>
      <w:r w:rsidRPr="00C56257">
        <w:rPr>
          <w:color w:val="000000" w:themeColor="text1"/>
          <w:sz w:val="24"/>
          <w:szCs w:val="24"/>
        </w:rPr>
        <w:t>ultimă</w:t>
      </w:r>
      <w:proofErr w:type="spellEnd"/>
      <w:r w:rsidRPr="00C56257">
        <w:rPr>
          <w:color w:val="000000" w:themeColor="text1"/>
          <w:sz w:val="24"/>
          <w:szCs w:val="24"/>
        </w:rPr>
        <w:t xml:space="preserve"> </w:t>
      </w:r>
      <w:proofErr w:type="spellStart"/>
      <w:r w:rsidRPr="00C56257">
        <w:rPr>
          <w:color w:val="000000" w:themeColor="text1"/>
          <w:sz w:val="24"/>
          <w:szCs w:val="24"/>
        </w:rPr>
        <w:t>generație</w:t>
      </w:r>
      <w:proofErr w:type="spellEnd"/>
      <w:r w:rsidRPr="00C56257">
        <w:rPr>
          <w:color w:val="000000" w:themeColor="text1"/>
          <w:sz w:val="24"/>
          <w:szCs w:val="24"/>
        </w:rPr>
        <w:t xml:space="preserve"> </w:t>
      </w:r>
      <w:proofErr w:type="spellStart"/>
      <w:r w:rsidRPr="00C56257">
        <w:rPr>
          <w:color w:val="000000" w:themeColor="text1"/>
          <w:sz w:val="24"/>
          <w:szCs w:val="24"/>
        </w:rPr>
        <w:t>atât</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ceea</w:t>
      </w:r>
      <w:proofErr w:type="spellEnd"/>
      <w:r w:rsidRPr="00C56257">
        <w:rPr>
          <w:color w:val="000000" w:themeColor="text1"/>
          <w:sz w:val="24"/>
          <w:szCs w:val="24"/>
        </w:rPr>
        <w:t xml:space="preserve"> </w:t>
      </w:r>
      <w:proofErr w:type="spellStart"/>
      <w:r w:rsidRPr="00C56257">
        <w:rPr>
          <w:color w:val="000000" w:themeColor="text1"/>
          <w:sz w:val="24"/>
          <w:szCs w:val="24"/>
        </w:rPr>
        <w:t>ce</w:t>
      </w:r>
      <w:proofErr w:type="spellEnd"/>
      <w:r w:rsidRPr="00C56257">
        <w:rPr>
          <w:color w:val="000000" w:themeColor="text1"/>
          <w:sz w:val="24"/>
          <w:szCs w:val="24"/>
        </w:rPr>
        <w:t xml:space="preserve"> </w:t>
      </w:r>
      <w:proofErr w:type="spellStart"/>
      <w:r w:rsidRPr="00C56257">
        <w:rPr>
          <w:color w:val="000000" w:themeColor="text1"/>
          <w:sz w:val="24"/>
          <w:szCs w:val="24"/>
        </w:rPr>
        <w:t>privește</w:t>
      </w:r>
      <w:proofErr w:type="spellEnd"/>
      <w:r w:rsidRPr="00C56257">
        <w:rPr>
          <w:color w:val="000000" w:themeColor="text1"/>
          <w:sz w:val="24"/>
          <w:szCs w:val="24"/>
        </w:rPr>
        <w:t xml:space="preserve"> </w:t>
      </w:r>
      <w:proofErr w:type="spellStart"/>
      <w:r w:rsidRPr="00C56257">
        <w:rPr>
          <w:color w:val="000000" w:themeColor="text1"/>
          <w:sz w:val="24"/>
          <w:szCs w:val="24"/>
        </w:rPr>
        <w:t>unități</w:t>
      </w:r>
      <w:proofErr w:type="spellEnd"/>
      <w:r w:rsidRPr="00C56257">
        <w:rPr>
          <w:color w:val="000000" w:themeColor="text1"/>
          <w:sz w:val="24"/>
          <w:szCs w:val="24"/>
        </w:rPr>
        <w:t xml:space="preserve"> GPS </w:t>
      </w:r>
      <w:proofErr w:type="spellStart"/>
      <w:r w:rsidRPr="00C56257">
        <w:rPr>
          <w:color w:val="000000" w:themeColor="text1"/>
          <w:sz w:val="24"/>
          <w:szCs w:val="24"/>
        </w:rPr>
        <w:t>și</w:t>
      </w:r>
      <w:proofErr w:type="spellEnd"/>
      <w:r w:rsidRPr="00C56257">
        <w:rPr>
          <w:color w:val="000000" w:themeColor="text1"/>
          <w:sz w:val="24"/>
          <w:szCs w:val="24"/>
        </w:rPr>
        <w:t xml:space="preserve"> </w:t>
      </w:r>
      <w:proofErr w:type="spellStart"/>
      <w:r w:rsidRPr="00C56257">
        <w:rPr>
          <w:color w:val="000000" w:themeColor="text1"/>
          <w:sz w:val="24"/>
          <w:szCs w:val="24"/>
        </w:rPr>
        <w:t>aplicații</w:t>
      </w:r>
      <w:proofErr w:type="spellEnd"/>
      <w:r w:rsidRPr="00C56257">
        <w:rPr>
          <w:color w:val="000000" w:themeColor="text1"/>
          <w:spacing w:val="1"/>
          <w:sz w:val="24"/>
          <w:szCs w:val="24"/>
        </w:rPr>
        <w:t xml:space="preserve"> </w:t>
      </w:r>
      <w:r w:rsidRPr="00C56257">
        <w:rPr>
          <w:color w:val="000000" w:themeColor="text1"/>
          <w:sz w:val="24"/>
          <w:szCs w:val="24"/>
        </w:rPr>
        <w:t>mobile</w:t>
      </w:r>
      <w:r w:rsidRPr="00C56257">
        <w:rPr>
          <w:color w:val="000000" w:themeColor="text1"/>
          <w:spacing w:val="14"/>
          <w:sz w:val="24"/>
          <w:szCs w:val="24"/>
        </w:rPr>
        <w:t xml:space="preserve"> </w:t>
      </w:r>
      <w:r w:rsidRPr="00C56257">
        <w:rPr>
          <w:color w:val="000000" w:themeColor="text1"/>
          <w:sz w:val="24"/>
          <w:szCs w:val="24"/>
        </w:rPr>
        <w:t>de</w:t>
      </w:r>
      <w:r w:rsidRPr="00C56257">
        <w:rPr>
          <w:color w:val="000000" w:themeColor="text1"/>
          <w:spacing w:val="14"/>
          <w:sz w:val="24"/>
          <w:szCs w:val="24"/>
        </w:rPr>
        <w:t xml:space="preserve"> </w:t>
      </w:r>
      <w:proofErr w:type="spellStart"/>
      <w:r w:rsidRPr="00C56257">
        <w:rPr>
          <w:color w:val="000000" w:themeColor="text1"/>
          <w:sz w:val="24"/>
          <w:szCs w:val="24"/>
        </w:rPr>
        <w:t>colectare</w:t>
      </w:r>
      <w:proofErr w:type="spellEnd"/>
      <w:r w:rsidRPr="00C56257">
        <w:rPr>
          <w:color w:val="000000" w:themeColor="text1"/>
          <w:spacing w:val="14"/>
          <w:sz w:val="24"/>
          <w:szCs w:val="24"/>
        </w:rPr>
        <w:t xml:space="preserve"> </w:t>
      </w:r>
      <w:r w:rsidRPr="00C56257">
        <w:rPr>
          <w:color w:val="000000" w:themeColor="text1"/>
          <w:sz w:val="24"/>
          <w:szCs w:val="24"/>
        </w:rPr>
        <w:t>a</w:t>
      </w:r>
      <w:r w:rsidRPr="00C56257">
        <w:rPr>
          <w:color w:val="000000" w:themeColor="text1"/>
          <w:spacing w:val="14"/>
          <w:sz w:val="24"/>
          <w:szCs w:val="24"/>
        </w:rPr>
        <w:t xml:space="preserve"> </w:t>
      </w:r>
      <w:proofErr w:type="spellStart"/>
      <w:r w:rsidRPr="00C56257">
        <w:rPr>
          <w:color w:val="000000" w:themeColor="text1"/>
          <w:sz w:val="24"/>
          <w:szCs w:val="24"/>
        </w:rPr>
        <w:t>datelor</w:t>
      </w:r>
      <w:proofErr w:type="spellEnd"/>
      <w:r w:rsidRPr="00C56257">
        <w:rPr>
          <w:color w:val="000000" w:themeColor="text1"/>
          <w:spacing w:val="14"/>
          <w:sz w:val="24"/>
          <w:szCs w:val="24"/>
        </w:rPr>
        <w:t xml:space="preserve"> </w:t>
      </w:r>
      <w:r w:rsidRPr="00C56257">
        <w:rPr>
          <w:color w:val="000000" w:themeColor="text1"/>
          <w:sz w:val="24"/>
          <w:szCs w:val="24"/>
        </w:rPr>
        <w:t>din</w:t>
      </w:r>
      <w:r w:rsidRPr="00C56257">
        <w:rPr>
          <w:color w:val="000000" w:themeColor="text1"/>
          <w:spacing w:val="16"/>
          <w:sz w:val="24"/>
          <w:szCs w:val="24"/>
        </w:rPr>
        <w:t xml:space="preserve"> </w:t>
      </w:r>
      <w:proofErr w:type="spellStart"/>
      <w:r w:rsidRPr="00C56257">
        <w:rPr>
          <w:color w:val="000000" w:themeColor="text1"/>
          <w:sz w:val="24"/>
          <w:szCs w:val="24"/>
        </w:rPr>
        <w:t>teren</w:t>
      </w:r>
      <w:proofErr w:type="spellEnd"/>
      <w:r w:rsidRPr="00C56257">
        <w:rPr>
          <w:color w:val="000000" w:themeColor="text1"/>
          <w:sz w:val="24"/>
          <w:szCs w:val="24"/>
        </w:rPr>
        <w:t>.</w:t>
      </w:r>
      <w:r w:rsidRPr="00C56257">
        <w:rPr>
          <w:color w:val="000000" w:themeColor="text1"/>
          <w:spacing w:val="15"/>
          <w:sz w:val="24"/>
          <w:szCs w:val="24"/>
        </w:rPr>
        <w:t xml:space="preserve"> </w:t>
      </w:r>
      <w:proofErr w:type="spellStart"/>
      <w:r w:rsidRPr="00C56257">
        <w:rPr>
          <w:color w:val="000000" w:themeColor="text1"/>
          <w:sz w:val="24"/>
          <w:szCs w:val="24"/>
          <w:lang w:val="fr-FR"/>
        </w:rPr>
        <w:t>Fișele</w:t>
      </w:r>
      <w:proofErr w:type="spellEnd"/>
      <w:r w:rsidRPr="00C56257">
        <w:rPr>
          <w:color w:val="000000" w:themeColor="text1"/>
          <w:spacing w:val="15"/>
          <w:sz w:val="24"/>
          <w:szCs w:val="24"/>
          <w:lang w:val="fr-FR"/>
        </w:rPr>
        <w:t xml:space="preserve"> </w:t>
      </w:r>
      <w:r w:rsidRPr="00C56257">
        <w:rPr>
          <w:color w:val="000000" w:themeColor="text1"/>
          <w:sz w:val="24"/>
          <w:szCs w:val="24"/>
          <w:lang w:val="fr-FR"/>
        </w:rPr>
        <w:t>de</w:t>
      </w:r>
      <w:r w:rsidRPr="00C56257">
        <w:rPr>
          <w:color w:val="000000" w:themeColor="text1"/>
          <w:spacing w:val="16"/>
          <w:sz w:val="24"/>
          <w:szCs w:val="24"/>
          <w:lang w:val="fr-FR"/>
        </w:rPr>
        <w:t xml:space="preserve"> </w:t>
      </w:r>
      <w:proofErr w:type="spellStart"/>
      <w:r w:rsidRPr="00C56257">
        <w:rPr>
          <w:color w:val="000000" w:themeColor="text1"/>
          <w:sz w:val="24"/>
          <w:szCs w:val="24"/>
          <w:lang w:val="fr-FR"/>
        </w:rPr>
        <w:t>teren</w:t>
      </w:r>
      <w:proofErr w:type="spellEnd"/>
      <w:r w:rsidRPr="00C56257">
        <w:rPr>
          <w:color w:val="000000" w:themeColor="text1"/>
          <w:spacing w:val="15"/>
          <w:sz w:val="24"/>
          <w:szCs w:val="24"/>
          <w:lang w:val="fr-FR"/>
        </w:rPr>
        <w:t xml:space="preserve"> </w:t>
      </w:r>
      <w:proofErr w:type="spellStart"/>
      <w:r w:rsidRPr="00C56257">
        <w:rPr>
          <w:color w:val="000000" w:themeColor="text1"/>
          <w:sz w:val="24"/>
          <w:szCs w:val="24"/>
          <w:lang w:val="fr-FR"/>
        </w:rPr>
        <w:t>completate</w:t>
      </w:r>
      <w:proofErr w:type="spellEnd"/>
      <w:r w:rsidRPr="00C56257">
        <w:rPr>
          <w:color w:val="000000" w:themeColor="text1"/>
          <w:spacing w:val="14"/>
          <w:sz w:val="24"/>
          <w:szCs w:val="24"/>
          <w:lang w:val="fr-FR"/>
        </w:rPr>
        <w:t xml:space="preserve"> </w:t>
      </w:r>
      <w:proofErr w:type="spellStart"/>
      <w:r w:rsidRPr="00C56257">
        <w:rPr>
          <w:color w:val="000000" w:themeColor="text1"/>
          <w:sz w:val="24"/>
          <w:szCs w:val="24"/>
          <w:lang w:val="fr-FR"/>
        </w:rPr>
        <w:t>descriu</w:t>
      </w:r>
      <w:proofErr w:type="spellEnd"/>
      <w:r w:rsidRPr="00C56257">
        <w:rPr>
          <w:color w:val="000000" w:themeColor="text1"/>
          <w:spacing w:val="17"/>
          <w:sz w:val="24"/>
          <w:szCs w:val="24"/>
          <w:lang w:val="fr-FR"/>
        </w:rPr>
        <w:t xml:space="preserve"> </w:t>
      </w:r>
      <w:proofErr w:type="spellStart"/>
      <w:r w:rsidRPr="00C56257">
        <w:rPr>
          <w:color w:val="000000" w:themeColor="text1"/>
          <w:sz w:val="24"/>
          <w:szCs w:val="24"/>
          <w:lang w:val="fr-FR"/>
        </w:rPr>
        <w:t>caracteristici</w:t>
      </w:r>
      <w:proofErr w:type="spellEnd"/>
      <w:r w:rsidRPr="00C56257">
        <w:rPr>
          <w:color w:val="000000" w:themeColor="text1"/>
          <w:spacing w:val="22"/>
          <w:sz w:val="24"/>
          <w:szCs w:val="24"/>
          <w:lang w:val="fr-FR"/>
        </w:rPr>
        <w:t xml:space="preserve"> </w:t>
      </w:r>
      <w:r w:rsidRPr="00C56257">
        <w:rPr>
          <w:color w:val="000000" w:themeColor="text1"/>
          <w:sz w:val="24"/>
          <w:szCs w:val="24"/>
          <w:lang w:val="fr-FR"/>
        </w:rPr>
        <w:t>structurale</w:t>
      </w:r>
      <w:r w:rsidRPr="00C56257">
        <w:rPr>
          <w:color w:val="000000" w:themeColor="text1"/>
          <w:spacing w:val="-58"/>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funcționale</w:t>
      </w:r>
      <w:proofErr w:type="spellEnd"/>
      <w:r w:rsidRPr="00C56257">
        <w:rPr>
          <w:color w:val="000000" w:themeColor="text1"/>
          <w:sz w:val="24"/>
          <w:szCs w:val="24"/>
          <w:lang w:val="fr-FR"/>
        </w:rPr>
        <w:t xml:space="preserve"> ale </w:t>
      </w:r>
      <w:proofErr w:type="spellStart"/>
      <w:r w:rsidRPr="00C56257">
        <w:rPr>
          <w:color w:val="000000" w:themeColor="text1"/>
          <w:sz w:val="24"/>
          <w:szCs w:val="24"/>
          <w:lang w:val="fr-FR"/>
        </w:rPr>
        <w:t>habitatelor</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precum</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presiuni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identificate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informațiile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astfel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colectate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intră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într</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r w:rsidRPr="00C56257">
        <w:rPr>
          <w:color w:val="000000" w:themeColor="text1"/>
          <w:sz w:val="24"/>
          <w:szCs w:val="24"/>
          <w:lang w:val="fr-FR"/>
        </w:rPr>
        <w:t xml:space="preserve">un </w:t>
      </w:r>
      <w:proofErr w:type="spellStart"/>
      <w:r w:rsidRPr="00C56257">
        <w:rPr>
          <w:color w:val="000000" w:themeColor="text1"/>
          <w:sz w:val="24"/>
          <w:szCs w:val="24"/>
          <w:lang w:val="fr-FR"/>
        </w:rPr>
        <w:t>prim</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proces</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agregare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primul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nivel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care </w:t>
      </w:r>
      <w:proofErr w:type="spellStart"/>
      <w:r w:rsidRPr="00C56257">
        <w:rPr>
          <w:color w:val="000000" w:themeColor="text1"/>
          <w:sz w:val="24"/>
          <w:szCs w:val="24"/>
          <w:lang w:val="fr-FR"/>
        </w:rPr>
        <w:t>fiecare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fișă</w:t>
      </w:r>
      <w:proofErr w:type="spellEnd"/>
      <w:r w:rsidRPr="00C56257">
        <w:rPr>
          <w:color w:val="000000" w:themeColor="text1"/>
          <w:sz w:val="24"/>
          <w:szCs w:val="24"/>
          <w:lang w:val="fr-FR"/>
        </w:rPr>
        <w:t xml:space="preserve"> are </w:t>
      </w:r>
      <w:proofErr w:type="spellStart"/>
      <w:r w:rsidRPr="00C56257">
        <w:rPr>
          <w:color w:val="000000" w:themeColor="text1"/>
          <w:sz w:val="24"/>
          <w:szCs w:val="24"/>
          <w:lang w:val="fr-FR"/>
        </w:rPr>
        <w:t>asociat</w:t>
      </w:r>
      <w:r w:rsidR="00DE490A">
        <w:rPr>
          <w:color w:val="000000" w:themeColor="text1"/>
          <w:sz w:val="24"/>
          <w:szCs w:val="24"/>
          <w:lang w:val="fr-FR"/>
        </w:rPr>
        <w:t>ă</w:t>
      </w:r>
      <w:proofErr w:type="spellEnd"/>
      <w:r w:rsidRPr="00C56257">
        <w:rPr>
          <w:color w:val="000000" w:themeColor="text1"/>
          <w:sz w:val="24"/>
          <w:szCs w:val="24"/>
          <w:lang w:val="fr-FR"/>
        </w:rPr>
        <w:t xml:space="preserve"> o </w:t>
      </w:r>
      <w:proofErr w:type="spellStart"/>
      <w:r w:rsidRPr="00C56257">
        <w:rPr>
          <w:color w:val="000000" w:themeColor="text1"/>
          <w:sz w:val="24"/>
          <w:szCs w:val="24"/>
          <w:lang w:val="fr-FR"/>
        </w:rPr>
        <w:t>localizare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stațială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cu</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precizie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metrică</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(1-3</w:t>
      </w:r>
      <w:r w:rsidRPr="00C56257">
        <w:rPr>
          <w:color w:val="000000" w:themeColor="text1"/>
          <w:spacing w:val="1"/>
          <w:sz w:val="24"/>
          <w:szCs w:val="24"/>
          <w:lang w:val="fr-FR"/>
        </w:rPr>
        <w:t xml:space="preserve"> </w:t>
      </w:r>
      <w:r w:rsidRPr="00C56257">
        <w:rPr>
          <w:color w:val="000000" w:themeColor="text1"/>
          <w:sz w:val="24"/>
          <w:szCs w:val="24"/>
          <w:lang w:val="fr-FR"/>
        </w:rPr>
        <w:t>m)</w:t>
      </w:r>
      <w:r w:rsidRPr="00C56257">
        <w:rPr>
          <w:color w:val="000000" w:themeColor="text1"/>
          <w:spacing w:val="1"/>
          <w:sz w:val="24"/>
          <w:szCs w:val="24"/>
          <w:lang w:val="fr-FR"/>
        </w:rPr>
        <w:t xml:space="preserve"> </w:t>
      </w:r>
      <w:r w:rsidRPr="00C56257">
        <w:rPr>
          <w:color w:val="000000" w:themeColor="text1"/>
          <w:sz w:val="24"/>
          <w:szCs w:val="24"/>
          <w:lang w:val="fr-FR"/>
        </w:rPr>
        <w:t>se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agregă</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într</w:t>
      </w:r>
      <w:proofErr w:type="spellEnd"/>
      <w:r w:rsidRPr="00C56257">
        <w:rPr>
          <w:color w:val="000000" w:themeColor="text1"/>
          <w:sz w:val="24"/>
          <w:szCs w:val="24"/>
          <w:lang w:val="fr-FR"/>
        </w:rPr>
        <w:t>-un</w:t>
      </w:r>
      <w:r w:rsidRPr="00C56257">
        <w:rPr>
          <w:color w:val="000000" w:themeColor="text1"/>
          <w:spacing w:val="1"/>
          <w:sz w:val="24"/>
          <w:szCs w:val="24"/>
          <w:lang w:val="fr-FR"/>
        </w:rPr>
        <w:t xml:space="preserve"> </w:t>
      </w:r>
      <w:r w:rsidRPr="00C56257">
        <w:rPr>
          <w:color w:val="000000" w:themeColor="text1"/>
          <w:sz w:val="24"/>
          <w:szCs w:val="24"/>
          <w:lang w:val="fr-FR"/>
        </w:rPr>
        <w:t>plot</w:t>
      </w:r>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r w:rsidRPr="00C56257">
        <w:rPr>
          <w:color w:val="000000" w:themeColor="text1"/>
          <w:sz w:val="24"/>
          <w:szCs w:val="24"/>
          <w:lang w:val="fr-FR"/>
        </w:rPr>
        <w:t>10</w:t>
      </w:r>
      <w:r w:rsidRPr="00C56257">
        <w:rPr>
          <w:color w:val="000000" w:themeColor="text1"/>
          <w:spacing w:val="1"/>
          <w:sz w:val="24"/>
          <w:szCs w:val="24"/>
          <w:lang w:val="fr-FR"/>
        </w:rPr>
        <w:t xml:space="preserve"> </w:t>
      </w:r>
      <w:r w:rsidRPr="00C56257">
        <w:rPr>
          <w:color w:val="000000" w:themeColor="text1"/>
          <w:sz w:val="24"/>
          <w:szCs w:val="24"/>
          <w:lang w:val="fr-FR"/>
        </w:rPr>
        <w:t>x</w:t>
      </w:r>
      <w:r w:rsidRPr="00C56257">
        <w:rPr>
          <w:color w:val="000000" w:themeColor="text1"/>
          <w:spacing w:val="1"/>
          <w:sz w:val="24"/>
          <w:szCs w:val="24"/>
          <w:lang w:val="fr-FR"/>
        </w:rPr>
        <w:t xml:space="preserve"> </w:t>
      </w:r>
      <w:r w:rsidRPr="00C56257">
        <w:rPr>
          <w:color w:val="000000" w:themeColor="text1"/>
          <w:sz w:val="24"/>
          <w:szCs w:val="24"/>
          <w:lang w:val="fr-FR"/>
        </w:rPr>
        <w:t>10</w:t>
      </w:r>
      <w:r w:rsidRPr="00C56257">
        <w:rPr>
          <w:color w:val="000000" w:themeColor="text1"/>
          <w:spacing w:val="1"/>
          <w:sz w:val="24"/>
          <w:szCs w:val="24"/>
          <w:lang w:val="fr-FR"/>
        </w:rPr>
        <w:t xml:space="preserve"> </w:t>
      </w:r>
      <w:r w:rsidRPr="00C56257">
        <w:rPr>
          <w:color w:val="000000" w:themeColor="text1"/>
          <w:sz w:val="24"/>
          <w:szCs w:val="24"/>
          <w:lang w:val="fr-FR"/>
        </w:rPr>
        <w:t>km.</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Această</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agregare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permite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caracterizarea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variabilității</w:t>
      </w:r>
      <w:proofErr w:type="spellEnd"/>
      <w:r w:rsidRPr="00C56257">
        <w:rPr>
          <w:color w:val="000000" w:themeColor="text1"/>
          <w:sz w:val="24"/>
          <w:szCs w:val="24"/>
          <w:lang w:val="fr-FR"/>
        </w:rPr>
        <w:t xml:space="preserve"> interne a </w:t>
      </w:r>
      <w:proofErr w:type="spellStart"/>
      <w:r w:rsidRPr="00C56257">
        <w:rPr>
          <w:color w:val="000000" w:themeColor="text1"/>
          <w:sz w:val="24"/>
          <w:szCs w:val="24"/>
          <w:lang w:val="fr-FR"/>
        </w:rPr>
        <w:t>habitatului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țintă</w:t>
      </w:r>
      <w:proofErr w:type="spellEnd"/>
      <w:r w:rsidRPr="00C56257">
        <w:rPr>
          <w:color w:val="000000" w:themeColor="text1"/>
          <w:sz w:val="24"/>
          <w:szCs w:val="24"/>
          <w:lang w:val="fr-FR"/>
        </w:rPr>
        <w:t xml:space="preserve"> la </w:t>
      </w:r>
      <w:proofErr w:type="spellStart"/>
      <w:r w:rsidRPr="00C56257">
        <w:rPr>
          <w:color w:val="000000" w:themeColor="text1"/>
          <w:sz w:val="24"/>
          <w:szCs w:val="24"/>
          <w:lang w:val="fr-FR"/>
        </w:rPr>
        <w:t>nivelul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unui</w:t>
      </w:r>
      <w:proofErr w:type="spellEnd"/>
      <w:r w:rsidRPr="00C56257">
        <w:rPr>
          <w:color w:val="000000" w:themeColor="text1"/>
          <w:sz w:val="24"/>
          <w:szCs w:val="24"/>
          <w:lang w:val="fr-FR"/>
        </w:rPr>
        <w:t xml:space="preserve"> plot. </w:t>
      </w:r>
      <w:proofErr w:type="spellStart"/>
      <w:r w:rsidRPr="00C56257">
        <w:rPr>
          <w:color w:val="000000" w:themeColor="text1"/>
          <w:sz w:val="24"/>
          <w:szCs w:val="24"/>
          <w:lang w:val="fr-FR"/>
        </w:rPr>
        <w:t>Plotul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reprezintă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unitatea</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bază</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pentru</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evaluare</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Metodele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evaluare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se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realizează</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fie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prin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evaluarea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completă</w:t>
      </w:r>
      <w:proofErr w:type="spellEnd"/>
      <w:r w:rsidRPr="00C56257">
        <w:rPr>
          <w:color w:val="000000" w:themeColor="text1"/>
          <w:spacing w:val="60"/>
          <w:sz w:val="24"/>
          <w:szCs w:val="24"/>
          <w:lang w:val="fr-FR"/>
        </w:rPr>
        <w:t xml:space="preserve"> </w:t>
      </w:r>
      <w:r w:rsidRPr="00C56257">
        <w:rPr>
          <w:color w:val="000000" w:themeColor="text1"/>
          <w:sz w:val="24"/>
          <w:szCs w:val="24"/>
          <w:lang w:val="fr-FR"/>
        </w:rPr>
        <w:t>a</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habitatului</w:t>
      </w:r>
      <w:proofErr w:type="spellEnd"/>
      <w:r w:rsidRPr="00C56257">
        <w:rPr>
          <w:color w:val="000000" w:themeColor="text1"/>
          <w:spacing w:val="44"/>
          <w:sz w:val="24"/>
          <w:szCs w:val="24"/>
          <w:lang w:val="fr-FR"/>
        </w:rPr>
        <w:t xml:space="preserve"> </w:t>
      </w:r>
      <w:proofErr w:type="spellStart"/>
      <w:r w:rsidRPr="00C56257">
        <w:rPr>
          <w:color w:val="000000" w:themeColor="text1"/>
          <w:sz w:val="24"/>
          <w:szCs w:val="24"/>
          <w:lang w:val="fr-FR"/>
        </w:rPr>
        <w:t>țintă</w:t>
      </w:r>
      <w:proofErr w:type="spellEnd"/>
      <w:r w:rsidRPr="00C56257">
        <w:rPr>
          <w:color w:val="000000" w:themeColor="text1"/>
          <w:spacing w:val="43"/>
          <w:sz w:val="24"/>
          <w:szCs w:val="24"/>
          <w:lang w:val="fr-FR"/>
        </w:rPr>
        <w:t xml:space="preserve"> </w:t>
      </w:r>
      <w:r w:rsidRPr="00C56257">
        <w:rPr>
          <w:color w:val="000000" w:themeColor="text1"/>
          <w:sz w:val="24"/>
          <w:szCs w:val="24"/>
          <w:lang w:val="fr-FR"/>
        </w:rPr>
        <w:t>(3</w:t>
      </w:r>
      <w:r w:rsidRPr="00C56257">
        <w:rPr>
          <w:color w:val="000000" w:themeColor="text1"/>
          <w:spacing w:val="45"/>
          <w:sz w:val="24"/>
          <w:szCs w:val="24"/>
          <w:lang w:val="fr-FR"/>
        </w:rPr>
        <w:t xml:space="preserve"> </w:t>
      </w:r>
      <w:r w:rsidRPr="00C56257">
        <w:rPr>
          <w:color w:val="000000" w:themeColor="text1"/>
          <w:sz w:val="24"/>
          <w:szCs w:val="24"/>
          <w:lang w:val="fr-FR"/>
        </w:rPr>
        <w:t>=</w:t>
      </w:r>
      <w:r w:rsidRPr="00C56257">
        <w:rPr>
          <w:color w:val="000000" w:themeColor="text1"/>
          <w:spacing w:val="46"/>
          <w:sz w:val="24"/>
          <w:szCs w:val="24"/>
          <w:lang w:val="fr-FR"/>
        </w:rPr>
        <w:t xml:space="preserve"> </w:t>
      </w:r>
      <w:r w:rsidRPr="00C56257">
        <w:rPr>
          <w:color w:val="000000" w:themeColor="text1"/>
          <w:sz w:val="24"/>
          <w:szCs w:val="24"/>
          <w:lang w:val="fr-FR"/>
        </w:rPr>
        <w:t>Complete</w:t>
      </w:r>
      <w:r w:rsidRPr="00C56257">
        <w:rPr>
          <w:color w:val="000000" w:themeColor="text1"/>
          <w:spacing w:val="43"/>
          <w:sz w:val="24"/>
          <w:szCs w:val="24"/>
          <w:lang w:val="fr-FR"/>
        </w:rPr>
        <w:t xml:space="preserve"> </w:t>
      </w:r>
      <w:proofErr w:type="spellStart"/>
      <w:r w:rsidRPr="00C56257">
        <w:rPr>
          <w:color w:val="000000" w:themeColor="text1"/>
          <w:sz w:val="24"/>
          <w:szCs w:val="24"/>
          <w:lang w:val="fr-FR"/>
        </w:rPr>
        <w:t>survey</w:t>
      </w:r>
      <w:proofErr w:type="spellEnd"/>
      <w:r w:rsidRPr="00C56257">
        <w:rPr>
          <w:color w:val="000000" w:themeColor="text1"/>
          <w:spacing w:val="41"/>
          <w:sz w:val="24"/>
          <w:szCs w:val="24"/>
          <w:lang w:val="fr-FR"/>
        </w:rPr>
        <w:t xml:space="preserve"> </w:t>
      </w:r>
      <w:r w:rsidRPr="00C56257">
        <w:rPr>
          <w:color w:val="000000" w:themeColor="text1"/>
          <w:sz w:val="24"/>
          <w:szCs w:val="24"/>
          <w:lang w:val="fr-FR"/>
        </w:rPr>
        <w:t>or</w:t>
      </w:r>
      <w:r w:rsidRPr="00C56257">
        <w:rPr>
          <w:color w:val="000000" w:themeColor="text1"/>
          <w:spacing w:val="47"/>
          <w:sz w:val="24"/>
          <w:szCs w:val="24"/>
          <w:lang w:val="fr-FR"/>
        </w:rPr>
        <w:t xml:space="preserve"> </w:t>
      </w:r>
      <w:r w:rsidRPr="00C56257">
        <w:rPr>
          <w:color w:val="000000" w:themeColor="text1"/>
          <w:sz w:val="24"/>
          <w:szCs w:val="24"/>
          <w:lang w:val="fr-FR"/>
        </w:rPr>
        <w:t>a</w:t>
      </w:r>
      <w:r w:rsidRPr="00C56257">
        <w:rPr>
          <w:color w:val="000000" w:themeColor="text1"/>
          <w:spacing w:val="43"/>
          <w:sz w:val="24"/>
          <w:szCs w:val="24"/>
          <w:lang w:val="fr-FR"/>
        </w:rPr>
        <w:t xml:space="preserve"> </w:t>
      </w:r>
      <w:proofErr w:type="spellStart"/>
      <w:r w:rsidRPr="00C56257">
        <w:rPr>
          <w:color w:val="000000" w:themeColor="text1"/>
          <w:sz w:val="24"/>
          <w:szCs w:val="24"/>
          <w:lang w:val="fr-FR"/>
        </w:rPr>
        <w:t>statistically</w:t>
      </w:r>
      <w:proofErr w:type="spellEnd"/>
      <w:r w:rsidRPr="00C56257">
        <w:rPr>
          <w:color w:val="000000" w:themeColor="text1"/>
          <w:spacing w:val="39"/>
          <w:sz w:val="24"/>
          <w:szCs w:val="24"/>
          <w:lang w:val="fr-FR"/>
        </w:rPr>
        <w:t xml:space="preserve"> </w:t>
      </w:r>
      <w:proofErr w:type="spellStart"/>
      <w:r w:rsidRPr="00C56257">
        <w:rPr>
          <w:color w:val="000000" w:themeColor="text1"/>
          <w:sz w:val="24"/>
          <w:szCs w:val="24"/>
          <w:lang w:val="fr-FR"/>
        </w:rPr>
        <w:t>robust</w:t>
      </w:r>
      <w:proofErr w:type="spellEnd"/>
      <w:r w:rsidRPr="00C56257">
        <w:rPr>
          <w:color w:val="000000" w:themeColor="text1"/>
          <w:spacing w:val="47"/>
          <w:sz w:val="24"/>
          <w:szCs w:val="24"/>
          <w:lang w:val="fr-FR"/>
        </w:rPr>
        <w:t xml:space="preserve"> </w:t>
      </w:r>
      <w:proofErr w:type="spellStart"/>
      <w:r w:rsidRPr="00C56257">
        <w:rPr>
          <w:color w:val="000000" w:themeColor="text1"/>
          <w:sz w:val="24"/>
          <w:szCs w:val="24"/>
          <w:lang w:val="fr-FR"/>
        </w:rPr>
        <w:t>estimate</w:t>
      </w:r>
      <w:proofErr w:type="spellEnd"/>
      <w:r w:rsidRPr="00C56257">
        <w:rPr>
          <w:color w:val="000000" w:themeColor="text1"/>
          <w:sz w:val="24"/>
          <w:szCs w:val="24"/>
          <w:lang w:val="fr-FR"/>
        </w:rPr>
        <w:t>);</w:t>
      </w:r>
      <w:r w:rsidRPr="00C56257">
        <w:rPr>
          <w:color w:val="000000" w:themeColor="text1"/>
          <w:spacing w:val="44"/>
          <w:sz w:val="24"/>
          <w:szCs w:val="24"/>
          <w:lang w:val="fr-FR"/>
        </w:rPr>
        <w:t xml:space="preserve"> </w:t>
      </w:r>
      <w:proofErr w:type="spellStart"/>
      <w:r w:rsidRPr="00C56257">
        <w:rPr>
          <w:color w:val="000000" w:themeColor="text1"/>
          <w:sz w:val="24"/>
          <w:szCs w:val="24"/>
          <w:lang w:val="fr-FR"/>
        </w:rPr>
        <w:t>când</w:t>
      </w:r>
      <w:proofErr w:type="spellEnd"/>
      <w:r w:rsidRPr="00C56257">
        <w:rPr>
          <w:color w:val="000000" w:themeColor="text1"/>
          <w:spacing w:val="46"/>
          <w:sz w:val="24"/>
          <w:szCs w:val="24"/>
          <w:lang w:val="fr-FR"/>
        </w:rPr>
        <w:t xml:space="preserve"> </w:t>
      </w:r>
      <w:r w:rsidRPr="00C56257">
        <w:rPr>
          <w:color w:val="000000" w:themeColor="text1"/>
          <w:sz w:val="24"/>
          <w:szCs w:val="24"/>
          <w:lang w:val="fr-FR"/>
        </w:rPr>
        <w:t>se</w:t>
      </w:r>
      <w:r w:rsidRPr="00C56257">
        <w:rPr>
          <w:color w:val="000000" w:themeColor="text1"/>
          <w:spacing w:val="46"/>
          <w:sz w:val="24"/>
          <w:szCs w:val="24"/>
          <w:lang w:val="fr-FR"/>
        </w:rPr>
        <w:t xml:space="preserve"> </w:t>
      </w:r>
      <w:proofErr w:type="spellStart"/>
      <w:r w:rsidRPr="00C56257">
        <w:rPr>
          <w:color w:val="000000" w:themeColor="text1"/>
          <w:sz w:val="24"/>
          <w:szCs w:val="24"/>
          <w:lang w:val="fr-FR"/>
        </w:rPr>
        <w:t>evaluează</w:t>
      </w:r>
      <w:proofErr w:type="spellEnd"/>
      <w:r w:rsidRPr="00C56257">
        <w:rPr>
          <w:color w:val="000000" w:themeColor="text1"/>
          <w:spacing w:val="44"/>
          <w:sz w:val="24"/>
          <w:szCs w:val="24"/>
          <w:lang w:val="fr-FR"/>
        </w:rPr>
        <w:t xml:space="preserve"> </w:t>
      </w:r>
      <w:r w:rsidRPr="00C56257">
        <w:rPr>
          <w:color w:val="000000" w:themeColor="text1"/>
          <w:sz w:val="24"/>
          <w:szCs w:val="24"/>
          <w:lang w:val="fr-FR"/>
        </w:rPr>
        <w:t>un</w:t>
      </w:r>
      <w:r w:rsidRPr="00C56257">
        <w:rPr>
          <w:color w:val="000000" w:themeColor="text1"/>
          <w:spacing w:val="-58"/>
          <w:sz w:val="24"/>
          <w:szCs w:val="24"/>
          <w:lang w:val="fr-FR"/>
        </w:rPr>
        <w:t xml:space="preserve"> </w:t>
      </w:r>
      <w:proofErr w:type="spellStart"/>
      <w:r w:rsidRPr="00C56257">
        <w:rPr>
          <w:color w:val="000000" w:themeColor="text1"/>
          <w:sz w:val="24"/>
          <w:szCs w:val="24"/>
          <w:lang w:val="fr-FR"/>
        </w:rPr>
        <w:t>număr</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ploturi</w:t>
      </w:r>
      <w:proofErr w:type="spellEnd"/>
      <w:r w:rsidRPr="00C56257">
        <w:rPr>
          <w:color w:val="000000" w:themeColor="text1"/>
          <w:sz w:val="24"/>
          <w:szCs w:val="24"/>
          <w:lang w:val="fr-FR"/>
        </w:rPr>
        <w:t xml:space="preserve"> mai </w:t>
      </w:r>
      <w:proofErr w:type="spellStart"/>
      <w:r w:rsidRPr="00C56257">
        <w:rPr>
          <w:color w:val="000000" w:themeColor="text1"/>
          <w:sz w:val="24"/>
          <w:szCs w:val="24"/>
          <w:lang w:val="fr-FR"/>
        </w:rPr>
        <w:t>mic</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decât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numărul</w:t>
      </w:r>
      <w:proofErr w:type="spellEnd"/>
      <w:r w:rsidRPr="00C56257">
        <w:rPr>
          <w:color w:val="000000" w:themeColor="text1"/>
          <w:sz w:val="24"/>
          <w:szCs w:val="24"/>
          <w:lang w:val="fr-FR"/>
        </w:rPr>
        <w:t xml:space="preserve"> total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care </w:t>
      </w:r>
      <w:proofErr w:type="spellStart"/>
      <w:r w:rsidRPr="00C56257">
        <w:rPr>
          <w:color w:val="000000" w:themeColor="text1"/>
          <w:sz w:val="24"/>
          <w:szCs w:val="24"/>
          <w:lang w:val="fr-FR"/>
        </w:rPr>
        <w:t>avem</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habitatul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confirmat</w:t>
      </w:r>
      <w:proofErr w:type="spellEnd"/>
      <w:r w:rsidRPr="00C56257">
        <w:rPr>
          <w:color w:val="000000" w:themeColor="text1"/>
          <w:sz w:val="24"/>
          <w:szCs w:val="24"/>
          <w:lang w:val="fr-FR"/>
        </w:rPr>
        <w:t xml:space="preserve"> (2= </w:t>
      </w:r>
      <w:proofErr w:type="spellStart"/>
      <w:r w:rsidRPr="00C56257">
        <w:rPr>
          <w:color w:val="000000" w:themeColor="text1"/>
          <w:sz w:val="24"/>
          <w:szCs w:val="24"/>
          <w:lang w:val="fr-FR"/>
        </w:rPr>
        <w:t>Estimate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based</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 xml:space="preserve">on partial data </w:t>
      </w:r>
      <w:proofErr w:type="spellStart"/>
      <w:r w:rsidRPr="00C56257">
        <w:rPr>
          <w:color w:val="000000" w:themeColor="text1"/>
          <w:sz w:val="24"/>
          <w:szCs w:val="24"/>
          <w:lang w:val="fr-FR"/>
        </w:rPr>
        <w:t>with</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some</w:t>
      </w:r>
      <w:proofErr w:type="spellEnd"/>
      <w:r w:rsidRPr="00C56257">
        <w:rPr>
          <w:color w:val="000000" w:themeColor="text1"/>
          <w:sz w:val="24"/>
          <w:szCs w:val="24"/>
          <w:lang w:val="fr-FR"/>
        </w:rPr>
        <w:t xml:space="preserve"> extrapolation and/or </w:t>
      </w:r>
      <w:proofErr w:type="spellStart"/>
      <w:r w:rsidRPr="00C56257">
        <w:rPr>
          <w:color w:val="000000" w:themeColor="text1"/>
          <w:sz w:val="24"/>
          <w:szCs w:val="24"/>
          <w:lang w:val="fr-FR"/>
        </w:rPr>
        <w:t>modelling</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când</w:t>
      </w:r>
      <w:proofErr w:type="spellEnd"/>
      <w:r w:rsidRPr="00C56257">
        <w:rPr>
          <w:color w:val="000000" w:themeColor="text1"/>
          <w:sz w:val="24"/>
          <w:szCs w:val="24"/>
          <w:lang w:val="fr-FR"/>
        </w:rPr>
        <w:t xml:space="preserve"> se </w:t>
      </w:r>
      <w:proofErr w:type="spellStart"/>
      <w:r w:rsidRPr="00C56257">
        <w:rPr>
          <w:color w:val="000000" w:themeColor="text1"/>
          <w:sz w:val="24"/>
          <w:szCs w:val="24"/>
          <w:lang w:val="fr-FR"/>
        </w:rPr>
        <w:t>evaluează</w:t>
      </w:r>
      <w:proofErr w:type="spellEnd"/>
      <w:r w:rsidRPr="00C56257">
        <w:rPr>
          <w:color w:val="000000" w:themeColor="text1"/>
          <w:sz w:val="24"/>
          <w:szCs w:val="24"/>
          <w:lang w:val="fr-FR"/>
        </w:rPr>
        <w:t xml:space="preserve"> un </w:t>
      </w:r>
      <w:proofErr w:type="spellStart"/>
      <w:r w:rsidRPr="00C56257">
        <w:rPr>
          <w:color w:val="000000" w:themeColor="text1"/>
          <w:sz w:val="24"/>
          <w:szCs w:val="24"/>
          <w:lang w:val="fr-FR"/>
        </w:rPr>
        <w:t>număr</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foarte</w:t>
      </w:r>
      <w:proofErr w:type="spellEnd"/>
      <w:r w:rsidRPr="00C56257">
        <w:rPr>
          <w:color w:val="000000" w:themeColor="text1"/>
          <w:sz w:val="24"/>
          <w:szCs w:val="24"/>
          <w:lang w:val="fr-FR"/>
        </w:rPr>
        <w:t xml:space="preserve"> redus</w:t>
      </w:r>
      <w:r w:rsidRPr="00C56257">
        <w:rPr>
          <w:color w:val="000000" w:themeColor="text1"/>
          <w:spacing w:val="1"/>
          <w:sz w:val="24"/>
          <w:szCs w:val="24"/>
          <w:lang w:val="fr-FR"/>
        </w:rPr>
        <w:t xml:space="preserve"> </w:t>
      </w:r>
      <w:r w:rsidRPr="00C56257">
        <w:rPr>
          <w:color w:val="000000" w:themeColor="text1"/>
          <w:sz w:val="24"/>
          <w:szCs w:val="24"/>
          <w:lang w:val="fr-FR"/>
        </w:rPr>
        <w:t xml:space="preserve">de </w:t>
      </w:r>
      <w:proofErr w:type="spellStart"/>
      <w:r w:rsidRPr="00C56257">
        <w:rPr>
          <w:color w:val="000000" w:themeColor="text1"/>
          <w:sz w:val="24"/>
          <w:szCs w:val="24"/>
          <w:lang w:val="fr-FR"/>
        </w:rPr>
        <w:t>ploturi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z w:val="24"/>
          <w:szCs w:val="24"/>
          <w:lang w:val="fr-FR"/>
        </w:rPr>
        <w:t xml:space="preserve"> se </w:t>
      </w:r>
      <w:proofErr w:type="spellStart"/>
      <w:r w:rsidRPr="00C56257">
        <w:rPr>
          <w:color w:val="000000" w:themeColor="text1"/>
          <w:sz w:val="24"/>
          <w:szCs w:val="24"/>
          <w:lang w:val="fr-FR"/>
        </w:rPr>
        <w:t>utilizează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părerea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expertului</w:t>
      </w:r>
      <w:proofErr w:type="spellEnd"/>
      <w:r w:rsidRPr="00C56257">
        <w:rPr>
          <w:color w:val="000000" w:themeColor="text1"/>
          <w:sz w:val="24"/>
          <w:szCs w:val="24"/>
          <w:lang w:val="fr-FR"/>
        </w:rPr>
        <w:t xml:space="preserve"> (1 = </w:t>
      </w:r>
      <w:proofErr w:type="spellStart"/>
      <w:r w:rsidRPr="00C56257">
        <w:rPr>
          <w:color w:val="000000" w:themeColor="text1"/>
          <w:sz w:val="24"/>
          <w:szCs w:val="24"/>
          <w:lang w:val="fr-FR"/>
        </w:rPr>
        <w:t>Estimate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based</w:t>
      </w:r>
      <w:proofErr w:type="spellEnd"/>
      <w:r w:rsidRPr="00C56257">
        <w:rPr>
          <w:color w:val="000000" w:themeColor="text1"/>
          <w:sz w:val="24"/>
          <w:szCs w:val="24"/>
          <w:lang w:val="fr-FR"/>
        </w:rPr>
        <w:t xml:space="preserve"> on expert opinion </w:t>
      </w:r>
      <w:proofErr w:type="spellStart"/>
      <w:r w:rsidRPr="00C56257">
        <w:rPr>
          <w:color w:val="000000" w:themeColor="text1"/>
          <w:sz w:val="24"/>
          <w:szCs w:val="24"/>
          <w:lang w:val="fr-FR"/>
        </w:rPr>
        <w:t>with</w:t>
      </w:r>
      <w:proofErr w:type="spellEnd"/>
      <w:r w:rsidRPr="00C56257">
        <w:rPr>
          <w:color w:val="000000" w:themeColor="text1"/>
          <w:sz w:val="24"/>
          <w:szCs w:val="24"/>
          <w:lang w:val="fr-FR"/>
        </w:rPr>
        <w:t xml:space="preserve"> no or</w:t>
      </w:r>
      <w:r w:rsidRPr="00C56257">
        <w:rPr>
          <w:color w:val="000000" w:themeColor="text1"/>
          <w:spacing w:val="1"/>
          <w:sz w:val="24"/>
          <w:szCs w:val="24"/>
          <w:lang w:val="fr-FR"/>
        </w:rPr>
        <w:t xml:space="preserve"> </w:t>
      </w:r>
      <w:r w:rsidRPr="00C56257">
        <w:rPr>
          <w:color w:val="000000" w:themeColor="text1"/>
          <w:sz w:val="24"/>
          <w:szCs w:val="24"/>
          <w:lang w:val="fr-FR"/>
        </w:rPr>
        <w:t>minimal</w:t>
      </w:r>
      <w:r w:rsidRPr="00C56257">
        <w:rPr>
          <w:color w:val="000000" w:themeColor="text1"/>
          <w:spacing w:val="1"/>
          <w:sz w:val="24"/>
          <w:szCs w:val="24"/>
          <w:lang w:val="fr-FR"/>
        </w:rPr>
        <w:t xml:space="preserve"> </w:t>
      </w:r>
      <w:r w:rsidRPr="00C56257">
        <w:rPr>
          <w:color w:val="000000" w:themeColor="text1"/>
          <w:sz w:val="24"/>
          <w:szCs w:val="24"/>
          <w:lang w:val="fr-FR"/>
        </w:rPr>
        <w:t>sampling);</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atunci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când</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nu</w:t>
      </w:r>
      <w:r w:rsidRPr="00C56257">
        <w:rPr>
          <w:color w:val="000000" w:themeColor="text1"/>
          <w:spacing w:val="1"/>
          <w:sz w:val="24"/>
          <w:szCs w:val="24"/>
          <w:lang w:val="fr-FR"/>
        </w:rPr>
        <w:t xml:space="preserve"> </w:t>
      </w:r>
      <w:r w:rsidRPr="00C56257">
        <w:rPr>
          <w:color w:val="000000" w:themeColor="text1"/>
          <w:sz w:val="24"/>
          <w:szCs w:val="24"/>
          <w:lang w:val="fr-FR"/>
        </w:rPr>
        <w:t>se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evaluează</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nici</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un</w:t>
      </w:r>
      <w:r w:rsidRPr="00C56257">
        <w:rPr>
          <w:color w:val="000000" w:themeColor="text1"/>
          <w:spacing w:val="1"/>
          <w:sz w:val="24"/>
          <w:szCs w:val="24"/>
          <w:lang w:val="fr-FR"/>
        </w:rPr>
        <w:t xml:space="preserve"> </w:t>
      </w:r>
      <w:r w:rsidRPr="00C56257">
        <w:rPr>
          <w:color w:val="000000" w:themeColor="text1"/>
          <w:sz w:val="24"/>
          <w:szCs w:val="24"/>
          <w:lang w:val="fr-FR"/>
        </w:rPr>
        <w:t>plot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raport</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se</w:t>
      </w:r>
      <w:r w:rsidRPr="00C56257">
        <w:rPr>
          <w:color w:val="000000" w:themeColor="text1"/>
          <w:spacing w:val="1"/>
          <w:sz w:val="24"/>
          <w:szCs w:val="24"/>
          <w:lang w:val="fr-FR"/>
        </w:rPr>
        <w:t xml:space="preserve"> </w:t>
      </w:r>
      <w:r w:rsidRPr="00C56257">
        <w:rPr>
          <w:color w:val="000000" w:themeColor="text1"/>
          <w:sz w:val="24"/>
          <w:szCs w:val="24"/>
          <w:lang w:val="fr-FR"/>
        </w:rPr>
        <w:t>va</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menționa</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„date</w:t>
      </w:r>
      <w:r w:rsidR="00064C1F">
        <w:rPr>
          <w:color w:val="000000" w:themeColor="text1"/>
          <w:sz w:val="24"/>
          <w:szCs w:val="24"/>
          <w:lang w:val="fr-FR"/>
        </w:rPr>
        <w:t xml:space="preserve"> </w:t>
      </w:r>
      <w:r w:rsidRPr="00C56257">
        <w:rPr>
          <w:color w:val="000000" w:themeColor="text1"/>
          <w:spacing w:val="-57"/>
          <w:sz w:val="24"/>
          <w:szCs w:val="24"/>
          <w:lang w:val="fr-FR"/>
        </w:rPr>
        <w:t xml:space="preserve"> </w:t>
      </w:r>
      <w:proofErr w:type="spellStart"/>
      <w:r w:rsidRPr="00C56257">
        <w:rPr>
          <w:color w:val="000000" w:themeColor="text1"/>
          <w:sz w:val="24"/>
          <w:szCs w:val="24"/>
          <w:lang w:val="fr-FR"/>
        </w:rPr>
        <w:t>inexistente</w:t>
      </w:r>
      <w:proofErr w:type="spellEnd"/>
      <w:r w:rsidRPr="00C56257">
        <w:rPr>
          <w:color w:val="000000" w:themeColor="text1"/>
          <w:sz w:val="24"/>
          <w:szCs w:val="24"/>
          <w:lang w:val="fr-FR"/>
        </w:rPr>
        <w:t>”</w:t>
      </w:r>
      <w:r w:rsidRPr="00C56257">
        <w:rPr>
          <w:color w:val="000000" w:themeColor="text1"/>
          <w:spacing w:val="-3"/>
          <w:sz w:val="24"/>
          <w:szCs w:val="24"/>
          <w:lang w:val="fr-FR"/>
        </w:rPr>
        <w:t xml:space="preserve"> </w:t>
      </w:r>
      <w:r w:rsidRPr="00C56257">
        <w:rPr>
          <w:color w:val="000000" w:themeColor="text1"/>
          <w:sz w:val="24"/>
          <w:szCs w:val="24"/>
          <w:lang w:val="fr-FR"/>
        </w:rPr>
        <w:t>(0 =</w:t>
      </w:r>
      <w:r w:rsidRPr="00C56257">
        <w:rPr>
          <w:color w:val="000000" w:themeColor="text1"/>
          <w:spacing w:val="-1"/>
          <w:sz w:val="24"/>
          <w:szCs w:val="24"/>
          <w:lang w:val="fr-FR"/>
        </w:rPr>
        <w:t xml:space="preserve"> </w:t>
      </w:r>
      <w:r w:rsidRPr="00C56257">
        <w:rPr>
          <w:color w:val="000000" w:themeColor="text1"/>
          <w:sz w:val="24"/>
          <w:szCs w:val="24"/>
          <w:lang w:val="fr-FR"/>
        </w:rPr>
        <w:t>Absent</w:t>
      </w:r>
      <w:r w:rsidRPr="00C56257">
        <w:rPr>
          <w:color w:val="000000" w:themeColor="text1"/>
          <w:spacing w:val="2"/>
          <w:sz w:val="24"/>
          <w:szCs w:val="24"/>
          <w:lang w:val="fr-FR"/>
        </w:rPr>
        <w:t xml:space="preserve"> </w:t>
      </w:r>
      <w:r w:rsidRPr="00C56257">
        <w:rPr>
          <w:color w:val="000000" w:themeColor="text1"/>
          <w:sz w:val="24"/>
          <w:szCs w:val="24"/>
          <w:lang w:val="fr-FR"/>
        </w:rPr>
        <w:t>data).</w:t>
      </w:r>
    </w:p>
    <w:p w14:paraId="6F0539FF" w14:textId="77777777" w:rsidR="008572F7" w:rsidRPr="00C56257" w:rsidRDefault="008572F7" w:rsidP="008572F7">
      <w:pPr>
        <w:pStyle w:val="BodyText"/>
        <w:jc w:val="both"/>
        <w:rPr>
          <w:color w:val="000000" w:themeColor="text1"/>
          <w:sz w:val="24"/>
          <w:szCs w:val="24"/>
          <w:lang w:val="fr-FR"/>
        </w:rPr>
      </w:pPr>
    </w:p>
    <w:p w14:paraId="368ED5F6" w14:textId="77777777" w:rsidR="008572F7" w:rsidRPr="00C56257" w:rsidRDefault="008572F7" w:rsidP="008572F7">
      <w:pPr>
        <w:pStyle w:val="BodyText"/>
        <w:jc w:val="both"/>
        <w:rPr>
          <w:color w:val="000000" w:themeColor="text1"/>
          <w:sz w:val="24"/>
          <w:szCs w:val="24"/>
          <w:lang w:val="fr-FR"/>
        </w:rPr>
      </w:pPr>
    </w:p>
    <w:p w14:paraId="20B30E9E" w14:textId="77777777" w:rsidR="008572F7" w:rsidRPr="00C56257" w:rsidRDefault="008572F7" w:rsidP="00F100E1">
      <w:pPr>
        <w:pStyle w:val="Heading2"/>
        <w:widowControl w:val="0"/>
        <w:tabs>
          <w:tab w:val="left" w:pos="1232"/>
        </w:tabs>
        <w:autoSpaceDE w:val="0"/>
        <w:autoSpaceDN w:val="0"/>
        <w:spacing w:before="0" w:beforeAutospacing="0" w:after="0" w:afterAutospacing="0"/>
        <w:jc w:val="both"/>
        <w:rPr>
          <w:color w:val="000000" w:themeColor="text1"/>
          <w:sz w:val="24"/>
          <w:szCs w:val="24"/>
        </w:rPr>
      </w:pPr>
      <w:proofErr w:type="spellStart"/>
      <w:r w:rsidRPr="00C56257">
        <w:rPr>
          <w:color w:val="000000" w:themeColor="text1"/>
          <w:sz w:val="24"/>
          <w:szCs w:val="24"/>
        </w:rPr>
        <w:t>Evaluarea</w:t>
      </w:r>
      <w:proofErr w:type="spellEnd"/>
      <w:r w:rsidRPr="00C56257">
        <w:rPr>
          <w:color w:val="000000" w:themeColor="text1"/>
          <w:spacing w:val="-3"/>
          <w:sz w:val="24"/>
          <w:szCs w:val="24"/>
        </w:rPr>
        <w:t xml:space="preserve"> </w:t>
      </w:r>
      <w:proofErr w:type="spellStart"/>
      <w:r w:rsidRPr="00C56257">
        <w:rPr>
          <w:color w:val="000000" w:themeColor="text1"/>
          <w:sz w:val="24"/>
          <w:szCs w:val="24"/>
        </w:rPr>
        <w:t>stării</w:t>
      </w:r>
      <w:proofErr w:type="spellEnd"/>
      <w:r w:rsidRPr="00C56257">
        <w:rPr>
          <w:color w:val="000000" w:themeColor="text1"/>
          <w:spacing w:val="-4"/>
          <w:sz w:val="24"/>
          <w:szCs w:val="24"/>
        </w:rPr>
        <w:t xml:space="preserve"> </w:t>
      </w:r>
      <w:r w:rsidRPr="00C56257">
        <w:rPr>
          <w:color w:val="000000" w:themeColor="text1"/>
          <w:sz w:val="24"/>
          <w:szCs w:val="24"/>
        </w:rPr>
        <w:t>de</w:t>
      </w:r>
      <w:r w:rsidRPr="00C56257">
        <w:rPr>
          <w:color w:val="000000" w:themeColor="text1"/>
          <w:spacing w:val="-4"/>
          <w:sz w:val="24"/>
          <w:szCs w:val="24"/>
        </w:rPr>
        <w:t xml:space="preserve"> </w:t>
      </w:r>
      <w:proofErr w:type="spellStart"/>
      <w:r w:rsidRPr="00C56257">
        <w:rPr>
          <w:color w:val="000000" w:themeColor="text1"/>
          <w:sz w:val="24"/>
          <w:szCs w:val="24"/>
        </w:rPr>
        <w:t>conservare</w:t>
      </w:r>
      <w:proofErr w:type="spellEnd"/>
      <w:r w:rsidRPr="00C56257">
        <w:rPr>
          <w:color w:val="000000" w:themeColor="text1"/>
          <w:spacing w:val="-4"/>
          <w:sz w:val="24"/>
          <w:szCs w:val="24"/>
        </w:rPr>
        <w:t xml:space="preserve"> </w:t>
      </w:r>
      <w:r w:rsidRPr="00C56257">
        <w:rPr>
          <w:color w:val="000000" w:themeColor="text1"/>
          <w:sz w:val="24"/>
          <w:szCs w:val="24"/>
        </w:rPr>
        <w:t>pe</w:t>
      </w:r>
      <w:r w:rsidRPr="00C56257">
        <w:rPr>
          <w:color w:val="000000" w:themeColor="text1"/>
          <w:spacing w:val="-5"/>
          <w:sz w:val="24"/>
          <w:szCs w:val="24"/>
        </w:rPr>
        <w:t xml:space="preserve"> </w:t>
      </w:r>
      <w:proofErr w:type="spellStart"/>
      <w:r w:rsidRPr="00C56257">
        <w:rPr>
          <w:color w:val="000000" w:themeColor="text1"/>
          <w:sz w:val="24"/>
          <w:szCs w:val="24"/>
        </w:rPr>
        <w:t>bioregiune</w:t>
      </w:r>
      <w:proofErr w:type="spellEnd"/>
    </w:p>
    <w:p w14:paraId="10448B7C" w14:textId="77777777" w:rsidR="008572F7" w:rsidRPr="00C56257" w:rsidRDefault="008572F7" w:rsidP="00B538DD">
      <w:pPr>
        <w:pStyle w:val="BodyText"/>
        <w:spacing w:before="157"/>
        <w:ind w:left="0" w:right="255"/>
        <w:jc w:val="both"/>
        <w:rPr>
          <w:color w:val="000000" w:themeColor="text1"/>
          <w:sz w:val="24"/>
          <w:szCs w:val="24"/>
        </w:rPr>
      </w:pPr>
      <w:proofErr w:type="spellStart"/>
      <w:r w:rsidRPr="00C56257">
        <w:rPr>
          <w:color w:val="000000" w:themeColor="text1"/>
          <w:sz w:val="24"/>
          <w:szCs w:val="24"/>
        </w:rPr>
        <w:t>Evaluarea</w:t>
      </w:r>
      <w:proofErr w:type="spellEnd"/>
      <w:r w:rsidRPr="00C56257">
        <w:rPr>
          <w:color w:val="000000" w:themeColor="text1"/>
          <w:sz w:val="24"/>
          <w:szCs w:val="24"/>
        </w:rPr>
        <w:t xml:space="preserve"> </w:t>
      </w:r>
      <w:proofErr w:type="spellStart"/>
      <w:r w:rsidRPr="00C56257">
        <w:rPr>
          <w:color w:val="000000" w:themeColor="text1"/>
          <w:sz w:val="24"/>
          <w:szCs w:val="24"/>
        </w:rPr>
        <w:t>stării</w:t>
      </w:r>
      <w:proofErr w:type="spellEnd"/>
      <w:r w:rsidRPr="00C56257">
        <w:rPr>
          <w:color w:val="000000" w:themeColor="text1"/>
          <w:sz w:val="24"/>
          <w:szCs w:val="24"/>
        </w:rPr>
        <w:t xml:space="preserve"> de </w:t>
      </w:r>
      <w:proofErr w:type="spellStart"/>
      <w:r w:rsidRPr="00C56257">
        <w:rPr>
          <w:color w:val="000000" w:themeColor="text1"/>
          <w:sz w:val="24"/>
          <w:szCs w:val="24"/>
        </w:rPr>
        <w:t>conservare</w:t>
      </w:r>
      <w:proofErr w:type="spellEnd"/>
      <w:r w:rsidRPr="00C56257">
        <w:rPr>
          <w:color w:val="000000" w:themeColor="text1"/>
          <w:sz w:val="24"/>
          <w:szCs w:val="24"/>
        </w:rPr>
        <w:t xml:space="preserve"> se </w:t>
      </w:r>
      <w:proofErr w:type="spellStart"/>
      <w:r w:rsidRPr="00C56257">
        <w:rPr>
          <w:color w:val="000000" w:themeColor="text1"/>
          <w:sz w:val="24"/>
          <w:szCs w:val="24"/>
        </w:rPr>
        <w:t>realizează</w:t>
      </w:r>
      <w:proofErr w:type="spellEnd"/>
      <w:r w:rsidRPr="00C56257">
        <w:rPr>
          <w:color w:val="000000" w:themeColor="text1"/>
          <w:sz w:val="24"/>
          <w:szCs w:val="24"/>
        </w:rPr>
        <w:t xml:space="preserve"> </w:t>
      </w:r>
      <w:proofErr w:type="spellStart"/>
      <w:r w:rsidRPr="00C56257">
        <w:rPr>
          <w:color w:val="000000" w:themeColor="text1"/>
          <w:sz w:val="24"/>
          <w:szCs w:val="24"/>
        </w:rPr>
        <w:t>într</w:t>
      </w:r>
      <w:proofErr w:type="spellEnd"/>
      <w:r w:rsidRPr="00C56257">
        <w:rPr>
          <w:color w:val="000000" w:themeColor="text1"/>
          <w:sz w:val="24"/>
          <w:szCs w:val="24"/>
        </w:rPr>
        <w:t xml:space="preserve">-un mod </w:t>
      </w:r>
      <w:proofErr w:type="spellStart"/>
      <w:r w:rsidRPr="00C56257">
        <w:rPr>
          <w:color w:val="000000" w:themeColor="text1"/>
          <w:sz w:val="24"/>
          <w:szCs w:val="24"/>
        </w:rPr>
        <w:t>gregar</w:t>
      </w:r>
      <w:proofErr w:type="spellEnd"/>
      <w:r w:rsidRPr="00C56257">
        <w:rPr>
          <w:color w:val="000000" w:themeColor="text1"/>
          <w:sz w:val="24"/>
          <w:szCs w:val="24"/>
        </w:rPr>
        <w:t xml:space="preserve"> </w:t>
      </w:r>
      <w:proofErr w:type="spellStart"/>
      <w:r w:rsidRPr="00C56257">
        <w:rPr>
          <w:color w:val="000000" w:themeColor="text1"/>
          <w:sz w:val="24"/>
          <w:szCs w:val="24"/>
        </w:rPr>
        <w:t>pentru</w:t>
      </w:r>
      <w:proofErr w:type="spellEnd"/>
      <w:r w:rsidRPr="00C56257">
        <w:rPr>
          <w:color w:val="000000" w:themeColor="text1"/>
          <w:sz w:val="24"/>
          <w:szCs w:val="24"/>
        </w:rPr>
        <w:t xml:space="preserve"> </w:t>
      </w:r>
      <w:proofErr w:type="spellStart"/>
      <w:r w:rsidRPr="00C56257">
        <w:rPr>
          <w:color w:val="000000" w:themeColor="text1"/>
          <w:sz w:val="24"/>
          <w:szCs w:val="24"/>
        </w:rPr>
        <w:t>fiecare</w:t>
      </w:r>
      <w:proofErr w:type="spellEnd"/>
      <w:r w:rsidRPr="00C56257">
        <w:rPr>
          <w:color w:val="000000" w:themeColor="text1"/>
          <w:sz w:val="24"/>
          <w:szCs w:val="24"/>
        </w:rPr>
        <w:t xml:space="preserve"> tip de habitat care a</w:t>
      </w:r>
      <w:r w:rsidRPr="00C56257">
        <w:rPr>
          <w:color w:val="000000" w:themeColor="text1"/>
          <w:spacing w:val="1"/>
          <w:sz w:val="24"/>
          <w:szCs w:val="24"/>
        </w:rPr>
        <w:t xml:space="preserve"> </w:t>
      </w:r>
      <w:proofErr w:type="spellStart"/>
      <w:r w:rsidRPr="00C56257">
        <w:rPr>
          <w:color w:val="000000" w:themeColor="text1"/>
          <w:sz w:val="24"/>
          <w:szCs w:val="24"/>
        </w:rPr>
        <w:t>fost</w:t>
      </w:r>
      <w:proofErr w:type="spellEnd"/>
      <w:r w:rsidRPr="00C56257">
        <w:rPr>
          <w:color w:val="000000" w:themeColor="text1"/>
          <w:sz w:val="24"/>
          <w:szCs w:val="24"/>
        </w:rPr>
        <w:t xml:space="preserve"> </w:t>
      </w:r>
      <w:proofErr w:type="spellStart"/>
      <w:r w:rsidRPr="00C56257">
        <w:rPr>
          <w:color w:val="000000" w:themeColor="text1"/>
          <w:sz w:val="24"/>
          <w:szCs w:val="24"/>
        </w:rPr>
        <w:t>inclus</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checklist, </w:t>
      </w:r>
      <w:proofErr w:type="spellStart"/>
      <w:r w:rsidRPr="00C56257">
        <w:rPr>
          <w:color w:val="000000" w:themeColor="text1"/>
          <w:sz w:val="24"/>
          <w:szCs w:val="24"/>
        </w:rPr>
        <w:t>raportarea</w:t>
      </w:r>
      <w:proofErr w:type="spellEnd"/>
      <w:r w:rsidRPr="00C56257">
        <w:rPr>
          <w:color w:val="000000" w:themeColor="text1"/>
          <w:sz w:val="24"/>
          <w:szCs w:val="24"/>
        </w:rPr>
        <w:t xml:space="preserve"> </w:t>
      </w:r>
      <w:proofErr w:type="spellStart"/>
      <w:r w:rsidRPr="00C56257">
        <w:rPr>
          <w:color w:val="000000" w:themeColor="text1"/>
          <w:sz w:val="24"/>
          <w:szCs w:val="24"/>
        </w:rPr>
        <w:t>realizându</w:t>
      </w:r>
      <w:proofErr w:type="spellEnd"/>
      <w:r w:rsidRPr="00C56257">
        <w:rPr>
          <w:color w:val="000000" w:themeColor="text1"/>
          <w:sz w:val="24"/>
          <w:szCs w:val="24"/>
        </w:rPr>
        <w:t xml:space="preserve">-se </w:t>
      </w:r>
      <w:proofErr w:type="spellStart"/>
      <w:r w:rsidRPr="00C56257">
        <w:rPr>
          <w:color w:val="000000" w:themeColor="text1"/>
          <w:sz w:val="24"/>
          <w:szCs w:val="24"/>
        </w:rPr>
        <w:t>pentru</w:t>
      </w:r>
      <w:proofErr w:type="spellEnd"/>
      <w:r w:rsidRPr="00C56257">
        <w:rPr>
          <w:color w:val="000000" w:themeColor="text1"/>
          <w:sz w:val="24"/>
          <w:szCs w:val="24"/>
        </w:rPr>
        <w:t xml:space="preserve"> </w:t>
      </w:r>
      <w:proofErr w:type="spellStart"/>
      <w:r w:rsidRPr="00C56257">
        <w:rPr>
          <w:color w:val="000000" w:themeColor="text1"/>
          <w:sz w:val="24"/>
          <w:szCs w:val="24"/>
        </w:rPr>
        <w:t>habitatele</w:t>
      </w:r>
      <w:proofErr w:type="spellEnd"/>
      <w:r w:rsidRPr="00C56257">
        <w:rPr>
          <w:color w:val="000000" w:themeColor="text1"/>
          <w:sz w:val="24"/>
          <w:szCs w:val="24"/>
        </w:rPr>
        <w:t xml:space="preserve"> </w:t>
      </w:r>
      <w:proofErr w:type="spellStart"/>
      <w:r w:rsidRPr="00C56257">
        <w:rPr>
          <w:color w:val="000000" w:themeColor="text1"/>
          <w:sz w:val="24"/>
          <w:szCs w:val="24"/>
        </w:rPr>
        <w:t>prezente</w:t>
      </w:r>
      <w:proofErr w:type="spellEnd"/>
      <w:r w:rsidRPr="00C56257">
        <w:rPr>
          <w:color w:val="000000" w:themeColor="text1"/>
          <w:sz w:val="24"/>
          <w:szCs w:val="24"/>
        </w:rPr>
        <w:t xml:space="preserve"> la </w:t>
      </w:r>
      <w:proofErr w:type="spellStart"/>
      <w:r w:rsidRPr="00C56257">
        <w:rPr>
          <w:color w:val="000000" w:themeColor="text1"/>
          <w:sz w:val="24"/>
          <w:szCs w:val="24"/>
        </w:rPr>
        <w:t>nivel</w:t>
      </w:r>
      <w:proofErr w:type="spellEnd"/>
      <w:r w:rsidRPr="00C56257">
        <w:rPr>
          <w:color w:val="000000" w:themeColor="text1"/>
          <w:sz w:val="24"/>
          <w:szCs w:val="24"/>
        </w:rPr>
        <w:t xml:space="preserve"> </w:t>
      </w:r>
      <w:proofErr w:type="spellStart"/>
      <w:r w:rsidRPr="00C56257">
        <w:rPr>
          <w:color w:val="000000" w:themeColor="text1"/>
          <w:sz w:val="24"/>
          <w:szCs w:val="24"/>
        </w:rPr>
        <w:t>național</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cele</w:t>
      </w:r>
      <w:proofErr w:type="spellEnd"/>
      <w:r w:rsidRPr="00C56257">
        <w:rPr>
          <w:color w:val="000000" w:themeColor="text1"/>
          <w:sz w:val="24"/>
          <w:szCs w:val="24"/>
        </w:rPr>
        <w:t xml:space="preserve"> 5</w:t>
      </w:r>
      <w:r w:rsidRPr="00C56257">
        <w:rPr>
          <w:color w:val="000000" w:themeColor="text1"/>
          <w:spacing w:val="-57"/>
          <w:sz w:val="24"/>
          <w:szCs w:val="24"/>
        </w:rPr>
        <w:t xml:space="preserve"> </w:t>
      </w:r>
      <w:proofErr w:type="spellStart"/>
      <w:r w:rsidRPr="00C56257">
        <w:rPr>
          <w:color w:val="000000" w:themeColor="text1"/>
          <w:sz w:val="24"/>
          <w:szCs w:val="24"/>
        </w:rPr>
        <w:t>bioregiuni</w:t>
      </w:r>
      <w:proofErr w:type="spellEnd"/>
      <w:r w:rsidRPr="00C56257">
        <w:rPr>
          <w:color w:val="000000" w:themeColor="text1"/>
          <w:spacing w:val="-1"/>
          <w:sz w:val="24"/>
          <w:szCs w:val="24"/>
        </w:rPr>
        <w:t xml:space="preserve"> </w:t>
      </w:r>
      <w:proofErr w:type="spellStart"/>
      <w:r w:rsidRPr="00C56257">
        <w:rPr>
          <w:color w:val="000000" w:themeColor="text1"/>
          <w:sz w:val="24"/>
          <w:szCs w:val="24"/>
        </w:rPr>
        <w:t>terestre</w:t>
      </w:r>
      <w:proofErr w:type="spellEnd"/>
      <w:r w:rsidRPr="00C56257">
        <w:rPr>
          <w:color w:val="000000" w:themeColor="text1"/>
          <w:spacing w:val="-1"/>
          <w:sz w:val="24"/>
          <w:szCs w:val="24"/>
        </w:rPr>
        <w:t xml:space="preserve"> </w:t>
      </w:r>
      <w:proofErr w:type="spellStart"/>
      <w:r w:rsidRPr="00C56257">
        <w:rPr>
          <w:color w:val="000000" w:themeColor="text1"/>
          <w:sz w:val="24"/>
          <w:szCs w:val="24"/>
        </w:rPr>
        <w:t>și</w:t>
      </w:r>
      <w:proofErr w:type="spellEnd"/>
      <w:r w:rsidRPr="00C56257">
        <w:rPr>
          <w:color w:val="000000" w:themeColor="text1"/>
          <w:sz w:val="24"/>
          <w:szCs w:val="24"/>
        </w:rPr>
        <w:t xml:space="preserve"> </w:t>
      </w:r>
      <w:proofErr w:type="spellStart"/>
      <w:r w:rsidRPr="00C56257">
        <w:rPr>
          <w:color w:val="000000" w:themeColor="text1"/>
          <w:sz w:val="24"/>
          <w:szCs w:val="24"/>
        </w:rPr>
        <w:t>Regiunea</w:t>
      </w:r>
      <w:proofErr w:type="spellEnd"/>
      <w:r w:rsidRPr="00C56257">
        <w:rPr>
          <w:color w:val="000000" w:themeColor="text1"/>
          <w:spacing w:val="-2"/>
          <w:sz w:val="24"/>
          <w:szCs w:val="24"/>
        </w:rPr>
        <w:t xml:space="preserve"> </w:t>
      </w:r>
      <w:proofErr w:type="spellStart"/>
      <w:r w:rsidRPr="00C56257">
        <w:rPr>
          <w:color w:val="000000" w:themeColor="text1"/>
          <w:sz w:val="24"/>
          <w:szCs w:val="24"/>
        </w:rPr>
        <w:t>marină</w:t>
      </w:r>
      <w:proofErr w:type="spellEnd"/>
      <w:r w:rsidRPr="00C56257">
        <w:rPr>
          <w:color w:val="000000" w:themeColor="text1"/>
          <w:sz w:val="24"/>
          <w:szCs w:val="24"/>
        </w:rPr>
        <w:t xml:space="preserve"> Marea</w:t>
      </w:r>
      <w:r w:rsidRPr="00C56257">
        <w:rPr>
          <w:color w:val="000000" w:themeColor="text1"/>
          <w:spacing w:val="-1"/>
          <w:sz w:val="24"/>
          <w:szCs w:val="24"/>
        </w:rPr>
        <w:t xml:space="preserve"> </w:t>
      </w:r>
      <w:proofErr w:type="spellStart"/>
      <w:r w:rsidRPr="00C56257">
        <w:rPr>
          <w:color w:val="000000" w:themeColor="text1"/>
          <w:sz w:val="24"/>
          <w:szCs w:val="24"/>
        </w:rPr>
        <w:t>Neagră</w:t>
      </w:r>
      <w:proofErr w:type="spellEnd"/>
      <w:r w:rsidRPr="00C56257">
        <w:rPr>
          <w:color w:val="000000" w:themeColor="text1"/>
          <w:sz w:val="24"/>
          <w:szCs w:val="24"/>
        </w:rPr>
        <w:t>.</w:t>
      </w:r>
    </w:p>
    <w:p w14:paraId="30A7BD7C" w14:textId="77777777" w:rsidR="008572F7" w:rsidRPr="00C56257" w:rsidRDefault="008572F7" w:rsidP="00B538DD">
      <w:pPr>
        <w:pStyle w:val="BodyText"/>
        <w:ind w:left="0" w:right="251"/>
        <w:jc w:val="both"/>
        <w:rPr>
          <w:color w:val="000000" w:themeColor="text1"/>
          <w:sz w:val="24"/>
          <w:szCs w:val="24"/>
          <w:lang w:val="fr-FR"/>
        </w:rPr>
      </w:pPr>
      <w:proofErr w:type="spellStart"/>
      <w:r w:rsidRPr="00C56257">
        <w:rPr>
          <w:color w:val="000000" w:themeColor="text1"/>
          <w:sz w:val="24"/>
          <w:szCs w:val="24"/>
        </w:rPr>
        <w:t>Simplificat</w:t>
      </w:r>
      <w:proofErr w:type="spellEnd"/>
      <w:r w:rsidRPr="00C56257">
        <w:rPr>
          <w:color w:val="000000" w:themeColor="text1"/>
          <w:sz w:val="24"/>
          <w:szCs w:val="24"/>
        </w:rPr>
        <w:t xml:space="preserve">, </w:t>
      </w:r>
      <w:proofErr w:type="spellStart"/>
      <w:r w:rsidRPr="00C56257">
        <w:rPr>
          <w:color w:val="000000" w:themeColor="text1"/>
          <w:sz w:val="24"/>
          <w:szCs w:val="24"/>
        </w:rPr>
        <w:t>starea</w:t>
      </w:r>
      <w:proofErr w:type="spellEnd"/>
      <w:r w:rsidRPr="00C56257">
        <w:rPr>
          <w:color w:val="000000" w:themeColor="text1"/>
          <w:sz w:val="24"/>
          <w:szCs w:val="24"/>
        </w:rPr>
        <w:t xml:space="preserve"> de </w:t>
      </w:r>
      <w:proofErr w:type="spellStart"/>
      <w:r w:rsidRPr="00C56257">
        <w:rPr>
          <w:color w:val="000000" w:themeColor="text1"/>
          <w:sz w:val="24"/>
          <w:szCs w:val="24"/>
        </w:rPr>
        <w:t>conservare</w:t>
      </w:r>
      <w:proofErr w:type="spellEnd"/>
      <w:r w:rsidRPr="00C56257">
        <w:rPr>
          <w:color w:val="000000" w:themeColor="text1"/>
          <w:sz w:val="24"/>
          <w:szCs w:val="24"/>
        </w:rPr>
        <w:t xml:space="preserve"> </w:t>
      </w:r>
      <w:proofErr w:type="spellStart"/>
      <w:r w:rsidRPr="00C56257">
        <w:rPr>
          <w:color w:val="000000" w:themeColor="text1"/>
          <w:sz w:val="24"/>
          <w:szCs w:val="24"/>
        </w:rPr>
        <w:t>favorabilă</w:t>
      </w:r>
      <w:proofErr w:type="spellEnd"/>
      <w:r w:rsidRPr="00C56257">
        <w:rPr>
          <w:color w:val="000000" w:themeColor="text1"/>
          <w:sz w:val="24"/>
          <w:szCs w:val="24"/>
        </w:rPr>
        <w:t xml:space="preserve"> </w:t>
      </w:r>
      <w:proofErr w:type="spellStart"/>
      <w:r w:rsidRPr="00C56257">
        <w:rPr>
          <w:color w:val="000000" w:themeColor="text1"/>
          <w:sz w:val="24"/>
          <w:szCs w:val="24"/>
        </w:rPr>
        <w:t>poate</w:t>
      </w:r>
      <w:proofErr w:type="spellEnd"/>
      <w:r w:rsidRPr="00C56257">
        <w:rPr>
          <w:color w:val="000000" w:themeColor="text1"/>
          <w:sz w:val="24"/>
          <w:szCs w:val="24"/>
        </w:rPr>
        <w:t xml:space="preserve"> fi </w:t>
      </w:r>
      <w:proofErr w:type="spellStart"/>
      <w:r w:rsidRPr="00C56257">
        <w:rPr>
          <w:color w:val="000000" w:themeColor="text1"/>
          <w:sz w:val="24"/>
          <w:szCs w:val="24"/>
        </w:rPr>
        <w:t>descrisă</w:t>
      </w:r>
      <w:proofErr w:type="spellEnd"/>
      <w:r w:rsidRPr="00C56257">
        <w:rPr>
          <w:color w:val="000000" w:themeColor="text1"/>
          <w:sz w:val="24"/>
          <w:szCs w:val="24"/>
        </w:rPr>
        <w:t xml:space="preserve"> ca </w:t>
      </w:r>
      <w:proofErr w:type="spellStart"/>
      <w:r w:rsidRPr="00C56257">
        <w:rPr>
          <w:color w:val="000000" w:themeColor="text1"/>
          <w:sz w:val="24"/>
          <w:szCs w:val="24"/>
        </w:rPr>
        <w:t>situaţia</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care un</w:t>
      </w:r>
      <w:r w:rsidRPr="00C56257">
        <w:rPr>
          <w:color w:val="000000" w:themeColor="text1"/>
          <w:spacing w:val="60"/>
          <w:sz w:val="24"/>
          <w:szCs w:val="24"/>
        </w:rPr>
        <w:t xml:space="preserve"> </w:t>
      </w:r>
      <w:r w:rsidRPr="00C56257">
        <w:rPr>
          <w:color w:val="000000" w:themeColor="text1"/>
          <w:sz w:val="24"/>
          <w:szCs w:val="24"/>
        </w:rPr>
        <w:t xml:space="preserve">tip de habitat </w:t>
      </w:r>
      <w:proofErr w:type="spellStart"/>
      <w:r w:rsidRPr="00C56257">
        <w:rPr>
          <w:color w:val="000000" w:themeColor="text1"/>
          <w:sz w:val="24"/>
          <w:szCs w:val="24"/>
        </w:rPr>
        <w:t>sau</w:t>
      </w:r>
      <w:proofErr w:type="spellEnd"/>
      <w:r w:rsidRPr="00C56257">
        <w:rPr>
          <w:color w:val="000000" w:themeColor="text1"/>
          <w:spacing w:val="1"/>
          <w:sz w:val="24"/>
          <w:szCs w:val="24"/>
        </w:rPr>
        <w:t xml:space="preserve"> </w:t>
      </w:r>
      <w:r w:rsidRPr="00C56257">
        <w:rPr>
          <w:color w:val="000000" w:themeColor="text1"/>
          <w:sz w:val="24"/>
          <w:szCs w:val="24"/>
        </w:rPr>
        <w:t xml:space="preserve">o specie </w:t>
      </w:r>
      <w:proofErr w:type="spellStart"/>
      <w:r w:rsidRPr="00C56257">
        <w:rPr>
          <w:color w:val="000000" w:themeColor="text1"/>
          <w:sz w:val="24"/>
          <w:szCs w:val="24"/>
        </w:rPr>
        <w:t>prosperă</w:t>
      </w:r>
      <w:proofErr w:type="spellEnd"/>
      <w:r w:rsidRPr="00C56257">
        <w:rPr>
          <w:color w:val="000000" w:themeColor="text1"/>
          <w:sz w:val="24"/>
          <w:szCs w:val="24"/>
        </w:rPr>
        <w:t xml:space="preserve"> (</w:t>
      </w:r>
      <w:proofErr w:type="spellStart"/>
      <w:r w:rsidRPr="00C56257">
        <w:rPr>
          <w:color w:val="000000" w:themeColor="text1"/>
          <w:sz w:val="24"/>
          <w:szCs w:val="24"/>
        </w:rPr>
        <w:t>atât</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ceea</w:t>
      </w:r>
      <w:proofErr w:type="spellEnd"/>
      <w:r w:rsidRPr="00C56257">
        <w:rPr>
          <w:color w:val="000000" w:themeColor="text1"/>
          <w:sz w:val="24"/>
          <w:szCs w:val="24"/>
        </w:rPr>
        <w:t xml:space="preserve"> </w:t>
      </w:r>
      <w:proofErr w:type="spellStart"/>
      <w:r w:rsidRPr="00C56257">
        <w:rPr>
          <w:color w:val="000000" w:themeColor="text1"/>
          <w:sz w:val="24"/>
          <w:szCs w:val="24"/>
        </w:rPr>
        <w:t>ce</w:t>
      </w:r>
      <w:proofErr w:type="spellEnd"/>
      <w:r w:rsidRPr="00C56257">
        <w:rPr>
          <w:color w:val="000000" w:themeColor="text1"/>
          <w:sz w:val="24"/>
          <w:szCs w:val="24"/>
        </w:rPr>
        <w:t xml:space="preserve"> </w:t>
      </w:r>
      <w:proofErr w:type="spellStart"/>
      <w:r w:rsidRPr="00C56257">
        <w:rPr>
          <w:color w:val="000000" w:themeColor="text1"/>
          <w:sz w:val="24"/>
          <w:szCs w:val="24"/>
        </w:rPr>
        <w:t>priveşte</w:t>
      </w:r>
      <w:proofErr w:type="spellEnd"/>
      <w:r w:rsidRPr="00C56257">
        <w:rPr>
          <w:color w:val="000000" w:themeColor="text1"/>
          <w:sz w:val="24"/>
          <w:szCs w:val="24"/>
        </w:rPr>
        <w:t xml:space="preserve"> </w:t>
      </w:r>
      <w:proofErr w:type="spellStart"/>
      <w:r w:rsidRPr="00C56257">
        <w:rPr>
          <w:color w:val="000000" w:themeColor="text1"/>
          <w:sz w:val="24"/>
          <w:szCs w:val="24"/>
        </w:rPr>
        <w:t>suprafaţa</w:t>
      </w:r>
      <w:proofErr w:type="spellEnd"/>
      <w:r w:rsidRPr="00C56257">
        <w:rPr>
          <w:color w:val="000000" w:themeColor="text1"/>
          <w:sz w:val="24"/>
          <w:szCs w:val="24"/>
        </w:rPr>
        <w:t xml:space="preserve"> </w:t>
      </w:r>
      <w:proofErr w:type="spellStart"/>
      <w:r w:rsidRPr="00C56257">
        <w:rPr>
          <w:color w:val="000000" w:themeColor="text1"/>
          <w:sz w:val="24"/>
          <w:szCs w:val="24"/>
        </w:rPr>
        <w:t>şi</w:t>
      </w:r>
      <w:proofErr w:type="spellEnd"/>
      <w:r w:rsidRPr="00C56257">
        <w:rPr>
          <w:color w:val="000000" w:themeColor="text1"/>
          <w:sz w:val="24"/>
          <w:szCs w:val="24"/>
        </w:rPr>
        <w:t xml:space="preserve"> </w:t>
      </w:r>
      <w:proofErr w:type="spellStart"/>
      <w:r w:rsidRPr="00C56257">
        <w:rPr>
          <w:color w:val="000000" w:themeColor="text1"/>
          <w:sz w:val="24"/>
          <w:szCs w:val="24"/>
        </w:rPr>
        <w:t>mărimea</w:t>
      </w:r>
      <w:proofErr w:type="spellEnd"/>
      <w:r w:rsidRPr="00C56257">
        <w:rPr>
          <w:color w:val="000000" w:themeColor="text1"/>
          <w:sz w:val="24"/>
          <w:szCs w:val="24"/>
        </w:rPr>
        <w:t xml:space="preserve"> </w:t>
      </w:r>
      <w:proofErr w:type="spellStart"/>
      <w:r w:rsidRPr="00C56257">
        <w:rPr>
          <w:color w:val="000000" w:themeColor="text1"/>
          <w:sz w:val="24"/>
          <w:szCs w:val="24"/>
        </w:rPr>
        <w:t>populaţiei</w:t>
      </w:r>
      <w:proofErr w:type="spellEnd"/>
      <w:r w:rsidRPr="00C56257">
        <w:rPr>
          <w:color w:val="000000" w:themeColor="text1"/>
          <w:sz w:val="24"/>
          <w:szCs w:val="24"/>
        </w:rPr>
        <w:t xml:space="preserve">, </w:t>
      </w:r>
      <w:proofErr w:type="spellStart"/>
      <w:r w:rsidRPr="00C56257">
        <w:rPr>
          <w:color w:val="000000" w:themeColor="text1"/>
          <w:sz w:val="24"/>
          <w:szCs w:val="24"/>
        </w:rPr>
        <w:t>cât</w:t>
      </w:r>
      <w:proofErr w:type="spellEnd"/>
      <w:r w:rsidRPr="00C56257">
        <w:rPr>
          <w:color w:val="000000" w:themeColor="text1"/>
          <w:sz w:val="24"/>
          <w:szCs w:val="24"/>
        </w:rPr>
        <w:t xml:space="preserve"> </w:t>
      </w:r>
      <w:proofErr w:type="spellStart"/>
      <w:r w:rsidRPr="00C56257">
        <w:rPr>
          <w:color w:val="000000" w:themeColor="text1"/>
          <w:sz w:val="24"/>
          <w:szCs w:val="24"/>
        </w:rPr>
        <w:t>şi</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ceea</w:t>
      </w:r>
      <w:proofErr w:type="spellEnd"/>
      <w:r w:rsidRPr="00C56257">
        <w:rPr>
          <w:color w:val="000000" w:themeColor="text1"/>
          <w:sz w:val="24"/>
          <w:szCs w:val="24"/>
        </w:rPr>
        <w:t xml:space="preserve"> </w:t>
      </w:r>
      <w:proofErr w:type="spellStart"/>
      <w:r w:rsidRPr="00C56257">
        <w:rPr>
          <w:color w:val="000000" w:themeColor="text1"/>
          <w:sz w:val="24"/>
          <w:szCs w:val="24"/>
        </w:rPr>
        <w:t>ce</w:t>
      </w:r>
      <w:proofErr w:type="spellEnd"/>
      <w:r w:rsidRPr="00C56257">
        <w:rPr>
          <w:color w:val="000000" w:themeColor="text1"/>
          <w:sz w:val="24"/>
          <w:szCs w:val="24"/>
        </w:rPr>
        <w:t xml:space="preserve"> </w:t>
      </w:r>
      <w:proofErr w:type="spellStart"/>
      <w:r w:rsidRPr="00C56257">
        <w:rPr>
          <w:color w:val="000000" w:themeColor="text1"/>
          <w:sz w:val="24"/>
          <w:szCs w:val="24"/>
        </w:rPr>
        <w:t>priveşte</w:t>
      </w:r>
      <w:proofErr w:type="spellEnd"/>
      <w:r w:rsidRPr="00C56257">
        <w:rPr>
          <w:color w:val="000000" w:themeColor="text1"/>
          <w:spacing w:val="1"/>
          <w:sz w:val="24"/>
          <w:szCs w:val="24"/>
        </w:rPr>
        <w:t xml:space="preserve"> </w:t>
      </w:r>
      <w:proofErr w:type="spellStart"/>
      <w:r w:rsidRPr="00C56257">
        <w:rPr>
          <w:color w:val="000000" w:themeColor="text1"/>
          <w:sz w:val="24"/>
          <w:szCs w:val="24"/>
        </w:rPr>
        <w:t>calitatea</w:t>
      </w:r>
      <w:proofErr w:type="spellEnd"/>
      <w:r w:rsidRPr="00C56257">
        <w:rPr>
          <w:color w:val="000000" w:themeColor="text1"/>
          <w:sz w:val="24"/>
          <w:szCs w:val="24"/>
        </w:rPr>
        <w:t xml:space="preserve"> </w:t>
      </w:r>
      <w:proofErr w:type="spellStart"/>
      <w:r w:rsidRPr="00C56257">
        <w:rPr>
          <w:color w:val="000000" w:themeColor="text1"/>
          <w:sz w:val="24"/>
          <w:szCs w:val="24"/>
        </w:rPr>
        <w:t>populaţiei</w:t>
      </w:r>
      <w:proofErr w:type="spellEnd"/>
      <w:r w:rsidRPr="00C56257">
        <w:rPr>
          <w:color w:val="000000" w:themeColor="text1"/>
          <w:sz w:val="24"/>
          <w:szCs w:val="24"/>
        </w:rPr>
        <w:t xml:space="preserve">, </w:t>
      </w:r>
      <w:proofErr w:type="spellStart"/>
      <w:r w:rsidRPr="00C56257">
        <w:rPr>
          <w:color w:val="000000" w:themeColor="text1"/>
          <w:sz w:val="24"/>
          <w:szCs w:val="24"/>
        </w:rPr>
        <w:t>inclusiv</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sensul</w:t>
      </w:r>
      <w:proofErr w:type="spellEnd"/>
      <w:r w:rsidRPr="00C56257">
        <w:rPr>
          <w:color w:val="000000" w:themeColor="text1"/>
          <w:sz w:val="24"/>
          <w:szCs w:val="24"/>
        </w:rPr>
        <w:t xml:space="preserve"> </w:t>
      </w:r>
      <w:proofErr w:type="spellStart"/>
      <w:r w:rsidRPr="00C56257">
        <w:rPr>
          <w:color w:val="000000" w:themeColor="text1"/>
          <w:sz w:val="24"/>
          <w:szCs w:val="24"/>
        </w:rPr>
        <w:t>capacităţii</w:t>
      </w:r>
      <w:proofErr w:type="spellEnd"/>
      <w:r w:rsidRPr="00C56257">
        <w:rPr>
          <w:color w:val="000000" w:themeColor="text1"/>
          <w:sz w:val="24"/>
          <w:szCs w:val="24"/>
        </w:rPr>
        <w:t xml:space="preserve"> de </w:t>
      </w:r>
      <w:proofErr w:type="spellStart"/>
      <w:r w:rsidRPr="00C56257">
        <w:rPr>
          <w:color w:val="000000" w:themeColor="text1"/>
          <w:sz w:val="24"/>
          <w:szCs w:val="24"/>
        </w:rPr>
        <w:t>reproducere</w:t>
      </w:r>
      <w:proofErr w:type="spellEnd"/>
      <w:r w:rsidRPr="00C56257">
        <w:rPr>
          <w:color w:val="000000" w:themeColor="text1"/>
          <w:sz w:val="24"/>
          <w:szCs w:val="24"/>
        </w:rPr>
        <w:t xml:space="preserve">, </w:t>
      </w:r>
      <w:proofErr w:type="spellStart"/>
      <w:r w:rsidRPr="00C56257">
        <w:rPr>
          <w:color w:val="000000" w:themeColor="text1"/>
          <w:sz w:val="24"/>
          <w:szCs w:val="24"/>
        </w:rPr>
        <w:t>structurii</w:t>
      </w:r>
      <w:proofErr w:type="spellEnd"/>
      <w:r w:rsidRPr="00C56257">
        <w:rPr>
          <w:color w:val="000000" w:themeColor="text1"/>
          <w:sz w:val="24"/>
          <w:szCs w:val="24"/>
        </w:rPr>
        <w:t xml:space="preserve"> pe </w:t>
      </w:r>
      <w:proofErr w:type="spellStart"/>
      <w:r w:rsidRPr="00C56257">
        <w:rPr>
          <w:color w:val="000000" w:themeColor="text1"/>
          <w:sz w:val="24"/>
          <w:szCs w:val="24"/>
        </w:rPr>
        <w:t>vârste</w:t>
      </w:r>
      <w:proofErr w:type="spellEnd"/>
      <w:r w:rsidRPr="00C56257">
        <w:rPr>
          <w:color w:val="000000" w:themeColor="text1"/>
          <w:sz w:val="24"/>
          <w:szCs w:val="24"/>
        </w:rPr>
        <w:t xml:space="preserve">, </w:t>
      </w:r>
      <w:proofErr w:type="spellStart"/>
      <w:r w:rsidRPr="00C56257">
        <w:rPr>
          <w:color w:val="000000" w:themeColor="text1"/>
          <w:sz w:val="24"/>
          <w:szCs w:val="24"/>
        </w:rPr>
        <w:t>mortalităţii</w:t>
      </w:r>
      <w:proofErr w:type="spellEnd"/>
      <w:r w:rsidRPr="00C56257">
        <w:rPr>
          <w:color w:val="000000" w:themeColor="text1"/>
          <w:sz w:val="24"/>
          <w:szCs w:val="24"/>
        </w:rPr>
        <w:t xml:space="preserve">) </w:t>
      </w:r>
      <w:proofErr w:type="spellStart"/>
      <w:r w:rsidRPr="00C56257">
        <w:rPr>
          <w:color w:val="000000" w:themeColor="text1"/>
          <w:sz w:val="24"/>
          <w:szCs w:val="24"/>
        </w:rPr>
        <w:t>şi</w:t>
      </w:r>
      <w:proofErr w:type="spellEnd"/>
      <w:r w:rsidRPr="00C56257">
        <w:rPr>
          <w:color w:val="000000" w:themeColor="text1"/>
          <w:spacing w:val="1"/>
          <w:sz w:val="24"/>
          <w:szCs w:val="24"/>
        </w:rPr>
        <w:t xml:space="preserve"> </w:t>
      </w:r>
      <w:proofErr w:type="spellStart"/>
      <w:r w:rsidRPr="00C56257">
        <w:rPr>
          <w:color w:val="000000" w:themeColor="text1"/>
          <w:sz w:val="24"/>
          <w:szCs w:val="24"/>
        </w:rPr>
        <w:t>există</w:t>
      </w:r>
      <w:proofErr w:type="spellEnd"/>
      <w:r w:rsidRPr="00C56257">
        <w:rPr>
          <w:color w:val="000000" w:themeColor="text1"/>
          <w:sz w:val="24"/>
          <w:szCs w:val="24"/>
        </w:rPr>
        <w:t xml:space="preserve"> </w:t>
      </w:r>
      <w:proofErr w:type="spellStart"/>
      <w:r w:rsidRPr="00C56257">
        <w:rPr>
          <w:color w:val="000000" w:themeColor="text1"/>
          <w:sz w:val="24"/>
          <w:szCs w:val="24"/>
        </w:rPr>
        <w:t>perspectivele</w:t>
      </w:r>
      <w:proofErr w:type="spellEnd"/>
      <w:r w:rsidRPr="00C56257">
        <w:rPr>
          <w:color w:val="000000" w:themeColor="text1"/>
          <w:sz w:val="24"/>
          <w:szCs w:val="24"/>
        </w:rPr>
        <w:t xml:space="preserve"> </w:t>
      </w:r>
      <w:proofErr w:type="spellStart"/>
      <w:r w:rsidRPr="00C56257">
        <w:rPr>
          <w:color w:val="000000" w:themeColor="text1"/>
          <w:sz w:val="24"/>
          <w:szCs w:val="24"/>
        </w:rPr>
        <w:t>să</w:t>
      </w:r>
      <w:proofErr w:type="spellEnd"/>
      <w:r w:rsidRPr="00C56257">
        <w:rPr>
          <w:color w:val="000000" w:themeColor="text1"/>
          <w:sz w:val="24"/>
          <w:szCs w:val="24"/>
        </w:rPr>
        <w:t xml:space="preserve"> </w:t>
      </w:r>
      <w:proofErr w:type="spellStart"/>
      <w:r w:rsidRPr="00C56257">
        <w:rPr>
          <w:color w:val="000000" w:themeColor="text1"/>
          <w:sz w:val="24"/>
          <w:szCs w:val="24"/>
        </w:rPr>
        <w:t>prospere</w:t>
      </w:r>
      <w:proofErr w:type="spellEnd"/>
      <w:r w:rsidRPr="00C56257">
        <w:rPr>
          <w:color w:val="000000" w:themeColor="text1"/>
          <w:sz w:val="24"/>
          <w:szCs w:val="24"/>
        </w:rPr>
        <w:t xml:space="preserve"> de </w:t>
      </w:r>
      <w:proofErr w:type="spellStart"/>
      <w:r w:rsidRPr="00C56257">
        <w:rPr>
          <w:color w:val="000000" w:themeColor="text1"/>
          <w:sz w:val="24"/>
          <w:szCs w:val="24"/>
        </w:rPr>
        <w:t>asemenea</w:t>
      </w:r>
      <w:proofErr w:type="spellEnd"/>
      <w:r w:rsidRPr="00C56257">
        <w:rPr>
          <w:color w:val="000000" w:themeColor="text1"/>
          <w:sz w:val="24"/>
          <w:szCs w:val="24"/>
        </w:rPr>
        <w:t xml:space="preserve"> </w:t>
      </w:r>
      <w:proofErr w:type="spellStart"/>
      <w:r w:rsidRPr="00C56257">
        <w:rPr>
          <w:color w:val="000000" w:themeColor="text1"/>
          <w:sz w:val="24"/>
          <w:szCs w:val="24"/>
        </w:rPr>
        <w:t>şi</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viitor</w:t>
      </w:r>
      <w:proofErr w:type="spellEnd"/>
      <w:r w:rsidRPr="00C56257">
        <w:rPr>
          <w:color w:val="000000" w:themeColor="text1"/>
          <w:sz w:val="24"/>
          <w:szCs w:val="24"/>
        </w:rPr>
        <w:t xml:space="preserve"> </w:t>
      </w:r>
      <w:proofErr w:type="spellStart"/>
      <w:r w:rsidRPr="00C56257">
        <w:rPr>
          <w:color w:val="000000" w:themeColor="text1"/>
          <w:sz w:val="24"/>
          <w:szCs w:val="24"/>
        </w:rPr>
        <w:t>fără</w:t>
      </w:r>
      <w:proofErr w:type="spellEnd"/>
      <w:r w:rsidRPr="00C56257">
        <w:rPr>
          <w:color w:val="000000" w:themeColor="text1"/>
          <w:sz w:val="24"/>
          <w:szCs w:val="24"/>
        </w:rPr>
        <w:t xml:space="preserve"> </w:t>
      </w:r>
      <w:proofErr w:type="spellStart"/>
      <w:r w:rsidRPr="00C56257">
        <w:rPr>
          <w:color w:val="000000" w:themeColor="text1"/>
          <w:sz w:val="24"/>
          <w:szCs w:val="24"/>
        </w:rPr>
        <w:t>modificări</w:t>
      </w:r>
      <w:proofErr w:type="spellEnd"/>
      <w:r w:rsidRPr="00C56257">
        <w:rPr>
          <w:color w:val="000000" w:themeColor="text1"/>
          <w:sz w:val="24"/>
          <w:szCs w:val="24"/>
        </w:rPr>
        <w:t xml:space="preserve"> </w:t>
      </w:r>
      <w:proofErr w:type="spellStart"/>
      <w:r w:rsidRPr="00C56257">
        <w:rPr>
          <w:color w:val="000000" w:themeColor="text1"/>
          <w:sz w:val="24"/>
          <w:szCs w:val="24"/>
        </w:rPr>
        <w:t>semnificative</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politicile</w:t>
      </w:r>
      <w:proofErr w:type="spellEnd"/>
      <w:r w:rsidRPr="00C56257">
        <w:rPr>
          <w:color w:val="000000" w:themeColor="text1"/>
          <w:sz w:val="24"/>
          <w:szCs w:val="24"/>
        </w:rPr>
        <w:t xml:space="preserve"> </w:t>
      </w:r>
      <w:proofErr w:type="spellStart"/>
      <w:r w:rsidRPr="00C56257">
        <w:rPr>
          <w:color w:val="000000" w:themeColor="text1"/>
          <w:sz w:val="24"/>
          <w:szCs w:val="24"/>
        </w:rPr>
        <w:t>şi</w:t>
      </w:r>
      <w:proofErr w:type="spellEnd"/>
      <w:r w:rsidRPr="00C56257">
        <w:rPr>
          <w:color w:val="000000" w:themeColor="text1"/>
          <w:spacing w:val="1"/>
          <w:sz w:val="24"/>
          <w:szCs w:val="24"/>
        </w:rPr>
        <w:t xml:space="preserve"> </w:t>
      </w:r>
      <w:proofErr w:type="spellStart"/>
      <w:r w:rsidRPr="00C56257">
        <w:rPr>
          <w:color w:val="000000" w:themeColor="text1"/>
          <w:sz w:val="24"/>
          <w:szCs w:val="24"/>
        </w:rPr>
        <w:t>managementul</w:t>
      </w:r>
      <w:proofErr w:type="spellEnd"/>
      <w:r w:rsidRPr="00C56257">
        <w:rPr>
          <w:color w:val="000000" w:themeColor="text1"/>
          <w:sz w:val="24"/>
          <w:szCs w:val="24"/>
        </w:rPr>
        <w:t xml:space="preserve"> existent. </w:t>
      </w:r>
      <w:proofErr w:type="spellStart"/>
      <w:r w:rsidRPr="00C56257">
        <w:rPr>
          <w:color w:val="000000" w:themeColor="text1"/>
          <w:sz w:val="24"/>
          <w:szCs w:val="24"/>
          <w:lang w:val="fr-FR"/>
        </w:rPr>
        <w:t>Faptul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că</w:t>
      </w:r>
      <w:proofErr w:type="spellEnd"/>
      <w:r w:rsidRPr="00C56257">
        <w:rPr>
          <w:color w:val="000000" w:themeColor="text1"/>
          <w:sz w:val="24"/>
          <w:szCs w:val="24"/>
          <w:lang w:val="fr-FR"/>
        </w:rPr>
        <w:t xml:space="preserve"> un </w:t>
      </w:r>
      <w:proofErr w:type="spellStart"/>
      <w:r w:rsidRPr="00C56257">
        <w:rPr>
          <w:color w:val="000000" w:themeColor="text1"/>
          <w:sz w:val="24"/>
          <w:szCs w:val="24"/>
          <w:lang w:val="fr-FR"/>
        </w:rPr>
        <w:t>tip</w:t>
      </w:r>
      <w:proofErr w:type="spellEnd"/>
      <w:r w:rsidRPr="00C56257">
        <w:rPr>
          <w:color w:val="000000" w:themeColor="text1"/>
          <w:sz w:val="24"/>
          <w:szCs w:val="24"/>
          <w:lang w:val="fr-FR"/>
        </w:rPr>
        <w:t xml:space="preserve"> de habitat </w:t>
      </w:r>
      <w:proofErr w:type="spellStart"/>
      <w:r w:rsidRPr="00C56257">
        <w:rPr>
          <w:color w:val="000000" w:themeColor="text1"/>
          <w:sz w:val="24"/>
          <w:szCs w:val="24"/>
          <w:lang w:val="fr-FR"/>
        </w:rPr>
        <w:t>sau</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 xml:space="preserve">o </w:t>
      </w:r>
      <w:proofErr w:type="spellStart"/>
      <w:r w:rsidRPr="00C56257">
        <w:rPr>
          <w:color w:val="000000" w:themeColor="text1"/>
          <w:sz w:val="24"/>
          <w:szCs w:val="24"/>
          <w:lang w:val="fr-FR"/>
        </w:rPr>
        <w:t>specie</w:t>
      </w:r>
      <w:proofErr w:type="spellEnd"/>
      <w:r w:rsidRPr="00C56257">
        <w:rPr>
          <w:color w:val="000000" w:themeColor="text1"/>
          <w:sz w:val="24"/>
          <w:szCs w:val="24"/>
          <w:lang w:val="fr-FR"/>
        </w:rPr>
        <w:t xml:space="preserve"> nu</w:t>
      </w:r>
      <w:r w:rsidRPr="00C56257">
        <w:rPr>
          <w:color w:val="000000" w:themeColor="text1"/>
          <w:spacing w:val="60"/>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ameninţate</w:t>
      </w:r>
      <w:proofErr w:type="spellEnd"/>
      <w:r w:rsidRPr="00C56257">
        <w:rPr>
          <w:color w:val="000000" w:themeColor="text1"/>
          <w:sz w:val="24"/>
          <w:szCs w:val="24"/>
          <w:lang w:val="fr-FR"/>
        </w:rPr>
        <w:t xml:space="preserve"> (ex: nu </w:t>
      </w:r>
      <w:proofErr w:type="spellStart"/>
      <w:r w:rsidRPr="00C56257">
        <w:rPr>
          <w:color w:val="000000" w:themeColor="text1"/>
          <w:sz w:val="24"/>
          <w:szCs w:val="24"/>
          <w:lang w:val="fr-FR"/>
        </w:rPr>
        <w:t>există</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nici</w:t>
      </w:r>
      <w:proofErr w:type="spellEnd"/>
      <w:r w:rsidRPr="00C56257">
        <w:rPr>
          <w:color w:val="000000" w:themeColor="text1"/>
          <w:sz w:val="24"/>
          <w:szCs w:val="24"/>
          <w:lang w:val="fr-FR"/>
        </w:rPr>
        <w:t xml:space="preserve"> un </w:t>
      </w:r>
      <w:proofErr w:type="spellStart"/>
      <w:r w:rsidRPr="00C56257">
        <w:rPr>
          <w:color w:val="000000" w:themeColor="text1"/>
          <w:sz w:val="24"/>
          <w:szCs w:val="24"/>
          <w:lang w:val="fr-FR"/>
        </w:rPr>
        <w:t>risc</w:t>
      </w:r>
      <w:proofErr w:type="spellEnd"/>
      <w:r w:rsidRPr="00C56257">
        <w:rPr>
          <w:color w:val="000000" w:themeColor="text1"/>
          <w:sz w:val="24"/>
          <w:szCs w:val="24"/>
          <w:lang w:val="fr-FR"/>
        </w:rPr>
        <w:t xml:space="preserve"> direct </w:t>
      </w:r>
      <w:proofErr w:type="spellStart"/>
      <w:r w:rsidRPr="00C56257">
        <w:rPr>
          <w:color w:val="000000" w:themeColor="text1"/>
          <w:sz w:val="24"/>
          <w:szCs w:val="24"/>
          <w:lang w:val="fr-FR"/>
        </w:rPr>
        <w:t>să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devină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extincte</w:t>
      </w:r>
      <w:proofErr w:type="spellEnd"/>
      <w:r w:rsidRPr="00C56257">
        <w:rPr>
          <w:color w:val="000000" w:themeColor="text1"/>
          <w:sz w:val="24"/>
          <w:szCs w:val="24"/>
          <w:lang w:val="fr-FR"/>
        </w:rPr>
        <w:t xml:space="preserve">) nu </w:t>
      </w:r>
      <w:proofErr w:type="spellStart"/>
      <w:r w:rsidRPr="00C56257">
        <w:rPr>
          <w:color w:val="000000" w:themeColor="text1"/>
          <w:sz w:val="24"/>
          <w:szCs w:val="24"/>
          <w:lang w:val="fr-FR"/>
        </w:rPr>
        <w:t>înseamnă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acestea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stare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favorabilă</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Obiectivul</w:t>
      </w:r>
      <w:proofErr w:type="spellEnd"/>
      <w:r w:rsidRPr="00C56257">
        <w:rPr>
          <w:color w:val="000000" w:themeColor="text1"/>
          <w:spacing w:val="16"/>
          <w:sz w:val="24"/>
          <w:szCs w:val="24"/>
          <w:lang w:val="fr-FR"/>
        </w:rPr>
        <w:t xml:space="preserve"> </w:t>
      </w:r>
      <w:proofErr w:type="spellStart"/>
      <w:r w:rsidRPr="00C56257">
        <w:rPr>
          <w:color w:val="000000" w:themeColor="text1"/>
          <w:sz w:val="24"/>
          <w:szCs w:val="24"/>
          <w:lang w:val="fr-FR"/>
        </w:rPr>
        <w:t>directivei</w:t>
      </w:r>
      <w:proofErr w:type="spellEnd"/>
      <w:r w:rsidRPr="00C56257">
        <w:rPr>
          <w:color w:val="000000" w:themeColor="text1"/>
          <w:spacing w:val="17"/>
          <w:sz w:val="24"/>
          <w:szCs w:val="24"/>
          <w:lang w:val="fr-FR"/>
        </w:rPr>
        <w:t xml:space="preserve"> </w:t>
      </w:r>
      <w:r w:rsidRPr="00C56257">
        <w:rPr>
          <w:color w:val="000000" w:themeColor="text1"/>
          <w:sz w:val="24"/>
          <w:szCs w:val="24"/>
          <w:lang w:val="fr-FR"/>
        </w:rPr>
        <w:t>este</w:t>
      </w:r>
      <w:r w:rsidRPr="00C56257">
        <w:rPr>
          <w:color w:val="000000" w:themeColor="text1"/>
          <w:spacing w:val="17"/>
          <w:sz w:val="24"/>
          <w:szCs w:val="24"/>
          <w:lang w:val="fr-FR"/>
        </w:rPr>
        <w:t xml:space="preserve"> </w:t>
      </w:r>
      <w:proofErr w:type="spellStart"/>
      <w:r w:rsidRPr="00C56257">
        <w:rPr>
          <w:color w:val="000000" w:themeColor="text1"/>
          <w:sz w:val="24"/>
          <w:szCs w:val="24"/>
          <w:lang w:val="fr-FR"/>
        </w:rPr>
        <w:t>definit</w:t>
      </w:r>
      <w:proofErr w:type="spellEnd"/>
      <w:r w:rsidRPr="00C56257">
        <w:rPr>
          <w:color w:val="000000" w:themeColor="text1"/>
          <w:spacing w:val="17"/>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6"/>
          <w:sz w:val="24"/>
          <w:szCs w:val="24"/>
          <w:lang w:val="fr-FR"/>
        </w:rPr>
        <w:t xml:space="preserve"> </w:t>
      </w:r>
      <w:proofErr w:type="spellStart"/>
      <w:r w:rsidRPr="00C56257">
        <w:rPr>
          <w:color w:val="000000" w:themeColor="text1"/>
          <w:sz w:val="24"/>
          <w:szCs w:val="24"/>
          <w:lang w:val="fr-FR"/>
        </w:rPr>
        <w:t>termeni</w:t>
      </w:r>
      <w:proofErr w:type="spellEnd"/>
      <w:r w:rsidRPr="00C56257">
        <w:rPr>
          <w:color w:val="000000" w:themeColor="text1"/>
          <w:spacing w:val="17"/>
          <w:sz w:val="24"/>
          <w:szCs w:val="24"/>
          <w:lang w:val="fr-FR"/>
        </w:rPr>
        <w:t xml:space="preserve"> </w:t>
      </w:r>
      <w:proofErr w:type="spellStart"/>
      <w:r w:rsidRPr="00C56257">
        <w:rPr>
          <w:color w:val="000000" w:themeColor="text1"/>
          <w:sz w:val="24"/>
          <w:szCs w:val="24"/>
          <w:lang w:val="fr-FR"/>
        </w:rPr>
        <w:t>pozitivi</w:t>
      </w:r>
      <w:proofErr w:type="spellEnd"/>
      <w:r w:rsidRPr="00C56257">
        <w:rPr>
          <w:color w:val="000000" w:themeColor="text1"/>
          <w:sz w:val="24"/>
          <w:szCs w:val="24"/>
          <w:lang w:val="fr-FR"/>
        </w:rPr>
        <w:t>,</w:t>
      </w:r>
      <w:r w:rsidRPr="00C56257">
        <w:rPr>
          <w:color w:val="000000" w:themeColor="text1"/>
          <w:spacing w:val="16"/>
          <w:sz w:val="24"/>
          <w:szCs w:val="24"/>
          <w:lang w:val="fr-FR"/>
        </w:rPr>
        <w:t xml:space="preserve"> </w:t>
      </w:r>
      <w:proofErr w:type="spellStart"/>
      <w:r w:rsidRPr="00C56257">
        <w:rPr>
          <w:color w:val="000000" w:themeColor="text1"/>
          <w:sz w:val="24"/>
          <w:szCs w:val="24"/>
          <w:lang w:val="fr-FR"/>
        </w:rPr>
        <w:t>orientat</w:t>
      </w:r>
      <w:proofErr w:type="spellEnd"/>
      <w:r w:rsidRPr="00C56257">
        <w:rPr>
          <w:color w:val="000000" w:themeColor="text1"/>
          <w:spacing w:val="17"/>
          <w:sz w:val="24"/>
          <w:szCs w:val="24"/>
          <w:lang w:val="fr-FR"/>
        </w:rPr>
        <w:t xml:space="preserve"> </w:t>
      </w:r>
      <w:proofErr w:type="spellStart"/>
      <w:r w:rsidRPr="00C56257">
        <w:rPr>
          <w:color w:val="000000" w:themeColor="text1"/>
          <w:sz w:val="24"/>
          <w:szCs w:val="24"/>
          <w:lang w:val="fr-FR"/>
        </w:rPr>
        <w:t>spre</w:t>
      </w:r>
      <w:proofErr w:type="spellEnd"/>
      <w:r w:rsidRPr="00C56257">
        <w:rPr>
          <w:color w:val="000000" w:themeColor="text1"/>
          <w:spacing w:val="14"/>
          <w:sz w:val="24"/>
          <w:szCs w:val="24"/>
          <w:lang w:val="fr-FR"/>
        </w:rPr>
        <w:t xml:space="preserve"> </w:t>
      </w:r>
      <w:r w:rsidRPr="00C56257">
        <w:rPr>
          <w:color w:val="000000" w:themeColor="text1"/>
          <w:sz w:val="24"/>
          <w:szCs w:val="24"/>
          <w:lang w:val="fr-FR"/>
        </w:rPr>
        <w:t>o</w:t>
      </w:r>
      <w:r w:rsidRPr="00C56257">
        <w:rPr>
          <w:color w:val="000000" w:themeColor="text1"/>
          <w:spacing w:val="16"/>
          <w:sz w:val="24"/>
          <w:szCs w:val="24"/>
          <w:lang w:val="fr-FR"/>
        </w:rPr>
        <w:t xml:space="preserve"> </w:t>
      </w:r>
      <w:proofErr w:type="spellStart"/>
      <w:r w:rsidRPr="00C56257">
        <w:rPr>
          <w:color w:val="000000" w:themeColor="text1"/>
          <w:sz w:val="24"/>
          <w:szCs w:val="24"/>
          <w:lang w:val="fr-FR"/>
        </w:rPr>
        <w:t>situaţie</w:t>
      </w:r>
      <w:proofErr w:type="spellEnd"/>
      <w:r w:rsidRPr="00C56257">
        <w:rPr>
          <w:color w:val="000000" w:themeColor="text1"/>
          <w:spacing w:val="16"/>
          <w:sz w:val="24"/>
          <w:szCs w:val="24"/>
          <w:lang w:val="fr-FR"/>
        </w:rPr>
        <w:t xml:space="preserve"> </w:t>
      </w:r>
      <w:proofErr w:type="spellStart"/>
      <w:r w:rsidRPr="00C56257">
        <w:rPr>
          <w:color w:val="000000" w:themeColor="text1"/>
          <w:sz w:val="24"/>
          <w:szCs w:val="24"/>
          <w:lang w:val="fr-FR"/>
        </w:rPr>
        <w:t>favorabilă</w:t>
      </w:r>
      <w:proofErr w:type="spellEnd"/>
      <w:r w:rsidRPr="00C56257">
        <w:rPr>
          <w:color w:val="000000" w:themeColor="text1"/>
          <w:spacing w:val="15"/>
          <w:sz w:val="24"/>
          <w:szCs w:val="24"/>
          <w:lang w:val="fr-FR"/>
        </w:rPr>
        <w:t xml:space="preserve"> </w:t>
      </w:r>
      <w:r w:rsidRPr="00C56257">
        <w:rPr>
          <w:color w:val="000000" w:themeColor="text1"/>
          <w:sz w:val="24"/>
          <w:szCs w:val="24"/>
          <w:lang w:val="fr-FR"/>
        </w:rPr>
        <w:t>care</w:t>
      </w:r>
      <w:r w:rsidRPr="00C56257">
        <w:rPr>
          <w:color w:val="000000" w:themeColor="text1"/>
          <w:spacing w:val="16"/>
          <w:sz w:val="24"/>
          <w:szCs w:val="24"/>
          <w:lang w:val="fr-FR"/>
        </w:rPr>
        <w:t xml:space="preserve"> </w:t>
      </w:r>
      <w:proofErr w:type="spellStart"/>
      <w:r w:rsidRPr="00C56257">
        <w:rPr>
          <w:color w:val="000000" w:themeColor="text1"/>
          <w:sz w:val="24"/>
          <w:szCs w:val="24"/>
          <w:lang w:val="fr-FR"/>
        </w:rPr>
        <w:t>trebuie</w:t>
      </w:r>
      <w:proofErr w:type="spellEnd"/>
      <w:r w:rsidR="00064C1F">
        <w:rPr>
          <w:color w:val="000000" w:themeColor="text1"/>
          <w:sz w:val="24"/>
          <w:szCs w:val="24"/>
          <w:lang w:val="fr-FR"/>
        </w:rPr>
        <w:t xml:space="preserve"> </w:t>
      </w:r>
      <w:r w:rsidRPr="00C56257">
        <w:rPr>
          <w:color w:val="000000" w:themeColor="text1"/>
          <w:spacing w:val="-58"/>
          <w:sz w:val="24"/>
          <w:szCs w:val="24"/>
          <w:lang w:val="fr-FR"/>
        </w:rPr>
        <w:t xml:space="preserve"> </w:t>
      </w:r>
      <w:proofErr w:type="spellStart"/>
      <w:r w:rsidRPr="00C56257">
        <w:rPr>
          <w:color w:val="000000" w:themeColor="text1"/>
          <w:sz w:val="24"/>
          <w:szCs w:val="24"/>
          <w:lang w:val="fr-FR"/>
        </w:rPr>
        <w:t>să</w:t>
      </w:r>
      <w:proofErr w:type="spellEnd"/>
      <w:r w:rsidRPr="00C56257">
        <w:rPr>
          <w:color w:val="000000" w:themeColor="text1"/>
          <w:sz w:val="24"/>
          <w:szCs w:val="24"/>
          <w:lang w:val="fr-FR"/>
        </w:rPr>
        <w:t xml:space="preserve"> fie </w:t>
      </w:r>
      <w:proofErr w:type="spellStart"/>
      <w:r w:rsidRPr="00C56257">
        <w:rPr>
          <w:color w:val="000000" w:themeColor="text1"/>
          <w:sz w:val="24"/>
          <w:szCs w:val="24"/>
          <w:lang w:val="fr-FR"/>
        </w:rPr>
        <w:t>definită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atinsă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z w:val="24"/>
          <w:szCs w:val="24"/>
          <w:lang w:val="fr-FR"/>
        </w:rPr>
        <w:t>/</w:t>
      </w:r>
      <w:proofErr w:type="spellStart"/>
      <w:r w:rsidRPr="00C56257">
        <w:rPr>
          <w:color w:val="000000" w:themeColor="text1"/>
          <w:sz w:val="24"/>
          <w:szCs w:val="24"/>
          <w:lang w:val="fr-FR"/>
        </w:rPr>
        <w:t>sau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menţinută</w:t>
      </w:r>
      <w:proofErr w:type="spellEnd"/>
      <w:r w:rsidRPr="00C56257">
        <w:rPr>
          <w:color w:val="000000" w:themeColor="text1"/>
          <w:sz w:val="24"/>
          <w:szCs w:val="24"/>
          <w:lang w:val="fr-FR"/>
        </w:rPr>
        <w:t xml:space="preserve">. Prin </w:t>
      </w:r>
      <w:proofErr w:type="spellStart"/>
      <w:r w:rsidRPr="00C56257">
        <w:rPr>
          <w:color w:val="000000" w:themeColor="text1"/>
          <w:sz w:val="24"/>
          <w:szCs w:val="24"/>
          <w:lang w:val="fr-FR"/>
        </w:rPr>
        <w:t>urmare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obiectivul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Directivei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Habitate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urmărește</w:t>
      </w:r>
      <w:proofErr w:type="spellEnd"/>
      <w:r w:rsidRPr="00C56257">
        <w:rPr>
          <w:color w:val="000000" w:themeColor="text1"/>
          <w:sz w:val="24"/>
          <w:szCs w:val="24"/>
          <w:lang w:val="fr-FR"/>
        </w:rPr>
        <w:t xml:space="preserve"> mai</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mult</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decât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evitarea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dispariţiei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tipurilor</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habitate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sau</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speciilor</w:t>
      </w:r>
      <w:proofErr w:type="spellEnd"/>
      <w:r w:rsidRPr="00C56257">
        <w:rPr>
          <w:color w:val="000000" w:themeColor="text1"/>
          <w:sz w:val="24"/>
          <w:szCs w:val="24"/>
          <w:lang w:val="fr-FR"/>
        </w:rPr>
        <w:t>.</w:t>
      </w:r>
    </w:p>
    <w:p w14:paraId="2E1D02AF" w14:textId="77777777" w:rsidR="008572F7" w:rsidRPr="00C56257" w:rsidRDefault="008572F7" w:rsidP="00B538DD">
      <w:pPr>
        <w:pStyle w:val="BodyText"/>
        <w:spacing w:before="1"/>
        <w:ind w:left="0"/>
        <w:jc w:val="both"/>
        <w:rPr>
          <w:color w:val="000000" w:themeColor="text1"/>
          <w:sz w:val="24"/>
          <w:szCs w:val="24"/>
          <w:lang w:val="fr-FR"/>
        </w:rPr>
      </w:pPr>
      <w:proofErr w:type="spellStart"/>
      <w:r w:rsidRPr="00C56257">
        <w:rPr>
          <w:color w:val="000000" w:themeColor="text1"/>
          <w:sz w:val="24"/>
          <w:szCs w:val="24"/>
          <w:lang w:val="fr-FR"/>
        </w:rPr>
        <w:t>Starea</w:t>
      </w:r>
      <w:proofErr w:type="spellEnd"/>
      <w:r w:rsidRPr="00C56257">
        <w:rPr>
          <w:color w:val="000000" w:themeColor="text1"/>
          <w:spacing w:val="-3"/>
          <w:sz w:val="24"/>
          <w:szCs w:val="24"/>
          <w:lang w:val="fr-FR"/>
        </w:rPr>
        <w:t xml:space="preserve"> </w:t>
      </w:r>
      <w:r w:rsidRPr="00C56257">
        <w:rPr>
          <w:color w:val="000000" w:themeColor="text1"/>
          <w:sz w:val="24"/>
          <w:szCs w:val="24"/>
          <w:lang w:val="fr-FR"/>
        </w:rPr>
        <w:t xml:space="preserve">de </w:t>
      </w:r>
      <w:proofErr w:type="spellStart"/>
      <w:r w:rsidRPr="00C56257">
        <w:rPr>
          <w:color w:val="000000" w:themeColor="text1"/>
          <w:sz w:val="24"/>
          <w:szCs w:val="24"/>
          <w:lang w:val="fr-FR"/>
        </w:rPr>
        <w:t>conservare</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nefavorabilă</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este</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împărţită</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două</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clase:</w:t>
      </w:r>
    </w:p>
    <w:p w14:paraId="29FCB5BD" w14:textId="77777777" w:rsidR="008572F7" w:rsidRPr="00C56257" w:rsidRDefault="008572F7" w:rsidP="009E63E5">
      <w:pPr>
        <w:pStyle w:val="BodyText"/>
        <w:numPr>
          <w:ilvl w:val="0"/>
          <w:numId w:val="183"/>
        </w:numPr>
        <w:ind w:right="256"/>
        <w:jc w:val="both"/>
        <w:rPr>
          <w:color w:val="000000" w:themeColor="text1"/>
          <w:sz w:val="24"/>
          <w:szCs w:val="24"/>
          <w:lang w:val="fr-FR"/>
        </w:rPr>
      </w:pPr>
      <w:r w:rsidRPr="00C56257">
        <w:rPr>
          <w:color w:val="000000" w:themeColor="text1"/>
          <w:sz w:val="24"/>
          <w:szCs w:val="24"/>
          <w:lang w:val="fr-FR"/>
        </w:rPr>
        <w:t>„</w:t>
      </w:r>
      <w:proofErr w:type="spellStart"/>
      <w:r w:rsidRPr="00C56257">
        <w:rPr>
          <w:color w:val="000000" w:themeColor="text1"/>
          <w:sz w:val="24"/>
          <w:szCs w:val="24"/>
          <w:lang w:val="fr-FR"/>
        </w:rPr>
        <w:t>nefavorabil-inadecvat</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pentru</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situaţiile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care</w:t>
      </w:r>
      <w:r w:rsidRPr="00C56257">
        <w:rPr>
          <w:color w:val="000000" w:themeColor="text1"/>
          <w:spacing w:val="1"/>
          <w:sz w:val="24"/>
          <w:szCs w:val="24"/>
          <w:lang w:val="fr-FR"/>
        </w:rPr>
        <w:t xml:space="preserve"> </w:t>
      </w:r>
      <w:r w:rsidRPr="00C56257">
        <w:rPr>
          <w:color w:val="000000" w:themeColor="text1"/>
          <w:sz w:val="24"/>
          <w:szCs w:val="24"/>
          <w:lang w:val="fr-FR"/>
        </w:rPr>
        <w:t>este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necesară</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o</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schimbare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a</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politicilor</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sau</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managementului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pentru</w:t>
      </w:r>
      <w:proofErr w:type="spellEnd"/>
      <w:r w:rsidRPr="00C56257">
        <w:rPr>
          <w:color w:val="000000" w:themeColor="text1"/>
          <w:sz w:val="24"/>
          <w:szCs w:val="24"/>
          <w:lang w:val="fr-FR"/>
        </w:rPr>
        <w:t xml:space="preserve"> a </w:t>
      </w:r>
      <w:proofErr w:type="spellStart"/>
      <w:r w:rsidRPr="00C56257">
        <w:rPr>
          <w:color w:val="000000" w:themeColor="text1"/>
          <w:sz w:val="24"/>
          <w:szCs w:val="24"/>
          <w:lang w:val="fr-FR"/>
        </w:rPr>
        <w:t>aduce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tipul</w:t>
      </w:r>
      <w:proofErr w:type="spellEnd"/>
      <w:r w:rsidRPr="00C56257">
        <w:rPr>
          <w:color w:val="000000" w:themeColor="text1"/>
          <w:sz w:val="24"/>
          <w:szCs w:val="24"/>
          <w:lang w:val="fr-FR"/>
        </w:rPr>
        <w:t xml:space="preserve"> de habitat </w:t>
      </w:r>
      <w:proofErr w:type="spellStart"/>
      <w:r w:rsidRPr="00C56257">
        <w:rPr>
          <w:color w:val="000000" w:themeColor="text1"/>
          <w:sz w:val="24"/>
          <w:szCs w:val="24"/>
          <w:lang w:val="fr-FR"/>
        </w:rPr>
        <w:t>sau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specia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stare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favorabilă</w:t>
      </w:r>
      <w:proofErr w:type="spellEnd"/>
      <w:r w:rsidRPr="00C56257">
        <w:rPr>
          <w:color w:val="000000" w:themeColor="text1"/>
          <w:sz w:val="24"/>
          <w:szCs w:val="24"/>
          <w:lang w:val="fr-FR"/>
        </w:rPr>
        <w:t>, dar nu</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există</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nici</w:t>
      </w:r>
      <w:proofErr w:type="spellEnd"/>
      <w:r w:rsidRPr="00C56257">
        <w:rPr>
          <w:color w:val="000000" w:themeColor="text1"/>
          <w:sz w:val="24"/>
          <w:szCs w:val="24"/>
          <w:lang w:val="fr-FR"/>
        </w:rPr>
        <w:t xml:space="preserve"> un </w:t>
      </w:r>
      <w:proofErr w:type="spellStart"/>
      <w:r w:rsidRPr="00C56257">
        <w:rPr>
          <w:color w:val="000000" w:themeColor="text1"/>
          <w:sz w:val="24"/>
          <w:szCs w:val="24"/>
          <w:lang w:val="fr-FR"/>
        </w:rPr>
        <w:t>pericol</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dispariţie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viitorul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previzibil</w:t>
      </w:r>
      <w:proofErr w:type="spellEnd"/>
      <w:r w:rsidRPr="00C56257">
        <w:rPr>
          <w:color w:val="000000" w:themeColor="text1"/>
          <w:sz w:val="24"/>
          <w:szCs w:val="24"/>
          <w:lang w:val="fr-FR"/>
        </w:rPr>
        <w:t xml:space="preserve"> (ex: 50-100</w:t>
      </w:r>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ani</w:t>
      </w:r>
      <w:proofErr w:type="spellEnd"/>
      <w:r w:rsidRPr="00C56257">
        <w:rPr>
          <w:color w:val="000000" w:themeColor="text1"/>
          <w:sz w:val="24"/>
          <w:szCs w:val="24"/>
          <w:lang w:val="fr-FR"/>
        </w:rPr>
        <w:t>);</w:t>
      </w:r>
    </w:p>
    <w:p w14:paraId="5ED4D60C" w14:textId="77777777" w:rsidR="008572F7" w:rsidRPr="00C56257" w:rsidRDefault="008572F7" w:rsidP="009E63E5">
      <w:pPr>
        <w:pStyle w:val="BodyText"/>
        <w:numPr>
          <w:ilvl w:val="0"/>
          <w:numId w:val="183"/>
        </w:numPr>
        <w:ind w:right="261"/>
        <w:jc w:val="both"/>
        <w:rPr>
          <w:color w:val="000000" w:themeColor="text1"/>
          <w:sz w:val="24"/>
          <w:szCs w:val="24"/>
          <w:lang w:val="fr-FR"/>
        </w:rPr>
      </w:pPr>
      <w:r w:rsidRPr="00C56257">
        <w:rPr>
          <w:color w:val="000000" w:themeColor="text1"/>
          <w:sz w:val="24"/>
          <w:szCs w:val="24"/>
          <w:lang w:val="fr-FR"/>
        </w:rPr>
        <w:t>„</w:t>
      </w:r>
      <w:proofErr w:type="spellStart"/>
      <w:r w:rsidRPr="00C56257">
        <w:rPr>
          <w:color w:val="000000" w:themeColor="text1"/>
          <w:sz w:val="24"/>
          <w:szCs w:val="24"/>
          <w:lang w:val="fr-FR"/>
        </w:rPr>
        <w:t>nefavorabil-rău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pentru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situaţiile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care </w:t>
      </w:r>
      <w:proofErr w:type="spellStart"/>
      <w:r w:rsidRPr="00C56257">
        <w:rPr>
          <w:color w:val="000000" w:themeColor="text1"/>
          <w:sz w:val="24"/>
          <w:szCs w:val="24"/>
          <w:lang w:val="fr-FR"/>
        </w:rPr>
        <w:t>tipul</w:t>
      </w:r>
      <w:proofErr w:type="spellEnd"/>
      <w:r w:rsidRPr="00C56257">
        <w:rPr>
          <w:color w:val="000000" w:themeColor="text1"/>
          <w:sz w:val="24"/>
          <w:szCs w:val="24"/>
          <w:lang w:val="fr-FR"/>
        </w:rPr>
        <w:t xml:space="preserve"> de habitat </w:t>
      </w:r>
      <w:proofErr w:type="spellStart"/>
      <w:r w:rsidRPr="00C56257">
        <w:rPr>
          <w:color w:val="000000" w:themeColor="text1"/>
          <w:sz w:val="24"/>
          <w:szCs w:val="24"/>
          <w:lang w:val="fr-FR"/>
        </w:rPr>
        <w:t>sau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specia</w:t>
      </w:r>
      <w:proofErr w:type="spellEnd"/>
      <w:r w:rsidRPr="00C56257">
        <w:rPr>
          <w:color w:val="000000" w:themeColor="text1"/>
          <w:sz w:val="24"/>
          <w:szCs w:val="24"/>
          <w:lang w:val="fr-FR"/>
        </w:rPr>
        <w:t xml:space="preserve"> este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pericol</w:t>
      </w:r>
      <w:proofErr w:type="spellEnd"/>
      <w:r w:rsidRPr="00C56257">
        <w:rPr>
          <w:color w:val="000000" w:themeColor="text1"/>
          <w:sz w:val="24"/>
          <w:szCs w:val="24"/>
          <w:lang w:val="fr-FR"/>
        </w:rPr>
        <w:t xml:space="preserve"> de a </w:t>
      </w:r>
      <w:proofErr w:type="spellStart"/>
      <w:r w:rsidRPr="00C56257">
        <w:rPr>
          <w:color w:val="000000" w:themeColor="text1"/>
          <w:sz w:val="24"/>
          <w:szCs w:val="24"/>
          <w:lang w:val="fr-FR"/>
        </w:rPr>
        <w:t>dispare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viitorul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previzibil</w:t>
      </w:r>
      <w:proofErr w:type="spellEnd"/>
      <w:r w:rsidRPr="00C56257">
        <w:rPr>
          <w:color w:val="000000" w:themeColor="text1"/>
          <w:sz w:val="24"/>
          <w:szCs w:val="24"/>
          <w:lang w:val="fr-FR"/>
        </w:rPr>
        <w:t xml:space="preserve"> (ex: 50-100 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ani</w:t>
      </w:r>
      <w:proofErr w:type="spellEnd"/>
      <w:r w:rsidRPr="00C56257">
        <w:rPr>
          <w:color w:val="000000" w:themeColor="text1"/>
          <w:sz w:val="24"/>
          <w:szCs w:val="24"/>
          <w:lang w:val="fr-FR"/>
        </w:rPr>
        <w:t>).</w:t>
      </w:r>
    </w:p>
    <w:p w14:paraId="262461A7" w14:textId="77777777" w:rsidR="008572F7" w:rsidRPr="00C56257" w:rsidRDefault="008572F7" w:rsidP="00B538DD">
      <w:pPr>
        <w:pStyle w:val="BodyText"/>
        <w:ind w:left="0" w:right="255"/>
        <w:jc w:val="both"/>
        <w:rPr>
          <w:color w:val="000000" w:themeColor="text1"/>
          <w:sz w:val="24"/>
          <w:szCs w:val="24"/>
          <w:lang w:val="fr-FR"/>
        </w:rPr>
      </w:pPr>
      <w:proofErr w:type="spellStart"/>
      <w:r w:rsidRPr="00C56257">
        <w:rPr>
          <w:color w:val="000000" w:themeColor="text1"/>
          <w:sz w:val="24"/>
          <w:szCs w:val="24"/>
          <w:lang w:val="fr-FR"/>
        </w:rPr>
        <w:t>Pentru</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toate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situaţiile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care</w:t>
      </w:r>
      <w:r w:rsidRPr="00C56257">
        <w:rPr>
          <w:color w:val="000000" w:themeColor="text1"/>
          <w:spacing w:val="1"/>
          <w:sz w:val="24"/>
          <w:szCs w:val="24"/>
          <w:lang w:val="fr-FR"/>
        </w:rPr>
        <w:t xml:space="preserve"> </w:t>
      </w:r>
      <w:r w:rsidRPr="00C56257">
        <w:rPr>
          <w:color w:val="000000" w:themeColor="text1"/>
          <w:sz w:val="24"/>
          <w:szCs w:val="24"/>
          <w:lang w:val="fr-FR"/>
        </w:rPr>
        <w:t>nu</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există</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suficiente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informaţii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pentru</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a</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realiza</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o</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evaluare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corespunzătoare</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lastRenderedPageBreak/>
        <w:t>starea</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 xml:space="preserve"> este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considerată</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w:t>
      </w:r>
      <w:proofErr w:type="spellStart"/>
      <w:r w:rsidRPr="00C56257">
        <w:rPr>
          <w:color w:val="000000" w:themeColor="text1"/>
          <w:sz w:val="24"/>
          <w:szCs w:val="24"/>
          <w:lang w:val="fr-FR"/>
        </w:rPr>
        <w:t>necunoscută</w:t>
      </w:r>
      <w:proofErr w:type="spellEnd"/>
      <w:r w:rsidRPr="00C56257">
        <w:rPr>
          <w:color w:val="000000" w:themeColor="text1"/>
          <w:sz w:val="24"/>
          <w:szCs w:val="24"/>
          <w:lang w:val="fr-FR"/>
        </w:rPr>
        <w:t>”.</w:t>
      </w:r>
    </w:p>
    <w:p w14:paraId="5CC30E98" w14:textId="77777777" w:rsidR="008572F7" w:rsidRPr="00C56257" w:rsidRDefault="008572F7" w:rsidP="00B538DD">
      <w:pPr>
        <w:pStyle w:val="BodyText"/>
        <w:ind w:left="0" w:right="257"/>
        <w:jc w:val="both"/>
        <w:rPr>
          <w:color w:val="000000" w:themeColor="text1"/>
          <w:sz w:val="24"/>
          <w:szCs w:val="24"/>
          <w:lang w:val="fr-FR"/>
        </w:rPr>
      </w:pPr>
      <w:proofErr w:type="spellStart"/>
      <w:r w:rsidRPr="00C56257">
        <w:rPr>
          <w:color w:val="000000" w:themeColor="text1"/>
          <w:sz w:val="24"/>
          <w:szCs w:val="24"/>
          <w:lang w:val="fr-FR"/>
        </w:rPr>
        <w:t>Pentru</w:t>
      </w:r>
      <w:proofErr w:type="spellEnd"/>
      <w:r w:rsidRPr="00C56257">
        <w:rPr>
          <w:color w:val="000000" w:themeColor="text1"/>
          <w:sz w:val="24"/>
          <w:szCs w:val="24"/>
          <w:lang w:val="fr-FR"/>
        </w:rPr>
        <w:t xml:space="preserve"> o </w:t>
      </w:r>
      <w:proofErr w:type="spellStart"/>
      <w:r w:rsidRPr="00C56257">
        <w:rPr>
          <w:color w:val="000000" w:themeColor="text1"/>
          <w:sz w:val="24"/>
          <w:szCs w:val="24"/>
          <w:lang w:val="fr-FR"/>
        </w:rPr>
        <w:t>reprezentare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grafică</w:t>
      </w:r>
      <w:proofErr w:type="spellEnd"/>
      <w:r w:rsidRPr="00C56257">
        <w:rPr>
          <w:color w:val="000000" w:themeColor="text1"/>
          <w:sz w:val="24"/>
          <w:szCs w:val="24"/>
          <w:lang w:val="fr-FR"/>
        </w:rPr>
        <w:t xml:space="preserve"> a </w:t>
      </w:r>
      <w:proofErr w:type="spellStart"/>
      <w:r w:rsidRPr="00C56257">
        <w:rPr>
          <w:color w:val="000000" w:themeColor="text1"/>
          <w:sz w:val="24"/>
          <w:szCs w:val="24"/>
          <w:lang w:val="fr-FR"/>
        </w:rPr>
        <w:t>celor</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patru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stări</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 xml:space="preserve">, a </w:t>
      </w:r>
      <w:proofErr w:type="spellStart"/>
      <w:r w:rsidRPr="00C56257">
        <w:rPr>
          <w:color w:val="000000" w:themeColor="text1"/>
          <w:sz w:val="24"/>
          <w:szCs w:val="24"/>
          <w:lang w:val="fr-FR"/>
        </w:rPr>
        <w:t>fost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adoptat</w:t>
      </w:r>
      <w:proofErr w:type="spellEnd"/>
      <w:r w:rsidRPr="00C56257">
        <w:rPr>
          <w:color w:val="000000" w:themeColor="text1"/>
          <w:sz w:val="24"/>
          <w:szCs w:val="24"/>
          <w:lang w:val="fr-FR"/>
        </w:rPr>
        <w:t xml:space="preserve"> un </w:t>
      </w:r>
      <w:proofErr w:type="spellStart"/>
      <w:r w:rsidRPr="00C56257">
        <w:rPr>
          <w:color w:val="000000" w:themeColor="text1"/>
          <w:sz w:val="24"/>
          <w:szCs w:val="24"/>
          <w:lang w:val="fr-FR"/>
        </w:rPr>
        <w:t>sistem</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codificare</w:t>
      </w:r>
      <w:proofErr w:type="spellEnd"/>
      <w:r w:rsidRPr="00C56257">
        <w:rPr>
          <w:color w:val="000000" w:themeColor="text1"/>
          <w:spacing w:val="-57"/>
          <w:sz w:val="24"/>
          <w:szCs w:val="24"/>
          <w:lang w:val="fr-FR"/>
        </w:rPr>
        <w:t xml:space="preserve"> </w:t>
      </w:r>
      <w:proofErr w:type="spellStart"/>
      <w:r w:rsidRPr="00C56257">
        <w:rPr>
          <w:color w:val="000000" w:themeColor="text1"/>
          <w:sz w:val="24"/>
          <w:szCs w:val="24"/>
          <w:lang w:val="fr-FR"/>
        </w:rPr>
        <w:t>pe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culori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prin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intermediul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îndrumarului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Comisiei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Europene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Evaluarea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raportarea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conformitate</w:t>
      </w:r>
      <w:proofErr w:type="spellEnd"/>
      <w:r w:rsidRPr="00C56257">
        <w:rPr>
          <w:color w:val="000000" w:themeColor="text1"/>
          <w:spacing w:val="-57"/>
          <w:sz w:val="24"/>
          <w:szCs w:val="24"/>
          <w:lang w:val="fr-FR"/>
        </w:rPr>
        <w:t xml:space="preserve"> </w:t>
      </w:r>
      <w:r w:rsidR="00064C1F">
        <w:rPr>
          <w:color w:val="000000" w:themeColor="text1"/>
          <w:spacing w:val="-57"/>
          <w:sz w:val="24"/>
          <w:szCs w:val="24"/>
          <w:lang w:val="fr-FR"/>
        </w:rPr>
        <w:t xml:space="preserve">   </w:t>
      </w:r>
      <w:r w:rsidRPr="00C56257">
        <w:rPr>
          <w:color w:val="000000" w:themeColor="text1"/>
          <w:spacing w:val="-1"/>
          <w:sz w:val="24"/>
          <w:szCs w:val="24"/>
          <w:lang w:val="fr-FR"/>
        </w:rPr>
        <w:t xml:space="preserve"> </w:t>
      </w:r>
      <w:proofErr w:type="spellStart"/>
      <w:r w:rsidR="00064C1F">
        <w:rPr>
          <w:color w:val="000000" w:themeColor="text1"/>
          <w:spacing w:val="-1"/>
          <w:sz w:val="24"/>
          <w:szCs w:val="24"/>
          <w:lang w:val="fr-FR"/>
        </w:rPr>
        <w:t>cu</w:t>
      </w:r>
      <w:proofErr w:type="spellEnd"/>
      <w:r w:rsidR="00064C1F">
        <w:rPr>
          <w:color w:val="000000" w:themeColor="text1"/>
          <w:spacing w:val="-1"/>
          <w:sz w:val="24"/>
          <w:szCs w:val="24"/>
          <w:lang w:val="fr-FR"/>
        </w:rPr>
        <w:t xml:space="preserve"> </w:t>
      </w:r>
      <w:proofErr w:type="spellStart"/>
      <w:r w:rsidRPr="00C56257">
        <w:rPr>
          <w:color w:val="000000" w:themeColor="text1"/>
          <w:sz w:val="24"/>
          <w:szCs w:val="24"/>
          <w:lang w:val="fr-FR"/>
        </w:rPr>
        <w:t>Articolul</w:t>
      </w:r>
      <w:proofErr w:type="spellEnd"/>
      <w:r w:rsidRPr="00C56257">
        <w:rPr>
          <w:color w:val="000000" w:themeColor="text1"/>
          <w:sz w:val="24"/>
          <w:szCs w:val="24"/>
          <w:lang w:val="fr-FR"/>
        </w:rPr>
        <w:t xml:space="preserve"> 17</w:t>
      </w:r>
      <w:r w:rsidRPr="00C56257">
        <w:rPr>
          <w:color w:val="000000" w:themeColor="text1"/>
          <w:spacing w:val="-1"/>
          <w:sz w:val="24"/>
          <w:szCs w:val="24"/>
          <w:lang w:val="fr-FR"/>
        </w:rPr>
        <w:t xml:space="preserve"> </w:t>
      </w:r>
      <w:r w:rsidRPr="00C56257">
        <w:rPr>
          <w:color w:val="000000" w:themeColor="text1"/>
          <w:sz w:val="24"/>
          <w:szCs w:val="24"/>
          <w:lang w:val="fr-FR"/>
        </w:rPr>
        <w:t xml:space="preserve">al </w:t>
      </w:r>
      <w:proofErr w:type="spellStart"/>
      <w:r w:rsidRPr="00C56257">
        <w:rPr>
          <w:color w:val="000000" w:themeColor="text1"/>
          <w:sz w:val="24"/>
          <w:szCs w:val="24"/>
          <w:lang w:val="fr-FR"/>
        </w:rPr>
        <w:t>Directivei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Habitate</w:t>
      </w:r>
      <w:proofErr w:type="spellEnd"/>
      <w:r w:rsidRPr="00C56257">
        <w:rPr>
          <w:color w:val="000000" w:themeColor="text1"/>
          <w:sz w:val="24"/>
          <w:szCs w:val="24"/>
          <w:lang w:val="fr-FR"/>
        </w:rPr>
        <w:t>: Formate 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raportare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pentru</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Perioada</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2012)</w:t>
      </w:r>
      <w:r w:rsidRPr="00C56257">
        <w:rPr>
          <w:color w:val="000000" w:themeColor="text1"/>
          <w:spacing w:val="58"/>
          <w:sz w:val="24"/>
          <w:szCs w:val="24"/>
          <w:lang w:val="fr-FR"/>
        </w:rPr>
        <w:t xml:space="preserve"> </w:t>
      </w:r>
      <w:r w:rsidRPr="00C56257">
        <w:rPr>
          <w:color w:val="000000" w:themeColor="text1"/>
          <w:sz w:val="24"/>
          <w:szCs w:val="24"/>
          <w:lang w:val="fr-FR"/>
        </w:rPr>
        <w:t>:</w:t>
      </w:r>
    </w:p>
    <w:p w14:paraId="4213CFA2" w14:textId="77777777" w:rsidR="008572F7" w:rsidRPr="00C56257" w:rsidRDefault="008572F7" w:rsidP="009E63E5">
      <w:pPr>
        <w:pStyle w:val="BodyText"/>
        <w:numPr>
          <w:ilvl w:val="0"/>
          <w:numId w:val="184"/>
        </w:numPr>
        <w:spacing w:line="274" w:lineRule="exact"/>
        <w:jc w:val="both"/>
        <w:rPr>
          <w:color w:val="000000" w:themeColor="text1"/>
          <w:sz w:val="24"/>
          <w:szCs w:val="24"/>
          <w:lang w:val="fr-FR"/>
        </w:rPr>
      </w:pPr>
      <w:proofErr w:type="spellStart"/>
      <w:r w:rsidRPr="00C56257">
        <w:rPr>
          <w:color w:val="000000" w:themeColor="text1"/>
          <w:sz w:val="24"/>
          <w:szCs w:val="24"/>
          <w:lang w:val="fr-FR"/>
        </w:rPr>
        <w:t>roşu</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pentru</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w:t>
      </w:r>
      <w:proofErr w:type="spellStart"/>
      <w:r w:rsidRPr="00C56257">
        <w:rPr>
          <w:color w:val="000000" w:themeColor="text1"/>
          <w:sz w:val="24"/>
          <w:szCs w:val="24"/>
          <w:lang w:val="fr-FR"/>
        </w:rPr>
        <w:t>nefavorabil-rău</w:t>
      </w:r>
      <w:proofErr w:type="spellEnd"/>
      <w:r w:rsidRPr="00C56257">
        <w:rPr>
          <w:color w:val="000000" w:themeColor="text1"/>
          <w:sz w:val="24"/>
          <w:szCs w:val="24"/>
          <w:lang w:val="fr-FR"/>
        </w:rPr>
        <w:t>”;</w:t>
      </w:r>
    </w:p>
    <w:p w14:paraId="0D1161B5" w14:textId="77777777" w:rsidR="008572F7" w:rsidRPr="00C56257" w:rsidRDefault="008572F7" w:rsidP="009E63E5">
      <w:pPr>
        <w:pStyle w:val="BodyText"/>
        <w:numPr>
          <w:ilvl w:val="0"/>
          <w:numId w:val="182"/>
        </w:numPr>
        <w:jc w:val="both"/>
        <w:rPr>
          <w:color w:val="000000" w:themeColor="text1"/>
          <w:sz w:val="24"/>
          <w:szCs w:val="24"/>
          <w:lang w:val="fr-FR"/>
        </w:rPr>
      </w:pPr>
      <w:proofErr w:type="spellStart"/>
      <w:r w:rsidRPr="00C56257">
        <w:rPr>
          <w:color w:val="000000" w:themeColor="text1"/>
          <w:sz w:val="24"/>
          <w:szCs w:val="24"/>
          <w:lang w:val="fr-FR"/>
        </w:rPr>
        <w:t>portocaliu</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pentru</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w:t>
      </w:r>
      <w:proofErr w:type="spellStart"/>
      <w:r w:rsidRPr="00C56257">
        <w:rPr>
          <w:color w:val="000000" w:themeColor="text1"/>
          <w:sz w:val="24"/>
          <w:szCs w:val="24"/>
          <w:lang w:val="fr-FR"/>
        </w:rPr>
        <w:t>nefavorabil-inadecvat</w:t>
      </w:r>
      <w:proofErr w:type="spellEnd"/>
      <w:r w:rsidRPr="00C56257">
        <w:rPr>
          <w:color w:val="000000" w:themeColor="text1"/>
          <w:sz w:val="24"/>
          <w:szCs w:val="24"/>
          <w:lang w:val="fr-FR"/>
        </w:rPr>
        <w:t>”;</w:t>
      </w:r>
    </w:p>
    <w:p w14:paraId="6EDE06C9" w14:textId="77777777" w:rsidR="008572F7" w:rsidRPr="00C56257" w:rsidRDefault="008572F7" w:rsidP="009E63E5">
      <w:pPr>
        <w:pStyle w:val="ListParagraph"/>
        <w:widowControl w:val="0"/>
        <w:numPr>
          <w:ilvl w:val="0"/>
          <w:numId w:val="182"/>
        </w:numPr>
        <w:tabs>
          <w:tab w:val="left" w:pos="1734"/>
        </w:tabs>
        <w:autoSpaceDE w:val="0"/>
        <w:autoSpaceDN w:val="0"/>
        <w:jc w:val="both"/>
        <w:rPr>
          <w:rFonts w:ascii="Times New Roman" w:hAnsi="Times New Roman" w:cs="Times New Roman"/>
          <w:color w:val="000000" w:themeColor="text1"/>
          <w:sz w:val="24"/>
          <w:szCs w:val="24"/>
        </w:rPr>
      </w:pPr>
      <w:proofErr w:type="spellStart"/>
      <w:r w:rsidRPr="00C56257">
        <w:rPr>
          <w:rFonts w:ascii="Times New Roman" w:hAnsi="Times New Roman" w:cs="Times New Roman"/>
          <w:color w:val="000000" w:themeColor="text1"/>
          <w:sz w:val="24"/>
          <w:szCs w:val="24"/>
        </w:rPr>
        <w:t>verde</w:t>
      </w:r>
      <w:proofErr w:type="spellEnd"/>
      <w:r w:rsidRPr="00C56257">
        <w:rPr>
          <w:rFonts w:ascii="Times New Roman" w:hAnsi="Times New Roman" w:cs="Times New Roman"/>
          <w:color w:val="000000" w:themeColor="text1"/>
          <w:spacing w:val="-4"/>
          <w:sz w:val="24"/>
          <w:szCs w:val="24"/>
        </w:rPr>
        <w:t xml:space="preserve"> </w:t>
      </w:r>
      <w:proofErr w:type="spellStart"/>
      <w:r w:rsidRPr="00C56257">
        <w:rPr>
          <w:rFonts w:ascii="Times New Roman" w:hAnsi="Times New Roman" w:cs="Times New Roman"/>
          <w:color w:val="000000" w:themeColor="text1"/>
          <w:sz w:val="24"/>
          <w:szCs w:val="24"/>
        </w:rPr>
        <w:t>pentru</w:t>
      </w:r>
      <w:proofErr w:type="spellEnd"/>
      <w:r w:rsidRPr="00C56257">
        <w:rPr>
          <w:rFonts w:ascii="Times New Roman" w:hAnsi="Times New Roman" w:cs="Times New Roman"/>
          <w:color w:val="000000" w:themeColor="text1"/>
          <w:spacing w:val="-1"/>
          <w:sz w:val="24"/>
          <w:szCs w:val="24"/>
        </w:rPr>
        <w:t xml:space="preserve"> </w:t>
      </w:r>
      <w:r w:rsidRPr="00C56257">
        <w:rPr>
          <w:rFonts w:ascii="Times New Roman" w:hAnsi="Times New Roman" w:cs="Times New Roman"/>
          <w:color w:val="000000" w:themeColor="text1"/>
          <w:sz w:val="24"/>
          <w:szCs w:val="24"/>
        </w:rPr>
        <w:t>„</w:t>
      </w:r>
      <w:proofErr w:type="spellStart"/>
      <w:r w:rsidRPr="00C56257">
        <w:rPr>
          <w:rFonts w:ascii="Times New Roman" w:hAnsi="Times New Roman" w:cs="Times New Roman"/>
          <w:color w:val="000000" w:themeColor="text1"/>
          <w:sz w:val="24"/>
          <w:szCs w:val="24"/>
        </w:rPr>
        <w:t>favorabil</w:t>
      </w:r>
      <w:proofErr w:type="spellEnd"/>
      <w:r w:rsidRPr="00C56257">
        <w:rPr>
          <w:rFonts w:ascii="Times New Roman" w:hAnsi="Times New Roman" w:cs="Times New Roman"/>
          <w:color w:val="000000" w:themeColor="text1"/>
          <w:sz w:val="24"/>
          <w:szCs w:val="24"/>
        </w:rPr>
        <w:t>”;</w:t>
      </w:r>
    </w:p>
    <w:p w14:paraId="56B74966" w14:textId="77777777" w:rsidR="008572F7" w:rsidRPr="00C56257" w:rsidRDefault="008572F7" w:rsidP="009E63E5">
      <w:pPr>
        <w:pStyle w:val="ListParagraph"/>
        <w:widowControl w:val="0"/>
        <w:numPr>
          <w:ilvl w:val="0"/>
          <w:numId w:val="182"/>
        </w:numPr>
        <w:tabs>
          <w:tab w:val="left" w:pos="1734"/>
        </w:tabs>
        <w:autoSpaceDE w:val="0"/>
        <w:autoSpaceDN w:val="0"/>
        <w:jc w:val="both"/>
        <w:rPr>
          <w:rFonts w:ascii="Times New Roman" w:hAnsi="Times New Roman" w:cs="Times New Roman"/>
          <w:color w:val="000000" w:themeColor="text1"/>
          <w:sz w:val="24"/>
          <w:szCs w:val="24"/>
        </w:rPr>
      </w:pPr>
      <w:proofErr w:type="spellStart"/>
      <w:r w:rsidRPr="00C56257">
        <w:rPr>
          <w:rFonts w:ascii="Times New Roman" w:hAnsi="Times New Roman" w:cs="Times New Roman"/>
          <w:color w:val="000000" w:themeColor="text1"/>
          <w:sz w:val="24"/>
          <w:szCs w:val="24"/>
        </w:rPr>
        <w:t>gri</w:t>
      </w:r>
      <w:proofErr w:type="spellEnd"/>
      <w:r w:rsidRPr="00C56257">
        <w:rPr>
          <w:rFonts w:ascii="Times New Roman" w:hAnsi="Times New Roman" w:cs="Times New Roman"/>
          <w:color w:val="000000" w:themeColor="text1"/>
          <w:spacing w:val="-2"/>
          <w:sz w:val="24"/>
          <w:szCs w:val="24"/>
        </w:rPr>
        <w:t xml:space="preserve"> </w:t>
      </w:r>
      <w:proofErr w:type="spellStart"/>
      <w:r w:rsidRPr="00C56257">
        <w:rPr>
          <w:rFonts w:ascii="Times New Roman" w:hAnsi="Times New Roman" w:cs="Times New Roman"/>
          <w:color w:val="000000" w:themeColor="text1"/>
          <w:sz w:val="24"/>
          <w:szCs w:val="24"/>
        </w:rPr>
        <w:t>pentru</w:t>
      </w:r>
      <w:proofErr w:type="spellEnd"/>
      <w:r w:rsidRPr="00C56257">
        <w:rPr>
          <w:rFonts w:ascii="Times New Roman" w:hAnsi="Times New Roman" w:cs="Times New Roman"/>
          <w:color w:val="000000" w:themeColor="text1"/>
          <w:spacing w:val="-2"/>
          <w:sz w:val="24"/>
          <w:szCs w:val="24"/>
        </w:rPr>
        <w:t xml:space="preserve"> </w:t>
      </w:r>
      <w:r w:rsidRPr="00C56257">
        <w:rPr>
          <w:rFonts w:ascii="Times New Roman" w:hAnsi="Times New Roman" w:cs="Times New Roman"/>
          <w:color w:val="000000" w:themeColor="text1"/>
          <w:sz w:val="24"/>
          <w:szCs w:val="24"/>
        </w:rPr>
        <w:t>„</w:t>
      </w:r>
      <w:proofErr w:type="spellStart"/>
      <w:r w:rsidRPr="00C56257">
        <w:rPr>
          <w:rFonts w:ascii="Times New Roman" w:hAnsi="Times New Roman" w:cs="Times New Roman"/>
          <w:color w:val="000000" w:themeColor="text1"/>
          <w:sz w:val="24"/>
          <w:szCs w:val="24"/>
        </w:rPr>
        <w:t>necunoscut</w:t>
      </w:r>
      <w:proofErr w:type="spellEnd"/>
      <w:r w:rsidRPr="00C56257">
        <w:rPr>
          <w:rFonts w:ascii="Times New Roman" w:hAnsi="Times New Roman" w:cs="Times New Roman"/>
          <w:color w:val="000000" w:themeColor="text1"/>
          <w:sz w:val="24"/>
          <w:szCs w:val="24"/>
        </w:rPr>
        <w:t>”.</w:t>
      </w:r>
    </w:p>
    <w:p w14:paraId="5087BBF9" w14:textId="77777777" w:rsidR="008572F7" w:rsidRPr="00C56257" w:rsidRDefault="008572F7" w:rsidP="00B538DD">
      <w:pPr>
        <w:pStyle w:val="BodyText"/>
        <w:spacing w:before="40"/>
        <w:ind w:left="0" w:right="250"/>
        <w:jc w:val="both"/>
        <w:rPr>
          <w:color w:val="000000" w:themeColor="text1"/>
          <w:sz w:val="24"/>
          <w:szCs w:val="24"/>
        </w:rPr>
      </w:pPr>
      <w:proofErr w:type="spellStart"/>
      <w:r w:rsidRPr="00C56257">
        <w:rPr>
          <w:color w:val="000000" w:themeColor="text1"/>
          <w:sz w:val="24"/>
          <w:szCs w:val="24"/>
        </w:rPr>
        <w:t>Având</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vedere</w:t>
      </w:r>
      <w:proofErr w:type="spellEnd"/>
      <w:r w:rsidRPr="00C56257">
        <w:rPr>
          <w:color w:val="000000" w:themeColor="text1"/>
          <w:sz w:val="24"/>
          <w:szCs w:val="24"/>
        </w:rPr>
        <w:t xml:space="preserve"> </w:t>
      </w:r>
      <w:proofErr w:type="spellStart"/>
      <w:r w:rsidRPr="00C56257">
        <w:rPr>
          <w:color w:val="000000" w:themeColor="text1"/>
          <w:sz w:val="24"/>
          <w:szCs w:val="24"/>
        </w:rPr>
        <w:t>că</w:t>
      </w:r>
      <w:proofErr w:type="spellEnd"/>
      <w:r w:rsidRPr="00C56257">
        <w:rPr>
          <w:color w:val="000000" w:themeColor="text1"/>
          <w:sz w:val="24"/>
          <w:szCs w:val="24"/>
        </w:rPr>
        <w:t xml:space="preserve"> </w:t>
      </w:r>
      <w:proofErr w:type="spellStart"/>
      <w:r w:rsidRPr="00C56257">
        <w:rPr>
          <w:color w:val="000000" w:themeColor="text1"/>
          <w:sz w:val="24"/>
          <w:szCs w:val="24"/>
        </w:rPr>
        <w:t>sp</w:t>
      </w:r>
      <w:r w:rsidR="00064C1F">
        <w:rPr>
          <w:color w:val="000000" w:themeColor="text1"/>
          <w:sz w:val="24"/>
          <w:szCs w:val="24"/>
        </w:rPr>
        <w:t>eciile</w:t>
      </w:r>
      <w:proofErr w:type="spellEnd"/>
      <w:r w:rsidR="00064C1F">
        <w:rPr>
          <w:color w:val="000000" w:themeColor="text1"/>
          <w:sz w:val="24"/>
          <w:szCs w:val="24"/>
        </w:rPr>
        <w:t xml:space="preserve"> </w:t>
      </w:r>
      <w:proofErr w:type="spellStart"/>
      <w:r w:rsidR="00064C1F">
        <w:rPr>
          <w:color w:val="000000" w:themeColor="text1"/>
          <w:sz w:val="24"/>
          <w:szCs w:val="24"/>
        </w:rPr>
        <w:t>şi</w:t>
      </w:r>
      <w:proofErr w:type="spellEnd"/>
      <w:r w:rsidR="00064C1F">
        <w:rPr>
          <w:color w:val="000000" w:themeColor="text1"/>
          <w:sz w:val="24"/>
          <w:szCs w:val="24"/>
        </w:rPr>
        <w:t xml:space="preserve"> </w:t>
      </w:r>
      <w:proofErr w:type="spellStart"/>
      <w:r w:rsidR="00064C1F">
        <w:rPr>
          <w:color w:val="000000" w:themeColor="text1"/>
          <w:sz w:val="24"/>
          <w:szCs w:val="24"/>
        </w:rPr>
        <w:t>tipurile</w:t>
      </w:r>
      <w:proofErr w:type="spellEnd"/>
      <w:r w:rsidR="00064C1F">
        <w:rPr>
          <w:color w:val="000000" w:themeColor="text1"/>
          <w:sz w:val="24"/>
          <w:szCs w:val="24"/>
        </w:rPr>
        <w:t xml:space="preserve"> de </w:t>
      </w:r>
      <w:proofErr w:type="spellStart"/>
      <w:r w:rsidR="00064C1F">
        <w:rPr>
          <w:color w:val="000000" w:themeColor="text1"/>
          <w:sz w:val="24"/>
          <w:szCs w:val="24"/>
        </w:rPr>
        <w:t>habitate</w:t>
      </w:r>
      <w:proofErr w:type="spellEnd"/>
      <w:r w:rsidRPr="00C56257">
        <w:rPr>
          <w:color w:val="000000" w:themeColor="text1"/>
          <w:spacing w:val="60"/>
          <w:sz w:val="24"/>
          <w:szCs w:val="24"/>
        </w:rPr>
        <w:t xml:space="preserve"> </w:t>
      </w:r>
      <w:r w:rsidRPr="00C56257">
        <w:rPr>
          <w:color w:val="000000" w:themeColor="text1"/>
          <w:sz w:val="24"/>
          <w:szCs w:val="24"/>
        </w:rPr>
        <w:t xml:space="preserve">de </w:t>
      </w:r>
      <w:proofErr w:type="spellStart"/>
      <w:r w:rsidRPr="00C56257">
        <w:rPr>
          <w:color w:val="000000" w:themeColor="text1"/>
          <w:sz w:val="24"/>
          <w:szCs w:val="24"/>
        </w:rPr>
        <w:t>importanţă</w:t>
      </w:r>
      <w:proofErr w:type="spellEnd"/>
      <w:r w:rsidRPr="00C56257">
        <w:rPr>
          <w:color w:val="000000" w:themeColor="text1"/>
          <w:sz w:val="24"/>
          <w:szCs w:val="24"/>
        </w:rPr>
        <w:t xml:space="preserve"> </w:t>
      </w:r>
      <w:proofErr w:type="spellStart"/>
      <w:r w:rsidRPr="00C56257">
        <w:rPr>
          <w:color w:val="000000" w:themeColor="text1"/>
          <w:sz w:val="24"/>
          <w:szCs w:val="24"/>
        </w:rPr>
        <w:t>comunitară</w:t>
      </w:r>
      <w:proofErr w:type="spellEnd"/>
      <w:r w:rsidRPr="00C56257">
        <w:rPr>
          <w:color w:val="000000" w:themeColor="text1"/>
          <w:sz w:val="24"/>
          <w:szCs w:val="24"/>
        </w:rPr>
        <w:t xml:space="preserve"> au </w:t>
      </w:r>
      <w:proofErr w:type="spellStart"/>
      <w:r w:rsidRPr="00C56257">
        <w:rPr>
          <w:color w:val="000000" w:themeColor="text1"/>
          <w:sz w:val="24"/>
          <w:szCs w:val="24"/>
        </w:rPr>
        <w:t>fost</w:t>
      </w:r>
      <w:proofErr w:type="spellEnd"/>
      <w:r w:rsidRPr="00C56257">
        <w:rPr>
          <w:color w:val="000000" w:themeColor="text1"/>
          <w:sz w:val="24"/>
          <w:szCs w:val="24"/>
        </w:rPr>
        <w:t xml:space="preserve"> </w:t>
      </w:r>
      <w:proofErr w:type="spellStart"/>
      <w:r w:rsidRPr="00C56257">
        <w:rPr>
          <w:color w:val="000000" w:themeColor="text1"/>
          <w:sz w:val="24"/>
          <w:szCs w:val="24"/>
        </w:rPr>
        <w:t>listate</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pacing w:val="1"/>
          <w:sz w:val="24"/>
          <w:szCs w:val="24"/>
        </w:rPr>
        <w:t xml:space="preserve"> </w:t>
      </w:r>
      <w:proofErr w:type="spellStart"/>
      <w:r w:rsidRPr="00C56257">
        <w:rPr>
          <w:color w:val="000000" w:themeColor="text1"/>
          <w:sz w:val="24"/>
          <w:szCs w:val="24"/>
        </w:rPr>
        <w:t>cadrul</w:t>
      </w:r>
      <w:proofErr w:type="spellEnd"/>
      <w:r w:rsidRPr="00C56257">
        <w:rPr>
          <w:color w:val="000000" w:themeColor="text1"/>
          <w:sz w:val="24"/>
          <w:szCs w:val="24"/>
        </w:rPr>
        <w:t xml:space="preserve"> </w:t>
      </w:r>
      <w:proofErr w:type="spellStart"/>
      <w:r w:rsidRPr="00C56257">
        <w:rPr>
          <w:color w:val="000000" w:themeColor="text1"/>
          <w:sz w:val="24"/>
          <w:szCs w:val="24"/>
        </w:rPr>
        <w:t>anexelor</w:t>
      </w:r>
      <w:proofErr w:type="spellEnd"/>
      <w:r w:rsidRPr="00C56257">
        <w:rPr>
          <w:color w:val="000000" w:themeColor="text1"/>
          <w:sz w:val="24"/>
          <w:szCs w:val="24"/>
        </w:rPr>
        <w:t xml:space="preserve"> </w:t>
      </w:r>
      <w:proofErr w:type="spellStart"/>
      <w:r w:rsidRPr="00C56257">
        <w:rPr>
          <w:color w:val="000000" w:themeColor="text1"/>
          <w:sz w:val="24"/>
          <w:szCs w:val="24"/>
        </w:rPr>
        <w:t>Directivei</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urma</w:t>
      </w:r>
      <w:proofErr w:type="spellEnd"/>
      <w:r w:rsidRPr="00C56257">
        <w:rPr>
          <w:color w:val="000000" w:themeColor="text1"/>
          <w:sz w:val="24"/>
          <w:szCs w:val="24"/>
        </w:rPr>
        <w:t xml:space="preserve"> </w:t>
      </w:r>
      <w:proofErr w:type="spellStart"/>
      <w:r w:rsidRPr="00C56257">
        <w:rPr>
          <w:color w:val="000000" w:themeColor="text1"/>
          <w:sz w:val="24"/>
          <w:szCs w:val="24"/>
        </w:rPr>
        <w:t>unor</w:t>
      </w:r>
      <w:proofErr w:type="spellEnd"/>
      <w:r w:rsidRPr="00C56257">
        <w:rPr>
          <w:color w:val="000000" w:themeColor="text1"/>
          <w:sz w:val="24"/>
          <w:szCs w:val="24"/>
        </w:rPr>
        <w:t xml:space="preserve"> </w:t>
      </w:r>
      <w:proofErr w:type="spellStart"/>
      <w:r w:rsidRPr="00C56257">
        <w:rPr>
          <w:color w:val="000000" w:themeColor="text1"/>
          <w:sz w:val="24"/>
          <w:szCs w:val="24"/>
        </w:rPr>
        <w:t>studii</w:t>
      </w:r>
      <w:proofErr w:type="spellEnd"/>
      <w:r w:rsidRPr="00C56257">
        <w:rPr>
          <w:color w:val="000000" w:themeColor="text1"/>
          <w:sz w:val="24"/>
          <w:szCs w:val="24"/>
        </w:rPr>
        <w:t xml:space="preserve"> </w:t>
      </w:r>
      <w:proofErr w:type="spellStart"/>
      <w:r w:rsidRPr="00C56257">
        <w:rPr>
          <w:color w:val="000000" w:themeColor="text1"/>
          <w:sz w:val="24"/>
          <w:szCs w:val="24"/>
        </w:rPr>
        <w:t>și</w:t>
      </w:r>
      <w:proofErr w:type="spellEnd"/>
      <w:r w:rsidRPr="00C56257">
        <w:rPr>
          <w:color w:val="000000" w:themeColor="text1"/>
          <w:sz w:val="24"/>
          <w:szCs w:val="24"/>
        </w:rPr>
        <w:t xml:space="preserve"> </w:t>
      </w:r>
      <w:proofErr w:type="spellStart"/>
      <w:r w:rsidRPr="00C56257">
        <w:rPr>
          <w:color w:val="000000" w:themeColor="text1"/>
          <w:sz w:val="24"/>
          <w:szCs w:val="24"/>
        </w:rPr>
        <w:t>aprecieri</w:t>
      </w:r>
      <w:proofErr w:type="spellEnd"/>
      <w:r w:rsidRPr="00C56257">
        <w:rPr>
          <w:color w:val="000000" w:themeColor="text1"/>
          <w:sz w:val="24"/>
          <w:szCs w:val="24"/>
        </w:rPr>
        <w:t xml:space="preserve"> </w:t>
      </w:r>
      <w:proofErr w:type="spellStart"/>
      <w:r w:rsidRPr="00C56257">
        <w:rPr>
          <w:color w:val="000000" w:themeColor="text1"/>
          <w:sz w:val="24"/>
          <w:szCs w:val="24"/>
        </w:rPr>
        <w:t>prin</w:t>
      </w:r>
      <w:proofErr w:type="spellEnd"/>
      <w:r w:rsidRPr="00C56257">
        <w:rPr>
          <w:color w:val="000000" w:themeColor="text1"/>
          <w:sz w:val="24"/>
          <w:szCs w:val="24"/>
        </w:rPr>
        <w:t xml:space="preserve"> care s-a </w:t>
      </w:r>
      <w:proofErr w:type="spellStart"/>
      <w:r w:rsidRPr="00C56257">
        <w:rPr>
          <w:color w:val="000000" w:themeColor="text1"/>
          <w:sz w:val="24"/>
          <w:szCs w:val="24"/>
        </w:rPr>
        <w:t>constatat</w:t>
      </w:r>
      <w:proofErr w:type="spellEnd"/>
      <w:r w:rsidRPr="00C56257">
        <w:rPr>
          <w:color w:val="000000" w:themeColor="text1"/>
          <w:sz w:val="24"/>
          <w:szCs w:val="24"/>
        </w:rPr>
        <w:t xml:space="preserve"> </w:t>
      </w:r>
      <w:proofErr w:type="spellStart"/>
      <w:r w:rsidRPr="00C56257">
        <w:rPr>
          <w:color w:val="000000" w:themeColor="text1"/>
          <w:sz w:val="24"/>
          <w:szCs w:val="24"/>
        </w:rPr>
        <w:t>că</w:t>
      </w:r>
      <w:proofErr w:type="spellEnd"/>
      <w:r w:rsidRPr="00C56257">
        <w:rPr>
          <w:color w:val="000000" w:themeColor="text1"/>
          <w:sz w:val="24"/>
          <w:szCs w:val="24"/>
        </w:rPr>
        <w:t xml:space="preserve"> sunt </w:t>
      </w:r>
      <w:proofErr w:type="spellStart"/>
      <w:r w:rsidRPr="00C56257">
        <w:rPr>
          <w:color w:val="000000" w:themeColor="text1"/>
          <w:sz w:val="24"/>
          <w:szCs w:val="24"/>
        </w:rPr>
        <w:t>ameninţate</w:t>
      </w:r>
      <w:proofErr w:type="spellEnd"/>
      <w:r w:rsidRPr="00C56257">
        <w:rPr>
          <w:color w:val="000000" w:themeColor="text1"/>
          <w:sz w:val="24"/>
          <w:szCs w:val="24"/>
        </w:rPr>
        <w:t>,</w:t>
      </w:r>
      <w:r w:rsidRPr="00C56257">
        <w:rPr>
          <w:color w:val="000000" w:themeColor="text1"/>
          <w:spacing w:val="1"/>
          <w:sz w:val="24"/>
          <w:szCs w:val="24"/>
        </w:rPr>
        <w:t xml:space="preserve"> </w:t>
      </w:r>
      <w:r w:rsidRPr="00C56257">
        <w:rPr>
          <w:color w:val="000000" w:themeColor="text1"/>
          <w:sz w:val="24"/>
          <w:szCs w:val="24"/>
        </w:rPr>
        <w:t xml:space="preserve">rare </w:t>
      </w:r>
      <w:proofErr w:type="spellStart"/>
      <w:r w:rsidRPr="00C56257">
        <w:rPr>
          <w:color w:val="000000" w:themeColor="text1"/>
          <w:sz w:val="24"/>
          <w:szCs w:val="24"/>
        </w:rPr>
        <w:t>sau</w:t>
      </w:r>
      <w:proofErr w:type="spellEnd"/>
      <w:r w:rsidRPr="00C56257">
        <w:rPr>
          <w:color w:val="000000" w:themeColor="text1"/>
          <w:sz w:val="24"/>
          <w:szCs w:val="24"/>
        </w:rPr>
        <w:t xml:space="preserve"> </w:t>
      </w:r>
      <w:proofErr w:type="spellStart"/>
      <w:r w:rsidRPr="00C56257">
        <w:rPr>
          <w:color w:val="000000" w:themeColor="text1"/>
          <w:sz w:val="24"/>
          <w:szCs w:val="24"/>
        </w:rPr>
        <w:t>endemice</w:t>
      </w:r>
      <w:proofErr w:type="spellEnd"/>
      <w:r w:rsidRPr="00C56257">
        <w:rPr>
          <w:color w:val="000000" w:themeColor="text1"/>
          <w:sz w:val="24"/>
          <w:szCs w:val="24"/>
        </w:rPr>
        <w:t xml:space="preserve">, nu </w:t>
      </w:r>
      <w:proofErr w:type="spellStart"/>
      <w:r w:rsidRPr="00C56257">
        <w:rPr>
          <w:color w:val="000000" w:themeColor="text1"/>
          <w:sz w:val="24"/>
          <w:szCs w:val="24"/>
        </w:rPr>
        <w:t>ar</w:t>
      </w:r>
      <w:proofErr w:type="spellEnd"/>
      <w:r w:rsidRPr="00C56257">
        <w:rPr>
          <w:color w:val="000000" w:themeColor="text1"/>
          <w:sz w:val="24"/>
          <w:szCs w:val="24"/>
        </w:rPr>
        <w:t xml:space="preserve"> </w:t>
      </w:r>
      <w:proofErr w:type="spellStart"/>
      <w:r w:rsidRPr="00C56257">
        <w:rPr>
          <w:color w:val="000000" w:themeColor="text1"/>
          <w:sz w:val="24"/>
          <w:szCs w:val="24"/>
        </w:rPr>
        <w:t>trebui</w:t>
      </w:r>
      <w:proofErr w:type="spellEnd"/>
      <w:r w:rsidRPr="00C56257">
        <w:rPr>
          <w:color w:val="000000" w:themeColor="text1"/>
          <w:sz w:val="24"/>
          <w:szCs w:val="24"/>
        </w:rPr>
        <w:t xml:space="preserve"> </w:t>
      </w:r>
      <w:proofErr w:type="spellStart"/>
      <w:r w:rsidRPr="00C56257">
        <w:rPr>
          <w:color w:val="000000" w:themeColor="text1"/>
          <w:sz w:val="24"/>
          <w:szCs w:val="24"/>
        </w:rPr>
        <w:t>să</w:t>
      </w:r>
      <w:proofErr w:type="spellEnd"/>
      <w:r w:rsidRPr="00C56257">
        <w:rPr>
          <w:color w:val="000000" w:themeColor="text1"/>
          <w:sz w:val="24"/>
          <w:szCs w:val="24"/>
        </w:rPr>
        <w:t xml:space="preserve"> </w:t>
      </w:r>
      <w:proofErr w:type="spellStart"/>
      <w:r w:rsidRPr="00C56257">
        <w:rPr>
          <w:color w:val="000000" w:themeColor="text1"/>
          <w:sz w:val="24"/>
          <w:szCs w:val="24"/>
        </w:rPr>
        <w:t>surprindă</w:t>
      </w:r>
      <w:proofErr w:type="spellEnd"/>
      <w:r w:rsidRPr="00C56257">
        <w:rPr>
          <w:color w:val="000000" w:themeColor="text1"/>
          <w:sz w:val="24"/>
          <w:szCs w:val="24"/>
        </w:rPr>
        <w:t xml:space="preserve"> pe </w:t>
      </w:r>
      <w:proofErr w:type="spellStart"/>
      <w:r w:rsidRPr="00C56257">
        <w:rPr>
          <w:color w:val="000000" w:themeColor="text1"/>
          <w:sz w:val="24"/>
          <w:szCs w:val="24"/>
        </w:rPr>
        <w:t>nimeni</w:t>
      </w:r>
      <w:proofErr w:type="spellEnd"/>
      <w:r w:rsidRPr="00C56257">
        <w:rPr>
          <w:color w:val="000000" w:themeColor="text1"/>
          <w:sz w:val="24"/>
          <w:szCs w:val="24"/>
        </w:rPr>
        <w:t xml:space="preserve"> </w:t>
      </w:r>
      <w:proofErr w:type="spellStart"/>
      <w:r w:rsidRPr="00C56257">
        <w:rPr>
          <w:color w:val="000000" w:themeColor="text1"/>
          <w:sz w:val="24"/>
          <w:szCs w:val="24"/>
        </w:rPr>
        <w:t>faptul</w:t>
      </w:r>
      <w:proofErr w:type="spellEnd"/>
      <w:r w:rsidRPr="00C56257">
        <w:rPr>
          <w:color w:val="000000" w:themeColor="text1"/>
          <w:sz w:val="24"/>
          <w:szCs w:val="24"/>
        </w:rPr>
        <w:t xml:space="preserve"> </w:t>
      </w:r>
      <w:proofErr w:type="spellStart"/>
      <w:r w:rsidRPr="00C56257">
        <w:rPr>
          <w:color w:val="000000" w:themeColor="text1"/>
          <w:sz w:val="24"/>
          <w:szCs w:val="24"/>
        </w:rPr>
        <w:t>că</w:t>
      </w:r>
      <w:proofErr w:type="spellEnd"/>
      <w:r w:rsidRPr="00C56257">
        <w:rPr>
          <w:color w:val="000000" w:themeColor="text1"/>
          <w:sz w:val="24"/>
          <w:szCs w:val="24"/>
        </w:rPr>
        <w:t xml:space="preserve"> </w:t>
      </w:r>
      <w:proofErr w:type="spellStart"/>
      <w:r w:rsidRPr="00C56257">
        <w:rPr>
          <w:color w:val="000000" w:themeColor="text1"/>
          <w:sz w:val="24"/>
          <w:szCs w:val="24"/>
        </w:rPr>
        <w:t>majoritatea</w:t>
      </w:r>
      <w:proofErr w:type="spellEnd"/>
      <w:r w:rsidRPr="00C56257">
        <w:rPr>
          <w:color w:val="000000" w:themeColor="text1"/>
          <w:sz w:val="24"/>
          <w:szCs w:val="24"/>
        </w:rPr>
        <w:t xml:space="preserve"> </w:t>
      </w:r>
      <w:proofErr w:type="spellStart"/>
      <w:r w:rsidRPr="00C56257">
        <w:rPr>
          <w:color w:val="000000" w:themeColor="text1"/>
          <w:sz w:val="24"/>
          <w:szCs w:val="24"/>
        </w:rPr>
        <w:t>dintre</w:t>
      </w:r>
      <w:proofErr w:type="spellEnd"/>
      <w:r w:rsidRPr="00C56257">
        <w:rPr>
          <w:color w:val="000000" w:themeColor="text1"/>
          <w:sz w:val="24"/>
          <w:szCs w:val="24"/>
        </w:rPr>
        <w:t xml:space="preserve"> </w:t>
      </w:r>
      <w:proofErr w:type="spellStart"/>
      <w:r w:rsidRPr="00C56257">
        <w:rPr>
          <w:color w:val="000000" w:themeColor="text1"/>
          <w:sz w:val="24"/>
          <w:szCs w:val="24"/>
        </w:rPr>
        <w:t>acestea</w:t>
      </w:r>
      <w:proofErr w:type="spellEnd"/>
      <w:r w:rsidRPr="00C56257">
        <w:rPr>
          <w:color w:val="000000" w:themeColor="text1"/>
          <w:sz w:val="24"/>
          <w:szCs w:val="24"/>
        </w:rPr>
        <w:t xml:space="preserve"> se</w:t>
      </w:r>
      <w:r w:rsidRPr="00C56257">
        <w:rPr>
          <w:color w:val="000000" w:themeColor="text1"/>
          <w:spacing w:val="1"/>
          <w:sz w:val="24"/>
          <w:szCs w:val="24"/>
        </w:rPr>
        <w:t xml:space="preserve"> </w:t>
      </w:r>
      <w:proofErr w:type="spellStart"/>
      <w:r w:rsidRPr="00C56257">
        <w:rPr>
          <w:color w:val="000000" w:themeColor="text1"/>
          <w:sz w:val="24"/>
          <w:szCs w:val="24"/>
        </w:rPr>
        <w:t>încadrează</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categoriile</w:t>
      </w:r>
      <w:proofErr w:type="spellEnd"/>
      <w:r w:rsidRPr="00C56257">
        <w:rPr>
          <w:color w:val="000000" w:themeColor="text1"/>
          <w:sz w:val="24"/>
          <w:szCs w:val="24"/>
        </w:rPr>
        <w:t xml:space="preserve">   „</w:t>
      </w:r>
      <w:proofErr w:type="spellStart"/>
      <w:r w:rsidRPr="00C56257">
        <w:rPr>
          <w:color w:val="000000" w:themeColor="text1"/>
          <w:sz w:val="24"/>
          <w:szCs w:val="24"/>
        </w:rPr>
        <w:t>nefavorabil-inadecvat</w:t>
      </w:r>
      <w:proofErr w:type="spellEnd"/>
      <w:r w:rsidRPr="00C56257">
        <w:rPr>
          <w:color w:val="000000" w:themeColor="text1"/>
          <w:sz w:val="24"/>
          <w:szCs w:val="24"/>
        </w:rPr>
        <w:t>” (</w:t>
      </w:r>
      <w:proofErr w:type="spellStart"/>
      <w:r w:rsidRPr="00C56257">
        <w:rPr>
          <w:color w:val="000000" w:themeColor="text1"/>
          <w:sz w:val="24"/>
          <w:szCs w:val="24"/>
        </w:rPr>
        <w:t>portocoliu</w:t>
      </w:r>
      <w:proofErr w:type="spellEnd"/>
      <w:r w:rsidRPr="00C56257">
        <w:rPr>
          <w:color w:val="000000" w:themeColor="text1"/>
          <w:sz w:val="24"/>
          <w:szCs w:val="24"/>
        </w:rPr>
        <w:t xml:space="preserve">) </w:t>
      </w:r>
      <w:proofErr w:type="spellStart"/>
      <w:r w:rsidRPr="00C56257">
        <w:rPr>
          <w:color w:val="000000" w:themeColor="text1"/>
          <w:sz w:val="24"/>
          <w:szCs w:val="24"/>
        </w:rPr>
        <w:t>sau</w:t>
      </w:r>
      <w:proofErr w:type="spellEnd"/>
      <w:r w:rsidRPr="00C56257">
        <w:rPr>
          <w:color w:val="000000" w:themeColor="text1"/>
          <w:sz w:val="24"/>
          <w:szCs w:val="24"/>
        </w:rPr>
        <w:t xml:space="preserve"> „</w:t>
      </w:r>
      <w:proofErr w:type="spellStart"/>
      <w:r w:rsidRPr="00C56257">
        <w:rPr>
          <w:color w:val="000000" w:themeColor="text1"/>
          <w:sz w:val="24"/>
          <w:szCs w:val="24"/>
        </w:rPr>
        <w:t>nefavorabil-rău</w:t>
      </w:r>
      <w:proofErr w:type="spellEnd"/>
      <w:r w:rsidRPr="00C56257">
        <w:rPr>
          <w:color w:val="000000" w:themeColor="text1"/>
          <w:sz w:val="24"/>
          <w:szCs w:val="24"/>
        </w:rPr>
        <w:t>”(</w:t>
      </w:r>
      <w:proofErr w:type="spellStart"/>
      <w:r w:rsidRPr="00C56257">
        <w:rPr>
          <w:color w:val="000000" w:themeColor="text1"/>
          <w:sz w:val="24"/>
          <w:szCs w:val="24"/>
        </w:rPr>
        <w:t>roșu</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ceea</w:t>
      </w:r>
      <w:proofErr w:type="spellEnd"/>
      <w:r w:rsidRPr="00C56257">
        <w:rPr>
          <w:color w:val="000000" w:themeColor="text1"/>
          <w:spacing w:val="1"/>
          <w:sz w:val="24"/>
          <w:szCs w:val="24"/>
        </w:rPr>
        <w:t xml:space="preserve"> </w:t>
      </w:r>
      <w:proofErr w:type="spellStart"/>
      <w:r w:rsidRPr="00C56257">
        <w:rPr>
          <w:color w:val="000000" w:themeColor="text1"/>
          <w:sz w:val="24"/>
          <w:szCs w:val="24"/>
        </w:rPr>
        <w:t>ce</w:t>
      </w:r>
      <w:proofErr w:type="spellEnd"/>
      <w:r w:rsidRPr="00C56257">
        <w:rPr>
          <w:color w:val="000000" w:themeColor="text1"/>
          <w:sz w:val="24"/>
          <w:szCs w:val="24"/>
        </w:rPr>
        <w:t xml:space="preserve"> </w:t>
      </w:r>
      <w:proofErr w:type="spellStart"/>
      <w:r w:rsidRPr="00C56257">
        <w:rPr>
          <w:color w:val="000000" w:themeColor="text1"/>
          <w:sz w:val="24"/>
          <w:szCs w:val="24"/>
        </w:rPr>
        <w:t>privește</w:t>
      </w:r>
      <w:proofErr w:type="spellEnd"/>
      <w:r w:rsidRPr="00C56257">
        <w:rPr>
          <w:color w:val="000000" w:themeColor="text1"/>
          <w:sz w:val="24"/>
          <w:szCs w:val="24"/>
        </w:rPr>
        <w:t xml:space="preserve"> </w:t>
      </w:r>
      <w:proofErr w:type="spellStart"/>
      <w:r w:rsidRPr="00C56257">
        <w:rPr>
          <w:color w:val="000000" w:themeColor="text1"/>
          <w:sz w:val="24"/>
          <w:szCs w:val="24"/>
        </w:rPr>
        <w:t>starea</w:t>
      </w:r>
      <w:proofErr w:type="spellEnd"/>
      <w:r w:rsidRPr="00C56257">
        <w:rPr>
          <w:color w:val="000000" w:themeColor="text1"/>
          <w:sz w:val="24"/>
          <w:szCs w:val="24"/>
        </w:rPr>
        <w:t xml:space="preserve"> lor de </w:t>
      </w:r>
      <w:proofErr w:type="spellStart"/>
      <w:r w:rsidRPr="00C56257">
        <w:rPr>
          <w:color w:val="000000" w:themeColor="text1"/>
          <w:sz w:val="24"/>
          <w:szCs w:val="24"/>
        </w:rPr>
        <w:t>conservare</w:t>
      </w:r>
      <w:proofErr w:type="spellEnd"/>
      <w:r w:rsidRPr="00C56257">
        <w:rPr>
          <w:color w:val="000000" w:themeColor="text1"/>
          <w:sz w:val="24"/>
          <w:szCs w:val="24"/>
        </w:rPr>
        <w:t>. De</w:t>
      </w:r>
      <w:r w:rsidR="00064C1F">
        <w:rPr>
          <w:color w:val="000000" w:themeColor="text1"/>
          <w:sz w:val="24"/>
          <w:szCs w:val="24"/>
        </w:rPr>
        <w:t xml:space="preserve"> </w:t>
      </w:r>
      <w:proofErr w:type="spellStart"/>
      <w:r w:rsidRPr="00C56257">
        <w:rPr>
          <w:color w:val="000000" w:themeColor="text1"/>
          <w:sz w:val="24"/>
          <w:szCs w:val="24"/>
        </w:rPr>
        <w:t>asemenea</w:t>
      </w:r>
      <w:proofErr w:type="spellEnd"/>
      <w:r w:rsidRPr="00C56257">
        <w:rPr>
          <w:color w:val="000000" w:themeColor="text1"/>
          <w:sz w:val="24"/>
          <w:szCs w:val="24"/>
        </w:rPr>
        <w:t xml:space="preserve">, </w:t>
      </w:r>
      <w:proofErr w:type="spellStart"/>
      <w:r w:rsidRPr="00C56257">
        <w:rPr>
          <w:color w:val="000000" w:themeColor="text1"/>
          <w:sz w:val="24"/>
          <w:szCs w:val="24"/>
        </w:rPr>
        <w:t>ţinând</w:t>
      </w:r>
      <w:proofErr w:type="spellEnd"/>
      <w:r w:rsidRPr="00C56257">
        <w:rPr>
          <w:color w:val="000000" w:themeColor="text1"/>
          <w:sz w:val="24"/>
          <w:szCs w:val="24"/>
        </w:rPr>
        <w:t xml:space="preserve"> </w:t>
      </w:r>
      <w:proofErr w:type="spellStart"/>
      <w:r w:rsidRPr="00C56257">
        <w:rPr>
          <w:color w:val="000000" w:themeColor="text1"/>
          <w:sz w:val="24"/>
          <w:szCs w:val="24"/>
        </w:rPr>
        <w:t>cont</w:t>
      </w:r>
      <w:proofErr w:type="spellEnd"/>
      <w:r w:rsidRPr="00C56257">
        <w:rPr>
          <w:color w:val="000000" w:themeColor="text1"/>
          <w:sz w:val="24"/>
          <w:szCs w:val="24"/>
        </w:rPr>
        <w:t xml:space="preserve"> de </w:t>
      </w:r>
      <w:proofErr w:type="spellStart"/>
      <w:r w:rsidRPr="00C56257">
        <w:rPr>
          <w:color w:val="000000" w:themeColor="text1"/>
          <w:sz w:val="24"/>
          <w:szCs w:val="24"/>
        </w:rPr>
        <w:t>faptul</w:t>
      </w:r>
      <w:proofErr w:type="spellEnd"/>
      <w:r w:rsidRPr="00C56257">
        <w:rPr>
          <w:color w:val="000000" w:themeColor="text1"/>
          <w:sz w:val="24"/>
          <w:szCs w:val="24"/>
        </w:rPr>
        <w:t xml:space="preserve"> </w:t>
      </w:r>
      <w:proofErr w:type="spellStart"/>
      <w:r w:rsidRPr="00C56257">
        <w:rPr>
          <w:color w:val="000000" w:themeColor="text1"/>
          <w:sz w:val="24"/>
          <w:szCs w:val="24"/>
        </w:rPr>
        <w:t>că</w:t>
      </w:r>
      <w:proofErr w:type="spellEnd"/>
      <w:r w:rsidRPr="00C56257">
        <w:rPr>
          <w:color w:val="000000" w:themeColor="text1"/>
          <w:sz w:val="24"/>
          <w:szCs w:val="24"/>
        </w:rPr>
        <w:t xml:space="preserve"> </w:t>
      </w:r>
      <w:proofErr w:type="spellStart"/>
      <w:r w:rsidRPr="00C56257">
        <w:rPr>
          <w:color w:val="000000" w:themeColor="text1"/>
          <w:sz w:val="24"/>
          <w:szCs w:val="24"/>
        </w:rPr>
        <w:t>este</w:t>
      </w:r>
      <w:proofErr w:type="spellEnd"/>
      <w:r w:rsidRPr="00C56257">
        <w:rPr>
          <w:color w:val="000000" w:themeColor="text1"/>
          <w:sz w:val="24"/>
          <w:szCs w:val="24"/>
        </w:rPr>
        <w:t xml:space="preserve"> </w:t>
      </w:r>
      <w:proofErr w:type="spellStart"/>
      <w:r w:rsidRPr="00C56257">
        <w:rPr>
          <w:color w:val="000000" w:themeColor="text1"/>
          <w:sz w:val="24"/>
          <w:szCs w:val="24"/>
        </w:rPr>
        <w:t>necesară</w:t>
      </w:r>
      <w:proofErr w:type="spellEnd"/>
      <w:r w:rsidRPr="00C56257">
        <w:rPr>
          <w:color w:val="000000" w:themeColor="text1"/>
          <w:spacing w:val="1"/>
          <w:sz w:val="24"/>
          <w:szCs w:val="24"/>
        </w:rPr>
        <w:t xml:space="preserve"> </w:t>
      </w:r>
      <w:r w:rsidRPr="00C56257">
        <w:rPr>
          <w:color w:val="000000" w:themeColor="text1"/>
          <w:sz w:val="24"/>
          <w:szCs w:val="24"/>
        </w:rPr>
        <w:t xml:space="preserve">o </w:t>
      </w:r>
      <w:proofErr w:type="spellStart"/>
      <w:r w:rsidRPr="00C56257">
        <w:rPr>
          <w:color w:val="000000" w:themeColor="text1"/>
          <w:sz w:val="24"/>
          <w:szCs w:val="24"/>
        </w:rPr>
        <w:t>lungă</w:t>
      </w:r>
      <w:proofErr w:type="spellEnd"/>
      <w:r w:rsidRPr="00C56257">
        <w:rPr>
          <w:color w:val="000000" w:themeColor="text1"/>
          <w:spacing w:val="1"/>
          <w:sz w:val="24"/>
          <w:szCs w:val="24"/>
        </w:rPr>
        <w:t xml:space="preserve"> </w:t>
      </w:r>
      <w:proofErr w:type="spellStart"/>
      <w:r w:rsidRPr="00C56257">
        <w:rPr>
          <w:color w:val="000000" w:themeColor="text1"/>
          <w:sz w:val="24"/>
          <w:szCs w:val="24"/>
        </w:rPr>
        <w:t>perioadă</w:t>
      </w:r>
      <w:proofErr w:type="spellEnd"/>
      <w:r w:rsidRPr="00C56257">
        <w:rPr>
          <w:color w:val="000000" w:themeColor="text1"/>
          <w:sz w:val="24"/>
          <w:szCs w:val="24"/>
        </w:rPr>
        <w:t xml:space="preserve"> de </w:t>
      </w:r>
      <w:proofErr w:type="spellStart"/>
      <w:r w:rsidRPr="00C56257">
        <w:rPr>
          <w:color w:val="000000" w:themeColor="text1"/>
          <w:sz w:val="24"/>
          <w:szCs w:val="24"/>
        </w:rPr>
        <w:t>timp</w:t>
      </w:r>
      <w:proofErr w:type="spellEnd"/>
      <w:r w:rsidRPr="00C56257">
        <w:rPr>
          <w:color w:val="000000" w:themeColor="text1"/>
          <w:sz w:val="24"/>
          <w:szCs w:val="24"/>
        </w:rPr>
        <w:t xml:space="preserve"> </w:t>
      </w:r>
      <w:proofErr w:type="spellStart"/>
      <w:r w:rsidRPr="00C56257">
        <w:rPr>
          <w:color w:val="000000" w:themeColor="text1"/>
          <w:sz w:val="24"/>
          <w:szCs w:val="24"/>
        </w:rPr>
        <w:t>pentru</w:t>
      </w:r>
      <w:proofErr w:type="spellEnd"/>
      <w:r w:rsidRPr="00C56257">
        <w:rPr>
          <w:color w:val="000000" w:themeColor="text1"/>
          <w:sz w:val="24"/>
          <w:szCs w:val="24"/>
        </w:rPr>
        <w:t xml:space="preserve"> ca o specie </w:t>
      </w:r>
      <w:proofErr w:type="spellStart"/>
      <w:r w:rsidRPr="00C56257">
        <w:rPr>
          <w:color w:val="000000" w:themeColor="text1"/>
          <w:sz w:val="24"/>
          <w:szCs w:val="24"/>
        </w:rPr>
        <w:t>sau</w:t>
      </w:r>
      <w:proofErr w:type="spellEnd"/>
      <w:r w:rsidRPr="00C56257">
        <w:rPr>
          <w:color w:val="000000" w:themeColor="text1"/>
          <w:sz w:val="24"/>
          <w:szCs w:val="24"/>
        </w:rPr>
        <w:t xml:space="preserve"> un tip de habitat </w:t>
      </w:r>
      <w:proofErr w:type="spellStart"/>
      <w:r w:rsidRPr="00C56257">
        <w:rPr>
          <w:color w:val="000000" w:themeColor="text1"/>
          <w:sz w:val="24"/>
          <w:szCs w:val="24"/>
        </w:rPr>
        <w:t>să</w:t>
      </w:r>
      <w:proofErr w:type="spellEnd"/>
      <w:r w:rsidRPr="00C56257">
        <w:rPr>
          <w:color w:val="000000" w:themeColor="text1"/>
          <w:sz w:val="24"/>
          <w:szCs w:val="24"/>
        </w:rPr>
        <w:t xml:space="preserve"> </w:t>
      </w:r>
      <w:proofErr w:type="spellStart"/>
      <w:r w:rsidRPr="00C56257">
        <w:rPr>
          <w:color w:val="000000" w:themeColor="text1"/>
          <w:sz w:val="24"/>
          <w:szCs w:val="24"/>
        </w:rPr>
        <w:t>ajungă</w:t>
      </w:r>
      <w:proofErr w:type="spellEnd"/>
      <w:r w:rsidRPr="00C56257">
        <w:rPr>
          <w:color w:val="000000" w:themeColor="text1"/>
          <w:sz w:val="24"/>
          <w:szCs w:val="24"/>
        </w:rPr>
        <w:t xml:space="preserve"> </w:t>
      </w:r>
      <w:proofErr w:type="spellStart"/>
      <w:r w:rsidRPr="00C56257">
        <w:rPr>
          <w:color w:val="000000" w:themeColor="text1"/>
          <w:sz w:val="24"/>
          <w:szCs w:val="24"/>
        </w:rPr>
        <w:t>într</w:t>
      </w:r>
      <w:proofErr w:type="spellEnd"/>
      <w:r w:rsidRPr="00C56257">
        <w:rPr>
          <w:color w:val="000000" w:themeColor="text1"/>
          <w:sz w:val="24"/>
          <w:szCs w:val="24"/>
        </w:rPr>
        <w:t xml:space="preserve">-o stare de </w:t>
      </w:r>
      <w:proofErr w:type="spellStart"/>
      <w:r w:rsidRPr="00C56257">
        <w:rPr>
          <w:color w:val="000000" w:themeColor="text1"/>
          <w:sz w:val="24"/>
          <w:szCs w:val="24"/>
        </w:rPr>
        <w:t>conservare</w:t>
      </w:r>
      <w:proofErr w:type="spellEnd"/>
      <w:r w:rsidRPr="00C56257">
        <w:rPr>
          <w:color w:val="000000" w:themeColor="text1"/>
          <w:spacing w:val="1"/>
          <w:sz w:val="24"/>
          <w:szCs w:val="24"/>
        </w:rPr>
        <w:t xml:space="preserve"> </w:t>
      </w:r>
      <w:proofErr w:type="spellStart"/>
      <w:r w:rsidRPr="00C56257">
        <w:rPr>
          <w:color w:val="000000" w:themeColor="text1"/>
          <w:sz w:val="24"/>
          <w:szCs w:val="24"/>
        </w:rPr>
        <w:t>favorabilă</w:t>
      </w:r>
      <w:proofErr w:type="spellEnd"/>
      <w:r w:rsidRPr="00C56257">
        <w:rPr>
          <w:color w:val="000000" w:themeColor="text1"/>
          <w:sz w:val="24"/>
          <w:szCs w:val="24"/>
        </w:rPr>
        <w:t xml:space="preserve">, nu </w:t>
      </w:r>
      <w:proofErr w:type="spellStart"/>
      <w:r w:rsidRPr="00C56257">
        <w:rPr>
          <w:color w:val="000000" w:themeColor="text1"/>
          <w:sz w:val="24"/>
          <w:szCs w:val="24"/>
        </w:rPr>
        <w:t>ar</w:t>
      </w:r>
      <w:proofErr w:type="spellEnd"/>
      <w:r w:rsidRPr="00C56257">
        <w:rPr>
          <w:color w:val="000000" w:themeColor="text1"/>
          <w:sz w:val="24"/>
          <w:szCs w:val="24"/>
        </w:rPr>
        <w:t xml:space="preserve"> </w:t>
      </w:r>
      <w:proofErr w:type="spellStart"/>
      <w:r w:rsidRPr="00C56257">
        <w:rPr>
          <w:color w:val="000000" w:themeColor="text1"/>
          <w:sz w:val="24"/>
          <w:szCs w:val="24"/>
        </w:rPr>
        <w:t>trebui</w:t>
      </w:r>
      <w:proofErr w:type="spellEnd"/>
      <w:r w:rsidRPr="00C56257">
        <w:rPr>
          <w:color w:val="000000" w:themeColor="text1"/>
          <w:sz w:val="24"/>
          <w:szCs w:val="24"/>
        </w:rPr>
        <w:t xml:space="preserve"> </w:t>
      </w:r>
      <w:proofErr w:type="spellStart"/>
      <w:r w:rsidRPr="00C56257">
        <w:rPr>
          <w:color w:val="000000" w:themeColor="text1"/>
          <w:sz w:val="24"/>
          <w:szCs w:val="24"/>
        </w:rPr>
        <w:t>să</w:t>
      </w:r>
      <w:proofErr w:type="spellEnd"/>
      <w:r w:rsidRPr="00C56257">
        <w:rPr>
          <w:color w:val="000000" w:themeColor="text1"/>
          <w:sz w:val="24"/>
          <w:szCs w:val="24"/>
        </w:rPr>
        <w:t xml:space="preserve"> fie </w:t>
      </w:r>
      <w:proofErr w:type="spellStart"/>
      <w:r w:rsidRPr="00C56257">
        <w:rPr>
          <w:color w:val="000000" w:themeColor="text1"/>
          <w:sz w:val="24"/>
          <w:szCs w:val="24"/>
        </w:rPr>
        <w:t>surprinzător</w:t>
      </w:r>
      <w:proofErr w:type="spellEnd"/>
      <w:r w:rsidRPr="00C56257">
        <w:rPr>
          <w:color w:val="000000" w:themeColor="text1"/>
          <w:sz w:val="24"/>
          <w:szCs w:val="24"/>
        </w:rPr>
        <w:t xml:space="preserve"> </w:t>
      </w:r>
      <w:proofErr w:type="spellStart"/>
      <w:r w:rsidRPr="00C56257">
        <w:rPr>
          <w:color w:val="000000" w:themeColor="text1"/>
          <w:sz w:val="24"/>
          <w:szCs w:val="24"/>
        </w:rPr>
        <w:t>faptul</w:t>
      </w:r>
      <w:proofErr w:type="spellEnd"/>
      <w:r w:rsidRPr="00C56257">
        <w:rPr>
          <w:color w:val="000000" w:themeColor="text1"/>
          <w:sz w:val="24"/>
          <w:szCs w:val="24"/>
        </w:rPr>
        <w:t xml:space="preserve"> </w:t>
      </w:r>
      <w:proofErr w:type="spellStart"/>
      <w:r w:rsidRPr="00C56257">
        <w:rPr>
          <w:color w:val="000000" w:themeColor="text1"/>
          <w:sz w:val="24"/>
          <w:szCs w:val="24"/>
        </w:rPr>
        <w:t>că</w:t>
      </w:r>
      <w:proofErr w:type="spellEnd"/>
      <w:r w:rsidRPr="00C56257">
        <w:rPr>
          <w:color w:val="000000" w:themeColor="text1"/>
          <w:sz w:val="24"/>
          <w:szCs w:val="24"/>
        </w:rPr>
        <w:t xml:space="preserve"> </w:t>
      </w:r>
      <w:proofErr w:type="spellStart"/>
      <w:r w:rsidRPr="00C56257">
        <w:rPr>
          <w:color w:val="000000" w:themeColor="text1"/>
          <w:sz w:val="24"/>
          <w:szCs w:val="24"/>
        </w:rPr>
        <w:t>respectiva</w:t>
      </w:r>
      <w:proofErr w:type="spellEnd"/>
      <w:r w:rsidRPr="00C56257">
        <w:rPr>
          <w:color w:val="000000" w:themeColor="text1"/>
          <w:sz w:val="24"/>
          <w:szCs w:val="24"/>
        </w:rPr>
        <w:t xml:space="preserve"> specie </w:t>
      </w:r>
      <w:proofErr w:type="spellStart"/>
      <w:r w:rsidRPr="00C56257">
        <w:rPr>
          <w:color w:val="000000" w:themeColor="text1"/>
          <w:sz w:val="24"/>
          <w:szCs w:val="24"/>
        </w:rPr>
        <w:t>sau</w:t>
      </w:r>
      <w:proofErr w:type="spellEnd"/>
      <w:r w:rsidRPr="00C56257">
        <w:rPr>
          <w:color w:val="000000" w:themeColor="text1"/>
          <w:sz w:val="24"/>
          <w:szCs w:val="24"/>
        </w:rPr>
        <w:t xml:space="preserve"> </w:t>
      </w:r>
      <w:proofErr w:type="spellStart"/>
      <w:r w:rsidRPr="00C56257">
        <w:rPr>
          <w:color w:val="000000" w:themeColor="text1"/>
          <w:sz w:val="24"/>
          <w:szCs w:val="24"/>
        </w:rPr>
        <w:t>respectivul</w:t>
      </w:r>
      <w:proofErr w:type="spellEnd"/>
      <w:r w:rsidRPr="00C56257">
        <w:rPr>
          <w:color w:val="000000" w:themeColor="text1"/>
          <w:sz w:val="24"/>
          <w:szCs w:val="24"/>
        </w:rPr>
        <w:t xml:space="preserve"> tip de habitat</w:t>
      </w:r>
      <w:r w:rsidRPr="00C56257">
        <w:rPr>
          <w:color w:val="000000" w:themeColor="text1"/>
          <w:spacing w:val="1"/>
          <w:sz w:val="24"/>
          <w:szCs w:val="24"/>
        </w:rPr>
        <w:t xml:space="preserve"> </w:t>
      </w:r>
      <w:proofErr w:type="spellStart"/>
      <w:r w:rsidRPr="00C56257">
        <w:rPr>
          <w:color w:val="000000" w:themeColor="text1"/>
          <w:sz w:val="24"/>
          <w:szCs w:val="24"/>
        </w:rPr>
        <w:t>rămâne</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starea</w:t>
      </w:r>
      <w:proofErr w:type="spellEnd"/>
      <w:r w:rsidRPr="00C56257">
        <w:rPr>
          <w:color w:val="000000" w:themeColor="text1"/>
          <w:sz w:val="24"/>
          <w:szCs w:val="24"/>
        </w:rPr>
        <w:t xml:space="preserve"> de </w:t>
      </w:r>
      <w:proofErr w:type="spellStart"/>
      <w:r w:rsidRPr="00C56257">
        <w:rPr>
          <w:color w:val="000000" w:themeColor="text1"/>
          <w:sz w:val="24"/>
          <w:szCs w:val="24"/>
        </w:rPr>
        <w:t>conservare</w:t>
      </w:r>
      <w:proofErr w:type="spellEnd"/>
      <w:r w:rsidRPr="00C56257">
        <w:rPr>
          <w:color w:val="000000" w:themeColor="text1"/>
          <w:sz w:val="24"/>
          <w:szCs w:val="24"/>
        </w:rPr>
        <w:t xml:space="preserve"> </w:t>
      </w:r>
      <w:proofErr w:type="spellStart"/>
      <w:r w:rsidRPr="00C56257">
        <w:rPr>
          <w:color w:val="000000" w:themeColor="text1"/>
          <w:sz w:val="24"/>
          <w:szCs w:val="24"/>
        </w:rPr>
        <w:t>nefavorabilă</w:t>
      </w:r>
      <w:proofErr w:type="spellEnd"/>
      <w:r w:rsidRPr="00C56257">
        <w:rPr>
          <w:color w:val="000000" w:themeColor="text1"/>
          <w:sz w:val="24"/>
          <w:szCs w:val="24"/>
        </w:rPr>
        <w:t xml:space="preserve"> un </w:t>
      </w:r>
      <w:proofErr w:type="spellStart"/>
      <w:r w:rsidRPr="00C56257">
        <w:rPr>
          <w:color w:val="000000" w:themeColor="text1"/>
          <w:sz w:val="24"/>
          <w:szCs w:val="24"/>
        </w:rPr>
        <w:t>timp</w:t>
      </w:r>
      <w:proofErr w:type="spellEnd"/>
      <w:r w:rsidRPr="00C56257">
        <w:rPr>
          <w:color w:val="000000" w:themeColor="text1"/>
          <w:sz w:val="24"/>
          <w:szCs w:val="24"/>
        </w:rPr>
        <w:t xml:space="preserve"> </w:t>
      </w:r>
      <w:proofErr w:type="spellStart"/>
      <w:r w:rsidRPr="00C56257">
        <w:rPr>
          <w:color w:val="000000" w:themeColor="text1"/>
          <w:sz w:val="24"/>
          <w:szCs w:val="24"/>
        </w:rPr>
        <w:t>îndelungat</w:t>
      </w:r>
      <w:proofErr w:type="spellEnd"/>
      <w:r w:rsidRPr="00C56257">
        <w:rPr>
          <w:color w:val="000000" w:themeColor="text1"/>
          <w:sz w:val="24"/>
          <w:szCs w:val="24"/>
        </w:rPr>
        <w:t xml:space="preserve">, </w:t>
      </w:r>
      <w:proofErr w:type="spellStart"/>
      <w:r w:rsidRPr="00C56257">
        <w:rPr>
          <w:color w:val="000000" w:themeColor="text1"/>
          <w:sz w:val="24"/>
          <w:szCs w:val="24"/>
        </w:rPr>
        <w:t>chiar</w:t>
      </w:r>
      <w:proofErr w:type="spellEnd"/>
      <w:r w:rsidRPr="00C56257">
        <w:rPr>
          <w:color w:val="000000" w:themeColor="text1"/>
          <w:sz w:val="24"/>
          <w:szCs w:val="24"/>
        </w:rPr>
        <w:t xml:space="preserve"> </w:t>
      </w:r>
      <w:proofErr w:type="spellStart"/>
      <w:r w:rsidRPr="00C56257">
        <w:rPr>
          <w:color w:val="000000" w:themeColor="text1"/>
          <w:sz w:val="24"/>
          <w:szCs w:val="24"/>
        </w:rPr>
        <w:t>dacă</w:t>
      </w:r>
      <w:proofErr w:type="spellEnd"/>
      <w:r w:rsidRPr="00C56257">
        <w:rPr>
          <w:color w:val="000000" w:themeColor="text1"/>
          <w:sz w:val="24"/>
          <w:szCs w:val="24"/>
        </w:rPr>
        <w:t xml:space="preserve"> la </w:t>
      </w:r>
      <w:proofErr w:type="spellStart"/>
      <w:r w:rsidRPr="00C56257">
        <w:rPr>
          <w:color w:val="000000" w:themeColor="text1"/>
          <w:sz w:val="24"/>
          <w:szCs w:val="24"/>
        </w:rPr>
        <w:t>nivelul</w:t>
      </w:r>
      <w:proofErr w:type="spellEnd"/>
      <w:r w:rsidRPr="00C56257">
        <w:rPr>
          <w:color w:val="000000" w:themeColor="text1"/>
          <w:sz w:val="24"/>
          <w:szCs w:val="24"/>
        </w:rPr>
        <w:t xml:space="preserve"> </w:t>
      </w:r>
      <w:proofErr w:type="spellStart"/>
      <w:r w:rsidRPr="00C56257">
        <w:rPr>
          <w:color w:val="000000" w:themeColor="text1"/>
          <w:sz w:val="24"/>
          <w:szCs w:val="24"/>
        </w:rPr>
        <w:t>ariei</w:t>
      </w:r>
      <w:proofErr w:type="spellEnd"/>
      <w:r w:rsidRPr="00C56257">
        <w:rPr>
          <w:color w:val="000000" w:themeColor="text1"/>
          <w:sz w:val="24"/>
          <w:szCs w:val="24"/>
        </w:rPr>
        <w:t xml:space="preserve"> </w:t>
      </w:r>
      <w:proofErr w:type="spellStart"/>
      <w:r w:rsidRPr="00C56257">
        <w:rPr>
          <w:color w:val="000000" w:themeColor="text1"/>
          <w:sz w:val="24"/>
          <w:szCs w:val="24"/>
        </w:rPr>
        <w:t>naturale</w:t>
      </w:r>
      <w:proofErr w:type="spellEnd"/>
      <w:r w:rsidRPr="00C56257">
        <w:rPr>
          <w:color w:val="000000" w:themeColor="text1"/>
          <w:spacing w:val="1"/>
          <w:sz w:val="24"/>
          <w:szCs w:val="24"/>
        </w:rPr>
        <w:t xml:space="preserve"> </w:t>
      </w:r>
      <w:proofErr w:type="spellStart"/>
      <w:r w:rsidRPr="00C56257">
        <w:rPr>
          <w:color w:val="000000" w:themeColor="text1"/>
          <w:sz w:val="24"/>
          <w:szCs w:val="24"/>
        </w:rPr>
        <w:t>protejate</w:t>
      </w:r>
      <w:proofErr w:type="spellEnd"/>
      <w:r w:rsidRPr="00C56257">
        <w:rPr>
          <w:color w:val="000000" w:themeColor="text1"/>
          <w:spacing w:val="-1"/>
          <w:sz w:val="24"/>
          <w:szCs w:val="24"/>
        </w:rPr>
        <w:t xml:space="preserve"> </w:t>
      </w:r>
      <w:r w:rsidRPr="00C56257">
        <w:rPr>
          <w:color w:val="000000" w:themeColor="text1"/>
          <w:sz w:val="24"/>
          <w:szCs w:val="24"/>
        </w:rPr>
        <w:t>respective</w:t>
      </w:r>
      <w:r w:rsidRPr="00C56257">
        <w:rPr>
          <w:color w:val="000000" w:themeColor="text1"/>
          <w:spacing w:val="-1"/>
          <w:sz w:val="24"/>
          <w:szCs w:val="24"/>
        </w:rPr>
        <w:t xml:space="preserve"> </w:t>
      </w:r>
      <w:r w:rsidRPr="00C56257">
        <w:rPr>
          <w:color w:val="000000" w:themeColor="text1"/>
          <w:sz w:val="24"/>
          <w:szCs w:val="24"/>
        </w:rPr>
        <w:t>sunt</w:t>
      </w:r>
      <w:r w:rsidRPr="00C56257">
        <w:rPr>
          <w:color w:val="000000" w:themeColor="text1"/>
          <w:spacing w:val="2"/>
          <w:sz w:val="24"/>
          <w:szCs w:val="24"/>
        </w:rPr>
        <w:t xml:space="preserve"> </w:t>
      </w:r>
      <w:proofErr w:type="spellStart"/>
      <w:r w:rsidRPr="00C56257">
        <w:rPr>
          <w:color w:val="000000" w:themeColor="text1"/>
          <w:sz w:val="24"/>
          <w:szCs w:val="24"/>
        </w:rPr>
        <w:t>luate</w:t>
      </w:r>
      <w:proofErr w:type="spellEnd"/>
      <w:r w:rsidRPr="00C56257">
        <w:rPr>
          <w:color w:val="000000" w:themeColor="text1"/>
          <w:sz w:val="24"/>
          <w:szCs w:val="24"/>
        </w:rPr>
        <w:t xml:space="preserve"> </w:t>
      </w:r>
      <w:proofErr w:type="spellStart"/>
      <w:r w:rsidRPr="00C56257">
        <w:rPr>
          <w:color w:val="000000" w:themeColor="text1"/>
          <w:sz w:val="24"/>
          <w:szCs w:val="24"/>
        </w:rPr>
        <w:t>măsuri</w:t>
      </w:r>
      <w:proofErr w:type="spellEnd"/>
      <w:r w:rsidRPr="00C56257">
        <w:rPr>
          <w:color w:val="000000" w:themeColor="text1"/>
          <w:spacing w:val="-2"/>
          <w:sz w:val="24"/>
          <w:szCs w:val="24"/>
        </w:rPr>
        <w:t xml:space="preserve"> </w:t>
      </w:r>
      <w:proofErr w:type="spellStart"/>
      <w:r w:rsidRPr="00C56257">
        <w:rPr>
          <w:color w:val="000000" w:themeColor="text1"/>
          <w:sz w:val="24"/>
          <w:szCs w:val="24"/>
        </w:rPr>
        <w:t>corespunzătoare</w:t>
      </w:r>
      <w:proofErr w:type="spellEnd"/>
      <w:r w:rsidRPr="00C56257">
        <w:rPr>
          <w:color w:val="000000" w:themeColor="text1"/>
          <w:sz w:val="24"/>
          <w:szCs w:val="24"/>
        </w:rPr>
        <w:t>.</w:t>
      </w:r>
    </w:p>
    <w:p w14:paraId="02432B35" w14:textId="77777777" w:rsidR="008572F7" w:rsidRPr="00C56257" w:rsidRDefault="008572F7" w:rsidP="008572F7">
      <w:pPr>
        <w:pStyle w:val="BodyText"/>
        <w:spacing w:before="7"/>
        <w:jc w:val="both"/>
        <w:rPr>
          <w:color w:val="000000" w:themeColor="text1"/>
          <w:sz w:val="24"/>
          <w:szCs w:val="24"/>
        </w:rPr>
      </w:pPr>
    </w:p>
    <w:p w14:paraId="65DD4B5F" w14:textId="77777777" w:rsidR="008572F7" w:rsidRPr="00C56257" w:rsidRDefault="008572F7" w:rsidP="00F100E1">
      <w:pPr>
        <w:pStyle w:val="Heading2"/>
        <w:widowControl w:val="0"/>
        <w:tabs>
          <w:tab w:val="left" w:pos="1232"/>
        </w:tabs>
        <w:autoSpaceDE w:val="0"/>
        <w:autoSpaceDN w:val="0"/>
        <w:spacing w:before="0" w:beforeAutospacing="0" w:after="0" w:afterAutospacing="0"/>
        <w:jc w:val="both"/>
        <w:rPr>
          <w:color w:val="000000" w:themeColor="text1"/>
          <w:sz w:val="24"/>
          <w:szCs w:val="24"/>
        </w:rPr>
      </w:pPr>
      <w:proofErr w:type="spellStart"/>
      <w:r w:rsidRPr="00C56257">
        <w:rPr>
          <w:color w:val="000000" w:themeColor="text1"/>
          <w:sz w:val="24"/>
          <w:szCs w:val="24"/>
        </w:rPr>
        <w:t>Evaluarea</w:t>
      </w:r>
      <w:proofErr w:type="spellEnd"/>
      <w:r w:rsidRPr="00C56257">
        <w:rPr>
          <w:color w:val="000000" w:themeColor="text1"/>
          <w:spacing w:val="-5"/>
          <w:sz w:val="24"/>
          <w:szCs w:val="24"/>
        </w:rPr>
        <w:t xml:space="preserve"> </w:t>
      </w:r>
      <w:proofErr w:type="spellStart"/>
      <w:r w:rsidRPr="00C56257">
        <w:rPr>
          <w:color w:val="000000" w:themeColor="text1"/>
          <w:sz w:val="24"/>
          <w:szCs w:val="24"/>
        </w:rPr>
        <w:t>tendințelor</w:t>
      </w:r>
      <w:proofErr w:type="spellEnd"/>
      <w:r w:rsidRPr="00C56257">
        <w:rPr>
          <w:color w:val="000000" w:themeColor="text1"/>
          <w:spacing w:val="-2"/>
          <w:sz w:val="24"/>
          <w:szCs w:val="24"/>
        </w:rPr>
        <w:t xml:space="preserve"> </w:t>
      </w:r>
      <w:r w:rsidRPr="00C56257">
        <w:rPr>
          <w:color w:val="000000" w:themeColor="text1"/>
          <w:sz w:val="24"/>
          <w:szCs w:val="24"/>
        </w:rPr>
        <w:t>pe</w:t>
      </w:r>
      <w:r w:rsidRPr="00C56257">
        <w:rPr>
          <w:color w:val="000000" w:themeColor="text1"/>
          <w:spacing w:val="-2"/>
          <w:sz w:val="24"/>
          <w:szCs w:val="24"/>
        </w:rPr>
        <w:t xml:space="preserve"> </w:t>
      </w:r>
      <w:r w:rsidRPr="00C56257">
        <w:rPr>
          <w:color w:val="000000" w:themeColor="text1"/>
          <w:sz w:val="24"/>
          <w:szCs w:val="24"/>
        </w:rPr>
        <w:t>termen</w:t>
      </w:r>
      <w:r w:rsidRPr="00C56257">
        <w:rPr>
          <w:color w:val="000000" w:themeColor="text1"/>
          <w:spacing w:val="-3"/>
          <w:sz w:val="24"/>
          <w:szCs w:val="24"/>
        </w:rPr>
        <w:t xml:space="preserve"> </w:t>
      </w:r>
      <w:proofErr w:type="spellStart"/>
      <w:r w:rsidRPr="00C56257">
        <w:rPr>
          <w:color w:val="000000" w:themeColor="text1"/>
          <w:sz w:val="24"/>
          <w:szCs w:val="24"/>
        </w:rPr>
        <w:t>scurt</w:t>
      </w:r>
      <w:proofErr w:type="spellEnd"/>
    </w:p>
    <w:p w14:paraId="75A1616A" w14:textId="77777777" w:rsidR="008572F7" w:rsidRPr="00C56257" w:rsidRDefault="008572F7" w:rsidP="00B538DD">
      <w:pPr>
        <w:pStyle w:val="BodyText"/>
        <w:spacing w:before="155"/>
        <w:ind w:left="0" w:right="250"/>
        <w:jc w:val="both"/>
        <w:rPr>
          <w:color w:val="000000" w:themeColor="text1"/>
          <w:sz w:val="24"/>
          <w:szCs w:val="24"/>
        </w:rPr>
      </w:pPr>
      <w:proofErr w:type="spellStart"/>
      <w:r w:rsidRPr="00C56257">
        <w:rPr>
          <w:color w:val="000000" w:themeColor="text1"/>
          <w:sz w:val="24"/>
          <w:szCs w:val="24"/>
        </w:rPr>
        <w:t>Având</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vedere</w:t>
      </w:r>
      <w:proofErr w:type="spellEnd"/>
      <w:r w:rsidRPr="00C56257">
        <w:rPr>
          <w:color w:val="000000" w:themeColor="text1"/>
          <w:sz w:val="24"/>
          <w:szCs w:val="24"/>
        </w:rPr>
        <w:t xml:space="preserve"> </w:t>
      </w:r>
      <w:proofErr w:type="spellStart"/>
      <w:r w:rsidRPr="00C56257">
        <w:rPr>
          <w:color w:val="000000" w:themeColor="text1"/>
          <w:sz w:val="24"/>
          <w:szCs w:val="24"/>
        </w:rPr>
        <w:t>că</w:t>
      </w:r>
      <w:proofErr w:type="spellEnd"/>
      <w:r w:rsidRPr="00C56257">
        <w:rPr>
          <w:color w:val="000000" w:themeColor="text1"/>
          <w:sz w:val="24"/>
          <w:szCs w:val="24"/>
        </w:rPr>
        <w:t xml:space="preserve"> </w:t>
      </w:r>
      <w:proofErr w:type="spellStart"/>
      <w:r w:rsidRPr="00C56257">
        <w:rPr>
          <w:color w:val="000000" w:themeColor="text1"/>
          <w:sz w:val="24"/>
          <w:szCs w:val="24"/>
        </w:rPr>
        <w:t>România</w:t>
      </w:r>
      <w:proofErr w:type="spellEnd"/>
      <w:r w:rsidRPr="00C56257">
        <w:rPr>
          <w:color w:val="000000" w:themeColor="text1"/>
          <w:sz w:val="24"/>
          <w:szCs w:val="24"/>
        </w:rPr>
        <w:t xml:space="preserve"> </w:t>
      </w:r>
      <w:proofErr w:type="spellStart"/>
      <w:r w:rsidRPr="00C56257">
        <w:rPr>
          <w:color w:val="000000" w:themeColor="text1"/>
          <w:sz w:val="24"/>
          <w:szCs w:val="24"/>
        </w:rPr>
        <w:t>este</w:t>
      </w:r>
      <w:proofErr w:type="spellEnd"/>
      <w:r w:rsidRPr="00C56257">
        <w:rPr>
          <w:color w:val="000000" w:themeColor="text1"/>
          <w:sz w:val="24"/>
          <w:szCs w:val="24"/>
        </w:rPr>
        <w:t xml:space="preserve"> la a </w:t>
      </w:r>
      <w:proofErr w:type="spellStart"/>
      <w:r w:rsidRPr="00C56257">
        <w:rPr>
          <w:color w:val="000000" w:themeColor="text1"/>
          <w:sz w:val="24"/>
          <w:szCs w:val="24"/>
        </w:rPr>
        <w:t>doua</w:t>
      </w:r>
      <w:proofErr w:type="spellEnd"/>
      <w:r w:rsidRPr="00C56257">
        <w:rPr>
          <w:color w:val="000000" w:themeColor="text1"/>
          <w:sz w:val="24"/>
          <w:szCs w:val="24"/>
        </w:rPr>
        <w:t xml:space="preserve"> </w:t>
      </w:r>
      <w:proofErr w:type="spellStart"/>
      <w:r w:rsidRPr="00C56257">
        <w:rPr>
          <w:color w:val="000000" w:themeColor="text1"/>
          <w:sz w:val="24"/>
          <w:szCs w:val="24"/>
        </w:rPr>
        <w:t>raportare</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baza</w:t>
      </w:r>
      <w:proofErr w:type="spellEnd"/>
      <w:r w:rsidRPr="00C56257">
        <w:rPr>
          <w:color w:val="000000" w:themeColor="text1"/>
          <w:sz w:val="24"/>
          <w:szCs w:val="24"/>
        </w:rPr>
        <w:t xml:space="preserve"> art. 17 al </w:t>
      </w:r>
      <w:proofErr w:type="spellStart"/>
      <w:r w:rsidRPr="00C56257">
        <w:rPr>
          <w:color w:val="000000" w:themeColor="text1"/>
          <w:sz w:val="24"/>
          <w:szCs w:val="24"/>
        </w:rPr>
        <w:t>Directivei</w:t>
      </w:r>
      <w:proofErr w:type="spellEnd"/>
      <w:r w:rsidRPr="00C56257">
        <w:rPr>
          <w:color w:val="000000" w:themeColor="text1"/>
          <w:sz w:val="24"/>
          <w:szCs w:val="24"/>
        </w:rPr>
        <w:t xml:space="preserve"> </w:t>
      </w:r>
      <w:proofErr w:type="spellStart"/>
      <w:r w:rsidRPr="00C56257">
        <w:rPr>
          <w:color w:val="000000" w:themeColor="text1"/>
          <w:sz w:val="24"/>
          <w:szCs w:val="24"/>
        </w:rPr>
        <w:t>Habitate</w:t>
      </w:r>
      <w:proofErr w:type="spellEnd"/>
      <w:r w:rsidRPr="00C56257">
        <w:rPr>
          <w:color w:val="000000" w:themeColor="text1"/>
          <w:sz w:val="24"/>
          <w:szCs w:val="24"/>
        </w:rPr>
        <w:t>, prima</w:t>
      </w:r>
      <w:r w:rsidRPr="00C56257">
        <w:rPr>
          <w:color w:val="000000" w:themeColor="text1"/>
          <w:spacing w:val="1"/>
          <w:sz w:val="24"/>
          <w:szCs w:val="24"/>
        </w:rPr>
        <w:t xml:space="preserve"> </w:t>
      </w:r>
      <w:proofErr w:type="spellStart"/>
      <w:r w:rsidRPr="00C56257">
        <w:rPr>
          <w:color w:val="000000" w:themeColor="text1"/>
          <w:sz w:val="24"/>
          <w:szCs w:val="24"/>
        </w:rPr>
        <w:t>raportare</w:t>
      </w:r>
      <w:proofErr w:type="spellEnd"/>
      <w:r w:rsidRPr="00C56257">
        <w:rPr>
          <w:color w:val="000000" w:themeColor="text1"/>
          <w:sz w:val="24"/>
          <w:szCs w:val="24"/>
        </w:rPr>
        <w:t xml:space="preserve"> </w:t>
      </w:r>
      <w:proofErr w:type="spellStart"/>
      <w:r w:rsidRPr="00C56257">
        <w:rPr>
          <w:color w:val="000000" w:themeColor="text1"/>
          <w:sz w:val="24"/>
          <w:szCs w:val="24"/>
        </w:rPr>
        <w:t>rămânând</w:t>
      </w:r>
      <w:proofErr w:type="spellEnd"/>
      <w:r w:rsidRPr="00C56257">
        <w:rPr>
          <w:color w:val="000000" w:themeColor="text1"/>
          <w:sz w:val="24"/>
          <w:szCs w:val="24"/>
        </w:rPr>
        <w:t xml:space="preserve"> de </w:t>
      </w:r>
      <w:proofErr w:type="spellStart"/>
      <w:r w:rsidRPr="00C56257">
        <w:rPr>
          <w:color w:val="000000" w:themeColor="text1"/>
          <w:sz w:val="24"/>
          <w:szCs w:val="24"/>
        </w:rPr>
        <w:t>refer</w:t>
      </w:r>
      <w:r w:rsidR="00064C1F">
        <w:rPr>
          <w:color w:val="000000" w:themeColor="text1"/>
          <w:sz w:val="24"/>
          <w:szCs w:val="24"/>
        </w:rPr>
        <w:t>ință</w:t>
      </w:r>
      <w:proofErr w:type="spellEnd"/>
      <w:r w:rsidR="00064C1F">
        <w:rPr>
          <w:color w:val="000000" w:themeColor="text1"/>
          <w:sz w:val="24"/>
          <w:szCs w:val="24"/>
        </w:rPr>
        <w:t xml:space="preserve"> </w:t>
      </w:r>
      <w:proofErr w:type="spellStart"/>
      <w:r w:rsidR="00064C1F">
        <w:rPr>
          <w:color w:val="000000" w:themeColor="text1"/>
          <w:sz w:val="24"/>
          <w:szCs w:val="24"/>
        </w:rPr>
        <w:t>pentru</w:t>
      </w:r>
      <w:proofErr w:type="spellEnd"/>
      <w:r w:rsidR="00064C1F">
        <w:rPr>
          <w:color w:val="000000" w:themeColor="text1"/>
          <w:sz w:val="24"/>
          <w:szCs w:val="24"/>
        </w:rPr>
        <w:t xml:space="preserve"> </w:t>
      </w:r>
      <w:proofErr w:type="spellStart"/>
      <w:r w:rsidR="00064C1F">
        <w:rPr>
          <w:color w:val="000000" w:themeColor="text1"/>
          <w:sz w:val="24"/>
          <w:szCs w:val="24"/>
        </w:rPr>
        <w:t>următoarele</w:t>
      </w:r>
      <w:proofErr w:type="spellEnd"/>
      <w:r w:rsidR="00064C1F">
        <w:rPr>
          <w:color w:val="000000" w:themeColor="text1"/>
          <w:sz w:val="24"/>
          <w:szCs w:val="24"/>
        </w:rPr>
        <w:t xml:space="preserve"> </w:t>
      </w:r>
      <w:proofErr w:type="spellStart"/>
      <w:r w:rsidR="00064C1F">
        <w:rPr>
          <w:color w:val="000000" w:themeColor="text1"/>
          <w:sz w:val="24"/>
          <w:szCs w:val="24"/>
        </w:rPr>
        <w:t>raportări</w:t>
      </w:r>
      <w:proofErr w:type="spellEnd"/>
      <w:r w:rsidRPr="00C56257">
        <w:rPr>
          <w:color w:val="000000" w:themeColor="text1"/>
          <w:sz w:val="24"/>
          <w:szCs w:val="24"/>
        </w:rPr>
        <w:t xml:space="preserve">, s-a </w:t>
      </w:r>
      <w:proofErr w:type="spellStart"/>
      <w:r w:rsidRPr="00C56257">
        <w:rPr>
          <w:color w:val="000000" w:themeColor="text1"/>
          <w:sz w:val="24"/>
          <w:szCs w:val="24"/>
        </w:rPr>
        <w:t>realizat</w:t>
      </w:r>
      <w:proofErr w:type="spellEnd"/>
      <w:r w:rsidRPr="00C56257">
        <w:rPr>
          <w:color w:val="000000" w:themeColor="text1"/>
          <w:sz w:val="24"/>
          <w:szCs w:val="24"/>
        </w:rPr>
        <w:t xml:space="preserve"> </w:t>
      </w:r>
      <w:proofErr w:type="spellStart"/>
      <w:r w:rsidRPr="00C56257">
        <w:rPr>
          <w:color w:val="000000" w:themeColor="text1"/>
          <w:sz w:val="24"/>
          <w:szCs w:val="24"/>
        </w:rPr>
        <w:t>evaluarea</w:t>
      </w:r>
      <w:proofErr w:type="spellEnd"/>
      <w:r w:rsidRPr="00C56257">
        <w:rPr>
          <w:color w:val="000000" w:themeColor="text1"/>
          <w:sz w:val="24"/>
          <w:szCs w:val="24"/>
        </w:rPr>
        <w:t xml:space="preserve"> </w:t>
      </w:r>
      <w:proofErr w:type="spellStart"/>
      <w:r w:rsidRPr="00C56257">
        <w:rPr>
          <w:color w:val="000000" w:themeColor="text1"/>
          <w:sz w:val="24"/>
          <w:szCs w:val="24"/>
        </w:rPr>
        <w:t>tendințelor</w:t>
      </w:r>
      <w:proofErr w:type="spellEnd"/>
      <w:r w:rsidRPr="00C56257">
        <w:rPr>
          <w:color w:val="000000" w:themeColor="text1"/>
          <w:sz w:val="24"/>
          <w:szCs w:val="24"/>
        </w:rPr>
        <w:t xml:space="preserve"> pe</w:t>
      </w:r>
      <w:r w:rsidRPr="00C56257">
        <w:rPr>
          <w:color w:val="000000" w:themeColor="text1"/>
          <w:spacing w:val="1"/>
          <w:sz w:val="24"/>
          <w:szCs w:val="24"/>
        </w:rPr>
        <w:t xml:space="preserve"> </w:t>
      </w:r>
      <w:r w:rsidRPr="00C56257">
        <w:rPr>
          <w:color w:val="000000" w:themeColor="text1"/>
          <w:sz w:val="24"/>
          <w:szCs w:val="24"/>
        </w:rPr>
        <w:t xml:space="preserve">termen </w:t>
      </w:r>
      <w:proofErr w:type="spellStart"/>
      <w:r w:rsidRPr="00C56257">
        <w:rPr>
          <w:color w:val="000000" w:themeColor="text1"/>
          <w:sz w:val="24"/>
          <w:szCs w:val="24"/>
        </w:rPr>
        <w:t>scurt</w:t>
      </w:r>
      <w:proofErr w:type="spellEnd"/>
      <w:r w:rsidRPr="00C56257">
        <w:rPr>
          <w:color w:val="000000" w:themeColor="text1"/>
          <w:sz w:val="24"/>
          <w:szCs w:val="24"/>
        </w:rPr>
        <w:t xml:space="preserve"> a </w:t>
      </w:r>
      <w:proofErr w:type="spellStart"/>
      <w:r w:rsidRPr="00C56257">
        <w:rPr>
          <w:color w:val="000000" w:themeColor="text1"/>
          <w:sz w:val="24"/>
          <w:szCs w:val="24"/>
        </w:rPr>
        <w:t>stării</w:t>
      </w:r>
      <w:proofErr w:type="spellEnd"/>
      <w:r w:rsidRPr="00C56257">
        <w:rPr>
          <w:color w:val="000000" w:themeColor="text1"/>
          <w:sz w:val="24"/>
          <w:szCs w:val="24"/>
        </w:rPr>
        <w:t xml:space="preserve"> de </w:t>
      </w:r>
      <w:proofErr w:type="spellStart"/>
      <w:r w:rsidRPr="00C56257">
        <w:rPr>
          <w:color w:val="000000" w:themeColor="text1"/>
          <w:sz w:val="24"/>
          <w:szCs w:val="24"/>
        </w:rPr>
        <w:t>conservare</w:t>
      </w:r>
      <w:proofErr w:type="spellEnd"/>
      <w:r w:rsidRPr="00C56257">
        <w:rPr>
          <w:color w:val="000000" w:themeColor="text1"/>
          <w:sz w:val="24"/>
          <w:szCs w:val="24"/>
        </w:rPr>
        <w:t xml:space="preserve"> cu </w:t>
      </w:r>
      <w:proofErr w:type="spellStart"/>
      <w:r w:rsidRPr="00C56257">
        <w:rPr>
          <w:color w:val="000000" w:themeColor="text1"/>
          <w:sz w:val="24"/>
          <w:szCs w:val="24"/>
        </w:rPr>
        <w:t>utilizarea</w:t>
      </w:r>
      <w:proofErr w:type="spellEnd"/>
      <w:r w:rsidRPr="00C56257">
        <w:rPr>
          <w:color w:val="000000" w:themeColor="text1"/>
          <w:sz w:val="24"/>
          <w:szCs w:val="24"/>
        </w:rPr>
        <w:t xml:space="preserve"> </w:t>
      </w:r>
      <w:proofErr w:type="spellStart"/>
      <w:r w:rsidRPr="00C56257">
        <w:rPr>
          <w:color w:val="000000" w:themeColor="text1"/>
          <w:sz w:val="24"/>
          <w:szCs w:val="24"/>
        </w:rPr>
        <w:t>doar</w:t>
      </w:r>
      <w:proofErr w:type="spellEnd"/>
      <w:r w:rsidRPr="00C56257">
        <w:rPr>
          <w:color w:val="000000" w:themeColor="text1"/>
          <w:sz w:val="24"/>
          <w:szCs w:val="24"/>
        </w:rPr>
        <w:t xml:space="preserve"> a </w:t>
      </w:r>
      <w:proofErr w:type="spellStart"/>
      <w:r w:rsidRPr="00C56257">
        <w:rPr>
          <w:color w:val="000000" w:themeColor="text1"/>
          <w:sz w:val="24"/>
          <w:szCs w:val="24"/>
        </w:rPr>
        <w:t>unui</w:t>
      </w:r>
      <w:proofErr w:type="spellEnd"/>
      <w:r w:rsidRPr="00C56257">
        <w:rPr>
          <w:color w:val="000000" w:themeColor="text1"/>
          <w:sz w:val="24"/>
          <w:szCs w:val="24"/>
        </w:rPr>
        <w:t xml:space="preserve"> </w:t>
      </w:r>
      <w:proofErr w:type="spellStart"/>
      <w:r w:rsidRPr="00C56257">
        <w:rPr>
          <w:color w:val="000000" w:themeColor="text1"/>
          <w:sz w:val="24"/>
          <w:szCs w:val="24"/>
        </w:rPr>
        <w:t>ciclu</w:t>
      </w:r>
      <w:proofErr w:type="spellEnd"/>
      <w:r w:rsidRPr="00C56257">
        <w:rPr>
          <w:color w:val="000000" w:themeColor="text1"/>
          <w:sz w:val="24"/>
          <w:szCs w:val="24"/>
        </w:rPr>
        <w:t xml:space="preserve"> de </w:t>
      </w:r>
      <w:proofErr w:type="spellStart"/>
      <w:r w:rsidRPr="00C56257">
        <w:rPr>
          <w:color w:val="000000" w:themeColor="text1"/>
          <w:sz w:val="24"/>
          <w:szCs w:val="24"/>
        </w:rPr>
        <w:t>raportare</w:t>
      </w:r>
      <w:proofErr w:type="spellEnd"/>
      <w:r w:rsidRPr="00C56257">
        <w:rPr>
          <w:color w:val="000000" w:themeColor="text1"/>
          <w:sz w:val="24"/>
          <w:szCs w:val="24"/>
        </w:rPr>
        <w:t xml:space="preserve">, </w:t>
      </w:r>
      <w:proofErr w:type="spellStart"/>
      <w:r w:rsidRPr="00C56257">
        <w:rPr>
          <w:color w:val="000000" w:themeColor="text1"/>
          <w:sz w:val="24"/>
          <w:szCs w:val="24"/>
        </w:rPr>
        <w:t>spre</w:t>
      </w:r>
      <w:proofErr w:type="spellEnd"/>
      <w:r w:rsidRPr="00C56257">
        <w:rPr>
          <w:color w:val="000000" w:themeColor="text1"/>
          <w:sz w:val="24"/>
          <w:szCs w:val="24"/>
        </w:rPr>
        <w:t xml:space="preserve"> </w:t>
      </w:r>
      <w:proofErr w:type="spellStart"/>
      <w:r w:rsidRPr="00C56257">
        <w:rPr>
          <w:color w:val="000000" w:themeColor="text1"/>
          <w:sz w:val="24"/>
          <w:szCs w:val="24"/>
        </w:rPr>
        <w:t>deosebire</w:t>
      </w:r>
      <w:proofErr w:type="spellEnd"/>
      <w:r w:rsidRPr="00C56257">
        <w:rPr>
          <w:color w:val="000000" w:themeColor="text1"/>
          <w:sz w:val="24"/>
          <w:szCs w:val="24"/>
        </w:rPr>
        <w:t xml:space="preserve"> de</w:t>
      </w:r>
      <w:r w:rsidRPr="00C56257">
        <w:rPr>
          <w:color w:val="000000" w:themeColor="text1"/>
          <w:spacing w:val="1"/>
          <w:sz w:val="24"/>
          <w:szCs w:val="24"/>
        </w:rPr>
        <w:t xml:space="preserve"> </w:t>
      </w:r>
      <w:proofErr w:type="spellStart"/>
      <w:r w:rsidRPr="00C56257">
        <w:rPr>
          <w:color w:val="000000" w:themeColor="text1"/>
          <w:sz w:val="24"/>
          <w:szCs w:val="24"/>
        </w:rPr>
        <w:t>metoda</w:t>
      </w:r>
      <w:proofErr w:type="spellEnd"/>
      <w:r w:rsidRPr="00C56257">
        <w:rPr>
          <w:color w:val="000000" w:themeColor="text1"/>
          <w:spacing w:val="-2"/>
          <w:sz w:val="24"/>
          <w:szCs w:val="24"/>
        </w:rPr>
        <w:t xml:space="preserve"> </w:t>
      </w:r>
      <w:proofErr w:type="spellStart"/>
      <w:r w:rsidRPr="00C56257">
        <w:rPr>
          <w:color w:val="000000" w:themeColor="text1"/>
          <w:sz w:val="24"/>
          <w:szCs w:val="24"/>
        </w:rPr>
        <w:t>recomandată</w:t>
      </w:r>
      <w:proofErr w:type="spellEnd"/>
      <w:r w:rsidRPr="00C56257">
        <w:rPr>
          <w:color w:val="000000" w:themeColor="text1"/>
          <w:sz w:val="24"/>
          <w:szCs w:val="24"/>
        </w:rPr>
        <w:t>.</w:t>
      </w:r>
    </w:p>
    <w:p w14:paraId="4B23118C" w14:textId="77777777" w:rsidR="008572F7" w:rsidRPr="00C56257" w:rsidRDefault="008572F7" w:rsidP="00B538DD">
      <w:pPr>
        <w:pStyle w:val="BodyText"/>
        <w:ind w:left="0" w:right="252"/>
        <w:jc w:val="both"/>
        <w:rPr>
          <w:color w:val="000000" w:themeColor="text1"/>
          <w:sz w:val="24"/>
          <w:szCs w:val="24"/>
        </w:rPr>
      </w:pPr>
      <w:proofErr w:type="spellStart"/>
      <w:r w:rsidRPr="00C56257">
        <w:rPr>
          <w:color w:val="000000" w:themeColor="text1"/>
          <w:sz w:val="24"/>
          <w:szCs w:val="24"/>
        </w:rPr>
        <w:t>Metoda</w:t>
      </w:r>
      <w:proofErr w:type="spellEnd"/>
      <w:r w:rsidRPr="00C56257">
        <w:rPr>
          <w:color w:val="000000" w:themeColor="text1"/>
          <w:sz w:val="24"/>
          <w:szCs w:val="24"/>
        </w:rPr>
        <w:t xml:space="preserve"> de </w:t>
      </w:r>
      <w:proofErr w:type="spellStart"/>
      <w:r w:rsidRPr="00C56257">
        <w:rPr>
          <w:color w:val="000000" w:themeColor="text1"/>
          <w:sz w:val="24"/>
          <w:szCs w:val="24"/>
        </w:rPr>
        <w:t>evaluare</w:t>
      </w:r>
      <w:proofErr w:type="spellEnd"/>
      <w:r w:rsidRPr="00C56257">
        <w:rPr>
          <w:color w:val="000000" w:themeColor="text1"/>
          <w:sz w:val="24"/>
          <w:szCs w:val="24"/>
        </w:rPr>
        <w:t xml:space="preserve"> a </w:t>
      </w:r>
      <w:proofErr w:type="spellStart"/>
      <w:r w:rsidRPr="00C56257">
        <w:rPr>
          <w:color w:val="000000" w:themeColor="text1"/>
          <w:sz w:val="24"/>
          <w:szCs w:val="24"/>
        </w:rPr>
        <w:t>tendințelor</w:t>
      </w:r>
      <w:proofErr w:type="spellEnd"/>
      <w:r w:rsidRPr="00C56257">
        <w:rPr>
          <w:color w:val="000000" w:themeColor="text1"/>
          <w:sz w:val="24"/>
          <w:szCs w:val="24"/>
        </w:rPr>
        <w:t xml:space="preserve"> de </w:t>
      </w:r>
      <w:proofErr w:type="spellStart"/>
      <w:r w:rsidRPr="00C56257">
        <w:rPr>
          <w:color w:val="000000" w:themeColor="text1"/>
          <w:sz w:val="24"/>
          <w:szCs w:val="24"/>
        </w:rPr>
        <w:t>evoluție</w:t>
      </w:r>
      <w:proofErr w:type="spellEnd"/>
      <w:r w:rsidRPr="00C56257">
        <w:rPr>
          <w:color w:val="000000" w:themeColor="text1"/>
          <w:sz w:val="24"/>
          <w:szCs w:val="24"/>
        </w:rPr>
        <w:t xml:space="preserve"> pe termen </w:t>
      </w:r>
      <w:proofErr w:type="spellStart"/>
      <w:r w:rsidRPr="00C56257">
        <w:rPr>
          <w:color w:val="000000" w:themeColor="text1"/>
          <w:sz w:val="24"/>
          <w:szCs w:val="24"/>
        </w:rPr>
        <w:t>scurt</w:t>
      </w:r>
      <w:proofErr w:type="spellEnd"/>
      <w:r w:rsidRPr="00C56257">
        <w:rPr>
          <w:color w:val="000000" w:themeColor="text1"/>
          <w:sz w:val="24"/>
          <w:szCs w:val="24"/>
        </w:rPr>
        <w:t xml:space="preserve"> </w:t>
      </w:r>
      <w:proofErr w:type="spellStart"/>
      <w:r w:rsidRPr="00C56257">
        <w:rPr>
          <w:color w:val="000000" w:themeColor="text1"/>
          <w:sz w:val="24"/>
          <w:szCs w:val="24"/>
        </w:rPr>
        <w:t>utilizează</w:t>
      </w:r>
      <w:proofErr w:type="spellEnd"/>
      <w:r w:rsidRPr="00C56257">
        <w:rPr>
          <w:color w:val="000000" w:themeColor="text1"/>
          <w:sz w:val="24"/>
          <w:szCs w:val="24"/>
        </w:rPr>
        <w:t xml:space="preserve"> </w:t>
      </w:r>
      <w:proofErr w:type="spellStart"/>
      <w:r w:rsidRPr="00C56257">
        <w:rPr>
          <w:color w:val="000000" w:themeColor="text1"/>
          <w:sz w:val="24"/>
          <w:szCs w:val="24"/>
        </w:rPr>
        <w:t>tendința</w:t>
      </w:r>
      <w:proofErr w:type="spellEnd"/>
      <w:r w:rsidRPr="00C56257">
        <w:rPr>
          <w:color w:val="000000" w:themeColor="text1"/>
          <w:sz w:val="24"/>
          <w:szCs w:val="24"/>
        </w:rPr>
        <w:t xml:space="preserve"> </w:t>
      </w:r>
      <w:proofErr w:type="spellStart"/>
      <w:r w:rsidRPr="00C56257">
        <w:rPr>
          <w:color w:val="000000" w:themeColor="text1"/>
          <w:sz w:val="24"/>
          <w:szCs w:val="24"/>
        </w:rPr>
        <w:t>observată</w:t>
      </w:r>
      <w:proofErr w:type="spellEnd"/>
      <w:r w:rsidRPr="00C56257">
        <w:rPr>
          <w:color w:val="000000" w:themeColor="text1"/>
          <w:sz w:val="24"/>
          <w:szCs w:val="24"/>
        </w:rPr>
        <w:t xml:space="preserve"> </w:t>
      </w:r>
      <w:proofErr w:type="spellStart"/>
      <w:r w:rsidRPr="00C56257">
        <w:rPr>
          <w:color w:val="000000" w:themeColor="text1"/>
          <w:sz w:val="24"/>
          <w:szCs w:val="24"/>
        </w:rPr>
        <w:t>pentru</w:t>
      </w:r>
      <w:proofErr w:type="spellEnd"/>
      <w:r w:rsidRPr="00C56257">
        <w:rPr>
          <w:color w:val="000000" w:themeColor="text1"/>
          <w:spacing w:val="1"/>
          <w:sz w:val="24"/>
          <w:szCs w:val="24"/>
        </w:rPr>
        <w:t xml:space="preserve"> </w:t>
      </w:r>
      <w:proofErr w:type="spellStart"/>
      <w:r w:rsidRPr="00C56257">
        <w:rPr>
          <w:color w:val="000000" w:themeColor="text1"/>
          <w:sz w:val="24"/>
          <w:szCs w:val="24"/>
        </w:rPr>
        <w:t>parametrii</w:t>
      </w:r>
      <w:proofErr w:type="spellEnd"/>
      <w:r w:rsidRPr="00C56257">
        <w:rPr>
          <w:color w:val="000000" w:themeColor="text1"/>
          <w:sz w:val="24"/>
          <w:szCs w:val="24"/>
        </w:rPr>
        <w:t xml:space="preserve"> de stare precum areal de </w:t>
      </w:r>
      <w:proofErr w:type="spellStart"/>
      <w:r w:rsidRPr="00C56257">
        <w:rPr>
          <w:color w:val="000000" w:themeColor="text1"/>
          <w:sz w:val="24"/>
          <w:szCs w:val="24"/>
        </w:rPr>
        <w:t>distribuție</w:t>
      </w:r>
      <w:proofErr w:type="spellEnd"/>
      <w:r w:rsidRPr="00C56257">
        <w:rPr>
          <w:color w:val="000000" w:themeColor="text1"/>
          <w:sz w:val="24"/>
          <w:szCs w:val="24"/>
        </w:rPr>
        <w:t xml:space="preserve"> </w:t>
      </w:r>
      <w:proofErr w:type="spellStart"/>
      <w:r w:rsidRPr="00C56257">
        <w:rPr>
          <w:color w:val="000000" w:themeColor="text1"/>
          <w:sz w:val="24"/>
          <w:szCs w:val="24"/>
        </w:rPr>
        <w:t>și</w:t>
      </w:r>
      <w:proofErr w:type="spellEnd"/>
      <w:r w:rsidRPr="00C56257">
        <w:rPr>
          <w:color w:val="000000" w:themeColor="text1"/>
          <w:sz w:val="24"/>
          <w:szCs w:val="24"/>
        </w:rPr>
        <w:t xml:space="preserve"> </w:t>
      </w:r>
      <w:proofErr w:type="spellStart"/>
      <w:r w:rsidRPr="00C56257">
        <w:rPr>
          <w:color w:val="000000" w:themeColor="text1"/>
          <w:sz w:val="24"/>
          <w:szCs w:val="24"/>
        </w:rPr>
        <w:t>structură</w:t>
      </w:r>
      <w:proofErr w:type="spellEnd"/>
      <w:r w:rsidRPr="00C56257">
        <w:rPr>
          <w:color w:val="000000" w:themeColor="text1"/>
          <w:sz w:val="24"/>
          <w:szCs w:val="24"/>
        </w:rPr>
        <w:t xml:space="preserve"> </w:t>
      </w:r>
      <w:proofErr w:type="spellStart"/>
      <w:r w:rsidRPr="00C56257">
        <w:rPr>
          <w:color w:val="000000" w:themeColor="text1"/>
          <w:sz w:val="24"/>
          <w:szCs w:val="24"/>
        </w:rPr>
        <w:t>și</w:t>
      </w:r>
      <w:proofErr w:type="spellEnd"/>
      <w:r w:rsidRPr="00C56257">
        <w:rPr>
          <w:color w:val="000000" w:themeColor="text1"/>
          <w:sz w:val="24"/>
          <w:szCs w:val="24"/>
        </w:rPr>
        <w:t xml:space="preserve"> </w:t>
      </w:r>
      <w:proofErr w:type="spellStart"/>
      <w:r w:rsidRPr="00C56257">
        <w:rPr>
          <w:color w:val="000000" w:themeColor="text1"/>
          <w:sz w:val="24"/>
          <w:szCs w:val="24"/>
        </w:rPr>
        <w:t>funcții</w:t>
      </w:r>
      <w:proofErr w:type="spellEnd"/>
      <w:r w:rsidRPr="00C56257">
        <w:rPr>
          <w:color w:val="000000" w:themeColor="text1"/>
          <w:sz w:val="24"/>
          <w:szCs w:val="24"/>
        </w:rPr>
        <w:t xml:space="preserve"> </w:t>
      </w:r>
      <w:proofErr w:type="spellStart"/>
      <w:r w:rsidRPr="00C56257">
        <w:rPr>
          <w:color w:val="000000" w:themeColor="text1"/>
          <w:sz w:val="24"/>
          <w:szCs w:val="24"/>
        </w:rPr>
        <w:t>raportate</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urmă</w:t>
      </w:r>
      <w:proofErr w:type="spellEnd"/>
      <w:r w:rsidRPr="00C56257">
        <w:rPr>
          <w:color w:val="000000" w:themeColor="text1"/>
          <w:sz w:val="24"/>
          <w:szCs w:val="24"/>
        </w:rPr>
        <w:t xml:space="preserve"> cu 2 </w:t>
      </w:r>
      <w:proofErr w:type="spellStart"/>
      <w:r w:rsidRPr="00C56257">
        <w:rPr>
          <w:color w:val="000000" w:themeColor="text1"/>
          <w:sz w:val="24"/>
          <w:szCs w:val="24"/>
        </w:rPr>
        <w:t>cicluri</w:t>
      </w:r>
      <w:proofErr w:type="spellEnd"/>
      <w:r w:rsidRPr="00C56257">
        <w:rPr>
          <w:color w:val="000000" w:themeColor="text1"/>
          <w:sz w:val="24"/>
          <w:szCs w:val="24"/>
        </w:rPr>
        <w:t xml:space="preserve"> de</w:t>
      </w:r>
      <w:r w:rsidRPr="00C56257">
        <w:rPr>
          <w:color w:val="000000" w:themeColor="text1"/>
          <w:spacing w:val="1"/>
          <w:sz w:val="24"/>
          <w:szCs w:val="24"/>
        </w:rPr>
        <w:t xml:space="preserve"> </w:t>
      </w:r>
      <w:proofErr w:type="spellStart"/>
      <w:r w:rsidRPr="00C56257">
        <w:rPr>
          <w:color w:val="000000" w:themeColor="text1"/>
          <w:sz w:val="24"/>
          <w:szCs w:val="24"/>
        </w:rPr>
        <w:t>raportare</w:t>
      </w:r>
      <w:proofErr w:type="spellEnd"/>
      <w:r w:rsidRPr="00C56257">
        <w:rPr>
          <w:color w:val="000000" w:themeColor="text1"/>
          <w:spacing w:val="1"/>
          <w:sz w:val="24"/>
          <w:szCs w:val="24"/>
        </w:rPr>
        <w:t xml:space="preserve"> </w:t>
      </w:r>
      <w:r w:rsidRPr="00C56257">
        <w:rPr>
          <w:color w:val="000000" w:themeColor="text1"/>
          <w:sz w:val="24"/>
          <w:szCs w:val="24"/>
        </w:rPr>
        <w:t>(de</w:t>
      </w:r>
      <w:r w:rsidRPr="00C56257">
        <w:rPr>
          <w:color w:val="000000" w:themeColor="text1"/>
          <w:spacing w:val="1"/>
          <w:sz w:val="24"/>
          <w:szCs w:val="24"/>
        </w:rPr>
        <w:t xml:space="preserve"> </w:t>
      </w:r>
      <w:r w:rsidRPr="00C56257">
        <w:rPr>
          <w:color w:val="000000" w:themeColor="text1"/>
          <w:sz w:val="24"/>
          <w:szCs w:val="24"/>
        </w:rPr>
        <w:t>6</w:t>
      </w:r>
      <w:r w:rsidRPr="00C56257">
        <w:rPr>
          <w:color w:val="000000" w:themeColor="text1"/>
          <w:spacing w:val="1"/>
          <w:sz w:val="24"/>
          <w:szCs w:val="24"/>
        </w:rPr>
        <w:t xml:space="preserve"> </w:t>
      </w:r>
      <w:r w:rsidRPr="00C56257">
        <w:rPr>
          <w:color w:val="000000" w:themeColor="text1"/>
          <w:sz w:val="24"/>
          <w:szCs w:val="24"/>
        </w:rPr>
        <w:t>ani).</w:t>
      </w:r>
      <w:r w:rsidRPr="00C56257">
        <w:rPr>
          <w:color w:val="000000" w:themeColor="text1"/>
          <w:spacing w:val="1"/>
          <w:sz w:val="24"/>
          <w:szCs w:val="24"/>
        </w:rPr>
        <w:t xml:space="preserve"> </w:t>
      </w:r>
      <w:proofErr w:type="spellStart"/>
      <w:r w:rsidRPr="00C56257">
        <w:rPr>
          <w:color w:val="000000" w:themeColor="text1"/>
          <w:sz w:val="24"/>
          <w:szCs w:val="24"/>
        </w:rPr>
        <w:t>Tendința</w:t>
      </w:r>
      <w:proofErr w:type="spellEnd"/>
      <w:r w:rsidRPr="00C56257">
        <w:rPr>
          <w:color w:val="000000" w:themeColor="text1"/>
          <w:spacing w:val="1"/>
          <w:sz w:val="24"/>
          <w:szCs w:val="24"/>
        </w:rPr>
        <w:t xml:space="preserve"> </w:t>
      </w:r>
      <w:proofErr w:type="spellStart"/>
      <w:r w:rsidR="00064C1F">
        <w:rPr>
          <w:color w:val="000000" w:themeColor="text1"/>
          <w:sz w:val="24"/>
          <w:szCs w:val="24"/>
        </w:rPr>
        <w:t>este</w:t>
      </w:r>
      <w:proofErr w:type="spellEnd"/>
      <w:r w:rsidR="00064C1F">
        <w:rPr>
          <w:color w:val="000000" w:themeColor="text1"/>
          <w:sz w:val="24"/>
          <w:szCs w:val="24"/>
        </w:rPr>
        <w:t xml:space="preserve"> </w:t>
      </w:r>
      <w:proofErr w:type="spellStart"/>
      <w:r w:rsidRPr="00C56257">
        <w:rPr>
          <w:color w:val="000000" w:themeColor="text1"/>
          <w:sz w:val="24"/>
          <w:szCs w:val="24"/>
        </w:rPr>
        <w:t>evaluată</w:t>
      </w:r>
      <w:proofErr w:type="spellEnd"/>
      <w:r w:rsidRPr="00C56257">
        <w:rPr>
          <w:color w:val="000000" w:themeColor="text1"/>
          <w:spacing w:val="1"/>
          <w:sz w:val="24"/>
          <w:szCs w:val="24"/>
        </w:rPr>
        <w:t xml:space="preserve"> </w:t>
      </w:r>
      <w:proofErr w:type="spellStart"/>
      <w:r w:rsidRPr="00C56257">
        <w:rPr>
          <w:color w:val="000000" w:themeColor="text1"/>
          <w:sz w:val="24"/>
          <w:szCs w:val="24"/>
        </w:rPr>
        <w:t>utilizând</w:t>
      </w:r>
      <w:proofErr w:type="spellEnd"/>
      <w:r w:rsidRPr="00C56257">
        <w:rPr>
          <w:color w:val="000000" w:themeColor="text1"/>
          <w:spacing w:val="1"/>
          <w:sz w:val="24"/>
          <w:szCs w:val="24"/>
        </w:rPr>
        <w:t xml:space="preserve"> </w:t>
      </w:r>
      <w:proofErr w:type="spellStart"/>
      <w:r w:rsidRPr="00C56257">
        <w:rPr>
          <w:color w:val="000000" w:themeColor="text1"/>
          <w:sz w:val="24"/>
          <w:szCs w:val="24"/>
        </w:rPr>
        <w:t>indicatori</w:t>
      </w:r>
      <w:proofErr w:type="spellEnd"/>
      <w:r w:rsidRPr="00C56257">
        <w:rPr>
          <w:color w:val="000000" w:themeColor="text1"/>
          <w:spacing w:val="1"/>
          <w:sz w:val="24"/>
          <w:szCs w:val="24"/>
        </w:rPr>
        <w:t xml:space="preserve"> </w:t>
      </w:r>
      <w:proofErr w:type="spellStart"/>
      <w:r w:rsidRPr="00C56257">
        <w:rPr>
          <w:color w:val="000000" w:themeColor="text1"/>
          <w:sz w:val="24"/>
          <w:szCs w:val="24"/>
        </w:rPr>
        <w:t>calitativi</w:t>
      </w:r>
      <w:proofErr w:type="spellEnd"/>
      <w:r w:rsidRPr="00C56257">
        <w:rPr>
          <w:color w:val="000000" w:themeColor="text1"/>
          <w:spacing w:val="1"/>
          <w:sz w:val="24"/>
          <w:szCs w:val="24"/>
        </w:rPr>
        <w:t xml:space="preserve"> </w:t>
      </w:r>
      <w:r w:rsidRPr="00C56257">
        <w:rPr>
          <w:color w:val="000000" w:themeColor="text1"/>
          <w:sz w:val="24"/>
          <w:szCs w:val="24"/>
        </w:rPr>
        <w:t>precum:</w:t>
      </w:r>
      <w:r w:rsidRPr="00C56257">
        <w:rPr>
          <w:color w:val="000000" w:themeColor="text1"/>
          <w:spacing w:val="1"/>
          <w:sz w:val="24"/>
          <w:szCs w:val="24"/>
        </w:rPr>
        <w:t xml:space="preserve"> </w:t>
      </w:r>
      <w:proofErr w:type="spellStart"/>
      <w:r w:rsidRPr="00C56257">
        <w:rPr>
          <w:color w:val="000000" w:themeColor="text1"/>
          <w:sz w:val="24"/>
          <w:szCs w:val="24"/>
        </w:rPr>
        <w:t>stabilă</w:t>
      </w:r>
      <w:proofErr w:type="spellEnd"/>
      <w:r w:rsidRPr="00C56257">
        <w:rPr>
          <w:color w:val="000000" w:themeColor="text1"/>
          <w:sz w:val="24"/>
          <w:szCs w:val="24"/>
        </w:rPr>
        <w:t>,</w:t>
      </w:r>
      <w:r w:rsidRPr="00C56257">
        <w:rPr>
          <w:color w:val="000000" w:themeColor="text1"/>
          <w:spacing w:val="60"/>
          <w:sz w:val="24"/>
          <w:szCs w:val="24"/>
        </w:rPr>
        <w:t xml:space="preserve"> </w:t>
      </w:r>
      <w:proofErr w:type="spellStart"/>
      <w:r w:rsidRPr="00C56257">
        <w:rPr>
          <w:color w:val="000000" w:themeColor="text1"/>
          <w:sz w:val="24"/>
          <w:szCs w:val="24"/>
        </w:rPr>
        <w:t>în</w:t>
      </w:r>
      <w:proofErr w:type="spellEnd"/>
      <w:r w:rsidRPr="00C56257">
        <w:rPr>
          <w:color w:val="000000" w:themeColor="text1"/>
          <w:spacing w:val="1"/>
          <w:sz w:val="24"/>
          <w:szCs w:val="24"/>
        </w:rPr>
        <w:t xml:space="preserve"> </w:t>
      </w:r>
      <w:proofErr w:type="spellStart"/>
      <w:r w:rsidRPr="00C56257">
        <w:rPr>
          <w:color w:val="000000" w:themeColor="text1"/>
          <w:sz w:val="24"/>
          <w:szCs w:val="24"/>
        </w:rPr>
        <w:t>refacere</w:t>
      </w:r>
      <w:proofErr w:type="spellEnd"/>
      <w:r w:rsidRPr="00C56257">
        <w:rPr>
          <w:color w:val="000000" w:themeColor="text1"/>
          <w:sz w:val="24"/>
          <w:szCs w:val="24"/>
        </w:rPr>
        <w:t>,</w:t>
      </w:r>
      <w:r w:rsidRPr="00C56257">
        <w:rPr>
          <w:color w:val="000000" w:themeColor="text1"/>
          <w:spacing w:val="-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declin</w:t>
      </w:r>
      <w:proofErr w:type="spellEnd"/>
      <w:r w:rsidRPr="00C56257">
        <w:rPr>
          <w:color w:val="000000" w:themeColor="text1"/>
          <w:sz w:val="24"/>
          <w:szCs w:val="24"/>
        </w:rPr>
        <w:t xml:space="preserve"> </w:t>
      </w:r>
      <w:proofErr w:type="spellStart"/>
      <w:r w:rsidRPr="00C56257">
        <w:rPr>
          <w:color w:val="000000" w:themeColor="text1"/>
          <w:sz w:val="24"/>
          <w:szCs w:val="24"/>
        </w:rPr>
        <w:t>și</w:t>
      </w:r>
      <w:proofErr w:type="spellEnd"/>
      <w:r w:rsidRPr="00C56257">
        <w:rPr>
          <w:color w:val="000000" w:themeColor="text1"/>
          <w:sz w:val="24"/>
          <w:szCs w:val="24"/>
        </w:rPr>
        <w:t xml:space="preserve"> </w:t>
      </w:r>
      <w:proofErr w:type="spellStart"/>
      <w:r w:rsidRPr="00C56257">
        <w:rPr>
          <w:color w:val="000000" w:themeColor="text1"/>
          <w:sz w:val="24"/>
          <w:szCs w:val="24"/>
        </w:rPr>
        <w:t>necunoscut</w:t>
      </w:r>
      <w:proofErr w:type="spellEnd"/>
      <w:r w:rsidRPr="00C56257">
        <w:rPr>
          <w:color w:val="000000" w:themeColor="text1"/>
          <w:sz w:val="24"/>
          <w:szCs w:val="24"/>
        </w:rPr>
        <w:t>.</w:t>
      </w:r>
    </w:p>
    <w:p w14:paraId="1B651362" w14:textId="77777777" w:rsidR="008572F7" w:rsidRPr="00C56257" w:rsidRDefault="008572F7" w:rsidP="00B538DD">
      <w:pPr>
        <w:pStyle w:val="BodyText"/>
        <w:ind w:left="0" w:right="252"/>
        <w:jc w:val="both"/>
        <w:rPr>
          <w:color w:val="000000" w:themeColor="text1"/>
          <w:sz w:val="24"/>
          <w:szCs w:val="24"/>
        </w:rPr>
      </w:pPr>
      <w:proofErr w:type="spellStart"/>
      <w:r w:rsidRPr="00C56257">
        <w:rPr>
          <w:color w:val="000000" w:themeColor="text1"/>
          <w:sz w:val="24"/>
          <w:szCs w:val="24"/>
        </w:rPr>
        <w:t>Evaluarea</w:t>
      </w:r>
      <w:proofErr w:type="spellEnd"/>
      <w:r w:rsidRPr="00C56257">
        <w:rPr>
          <w:color w:val="000000" w:themeColor="text1"/>
          <w:sz w:val="24"/>
          <w:szCs w:val="24"/>
        </w:rPr>
        <w:t xml:space="preserve"> </w:t>
      </w:r>
      <w:proofErr w:type="spellStart"/>
      <w:r w:rsidRPr="00C56257">
        <w:rPr>
          <w:color w:val="000000" w:themeColor="text1"/>
          <w:sz w:val="24"/>
          <w:szCs w:val="24"/>
        </w:rPr>
        <w:t>tendințelor</w:t>
      </w:r>
      <w:proofErr w:type="spellEnd"/>
      <w:r w:rsidRPr="00C56257">
        <w:rPr>
          <w:color w:val="000000" w:themeColor="text1"/>
          <w:sz w:val="24"/>
          <w:szCs w:val="24"/>
        </w:rPr>
        <w:t xml:space="preserve"> pe termen </w:t>
      </w:r>
      <w:proofErr w:type="spellStart"/>
      <w:r w:rsidRPr="00C56257">
        <w:rPr>
          <w:color w:val="000000" w:themeColor="text1"/>
          <w:sz w:val="24"/>
          <w:szCs w:val="24"/>
        </w:rPr>
        <w:t>scurt</w:t>
      </w:r>
      <w:proofErr w:type="spellEnd"/>
      <w:r w:rsidRPr="00C56257">
        <w:rPr>
          <w:color w:val="000000" w:themeColor="text1"/>
          <w:spacing w:val="1"/>
          <w:sz w:val="24"/>
          <w:szCs w:val="24"/>
        </w:rPr>
        <w:t xml:space="preserve"> </w:t>
      </w:r>
      <w:proofErr w:type="spellStart"/>
      <w:r w:rsidRPr="00C56257">
        <w:rPr>
          <w:color w:val="000000" w:themeColor="text1"/>
          <w:sz w:val="24"/>
          <w:szCs w:val="24"/>
        </w:rPr>
        <w:t>reprezintă</w:t>
      </w:r>
      <w:proofErr w:type="spellEnd"/>
      <w:r w:rsidR="00064C1F">
        <w:rPr>
          <w:color w:val="000000" w:themeColor="text1"/>
          <w:sz w:val="24"/>
          <w:szCs w:val="24"/>
        </w:rPr>
        <w:t>,</w:t>
      </w:r>
      <w:r w:rsidRPr="00C56257">
        <w:rPr>
          <w:color w:val="000000" w:themeColor="text1"/>
          <w:sz w:val="24"/>
          <w:szCs w:val="24"/>
        </w:rPr>
        <w:t xml:space="preserve"> de </w:t>
      </w:r>
      <w:proofErr w:type="spellStart"/>
      <w:r w:rsidRPr="00C56257">
        <w:rPr>
          <w:color w:val="000000" w:themeColor="text1"/>
          <w:sz w:val="24"/>
          <w:szCs w:val="24"/>
        </w:rPr>
        <w:t>asemenea</w:t>
      </w:r>
      <w:proofErr w:type="spellEnd"/>
      <w:r w:rsidR="00064C1F">
        <w:rPr>
          <w:color w:val="000000" w:themeColor="text1"/>
          <w:sz w:val="24"/>
          <w:szCs w:val="24"/>
        </w:rPr>
        <w:t>,</w:t>
      </w:r>
      <w:r w:rsidRPr="00C56257">
        <w:rPr>
          <w:color w:val="000000" w:themeColor="text1"/>
          <w:sz w:val="24"/>
          <w:szCs w:val="24"/>
        </w:rPr>
        <w:t xml:space="preserve"> </w:t>
      </w:r>
      <w:proofErr w:type="spellStart"/>
      <w:r w:rsidRPr="00C56257">
        <w:rPr>
          <w:color w:val="000000" w:themeColor="text1"/>
          <w:sz w:val="24"/>
          <w:szCs w:val="24"/>
        </w:rPr>
        <w:t>cheie</w:t>
      </w:r>
      <w:proofErr w:type="spellEnd"/>
      <w:r w:rsidRPr="00C56257">
        <w:rPr>
          <w:color w:val="000000" w:themeColor="text1"/>
          <w:sz w:val="24"/>
          <w:szCs w:val="24"/>
        </w:rPr>
        <w:t xml:space="preserve"> de control </w:t>
      </w:r>
      <w:proofErr w:type="spellStart"/>
      <w:r w:rsidRPr="00C56257">
        <w:rPr>
          <w:color w:val="000000" w:themeColor="text1"/>
          <w:sz w:val="24"/>
          <w:szCs w:val="24"/>
        </w:rPr>
        <w:t>pentru</w:t>
      </w:r>
      <w:proofErr w:type="spellEnd"/>
      <w:r w:rsidRPr="00C56257">
        <w:rPr>
          <w:color w:val="000000" w:themeColor="text1"/>
          <w:sz w:val="24"/>
          <w:szCs w:val="24"/>
        </w:rPr>
        <w:t xml:space="preserve"> </w:t>
      </w:r>
      <w:proofErr w:type="spellStart"/>
      <w:r w:rsidRPr="00C56257">
        <w:rPr>
          <w:color w:val="000000" w:themeColor="text1"/>
          <w:sz w:val="24"/>
          <w:szCs w:val="24"/>
        </w:rPr>
        <w:t>analiza</w:t>
      </w:r>
      <w:proofErr w:type="spellEnd"/>
      <w:r w:rsidRPr="00C56257">
        <w:rPr>
          <w:color w:val="000000" w:themeColor="text1"/>
          <w:sz w:val="24"/>
          <w:szCs w:val="24"/>
        </w:rPr>
        <w:t xml:space="preserve"> de</w:t>
      </w:r>
      <w:r w:rsidRPr="00C56257">
        <w:rPr>
          <w:color w:val="000000" w:themeColor="text1"/>
          <w:spacing w:val="1"/>
          <w:sz w:val="24"/>
          <w:szCs w:val="24"/>
        </w:rPr>
        <w:t xml:space="preserve"> </w:t>
      </w:r>
      <w:proofErr w:type="spellStart"/>
      <w:r w:rsidRPr="00C56257">
        <w:rPr>
          <w:color w:val="000000" w:themeColor="text1"/>
          <w:sz w:val="24"/>
          <w:szCs w:val="24"/>
        </w:rPr>
        <w:t>calitate</w:t>
      </w:r>
      <w:proofErr w:type="spellEnd"/>
      <w:r w:rsidRPr="00C56257">
        <w:rPr>
          <w:color w:val="000000" w:themeColor="text1"/>
          <w:spacing w:val="-2"/>
          <w:sz w:val="24"/>
          <w:szCs w:val="24"/>
        </w:rPr>
        <w:t xml:space="preserve"> </w:t>
      </w:r>
      <w:r w:rsidRPr="00C56257">
        <w:rPr>
          <w:color w:val="000000" w:themeColor="text1"/>
          <w:sz w:val="24"/>
          <w:szCs w:val="24"/>
        </w:rPr>
        <w:t>a</w:t>
      </w:r>
      <w:r w:rsidRPr="00C56257">
        <w:rPr>
          <w:color w:val="000000" w:themeColor="text1"/>
          <w:spacing w:val="-1"/>
          <w:sz w:val="24"/>
          <w:szCs w:val="24"/>
        </w:rPr>
        <w:t xml:space="preserve"> </w:t>
      </w:r>
      <w:proofErr w:type="spellStart"/>
      <w:r w:rsidRPr="00C56257">
        <w:rPr>
          <w:color w:val="000000" w:themeColor="text1"/>
          <w:sz w:val="24"/>
          <w:szCs w:val="24"/>
        </w:rPr>
        <w:t>rezultatelor</w:t>
      </w:r>
      <w:proofErr w:type="spellEnd"/>
      <w:r w:rsidRPr="00C56257">
        <w:rPr>
          <w:color w:val="000000" w:themeColor="text1"/>
          <w:spacing w:val="-1"/>
          <w:sz w:val="24"/>
          <w:szCs w:val="24"/>
        </w:rPr>
        <w:t xml:space="preserve"> </w:t>
      </w:r>
      <w:proofErr w:type="spellStart"/>
      <w:r w:rsidRPr="00C56257">
        <w:rPr>
          <w:color w:val="000000" w:themeColor="text1"/>
          <w:sz w:val="24"/>
          <w:szCs w:val="24"/>
        </w:rPr>
        <w:t>raportării</w:t>
      </w:r>
      <w:proofErr w:type="spellEnd"/>
      <w:r w:rsidRPr="00C56257">
        <w:rPr>
          <w:color w:val="000000" w:themeColor="text1"/>
          <w:sz w:val="24"/>
          <w:szCs w:val="24"/>
        </w:rPr>
        <w:t xml:space="preserve"> </w:t>
      </w:r>
      <w:proofErr w:type="spellStart"/>
      <w:r w:rsidRPr="00C56257">
        <w:rPr>
          <w:color w:val="000000" w:themeColor="text1"/>
          <w:sz w:val="24"/>
          <w:szCs w:val="24"/>
        </w:rPr>
        <w:t>succesive</w:t>
      </w:r>
      <w:proofErr w:type="spellEnd"/>
      <w:r w:rsidRPr="00C56257">
        <w:rPr>
          <w:color w:val="000000" w:themeColor="text1"/>
          <w:sz w:val="24"/>
          <w:szCs w:val="24"/>
        </w:rPr>
        <w:t>.</w:t>
      </w:r>
    </w:p>
    <w:p w14:paraId="0FA5632E" w14:textId="77777777" w:rsidR="008572F7" w:rsidRPr="00C56257" w:rsidRDefault="008572F7" w:rsidP="008572F7">
      <w:pPr>
        <w:pStyle w:val="BodyText"/>
        <w:spacing w:before="6"/>
        <w:jc w:val="both"/>
        <w:rPr>
          <w:color w:val="000000" w:themeColor="text1"/>
          <w:sz w:val="24"/>
          <w:szCs w:val="24"/>
        </w:rPr>
      </w:pPr>
    </w:p>
    <w:p w14:paraId="56DAA79D" w14:textId="77777777" w:rsidR="008572F7" w:rsidRPr="00C56257" w:rsidRDefault="008572F7" w:rsidP="00F100E1">
      <w:pPr>
        <w:pStyle w:val="Heading2"/>
        <w:widowControl w:val="0"/>
        <w:tabs>
          <w:tab w:val="left" w:pos="1232"/>
        </w:tabs>
        <w:autoSpaceDE w:val="0"/>
        <w:autoSpaceDN w:val="0"/>
        <w:spacing w:before="0" w:beforeAutospacing="0" w:after="0" w:afterAutospacing="0"/>
        <w:jc w:val="both"/>
        <w:rPr>
          <w:color w:val="000000" w:themeColor="text1"/>
          <w:sz w:val="24"/>
          <w:szCs w:val="24"/>
        </w:rPr>
      </w:pPr>
      <w:proofErr w:type="spellStart"/>
      <w:r w:rsidRPr="00C56257">
        <w:rPr>
          <w:color w:val="000000" w:themeColor="text1"/>
          <w:sz w:val="24"/>
          <w:szCs w:val="24"/>
        </w:rPr>
        <w:t>Evaluarea</w:t>
      </w:r>
      <w:proofErr w:type="spellEnd"/>
      <w:r w:rsidRPr="00C56257">
        <w:rPr>
          <w:color w:val="000000" w:themeColor="text1"/>
          <w:spacing w:val="-5"/>
          <w:sz w:val="24"/>
          <w:szCs w:val="24"/>
        </w:rPr>
        <w:t xml:space="preserve"> </w:t>
      </w:r>
      <w:proofErr w:type="spellStart"/>
      <w:r w:rsidRPr="00C56257">
        <w:rPr>
          <w:color w:val="000000" w:themeColor="text1"/>
          <w:sz w:val="24"/>
          <w:szCs w:val="24"/>
        </w:rPr>
        <w:t>tendințelor</w:t>
      </w:r>
      <w:proofErr w:type="spellEnd"/>
      <w:r w:rsidRPr="00C56257">
        <w:rPr>
          <w:color w:val="000000" w:themeColor="text1"/>
          <w:spacing w:val="-2"/>
          <w:sz w:val="24"/>
          <w:szCs w:val="24"/>
        </w:rPr>
        <w:t xml:space="preserve"> </w:t>
      </w:r>
      <w:r w:rsidRPr="00C56257">
        <w:rPr>
          <w:color w:val="000000" w:themeColor="text1"/>
          <w:sz w:val="24"/>
          <w:szCs w:val="24"/>
        </w:rPr>
        <w:t>pe</w:t>
      </w:r>
      <w:r w:rsidRPr="00C56257">
        <w:rPr>
          <w:color w:val="000000" w:themeColor="text1"/>
          <w:spacing w:val="-2"/>
          <w:sz w:val="24"/>
          <w:szCs w:val="24"/>
        </w:rPr>
        <w:t xml:space="preserve"> </w:t>
      </w:r>
      <w:r w:rsidRPr="00C56257">
        <w:rPr>
          <w:color w:val="000000" w:themeColor="text1"/>
          <w:sz w:val="24"/>
          <w:szCs w:val="24"/>
        </w:rPr>
        <w:t>termen</w:t>
      </w:r>
      <w:r w:rsidRPr="00C56257">
        <w:rPr>
          <w:color w:val="000000" w:themeColor="text1"/>
          <w:spacing w:val="-3"/>
          <w:sz w:val="24"/>
          <w:szCs w:val="24"/>
        </w:rPr>
        <w:t xml:space="preserve"> </w:t>
      </w:r>
      <w:r w:rsidRPr="00C56257">
        <w:rPr>
          <w:color w:val="000000" w:themeColor="text1"/>
          <w:sz w:val="24"/>
          <w:szCs w:val="24"/>
        </w:rPr>
        <w:t>lung</w:t>
      </w:r>
    </w:p>
    <w:p w14:paraId="1D5D0BF4" w14:textId="77777777" w:rsidR="008572F7" w:rsidRPr="00C56257" w:rsidRDefault="008572F7" w:rsidP="00B538DD">
      <w:pPr>
        <w:pStyle w:val="BodyText"/>
        <w:spacing w:before="157"/>
        <w:ind w:left="0" w:right="253"/>
        <w:jc w:val="both"/>
        <w:rPr>
          <w:color w:val="000000" w:themeColor="text1"/>
          <w:sz w:val="24"/>
          <w:szCs w:val="24"/>
        </w:rPr>
      </w:pPr>
      <w:proofErr w:type="spellStart"/>
      <w:r w:rsidRPr="00C56257">
        <w:rPr>
          <w:color w:val="000000" w:themeColor="text1"/>
          <w:sz w:val="24"/>
          <w:szCs w:val="24"/>
        </w:rPr>
        <w:t>Având</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vedere</w:t>
      </w:r>
      <w:proofErr w:type="spellEnd"/>
      <w:r w:rsidRPr="00C56257">
        <w:rPr>
          <w:color w:val="000000" w:themeColor="text1"/>
          <w:sz w:val="24"/>
          <w:szCs w:val="24"/>
        </w:rPr>
        <w:t xml:space="preserve"> </w:t>
      </w:r>
      <w:proofErr w:type="spellStart"/>
      <w:r w:rsidRPr="00C56257">
        <w:rPr>
          <w:color w:val="000000" w:themeColor="text1"/>
          <w:sz w:val="24"/>
          <w:szCs w:val="24"/>
        </w:rPr>
        <w:t>că</w:t>
      </w:r>
      <w:proofErr w:type="spellEnd"/>
      <w:r w:rsidRPr="00C56257">
        <w:rPr>
          <w:color w:val="000000" w:themeColor="text1"/>
          <w:sz w:val="24"/>
          <w:szCs w:val="24"/>
        </w:rPr>
        <w:t xml:space="preserve"> </w:t>
      </w:r>
      <w:proofErr w:type="spellStart"/>
      <w:r w:rsidRPr="00C56257">
        <w:rPr>
          <w:color w:val="000000" w:themeColor="text1"/>
          <w:sz w:val="24"/>
          <w:szCs w:val="24"/>
        </w:rPr>
        <w:t>România</w:t>
      </w:r>
      <w:proofErr w:type="spellEnd"/>
      <w:r w:rsidRPr="00C56257">
        <w:rPr>
          <w:color w:val="000000" w:themeColor="text1"/>
          <w:sz w:val="24"/>
          <w:szCs w:val="24"/>
        </w:rPr>
        <w:t xml:space="preserve"> </w:t>
      </w:r>
      <w:proofErr w:type="spellStart"/>
      <w:r w:rsidRPr="00C56257">
        <w:rPr>
          <w:color w:val="000000" w:themeColor="text1"/>
          <w:sz w:val="24"/>
          <w:szCs w:val="24"/>
        </w:rPr>
        <w:t>este</w:t>
      </w:r>
      <w:proofErr w:type="spellEnd"/>
      <w:r w:rsidRPr="00C56257">
        <w:rPr>
          <w:color w:val="000000" w:themeColor="text1"/>
          <w:sz w:val="24"/>
          <w:szCs w:val="24"/>
        </w:rPr>
        <w:t xml:space="preserve"> la a </w:t>
      </w:r>
      <w:proofErr w:type="spellStart"/>
      <w:r w:rsidRPr="00C56257">
        <w:rPr>
          <w:color w:val="000000" w:themeColor="text1"/>
          <w:sz w:val="24"/>
          <w:szCs w:val="24"/>
        </w:rPr>
        <w:t>doua</w:t>
      </w:r>
      <w:proofErr w:type="spellEnd"/>
      <w:r w:rsidRPr="00C56257">
        <w:rPr>
          <w:color w:val="000000" w:themeColor="text1"/>
          <w:sz w:val="24"/>
          <w:szCs w:val="24"/>
        </w:rPr>
        <w:t xml:space="preserve"> </w:t>
      </w:r>
      <w:proofErr w:type="spellStart"/>
      <w:r w:rsidRPr="00C56257">
        <w:rPr>
          <w:color w:val="000000" w:themeColor="text1"/>
          <w:sz w:val="24"/>
          <w:szCs w:val="24"/>
        </w:rPr>
        <w:t>raportare</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baza</w:t>
      </w:r>
      <w:proofErr w:type="spellEnd"/>
      <w:r w:rsidRPr="00C56257">
        <w:rPr>
          <w:color w:val="000000" w:themeColor="text1"/>
          <w:sz w:val="24"/>
          <w:szCs w:val="24"/>
        </w:rPr>
        <w:t xml:space="preserve"> art. 17 al </w:t>
      </w:r>
      <w:proofErr w:type="spellStart"/>
      <w:r w:rsidRPr="00C56257">
        <w:rPr>
          <w:color w:val="000000" w:themeColor="text1"/>
          <w:sz w:val="24"/>
          <w:szCs w:val="24"/>
        </w:rPr>
        <w:t>Directivei</w:t>
      </w:r>
      <w:proofErr w:type="spellEnd"/>
      <w:r w:rsidRPr="00C56257">
        <w:rPr>
          <w:color w:val="000000" w:themeColor="text1"/>
          <w:sz w:val="24"/>
          <w:szCs w:val="24"/>
        </w:rPr>
        <w:t xml:space="preserve"> </w:t>
      </w:r>
      <w:proofErr w:type="spellStart"/>
      <w:r w:rsidRPr="00C56257">
        <w:rPr>
          <w:color w:val="000000" w:themeColor="text1"/>
          <w:sz w:val="24"/>
          <w:szCs w:val="24"/>
        </w:rPr>
        <w:t>Habitate</w:t>
      </w:r>
      <w:proofErr w:type="spellEnd"/>
      <w:r w:rsidRPr="00C56257">
        <w:rPr>
          <w:color w:val="000000" w:themeColor="text1"/>
          <w:sz w:val="24"/>
          <w:szCs w:val="24"/>
        </w:rPr>
        <w:t>, prima</w:t>
      </w:r>
      <w:r w:rsidRPr="00C56257">
        <w:rPr>
          <w:color w:val="000000" w:themeColor="text1"/>
          <w:spacing w:val="1"/>
          <w:sz w:val="24"/>
          <w:szCs w:val="24"/>
        </w:rPr>
        <w:t xml:space="preserve"> </w:t>
      </w:r>
      <w:proofErr w:type="spellStart"/>
      <w:r w:rsidRPr="00C56257">
        <w:rPr>
          <w:color w:val="000000" w:themeColor="text1"/>
          <w:sz w:val="24"/>
          <w:szCs w:val="24"/>
        </w:rPr>
        <w:t>raportare</w:t>
      </w:r>
      <w:proofErr w:type="spellEnd"/>
      <w:r w:rsidRPr="00C56257">
        <w:rPr>
          <w:color w:val="000000" w:themeColor="text1"/>
          <w:sz w:val="24"/>
          <w:szCs w:val="24"/>
        </w:rPr>
        <w:t xml:space="preserve"> </w:t>
      </w:r>
      <w:proofErr w:type="spellStart"/>
      <w:r w:rsidRPr="00C56257">
        <w:rPr>
          <w:color w:val="000000" w:themeColor="text1"/>
          <w:sz w:val="24"/>
          <w:szCs w:val="24"/>
        </w:rPr>
        <w:t>rămânând</w:t>
      </w:r>
      <w:proofErr w:type="spellEnd"/>
      <w:r w:rsidRPr="00C56257">
        <w:rPr>
          <w:color w:val="000000" w:themeColor="text1"/>
          <w:sz w:val="24"/>
          <w:szCs w:val="24"/>
        </w:rPr>
        <w:t xml:space="preserve"> de </w:t>
      </w:r>
      <w:proofErr w:type="spellStart"/>
      <w:r w:rsidRPr="00C56257">
        <w:rPr>
          <w:color w:val="000000" w:themeColor="text1"/>
          <w:sz w:val="24"/>
          <w:szCs w:val="24"/>
        </w:rPr>
        <w:t>referință</w:t>
      </w:r>
      <w:proofErr w:type="spellEnd"/>
      <w:r w:rsidRPr="00C56257">
        <w:rPr>
          <w:color w:val="000000" w:themeColor="text1"/>
          <w:sz w:val="24"/>
          <w:szCs w:val="24"/>
        </w:rPr>
        <w:t xml:space="preserve"> </w:t>
      </w:r>
      <w:proofErr w:type="spellStart"/>
      <w:r w:rsidRPr="00C56257">
        <w:rPr>
          <w:color w:val="000000" w:themeColor="text1"/>
          <w:sz w:val="24"/>
          <w:szCs w:val="24"/>
        </w:rPr>
        <w:t>pentru</w:t>
      </w:r>
      <w:proofErr w:type="spellEnd"/>
      <w:r w:rsidRPr="00C56257">
        <w:rPr>
          <w:color w:val="000000" w:themeColor="text1"/>
          <w:sz w:val="24"/>
          <w:szCs w:val="24"/>
        </w:rPr>
        <w:t xml:space="preserve"> </w:t>
      </w:r>
      <w:proofErr w:type="spellStart"/>
      <w:r w:rsidRPr="00C56257">
        <w:rPr>
          <w:color w:val="000000" w:themeColor="text1"/>
          <w:sz w:val="24"/>
          <w:szCs w:val="24"/>
        </w:rPr>
        <w:t>următoarele</w:t>
      </w:r>
      <w:proofErr w:type="spellEnd"/>
      <w:r w:rsidRPr="00C56257">
        <w:rPr>
          <w:color w:val="000000" w:themeColor="text1"/>
          <w:sz w:val="24"/>
          <w:szCs w:val="24"/>
        </w:rPr>
        <w:t xml:space="preserve"> </w:t>
      </w:r>
      <w:proofErr w:type="spellStart"/>
      <w:r w:rsidRPr="00C56257">
        <w:rPr>
          <w:color w:val="000000" w:themeColor="text1"/>
          <w:sz w:val="24"/>
          <w:szCs w:val="24"/>
        </w:rPr>
        <w:t>rapoarte</w:t>
      </w:r>
      <w:proofErr w:type="spellEnd"/>
      <w:r w:rsidRPr="00C56257">
        <w:rPr>
          <w:color w:val="000000" w:themeColor="text1"/>
          <w:sz w:val="24"/>
          <w:szCs w:val="24"/>
        </w:rPr>
        <w:t xml:space="preserve">, s-a </w:t>
      </w:r>
      <w:proofErr w:type="spellStart"/>
      <w:r w:rsidRPr="00C56257">
        <w:rPr>
          <w:color w:val="000000" w:themeColor="text1"/>
          <w:sz w:val="24"/>
          <w:szCs w:val="24"/>
        </w:rPr>
        <w:t>realizat</w:t>
      </w:r>
      <w:proofErr w:type="spellEnd"/>
      <w:r w:rsidRPr="00C56257">
        <w:rPr>
          <w:color w:val="000000" w:themeColor="text1"/>
          <w:sz w:val="24"/>
          <w:szCs w:val="24"/>
        </w:rPr>
        <w:t xml:space="preserve"> </w:t>
      </w:r>
      <w:proofErr w:type="spellStart"/>
      <w:r w:rsidRPr="00C56257">
        <w:rPr>
          <w:color w:val="000000" w:themeColor="text1"/>
          <w:sz w:val="24"/>
          <w:szCs w:val="24"/>
        </w:rPr>
        <w:t>evaluarea</w:t>
      </w:r>
      <w:proofErr w:type="spellEnd"/>
      <w:r w:rsidRPr="00C56257">
        <w:rPr>
          <w:color w:val="000000" w:themeColor="text1"/>
          <w:sz w:val="24"/>
          <w:szCs w:val="24"/>
        </w:rPr>
        <w:t xml:space="preserve"> </w:t>
      </w:r>
      <w:proofErr w:type="spellStart"/>
      <w:r w:rsidRPr="00C56257">
        <w:rPr>
          <w:color w:val="000000" w:themeColor="text1"/>
          <w:sz w:val="24"/>
          <w:szCs w:val="24"/>
        </w:rPr>
        <w:t>tendințelor</w:t>
      </w:r>
      <w:proofErr w:type="spellEnd"/>
      <w:r w:rsidRPr="00C56257">
        <w:rPr>
          <w:color w:val="000000" w:themeColor="text1"/>
          <w:sz w:val="24"/>
          <w:szCs w:val="24"/>
        </w:rPr>
        <w:t xml:space="preserve"> pe</w:t>
      </w:r>
      <w:r w:rsidRPr="00C56257">
        <w:rPr>
          <w:color w:val="000000" w:themeColor="text1"/>
          <w:spacing w:val="1"/>
          <w:sz w:val="24"/>
          <w:szCs w:val="24"/>
        </w:rPr>
        <w:t xml:space="preserve"> </w:t>
      </w:r>
      <w:r w:rsidRPr="00C56257">
        <w:rPr>
          <w:color w:val="000000" w:themeColor="text1"/>
          <w:sz w:val="24"/>
          <w:szCs w:val="24"/>
        </w:rPr>
        <w:t>termen lung</w:t>
      </w:r>
      <w:r w:rsidRPr="00C56257">
        <w:rPr>
          <w:color w:val="000000" w:themeColor="text1"/>
          <w:spacing w:val="1"/>
          <w:sz w:val="24"/>
          <w:szCs w:val="24"/>
        </w:rPr>
        <w:t xml:space="preserve"> </w:t>
      </w:r>
      <w:r w:rsidRPr="00C56257">
        <w:rPr>
          <w:color w:val="000000" w:themeColor="text1"/>
          <w:sz w:val="24"/>
          <w:szCs w:val="24"/>
        </w:rPr>
        <w:t xml:space="preserve">a </w:t>
      </w:r>
      <w:proofErr w:type="spellStart"/>
      <w:r w:rsidRPr="00C56257">
        <w:rPr>
          <w:color w:val="000000" w:themeColor="text1"/>
          <w:sz w:val="24"/>
          <w:szCs w:val="24"/>
        </w:rPr>
        <w:t>stării</w:t>
      </w:r>
      <w:proofErr w:type="spellEnd"/>
      <w:r w:rsidRPr="00C56257">
        <w:rPr>
          <w:color w:val="000000" w:themeColor="text1"/>
          <w:sz w:val="24"/>
          <w:szCs w:val="24"/>
        </w:rPr>
        <w:t xml:space="preserve"> de </w:t>
      </w:r>
      <w:proofErr w:type="spellStart"/>
      <w:r w:rsidRPr="00C56257">
        <w:rPr>
          <w:color w:val="000000" w:themeColor="text1"/>
          <w:sz w:val="24"/>
          <w:szCs w:val="24"/>
        </w:rPr>
        <w:t>conservare</w:t>
      </w:r>
      <w:proofErr w:type="spellEnd"/>
      <w:r w:rsidRPr="00C56257">
        <w:rPr>
          <w:color w:val="000000" w:themeColor="text1"/>
          <w:sz w:val="24"/>
          <w:szCs w:val="24"/>
        </w:rPr>
        <w:t xml:space="preserve"> cu </w:t>
      </w:r>
      <w:proofErr w:type="spellStart"/>
      <w:r w:rsidRPr="00C56257">
        <w:rPr>
          <w:color w:val="000000" w:themeColor="text1"/>
          <w:sz w:val="24"/>
          <w:szCs w:val="24"/>
        </w:rPr>
        <w:t>utilizarea</w:t>
      </w:r>
      <w:proofErr w:type="spellEnd"/>
      <w:r w:rsidRPr="00C56257">
        <w:rPr>
          <w:color w:val="000000" w:themeColor="text1"/>
          <w:sz w:val="24"/>
          <w:szCs w:val="24"/>
        </w:rPr>
        <w:t xml:space="preserve"> </w:t>
      </w:r>
      <w:proofErr w:type="spellStart"/>
      <w:r w:rsidRPr="00C56257">
        <w:rPr>
          <w:color w:val="000000" w:themeColor="text1"/>
          <w:sz w:val="24"/>
          <w:szCs w:val="24"/>
        </w:rPr>
        <w:t>doar</w:t>
      </w:r>
      <w:proofErr w:type="spellEnd"/>
      <w:r w:rsidRPr="00C56257">
        <w:rPr>
          <w:color w:val="000000" w:themeColor="text1"/>
          <w:sz w:val="24"/>
          <w:szCs w:val="24"/>
        </w:rPr>
        <w:t xml:space="preserve"> a </w:t>
      </w:r>
      <w:proofErr w:type="spellStart"/>
      <w:r w:rsidRPr="00C56257">
        <w:rPr>
          <w:color w:val="000000" w:themeColor="text1"/>
          <w:sz w:val="24"/>
          <w:szCs w:val="24"/>
        </w:rPr>
        <w:t>unui</w:t>
      </w:r>
      <w:proofErr w:type="spellEnd"/>
      <w:r w:rsidRPr="00C56257">
        <w:rPr>
          <w:color w:val="000000" w:themeColor="text1"/>
          <w:sz w:val="24"/>
          <w:szCs w:val="24"/>
        </w:rPr>
        <w:t xml:space="preserve"> </w:t>
      </w:r>
      <w:proofErr w:type="spellStart"/>
      <w:r w:rsidRPr="00C56257">
        <w:rPr>
          <w:color w:val="000000" w:themeColor="text1"/>
          <w:sz w:val="24"/>
          <w:szCs w:val="24"/>
        </w:rPr>
        <w:t>ciclu</w:t>
      </w:r>
      <w:proofErr w:type="spellEnd"/>
      <w:r w:rsidRPr="00C56257">
        <w:rPr>
          <w:color w:val="000000" w:themeColor="text1"/>
          <w:sz w:val="24"/>
          <w:szCs w:val="24"/>
        </w:rPr>
        <w:t xml:space="preserve"> de </w:t>
      </w:r>
      <w:proofErr w:type="spellStart"/>
      <w:r w:rsidRPr="00C56257">
        <w:rPr>
          <w:color w:val="000000" w:themeColor="text1"/>
          <w:sz w:val="24"/>
          <w:szCs w:val="24"/>
        </w:rPr>
        <w:t>raportare</w:t>
      </w:r>
      <w:proofErr w:type="spellEnd"/>
      <w:r w:rsidRPr="00C56257">
        <w:rPr>
          <w:color w:val="000000" w:themeColor="text1"/>
          <w:sz w:val="24"/>
          <w:szCs w:val="24"/>
        </w:rPr>
        <w:t xml:space="preserve">, </w:t>
      </w:r>
      <w:proofErr w:type="spellStart"/>
      <w:r w:rsidRPr="00C56257">
        <w:rPr>
          <w:color w:val="000000" w:themeColor="text1"/>
          <w:sz w:val="24"/>
          <w:szCs w:val="24"/>
        </w:rPr>
        <w:t>spre</w:t>
      </w:r>
      <w:proofErr w:type="spellEnd"/>
      <w:r w:rsidRPr="00C56257">
        <w:rPr>
          <w:color w:val="000000" w:themeColor="text1"/>
          <w:sz w:val="24"/>
          <w:szCs w:val="24"/>
        </w:rPr>
        <w:t xml:space="preserve"> </w:t>
      </w:r>
      <w:proofErr w:type="spellStart"/>
      <w:r w:rsidRPr="00C56257">
        <w:rPr>
          <w:color w:val="000000" w:themeColor="text1"/>
          <w:sz w:val="24"/>
          <w:szCs w:val="24"/>
        </w:rPr>
        <w:t>deosebire</w:t>
      </w:r>
      <w:proofErr w:type="spellEnd"/>
      <w:r w:rsidRPr="00C56257">
        <w:rPr>
          <w:color w:val="000000" w:themeColor="text1"/>
          <w:sz w:val="24"/>
          <w:szCs w:val="24"/>
        </w:rPr>
        <w:t xml:space="preserve"> de</w:t>
      </w:r>
      <w:r w:rsidRPr="00C56257">
        <w:rPr>
          <w:color w:val="000000" w:themeColor="text1"/>
          <w:spacing w:val="1"/>
          <w:sz w:val="24"/>
          <w:szCs w:val="24"/>
        </w:rPr>
        <w:t xml:space="preserve"> </w:t>
      </w:r>
      <w:proofErr w:type="spellStart"/>
      <w:r w:rsidRPr="00C56257">
        <w:rPr>
          <w:color w:val="000000" w:themeColor="text1"/>
          <w:sz w:val="24"/>
          <w:szCs w:val="24"/>
        </w:rPr>
        <w:t>metoda</w:t>
      </w:r>
      <w:proofErr w:type="spellEnd"/>
      <w:r w:rsidRPr="00C56257">
        <w:rPr>
          <w:color w:val="000000" w:themeColor="text1"/>
          <w:spacing w:val="-2"/>
          <w:sz w:val="24"/>
          <w:szCs w:val="24"/>
        </w:rPr>
        <w:t xml:space="preserve"> </w:t>
      </w:r>
      <w:proofErr w:type="spellStart"/>
      <w:r w:rsidRPr="00C56257">
        <w:rPr>
          <w:color w:val="000000" w:themeColor="text1"/>
          <w:sz w:val="24"/>
          <w:szCs w:val="24"/>
        </w:rPr>
        <w:t>recomandată</w:t>
      </w:r>
      <w:proofErr w:type="spellEnd"/>
      <w:r w:rsidRPr="00C56257">
        <w:rPr>
          <w:color w:val="000000" w:themeColor="text1"/>
          <w:sz w:val="24"/>
          <w:szCs w:val="24"/>
        </w:rPr>
        <w:t>.</w:t>
      </w:r>
    </w:p>
    <w:p w14:paraId="15A041EC" w14:textId="77777777" w:rsidR="008572F7" w:rsidRPr="00C56257" w:rsidRDefault="008572F7" w:rsidP="00B538DD">
      <w:pPr>
        <w:pStyle w:val="BodyText"/>
        <w:spacing w:before="1"/>
        <w:ind w:left="0" w:right="254"/>
        <w:jc w:val="both"/>
        <w:rPr>
          <w:color w:val="000000" w:themeColor="text1"/>
          <w:sz w:val="24"/>
          <w:szCs w:val="24"/>
        </w:rPr>
      </w:pPr>
      <w:proofErr w:type="spellStart"/>
      <w:r w:rsidRPr="00C56257">
        <w:rPr>
          <w:color w:val="000000" w:themeColor="text1"/>
          <w:sz w:val="24"/>
          <w:szCs w:val="24"/>
        </w:rPr>
        <w:t>Metoda</w:t>
      </w:r>
      <w:proofErr w:type="spellEnd"/>
      <w:r w:rsidRPr="00C56257">
        <w:rPr>
          <w:color w:val="000000" w:themeColor="text1"/>
          <w:sz w:val="24"/>
          <w:szCs w:val="24"/>
        </w:rPr>
        <w:t xml:space="preserve"> de </w:t>
      </w:r>
      <w:proofErr w:type="spellStart"/>
      <w:r w:rsidRPr="00C56257">
        <w:rPr>
          <w:color w:val="000000" w:themeColor="text1"/>
          <w:sz w:val="24"/>
          <w:szCs w:val="24"/>
        </w:rPr>
        <w:t>evaluare</w:t>
      </w:r>
      <w:proofErr w:type="spellEnd"/>
      <w:r w:rsidRPr="00C56257">
        <w:rPr>
          <w:color w:val="000000" w:themeColor="text1"/>
          <w:sz w:val="24"/>
          <w:szCs w:val="24"/>
        </w:rPr>
        <w:t xml:space="preserve"> a </w:t>
      </w:r>
      <w:proofErr w:type="spellStart"/>
      <w:r w:rsidRPr="00C56257">
        <w:rPr>
          <w:color w:val="000000" w:themeColor="text1"/>
          <w:sz w:val="24"/>
          <w:szCs w:val="24"/>
        </w:rPr>
        <w:t>tendințelor</w:t>
      </w:r>
      <w:proofErr w:type="spellEnd"/>
      <w:r w:rsidRPr="00C56257">
        <w:rPr>
          <w:color w:val="000000" w:themeColor="text1"/>
          <w:sz w:val="24"/>
          <w:szCs w:val="24"/>
        </w:rPr>
        <w:t xml:space="preserve"> de </w:t>
      </w:r>
      <w:proofErr w:type="spellStart"/>
      <w:r w:rsidRPr="00C56257">
        <w:rPr>
          <w:color w:val="000000" w:themeColor="text1"/>
          <w:sz w:val="24"/>
          <w:szCs w:val="24"/>
        </w:rPr>
        <w:t>evoluție</w:t>
      </w:r>
      <w:proofErr w:type="spellEnd"/>
      <w:r w:rsidRPr="00C56257">
        <w:rPr>
          <w:color w:val="000000" w:themeColor="text1"/>
          <w:sz w:val="24"/>
          <w:szCs w:val="24"/>
        </w:rPr>
        <w:t xml:space="preserve"> pe termen lung </w:t>
      </w:r>
      <w:proofErr w:type="spellStart"/>
      <w:r w:rsidRPr="00C56257">
        <w:rPr>
          <w:color w:val="000000" w:themeColor="text1"/>
          <w:sz w:val="24"/>
          <w:szCs w:val="24"/>
        </w:rPr>
        <w:t>utilizează</w:t>
      </w:r>
      <w:proofErr w:type="spellEnd"/>
      <w:r w:rsidRPr="00C56257">
        <w:rPr>
          <w:color w:val="000000" w:themeColor="text1"/>
          <w:sz w:val="24"/>
          <w:szCs w:val="24"/>
        </w:rPr>
        <w:t xml:space="preserve"> </w:t>
      </w:r>
      <w:proofErr w:type="spellStart"/>
      <w:r w:rsidRPr="00C56257">
        <w:rPr>
          <w:color w:val="000000" w:themeColor="text1"/>
          <w:sz w:val="24"/>
          <w:szCs w:val="24"/>
        </w:rPr>
        <w:t>tendința</w:t>
      </w:r>
      <w:proofErr w:type="spellEnd"/>
      <w:r w:rsidRPr="00C56257">
        <w:rPr>
          <w:color w:val="000000" w:themeColor="text1"/>
          <w:sz w:val="24"/>
          <w:szCs w:val="24"/>
        </w:rPr>
        <w:t xml:space="preserve"> </w:t>
      </w:r>
      <w:proofErr w:type="spellStart"/>
      <w:r w:rsidRPr="00C56257">
        <w:rPr>
          <w:color w:val="000000" w:themeColor="text1"/>
          <w:sz w:val="24"/>
          <w:szCs w:val="24"/>
        </w:rPr>
        <w:t>observată</w:t>
      </w:r>
      <w:proofErr w:type="spellEnd"/>
      <w:r w:rsidRPr="00C56257">
        <w:rPr>
          <w:color w:val="000000" w:themeColor="text1"/>
          <w:sz w:val="24"/>
          <w:szCs w:val="24"/>
        </w:rPr>
        <w:t xml:space="preserve"> </w:t>
      </w:r>
      <w:proofErr w:type="spellStart"/>
      <w:r w:rsidRPr="00C56257">
        <w:rPr>
          <w:color w:val="000000" w:themeColor="text1"/>
          <w:sz w:val="24"/>
          <w:szCs w:val="24"/>
        </w:rPr>
        <w:t>pentru</w:t>
      </w:r>
      <w:proofErr w:type="spellEnd"/>
      <w:r w:rsidRPr="00C56257">
        <w:rPr>
          <w:color w:val="000000" w:themeColor="text1"/>
          <w:spacing w:val="1"/>
          <w:sz w:val="24"/>
          <w:szCs w:val="24"/>
        </w:rPr>
        <w:t xml:space="preserve"> </w:t>
      </w:r>
      <w:proofErr w:type="spellStart"/>
      <w:r w:rsidRPr="00C56257">
        <w:rPr>
          <w:color w:val="000000" w:themeColor="text1"/>
          <w:sz w:val="24"/>
          <w:szCs w:val="24"/>
        </w:rPr>
        <w:t>parametrii</w:t>
      </w:r>
      <w:proofErr w:type="spellEnd"/>
      <w:r w:rsidRPr="00C56257">
        <w:rPr>
          <w:color w:val="000000" w:themeColor="text1"/>
          <w:sz w:val="24"/>
          <w:szCs w:val="24"/>
        </w:rPr>
        <w:t xml:space="preserve"> de stare precum areal de </w:t>
      </w:r>
      <w:proofErr w:type="spellStart"/>
      <w:r w:rsidRPr="00C56257">
        <w:rPr>
          <w:color w:val="000000" w:themeColor="text1"/>
          <w:sz w:val="24"/>
          <w:szCs w:val="24"/>
        </w:rPr>
        <w:t>distribuție</w:t>
      </w:r>
      <w:proofErr w:type="spellEnd"/>
      <w:r w:rsidRPr="00C56257">
        <w:rPr>
          <w:color w:val="000000" w:themeColor="text1"/>
          <w:sz w:val="24"/>
          <w:szCs w:val="24"/>
        </w:rPr>
        <w:t xml:space="preserve"> </w:t>
      </w:r>
      <w:proofErr w:type="spellStart"/>
      <w:r w:rsidRPr="00C56257">
        <w:rPr>
          <w:color w:val="000000" w:themeColor="text1"/>
          <w:sz w:val="24"/>
          <w:szCs w:val="24"/>
        </w:rPr>
        <w:t>și</w:t>
      </w:r>
      <w:proofErr w:type="spellEnd"/>
      <w:r w:rsidRPr="00C56257">
        <w:rPr>
          <w:color w:val="000000" w:themeColor="text1"/>
          <w:sz w:val="24"/>
          <w:szCs w:val="24"/>
        </w:rPr>
        <w:t xml:space="preserve"> </w:t>
      </w:r>
      <w:proofErr w:type="spellStart"/>
      <w:r w:rsidRPr="00C56257">
        <w:rPr>
          <w:color w:val="000000" w:themeColor="text1"/>
          <w:sz w:val="24"/>
          <w:szCs w:val="24"/>
        </w:rPr>
        <w:t>structură</w:t>
      </w:r>
      <w:proofErr w:type="spellEnd"/>
      <w:r w:rsidRPr="00C56257">
        <w:rPr>
          <w:color w:val="000000" w:themeColor="text1"/>
          <w:sz w:val="24"/>
          <w:szCs w:val="24"/>
        </w:rPr>
        <w:t xml:space="preserve"> </w:t>
      </w:r>
      <w:proofErr w:type="spellStart"/>
      <w:r w:rsidRPr="00C56257">
        <w:rPr>
          <w:color w:val="000000" w:themeColor="text1"/>
          <w:sz w:val="24"/>
          <w:szCs w:val="24"/>
        </w:rPr>
        <w:t>și</w:t>
      </w:r>
      <w:proofErr w:type="spellEnd"/>
      <w:r w:rsidRPr="00C56257">
        <w:rPr>
          <w:color w:val="000000" w:themeColor="text1"/>
          <w:sz w:val="24"/>
          <w:szCs w:val="24"/>
        </w:rPr>
        <w:t xml:space="preserve"> </w:t>
      </w:r>
      <w:proofErr w:type="spellStart"/>
      <w:r w:rsidRPr="00C56257">
        <w:rPr>
          <w:color w:val="000000" w:themeColor="text1"/>
          <w:sz w:val="24"/>
          <w:szCs w:val="24"/>
        </w:rPr>
        <w:t>funcții</w:t>
      </w:r>
      <w:proofErr w:type="spellEnd"/>
      <w:r w:rsidRPr="00C56257">
        <w:rPr>
          <w:color w:val="000000" w:themeColor="text1"/>
          <w:sz w:val="24"/>
          <w:szCs w:val="24"/>
        </w:rPr>
        <w:t xml:space="preserve"> </w:t>
      </w:r>
      <w:proofErr w:type="spellStart"/>
      <w:r w:rsidRPr="00C56257">
        <w:rPr>
          <w:color w:val="000000" w:themeColor="text1"/>
          <w:sz w:val="24"/>
          <w:szCs w:val="24"/>
        </w:rPr>
        <w:t>raportate</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urmă</w:t>
      </w:r>
      <w:proofErr w:type="spellEnd"/>
      <w:r w:rsidRPr="00C56257">
        <w:rPr>
          <w:color w:val="000000" w:themeColor="text1"/>
          <w:sz w:val="24"/>
          <w:szCs w:val="24"/>
        </w:rPr>
        <w:t xml:space="preserve"> cu 4 </w:t>
      </w:r>
      <w:proofErr w:type="spellStart"/>
      <w:r w:rsidRPr="00C56257">
        <w:rPr>
          <w:color w:val="000000" w:themeColor="text1"/>
          <w:sz w:val="24"/>
          <w:szCs w:val="24"/>
        </w:rPr>
        <w:t>cicluri</w:t>
      </w:r>
      <w:proofErr w:type="spellEnd"/>
      <w:r w:rsidRPr="00C56257">
        <w:rPr>
          <w:color w:val="000000" w:themeColor="text1"/>
          <w:sz w:val="24"/>
          <w:szCs w:val="24"/>
        </w:rPr>
        <w:t xml:space="preserve"> de</w:t>
      </w:r>
      <w:r w:rsidRPr="00C56257">
        <w:rPr>
          <w:color w:val="000000" w:themeColor="text1"/>
          <w:spacing w:val="1"/>
          <w:sz w:val="24"/>
          <w:szCs w:val="24"/>
        </w:rPr>
        <w:t xml:space="preserve"> </w:t>
      </w:r>
      <w:proofErr w:type="spellStart"/>
      <w:r w:rsidRPr="00C56257">
        <w:rPr>
          <w:color w:val="000000" w:themeColor="text1"/>
          <w:sz w:val="24"/>
          <w:szCs w:val="24"/>
        </w:rPr>
        <w:t>raportare</w:t>
      </w:r>
      <w:proofErr w:type="spellEnd"/>
      <w:r w:rsidRPr="00C56257">
        <w:rPr>
          <w:color w:val="000000" w:themeColor="text1"/>
          <w:spacing w:val="1"/>
          <w:sz w:val="24"/>
          <w:szCs w:val="24"/>
        </w:rPr>
        <w:t xml:space="preserve"> </w:t>
      </w:r>
      <w:r w:rsidRPr="00C56257">
        <w:rPr>
          <w:color w:val="000000" w:themeColor="text1"/>
          <w:sz w:val="24"/>
          <w:szCs w:val="24"/>
        </w:rPr>
        <w:t>(de</w:t>
      </w:r>
      <w:r w:rsidRPr="00C56257">
        <w:rPr>
          <w:color w:val="000000" w:themeColor="text1"/>
          <w:spacing w:val="1"/>
          <w:sz w:val="24"/>
          <w:szCs w:val="24"/>
        </w:rPr>
        <w:t xml:space="preserve"> </w:t>
      </w:r>
      <w:r w:rsidRPr="00C56257">
        <w:rPr>
          <w:color w:val="000000" w:themeColor="text1"/>
          <w:sz w:val="24"/>
          <w:szCs w:val="24"/>
        </w:rPr>
        <w:t>6</w:t>
      </w:r>
      <w:r w:rsidRPr="00C56257">
        <w:rPr>
          <w:color w:val="000000" w:themeColor="text1"/>
          <w:spacing w:val="1"/>
          <w:sz w:val="24"/>
          <w:szCs w:val="24"/>
        </w:rPr>
        <w:t xml:space="preserve"> </w:t>
      </w:r>
      <w:r w:rsidRPr="00C56257">
        <w:rPr>
          <w:color w:val="000000" w:themeColor="text1"/>
          <w:sz w:val="24"/>
          <w:szCs w:val="24"/>
        </w:rPr>
        <w:t>ani).</w:t>
      </w:r>
      <w:r w:rsidRPr="00C56257">
        <w:rPr>
          <w:color w:val="000000" w:themeColor="text1"/>
          <w:spacing w:val="1"/>
          <w:sz w:val="24"/>
          <w:szCs w:val="24"/>
        </w:rPr>
        <w:t xml:space="preserve"> </w:t>
      </w:r>
      <w:proofErr w:type="spellStart"/>
      <w:r w:rsidRPr="00C56257">
        <w:rPr>
          <w:color w:val="000000" w:themeColor="text1"/>
          <w:sz w:val="24"/>
          <w:szCs w:val="24"/>
        </w:rPr>
        <w:t>Tendința</w:t>
      </w:r>
      <w:proofErr w:type="spellEnd"/>
      <w:r w:rsidRPr="00C56257">
        <w:rPr>
          <w:color w:val="000000" w:themeColor="text1"/>
          <w:spacing w:val="1"/>
          <w:sz w:val="24"/>
          <w:szCs w:val="24"/>
        </w:rPr>
        <w:t xml:space="preserve"> </w:t>
      </w:r>
      <w:proofErr w:type="spellStart"/>
      <w:r w:rsidRPr="00C56257">
        <w:rPr>
          <w:color w:val="000000" w:themeColor="text1"/>
          <w:sz w:val="24"/>
          <w:szCs w:val="24"/>
        </w:rPr>
        <w:t>fiind</w:t>
      </w:r>
      <w:proofErr w:type="spellEnd"/>
      <w:r w:rsidRPr="00C56257">
        <w:rPr>
          <w:color w:val="000000" w:themeColor="text1"/>
          <w:spacing w:val="1"/>
          <w:sz w:val="24"/>
          <w:szCs w:val="24"/>
        </w:rPr>
        <w:t xml:space="preserve"> </w:t>
      </w:r>
      <w:proofErr w:type="spellStart"/>
      <w:r w:rsidRPr="00C56257">
        <w:rPr>
          <w:color w:val="000000" w:themeColor="text1"/>
          <w:sz w:val="24"/>
          <w:szCs w:val="24"/>
        </w:rPr>
        <w:t>evaluată</w:t>
      </w:r>
      <w:proofErr w:type="spellEnd"/>
      <w:r w:rsidRPr="00C56257">
        <w:rPr>
          <w:color w:val="000000" w:themeColor="text1"/>
          <w:spacing w:val="1"/>
          <w:sz w:val="24"/>
          <w:szCs w:val="24"/>
        </w:rPr>
        <w:t xml:space="preserve"> </w:t>
      </w:r>
      <w:proofErr w:type="spellStart"/>
      <w:r w:rsidRPr="00C56257">
        <w:rPr>
          <w:color w:val="000000" w:themeColor="text1"/>
          <w:sz w:val="24"/>
          <w:szCs w:val="24"/>
        </w:rPr>
        <w:t>utilizând</w:t>
      </w:r>
      <w:proofErr w:type="spellEnd"/>
      <w:r w:rsidRPr="00C56257">
        <w:rPr>
          <w:color w:val="000000" w:themeColor="text1"/>
          <w:spacing w:val="1"/>
          <w:sz w:val="24"/>
          <w:szCs w:val="24"/>
        </w:rPr>
        <w:t xml:space="preserve"> </w:t>
      </w:r>
      <w:proofErr w:type="spellStart"/>
      <w:r w:rsidRPr="00C56257">
        <w:rPr>
          <w:color w:val="000000" w:themeColor="text1"/>
          <w:sz w:val="24"/>
          <w:szCs w:val="24"/>
        </w:rPr>
        <w:t>indicatori</w:t>
      </w:r>
      <w:proofErr w:type="spellEnd"/>
      <w:r w:rsidRPr="00C56257">
        <w:rPr>
          <w:color w:val="000000" w:themeColor="text1"/>
          <w:spacing w:val="1"/>
          <w:sz w:val="24"/>
          <w:szCs w:val="24"/>
        </w:rPr>
        <w:t xml:space="preserve"> </w:t>
      </w:r>
      <w:proofErr w:type="spellStart"/>
      <w:r w:rsidRPr="00C56257">
        <w:rPr>
          <w:color w:val="000000" w:themeColor="text1"/>
          <w:sz w:val="24"/>
          <w:szCs w:val="24"/>
        </w:rPr>
        <w:t>calitativi</w:t>
      </w:r>
      <w:proofErr w:type="spellEnd"/>
      <w:r w:rsidRPr="00C56257">
        <w:rPr>
          <w:color w:val="000000" w:themeColor="text1"/>
          <w:spacing w:val="1"/>
          <w:sz w:val="24"/>
          <w:szCs w:val="24"/>
        </w:rPr>
        <w:t xml:space="preserve"> </w:t>
      </w:r>
      <w:r w:rsidRPr="00C56257">
        <w:rPr>
          <w:color w:val="000000" w:themeColor="text1"/>
          <w:sz w:val="24"/>
          <w:szCs w:val="24"/>
        </w:rPr>
        <w:t>precum:</w:t>
      </w:r>
      <w:r w:rsidRPr="00C56257">
        <w:rPr>
          <w:color w:val="000000" w:themeColor="text1"/>
          <w:spacing w:val="1"/>
          <w:sz w:val="24"/>
          <w:szCs w:val="24"/>
        </w:rPr>
        <w:t xml:space="preserve"> </w:t>
      </w:r>
      <w:proofErr w:type="spellStart"/>
      <w:r w:rsidRPr="00C56257">
        <w:rPr>
          <w:color w:val="000000" w:themeColor="text1"/>
          <w:sz w:val="24"/>
          <w:szCs w:val="24"/>
        </w:rPr>
        <w:t>stabilă</w:t>
      </w:r>
      <w:proofErr w:type="spellEnd"/>
      <w:r w:rsidRPr="00C56257">
        <w:rPr>
          <w:color w:val="000000" w:themeColor="text1"/>
          <w:sz w:val="24"/>
          <w:szCs w:val="24"/>
        </w:rPr>
        <w:t>,</w:t>
      </w:r>
      <w:r w:rsidRPr="00C56257">
        <w:rPr>
          <w:color w:val="000000" w:themeColor="text1"/>
          <w:spacing w:val="1"/>
          <w:sz w:val="24"/>
          <w:szCs w:val="24"/>
        </w:rPr>
        <w:t xml:space="preserve"> </w:t>
      </w:r>
      <w:proofErr w:type="spellStart"/>
      <w:r w:rsidRPr="00C56257">
        <w:rPr>
          <w:color w:val="000000" w:themeColor="text1"/>
          <w:sz w:val="24"/>
          <w:szCs w:val="24"/>
        </w:rPr>
        <w:t>în</w:t>
      </w:r>
      <w:proofErr w:type="spellEnd"/>
      <w:r w:rsidRPr="00C56257">
        <w:rPr>
          <w:color w:val="000000" w:themeColor="text1"/>
          <w:spacing w:val="1"/>
          <w:sz w:val="24"/>
          <w:szCs w:val="24"/>
        </w:rPr>
        <w:t xml:space="preserve"> </w:t>
      </w:r>
      <w:proofErr w:type="spellStart"/>
      <w:r w:rsidRPr="00C56257">
        <w:rPr>
          <w:color w:val="000000" w:themeColor="text1"/>
          <w:sz w:val="24"/>
          <w:szCs w:val="24"/>
        </w:rPr>
        <w:t>refacere</w:t>
      </w:r>
      <w:proofErr w:type="spellEnd"/>
      <w:r w:rsidRPr="00C56257">
        <w:rPr>
          <w:color w:val="000000" w:themeColor="text1"/>
          <w:sz w:val="24"/>
          <w:szCs w:val="24"/>
        </w:rPr>
        <w:t>,</w:t>
      </w:r>
      <w:r w:rsidRPr="00C56257">
        <w:rPr>
          <w:color w:val="000000" w:themeColor="text1"/>
          <w:spacing w:val="-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declin</w:t>
      </w:r>
      <w:proofErr w:type="spellEnd"/>
      <w:r w:rsidRPr="00C56257">
        <w:rPr>
          <w:color w:val="000000" w:themeColor="text1"/>
          <w:sz w:val="24"/>
          <w:szCs w:val="24"/>
        </w:rPr>
        <w:t xml:space="preserve"> </w:t>
      </w:r>
      <w:proofErr w:type="spellStart"/>
      <w:r w:rsidRPr="00C56257">
        <w:rPr>
          <w:color w:val="000000" w:themeColor="text1"/>
          <w:sz w:val="24"/>
          <w:szCs w:val="24"/>
        </w:rPr>
        <w:t>și</w:t>
      </w:r>
      <w:proofErr w:type="spellEnd"/>
      <w:r w:rsidRPr="00C56257">
        <w:rPr>
          <w:color w:val="000000" w:themeColor="text1"/>
          <w:sz w:val="24"/>
          <w:szCs w:val="24"/>
        </w:rPr>
        <w:t xml:space="preserve"> </w:t>
      </w:r>
      <w:proofErr w:type="spellStart"/>
      <w:r w:rsidRPr="00C56257">
        <w:rPr>
          <w:color w:val="000000" w:themeColor="text1"/>
          <w:sz w:val="24"/>
          <w:szCs w:val="24"/>
        </w:rPr>
        <w:t>necunoscut</w:t>
      </w:r>
      <w:proofErr w:type="spellEnd"/>
      <w:r w:rsidRPr="00C56257">
        <w:rPr>
          <w:color w:val="000000" w:themeColor="text1"/>
          <w:sz w:val="24"/>
          <w:szCs w:val="24"/>
        </w:rPr>
        <w:t>.</w:t>
      </w:r>
    </w:p>
    <w:p w14:paraId="400DA9A4" w14:textId="77777777" w:rsidR="008572F7" w:rsidRPr="00C56257" w:rsidRDefault="008572F7" w:rsidP="00B538DD">
      <w:pPr>
        <w:pStyle w:val="BodyText"/>
        <w:ind w:left="0" w:right="257"/>
        <w:jc w:val="both"/>
        <w:rPr>
          <w:color w:val="000000" w:themeColor="text1"/>
          <w:sz w:val="24"/>
          <w:szCs w:val="24"/>
        </w:rPr>
      </w:pPr>
      <w:proofErr w:type="spellStart"/>
      <w:r w:rsidRPr="00C56257">
        <w:rPr>
          <w:color w:val="000000" w:themeColor="text1"/>
          <w:sz w:val="24"/>
          <w:szCs w:val="24"/>
        </w:rPr>
        <w:t>Evaluarea</w:t>
      </w:r>
      <w:proofErr w:type="spellEnd"/>
      <w:r w:rsidRPr="00C56257">
        <w:rPr>
          <w:color w:val="000000" w:themeColor="text1"/>
          <w:sz w:val="24"/>
          <w:szCs w:val="24"/>
        </w:rPr>
        <w:t xml:space="preserve"> </w:t>
      </w:r>
      <w:proofErr w:type="spellStart"/>
      <w:r w:rsidRPr="00C56257">
        <w:rPr>
          <w:color w:val="000000" w:themeColor="text1"/>
          <w:sz w:val="24"/>
          <w:szCs w:val="24"/>
        </w:rPr>
        <w:t>tendințelor</w:t>
      </w:r>
      <w:proofErr w:type="spellEnd"/>
      <w:r w:rsidRPr="00C56257">
        <w:rPr>
          <w:color w:val="000000" w:themeColor="text1"/>
          <w:sz w:val="24"/>
          <w:szCs w:val="24"/>
        </w:rPr>
        <w:t xml:space="preserve"> pe termen lung</w:t>
      </w:r>
      <w:r w:rsidRPr="00C56257">
        <w:rPr>
          <w:color w:val="000000" w:themeColor="text1"/>
          <w:spacing w:val="1"/>
          <w:sz w:val="24"/>
          <w:szCs w:val="24"/>
        </w:rPr>
        <w:t xml:space="preserve"> </w:t>
      </w:r>
      <w:proofErr w:type="spellStart"/>
      <w:r w:rsidRPr="00C56257">
        <w:rPr>
          <w:color w:val="000000" w:themeColor="text1"/>
          <w:sz w:val="24"/>
          <w:szCs w:val="24"/>
        </w:rPr>
        <w:t>reprezintă</w:t>
      </w:r>
      <w:proofErr w:type="spellEnd"/>
      <w:r w:rsidRPr="00C56257">
        <w:rPr>
          <w:color w:val="000000" w:themeColor="text1"/>
          <w:sz w:val="24"/>
          <w:szCs w:val="24"/>
        </w:rPr>
        <w:t xml:space="preserve"> de </w:t>
      </w:r>
      <w:proofErr w:type="spellStart"/>
      <w:r w:rsidRPr="00C56257">
        <w:rPr>
          <w:color w:val="000000" w:themeColor="text1"/>
          <w:sz w:val="24"/>
          <w:szCs w:val="24"/>
        </w:rPr>
        <w:t>asemenea</w:t>
      </w:r>
      <w:proofErr w:type="spellEnd"/>
      <w:r w:rsidRPr="00C56257">
        <w:rPr>
          <w:color w:val="000000" w:themeColor="text1"/>
          <w:sz w:val="24"/>
          <w:szCs w:val="24"/>
        </w:rPr>
        <w:t xml:space="preserve"> </w:t>
      </w:r>
      <w:proofErr w:type="spellStart"/>
      <w:r w:rsidRPr="00C56257">
        <w:rPr>
          <w:color w:val="000000" w:themeColor="text1"/>
          <w:sz w:val="24"/>
          <w:szCs w:val="24"/>
        </w:rPr>
        <w:t>cheie</w:t>
      </w:r>
      <w:proofErr w:type="spellEnd"/>
      <w:r w:rsidRPr="00C56257">
        <w:rPr>
          <w:color w:val="000000" w:themeColor="text1"/>
          <w:sz w:val="24"/>
          <w:szCs w:val="24"/>
        </w:rPr>
        <w:t xml:space="preserve"> de control </w:t>
      </w:r>
      <w:proofErr w:type="spellStart"/>
      <w:r w:rsidRPr="00C56257">
        <w:rPr>
          <w:color w:val="000000" w:themeColor="text1"/>
          <w:sz w:val="24"/>
          <w:szCs w:val="24"/>
        </w:rPr>
        <w:t>pentru</w:t>
      </w:r>
      <w:proofErr w:type="spellEnd"/>
      <w:r w:rsidRPr="00C56257">
        <w:rPr>
          <w:color w:val="000000" w:themeColor="text1"/>
          <w:sz w:val="24"/>
          <w:szCs w:val="24"/>
        </w:rPr>
        <w:t xml:space="preserve"> </w:t>
      </w:r>
      <w:proofErr w:type="spellStart"/>
      <w:r w:rsidRPr="00C56257">
        <w:rPr>
          <w:color w:val="000000" w:themeColor="text1"/>
          <w:sz w:val="24"/>
          <w:szCs w:val="24"/>
        </w:rPr>
        <w:t>analiza</w:t>
      </w:r>
      <w:proofErr w:type="spellEnd"/>
      <w:r w:rsidRPr="00C56257">
        <w:rPr>
          <w:color w:val="000000" w:themeColor="text1"/>
          <w:sz w:val="24"/>
          <w:szCs w:val="24"/>
        </w:rPr>
        <w:t xml:space="preserve"> de</w:t>
      </w:r>
      <w:r w:rsidRPr="00C56257">
        <w:rPr>
          <w:color w:val="000000" w:themeColor="text1"/>
          <w:spacing w:val="1"/>
          <w:sz w:val="24"/>
          <w:szCs w:val="24"/>
        </w:rPr>
        <w:t xml:space="preserve"> </w:t>
      </w:r>
      <w:proofErr w:type="spellStart"/>
      <w:r w:rsidRPr="00C56257">
        <w:rPr>
          <w:color w:val="000000" w:themeColor="text1"/>
          <w:sz w:val="24"/>
          <w:szCs w:val="24"/>
        </w:rPr>
        <w:t>calitate</w:t>
      </w:r>
      <w:proofErr w:type="spellEnd"/>
      <w:r w:rsidRPr="00C56257">
        <w:rPr>
          <w:color w:val="000000" w:themeColor="text1"/>
          <w:spacing w:val="-2"/>
          <w:sz w:val="24"/>
          <w:szCs w:val="24"/>
        </w:rPr>
        <w:t xml:space="preserve"> </w:t>
      </w:r>
      <w:r w:rsidRPr="00C56257">
        <w:rPr>
          <w:color w:val="000000" w:themeColor="text1"/>
          <w:sz w:val="24"/>
          <w:szCs w:val="24"/>
        </w:rPr>
        <w:t>a</w:t>
      </w:r>
      <w:r w:rsidRPr="00C56257">
        <w:rPr>
          <w:color w:val="000000" w:themeColor="text1"/>
          <w:spacing w:val="-1"/>
          <w:sz w:val="24"/>
          <w:szCs w:val="24"/>
        </w:rPr>
        <w:t xml:space="preserve"> </w:t>
      </w:r>
      <w:proofErr w:type="spellStart"/>
      <w:r w:rsidRPr="00C56257">
        <w:rPr>
          <w:color w:val="000000" w:themeColor="text1"/>
          <w:sz w:val="24"/>
          <w:szCs w:val="24"/>
        </w:rPr>
        <w:t>rezultatelor</w:t>
      </w:r>
      <w:proofErr w:type="spellEnd"/>
      <w:r w:rsidRPr="00C56257">
        <w:rPr>
          <w:color w:val="000000" w:themeColor="text1"/>
          <w:spacing w:val="-1"/>
          <w:sz w:val="24"/>
          <w:szCs w:val="24"/>
        </w:rPr>
        <w:t xml:space="preserve"> </w:t>
      </w:r>
      <w:proofErr w:type="spellStart"/>
      <w:r w:rsidRPr="00C56257">
        <w:rPr>
          <w:color w:val="000000" w:themeColor="text1"/>
          <w:sz w:val="24"/>
          <w:szCs w:val="24"/>
        </w:rPr>
        <w:t>raportării</w:t>
      </w:r>
      <w:proofErr w:type="spellEnd"/>
      <w:r w:rsidRPr="00C56257">
        <w:rPr>
          <w:color w:val="000000" w:themeColor="text1"/>
          <w:sz w:val="24"/>
          <w:szCs w:val="24"/>
        </w:rPr>
        <w:t xml:space="preserve"> </w:t>
      </w:r>
      <w:proofErr w:type="spellStart"/>
      <w:r w:rsidRPr="00C56257">
        <w:rPr>
          <w:color w:val="000000" w:themeColor="text1"/>
          <w:sz w:val="24"/>
          <w:szCs w:val="24"/>
        </w:rPr>
        <w:t>succesive</w:t>
      </w:r>
      <w:proofErr w:type="spellEnd"/>
      <w:r w:rsidRPr="00C56257">
        <w:rPr>
          <w:color w:val="000000" w:themeColor="text1"/>
          <w:sz w:val="24"/>
          <w:szCs w:val="24"/>
        </w:rPr>
        <w:t>.</w:t>
      </w:r>
    </w:p>
    <w:p w14:paraId="6731C72D" w14:textId="77777777" w:rsidR="008572F7" w:rsidRPr="00C56257" w:rsidRDefault="008572F7" w:rsidP="008572F7">
      <w:pPr>
        <w:pStyle w:val="BodyText"/>
        <w:jc w:val="both"/>
        <w:rPr>
          <w:color w:val="000000" w:themeColor="text1"/>
          <w:sz w:val="24"/>
          <w:szCs w:val="24"/>
        </w:rPr>
      </w:pPr>
    </w:p>
    <w:p w14:paraId="7BB2F7F0" w14:textId="77777777" w:rsidR="008572F7" w:rsidRPr="00C56257" w:rsidRDefault="008572F7" w:rsidP="008572F7">
      <w:pPr>
        <w:pStyle w:val="BodyText"/>
        <w:spacing w:before="6"/>
        <w:jc w:val="both"/>
        <w:rPr>
          <w:color w:val="000000" w:themeColor="text1"/>
          <w:sz w:val="24"/>
          <w:szCs w:val="24"/>
        </w:rPr>
      </w:pPr>
    </w:p>
    <w:p w14:paraId="1BDEB64A" w14:textId="77777777" w:rsidR="008572F7" w:rsidRPr="00C56257" w:rsidRDefault="008572F7" w:rsidP="00F100E1">
      <w:pPr>
        <w:pStyle w:val="Heading2"/>
        <w:widowControl w:val="0"/>
        <w:tabs>
          <w:tab w:val="left" w:pos="1232"/>
        </w:tabs>
        <w:autoSpaceDE w:val="0"/>
        <w:autoSpaceDN w:val="0"/>
        <w:spacing w:before="0" w:beforeAutospacing="0" w:after="0" w:afterAutospacing="0"/>
        <w:jc w:val="both"/>
        <w:rPr>
          <w:color w:val="000000" w:themeColor="text1"/>
          <w:sz w:val="24"/>
          <w:szCs w:val="24"/>
        </w:rPr>
      </w:pPr>
      <w:proofErr w:type="spellStart"/>
      <w:r w:rsidRPr="00C56257">
        <w:rPr>
          <w:color w:val="000000" w:themeColor="text1"/>
          <w:sz w:val="24"/>
          <w:szCs w:val="24"/>
        </w:rPr>
        <w:t>Evaluarea</w:t>
      </w:r>
      <w:proofErr w:type="spellEnd"/>
      <w:r w:rsidRPr="00C56257">
        <w:rPr>
          <w:color w:val="000000" w:themeColor="text1"/>
          <w:spacing w:val="-6"/>
          <w:sz w:val="24"/>
          <w:szCs w:val="24"/>
        </w:rPr>
        <w:t xml:space="preserve"> </w:t>
      </w:r>
      <w:proofErr w:type="spellStart"/>
      <w:r w:rsidRPr="00C56257">
        <w:rPr>
          <w:color w:val="000000" w:themeColor="text1"/>
          <w:sz w:val="24"/>
          <w:szCs w:val="24"/>
        </w:rPr>
        <w:t>presiunilor</w:t>
      </w:r>
      <w:proofErr w:type="spellEnd"/>
      <w:r w:rsidRPr="00C56257">
        <w:rPr>
          <w:color w:val="000000" w:themeColor="text1"/>
          <w:spacing w:val="-6"/>
          <w:sz w:val="24"/>
          <w:szCs w:val="24"/>
        </w:rPr>
        <w:t xml:space="preserve"> </w:t>
      </w:r>
      <w:proofErr w:type="spellStart"/>
      <w:r w:rsidRPr="00C56257">
        <w:rPr>
          <w:color w:val="000000" w:themeColor="text1"/>
          <w:sz w:val="24"/>
          <w:szCs w:val="24"/>
        </w:rPr>
        <w:t>si</w:t>
      </w:r>
      <w:proofErr w:type="spellEnd"/>
      <w:r w:rsidRPr="00C56257">
        <w:rPr>
          <w:color w:val="000000" w:themeColor="text1"/>
          <w:spacing w:val="-6"/>
          <w:sz w:val="24"/>
          <w:szCs w:val="24"/>
        </w:rPr>
        <w:t xml:space="preserve"> </w:t>
      </w:r>
      <w:proofErr w:type="spellStart"/>
      <w:r w:rsidRPr="00C56257">
        <w:rPr>
          <w:color w:val="000000" w:themeColor="text1"/>
          <w:sz w:val="24"/>
          <w:szCs w:val="24"/>
        </w:rPr>
        <w:t>amenințărilor</w:t>
      </w:r>
      <w:proofErr w:type="spellEnd"/>
    </w:p>
    <w:p w14:paraId="4A03F15A" w14:textId="77777777" w:rsidR="008572F7" w:rsidRPr="00C56257" w:rsidRDefault="008572F7" w:rsidP="00B538DD">
      <w:pPr>
        <w:pStyle w:val="BodyText"/>
        <w:spacing w:before="157"/>
        <w:ind w:left="0" w:right="253"/>
        <w:jc w:val="both"/>
        <w:rPr>
          <w:color w:val="000000" w:themeColor="text1"/>
          <w:sz w:val="24"/>
          <w:szCs w:val="24"/>
        </w:rPr>
      </w:pPr>
      <w:r w:rsidRPr="00C56257">
        <w:rPr>
          <w:color w:val="000000" w:themeColor="text1"/>
          <w:sz w:val="24"/>
          <w:szCs w:val="24"/>
        </w:rPr>
        <w:t xml:space="preserve">Se </w:t>
      </w:r>
      <w:proofErr w:type="spellStart"/>
      <w:r w:rsidRPr="00C56257">
        <w:rPr>
          <w:color w:val="000000" w:themeColor="text1"/>
          <w:sz w:val="24"/>
          <w:szCs w:val="24"/>
        </w:rPr>
        <w:t>utilizează</w:t>
      </w:r>
      <w:proofErr w:type="spellEnd"/>
      <w:r w:rsidRPr="00C56257">
        <w:rPr>
          <w:color w:val="000000" w:themeColor="text1"/>
          <w:sz w:val="24"/>
          <w:szCs w:val="24"/>
        </w:rPr>
        <w:t xml:space="preserve"> </w:t>
      </w:r>
      <w:proofErr w:type="spellStart"/>
      <w:r w:rsidRPr="00C56257">
        <w:rPr>
          <w:color w:val="000000" w:themeColor="text1"/>
          <w:sz w:val="24"/>
          <w:szCs w:val="24"/>
        </w:rPr>
        <w:t>nomenclatorul</w:t>
      </w:r>
      <w:proofErr w:type="spellEnd"/>
      <w:r w:rsidRPr="00C56257">
        <w:rPr>
          <w:color w:val="000000" w:themeColor="text1"/>
          <w:sz w:val="24"/>
          <w:szCs w:val="24"/>
        </w:rPr>
        <w:t xml:space="preserve"> de </w:t>
      </w:r>
      <w:proofErr w:type="spellStart"/>
      <w:r w:rsidRPr="00C56257">
        <w:rPr>
          <w:color w:val="000000" w:themeColor="text1"/>
          <w:sz w:val="24"/>
          <w:szCs w:val="24"/>
        </w:rPr>
        <w:t>presiuni</w:t>
      </w:r>
      <w:proofErr w:type="spellEnd"/>
      <w:r w:rsidRPr="00C56257">
        <w:rPr>
          <w:color w:val="000000" w:themeColor="text1"/>
          <w:sz w:val="24"/>
          <w:szCs w:val="24"/>
        </w:rPr>
        <w:t xml:space="preserve"> </w:t>
      </w:r>
      <w:proofErr w:type="spellStart"/>
      <w:r w:rsidRPr="00C56257">
        <w:rPr>
          <w:color w:val="000000" w:themeColor="text1"/>
          <w:sz w:val="24"/>
          <w:szCs w:val="24"/>
        </w:rPr>
        <w:t>și</w:t>
      </w:r>
      <w:proofErr w:type="spellEnd"/>
      <w:r w:rsidRPr="00C56257">
        <w:rPr>
          <w:color w:val="000000" w:themeColor="text1"/>
          <w:sz w:val="24"/>
          <w:szCs w:val="24"/>
        </w:rPr>
        <w:t xml:space="preserve"> </w:t>
      </w:r>
      <w:proofErr w:type="spellStart"/>
      <w:r w:rsidRPr="00C56257">
        <w:rPr>
          <w:color w:val="000000" w:themeColor="text1"/>
          <w:sz w:val="24"/>
          <w:szCs w:val="24"/>
        </w:rPr>
        <w:t>amenințări</w:t>
      </w:r>
      <w:proofErr w:type="spellEnd"/>
      <w:r w:rsidRPr="00C56257">
        <w:rPr>
          <w:color w:val="000000" w:themeColor="text1"/>
          <w:sz w:val="24"/>
          <w:szCs w:val="24"/>
        </w:rPr>
        <w:t xml:space="preserve"> </w:t>
      </w:r>
      <w:proofErr w:type="spellStart"/>
      <w:r w:rsidRPr="00C56257">
        <w:rPr>
          <w:color w:val="000000" w:themeColor="text1"/>
          <w:sz w:val="24"/>
          <w:szCs w:val="24"/>
        </w:rPr>
        <w:t>agreat</w:t>
      </w:r>
      <w:proofErr w:type="spellEnd"/>
      <w:r w:rsidRPr="00C56257">
        <w:rPr>
          <w:color w:val="000000" w:themeColor="text1"/>
          <w:sz w:val="24"/>
          <w:szCs w:val="24"/>
        </w:rPr>
        <w:t xml:space="preserve"> la </w:t>
      </w:r>
      <w:proofErr w:type="spellStart"/>
      <w:r w:rsidRPr="00C56257">
        <w:rPr>
          <w:color w:val="000000" w:themeColor="text1"/>
          <w:sz w:val="24"/>
          <w:szCs w:val="24"/>
        </w:rPr>
        <w:t>nivel</w:t>
      </w:r>
      <w:proofErr w:type="spellEnd"/>
      <w:r w:rsidRPr="00C56257">
        <w:rPr>
          <w:color w:val="000000" w:themeColor="text1"/>
          <w:sz w:val="24"/>
          <w:szCs w:val="24"/>
        </w:rPr>
        <w:t xml:space="preserve"> </w:t>
      </w:r>
      <w:proofErr w:type="spellStart"/>
      <w:r w:rsidRPr="00C56257">
        <w:rPr>
          <w:color w:val="000000" w:themeColor="text1"/>
          <w:sz w:val="24"/>
          <w:szCs w:val="24"/>
        </w:rPr>
        <w:t>european</w:t>
      </w:r>
      <w:proofErr w:type="spellEnd"/>
      <w:r w:rsidRPr="00C56257">
        <w:rPr>
          <w:color w:val="000000" w:themeColor="text1"/>
          <w:sz w:val="24"/>
          <w:szCs w:val="24"/>
        </w:rPr>
        <w:t xml:space="preserve">, </w:t>
      </w:r>
      <w:proofErr w:type="spellStart"/>
      <w:r w:rsidRPr="00064C1F">
        <w:rPr>
          <w:color w:val="000000" w:themeColor="text1"/>
          <w:sz w:val="24"/>
          <w:szCs w:val="24"/>
          <w:highlight w:val="yellow"/>
        </w:rPr>
        <w:t>atașat</w:t>
      </w:r>
      <w:proofErr w:type="spellEnd"/>
      <w:r w:rsidRPr="00064C1F">
        <w:rPr>
          <w:color w:val="000000" w:themeColor="text1"/>
          <w:sz w:val="24"/>
          <w:szCs w:val="24"/>
          <w:highlight w:val="yellow"/>
        </w:rPr>
        <w:t xml:space="preserve"> </w:t>
      </w:r>
      <w:proofErr w:type="spellStart"/>
      <w:r w:rsidRPr="00064C1F">
        <w:rPr>
          <w:color w:val="000000" w:themeColor="text1"/>
          <w:sz w:val="24"/>
          <w:szCs w:val="24"/>
          <w:highlight w:val="yellow"/>
        </w:rPr>
        <w:t>prezentului</w:t>
      </w:r>
      <w:proofErr w:type="spellEnd"/>
      <w:r w:rsidRPr="00064C1F">
        <w:rPr>
          <w:color w:val="000000" w:themeColor="text1"/>
          <w:spacing w:val="1"/>
          <w:sz w:val="24"/>
          <w:szCs w:val="24"/>
          <w:highlight w:val="yellow"/>
        </w:rPr>
        <w:t xml:space="preserve"> </w:t>
      </w:r>
      <w:r w:rsidRPr="00064C1F">
        <w:rPr>
          <w:color w:val="000000" w:themeColor="text1"/>
          <w:sz w:val="24"/>
          <w:szCs w:val="24"/>
          <w:highlight w:val="yellow"/>
        </w:rPr>
        <w:t>document.</w:t>
      </w:r>
    </w:p>
    <w:p w14:paraId="144ED394" w14:textId="77777777" w:rsidR="008572F7" w:rsidRPr="00C56257" w:rsidRDefault="008572F7" w:rsidP="00B538DD">
      <w:pPr>
        <w:pStyle w:val="BodyText"/>
        <w:ind w:left="0" w:right="253"/>
        <w:jc w:val="both"/>
        <w:rPr>
          <w:color w:val="000000" w:themeColor="text1"/>
          <w:sz w:val="24"/>
          <w:szCs w:val="24"/>
          <w:lang w:val="fr-FR"/>
        </w:rPr>
      </w:pPr>
      <w:proofErr w:type="spellStart"/>
      <w:r w:rsidRPr="00C56257">
        <w:rPr>
          <w:color w:val="000000" w:themeColor="text1"/>
          <w:sz w:val="24"/>
          <w:szCs w:val="24"/>
        </w:rPr>
        <w:lastRenderedPageBreak/>
        <w:t>Presiunile</w:t>
      </w:r>
      <w:proofErr w:type="spellEnd"/>
      <w:r w:rsidRPr="00C56257">
        <w:rPr>
          <w:color w:val="000000" w:themeColor="text1"/>
          <w:sz w:val="24"/>
          <w:szCs w:val="24"/>
        </w:rPr>
        <w:t xml:space="preserve"> o</w:t>
      </w:r>
      <w:proofErr w:type="spellStart"/>
      <w:r w:rsidRPr="00C56257">
        <w:rPr>
          <w:color w:val="000000" w:themeColor="text1"/>
          <w:sz w:val="24"/>
          <w:szCs w:val="24"/>
          <w:lang w:val="fr-FR"/>
        </w:rPr>
        <w:t>bservate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studiul</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teren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evaluate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stabilindu</w:t>
      </w:r>
      <w:proofErr w:type="spellEnd"/>
      <w:r w:rsidRPr="00C56257">
        <w:rPr>
          <w:color w:val="000000" w:themeColor="text1"/>
          <w:sz w:val="24"/>
          <w:szCs w:val="24"/>
          <w:lang w:val="fr-FR"/>
        </w:rPr>
        <w:t xml:space="preserve">-se </w:t>
      </w:r>
      <w:proofErr w:type="spellStart"/>
      <w:r w:rsidRPr="00C56257">
        <w:rPr>
          <w:color w:val="000000" w:themeColor="text1"/>
          <w:sz w:val="24"/>
          <w:szCs w:val="24"/>
          <w:lang w:val="fr-FR"/>
        </w:rPr>
        <w:t>intensitatea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specifică</w:t>
      </w:r>
      <w:proofErr w:type="spellEnd"/>
      <w:r w:rsidRPr="00C56257">
        <w:rPr>
          <w:color w:val="000000" w:themeColor="text1"/>
          <w:sz w:val="24"/>
          <w:szCs w:val="24"/>
          <w:lang w:val="fr-FR"/>
        </w:rPr>
        <w:t xml:space="preserve"> a </w:t>
      </w:r>
      <w:proofErr w:type="spellStart"/>
      <w:r w:rsidRPr="00C56257">
        <w:rPr>
          <w:color w:val="000000" w:themeColor="text1"/>
          <w:sz w:val="24"/>
          <w:szCs w:val="24"/>
          <w:lang w:val="fr-FR"/>
        </w:rPr>
        <w:t>fiecăreia</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ce</w:t>
      </w:r>
      <w:r w:rsidRPr="00C56257">
        <w:rPr>
          <w:color w:val="000000" w:themeColor="text1"/>
          <w:spacing w:val="31"/>
          <w:sz w:val="24"/>
          <w:szCs w:val="24"/>
          <w:lang w:val="fr-FR"/>
        </w:rPr>
        <w:t xml:space="preserve"> </w:t>
      </w:r>
      <w:r w:rsidRPr="00C56257">
        <w:rPr>
          <w:color w:val="000000" w:themeColor="text1"/>
          <w:sz w:val="24"/>
          <w:szCs w:val="24"/>
          <w:lang w:val="fr-FR"/>
        </w:rPr>
        <w:t>se</w:t>
      </w:r>
      <w:r w:rsidRPr="00C56257">
        <w:rPr>
          <w:color w:val="000000" w:themeColor="text1"/>
          <w:spacing w:val="35"/>
          <w:sz w:val="24"/>
          <w:szCs w:val="24"/>
          <w:lang w:val="fr-FR"/>
        </w:rPr>
        <w:t xml:space="preserve"> </w:t>
      </w:r>
      <w:proofErr w:type="spellStart"/>
      <w:r w:rsidRPr="00C56257">
        <w:rPr>
          <w:color w:val="000000" w:themeColor="text1"/>
          <w:sz w:val="24"/>
          <w:szCs w:val="24"/>
          <w:lang w:val="fr-FR"/>
        </w:rPr>
        <w:t>exercită</w:t>
      </w:r>
      <w:proofErr w:type="spellEnd"/>
      <w:r w:rsidRPr="00C56257">
        <w:rPr>
          <w:color w:val="000000" w:themeColor="text1"/>
          <w:spacing w:val="31"/>
          <w:sz w:val="24"/>
          <w:szCs w:val="24"/>
          <w:lang w:val="fr-FR"/>
        </w:rPr>
        <w:t xml:space="preserve"> </w:t>
      </w:r>
      <w:proofErr w:type="spellStart"/>
      <w:r w:rsidRPr="00C56257">
        <w:rPr>
          <w:color w:val="000000" w:themeColor="text1"/>
          <w:sz w:val="24"/>
          <w:szCs w:val="24"/>
          <w:lang w:val="fr-FR"/>
        </w:rPr>
        <w:t>asupra</w:t>
      </w:r>
      <w:proofErr w:type="spellEnd"/>
      <w:r w:rsidRPr="00C56257">
        <w:rPr>
          <w:color w:val="000000" w:themeColor="text1"/>
          <w:spacing w:val="31"/>
          <w:sz w:val="24"/>
          <w:szCs w:val="24"/>
          <w:lang w:val="fr-FR"/>
        </w:rPr>
        <w:t xml:space="preserve"> </w:t>
      </w:r>
      <w:proofErr w:type="spellStart"/>
      <w:r w:rsidRPr="00C56257">
        <w:rPr>
          <w:color w:val="000000" w:themeColor="text1"/>
          <w:sz w:val="24"/>
          <w:szCs w:val="24"/>
          <w:lang w:val="fr-FR"/>
        </w:rPr>
        <w:t>habitatului</w:t>
      </w:r>
      <w:proofErr w:type="spellEnd"/>
      <w:r w:rsidRPr="00C56257">
        <w:rPr>
          <w:color w:val="000000" w:themeColor="text1"/>
          <w:spacing w:val="32"/>
          <w:sz w:val="24"/>
          <w:szCs w:val="24"/>
          <w:lang w:val="fr-FR"/>
        </w:rPr>
        <w:t xml:space="preserve"> </w:t>
      </w:r>
      <w:proofErr w:type="spellStart"/>
      <w:r w:rsidRPr="00C56257">
        <w:rPr>
          <w:color w:val="000000" w:themeColor="text1"/>
          <w:sz w:val="24"/>
          <w:szCs w:val="24"/>
          <w:lang w:val="fr-FR"/>
        </w:rPr>
        <w:t>țintă</w:t>
      </w:r>
      <w:proofErr w:type="spellEnd"/>
      <w:r w:rsidRPr="00C56257">
        <w:rPr>
          <w:color w:val="000000" w:themeColor="text1"/>
          <w:sz w:val="24"/>
          <w:szCs w:val="24"/>
          <w:lang w:val="fr-FR"/>
        </w:rPr>
        <w:t>.</w:t>
      </w:r>
      <w:r w:rsidRPr="00C56257">
        <w:rPr>
          <w:color w:val="000000" w:themeColor="text1"/>
          <w:spacing w:val="32"/>
          <w:sz w:val="24"/>
          <w:szCs w:val="24"/>
          <w:lang w:val="fr-FR"/>
        </w:rPr>
        <w:t xml:space="preserve"> </w:t>
      </w:r>
      <w:proofErr w:type="spellStart"/>
      <w:r w:rsidRPr="00C56257">
        <w:rPr>
          <w:color w:val="000000" w:themeColor="text1"/>
          <w:sz w:val="24"/>
          <w:szCs w:val="24"/>
          <w:lang w:val="fr-FR"/>
        </w:rPr>
        <w:t>Categoriile</w:t>
      </w:r>
      <w:proofErr w:type="spellEnd"/>
      <w:r w:rsidRPr="00C56257">
        <w:rPr>
          <w:color w:val="000000" w:themeColor="text1"/>
          <w:spacing w:val="31"/>
          <w:sz w:val="24"/>
          <w:szCs w:val="24"/>
          <w:lang w:val="fr-FR"/>
        </w:rPr>
        <w:t xml:space="preserve"> </w:t>
      </w:r>
      <w:r w:rsidRPr="00C56257">
        <w:rPr>
          <w:color w:val="000000" w:themeColor="text1"/>
          <w:sz w:val="24"/>
          <w:szCs w:val="24"/>
          <w:lang w:val="fr-FR"/>
        </w:rPr>
        <w:t>de</w:t>
      </w:r>
      <w:r w:rsidRPr="00C56257">
        <w:rPr>
          <w:color w:val="000000" w:themeColor="text1"/>
          <w:spacing w:val="34"/>
          <w:sz w:val="24"/>
          <w:szCs w:val="24"/>
          <w:lang w:val="fr-FR"/>
        </w:rPr>
        <w:t xml:space="preserve"> </w:t>
      </w:r>
      <w:proofErr w:type="spellStart"/>
      <w:r w:rsidRPr="00C56257">
        <w:rPr>
          <w:color w:val="000000" w:themeColor="text1"/>
          <w:sz w:val="24"/>
          <w:szCs w:val="24"/>
          <w:lang w:val="fr-FR"/>
        </w:rPr>
        <w:t>evaluare</w:t>
      </w:r>
      <w:proofErr w:type="spellEnd"/>
      <w:r w:rsidRPr="00C56257">
        <w:rPr>
          <w:color w:val="000000" w:themeColor="text1"/>
          <w:spacing w:val="31"/>
          <w:sz w:val="24"/>
          <w:szCs w:val="24"/>
          <w:lang w:val="fr-FR"/>
        </w:rPr>
        <w:t xml:space="preserve"> </w:t>
      </w:r>
      <w:r w:rsidRPr="00C56257">
        <w:rPr>
          <w:color w:val="000000" w:themeColor="text1"/>
          <w:sz w:val="24"/>
          <w:szCs w:val="24"/>
          <w:lang w:val="fr-FR"/>
        </w:rPr>
        <w:t>a</w:t>
      </w:r>
      <w:r w:rsidRPr="00C56257">
        <w:rPr>
          <w:color w:val="000000" w:themeColor="text1"/>
          <w:spacing w:val="34"/>
          <w:sz w:val="24"/>
          <w:szCs w:val="24"/>
          <w:lang w:val="fr-FR"/>
        </w:rPr>
        <w:t xml:space="preserve"> </w:t>
      </w:r>
      <w:proofErr w:type="spellStart"/>
      <w:r w:rsidRPr="00C56257">
        <w:rPr>
          <w:color w:val="000000" w:themeColor="text1"/>
          <w:sz w:val="24"/>
          <w:szCs w:val="24"/>
          <w:lang w:val="fr-FR"/>
        </w:rPr>
        <w:t>intensității</w:t>
      </w:r>
      <w:proofErr w:type="spellEnd"/>
      <w:r w:rsidRPr="00C56257">
        <w:rPr>
          <w:color w:val="000000" w:themeColor="text1"/>
          <w:spacing w:val="32"/>
          <w:sz w:val="24"/>
          <w:szCs w:val="24"/>
          <w:lang w:val="fr-FR"/>
        </w:rPr>
        <w:t xml:space="preserve"> </w:t>
      </w:r>
      <w:proofErr w:type="spellStart"/>
      <w:r w:rsidRPr="00C56257">
        <w:rPr>
          <w:color w:val="000000" w:themeColor="text1"/>
          <w:sz w:val="24"/>
          <w:szCs w:val="24"/>
          <w:lang w:val="fr-FR"/>
        </w:rPr>
        <w:t>sunt</w:t>
      </w:r>
      <w:proofErr w:type="spellEnd"/>
      <w:r w:rsidR="00064C1F">
        <w:rPr>
          <w:color w:val="000000" w:themeColor="text1"/>
          <w:sz w:val="24"/>
          <w:szCs w:val="24"/>
          <w:lang w:val="fr-FR"/>
        </w:rPr>
        <w:t>,</w:t>
      </w:r>
      <w:r w:rsidRPr="00C56257">
        <w:rPr>
          <w:color w:val="000000" w:themeColor="text1"/>
          <w:spacing w:val="33"/>
          <w:sz w:val="24"/>
          <w:szCs w:val="24"/>
          <w:lang w:val="fr-FR"/>
        </w:rPr>
        <w:t xml:space="preserve"> </w:t>
      </w:r>
      <w:r w:rsidRPr="00C56257">
        <w:rPr>
          <w:color w:val="000000" w:themeColor="text1"/>
          <w:sz w:val="24"/>
          <w:szCs w:val="24"/>
          <w:lang w:val="fr-FR"/>
        </w:rPr>
        <w:t>de</w:t>
      </w:r>
      <w:r w:rsidRPr="00C56257">
        <w:rPr>
          <w:color w:val="000000" w:themeColor="text1"/>
          <w:spacing w:val="31"/>
          <w:sz w:val="24"/>
          <w:szCs w:val="24"/>
          <w:lang w:val="fr-FR"/>
        </w:rPr>
        <w:t xml:space="preserve"> </w:t>
      </w:r>
      <w:proofErr w:type="spellStart"/>
      <w:r w:rsidRPr="00C56257">
        <w:rPr>
          <w:color w:val="000000" w:themeColor="text1"/>
          <w:sz w:val="24"/>
          <w:szCs w:val="24"/>
          <w:lang w:val="fr-FR"/>
        </w:rPr>
        <w:t>asemenea</w:t>
      </w:r>
      <w:proofErr w:type="spellEnd"/>
      <w:r w:rsidR="00064C1F">
        <w:rPr>
          <w:color w:val="000000" w:themeColor="text1"/>
          <w:sz w:val="24"/>
          <w:szCs w:val="24"/>
          <w:lang w:val="fr-FR"/>
        </w:rPr>
        <w:t>, de</w:t>
      </w:r>
      <w:r w:rsidRPr="00C56257">
        <w:rPr>
          <w:color w:val="000000" w:themeColor="text1"/>
          <w:spacing w:val="32"/>
          <w:sz w:val="24"/>
          <w:szCs w:val="24"/>
          <w:lang w:val="fr-FR"/>
        </w:rPr>
        <w:t xml:space="preserve"> </w:t>
      </w:r>
      <w:proofErr w:type="spellStart"/>
      <w:r w:rsidRPr="00C56257">
        <w:rPr>
          <w:color w:val="000000" w:themeColor="text1"/>
          <w:sz w:val="24"/>
          <w:szCs w:val="24"/>
          <w:lang w:val="fr-FR"/>
        </w:rPr>
        <w:t>nivel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calitativ</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respectiv</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intensitate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mică</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intensitate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medie</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intensitate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mare,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intensitate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necunoscută</w:t>
      </w:r>
      <w:proofErr w:type="spellEnd"/>
      <w:r w:rsidRPr="00C56257">
        <w:rPr>
          <w:color w:val="000000" w:themeColor="text1"/>
          <w:sz w:val="24"/>
          <w:szCs w:val="24"/>
          <w:lang w:val="fr-FR"/>
        </w:rPr>
        <w:t>.</w:t>
      </w:r>
    </w:p>
    <w:p w14:paraId="2F178BFD" w14:textId="77777777" w:rsidR="008572F7" w:rsidRPr="00C56257" w:rsidRDefault="008572F7" w:rsidP="00064C1F">
      <w:pPr>
        <w:pStyle w:val="BodyText"/>
        <w:spacing w:before="1"/>
        <w:ind w:left="0" w:right="250"/>
        <w:jc w:val="both"/>
        <w:rPr>
          <w:color w:val="000000" w:themeColor="text1"/>
          <w:sz w:val="24"/>
          <w:szCs w:val="24"/>
          <w:lang w:val="fr-FR"/>
        </w:rPr>
      </w:pPr>
      <w:proofErr w:type="spellStart"/>
      <w:r w:rsidRPr="00C56257">
        <w:rPr>
          <w:color w:val="000000" w:themeColor="text1"/>
          <w:sz w:val="24"/>
          <w:szCs w:val="24"/>
          <w:lang w:val="fr-FR"/>
        </w:rPr>
        <w:t>Amenințările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estimate</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urma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analizei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presiunilor</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existente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observate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teren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evaluate</w:t>
      </w:r>
      <w:proofErr w:type="spellEnd"/>
      <w:r w:rsidR="00064C1F">
        <w:rPr>
          <w:color w:val="000000" w:themeColor="text1"/>
          <w:sz w:val="24"/>
          <w:szCs w:val="24"/>
          <w:lang w:val="fr-FR"/>
        </w:rPr>
        <w:t xml:space="preserve">, </w:t>
      </w:r>
      <w:r w:rsidRPr="00C56257">
        <w:rPr>
          <w:color w:val="000000" w:themeColor="text1"/>
          <w:spacing w:val="-57"/>
          <w:sz w:val="24"/>
          <w:szCs w:val="24"/>
          <w:lang w:val="fr-FR"/>
        </w:rPr>
        <w:t xml:space="preserve"> </w:t>
      </w:r>
      <w:r w:rsidR="00064C1F">
        <w:rPr>
          <w:color w:val="000000" w:themeColor="text1"/>
          <w:spacing w:val="-57"/>
          <w:sz w:val="24"/>
          <w:szCs w:val="24"/>
          <w:lang w:val="fr-FR"/>
        </w:rPr>
        <w:t xml:space="preserve">  </w:t>
      </w:r>
      <w:proofErr w:type="spellStart"/>
      <w:r w:rsidRPr="00C56257">
        <w:rPr>
          <w:color w:val="000000" w:themeColor="text1"/>
          <w:sz w:val="24"/>
          <w:szCs w:val="24"/>
          <w:lang w:val="fr-FR"/>
        </w:rPr>
        <w:t>stabilindu</w:t>
      </w:r>
      <w:proofErr w:type="spellEnd"/>
      <w:r w:rsidRPr="00C56257">
        <w:rPr>
          <w:color w:val="000000" w:themeColor="text1"/>
          <w:sz w:val="24"/>
          <w:szCs w:val="24"/>
          <w:lang w:val="fr-FR"/>
        </w:rPr>
        <w:t>-se</w:t>
      </w:r>
      <w:r w:rsidRPr="00C56257">
        <w:rPr>
          <w:color w:val="000000" w:themeColor="text1"/>
          <w:spacing w:val="13"/>
          <w:sz w:val="24"/>
          <w:szCs w:val="24"/>
          <w:lang w:val="fr-FR"/>
        </w:rPr>
        <w:t xml:space="preserve"> </w:t>
      </w:r>
      <w:proofErr w:type="spellStart"/>
      <w:r w:rsidRPr="00C56257">
        <w:rPr>
          <w:color w:val="000000" w:themeColor="text1"/>
          <w:sz w:val="24"/>
          <w:szCs w:val="24"/>
          <w:lang w:val="fr-FR"/>
        </w:rPr>
        <w:t>intensitatea</w:t>
      </w:r>
      <w:proofErr w:type="spellEnd"/>
      <w:r w:rsidRPr="00C56257">
        <w:rPr>
          <w:color w:val="000000" w:themeColor="text1"/>
          <w:spacing w:val="16"/>
          <w:sz w:val="24"/>
          <w:szCs w:val="24"/>
          <w:lang w:val="fr-FR"/>
        </w:rPr>
        <w:t xml:space="preserve"> </w:t>
      </w:r>
      <w:proofErr w:type="spellStart"/>
      <w:r w:rsidRPr="00C56257">
        <w:rPr>
          <w:color w:val="000000" w:themeColor="text1"/>
          <w:sz w:val="24"/>
          <w:szCs w:val="24"/>
          <w:lang w:val="fr-FR"/>
        </w:rPr>
        <w:t>specifică</w:t>
      </w:r>
      <w:proofErr w:type="spellEnd"/>
      <w:r w:rsidRPr="00C56257">
        <w:rPr>
          <w:color w:val="000000" w:themeColor="text1"/>
          <w:spacing w:val="14"/>
          <w:sz w:val="24"/>
          <w:szCs w:val="24"/>
          <w:lang w:val="fr-FR"/>
        </w:rPr>
        <w:t xml:space="preserve"> </w:t>
      </w:r>
      <w:r w:rsidRPr="00C56257">
        <w:rPr>
          <w:color w:val="000000" w:themeColor="text1"/>
          <w:sz w:val="24"/>
          <w:szCs w:val="24"/>
          <w:lang w:val="fr-FR"/>
        </w:rPr>
        <w:t>a</w:t>
      </w:r>
      <w:r w:rsidRPr="00C56257">
        <w:rPr>
          <w:color w:val="000000" w:themeColor="text1"/>
          <w:spacing w:val="16"/>
          <w:sz w:val="24"/>
          <w:szCs w:val="24"/>
          <w:lang w:val="fr-FR"/>
        </w:rPr>
        <w:t xml:space="preserve"> </w:t>
      </w:r>
      <w:proofErr w:type="spellStart"/>
      <w:r w:rsidRPr="00C56257">
        <w:rPr>
          <w:color w:val="000000" w:themeColor="text1"/>
          <w:sz w:val="24"/>
          <w:szCs w:val="24"/>
          <w:lang w:val="fr-FR"/>
        </w:rPr>
        <w:t>fiecăreia</w:t>
      </w:r>
      <w:proofErr w:type="spellEnd"/>
      <w:r w:rsidRPr="00C56257">
        <w:rPr>
          <w:color w:val="000000" w:themeColor="text1"/>
          <w:spacing w:val="15"/>
          <w:sz w:val="24"/>
          <w:szCs w:val="24"/>
          <w:lang w:val="fr-FR"/>
        </w:rPr>
        <w:t xml:space="preserve"> </w:t>
      </w:r>
      <w:r w:rsidRPr="00C56257">
        <w:rPr>
          <w:color w:val="000000" w:themeColor="text1"/>
          <w:sz w:val="24"/>
          <w:szCs w:val="24"/>
          <w:lang w:val="fr-FR"/>
        </w:rPr>
        <w:t>ce</w:t>
      </w:r>
      <w:r w:rsidRPr="00C56257">
        <w:rPr>
          <w:color w:val="000000" w:themeColor="text1"/>
          <w:spacing w:val="17"/>
          <w:sz w:val="24"/>
          <w:szCs w:val="24"/>
          <w:lang w:val="fr-FR"/>
        </w:rPr>
        <w:t xml:space="preserve"> </w:t>
      </w:r>
      <w:r w:rsidRPr="00C56257">
        <w:rPr>
          <w:color w:val="000000" w:themeColor="text1"/>
          <w:sz w:val="24"/>
          <w:szCs w:val="24"/>
          <w:lang w:val="fr-FR"/>
        </w:rPr>
        <w:t>se</w:t>
      </w:r>
      <w:r w:rsidRPr="00C56257">
        <w:rPr>
          <w:color w:val="000000" w:themeColor="text1"/>
          <w:spacing w:val="14"/>
          <w:sz w:val="24"/>
          <w:szCs w:val="24"/>
          <w:lang w:val="fr-FR"/>
        </w:rPr>
        <w:t xml:space="preserve"> </w:t>
      </w:r>
      <w:proofErr w:type="spellStart"/>
      <w:r w:rsidRPr="00C56257">
        <w:rPr>
          <w:color w:val="000000" w:themeColor="text1"/>
          <w:sz w:val="24"/>
          <w:szCs w:val="24"/>
          <w:lang w:val="fr-FR"/>
        </w:rPr>
        <w:t>exercită</w:t>
      </w:r>
      <w:proofErr w:type="spellEnd"/>
      <w:r w:rsidRPr="00C56257">
        <w:rPr>
          <w:color w:val="000000" w:themeColor="text1"/>
          <w:spacing w:val="16"/>
          <w:sz w:val="24"/>
          <w:szCs w:val="24"/>
          <w:lang w:val="fr-FR"/>
        </w:rPr>
        <w:t xml:space="preserve"> </w:t>
      </w:r>
      <w:proofErr w:type="spellStart"/>
      <w:r w:rsidRPr="00C56257">
        <w:rPr>
          <w:color w:val="000000" w:themeColor="text1"/>
          <w:sz w:val="24"/>
          <w:szCs w:val="24"/>
          <w:lang w:val="fr-FR"/>
        </w:rPr>
        <w:t>asupra</w:t>
      </w:r>
      <w:proofErr w:type="spellEnd"/>
      <w:r w:rsidRPr="00C56257">
        <w:rPr>
          <w:color w:val="000000" w:themeColor="text1"/>
          <w:spacing w:val="16"/>
          <w:sz w:val="24"/>
          <w:szCs w:val="24"/>
          <w:lang w:val="fr-FR"/>
        </w:rPr>
        <w:t xml:space="preserve"> </w:t>
      </w:r>
      <w:proofErr w:type="spellStart"/>
      <w:r w:rsidRPr="00C56257">
        <w:rPr>
          <w:color w:val="000000" w:themeColor="text1"/>
          <w:sz w:val="24"/>
          <w:szCs w:val="24"/>
          <w:lang w:val="fr-FR"/>
        </w:rPr>
        <w:t>habitatului</w:t>
      </w:r>
      <w:proofErr w:type="spellEnd"/>
      <w:r w:rsidRPr="00C56257">
        <w:rPr>
          <w:color w:val="000000" w:themeColor="text1"/>
          <w:spacing w:val="16"/>
          <w:sz w:val="24"/>
          <w:szCs w:val="24"/>
          <w:lang w:val="fr-FR"/>
        </w:rPr>
        <w:t xml:space="preserve"> </w:t>
      </w:r>
      <w:proofErr w:type="spellStart"/>
      <w:r w:rsidRPr="00C56257">
        <w:rPr>
          <w:color w:val="000000" w:themeColor="text1"/>
          <w:sz w:val="24"/>
          <w:szCs w:val="24"/>
          <w:lang w:val="fr-FR"/>
        </w:rPr>
        <w:t>țintă</w:t>
      </w:r>
      <w:proofErr w:type="spellEnd"/>
      <w:r w:rsidRPr="00C56257">
        <w:rPr>
          <w:color w:val="000000" w:themeColor="text1"/>
          <w:sz w:val="24"/>
          <w:szCs w:val="24"/>
          <w:lang w:val="fr-FR"/>
        </w:rPr>
        <w:t>.</w:t>
      </w:r>
      <w:r w:rsidRPr="00C56257">
        <w:rPr>
          <w:color w:val="000000" w:themeColor="text1"/>
          <w:spacing w:val="15"/>
          <w:sz w:val="24"/>
          <w:szCs w:val="24"/>
          <w:lang w:val="fr-FR"/>
        </w:rPr>
        <w:t xml:space="preserve"> </w:t>
      </w:r>
      <w:proofErr w:type="spellStart"/>
      <w:r w:rsidRPr="00C56257">
        <w:rPr>
          <w:color w:val="000000" w:themeColor="text1"/>
          <w:sz w:val="24"/>
          <w:szCs w:val="24"/>
          <w:lang w:val="fr-FR"/>
        </w:rPr>
        <w:t>Categoriile</w:t>
      </w:r>
      <w:proofErr w:type="spellEnd"/>
      <w:r w:rsidRPr="00C56257">
        <w:rPr>
          <w:color w:val="000000" w:themeColor="text1"/>
          <w:spacing w:val="15"/>
          <w:sz w:val="24"/>
          <w:szCs w:val="24"/>
          <w:lang w:val="fr-FR"/>
        </w:rPr>
        <w:t xml:space="preserve"> </w:t>
      </w:r>
      <w:r w:rsidRPr="00C56257">
        <w:rPr>
          <w:color w:val="000000" w:themeColor="text1"/>
          <w:sz w:val="24"/>
          <w:szCs w:val="24"/>
          <w:lang w:val="fr-FR"/>
        </w:rPr>
        <w:t>de</w:t>
      </w:r>
      <w:r w:rsidR="00064C1F">
        <w:rPr>
          <w:color w:val="000000" w:themeColor="text1"/>
          <w:sz w:val="24"/>
          <w:szCs w:val="24"/>
          <w:lang w:val="fr-FR"/>
        </w:rPr>
        <w:t xml:space="preserve"> </w:t>
      </w:r>
      <w:proofErr w:type="spellStart"/>
      <w:r w:rsidRPr="00C56257">
        <w:rPr>
          <w:color w:val="000000" w:themeColor="text1"/>
          <w:sz w:val="24"/>
          <w:szCs w:val="24"/>
          <w:lang w:val="fr-FR"/>
        </w:rPr>
        <w:t>evaluare</w:t>
      </w:r>
      <w:proofErr w:type="spellEnd"/>
      <w:r w:rsidRPr="00C56257">
        <w:rPr>
          <w:color w:val="000000" w:themeColor="text1"/>
          <w:spacing w:val="35"/>
          <w:sz w:val="24"/>
          <w:szCs w:val="24"/>
          <w:lang w:val="fr-FR"/>
        </w:rPr>
        <w:t xml:space="preserve"> </w:t>
      </w:r>
      <w:r w:rsidRPr="00C56257">
        <w:rPr>
          <w:color w:val="000000" w:themeColor="text1"/>
          <w:sz w:val="24"/>
          <w:szCs w:val="24"/>
          <w:lang w:val="fr-FR"/>
        </w:rPr>
        <w:t>a</w:t>
      </w:r>
      <w:r w:rsidRPr="00C56257">
        <w:rPr>
          <w:color w:val="000000" w:themeColor="text1"/>
          <w:spacing w:val="36"/>
          <w:sz w:val="24"/>
          <w:szCs w:val="24"/>
          <w:lang w:val="fr-FR"/>
        </w:rPr>
        <w:t xml:space="preserve"> </w:t>
      </w:r>
      <w:proofErr w:type="spellStart"/>
      <w:r w:rsidRPr="00C56257">
        <w:rPr>
          <w:color w:val="000000" w:themeColor="text1"/>
          <w:sz w:val="24"/>
          <w:szCs w:val="24"/>
          <w:lang w:val="fr-FR"/>
        </w:rPr>
        <w:t>intensității</w:t>
      </w:r>
      <w:proofErr w:type="spellEnd"/>
      <w:r w:rsidRPr="00C56257">
        <w:rPr>
          <w:color w:val="000000" w:themeColor="text1"/>
          <w:spacing w:val="36"/>
          <w:sz w:val="24"/>
          <w:szCs w:val="24"/>
          <w:lang w:val="fr-FR"/>
        </w:rPr>
        <w:t xml:space="preserve"> </w:t>
      </w:r>
      <w:proofErr w:type="spellStart"/>
      <w:r w:rsidRPr="00C56257">
        <w:rPr>
          <w:color w:val="000000" w:themeColor="text1"/>
          <w:sz w:val="24"/>
          <w:szCs w:val="24"/>
          <w:lang w:val="fr-FR"/>
        </w:rPr>
        <w:t>sunt</w:t>
      </w:r>
      <w:proofErr w:type="spellEnd"/>
      <w:r w:rsidR="00064C1F">
        <w:rPr>
          <w:color w:val="000000" w:themeColor="text1"/>
          <w:sz w:val="24"/>
          <w:szCs w:val="24"/>
          <w:lang w:val="fr-FR"/>
        </w:rPr>
        <w:t>,</w:t>
      </w:r>
      <w:r w:rsidRPr="00C56257">
        <w:rPr>
          <w:color w:val="000000" w:themeColor="text1"/>
          <w:spacing w:val="37"/>
          <w:sz w:val="24"/>
          <w:szCs w:val="24"/>
          <w:lang w:val="fr-FR"/>
        </w:rPr>
        <w:t xml:space="preserve"> </w:t>
      </w:r>
      <w:r w:rsidRPr="00C56257">
        <w:rPr>
          <w:color w:val="000000" w:themeColor="text1"/>
          <w:sz w:val="24"/>
          <w:szCs w:val="24"/>
          <w:lang w:val="fr-FR"/>
        </w:rPr>
        <w:t>de</w:t>
      </w:r>
      <w:r w:rsidRPr="00C56257">
        <w:rPr>
          <w:color w:val="000000" w:themeColor="text1"/>
          <w:spacing w:val="36"/>
          <w:sz w:val="24"/>
          <w:szCs w:val="24"/>
          <w:lang w:val="fr-FR"/>
        </w:rPr>
        <w:t xml:space="preserve"> </w:t>
      </w:r>
      <w:proofErr w:type="spellStart"/>
      <w:r w:rsidRPr="00C56257">
        <w:rPr>
          <w:color w:val="000000" w:themeColor="text1"/>
          <w:sz w:val="24"/>
          <w:szCs w:val="24"/>
          <w:lang w:val="fr-FR"/>
        </w:rPr>
        <w:t>asemenea</w:t>
      </w:r>
      <w:proofErr w:type="spellEnd"/>
      <w:r w:rsidR="00064C1F">
        <w:rPr>
          <w:color w:val="000000" w:themeColor="text1"/>
          <w:sz w:val="24"/>
          <w:szCs w:val="24"/>
          <w:lang w:val="fr-FR"/>
        </w:rPr>
        <w:t>,</w:t>
      </w:r>
      <w:r w:rsidRPr="00C56257">
        <w:rPr>
          <w:color w:val="000000" w:themeColor="text1"/>
          <w:spacing w:val="35"/>
          <w:sz w:val="24"/>
          <w:szCs w:val="24"/>
          <w:lang w:val="fr-FR"/>
        </w:rPr>
        <w:t xml:space="preserve"> </w:t>
      </w:r>
      <w:r w:rsidRPr="00C56257">
        <w:rPr>
          <w:color w:val="000000" w:themeColor="text1"/>
          <w:sz w:val="24"/>
          <w:szCs w:val="24"/>
          <w:lang w:val="fr-FR"/>
        </w:rPr>
        <w:t>de</w:t>
      </w:r>
      <w:r w:rsidRPr="00C56257">
        <w:rPr>
          <w:color w:val="000000" w:themeColor="text1"/>
          <w:spacing w:val="36"/>
          <w:sz w:val="24"/>
          <w:szCs w:val="24"/>
          <w:lang w:val="fr-FR"/>
        </w:rPr>
        <w:t xml:space="preserve"> </w:t>
      </w:r>
      <w:proofErr w:type="spellStart"/>
      <w:r w:rsidRPr="00C56257">
        <w:rPr>
          <w:color w:val="000000" w:themeColor="text1"/>
          <w:sz w:val="24"/>
          <w:szCs w:val="24"/>
          <w:lang w:val="fr-FR"/>
        </w:rPr>
        <w:t>nivel</w:t>
      </w:r>
      <w:proofErr w:type="spellEnd"/>
      <w:r w:rsidRPr="00C56257">
        <w:rPr>
          <w:color w:val="000000" w:themeColor="text1"/>
          <w:spacing w:val="38"/>
          <w:sz w:val="24"/>
          <w:szCs w:val="24"/>
          <w:lang w:val="fr-FR"/>
        </w:rPr>
        <w:t xml:space="preserve"> </w:t>
      </w:r>
      <w:proofErr w:type="spellStart"/>
      <w:r w:rsidRPr="00C56257">
        <w:rPr>
          <w:color w:val="000000" w:themeColor="text1"/>
          <w:sz w:val="24"/>
          <w:szCs w:val="24"/>
          <w:lang w:val="fr-FR"/>
        </w:rPr>
        <w:t>calitativ</w:t>
      </w:r>
      <w:proofErr w:type="spellEnd"/>
      <w:r w:rsidRPr="00C56257">
        <w:rPr>
          <w:color w:val="000000" w:themeColor="text1"/>
          <w:sz w:val="24"/>
          <w:szCs w:val="24"/>
          <w:lang w:val="fr-FR"/>
        </w:rPr>
        <w:t>,</w:t>
      </w:r>
      <w:r w:rsidRPr="00C56257">
        <w:rPr>
          <w:color w:val="000000" w:themeColor="text1"/>
          <w:spacing w:val="37"/>
          <w:sz w:val="24"/>
          <w:szCs w:val="24"/>
          <w:lang w:val="fr-FR"/>
        </w:rPr>
        <w:t xml:space="preserve"> </w:t>
      </w:r>
      <w:proofErr w:type="spellStart"/>
      <w:r w:rsidRPr="00C56257">
        <w:rPr>
          <w:color w:val="000000" w:themeColor="text1"/>
          <w:sz w:val="24"/>
          <w:szCs w:val="24"/>
          <w:lang w:val="fr-FR"/>
        </w:rPr>
        <w:t>respectiv</w:t>
      </w:r>
      <w:proofErr w:type="spellEnd"/>
      <w:r w:rsidRPr="00C56257">
        <w:rPr>
          <w:color w:val="000000" w:themeColor="text1"/>
          <w:sz w:val="24"/>
          <w:szCs w:val="24"/>
          <w:lang w:val="fr-FR"/>
        </w:rPr>
        <w:t>:</w:t>
      </w:r>
      <w:r w:rsidRPr="00C56257">
        <w:rPr>
          <w:color w:val="000000" w:themeColor="text1"/>
          <w:spacing w:val="37"/>
          <w:sz w:val="24"/>
          <w:szCs w:val="24"/>
          <w:lang w:val="fr-FR"/>
        </w:rPr>
        <w:t xml:space="preserve"> </w:t>
      </w:r>
      <w:proofErr w:type="spellStart"/>
      <w:r w:rsidRPr="00C56257">
        <w:rPr>
          <w:color w:val="000000" w:themeColor="text1"/>
          <w:sz w:val="24"/>
          <w:szCs w:val="24"/>
          <w:lang w:val="fr-FR"/>
        </w:rPr>
        <w:t>intensitate</w:t>
      </w:r>
      <w:proofErr w:type="spellEnd"/>
      <w:r w:rsidRPr="00C56257">
        <w:rPr>
          <w:color w:val="000000" w:themeColor="text1"/>
          <w:spacing w:val="35"/>
          <w:sz w:val="24"/>
          <w:szCs w:val="24"/>
          <w:lang w:val="fr-FR"/>
        </w:rPr>
        <w:t xml:space="preserve"> </w:t>
      </w:r>
      <w:proofErr w:type="spellStart"/>
      <w:r w:rsidRPr="00C56257">
        <w:rPr>
          <w:color w:val="000000" w:themeColor="text1"/>
          <w:sz w:val="24"/>
          <w:szCs w:val="24"/>
          <w:lang w:val="fr-FR"/>
        </w:rPr>
        <w:t>mică</w:t>
      </w:r>
      <w:proofErr w:type="spellEnd"/>
      <w:r w:rsidRPr="00C56257">
        <w:rPr>
          <w:color w:val="000000" w:themeColor="text1"/>
          <w:sz w:val="24"/>
          <w:szCs w:val="24"/>
          <w:lang w:val="fr-FR"/>
        </w:rPr>
        <w:t>,</w:t>
      </w:r>
      <w:r w:rsidRPr="00C56257">
        <w:rPr>
          <w:color w:val="000000" w:themeColor="text1"/>
          <w:spacing w:val="37"/>
          <w:sz w:val="24"/>
          <w:szCs w:val="24"/>
          <w:lang w:val="fr-FR"/>
        </w:rPr>
        <w:t xml:space="preserve"> </w:t>
      </w:r>
      <w:proofErr w:type="spellStart"/>
      <w:r w:rsidRPr="00C56257">
        <w:rPr>
          <w:color w:val="000000" w:themeColor="text1"/>
          <w:sz w:val="24"/>
          <w:szCs w:val="24"/>
          <w:lang w:val="fr-FR"/>
        </w:rPr>
        <w:t>intensitate</w:t>
      </w:r>
      <w:proofErr w:type="spellEnd"/>
      <w:r w:rsidRPr="00C56257">
        <w:rPr>
          <w:color w:val="000000" w:themeColor="text1"/>
          <w:spacing w:val="-57"/>
          <w:sz w:val="24"/>
          <w:szCs w:val="24"/>
          <w:lang w:val="fr-FR"/>
        </w:rPr>
        <w:t xml:space="preserve"> </w:t>
      </w:r>
      <w:proofErr w:type="spellStart"/>
      <w:r w:rsidRPr="00C56257">
        <w:rPr>
          <w:color w:val="000000" w:themeColor="text1"/>
          <w:sz w:val="24"/>
          <w:szCs w:val="24"/>
          <w:lang w:val="fr-FR"/>
        </w:rPr>
        <w:t>medie</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intensitate</w:t>
      </w:r>
      <w:proofErr w:type="spellEnd"/>
      <w:r w:rsidRPr="00C56257">
        <w:rPr>
          <w:color w:val="000000" w:themeColor="text1"/>
          <w:sz w:val="24"/>
          <w:szCs w:val="24"/>
          <w:lang w:val="fr-FR"/>
        </w:rPr>
        <w:t xml:space="preserve"> mare, </w:t>
      </w:r>
      <w:proofErr w:type="spellStart"/>
      <w:r w:rsidRPr="00C56257">
        <w:rPr>
          <w:color w:val="000000" w:themeColor="text1"/>
          <w:sz w:val="24"/>
          <w:szCs w:val="24"/>
          <w:lang w:val="fr-FR"/>
        </w:rPr>
        <w:t>intensitate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necunoscută</w:t>
      </w:r>
      <w:proofErr w:type="spellEnd"/>
      <w:r w:rsidRPr="00C56257">
        <w:rPr>
          <w:color w:val="000000" w:themeColor="text1"/>
          <w:sz w:val="24"/>
          <w:szCs w:val="24"/>
          <w:lang w:val="fr-FR"/>
        </w:rPr>
        <w:t>.</w:t>
      </w:r>
    </w:p>
    <w:p w14:paraId="35623DBB" w14:textId="77777777" w:rsidR="008572F7" w:rsidRPr="00C56257" w:rsidRDefault="008572F7" w:rsidP="008572F7">
      <w:pPr>
        <w:pStyle w:val="BodyText"/>
        <w:spacing w:before="6"/>
        <w:jc w:val="both"/>
        <w:rPr>
          <w:color w:val="000000" w:themeColor="text1"/>
          <w:sz w:val="24"/>
          <w:szCs w:val="24"/>
          <w:lang w:val="fr-FR"/>
        </w:rPr>
      </w:pPr>
    </w:p>
    <w:p w14:paraId="14E6FA17" w14:textId="77777777" w:rsidR="008572F7" w:rsidRPr="00C56257" w:rsidRDefault="008572F7" w:rsidP="00F100E1">
      <w:pPr>
        <w:pStyle w:val="Heading2"/>
        <w:widowControl w:val="0"/>
        <w:tabs>
          <w:tab w:val="left" w:pos="1232"/>
        </w:tabs>
        <w:autoSpaceDE w:val="0"/>
        <w:autoSpaceDN w:val="0"/>
        <w:spacing w:before="0" w:beforeAutospacing="0" w:after="0" w:afterAutospacing="0"/>
        <w:jc w:val="both"/>
        <w:rPr>
          <w:color w:val="000000" w:themeColor="text1"/>
          <w:sz w:val="24"/>
          <w:szCs w:val="24"/>
        </w:rPr>
      </w:pPr>
      <w:proofErr w:type="spellStart"/>
      <w:r w:rsidRPr="00C56257">
        <w:rPr>
          <w:color w:val="000000" w:themeColor="text1"/>
          <w:sz w:val="24"/>
          <w:szCs w:val="24"/>
        </w:rPr>
        <w:t>Agregarea</w:t>
      </w:r>
      <w:proofErr w:type="spellEnd"/>
      <w:r w:rsidRPr="00C56257">
        <w:rPr>
          <w:color w:val="000000" w:themeColor="text1"/>
          <w:spacing w:val="-4"/>
          <w:sz w:val="24"/>
          <w:szCs w:val="24"/>
        </w:rPr>
        <w:t xml:space="preserve"> </w:t>
      </w:r>
      <w:proofErr w:type="spellStart"/>
      <w:r w:rsidRPr="00C56257">
        <w:rPr>
          <w:color w:val="000000" w:themeColor="text1"/>
          <w:sz w:val="24"/>
          <w:szCs w:val="24"/>
        </w:rPr>
        <w:t>informației</w:t>
      </w:r>
      <w:proofErr w:type="spellEnd"/>
      <w:r w:rsidRPr="00C56257">
        <w:rPr>
          <w:color w:val="000000" w:themeColor="text1"/>
          <w:spacing w:val="-6"/>
          <w:sz w:val="24"/>
          <w:szCs w:val="24"/>
        </w:rPr>
        <w:t xml:space="preserve"> </w:t>
      </w:r>
      <w:r w:rsidRPr="00C56257">
        <w:rPr>
          <w:color w:val="000000" w:themeColor="text1"/>
          <w:sz w:val="24"/>
          <w:szCs w:val="24"/>
        </w:rPr>
        <w:t>din</w:t>
      </w:r>
      <w:r w:rsidRPr="00C56257">
        <w:rPr>
          <w:color w:val="000000" w:themeColor="text1"/>
          <w:spacing w:val="-5"/>
          <w:sz w:val="24"/>
          <w:szCs w:val="24"/>
        </w:rPr>
        <w:t xml:space="preserve"> </w:t>
      </w:r>
      <w:proofErr w:type="spellStart"/>
      <w:r w:rsidRPr="00C56257">
        <w:rPr>
          <w:color w:val="000000" w:themeColor="text1"/>
          <w:sz w:val="24"/>
          <w:szCs w:val="24"/>
        </w:rPr>
        <w:t>ploturi</w:t>
      </w:r>
      <w:proofErr w:type="spellEnd"/>
      <w:r w:rsidRPr="00C56257">
        <w:rPr>
          <w:color w:val="000000" w:themeColor="text1"/>
          <w:spacing w:val="-5"/>
          <w:sz w:val="24"/>
          <w:szCs w:val="24"/>
        </w:rPr>
        <w:t xml:space="preserve"> </w:t>
      </w:r>
      <w:r w:rsidRPr="00C56257">
        <w:rPr>
          <w:color w:val="000000" w:themeColor="text1"/>
          <w:sz w:val="24"/>
          <w:szCs w:val="24"/>
        </w:rPr>
        <w:t>pe</w:t>
      </w:r>
      <w:r w:rsidRPr="00C56257">
        <w:rPr>
          <w:color w:val="000000" w:themeColor="text1"/>
          <w:spacing w:val="-5"/>
          <w:sz w:val="24"/>
          <w:szCs w:val="24"/>
        </w:rPr>
        <w:t xml:space="preserve"> </w:t>
      </w:r>
      <w:proofErr w:type="spellStart"/>
      <w:r w:rsidRPr="00C56257">
        <w:rPr>
          <w:color w:val="000000" w:themeColor="text1"/>
          <w:sz w:val="24"/>
          <w:szCs w:val="24"/>
        </w:rPr>
        <w:t>bioregiune</w:t>
      </w:r>
      <w:proofErr w:type="spellEnd"/>
    </w:p>
    <w:p w14:paraId="7C14FEF2" w14:textId="77777777" w:rsidR="008572F7" w:rsidRPr="00064C1F" w:rsidRDefault="008572F7" w:rsidP="00064C1F">
      <w:pPr>
        <w:pStyle w:val="BodyText"/>
        <w:ind w:left="0" w:right="253"/>
        <w:jc w:val="both"/>
        <w:rPr>
          <w:color w:val="000000" w:themeColor="text1"/>
          <w:sz w:val="24"/>
          <w:szCs w:val="24"/>
        </w:rPr>
      </w:pPr>
      <w:proofErr w:type="spellStart"/>
      <w:r w:rsidRPr="00064C1F">
        <w:rPr>
          <w:color w:val="000000" w:themeColor="text1"/>
          <w:sz w:val="24"/>
          <w:szCs w:val="24"/>
        </w:rPr>
        <w:t>Informațiile</w:t>
      </w:r>
      <w:proofErr w:type="spellEnd"/>
      <w:r w:rsidRPr="00064C1F">
        <w:rPr>
          <w:color w:val="000000" w:themeColor="text1"/>
          <w:sz w:val="24"/>
          <w:szCs w:val="24"/>
        </w:rPr>
        <w:t xml:space="preserve"> din </w:t>
      </w:r>
      <w:proofErr w:type="spellStart"/>
      <w:r w:rsidRPr="00064C1F">
        <w:rPr>
          <w:color w:val="000000" w:themeColor="text1"/>
          <w:sz w:val="24"/>
          <w:szCs w:val="24"/>
        </w:rPr>
        <w:t>gridurile</w:t>
      </w:r>
      <w:proofErr w:type="spellEnd"/>
      <w:r w:rsidRPr="00064C1F">
        <w:rPr>
          <w:color w:val="000000" w:themeColor="text1"/>
          <w:sz w:val="24"/>
          <w:szCs w:val="24"/>
        </w:rPr>
        <w:t xml:space="preserve"> de 10 x 10 km (</w:t>
      </w:r>
      <w:proofErr w:type="spellStart"/>
      <w:r w:rsidRPr="00064C1F">
        <w:rPr>
          <w:color w:val="000000" w:themeColor="text1"/>
          <w:sz w:val="24"/>
          <w:szCs w:val="24"/>
        </w:rPr>
        <w:t>ploturi</w:t>
      </w:r>
      <w:proofErr w:type="spellEnd"/>
      <w:r w:rsidRPr="00064C1F">
        <w:rPr>
          <w:color w:val="000000" w:themeColor="text1"/>
          <w:sz w:val="24"/>
          <w:szCs w:val="24"/>
        </w:rPr>
        <w:t xml:space="preserve">) la </w:t>
      </w:r>
      <w:proofErr w:type="spellStart"/>
      <w:r w:rsidRPr="00064C1F">
        <w:rPr>
          <w:color w:val="000000" w:themeColor="text1"/>
          <w:sz w:val="24"/>
          <w:szCs w:val="24"/>
        </w:rPr>
        <w:t>nivel</w:t>
      </w:r>
      <w:proofErr w:type="spellEnd"/>
      <w:r w:rsidRPr="00064C1F">
        <w:rPr>
          <w:color w:val="000000" w:themeColor="text1"/>
          <w:sz w:val="24"/>
          <w:szCs w:val="24"/>
        </w:rPr>
        <w:t xml:space="preserve"> de </w:t>
      </w:r>
      <w:proofErr w:type="spellStart"/>
      <w:r w:rsidRPr="00064C1F">
        <w:rPr>
          <w:color w:val="000000" w:themeColor="text1"/>
          <w:sz w:val="24"/>
          <w:szCs w:val="24"/>
        </w:rPr>
        <w:t>bioregiune</w:t>
      </w:r>
      <w:proofErr w:type="spellEnd"/>
      <w:r w:rsidRPr="00064C1F">
        <w:rPr>
          <w:color w:val="000000" w:themeColor="text1"/>
          <w:sz w:val="24"/>
          <w:szCs w:val="24"/>
        </w:rPr>
        <w:t xml:space="preserve"> se </w:t>
      </w:r>
      <w:proofErr w:type="spellStart"/>
      <w:r w:rsidRPr="00064C1F">
        <w:rPr>
          <w:color w:val="000000" w:themeColor="text1"/>
          <w:sz w:val="24"/>
          <w:szCs w:val="24"/>
        </w:rPr>
        <w:t>mediază</w:t>
      </w:r>
      <w:proofErr w:type="spellEnd"/>
      <w:r w:rsidRPr="00064C1F">
        <w:rPr>
          <w:color w:val="000000" w:themeColor="text1"/>
          <w:sz w:val="24"/>
          <w:szCs w:val="24"/>
        </w:rPr>
        <w:t xml:space="preserve"> </w:t>
      </w:r>
      <w:proofErr w:type="spellStart"/>
      <w:r w:rsidRPr="00064C1F">
        <w:rPr>
          <w:color w:val="000000" w:themeColor="text1"/>
          <w:sz w:val="24"/>
          <w:szCs w:val="24"/>
        </w:rPr>
        <w:t>pentru</w:t>
      </w:r>
      <w:proofErr w:type="spellEnd"/>
      <w:r w:rsidRPr="00064C1F">
        <w:rPr>
          <w:color w:val="000000" w:themeColor="text1"/>
          <w:sz w:val="24"/>
          <w:szCs w:val="24"/>
        </w:rPr>
        <w:t xml:space="preserve"> </w:t>
      </w:r>
      <w:proofErr w:type="spellStart"/>
      <w:r w:rsidRPr="00064C1F">
        <w:rPr>
          <w:color w:val="000000" w:themeColor="text1"/>
          <w:sz w:val="24"/>
          <w:szCs w:val="24"/>
        </w:rPr>
        <w:t>fiecare</w:t>
      </w:r>
      <w:proofErr w:type="spellEnd"/>
      <w:r w:rsidRPr="00064C1F">
        <w:rPr>
          <w:color w:val="000000" w:themeColor="text1"/>
          <w:sz w:val="24"/>
          <w:szCs w:val="24"/>
        </w:rPr>
        <w:t xml:space="preserve"> </w:t>
      </w:r>
      <w:proofErr w:type="spellStart"/>
      <w:r w:rsidRPr="00064C1F">
        <w:rPr>
          <w:color w:val="000000" w:themeColor="text1"/>
          <w:sz w:val="24"/>
          <w:szCs w:val="24"/>
        </w:rPr>
        <w:t>categorie</w:t>
      </w:r>
      <w:proofErr w:type="spellEnd"/>
      <w:r w:rsidRPr="00064C1F">
        <w:rPr>
          <w:color w:val="000000" w:themeColor="text1"/>
          <w:sz w:val="24"/>
          <w:szCs w:val="24"/>
        </w:rPr>
        <w:t xml:space="preserve"> </w:t>
      </w:r>
      <w:proofErr w:type="spellStart"/>
      <w:r w:rsidRPr="00064C1F">
        <w:rPr>
          <w:color w:val="000000" w:themeColor="text1"/>
          <w:sz w:val="24"/>
          <w:szCs w:val="24"/>
        </w:rPr>
        <w:t>dintre</w:t>
      </w:r>
      <w:proofErr w:type="spellEnd"/>
      <w:r w:rsidRPr="00064C1F">
        <w:rPr>
          <w:color w:val="000000" w:themeColor="text1"/>
          <w:sz w:val="24"/>
          <w:szCs w:val="24"/>
        </w:rPr>
        <w:t xml:space="preserve"> </w:t>
      </w:r>
      <w:proofErr w:type="spellStart"/>
      <w:r w:rsidRPr="00064C1F">
        <w:rPr>
          <w:color w:val="000000" w:themeColor="text1"/>
          <w:sz w:val="24"/>
          <w:szCs w:val="24"/>
        </w:rPr>
        <w:t>parametrii</w:t>
      </w:r>
      <w:proofErr w:type="spellEnd"/>
      <w:r w:rsidRPr="00064C1F">
        <w:rPr>
          <w:color w:val="000000" w:themeColor="text1"/>
          <w:sz w:val="24"/>
          <w:szCs w:val="24"/>
        </w:rPr>
        <w:t xml:space="preserve"> de stare </w:t>
      </w:r>
      <w:proofErr w:type="spellStart"/>
      <w:r w:rsidRPr="00064C1F">
        <w:rPr>
          <w:color w:val="000000" w:themeColor="text1"/>
          <w:sz w:val="24"/>
          <w:szCs w:val="24"/>
        </w:rPr>
        <w:t>utilizându</w:t>
      </w:r>
      <w:proofErr w:type="spellEnd"/>
      <w:r w:rsidRPr="00064C1F">
        <w:rPr>
          <w:color w:val="000000" w:themeColor="text1"/>
          <w:sz w:val="24"/>
          <w:szCs w:val="24"/>
        </w:rPr>
        <w:t xml:space="preserve">-se o </w:t>
      </w:r>
      <w:proofErr w:type="spellStart"/>
      <w:r w:rsidRPr="00064C1F">
        <w:rPr>
          <w:color w:val="000000" w:themeColor="text1"/>
          <w:sz w:val="24"/>
          <w:szCs w:val="24"/>
        </w:rPr>
        <w:t>medie</w:t>
      </w:r>
      <w:proofErr w:type="spellEnd"/>
      <w:r w:rsidRPr="00064C1F">
        <w:rPr>
          <w:color w:val="000000" w:themeColor="text1"/>
          <w:sz w:val="24"/>
          <w:szCs w:val="24"/>
        </w:rPr>
        <w:t xml:space="preserve"> </w:t>
      </w:r>
      <w:proofErr w:type="spellStart"/>
      <w:r w:rsidRPr="00064C1F">
        <w:rPr>
          <w:color w:val="000000" w:themeColor="text1"/>
          <w:sz w:val="24"/>
          <w:szCs w:val="24"/>
        </w:rPr>
        <w:t>ponderată</w:t>
      </w:r>
      <w:proofErr w:type="spellEnd"/>
      <w:r w:rsidRPr="00064C1F">
        <w:rPr>
          <w:color w:val="000000" w:themeColor="text1"/>
          <w:sz w:val="24"/>
          <w:szCs w:val="24"/>
        </w:rPr>
        <w:t xml:space="preserve"> </w:t>
      </w:r>
      <w:proofErr w:type="spellStart"/>
      <w:r w:rsidRPr="00064C1F">
        <w:rPr>
          <w:color w:val="000000" w:themeColor="text1"/>
          <w:sz w:val="24"/>
          <w:szCs w:val="24"/>
        </w:rPr>
        <w:t>pentru</w:t>
      </w:r>
      <w:proofErr w:type="spellEnd"/>
      <w:r w:rsidRPr="00064C1F">
        <w:rPr>
          <w:color w:val="000000" w:themeColor="text1"/>
          <w:sz w:val="24"/>
          <w:szCs w:val="24"/>
        </w:rPr>
        <w:t xml:space="preserve"> </w:t>
      </w:r>
      <w:proofErr w:type="spellStart"/>
      <w:r w:rsidRPr="00064C1F">
        <w:rPr>
          <w:color w:val="000000" w:themeColor="text1"/>
          <w:sz w:val="24"/>
          <w:szCs w:val="24"/>
        </w:rPr>
        <w:t>asumarea</w:t>
      </w:r>
      <w:proofErr w:type="spellEnd"/>
      <w:r w:rsidRPr="00064C1F">
        <w:rPr>
          <w:color w:val="000000" w:themeColor="text1"/>
          <w:sz w:val="24"/>
          <w:szCs w:val="24"/>
        </w:rPr>
        <w:t xml:space="preserve"> </w:t>
      </w:r>
      <w:proofErr w:type="spellStart"/>
      <w:r w:rsidRPr="00064C1F">
        <w:rPr>
          <w:color w:val="000000" w:themeColor="text1"/>
          <w:sz w:val="24"/>
          <w:szCs w:val="24"/>
        </w:rPr>
        <w:t>deciziei</w:t>
      </w:r>
      <w:proofErr w:type="spellEnd"/>
      <w:r w:rsidRPr="00064C1F">
        <w:rPr>
          <w:color w:val="000000" w:themeColor="text1"/>
          <w:sz w:val="24"/>
          <w:szCs w:val="24"/>
        </w:rPr>
        <w:t xml:space="preserve"> finale. </w:t>
      </w:r>
      <w:proofErr w:type="spellStart"/>
      <w:r w:rsidRPr="00064C1F">
        <w:rPr>
          <w:color w:val="000000" w:themeColor="text1"/>
          <w:sz w:val="24"/>
          <w:szCs w:val="24"/>
        </w:rPr>
        <w:t>Spre</w:t>
      </w:r>
      <w:proofErr w:type="spellEnd"/>
      <w:r w:rsidRPr="00064C1F">
        <w:rPr>
          <w:color w:val="000000" w:themeColor="text1"/>
          <w:sz w:val="24"/>
          <w:szCs w:val="24"/>
        </w:rPr>
        <w:t xml:space="preserve"> </w:t>
      </w:r>
      <w:proofErr w:type="spellStart"/>
      <w:r w:rsidRPr="00064C1F">
        <w:rPr>
          <w:color w:val="000000" w:themeColor="text1"/>
          <w:sz w:val="24"/>
          <w:szCs w:val="24"/>
        </w:rPr>
        <w:t>exemplificare</w:t>
      </w:r>
      <w:proofErr w:type="spellEnd"/>
      <w:r w:rsidRPr="00064C1F">
        <w:rPr>
          <w:color w:val="000000" w:themeColor="text1"/>
          <w:sz w:val="24"/>
          <w:szCs w:val="24"/>
        </w:rPr>
        <w:t xml:space="preserve">, </w:t>
      </w:r>
      <w:proofErr w:type="spellStart"/>
      <w:r w:rsidRPr="00064C1F">
        <w:rPr>
          <w:color w:val="000000" w:themeColor="text1"/>
          <w:sz w:val="24"/>
          <w:szCs w:val="24"/>
        </w:rPr>
        <w:t>compoziția</w:t>
      </w:r>
      <w:proofErr w:type="spellEnd"/>
      <w:r w:rsidRPr="00064C1F">
        <w:rPr>
          <w:color w:val="000000" w:themeColor="text1"/>
          <w:sz w:val="24"/>
          <w:szCs w:val="24"/>
        </w:rPr>
        <w:t xml:space="preserve"> </w:t>
      </w:r>
      <w:proofErr w:type="spellStart"/>
      <w:r w:rsidRPr="00064C1F">
        <w:rPr>
          <w:color w:val="000000" w:themeColor="text1"/>
          <w:sz w:val="24"/>
          <w:szCs w:val="24"/>
        </w:rPr>
        <w:t>specifică</w:t>
      </w:r>
      <w:proofErr w:type="spellEnd"/>
      <w:r w:rsidRPr="00064C1F">
        <w:rPr>
          <w:color w:val="000000" w:themeColor="text1"/>
          <w:sz w:val="24"/>
          <w:szCs w:val="24"/>
        </w:rPr>
        <w:t xml:space="preserve"> </w:t>
      </w:r>
      <w:proofErr w:type="spellStart"/>
      <w:r w:rsidRPr="00064C1F">
        <w:rPr>
          <w:color w:val="000000" w:themeColor="text1"/>
          <w:sz w:val="24"/>
          <w:szCs w:val="24"/>
        </w:rPr>
        <w:t>ceea</w:t>
      </w:r>
      <w:proofErr w:type="spellEnd"/>
      <w:r w:rsidRPr="00064C1F">
        <w:rPr>
          <w:color w:val="000000" w:themeColor="text1"/>
          <w:sz w:val="24"/>
          <w:szCs w:val="24"/>
        </w:rPr>
        <w:t xml:space="preserve"> </w:t>
      </w:r>
      <w:proofErr w:type="spellStart"/>
      <w:r w:rsidRPr="00064C1F">
        <w:rPr>
          <w:color w:val="000000" w:themeColor="text1"/>
          <w:sz w:val="24"/>
          <w:szCs w:val="24"/>
        </w:rPr>
        <w:t>ce</w:t>
      </w:r>
      <w:proofErr w:type="spellEnd"/>
      <w:r w:rsidRPr="00064C1F">
        <w:rPr>
          <w:color w:val="000000" w:themeColor="text1"/>
          <w:sz w:val="24"/>
          <w:szCs w:val="24"/>
        </w:rPr>
        <w:t xml:space="preserve"> </w:t>
      </w:r>
      <w:proofErr w:type="spellStart"/>
      <w:r w:rsidRPr="00064C1F">
        <w:rPr>
          <w:color w:val="000000" w:themeColor="text1"/>
          <w:sz w:val="24"/>
          <w:szCs w:val="24"/>
        </w:rPr>
        <w:t>reprezintă</w:t>
      </w:r>
      <w:proofErr w:type="spellEnd"/>
      <w:r w:rsidRPr="00064C1F">
        <w:rPr>
          <w:color w:val="000000" w:themeColor="text1"/>
          <w:sz w:val="24"/>
          <w:szCs w:val="24"/>
        </w:rPr>
        <w:t xml:space="preserve"> </w:t>
      </w:r>
      <w:proofErr w:type="spellStart"/>
      <w:r w:rsidRPr="00064C1F">
        <w:rPr>
          <w:color w:val="000000" w:themeColor="text1"/>
          <w:sz w:val="24"/>
          <w:szCs w:val="24"/>
        </w:rPr>
        <w:t>unul</w:t>
      </w:r>
      <w:proofErr w:type="spellEnd"/>
      <w:r w:rsidRPr="00064C1F">
        <w:rPr>
          <w:color w:val="000000" w:themeColor="text1"/>
          <w:sz w:val="24"/>
          <w:szCs w:val="24"/>
        </w:rPr>
        <w:t xml:space="preserve"> </w:t>
      </w:r>
      <w:proofErr w:type="spellStart"/>
      <w:r w:rsidRPr="00064C1F">
        <w:rPr>
          <w:color w:val="000000" w:themeColor="text1"/>
          <w:sz w:val="24"/>
          <w:szCs w:val="24"/>
        </w:rPr>
        <w:t>dintre</w:t>
      </w:r>
      <w:proofErr w:type="spellEnd"/>
      <w:r w:rsidRPr="00064C1F">
        <w:rPr>
          <w:color w:val="000000" w:themeColor="text1"/>
          <w:sz w:val="24"/>
          <w:szCs w:val="24"/>
        </w:rPr>
        <w:t xml:space="preserve"> </w:t>
      </w:r>
      <w:proofErr w:type="spellStart"/>
      <w:r w:rsidRPr="00064C1F">
        <w:rPr>
          <w:color w:val="000000" w:themeColor="text1"/>
          <w:sz w:val="24"/>
          <w:szCs w:val="24"/>
        </w:rPr>
        <w:t>parametrii</w:t>
      </w:r>
      <w:proofErr w:type="spellEnd"/>
      <w:r w:rsidRPr="00064C1F">
        <w:rPr>
          <w:color w:val="000000" w:themeColor="text1"/>
          <w:sz w:val="24"/>
          <w:szCs w:val="24"/>
        </w:rPr>
        <w:t xml:space="preserve"> </w:t>
      </w:r>
      <w:proofErr w:type="spellStart"/>
      <w:r w:rsidRPr="00064C1F">
        <w:rPr>
          <w:color w:val="000000" w:themeColor="text1"/>
          <w:sz w:val="24"/>
          <w:szCs w:val="24"/>
        </w:rPr>
        <w:t>esențiali</w:t>
      </w:r>
      <w:proofErr w:type="spellEnd"/>
      <w:r w:rsidRPr="00064C1F">
        <w:rPr>
          <w:color w:val="000000" w:themeColor="text1"/>
          <w:sz w:val="24"/>
          <w:szCs w:val="24"/>
        </w:rPr>
        <w:t xml:space="preserve"> </w:t>
      </w:r>
      <w:proofErr w:type="spellStart"/>
      <w:r w:rsidRPr="00064C1F">
        <w:rPr>
          <w:color w:val="000000" w:themeColor="text1"/>
          <w:sz w:val="24"/>
          <w:szCs w:val="24"/>
        </w:rPr>
        <w:t>în</w:t>
      </w:r>
      <w:proofErr w:type="spellEnd"/>
      <w:r w:rsidRPr="00064C1F">
        <w:rPr>
          <w:color w:val="000000" w:themeColor="text1"/>
          <w:sz w:val="24"/>
          <w:szCs w:val="24"/>
        </w:rPr>
        <w:t xml:space="preserve"> </w:t>
      </w:r>
      <w:proofErr w:type="spellStart"/>
      <w:r w:rsidRPr="00064C1F">
        <w:rPr>
          <w:color w:val="000000" w:themeColor="text1"/>
          <w:sz w:val="24"/>
          <w:szCs w:val="24"/>
        </w:rPr>
        <w:t>evaluarea</w:t>
      </w:r>
      <w:proofErr w:type="spellEnd"/>
      <w:r w:rsidRPr="00064C1F">
        <w:rPr>
          <w:color w:val="000000" w:themeColor="text1"/>
          <w:sz w:val="24"/>
          <w:szCs w:val="24"/>
        </w:rPr>
        <w:t xml:space="preserve"> </w:t>
      </w:r>
      <w:proofErr w:type="spellStart"/>
      <w:r w:rsidRPr="00064C1F">
        <w:rPr>
          <w:color w:val="000000" w:themeColor="text1"/>
          <w:sz w:val="24"/>
          <w:szCs w:val="24"/>
        </w:rPr>
        <w:t>structurii</w:t>
      </w:r>
      <w:proofErr w:type="spellEnd"/>
      <w:r w:rsidRPr="00064C1F">
        <w:rPr>
          <w:color w:val="000000" w:themeColor="text1"/>
          <w:sz w:val="24"/>
          <w:szCs w:val="24"/>
        </w:rPr>
        <w:t xml:space="preserve"> </w:t>
      </w:r>
      <w:proofErr w:type="spellStart"/>
      <w:r w:rsidRPr="00064C1F">
        <w:rPr>
          <w:color w:val="000000" w:themeColor="text1"/>
          <w:sz w:val="24"/>
          <w:szCs w:val="24"/>
        </w:rPr>
        <w:t>habitatelor</w:t>
      </w:r>
      <w:proofErr w:type="spellEnd"/>
      <w:r w:rsidRPr="00064C1F">
        <w:rPr>
          <w:color w:val="000000" w:themeColor="text1"/>
          <w:sz w:val="24"/>
          <w:szCs w:val="24"/>
        </w:rPr>
        <w:t xml:space="preserve"> </w:t>
      </w:r>
      <w:proofErr w:type="spellStart"/>
      <w:r w:rsidRPr="00064C1F">
        <w:rPr>
          <w:color w:val="000000" w:themeColor="text1"/>
          <w:sz w:val="24"/>
          <w:szCs w:val="24"/>
        </w:rPr>
        <w:t>va</w:t>
      </w:r>
      <w:proofErr w:type="spellEnd"/>
      <w:r w:rsidRPr="00064C1F">
        <w:rPr>
          <w:color w:val="000000" w:themeColor="text1"/>
          <w:sz w:val="24"/>
          <w:szCs w:val="24"/>
        </w:rPr>
        <w:t xml:space="preserve"> </w:t>
      </w:r>
      <w:proofErr w:type="spellStart"/>
      <w:r w:rsidRPr="00064C1F">
        <w:rPr>
          <w:color w:val="000000" w:themeColor="text1"/>
          <w:sz w:val="24"/>
          <w:szCs w:val="24"/>
        </w:rPr>
        <w:t>avea</w:t>
      </w:r>
      <w:proofErr w:type="spellEnd"/>
      <w:r w:rsidRPr="00064C1F">
        <w:rPr>
          <w:color w:val="000000" w:themeColor="text1"/>
          <w:sz w:val="24"/>
          <w:szCs w:val="24"/>
        </w:rPr>
        <w:t xml:space="preserve"> </w:t>
      </w:r>
      <w:proofErr w:type="spellStart"/>
      <w:r w:rsidRPr="00064C1F">
        <w:rPr>
          <w:color w:val="000000" w:themeColor="text1"/>
          <w:sz w:val="24"/>
          <w:szCs w:val="24"/>
        </w:rPr>
        <w:t>valori</w:t>
      </w:r>
      <w:proofErr w:type="spellEnd"/>
      <w:r w:rsidRPr="00064C1F">
        <w:rPr>
          <w:color w:val="000000" w:themeColor="text1"/>
          <w:sz w:val="24"/>
          <w:szCs w:val="24"/>
        </w:rPr>
        <w:t xml:space="preserve"> </w:t>
      </w:r>
      <w:proofErr w:type="spellStart"/>
      <w:r w:rsidRPr="00064C1F">
        <w:rPr>
          <w:color w:val="000000" w:themeColor="text1"/>
          <w:sz w:val="24"/>
          <w:szCs w:val="24"/>
        </w:rPr>
        <w:t>diferite</w:t>
      </w:r>
      <w:proofErr w:type="spellEnd"/>
      <w:r w:rsidRPr="00064C1F">
        <w:rPr>
          <w:color w:val="000000" w:themeColor="text1"/>
          <w:sz w:val="24"/>
          <w:szCs w:val="24"/>
        </w:rPr>
        <w:t xml:space="preserve"> de la un plot la </w:t>
      </w:r>
      <w:proofErr w:type="spellStart"/>
      <w:r w:rsidRPr="00064C1F">
        <w:rPr>
          <w:color w:val="000000" w:themeColor="text1"/>
          <w:sz w:val="24"/>
          <w:szCs w:val="24"/>
        </w:rPr>
        <w:t>altul</w:t>
      </w:r>
      <w:proofErr w:type="spellEnd"/>
      <w:r w:rsidRPr="00064C1F">
        <w:rPr>
          <w:color w:val="000000" w:themeColor="text1"/>
          <w:sz w:val="24"/>
          <w:szCs w:val="24"/>
        </w:rPr>
        <w:t xml:space="preserve">, </w:t>
      </w:r>
      <w:proofErr w:type="spellStart"/>
      <w:r w:rsidRPr="00064C1F">
        <w:rPr>
          <w:color w:val="000000" w:themeColor="text1"/>
          <w:sz w:val="24"/>
          <w:szCs w:val="24"/>
        </w:rPr>
        <w:t>ceea</w:t>
      </w:r>
      <w:proofErr w:type="spellEnd"/>
      <w:r w:rsidRPr="00064C1F">
        <w:rPr>
          <w:color w:val="000000" w:themeColor="text1"/>
          <w:sz w:val="24"/>
          <w:szCs w:val="24"/>
        </w:rPr>
        <w:t xml:space="preserve"> </w:t>
      </w:r>
      <w:proofErr w:type="spellStart"/>
      <w:r w:rsidRPr="00064C1F">
        <w:rPr>
          <w:color w:val="000000" w:themeColor="text1"/>
          <w:sz w:val="24"/>
          <w:szCs w:val="24"/>
        </w:rPr>
        <w:t>ce</w:t>
      </w:r>
      <w:proofErr w:type="spellEnd"/>
      <w:r w:rsidRPr="00064C1F">
        <w:rPr>
          <w:color w:val="000000" w:themeColor="text1"/>
          <w:sz w:val="24"/>
          <w:szCs w:val="24"/>
        </w:rPr>
        <w:t xml:space="preserve"> </w:t>
      </w:r>
      <w:proofErr w:type="spellStart"/>
      <w:r w:rsidRPr="00064C1F">
        <w:rPr>
          <w:color w:val="000000" w:themeColor="text1"/>
          <w:sz w:val="24"/>
          <w:szCs w:val="24"/>
        </w:rPr>
        <w:t>impune</w:t>
      </w:r>
      <w:proofErr w:type="spellEnd"/>
      <w:r w:rsidRPr="00064C1F">
        <w:rPr>
          <w:color w:val="000000" w:themeColor="text1"/>
          <w:sz w:val="24"/>
          <w:szCs w:val="24"/>
        </w:rPr>
        <w:t xml:space="preserve"> ca din </w:t>
      </w:r>
      <w:proofErr w:type="spellStart"/>
      <w:r w:rsidRPr="00064C1F">
        <w:rPr>
          <w:color w:val="000000" w:themeColor="text1"/>
          <w:sz w:val="24"/>
          <w:szCs w:val="24"/>
        </w:rPr>
        <w:t>punct</w:t>
      </w:r>
      <w:proofErr w:type="spellEnd"/>
      <w:r w:rsidRPr="00064C1F">
        <w:rPr>
          <w:color w:val="000000" w:themeColor="text1"/>
          <w:sz w:val="24"/>
          <w:szCs w:val="24"/>
        </w:rPr>
        <w:t xml:space="preserve"> de </w:t>
      </w:r>
      <w:proofErr w:type="spellStart"/>
      <w:r w:rsidRPr="00064C1F">
        <w:rPr>
          <w:color w:val="000000" w:themeColor="text1"/>
          <w:sz w:val="24"/>
          <w:szCs w:val="24"/>
        </w:rPr>
        <w:t>vedere</w:t>
      </w:r>
      <w:proofErr w:type="spellEnd"/>
      <w:r w:rsidRPr="00064C1F">
        <w:rPr>
          <w:color w:val="000000" w:themeColor="text1"/>
          <w:sz w:val="24"/>
          <w:szCs w:val="24"/>
        </w:rPr>
        <w:t xml:space="preserve"> </w:t>
      </w:r>
      <w:proofErr w:type="spellStart"/>
      <w:r w:rsidRPr="00064C1F">
        <w:rPr>
          <w:color w:val="000000" w:themeColor="text1"/>
          <w:sz w:val="24"/>
          <w:szCs w:val="24"/>
        </w:rPr>
        <w:t>sistematic</w:t>
      </w:r>
      <w:proofErr w:type="spellEnd"/>
      <w:r w:rsidRPr="00064C1F">
        <w:rPr>
          <w:color w:val="000000" w:themeColor="text1"/>
          <w:sz w:val="24"/>
          <w:szCs w:val="24"/>
        </w:rPr>
        <w:t xml:space="preserve"> </w:t>
      </w:r>
      <w:proofErr w:type="spellStart"/>
      <w:r w:rsidRPr="00064C1F">
        <w:rPr>
          <w:color w:val="000000" w:themeColor="text1"/>
          <w:sz w:val="24"/>
          <w:szCs w:val="24"/>
        </w:rPr>
        <w:t>să</w:t>
      </w:r>
      <w:proofErr w:type="spellEnd"/>
      <w:r w:rsidRPr="00064C1F">
        <w:rPr>
          <w:color w:val="000000" w:themeColor="text1"/>
          <w:sz w:val="24"/>
          <w:szCs w:val="24"/>
        </w:rPr>
        <w:t xml:space="preserve"> fie </w:t>
      </w:r>
      <w:proofErr w:type="spellStart"/>
      <w:r w:rsidRPr="00064C1F">
        <w:rPr>
          <w:color w:val="000000" w:themeColor="text1"/>
          <w:sz w:val="24"/>
          <w:szCs w:val="24"/>
        </w:rPr>
        <w:t>grupate</w:t>
      </w:r>
      <w:proofErr w:type="spellEnd"/>
      <w:r w:rsidRPr="00064C1F">
        <w:rPr>
          <w:color w:val="000000" w:themeColor="text1"/>
          <w:sz w:val="24"/>
          <w:szCs w:val="24"/>
        </w:rPr>
        <w:t xml:space="preserve"> pe </w:t>
      </w:r>
      <w:proofErr w:type="spellStart"/>
      <w:r w:rsidRPr="00064C1F">
        <w:rPr>
          <w:color w:val="000000" w:themeColor="text1"/>
          <w:sz w:val="24"/>
          <w:szCs w:val="24"/>
        </w:rPr>
        <w:t>clase</w:t>
      </w:r>
      <w:proofErr w:type="spellEnd"/>
      <w:r w:rsidRPr="00064C1F">
        <w:rPr>
          <w:color w:val="000000" w:themeColor="text1"/>
          <w:sz w:val="24"/>
          <w:szCs w:val="24"/>
        </w:rPr>
        <w:t xml:space="preserve"> de </w:t>
      </w:r>
      <w:proofErr w:type="spellStart"/>
      <w:r w:rsidRPr="00064C1F">
        <w:rPr>
          <w:color w:val="000000" w:themeColor="text1"/>
          <w:sz w:val="24"/>
          <w:szCs w:val="24"/>
        </w:rPr>
        <w:t>bogăție</w:t>
      </w:r>
      <w:proofErr w:type="spellEnd"/>
      <w:r w:rsidRPr="00064C1F">
        <w:rPr>
          <w:color w:val="000000" w:themeColor="text1"/>
          <w:sz w:val="24"/>
          <w:szCs w:val="24"/>
        </w:rPr>
        <w:t xml:space="preserve"> de </w:t>
      </w:r>
      <w:proofErr w:type="spellStart"/>
      <w:r w:rsidRPr="00064C1F">
        <w:rPr>
          <w:color w:val="000000" w:themeColor="text1"/>
          <w:sz w:val="24"/>
          <w:szCs w:val="24"/>
        </w:rPr>
        <w:t>specii</w:t>
      </w:r>
      <w:proofErr w:type="spellEnd"/>
      <w:r w:rsidRPr="00064C1F">
        <w:rPr>
          <w:color w:val="000000" w:themeColor="text1"/>
          <w:sz w:val="24"/>
          <w:szCs w:val="24"/>
        </w:rPr>
        <w:t xml:space="preserve"> </w:t>
      </w:r>
      <w:proofErr w:type="spellStart"/>
      <w:r w:rsidRPr="00064C1F">
        <w:rPr>
          <w:color w:val="000000" w:themeColor="text1"/>
          <w:sz w:val="24"/>
          <w:szCs w:val="24"/>
        </w:rPr>
        <w:t>diferită</w:t>
      </w:r>
      <w:proofErr w:type="spellEnd"/>
      <w:r w:rsidRPr="00064C1F">
        <w:rPr>
          <w:color w:val="000000" w:themeColor="text1"/>
          <w:sz w:val="24"/>
          <w:szCs w:val="24"/>
        </w:rPr>
        <w:t xml:space="preserve"> (mare, </w:t>
      </w:r>
      <w:proofErr w:type="spellStart"/>
      <w:r w:rsidRPr="00064C1F">
        <w:rPr>
          <w:color w:val="000000" w:themeColor="text1"/>
          <w:sz w:val="24"/>
          <w:szCs w:val="24"/>
        </w:rPr>
        <w:t>medie</w:t>
      </w:r>
      <w:proofErr w:type="spellEnd"/>
      <w:r w:rsidRPr="00064C1F">
        <w:rPr>
          <w:color w:val="000000" w:themeColor="text1"/>
          <w:sz w:val="24"/>
          <w:szCs w:val="24"/>
        </w:rPr>
        <w:t xml:space="preserve">, </w:t>
      </w:r>
      <w:proofErr w:type="spellStart"/>
      <w:r w:rsidRPr="00064C1F">
        <w:rPr>
          <w:color w:val="000000" w:themeColor="text1"/>
          <w:sz w:val="24"/>
          <w:szCs w:val="24"/>
        </w:rPr>
        <w:t>mică</w:t>
      </w:r>
      <w:proofErr w:type="spellEnd"/>
      <w:r w:rsidRPr="00064C1F">
        <w:rPr>
          <w:color w:val="000000" w:themeColor="text1"/>
          <w:sz w:val="24"/>
          <w:szCs w:val="24"/>
        </w:rPr>
        <w:t xml:space="preserve">); </w:t>
      </w:r>
      <w:proofErr w:type="spellStart"/>
      <w:r w:rsidRPr="00064C1F">
        <w:rPr>
          <w:color w:val="000000" w:themeColor="text1"/>
          <w:sz w:val="24"/>
          <w:szCs w:val="24"/>
        </w:rPr>
        <w:t>ponderea</w:t>
      </w:r>
      <w:proofErr w:type="spellEnd"/>
      <w:r w:rsidRPr="00064C1F">
        <w:rPr>
          <w:color w:val="000000" w:themeColor="text1"/>
          <w:sz w:val="24"/>
          <w:szCs w:val="24"/>
        </w:rPr>
        <w:t xml:space="preserve"> </w:t>
      </w:r>
      <w:proofErr w:type="spellStart"/>
      <w:r w:rsidRPr="00064C1F">
        <w:rPr>
          <w:color w:val="000000" w:themeColor="text1"/>
          <w:sz w:val="24"/>
          <w:szCs w:val="24"/>
        </w:rPr>
        <w:t>fiecărei</w:t>
      </w:r>
      <w:proofErr w:type="spellEnd"/>
      <w:r w:rsidRPr="00064C1F">
        <w:rPr>
          <w:color w:val="000000" w:themeColor="text1"/>
          <w:sz w:val="24"/>
          <w:szCs w:val="24"/>
        </w:rPr>
        <w:t xml:space="preserve"> </w:t>
      </w:r>
      <w:proofErr w:type="spellStart"/>
      <w:r w:rsidRPr="00064C1F">
        <w:rPr>
          <w:color w:val="000000" w:themeColor="text1"/>
          <w:sz w:val="24"/>
          <w:szCs w:val="24"/>
        </w:rPr>
        <w:t>clase</w:t>
      </w:r>
      <w:proofErr w:type="spellEnd"/>
      <w:r w:rsidRPr="00064C1F">
        <w:rPr>
          <w:color w:val="000000" w:themeColor="text1"/>
          <w:sz w:val="24"/>
          <w:szCs w:val="24"/>
        </w:rPr>
        <w:t xml:space="preserve"> </w:t>
      </w:r>
      <w:proofErr w:type="spellStart"/>
      <w:r w:rsidRPr="00064C1F">
        <w:rPr>
          <w:color w:val="000000" w:themeColor="text1"/>
          <w:sz w:val="24"/>
          <w:szCs w:val="24"/>
        </w:rPr>
        <w:t>fiind</w:t>
      </w:r>
      <w:proofErr w:type="spellEnd"/>
      <w:r w:rsidRPr="00064C1F">
        <w:rPr>
          <w:color w:val="000000" w:themeColor="text1"/>
          <w:sz w:val="24"/>
          <w:szCs w:val="24"/>
        </w:rPr>
        <w:t xml:space="preserve"> </w:t>
      </w:r>
      <w:proofErr w:type="spellStart"/>
      <w:r w:rsidRPr="00064C1F">
        <w:rPr>
          <w:color w:val="000000" w:themeColor="text1"/>
          <w:sz w:val="24"/>
          <w:szCs w:val="24"/>
        </w:rPr>
        <w:t>cea</w:t>
      </w:r>
      <w:proofErr w:type="spellEnd"/>
      <w:r w:rsidRPr="00064C1F">
        <w:rPr>
          <w:color w:val="000000" w:themeColor="text1"/>
          <w:sz w:val="24"/>
          <w:szCs w:val="24"/>
        </w:rPr>
        <w:t xml:space="preserve"> care </w:t>
      </w:r>
      <w:proofErr w:type="spellStart"/>
      <w:r w:rsidRPr="00064C1F">
        <w:rPr>
          <w:color w:val="000000" w:themeColor="text1"/>
          <w:sz w:val="24"/>
          <w:szCs w:val="24"/>
        </w:rPr>
        <w:t>va</w:t>
      </w:r>
      <w:proofErr w:type="spellEnd"/>
      <w:r w:rsidRPr="00064C1F">
        <w:rPr>
          <w:color w:val="000000" w:themeColor="text1"/>
          <w:sz w:val="24"/>
          <w:szCs w:val="24"/>
        </w:rPr>
        <w:t xml:space="preserve"> duce la </w:t>
      </w:r>
      <w:proofErr w:type="spellStart"/>
      <w:r w:rsidRPr="00064C1F">
        <w:rPr>
          <w:color w:val="000000" w:themeColor="text1"/>
          <w:sz w:val="24"/>
          <w:szCs w:val="24"/>
        </w:rPr>
        <w:t>decizia</w:t>
      </w:r>
      <w:proofErr w:type="spellEnd"/>
      <w:r w:rsidRPr="00064C1F">
        <w:rPr>
          <w:color w:val="000000" w:themeColor="text1"/>
          <w:sz w:val="24"/>
          <w:szCs w:val="24"/>
        </w:rPr>
        <w:t xml:space="preserve"> </w:t>
      </w:r>
      <w:proofErr w:type="spellStart"/>
      <w:r w:rsidRPr="00064C1F">
        <w:rPr>
          <w:color w:val="000000" w:themeColor="text1"/>
          <w:sz w:val="24"/>
          <w:szCs w:val="24"/>
        </w:rPr>
        <w:t>specifică</w:t>
      </w:r>
      <w:proofErr w:type="spellEnd"/>
      <w:r w:rsidRPr="00064C1F">
        <w:rPr>
          <w:color w:val="000000" w:themeColor="text1"/>
          <w:sz w:val="24"/>
          <w:szCs w:val="24"/>
        </w:rPr>
        <w:t xml:space="preserve"> </w:t>
      </w:r>
      <w:proofErr w:type="spellStart"/>
      <w:r w:rsidRPr="00064C1F">
        <w:rPr>
          <w:color w:val="000000" w:themeColor="text1"/>
          <w:sz w:val="24"/>
          <w:szCs w:val="24"/>
        </w:rPr>
        <w:t>fiecărei</w:t>
      </w:r>
      <w:proofErr w:type="spellEnd"/>
      <w:r w:rsidRPr="00064C1F">
        <w:rPr>
          <w:color w:val="000000" w:themeColor="text1"/>
          <w:sz w:val="24"/>
          <w:szCs w:val="24"/>
        </w:rPr>
        <w:t xml:space="preserve"> </w:t>
      </w:r>
      <w:proofErr w:type="spellStart"/>
      <w:r w:rsidRPr="00064C1F">
        <w:rPr>
          <w:color w:val="000000" w:themeColor="text1"/>
          <w:sz w:val="24"/>
          <w:szCs w:val="24"/>
        </w:rPr>
        <w:t>bioregiuni</w:t>
      </w:r>
      <w:proofErr w:type="spellEnd"/>
      <w:r w:rsidRPr="00064C1F">
        <w:rPr>
          <w:color w:val="000000" w:themeColor="text1"/>
          <w:sz w:val="24"/>
          <w:szCs w:val="24"/>
        </w:rPr>
        <w:t xml:space="preserve">. </w:t>
      </w:r>
      <w:proofErr w:type="spellStart"/>
      <w:r w:rsidRPr="00064C1F">
        <w:rPr>
          <w:color w:val="000000" w:themeColor="text1"/>
          <w:sz w:val="24"/>
          <w:szCs w:val="24"/>
        </w:rPr>
        <w:t>Astfel</w:t>
      </w:r>
      <w:proofErr w:type="spellEnd"/>
      <w:r w:rsidRPr="00064C1F">
        <w:rPr>
          <w:color w:val="000000" w:themeColor="text1"/>
          <w:sz w:val="24"/>
          <w:szCs w:val="24"/>
        </w:rPr>
        <w:t xml:space="preserve"> </w:t>
      </w:r>
      <w:proofErr w:type="spellStart"/>
      <w:r w:rsidRPr="00064C1F">
        <w:rPr>
          <w:color w:val="000000" w:themeColor="text1"/>
          <w:sz w:val="24"/>
          <w:szCs w:val="24"/>
        </w:rPr>
        <w:t>dacă</w:t>
      </w:r>
      <w:proofErr w:type="spellEnd"/>
      <w:r w:rsidRPr="00064C1F">
        <w:rPr>
          <w:color w:val="000000" w:themeColor="text1"/>
          <w:sz w:val="24"/>
          <w:szCs w:val="24"/>
        </w:rPr>
        <w:t xml:space="preserve"> la </w:t>
      </w:r>
      <w:proofErr w:type="spellStart"/>
      <w:r w:rsidRPr="00064C1F">
        <w:rPr>
          <w:color w:val="000000" w:themeColor="text1"/>
          <w:sz w:val="24"/>
          <w:szCs w:val="24"/>
        </w:rPr>
        <w:t>habitatul</w:t>
      </w:r>
      <w:proofErr w:type="spellEnd"/>
      <w:r w:rsidRPr="00064C1F">
        <w:rPr>
          <w:color w:val="000000" w:themeColor="text1"/>
          <w:sz w:val="24"/>
          <w:szCs w:val="24"/>
        </w:rPr>
        <w:t xml:space="preserve"> 1310 </w:t>
      </w:r>
      <w:proofErr w:type="spellStart"/>
      <w:r w:rsidRPr="00064C1F">
        <w:rPr>
          <w:color w:val="000000" w:themeColor="text1"/>
          <w:sz w:val="24"/>
          <w:szCs w:val="24"/>
        </w:rPr>
        <w:t>vom</w:t>
      </w:r>
      <w:proofErr w:type="spellEnd"/>
      <w:r w:rsidRPr="00064C1F">
        <w:rPr>
          <w:color w:val="000000" w:themeColor="text1"/>
          <w:sz w:val="24"/>
          <w:szCs w:val="24"/>
        </w:rPr>
        <w:t xml:space="preserve"> </w:t>
      </w:r>
      <w:proofErr w:type="spellStart"/>
      <w:r w:rsidRPr="00064C1F">
        <w:rPr>
          <w:color w:val="000000" w:themeColor="text1"/>
          <w:sz w:val="24"/>
          <w:szCs w:val="24"/>
        </w:rPr>
        <w:t>obține</w:t>
      </w:r>
      <w:proofErr w:type="spellEnd"/>
      <w:r w:rsidRPr="00064C1F">
        <w:rPr>
          <w:color w:val="000000" w:themeColor="text1"/>
          <w:sz w:val="24"/>
          <w:szCs w:val="24"/>
        </w:rPr>
        <w:t xml:space="preserve"> 20 de </w:t>
      </w:r>
      <w:proofErr w:type="spellStart"/>
      <w:r w:rsidRPr="00064C1F">
        <w:rPr>
          <w:color w:val="000000" w:themeColor="text1"/>
          <w:sz w:val="24"/>
          <w:szCs w:val="24"/>
        </w:rPr>
        <w:t>ploturi</w:t>
      </w:r>
      <w:proofErr w:type="spellEnd"/>
      <w:r w:rsidRPr="00064C1F">
        <w:rPr>
          <w:color w:val="000000" w:themeColor="text1"/>
          <w:sz w:val="24"/>
          <w:szCs w:val="24"/>
        </w:rPr>
        <w:t xml:space="preserve"> care se </w:t>
      </w:r>
      <w:proofErr w:type="spellStart"/>
      <w:r w:rsidRPr="00064C1F">
        <w:rPr>
          <w:color w:val="000000" w:themeColor="text1"/>
          <w:sz w:val="24"/>
          <w:szCs w:val="24"/>
        </w:rPr>
        <w:t>încadrează</w:t>
      </w:r>
      <w:proofErr w:type="spellEnd"/>
      <w:r w:rsidRPr="00064C1F">
        <w:rPr>
          <w:color w:val="000000" w:themeColor="text1"/>
          <w:sz w:val="24"/>
          <w:szCs w:val="24"/>
        </w:rPr>
        <w:t xml:space="preserve"> </w:t>
      </w:r>
      <w:proofErr w:type="spellStart"/>
      <w:r w:rsidRPr="00064C1F">
        <w:rPr>
          <w:color w:val="000000" w:themeColor="text1"/>
          <w:sz w:val="24"/>
          <w:szCs w:val="24"/>
        </w:rPr>
        <w:t>în</w:t>
      </w:r>
      <w:proofErr w:type="spellEnd"/>
      <w:r w:rsidRPr="00064C1F">
        <w:rPr>
          <w:color w:val="000000" w:themeColor="text1"/>
          <w:sz w:val="24"/>
          <w:szCs w:val="24"/>
        </w:rPr>
        <w:t xml:space="preserve"> </w:t>
      </w:r>
      <w:proofErr w:type="spellStart"/>
      <w:r w:rsidRPr="00064C1F">
        <w:rPr>
          <w:color w:val="000000" w:themeColor="text1"/>
          <w:sz w:val="24"/>
          <w:szCs w:val="24"/>
        </w:rPr>
        <w:t>clasa</w:t>
      </w:r>
      <w:proofErr w:type="spellEnd"/>
      <w:r w:rsidRPr="00064C1F">
        <w:rPr>
          <w:color w:val="000000" w:themeColor="text1"/>
          <w:sz w:val="24"/>
          <w:szCs w:val="24"/>
        </w:rPr>
        <w:t xml:space="preserve"> de </w:t>
      </w:r>
      <w:proofErr w:type="spellStart"/>
      <w:r w:rsidRPr="00064C1F">
        <w:rPr>
          <w:color w:val="000000" w:themeColor="text1"/>
          <w:sz w:val="24"/>
          <w:szCs w:val="24"/>
        </w:rPr>
        <w:t>compoziție</w:t>
      </w:r>
      <w:proofErr w:type="spellEnd"/>
      <w:r w:rsidRPr="00064C1F">
        <w:rPr>
          <w:color w:val="000000" w:themeColor="text1"/>
          <w:sz w:val="24"/>
          <w:szCs w:val="24"/>
        </w:rPr>
        <w:t xml:space="preserve"> </w:t>
      </w:r>
      <w:proofErr w:type="spellStart"/>
      <w:r w:rsidRPr="00064C1F">
        <w:rPr>
          <w:color w:val="000000" w:themeColor="text1"/>
          <w:sz w:val="24"/>
          <w:szCs w:val="24"/>
        </w:rPr>
        <w:t>specifică</w:t>
      </w:r>
      <w:proofErr w:type="spellEnd"/>
      <w:r w:rsidRPr="00064C1F">
        <w:rPr>
          <w:color w:val="000000" w:themeColor="text1"/>
          <w:sz w:val="24"/>
          <w:szCs w:val="24"/>
        </w:rPr>
        <w:t xml:space="preserve"> mare (12 </w:t>
      </w:r>
      <w:proofErr w:type="spellStart"/>
      <w:r w:rsidRPr="00064C1F">
        <w:rPr>
          <w:color w:val="000000" w:themeColor="text1"/>
          <w:sz w:val="24"/>
          <w:szCs w:val="24"/>
        </w:rPr>
        <w:t>specii</w:t>
      </w:r>
      <w:proofErr w:type="spellEnd"/>
      <w:r w:rsidRPr="00064C1F">
        <w:rPr>
          <w:color w:val="000000" w:themeColor="text1"/>
          <w:sz w:val="24"/>
          <w:szCs w:val="24"/>
        </w:rPr>
        <w:t xml:space="preserve"> </w:t>
      </w:r>
      <w:proofErr w:type="spellStart"/>
      <w:r w:rsidRPr="00064C1F">
        <w:rPr>
          <w:color w:val="000000" w:themeColor="text1"/>
          <w:sz w:val="24"/>
          <w:szCs w:val="24"/>
        </w:rPr>
        <w:t>caracteristice</w:t>
      </w:r>
      <w:proofErr w:type="spellEnd"/>
      <w:r w:rsidRPr="00064C1F">
        <w:rPr>
          <w:color w:val="000000" w:themeColor="text1"/>
          <w:sz w:val="24"/>
          <w:szCs w:val="24"/>
        </w:rPr>
        <w:t xml:space="preserve">), </w:t>
      </w:r>
      <w:proofErr w:type="spellStart"/>
      <w:r w:rsidRPr="00064C1F">
        <w:rPr>
          <w:color w:val="000000" w:themeColor="text1"/>
          <w:sz w:val="24"/>
          <w:szCs w:val="24"/>
        </w:rPr>
        <w:t>iar</w:t>
      </w:r>
      <w:proofErr w:type="spellEnd"/>
      <w:r w:rsidRPr="00064C1F">
        <w:rPr>
          <w:color w:val="000000" w:themeColor="text1"/>
          <w:sz w:val="24"/>
          <w:szCs w:val="24"/>
        </w:rPr>
        <w:t xml:space="preserve"> </w:t>
      </w:r>
      <w:proofErr w:type="spellStart"/>
      <w:r w:rsidRPr="00064C1F">
        <w:rPr>
          <w:color w:val="000000" w:themeColor="text1"/>
          <w:sz w:val="24"/>
          <w:szCs w:val="24"/>
        </w:rPr>
        <w:t>în</w:t>
      </w:r>
      <w:proofErr w:type="spellEnd"/>
      <w:r w:rsidRPr="00064C1F">
        <w:rPr>
          <w:color w:val="000000" w:themeColor="text1"/>
          <w:sz w:val="24"/>
          <w:szCs w:val="24"/>
        </w:rPr>
        <w:t xml:space="preserve"> </w:t>
      </w:r>
      <w:proofErr w:type="spellStart"/>
      <w:r w:rsidRPr="00064C1F">
        <w:rPr>
          <w:color w:val="000000" w:themeColor="text1"/>
          <w:sz w:val="24"/>
          <w:szCs w:val="24"/>
        </w:rPr>
        <w:t>clasa</w:t>
      </w:r>
      <w:proofErr w:type="spellEnd"/>
      <w:r w:rsidRPr="00064C1F">
        <w:rPr>
          <w:color w:val="000000" w:themeColor="text1"/>
          <w:sz w:val="24"/>
          <w:szCs w:val="24"/>
        </w:rPr>
        <w:t xml:space="preserve"> de </w:t>
      </w:r>
      <w:proofErr w:type="spellStart"/>
      <w:r w:rsidRPr="00064C1F">
        <w:rPr>
          <w:color w:val="000000" w:themeColor="text1"/>
          <w:sz w:val="24"/>
          <w:szCs w:val="24"/>
        </w:rPr>
        <w:t>compoziție</w:t>
      </w:r>
      <w:proofErr w:type="spellEnd"/>
      <w:r w:rsidRPr="00064C1F">
        <w:rPr>
          <w:color w:val="000000" w:themeColor="text1"/>
          <w:sz w:val="24"/>
          <w:szCs w:val="24"/>
        </w:rPr>
        <w:t xml:space="preserve"> </w:t>
      </w:r>
      <w:proofErr w:type="spellStart"/>
      <w:r w:rsidRPr="00064C1F">
        <w:rPr>
          <w:color w:val="000000" w:themeColor="text1"/>
          <w:sz w:val="24"/>
          <w:szCs w:val="24"/>
        </w:rPr>
        <w:t>medie</w:t>
      </w:r>
      <w:proofErr w:type="spellEnd"/>
      <w:r w:rsidRPr="00064C1F">
        <w:rPr>
          <w:color w:val="000000" w:themeColor="text1"/>
          <w:sz w:val="24"/>
          <w:szCs w:val="24"/>
        </w:rPr>
        <w:t xml:space="preserve"> (7 </w:t>
      </w:r>
      <w:proofErr w:type="spellStart"/>
      <w:r w:rsidRPr="00064C1F">
        <w:rPr>
          <w:color w:val="000000" w:themeColor="text1"/>
          <w:sz w:val="24"/>
          <w:szCs w:val="24"/>
        </w:rPr>
        <w:t>specii</w:t>
      </w:r>
      <w:proofErr w:type="spellEnd"/>
      <w:r w:rsidRPr="00064C1F">
        <w:rPr>
          <w:color w:val="000000" w:themeColor="text1"/>
          <w:sz w:val="24"/>
          <w:szCs w:val="24"/>
        </w:rPr>
        <w:t xml:space="preserve"> </w:t>
      </w:r>
      <w:proofErr w:type="spellStart"/>
      <w:r w:rsidRPr="00064C1F">
        <w:rPr>
          <w:color w:val="000000" w:themeColor="text1"/>
          <w:sz w:val="24"/>
          <w:szCs w:val="24"/>
        </w:rPr>
        <w:t>caracteristice</w:t>
      </w:r>
      <w:proofErr w:type="spellEnd"/>
      <w:r w:rsidRPr="00064C1F">
        <w:rPr>
          <w:color w:val="000000" w:themeColor="text1"/>
          <w:sz w:val="24"/>
          <w:szCs w:val="24"/>
        </w:rPr>
        <w:t xml:space="preserve">) </w:t>
      </w:r>
      <w:proofErr w:type="spellStart"/>
      <w:r w:rsidRPr="00064C1F">
        <w:rPr>
          <w:color w:val="000000" w:themeColor="text1"/>
          <w:sz w:val="24"/>
          <w:szCs w:val="24"/>
        </w:rPr>
        <w:t>vom</w:t>
      </w:r>
      <w:proofErr w:type="spellEnd"/>
      <w:r w:rsidRPr="00064C1F">
        <w:rPr>
          <w:color w:val="000000" w:themeColor="text1"/>
          <w:sz w:val="24"/>
          <w:szCs w:val="24"/>
        </w:rPr>
        <w:t xml:space="preserve"> </w:t>
      </w:r>
      <w:proofErr w:type="spellStart"/>
      <w:r w:rsidRPr="00064C1F">
        <w:rPr>
          <w:color w:val="000000" w:themeColor="text1"/>
          <w:sz w:val="24"/>
          <w:szCs w:val="24"/>
        </w:rPr>
        <w:t>avea</w:t>
      </w:r>
      <w:proofErr w:type="spellEnd"/>
      <w:r w:rsidRPr="00064C1F">
        <w:rPr>
          <w:color w:val="000000" w:themeColor="text1"/>
          <w:sz w:val="24"/>
          <w:szCs w:val="24"/>
        </w:rPr>
        <w:t xml:space="preserve"> 7 </w:t>
      </w:r>
      <w:proofErr w:type="spellStart"/>
      <w:r w:rsidRPr="00064C1F">
        <w:rPr>
          <w:color w:val="000000" w:themeColor="text1"/>
          <w:sz w:val="24"/>
          <w:szCs w:val="24"/>
        </w:rPr>
        <w:t>ploturi</w:t>
      </w:r>
      <w:proofErr w:type="spellEnd"/>
      <w:r w:rsidRPr="00064C1F">
        <w:rPr>
          <w:color w:val="000000" w:themeColor="text1"/>
          <w:sz w:val="24"/>
          <w:szCs w:val="24"/>
        </w:rPr>
        <w:t xml:space="preserve"> care se </w:t>
      </w:r>
      <w:proofErr w:type="spellStart"/>
      <w:r w:rsidRPr="00064C1F">
        <w:rPr>
          <w:color w:val="000000" w:themeColor="text1"/>
          <w:sz w:val="24"/>
          <w:szCs w:val="24"/>
        </w:rPr>
        <w:t>încadrează</w:t>
      </w:r>
      <w:proofErr w:type="spellEnd"/>
      <w:r w:rsidRPr="00064C1F">
        <w:rPr>
          <w:color w:val="000000" w:themeColor="text1"/>
          <w:sz w:val="24"/>
          <w:szCs w:val="24"/>
        </w:rPr>
        <w:t xml:space="preserve"> </w:t>
      </w:r>
      <w:proofErr w:type="spellStart"/>
      <w:r w:rsidRPr="00064C1F">
        <w:rPr>
          <w:color w:val="000000" w:themeColor="text1"/>
          <w:sz w:val="24"/>
          <w:szCs w:val="24"/>
        </w:rPr>
        <w:t>în</w:t>
      </w:r>
      <w:proofErr w:type="spellEnd"/>
      <w:r w:rsidRPr="00064C1F">
        <w:rPr>
          <w:color w:val="000000" w:themeColor="text1"/>
          <w:sz w:val="24"/>
          <w:szCs w:val="24"/>
        </w:rPr>
        <w:t xml:space="preserve"> </w:t>
      </w:r>
      <w:proofErr w:type="spellStart"/>
      <w:r w:rsidRPr="00064C1F">
        <w:rPr>
          <w:color w:val="000000" w:themeColor="text1"/>
          <w:sz w:val="24"/>
          <w:szCs w:val="24"/>
        </w:rPr>
        <w:t>aceasta</w:t>
      </w:r>
      <w:proofErr w:type="spellEnd"/>
      <w:r w:rsidRPr="00064C1F">
        <w:rPr>
          <w:color w:val="000000" w:themeColor="text1"/>
          <w:sz w:val="24"/>
          <w:szCs w:val="24"/>
        </w:rPr>
        <w:t xml:space="preserve">, </w:t>
      </w:r>
      <w:proofErr w:type="spellStart"/>
      <w:r w:rsidRPr="00064C1F">
        <w:rPr>
          <w:color w:val="000000" w:themeColor="text1"/>
          <w:sz w:val="24"/>
          <w:szCs w:val="24"/>
        </w:rPr>
        <w:t>apoi</w:t>
      </w:r>
      <w:proofErr w:type="spellEnd"/>
      <w:r w:rsidRPr="00064C1F">
        <w:rPr>
          <w:color w:val="000000" w:themeColor="text1"/>
          <w:sz w:val="24"/>
          <w:szCs w:val="24"/>
        </w:rPr>
        <w:t xml:space="preserve"> </w:t>
      </w:r>
      <w:proofErr w:type="spellStart"/>
      <w:r w:rsidRPr="00064C1F">
        <w:rPr>
          <w:color w:val="000000" w:themeColor="text1"/>
          <w:sz w:val="24"/>
          <w:szCs w:val="24"/>
        </w:rPr>
        <w:t>în</w:t>
      </w:r>
      <w:proofErr w:type="spellEnd"/>
      <w:r w:rsidRPr="00064C1F">
        <w:rPr>
          <w:color w:val="000000" w:themeColor="text1"/>
          <w:sz w:val="24"/>
          <w:szCs w:val="24"/>
        </w:rPr>
        <w:t xml:space="preserve"> </w:t>
      </w:r>
      <w:proofErr w:type="spellStart"/>
      <w:r w:rsidRPr="00064C1F">
        <w:rPr>
          <w:color w:val="000000" w:themeColor="text1"/>
          <w:sz w:val="24"/>
          <w:szCs w:val="24"/>
        </w:rPr>
        <w:t>clasa</w:t>
      </w:r>
      <w:proofErr w:type="spellEnd"/>
      <w:r w:rsidRPr="00064C1F">
        <w:rPr>
          <w:color w:val="000000" w:themeColor="text1"/>
          <w:sz w:val="24"/>
          <w:szCs w:val="24"/>
        </w:rPr>
        <w:t xml:space="preserve"> de </w:t>
      </w:r>
      <w:proofErr w:type="spellStart"/>
      <w:r w:rsidRPr="00064C1F">
        <w:rPr>
          <w:color w:val="000000" w:themeColor="text1"/>
          <w:sz w:val="24"/>
          <w:szCs w:val="24"/>
        </w:rPr>
        <w:t>compoziție</w:t>
      </w:r>
      <w:proofErr w:type="spellEnd"/>
      <w:r w:rsidRPr="00064C1F">
        <w:rPr>
          <w:color w:val="000000" w:themeColor="text1"/>
          <w:sz w:val="24"/>
          <w:szCs w:val="24"/>
        </w:rPr>
        <w:t xml:space="preserve"> </w:t>
      </w:r>
      <w:proofErr w:type="spellStart"/>
      <w:r w:rsidRPr="00064C1F">
        <w:rPr>
          <w:color w:val="000000" w:themeColor="text1"/>
          <w:sz w:val="24"/>
          <w:szCs w:val="24"/>
        </w:rPr>
        <w:t>mică</w:t>
      </w:r>
      <w:proofErr w:type="spellEnd"/>
      <w:r w:rsidRPr="00064C1F">
        <w:rPr>
          <w:color w:val="000000" w:themeColor="text1"/>
          <w:sz w:val="24"/>
          <w:szCs w:val="24"/>
        </w:rPr>
        <w:t xml:space="preserve"> (3 </w:t>
      </w:r>
      <w:proofErr w:type="spellStart"/>
      <w:r w:rsidRPr="00064C1F">
        <w:rPr>
          <w:color w:val="000000" w:themeColor="text1"/>
          <w:sz w:val="24"/>
          <w:szCs w:val="24"/>
        </w:rPr>
        <w:t>specii</w:t>
      </w:r>
      <w:proofErr w:type="spellEnd"/>
      <w:r w:rsidRPr="00064C1F">
        <w:rPr>
          <w:color w:val="000000" w:themeColor="text1"/>
          <w:sz w:val="24"/>
          <w:szCs w:val="24"/>
        </w:rPr>
        <w:t xml:space="preserve"> </w:t>
      </w:r>
      <w:proofErr w:type="spellStart"/>
      <w:r w:rsidRPr="00064C1F">
        <w:rPr>
          <w:color w:val="000000" w:themeColor="text1"/>
          <w:sz w:val="24"/>
          <w:szCs w:val="24"/>
        </w:rPr>
        <w:t>caracteristice</w:t>
      </w:r>
      <w:proofErr w:type="spellEnd"/>
      <w:r w:rsidRPr="00064C1F">
        <w:rPr>
          <w:color w:val="000000" w:themeColor="text1"/>
          <w:sz w:val="24"/>
          <w:szCs w:val="24"/>
        </w:rPr>
        <w:t xml:space="preserve">), </w:t>
      </w:r>
      <w:proofErr w:type="spellStart"/>
      <w:r w:rsidRPr="00064C1F">
        <w:rPr>
          <w:color w:val="000000" w:themeColor="text1"/>
          <w:sz w:val="24"/>
          <w:szCs w:val="24"/>
        </w:rPr>
        <w:t>putem</w:t>
      </w:r>
      <w:proofErr w:type="spellEnd"/>
      <w:r w:rsidRPr="00064C1F">
        <w:rPr>
          <w:color w:val="000000" w:themeColor="text1"/>
          <w:sz w:val="24"/>
          <w:szCs w:val="24"/>
        </w:rPr>
        <w:t xml:space="preserve"> deduce </w:t>
      </w:r>
      <w:proofErr w:type="spellStart"/>
      <w:r w:rsidRPr="00064C1F">
        <w:rPr>
          <w:color w:val="000000" w:themeColor="text1"/>
          <w:sz w:val="24"/>
          <w:szCs w:val="24"/>
        </w:rPr>
        <w:t>că</w:t>
      </w:r>
      <w:proofErr w:type="spellEnd"/>
      <w:r w:rsidRPr="00064C1F">
        <w:rPr>
          <w:color w:val="000000" w:themeColor="text1"/>
          <w:sz w:val="24"/>
          <w:szCs w:val="24"/>
        </w:rPr>
        <w:t xml:space="preserve"> </w:t>
      </w:r>
      <w:proofErr w:type="spellStart"/>
      <w:r w:rsidRPr="00064C1F">
        <w:rPr>
          <w:color w:val="000000" w:themeColor="text1"/>
          <w:sz w:val="24"/>
          <w:szCs w:val="24"/>
        </w:rPr>
        <w:t>raportul</w:t>
      </w:r>
      <w:proofErr w:type="spellEnd"/>
      <w:r w:rsidRPr="00064C1F">
        <w:rPr>
          <w:color w:val="000000" w:themeColor="text1"/>
          <w:sz w:val="24"/>
          <w:szCs w:val="24"/>
        </w:rPr>
        <w:t xml:space="preserve"> pe </w:t>
      </w:r>
      <w:proofErr w:type="spellStart"/>
      <w:r w:rsidRPr="00064C1F">
        <w:rPr>
          <w:color w:val="000000" w:themeColor="text1"/>
          <w:sz w:val="24"/>
          <w:szCs w:val="24"/>
        </w:rPr>
        <w:t>bioregiunea</w:t>
      </w:r>
      <w:proofErr w:type="spellEnd"/>
      <w:r w:rsidRPr="00064C1F">
        <w:rPr>
          <w:color w:val="000000" w:themeColor="text1"/>
          <w:sz w:val="24"/>
          <w:szCs w:val="24"/>
        </w:rPr>
        <w:t xml:space="preserve"> </w:t>
      </w:r>
      <w:proofErr w:type="spellStart"/>
      <w:r w:rsidRPr="00064C1F">
        <w:rPr>
          <w:color w:val="000000" w:themeColor="text1"/>
          <w:sz w:val="24"/>
          <w:szCs w:val="24"/>
        </w:rPr>
        <w:t>țintă</w:t>
      </w:r>
      <w:proofErr w:type="spellEnd"/>
      <w:r w:rsidRPr="00064C1F">
        <w:rPr>
          <w:color w:val="000000" w:themeColor="text1"/>
          <w:sz w:val="24"/>
          <w:szCs w:val="24"/>
        </w:rPr>
        <w:t xml:space="preserve"> </w:t>
      </w:r>
      <w:proofErr w:type="spellStart"/>
      <w:r w:rsidRPr="00064C1F">
        <w:rPr>
          <w:color w:val="000000" w:themeColor="text1"/>
          <w:sz w:val="24"/>
          <w:szCs w:val="24"/>
        </w:rPr>
        <w:t>este</w:t>
      </w:r>
      <w:proofErr w:type="spellEnd"/>
      <w:r w:rsidRPr="00064C1F">
        <w:rPr>
          <w:color w:val="000000" w:themeColor="text1"/>
          <w:sz w:val="24"/>
          <w:szCs w:val="24"/>
        </w:rPr>
        <w:t xml:space="preserve"> </w:t>
      </w:r>
      <w:proofErr w:type="spellStart"/>
      <w:r w:rsidRPr="00064C1F">
        <w:rPr>
          <w:color w:val="000000" w:themeColor="text1"/>
          <w:sz w:val="24"/>
          <w:szCs w:val="24"/>
        </w:rPr>
        <w:t>considerat</w:t>
      </w:r>
      <w:proofErr w:type="spellEnd"/>
      <w:r w:rsidRPr="00064C1F">
        <w:rPr>
          <w:color w:val="000000" w:themeColor="text1"/>
          <w:sz w:val="24"/>
          <w:szCs w:val="24"/>
        </w:rPr>
        <w:t xml:space="preserve"> </w:t>
      </w:r>
      <w:proofErr w:type="spellStart"/>
      <w:r w:rsidRPr="00064C1F">
        <w:rPr>
          <w:color w:val="000000" w:themeColor="text1"/>
          <w:sz w:val="24"/>
          <w:szCs w:val="24"/>
        </w:rPr>
        <w:t>în</w:t>
      </w:r>
      <w:proofErr w:type="spellEnd"/>
      <w:r w:rsidRPr="00064C1F">
        <w:rPr>
          <w:color w:val="000000" w:themeColor="text1"/>
          <w:sz w:val="24"/>
          <w:szCs w:val="24"/>
        </w:rPr>
        <w:t xml:space="preserve"> stare </w:t>
      </w:r>
      <w:proofErr w:type="spellStart"/>
      <w:r w:rsidRPr="00064C1F">
        <w:rPr>
          <w:color w:val="000000" w:themeColor="text1"/>
          <w:sz w:val="24"/>
          <w:szCs w:val="24"/>
        </w:rPr>
        <w:t>favorabilă</w:t>
      </w:r>
      <w:proofErr w:type="spellEnd"/>
      <w:r w:rsidRPr="00064C1F">
        <w:rPr>
          <w:color w:val="000000" w:themeColor="text1"/>
          <w:sz w:val="24"/>
          <w:szCs w:val="24"/>
        </w:rPr>
        <w:t xml:space="preserve"> </w:t>
      </w:r>
      <w:proofErr w:type="spellStart"/>
      <w:r w:rsidRPr="00064C1F">
        <w:rPr>
          <w:color w:val="000000" w:themeColor="text1"/>
          <w:sz w:val="24"/>
          <w:szCs w:val="24"/>
        </w:rPr>
        <w:t>în</w:t>
      </w:r>
      <w:proofErr w:type="spellEnd"/>
      <w:r w:rsidRPr="00064C1F">
        <w:rPr>
          <w:color w:val="000000" w:themeColor="text1"/>
          <w:sz w:val="24"/>
          <w:szCs w:val="24"/>
        </w:rPr>
        <w:t xml:space="preserve"> </w:t>
      </w:r>
      <w:proofErr w:type="spellStart"/>
      <w:r w:rsidRPr="00064C1F">
        <w:rPr>
          <w:color w:val="000000" w:themeColor="text1"/>
          <w:sz w:val="24"/>
          <w:szCs w:val="24"/>
        </w:rPr>
        <w:t>ceea</w:t>
      </w:r>
      <w:proofErr w:type="spellEnd"/>
      <w:r w:rsidRPr="00064C1F">
        <w:rPr>
          <w:color w:val="000000" w:themeColor="text1"/>
          <w:sz w:val="24"/>
          <w:szCs w:val="24"/>
        </w:rPr>
        <w:t xml:space="preserve"> </w:t>
      </w:r>
      <w:proofErr w:type="spellStart"/>
      <w:r w:rsidRPr="00064C1F">
        <w:rPr>
          <w:color w:val="000000" w:themeColor="text1"/>
          <w:sz w:val="24"/>
          <w:szCs w:val="24"/>
        </w:rPr>
        <w:t>ce</w:t>
      </w:r>
      <w:proofErr w:type="spellEnd"/>
      <w:r w:rsidRPr="00064C1F">
        <w:rPr>
          <w:color w:val="000000" w:themeColor="text1"/>
          <w:sz w:val="24"/>
          <w:szCs w:val="24"/>
        </w:rPr>
        <w:t xml:space="preserve"> </w:t>
      </w:r>
      <w:proofErr w:type="spellStart"/>
      <w:r w:rsidRPr="00064C1F">
        <w:rPr>
          <w:color w:val="000000" w:themeColor="text1"/>
          <w:sz w:val="24"/>
          <w:szCs w:val="24"/>
        </w:rPr>
        <w:t>privește</w:t>
      </w:r>
      <w:proofErr w:type="spellEnd"/>
      <w:r w:rsidRPr="00064C1F">
        <w:rPr>
          <w:color w:val="000000" w:themeColor="text1"/>
          <w:sz w:val="24"/>
          <w:szCs w:val="24"/>
        </w:rPr>
        <w:t xml:space="preserve"> </w:t>
      </w:r>
      <w:proofErr w:type="spellStart"/>
      <w:r w:rsidRPr="00064C1F">
        <w:rPr>
          <w:color w:val="000000" w:themeColor="text1"/>
          <w:sz w:val="24"/>
          <w:szCs w:val="24"/>
        </w:rPr>
        <w:t>evaluarea</w:t>
      </w:r>
      <w:proofErr w:type="spellEnd"/>
      <w:r w:rsidRPr="00064C1F">
        <w:rPr>
          <w:color w:val="000000" w:themeColor="text1"/>
          <w:sz w:val="24"/>
          <w:szCs w:val="24"/>
        </w:rPr>
        <w:t xml:space="preserve"> </w:t>
      </w:r>
      <w:proofErr w:type="spellStart"/>
      <w:r w:rsidRPr="00064C1F">
        <w:rPr>
          <w:color w:val="000000" w:themeColor="text1"/>
          <w:sz w:val="24"/>
          <w:szCs w:val="24"/>
        </w:rPr>
        <w:t>structurii</w:t>
      </w:r>
      <w:proofErr w:type="spellEnd"/>
      <w:r w:rsidRPr="00064C1F">
        <w:rPr>
          <w:color w:val="000000" w:themeColor="text1"/>
          <w:sz w:val="24"/>
          <w:szCs w:val="24"/>
        </w:rPr>
        <w:t>.</w:t>
      </w:r>
    </w:p>
    <w:p w14:paraId="4C858BC4" w14:textId="77777777" w:rsidR="008572F7" w:rsidRPr="00737A92" w:rsidRDefault="008572F7" w:rsidP="00064C1F">
      <w:pPr>
        <w:pStyle w:val="BodyText"/>
        <w:ind w:left="0" w:right="253"/>
        <w:jc w:val="both"/>
        <w:rPr>
          <w:color w:val="000000" w:themeColor="text1"/>
          <w:sz w:val="24"/>
          <w:szCs w:val="24"/>
          <w:lang w:val="fr-FR"/>
        </w:rPr>
      </w:pPr>
      <w:r w:rsidRPr="00064C1F">
        <w:rPr>
          <w:color w:val="000000" w:themeColor="text1"/>
          <w:sz w:val="24"/>
          <w:szCs w:val="24"/>
        </w:rPr>
        <w:t xml:space="preserve">Al </w:t>
      </w:r>
      <w:proofErr w:type="spellStart"/>
      <w:r w:rsidRPr="00064C1F">
        <w:rPr>
          <w:color w:val="000000" w:themeColor="text1"/>
          <w:sz w:val="24"/>
          <w:szCs w:val="24"/>
        </w:rPr>
        <w:t>treilea</w:t>
      </w:r>
      <w:proofErr w:type="spellEnd"/>
      <w:r w:rsidRPr="00064C1F">
        <w:rPr>
          <w:color w:val="000000" w:themeColor="text1"/>
          <w:sz w:val="24"/>
          <w:szCs w:val="24"/>
        </w:rPr>
        <w:t xml:space="preserve"> </w:t>
      </w:r>
      <w:proofErr w:type="spellStart"/>
      <w:r w:rsidRPr="00064C1F">
        <w:rPr>
          <w:color w:val="000000" w:themeColor="text1"/>
          <w:sz w:val="24"/>
          <w:szCs w:val="24"/>
        </w:rPr>
        <w:t>nivel</w:t>
      </w:r>
      <w:proofErr w:type="spellEnd"/>
      <w:r w:rsidRPr="00064C1F">
        <w:rPr>
          <w:color w:val="000000" w:themeColor="text1"/>
          <w:sz w:val="24"/>
          <w:szCs w:val="24"/>
        </w:rPr>
        <w:t xml:space="preserve"> de </w:t>
      </w:r>
      <w:proofErr w:type="spellStart"/>
      <w:r w:rsidRPr="00064C1F">
        <w:rPr>
          <w:color w:val="000000" w:themeColor="text1"/>
          <w:sz w:val="24"/>
          <w:szCs w:val="24"/>
        </w:rPr>
        <w:t>agregare</w:t>
      </w:r>
      <w:proofErr w:type="spellEnd"/>
      <w:r w:rsidRPr="00064C1F">
        <w:rPr>
          <w:color w:val="000000" w:themeColor="text1"/>
          <w:sz w:val="24"/>
          <w:szCs w:val="24"/>
        </w:rPr>
        <w:t xml:space="preserve"> </w:t>
      </w:r>
      <w:proofErr w:type="spellStart"/>
      <w:r w:rsidRPr="00064C1F">
        <w:rPr>
          <w:color w:val="000000" w:themeColor="text1"/>
          <w:sz w:val="24"/>
          <w:szCs w:val="24"/>
        </w:rPr>
        <w:t>este</w:t>
      </w:r>
      <w:proofErr w:type="spellEnd"/>
      <w:r w:rsidRPr="00064C1F">
        <w:rPr>
          <w:color w:val="000000" w:themeColor="text1"/>
          <w:sz w:val="24"/>
          <w:szCs w:val="24"/>
        </w:rPr>
        <w:t xml:space="preserve"> al </w:t>
      </w:r>
      <w:proofErr w:type="spellStart"/>
      <w:r w:rsidRPr="00064C1F">
        <w:rPr>
          <w:color w:val="000000" w:themeColor="text1"/>
          <w:sz w:val="24"/>
          <w:szCs w:val="24"/>
        </w:rPr>
        <w:t>atributelor</w:t>
      </w:r>
      <w:proofErr w:type="spellEnd"/>
      <w:r w:rsidRPr="00064C1F">
        <w:rPr>
          <w:color w:val="000000" w:themeColor="text1"/>
          <w:sz w:val="24"/>
          <w:szCs w:val="24"/>
        </w:rPr>
        <w:t xml:space="preserve"> la </w:t>
      </w:r>
      <w:proofErr w:type="spellStart"/>
      <w:r w:rsidRPr="00064C1F">
        <w:rPr>
          <w:color w:val="000000" w:themeColor="text1"/>
          <w:sz w:val="24"/>
          <w:szCs w:val="24"/>
        </w:rPr>
        <w:t>nivel</w:t>
      </w:r>
      <w:proofErr w:type="spellEnd"/>
      <w:r w:rsidRPr="00064C1F">
        <w:rPr>
          <w:color w:val="000000" w:themeColor="text1"/>
          <w:sz w:val="24"/>
          <w:szCs w:val="24"/>
        </w:rPr>
        <w:t xml:space="preserve"> </w:t>
      </w:r>
      <w:proofErr w:type="spellStart"/>
      <w:r w:rsidRPr="00064C1F">
        <w:rPr>
          <w:color w:val="000000" w:themeColor="text1"/>
          <w:sz w:val="24"/>
          <w:szCs w:val="24"/>
        </w:rPr>
        <w:t>național</w:t>
      </w:r>
      <w:proofErr w:type="spellEnd"/>
      <w:r w:rsidRPr="00064C1F">
        <w:rPr>
          <w:color w:val="000000" w:themeColor="text1"/>
          <w:sz w:val="24"/>
          <w:szCs w:val="24"/>
        </w:rPr>
        <w:t xml:space="preserve"> </w:t>
      </w:r>
      <w:proofErr w:type="spellStart"/>
      <w:r w:rsidRPr="00064C1F">
        <w:rPr>
          <w:color w:val="000000" w:themeColor="text1"/>
          <w:sz w:val="24"/>
          <w:szCs w:val="24"/>
        </w:rPr>
        <w:t>rezultate</w:t>
      </w:r>
      <w:proofErr w:type="spellEnd"/>
      <w:r w:rsidRPr="00064C1F">
        <w:rPr>
          <w:color w:val="000000" w:themeColor="text1"/>
          <w:sz w:val="24"/>
          <w:szCs w:val="24"/>
        </w:rPr>
        <w:t xml:space="preserve"> din </w:t>
      </w:r>
      <w:proofErr w:type="spellStart"/>
      <w:r w:rsidRPr="00064C1F">
        <w:rPr>
          <w:color w:val="000000" w:themeColor="text1"/>
          <w:sz w:val="24"/>
          <w:szCs w:val="24"/>
        </w:rPr>
        <w:t>agregarea</w:t>
      </w:r>
      <w:proofErr w:type="spellEnd"/>
      <w:r w:rsidRPr="00064C1F">
        <w:rPr>
          <w:color w:val="000000" w:themeColor="text1"/>
          <w:sz w:val="24"/>
          <w:szCs w:val="24"/>
        </w:rPr>
        <w:t xml:space="preserve"> </w:t>
      </w:r>
      <w:proofErr w:type="spellStart"/>
      <w:r w:rsidRPr="00064C1F">
        <w:rPr>
          <w:color w:val="000000" w:themeColor="text1"/>
          <w:sz w:val="24"/>
          <w:szCs w:val="24"/>
        </w:rPr>
        <w:t>datelor</w:t>
      </w:r>
      <w:proofErr w:type="spellEnd"/>
      <w:r w:rsidRPr="00064C1F">
        <w:rPr>
          <w:color w:val="000000" w:themeColor="text1"/>
          <w:sz w:val="24"/>
          <w:szCs w:val="24"/>
        </w:rPr>
        <w:t xml:space="preserve"> la </w:t>
      </w:r>
      <w:proofErr w:type="spellStart"/>
      <w:r w:rsidRPr="00064C1F">
        <w:rPr>
          <w:color w:val="000000" w:themeColor="text1"/>
          <w:sz w:val="24"/>
          <w:szCs w:val="24"/>
        </w:rPr>
        <w:t>nivel</w:t>
      </w:r>
      <w:proofErr w:type="spellEnd"/>
      <w:r w:rsidRPr="00064C1F">
        <w:rPr>
          <w:color w:val="000000" w:themeColor="text1"/>
          <w:sz w:val="24"/>
          <w:szCs w:val="24"/>
        </w:rPr>
        <w:t xml:space="preserve"> de </w:t>
      </w:r>
      <w:proofErr w:type="spellStart"/>
      <w:r w:rsidRPr="00064C1F">
        <w:rPr>
          <w:color w:val="000000" w:themeColor="text1"/>
          <w:sz w:val="24"/>
          <w:szCs w:val="24"/>
        </w:rPr>
        <w:t>bioregiune.lanul</w:t>
      </w:r>
      <w:proofErr w:type="spellEnd"/>
      <w:r w:rsidRPr="00064C1F">
        <w:rPr>
          <w:color w:val="000000" w:themeColor="text1"/>
          <w:sz w:val="24"/>
          <w:szCs w:val="24"/>
        </w:rPr>
        <w:t xml:space="preserve"> de </w:t>
      </w:r>
      <w:proofErr w:type="spellStart"/>
      <w:r w:rsidRPr="00064C1F">
        <w:rPr>
          <w:color w:val="000000" w:themeColor="text1"/>
          <w:sz w:val="24"/>
          <w:szCs w:val="24"/>
        </w:rPr>
        <w:t>monitorizare</w:t>
      </w:r>
      <w:proofErr w:type="spellEnd"/>
      <w:r w:rsidRPr="00064C1F">
        <w:rPr>
          <w:color w:val="000000" w:themeColor="text1"/>
          <w:sz w:val="24"/>
          <w:szCs w:val="24"/>
        </w:rPr>
        <w:t xml:space="preserve"> a </w:t>
      </w:r>
      <w:proofErr w:type="spellStart"/>
      <w:r w:rsidRPr="00064C1F">
        <w:rPr>
          <w:color w:val="000000" w:themeColor="text1"/>
          <w:sz w:val="24"/>
          <w:szCs w:val="24"/>
        </w:rPr>
        <w:t>habitatelor</w:t>
      </w:r>
      <w:proofErr w:type="spellEnd"/>
      <w:r w:rsidRPr="00064C1F">
        <w:rPr>
          <w:color w:val="000000" w:themeColor="text1"/>
          <w:sz w:val="24"/>
          <w:szCs w:val="24"/>
        </w:rPr>
        <w:t xml:space="preserve"> de  </w:t>
      </w:r>
      <w:proofErr w:type="spellStart"/>
      <w:r w:rsidRPr="00064C1F">
        <w:rPr>
          <w:color w:val="000000" w:themeColor="text1"/>
          <w:sz w:val="24"/>
          <w:szCs w:val="24"/>
        </w:rPr>
        <w:t>sărături</w:t>
      </w:r>
      <w:proofErr w:type="spellEnd"/>
      <w:r w:rsidR="00064C1F">
        <w:rPr>
          <w:color w:val="000000" w:themeColor="text1"/>
          <w:sz w:val="24"/>
          <w:szCs w:val="24"/>
        </w:rPr>
        <w:t>.</w:t>
      </w:r>
      <w:r w:rsidRPr="00064C1F">
        <w:rPr>
          <w:color w:val="000000" w:themeColor="text1"/>
          <w:sz w:val="24"/>
          <w:szCs w:val="24"/>
        </w:rPr>
        <w:tab/>
      </w:r>
    </w:p>
    <w:p w14:paraId="3A4FAFCD" w14:textId="77777777" w:rsidR="008572F7" w:rsidRPr="00C56257" w:rsidRDefault="008572F7" w:rsidP="008572F7">
      <w:pPr>
        <w:pStyle w:val="BodyText"/>
        <w:spacing w:before="5"/>
        <w:jc w:val="both"/>
        <w:rPr>
          <w:b/>
          <w:color w:val="000000" w:themeColor="text1"/>
          <w:sz w:val="24"/>
          <w:szCs w:val="24"/>
          <w:lang w:val="fr-FR"/>
        </w:rPr>
      </w:pPr>
    </w:p>
    <w:p w14:paraId="1E181DE5" w14:textId="77777777" w:rsidR="008572F7" w:rsidRPr="00C56257" w:rsidRDefault="008572F7" w:rsidP="008572F7">
      <w:pPr>
        <w:pStyle w:val="BodyText"/>
        <w:jc w:val="both"/>
        <w:rPr>
          <w:color w:val="000000" w:themeColor="text1"/>
          <w:sz w:val="24"/>
          <w:szCs w:val="24"/>
          <w:lang w:val="fr-FR"/>
        </w:rPr>
      </w:pPr>
    </w:p>
    <w:p w14:paraId="1E3FAC8A" w14:textId="77777777" w:rsidR="008572F7" w:rsidRPr="00E1608A" w:rsidRDefault="008572F7" w:rsidP="00B538DD">
      <w:pPr>
        <w:pStyle w:val="BodyText"/>
        <w:ind w:left="0" w:right="256"/>
        <w:jc w:val="both"/>
        <w:rPr>
          <w:b/>
          <w:bCs/>
          <w:color w:val="000000" w:themeColor="text1"/>
          <w:sz w:val="24"/>
          <w:szCs w:val="24"/>
          <w:lang w:val="fr-FR"/>
        </w:rPr>
      </w:pPr>
      <w:proofErr w:type="spellStart"/>
      <w:r w:rsidRPr="00E1608A">
        <w:rPr>
          <w:b/>
          <w:bCs/>
          <w:color w:val="000000" w:themeColor="text1"/>
          <w:sz w:val="24"/>
          <w:szCs w:val="24"/>
          <w:lang w:val="fr-FR"/>
        </w:rPr>
        <w:t>Planul</w:t>
      </w:r>
      <w:proofErr w:type="spellEnd"/>
      <w:r w:rsidRPr="00E1608A">
        <w:rPr>
          <w:b/>
          <w:bCs/>
          <w:color w:val="000000" w:themeColor="text1"/>
          <w:sz w:val="24"/>
          <w:szCs w:val="24"/>
          <w:lang w:val="fr-FR"/>
        </w:rPr>
        <w:t xml:space="preserve"> de </w:t>
      </w:r>
      <w:proofErr w:type="spellStart"/>
      <w:r w:rsidRPr="00E1608A">
        <w:rPr>
          <w:b/>
          <w:bCs/>
          <w:color w:val="000000" w:themeColor="text1"/>
          <w:sz w:val="24"/>
          <w:szCs w:val="24"/>
          <w:lang w:val="fr-FR"/>
        </w:rPr>
        <w:t>monitorizare</w:t>
      </w:r>
      <w:proofErr w:type="spellEnd"/>
      <w:r w:rsidRPr="00E1608A">
        <w:rPr>
          <w:b/>
          <w:bCs/>
          <w:color w:val="000000" w:themeColor="text1"/>
          <w:sz w:val="24"/>
          <w:szCs w:val="24"/>
          <w:lang w:val="fr-FR"/>
        </w:rPr>
        <w:t xml:space="preserve"> a </w:t>
      </w:r>
      <w:proofErr w:type="spellStart"/>
      <w:r w:rsidRPr="00E1608A">
        <w:rPr>
          <w:b/>
          <w:bCs/>
          <w:color w:val="000000" w:themeColor="text1"/>
          <w:sz w:val="24"/>
          <w:szCs w:val="24"/>
          <w:lang w:val="fr-FR"/>
        </w:rPr>
        <w:t>habitatelor</w:t>
      </w:r>
      <w:proofErr w:type="spellEnd"/>
      <w:r w:rsidRPr="00E1608A">
        <w:rPr>
          <w:b/>
          <w:bCs/>
          <w:color w:val="000000" w:themeColor="text1"/>
          <w:sz w:val="24"/>
          <w:szCs w:val="24"/>
          <w:lang w:val="fr-FR"/>
        </w:rPr>
        <w:t xml:space="preserve"> de </w:t>
      </w:r>
      <w:proofErr w:type="spellStart"/>
      <w:r w:rsidRPr="00E1608A">
        <w:rPr>
          <w:b/>
          <w:bCs/>
          <w:color w:val="000000" w:themeColor="text1"/>
          <w:sz w:val="24"/>
          <w:szCs w:val="24"/>
          <w:lang w:val="fr-FR"/>
        </w:rPr>
        <w:t>sărături</w:t>
      </w:r>
      <w:proofErr w:type="spellEnd"/>
      <w:r w:rsidRPr="00E1608A">
        <w:rPr>
          <w:b/>
          <w:bCs/>
          <w:color w:val="000000" w:themeColor="text1"/>
          <w:sz w:val="24"/>
          <w:szCs w:val="24"/>
          <w:lang w:val="fr-FR"/>
        </w:rPr>
        <w:t xml:space="preserve"> este parte a </w:t>
      </w:r>
      <w:proofErr w:type="spellStart"/>
      <w:r w:rsidRPr="00E1608A">
        <w:rPr>
          <w:b/>
          <w:bCs/>
          <w:color w:val="000000" w:themeColor="text1"/>
          <w:sz w:val="24"/>
          <w:szCs w:val="24"/>
          <w:lang w:val="fr-FR"/>
        </w:rPr>
        <w:t>metodologiei</w:t>
      </w:r>
      <w:proofErr w:type="spellEnd"/>
      <w:r w:rsidRPr="00E1608A">
        <w:rPr>
          <w:b/>
          <w:bCs/>
          <w:color w:val="000000" w:themeColor="text1"/>
          <w:sz w:val="24"/>
          <w:szCs w:val="24"/>
          <w:lang w:val="fr-FR"/>
        </w:rPr>
        <w:t xml:space="preserve"> de </w:t>
      </w:r>
      <w:proofErr w:type="spellStart"/>
      <w:r w:rsidRPr="00E1608A">
        <w:rPr>
          <w:b/>
          <w:bCs/>
          <w:color w:val="000000" w:themeColor="text1"/>
          <w:sz w:val="24"/>
          <w:szCs w:val="24"/>
          <w:lang w:val="fr-FR"/>
        </w:rPr>
        <w:t>monitorizare</w:t>
      </w:r>
      <w:proofErr w:type="spellEnd"/>
      <w:r w:rsidRPr="00E1608A">
        <w:rPr>
          <w:b/>
          <w:bCs/>
          <w:color w:val="000000" w:themeColor="text1"/>
          <w:sz w:val="24"/>
          <w:szCs w:val="24"/>
          <w:lang w:val="fr-FR"/>
        </w:rPr>
        <w:t xml:space="preserve"> </w:t>
      </w:r>
      <w:proofErr w:type="spellStart"/>
      <w:r w:rsidRPr="00E1608A">
        <w:rPr>
          <w:b/>
          <w:bCs/>
          <w:color w:val="000000" w:themeColor="text1"/>
          <w:sz w:val="24"/>
          <w:szCs w:val="24"/>
          <w:lang w:val="fr-FR"/>
        </w:rPr>
        <w:t>și</w:t>
      </w:r>
      <w:proofErr w:type="spellEnd"/>
      <w:r w:rsidRPr="00E1608A">
        <w:rPr>
          <w:b/>
          <w:bCs/>
          <w:color w:val="000000" w:themeColor="text1"/>
          <w:sz w:val="24"/>
          <w:szCs w:val="24"/>
          <w:lang w:val="fr-FR"/>
        </w:rPr>
        <w:t xml:space="preserve"> </w:t>
      </w:r>
      <w:proofErr w:type="spellStart"/>
      <w:r w:rsidR="00AF1306">
        <w:rPr>
          <w:b/>
          <w:bCs/>
          <w:color w:val="000000" w:themeColor="text1"/>
          <w:sz w:val="24"/>
          <w:szCs w:val="24"/>
          <w:lang w:val="fr-FR"/>
        </w:rPr>
        <w:t>conține</w:t>
      </w:r>
      <w:proofErr w:type="spellEnd"/>
      <w:r w:rsidRPr="00E1608A">
        <w:rPr>
          <w:b/>
          <w:bCs/>
          <w:color w:val="000000" w:themeColor="text1"/>
          <w:sz w:val="24"/>
          <w:szCs w:val="24"/>
          <w:lang w:val="fr-FR"/>
        </w:rPr>
        <w:t xml:space="preserve"> </w:t>
      </w:r>
      <w:proofErr w:type="spellStart"/>
      <w:r w:rsidRPr="00E1608A">
        <w:rPr>
          <w:b/>
          <w:bCs/>
          <w:color w:val="000000" w:themeColor="text1"/>
          <w:sz w:val="24"/>
          <w:szCs w:val="24"/>
          <w:lang w:val="fr-FR"/>
        </w:rPr>
        <w:t>următoarele</w:t>
      </w:r>
      <w:proofErr w:type="spellEnd"/>
      <w:r w:rsidRPr="00E1608A">
        <w:rPr>
          <w:b/>
          <w:bCs/>
          <w:color w:val="000000" w:themeColor="text1"/>
          <w:sz w:val="24"/>
          <w:szCs w:val="24"/>
          <w:lang w:val="fr-FR"/>
        </w:rPr>
        <w:t xml:space="preserve"> </w:t>
      </w:r>
      <w:proofErr w:type="spellStart"/>
      <w:r w:rsidRPr="00E1608A">
        <w:rPr>
          <w:b/>
          <w:bCs/>
          <w:color w:val="000000" w:themeColor="text1"/>
          <w:sz w:val="24"/>
          <w:szCs w:val="24"/>
          <w:lang w:val="fr-FR"/>
        </w:rPr>
        <w:t>elemente</w:t>
      </w:r>
      <w:proofErr w:type="spellEnd"/>
      <w:r w:rsidRPr="00E1608A">
        <w:rPr>
          <w:b/>
          <w:bCs/>
          <w:color w:val="000000" w:themeColor="text1"/>
          <w:sz w:val="24"/>
          <w:szCs w:val="24"/>
          <w:lang w:val="fr-FR"/>
        </w:rPr>
        <w:t xml:space="preserve">: </w:t>
      </w:r>
      <w:proofErr w:type="spellStart"/>
      <w:r w:rsidRPr="00E1608A">
        <w:rPr>
          <w:b/>
          <w:bCs/>
          <w:color w:val="000000" w:themeColor="text1"/>
          <w:sz w:val="24"/>
          <w:szCs w:val="24"/>
          <w:lang w:val="fr-FR"/>
        </w:rPr>
        <w:t>codul</w:t>
      </w:r>
      <w:proofErr w:type="spellEnd"/>
      <w:r w:rsidRPr="00E1608A">
        <w:rPr>
          <w:b/>
          <w:bCs/>
          <w:color w:val="000000" w:themeColor="text1"/>
          <w:sz w:val="24"/>
          <w:szCs w:val="24"/>
          <w:lang w:val="fr-FR"/>
        </w:rPr>
        <w:t xml:space="preserve"> Natura 2000 </w:t>
      </w:r>
      <w:proofErr w:type="spellStart"/>
      <w:r w:rsidRPr="00E1608A">
        <w:rPr>
          <w:b/>
          <w:bCs/>
          <w:color w:val="000000" w:themeColor="text1"/>
          <w:sz w:val="24"/>
          <w:szCs w:val="24"/>
          <w:lang w:val="fr-FR"/>
        </w:rPr>
        <w:t>și</w:t>
      </w:r>
      <w:proofErr w:type="spellEnd"/>
      <w:r w:rsidRPr="00E1608A">
        <w:rPr>
          <w:b/>
          <w:bCs/>
          <w:color w:val="000000" w:themeColor="text1"/>
          <w:sz w:val="24"/>
          <w:szCs w:val="24"/>
          <w:lang w:val="fr-FR"/>
        </w:rPr>
        <w:t xml:space="preserve"> </w:t>
      </w:r>
      <w:proofErr w:type="spellStart"/>
      <w:r w:rsidRPr="00E1608A">
        <w:rPr>
          <w:b/>
          <w:bCs/>
          <w:color w:val="000000" w:themeColor="text1"/>
          <w:sz w:val="24"/>
          <w:szCs w:val="24"/>
          <w:lang w:val="fr-FR"/>
        </w:rPr>
        <w:t>denumirea</w:t>
      </w:r>
      <w:proofErr w:type="spellEnd"/>
      <w:r w:rsidRPr="00E1608A">
        <w:rPr>
          <w:b/>
          <w:bCs/>
          <w:color w:val="000000" w:themeColor="text1"/>
          <w:sz w:val="24"/>
          <w:szCs w:val="24"/>
          <w:lang w:val="fr-FR"/>
        </w:rPr>
        <w:t xml:space="preserve"> </w:t>
      </w:r>
      <w:proofErr w:type="spellStart"/>
      <w:r w:rsidRPr="00E1608A">
        <w:rPr>
          <w:b/>
          <w:bCs/>
          <w:color w:val="000000" w:themeColor="text1"/>
          <w:sz w:val="24"/>
          <w:szCs w:val="24"/>
          <w:lang w:val="fr-FR"/>
        </w:rPr>
        <w:t>habitatului</w:t>
      </w:r>
      <w:proofErr w:type="spellEnd"/>
      <w:r w:rsidRPr="00E1608A">
        <w:rPr>
          <w:b/>
          <w:bCs/>
          <w:color w:val="000000" w:themeColor="text1"/>
          <w:sz w:val="24"/>
          <w:szCs w:val="24"/>
          <w:lang w:val="fr-FR"/>
        </w:rPr>
        <w:t xml:space="preserve">, </w:t>
      </w:r>
      <w:proofErr w:type="spellStart"/>
      <w:r w:rsidRPr="00E1608A">
        <w:rPr>
          <w:b/>
          <w:bCs/>
          <w:color w:val="000000" w:themeColor="text1"/>
          <w:sz w:val="24"/>
          <w:szCs w:val="24"/>
          <w:lang w:val="fr-FR"/>
        </w:rPr>
        <w:t>perioadele</w:t>
      </w:r>
      <w:proofErr w:type="spellEnd"/>
      <w:r w:rsidRPr="00E1608A">
        <w:rPr>
          <w:b/>
          <w:bCs/>
          <w:color w:val="000000" w:themeColor="text1"/>
          <w:sz w:val="24"/>
          <w:szCs w:val="24"/>
          <w:lang w:val="fr-FR"/>
        </w:rPr>
        <w:t xml:space="preserve"> optime de</w:t>
      </w:r>
      <w:r w:rsidRPr="00E1608A">
        <w:rPr>
          <w:b/>
          <w:bCs/>
          <w:color w:val="000000" w:themeColor="text1"/>
          <w:spacing w:val="1"/>
          <w:sz w:val="24"/>
          <w:szCs w:val="24"/>
          <w:lang w:val="fr-FR"/>
        </w:rPr>
        <w:t xml:space="preserve"> </w:t>
      </w:r>
      <w:proofErr w:type="spellStart"/>
      <w:r w:rsidRPr="00E1608A">
        <w:rPr>
          <w:b/>
          <w:bCs/>
          <w:color w:val="000000" w:themeColor="text1"/>
          <w:sz w:val="24"/>
          <w:szCs w:val="24"/>
          <w:lang w:val="fr-FR"/>
        </w:rPr>
        <w:t>monitorizare</w:t>
      </w:r>
      <w:proofErr w:type="spellEnd"/>
      <w:r w:rsidRPr="00E1608A">
        <w:rPr>
          <w:b/>
          <w:bCs/>
          <w:color w:val="000000" w:themeColor="text1"/>
          <w:sz w:val="24"/>
          <w:szCs w:val="24"/>
          <w:lang w:val="fr-FR"/>
        </w:rPr>
        <w:t>,</w:t>
      </w:r>
      <w:r w:rsidRPr="00E1608A">
        <w:rPr>
          <w:b/>
          <w:bCs/>
          <w:color w:val="000000" w:themeColor="text1"/>
          <w:spacing w:val="-1"/>
          <w:sz w:val="24"/>
          <w:szCs w:val="24"/>
          <w:lang w:val="fr-FR"/>
        </w:rPr>
        <w:t xml:space="preserve"> </w:t>
      </w:r>
      <w:proofErr w:type="spellStart"/>
      <w:r w:rsidRPr="00E1608A">
        <w:rPr>
          <w:b/>
          <w:bCs/>
          <w:color w:val="000000" w:themeColor="text1"/>
          <w:sz w:val="24"/>
          <w:szCs w:val="24"/>
          <w:lang w:val="fr-FR"/>
        </w:rPr>
        <w:t>metoda</w:t>
      </w:r>
      <w:proofErr w:type="spellEnd"/>
      <w:r w:rsidRPr="00E1608A">
        <w:rPr>
          <w:b/>
          <w:bCs/>
          <w:color w:val="000000" w:themeColor="text1"/>
          <w:spacing w:val="-1"/>
          <w:sz w:val="24"/>
          <w:szCs w:val="24"/>
          <w:lang w:val="fr-FR"/>
        </w:rPr>
        <w:t xml:space="preserve"> </w:t>
      </w:r>
      <w:proofErr w:type="spellStart"/>
      <w:r w:rsidRPr="00E1608A">
        <w:rPr>
          <w:b/>
          <w:bCs/>
          <w:color w:val="000000" w:themeColor="text1"/>
          <w:sz w:val="24"/>
          <w:szCs w:val="24"/>
          <w:lang w:val="fr-FR"/>
        </w:rPr>
        <w:t>utilizată</w:t>
      </w:r>
      <w:proofErr w:type="spellEnd"/>
      <w:r w:rsidRPr="00E1608A">
        <w:rPr>
          <w:b/>
          <w:bCs/>
          <w:color w:val="000000" w:themeColor="text1"/>
          <w:sz w:val="24"/>
          <w:szCs w:val="24"/>
          <w:lang w:val="fr-FR"/>
        </w:rPr>
        <w:t xml:space="preserve"> </w:t>
      </w:r>
      <w:proofErr w:type="spellStart"/>
      <w:r w:rsidRPr="00E1608A">
        <w:rPr>
          <w:b/>
          <w:bCs/>
          <w:color w:val="000000" w:themeColor="text1"/>
          <w:sz w:val="24"/>
          <w:szCs w:val="24"/>
          <w:lang w:val="fr-FR"/>
        </w:rPr>
        <w:t>și</w:t>
      </w:r>
      <w:proofErr w:type="spellEnd"/>
      <w:r w:rsidRPr="00E1608A">
        <w:rPr>
          <w:b/>
          <w:bCs/>
          <w:color w:val="000000" w:themeColor="text1"/>
          <w:spacing w:val="-1"/>
          <w:sz w:val="24"/>
          <w:szCs w:val="24"/>
          <w:lang w:val="fr-FR"/>
        </w:rPr>
        <w:t xml:space="preserve"> </w:t>
      </w:r>
      <w:proofErr w:type="spellStart"/>
      <w:r w:rsidRPr="00E1608A">
        <w:rPr>
          <w:b/>
          <w:bCs/>
          <w:color w:val="000000" w:themeColor="text1"/>
          <w:sz w:val="24"/>
          <w:szCs w:val="24"/>
          <w:lang w:val="fr-FR"/>
        </w:rPr>
        <w:t>anumite</w:t>
      </w:r>
      <w:proofErr w:type="spellEnd"/>
      <w:r w:rsidRPr="00E1608A">
        <w:rPr>
          <w:b/>
          <w:bCs/>
          <w:color w:val="000000" w:themeColor="text1"/>
          <w:sz w:val="24"/>
          <w:szCs w:val="24"/>
          <w:lang w:val="fr-FR"/>
        </w:rPr>
        <w:t xml:space="preserve"> </w:t>
      </w:r>
      <w:proofErr w:type="spellStart"/>
      <w:r w:rsidRPr="00E1608A">
        <w:rPr>
          <w:b/>
          <w:bCs/>
          <w:color w:val="000000" w:themeColor="text1"/>
          <w:sz w:val="24"/>
          <w:szCs w:val="24"/>
          <w:lang w:val="fr-FR"/>
        </w:rPr>
        <w:t>observații</w:t>
      </w:r>
      <w:proofErr w:type="spellEnd"/>
      <w:r w:rsidRPr="00E1608A">
        <w:rPr>
          <w:b/>
          <w:bCs/>
          <w:color w:val="000000" w:themeColor="text1"/>
          <w:spacing w:val="-1"/>
          <w:sz w:val="24"/>
          <w:szCs w:val="24"/>
          <w:lang w:val="fr-FR"/>
        </w:rPr>
        <w:t xml:space="preserve"> </w:t>
      </w:r>
      <w:r w:rsidRPr="00E1608A">
        <w:rPr>
          <w:b/>
          <w:bCs/>
          <w:color w:val="000000" w:themeColor="text1"/>
          <w:sz w:val="24"/>
          <w:szCs w:val="24"/>
          <w:lang w:val="fr-FR"/>
        </w:rPr>
        <w:t>(de</w:t>
      </w:r>
      <w:r w:rsidRPr="00E1608A">
        <w:rPr>
          <w:b/>
          <w:bCs/>
          <w:color w:val="000000" w:themeColor="text1"/>
          <w:spacing w:val="-2"/>
          <w:sz w:val="24"/>
          <w:szCs w:val="24"/>
          <w:lang w:val="fr-FR"/>
        </w:rPr>
        <w:t xml:space="preserve"> </w:t>
      </w:r>
      <w:r w:rsidRPr="00E1608A">
        <w:rPr>
          <w:b/>
          <w:bCs/>
          <w:color w:val="000000" w:themeColor="text1"/>
          <w:sz w:val="24"/>
          <w:szCs w:val="24"/>
          <w:lang w:val="fr-FR"/>
        </w:rPr>
        <w:t xml:space="preserve">la </w:t>
      </w:r>
      <w:proofErr w:type="spellStart"/>
      <w:r w:rsidRPr="00E1608A">
        <w:rPr>
          <w:b/>
          <w:bCs/>
          <w:color w:val="000000" w:themeColor="text1"/>
          <w:sz w:val="24"/>
          <w:szCs w:val="24"/>
          <w:lang w:val="fr-FR"/>
        </w:rPr>
        <w:t>caz</w:t>
      </w:r>
      <w:proofErr w:type="spellEnd"/>
      <w:r w:rsidRPr="00E1608A">
        <w:rPr>
          <w:b/>
          <w:bCs/>
          <w:color w:val="000000" w:themeColor="text1"/>
          <w:spacing w:val="1"/>
          <w:sz w:val="24"/>
          <w:szCs w:val="24"/>
          <w:lang w:val="fr-FR"/>
        </w:rPr>
        <w:t xml:space="preserve"> </w:t>
      </w:r>
      <w:r w:rsidRPr="00E1608A">
        <w:rPr>
          <w:b/>
          <w:bCs/>
          <w:color w:val="000000" w:themeColor="text1"/>
          <w:sz w:val="24"/>
          <w:szCs w:val="24"/>
          <w:lang w:val="fr-FR"/>
        </w:rPr>
        <w:t xml:space="preserve">la </w:t>
      </w:r>
      <w:proofErr w:type="spellStart"/>
      <w:r w:rsidRPr="00E1608A">
        <w:rPr>
          <w:b/>
          <w:bCs/>
          <w:color w:val="000000" w:themeColor="text1"/>
          <w:sz w:val="24"/>
          <w:szCs w:val="24"/>
          <w:lang w:val="fr-FR"/>
        </w:rPr>
        <w:t>caz</w:t>
      </w:r>
      <w:proofErr w:type="spellEnd"/>
      <w:r w:rsidRPr="00E1608A">
        <w:rPr>
          <w:b/>
          <w:bCs/>
          <w:color w:val="000000" w:themeColor="text1"/>
          <w:sz w:val="24"/>
          <w:szCs w:val="24"/>
          <w:lang w:val="fr-FR"/>
        </w:rPr>
        <w:t>).</w:t>
      </w:r>
    </w:p>
    <w:p w14:paraId="0BCAF584" w14:textId="77777777" w:rsidR="008572F7" w:rsidRPr="00E1608A" w:rsidRDefault="008572F7" w:rsidP="008572F7">
      <w:pPr>
        <w:pStyle w:val="BodyText"/>
        <w:spacing w:before="1"/>
        <w:ind w:left="293" w:right="250"/>
        <w:jc w:val="both"/>
        <w:rPr>
          <w:b/>
          <w:bCs/>
          <w:color w:val="000000" w:themeColor="text1"/>
          <w:sz w:val="24"/>
          <w:szCs w:val="24"/>
          <w:lang w:val="fr-FR"/>
        </w:rPr>
      </w:pPr>
    </w:p>
    <w:p w14:paraId="04397218" w14:textId="77777777" w:rsidR="008572F7" w:rsidRPr="00C56257" w:rsidRDefault="008572F7" w:rsidP="008572F7">
      <w:pPr>
        <w:pStyle w:val="BodyText"/>
        <w:spacing w:before="1"/>
        <w:ind w:left="293" w:right="250"/>
        <w:jc w:val="both"/>
        <w:rPr>
          <w:color w:val="000000" w:themeColor="text1"/>
          <w:sz w:val="24"/>
          <w:szCs w:val="24"/>
          <w:lang w:val="fr-FR"/>
        </w:rPr>
      </w:pPr>
    </w:p>
    <w:p w14:paraId="2ADAAB7B" w14:textId="77777777" w:rsidR="008572F7" w:rsidRPr="00C56257" w:rsidRDefault="008572F7" w:rsidP="008572F7">
      <w:pPr>
        <w:pStyle w:val="BodyText"/>
        <w:spacing w:before="1"/>
        <w:ind w:left="293" w:right="250"/>
        <w:jc w:val="both"/>
        <w:rPr>
          <w:color w:val="000000" w:themeColor="text1"/>
          <w:sz w:val="24"/>
          <w:szCs w:val="24"/>
          <w:lang w:val="fr-FR"/>
        </w:rPr>
      </w:pPr>
    </w:p>
    <w:p w14:paraId="21F16055" w14:textId="77777777" w:rsidR="008572F7" w:rsidRPr="00C56257" w:rsidRDefault="008572F7" w:rsidP="008572F7">
      <w:pPr>
        <w:pStyle w:val="BodyText"/>
        <w:spacing w:before="1"/>
        <w:ind w:left="293" w:right="250"/>
        <w:jc w:val="both"/>
        <w:rPr>
          <w:color w:val="000000" w:themeColor="text1"/>
          <w:sz w:val="24"/>
          <w:szCs w:val="24"/>
          <w:lang w:val="fr-FR"/>
        </w:rPr>
      </w:pPr>
    </w:p>
    <w:p w14:paraId="44095DC4" w14:textId="77777777" w:rsidR="008572F7" w:rsidRPr="00C56257" w:rsidRDefault="008572F7" w:rsidP="008572F7">
      <w:pPr>
        <w:pStyle w:val="BodyText"/>
        <w:spacing w:before="1"/>
        <w:ind w:left="293" w:right="250"/>
        <w:jc w:val="both"/>
        <w:rPr>
          <w:color w:val="000000" w:themeColor="text1"/>
          <w:sz w:val="24"/>
          <w:szCs w:val="24"/>
          <w:lang w:val="fr-FR"/>
        </w:rPr>
      </w:pPr>
    </w:p>
    <w:p w14:paraId="365F0D95" w14:textId="77777777" w:rsidR="008572F7" w:rsidRPr="00C56257" w:rsidRDefault="008572F7" w:rsidP="008572F7">
      <w:pPr>
        <w:pStyle w:val="BodyText"/>
        <w:spacing w:before="1"/>
        <w:ind w:left="293" w:right="250"/>
        <w:jc w:val="both"/>
        <w:rPr>
          <w:color w:val="000000" w:themeColor="text1"/>
          <w:sz w:val="24"/>
          <w:szCs w:val="24"/>
          <w:lang w:val="fr-FR"/>
        </w:rPr>
      </w:pPr>
    </w:p>
    <w:p w14:paraId="7798DDC0" w14:textId="77777777" w:rsidR="008572F7" w:rsidRPr="00C56257" w:rsidRDefault="008572F7" w:rsidP="008572F7">
      <w:pPr>
        <w:pStyle w:val="BodyText"/>
        <w:spacing w:before="1"/>
        <w:ind w:left="293" w:right="250"/>
        <w:jc w:val="both"/>
        <w:rPr>
          <w:color w:val="000000" w:themeColor="text1"/>
          <w:sz w:val="24"/>
          <w:szCs w:val="24"/>
          <w:lang w:val="fr-FR"/>
        </w:rPr>
      </w:pPr>
    </w:p>
    <w:p w14:paraId="3E7FF9AC" w14:textId="77777777" w:rsidR="008572F7" w:rsidRPr="00C56257" w:rsidRDefault="008572F7" w:rsidP="008572F7">
      <w:pPr>
        <w:pStyle w:val="BodyText"/>
        <w:spacing w:before="1"/>
        <w:ind w:left="293" w:right="250"/>
        <w:jc w:val="both"/>
        <w:rPr>
          <w:color w:val="000000" w:themeColor="text1"/>
          <w:sz w:val="24"/>
          <w:szCs w:val="24"/>
          <w:lang w:val="fr-FR"/>
        </w:rPr>
      </w:pPr>
    </w:p>
    <w:p w14:paraId="4E9A1D1E" w14:textId="77777777" w:rsidR="008572F7" w:rsidRPr="00737A92" w:rsidRDefault="008572F7" w:rsidP="008572F7">
      <w:pPr>
        <w:pStyle w:val="BodyText"/>
        <w:spacing w:before="1"/>
        <w:ind w:left="293" w:right="250"/>
        <w:jc w:val="both"/>
        <w:rPr>
          <w:b/>
          <w:color w:val="000000" w:themeColor="text1"/>
          <w:sz w:val="24"/>
          <w:szCs w:val="24"/>
          <w:lang w:val="ro-RO"/>
        </w:rPr>
      </w:pPr>
    </w:p>
    <w:p w14:paraId="095BD561" w14:textId="77777777" w:rsidR="008572F7" w:rsidRPr="00737A92" w:rsidRDefault="008572F7" w:rsidP="008572F7">
      <w:pPr>
        <w:pStyle w:val="BodyText"/>
        <w:spacing w:before="1"/>
        <w:ind w:left="293" w:right="250"/>
        <w:jc w:val="both"/>
        <w:rPr>
          <w:b/>
          <w:color w:val="000000" w:themeColor="text1"/>
          <w:sz w:val="24"/>
          <w:szCs w:val="24"/>
          <w:lang w:val="ro-RO"/>
        </w:rPr>
      </w:pPr>
    </w:p>
    <w:p w14:paraId="231596AC" w14:textId="77777777" w:rsidR="008572F7" w:rsidRPr="00737A92" w:rsidRDefault="008572F7" w:rsidP="008572F7">
      <w:pPr>
        <w:pStyle w:val="BodyText"/>
        <w:spacing w:before="1"/>
        <w:ind w:left="293" w:right="250"/>
        <w:jc w:val="both"/>
        <w:rPr>
          <w:b/>
          <w:color w:val="000000" w:themeColor="text1"/>
          <w:sz w:val="24"/>
          <w:szCs w:val="24"/>
          <w:lang w:val="ro-RO"/>
        </w:rPr>
      </w:pPr>
    </w:p>
    <w:p w14:paraId="0E421350" w14:textId="77777777" w:rsidR="008572F7" w:rsidRPr="00737A92" w:rsidRDefault="008572F7" w:rsidP="008572F7">
      <w:pPr>
        <w:pStyle w:val="BodyText"/>
        <w:spacing w:before="1"/>
        <w:ind w:left="293" w:right="250"/>
        <w:jc w:val="both"/>
        <w:rPr>
          <w:b/>
          <w:color w:val="000000" w:themeColor="text1"/>
          <w:sz w:val="24"/>
          <w:szCs w:val="24"/>
          <w:lang w:val="ro-RO"/>
        </w:rPr>
      </w:pPr>
    </w:p>
    <w:p w14:paraId="17EB9AD6" w14:textId="77777777" w:rsidR="008572F7" w:rsidRPr="00C56257" w:rsidRDefault="008572F7" w:rsidP="008572F7">
      <w:pPr>
        <w:pStyle w:val="BodyText"/>
        <w:spacing w:before="1"/>
        <w:ind w:left="293" w:right="250"/>
        <w:jc w:val="both"/>
        <w:rPr>
          <w:color w:val="000000" w:themeColor="text1"/>
          <w:sz w:val="24"/>
          <w:szCs w:val="24"/>
          <w:lang w:val="fr-FR"/>
        </w:rPr>
        <w:sectPr w:rsidR="008572F7" w:rsidRPr="00C56257" w:rsidSect="00E1608A">
          <w:headerReference w:type="even" r:id="rId19"/>
          <w:headerReference w:type="default" r:id="rId20"/>
          <w:footerReference w:type="default" r:id="rId21"/>
          <w:headerReference w:type="first" r:id="rId22"/>
          <w:pgSz w:w="11910" w:h="16840"/>
          <w:pgMar w:top="1340" w:right="711" w:bottom="1680" w:left="1060" w:header="0" w:footer="1412" w:gutter="0"/>
          <w:cols w:space="708"/>
        </w:sectPr>
      </w:pPr>
    </w:p>
    <w:tbl>
      <w:tblPr>
        <w:tblpPr w:leftFromText="180" w:rightFromText="180" w:vertAnchor="text" w:horzAnchor="margin" w:tblpXSpec="center" w:tblpY="-115"/>
        <w:tblW w:w="14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02"/>
        <w:gridCol w:w="521"/>
        <w:gridCol w:w="541"/>
        <w:gridCol w:w="557"/>
        <w:gridCol w:w="557"/>
        <w:gridCol w:w="557"/>
        <w:gridCol w:w="557"/>
        <w:gridCol w:w="502"/>
        <w:gridCol w:w="557"/>
        <w:gridCol w:w="557"/>
        <w:gridCol w:w="559"/>
        <w:gridCol w:w="557"/>
        <w:gridCol w:w="759"/>
        <w:gridCol w:w="2765"/>
        <w:gridCol w:w="2437"/>
      </w:tblGrid>
      <w:tr w:rsidR="008572F7" w:rsidRPr="00C56257" w14:paraId="4C06CA37" w14:textId="77777777" w:rsidTr="00C902DF">
        <w:trPr>
          <w:trHeight w:val="835"/>
        </w:trPr>
        <w:tc>
          <w:tcPr>
            <w:tcW w:w="14885" w:type="dxa"/>
            <w:gridSpan w:val="15"/>
            <w:shd w:val="clear" w:color="auto" w:fill="D9D9D9"/>
          </w:tcPr>
          <w:p w14:paraId="449FD51D" w14:textId="77777777" w:rsidR="008572F7" w:rsidRPr="00C56257" w:rsidRDefault="008572F7" w:rsidP="00C902DF">
            <w:pPr>
              <w:pStyle w:val="TableParagraph"/>
              <w:spacing w:before="2"/>
              <w:jc w:val="both"/>
              <w:rPr>
                <w:b/>
                <w:color w:val="000000" w:themeColor="text1"/>
                <w:sz w:val="24"/>
                <w:szCs w:val="24"/>
              </w:rPr>
            </w:pPr>
          </w:p>
          <w:p w14:paraId="42BF9D6A" w14:textId="77777777" w:rsidR="008572F7" w:rsidRPr="00C56257" w:rsidRDefault="008572F7" w:rsidP="00C902DF">
            <w:pPr>
              <w:pStyle w:val="TableParagraph"/>
              <w:spacing w:before="2"/>
              <w:jc w:val="both"/>
              <w:rPr>
                <w:b/>
                <w:color w:val="000000" w:themeColor="text1"/>
                <w:sz w:val="24"/>
                <w:szCs w:val="24"/>
              </w:rPr>
            </w:pPr>
            <w:r w:rsidRPr="00C56257">
              <w:rPr>
                <w:b/>
                <w:color w:val="000000" w:themeColor="text1"/>
                <w:sz w:val="24"/>
                <w:szCs w:val="24"/>
              </w:rPr>
              <w:t>Tabel–Planul de monitorizare a habitatelor de sărături</w:t>
            </w:r>
          </w:p>
        </w:tc>
      </w:tr>
      <w:tr w:rsidR="008572F7" w:rsidRPr="00C56257" w14:paraId="11F505FC" w14:textId="77777777" w:rsidTr="00C902DF">
        <w:trPr>
          <w:trHeight w:val="593"/>
        </w:trPr>
        <w:tc>
          <w:tcPr>
            <w:tcW w:w="2902" w:type="dxa"/>
            <w:vMerge w:val="restart"/>
            <w:shd w:val="clear" w:color="auto" w:fill="D9D9D9"/>
          </w:tcPr>
          <w:p w14:paraId="3B889099" w14:textId="77777777" w:rsidR="008572F7" w:rsidRPr="00C56257" w:rsidRDefault="008572F7" w:rsidP="00C902DF">
            <w:pPr>
              <w:pStyle w:val="TableParagraph"/>
              <w:spacing w:before="121" w:line="276" w:lineRule="auto"/>
              <w:ind w:left="1231" w:right="149" w:hanging="1057"/>
              <w:jc w:val="both"/>
              <w:rPr>
                <w:b/>
                <w:color w:val="000000" w:themeColor="text1"/>
                <w:sz w:val="24"/>
                <w:szCs w:val="24"/>
              </w:rPr>
            </w:pPr>
            <w:r w:rsidRPr="00C56257">
              <w:rPr>
                <w:b/>
                <w:color w:val="000000" w:themeColor="text1"/>
                <w:sz w:val="24"/>
                <w:szCs w:val="24"/>
              </w:rPr>
              <w:t>Denumirea şi codul Natura</w:t>
            </w:r>
            <w:r w:rsidRPr="00C56257">
              <w:rPr>
                <w:b/>
                <w:color w:val="000000" w:themeColor="text1"/>
                <w:spacing w:val="-52"/>
                <w:sz w:val="24"/>
                <w:szCs w:val="24"/>
              </w:rPr>
              <w:t xml:space="preserve"> </w:t>
            </w:r>
            <w:r w:rsidRPr="00C56257">
              <w:rPr>
                <w:b/>
                <w:color w:val="000000" w:themeColor="text1"/>
                <w:sz w:val="24"/>
                <w:szCs w:val="24"/>
              </w:rPr>
              <w:t>2000</w:t>
            </w:r>
          </w:p>
        </w:tc>
        <w:tc>
          <w:tcPr>
            <w:tcW w:w="6781" w:type="dxa"/>
            <w:gridSpan w:val="12"/>
            <w:shd w:val="clear" w:color="auto" w:fill="D9D9D9"/>
          </w:tcPr>
          <w:p w14:paraId="012017A6" w14:textId="77777777" w:rsidR="008572F7" w:rsidRPr="00C56257" w:rsidRDefault="008572F7" w:rsidP="00C902DF">
            <w:pPr>
              <w:pStyle w:val="TableParagraph"/>
              <w:spacing w:before="15"/>
              <w:ind w:left="1846"/>
              <w:jc w:val="both"/>
              <w:rPr>
                <w:b/>
                <w:color w:val="000000" w:themeColor="text1"/>
                <w:sz w:val="24"/>
                <w:szCs w:val="24"/>
              </w:rPr>
            </w:pPr>
            <w:r w:rsidRPr="00C56257">
              <w:rPr>
                <w:b/>
                <w:color w:val="000000" w:themeColor="text1"/>
                <w:sz w:val="24"/>
                <w:szCs w:val="24"/>
              </w:rPr>
              <w:t>Perioade</w:t>
            </w:r>
            <w:r w:rsidRPr="00C56257">
              <w:rPr>
                <w:b/>
                <w:color w:val="000000" w:themeColor="text1"/>
                <w:spacing w:val="-1"/>
                <w:sz w:val="24"/>
                <w:szCs w:val="24"/>
              </w:rPr>
              <w:t xml:space="preserve"> </w:t>
            </w:r>
            <w:r w:rsidRPr="00C56257">
              <w:rPr>
                <w:b/>
                <w:color w:val="000000" w:themeColor="text1"/>
                <w:sz w:val="24"/>
                <w:szCs w:val="24"/>
              </w:rPr>
              <w:t>optime</w:t>
            </w:r>
            <w:r w:rsidRPr="00C56257">
              <w:rPr>
                <w:b/>
                <w:color w:val="000000" w:themeColor="text1"/>
                <w:spacing w:val="-1"/>
                <w:sz w:val="24"/>
                <w:szCs w:val="24"/>
              </w:rPr>
              <w:t xml:space="preserve"> </w:t>
            </w:r>
            <w:r w:rsidRPr="00C56257">
              <w:rPr>
                <w:b/>
                <w:color w:val="000000" w:themeColor="text1"/>
                <w:sz w:val="24"/>
                <w:szCs w:val="24"/>
              </w:rPr>
              <w:t>de</w:t>
            </w:r>
            <w:r w:rsidRPr="00C56257">
              <w:rPr>
                <w:b/>
                <w:color w:val="000000" w:themeColor="text1"/>
                <w:spacing w:val="-3"/>
                <w:sz w:val="24"/>
                <w:szCs w:val="24"/>
              </w:rPr>
              <w:t xml:space="preserve"> </w:t>
            </w:r>
            <w:r w:rsidRPr="00C56257">
              <w:rPr>
                <w:b/>
                <w:color w:val="000000" w:themeColor="text1"/>
                <w:sz w:val="24"/>
                <w:szCs w:val="24"/>
              </w:rPr>
              <w:t>monitorizare</w:t>
            </w:r>
          </w:p>
        </w:tc>
        <w:tc>
          <w:tcPr>
            <w:tcW w:w="2765" w:type="dxa"/>
            <w:vMerge w:val="restart"/>
            <w:shd w:val="clear" w:color="auto" w:fill="D9D9D9"/>
          </w:tcPr>
          <w:p w14:paraId="4737FB85" w14:textId="77777777" w:rsidR="008572F7" w:rsidRPr="00C56257" w:rsidRDefault="008572F7" w:rsidP="00C902DF">
            <w:pPr>
              <w:pStyle w:val="TableParagraph"/>
              <w:spacing w:before="2"/>
              <w:jc w:val="both"/>
              <w:rPr>
                <w:b/>
                <w:color w:val="000000" w:themeColor="text1"/>
                <w:sz w:val="24"/>
                <w:szCs w:val="24"/>
              </w:rPr>
            </w:pPr>
          </w:p>
          <w:p w14:paraId="49B8EA58" w14:textId="77777777" w:rsidR="008572F7" w:rsidRPr="00C56257" w:rsidRDefault="008572F7" w:rsidP="00C902DF">
            <w:pPr>
              <w:pStyle w:val="TableParagraph"/>
              <w:ind w:left="605"/>
              <w:jc w:val="both"/>
              <w:rPr>
                <w:b/>
                <w:color w:val="000000" w:themeColor="text1"/>
                <w:sz w:val="24"/>
                <w:szCs w:val="24"/>
              </w:rPr>
            </w:pPr>
            <w:r w:rsidRPr="00C56257">
              <w:rPr>
                <w:b/>
                <w:color w:val="000000" w:themeColor="text1"/>
                <w:sz w:val="24"/>
                <w:szCs w:val="24"/>
              </w:rPr>
              <w:t>Metoda</w:t>
            </w:r>
            <w:r w:rsidRPr="00C56257">
              <w:rPr>
                <w:b/>
                <w:color w:val="000000" w:themeColor="text1"/>
                <w:spacing w:val="-3"/>
                <w:sz w:val="24"/>
                <w:szCs w:val="24"/>
              </w:rPr>
              <w:t xml:space="preserve"> </w:t>
            </w:r>
            <w:r w:rsidRPr="00C56257">
              <w:rPr>
                <w:b/>
                <w:color w:val="000000" w:themeColor="text1"/>
                <w:sz w:val="24"/>
                <w:szCs w:val="24"/>
              </w:rPr>
              <w:t>utilizată</w:t>
            </w:r>
          </w:p>
        </w:tc>
        <w:tc>
          <w:tcPr>
            <w:tcW w:w="2437" w:type="dxa"/>
            <w:vMerge w:val="restart"/>
            <w:shd w:val="clear" w:color="auto" w:fill="D9D9D9"/>
          </w:tcPr>
          <w:p w14:paraId="56030CC8" w14:textId="77777777" w:rsidR="008572F7" w:rsidRPr="00C56257" w:rsidRDefault="008572F7" w:rsidP="00C902DF">
            <w:pPr>
              <w:pStyle w:val="TableParagraph"/>
              <w:spacing w:before="2"/>
              <w:jc w:val="both"/>
              <w:rPr>
                <w:b/>
                <w:color w:val="000000" w:themeColor="text1"/>
                <w:sz w:val="24"/>
                <w:szCs w:val="24"/>
              </w:rPr>
            </w:pPr>
          </w:p>
          <w:p w14:paraId="4E0E3430" w14:textId="77777777" w:rsidR="008572F7" w:rsidRPr="00C56257" w:rsidRDefault="008572F7" w:rsidP="00C902DF">
            <w:pPr>
              <w:pStyle w:val="TableParagraph"/>
              <w:ind w:left="979" w:right="972"/>
              <w:jc w:val="both"/>
              <w:rPr>
                <w:b/>
                <w:color w:val="000000" w:themeColor="text1"/>
                <w:sz w:val="24"/>
                <w:szCs w:val="24"/>
              </w:rPr>
            </w:pPr>
            <w:r w:rsidRPr="00C56257">
              <w:rPr>
                <w:b/>
                <w:color w:val="000000" w:themeColor="text1"/>
                <w:sz w:val="24"/>
                <w:szCs w:val="24"/>
              </w:rPr>
              <w:t>Obs.</w:t>
            </w:r>
          </w:p>
        </w:tc>
      </w:tr>
      <w:tr w:rsidR="008572F7" w:rsidRPr="00C56257" w14:paraId="5C3CC0EF" w14:textId="77777777" w:rsidTr="00C902DF">
        <w:trPr>
          <w:trHeight w:val="492"/>
        </w:trPr>
        <w:tc>
          <w:tcPr>
            <w:tcW w:w="2902" w:type="dxa"/>
            <w:vMerge/>
            <w:tcBorders>
              <w:top w:val="nil"/>
            </w:tcBorders>
            <w:shd w:val="clear" w:color="auto" w:fill="D9D9D9"/>
          </w:tcPr>
          <w:p w14:paraId="7FF34147" w14:textId="77777777" w:rsidR="008572F7" w:rsidRPr="00C56257" w:rsidRDefault="008572F7" w:rsidP="00C902DF">
            <w:pPr>
              <w:jc w:val="both"/>
              <w:rPr>
                <w:color w:val="000000" w:themeColor="text1"/>
              </w:rPr>
            </w:pPr>
          </w:p>
        </w:tc>
        <w:tc>
          <w:tcPr>
            <w:tcW w:w="521" w:type="dxa"/>
            <w:shd w:val="clear" w:color="auto" w:fill="D9D9D9"/>
          </w:tcPr>
          <w:p w14:paraId="321C2B7E" w14:textId="77777777" w:rsidR="008572F7" w:rsidRPr="00C56257" w:rsidRDefault="008572F7" w:rsidP="00C902DF">
            <w:pPr>
              <w:pStyle w:val="TableParagraph"/>
              <w:spacing w:line="247" w:lineRule="exact"/>
              <w:ind w:left="28"/>
              <w:jc w:val="both"/>
              <w:rPr>
                <w:color w:val="000000" w:themeColor="text1"/>
                <w:sz w:val="24"/>
                <w:szCs w:val="24"/>
              </w:rPr>
            </w:pPr>
            <w:r w:rsidRPr="00C56257">
              <w:rPr>
                <w:color w:val="000000" w:themeColor="text1"/>
                <w:sz w:val="24"/>
                <w:szCs w:val="24"/>
              </w:rPr>
              <w:t>I</w:t>
            </w:r>
          </w:p>
        </w:tc>
        <w:tc>
          <w:tcPr>
            <w:tcW w:w="541" w:type="dxa"/>
            <w:shd w:val="clear" w:color="auto" w:fill="D9D9D9"/>
          </w:tcPr>
          <w:p w14:paraId="7DBD4D6C" w14:textId="77777777" w:rsidR="008572F7" w:rsidRPr="00C56257" w:rsidRDefault="008572F7" w:rsidP="00C902DF">
            <w:pPr>
              <w:pStyle w:val="TableParagraph"/>
              <w:spacing w:line="247" w:lineRule="exact"/>
              <w:ind w:left="25"/>
              <w:jc w:val="both"/>
              <w:rPr>
                <w:color w:val="000000" w:themeColor="text1"/>
                <w:sz w:val="24"/>
                <w:szCs w:val="24"/>
              </w:rPr>
            </w:pPr>
            <w:r w:rsidRPr="00C56257">
              <w:rPr>
                <w:color w:val="000000" w:themeColor="text1"/>
                <w:sz w:val="24"/>
                <w:szCs w:val="24"/>
              </w:rPr>
              <w:t>II</w:t>
            </w:r>
          </w:p>
        </w:tc>
        <w:tc>
          <w:tcPr>
            <w:tcW w:w="557" w:type="dxa"/>
            <w:shd w:val="clear" w:color="auto" w:fill="D9D9D9"/>
          </w:tcPr>
          <w:p w14:paraId="62502177" w14:textId="77777777" w:rsidR="008572F7" w:rsidRPr="00C56257" w:rsidRDefault="008572F7" w:rsidP="00C902DF">
            <w:pPr>
              <w:pStyle w:val="TableParagraph"/>
              <w:spacing w:line="247" w:lineRule="exact"/>
              <w:ind w:left="27"/>
              <w:jc w:val="both"/>
              <w:rPr>
                <w:color w:val="000000" w:themeColor="text1"/>
                <w:sz w:val="24"/>
                <w:szCs w:val="24"/>
              </w:rPr>
            </w:pPr>
            <w:r w:rsidRPr="00C56257">
              <w:rPr>
                <w:color w:val="000000" w:themeColor="text1"/>
                <w:sz w:val="24"/>
                <w:szCs w:val="24"/>
              </w:rPr>
              <w:t>III</w:t>
            </w:r>
          </w:p>
        </w:tc>
        <w:tc>
          <w:tcPr>
            <w:tcW w:w="557" w:type="dxa"/>
            <w:shd w:val="clear" w:color="auto" w:fill="D9D9D9"/>
          </w:tcPr>
          <w:p w14:paraId="3720CE8A" w14:textId="77777777" w:rsidR="008572F7" w:rsidRPr="00C56257" w:rsidRDefault="008572F7" w:rsidP="00C902DF">
            <w:pPr>
              <w:pStyle w:val="TableParagraph"/>
              <w:spacing w:line="247" w:lineRule="exact"/>
              <w:ind w:left="25"/>
              <w:jc w:val="both"/>
              <w:rPr>
                <w:color w:val="000000" w:themeColor="text1"/>
                <w:sz w:val="24"/>
                <w:szCs w:val="24"/>
              </w:rPr>
            </w:pPr>
            <w:r w:rsidRPr="00C56257">
              <w:rPr>
                <w:color w:val="000000" w:themeColor="text1"/>
                <w:sz w:val="24"/>
                <w:szCs w:val="24"/>
              </w:rPr>
              <w:t>IV</w:t>
            </w:r>
          </w:p>
        </w:tc>
        <w:tc>
          <w:tcPr>
            <w:tcW w:w="557" w:type="dxa"/>
            <w:shd w:val="clear" w:color="auto" w:fill="D9D9D9"/>
          </w:tcPr>
          <w:p w14:paraId="00A044BA" w14:textId="77777777" w:rsidR="008572F7" w:rsidRPr="00C56257" w:rsidRDefault="008572F7" w:rsidP="00C902DF">
            <w:pPr>
              <w:pStyle w:val="TableParagraph"/>
              <w:spacing w:line="247" w:lineRule="exact"/>
              <w:ind w:left="25"/>
              <w:jc w:val="both"/>
              <w:rPr>
                <w:color w:val="000000" w:themeColor="text1"/>
                <w:sz w:val="24"/>
                <w:szCs w:val="24"/>
              </w:rPr>
            </w:pPr>
            <w:r w:rsidRPr="00C56257">
              <w:rPr>
                <w:color w:val="000000" w:themeColor="text1"/>
                <w:sz w:val="24"/>
                <w:szCs w:val="24"/>
              </w:rPr>
              <w:t>V</w:t>
            </w:r>
          </w:p>
        </w:tc>
        <w:tc>
          <w:tcPr>
            <w:tcW w:w="557" w:type="dxa"/>
            <w:shd w:val="clear" w:color="auto" w:fill="D9D9D9"/>
          </w:tcPr>
          <w:p w14:paraId="1F7936B7" w14:textId="77777777" w:rsidR="008572F7" w:rsidRPr="00C56257" w:rsidRDefault="008572F7" w:rsidP="00C902DF">
            <w:pPr>
              <w:pStyle w:val="TableParagraph"/>
              <w:spacing w:line="247" w:lineRule="exact"/>
              <w:ind w:left="24"/>
              <w:jc w:val="both"/>
              <w:rPr>
                <w:color w:val="000000" w:themeColor="text1"/>
                <w:sz w:val="24"/>
                <w:szCs w:val="24"/>
              </w:rPr>
            </w:pPr>
            <w:r w:rsidRPr="00C56257">
              <w:rPr>
                <w:color w:val="000000" w:themeColor="text1"/>
                <w:sz w:val="24"/>
                <w:szCs w:val="24"/>
              </w:rPr>
              <w:t>VI</w:t>
            </w:r>
          </w:p>
        </w:tc>
        <w:tc>
          <w:tcPr>
            <w:tcW w:w="502" w:type="dxa"/>
            <w:shd w:val="clear" w:color="auto" w:fill="D9D9D9"/>
          </w:tcPr>
          <w:p w14:paraId="0834C53B" w14:textId="77777777" w:rsidR="008572F7" w:rsidRPr="00C56257" w:rsidRDefault="008572F7" w:rsidP="00C902DF">
            <w:pPr>
              <w:pStyle w:val="TableParagraph"/>
              <w:spacing w:line="247" w:lineRule="exact"/>
              <w:ind w:left="24"/>
              <w:jc w:val="both"/>
              <w:rPr>
                <w:color w:val="000000" w:themeColor="text1"/>
                <w:sz w:val="24"/>
                <w:szCs w:val="24"/>
              </w:rPr>
            </w:pPr>
            <w:r w:rsidRPr="00C56257">
              <w:rPr>
                <w:color w:val="000000" w:themeColor="text1"/>
                <w:sz w:val="24"/>
                <w:szCs w:val="24"/>
              </w:rPr>
              <w:t>VII</w:t>
            </w:r>
          </w:p>
        </w:tc>
        <w:tc>
          <w:tcPr>
            <w:tcW w:w="557" w:type="dxa"/>
            <w:shd w:val="clear" w:color="auto" w:fill="D9D9D9"/>
          </w:tcPr>
          <w:p w14:paraId="6B7F10A1" w14:textId="77777777" w:rsidR="008572F7" w:rsidRPr="00C56257" w:rsidRDefault="008572F7" w:rsidP="00C902DF">
            <w:pPr>
              <w:pStyle w:val="TableParagraph"/>
              <w:spacing w:line="247" w:lineRule="exact"/>
              <w:ind w:left="27"/>
              <w:jc w:val="both"/>
              <w:rPr>
                <w:color w:val="000000" w:themeColor="text1"/>
                <w:sz w:val="24"/>
                <w:szCs w:val="24"/>
              </w:rPr>
            </w:pPr>
            <w:r w:rsidRPr="00C56257">
              <w:rPr>
                <w:color w:val="000000" w:themeColor="text1"/>
                <w:sz w:val="24"/>
                <w:szCs w:val="24"/>
              </w:rPr>
              <w:t>VIII</w:t>
            </w:r>
          </w:p>
        </w:tc>
        <w:tc>
          <w:tcPr>
            <w:tcW w:w="557" w:type="dxa"/>
            <w:shd w:val="clear" w:color="auto" w:fill="D9D9D9"/>
          </w:tcPr>
          <w:p w14:paraId="04ADEEC9" w14:textId="77777777" w:rsidR="008572F7" w:rsidRPr="00C56257" w:rsidRDefault="008572F7" w:rsidP="00C902DF">
            <w:pPr>
              <w:pStyle w:val="TableParagraph"/>
              <w:spacing w:line="247" w:lineRule="exact"/>
              <w:ind w:left="26"/>
              <w:jc w:val="both"/>
              <w:rPr>
                <w:color w:val="000000" w:themeColor="text1"/>
                <w:sz w:val="24"/>
                <w:szCs w:val="24"/>
              </w:rPr>
            </w:pPr>
            <w:r w:rsidRPr="00C56257">
              <w:rPr>
                <w:color w:val="000000" w:themeColor="text1"/>
                <w:sz w:val="24"/>
                <w:szCs w:val="24"/>
              </w:rPr>
              <w:t>IX</w:t>
            </w:r>
          </w:p>
        </w:tc>
        <w:tc>
          <w:tcPr>
            <w:tcW w:w="559" w:type="dxa"/>
            <w:shd w:val="clear" w:color="auto" w:fill="D9D9D9"/>
          </w:tcPr>
          <w:p w14:paraId="1FAE3B4F" w14:textId="77777777" w:rsidR="008572F7" w:rsidRPr="00C56257" w:rsidRDefault="008572F7" w:rsidP="00C902DF">
            <w:pPr>
              <w:pStyle w:val="TableParagraph"/>
              <w:spacing w:line="247" w:lineRule="exact"/>
              <w:ind w:left="26"/>
              <w:jc w:val="both"/>
              <w:rPr>
                <w:color w:val="000000" w:themeColor="text1"/>
                <w:sz w:val="24"/>
                <w:szCs w:val="24"/>
              </w:rPr>
            </w:pPr>
            <w:r w:rsidRPr="00C56257">
              <w:rPr>
                <w:color w:val="000000" w:themeColor="text1"/>
                <w:sz w:val="24"/>
                <w:szCs w:val="24"/>
              </w:rPr>
              <w:t>X</w:t>
            </w:r>
          </w:p>
        </w:tc>
        <w:tc>
          <w:tcPr>
            <w:tcW w:w="557" w:type="dxa"/>
            <w:shd w:val="clear" w:color="auto" w:fill="D9D9D9"/>
          </w:tcPr>
          <w:p w14:paraId="7A261891" w14:textId="77777777" w:rsidR="008572F7" w:rsidRPr="00C56257" w:rsidRDefault="008572F7" w:rsidP="00C902DF">
            <w:pPr>
              <w:pStyle w:val="TableParagraph"/>
              <w:spacing w:line="247" w:lineRule="exact"/>
              <w:ind w:left="24"/>
              <w:jc w:val="both"/>
              <w:rPr>
                <w:color w:val="000000" w:themeColor="text1"/>
                <w:sz w:val="24"/>
                <w:szCs w:val="24"/>
              </w:rPr>
            </w:pPr>
            <w:r w:rsidRPr="00C56257">
              <w:rPr>
                <w:color w:val="000000" w:themeColor="text1"/>
                <w:sz w:val="24"/>
                <w:szCs w:val="24"/>
              </w:rPr>
              <w:t>XI</w:t>
            </w:r>
          </w:p>
        </w:tc>
        <w:tc>
          <w:tcPr>
            <w:tcW w:w="759" w:type="dxa"/>
            <w:shd w:val="clear" w:color="auto" w:fill="D9D9D9"/>
          </w:tcPr>
          <w:p w14:paraId="22896ED6" w14:textId="77777777" w:rsidR="008572F7" w:rsidRPr="00C56257" w:rsidRDefault="008572F7" w:rsidP="00C902DF">
            <w:pPr>
              <w:pStyle w:val="TableParagraph"/>
              <w:spacing w:line="247" w:lineRule="exact"/>
              <w:ind w:left="24"/>
              <w:jc w:val="both"/>
              <w:rPr>
                <w:color w:val="000000" w:themeColor="text1"/>
                <w:sz w:val="24"/>
                <w:szCs w:val="24"/>
              </w:rPr>
            </w:pPr>
            <w:r w:rsidRPr="00C56257">
              <w:rPr>
                <w:color w:val="000000" w:themeColor="text1"/>
                <w:sz w:val="24"/>
                <w:szCs w:val="24"/>
              </w:rPr>
              <w:t>XII</w:t>
            </w:r>
          </w:p>
        </w:tc>
        <w:tc>
          <w:tcPr>
            <w:tcW w:w="2765" w:type="dxa"/>
            <w:vMerge/>
            <w:tcBorders>
              <w:top w:val="nil"/>
            </w:tcBorders>
            <w:shd w:val="clear" w:color="auto" w:fill="D9D9D9"/>
          </w:tcPr>
          <w:p w14:paraId="0D6DBA79" w14:textId="77777777" w:rsidR="008572F7" w:rsidRPr="00C56257" w:rsidRDefault="008572F7" w:rsidP="00C902DF">
            <w:pPr>
              <w:jc w:val="both"/>
              <w:rPr>
                <w:color w:val="000000" w:themeColor="text1"/>
              </w:rPr>
            </w:pPr>
          </w:p>
        </w:tc>
        <w:tc>
          <w:tcPr>
            <w:tcW w:w="2437" w:type="dxa"/>
            <w:vMerge/>
            <w:tcBorders>
              <w:top w:val="nil"/>
            </w:tcBorders>
            <w:shd w:val="clear" w:color="auto" w:fill="D9D9D9"/>
          </w:tcPr>
          <w:p w14:paraId="4597664F" w14:textId="77777777" w:rsidR="008572F7" w:rsidRPr="00C56257" w:rsidRDefault="008572F7" w:rsidP="00C902DF">
            <w:pPr>
              <w:jc w:val="both"/>
              <w:rPr>
                <w:color w:val="000000" w:themeColor="text1"/>
              </w:rPr>
            </w:pPr>
          </w:p>
        </w:tc>
      </w:tr>
      <w:tr w:rsidR="008572F7" w:rsidRPr="00C56257" w14:paraId="4C3E65EC" w14:textId="77777777" w:rsidTr="00C902DF">
        <w:trPr>
          <w:trHeight w:val="1893"/>
        </w:trPr>
        <w:tc>
          <w:tcPr>
            <w:tcW w:w="2902" w:type="dxa"/>
          </w:tcPr>
          <w:p w14:paraId="21C281AB" w14:textId="77777777" w:rsidR="008572F7" w:rsidRPr="00C56257" w:rsidRDefault="008572F7" w:rsidP="00C902DF">
            <w:pPr>
              <w:pStyle w:val="TableParagraph"/>
              <w:spacing w:line="276" w:lineRule="auto"/>
              <w:ind w:left="28" w:right="15"/>
              <w:jc w:val="both"/>
              <w:rPr>
                <w:color w:val="000000" w:themeColor="text1"/>
                <w:sz w:val="24"/>
                <w:szCs w:val="24"/>
              </w:rPr>
            </w:pPr>
            <w:r w:rsidRPr="00C56257">
              <w:rPr>
                <w:color w:val="000000" w:themeColor="text1"/>
                <w:sz w:val="24"/>
                <w:szCs w:val="24"/>
              </w:rPr>
              <w:t>1310</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1"/>
                <w:sz w:val="24"/>
                <w:szCs w:val="24"/>
              </w:rPr>
              <w:t xml:space="preserve"> </w:t>
            </w:r>
            <w:r w:rsidRPr="00C56257">
              <w:rPr>
                <w:color w:val="000000" w:themeColor="text1"/>
                <w:sz w:val="24"/>
                <w:szCs w:val="24"/>
              </w:rPr>
              <w:t>Comunităţi</w:t>
            </w:r>
            <w:r w:rsidRPr="00C56257">
              <w:rPr>
                <w:color w:val="000000" w:themeColor="text1"/>
                <w:spacing w:val="56"/>
                <w:sz w:val="24"/>
                <w:szCs w:val="24"/>
              </w:rPr>
              <w:t xml:space="preserve"> </w:t>
            </w:r>
            <w:r w:rsidRPr="00C56257">
              <w:rPr>
                <w:color w:val="000000" w:themeColor="text1"/>
                <w:sz w:val="24"/>
                <w:szCs w:val="24"/>
              </w:rPr>
              <w:t>cu</w:t>
            </w:r>
            <w:r w:rsidRPr="00C56257">
              <w:rPr>
                <w:color w:val="000000" w:themeColor="text1"/>
                <w:spacing w:val="1"/>
                <w:sz w:val="24"/>
                <w:szCs w:val="24"/>
              </w:rPr>
              <w:t xml:space="preserve"> </w:t>
            </w:r>
            <w:r w:rsidRPr="00C56257">
              <w:rPr>
                <w:i/>
                <w:color w:val="000000" w:themeColor="text1"/>
                <w:sz w:val="24"/>
                <w:szCs w:val="24"/>
              </w:rPr>
              <w:t>Salicornia</w:t>
            </w:r>
            <w:r w:rsidRPr="00C56257">
              <w:rPr>
                <w:i/>
                <w:color w:val="000000" w:themeColor="text1"/>
                <w:spacing w:val="1"/>
                <w:sz w:val="24"/>
                <w:szCs w:val="24"/>
              </w:rPr>
              <w:t xml:space="preserve"> </w:t>
            </w:r>
            <w:r w:rsidRPr="00C56257">
              <w:rPr>
                <w:color w:val="000000" w:themeColor="text1"/>
                <w:sz w:val="24"/>
                <w:szCs w:val="24"/>
              </w:rPr>
              <w:t>spp.</w:t>
            </w:r>
            <w:r w:rsidRPr="00C56257">
              <w:rPr>
                <w:color w:val="000000" w:themeColor="text1"/>
                <w:spacing w:val="1"/>
                <w:sz w:val="24"/>
                <w:szCs w:val="24"/>
              </w:rPr>
              <w:t xml:space="preserve"> </w:t>
            </w:r>
            <w:r w:rsidRPr="00C56257">
              <w:rPr>
                <w:color w:val="000000" w:themeColor="text1"/>
                <w:sz w:val="24"/>
                <w:szCs w:val="24"/>
              </w:rPr>
              <w:t>şi</w:t>
            </w:r>
            <w:r w:rsidRPr="00C56257">
              <w:rPr>
                <w:color w:val="000000" w:themeColor="text1"/>
                <w:spacing w:val="1"/>
                <w:sz w:val="24"/>
                <w:szCs w:val="24"/>
              </w:rPr>
              <w:t xml:space="preserve"> </w:t>
            </w:r>
            <w:r w:rsidRPr="00C56257">
              <w:rPr>
                <w:color w:val="000000" w:themeColor="text1"/>
                <w:sz w:val="24"/>
                <w:szCs w:val="24"/>
              </w:rPr>
              <w:t>alte</w:t>
            </w:r>
            <w:r w:rsidRPr="00C56257">
              <w:rPr>
                <w:color w:val="000000" w:themeColor="text1"/>
                <w:spacing w:val="1"/>
                <w:sz w:val="24"/>
                <w:szCs w:val="24"/>
              </w:rPr>
              <w:t xml:space="preserve"> </w:t>
            </w:r>
            <w:r w:rsidRPr="00C56257">
              <w:rPr>
                <w:color w:val="000000" w:themeColor="text1"/>
                <w:sz w:val="24"/>
                <w:szCs w:val="24"/>
              </w:rPr>
              <w:t>specii</w:t>
            </w:r>
            <w:r w:rsidRPr="00C56257">
              <w:rPr>
                <w:color w:val="000000" w:themeColor="text1"/>
                <w:spacing w:val="1"/>
                <w:sz w:val="24"/>
                <w:szCs w:val="24"/>
              </w:rPr>
              <w:t xml:space="preserve"> </w:t>
            </w:r>
            <w:r w:rsidRPr="00C56257">
              <w:rPr>
                <w:color w:val="000000" w:themeColor="text1"/>
                <w:sz w:val="24"/>
                <w:szCs w:val="24"/>
              </w:rPr>
              <w:t>anuale</w:t>
            </w:r>
            <w:r w:rsidRPr="00C56257">
              <w:rPr>
                <w:color w:val="000000" w:themeColor="text1"/>
                <w:spacing w:val="1"/>
                <w:sz w:val="24"/>
                <w:szCs w:val="24"/>
              </w:rPr>
              <w:t xml:space="preserve"> </w:t>
            </w:r>
            <w:r w:rsidRPr="00C56257">
              <w:rPr>
                <w:color w:val="000000" w:themeColor="text1"/>
                <w:sz w:val="24"/>
                <w:szCs w:val="24"/>
              </w:rPr>
              <w:t>care</w:t>
            </w:r>
            <w:r w:rsidRPr="00C56257">
              <w:rPr>
                <w:color w:val="000000" w:themeColor="text1"/>
                <w:spacing w:val="1"/>
                <w:sz w:val="24"/>
                <w:szCs w:val="24"/>
              </w:rPr>
              <w:t xml:space="preserve"> </w:t>
            </w:r>
            <w:r w:rsidRPr="00C56257">
              <w:rPr>
                <w:color w:val="000000" w:themeColor="text1"/>
                <w:sz w:val="24"/>
                <w:szCs w:val="24"/>
              </w:rPr>
              <w:t>colonizează</w:t>
            </w:r>
            <w:r w:rsidRPr="00C56257">
              <w:rPr>
                <w:color w:val="000000" w:themeColor="text1"/>
                <w:spacing w:val="1"/>
                <w:sz w:val="24"/>
                <w:szCs w:val="24"/>
              </w:rPr>
              <w:t xml:space="preserve"> </w:t>
            </w:r>
            <w:r w:rsidRPr="00C56257">
              <w:rPr>
                <w:color w:val="000000" w:themeColor="text1"/>
                <w:sz w:val="24"/>
                <w:szCs w:val="24"/>
              </w:rPr>
              <w:t>terenurile</w:t>
            </w:r>
            <w:r w:rsidRPr="00C56257">
              <w:rPr>
                <w:color w:val="000000" w:themeColor="text1"/>
                <w:spacing w:val="-1"/>
                <w:sz w:val="24"/>
                <w:szCs w:val="24"/>
              </w:rPr>
              <w:t xml:space="preserve"> </w:t>
            </w:r>
            <w:r w:rsidRPr="00C56257">
              <w:rPr>
                <w:color w:val="000000" w:themeColor="text1"/>
                <w:sz w:val="24"/>
                <w:szCs w:val="24"/>
              </w:rPr>
              <w:t>umede şi</w:t>
            </w:r>
            <w:r w:rsidRPr="00C56257">
              <w:rPr>
                <w:color w:val="000000" w:themeColor="text1"/>
                <w:spacing w:val="-3"/>
                <w:sz w:val="24"/>
                <w:szCs w:val="24"/>
              </w:rPr>
              <w:t xml:space="preserve"> </w:t>
            </w:r>
            <w:r w:rsidRPr="00C56257">
              <w:rPr>
                <w:color w:val="000000" w:themeColor="text1"/>
                <w:sz w:val="24"/>
                <w:szCs w:val="24"/>
              </w:rPr>
              <w:t>nisipoase</w:t>
            </w:r>
          </w:p>
        </w:tc>
        <w:tc>
          <w:tcPr>
            <w:tcW w:w="521" w:type="dxa"/>
          </w:tcPr>
          <w:p w14:paraId="3DF545BA" w14:textId="77777777" w:rsidR="008572F7" w:rsidRPr="00C56257" w:rsidRDefault="008572F7" w:rsidP="00C902DF">
            <w:pPr>
              <w:pStyle w:val="TableParagraph"/>
              <w:jc w:val="both"/>
              <w:rPr>
                <w:color w:val="000000" w:themeColor="text1"/>
                <w:sz w:val="24"/>
                <w:szCs w:val="24"/>
              </w:rPr>
            </w:pPr>
          </w:p>
        </w:tc>
        <w:tc>
          <w:tcPr>
            <w:tcW w:w="541" w:type="dxa"/>
          </w:tcPr>
          <w:p w14:paraId="0580CACA" w14:textId="77777777" w:rsidR="008572F7" w:rsidRPr="00C56257" w:rsidRDefault="008572F7" w:rsidP="00C902DF">
            <w:pPr>
              <w:pStyle w:val="TableParagraph"/>
              <w:jc w:val="both"/>
              <w:rPr>
                <w:color w:val="000000" w:themeColor="text1"/>
                <w:sz w:val="24"/>
                <w:szCs w:val="24"/>
              </w:rPr>
            </w:pPr>
          </w:p>
        </w:tc>
        <w:tc>
          <w:tcPr>
            <w:tcW w:w="557" w:type="dxa"/>
            <w:shd w:val="clear" w:color="auto" w:fill="BEBEBE"/>
          </w:tcPr>
          <w:p w14:paraId="38F04F2C" w14:textId="77777777" w:rsidR="008572F7" w:rsidRPr="00C56257" w:rsidRDefault="008572F7" w:rsidP="00C902DF">
            <w:pPr>
              <w:pStyle w:val="TableParagraph"/>
              <w:jc w:val="both"/>
              <w:rPr>
                <w:color w:val="000000" w:themeColor="text1"/>
                <w:sz w:val="24"/>
                <w:szCs w:val="24"/>
              </w:rPr>
            </w:pPr>
          </w:p>
        </w:tc>
        <w:tc>
          <w:tcPr>
            <w:tcW w:w="557" w:type="dxa"/>
            <w:shd w:val="clear" w:color="auto" w:fill="BEBEBE"/>
          </w:tcPr>
          <w:p w14:paraId="761A0FC4" w14:textId="77777777" w:rsidR="008572F7" w:rsidRPr="00C56257" w:rsidRDefault="008572F7" w:rsidP="00C902DF">
            <w:pPr>
              <w:pStyle w:val="TableParagraph"/>
              <w:jc w:val="both"/>
              <w:rPr>
                <w:color w:val="000000" w:themeColor="text1"/>
                <w:sz w:val="24"/>
                <w:szCs w:val="24"/>
              </w:rPr>
            </w:pPr>
          </w:p>
        </w:tc>
        <w:tc>
          <w:tcPr>
            <w:tcW w:w="557" w:type="dxa"/>
            <w:shd w:val="clear" w:color="auto" w:fill="BEBEBE"/>
          </w:tcPr>
          <w:p w14:paraId="60DBC8AA" w14:textId="77777777" w:rsidR="008572F7" w:rsidRPr="00C56257" w:rsidRDefault="008572F7" w:rsidP="00C902DF">
            <w:pPr>
              <w:pStyle w:val="TableParagraph"/>
              <w:jc w:val="both"/>
              <w:rPr>
                <w:color w:val="000000" w:themeColor="text1"/>
                <w:sz w:val="24"/>
                <w:szCs w:val="24"/>
              </w:rPr>
            </w:pPr>
          </w:p>
        </w:tc>
        <w:tc>
          <w:tcPr>
            <w:tcW w:w="557" w:type="dxa"/>
            <w:shd w:val="clear" w:color="auto" w:fill="BEBEBE"/>
          </w:tcPr>
          <w:p w14:paraId="6AAE0257" w14:textId="77777777" w:rsidR="008572F7" w:rsidRPr="00C56257" w:rsidRDefault="008572F7" w:rsidP="00C902DF">
            <w:pPr>
              <w:pStyle w:val="TableParagraph"/>
              <w:jc w:val="both"/>
              <w:rPr>
                <w:color w:val="000000" w:themeColor="text1"/>
                <w:sz w:val="24"/>
                <w:szCs w:val="24"/>
              </w:rPr>
            </w:pPr>
          </w:p>
        </w:tc>
        <w:tc>
          <w:tcPr>
            <w:tcW w:w="502" w:type="dxa"/>
            <w:shd w:val="clear" w:color="auto" w:fill="BEBEBE"/>
          </w:tcPr>
          <w:p w14:paraId="309CA29E" w14:textId="77777777" w:rsidR="008572F7" w:rsidRPr="00C56257" w:rsidRDefault="008572F7" w:rsidP="00C902DF">
            <w:pPr>
              <w:pStyle w:val="TableParagraph"/>
              <w:jc w:val="both"/>
              <w:rPr>
                <w:color w:val="000000" w:themeColor="text1"/>
                <w:sz w:val="24"/>
                <w:szCs w:val="24"/>
              </w:rPr>
            </w:pPr>
          </w:p>
        </w:tc>
        <w:tc>
          <w:tcPr>
            <w:tcW w:w="557" w:type="dxa"/>
            <w:shd w:val="clear" w:color="auto" w:fill="BEBEBE"/>
          </w:tcPr>
          <w:p w14:paraId="0417472B" w14:textId="77777777" w:rsidR="008572F7" w:rsidRPr="00C56257" w:rsidRDefault="008572F7" w:rsidP="00C902DF">
            <w:pPr>
              <w:pStyle w:val="TableParagraph"/>
              <w:jc w:val="both"/>
              <w:rPr>
                <w:color w:val="000000" w:themeColor="text1"/>
                <w:sz w:val="24"/>
                <w:szCs w:val="24"/>
              </w:rPr>
            </w:pPr>
          </w:p>
        </w:tc>
        <w:tc>
          <w:tcPr>
            <w:tcW w:w="557" w:type="dxa"/>
            <w:shd w:val="clear" w:color="auto" w:fill="BEBEBE"/>
          </w:tcPr>
          <w:p w14:paraId="0C11DFD7" w14:textId="77777777" w:rsidR="008572F7" w:rsidRPr="00C56257" w:rsidRDefault="008572F7" w:rsidP="00C902DF">
            <w:pPr>
              <w:pStyle w:val="TableParagraph"/>
              <w:jc w:val="both"/>
              <w:rPr>
                <w:color w:val="000000" w:themeColor="text1"/>
                <w:sz w:val="24"/>
                <w:szCs w:val="24"/>
              </w:rPr>
            </w:pPr>
          </w:p>
        </w:tc>
        <w:tc>
          <w:tcPr>
            <w:tcW w:w="559" w:type="dxa"/>
            <w:shd w:val="clear" w:color="auto" w:fill="BEBEBE"/>
          </w:tcPr>
          <w:p w14:paraId="24C4FCD2" w14:textId="77777777" w:rsidR="008572F7" w:rsidRPr="00C56257" w:rsidRDefault="008572F7" w:rsidP="00C902DF">
            <w:pPr>
              <w:pStyle w:val="TableParagraph"/>
              <w:jc w:val="both"/>
              <w:rPr>
                <w:color w:val="000000" w:themeColor="text1"/>
                <w:sz w:val="24"/>
                <w:szCs w:val="24"/>
              </w:rPr>
            </w:pPr>
          </w:p>
        </w:tc>
        <w:tc>
          <w:tcPr>
            <w:tcW w:w="557" w:type="dxa"/>
            <w:shd w:val="clear" w:color="auto" w:fill="BEBEBE"/>
          </w:tcPr>
          <w:p w14:paraId="3423C33B" w14:textId="77777777" w:rsidR="008572F7" w:rsidRPr="00C56257" w:rsidRDefault="008572F7" w:rsidP="00C902DF">
            <w:pPr>
              <w:pStyle w:val="TableParagraph"/>
              <w:jc w:val="both"/>
              <w:rPr>
                <w:color w:val="000000" w:themeColor="text1"/>
                <w:sz w:val="24"/>
                <w:szCs w:val="24"/>
              </w:rPr>
            </w:pPr>
          </w:p>
        </w:tc>
        <w:tc>
          <w:tcPr>
            <w:tcW w:w="759" w:type="dxa"/>
          </w:tcPr>
          <w:p w14:paraId="5B057816" w14:textId="77777777" w:rsidR="008572F7" w:rsidRPr="00C56257" w:rsidRDefault="008572F7" w:rsidP="00C902DF">
            <w:pPr>
              <w:pStyle w:val="TableParagraph"/>
              <w:jc w:val="both"/>
              <w:rPr>
                <w:color w:val="000000" w:themeColor="text1"/>
                <w:sz w:val="24"/>
                <w:szCs w:val="24"/>
              </w:rPr>
            </w:pPr>
          </w:p>
        </w:tc>
        <w:tc>
          <w:tcPr>
            <w:tcW w:w="2765" w:type="dxa"/>
          </w:tcPr>
          <w:p w14:paraId="7BDCD308" w14:textId="77777777" w:rsidR="008572F7" w:rsidRPr="00C56257" w:rsidRDefault="008572F7" w:rsidP="00C902DF">
            <w:pPr>
              <w:pStyle w:val="TableParagraph"/>
              <w:spacing w:before="58"/>
              <w:ind w:left="24"/>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6198E173" w14:textId="77777777" w:rsidR="008572F7" w:rsidRPr="00C56257" w:rsidRDefault="008572F7" w:rsidP="00C902DF">
            <w:pPr>
              <w:pStyle w:val="TableParagraph"/>
              <w:spacing w:before="9"/>
              <w:jc w:val="both"/>
              <w:rPr>
                <w:b/>
                <w:color w:val="000000" w:themeColor="text1"/>
                <w:sz w:val="24"/>
                <w:szCs w:val="24"/>
              </w:rPr>
            </w:pPr>
          </w:p>
          <w:p w14:paraId="410DE93F" w14:textId="77777777" w:rsidR="008572F7" w:rsidRPr="00C56257" w:rsidRDefault="008572F7" w:rsidP="009E63E5">
            <w:pPr>
              <w:pStyle w:val="TableParagraph"/>
              <w:numPr>
                <w:ilvl w:val="0"/>
                <w:numId w:val="100"/>
              </w:numPr>
              <w:tabs>
                <w:tab w:val="left" w:pos="277"/>
              </w:tabs>
              <w:spacing w:line="276" w:lineRule="auto"/>
              <w:ind w:right="21" w:firstLine="0"/>
              <w:jc w:val="both"/>
              <w:rPr>
                <w:color w:val="000000" w:themeColor="text1"/>
                <w:sz w:val="24"/>
                <w:szCs w:val="24"/>
              </w:rPr>
            </w:pPr>
            <w:r w:rsidRPr="00C56257">
              <w:rPr>
                <w:color w:val="000000" w:themeColor="text1"/>
                <w:sz w:val="24"/>
                <w:szCs w:val="24"/>
              </w:rPr>
              <w:t>metoda</w:t>
            </w:r>
            <w:r w:rsidRPr="00C56257">
              <w:rPr>
                <w:color w:val="000000" w:themeColor="text1"/>
                <w:spacing w:val="10"/>
                <w:sz w:val="24"/>
                <w:szCs w:val="24"/>
              </w:rPr>
              <w:t xml:space="preserve"> </w:t>
            </w:r>
            <w:r w:rsidRPr="00C56257">
              <w:rPr>
                <w:color w:val="000000" w:themeColor="text1"/>
                <w:sz w:val="24"/>
                <w:szCs w:val="24"/>
              </w:rPr>
              <w:t>releveelor</w:t>
            </w:r>
            <w:r w:rsidRPr="00C56257">
              <w:rPr>
                <w:color w:val="000000" w:themeColor="text1"/>
                <w:spacing w:val="10"/>
                <w:sz w:val="24"/>
                <w:szCs w:val="24"/>
              </w:rPr>
              <w:t xml:space="preserve"> </w:t>
            </w:r>
            <w:r w:rsidRPr="00C56257">
              <w:rPr>
                <w:color w:val="000000" w:themeColor="text1"/>
                <w:sz w:val="24"/>
                <w:szCs w:val="24"/>
              </w:rPr>
              <w:t>sau</w:t>
            </w:r>
            <w:r w:rsidRPr="00C56257">
              <w:rPr>
                <w:color w:val="000000" w:themeColor="text1"/>
                <w:spacing w:val="7"/>
                <w:sz w:val="24"/>
                <w:szCs w:val="24"/>
              </w:rPr>
              <w:t xml:space="preserve"> </w:t>
            </w:r>
            <w:r w:rsidRPr="00C56257">
              <w:rPr>
                <w:color w:val="000000" w:themeColor="text1"/>
                <w:sz w:val="24"/>
                <w:szCs w:val="24"/>
              </w:rPr>
              <w:t>a</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4DB9E203" w14:textId="77777777" w:rsidR="008572F7" w:rsidRPr="00C56257" w:rsidRDefault="008572F7" w:rsidP="009E63E5">
            <w:pPr>
              <w:pStyle w:val="TableParagraph"/>
              <w:numPr>
                <w:ilvl w:val="0"/>
                <w:numId w:val="100"/>
              </w:numPr>
              <w:tabs>
                <w:tab w:val="left" w:pos="262"/>
              </w:tabs>
              <w:spacing w:before="201"/>
              <w:ind w:left="262" w:hanging="238"/>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437" w:type="dxa"/>
          </w:tcPr>
          <w:p w14:paraId="6F207BE8" w14:textId="77777777" w:rsidR="008572F7" w:rsidRPr="00C56257" w:rsidRDefault="008572F7" w:rsidP="00C902DF">
            <w:pPr>
              <w:pStyle w:val="TableParagraph"/>
              <w:spacing w:before="113" w:line="276" w:lineRule="auto"/>
              <w:ind w:left="26" w:right="163"/>
              <w:jc w:val="both"/>
              <w:rPr>
                <w:color w:val="000000" w:themeColor="text1"/>
                <w:sz w:val="24"/>
                <w:szCs w:val="24"/>
              </w:rPr>
            </w:pPr>
            <w:r w:rsidRPr="00C56257">
              <w:rPr>
                <w:color w:val="000000" w:themeColor="text1"/>
                <w:sz w:val="24"/>
                <w:szCs w:val="24"/>
              </w:rPr>
              <w:t>Min 7 relevee/ transecte</w:t>
            </w:r>
            <w:r w:rsidRPr="00C56257">
              <w:rPr>
                <w:color w:val="000000" w:themeColor="text1"/>
                <w:spacing w:val="1"/>
                <w:sz w:val="24"/>
                <w:szCs w:val="24"/>
              </w:rPr>
              <w:t xml:space="preserve"> </w:t>
            </w:r>
            <w:r w:rsidRPr="00C56257">
              <w:rPr>
                <w:color w:val="000000" w:themeColor="text1"/>
                <w:sz w:val="24"/>
                <w:szCs w:val="24"/>
              </w:rPr>
              <w:t>de monitorizare în cadrul</w:t>
            </w:r>
            <w:r w:rsidRPr="00C56257">
              <w:rPr>
                <w:color w:val="000000" w:themeColor="text1"/>
                <w:spacing w:val="-52"/>
                <w:sz w:val="24"/>
                <w:szCs w:val="24"/>
              </w:rPr>
              <w:t xml:space="preserve"> </w:t>
            </w:r>
            <w:r w:rsidRPr="00C56257">
              <w:rPr>
                <w:color w:val="000000" w:themeColor="text1"/>
                <w:sz w:val="24"/>
                <w:szCs w:val="24"/>
              </w:rPr>
              <w:t>ariilor naturale țintă şi în</w:t>
            </w:r>
            <w:r w:rsidRPr="00C56257">
              <w:rPr>
                <w:color w:val="000000" w:themeColor="text1"/>
                <w:spacing w:val="-52"/>
                <w:sz w:val="24"/>
                <w:szCs w:val="24"/>
              </w:rPr>
              <w:t xml:space="preserve"> </w:t>
            </w:r>
            <w:r w:rsidRPr="00C56257">
              <w:rPr>
                <w:color w:val="000000" w:themeColor="text1"/>
                <w:sz w:val="24"/>
                <w:szCs w:val="24"/>
              </w:rPr>
              <w:t>afara acestora, în situația</w:t>
            </w:r>
            <w:r w:rsidRPr="00C56257">
              <w:rPr>
                <w:color w:val="000000" w:themeColor="text1"/>
                <w:spacing w:val="-52"/>
                <w:sz w:val="24"/>
                <w:szCs w:val="24"/>
              </w:rPr>
              <w:t xml:space="preserve"> </w:t>
            </w:r>
            <w:r w:rsidRPr="00C56257">
              <w:rPr>
                <w:color w:val="000000" w:themeColor="text1"/>
                <w:sz w:val="24"/>
                <w:szCs w:val="24"/>
              </w:rPr>
              <w:t>prezenței habitatului.</w:t>
            </w:r>
          </w:p>
        </w:tc>
      </w:tr>
      <w:tr w:rsidR="008572F7" w:rsidRPr="00C56257" w14:paraId="32337A14" w14:textId="77777777" w:rsidTr="00C902DF">
        <w:trPr>
          <w:trHeight w:val="1764"/>
        </w:trPr>
        <w:tc>
          <w:tcPr>
            <w:tcW w:w="2902" w:type="dxa"/>
          </w:tcPr>
          <w:p w14:paraId="10D8E548" w14:textId="77777777" w:rsidR="008572F7" w:rsidRPr="00C56257" w:rsidRDefault="008572F7" w:rsidP="00C902DF">
            <w:pPr>
              <w:pStyle w:val="TableParagraph"/>
              <w:spacing w:before="95" w:line="276" w:lineRule="auto"/>
              <w:ind w:left="28" w:right="210"/>
              <w:jc w:val="both"/>
              <w:rPr>
                <w:color w:val="000000" w:themeColor="text1"/>
                <w:sz w:val="24"/>
                <w:szCs w:val="24"/>
              </w:rPr>
            </w:pPr>
            <w:r w:rsidRPr="00C56257">
              <w:rPr>
                <w:color w:val="000000" w:themeColor="text1"/>
                <w:sz w:val="24"/>
                <w:szCs w:val="24"/>
              </w:rPr>
              <w:t>1410 - Pajişti sărăturate de tip</w:t>
            </w:r>
            <w:r w:rsidRPr="00C56257">
              <w:rPr>
                <w:color w:val="000000" w:themeColor="text1"/>
                <w:spacing w:val="-52"/>
                <w:sz w:val="24"/>
                <w:szCs w:val="24"/>
              </w:rPr>
              <w:t xml:space="preserve"> </w:t>
            </w:r>
            <w:r w:rsidRPr="00C56257">
              <w:rPr>
                <w:color w:val="000000" w:themeColor="text1"/>
                <w:sz w:val="24"/>
                <w:szCs w:val="24"/>
              </w:rPr>
              <w:t>mediteranean (</w:t>
            </w:r>
            <w:r w:rsidRPr="00C56257">
              <w:rPr>
                <w:i/>
                <w:color w:val="000000" w:themeColor="text1"/>
                <w:sz w:val="24"/>
                <w:szCs w:val="24"/>
              </w:rPr>
              <w:t>Juncetalia</w:t>
            </w:r>
            <w:r w:rsidRPr="00C56257">
              <w:rPr>
                <w:i/>
                <w:color w:val="000000" w:themeColor="text1"/>
                <w:spacing w:val="1"/>
                <w:sz w:val="24"/>
                <w:szCs w:val="24"/>
              </w:rPr>
              <w:t xml:space="preserve"> </w:t>
            </w:r>
            <w:r w:rsidRPr="00C56257">
              <w:rPr>
                <w:i/>
                <w:color w:val="000000" w:themeColor="text1"/>
                <w:sz w:val="24"/>
                <w:szCs w:val="24"/>
              </w:rPr>
              <w:t>maritimi</w:t>
            </w:r>
            <w:r w:rsidRPr="00C56257">
              <w:rPr>
                <w:color w:val="000000" w:themeColor="text1"/>
                <w:sz w:val="24"/>
                <w:szCs w:val="24"/>
              </w:rPr>
              <w:t>)</w:t>
            </w:r>
          </w:p>
        </w:tc>
        <w:tc>
          <w:tcPr>
            <w:tcW w:w="521" w:type="dxa"/>
          </w:tcPr>
          <w:p w14:paraId="6BE0A6C3" w14:textId="77777777" w:rsidR="008572F7" w:rsidRPr="00C56257" w:rsidRDefault="008572F7" w:rsidP="00C902DF">
            <w:pPr>
              <w:pStyle w:val="TableParagraph"/>
              <w:jc w:val="both"/>
              <w:rPr>
                <w:color w:val="000000" w:themeColor="text1"/>
                <w:sz w:val="24"/>
                <w:szCs w:val="24"/>
              </w:rPr>
            </w:pPr>
          </w:p>
        </w:tc>
        <w:tc>
          <w:tcPr>
            <w:tcW w:w="541" w:type="dxa"/>
          </w:tcPr>
          <w:p w14:paraId="246A7C1B" w14:textId="77777777" w:rsidR="008572F7" w:rsidRPr="00C56257" w:rsidRDefault="008572F7" w:rsidP="00C902DF">
            <w:pPr>
              <w:pStyle w:val="TableParagraph"/>
              <w:jc w:val="both"/>
              <w:rPr>
                <w:color w:val="000000" w:themeColor="text1"/>
                <w:sz w:val="24"/>
                <w:szCs w:val="24"/>
              </w:rPr>
            </w:pPr>
          </w:p>
        </w:tc>
        <w:tc>
          <w:tcPr>
            <w:tcW w:w="557" w:type="dxa"/>
            <w:shd w:val="clear" w:color="auto" w:fill="BEBEBE"/>
          </w:tcPr>
          <w:p w14:paraId="2427D5A0" w14:textId="77777777" w:rsidR="008572F7" w:rsidRPr="00C56257" w:rsidRDefault="008572F7" w:rsidP="00C902DF">
            <w:pPr>
              <w:pStyle w:val="TableParagraph"/>
              <w:jc w:val="both"/>
              <w:rPr>
                <w:color w:val="000000" w:themeColor="text1"/>
                <w:sz w:val="24"/>
                <w:szCs w:val="24"/>
              </w:rPr>
            </w:pPr>
          </w:p>
        </w:tc>
        <w:tc>
          <w:tcPr>
            <w:tcW w:w="557" w:type="dxa"/>
            <w:shd w:val="clear" w:color="auto" w:fill="BEBEBE"/>
          </w:tcPr>
          <w:p w14:paraId="273B2F59" w14:textId="77777777" w:rsidR="008572F7" w:rsidRPr="00C56257" w:rsidRDefault="008572F7" w:rsidP="00C902DF">
            <w:pPr>
              <w:pStyle w:val="TableParagraph"/>
              <w:jc w:val="both"/>
              <w:rPr>
                <w:color w:val="000000" w:themeColor="text1"/>
                <w:sz w:val="24"/>
                <w:szCs w:val="24"/>
              </w:rPr>
            </w:pPr>
          </w:p>
        </w:tc>
        <w:tc>
          <w:tcPr>
            <w:tcW w:w="557" w:type="dxa"/>
            <w:shd w:val="clear" w:color="auto" w:fill="BEBEBE"/>
          </w:tcPr>
          <w:p w14:paraId="2494231B" w14:textId="77777777" w:rsidR="008572F7" w:rsidRPr="00C56257" w:rsidRDefault="008572F7" w:rsidP="00C902DF">
            <w:pPr>
              <w:pStyle w:val="TableParagraph"/>
              <w:jc w:val="both"/>
              <w:rPr>
                <w:color w:val="000000" w:themeColor="text1"/>
                <w:sz w:val="24"/>
                <w:szCs w:val="24"/>
              </w:rPr>
            </w:pPr>
          </w:p>
        </w:tc>
        <w:tc>
          <w:tcPr>
            <w:tcW w:w="557" w:type="dxa"/>
            <w:shd w:val="clear" w:color="auto" w:fill="BEBEBE"/>
          </w:tcPr>
          <w:p w14:paraId="62137802" w14:textId="77777777" w:rsidR="008572F7" w:rsidRPr="00C56257" w:rsidRDefault="008572F7" w:rsidP="00C902DF">
            <w:pPr>
              <w:pStyle w:val="TableParagraph"/>
              <w:jc w:val="both"/>
              <w:rPr>
                <w:color w:val="000000" w:themeColor="text1"/>
                <w:sz w:val="24"/>
                <w:szCs w:val="24"/>
              </w:rPr>
            </w:pPr>
          </w:p>
        </w:tc>
        <w:tc>
          <w:tcPr>
            <w:tcW w:w="502" w:type="dxa"/>
            <w:shd w:val="clear" w:color="auto" w:fill="BEBEBE"/>
          </w:tcPr>
          <w:p w14:paraId="1FEFBD38" w14:textId="77777777" w:rsidR="008572F7" w:rsidRPr="00C56257" w:rsidRDefault="008572F7" w:rsidP="00C902DF">
            <w:pPr>
              <w:pStyle w:val="TableParagraph"/>
              <w:jc w:val="both"/>
              <w:rPr>
                <w:color w:val="000000" w:themeColor="text1"/>
                <w:sz w:val="24"/>
                <w:szCs w:val="24"/>
              </w:rPr>
            </w:pPr>
          </w:p>
        </w:tc>
        <w:tc>
          <w:tcPr>
            <w:tcW w:w="557" w:type="dxa"/>
            <w:shd w:val="clear" w:color="auto" w:fill="BEBEBE"/>
          </w:tcPr>
          <w:p w14:paraId="4B3AD4AD" w14:textId="77777777" w:rsidR="008572F7" w:rsidRPr="00C56257" w:rsidRDefault="008572F7" w:rsidP="00C902DF">
            <w:pPr>
              <w:pStyle w:val="TableParagraph"/>
              <w:jc w:val="both"/>
              <w:rPr>
                <w:color w:val="000000" w:themeColor="text1"/>
                <w:sz w:val="24"/>
                <w:szCs w:val="24"/>
              </w:rPr>
            </w:pPr>
          </w:p>
        </w:tc>
        <w:tc>
          <w:tcPr>
            <w:tcW w:w="557" w:type="dxa"/>
            <w:shd w:val="clear" w:color="auto" w:fill="BEBEBE"/>
          </w:tcPr>
          <w:p w14:paraId="2AFDC7B1" w14:textId="77777777" w:rsidR="008572F7" w:rsidRPr="00C56257" w:rsidRDefault="008572F7" w:rsidP="00C902DF">
            <w:pPr>
              <w:pStyle w:val="TableParagraph"/>
              <w:jc w:val="both"/>
              <w:rPr>
                <w:color w:val="000000" w:themeColor="text1"/>
                <w:sz w:val="24"/>
                <w:szCs w:val="24"/>
              </w:rPr>
            </w:pPr>
          </w:p>
        </w:tc>
        <w:tc>
          <w:tcPr>
            <w:tcW w:w="559" w:type="dxa"/>
            <w:shd w:val="clear" w:color="auto" w:fill="BEBEBE"/>
          </w:tcPr>
          <w:p w14:paraId="64E298C8" w14:textId="77777777" w:rsidR="008572F7" w:rsidRPr="00C56257" w:rsidRDefault="008572F7" w:rsidP="00C902DF">
            <w:pPr>
              <w:pStyle w:val="TableParagraph"/>
              <w:jc w:val="both"/>
              <w:rPr>
                <w:color w:val="000000" w:themeColor="text1"/>
                <w:sz w:val="24"/>
                <w:szCs w:val="24"/>
              </w:rPr>
            </w:pPr>
          </w:p>
        </w:tc>
        <w:tc>
          <w:tcPr>
            <w:tcW w:w="557" w:type="dxa"/>
          </w:tcPr>
          <w:p w14:paraId="640C156F" w14:textId="77777777" w:rsidR="008572F7" w:rsidRPr="00C56257" w:rsidRDefault="008572F7" w:rsidP="00C902DF">
            <w:pPr>
              <w:pStyle w:val="TableParagraph"/>
              <w:jc w:val="both"/>
              <w:rPr>
                <w:color w:val="000000" w:themeColor="text1"/>
                <w:sz w:val="24"/>
                <w:szCs w:val="24"/>
              </w:rPr>
            </w:pPr>
          </w:p>
        </w:tc>
        <w:tc>
          <w:tcPr>
            <w:tcW w:w="759" w:type="dxa"/>
          </w:tcPr>
          <w:p w14:paraId="3E9F28ED" w14:textId="77777777" w:rsidR="008572F7" w:rsidRPr="00C56257" w:rsidRDefault="008572F7" w:rsidP="00C902DF">
            <w:pPr>
              <w:pStyle w:val="TableParagraph"/>
              <w:jc w:val="both"/>
              <w:rPr>
                <w:color w:val="000000" w:themeColor="text1"/>
                <w:sz w:val="24"/>
                <w:szCs w:val="24"/>
              </w:rPr>
            </w:pPr>
          </w:p>
        </w:tc>
        <w:tc>
          <w:tcPr>
            <w:tcW w:w="2765" w:type="dxa"/>
          </w:tcPr>
          <w:p w14:paraId="7AF1F19F" w14:textId="77777777" w:rsidR="008572F7" w:rsidRPr="00C56257" w:rsidRDefault="008572F7" w:rsidP="00C902DF">
            <w:pPr>
              <w:pStyle w:val="TableParagraph"/>
              <w:spacing w:line="247" w:lineRule="exact"/>
              <w:ind w:left="24"/>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2ECF65B0" w14:textId="77777777" w:rsidR="008572F7" w:rsidRPr="00C56257" w:rsidRDefault="008572F7" w:rsidP="00C902DF">
            <w:pPr>
              <w:pStyle w:val="TableParagraph"/>
              <w:spacing w:before="9"/>
              <w:jc w:val="both"/>
              <w:rPr>
                <w:b/>
                <w:color w:val="000000" w:themeColor="text1"/>
                <w:sz w:val="24"/>
                <w:szCs w:val="24"/>
              </w:rPr>
            </w:pPr>
          </w:p>
          <w:p w14:paraId="657CCD67" w14:textId="77777777" w:rsidR="008572F7" w:rsidRPr="00C56257" w:rsidRDefault="008572F7" w:rsidP="009E63E5">
            <w:pPr>
              <w:pStyle w:val="TableParagraph"/>
              <w:numPr>
                <w:ilvl w:val="0"/>
                <w:numId w:val="99"/>
              </w:numPr>
              <w:tabs>
                <w:tab w:val="left" w:pos="277"/>
              </w:tabs>
              <w:spacing w:line="276" w:lineRule="auto"/>
              <w:ind w:right="21" w:firstLine="0"/>
              <w:jc w:val="both"/>
              <w:rPr>
                <w:color w:val="000000" w:themeColor="text1"/>
                <w:sz w:val="24"/>
                <w:szCs w:val="24"/>
              </w:rPr>
            </w:pPr>
            <w:r w:rsidRPr="00C56257">
              <w:rPr>
                <w:color w:val="000000" w:themeColor="text1"/>
                <w:sz w:val="24"/>
                <w:szCs w:val="24"/>
              </w:rPr>
              <w:t>metoda</w:t>
            </w:r>
            <w:r w:rsidRPr="00C56257">
              <w:rPr>
                <w:color w:val="000000" w:themeColor="text1"/>
                <w:spacing w:val="10"/>
                <w:sz w:val="24"/>
                <w:szCs w:val="24"/>
              </w:rPr>
              <w:t xml:space="preserve"> </w:t>
            </w:r>
            <w:r w:rsidRPr="00C56257">
              <w:rPr>
                <w:color w:val="000000" w:themeColor="text1"/>
                <w:sz w:val="24"/>
                <w:szCs w:val="24"/>
              </w:rPr>
              <w:t>releveelor</w:t>
            </w:r>
            <w:r w:rsidRPr="00C56257">
              <w:rPr>
                <w:color w:val="000000" w:themeColor="text1"/>
                <w:spacing w:val="10"/>
                <w:sz w:val="24"/>
                <w:szCs w:val="24"/>
              </w:rPr>
              <w:t xml:space="preserve"> </w:t>
            </w:r>
            <w:r w:rsidRPr="00C56257">
              <w:rPr>
                <w:color w:val="000000" w:themeColor="text1"/>
                <w:sz w:val="24"/>
                <w:szCs w:val="24"/>
              </w:rPr>
              <w:t>sau</w:t>
            </w:r>
            <w:r w:rsidRPr="00C56257">
              <w:rPr>
                <w:color w:val="000000" w:themeColor="text1"/>
                <w:spacing w:val="7"/>
                <w:sz w:val="24"/>
                <w:szCs w:val="24"/>
              </w:rPr>
              <w:t xml:space="preserve"> </w:t>
            </w:r>
            <w:r w:rsidRPr="00C56257">
              <w:rPr>
                <w:color w:val="000000" w:themeColor="text1"/>
                <w:sz w:val="24"/>
                <w:szCs w:val="24"/>
              </w:rPr>
              <w:t>a</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7FE0D8A8" w14:textId="77777777" w:rsidR="008572F7" w:rsidRPr="00C56257" w:rsidRDefault="008572F7" w:rsidP="009E63E5">
            <w:pPr>
              <w:pStyle w:val="TableParagraph"/>
              <w:numPr>
                <w:ilvl w:val="0"/>
                <w:numId w:val="99"/>
              </w:numPr>
              <w:tabs>
                <w:tab w:val="left" w:pos="262"/>
              </w:tabs>
              <w:spacing w:before="200"/>
              <w:ind w:left="262" w:hanging="238"/>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437" w:type="dxa"/>
          </w:tcPr>
          <w:p w14:paraId="6FE4A8FA" w14:textId="77777777" w:rsidR="008572F7" w:rsidRPr="00C56257" w:rsidRDefault="008572F7" w:rsidP="00C902DF">
            <w:pPr>
              <w:pStyle w:val="TableParagraph"/>
              <w:spacing w:before="49" w:line="276" w:lineRule="auto"/>
              <w:ind w:left="26" w:right="163"/>
              <w:jc w:val="both"/>
              <w:rPr>
                <w:color w:val="000000" w:themeColor="text1"/>
                <w:sz w:val="24"/>
                <w:szCs w:val="24"/>
              </w:rPr>
            </w:pPr>
            <w:r w:rsidRPr="00C56257">
              <w:rPr>
                <w:color w:val="000000" w:themeColor="text1"/>
                <w:sz w:val="24"/>
                <w:szCs w:val="24"/>
              </w:rPr>
              <w:t>Min 7 relevee/ transecte</w:t>
            </w:r>
            <w:r w:rsidRPr="00C56257">
              <w:rPr>
                <w:color w:val="000000" w:themeColor="text1"/>
                <w:spacing w:val="1"/>
                <w:sz w:val="24"/>
                <w:szCs w:val="24"/>
              </w:rPr>
              <w:t xml:space="preserve"> </w:t>
            </w:r>
            <w:r w:rsidRPr="00C56257">
              <w:rPr>
                <w:color w:val="000000" w:themeColor="text1"/>
                <w:sz w:val="24"/>
                <w:szCs w:val="24"/>
              </w:rPr>
              <w:t>de monitorizare în cadrul</w:t>
            </w:r>
            <w:r w:rsidRPr="00C56257">
              <w:rPr>
                <w:color w:val="000000" w:themeColor="text1"/>
                <w:spacing w:val="-52"/>
                <w:sz w:val="24"/>
                <w:szCs w:val="24"/>
              </w:rPr>
              <w:t xml:space="preserve"> </w:t>
            </w:r>
            <w:r w:rsidRPr="00C56257">
              <w:rPr>
                <w:color w:val="000000" w:themeColor="text1"/>
                <w:sz w:val="24"/>
                <w:szCs w:val="24"/>
              </w:rPr>
              <w:t>ariilor naturale țintă şi în</w:t>
            </w:r>
            <w:r w:rsidRPr="00C56257">
              <w:rPr>
                <w:color w:val="000000" w:themeColor="text1"/>
                <w:spacing w:val="-52"/>
                <w:sz w:val="24"/>
                <w:szCs w:val="24"/>
              </w:rPr>
              <w:t xml:space="preserve"> </w:t>
            </w:r>
            <w:r w:rsidRPr="00C56257">
              <w:rPr>
                <w:color w:val="000000" w:themeColor="text1"/>
                <w:sz w:val="24"/>
                <w:szCs w:val="24"/>
              </w:rPr>
              <w:t>afara acestora, în situația</w:t>
            </w:r>
            <w:r w:rsidRPr="00C56257">
              <w:rPr>
                <w:color w:val="000000" w:themeColor="text1"/>
                <w:spacing w:val="-52"/>
                <w:sz w:val="24"/>
                <w:szCs w:val="24"/>
              </w:rPr>
              <w:t xml:space="preserve"> </w:t>
            </w:r>
            <w:r w:rsidRPr="00C56257">
              <w:rPr>
                <w:color w:val="000000" w:themeColor="text1"/>
                <w:sz w:val="24"/>
                <w:szCs w:val="24"/>
              </w:rPr>
              <w:t>prezenței habitatului.</w:t>
            </w:r>
          </w:p>
        </w:tc>
      </w:tr>
      <w:tr w:rsidR="008572F7" w:rsidRPr="00C56257" w14:paraId="1B18DCA8" w14:textId="77777777" w:rsidTr="00C902DF">
        <w:trPr>
          <w:trHeight w:val="1766"/>
        </w:trPr>
        <w:tc>
          <w:tcPr>
            <w:tcW w:w="2902" w:type="dxa"/>
          </w:tcPr>
          <w:p w14:paraId="7BDF2375" w14:textId="77777777" w:rsidR="008572F7" w:rsidRPr="00C56257" w:rsidRDefault="008572F7" w:rsidP="00C902DF">
            <w:pPr>
              <w:pStyle w:val="TableParagraph"/>
              <w:spacing w:before="5"/>
              <w:jc w:val="both"/>
              <w:rPr>
                <w:b/>
                <w:color w:val="000000" w:themeColor="text1"/>
                <w:sz w:val="24"/>
                <w:szCs w:val="24"/>
              </w:rPr>
            </w:pPr>
          </w:p>
          <w:p w14:paraId="3A6049AC" w14:textId="77777777" w:rsidR="008572F7" w:rsidRPr="00C56257" w:rsidRDefault="008572F7" w:rsidP="00C902DF">
            <w:pPr>
              <w:pStyle w:val="TableParagraph"/>
              <w:spacing w:line="276" w:lineRule="auto"/>
              <w:ind w:left="28" w:right="13"/>
              <w:jc w:val="both"/>
              <w:rPr>
                <w:color w:val="000000" w:themeColor="text1"/>
                <w:sz w:val="24"/>
                <w:szCs w:val="24"/>
              </w:rPr>
            </w:pPr>
            <w:r w:rsidRPr="00C56257">
              <w:rPr>
                <w:color w:val="000000" w:themeColor="text1"/>
                <w:sz w:val="24"/>
                <w:szCs w:val="24"/>
              </w:rPr>
              <w:t>1530*</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1"/>
                <w:sz w:val="24"/>
                <w:szCs w:val="24"/>
              </w:rPr>
              <w:t xml:space="preserve"> </w:t>
            </w:r>
            <w:r w:rsidRPr="00C56257">
              <w:rPr>
                <w:color w:val="000000" w:themeColor="text1"/>
                <w:sz w:val="24"/>
                <w:szCs w:val="24"/>
              </w:rPr>
              <w:t>Pajişti</w:t>
            </w:r>
            <w:r w:rsidRPr="00C56257">
              <w:rPr>
                <w:color w:val="000000" w:themeColor="text1"/>
                <w:spacing w:val="1"/>
                <w:sz w:val="24"/>
                <w:szCs w:val="24"/>
              </w:rPr>
              <w:t xml:space="preserve"> </w:t>
            </w:r>
            <w:r w:rsidRPr="00C56257">
              <w:rPr>
                <w:color w:val="000000" w:themeColor="text1"/>
                <w:sz w:val="24"/>
                <w:szCs w:val="24"/>
              </w:rPr>
              <w:t>şi</w:t>
            </w:r>
            <w:r w:rsidRPr="00C56257">
              <w:rPr>
                <w:color w:val="000000" w:themeColor="text1"/>
                <w:spacing w:val="1"/>
                <w:sz w:val="24"/>
                <w:szCs w:val="24"/>
              </w:rPr>
              <w:t xml:space="preserve"> </w:t>
            </w:r>
            <w:r w:rsidRPr="00C56257">
              <w:rPr>
                <w:color w:val="000000" w:themeColor="text1"/>
                <w:sz w:val="24"/>
                <w:szCs w:val="24"/>
              </w:rPr>
              <w:t>mlaştini</w:t>
            </w:r>
            <w:r w:rsidRPr="00C56257">
              <w:rPr>
                <w:color w:val="000000" w:themeColor="text1"/>
                <w:spacing w:val="1"/>
                <w:sz w:val="24"/>
                <w:szCs w:val="24"/>
              </w:rPr>
              <w:t xml:space="preserve"> </w:t>
            </w:r>
            <w:r w:rsidRPr="00C56257">
              <w:rPr>
                <w:color w:val="000000" w:themeColor="text1"/>
                <w:sz w:val="24"/>
                <w:szCs w:val="24"/>
              </w:rPr>
              <w:t>halofile</w:t>
            </w:r>
            <w:r w:rsidRPr="00C56257">
              <w:rPr>
                <w:color w:val="000000" w:themeColor="text1"/>
                <w:spacing w:val="1"/>
                <w:sz w:val="24"/>
                <w:szCs w:val="24"/>
              </w:rPr>
              <w:t xml:space="preserve"> </w:t>
            </w:r>
            <w:r w:rsidRPr="00C56257">
              <w:rPr>
                <w:color w:val="000000" w:themeColor="text1"/>
                <w:sz w:val="24"/>
                <w:szCs w:val="24"/>
              </w:rPr>
              <w:t>panoniceşi</w:t>
            </w:r>
            <w:r w:rsidRPr="00C56257">
              <w:rPr>
                <w:color w:val="000000" w:themeColor="text1"/>
                <w:spacing w:val="1"/>
                <w:sz w:val="24"/>
                <w:szCs w:val="24"/>
              </w:rPr>
              <w:t xml:space="preserve"> </w:t>
            </w:r>
            <w:r w:rsidRPr="00C56257">
              <w:rPr>
                <w:color w:val="000000" w:themeColor="text1"/>
                <w:sz w:val="24"/>
                <w:szCs w:val="24"/>
              </w:rPr>
              <w:t>ponto-</w:t>
            </w:r>
            <w:r w:rsidRPr="00C56257">
              <w:rPr>
                <w:color w:val="000000" w:themeColor="text1"/>
                <w:spacing w:val="1"/>
                <w:sz w:val="24"/>
                <w:szCs w:val="24"/>
              </w:rPr>
              <w:t xml:space="preserve"> </w:t>
            </w:r>
            <w:r w:rsidRPr="00C56257">
              <w:rPr>
                <w:color w:val="000000" w:themeColor="text1"/>
                <w:sz w:val="24"/>
                <w:szCs w:val="24"/>
              </w:rPr>
              <w:t>sarmatice</w:t>
            </w:r>
          </w:p>
        </w:tc>
        <w:tc>
          <w:tcPr>
            <w:tcW w:w="521" w:type="dxa"/>
          </w:tcPr>
          <w:p w14:paraId="1AF7233A" w14:textId="77777777" w:rsidR="008572F7" w:rsidRPr="00C56257" w:rsidRDefault="008572F7" w:rsidP="00C902DF">
            <w:pPr>
              <w:pStyle w:val="TableParagraph"/>
              <w:jc w:val="both"/>
              <w:rPr>
                <w:color w:val="000000" w:themeColor="text1"/>
                <w:sz w:val="24"/>
                <w:szCs w:val="24"/>
              </w:rPr>
            </w:pPr>
          </w:p>
        </w:tc>
        <w:tc>
          <w:tcPr>
            <w:tcW w:w="541" w:type="dxa"/>
          </w:tcPr>
          <w:p w14:paraId="160F3673" w14:textId="77777777" w:rsidR="008572F7" w:rsidRPr="00C56257" w:rsidRDefault="008572F7" w:rsidP="00C902DF">
            <w:pPr>
              <w:pStyle w:val="TableParagraph"/>
              <w:jc w:val="both"/>
              <w:rPr>
                <w:color w:val="000000" w:themeColor="text1"/>
                <w:sz w:val="24"/>
                <w:szCs w:val="24"/>
              </w:rPr>
            </w:pPr>
          </w:p>
        </w:tc>
        <w:tc>
          <w:tcPr>
            <w:tcW w:w="557" w:type="dxa"/>
            <w:shd w:val="clear" w:color="auto" w:fill="BEBEBE"/>
          </w:tcPr>
          <w:p w14:paraId="60A88D1A" w14:textId="77777777" w:rsidR="008572F7" w:rsidRPr="00C56257" w:rsidRDefault="008572F7" w:rsidP="00C902DF">
            <w:pPr>
              <w:pStyle w:val="TableParagraph"/>
              <w:jc w:val="both"/>
              <w:rPr>
                <w:color w:val="000000" w:themeColor="text1"/>
                <w:sz w:val="24"/>
                <w:szCs w:val="24"/>
              </w:rPr>
            </w:pPr>
          </w:p>
        </w:tc>
        <w:tc>
          <w:tcPr>
            <w:tcW w:w="557" w:type="dxa"/>
            <w:shd w:val="clear" w:color="auto" w:fill="BEBEBE"/>
          </w:tcPr>
          <w:p w14:paraId="3D3A088B" w14:textId="77777777" w:rsidR="008572F7" w:rsidRPr="00C56257" w:rsidRDefault="008572F7" w:rsidP="00C902DF">
            <w:pPr>
              <w:pStyle w:val="TableParagraph"/>
              <w:jc w:val="both"/>
              <w:rPr>
                <w:color w:val="000000" w:themeColor="text1"/>
                <w:sz w:val="24"/>
                <w:szCs w:val="24"/>
              </w:rPr>
            </w:pPr>
          </w:p>
        </w:tc>
        <w:tc>
          <w:tcPr>
            <w:tcW w:w="557" w:type="dxa"/>
            <w:shd w:val="clear" w:color="auto" w:fill="BEBEBE"/>
          </w:tcPr>
          <w:p w14:paraId="76669E20" w14:textId="77777777" w:rsidR="008572F7" w:rsidRPr="00C56257" w:rsidRDefault="008572F7" w:rsidP="00C902DF">
            <w:pPr>
              <w:pStyle w:val="TableParagraph"/>
              <w:jc w:val="both"/>
              <w:rPr>
                <w:color w:val="000000" w:themeColor="text1"/>
                <w:sz w:val="24"/>
                <w:szCs w:val="24"/>
              </w:rPr>
            </w:pPr>
          </w:p>
        </w:tc>
        <w:tc>
          <w:tcPr>
            <w:tcW w:w="557" w:type="dxa"/>
            <w:shd w:val="clear" w:color="auto" w:fill="BEBEBE"/>
          </w:tcPr>
          <w:p w14:paraId="59CD2577" w14:textId="77777777" w:rsidR="008572F7" w:rsidRPr="00C56257" w:rsidRDefault="008572F7" w:rsidP="00C902DF">
            <w:pPr>
              <w:pStyle w:val="TableParagraph"/>
              <w:jc w:val="both"/>
              <w:rPr>
                <w:color w:val="000000" w:themeColor="text1"/>
                <w:sz w:val="24"/>
                <w:szCs w:val="24"/>
              </w:rPr>
            </w:pPr>
          </w:p>
        </w:tc>
        <w:tc>
          <w:tcPr>
            <w:tcW w:w="502" w:type="dxa"/>
            <w:shd w:val="clear" w:color="auto" w:fill="BEBEBE"/>
          </w:tcPr>
          <w:p w14:paraId="2E23192D" w14:textId="77777777" w:rsidR="008572F7" w:rsidRPr="00C56257" w:rsidRDefault="008572F7" w:rsidP="00C902DF">
            <w:pPr>
              <w:pStyle w:val="TableParagraph"/>
              <w:jc w:val="both"/>
              <w:rPr>
                <w:color w:val="000000" w:themeColor="text1"/>
                <w:sz w:val="24"/>
                <w:szCs w:val="24"/>
              </w:rPr>
            </w:pPr>
          </w:p>
        </w:tc>
        <w:tc>
          <w:tcPr>
            <w:tcW w:w="557" w:type="dxa"/>
            <w:shd w:val="clear" w:color="auto" w:fill="BEBEBE"/>
          </w:tcPr>
          <w:p w14:paraId="1389B01D" w14:textId="77777777" w:rsidR="008572F7" w:rsidRPr="00C56257" w:rsidRDefault="008572F7" w:rsidP="00C902DF">
            <w:pPr>
              <w:pStyle w:val="TableParagraph"/>
              <w:jc w:val="both"/>
              <w:rPr>
                <w:color w:val="000000" w:themeColor="text1"/>
                <w:sz w:val="24"/>
                <w:szCs w:val="24"/>
              </w:rPr>
            </w:pPr>
          </w:p>
        </w:tc>
        <w:tc>
          <w:tcPr>
            <w:tcW w:w="557" w:type="dxa"/>
            <w:shd w:val="clear" w:color="auto" w:fill="BEBEBE"/>
          </w:tcPr>
          <w:p w14:paraId="2435F711" w14:textId="77777777" w:rsidR="008572F7" w:rsidRPr="00C56257" w:rsidRDefault="008572F7" w:rsidP="00C902DF">
            <w:pPr>
              <w:pStyle w:val="TableParagraph"/>
              <w:jc w:val="both"/>
              <w:rPr>
                <w:color w:val="000000" w:themeColor="text1"/>
                <w:sz w:val="24"/>
                <w:szCs w:val="24"/>
              </w:rPr>
            </w:pPr>
          </w:p>
        </w:tc>
        <w:tc>
          <w:tcPr>
            <w:tcW w:w="559" w:type="dxa"/>
            <w:shd w:val="clear" w:color="auto" w:fill="BEBEBE"/>
          </w:tcPr>
          <w:p w14:paraId="4554194C" w14:textId="77777777" w:rsidR="008572F7" w:rsidRPr="00C56257" w:rsidRDefault="008572F7" w:rsidP="00C902DF">
            <w:pPr>
              <w:pStyle w:val="TableParagraph"/>
              <w:jc w:val="both"/>
              <w:rPr>
                <w:color w:val="000000" w:themeColor="text1"/>
                <w:sz w:val="24"/>
                <w:szCs w:val="24"/>
              </w:rPr>
            </w:pPr>
          </w:p>
        </w:tc>
        <w:tc>
          <w:tcPr>
            <w:tcW w:w="557" w:type="dxa"/>
          </w:tcPr>
          <w:p w14:paraId="465B5572" w14:textId="77777777" w:rsidR="008572F7" w:rsidRPr="00C56257" w:rsidRDefault="008572F7" w:rsidP="00C902DF">
            <w:pPr>
              <w:pStyle w:val="TableParagraph"/>
              <w:jc w:val="both"/>
              <w:rPr>
                <w:color w:val="000000" w:themeColor="text1"/>
                <w:sz w:val="24"/>
                <w:szCs w:val="24"/>
              </w:rPr>
            </w:pPr>
          </w:p>
        </w:tc>
        <w:tc>
          <w:tcPr>
            <w:tcW w:w="759" w:type="dxa"/>
          </w:tcPr>
          <w:p w14:paraId="38E9D247" w14:textId="77777777" w:rsidR="008572F7" w:rsidRPr="00C56257" w:rsidRDefault="008572F7" w:rsidP="00C902DF">
            <w:pPr>
              <w:pStyle w:val="TableParagraph"/>
              <w:jc w:val="both"/>
              <w:rPr>
                <w:color w:val="000000" w:themeColor="text1"/>
                <w:sz w:val="24"/>
                <w:szCs w:val="24"/>
              </w:rPr>
            </w:pPr>
          </w:p>
        </w:tc>
        <w:tc>
          <w:tcPr>
            <w:tcW w:w="2765" w:type="dxa"/>
          </w:tcPr>
          <w:p w14:paraId="7D34BBCA" w14:textId="77777777" w:rsidR="008572F7" w:rsidRPr="00C56257" w:rsidRDefault="008572F7" w:rsidP="00C902DF">
            <w:pPr>
              <w:pStyle w:val="TableParagraph"/>
              <w:spacing w:line="249" w:lineRule="exact"/>
              <w:ind w:left="24"/>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6B1537F4" w14:textId="77777777" w:rsidR="008572F7" w:rsidRPr="00C56257" w:rsidRDefault="008572F7" w:rsidP="00C902DF">
            <w:pPr>
              <w:pStyle w:val="TableParagraph"/>
              <w:spacing w:before="7"/>
              <w:jc w:val="both"/>
              <w:rPr>
                <w:b/>
                <w:color w:val="000000" w:themeColor="text1"/>
                <w:sz w:val="24"/>
                <w:szCs w:val="24"/>
              </w:rPr>
            </w:pPr>
          </w:p>
          <w:p w14:paraId="28108A59" w14:textId="77777777" w:rsidR="008572F7" w:rsidRPr="00C56257" w:rsidRDefault="008572F7" w:rsidP="009E63E5">
            <w:pPr>
              <w:pStyle w:val="TableParagraph"/>
              <w:numPr>
                <w:ilvl w:val="0"/>
                <w:numId w:val="98"/>
              </w:numPr>
              <w:tabs>
                <w:tab w:val="left" w:pos="277"/>
              </w:tabs>
              <w:spacing w:line="276" w:lineRule="auto"/>
              <w:ind w:right="21" w:firstLine="0"/>
              <w:jc w:val="both"/>
              <w:rPr>
                <w:color w:val="000000" w:themeColor="text1"/>
                <w:sz w:val="24"/>
                <w:szCs w:val="24"/>
              </w:rPr>
            </w:pPr>
            <w:r w:rsidRPr="00C56257">
              <w:rPr>
                <w:color w:val="000000" w:themeColor="text1"/>
                <w:sz w:val="24"/>
                <w:szCs w:val="24"/>
              </w:rPr>
              <w:t>metoda</w:t>
            </w:r>
            <w:r w:rsidRPr="00C56257">
              <w:rPr>
                <w:color w:val="000000" w:themeColor="text1"/>
                <w:spacing w:val="10"/>
                <w:sz w:val="24"/>
                <w:szCs w:val="24"/>
              </w:rPr>
              <w:t xml:space="preserve"> </w:t>
            </w:r>
            <w:r w:rsidRPr="00C56257">
              <w:rPr>
                <w:color w:val="000000" w:themeColor="text1"/>
                <w:sz w:val="24"/>
                <w:szCs w:val="24"/>
              </w:rPr>
              <w:t>releveelor</w:t>
            </w:r>
            <w:r w:rsidRPr="00C56257">
              <w:rPr>
                <w:color w:val="000000" w:themeColor="text1"/>
                <w:spacing w:val="10"/>
                <w:sz w:val="24"/>
                <w:szCs w:val="24"/>
              </w:rPr>
              <w:t xml:space="preserve"> </w:t>
            </w:r>
            <w:r w:rsidRPr="00C56257">
              <w:rPr>
                <w:color w:val="000000" w:themeColor="text1"/>
                <w:sz w:val="24"/>
                <w:szCs w:val="24"/>
              </w:rPr>
              <w:t>sau</w:t>
            </w:r>
            <w:r w:rsidRPr="00C56257">
              <w:rPr>
                <w:color w:val="000000" w:themeColor="text1"/>
                <w:spacing w:val="7"/>
                <w:sz w:val="24"/>
                <w:szCs w:val="24"/>
              </w:rPr>
              <w:t xml:space="preserve"> </w:t>
            </w:r>
            <w:r w:rsidRPr="00C56257">
              <w:rPr>
                <w:color w:val="000000" w:themeColor="text1"/>
                <w:sz w:val="24"/>
                <w:szCs w:val="24"/>
              </w:rPr>
              <w:t>a</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1D9831CE" w14:textId="77777777" w:rsidR="008572F7" w:rsidRPr="00C56257" w:rsidRDefault="008572F7" w:rsidP="009E63E5">
            <w:pPr>
              <w:pStyle w:val="TableParagraph"/>
              <w:numPr>
                <w:ilvl w:val="0"/>
                <w:numId w:val="98"/>
              </w:numPr>
              <w:tabs>
                <w:tab w:val="left" w:pos="262"/>
              </w:tabs>
              <w:spacing w:before="200"/>
              <w:ind w:left="262" w:hanging="238"/>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437" w:type="dxa"/>
          </w:tcPr>
          <w:p w14:paraId="72BB6B86" w14:textId="77777777" w:rsidR="008572F7" w:rsidRPr="00C56257" w:rsidRDefault="008572F7" w:rsidP="00C902DF">
            <w:pPr>
              <w:pStyle w:val="TableParagraph"/>
              <w:spacing w:before="49" w:line="276" w:lineRule="auto"/>
              <w:ind w:left="26" w:right="163"/>
              <w:jc w:val="both"/>
              <w:rPr>
                <w:color w:val="000000" w:themeColor="text1"/>
                <w:sz w:val="24"/>
                <w:szCs w:val="24"/>
              </w:rPr>
            </w:pPr>
            <w:r w:rsidRPr="00C56257">
              <w:rPr>
                <w:color w:val="000000" w:themeColor="text1"/>
                <w:sz w:val="24"/>
                <w:szCs w:val="24"/>
              </w:rPr>
              <w:t>Min 7 relevee/ transecte</w:t>
            </w:r>
            <w:r w:rsidRPr="00C56257">
              <w:rPr>
                <w:color w:val="000000" w:themeColor="text1"/>
                <w:spacing w:val="1"/>
                <w:sz w:val="24"/>
                <w:szCs w:val="24"/>
              </w:rPr>
              <w:t xml:space="preserve"> </w:t>
            </w:r>
            <w:r w:rsidRPr="00C56257">
              <w:rPr>
                <w:color w:val="000000" w:themeColor="text1"/>
                <w:sz w:val="24"/>
                <w:szCs w:val="24"/>
              </w:rPr>
              <w:t>de monitorizare în cadrul</w:t>
            </w:r>
            <w:r w:rsidRPr="00C56257">
              <w:rPr>
                <w:color w:val="000000" w:themeColor="text1"/>
                <w:spacing w:val="-52"/>
                <w:sz w:val="24"/>
                <w:szCs w:val="24"/>
              </w:rPr>
              <w:t xml:space="preserve"> </w:t>
            </w:r>
            <w:r w:rsidRPr="00C56257">
              <w:rPr>
                <w:color w:val="000000" w:themeColor="text1"/>
                <w:sz w:val="24"/>
                <w:szCs w:val="24"/>
              </w:rPr>
              <w:t>ariilor naturale țintă şi în</w:t>
            </w:r>
            <w:r w:rsidRPr="00C56257">
              <w:rPr>
                <w:color w:val="000000" w:themeColor="text1"/>
                <w:spacing w:val="-52"/>
                <w:sz w:val="24"/>
                <w:szCs w:val="24"/>
              </w:rPr>
              <w:t xml:space="preserve"> </w:t>
            </w:r>
            <w:r w:rsidRPr="00C56257">
              <w:rPr>
                <w:color w:val="000000" w:themeColor="text1"/>
                <w:sz w:val="24"/>
                <w:szCs w:val="24"/>
              </w:rPr>
              <w:t>afara acestora, în situația</w:t>
            </w:r>
            <w:r w:rsidRPr="00C56257">
              <w:rPr>
                <w:color w:val="000000" w:themeColor="text1"/>
                <w:spacing w:val="-52"/>
                <w:sz w:val="24"/>
                <w:szCs w:val="24"/>
              </w:rPr>
              <w:t xml:space="preserve"> </w:t>
            </w:r>
            <w:r w:rsidRPr="00C56257">
              <w:rPr>
                <w:color w:val="000000" w:themeColor="text1"/>
                <w:sz w:val="24"/>
                <w:szCs w:val="24"/>
              </w:rPr>
              <w:t>prezenței habitatului.</w:t>
            </w:r>
          </w:p>
        </w:tc>
      </w:tr>
    </w:tbl>
    <w:p w14:paraId="23D5DEF1" w14:textId="77777777" w:rsidR="0008707F" w:rsidRDefault="0008707F" w:rsidP="008E33FD">
      <w:pPr>
        <w:pStyle w:val="BodyText"/>
        <w:spacing w:before="72"/>
        <w:ind w:left="300" w:right="957"/>
        <w:jc w:val="both"/>
        <w:rPr>
          <w:b/>
          <w:color w:val="000000" w:themeColor="text1"/>
          <w:sz w:val="24"/>
          <w:szCs w:val="24"/>
        </w:rPr>
        <w:sectPr w:rsidR="0008707F" w:rsidSect="00E1608A">
          <w:pgSz w:w="16840" w:h="11910" w:orient="landscape"/>
          <w:pgMar w:top="1060" w:right="1340" w:bottom="711" w:left="1680" w:header="0" w:footer="1412" w:gutter="0"/>
          <w:cols w:space="708"/>
          <w:docGrid w:linePitch="326"/>
        </w:sectPr>
      </w:pPr>
    </w:p>
    <w:p w14:paraId="5ED68915" w14:textId="77777777" w:rsidR="008572F7" w:rsidRDefault="008572F7" w:rsidP="008E33FD">
      <w:pPr>
        <w:pStyle w:val="BodyText"/>
        <w:spacing w:before="72"/>
        <w:ind w:left="300" w:right="957"/>
        <w:jc w:val="both"/>
        <w:rPr>
          <w:b/>
          <w:color w:val="000000" w:themeColor="text1"/>
          <w:sz w:val="24"/>
          <w:szCs w:val="24"/>
        </w:rPr>
      </w:pPr>
    </w:p>
    <w:p w14:paraId="6755DA0C" w14:textId="77777777" w:rsidR="00CE1C3B" w:rsidRDefault="00CE1C3B" w:rsidP="00CE1C3B">
      <w:pPr>
        <w:spacing w:after="160" w:line="259" w:lineRule="auto"/>
        <w:jc w:val="both"/>
        <w:rPr>
          <w:b/>
          <w:color w:val="000000" w:themeColor="text1"/>
        </w:rPr>
      </w:pPr>
      <w:r w:rsidRPr="00F100E1">
        <w:rPr>
          <w:b/>
          <w:color w:val="000000" w:themeColor="text1"/>
        </w:rPr>
        <w:t>2.2 Metodologi</w:t>
      </w:r>
      <w:r w:rsidR="00464988">
        <w:rPr>
          <w:b/>
          <w:color w:val="000000" w:themeColor="text1"/>
        </w:rPr>
        <w:t>a</w:t>
      </w:r>
      <w:r w:rsidRPr="00F100E1">
        <w:rPr>
          <w:b/>
          <w:color w:val="000000" w:themeColor="text1"/>
        </w:rPr>
        <w:t xml:space="preserve"> de monitorizare a stării de conservare a habitatelor de sărături de interes comunitar</w:t>
      </w:r>
    </w:p>
    <w:p w14:paraId="639ADC05" w14:textId="77777777" w:rsidR="00E929F2" w:rsidRPr="00E929F2" w:rsidRDefault="00E929F2" w:rsidP="00B72D84">
      <w:pPr>
        <w:widowControl w:val="0"/>
        <w:autoSpaceDE w:val="0"/>
        <w:autoSpaceDN w:val="0"/>
        <w:spacing w:before="160" w:line="276" w:lineRule="auto"/>
        <w:jc w:val="both"/>
      </w:pPr>
      <w:bookmarkStart w:id="25" w:name="_Hlk140144077"/>
      <w:r w:rsidRPr="00E929F2">
        <w:t>Metodologia</w:t>
      </w:r>
      <w:r w:rsidRPr="00E929F2">
        <w:rPr>
          <w:spacing w:val="28"/>
        </w:rPr>
        <w:t xml:space="preserve"> </w:t>
      </w:r>
      <w:r w:rsidRPr="00E929F2">
        <w:t>și</w:t>
      </w:r>
      <w:r w:rsidRPr="00E929F2">
        <w:rPr>
          <w:spacing w:val="30"/>
        </w:rPr>
        <w:t xml:space="preserve"> </w:t>
      </w:r>
      <w:r w:rsidRPr="00E929F2">
        <w:t>planul</w:t>
      </w:r>
      <w:r w:rsidRPr="00E929F2">
        <w:rPr>
          <w:spacing w:val="29"/>
        </w:rPr>
        <w:t xml:space="preserve"> </w:t>
      </w:r>
      <w:r w:rsidRPr="00E929F2">
        <w:t>de</w:t>
      </w:r>
      <w:r w:rsidRPr="00E929F2">
        <w:rPr>
          <w:spacing w:val="29"/>
        </w:rPr>
        <w:t xml:space="preserve"> </w:t>
      </w:r>
      <w:r w:rsidRPr="00E929F2">
        <w:t>monitorizare</w:t>
      </w:r>
      <w:r w:rsidRPr="00E929F2">
        <w:rPr>
          <w:spacing w:val="28"/>
        </w:rPr>
        <w:t xml:space="preserve"> </w:t>
      </w:r>
      <w:r w:rsidRPr="00E929F2">
        <w:t>pentru</w:t>
      </w:r>
      <w:r w:rsidRPr="00E929F2">
        <w:rPr>
          <w:spacing w:val="29"/>
        </w:rPr>
        <w:t xml:space="preserve"> </w:t>
      </w:r>
      <w:r w:rsidRPr="00E929F2">
        <w:t>colectarea</w:t>
      </w:r>
      <w:r w:rsidRPr="00E929F2">
        <w:rPr>
          <w:spacing w:val="28"/>
        </w:rPr>
        <w:t xml:space="preserve"> </w:t>
      </w:r>
      <w:r w:rsidRPr="00E929F2">
        <w:t>datelor</w:t>
      </w:r>
      <w:r w:rsidRPr="00E929F2">
        <w:rPr>
          <w:spacing w:val="29"/>
        </w:rPr>
        <w:t xml:space="preserve"> </w:t>
      </w:r>
      <w:r w:rsidRPr="00E929F2">
        <w:t>din</w:t>
      </w:r>
      <w:r w:rsidRPr="00E929F2">
        <w:rPr>
          <w:spacing w:val="30"/>
        </w:rPr>
        <w:t xml:space="preserve"> </w:t>
      </w:r>
      <w:r w:rsidRPr="00E929F2">
        <w:t xml:space="preserve">teren </w:t>
      </w:r>
      <w:r w:rsidR="00B72D84">
        <w:t>si pentru evaluarea stă</w:t>
      </w:r>
      <w:r w:rsidR="00266609">
        <w:t>ri</w:t>
      </w:r>
      <w:r w:rsidR="00B72D84">
        <w:t>i</w:t>
      </w:r>
      <w:r w:rsidR="00266609">
        <w:t xml:space="preserve"> de conservare </w:t>
      </w:r>
      <w:r w:rsidR="0017673F">
        <w:t xml:space="preserve">sunt </w:t>
      </w:r>
      <w:r w:rsidRPr="00E929F2">
        <w:t>descrise</w:t>
      </w:r>
      <w:r w:rsidR="0017673F">
        <w:t xml:space="preserve"> în preztul ghid</w:t>
      </w:r>
      <w:r w:rsidRPr="00E929F2">
        <w:t xml:space="preserve"> pentru  grupele de habitate: sărături, dune continentale, apă dulce, pajiști, mlaștini și turbării, grohotișuri și stâncării.</w:t>
      </w:r>
    </w:p>
    <w:bookmarkEnd w:id="25"/>
    <w:p w14:paraId="46F7879A" w14:textId="77777777" w:rsidR="00E929F2" w:rsidRPr="00E929F2" w:rsidRDefault="00E929F2" w:rsidP="00B72D84">
      <w:pPr>
        <w:widowControl w:val="0"/>
        <w:autoSpaceDE w:val="0"/>
        <w:autoSpaceDN w:val="0"/>
        <w:spacing w:before="160" w:line="276" w:lineRule="auto"/>
      </w:pPr>
      <w:r w:rsidRPr="00E929F2">
        <w:rPr>
          <w:noProof/>
          <w:lang w:val="en-US"/>
        </w:rPr>
        <mc:AlternateContent>
          <mc:Choice Requires="wpg">
            <w:drawing>
              <wp:anchor distT="0" distB="0" distL="114300" distR="114300" simplePos="0" relativeHeight="251664384" behindDoc="1" locked="0" layoutInCell="1" allowOverlap="1" wp14:anchorId="1338D8F8" wp14:editId="06E855DF">
                <wp:simplePos x="0" y="0"/>
                <wp:positionH relativeFrom="page">
                  <wp:posOffset>956310</wp:posOffset>
                </wp:positionH>
                <wp:positionV relativeFrom="paragraph">
                  <wp:posOffset>2492375</wp:posOffset>
                </wp:positionV>
                <wp:extent cx="5083810" cy="3780155"/>
                <wp:effectExtent l="3810" t="0" r="8255" b="5080"/>
                <wp:wrapNone/>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3810" cy="3780155"/>
                          <a:chOff x="1506" y="3925"/>
                          <a:chExt cx="8006" cy="5953"/>
                        </a:xfrm>
                      </wpg:grpSpPr>
                      <wps:wsp>
                        <wps:cNvPr id="224" name="AutoShape 138"/>
                        <wps:cNvSpPr>
                          <a:spLocks/>
                        </wps:cNvSpPr>
                        <wps:spPr bwMode="auto">
                          <a:xfrm>
                            <a:off x="2736" y="7974"/>
                            <a:ext cx="270" cy="613"/>
                          </a:xfrm>
                          <a:custGeom>
                            <a:avLst/>
                            <a:gdLst>
                              <a:gd name="T0" fmla="+- 0 2762 2736"/>
                              <a:gd name="T1" fmla="*/ T0 w 270"/>
                              <a:gd name="T2" fmla="+- 0 8318 7975"/>
                              <a:gd name="T3" fmla="*/ 8318 h 613"/>
                              <a:gd name="T4" fmla="+- 0 2751 2736"/>
                              <a:gd name="T5" fmla="*/ T4 w 270"/>
                              <a:gd name="T6" fmla="+- 0 8322 7975"/>
                              <a:gd name="T7" fmla="*/ 8322 h 613"/>
                              <a:gd name="T8" fmla="+- 0 2742 2736"/>
                              <a:gd name="T9" fmla="*/ T8 w 270"/>
                              <a:gd name="T10" fmla="+- 0 8330 7975"/>
                              <a:gd name="T11" fmla="*/ 8330 h 613"/>
                              <a:gd name="T12" fmla="+- 0 2737 2736"/>
                              <a:gd name="T13" fmla="*/ T12 w 270"/>
                              <a:gd name="T14" fmla="+- 0 8340 7975"/>
                              <a:gd name="T15" fmla="*/ 8340 h 613"/>
                              <a:gd name="T16" fmla="+- 0 2736 2736"/>
                              <a:gd name="T17" fmla="*/ T16 w 270"/>
                              <a:gd name="T18" fmla="+- 0 8352 7975"/>
                              <a:gd name="T19" fmla="*/ 8352 h 613"/>
                              <a:gd name="T20" fmla="+- 0 2740 2736"/>
                              <a:gd name="T21" fmla="*/ T20 w 270"/>
                              <a:gd name="T22" fmla="+- 0 8363 7975"/>
                              <a:gd name="T23" fmla="*/ 8363 h 613"/>
                              <a:gd name="T24" fmla="+- 0 2871 2736"/>
                              <a:gd name="T25" fmla="*/ T24 w 270"/>
                              <a:gd name="T26" fmla="+- 0 8587 7975"/>
                              <a:gd name="T27" fmla="*/ 8587 h 613"/>
                              <a:gd name="T28" fmla="+- 0 2906 2736"/>
                              <a:gd name="T29" fmla="*/ T28 w 270"/>
                              <a:gd name="T30" fmla="+- 0 8528 7975"/>
                              <a:gd name="T31" fmla="*/ 8528 h 613"/>
                              <a:gd name="T32" fmla="+- 0 2841 2736"/>
                              <a:gd name="T33" fmla="*/ T32 w 270"/>
                              <a:gd name="T34" fmla="+- 0 8528 7975"/>
                              <a:gd name="T35" fmla="*/ 8528 h 613"/>
                              <a:gd name="T36" fmla="+- 0 2841 2736"/>
                              <a:gd name="T37" fmla="*/ T36 w 270"/>
                              <a:gd name="T38" fmla="+- 0 8417 7975"/>
                              <a:gd name="T39" fmla="*/ 8417 h 613"/>
                              <a:gd name="T40" fmla="+- 0 2792 2736"/>
                              <a:gd name="T41" fmla="*/ T40 w 270"/>
                              <a:gd name="T42" fmla="+- 0 8333 7975"/>
                              <a:gd name="T43" fmla="*/ 8333 h 613"/>
                              <a:gd name="T44" fmla="+- 0 2784 2736"/>
                              <a:gd name="T45" fmla="*/ T44 w 270"/>
                              <a:gd name="T46" fmla="+- 0 8324 7975"/>
                              <a:gd name="T47" fmla="*/ 8324 h 613"/>
                              <a:gd name="T48" fmla="+- 0 2774 2736"/>
                              <a:gd name="T49" fmla="*/ T48 w 270"/>
                              <a:gd name="T50" fmla="+- 0 8319 7975"/>
                              <a:gd name="T51" fmla="*/ 8319 h 613"/>
                              <a:gd name="T52" fmla="+- 0 2762 2736"/>
                              <a:gd name="T53" fmla="*/ T52 w 270"/>
                              <a:gd name="T54" fmla="+- 0 8318 7975"/>
                              <a:gd name="T55" fmla="*/ 8318 h 613"/>
                              <a:gd name="T56" fmla="+- 0 2841 2736"/>
                              <a:gd name="T57" fmla="*/ T56 w 270"/>
                              <a:gd name="T58" fmla="+- 0 8417 7975"/>
                              <a:gd name="T59" fmla="*/ 8417 h 613"/>
                              <a:gd name="T60" fmla="+- 0 2841 2736"/>
                              <a:gd name="T61" fmla="*/ T60 w 270"/>
                              <a:gd name="T62" fmla="+- 0 8528 7975"/>
                              <a:gd name="T63" fmla="*/ 8528 h 613"/>
                              <a:gd name="T64" fmla="+- 0 2901 2736"/>
                              <a:gd name="T65" fmla="*/ T64 w 270"/>
                              <a:gd name="T66" fmla="+- 0 8528 7975"/>
                              <a:gd name="T67" fmla="*/ 8528 h 613"/>
                              <a:gd name="T68" fmla="+- 0 2901 2736"/>
                              <a:gd name="T69" fmla="*/ T68 w 270"/>
                              <a:gd name="T70" fmla="+- 0 8513 7975"/>
                              <a:gd name="T71" fmla="*/ 8513 h 613"/>
                              <a:gd name="T72" fmla="+- 0 2845 2736"/>
                              <a:gd name="T73" fmla="*/ T72 w 270"/>
                              <a:gd name="T74" fmla="+- 0 8513 7975"/>
                              <a:gd name="T75" fmla="*/ 8513 h 613"/>
                              <a:gd name="T76" fmla="+- 0 2871 2736"/>
                              <a:gd name="T77" fmla="*/ T76 w 270"/>
                              <a:gd name="T78" fmla="+- 0 8468 7975"/>
                              <a:gd name="T79" fmla="*/ 8468 h 613"/>
                              <a:gd name="T80" fmla="+- 0 2841 2736"/>
                              <a:gd name="T81" fmla="*/ T80 w 270"/>
                              <a:gd name="T82" fmla="+- 0 8417 7975"/>
                              <a:gd name="T83" fmla="*/ 8417 h 613"/>
                              <a:gd name="T84" fmla="+- 0 2980 2736"/>
                              <a:gd name="T85" fmla="*/ T84 w 270"/>
                              <a:gd name="T86" fmla="+- 0 8318 7975"/>
                              <a:gd name="T87" fmla="*/ 8318 h 613"/>
                              <a:gd name="T88" fmla="+- 0 2968 2736"/>
                              <a:gd name="T89" fmla="*/ T88 w 270"/>
                              <a:gd name="T90" fmla="+- 0 8319 7975"/>
                              <a:gd name="T91" fmla="*/ 8319 h 613"/>
                              <a:gd name="T92" fmla="+- 0 2958 2736"/>
                              <a:gd name="T93" fmla="*/ T92 w 270"/>
                              <a:gd name="T94" fmla="+- 0 8324 7975"/>
                              <a:gd name="T95" fmla="*/ 8324 h 613"/>
                              <a:gd name="T96" fmla="+- 0 2950 2736"/>
                              <a:gd name="T97" fmla="*/ T96 w 270"/>
                              <a:gd name="T98" fmla="+- 0 8333 7975"/>
                              <a:gd name="T99" fmla="*/ 8333 h 613"/>
                              <a:gd name="T100" fmla="+- 0 2901 2736"/>
                              <a:gd name="T101" fmla="*/ T100 w 270"/>
                              <a:gd name="T102" fmla="+- 0 8417 7975"/>
                              <a:gd name="T103" fmla="*/ 8417 h 613"/>
                              <a:gd name="T104" fmla="+- 0 2901 2736"/>
                              <a:gd name="T105" fmla="*/ T104 w 270"/>
                              <a:gd name="T106" fmla="+- 0 8528 7975"/>
                              <a:gd name="T107" fmla="*/ 8528 h 613"/>
                              <a:gd name="T108" fmla="+- 0 2906 2736"/>
                              <a:gd name="T109" fmla="*/ T108 w 270"/>
                              <a:gd name="T110" fmla="+- 0 8528 7975"/>
                              <a:gd name="T111" fmla="*/ 8528 h 613"/>
                              <a:gd name="T112" fmla="+- 0 3002 2736"/>
                              <a:gd name="T113" fmla="*/ T112 w 270"/>
                              <a:gd name="T114" fmla="+- 0 8363 7975"/>
                              <a:gd name="T115" fmla="*/ 8363 h 613"/>
                              <a:gd name="T116" fmla="+- 0 3006 2736"/>
                              <a:gd name="T117" fmla="*/ T116 w 270"/>
                              <a:gd name="T118" fmla="+- 0 8352 7975"/>
                              <a:gd name="T119" fmla="*/ 8352 h 613"/>
                              <a:gd name="T120" fmla="+- 0 3005 2736"/>
                              <a:gd name="T121" fmla="*/ T120 w 270"/>
                              <a:gd name="T122" fmla="+- 0 8340 7975"/>
                              <a:gd name="T123" fmla="*/ 8340 h 613"/>
                              <a:gd name="T124" fmla="+- 0 3000 2736"/>
                              <a:gd name="T125" fmla="*/ T124 w 270"/>
                              <a:gd name="T126" fmla="+- 0 8330 7975"/>
                              <a:gd name="T127" fmla="*/ 8330 h 613"/>
                              <a:gd name="T128" fmla="+- 0 2991 2736"/>
                              <a:gd name="T129" fmla="*/ T128 w 270"/>
                              <a:gd name="T130" fmla="+- 0 8322 7975"/>
                              <a:gd name="T131" fmla="*/ 8322 h 613"/>
                              <a:gd name="T132" fmla="+- 0 2980 2736"/>
                              <a:gd name="T133" fmla="*/ T132 w 270"/>
                              <a:gd name="T134" fmla="+- 0 8318 7975"/>
                              <a:gd name="T135" fmla="*/ 8318 h 613"/>
                              <a:gd name="T136" fmla="+- 0 2871 2736"/>
                              <a:gd name="T137" fmla="*/ T136 w 270"/>
                              <a:gd name="T138" fmla="+- 0 8468 7975"/>
                              <a:gd name="T139" fmla="*/ 8468 h 613"/>
                              <a:gd name="T140" fmla="+- 0 2845 2736"/>
                              <a:gd name="T141" fmla="*/ T140 w 270"/>
                              <a:gd name="T142" fmla="+- 0 8513 7975"/>
                              <a:gd name="T143" fmla="*/ 8513 h 613"/>
                              <a:gd name="T144" fmla="+- 0 2897 2736"/>
                              <a:gd name="T145" fmla="*/ T144 w 270"/>
                              <a:gd name="T146" fmla="+- 0 8513 7975"/>
                              <a:gd name="T147" fmla="*/ 8513 h 613"/>
                              <a:gd name="T148" fmla="+- 0 2871 2736"/>
                              <a:gd name="T149" fmla="*/ T148 w 270"/>
                              <a:gd name="T150" fmla="+- 0 8468 7975"/>
                              <a:gd name="T151" fmla="*/ 8468 h 613"/>
                              <a:gd name="T152" fmla="+- 0 2901 2736"/>
                              <a:gd name="T153" fmla="*/ T152 w 270"/>
                              <a:gd name="T154" fmla="+- 0 8417 7975"/>
                              <a:gd name="T155" fmla="*/ 8417 h 613"/>
                              <a:gd name="T156" fmla="+- 0 2871 2736"/>
                              <a:gd name="T157" fmla="*/ T156 w 270"/>
                              <a:gd name="T158" fmla="+- 0 8468 7975"/>
                              <a:gd name="T159" fmla="*/ 8468 h 613"/>
                              <a:gd name="T160" fmla="+- 0 2897 2736"/>
                              <a:gd name="T161" fmla="*/ T160 w 270"/>
                              <a:gd name="T162" fmla="+- 0 8513 7975"/>
                              <a:gd name="T163" fmla="*/ 8513 h 613"/>
                              <a:gd name="T164" fmla="+- 0 2901 2736"/>
                              <a:gd name="T165" fmla="*/ T164 w 270"/>
                              <a:gd name="T166" fmla="+- 0 8513 7975"/>
                              <a:gd name="T167" fmla="*/ 8513 h 613"/>
                              <a:gd name="T168" fmla="+- 0 2901 2736"/>
                              <a:gd name="T169" fmla="*/ T168 w 270"/>
                              <a:gd name="T170" fmla="+- 0 8417 7975"/>
                              <a:gd name="T171" fmla="*/ 8417 h 613"/>
                              <a:gd name="T172" fmla="+- 0 2901 2736"/>
                              <a:gd name="T173" fmla="*/ T172 w 270"/>
                              <a:gd name="T174" fmla="+- 0 7975 7975"/>
                              <a:gd name="T175" fmla="*/ 7975 h 613"/>
                              <a:gd name="T176" fmla="+- 0 2841 2736"/>
                              <a:gd name="T177" fmla="*/ T176 w 270"/>
                              <a:gd name="T178" fmla="+- 0 7975 7975"/>
                              <a:gd name="T179" fmla="*/ 7975 h 613"/>
                              <a:gd name="T180" fmla="+- 0 2841 2736"/>
                              <a:gd name="T181" fmla="*/ T180 w 270"/>
                              <a:gd name="T182" fmla="+- 0 8417 7975"/>
                              <a:gd name="T183" fmla="*/ 8417 h 613"/>
                              <a:gd name="T184" fmla="+- 0 2871 2736"/>
                              <a:gd name="T185" fmla="*/ T184 w 270"/>
                              <a:gd name="T186" fmla="+- 0 8468 7975"/>
                              <a:gd name="T187" fmla="*/ 8468 h 613"/>
                              <a:gd name="T188" fmla="+- 0 2901 2736"/>
                              <a:gd name="T189" fmla="*/ T188 w 270"/>
                              <a:gd name="T190" fmla="+- 0 8417 7975"/>
                              <a:gd name="T191" fmla="*/ 8417 h 613"/>
                              <a:gd name="T192" fmla="+- 0 2901 2736"/>
                              <a:gd name="T193" fmla="*/ T192 w 270"/>
                              <a:gd name="T194" fmla="+- 0 7975 7975"/>
                              <a:gd name="T195" fmla="*/ 7975 h 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0" h="613">
                                <a:moveTo>
                                  <a:pt x="26" y="343"/>
                                </a:moveTo>
                                <a:lnTo>
                                  <a:pt x="15" y="347"/>
                                </a:lnTo>
                                <a:lnTo>
                                  <a:pt x="6" y="355"/>
                                </a:lnTo>
                                <a:lnTo>
                                  <a:pt x="1" y="365"/>
                                </a:lnTo>
                                <a:lnTo>
                                  <a:pt x="0" y="377"/>
                                </a:lnTo>
                                <a:lnTo>
                                  <a:pt x="4" y="388"/>
                                </a:lnTo>
                                <a:lnTo>
                                  <a:pt x="135" y="612"/>
                                </a:lnTo>
                                <a:lnTo>
                                  <a:pt x="170" y="553"/>
                                </a:lnTo>
                                <a:lnTo>
                                  <a:pt x="105" y="553"/>
                                </a:lnTo>
                                <a:lnTo>
                                  <a:pt x="105" y="442"/>
                                </a:lnTo>
                                <a:lnTo>
                                  <a:pt x="56" y="358"/>
                                </a:lnTo>
                                <a:lnTo>
                                  <a:pt x="48" y="349"/>
                                </a:lnTo>
                                <a:lnTo>
                                  <a:pt x="38" y="344"/>
                                </a:lnTo>
                                <a:lnTo>
                                  <a:pt x="26" y="343"/>
                                </a:lnTo>
                                <a:close/>
                                <a:moveTo>
                                  <a:pt x="105" y="442"/>
                                </a:moveTo>
                                <a:lnTo>
                                  <a:pt x="105" y="553"/>
                                </a:lnTo>
                                <a:lnTo>
                                  <a:pt x="165" y="553"/>
                                </a:lnTo>
                                <a:lnTo>
                                  <a:pt x="165" y="538"/>
                                </a:lnTo>
                                <a:lnTo>
                                  <a:pt x="109" y="538"/>
                                </a:lnTo>
                                <a:lnTo>
                                  <a:pt x="135" y="493"/>
                                </a:lnTo>
                                <a:lnTo>
                                  <a:pt x="105" y="442"/>
                                </a:lnTo>
                                <a:close/>
                                <a:moveTo>
                                  <a:pt x="244" y="343"/>
                                </a:moveTo>
                                <a:lnTo>
                                  <a:pt x="232" y="344"/>
                                </a:lnTo>
                                <a:lnTo>
                                  <a:pt x="222" y="349"/>
                                </a:lnTo>
                                <a:lnTo>
                                  <a:pt x="214" y="358"/>
                                </a:lnTo>
                                <a:lnTo>
                                  <a:pt x="165" y="442"/>
                                </a:lnTo>
                                <a:lnTo>
                                  <a:pt x="165" y="553"/>
                                </a:lnTo>
                                <a:lnTo>
                                  <a:pt x="170" y="553"/>
                                </a:lnTo>
                                <a:lnTo>
                                  <a:pt x="266" y="388"/>
                                </a:lnTo>
                                <a:lnTo>
                                  <a:pt x="270" y="377"/>
                                </a:lnTo>
                                <a:lnTo>
                                  <a:pt x="269" y="365"/>
                                </a:lnTo>
                                <a:lnTo>
                                  <a:pt x="264" y="355"/>
                                </a:lnTo>
                                <a:lnTo>
                                  <a:pt x="255" y="347"/>
                                </a:lnTo>
                                <a:lnTo>
                                  <a:pt x="244" y="343"/>
                                </a:lnTo>
                                <a:close/>
                                <a:moveTo>
                                  <a:pt x="135" y="493"/>
                                </a:moveTo>
                                <a:lnTo>
                                  <a:pt x="109" y="538"/>
                                </a:lnTo>
                                <a:lnTo>
                                  <a:pt x="161" y="538"/>
                                </a:lnTo>
                                <a:lnTo>
                                  <a:pt x="135" y="493"/>
                                </a:lnTo>
                                <a:close/>
                                <a:moveTo>
                                  <a:pt x="165" y="442"/>
                                </a:moveTo>
                                <a:lnTo>
                                  <a:pt x="135" y="493"/>
                                </a:lnTo>
                                <a:lnTo>
                                  <a:pt x="161" y="538"/>
                                </a:lnTo>
                                <a:lnTo>
                                  <a:pt x="165" y="538"/>
                                </a:lnTo>
                                <a:lnTo>
                                  <a:pt x="165" y="442"/>
                                </a:lnTo>
                                <a:close/>
                                <a:moveTo>
                                  <a:pt x="165" y="0"/>
                                </a:moveTo>
                                <a:lnTo>
                                  <a:pt x="105" y="0"/>
                                </a:lnTo>
                                <a:lnTo>
                                  <a:pt x="105" y="442"/>
                                </a:lnTo>
                                <a:lnTo>
                                  <a:pt x="135" y="493"/>
                                </a:lnTo>
                                <a:lnTo>
                                  <a:pt x="165" y="442"/>
                                </a:lnTo>
                                <a:lnTo>
                                  <a:pt x="165" y="0"/>
                                </a:lnTo>
                                <a:close/>
                              </a:path>
                            </a:pathLst>
                          </a:custGeom>
                          <a:solidFill>
                            <a:srgbClr val="000000">
                              <a:alpha val="3490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AutoShape 139"/>
                        <wps:cNvSpPr>
                          <a:spLocks/>
                        </wps:cNvSpPr>
                        <wps:spPr bwMode="auto">
                          <a:xfrm>
                            <a:off x="2736" y="7938"/>
                            <a:ext cx="270" cy="613"/>
                          </a:xfrm>
                          <a:custGeom>
                            <a:avLst/>
                            <a:gdLst>
                              <a:gd name="T0" fmla="+- 0 2762 2736"/>
                              <a:gd name="T1" fmla="*/ T0 w 270"/>
                              <a:gd name="T2" fmla="+- 0 8282 7938"/>
                              <a:gd name="T3" fmla="*/ 8282 h 613"/>
                              <a:gd name="T4" fmla="+- 0 2751 2736"/>
                              <a:gd name="T5" fmla="*/ T4 w 270"/>
                              <a:gd name="T6" fmla="+- 0 8285 7938"/>
                              <a:gd name="T7" fmla="*/ 8285 h 613"/>
                              <a:gd name="T8" fmla="+- 0 2742 2736"/>
                              <a:gd name="T9" fmla="*/ T8 w 270"/>
                              <a:gd name="T10" fmla="+- 0 8293 7938"/>
                              <a:gd name="T11" fmla="*/ 8293 h 613"/>
                              <a:gd name="T12" fmla="+- 0 2737 2736"/>
                              <a:gd name="T13" fmla="*/ T12 w 270"/>
                              <a:gd name="T14" fmla="+- 0 8304 7938"/>
                              <a:gd name="T15" fmla="*/ 8304 h 613"/>
                              <a:gd name="T16" fmla="+- 0 2736 2736"/>
                              <a:gd name="T17" fmla="*/ T16 w 270"/>
                              <a:gd name="T18" fmla="+- 0 8315 7938"/>
                              <a:gd name="T19" fmla="*/ 8315 h 613"/>
                              <a:gd name="T20" fmla="+- 0 2740 2736"/>
                              <a:gd name="T21" fmla="*/ T20 w 270"/>
                              <a:gd name="T22" fmla="+- 0 8327 7938"/>
                              <a:gd name="T23" fmla="*/ 8327 h 613"/>
                              <a:gd name="T24" fmla="+- 0 2871 2736"/>
                              <a:gd name="T25" fmla="*/ T24 w 270"/>
                              <a:gd name="T26" fmla="+- 0 8551 7938"/>
                              <a:gd name="T27" fmla="*/ 8551 h 613"/>
                              <a:gd name="T28" fmla="+- 0 2906 2736"/>
                              <a:gd name="T29" fmla="*/ T28 w 270"/>
                              <a:gd name="T30" fmla="+- 0 8491 7938"/>
                              <a:gd name="T31" fmla="*/ 8491 h 613"/>
                              <a:gd name="T32" fmla="+- 0 2841 2736"/>
                              <a:gd name="T33" fmla="*/ T32 w 270"/>
                              <a:gd name="T34" fmla="+- 0 8491 7938"/>
                              <a:gd name="T35" fmla="*/ 8491 h 613"/>
                              <a:gd name="T36" fmla="+- 0 2841 2736"/>
                              <a:gd name="T37" fmla="*/ T36 w 270"/>
                              <a:gd name="T38" fmla="+- 0 8380 7938"/>
                              <a:gd name="T39" fmla="*/ 8380 h 613"/>
                              <a:gd name="T40" fmla="+- 0 2792 2736"/>
                              <a:gd name="T41" fmla="*/ T40 w 270"/>
                              <a:gd name="T42" fmla="+- 0 8296 7938"/>
                              <a:gd name="T43" fmla="*/ 8296 h 613"/>
                              <a:gd name="T44" fmla="+- 0 2784 2736"/>
                              <a:gd name="T45" fmla="*/ T44 w 270"/>
                              <a:gd name="T46" fmla="+- 0 8287 7938"/>
                              <a:gd name="T47" fmla="*/ 8287 h 613"/>
                              <a:gd name="T48" fmla="+- 0 2774 2736"/>
                              <a:gd name="T49" fmla="*/ T48 w 270"/>
                              <a:gd name="T50" fmla="+- 0 8282 7938"/>
                              <a:gd name="T51" fmla="*/ 8282 h 613"/>
                              <a:gd name="T52" fmla="+- 0 2762 2736"/>
                              <a:gd name="T53" fmla="*/ T52 w 270"/>
                              <a:gd name="T54" fmla="+- 0 8282 7938"/>
                              <a:gd name="T55" fmla="*/ 8282 h 613"/>
                              <a:gd name="T56" fmla="+- 0 2841 2736"/>
                              <a:gd name="T57" fmla="*/ T56 w 270"/>
                              <a:gd name="T58" fmla="+- 0 8380 7938"/>
                              <a:gd name="T59" fmla="*/ 8380 h 613"/>
                              <a:gd name="T60" fmla="+- 0 2841 2736"/>
                              <a:gd name="T61" fmla="*/ T60 w 270"/>
                              <a:gd name="T62" fmla="+- 0 8491 7938"/>
                              <a:gd name="T63" fmla="*/ 8491 h 613"/>
                              <a:gd name="T64" fmla="+- 0 2901 2736"/>
                              <a:gd name="T65" fmla="*/ T64 w 270"/>
                              <a:gd name="T66" fmla="+- 0 8491 7938"/>
                              <a:gd name="T67" fmla="*/ 8491 h 613"/>
                              <a:gd name="T68" fmla="+- 0 2901 2736"/>
                              <a:gd name="T69" fmla="*/ T68 w 270"/>
                              <a:gd name="T70" fmla="+- 0 8476 7938"/>
                              <a:gd name="T71" fmla="*/ 8476 h 613"/>
                              <a:gd name="T72" fmla="+- 0 2845 2736"/>
                              <a:gd name="T73" fmla="*/ T72 w 270"/>
                              <a:gd name="T74" fmla="+- 0 8476 7938"/>
                              <a:gd name="T75" fmla="*/ 8476 h 613"/>
                              <a:gd name="T76" fmla="+- 0 2871 2736"/>
                              <a:gd name="T77" fmla="*/ T76 w 270"/>
                              <a:gd name="T78" fmla="+- 0 8432 7938"/>
                              <a:gd name="T79" fmla="*/ 8432 h 613"/>
                              <a:gd name="T80" fmla="+- 0 2841 2736"/>
                              <a:gd name="T81" fmla="*/ T80 w 270"/>
                              <a:gd name="T82" fmla="+- 0 8380 7938"/>
                              <a:gd name="T83" fmla="*/ 8380 h 613"/>
                              <a:gd name="T84" fmla="+- 0 2980 2736"/>
                              <a:gd name="T85" fmla="*/ T84 w 270"/>
                              <a:gd name="T86" fmla="+- 0 8282 7938"/>
                              <a:gd name="T87" fmla="*/ 8282 h 613"/>
                              <a:gd name="T88" fmla="+- 0 2968 2736"/>
                              <a:gd name="T89" fmla="*/ T88 w 270"/>
                              <a:gd name="T90" fmla="+- 0 8282 7938"/>
                              <a:gd name="T91" fmla="*/ 8282 h 613"/>
                              <a:gd name="T92" fmla="+- 0 2958 2736"/>
                              <a:gd name="T93" fmla="*/ T92 w 270"/>
                              <a:gd name="T94" fmla="+- 0 8287 7938"/>
                              <a:gd name="T95" fmla="*/ 8287 h 613"/>
                              <a:gd name="T96" fmla="+- 0 2950 2736"/>
                              <a:gd name="T97" fmla="*/ T96 w 270"/>
                              <a:gd name="T98" fmla="+- 0 8296 7938"/>
                              <a:gd name="T99" fmla="*/ 8296 h 613"/>
                              <a:gd name="T100" fmla="+- 0 2901 2736"/>
                              <a:gd name="T101" fmla="*/ T100 w 270"/>
                              <a:gd name="T102" fmla="+- 0 8380 7938"/>
                              <a:gd name="T103" fmla="*/ 8380 h 613"/>
                              <a:gd name="T104" fmla="+- 0 2901 2736"/>
                              <a:gd name="T105" fmla="*/ T104 w 270"/>
                              <a:gd name="T106" fmla="+- 0 8491 7938"/>
                              <a:gd name="T107" fmla="*/ 8491 h 613"/>
                              <a:gd name="T108" fmla="+- 0 2906 2736"/>
                              <a:gd name="T109" fmla="*/ T108 w 270"/>
                              <a:gd name="T110" fmla="+- 0 8491 7938"/>
                              <a:gd name="T111" fmla="*/ 8491 h 613"/>
                              <a:gd name="T112" fmla="+- 0 3002 2736"/>
                              <a:gd name="T113" fmla="*/ T112 w 270"/>
                              <a:gd name="T114" fmla="+- 0 8327 7938"/>
                              <a:gd name="T115" fmla="*/ 8327 h 613"/>
                              <a:gd name="T116" fmla="+- 0 3006 2736"/>
                              <a:gd name="T117" fmla="*/ T116 w 270"/>
                              <a:gd name="T118" fmla="+- 0 8315 7938"/>
                              <a:gd name="T119" fmla="*/ 8315 h 613"/>
                              <a:gd name="T120" fmla="+- 0 3005 2736"/>
                              <a:gd name="T121" fmla="*/ T120 w 270"/>
                              <a:gd name="T122" fmla="+- 0 8304 7938"/>
                              <a:gd name="T123" fmla="*/ 8304 h 613"/>
                              <a:gd name="T124" fmla="+- 0 3000 2736"/>
                              <a:gd name="T125" fmla="*/ T124 w 270"/>
                              <a:gd name="T126" fmla="+- 0 8293 7938"/>
                              <a:gd name="T127" fmla="*/ 8293 h 613"/>
                              <a:gd name="T128" fmla="+- 0 2991 2736"/>
                              <a:gd name="T129" fmla="*/ T128 w 270"/>
                              <a:gd name="T130" fmla="+- 0 8285 7938"/>
                              <a:gd name="T131" fmla="*/ 8285 h 613"/>
                              <a:gd name="T132" fmla="+- 0 2980 2736"/>
                              <a:gd name="T133" fmla="*/ T132 w 270"/>
                              <a:gd name="T134" fmla="+- 0 8282 7938"/>
                              <a:gd name="T135" fmla="*/ 8282 h 613"/>
                              <a:gd name="T136" fmla="+- 0 2871 2736"/>
                              <a:gd name="T137" fmla="*/ T136 w 270"/>
                              <a:gd name="T138" fmla="+- 0 8432 7938"/>
                              <a:gd name="T139" fmla="*/ 8432 h 613"/>
                              <a:gd name="T140" fmla="+- 0 2845 2736"/>
                              <a:gd name="T141" fmla="*/ T140 w 270"/>
                              <a:gd name="T142" fmla="+- 0 8476 7938"/>
                              <a:gd name="T143" fmla="*/ 8476 h 613"/>
                              <a:gd name="T144" fmla="+- 0 2897 2736"/>
                              <a:gd name="T145" fmla="*/ T144 w 270"/>
                              <a:gd name="T146" fmla="+- 0 8476 7938"/>
                              <a:gd name="T147" fmla="*/ 8476 h 613"/>
                              <a:gd name="T148" fmla="+- 0 2871 2736"/>
                              <a:gd name="T149" fmla="*/ T148 w 270"/>
                              <a:gd name="T150" fmla="+- 0 8432 7938"/>
                              <a:gd name="T151" fmla="*/ 8432 h 613"/>
                              <a:gd name="T152" fmla="+- 0 2901 2736"/>
                              <a:gd name="T153" fmla="*/ T152 w 270"/>
                              <a:gd name="T154" fmla="+- 0 8380 7938"/>
                              <a:gd name="T155" fmla="*/ 8380 h 613"/>
                              <a:gd name="T156" fmla="+- 0 2871 2736"/>
                              <a:gd name="T157" fmla="*/ T156 w 270"/>
                              <a:gd name="T158" fmla="+- 0 8432 7938"/>
                              <a:gd name="T159" fmla="*/ 8432 h 613"/>
                              <a:gd name="T160" fmla="+- 0 2897 2736"/>
                              <a:gd name="T161" fmla="*/ T160 w 270"/>
                              <a:gd name="T162" fmla="+- 0 8476 7938"/>
                              <a:gd name="T163" fmla="*/ 8476 h 613"/>
                              <a:gd name="T164" fmla="+- 0 2901 2736"/>
                              <a:gd name="T165" fmla="*/ T164 w 270"/>
                              <a:gd name="T166" fmla="+- 0 8476 7938"/>
                              <a:gd name="T167" fmla="*/ 8476 h 613"/>
                              <a:gd name="T168" fmla="+- 0 2901 2736"/>
                              <a:gd name="T169" fmla="*/ T168 w 270"/>
                              <a:gd name="T170" fmla="+- 0 8380 7938"/>
                              <a:gd name="T171" fmla="*/ 8380 h 613"/>
                              <a:gd name="T172" fmla="+- 0 2901 2736"/>
                              <a:gd name="T173" fmla="*/ T172 w 270"/>
                              <a:gd name="T174" fmla="+- 0 7938 7938"/>
                              <a:gd name="T175" fmla="*/ 7938 h 613"/>
                              <a:gd name="T176" fmla="+- 0 2841 2736"/>
                              <a:gd name="T177" fmla="*/ T176 w 270"/>
                              <a:gd name="T178" fmla="+- 0 7938 7938"/>
                              <a:gd name="T179" fmla="*/ 7938 h 613"/>
                              <a:gd name="T180" fmla="+- 0 2841 2736"/>
                              <a:gd name="T181" fmla="*/ T180 w 270"/>
                              <a:gd name="T182" fmla="+- 0 8380 7938"/>
                              <a:gd name="T183" fmla="*/ 8380 h 613"/>
                              <a:gd name="T184" fmla="+- 0 2871 2736"/>
                              <a:gd name="T185" fmla="*/ T184 w 270"/>
                              <a:gd name="T186" fmla="+- 0 8432 7938"/>
                              <a:gd name="T187" fmla="*/ 8432 h 613"/>
                              <a:gd name="T188" fmla="+- 0 2901 2736"/>
                              <a:gd name="T189" fmla="*/ T188 w 270"/>
                              <a:gd name="T190" fmla="+- 0 8380 7938"/>
                              <a:gd name="T191" fmla="*/ 8380 h 613"/>
                              <a:gd name="T192" fmla="+- 0 2901 2736"/>
                              <a:gd name="T193" fmla="*/ T192 w 270"/>
                              <a:gd name="T194" fmla="+- 0 7938 7938"/>
                              <a:gd name="T195" fmla="*/ 7938 h 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0" h="613">
                                <a:moveTo>
                                  <a:pt x="26" y="344"/>
                                </a:moveTo>
                                <a:lnTo>
                                  <a:pt x="15" y="347"/>
                                </a:lnTo>
                                <a:lnTo>
                                  <a:pt x="6" y="355"/>
                                </a:lnTo>
                                <a:lnTo>
                                  <a:pt x="1" y="366"/>
                                </a:lnTo>
                                <a:lnTo>
                                  <a:pt x="0" y="377"/>
                                </a:lnTo>
                                <a:lnTo>
                                  <a:pt x="4" y="389"/>
                                </a:lnTo>
                                <a:lnTo>
                                  <a:pt x="135" y="613"/>
                                </a:lnTo>
                                <a:lnTo>
                                  <a:pt x="170" y="553"/>
                                </a:lnTo>
                                <a:lnTo>
                                  <a:pt x="105" y="553"/>
                                </a:lnTo>
                                <a:lnTo>
                                  <a:pt x="105" y="442"/>
                                </a:lnTo>
                                <a:lnTo>
                                  <a:pt x="56" y="358"/>
                                </a:lnTo>
                                <a:lnTo>
                                  <a:pt x="48" y="349"/>
                                </a:lnTo>
                                <a:lnTo>
                                  <a:pt x="38" y="344"/>
                                </a:lnTo>
                                <a:lnTo>
                                  <a:pt x="26" y="344"/>
                                </a:lnTo>
                                <a:close/>
                                <a:moveTo>
                                  <a:pt x="105" y="442"/>
                                </a:moveTo>
                                <a:lnTo>
                                  <a:pt x="105" y="553"/>
                                </a:lnTo>
                                <a:lnTo>
                                  <a:pt x="165" y="553"/>
                                </a:lnTo>
                                <a:lnTo>
                                  <a:pt x="165" y="538"/>
                                </a:lnTo>
                                <a:lnTo>
                                  <a:pt x="109" y="538"/>
                                </a:lnTo>
                                <a:lnTo>
                                  <a:pt x="135" y="494"/>
                                </a:lnTo>
                                <a:lnTo>
                                  <a:pt x="105" y="442"/>
                                </a:lnTo>
                                <a:close/>
                                <a:moveTo>
                                  <a:pt x="244" y="344"/>
                                </a:moveTo>
                                <a:lnTo>
                                  <a:pt x="232" y="344"/>
                                </a:lnTo>
                                <a:lnTo>
                                  <a:pt x="222" y="349"/>
                                </a:lnTo>
                                <a:lnTo>
                                  <a:pt x="214" y="358"/>
                                </a:lnTo>
                                <a:lnTo>
                                  <a:pt x="165" y="442"/>
                                </a:lnTo>
                                <a:lnTo>
                                  <a:pt x="165" y="553"/>
                                </a:lnTo>
                                <a:lnTo>
                                  <a:pt x="170" y="553"/>
                                </a:lnTo>
                                <a:lnTo>
                                  <a:pt x="266" y="389"/>
                                </a:lnTo>
                                <a:lnTo>
                                  <a:pt x="270" y="377"/>
                                </a:lnTo>
                                <a:lnTo>
                                  <a:pt x="269" y="366"/>
                                </a:lnTo>
                                <a:lnTo>
                                  <a:pt x="264" y="355"/>
                                </a:lnTo>
                                <a:lnTo>
                                  <a:pt x="255" y="347"/>
                                </a:lnTo>
                                <a:lnTo>
                                  <a:pt x="244" y="344"/>
                                </a:lnTo>
                                <a:close/>
                                <a:moveTo>
                                  <a:pt x="135" y="494"/>
                                </a:moveTo>
                                <a:lnTo>
                                  <a:pt x="109" y="538"/>
                                </a:lnTo>
                                <a:lnTo>
                                  <a:pt x="161" y="538"/>
                                </a:lnTo>
                                <a:lnTo>
                                  <a:pt x="135" y="494"/>
                                </a:lnTo>
                                <a:close/>
                                <a:moveTo>
                                  <a:pt x="165" y="442"/>
                                </a:moveTo>
                                <a:lnTo>
                                  <a:pt x="135" y="494"/>
                                </a:lnTo>
                                <a:lnTo>
                                  <a:pt x="161" y="538"/>
                                </a:lnTo>
                                <a:lnTo>
                                  <a:pt x="165" y="538"/>
                                </a:lnTo>
                                <a:lnTo>
                                  <a:pt x="165" y="442"/>
                                </a:lnTo>
                                <a:close/>
                                <a:moveTo>
                                  <a:pt x="165" y="0"/>
                                </a:moveTo>
                                <a:lnTo>
                                  <a:pt x="105" y="0"/>
                                </a:lnTo>
                                <a:lnTo>
                                  <a:pt x="105" y="442"/>
                                </a:lnTo>
                                <a:lnTo>
                                  <a:pt x="135" y="494"/>
                                </a:lnTo>
                                <a:lnTo>
                                  <a:pt x="165" y="442"/>
                                </a:lnTo>
                                <a:lnTo>
                                  <a:pt x="16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Freeform 140"/>
                        <wps:cNvSpPr>
                          <a:spLocks/>
                        </wps:cNvSpPr>
                        <wps:spPr bwMode="auto">
                          <a:xfrm>
                            <a:off x="2879" y="9008"/>
                            <a:ext cx="60" cy="803"/>
                          </a:xfrm>
                          <a:custGeom>
                            <a:avLst/>
                            <a:gdLst>
                              <a:gd name="T0" fmla="+- 0 2939 2879"/>
                              <a:gd name="T1" fmla="*/ T0 w 60"/>
                              <a:gd name="T2" fmla="+- 0 9008 9008"/>
                              <a:gd name="T3" fmla="*/ 9008 h 803"/>
                              <a:gd name="T4" fmla="+- 0 2879 2879"/>
                              <a:gd name="T5" fmla="*/ T4 w 60"/>
                              <a:gd name="T6" fmla="+- 0 9008 9008"/>
                              <a:gd name="T7" fmla="*/ 9008 h 803"/>
                              <a:gd name="T8" fmla="+- 0 2879 2879"/>
                              <a:gd name="T9" fmla="*/ T8 w 60"/>
                              <a:gd name="T10" fmla="+- 0 9810 9008"/>
                              <a:gd name="T11" fmla="*/ 9810 h 803"/>
                              <a:gd name="T12" fmla="+- 0 2879 2879"/>
                              <a:gd name="T13" fmla="*/ T12 w 60"/>
                              <a:gd name="T14" fmla="+- 0 9811 9008"/>
                              <a:gd name="T15" fmla="*/ 9811 h 803"/>
                              <a:gd name="T16" fmla="+- 0 2939 2879"/>
                              <a:gd name="T17" fmla="*/ T16 w 60"/>
                              <a:gd name="T18" fmla="+- 0 9811 9008"/>
                              <a:gd name="T19" fmla="*/ 9811 h 803"/>
                              <a:gd name="T20" fmla="+- 0 2939 2879"/>
                              <a:gd name="T21" fmla="*/ T20 w 60"/>
                              <a:gd name="T22" fmla="+- 0 9810 9008"/>
                              <a:gd name="T23" fmla="*/ 9810 h 803"/>
                              <a:gd name="T24" fmla="+- 0 2939 2879"/>
                              <a:gd name="T25" fmla="*/ T24 w 60"/>
                              <a:gd name="T26" fmla="+- 0 9008 9008"/>
                              <a:gd name="T27" fmla="*/ 9008 h 803"/>
                            </a:gdLst>
                            <a:ahLst/>
                            <a:cxnLst>
                              <a:cxn ang="0">
                                <a:pos x="T1" y="T3"/>
                              </a:cxn>
                              <a:cxn ang="0">
                                <a:pos x="T5" y="T7"/>
                              </a:cxn>
                              <a:cxn ang="0">
                                <a:pos x="T9" y="T11"/>
                              </a:cxn>
                              <a:cxn ang="0">
                                <a:pos x="T13" y="T15"/>
                              </a:cxn>
                              <a:cxn ang="0">
                                <a:pos x="T17" y="T19"/>
                              </a:cxn>
                              <a:cxn ang="0">
                                <a:pos x="T21" y="T23"/>
                              </a:cxn>
                              <a:cxn ang="0">
                                <a:pos x="T25" y="T27"/>
                              </a:cxn>
                            </a:cxnLst>
                            <a:rect l="0" t="0" r="r" b="b"/>
                            <a:pathLst>
                              <a:path w="60" h="803">
                                <a:moveTo>
                                  <a:pt x="60" y="0"/>
                                </a:moveTo>
                                <a:lnTo>
                                  <a:pt x="0" y="0"/>
                                </a:lnTo>
                                <a:lnTo>
                                  <a:pt x="0" y="802"/>
                                </a:lnTo>
                                <a:lnTo>
                                  <a:pt x="0" y="803"/>
                                </a:lnTo>
                                <a:lnTo>
                                  <a:pt x="60" y="803"/>
                                </a:lnTo>
                                <a:lnTo>
                                  <a:pt x="60" y="802"/>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Rectangle 141"/>
                        <wps:cNvSpPr>
                          <a:spLocks noChangeArrowheads="1"/>
                        </wps:cNvSpPr>
                        <wps:spPr bwMode="auto">
                          <a:xfrm>
                            <a:off x="2262" y="8551"/>
                            <a:ext cx="1319" cy="4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8" name="AutoShape 142"/>
                        <wps:cNvSpPr>
                          <a:spLocks/>
                        </wps:cNvSpPr>
                        <wps:spPr bwMode="auto">
                          <a:xfrm>
                            <a:off x="6935" y="7974"/>
                            <a:ext cx="270" cy="613"/>
                          </a:xfrm>
                          <a:custGeom>
                            <a:avLst/>
                            <a:gdLst>
                              <a:gd name="T0" fmla="+- 0 6961 6935"/>
                              <a:gd name="T1" fmla="*/ T0 w 270"/>
                              <a:gd name="T2" fmla="+- 0 8318 7975"/>
                              <a:gd name="T3" fmla="*/ 8318 h 613"/>
                              <a:gd name="T4" fmla="+- 0 6950 6935"/>
                              <a:gd name="T5" fmla="*/ T4 w 270"/>
                              <a:gd name="T6" fmla="+- 0 8322 7975"/>
                              <a:gd name="T7" fmla="*/ 8322 h 613"/>
                              <a:gd name="T8" fmla="+- 0 6941 6935"/>
                              <a:gd name="T9" fmla="*/ T8 w 270"/>
                              <a:gd name="T10" fmla="+- 0 8330 7975"/>
                              <a:gd name="T11" fmla="*/ 8330 h 613"/>
                              <a:gd name="T12" fmla="+- 0 6936 6935"/>
                              <a:gd name="T13" fmla="*/ T12 w 270"/>
                              <a:gd name="T14" fmla="+- 0 8340 7975"/>
                              <a:gd name="T15" fmla="*/ 8340 h 613"/>
                              <a:gd name="T16" fmla="+- 0 6935 6935"/>
                              <a:gd name="T17" fmla="*/ T16 w 270"/>
                              <a:gd name="T18" fmla="+- 0 8352 7975"/>
                              <a:gd name="T19" fmla="*/ 8352 h 613"/>
                              <a:gd name="T20" fmla="+- 0 6939 6935"/>
                              <a:gd name="T21" fmla="*/ T20 w 270"/>
                              <a:gd name="T22" fmla="+- 0 8363 7975"/>
                              <a:gd name="T23" fmla="*/ 8363 h 613"/>
                              <a:gd name="T24" fmla="+- 0 7070 6935"/>
                              <a:gd name="T25" fmla="*/ T24 w 270"/>
                              <a:gd name="T26" fmla="+- 0 8587 7975"/>
                              <a:gd name="T27" fmla="*/ 8587 h 613"/>
                              <a:gd name="T28" fmla="+- 0 7105 6935"/>
                              <a:gd name="T29" fmla="*/ T28 w 270"/>
                              <a:gd name="T30" fmla="+- 0 8528 7975"/>
                              <a:gd name="T31" fmla="*/ 8528 h 613"/>
                              <a:gd name="T32" fmla="+- 0 7040 6935"/>
                              <a:gd name="T33" fmla="*/ T32 w 270"/>
                              <a:gd name="T34" fmla="+- 0 8528 7975"/>
                              <a:gd name="T35" fmla="*/ 8528 h 613"/>
                              <a:gd name="T36" fmla="+- 0 7040 6935"/>
                              <a:gd name="T37" fmla="*/ T36 w 270"/>
                              <a:gd name="T38" fmla="+- 0 8417 7975"/>
                              <a:gd name="T39" fmla="*/ 8417 h 613"/>
                              <a:gd name="T40" fmla="+- 0 6991 6935"/>
                              <a:gd name="T41" fmla="*/ T40 w 270"/>
                              <a:gd name="T42" fmla="+- 0 8333 7975"/>
                              <a:gd name="T43" fmla="*/ 8333 h 613"/>
                              <a:gd name="T44" fmla="+- 0 6983 6935"/>
                              <a:gd name="T45" fmla="*/ T44 w 270"/>
                              <a:gd name="T46" fmla="+- 0 8324 7975"/>
                              <a:gd name="T47" fmla="*/ 8324 h 613"/>
                              <a:gd name="T48" fmla="+- 0 6973 6935"/>
                              <a:gd name="T49" fmla="*/ T48 w 270"/>
                              <a:gd name="T50" fmla="+- 0 8319 7975"/>
                              <a:gd name="T51" fmla="*/ 8319 h 613"/>
                              <a:gd name="T52" fmla="+- 0 6961 6935"/>
                              <a:gd name="T53" fmla="*/ T52 w 270"/>
                              <a:gd name="T54" fmla="+- 0 8318 7975"/>
                              <a:gd name="T55" fmla="*/ 8318 h 613"/>
                              <a:gd name="T56" fmla="+- 0 7040 6935"/>
                              <a:gd name="T57" fmla="*/ T56 w 270"/>
                              <a:gd name="T58" fmla="+- 0 8417 7975"/>
                              <a:gd name="T59" fmla="*/ 8417 h 613"/>
                              <a:gd name="T60" fmla="+- 0 7040 6935"/>
                              <a:gd name="T61" fmla="*/ T60 w 270"/>
                              <a:gd name="T62" fmla="+- 0 8528 7975"/>
                              <a:gd name="T63" fmla="*/ 8528 h 613"/>
                              <a:gd name="T64" fmla="+- 0 7100 6935"/>
                              <a:gd name="T65" fmla="*/ T64 w 270"/>
                              <a:gd name="T66" fmla="+- 0 8528 7975"/>
                              <a:gd name="T67" fmla="*/ 8528 h 613"/>
                              <a:gd name="T68" fmla="+- 0 7100 6935"/>
                              <a:gd name="T69" fmla="*/ T68 w 270"/>
                              <a:gd name="T70" fmla="+- 0 8513 7975"/>
                              <a:gd name="T71" fmla="*/ 8513 h 613"/>
                              <a:gd name="T72" fmla="+- 0 7044 6935"/>
                              <a:gd name="T73" fmla="*/ T72 w 270"/>
                              <a:gd name="T74" fmla="+- 0 8513 7975"/>
                              <a:gd name="T75" fmla="*/ 8513 h 613"/>
                              <a:gd name="T76" fmla="+- 0 7070 6935"/>
                              <a:gd name="T77" fmla="*/ T76 w 270"/>
                              <a:gd name="T78" fmla="+- 0 8468 7975"/>
                              <a:gd name="T79" fmla="*/ 8468 h 613"/>
                              <a:gd name="T80" fmla="+- 0 7040 6935"/>
                              <a:gd name="T81" fmla="*/ T80 w 270"/>
                              <a:gd name="T82" fmla="+- 0 8417 7975"/>
                              <a:gd name="T83" fmla="*/ 8417 h 613"/>
                              <a:gd name="T84" fmla="+- 0 7179 6935"/>
                              <a:gd name="T85" fmla="*/ T84 w 270"/>
                              <a:gd name="T86" fmla="+- 0 8318 7975"/>
                              <a:gd name="T87" fmla="*/ 8318 h 613"/>
                              <a:gd name="T88" fmla="+- 0 7167 6935"/>
                              <a:gd name="T89" fmla="*/ T88 w 270"/>
                              <a:gd name="T90" fmla="+- 0 8319 7975"/>
                              <a:gd name="T91" fmla="*/ 8319 h 613"/>
                              <a:gd name="T92" fmla="+- 0 7157 6935"/>
                              <a:gd name="T93" fmla="*/ T92 w 270"/>
                              <a:gd name="T94" fmla="+- 0 8324 7975"/>
                              <a:gd name="T95" fmla="*/ 8324 h 613"/>
                              <a:gd name="T96" fmla="+- 0 7149 6935"/>
                              <a:gd name="T97" fmla="*/ T96 w 270"/>
                              <a:gd name="T98" fmla="+- 0 8333 7975"/>
                              <a:gd name="T99" fmla="*/ 8333 h 613"/>
                              <a:gd name="T100" fmla="+- 0 7100 6935"/>
                              <a:gd name="T101" fmla="*/ T100 w 270"/>
                              <a:gd name="T102" fmla="+- 0 8417 7975"/>
                              <a:gd name="T103" fmla="*/ 8417 h 613"/>
                              <a:gd name="T104" fmla="+- 0 7100 6935"/>
                              <a:gd name="T105" fmla="*/ T104 w 270"/>
                              <a:gd name="T106" fmla="+- 0 8528 7975"/>
                              <a:gd name="T107" fmla="*/ 8528 h 613"/>
                              <a:gd name="T108" fmla="+- 0 7105 6935"/>
                              <a:gd name="T109" fmla="*/ T108 w 270"/>
                              <a:gd name="T110" fmla="+- 0 8528 7975"/>
                              <a:gd name="T111" fmla="*/ 8528 h 613"/>
                              <a:gd name="T112" fmla="+- 0 7201 6935"/>
                              <a:gd name="T113" fmla="*/ T112 w 270"/>
                              <a:gd name="T114" fmla="+- 0 8363 7975"/>
                              <a:gd name="T115" fmla="*/ 8363 h 613"/>
                              <a:gd name="T116" fmla="+- 0 7205 6935"/>
                              <a:gd name="T117" fmla="*/ T116 w 270"/>
                              <a:gd name="T118" fmla="+- 0 8352 7975"/>
                              <a:gd name="T119" fmla="*/ 8352 h 613"/>
                              <a:gd name="T120" fmla="+- 0 7204 6935"/>
                              <a:gd name="T121" fmla="*/ T120 w 270"/>
                              <a:gd name="T122" fmla="+- 0 8340 7975"/>
                              <a:gd name="T123" fmla="*/ 8340 h 613"/>
                              <a:gd name="T124" fmla="+- 0 7199 6935"/>
                              <a:gd name="T125" fmla="*/ T124 w 270"/>
                              <a:gd name="T126" fmla="+- 0 8330 7975"/>
                              <a:gd name="T127" fmla="*/ 8330 h 613"/>
                              <a:gd name="T128" fmla="+- 0 7190 6935"/>
                              <a:gd name="T129" fmla="*/ T128 w 270"/>
                              <a:gd name="T130" fmla="+- 0 8322 7975"/>
                              <a:gd name="T131" fmla="*/ 8322 h 613"/>
                              <a:gd name="T132" fmla="+- 0 7179 6935"/>
                              <a:gd name="T133" fmla="*/ T132 w 270"/>
                              <a:gd name="T134" fmla="+- 0 8318 7975"/>
                              <a:gd name="T135" fmla="*/ 8318 h 613"/>
                              <a:gd name="T136" fmla="+- 0 7070 6935"/>
                              <a:gd name="T137" fmla="*/ T136 w 270"/>
                              <a:gd name="T138" fmla="+- 0 8468 7975"/>
                              <a:gd name="T139" fmla="*/ 8468 h 613"/>
                              <a:gd name="T140" fmla="+- 0 7044 6935"/>
                              <a:gd name="T141" fmla="*/ T140 w 270"/>
                              <a:gd name="T142" fmla="+- 0 8513 7975"/>
                              <a:gd name="T143" fmla="*/ 8513 h 613"/>
                              <a:gd name="T144" fmla="+- 0 7096 6935"/>
                              <a:gd name="T145" fmla="*/ T144 w 270"/>
                              <a:gd name="T146" fmla="+- 0 8513 7975"/>
                              <a:gd name="T147" fmla="*/ 8513 h 613"/>
                              <a:gd name="T148" fmla="+- 0 7070 6935"/>
                              <a:gd name="T149" fmla="*/ T148 w 270"/>
                              <a:gd name="T150" fmla="+- 0 8468 7975"/>
                              <a:gd name="T151" fmla="*/ 8468 h 613"/>
                              <a:gd name="T152" fmla="+- 0 7100 6935"/>
                              <a:gd name="T153" fmla="*/ T152 w 270"/>
                              <a:gd name="T154" fmla="+- 0 8417 7975"/>
                              <a:gd name="T155" fmla="*/ 8417 h 613"/>
                              <a:gd name="T156" fmla="+- 0 7070 6935"/>
                              <a:gd name="T157" fmla="*/ T156 w 270"/>
                              <a:gd name="T158" fmla="+- 0 8468 7975"/>
                              <a:gd name="T159" fmla="*/ 8468 h 613"/>
                              <a:gd name="T160" fmla="+- 0 7096 6935"/>
                              <a:gd name="T161" fmla="*/ T160 w 270"/>
                              <a:gd name="T162" fmla="+- 0 8513 7975"/>
                              <a:gd name="T163" fmla="*/ 8513 h 613"/>
                              <a:gd name="T164" fmla="+- 0 7100 6935"/>
                              <a:gd name="T165" fmla="*/ T164 w 270"/>
                              <a:gd name="T166" fmla="+- 0 8513 7975"/>
                              <a:gd name="T167" fmla="*/ 8513 h 613"/>
                              <a:gd name="T168" fmla="+- 0 7100 6935"/>
                              <a:gd name="T169" fmla="*/ T168 w 270"/>
                              <a:gd name="T170" fmla="+- 0 8417 7975"/>
                              <a:gd name="T171" fmla="*/ 8417 h 613"/>
                              <a:gd name="T172" fmla="+- 0 7100 6935"/>
                              <a:gd name="T173" fmla="*/ T172 w 270"/>
                              <a:gd name="T174" fmla="+- 0 7975 7975"/>
                              <a:gd name="T175" fmla="*/ 7975 h 613"/>
                              <a:gd name="T176" fmla="+- 0 7040 6935"/>
                              <a:gd name="T177" fmla="*/ T176 w 270"/>
                              <a:gd name="T178" fmla="+- 0 7975 7975"/>
                              <a:gd name="T179" fmla="*/ 7975 h 613"/>
                              <a:gd name="T180" fmla="+- 0 7040 6935"/>
                              <a:gd name="T181" fmla="*/ T180 w 270"/>
                              <a:gd name="T182" fmla="+- 0 8417 7975"/>
                              <a:gd name="T183" fmla="*/ 8417 h 613"/>
                              <a:gd name="T184" fmla="+- 0 7070 6935"/>
                              <a:gd name="T185" fmla="*/ T184 w 270"/>
                              <a:gd name="T186" fmla="+- 0 8468 7975"/>
                              <a:gd name="T187" fmla="*/ 8468 h 613"/>
                              <a:gd name="T188" fmla="+- 0 7100 6935"/>
                              <a:gd name="T189" fmla="*/ T188 w 270"/>
                              <a:gd name="T190" fmla="+- 0 8417 7975"/>
                              <a:gd name="T191" fmla="*/ 8417 h 613"/>
                              <a:gd name="T192" fmla="+- 0 7100 6935"/>
                              <a:gd name="T193" fmla="*/ T192 w 270"/>
                              <a:gd name="T194" fmla="+- 0 7975 7975"/>
                              <a:gd name="T195" fmla="*/ 7975 h 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0" h="613">
                                <a:moveTo>
                                  <a:pt x="26" y="343"/>
                                </a:moveTo>
                                <a:lnTo>
                                  <a:pt x="15" y="347"/>
                                </a:lnTo>
                                <a:lnTo>
                                  <a:pt x="6" y="355"/>
                                </a:lnTo>
                                <a:lnTo>
                                  <a:pt x="1" y="365"/>
                                </a:lnTo>
                                <a:lnTo>
                                  <a:pt x="0" y="377"/>
                                </a:lnTo>
                                <a:lnTo>
                                  <a:pt x="4" y="388"/>
                                </a:lnTo>
                                <a:lnTo>
                                  <a:pt x="135" y="612"/>
                                </a:lnTo>
                                <a:lnTo>
                                  <a:pt x="170" y="553"/>
                                </a:lnTo>
                                <a:lnTo>
                                  <a:pt x="105" y="553"/>
                                </a:lnTo>
                                <a:lnTo>
                                  <a:pt x="105" y="442"/>
                                </a:lnTo>
                                <a:lnTo>
                                  <a:pt x="56" y="358"/>
                                </a:lnTo>
                                <a:lnTo>
                                  <a:pt x="48" y="349"/>
                                </a:lnTo>
                                <a:lnTo>
                                  <a:pt x="38" y="344"/>
                                </a:lnTo>
                                <a:lnTo>
                                  <a:pt x="26" y="343"/>
                                </a:lnTo>
                                <a:close/>
                                <a:moveTo>
                                  <a:pt x="105" y="442"/>
                                </a:moveTo>
                                <a:lnTo>
                                  <a:pt x="105" y="553"/>
                                </a:lnTo>
                                <a:lnTo>
                                  <a:pt x="165" y="553"/>
                                </a:lnTo>
                                <a:lnTo>
                                  <a:pt x="165" y="538"/>
                                </a:lnTo>
                                <a:lnTo>
                                  <a:pt x="109" y="538"/>
                                </a:lnTo>
                                <a:lnTo>
                                  <a:pt x="135" y="493"/>
                                </a:lnTo>
                                <a:lnTo>
                                  <a:pt x="105" y="442"/>
                                </a:lnTo>
                                <a:close/>
                                <a:moveTo>
                                  <a:pt x="244" y="343"/>
                                </a:moveTo>
                                <a:lnTo>
                                  <a:pt x="232" y="344"/>
                                </a:lnTo>
                                <a:lnTo>
                                  <a:pt x="222" y="349"/>
                                </a:lnTo>
                                <a:lnTo>
                                  <a:pt x="214" y="358"/>
                                </a:lnTo>
                                <a:lnTo>
                                  <a:pt x="165" y="442"/>
                                </a:lnTo>
                                <a:lnTo>
                                  <a:pt x="165" y="553"/>
                                </a:lnTo>
                                <a:lnTo>
                                  <a:pt x="170" y="553"/>
                                </a:lnTo>
                                <a:lnTo>
                                  <a:pt x="266" y="388"/>
                                </a:lnTo>
                                <a:lnTo>
                                  <a:pt x="270" y="377"/>
                                </a:lnTo>
                                <a:lnTo>
                                  <a:pt x="269" y="365"/>
                                </a:lnTo>
                                <a:lnTo>
                                  <a:pt x="264" y="355"/>
                                </a:lnTo>
                                <a:lnTo>
                                  <a:pt x="255" y="347"/>
                                </a:lnTo>
                                <a:lnTo>
                                  <a:pt x="244" y="343"/>
                                </a:lnTo>
                                <a:close/>
                                <a:moveTo>
                                  <a:pt x="135" y="493"/>
                                </a:moveTo>
                                <a:lnTo>
                                  <a:pt x="109" y="538"/>
                                </a:lnTo>
                                <a:lnTo>
                                  <a:pt x="161" y="538"/>
                                </a:lnTo>
                                <a:lnTo>
                                  <a:pt x="135" y="493"/>
                                </a:lnTo>
                                <a:close/>
                                <a:moveTo>
                                  <a:pt x="165" y="442"/>
                                </a:moveTo>
                                <a:lnTo>
                                  <a:pt x="135" y="493"/>
                                </a:lnTo>
                                <a:lnTo>
                                  <a:pt x="161" y="538"/>
                                </a:lnTo>
                                <a:lnTo>
                                  <a:pt x="165" y="538"/>
                                </a:lnTo>
                                <a:lnTo>
                                  <a:pt x="165" y="442"/>
                                </a:lnTo>
                                <a:close/>
                                <a:moveTo>
                                  <a:pt x="165" y="0"/>
                                </a:moveTo>
                                <a:lnTo>
                                  <a:pt x="105" y="0"/>
                                </a:lnTo>
                                <a:lnTo>
                                  <a:pt x="105" y="442"/>
                                </a:lnTo>
                                <a:lnTo>
                                  <a:pt x="135" y="493"/>
                                </a:lnTo>
                                <a:lnTo>
                                  <a:pt x="165" y="442"/>
                                </a:lnTo>
                                <a:lnTo>
                                  <a:pt x="165" y="0"/>
                                </a:lnTo>
                                <a:close/>
                              </a:path>
                            </a:pathLst>
                          </a:custGeom>
                          <a:solidFill>
                            <a:srgbClr val="000000">
                              <a:alpha val="3490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AutoShape 143"/>
                        <wps:cNvSpPr>
                          <a:spLocks/>
                        </wps:cNvSpPr>
                        <wps:spPr bwMode="auto">
                          <a:xfrm>
                            <a:off x="6935" y="7938"/>
                            <a:ext cx="270" cy="613"/>
                          </a:xfrm>
                          <a:custGeom>
                            <a:avLst/>
                            <a:gdLst>
                              <a:gd name="T0" fmla="+- 0 6961 6935"/>
                              <a:gd name="T1" fmla="*/ T0 w 270"/>
                              <a:gd name="T2" fmla="+- 0 8282 7938"/>
                              <a:gd name="T3" fmla="*/ 8282 h 613"/>
                              <a:gd name="T4" fmla="+- 0 6950 6935"/>
                              <a:gd name="T5" fmla="*/ T4 w 270"/>
                              <a:gd name="T6" fmla="+- 0 8285 7938"/>
                              <a:gd name="T7" fmla="*/ 8285 h 613"/>
                              <a:gd name="T8" fmla="+- 0 6941 6935"/>
                              <a:gd name="T9" fmla="*/ T8 w 270"/>
                              <a:gd name="T10" fmla="+- 0 8293 7938"/>
                              <a:gd name="T11" fmla="*/ 8293 h 613"/>
                              <a:gd name="T12" fmla="+- 0 6936 6935"/>
                              <a:gd name="T13" fmla="*/ T12 w 270"/>
                              <a:gd name="T14" fmla="+- 0 8304 7938"/>
                              <a:gd name="T15" fmla="*/ 8304 h 613"/>
                              <a:gd name="T16" fmla="+- 0 6935 6935"/>
                              <a:gd name="T17" fmla="*/ T16 w 270"/>
                              <a:gd name="T18" fmla="+- 0 8315 7938"/>
                              <a:gd name="T19" fmla="*/ 8315 h 613"/>
                              <a:gd name="T20" fmla="+- 0 6939 6935"/>
                              <a:gd name="T21" fmla="*/ T20 w 270"/>
                              <a:gd name="T22" fmla="+- 0 8327 7938"/>
                              <a:gd name="T23" fmla="*/ 8327 h 613"/>
                              <a:gd name="T24" fmla="+- 0 7070 6935"/>
                              <a:gd name="T25" fmla="*/ T24 w 270"/>
                              <a:gd name="T26" fmla="+- 0 8551 7938"/>
                              <a:gd name="T27" fmla="*/ 8551 h 613"/>
                              <a:gd name="T28" fmla="+- 0 7105 6935"/>
                              <a:gd name="T29" fmla="*/ T28 w 270"/>
                              <a:gd name="T30" fmla="+- 0 8491 7938"/>
                              <a:gd name="T31" fmla="*/ 8491 h 613"/>
                              <a:gd name="T32" fmla="+- 0 7040 6935"/>
                              <a:gd name="T33" fmla="*/ T32 w 270"/>
                              <a:gd name="T34" fmla="+- 0 8491 7938"/>
                              <a:gd name="T35" fmla="*/ 8491 h 613"/>
                              <a:gd name="T36" fmla="+- 0 7040 6935"/>
                              <a:gd name="T37" fmla="*/ T36 w 270"/>
                              <a:gd name="T38" fmla="+- 0 8380 7938"/>
                              <a:gd name="T39" fmla="*/ 8380 h 613"/>
                              <a:gd name="T40" fmla="+- 0 6991 6935"/>
                              <a:gd name="T41" fmla="*/ T40 w 270"/>
                              <a:gd name="T42" fmla="+- 0 8296 7938"/>
                              <a:gd name="T43" fmla="*/ 8296 h 613"/>
                              <a:gd name="T44" fmla="+- 0 6983 6935"/>
                              <a:gd name="T45" fmla="*/ T44 w 270"/>
                              <a:gd name="T46" fmla="+- 0 8287 7938"/>
                              <a:gd name="T47" fmla="*/ 8287 h 613"/>
                              <a:gd name="T48" fmla="+- 0 6973 6935"/>
                              <a:gd name="T49" fmla="*/ T48 w 270"/>
                              <a:gd name="T50" fmla="+- 0 8282 7938"/>
                              <a:gd name="T51" fmla="*/ 8282 h 613"/>
                              <a:gd name="T52" fmla="+- 0 6961 6935"/>
                              <a:gd name="T53" fmla="*/ T52 w 270"/>
                              <a:gd name="T54" fmla="+- 0 8282 7938"/>
                              <a:gd name="T55" fmla="*/ 8282 h 613"/>
                              <a:gd name="T56" fmla="+- 0 7040 6935"/>
                              <a:gd name="T57" fmla="*/ T56 w 270"/>
                              <a:gd name="T58" fmla="+- 0 8380 7938"/>
                              <a:gd name="T59" fmla="*/ 8380 h 613"/>
                              <a:gd name="T60" fmla="+- 0 7040 6935"/>
                              <a:gd name="T61" fmla="*/ T60 w 270"/>
                              <a:gd name="T62" fmla="+- 0 8491 7938"/>
                              <a:gd name="T63" fmla="*/ 8491 h 613"/>
                              <a:gd name="T64" fmla="+- 0 7100 6935"/>
                              <a:gd name="T65" fmla="*/ T64 w 270"/>
                              <a:gd name="T66" fmla="+- 0 8491 7938"/>
                              <a:gd name="T67" fmla="*/ 8491 h 613"/>
                              <a:gd name="T68" fmla="+- 0 7100 6935"/>
                              <a:gd name="T69" fmla="*/ T68 w 270"/>
                              <a:gd name="T70" fmla="+- 0 8476 7938"/>
                              <a:gd name="T71" fmla="*/ 8476 h 613"/>
                              <a:gd name="T72" fmla="+- 0 7044 6935"/>
                              <a:gd name="T73" fmla="*/ T72 w 270"/>
                              <a:gd name="T74" fmla="+- 0 8476 7938"/>
                              <a:gd name="T75" fmla="*/ 8476 h 613"/>
                              <a:gd name="T76" fmla="+- 0 7070 6935"/>
                              <a:gd name="T77" fmla="*/ T76 w 270"/>
                              <a:gd name="T78" fmla="+- 0 8432 7938"/>
                              <a:gd name="T79" fmla="*/ 8432 h 613"/>
                              <a:gd name="T80" fmla="+- 0 7040 6935"/>
                              <a:gd name="T81" fmla="*/ T80 w 270"/>
                              <a:gd name="T82" fmla="+- 0 8380 7938"/>
                              <a:gd name="T83" fmla="*/ 8380 h 613"/>
                              <a:gd name="T84" fmla="+- 0 7179 6935"/>
                              <a:gd name="T85" fmla="*/ T84 w 270"/>
                              <a:gd name="T86" fmla="+- 0 8282 7938"/>
                              <a:gd name="T87" fmla="*/ 8282 h 613"/>
                              <a:gd name="T88" fmla="+- 0 7167 6935"/>
                              <a:gd name="T89" fmla="*/ T88 w 270"/>
                              <a:gd name="T90" fmla="+- 0 8282 7938"/>
                              <a:gd name="T91" fmla="*/ 8282 h 613"/>
                              <a:gd name="T92" fmla="+- 0 7157 6935"/>
                              <a:gd name="T93" fmla="*/ T92 w 270"/>
                              <a:gd name="T94" fmla="+- 0 8287 7938"/>
                              <a:gd name="T95" fmla="*/ 8287 h 613"/>
                              <a:gd name="T96" fmla="+- 0 7149 6935"/>
                              <a:gd name="T97" fmla="*/ T96 w 270"/>
                              <a:gd name="T98" fmla="+- 0 8296 7938"/>
                              <a:gd name="T99" fmla="*/ 8296 h 613"/>
                              <a:gd name="T100" fmla="+- 0 7100 6935"/>
                              <a:gd name="T101" fmla="*/ T100 w 270"/>
                              <a:gd name="T102" fmla="+- 0 8380 7938"/>
                              <a:gd name="T103" fmla="*/ 8380 h 613"/>
                              <a:gd name="T104" fmla="+- 0 7100 6935"/>
                              <a:gd name="T105" fmla="*/ T104 w 270"/>
                              <a:gd name="T106" fmla="+- 0 8491 7938"/>
                              <a:gd name="T107" fmla="*/ 8491 h 613"/>
                              <a:gd name="T108" fmla="+- 0 7105 6935"/>
                              <a:gd name="T109" fmla="*/ T108 w 270"/>
                              <a:gd name="T110" fmla="+- 0 8491 7938"/>
                              <a:gd name="T111" fmla="*/ 8491 h 613"/>
                              <a:gd name="T112" fmla="+- 0 7201 6935"/>
                              <a:gd name="T113" fmla="*/ T112 w 270"/>
                              <a:gd name="T114" fmla="+- 0 8327 7938"/>
                              <a:gd name="T115" fmla="*/ 8327 h 613"/>
                              <a:gd name="T116" fmla="+- 0 7205 6935"/>
                              <a:gd name="T117" fmla="*/ T116 w 270"/>
                              <a:gd name="T118" fmla="+- 0 8315 7938"/>
                              <a:gd name="T119" fmla="*/ 8315 h 613"/>
                              <a:gd name="T120" fmla="+- 0 7204 6935"/>
                              <a:gd name="T121" fmla="*/ T120 w 270"/>
                              <a:gd name="T122" fmla="+- 0 8304 7938"/>
                              <a:gd name="T123" fmla="*/ 8304 h 613"/>
                              <a:gd name="T124" fmla="+- 0 7199 6935"/>
                              <a:gd name="T125" fmla="*/ T124 w 270"/>
                              <a:gd name="T126" fmla="+- 0 8293 7938"/>
                              <a:gd name="T127" fmla="*/ 8293 h 613"/>
                              <a:gd name="T128" fmla="+- 0 7190 6935"/>
                              <a:gd name="T129" fmla="*/ T128 w 270"/>
                              <a:gd name="T130" fmla="+- 0 8285 7938"/>
                              <a:gd name="T131" fmla="*/ 8285 h 613"/>
                              <a:gd name="T132" fmla="+- 0 7179 6935"/>
                              <a:gd name="T133" fmla="*/ T132 w 270"/>
                              <a:gd name="T134" fmla="+- 0 8282 7938"/>
                              <a:gd name="T135" fmla="*/ 8282 h 613"/>
                              <a:gd name="T136" fmla="+- 0 7070 6935"/>
                              <a:gd name="T137" fmla="*/ T136 w 270"/>
                              <a:gd name="T138" fmla="+- 0 8432 7938"/>
                              <a:gd name="T139" fmla="*/ 8432 h 613"/>
                              <a:gd name="T140" fmla="+- 0 7044 6935"/>
                              <a:gd name="T141" fmla="*/ T140 w 270"/>
                              <a:gd name="T142" fmla="+- 0 8476 7938"/>
                              <a:gd name="T143" fmla="*/ 8476 h 613"/>
                              <a:gd name="T144" fmla="+- 0 7096 6935"/>
                              <a:gd name="T145" fmla="*/ T144 w 270"/>
                              <a:gd name="T146" fmla="+- 0 8476 7938"/>
                              <a:gd name="T147" fmla="*/ 8476 h 613"/>
                              <a:gd name="T148" fmla="+- 0 7070 6935"/>
                              <a:gd name="T149" fmla="*/ T148 w 270"/>
                              <a:gd name="T150" fmla="+- 0 8432 7938"/>
                              <a:gd name="T151" fmla="*/ 8432 h 613"/>
                              <a:gd name="T152" fmla="+- 0 7100 6935"/>
                              <a:gd name="T153" fmla="*/ T152 w 270"/>
                              <a:gd name="T154" fmla="+- 0 8380 7938"/>
                              <a:gd name="T155" fmla="*/ 8380 h 613"/>
                              <a:gd name="T156" fmla="+- 0 7070 6935"/>
                              <a:gd name="T157" fmla="*/ T156 w 270"/>
                              <a:gd name="T158" fmla="+- 0 8432 7938"/>
                              <a:gd name="T159" fmla="*/ 8432 h 613"/>
                              <a:gd name="T160" fmla="+- 0 7096 6935"/>
                              <a:gd name="T161" fmla="*/ T160 w 270"/>
                              <a:gd name="T162" fmla="+- 0 8476 7938"/>
                              <a:gd name="T163" fmla="*/ 8476 h 613"/>
                              <a:gd name="T164" fmla="+- 0 7100 6935"/>
                              <a:gd name="T165" fmla="*/ T164 w 270"/>
                              <a:gd name="T166" fmla="+- 0 8476 7938"/>
                              <a:gd name="T167" fmla="*/ 8476 h 613"/>
                              <a:gd name="T168" fmla="+- 0 7100 6935"/>
                              <a:gd name="T169" fmla="*/ T168 w 270"/>
                              <a:gd name="T170" fmla="+- 0 8380 7938"/>
                              <a:gd name="T171" fmla="*/ 8380 h 613"/>
                              <a:gd name="T172" fmla="+- 0 7100 6935"/>
                              <a:gd name="T173" fmla="*/ T172 w 270"/>
                              <a:gd name="T174" fmla="+- 0 7938 7938"/>
                              <a:gd name="T175" fmla="*/ 7938 h 613"/>
                              <a:gd name="T176" fmla="+- 0 7040 6935"/>
                              <a:gd name="T177" fmla="*/ T176 w 270"/>
                              <a:gd name="T178" fmla="+- 0 7938 7938"/>
                              <a:gd name="T179" fmla="*/ 7938 h 613"/>
                              <a:gd name="T180" fmla="+- 0 7040 6935"/>
                              <a:gd name="T181" fmla="*/ T180 w 270"/>
                              <a:gd name="T182" fmla="+- 0 8380 7938"/>
                              <a:gd name="T183" fmla="*/ 8380 h 613"/>
                              <a:gd name="T184" fmla="+- 0 7070 6935"/>
                              <a:gd name="T185" fmla="*/ T184 w 270"/>
                              <a:gd name="T186" fmla="+- 0 8432 7938"/>
                              <a:gd name="T187" fmla="*/ 8432 h 613"/>
                              <a:gd name="T188" fmla="+- 0 7100 6935"/>
                              <a:gd name="T189" fmla="*/ T188 w 270"/>
                              <a:gd name="T190" fmla="+- 0 8380 7938"/>
                              <a:gd name="T191" fmla="*/ 8380 h 613"/>
                              <a:gd name="T192" fmla="+- 0 7100 6935"/>
                              <a:gd name="T193" fmla="*/ T192 w 270"/>
                              <a:gd name="T194" fmla="+- 0 7938 7938"/>
                              <a:gd name="T195" fmla="*/ 7938 h 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0" h="613">
                                <a:moveTo>
                                  <a:pt x="26" y="344"/>
                                </a:moveTo>
                                <a:lnTo>
                                  <a:pt x="15" y="347"/>
                                </a:lnTo>
                                <a:lnTo>
                                  <a:pt x="6" y="355"/>
                                </a:lnTo>
                                <a:lnTo>
                                  <a:pt x="1" y="366"/>
                                </a:lnTo>
                                <a:lnTo>
                                  <a:pt x="0" y="377"/>
                                </a:lnTo>
                                <a:lnTo>
                                  <a:pt x="4" y="389"/>
                                </a:lnTo>
                                <a:lnTo>
                                  <a:pt x="135" y="613"/>
                                </a:lnTo>
                                <a:lnTo>
                                  <a:pt x="170" y="553"/>
                                </a:lnTo>
                                <a:lnTo>
                                  <a:pt x="105" y="553"/>
                                </a:lnTo>
                                <a:lnTo>
                                  <a:pt x="105" y="442"/>
                                </a:lnTo>
                                <a:lnTo>
                                  <a:pt x="56" y="358"/>
                                </a:lnTo>
                                <a:lnTo>
                                  <a:pt x="48" y="349"/>
                                </a:lnTo>
                                <a:lnTo>
                                  <a:pt x="38" y="344"/>
                                </a:lnTo>
                                <a:lnTo>
                                  <a:pt x="26" y="344"/>
                                </a:lnTo>
                                <a:close/>
                                <a:moveTo>
                                  <a:pt x="105" y="442"/>
                                </a:moveTo>
                                <a:lnTo>
                                  <a:pt x="105" y="553"/>
                                </a:lnTo>
                                <a:lnTo>
                                  <a:pt x="165" y="553"/>
                                </a:lnTo>
                                <a:lnTo>
                                  <a:pt x="165" y="538"/>
                                </a:lnTo>
                                <a:lnTo>
                                  <a:pt x="109" y="538"/>
                                </a:lnTo>
                                <a:lnTo>
                                  <a:pt x="135" y="494"/>
                                </a:lnTo>
                                <a:lnTo>
                                  <a:pt x="105" y="442"/>
                                </a:lnTo>
                                <a:close/>
                                <a:moveTo>
                                  <a:pt x="244" y="344"/>
                                </a:moveTo>
                                <a:lnTo>
                                  <a:pt x="232" y="344"/>
                                </a:lnTo>
                                <a:lnTo>
                                  <a:pt x="222" y="349"/>
                                </a:lnTo>
                                <a:lnTo>
                                  <a:pt x="214" y="358"/>
                                </a:lnTo>
                                <a:lnTo>
                                  <a:pt x="165" y="442"/>
                                </a:lnTo>
                                <a:lnTo>
                                  <a:pt x="165" y="553"/>
                                </a:lnTo>
                                <a:lnTo>
                                  <a:pt x="170" y="553"/>
                                </a:lnTo>
                                <a:lnTo>
                                  <a:pt x="266" y="389"/>
                                </a:lnTo>
                                <a:lnTo>
                                  <a:pt x="270" y="377"/>
                                </a:lnTo>
                                <a:lnTo>
                                  <a:pt x="269" y="366"/>
                                </a:lnTo>
                                <a:lnTo>
                                  <a:pt x="264" y="355"/>
                                </a:lnTo>
                                <a:lnTo>
                                  <a:pt x="255" y="347"/>
                                </a:lnTo>
                                <a:lnTo>
                                  <a:pt x="244" y="344"/>
                                </a:lnTo>
                                <a:close/>
                                <a:moveTo>
                                  <a:pt x="135" y="494"/>
                                </a:moveTo>
                                <a:lnTo>
                                  <a:pt x="109" y="538"/>
                                </a:lnTo>
                                <a:lnTo>
                                  <a:pt x="161" y="538"/>
                                </a:lnTo>
                                <a:lnTo>
                                  <a:pt x="135" y="494"/>
                                </a:lnTo>
                                <a:close/>
                                <a:moveTo>
                                  <a:pt x="165" y="442"/>
                                </a:moveTo>
                                <a:lnTo>
                                  <a:pt x="135" y="494"/>
                                </a:lnTo>
                                <a:lnTo>
                                  <a:pt x="161" y="538"/>
                                </a:lnTo>
                                <a:lnTo>
                                  <a:pt x="165" y="538"/>
                                </a:lnTo>
                                <a:lnTo>
                                  <a:pt x="165" y="442"/>
                                </a:lnTo>
                                <a:close/>
                                <a:moveTo>
                                  <a:pt x="165" y="0"/>
                                </a:moveTo>
                                <a:lnTo>
                                  <a:pt x="105" y="0"/>
                                </a:lnTo>
                                <a:lnTo>
                                  <a:pt x="105" y="442"/>
                                </a:lnTo>
                                <a:lnTo>
                                  <a:pt x="135" y="494"/>
                                </a:lnTo>
                                <a:lnTo>
                                  <a:pt x="165" y="442"/>
                                </a:lnTo>
                                <a:lnTo>
                                  <a:pt x="16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144"/>
                        <wps:cNvSpPr>
                          <a:spLocks/>
                        </wps:cNvSpPr>
                        <wps:spPr bwMode="auto">
                          <a:xfrm>
                            <a:off x="6371" y="8551"/>
                            <a:ext cx="1548" cy="457"/>
                          </a:xfrm>
                          <a:custGeom>
                            <a:avLst/>
                            <a:gdLst>
                              <a:gd name="T0" fmla="+- 0 7919 6371"/>
                              <a:gd name="T1" fmla="*/ T0 w 1548"/>
                              <a:gd name="T2" fmla="+- 0 8551 8551"/>
                              <a:gd name="T3" fmla="*/ 8551 h 457"/>
                              <a:gd name="T4" fmla="+- 0 6371 6371"/>
                              <a:gd name="T5" fmla="*/ T4 w 1548"/>
                              <a:gd name="T6" fmla="+- 0 8551 8551"/>
                              <a:gd name="T7" fmla="*/ 8551 h 457"/>
                              <a:gd name="T8" fmla="+- 0 6371 6371"/>
                              <a:gd name="T9" fmla="*/ T8 w 1548"/>
                              <a:gd name="T10" fmla="+- 0 8978 8551"/>
                              <a:gd name="T11" fmla="*/ 8978 h 457"/>
                              <a:gd name="T12" fmla="+- 0 6371 6371"/>
                              <a:gd name="T13" fmla="*/ T12 w 1548"/>
                              <a:gd name="T14" fmla="+- 0 9008 8551"/>
                              <a:gd name="T15" fmla="*/ 9008 h 457"/>
                              <a:gd name="T16" fmla="+- 0 7919 6371"/>
                              <a:gd name="T17" fmla="*/ T16 w 1548"/>
                              <a:gd name="T18" fmla="+- 0 9008 8551"/>
                              <a:gd name="T19" fmla="*/ 9008 h 457"/>
                              <a:gd name="T20" fmla="+- 0 7919 6371"/>
                              <a:gd name="T21" fmla="*/ T20 w 1548"/>
                              <a:gd name="T22" fmla="+- 0 8978 8551"/>
                              <a:gd name="T23" fmla="*/ 8978 h 457"/>
                              <a:gd name="T24" fmla="+- 0 7919 6371"/>
                              <a:gd name="T25" fmla="*/ T24 w 1548"/>
                              <a:gd name="T26" fmla="+- 0 8551 8551"/>
                              <a:gd name="T27" fmla="*/ 8551 h 457"/>
                            </a:gdLst>
                            <a:ahLst/>
                            <a:cxnLst>
                              <a:cxn ang="0">
                                <a:pos x="T1" y="T3"/>
                              </a:cxn>
                              <a:cxn ang="0">
                                <a:pos x="T5" y="T7"/>
                              </a:cxn>
                              <a:cxn ang="0">
                                <a:pos x="T9" y="T11"/>
                              </a:cxn>
                              <a:cxn ang="0">
                                <a:pos x="T13" y="T15"/>
                              </a:cxn>
                              <a:cxn ang="0">
                                <a:pos x="T17" y="T19"/>
                              </a:cxn>
                              <a:cxn ang="0">
                                <a:pos x="T21" y="T23"/>
                              </a:cxn>
                              <a:cxn ang="0">
                                <a:pos x="T25" y="T27"/>
                              </a:cxn>
                            </a:cxnLst>
                            <a:rect l="0" t="0" r="r" b="b"/>
                            <a:pathLst>
                              <a:path w="1548" h="457">
                                <a:moveTo>
                                  <a:pt x="1548" y="0"/>
                                </a:moveTo>
                                <a:lnTo>
                                  <a:pt x="0" y="0"/>
                                </a:lnTo>
                                <a:lnTo>
                                  <a:pt x="0" y="427"/>
                                </a:lnTo>
                                <a:lnTo>
                                  <a:pt x="0" y="457"/>
                                </a:lnTo>
                                <a:lnTo>
                                  <a:pt x="1548" y="457"/>
                                </a:lnTo>
                                <a:lnTo>
                                  <a:pt x="1548" y="427"/>
                                </a:lnTo>
                                <a:lnTo>
                                  <a:pt x="154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1" name="Picture 14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590" y="3925"/>
                            <a:ext cx="7915"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 name="AutoShape 146"/>
                        <wps:cNvSpPr>
                          <a:spLocks/>
                        </wps:cNvSpPr>
                        <wps:spPr bwMode="auto">
                          <a:xfrm>
                            <a:off x="6909" y="4296"/>
                            <a:ext cx="270" cy="947"/>
                          </a:xfrm>
                          <a:custGeom>
                            <a:avLst/>
                            <a:gdLst>
                              <a:gd name="T0" fmla="+- 0 6935 6910"/>
                              <a:gd name="T1" fmla="*/ T0 w 270"/>
                              <a:gd name="T2" fmla="+- 0 4974 4297"/>
                              <a:gd name="T3" fmla="*/ 4974 h 947"/>
                              <a:gd name="T4" fmla="+- 0 6924 6910"/>
                              <a:gd name="T5" fmla="*/ T4 w 270"/>
                              <a:gd name="T6" fmla="+- 0 4978 4297"/>
                              <a:gd name="T7" fmla="*/ 4978 h 947"/>
                              <a:gd name="T8" fmla="+- 0 6915 6910"/>
                              <a:gd name="T9" fmla="*/ T8 w 270"/>
                              <a:gd name="T10" fmla="+- 0 4986 4297"/>
                              <a:gd name="T11" fmla="*/ 4986 h 947"/>
                              <a:gd name="T12" fmla="+- 0 6910 6910"/>
                              <a:gd name="T13" fmla="*/ T12 w 270"/>
                              <a:gd name="T14" fmla="+- 0 4996 4297"/>
                              <a:gd name="T15" fmla="*/ 4996 h 947"/>
                              <a:gd name="T16" fmla="+- 0 6910 6910"/>
                              <a:gd name="T17" fmla="*/ T16 w 270"/>
                              <a:gd name="T18" fmla="+- 0 5007 4297"/>
                              <a:gd name="T19" fmla="*/ 5007 h 947"/>
                              <a:gd name="T20" fmla="+- 0 6913 6910"/>
                              <a:gd name="T21" fmla="*/ T20 w 270"/>
                              <a:gd name="T22" fmla="+- 0 5019 4297"/>
                              <a:gd name="T23" fmla="*/ 5019 h 947"/>
                              <a:gd name="T24" fmla="+- 0 7044 6910"/>
                              <a:gd name="T25" fmla="*/ T24 w 270"/>
                              <a:gd name="T26" fmla="+- 0 5243 4297"/>
                              <a:gd name="T27" fmla="*/ 5243 h 947"/>
                              <a:gd name="T28" fmla="+- 0 7079 6910"/>
                              <a:gd name="T29" fmla="*/ T28 w 270"/>
                              <a:gd name="T30" fmla="+- 0 5184 4297"/>
                              <a:gd name="T31" fmla="*/ 5184 h 947"/>
                              <a:gd name="T32" fmla="+- 0 7014 6910"/>
                              <a:gd name="T33" fmla="*/ T32 w 270"/>
                              <a:gd name="T34" fmla="+- 0 5184 4297"/>
                              <a:gd name="T35" fmla="*/ 5184 h 947"/>
                              <a:gd name="T36" fmla="+- 0 7014 6910"/>
                              <a:gd name="T37" fmla="*/ T36 w 270"/>
                              <a:gd name="T38" fmla="+- 0 5073 4297"/>
                              <a:gd name="T39" fmla="*/ 5073 h 947"/>
                              <a:gd name="T40" fmla="+- 0 6965 6910"/>
                              <a:gd name="T41" fmla="*/ T40 w 270"/>
                              <a:gd name="T42" fmla="+- 0 4988 4297"/>
                              <a:gd name="T43" fmla="*/ 4988 h 947"/>
                              <a:gd name="T44" fmla="+- 0 6957 6910"/>
                              <a:gd name="T45" fmla="*/ T44 w 270"/>
                              <a:gd name="T46" fmla="+- 0 4980 4297"/>
                              <a:gd name="T47" fmla="*/ 4980 h 947"/>
                              <a:gd name="T48" fmla="+- 0 6947 6910"/>
                              <a:gd name="T49" fmla="*/ T48 w 270"/>
                              <a:gd name="T50" fmla="+- 0 4975 4297"/>
                              <a:gd name="T51" fmla="*/ 4975 h 947"/>
                              <a:gd name="T52" fmla="+- 0 6935 6910"/>
                              <a:gd name="T53" fmla="*/ T52 w 270"/>
                              <a:gd name="T54" fmla="+- 0 4974 4297"/>
                              <a:gd name="T55" fmla="*/ 4974 h 947"/>
                              <a:gd name="T56" fmla="+- 0 7014 6910"/>
                              <a:gd name="T57" fmla="*/ T56 w 270"/>
                              <a:gd name="T58" fmla="+- 0 5073 4297"/>
                              <a:gd name="T59" fmla="*/ 5073 h 947"/>
                              <a:gd name="T60" fmla="+- 0 7014 6910"/>
                              <a:gd name="T61" fmla="*/ T60 w 270"/>
                              <a:gd name="T62" fmla="+- 0 5184 4297"/>
                              <a:gd name="T63" fmla="*/ 5184 h 947"/>
                              <a:gd name="T64" fmla="+- 0 7074 6910"/>
                              <a:gd name="T65" fmla="*/ T64 w 270"/>
                              <a:gd name="T66" fmla="+- 0 5184 4297"/>
                              <a:gd name="T67" fmla="*/ 5184 h 947"/>
                              <a:gd name="T68" fmla="+- 0 7074 6910"/>
                              <a:gd name="T69" fmla="*/ T68 w 270"/>
                              <a:gd name="T70" fmla="+- 0 5169 4297"/>
                              <a:gd name="T71" fmla="*/ 5169 h 947"/>
                              <a:gd name="T72" fmla="+- 0 7018 6910"/>
                              <a:gd name="T73" fmla="*/ T72 w 270"/>
                              <a:gd name="T74" fmla="+- 0 5168 4297"/>
                              <a:gd name="T75" fmla="*/ 5168 h 947"/>
                              <a:gd name="T76" fmla="+- 0 7044 6910"/>
                              <a:gd name="T77" fmla="*/ T76 w 270"/>
                              <a:gd name="T78" fmla="+- 0 5124 4297"/>
                              <a:gd name="T79" fmla="*/ 5124 h 947"/>
                              <a:gd name="T80" fmla="+- 0 7014 6910"/>
                              <a:gd name="T81" fmla="*/ T80 w 270"/>
                              <a:gd name="T82" fmla="+- 0 5073 4297"/>
                              <a:gd name="T83" fmla="*/ 5073 h 947"/>
                              <a:gd name="T84" fmla="+- 0 7153 6910"/>
                              <a:gd name="T85" fmla="*/ T84 w 270"/>
                              <a:gd name="T86" fmla="+- 0 4974 4297"/>
                              <a:gd name="T87" fmla="*/ 4974 h 947"/>
                              <a:gd name="T88" fmla="+- 0 7142 6910"/>
                              <a:gd name="T89" fmla="*/ T88 w 270"/>
                              <a:gd name="T90" fmla="+- 0 4975 4297"/>
                              <a:gd name="T91" fmla="*/ 4975 h 947"/>
                              <a:gd name="T92" fmla="+- 0 7131 6910"/>
                              <a:gd name="T93" fmla="*/ T92 w 270"/>
                              <a:gd name="T94" fmla="+- 0 4980 4297"/>
                              <a:gd name="T95" fmla="*/ 4980 h 947"/>
                              <a:gd name="T96" fmla="+- 0 7123 6910"/>
                              <a:gd name="T97" fmla="*/ T96 w 270"/>
                              <a:gd name="T98" fmla="+- 0 4989 4297"/>
                              <a:gd name="T99" fmla="*/ 4989 h 947"/>
                              <a:gd name="T100" fmla="+- 0 7074 6910"/>
                              <a:gd name="T101" fmla="*/ T100 w 270"/>
                              <a:gd name="T102" fmla="+- 0 5073 4297"/>
                              <a:gd name="T103" fmla="*/ 5073 h 947"/>
                              <a:gd name="T104" fmla="+- 0 7074 6910"/>
                              <a:gd name="T105" fmla="*/ T104 w 270"/>
                              <a:gd name="T106" fmla="+- 0 5184 4297"/>
                              <a:gd name="T107" fmla="*/ 5184 h 947"/>
                              <a:gd name="T108" fmla="+- 0 7079 6910"/>
                              <a:gd name="T109" fmla="*/ T108 w 270"/>
                              <a:gd name="T110" fmla="+- 0 5184 4297"/>
                              <a:gd name="T111" fmla="*/ 5184 h 947"/>
                              <a:gd name="T112" fmla="+- 0 7175 6910"/>
                              <a:gd name="T113" fmla="*/ T112 w 270"/>
                              <a:gd name="T114" fmla="+- 0 5019 4297"/>
                              <a:gd name="T115" fmla="*/ 5019 h 947"/>
                              <a:gd name="T116" fmla="+- 0 7179 6910"/>
                              <a:gd name="T117" fmla="*/ T116 w 270"/>
                              <a:gd name="T118" fmla="+- 0 5008 4297"/>
                              <a:gd name="T119" fmla="*/ 5008 h 947"/>
                              <a:gd name="T120" fmla="+- 0 7178 6910"/>
                              <a:gd name="T121" fmla="*/ T120 w 270"/>
                              <a:gd name="T122" fmla="+- 0 4996 4297"/>
                              <a:gd name="T123" fmla="*/ 4996 h 947"/>
                              <a:gd name="T124" fmla="+- 0 7173 6910"/>
                              <a:gd name="T125" fmla="*/ T124 w 270"/>
                              <a:gd name="T126" fmla="+- 0 4986 4297"/>
                              <a:gd name="T127" fmla="*/ 4986 h 947"/>
                              <a:gd name="T128" fmla="+- 0 7164 6910"/>
                              <a:gd name="T129" fmla="*/ T128 w 270"/>
                              <a:gd name="T130" fmla="+- 0 4978 4297"/>
                              <a:gd name="T131" fmla="*/ 4978 h 947"/>
                              <a:gd name="T132" fmla="+- 0 7153 6910"/>
                              <a:gd name="T133" fmla="*/ T132 w 270"/>
                              <a:gd name="T134" fmla="+- 0 4974 4297"/>
                              <a:gd name="T135" fmla="*/ 4974 h 947"/>
                              <a:gd name="T136" fmla="+- 0 7044 6910"/>
                              <a:gd name="T137" fmla="*/ T136 w 270"/>
                              <a:gd name="T138" fmla="+- 0 5124 4297"/>
                              <a:gd name="T139" fmla="*/ 5124 h 947"/>
                              <a:gd name="T140" fmla="+- 0 7018 6910"/>
                              <a:gd name="T141" fmla="*/ T140 w 270"/>
                              <a:gd name="T142" fmla="+- 0 5168 4297"/>
                              <a:gd name="T143" fmla="*/ 5168 h 947"/>
                              <a:gd name="T144" fmla="+- 0 7070 6910"/>
                              <a:gd name="T145" fmla="*/ T144 w 270"/>
                              <a:gd name="T146" fmla="+- 0 5169 4297"/>
                              <a:gd name="T147" fmla="*/ 5169 h 947"/>
                              <a:gd name="T148" fmla="+- 0 7044 6910"/>
                              <a:gd name="T149" fmla="*/ T148 w 270"/>
                              <a:gd name="T150" fmla="+- 0 5124 4297"/>
                              <a:gd name="T151" fmla="*/ 5124 h 947"/>
                              <a:gd name="T152" fmla="+- 0 7074 6910"/>
                              <a:gd name="T153" fmla="*/ T152 w 270"/>
                              <a:gd name="T154" fmla="+- 0 5073 4297"/>
                              <a:gd name="T155" fmla="*/ 5073 h 947"/>
                              <a:gd name="T156" fmla="+- 0 7044 6910"/>
                              <a:gd name="T157" fmla="*/ T156 w 270"/>
                              <a:gd name="T158" fmla="+- 0 5124 4297"/>
                              <a:gd name="T159" fmla="*/ 5124 h 947"/>
                              <a:gd name="T160" fmla="+- 0 7070 6910"/>
                              <a:gd name="T161" fmla="*/ T160 w 270"/>
                              <a:gd name="T162" fmla="+- 0 5169 4297"/>
                              <a:gd name="T163" fmla="*/ 5169 h 947"/>
                              <a:gd name="T164" fmla="+- 0 7074 6910"/>
                              <a:gd name="T165" fmla="*/ T164 w 270"/>
                              <a:gd name="T166" fmla="+- 0 5169 4297"/>
                              <a:gd name="T167" fmla="*/ 5169 h 947"/>
                              <a:gd name="T168" fmla="+- 0 7074 6910"/>
                              <a:gd name="T169" fmla="*/ T168 w 270"/>
                              <a:gd name="T170" fmla="+- 0 5073 4297"/>
                              <a:gd name="T171" fmla="*/ 5073 h 947"/>
                              <a:gd name="T172" fmla="+- 0 7075 6910"/>
                              <a:gd name="T173" fmla="*/ T172 w 270"/>
                              <a:gd name="T174" fmla="+- 0 4297 4297"/>
                              <a:gd name="T175" fmla="*/ 4297 h 947"/>
                              <a:gd name="T176" fmla="+- 0 7015 6910"/>
                              <a:gd name="T177" fmla="*/ T176 w 270"/>
                              <a:gd name="T178" fmla="+- 0 4297 4297"/>
                              <a:gd name="T179" fmla="*/ 4297 h 947"/>
                              <a:gd name="T180" fmla="+- 0 7014 6910"/>
                              <a:gd name="T181" fmla="*/ T180 w 270"/>
                              <a:gd name="T182" fmla="+- 0 4974 4297"/>
                              <a:gd name="T183" fmla="*/ 4974 h 947"/>
                              <a:gd name="T184" fmla="+- 0 7014 6910"/>
                              <a:gd name="T185" fmla="*/ T184 w 270"/>
                              <a:gd name="T186" fmla="+- 0 5073 4297"/>
                              <a:gd name="T187" fmla="*/ 5073 h 947"/>
                              <a:gd name="T188" fmla="+- 0 7044 6910"/>
                              <a:gd name="T189" fmla="*/ T188 w 270"/>
                              <a:gd name="T190" fmla="+- 0 5124 4297"/>
                              <a:gd name="T191" fmla="*/ 5124 h 947"/>
                              <a:gd name="T192" fmla="+- 0 7074 6910"/>
                              <a:gd name="T193" fmla="*/ T192 w 270"/>
                              <a:gd name="T194" fmla="+- 0 5073 4297"/>
                              <a:gd name="T195" fmla="*/ 5073 h 947"/>
                              <a:gd name="T196" fmla="+- 0 7075 6910"/>
                              <a:gd name="T197" fmla="*/ T196 w 270"/>
                              <a:gd name="T198" fmla="+- 0 4297 4297"/>
                              <a:gd name="T199" fmla="*/ 4297 h 9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70" h="947">
                                <a:moveTo>
                                  <a:pt x="25" y="677"/>
                                </a:moveTo>
                                <a:lnTo>
                                  <a:pt x="14" y="681"/>
                                </a:lnTo>
                                <a:lnTo>
                                  <a:pt x="5" y="689"/>
                                </a:lnTo>
                                <a:lnTo>
                                  <a:pt x="0" y="699"/>
                                </a:lnTo>
                                <a:lnTo>
                                  <a:pt x="0" y="710"/>
                                </a:lnTo>
                                <a:lnTo>
                                  <a:pt x="3" y="722"/>
                                </a:lnTo>
                                <a:lnTo>
                                  <a:pt x="134" y="946"/>
                                </a:lnTo>
                                <a:lnTo>
                                  <a:pt x="169" y="887"/>
                                </a:lnTo>
                                <a:lnTo>
                                  <a:pt x="104" y="887"/>
                                </a:lnTo>
                                <a:lnTo>
                                  <a:pt x="104" y="776"/>
                                </a:lnTo>
                                <a:lnTo>
                                  <a:pt x="55" y="691"/>
                                </a:lnTo>
                                <a:lnTo>
                                  <a:pt x="47" y="683"/>
                                </a:lnTo>
                                <a:lnTo>
                                  <a:pt x="37" y="678"/>
                                </a:lnTo>
                                <a:lnTo>
                                  <a:pt x="25" y="677"/>
                                </a:lnTo>
                                <a:close/>
                                <a:moveTo>
                                  <a:pt x="104" y="776"/>
                                </a:moveTo>
                                <a:lnTo>
                                  <a:pt x="104" y="887"/>
                                </a:lnTo>
                                <a:lnTo>
                                  <a:pt x="164" y="887"/>
                                </a:lnTo>
                                <a:lnTo>
                                  <a:pt x="164" y="872"/>
                                </a:lnTo>
                                <a:lnTo>
                                  <a:pt x="108" y="871"/>
                                </a:lnTo>
                                <a:lnTo>
                                  <a:pt x="134" y="827"/>
                                </a:lnTo>
                                <a:lnTo>
                                  <a:pt x="104" y="776"/>
                                </a:lnTo>
                                <a:close/>
                                <a:moveTo>
                                  <a:pt x="243" y="677"/>
                                </a:moveTo>
                                <a:lnTo>
                                  <a:pt x="232" y="678"/>
                                </a:lnTo>
                                <a:lnTo>
                                  <a:pt x="221" y="683"/>
                                </a:lnTo>
                                <a:lnTo>
                                  <a:pt x="213" y="692"/>
                                </a:lnTo>
                                <a:lnTo>
                                  <a:pt x="164" y="776"/>
                                </a:lnTo>
                                <a:lnTo>
                                  <a:pt x="164" y="887"/>
                                </a:lnTo>
                                <a:lnTo>
                                  <a:pt x="169" y="887"/>
                                </a:lnTo>
                                <a:lnTo>
                                  <a:pt x="265" y="722"/>
                                </a:lnTo>
                                <a:lnTo>
                                  <a:pt x="269" y="711"/>
                                </a:lnTo>
                                <a:lnTo>
                                  <a:pt x="268" y="699"/>
                                </a:lnTo>
                                <a:lnTo>
                                  <a:pt x="263" y="689"/>
                                </a:lnTo>
                                <a:lnTo>
                                  <a:pt x="254" y="681"/>
                                </a:lnTo>
                                <a:lnTo>
                                  <a:pt x="243" y="677"/>
                                </a:lnTo>
                                <a:close/>
                                <a:moveTo>
                                  <a:pt x="134" y="827"/>
                                </a:moveTo>
                                <a:lnTo>
                                  <a:pt x="108" y="871"/>
                                </a:lnTo>
                                <a:lnTo>
                                  <a:pt x="160" y="872"/>
                                </a:lnTo>
                                <a:lnTo>
                                  <a:pt x="134" y="827"/>
                                </a:lnTo>
                                <a:close/>
                                <a:moveTo>
                                  <a:pt x="164" y="776"/>
                                </a:moveTo>
                                <a:lnTo>
                                  <a:pt x="134" y="827"/>
                                </a:lnTo>
                                <a:lnTo>
                                  <a:pt x="160" y="872"/>
                                </a:lnTo>
                                <a:lnTo>
                                  <a:pt x="164" y="872"/>
                                </a:lnTo>
                                <a:lnTo>
                                  <a:pt x="164" y="776"/>
                                </a:lnTo>
                                <a:close/>
                                <a:moveTo>
                                  <a:pt x="165" y="0"/>
                                </a:moveTo>
                                <a:lnTo>
                                  <a:pt x="105" y="0"/>
                                </a:lnTo>
                                <a:lnTo>
                                  <a:pt x="104" y="677"/>
                                </a:lnTo>
                                <a:lnTo>
                                  <a:pt x="104" y="776"/>
                                </a:lnTo>
                                <a:lnTo>
                                  <a:pt x="134" y="827"/>
                                </a:lnTo>
                                <a:lnTo>
                                  <a:pt x="164" y="776"/>
                                </a:lnTo>
                                <a:lnTo>
                                  <a:pt x="165" y="0"/>
                                </a:lnTo>
                                <a:close/>
                              </a:path>
                            </a:pathLst>
                          </a:custGeom>
                          <a:solidFill>
                            <a:srgbClr val="000000">
                              <a:alpha val="3490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AutoShape 147"/>
                        <wps:cNvSpPr>
                          <a:spLocks/>
                        </wps:cNvSpPr>
                        <wps:spPr bwMode="auto">
                          <a:xfrm>
                            <a:off x="6909" y="4260"/>
                            <a:ext cx="270" cy="947"/>
                          </a:xfrm>
                          <a:custGeom>
                            <a:avLst/>
                            <a:gdLst>
                              <a:gd name="T0" fmla="+- 0 6935 6910"/>
                              <a:gd name="T1" fmla="*/ T0 w 270"/>
                              <a:gd name="T2" fmla="+- 0 4938 4260"/>
                              <a:gd name="T3" fmla="*/ 4938 h 947"/>
                              <a:gd name="T4" fmla="+- 0 6924 6910"/>
                              <a:gd name="T5" fmla="*/ T4 w 270"/>
                              <a:gd name="T6" fmla="+- 0 4941 4260"/>
                              <a:gd name="T7" fmla="*/ 4941 h 947"/>
                              <a:gd name="T8" fmla="+- 0 6915 6910"/>
                              <a:gd name="T9" fmla="*/ T8 w 270"/>
                              <a:gd name="T10" fmla="+- 0 4949 4260"/>
                              <a:gd name="T11" fmla="*/ 4949 h 947"/>
                              <a:gd name="T12" fmla="+- 0 6910 6910"/>
                              <a:gd name="T13" fmla="*/ T12 w 270"/>
                              <a:gd name="T14" fmla="+- 0 4960 4260"/>
                              <a:gd name="T15" fmla="*/ 4960 h 947"/>
                              <a:gd name="T16" fmla="+- 0 6910 6910"/>
                              <a:gd name="T17" fmla="*/ T16 w 270"/>
                              <a:gd name="T18" fmla="+- 0 4971 4260"/>
                              <a:gd name="T19" fmla="*/ 4971 h 947"/>
                              <a:gd name="T20" fmla="+- 0 6913 6910"/>
                              <a:gd name="T21" fmla="*/ T20 w 270"/>
                              <a:gd name="T22" fmla="+- 0 4982 4260"/>
                              <a:gd name="T23" fmla="*/ 4982 h 947"/>
                              <a:gd name="T24" fmla="+- 0 7044 6910"/>
                              <a:gd name="T25" fmla="*/ T24 w 270"/>
                              <a:gd name="T26" fmla="+- 0 5207 4260"/>
                              <a:gd name="T27" fmla="*/ 5207 h 947"/>
                              <a:gd name="T28" fmla="+- 0 7079 6910"/>
                              <a:gd name="T29" fmla="*/ T28 w 270"/>
                              <a:gd name="T30" fmla="+- 0 5147 4260"/>
                              <a:gd name="T31" fmla="*/ 5147 h 947"/>
                              <a:gd name="T32" fmla="+- 0 7014 6910"/>
                              <a:gd name="T33" fmla="*/ T32 w 270"/>
                              <a:gd name="T34" fmla="+- 0 5147 4260"/>
                              <a:gd name="T35" fmla="*/ 5147 h 947"/>
                              <a:gd name="T36" fmla="+- 0 7014 6910"/>
                              <a:gd name="T37" fmla="*/ T36 w 270"/>
                              <a:gd name="T38" fmla="+- 0 5036 4260"/>
                              <a:gd name="T39" fmla="*/ 5036 h 947"/>
                              <a:gd name="T40" fmla="+- 0 6965 6910"/>
                              <a:gd name="T41" fmla="*/ T40 w 270"/>
                              <a:gd name="T42" fmla="+- 0 4952 4260"/>
                              <a:gd name="T43" fmla="*/ 4952 h 947"/>
                              <a:gd name="T44" fmla="+- 0 6957 6910"/>
                              <a:gd name="T45" fmla="*/ T44 w 270"/>
                              <a:gd name="T46" fmla="+- 0 4943 4260"/>
                              <a:gd name="T47" fmla="*/ 4943 h 947"/>
                              <a:gd name="T48" fmla="+- 0 6947 6910"/>
                              <a:gd name="T49" fmla="*/ T48 w 270"/>
                              <a:gd name="T50" fmla="+- 0 4938 4260"/>
                              <a:gd name="T51" fmla="*/ 4938 h 947"/>
                              <a:gd name="T52" fmla="+- 0 6935 6910"/>
                              <a:gd name="T53" fmla="*/ T52 w 270"/>
                              <a:gd name="T54" fmla="+- 0 4938 4260"/>
                              <a:gd name="T55" fmla="*/ 4938 h 947"/>
                              <a:gd name="T56" fmla="+- 0 7014 6910"/>
                              <a:gd name="T57" fmla="*/ T56 w 270"/>
                              <a:gd name="T58" fmla="+- 0 5036 4260"/>
                              <a:gd name="T59" fmla="*/ 5036 h 947"/>
                              <a:gd name="T60" fmla="+- 0 7014 6910"/>
                              <a:gd name="T61" fmla="*/ T60 w 270"/>
                              <a:gd name="T62" fmla="+- 0 5147 4260"/>
                              <a:gd name="T63" fmla="*/ 5147 h 947"/>
                              <a:gd name="T64" fmla="+- 0 7074 6910"/>
                              <a:gd name="T65" fmla="*/ T64 w 270"/>
                              <a:gd name="T66" fmla="+- 0 5147 4260"/>
                              <a:gd name="T67" fmla="*/ 5147 h 947"/>
                              <a:gd name="T68" fmla="+- 0 7074 6910"/>
                              <a:gd name="T69" fmla="*/ T68 w 270"/>
                              <a:gd name="T70" fmla="+- 0 5132 4260"/>
                              <a:gd name="T71" fmla="*/ 5132 h 947"/>
                              <a:gd name="T72" fmla="+- 0 7018 6910"/>
                              <a:gd name="T73" fmla="*/ T72 w 270"/>
                              <a:gd name="T74" fmla="+- 0 5132 4260"/>
                              <a:gd name="T75" fmla="*/ 5132 h 947"/>
                              <a:gd name="T76" fmla="+- 0 7044 6910"/>
                              <a:gd name="T77" fmla="*/ T76 w 270"/>
                              <a:gd name="T78" fmla="+- 0 5088 4260"/>
                              <a:gd name="T79" fmla="*/ 5088 h 947"/>
                              <a:gd name="T80" fmla="+- 0 7014 6910"/>
                              <a:gd name="T81" fmla="*/ T80 w 270"/>
                              <a:gd name="T82" fmla="+- 0 5036 4260"/>
                              <a:gd name="T83" fmla="*/ 5036 h 947"/>
                              <a:gd name="T84" fmla="+- 0 7153 6910"/>
                              <a:gd name="T85" fmla="*/ T84 w 270"/>
                              <a:gd name="T86" fmla="+- 0 4938 4260"/>
                              <a:gd name="T87" fmla="*/ 4938 h 947"/>
                              <a:gd name="T88" fmla="+- 0 7142 6910"/>
                              <a:gd name="T89" fmla="*/ T88 w 270"/>
                              <a:gd name="T90" fmla="+- 0 4939 4260"/>
                              <a:gd name="T91" fmla="*/ 4939 h 947"/>
                              <a:gd name="T92" fmla="+- 0 7131 6910"/>
                              <a:gd name="T93" fmla="*/ T92 w 270"/>
                              <a:gd name="T94" fmla="+- 0 4944 4260"/>
                              <a:gd name="T95" fmla="*/ 4944 h 947"/>
                              <a:gd name="T96" fmla="+- 0 7123 6910"/>
                              <a:gd name="T97" fmla="*/ T96 w 270"/>
                              <a:gd name="T98" fmla="+- 0 4952 4260"/>
                              <a:gd name="T99" fmla="*/ 4952 h 947"/>
                              <a:gd name="T100" fmla="+- 0 7074 6910"/>
                              <a:gd name="T101" fmla="*/ T100 w 270"/>
                              <a:gd name="T102" fmla="+- 0 5037 4260"/>
                              <a:gd name="T103" fmla="*/ 5037 h 947"/>
                              <a:gd name="T104" fmla="+- 0 7074 6910"/>
                              <a:gd name="T105" fmla="*/ T104 w 270"/>
                              <a:gd name="T106" fmla="+- 0 5147 4260"/>
                              <a:gd name="T107" fmla="*/ 5147 h 947"/>
                              <a:gd name="T108" fmla="+- 0 7079 6910"/>
                              <a:gd name="T109" fmla="*/ T108 w 270"/>
                              <a:gd name="T110" fmla="+- 0 5147 4260"/>
                              <a:gd name="T111" fmla="*/ 5147 h 947"/>
                              <a:gd name="T112" fmla="+- 0 7175 6910"/>
                              <a:gd name="T113" fmla="*/ T112 w 270"/>
                              <a:gd name="T114" fmla="+- 0 4983 4260"/>
                              <a:gd name="T115" fmla="*/ 4983 h 947"/>
                              <a:gd name="T116" fmla="+- 0 7179 6910"/>
                              <a:gd name="T117" fmla="*/ T116 w 270"/>
                              <a:gd name="T118" fmla="+- 0 4971 4260"/>
                              <a:gd name="T119" fmla="*/ 4971 h 947"/>
                              <a:gd name="T120" fmla="+- 0 7178 6910"/>
                              <a:gd name="T121" fmla="*/ T120 w 270"/>
                              <a:gd name="T122" fmla="+- 0 4960 4260"/>
                              <a:gd name="T123" fmla="*/ 4960 h 947"/>
                              <a:gd name="T124" fmla="+- 0 7173 6910"/>
                              <a:gd name="T125" fmla="*/ T124 w 270"/>
                              <a:gd name="T126" fmla="+- 0 4950 4260"/>
                              <a:gd name="T127" fmla="*/ 4950 h 947"/>
                              <a:gd name="T128" fmla="+- 0 7164 6910"/>
                              <a:gd name="T129" fmla="*/ T128 w 270"/>
                              <a:gd name="T130" fmla="+- 0 4942 4260"/>
                              <a:gd name="T131" fmla="*/ 4942 h 947"/>
                              <a:gd name="T132" fmla="+- 0 7153 6910"/>
                              <a:gd name="T133" fmla="*/ T132 w 270"/>
                              <a:gd name="T134" fmla="+- 0 4938 4260"/>
                              <a:gd name="T135" fmla="*/ 4938 h 947"/>
                              <a:gd name="T136" fmla="+- 0 7044 6910"/>
                              <a:gd name="T137" fmla="*/ T136 w 270"/>
                              <a:gd name="T138" fmla="+- 0 5088 4260"/>
                              <a:gd name="T139" fmla="*/ 5088 h 947"/>
                              <a:gd name="T140" fmla="+- 0 7018 6910"/>
                              <a:gd name="T141" fmla="*/ T140 w 270"/>
                              <a:gd name="T142" fmla="+- 0 5132 4260"/>
                              <a:gd name="T143" fmla="*/ 5132 h 947"/>
                              <a:gd name="T144" fmla="+- 0 7070 6910"/>
                              <a:gd name="T145" fmla="*/ T144 w 270"/>
                              <a:gd name="T146" fmla="+- 0 5132 4260"/>
                              <a:gd name="T147" fmla="*/ 5132 h 947"/>
                              <a:gd name="T148" fmla="+- 0 7044 6910"/>
                              <a:gd name="T149" fmla="*/ T148 w 270"/>
                              <a:gd name="T150" fmla="+- 0 5088 4260"/>
                              <a:gd name="T151" fmla="*/ 5088 h 947"/>
                              <a:gd name="T152" fmla="+- 0 7074 6910"/>
                              <a:gd name="T153" fmla="*/ T152 w 270"/>
                              <a:gd name="T154" fmla="+- 0 5037 4260"/>
                              <a:gd name="T155" fmla="*/ 5037 h 947"/>
                              <a:gd name="T156" fmla="+- 0 7044 6910"/>
                              <a:gd name="T157" fmla="*/ T156 w 270"/>
                              <a:gd name="T158" fmla="+- 0 5088 4260"/>
                              <a:gd name="T159" fmla="*/ 5088 h 947"/>
                              <a:gd name="T160" fmla="+- 0 7070 6910"/>
                              <a:gd name="T161" fmla="*/ T160 w 270"/>
                              <a:gd name="T162" fmla="+- 0 5132 4260"/>
                              <a:gd name="T163" fmla="*/ 5132 h 947"/>
                              <a:gd name="T164" fmla="+- 0 7074 6910"/>
                              <a:gd name="T165" fmla="*/ T164 w 270"/>
                              <a:gd name="T166" fmla="+- 0 5132 4260"/>
                              <a:gd name="T167" fmla="*/ 5132 h 947"/>
                              <a:gd name="T168" fmla="+- 0 7074 6910"/>
                              <a:gd name="T169" fmla="*/ T168 w 270"/>
                              <a:gd name="T170" fmla="+- 0 5037 4260"/>
                              <a:gd name="T171" fmla="*/ 5037 h 947"/>
                              <a:gd name="T172" fmla="+- 0 7075 6910"/>
                              <a:gd name="T173" fmla="*/ T172 w 270"/>
                              <a:gd name="T174" fmla="+- 0 4260 4260"/>
                              <a:gd name="T175" fmla="*/ 4260 h 947"/>
                              <a:gd name="T176" fmla="+- 0 7015 6910"/>
                              <a:gd name="T177" fmla="*/ T176 w 270"/>
                              <a:gd name="T178" fmla="+- 0 4260 4260"/>
                              <a:gd name="T179" fmla="*/ 4260 h 947"/>
                              <a:gd name="T180" fmla="+- 0 7014 6910"/>
                              <a:gd name="T181" fmla="*/ T180 w 270"/>
                              <a:gd name="T182" fmla="+- 0 4938 4260"/>
                              <a:gd name="T183" fmla="*/ 4938 h 947"/>
                              <a:gd name="T184" fmla="+- 0 7014 6910"/>
                              <a:gd name="T185" fmla="*/ T184 w 270"/>
                              <a:gd name="T186" fmla="+- 0 5037 4260"/>
                              <a:gd name="T187" fmla="*/ 5037 h 947"/>
                              <a:gd name="T188" fmla="+- 0 7044 6910"/>
                              <a:gd name="T189" fmla="*/ T188 w 270"/>
                              <a:gd name="T190" fmla="+- 0 5088 4260"/>
                              <a:gd name="T191" fmla="*/ 5088 h 947"/>
                              <a:gd name="T192" fmla="+- 0 7074 6910"/>
                              <a:gd name="T193" fmla="*/ T192 w 270"/>
                              <a:gd name="T194" fmla="+- 0 5037 4260"/>
                              <a:gd name="T195" fmla="*/ 5037 h 947"/>
                              <a:gd name="T196" fmla="+- 0 7075 6910"/>
                              <a:gd name="T197" fmla="*/ T196 w 270"/>
                              <a:gd name="T198" fmla="+- 0 4260 4260"/>
                              <a:gd name="T199" fmla="*/ 4260 h 9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70" h="947">
                                <a:moveTo>
                                  <a:pt x="25" y="678"/>
                                </a:moveTo>
                                <a:lnTo>
                                  <a:pt x="14" y="681"/>
                                </a:lnTo>
                                <a:lnTo>
                                  <a:pt x="5" y="689"/>
                                </a:lnTo>
                                <a:lnTo>
                                  <a:pt x="0" y="700"/>
                                </a:lnTo>
                                <a:lnTo>
                                  <a:pt x="0" y="711"/>
                                </a:lnTo>
                                <a:lnTo>
                                  <a:pt x="3" y="722"/>
                                </a:lnTo>
                                <a:lnTo>
                                  <a:pt x="134" y="947"/>
                                </a:lnTo>
                                <a:lnTo>
                                  <a:pt x="169" y="887"/>
                                </a:lnTo>
                                <a:lnTo>
                                  <a:pt x="104" y="887"/>
                                </a:lnTo>
                                <a:lnTo>
                                  <a:pt x="104" y="776"/>
                                </a:lnTo>
                                <a:lnTo>
                                  <a:pt x="55" y="692"/>
                                </a:lnTo>
                                <a:lnTo>
                                  <a:pt x="47" y="683"/>
                                </a:lnTo>
                                <a:lnTo>
                                  <a:pt x="37" y="678"/>
                                </a:lnTo>
                                <a:lnTo>
                                  <a:pt x="25" y="678"/>
                                </a:lnTo>
                                <a:close/>
                                <a:moveTo>
                                  <a:pt x="104" y="776"/>
                                </a:moveTo>
                                <a:lnTo>
                                  <a:pt x="104" y="887"/>
                                </a:lnTo>
                                <a:lnTo>
                                  <a:pt x="164" y="887"/>
                                </a:lnTo>
                                <a:lnTo>
                                  <a:pt x="164" y="872"/>
                                </a:lnTo>
                                <a:lnTo>
                                  <a:pt x="108" y="872"/>
                                </a:lnTo>
                                <a:lnTo>
                                  <a:pt x="134" y="828"/>
                                </a:lnTo>
                                <a:lnTo>
                                  <a:pt x="104" y="776"/>
                                </a:lnTo>
                                <a:close/>
                                <a:moveTo>
                                  <a:pt x="243" y="678"/>
                                </a:moveTo>
                                <a:lnTo>
                                  <a:pt x="232" y="679"/>
                                </a:lnTo>
                                <a:lnTo>
                                  <a:pt x="221" y="684"/>
                                </a:lnTo>
                                <a:lnTo>
                                  <a:pt x="213" y="692"/>
                                </a:lnTo>
                                <a:lnTo>
                                  <a:pt x="164" y="777"/>
                                </a:lnTo>
                                <a:lnTo>
                                  <a:pt x="164" y="887"/>
                                </a:lnTo>
                                <a:lnTo>
                                  <a:pt x="169" y="887"/>
                                </a:lnTo>
                                <a:lnTo>
                                  <a:pt x="265" y="723"/>
                                </a:lnTo>
                                <a:lnTo>
                                  <a:pt x="269" y="711"/>
                                </a:lnTo>
                                <a:lnTo>
                                  <a:pt x="268" y="700"/>
                                </a:lnTo>
                                <a:lnTo>
                                  <a:pt x="263" y="690"/>
                                </a:lnTo>
                                <a:lnTo>
                                  <a:pt x="254" y="682"/>
                                </a:lnTo>
                                <a:lnTo>
                                  <a:pt x="243" y="678"/>
                                </a:lnTo>
                                <a:close/>
                                <a:moveTo>
                                  <a:pt x="134" y="828"/>
                                </a:moveTo>
                                <a:lnTo>
                                  <a:pt x="108" y="872"/>
                                </a:lnTo>
                                <a:lnTo>
                                  <a:pt x="160" y="872"/>
                                </a:lnTo>
                                <a:lnTo>
                                  <a:pt x="134" y="828"/>
                                </a:lnTo>
                                <a:close/>
                                <a:moveTo>
                                  <a:pt x="164" y="777"/>
                                </a:moveTo>
                                <a:lnTo>
                                  <a:pt x="134" y="828"/>
                                </a:lnTo>
                                <a:lnTo>
                                  <a:pt x="160" y="872"/>
                                </a:lnTo>
                                <a:lnTo>
                                  <a:pt x="164" y="872"/>
                                </a:lnTo>
                                <a:lnTo>
                                  <a:pt x="164" y="777"/>
                                </a:lnTo>
                                <a:close/>
                                <a:moveTo>
                                  <a:pt x="165" y="0"/>
                                </a:moveTo>
                                <a:lnTo>
                                  <a:pt x="105" y="0"/>
                                </a:lnTo>
                                <a:lnTo>
                                  <a:pt x="104" y="678"/>
                                </a:lnTo>
                                <a:lnTo>
                                  <a:pt x="104" y="777"/>
                                </a:lnTo>
                                <a:lnTo>
                                  <a:pt x="134" y="828"/>
                                </a:lnTo>
                                <a:lnTo>
                                  <a:pt x="164" y="777"/>
                                </a:lnTo>
                                <a:lnTo>
                                  <a:pt x="16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 name="Freeform 148"/>
                        <wps:cNvSpPr>
                          <a:spLocks/>
                        </wps:cNvSpPr>
                        <wps:spPr bwMode="auto">
                          <a:xfrm>
                            <a:off x="2034" y="4586"/>
                            <a:ext cx="1826" cy="97"/>
                          </a:xfrm>
                          <a:custGeom>
                            <a:avLst/>
                            <a:gdLst>
                              <a:gd name="T0" fmla="+- 0 3860 2034"/>
                              <a:gd name="T1" fmla="*/ T0 w 1826"/>
                              <a:gd name="T2" fmla="+- 0 4586 4586"/>
                              <a:gd name="T3" fmla="*/ 4586 h 97"/>
                              <a:gd name="T4" fmla="+- 0 2034 2034"/>
                              <a:gd name="T5" fmla="*/ T4 w 1826"/>
                              <a:gd name="T6" fmla="+- 0 4586 4586"/>
                              <a:gd name="T7" fmla="*/ 4586 h 97"/>
                              <a:gd name="T8" fmla="+- 0 2034 2034"/>
                              <a:gd name="T9" fmla="*/ T8 w 1826"/>
                              <a:gd name="T10" fmla="+- 0 4623 4586"/>
                              <a:gd name="T11" fmla="*/ 4623 h 97"/>
                              <a:gd name="T12" fmla="+- 0 2034 2034"/>
                              <a:gd name="T13" fmla="*/ T12 w 1826"/>
                              <a:gd name="T14" fmla="+- 0 4646 4586"/>
                              <a:gd name="T15" fmla="*/ 4646 h 97"/>
                              <a:gd name="T16" fmla="+- 0 2034 2034"/>
                              <a:gd name="T17" fmla="*/ T16 w 1826"/>
                              <a:gd name="T18" fmla="+- 0 4683 4586"/>
                              <a:gd name="T19" fmla="*/ 4683 h 97"/>
                              <a:gd name="T20" fmla="+- 0 3860 2034"/>
                              <a:gd name="T21" fmla="*/ T20 w 1826"/>
                              <a:gd name="T22" fmla="+- 0 4683 4586"/>
                              <a:gd name="T23" fmla="*/ 4683 h 97"/>
                              <a:gd name="T24" fmla="+- 0 3860 2034"/>
                              <a:gd name="T25" fmla="*/ T24 w 1826"/>
                              <a:gd name="T26" fmla="+- 0 4646 4586"/>
                              <a:gd name="T27" fmla="*/ 4646 h 97"/>
                              <a:gd name="T28" fmla="+- 0 3860 2034"/>
                              <a:gd name="T29" fmla="*/ T28 w 1826"/>
                              <a:gd name="T30" fmla="+- 0 4623 4586"/>
                              <a:gd name="T31" fmla="*/ 4623 h 97"/>
                              <a:gd name="T32" fmla="+- 0 3860 2034"/>
                              <a:gd name="T33" fmla="*/ T32 w 1826"/>
                              <a:gd name="T34" fmla="+- 0 4586 4586"/>
                              <a:gd name="T35" fmla="*/ 4586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26" h="97">
                                <a:moveTo>
                                  <a:pt x="1826" y="0"/>
                                </a:moveTo>
                                <a:lnTo>
                                  <a:pt x="0" y="0"/>
                                </a:lnTo>
                                <a:lnTo>
                                  <a:pt x="0" y="37"/>
                                </a:lnTo>
                                <a:lnTo>
                                  <a:pt x="0" y="60"/>
                                </a:lnTo>
                                <a:lnTo>
                                  <a:pt x="0" y="97"/>
                                </a:lnTo>
                                <a:lnTo>
                                  <a:pt x="1826" y="97"/>
                                </a:lnTo>
                                <a:lnTo>
                                  <a:pt x="1826" y="60"/>
                                </a:lnTo>
                                <a:lnTo>
                                  <a:pt x="1826" y="37"/>
                                </a:lnTo>
                                <a:lnTo>
                                  <a:pt x="18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AutoShape 149"/>
                        <wps:cNvSpPr>
                          <a:spLocks/>
                        </wps:cNvSpPr>
                        <wps:spPr bwMode="auto">
                          <a:xfrm>
                            <a:off x="1912" y="4652"/>
                            <a:ext cx="270" cy="602"/>
                          </a:xfrm>
                          <a:custGeom>
                            <a:avLst/>
                            <a:gdLst>
                              <a:gd name="T0" fmla="+- 0 1938 1912"/>
                              <a:gd name="T1" fmla="*/ T0 w 270"/>
                              <a:gd name="T2" fmla="+- 0 4985 4653"/>
                              <a:gd name="T3" fmla="*/ 4985 h 602"/>
                              <a:gd name="T4" fmla="+- 0 1927 1912"/>
                              <a:gd name="T5" fmla="*/ T4 w 270"/>
                              <a:gd name="T6" fmla="+- 0 4989 4653"/>
                              <a:gd name="T7" fmla="*/ 4989 h 602"/>
                              <a:gd name="T8" fmla="+- 0 1918 1912"/>
                              <a:gd name="T9" fmla="*/ T8 w 270"/>
                              <a:gd name="T10" fmla="+- 0 4997 4653"/>
                              <a:gd name="T11" fmla="*/ 4997 h 602"/>
                              <a:gd name="T12" fmla="+- 0 1913 1912"/>
                              <a:gd name="T13" fmla="*/ T12 w 270"/>
                              <a:gd name="T14" fmla="+- 0 5007 4653"/>
                              <a:gd name="T15" fmla="*/ 5007 h 602"/>
                              <a:gd name="T16" fmla="+- 0 1912 1912"/>
                              <a:gd name="T17" fmla="*/ T16 w 270"/>
                              <a:gd name="T18" fmla="+- 0 5019 4653"/>
                              <a:gd name="T19" fmla="*/ 5019 h 602"/>
                              <a:gd name="T20" fmla="+- 0 1916 1912"/>
                              <a:gd name="T21" fmla="*/ T20 w 270"/>
                              <a:gd name="T22" fmla="+- 0 5030 4653"/>
                              <a:gd name="T23" fmla="*/ 5030 h 602"/>
                              <a:gd name="T24" fmla="+- 0 2047 1912"/>
                              <a:gd name="T25" fmla="*/ T24 w 270"/>
                              <a:gd name="T26" fmla="+- 0 5254 4653"/>
                              <a:gd name="T27" fmla="*/ 5254 h 602"/>
                              <a:gd name="T28" fmla="+- 0 2082 1912"/>
                              <a:gd name="T29" fmla="*/ T28 w 270"/>
                              <a:gd name="T30" fmla="+- 0 5195 4653"/>
                              <a:gd name="T31" fmla="*/ 5195 h 602"/>
                              <a:gd name="T32" fmla="+- 0 2017 1912"/>
                              <a:gd name="T33" fmla="*/ T32 w 270"/>
                              <a:gd name="T34" fmla="+- 0 5195 4653"/>
                              <a:gd name="T35" fmla="*/ 5195 h 602"/>
                              <a:gd name="T36" fmla="+- 0 2017 1912"/>
                              <a:gd name="T37" fmla="*/ T36 w 270"/>
                              <a:gd name="T38" fmla="+- 0 5084 4653"/>
                              <a:gd name="T39" fmla="*/ 5084 h 602"/>
                              <a:gd name="T40" fmla="+- 0 1968 1912"/>
                              <a:gd name="T41" fmla="*/ T40 w 270"/>
                              <a:gd name="T42" fmla="+- 0 5000 4653"/>
                              <a:gd name="T43" fmla="*/ 5000 h 602"/>
                              <a:gd name="T44" fmla="+- 0 1960 1912"/>
                              <a:gd name="T45" fmla="*/ T44 w 270"/>
                              <a:gd name="T46" fmla="+- 0 4991 4653"/>
                              <a:gd name="T47" fmla="*/ 4991 h 602"/>
                              <a:gd name="T48" fmla="+- 0 1950 1912"/>
                              <a:gd name="T49" fmla="*/ T48 w 270"/>
                              <a:gd name="T50" fmla="+- 0 4986 4653"/>
                              <a:gd name="T51" fmla="*/ 4986 h 602"/>
                              <a:gd name="T52" fmla="+- 0 1938 1912"/>
                              <a:gd name="T53" fmla="*/ T52 w 270"/>
                              <a:gd name="T54" fmla="+- 0 4985 4653"/>
                              <a:gd name="T55" fmla="*/ 4985 h 602"/>
                              <a:gd name="T56" fmla="+- 0 2017 1912"/>
                              <a:gd name="T57" fmla="*/ T56 w 270"/>
                              <a:gd name="T58" fmla="+- 0 5084 4653"/>
                              <a:gd name="T59" fmla="*/ 5084 h 602"/>
                              <a:gd name="T60" fmla="+- 0 2017 1912"/>
                              <a:gd name="T61" fmla="*/ T60 w 270"/>
                              <a:gd name="T62" fmla="+- 0 5195 4653"/>
                              <a:gd name="T63" fmla="*/ 5195 h 602"/>
                              <a:gd name="T64" fmla="+- 0 2077 1912"/>
                              <a:gd name="T65" fmla="*/ T64 w 270"/>
                              <a:gd name="T66" fmla="+- 0 5195 4653"/>
                              <a:gd name="T67" fmla="*/ 5195 h 602"/>
                              <a:gd name="T68" fmla="+- 0 2077 1912"/>
                              <a:gd name="T69" fmla="*/ T68 w 270"/>
                              <a:gd name="T70" fmla="+- 0 5180 4653"/>
                              <a:gd name="T71" fmla="*/ 5180 h 602"/>
                              <a:gd name="T72" fmla="+- 0 2021 1912"/>
                              <a:gd name="T73" fmla="*/ T72 w 270"/>
                              <a:gd name="T74" fmla="+- 0 5180 4653"/>
                              <a:gd name="T75" fmla="*/ 5180 h 602"/>
                              <a:gd name="T76" fmla="+- 0 2047 1912"/>
                              <a:gd name="T77" fmla="*/ T76 w 270"/>
                              <a:gd name="T78" fmla="+- 0 5135 4653"/>
                              <a:gd name="T79" fmla="*/ 5135 h 602"/>
                              <a:gd name="T80" fmla="+- 0 2017 1912"/>
                              <a:gd name="T81" fmla="*/ T80 w 270"/>
                              <a:gd name="T82" fmla="+- 0 5084 4653"/>
                              <a:gd name="T83" fmla="*/ 5084 h 602"/>
                              <a:gd name="T84" fmla="+- 0 2156 1912"/>
                              <a:gd name="T85" fmla="*/ T84 w 270"/>
                              <a:gd name="T86" fmla="+- 0 4985 4653"/>
                              <a:gd name="T87" fmla="*/ 4985 h 602"/>
                              <a:gd name="T88" fmla="+- 0 2144 1912"/>
                              <a:gd name="T89" fmla="*/ T88 w 270"/>
                              <a:gd name="T90" fmla="+- 0 4986 4653"/>
                              <a:gd name="T91" fmla="*/ 4986 h 602"/>
                              <a:gd name="T92" fmla="+- 0 2134 1912"/>
                              <a:gd name="T93" fmla="*/ T92 w 270"/>
                              <a:gd name="T94" fmla="+- 0 4991 4653"/>
                              <a:gd name="T95" fmla="*/ 4991 h 602"/>
                              <a:gd name="T96" fmla="+- 0 2126 1912"/>
                              <a:gd name="T97" fmla="*/ T96 w 270"/>
                              <a:gd name="T98" fmla="+- 0 5000 4653"/>
                              <a:gd name="T99" fmla="*/ 5000 h 602"/>
                              <a:gd name="T100" fmla="+- 0 2077 1912"/>
                              <a:gd name="T101" fmla="*/ T100 w 270"/>
                              <a:gd name="T102" fmla="+- 0 5084 4653"/>
                              <a:gd name="T103" fmla="*/ 5084 h 602"/>
                              <a:gd name="T104" fmla="+- 0 2077 1912"/>
                              <a:gd name="T105" fmla="*/ T104 w 270"/>
                              <a:gd name="T106" fmla="+- 0 5195 4653"/>
                              <a:gd name="T107" fmla="*/ 5195 h 602"/>
                              <a:gd name="T108" fmla="+- 0 2082 1912"/>
                              <a:gd name="T109" fmla="*/ T108 w 270"/>
                              <a:gd name="T110" fmla="+- 0 5195 4653"/>
                              <a:gd name="T111" fmla="*/ 5195 h 602"/>
                              <a:gd name="T112" fmla="+- 0 2178 1912"/>
                              <a:gd name="T113" fmla="*/ T112 w 270"/>
                              <a:gd name="T114" fmla="+- 0 5030 4653"/>
                              <a:gd name="T115" fmla="*/ 5030 h 602"/>
                              <a:gd name="T116" fmla="+- 0 2182 1912"/>
                              <a:gd name="T117" fmla="*/ T116 w 270"/>
                              <a:gd name="T118" fmla="+- 0 5019 4653"/>
                              <a:gd name="T119" fmla="*/ 5019 h 602"/>
                              <a:gd name="T120" fmla="+- 0 2181 1912"/>
                              <a:gd name="T121" fmla="*/ T120 w 270"/>
                              <a:gd name="T122" fmla="+- 0 5007 4653"/>
                              <a:gd name="T123" fmla="*/ 5007 h 602"/>
                              <a:gd name="T124" fmla="+- 0 2176 1912"/>
                              <a:gd name="T125" fmla="*/ T124 w 270"/>
                              <a:gd name="T126" fmla="+- 0 4997 4653"/>
                              <a:gd name="T127" fmla="*/ 4997 h 602"/>
                              <a:gd name="T128" fmla="+- 0 2167 1912"/>
                              <a:gd name="T129" fmla="*/ T128 w 270"/>
                              <a:gd name="T130" fmla="+- 0 4989 4653"/>
                              <a:gd name="T131" fmla="*/ 4989 h 602"/>
                              <a:gd name="T132" fmla="+- 0 2156 1912"/>
                              <a:gd name="T133" fmla="*/ T132 w 270"/>
                              <a:gd name="T134" fmla="+- 0 4985 4653"/>
                              <a:gd name="T135" fmla="*/ 4985 h 602"/>
                              <a:gd name="T136" fmla="+- 0 2047 1912"/>
                              <a:gd name="T137" fmla="*/ T136 w 270"/>
                              <a:gd name="T138" fmla="+- 0 5135 4653"/>
                              <a:gd name="T139" fmla="*/ 5135 h 602"/>
                              <a:gd name="T140" fmla="+- 0 2021 1912"/>
                              <a:gd name="T141" fmla="*/ T140 w 270"/>
                              <a:gd name="T142" fmla="+- 0 5180 4653"/>
                              <a:gd name="T143" fmla="*/ 5180 h 602"/>
                              <a:gd name="T144" fmla="+- 0 2073 1912"/>
                              <a:gd name="T145" fmla="*/ T144 w 270"/>
                              <a:gd name="T146" fmla="+- 0 5180 4653"/>
                              <a:gd name="T147" fmla="*/ 5180 h 602"/>
                              <a:gd name="T148" fmla="+- 0 2047 1912"/>
                              <a:gd name="T149" fmla="*/ T148 w 270"/>
                              <a:gd name="T150" fmla="+- 0 5135 4653"/>
                              <a:gd name="T151" fmla="*/ 5135 h 602"/>
                              <a:gd name="T152" fmla="+- 0 2077 1912"/>
                              <a:gd name="T153" fmla="*/ T152 w 270"/>
                              <a:gd name="T154" fmla="+- 0 5084 4653"/>
                              <a:gd name="T155" fmla="*/ 5084 h 602"/>
                              <a:gd name="T156" fmla="+- 0 2047 1912"/>
                              <a:gd name="T157" fmla="*/ T156 w 270"/>
                              <a:gd name="T158" fmla="+- 0 5135 4653"/>
                              <a:gd name="T159" fmla="*/ 5135 h 602"/>
                              <a:gd name="T160" fmla="+- 0 2073 1912"/>
                              <a:gd name="T161" fmla="*/ T160 w 270"/>
                              <a:gd name="T162" fmla="+- 0 5180 4653"/>
                              <a:gd name="T163" fmla="*/ 5180 h 602"/>
                              <a:gd name="T164" fmla="+- 0 2077 1912"/>
                              <a:gd name="T165" fmla="*/ T164 w 270"/>
                              <a:gd name="T166" fmla="+- 0 5180 4653"/>
                              <a:gd name="T167" fmla="*/ 5180 h 602"/>
                              <a:gd name="T168" fmla="+- 0 2077 1912"/>
                              <a:gd name="T169" fmla="*/ T168 w 270"/>
                              <a:gd name="T170" fmla="+- 0 5084 4653"/>
                              <a:gd name="T171" fmla="*/ 5084 h 602"/>
                              <a:gd name="T172" fmla="+- 0 2077 1912"/>
                              <a:gd name="T173" fmla="*/ T172 w 270"/>
                              <a:gd name="T174" fmla="+- 0 4653 4653"/>
                              <a:gd name="T175" fmla="*/ 4653 h 602"/>
                              <a:gd name="T176" fmla="+- 0 2017 1912"/>
                              <a:gd name="T177" fmla="*/ T176 w 270"/>
                              <a:gd name="T178" fmla="+- 0 4653 4653"/>
                              <a:gd name="T179" fmla="*/ 4653 h 602"/>
                              <a:gd name="T180" fmla="+- 0 2017 1912"/>
                              <a:gd name="T181" fmla="*/ T180 w 270"/>
                              <a:gd name="T182" fmla="+- 0 5084 4653"/>
                              <a:gd name="T183" fmla="*/ 5084 h 602"/>
                              <a:gd name="T184" fmla="+- 0 2047 1912"/>
                              <a:gd name="T185" fmla="*/ T184 w 270"/>
                              <a:gd name="T186" fmla="+- 0 5135 4653"/>
                              <a:gd name="T187" fmla="*/ 5135 h 602"/>
                              <a:gd name="T188" fmla="+- 0 2077 1912"/>
                              <a:gd name="T189" fmla="*/ T188 w 270"/>
                              <a:gd name="T190" fmla="+- 0 5084 4653"/>
                              <a:gd name="T191" fmla="*/ 5084 h 602"/>
                              <a:gd name="T192" fmla="+- 0 2077 1912"/>
                              <a:gd name="T193" fmla="*/ T192 w 270"/>
                              <a:gd name="T194" fmla="+- 0 4653 4653"/>
                              <a:gd name="T195" fmla="*/ 4653 h 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0" h="602">
                                <a:moveTo>
                                  <a:pt x="26" y="332"/>
                                </a:moveTo>
                                <a:lnTo>
                                  <a:pt x="15" y="336"/>
                                </a:lnTo>
                                <a:lnTo>
                                  <a:pt x="6" y="344"/>
                                </a:lnTo>
                                <a:lnTo>
                                  <a:pt x="1" y="354"/>
                                </a:lnTo>
                                <a:lnTo>
                                  <a:pt x="0" y="366"/>
                                </a:lnTo>
                                <a:lnTo>
                                  <a:pt x="4" y="377"/>
                                </a:lnTo>
                                <a:lnTo>
                                  <a:pt x="135" y="601"/>
                                </a:lnTo>
                                <a:lnTo>
                                  <a:pt x="170" y="542"/>
                                </a:lnTo>
                                <a:lnTo>
                                  <a:pt x="105" y="542"/>
                                </a:lnTo>
                                <a:lnTo>
                                  <a:pt x="105" y="431"/>
                                </a:lnTo>
                                <a:lnTo>
                                  <a:pt x="56" y="347"/>
                                </a:lnTo>
                                <a:lnTo>
                                  <a:pt x="48" y="338"/>
                                </a:lnTo>
                                <a:lnTo>
                                  <a:pt x="38" y="333"/>
                                </a:lnTo>
                                <a:lnTo>
                                  <a:pt x="26" y="332"/>
                                </a:lnTo>
                                <a:close/>
                                <a:moveTo>
                                  <a:pt x="105" y="431"/>
                                </a:moveTo>
                                <a:lnTo>
                                  <a:pt x="105" y="542"/>
                                </a:lnTo>
                                <a:lnTo>
                                  <a:pt x="165" y="542"/>
                                </a:lnTo>
                                <a:lnTo>
                                  <a:pt x="165" y="527"/>
                                </a:lnTo>
                                <a:lnTo>
                                  <a:pt x="109" y="527"/>
                                </a:lnTo>
                                <a:lnTo>
                                  <a:pt x="135" y="482"/>
                                </a:lnTo>
                                <a:lnTo>
                                  <a:pt x="105" y="431"/>
                                </a:lnTo>
                                <a:close/>
                                <a:moveTo>
                                  <a:pt x="244" y="332"/>
                                </a:moveTo>
                                <a:lnTo>
                                  <a:pt x="232" y="333"/>
                                </a:lnTo>
                                <a:lnTo>
                                  <a:pt x="222" y="338"/>
                                </a:lnTo>
                                <a:lnTo>
                                  <a:pt x="214" y="347"/>
                                </a:lnTo>
                                <a:lnTo>
                                  <a:pt x="165" y="431"/>
                                </a:lnTo>
                                <a:lnTo>
                                  <a:pt x="165" y="542"/>
                                </a:lnTo>
                                <a:lnTo>
                                  <a:pt x="170" y="542"/>
                                </a:lnTo>
                                <a:lnTo>
                                  <a:pt x="266" y="377"/>
                                </a:lnTo>
                                <a:lnTo>
                                  <a:pt x="270" y="366"/>
                                </a:lnTo>
                                <a:lnTo>
                                  <a:pt x="269" y="354"/>
                                </a:lnTo>
                                <a:lnTo>
                                  <a:pt x="264" y="344"/>
                                </a:lnTo>
                                <a:lnTo>
                                  <a:pt x="255" y="336"/>
                                </a:lnTo>
                                <a:lnTo>
                                  <a:pt x="244" y="332"/>
                                </a:lnTo>
                                <a:close/>
                                <a:moveTo>
                                  <a:pt x="135" y="482"/>
                                </a:moveTo>
                                <a:lnTo>
                                  <a:pt x="109" y="527"/>
                                </a:lnTo>
                                <a:lnTo>
                                  <a:pt x="161" y="527"/>
                                </a:lnTo>
                                <a:lnTo>
                                  <a:pt x="135" y="482"/>
                                </a:lnTo>
                                <a:close/>
                                <a:moveTo>
                                  <a:pt x="165" y="431"/>
                                </a:moveTo>
                                <a:lnTo>
                                  <a:pt x="135" y="482"/>
                                </a:lnTo>
                                <a:lnTo>
                                  <a:pt x="161" y="527"/>
                                </a:lnTo>
                                <a:lnTo>
                                  <a:pt x="165" y="527"/>
                                </a:lnTo>
                                <a:lnTo>
                                  <a:pt x="165" y="431"/>
                                </a:lnTo>
                                <a:close/>
                                <a:moveTo>
                                  <a:pt x="165" y="0"/>
                                </a:moveTo>
                                <a:lnTo>
                                  <a:pt x="105" y="0"/>
                                </a:lnTo>
                                <a:lnTo>
                                  <a:pt x="105" y="431"/>
                                </a:lnTo>
                                <a:lnTo>
                                  <a:pt x="135" y="482"/>
                                </a:lnTo>
                                <a:lnTo>
                                  <a:pt x="165" y="431"/>
                                </a:lnTo>
                                <a:lnTo>
                                  <a:pt x="165" y="0"/>
                                </a:lnTo>
                                <a:close/>
                              </a:path>
                            </a:pathLst>
                          </a:custGeom>
                          <a:solidFill>
                            <a:srgbClr val="000000">
                              <a:alpha val="3490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AutoShape 150"/>
                        <wps:cNvSpPr>
                          <a:spLocks/>
                        </wps:cNvSpPr>
                        <wps:spPr bwMode="auto">
                          <a:xfrm>
                            <a:off x="1912" y="4616"/>
                            <a:ext cx="270" cy="602"/>
                          </a:xfrm>
                          <a:custGeom>
                            <a:avLst/>
                            <a:gdLst>
                              <a:gd name="T0" fmla="+- 0 1938 1912"/>
                              <a:gd name="T1" fmla="*/ T0 w 270"/>
                              <a:gd name="T2" fmla="+- 0 4949 4616"/>
                              <a:gd name="T3" fmla="*/ 4949 h 602"/>
                              <a:gd name="T4" fmla="+- 0 1927 1912"/>
                              <a:gd name="T5" fmla="*/ T4 w 270"/>
                              <a:gd name="T6" fmla="+- 0 4952 4616"/>
                              <a:gd name="T7" fmla="*/ 4952 h 602"/>
                              <a:gd name="T8" fmla="+- 0 1918 1912"/>
                              <a:gd name="T9" fmla="*/ T8 w 270"/>
                              <a:gd name="T10" fmla="+- 0 4960 4616"/>
                              <a:gd name="T11" fmla="*/ 4960 h 602"/>
                              <a:gd name="T12" fmla="+- 0 1913 1912"/>
                              <a:gd name="T13" fmla="*/ T12 w 270"/>
                              <a:gd name="T14" fmla="+- 0 4971 4616"/>
                              <a:gd name="T15" fmla="*/ 4971 h 602"/>
                              <a:gd name="T16" fmla="+- 0 1912 1912"/>
                              <a:gd name="T17" fmla="*/ T16 w 270"/>
                              <a:gd name="T18" fmla="+- 0 4982 4616"/>
                              <a:gd name="T19" fmla="*/ 4982 h 602"/>
                              <a:gd name="T20" fmla="+- 0 1916 1912"/>
                              <a:gd name="T21" fmla="*/ T20 w 270"/>
                              <a:gd name="T22" fmla="+- 0 4994 4616"/>
                              <a:gd name="T23" fmla="*/ 4994 h 602"/>
                              <a:gd name="T24" fmla="+- 0 2047 1912"/>
                              <a:gd name="T25" fmla="*/ T24 w 270"/>
                              <a:gd name="T26" fmla="+- 0 5218 4616"/>
                              <a:gd name="T27" fmla="*/ 5218 h 602"/>
                              <a:gd name="T28" fmla="+- 0 2082 1912"/>
                              <a:gd name="T29" fmla="*/ T28 w 270"/>
                              <a:gd name="T30" fmla="+- 0 5158 4616"/>
                              <a:gd name="T31" fmla="*/ 5158 h 602"/>
                              <a:gd name="T32" fmla="+- 0 2017 1912"/>
                              <a:gd name="T33" fmla="*/ T32 w 270"/>
                              <a:gd name="T34" fmla="+- 0 5158 4616"/>
                              <a:gd name="T35" fmla="*/ 5158 h 602"/>
                              <a:gd name="T36" fmla="+- 0 2017 1912"/>
                              <a:gd name="T37" fmla="*/ T36 w 270"/>
                              <a:gd name="T38" fmla="+- 0 5047 4616"/>
                              <a:gd name="T39" fmla="*/ 5047 h 602"/>
                              <a:gd name="T40" fmla="+- 0 1968 1912"/>
                              <a:gd name="T41" fmla="*/ T40 w 270"/>
                              <a:gd name="T42" fmla="+- 0 4963 4616"/>
                              <a:gd name="T43" fmla="*/ 4963 h 602"/>
                              <a:gd name="T44" fmla="+- 0 1960 1912"/>
                              <a:gd name="T45" fmla="*/ T44 w 270"/>
                              <a:gd name="T46" fmla="+- 0 4954 4616"/>
                              <a:gd name="T47" fmla="*/ 4954 h 602"/>
                              <a:gd name="T48" fmla="+- 0 1950 1912"/>
                              <a:gd name="T49" fmla="*/ T48 w 270"/>
                              <a:gd name="T50" fmla="+- 0 4949 4616"/>
                              <a:gd name="T51" fmla="*/ 4949 h 602"/>
                              <a:gd name="T52" fmla="+- 0 1938 1912"/>
                              <a:gd name="T53" fmla="*/ T52 w 270"/>
                              <a:gd name="T54" fmla="+- 0 4949 4616"/>
                              <a:gd name="T55" fmla="*/ 4949 h 602"/>
                              <a:gd name="T56" fmla="+- 0 2017 1912"/>
                              <a:gd name="T57" fmla="*/ T56 w 270"/>
                              <a:gd name="T58" fmla="+- 0 5047 4616"/>
                              <a:gd name="T59" fmla="*/ 5047 h 602"/>
                              <a:gd name="T60" fmla="+- 0 2017 1912"/>
                              <a:gd name="T61" fmla="*/ T60 w 270"/>
                              <a:gd name="T62" fmla="+- 0 5158 4616"/>
                              <a:gd name="T63" fmla="*/ 5158 h 602"/>
                              <a:gd name="T64" fmla="+- 0 2077 1912"/>
                              <a:gd name="T65" fmla="*/ T64 w 270"/>
                              <a:gd name="T66" fmla="+- 0 5158 4616"/>
                              <a:gd name="T67" fmla="*/ 5158 h 602"/>
                              <a:gd name="T68" fmla="+- 0 2077 1912"/>
                              <a:gd name="T69" fmla="*/ T68 w 270"/>
                              <a:gd name="T70" fmla="+- 0 5143 4616"/>
                              <a:gd name="T71" fmla="*/ 5143 h 602"/>
                              <a:gd name="T72" fmla="+- 0 2021 1912"/>
                              <a:gd name="T73" fmla="*/ T72 w 270"/>
                              <a:gd name="T74" fmla="+- 0 5143 4616"/>
                              <a:gd name="T75" fmla="*/ 5143 h 602"/>
                              <a:gd name="T76" fmla="+- 0 2047 1912"/>
                              <a:gd name="T77" fmla="*/ T76 w 270"/>
                              <a:gd name="T78" fmla="+- 0 5099 4616"/>
                              <a:gd name="T79" fmla="*/ 5099 h 602"/>
                              <a:gd name="T80" fmla="+- 0 2017 1912"/>
                              <a:gd name="T81" fmla="*/ T80 w 270"/>
                              <a:gd name="T82" fmla="+- 0 5047 4616"/>
                              <a:gd name="T83" fmla="*/ 5047 h 602"/>
                              <a:gd name="T84" fmla="+- 0 2156 1912"/>
                              <a:gd name="T85" fmla="*/ T84 w 270"/>
                              <a:gd name="T86" fmla="+- 0 4949 4616"/>
                              <a:gd name="T87" fmla="*/ 4949 h 602"/>
                              <a:gd name="T88" fmla="+- 0 2144 1912"/>
                              <a:gd name="T89" fmla="*/ T88 w 270"/>
                              <a:gd name="T90" fmla="+- 0 4949 4616"/>
                              <a:gd name="T91" fmla="*/ 4949 h 602"/>
                              <a:gd name="T92" fmla="+- 0 2134 1912"/>
                              <a:gd name="T93" fmla="*/ T92 w 270"/>
                              <a:gd name="T94" fmla="+- 0 4954 4616"/>
                              <a:gd name="T95" fmla="*/ 4954 h 602"/>
                              <a:gd name="T96" fmla="+- 0 2126 1912"/>
                              <a:gd name="T97" fmla="*/ T96 w 270"/>
                              <a:gd name="T98" fmla="+- 0 4963 4616"/>
                              <a:gd name="T99" fmla="*/ 4963 h 602"/>
                              <a:gd name="T100" fmla="+- 0 2077 1912"/>
                              <a:gd name="T101" fmla="*/ T100 w 270"/>
                              <a:gd name="T102" fmla="+- 0 5047 4616"/>
                              <a:gd name="T103" fmla="*/ 5047 h 602"/>
                              <a:gd name="T104" fmla="+- 0 2077 1912"/>
                              <a:gd name="T105" fmla="*/ T104 w 270"/>
                              <a:gd name="T106" fmla="+- 0 5158 4616"/>
                              <a:gd name="T107" fmla="*/ 5158 h 602"/>
                              <a:gd name="T108" fmla="+- 0 2082 1912"/>
                              <a:gd name="T109" fmla="*/ T108 w 270"/>
                              <a:gd name="T110" fmla="+- 0 5158 4616"/>
                              <a:gd name="T111" fmla="*/ 5158 h 602"/>
                              <a:gd name="T112" fmla="+- 0 2178 1912"/>
                              <a:gd name="T113" fmla="*/ T112 w 270"/>
                              <a:gd name="T114" fmla="+- 0 4994 4616"/>
                              <a:gd name="T115" fmla="*/ 4994 h 602"/>
                              <a:gd name="T116" fmla="+- 0 2182 1912"/>
                              <a:gd name="T117" fmla="*/ T116 w 270"/>
                              <a:gd name="T118" fmla="+- 0 4982 4616"/>
                              <a:gd name="T119" fmla="*/ 4982 h 602"/>
                              <a:gd name="T120" fmla="+- 0 2181 1912"/>
                              <a:gd name="T121" fmla="*/ T120 w 270"/>
                              <a:gd name="T122" fmla="+- 0 4971 4616"/>
                              <a:gd name="T123" fmla="*/ 4971 h 602"/>
                              <a:gd name="T124" fmla="+- 0 2176 1912"/>
                              <a:gd name="T125" fmla="*/ T124 w 270"/>
                              <a:gd name="T126" fmla="+- 0 4960 4616"/>
                              <a:gd name="T127" fmla="*/ 4960 h 602"/>
                              <a:gd name="T128" fmla="+- 0 2167 1912"/>
                              <a:gd name="T129" fmla="*/ T128 w 270"/>
                              <a:gd name="T130" fmla="+- 0 4952 4616"/>
                              <a:gd name="T131" fmla="*/ 4952 h 602"/>
                              <a:gd name="T132" fmla="+- 0 2156 1912"/>
                              <a:gd name="T133" fmla="*/ T132 w 270"/>
                              <a:gd name="T134" fmla="+- 0 4949 4616"/>
                              <a:gd name="T135" fmla="*/ 4949 h 602"/>
                              <a:gd name="T136" fmla="+- 0 2047 1912"/>
                              <a:gd name="T137" fmla="*/ T136 w 270"/>
                              <a:gd name="T138" fmla="+- 0 5099 4616"/>
                              <a:gd name="T139" fmla="*/ 5099 h 602"/>
                              <a:gd name="T140" fmla="+- 0 2021 1912"/>
                              <a:gd name="T141" fmla="*/ T140 w 270"/>
                              <a:gd name="T142" fmla="+- 0 5143 4616"/>
                              <a:gd name="T143" fmla="*/ 5143 h 602"/>
                              <a:gd name="T144" fmla="+- 0 2073 1912"/>
                              <a:gd name="T145" fmla="*/ T144 w 270"/>
                              <a:gd name="T146" fmla="+- 0 5143 4616"/>
                              <a:gd name="T147" fmla="*/ 5143 h 602"/>
                              <a:gd name="T148" fmla="+- 0 2047 1912"/>
                              <a:gd name="T149" fmla="*/ T148 w 270"/>
                              <a:gd name="T150" fmla="+- 0 5099 4616"/>
                              <a:gd name="T151" fmla="*/ 5099 h 602"/>
                              <a:gd name="T152" fmla="+- 0 2077 1912"/>
                              <a:gd name="T153" fmla="*/ T152 w 270"/>
                              <a:gd name="T154" fmla="+- 0 5047 4616"/>
                              <a:gd name="T155" fmla="*/ 5047 h 602"/>
                              <a:gd name="T156" fmla="+- 0 2047 1912"/>
                              <a:gd name="T157" fmla="*/ T156 w 270"/>
                              <a:gd name="T158" fmla="+- 0 5099 4616"/>
                              <a:gd name="T159" fmla="*/ 5099 h 602"/>
                              <a:gd name="T160" fmla="+- 0 2073 1912"/>
                              <a:gd name="T161" fmla="*/ T160 w 270"/>
                              <a:gd name="T162" fmla="+- 0 5143 4616"/>
                              <a:gd name="T163" fmla="*/ 5143 h 602"/>
                              <a:gd name="T164" fmla="+- 0 2077 1912"/>
                              <a:gd name="T165" fmla="*/ T164 w 270"/>
                              <a:gd name="T166" fmla="+- 0 5143 4616"/>
                              <a:gd name="T167" fmla="*/ 5143 h 602"/>
                              <a:gd name="T168" fmla="+- 0 2077 1912"/>
                              <a:gd name="T169" fmla="*/ T168 w 270"/>
                              <a:gd name="T170" fmla="+- 0 5047 4616"/>
                              <a:gd name="T171" fmla="*/ 5047 h 602"/>
                              <a:gd name="T172" fmla="+- 0 2077 1912"/>
                              <a:gd name="T173" fmla="*/ T172 w 270"/>
                              <a:gd name="T174" fmla="+- 0 4616 4616"/>
                              <a:gd name="T175" fmla="*/ 4616 h 602"/>
                              <a:gd name="T176" fmla="+- 0 2017 1912"/>
                              <a:gd name="T177" fmla="*/ T176 w 270"/>
                              <a:gd name="T178" fmla="+- 0 4616 4616"/>
                              <a:gd name="T179" fmla="*/ 4616 h 602"/>
                              <a:gd name="T180" fmla="+- 0 2017 1912"/>
                              <a:gd name="T181" fmla="*/ T180 w 270"/>
                              <a:gd name="T182" fmla="+- 0 5047 4616"/>
                              <a:gd name="T183" fmla="*/ 5047 h 602"/>
                              <a:gd name="T184" fmla="+- 0 2047 1912"/>
                              <a:gd name="T185" fmla="*/ T184 w 270"/>
                              <a:gd name="T186" fmla="+- 0 5099 4616"/>
                              <a:gd name="T187" fmla="*/ 5099 h 602"/>
                              <a:gd name="T188" fmla="+- 0 2077 1912"/>
                              <a:gd name="T189" fmla="*/ T188 w 270"/>
                              <a:gd name="T190" fmla="+- 0 5047 4616"/>
                              <a:gd name="T191" fmla="*/ 5047 h 602"/>
                              <a:gd name="T192" fmla="+- 0 2077 1912"/>
                              <a:gd name="T193" fmla="*/ T192 w 270"/>
                              <a:gd name="T194" fmla="+- 0 4616 4616"/>
                              <a:gd name="T195" fmla="*/ 4616 h 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0" h="602">
                                <a:moveTo>
                                  <a:pt x="26" y="333"/>
                                </a:moveTo>
                                <a:lnTo>
                                  <a:pt x="15" y="336"/>
                                </a:lnTo>
                                <a:lnTo>
                                  <a:pt x="6" y="344"/>
                                </a:lnTo>
                                <a:lnTo>
                                  <a:pt x="1" y="355"/>
                                </a:lnTo>
                                <a:lnTo>
                                  <a:pt x="0" y="366"/>
                                </a:lnTo>
                                <a:lnTo>
                                  <a:pt x="4" y="378"/>
                                </a:lnTo>
                                <a:lnTo>
                                  <a:pt x="135" y="602"/>
                                </a:lnTo>
                                <a:lnTo>
                                  <a:pt x="170" y="542"/>
                                </a:lnTo>
                                <a:lnTo>
                                  <a:pt x="105" y="542"/>
                                </a:lnTo>
                                <a:lnTo>
                                  <a:pt x="105" y="431"/>
                                </a:lnTo>
                                <a:lnTo>
                                  <a:pt x="56" y="347"/>
                                </a:lnTo>
                                <a:lnTo>
                                  <a:pt x="48" y="338"/>
                                </a:lnTo>
                                <a:lnTo>
                                  <a:pt x="38" y="333"/>
                                </a:lnTo>
                                <a:lnTo>
                                  <a:pt x="26" y="333"/>
                                </a:lnTo>
                                <a:close/>
                                <a:moveTo>
                                  <a:pt x="105" y="431"/>
                                </a:moveTo>
                                <a:lnTo>
                                  <a:pt x="105" y="542"/>
                                </a:lnTo>
                                <a:lnTo>
                                  <a:pt x="165" y="542"/>
                                </a:lnTo>
                                <a:lnTo>
                                  <a:pt x="165" y="527"/>
                                </a:lnTo>
                                <a:lnTo>
                                  <a:pt x="109" y="527"/>
                                </a:lnTo>
                                <a:lnTo>
                                  <a:pt x="135" y="483"/>
                                </a:lnTo>
                                <a:lnTo>
                                  <a:pt x="105" y="431"/>
                                </a:lnTo>
                                <a:close/>
                                <a:moveTo>
                                  <a:pt x="244" y="333"/>
                                </a:moveTo>
                                <a:lnTo>
                                  <a:pt x="232" y="333"/>
                                </a:lnTo>
                                <a:lnTo>
                                  <a:pt x="222" y="338"/>
                                </a:lnTo>
                                <a:lnTo>
                                  <a:pt x="214" y="347"/>
                                </a:lnTo>
                                <a:lnTo>
                                  <a:pt x="165" y="431"/>
                                </a:lnTo>
                                <a:lnTo>
                                  <a:pt x="165" y="542"/>
                                </a:lnTo>
                                <a:lnTo>
                                  <a:pt x="170" y="542"/>
                                </a:lnTo>
                                <a:lnTo>
                                  <a:pt x="266" y="378"/>
                                </a:lnTo>
                                <a:lnTo>
                                  <a:pt x="270" y="366"/>
                                </a:lnTo>
                                <a:lnTo>
                                  <a:pt x="269" y="355"/>
                                </a:lnTo>
                                <a:lnTo>
                                  <a:pt x="264" y="344"/>
                                </a:lnTo>
                                <a:lnTo>
                                  <a:pt x="255" y="336"/>
                                </a:lnTo>
                                <a:lnTo>
                                  <a:pt x="244" y="333"/>
                                </a:lnTo>
                                <a:close/>
                                <a:moveTo>
                                  <a:pt x="135" y="483"/>
                                </a:moveTo>
                                <a:lnTo>
                                  <a:pt x="109" y="527"/>
                                </a:lnTo>
                                <a:lnTo>
                                  <a:pt x="161" y="527"/>
                                </a:lnTo>
                                <a:lnTo>
                                  <a:pt x="135" y="483"/>
                                </a:lnTo>
                                <a:close/>
                                <a:moveTo>
                                  <a:pt x="165" y="431"/>
                                </a:moveTo>
                                <a:lnTo>
                                  <a:pt x="135" y="483"/>
                                </a:lnTo>
                                <a:lnTo>
                                  <a:pt x="161" y="527"/>
                                </a:lnTo>
                                <a:lnTo>
                                  <a:pt x="165" y="527"/>
                                </a:lnTo>
                                <a:lnTo>
                                  <a:pt x="165" y="431"/>
                                </a:lnTo>
                                <a:close/>
                                <a:moveTo>
                                  <a:pt x="165" y="0"/>
                                </a:moveTo>
                                <a:lnTo>
                                  <a:pt x="105" y="0"/>
                                </a:lnTo>
                                <a:lnTo>
                                  <a:pt x="105" y="431"/>
                                </a:lnTo>
                                <a:lnTo>
                                  <a:pt x="135" y="483"/>
                                </a:lnTo>
                                <a:lnTo>
                                  <a:pt x="165" y="431"/>
                                </a:lnTo>
                                <a:lnTo>
                                  <a:pt x="16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AutoShape 151"/>
                        <wps:cNvSpPr>
                          <a:spLocks/>
                        </wps:cNvSpPr>
                        <wps:spPr bwMode="auto">
                          <a:xfrm>
                            <a:off x="3738" y="4652"/>
                            <a:ext cx="270" cy="602"/>
                          </a:xfrm>
                          <a:custGeom>
                            <a:avLst/>
                            <a:gdLst>
                              <a:gd name="T0" fmla="+- 0 3764 3738"/>
                              <a:gd name="T1" fmla="*/ T0 w 270"/>
                              <a:gd name="T2" fmla="+- 0 4985 4653"/>
                              <a:gd name="T3" fmla="*/ 4985 h 602"/>
                              <a:gd name="T4" fmla="+- 0 3753 3738"/>
                              <a:gd name="T5" fmla="*/ T4 w 270"/>
                              <a:gd name="T6" fmla="+- 0 4989 4653"/>
                              <a:gd name="T7" fmla="*/ 4989 h 602"/>
                              <a:gd name="T8" fmla="+- 0 3744 3738"/>
                              <a:gd name="T9" fmla="*/ T8 w 270"/>
                              <a:gd name="T10" fmla="+- 0 4997 4653"/>
                              <a:gd name="T11" fmla="*/ 4997 h 602"/>
                              <a:gd name="T12" fmla="+- 0 3739 3738"/>
                              <a:gd name="T13" fmla="*/ T12 w 270"/>
                              <a:gd name="T14" fmla="+- 0 5007 4653"/>
                              <a:gd name="T15" fmla="*/ 5007 h 602"/>
                              <a:gd name="T16" fmla="+- 0 3738 3738"/>
                              <a:gd name="T17" fmla="*/ T16 w 270"/>
                              <a:gd name="T18" fmla="+- 0 5019 4653"/>
                              <a:gd name="T19" fmla="*/ 5019 h 602"/>
                              <a:gd name="T20" fmla="+- 0 3742 3738"/>
                              <a:gd name="T21" fmla="*/ T20 w 270"/>
                              <a:gd name="T22" fmla="+- 0 5030 4653"/>
                              <a:gd name="T23" fmla="*/ 5030 h 602"/>
                              <a:gd name="T24" fmla="+- 0 3873 3738"/>
                              <a:gd name="T25" fmla="*/ T24 w 270"/>
                              <a:gd name="T26" fmla="+- 0 5254 4653"/>
                              <a:gd name="T27" fmla="*/ 5254 h 602"/>
                              <a:gd name="T28" fmla="+- 0 3908 3738"/>
                              <a:gd name="T29" fmla="*/ T28 w 270"/>
                              <a:gd name="T30" fmla="+- 0 5195 4653"/>
                              <a:gd name="T31" fmla="*/ 5195 h 602"/>
                              <a:gd name="T32" fmla="+- 0 3843 3738"/>
                              <a:gd name="T33" fmla="*/ T32 w 270"/>
                              <a:gd name="T34" fmla="+- 0 5195 4653"/>
                              <a:gd name="T35" fmla="*/ 5195 h 602"/>
                              <a:gd name="T36" fmla="+- 0 3843 3738"/>
                              <a:gd name="T37" fmla="*/ T36 w 270"/>
                              <a:gd name="T38" fmla="+- 0 5084 4653"/>
                              <a:gd name="T39" fmla="*/ 5084 h 602"/>
                              <a:gd name="T40" fmla="+- 0 3794 3738"/>
                              <a:gd name="T41" fmla="*/ T40 w 270"/>
                              <a:gd name="T42" fmla="+- 0 5000 4653"/>
                              <a:gd name="T43" fmla="*/ 5000 h 602"/>
                              <a:gd name="T44" fmla="+- 0 3786 3738"/>
                              <a:gd name="T45" fmla="*/ T44 w 270"/>
                              <a:gd name="T46" fmla="+- 0 4991 4653"/>
                              <a:gd name="T47" fmla="*/ 4991 h 602"/>
                              <a:gd name="T48" fmla="+- 0 3776 3738"/>
                              <a:gd name="T49" fmla="*/ T48 w 270"/>
                              <a:gd name="T50" fmla="+- 0 4986 4653"/>
                              <a:gd name="T51" fmla="*/ 4986 h 602"/>
                              <a:gd name="T52" fmla="+- 0 3764 3738"/>
                              <a:gd name="T53" fmla="*/ T52 w 270"/>
                              <a:gd name="T54" fmla="+- 0 4985 4653"/>
                              <a:gd name="T55" fmla="*/ 4985 h 602"/>
                              <a:gd name="T56" fmla="+- 0 3843 3738"/>
                              <a:gd name="T57" fmla="*/ T56 w 270"/>
                              <a:gd name="T58" fmla="+- 0 5084 4653"/>
                              <a:gd name="T59" fmla="*/ 5084 h 602"/>
                              <a:gd name="T60" fmla="+- 0 3843 3738"/>
                              <a:gd name="T61" fmla="*/ T60 w 270"/>
                              <a:gd name="T62" fmla="+- 0 5195 4653"/>
                              <a:gd name="T63" fmla="*/ 5195 h 602"/>
                              <a:gd name="T64" fmla="+- 0 3903 3738"/>
                              <a:gd name="T65" fmla="*/ T64 w 270"/>
                              <a:gd name="T66" fmla="+- 0 5195 4653"/>
                              <a:gd name="T67" fmla="*/ 5195 h 602"/>
                              <a:gd name="T68" fmla="+- 0 3903 3738"/>
                              <a:gd name="T69" fmla="*/ T68 w 270"/>
                              <a:gd name="T70" fmla="+- 0 5180 4653"/>
                              <a:gd name="T71" fmla="*/ 5180 h 602"/>
                              <a:gd name="T72" fmla="+- 0 3847 3738"/>
                              <a:gd name="T73" fmla="*/ T72 w 270"/>
                              <a:gd name="T74" fmla="+- 0 5180 4653"/>
                              <a:gd name="T75" fmla="*/ 5180 h 602"/>
                              <a:gd name="T76" fmla="+- 0 3873 3738"/>
                              <a:gd name="T77" fmla="*/ T76 w 270"/>
                              <a:gd name="T78" fmla="+- 0 5135 4653"/>
                              <a:gd name="T79" fmla="*/ 5135 h 602"/>
                              <a:gd name="T80" fmla="+- 0 3843 3738"/>
                              <a:gd name="T81" fmla="*/ T80 w 270"/>
                              <a:gd name="T82" fmla="+- 0 5084 4653"/>
                              <a:gd name="T83" fmla="*/ 5084 h 602"/>
                              <a:gd name="T84" fmla="+- 0 3982 3738"/>
                              <a:gd name="T85" fmla="*/ T84 w 270"/>
                              <a:gd name="T86" fmla="+- 0 4985 4653"/>
                              <a:gd name="T87" fmla="*/ 4985 h 602"/>
                              <a:gd name="T88" fmla="+- 0 3970 3738"/>
                              <a:gd name="T89" fmla="*/ T88 w 270"/>
                              <a:gd name="T90" fmla="+- 0 4986 4653"/>
                              <a:gd name="T91" fmla="*/ 4986 h 602"/>
                              <a:gd name="T92" fmla="+- 0 3960 3738"/>
                              <a:gd name="T93" fmla="*/ T92 w 270"/>
                              <a:gd name="T94" fmla="+- 0 4991 4653"/>
                              <a:gd name="T95" fmla="*/ 4991 h 602"/>
                              <a:gd name="T96" fmla="+- 0 3952 3738"/>
                              <a:gd name="T97" fmla="*/ T96 w 270"/>
                              <a:gd name="T98" fmla="+- 0 5000 4653"/>
                              <a:gd name="T99" fmla="*/ 5000 h 602"/>
                              <a:gd name="T100" fmla="+- 0 3903 3738"/>
                              <a:gd name="T101" fmla="*/ T100 w 270"/>
                              <a:gd name="T102" fmla="+- 0 5084 4653"/>
                              <a:gd name="T103" fmla="*/ 5084 h 602"/>
                              <a:gd name="T104" fmla="+- 0 3903 3738"/>
                              <a:gd name="T105" fmla="*/ T104 w 270"/>
                              <a:gd name="T106" fmla="+- 0 5195 4653"/>
                              <a:gd name="T107" fmla="*/ 5195 h 602"/>
                              <a:gd name="T108" fmla="+- 0 3908 3738"/>
                              <a:gd name="T109" fmla="*/ T108 w 270"/>
                              <a:gd name="T110" fmla="+- 0 5195 4653"/>
                              <a:gd name="T111" fmla="*/ 5195 h 602"/>
                              <a:gd name="T112" fmla="+- 0 4004 3738"/>
                              <a:gd name="T113" fmla="*/ T112 w 270"/>
                              <a:gd name="T114" fmla="+- 0 5030 4653"/>
                              <a:gd name="T115" fmla="*/ 5030 h 602"/>
                              <a:gd name="T116" fmla="+- 0 4008 3738"/>
                              <a:gd name="T117" fmla="*/ T116 w 270"/>
                              <a:gd name="T118" fmla="+- 0 5019 4653"/>
                              <a:gd name="T119" fmla="*/ 5019 h 602"/>
                              <a:gd name="T120" fmla="+- 0 4007 3738"/>
                              <a:gd name="T121" fmla="*/ T120 w 270"/>
                              <a:gd name="T122" fmla="+- 0 5007 4653"/>
                              <a:gd name="T123" fmla="*/ 5007 h 602"/>
                              <a:gd name="T124" fmla="+- 0 4002 3738"/>
                              <a:gd name="T125" fmla="*/ T124 w 270"/>
                              <a:gd name="T126" fmla="+- 0 4997 4653"/>
                              <a:gd name="T127" fmla="*/ 4997 h 602"/>
                              <a:gd name="T128" fmla="+- 0 3993 3738"/>
                              <a:gd name="T129" fmla="*/ T128 w 270"/>
                              <a:gd name="T130" fmla="+- 0 4989 4653"/>
                              <a:gd name="T131" fmla="*/ 4989 h 602"/>
                              <a:gd name="T132" fmla="+- 0 3982 3738"/>
                              <a:gd name="T133" fmla="*/ T132 w 270"/>
                              <a:gd name="T134" fmla="+- 0 4985 4653"/>
                              <a:gd name="T135" fmla="*/ 4985 h 602"/>
                              <a:gd name="T136" fmla="+- 0 3873 3738"/>
                              <a:gd name="T137" fmla="*/ T136 w 270"/>
                              <a:gd name="T138" fmla="+- 0 5135 4653"/>
                              <a:gd name="T139" fmla="*/ 5135 h 602"/>
                              <a:gd name="T140" fmla="+- 0 3847 3738"/>
                              <a:gd name="T141" fmla="*/ T140 w 270"/>
                              <a:gd name="T142" fmla="+- 0 5180 4653"/>
                              <a:gd name="T143" fmla="*/ 5180 h 602"/>
                              <a:gd name="T144" fmla="+- 0 3899 3738"/>
                              <a:gd name="T145" fmla="*/ T144 w 270"/>
                              <a:gd name="T146" fmla="+- 0 5180 4653"/>
                              <a:gd name="T147" fmla="*/ 5180 h 602"/>
                              <a:gd name="T148" fmla="+- 0 3873 3738"/>
                              <a:gd name="T149" fmla="*/ T148 w 270"/>
                              <a:gd name="T150" fmla="+- 0 5135 4653"/>
                              <a:gd name="T151" fmla="*/ 5135 h 602"/>
                              <a:gd name="T152" fmla="+- 0 3903 3738"/>
                              <a:gd name="T153" fmla="*/ T152 w 270"/>
                              <a:gd name="T154" fmla="+- 0 5084 4653"/>
                              <a:gd name="T155" fmla="*/ 5084 h 602"/>
                              <a:gd name="T156" fmla="+- 0 3873 3738"/>
                              <a:gd name="T157" fmla="*/ T156 w 270"/>
                              <a:gd name="T158" fmla="+- 0 5135 4653"/>
                              <a:gd name="T159" fmla="*/ 5135 h 602"/>
                              <a:gd name="T160" fmla="+- 0 3899 3738"/>
                              <a:gd name="T161" fmla="*/ T160 w 270"/>
                              <a:gd name="T162" fmla="+- 0 5180 4653"/>
                              <a:gd name="T163" fmla="*/ 5180 h 602"/>
                              <a:gd name="T164" fmla="+- 0 3903 3738"/>
                              <a:gd name="T165" fmla="*/ T164 w 270"/>
                              <a:gd name="T166" fmla="+- 0 5180 4653"/>
                              <a:gd name="T167" fmla="*/ 5180 h 602"/>
                              <a:gd name="T168" fmla="+- 0 3903 3738"/>
                              <a:gd name="T169" fmla="*/ T168 w 270"/>
                              <a:gd name="T170" fmla="+- 0 5084 4653"/>
                              <a:gd name="T171" fmla="*/ 5084 h 602"/>
                              <a:gd name="T172" fmla="+- 0 3903 3738"/>
                              <a:gd name="T173" fmla="*/ T172 w 270"/>
                              <a:gd name="T174" fmla="+- 0 4653 4653"/>
                              <a:gd name="T175" fmla="*/ 4653 h 602"/>
                              <a:gd name="T176" fmla="+- 0 3843 3738"/>
                              <a:gd name="T177" fmla="*/ T176 w 270"/>
                              <a:gd name="T178" fmla="+- 0 4653 4653"/>
                              <a:gd name="T179" fmla="*/ 4653 h 602"/>
                              <a:gd name="T180" fmla="+- 0 3843 3738"/>
                              <a:gd name="T181" fmla="*/ T180 w 270"/>
                              <a:gd name="T182" fmla="+- 0 5084 4653"/>
                              <a:gd name="T183" fmla="*/ 5084 h 602"/>
                              <a:gd name="T184" fmla="+- 0 3873 3738"/>
                              <a:gd name="T185" fmla="*/ T184 w 270"/>
                              <a:gd name="T186" fmla="+- 0 5135 4653"/>
                              <a:gd name="T187" fmla="*/ 5135 h 602"/>
                              <a:gd name="T188" fmla="+- 0 3903 3738"/>
                              <a:gd name="T189" fmla="*/ T188 w 270"/>
                              <a:gd name="T190" fmla="+- 0 5084 4653"/>
                              <a:gd name="T191" fmla="*/ 5084 h 602"/>
                              <a:gd name="T192" fmla="+- 0 3903 3738"/>
                              <a:gd name="T193" fmla="*/ T192 w 270"/>
                              <a:gd name="T194" fmla="+- 0 4653 4653"/>
                              <a:gd name="T195" fmla="*/ 4653 h 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0" h="602">
                                <a:moveTo>
                                  <a:pt x="26" y="332"/>
                                </a:moveTo>
                                <a:lnTo>
                                  <a:pt x="15" y="336"/>
                                </a:lnTo>
                                <a:lnTo>
                                  <a:pt x="6" y="344"/>
                                </a:lnTo>
                                <a:lnTo>
                                  <a:pt x="1" y="354"/>
                                </a:lnTo>
                                <a:lnTo>
                                  <a:pt x="0" y="366"/>
                                </a:lnTo>
                                <a:lnTo>
                                  <a:pt x="4" y="377"/>
                                </a:lnTo>
                                <a:lnTo>
                                  <a:pt x="135" y="601"/>
                                </a:lnTo>
                                <a:lnTo>
                                  <a:pt x="170" y="542"/>
                                </a:lnTo>
                                <a:lnTo>
                                  <a:pt x="105" y="542"/>
                                </a:lnTo>
                                <a:lnTo>
                                  <a:pt x="105" y="431"/>
                                </a:lnTo>
                                <a:lnTo>
                                  <a:pt x="56" y="347"/>
                                </a:lnTo>
                                <a:lnTo>
                                  <a:pt x="48" y="338"/>
                                </a:lnTo>
                                <a:lnTo>
                                  <a:pt x="38" y="333"/>
                                </a:lnTo>
                                <a:lnTo>
                                  <a:pt x="26" y="332"/>
                                </a:lnTo>
                                <a:close/>
                                <a:moveTo>
                                  <a:pt x="105" y="431"/>
                                </a:moveTo>
                                <a:lnTo>
                                  <a:pt x="105" y="542"/>
                                </a:lnTo>
                                <a:lnTo>
                                  <a:pt x="165" y="542"/>
                                </a:lnTo>
                                <a:lnTo>
                                  <a:pt x="165" y="527"/>
                                </a:lnTo>
                                <a:lnTo>
                                  <a:pt x="109" y="527"/>
                                </a:lnTo>
                                <a:lnTo>
                                  <a:pt x="135" y="482"/>
                                </a:lnTo>
                                <a:lnTo>
                                  <a:pt x="105" y="431"/>
                                </a:lnTo>
                                <a:close/>
                                <a:moveTo>
                                  <a:pt x="244" y="332"/>
                                </a:moveTo>
                                <a:lnTo>
                                  <a:pt x="232" y="333"/>
                                </a:lnTo>
                                <a:lnTo>
                                  <a:pt x="222" y="338"/>
                                </a:lnTo>
                                <a:lnTo>
                                  <a:pt x="214" y="347"/>
                                </a:lnTo>
                                <a:lnTo>
                                  <a:pt x="165" y="431"/>
                                </a:lnTo>
                                <a:lnTo>
                                  <a:pt x="165" y="542"/>
                                </a:lnTo>
                                <a:lnTo>
                                  <a:pt x="170" y="542"/>
                                </a:lnTo>
                                <a:lnTo>
                                  <a:pt x="266" y="377"/>
                                </a:lnTo>
                                <a:lnTo>
                                  <a:pt x="270" y="366"/>
                                </a:lnTo>
                                <a:lnTo>
                                  <a:pt x="269" y="354"/>
                                </a:lnTo>
                                <a:lnTo>
                                  <a:pt x="264" y="344"/>
                                </a:lnTo>
                                <a:lnTo>
                                  <a:pt x="255" y="336"/>
                                </a:lnTo>
                                <a:lnTo>
                                  <a:pt x="244" y="332"/>
                                </a:lnTo>
                                <a:close/>
                                <a:moveTo>
                                  <a:pt x="135" y="482"/>
                                </a:moveTo>
                                <a:lnTo>
                                  <a:pt x="109" y="527"/>
                                </a:lnTo>
                                <a:lnTo>
                                  <a:pt x="161" y="527"/>
                                </a:lnTo>
                                <a:lnTo>
                                  <a:pt x="135" y="482"/>
                                </a:lnTo>
                                <a:close/>
                                <a:moveTo>
                                  <a:pt x="165" y="431"/>
                                </a:moveTo>
                                <a:lnTo>
                                  <a:pt x="135" y="482"/>
                                </a:lnTo>
                                <a:lnTo>
                                  <a:pt x="161" y="527"/>
                                </a:lnTo>
                                <a:lnTo>
                                  <a:pt x="165" y="527"/>
                                </a:lnTo>
                                <a:lnTo>
                                  <a:pt x="165" y="431"/>
                                </a:lnTo>
                                <a:close/>
                                <a:moveTo>
                                  <a:pt x="165" y="0"/>
                                </a:moveTo>
                                <a:lnTo>
                                  <a:pt x="105" y="0"/>
                                </a:lnTo>
                                <a:lnTo>
                                  <a:pt x="105" y="431"/>
                                </a:lnTo>
                                <a:lnTo>
                                  <a:pt x="135" y="482"/>
                                </a:lnTo>
                                <a:lnTo>
                                  <a:pt x="165" y="431"/>
                                </a:lnTo>
                                <a:lnTo>
                                  <a:pt x="165" y="0"/>
                                </a:lnTo>
                                <a:close/>
                              </a:path>
                            </a:pathLst>
                          </a:custGeom>
                          <a:solidFill>
                            <a:srgbClr val="000000">
                              <a:alpha val="3490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AutoShape 152"/>
                        <wps:cNvSpPr>
                          <a:spLocks/>
                        </wps:cNvSpPr>
                        <wps:spPr bwMode="auto">
                          <a:xfrm>
                            <a:off x="3738" y="4616"/>
                            <a:ext cx="270" cy="602"/>
                          </a:xfrm>
                          <a:custGeom>
                            <a:avLst/>
                            <a:gdLst>
                              <a:gd name="T0" fmla="+- 0 3764 3738"/>
                              <a:gd name="T1" fmla="*/ T0 w 270"/>
                              <a:gd name="T2" fmla="+- 0 4949 4616"/>
                              <a:gd name="T3" fmla="*/ 4949 h 602"/>
                              <a:gd name="T4" fmla="+- 0 3753 3738"/>
                              <a:gd name="T5" fmla="*/ T4 w 270"/>
                              <a:gd name="T6" fmla="+- 0 4952 4616"/>
                              <a:gd name="T7" fmla="*/ 4952 h 602"/>
                              <a:gd name="T8" fmla="+- 0 3744 3738"/>
                              <a:gd name="T9" fmla="*/ T8 w 270"/>
                              <a:gd name="T10" fmla="+- 0 4960 4616"/>
                              <a:gd name="T11" fmla="*/ 4960 h 602"/>
                              <a:gd name="T12" fmla="+- 0 3739 3738"/>
                              <a:gd name="T13" fmla="*/ T12 w 270"/>
                              <a:gd name="T14" fmla="+- 0 4971 4616"/>
                              <a:gd name="T15" fmla="*/ 4971 h 602"/>
                              <a:gd name="T16" fmla="+- 0 3738 3738"/>
                              <a:gd name="T17" fmla="*/ T16 w 270"/>
                              <a:gd name="T18" fmla="+- 0 4982 4616"/>
                              <a:gd name="T19" fmla="*/ 4982 h 602"/>
                              <a:gd name="T20" fmla="+- 0 3742 3738"/>
                              <a:gd name="T21" fmla="*/ T20 w 270"/>
                              <a:gd name="T22" fmla="+- 0 4994 4616"/>
                              <a:gd name="T23" fmla="*/ 4994 h 602"/>
                              <a:gd name="T24" fmla="+- 0 3873 3738"/>
                              <a:gd name="T25" fmla="*/ T24 w 270"/>
                              <a:gd name="T26" fmla="+- 0 5218 4616"/>
                              <a:gd name="T27" fmla="*/ 5218 h 602"/>
                              <a:gd name="T28" fmla="+- 0 3908 3738"/>
                              <a:gd name="T29" fmla="*/ T28 w 270"/>
                              <a:gd name="T30" fmla="+- 0 5158 4616"/>
                              <a:gd name="T31" fmla="*/ 5158 h 602"/>
                              <a:gd name="T32" fmla="+- 0 3843 3738"/>
                              <a:gd name="T33" fmla="*/ T32 w 270"/>
                              <a:gd name="T34" fmla="+- 0 5158 4616"/>
                              <a:gd name="T35" fmla="*/ 5158 h 602"/>
                              <a:gd name="T36" fmla="+- 0 3843 3738"/>
                              <a:gd name="T37" fmla="*/ T36 w 270"/>
                              <a:gd name="T38" fmla="+- 0 5047 4616"/>
                              <a:gd name="T39" fmla="*/ 5047 h 602"/>
                              <a:gd name="T40" fmla="+- 0 3794 3738"/>
                              <a:gd name="T41" fmla="*/ T40 w 270"/>
                              <a:gd name="T42" fmla="+- 0 4963 4616"/>
                              <a:gd name="T43" fmla="*/ 4963 h 602"/>
                              <a:gd name="T44" fmla="+- 0 3786 3738"/>
                              <a:gd name="T45" fmla="*/ T44 w 270"/>
                              <a:gd name="T46" fmla="+- 0 4954 4616"/>
                              <a:gd name="T47" fmla="*/ 4954 h 602"/>
                              <a:gd name="T48" fmla="+- 0 3776 3738"/>
                              <a:gd name="T49" fmla="*/ T48 w 270"/>
                              <a:gd name="T50" fmla="+- 0 4949 4616"/>
                              <a:gd name="T51" fmla="*/ 4949 h 602"/>
                              <a:gd name="T52" fmla="+- 0 3764 3738"/>
                              <a:gd name="T53" fmla="*/ T52 w 270"/>
                              <a:gd name="T54" fmla="+- 0 4949 4616"/>
                              <a:gd name="T55" fmla="*/ 4949 h 602"/>
                              <a:gd name="T56" fmla="+- 0 3843 3738"/>
                              <a:gd name="T57" fmla="*/ T56 w 270"/>
                              <a:gd name="T58" fmla="+- 0 5047 4616"/>
                              <a:gd name="T59" fmla="*/ 5047 h 602"/>
                              <a:gd name="T60" fmla="+- 0 3843 3738"/>
                              <a:gd name="T61" fmla="*/ T60 w 270"/>
                              <a:gd name="T62" fmla="+- 0 5158 4616"/>
                              <a:gd name="T63" fmla="*/ 5158 h 602"/>
                              <a:gd name="T64" fmla="+- 0 3903 3738"/>
                              <a:gd name="T65" fmla="*/ T64 w 270"/>
                              <a:gd name="T66" fmla="+- 0 5158 4616"/>
                              <a:gd name="T67" fmla="*/ 5158 h 602"/>
                              <a:gd name="T68" fmla="+- 0 3903 3738"/>
                              <a:gd name="T69" fmla="*/ T68 w 270"/>
                              <a:gd name="T70" fmla="+- 0 5143 4616"/>
                              <a:gd name="T71" fmla="*/ 5143 h 602"/>
                              <a:gd name="T72" fmla="+- 0 3847 3738"/>
                              <a:gd name="T73" fmla="*/ T72 w 270"/>
                              <a:gd name="T74" fmla="+- 0 5143 4616"/>
                              <a:gd name="T75" fmla="*/ 5143 h 602"/>
                              <a:gd name="T76" fmla="+- 0 3873 3738"/>
                              <a:gd name="T77" fmla="*/ T76 w 270"/>
                              <a:gd name="T78" fmla="+- 0 5099 4616"/>
                              <a:gd name="T79" fmla="*/ 5099 h 602"/>
                              <a:gd name="T80" fmla="+- 0 3843 3738"/>
                              <a:gd name="T81" fmla="*/ T80 w 270"/>
                              <a:gd name="T82" fmla="+- 0 5047 4616"/>
                              <a:gd name="T83" fmla="*/ 5047 h 602"/>
                              <a:gd name="T84" fmla="+- 0 3982 3738"/>
                              <a:gd name="T85" fmla="*/ T84 w 270"/>
                              <a:gd name="T86" fmla="+- 0 4949 4616"/>
                              <a:gd name="T87" fmla="*/ 4949 h 602"/>
                              <a:gd name="T88" fmla="+- 0 3970 3738"/>
                              <a:gd name="T89" fmla="*/ T88 w 270"/>
                              <a:gd name="T90" fmla="+- 0 4949 4616"/>
                              <a:gd name="T91" fmla="*/ 4949 h 602"/>
                              <a:gd name="T92" fmla="+- 0 3960 3738"/>
                              <a:gd name="T93" fmla="*/ T92 w 270"/>
                              <a:gd name="T94" fmla="+- 0 4954 4616"/>
                              <a:gd name="T95" fmla="*/ 4954 h 602"/>
                              <a:gd name="T96" fmla="+- 0 3952 3738"/>
                              <a:gd name="T97" fmla="*/ T96 w 270"/>
                              <a:gd name="T98" fmla="+- 0 4963 4616"/>
                              <a:gd name="T99" fmla="*/ 4963 h 602"/>
                              <a:gd name="T100" fmla="+- 0 3903 3738"/>
                              <a:gd name="T101" fmla="*/ T100 w 270"/>
                              <a:gd name="T102" fmla="+- 0 5047 4616"/>
                              <a:gd name="T103" fmla="*/ 5047 h 602"/>
                              <a:gd name="T104" fmla="+- 0 3903 3738"/>
                              <a:gd name="T105" fmla="*/ T104 w 270"/>
                              <a:gd name="T106" fmla="+- 0 5158 4616"/>
                              <a:gd name="T107" fmla="*/ 5158 h 602"/>
                              <a:gd name="T108" fmla="+- 0 3908 3738"/>
                              <a:gd name="T109" fmla="*/ T108 w 270"/>
                              <a:gd name="T110" fmla="+- 0 5158 4616"/>
                              <a:gd name="T111" fmla="*/ 5158 h 602"/>
                              <a:gd name="T112" fmla="+- 0 4004 3738"/>
                              <a:gd name="T113" fmla="*/ T112 w 270"/>
                              <a:gd name="T114" fmla="+- 0 4994 4616"/>
                              <a:gd name="T115" fmla="*/ 4994 h 602"/>
                              <a:gd name="T116" fmla="+- 0 4008 3738"/>
                              <a:gd name="T117" fmla="*/ T116 w 270"/>
                              <a:gd name="T118" fmla="+- 0 4982 4616"/>
                              <a:gd name="T119" fmla="*/ 4982 h 602"/>
                              <a:gd name="T120" fmla="+- 0 4007 3738"/>
                              <a:gd name="T121" fmla="*/ T120 w 270"/>
                              <a:gd name="T122" fmla="+- 0 4971 4616"/>
                              <a:gd name="T123" fmla="*/ 4971 h 602"/>
                              <a:gd name="T124" fmla="+- 0 4002 3738"/>
                              <a:gd name="T125" fmla="*/ T124 w 270"/>
                              <a:gd name="T126" fmla="+- 0 4960 4616"/>
                              <a:gd name="T127" fmla="*/ 4960 h 602"/>
                              <a:gd name="T128" fmla="+- 0 3993 3738"/>
                              <a:gd name="T129" fmla="*/ T128 w 270"/>
                              <a:gd name="T130" fmla="+- 0 4952 4616"/>
                              <a:gd name="T131" fmla="*/ 4952 h 602"/>
                              <a:gd name="T132" fmla="+- 0 3982 3738"/>
                              <a:gd name="T133" fmla="*/ T132 w 270"/>
                              <a:gd name="T134" fmla="+- 0 4949 4616"/>
                              <a:gd name="T135" fmla="*/ 4949 h 602"/>
                              <a:gd name="T136" fmla="+- 0 3873 3738"/>
                              <a:gd name="T137" fmla="*/ T136 w 270"/>
                              <a:gd name="T138" fmla="+- 0 5099 4616"/>
                              <a:gd name="T139" fmla="*/ 5099 h 602"/>
                              <a:gd name="T140" fmla="+- 0 3847 3738"/>
                              <a:gd name="T141" fmla="*/ T140 w 270"/>
                              <a:gd name="T142" fmla="+- 0 5143 4616"/>
                              <a:gd name="T143" fmla="*/ 5143 h 602"/>
                              <a:gd name="T144" fmla="+- 0 3899 3738"/>
                              <a:gd name="T145" fmla="*/ T144 w 270"/>
                              <a:gd name="T146" fmla="+- 0 5143 4616"/>
                              <a:gd name="T147" fmla="*/ 5143 h 602"/>
                              <a:gd name="T148" fmla="+- 0 3873 3738"/>
                              <a:gd name="T149" fmla="*/ T148 w 270"/>
                              <a:gd name="T150" fmla="+- 0 5099 4616"/>
                              <a:gd name="T151" fmla="*/ 5099 h 602"/>
                              <a:gd name="T152" fmla="+- 0 3903 3738"/>
                              <a:gd name="T153" fmla="*/ T152 w 270"/>
                              <a:gd name="T154" fmla="+- 0 5047 4616"/>
                              <a:gd name="T155" fmla="*/ 5047 h 602"/>
                              <a:gd name="T156" fmla="+- 0 3873 3738"/>
                              <a:gd name="T157" fmla="*/ T156 w 270"/>
                              <a:gd name="T158" fmla="+- 0 5099 4616"/>
                              <a:gd name="T159" fmla="*/ 5099 h 602"/>
                              <a:gd name="T160" fmla="+- 0 3899 3738"/>
                              <a:gd name="T161" fmla="*/ T160 w 270"/>
                              <a:gd name="T162" fmla="+- 0 5143 4616"/>
                              <a:gd name="T163" fmla="*/ 5143 h 602"/>
                              <a:gd name="T164" fmla="+- 0 3903 3738"/>
                              <a:gd name="T165" fmla="*/ T164 w 270"/>
                              <a:gd name="T166" fmla="+- 0 5143 4616"/>
                              <a:gd name="T167" fmla="*/ 5143 h 602"/>
                              <a:gd name="T168" fmla="+- 0 3903 3738"/>
                              <a:gd name="T169" fmla="*/ T168 w 270"/>
                              <a:gd name="T170" fmla="+- 0 5047 4616"/>
                              <a:gd name="T171" fmla="*/ 5047 h 602"/>
                              <a:gd name="T172" fmla="+- 0 3903 3738"/>
                              <a:gd name="T173" fmla="*/ T172 w 270"/>
                              <a:gd name="T174" fmla="+- 0 4616 4616"/>
                              <a:gd name="T175" fmla="*/ 4616 h 602"/>
                              <a:gd name="T176" fmla="+- 0 3843 3738"/>
                              <a:gd name="T177" fmla="*/ T176 w 270"/>
                              <a:gd name="T178" fmla="+- 0 4616 4616"/>
                              <a:gd name="T179" fmla="*/ 4616 h 602"/>
                              <a:gd name="T180" fmla="+- 0 3843 3738"/>
                              <a:gd name="T181" fmla="*/ T180 w 270"/>
                              <a:gd name="T182" fmla="+- 0 5047 4616"/>
                              <a:gd name="T183" fmla="*/ 5047 h 602"/>
                              <a:gd name="T184" fmla="+- 0 3873 3738"/>
                              <a:gd name="T185" fmla="*/ T184 w 270"/>
                              <a:gd name="T186" fmla="+- 0 5099 4616"/>
                              <a:gd name="T187" fmla="*/ 5099 h 602"/>
                              <a:gd name="T188" fmla="+- 0 3903 3738"/>
                              <a:gd name="T189" fmla="*/ T188 w 270"/>
                              <a:gd name="T190" fmla="+- 0 5047 4616"/>
                              <a:gd name="T191" fmla="*/ 5047 h 602"/>
                              <a:gd name="T192" fmla="+- 0 3903 3738"/>
                              <a:gd name="T193" fmla="*/ T192 w 270"/>
                              <a:gd name="T194" fmla="+- 0 4616 4616"/>
                              <a:gd name="T195" fmla="*/ 4616 h 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0" h="602">
                                <a:moveTo>
                                  <a:pt x="26" y="333"/>
                                </a:moveTo>
                                <a:lnTo>
                                  <a:pt x="15" y="336"/>
                                </a:lnTo>
                                <a:lnTo>
                                  <a:pt x="6" y="344"/>
                                </a:lnTo>
                                <a:lnTo>
                                  <a:pt x="1" y="355"/>
                                </a:lnTo>
                                <a:lnTo>
                                  <a:pt x="0" y="366"/>
                                </a:lnTo>
                                <a:lnTo>
                                  <a:pt x="4" y="378"/>
                                </a:lnTo>
                                <a:lnTo>
                                  <a:pt x="135" y="602"/>
                                </a:lnTo>
                                <a:lnTo>
                                  <a:pt x="170" y="542"/>
                                </a:lnTo>
                                <a:lnTo>
                                  <a:pt x="105" y="542"/>
                                </a:lnTo>
                                <a:lnTo>
                                  <a:pt x="105" y="431"/>
                                </a:lnTo>
                                <a:lnTo>
                                  <a:pt x="56" y="347"/>
                                </a:lnTo>
                                <a:lnTo>
                                  <a:pt x="48" y="338"/>
                                </a:lnTo>
                                <a:lnTo>
                                  <a:pt x="38" y="333"/>
                                </a:lnTo>
                                <a:lnTo>
                                  <a:pt x="26" y="333"/>
                                </a:lnTo>
                                <a:close/>
                                <a:moveTo>
                                  <a:pt x="105" y="431"/>
                                </a:moveTo>
                                <a:lnTo>
                                  <a:pt x="105" y="542"/>
                                </a:lnTo>
                                <a:lnTo>
                                  <a:pt x="165" y="542"/>
                                </a:lnTo>
                                <a:lnTo>
                                  <a:pt x="165" y="527"/>
                                </a:lnTo>
                                <a:lnTo>
                                  <a:pt x="109" y="527"/>
                                </a:lnTo>
                                <a:lnTo>
                                  <a:pt x="135" y="483"/>
                                </a:lnTo>
                                <a:lnTo>
                                  <a:pt x="105" y="431"/>
                                </a:lnTo>
                                <a:close/>
                                <a:moveTo>
                                  <a:pt x="244" y="333"/>
                                </a:moveTo>
                                <a:lnTo>
                                  <a:pt x="232" y="333"/>
                                </a:lnTo>
                                <a:lnTo>
                                  <a:pt x="222" y="338"/>
                                </a:lnTo>
                                <a:lnTo>
                                  <a:pt x="214" y="347"/>
                                </a:lnTo>
                                <a:lnTo>
                                  <a:pt x="165" y="431"/>
                                </a:lnTo>
                                <a:lnTo>
                                  <a:pt x="165" y="542"/>
                                </a:lnTo>
                                <a:lnTo>
                                  <a:pt x="170" y="542"/>
                                </a:lnTo>
                                <a:lnTo>
                                  <a:pt x="266" y="378"/>
                                </a:lnTo>
                                <a:lnTo>
                                  <a:pt x="270" y="366"/>
                                </a:lnTo>
                                <a:lnTo>
                                  <a:pt x="269" y="355"/>
                                </a:lnTo>
                                <a:lnTo>
                                  <a:pt x="264" y="344"/>
                                </a:lnTo>
                                <a:lnTo>
                                  <a:pt x="255" y="336"/>
                                </a:lnTo>
                                <a:lnTo>
                                  <a:pt x="244" y="333"/>
                                </a:lnTo>
                                <a:close/>
                                <a:moveTo>
                                  <a:pt x="135" y="483"/>
                                </a:moveTo>
                                <a:lnTo>
                                  <a:pt x="109" y="527"/>
                                </a:lnTo>
                                <a:lnTo>
                                  <a:pt x="161" y="527"/>
                                </a:lnTo>
                                <a:lnTo>
                                  <a:pt x="135" y="483"/>
                                </a:lnTo>
                                <a:close/>
                                <a:moveTo>
                                  <a:pt x="165" y="431"/>
                                </a:moveTo>
                                <a:lnTo>
                                  <a:pt x="135" y="483"/>
                                </a:lnTo>
                                <a:lnTo>
                                  <a:pt x="161" y="527"/>
                                </a:lnTo>
                                <a:lnTo>
                                  <a:pt x="165" y="527"/>
                                </a:lnTo>
                                <a:lnTo>
                                  <a:pt x="165" y="431"/>
                                </a:lnTo>
                                <a:close/>
                                <a:moveTo>
                                  <a:pt x="165" y="0"/>
                                </a:moveTo>
                                <a:lnTo>
                                  <a:pt x="105" y="0"/>
                                </a:lnTo>
                                <a:lnTo>
                                  <a:pt x="105" y="431"/>
                                </a:lnTo>
                                <a:lnTo>
                                  <a:pt x="135" y="483"/>
                                </a:lnTo>
                                <a:lnTo>
                                  <a:pt x="165" y="431"/>
                                </a:lnTo>
                                <a:lnTo>
                                  <a:pt x="16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Rectangle 153"/>
                        <wps:cNvSpPr>
                          <a:spLocks noChangeArrowheads="1"/>
                        </wps:cNvSpPr>
                        <wps:spPr bwMode="auto">
                          <a:xfrm>
                            <a:off x="1590" y="5261"/>
                            <a:ext cx="1319" cy="702"/>
                          </a:xfrm>
                          <a:prstGeom prst="rect">
                            <a:avLst/>
                          </a:prstGeom>
                          <a:solidFill>
                            <a:srgbClr val="000000">
                              <a:alpha val="3803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40" name="Picture 15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590" y="5230"/>
                            <a:ext cx="1319"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 name="Rectangle 155"/>
                        <wps:cNvSpPr>
                          <a:spLocks noChangeArrowheads="1"/>
                        </wps:cNvSpPr>
                        <wps:spPr bwMode="auto">
                          <a:xfrm>
                            <a:off x="3023" y="5283"/>
                            <a:ext cx="2651" cy="914"/>
                          </a:xfrm>
                          <a:prstGeom prst="rect">
                            <a:avLst/>
                          </a:prstGeom>
                          <a:solidFill>
                            <a:srgbClr val="000000">
                              <a:alpha val="3803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42" name="Picture 15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023" y="5252"/>
                            <a:ext cx="2651" cy="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3" name="Rectangle 157"/>
                        <wps:cNvSpPr>
                          <a:spLocks noChangeArrowheads="1"/>
                        </wps:cNvSpPr>
                        <wps:spPr bwMode="auto">
                          <a:xfrm>
                            <a:off x="5941" y="5238"/>
                            <a:ext cx="3564" cy="959"/>
                          </a:xfrm>
                          <a:prstGeom prst="rect">
                            <a:avLst/>
                          </a:prstGeom>
                          <a:solidFill>
                            <a:srgbClr val="000000">
                              <a:alpha val="3803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44" name="Picture 15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5941" y="5207"/>
                            <a:ext cx="3564" cy="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5" name="Freeform 159"/>
                        <wps:cNvSpPr>
                          <a:spLocks/>
                        </wps:cNvSpPr>
                        <wps:spPr bwMode="auto">
                          <a:xfrm>
                            <a:off x="1996" y="6671"/>
                            <a:ext cx="1852" cy="97"/>
                          </a:xfrm>
                          <a:custGeom>
                            <a:avLst/>
                            <a:gdLst>
                              <a:gd name="T0" fmla="+- 0 3848 1996"/>
                              <a:gd name="T1" fmla="*/ T0 w 1852"/>
                              <a:gd name="T2" fmla="+- 0 6671 6671"/>
                              <a:gd name="T3" fmla="*/ 6671 h 97"/>
                              <a:gd name="T4" fmla="+- 0 1996 1996"/>
                              <a:gd name="T5" fmla="*/ T4 w 1852"/>
                              <a:gd name="T6" fmla="+- 0 6671 6671"/>
                              <a:gd name="T7" fmla="*/ 6671 h 97"/>
                              <a:gd name="T8" fmla="+- 0 1996 1996"/>
                              <a:gd name="T9" fmla="*/ T8 w 1852"/>
                              <a:gd name="T10" fmla="+- 0 6708 6671"/>
                              <a:gd name="T11" fmla="*/ 6708 h 97"/>
                              <a:gd name="T12" fmla="+- 0 1996 1996"/>
                              <a:gd name="T13" fmla="*/ T12 w 1852"/>
                              <a:gd name="T14" fmla="+- 0 6731 6671"/>
                              <a:gd name="T15" fmla="*/ 6731 h 97"/>
                              <a:gd name="T16" fmla="+- 0 1996 1996"/>
                              <a:gd name="T17" fmla="*/ T16 w 1852"/>
                              <a:gd name="T18" fmla="+- 0 6768 6671"/>
                              <a:gd name="T19" fmla="*/ 6768 h 97"/>
                              <a:gd name="T20" fmla="+- 0 3848 1996"/>
                              <a:gd name="T21" fmla="*/ T20 w 1852"/>
                              <a:gd name="T22" fmla="+- 0 6768 6671"/>
                              <a:gd name="T23" fmla="*/ 6768 h 97"/>
                              <a:gd name="T24" fmla="+- 0 3848 1996"/>
                              <a:gd name="T25" fmla="*/ T24 w 1852"/>
                              <a:gd name="T26" fmla="+- 0 6731 6671"/>
                              <a:gd name="T27" fmla="*/ 6731 h 97"/>
                              <a:gd name="T28" fmla="+- 0 3848 1996"/>
                              <a:gd name="T29" fmla="*/ T28 w 1852"/>
                              <a:gd name="T30" fmla="+- 0 6708 6671"/>
                              <a:gd name="T31" fmla="*/ 6708 h 97"/>
                              <a:gd name="T32" fmla="+- 0 3848 1996"/>
                              <a:gd name="T33" fmla="*/ T32 w 1852"/>
                              <a:gd name="T34" fmla="+- 0 6671 6671"/>
                              <a:gd name="T35" fmla="*/ 6671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52" h="97">
                                <a:moveTo>
                                  <a:pt x="1852" y="0"/>
                                </a:moveTo>
                                <a:lnTo>
                                  <a:pt x="0" y="0"/>
                                </a:lnTo>
                                <a:lnTo>
                                  <a:pt x="0" y="37"/>
                                </a:lnTo>
                                <a:lnTo>
                                  <a:pt x="0" y="60"/>
                                </a:lnTo>
                                <a:lnTo>
                                  <a:pt x="0" y="97"/>
                                </a:lnTo>
                                <a:lnTo>
                                  <a:pt x="1852" y="97"/>
                                </a:lnTo>
                                <a:lnTo>
                                  <a:pt x="1852" y="60"/>
                                </a:lnTo>
                                <a:lnTo>
                                  <a:pt x="1852" y="37"/>
                                </a:lnTo>
                                <a:lnTo>
                                  <a:pt x="1852" y="0"/>
                                </a:lnTo>
                                <a:close/>
                              </a:path>
                            </a:pathLst>
                          </a:custGeom>
                          <a:solidFill>
                            <a:srgbClr val="000000">
                              <a:alpha val="3803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Line 160"/>
                        <wps:cNvCnPr>
                          <a:cxnSpLocks noChangeShapeType="1"/>
                        </wps:cNvCnPr>
                        <wps:spPr bwMode="auto">
                          <a:xfrm>
                            <a:off x="1996" y="5969"/>
                            <a:ext cx="0" cy="769"/>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7" name="Line 161"/>
                        <wps:cNvCnPr>
                          <a:cxnSpLocks noChangeShapeType="1"/>
                        </wps:cNvCnPr>
                        <wps:spPr bwMode="auto">
                          <a:xfrm>
                            <a:off x="1996" y="5932"/>
                            <a:ext cx="0" cy="769"/>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 name="Line 162"/>
                        <wps:cNvCnPr>
                          <a:cxnSpLocks noChangeShapeType="1"/>
                        </wps:cNvCnPr>
                        <wps:spPr bwMode="auto">
                          <a:xfrm>
                            <a:off x="3854" y="6173"/>
                            <a:ext cx="0" cy="617"/>
                          </a:xfrm>
                          <a:prstGeom prst="line">
                            <a:avLst/>
                          </a:prstGeom>
                          <a:noFill/>
                          <a:ln w="457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 name="Line 163"/>
                        <wps:cNvCnPr>
                          <a:cxnSpLocks noChangeShapeType="1"/>
                        </wps:cNvCnPr>
                        <wps:spPr bwMode="auto">
                          <a:xfrm>
                            <a:off x="3854" y="6136"/>
                            <a:ext cx="0" cy="617"/>
                          </a:xfrm>
                          <a:prstGeom prst="line">
                            <a:avLst/>
                          </a:prstGeom>
                          <a:noFill/>
                          <a:ln w="457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0" name="Line 164"/>
                        <wps:cNvCnPr>
                          <a:cxnSpLocks noChangeShapeType="1"/>
                        </wps:cNvCnPr>
                        <wps:spPr bwMode="auto">
                          <a:xfrm>
                            <a:off x="7070" y="6192"/>
                            <a:ext cx="0" cy="673"/>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 name="Line 165"/>
                        <wps:cNvCnPr>
                          <a:cxnSpLocks noChangeShapeType="1"/>
                        </wps:cNvCnPr>
                        <wps:spPr bwMode="auto">
                          <a:xfrm>
                            <a:off x="7070" y="6155"/>
                            <a:ext cx="0" cy="71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2" name="Line 166"/>
                        <wps:cNvCnPr>
                          <a:cxnSpLocks noChangeShapeType="1"/>
                        </wps:cNvCnPr>
                        <wps:spPr bwMode="auto">
                          <a:xfrm>
                            <a:off x="2858" y="6761"/>
                            <a:ext cx="0" cy="104"/>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3" name="Line 167"/>
                        <wps:cNvCnPr>
                          <a:cxnSpLocks noChangeShapeType="1"/>
                        </wps:cNvCnPr>
                        <wps:spPr bwMode="auto">
                          <a:xfrm>
                            <a:off x="2858" y="6724"/>
                            <a:ext cx="0" cy="141"/>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4" name="Rectangle 168"/>
                        <wps:cNvSpPr>
                          <a:spLocks noChangeArrowheads="1"/>
                        </wps:cNvSpPr>
                        <wps:spPr bwMode="auto">
                          <a:xfrm>
                            <a:off x="1514" y="6896"/>
                            <a:ext cx="7991" cy="1272"/>
                          </a:xfrm>
                          <a:prstGeom prst="rect">
                            <a:avLst/>
                          </a:prstGeom>
                          <a:solidFill>
                            <a:srgbClr val="000000">
                              <a:alpha val="3803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5" name="Picture 16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514" y="6865"/>
                            <a:ext cx="7991"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6" name="Line 170"/>
                        <wps:cNvCnPr>
                          <a:cxnSpLocks noChangeShapeType="1"/>
                        </wps:cNvCnPr>
                        <wps:spPr bwMode="auto">
                          <a:xfrm>
                            <a:off x="7014" y="9860"/>
                            <a:ext cx="85" cy="0"/>
                          </a:xfrm>
                          <a:prstGeom prst="line">
                            <a:avLst/>
                          </a:prstGeom>
                          <a:noFill/>
                          <a:ln w="2298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7" name="Line 171"/>
                        <wps:cNvCnPr>
                          <a:cxnSpLocks noChangeShapeType="1"/>
                        </wps:cNvCnPr>
                        <wps:spPr bwMode="auto">
                          <a:xfrm>
                            <a:off x="7044" y="9008"/>
                            <a:ext cx="25" cy="803"/>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 name="Line 172"/>
                        <wps:cNvCnPr>
                          <a:cxnSpLocks noChangeShapeType="1"/>
                        </wps:cNvCnPr>
                        <wps:spPr bwMode="auto">
                          <a:xfrm>
                            <a:off x="4926" y="9848"/>
                            <a:ext cx="0"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9" name="Line 173"/>
                        <wps:cNvCnPr>
                          <a:cxnSpLocks noChangeShapeType="1"/>
                        </wps:cNvCnPr>
                        <wps:spPr bwMode="auto">
                          <a:xfrm>
                            <a:off x="4926" y="9811"/>
                            <a:ext cx="0"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0" name="AutoShape 174"/>
                        <wps:cNvSpPr>
                          <a:spLocks/>
                        </wps:cNvSpPr>
                        <wps:spPr bwMode="auto">
                          <a:xfrm>
                            <a:off x="4913" y="8709"/>
                            <a:ext cx="1383" cy="270"/>
                          </a:xfrm>
                          <a:custGeom>
                            <a:avLst/>
                            <a:gdLst>
                              <a:gd name="T0" fmla="+- 0 6176 4913"/>
                              <a:gd name="T1" fmla="*/ T0 w 1383"/>
                              <a:gd name="T2" fmla="+- 0 8845 8710"/>
                              <a:gd name="T3" fmla="*/ 8845 h 270"/>
                              <a:gd name="T4" fmla="+- 0 6041 4913"/>
                              <a:gd name="T5" fmla="*/ T4 w 1383"/>
                              <a:gd name="T6" fmla="+- 0 8924 8710"/>
                              <a:gd name="T7" fmla="*/ 8924 h 270"/>
                              <a:gd name="T8" fmla="+- 0 6032 4913"/>
                              <a:gd name="T9" fmla="*/ T8 w 1383"/>
                              <a:gd name="T10" fmla="+- 0 8932 8710"/>
                              <a:gd name="T11" fmla="*/ 8932 h 270"/>
                              <a:gd name="T12" fmla="+- 0 6027 4913"/>
                              <a:gd name="T13" fmla="*/ T12 w 1383"/>
                              <a:gd name="T14" fmla="+- 0 8942 8710"/>
                              <a:gd name="T15" fmla="*/ 8942 h 270"/>
                              <a:gd name="T16" fmla="+- 0 6026 4913"/>
                              <a:gd name="T17" fmla="*/ T16 w 1383"/>
                              <a:gd name="T18" fmla="+- 0 8954 8710"/>
                              <a:gd name="T19" fmla="*/ 8954 h 270"/>
                              <a:gd name="T20" fmla="+- 0 6030 4913"/>
                              <a:gd name="T21" fmla="*/ T20 w 1383"/>
                              <a:gd name="T22" fmla="+- 0 8965 8710"/>
                              <a:gd name="T23" fmla="*/ 8965 h 270"/>
                              <a:gd name="T24" fmla="+- 0 6038 4913"/>
                              <a:gd name="T25" fmla="*/ T24 w 1383"/>
                              <a:gd name="T26" fmla="+- 0 8974 8710"/>
                              <a:gd name="T27" fmla="*/ 8974 h 270"/>
                              <a:gd name="T28" fmla="+- 0 6048 4913"/>
                              <a:gd name="T29" fmla="*/ T28 w 1383"/>
                              <a:gd name="T30" fmla="+- 0 8979 8710"/>
                              <a:gd name="T31" fmla="*/ 8979 h 270"/>
                              <a:gd name="T32" fmla="+- 0 6060 4913"/>
                              <a:gd name="T33" fmla="*/ T32 w 1383"/>
                              <a:gd name="T34" fmla="+- 0 8979 8710"/>
                              <a:gd name="T35" fmla="*/ 8979 h 270"/>
                              <a:gd name="T36" fmla="+- 0 6071 4913"/>
                              <a:gd name="T37" fmla="*/ T36 w 1383"/>
                              <a:gd name="T38" fmla="+- 0 8976 8710"/>
                              <a:gd name="T39" fmla="*/ 8976 h 270"/>
                              <a:gd name="T40" fmla="+- 0 6244 4913"/>
                              <a:gd name="T41" fmla="*/ T40 w 1383"/>
                              <a:gd name="T42" fmla="+- 0 8875 8710"/>
                              <a:gd name="T43" fmla="*/ 8875 h 270"/>
                              <a:gd name="T44" fmla="+- 0 6236 4913"/>
                              <a:gd name="T45" fmla="*/ T44 w 1383"/>
                              <a:gd name="T46" fmla="+- 0 8875 8710"/>
                              <a:gd name="T47" fmla="*/ 8875 h 270"/>
                              <a:gd name="T48" fmla="+- 0 6236 4913"/>
                              <a:gd name="T49" fmla="*/ T48 w 1383"/>
                              <a:gd name="T50" fmla="+- 0 8871 8710"/>
                              <a:gd name="T51" fmla="*/ 8871 h 270"/>
                              <a:gd name="T52" fmla="+- 0 6221 4913"/>
                              <a:gd name="T53" fmla="*/ T52 w 1383"/>
                              <a:gd name="T54" fmla="+- 0 8871 8710"/>
                              <a:gd name="T55" fmla="*/ 8871 h 270"/>
                              <a:gd name="T56" fmla="+- 0 6176 4913"/>
                              <a:gd name="T57" fmla="*/ T56 w 1383"/>
                              <a:gd name="T58" fmla="+- 0 8845 8710"/>
                              <a:gd name="T59" fmla="*/ 8845 h 270"/>
                              <a:gd name="T60" fmla="+- 0 6125 4913"/>
                              <a:gd name="T61" fmla="*/ T60 w 1383"/>
                              <a:gd name="T62" fmla="+- 0 8815 8710"/>
                              <a:gd name="T63" fmla="*/ 8815 h 270"/>
                              <a:gd name="T64" fmla="+- 0 4913 4913"/>
                              <a:gd name="T65" fmla="*/ T64 w 1383"/>
                              <a:gd name="T66" fmla="+- 0 8815 8710"/>
                              <a:gd name="T67" fmla="*/ 8815 h 270"/>
                              <a:gd name="T68" fmla="+- 0 4913 4913"/>
                              <a:gd name="T69" fmla="*/ T68 w 1383"/>
                              <a:gd name="T70" fmla="+- 0 8875 8710"/>
                              <a:gd name="T71" fmla="*/ 8875 h 270"/>
                              <a:gd name="T72" fmla="+- 0 6125 4913"/>
                              <a:gd name="T73" fmla="*/ T72 w 1383"/>
                              <a:gd name="T74" fmla="+- 0 8875 8710"/>
                              <a:gd name="T75" fmla="*/ 8875 h 270"/>
                              <a:gd name="T76" fmla="+- 0 6176 4913"/>
                              <a:gd name="T77" fmla="*/ T76 w 1383"/>
                              <a:gd name="T78" fmla="+- 0 8845 8710"/>
                              <a:gd name="T79" fmla="*/ 8845 h 270"/>
                              <a:gd name="T80" fmla="+- 0 6125 4913"/>
                              <a:gd name="T81" fmla="*/ T80 w 1383"/>
                              <a:gd name="T82" fmla="+- 0 8815 8710"/>
                              <a:gd name="T83" fmla="*/ 8815 h 270"/>
                              <a:gd name="T84" fmla="+- 0 6244 4913"/>
                              <a:gd name="T85" fmla="*/ T84 w 1383"/>
                              <a:gd name="T86" fmla="+- 0 8815 8710"/>
                              <a:gd name="T87" fmla="*/ 8815 h 270"/>
                              <a:gd name="T88" fmla="+- 0 6236 4913"/>
                              <a:gd name="T89" fmla="*/ T88 w 1383"/>
                              <a:gd name="T90" fmla="+- 0 8815 8710"/>
                              <a:gd name="T91" fmla="*/ 8815 h 270"/>
                              <a:gd name="T92" fmla="+- 0 6236 4913"/>
                              <a:gd name="T93" fmla="*/ T92 w 1383"/>
                              <a:gd name="T94" fmla="+- 0 8875 8710"/>
                              <a:gd name="T95" fmla="*/ 8875 h 270"/>
                              <a:gd name="T96" fmla="+- 0 6244 4913"/>
                              <a:gd name="T97" fmla="*/ T96 w 1383"/>
                              <a:gd name="T98" fmla="+- 0 8875 8710"/>
                              <a:gd name="T99" fmla="*/ 8875 h 270"/>
                              <a:gd name="T100" fmla="+- 0 6296 4913"/>
                              <a:gd name="T101" fmla="*/ T100 w 1383"/>
                              <a:gd name="T102" fmla="+- 0 8845 8710"/>
                              <a:gd name="T103" fmla="*/ 8845 h 270"/>
                              <a:gd name="T104" fmla="+- 0 6244 4913"/>
                              <a:gd name="T105" fmla="*/ T104 w 1383"/>
                              <a:gd name="T106" fmla="+- 0 8815 8710"/>
                              <a:gd name="T107" fmla="*/ 8815 h 270"/>
                              <a:gd name="T108" fmla="+- 0 6221 4913"/>
                              <a:gd name="T109" fmla="*/ T108 w 1383"/>
                              <a:gd name="T110" fmla="+- 0 8819 8710"/>
                              <a:gd name="T111" fmla="*/ 8819 h 270"/>
                              <a:gd name="T112" fmla="+- 0 6176 4913"/>
                              <a:gd name="T113" fmla="*/ T112 w 1383"/>
                              <a:gd name="T114" fmla="+- 0 8845 8710"/>
                              <a:gd name="T115" fmla="*/ 8845 h 270"/>
                              <a:gd name="T116" fmla="+- 0 6221 4913"/>
                              <a:gd name="T117" fmla="*/ T116 w 1383"/>
                              <a:gd name="T118" fmla="+- 0 8871 8710"/>
                              <a:gd name="T119" fmla="*/ 8871 h 270"/>
                              <a:gd name="T120" fmla="+- 0 6221 4913"/>
                              <a:gd name="T121" fmla="*/ T120 w 1383"/>
                              <a:gd name="T122" fmla="+- 0 8819 8710"/>
                              <a:gd name="T123" fmla="*/ 8819 h 270"/>
                              <a:gd name="T124" fmla="+- 0 6236 4913"/>
                              <a:gd name="T125" fmla="*/ T124 w 1383"/>
                              <a:gd name="T126" fmla="+- 0 8819 8710"/>
                              <a:gd name="T127" fmla="*/ 8819 h 270"/>
                              <a:gd name="T128" fmla="+- 0 6221 4913"/>
                              <a:gd name="T129" fmla="*/ T128 w 1383"/>
                              <a:gd name="T130" fmla="+- 0 8819 8710"/>
                              <a:gd name="T131" fmla="*/ 8819 h 270"/>
                              <a:gd name="T132" fmla="+- 0 6221 4913"/>
                              <a:gd name="T133" fmla="*/ T132 w 1383"/>
                              <a:gd name="T134" fmla="+- 0 8871 8710"/>
                              <a:gd name="T135" fmla="*/ 8871 h 270"/>
                              <a:gd name="T136" fmla="+- 0 6236 4913"/>
                              <a:gd name="T137" fmla="*/ T136 w 1383"/>
                              <a:gd name="T138" fmla="+- 0 8871 8710"/>
                              <a:gd name="T139" fmla="*/ 8871 h 270"/>
                              <a:gd name="T140" fmla="+- 0 6236 4913"/>
                              <a:gd name="T141" fmla="*/ T140 w 1383"/>
                              <a:gd name="T142" fmla="+- 0 8819 8710"/>
                              <a:gd name="T143" fmla="*/ 8819 h 270"/>
                              <a:gd name="T144" fmla="+- 0 6060 4913"/>
                              <a:gd name="T145" fmla="*/ T144 w 1383"/>
                              <a:gd name="T146" fmla="+- 0 8710 8710"/>
                              <a:gd name="T147" fmla="*/ 8710 h 270"/>
                              <a:gd name="T148" fmla="+- 0 6048 4913"/>
                              <a:gd name="T149" fmla="*/ T148 w 1383"/>
                              <a:gd name="T150" fmla="+- 0 8711 8710"/>
                              <a:gd name="T151" fmla="*/ 8711 h 270"/>
                              <a:gd name="T152" fmla="+- 0 6038 4913"/>
                              <a:gd name="T153" fmla="*/ T152 w 1383"/>
                              <a:gd name="T154" fmla="+- 0 8716 8710"/>
                              <a:gd name="T155" fmla="*/ 8716 h 270"/>
                              <a:gd name="T156" fmla="+- 0 6030 4913"/>
                              <a:gd name="T157" fmla="*/ T156 w 1383"/>
                              <a:gd name="T158" fmla="+- 0 8725 8710"/>
                              <a:gd name="T159" fmla="*/ 8725 h 270"/>
                              <a:gd name="T160" fmla="+- 0 6026 4913"/>
                              <a:gd name="T161" fmla="*/ T160 w 1383"/>
                              <a:gd name="T162" fmla="+- 0 8736 8710"/>
                              <a:gd name="T163" fmla="*/ 8736 h 270"/>
                              <a:gd name="T164" fmla="+- 0 6027 4913"/>
                              <a:gd name="T165" fmla="*/ T164 w 1383"/>
                              <a:gd name="T166" fmla="+- 0 8747 8710"/>
                              <a:gd name="T167" fmla="*/ 8747 h 270"/>
                              <a:gd name="T168" fmla="+- 0 6032 4913"/>
                              <a:gd name="T169" fmla="*/ T168 w 1383"/>
                              <a:gd name="T170" fmla="+- 0 8758 8710"/>
                              <a:gd name="T171" fmla="*/ 8758 h 270"/>
                              <a:gd name="T172" fmla="+- 0 6041 4913"/>
                              <a:gd name="T173" fmla="*/ T172 w 1383"/>
                              <a:gd name="T174" fmla="+- 0 8766 8710"/>
                              <a:gd name="T175" fmla="*/ 8766 h 270"/>
                              <a:gd name="T176" fmla="+- 0 6176 4913"/>
                              <a:gd name="T177" fmla="*/ T176 w 1383"/>
                              <a:gd name="T178" fmla="+- 0 8845 8710"/>
                              <a:gd name="T179" fmla="*/ 8845 h 270"/>
                              <a:gd name="T180" fmla="+- 0 6221 4913"/>
                              <a:gd name="T181" fmla="*/ T180 w 1383"/>
                              <a:gd name="T182" fmla="+- 0 8819 8710"/>
                              <a:gd name="T183" fmla="*/ 8819 h 270"/>
                              <a:gd name="T184" fmla="+- 0 6236 4913"/>
                              <a:gd name="T185" fmla="*/ T184 w 1383"/>
                              <a:gd name="T186" fmla="+- 0 8819 8710"/>
                              <a:gd name="T187" fmla="*/ 8819 h 270"/>
                              <a:gd name="T188" fmla="+- 0 6236 4913"/>
                              <a:gd name="T189" fmla="*/ T188 w 1383"/>
                              <a:gd name="T190" fmla="+- 0 8815 8710"/>
                              <a:gd name="T191" fmla="*/ 8815 h 270"/>
                              <a:gd name="T192" fmla="+- 0 6244 4913"/>
                              <a:gd name="T193" fmla="*/ T192 w 1383"/>
                              <a:gd name="T194" fmla="+- 0 8815 8710"/>
                              <a:gd name="T195" fmla="*/ 8815 h 270"/>
                              <a:gd name="T196" fmla="+- 0 6071 4913"/>
                              <a:gd name="T197" fmla="*/ T196 w 1383"/>
                              <a:gd name="T198" fmla="+- 0 8714 8710"/>
                              <a:gd name="T199" fmla="*/ 8714 h 270"/>
                              <a:gd name="T200" fmla="+- 0 6060 4913"/>
                              <a:gd name="T201" fmla="*/ T200 w 1383"/>
                              <a:gd name="T202" fmla="+- 0 8710 8710"/>
                              <a:gd name="T203" fmla="*/ 8710 h 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383" h="270">
                                <a:moveTo>
                                  <a:pt x="1263" y="135"/>
                                </a:moveTo>
                                <a:lnTo>
                                  <a:pt x="1128" y="214"/>
                                </a:lnTo>
                                <a:lnTo>
                                  <a:pt x="1119" y="222"/>
                                </a:lnTo>
                                <a:lnTo>
                                  <a:pt x="1114" y="232"/>
                                </a:lnTo>
                                <a:lnTo>
                                  <a:pt x="1113" y="244"/>
                                </a:lnTo>
                                <a:lnTo>
                                  <a:pt x="1117" y="255"/>
                                </a:lnTo>
                                <a:lnTo>
                                  <a:pt x="1125" y="264"/>
                                </a:lnTo>
                                <a:lnTo>
                                  <a:pt x="1135" y="269"/>
                                </a:lnTo>
                                <a:lnTo>
                                  <a:pt x="1147" y="269"/>
                                </a:lnTo>
                                <a:lnTo>
                                  <a:pt x="1158" y="266"/>
                                </a:lnTo>
                                <a:lnTo>
                                  <a:pt x="1331" y="165"/>
                                </a:lnTo>
                                <a:lnTo>
                                  <a:pt x="1323" y="165"/>
                                </a:lnTo>
                                <a:lnTo>
                                  <a:pt x="1323" y="161"/>
                                </a:lnTo>
                                <a:lnTo>
                                  <a:pt x="1308" y="161"/>
                                </a:lnTo>
                                <a:lnTo>
                                  <a:pt x="1263" y="135"/>
                                </a:lnTo>
                                <a:close/>
                                <a:moveTo>
                                  <a:pt x="1212" y="105"/>
                                </a:moveTo>
                                <a:lnTo>
                                  <a:pt x="0" y="105"/>
                                </a:lnTo>
                                <a:lnTo>
                                  <a:pt x="0" y="165"/>
                                </a:lnTo>
                                <a:lnTo>
                                  <a:pt x="1212" y="165"/>
                                </a:lnTo>
                                <a:lnTo>
                                  <a:pt x="1263" y="135"/>
                                </a:lnTo>
                                <a:lnTo>
                                  <a:pt x="1212" y="105"/>
                                </a:lnTo>
                                <a:close/>
                                <a:moveTo>
                                  <a:pt x="1331" y="105"/>
                                </a:moveTo>
                                <a:lnTo>
                                  <a:pt x="1323" y="105"/>
                                </a:lnTo>
                                <a:lnTo>
                                  <a:pt x="1323" y="165"/>
                                </a:lnTo>
                                <a:lnTo>
                                  <a:pt x="1331" y="165"/>
                                </a:lnTo>
                                <a:lnTo>
                                  <a:pt x="1383" y="135"/>
                                </a:lnTo>
                                <a:lnTo>
                                  <a:pt x="1331" y="105"/>
                                </a:lnTo>
                                <a:close/>
                                <a:moveTo>
                                  <a:pt x="1308" y="109"/>
                                </a:moveTo>
                                <a:lnTo>
                                  <a:pt x="1263" y="135"/>
                                </a:lnTo>
                                <a:lnTo>
                                  <a:pt x="1308" y="161"/>
                                </a:lnTo>
                                <a:lnTo>
                                  <a:pt x="1308" y="109"/>
                                </a:lnTo>
                                <a:close/>
                                <a:moveTo>
                                  <a:pt x="1323" y="109"/>
                                </a:moveTo>
                                <a:lnTo>
                                  <a:pt x="1308" y="109"/>
                                </a:lnTo>
                                <a:lnTo>
                                  <a:pt x="1308" y="161"/>
                                </a:lnTo>
                                <a:lnTo>
                                  <a:pt x="1323" y="161"/>
                                </a:lnTo>
                                <a:lnTo>
                                  <a:pt x="1323" y="109"/>
                                </a:lnTo>
                                <a:close/>
                                <a:moveTo>
                                  <a:pt x="1147" y="0"/>
                                </a:moveTo>
                                <a:lnTo>
                                  <a:pt x="1135" y="1"/>
                                </a:lnTo>
                                <a:lnTo>
                                  <a:pt x="1125" y="6"/>
                                </a:lnTo>
                                <a:lnTo>
                                  <a:pt x="1117" y="15"/>
                                </a:lnTo>
                                <a:lnTo>
                                  <a:pt x="1113" y="26"/>
                                </a:lnTo>
                                <a:lnTo>
                                  <a:pt x="1114" y="37"/>
                                </a:lnTo>
                                <a:lnTo>
                                  <a:pt x="1119" y="48"/>
                                </a:lnTo>
                                <a:lnTo>
                                  <a:pt x="1128" y="56"/>
                                </a:lnTo>
                                <a:lnTo>
                                  <a:pt x="1263" y="135"/>
                                </a:lnTo>
                                <a:lnTo>
                                  <a:pt x="1308" y="109"/>
                                </a:lnTo>
                                <a:lnTo>
                                  <a:pt x="1323" y="109"/>
                                </a:lnTo>
                                <a:lnTo>
                                  <a:pt x="1323" y="105"/>
                                </a:lnTo>
                                <a:lnTo>
                                  <a:pt x="1331" y="105"/>
                                </a:lnTo>
                                <a:lnTo>
                                  <a:pt x="1158" y="4"/>
                                </a:lnTo>
                                <a:lnTo>
                                  <a:pt x="1147" y="0"/>
                                </a:lnTo>
                                <a:close/>
                              </a:path>
                            </a:pathLst>
                          </a:custGeom>
                          <a:solidFill>
                            <a:srgbClr val="000000">
                              <a:alpha val="3490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AutoShape 175"/>
                        <wps:cNvSpPr>
                          <a:spLocks/>
                        </wps:cNvSpPr>
                        <wps:spPr bwMode="auto">
                          <a:xfrm>
                            <a:off x="4913" y="8673"/>
                            <a:ext cx="1383" cy="270"/>
                          </a:xfrm>
                          <a:custGeom>
                            <a:avLst/>
                            <a:gdLst>
                              <a:gd name="T0" fmla="+- 0 6176 4913"/>
                              <a:gd name="T1" fmla="*/ T0 w 1383"/>
                              <a:gd name="T2" fmla="+- 0 8808 8674"/>
                              <a:gd name="T3" fmla="*/ 8808 h 270"/>
                              <a:gd name="T4" fmla="+- 0 6041 4913"/>
                              <a:gd name="T5" fmla="*/ T4 w 1383"/>
                              <a:gd name="T6" fmla="+- 0 8887 8674"/>
                              <a:gd name="T7" fmla="*/ 8887 h 270"/>
                              <a:gd name="T8" fmla="+- 0 6032 4913"/>
                              <a:gd name="T9" fmla="*/ T8 w 1383"/>
                              <a:gd name="T10" fmla="+- 0 8895 8674"/>
                              <a:gd name="T11" fmla="*/ 8895 h 270"/>
                              <a:gd name="T12" fmla="+- 0 6027 4913"/>
                              <a:gd name="T13" fmla="*/ T12 w 1383"/>
                              <a:gd name="T14" fmla="+- 0 8906 8674"/>
                              <a:gd name="T15" fmla="*/ 8906 h 270"/>
                              <a:gd name="T16" fmla="+- 0 6026 4913"/>
                              <a:gd name="T17" fmla="*/ T16 w 1383"/>
                              <a:gd name="T18" fmla="+- 0 8917 8674"/>
                              <a:gd name="T19" fmla="*/ 8917 h 270"/>
                              <a:gd name="T20" fmla="+- 0 6030 4913"/>
                              <a:gd name="T21" fmla="*/ T20 w 1383"/>
                              <a:gd name="T22" fmla="+- 0 8929 8674"/>
                              <a:gd name="T23" fmla="*/ 8929 h 270"/>
                              <a:gd name="T24" fmla="+- 0 6038 4913"/>
                              <a:gd name="T25" fmla="*/ T24 w 1383"/>
                              <a:gd name="T26" fmla="+- 0 8937 8674"/>
                              <a:gd name="T27" fmla="*/ 8937 h 270"/>
                              <a:gd name="T28" fmla="+- 0 6048 4913"/>
                              <a:gd name="T29" fmla="*/ T28 w 1383"/>
                              <a:gd name="T30" fmla="+- 0 8942 8674"/>
                              <a:gd name="T31" fmla="*/ 8942 h 270"/>
                              <a:gd name="T32" fmla="+- 0 6060 4913"/>
                              <a:gd name="T33" fmla="*/ T32 w 1383"/>
                              <a:gd name="T34" fmla="+- 0 8943 8674"/>
                              <a:gd name="T35" fmla="*/ 8943 h 270"/>
                              <a:gd name="T36" fmla="+- 0 6071 4913"/>
                              <a:gd name="T37" fmla="*/ T36 w 1383"/>
                              <a:gd name="T38" fmla="+- 0 8939 8674"/>
                              <a:gd name="T39" fmla="*/ 8939 h 270"/>
                              <a:gd name="T40" fmla="+- 0 6244 4913"/>
                              <a:gd name="T41" fmla="*/ T40 w 1383"/>
                              <a:gd name="T42" fmla="+- 0 8838 8674"/>
                              <a:gd name="T43" fmla="*/ 8838 h 270"/>
                              <a:gd name="T44" fmla="+- 0 6236 4913"/>
                              <a:gd name="T45" fmla="*/ T44 w 1383"/>
                              <a:gd name="T46" fmla="+- 0 8838 8674"/>
                              <a:gd name="T47" fmla="*/ 8838 h 270"/>
                              <a:gd name="T48" fmla="+- 0 6236 4913"/>
                              <a:gd name="T49" fmla="*/ T48 w 1383"/>
                              <a:gd name="T50" fmla="+- 0 8834 8674"/>
                              <a:gd name="T51" fmla="*/ 8834 h 270"/>
                              <a:gd name="T52" fmla="+- 0 6221 4913"/>
                              <a:gd name="T53" fmla="*/ T52 w 1383"/>
                              <a:gd name="T54" fmla="+- 0 8834 8674"/>
                              <a:gd name="T55" fmla="*/ 8834 h 270"/>
                              <a:gd name="T56" fmla="+- 0 6176 4913"/>
                              <a:gd name="T57" fmla="*/ T56 w 1383"/>
                              <a:gd name="T58" fmla="+- 0 8808 8674"/>
                              <a:gd name="T59" fmla="*/ 8808 h 270"/>
                              <a:gd name="T60" fmla="+- 0 6125 4913"/>
                              <a:gd name="T61" fmla="*/ T60 w 1383"/>
                              <a:gd name="T62" fmla="+- 0 8778 8674"/>
                              <a:gd name="T63" fmla="*/ 8778 h 270"/>
                              <a:gd name="T64" fmla="+- 0 4913 4913"/>
                              <a:gd name="T65" fmla="*/ T64 w 1383"/>
                              <a:gd name="T66" fmla="+- 0 8778 8674"/>
                              <a:gd name="T67" fmla="*/ 8778 h 270"/>
                              <a:gd name="T68" fmla="+- 0 4913 4913"/>
                              <a:gd name="T69" fmla="*/ T68 w 1383"/>
                              <a:gd name="T70" fmla="+- 0 8838 8674"/>
                              <a:gd name="T71" fmla="*/ 8838 h 270"/>
                              <a:gd name="T72" fmla="+- 0 6125 4913"/>
                              <a:gd name="T73" fmla="*/ T72 w 1383"/>
                              <a:gd name="T74" fmla="+- 0 8838 8674"/>
                              <a:gd name="T75" fmla="*/ 8838 h 270"/>
                              <a:gd name="T76" fmla="+- 0 6176 4913"/>
                              <a:gd name="T77" fmla="*/ T76 w 1383"/>
                              <a:gd name="T78" fmla="+- 0 8808 8674"/>
                              <a:gd name="T79" fmla="*/ 8808 h 270"/>
                              <a:gd name="T80" fmla="+- 0 6125 4913"/>
                              <a:gd name="T81" fmla="*/ T80 w 1383"/>
                              <a:gd name="T82" fmla="+- 0 8778 8674"/>
                              <a:gd name="T83" fmla="*/ 8778 h 270"/>
                              <a:gd name="T84" fmla="+- 0 6244 4913"/>
                              <a:gd name="T85" fmla="*/ T84 w 1383"/>
                              <a:gd name="T86" fmla="+- 0 8778 8674"/>
                              <a:gd name="T87" fmla="*/ 8778 h 270"/>
                              <a:gd name="T88" fmla="+- 0 6236 4913"/>
                              <a:gd name="T89" fmla="*/ T88 w 1383"/>
                              <a:gd name="T90" fmla="+- 0 8778 8674"/>
                              <a:gd name="T91" fmla="*/ 8778 h 270"/>
                              <a:gd name="T92" fmla="+- 0 6236 4913"/>
                              <a:gd name="T93" fmla="*/ T92 w 1383"/>
                              <a:gd name="T94" fmla="+- 0 8838 8674"/>
                              <a:gd name="T95" fmla="*/ 8838 h 270"/>
                              <a:gd name="T96" fmla="+- 0 6244 4913"/>
                              <a:gd name="T97" fmla="*/ T96 w 1383"/>
                              <a:gd name="T98" fmla="+- 0 8838 8674"/>
                              <a:gd name="T99" fmla="*/ 8838 h 270"/>
                              <a:gd name="T100" fmla="+- 0 6296 4913"/>
                              <a:gd name="T101" fmla="*/ T100 w 1383"/>
                              <a:gd name="T102" fmla="+- 0 8808 8674"/>
                              <a:gd name="T103" fmla="*/ 8808 h 270"/>
                              <a:gd name="T104" fmla="+- 0 6244 4913"/>
                              <a:gd name="T105" fmla="*/ T104 w 1383"/>
                              <a:gd name="T106" fmla="+- 0 8778 8674"/>
                              <a:gd name="T107" fmla="*/ 8778 h 270"/>
                              <a:gd name="T108" fmla="+- 0 6221 4913"/>
                              <a:gd name="T109" fmla="*/ T108 w 1383"/>
                              <a:gd name="T110" fmla="+- 0 8782 8674"/>
                              <a:gd name="T111" fmla="*/ 8782 h 270"/>
                              <a:gd name="T112" fmla="+- 0 6176 4913"/>
                              <a:gd name="T113" fmla="*/ T112 w 1383"/>
                              <a:gd name="T114" fmla="+- 0 8808 8674"/>
                              <a:gd name="T115" fmla="*/ 8808 h 270"/>
                              <a:gd name="T116" fmla="+- 0 6221 4913"/>
                              <a:gd name="T117" fmla="*/ T116 w 1383"/>
                              <a:gd name="T118" fmla="+- 0 8834 8674"/>
                              <a:gd name="T119" fmla="*/ 8834 h 270"/>
                              <a:gd name="T120" fmla="+- 0 6221 4913"/>
                              <a:gd name="T121" fmla="*/ T120 w 1383"/>
                              <a:gd name="T122" fmla="+- 0 8782 8674"/>
                              <a:gd name="T123" fmla="*/ 8782 h 270"/>
                              <a:gd name="T124" fmla="+- 0 6236 4913"/>
                              <a:gd name="T125" fmla="*/ T124 w 1383"/>
                              <a:gd name="T126" fmla="+- 0 8782 8674"/>
                              <a:gd name="T127" fmla="*/ 8782 h 270"/>
                              <a:gd name="T128" fmla="+- 0 6221 4913"/>
                              <a:gd name="T129" fmla="*/ T128 w 1383"/>
                              <a:gd name="T130" fmla="+- 0 8782 8674"/>
                              <a:gd name="T131" fmla="*/ 8782 h 270"/>
                              <a:gd name="T132" fmla="+- 0 6221 4913"/>
                              <a:gd name="T133" fmla="*/ T132 w 1383"/>
                              <a:gd name="T134" fmla="+- 0 8834 8674"/>
                              <a:gd name="T135" fmla="*/ 8834 h 270"/>
                              <a:gd name="T136" fmla="+- 0 6236 4913"/>
                              <a:gd name="T137" fmla="*/ T136 w 1383"/>
                              <a:gd name="T138" fmla="+- 0 8834 8674"/>
                              <a:gd name="T139" fmla="*/ 8834 h 270"/>
                              <a:gd name="T140" fmla="+- 0 6236 4913"/>
                              <a:gd name="T141" fmla="*/ T140 w 1383"/>
                              <a:gd name="T142" fmla="+- 0 8782 8674"/>
                              <a:gd name="T143" fmla="*/ 8782 h 270"/>
                              <a:gd name="T144" fmla="+- 0 6060 4913"/>
                              <a:gd name="T145" fmla="*/ T144 w 1383"/>
                              <a:gd name="T146" fmla="+- 0 8674 8674"/>
                              <a:gd name="T147" fmla="*/ 8674 h 270"/>
                              <a:gd name="T148" fmla="+- 0 6048 4913"/>
                              <a:gd name="T149" fmla="*/ T148 w 1383"/>
                              <a:gd name="T150" fmla="+- 0 8674 8674"/>
                              <a:gd name="T151" fmla="*/ 8674 h 270"/>
                              <a:gd name="T152" fmla="+- 0 6038 4913"/>
                              <a:gd name="T153" fmla="*/ T152 w 1383"/>
                              <a:gd name="T154" fmla="+- 0 8679 8674"/>
                              <a:gd name="T155" fmla="*/ 8679 h 270"/>
                              <a:gd name="T156" fmla="+- 0 6030 4913"/>
                              <a:gd name="T157" fmla="*/ T156 w 1383"/>
                              <a:gd name="T158" fmla="+- 0 8688 8674"/>
                              <a:gd name="T159" fmla="*/ 8688 h 270"/>
                              <a:gd name="T160" fmla="+- 0 6026 4913"/>
                              <a:gd name="T161" fmla="*/ T160 w 1383"/>
                              <a:gd name="T162" fmla="+- 0 8700 8674"/>
                              <a:gd name="T163" fmla="*/ 8700 h 270"/>
                              <a:gd name="T164" fmla="+- 0 6027 4913"/>
                              <a:gd name="T165" fmla="*/ T164 w 1383"/>
                              <a:gd name="T166" fmla="+- 0 8711 8674"/>
                              <a:gd name="T167" fmla="*/ 8711 h 270"/>
                              <a:gd name="T168" fmla="+- 0 6032 4913"/>
                              <a:gd name="T169" fmla="*/ T168 w 1383"/>
                              <a:gd name="T170" fmla="+- 0 8722 8674"/>
                              <a:gd name="T171" fmla="*/ 8722 h 270"/>
                              <a:gd name="T172" fmla="+- 0 6041 4913"/>
                              <a:gd name="T173" fmla="*/ T172 w 1383"/>
                              <a:gd name="T174" fmla="+- 0 8729 8674"/>
                              <a:gd name="T175" fmla="*/ 8729 h 270"/>
                              <a:gd name="T176" fmla="+- 0 6176 4913"/>
                              <a:gd name="T177" fmla="*/ T176 w 1383"/>
                              <a:gd name="T178" fmla="+- 0 8808 8674"/>
                              <a:gd name="T179" fmla="*/ 8808 h 270"/>
                              <a:gd name="T180" fmla="+- 0 6221 4913"/>
                              <a:gd name="T181" fmla="*/ T180 w 1383"/>
                              <a:gd name="T182" fmla="+- 0 8782 8674"/>
                              <a:gd name="T183" fmla="*/ 8782 h 270"/>
                              <a:gd name="T184" fmla="+- 0 6236 4913"/>
                              <a:gd name="T185" fmla="*/ T184 w 1383"/>
                              <a:gd name="T186" fmla="+- 0 8782 8674"/>
                              <a:gd name="T187" fmla="*/ 8782 h 270"/>
                              <a:gd name="T188" fmla="+- 0 6236 4913"/>
                              <a:gd name="T189" fmla="*/ T188 w 1383"/>
                              <a:gd name="T190" fmla="+- 0 8778 8674"/>
                              <a:gd name="T191" fmla="*/ 8778 h 270"/>
                              <a:gd name="T192" fmla="+- 0 6244 4913"/>
                              <a:gd name="T193" fmla="*/ T192 w 1383"/>
                              <a:gd name="T194" fmla="+- 0 8778 8674"/>
                              <a:gd name="T195" fmla="*/ 8778 h 270"/>
                              <a:gd name="T196" fmla="+- 0 6071 4913"/>
                              <a:gd name="T197" fmla="*/ T196 w 1383"/>
                              <a:gd name="T198" fmla="+- 0 8677 8674"/>
                              <a:gd name="T199" fmla="*/ 8677 h 270"/>
                              <a:gd name="T200" fmla="+- 0 6060 4913"/>
                              <a:gd name="T201" fmla="*/ T200 w 1383"/>
                              <a:gd name="T202" fmla="+- 0 8674 8674"/>
                              <a:gd name="T203" fmla="*/ 8674 h 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383" h="270">
                                <a:moveTo>
                                  <a:pt x="1263" y="134"/>
                                </a:moveTo>
                                <a:lnTo>
                                  <a:pt x="1128" y="213"/>
                                </a:lnTo>
                                <a:lnTo>
                                  <a:pt x="1119" y="221"/>
                                </a:lnTo>
                                <a:lnTo>
                                  <a:pt x="1114" y="232"/>
                                </a:lnTo>
                                <a:lnTo>
                                  <a:pt x="1113" y="243"/>
                                </a:lnTo>
                                <a:lnTo>
                                  <a:pt x="1117" y="255"/>
                                </a:lnTo>
                                <a:lnTo>
                                  <a:pt x="1125" y="263"/>
                                </a:lnTo>
                                <a:lnTo>
                                  <a:pt x="1135" y="268"/>
                                </a:lnTo>
                                <a:lnTo>
                                  <a:pt x="1147" y="269"/>
                                </a:lnTo>
                                <a:lnTo>
                                  <a:pt x="1158" y="265"/>
                                </a:lnTo>
                                <a:lnTo>
                                  <a:pt x="1331" y="164"/>
                                </a:lnTo>
                                <a:lnTo>
                                  <a:pt x="1323" y="164"/>
                                </a:lnTo>
                                <a:lnTo>
                                  <a:pt x="1323" y="160"/>
                                </a:lnTo>
                                <a:lnTo>
                                  <a:pt x="1308" y="160"/>
                                </a:lnTo>
                                <a:lnTo>
                                  <a:pt x="1263" y="134"/>
                                </a:lnTo>
                                <a:close/>
                                <a:moveTo>
                                  <a:pt x="1212" y="104"/>
                                </a:moveTo>
                                <a:lnTo>
                                  <a:pt x="0" y="104"/>
                                </a:lnTo>
                                <a:lnTo>
                                  <a:pt x="0" y="164"/>
                                </a:lnTo>
                                <a:lnTo>
                                  <a:pt x="1212" y="164"/>
                                </a:lnTo>
                                <a:lnTo>
                                  <a:pt x="1263" y="134"/>
                                </a:lnTo>
                                <a:lnTo>
                                  <a:pt x="1212" y="104"/>
                                </a:lnTo>
                                <a:close/>
                                <a:moveTo>
                                  <a:pt x="1331" y="104"/>
                                </a:moveTo>
                                <a:lnTo>
                                  <a:pt x="1323" y="104"/>
                                </a:lnTo>
                                <a:lnTo>
                                  <a:pt x="1323" y="164"/>
                                </a:lnTo>
                                <a:lnTo>
                                  <a:pt x="1331" y="164"/>
                                </a:lnTo>
                                <a:lnTo>
                                  <a:pt x="1383" y="134"/>
                                </a:lnTo>
                                <a:lnTo>
                                  <a:pt x="1331" y="104"/>
                                </a:lnTo>
                                <a:close/>
                                <a:moveTo>
                                  <a:pt x="1308" y="108"/>
                                </a:moveTo>
                                <a:lnTo>
                                  <a:pt x="1263" y="134"/>
                                </a:lnTo>
                                <a:lnTo>
                                  <a:pt x="1308" y="160"/>
                                </a:lnTo>
                                <a:lnTo>
                                  <a:pt x="1308" y="108"/>
                                </a:lnTo>
                                <a:close/>
                                <a:moveTo>
                                  <a:pt x="1323" y="108"/>
                                </a:moveTo>
                                <a:lnTo>
                                  <a:pt x="1308" y="108"/>
                                </a:lnTo>
                                <a:lnTo>
                                  <a:pt x="1308" y="160"/>
                                </a:lnTo>
                                <a:lnTo>
                                  <a:pt x="1323" y="160"/>
                                </a:lnTo>
                                <a:lnTo>
                                  <a:pt x="1323" y="108"/>
                                </a:lnTo>
                                <a:close/>
                                <a:moveTo>
                                  <a:pt x="1147" y="0"/>
                                </a:moveTo>
                                <a:lnTo>
                                  <a:pt x="1135" y="0"/>
                                </a:lnTo>
                                <a:lnTo>
                                  <a:pt x="1125" y="5"/>
                                </a:lnTo>
                                <a:lnTo>
                                  <a:pt x="1117" y="14"/>
                                </a:lnTo>
                                <a:lnTo>
                                  <a:pt x="1113" y="26"/>
                                </a:lnTo>
                                <a:lnTo>
                                  <a:pt x="1114" y="37"/>
                                </a:lnTo>
                                <a:lnTo>
                                  <a:pt x="1119" y="48"/>
                                </a:lnTo>
                                <a:lnTo>
                                  <a:pt x="1128" y="55"/>
                                </a:lnTo>
                                <a:lnTo>
                                  <a:pt x="1263" y="134"/>
                                </a:lnTo>
                                <a:lnTo>
                                  <a:pt x="1308" y="108"/>
                                </a:lnTo>
                                <a:lnTo>
                                  <a:pt x="1323" y="108"/>
                                </a:lnTo>
                                <a:lnTo>
                                  <a:pt x="1323" y="104"/>
                                </a:lnTo>
                                <a:lnTo>
                                  <a:pt x="1331" y="104"/>
                                </a:lnTo>
                                <a:lnTo>
                                  <a:pt x="1158" y="3"/>
                                </a:lnTo>
                                <a:lnTo>
                                  <a:pt x="114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2" name="Picture 17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888" y="4280"/>
                            <a:ext cx="270"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3" name="Text Box 177"/>
                        <wps:cNvSpPr txBox="1">
                          <a:spLocks noChangeArrowheads="1"/>
                        </wps:cNvSpPr>
                        <wps:spPr bwMode="auto">
                          <a:xfrm>
                            <a:off x="6371" y="8551"/>
                            <a:ext cx="1548" cy="457"/>
                          </a:xfrm>
                          <a:prstGeom prst="rect">
                            <a:avLst/>
                          </a:prstGeom>
                          <a:noFill/>
                          <a:ln w="25400">
                            <a:solidFill>
                              <a:srgbClr val="F7954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7846B36" w14:textId="77777777" w:rsidR="00F9369F" w:rsidRDefault="00F9369F" w:rsidP="00E929F2">
                              <w:pPr>
                                <w:spacing w:before="74"/>
                                <w:ind w:left="258"/>
                                <w:rPr>
                                  <w:rFonts w:ascii="Cambria"/>
                                  <w:b/>
                                  <w:sz w:val="20"/>
                                </w:rPr>
                              </w:pPr>
                              <w:r>
                                <w:rPr>
                                  <w:rFonts w:ascii="Cambria"/>
                                  <w:b/>
                                  <w:sz w:val="20"/>
                                </w:rPr>
                                <w:t>Mai</w:t>
                              </w:r>
                              <w:r>
                                <w:rPr>
                                  <w:rFonts w:ascii="Cambria"/>
                                  <w:b/>
                                  <w:spacing w:val="-3"/>
                                  <w:sz w:val="20"/>
                                </w:rPr>
                                <w:t xml:space="preserve"> </w:t>
                              </w:r>
                              <w:r>
                                <w:rPr>
                                  <w:rFonts w:ascii="Cambria"/>
                                  <w:b/>
                                  <w:sz w:val="20"/>
                                </w:rPr>
                                <w:t>ridicat</w:t>
                              </w:r>
                            </w:p>
                          </w:txbxContent>
                        </wps:txbx>
                        <wps:bodyPr rot="0" vert="horz" wrap="square" lIns="0" tIns="0" rIns="0" bIns="0" anchor="t" anchorCtr="0" upright="1">
                          <a:noAutofit/>
                        </wps:bodyPr>
                      </wps:wsp>
                      <wps:wsp>
                        <wps:cNvPr id="264" name="Text Box 178"/>
                        <wps:cNvSpPr txBox="1">
                          <a:spLocks noChangeArrowheads="1"/>
                        </wps:cNvSpPr>
                        <wps:spPr bwMode="auto">
                          <a:xfrm>
                            <a:off x="2262" y="8551"/>
                            <a:ext cx="1319" cy="457"/>
                          </a:xfrm>
                          <a:prstGeom prst="rect">
                            <a:avLst/>
                          </a:prstGeom>
                          <a:noFill/>
                          <a:ln w="25400">
                            <a:solidFill>
                              <a:srgbClr val="F7954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E3FF5C2" w14:textId="77777777" w:rsidR="00F9369F" w:rsidRDefault="00F9369F" w:rsidP="00E929F2">
                              <w:pPr>
                                <w:spacing w:before="74"/>
                                <w:ind w:left="156"/>
                                <w:rPr>
                                  <w:rFonts w:ascii="Cambria" w:hAnsi="Cambria"/>
                                  <w:b/>
                                  <w:sz w:val="20"/>
                                </w:rPr>
                              </w:pPr>
                              <w:r>
                                <w:rPr>
                                  <w:rFonts w:ascii="Cambria" w:hAnsi="Cambria"/>
                                  <w:b/>
                                  <w:sz w:val="20"/>
                                </w:rPr>
                                <w:t>Mai</w:t>
                              </w:r>
                              <w:r>
                                <w:rPr>
                                  <w:rFonts w:ascii="Cambria" w:hAnsi="Cambria"/>
                                  <w:b/>
                                  <w:spacing w:val="-2"/>
                                  <w:sz w:val="20"/>
                                </w:rPr>
                                <w:t xml:space="preserve"> </w:t>
                              </w:r>
                              <w:r>
                                <w:rPr>
                                  <w:rFonts w:ascii="Cambria" w:hAnsi="Cambria"/>
                                  <w:b/>
                                  <w:sz w:val="20"/>
                                </w:rPr>
                                <w:t>scăzut</w:t>
                              </w:r>
                            </w:p>
                          </w:txbxContent>
                        </wps:txbx>
                        <wps:bodyPr rot="0" vert="horz" wrap="square" lIns="0" tIns="0" rIns="0" bIns="0" anchor="t" anchorCtr="0" upright="1">
                          <a:noAutofit/>
                        </wps:bodyPr>
                      </wps:wsp>
                      <wps:wsp>
                        <wps:cNvPr id="265" name="Text Box 179"/>
                        <wps:cNvSpPr txBox="1">
                          <a:spLocks noChangeArrowheads="1"/>
                        </wps:cNvSpPr>
                        <wps:spPr bwMode="auto">
                          <a:xfrm>
                            <a:off x="1514" y="6865"/>
                            <a:ext cx="7991" cy="1272"/>
                          </a:xfrm>
                          <a:prstGeom prst="rect">
                            <a:avLst/>
                          </a:prstGeom>
                          <a:noFill/>
                          <a:ln w="9525">
                            <a:solidFill>
                              <a:srgbClr val="93B64E"/>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CC35A0E" w14:textId="77777777" w:rsidR="00F9369F" w:rsidRDefault="00F9369F" w:rsidP="00E929F2">
                              <w:pPr>
                                <w:spacing w:before="70"/>
                                <w:ind w:left="144"/>
                                <w:rPr>
                                  <w:rFonts w:ascii="Cambria" w:hAnsi="Cambria"/>
                                  <w:b/>
                                  <w:sz w:val="18"/>
                                </w:rPr>
                              </w:pPr>
                              <w:r>
                                <w:rPr>
                                  <w:rFonts w:ascii="Cambria" w:hAnsi="Cambria"/>
                                  <w:b/>
                                  <w:sz w:val="18"/>
                                </w:rPr>
                                <w:t>Parametrii</w:t>
                              </w:r>
                              <w:r>
                                <w:rPr>
                                  <w:rFonts w:ascii="Cambria" w:hAnsi="Cambria"/>
                                  <w:b/>
                                  <w:spacing w:val="-6"/>
                                  <w:sz w:val="18"/>
                                </w:rPr>
                                <w:t xml:space="preserve"> </w:t>
                              </w:r>
                              <w:r>
                                <w:rPr>
                                  <w:rFonts w:ascii="Cambria" w:hAnsi="Cambria"/>
                                  <w:b/>
                                  <w:sz w:val="18"/>
                                </w:rPr>
                                <w:t>privind</w:t>
                              </w:r>
                              <w:r>
                                <w:rPr>
                                  <w:rFonts w:ascii="Cambria" w:hAnsi="Cambria"/>
                                  <w:b/>
                                  <w:spacing w:val="-5"/>
                                  <w:sz w:val="18"/>
                                </w:rPr>
                                <w:t xml:space="preserve"> </w:t>
                              </w:r>
                              <w:r>
                                <w:rPr>
                                  <w:rFonts w:ascii="Cambria" w:hAnsi="Cambria"/>
                                  <w:b/>
                                  <w:sz w:val="18"/>
                                </w:rPr>
                                <w:t>fiecare</w:t>
                              </w:r>
                              <w:r>
                                <w:rPr>
                                  <w:rFonts w:ascii="Cambria" w:hAnsi="Cambria"/>
                                  <w:b/>
                                  <w:spacing w:val="-5"/>
                                  <w:sz w:val="18"/>
                                </w:rPr>
                                <w:t xml:space="preserve"> </w:t>
                              </w:r>
                              <w:r>
                                <w:rPr>
                                  <w:rFonts w:ascii="Cambria" w:hAnsi="Cambria"/>
                                  <w:b/>
                                  <w:sz w:val="18"/>
                                </w:rPr>
                                <w:t>habitat:</w:t>
                              </w:r>
                              <w:r>
                                <w:rPr>
                                  <w:rFonts w:ascii="Cambria" w:hAnsi="Cambria"/>
                                  <w:b/>
                                  <w:spacing w:val="-2"/>
                                  <w:sz w:val="18"/>
                                </w:rPr>
                                <w:t xml:space="preserve"> </w:t>
                              </w:r>
                              <w:r>
                                <w:rPr>
                                  <w:rFonts w:ascii="Cambria" w:hAnsi="Cambria"/>
                                  <w:b/>
                                  <w:sz w:val="18"/>
                                </w:rPr>
                                <w:t>-</w:t>
                              </w:r>
                              <w:r>
                                <w:rPr>
                                  <w:rFonts w:ascii="Cambria" w:hAnsi="Cambria"/>
                                  <w:b/>
                                  <w:spacing w:val="-4"/>
                                  <w:sz w:val="18"/>
                                </w:rPr>
                                <w:t xml:space="preserve"> </w:t>
                              </w:r>
                              <w:r>
                                <w:rPr>
                                  <w:rFonts w:ascii="Cambria" w:hAnsi="Cambria"/>
                                  <w:b/>
                                  <w:sz w:val="18"/>
                                </w:rPr>
                                <w:t>suprafața</w:t>
                              </w:r>
                              <w:r>
                                <w:rPr>
                                  <w:rFonts w:ascii="Cambria" w:hAnsi="Cambria"/>
                                  <w:b/>
                                  <w:spacing w:val="-5"/>
                                  <w:sz w:val="18"/>
                                </w:rPr>
                                <w:t xml:space="preserve"> </w:t>
                              </w:r>
                              <w:r>
                                <w:rPr>
                                  <w:rFonts w:ascii="Cambria" w:hAnsi="Cambria"/>
                                  <w:b/>
                                  <w:sz w:val="18"/>
                                </w:rPr>
                                <w:t>habitatului</w:t>
                              </w:r>
                            </w:p>
                            <w:p w14:paraId="4D62B51C" w14:textId="77777777" w:rsidR="00F9369F" w:rsidRDefault="00F9369F" w:rsidP="009E63E5">
                              <w:pPr>
                                <w:widowControl w:val="0"/>
                                <w:numPr>
                                  <w:ilvl w:val="0"/>
                                  <w:numId w:val="178"/>
                                </w:numPr>
                                <w:tabs>
                                  <w:tab w:val="left" w:pos="4094"/>
                                </w:tabs>
                                <w:autoSpaceDE w:val="0"/>
                                <w:autoSpaceDN w:val="0"/>
                                <w:spacing w:before="1"/>
                                <w:rPr>
                                  <w:rFonts w:ascii="Cambria" w:hAnsi="Cambria"/>
                                  <w:b/>
                                  <w:sz w:val="18"/>
                                </w:rPr>
                              </w:pPr>
                              <w:r>
                                <w:rPr>
                                  <w:rFonts w:ascii="Cambria" w:hAnsi="Cambria"/>
                                  <w:b/>
                                  <w:sz w:val="18"/>
                                </w:rPr>
                                <w:t>compoziția</w:t>
                              </w:r>
                              <w:r>
                                <w:rPr>
                                  <w:rFonts w:ascii="Cambria" w:hAnsi="Cambria"/>
                                  <w:b/>
                                  <w:spacing w:val="-5"/>
                                  <w:sz w:val="18"/>
                                </w:rPr>
                                <w:t xml:space="preserve"> </w:t>
                              </w:r>
                              <w:r>
                                <w:rPr>
                                  <w:rFonts w:ascii="Cambria" w:hAnsi="Cambria"/>
                                  <w:b/>
                                  <w:sz w:val="18"/>
                                </w:rPr>
                                <w:t>speciilor</w:t>
                              </w:r>
                            </w:p>
                            <w:p w14:paraId="5ECACDD5" w14:textId="77777777" w:rsidR="00F9369F" w:rsidRDefault="00F9369F" w:rsidP="009E63E5">
                              <w:pPr>
                                <w:widowControl w:val="0"/>
                                <w:numPr>
                                  <w:ilvl w:val="0"/>
                                  <w:numId w:val="178"/>
                                </w:numPr>
                                <w:tabs>
                                  <w:tab w:val="left" w:pos="4094"/>
                                </w:tabs>
                                <w:autoSpaceDE w:val="0"/>
                                <w:autoSpaceDN w:val="0"/>
                                <w:rPr>
                                  <w:rFonts w:ascii="Cambria" w:hAnsi="Cambria"/>
                                  <w:b/>
                                  <w:sz w:val="18"/>
                                </w:rPr>
                              </w:pPr>
                              <w:r>
                                <w:rPr>
                                  <w:rFonts w:ascii="Cambria" w:hAnsi="Cambria"/>
                                  <w:b/>
                                  <w:sz w:val="18"/>
                                </w:rPr>
                                <w:t>structură</w:t>
                              </w:r>
                              <w:r>
                                <w:rPr>
                                  <w:rFonts w:ascii="Cambria" w:hAnsi="Cambria"/>
                                  <w:b/>
                                  <w:spacing w:val="-4"/>
                                  <w:sz w:val="18"/>
                                </w:rPr>
                                <w:t xml:space="preserve"> </w:t>
                              </w:r>
                              <w:r>
                                <w:rPr>
                                  <w:rFonts w:ascii="Cambria" w:hAnsi="Cambria"/>
                                  <w:b/>
                                  <w:sz w:val="18"/>
                                </w:rPr>
                                <w:t>și</w:t>
                              </w:r>
                              <w:r>
                                <w:rPr>
                                  <w:rFonts w:ascii="Cambria" w:hAnsi="Cambria"/>
                                  <w:b/>
                                  <w:spacing w:val="-4"/>
                                  <w:sz w:val="18"/>
                                </w:rPr>
                                <w:t xml:space="preserve"> </w:t>
                              </w:r>
                              <w:r>
                                <w:rPr>
                                  <w:rFonts w:ascii="Cambria" w:hAnsi="Cambria"/>
                                  <w:b/>
                                  <w:sz w:val="18"/>
                                </w:rPr>
                                <w:t>funcții</w:t>
                              </w:r>
                            </w:p>
                            <w:p w14:paraId="25475C57" w14:textId="77777777" w:rsidR="00F9369F" w:rsidRDefault="00F9369F" w:rsidP="009E63E5">
                              <w:pPr>
                                <w:widowControl w:val="0"/>
                                <w:numPr>
                                  <w:ilvl w:val="0"/>
                                  <w:numId w:val="178"/>
                                </w:numPr>
                                <w:tabs>
                                  <w:tab w:val="left" w:pos="4094"/>
                                </w:tabs>
                                <w:autoSpaceDE w:val="0"/>
                                <w:autoSpaceDN w:val="0"/>
                                <w:spacing w:before="17"/>
                                <w:rPr>
                                  <w:rFonts w:ascii="Cambria" w:hAnsi="Cambria"/>
                                  <w:b/>
                                  <w:sz w:val="18"/>
                                </w:rPr>
                              </w:pPr>
                              <w:r>
                                <w:rPr>
                                  <w:rFonts w:ascii="Cambria" w:hAnsi="Cambria"/>
                                  <w:b/>
                                  <w:sz w:val="18"/>
                                </w:rPr>
                                <w:t>presiunile</w:t>
                              </w:r>
                              <w:r>
                                <w:rPr>
                                  <w:rFonts w:ascii="Cambria" w:hAnsi="Cambria"/>
                                  <w:b/>
                                  <w:spacing w:val="-7"/>
                                  <w:sz w:val="18"/>
                                </w:rPr>
                                <w:t xml:space="preserve"> </w:t>
                              </w:r>
                              <w:r>
                                <w:rPr>
                                  <w:rFonts w:ascii="Cambria" w:hAnsi="Cambria"/>
                                  <w:b/>
                                  <w:sz w:val="18"/>
                                </w:rPr>
                                <w:t>și</w:t>
                              </w:r>
                              <w:r>
                                <w:rPr>
                                  <w:rFonts w:ascii="Cambria" w:hAnsi="Cambria"/>
                                  <w:b/>
                                  <w:spacing w:val="-4"/>
                                  <w:sz w:val="18"/>
                                </w:rPr>
                                <w:t xml:space="preserve"> </w:t>
                              </w:r>
                              <w:r>
                                <w:rPr>
                                  <w:rFonts w:ascii="Cambria" w:hAnsi="Cambria"/>
                                  <w:b/>
                                  <w:sz w:val="18"/>
                                </w:rPr>
                                <w:t>amenințările</w:t>
                              </w:r>
                            </w:p>
                            <w:p w14:paraId="3DAE4807" w14:textId="77777777" w:rsidR="00F9369F" w:rsidRDefault="00F9369F" w:rsidP="009E63E5">
                              <w:pPr>
                                <w:widowControl w:val="0"/>
                                <w:numPr>
                                  <w:ilvl w:val="0"/>
                                  <w:numId w:val="178"/>
                                </w:numPr>
                                <w:tabs>
                                  <w:tab w:val="left" w:pos="4094"/>
                                </w:tabs>
                                <w:autoSpaceDE w:val="0"/>
                                <w:autoSpaceDN w:val="0"/>
                                <w:spacing w:before="17"/>
                                <w:rPr>
                                  <w:rFonts w:ascii="Cambria"/>
                                  <w:b/>
                                  <w:sz w:val="18"/>
                                </w:rPr>
                              </w:pPr>
                              <w:r>
                                <w:rPr>
                                  <w:rFonts w:ascii="Cambria"/>
                                  <w:b/>
                                  <w:sz w:val="18"/>
                                </w:rPr>
                                <w:t>starea</w:t>
                              </w:r>
                              <w:r>
                                <w:rPr>
                                  <w:rFonts w:ascii="Cambria"/>
                                  <w:b/>
                                  <w:spacing w:val="-2"/>
                                  <w:sz w:val="18"/>
                                </w:rPr>
                                <w:t xml:space="preserve"> </w:t>
                              </w:r>
                              <w:r>
                                <w:rPr>
                                  <w:rFonts w:ascii="Cambria"/>
                                  <w:b/>
                                  <w:sz w:val="18"/>
                                </w:rPr>
                                <w:t>de</w:t>
                              </w:r>
                              <w:r>
                                <w:rPr>
                                  <w:rFonts w:ascii="Cambria"/>
                                  <w:b/>
                                  <w:spacing w:val="-2"/>
                                  <w:sz w:val="18"/>
                                </w:rPr>
                                <w:t xml:space="preserve"> </w:t>
                              </w:r>
                              <w:r>
                                <w:rPr>
                                  <w:rFonts w:ascii="Cambria"/>
                                  <w:b/>
                                  <w:sz w:val="18"/>
                                </w:rPr>
                                <w:t>conservare</w:t>
                              </w:r>
                            </w:p>
                          </w:txbxContent>
                        </wps:txbx>
                        <wps:bodyPr rot="0" vert="horz" wrap="square" lIns="0" tIns="0" rIns="0" bIns="0" anchor="t" anchorCtr="0" upright="1">
                          <a:noAutofit/>
                        </wps:bodyPr>
                      </wps:wsp>
                      <wps:wsp>
                        <wps:cNvPr id="266" name="Text Box 180"/>
                        <wps:cNvSpPr txBox="1">
                          <a:spLocks noChangeArrowheads="1"/>
                        </wps:cNvSpPr>
                        <wps:spPr bwMode="auto">
                          <a:xfrm>
                            <a:off x="5941" y="5235"/>
                            <a:ext cx="3564" cy="931"/>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F2B2435" w14:textId="77777777" w:rsidR="00F9369F" w:rsidRDefault="00F9369F" w:rsidP="00E929F2">
                              <w:pPr>
                                <w:spacing w:before="44" w:line="276" w:lineRule="auto"/>
                                <w:ind w:left="388" w:right="384" w:hanging="1"/>
                                <w:jc w:val="center"/>
                                <w:rPr>
                                  <w:rFonts w:ascii="Cambria" w:hAnsi="Cambria"/>
                                  <w:b/>
                                  <w:sz w:val="20"/>
                                </w:rPr>
                              </w:pPr>
                              <w:r>
                                <w:rPr>
                                  <w:rFonts w:ascii="Cambria" w:hAnsi="Cambria"/>
                                  <w:b/>
                                  <w:sz w:val="20"/>
                                </w:rPr>
                                <w:t>Limitele selectate pentru a</w:t>
                              </w:r>
                              <w:r>
                                <w:rPr>
                                  <w:rFonts w:ascii="Cambria" w:hAnsi="Cambria"/>
                                  <w:b/>
                                  <w:spacing w:val="1"/>
                                  <w:sz w:val="20"/>
                                </w:rPr>
                                <w:t xml:space="preserve"> </w:t>
                              </w:r>
                              <w:r>
                                <w:rPr>
                                  <w:rFonts w:ascii="Cambria" w:hAnsi="Cambria"/>
                                  <w:b/>
                                  <w:sz w:val="20"/>
                                </w:rPr>
                                <w:t>satisface</w:t>
                              </w:r>
                              <w:r>
                                <w:rPr>
                                  <w:rFonts w:ascii="Cambria" w:hAnsi="Cambria"/>
                                  <w:b/>
                                  <w:spacing w:val="-8"/>
                                  <w:sz w:val="20"/>
                                </w:rPr>
                                <w:t xml:space="preserve"> </w:t>
                              </w:r>
                              <w:r>
                                <w:rPr>
                                  <w:rFonts w:ascii="Cambria" w:hAnsi="Cambria"/>
                                  <w:b/>
                                  <w:sz w:val="20"/>
                                </w:rPr>
                                <w:t>nevoilor</w:t>
                              </w:r>
                              <w:r>
                                <w:rPr>
                                  <w:rFonts w:ascii="Cambria" w:hAnsi="Cambria"/>
                                  <w:b/>
                                  <w:spacing w:val="-6"/>
                                  <w:sz w:val="20"/>
                                </w:rPr>
                                <w:t xml:space="preserve"> </w:t>
                              </w:r>
                              <w:r>
                                <w:rPr>
                                  <w:rFonts w:ascii="Cambria" w:hAnsi="Cambria"/>
                                  <w:b/>
                                  <w:sz w:val="20"/>
                                </w:rPr>
                                <w:t>obiectivelor</w:t>
                              </w:r>
                              <w:r>
                                <w:rPr>
                                  <w:rFonts w:ascii="Cambria" w:hAnsi="Cambria"/>
                                  <w:b/>
                                  <w:spacing w:val="-41"/>
                                  <w:sz w:val="20"/>
                                </w:rPr>
                                <w:t xml:space="preserve"> </w:t>
                              </w:r>
                              <w:r>
                                <w:rPr>
                                  <w:rFonts w:ascii="Cambria" w:hAnsi="Cambria"/>
                                  <w:b/>
                                  <w:sz w:val="20"/>
                                </w:rPr>
                                <w:t>monitorizării</w:t>
                              </w:r>
                            </w:p>
                          </w:txbxContent>
                        </wps:txbx>
                        <wps:bodyPr rot="0" vert="horz" wrap="square" lIns="0" tIns="0" rIns="0" bIns="0" anchor="t" anchorCtr="0" upright="1">
                          <a:noAutofit/>
                        </wps:bodyPr>
                      </wps:wsp>
                      <wps:wsp>
                        <wps:cNvPr id="268" name="Text Box 181"/>
                        <wps:cNvSpPr txBox="1">
                          <a:spLocks noChangeArrowheads="1"/>
                        </wps:cNvSpPr>
                        <wps:spPr bwMode="auto">
                          <a:xfrm>
                            <a:off x="3023" y="5235"/>
                            <a:ext cx="2651" cy="931"/>
                          </a:xfrm>
                          <a:prstGeom prst="rect">
                            <a:avLst/>
                          </a:prstGeom>
                          <a:noFill/>
                          <a:ln w="9525">
                            <a:solidFill>
                              <a:srgbClr val="93B64E"/>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4A6BF3C" w14:textId="77777777" w:rsidR="00F9369F" w:rsidRDefault="00F9369F" w:rsidP="00E929F2">
                              <w:pPr>
                                <w:spacing w:before="90" w:line="276" w:lineRule="auto"/>
                                <w:ind w:left="209" w:right="210"/>
                                <w:jc w:val="center"/>
                                <w:rPr>
                                  <w:rFonts w:ascii="Cambria" w:hAnsi="Cambria"/>
                                  <w:b/>
                                  <w:sz w:val="20"/>
                                </w:rPr>
                              </w:pPr>
                              <w:r>
                                <w:rPr>
                                  <w:rFonts w:ascii="Cambria" w:hAnsi="Cambria"/>
                                  <w:b/>
                                  <w:sz w:val="20"/>
                                </w:rPr>
                                <w:t>Limitele</w:t>
                              </w:r>
                              <w:r>
                                <w:rPr>
                                  <w:rFonts w:ascii="Cambria" w:hAnsi="Cambria"/>
                                  <w:b/>
                                  <w:spacing w:val="-5"/>
                                  <w:sz w:val="20"/>
                                </w:rPr>
                                <w:t xml:space="preserve"> </w:t>
                              </w:r>
                              <w:r>
                                <w:rPr>
                                  <w:rFonts w:ascii="Cambria" w:hAnsi="Cambria"/>
                                  <w:b/>
                                  <w:sz w:val="20"/>
                                </w:rPr>
                                <w:t>ajustate</w:t>
                              </w:r>
                              <w:r>
                                <w:rPr>
                                  <w:rFonts w:ascii="Cambria" w:hAnsi="Cambria"/>
                                  <w:b/>
                                  <w:spacing w:val="-7"/>
                                  <w:sz w:val="20"/>
                                </w:rPr>
                                <w:t xml:space="preserve"> </w:t>
                              </w:r>
                              <w:r>
                                <w:rPr>
                                  <w:rFonts w:ascii="Cambria" w:hAnsi="Cambria"/>
                                  <w:b/>
                                  <w:sz w:val="20"/>
                                </w:rPr>
                                <w:t>pentru</w:t>
                              </w:r>
                              <w:r>
                                <w:rPr>
                                  <w:rFonts w:ascii="Cambria" w:hAnsi="Cambria"/>
                                  <w:b/>
                                  <w:spacing w:val="-41"/>
                                  <w:sz w:val="20"/>
                                </w:rPr>
                                <w:t xml:space="preserve"> </w:t>
                              </w:r>
                              <w:r>
                                <w:rPr>
                                  <w:rFonts w:ascii="Cambria" w:hAnsi="Cambria"/>
                                  <w:b/>
                                  <w:sz w:val="20"/>
                                </w:rPr>
                                <w:t>a</w:t>
                              </w:r>
                              <w:r>
                                <w:rPr>
                                  <w:rFonts w:ascii="Cambria" w:hAnsi="Cambria"/>
                                  <w:b/>
                                  <w:spacing w:val="-3"/>
                                  <w:sz w:val="20"/>
                                </w:rPr>
                                <w:t xml:space="preserve"> </w:t>
                              </w:r>
                              <w:r>
                                <w:rPr>
                                  <w:rFonts w:ascii="Cambria" w:hAnsi="Cambria"/>
                                  <w:b/>
                                  <w:sz w:val="20"/>
                                </w:rPr>
                                <w:t>răspunde</w:t>
                              </w:r>
                            </w:p>
                            <w:p w14:paraId="6C0359CE" w14:textId="77777777" w:rsidR="00F9369F" w:rsidRDefault="00F9369F" w:rsidP="00E929F2">
                              <w:pPr>
                                <w:spacing w:before="1"/>
                                <w:ind w:left="209" w:right="207"/>
                                <w:jc w:val="center"/>
                                <w:rPr>
                                  <w:rFonts w:ascii="Cambria" w:hAnsi="Cambria"/>
                                  <w:b/>
                                  <w:sz w:val="20"/>
                                </w:rPr>
                              </w:pPr>
                              <w:r>
                                <w:rPr>
                                  <w:rFonts w:ascii="Cambria" w:hAnsi="Cambria"/>
                                  <w:b/>
                                  <w:sz w:val="20"/>
                                </w:rPr>
                                <w:t>considerațiilor</w:t>
                              </w:r>
                            </w:p>
                          </w:txbxContent>
                        </wps:txbx>
                        <wps:bodyPr rot="0" vert="horz" wrap="square" lIns="0" tIns="0" rIns="0" bIns="0" anchor="t" anchorCtr="0" upright="1">
                          <a:noAutofit/>
                        </wps:bodyPr>
                      </wps:wsp>
                      <wps:wsp>
                        <wps:cNvPr id="273" name="Text Box 182"/>
                        <wps:cNvSpPr txBox="1">
                          <a:spLocks noChangeArrowheads="1"/>
                        </wps:cNvSpPr>
                        <wps:spPr bwMode="auto">
                          <a:xfrm>
                            <a:off x="1621" y="5235"/>
                            <a:ext cx="1262" cy="697"/>
                          </a:xfrm>
                          <a:prstGeom prst="rect">
                            <a:avLst/>
                          </a:prstGeom>
                          <a:noFill/>
                          <a:ln w="9525">
                            <a:solidFill>
                              <a:srgbClr val="795D9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7B10086" w14:textId="77777777" w:rsidR="00F9369F" w:rsidRDefault="00F9369F" w:rsidP="00E929F2">
                              <w:pPr>
                                <w:spacing w:before="68" w:line="276" w:lineRule="auto"/>
                                <w:ind w:left="193" w:firstLine="48"/>
                                <w:rPr>
                                  <w:rFonts w:ascii="Cambria"/>
                                  <w:b/>
                                  <w:sz w:val="20"/>
                                </w:rPr>
                              </w:pPr>
                              <w:r>
                                <w:rPr>
                                  <w:rFonts w:ascii="Cambria"/>
                                  <w:b/>
                                  <w:sz w:val="20"/>
                                </w:rPr>
                                <w:t>Limitele</w:t>
                              </w:r>
                              <w:r>
                                <w:rPr>
                                  <w:rFonts w:ascii="Cambria"/>
                                  <w:b/>
                                  <w:spacing w:val="1"/>
                                  <w:sz w:val="20"/>
                                </w:rPr>
                                <w:t xml:space="preserve"> </w:t>
                              </w:r>
                              <w:r>
                                <w:rPr>
                                  <w:rFonts w:ascii="Cambria"/>
                                  <w:b/>
                                  <w:w w:val="95"/>
                                  <w:sz w:val="20"/>
                                </w:rPr>
                                <w:t>ecologice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E85EAE" id="Group 223" o:spid="_x0000_s1026" style="position:absolute;margin-left:75.3pt;margin-top:196.25pt;width:400.3pt;height:297.65pt;z-index:-251652096;mso-position-horizontal-relative:page" coordorigin="1506,3925" coordsize="8006,5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">
                <v:shape id="AutoShape 138" o:spid="_x0000_s1027" style="position:absolute;left:2736;top:7974;width:270;height:613;visibility:visible;mso-wrap-style:square;v-text-anchor:top" coordsize="27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0zzMUA&#10;AADcAAAADwAAAGRycy9kb3ducmV2LnhtbESPQWvCQBSE7wX/w/IKvTUbg4SSuoZQEL1JbRG9PbKv&#10;2Wj2bcyuJv333UKhx2FmvmGW5WQ7cafBt44VzJMUBHHtdMuNgs+P9fMLCB+QNXaOScE3eShXs4cl&#10;FtqN/E73fWhEhLAvUIEJoS+k9LUhiz5xPXH0vtxgMUQ5NFIPOEa47WSWprm02HJcMNjTm6H6sr9Z&#10;Be31uK2u+bgxuU536/Np5+cHqdTT41S9ggg0hf/wX3urFWTZAn7Px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LTPMxQAAANwAAAAPAAAAAAAAAAAAAAAAAJgCAABkcnMv&#10;ZG93bnJldi54bWxQSwUGAAAAAAQABAD1AAAAigMAAAAA&#10;" path="m26,343r-11,4l6,355,1,365,,377r4,11l135,612r35,-59l105,553r,-111l56,358r-8,-9l38,344,26,343xm105,442r,111l165,553r,-15l109,538r26,-45l105,442xm244,343r-12,1l222,349r-8,9l165,442r,111l170,553,266,388r4,-11l269,365r-5,-10l255,347r-11,-4xm135,493r-26,45l161,538,135,493xm165,442r-30,51l161,538r4,l165,442xm165,l105,r,442l135,493r30,-51l165,xe" fillcolor="black" stroked="f">
                  <v:fill opacity="22873f"/>
                  <v:path arrowok="t" o:connecttype="custom" o:connectlocs="26,8318;15,8322;6,8330;1,8340;0,8352;4,8363;135,8587;170,8528;105,8528;105,8417;56,8333;48,8324;38,8319;26,8318;105,8417;105,8528;165,8528;165,8513;109,8513;135,8468;105,8417;244,8318;232,8319;222,8324;214,8333;165,8417;165,8528;170,8528;266,8363;270,8352;269,8340;264,8330;255,8322;244,8318;135,8468;109,8513;161,8513;135,8468;165,8417;135,8468;161,8513;165,8513;165,8417;165,7975;105,7975;105,8417;135,8468;165,8417;165,7975" o:connectangles="0,0,0,0,0,0,0,0,0,0,0,0,0,0,0,0,0,0,0,0,0,0,0,0,0,0,0,0,0,0,0,0,0,0,0,0,0,0,0,0,0,0,0,0,0,0,0,0,0"/>
                </v:shape>
                <v:shape id="AutoShape 139" o:spid="_x0000_s1028" style="position:absolute;left:2736;top:7938;width:270;height:613;visibility:visible;mso-wrap-style:square;v-text-anchor:top" coordsize="27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R3ScUA&#10;AADcAAAADwAAAGRycy9kb3ducmV2LnhtbESPQWvCQBSE7wX/w/KE3uqmAVOJrlIEoT0VraUen9mX&#10;bDD7NmTXmPbXu4LgcZiZb5jFarCN6KnztWMFr5MEBHHhdM2Vgv335mUGwgdkjY1jUvBHHlbL0dMC&#10;c+0uvKV+FyoRIexzVGBCaHMpfWHIop+4ljh6pesshii7SuoOLxFuG5kmSSYt1hwXDLa0NlScdmer&#10;4CczRTbdf9J/fyjfZuGLfo/lWann8fA+BxFoCI/wvf2hFaTpFG5n4hG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JHdJxQAAANwAAAAPAAAAAAAAAAAAAAAAAJgCAABkcnMv&#10;ZG93bnJldi54bWxQSwUGAAAAAAQABAD1AAAAigMAAAAA&#10;" path="m26,344r-11,3l6,355,1,366,,377r4,12l135,613r35,-60l105,553r,-111l56,358r-8,-9l38,344r-12,xm105,442r,111l165,553r,-15l109,538r26,-44l105,442xm244,344r-12,l222,349r-8,9l165,442r,111l170,553,266,389r4,-12l269,366r-5,-11l255,347r-11,-3xm135,494r-26,44l161,538,135,494xm165,442r-30,52l161,538r4,l165,442xm165,l105,r,442l135,494r30,-52l165,xe" fillcolor="black" stroked="f">
                  <v:path arrowok="t" o:connecttype="custom" o:connectlocs="26,8282;15,8285;6,8293;1,8304;0,8315;4,8327;135,8551;170,8491;105,8491;105,8380;56,8296;48,8287;38,8282;26,8282;105,8380;105,8491;165,8491;165,8476;109,8476;135,8432;105,8380;244,8282;232,8282;222,8287;214,8296;165,8380;165,8491;170,8491;266,8327;270,8315;269,8304;264,8293;255,8285;244,8282;135,8432;109,8476;161,8476;135,8432;165,8380;135,8432;161,8476;165,8476;165,8380;165,7938;105,7938;105,8380;135,8432;165,8380;165,7938" o:connectangles="0,0,0,0,0,0,0,0,0,0,0,0,0,0,0,0,0,0,0,0,0,0,0,0,0,0,0,0,0,0,0,0,0,0,0,0,0,0,0,0,0,0,0,0,0,0,0,0,0"/>
                </v:shape>
                <v:shape id="Freeform 140" o:spid="_x0000_s1029" style="position:absolute;left:2879;top:9008;width:60;height:803;visibility:visible;mso-wrap-style:square;v-text-anchor:top" coordsize="60,8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b/W8IA&#10;AADcAAAADwAAAGRycy9kb3ducmV2LnhtbESPQYvCMBSE7wv+h/AEb2tqxSJdo4igiDer4h4fzdu2&#10;bPNSm6j13xtB8DjMzDfMbNGZWtyodZVlBaNhBII4t7riQsHxsP6egnAeWWNtmRQ8yMFi3vuaYart&#10;nfd0y3whAoRdigpK75tUSpeXZNANbUMcvD/bGvRBtoXULd4D3NQyjqJEGqw4LJTY0Kqk/D+7GgWX&#10;uvrNdptuGZ9OKy784xwlk7FSg363/AHhqfOf8Lu91QriOIHXmXAE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5v9bwgAAANwAAAAPAAAAAAAAAAAAAAAAAJgCAABkcnMvZG93&#10;bnJldi54bWxQSwUGAAAAAAQABAD1AAAAhwMAAAAA&#10;" path="m60,l,,,802r,1l60,803r,-1l60,xe" fillcolor="black" stroked="f">
                  <v:path arrowok="t" o:connecttype="custom" o:connectlocs="60,9008;0,9008;0,9810;0,9811;60,9811;60,9810;60,9008" o:connectangles="0,0,0,0,0,0,0"/>
                </v:shape>
                <v:rect id="Rectangle 141" o:spid="_x0000_s1030" style="position:absolute;left:2262;top:8551;width:1319;height: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EFWMQA&#10;AADcAAAADwAAAGRycy9kb3ducmV2LnhtbESPQWvCQBSE74X+h+UJ3nTXaFNNXaUUBMF6qApeH9ln&#10;Epp9m2ZXjf/eFYQeh5n5hpkvO1uLC7W+cqxhNFQgiHNnKi40HParwRSED8gGa8ek4UYelovXlzlm&#10;xl35hy67UIgIYZ+hhjKEJpPS5yVZ9EPXEEfv5FqLIcq2kKbFa4TbWiZKpdJixXGhxIa+Ssp/d2er&#10;AdOJ+duext/7zTnFWdGp1dtRad3vdZ8fIAJ14T/8bK+NhiR5h8eZe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xBVjEAAAA3AAAAA8AAAAAAAAAAAAAAAAAmAIAAGRycy9k&#10;b3ducmV2LnhtbFBLBQYAAAAABAAEAPUAAACJAwAAAAA=&#10;" stroked="f"/>
                <v:shape id="AutoShape 142" o:spid="_x0000_s1031" style="position:absolute;left:6935;top:7974;width:270;height:613;visibility:visible;mso-wrap-style:square;v-text-anchor:top" coordsize="27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A5ycIA&#10;AADcAAAADwAAAGRycy9kb3ducmV2LnhtbERPz2vCMBS+D/wfwhO8zbQ9lFGbigyK3kQ3ht4ezVvT&#10;rXmpTbTdf78cBjt+fL/L7Wx78aDRd44VpOsEBHHjdMetgve3+vkFhA/IGnvHpOCHPGyrxVOJhXYT&#10;n+hxDq2IIewLVGBCGAopfWPIol+7gThyn260GCIcW6lHnGK47WWWJLm02HFsMDjQq6Hm+3y3Crrb&#10;5bC75dPe5Do51l/Xo08/pFKr5bzbgAg0h3/xn/ugFWRZXBvPxCM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YDnJwgAAANwAAAAPAAAAAAAAAAAAAAAAAJgCAABkcnMvZG93&#10;bnJldi54bWxQSwUGAAAAAAQABAD1AAAAhwMAAAAA&#10;" path="m26,343r-11,4l6,355,1,365,,377r4,11l135,612r35,-59l105,553r,-111l56,358r-8,-9l38,344,26,343xm105,442r,111l165,553r,-15l109,538r26,-45l105,442xm244,343r-12,1l222,349r-8,9l165,442r,111l170,553,266,388r4,-11l269,365r-5,-10l255,347r-11,-4xm135,493r-26,45l161,538,135,493xm165,442r-30,51l161,538r4,l165,442xm165,l105,r,442l135,493r30,-51l165,xe" fillcolor="black" stroked="f">
                  <v:fill opacity="22873f"/>
                  <v:path arrowok="t" o:connecttype="custom" o:connectlocs="26,8318;15,8322;6,8330;1,8340;0,8352;4,8363;135,8587;170,8528;105,8528;105,8417;56,8333;48,8324;38,8319;26,8318;105,8417;105,8528;165,8528;165,8513;109,8513;135,8468;105,8417;244,8318;232,8319;222,8324;214,8333;165,8417;165,8528;170,8528;266,8363;270,8352;269,8340;264,8330;255,8322;244,8318;135,8468;109,8513;161,8513;135,8468;165,8417;135,8468;161,8513;165,8513;165,8417;165,7975;105,7975;105,8417;135,8468;165,8417;165,7975" o:connectangles="0,0,0,0,0,0,0,0,0,0,0,0,0,0,0,0,0,0,0,0,0,0,0,0,0,0,0,0,0,0,0,0,0,0,0,0,0,0,0,0,0,0,0,0,0,0,0,0,0"/>
                </v:shape>
                <v:shape id="AutoShape 143" o:spid="_x0000_s1032" style="position:absolute;left:6935;top:7938;width:270;height:613;visibility:visible;mso-wrap-style:square;v-text-anchor:top" coordsize="27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l9TMYA&#10;AADcAAAADwAAAGRycy9kb3ducmV2LnhtbESPT2vCQBTE74LfYXlCb7oxYKqpq0ihYE+l/sEeX7Mv&#10;2dDs25BdY9pP3y0UPA4z8xtmvR1sI3rqfO1YwXyWgCAunK65UnA6vkyXIHxA1tg4JgXf5GG7GY/W&#10;mGt343fqD6ESEcI+RwUmhDaX0heGLPqZa4mjV7rOYoiyq6Tu8BbhtpFpkmTSYs1xwWBLz4aKr8PV&#10;KjhnpsgWp1f66T/Kx2V4o8tneVXqYTLsnkAEGsI9/N/eawVpuoK/M/EI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l9TMYAAADcAAAADwAAAAAAAAAAAAAAAACYAgAAZHJz&#10;L2Rvd25yZXYueG1sUEsFBgAAAAAEAAQA9QAAAIsDAAAAAA==&#10;" path="m26,344r-11,3l6,355,1,366,,377r4,12l135,613r35,-60l105,553r,-111l56,358r-8,-9l38,344r-12,xm105,442r,111l165,553r,-15l109,538r26,-44l105,442xm244,344r-12,l222,349r-8,9l165,442r,111l170,553,266,389r4,-12l269,366r-5,-11l255,347r-11,-3xm135,494r-26,44l161,538,135,494xm165,442r-30,52l161,538r4,l165,442xm165,l105,r,442l135,494r30,-52l165,xe" fillcolor="black" stroked="f">
                  <v:path arrowok="t" o:connecttype="custom" o:connectlocs="26,8282;15,8285;6,8293;1,8304;0,8315;4,8327;135,8551;170,8491;105,8491;105,8380;56,8296;48,8287;38,8282;26,8282;105,8380;105,8491;165,8491;165,8476;109,8476;135,8432;105,8380;244,8282;232,8282;222,8287;214,8296;165,8380;165,8491;170,8491;266,8327;270,8315;269,8304;264,8293;255,8285;244,8282;135,8432;109,8476;161,8476;135,8432;165,8380;135,8432;161,8476;165,8476;165,8380;165,7938;105,7938;105,8380;135,8432;165,8380;165,7938" o:connectangles="0,0,0,0,0,0,0,0,0,0,0,0,0,0,0,0,0,0,0,0,0,0,0,0,0,0,0,0,0,0,0,0,0,0,0,0,0,0,0,0,0,0,0,0,0,0,0,0,0"/>
                </v:shape>
                <v:shape id="Freeform 144" o:spid="_x0000_s1033" style="position:absolute;left:6371;top:8551;width:1548;height:457;visibility:visible;mso-wrap-style:square;v-text-anchor:top" coordsize="1548,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JEYMEA&#10;AADcAAAADwAAAGRycy9kb3ducmV2LnhtbERPz2vCMBS+D/Y/hDfwMmw6hyJdU3GVwa5TYTs+mre2&#10;tHkpSVo7/3pzGHj8+H7nu9n0YiLnW8sKXpIUBHFldcu1gvPpY7kF4QOyxt4yKfgjD7vi8SHHTNsL&#10;f9F0DLWIIewzVNCEMGRS+qohgz6xA3Hkfq0zGCJ0tdQOLzHc9HKVphtpsOXY0OBAZUNVdxyNAiPH&#10;9eG9/L4+p6Tlj+v2OA61Uounef8GItAc7uJ/96dWsHqN8+OZeARk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yRGDBAAAA3AAAAA8AAAAAAAAAAAAAAAAAmAIAAGRycy9kb3du&#10;cmV2LnhtbFBLBQYAAAAABAAEAPUAAACGAwAAAAA=&#10;" path="m1548,l,,,427r,30l1548,457r,-30l1548,xe" stroked="f">
                  <v:path arrowok="t" o:connecttype="custom" o:connectlocs="1548,8551;0,8551;0,8978;0,9008;1548,9008;1548,8978;1548,8551" o:connectangles="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5" o:spid="_x0000_s1034" type="#_x0000_t75" style="position:absolute;left:1590;top:3925;width:7915;height: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R293GAAAA3AAAAA8AAABkcnMvZG93bnJldi54bWxEj0FrwkAUhO9C/8PyCr3pxihSUlcpoRHB&#10;k7GlentkX5O02bchu03iv+8WBI/DzHzDrLejaURPnastK5jPIhDEhdU1lwreT9n0GYTzyBoby6Tg&#10;Sg62m4fJGhNtBz5Sn/tSBAi7BBVU3reJlK6oyKCb2ZY4eF+2M+iD7EqpOxwC3DQyjqKVNFhzWKiw&#10;pbSi4if/NQp2Nvt8W36sLmd58EfKDvk+/c6VenocX19AeBr9PXxr77WCeDGH/zPhCMjN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Hb3cYAAADcAAAADwAAAAAAAAAAAAAA&#10;AACfAgAAZHJzL2Rvd25yZXYueG1sUEsFBgAAAAAEAAQA9wAAAJIDAAAAAA==&#10;">
                  <v:imagedata r:id="rId29" o:title=""/>
                </v:shape>
                <v:shape id="AutoShape 146" o:spid="_x0000_s1035" style="position:absolute;left:6909;top:4296;width:270;height:947;visibility:visible;mso-wrap-style:square;v-text-anchor:top" coordsize="270,9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Geh8MA&#10;AADcAAAADwAAAGRycy9kb3ducmV2LnhtbESPQWsCMRSE74X+h/CEXopmu0IrW6O0YkXoqWrvj81r&#10;snXzsiRZXf+9EQo9DjPzDTNfDq4VJwqx8azgaVKAIK69btgoOOw/xjMQMSFrbD2TggtFWC7u7+ZY&#10;aX/mLzrtkhEZwrFCBTalrpIy1pYcxonviLP344PDlGUwUgc8Z7hrZVkUz9Jhw3nBYkcrS/Vx1zsF&#10;IW0em5f10LORv/3nuyH7bUmph9Hw9goi0ZD+w3/trVZQTku4nclHQC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Geh8MAAADcAAAADwAAAAAAAAAAAAAAAACYAgAAZHJzL2Rv&#10;d25yZXYueG1sUEsFBgAAAAAEAAQA9QAAAIgDAAAAAA==&#10;" path="m25,677r-11,4l5,689,,699r,11l3,722,134,946r35,-59l104,887r,-111l55,691r-8,-8l37,678,25,677xm104,776r,111l164,887r,-15l108,871r26,-44l104,776xm243,677r-11,1l221,683r-8,9l164,776r,111l169,887,265,722r4,-11l268,699r-5,-10l254,681r-11,-4xm134,827r-26,44l160,872,134,827xm164,776r-30,51l160,872r4,l164,776xm165,l105,r-1,677l104,776r30,51l164,776,165,xe" fillcolor="black" stroked="f">
                  <v:fill opacity="22873f"/>
                  <v:path arrowok="t" o:connecttype="custom" o:connectlocs="25,4974;14,4978;5,4986;0,4996;0,5007;3,5019;134,5243;169,5184;104,5184;104,5073;55,4988;47,4980;37,4975;25,4974;104,5073;104,5184;164,5184;164,5169;108,5168;134,5124;104,5073;243,4974;232,4975;221,4980;213,4989;164,5073;164,5184;169,5184;265,5019;269,5008;268,4996;263,4986;254,4978;243,4974;134,5124;108,5168;160,5169;134,5124;164,5073;134,5124;160,5169;164,5169;164,5073;165,4297;105,4297;104,4974;104,5073;134,5124;164,5073;165,4297" o:connectangles="0,0,0,0,0,0,0,0,0,0,0,0,0,0,0,0,0,0,0,0,0,0,0,0,0,0,0,0,0,0,0,0,0,0,0,0,0,0,0,0,0,0,0,0,0,0,0,0,0,0"/>
                </v:shape>
                <v:shape id="AutoShape 147" o:spid="_x0000_s1036" style="position:absolute;left:6909;top:4260;width:270;height:947;visibility:visible;mso-wrap-style:square;v-text-anchor:top" coordsize="270,9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tS8cA&#10;AADcAAAADwAAAGRycy9kb3ducmV2LnhtbESP3WrCQBSE7wu+w3KE3hTdmIBo6iqlUFoo+C/t5SF7&#10;mgSzZ0N2axKf3hUKvRxm5htmsepMJS7UuNKygsk4AkGcWV1yruB4eBvNQDiPrLGyTAp6crBaDh4W&#10;mGrb8o4ue5+LAGGXooLC+zqV0mUFGXRjWxMH78c2Bn2QTS51g22Am0rGUTSVBksOCwXW9FpQdt7/&#10;GgVucrr2uf2cP32ZLt5s36N18n1W6nHYvTyD8NT5//Bf+0MriJME7mfCE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WrUvHAAAA3AAAAA8AAAAAAAAAAAAAAAAAmAIAAGRy&#10;cy9kb3ducmV2LnhtbFBLBQYAAAAABAAEAPUAAACMAwAAAAA=&#10;" path="m25,678r-11,3l5,689,,700r,11l3,722,134,947r35,-60l104,887r,-111l55,692r-8,-9l37,678r-12,xm104,776r,111l164,887r,-15l108,872r26,-44l104,776xm243,678r-11,1l221,684r-8,8l164,777r,110l169,887,265,723r4,-12l268,700r-5,-10l254,682r-11,-4xm134,828r-26,44l160,872,134,828xm164,777r-30,51l160,872r4,l164,777xm165,l105,r-1,678l104,777r30,51l164,777,165,xe" fillcolor="black" stroked="f">
                  <v:path arrowok="t" o:connecttype="custom" o:connectlocs="25,4938;14,4941;5,4949;0,4960;0,4971;3,4982;134,5207;169,5147;104,5147;104,5036;55,4952;47,4943;37,4938;25,4938;104,5036;104,5147;164,5147;164,5132;108,5132;134,5088;104,5036;243,4938;232,4939;221,4944;213,4952;164,5037;164,5147;169,5147;265,4983;269,4971;268,4960;263,4950;254,4942;243,4938;134,5088;108,5132;160,5132;134,5088;164,5037;134,5088;160,5132;164,5132;164,5037;165,4260;105,4260;104,4938;104,5037;134,5088;164,5037;165,4260" o:connectangles="0,0,0,0,0,0,0,0,0,0,0,0,0,0,0,0,0,0,0,0,0,0,0,0,0,0,0,0,0,0,0,0,0,0,0,0,0,0,0,0,0,0,0,0,0,0,0,0,0,0"/>
                </v:shape>
                <v:shape id="Freeform 148" o:spid="_x0000_s1037" style="position:absolute;left:2034;top:4586;width:1826;height:97;visibility:visible;mso-wrap-style:square;v-text-anchor:top" coordsize="182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RLF8YA&#10;AADcAAAADwAAAGRycy9kb3ducmV2LnhtbESPQUvDQBSE70L/w/IKvdlNWy0SsylGaFW8tFXo9Zl9&#10;ZkOzb9PsmsR/7wqCx2FmvmGyzWgb0VPna8cKFvMEBHHpdM2Vgve37fUdCB+QNTaOScE3edjkk6sM&#10;U+0GPlB/DJWIEPYpKjAhtKmUvjRk0c9dSxy9T9dZDFF2ldQdDhFuG7lMkrW0WHNcMNjSo6HyfPyy&#10;CobT6+LJ4Hn/Unzc9rvTUKzWl0Kp2XR8uAcRaAz/4b/2s1awXN3A75l4BGT+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RLF8YAAADcAAAADwAAAAAAAAAAAAAAAACYAgAAZHJz&#10;L2Rvd25yZXYueG1sUEsFBgAAAAAEAAQA9QAAAIsDAAAAAA==&#10;" path="m1826,l,,,37,,60,,97r1826,l1826,60r,-23l1826,xe" fillcolor="black" stroked="f">
                  <v:path arrowok="t" o:connecttype="custom" o:connectlocs="1826,4586;0,4586;0,4623;0,4646;0,4683;1826,4683;1826,4646;1826,4623;1826,4586" o:connectangles="0,0,0,0,0,0,0,0,0"/>
                </v:shape>
                <v:shape id="AutoShape 149" o:spid="_x0000_s1038" style="position:absolute;left:1912;top:4652;width:270;height:602;visibility:visible;mso-wrap-style:square;v-text-anchor:top" coordsize="270,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2+McIA&#10;AADcAAAADwAAAGRycy9kb3ducmV2LnhtbESPT2vCQBTE74LfYXmCN93EUgnRVaylYI/G9v7Ivvwh&#10;2bdhdzXx23cLhR6HmfkNsz9OphcPcr61rCBdJyCIS6tbrhV83T5WGQgfkDX2lknBkzwcD/PZHnNt&#10;R77Sowi1iBD2OSpoQhhyKX3ZkEG/tgNx9CrrDIYoXS21wzHCTS83SbKVBluOCw0OdG6o7Iq7UVBc&#10;0vuZKteFLqvG9O07+3xvvVLLxXTagQg0hf/wX/uiFWxeXuH3TDwC8vA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b4xwgAAANwAAAAPAAAAAAAAAAAAAAAAAJgCAABkcnMvZG93&#10;bnJldi54bWxQSwUGAAAAAAQABAD1AAAAhwMAAAAA&#10;" path="m26,332r-11,4l6,344,1,354,,366r4,11l135,601r35,-59l105,542r,-111l56,347r-8,-9l38,333,26,332xm105,431r,111l165,542r,-15l109,527r26,-45l105,431xm244,332r-12,1l222,338r-8,9l165,431r,111l170,542,266,377r4,-11l269,354r-5,-10l255,336r-11,-4xm135,482r-26,45l161,527,135,482xm165,431r-30,51l161,527r4,l165,431xm165,l105,r,431l135,482r30,-51l165,xe" fillcolor="black" stroked="f">
                  <v:fill opacity="22873f"/>
                  <v:path arrowok="t" o:connecttype="custom" o:connectlocs="26,4985;15,4989;6,4997;1,5007;0,5019;4,5030;135,5254;170,5195;105,5195;105,5084;56,5000;48,4991;38,4986;26,4985;105,5084;105,5195;165,5195;165,5180;109,5180;135,5135;105,5084;244,4985;232,4986;222,4991;214,5000;165,5084;165,5195;170,5195;266,5030;270,5019;269,5007;264,4997;255,4989;244,4985;135,5135;109,5180;161,5180;135,5135;165,5084;135,5135;161,5180;165,5180;165,5084;165,4653;105,4653;105,5084;135,5135;165,5084;165,4653" o:connectangles="0,0,0,0,0,0,0,0,0,0,0,0,0,0,0,0,0,0,0,0,0,0,0,0,0,0,0,0,0,0,0,0,0,0,0,0,0,0,0,0,0,0,0,0,0,0,0,0,0"/>
                </v:shape>
                <v:shape id="AutoShape 150" o:spid="_x0000_s1039" style="position:absolute;left:1912;top:4616;width:270;height:602;visibility:visible;mso-wrap-style:square;v-text-anchor:top" coordsize="270,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7sMA&#10;AADcAAAADwAAAGRycy9kb3ducmV2LnhtbESPwWrDMBBE74X+g9hCb41sF0xxo4TSNqSnkNih58Xa&#10;2CbWykhKbP99FQj0OMzMG2a5nkwvruR8Z1lBukhAENdWd9woOFablzcQPiBr7C2Tgpk8rFePD0ss&#10;tB35QNcyNCJC2BeooA1hKKT0dUsG/cIOxNE7WWcwROkaqR2OEW56mSVJLg12HBdaHOizpfpcXowC&#10;d9h8Vdt8+rU7n3zvczcHTkulnp+mj3cQgabwH763f7SC7DWH25l4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7sMAAADcAAAADwAAAAAAAAAAAAAAAACYAgAAZHJzL2Rv&#10;d25yZXYueG1sUEsFBgAAAAAEAAQA9QAAAIgDAAAAAA==&#10;" path="m26,333r-11,3l6,344,1,355,,366r4,12l135,602r35,-60l105,542r,-111l56,347r-8,-9l38,333r-12,xm105,431r,111l165,542r,-15l109,527r26,-44l105,431xm244,333r-12,l222,338r-8,9l165,431r,111l170,542,266,378r4,-12l269,355r-5,-11l255,336r-11,-3xm135,483r-26,44l161,527,135,483xm165,431r-30,52l161,527r4,l165,431xm165,l105,r,431l135,483r30,-52l165,xe" fillcolor="black" stroked="f">
                  <v:path arrowok="t" o:connecttype="custom" o:connectlocs="26,4949;15,4952;6,4960;1,4971;0,4982;4,4994;135,5218;170,5158;105,5158;105,5047;56,4963;48,4954;38,4949;26,4949;105,5047;105,5158;165,5158;165,5143;109,5143;135,5099;105,5047;244,4949;232,4949;222,4954;214,4963;165,5047;165,5158;170,5158;266,4994;270,4982;269,4971;264,4960;255,4952;244,4949;135,5099;109,5143;161,5143;135,5099;165,5047;135,5099;161,5143;165,5143;165,5047;165,4616;105,4616;105,5047;135,5099;165,5047;165,4616" o:connectangles="0,0,0,0,0,0,0,0,0,0,0,0,0,0,0,0,0,0,0,0,0,0,0,0,0,0,0,0,0,0,0,0,0,0,0,0,0,0,0,0,0,0,0,0,0,0,0,0,0"/>
                </v:shape>
                <v:shape id="AutoShape 151" o:spid="_x0000_s1040" style="position:absolute;left:3738;top:4652;width:270;height:602;visibility:visible;mso-wrap-style:square;v-text-anchor:top" coordsize="270,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F3cIA&#10;AADcAAAADwAAAGRycy9kb3ducmV2LnhtbESPT2vCQBTE74LfYXmCN93EQg3RVaylYI/G9v7Ivvwh&#10;2bdhdzXx23cLhR6HmfkNsz9OphcPcr61rCBdJyCIS6tbrhV83T5WGQgfkDX2lknBkzwcD/PZHnNt&#10;R77Sowi1iBD2OSpoQhhyKX3ZkEG/tgNx9CrrDIYoXS21wzHCTS83SfIqDbYcFxoc6NxQ2RV3o6C4&#10;pPczVa4LXVaN6dt39vneeqWWi+m0AxFoCv/hv/ZFK9i8bOH3TDwC8vA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4XdwgAAANwAAAAPAAAAAAAAAAAAAAAAAJgCAABkcnMvZG93&#10;bnJldi54bWxQSwUGAAAAAAQABAD1AAAAhwMAAAAA&#10;" path="m26,332r-11,4l6,344,1,354,,366r4,11l135,601r35,-59l105,542r,-111l56,347r-8,-9l38,333,26,332xm105,431r,111l165,542r,-15l109,527r26,-45l105,431xm244,332r-12,1l222,338r-8,9l165,431r,111l170,542,266,377r4,-11l269,354r-5,-10l255,336r-11,-4xm135,482r-26,45l161,527,135,482xm165,431r-30,51l161,527r4,l165,431xm165,l105,r,431l135,482r30,-51l165,xe" fillcolor="black" stroked="f">
                  <v:fill opacity="22873f"/>
                  <v:path arrowok="t" o:connecttype="custom" o:connectlocs="26,4985;15,4989;6,4997;1,5007;0,5019;4,5030;135,5254;170,5195;105,5195;105,5084;56,5000;48,4991;38,4986;26,4985;105,5084;105,5195;165,5195;165,5180;109,5180;135,5135;105,5084;244,4985;232,4986;222,4991;214,5000;165,5084;165,5195;170,5195;266,5030;270,5019;269,5007;264,4997;255,4989;244,4985;135,5135;109,5180;161,5180;135,5135;165,5084;135,5135;161,5180;165,5180;165,5084;165,4653;105,4653;105,5084;135,5135;165,5084;165,4653" o:connectangles="0,0,0,0,0,0,0,0,0,0,0,0,0,0,0,0,0,0,0,0,0,0,0,0,0,0,0,0,0,0,0,0,0,0,0,0,0,0,0,0,0,0,0,0,0,0,0,0,0"/>
                </v:shape>
                <v:shape id="AutoShape 152" o:spid="_x0000_s1041" style="position:absolute;left:3738;top:4616;width:270;height:602;visibility:visible;mso-wrap-style:square;v-text-anchor:top" coordsize="270,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0PB8AA&#10;AADcAAAADwAAAGRycy9kb3ducmV2LnhtbERPz2vCMBS+C/sfwhO82UQHZVSjiJvM05iteH40z7bY&#10;vJQk0/rfL4fBjh/f7/V2tL24kw+dYw2LTIEgrp3puNFwrg7zNxAhIhvsHZOGJwXYbl4mayyMe/CJ&#10;7mVsRArhUKCGNsahkDLULVkMmRuIE3d13mJM0DfSeHykcNvLpVK5tNhxamhxoH1L9a38sRr86fBe&#10;febjxX0F9fGd+2fkRan1bDruViAijfFf/Oc+Gg3L17Q2nUlHQ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S0PB8AAAADcAAAADwAAAAAAAAAAAAAAAACYAgAAZHJzL2Rvd25y&#10;ZXYueG1sUEsFBgAAAAAEAAQA9QAAAIUDAAAAAA==&#10;" path="m26,333r-11,3l6,344,1,355,,366r4,12l135,602r35,-60l105,542r,-111l56,347r-8,-9l38,333r-12,xm105,431r,111l165,542r,-15l109,527r26,-44l105,431xm244,333r-12,l222,338r-8,9l165,431r,111l170,542,266,378r4,-12l269,355r-5,-11l255,336r-11,-3xm135,483r-26,44l161,527,135,483xm165,431r-30,52l161,527r4,l165,431xm165,l105,r,431l135,483r30,-52l165,xe" fillcolor="black" stroked="f">
                  <v:path arrowok="t" o:connecttype="custom" o:connectlocs="26,4949;15,4952;6,4960;1,4971;0,4982;4,4994;135,5218;170,5158;105,5158;105,5047;56,4963;48,4954;38,4949;26,4949;105,5047;105,5158;165,5158;165,5143;109,5143;135,5099;105,5047;244,4949;232,4949;222,4954;214,4963;165,5047;165,5158;170,5158;266,4994;270,4982;269,4971;264,4960;255,4952;244,4949;135,5099;109,5143;161,5143;135,5099;165,5047;135,5099;161,5143;165,5143;165,5047;165,4616;105,4616;105,5047;135,5099;165,5047;165,4616" o:connectangles="0,0,0,0,0,0,0,0,0,0,0,0,0,0,0,0,0,0,0,0,0,0,0,0,0,0,0,0,0,0,0,0,0,0,0,0,0,0,0,0,0,0,0,0,0,0,0,0,0"/>
                </v:shape>
                <v:rect id="Rectangle 153" o:spid="_x0000_s1042" style="position:absolute;left:1590;top:5261;width:1319;height: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liLcUA&#10;AADcAAAADwAAAGRycy9kb3ducmV2LnhtbESPT2vCQBTE7wW/w/KE3nSjLa1GVykFIT200vjn/Mg+&#10;s8Hs25DdaPz2bkHocZiZ3zDLdW9rcaHWV44VTMYJCOLC6YpLBfvdZjQD4QOyxtoxKbiRh/Vq8LTE&#10;VLsr/9IlD6WIEPYpKjAhNKmUvjBk0Y9dQxy9k2sthijbUuoWrxFuazlNkjdpseK4YLChT0PFOe+s&#10;gvfjJtf887Xlg//uXssuO5ldptTzsP9YgAjUh//wo51pBdOXOfydi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WItxQAAANwAAAAPAAAAAAAAAAAAAAAAAJgCAABkcnMv&#10;ZG93bnJldi54bWxQSwUGAAAAAAQABAD1AAAAigMAAAAA&#10;" fillcolor="black" stroked="f">
                  <v:fill opacity="24929f"/>
                </v:rect>
                <v:shape id="Picture 154" o:spid="_x0000_s1043" type="#_x0000_t75" style="position:absolute;left:1590;top:5230;width:1319;height: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wnm3CAAAA3AAAAA8AAABkcnMvZG93bnJldi54bWxET89rwjAUvgv+D+EJu8hMFZnSNYoKg4G7&#10;rOrOj+atLW1eahNrtr9+OQw8fny/s20wrRiod7VlBfNZAoK4sLrmUsH59Pa8BuE8ssbWMin4IQfb&#10;zXiUYartnT9pyH0pYgi7FBVU3neplK6oyKCb2Y44ct+2N+gj7Eupe7zHcNPKRZK8SIM1x4YKOzpU&#10;VDT5zShYHffh65euF8KuCcMJ6/PHNFfqaRJ2ryA8Bf8Q/7vftYLFMs6PZ+IRkJ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sJ5twgAAANwAAAAPAAAAAAAAAAAAAAAAAJ8C&#10;AABkcnMvZG93bnJldi54bWxQSwUGAAAAAAQABAD3AAAAjgMAAAAA&#10;">
                  <v:imagedata r:id="rId30" o:title=""/>
                </v:shape>
                <v:rect id="Rectangle 155" o:spid="_x0000_s1044" style="position:absolute;left:3023;top:5283;width:2651;height: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kdVsQA&#10;AADcAAAADwAAAGRycy9kb3ducmV2LnhtbESPT4vCMBTE7wt+h/AEb2uqyK5Uo4gg1IO7bP1zfjTP&#10;pti8lCbV+u3NwsIeh5n5DbNc97YWd2p95VjBZJyAIC6crrhUcDru3ucgfEDWWDsmBU/ysF4N3paY&#10;avfgH7rnoRQRwj5FBSaEJpXSF4Ys+rFriKN3da3FEGVbSt3iI8JtLadJ8iEtVhwXDDa0NVTc8s4q&#10;+Lzscs1f+28++0M3K7vsao6ZUqNhv1mACNSH//BfO9MKprMJ/J6JR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pHVbEAAAA3AAAAA8AAAAAAAAAAAAAAAAAmAIAAGRycy9k&#10;b3ducmV2LnhtbFBLBQYAAAAABAAEAPUAAACJAwAAAAA=&#10;" fillcolor="black" stroked="f">
                  <v:fill opacity="24929f"/>
                </v:rect>
                <v:shape id="Picture 156" o:spid="_x0000_s1045" type="#_x0000_t75" style="position:absolute;left:3023;top:5252;width:2651;height: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x3tbEAAAA3AAAAA8AAABkcnMvZG93bnJldi54bWxEj0FrwkAUhO8F/8PyhN7qxtBWia4igiBC&#10;D8aI12f2mQSzb+Puqum/7xYKPQ4z8w0zX/amFQ9yvrGsYDxKQBCXVjdcKSgOm7cpCB+QNbaWScE3&#10;eVguBi9zzLR98p4eeahEhLDPUEEdQpdJ6cuaDPqR7Yijd7HOYIjSVVI7fEa4aWWaJJ/SYMNxocaO&#10;1jWV1/xuFJy+Pvb90eda39bFaVe48645T5R6HfarGYhAffgP/7W3WkH6nsLvmXgE5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dx3tbEAAAA3AAAAA8AAAAAAAAAAAAAAAAA&#10;nwIAAGRycy9kb3ducmV2LnhtbFBLBQYAAAAABAAEAPcAAACQAwAAAAA=&#10;">
                  <v:imagedata r:id="rId31" o:title=""/>
                </v:shape>
                <v:rect id="Rectangle 157" o:spid="_x0000_s1046" style="position:absolute;left:5941;top:5238;width:3564;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cmusQA&#10;AADcAAAADwAAAGRycy9kb3ducmV2LnhtbESPT2vCQBTE7wW/w/KE3upGK1Wiq4ggpAdbjH/Oj+wz&#10;G8y+DdmNpt/eLRR6HGbmN8xy3dta3Kn1lWMF41ECgrhwuuJSwem4e5uD8AFZY+2YFPyQh/Vq8LLE&#10;VLsHH+ieh1JECPsUFZgQmlRKXxiy6EeuIY7e1bUWQ5RtKXWLjwi3tZwkyYe0WHFcMNjQ1lBxyzur&#10;YHbZ5Zq/Pr/57PfdtOyyqzlmSr0O+80CRKA+/If/2plWMJm+w++Ze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3JrrEAAAA3AAAAA8AAAAAAAAAAAAAAAAAmAIAAGRycy9k&#10;b3ducmV2LnhtbFBLBQYAAAAABAAEAPUAAACJAwAAAAA=&#10;" fillcolor="black" stroked="f">
                  <v:fill opacity="24929f"/>
                </v:rect>
                <v:shape id="Picture 158" o:spid="_x0000_s1047" type="#_x0000_t75" style="position:absolute;left:5941;top:5207;width:3564;height: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eEuXFAAAA3AAAAA8AAABkcnMvZG93bnJldi54bWxEj0GLwjAUhO/C/ofwFrxpqhbRrlEWYUEQ&#10;Easuu7dH82yLzUtpotZ/bwTB4zAz3zCzRWsqcaXGlZYVDPoRCOLM6pJzBYf9T28CwnlkjZVlUnAn&#10;B4v5R2eGibY33tE19bkIEHYJKii8rxMpXVaQQde3NXHwTrYx6INscqkbvAW4qeQwisbSYMlhocCa&#10;lgVl5/RiFPwONuv6eNn/b93qsB2Np/Fyk/4p1f1sv79AeGr9O/xqr7SCYRzD80w4An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3hLlxQAAANwAAAAPAAAAAAAAAAAAAAAA&#10;AJ8CAABkcnMvZG93bnJldi54bWxQSwUGAAAAAAQABAD3AAAAkQMAAAAA&#10;">
                  <v:imagedata r:id="rId32" o:title=""/>
                </v:shape>
                <v:shape id="Freeform 159" o:spid="_x0000_s1048" style="position:absolute;left:1996;top:6671;width:1852;height:97;visibility:visible;mso-wrap-style:square;v-text-anchor:top" coordsize="185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rALsQA&#10;AADcAAAADwAAAGRycy9kb3ducmV2LnhtbESP0YrCMBRE3wX/IVzBF9FUsVWqUURZWXzaVT/g2lzb&#10;YnNTm6x2/36zIPg4zMwZZrluTSUe1LjSsoLxKAJBnFldcq7gfPoYzkE4j6yxskwKfsnBetXtLDHV&#10;9snf9Dj6XAQIuxQVFN7XqZQuK8igG9maOHhX2xj0QTa51A0+A9xUchJFiTRYclgosKZtQdnt+GMU&#10;DMr2fkn2iT0M4tnX+Y7xbmNipfq9drMA4an17/Cr/akVTKYx/J8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KwC7EAAAA3AAAAA8AAAAAAAAAAAAAAAAAmAIAAGRycy9k&#10;b3ducmV2LnhtbFBLBQYAAAAABAAEAPUAAACJAwAAAAA=&#10;" path="m1852,l,,,37,,60,,97r1852,l1852,60r,-23l1852,xe" fillcolor="black" stroked="f">
                  <v:fill opacity="24929f"/>
                  <v:path arrowok="t" o:connecttype="custom" o:connectlocs="1852,6671;0,6671;0,6708;0,6731;0,6768;1852,6768;1852,6731;1852,6708;1852,6671" o:connectangles="0,0,0,0,0,0,0,0,0"/>
                </v:shape>
                <v:line id="Line 160" o:spid="_x0000_s1049" style="position:absolute;visibility:visible;mso-wrap-style:square" from="1996,5969" to="1996,6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rDjMQAAADcAAAADwAAAGRycy9kb3ducmV2LnhtbESPwWrDMBBE74X+g9hCb41cN4TgRDFt&#10;IeBDL3ZDyHGRNraJtTKSmrj9+igQ6HGYmTfMupzsIM7kQ+9YwessA0Gsnem5VbD73r4sQYSIbHBw&#10;TAp+KUC5eXxYY2HchWs6N7EVCcKhQAVdjGMhZdAdWQwzNxIn7+i8xZikb6XxeElwO8g8yxbSYs9p&#10;ocORPjvSp+bHKmgqfXR/b/60P3x8ab1FX2PvlXp+mt5XICJN8T98b1dGQT5fwO1MOgJyc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asOMxAAAANwAAAAPAAAAAAAAAAAA&#10;AAAAAKECAABkcnMvZG93bnJldi54bWxQSwUGAAAAAAQABAD5AAAAkgMAAAAA&#10;" strokeweight="3pt"/>
                <v:line id="Line 161" o:spid="_x0000_s1050" style="position:absolute;visibility:visible;mso-wrap-style:square" from="1996,5932" to="1996,67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ZmF8QAAADcAAAADwAAAGRycy9kb3ducmV2LnhtbESPT2sCMRTE74LfIbyCN83Wllq2G0UL&#10;godeXEU8PpK3f3DzsiRR1376plDocZiZ3zDFarCduJEPrWMFz7MMBLF2puVawfGwnb6DCBHZYOeY&#10;FDwowGo5HhWYG3fnPd3KWIsE4ZCjgibGPpcy6IYshpnriZNXOW8xJulraTzeE9x2cp5lb9Jiy2mh&#10;wZ4+G9KX8moVlDtdue8XfzmdN19ab9HvsfVKTZ6G9QeISEP8D/+1d0bB/HUBv2fSEZ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JmYXxAAAANwAAAAPAAAAAAAAAAAA&#10;AAAAAKECAABkcnMvZG93bnJldi54bWxQSwUGAAAAAAQABAD5AAAAkgMAAAAA&#10;" strokeweight="3pt"/>
                <v:line id="Line 162" o:spid="_x0000_s1051" style="position:absolute;visibility:visible;mso-wrap-style:square" from="3854,6173" to="3854,6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HcEAAADcAAAADwAAAGRycy9kb3ducmV2LnhtbERPTWvCQBC9F/wPywheitlog0jqKiKI&#10;uZWkJechO03SZmdDdjXx37sHwePjfe8Ok+nEjQbXWlawimIQxJXVLdcKfr7Pyy0I55E1dpZJwZ0c&#10;HPaztx2m2o6c063wtQgh7FJU0Hjfp1K6qiGDLrI9ceB+7WDQBzjUUg84hnDTyXUcb6TBlkNDgz2d&#10;Gqr+i6tRkPx9XVbTx1jyyeX5e+kTc91kSi3m0/EThKfJv8RPd6YVrJOwNpwJR0D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5H8dwQAAANwAAAAPAAAAAAAAAAAAAAAA&#10;AKECAABkcnMvZG93bnJldi54bWxQSwUGAAAAAAQABAD5AAAAjwMAAAAA&#10;" strokeweight="3.6pt"/>
                <v:line id="Line 163" o:spid="_x0000_s1052" style="position:absolute;visibility:visible;mso-wrap-style:square" from="3854,6136" to="3854,6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jahsIAAADcAAAADwAAAGRycy9kb3ducmV2LnhtbESPQYvCMBSE7wv+h/CEvSya6hbRahQR&#10;Fr1JVTw/mmdbbV5KE2399xtB8DjMzDfMYtWZSjyocaVlBaNhBII4s7rkXMHp+DeYgnAeWWNlmRQ8&#10;ycFq2ftaYKJtyyk9Dj4XAcIuQQWF93UipcsKMuiGtiYO3sU2Bn2QTS51g22Am0qOo2giDZYcFgqs&#10;aVNQdjvcjYL4ut+Out/2zBuXpj9nH5v7ZKfUd79bz0F46vwn/G7vtIJxPIPXmXAE5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KjahsIAAADcAAAADwAAAAAAAAAAAAAA&#10;AAChAgAAZHJzL2Rvd25yZXYueG1sUEsFBgAAAAAEAAQA+QAAAJADAAAAAA==&#10;" strokeweight="3.6pt"/>
                <v:line id="Line 164" o:spid="_x0000_s1053" style="position:absolute;visibility:visible;mso-wrap-style:square" from="7070,6192" to="7070,6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ZovsEAAADcAAAADwAAAGRycy9kb3ducmV2LnhtbERPy2oCMRTdF/yHcAV3nYyWljI1igrC&#10;LNw4ldLlJbnzwMnNkKTO6Nc3i0KXh/Nebyfbixv50DlWsMxyEMTamY4bBZfP4/M7iBCRDfaOScGd&#10;Amw3s6c1FsaNfKZbFRuRQjgUqKCNcSikDLoliyFzA3HiauctxgR9I43HMYXbXq7y/E1a7Dg1tDjQ&#10;oSV9rX6sgqrUtXu8+OvX9/6k9RH9GTuv1GI+7T5ARJriv/jPXRoFq9c0P51JR0B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Fmi+wQAAANwAAAAPAAAAAAAAAAAAAAAA&#10;AKECAABkcnMvZG93bnJldi54bWxQSwUGAAAAAAQABAD5AAAAjwMAAAAA&#10;" strokeweight="3pt"/>
                <v:line id="Line 165" o:spid="_x0000_s1054" style="position:absolute;visibility:visible;mso-wrap-style:square" from="7070,6155" to="7070,6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rNJcQAAADcAAAADwAAAGRycy9kb3ducmV2LnhtbESPwWrDMBBE74X8g9hAb43slJbiRDFJ&#10;IeBDL3FDyXGRNraJtTKSGrv9+qoQyHGYmTfMupxsL67kQ+dYQb7IQBBrZzpuFBw/909vIEJENtg7&#10;JgU/FKDczB7WWBg38oGudWxEgnAoUEEb41BIGXRLFsPCDcTJOztvMSbpG2k8jglue7nMsldpseO0&#10;0OJA7y3pS/1tFdSVPrvfZ3/5Ou0+tN6jP2DnlXqcT9sViEhTvIdv7cooWL7k8H8mHQ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Ws0lxAAAANwAAAAPAAAAAAAAAAAA&#10;AAAAAKECAABkcnMvZG93bnJldi54bWxQSwUGAAAAAAQABAD5AAAAkgMAAAAA&#10;" strokeweight="3pt"/>
                <v:line id="Line 166" o:spid="_x0000_s1055" style="position:absolute;visibility:visible;mso-wrap-style:square" from="2858,6761" to="2858,6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hTUsQAAADcAAAADwAAAGRycy9kb3ducmV2LnhtbESPQWvCQBSE7wX/w/IEb3VjpEViVtGC&#10;4KEX01I8PnafSUj2bdjdatpf3y0IHoeZ+YYpt6PtxZV8aB0rWMwzEMTamZZrBZ8fh+cViBCRDfaO&#10;ScEPBdhuJk8lFsbd+ETXKtYiQTgUqKCJcSikDLohi2HuBuLkXZy3GJP0tTQebwlue5ln2au02HJa&#10;aHCgt4Z0V31bBdVRX9zv0ndf5/271gf0J2y9UrPpuFuDiDTGR/jePhoF+UsO/2fSEZ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iFNSxAAAANwAAAAPAAAAAAAAAAAA&#10;AAAAAKECAABkcnMvZG93bnJldi54bWxQSwUGAAAAAAQABAD5AAAAkgMAAAAA&#10;" strokeweight="3pt"/>
                <v:line id="Line 167" o:spid="_x0000_s1056" style="position:absolute;visibility:visible;mso-wrap-style:square" from="2858,6724" to="2858,6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T2ycQAAADcAAAADwAAAGRycy9kb3ducmV2LnhtbESPwWrDMBBE74H+g9hCb4mchIbiRDZp&#10;IeBDL3FCyXGRNraJtTKSGrv9+qpQ6HGYmTfMrpxsL+7kQ+dYwXKRgSDWznTcKDifDvMXECEiG+wd&#10;k4IvClAWD7Md5saNfKR7HRuRIBxyVNDGOORSBt2SxbBwA3Hyrs5bjEn6RhqPY4LbXq6ybCMtdpwW&#10;WhzorSV9qz+tgrrSV/e99rePy+u71gf0R+y8Uk+P034LItIU/8N/7cooWD2v4fdMOgKy+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xPbJxAAAANwAAAAPAAAAAAAAAAAA&#10;AAAAAKECAABkcnMvZG93bnJldi54bWxQSwUGAAAAAAQABAD5AAAAkgMAAAAA&#10;" strokeweight="3pt"/>
                <v:rect id="Rectangle 168" o:spid="_x0000_s1057" style="position:absolute;left:1514;top:6896;width:7991;height:1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oE8QA&#10;AADcAAAADwAAAGRycy9kb3ducmV2LnhtbESPQWvCQBSE74L/YXlCb7qpWFuiq4ggpIcqxtbzI/vM&#10;hmbfhuxG03/fFQSPw8x8wyzXva3FlVpfOVbwOklAEBdOV1wq+D7txh8gfEDWWDsmBX/kYb0aDpaY&#10;anfjI13zUIoIYZ+iAhNCk0rpC0MW/cQ1xNG7uNZiiLItpW7xFuG2ltMkmUuLFccFgw1tDRW/eWcV&#10;vJ93ueb954F//Fc3K7vsYk6ZUi+jfrMAEagPz/CjnWkF07cZ3M/E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HKBPEAAAA3AAAAA8AAAAAAAAAAAAAAAAAmAIAAGRycy9k&#10;b3ducmV2LnhtbFBLBQYAAAAABAAEAPUAAACJAwAAAAA=&#10;" fillcolor="black" stroked="f">
                  <v:fill opacity="24929f"/>
                </v:rect>
                <v:shape id="Picture 169" o:spid="_x0000_s1058" type="#_x0000_t75" style="position:absolute;left:1514;top:6865;width:7991;height:1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zAAXGAAAA3AAAAA8AAABkcnMvZG93bnJldi54bWxEj09rAjEUxO+FfofwCr3VbKX+YTVKEQUv&#10;2nb10N4em+dmcfOyJFFXP30jFHocZuY3zHTe2UacyYfasYLXXgaCuHS65krBfrd6GYMIEVlj45gU&#10;XCnAfPb4MMVcuwt/0bmIlUgQDjkqMDG2uZShNGQx9FxLnLyD8xZjkr6S2uMlwW0j+1k2lBZrTgsG&#10;W1oYKo/FySrYHuwyfIY3cytGfof7n83H90Ir9fzUvU9AROrif/ivvdYK+oMB3M+kIyB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LMABcYAAADcAAAADwAAAAAAAAAAAAAA&#10;AACfAgAAZHJzL2Rvd25yZXYueG1sUEsFBgAAAAAEAAQA9wAAAJIDAAAAAA==&#10;">
                  <v:imagedata r:id="rId33" o:title=""/>
                </v:shape>
                <v:line id="Line 170" o:spid="_x0000_s1059" style="position:absolute;visibility:visible;mso-wrap-style:square" from="7014,9860" to="7099,9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wRFcUAAADcAAAADwAAAGRycy9kb3ducmV2LnhtbESPQWsCMRSE74L/IbyCN81W6Vq2RhFB&#10;aAseqqW9PpLX3cXNy7pJ3ey/b4SCx2FmvmFWm2gbcaXO144VPM4yEMTamZpLBZ+n/fQZhA/IBhvH&#10;pGAgD5v1eLTCwrieP+h6DKVIEPYFKqhCaAspva7Iop+5ljh5P66zGJLsSmk67BPcNnKeZbm0WHNa&#10;qLClXUX6fPy1CnIzxPfLd7bU/dsCdX4evg5xp9TkIW5fQASK4R7+b78aBfOnHG5n0hGQ6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AwRFcUAAADcAAAADwAAAAAAAAAA&#10;AAAAAAChAgAAZHJzL2Rvd25yZXYueG1sUEsFBgAAAAAEAAQA+QAAAJMDAAAAAA==&#10;" strokeweight="1.81pt"/>
                <v:line id="Line 171" o:spid="_x0000_s1060" style="position:absolute;visibility:visible;mso-wrap-style:square" from="7044,9008" to="7069,9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wysQAAADcAAAADwAAAGRycy9kb3ducmV2LnhtbESPT2sCMRTE74LfIbyCN83W0lq2G0UL&#10;godeXEU8PpK3f3DzsiRR1376plDocZiZ3zDFarCduJEPrWMFz7MMBLF2puVawfGwnb6DCBHZYOeY&#10;FDwowGo5HhWYG3fnPd3KWIsE4ZCjgibGPpcy6IYshpnriZNXOW8xJulraTzeE9x2cp5lb9Jiy2mh&#10;wZ4+G9KX8moVlDtdue8XfzmdN19ab9HvsfVKTZ6G9QeISEP8D/+1d0bB/HUBv2fSEZ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KxAAAANwAAAAPAAAAAAAAAAAA&#10;AAAAAKECAABkcnMvZG93bnJldi54bWxQSwUGAAAAAAQABAD5AAAAkgMAAAAA&#10;" strokeweight="3pt"/>
                <v:line id="Line 172" o:spid="_x0000_s1061" style="position:absolute;visibility:visible;mso-wrap-style:square" from="4926,9848" to="4926,9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BkuMEAAADcAAAADwAAAGRycy9kb3ducmV2LnhtbERPy2oCMRTdF/yHcAV3nYyWljI1igrC&#10;LNw4ldLlJbnzwMnNkKTO6Nc3i0KXh/Nebyfbixv50DlWsMxyEMTamY4bBZfP4/M7iBCRDfaOScGd&#10;Amw3s6c1FsaNfKZbFRuRQjgUqKCNcSikDLoliyFzA3HiauctxgR9I43HMYXbXq7y/E1a7Dg1tDjQ&#10;oSV9rX6sgqrUtXu8+OvX9/6k9RH9GTuv1GI+7T5ARJriv/jPXRoFq9e0Np1JR0B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YGS4wQAAANwAAAAPAAAAAAAAAAAAAAAA&#10;AKECAABkcnMvZG93bnJldi54bWxQSwUGAAAAAAQABAD5AAAAjwMAAAAA&#10;" strokeweight="3pt"/>
                <v:line id="Line 173" o:spid="_x0000_s1062" style="position:absolute;visibility:visible;mso-wrap-style:square" from="4926,9811" to="4926,9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zBI8QAAADcAAAADwAAAGRycy9kb3ducmV2LnhtbESPT2sCMRTE74LfIbyCN83W0mK3G0UL&#10;godeXEU8PpK3f3DzsiRR1376plDocZiZ3zDFarCduJEPrWMFz7MMBLF2puVawfGwnS5AhIhssHNM&#10;Ch4UYLUcjwrMjbvznm5lrEWCcMhRQRNjn0sZdEMWw8z1xMmrnLcYk/S1NB7vCW47Oc+yN2mx5bTQ&#10;YE+fDelLebUKyp2u3PeLv5zOmy+tt+j32HqlJk/D+gNEpCH+h//aO6Ng/voOv2fSEZ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LMEjxAAAANwAAAAPAAAAAAAAAAAA&#10;AAAAAKECAABkcnMvZG93bnJldi54bWxQSwUGAAAAAAQABAD5AAAAkgMAAAAA&#10;" strokeweight="3pt"/>
                <v:shape id="AutoShape 174" o:spid="_x0000_s1063" style="position:absolute;left:4913;top:8709;width:1383;height:270;visibility:visible;mso-wrap-style:square;v-text-anchor:top" coordsize="1383,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TdVbsA&#10;AADcAAAADwAAAGRycy9kb3ducmV2LnhtbERPSwrCMBDdC94hjOBGNNWFlmoqIopurR5gaMa2tJmU&#10;JtV6e7MQXD7ef7cfTCNe1LnKsoLlIgJBnFtdcaHgcT/PYxDOI2tsLJOCDznYp+PRDhNt33yjV+YL&#10;EULYJaig9L5NpHR5SQbdwrbEgXvazqAPsCuk7vAdwk0jV1G0lgYrDg0ltnQsKa+z3ijAjc8ox+OM&#10;qwvVM9PHWX+KlZpOhsMWhKfB/8U/91UrWK3D/HAmHAGZfg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JrE3VW7AAAA3AAAAA8AAAAAAAAAAAAAAAAAmAIAAGRycy9kb3ducmV2Lnht&#10;bFBLBQYAAAAABAAEAPUAAACAAwAAAAA=&#10;" path="m1263,135r-135,79l1119,222r-5,10l1113,244r4,11l1125,264r10,5l1147,269r11,-3l1331,165r-8,l1323,161r-15,l1263,135xm1212,105l,105r,60l1212,165r51,-30l1212,105xm1331,105r-8,l1323,165r8,l1383,135r-52,-30xm1308,109r-45,26l1308,161r,-52xm1323,109r-15,l1308,161r15,l1323,109xm1147,r-12,1l1125,6r-8,9l1113,26r1,11l1119,48r9,8l1263,135r45,-26l1323,109r,-4l1331,105,1158,4,1147,xe" fillcolor="black" stroked="f">
                  <v:fill opacity="22873f"/>
                  <v:path arrowok="t" o:connecttype="custom" o:connectlocs="1263,8845;1128,8924;1119,8932;1114,8942;1113,8954;1117,8965;1125,8974;1135,8979;1147,8979;1158,8976;1331,8875;1323,8875;1323,8871;1308,8871;1263,8845;1212,8815;0,8815;0,8875;1212,8875;1263,8845;1212,8815;1331,8815;1323,8815;1323,8875;1331,8875;1383,8845;1331,8815;1308,8819;1263,8845;1308,8871;1308,8819;1323,8819;1308,8819;1308,8871;1323,8871;1323,8819;1147,8710;1135,8711;1125,8716;1117,8725;1113,8736;1114,8747;1119,8758;1128,8766;1263,8845;1308,8819;1323,8819;1323,8815;1331,8815;1158,8714;1147,8710" o:connectangles="0,0,0,0,0,0,0,0,0,0,0,0,0,0,0,0,0,0,0,0,0,0,0,0,0,0,0,0,0,0,0,0,0,0,0,0,0,0,0,0,0,0,0,0,0,0,0,0,0,0,0"/>
                </v:shape>
                <v:shape id="AutoShape 175" o:spid="_x0000_s1064" style="position:absolute;left:4913;top:8673;width:1383;height:270;visibility:visible;mso-wrap-style:square;v-text-anchor:top" coordsize="1383,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lylcUA&#10;AADcAAAADwAAAGRycy9kb3ducmV2LnhtbESPQWsCMRSE7wX/Q3iCF9Gs0oqsRtGCbS89VD14fG6e&#10;m8XNyzZJ3fXfm0Khx2FmvmGW687W4kY+VI4VTMYZCOLC6YpLBcfDbjQHESKyxtoxKbhTgPWq97TE&#10;XLuWv+i2j6VIEA45KjAxNrmUoTBkMYxdQ5y8i/MWY5K+lNpjm+C2ltMsm0mLFacFgw29Giqu+x+r&#10;YOg+zdu5a4bWPZ/88eWy+d6+t0oN+t1mASJSF//Df+0PrWA6m8DvmXQE5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yXKVxQAAANwAAAAPAAAAAAAAAAAAAAAAAJgCAABkcnMv&#10;ZG93bnJldi54bWxQSwUGAAAAAAQABAD1AAAAigMAAAAA&#10;" path="m1263,134r-135,79l1119,221r-5,11l1113,243r4,12l1125,263r10,5l1147,269r11,-4l1331,164r-8,l1323,160r-15,l1263,134xm1212,104l,104r,60l1212,164r51,-30l1212,104xm1331,104r-8,l1323,164r8,l1383,134r-52,-30xm1308,108r-45,26l1308,160r,-52xm1323,108r-15,l1308,160r15,l1323,108xm1147,r-12,l1125,5r-8,9l1113,26r1,11l1119,48r9,7l1263,134r45,-26l1323,108r,-4l1331,104,1158,3,1147,xe" fillcolor="black" stroked="f">
                  <v:path arrowok="t" o:connecttype="custom" o:connectlocs="1263,8808;1128,8887;1119,8895;1114,8906;1113,8917;1117,8929;1125,8937;1135,8942;1147,8943;1158,8939;1331,8838;1323,8838;1323,8834;1308,8834;1263,8808;1212,8778;0,8778;0,8838;1212,8838;1263,8808;1212,8778;1331,8778;1323,8778;1323,8838;1331,8838;1383,8808;1331,8778;1308,8782;1263,8808;1308,8834;1308,8782;1323,8782;1308,8782;1308,8834;1323,8834;1323,8782;1147,8674;1135,8674;1125,8679;1117,8688;1113,8700;1114,8711;1119,8722;1128,8729;1263,8808;1308,8782;1323,8782;1323,8778;1331,8778;1158,8677;1147,8674" o:connectangles="0,0,0,0,0,0,0,0,0,0,0,0,0,0,0,0,0,0,0,0,0,0,0,0,0,0,0,0,0,0,0,0,0,0,0,0,0,0,0,0,0,0,0,0,0,0,0,0,0,0,0"/>
                </v:shape>
                <v:shape id="Picture 176" o:spid="_x0000_s1065" type="#_x0000_t75" style="position:absolute;left:2888;top:4280;width:270;height: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CTGnGAAAA3AAAAA8AAABkcnMvZG93bnJldi54bWxEj09rwkAUxO9Cv8PyCr3VjTlEm7qKCAEp&#10;tP5pL729Zl+T1OzbsLua+O1doeBxmJnfMPPlYFpxJucbywom4wQEcWl1w5WCr8/ieQbCB2SNrWVS&#10;cCEPy8XDaI65tj3v6XwIlYgQ9jkqqEPocil9WZNBP7YdcfR+rTMYonSV1A77CDetTJMkkwYbjgs1&#10;drSuqTweTkbBu7cvp+Ly971N3qaT9CfsPmzTK/X0OKxeQQQawj38395oBWmWwu1MPAJy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AJMacYAAADcAAAADwAAAAAAAAAAAAAA&#10;AACfAgAAZHJzL2Rvd25yZXYueG1sUEsFBgAAAAAEAAQA9wAAAJIDAAAAAA==&#10;">
                  <v:imagedata r:id="rId34" o:title=""/>
                </v:shape>
                <v:shapetype id="_x0000_t202" coordsize="21600,21600" o:spt="202" path="m,l,21600r21600,l21600,xe">
                  <v:stroke joinstyle="miter"/>
                  <v:path gradientshapeok="t" o:connecttype="rect"/>
                </v:shapetype>
                <v:shape id="Text Box 177" o:spid="_x0000_s1066" type="#_x0000_t202" style="position:absolute;left:6371;top:8551;width:1548;height: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pEnsUA&#10;AADcAAAADwAAAGRycy9kb3ducmV2LnhtbESPQWvCQBSE74L/YXmF3nRjiqGkrqKF0phDISqeH9nX&#10;JDT7Nu6umv77bqHQ4zAz3zCrzWh6cSPnO8sKFvMEBHFtdceNgtPxbfYMwgdkjb1lUvBNHjbr6WSF&#10;ubZ3ruh2CI2IEPY5KmhDGHIpfd2SQT+3A3H0Pq0zGKJ0jdQO7xFuepkmSSYNdhwXWhzotaX663A1&#10;Cj4WZTWeXbrTp3Jr35vLcnct9ko9PozbFxCBxvAf/msXWkGaPcHvmXg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ikSexQAAANwAAAAPAAAAAAAAAAAAAAAAAJgCAABkcnMv&#10;ZG93bnJldi54bWxQSwUGAAAAAAQABAD1AAAAigMAAAAA&#10;" filled="f" strokecolor="#f79546" strokeweight="2pt">
                  <v:textbox inset="0,0,0,0">
                    <w:txbxContent>
                      <w:p w:rsidR="00F9369F" w:rsidRDefault="00F9369F" w:rsidP="00E929F2">
                        <w:pPr>
                          <w:spacing w:before="74"/>
                          <w:ind w:left="258"/>
                          <w:rPr>
                            <w:rFonts w:ascii="Cambria"/>
                            <w:b/>
                            <w:sz w:val="20"/>
                          </w:rPr>
                        </w:pPr>
                        <w:r>
                          <w:rPr>
                            <w:rFonts w:ascii="Cambria"/>
                            <w:b/>
                            <w:sz w:val="20"/>
                          </w:rPr>
                          <w:t>Mai</w:t>
                        </w:r>
                        <w:r>
                          <w:rPr>
                            <w:rFonts w:ascii="Cambria"/>
                            <w:b/>
                            <w:spacing w:val="-3"/>
                            <w:sz w:val="20"/>
                          </w:rPr>
                          <w:t xml:space="preserve"> </w:t>
                        </w:r>
                        <w:r>
                          <w:rPr>
                            <w:rFonts w:ascii="Cambria"/>
                            <w:b/>
                            <w:sz w:val="20"/>
                          </w:rPr>
                          <w:t>ridicat</w:t>
                        </w:r>
                      </w:p>
                    </w:txbxContent>
                  </v:textbox>
                </v:shape>
                <v:shape id="Text Box 178" o:spid="_x0000_s1067" type="#_x0000_t202" style="position:absolute;left:2262;top:8551;width:1319;height: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Pc6sUA&#10;AADcAAAADwAAAGRycy9kb3ducmV2LnhtbESPQWvCQBSE74L/YXmF3nRjqKGkrqKF0phDISqeH9nX&#10;JDT7Nu6umv77bqHQ4zAz3zCrzWh6cSPnO8sKFvMEBHFtdceNgtPxbfYMwgdkjb1lUvBNHjbr6WSF&#10;ubZ3ruh2CI2IEPY5KmhDGHIpfd2SQT+3A3H0Pq0zGKJ0jdQO7xFuepkmSSYNdhwXWhzotaX663A1&#10;Cj4WZTWeXbrTp3Jr35vLcnct9ko9PozbFxCBxvAf/msXWkGaPcHvmXg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Y9zqxQAAANwAAAAPAAAAAAAAAAAAAAAAAJgCAABkcnMv&#10;ZG93bnJldi54bWxQSwUGAAAAAAQABAD1AAAAigMAAAAA&#10;" filled="f" strokecolor="#f79546" strokeweight="2pt">
                  <v:textbox inset="0,0,0,0">
                    <w:txbxContent>
                      <w:p w:rsidR="00F9369F" w:rsidRDefault="00F9369F" w:rsidP="00E929F2">
                        <w:pPr>
                          <w:spacing w:before="74"/>
                          <w:ind w:left="156"/>
                          <w:rPr>
                            <w:rFonts w:ascii="Cambria" w:hAnsi="Cambria"/>
                            <w:b/>
                            <w:sz w:val="20"/>
                          </w:rPr>
                        </w:pPr>
                        <w:r>
                          <w:rPr>
                            <w:rFonts w:ascii="Cambria" w:hAnsi="Cambria"/>
                            <w:b/>
                            <w:sz w:val="20"/>
                          </w:rPr>
                          <w:t>Mai</w:t>
                        </w:r>
                        <w:r>
                          <w:rPr>
                            <w:rFonts w:ascii="Cambria" w:hAnsi="Cambria"/>
                            <w:b/>
                            <w:spacing w:val="-2"/>
                            <w:sz w:val="20"/>
                          </w:rPr>
                          <w:t xml:space="preserve"> </w:t>
                        </w:r>
                        <w:r>
                          <w:rPr>
                            <w:rFonts w:ascii="Cambria" w:hAnsi="Cambria"/>
                            <w:b/>
                            <w:sz w:val="20"/>
                          </w:rPr>
                          <w:t>scăzut</w:t>
                        </w:r>
                      </w:p>
                    </w:txbxContent>
                  </v:textbox>
                </v:shape>
                <v:shape id="Text Box 179" o:spid="_x0000_s1068" type="#_x0000_t202" style="position:absolute;left:1514;top:6865;width:7991;height:1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yjQ8QA&#10;AADcAAAADwAAAGRycy9kb3ducmV2LnhtbESP3WrCQBSE7wXfYTmF3umm0voTXUUCQikUatoHOGSP&#10;yWr2bMgeNX37bqHQy2FmvmE2u8G36kZ9dIENPE0zUMRVsI5rA1+fh8kSVBRki21gMvBNEXbb8WiD&#10;uQ13PtKtlFolCMccDTQiXa51rBryGKehI07eKfQeJcm+1rbHe4L7Vs+ybK49Ok4LDXZUNFRdyqs3&#10;IEMm+LZyq6Juz7L4eC5w+e6MeXwY9mtQQoP8h//ar9bAbP4Cv2fSEd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8o0PEAAAA3AAAAA8AAAAAAAAAAAAAAAAAmAIAAGRycy9k&#10;b3ducmV2LnhtbFBLBQYAAAAABAAEAPUAAACJAwAAAAA=&#10;" filled="f" strokecolor="#93b64e">
                  <v:textbox inset="0,0,0,0">
                    <w:txbxContent>
                      <w:p w:rsidR="00F9369F" w:rsidRDefault="00F9369F" w:rsidP="00E929F2">
                        <w:pPr>
                          <w:spacing w:before="70"/>
                          <w:ind w:left="144"/>
                          <w:rPr>
                            <w:rFonts w:ascii="Cambria" w:hAnsi="Cambria"/>
                            <w:b/>
                            <w:sz w:val="18"/>
                          </w:rPr>
                        </w:pPr>
                        <w:r>
                          <w:rPr>
                            <w:rFonts w:ascii="Cambria" w:hAnsi="Cambria"/>
                            <w:b/>
                            <w:sz w:val="18"/>
                          </w:rPr>
                          <w:t>Parametrii</w:t>
                        </w:r>
                        <w:r>
                          <w:rPr>
                            <w:rFonts w:ascii="Cambria" w:hAnsi="Cambria"/>
                            <w:b/>
                            <w:spacing w:val="-6"/>
                            <w:sz w:val="18"/>
                          </w:rPr>
                          <w:t xml:space="preserve"> </w:t>
                        </w:r>
                        <w:r>
                          <w:rPr>
                            <w:rFonts w:ascii="Cambria" w:hAnsi="Cambria"/>
                            <w:b/>
                            <w:sz w:val="18"/>
                          </w:rPr>
                          <w:t>privind</w:t>
                        </w:r>
                        <w:r>
                          <w:rPr>
                            <w:rFonts w:ascii="Cambria" w:hAnsi="Cambria"/>
                            <w:b/>
                            <w:spacing w:val="-5"/>
                            <w:sz w:val="18"/>
                          </w:rPr>
                          <w:t xml:space="preserve"> </w:t>
                        </w:r>
                        <w:r>
                          <w:rPr>
                            <w:rFonts w:ascii="Cambria" w:hAnsi="Cambria"/>
                            <w:b/>
                            <w:sz w:val="18"/>
                          </w:rPr>
                          <w:t>fiecare</w:t>
                        </w:r>
                        <w:r>
                          <w:rPr>
                            <w:rFonts w:ascii="Cambria" w:hAnsi="Cambria"/>
                            <w:b/>
                            <w:spacing w:val="-5"/>
                            <w:sz w:val="18"/>
                          </w:rPr>
                          <w:t xml:space="preserve"> </w:t>
                        </w:r>
                        <w:r>
                          <w:rPr>
                            <w:rFonts w:ascii="Cambria" w:hAnsi="Cambria"/>
                            <w:b/>
                            <w:sz w:val="18"/>
                          </w:rPr>
                          <w:t>habitat:</w:t>
                        </w:r>
                        <w:r>
                          <w:rPr>
                            <w:rFonts w:ascii="Cambria" w:hAnsi="Cambria"/>
                            <w:b/>
                            <w:spacing w:val="-2"/>
                            <w:sz w:val="18"/>
                          </w:rPr>
                          <w:t xml:space="preserve"> </w:t>
                        </w:r>
                        <w:r>
                          <w:rPr>
                            <w:rFonts w:ascii="Cambria" w:hAnsi="Cambria"/>
                            <w:b/>
                            <w:sz w:val="18"/>
                          </w:rPr>
                          <w:t>-</w:t>
                        </w:r>
                        <w:r>
                          <w:rPr>
                            <w:rFonts w:ascii="Cambria" w:hAnsi="Cambria"/>
                            <w:b/>
                            <w:spacing w:val="-4"/>
                            <w:sz w:val="18"/>
                          </w:rPr>
                          <w:t xml:space="preserve"> </w:t>
                        </w:r>
                        <w:r>
                          <w:rPr>
                            <w:rFonts w:ascii="Cambria" w:hAnsi="Cambria"/>
                            <w:b/>
                            <w:sz w:val="18"/>
                          </w:rPr>
                          <w:t>suprafața</w:t>
                        </w:r>
                        <w:r>
                          <w:rPr>
                            <w:rFonts w:ascii="Cambria" w:hAnsi="Cambria"/>
                            <w:b/>
                            <w:spacing w:val="-5"/>
                            <w:sz w:val="18"/>
                          </w:rPr>
                          <w:t xml:space="preserve"> </w:t>
                        </w:r>
                        <w:r>
                          <w:rPr>
                            <w:rFonts w:ascii="Cambria" w:hAnsi="Cambria"/>
                            <w:b/>
                            <w:sz w:val="18"/>
                          </w:rPr>
                          <w:t>habitatului</w:t>
                        </w:r>
                      </w:p>
                      <w:p w:rsidR="00F9369F" w:rsidRDefault="00F9369F" w:rsidP="009E63E5">
                        <w:pPr>
                          <w:widowControl w:val="0"/>
                          <w:numPr>
                            <w:ilvl w:val="0"/>
                            <w:numId w:val="178"/>
                          </w:numPr>
                          <w:tabs>
                            <w:tab w:val="left" w:pos="4094"/>
                          </w:tabs>
                          <w:autoSpaceDE w:val="0"/>
                          <w:autoSpaceDN w:val="0"/>
                          <w:spacing w:before="1"/>
                          <w:rPr>
                            <w:rFonts w:ascii="Cambria" w:hAnsi="Cambria"/>
                            <w:b/>
                            <w:sz w:val="18"/>
                          </w:rPr>
                        </w:pPr>
                        <w:r>
                          <w:rPr>
                            <w:rFonts w:ascii="Cambria" w:hAnsi="Cambria"/>
                            <w:b/>
                            <w:sz w:val="18"/>
                          </w:rPr>
                          <w:t>compoziția</w:t>
                        </w:r>
                        <w:r>
                          <w:rPr>
                            <w:rFonts w:ascii="Cambria" w:hAnsi="Cambria"/>
                            <w:b/>
                            <w:spacing w:val="-5"/>
                            <w:sz w:val="18"/>
                          </w:rPr>
                          <w:t xml:space="preserve"> </w:t>
                        </w:r>
                        <w:r>
                          <w:rPr>
                            <w:rFonts w:ascii="Cambria" w:hAnsi="Cambria"/>
                            <w:b/>
                            <w:sz w:val="18"/>
                          </w:rPr>
                          <w:t>speciilor</w:t>
                        </w:r>
                      </w:p>
                      <w:p w:rsidR="00F9369F" w:rsidRDefault="00F9369F" w:rsidP="009E63E5">
                        <w:pPr>
                          <w:widowControl w:val="0"/>
                          <w:numPr>
                            <w:ilvl w:val="0"/>
                            <w:numId w:val="178"/>
                          </w:numPr>
                          <w:tabs>
                            <w:tab w:val="left" w:pos="4094"/>
                          </w:tabs>
                          <w:autoSpaceDE w:val="0"/>
                          <w:autoSpaceDN w:val="0"/>
                          <w:rPr>
                            <w:rFonts w:ascii="Cambria" w:hAnsi="Cambria"/>
                            <w:b/>
                            <w:sz w:val="18"/>
                          </w:rPr>
                        </w:pPr>
                        <w:r>
                          <w:rPr>
                            <w:rFonts w:ascii="Cambria" w:hAnsi="Cambria"/>
                            <w:b/>
                            <w:sz w:val="18"/>
                          </w:rPr>
                          <w:t>structură</w:t>
                        </w:r>
                        <w:r>
                          <w:rPr>
                            <w:rFonts w:ascii="Cambria" w:hAnsi="Cambria"/>
                            <w:b/>
                            <w:spacing w:val="-4"/>
                            <w:sz w:val="18"/>
                          </w:rPr>
                          <w:t xml:space="preserve"> </w:t>
                        </w:r>
                        <w:r>
                          <w:rPr>
                            <w:rFonts w:ascii="Cambria" w:hAnsi="Cambria"/>
                            <w:b/>
                            <w:sz w:val="18"/>
                          </w:rPr>
                          <w:t>și</w:t>
                        </w:r>
                        <w:r>
                          <w:rPr>
                            <w:rFonts w:ascii="Cambria" w:hAnsi="Cambria"/>
                            <w:b/>
                            <w:spacing w:val="-4"/>
                            <w:sz w:val="18"/>
                          </w:rPr>
                          <w:t xml:space="preserve"> </w:t>
                        </w:r>
                        <w:r>
                          <w:rPr>
                            <w:rFonts w:ascii="Cambria" w:hAnsi="Cambria"/>
                            <w:b/>
                            <w:sz w:val="18"/>
                          </w:rPr>
                          <w:t>funcții</w:t>
                        </w:r>
                      </w:p>
                      <w:p w:rsidR="00F9369F" w:rsidRDefault="00F9369F" w:rsidP="009E63E5">
                        <w:pPr>
                          <w:widowControl w:val="0"/>
                          <w:numPr>
                            <w:ilvl w:val="0"/>
                            <w:numId w:val="178"/>
                          </w:numPr>
                          <w:tabs>
                            <w:tab w:val="left" w:pos="4094"/>
                          </w:tabs>
                          <w:autoSpaceDE w:val="0"/>
                          <w:autoSpaceDN w:val="0"/>
                          <w:spacing w:before="17"/>
                          <w:rPr>
                            <w:rFonts w:ascii="Cambria" w:hAnsi="Cambria"/>
                            <w:b/>
                            <w:sz w:val="18"/>
                          </w:rPr>
                        </w:pPr>
                        <w:r>
                          <w:rPr>
                            <w:rFonts w:ascii="Cambria" w:hAnsi="Cambria"/>
                            <w:b/>
                            <w:sz w:val="18"/>
                          </w:rPr>
                          <w:t>presiunile</w:t>
                        </w:r>
                        <w:r>
                          <w:rPr>
                            <w:rFonts w:ascii="Cambria" w:hAnsi="Cambria"/>
                            <w:b/>
                            <w:spacing w:val="-7"/>
                            <w:sz w:val="18"/>
                          </w:rPr>
                          <w:t xml:space="preserve"> </w:t>
                        </w:r>
                        <w:r>
                          <w:rPr>
                            <w:rFonts w:ascii="Cambria" w:hAnsi="Cambria"/>
                            <w:b/>
                            <w:sz w:val="18"/>
                          </w:rPr>
                          <w:t>și</w:t>
                        </w:r>
                        <w:r>
                          <w:rPr>
                            <w:rFonts w:ascii="Cambria" w:hAnsi="Cambria"/>
                            <w:b/>
                            <w:spacing w:val="-4"/>
                            <w:sz w:val="18"/>
                          </w:rPr>
                          <w:t xml:space="preserve"> </w:t>
                        </w:r>
                        <w:r>
                          <w:rPr>
                            <w:rFonts w:ascii="Cambria" w:hAnsi="Cambria"/>
                            <w:b/>
                            <w:sz w:val="18"/>
                          </w:rPr>
                          <w:t>amenințările</w:t>
                        </w:r>
                      </w:p>
                      <w:p w:rsidR="00F9369F" w:rsidRDefault="00F9369F" w:rsidP="009E63E5">
                        <w:pPr>
                          <w:widowControl w:val="0"/>
                          <w:numPr>
                            <w:ilvl w:val="0"/>
                            <w:numId w:val="178"/>
                          </w:numPr>
                          <w:tabs>
                            <w:tab w:val="left" w:pos="4094"/>
                          </w:tabs>
                          <w:autoSpaceDE w:val="0"/>
                          <w:autoSpaceDN w:val="0"/>
                          <w:spacing w:before="17"/>
                          <w:rPr>
                            <w:rFonts w:ascii="Cambria"/>
                            <w:b/>
                            <w:sz w:val="18"/>
                          </w:rPr>
                        </w:pPr>
                        <w:r>
                          <w:rPr>
                            <w:rFonts w:ascii="Cambria"/>
                            <w:b/>
                            <w:sz w:val="18"/>
                          </w:rPr>
                          <w:t>starea</w:t>
                        </w:r>
                        <w:r>
                          <w:rPr>
                            <w:rFonts w:ascii="Cambria"/>
                            <w:b/>
                            <w:spacing w:val="-2"/>
                            <w:sz w:val="18"/>
                          </w:rPr>
                          <w:t xml:space="preserve"> </w:t>
                        </w:r>
                        <w:r>
                          <w:rPr>
                            <w:rFonts w:ascii="Cambria"/>
                            <w:b/>
                            <w:sz w:val="18"/>
                          </w:rPr>
                          <w:t>de</w:t>
                        </w:r>
                        <w:r>
                          <w:rPr>
                            <w:rFonts w:ascii="Cambria"/>
                            <w:b/>
                            <w:spacing w:val="-2"/>
                            <w:sz w:val="18"/>
                          </w:rPr>
                          <w:t xml:space="preserve"> </w:t>
                        </w:r>
                        <w:r>
                          <w:rPr>
                            <w:rFonts w:ascii="Cambria"/>
                            <w:b/>
                            <w:sz w:val="18"/>
                          </w:rPr>
                          <w:t>conservare</w:t>
                        </w:r>
                      </w:p>
                    </w:txbxContent>
                  </v:textbox>
                </v:shape>
                <v:shape id="Text Box 180" o:spid="_x0000_s1069" type="#_x0000_t202" style="position:absolute;left:5941;top:5235;width:3564;height: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6hWsUA&#10;AADcAAAADwAAAGRycy9kb3ducmV2LnhtbESPT4vCMBTE7wt+h/AEL4um66FINYqICx5kWf+hx0fz&#10;bEqbl9JEW7/9ZmFhj8PM/IZZrHpbiye1vnSs4GOSgCDOnS65UHA+fY5nIHxA1lg7JgUv8rBaDt4W&#10;mGnX8YGex1CICGGfoQITQpNJ6XNDFv3ENcTRu7vWYoiyLaRusYtwW8tpkqTSYslxwWBDG0N5dXxY&#10;BdWX+T5c95tb/i6pKrpLcp29tkqNhv16DiJQH/7Df+2dVjBNU/g9E4+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7qFaxQAAANwAAAAPAAAAAAAAAAAAAAAAAJgCAABkcnMv&#10;ZG93bnJldi54bWxQSwUGAAAAAAQABAD1AAAAigMAAAAA&#10;" filled="f">
                  <v:textbox inset="0,0,0,0">
                    <w:txbxContent>
                      <w:p w:rsidR="00F9369F" w:rsidRDefault="00F9369F" w:rsidP="00E929F2">
                        <w:pPr>
                          <w:spacing w:before="44" w:line="276" w:lineRule="auto"/>
                          <w:ind w:left="388" w:right="384" w:hanging="1"/>
                          <w:jc w:val="center"/>
                          <w:rPr>
                            <w:rFonts w:ascii="Cambria" w:hAnsi="Cambria"/>
                            <w:b/>
                            <w:sz w:val="20"/>
                          </w:rPr>
                        </w:pPr>
                        <w:r>
                          <w:rPr>
                            <w:rFonts w:ascii="Cambria" w:hAnsi="Cambria"/>
                            <w:b/>
                            <w:sz w:val="20"/>
                          </w:rPr>
                          <w:t>Limitele selectate pentru a</w:t>
                        </w:r>
                        <w:r>
                          <w:rPr>
                            <w:rFonts w:ascii="Cambria" w:hAnsi="Cambria"/>
                            <w:b/>
                            <w:spacing w:val="1"/>
                            <w:sz w:val="20"/>
                          </w:rPr>
                          <w:t xml:space="preserve"> </w:t>
                        </w:r>
                        <w:r>
                          <w:rPr>
                            <w:rFonts w:ascii="Cambria" w:hAnsi="Cambria"/>
                            <w:b/>
                            <w:sz w:val="20"/>
                          </w:rPr>
                          <w:t>satisface</w:t>
                        </w:r>
                        <w:r>
                          <w:rPr>
                            <w:rFonts w:ascii="Cambria" w:hAnsi="Cambria"/>
                            <w:b/>
                            <w:spacing w:val="-8"/>
                            <w:sz w:val="20"/>
                          </w:rPr>
                          <w:t xml:space="preserve"> </w:t>
                        </w:r>
                        <w:r>
                          <w:rPr>
                            <w:rFonts w:ascii="Cambria" w:hAnsi="Cambria"/>
                            <w:b/>
                            <w:sz w:val="20"/>
                          </w:rPr>
                          <w:t>nevoilor</w:t>
                        </w:r>
                        <w:r>
                          <w:rPr>
                            <w:rFonts w:ascii="Cambria" w:hAnsi="Cambria"/>
                            <w:b/>
                            <w:spacing w:val="-6"/>
                            <w:sz w:val="20"/>
                          </w:rPr>
                          <w:t xml:space="preserve"> </w:t>
                        </w:r>
                        <w:r>
                          <w:rPr>
                            <w:rFonts w:ascii="Cambria" w:hAnsi="Cambria"/>
                            <w:b/>
                            <w:sz w:val="20"/>
                          </w:rPr>
                          <w:t>obiectivelor</w:t>
                        </w:r>
                        <w:r>
                          <w:rPr>
                            <w:rFonts w:ascii="Cambria" w:hAnsi="Cambria"/>
                            <w:b/>
                            <w:spacing w:val="-41"/>
                            <w:sz w:val="20"/>
                          </w:rPr>
                          <w:t xml:space="preserve"> </w:t>
                        </w:r>
                        <w:r>
                          <w:rPr>
                            <w:rFonts w:ascii="Cambria" w:hAnsi="Cambria"/>
                            <w:b/>
                            <w:sz w:val="20"/>
                          </w:rPr>
                          <w:t>monitorizării</w:t>
                        </w:r>
                      </w:p>
                    </w:txbxContent>
                  </v:textbox>
                </v:shape>
                <v:shape id="Text Box 181" o:spid="_x0000_s1070" type="#_x0000_t202" style="position:absolute;left:3023;top:5235;width:2651;height: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0M3cAA&#10;AADcAAAADwAAAGRycy9kb3ducmV2LnhtbERPzWrCQBC+F/oOyxR6q5tKsRpdpQSEIggafYAhOyar&#10;2dmQHTV9e/cg9Pjx/S9Wg2/VjfroAhv4HGWgiKtgHdcGjof1xxRUFGSLbWAy8EcRVsvXlwXmNtx5&#10;T7dSapVCOOZooBHpcq1j1ZDHOAodceJOofcoCfa1tj3eU7hv9TjLJtqj49TQYEdFQ9WlvHoDMmSC&#10;m5mbFXV7lu/dV4HTrTPm/W34mYMSGuRf/HT/WgPjSVqbzqQjoJ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30M3cAAAADcAAAADwAAAAAAAAAAAAAAAACYAgAAZHJzL2Rvd25y&#10;ZXYueG1sUEsFBgAAAAAEAAQA9QAAAIUDAAAAAA==&#10;" filled="f" strokecolor="#93b64e">
                  <v:textbox inset="0,0,0,0">
                    <w:txbxContent>
                      <w:p w:rsidR="00F9369F" w:rsidRDefault="00F9369F" w:rsidP="00E929F2">
                        <w:pPr>
                          <w:spacing w:before="90" w:line="276" w:lineRule="auto"/>
                          <w:ind w:left="209" w:right="210"/>
                          <w:jc w:val="center"/>
                          <w:rPr>
                            <w:rFonts w:ascii="Cambria" w:hAnsi="Cambria"/>
                            <w:b/>
                            <w:sz w:val="20"/>
                          </w:rPr>
                        </w:pPr>
                        <w:r>
                          <w:rPr>
                            <w:rFonts w:ascii="Cambria" w:hAnsi="Cambria"/>
                            <w:b/>
                            <w:sz w:val="20"/>
                          </w:rPr>
                          <w:t>Limitele</w:t>
                        </w:r>
                        <w:r>
                          <w:rPr>
                            <w:rFonts w:ascii="Cambria" w:hAnsi="Cambria"/>
                            <w:b/>
                            <w:spacing w:val="-5"/>
                            <w:sz w:val="20"/>
                          </w:rPr>
                          <w:t xml:space="preserve"> </w:t>
                        </w:r>
                        <w:r>
                          <w:rPr>
                            <w:rFonts w:ascii="Cambria" w:hAnsi="Cambria"/>
                            <w:b/>
                            <w:sz w:val="20"/>
                          </w:rPr>
                          <w:t>ajustate</w:t>
                        </w:r>
                        <w:r>
                          <w:rPr>
                            <w:rFonts w:ascii="Cambria" w:hAnsi="Cambria"/>
                            <w:b/>
                            <w:spacing w:val="-7"/>
                            <w:sz w:val="20"/>
                          </w:rPr>
                          <w:t xml:space="preserve"> </w:t>
                        </w:r>
                        <w:r>
                          <w:rPr>
                            <w:rFonts w:ascii="Cambria" w:hAnsi="Cambria"/>
                            <w:b/>
                            <w:sz w:val="20"/>
                          </w:rPr>
                          <w:t>pentru</w:t>
                        </w:r>
                        <w:r>
                          <w:rPr>
                            <w:rFonts w:ascii="Cambria" w:hAnsi="Cambria"/>
                            <w:b/>
                            <w:spacing w:val="-41"/>
                            <w:sz w:val="20"/>
                          </w:rPr>
                          <w:t xml:space="preserve"> </w:t>
                        </w:r>
                        <w:r>
                          <w:rPr>
                            <w:rFonts w:ascii="Cambria" w:hAnsi="Cambria"/>
                            <w:b/>
                            <w:sz w:val="20"/>
                          </w:rPr>
                          <w:t>a</w:t>
                        </w:r>
                        <w:r>
                          <w:rPr>
                            <w:rFonts w:ascii="Cambria" w:hAnsi="Cambria"/>
                            <w:b/>
                            <w:spacing w:val="-3"/>
                            <w:sz w:val="20"/>
                          </w:rPr>
                          <w:t xml:space="preserve"> </w:t>
                        </w:r>
                        <w:r>
                          <w:rPr>
                            <w:rFonts w:ascii="Cambria" w:hAnsi="Cambria"/>
                            <w:b/>
                            <w:sz w:val="20"/>
                          </w:rPr>
                          <w:t>răspunde</w:t>
                        </w:r>
                      </w:p>
                      <w:p w:rsidR="00F9369F" w:rsidRDefault="00F9369F" w:rsidP="00E929F2">
                        <w:pPr>
                          <w:spacing w:before="1"/>
                          <w:ind w:left="209" w:right="207"/>
                          <w:jc w:val="center"/>
                          <w:rPr>
                            <w:rFonts w:ascii="Cambria" w:hAnsi="Cambria"/>
                            <w:b/>
                            <w:sz w:val="20"/>
                          </w:rPr>
                        </w:pPr>
                        <w:r>
                          <w:rPr>
                            <w:rFonts w:ascii="Cambria" w:hAnsi="Cambria"/>
                            <w:b/>
                            <w:sz w:val="20"/>
                          </w:rPr>
                          <w:t>considerațiilor</w:t>
                        </w:r>
                      </w:p>
                    </w:txbxContent>
                  </v:textbox>
                </v:shape>
                <v:shape id="Text Box 182" o:spid="_x0000_s1071" type="#_x0000_t202" style="position:absolute;left:1621;top:5235;width:1262;height: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YvVccA&#10;AADcAAAADwAAAGRycy9kb3ducmV2LnhtbESPQWvCQBSE70L/w/IK3nTTKFrSbKQUREGQaktpb4/s&#10;axLMvk2za4z++q4geBxm5hsmXfSmFh21rrKs4GkcgSDOra64UPD5sRw9g3AeWWNtmRScycEiexik&#10;mGh74h11e1+IAGGXoILS+yaR0uUlGXRj2xAH79e2Bn2QbSF1i6cAN7WMo2gmDVYcFkps6K2k/LA/&#10;GgW7v8Nxc4mrn1W3+TK8ff/eTi9TpYaP/esLCE+9v4dv7bVWEM8ncD0TjoDM/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2L1XHAAAA3AAAAA8AAAAAAAAAAAAAAAAAmAIAAGRy&#10;cy9kb3ducmV2LnhtbFBLBQYAAAAABAAEAPUAAACMAwAAAAA=&#10;" filled="f" strokecolor="#795d9b">
                  <v:textbox inset="0,0,0,0">
                    <w:txbxContent>
                      <w:p w:rsidR="00F9369F" w:rsidRDefault="00F9369F" w:rsidP="00E929F2">
                        <w:pPr>
                          <w:spacing w:before="68" w:line="276" w:lineRule="auto"/>
                          <w:ind w:left="193" w:firstLine="48"/>
                          <w:rPr>
                            <w:rFonts w:ascii="Cambria"/>
                            <w:b/>
                            <w:sz w:val="20"/>
                          </w:rPr>
                        </w:pPr>
                        <w:r>
                          <w:rPr>
                            <w:rFonts w:ascii="Cambria"/>
                            <w:b/>
                            <w:sz w:val="20"/>
                          </w:rPr>
                          <w:t>Limitele</w:t>
                        </w:r>
                        <w:r>
                          <w:rPr>
                            <w:rFonts w:ascii="Cambria"/>
                            <w:b/>
                            <w:spacing w:val="1"/>
                            <w:sz w:val="20"/>
                          </w:rPr>
                          <w:t xml:space="preserve"> </w:t>
                        </w:r>
                        <w:r>
                          <w:rPr>
                            <w:rFonts w:ascii="Cambria"/>
                            <w:b/>
                            <w:w w:val="95"/>
                            <w:sz w:val="20"/>
                          </w:rPr>
                          <w:t>ecologice</w:t>
                        </w:r>
                      </w:p>
                    </w:txbxContent>
                  </v:textbox>
                </v:shape>
                <w10:wrap anchorx="page"/>
              </v:group>
            </w:pict>
          </mc:Fallback>
        </mc:AlternateContent>
      </w:r>
      <w:r w:rsidRPr="00E929F2">
        <w:rPr>
          <w:noProof/>
          <w:lang w:val="en-US"/>
        </w:rPr>
        <mc:AlternateContent>
          <mc:Choice Requires="wpg">
            <w:drawing>
              <wp:anchor distT="0" distB="0" distL="114300" distR="114300" simplePos="0" relativeHeight="251665408" behindDoc="1" locked="0" layoutInCell="1" allowOverlap="1" wp14:anchorId="1A331332" wp14:editId="34742E12">
                <wp:simplePos x="0" y="0"/>
                <wp:positionH relativeFrom="page">
                  <wp:posOffset>990600</wp:posOffset>
                </wp:positionH>
                <wp:positionV relativeFrom="paragraph">
                  <wp:posOffset>583565</wp:posOffset>
                </wp:positionV>
                <wp:extent cx="5023485" cy="1209675"/>
                <wp:effectExtent l="0" t="1905" r="5715" b="7620"/>
                <wp:wrapNone/>
                <wp:docPr id="277"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3485" cy="1209675"/>
                          <a:chOff x="1560" y="919"/>
                          <a:chExt cx="7911" cy="1905"/>
                        </a:xfrm>
                      </wpg:grpSpPr>
                      <wps:wsp>
                        <wps:cNvPr id="278" name="Rectangle 184"/>
                        <wps:cNvSpPr>
                          <a:spLocks noChangeArrowheads="1"/>
                        </wps:cNvSpPr>
                        <wps:spPr bwMode="auto">
                          <a:xfrm>
                            <a:off x="4770" y="1478"/>
                            <a:ext cx="4671" cy="817"/>
                          </a:xfrm>
                          <a:prstGeom prst="rect">
                            <a:avLst/>
                          </a:prstGeom>
                          <a:solidFill>
                            <a:srgbClr val="000000">
                              <a:alpha val="3803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79" name="Picture 18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4770" y="1447"/>
                            <a:ext cx="4671" cy="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 name="Rectangle 186"/>
                        <wps:cNvSpPr>
                          <a:spLocks noChangeArrowheads="1"/>
                        </wps:cNvSpPr>
                        <wps:spPr bwMode="auto">
                          <a:xfrm>
                            <a:off x="4770" y="1447"/>
                            <a:ext cx="4671" cy="817"/>
                          </a:xfrm>
                          <a:prstGeom prst="rect">
                            <a:avLst/>
                          </a:prstGeom>
                          <a:noFill/>
                          <a:ln w="9525">
                            <a:solidFill>
                              <a:srgbClr val="4579B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AutoShape 187"/>
                        <wps:cNvSpPr>
                          <a:spLocks/>
                        </wps:cNvSpPr>
                        <wps:spPr bwMode="auto">
                          <a:xfrm>
                            <a:off x="6947" y="2300"/>
                            <a:ext cx="270" cy="524"/>
                          </a:xfrm>
                          <a:custGeom>
                            <a:avLst/>
                            <a:gdLst>
                              <a:gd name="T0" fmla="+- 0 6974 6948"/>
                              <a:gd name="T1" fmla="*/ T0 w 270"/>
                              <a:gd name="T2" fmla="+- 0 2555 2301"/>
                              <a:gd name="T3" fmla="*/ 2555 h 524"/>
                              <a:gd name="T4" fmla="+- 0 6962 6948"/>
                              <a:gd name="T5" fmla="*/ T4 w 270"/>
                              <a:gd name="T6" fmla="+- 0 2559 2301"/>
                              <a:gd name="T7" fmla="*/ 2559 h 524"/>
                              <a:gd name="T8" fmla="+- 0 6953 6948"/>
                              <a:gd name="T9" fmla="*/ T8 w 270"/>
                              <a:gd name="T10" fmla="+- 0 2567 2301"/>
                              <a:gd name="T11" fmla="*/ 2567 h 524"/>
                              <a:gd name="T12" fmla="+- 0 6948 6948"/>
                              <a:gd name="T13" fmla="*/ T12 w 270"/>
                              <a:gd name="T14" fmla="+- 0 2577 2301"/>
                              <a:gd name="T15" fmla="*/ 2577 h 524"/>
                              <a:gd name="T16" fmla="+- 0 6948 6948"/>
                              <a:gd name="T17" fmla="*/ T16 w 270"/>
                              <a:gd name="T18" fmla="+- 0 2589 2301"/>
                              <a:gd name="T19" fmla="*/ 2589 h 524"/>
                              <a:gd name="T20" fmla="+- 0 6952 6948"/>
                              <a:gd name="T21" fmla="*/ T20 w 270"/>
                              <a:gd name="T22" fmla="+- 0 2600 2301"/>
                              <a:gd name="T23" fmla="*/ 2600 h 524"/>
                              <a:gd name="T24" fmla="+- 0 7083 6948"/>
                              <a:gd name="T25" fmla="*/ T24 w 270"/>
                              <a:gd name="T26" fmla="+- 0 2824 2301"/>
                              <a:gd name="T27" fmla="*/ 2824 h 524"/>
                              <a:gd name="T28" fmla="+- 0 7118 6948"/>
                              <a:gd name="T29" fmla="*/ T28 w 270"/>
                              <a:gd name="T30" fmla="+- 0 2765 2301"/>
                              <a:gd name="T31" fmla="*/ 2765 h 524"/>
                              <a:gd name="T32" fmla="+- 0 7053 6948"/>
                              <a:gd name="T33" fmla="*/ T32 w 270"/>
                              <a:gd name="T34" fmla="+- 0 2765 2301"/>
                              <a:gd name="T35" fmla="*/ 2765 h 524"/>
                              <a:gd name="T36" fmla="+- 0 7053 6948"/>
                              <a:gd name="T37" fmla="*/ T36 w 270"/>
                              <a:gd name="T38" fmla="+- 0 2654 2301"/>
                              <a:gd name="T39" fmla="*/ 2654 h 524"/>
                              <a:gd name="T40" fmla="+- 0 7003 6948"/>
                              <a:gd name="T41" fmla="*/ T40 w 270"/>
                              <a:gd name="T42" fmla="+- 0 2570 2301"/>
                              <a:gd name="T43" fmla="*/ 2570 h 524"/>
                              <a:gd name="T44" fmla="+- 0 6995 6948"/>
                              <a:gd name="T45" fmla="*/ T44 w 270"/>
                              <a:gd name="T46" fmla="+- 0 2561 2301"/>
                              <a:gd name="T47" fmla="*/ 2561 h 524"/>
                              <a:gd name="T48" fmla="+- 0 6985 6948"/>
                              <a:gd name="T49" fmla="*/ T48 w 270"/>
                              <a:gd name="T50" fmla="+- 0 2556 2301"/>
                              <a:gd name="T51" fmla="*/ 2556 h 524"/>
                              <a:gd name="T52" fmla="+- 0 6974 6948"/>
                              <a:gd name="T53" fmla="*/ T52 w 270"/>
                              <a:gd name="T54" fmla="+- 0 2555 2301"/>
                              <a:gd name="T55" fmla="*/ 2555 h 524"/>
                              <a:gd name="T56" fmla="+- 0 7053 6948"/>
                              <a:gd name="T57" fmla="*/ T56 w 270"/>
                              <a:gd name="T58" fmla="+- 0 2654 2301"/>
                              <a:gd name="T59" fmla="*/ 2654 h 524"/>
                              <a:gd name="T60" fmla="+- 0 7053 6948"/>
                              <a:gd name="T61" fmla="*/ T60 w 270"/>
                              <a:gd name="T62" fmla="+- 0 2765 2301"/>
                              <a:gd name="T63" fmla="*/ 2765 h 524"/>
                              <a:gd name="T64" fmla="+- 0 7113 6948"/>
                              <a:gd name="T65" fmla="*/ T64 w 270"/>
                              <a:gd name="T66" fmla="+- 0 2765 2301"/>
                              <a:gd name="T67" fmla="*/ 2765 h 524"/>
                              <a:gd name="T68" fmla="+- 0 7113 6948"/>
                              <a:gd name="T69" fmla="*/ T68 w 270"/>
                              <a:gd name="T70" fmla="+- 0 2750 2301"/>
                              <a:gd name="T71" fmla="*/ 2750 h 524"/>
                              <a:gd name="T72" fmla="+- 0 7057 6948"/>
                              <a:gd name="T73" fmla="*/ T72 w 270"/>
                              <a:gd name="T74" fmla="+- 0 2750 2301"/>
                              <a:gd name="T75" fmla="*/ 2750 h 524"/>
                              <a:gd name="T76" fmla="+- 0 7083 6948"/>
                              <a:gd name="T77" fmla="*/ T76 w 270"/>
                              <a:gd name="T78" fmla="+- 0 2705 2301"/>
                              <a:gd name="T79" fmla="*/ 2705 h 524"/>
                              <a:gd name="T80" fmla="+- 0 7053 6948"/>
                              <a:gd name="T81" fmla="*/ T80 w 270"/>
                              <a:gd name="T82" fmla="+- 0 2654 2301"/>
                              <a:gd name="T83" fmla="*/ 2654 h 524"/>
                              <a:gd name="T84" fmla="+- 0 7191 6948"/>
                              <a:gd name="T85" fmla="*/ T84 w 270"/>
                              <a:gd name="T86" fmla="+- 0 2555 2301"/>
                              <a:gd name="T87" fmla="*/ 2555 h 524"/>
                              <a:gd name="T88" fmla="+- 0 7180 6948"/>
                              <a:gd name="T89" fmla="*/ T88 w 270"/>
                              <a:gd name="T90" fmla="+- 0 2555 2301"/>
                              <a:gd name="T91" fmla="*/ 2555 h 524"/>
                              <a:gd name="T92" fmla="+- 0 7170 6948"/>
                              <a:gd name="T93" fmla="*/ T92 w 270"/>
                              <a:gd name="T94" fmla="+- 0 2561 2301"/>
                              <a:gd name="T95" fmla="*/ 2561 h 524"/>
                              <a:gd name="T96" fmla="+- 0 7162 6948"/>
                              <a:gd name="T97" fmla="*/ T96 w 270"/>
                              <a:gd name="T98" fmla="+- 0 2569 2301"/>
                              <a:gd name="T99" fmla="*/ 2569 h 524"/>
                              <a:gd name="T100" fmla="+- 0 7113 6948"/>
                              <a:gd name="T101" fmla="*/ T100 w 270"/>
                              <a:gd name="T102" fmla="+- 0 2654 2301"/>
                              <a:gd name="T103" fmla="*/ 2654 h 524"/>
                              <a:gd name="T104" fmla="+- 0 7113 6948"/>
                              <a:gd name="T105" fmla="*/ T104 w 270"/>
                              <a:gd name="T106" fmla="+- 0 2765 2301"/>
                              <a:gd name="T107" fmla="*/ 2765 h 524"/>
                              <a:gd name="T108" fmla="+- 0 7118 6948"/>
                              <a:gd name="T109" fmla="*/ T108 w 270"/>
                              <a:gd name="T110" fmla="+- 0 2765 2301"/>
                              <a:gd name="T111" fmla="*/ 2765 h 524"/>
                              <a:gd name="T112" fmla="+- 0 7213 6948"/>
                              <a:gd name="T113" fmla="*/ T112 w 270"/>
                              <a:gd name="T114" fmla="+- 0 2599 2301"/>
                              <a:gd name="T115" fmla="*/ 2599 h 524"/>
                              <a:gd name="T116" fmla="+- 0 7217 6948"/>
                              <a:gd name="T117" fmla="*/ T116 w 270"/>
                              <a:gd name="T118" fmla="+- 0 2588 2301"/>
                              <a:gd name="T119" fmla="*/ 2588 h 524"/>
                              <a:gd name="T120" fmla="+- 0 7217 6948"/>
                              <a:gd name="T121" fmla="*/ T120 w 270"/>
                              <a:gd name="T122" fmla="+- 0 2577 2301"/>
                              <a:gd name="T123" fmla="*/ 2577 h 524"/>
                              <a:gd name="T124" fmla="+- 0 7212 6948"/>
                              <a:gd name="T125" fmla="*/ T124 w 270"/>
                              <a:gd name="T126" fmla="+- 0 2566 2301"/>
                              <a:gd name="T127" fmla="*/ 2566 h 524"/>
                              <a:gd name="T128" fmla="+- 0 7203 6948"/>
                              <a:gd name="T129" fmla="*/ T128 w 270"/>
                              <a:gd name="T130" fmla="+- 0 2558 2301"/>
                              <a:gd name="T131" fmla="*/ 2558 h 524"/>
                              <a:gd name="T132" fmla="+- 0 7191 6948"/>
                              <a:gd name="T133" fmla="*/ T132 w 270"/>
                              <a:gd name="T134" fmla="+- 0 2555 2301"/>
                              <a:gd name="T135" fmla="*/ 2555 h 524"/>
                              <a:gd name="T136" fmla="+- 0 7083 6948"/>
                              <a:gd name="T137" fmla="*/ T136 w 270"/>
                              <a:gd name="T138" fmla="+- 0 2705 2301"/>
                              <a:gd name="T139" fmla="*/ 2705 h 524"/>
                              <a:gd name="T140" fmla="+- 0 7057 6948"/>
                              <a:gd name="T141" fmla="*/ T140 w 270"/>
                              <a:gd name="T142" fmla="+- 0 2750 2301"/>
                              <a:gd name="T143" fmla="*/ 2750 h 524"/>
                              <a:gd name="T144" fmla="+- 0 7109 6948"/>
                              <a:gd name="T145" fmla="*/ T144 w 270"/>
                              <a:gd name="T146" fmla="+- 0 2749 2301"/>
                              <a:gd name="T147" fmla="*/ 2749 h 524"/>
                              <a:gd name="T148" fmla="+- 0 7083 6948"/>
                              <a:gd name="T149" fmla="*/ T148 w 270"/>
                              <a:gd name="T150" fmla="+- 0 2705 2301"/>
                              <a:gd name="T151" fmla="*/ 2705 h 524"/>
                              <a:gd name="T152" fmla="+- 0 7113 6948"/>
                              <a:gd name="T153" fmla="*/ T152 w 270"/>
                              <a:gd name="T154" fmla="+- 0 2654 2301"/>
                              <a:gd name="T155" fmla="*/ 2654 h 524"/>
                              <a:gd name="T156" fmla="+- 0 7083 6948"/>
                              <a:gd name="T157" fmla="*/ T156 w 270"/>
                              <a:gd name="T158" fmla="+- 0 2705 2301"/>
                              <a:gd name="T159" fmla="*/ 2705 h 524"/>
                              <a:gd name="T160" fmla="+- 0 7109 6948"/>
                              <a:gd name="T161" fmla="*/ T160 w 270"/>
                              <a:gd name="T162" fmla="+- 0 2749 2301"/>
                              <a:gd name="T163" fmla="*/ 2749 h 524"/>
                              <a:gd name="T164" fmla="+- 0 7057 6948"/>
                              <a:gd name="T165" fmla="*/ T164 w 270"/>
                              <a:gd name="T166" fmla="+- 0 2750 2301"/>
                              <a:gd name="T167" fmla="*/ 2750 h 524"/>
                              <a:gd name="T168" fmla="+- 0 7113 6948"/>
                              <a:gd name="T169" fmla="*/ T168 w 270"/>
                              <a:gd name="T170" fmla="+- 0 2750 2301"/>
                              <a:gd name="T171" fmla="*/ 2750 h 524"/>
                              <a:gd name="T172" fmla="+- 0 7113 6948"/>
                              <a:gd name="T173" fmla="*/ T172 w 270"/>
                              <a:gd name="T174" fmla="+- 0 2654 2301"/>
                              <a:gd name="T175" fmla="*/ 2654 h 524"/>
                              <a:gd name="T176" fmla="+- 0 7112 6948"/>
                              <a:gd name="T177" fmla="*/ T176 w 270"/>
                              <a:gd name="T178" fmla="+- 0 2301 2301"/>
                              <a:gd name="T179" fmla="*/ 2301 h 524"/>
                              <a:gd name="T180" fmla="+- 0 7052 6948"/>
                              <a:gd name="T181" fmla="*/ T180 w 270"/>
                              <a:gd name="T182" fmla="+- 0 2301 2301"/>
                              <a:gd name="T183" fmla="*/ 2301 h 524"/>
                              <a:gd name="T184" fmla="+- 0 7053 6948"/>
                              <a:gd name="T185" fmla="*/ T184 w 270"/>
                              <a:gd name="T186" fmla="+- 0 2654 2301"/>
                              <a:gd name="T187" fmla="*/ 2654 h 524"/>
                              <a:gd name="T188" fmla="+- 0 7083 6948"/>
                              <a:gd name="T189" fmla="*/ T188 w 270"/>
                              <a:gd name="T190" fmla="+- 0 2705 2301"/>
                              <a:gd name="T191" fmla="*/ 2705 h 524"/>
                              <a:gd name="T192" fmla="+- 0 7113 6948"/>
                              <a:gd name="T193" fmla="*/ T192 w 270"/>
                              <a:gd name="T194" fmla="+- 0 2654 2301"/>
                              <a:gd name="T195" fmla="*/ 2654 h 524"/>
                              <a:gd name="T196" fmla="+- 0 7112 6948"/>
                              <a:gd name="T197" fmla="*/ T196 w 270"/>
                              <a:gd name="T198" fmla="+- 0 2301 2301"/>
                              <a:gd name="T199" fmla="*/ 2301 h 5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70" h="524">
                                <a:moveTo>
                                  <a:pt x="26" y="254"/>
                                </a:moveTo>
                                <a:lnTo>
                                  <a:pt x="14" y="258"/>
                                </a:lnTo>
                                <a:lnTo>
                                  <a:pt x="5" y="266"/>
                                </a:lnTo>
                                <a:lnTo>
                                  <a:pt x="0" y="276"/>
                                </a:lnTo>
                                <a:lnTo>
                                  <a:pt x="0" y="288"/>
                                </a:lnTo>
                                <a:lnTo>
                                  <a:pt x="4" y="299"/>
                                </a:lnTo>
                                <a:lnTo>
                                  <a:pt x="135" y="523"/>
                                </a:lnTo>
                                <a:lnTo>
                                  <a:pt x="170" y="464"/>
                                </a:lnTo>
                                <a:lnTo>
                                  <a:pt x="105" y="464"/>
                                </a:lnTo>
                                <a:lnTo>
                                  <a:pt x="105" y="353"/>
                                </a:lnTo>
                                <a:lnTo>
                                  <a:pt x="55" y="269"/>
                                </a:lnTo>
                                <a:lnTo>
                                  <a:pt x="47" y="260"/>
                                </a:lnTo>
                                <a:lnTo>
                                  <a:pt x="37" y="255"/>
                                </a:lnTo>
                                <a:lnTo>
                                  <a:pt x="26" y="254"/>
                                </a:lnTo>
                                <a:close/>
                                <a:moveTo>
                                  <a:pt x="105" y="353"/>
                                </a:moveTo>
                                <a:lnTo>
                                  <a:pt x="105" y="464"/>
                                </a:lnTo>
                                <a:lnTo>
                                  <a:pt x="165" y="464"/>
                                </a:lnTo>
                                <a:lnTo>
                                  <a:pt x="165" y="449"/>
                                </a:lnTo>
                                <a:lnTo>
                                  <a:pt x="109" y="449"/>
                                </a:lnTo>
                                <a:lnTo>
                                  <a:pt x="135" y="404"/>
                                </a:lnTo>
                                <a:lnTo>
                                  <a:pt x="105" y="353"/>
                                </a:lnTo>
                                <a:close/>
                                <a:moveTo>
                                  <a:pt x="243" y="254"/>
                                </a:moveTo>
                                <a:lnTo>
                                  <a:pt x="232" y="254"/>
                                </a:lnTo>
                                <a:lnTo>
                                  <a:pt x="222" y="260"/>
                                </a:lnTo>
                                <a:lnTo>
                                  <a:pt x="214" y="268"/>
                                </a:lnTo>
                                <a:lnTo>
                                  <a:pt x="165" y="353"/>
                                </a:lnTo>
                                <a:lnTo>
                                  <a:pt x="165" y="464"/>
                                </a:lnTo>
                                <a:lnTo>
                                  <a:pt x="170" y="464"/>
                                </a:lnTo>
                                <a:lnTo>
                                  <a:pt x="265" y="298"/>
                                </a:lnTo>
                                <a:lnTo>
                                  <a:pt x="269" y="287"/>
                                </a:lnTo>
                                <a:lnTo>
                                  <a:pt x="269" y="276"/>
                                </a:lnTo>
                                <a:lnTo>
                                  <a:pt x="264" y="265"/>
                                </a:lnTo>
                                <a:lnTo>
                                  <a:pt x="255" y="257"/>
                                </a:lnTo>
                                <a:lnTo>
                                  <a:pt x="243" y="254"/>
                                </a:lnTo>
                                <a:close/>
                                <a:moveTo>
                                  <a:pt x="135" y="404"/>
                                </a:moveTo>
                                <a:lnTo>
                                  <a:pt x="109" y="449"/>
                                </a:lnTo>
                                <a:lnTo>
                                  <a:pt x="161" y="448"/>
                                </a:lnTo>
                                <a:lnTo>
                                  <a:pt x="135" y="404"/>
                                </a:lnTo>
                                <a:close/>
                                <a:moveTo>
                                  <a:pt x="165" y="353"/>
                                </a:moveTo>
                                <a:lnTo>
                                  <a:pt x="135" y="404"/>
                                </a:lnTo>
                                <a:lnTo>
                                  <a:pt x="161" y="448"/>
                                </a:lnTo>
                                <a:lnTo>
                                  <a:pt x="109" y="449"/>
                                </a:lnTo>
                                <a:lnTo>
                                  <a:pt x="165" y="449"/>
                                </a:lnTo>
                                <a:lnTo>
                                  <a:pt x="165" y="353"/>
                                </a:lnTo>
                                <a:close/>
                                <a:moveTo>
                                  <a:pt x="164" y="0"/>
                                </a:moveTo>
                                <a:lnTo>
                                  <a:pt x="104" y="0"/>
                                </a:lnTo>
                                <a:lnTo>
                                  <a:pt x="105" y="353"/>
                                </a:lnTo>
                                <a:lnTo>
                                  <a:pt x="135" y="404"/>
                                </a:lnTo>
                                <a:lnTo>
                                  <a:pt x="165" y="353"/>
                                </a:lnTo>
                                <a:lnTo>
                                  <a:pt x="164" y="0"/>
                                </a:lnTo>
                                <a:close/>
                              </a:path>
                            </a:pathLst>
                          </a:custGeom>
                          <a:solidFill>
                            <a:srgbClr val="000000">
                              <a:alpha val="3490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AutoShape 188"/>
                        <wps:cNvSpPr>
                          <a:spLocks/>
                        </wps:cNvSpPr>
                        <wps:spPr bwMode="auto">
                          <a:xfrm>
                            <a:off x="6947" y="2264"/>
                            <a:ext cx="270" cy="524"/>
                          </a:xfrm>
                          <a:custGeom>
                            <a:avLst/>
                            <a:gdLst>
                              <a:gd name="T0" fmla="+- 0 6974 6948"/>
                              <a:gd name="T1" fmla="*/ T0 w 270"/>
                              <a:gd name="T2" fmla="+- 0 2519 2264"/>
                              <a:gd name="T3" fmla="*/ 2519 h 524"/>
                              <a:gd name="T4" fmla="+- 0 6962 6948"/>
                              <a:gd name="T5" fmla="*/ T4 w 270"/>
                              <a:gd name="T6" fmla="+- 0 2523 2264"/>
                              <a:gd name="T7" fmla="*/ 2523 h 524"/>
                              <a:gd name="T8" fmla="+- 0 6953 6948"/>
                              <a:gd name="T9" fmla="*/ T8 w 270"/>
                              <a:gd name="T10" fmla="+- 0 2531 2264"/>
                              <a:gd name="T11" fmla="*/ 2531 h 524"/>
                              <a:gd name="T12" fmla="+- 0 6948 6948"/>
                              <a:gd name="T13" fmla="*/ T12 w 270"/>
                              <a:gd name="T14" fmla="+- 0 2541 2264"/>
                              <a:gd name="T15" fmla="*/ 2541 h 524"/>
                              <a:gd name="T16" fmla="+- 0 6948 6948"/>
                              <a:gd name="T17" fmla="*/ T16 w 270"/>
                              <a:gd name="T18" fmla="+- 0 2553 2264"/>
                              <a:gd name="T19" fmla="*/ 2553 h 524"/>
                              <a:gd name="T20" fmla="+- 0 6952 6948"/>
                              <a:gd name="T21" fmla="*/ T20 w 270"/>
                              <a:gd name="T22" fmla="+- 0 2564 2264"/>
                              <a:gd name="T23" fmla="*/ 2564 h 524"/>
                              <a:gd name="T24" fmla="+- 0 7083 6948"/>
                              <a:gd name="T25" fmla="*/ T24 w 270"/>
                              <a:gd name="T26" fmla="+- 0 2788 2264"/>
                              <a:gd name="T27" fmla="*/ 2788 h 524"/>
                              <a:gd name="T28" fmla="+- 0 7118 6948"/>
                              <a:gd name="T29" fmla="*/ T28 w 270"/>
                              <a:gd name="T30" fmla="+- 0 2728 2264"/>
                              <a:gd name="T31" fmla="*/ 2728 h 524"/>
                              <a:gd name="T32" fmla="+- 0 7053 6948"/>
                              <a:gd name="T33" fmla="*/ T32 w 270"/>
                              <a:gd name="T34" fmla="+- 0 2728 2264"/>
                              <a:gd name="T35" fmla="*/ 2728 h 524"/>
                              <a:gd name="T36" fmla="+- 0 7053 6948"/>
                              <a:gd name="T37" fmla="*/ T36 w 270"/>
                              <a:gd name="T38" fmla="+- 0 2617 2264"/>
                              <a:gd name="T39" fmla="*/ 2617 h 524"/>
                              <a:gd name="T40" fmla="+- 0 7003 6948"/>
                              <a:gd name="T41" fmla="*/ T40 w 270"/>
                              <a:gd name="T42" fmla="+- 0 2533 2264"/>
                              <a:gd name="T43" fmla="*/ 2533 h 524"/>
                              <a:gd name="T44" fmla="+- 0 6995 6948"/>
                              <a:gd name="T45" fmla="*/ T44 w 270"/>
                              <a:gd name="T46" fmla="+- 0 2525 2264"/>
                              <a:gd name="T47" fmla="*/ 2525 h 524"/>
                              <a:gd name="T48" fmla="+- 0 6985 6948"/>
                              <a:gd name="T49" fmla="*/ T48 w 270"/>
                              <a:gd name="T50" fmla="+- 0 2520 2264"/>
                              <a:gd name="T51" fmla="*/ 2520 h 524"/>
                              <a:gd name="T52" fmla="+- 0 6974 6948"/>
                              <a:gd name="T53" fmla="*/ T52 w 270"/>
                              <a:gd name="T54" fmla="+- 0 2519 2264"/>
                              <a:gd name="T55" fmla="*/ 2519 h 524"/>
                              <a:gd name="T56" fmla="+- 0 7053 6948"/>
                              <a:gd name="T57" fmla="*/ T56 w 270"/>
                              <a:gd name="T58" fmla="+- 0 2617 2264"/>
                              <a:gd name="T59" fmla="*/ 2617 h 524"/>
                              <a:gd name="T60" fmla="+- 0 7053 6948"/>
                              <a:gd name="T61" fmla="*/ T60 w 270"/>
                              <a:gd name="T62" fmla="+- 0 2728 2264"/>
                              <a:gd name="T63" fmla="*/ 2728 h 524"/>
                              <a:gd name="T64" fmla="+- 0 7113 6948"/>
                              <a:gd name="T65" fmla="*/ T64 w 270"/>
                              <a:gd name="T66" fmla="+- 0 2728 2264"/>
                              <a:gd name="T67" fmla="*/ 2728 h 524"/>
                              <a:gd name="T68" fmla="+- 0 7113 6948"/>
                              <a:gd name="T69" fmla="*/ T68 w 270"/>
                              <a:gd name="T70" fmla="+- 0 2713 2264"/>
                              <a:gd name="T71" fmla="*/ 2713 h 524"/>
                              <a:gd name="T72" fmla="+- 0 7057 6948"/>
                              <a:gd name="T73" fmla="*/ T72 w 270"/>
                              <a:gd name="T74" fmla="+- 0 2713 2264"/>
                              <a:gd name="T75" fmla="*/ 2713 h 524"/>
                              <a:gd name="T76" fmla="+- 0 7083 6948"/>
                              <a:gd name="T77" fmla="*/ T76 w 270"/>
                              <a:gd name="T78" fmla="+- 0 2669 2264"/>
                              <a:gd name="T79" fmla="*/ 2669 h 524"/>
                              <a:gd name="T80" fmla="+- 0 7053 6948"/>
                              <a:gd name="T81" fmla="*/ T80 w 270"/>
                              <a:gd name="T82" fmla="+- 0 2617 2264"/>
                              <a:gd name="T83" fmla="*/ 2617 h 524"/>
                              <a:gd name="T84" fmla="+- 0 7191 6948"/>
                              <a:gd name="T85" fmla="*/ T84 w 270"/>
                              <a:gd name="T86" fmla="+- 0 2518 2264"/>
                              <a:gd name="T87" fmla="*/ 2518 h 524"/>
                              <a:gd name="T88" fmla="+- 0 7180 6948"/>
                              <a:gd name="T89" fmla="*/ T88 w 270"/>
                              <a:gd name="T90" fmla="+- 0 2519 2264"/>
                              <a:gd name="T91" fmla="*/ 2519 h 524"/>
                              <a:gd name="T92" fmla="+- 0 7170 6948"/>
                              <a:gd name="T93" fmla="*/ T92 w 270"/>
                              <a:gd name="T94" fmla="+- 0 2524 2264"/>
                              <a:gd name="T95" fmla="*/ 2524 h 524"/>
                              <a:gd name="T96" fmla="+- 0 7162 6948"/>
                              <a:gd name="T97" fmla="*/ T96 w 270"/>
                              <a:gd name="T98" fmla="+- 0 2533 2264"/>
                              <a:gd name="T99" fmla="*/ 2533 h 524"/>
                              <a:gd name="T100" fmla="+- 0 7113 6948"/>
                              <a:gd name="T101" fmla="*/ T100 w 270"/>
                              <a:gd name="T102" fmla="+- 0 2617 2264"/>
                              <a:gd name="T103" fmla="*/ 2617 h 524"/>
                              <a:gd name="T104" fmla="+- 0 7113 6948"/>
                              <a:gd name="T105" fmla="*/ T104 w 270"/>
                              <a:gd name="T106" fmla="+- 0 2728 2264"/>
                              <a:gd name="T107" fmla="*/ 2728 h 524"/>
                              <a:gd name="T108" fmla="+- 0 7118 6948"/>
                              <a:gd name="T109" fmla="*/ T108 w 270"/>
                              <a:gd name="T110" fmla="+- 0 2728 2264"/>
                              <a:gd name="T111" fmla="*/ 2728 h 524"/>
                              <a:gd name="T112" fmla="+- 0 7213 6948"/>
                              <a:gd name="T113" fmla="*/ T112 w 270"/>
                              <a:gd name="T114" fmla="+- 0 2563 2264"/>
                              <a:gd name="T115" fmla="*/ 2563 h 524"/>
                              <a:gd name="T116" fmla="+- 0 7217 6948"/>
                              <a:gd name="T117" fmla="*/ T116 w 270"/>
                              <a:gd name="T118" fmla="+- 0 2552 2264"/>
                              <a:gd name="T119" fmla="*/ 2552 h 524"/>
                              <a:gd name="T120" fmla="+- 0 7217 6948"/>
                              <a:gd name="T121" fmla="*/ T120 w 270"/>
                              <a:gd name="T122" fmla="+- 0 2541 2264"/>
                              <a:gd name="T123" fmla="*/ 2541 h 524"/>
                              <a:gd name="T124" fmla="+- 0 7212 6948"/>
                              <a:gd name="T125" fmla="*/ T124 w 270"/>
                              <a:gd name="T126" fmla="+- 0 2530 2264"/>
                              <a:gd name="T127" fmla="*/ 2530 h 524"/>
                              <a:gd name="T128" fmla="+- 0 7203 6948"/>
                              <a:gd name="T129" fmla="*/ T128 w 270"/>
                              <a:gd name="T130" fmla="+- 0 2522 2264"/>
                              <a:gd name="T131" fmla="*/ 2522 h 524"/>
                              <a:gd name="T132" fmla="+- 0 7191 6948"/>
                              <a:gd name="T133" fmla="*/ T132 w 270"/>
                              <a:gd name="T134" fmla="+- 0 2518 2264"/>
                              <a:gd name="T135" fmla="*/ 2518 h 524"/>
                              <a:gd name="T136" fmla="+- 0 7083 6948"/>
                              <a:gd name="T137" fmla="*/ T136 w 270"/>
                              <a:gd name="T138" fmla="+- 0 2669 2264"/>
                              <a:gd name="T139" fmla="*/ 2669 h 524"/>
                              <a:gd name="T140" fmla="+- 0 7057 6948"/>
                              <a:gd name="T141" fmla="*/ T140 w 270"/>
                              <a:gd name="T142" fmla="+- 0 2713 2264"/>
                              <a:gd name="T143" fmla="*/ 2713 h 524"/>
                              <a:gd name="T144" fmla="+- 0 7109 6948"/>
                              <a:gd name="T145" fmla="*/ T144 w 270"/>
                              <a:gd name="T146" fmla="+- 0 2713 2264"/>
                              <a:gd name="T147" fmla="*/ 2713 h 524"/>
                              <a:gd name="T148" fmla="+- 0 7083 6948"/>
                              <a:gd name="T149" fmla="*/ T148 w 270"/>
                              <a:gd name="T150" fmla="+- 0 2669 2264"/>
                              <a:gd name="T151" fmla="*/ 2669 h 524"/>
                              <a:gd name="T152" fmla="+- 0 7113 6948"/>
                              <a:gd name="T153" fmla="*/ T152 w 270"/>
                              <a:gd name="T154" fmla="+- 0 2618 2264"/>
                              <a:gd name="T155" fmla="*/ 2618 h 524"/>
                              <a:gd name="T156" fmla="+- 0 7083 6948"/>
                              <a:gd name="T157" fmla="*/ T156 w 270"/>
                              <a:gd name="T158" fmla="+- 0 2669 2264"/>
                              <a:gd name="T159" fmla="*/ 2669 h 524"/>
                              <a:gd name="T160" fmla="+- 0 7109 6948"/>
                              <a:gd name="T161" fmla="*/ T160 w 270"/>
                              <a:gd name="T162" fmla="+- 0 2713 2264"/>
                              <a:gd name="T163" fmla="*/ 2713 h 524"/>
                              <a:gd name="T164" fmla="+- 0 7057 6948"/>
                              <a:gd name="T165" fmla="*/ T164 w 270"/>
                              <a:gd name="T166" fmla="+- 0 2713 2264"/>
                              <a:gd name="T167" fmla="*/ 2713 h 524"/>
                              <a:gd name="T168" fmla="+- 0 7113 6948"/>
                              <a:gd name="T169" fmla="*/ T168 w 270"/>
                              <a:gd name="T170" fmla="+- 0 2713 2264"/>
                              <a:gd name="T171" fmla="*/ 2713 h 524"/>
                              <a:gd name="T172" fmla="+- 0 7113 6948"/>
                              <a:gd name="T173" fmla="*/ T172 w 270"/>
                              <a:gd name="T174" fmla="+- 0 2618 2264"/>
                              <a:gd name="T175" fmla="*/ 2618 h 524"/>
                              <a:gd name="T176" fmla="+- 0 7112 6948"/>
                              <a:gd name="T177" fmla="*/ T176 w 270"/>
                              <a:gd name="T178" fmla="+- 0 2264 2264"/>
                              <a:gd name="T179" fmla="*/ 2264 h 524"/>
                              <a:gd name="T180" fmla="+- 0 7052 6948"/>
                              <a:gd name="T181" fmla="*/ T180 w 270"/>
                              <a:gd name="T182" fmla="+- 0 2264 2264"/>
                              <a:gd name="T183" fmla="*/ 2264 h 524"/>
                              <a:gd name="T184" fmla="+- 0 7053 6948"/>
                              <a:gd name="T185" fmla="*/ T184 w 270"/>
                              <a:gd name="T186" fmla="+- 0 2617 2264"/>
                              <a:gd name="T187" fmla="*/ 2617 h 524"/>
                              <a:gd name="T188" fmla="+- 0 7083 6948"/>
                              <a:gd name="T189" fmla="*/ T188 w 270"/>
                              <a:gd name="T190" fmla="+- 0 2669 2264"/>
                              <a:gd name="T191" fmla="*/ 2669 h 524"/>
                              <a:gd name="T192" fmla="+- 0 7113 6948"/>
                              <a:gd name="T193" fmla="*/ T192 w 270"/>
                              <a:gd name="T194" fmla="+- 0 2618 2264"/>
                              <a:gd name="T195" fmla="*/ 2618 h 524"/>
                              <a:gd name="T196" fmla="+- 0 7112 6948"/>
                              <a:gd name="T197" fmla="*/ T196 w 270"/>
                              <a:gd name="T198" fmla="+- 0 2264 2264"/>
                              <a:gd name="T199" fmla="*/ 2264 h 5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70" h="524">
                                <a:moveTo>
                                  <a:pt x="26" y="255"/>
                                </a:moveTo>
                                <a:lnTo>
                                  <a:pt x="14" y="259"/>
                                </a:lnTo>
                                <a:lnTo>
                                  <a:pt x="5" y="267"/>
                                </a:lnTo>
                                <a:lnTo>
                                  <a:pt x="0" y="277"/>
                                </a:lnTo>
                                <a:lnTo>
                                  <a:pt x="0" y="289"/>
                                </a:lnTo>
                                <a:lnTo>
                                  <a:pt x="4" y="300"/>
                                </a:lnTo>
                                <a:lnTo>
                                  <a:pt x="135" y="524"/>
                                </a:lnTo>
                                <a:lnTo>
                                  <a:pt x="170" y="464"/>
                                </a:lnTo>
                                <a:lnTo>
                                  <a:pt x="105" y="464"/>
                                </a:lnTo>
                                <a:lnTo>
                                  <a:pt x="105" y="353"/>
                                </a:lnTo>
                                <a:lnTo>
                                  <a:pt x="55" y="269"/>
                                </a:lnTo>
                                <a:lnTo>
                                  <a:pt x="47" y="261"/>
                                </a:lnTo>
                                <a:lnTo>
                                  <a:pt x="37" y="256"/>
                                </a:lnTo>
                                <a:lnTo>
                                  <a:pt x="26" y="255"/>
                                </a:lnTo>
                                <a:close/>
                                <a:moveTo>
                                  <a:pt x="105" y="353"/>
                                </a:moveTo>
                                <a:lnTo>
                                  <a:pt x="105" y="464"/>
                                </a:lnTo>
                                <a:lnTo>
                                  <a:pt x="165" y="464"/>
                                </a:lnTo>
                                <a:lnTo>
                                  <a:pt x="165" y="449"/>
                                </a:lnTo>
                                <a:lnTo>
                                  <a:pt x="109" y="449"/>
                                </a:lnTo>
                                <a:lnTo>
                                  <a:pt x="135" y="405"/>
                                </a:lnTo>
                                <a:lnTo>
                                  <a:pt x="105" y="353"/>
                                </a:lnTo>
                                <a:close/>
                                <a:moveTo>
                                  <a:pt x="243" y="254"/>
                                </a:moveTo>
                                <a:lnTo>
                                  <a:pt x="232" y="255"/>
                                </a:lnTo>
                                <a:lnTo>
                                  <a:pt x="222" y="260"/>
                                </a:lnTo>
                                <a:lnTo>
                                  <a:pt x="214" y="269"/>
                                </a:lnTo>
                                <a:lnTo>
                                  <a:pt x="165" y="353"/>
                                </a:lnTo>
                                <a:lnTo>
                                  <a:pt x="165" y="464"/>
                                </a:lnTo>
                                <a:lnTo>
                                  <a:pt x="170" y="464"/>
                                </a:lnTo>
                                <a:lnTo>
                                  <a:pt x="265" y="299"/>
                                </a:lnTo>
                                <a:lnTo>
                                  <a:pt x="269" y="288"/>
                                </a:lnTo>
                                <a:lnTo>
                                  <a:pt x="269" y="277"/>
                                </a:lnTo>
                                <a:lnTo>
                                  <a:pt x="264" y="266"/>
                                </a:lnTo>
                                <a:lnTo>
                                  <a:pt x="255" y="258"/>
                                </a:lnTo>
                                <a:lnTo>
                                  <a:pt x="243" y="254"/>
                                </a:lnTo>
                                <a:close/>
                                <a:moveTo>
                                  <a:pt x="135" y="405"/>
                                </a:moveTo>
                                <a:lnTo>
                                  <a:pt x="109" y="449"/>
                                </a:lnTo>
                                <a:lnTo>
                                  <a:pt x="161" y="449"/>
                                </a:lnTo>
                                <a:lnTo>
                                  <a:pt x="135" y="405"/>
                                </a:lnTo>
                                <a:close/>
                                <a:moveTo>
                                  <a:pt x="165" y="354"/>
                                </a:moveTo>
                                <a:lnTo>
                                  <a:pt x="135" y="405"/>
                                </a:lnTo>
                                <a:lnTo>
                                  <a:pt x="161" y="449"/>
                                </a:lnTo>
                                <a:lnTo>
                                  <a:pt x="109" y="449"/>
                                </a:lnTo>
                                <a:lnTo>
                                  <a:pt x="165" y="449"/>
                                </a:lnTo>
                                <a:lnTo>
                                  <a:pt x="165" y="354"/>
                                </a:lnTo>
                                <a:close/>
                                <a:moveTo>
                                  <a:pt x="164" y="0"/>
                                </a:moveTo>
                                <a:lnTo>
                                  <a:pt x="104" y="0"/>
                                </a:lnTo>
                                <a:lnTo>
                                  <a:pt x="105" y="353"/>
                                </a:lnTo>
                                <a:lnTo>
                                  <a:pt x="135" y="405"/>
                                </a:lnTo>
                                <a:lnTo>
                                  <a:pt x="165" y="354"/>
                                </a:lnTo>
                                <a:lnTo>
                                  <a:pt x="16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Freeform 189"/>
                        <wps:cNvSpPr>
                          <a:spLocks/>
                        </wps:cNvSpPr>
                        <wps:spPr bwMode="auto">
                          <a:xfrm>
                            <a:off x="1560" y="980"/>
                            <a:ext cx="7911" cy="421"/>
                          </a:xfrm>
                          <a:custGeom>
                            <a:avLst/>
                            <a:gdLst>
                              <a:gd name="T0" fmla="+- 0 9471 1560"/>
                              <a:gd name="T1" fmla="*/ T0 w 7911"/>
                              <a:gd name="T2" fmla="+- 0 981 981"/>
                              <a:gd name="T3" fmla="*/ 981 h 421"/>
                              <a:gd name="T4" fmla="+- 0 9441 1560"/>
                              <a:gd name="T5" fmla="*/ T4 w 7911"/>
                              <a:gd name="T6" fmla="+- 0 981 981"/>
                              <a:gd name="T7" fmla="*/ 981 h 421"/>
                              <a:gd name="T8" fmla="+- 0 9441 1560"/>
                              <a:gd name="T9" fmla="*/ T8 w 7911"/>
                              <a:gd name="T10" fmla="+- 0 1341 981"/>
                              <a:gd name="T11" fmla="*/ 1341 h 421"/>
                              <a:gd name="T12" fmla="+- 0 1590 1560"/>
                              <a:gd name="T13" fmla="*/ T12 w 7911"/>
                              <a:gd name="T14" fmla="+- 0 1341 981"/>
                              <a:gd name="T15" fmla="*/ 1341 h 421"/>
                              <a:gd name="T16" fmla="+- 0 1590 1560"/>
                              <a:gd name="T17" fmla="*/ T16 w 7911"/>
                              <a:gd name="T18" fmla="+- 0 981 981"/>
                              <a:gd name="T19" fmla="*/ 981 h 421"/>
                              <a:gd name="T20" fmla="+- 0 1560 1560"/>
                              <a:gd name="T21" fmla="*/ T20 w 7911"/>
                              <a:gd name="T22" fmla="+- 0 981 981"/>
                              <a:gd name="T23" fmla="*/ 981 h 421"/>
                              <a:gd name="T24" fmla="+- 0 1560 1560"/>
                              <a:gd name="T25" fmla="*/ T24 w 7911"/>
                              <a:gd name="T26" fmla="+- 0 1371 981"/>
                              <a:gd name="T27" fmla="*/ 1371 h 421"/>
                              <a:gd name="T28" fmla="+- 0 1560 1560"/>
                              <a:gd name="T29" fmla="*/ T28 w 7911"/>
                              <a:gd name="T30" fmla="+- 0 1401 981"/>
                              <a:gd name="T31" fmla="*/ 1401 h 421"/>
                              <a:gd name="T32" fmla="+- 0 9471 1560"/>
                              <a:gd name="T33" fmla="*/ T32 w 7911"/>
                              <a:gd name="T34" fmla="+- 0 1401 981"/>
                              <a:gd name="T35" fmla="*/ 1401 h 421"/>
                              <a:gd name="T36" fmla="+- 0 9471 1560"/>
                              <a:gd name="T37" fmla="*/ T36 w 7911"/>
                              <a:gd name="T38" fmla="+- 0 1371 981"/>
                              <a:gd name="T39" fmla="*/ 1371 h 421"/>
                              <a:gd name="T40" fmla="+- 0 9441 1560"/>
                              <a:gd name="T41" fmla="*/ T40 w 7911"/>
                              <a:gd name="T42" fmla="+- 0 1371 981"/>
                              <a:gd name="T43" fmla="*/ 1371 h 421"/>
                              <a:gd name="T44" fmla="+- 0 9441 1560"/>
                              <a:gd name="T45" fmla="*/ T44 w 7911"/>
                              <a:gd name="T46" fmla="+- 0 1371 981"/>
                              <a:gd name="T47" fmla="*/ 1371 h 421"/>
                              <a:gd name="T48" fmla="+- 0 9471 1560"/>
                              <a:gd name="T49" fmla="*/ T48 w 7911"/>
                              <a:gd name="T50" fmla="+- 0 1371 981"/>
                              <a:gd name="T51" fmla="*/ 1371 h 421"/>
                              <a:gd name="T52" fmla="+- 0 9471 1560"/>
                              <a:gd name="T53" fmla="*/ T52 w 7911"/>
                              <a:gd name="T54" fmla="+- 0 981 981"/>
                              <a:gd name="T55" fmla="*/ 981 h 4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911" h="421">
                                <a:moveTo>
                                  <a:pt x="7911" y="0"/>
                                </a:moveTo>
                                <a:lnTo>
                                  <a:pt x="7881" y="0"/>
                                </a:lnTo>
                                <a:lnTo>
                                  <a:pt x="7881" y="360"/>
                                </a:lnTo>
                                <a:lnTo>
                                  <a:pt x="30" y="360"/>
                                </a:lnTo>
                                <a:lnTo>
                                  <a:pt x="30" y="0"/>
                                </a:lnTo>
                                <a:lnTo>
                                  <a:pt x="0" y="0"/>
                                </a:lnTo>
                                <a:lnTo>
                                  <a:pt x="0" y="390"/>
                                </a:lnTo>
                                <a:lnTo>
                                  <a:pt x="0" y="420"/>
                                </a:lnTo>
                                <a:lnTo>
                                  <a:pt x="7911" y="420"/>
                                </a:lnTo>
                                <a:lnTo>
                                  <a:pt x="7911" y="390"/>
                                </a:lnTo>
                                <a:lnTo>
                                  <a:pt x="7881" y="390"/>
                                </a:lnTo>
                                <a:lnTo>
                                  <a:pt x="7911" y="390"/>
                                </a:lnTo>
                                <a:lnTo>
                                  <a:pt x="7911" y="0"/>
                                </a:lnTo>
                                <a:close/>
                              </a:path>
                            </a:pathLst>
                          </a:custGeom>
                          <a:solidFill>
                            <a:srgbClr val="000000">
                              <a:alpha val="3803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Rectangle 190"/>
                        <wps:cNvSpPr>
                          <a:spLocks noChangeArrowheads="1"/>
                        </wps:cNvSpPr>
                        <wps:spPr bwMode="auto">
                          <a:xfrm>
                            <a:off x="1590" y="949"/>
                            <a:ext cx="7851" cy="390"/>
                          </a:xfrm>
                          <a:prstGeom prst="rect">
                            <a:avLst/>
                          </a:prstGeom>
                          <a:solidFill>
                            <a:srgbClr val="9BBA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5" name="Rectangle 191"/>
                        <wps:cNvSpPr>
                          <a:spLocks noChangeArrowheads="1"/>
                        </wps:cNvSpPr>
                        <wps:spPr bwMode="auto">
                          <a:xfrm>
                            <a:off x="1590" y="949"/>
                            <a:ext cx="7851" cy="390"/>
                          </a:xfrm>
                          <a:prstGeom prst="rect">
                            <a:avLst/>
                          </a:prstGeom>
                          <a:noFill/>
                          <a:ln w="381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 name="Rectangle 192"/>
                        <wps:cNvSpPr>
                          <a:spLocks noChangeArrowheads="1"/>
                        </wps:cNvSpPr>
                        <wps:spPr bwMode="auto">
                          <a:xfrm>
                            <a:off x="1653" y="1593"/>
                            <a:ext cx="2867" cy="561"/>
                          </a:xfrm>
                          <a:prstGeom prst="rect">
                            <a:avLst/>
                          </a:prstGeom>
                          <a:solidFill>
                            <a:srgbClr val="000000">
                              <a:alpha val="3803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87" name="Picture 19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653" y="1562"/>
                            <a:ext cx="2867"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 name="Rectangle 194"/>
                        <wps:cNvSpPr>
                          <a:spLocks noChangeArrowheads="1"/>
                        </wps:cNvSpPr>
                        <wps:spPr bwMode="auto">
                          <a:xfrm>
                            <a:off x="1653" y="1562"/>
                            <a:ext cx="2867" cy="561"/>
                          </a:xfrm>
                          <a:prstGeom prst="rect">
                            <a:avLst/>
                          </a:prstGeom>
                          <a:noFill/>
                          <a:ln w="9525">
                            <a:solidFill>
                              <a:srgbClr val="93B64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AutoShape 195"/>
                        <wps:cNvSpPr>
                          <a:spLocks/>
                        </wps:cNvSpPr>
                        <wps:spPr bwMode="auto">
                          <a:xfrm>
                            <a:off x="2870" y="2081"/>
                            <a:ext cx="270" cy="611"/>
                          </a:xfrm>
                          <a:custGeom>
                            <a:avLst/>
                            <a:gdLst>
                              <a:gd name="T0" fmla="+- 0 2896 2871"/>
                              <a:gd name="T1" fmla="*/ T0 w 270"/>
                              <a:gd name="T2" fmla="+- 0 2424 2081"/>
                              <a:gd name="T3" fmla="*/ 2424 h 611"/>
                              <a:gd name="T4" fmla="+- 0 2885 2871"/>
                              <a:gd name="T5" fmla="*/ T4 w 270"/>
                              <a:gd name="T6" fmla="+- 0 2428 2081"/>
                              <a:gd name="T7" fmla="*/ 2428 h 611"/>
                              <a:gd name="T8" fmla="+- 0 2876 2871"/>
                              <a:gd name="T9" fmla="*/ T8 w 270"/>
                              <a:gd name="T10" fmla="+- 0 2436 2081"/>
                              <a:gd name="T11" fmla="*/ 2436 h 611"/>
                              <a:gd name="T12" fmla="+- 0 2871 2871"/>
                              <a:gd name="T13" fmla="*/ T12 w 270"/>
                              <a:gd name="T14" fmla="+- 0 2447 2081"/>
                              <a:gd name="T15" fmla="*/ 2447 h 611"/>
                              <a:gd name="T16" fmla="+- 0 2871 2871"/>
                              <a:gd name="T17" fmla="*/ T16 w 270"/>
                              <a:gd name="T18" fmla="+- 0 2458 2081"/>
                              <a:gd name="T19" fmla="*/ 2458 h 611"/>
                              <a:gd name="T20" fmla="+- 0 2875 2871"/>
                              <a:gd name="T21" fmla="*/ T20 w 270"/>
                              <a:gd name="T22" fmla="+- 0 2469 2081"/>
                              <a:gd name="T23" fmla="*/ 2469 h 611"/>
                              <a:gd name="T24" fmla="+- 0 3010 2871"/>
                              <a:gd name="T25" fmla="*/ T24 w 270"/>
                              <a:gd name="T26" fmla="+- 0 2691 2081"/>
                              <a:gd name="T27" fmla="*/ 2691 h 611"/>
                              <a:gd name="T28" fmla="+- 0 3043 2871"/>
                              <a:gd name="T29" fmla="*/ T28 w 270"/>
                              <a:gd name="T30" fmla="+- 0 2632 2081"/>
                              <a:gd name="T31" fmla="*/ 2632 h 611"/>
                              <a:gd name="T32" fmla="+- 0 2979 2871"/>
                              <a:gd name="T33" fmla="*/ T32 w 270"/>
                              <a:gd name="T34" fmla="+- 0 2632 2081"/>
                              <a:gd name="T35" fmla="*/ 2632 h 611"/>
                              <a:gd name="T36" fmla="+- 0 2977 2871"/>
                              <a:gd name="T37" fmla="*/ T36 w 270"/>
                              <a:gd name="T38" fmla="+- 0 2521 2081"/>
                              <a:gd name="T39" fmla="*/ 2521 h 611"/>
                              <a:gd name="T40" fmla="+- 0 2926 2871"/>
                              <a:gd name="T41" fmla="*/ T40 w 270"/>
                              <a:gd name="T42" fmla="+- 0 2438 2081"/>
                              <a:gd name="T43" fmla="*/ 2438 h 611"/>
                              <a:gd name="T44" fmla="+- 0 2918 2871"/>
                              <a:gd name="T45" fmla="*/ T44 w 270"/>
                              <a:gd name="T46" fmla="+- 0 2429 2081"/>
                              <a:gd name="T47" fmla="*/ 2429 h 611"/>
                              <a:gd name="T48" fmla="+- 0 2907 2871"/>
                              <a:gd name="T49" fmla="*/ T48 w 270"/>
                              <a:gd name="T50" fmla="+- 0 2425 2081"/>
                              <a:gd name="T51" fmla="*/ 2425 h 611"/>
                              <a:gd name="T52" fmla="+- 0 2896 2871"/>
                              <a:gd name="T53" fmla="*/ T52 w 270"/>
                              <a:gd name="T54" fmla="+- 0 2424 2081"/>
                              <a:gd name="T55" fmla="*/ 2424 h 611"/>
                              <a:gd name="T56" fmla="+- 0 2977 2871"/>
                              <a:gd name="T57" fmla="*/ T56 w 270"/>
                              <a:gd name="T58" fmla="+- 0 2521 2081"/>
                              <a:gd name="T59" fmla="*/ 2521 h 611"/>
                              <a:gd name="T60" fmla="+- 0 2979 2871"/>
                              <a:gd name="T61" fmla="*/ T60 w 270"/>
                              <a:gd name="T62" fmla="+- 0 2632 2081"/>
                              <a:gd name="T63" fmla="*/ 2632 h 611"/>
                              <a:gd name="T64" fmla="+- 0 3039 2871"/>
                              <a:gd name="T65" fmla="*/ T64 w 270"/>
                              <a:gd name="T66" fmla="+- 0 2631 2081"/>
                              <a:gd name="T67" fmla="*/ 2631 h 611"/>
                              <a:gd name="T68" fmla="+- 0 3039 2871"/>
                              <a:gd name="T69" fmla="*/ T68 w 270"/>
                              <a:gd name="T70" fmla="+- 0 2617 2081"/>
                              <a:gd name="T71" fmla="*/ 2617 h 611"/>
                              <a:gd name="T72" fmla="+- 0 2983 2871"/>
                              <a:gd name="T73" fmla="*/ T72 w 270"/>
                              <a:gd name="T74" fmla="+- 0 2617 2081"/>
                              <a:gd name="T75" fmla="*/ 2617 h 611"/>
                              <a:gd name="T76" fmla="+- 0 3008 2871"/>
                              <a:gd name="T77" fmla="*/ T76 w 270"/>
                              <a:gd name="T78" fmla="+- 0 2572 2081"/>
                              <a:gd name="T79" fmla="*/ 2572 h 611"/>
                              <a:gd name="T80" fmla="+- 0 2977 2871"/>
                              <a:gd name="T81" fmla="*/ T80 w 270"/>
                              <a:gd name="T82" fmla="+- 0 2521 2081"/>
                              <a:gd name="T83" fmla="*/ 2521 h 611"/>
                              <a:gd name="T84" fmla="+- 0 3114 2871"/>
                              <a:gd name="T85" fmla="*/ T84 w 270"/>
                              <a:gd name="T86" fmla="+- 0 2420 2081"/>
                              <a:gd name="T87" fmla="*/ 2420 h 611"/>
                              <a:gd name="T88" fmla="+- 0 3102 2871"/>
                              <a:gd name="T89" fmla="*/ T88 w 270"/>
                              <a:gd name="T90" fmla="+- 0 2421 2081"/>
                              <a:gd name="T91" fmla="*/ 2421 h 611"/>
                              <a:gd name="T92" fmla="+- 0 3092 2871"/>
                              <a:gd name="T93" fmla="*/ T92 w 270"/>
                              <a:gd name="T94" fmla="+- 0 2426 2081"/>
                              <a:gd name="T95" fmla="*/ 2426 h 611"/>
                              <a:gd name="T96" fmla="+- 0 3084 2871"/>
                              <a:gd name="T97" fmla="*/ T96 w 270"/>
                              <a:gd name="T98" fmla="+- 0 2435 2081"/>
                              <a:gd name="T99" fmla="*/ 2435 h 611"/>
                              <a:gd name="T100" fmla="+- 0 3037 2871"/>
                              <a:gd name="T101" fmla="*/ T100 w 270"/>
                              <a:gd name="T102" fmla="+- 0 2520 2081"/>
                              <a:gd name="T103" fmla="*/ 2520 h 611"/>
                              <a:gd name="T104" fmla="+- 0 3039 2871"/>
                              <a:gd name="T105" fmla="*/ T104 w 270"/>
                              <a:gd name="T106" fmla="+- 0 2631 2081"/>
                              <a:gd name="T107" fmla="*/ 2631 h 611"/>
                              <a:gd name="T108" fmla="+- 0 2979 2871"/>
                              <a:gd name="T109" fmla="*/ T108 w 270"/>
                              <a:gd name="T110" fmla="+- 0 2632 2081"/>
                              <a:gd name="T111" fmla="*/ 2632 h 611"/>
                              <a:gd name="T112" fmla="+- 0 3043 2871"/>
                              <a:gd name="T113" fmla="*/ T112 w 270"/>
                              <a:gd name="T114" fmla="+- 0 2632 2081"/>
                              <a:gd name="T115" fmla="*/ 2632 h 611"/>
                              <a:gd name="T116" fmla="+- 0 3136 2871"/>
                              <a:gd name="T117" fmla="*/ T116 w 270"/>
                              <a:gd name="T118" fmla="+- 0 2464 2081"/>
                              <a:gd name="T119" fmla="*/ 2464 h 611"/>
                              <a:gd name="T120" fmla="+- 0 3140 2871"/>
                              <a:gd name="T121" fmla="*/ T120 w 270"/>
                              <a:gd name="T122" fmla="+- 0 2453 2081"/>
                              <a:gd name="T123" fmla="*/ 2453 h 611"/>
                              <a:gd name="T124" fmla="+- 0 3139 2871"/>
                              <a:gd name="T125" fmla="*/ T124 w 270"/>
                              <a:gd name="T126" fmla="+- 0 2441 2081"/>
                              <a:gd name="T127" fmla="*/ 2441 h 611"/>
                              <a:gd name="T128" fmla="+- 0 3134 2871"/>
                              <a:gd name="T129" fmla="*/ T128 w 270"/>
                              <a:gd name="T130" fmla="+- 0 2431 2081"/>
                              <a:gd name="T131" fmla="*/ 2431 h 611"/>
                              <a:gd name="T132" fmla="+- 0 3125 2871"/>
                              <a:gd name="T133" fmla="*/ T132 w 270"/>
                              <a:gd name="T134" fmla="+- 0 2423 2081"/>
                              <a:gd name="T135" fmla="*/ 2423 h 611"/>
                              <a:gd name="T136" fmla="+- 0 3114 2871"/>
                              <a:gd name="T137" fmla="*/ T136 w 270"/>
                              <a:gd name="T138" fmla="+- 0 2420 2081"/>
                              <a:gd name="T139" fmla="*/ 2420 h 611"/>
                              <a:gd name="T140" fmla="+- 0 3008 2871"/>
                              <a:gd name="T141" fmla="*/ T140 w 270"/>
                              <a:gd name="T142" fmla="+- 0 2572 2081"/>
                              <a:gd name="T143" fmla="*/ 2572 h 611"/>
                              <a:gd name="T144" fmla="+- 0 2983 2871"/>
                              <a:gd name="T145" fmla="*/ T144 w 270"/>
                              <a:gd name="T146" fmla="+- 0 2617 2081"/>
                              <a:gd name="T147" fmla="*/ 2617 h 611"/>
                              <a:gd name="T148" fmla="+- 0 3034 2871"/>
                              <a:gd name="T149" fmla="*/ T148 w 270"/>
                              <a:gd name="T150" fmla="+- 0 2616 2081"/>
                              <a:gd name="T151" fmla="*/ 2616 h 611"/>
                              <a:gd name="T152" fmla="+- 0 3008 2871"/>
                              <a:gd name="T153" fmla="*/ T152 w 270"/>
                              <a:gd name="T154" fmla="+- 0 2572 2081"/>
                              <a:gd name="T155" fmla="*/ 2572 h 611"/>
                              <a:gd name="T156" fmla="+- 0 3037 2871"/>
                              <a:gd name="T157" fmla="*/ T156 w 270"/>
                              <a:gd name="T158" fmla="+- 0 2520 2081"/>
                              <a:gd name="T159" fmla="*/ 2520 h 611"/>
                              <a:gd name="T160" fmla="+- 0 3008 2871"/>
                              <a:gd name="T161" fmla="*/ T160 w 270"/>
                              <a:gd name="T162" fmla="+- 0 2572 2081"/>
                              <a:gd name="T163" fmla="*/ 2572 h 611"/>
                              <a:gd name="T164" fmla="+- 0 3034 2871"/>
                              <a:gd name="T165" fmla="*/ T164 w 270"/>
                              <a:gd name="T166" fmla="+- 0 2616 2081"/>
                              <a:gd name="T167" fmla="*/ 2616 h 611"/>
                              <a:gd name="T168" fmla="+- 0 2983 2871"/>
                              <a:gd name="T169" fmla="*/ T168 w 270"/>
                              <a:gd name="T170" fmla="+- 0 2617 2081"/>
                              <a:gd name="T171" fmla="*/ 2617 h 611"/>
                              <a:gd name="T172" fmla="+- 0 3039 2871"/>
                              <a:gd name="T173" fmla="*/ T172 w 270"/>
                              <a:gd name="T174" fmla="+- 0 2617 2081"/>
                              <a:gd name="T175" fmla="*/ 2617 h 611"/>
                              <a:gd name="T176" fmla="+- 0 3037 2871"/>
                              <a:gd name="T177" fmla="*/ T176 w 270"/>
                              <a:gd name="T178" fmla="+- 0 2520 2081"/>
                              <a:gd name="T179" fmla="*/ 2520 h 611"/>
                              <a:gd name="T180" fmla="+- 0 3028 2871"/>
                              <a:gd name="T181" fmla="*/ T180 w 270"/>
                              <a:gd name="T182" fmla="+- 0 2081 2081"/>
                              <a:gd name="T183" fmla="*/ 2081 h 611"/>
                              <a:gd name="T184" fmla="+- 0 2968 2871"/>
                              <a:gd name="T185" fmla="*/ T184 w 270"/>
                              <a:gd name="T186" fmla="+- 0 2082 2081"/>
                              <a:gd name="T187" fmla="*/ 2082 h 611"/>
                              <a:gd name="T188" fmla="+- 0 2977 2871"/>
                              <a:gd name="T189" fmla="*/ T188 w 270"/>
                              <a:gd name="T190" fmla="+- 0 2521 2081"/>
                              <a:gd name="T191" fmla="*/ 2521 h 611"/>
                              <a:gd name="T192" fmla="+- 0 3008 2871"/>
                              <a:gd name="T193" fmla="*/ T192 w 270"/>
                              <a:gd name="T194" fmla="+- 0 2572 2081"/>
                              <a:gd name="T195" fmla="*/ 2572 h 611"/>
                              <a:gd name="T196" fmla="+- 0 3037 2871"/>
                              <a:gd name="T197" fmla="*/ T196 w 270"/>
                              <a:gd name="T198" fmla="+- 0 2520 2081"/>
                              <a:gd name="T199" fmla="*/ 2520 h 611"/>
                              <a:gd name="T200" fmla="+- 0 3028 2871"/>
                              <a:gd name="T201" fmla="*/ T200 w 270"/>
                              <a:gd name="T202" fmla="+- 0 2081 2081"/>
                              <a:gd name="T203" fmla="*/ 2081 h 6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70" h="611">
                                <a:moveTo>
                                  <a:pt x="25" y="343"/>
                                </a:moveTo>
                                <a:lnTo>
                                  <a:pt x="14" y="347"/>
                                </a:lnTo>
                                <a:lnTo>
                                  <a:pt x="5" y="355"/>
                                </a:lnTo>
                                <a:lnTo>
                                  <a:pt x="0" y="366"/>
                                </a:lnTo>
                                <a:lnTo>
                                  <a:pt x="0" y="377"/>
                                </a:lnTo>
                                <a:lnTo>
                                  <a:pt x="4" y="388"/>
                                </a:lnTo>
                                <a:lnTo>
                                  <a:pt x="139" y="610"/>
                                </a:lnTo>
                                <a:lnTo>
                                  <a:pt x="172" y="551"/>
                                </a:lnTo>
                                <a:lnTo>
                                  <a:pt x="108" y="551"/>
                                </a:lnTo>
                                <a:lnTo>
                                  <a:pt x="106" y="440"/>
                                </a:lnTo>
                                <a:lnTo>
                                  <a:pt x="55" y="357"/>
                                </a:lnTo>
                                <a:lnTo>
                                  <a:pt x="47" y="348"/>
                                </a:lnTo>
                                <a:lnTo>
                                  <a:pt x="36" y="344"/>
                                </a:lnTo>
                                <a:lnTo>
                                  <a:pt x="25" y="343"/>
                                </a:lnTo>
                                <a:close/>
                                <a:moveTo>
                                  <a:pt x="106" y="440"/>
                                </a:moveTo>
                                <a:lnTo>
                                  <a:pt x="108" y="551"/>
                                </a:lnTo>
                                <a:lnTo>
                                  <a:pt x="168" y="550"/>
                                </a:lnTo>
                                <a:lnTo>
                                  <a:pt x="168" y="536"/>
                                </a:lnTo>
                                <a:lnTo>
                                  <a:pt x="112" y="536"/>
                                </a:lnTo>
                                <a:lnTo>
                                  <a:pt x="137" y="491"/>
                                </a:lnTo>
                                <a:lnTo>
                                  <a:pt x="106" y="440"/>
                                </a:lnTo>
                                <a:close/>
                                <a:moveTo>
                                  <a:pt x="243" y="339"/>
                                </a:moveTo>
                                <a:lnTo>
                                  <a:pt x="231" y="340"/>
                                </a:lnTo>
                                <a:lnTo>
                                  <a:pt x="221" y="345"/>
                                </a:lnTo>
                                <a:lnTo>
                                  <a:pt x="213" y="354"/>
                                </a:lnTo>
                                <a:lnTo>
                                  <a:pt x="166" y="439"/>
                                </a:lnTo>
                                <a:lnTo>
                                  <a:pt x="168" y="550"/>
                                </a:lnTo>
                                <a:lnTo>
                                  <a:pt x="108" y="551"/>
                                </a:lnTo>
                                <a:lnTo>
                                  <a:pt x="172" y="551"/>
                                </a:lnTo>
                                <a:lnTo>
                                  <a:pt x="265" y="383"/>
                                </a:lnTo>
                                <a:lnTo>
                                  <a:pt x="269" y="372"/>
                                </a:lnTo>
                                <a:lnTo>
                                  <a:pt x="268" y="360"/>
                                </a:lnTo>
                                <a:lnTo>
                                  <a:pt x="263" y="350"/>
                                </a:lnTo>
                                <a:lnTo>
                                  <a:pt x="254" y="342"/>
                                </a:lnTo>
                                <a:lnTo>
                                  <a:pt x="243" y="339"/>
                                </a:lnTo>
                                <a:close/>
                                <a:moveTo>
                                  <a:pt x="137" y="491"/>
                                </a:moveTo>
                                <a:lnTo>
                                  <a:pt x="112" y="536"/>
                                </a:lnTo>
                                <a:lnTo>
                                  <a:pt x="163" y="535"/>
                                </a:lnTo>
                                <a:lnTo>
                                  <a:pt x="137" y="491"/>
                                </a:lnTo>
                                <a:close/>
                                <a:moveTo>
                                  <a:pt x="166" y="439"/>
                                </a:moveTo>
                                <a:lnTo>
                                  <a:pt x="137" y="491"/>
                                </a:lnTo>
                                <a:lnTo>
                                  <a:pt x="163" y="535"/>
                                </a:lnTo>
                                <a:lnTo>
                                  <a:pt x="112" y="536"/>
                                </a:lnTo>
                                <a:lnTo>
                                  <a:pt x="168" y="536"/>
                                </a:lnTo>
                                <a:lnTo>
                                  <a:pt x="166" y="439"/>
                                </a:lnTo>
                                <a:close/>
                                <a:moveTo>
                                  <a:pt x="157" y="0"/>
                                </a:moveTo>
                                <a:lnTo>
                                  <a:pt x="97" y="1"/>
                                </a:lnTo>
                                <a:lnTo>
                                  <a:pt x="106" y="440"/>
                                </a:lnTo>
                                <a:lnTo>
                                  <a:pt x="137" y="491"/>
                                </a:lnTo>
                                <a:lnTo>
                                  <a:pt x="166" y="439"/>
                                </a:lnTo>
                                <a:lnTo>
                                  <a:pt x="157" y="0"/>
                                </a:lnTo>
                                <a:close/>
                              </a:path>
                            </a:pathLst>
                          </a:custGeom>
                          <a:solidFill>
                            <a:srgbClr val="000000">
                              <a:alpha val="3490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AutoShape 196"/>
                        <wps:cNvSpPr>
                          <a:spLocks/>
                        </wps:cNvSpPr>
                        <wps:spPr bwMode="auto">
                          <a:xfrm>
                            <a:off x="2870" y="2044"/>
                            <a:ext cx="270" cy="611"/>
                          </a:xfrm>
                          <a:custGeom>
                            <a:avLst/>
                            <a:gdLst>
                              <a:gd name="T0" fmla="+- 0 2896 2871"/>
                              <a:gd name="T1" fmla="*/ T0 w 270"/>
                              <a:gd name="T2" fmla="+- 0 2388 2045"/>
                              <a:gd name="T3" fmla="*/ 2388 h 611"/>
                              <a:gd name="T4" fmla="+- 0 2885 2871"/>
                              <a:gd name="T5" fmla="*/ T4 w 270"/>
                              <a:gd name="T6" fmla="+- 0 2392 2045"/>
                              <a:gd name="T7" fmla="*/ 2392 h 611"/>
                              <a:gd name="T8" fmla="+- 0 2876 2871"/>
                              <a:gd name="T9" fmla="*/ T8 w 270"/>
                              <a:gd name="T10" fmla="+- 0 2400 2045"/>
                              <a:gd name="T11" fmla="*/ 2400 h 611"/>
                              <a:gd name="T12" fmla="+- 0 2871 2871"/>
                              <a:gd name="T13" fmla="*/ T12 w 270"/>
                              <a:gd name="T14" fmla="+- 0 2411 2045"/>
                              <a:gd name="T15" fmla="*/ 2411 h 611"/>
                              <a:gd name="T16" fmla="+- 0 2871 2871"/>
                              <a:gd name="T17" fmla="*/ T16 w 270"/>
                              <a:gd name="T18" fmla="+- 0 2422 2045"/>
                              <a:gd name="T19" fmla="*/ 2422 h 611"/>
                              <a:gd name="T20" fmla="+- 0 2875 2871"/>
                              <a:gd name="T21" fmla="*/ T20 w 270"/>
                              <a:gd name="T22" fmla="+- 0 2433 2045"/>
                              <a:gd name="T23" fmla="*/ 2433 h 611"/>
                              <a:gd name="T24" fmla="+- 0 3010 2871"/>
                              <a:gd name="T25" fmla="*/ T24 w 270"/>
                              <a:gd name="T26" fmla="+- 0 2655 2045"/>
                              <a:gd name="T27" fmla="*/ 2655 h 611"/>
                              <a:gd name="T28" fmla="+- 0 3043 2871"/>
                              <a:gd name="T29" fmla="*/ T28 w 270"/>
                              <a:gd name="T30" fmla="+- 0 2596 2045"/>
                              <a:gd name="T31" fmla="*/ 2596 h 611"/>
                              <a:gd name="T32" fmla="+- 0 2979 2871"/>
                              <a:gd name="T33" fmla="*/ T32 w 270"/>
                              <a:gd name="T34" fmla="+- 0 2596 2045"/>
                              <a:gd name="T35" fmla="*/ 2596 h 611"/>
                              <a:gd name="T36" fmla="+- 0 2977 2871"/>
                              <a:gd name="T37" fmla="*/ T36 w 270"/>
                              <a:gd name="T38" fmla="+- 0 2485 2045"/>
                              <a:gd name="T39" fmla="*/ 2485 h 611"/>
                              <a:gd name="T40" fmla="+- 0 2926 2871"/>
                              <a:gd name="T41" fmla="*/ T40 w 270"/>
                              <a:gd name="T42" fmla="+- 0 2402 2045"/>
                              <a:gd name="T43" fmla="*/ 2402 h 611"/>
                              <a:gd name="T44" fmla="+- 0 2918 2871"/>
                              <a:gd name="T45" fmla="*/ T44 w 270"/>
                              <a:gd name="T46" fmla="+- 0 2393 2045"/>
                              <a:gd name="T47" fmla="*/ 2393 h 611"/>
                              <a:gd name="T48" fmla="+- 0 2907 2871"/>
                              <a:gd name="T49" fmla="*/ T48 w 270"/>
                              <a:gd name="T50" fmla="+- 0 2388 2045"/>
                              <a:gd name="T51" fmla="*/ 2388 h 611"/>
                              <a:gd name="T52" fmla="+- 0 2896 2871"/>
                              <a:gd name="T53" fmla="*/ T52 w 270"/>
                              <a:gd name="T54" fmla="+- 0 2388 2045"/>
                              <a:gd name="T55" fmla="*/ 2388 h 611"/>
                              <a:gd name="T56" fmla="+- 0 2977 2871"/>
                              <a:gd name="T57" fmla="*/ T56 w 270"/>
                              <a:gd name="T58" fmla="+- 0 2485 2045"/>
                              <a:gd name="T59" fmla="*/ 2485 h 611"/>
                              <a:gd name="T60" fmla="+- 0 2979 2871"/>
                              <a:gd name="T61" fmla="*/ T60 w 270"/>
                              <a:gd name="T62" fmla="+- 0 2596 2045"/>
                              <a:gd name="T63" fmla="*/ 2596 h 611"/>
                              <a:gd name="T64" fmla="+- 0 3039 2871"/>
                              <a:gd name="T65" fmla="*/ T64 w 270"/>
                              <a:gd name="T66" fmla="+- 0 2595 2045"/>
                              <a:gd name="T67" fmla="*/ 2595 h 611"/>
                              <a:gd name="T68" fmla="+- 0 3039 2871"/>
                              <a:gd name="T69" fmla="*/ T68 w 270"/>
                              <a:gd name="T70" fmla="+- 0 2581 2045"/>
                              <a:gd name="T71" fmla="*/ 2581 h 611"/>
                              <a:gd name="T72" fmla="+- 0 2983 2871"/>
                              <a:gd name="T73" fmla="*/ T72 w 270"/>
                              <a:gd name="T74" fmla="+- 0 2581 2045"/>
                              <a:gd name="T75" fmla="*/ 2581 h 611"/>
                              <a:gd name="T76" fmla="+- 0 3008 2871"/>
                              <a:gd name="T77" fmla="*/ T76 w 270"/>
                              <a:gd name="T78" fmla="+- 0 2536 2045"/>
                              <a:gd name="T79" fmla="*/ 2536 h 611"/>
                              <a:gd name="T80" fmla="+- 0 2977 2871"/>
                              <a:gd name="T81" fmla="*/ T80 w 270"/>
                              <a:gd name="T82" fmla="+- 0 2485 2045"/>
                              <a:gd name="T83" fmla="*/ 2485 h 611"/>
                              <a:gd name="T84" fmla="+- 0 3114 2871"/>
                              <a:gd name="T85" fmla="*/ T84 w 270"/>
                              <a:gd name="T86" fmla="+- 0 2384 2045"/>
                              <a:gd name="T87" fmla="*/ 2384 h 611"/>
                              <a:gd name="T88" fmla="+- 0 3102 2871"/>
                              <a:gd name="T89" fmla="*/ T88 w 270"/>
                              <a:gd name="T90" fmla="+- 0 2385 2045"/>
                              <a:gd name="T91" fmla="*/ 2385 h 611"/>
                              <a:gd name="T92" fmla="+- 0 3092 2871"/>
                              <a:gd name="T93" fmla="*/ T92 w 270"/>
                              <a:gd name="T94" fmla="+- 0 2390 2045"/>
                              <a:gd name="T95" fmla="*/ 2390 h 611"/>
                              <a:gd name="T96" fmla="+- 0 3084 2871"/>
                              <a:gd name="T97" fmla="*/ T96 w 270"/>
                              <a:gd name="T98" fmla="+- 0 2399 2045"/>
                              <a:gd name="T99" fmla="*/ 2399 h 611"/>
                              <a:gd name="T100" fmla="+- 0 3037 2871"/>
                              <a:gd name="T101" fmla="*/ T100 w 270"/>
                              <a:gd name="T102" fmla="+- 0 2484 2045"/>
                              <a:gd name="T103" fmla="*/ 2484 h 611"/>
                              <a:gd name="T104" fmla="+- 0 3039 2871"/>
                              <a:gd name="T105" fmla="*/ T104 w 270"/>
                              <a:gd name="T106" fmla="+- 0 2595 2045"/>
                              <a:gd name="T107" fmla="*/ 2595 h 611"/>
                              <a:gd name="T108" fmla="+- 0 2979 2871"/>
                              <a:gd name="T109" fmla="*/ T108 w 270"/>
                              <a:gd name="T110" fmla="+- 0 2596 2045"/>
                              <a:gd name="T111" fmla="*/ 2596 h 611"/>
                              <a:gd name="T112" fmla="+- 0 3043 2871"/>
                              <a:gd name="T113" fmla="*/ T112 w 270"/>
                              <a:gd name="T114" fmla="+- 0 2596 2045"/>
                              <a:gd name="T115" fmla="*/ 2596 h 611"/>
                              <a:gd name="T116" fmla="+- 0 3136 2871"/>
                              <a:gd name="T117" fmla="*/ T116 w 270"/>
                              <a:gd name="T118" fmla="+- 0 2428 2045"/>
                              <a:gd name="T119" fmla="*/ 2428 h 611"/>
                              <a:gd name="T120" fmla="+- 0 3140 2871"/>
                              <a:gd name="T121" fmla="*/ T120 w 270"/>
                              <a:gd name="T122" fmla="+- 0 2417 2045"/>
                              <a:gd name="T123" fmla="*/ 2417 h 611"/>
                              <a:gd name="T124" fmla="+- 0 3139 2871"/>
                              <a:gd name="T125" fmla="*/ T124 w 270"/>
                              <a:gd name="T126" fmla="+- 0 2405 2045"/>
                              <a:gd name="T127" fmla="*/ 2405 h 611"/>
                              <a:gd name="T128" fmla="+- 0 3134 2871"/>
                              <a:gd name="T129" fmla="*/ T128 w 270"/>
                              <a:gd name="T130" fmla="+- 0 2395 2045"/>
                              <a:gd name="T131" fmla="*/ 2395 h 611"/>
                              <a:gd name="T132" fmla="+- 0 3125 2871"/>
                              <a:gd name="T133" fmla="*/ T132 w 270"/>
                              <a:gd name="T134" fmla="+- 0 2387 2045"/>
                              <a:gd name="T135" fmla="*/ 2387 h 611"/>
                              <a:gd name="T136" fmla="+- 0 3114 2871"/>
                              <a:gd name="T137" fmla="*/ T136 w 270"/>
                              <a:gd name="T138" fmla="+- 0 2384 2045"/>
                              <a:gd name="T139" fmla="*/ 2384 h 611"/>
                              <a:gd name="T140" fmla="+- 0 3008 2871"/>
                              <a:gd name="T141" fmla="*/ T140 w 270"/>
                              <a:gd name="T142" fmla="+- 0 2536 2045"/>
                              <a:gd name="T143" fmla="*/ 2536 h 611"/>
                              <a:gd name="T144" fmla="+- 0 2983 2871"/>
                              <a:gd name="T145" fmla="*/ T144 w 270"/>
                              <a:gd name="T146" fmla="+- 0 2581 2045"/>
                              <a:gd name="T147" fmla="*/ 2581 h 611"/>
                              <a:gd name="T148" fmla="+- 0 3034 2871"/>
                              <a:gd name="T149" fmla="*/ T148 w 270"/>
                              <a:gd name="T150" fmla="+- 0 2580 2045"/>
                              <a:gd name="T151" fmla="*/ 2580 h 611"/>
                              <a:gd name="T152" fmla="+- 0 3008 2871"/>
                              <a:gd name="T153" fmla="*/ T152 w 270"/>
                              <a:gd name="T154" fmla="+- 0 2536 2045"/>
                              <a:gd name="T155" fmla="*/ 2536 h 611"/>
                              <a:gd name="T156" fmla="+- 0 3037 2871"/>
                              <a:gd name="T157" fmla="*/ T156 w 270"/>
                              <a:gd name="T158" fmla="+- 0 2484 2045"/>
                              <a:gd name="T159" fmla="*/ 2484 h 611"/>
                              <a:gd name="T160" fmla="+- 0 3008 2871"/>
                              <a:gd name="T161" fmla="*/ T160 w 270"/>
                              <a:gd name="T162" fmla="+- 0 2536 2045"/>
                              <a:gd name="T163" fmla="*/ 2536 h 611"/>
                              <a:gd name="T164" fmla="+- 0 3034 2871"/>
                              <a:gd name="T165" fmla="*/ T164 w 270"/>
                              <a:gd name="T166" fmla="+- 0 2580 2045"/>
                              <a:gd name="T167" fmla="*/ 2580 h 611"/>
                              <a:gd name="T168" fmla="+- 0 2983 2871"/>
                              <a:gd name="T169" fmla="*/ T168 w 270"/>
                              <a:gd name="T170" fmla="+- 0 2581 2045"/>
                              <a:gd name="T171" fmla="*/ 2581 h 611"/>
                              <a:gd name="T172" fmla="+- 0 3039 2871"/>
                              <a:gd name="T173" fmla="*/ T172 w 270"/>
                              <a:gd name="T174" fmla="+- 0 2581 2045"/>
                              <a:gd name="T175" fmla="*/ 2581 h 611"/>
                              <a:gd name="T176" fmla="+- 0 3037 2871"/>
                              <a:gd name="T177" fmla="*/ T176 w 270"/>
                              <a:gd name="T178" fmla="+- 0 2484 2045"/>
                              <a:gd name="T179" fmla="*/ 2484 h 611"/>
                              <a:gd name="T180" fmla="+- 0 3028 2871"/>
                              <a:gd name="T181" fmla="*/ T180 w 270"/>
                              <a:gd name="T182" fmla="+- 0 2045 2045"/>
                              <a:gd name="T183" fmla="*/ 2045 h 611"/>
                              <a:gd name="T184" fmla="+- 0 2968 2871"/>
                              <a:gd name="T185" fmla="*/ T184 w 270"/>
                              <a:gd name="T186" fmla="+- 0 2046 2045"/>
                              <a:gd name="T187" fmla="*/ 2046 h 611"/>
                              <a:gd name="T188" fmla="+- 0 2977 2871"/>
                              <a:gd name="T189" fmla="*/ T188 w 270"/>
                              <a:gd name="T190" fmla="+- 0 2485 2045"/>
                              <a:gd name="T191" fmla="*/ 2485 h 611"/>
                              <a:gd name="T192" fmla="+- 0 3008 2871"/>
                              <a:gd name="T193" fmla="*/ T192 w 270"/>
                              <a:gd name="T194" fmla="+- 0 2536 2045"/>
                              <a:gd name="T195" fmla="*/ 2536 h 611"/>
                              <a:gd name="T196" fmla="+- 0 3037 2871"/>
                              <a:gd name="T197" fmla="*/ T196 w 270"/>
                              <a:gd name="T198" fmla="+- 0 2484 2045"/>
                              <a:gd name="T199" fmla="*/ 2484 h 611"/>
                              <a:gd name="T200" fmla="+- 0 3028 2871"/>
                              <a:gd name="T201" fmla="*/ T200 w 270"/>
                              <a:gd name="T202" fmla="+- 0 2045 2045"/>
                              <a:gd name="T203" fmla="*/ 2045 h 6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70" h="611">
                                <a:moveTo>
                                  <a:pt x="25" y="343"/>
                                </a:moveTo>
                                <a:lnTo>
                                  <a:pt x="14" y="347"/>
                                </a:lnTo>
                                <a:lnTo>
                                  <a:pt x="5" y="355"/>
                                </a:lnTo>
                                <a:lnTo>
                                  <a:pt x="0" y="366"/>
                                </a:lnTo>
                                <a:lnTo>
                                  <a:pt x="0" y="377"/>
                                </a:lnTo>
                                <a:lnTo>
                                  <a:pt x="4" y="388"/>
                                </a:lnTo>
                                <a:lnTo>
                                  <a:pt x="139" y="610"/>
                                </a:lnTo>
                                <a:lnTo>
                                  <a:pt x="172" y="551"/>
                                </a:lnTo>
                                <a:lnTo>
                                  <a:pt x="108" y="551"/>
                                </a:lnTo>
                                <a:lnTo>
                                  <a:pt x="106" y="440"/>
                                </a:lnTo>
                                <a:lnTo>
                                  <a:pt x="55" y="357"/>
                                </a:lnTo>
                                <a:lnTo>
                                  <a:pt x="47" y="348"/>
                                </a:lnTo>
                                <a:lnTo>
                                  <a:pt x="36" y="343"/>
                                </a:lnTo>
                                <a:lnTo>
                                  <a:pt x="25" y="343"/>
                                </a:lnTo>
                                <a:close/>
                                <a:moveTo>
                                  <a:pt x="106" y="440"/>
                                </a:moveTo>
                                <a:lnTo>
                                  <a:pt x="108" y="551"/>
                                </a:lnTo>
                                <a:lnTo>
                                  <a:pt x="168" y="550"/>
                                </a:lnTo>
                                <a:lnTo>
                                  <a:pt x="168" y="536"/>
                                </a:lnTo>
                                <a:lnTo>
                                  <a:pt x="112" y="536"/>
                                </a:lnTo>
                                <a:lnTo>
                                  <a:pt x="137" y="491"/>
                                </a:lnTo>
                                <a:lnTo>
                                  <a:pt x="106" y="440"/>
                                </a:lnTo>
                                <a:close/>
                                <a:moveTo>
                                  <a:pt x="243" y="339"/>
                                </a:moveTo>
                                <a:lnTo>
                                  <a:pt x="231" y="340"/>
                                </a:lnTo>
                                <a:lnTo>
                                  <a:pt x="221" y="345"/>
                                </a:lnTo>
                                <a:lnTo>
                                  <a:pt x="213" y="354"/>
                                </a:lnTo>
                                <a:lnTo>
                                  <a:pt x="166" y="439"/>
                                </a:lnTo>
                                <a:lnTo>
                                  <a:pt x="168" y="550"/>
                                </a:lnTo>
                                <a:lnTo>
                                  <a:pt x="108" y="551"/>
                                </a:lnTo>
                                <a:lnTo>
                                  <a:pt x="172" y="551"/>
                                </a:lnTo>
                                <a:lnTo>
                                  <a:pt x="265" y="383"/>
                                </a:lnTo>
                                <a:lnTo>
                                  <a:pt x="269" y="372"/>
                                </a:lnTo>
                                <a:lnTo>
                                  <a:pt x="268" y="360"/>
                                </a:lnTo>
                                <a:lnTo>
                                  <a:pt x="263" y="350"/>
                                </a:lnTo>
                                <a:lnTo>
                                  <a:pt x="254" y="342"/>
                                </a:lnTo>
                                <a:lnTo>
                                  <a:pt x="243" y="339"/>
                                </a:lnTo>
                                <a:close/>
                                <a:moveTo>
                                  <a:pt x="137" y="491"/>
                                </a:moveTo>
                                <a:lnTo>
                                  <a:pt x="112" y="536"/>
                                </a:lnTo>
                                <a:lnTo>
                                  <a:pt x="163" y="535"/>
                                </a:lnTo>
                                <a:lnTo>
                                  <a:pt x="137" y="491"/>
                                </a:lnTo>
                                <a:close/>
                                <a:moveTo>
                                  <a:pt x="166" y="439"/>
                                </a:moveTo>
                                <a:lnTo>
                                  <a:pt x="137" y="491"/>
                                </a:lnTo>
                                <a:lnTo>
                                  <a:pt x="163" y="535"/>
                                </a:lnTo>
                                <a:lnTo>
                                  <a:pt x="112" y="536"/>
                                </a:lnTo>
                                <a:lnTo>
                                  <a:pt x="168" y="536"/>
                                </a:lnTo>
                                <a:lnTo>
                                  <a:pt x="166" y="439"/>
                                </a:lnTo>
                                <a:close/>
                                <a:moveTo>
                                  <a:pt x="157" y="0"/>
                                </a:moveTo>
                                <a:lnTo>
                                  <a:pt x="97" y="1"/>
                                </a:lnTo>
                                <a:lnTo>
                                  <a:pt x="106" y="440"/>
                                </a:lnTo>
                                <a:lnTo>
                                  <a:pt x="137" y="491"/>
                                </a:lnTo>
                                <a:lnTo>
                                  <a:pt x="166" y="439"/>
                                </a:lnTo>
                                <a:lnTo>
                                  <a:pt x="1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Text Box 197"/>
                        <wps:cNvSpPr txBox="1">
                          <a:spLocks noChangeArrowheads="1"/>
                        </wps:cNvSpPr>
                        <wps:spPr bwMode="auto">
                          <a:xfrm>
                            <a:off x="1560" y="919"/>
                            <a:ext cx="7911"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9900F" w14:textId="77777777" w:rsidR="00F9369F" w:rsidRDefault="00F9369F" w:rsidP="00E929F2"/>
                            <w:p w14:paraId="25F84B65" w14:textId="77777777" w:rsidR="00F9369F" w:rsidRDefault="00F9369F" w:rsidP="00E929F2"/>
                            <w:p w14:paraId="41712128" w14:textId="77777777" w:rsidR="00F9369F" w:rsidRDefault="00F9369F" w:rsidP="00E929F2">
                              <w:pPr>
                                <w:spacing w:before="9"/>
                                <w:rPr>
                                  <w:sz w:val="18"/>
                                </w:rPr>
                              </w:pPr>
                            </w:p>
                            <w:p w14:paraId="2C11CF9A" w14:textId="77777777" w:rsidR="00F9369F" w:rsidRDefault="00F9369F" w:rsidP="00E929F2">
                              <w:pPr>
                                <w:ind w:left="494"/>
                                <w:rPr>
                                  <w:rFonts w:ascii="Cambria" w:hAnsi="Cambria"/>
                                  <w:b/>
                                  <w:sz w:val="20"/>
                                </w:rPr>
                              </w:pPr>
                              <w:r>
                                <w:rPr>
                                  <w:rFonts w:ascii="Cambria" w:hAnsi="Cambria"/>
                                  <w:b/>
                                  <w:sz w:val="20"/>
                                </w:rPr>
                                <w:t>Planificarea</w:t>
                              </w:r>
                              <w:r>
                                <w:rPr>
                                  <w:rFonts w:ascii="Cambria" w:hAnsi="Cambria"/>
                                  <w:b/>
                                  <w:spacing w:val="-5"/>
                                  <w:sz w:val="20"/>
                                </w:rPr>
                                <w:t xml:space="preserve"> </w:t>
                              </w:r>
                              <w:r>
                                <w:rPr>
                                  <w:rFonts w:ascii="Cambria" w:hAnsi="Cambria"/>
                                  <w:b/>
                                  <w:sz w:val="20"/>
                                </w:rPr>
                                <w:t>strategică</w:t>
                              </w:r>
                            </w:p>
                          </w:txbxContent>
                        </wps:txbx>
                        <wps:bodyPr rot="0" vert="horz" wrap="square" lIns="0" tIns="0" rIns="0" bIns="0" anchor="t" anchorCtr="0" upright="1">
                          <a:noAutofit/>
                        </wps:bodyPr>
                      </wps:wsp>
                      <wps:wsp>
                        <wps:cNvPr id="292" name="Text Box 198"/>
                        <wps:cNvSpPr txBox="1">
                          <a:spLocks noChangeArrowheads="1"/>
                        </wps:cNvSpPr>
                        <wps:spPr bwMode="auto">
                          <a:xfrm>
                            <a:off x="4777" y="1401"/>
                            <a:ext cx="4656" cy="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F5DE1" w14:textId="77777777" w:rsidR="00F9369F" w:rsidRDefault="00F9369F" w:rsidP="00E929F2">
                              <w:pPr>
                                <w:spacing w:before="127" w:line="276" w:lineRule="auto"/>
                                <w:ind w:left="1811" w:hanging="1318"/>
                                <w:rPr>
                                  <w:rFonts w:ascii="Cambria"/>
                                  <w:b/>
                                  <w:sz w:val="20"/>
                                </w:rPr>
                              </w:pPr>
                              <w:r>
                                <w:rPr>
                                  <w:rFonts w:ascii="Cambria"/>
                                  <w:b/>
                                  <w:spacing w:val="-1"/>
                                  <w:sz w:val="20"/>
                                </w:rPr>
                                <w:t>Managementul</w:t>
                              </w:r>
                              <w:r>
                                <w:rPr>
                                  <w:rFonts w:ascii="Cambria"/>
                                  <w:b/>
                                  <w:spacing w:val="2"/>
                                  <w:sz w:val="20"/>
                                </w:rPr>
                                <w:t xml:space="preserve"> </w:t>
                              </w:r>
                              <w:r>
                                <w:rPr>
                                  <w:rFonts w:ascii="Cambria"/>
                                  <w:b/>
                                  <w:spacing w:val="-1"/>
                                  <w:sz w:val="20"/>
                                </w:rPr>
                                <w:t>mediului/monitorizarea</w:t>
                              </w:r>
                              <w:r>
                                <w:rPr>
                                  <w:rFonts w:ascii="Cambria"/>
                                  <w:b/>
                                  <w:spacing w:val="-41"/>
                                  <w:sz w:val="20"/>
                                </w:rPr>
                                <w:t xml:space="preserve"> </w:t>
                              </w:r>
                              <w:r>
                                <w:rPr>
                                  <w:rFonts w:ascii="Cambria"/>
                                  <w:b/>
                                  <w:sz w:val="20"/>
                                </w:rPr>
                                <w:t>habitatelor</w:t>
                              </w:r>
                            </w:p>
                          </w:txbxContent>
                        </wps:txbx>
                        <wps:bodyPr rot="0" vert="horz" wrap="square" lIns="0" tIns="0" rIns="0" bIns="0" anchor="t" anchorCtr="0" upright="1">
                          <a:noAutofit/>
                        </wps:bodyPr>
                      </wps:wsp>
                      <wps:wsp>
                        <wps:cNvPr id="293" name="Text Box 199"/>
                        <wps:cNvSpPr txBox="1">
                          <a:spLocks noChangeArrowheads="1"/>
                        </wps:cNvSpPr>
                        <wps:spPr bwMode="auto">
                          <a:xfrm>
                            <a:off x="1590" y="949"/>
                            <a:ext cx="7836"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BF2EC" w14:textId="77777777" w:rsidR="00F9369F" w:rsidRDefault="00F9369F" w:rsidP="00E929F2">
                              <w:pPr>
                                <w:spacing w:before="101"/>
                                <w:ind w:left="2749" w:right="2737"/>
                                <w:jc w:val="center"/>
                                <w:rPr>
                                  <w:rFonts w:ascii="Cambria" w:hAnsi="Cambria"/>
                                  <w:b/>
                                  <w:sz w:val="20"/>
                                </w:rPr>
                              </w:pPr>
                              <w:r>
                                <w:rPr>
                                  <w:rFonts w:ascii="Cambria" w:hAnsi="Cambria"/>
                                  <w:b/>
                                  <w:sz w:val="20"/>
                                </w:rPr>
                                <w:t>Obiectivele</w:t>
                              </w:r>
                              <w:r>
                                <w:rPr>
                                  <w:rFonts w:ascii="Cambria" w:hAnsi="Cambria"/>
                                  <w:b/>
                                  <w:spacing w:val="-9"/>
                                  <w:sz w:val="20"/>
                                </w:rPr>
                                <w:t xml:space="preserve"> </w:t>
                              </w:r>
                              <w:r>
                                <w:rPr>
                                  <w:rFonts w:ascii="Cambria" w:hAnsi="Cambria"/>
                                  <w:b/>
                                  <w:sz w:val="20"/>
                                </w:rPr>
                                <w:t>monitorizării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05193B" id="Group 277" o:spid="_x0000_s1072" style="position:absolute;margin-left:78pt;margin-top:45.95pt;width:395.55pt;height:95.25pt;z-index:-251651072;mso-position-horizontal-relative:page" coordorigin="1560,919" coordsize="7911,1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">
                <v:rect id="Rectangle 184" o:spid="_x0000_s1073" style="position:absolute;left:4770;top:1478;width:4671;height: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9+dsAA&#10;AADcAAAADwAAAGRycy9kb3ducmV2LnhtbERPTYvCMBC9L/gfwgje1lRZVLpGWQShe1Cx6p6HZmzK&#10;NpPSpFr/vTkIHh/ve7nubS1u1PrKsYLJOAFBXDhdcangfNp+LkD4gKyxdkwKHuRhvRp8LDHV7s5H&#10;uuWhFDGEfYoKTAhNKqUvDFn0Y9cQR+7qWoshwraUusV7DLe1nCbJTFqsODYYbGhjqPjPO6tg/rfN&#10;Ne9/D3zxu+6r7LKrOWVKjYb9zzeIQH14i1/uTCuYzuPaeCYeAbl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D9+dsAAAADcAAAADwAAAAAAAAAAAAAAAACYAgAAZHJzL2Rvd25y&#10;ZXYueG1sUEsFBgAAAAAEAAQA9QAAAIUDAAAAAA==&#10;" fillcolor="black" stroked="f">
                  <v:fill opacity="24929f"/>
                </v:rect>
                <v:shape id="Picture 185" o:spid="_x0000_s1074" type="#_x0000_t75" style="position:absolute;left:4770;top:1447;width:4671;height: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wT4zGAAAA3AAAAA8AAABkcnMvZG93bnJldi54bWxEj0FrwkAUhO+C/2F5Qm91o7Q1TV1FCwVR&#10;aNGmkOMj+0yC2bdhd9X037uFgsdhZr5h5svetOJCzjeWFUzGCQji0uqGKwX598djCsIHZI2tZVLw&#10;Sx6Wi+Fgjpm2V97T5RAqESHsM1RQh9BlUvqyJoN+bDvi6B2tMxiidJXUDq8Rblo5TZIXabDhuFBj&#10;R+81lafD2Sg4Fuk2X31Nkm2xbt3z5/npZ2c3Sj2M+tUbiEB9uIf/2xutYDp7hb8z8QjIx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zBPjMYAAADcAAAADwAAAAAAAAAAAAAA&#10;AACfAgAAZHJzL2Rvd25yZXYueG1sUEsFBgAAAAAEAAQA9wAAAJIDAAAAAA==&#10;">
                  <v:imagedata r:id="rId37" o:title=""/>
                </v:shape>
                <v:rect id="Rectangle 186" o:spid="_x0000_s1075" style="position:absolute;left:4770;top:1447;width:4671;height: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kEZr8A&#10;AADcAAAADwAAAGRycy9kb3ducmV2LnhtbERPy4rCMBTdD/gP4QruxtSCDzpGEUGos7P6AZfmTlts&#10;bmITa/z7yWJglofz3u6j6cVIg+8sK1jMMxDEtdUdNwpu19PnBoQPyBp7y6TgTR72u8nHFgttX3yh&#10;sQqNSCHsC1TQhuAKKX3dkkE/t444cT92MBgSHBqpB3ylcNPLPMtW0mDHqaFFR8eW6nv1NApW0d3i&#10;OJbf1bI8Pa6VO+fr0ik1m8bDF4hAMfyL/9ylVpBv0vx0Jh0Bufs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GQRmvwAAANwAAAAPAAAAAAAAAAAAAAAAAJgCAABkcnMvZG93bnJl&#10;di54bWxQSwUGAAAAAAQABAD1AAAAhAMAAAAA&#10;" filled="f" strokecolor="#4579b8"/>
                <v:shape id="AutoShape 187" o:spid="_x0000_s1076" style="position:absolute;left:6947;top:2300;width:270;height:524;visibility:visible;mso-wrap-style:square;v-text-anchor:top" coordsize="270,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D3msMA&#10;AADcAAAADwAAAGRycy9kb3ducmV2LnhtbESPQWsCMRSE7wX/Q3iCt5rVg8hqFFkQS6HQquD1sXlm&#10;Vzcva5K6679vCoLHYWa+YZbr3jbiTj7UjhVMxhkI4tLpmo2C42H7PgcRIrLGxjEpeFCA9WrwtsRc&#10;u45/6L6PRiQIhxwVVDG2uZShrMhiGLuWOHln5y3GJL2R2mOX4LaR0yybSYs1p4UKWyoqKq/7X6vA&#10;PTbeFBez233fiqI7fH65U4hKjYb9ZgEiUh9f4Wf7QyuYzifwfyYd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D3msMAAADcAAAADwAAAAAAAAAAAAAAAACYAgAAZHJzL2Rv&#10;d25yZXYueG1sUEsFBgAAAAAEAAQA9QAAAIgDAAAAAA==&#10;" path="m26,254r-12,4l5,266,,276r,12l4,299,135,523r35,-59l105,464r,-111l55,269r-8,-9l37,255,26,254xm105,353r,111l165,464r,-15l109,449r26,-45l105,353xm243,254r-11,l222,260r-8,8l165,353r,111l170,464,265,298r4,-11l269,276r-5,-11l255,257r-12,-3xm135,404r-26,45l161,448,135,404xm165,353r-30,51l161,448r-52,1l165,449r,-96xm164,l104,r1,353l135,404r30,-51l164,xe" fillcolor="black" stroked="f">
                  <v:fill opacity="22873f"/>
                  <v:path arrowok="t" o:connecttype="custom" o:connectlocs="26,2555;14,2559;5,2567;0,2577;0,2589;4,2600;135,2824;170,2765;105,2765;105,2654;55,2570;47,2561;37,2556;26,2555;105,2654;105,2765;165,2765;165,2750;109,2750;135,2705;105,2654;243,2555;232,2555;222,2561;214,2569;165,2654;165,2765;170,2765;265,2599;269,2588;269,2577;264,2566;255,2558;243,2555;135,2705;109,2750;161,2749;135,2705;165,2654;135,2705;161,2749;109,2750;165,2750;165,2654;164,2301;104,2301;105,2654;135,2705;165,2654;164,2301" o:connectangles="0,0,0,0,0,0,0,0,0,0,0,0,0,0,0,0,0,0,0,0,0,0,0,0,0,0,0,0,0,0,0,0,0,0,0,0,0,0,0,0,0,0,0,0,0,0,0,0,0,0"/>
                </v:shape>
                <v:shape id="AutoShape 188" o:spid="_x0000_s1077" style="position:absolute;left:6947;top:2264;width:270;height:524;visibility:visible;mso-wrap-style:square;v-text-anchor:top" coordsize="270,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Tz/sUA&#10;AADcAAAADwAAAGRycy9kb3ducmV2LnhtbESP3WrCQBSE7wu+w3IKvaubpiASXUUUS6Fe+PcAp9nT&#10;JCR7NuyuSerTu4Lg5TAz3zDz5WAa0ZHzlWUFH+MEBHFudcWFgvNp+z4F4QOyxsYyKfgnD8vF6GWO&#10;mbY9H6g7hkJECPsMFZQhtJmUPi/JoB/bljh6f9YZDFG6QmqHfYSbRqZJMpEGK44LJba0Limvjxej&#10;4Kvrm896svnZbX5dn+6rurtcE6XeXofVDESgITzDj/a3VpBOU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PP+xQAAANwAAAAPAAAAAAAAAAAAAAAAAJgCAABkcnMv&#10;ZG93bnJldi54bWxQSwUGAAAAAAQABAD1AAAAigMAAAAA&#10;" path="m26,255r-12,4l5,267,,277r,12l4,300,135,524r35,-60l105,464r,-111l55,269r-8,-8l37,256,26,255xm105,353r,111l165,464r,-15l109,449r26,-44l105,353xm243,254r-11,1l222,260r-8,9l165,353r,111l170,464,265,299r4,-11l269,277r-5,-11l255,258r-12,-4xm135,405r-26,44l161,449,135,405xm165,354r-30,51l161,449r-52,l165,449r,-95xm164,l104,r1,353l135,405r30,-51l164,xe" fillcolor="black" stroked="f">
                  <v:path arrowok="t" o:connecttype="custom" o:connectlocs="26,2519;14,2523;5,2531;0,2541;0,2553;4,2564;135,2788;170,2728;105,2728;105,2617;55,2533;47,2525;37,2520;26,2519;105,2617;105,2728;165,2728;165,2713;109,2713;135,2669;105,2617;243,2518;232,2519;222,2524;214,2533;165,2617;165,2728;170,2728;265,2563;269,2552;269,2541;264,2530;255,2522;243,2518;135,2669;109,2713;161,2713;135,2669;165,2618;135,2669;161,2713;109,2713;165,2713;165,2618;164,2264;104,2264;105,2617;135,2669;165,2618;164,2264" o:connectangles="0,0,0,0,0,0,0,0,0,0,0,0,0,0,0,0,0,0,0,0,0,0,0,0,0,0,0,0,0,0,0,0,0,0,0,0,0,0,0,0,0,0,0,0,0,0,0,0,0,0"/>
                </v:shape>
                <v:shape id="Freeform 189" o:spid="_x0000_s1078" style="position:absolute;left:1560;top:980;width:7911;height:421;visibility:visible;mso-wrap-style:square;v-text-anchor:top" coordsize="7911,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GBRMUA&#10;AADcAAAADwAAAGRycy9kb3ducmV2LnhtbESPQUvDQBSE74L/YXmCF7GbNiI1dltEKCjiwdhDe3tk&#10;n9lg9m3YfSbx37uC4HGYmW+YzW72vRoppi6wgeWiAEXcBNtxa+Dwvr9eg0qCbLEPTAa+KcFue362&#10;wcqGid9orKVVGcKpQgNOZKi0To0jj2kRBuLsfYToUbKMrbYRpwz3vV4Vxa322HFecDjQo6Pms/7y&#10;Bl6XN8+HUR/L2l3d7aeTlBJf2JjLi/nhHpTQLP/hv/aTNbBal/B7Jh8Bv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IYFExQAAANwAAAAPAAAAAAAAAAAAAAAAAJgCAABkcnMv&#10;ZG93bnJldi54bWxQSwUGAAAAAAQABAD1AAAAigMAAAAA&#10;" path="m7911,r-30,l7881,360,30,360,30,,,,,390r,30l7911,420r,-30l7881,390r30,l7911,xe" fillcolor="black" stroked="f">
                  <v:fill opacity="24929f"/>
                  <v:path arrowok="t" o:connecttype="custom" o:connectlocs="7911,981;7881,981;7881,1341;30,1341;30,981;0,981;0,1371;0,1401;7911,1401;7911,1371;7881,1371;7881,1371;7911,1371;7911,981" o:connectangles="0,0,0,0,0,0,0,0,0,0,0,0,0,0"/>
                </v:shape>
                <v:rect id="Rectangle 190" o:spid="_x0000_s1079" style="position:absolute;left:1590;top:949;width:7851;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y+isIA&#10;AADcAAAADwAAAGRycy9kb3ducmV2LnhtbESPS4vCQBCE7wv+h6EFb+tEEYnRUVQQl735ujeZzoNk&#10;emJm1Li/fkcQPBZV9RW1WHWmFndqXWlZwWgYgSBOrS45V3A+7b5jEM4ja6wtk4InOVgte18LTLR9&#10;8IHuR5+LAGGXoILC+yaR0qUFGXRD2xAHL7OtQR9km0vd4iPATS3HUTSVBksOCwU2tC0orY43o6DK&#10;95ZOV5ldNrvf2R9mZ44PlVKDfreeg/DU+U/43f7RCsbxBF5nwhG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HL6KwgAAANwAAAAPAAAAAAAAAAAAAAAAAJgCAABkcnMvZG93&#10;bnJldi54bWxQSwUGAAAAAAQABAD1AAAAhwMAAAAA&#10;" fillcolor="#9bba58" stroked="f"/>
                <v:rect id="Rectangle 191" o:spid="_x0000_s1080" style="position:absolute;left:1590;top:949;width:7851;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21sMQA&#10;AADcAAAADwAAAGRycy9kb3ducmV2LnhtbESPQYvCMBSE7wv+h/CEva2pXVekGkWKwl48WL14ezbP&#10;ttq81Car9d8bQdjjMDPfMLNFZ2pxo9ZVlhUMBxEI4tzqigsF+936awLCeWSNtWVS8CAHi3nvY4aJ&#10;tnfe0i3zhQgQdgkqKL1vEildXpJBN7ANcfBOtjXog2wLqVu8B7ipZRxFY2mw4rBQYkNpSfkl+zMK&#10;vkeHaHM9p8flNnbry8qnfM0qpT773XIKwlPn/8Pv9q9WEE9+4HUmHA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dtbDEAAAA3AAAAA8AAAAAAAAAAAAAAAAAmAIAAGRycy9k&#10;b3ducmV2LnhtbFBLBQYAAAAABAAEAPUAAACJAwAAAAA=&#10;" filled="f" strokecolor="white" strokeweight="3pt"/>
                <v:rect id="Rectangle 192" o:spid="_x0000_s1081" style="position:absolute;left:1653;top:1593;width:2867;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k/uMQA&#10;AADcAAAADwAAAGRycy9kb3ducmV2LnhtbESPT4vCMBTE7wt+h/AEb2uqiCvVKCII9eAuW/+cH82z&#10;KTYvpUm1fvvNwsIeh5n5DbPa9LYWD2p95VjBZJyAIC6crrhUcD7t3xcgfEDWWDsmBS/ysFkP3laY&#10;avfkb3rkoRQRwj5FBSaEJpXSF4Ys+rFriKN3c63FEGVbSt3iM8JtLadJMpcWK44LBhvaGSrueWcV&#10;fFz3uebPwxdf/LGblV12M6dMqdGw3y5BBOrDf/ivnWkF08Uc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5P7jEAAAA3AAAAA8AAAAAAAAAAAAAAAAAmAIAAGRycy9k&#10;b3ducmV2LnhtbFBLBQYAAAAABAAEAPUAAACJAwAAAAA=&#10;" fillcolor="black" stroked="f">
                  <v:fill opacity="24929f"/>
                </v:rect>
                <v:shape id="Picture 193" o:spid="_x0000_s1082" type="#_x0000_t75" style="position:absolute;left:1653;top:1562;width:2867;height: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D3Z7EAAAA3AAAAA8AAABkcnMvZG93bnJldi54bWxEj0Frg0AUhO+F/IflFXqraxNQY9yEEAhI&#10;L1LbS24P90Vt3bfibqL9991Cocdh5pthisNiBnGnyfWWFbxEMQjixuqeWwUf7+fnDITzyBoHy6Tg&#10;mxwc9quHAnNtZ36je+1bEUrY5aig837MpXRNRwZdZEfi4F3tZNAHObVSTziHcjPIdRwn0mDPYaHD&#10;kU4dNV/1zShYm01aVeVntU3ksLy2aT1f0l6pp8fluAPhafH/4T+61IHLUvg9E46A3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D3Z7EAAAA3AAAAA8AAAAAAAAAAAAAAAAA&#10;nwIAAGRycy9kb3ducmV2LnhtbFBLBQYAAAAABAAEAPcAAACQAwAAAAA=&#10;">
                  <v:imagedata r:id="rId38" o:title=""/>
                </v:shape>
                <v:rect id="Rectangle 194" o:spid="_x0000_s1083" style="position:absolute;left:1653;top:1562;width:2867;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mnF8IA&#10;AADcAAAADwAAAGRycy9kb3ducmV2LnhtbERPy2rCQBTdC/7DcAvd6aSBFk0dJfiAQDcaBbfXzDUJ&#10;zdwJmTFJ/76zEFweznu1GU0jeupcbVnBxzwCQVxYXXOp4HI+zBYgnEfW2FgmBX/kYLOeTlaYaDvw&#10;ifrclyKEsEtQQeV9m0jpiooMurltiQN3t51BH2BXSt3hEMJNI+Mo+pIGaw4NFba0raj4zR9GwefP&#10;8ZDfdhmV6XXv++XlfI/0Tqn3tzH9BuFp9C/x051pBfEirA1nwhG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OacXwgAAANwAAAAPAAAAAAAAAAAAAAAAAJgCAABkcnMvZG93&#10;bnJldi54bWxQSwUGAAAAAAQABAD1AAAAhwMAAAAA&#10;" filled="f" strokecolor="#93b64e"/>
                <v:shape id="AutoShape 195" o:spid="_x0000_s1084" style="position:absolute;left:2870;top:2081;width:270;height:611;visibility:visible;mso-wrap-style:square;v-text-anchor:top" coordsize="270,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S2KscA&#10;AADcAAAADwAAAGRycy9kb3ducmV2LnhtbESPT2sCMRTE7wW/Q3iF3mpWi2XdGsXWlgpVxD+HHl83&#10;z+zSzcuSpLr99kYo9DjMzG+YyayzjTiRD7VjBYN+BoK4dLpmo+Cwf7vPQYSIrLFxTAp+KcBs2ruZ&#10;YKHdmbd02kUjEoRDgQqqGNtCylBWZDH0XUucvKPzFmOS3kjt8ZzgtpHDLHuUFmtOCxW29FJR+b37&#10;sQrM17NZrwbvrx/5Ju5Hx0+/eFh4pe5uu/kTiEhd/A//tZdawTAfw/VMOgJy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UtirHAAAA3AAAAA8AAAAAAAAAAAAAAAAAmAIAAGRy&#10;cy9kb3ducmV2LnhtbFBLBQYAAAAABAAEAPUAAACMAwAAAAA=&#10;" path="m25,343r-11,4l5,355,,366r,11l4,388,139,610r33,-59l108,551,106,440,55,357r-8,-9l36,344,25,343xm106,440r2,111l168,550r,-14l112,536r25,-45l106,440xm243,339r-12,1l221,345r-8,9l166,439r2,111l108,551r64,l265,383r4,-11l268,360r-5,-10l254,342r-11,-3xm137,491r-25,45l163,535,137,491xm166,439r-29,52l163,535r-51,1l168,536r-2,-97xm157,l97,1r9,439l137,491r29,-52l157,xe" fillcolor="black" stroked="f">
                  <v:fill opacity="22873f"/>
                  <v:path arrowok="t" o:connecttype="custom" o:connectlocs="25,2424;14,2428;5,2436;0,2447;0,2458;4,2469;139,2691;172,2632;108,2632;106,2521;55,2438;47,2429;36,2425;25,2424;106,2521;108,2632;168,2631;168,2617;112,2617;137,2572;106,2521;243,2420;231,2421;221,2426;213,2435;166,2520;168,2631;108,2632;172,2632;265,2464;269,2453;268,2441;263,2431;254,2423;243,2420;137,2572;112,2617;163,2616;137,2572;166,2520;137,2572;163,2616;112,2617;168,2617;166,2520;157,2081;97,2082;106,2521;137,2572;166,2520;157,2081" o:connectangles="0,0,0,0,0,0,0,0,0,0,0,0,0,0,0,0,0,0,0,0,0,0,0,0,0,0,0,0,0,0,0,0,0,0,0,0,0,0,0,0,0,0,0,0,0,0,0,0,0,0,0"/>
                </v:shape>
                <v:shape id="AutoShape 196" o:spid="_x0000_s1085" style="position:absolute;left:2870;top:2044;width:270;height:611;visibility:visible;mso-wrap-style:square;v-text-anchor:top" coordsize="270,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9J/8IA&#10;AADcAAAADwAAAGRycy9kb3ducmV2LnhtbERPz2vCMBS+C/4P4Qm7aarC0M60VMdg87YqyG7P5tl0&#10;a15Kk2n335vDwOPH93uTD7YVV+p941jBfJaAIK6cbrhWcDy8TVcgfEDW2DomBX/kIc/Gow2m2t34&#10;k65lqEUMYZ+iAhNCl0rpK0MW/cx1xJG7uN5iiLCvpe7xFsNtKxdJ8iwtNhwbDHa0M1T9lL9Wwao8&#10;J0VZ7I/L5bd05jV8bU+7D6WeJkPxAiLQEB7if/e7VrBYx/nxTDwCMr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0n/wgAAANwAAAAPAAAAAAAAAAAAAAAAAJgCAABkcnMvZG93&#10;bnJldi54bWxQSwUGAAAAAAQABAD1AAAAhwMAAAAA&#10;" path="m25,343r-11,4l5,355,,366r,11l4,388,139,610r33,-59l108,551,106,440,55,357r-8,-9l36,343r-11,xm106,440r2,111l168,550r,-14l112,536r25,-45l106,440xm243,339r-12,1l221,345r-8,9l166,439r2,111l108,551r64,l265,383r4,-11l268,360r-5,-10l254,342r-11,-3xm137,491r-25,45l163,535,137,491xm166,439r-29,52l163,535r-51,1l168,536r-2,-97xm157,l97,1r9,439l137,491r29,-52l157,xe" fillcolor="black" stroked="f">
                  <v:path arrowok="t" o:connecttype="custom" o:connectlocs="25,2388;14,2392;5,2400;0,2411;0,2422;4,2433;139,2655;172,2596;108,2596;106,2485;55,2402;47,2393;36,2388;25,2388;106,2485;108,2596;168,2595;168,2581;112,2581;137,2536;106,2485;243,2384;231,2385;221,2390;213,2399;166,2484;168,2595;108,2596;172,2596;265,2428;269,2417;268,2405;263,2395;254,2387;243,2384;137,2536;112,2581;163,2580;137,2536;166,2484;137,2536;163,2580;112,2581;168,2581;166,2484;157,2045;97,2046;106,2485;137,2536;166,2484;157,2045" o:connectangles="0,0,0,0,0,0,0,0,0,0,0,0,0,0,0,0,0,0,0,0,0,0,0,0,0,0,0,0,0,0,0,0,0,0,0,0,0,0,0,0,0,0,0,0,0,0,0,0,0,0,0"/>
                </v:shape>
                <v:shape id="Text Box 197" o:spid="_x0000_s1086" type="#_x0000_t202" style="position:absolute;left:1560;top:919;width:7911;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0Aj8QA&#10;AADcAAAADwAAAGRycy9kb3ducmV2LnhtbESPQYvCMBSE78L+h/AEb5rqQdZqFJEVFgSx1oPHZ/Ns&#10;g81LbbJa/71ZWNjjMDPfMItVZ2vxoNYbxwrGowQEceG04VLBKd8OP0H4gKyxdkwKXuRhtfzoLTDV&#10;7skZPY6hFBHCPkUFVQhNKqUvKrLoR64hjt7VtRZDlG0pdYvPCLe1nCTJVFo0HBcqbGhTUXE7/lgF&#10;6zNnX+a+vxyya2byfJbwbnpTatDv1nMQgbrwH/5rf2sFk9kY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9AI/EAAAA3AAAAA8AAAAAAAAAAAAAAAAAmAIAAGRycy9k&#10;b3ducmV2LnhtbFBLBQYAAAAABAAEAPUAAACJAwAAAAA=&#10;" filled="f" stroked="f">
                  <v:textbox inset="0,0,0,0">
                    <w:txbxContent>
                      <w:p w:rsidR="00F9369F" w:rsidRDefault="00F9369F" w:rsidP="00E929F2"/>
                      <w:p w:rsidR="00F9369F" w:rsidRDefault="00F9369F" w:rsidP="00E929F2"/>
                      <w:p w:rsidR="00F9369F" w:rsidRDefault="00F9369F" w:rsidP="00E929F2">
                        <w:pPr>
                          <w:spacing w:before="9"/>
                          <w:rPr>
                            <w:sz w:val="18"/>
                          </w:rPr>
                        </w:pPr>
                      </w:p>
                      <w:p w:rsidR="00F9369F" w:rsidRDefault="00F9369F" w:rsidP="00E929F2">
                        <w:pPr>
                          <w:ind w:left="494"/>
                          <w:rPr>
                            <w:rFonts w:ascii="Cambria" w:hAnsi="Cambria"/>
                            <w:b/>
                            <w:sz w:val="20"/>
                          </w:rPr>
                        </w:pPr>
                        <w:r>
                          <w:rPr>
                            <w:rFonts w:ascii="Cambria" w:hAnsi="Cambria"/>
                            <w:b/>
                            <w:sz w:val="20"/>
                          </w:rPr>
                          <w:t>Planificarea</w:t>
                        </w:r>
                        <w:r>
                          <w:rPr>
                            <w:rFonts w:ascii="Cambria" w:hAnsi="Cambria"/>
                            <w:b/>
                            <w:spacing w:val="-5"/>
                            <w:sz w:val="20"/>
                          </w:rPr>
                          <w:t xml:space="preserve"> </w:t>
                        </w:r>
                        <w:r>
                          <w:rPr>
                            <w:rFonts w:ascii="Cambria" w:hAnsi="Cambria"/>
                            <w:b/>
                            <w:sz w:val="20"/>
                          </w:rPr>
                          <w:t>strategică</w:t>
                        </w:r>
                      </w:p>
                    </w:txbxContent>
                  </v:textbox>
                </v:shape>
                <v:shape id="Text Box 198" o:spid="_x0000_s1087" type="#_x0000_t202" style="position:absolute;left:4777;top:1401;width:4656;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e+MUA&#10;AADcAAAADwAAAGRycy9kb3ducmV2LnhtbESPQWvCQBSE70L/w/IEb2ZjDlKjq0ipUBCKMR48vmaf&#10;yWL2bcxuNf33bqHQ4zAz3zCrzWBbcafeG8cKZkkKgrhy2nCt4FTupq8gfEDW2DomBT/kYbN+Ga0w&#10;1+7BBd2PoRYRwj5HBU0IXS6lrxqy6BPXEUfv4nqLIcq+lrrHR4TbVmZpOpcWDceFBjt6a6i6Hr+t&#10;gu2Zi3dz+/w6FJfClOUi5f38qtRkPGyXIAIN4T/81/7QCrJFBr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b574xQAAANwAAAAPAAAAAAAAAAAAAAAAAJgCAABkcnMv&#10;ZG93bnJldi54bWxQSwUGAAAAAAQABAD1AAAAigMAAAAA&#10;" filled="f" stroked="f">
                  <v:textbox inset="0,0,0,0">
                    <w:txbxContent>
                      <w:p w:rsidR="00F9369F" w:rsidRDefault="00F9369F" w:rsidP="00E929F2">
                        <w:pPr>
                          <w:spacing w:before="127" w:line="276" w:lineRule="auto"/>
                          <w:ind w:left="1811" w:hanging="1318"/>
                          <w:rPr>
                            <w:rFonts w:ascii="Cambria"/>
                            <w:b/>
                            <w:sz w:val="20"/>
                          </w:rPr>
                        </w:pPr>
                        <w:r>
                          <w:rPr>
                            <w:rFonts w:ascii="Cambria"/>
                            <w:b/>
                            <w:spacing w:val="-1"/>
                            <w:sz w:val="20"/>
                          </w:rPr>
                          <w:t>Managementul</w:t>
                        </w:r>
                        <w:r>
                          <w:rPr>
                            <w:rFonts w:ascii="Cambria"/>
                            <w:b/>
                            <w:spacing w:val="2"/>
                            <w:sz w:val="20"/>
                          </w:rPr>
                          <w:t xml:space="preserve"> </w:t>
                        </w:r>
                        <w:r>
                          <w:rPr>
                            <w:rFonts w:ascii="Cambria"/>
                            <w:b/>
                            <w:spacing w:val="-1"/>
                            <w:sz w:val="20"/>
                          </w:rPr>
                          <w:t>mediului/monitorizarea</w:t>
                        </w:r>
                        <w:r>
                          <w:rPr>
                            <w:rFonts w:ascii="Cambria"/>
                            <w:b/>
                            <w:spacing w:val="-41"/>
                            <w:sz w:val="20"/>
                          </w:rPr>
                          <w:t xml:space="preserve"> </w:t>
                        </w:r>
                        <w:r>
                          <w:rPr>
                            <w:rFonts w:ascii="Cambria"/>
                            <w:b/>
                            <w:sz w:val="20"/>
                          </w:rPr>
                          <w:t>habitatelor</w:t>
                        </w:r>
                      </w:p>
                    </w:txbxContent>
                  </v:textbox>
                </v:shape>
                <v:shape id="Text Box 199" o:spid="_x0000_s1088" type="#_x0000_t202" style="position:absolute;left:1590;top:949;width:7836;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M7Y8QA&#10;AADcAAAADwAAAGRycy9kb3ducmV2LnhtbESPQWvCQBSE74L/YXmCN92oIBpdRYpCQSiN8dDja/aZ&#10;LGbfptmtxn/fLQgeh5n5hllvO1uLG7XeOFYwGScgiAunDZcKzvlhtADhA7LG2jEpeJCH7abfW2Oq&#10;3Z0zup1CKSKEfYoKqhCaVEpfVGTRj11DHL2Lay2GKNtS6hbvEW5rOU2SubRoOC5U2NBbRcX19GsV&#10;7L4425ufj+/P7JKZPF8mfJxflRoOut0KRKAuvMLP9rtWMF3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jO2PEAAAA3AAAAA8AAAAAAAAAAAAAAAAAmAIAAGRycy9k&#10;b3ducmV2LnhtbFBLBQYAAAAABAAEAPUAAACJAwAAAAA=&#10;" filled="f" stroked="f">
                  <v:textbox inset="0,0,0,0">
                    <w:txbxContent>
                      <w:p w:rsidR="00F9369F" w:rsidRDefault="00F9369F" w:rsidP="00E929F2">
                        <w:pPr>
                          <w:spacing w:before="101"/>
                          <w:ind w:left="2749" w:right="2737"/>
                          <w:jc w:val="center"/>
                          <w:rPr>
                            <w:rFonts w:ascii="Cambria" w:hAnsi="Cambria"/>
                            <w:b/>
                            <w:sz w:val="20"/>
                          </w:rPr>
                        </w:pPr>
                        <w:r>
                          <w:rPr>
                            <w:rFonts w:ascii="Cambria" w:hAnsi="Cambria"/>
                            <w:b/>
                            <w:sz w:val="20"/>
                          </w:rPr>
                          <w:t>Obiectivele</w:t>
                        </w:r>
                        <w:r>
                          <w:rPr>
                            <w:rFonts w:ascii="Cambria" w:hAnsi="Cambria"/>
                            <w:b/>
                            <w:spacing w:val="-9"/>
                            <w:sz w:val="20"/>
                          </w:rPr>
                          <w:t xml:space="preserve"> </w:t>
                        </w:r>
                        <w:r>
                          <w:rPr>
                            <w:rFonts w:ascii="Cambria" w:hAnsi="Cambria"/>
                            <w:b/>
                            <w:sz w:val="20"/>
                          </w:rPr>
                          <w:t>monitorizării</w:t>
                        </w:r>
                      </w:p>
                    </w:txbxContent>
                  </v:textbox>
                </v:shape>
                <w10:wrap anchorx="page"/>
              </v:group>
            </w:pict>
          </mc:Fallback>
        </mc:AlternateContent>
      </w:r>
      <w:r w:rsidRPr="00E929F2">
        <w:rPr>
          <w:noProof/>
          <w:lang w:val="en-US"/>
        </w:rPr>
        <mc:AlternateContent>
          <mc:Choice Requires="wpg">
            <w:drawing>
              <wp:anchor distT="0" distB="0" distL="114300" distR="114300" simplePos="0" relativeHeight="251666432" behindDoc="1" locked="0" layoutInCell="1" allowOverlap="1" wp14:anchorId="68183843" wp14:editId="04334660">
                <wp:simplePos x="0" y="0"/>
                <wp:positionH relativeFrom="page">
                  <wp:posOffset>1049655</wp:posOffset>
                </wp:positionH>
                <wp:positionV relativeFrom="paragraph">
                  <wp:posOffset>1771015</wp:posOffset>
                </wp:positionV>
                <wp:extent cx="1820545" cy="225425"/>
                <wp:effectExtent l="1905" t="0" r="6350" b="4445"/>
                <wp:wrapNone/>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0545" cy="225425"/>
                          <a:chOff x="1653" y="2789"/>
                          <a:chExt cx="2867" cy="355"/>
                        </a:xfrm>
                      </wpg:grpSpPr>
                      <wps:wsp>
                        <wps:cNvPr id="295" name="Rectangle 201"/>
                        <wps:cNvSpPr>
                          <a:spLocks noChangeArrowheads="1"/>
                        </wps:cNvSpPr>
                        <wps:spPr bwMode="auto">
                          <a:xfrm>
                            <a:off x="1653" y="2820"/>
                            <a:ext cx="2867" cy="323"/>
                          </a:xfrm>
                          <a:prstGeom prst="rect">
                            <a:avLst/>
                          </a:prstGeom>
                          <a:solidFill>
                            <a:srgbClr val="000000">
                              <a:alpha val="3803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6" name="Picture 20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653" y="2789"/>
                            <a:ext cx="2867"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57DC797" id="Group 294" o:spid="_x0000_s1026" style="position:absolute;margin-left:82.65pt;margin-top:139.45pt;width:143.35pt;height:17.75pt;z-index:-251650048;mso-position-horizontal-relative:page" coordorigin="1653,2789" coordsize="2867,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">
                <v:rect id="Rectangle 201" o:spid="_x0000_s1027" style="position:absolute;left:1653;top:2820;width:2867;height: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I3EsUA&#10;AADcAAAADwAAAGRycy9kb3ducmV2LnhtbESPW2vCQBSE3wv+h+UIfdON0otGVykFIX1opfHyfMge&#10;s8Hs2ZDdaPz3bkHo4zAz3zDLdW9rcaHWV44VTMYJCOLC6YpLBfvdZjQD4QOyxtoxKbiRh/Vq8LTE&#10;VLsr/9IlD6WIEPYpKjAhNKmUvjBk0Y9dQxy9k2sthijbUuoWrxFuazlNkjdpseK4YLChT0PFOe+s&#10;gvfjJtf887Xlg//uXsouO5ldptTzsP9YgAjUh//wo51pBdP5K/ydi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jcSxQAAANwAAAAPAAAAAAAAAAAAAAAAAJgCAABkcnMv&#10;ZG93bnJldi54bWxQSwUGAAAAAAQABAD1AAAAigMAAAAA&#10;" fillcolor="black" stroked="f">
                  <v:fill opacity="24929f"/>
                </v:rect>
                <v:shape id="Picture 202" o:spid="_x0000_s1028" type="#_x0000_t75" style="position:absolute;left:1653;top:2789;width:2867;height: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k2zvCAAAA3AAAAA8AAABkcnMvZG93bnJldi54bWxEj0GLwjAUhO8L/ofwBG9rqgfRahQRCh61&#10;rujx2TzbYvNSm2irv94sLOxxmJlvmMWqM5V4UuNKywpGwwgEcWZ1ybmCn0PyPQXhPLLGyjIpeJGD&#10;1bL3tcBY25b39Ex9LgKEXYwKCu/rWEqXFWTQDW1NHLyrbQz6IJtc6gbbADeVHEfRRBosOSwUWNOm&#10;oOyWPoyCY+pHyXtKrr1Tcs74Eu2S002pQb9bz0F46vx/+K+91QrGswn8nglHQC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pNs7wgAAANwAAAAPAAAAAAAAAAAAAAAAAJ8C&#10;AABkcnMvZG93bnJldi54bWxQSwUGAAAAAAQABAD3AAAAjgMAAAAA&#10;">
                  <v:imagedata r:id="rId40" o:title=""/>
                </v:shape>
                <w10:wrap anchorx="page"/>
              </v:group>
            </w:pict>
          </mc:Fallback>
        </mc:AlternateContent>
      </w:r>
      <w:r w:rsidRPr="00E929F2">
        <w:rPr>
          <w:noProof/>
          <w:lang w:val="en-US"/>
        </w:rPr>
        <mc:AlternateContent>
          <mc:Choice Requires="wpg">
            <w:drawing>
              <wp:anchor distT="0" distB="0" distL="114300" distR="114300" simplePos="0" relativeHeight="251667456" behindDoc="1" locked="0" layoutInCell="1" allowOverlap="1" wp14:anchorId="3E1F70CB" wp14:editId="5737041F">
                <wp:simplePos x="0" y="0"/>
                <wp:positionH relativeFrom="page">
                  <wp:posOffset>3119755</wp:posOffset>
                </wp:positionH>
                <wp:positionV relativeFrom="paragraph">
                  <wp:posOffset>1771015</wp:posOffset>
                </wp:positionV>
                <wp:extent cx="2915920" cy="225425"/>
                <wp:effectExtent l="5080" t="0" r="3175" b="4445"/>
                <wp:wrapNone/>
                <wp:docPr id="29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5920" cy="225425"/>
                          <a:chOff x="4913" y="2789"/>
                          <a:chExt cx="4592" cy="355"/>
                        </a:xfrm>
                      </wpg:grpSpPr>
                      <wps:wsp>
                        <wps:cNvPr id="298" name="Rectangle 204"/>
                        <wps:cNvSpPr>
                          <a:spLocks noChangeArrowheads="1"/>
                        </wps:cNvSpPr>
                        <wps:spPr bwMode="auto">
                          <a:xfrm>
                            <a:off x="4913" y="2820"/>
                            <a:ext cx="4592" cy="323"/>
                          </a:xfrm>
                          <a:prstGeom prst="rect">
                            <a:avLst/>
                          </a:prstGeom>
                          <a:solidFill>
                            <a:srgbClr val="000000">
                              <a:alpha val="3803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9" name="Picture 20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4913" y="2789"/>
                            <a:ext cx="4592"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C233F40" id="Group 297" o:spid="_x0000_s1026" style="position:absolute;margin-left:245.65pt;margin-top:139.45pt;width:229.6pt;height:17.75pt;z-index:-251649024;mso-position-horizontal-relative:page" coordorigin="4913,2789" coordsize="4592,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">
                <v:rect id="Rectangle 204" o:spid="_x0000_s1027" style="position:absolute;left:4913;top:2820;width:4592;height: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OYjMEA&#10;AADcAAAADwAAAGRycy9kb3ducmV2LnhtbERPz2vCMBS+D/Y/hDfwNtOJ6KxGGQOhHlSs0/OjeTZl&#10;zUtpUq3/vTkIHj++34tVb2txpdZXjhV8DRMQxIXTFZcK/o7rz28QPiBrrB2Tgjt5WC3f3xaYanfj&#10;A13zUIoYwj5FBSaEJpXSF4Ys+qFriCN3ca3FEGFbSt3iLYbbWo6SZCItVhwbDDb0a6j4zzurYHpe&#10;55p3mz2f/LYbl112McdMqcFH/zMHEagPL/HTnWkFo1lcG8/EIy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zmIzBAAAA3AAAAA8AAAAAAAAAAAAAAAAAmAIAAGRycy9kb3du&#10;cmV2LnhtbFBLBQYAAAAABAAEAPUAAACGAwAAAAA=&#10;" fillcolor="black" stroked="f">
                  <v:fill opacity="24929f"/>
                </v:rect>
                <v:shape id="Picture 205" o:spid="_x0000_s1028" type="#_x0000_t75" style="position:absolute;left:4913;top:2789;width:4592;height: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rN1LGAAAA3AAAAA8AAABkcnMvZG93bnJldi54bWxEj09rwkAUxO8Fv8PyBG91o5SiMauIUpTS&#10;S2MpeHtmX/5o9m3Irib59t1CocdhZn7DJJve1OJBrassK5hNIxDEmdUVFwq+Tm/PCxDOI2usLZOC&#10;gRxs1qOnBGNtO/6kR+oLESDsYlRQet/EUrqsJINuahvi4OW2NeiDbAupW+wC3NRyHkWv0mDFYaHE&#10;hnYlZbf0bhR87z/OMj+f0qq7Ht8XL8NhiC4HpSbjfrsC4an3/+G/9lErmC+X8HsmHA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Os3UsYAAADcAAAADwAAAAAAAAAAAAAA&#10;AACfAgAAZHJzL2Rvd25yZXYueG1sUEsFBgAAAAAEAAQA9wAAAJIDAAAAAA==&#10;">
                  <v:imagedata r:id="rId42" o:title=""/>
                </v:shape>
                <w10:wrap anchorx="page"/>
              </v:group>
            </w:pict>
          </mc:Fallback>
        </mc:AlternateContent>
      </w:r>
      <w:r w:rsidRPr="00E929F2">
        <w:rPr>
          <w:noProof/>
          <w:lang w:val="en-US"/>
        </w:rPr>
        <mc:AlternateContent>
          <mc:Choice Requires="wpg">
            <w:drawing>
              <wp:anchor distT="0" distB="0" distL="114300" distR="114300" simplePos="0" relativeHeight="251663360" behindDoc="0" locked="0" layoutInCell="1" allowOverlap="1" wp14:anchorId="74A5F412" wp14:editId="1D915C70">
                <wp:simplePos x="0" y="0"/>
                <wp:positionH relativeFrom="page">
                  <wp:posOffset>4113530</wp:posOffset>
                </wp:positionH>
                <wp:positionV relativeFrom="paragraph">
                  <wp:posOffset>6506210</wp:posOffset>
                </wp:positionV>
                <wp:extent cx="847725" cy="514350"/>
                <wp:effectExtent l="8255" t="0" r="1270" b="0"/>
                <wp:wrapNone/>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7725" cy="514350"/>
                          <a:chOff x="6478" y="10246"/>
                          <a:chExt cx="1335" cy="810"/>
                        </a:xfrm>
                      </wpg:grpSpPr>
                      <wps:wsp>
                        <wps:cNvPr id="301" name="Rectangle 133"/>
                        <wps:cNvSpPr>
                          <a:spLocks noChangeArrowheads="1"/>
                        </wps:cNvSpPr>
                        <wps:spPr bwMode="auto">
                          <a:xfrm>
                            <a:off x="6486" y="10655"/>
                            <a:ext cx="1320" cy="400"/>
                          </a:xfrm>
                          <a:prstGeom prst="rect">
                            <a:avLst/>
                          </a:prstGeom>
                          <a:solidFill>
                            <a:srgbClr val="000000">
                              <a:alpha val="3803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02" name="Picture 1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486" y="10624"/>
                            <a:ext cx="132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3" name="Picture 1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935" y="10246"/>
                            <a:ext cx="270"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4" name="Text Box 136"/>
                        <wps:cNvSpPr txBox="1">
                          <a:spLocks noChangeArrowheads="1"/>
                        </wps:cNvSpPr>
                        <wps:spPr bwMode="auto">
                          <a:xfrm>
                            <a:off x="6486" y="10624"/>
                            <a:ext cx="1320" cy="400"/>
                          </a:xfrm>
                          <a:prstGeom prst="rect">
                            <a:avLst/>
                          </a:prstGeom>
                          <a:noFill/>
                          <a:ln w="9525">
                            <a:solidFill>
                              <a:srgbClr val="BB454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E548C63" w14:textId="77777777" w:rsidR="00F9369F" w:rsidRDefault="00F9369F" w:rsidP="00E929F2">
                              <w:pPr>
                                <w:spacing w:before="73"/>
                                <w:ind w:left="218"/>
                                <w:rPr>
                                  <w:rFonts w:ascii="Cambria"/>
                                  <w:b/>
                                  <w:sz w:val="20"/>
                                </w:rPr>
                              </w:pPr>
                              <w:r>
                                <w:rPr>
                                  <w:rFonts w:ascii="Cambria"/>
                                  <w:b/>
                                  <w:sz w:val="20"/>
                                </w:rPr>
                                <w:t>Rezultate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AE79B3" id="Group 300" o:spid="_x0000_s1089" style="position:absolute;margin-left:323.9pt;margin-top:512.3pt;width:66.75pt;height:40.5pt;z-index:251663360;mso-position-horizontal-relative:page" coordorigin="6478,10246" coordsize="1335,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">
                <v:rect id="Rectangle 133" o:spid="_x0000_s1090" style="position:absolute;left:6486;top:10655;width:132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rC8QA&#10;AADcAAAADwAAAGRycy9kb3ducmV2LnhtbESPQWvCQBSE7wX/w/IEb3Wjliqpq4ggxIMVo+35kX1m&#10;Q7NvQ3aj8d93C0KPw8x8wyzXva3FjVpfOVYwGScgiAunKy4VXM671wUIH5A11o5JwYM8rFeDlyWm&#10;2t35RLc8lCJC2KeowITQpFL6wpBFP3YNcfSurrUYomxLqVu8R7it5TRJ3qXFiuOCwYa2hoqfvLMK&#10;5t+7XPPn/shf/tC9lV12NedMqdGw33yACNSH//CznWkFs2QCf2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iqwvEAAAA3AAAAA8AAAAAAAAAAAAAAAAAmAIAAGRycy9k&#10;b3ducmV2LnhtbFBLBQYAAAAABAAEAPUAAACJAwAAAAA=&#10;" fillcolor="black" stroked="f">
                  <v:fill opacity="24929f"/>
                </v:rect>
                <v:shape id="Picture 134" o:spid="_x0000_s1091" type="#_x0000_t75" style="position:absolute;left:6486;top:10624;width:1320;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Yxn3FAAAA3AAAAA8AAABkcnMvZG93bnJldi54bWxEj0FrwkAUhO8F/8PyCt5002iLRFdRISil&#10;B7UKHh/ZZxLMvg27q6b/vlsQehxm5htmtuhMI+7kfG1ZwdswAUFcWF1zqeD4nQ8mIHxA1thYJgU/&#10;5GEx773MMNP2wXu6H0IpIoR9hgqqENpMSl9UZNAPbUscvYt1BkOUrpTa4SPCTSPTJPmQBmuOCxW2&#10;tK6ouB5uRoH9XKabvD7vRifnx7f389dmlRdK9V+75RREoC78h5/trVYwSlL4OxOPgJ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GMZ9xQAAANwAAAAPAAAAAAAAAAAAAAAA&#10;AJ8CAABkcnMvZG93bnJldi54bWxQSwUGAAAAAAQABAD3AAAAkQMAAAAA&#10;">
                  <v:imagedata r:id="rId45" o:title=""/>
                </v:shape>
                <v:shape id="Picture 135" o:spid="_x0000_s1092" type="#_x0000_t75" style="position:absolute;left:6935;top:10246;width:270;height: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VNC/CAAAA3AAAAA8AAABkcnMvZG93bnJldi54bWxEj8FqwzAQRO+B/oPYQG6JnBpC61oOocGQ&#10;Y2L3AxZrY5laK2OpjpOvjwqFHoeZecPk+9n2YqLRd44VbDcJCOLG6Y5bBV91uX4D4QOyxt4xKbiT&#10;h33xssgx0+7GF5qq0IoIYZ+hAhPCkEnpG0MW/cYNxNG7utFiiHJspR7xFuG2l69JspMWO44LBgf6&#10;NNR8Vz9WQS19vy3P5XF6yHe6moHxyKlSq+V8+AARaA7/4b/2SStIkxR+z8QjII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FTQvwgAAANwAAAAPAAAAAAAAAAAAAAAAAJ8C&#10;AABkcnMvZG93bnJldi54bWxQSwUGAAAAAAQABAD3AAAAjgMAAAAA&#10;">
                  <v:imagedata r:id="rId46" o:title=""/>
                </v:shape>
                <v:shape id="Text Box 136" o:spid="_x0000_s1093" type="#_x0000_t202" style="position:absolute;left:6486;top:10624;width:132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Ob8QA&#10;AADcAAAADwAAAGRycy9kb3ducmV2LnhtbESPT4vCMBTE78J+h/AW9qbp+meVapRFEDwoqKueH8mz&#10;LTYvpYm1++2NIHgcZuY3zGzR2lI0VPvCsYLvXgKCWDtTcKbg+LfqTkD4gGywdEwK/snDYv7RmWFq&#10;3J331BxCJiKEfYoK8hCqVEqvc7Loe64ijt7F1RZDlHUmTY33CLel7CfJj7RYcFzIsaJlTvp6uFkF&#10;o/bMp0EYN9X6tOnr3XKzPTZaqa/P9ncKIlAb3uFXe20UDJIhPM/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Sjm/EAAAA3AAAAA8AAAAAAAAAAAAAAAAAmAIAAGRycy9k&#10;b3ducmV2LnhtbFBLBQYAAAAABAAEAPUAAACJAwAAAAA=&#10;" filled="f" strokecolor="#bb4542">
                  <v:textbox inset="0,0,0,0">
                    <w:txbxContent>
                      <w:p w:rsidR="00F9369F" w:rsidRDefault="00F9369F" w:rsidP="00E929F2">
                        <w:pPr>
                          <w:spacing w:before="73"/>
                          <w:ind w:left="218"/>
                          <w:rPr>
                            <w:rFonts w:ascii="Cambria"/>
                            <w:b/>
                            <w:sz w:val="20"/>
                          </w:rPr>
                        </w:pPr>
                        <w:r>
                          <w:rPr>
                            <w:rFonts w:ascii="Cambria"/>
                            <w:b/>
                            <w:sz w:val="20"/>
                          </w:rPr>
                          <w:t>Rezultate</w:t>
                        </w:r>
                      </w:p>
                    </w:txbxContent>
                  </v:textbox>
                </v:shape>
                <w10:wrap anchorx="page"/>
              </v:group>
            </w:pict>
          </mc:Fallback>
        </mc:AlternateContent>
      </w:r>
      <w:r w:rsidRPr="00E929F2">
        <w:t>Acestea</w:t>
      </w:r>
      <w:r w:rsidRPr="00E929F2">
        <w:rPr>
          <w:spacing w:val="29"/>
        </w:rPr>
        <w:t xml:space="preserve"> </w:t>
      </w:r>
      <w:r w:rsidRPr="00E929F2">
        <w:t>includ</w:t>
      </w:r>
      <w:r w:rsidRPr="00E929F2">
        <w:rPr>
          <w:spacing w:val="29"/>
        </w:rPr>
        <w:t xml:space="preserve"> </w:t>
      </w:r>
      <w:r w:rsidRPr="00E929F2">
        <w:t xml:space="preserve">următoarele </w:t>
      </w:r>
      <w:r w:rsidRPr="00E929F2">
        <w:rPr>
          <w:spacing w:val="-57"/>
        </w:rPr>
        <w:t xml:space="preserve"> </w:t>
      </w:r>
      <w:r w:rsidRPr="00E929F2">
        <w:t>elemente</w:t>
      </w:r>
      <w:r w:rsidRPr="00E929F2">
        <w:rPr>
          <w:spacing w:val="-1"/>
        </w:rPr>
        <w:t xml:space="preserve"> </w:t>
      </w:r>
      <w:r w:rsidRPr="00E929F2">
        <w:t>principale:</w:t>
      </w:r>
    </w:p>
    <w:p w14:paraId="211A0C58" w14:textId="77777777" w:rsidR="00E929F2" w:rsidRPr="00E929F2" w:rsidRDefault="00E929F2" w:rsidP="00E929F2">
      <w:pPr>
        <w:widowControl w:val="0"/>
        <w:autoSpaceDE w:val="0"/>
        <w:autoSpaceDN w:val="0"/>
        <w:spacing w:before="160" w:line="276" w:lineRule="auto"/>
        <w:ind w:left="293"/>
        <w:rPr>
          <w:spacing w:val="29"/>
        </w:rPr>
      </w:pPr>
    </w:p>
    <w:p w14:paraId="7F5846EF" w14:textId="77777777" w:rsidR="00E929F2" w:rsidRPr="00E929F2" w:rsidRDefault="00E929F2" w:rsidP="00E929F2">
      <w:pPr>
        <w:widowControl w:val="0"/>
        <w:autoSpaceDE w:val="0"/>
        <w:autoSpaceDN w:val="0"/>
        <w:rPr>
          <w:sz w:val="20"/>
        </w:rPr>
      </w:pPr>
    </w:p>
    <w:p w14:paraId="78A63D26" w14:textId="77777777" w:rsidR="00E929F2" w:rsidRPr="00E929F2" w:rsidRDefault="00E929F2" w:rsidP="00E929F2">
      <w:pPr>
        <w:widowControl w:val="0"/>
        <w:autoSpaceDE w:val="0"/>
        <w:autoSpaceDN w:val="0"/>
        <w:rPr>
          <w:sz w:val="20"/>
        </w:rPr>
      </w:pPr>
    </w:p>
    <w:p w14:paraId="1C84E49A" w14:textId="77777777" w:rsidR="00E929F2" w:rsidRPr="00E929F2" w:rsidRDefault="00E929F2" w:rsidP="00E929F2">
      <w:pPr>
        <w:widowControl w:val="0"/>
        <w:autoSpaceDE w:val="0"/>
        <w:autoSpaceDN w:val="0"/>
        <w:rPr>
          <w:sz w:val="20"/>
        </w:rPr>
      </w:pPr>
    </w:p>
    <w:p w14:paraId="31429CEC" w14:textId="77777777" w:rsidR="00E929F2" w:rsidRPr="00E929F2" w:rsidRDefault="00E929F2" w:rsidP="00E929F2">
      <w:pPr>
        <w:widowControl w:val="0"/>
        <w:autoSpaceDE w:val="0"/>
        <w:autoSpaceDN w:val="0"/>
        <w:rPr>
          <w:sz w:val="20"/>
        </w:rPr>
      </w:pPr>
    </w:p>
    <w:p w14:paraId="638ACD51" w14:textId="77777777" w:rsidR="00E929F2" w:rsidRPr="00E929F2" w:rsidRDefault="00E929F2" w:rsidP="00E929F2">
      <w:pPr>
        <w:widowControl w:val="0"/>
        <w:autoSpaceDE w:val="0"/>
        <w:autoSpaceDN w:val="0"/>
        <w:rPr>
          <w:sz w:val="20"/>
        </w:rPr>
      </w:pPr>
    </w:p>
    <w:p w14:paraId="5EF3967B" w14:textId="77777777" w:rsidR="00E929F2" w:rsidRPr="00E929F2" w:rsidRDefault="00E929F2" w:rsidP="00E929F2">
      <w:pPr>
        <w:widowControl w:val="0"/>
        <w:autoSpaceDE w:val="0"/>
        <w:autoSpaceDN w:val="0"/>
        <w:rPr>
          <w:sz w:val="20"/>
        </w:rPr>
      </w:pPr>
    </w:p>
    <w:p w14:paraId="41E0E8C4" w14:textId="77777777" w:rsidR="00E929F2" w:rsidRPr="00E929F2" w:rsidRDefault="00E929F2" w:rsidP="00E929F2">
      <w:pPr>
        <w:widowControl w:val="0"/>
        <w:autoSpaceDE w:val="0"/>
        <w:autoSpaceDN w:val="0"/>
        <w:rPr>
          <w:sz w:val="20"/>
        </w:rPr>
      </w:pPr>
    </w:p>
    <w:p w14:paraId="6C4E793F" w14:textId="77777777" w:rsidR="00E929F2" w:rsidRPr="00E929F2" w:rsidRDefault="00E929F2" w:rsidP="00E929F2">
      <w:pPr>
        <w:widowControl w:val="0"/>
        <w:autoSpaceDE w:val="0"/>
        <w:autoSpaceDN w:val="0"/>
        <w:rPr>
          <w:sz w:val="20"/>
        </w:rPr>
      </w:pPr>
    </w:p>
    <w:p w14:paraId="198E621F" w14:textId="77777777" w:rsidR="00E929F2" w:rsidRPr="00E929F2" w:rsidRDefault="00E929F2" w:rsidP="00E929F2">
      <w:pPr>
        <w:widowControl w:val="0"/>
        <w:autoSpaceDE w:val="0"/>
        <w:autoSpaceDN w:val="0"/>
        <w:spacing w:before="9"/>
        <w:rPr>
          <w:sz w:val="12"/>
        </w:rPr>
      </w:pPr>
    </w:p>
    <w:tbl>
      <w:tblPr>
        <w:tblW w:w="0" w:type="auto"/>
        <w:tblInd w:w="75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96"/>
        <w:gridCol w:w="1503"/>
        <w:gridCol w:w="393"/>
        <w:gridCol w:w="2157"/>
        <w:gridCol w:w="2435"/>
      </w:tblGrid>
      <w:tr w:rsidR="00E929F2" w:rsidRPr="00E929F2" w14:paraId="6654F252" w14:textId="77777777" w:rsidTr="00993B86">
        <w:trPr>
          <w:trHeight w:val="307"/>
        </w:trPr>
        <w:tc>
          <w:tcPr>
            <w:tcW w:w="2899" w:type="dxa"/>
            <w:gridSpan w:val="2"/>
          </w:tcPr>
          <w:p w14:paraId="0656F909" w14:textId="77777777" w:rsidR="00E929F2" w:rsidRPr="00E929F2" w:rsidRDefault="00E929F2" w:rsidP="00E929F2">
            <w:pPr>
              <w:widowControl w:val="0"/>
              <w:autoSpaceDE w:val="0"/>
              <w:autoSpaceDN w:val="0"/>
              <w:spacing w:before="73"/>
              <w:ind w:left="392"/>
              <w:rPr>
                <w:rFonts w:ascii="Cambria"/>
                <w:b/>
                <w:sz w:val="18"/>
                <w:szCs w:val="22"/>
              </w:rPr>
            </w:pPr>
            <w:r w:rsidRPr="00E929F2">
              <w:rPr>
                <w:rFonts w:ascii="Cambria"/>
                <w:b/>
                <w:sz w:val="18"/>
                <w:szCs w:val="22"/>
              </w:rPr>
              <w:t>Arie</w:t>
            </w:r>
            <w:r w:rsidRPr="00E929F2">
              <w:rPr>
                <w:rFonts w:ascii="Cambria"/>
                <w:b/>
                <w:spacing w:val="-3"/>
                <w:sz w:val="18"/>
                <w:szCs w:val="22"/>
              </w:rPr>
              <w:t xml:space="preserve"> </w:t>
            </w:r>
            <w:r w:rsidRPr="00E929F2">
              <w:rPr>
                <w:rFonts w:ascii="Cambria"/>
                <w:b/>
                <w:sz w:val="18"/>
                <w:szCs w:val="22"/>
              </w:rPr>
              <w:t>mare</w:t>
            </w:r>
            <w:r w:rsidRPr="00E929F2">
              <w:rPr>
                <w:rFonts w:ascii="Cambria"/>
                <w:b/>
                <w:spacing w:val="-2"/>
                <w:sz w:val="18"/>
                <w:szCs w:val="22"/>
              </w:rPr>
              <w:t xml:space="preserve"> </w:t>
            </w:r>
            <w:r w:rsidRPr="00E929F2">
              <w:rPr>
                <w:rFonts w:ascii="Cambria"/>
                <w:b/>
                <w:sz w:val="18"/>
                <w:szCs w:val="22"/>
              </w:rPr>
              <w:t>de</w:t>
            </w:r>
            <w:r w:rsidRPr="00E929F2">
              <w:rPr>
                <w:rFonts w:ascii="Cambria"/>
                <w:b/>
                <w:spacing w:val="-2"/>
                <w:sz w:val="18"/>
                <w:szCs w:val="22"/>
              </w:rPr>
              <w:t xml:space="preserve"> </w:t>
            </w:r>
            <w:r w:rsidRPr="00E929F2">
              <w:rPr>
                <w:rFonts w:ascii="Cambria"/>
                <w:b/>
                <w:sz w:val="18"/>
                <w:szCs w:val="22"/>
              </w:rPr>
              <w:t>monitorizare</w:t>
            </w:r>
          </w:p>
        </w:tc>
        <w:tc>
          <w:tcPr>
            <w:tcW w:w="393" w:type="dxa"/>
            <w:tcBorders>
              <w:top w:val="nil"/>
              <w:bottom w:val="nil"/>
              <w:right w:val="single" w:sz="6" w:space="0" w:color="BB4542"/>
            </w:tcBorders>
          </w:tcPr>
          <w:p w14:paraId="519C8378" w14:textId="77777777" w:rsidR="00E929F2" w:rsidRPr="00E929F2" w:rsidRDefault="00E929F2" w:rsidP="00E929F2">
            <w:pPr>
              <w:widowControl w:val="0"/>
              <w:autoSpaceDE w:val="0"/>
              <w:autoSpaceDN w:val="0"/>
              <w:rPr>
                <w:sz w:val="20"/>
                <w:szCs w:val="22"/>
              </w:rPr>
            </w:pPr>
          </w:p>
        </w:tc>
        <w:tc>
          <w:tcPr>
            <w:tcW w:w="4592" w:type="dxa"/>
            <w:gridSpan w:val="2"/>
            <w:tcBorders>
              <w:top w:val="single" w:sz="6" w:space="0" w:color="BB4542"/>
              <w:left w:val="single" w:sz="6" w:space="0" w:color="BB4542"/>
              <w:bottom w:val="single" w:sz="6" w:space="0" w:color="BB4542"/>
              <w:right w:val="single" w:sz="6" w:space="0" w:color="BB4542"/>
            </w:tcBorders>
          </w:tcPr>
          <w:p w14:paraId="7C6C6B15" w14:textId="77777777" w:rsidR="00E929F2" w:rsidRPr="00E929F2" w:rsidRDefault="00E929F2" w:rsidP="00E929F2">
            <w:pPr>
              <w:widowControl w:val="0"/>
              <w:autoSpaceDE w:val="0"/>
              <w:autoSpaceDN w:val="0"/>
              <w:spacing w:before="73"/>
              <w:ind w:left="1241"/>
              <w:rPr>
                <w:rFonts w:ascii="Cambria" w:hAnsi="Cambria"/>
                <w:b/>
                <w:sz w:val="18"/>
                <w:szCs w:val="22"/>
              </w:rPr>
            </w:pPr>
            <w:r w:rsidRPr="00E929F2">
              <w:rPr>
                <w:rFonts w:ascii="Cambria" w:hAnsi="Cambria"/>
                <w:b/>
                <w:sz w:val="18"/>
                <w:szCs w:val="22"/>
              </w:rPr>
              <w:t>Arie</w:t>
            </w:r>
            <w:r w:rsidRPr="00E929F2">
              <w:rPr>
                <w:rFonts w:ascii="Cambria" w:hAnsi="Cambria"/>
                <w:b/>
                <w:spacing w:val="-2"/>
                <w:sz w:val="18"/>
                <w:szCs w:val="22"/>
              </w:rPr>
              <w:t xml:space="preserve"> </w:t>
            </w:r>
            <w:r w:rsidRPr="00E929F2">
              <w:rPr>
                <w:rFonts w:ascii="Cambria" w:hAnsi="Cambria"/>
                <w:b/>
                <w:sz w:val="18"/>
                <w:szCs w:val="22"/>
              </w:rPr>
              <w:t>mică</w:t>
            </w:r>
            <w:r w:rsidRPr="00E929F2">
              <w:rPr>
                <w:rFonts w:ascii="Cambria" w:hAnsi="Cambria"/>
                <w:b/>
                <w:spacing w:val="-3"/>
                <w:sz w:val="18"/>
                <w:szCs w:val="22"/>
              </w:rPr>
              <w:t xml:space="preserve"> </w:t>
            </w:r>
            <w:r w:rsidRPr="00E929F2">
              <w:rPr>
                <w:rFonts w:ascii="Cambria" w:hAnsi="Cambria"/>
                <w:b/>
                <w:sz w:val="18"/>
                <w:szCs w:val="22"/>
              </w:rPr>
              <w:t>de</w:t>
            </w:r>
            <w:r w:rsidRPr="00E929F2">
              <w:rPr>
                <w:rFonts w:ascii="Cambria" w:hAnsi="Cambria"/>
                <w:b/>
                <w:spacing w:val="-1"/>
                <w:sz w:val="18"/>
                <w:szCs w:val="22"/>
              </w:rPr>
              <w:t xml:space="preserve"> </w:t>
            </w:r>
            <w:r w:rsidRPr="00E929F2">
              <w:rPr>
                <w:rFonts w:ascii="Cambria" w:hAnsi="Cambria"/>
                <w:b/>
                <w:sz w:val="18"/>
                <w:szCs w:val="22"/>
              </w:rPr>
              <w:t>monitorizare</w:t>
            </w:r>
          </w:p>
        </w:tc>
      </w:tr>
      <w:tr w:rsidR="00E929F2" w:rsidRPr="00E929F2" w14:paraId="789F2773" w14:textId="77777777" w:rsidTr="00993B86">
        <w:trPr>
          <w:trHeight w:val="798"/>
        </w:trPr>
        <w:tc>
          <w:tcPr>
            <w:tcW w:w="1396" w:type="dxa"/>
            <w:tcBorders>
              <w:left w:val="nil"/>
              <w:bottom w:val="single" w:sz="6" w:space="0" w:color="F68B36"/>
              <w:right w:val="single" w:sz="34" w:space="0" w:color="000000"/>
            </w:tcBorders>
          </w:tcPr>
          <w:p w14:paraId="63E130FE" w14:textId="77777777" w:rsidR="00E929F2" w:rsidRPr="00E929F2" w:rsidRDefault="00E929F2" w:rsidP="00E929F2">
            <w:pPr>
              <w:widowControl w:val="0"/>
              <w:autoSpaceDE w:val="0"/>
              <w:autoSpaceDN w:val="0"/>
              <w:rPr>
                <w:sz w:val="20"/>
                <w:szCs w:val="22"/>
              </w:rPr>
            </w:pPr>
          </w:p>
        </w:tc>
        <w:tc>
          <w:tcPr>
            <w:tcW w:w="4053" w:type="dxa"/>
            <w:gridSpan w:val="3"/>
            <w:tcBorders>
              <w:top w:val="nil"/>
              <w:left w:val="single" w:sz="34" w:space="0" w:color="000000"/>
              <w:bottom w:val="single" w:sz="6" w:space="0" w:color="F68B36"/>
              <w:right w:val="single" w:sz="24" w:space="0" w:color="000000"/>
            </w:tcBorders>
          </w:tcPr>
          <w:p w14:paraId="51216E1E" w14:textId="77777777" w:rsidR="00E929F2" w:rsidRPr="00E929F2" w:rsidRDefault="00E929F2" w:rsidP="00E929F2">
            <w:pPr>
              <w:widowControl w:val="0"/>
              <w:autoSpaceDE w:val="0"/>
              <w:autoSpaceDN w:val="0"/>
              <w:rPr>
                <w:sz w:val="20"/>
                <w:szCs w:val="22"/>
              </w:rPr>
            </w:pPr>
          </w:p>
        </w:tc>
        <w:tc>
          <w:tcPr>
            <w:tcW w:w="2435" w:type="dxa"/>
            <w:tcBorders>
              <w:top w:val="single" w:sz="6" w:space="0" w:color="BB4542"/>
              <w:left w:val="single" w:sz="24" w:space="0" w:color="000000"/>
              <w:bottom w:val="single" w:sz="6" w:space="0" w:color="F68B36"/>
              <w:right w:val="nil"/>
            </w:tcBorders>
          </w:tcPr>
          <w:p w14:paraId="0A8A59AE" w14:textId="77777777" w:rsidR="00E929F2" w:rsidRPr="00E929F2" w:rsidRDefault="00E929F2" w:rsidP="00E929F2">
            <w:pPr>
              <w:widowControl w:val="0"/>
              <w:autoSpaceDE w:val="0"/>
              <w:autoSpaceDN w:val="0"/>
              <w:rPr>
                <w:sz w:val="20"/>
                <w:szCs w:val="22"/>
              </w:rPr>
            </w:pPr>
          </w:p>
        </w:tc>
      </w:tr>
      <w:tr w:rsidR="00E929F2" w:rsidRPr="00E929F2" w14:paraId="3BB12AF9" w14:textId="77777777" w:rsidTr="00993B86">
        <w:trPr>
          <w:trHeight w:val="320"/>
        </w:trPr>
        <w:tc>
          <w:tcPr>
            <w:tcW w:w="7884" w:type="dxa"/>
            <w:gridSpan w:val="5"/>
            <w:tcBorders>
              <w:top w:val="single" w:sz="6" w:space="0" w:color="F68B36"/>
              <w:left w:val="single" w:sz="6" w:space="0" w:color="F68B36"/>
              <w:bottom w:val="single" w:sz="6" w:space="0" w:color="F68B36"/>
              <w:right w:val="single" w:sz="6" w:space="0" w:color="F68B36"/>
            </w:tcBorders>
          </w:tcPr>
          <w:p w14:paraId="0CB94C4F" w14:textId="77777777" w:rsidR="00E929F2" w:rsidRPr="00E929F2" w:rsidRDefault="00E929F2" w:rsidP="00E929F2">
            <w:pPr>
              <w:widowControl w:val="0"/>
              <w:autoSpaceDE w:val="0"/>
              <w:autoSpaceDN w:val="0"/>
              <w:spacing w:before="73" w:line="227" w:lineRule="exact"/>
              <w:ind w:left="2392" w:right="2347"/>
              <w:jc w:val="center"/>
              <w:rPr>
                <w:rFonts w:ascii="Cambria"/>
                <w:b/>
                <w:sz w:val="20"/>
                <w:szCs w:val="22"/>
              </w:rPr>
            </w:pPr>
            <w:r w:rsidRPr="00E929F2">
              <w:rPr>
                <w:rFonts w:ascii="Cambria"/>
                <w:b/>
                <w:sz w:val="20"/>
                <w:szCs w:val="22"/>
              </w:rPr>
              <w:t>Delimitarea</w:t>
            </w:r>
            <w:r w:rsidRPr="00E929F2">
              <w:rPr>
                <w:rFonts w:ascii="Cambria"/>
                <w:b/>
                <w:spacing w:val="-5"/>
                <w:sz w:val="20"/>
                <w:szCs w:val="22"/>
              </w:rPr>
              <w:t xml:space="preserve"> </w:t>
            </w:r>
            <w:r w:rsidRPr="00E929F2">
              <w:rPr>
                <w:rFonts w:ascii="Cambria"/>
                <w:b/>
                <w:sz w:val="20"/>
                <w:szCs w:val="22"/>
              </w:rPr>
              <w:t>ariei</w:t>
            </w:r>
            <w:r w:rsidRPr="00E929F2">
              <w:rPr>
                <w:rFonts w:ascii="Cambria"/>
                <w:b/>
                <w:spacing w:val="-7"/>
                <w:sz w:val="20"/>
                <w:szCs w:val="22"/>
              </w:rPr>
              <w:t xml:space="preserve"> </w:t>
            </w:r>
            <w:r w:rsidRPr="00E929F2">
              <w:rPr>
                <w:rFonts w:ascii="Cambria"/>
                <w:b/>
                <w:sz w:val="20"/>
                <w:szCs w:val="22"/>
              </w:rPr>
              <w:t>de</w:t>
            </w:r>
            <w:r w:rsidRPr="00E929F2">
              <w:rPr>
                <w:rFonts w:ascii="Cambria"/>
                <w:b/>
                <w:spacing w:val="-4"/>
                <w:sz w:val="20"/>
                <w:szCs w:val="22"/>
              </w:rPr>
              <w:t xml:space="preserve"> </w:t>
            </w:r>
            <w:r w:rsidRPr="00E929F2">
              <w:rPr>
                <w:rFonts w:ascii="Cambria"/>
                <w:b/>
                <w:sz w:val="20"/>
                <w:szCs w:val="22"/>
              </w:rPr>
              <w:t>monitorizare</w:t>
            </w:r>
          </w:p>
        </w:tc>
      </w:tr>
    </w:tbl>
    <w:p w14:paraId="16CA55BF" w14:textId="77777777" w:rsidR="00E929F2" w:rsidRPr="00E929F2" w:rsidRDefault="00E929F2" w:rsidP="00E929F2">
      <w:pPr>
        <w:widowControl w:val="0"/>
        <w:autoSpaceDE w:val="0"/>
        <w:autoSpaceDN w:val="0"/>
        <w:rPr>
          <w:sz w:val="20"/>
        </w:rPr>
      </w:pPr>
    </w:p>
    <w:p w14:paraId="6B483835" w14:textId="77777777" w:rsidR="00E929F2" w:rsidRPr="00E929F2" w:rsidRDefault="00E929F2" w:rsidP="00E929F2">
      <w:pPr>
        <w:widowControl w:val="0"/>
        <w:autoSpaceDE w:val="0"/>
        <w:autoSpaceDN w:val="0"/>
        <w:rPr>
          <w:sz w:val="20"/>
        </w:rPr>
      </w:pPr>
    </w:p>
    <w:p w14:paraId="4CA12F75" w14:textId="77777777" w:rsidR="00E929F2" w:rsidRPr="00E929F2" w:rsidRDefault="00E929F2" w:rsidP="00E929F2">
      <w:pPr>
        <w:widowControl w:val="0"/>
        <w:autoSpaceDE w:val="0"/>
        <w:autoSpaceDN w:val="0"/>
        <w:rPr>
          <w:sz w:val="20"/>
        </w:rPr>
      </w:pPr>
    </w:p>
    <w:p w14:paraId="5EA66C0D" w14:textId="77777777" w:rsidR="00E929F2" w:rsidRPr="00E929F2" w:rsidRDefault="00E929F2" w:rsidP="00E929F2">
      <w:pPr>
        <w:widowControl w:val="0"/>
        <w:autoSpaceDE w:val="0"/>
        <w:autoSpaceDN w:val="0"/>
        <w:rPr>
          <w:sz w:val="20"/>
        </w:rPr>
      </w:pPr>
    </w:p>
    <w:p w14:paraId="318C12AE" w14:textId="77777777" w:rsidR="00E929F2" w:rsidRPr="00E929F2" w:rsidRDefault="00E929F2" w:rsidP="00E929F2">
      <w:pPr>
        <w:widowControl w:val="0"/>
        <w:autoSpaceDE w:val="0"/>
        <w:autoSpaceDN w:val="0"/>
        <w:rPr>
          <w:sz w:val="20"/>
        </w:rPr>
      </w:pPr>
    </w:p>
    <w:p w14:paraId="65B55C86" w14:textId="77777777" w:rsidR="00E929F2" w:rsidRPr="00E929F2" w:rsidRDefault="00E929F2" w:rsidP="00E929F2">
      <w:pPr>
        <w:widowControl w:val="0"/>
        <w:autoSpaceDE w:val="0"/>
        <w:autoSpaceDN w:val="0"/>
        <w:rPr>
          <w:sz w:val="20"/>
        </w:rPr>
      </w:pPr>
    </w:p>
    <w:p w14:paraId="79AB6D2C" w14:textId="77777777" w:rsidR="00E929F2" w:rsidRPr="00E929F2" w:rsidRDefault="00E929F2" w:rsidP="00E929F2">
      <w:pPr>
        <w:widowControl w:val="0"/>
        <w:autoSpaceDE w:val="0"/>
        <w:autoSpaceDN w:val="0"/>
        <w:rPr>
          <w:sz w:val="20"/>
        </w:rPr>
      </w:pPr>
    </w:p>
    <w:p w14:paraId="408831C9" w14:textId="77777777" w:rsidR="00E929F2" w:rsidRPr="00E929F2" w:rsidRDefault="00E929F2" w:rsidP="00E929F2">
      <w:pPr>
        <w:widowControl w:val="0"/>
        <w:autoSpaceDE w:val="0"/>
        <w:autoSpaceDN w:val="0"/>
        <w:rPr>
          <w:sz w:val="20"/>
        </w:rPr>
      </w:pPr>
    </w:p>
    <w:p w14:paraId="43EACF26" w14:textId="77777777" w:rsidR="00E929F2" w:rsidRPr="00E929F2" w:rsidRDefault="00E929F2" w:rsidP="00E929F2">
      <w:pPr>
        <w:widowControl w:val="0"/>
        <w:autoSpaceDE w:val="0"/>
        <w:autoSpaceDN w:val="0"/>
        <w:rPr>
          <w:sz w:val="20"/>
        </w:rPr>
      </w:pPr>
    </w:p>
    <w:p w14:paraId="2219CA8F" w14:textId="77777777" w:rsidR="00E929F2" w:rsidRPr="00E929F2" w:rsidRDefault="00E929F2" w:rsidP="00E929F2">
      <w:pPr>
        <w:widowControl w:val="0"/>
        <w:autoSpaceDE w:val="0"/>
        <w:autoSpaceDN w:val="0"/>
        <w:rPr>
          <w:sz w:val="20"/>
        </w:rPr>
      </w:pPr>
    </w:p>
    <w:p w14:paraId="527C9D0D" w14:textId="77777777" w:rsidR="00E929F2" w:rsidRPr="00E929F2" w:rsidRDefault="00E929F2" w:rsidP="00E929F2">
      <w:pPr>
        <w:widowControl w:val="0"/>
        <w:autoSpaceDE w:val="0"/>
        <w:autoSpaceDN w:val="0"/>
        <w:rPr>
          <w:sz w:val="20"/>
        </w:rPr>
      </w:pPr>
    </w:p>
    <w:p w14:paraId="11A1D20B" w14:textId="77777777" w:rsidR="00E929F2" w:rsidRPr="00E929F2" w:rsidRDefault="00E929F2" w:rsidP="00E929F2">
      <w:pPr>
        <w:widowControl w:val="0"/>
        <w:autoSpaceDE w:val="0"/>
        <w:autoSpaceDN w:val="0"/>
        <w:rPr>
          <w:sz w:val="20"/>
        </w:rPr>
      </w:pPr>
    </w:p>
    <w:p w14:paraId="0803AD11" w14:textId="77777777" w:rsidR="00E929F2" w:rsidRPr="00E929F2" w:rsidRDefault="00E929F2" w:rsidP="00E929F2">
      <w:pPr>
        <w:widowControl w:val="0"/>
        <w:autoSpaceDE w:val="0"/>
        <w:autoSpaceDN w:val="0"/>
        <w:rPr>
          <w:sz w:val="20"/>
        </w:rPr>
      </w:pPr>
    </w:p>
    <w:p w14:paraId="10131A14" w14:textId="77777777" w:rsidR="00E929F2" w:rsidRPr="00E929F2" w:rsidRDefault="00E929F2" w:rsidP="00E929F2">
      <w:pPr>
        <w:widowControl w:val="0"/>
        <w:autoSpaceDE w:val="0"/>
        <w:autoSpaceDN w:val="0"/>
        <w:rPr>
          <w:sz w:val="20"/>
        </w:rPr>
      </w:pPr>
    </w:p>
    <w:p w14:paraId="47DC2DE2" w14:textId="77777777" w:rsidR="00E929F2" w:rsidRPr="00E929F2" w:rsidRDefault="00E929F2" w:rsidP="00E929F2">
      <w:pPr>
        <w:widowControl w:val="0"/>
        <w:autoSpaceDE w:val="0"/>
        <w:autoSpaceDN w:val="0"/>
        <w:rPr>
          <w:sz w:val="20"/>
        </w:rPr>
      </w:pPr>
    </w:p>
    <w:p w14:paraId="64D90EEA" w14:textId="77777777" w:rsidR="00E929F2" w:rsidRPr="00E929F2" w:rsidRDefault="00E929F2" w:rsidP="00E929F2">
      <w:pPr>
        <w:widowControl w:val="0"/>
        <w:autoSpaceDE w:val="0"/>
        <w:autoSpaceDN w:val="0"/>
        <w:rPr>
          <w:sz w:val="20"/>
        </w:rPr>
      </w:pPr>
    </w:p>
    <w:p w14:paraId="761E22B6" w14:textId="77777777" w:rsidR="00E929F2" w:rsidRPr="00E929F2" w:rsidRDefault="00E929F2" w:rsidP="00E929F2">
      <w:pPr>
        <w:widowControl w:val="0"/>
        <w:autoSpaceDE w:val="0"/>
        <w:autoSpaceDN w:val="0"/>
        <w:rPr>
          <w:sz w:val="20"/>
        </w:rPr>
      </w:pPr>
    </w:p>
    <w:p w14:paraId="7D269C0C" w14:textId="77777777" w:rsidR="00E929F2" w:rsidRPr="00E929F2" w:rsidRDefault="00E929F2" w:rsidP="00E929F2">
      <w:pPr>
        <w:widowControl w:val="0"/>
        <w:autoSpaceDE w:val="0"/>
        <w:autoSpaceDN w:val="0"/>
        <w:rPr>
          <w:sz w:val="20"/>
        </w:rPr>
      </w:pPr>
    </w:p>
    <w:p w14:paraId="4D3D62FB" w14:textId="77777777" w:rsidR="00E929F2" w:rsidRPr="00E929F2" w:rsidRDefault="00E929F2" w:rsidP="00E929F2">
      <w:pPr>
        <w:widowControl w:val="0"/>
        <w:autoSpaceDE w:val="0"/>
        <w:autoSpaceDN w:val="0"/>
        <w:rPr>
          <w:sz w:val="20"/>
        </w:rPr>
      </w:pPr>
    </w:p>
    <w:p w14:paraId="470B234E" w14:textId="77777777" w:rsidR="00E929F2" w:rsidRPr="00E929F2" w:rsidRDefault="00E929F2" w:rsidP="00E929F2">
      <w:pPr>
        <w:widowControl w:val="0"/>
        <w:autoSpaceDE w:val="0"/>
        <w:autoSpaceDN w:val="0"/>
        <w:rPr>
          <w:sz w:val="20"/>
        </w:rPr>
      </w:pPr>
    </w:p>
    <w:p w14:paraId="1156454D" w14:textId="77777777" w:rsidR="00E929F2" w:rsidRPr="00E929F2" w:rsidRDefault="00E929F2" w:rsidP="00E929F2">
      <w:pPr>
        <w:widowControl w:val="0"/>
        <w:autoSpaceDE w:val="0"/>
        <w:autoSpaceDN w:val="0"/>
        <w:rPr>
          <w:sz w:val="20"/>
        </w:rPr>
      </w:pPr>
    </w:p>
    <w:p w14:paraId="35AD45E8" w14:textId="77777777" w:rsidR="00E929F2" w:rsidRPr="00E929F2" w:rsidRDefault="00E929F2" w:rsidP="00E929F2">
      <w:pPr>
        <w:widowControl w:val="0"/>
        <w:autoSpaceDE w:val="0"/>
        <w:autoSpaceDN w:val="0"/>
        <w:rPr>
          <w:sz w:val="20"/>
        </w:rPr>
      </w:pPr>
    </w:p>
    <w:p w14:paraId="535FB231" w14:textId="77777777" w:rsidR="00E929F2" w:rsidRPr="00E929F2" w:rsidRDefault="00E929F2" w:rsidP="00E929F2">
      <w:pPr>
        <w:widowControl w:val="0"/>
        <w:autoSpaceDE w:val="0"/>
        <w:autoSpaceDN w:val="0"/>
        <w:rPr>
          <w:sz w:val="20"/>
        </w:rPr>
      </w:pPr>
    </w:p>
    <w:p w14:paraId="1943E4A2" w14:textId="77777777" w:rsidR="00E929F2" w:rsidRPr="00E929F2" w:rsidRDefault="00E929F2" w:rsidP="00E929F2">
      <w:pPr>
        <w:widowControl w:val="0"/>
        <w:autoSpaceDE w:val="0"/>
        <w:autoSpaceDN w:val="0"/>
        <w:spacing w:before="10"/>
        <w:rPr>
          <w:sz w:val="16"/>
        </w:rPr>
      </w:pPr>
      <w:r w:rsidRPr="00E929F2">
        <w:rPr>
          <w:noProof/>
          <w:lang w:val="en-US"/>
        </w:rPr>
        <mc:AlternateContent>
          <mc:Choice Requires="wpg">
            <w:drawing>
              <wp:anchor distT="0" distB="0" distL="0" distR="0" simplePos="0" relativeHeight="251668480" behindDoc="1" locked="0" layoutInCell="1" allowOverlap="1" wp14:anchorId="6C93FEF0" wp14:editId="04A83D9E">
                <wp:simplePos x="0" y="0"/>
                <wp:positionH relativeFrom="page">
                  <wp:posOffset>948690</wp:posOffset>
                </wp:positionH>
                <wp:positionV relativeFrom="paragraph">
                  <wp:posOffset>148590</wp:posOffset>
                </wp:positionV>
                <wp:extent cx="5099685" cy="796290"/>
                <wp:effectExtent l="5715" t="5715" r="0" b="7620"/>
                <wp:wrapTopAndBottom/>
                <wp:docPr id="30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9685" cy="796290"/>
                          <a:chOff x="1494" y="234"/>
                          <a:chExt cx="8031" cy="1254"/>
                        </a:xfrm>
                      </wpg:grpSpPr>
                      <pic:pic xmlns:pic="http://schemas.openxmlformats.org/drawingml/2006/picture">
                        <pic:nvPicPr>
                          <pic:cNvPr id="306" name="Picture 20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787" y="643"/>
                            <a:ext cx="270"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7" name="Line 208"/>
                        <wps:cNvCnPr>
                          <a:cxnSpLocks noChangeShapeType="1"/>
                        </wps:cNvCnPr>
                        <wps:spPr bwMode="auto">
                          <a:xfrm>
                            <a:off x="2922" y="960"/>
                            <a:ext cx="1991"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8" name="Line 209"/>
                        <wps:cNvCnPr>
                          <a:cxnSpLocks noChangeShapeType="1"/>
                        </wps:cNvCnPr>
                        <wps:spPr bwMode="auto">
                          <a:xfrm>
                            <a:off x="2922" y="924"/>
                            <a:ext cx="1991"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9" name="Rectangle 210"/>
                        <wps:cNvSpPr>
                          <a:spLocks noChangeArrowheads="1"/>
                        </wps:cNvSpPr>
                        <wps:spPr bwMode="auto">
                          <a:xfrm>
                            <a:off x="2263" y="1087"/>
                            <a:ext cx="1319" cy="400"/>
                          </a:xfrm>
                          <a:prstGeom prst="rect">
                            <a:avLst/>
                          </a:prstGeom>
                          <a:solidFill>
                            <a:srgbClr val="000000">
                              <a:alpha val="3803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0" name="Picture 2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263" y="1055"/>
                            <a:ext cx="1319"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2" name="Line 212"/>
                        <wps:cNvCnPr>
                          <a:cxnSpLocks noChangeShapeType="1"/>
                        </wps:cNvCnPr>
                        <wps:spPr bwMode="auto">
                          <a:xfrm>
                            <a:off x="4913" y="958"/>
                            <a:ext cx="0"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3" name="Line 213"/>
                        <wps:cNvCnPr>
                          <a:cxnSpLocks noChangeShapeType="1"/>
                        </wps:cNvCnPr>
                        <wps:spPr bwMode="auto">
                          <a:xfrm>
                            <a:off x="4913" y="922"/>
                            <a:ext cx="0"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4" name="Text Box 214"/>
                        <wps:cNvSpPr txBox="1">
                          <a:spLocks noChangeArrowheads="1"/>
                        </wps:cNvSpPr>
                        <wps:spPr bwMode="auto">
                          <a:xfrm>
                            <a:off x="1514" y="253"/>
                            <a:ext cx="7991" cy="390"/>
                          </a:xfrm>
                          <a:prstGeom prst="rect">
                            <a:avLst/>
                          </a:prstGeom>
                          <a:noFill/>
                          <a:ln w="25400">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64D2663" w14:textId="77777777" w:rsidR="00F9369F" w:rsidRDefault="00F9369F" w:rsidP="00E929F2">
                              <w:pPr>
                                <w:spacing w:before="74"/>
                                <w:ind w:left="1426" w:right="1431"/>
                                <w:jc w:val="center"/>
                                <w:rPr>
                                  <w:rFonts w:ascii="Cambria" w:hAnsi="Cambria"/>
                                  <w:b/>
                                  <w:sz w:val="20"/>
                                </w:rPr>
                              </w:pPr>
                              <w:r>
                                <w:rPr>
                                  <w:rFonts w:ascii="Cambria" w:hAnsi="Cambria"/>
                                  <w:b/>
                                  <w:sz w:val="20"/>
                                </w:rPr>
                                <w:t>Colectarea</w:t>
                              </w:r>
                              <w:r>
                                <w:rPr>
                                  <w:rFonts w:ascii="Cambria" w:hAnsi="Cambria"/>
                                  <w:b/>
                                  <w:spacing w:val="-5"/>
                                  <w:sz w:val="20"/>
                                </w:rPr>
                                <w:t xml:space="preserve"> </w:t>
                              </w:r>
                              <w:r>
                                <w:rPr>
                                  <w:rFonts w:ascii="Cambria" w:hAnsi="Cambria"/>
                                  <w:b/>
                                  <w:sz w:val="20"/>
                                </w:rPr>
                                <w:t>datelor</w:t>
                              </w:r>
                              <w:r>
                                <w:rPr>
                                  <w:rFonts w:ascii="Cambria" w:hAnsi="Cambria"/>
                                  <w:b/>
                                  <w:spacing w:val="-3"/>
                                  <w:sz w:val="20"/>
                                </w:rPr>
                                <w:t xml:space="preserve"> </w:t>
                              </w:r>
                              <w:r>
                                <w:rPr>
                                  <w:rFonts w:ascii="Cambria" w:hAnsi="Cambria"/>
                                  <w:b/>
                                  <w:sz w:val="20"/>
                                </w:rPr>
                                <w:t>de</w:t>
                              </w:r>
                              <w:r>
                                <w:rPr>
                                  <w:rFonts w:ascii="Cambria" w:hAnsi="Cambria"/>
                                  <w:b/>
                                  <w:spacing w:val="-4"/>
                                  <w:sz w:val="20"/>
                                </w:rPr>
                                <w:t xml:space="preserve"> </w:t>
                              </w:r>
                              <w:r>
                                <w:rPr>
                                  <w:rFonts w:ascii="Cambria" w:hAnsi="Cambria"/>
                                  <w:b/>
                                  <w:sz w:val="20"/>
                                </w:rPr>
                                <w:t>pe</w:t>
                              </w:r>
                              <w:r>
                                <w:rPr>
                                  <w:rFonts w:ascii="Cambria" w:hAnsi="Cambria"/>
                                  <w:b/>
                                  <w:spacing w:val="-1"/>
                                  <w:sz w:val="20"/>
                                </w:rPr>
                                <w:t xml:space="preserve"> </w:t>
                              </w:r>
                              <w:r>
                                <w:rPr>
                                  <w:rFonts w:ascii="Cambria" w:hAnsi="Cambria"/>
                                  <w:b/>
                                  <w:sz w:val="20"/>
                                </w:rPr>
                                <w:t>teren</w:t>
                              </w:r>
                              <w:r>
                                <w:rPr>
                                  <w:rFonts w:ascii="Cambria" w:hAnsi="Cambria"/>
                                  <w:b/>
                                  <w:spacing w:val="-3"/>
                                  <w:sz w:val="20"/>
                                </w:rPr>
                                <w:t xml:space="preserve"> </w:t>
                              </w:r>
                              <w:r>
                                <w:rPr>
                                  <w:rFonts w:ascii="Cambria" w:hAnsi="Cambria"/>
                                  <w:b/>
                                  <w:sz w:val="20"/>
                                </w:rPr>
                                <w:t>și</w:t>
                              </w:r>
                              <w:r>
                                <w:rPr>
                                  <w:rFonts w:ascii="Cambria" w:hAnsi="Cambria"/>
                                  <w:b/>
                                  <w:spacing w:val="-5"/>
                                  <w:sz w:val="20"/>
                                </w:rPr>
                                <w:t xml:space="preserve"> </w:t>
                              </w:r>
                              <w:r>
                                <w:rPr>
                                  <w:rFonts w:ascii="Cambria" w:hAnsi="Cambria"/>
                                  <w:b/>
                                  <w:sz w:val="20"/>
                                </w:rPr>
                                <w:t>din</w:t>
                              </w:r>
                              <w:r>
                                <w:rPr>
                                  <w:rFonts w:ascii="Cambria" w:hAnsi="Cambria"/>
                                  <w:b/>
                                  <w:spacing w:val="-3"/>
                                  <w:sz w:val="20"/>
                                </w:rPr>
                                <w:t xml:space="preserve"> </w:t>
                              </w:r>
                              <w:r>
                                <w:rPr>
                                  <w:rFonts w:ascii="Cambria" w:hAnsi="Cambria"/>
                                  <w:b/>
                                  <w:sz w:val="20"/>
                                </w:rPr>
                                <w:t>surse</w:t>
                              </w:r>
                              <w:r>
                                <w:rPr>
                                  <w:rFonts w:ascii="Cambria" w:hAnsi="Cambria"/>
                                  <w:b/>
                                  <w:spacing w:val="-3"/>
                                  <w:sz w:val="20"/>
                                </w:rPr>
                                <w:t xml:space="preserve"> </w:t>
                              </w:r>
                              <w:r>
                                <w:rPr>
                                  <w:rFonts w:ascii="Cambria" w:hAnsi="Cambria"/>
                                  <w:b/>
                                  <w:sz w:val="20"/>
                                </w:rPr>
                                <w:t>bibliografice</w:t>
                              </w:r>
                            </w:p>
                          </w:txbxContent>
                        </wps:txbx>
                        <wps:bodyPr rot="0" vert="horz" wrap="square" lIns="0" tIns="0" rIns="0" bIns="0" anchor="t" anchorCtr="0" upright="1">
                          <a:noAutofit/>
                        </wps:bodyPr>
                      </wps:wsp>
                      <wps:wsp>
                        <wps:cNvPr id="316" name="Text Box 215"/>
                        <wps:cNvSpPr txBox="1">
                          <a:spLocks noChangeArrowheads="1"/>
                        </wps:cNvSpPr>
                        <wps:spPr bwMode="auto">
                          <a:xfrm>
                            <a:off x="2263" y="1055"/>
                            <a:ext cx="1319" cy="400"/>
                          </a:xfrm>
                          <a:prstGeom prst="rect">
                            <a:avLst/>
                          </a:prstGeom>
                          <a:noFill/>
                          <a:ln w="9525">
                            <a:solidFill>
                              <a:srgbClr val="BB454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E34A347" w14:textId="77777777" w:rsidR="00F9369F" w:rsidRDefault="00F9369F" w:rsidP="00E929F2">
                              <w:pPr>
                                <w:spacing w:before="75"/>
                                <w:ind w:left="213"/>
                                <w:rPr>
                                  <w:rFonts w:ascii="Cambria"/>
                                  <w:b/>
                                  <w:sz w:val="20"/>
                                </w:rPr>
                              </w:pPr>
                              <w:r>
                                <w:rPr>
                                  <w:rFonts w:ascii="Cambria"/>
                                  <w:b/>
                                  <w:sz w:val="20"/>
                                </w:rPr>
                                <w:t>Rezultate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D8E327" id="Group 305" o:spid="_x0000_s1094" style="position:absolute;margin-left:74.7pt;margin-top:11.7pt;width:401.55pt;height:62.7pt;z-index:-251648000;mso-wrap-distance-left:0;mso-wrap-distance-right:0;mso-position-horizontal-relative:page" coordorigin="1494,234" coordsize="8031,1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">
                <v:shape id="Picture 207" o:spid="_x0000_s1095" type="#_x0000_t75" style="position:absolute;left:2787;top:643;width:270;height: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il7fAAAAA3AAAAA8AAABkcnMvZG93bnJldi54bWxEj9GKwjAURN8F/yFcwTdNXUG0mhZRCj7u&#10;qh9waa5NsbkpTaxdv94sLPg4zMwZZpcPthE9db52rGAxT0AQl07XXCm4XorZGoQPyBobx6Tglzzk&#10;2Xi0w1S7J/9Qfw6ViBD2KSowIbSplL40ZNHPXUscvZvrLIYou0rqDp8Rbhv5lSQrabHmuGCwpYOh&#10;8n5+WAUX6ZtF8V0c+5fc0M20jEdeKjWdDPstiEBD+IT/2yetYJms4O9MPAIye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GKXt8AAAADcAAAADwAAAAAAAAAAAAAAAACfAgAA&#10;ZHJzL2Rvd25yZXYueG1sUEsFBgAAAAAEAAQA9wAAAIwDAAAAAA==&#10;">
                  <v:imagedata r:id="rId46" o:title=""/>
                </v:shape>
                <v:line id="Line 208" o:spid="_x0000_s1096" style="position:absolute;visibility:visible;mso-wrap-style:square" from="2922,960" to="4913,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3QSsIAAADcAAAADwAAAGRycy9kb3ducmV2LnhtbESPQYvCMBSE78L+h/AWvGm6CrpUo7iC&#10;4MGLVWSPj+TZFpuXkkTt7q83guBxmJlvmPmys424kQ+1YwVfwwwEsXam5lLB8bAZfIMIEdlg45gU&#10;/FGA5eKjN8fcuDvv6VbEUiQIhxwVVDG2uZRBV2QxDF1LnLyz8xZjkr6UxuM9wW0jR1k2kRZrTgsV&#10;trSuSF+Kq1VQbPXZ/Y/95fT7s9N6g36PtVeq/9mtZiAidfEdfrW3RsE4m8LzTDoCcvE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63QSsIAAADcAAAADwAAAAAAAAAAAAAA&#10;AAChAgAAZHJzL2Rvd25yZXYueG1sUEsFBgAAAAAEAAQA+QAAAJADAAAAAA==&#10;" strokeweight="3pt"/>
                <v:line id="Line 209" o:spid="_x0000_s1097" style="position:absolute;visibility:visible;mso-wrap-style:square" from="2922,924" to="4913,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JEOL4AAADcAAAADwAAAGRycy9kb3ducmV2LnhtbERPTYvCMBC9L/gfwgjeNHUFkWoUFQQP&#10;XqwiHodkbIvNpCRRu/56cxD2+Hjfi1VnG/EkH2rHCsajDASxdqbmUsH5tBvOQISIbLBxTAr+KMBq&#10;2ftZYG7ci4/0LGIpUgiHHBVUMba5lEFXZDGMXEucuJvzFmOCvpTG4yuF20b+ZtlUWqw5NVTY0rYi&#10;fS8eVkGx1zf3nvj75bo5aL1Df8TaKzXod+s5iEhd/Bd/3XujYJKltelMOgJy+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qMkQ4vgAAANwAAAAPAAAAAAAAAAAAAAAAAKEC&#10;AABkcnMvZG93bnJldi54bWxQSwUGAAAAAAQABAD5AAAAjAMAAAAA&#10;" strokeweight="3pt"/>
                <v:rect id="Rectangle 210" o:spid="_x0000_s1098" style="position:absolute;left:2263;top:1087;width:1319;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SnDcUA&#10;AADcAAAADwAAAGRycy9kb3ducmV2LnhtbESPQWvCQBSE70L/w/IK3uqmVWxNXaUUhHioYqKeH9ln&#10;NjT7NmQ3mv77bqHgcZiZb5jlerCNuFLna8cKnicJCOLS6ZorBcdi8/QGwgdkjY1jUvBDHtarh9ES&#10;U+1ufKBrHioRIexTVGBCaFMpfWnIop+4ljh6F9dZDFF2ldQd3iLcNvIlSebSYs1xwWBLn4bK77y3&#10;Cl7Pm1zzbrvnk//qZ1WfXUyRKTV+HD7eQQQawj383860gmmygL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lKcNxQAAANwAAAAPAAAAAAAAAAAAAAAAAJgCAABkcnMv&#10;ZG93bnJldi54bWxQSwUGAAAAAAQABAD1AAAAigMAAAAA&#10;" fillcolor="black" stroked="f">
                  <v:fill opacity="24929f"/>
                </v:rect>
                <v:shape id="Picture 211" o:spid="_x0000_s1099" type="#_x0000_t75" style="position:absolute;left:2263;top:1055;width:1319;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LQv/DAAAA3AAAAA8AAABkcnMvZG93bnJldi54bWxET89rwjAUvg/2P4Q38LamKoh0RpFNQWVM&#10;7bzs9mje2mLzUpvYZv/9chjs+PH9XqyCaURPnastKxgnKQjiwuqaSwWXz+3zHITzyBoby6Tghxys&#10;lo8PC8y0HfhMfe5LEUPYZaig8r7NpHRFRQZdYlviyH3bzqCPsCul7nCI4aaRkzSdSYM1x4YKW3qt&#10;qLjmd6PgTX5shvLrOL/2l/0huGb9ftudlBo9hfULCE/B/4v/3DutYDqO8+OZeAT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AtC/8MAAADcAAAADwAAAAAAAAAAAAAAAACf&#10;AgAAZHJzL2Rvd25yZXYueG1sUEsFBgAAAAAEAAQA9wAAAI8DAAAAAA==&#10;">
                  <v:imagedata r:id="rId48" o:title=""/>
                </v:shape>
                <v:line id="Line 212" o:spid="_x0000_s1100" style="position:absolute;visibility:visible;mso-wrap-style:square" from="4913,958" to="4913,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PlD8QAAADcAAAADwAAAGRycy9kb3ducmV2LnhtbESPwWrDMBBE74X+g9hCb7GcGEpwrYS2&#10;EPChlzgh9LhIG9vEWhlJddx+fRQo9DjMzBum2s52EBP50DtWsMxyEMTamZ5bBcfDbrEGESKywcEx&#10;KfihANvN40OFpXFX3tPUxFYkCIcSFXQxjqWUQXdkMWRuJE7e2XmLMUnfSuPxmuB2kKs8f5EWe04L&#10;HY700ZG+NN9WQVPrs/st/OX09f6p9Q79Hnuv1PPT/PYKItIc/8N/7dooKJYruJ9JR0B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A+UPxAAAANwAAAAPAAAAAAAAAAAA&#10;AAAAAKECAABkcnMvZG93bnJldi54bWxQSwUGAAAAAAQABAD5AAAAkgMAAAAA&#10;" strokeweight="3pt"/>
                <v:line id="Line 213" o:spid="_x0000_s1101" style="position:absolute;visibility:visible;mso-wrap-style:square" from="4913,922" to="4913,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9AlMQAAADcAAAADwAAAGRycy9kb3ducmV2LnhtbESPwWrDMBBE74H+g9hCb4nsGEJwo4S2&#10;YPChF7ul9LhIG9vEWhlJSdx+fVUI5DjMzBtmd5jtKC7kw+BYQb7KQBBrZwbuFHx+VMstiBCRDY6O&#10;ScEPBTjsHxY7LI27ckOXNnYiQTiUqKCPcSqlDLoni2HlJuLkHZ23GJP0nTQerwluR7nOso20OHBa&#10;6HGit570qT1bBW2tj+638Kev79d3rSv0DQ5eqafH+eUZRKQ53sO3dm0UFHkB/2fSEZD7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T0CUxAAAANwAAAAPAAAAAAAAAAAA&#10;AAAAAKECAABkcnMvZG93bnJldi54bWxQSwUGAAAAAAQABAD5AAAAkgMAAAAA&#10;" strokeweight="3pt"/>
                <v:shape id="Text Box 214" o:spid="_x0000_s1102" type="#_x0000_t202" style="position:absolute;left:1514;top:253;width:7991;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KnMMMA&#10;AADcAAAADwAAAGRycy9kb3ducmV2LnhtbESP3WoCMRCF7wt9hzAFb4pmrb+sRikFRdsrdR9g3IzJ&#10;0s1k2UTdvn0jFHp5OD8fZ7nuXC1u1IbKs4LhIANBXHpdsVFQnDb9OYgQkTXWnknBDwVYr56flphr&#10;f+cD3Y7RiDTCIUcFNsYmlzKUlhyGgW+Ik3fxrcOYZGukbvGexl0t37JsKh1WnAgWG/qwVH4fry5B&#10;ZqZ4nZj9aP/1acNpW3iensdK9V669wWISF38D/+1d1rBaDiGx5l0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KnMMMAAADcAAAADwAAAAAAAAAAAAAAAACYAgAAZHJzL2Rv&#10;d25yZXYueG1sUEsFBgAAAAAEAAQA9QAAAIgDAAAAAA==&#10;" filled="f" strokecolor="#8063a1" strokeweight="2pt">
                  <v:textbox inset="0,0,0,0">
                    <w:txbxContent>
                      <w:p w:rsidR="00F9369F" w:rsidRDefault="00F9369F" w:rsidP="00E929F2">
                        <w:pPr>
                          <w:spacing w:before="74"/>
                          <w:ind w:left="1426" w:right="1431"/>
                          <w:jc w:val="center"/>
                          <w:rPr>
                            <w:rFonts w:ascii="Cambria" w:hAnsi="Cambria"/>
                            <w:b/>
                            <w:sz w:val="20"/>
                          </w:rPr>
                        </w:pPr>
                        <w:r>
                          <w:rPr>
                            <w:rFonts w:ascii="Cambria" w:hAnsi="Cambria"/>
                            <w:b/>
                            <w:sz w:val="20"/>
                          </w:rPr>
                          <w:t>Colectarea</w:t>
                        </w:r>
                        <w:r>
                          <w:rPr>
                            <w:rFonts w:ascii="Cambria" w:hAnsi="Cambria"/>
                            <w:b/>
                            <w:spacing w:val="-5"/>
                            <w:sz w:val="20"/>
                          </w:rPr>
                          <w:t xml:space="preserve"> </w:t>
                        </w:r>
                        <w:r>
                          <w:rPr>
                            <w:rFonts w:ascii="Cambria" w:hAnsi="Cambria"/>
                            <w:b/>
                            <w:sz w:val="20"/>
                          </w:rPr>
                          <w:t>datelor</w:t>
                        </w:r>
                        <w:r>
                          <w:rPr>
                            <w:rFonts w:ascii="Cambria" w:hAnsi="Cambria"/>
                            <w:b/>
                            <w:spacing w:val="-3"/>
                            <w:sz w:val="20"/>
                          </w:rPr>
                          <w:t xml:space="preserve"> </w:t>
                        </w:r>
                        <w:r>
                          <w:rPr>
                            <w:rFonts w:ascii="Cambria" w:hAnsi="Cambria"/>
                            <w:b/>
                            <w:sz w:val="20"/>
                          </w:rPr>
                          <w:t>de</w:t>
                        </w:r>
                        <w:r>
                          <w:rPr>
                            <w:rFonts w:ascii="Cambria" w:hAnsi="Cambria"/>
                            <w:b/>
                            <w:spacing w:val="-4"/>
                            <w:sz w:val="20"/>
                          </w:rPr>
                          <w:t xml:space="preserve"> </w:t>
                        </w:r>
                        <w:r>
                          <w:rPr>
                            <w:rFonts w:ascii="Cambria" w:hAnsi="Cambria"/>
                            <w:b/>
                            <w:sz w:val="20"/>
                          </w:rPr>
                          <w:t>pe</w:t>
                        </w:r>
                        <w:r>
                          <w:rPr>
                            <w:rFonts w:ascii="Cambria" w:hAnsi="Cambria"/>
                            <w:b/>
                            <w:spacing w:val="-1"/>
                            <w:sz w:val="20"/>
                          </w:rPr>
                          <w:t xml:space="preserve"> </w:t>
                        </w:r>
                        <w:r>
                          <w:rPr>
                            <w:rFonts w:ascii="Cambria" w:hAnsi="Cambria"/>
                            <w:b/>
                            <w:sz w:val="20"/>
                          </w:rPr>
                          <w:t>teren</w:t>
                        </w:r>
                        <w:r>
                          <w:rPr>
                            <w:rFonts w:ascii="Cambria" w:hAnsi="Cambria"/>
                            <w:b/>
                            <w:spacing w:val="-3"/>
                            <w:sz w:val="20"/>
                          </w:rPr>
                          <w:t xml:space="preserve"> </w:t>
                        </w:r>
                        <w:r>
                          <w:rPr>
                            <w:rFonts w:ascii="Cambria" w:hAnsi="Cambria"/>
                            <w:b/>
                            <w:sz w:val="20"/>
                          </w:rPr>
                          <w:t>și</w:t>
                        </w:r>
                        <w:r>
                          <w:rPr>
                            <w:rFonts w:ascii="Cambria" w:hAnsi="Cambria"/>
                            <w:b/>
                            <w:spacing w:val="-5"/>
                            <w:sz w:val="20"/>
                          </w:rPr>
                          <w:t xml:space="preserve"> </w:t>
                        </w:r>
                        <w:r>
                          <w:rPr>
                            <w:rFonts w:ascii="Cambria" w:hAnsi="Cambria"/>
                            <w:b/>
                            <w:sz w:val="20"/>
                          </w:rPr>
                          <w:t>din</w:t>
                        </w:r>
                        <w:r>
                          <w:rPr>
                            <w:rFonts w:ascii="Cambria" w:hAnsi="Cambria"/>
                            <w:b/>
                            <w:spacing w:val="-3"/>
                            <w:sz w:val="20"/>
                          </w:rPr>
                          <w:t xml:space="preserve"> </w:t>
                        </w:r>
                        <w:r>
                          <w:rPr>
                            <w:rFonts w:ascii="Cambria" w:hAnsi="Cambria"/>
                            <w:b/>
                            <w:sz w:val="20"/>
                          </w:rPr>
                          <w:t>surse</w:t>
                        </w:r>
                        <w:r>
                          <w:rPr>
                            <w:rFonts w:ascii="Cambria" w:hAnsi="Cambria"/>
                            <w:b/>
                            <w:spacing w:val="-3"/>
                            <w:sz w:val="20"/>
                          </w:rPr>
                          <w:t xml:space="preserve"> </w:t>
                        </w:r>
                        <w:r>
                          <w:rPr>
                            <w:rFonts w:ascii="Cambria" w:hAnsi="Cambria"/>
                            <w:b/>
                            <w:sz w:val="20"/>
                          </w:rPr>
                          <w:t>bibliografice</w:t>
                        </w:r>
                      </w:p>
                    </w:txbxContent>
                  </v:textbox>
                </v:shape>
                <v:shape id="Text Box 215" o:spid="_x0000_s1103" type="#_x0000_t202" style="position:absolute;left:2263;top:1055;width:1319;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UjXsQA&#10;AADcAAAADwAAAGRycy9kb3ducmV2LnhtbESPT4vCMBTE78J+h/CEvWmqsirVKIsgeHBB65/zI3m2&#10;xealNLF2v/1mQfA4zMxvmOW6s5VoqfGlYwWjYQKCWDtTcq7gfNoO5iB8QDZYOSYFv+RhvfroLTE1&#10;7slHarOQiwhhn6KCIoQ6ldLrgiz6oauJo3dzjcUQZZNL0+Azwm0lx0kylRZLjgsF1rQpSN+zh1Xw&#10;1V35Mgmztt5d9mN92Ox/zq1W6rPffS9ABOrCO/xq74yCyWgK/2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VI17EAAAA3AAAAA8AAAAAAAAAAAAAAAAAmAIAAGRycy9k&#10;b3ducmV2LnhtbFBLBQYAAAAABAAEAPUAAACJAwAAAAA=&#10;" filled="f" strokecolor="#bb4542">
                  <v:textbox inset="0,0,0,0">
                    <w:txbxContent>
                      <w:p w:rsidR="00F9369F" w:rsidRDefault="00F9369F" w:rsidP="00E929F2">
                        <w:pPr>
                          <w:spacing w:before="75"/>
                          <w:ind w:left="213"/>
                          <w:rPr>
                            <w:rFonts w:ascii="Cambria"/>
                            <w:b/>
                            <w:sz w:val="20"/>
                          </w:rPr>
                        </w:pPr>
                        <w:r>
                          <w:rPr>
                            <w:rFonts w:ascii="Cambria"/>
                            <w:b/>
                            <w:sz w:val="20"/>
                          </w:rPr>
                          <w:t>Rezultate</w:t>
                        </w:r>
                      </w:p>
                    </w:txbxContent>
                  </v:textbox>
                </v:shape>
                <w10:wrap type="topAndBottom" anchorx="page"/>
              </v:group>
            </w:pict>
          </mc:Fallback>
        </mc:AlternateContent>
      </w:r>
    </w:p>
    <w:p w14:paraId="5CA6E4BB" w14:textId="77777777" w:rsidR="00E929F2" w:rsidRPr="00E929F2" w:rsidRDefault="00E929F2" w:rsidP="00E929F2">
      <w:pPr>
        <w:widowControl w:val="0"/>
        <w:autoSpaceDE w:val="0"/>
        <w:autoSpaceDN w:val="0"/>
        <w:spacing w:before="216"/>
        <w:ind w:left="2605" w:right="1550" w:hanging="284"/>
        <w:rPr>
          <w:sz w:val="22"/>
          <w:szCs w:val="22"/>
        </w:rPr>
      </w:pPr>
      <w:r w:rsidRPr="00E929F2">
        <w:rPr>
          <w:sz w:val="22"/>
          <w:szCs w:val="22"/>
        </w:rPr>
        <w:t>Fig. - Schema planificării monitorizării habitatelor de interes comunitar</w:t>
      </w:r>
      <w:r w:rsidRPr="00E929F2">
        <w:rPr>
          <w:spacing w:val="-52"/>
          <w:sz w:val="22"/>
          <w:szCs w:val="22"/>
        </w:rPr>
        <w:t xml:space="preserve"> </w:t>
      </w:r>
      <w:r w:rsidRPr="00E929F2">
        <w:rPr>
          <w:sz w:val="22"/>
          <w:szCs w:val="22"/>
        </w:rPr>
        <w:t>(prelucrat</w:t>
      </w:r>
      <w:r w:rsidRPr="00E929F2">
        <w:rPr>
          <w:spacing w:val="-1"/>
          <w:sz w:val="22"/>
          <w:szCs w:val="22"/>
        </w:rPr>
        <w:t xml:space="preserve"> </w:t>
      </w:r>
      <w:r w:rsidRPr="00E929F2">
        <w:rPr>
          <w:sz w:val="22"/>
          <w:szCs w:val="22"/>
        </w:rPr>
        <w:t>după</w:t>
      </w:r>
      <w:r w:rsidRPr="00E929F2">
        <w:rPr>
          <w:spacing w:val="-1"/>
          <w:sz w:val="22"/>
          <w:szCs w:val="22"/>
        </w:rPr>
        <w:t xml:space="preserve"> </w:t>
      </w:r>
      <w:r w:rsidRPr="00E929F2">
        <w:rPr>
          <w:sz w:val="22"/>
          <w:szCs w:val="22"/>
        </w:rPr>
        <w:t>Smith,</w:t>
      </w:r>
      <w:r w:rsidRPr="00E929F2">
        <w:rPr>
          <w:spacing w:val="-1"/>
          <w:sz w:val="22"/>
          <w:szCs w:val="22"/>
        </w:rPr>
        <w:t xml:space="preserve"> </w:t>
      </w:r>
      <w:r w:rsidRPr="00E929F2">
        <w:rPr>
          <w:sz w:val="22"/>
          <w:szCs w:val="22"/>
        </w:rPr>
        <w:t>O’Donoghue,</w:t>
      </w:r>
      <w:r w:rsidRPr="00E929F2">
        <w:rPr>
          <w:spacing w:val="52"/>
          <w:sz w:val="22"/>
          <w:szCs w:val="22"/>
        </w:rPr>
        <w:t xml:space="preserve"> </w:t>
      </w:r>
      <w:r w:rsidRPr="00E929F2">
        <w:rPr>
          <w:sz w:val="22"/>
          <w:szCs w:val="22"/>
        </w:rPr>
        <w:t>O’Hora  şi</w:t>
      </w:r>
      <w:r w:rsidRPr="00E929F2">
        <w:rPr>
          <w:spacing w:val="53"/>
          <w:sz w:val="22"/>
          <w:szCs w:val="22"/>
        </w:rPr>
        <w:t xml:space="preserve"> </w:t>
      </w:r>
      <w:r w:rsidRPr="00E929F2">
        <w:rPr>
          <w:sz w:val="22"/>
          <w:szCs w:val="22"/>
        </w:rPr>
        <w:t>Delaney,</w:t>
      </w:r>
      <w:r w:rsidRPr="00E929F2">
        <w:rPr>
          <w:spacing w:val="-1"/>
          <w:sz w:val="22"/>
          <w:szCs w:val="22"/>
        </w:rPr>
        <w:t xml:space="preserve"> </w:t>
      </w:r>
      <w:r w:rsidRPr="00E929F2">
        <w:rPr>
          <w:sz w:val="22"/>
          <w:szCs w:val="22"/>
        </w:rPr>
        <w:t>2011)</w:t>
      </w:r>
    </w:p>
    <w:p w14:paraId="09A1B786" w14:textId="77777777" w:rsidR="00BB3756" w:rsidRPr="00E929F2" w:rsidRDefault="00BB3756" w:rsidP="00BB3756">
      <w:pPr>
        <w:spacing w:before="184"/>
        <w:jc w:val="center"/>
        <w:rPr>
          <w:b/>
          <w:color w:val="000000" w:themeColor="text1"/>
        </w:rPr>
      </w:pPr>
      <w:r w:rsidRPr="00E929F2">
        <w:rPr>
          <w:b/>
          <w:color w:val="000000" w:themeColor="text1"/>
        </w:rPr>
        <w:lastRenderedPageBreak/>
        <w:t>FIȘA</w:t>
      </w:r>
      <w:r w:rsidRPr="00E929F2">
        <w:rPr>
          <w:b/>
          <w:color w:val="000000" w:themeColor="text1"/>
          <w:spacing w:val="-5"/>
        </w:rPr>
        <w:t xml:space="preserve"> </w:t>
      </w:r>
      <w:r w:rsidRPr="00E929F2">
        <w:rPr>
          <w:b/>
          <w:color w:val="000000" w:themeColor="text1"/>
        </w:rPr>
        <w:t>DE</w:t>
      </w:r>
      <w:r w:rsidRPr="00E929F2">
        <w:rPr>
          <w:b/>
          <w:color w:val="000000" w:themeColor="text1"/>
          <w:spacing w:val="-4"/>
        </w:rPr>
        <w:t xml:space="preserve"> </w:t>
      </w:r>
      <w:r w:rsidRPr="00E929F2">
        <w:rPr>
          <w:b/>
          <w:color w:val="000000" w:themeColor="text1"/>
        </w:rPr>
        <w:t>MONITORIZARE/</w:t>
      </w:r>
    </w:p>
    <w:p w14:paraId="1C0A3E23" w14:textId="77777777" w:rsidR="00BB3756" w:rsidRPr="00E929F2" w:rsidRDefault="00BB3756" w:rsidP="00BB3756">
      <w:pPr>
        <w:spacing w:before="184"/>
        <w:jc w:val="center"/>
        <w:rPr>
          <w:b/>
          <w:color w:val="000000" w:themeColor="text1"/>
        </w:rPr>
      </w:pPr>
      <w:r w:rsidRPr="00E929F2">
        <w:rPr>
          <w:b/>
          <w:color w:val="000000" w:themeColor="text1"/>
        </w:rPr>
        <w:t>FORMULAR</w:t>
      </w:r>
      <w:r w:rsidRPr="00E929F2">
        <w:rPr>
          <w:b/>
          <w:color w:val="000000" w:themeColor="text1"/>
          <w:spacing w:val="-4"/>
        </w:rPr>
        <w:t xml:space="preserve"> </w:t>
      </w:r>
      <w:r w:rsidRPr="00E929F2">
        <w:rPr>
          <w:b/>
          <w:color w:val="000000" w:themeColor="text1"/>
        </w:rPr>
        <w:t>PENTRU</w:t>
      </w:r>
      <w:r w:rsidRPr="00E929F2">
        <w:rPr>
          <w:b/>
          <w:color w:val="000000" w:themeColor="text1"/>
          <w:spacing w:val="-4"/>
        </w:rPr>
        <w:t xml:space="preserve"> </w:t>
      </w:r>
      <w:r w:rsidRPr="00E929F2">
        <w:rPr>
          <w:b/>
          <w:color w:val="000000" w:themeColor="text1"/>
        </w:rPr>
        <w:t>COLECTAREA</w:t>
      </w:r>
      <w:r w:rsidRPr="00E929F2">
        <w:rPr>
          <w:b/>
          <w:color w:val="000000" w:themeColor="text1"/>
          <w:spacing w:val="-4"/>
        </w:rPr>
        <w:t xml:space="preserve"> </w:t>
      </w:r>
      <w:r w:rsidRPr="00E929F2">
        <w:rPr>
          <w:b/>
          <w:color w:val="000000" w:themeColor="text1"/>
        </w:rPr>
        <w:t>DATELOR</w:t>
      </w:r>
      <w:r w:rsidRPr="00E929F2">
        <w:rPr>
          <w:b/>
          <w:color w:val="000000" w:themeColor="text1"/>
          <w:spacing w:val="-4"/>
        </w:rPr>
        <w:t xml:space="preserve"> </w:t>
      </w:r>
      <w:r w:rsidRPr="00E929F2">
        <w:rPr>
          <w:b/>
          <w:color w:val="000000" w:themeColor="text1"/>
        </w:rPr>
        <w:t>DIN</w:t>
      </w:r>
      <w:r w:rsidRPr="00E929F2">
        <w:rPr>
          <w:b/>
          <w:color w:val="000000" w:themeColor="text1"/>
          <w:spacing w:val="-4"/>
        </w:rPr>
        <w:t xml:space="preserve"> </w:t>
      </w:r>
      <w:r w:rsidRPr="00E929F2">
        <w:rPr>
          <w:b/>
          <w:color w:val="000000" w:themeColor="text1"/>
        </w:rPr>
        <w:t>TEREN</w:t>
      </w:r>
    </w:p>
    <w:p w14:paraId="4FFE8FDE" w14:textId="77777777" w:rsidR="00BB3756" w:rsidRPr="00E929F2" w:rsidRDefault="00BB3756" w:rsidP="00BB3756">
      <w:pPr>
        <w:spacing w:before="184"/>
        <w:ind w:left="586"/>
        <w:jc w:val="both"/>
        <w:rPr>
          <w:b/>
          <w:color w:val="000000" w:themeColor="text1"/>
        </w:rPr>
      </w:pPr>
    </w:p>
    <w:tbl>
      <w:tblPr>
        <w:tblW w:w="9004" w:type="dxa"/>
        <w:jc w:val="center"/>
        <w:tblLook w:val="04A0" w:firstRow="1" w:lastRow="0" w:firstColumn="1" w:lastColumn="0" w:noHBand="0" w:noVBand="1"/>
      </w:tblPr>
      <w:tblGrid>
        <w:gridCol w:w="2520"/>
        <w:gridCol w:w="1620"/>
        <w:gridCol w:w="2700"/>
        <w:gridCol w:w="1170"/>
        <w:gridCol w:w="994"/>
      </w:tblGrid>
      <w:tr w:rsidR="00BB3756" w:rsidRPr="00E929F2" w14:paraId="22A1DCB5" w14:textId="77777777" w:rsidTr="00DE490A">
        <w:trPr>
          <w:trHeight w:val="690"/>
          <w:jc w:val="center"/>
        </w:trPr>
        <w:tc>
          <w:tcPr>
            <w:tcW w:w="8010" w:type="dxa"/>
            <w:gridSpan w:val="4"/>
            <w:tcBorders>
              <w:top w:val="single" w:sz="12" w:space="0" w:color="000000"/>
              <w:left w:val="single" w:sz="12" w:space="0" w:color="000000"/>
              <w:bottom w:val="single" w:sz="12" w:space="0" w:color="000000"/>
              <w:right w:val="single" w:sz="12" w:space="0" w:color="000000"/>
            </w:tcBorders>
            <w:shd w:val="clear" w:color="000000" w:fill="FFFF99"/>
            <w:vAlign w:val="center"/>
            <w:hideMark/>
          </w:tcPr>
          <w:p w14:paraId="73E2189A" w14:textId="77777777" w:rsidR="00BB3756" w:rsidRPr="00E929F2" w:rsidRDefault="00BB3756" w:rsidP="00DE490A">
            <w:pPr>
              <w:jc w:val="center"/>
              <w:rPr>
                <w:b/>
                <w:bCs/>
                <w:color w:val="000000"/>
              </w:rPr>
            </w:pPr>
            <w:r w:rsidRPr="00E929F2">
              <w:rPr>
                <w:b/>
                <w:bCs/>
                <w:color w:val="000000"/>
              </w:rPr>
              <w:t>Formular pentru colectarea datelor din tereni</w:t>
            </w:r>
          </w:p>
        </w:tc>
        <w:tc>
          <w:tcPr>
            <w:tcW w:w="994" w:type="dxa"/>
            <w:tcBorders>
              <w:top w:val="nil"/>
              <w:left w:val="nil"/>
              <w:bottom w:val="nil"/>
              <w:right w:val="nil"/>
            </w:tcBorders>
            <w:shd w:val="clear" w:color="auto" w:fill="auto"/>
            <w:noWrap/>
            <w:vAlign w:val="bottom"/>
            <w:hideMark/>
          </w:tcPr>
          <w:p w14:paraId="43D6CDCC" w14:textId="77777777" w:rsidR="00BB3756" w:rsidRPr="00E929F2" w:rsidRDefault="00BB3756" w:rsidP="00DE490A">
            <w:pPr>
              <w:jc w:val="center"/>
              <w:rPr>
                <w:b/>
                <w:bCs/>
                <w:color w:val="000000"/>
              </w:rPr>
            </w:pPr>
          </w:p>
        </w:tc>
      </w:tr>
      <w:tr w:rsidR="00BB3756" w:rsidRPr="00E929F2" w14:paraId="2BB3160B" w14:textId="77777777" w:rsidTr="00DE490A">
        <w:trPr>
          <w:trHeight w:val="330"/>
          <w:jc w:val="center"/>
        </w:trPr>
        <w:tc>
          <w:tcPr>
            <w:tcW w:w="8010" w:type="dxa"/>
            <w:gridSpan w:val="4"/>
            <w:tcBorders>
              <w:top w:val="single" w:sz="12" w:space="0" w:color="000000"/>
              <w:left w:val="single" w:sz="12" w:space="0" w:color="000000"/>
              <w:bottom w:val="nil"/>
              <w:right w:val="single" w:sz="12" w:space="0" w:color="000000"/>
            </w:tcBorders>
            <w:shd w:val="clear" w:color="000000" w:fill="8EAADC"/>
            <w:vAlign w:val="center"/>
            <w:hideMark/>
          </w:tcPr>
          <w:p w14:paraId="369CDE2D" w14:textId="77777777" w:rsidR="00BB3756" w:rsidRPr="00E929F2" w:rsidRDefault="00BB3756" w:rsidP="00DE490A">
            <w:pPr>
              <w:ind w:firstLineChars="1500" w:firstLine="2861"/>
              <w:rPr>
                <w:rFonts w:ascii="Calibri" w:hAnsi="Calibri"/>
                <w:b/>
                <w:bCs/>
                <w:color w:val="000000"/>
                <w:sz w:val="19"/>
                <w:szCs w:val="19"/>
              </w:rPr>
            </w:pPr>
            <w:r w:rsidRPr="00E929F2">
              <w:rPr>
                <w:rFonts w:ascii="Calibri" w:hAnsi="Calibri"/>
                <w:b/>
                <w:bCs/>
                <w:color w:val="000000"/>
                <w:sz w:val="19"/>
                <w:szCs w:val="19"/>
              </w:rPr>
              <w:t>I. DATE GENERALE</w:t>
            </w:r>
          </w:p>
        </w:tc>
        <w:tc>
          <w:tcPr>
            <w:tcW w:w="994" w:type="dxa"/>
            <w:tcBorders>
              <w:top w:val="nil"/>
              <w:left w:val="nil"/>
              <w:bottom w:val="nil"/>
              <w:right w:val="nil"/>
            </w:tcBorders>
            <w:shd w:val="clear" w:color="auto" w:fill="auto"/>
            <w:noWrap/>
            <w:vAlign w:val="bottom"/>
            <w:hideMark/>
          </w:tcPr>
          <w:p w14:paraId="3B0436B2" w14:textId="77777777" w:rsidR="00BB3756" w:rsidRPr="00E929F2" w:rsidRDefault="00BB3756" w:rsidP="00DE490A">
            <w:pPr>
              <w:ind w:firstLineChars="1500" w:firstLine="2861"/>
              <w:rPr>
                <w:rFonts w:ascii="Calibri" w:hAnsi="Calibri"/>
                <w:b/>
                <w:bCs/>
                <w:color w:val="000000"/>
                <w:sz w:val="19"/>
                <w:szCs w:val="19"/>
              </w:rPr>
            </w:pPr>
          </w:p>
        </w:tc>
      </w:tr>
      <w:tr w:rsidR="00BB3756" w:rsidRPr="00E929F2" w14:paraId="765A8B08" w14:textId="77777777" w:rsidTr="00DE490A">
        <w:trPr>
          <w:trHeight w:val="315"/>
          <w:jc w:val="center"/>
        </w:trPr>
        <w:tc>
          <w:tcPr>
            <w:tcW w:w="2520" w:type="dxa"/>
            <w:vMerge w:val="restart"/>
            <w:tcBorders>
              <w:top w:val="nil"/>
              <w:left w:val="single" w:sz="12" w:space="0" w:color="000000"/>
              <w:bottom w:val="single" w:sz="12" w:space="0" w:color="000000"/>
              <w:right w:val="single" w:sz="8" w:space="0" w:color="000000"/>
            </w:tcBorders>
            <w:shd w:val="clear" w:color="auto" w:fill="auto"/>
            <w:vAlign w:val="center"/>
            <w:hideMark/>
          </w:tcPr>
          <w:p w14:paraId="10617380" w14:textId="77777777" w:rsidR="00BB3756" w:rsidRPr="00E929F2" w:rsidRDefault="00BB3756" w:rsidP="00DE490A">
            <w:pPr>
              <w:rPr>
                <w:color w:val="000000"/>
                <w:sz w:val="18"/>
                <w:szCs w:val="18"/>
              </w:rPr>
            </w:pPr>
            <w:r w:rsidRPr="00E929F2">
              <w:rPr>
                <w:color w:val="000000"/>
                <w:sz w:val="18"/>
              </w:rPr>
              <w:t> </w:t>
            </w:r>
          </w:p>
        </w:tc>
        <w:tc>
          <w:tcPr>
            <w:tcW w:w="1620" w:type="dxa"/>
            <w:tcBorders>
              <w:top w:val="single" w:sz="8" w:space="0" w:color="000000"/>
              <w:left w:val="nil"/>
              <w:bottom w:val="single" w:sz="8" w:space="0" w:color="000000"/>
              <w:right w:val="single" w:sz="8" w:space="0" w:color="000000"/>
            </w:tcBorders>
            <w:shd w:val="clear" w:color="auto" w:fill="auto"/>
            <w:vAlign w:val="center"/>
            <w:hideMark/>
          </w:tcPr>
          <w:p w14:paraId="05989E44" w14:textId="77777777" w:rsidR="00BB3756" w:rsidRPr="00E929F2" w:rsidRDefault="00BB3756" w:rsidP="00DE490A">
            <w:pPr>
              <w:ind w:firstLineChars="400" w:firstLine="602"/>
              <w:rPr>
                <w:rFonts w:ascii="Calibri" w:hAnsi="Calibri"/>
                <w:b/>
                <w:bCs/>
                <w:color w:val="000000"/>
                <w:sz w:val="15"/>
                <w:szCs w:val="15"/>
              </w:rPr>
            </w:pPr>
            <w:r w:rsidRPr="00E929F2">
              <w:rPr>
                <w:rFonts w:ascii="Calibri" w:hAnsi="Calibri"/>
                <w:b/>
                <w:bCs/>
                <w:color w:val="000000"/>
                <w:sz w:val="15"/>
                <w:szCs w:val="15"/>
              </w:rPr>
              <w:t>1. Cod plot</w:t>
            </w:r>
          </w:p>
        </w:tc>
        <w:tc>
          <w:tcPr>
            <w:tcW w:w="2700" w:type="dxa"/>
            <w:tcBorders>
              <w:top w:val="single" w:sz="8" w:space="0" w:color="000000"/>
              <w:left w:val="nil"/>
              <w:bottom w:val="single" w:sz="8" w:space="0" w:color="000000"/>
              <w:right w:val="single" w:sz="8" w:space="0" w:color="000000"/>
            </w:tcBorders>
            <w:shd w:val="clear" w:color="auto" w:fill="auto"/>
            <w:vAlign w:val="center"/>
            <w:hideMark/>
          </w:tcPr>
          <w:p w14:paraId="4AFC42FC" w14:textId="77777777" w:rsidR="00BB3756" w:rsidRPr="00E929F2" w:rsidRDefault="00BB3756" w:rsidP="00DE490A">
            <w:pPr>
              <w:ind w:firstLineChars="500" w:firstLine="753"/>
              <w:rPr>
                <w:rFonts w:ascii="Calibri" w:hAnsi="Calibri"/>
                <w:b/>
                <w:bCs/>
                <w:color w:val="000000"/>
                <w:sz w:val="15"/>
                <w:szCs w:val="15"/>
              </w:rPr>
            </w:pPr>
            <w:r w:rsidRPr="00E929F2">
              <w:rPr>
                <w:rFonts w:ascii="Calibri" w:hAnsi="Calibri"/>
                <w:b/>
                <w:bCs/>
                <w:color w:val="000000"/>
                <w:sz w:val="15"/>
                <w:szCs w:val="15"/>
              </w:rPr>
              <w:t>2. Cod habitat</w:t>
            </w:r>
          </w:p>
        </w:tc>
        <w:tc>
          <w:tcPr>
            <w:tcW w:w="1170" w:type="dxa"/>
            <w:tcBorders>
              <w:top w:val="single" w:sz="8" w:space="0" w:color="000000"/>
              <w:left w:val="nil"/>
              <w:bottom w:val="single" w:sz="8" w:space="0" w:color="000000"/>
              <w:right w:val="single" w:sz="12" w:space="0" w:color="000000"/>
            </w:tcBorders>
            <w:shd w:val="clear" w:color="auto" w:fill="auto"/>
            <w:vAlign w:val="center"/>
            <w:hideMark/>
          </w:tcPr>
          <w:p w14:paraId="4AA2A4CC" w14:textId="77777777" w:rsidR="00BB3756" w:rsidRPr="00E929F2" w:rsidRDefault="00BB3756" w:rsidP="00DE490A">
            <w:pPr>
              <w:ind w:firstLineChars="100" w:firstLine="151"/>
              <w:rPr>
                <w:rFonts w:ascii="Calibri" w:hAnsi="Calibri"/>
                <w:b/>
                <w:bCs/>
                <w:color w:val="000000"/>
                <w:sz w:val="15"/>
                <w:szCs w:val="15"/>
              </w:rPr>
            </w:pPr>
            <w:r w:rsidRPr="00E929F2">
              <w:rPr>
                <w:rFonts w:ascii="Calibri" w:hAnsi="Calibri"/>
                <w:b/>
                <w:bCs/>
                <w:color w:val="000000"/>
                <w:sz w:val="15"/>
                <w:szCs w:val="15"/>
              </w:rPr>
              <w:t>3. Toponim asociat plotului</w:t>
            </w:r>
          </w:p>
        </w:tc>
        <w:tc>
          <w:tcPr>
            <w:tcW w:w="994" w:type="dxa"/>
            <w:tcBorders>
              <w:top w:val="nil"/>
              <w:left w:val="nil"/>
              <w:bottom w:val="nil"/>
              <w:right w:val="nil"/>
            </w:tcBorders>
            <w:shd w:val="clear" w:color="auto" w:fill="auto"/>
            <w:noWrap/>
            <w:vAlign w:val="bottom"/>
            <w:hideMark/>
          </w:tcPr>
          <w:p w14:paraId="5C990B7C" w14:textId="77777777" w:rsidR="00BB3756" w:rsidRPr="00E929F2" w:rsidRDefault="00BB3756" w:rsidP="00DE490A">
            <w:pPr>
              <w:ind w:firstLineChars="100" w:firstLine="151"/>
              <w:rPr>
                <w:rFonts w:ascii="Calibri" w:hAnsi="Calibri"/>
                <w:b/>
                <w:bCs/>
                <w:color w:val="000000"/>
                <w:sz w:val="15"/>
                <w:szCs w:val="15"/>
              </w:rPr>
            </w:pPr>
          </w:p>
        </w:tc>
      </w:tr>
      <w:tr w:rsidR="00BB3756" w:rsidRPr="00E929F2" w14:paraId="3F7A2330" w14:textId="77777777" w:rsidTr="00DE490A">
        <w:trPr>
          <w:trHeight w:val="405"/>
          <w:jc w:val="center"/>
        </w:trPr>
        <w:tc>
          <w:tcPr>
            <w:tcW w:w="2520" w:type="dxa"/>
            <w:vMerge/>
            <w:tcBorders>
              <w:top w:val="nil"/>
              <w:left w:val="single" w:sz="12" w:space="0" w:color="000000"/>
              <w:bottom w:val="single" w:sz="12" w:space="0" w:color="000000"/>
              <w:right w:val="single" w:sz="8" w:space="0" w:color="000000"/>
            </w:tcBorders>
            <w:vAlign w:val="center"/>
            <w:hideMark/>
          </w:tcPr>
          <w:p w14:paraId="0A949CD5" w14:textId="77777777" w:rsidR="00BB3756" w:rsidRPr="00E929F2" w:rsidRDefault="00BB3756" w:rsidP="00DE490A">
            <w:pPr>
              <w:rPr>
                <w:color w:val="000000"/>
                <w:sz w:val="18"/>
                <w:szCs w:val="18"/>
              </w:rPr>
            </w:pPr>
          </w:p>
        </w:tc>
        <w:tc>
          <w:tcPr>
            <w:tcW w:w="1620" w:type="dxa"/>
            <w:tcBorders>
              <w:top w:val="nil"/>
              <w:left w:val="nil"/>
              <w:bottom w:val="single" w:sz="8" w:space="0" w:color="000000"/>
              <w:right w:val="single" w:sz="8" w:space="0" w:color="000000"/>
            </w:tcBorders>
            <w:shd w:val="clear" w:color="auto" w:fill="auto"/>
            <w:vAlign w:val="center"/>
            <w:hideMark/>
          </w:tcPr>
          <w:p w14:paraId="025152A7" w14:textId="77777777" w:rsidR="00BB3756" w:rsidRPr="00E929F2" w:rsidRDefault="00BB3756" w:rsidP="00DE490A">
            <w:pPr>
              <w:ind w:firstLineChars="100" w:firstLine="151"/>
              <w:rPr>
                <w:rFonts w:ascii="Calibri" w:hAnsi="Calibri"/>
                <w:b/>
                <w:bCs/>
                <w:color w:val="000000"/>
                <w:sz w:val="15"/>
                <w:szCs w:val="15"/>
              </w:rPr>
            </w:pPr>
            <w:r w:rsidRPr="00E929F2">
              <w:rPr>
                <w:rFonts w:ascii="Calibri" w:hAnsi="Calibri"/>
                <w:b/>
                <w:bCs/>
                <w:color w:val="000000"/>
                <w:sz w:val="15"/>
                <w:szCs w:val="15"/>
              </w:rPr>
              <w:t>4. Nume/prenume expert</w:t>
            </w:r>
          </w:p>
        </w:tc>
        <w:tc>
          <w:tcPr>
            <w:tcW w:w="2700" w:type="dxa"/>
            <w:tcBorders>
              <w:top w:val="nil"/>
              <w:left w:val="nil"/>
              <w:bottom w:val="single" w:sz="8" w:space="0" w:color="000000"/>
              <w:right w:val="single" w:sz="8" w:space="0" w:color="000000"/>
            </w:tcBorders>
            <w:shd w:val="clear" w:color="auto" w:fill="auto"/>
            <w:vAlign w:val="center"/>
            <w:hideMark/>
          </w:tcPr>
          <w:p w14:paraId="04DC77C9" w14:textId="77777777" w:rsidR="00BB3756" w:rsidRPr="00E929F2" w:rsidRDefault="00BB3756" w:rsidP="00DE490A">
            <w:pPr>
              <w:ind w:firstLineChars="700" w:firstLine="1054"/>
              <w:rPr>
                <w:rFonts w:ascii="Calibri" w:hAnsi="Calibri"/>
                <w:b/>
                <w:bCs/>
                <w:color w:val="000000"/>
                <w:sz w:val="15"/>
                <w:szCs w:val="15"/>
              </w:rPr>
            </w:pPr>
            <w:r w:rsidRPr="00E929F2">
              <w:rPr>
                <w:rFonts w:ascii="Calibri" w:hAnsi="Calibri"/>
                <w:b/>
                <w:bCs/>
                <w:color w:val="000000"/>
                <w:sz w:val="15"/>
                <w:szCs w:val="15"/>
              </w:rPr>
              <w:t>5. Data</w:t>
            </w:r>
          </w:p>
        </w:tc>
        <w:tc>
          <w:tcPr>
            <w:tcW w:w="1170" w:type="dxa"/>
            <w:tcBorders>
              <w:top w:val="nil"/>
              <w:left w:val="nil"/>
              <w:bottom w:val="single" w:sz="8" w:space="0" w:color="000000"/>
              <w:right w:val="single" w:sz="12" w:space="0" w:color="000000"/>
            </w:tcBorders>
            <w:shd w:val="clear" w:color="auto" w:fill="auto"/>
            <w:vAlign w:val="center"/>
            <w:hideMark/>
          </w:tcPr>
          <w:p w14:paraId="18EC0675" w14:textId="77777777" w:rsidR="00BB3756" w:rsidRPr="00E929F2" w:rsidRDefault="00BB3756" w:rsidP="00DE490A">
            <w:pPr>
              <w:ind w:firstLineChars="300" w:firstLine="452"/>
              <w:rPr>
                <w:rFonts w:ascii="Calibri" w:hAnsi="Calibri"/>
                <w:b/>
                <w:bCs/>
                <w:color w:val="000000"/>
                <w:sz w:val="15"/>
                <w:szCs w:val="15"/>
              </w:rPr>
            </w:pPr>
            <w:r w:rsidRPr="00E929F2">
              <w:rPr>
                <w:rFonts w:ascii="Calibri" w:hAnsi="Calibri"/>
                <w:b/>
                <w:bCs/>
                <w:color w:val="000000"/>
                <w:sz w:val="15"/>
                <w:szCs w:val="15"/>
              </w:rPr>
              <w:t>6. Suprafață plot</w:t>
            </w:r>
          </w:p>
        </w:tc>
        <w:tc>
          <w:tcPr>
            <w:tcW w:w="994" w:type="dxa"/>
            <w:tcBorders>
              <w:top w:val="nil"/>
              <w:left w:val="nil"/>
              <w:bottom w:val="nil"/>
              <w:right w:val="nil"/>
            </w:tcBorders>
            <w:shd w:val="clear" w:color="auto" w:fill="auto"/>
            <w:noWrap/>
            <w:vAlign w:val="bottom"/>
            <w:hideMark/>
          </w:tcPr>
          <w:p w14:paraId="31C075F6" w14:textId="77777777" w:rsidR="00BB3756" w:rsidRPr="00E929F2" w:rsidRDefault="00BB3756" w:rsidP="00DE490A">
            <w:pPr>
              <w:ind w:firstLineChars="300" w:firstLine="452"/>
              <w:rPr>
                <w:rFonts w:ascii="Calibri" w:hAnsi="Calibri"/>
                <w:b/>
                <w:bCs/>
                <w:color w:val="000000"/>
                <w:sz w:val="15"/>
                <w:szCs w:val="15"/>
              </w:rPr>
            </w:pPr>
          </w:p>
        </w:tc>
      </w:tr>
      <w:tr w:rsidR="00BB3756" w:rsidRPr="00E929F2" w14:paraId="3C69B56A" w14:textId="77777777" w:rsidTr="00DE490A">
        <w:trPr>
          <w:trHeight w:val="315"/>
          <w:jc w:val="center"/>
        </w:trPr>
        <w:tc>
          <w:tcPr>
            <w:tcW w:w="2520" w:type="dxa"/>
            <w:vMerge/>
            <w:tcBorders>
              <w:top w:val="nil"/>
              <w:left w:val="single" w:sz="12" w:space="0" w:color="000000"/>
              <w:bottom w:val="single" w:sz="12" w:space="0" w:color="000000"/>
              <w:right w:val="single" w:sz="8" w:space="0" w:color="000000"/>
            </w:tcBorders>
            <w:vAlign w:val="center"/>
            <w:hideMark/>
          </w:tcPr>
          <w:p w14:paraId="4BA4CF34" w14:textId="77777777" w:rsidR="00BB3756" w:rsidRPr="00E929F2" w:rsidRDefault="00BB3756" w:rsidP="00DE490A">
            <w:pPr>
              <w:rPr>
                <w:color w:val="000000"/>
                <w:sz w:val="18"/>
                <w:szCs w:val="18"/>
              </w:rPr>
            </w:pPr>
          </w:p>
        </w:tc>
        <w:tc>
          <w:tcPr>
            <w:tcW w:w="1620" w:type="dxa"/>
            <w:tcBorders>
              <w:top w:val="nil"/>
              <w:left w:val="nil"/>
              <w:bottom w:val="single" w:sz="12" w:space="0" w:color="000000"/>
              <w:right w:val="single" w:sz="8" w:space="0" w:color="000000"/>
            </w:tcBorders>
            <w:shd w:val="clear" w:color="auto" w:fill="auto"/>
            <w:vAlign w:val="center"/>
            <w:hideMark/>
          </w:tcPr>
          <w:p w14:paraId="0CADC91F" w14:textId="77777777" w:rsidR="00BB3756" w:rsidRPr="00E929F2" w:rsidRDefault="00BB3756" w:rsidP="00DE490A">
            <w:pPr>
              <w:rPr>
                <w:color w:val="000000"/>
                <w:sz w:val="18"/>
                <w:szCs w:val="18"/>
              </w:rPr>
            </w:pPr>
            <w:r w:rsidRPr="00E929F2">
              <w:rPr>
                <w:color w:val="000000"/>
                <w:sz w:val="18"/>
              </w:rPr>
              <w:t> </w:t>
            </w:r>
          </w:p>
        </w:tc>
        <w:tc>
          <w:tcPr>
            <w:tcW w:w="2700" w:type="dxa"/>
            <w:tcBorders>
              <w:top w:val="nil"/>
              <w:left w:val="nil"/>
              <w:bottom w:val="single" w:sz="12" w:space="0" w:color="000000"/>
              <w:right w:val="single" w:sz="8" w:space="0" w:color="000000"/>
            </w:tcBorders>
            <w:shd w:val="clear" w:color="auto" w:fill="auto"/>
            <w:vAlign w:val="center"/>
            <w:hideMark/>
          </w:tcPr>
          <w:p w14:paraId="02096BD4" w14:textId="77777777" w:rsidR="00BB3756" w:rsidRPr="00E929F2" w:rsidRDefault="00BB3756" w:rsidP="00DE490A">
            <w:pPr>
              <w:rPr>
                <w:color w:val="000000"/>
                <w:sz w:val="18"/>
                <w:szCs w:val="18"/>
              </w:rPr>
            </w:pPr>
            <w:r w:rsidRPr="00E929F2">
              <w:rPr>
                <w:color w:val="000000"/>
                <w:sz w:val="18"/>
              </w:rPr>
              <w:t> </w:t>
            </w:r>
          </w:p>
        </w:tc>
        <w:tc>
          <w:tcPr>
            <w:tcW w:w="1170" w:type="dxa"/>
            <w:tcBorders>
              <w:top w:val="nil"/>
              <w:left w:val="nil"/>
              <w:bottom w:val="single" w:sz="12" w:space="0" w:color="000000"/>
              <w:right w:val="single" w:sz="12" w:space="0" w:color="000000"/>
            </w:tcBorders>
            <w:shd w:val="clear" w:color="auto" w:fill="auto"/>
            <w:vAlign w:val="center"/>
            <w:hideMark/>
          </w:tcPr>
          <w:p w14:paraId="3E7A5505" w14:textId="77777777" w:rsidR="00BB3756" w:rsidRPr="00E929F2" w:rsidRDefault="00BB3756" w:rsidP="00DE490A">
            <w:pPr>
              <w:rPr>
                <w:color w:val="000000"/>
                <w:sz w:val="18"/>
                <w:szCs w:val="18"/>
              </w:rPr>
            </w:pPr>
            <w:r w:rsidRPr="00E929F2">
              <w:rPr>
                <w:color w:val="000000"/>
                <w:sz w:val="18"/>
              </w:rPr>
              <w:t> </w:t>
            </w:r>
          </w:p>
        </w:tc>
        <w:tc>
          <w:tcPr>
            <w:tcW w:w="994" w:type="dxa"/>
            <w:tcBorders>
              <w:top w:val="nil"/>
              <w:left w:val="nil"/>
              <w:bottom w:val="nil"/>
              <w:right w:val="nil"/>
            </w:tcBorders>
            <w:shd w:val="clear" w:color="auto" w:fill="auto"/>
            <w:noWrap/>
            <w:vAlign w:val="bottom"/>
            <w:hideMark/>
          </w:tcPr>
          <w:p w14:paraId="761C72B6" w14:textId="77777777" w:rsidR="00BB3756" w:rsidRPr="00E929F2" w:rsidRDefault="00BB3756" w:rsidP="00DE490A">
            <w:pPr>
              <w:rPr>
                <w:color w:val="000000"/>
                <w:sz w:val="18"/>
                <w:szCs w:val="18"/>
              </w:rPr>
            </w:pPr>
          </w:p>
        </w:tc>
      </w:tr>
      <w:tr w:rsidR="00BB3756" w:rsidRPr="00E929F2" w14:paraId="101F74E2" w14:textId="77777777" w:rsidTr="00DE490A">
        <w:trPr>
          <w:trHeight w:val="330"/>
          <w:jc w:val="center"/>
        </w:trPr>
        <w:tc>
          <w:tcPr>
            <w:tcW w:w="8010" w:type="dxa"/>
            <w:gridSpan w:val="4"/>
            <w:tcBorders>
              <w:top w:val="single" w:sz="12" w:space="0" w:color="000000"/>
              <w:left w:val="single" w:sz="12" w:space="0" w:color="000000"/>
              <w:bottom w:val="single" w:sz="12" w:space="0" w:color="000000"/>
              <w:right w:val="single" w:sz="12" w:space="0" w:color="000000"/>
            </w:tcBorders>
            <w:shd w:val="clear" w:color="000000" w:fill="8EAADC"/>
            <w:vAlign w:val="center"/>
            <w:hideMark/>
          </w:tcPr>
          <w:p w14:paraId="3E6182BE" w14:textId="77777777" w:rsidR="00BB3756" w:rsidRPr="00E929F2" w:rsidRDefault="00BB3756" w:rsidP="00DE490A">
            <w:pPr>
              <w:ind w:firstLineChars="1500" w:firstLine="3017"/>
              <w:rPr>
                <w:rFonts w:ascii="Calibri" w:hAnsi="Calibri"/>
                <w:b/>
                <w:bCs/>
                <w:color w:val="000000"/>
                <w:sz w:val="19"/>
                <w:szCs w:val="19"/>
              </w:rPr>
            </w:pPr>
            <w:r w:rsidRPr="00E929F2">
              <w:rPr>
                <w:rFonts w:ascii="Calibri" w:hAnsi="Calibri"/>
                <w:b/>
                <w:bCs/>
                <w:color w:val="000000"/>
                <w:w w:val="105"/>
                <w:sz w:val="19"/>
              </w:rPr>
              <w:t>II. STRUCTURĂ ȘI FUNCȚII - INDICATORI</w:t>
            </w:r>
          </w:p>
        </w:tc>
        <w:tc>
          <w:tcPr>
            <w:tcW w:w="994" w:type="dxa"/>
            <w:tcBorders>
              <w:top w:val="nil"/>
              <w:left w:val="nil"/>
              <w:bottom w:val="nil"/>
              <w:right w:val="nil"/>
            </w:tcBorders>
            <w:shd w:val="clear" w:color="auto" w:fill="auto"/>
            <w:noWrap/>
            <w:vAlign w:val="bottom"/>
            <w:hideMark/>
          </w:tcPr>
          <w:p w14:paraId="3DE187B1" w14:textId="77777777" w:rsidR="00BB3756" w:rsidRPr="00E929F2" w:rsidRDefault="00BB3756" w:rsidP="00DE490A">
            <w:pPr>
              <w:ind w:firstLineChars="1500" w:firstLine="2861"/>
              <w:rPr>
                <w:rFonts w:ascii="Calibri" w:hAnsi="Calibri"/>
                <w:b/>
                <w:bCs/>
                <w:color w:val="000000"/>
                <w:sz w:val="19"/>
                <w:szCs w:val="19"/>
              </w:rPr>
            </w:pPr>
          </w:p>
        </w:tc>
      </w:tr>
      <w:tr w:rsidR="00BB3756" w:rsidRPr="00E929F2" w14:paraId="202F52D8" w14:textId="77777777" w:rsidTr="00DE490A">
        <w:trPr>
          <w:trHeight w:val="330"/>
          <w:jc w:val="center"/>
        </w:trPr>
        <w:tc>
          <w:tcPr>
            <w:tcW w:w="2520" w:type="dxa"/>
            <w:tcBorders>
              <w:top w:val="nil"/>
              <w:left w:val="single" w:sz="12" w:space="0" w:color="000000"/>
              <w:bottom w:val="single" w:sz="8" w:space="0" w:color="000000"/>
              <w:right w:val="single" w:sz="8" w:space="0" w:color="000000"/>
            </w:tcBorders>
            <w:shd w:val="clear" w:color="000000" w:fill="C5DFB1"/>
            <w:vAlign w:val="center"/>
            <w:hideMark/>
          </w:tcPr>
          <w:p w14:paraId="21D3C4F1" w14:textId="77777777" w:rsidR="00BB3756" w:rsidRPr="00E929F2" w:rsidRDefault="00BB3756" w:rsidP="00DE490A">
            <w:pPr>
              <w:jc w:val="center"/>
              <w:rPr>
                <w:rFonts w:ascii="Calibri" w:hAnsi="Calibri"/>
                <w:b/>
                <w:bCs/>
                <w:color w:val="000000"/>
                <w:sz w:val="15"/>
                <w:szCs w:val="15"/>
              </w:rPr>
            </w:pPr>
            <w:r w:rsidRPr="00E929F2">
              <w:rPr>
                <w:rFonts w:ascii="Calibri" w:hAnsi="Calibri"/>
                <w:b/>
                <w:bCs/>
                <w:color w:val="000000"/>
                <w:sz w:val="15"/>
                <w:szCs w:val="15"/>
              </w:rPr>
              <w:t>Indicatori</w:t>
            </w:r>
          </w:p>
        </w:tc>
        <w:tc>
          <w:tcPr>
            <w:tcW w:w="1620" w:type="dxa"/>
            <w:tcBorders>
              <w:top w:val="nil"/>
              <w:left w:val="nil"/>
              <w:bottom w:val="single" w:sz="8" w:space="0" w:color="000000"/>
              <w:right w:val="single" w:sz="8" w:space="0" w:color="000000"/>
            </w:tcBorders>
            <w:shd w:val="clear" w:color="000000" w:fill="C5DFB1"/>
            <w:vAlign w:val="center"/>
            <w:hideMark/>
          </w:tcPr>
          <w:p w14:paraId="543705ED" w14:textId="77777777" w:rsidR="00BB3756" w:rsidRPr="00E929F2" w:rsidRDefault="00BB3756" w:rsidP="00DE490A">
            <w:pPr>
              <w:jc w:val="center"/>
              <w:rPr>
                <w:rFonts w:ascii="Calibri" w:hAnsi="Calibri"/>
                <w:color w:val="000000"/>
                <w:sz w:val="15"/>
                <w:szCs w:val="15"/>
              </w:rPr>
            </w:pPr>
            <w:r w:rsidRPr="00E929F2">
              <w:rPr>
                <w:rFonts w:ascii="Calibri" w:hAnsi="Calibri"/>
                <w:color w:val="000000"/>
                <w:sz w:val="15"/>
                <w:szCs w:val="15"/>
              </w:rPr>
              <w:t>A</w:t>
            </w:r>
          </w:p>
        </w:tc>
        <w:tc>
          <w:tcPr>
            <w:tcW w:w="2700" w:type="dxa"/>
            <w:tcBorders>
              <w:top w:val="nil"/>
              <w:left w:val="nil"/>
              <w:bottom w:val="single" w:sz="8" w:space="0" w:color="000000"/>
              <w:right w:val="single" w:sz="8" w:space="0" w:color="000000"/>
            </w:tcBorders>
            <w:shd w:val="clear" w:color="000000" w:fill="C5DFB1"/>
            <w:vAlign w:val="center"/>
            <w:hideMark/>
          </w:tcPr>
          <w:p w14:paraId="5DEB2DA9" w14:textId="77777777" w:rsidR="00BB3756" w:rsidRPr="00E929F2" w:rsidRDefault="00BB3756" w:rsidP="00DE490A">
            <w:pPr>
              <w:jc w:val="center"/>
              <w:rPr>
                <w:rFonts w:ascii="Calibri" w:hAnsi="Calibri"/>
                <w:color w:val="000000"/>
                <w:sz w:val="15"/>
                <w:szCs w:val="15"/>
              </w:rPr>
            </w:pPr>
            <w:r w:rsidRPr="00E929F2">
              <w:rPr>
                <w:rFonts w:ascii="Calibri" w:hAnsi="Calibri"/>
                <w:color w:val="000000"/>
                <w:sz w:val="15"/>
                <w:szCs w:val="15"/>
              </w:rPr>
              <w:t>B</w:t>
            </w:r>
          </w:p>
        </w:tc>
        <w:tc>
          <w:tcPr>
            <w:tcW w:w="1170" w:type="dxa"/>
            <w:tcBorders>
              <w:top w:val="nil"/>
              <w:left w:val="nil"/>
              <w:bottom w:val="single" w:sz="8" w:space="0" w:color="000000"/>
              <w:right w:val="single" w:sz="12" w:space="0" w:color="000000"/>
            </w:tcBorders>
            <w:shd w:val="clear" w:color="000000" w:fill="C5DFB1"/>
            <w:vAlign w:val="center"/>
            <w:hideMark/>
          </w:tcPr>
          <w:p w14:paraId="2243A10F" w14:textId="77777777" w:rsidR="00BB3756" w:rsidRPr="00E929F2" w:rsidRDefault="00BB3756" w:rsidP="00DE490A">
            <w:pPr>
              <w:jc w:val="center"/>
              <w:rPr>
                <w:rFonts w:ascii="Calibri" w:hAnsi="Calibri"/>
                <w:color w:val="000000"/>
                <w:sz w:val="15"/>
                <w:szCs w:val="15"/>
              </w:rPr>
            </w:pPr>
            <w:r w:rsidRPr="00E929F2">
              <w:rPr>
                <w:rFonts w:ascii="Calibri" w:hAnsi="Calibri"/>
                <w:color w:val="000000"/>
                <w:sz w:val="15"/>
                <w:szCs w:val="15"/>
              </w:rPr>
              <w:t>C</w:t>
            </w:r>
          </w:p>
        </w:tc>
        <w:tc>
          <w:tcPr>
            <w:tcW w:w="994" w:type="dxa"/>
            <w:tcBorders>
              <w:top w:val="nil"/>
              <w:left w:val="nil"/>
              <w:bottom w:val="nil"/>
              <w:right w:val="nil"/>
            </w:tcBorders>
            <w:shd w:val="clear" w:color="auto" w:fill="auto"/>
            <w:noWrap/>
            <w:vAlign w:val="bottom"/>
            <w:hideMark/>
          </w:tcPr>
          <w:p w14:paraId="17868F2C" w14:textId="77777777" w:rsidR="00BB3756" w:rsidRPr="00E929F2" w:rsidRDefault="00BB3756" w:rsidP="00DE490A">
            <w:pPr>
              <w:jc w:val="center"/>
              <w:rPr>
                <w:rFonts w:ascii="Calibri" w:hAnsi="Calibri"/>
                <w:color w:val="000000"/>
                <w:sz w:val="15"/>
                <w:szCs w:val="15"/>
              </w:rPr>
            </w:pPr>
          </w:p>
        </w:tc>
      </w:tr>
      <w:tr w:rsidR="00BB3756" w:rsidRPr="00E929F2" w14:paraId="748A2BC7" w14:textId="77777777" w:rsidTr="00DE490A">
        <w:trPr>
          <w:trHeight w:val="315"/>
          <w:jc w:val="center"/>
        </w:trPr>
        <w:tc>
          <w:tcPr>
            <w:tcW w:w="2520" w:type="dxa"/>
            <w:tcBorders>
              <w:top w:val="nil"/>
              <w:left w:val="single" w:sz="12" w:space="0" w:color="000000"/>
              <w:bottom w:val="single" w:sz="8" w:space="0" w:color="000000"/>
              <w:right w:val="single" w:sz="8" w:space="0" w:color="000000"/>
            </w:tcBorders>
            <w:shd w:val="clear" w:color="auto" w:fill="auto"/>
            <w:vAlign w:val="center"/>
            <w:hideMark/>
          </w:tcPr>
          <w:p w14:paraId="5289E35D" w14:textId="77777777" w:rsidR="00BB3756" w:rsidRPr="00E929F2" w:rsidRDefault="00BB3756" w:rsidP="00DE490A">
            <w:pPr>
              <w:rPr>
                <w:rFonts w:ascii="Calibri" w:hAnsi="Calibri"/>
                <w:b/>
                <w:bCs/>
                <w:color w:val="FF0000"/>
                <w:sz w:val="15"/>
                <w:szCs w:val="15"/>
              </w:rPr>
            </w:pPr>
            <w:r w:rsidRPr="00E929F2">
              <w:rPr>
                <w:rFonts w:ascii="Calibri" w:hAnsi="Calibri"/>
                <w:b/>
                <w:bCs/>
                <w:color w:val="FF0000"/>
                <w:sz w:val="15"/>
                <w:szCs w:val="15"/>
              </w:rPr>
              <w:t>Indicator1</w:t>
            </w:r>
          </w:p>
        </w:tc>
        <w:tc>
          <w:tcPr>
            <w:tcW w:w="1620" w:type="dxa"/>
            <w:tcBorders>
              <w:top w:val="nil"/>
              <w:left w:val="nil"/>
              <w:bottom w:val="single" w:sz="8" w:space="0" w:color="000000"/>
              <w:right w:val="single" w:sz="8" w:space="0" w:color="000000"/>
            </w:tcBorders>
            <w:shd w:val="clear" w:color="auto" w:fill="auto"/>
            <w:vAlign w:val="center"/>
            <w:hideMark/>
          </w:tcPr>
          <w:p w14:paraId="0EE437C9" w14:textId="77777777" w:rsidR="00BB3756" w:rsidRPr="00E929F2" w:rsidRDefault="00BB3756" w:rsidP="00DE490A">
            <w:pPr>
              <w:rPr>
                <w:color w:val="000000"/>
                <w:sz w:val="12"/>
                <w:szCs w:val="12"/>
              </w:rPr>
            </w:pPr>
            <w:r w:rsidRPr="00E929F2">
              <w:rPr>
                <w:color w:val="000000"/>
                <w:sz w:val="12"/>
              </w:rPr>
              <w:t> </w:t>
            </w:r>
          </w:p>
        </w:tc>
        <w:tc>
          <w:tcPr>
            <w:tcW w:w="2700" w:type="dxa"/>
            <w:tcBorders>
              <w:top w:val="nil"/>
              <w:left w:val="nil"/>
              <w:bottom w:val="single" w:sz="8" w:space="0" w:color="000000"/>
              <w:right w:val="single" w:sz="8" w:space="0" w:color="000000"/>
            </w:tcBorders>
            <w:shd w:val="clear" w:color="auto" w:fill="auto"/>
            <w:vAlign w:val="center"/>
            <w:hideMark/>
          </w:tcPr>
          <w:p w14:paraId="643CDB0E" w14:textId="77777777" w:rsidR="00BB3756" w:rsidRPr="00E929F2" w:rsidRDefault="00BB3756" w:rsidP="00DE490A">
            <w:pPr>
              <w:rPr>
                <w:color w:val="000000"/>
                <w:sz w:val="12"/>
                <w:szCs w:val="12"/>
              </w:rPr>
            </w:pPr>
            <w:r w:rsidRPr="00E929F2">
              <w:rPr>
                <w:color w:val="000000"/>
                <w:sz w:val="12"/>
              </w:rPr>
              <w:t> </w:t>
            </w:r>
          </w:p>
        </w:tc>
        <w:tc>
          <w:tcPr>
            <w:tcW w:w="1170" w:type="dxa"/>
            <w:tcBorders>
              <w:top w:val="nil"/>
              <w:left w:val="nil"/>
              <w:bottom w:val="single" w:sz="8" w:space="0" w:color="000000"/>
              <w:right w:val="single" w:sz="12" w:space="0" w:color="000000"/>
            </w:tcBorders>
            <w:shd w:val="clear" w:color="auto" w:fill="auto"/>
            <w:vAlign w:val="center"/>
            <w:hideMark/>
          </w:tcPr>
          <w:p w14:paraId="0DAC9B67" w14:textId="77777777" w:rsidR="00BB3756" w:rsidRPr="00E929F2" w:rsidRDefault="00BB3756" w:rsidP="00DE490A">
            <w:pPr>
              <w:rPr>
                <w:color w:val="000000"/>
                <w:sz w:val="12"/>
                <w:szCs w:val="12"/>
              </w:rPr>
            </w:pPr>
            <w:r w:rsidRPr="00E929F2">
              <w:rPr>
                <w:color w:val="000000"/>
                <w:sz w:val="12"/>
              </w:rPr>
              <w:t> </w:t>
            </w:r>
          </w:p>
        </w:tc>
        <w:tc>
          <w:tcPr>
            <w:tcW w:w="994" w:type="dxa"/>
            <w:tcBorders>
              <w:top w:val="nil"/>
              <w:left w:val="nil"/>
              <w:bottom w:val="nil"/>
              <w:right w:val="nil"/>
            </w:tcBorders>
            <w:shd w:val="clear" w:color="auto" w:fill="auto"/>
            <w:noWrap/>
            <w:vAlign w:val="bottom"/>
            <w:hideMark/>
          </w:tcPr>
          <w:p w14:paraId="31D286CD" w14:textId="77777777" w:rsidR="00BB3756" w:rsidRPr="00E929F2" w:rsidRDefault="00BB3756" w:rsidP="00DE490A">
            <w:pPr>
              <w:rPr>
                <w:color w:val="000000"/>
                <w:sz w:val="12"/>
                <w:szCs w:val="12"/>
              </w:rPr>
            </w:pPr>
          </w:p>
        </w:tc>
      </w:tr>
      <w:tr w:rsidR="00BB3756" w:rsidRPr="00E929F2" w14:paraId="40815FFB" w14:textId="77777777" w:rsidTr="00DE490A">
        <w:trPr>
          <w:trHeight w:val="315"/>
          <w:jc w:val="center"/>
        </w:trPr>
        <w:tc>
          <w:tcPr>
            <w:tcW w:w="2520" w:type="dxa"/>
            <w:tcBorders>
              <w:top w:val="nil"/>
              <w:left w:val="single" w:sz="12" w:space="0" w:color="000000"/>
              <w:bottom w:val="single" w:sz="8" w:space="0" w:color="000000"/>
              <w:right w:val="single" w:sz="8" w:space="0" w:color="000000"/>
            </w:tcBorders>
            <w:shd w:val="clear" w:color="auto" w:fill="auto"/>
            <w:vAlign w:val="center"/>
            <w:hideMark/>
          </w:tcPr>
          <w:p w14:paraId="73BE722B" w14:textId="77777777" w:rsidR="00BB3756" w:rsidRPr="00E929F2" w:rsidRDefault="00BB3756" w:rsidP="00DE490A">
            <w:pPr>
              <w:rPr>
                <w:rFonts w:ascii="Calibri" w:hAnsi="Calibri"/>
                <w:b/>
                <w:bCs/>
                <w:color w:val="FF0000"/>
                <w:sz w:val="15"/>
                <w:szCs w:val="15"/>
              </w:rPr>
            </w:pPr>
            <w:r w:rsidRPr="00E929F2">
              <w:rPr>
                <w:rFonts w:ascii="Calibri" w:hAnsi="Calibri"/>
                <w:b/>
                <w:bCs/>
                <w:color w:val="FF0000"/>
                <w:sz w:val="15"/>
                <w:szCs w:val="15"/>
              </w:rPr>
              <w:t>Indicator2</w:t>
            </w:r>
          </w:p>
        </w:tc>
        <w:tc>
          <w:tcPr>
            <w:tcW w:w="1620" w:type="dxa"/>
            <w:tcBorders>
              <w:top w:val="nil"/>
              <w:left w:val="nil"/>
              <w:bottom w:val="single" w:sz="8" w:space="0" w:color="000000"/>
              <w:right w:val="single" w:sz="8" w:space="0" w:color="000000"/>
            </w:tcBorders>
            <w:shd w:val="clear" w:color="auto" w:fill="auto"/>
            <w:vAlign w:val="center"/>
            <w:hideMark/>
          </w:tcPr>
          <w:p w14:paraId="6C2EC5A4" w14:textId="77777777" w:rsidR="00BB3756" w:rsidRPr="00E929F2" w:rsidRDefault="00BB3756" w:rsidP="00DE490A">
            <w:pPr>
              <w:rPr>
                <w:color w:val="000000"/>
                <w:sz w:val="12"/>
                <w:szCs w:val="12"/>
              </w:rPr>
            </w:pPr>
            <w:r w:rsidRPr="00E929F2">
              <w:rPr>
                <w:color w:val="000000"/>
                <w:sz w:val="12"/>
              </w:rPr>
              <w:t> </w:t>
            </w:r>
          </w:p>
        </w:tc>
        <w:tc>
          <w:tcPr>
            <w:tcW w:w="2700" w:type="dxa"/>
            <w:tcBorders>
              <w:top w:val="nil"/>
              <w:left w:val="nil"/>
              <w:bottom w:val="single" w:sz="8" w:space="0" w:color="000000"/>
              <w:right w:val="single" w:sz="8" w:space="0" w:color="000000"/>
            </w:tcBorders>
            <w:shd w:val="clear" w:color="auto" w:fill="auto"/>
            <w:vAlign w:val="center"/>
            <w:hideMark/>
          </w:tcPr>
          <w:p w14:paraId="596125AE" w14:textId="77777777" w:rsidR="00BB3756" w:rsidRPr="00E929F2" w:rsidRDefault="00BB3756" w:rsidP="00DE490A">
            <w:pPr>
              <w:rPr>
                <w:color w:val="000000"/>
                <w:sz w:val="12"/>
                <w:szCs w:val="12"/>
              </w:rPr>
            </w:pPr>
            <w:r w:rsidRPr="00E929F2">
              <w:rPr>
                <w:color w:val="000000"/>
                <w:sz w:val="12"/>
              </w:rPr>
              <w:t> </w:t>
            </w:r>
          </w:p>
        </w:tc>
        <w:tc>
          <w:tcPr>
            <w:tcW w:w="1170" w:type="dxa"/>
            <w:tcBorders>
              <w:top w:val="nil"/>
              <w:left w:val="nil"/>
              <w:bottom w:val="single" w:sz="8" w:space="0" w:color="000000"/>
              <w:right w:val="single" w:sz="12" w:space="0" w:color="000000"/>
            </w:tcBorders>
            <w:shd w:val="clear" w:color="auto" w:fill="auto"/>
            <w:vAlign w:val="center"/>
            <w:hideMark/>
          </w:tcPr>
          <w:p w14:paraId="7EEF5CD9" w14:textId="77777777" w:rsidR="00BB3756" w:rsidRPr="00E929F2" w:rsidRDefault="00BB3756" w:rsidP="00DE490A">
            <w:pPr>
              <w:rPr>
                <w:color w:val="000000"/>
                <w:sz w:val="12"/>
                <w:szCs w:val="12"/>
              </w:rPr>
            </w:pPr>
            <w:r w:rsidRPr="00E929F2">
              <w:rPr>
                <w:color w:val="000000"/>
                <w:sz w:val="12"/>
              </w:rPr>
              <w:t> </w:t>
            </w:r>
          </w:p>
        </w:tc>
        <w:tc>
          <w:tcPr>
            <w:tcW w:w="994" w:type="dxa"/>
            <w:tcBorders>
              <w:top w:val="nil"/>
              <w:left w:val="nil"/>
              <w:bottom w:val="nil"/>
              <w:right w:val="nil"/>
            </w:tcBorders>
            <w:shd w:val="clear" w:color="auto" w:fill="auto"/>
            <w:noWrap/>
            <w:vAlign w:val="bottom"/>
            <w:hideMark/>
          </w:tcPr>
          <w:p w14:paraId="3FC9EC77" w14:textId="77777777" w:rsidR="00BB3756" w:rsidRPr="00E929F2" w:rsidRDefault="00BB3756" w:rsidP="00DE490A">
            <w:pPr>
              <w:rPr>
                <w:color w:val="000000"/>
                <w:sz w:val="12"/>
                <w:szCs w:val="12"/>
              </w:rPr>
            </w:pPr>
          </w:p>
        </w:tc>
      </w:tr>
      <w:tr w:rsidR="00BB3756" w:rsidRPr="00E929F2" w14:paraId="73427E70" w14:textId="77777777" w:rsidTr="00DE490A">
        <w:trPr>
          <w:trHeight w:val="315"/>
          <w:jc w:val="center"/>
        </w:trPr>
        <w:tc>
          <w:tcPr>
            <w:tcW w:w="2520" w:type="dxa"/>
            <w:tcBorders>
              <w:top w:val="nil"/>
              <w:left w:val="single" w:sz="12" w:space="0" w:color="000000"/>
              <w:bottom w:val="single" w:sz="8" w:space="0" w:color="000000"/>
              <w:right w:val="single" w:sz="8" w:space="0" w:color="000000"/>
            </w:tcBorders>
            <w:shd w:val="clear" w:color="auto" w:fill="auto"/>
            <w:vAlign w:val="center"/>
            <w:hideMark/>
          </w:tcPr>
          <w:p w14:paraId="3E4BF65A" w14:textId="77777777" w:rsidR="00BB3756" w:rsidRPr="00E929F2" w:rsidRDefault="00BB3756" w:rsidP="00DE490A">
            <w:pPr>
              <w:rPr>
                <w:rFonts w:ascii="Calibri" w:hAnsi="Calibri"/>
                <w:b/>
                <w:bCs/>
                <w:color w:val="FF0000"/>
                <w:sz w:val="15"/>
                <w:szCs w:val="15"/>
              </w:rPr>
            </w:pPr>
            <w:r w:rsidRPr="00E929F2">
              <w:rPr>
                <w:rFonts w:ascii="Calibri" w:hAnsi="Calibri"/>
                <w:b/>
                <w:bCs/>
                <w:color w:val="FF0000"/>
                <w:sz w:val="15"/>
                <w:szCs w:val="15"/>
              </w:rPr>
              <w:t>Indicator3</w:t>
            </w:r>
          </w:p>
        </w:tc>
        <w:tc>
          <w:tcPr>
            <w:tcW w:w="1620" w:type="dxa"/>
            <w:tcBorders>
              <w:top w:val="nil"/>
              <w:left w:val="nil"/>
              <w:bottom w:val="single" w:sz="8" w:space="0" w:color="000000"/>
              <w:right w:val="single" w:sz="8" w:space="0" w:color="000000"/>
            </w:tcBorders>
            <w:shd w:val="clear" w:color="auto" w:fill="auto"/>
            <w:vAlign w:val="center"/>
            <w:hideMark/>
          </w:tcPr>
          <w:p w14:paraId="0336B031" w14:textId="77777777" w:rsidR="00BB3756" w:rsidRPr="00E929F2" w:rsidRDefault="00BB3756" w:rsidP="00DE490A">
            <w:pPr>
              <w:rPr>
                <w:color w:val="000000"/>
                <w:sz w:val="12"/>
                <w:szCs w:val="12"/>
              </w:rPr>
            </w:pPr>
            <w:r w:rsidRPr="00E929F2">
              <w:rPr>
                <w:color w:val="000000"/>
                <w:sz w:val="12"/>
              </w:rPr>
              <w:t> </w:t>
            </w:r>
          </w:p>
        </w:tc>
        <w:tc>
          <w:tcPr>
            <w:tcW w:w="2700" w:type="dxa"/>
            <w:tcBorders>
              <w:top w:val="nil"/>
              <w:left w:val="nil"/>
              <w:bottom w:val="single" w:sz="8" w:space="0" w:color="000000"/>
              <w:right w:val="single" w:sz="8" w:space="0" w:color="000000"/>
            </w:tcBorders>
            <w:shd w:val="clear" w:color="auto" w:fill="auto"/>
            <w:vAlign w:val="center"/>
            <w:hideMark/>
          </w:tcPr>
          <w:p w14:paraId="641204F1" w14:textId="77777777" w:rsidR="00BB3756" w:rsidRPr="00E929F2" w:rsidRDefault="00BB3756" w:rsidP="00DE490A">
            <w:pPr>
              <w:rPr>
                <w:color w:val="000000"/>
                <w:sz w:val="12"/>
                <w:szCs w:val="12"/>
              </w:rPr>
            </w:pPr>
            <w:r w:rsidRPr="00E929F2">
              <w:rPr>
                <w:color w:val="000000"/>
                <w:sz w:val="12"/>
              </w:rPr>
              <w:t> </w:t>
            </w:r>
          </w:p>
        </w:tc>
        <w:tc>
          <w:tcPr>
            <w:tcW w:w="1170" w:type="dxa"/>
            <w:tcBorders>
              <w:top w:val="nil"/>
              <w:left w:val="nil"/>
              <w:bottom w:val="single" w:sz="8" w:space="0" w:color="000000"/>
              <w:right w:val="single" w:sz="12" w:space="0" w:color="000000"/>
            </w:tcBorders>
            <w:shd w:val="clear" w:color="auto" w:fill="auto"/>
            <w:vAlign w:val="center"/>
            <w:hideMark/>
          </w:tcPr>
          <w:p w14:paraId="225473C9" w14:textId="77777777" w:rsidR="00BB3756" w:rsidRPr="00E929F2" w:rsidRDefault="00BB3756" w:rsidP="00DE490A">
            <w:pPr>
              <w:rPr>
                <w:color w:val="000000"/>
                <w:sz w:val="12"/>
                <w:szCs w:val="12"/>
              </w:rPr>
            </w:pPr>
            <w:r w:rsidRPr="00E929F2">
              <w:rPr>
                <w:color w:val="000000"/>
                <w:sz w:val="12"/>
              </w:rPr>
              <w:t> </w:t>
            </w:r>
          </w:p>
        </w:tc>
        <w:tc>
          <w:tcPr>
            <w:tcW w:w="994" w:type="dxa"/>
            <w:tcBorders>
              <w:top w:val="nil"/>
              <w:left w:val="nil"/>
              <w:bottom w:val="nil"/>
              <w:right w:val="nil"/>
            </w:tcBorders>
            <w:shd w:val="clear" w:color="auto" w:fill="auto"/>
            <w:noWrap/>
            <w:vAlign w:val="bottom"/>
            <w:hideMark/>
          </w:tcPr>
          <w:p w14:paraId="1CEAB585" w14:textId="77777777" w:rsidR="00BB3756" w:rsidRPr="00E929F2" w:rsidRDefault="00BB3756" w:rsidP="00DE490A">
            <w:pPr>
              <w:rPr>
                <w:color w:val="000000"/>
                <w:sz w:val="12"/>
                <w:szCs w:val="12"/>
              </w:rPr>
            </w:pPr>
          </w:p>
        </w:tc>
      </w:tr>
      <w:tr w:rsidR="00BB3756" w:rsidRPr="00E929F2" w14:paraId="41214237" w14:textId="77777777" w:rsidTr="00DE490A">
        <w:trPr>
          <w:trHeight w:val="405"/>
          <w:jc w:val="center"/>
        </w:trPr>
        <w:tc>
          <w:tcPr>
            <w:tcW w:w="2520" w:type="dxa"/>
            <w:tcBorders>
              <w:top w:val="nil"/>
              <w:left w:val="single" w:sz="12" w:space="0" w:color="000000"/>
              <w:bottom w:val="single" w:sz="12" w:space="0" w:color="000000"/>
              <w:right w:val="single" w:sz="8" w:space="0" w:color="000000"/>
            </w:tcBorders>
            <w:shd w:val="clear" w:color="auto" w:fill="auto"/>
            <w:vAlign w:val="center"/>
            <w:hideMark/>
          </w:tcPr>
          <w:p w14:paraId="58F987B2" w14:textId="77777777" w:rsidR="00BB3756" w:rsidRPr="00E929F2" w:rsidRDefault="00BB3756" w:rsidP="00DE490A">
            <w:pPr>
              <w:rPr>
                <w:rFonts w:ascii="Calibri" w:hAnsi="Calibri"/>
                <w:b/>
                <w:bCs/>
                <w:color w:val="000000"/>
                <w:sz w:val="15"/>
                <w:szCs w:val="15"/>
              </w:rPr>
            </w:pPr>
            <w:r w:rsidRPr="00E929F2">
              <w:rPr>
                <w:rFonts w:ascii="Calibri" w:hAnsi="Calibri"/>
                <w:b/>
                <w:bCs/>
                <w:color w:val="000000"/>
                <w:sz w:val="15"/>
                <w:szCs w:val="15"/>
              </w:rPr>
              <w:t>Tendință pe termen scurt (max.12 ani)</w:t>
            </w:r>
          </w:p>
        </w:tc>
        <w:tc>
          <w:tcPr>
            <w:tcW w:w="1620" w:type="dxa"/>
            <w:tcBorders>
              <w:top w:val="nil"/>
              <w:left w:val="nil"/>
              <w:bottom w:val="single" w:sz="12" w:space="0" w:color="000000"/>
              <w:right w:val="single" w:sz="8" w:space="0" w:color="000000"/>
            </w:tcBorders>
            <w:shd w:val="clear" w:color="auto" w:fill="auto"/>
            <w:vAlign w:val="center"/>
            <w:hideMark/>
          </w:tcPr>
          <w:p w14:paraId="77D79EFD" w14:textId="77777777" w:rsidR="00BB3756" w:rsidRPr="00E929F2" w:rsidRDefault="00BB3756" w:rsidP="00DE490A">
            <w:pPr>
              <w:jc w:val="center"/>
              <w:rPr>
                <w:rFonts w:ascii="Calibri" w:hAnsi="Calibri"/>
                <w:b/>
                <w:bCs/>
                <w:color w:val="000000"/>
                <w:sz w:val="15"/>
                <w:szCs w:val="15"/>
              </w:rPr>
            </w:pPr>
            <w:r w:rsidRPr="00E929F2">
              <w:rPr>
                <w:rFonts w:ascii="Calibri" w:hAnsi="Calibri"/>
                <w:b/>
                <w:bCs/>
                <w:color w:val="000000"/>
                <w:w w:val="105"/>
                <w:sz w:val="15"/>
              </w:rPr>
              <w:t>pozitivă</w:t>
            </w:r>
          </w:p>
        </w:tc>
        <w:tc>
          <w:tcPr>
            <w:tcW w:w="2700" w:type="dxa"/>
            <w:tcBorders>
              <w:top w:val="nil"/>
              <w:left w:val="nil"/>
              <w:bottom w:val="single" w:sz="12" w:space="0" w:color="000000"/>
              <w:right w:val="single" w:sz="8" w:space="0" w:color="000000"/>
            </w:tcBorders>
            <w:shd w:val="clear" w:color="auto" w:fill="auto"/>
            <w:vAlign w:val="center"/>
            <w:hideMark/>
          </w:tcPr>
          <w:p w14:paraId="25FB3C42" w14:textId="77777777" w:rsidR="00BB3756" w:rsidRPr="00E929F2" w:rsidRDefault="00BB3756" w:rsidP="00DE490A">
            <w:pPr>
              <w:jc w:val="center"/>
              <w:rPr>
                <w:rFonts w:ascii="Calibri" w:hAnsi="Calibri"/>
                <w:b/>
                <w:bCs/>
                <w:color w:val="000000"/>
                <w:sz w:val="15"/>
                <w:szCs w:val="15"/>
              </w:rPr>
            </w:pPr>
            <w:r w:rsidRPr="00E929F2">
              <w:rPr>
                <w:rFonts w:ascii="Calibri" w:hAnsi="Calibri"/>
                <w:b/>
                <w:bCs/>
                <w:color w:val="000000"/>
                <w:w w:val="105"/>
                <w:sz w:val="15"/>
              </w:rPr>
              <w:t>stabilă</w:t>
            </w:r>
          </w:p>
        </w:tc>
        <w:tc>
          <w:tcPr>
            <w:tcW w:w="1170" w:type="dxa"/>
            <w:tcBorders>
              <w:top w:val="nil"/>
              <w:left w:val="nil"/>
              <w:bottom w:val="single" w:sz="12" w:space="0" w:color="000000"/>
              <w:right w:val="single" w:sz="12" w:space="0" w:color="000000"/>
            </w:tcBorders>
            <w:shd w:val="clear" w:color="auto" w:fill="auto"/>
            <w:vAlign w:val="center"/>
            <w:hideMark/>
          </w:tcPr>
          <w:p w14:paraId="32437CA1" w14:textId="77777777" w:rsidR="00BB3756" w:rsidRPr="00E929F2" w:rsidRDefault="00BB3756" w:rsidP="00DE490A">
            <w:pPr>
              <w:jc w:val="center"/>
              <w:rPr>
                <w:rFonts w:ascii="Calibri" w:hAnsi="Calibri"/>
                <w:b/>
                <w:bCs/>
                <w:color w:val="000000"/>
                <w:sz w:val="15"/>
                <w:szCs w:val="15"/>
              </w:rPr>
            </w:pPr>
            <w:r w:rsidRPr="00E929F2">
              <w:rPr>
                <w:rFonts w:ascii="Calibri" w:hAnsi="Calibri"/>
                <w:b/>
                <w:bCs/>
                <w:color w:val="000000"/>
                <w:w w:val="105"/>
                <w:sz w:val="15"/>
              </w:rPr>
              <w:t>negativă</w:t>
            </w:r>
          </w:p>
        </w:tc>
        <w:tc>
          <w:tcPr>
            <w:tcW w:w="994" w:type="dxa"/>
            <w:tcBorders>
              <w:top w:val="nil"/>
              <w:left w:val="nil"/>
              <w:bottom w:val="nil"/>
              <w:right w:val="nil"/>
            </w:tcBorders>
            <w:shd w:val="clear" w:color="auto" w:fill="auto"/>
            <w:noWrap/>
            <w:vAlign w:val="bottom"/>
            <w:hideMark/>
          </w:tcPr>
          <w:p w14:paraId="6210FF5B" w14:textId="77777777" w:rsidR="00BB3756" w:rsidRPr="00E929F2" w:rsidRDefault="00BB3756" w:rsidP="00DE490A">
            <w:pPr>
              <w:jc w:val="center"/>
              <w:rPr>
                <w:rFonts w:ascii="Calibri" w:hAnsi="Calibri"/>
                <w:b/>
                <w:bCs/>
                <w:color w:val="000000"/>
                <w:sz w:val="15"/>
                <w:szCs w:val="15"/>
              </w:rPr>
            </w:pPr>
          </w:p>
        </w:tc>
      </w:tr>
      <w:tr w:rsidR="00BB3756" w:rsidRPr="00E929F2" w14:paraId="75D807F5" w14:textId="77777777" w:rsidTr="00DE490A">
        <w:trPr>
          <w:trHeight w:val="330"/>
          <w:jc w:val="center"/>
        </w:trPr>
        <w:tc>
          <w:tcPr>
            <w:tcW w:w="8010" w:type="dxa"/>
            <w:gridSpan w:val="4"/>
            <w:tcBorders>
              <w:top w:val="single" w:sz="12" w:space="0" w:color="000000"/>
              <w:left w:val="single" w:sz="12" w:space="0" w:color="000000"/>
              <w:bottom w:val="single" w:sz="8" w:space="0" w:color="000000"/>
              <w:right w:val="single" w:sz="12" w:space="0" w:color="000000"/>
            </w:tcBorders>
            <w:shd w:val="clear" w:color="000000" w:fill="9CC3E6"/>
            <w:vAlign w:val="center"/>
            <w:hideMark/>
          </w:tcPr>
          <w:p w14:paraId="33F610FF" w14:textId="77777777" w:rsidR="00BB3756" w:rsidRPr="00E929F2" w:rsidRDefault="00BB3756" w:rsidP="00DE490A">
            <w:pPr>
              <w:ind w:firstLineChars="1500" w:firstLine="2861"/>
              <w:rPr>
                <w:rFonts w:ascii="Calibri" w:hAnsi="Calibri"/>
                <w:b/>
                <w:bCs/>
                <w:color w:val="000000"/>
                <w:sz w:val="19"/>
                <w:szCs w:val="19"/>
              </w:rPr>
            </w:pPr>
            <w:r w:rsidRPr="00E929F2">
              <w:rPr>
                <w:rFonts w:ascii="Calibri" w:hAnsi="Calibri"/>
                <w:b/>
                <w:bCs/>
                <w:color w:val="000000"/>
                <w:sz w:val="19"/>
                <w:szCs w:val="19"/>
              </w:rPr>
              <w:t>III. PRESIUNE ȘI AMENINȚĂRI</w:t>
            </w:r>
          </w:p>
        </w:tc>
        <w:tc>
          <w:tcPr>
            <w:tcW w:w="994" w:type="dxa"/>
            <w:tcBorders>
              <w:top w:val="nil"/>
              <w:left w:val="nil"/>
              <w:bottom w:val="nil"/>
              <w:right w:val="nil"/>
            </w:tcBorders>
            <w:shd w:val="clear" w:color="auto" w:fill="auto"/>
            <w:noWrap/>
            <w:vAlign w:val="bottom"/>
            <w:hideMark/>
          </w:tcPr>
          <w:p w14:paraId="01F6D863" w14:textId="77777777" w:rsidR="00BB3756" w:rsidRPr="00E929F2" w:rsidRDefault="00BB3756" w:rsidP="00DE490A">
            <w:pPr>
              <w:ind w:firstLineChars="1500" w:firstLine="2861"/>
              <w:rPr>
                <w:rFonts w:ascii="Calibri" w:hAnsi="Calibri"/>
                <w:b/>
                <w:bCs/>
                <w:color w:val="000000"/>
                <w:sz w:val="19"/>
                <w:szCs w:val="19"/>
              </w:rPr>
            </w:pPr>
          </w:p>
        </w:tc>
      </w:tr>
      <w:tr w:rsidR="00BB3756" w:rsidRPr="00E929F2" w14:paraId="030A44D3" w14:textId="77777777" w:rsidTr="00DE490A">
        <w:trPr>
          <w:trHeight w:val="315"/>
          <w:jc w:val="center"/>
        </w:trPr>
        <w:tc>
          <w:tcPr>
            <w:tcW w:w="8010" w:type="dxa"/>
            <w:gridSpan w:val="4"/>
            <w:tcBorders>
              <w:top w:val="single" w:sz="8" w:space="0" w:color="000000"/>
              <w:left w:val="single" w:sz="12" w:space="0" w:color="000000"/>
              <w:bottom w:val="single" w:sz="8" w:space="0" w:color="000000"/>
              <w:right w:val="single" w:sz="12" w:space="0" w:color="000000"/>
            </w:tcBorders>
            <w:shd w:val="clear" w:color="000000" w:fill="9CC3E6"/>
            <w:vAlign w:val="center"/>
            <w:hideMark/>
          </w:tcPr>
          <w:p w14:paraId="7BB63278" w14:textId="77777777" w:rsidR="00BB3756" w:rsidRPr="00E929F2" w:rsidRDefault="00BB3756" w:rsidP="00DE490A">
            <w:pPr>
              <w:rPr>
                <w:rFonts w:ascii="Calibri" w:hAnsi="Calibri"/>
                <w:b/>
                <w:bCs/>
                <w:color w:val="000000"/>
                <w:sz w:val="17"/>
                <w:szCs w:val="17"/>
              </w:rPr>
            </w:pPr>
            <w:r w:rsidRPr="00E929F2">
              <w:rPr>
                <w:rFonts w:ascii="Calibri" w:hAnsi="Calibri"/>
                <w:b/>
                <w:bCs/>
                <w:color w:val="000000"/>
                <w:sz w:val="17"/>
                <w:szCs w:val="17"/>
              </w:rPr>
              <w:t>1. Lista presiuni (max 10) conf. lista CE</w:t>
            </w:r>
          </w:p>
        </w:tc>
        <w:tc>
          <w:tcPr>
            <w:tcW w:w="994" w:type="dxa"/>
            <w:tcBorders>
              <w:top w:val="nil"/>
              <w:left w:val="nil"/>
              <w:bottom w:val="nil"/>
              <w:right w:val="nil"/>
            </w:tcBorders>
            <w:shd w:val="clear" w:color="auto" w:fill="auto"/>
            <w:noWrap/>
            <w:vAlign w:val="bottom"/>
            <w:hideMark/>
          </w:tcPr>
          <w:p w14:paraId="17BB2F17" w14:textId="77777777" w:rsidR="00BB3756" w:rsidRPr="00E929F2" w:rsidRDefault="00BB3756" w:rsidP="00DE490A">
            <w:pPr>
              <w:rPr>
                <w:rFonts w:ascii="Calibri" w:hAnsi="Calibri"/>
                <w:b/>
                <w:bCs/>
                <w:color w:val="000000"/>
                <w:sz w:val="17"/>
                <w:szCs w:val="17"/>
              </w:rPr>
            </w:pPr>
          </w:p>
        </w:tc>
      </w:tr>
      <w:tr w:rsidR="00BB3756" w:rsidRPr="00E929F2" w14:paraId="6A24EC02" w14:textId="77777777" w:rsidTr="00DE490A">
        <w:trPr>
          <w:trHeight w:val="390"/>
          <w:jc w:val="center"/>
        </w:trPr>
        <w:tc>
          <w:tcPr>
            <w:tcW w:w="2520" w:type="dxa"/>
            <w:vMerge w:val="restart"/>
            <w:tcBorders>
              <w:top w:val="nil"/>
              <w:left w:val="single" w:sz="12" w:space="0" w:color="000000"/>
              <w:bottom w:val="single" w:sz="8" w:space="0" w:color="000000"/>
              <w:right w:val="single" w:sz="8" w:space="0" w:color="000000"/>
            </w:tcBorders>
            <w:shd w:val="clear" w:color="000000" w:fill="C5DFB1"/>
            <w:vAlign w:val="center"/>
            <w:hideMark/>
          </w:tcPr>
          <w:p w14:paraId="3BFF005C" w14:textId="77777777" w:rsidR="00BB3756" w:rsidRPr="00E929F2" w:rsidRDefault="00BB3756" w:rsidP="00DE490A">
            <w:pPr>
              <w:jc w:val="center"/>
              <w:rPr>
                <w:rFonts w:ascii="Calibri" w:hAnsi="Calibri"/>
                <w:b/>
                <w:bCs/>
                <w:color w:val="000000"/>
                <w:sz w:val="15"/>
                <w:szCs w:val="15"/>
              </w:rPr>
            </w:pPr>
            <w:r w:rsidRPr="00E929F2">
              <w:rPr>
                <w:rFonts w:ascii="Calibri" w:hAnsi="Calibri"/>
                <w:b/>
                <w:bCs/>
                <w:color w:val="000000"/>
                <w:sz w:val="15"/>
                <w:szCs w:val="15"/>
              </w:rPr>
              <w:t>Cod presiune</w:t>
            </w:r>
          </w:p>
        </w:tc>
        <w:tc>
          <w:tcPr>
            <w:tcW w:w="1620" w:type="dxa"/>
            <w:vMerge w:val="restart"/>
            <w:tcBorders>
              <w:top w:val="nil"/>
              <w:left w:val="single" w:sz="8" w:space="0" w:color="000000"/>
              <w:bottom w:val="single" w:sz="8" w:space="0" w:color="000000"/>
              <w:right w:val="single" w:sz="8" w:space="0" w:color="000000"/>
            </w:tcBorders>
            <w:shd w:val="clear" w:color="000000" w:fill="C5DFB1"/>
            <w:vAlign w:val="center"/>
            <w:hideMark/>
          </w:tcPr>
          <w:p w14:paraId="40BD9B9F" w14:textId="77777777" w:rsidR="00BB3756" w:rsidRPr="00E929F2" w:rsidRDefault="00BB3756" w:rsidP="00DE490A">
            <w:pPr>
              <w:jc w:val="center"/>
              <w:rPr>
                <w:rFonts w:ascii="Calibri" w:hAnsi="Calibri"/>
                <w:b/>
                <w:bCs/>
                <w:color w:val="000000"/>
                <w:sz w:val="15"/>
                <w:szCs w:val="15"/>
              </w:rPr>
            </w:pPr>
            <w:r w:rsidRPr="00E929F2">
              <w:rPr>
                <w:rFonts w:ascii="Calibri" w:hAnsi="Calibri"/>
                <w:b/>
                <w:bCs/>
                <w:color w:val="000000"/>
                <w:sz w:val="15"/>
                <w:szCs w:val="15"/>
              </w:rPr>
              <w:t>Denumire</w:t>
            </w:r>
          </w:p>
        </w:tc>
        <w:tc>
          <w:tcPr>
            <w:tcW w:w="2700" w:type="dxa"/>
            <w:tcBorders>
              <w:top w:val="nil"/>
              <w:left w:val="nil"/>
              <w:bottom w:val="nil"/>
              <w:right w:val="single" w:sz="8" w:space="0" w:color="000000"/>
            </w:tcBorders>
            <w:shd w:val="clear" w:color="000000" w:fill="C5DFB1"/>
            <w:vAlign w:val="center"/>
            <w:hideMark/>
          </w:tcPr>
          <w:p w14:paraId="4507F735" w14:textId="77777777" w:rsidR="00BB3756" w:rsidRPr="00E929F2" w:rsidRDefault="00BB3756" w:rsidP="00DE490A">
            <w:pPr>
              <w:jc w:val="center"/>
              <w:rPr>
                <w:rFonts w:ascii="Calibri" w:hAnsi="Calibri"/>
                <w:b/>
                <w:bCs/>
                <w:color w:val="000000"/>
                <w:sz w:val="15"/>
                <w:szCs w:val="15"/>
              </w:rPr>
            </w:pPr>
            <w:r w:rsidRPr="00E929F2">
              <w:rPr>
                <w:rFonts w:ascii="Calibri" w:hAnsi="Calibri"/>
                <w:b/>
                <w:bCs/>
                <w:color w:val="000000"/>
                <w:sz w:val="15"/>
                <w:szCs w:val="15"/>
              </w:rPr>
              <w:t>Descriere presiune</w:t>
            </w:r>
          </w:p>
        </w:tc>
        <w:tc>
          <w:tcPr>
            <w:tcW w:w="1170" w:type="dxa"/>
            <w:vMerge w:val="restart"/>
            <w:tcBorders>
              <w:top w:val="nil"/>
              <w:left w:val="single" w:sz="8" w:space="0" w:color="000000"/>
              <w:bottom w:val="single" w:sz="8" w:space="0" w:color="000000"/>
              <w:right w:val="single" w:sz="12" w:space="0" w:color="000000"/>
            </w:tcBorders>
            <w:shd w:val="clear" w:color="000000" w:fill="C5DFB1"/>
            <w:vAlign w:val="center"/>
            <w:hideMark/>
          </w:tcPr>
          <w:p w14:paraId="5DA37AED" w14:textId="77777777" w:rsidR="00BB3756" w:rsidRPr="00E929F2" w:rsidRDefault="00BB3756" w:rsidP="00DE490A">
            <w:pPr>
              <w:jc w:val="center"/>
              <w:rPr>
                <w:rFonts w:ascii="Calibri" w:hAnsi="Calibri"/>
                <w:b/>
                <w:bCs/>
                <w:color w:val="000000"/>
                <w:sz w:val="15"/>
                <w:szCs w:val="15"/>
              </w:rPr>
            </w:pPr>
            <w:r w:rsidRPr="00E929F2">
              <w:rPr>
                <w:rFonts w:ascii="Calibri" w:hAnsi="Calibri"/>
                <w:b/>
                <w:bCs/>
                <w:color w:val="000000"/>
                <w:sz w:val="15"/>
                <w:szCs w:val="15"/>
              </w:rPr>
              <w:t>Intensitate</w:t>
            </w:r>
          </w:p>
        </w:tc>
        <w:tc>
          <w:tcPr>
            <w:tcW w:w="994" w:type="dxa"/>
            <w:tcBorders>
              <w:top w:val="nil"/>
              <w:left w:val="nil"/>
              <w:bottom w:val="nil"/>
              <w:right w:val="nil"/>
            </w:tcBorders>
            <w:shd w:val="clear" w:color="auto" w:fill="auto"/>
            <w:noWrap/>
            <w:vAlign w:val="bottom"/>
            <w:hideMark/>
          </w:tcPr>
          <w:p w14:paraId="63AFCBA9" w14:textId="77777777" w:rsidR="00BB3756" w:rsidRPr="00E929F2" w:rsidRDefault="00BB3756" w:rsidP="00DE490A">
            <w:pPr>
              <w:jc w:val="center"/>
              <w:rPr>
                <w:rFonts w:ascii="Calibri" w:hAnsi="Calibri"/>
                <w:b/>
                <w:bCs/>
                <w:color w:val="000000"/>
                <w:sz w:val="15"/>
                <w:szCs w:val="15"/>
              </w:rPr>
            </w:pPr>
          </w:p>
        </w:tc>
      </w:tr>
      <w:tr w:rsidR="00BB3756" w:rsidRPr="00E929F2" w14:paraId="234C99A5" w14:textId="77777777" w:rsidTr="00DE490A">
        <w:trPr>
          <w:trHeight w:val="315"/>
          <w:jc w:val="center"/>
        </w:trPr>
        <w:tc>
          <w:tcPr>
            <w:tcW w:w="2520" w:type="dxa"/>
            <w:vMerge/>
            <w:tcBorders>
              <w:top w:val="nil"/>
              <w:left w:val="single" w:sz="12" w:space="0" w:color="000000"/>
              <w:bottom w:val="single" w:sz="8" w:space="0" w:color="000000"/>
              <w:right w:val="single" w:sz="8" w:space="0" w:color="000000"/>
            </w:tcBorders>
            <w:vAlign w:val="center"/>
            <w:hideMark/>
          </w:tcPr>
          <w:p w14:paraId="257EEBDC" w14:textId="77777777" w:rsidR="00BB3756" w:rsidRPr="00E929F2" w:rsidRDefault="00BB3756" w:rsidP="00DE490A">
            <w:pPr>
              <w:rPr>
                <w:rFonts w:ascii="Calibri" w:hAnsi="Calibri"/>
                <w:b/>
                <w:bCs/>
                <w:color w:val="000000"/>
                <w:sz w:val="15"/>
                <w:szCs w:val="15"/>
              </w:rPr>
            </w:pPr>
          </w:p>
        </w:tc>
        <w:tc>
          <w:tcPr>
            <w:tcW w:w="1620" w:type="dxa"/>
            <w:vMerge/>
            <w:tcBorders>
              <w:top w:val="nil"/>
              <w:left w:val="single" w:sz="8" w:space="0" w:color="000000"/>
              <w:bottom w:val="single" w:sz="8" w:space="0" w:color="000000"/>
              <w:right w:val="single" w:sz="8" w:space="0" w:color="000000"/>
            </w:tcBorders>
            <w:vAlign w:val="center"/>
            <w:hideMark/>
          </w:tcPr>
          <w:p w14:paraId="112B1650" w14:textId="77777777" w:rsidR="00BB3756" w:rsidRPr="00E929F2" w:rsidRDefault="00BB3756" w:rsidP="00DE490A">
            <w:pPr>
              <w:rPr>
                <w:rFonts w:ascii="Calibri" w:hAnsi="Calibri"/>
                <w:b/>
                <w:bCs/>
                <w:color w:val="000000"/>
                <w:sz w:val="15"/>
                <w:szCs w:val="15"/>
              </w:rPr>
            </w:pPr>
          </w:p>
        </w:tc>
        <w:tc>
          <w:tcPr>
            <w:tcW w:w="2700" w:type="dxa"/>
            <w:tcBorders>
              <w:top w:val="nil"/>
              <w:left w:val="nil"/>
              <w:bottom w:val="single" w:sz="8" w:space="0" w:color="000000"/>
              <w:right w:val="single" w:sz="8" w:space="0" w:color="000000"/>
            </w:tcBorders>
            <w:shd w:val="clear" w:color="000000" w:fill="C5DFB1"/>
            <w:vAlign w:val="center"/>
            <w:hideMark/>
          </w:tcPr>
          <w:p w14:paraId="3D03C82A" w14:textId="77777777" w:rsidR="00BB3756" w:rsidRPr="00E929F2" w:rsidRDefault="00BB3756" w:rsidP="00DE490A">
            <w:pPr>
              <w:jc w:val="center"/>
              <w:rPr>
                <w:rFonts w:ascii="Calibri" w:hAnsi="Calibri"/>
                <w:b/>
                <w:bCs/>
                <w:color w:val="000000"/>
                <w:sz w:val="15"/>
                <w:szCs w:val="15"/>
              </w:rPr>
            </w:pPr>
            <w:r w:rsidRPr="00E929F2">
              <w:rPr>
                <w:rFonts w:ascii="Calibri" w:hAnsi="Calibri"/>
                <w:b/>
                <w:bCs/>
                <w:color w:val="000000"/>
                <w:w w:val="105"/>
                <w:sz w:val="15"/>
              </w:rPr>
              <w:t>(Opțional)</w:t>
            </w:r>
          </w:p>
        </w:tc>
        <w:tc>
          <w:tcPr>
            <w:tcW w:w="1170" w:type="dxa"/>
            <w:vMerge/>
            <w:tcBorders>
              <w:top w:val="nil"/>
              <w:left w:val="single" w:sz="8" w:space="0" w:color="000000"/>
              <w:bottom w:val="single" w:sz="8" w:space="0" w:color="000000"/>
              <w:right w:val="single" w:sz="12" w:space="0" w:color="000000"/>
            </w:tcBorders>
            <w:vAlign w:val="center"/>
            <w:hideMark/>
          </w:tcPr>
          <w:p w14:paraId="5522C993" w14:textId="77777777" w:rsidR="00BB3756" w:rsidRPr="00E929F2" w:rsidRDefault="00BB3756" w:rsidP="00DE490A">
            <w:pPr>
              <w:rPr>
                <w:rFonts w:ascii="Calibri" w:hAnsi="Calibri"/>
                <w:b/>
                <w:bCs/>
                <w:color w:val="000000"/>
                <w:sz w:val="15"/>
                <w:szCs w:val="15"/>
              </w:rPr>
            </w:pPr>
          </w:p>
        </w:tc>
        <w:tc>
          <w:tcPr>
            <w:tcW w:w="994" w:type="dxa"/>
            <w:tcBorders>
              <w:top w:val="nil"/>
              <w:left w:val="nil"/>
              <w:bottom w:val="nil"/>
              <w:right w:val="nil"/>
            </w:tcBorders>
            <w:shd w:val="clear" w:color="auto" w:fill="auto"/>
            <w:noWrap/>
            <w:vAlign w:val="bottom"/>
            <w:hideMark/>
          </w:tcPr>
          <w:p w14:paraId="329BEFD5" w14:textId="77777777" w:rsidR="00BB3756" w:rsidRPr="00E929F2" w:rsidRDefault="00BB3756" w:rsidP="00DE490A">
            <w:pPr>
              <w:jc w:val="center"/>
              <w:rPr>
                <w:rFonts w:ascii="Calibri" w:hAnsi="Calibri"/>
                <w:b/>
                <w:bCs/>
                <w:color w:val="000000"/>
                <w:sz w:val="15"/>
                <w:szCs w:val="15"/>
              </w:rPr>
            </w:pPr>
          </w:p>
        </w:tc>
      </w:tr>
      <w:tr w:rsidR="00BB3756" w:rsidRPr="00E929F2" w14:paraId="1FE4128B" w14:textId="77777777" w:rsidTr="00DE490A">
        <w:trPr>
          <w:trHeight w:val="300"/>
          <w:jc w:val="center"/>
        </w:trPr>
        <w:tc>
          <w:tcPr>
            <w:tcW w:w="2520" w:type="dxa"/>
            <w:tcBorders>
              <w:top w:val="nil"/>
              <w:left w:val="single" w:sz="12" w:space="0" w:color="000000"/>
              <w:bottom w:val="nil"/>
              <w:right w:val="single" w:sz="8" w:space="0" w:color="000000"/>
            </w:tcBorders>
            <w:shd w:val="clear" w:color="auto" w:fill="auto"/>
            <w:vAlign w:val="center"/>
            <w:hideMark/>
          </w:tcPr>
          <w:p w14:paraId="4CAF0B8F" w14:textId="77777777" w:rsidR="00BB3756" w:rsidRPr="00E929F2" w:rsidRDefault="00BB3756" w:rsidP="00DE490A">
            <w:pPr>
              <w:rPr>
                <w:b/>
                <w:bCs/>
                <w:color w:val="000000"/>
                <w:sz w:val="20"/>
                <w:szCs w:val="20"/>
              </w:rPr>
            </w:pPr>
            <w:r w:rsidRPr="00E929F2">
              <w:rPr>
                <w:b/>
                <w:bCs/>
                <w:color w:val="000000"/>
                <w:sz w:val="20"/>
              </w:rPr>
              <w:t> </w:t>
            </w:r>
          </w:p>
        </w:tc>
        <w:tc>
          <w:tcPr>
            <w:tcW w:w="16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25B44C3" w14:textId="77777777" w:rsidR="00BB3756" w:rsidRPr="00E929F2" w:rsidRDefault="00BB3756" w:rsidP="00DE490A">
            <w:pPr>
              <w:rPr>
                <w:color w:val="000000"/>
                <w:sz w:val="20"/>
                <w:szCs w:val="20"/>
              </w:rPr>
            </w:pPr>
            <w:r w:rsidRPr="00E929F2">
              <w:rPr>
                <w:color w:val="000000"/>
                <w:sz w:val="20"/>
              </w:rPr>
              <w:t> </w:t>
            </w:r>
          </w:p>
        </w:tc>
        <w:tc>
          <w:tcPr>
            <w:tcW w:w="2700" w:type="dxa"/>
            <w:tcBorders>
              <w:top w:val="nil"/>
              <w:left w:val="nil"/>
              <w:bottom w:val="nil"/>
              <w:right w:val="single" w:sz="8" w:space="0" w:color="000000"/>
            </w:tcBorders>
            <w:shd w:val="clear" w:color="auto" w:fill="auto"/>
            <w:vAlign w:val="center"/>
            <w:hideMark/>
          </w:tcPr>
          <w:p w14:paraId="3269E88C" w14:textId="77777777" w:rsidR="00BB3756" w:rsidRPr="00E929F2" w:rsidRDefault="00BB3756" w:rsidP="00DE490A">
            <w:pPr>
              <w:rPr>
                <w:color w:val="000000"/>
                <w:sz w:val="20"/>
                <w:szCs w:val="20"/>
              </w:rPr>
            </w:pPr>
            <w:r w:rsidRPr="00E929F2">
              <w:rPr>
                <w:color w:val="000000"/>
                <w:sz w:val="20"/>
                <w:szCs w:val="20"/>
              </w:rPr>
              <w:t>Detaliere presiune:</w:t>
            </w:r>
          </w:p>
        </w:tc>
        <w:tc>
          <w:tcPr>
            <w:tcW w:w="1170" w:type="dxa"/>
            <w:vMerge w:val="restart"/>
            <w:tcBorders>
              <w:top w:val="nil"/>
              <w:left w:val="single" w:sz="8" w:space="0" w:color="000000"/>
              <w:bottom w:val="single" w:sz="8" w:space="0" w:color="000000"/>
              <w:right w:val="single" w:sz="12" w:space="0" w:color="000000"/>
            </w:tcBorders>
            <w:shd w:val="clear" w:color="auto" w:fill="auto"/>
            <w:vAlign w:val="center"/>
            <w:hideMark/>
          </w:tcPr>
          <w:p w14:paraId="240B1881" w14:textId="77777777" w:rsidR="00BB3756" w:rsidRPr="00E929F2" w:rsidRDefault="00BB3756" w:rsidP="00DE490A">
            <w:pPr>
              <w:rPr>
                <w:color w:val="000000"/>
                <w:sz w:val="20"/>
                <w:szCs w:val="20"/>
              </w:rPr>
            </w:pPr>
            <w:r w:rsidRPr="00E929F2">
              <w:rPr>
                <w:color w:val="000000"/>
                <w:sz w:val="20"/>
              </w:rPr>
              <w:t> </w:t>
            </w:r>
          </w:p>
        </w:tc>
        <w:tc>
          <w:tcPr>
            <w:tcW w:w="994" w:type="dxa"/>
            <w:tcBorders>
              <w:top w:val="nil"/>
              <w:left w:val="nil"/>
              <w:bottom w:val="nil"/>
              <w:right w:val="nil"/>
            </w:tcBorders>
            <w:shd w:val="clear" w:color="auto" w:fill="auto"/>
            <w:noWrap/>
            <w:vAlign w:val="bottom"/>
            <w:hideMark/>
          </w:tcPr>
          <w:p w14:paraId="58B7D7F1" w14:textId="77777777" w:rsidR="00BB3756" w:rsidRPr="00E929F2" w:rsidRDefault="00BB3756" w:rsidP="00DE490A">
            <w:pPr>
              <w:rPr>
                <w:color w:val="000000"/>
                <w:sz w:val="20"/>
                <w:szCs w:val="20"/>
              </w:rPr>
            </w:pPr>
          </w:p>
        </w:tc>
      </w:tr>
      <w:tr w:rsidR="00BB3756" w:rsidRPr="00E929F2" w14:paraId="4C27AB53" w14:textId="77777777" w:rsidTr="00DE490A">
        <w:trPr>
          <w:trHeight w:val="525"/>
          <w:jc w:val="center"/>
        </w:trPr>
        <w:tc>
          <w:tcPr>
            <w:tcW w:w="2520" w:type="dxa"/>
            <w:tcBorders>
              <w:top w:val="nil"/>
              <w:left w:val="single" w:sz="12" w:space="0" w:color="000000"/>
              <w:bottom w:val="single" w:sz="8" w:space="0" w:color="000000"/>
              <w:right w:val="single" w:sz="8" w:space="0" w:color="000000"/>
            </w:tcBorders>
            <w:shd w:val="clear" w:color="auto" w:fill="auto"/>
            <w:vAlign w:val="center"/>
            <w:hideMark/>
          </w:tcPr>
          <w:p w14:paraId="0BA817BF" w14:textId="77777777" w:rsidR="00BB3756" w:rsidRPr="00E929F2" w:rsidRDefault="00BB3756" w:rsidP="00DE490A">
            <w:pPr>
              <w:rPr>
                <w:color w:val="000000"/>
                <w:sz w:val="20"/>
                <w:szCs w:val="20"/>
              </w:rPr>
            </w:pPr>
            <w:r w:rsidRPr="00E929F2">
              <w:rPr>
                <w:color w:val="000000"/>
                <w:sz w:val="20"/>
                <w:szCs w:val="20"/>
              </w:rPr>
              <w:t>......(din nomenclator)</w:t>
            </w:r>
          </w:p>
        </w:tc>
        <w:tc>
          <w:tcPr>
            <w:tcW w:w="1620" w:type="dxa"/>
            <w:vMerge/>
            <w:tcBorders>
              <w:top w:val="nil"/>
              <w:left w:val="single" w:sz="8" w:space="0" w:color="000000"/>
              <w:bottom w:val="single" w:sz="8" w:space="0" w:color="000000"/>
              <w:right w:val="single" w:sz="8" w:space="0" w:color="000000"/>
            </w:tcBorders>
            <w:vAlign w:val="center"/>
            <w:hideMark/>
          </w:tcPr>
          <w:p w14:paraId="4AA3A52C" w14:textId="77777777" w:rsidR="00BB3756" w:rsidRPr="00E929F2" w:rsidRDefault="00BB3756" w:rsidP="00DE490A">
            <w:pPr>
              <w:rPr>
                <w:color w:val="000000"/>
                <w:sz w:val="20"/>
                <w:szCs w:val="20"/>
              </w:rPr>
            </w:pPr>
          </w:p>
        </w:tc>
        <w:tc>
          <w:tcPr>
            <w:tcW w:w="2700" w:type="dxa"/>
            <w:tcBorders>
              <w:top w:val="nil"/>
              <w:left w:val="nil"/>
              <w:bottom w:val="single" w:sz="8" w:space="0" w:color="000000"/>
              <w:right w:val="single" w:sz="8" w:space="0" w:color="000000"/>
            </w:tcBorders>
            <w:shd w:val="clear" w:color="auto" w:fill="auto"/>
            <w:vAlign w:val="center"/>
            <w:hideMark/>
          </w:tcPr>
          <w:p w14:paraId="030457F6" w14:textId="77777777" w:rsidR="00BB3756" w:rsidRPr="00E929F2" w:rsidRDefault="00BB3756" w:rsidP="00DE490A">
            <w:pPr>
              <w:rPr>
                <w:color w:val="000000"/>
                <w:sz w:val="20"/>
                <w:szCs w:val="20"/>
              </w:rPr>
            </w:pPr>
            <w:r w:rsidRPr="00E929F2">
              <w:rPr>
                <w:color w:val="000000"/>
                <w:sz w:val="20"/>
                <w:szCs w:val="20"/>
              </w:rPr>
              <w:t>Durata presiunii: Manifestare:</w:t>
            </w:r>
          </w:p>
        </w:tc>
        <w:tc>
          <w:tcPr>
            <w:tcW w:w="1170" w:type="dxa"/>
            <w:vMerge/>
            <w:tcBorders>
              <w:top w:val="nil"/>
              <w:left w:val="single" w:sz="8" w:space="0" w:color="000000"/>
              <w:bottom w:val="single" w:sz="8" w:space="0" w:color="000000"/>
              <w:right w:val="single" w:sz="12" w:space="0" w:color="000000"/>
            </w:tcBorders>
            <w:vAlign w:val="center"/>
            <w:hideMark/>
          </w:tcPr>
          <w:p w14:paraId="58AF3D13" w14:textId="77777777" w:rsidR="00BB3756" w:rsidRPr="00E929F2" w:rsidRDefault="00BB3756" w:rsidP="00DE490A">
            <w:pPr>
              <w:rPr>
                <w:color w:val="000000"/>
                <w:sz w:val="20"/>
                <w:szCs w:val="20"/>
              </w:rPr>
            </w:pPr>
          </w:p>
        </w:tc>
        <w:tc>
          <w:tcPr>
            <w:tcW w:w="994" w:type="dxa"/>
            <w:tcBorders>
              <w:top w:val="nil"/>
              <w:left w:val="nil"/>
              <w:bottom w:val="nil"/>
              <w:right w:val="nil"/>
            </w:tcBorders>
            <w:shd w:val="clear" w:color="auto" w:fill="auto"/>
            <w:noWrap/>
            <w:vAlign w:val="bottom"/>
            <w:hideMark/>
          </w:tcPr>
          <w:p w14:paraId="55C6F166" w14:textId="77777777" w:rsidR="00BB3756" w:rsidRPr="00E929F2" w:rsidRDefault="00BB3756" w:rsidP="00DE490A">
            <w:pPr>
              <w:rPr>
                <w:color w:val="000000"/>
                <w:sz w:val="20"/>
                <w:szCs w:val="20"/>
              </w:rPr>
            </w:pPr>
          </w:p>
        </w:tc>
      </w:tr>
      <w:tr w:rsidR="00BB3756" w:rsidRPr="00E929F2" w14:paraId="64A47C2F" w14:textId="77777777" w:rsidTr="00DE490A">
        <w:trPr>
          <w:trHeight w:val="510"/>
          <w:jc w:val="center"/>
        </w:trPr>
        <w:tc>
          <w:tcPr>
            <w:tcW w:w="2520" w:type="dxa"/>
            <w:tcBorders>
              <w:top w:val="nil"/>
              <w:left w:val="single" w:sz="12" w:space="0" w:color="000000"/>
              <w:bottom w:val="nil"/>
              <w:right w:val="single" w:sz="8" w:space="0" w:color="000000"/>
            </w:tcBorders>
            <w:shd w:val="clear" w:color="auto" w:fill="auto"/>
            <w:vAlign w:val="center"/>
            <w:hideMark/>
          </w:tcPr>
          <w:p w14:paraId="28E45DC1" w14:textId="77777777" w:rsidR="00BB3756" w:rsidRPr="00E929F2" w:rsidRDefault="00BB3756" w:rsidP="00DE490A">
            <w:pPr>
              <w:rPr>
                <w:b/>
                <w:bCs/>
                <w:color w:val="000000"/>
                <w:sz w:val="20"/>
                <w:szCs w:val="20"/>
              </w:rPr>
            </w:pPr>
            <w:r w:rsidRPr="00E929F2">
              <w:rPr>
                <w:b/>
                <w:bCs/>
                <w:color w:val="000000"/>
                <w:sz w:val="20"/>
              </w:rPr>
              <w:t> </w:t>
            </w:r>
          </w:p>
        </w:tc>
        <w:tc>
          <w:tcPr>
            <w:tcW w:w="16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BED7D58" w14:textId="77777777" w:rsidR="00BB3756" w:rsidRPr="00E929F2" w:rsidRDefault="00BB3756" w:rsidP="00DE490A">
            <w:pPr>
              <w:rPr>
                <w:color w:val="000000"/>
                <w:sz w:val="20"/>
                <w:szCs w:val="20"/>
              </w:rPr>
            </w:pPr>
            <w:r w:rsidRPr="00E929F2">
              <w:rPr>
                <w:color w:val="000000"/>
                <w:sz w:val="20"/>
              </w:rPr>
              <w:t> </w:t>
            </w:r>
          </w:p>
        </w:tc>
        <w:tc>
          <w:tcPr>
            <w:tcW w:w="2700" w:type="dxa"/>
            <w:tcBorders>
              <w:top w:val="nil"/>
              <w:left w:val="nil"/>
              <w:bottom w:val="nil"/>
              <w:right w:val="single" w:sz="8" w:space="0" w:color="000000"/>
            </w:tcBorders>
            <w:shd w:val="clear" w:color="auto" w:fill="auto"/>
            <w:vAlign w:val="center"/>
            <w:hideMark/>
          </w:tcPr>
          <w:p w14:paraId="40EE76B4" w14:textId="77777777" w:rsidR="00BB3756" w:rsidRPr="00E929F2" w:rsidRDefault="00BB3756" w:rsidP="00DE490A">
            <w:pPr>
              <w:rPr>
                <w:color w:val="000000"/>
                <w:sz w:val="20"/>
                <w:szCs w:val="20"/>
              </w:rPr>
            </w:pPr>
            <w:r w:rsidRPr="00E929F2">
              <w:rPr>
                <w:color w:val="000000"/>
                <w:sz w:val="20"/>
                <w:szCs w:val="20"/>
              </w:rPr>
              <w:t>Detaliere presiune: Durata presiunii:</w:t>
            </w:r>
          </w:p>
        </w:tc>
        <w:tc>
          <w:tcPr>
            <w:tcW w:w="1170" w:type="dxa"/>
            <w:vMerge w:val="restart"/>
            <w:tcBorders>
              <w:top w:val="nil"/>
              <w:left w:val="single" w:sz="8" w:space="0" w:color="000000"/>
              <w:bottom w:val="single" w:sz="8" w:space="0" w:color="000000"/>
              <w:right w:val="single" w:sz="12" w:space="0" w:color="000000"/>
            </w:tcBorders>
            <w:shd w:val="clear" w:color="auto" w:fill="auto"/>
            <w:vAlign w:val="center"/>
            <w:hideMark/>
          </w:tcPr>
          <w:p w14:paraId="174CBA26" w14:textId="77777777" w:rsidR="00BB3756" w:rsidRPr="00E929F2" w:rsidRDefault="00BB3756" w:rsidP="00DE490A">
            <w:pPr>
              <w:rPr>
                <w:color w:val="000000"/>
                <w:sz w:val="20"/>
                <w:szCs w:val="20"/>
              </w:rPr>
            </w:pPr>
            <w:r w:rsidRPr="00E929F2">
              <w:rPr>
                <w:color w:val="000000"/>
                <w:sz w:val="20"/>
              </w:rPr>
              <w:t> </w:t>
            </w:r>
          </w:p>
        </w:tc>
        <w:tc>
          <w:tcPr>
            <w:tcW w:w="994" w:type="dxa"/>
            <w:tcBorders>
              <w:top w:val="nil"/>
              <w:left w:val="nil"/>
              <w:bottom w:val="nil"/>
              <w:right w:val="nil"/>
            </w:tcBorders>
            <w:shd w:val="clear" w:color="auto" w:fill="auto"/>
            <w:noWrap/>
            <w:vAlign w:val="bottom"/>
            <w:hideMark/>
          </w:tcPr>
          <w:p w14:paraId="758E06B6" w14:textId="77777777" w:rsidR="00BB3756" w:rsidRPr="00E929F2" w:rsidRDefault="00BB3756" w:rsidP="00DE490A">
            <w:pPr>
              <w:rPr>
                <w:color w:val="000000"/>
                <w:sz w:val="20"/>
                <w:szCs w:val="20"/>
              </w:rPr>
            </w:pPr>
          </w:p>
        </w:tc>
      </w:tr>
      <w:tr w:rsidR="00BB3756" w:rsidRPr="00E929F2" w14:paraId="6081D478" w14:textId="77777777" w:rsidTr="00DE490A">
        <w:trPr>
          <w:trHeight w:val="315"/>
          <w:jc w:val="center"/>
        </w:trPr>
        <w:tc>
          <w:tcPr>
            <w:tcW w:w="2520" w:type="dxa"/>
            <w:tcBorders>
              <w:top w:val="nil"/>
              <w:left w:val="single" w:sz="12" w:space="0" w:color="000000"/>
              <w:bottom w:val="single" w:sz="8" w:space="0" w:color="000000"/>
              <w:right w:val="single" w:sz="8" w:space="0" w:color="000000"/>
            </w:tcBorders>
            <w:shd w:val="clear" w:color="auto" w:fill="auto"/>
            <w:vAlign w:val="center"/>
            <w:hideMark/>
          </w:tcPr>
          <w:p w14:paraId="153D11E2" w14:textId="77777777" w:rsidR="00BB3756" w:rsidRPr="00E929F2" w:rsidRDefault="00BB3756" w:rsidP="00DE490A">
            <w:pPr>
              <w:rPr>
                <w:color w:val="000000"/>
                <w:sz w:val="20"/>
                <w:szCs w:val="20"/>
              </w:rPr>
            </w:pPr>
            <w:r w:rsidRPr="00E929F2">
              <w:rPr>
                <w:color w:val="000000"/>
                <w:sz w:val="20"/>
                <w:szCs w:val="20"/>
              </w:rPr>
              <w:t>......(din nomenclator)</w:t>
            </w:r>
          </w:p>
        </w:tc>
        <w:tc>
          <w:tcPr>
            <w:tcW w:w="1620" w:type="dxa"/>
            <w:vMerge/>
            <w:tcBorders>
              <w:top w:val="nil"/>
              <w:left w:val="single" w:sz="8" w:space="0" w:color="000000"/>
              <w:bottom w:val="single" w:sz="8" w:space="0" w:color="000000"/>
              <w:right w:val="single" w:sz="8" w:space="0" w:color="000000"/>
            </w:tcBorders>
            <w:vAlign w:val="center"/>
            <w:hideMark/>
          </w:tcPr>
          <w:p w14:paraId="62E3D9C6" w14:textId="77777777" w:rsidR="00BB3756" w:rsidRPr="00E929F2" w:rsidRDefault="00BB3756" w:rsidP="00DE490A">
            <w:pPr>
              <w:rPr>
                <w:color w:val="000000"/>
                <w:sz w:val="20"/>
                <w:szCs w:val="20"/>
              </w:rPr>
            </w:pPr>
          </w:p>
        </w:tc>
        <w:tc>
          <w:tcPr>
            <w:tcW w:w="2700" w:type="dxa"/>
            <w:tcBorders>
              <w:top w:val="nil"/>
              <w:left w:val="nil"/>
              <w:bottom w:val="single" w:sz="8" w:space="0" w:color="000000"/>
              <w:right w:val="single" w:sz="8" w:space="0" w:color="000000"/>
            </w:tcBorders>
            <w:shd w:val="clear" w:color="auto" w:fill="auto"/>
            <w:vAlign w:val="center"/>
            <w:hideMark/>
          </w:tcPr>
          <w:p w14:paraId="5A26767E" w14:textId="77777777" w:rsidR="00BB3756" w:rsidRPr="00E929F2" w:rsidRDefault="00BB3756" w:rsidP="00DE490A">
            <w:pPr>
              <w:rPr>
                <w:color w:val="000000"/>
                <w:sz w:val="20"/>
                <w:szCs w:val="20"/>
              </w:rPr>
            </w:pPr>
            <w:r w:rsidRPr="00E929F2">
              <w:rPr>
                <w:color w:val="000000"/>
                <w:sz w:val="20"/>
                <w:szCs w:val="20"/>
              </w:rPr>
              <w:t>Manifestare:</w:t>
            </w:r>
          </w:p>
        </w:tc>
        <w:tc>
          <w:tcPr>
            <w:tcW w:w="1170" w:type="dxa"/>
            <w:vMerge/>
            <w:tcBorders>
              <w:top w:val="nil"/>
              <w:left w:val="single" w:sz="8" w:space="0" w:color="000000"/>
              <w:bottom w:val="single" w:sz="8" w:space="0" w:color="000000"/>
              <w:right w:val="single" w:sz="12" w:space="0" w:color="000000"/>
            </w:tcBorders>
            <w:vAlign w:val="center"/>
            <w:hideMark/>
          </w:tcPr>
          <w:p w14:paraId="109C9964" w14:textId="77777777" w:rsidR="00BB3756" w:rsidRPr="00E929F2" w:rsidRDefault="00BB3756" w:rsidP="00DE490A">
            <w:pPr>
              <w:rPr>
                <w:color w:val="000000"/>
                <w:sz w:val="20"/>
                <w:szCs w:val="20"/>
              </w:rPr>
            </w:pPr>
          </w:p>
        </w:tc>
        <w:tc>
          <w:tcPr>
            <w:tcW w:w="994" w:type="dxa"/>
            <w:tcBorders>
              <w:top w:val="nil"/>
              <w:left w:val="nil"/>
              <w:bottom w:val="nil"/>
              <w:right w:val="nil"/>
            </w:tcBorders>
            <w:shd w:val="clear" w:color="auto" w:fill="auto"/>
            <w:noWrap/>
            <w:vAlign w:val="bottom"/>
            <w:hideMark/>
          </w:tcPr>
          <w:p w14:paraId="62B54E18" w14:textId="77777777" w:rsidR="00BB3756" w:rsidRPr="00E929F2" w:rsidRDefault="00BB3756" w:rsidP="00DE490A">
            <w:pPr>
              <w:rPr>
                <w:color w:val="000000"/>
                <w:sz w:val="20"/>
                <w:szCs w:val="20"/>
              </w:rPr>
            </w:pPr>
          </w:p>
        </w:tc>
      </w:tr>
      <w:tr w:rsidR="00BB3756" w:rsidRPr="00E929F2" w14:paraId="2BA8AEA2" w14:textId="77777777" w:rsidTr="00DE490A">
        <w:trPr>
          <w:trHeight w:val="315"/>
          <w:jc w:val="center"/>
        </w:trPr>
        <w:tc>
          <w:tcPr>
            <w:tcW w:w="8010" w:type="dxa"/>
            <w:gridSpan w:val="4"/>
            <w:tcBorders>
              <w:top w:val="single" w:sz="8" w:space="0" w:color="000000"/>
              <w:left w:val="single" w:sz="12" w:space="0" w:color="000000"/>
              <w:bottom w:val="single" w:sz="8" w:space="0" w:color="000000"/>
              <w:right w:val="single" w:sz="12" w:space="0" w:color="000000"/>
            </w:tcBorders>
            <w:shd w:val="clear" w:color="000000" w:fill="9CC3E6"/>
            <w:vAlign w:val="center"/>
            <w:hideMark/>
          </w:tcPr>
          <w:p w14:paraId="6FC0F30E" w14:textId="77777777" w:rsidR="00BB3756" w:rsidRPr="00E929F2" w:rsidRDefault="00BB3756" w:rsidP="00DE490A">
            <w:pPr>
              <w:rPr>
                <w:b/>
                <w:bCs/>
                <w:color w:val="000000"/>
                <w:sz w:val="20"/>
                <w:szCs w:val="20"/>
              </w:rPr>
            </w:pPr>
            <w:r w:rsidRPr="00E929F2">
              <w:rPr>
                <w:b/>
                <w:bCs/>
                <w:color w:val="000000"/>
                <w:sz w:val="20"/>
              </w:rPr>
              <w:t>2. Lista amenințări (max 10) conf. lista CE</w:t>
            </w:r>
          </w:p>
        </w:tc>
        <w:tc>
          <w:tcPr>
            <w:tcW w:w="994" w:type="dxa"/>
            <w:tcBorders>
              <w:top w:val="nil"/>
              <w:left w:val="nil"/>
              <w:bottom w:val="nil"/>
              <w:right w:val="nil"/>
            </w:tcBorders>
            <w:shd w:val="clear" w:color="auto" w:fill="auto"/>
            <w:noWrap/>
            <w:vAlign w:val="bottom"/>
            <w:hideMark/>
          </w:tcPr>
          <w:p w14:paraId="58395CC4" w14:textId="77777777" w:rsidR="00BB3756" w:rsidRPr="00E929F2" w:rsidRDefault="00BB3756" w:rsidP="00DE490A">
            <w:pPr>
              <w:rPr>
                <w:b/>
                <w:bCs/>
                <w:color w:val="000000"/>
                <w:sz w:val="20"/>
                <w:szCs w:val="20"/>
              </w:rPr>
            </w:pPr>
          </w:p>
        </w:tc>
      </w:tr>
      <w:tr w:rsidR="00BB3756" w:rsidRPr="00E929F2" w14:paraId="21B3A84F" w14:textId="77777777" w:rsidTr="00DE490A">
        <w:trPr>
          <w:trHeight w:val="300"/>
          <w:jc w:val="center"/>
        </w:trPr>
        <w:tc>
          <w:tcPr>
            <w:tcW w:w="2520" w:type="dxa"/>
            <w:vMerge w:val="restart"/>
            <w:tcBorders>
              <w:top w:val="nil"/>
              <w:left w:val="single" w:sz="12" w:space="0" w:color="000000"/>
              <w:bottom w:val="single" w:sz="8" w:space="0" w:color="000000"/>
              <w:right w:val="single" w:sz="8" w:space="0" w:color="000000"/>
            </w:tcBorders>
            <w:shd w:val="clear" w:color="000000" w:fill="C5DFB1"/>
            <w:vAlign w:val="center"/>
            <w:hideMark/>
          </w:tcPr>
          <w:p w14:paraId="0140581E" w14:textId="77777777" w:rsidR="00BB3756" w:rsidRPr="00E929F2" w:rsidRDefault="00BB3756" w:rsidP="00DE490A">
            <w:pPr>
              <w:ind w:firstLineChars="700" w:firstLine="1405"/>
              <w:rPr>
                <w:b/>
                <w:bCs/>
                <w:color w:val="000000"/>
                <w:sz w:val="20"/>
                <w:szCs w:val="20"/>
              </w:rPr>
            </w:pPr>
            <w:r w:rsidRPr="00E929F2">
              <w:rPr>
                <w:b/>
                <w:bCs/>
                <w:color w:val="000000"/>
                <w:sz w:val="20"/>
                <w:szCs w:val="20"/>
              </w:rPr>
              <w:t>Cod amenintare</w:t>
            </w:r>
          </w:p>
        </w:tc>
        <w:tc>
          <w:tcPr>
            <w:tcW w:w="1620" w:type="dxa"/>
            <w:vMerge w:val="restart"/>
            <w:tcBorders>
              <w:top w:val="nil"/>
              <w:left w:val="single" w:sz="8" w:space="0" w:color="000000"/>
              <w:bottom w:val="single" w:sz="8" w:space="0" w:color="000000"/>
              <w:right w:val="single" w:sz="8" w:space="0" w:color="000000"/>
            </w:tcBorders>
            <w:shd w:val="clear" w:color="000000" w:fill="C5DFB1"/>
            <w:vAlign w:val="center"/>
            <w:hideMark/>
          </w:tcPr>
          <w:p w14:paraId="1C813385" w14:textId="77777777" w:rsidR="00BB3756" w:rsidRPr="00E929F2" w:rsidRDefault="00BB3756" w:rsidP="00DE490A">
            <w:pPr>
              <w:jc w:val="center"/>
              <w:rPr>
                <w:b/>
                <w:bCs/>
                <w:color w:val="000000"/>
                <w:sz w:val="20"/>
                <w:szCs w:val="20"/>
              </w:rPr>
            </w:pPr>
            <w:r w:rsidRPr="00E929F2">
              <w:rPr>
                <w:b/>
                <w:bCs/>
                <w:color w:val="000000"/>
                <w:sz w:val="20"/>
                <w:szCs w:val="20"/>
              </w:rPr>
              <w:t>Denumire</w:t>
            </w:r>
          </w:p>
        </w:tc>
        <w:tc>
          <w:tcPr>
            <w:tcW w:w="2700" w:type="dxa"/>
            <w:tcBorders>
              <w:top w:val="nil"/>
              <w:left w:val="nil"/>
              <w:bottom w:val="nil"/>
              <w:right w:val="single" w:sz="8" w:space="0" w:color="000000"/>
            </w:tcBorders>
            <w:shd w:val="clear" w:color="000000" w:fill="C5DFB1"/>
            <w:vAlign w:val="center"/>
            <w:hideMark/>
          </w:tcPr>
          <w:p w14:paraId="23A226C6" w14:textId="77777777" w:rsidR="00BB3756" w:rsidRPr="00E929F2" w:rsidRDefault="00BB3756" w:rsidP="00DE490A">
            <w:pPr>
              <w:jc w:val="center"/>
              <w:rPr>
                <w:b/>
                <w:bCs/>
                <w:color w:val="000000"/>
                <w:sz w:val="20"/>
                <w:szCs w:val="20"/>
              </w:rPr>
            </w:pPr>
            <w:r w:rsidRPr="00E929F2">
              <w:rPr>
                <w:b/>
                <w:bCs/>
                <w:color w:val="000000"/>
                <w:sz w:val="20"/>
                <w:szCs w:val="20"/>
              </w:rPr>
              <w:t>Descriere amenințare</w:t>
            </w:r>
          </w:p>
        </w:tc>
        <w:tc>
          <w:tcPr>
            <w:tcW w:w="1170" w:type="dxa"/>
            <w:vMerge w:val="restart"/>
            <w:tcBorders>
              <w:top w:val="nil"/>
              <w:left w:val="single" w:sz="8" w:space="0" w:color="000000"/>
              <w:bottom w:val="single" w:sz="8" w:space="0" w:color="000000"/>
              <w:right w:val="single" w:sz="12" w:space="0" w:color="000000"/>
            </w:tcBorders>
            <w:shd w:val="clear" w:color="000000" w:fill="C5DFB1"/>
            <w:vAlign w:val="center"/>
            <w:hideMark/>
          </w:tcPr>
          <w:p w14:paraId="1EB6346A" w14:textId="77777777" w:rsidR="00BB3756" w:rsidRPr="00E929F2" w:rsidRDefault="00BB3756" w:rsidP="00DE490A">
            <w:pPr>
              <w:jc w:val="center"/>
              <w:rPr>
                <w:b/>
                <w:bCs/>
                <w:color w:val="000000"/>
                <w:sz w:val="20"/>
                <w:szCs w:val="20"/>
              </w:rPr>
            </w:pPr>
            <w:r w:rsidRPr="00E929F2">
              <w:rPr>
                <w:b/>
                <w:bCs/>
                <w:color w:val="000000"/>
                <w:sz w:val="20"/>
                <w:szCs w:val="20"/>
              </w:rPr>
              <w:t>Intensitate</w:t>
            </w:r>
          </w:p>
        </w:tc>
        <w:tc>
          <w:tcPr>
            <w:tcW w:w="994" w:type="dxa"/>
            <w:tcBorders>
              <w:top w:val="nil"/>
              <w:left w:val="nil"/>
              <w:bottom w:val="nil"/>
              <w:right w:val="nil"/>
            </w:tcBorders>
            <w:shd w:val="clear" w:color="auto" w:fill="auto"/>
            <w:noWrap/>
            <w:vAlign w:val="bottom"/>
            <w:hideMark/>
          </w:tcPr>
          <w:p w14:paraId="4F05845C" w14:textId="77777777" w:rsidR="00BB3756" w:rsidRPr="00E929F2" w:rsidRDefault="00BB3756" w:rsidP="00DE490A">
            <w:pPr>
              <w:jc w:val="center"/>
              <w:rPr>
                <w:b/>
                <w:bCs/>
                <w:color w:val="000000"/>
                <w:sz w:val="20"/>
                <w:szCs w:val="20"/>
              </w:rPr>
            </w:pPr>
          </w:p>
        </w:tc>
      </w:tr>
      <w:tr w:rsidR="00BB3756" w:rsidRPr="00E929F2" w14:paraId="60363962" w14:textId="77777777" w:rsidTr="00DE490A">
        <w:trPr>
          <w:trHeight w:val="315"/>
          <w:jc w:val="center"/>
        </w:trPr>
        <w:tc>
          <w:tcPr>
            <w:tcW w:w="2520" w:type="dxa"/>
            <w:vMerge/>
            <w:tcBorders>
              <w:top w:val="nil"/>
              <w:left w:val="single" w:sz="12" w:space="0" w:color="000000"/>
              <w:bottom w:val="single" w:sz="8" w:space="0" w:color="000000"/>
              <w:right w:val="single" w:sz="8" w:space="0" w:color="000000"/>
            </w:tcBorders>
            <w:vAlign w:val="center"/>
            <w:hideMark/>
          </w:tcPr>
          <w:p w14:paraId="044CA9A2" w14:textId="77777777" w:rsidR="00BB3756" w:rsidRPr="00E929F2" w:rsidRDefault="00BB3756" w:rsidP="00DE490A">
            <w:pPr>
              <w:rPr>
                <w:b/>
                <w:bCs/>
                <w:color w:val="000000"/>
                <w:sz w:val="20"/>
                <w:szCs w:val="20"/>
              </w:rPr>
            </w:pPr>
          </w:p>
        </w:tc>
        <w:tc>
          <w:tcPr>
            <w:tcW w:w="1620" w:type="dxa"/>
            <w:vMerge/>
            <w:tcBorders>
              <w:top w:val="nil"/>
              <w:left w:val="single" w:sz="8" w:space="0" w:color="000000"/>
              <w:bottom w:val="single" w:sz="8" w:space="0" w:color="000000"/>
              <w:right w:val="single" w:sz="8" w:space="0" w:color="000000"/>
            </w:tcBorders>
            <w:vAlign w:val="center"/>
            <w:hideMark/>
          </w:tcPr>
          <w:p w14:paraId="0C14518B" w14:textId="77777777" w:rsidR="00BB3756" w:rsidRPr="00E929F2" w:rsidRDefault="00BB3756" w:rsidP="00DE490A">
            <w:pPr>
              <w:rPr>
                <w:b/>
                <w:bCs/>
                <w:color w:val="000000"/>
                <w:sz w:val="20"/>
                <w:szCs w:val="20"/>
              </w:rPr>
            </w:pPr>
          </w:p>
        </w:tc>
        <w:tc>
          <w:tcPr>
            <w:tcW w:w="2700" w:type="dxa"/>
            <w:tcBorders>
              <w:top w:val="nil"/>
              <w:left w:val="nil"/>
              <w:bottom w:val="single" w:sz="8" w:space="0" w:color="000000"/>
              <w:right w:val="single" w:sz="8" w:space="0" w:color="000000"/>
            </w:tcBorders>
            <w:shd w:val="clear" w:color="000000" w:fill="C5DFB1"/>
            <w:vAlign w:val="center"/>
            <w:hideMark/>
          </w:tcPr>
          <w:p w14:paraId="028902FD" w14:textId="77777777" w:rsidR="00BB3756" w:rsidRPr="00E929F2" w:rsidRDefault="00BB3756" w:rsidP="00DE490A">
            <w:pPr>
              <w:jc w:val="center"/>
              <w:rPr>
                <w:b/>
                <w:bCs/>
                <w:color w:val="000000"/>
                <w:sz w:val="20"/>
                <w:szCs w:val="20"/>
              </w:rPr>
            </w:pPr>
            <w:r w:rsidRPr="00E929F2">
              <w:rPr>
                <w:b/>
                <w:bCs/>
                <w:color w:val="000000"/>
                <w:w w:val="105"/>
                <w:sz w:val="20"/>
              </w:rPr>
              <w:t>(Opțional)</w:t>
            </w:r>
          </w:p>
        </w:tc>
        <w:tc>
          <w:tcPr>
            <w:tcW w:w="1170" w:type="dxa"/>
            <w:vMerge/>
            <w:tcBorders>
              <w:top w:val="nil"/>
              <w:left w:val="single" w:sz="8" w:space="0" w:color="000000"/>
              <w:bottom w:val="single" w:sz="8" w:space="0" w:color="000000"/>
              <w:right w:val="single" w:sz="12" w:space="0" w:color="000000"/>
            </w:tcBorders>
            <w:vAlign w:val="center"/>
            <w:hideMark/>
          </w:tcPr>
          <w:p w14:paraId="5D444DF2" w14:textId="77777777" w:rsidR="00BB3756" w:rsidRPr="00E929F2" w:rsidRDefault="00BB3756" w:rsidP="00DE490A">
            <w:pPr>
              <w:rPr>
                <w:b/>
                <w:bCs/>
                <w:color w:val="000000"/>
                <w:sz w:val="20"/>
                <w:szCs w:val="20"/>
              </w:rPr>
            </w:pPr>
          </w:p>
        </w:tc>
        <w:tc>
          <w:tcPr>
            <w:tcW w:w="994" w:type="dxa"/>
            <w:tcBorders>
              <w:top w:val="nil"/>
              <w:left w:val="nil"/>
              <w:bottom w:val="nil"/>
              <w:right w:val="nil"/>
            </w:tcBorders>
            <w:shd w:val="clear" w:color="auto" w:fill="auto"/>
            <w:noWrap/>
            <w:vAlign w:val="bottom"/>
            <w:hideMark/>
          </w:tcPr>
          <w:p w14:paraId="206F12F0" w14:textId="77777777" w:rsidR="00BB3756" w:rsidRPr="00E929F2" w:rsidRDefault="00BB3756" w:rsidP="00DE490A">
            <w:pPr>
              <w:jc w:val="center"/>
              <w:rPr>
                <w:b/>
                <w:bCs/>
                <w:color w:val="000000"/>
                <w:sz w:val="20"/>
                <w:szCs w:val="20"/>
              </w:rPr>
            </w:pPr>
          </w:p>
        </w:tc>
      </w:tr>
      <w:tr w:rsidR="00BB3756" w:rsidRPr="00E929F2" w14:paraId="3A5596A7" w14:textId="77777777" w:rsidTr="00DE490A">
        <w:trPr>
          <w:trHeight w:val="510"/>
          <w:jc w:val="center"/>
        </w:trPr>
        <w:tc>
          <w:tcPr>
            <w:tcW w:w="2520" w:type="dxa"/>
            <w:tcBorders>
              <w:top w:val="nil"/>
              <w:left w:val="single" w:sz="12" w:space="0" w:color="000000"/>
              <w:bottom w:val="nil"/>
              <w:right w:val="single" w:sz="8" w:space="0" w:color="000000"/>
            </w:tcBorders>
            <w:shd w:val="clear" w:color="auto" w:fill="auto"/>
            <w:vAlign w:val="center"/>
            <w:hideMark/>
          </w:tcPr>
          <w:p w14:paraId="1B444749" w14:textId="77777777" w:rsidR="00BB3756" w:rsidRPr="00E929F2" w:rsidRDefault="00BB3756" w:rsidP="00DE490A">
            <w:pPr>
              <w:rPr>
                <w:b/>
                <w:bCs/>
                <w:color w:val="000000"/>
                <w:sz w:val="20"/>
                <w:szCs w:val="20"/>
              </w:rPr>
            </w:pPr>
            <w:r w:rsidRPr="00E929F2">
              <w:rPr>
                <w:b/>
                <w:bCs/>
                <w:color w:val="000000"/>
                <w:sz w:val="20"/>
              </w:rPr>
              <w:t> </w:t>
            </w:r>
          </w:p>
        </w:tc>
        <w:tc>
          <w:tcPr>
            <w:tcW w:w="16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56F7777" w14:textId="77777777" w:rsidR="00BB3756" w:rsidRPr="00E929F2" w:rsidRDefault="00BB3756" w:rsidP="00DE490A">
            <w:pPr>
              <w:rPr>
                <w:color w:val="000000"/>
                <w:sz w:val="20"/>
                <w:szCs w:val="20"/>
              </w:rPr>
            </w:pPr>
            <w:r w:rsidRPr="00E929F2">
              <w:rPr>
                <w:color w:val="000000"/>
                <w:sz w:val="20"/>
              </w:rPr>
              <w:t> </w:t>
            </w:r>
          </w:p>
        </w:tc>
        <w:tc>
          <w:tcPr>
            <w:tcW w:w="2700" w:type="dxa"/>
            <w:tcBorders>
              <w:top w:val="nil"/>
              <w:left w:val="nil"/>
              <w:bottom w:val="nil"/>
              <w:right w:val="single" w:sz="8" w:space="0" w:color="000000"/>
            </w:tcBorders>
            <w:shd w:val="clear" w:color="auto" w:fill="auto"/>
            <w:vAlign w:val="center"/>
            <w:hideMark/>
          </w:tcPr>
          <w:p w14:paraId="4046CFB2" w14:textId="77777777" w:rsidR="00BB3756" w:rsidRPr="00E929F2" w:rsidRDefault="00BB3756" w:rsidP="00DE490A">
            <w:pPr>
              <w:rPr>
                <w:color w:val="000000"/>
                <w:sz w:val="20"/>
                <w:szCs w:val="20"/>
              </w:rPr>
            </w:pPr>
            <w:r w:rsidRPr="00E929F2">
              <w:rPr>
                <w:color w:val="000000"/>
                <w:sz w:val="20"/>
                <w:szCs w:val="20"/>
              </w:rPr>
              <w:t>Detaliere amenințare: Durata amenințare:</w:t>
            </w:r>
          </w:p>
        </w:tc>
        <w:tc>
          <w:tcPr>
            <w:tcW w:w="1170" w:type="dxa"/>
            <w:vMerge w:val="restart"/>
            <w:tcBorders>
              <w:top w:val="nil"/>
              <w:left w:val="single" w:sz="8" w:space="0" w:color="000000"/>
              <w:bottom w:val="single" w:sz="8" w:space="0" w:color="000000"/>
              <w:right w:val="single" w:sz="12" w:space="0" w:color="000000"/>
            </w:tcBorders>
            <w:shd w:val="clear" w:color="auto" w:fill="auto"/>
            <w:vAlign w:val="center"/>
            <w:hideMark/>
          </w:tcPr>
          <w:p w14:paraId="779AB3BB" w14:textId="77777777" w:rsidR="00BB3756" w:rsidRPr="00E929F2" w:rsidRDefault="00BB3756" w:rsidP="00DE490A">
            <w:pPr>
              <w:rPr>
                <w:color w:val="000000"/>
                <w:sz w:val="20"/>
                <w:szCs w:val="20"/>
              </w:rPr>
            </w:pPr>
            <w:r w:rsidRPr="00E929F2">
              <w:rPr>
                <w:color w:val="000000"/>
                <w:sz w:val="20"/>
              </w:rPr>
              <w:t> </w:t>
            </w:r>
          </w:p>
        </w:tc>
        <w:tc>
          <w:tcPr>
            <w:tcW w:w="994" w:type="dxa"/>
            <w:tcBorders>
              <w:top w:val="nil"/>
              <w:left w:val="nil"/>
              <w:bottom w:val="nil"/>
              <w:right w:val="nil"/>
            </w:tcBorders>
            <w:shd w:val="clear" w:color="auto" w:fill="auto"/>
            <w:noWrap/>
            <w:vAlign w:val="bottom"/>
            <w:hideMark/>
          </w:tcPr>
          <w:p w14:paraId="04EE057F" w14:textId="77777777" w:rsidR="00BB3756" w:rsidRPr="00E929F2" w:rsidRDefault="00BB3756" w:rsidP="00DE490A">
            <w:pPr>
              <w:rPr>
                <w:color w:val="000000"/>
                <w:sz w:val="20"/>
                <w:szCs w:val="20"/>
              </w:rPr>
            </w:pPr>
          </w:p>
        </w:tc>
      </w:tr>
      <w:tr w:rsidR="00BB3756" w:rsidRPr="00E929F2" w14:paraId="4D369B70" w14:textId="77777777" w:rsidTr="00DE490A">
        <w:trPr>
          <w:trHeight w:val="315"/>
          <w:jc w:val="center"/>
        </w:trPr>
        <w:tc>
          <w:tcPr>
            <w:tcW w:w="2520" w:type="dxa"/>
            <w:tcBorders>
              <w:top w:val="nil"/>
              <w:left w:val="single" w:sz="12" w:space="0" w:color="000000"/>
              <w:bottom w:val="single" w:sz="8" w:space="0" w:color="000000"/>
              <w:right w:val="single" w:sz="8" w:space="0" w:color="000000"/>
            </w:tcBorders>
            <w:shd w:val="clear" w:color="auto" w:fill="auto"/>
            <w:vAlign w:val="center"/>
            <w:hideMark/>
          </w:tcPr>
          <w:p w14:paraId="00816362" w14:textId="77777777" w:rsidR="00BB3756" w:rsidRPr="00E929F2" w:rsidRDefault="00BB3756" w:rsidP="00DE490A">
            <w:pPr>
              <w:rPr>
                <w:color w:val="000000"/>
                <w:sz w:val="20"/>
                <w:szCs w:val="20"/>
              </w:rPr>
            </w:pPr>
            <w:r w:rsidRPr="00E929F2">
              <w:rPr>
                <w:color w:val="000000"/>
                <w:sz w:val="20"/>
                <w:szCs w:val="20"/>
              </w:rPr>
              <w:t>......(din nomenclator)</w:t>
            </w:r>
          </w:p>
        </w:tc>
        <w:tc>
          <w:tcPr>
            <w:tcW w:w="1620" w:type="dxa"/>
            <w:vMerge/>
            <w:tcBorders>
              <w:top w:val="nil"/>
              <w:left w:val="single" w:sz="8" w:space="0" w:color="000000"/>
              <w:bottom w:val="single" w:sz="8" w:space="0" w:color="000000"/>
              <w:right w:val="single" w:sz="8" w:space="0" w:color="000000"/>
            </w:tcBorders>
            <w:vAlign w:val="center"/>
            <w:hideMark/>
          </w:tcPr>
          <w:p w14:paraId="7ECE4A7D" w14:textId="77777777" w:rsidR="00BB3756" w:rsidRPr="00E929F2" w:rsidRDefault="00BB3756" w:rsidP="00DE490A">
            <w:pPr>
              <w:rPr>
                <w:color w:val="000000"/>
                <w:sz w:val="20"/>
                <w:szCs w:val="20"/>
              </w:rPr>
            </w:pPr>
          </w:p>
        </w:tc>
        <w:tc>
          <w:tcPr>
            <w:tcW w:w="2700" w:type="dxa"/>
            <w:tcBorders>
              <w:top w:val="nil"/>
              <w:left w:val="nil"/>
              <w:bottom w:val="single" w:sz="8" w:space="0" w:color="000000"/>
              <w:right w:val="single" w:sz="8" w:space="0" w:color="000000"/>
            </w:tcBorders>
            <w:shd w:val="clear" w:color="auto" w:fill="auto"/>
            <w:vAlign w:val="center"/>
            <w:hideMark/>
          </w:tcPr>
          <w:p w14:paraId="4B0C9DD7" w14:textId="77777777" w:rsidR="00BB3756" w:rsidRPr="00E929F2" w:rsidRDefault="00BB3756" w:rsidP="00DE490A">
            <w:pPr>
              <w:rPr>
                <w:color w:val="000000"/>
                <w:sz w:val="20"/>
                <w:szCs w:val="20"/>
              </w:rPr>
            </w:pPr>
            <w:r w:rsidRPr="00E929F2">
              <w:rPr>
                <w:color w:val="000000"/>
                <w:sz w:val="20"/>
                <w:szCs w:val="20"/>
              </w:rPr>
              <w:t>Manifestare:</w:t>
            </w:r>
          </w:p>
        </w:tc>
        <w:tc>
          <w:tcPr>
            <w:tcW w:w="1170" w:type="dxa"/>
            <w:vMerge/>
            <w:tcBorders>
              <w:top w:val="nil"/>
              <w:left w:val="single" w:sz="8" w:space="0" w:color="000000"/>
              <w:bottom w:val="single" w:sz="8" w:space="0" w:color="000000"/>
              <w:right w:val="single" w:sz="12" w:space="0" w:color="000000"/>
            </w:tcBorders>
            <w:vAlign w:val="center"/>
            <w:hideMark/>
          </w:tcPr>
          <w:p w14:paraId="3E100CDC" w14:textId="77777777" w:rsidR="00BB3756" w:rsidRPr="00E929F2" w:rsidRDefault="00BB3756" w:rsidP="00DE490A">
            <w:pPr>
              <w:rPr>
                <w:color w:val="000000"/>
                <w:sz w:val="20"/>
                <w:szCs w:val="20"/>
              </w:rPr>
            </w:pPr>
          </w:p>
        </w:tc>
        <w:tc>
          <w:tcPr>
            <w:tcW w:w="994" w:type="dxa"/>
            <w:tcBorders>
              <w:top w:val="nil"/>
              <w:left w:val="nil"/>
              <w:bottom w:val="nil"/>
              <w:right w:val="nil"/>
            </w:tcBorders>
            <w:shd w:val="clear" w:color="auto" w:fill="auto"/>
            <w:noWrap/>
            <w:vAlign w:val="bottom"/>
            <w:hideMark/>
          </w:tcPr>
          <w:p w14:paraId="08CA1FE7" w14:textId="77777777" w:rsidR="00BB3756" w:rsidRPr="00E929F2" w:rsidRDefault="00BB3756" w:rsidP="00DE490A">
            <w:pPr>
              <w:rPr>
                <w:color w:val="000000"/>
                <w:sz w:val="20"/>
                <w:szCs w:val="20"/>
              </w:rPr>
            </w:pPr>
          </w:p>
        </w:tc>
      </w:tr>
      <w:tr w:rsidR="00BB3756" w:rsidRPr="00E929F2" w14:paraId="315DF869" w14:textId="77777777" w:rsidTr="00DE490A">
        <w:trPr>
          <w:trHeight w:val="510"/>
          <w:jc w:val="center"/>
        </w:trPr>
        <w:tc>
          <w:tcPr>
            <w:tcW w:w="2520" w:type="dxa"/>
            <w:tcBorders>
              <w:top w:val="nil"/>
              <w:left w:val="single" w:sz="12" w:space="0" w:color="000000"/>
              <w:bottom w:val="nil"/>
              <w:right w:val="single" w:sz="8" w:space="0" w:color="000000"/>
            </w:tcBorders>
            <w:shd w:val="clear" w:color="auto" w:fill="auto"/>
            <w:vAlign w:val="center"/>
            <w:hideMark/>
          </w:tcPr>
          <w:p w14:paraId="42F5EC35" w14:textId="77777777" w:rsidR="00BB3756" w:rsidRPr="00E929F2" w:rsidRDefault="00BB3756" w:rsidP="00DE490A">
            <w:pPr>
              <w:rPr>
                <w:b/>
                <w:bCs/>
                <w:color w:val="000000"/>
                <w:sz w:val="20"/>
                <w:szCs w:val="20"/>
              </w:rPr>
            </w:pPr>
            <w:r w:rsidRPr="00E929F2">
              <w:rPr>
                <w:b/>
                <w:bCs/>
                <w:color w:val="000000"/>
                <w:sz w:val="20"/>
              </w:rPr>
              <w:t> </w:t>
            </w:r>
          </w:p>
        </w:tc>
        <w:tc>
          <w:tcPr>
            <w:tcW w:w="1620" w:type="dxa"/>
            <w:vMerge w:val="restart"/>
            <w:tcBorders>
              <w:top w:val="nil"/>
              <w:left w:val="single" w:sz="8" w:space="0" w:color="000000"/>
              <w:bottom w:val="single" w:sz="12" w:space="0" w:color="000000"/>
              <w:right w:val="single" w:sz="8" w:space="0" w:color="000000"/>
            </w:tcBorders>
            <w:shd w:val="clear" w:color="auto" w:fill="auto"/>
            <w:vAlign w:val="center"/>
            <w:hideMark/>
          </w:tcPr>
          <w:p w14:paraId="6F7382E5" w14:textId="77777777" w:rsidR="00BB3756" w:rsidRPr="00E929F2" w:rsidRDefault="00BB3756" w:rsidP="00DE490A">
            <w:pPr>
              <w:rPr>
                <w:color w:val="000000"/>
                <w:sz w:val="20"/>
                <w:szCs w:val="20"/>
              </w:rPr>
            </w:pPr>
            <w:r w:rsidRPr="00E929F2">
              <w:rPr>
                <w:color w:val="000000"/>
                <w:sz w:val="20"/>
              </w:rPr>
              <w:t> </w:t>
            </w:r>
          </w:p>
        </w:tc>
        <w:tc>
          <w:tcPr>
            <w:tcW w:w="2700" w:type="dxa"/>
            <w:tcBorders>
              <w:top w:val="nil"/>
              <w:left w:val="nil"/>
              <w:bottom w:val="nil"/>
              <w:right w:val="single" w:sz="8" w:space="0" w:color="000000"/>
            </w:tcBorders>
            <w:shd w:val="clear" w:color="auto" w:fill="auto"/>
            <w:vAlign w:val="center"/>
            <w:hideMark/>
          </w:tcPr>
          <w:p w14:paraId="3D717CA2" w14:textId="77777777" w:rsidR="00BB3756" w:rsidRPr="00E929F2" w:rsidRDefault="00BB3756" w:rsidP="00DE490A">
            <w:pPr>
              <w:rPr>
                <w:color w:val="000000"/>
                <w:sz w:val="20"/>
                <w:szCs w:val="20"/>
              </w:rPr>
            </w:pPr>
            <w:r w:rsidRPr="00E929F2">
              <w:rPr>
                <w:color w:val="000000"/>
                <w:sz w:val="20"/>
                <w:szCs w:val="20"/>
              </w:rPr>
              <w:t>Detaliere amenințare: Durata amenințare:</w:t>
            </w:r>
          </w:p>
        </w:tc>
        <w:tc>
          <w:tcPr>
            <w:tcW w:w="1170" w:type="dxa"/>
            <w:vMerge w:val="restart"/>
            <w:tcBorders>
              <w:top w:val="nil"/>
              <w:left w:val="single" w:sz="8" w:space="0" w:color="000000"/>
              <w:bottom w:val="single" w:sz="12" w:space="0" w:color="000000"/>
              <w:right w:val="single" w:sz="12" w:space="0" w:color="000000"/>
            </w:tcBorders>
            <w:shd w:val="clear" w:color="auto" w:fill="auto"/>
            <w:vAlign w:val="center"/>
            <w:hideMark/>
          </w:tcPr>
          <w:p w14:paraId="45C72CFE" w14:textId="77777777" w:rsidR="00BB3756" w:rsidRPr="00E929F2" w:rsidRDefault="00BB3756" w:rsidP="00DE490A">
            <w:pPr>
              <w:rPr>
                <w:color w:val="000000"/>
                <w:sz w:val="20"/>
                <w:szCs w:val="20"/>
              </w:rPr>
            </w:pPr>
            <w:r w:rsidRPr="00E929F2">
              <w:rPr>
                <w:color w:val="000000"/>
                <w:sz w:val="20"/>
              </w:rPr>
              <w:t> </w:t>
            </w:r>
          </w:p>
        </w:tc>
        <w:tc>
          <w:tcPr>
            <w:tcW w:w="994" w:type="dxa"/>
            <w:tcBorders>
              <w:top w:val="nil"/>
              <w:left w:val="nil"/>
              <w:bottom w:val="nil"/>
              <w:right w:val="nil"/>
            </w:tcBorders>
            <w:shd w:val="clear" w:color="auto" w:fill="auto"/>
            <w:noWrap/>
            <w:vAlign w:val="bottom"/>
            <w:hideMark/>
          </w:tcPr>
          <w:p w14:paraId="0515D376" w14:textId="77777777" w:rsidR="00BB3756" w:rsidRPr="00E929F2" w:rsidRDefault="00BB3756" w:rsidP="00DE490A">
            <w:pPr>
              <w:rPr>
                <w:color w:val="000000"/>
                <w:sz w:val="20"/>
                <w:szCs w:val="20"/>
              </w:rPr>
            </w:pPr>
          </w:p>
        </w:tc>
      </w:tr>
      <w:tr w:rsidR="00BB3756" w:rsidRPr="00E929F2" w14:paraId="3B4C1F23" w14:textId="77777777" w:rsidTr="00DE490A">
        <w:trPr>
          <w:trHeight w:val="315"/>
          <w:jc w:val="center"/>
        </w:trPr>
        <w:tc>
          <w:tcPr>
            <w:tcW w:w="2520" w:type="dxa"/>
            <w:tcBorders>
              <w:top w:val="nil"/>
              <w:left w:val="single" w:sz="12" w:space="0" w:color="000000"/>
              <w:bottom w:val="single" w:sz="12" w:space="0" w:color="000000"/>
              <w:right w:val="single" w:sz="8" w:space="0" w:color="000000"/>
            </w:tcBorders>
            <w:shd w:val="clear" w:color="auto" w:fill="auto"/>
            <w:vAlign w:val="center"/>
            <w:hideMark/>
          </w:tcPr>
          <w:p w14:paraId="7D0FA3DD" w14:textId="77777777" w:rsidR="00BB3756" w:rsidRPr="00E929F2" w:rsidRDefault="00BB3756" w:rsidP="00DE490A">
            <w:pPr>
              <w:rPr>
                <w:color w:val="000000"/>
                <w:sz w:val="20"/>
                <w:szCs w:val="20"/>
              </w:rPr>
            </w:pPr>
            <w:r w:rsidRPr="00E929F2">
              <w:rPr>
                <w:color w:val="000000"/>
                <w:sz w:val="20"/>
                <w:szCs w:val="20"/>
              </w:rPr>
              <w:t>…….(din nomenclator)</w:t>
            </w:r>
          </w:p>
        </w:tc>
        <w:tc>
          <w:tcPr>
            <w:tcW w:w="1620" w:type="dxa"/>
            <w:vMerge/>
            <w:tcBorders>
              <w:top w:val="nil"/>
              <w:left w:val="single" w:sz="8" w:space="0" w:color="000000"/>
              <w:bottom w:val="single" w:sz="12" w:space="0" w:color="000000"/>
              <w:right w:val="single" w:sz="8" w:space="0" w:color="000000"/>
            </w:tcBorders>
            <w:vAlign w:val="center"/>
            <w:hideMark/>
          </w:tcPr>
          <w:p w14:paraId="5C0E5FAD" w14:textId="77777777" w:rsidR="00BB3756" w:rsidRPr="00E929F2" w:rsidRDefault="00BB3756" w:rsidP="00DE490A">
            <w:pPr>
              <w:rPr>
                <w:color w:val="000000"/>
                <w:sz w:val="20"/>
                <w:szCs w:val="20"/>
              </w:rPr>
            </w:pPr>
          </w:p>
        </w:tc>
        <w:tc>
          <w:tcPr>
            <w:tcW w:w="2700" w:type="dxa"/>
            <w:tcBorders>
              <w:top w:val="nil"/>
              <w:left w:val="nil"/>
              <w:bottom w:val="single" w:sz="12" w:space="0" w:color="000000"/>
              <w:right w:val="single" w:sz="8" w:space="0" w:color="000000"/>
            </w:tcBorders>
            <w:shd w:val="clear" w:color="auto" w:fill="auto"/>
            <w:vAlign w:val="center"/>
            <w:hideMark/>
          </w:tcPr>
          <w:p w14:paraId="2E795C92" w14:textId="77777777" w:rsidR="00BB3756" w:rsidRPr="00E929F2" w:rsidRDefault="00BB3756" w:rsidP="00DE490A">
            <w:pPr>
              <w:rPr>
                <w:color w:val="000000"/>
                <w:sz w:val="20"/>
                <w:szCs w:val="20"/>
              </w:rPr>
            </w:pPr>
            <w:r w:rsidRPr="00E929F2">
              <w:rPr>
                <w:color w:val="000000"/>
                <w:sz w:val="20"/>
                <w:szCs w:val="20"/>
              </w:rPr>
              <w:t>Manifestare:</w:t>
            </w:r>
          </w:p>
        </w:tc>
        <w:tc>
          <w:tcPr>
            <w:tcW w:w="1170" w:type="dxa"/>
            <w:vMerge/>
            <w:tcBorders>
              <w:top w:val="nil"/>
              <w:left w:val="single" w:sz="8" w:space="0" w:color="000000"/>
              <w:bottom w:val="single" w:sz="12" w:space="0" w:color="000000"/>
              <w:right w:val="single" w:sz="12" w:space="0" w:color="000000"/>
            </w:tcBorders>
            <w:vAlign w:val="center"/>
            <w:hideMark/>
          </w:tcPr>
          <w:p w14:paraId="00E11606" w14:textId="77777777" w:rsidR="00BB3756" w:rsidRPr="00E929F2" w:rsidRDefault="00BB3756" w:rsidP="00DE490A">
            <w:pPr>
              <w:rPr>
                <w:color w:val="000000"/>
                <w:sz w:val="20"/>
                <w:szCs w:val="20"/>
              </w:rPr>
            </w:pPr>
          </w:p>
        </w:tc>
        <w:tc>
          <w:tcPr>
            <w:tcW w:w="994" w:type="dxa"/>
            <w:tcBorders>
              <w:top w:val="nil"/>
              <w:left w:val="nil"/>
              <w:bottom w:val="nil"/>
              <w:right w:val="nil"/>
            </w:tcBorders>
            <w:shd w:val="clear" w:color="auto" w:fill="auto"/>
            <w:noWrap/>
            <w:vAlign w:val="bottom"/>
            <w:hideMark/>
          </w:tcPr>
          <w:p w14:paraId="56169482" w14:textId="77777777" w:rsidR="00BB3756" w:rsidRPr="00E929F2" w:rsidRDefault="00BB3756" w:rsidP="00DE490A">
            <w:pPr>
              <w:rPr>
                <w:color w:val="000000"/>
                <w:sz w:val="20"/>
                <w:szCs w:val="20"/>
              </w:rPr>
            </w:pPr>
          </w:p>
        </w:tc>
      </w:tr>
      <w:tr w:rsidR="00BB3756" w:rsidRPr="00E929F2" w14:paraId="01C41595" w14:textId="77777777" w:rsidTr="00DE490A">
        <w:trPr>
          <w:trHeight w:val="330"/>
          <w:jc w:val="center"/>
        </w:trPr>
        <w:tc>
          <w:tcPr>
            <w:tcW w:w="9004" w:type="dxa"/>
            <w:gridSpan w:val="5"/>
            <w:tcBorders>
              <w:top w:val="single" w:sz="8" w:space="0" w:color="000000"/>
              <w:left w:val="single" w:sz="8" w:space="0" w:color="000000"/>
              <w:bottom w:val="single" w:sz="8" w:space="0" w:color="000000"/>
              <w:right w:val="single" w:sz="8" w:space="0" w:color="000000"/>
            </w:tcBorders>
            <w:shd w:val="clear" w:color="000000" w:fill="9CC3E6"/>
            <w:vAlign w:val="center"/>
            <w:hideMark/>
          </w:tcPr>
          <w:p w14:paraId="725353D5" w14:textId="77777777" w:rsidR="00BB3756" w:rsidRPr="00E929F2" w:rsidRDefault="00BB3756" w:rsidP="00DE490A">
            <w:pPr>
              <w:ind w:firstLineChars="1500" w:firstLine="3012"/>
              <w:rPr>
                <w:b/>
                <w:bCs/>
                <w:color w:val="000000"/>
                <w:sz w:val="20"/>
                <w:szCs w:val="20"/>
              </w:rPr>
            </w:pPr>
            <w:r w:rsidRPr="00E929F2">
              <w:rPr>
                <w:b/>
                <w:bCs/>
                <w:color w:val="000000"/>
                <w:sz w:val="20"/>
              </w:rPr>
              <w:t>IV. MĂSURI DE CONSERVARE</w:t>
            </w:r>
          </w:p>
        </w:tc>
      </w:tr>
      <w:tr w:rsidR="00BB3756" w:rsidRPr="00E929F2" w14:paraId="02A36022" w14:textId="77777777" w:rsidTr="00DE490A">
        <w:trPr>
          <w:trHeight w:val="525"/>
          <w:jc w:val="center"/>
        </w:trPr>
        <w:tc>
          <w:tcPr>
            <w:tcW w:w="2520" w:type="dxa"/>
            <w:tcBorders>
              <w:top w:val="nil"/>
              <w:left w:val="single" w:sz="8" w:space="0" w:color="000000"/>
              <w:bottom w:val="single" w:sz="8" w:space="0" w:color="000000"/>
              <w:right w:val="single" w:sz="8" w:space="0" w:color="000000"/>
            </w:tcBorders>
            <w:shd w:val="clear" w:color="000000" w:fill="C5DFB1"/>
            <w:vAlign w:val="center"/>
            <w:hideMark/>
          </w:tcPr>
          <w:p w14:paraId="5A7CAAB4" w14:textId="77777777" w:rsidR="00BB3756" w:rsidRPr="00E929F2" w:rsidRDefault="00BB3756" w:rsidP="00DE490A">
            <w:pPr>
              <w:rPr>
                <w:b/>
                <w:bCs/>
                <w:color w:val="000000"/>
                <w:sz w:val="20"/>
                <w:szCs w:val="20"/>
              </w:rPr>
            </w:pPr>
            <w:r w:rsidRPr="00E929F2">
              <w:rPr>
                <w:b/>
                <w:bCs/>
                <w:color w:val="000000"/>
                <w:sz w:val="20"/>
                <w:szCs w:val="20"/>
              </w:rPr>
              <w:t>1. Sunt necesare măsuri de conservare?</w:t>
            </w:r>
          </w:p>
        </w:tc>
        <w:tc>
          <w:tcPr>
            <w:tcW w:w="1620" w:type="dxa"/>
            <w:tcBorders>
              <w:top w:val="nil"/>
              <w:left w:val="nil"/>
              <w:bottom w:val="single" w:sz="8" w:space="0" w:color="000000"/>
              <w:right w:val="single" w:sz="8" w:space="0" w:color="000000"/>
            </w:tcBorders>
            <w:shd w:val="clear" w:color="auto" w:fill="auto"/>
            <w:vAlign w:val="center"/>
            <w:hideMark/>
          </w:tcPr>
          <w:p w14:paraId="7BAD905C" w14:textId="77777777" w:rsidR="00BB3756" w:rsidRPr="00E929F2" w:rsidRDefault="00BB3756" w:rsidP="00DE490A">
            <w:pPr>
              <w:jc w:val="center"/>
              <w:rPr>
                <w:b/>
                <w:bCs/>
                <w:color w:val="000000"/>
                <w:sz w:val="20"/>
                <w:szCs w:val="20"/>
              </w:rPr>
            </w:pPr>
            <w:r w:rsidRPr="00E929F2">
              <w:rPr>
                <w:b/>
                <w:bCs/>
                <w:color w:val="000000"/>
                <w:sz w:val="20"/>
                <w:szCs w:val="20"/>
              </w:rPr>
              <w:t>Da</w:t>
            </w:r>
          </w:p>
        </w:tc>
        <w:tc>
          <w:tcPr>
            <w:tcW w:w="2700" w:type="dxa"/>
            <w:tcBorders>
              <w:top w:val="nil"/>
              <w:left w:val="nil"/>
              <w:bottom w:val="single" w:sz="8" w:space="0" w:color="000000"/>
              <w:right w:val="single" w:sz="8" w:space="0" w:color="000000"/>
            </w:tcBorders>
            <w:shd w:val="clear" w:color="auto" w:fill="auto"/>
            <w:vAlign w:val="center"/>
            <w:hideMark/>
          </w:tcPr>
          <w:p w14:paraId="4C880984" w14:textId="77777777" w:rsidR="00BB3756" w:rsidRPr="00E929F2" w:rsidRDefault="00BB3756" w:rsidP="00DE490A">
            <w:pPr>
              <w:rPr>
                <w:color w:val="000000"/>
                <w:sz w:val="20"/>
                <w:szCs w:val="20"/>
              </w:rPr>
            </w:pPr>
            <w:r w:rsidRPr="00E929F2">
              <w:rPr>
                <w:color w:val="000000"/>
                <w:sz w:val="20"/>
              </w:rPr>
              <w:t> </w:t>
            </w:r>
          </w:p>
        </w:tc>
        <w:tc>
          <w:tcPr>
            <w:tcW w:w="1170" w:type="dxa"/>
            <w:tcBorders>
              <w:top w:val="nil"/>
              <w:left w:val="nil"/>
              <w:bottom w:val="single" w:sz="8" w:space="0" w:color="000000"/>
              <w:right w:val="single" w:sz="8" w:space="0" w:color="000000"/>
            </w:tcBorders>
            <w:shd w:val="clear" w:color="auto" w:fill="auto"/>
            <w:vAlign w:val="center"/>
            <w:hideMark/>
          </w:tcPr>
          <w:p w14:paraId="19E1DC9B" w14:textId="77777777" w:rsidR="00BB3756" w:rsidRPr="00E929F2" w:rsidRDefault="00BB3756" w:rsidP="00DE490A">
            <w:pPr>
              <w:jc w:val="center"/>
              <w:rPr>
                <w:b/>
                <w:bCs/>
                <w:color w:val="000000"/>
                <w:sz w:val="20"/>
                <w:szCs w:val="20"/>
              </w:rPr>
            </w:pPr>
            <w:r w:rsidRPr="00E929F2">
              <w:rPr>
                <w:b/>
                <w:bCs/>
                <w:color w:val="000000"/>
                <w:sz w:val="20"/>
                <w:szCs w:val="20"/>
              </w:rPr>
              <w:t>Nu</w:t>
            </w:r>
          </w:p>
        </w:tc>
        <w:tc>
          <w:tcPr>
            <w:tcW w:w="994" w:type="dxa"/>
            <w:tcBorders>
              <w:top w:val="nil"/>
              <w:left w:val="nil"/>
              <w:bottom w:val="single" w:sz="8" w:space="0" w:color="000000"/>
              <w:right w:val="single" w:sz="8" w:space="0" w:color="000000"/>
            </w:tcBorders>
            <w:shd w:val="clear" w:color="auto" w:fill="auto"/>
            <w:vAlign w:val="center"/>
            <w:hideMark/>
          </w:tcPr>
          <w:p w14:paraId="08D8DD03" w14:textId="77777777" w:rsidR="00BB3756" w:rsidRPr="00E929F2" w:rsidRDefault="00BB3756" w:rsidP="00DE490A">
            <w:pPr>
              <w:rPr>
                <w:color w:val="000000"/>
                <w:sz w:val="20"/>
                <w:szCs w:val="20"/>
              </w:rPr>
            </w:pPr>
            <w:r w:rsidRPr="00E929F2">
              <w:rPr>
                <w:color w:val="000000"/>
                <w:sz w:val="20"/>
              </w:rPr>
              <w:t> </w:t>
            </w:r>
          </w:p>
        </w:tc>
      </w:tr>
      <w:tr w:rsidR="00BB3756" w:rsidRPr="00E929F2" w14:paraId="24954BD7" w14:textId="77777777" w:rsidTr="00DE490A">
        <w:trPr>
          <w:trHeight w:val="765"/>
          <w:jc w:val="center"/>
        </w:trPr>
        <w:tc>
          <w:tcPr>
            <w:tcW w:w="2520" w:type="dxa"/>
            <w:vMerge w:val="restart"/>
            <w:tcBorders>
              <w:top w:val="nil"/>
              <w:left w:val="single" w:sz="8" w:space="0" w:color="000000"/>
              <w:bottom w:val="nil"/>
              <w:right w:val="single" w:sz="8" w:space="0" w:color="000000"/>
            </w:tcBorders>
            <w:shd w:val="clear" w:color="000000" w:fill="C5DFB1"/>
            <w:vAlign w:val="center"/>
            <w:hideMark/>
          </w:tcPr>
          <w:p w14:paraId="50ABB9FD" w14:textId="77777777" w:rsidR="00BB3756" w:rsidRPr="00E929F2" w:rsidRDefault="00BB3756" w:rsidP="00DE490A">
            <w:pPr>
              <w:rPr>
                <w:color w:val="000000"/>
                <w:sz w:val="20"/>
                <w:szCs w:val="20"/>
              </w:rPr>
            </w:pPr>
            <w:r w:rsidRPr="00E929F2">
              <w:rPr>
                <w:color w:val="000000"/>
                <w:sz w:val="20"/>
                <w:szCs w:val="20"/>
              </w:rPr>
              <w:t> </w:t>
            </w:r>
          </w:p>
        </w:tc>
        <w:tc>
          <w:tcPr>
            <w:tcW w:w="1620" w:type="dxa"/>
            <w:vMerge w:val="restart"/>
            <w:tcBorders>
              <w:top w:val="nil"/>
              <w:left w:val="single" w:sz="8" w:space="0" w:color="000000"/>
              <w:bottom w:val="single" w:sz="8" w:space="0" w:color="000000"/>
              <w:right w:val="single" w:sz="8" w:space="0" w:color="000000"/>
            </w:tcBorders>
            <w:shd w:val="clear" w:color="000000" w:fill="C5DFB1"/>
            <w:vAlign w:val="center"/>
            <w:hideMark/>
          </w:tcPr>
          <w:p w14:paraId="670AFD3F" w14:textId="77777777" w:rsidR="00BB3756" w:rsidRPr="00E929F2" w:rsidRDefault="00BB3756" w:rsidP="00DE490A">
            <w:pPr>
              <w:jc w:val="center"/>
              <w:rPr>
                <w:color w:val="000000"/>
                <w:sz w:val="20"/>
                <w:szCs w:val="20"/>
              </w:rPr>
            </w:pPr>
            <w:r w:rsidRPr="00E929F2">
              <w:rPr>
                <w:color w:val="000000"/>
                <w:sz w:val="20"/>
                <w:szCs w:val="20"/>
              </w:rPr>
              <w:t>Cod</w:t>
            </w:r>
          </w:p>
        </w:tc>
        <w:tc>
          <w:tcPr>
            <w:tcW w:w="2700" w:type="dxa"/>
            <w:vMerge w:val="restart"/>
            <w:tcBorders>
              <w:top w:val="nil"/>
              <w:left w:val="single" w:sz="8" w:space="0" w:color="000000"/>
              <w:bottom w:val="single" w:sz="8" w:space="0" w:color="000000"/>
              <w:right w:val="single" w:sz="8" w:space="0" w:color="000000"/>
            </w:tcBorders>
            <w:shd w:val="clear" w:color="000000" w:fill="C5DFB1"/>
            <w:vAlign w:val="center"/>
            <w:hideMark/>
          </w:tcPr>
          <w:p w14:paraId="2BA23EAB" w14:textId="77777777" w:rsidR="00BB3756" w:rsidRPr="00E929F2" w:rsidRDefault="00BB3756" w:rsidP="00DE490A">
            <w:pPr>
              <w:jc w:val="center"/>
              <w:rPr>
                <w:color w:val="000000"/>
                <w:sz w:val="20"/>
                <w:szCs w:val="20"/>
              </w:rPr>
            </w:pPr>
            <w:r w:rsidRPr="00E929F2">
              <w:rPr>
                <w:color w:val="000000"/>
                <w:sz w:val="20"/>
                <w:szCs w:val="20"/>
              </w:rPr>
              <w:t>Denumire</w:t>
            </w:r>
          </w:p>
        </w:tc>
        <w:tc>
          <w:tcPr>
            <w:tcW w:w="1170" w:type="dxa"/>
            <w:vMerge w:val="restart"/>
            <w:tcBorders>
              <w:top w:val="nil"/>
              <w:left w:val="single" w:sz="8" w:space="0" w:color="000000"/>
              <w:bottom w:val="single" w:sz="8" w:space="0" w:color="000000"/>
              <w:right w:val="single" w:sz="8" w:space="0" w:color="000000"/>
            </w:tcBorders>
            <w:shd w:val="clear" w:color="000000" w:fill="C5DFB1"/>
            <w:vAlign w:val="center"/>
            <w:hideMark/>
          </w:tcPr>
          <w:p w14:paraId="0A4AE55D" w14:textId="77777777" w:rsidR="00BB3756" w:rsidRPr="00E929F2" w:rsidRDefault="00BB3756" w:rsidP="00DE490A">
            <w:pPr>
              <w:jc w:val="center"/>
              <w:rPr>
                <w:color w:val="000000"/>
                <w:sz w:val="20"/>
                <w:szCs w:val="20"/>
              </w:rPr>
            </w:pPr>
            <w:r w:rsidRPr="00E929F2">
              <w:rPr>
                <w:color w:val="000000"/>
                <w:sz w:val="20"/>
              </w:rPr>
              <w:t>Descriere măsură</w:t>
            </w:r>
          </w:p>
        </w:tc>
        <w:tc>
          <w:tcPr>
            <w:tcW w:w="994" w:type="dxa"/>
            <w:tcBorders>
              <w:top w:val="nil"/>
              <w:left w:val="nil"/>
              <w:bottom w:val="nil"/>
              <w:right w:val="single" w:sz="8" w:space="0" w:color="000000"/>
            </w:tcBorders>
            <w:shd w:val="clear" w:color="000000" w:fill="C5DFB1"/>
            <w:vAlign w:val="center"/>
            <w:hideMark/>
          </w:tcPr>
          <w:p w14:paraId="764DDFF2" w14:textId="77777777" w:rsidR="00BB3756" w:rsidRPr="00E929F2" w:rsidRDefault="00BB3756" w:rsidP="00DE490A">
            <w:pPr>
              <w:jc w:val="center"/>
              <w:rPr>
                <w:color w:val="000000"/>
                <w:sz w:val="20"/>
                <w:szCs w:val="20"/>
              </w:rPr>
            </w:pPr>
            <w:r w:rsidRPr="00E929F2">
              <w:rPr>
                <w:color w:val="000000"/>
                <w:sz w:val="20"/>
              </w:rPr>
              <w:t>Presiunea adresată de</w:t>
            </w:r>
          </w:p>
        </w:tc>
      </w:tr>
      <w:tr w:rsidR="00BB3756" w:rsidRPr="00E929F2" w14:paraId="3DAD29CB" w14:textId="77777777" w:rsidTr="00DE490A">
        <w:trPr>
          <w:trHeight w:val="315"/>
          <w:jc w:val="center"/>
        </w:trPr>
        <w:tc>
          <w:tcPr>
            <w:tcW w:w="2520" w:type="dxa"/>
            <w:vMerge/>
            <w:tcBorders>
              <w:top w:val="nil"/>
              <w:left w:val="single" w:sz="8" w:space="0" w:color="000000"/>
              <w:bottom w:val="nil"/>
              <w:right w:val="single" w:sz="8" w:space="0" w:color="000000"/>
            </w:tcBorders>
            <w:vAlign w:val="center"/>
            <w:hideMark/>
          </w:tcPr>
          <w:p w14:paraId="0E8B3393" w14:textId="77777777" w:rsidR="00BB3756" w:rsidRPr="00E929F2" w:rsidRDefault="00BB3756" w:rsidP="00DE490A">
            <w:pPr>
              <w:rPr>
                <w:color w:val="000000"/>
                <w:sz w:val="20"/>
                <w:szCs w:val="20"/>
              </w:rPr>
            </w:pPr>
          </w:p>
        </w:tc>
        <w:tc>
          <w:tcPr>
            <w:tcW w:w="1620" w:type="dxa"/>
            <w:vMerge/>
            <w:tcBorders>
              <w:top w:val="nil"/>
              <w:left w:val="single" w:sz="8" w:space="0" w:color="000000"/>
              <w:bottom w:val="single" w:sz="8" w:space="0" w:color="000000"/>
              <w:right w:val="single" w:sz="8" w:space="0" w:color="000000"/>
            </w:tcBorders>
            <w:vAlign w:val="center"/>
            <w:hideMark/>
          </w:tcPr>
          <w:p w14:paraId="0D465849" w14:textId="77777777" w:rsidR="00BB3756" w:rsidRPr="00E929F2" w:rsidRDefault="00BB3756" w:rsidP="00DE490A">
            <w:pPr>
              <w:rPr>
                <w:color w:val="000000"/>
                <w:sz w:val="20"/>
                <w:szCs w:val="20"/>
              </w:rPr>
            </w:pPr>
          </w:p>
        </w:tc>
        <w:tc>
          <w:tcPr>
            <w:tcW w:w="2700" w:type="dxa"/>
            <w:vMerge/>
            <w:tcBorders>
              <w:top w:val="nil"/>
              <w:left w:val="single" w:sz="8" w:space="0" w:color="000000"/>
              <w:bottom w:val="single" w:sz="8" w:space="0" w:color="000000"/>
              <w:right w:val="single" w:sz="8" w:space="0" w:color="000000"/>
            </w:tcBorders>
            <w:vAlign w:val="center"/>
            <w:hideMark/>
          </w:tcPr>
          <w:p w14:paraId="5EB59FBD" w14:textId="77777777" w:rsidR="00BB3756" w:rsidRPr="00E929F2" w:rsidRDefault="00BB3756" w:rsidP="00DE490A">
            <w:pPr>
              <w:rPr>
                <w:color w:val="000000"/>
                <w:sz w:val="20"/>
                <w:szCs w:val="20"/>
              </w:rPr>
            </w:pPr>
          </w:p>
        </w:tc>
        <w:tc>
          <w:tcPr>
            <w:tcW w:w="1170" w:type="dxa"/>
            <w:vMerge/>
            <w:tcBorders>
              <w:top w:val="nil"/>
              <w:left w:val="single" w:sz="8" w:space="0" w:color="000000"/>
              <w:bottom w:val="single" w:sz="8" w:space="0" w:color="000000"/>
              <w:right w:val="single" w:sz="8" w:space="0" w:color="000000"/>
            </w:tcBorders>
            <w:vAlign w:val="center"/>
            <w:hideMark/>
          </w:tcPr>
          <w:p w14:paraId="78BE10D7" w14:textId="77777777" w:rsidR="00BB3756" w:rsidRPr="00E929F2" w:rsidRDefault="00BB3756" w:rsidP="00DE490A">
            <w:pPr>
              <w:rPr>
                <w:color w:val="000000"/>
                <w:sz w:val="20"/>
                <w:szCs w:val="20"/>
              </w:rPr>
            </w:pPr>
          </w:p>
        </w:tc>
        <w:tc>
          <w:tcPr>
            <w:tcW w:w="994" w:type="dxa"/>
            <w:tcBorders>
              <w:top w:val="nil"/>
              <w:left w:val="nil"/>
              <w:bottom w:val="single" w:sz="8" w:space="0" w:color="000000"/>
              <w:right w:val="single" w:sz="8" w:space="0" w:color="000000"/>
            </w:tcBorders>
            <w:shd w:val="clear" w:color="000000" w:fill="C5DFB1"/>
            <w:vAlign w:val="center"/>
            <w:hideMark/>
          </w:tcPr>
          <w:p w14:paraId="2E98F9A0" w14:textId="77777777" w:rsidR="00BB3756" w:rsidRPr="00E929F2" w:rsidRDefault="00BB3756" w:rsidP="00DE490A">
            <w:pPr>
              <w:jc w:val="center"/>
              <w:rPr>
                <w:color w:val="000000"/>
                <w:sz w:val="20"/>
                <w:szCs w:val="20"/>
              </w:rPr>
            </w:pPr>
            <w:r w:rsidRPr="00E929F2">
              <w:rPr>
                <w:color w:val="000000"/>
                <w:sz w:val="20"/>
              </w:rPr>
              <w:t>măsură</w:t>
            </w:r>
          </w:p>
        </w:tc>
      </w:tr>
      <w:tr w:rsidR="00BB3756" w:rsidRPr="00E929F2" w14:paraId="37A2981D" w14:textId="77777777" w:rsidTr="00DE490A">
        <w:trPr>
          <w:trHeight w:val="585"/>
          <w:jc w:val="center"/>
        </w:trPr>
        <w:tc>
          <w:tcPr>
            <w:tcW w:w="2520" w:type="dxa"/>
            <w:vMerge w:val="restart"/>
            <w:tcBorders>
              <w:top w:val="nil"/>
              <w:left w:val="single" w:sz="8" w:space="0" w:color="000000"/>
              <w:bottom w:val="single" w:sz="12" w:space="0" w:color="000000"/>
              <w:right w:val="single" w:sz="8" w:space="0" w:color="000000"/>
            </w:tcBorders>
            <w:shd w:val="clear" w:color="000000" w:fill="C5DFB1"/>
            <w:vAlign w:val="center"/>
            <w:hideMark/>
          </w:tcPr>
          <w:p w14:paraId="37293334" w14:textId="77777777" w:rsidR="00BB3756" w:rsidRPr="00E929F2" w:rsidRDefault="00BB3756" w:rsidP="00DE490A">
            <w:pPr>
              <w:rPr>
                <w:b/>
                <w:bCs/>
                <w:color w:val="000000"/>
                <w:sz w:val="20"/>
                <w:szCs w:val="20"/>
              </w:rPr>
            </w:pPr>
            <w:r w:rsidRPr="00E929F2">
              <w:rPr>
                <w:b/>
                <w:bCs/>
                <w:color w:val="000000"/>
                <w:sz w:val="20"/>
              </w:rPr>
              <w:lastRenderedPageBreak/>
              <w:t>2. Dacă Da, cod și denumire conf. listă CE</w:t>
            </w:r>
          </w:p>
        </w:tc>
        <w:tc>
          <w:tcPr>
            <w:tcW w:w="1620" w:type="dxa"/>
            <w:tcBorders>
              <w:top w:val="nil"/>
              <w:left w:val="nil"/>
              <w:bottom w:val="single" w:sz="8" w:space="0" w:color="000000"/>
              <w:right w:val="single" w:sz="8" w:space="0" w:color="000000"/>
            </w:tcBorders>
            <w:shd w:val="clear" w:color="auto" w:fill="auto"/>
            <w:vAlign w:val="center"/>
            <w:hideMark/>
          </w:tcPr>
          <w:p w14:paraId="429E1F4B" w14:textId="77777777" w:rsidR="00BB3756" w:rsidRPr="00E929F2" w:rsidRDefault="00BB3756" w:rsidP="00DE490A">
            <w:pPr>
              <w:rPr>
                <w:color w:val="000000"/>
                <w:sz w:val="20"/>
                <w:szCs w:val="20"/>
              </w:rPr>
            </w:pPr>
            <w:r w:rsidRPr="00E929F2">
              <w:rPr>
                <w:color w:val="000000"/>
                <w:sz w:val="20"/>
              </w:rPr>
              <w:t> </w:t>
            </w:r>
          </w:p>
        </w:tc>
        <w:tc>
          <w:tcPr>
            <w:tcW w:w="2700" w:type="dxa"/>
            <w:tcBorders>
              <w:top w:val="nil"/>
              <w:left w:val="nil"/>
              <w:bottom w:val="single" w:sz="8" w:space="0" w:color="000000"/>
              <w:right w:val="single" w:sz="8" w:space="0" w:color="000000"/>
            </w:tcBorders>
            <w:shd w:val="clear" w:color="auto" w:fill="auto"/>
            <w:vAlign w:val="center"/>
            <w:hideMark/>
          </w:tcPr>
          <w:p w14:paraId="47234C13" w14:textId="77777777" w:rsidR="00BB3756" w:rsidRPr="00E929F2" w:rsidRDefault="00BB3756" w:rsidP="00DE490A">
            <w:pPr>
              <w:rPr>
                <w:color w:val="000000"/>
                <w:sz w:val="20"/>
                <w:szCs w:val="20"/>
              </w:rPr>
            </w:pPr>
            <w:r w:rsidRPr="00E929F2">
              <w:rPr>
                <w:color w:val="000000"/>
                <w:sz w:val="20"/>
              </w:rPr>
              <w:t> </w:t>
            </w:r>
          </w:p>
        </w:tc>
        <w:tc>
          <w:tcPr>
            <w:tcW w:w="1170" w:type="dxa"/>
            <w:tcBorders>
              <w:top w:val="nil"/>
              <w:left w:val="nil"/>
              <w:bottom w:val="single" w:sz="8" w:space="0" w:color="000000"/>
              <w:right w:val="single" w:sz="8" w:space="0" w:color="000000"/>
            </w:tcBorders>
            <w:shd w:val="clear" w:color="auto" w:fill="auto"/>
            <w:vAlign w:val="center"/>
            <w:hideMark/>
          </w:tcPr>
          <w:p w14:paraId="302A47D9" w14:textId="77777777" w:rsidR="00BB3756" w:rsidRPr="00E929F2" w:rsidRDefault="00BB3756" w:rsidP="00DE490A">
            <w:pPr>
              <w:rPr>
                <w:color w:val="000000"/>
                <w:sz w:val="20"/>
                <w:szCs w:val="20"/>
              </w:rPr>
            </w:pPr>
            <w:r w:rsidRPr="00E929F2">
              <w:rPr>
                <w:color w:val="000000"/>
                <w:sz w:val="20"/>
              </w:rPr>
              <w:t> </w:t>
            </w:r>
          </w:p>
        </w:tc>
        <w:tc>
          <w:tcPr>
            <w:tcW w:w="994" w:type="dxa"/>
            <w:tcBorders>
              <w:top w:val="nil"/>
              <w:left w:val="nil"/>
              <w:bottom w:val="single" w:sz="8" w:space="0" w:color="000000"/>
              <w:right w:val="single" w:sz="8" w:space="0" w:color="000000"/>
            </w:tcBorders>
            <w:shd w:val="clear" w:color="auto" w:fill="auto"/>
            <w:vAlign w:val="center"/>
            <w:hideMark/>
          </w:tcPr>
          <w:p w14:paraId="61132C97" w14:textId="77777777" w:rsidR="00BB3756" w:rsidRPr="00E929F2" w:rsidRDefault="00BB3756" w:rsidP="00DE490A">
            <w:pPr>
              <w:rPr>
                <w:color w:val="000000"/>
                <w:sz w:val="20"/>
                <w:szCs w:val="20"/>
              </w:rPr>
            </w:pPr>
            <w:r w:rsidRPr="00E929F2">
              <w:rPr>
                <w:color w:val="000000"/>
                <w:sz w:val="20"/>
              </w:rPr>
              <w:t> </w:t>
            </w:r>
          </w:p>
        </w:tc>
      </w:tr>
      <w:tr w:rsidR="00BB3756" w:rsidRPr="00E929F2" w14:paraId="0F0E54B9" w14:textId="77777777" w:rsidTr="00DE490A">
        <w:trPr>
          <w:trHeight w:val="315"/>
          <w:jc w:val="center"/>
        </w:trPr>
        <w:tc>
          <w:tcPr>
            <w:tcW w:w="2520" w:type="dxa"/>
            <w:vMerge/>
            <w:tcBorders>
              <w:top w:val="nil"/>
              <w:left w:val="single" w:sz="8" w:space="0" w:color="000000"/>
              <w:bottom w:val="single" w:sz="12" w:space="0" w:color="000000"/>
              <w:right w:val="single" w:sz="8" w:space="0" w:color="000000"/>
            </w:tcBorders>
            <w:vAlign w:val="center"/>
            <w:hideMark/>
          </w:tcPr>
          <w:p w14:paraId="73B262A7" w14:textId="77777777" w:rsidR="00BB3756" w:rsidRPr="00E929F2" w:rsidRDefault="00BB3756" w:rsidP="00DE490A">
            <w:pPr>
              <w:rPr>
                <w:b/>
                <w:bCs/>
                <w:color w:val="000000"/>
                <w:sz w:val="20"/>
                <w:szCs w:val="20"/>
              </w:rPr>
            </w:pPr>
          </w:p>
        </w:tc>
        <w:tc>
          <w:tcPr>
            <w:tcW w:w="1620" w:type="dxa"/>
            <w:tcBorders>
              <w:top w:val="nil"/>
              <w:left w:val="nil"/>
              <w:bottom w:val="single" w:sz="12" w:space="0" w:color="000000"/>
              <w:right w:val="single" w:sz="8" w:space="0" w:color="000000"/>
            </w:tcBorders>
            <w:shd w:val="clear" w:color="auto" w:fill="auto"/>
            <w:vAlign w:val="center"/>
            <w:hideMark/>
          </w:tcPr>
          <w:p w14:paraId="1D7FA3DF" w14:textId="77777777" w:rsidR="00BB3756" w:rsidRPr="00E929F2" w:rsidRDefault="00BB3756" w:rsidP="00DE490A">
            <w:pPr>
              <w:rPr>
                <w:color w:val="000000"/>
                <w:sz w:val="20"/>
                <w:szCs w:val="20"/>
              </w:rPr>
            </w:pPr>
            <w:r w:rsidRPr="00E929F2">
              <w:rPr>
                <w:color w:val="000000"/>
                <w:sz w:val="20"/>
              </w:rPr>
              <w:t> </w:t>
            </w:r>
          </w:p>
        </w:tc>
        <w:tc>
          <w:tcPr>
            <w:tcW w:w="2700" w:type="dxa"/>
            <w:tcBorders>
              <w:top w:val="nil"/>
              <w:left w:val="nil"/>
              <w:bottom w:val="single" w:sz="12" w:space="0" w:color="000000"/>
              <w:right w:val="single" w:sz="8" w:space="0" w:color="000000"/>
            </w:tcBorders>
            <w:shd w:val="clear" w:color="auto" w:fill="auto"/>
            <w:vAlign w:val="center"/>
            <w:hideMark/>
          </w:tcPr>
          <w:p w14:paraId="44BE5796" w14:textId="77777777" w:rsidR="00BB3756" w:rsidRPr="00E929F2" w:rsidRDefault="00BB3756" w:rsidP="00DE490A">
            <w:pPr>
              <w:rPr>
                <w:color w:val="000000"/>
                <w:sz w:val="20"/>
                <w:szCs w:val="20"/>
              </w:rPr>
            </w:pPr>
            <w:r w:rsidRPr="00E929F2">
              <w:rPr>
                <w:color w:val="000000"/>
                <w:sz w:val="20"/>
              </w:rPr>
              <w:t> </w:t>
            </w:r>
          </w:p>
        </w:tc>
        <w:tc>
          <w:tcPr>
            <w:tcW w:w="1170" w:type="dxa"/>
            <w:tcBorders>
              <w:top w:val="nil"/>
              <w:left w:val="nil"/>
              <w:bottom w:val="single" w:sz="12" w:space="0" w:color="000000"/>
              <w:right w:val="single" w:sz="8" w:space="0" w:color="000000"/>
            </w:tcBorders>
            <w:shd w:val="clear" w:color="auto" w:fill="auto"/>
            <w:vAlign w:val="center"/>
            <w:hideMark/>
          </w:tcPr>
          <w:p w14:paraId="5532EA76" w14:textId="77777777" w:rsidR="00BB3756" w:rsidRPr="00E929F2" w:rsidRDefault="00BB3756" w:rsidP="00DE490A">
            <w:pPr>
              <w:rPr>
                <w:color w:val="000000"/>
                <w:sz w:val="20"/>
                <w:szCs w:val="20"/>
              </w:rPr>
            </w:pPr>
            <w:r w:rsidRPr="00E929F2">
              <w:rPr>
                <w:color w:val="000000"/>
                <w:sz w:val="20"/>
              </w:rPr>
              <w:t> </w:t>
            </w:r>
          </w:p>
        </w:tc>
        <w:tc>
          <w:tcPr>
            <w:tcW w:w="994" w:type="dxa"/>
            <w:tcBorders>
              <w:top w:val="nil"/>
              <w:left w:val="nil"/>
              <w:bottom w:val="single" w:sz="12" w:space="0" w:color="000000"/>
              <w:right w:val="single" w:sz="8" w:space="0" w:color="000000"/>
            </w:tcBorders>
            <w:shd w:val="clear" w:color="auto" w:fill="auto"/>
            <w:vAlign w:val="center"/>
            <w:hideMark/>
          </w:tcPr>
          <w:p w14:paraId="1D5989F6" w14:textId="77777777" w:rsidR="00BB3756" w:rsidRPr="00E929F2" w:rsidRDefault="00BB3756" w:rsidP="00DE490A">
            <w:pPr>
              <w:rPr>
                <w:color w:val="000000"/>
                <w:sz w:val="20"/>
                <w:szCs w:val="20"/>
              </w:rPr>
            </w:pPr>
            <w:r w:rsidRPr="00E929F2">
              <w:rPr>
                <w:color w:val="000000"/>
                <w:sz w:val="20"/>
              </w:rPr>
              <w:t> </w:t>
            </w:r>
          </w:p>
        </w:tc>
      </w:tr>
      <w:tr w:rsidR="00BB3756" w:rsidRPr="00E929F2" w14:paraId="4CF9A806" w14:textId="77777777" w:rsidTr="00DE490A">
        <w:trPr>
          <w:trHeight w:val="795"/>
          <w:jc w:val="center"/>
        </w:trPr>
        <w:tc>
          <w:tcPr>
            <w:tcW w:w="2520" w:type="dxa"/>
            <w:tcBorders>
              <w:top w:val="nil"/>
              <w:left w:val="single" w:sz="8" w:space="0" w:color="000000"/>
              <w:bottom w:val="single" w:sz="8" w:space="0" w:color="000000"/>
              <w:right w:val="single" w:sz="8" w:space="0" w:color="000000"/>
            </w:tcBorders>
            <w:shd w:val="clear" w:color="000000" w:fill="C5DFB1"/>
            <w:vAlign w:val="center"/>
            <w:hideMark/>
          </w:tcPr>
          <w:p w14:paraId="33D4F315" w14:textId="77777777" w:rsidR="00BB3756" w:rsidRPr="00E929F2" w:rsidRDefault="00BB3756" w:rsidP="00DE490A">
            <w:pPr>
              <w:rPr>
                <w:b/>
                <w:bCs/>
                <w:color w:val="000000"/>
                <w:sz w:val="20"/>
                <w:szCs w:val="20"/>
              </w:rPr>
            </w:pPr>
            <w:r w:rsidRPr="00E929F2">
              <w:rPr>
                <w:b/>
                <w:bCs/>
                <w:color w:val="000000"/>
                <w:sz w:val="20"/>
                <w:szCs w:val="20"/>
              </w:rPr>
              <w:t>2. Măsuri de conservare implementate</w:t>
            </w:r>
          </w:p>
        </w:tc>
        <w:tc>
          <w:tcPr>
            <w:tcW w:w="1620" w:type="dxa"/>
            <w:tcBorders>
              <w:top w:val="nil"/>
              <w:left w:val="nil"/>
              <w:bottom w:val="single" w:sz="8" w:space="0" w:color="000000"/>
              <w:right w:val="single" w:sz="8" w:space="0" w:color="000000"/>
            </w:tcBorders>
            <w:shd w:val="clear" w:color="auto" w:fill="auto"/>
            <w:vAlign w:val="center"/>
            <w:hideMark/>
          </w:tcPr>
          <w:p w14:paraId="0B7E371C" w14:textId="77777777" w:rsidR="00BB3756" w:rsidRPr="00E929F2" w:rsidRDefault="00BB3756" w:rsidP="00DE490A">
            <w:pPr>
              <w:jc w:val="center"/>
              <w:rPr>
                <w:b/>
                <w:bCs/>
                <w:color w:val="000000"/>
                <w:sz w:val="20"/>
                <w:szCs w:val="20"/>
              </w:rPr>
            </w:pPr>
            <w:r w:rsidRPr="00E929F2">
              <w:rPr>
                <w:b/>
                <w:bCs/>
                <w:color w:val="000000"/>
                <w:sz w:val="20"/>
                <w:szCs w:val="20"/>
              </w:rPr>
              <w:t>Da</w:t>
            </w:r>
          </w:p>
        </w:tc>
        <w:tc>
          <w:tcPr>
            <w:tcW w:w="2700" w:type="dxa"/>
            <w:tcBorders>
              <w:top w:val="nil"/>
              <w:left w:val="nil"/>
              <w:bottom w:val="single" w:sz="8" w:space="0" w:color="000000"/>
              <w:right w:val="single" w:sz="8" w:space="0" w:color="000000"/>
            </w:tcBorders>
            <w:shd w:val="clear" w:color="auto" w:fill="auto"/>
            <w:vAlign w:val="center"/>
            <w:hideMark/>
          </w:tcPr>
          <w:p w14:paraId="0414F5C8" w14:textId="77777777" w:rsidR="00BB3756" w:rsidRPr="00E929F2" w:rsidRDefault="00BB3756" w:rsidP="00DE490A">
            <w:pPr>
              <w:rPr>
                <w:color w:val="000000"/>
                <w:sz w:val="20"/>
                <w:szCs w:val="20"/>
              </w:rPr>
            </w:pPr>
            <w:r w:rsidRPr="00E929F2">
              <w:rPr>
                <w:color w:val="000000"/>
                <w:sz w:val="20"/>
              </w:rPr>
              <w:t> </w:t>
            </w:r>
          </w:p>
        </w:tc>
        <w:tc>
          <w:tcPr>
            <w:tcW w:w="1170" w:type="dxa"/>
            <w:tcBorders>
              <w:top w:val="nil"/>
              <w:left w:val="nil"/>
              <w:bottom w:val="single" w:sz="8" w:space="0" w:color="000000"/>
              <w:right w:val="single" w:sz="8" w:space="0" w:color="000000"/>
            </w:tcBorders>
            <w:shd w:val="clear" w:color="auto" w:fill="auto"/>
            <w:vAlign w:val="center"/>
            <w:hideMark/>
          </w:tcPr>
          <w:p w14:paraId="3325AD82" w14:textId="77777777" w:rsidR="00BB3756" w:rsidRPr="00E929F2" w:rsidRDefault="00BB3756" w:rsidP="00DE490A">
            <w:pPr>
              <w:jc w:val="center"/>
              <w:rPr>
                <w:b/>
                <w:bCs/>
                <w:color w:val="000000"/>
                <w:sz w:val="20"/>
                <w:szCs w:val="20"/>
              </w:rPr>
            </w:pPr>
            <w:r w:rsidRPr="00E929F2">
              <w:rPr>
                <w:b/>
                <w:bCs/>
                <w:color w:val="000000"/>
                <w:sz w:val="20"/>
                <w:szCs w:val="20"/>
              </w:rPr>
              <w:t>Nu</w:t>
            </w:r>
          </w:p>
        </w:tc>
        <w:tc>
          <w:tcPr>
            <w:tcW w:w="994" w:type="dxa"/>
            <w:tcBorders>
              <w:top w:val="nil"/>
              <w:left w:val="nil"/>
              <w:bottom w:val="single" w:sz="8" w:space="0" w:color="000000"/>
              <w:right w:val="single" w:sz="8" w:space="0" w:color="000000"/>
            </w:tcBorders>
            <w:shd w:val="clear" w:color="auto" w:fill="auto"/>
            <w:vAlign w:val="center"/>
            <w:hideMark/>
          </w:tcPr>
          <w:p w14:paraId="477E2260" w14:textId="77777777" w:rsidR="00BB3756" w:rsidRPr="00E929F2" w:rsidRDefault="00BB3756" w:rsidP="00DE490A">
            <w:pPr>
              <w:rPr>
                <w:color w:val="000000"/>
                <w:sz w:val="20"/>
                <w:szCs w:val="20"/>
              </w:rPr>
            </w:pPr>
            <w:r w:rsidRPr="00E929F2">
              <w:rPr>
                <w:color w:val="000000"/>
                <w:sz w:val="20"/>
              </w:rPr>
              <w:t> </w:t>
            </w:r>
          </w:p>
        </w:tc>
      </w:tr>
      <w:tr w:rsidR="00BB3756" w:rsidRPr="00E929F2" w14:paraId="2B73D3CC" w14:textId="77777777" w:rsidTr="00DE490A">
        <w:trPr>
          <w:trHeight w:val="765"/>
          <w:jc w:val="center"/>
        </w:trPr>
        <w:tc>
          <w:tcPr>
            <w:tcW w:w="2520" w:type="dxa"/>
            <w:vMerge w:val="restart"/>
            <w:tcBorders>
              <w:top w:val="nil"/>
              <w:left w:val="single" w:sz="8" w:space="0" w:color="000000"/>
              <w:bottom w:val="nil"/>
              <w:right w:val="single" w:sz="8" w:space="0" w:color="000000"/>
            </w:tcBorders>
            <w:shd w:val="clear" w:color="000000" w:fill="C5DFB1"/>
            <w:vAlign w:val="center"/>
            <w:hideMark/>
          </w:tcPr>
          <w:p w14:paraId="20AFBE48" w14:textId="77777777" w:rsidR="00BB3756" w:rsidRPr="00E929F2" w:rsidRDefault="00BB3756" w:rsidP="00DE490A">
            <w:pPr>
              <w:rPr>
                <w:color w:val="000000"/>
                <w:sz w:val="20"/>
                <w:szCs w:val="20"/>
              </w:rPr>
            </w:pPr>
            <w:r w:rsidRPr="00E929F2">
              <w:rPr>
                <w:color w:val="000000"/>
                <w:sz w:val="20"/>
                <w:szCs w:val="20"/>
              </w:rPr>
              <w:t> </w:t>
            </w:r>
          </w:p>
        </w:tc>
        <w:tc>
          <w:tcPr>
            <w:tcW w:w="1620" w:type="dxa"/>
            <w:vMerge w:val="restart"/>
            <w:tcBorders>
              <w:top w:val="nil"/>
              <w:left w:val="single" w:sz="8" w:space="0" w:color="000000"/>
              <w:bottom w:val="single" w:sz="8" w:space="0" w:color="000000"/>
              <w:right w:val="single" w:sz="8" w:space="0" w:color="000000"/>
            </w:tcBorders>
            <w:shd w:val="clear" w:color="000000" w:fill="C5DFB1"/>
            <w:vAlign w:val="center"/>
            <w:hideMark/>
          </w:tcPr>
          <w:p w14:paraId="11238A4E" w14:textId="77777777" w:rsidR="00BB3756" w:rsidRPr="00E929F2" w:rsidRDefault="00BB3756" w:rsidP="00DE490A">
            <w:pPr>
              <w:jc w:val="center"/>
              <w:rPr>
                <w:color w:val="000000"/>
                <w:sz w:val="20"/>
                <w:szCs w:val="20"/>
              </w:rPr>
            </w:pPr>
            <w:r w:rsidRPr="00E929F2">
              <w:rPr>
                <w:color w:val="000000"/>
                <w:sz w:val="20"/>
                <w:szCs w:val="20"/>
              </w:rPr>
              <w:t>Cod</w:t>
            </w:r>
          </w:p>
        </w:tc>
        <w:tc>
          <w:tcPr>
            <w:tcW w:w="2700" w:type="dxa"/>
            <w:vMerge w:val="restart"/>
            <w:tcBorders>
              <w:top w:val="nil"/>
              <w:left w:val="single" w:sz="8" w:space="0" w:color="000000"/>
              <w:bottom w:val="single" w:sz="8" w:space="0" w:color="000000"/>
              <w:right w:val="single" w:sz="8" w:space="0" w:color="000000"/>
            </w:tcBorders>
            <w:shd w:val="clear" w:color="000000" w:fill="C5DFB1"/>
            <w:vAlign w:val="center"/>
            <w:hideMark/>
          </w:tcPr>
          <w:p w14:paraId="1B7D8404" w14:textId="77777777" w:rsidR="00BB3756" w:rsidRPr="00E929F2" w:rsidRDefault="00BB3756" w:rsidP="00DE490A">
            <w:pPr>
              <w:jc w:val="center"/>
              <w:rPr>
                <w:color w:val="000000"/>
                <w:sz w:val="20"/>
                <w:szCs w:val="20"/>
              </w:rPr>
            </w:pPr>
            <w:r w:rsidRPr="00E929F2">
              <w:rPr>
                <w:color w:val="000000"/>
                <w:sz w:val="20"/>
                <w:szCs w:val="20"/>
              </w:rPr>
              <w:t>Denumire</w:t>
            </w:r>
          </w:p>
        </w:tc>
        <w:tc>
          <w:tcPr>
            <w:tcW w:w="1170" w:type="dxa"/>
            <w:vMerge w:val="restart"/>
            <w:tcBorders>
              <w:top w:val="nil"/>
              <w:left w:val="single" w:sz="8" w:space="0" w:color="000000"/>
              <w:bottom w:val="single" w:sz="8" w:space="0" w:color="000000"/>
              <w:right w:val="single" w:sz="8" w:space="0" w:color="000000"/>
            </w:tcBorders>
            <w:shd w:val="clear" w:color="000000" w:fill="C5DFB1"/>
            <w:vAlign w:val="center"/>
            <w:hideMark/>
          </w:tcPr>
          <w:p w14:paraId="393E5157" w14:textId="77777777" w:rsidR="00BB3756" w:rsidRPr="00E929F2" w:rsidRDefault="00BB3756" w:rsidP="00DE490A">
            <w:pPr>
              <w:jc w:val="center"/>
              <w:rPr>
                <w:color w:val="000000"/>
                <w:sz w:val="20"/>
                <w:szCs w:val="20"/>
              </w:rPr>
            </w:pPr>
            <w:r w:rsidRPr="00E929F2">
              <w:rPr>
                <w:color w:val="000000"/>
                <w:sz w:val="20"/>
              </w:rPr>
              <w:t>Descriere măsură</w:t>
            </w:r>
          </w:p>
        </w:tc>
        <w:tc>
          <w:tcPr>
            <w:tcW w:w="994" w:type="dxa"/>
            <w:tcBorders>
              <w:top w:val="nil"/>
              <w:left w:val="nil"/>
              <w:bottom w:val="nil"/>
              <w:right w:val="single" w:sz="8" w:space="0" w:color="000000"/>
            </w:tcBorders>
            <w:shd w:val="clear" w:color="000000" w:fill="C5DFB1"/>
            <w:vAlign w:val="center"/>
            <w:hideMark/>
          </w:tcPr>
          <w:p w14:paraId="26C33FD0" w14:textId="77777777" w:rsidR="00BB3756" w:rsidRPr="00E929F2" w:rsidRDefault="00BB3756" w:rsidP="00DE490A">
            <w:pPr>
              <w:jc w:val="center"/>
              <w:rPr>
                <w:color w:val="000000"/>
                <w:sz w:val="20"/>
                <w:szCs w:val="20"/>
              </w:rPr>
            </w:pPr>
            <w:r w:rsidRPr="00E929F2">
              <w:rPr>
                <w:color w:val="000000"/>
                <w:sz w:val="20"/>
              </w:rPr>
              <w:t>Presiunea adresată de</w:t>
            </w:r>
          </w:p>
        </w:tc>
      </w:tr>
      <w:tr w:rsidR="00BB3756" w:rsidRPr="00E929F2" w14:paraId="1F7769B9" w14:textId="77777777" w:rsidTr="00DE490A">
        <w:trPr>
          <w:trHeight w:val="315"/>
          <w:jc w:val="center"/>
        </w:trPr>
        <w:tc>
          <w:tcPr>
            <w:tcW w:w="2520" w:type="dxa"/>
            <w:vMerge/>
            <w:tcBorders>
              <w:top w:val="nil"/>
              <w:left w:val="single" w:sz="8" w:space="0" w:color="000000"/>
              <w:bottom w:val="nil"/>
              <w:right w:val="single" w:sz="8" w:space="0" w:color="000000"/>
            </w:tcBorders>
            <w:vAlign w:val="center"/>
            <w:hideMark/>
          </w:tcPr>
          <w:p w14:paraId="15910CA8" w14:textId="77777777" w:rsidR="00BB3756" w:rsidRPr="00E929F2" w:rsidRDefault="00BB3756" w:rsidP="00DE490A">
            <w:pPr>
              <w:rPr>
                <w:color w:val="000000"/>
                <w:sz w:val="20"/>
                <w:szCs w:val="20"/>
              </w:rPr>
            </w:pPr>
          </w:p>
        </w:tc>
        <w:tc>
          <w:tcPr>
            <w:tcW w:w="1620" w:type="dxa"/>
            <w:vMerge/>
            <w:tcBorders>
              <w:top w:val="nil"/>
              <w:left w:val="single" w:sz="8" w:space="0" w:color="000000"/>
              <w:bottom w:val="single" w:sz="8" w:space="0" w:color="000000"/>
              <w:right w:val="single" w:sz="8" w:space="0" w:color="000000"/>
            </w:tcBorders>
            <w:vAlign w:val="center"/>
            <w:hideMark/>
          </w:tcPr>
          <w:p w14:paraId="789F50CF" w14:textId="77777777" w:rsidR="00BB3756" w:rsidRPr="00E929F2" w:rsidRDefault="00BB3756" w:rsidP="00DE490A">
            <w:pPr>
              <w:rPr>
                <w:color w:val="000000"/>
                <w:sz w:val="20"/>
                <w:szCs w:val="20"/>
              </w:rPr>
            </w:pPr>
          </w:p>
        </w:tc>
        <w:tc>
          <w:tcPr>
            <w:tcW w:w="2700" w:type="dxa"/>
            <w:vMerge/>
            <w:tcBorders>
              <w:top w:val="nil"/>
              <w:left w:val="single" w:sz="8" w:space="0" w:color="000000"/>
              <w:bottom w:val="single" w:sz="8" w:space="0" w:color="000000"/>
              <w:right w:val="single" w:sz="8" w:space="0" w:color="000000"/>
            </w:tcBorders>
            <w:vAlign w:val="center"/>
            <w:hideMark/>
          </w:tcPr>
          <w:p w14:paraId="12EC15DB" w14:textId="77777777" w:rsidR="00BB3756" w:rsidRPr="00E929F2" w:rsidRDefault="00BB3756" w:rsidP="00DE490A">
            <w:pPr>
              <w:rPr>
                <w:color w:val="000000"/>
                <w:sz w:val="20"/>
                <w:szCs w:val="20"/>
              </w:rPr>
            </w:pPr>
          </w:p>
        </w:tc>
        <w:tc>
          <w:tcPr>
            <w:tcW w:w="1170" w:type="dxa"/>
            <w:vMerge/>
            <w:tcBorders>
              <w:top w:val="nil"/>
              <w:left w:val="single" w:sz="8" w:space="0" w:color="000000"/>
              <w:bottom w:val="single" w:sz="8" w:space="0" w:color="000000"/>
              <w:right w:val="single" w:sz="8" w:space="0" w:color="000000"/>
            </w:tcBorders>
            <w:vAlign w:val="center"/>
            <w:hideMark/>
          </w:tcPr>
          <w:p w14:paraId="060F2165" w14:textId="77777777" w:rsidR="00BB3756" w:rsidRPr="00E929F2" w:rsidRDefault="00BB3756" w:rsidP="00DE490A">
            <w:pPr>
              <w:rPr>
                <w:color w:val="000000"/>
                <w:sz w:val="20"/>
                <w:szCs w:val="20"/>
              </w:rPr>
            </w:pPr>
          </w:p>
        </w:tc>
        <w:tc>
          <w:tcPr>
            <w:tcW w:w="994" w:type="dxa"/>
            <w:tcBorders>
              <w:top w:val="nil"/>
              <w:left w:val="nil"/>
              <w:bottom w:val="single" w:sz="8" w:space="0" w:color="000000"/>
              <w:right w:val="single" w:sz="8" w:space="0" w:color="000000"/>
            </w:tcBorders>
            <w:shd w:val="clear" w:color="000000" w:fill="C5DFB1"/>
            <w:vAlign w:val="center"/>
            <w:hideMark/>
          </w:tcPr>
          <w:p w14:paraId="0D80C0F7" w14:textId="77777777" w:rsidR="00BB3756" w:rsidRPr="00E929F2" w:rsidRDefault="00BB3756" w:rsidP="00DE490A">
            <w:pPr>
              <w:jc w:val="center"/>
              <w:rPr>
                <w:color w:val="000000"/>
                <w:sz w:val="20"/>
                <w:szCs w:val="20"/>
              </w:rPr>
            </w:pPr>
            <w:r w:rsidRPr="00E929F2">
              <w:rPr>
                <w:color w:val="000000"/>
                <w:sz w:val="20"/>
              </w:rPr>
              <w:t>măsură</w:t>
            </w:r>
          </w:p>
        </w:tc>
      </w:tr>
      <w:tr w:rsidR="00BB3756" w:rsidRPr="00E929F2" w14:paraId="6F4AA09E" w14:textId="77777777" w:rsidTr="00DE490A">
        <w:trPr>
          <w:trHeight w:val="585"/>
          <w:jc w:val="center"/>
        </w:trPr>
        <w:tc>
          <w:tcPr>
            <w:tcW w:w="2520" w:type="dxa"/>
            <w:vMerge w:val="restart"/>
            <w:tcBorders>
              <w:top w:val="nil"/>
              <w:left w:val="single" w:sz="8" w:space="0" w:color="000000"/>
              <w:bottom w:val="single" w:sz="12" w:space="0" w:color="000000"/>
              <w:right w:val="single" w:sz="8" w:space="0" w:color="000000"/>
            </w:tcBorders>
            <w:shd w:val="clear" w:color="000000" w:fill="C5DFB1"/>
            <w:vAlign w:val="center"/>
            <w:hideMark/>
          </w:tcPr>
          <w:p w14:paraId="431F9534" w14:textId="77777777" w:rsidR="00BB3756" w:rsidRPr="00E929F2" w:rsidRDefault="00BB3756" w:rsidP="00DE490A">
            <w:pPr>
              <w:rPr>
                <w:b/>
                <w:bCs/>
                <w:color w:val="000000"/>
                <w:sz w:val="20"/>
                <w:szCs w:val="20"/>
              </w:rPr>
            </w:pPr>
            <w:r w:rsidRPr="00E929F2">
              <w:rPr>
                <w:b/>
                <w:bCs/>
                <w:color w:val="000000"/>
                <w:sz w:val="20"/>
              </w:rPr>
              <w:t>2. Dacă Da, cod și denumire conf. listă CE</w:t>
            </w:r>
          </w:p>
        </w:tc>
        <w:tc>
          <w:tcPr>
            <w:tcW w:w="1620" w:type="dxa"/>
            <w:tcBorders>
              <w:top w:val="nil"/>
              <w:left w:val="nil"/>
              <w:bottom w:val="single" w:sz="8" w:space="0" w:color="000000"/>
              <w:right w:val="single" w:sz="8" w:space="0" w:color="000000"/>
            </w:tcBorders>
            <w:shd w:val="clear" w:color="auto" w:fill="auto"/>
            <w:vAlign w:val="center"/>
            <w:hideMark/>
          </w:tcPr>
          <w:p w14:paraId="2DABD22B" w14:textId="77777777" w:rsidR="00BB3756" w:rsidRPr="00E929F2" w:rsidRDefault="00BB3756" w:rsidP="00DE490A">
            <w:pPr>
              <w:rPr>
                <w:color w:val="000000"/>
                <w:sz w:val="20"/>
                <w:szCs w:val="20"/>
              </w:rPr>
            </w:pPr>
            <w:r w:rsidRPr="00E929F2">
              <w:rPr>
                <w:color w:val="000000"/>
                <w:sz w:val="20"/>
              </w:rPr>
              <w:t> </w:t>
            </w:r>
          </w:p>
        </w:tc>
        <w:tc>
          <w:tcPr>
            <w:tcW w:w="2700" w:type="dxa"/>
            <w:tcBorders>
              <w:top w:val="nil"/>
              <w:left w:val="nil"/>
              <w:bottom w:val="single" w:sz="8" w:space="0" w:color="000000"/>
              <w:right w:val="single" w:sz="8" w:space="0" w:color="000000"/>
            </w:tcBorders>
            <w:shd w:val="clear" w:color="auto" w:fill="auto"/>
            <w:vAlign w:val="center"/>
            <w:hideMark/>
          </w:tcPr>
          <w:p w14:paraId="33AA9323" w14:textId="77777777" w:rsidR="00BB3756" w:rsidRPr="00E929F2" w:rsidRDefault="00BB3756" w:rsidP="00DE490A">
            <w:pPr>
              <w:rPr>
                <w:color w:val="000000"/>
                <w:sz w:val="20"/>
                <w:szCs w:val="20"/>
              </w:rPr>
            </w:pPr>
            <w:r w:rsidRPr="00E929F2">
              <w:rPr>
                <w:color w:val="000000"/>
                <w:sz w:val="20"/>
              </w:rPr>
              <w:t> </w:t>
            </w:r>
          </w:p>
        </w:tc>
        <w:tc>
          <w:tcPr>
            <w:tcW w:w="1170" w:type="dxa"/>
            <w:tcBorders>
              <w:top w:val="nil"/>
              <w:left w:val="nil"/>
              <w:bottom w:val="single" w:sz="8" w:space="0" w:color="000000"/>
              <w:right w:val="single" w:sz="8" w:space="0" w:color="000000"/>
            </w:tcBorders>
            <w:shd w:val="clear" w:color="auto" w:fill="auto"/>
            <w:vAlign w:val="center"/>
            <w:hideMark/>
          </w:tcPr>
          <w:p w14:paraId="31DB858D" w14:textId="77777777" w:rsidR="00BB3756" w:rsidRPr="00E929F2" w:rsidRDefault="00BB3756" w:rsidP="00DE490A">
            <w:pPr>
              <w:rPr>
                <w:color w:val="000000"/>
                <w:sz w:val="20"/>
                <w:szCs w:val="20"/>
              </w:rPr>
            </w:pPr>
            <w:r w:rsidRPr="00E929F2">
              <w:rPr>
                <w:color w:val="000000"/>
                <w:sz w:val="20"/>
              </w:rPr>
              <w:t> </w:t>
            </w:r>
          </w:p>
        </w:tc>
        <w:tc>
          <w:tcPr>
            <w:tcW w:w="994" w:type="dxa"/>
            <w:tcBorders>
              <w:top w:val="nil"/>
              <w:left w:val="nil"/>
              <w:bottom w:val="single" w:sz="8" w:space="0" w:color="000000"/>
              <w:right w:val="single" w:sz="8" w:space="0" w:color="000000"/>
            </w:tcBorders>
            <w:shd w:val="clear" w:color="auto" w:fill="auto"/>
            <w:vAlign w:val="center"/>
            <w:hideMark/>
          </w:tcPr>
          <w:p w14:paraId="4D9F31E9" w14:textId="77777777" w:rsidR="00BB3756" w:rsidRPr="00E929F2" w:rsidRDefault="00BB3756" w:rsidP="00DE490A">
            <w:pPr>
              <w:rPr>
                <w:color w:val="000000"/>
                <w:sz w:val="20"/>
                <w:szCs w:val="20"/>
              </w:rPr>
            </w:pPr>
            <w:r w:rsidRPr="00E929F2">
              <w:rPr>
                <w:color w:val="000000"/>
                <w:sz w:val="20"/>
              </w:rPr>
              <w:t> </w:t>
            </w:r>
          </w:p>
        </w:tc>
      </w:tr>
      <w:tr w:rsidR="00BB3756" w:rsidRPr="00E929F2" w14:paraId="241B9C8F" w14:textId="77777777" w:rsidTr="00DE490A">
        <w:trPr>
          <w:trHeight w:val="315"/>
          <w:jc w:val="center"/>
        </w:trPr>
        <w:tc>
          <w:tcPr>
            <w:tcW w:w="2520" w:type="dxa"/>
            <w:vMerge/>
            <w:tcBorders>
              <w:top w:val="nil"/>
              <w:left w:val="single" w:sz="8" w:space="0" w:color="000000"/>
              <w:bottom w:val="single" w:sz="12" w:space="0" w:color="000000"/>
              <w:right w:val="single" w:sz="8" w:space="0" w:color="000000"/>
            </w:tcBorders>
            <w:vAlign w:val="center"/>
            <w:hideMark/>
          </w:tcPr>
          <w:p w14:paraId="1D00B999" w14:textId="77777777" w:rsidR="00BB3756" w:rsidRPr="00E929F2" w:rsidRDefault="00BB3756" w:rsidP="00DE490A">
            <w:pPr>
              <w:rPr>
                <w:b/>
                <w:bCs/>
                <w:color w:val="000000"/>
                <w:sz w:val="20"/>
                <w:szCs w:val="20"/>
              </w:rPr>
            </w:pPr>
          </w:p>
        </w:tc>
        <w:tc>
          <w:tcPr>
            <w:tcW w:w="1620" w:type="dxa"/>
            <w:tcBorders>
              <w:top w:val="nil"/>
              <w:left w:val="nil"/>
              <w:bottom w:val="single" w:sz="12" w:space="0" w:color="000000"/>
              <w:right w:val="single" w:sz="8" w:space="0" w:color="000000"/>
            </w:tcBorders>
            <w:shd w:val="clear" w:color="auto" w:fill="auto"/>
            <w:vAlign w:val="center"/>
            <w:hideMark/>
          </w:tcPr>
          <w:p w14:paraId="3FDCE126" w14:textId="77777777" w:rsidR="00BB3756" w:rsidRPr="00E929F2" w:rsidRDefault="00BB3756" w:rsidP="00DE490A">
            <w:pPr>
              <w:rPr>
                <w:color w:val="000000"/>
                <w:sz w:val="20"/>
                <w:szCs w:val="20"/>
              </w:rPr>
            </w:pPr>
            <w:r w:rsidRPr="00E929F2">
              <w:rPr>
                <w:color w:val="000000"/>
                <w:sz w:val="20"/>
              </w:rPr>
              <w:t> </w:t>
            </w:r>
          </w:p>
        </w:tc>
        <w:tc>
          <w:tcPr>
            <w:tcW w:w="2700" w:type="dxa"/>
            <w:tcBorders>
              <w:top w:val="nil"/>
              <w:left w:val="nil"/>
              <w:bottom w:val="single" w:sz="12" w:space="0" w:color="000000"/>
              <w:right w:val="single" w:sz="8" w:space="0" w:color="000000"/>
            </w:tcBorders>
            <w:shd w:val="clear" w:color="auto" w:fill="auto"/>
            <w:vAlign w:val="center"/>
            <w:hideMark/>
          </w:tcPr>
          <w:p w14:paraId="17B63BFC" w14:textId="77777777" w:rsidR="00BB3756" w:rsidRPr="00E929F2" w:rsidRDefault="00BB3756" w:rsidP="00DE490A">
            <w:pPr>
              <w:rPr>
                <w:color w:val="000000"/>
                <w:sz w:val="20"/>
                <w:szCs w:val="20"/>
              </w:rPr>
            </w:pPr>
            <w:r w:rsidRPr="00E929F2">
              <w:rPr>
                <w:color w:val="000000"/>
                <w:sz w:val="20"/>
              </w:rPr>
              <w:t> </w:t>
            </w:r>
          </w:p>
        </w:tc>
        <w:tc>
          <w:tcPr>
            <w:tcW w:w="1170" w:type="dxa"/>
            <w:tcBorders>
              <w:top w:val="nil"/>
              <w:left w:val="nil"/>
              <w:bottom w:val="single" w:sz="12" w:space="0" w:color="000000"/>
              <w:right w:val="single" w:sz="8" w:space="0" w:color="000000"/>
            </w:tcBorders>
            <w:shd w:val="clear" w:color="auto" w:fill="auto"/>
            <w:vAlign w:val="center"/>
            <w:hideMark/>
          </w:tcPr>
          <w:p w14:paraId="4527E978" w14:textId="77777777" w:rsidR="00BB3756" w:rsidRPr="00E929F2" w:rsidRDefault="00BB3756" w:rsidP="00DE490A">
            <w:pPr>
              <w:rPr>
                <w:color w:val="000000"/>
                <w:sz w:val="20"/>
                <w:szCs w:val="20"/>
              </w:rPr>
            </w:pPr>
            <w:r w:rsidRPr="00E929F2">
              <w:rPr>
                <w:color w:val="000000"/>
                <w:sz w:val="20"/>
              </w:rPr>
              <w:t> </w:t>
            </w:r>
          </w:p>
        </w:tc>
        <w:tc>
          <w:tcPr>
            <w:tcW w:w="994" w:type="dxa"/>
            <w:tcBorders>
              <w:top w:val="nil"/>
              <w:left w:val="nil"/>
              <w:bottom w:val="single" w:sz="12" w:space="0" w:color="000000"/>
              <w:right w:val="single" w:sz="8" w:space="0" w:color="000000"/>
            </w:tcBorders>
            <w:shd w:val="clear" w:color="auto" w:fill="auto"/>
            <w:vAlign w:val="center"/>
            <w:hideMark/>
          </w:tcPr>
          <w:p w14:paraId="27347FE8" w14:textId="77777777" w:rsidR="00BB3756" w:rsidRPr="00E929F2" w:rsidRDefault="00BB3756" w:rsidP="00DE490A">
            <w:pPr>
              <w:rPr>
                <w:color w:val="000000"/>
                <w:sz w:val="20"/>
                <w:szCs w:val="20"/>
              </w:rPr>
            </w:pPr>
            <w:r w:rsidRPr="00E929F2">
              <w:rPr>
                <w:color w:val="000000"/>
                <w:sz w:val="20"/>
              </w:rPr>
              <w:t> </w:t>
            </w:r>
          </w:p>
        </w:tc>
      </w:tr>
      <w:tr w:rsidR="00BB3756" w:rsidRPr="00E929F2" w14:paraId="281A3692" w14:textId="77777777" w:rsidTr="00DE490A">
        <w:trPr>
          <w:trHeight w:val="315"/>
          <w:jc w:val="center"/>
        </w:trPr>
        <w:tc>
          <w:tcPr>
            <w:tcW w:w="9004" w:type="dxa"/>
            <w:gridSpan w:val="5"/>
            <w:tcBorders>
              <w:top w:val="single" w:sz="12" w:space="0" w:color="000000"/>
              <w:left w:val="single" w:sz="8" w:space="0" w:color="000000"/>
              <w:bottom w:val="nil"/>
              <w:right w:val="single" w:sz="8" w:space="0" w:color="000000"/>
            </w:tcBorders>
            <w:shd w:val="clear" w:color="000000" w:fill="9CC3E6"/>
            <w:vAlign w:val="center"/>
            <w:hideMark/>
          </w:tcPr>
          <w:p w14:paraId="5251D30B" w14:textId="77777777" w:rsidR="00BB3756" w:rsidRPr="00E929F2" w:rsidRDefault="00BB3756" w:rsidP="00DE490A">
            <w:pPr>
              <w:ind w:firstLineChars="1500" w:firstLine="3012"/>
              <w:rPr>
                <w:b/>
                <w:bCs/>
                <w:color w:val="000000"/>
                <w:sz w:val="20"/>
                <w:szCs w:val="20"/>
              </w:rPr>
            </w:pPr>
            <w:r w:rsidRPr="00E929F2">
              <w:rPr>
                <w:b/>
                <w:bCs/>
                <w:color w:val="000000"/>
                <w:sz w:val="20"/>
                <w:szCs w:val="20"/>
              </w:rPr>
              <w:t>V. PERSPECTIVE</w:t>
            </w:r>
          </w:p>
        </w:tc>
      </w:tr>
      <w:tr w:rsidR="00BB3756" w:rsidRPr="00E929F2" w14:paraId="3E75E5F0" w14:textId="77777777" w:rsidTr="00DE490A">
        <w:trPr>
          <w:trHeight w:val="315"/>
          <w:jc w:val="center"/>
        </w:trPr>
        <w:tc>
          <w:tcPr>
            <w:tcW w:w="9004" w:type="dxa"/>
            <w:gridSpan w:val="5"/>
            <w:tcBorders>
              <w:top w:val="nil"/>
              <w:left w:val="single" w:sz="8" w:space="0" w:color="000000"/>
              <w:bottom w:val="single" w:sz="8" w:space="0" w:color="000000"/>
              <w:right w:val="single" w:sz="8" w:space="0" w:color="000000"/>
            </w:tcBorders>
            <w:shd w:val="clear" w:color="auto" w:fill="auto"/>
            <w:vAlign w:val="center"/>
            <w:hideMark/>
          </w:tcPr>
          <w:p w14:paraId="10AC5642" w14:textId="77777777" w:rsidR="00BB3756" w:rsidRPr="00E929F2" w:rsidRDefault="00BB3756" w:rsidP="00DE490A">
            <w:pPr>
              <w:rPr>
                <w:color w:val="000000"/>
                <w:sz w:val="20"/>
                <w:szCs w:val="20"/>
              </w:rPr>
            </w:pPr>
            <w:r w:rsidRPr="00E929F2">
              <w:rPr>
                <w:color w:val="000000"/>
                <w:sz w:val="20"/>
              </w:rPr>
              <w:t>Structură și funcții</w:t>
            </w:r>
          </w:p>
        </w:tc>
      </w:tr>
      <w:tr w:rsidR="00BB3756" w:rsidRPr="00E929F2" w14:paraId="79ED40CF" w14:textId="77777777" w:rsidTr="00DE490A">
        <w:trPr>
          <w:trHeight w:val="315"/>
          <w:jc w:val="center"/>
        </w:trPr>
        <w:tc>
          <w:tcPr>
            <w:tcW w:w="2520" w:type="dxa"/>
            <w:tcBorders>
              <w:top w:val="nil"/>
              <w:left w:val="single" w:sz="8" w:space="0" w:color="000000"/>
              <w:bottom w:val="single" w:sz="8" w:space="0" w:color="000000"/>
              <w:right w:val="single" w:sz="8" w:space="0" w:color="000000"/>
            </w:tcBorders>
            <w:shd w:val="clear" w:color="auto" w:fill="auto"/>
            <w:vAlign w:val="center"/>
            <w:hideMark/>
          </w:tcPr>
          <w:p w14:paraId="4C02F85C" w14:textId="77777777" w:rsidR="00BB3756" w:rsidRPr="00E929F2" w:rsidRDefault="00BB3756" w:rsidP="00DE490A">
            <w:pPr>
              <w:rPr>
                <w:b/>
                <w:bCs/>
                <w:color w:val="000000"/>
                <w:sz w:val="20"/>
                <w:szCs w:val="20"/>
              </w:rPr>
            </w:pPr>
            <w:r w:rsidRPr="00E929F2">
              <w:rPr>
                <w:b/>
                <w:bCs/>
                <w:color w:val="000000"/>
                <w:sz w:val="20"/>
              </w:rPr>
              <w:t>Starea actuală</w:t>
            </w:r>
          </w:p>
        </w:tc>
        <w:tc>
          <w:tcPr>
            <w:tcW w:w="1620" w:type="dxa"/>
            <w:tcBorders>
              <w:top w:val="nil"/>
              <w:left w:val="nil"/>
              <w:bottom w:val="single" w:sz="8" w:space="0" w:color="000000"/>
              <w:right w:val="single" w:sz="8" w:space="0" w:color="000000"/>
            </w:tcBorders>
            <w:shd w:val="clear" w:color="auto" w:fill="auto"/>
            <w:vAlign w:val="center"/>
            <w:hideMark/>
          </w:tcPr>
          <w:p w14:paraId="28FEC8E6" w14:textId="77777777" w:rsidR="00BB3756" w:rsidRPr="00E929F2" w:rsidRDefault="00BB3756" w:rsidP="00DE490A">
            <w:pPr>
              <w:jc w:val="center"/>
              <w:rPr>
                <w:color w:val="000000"/>
                <w:sz w:val="20"/>
                <w:szCs w:val="20"/>
              </w:rPr>
            </w:pPr>
            <w:r w:rsidRPr="00E929F2">
              <w:rPr>
                <w:color w:val="000000"/>
                <w:sz w:val="20"/>
                <w:szCs w:val="20"/>
              </w:rPr>
              <w:t>A</w:t>
            </w:r>
          </w:p>
        </w:tc>
        <w:tc>
          <w:tcPr>
            <w:tcW w:w="2700" w:type="dxa"/>
            <w:tcBorders>
              <w:top w:val="nil"/>
              <w:left w:val="nil"/>
              <w:bottom w:val="single" w:sz="8" w:space="0" w:color="000000"/>
              <w:right w:val="single" w:sz="8" w:space="0" w:color="000000"/>
            </w:tcBorders>
            <w:shd w:val="clear" w:color="auto" w:fill="auto"/>
            <w:vAlign w:val="center"/>
            <w:hideMark/>
          </w:tcPr>
          <w:p w14:paraId="516DF379" w14:textId="77777777" w:rsidR="00BB3756" w:rsidRPr="00E929F2" w:rsidRDefault="00BB3756" w:rsidP="00DE490A">
            <w:pPr>
              <w:jc w:val="center"/>
              <w:rPr>
                <w:color w:val="000000"/>
                <w:sz w:val="20"/>
                <w:szCs w:val="20"/>
              </w:rPr>
            </w:pPr>
            <w:r w:rsidRPr="00E929F2">
              <w:rPr>
                <w:color w:val="000000"/>
                <w:sz w:val="20"/>
                <w:szCs w:val="20"/>
              </w:rPr>
              <w:t>B</w:t>
            </w:r>
          </w:p>
        </w:tc>
        <w:tc>
          <w:tcPr>
            <w:tcW w:w="2164" w:type="dxa"/>
            <w:gridSpan w:val="2"/>
            <w:tcBorders>
              <w:top w:val="single" w:sz="8" w:space="0" w:color="000000"/>
              <w:left w:val="nil"/>
              <w:bottom w:val="single" w:sz="8" w:space="0" w:color="000000"/>
              <w:right w:val="single" w:sz="8" w:space="0" w:color="000000"/>
            </w:tcBorders>
            <w:shd w:val="clear" w:color="auto" w:fill="auto"/>
            <w:vAlign w:val="center"/>
            <w:hideMark/>
          </w:tcPr>
          <w:p w14:paraId="02225396" w14:textId="77777777" w:rsidR="00BB3756" w:rsidRPr="00E929F2" w:rsidRDefault="00BB3756" w:rsidP="00DE490A">
            <w:pPr>
              <w:jc w:val="center"/>
              <w:rPr>
                <w:color w:val="000000"/>
                <w:sz w:val="20"/>
                <w:szCs w:val="20"/>
              </w:rPr>
            </w:pPr>
            <w:r w:rsidRPr="00E929F2">
              <w:rPr>
                <w:color w:val="000000"/>
                <w:sz w:val="20"/>
                <w:szCs w:val="20"/>
              </w:rPr>
              <w:t>C</w:t>
            </w:r>
          </w:p>
        </w:tc>
      </w:tr>
      <w:tr w:rsidR="00BB3756" w:rsidRPr="00E929F2" w14:paraId="22199F04" w14:textId="77777777" w:rsidTr="00DE490A">
        <w:trPr>
          <w:trHeight w:val="315"/>
          <w:jc w:val="center"/>
        </w:trPr>
        <w:tc>
          <w:tcPr>
            <w:tcW w:w="2520" w:type="dxa"/>
            <w:tcBorders>
              <w:top w:val="nil"/>
              <w:left w:val="single" w:sz="8" w:space="0" w:color="000000"/>
              <w:bottom w:val="single" w:sz="8" w:space="0" w:color="000000"/>
              <w:right w:val="single" w:sz="8" w:space="0" w:color="000000"/>
            </w:tcBorders>
            <w:shd w:val="clear" w:color="auto" w:fill="auto"/>
            <w:vAlign w:val="center"/>
            <w:hideMark/>
          </w:tcPr>
          <w:p w14:paraId="1DDC428F" w14:textId="77777777" w:rsidR="00BB3756" w:rsidRPr="00E929F2" w:rsidRDefault="00BB3756" w:rsidP="00DE490A">
            <w:pPr>
              <w:rPr>
                <w:color w:val="000000"/>
                <w:sz w:val="20"/>
                <w:szCs w:val="20"/>
              </w:rPr>
            </w:pPr>
            <w:r w:rsidRPr="00E929F2">
              <w:rPr>
                <w:color w:val="000000"/>
                <w:sz w:val="20"/>
              </w:rPr>
              <w:t> </w:t>
            </w:r>
          </w:p>
        </w:tc>
        <w:tc>
          <w:tcPr>
            <w:tcW w:w="1620" w:type="dxa"/>
            <w:tcBorders>
              <w:top w:val="nil"/>
              <w:left w:val="nil"/>
              <w:bottom w:val="single" w:sz="8" w:space="0" w:color="000000"/>
              <w:right w:val="single" w:sz="8" w:space="0" w:color="000000"/>
            </w:tcBorders>
            <w:shd w:val="clear" w:color="auto" w:fill="auto"/>
            <w:vAlign w:val="center"/>
            <w:hideMark/>
          </w:tcPr>
          <w:p w14:paraId="25F22E02" w14:textId="77777777" w:rsidR="00BB3756" w:rsidRPr="00E929F2" w:rsidRDefault="00BB3756" w:rsidP="00DE490A">
            <w:pPr>
              <w:rPr>
                <w:color w:val="000000"/>
                <w:sz w:val="20"/>
                <w:szCs w:val="20"/>
              </w:rPr>
            </w:pPr>
            <w:r w:rsidRPr="00E929F2">
              <w:rPr>
                <w:color w:val="000000"/>
                <w:sz w:val="20"/>
              </w:rPr>
              <w:t> </w:t>
            </w:r>
          </w:p>
        </w:tc>
        <w:tc>
          <w:tcPr>
            <w:tcW w:w="2700" w:type="dxa"/>
            <w:tcBorders>
              <w:top w:val="nil"/>
              <w:left w:val="nil"/>
              <w:bottom w:val="single" w:sz="8" w:space="0" w:color="000000"/>
              <w:right w:val="single" w:sz="8" w:space="0" w:color="000000"/>
            </w:tcBorders>
            <w:shd w:val="clear" w:color="auto" w:fill="auto"/>
            <w:vAlign w:val="center"/>
            <w:hideMark/>
          </w:tcPr>
          <w:p w14:paraId="56DBD632" w14:textId="77777777" w:rsidR="00BB3756" w:rsidRPr="00E929F2" w:rsidRDefault="00BB3756" w:rsidP="00DE490A">
            <w:pPr>
              <w:rPr>
                <w:color w:val="000000"/>
                <w:sz w:val="20"/>
                <w:szCs w:val="20"/>
              </w:rPr>
            </w:pPr>
            <w:r w:rsidRPr="00E929F2">
              <w:rPr>
                <w:color w:val="000000"/>
                <w:sz w:val="20"/>
              </w:rPr>
              <w:t> </w:t>
            </w:r>
          </w:p>
        </w:tc>
        <w:tc>
          <w:tcPr>
            <w:tcW w:w="2164" w:type="dxa"/>
            <w:gridSpan w:val="2"/>
            <w:tcBorders>
              <w:top w:val="single" w:sz="8" w:space="0" w:color="000000"/>
              <w:left w:val="nil"/>
              <w:bottom w:val="single" w:sz="8" w:space="0" w:color="000000"/>
              <w:right w:val="single" w:sz="8" w:space="0" w:color="000000"/>
            </w:tcBorders>
            <w:shd w:val="clear" w:color="auto" w:fill="auto"/>
            <w:vAlign w:val="center"/>
            <w:hideMark/>
          </w:tcPr>
          <w:p w14:paraId="4AB52357" w14:textId="77777777" w:rsidR="00BB3756" w:rsidRPr="00E929F2" w:rsidRDefault="00BB3756" w:rsidP="00DE490A">
            <w:pPr>
              <w:rPr>
                <w:color w:val="000000"/>
                <w:sz w:val="20"/>
                <w:szCs w:val="20"/>
              </w:rPr>
            </w:pPr>
            <w:r w:rsidRPr="00E929F2">
              <w:rPr>
                <w:color w:val="000000"/>
                <w:sz w:val="20"/>
              </w:rPr>
              <w:t> </w:t>
            </w:r>
          </w:p>
        </w:tc>
      </w:tr>
      <w:tr w:rsidR="00BB3756" w:rsidRPr="00E929F2" w14:paraId="685599D6" w14:textId="77777777" w:rsidTr="00DE490A">
        <w:trPr>
          <w:trHeight w:val="315"/>
          <w:jc w:val="center"/>
        </w:trPr>
        <w:tc>
          <w:tcPr>
            <w:tcW w:w="2520" w:type="dxa"/>
            <w:tcBorders>
              <w:top w:val="nil"/>
              <w:left w:val="single" w:sz="8" w:space="0" w:color="000000"/>
              <w:bottom w:val="nil"/>
              <w:right w:val="single" w:sz="8" w:space="0" w:color="000000"/>
            </w:tcBorders>
            <w:shd w:val="clear" w:color="auto" w:fill="auto"/>
            <w:vAlign w:val="center"/>
            <w:hideMark/>
          </w:tcPr>
          <w:p w14:paraId="4BF63132" w14:textId="77777777" w:rsidR="00BB3756" w:rsidRPr="00E929F2" w:rsidRDefault="00BB3756" w:rsidP="00DE490A">
            <w:pPr>
              <w:rPr>
                <w:b/>
                <w:bCs/>
                <w:color w:val="000000"/>
                <w:sz w:val="20"/>
                <w:szCs w:val="20"/>
              </w:rPr>
            </w:pPr>
            <w:r w:rsidRPr="00E929F2">
              <w:rPr>
                <w:b/>
                <w:bCs/>
                <w:color w:val="000000"/>
                <w:sz w:val="20"/>
                <w:szCs w:val="20"/>
              </w:rPr>
              <w:t>Starea viitoare</w:t>
            </w:r>
          </w:p>
        </w:tc>
        <w:tc>
          <w:tcPr>
            <w:tcW w:w="1620" w:type="dxa"/>
            <w:tcBorders>
              <w:top w:val="nil"/>
              <w:left w:val="nil"/>
              <w:bottom w:val="nil"/>
              <w:right w:val="single" w:sz="8" w:space="0" w:color="000000"/>
            </w:tcBorders>
            <w:shd w:val="clear" w:color="auto" w:fill="auto"/>
            <w:vAlign w:val="center"/>
            <w:hideMark/>
          </w:tcPr>
          <w:p w14:paraId="3ECA35B6" w14:textId="77777777" w:rsidR="00BB3756" w:rsidRPr="00E929F2" w:rsidRDefault="00BB3756" w:rsidP="00DE490A">
            <w:pPr>
              <w:jc w:val="center"/>
              <w:rPr>
                <w:color w:val="000000"/>
                <w:sz w:val="20"/>
                <w:szCs w:val="20"/>
              </w:rPr>
            </w:pPr>
            <w:r w:rsidRPr="00E929F2">
              <w:rPr>
                <w:color w:val="000000"/>
                <w:sz w:val="20"/>
              </w:rPr>
              <w:t>crescătoare</w:t>
            </w:r>
          </w:p>
        </w:tc>
        <w:tc>
          <w:tcPr>
            <w:tcW w:w="2700" w:type="dxa"/>
            <w:tcBorders>
              <w:top w:val="nil"/>
              <w:left w:val="nil"/>
              <w:bottom w:val="nil"/>
              <w:right w:val="single" w:sz="8" w:space="0" w:color="000000"/>
            </w:tcBorders>
            <w:shd w:val="clear" w:color="auto" w:fill="auto"/>
            <w:vAlign w:val="center"/>
            <w:hideMark/>
          </w:tcPr>
          <w:p w14:paraId="6E7B6C31" w14:textId="77777777" w:rsidR="00BB3756" w:rsidRPr="00E929F2" w:rsidRDefault="00BB3756" w:rsidP="00DE490A">
            <w:pPr>
              <w:jc w:val="center"/>
              <w:rPr>
                <w:color w:val="000000"/>
                <w:sz w:val="20"/>
                <w:szCs w:val="20"/>
              </w:rPr>
            </w:pPr>
            <w:r w:rsidRPr="00E929F2">
              <w:rPr>
                <w:color w:val="000000"/>
                <w:sz w:val="20"/>
              </w:rPr>
              <w:t>stabilă</w:t>
            </w:r>
          </w:p>
        </w:tc>
        <w:tc>
          <w:tcPr>
            <w:tcW w:w="2164" w:type="dxa"/>
            <w:gridSpan w:val="2"/>
            <w:tcBorders>
              <w:top w:val="single" w:sz="8" w:space="0" w:color="000000"/>
              <w:left w:val="nil"/>
              <w:bottom w:val="nil"/>
              <w:right w:val="single" w:sz="8" w:space="0" w:color="000000"/>
            </w:tcBorders>
            <w:shd w:val="clear" w:color="auto" w:fill="auto"/>
            <w:vAlign w:val="center"/>
            <w:hideMark/>
          </w:tcPr>
          <w:p w14:paraId="0FF29548" w14:textId="77777777" w:rsidR="00BB3756" w:rsidRPr="00E929F2" w:rsidRDefault="00BB3756" w:rsidP="00DE490A">
            <w:pPr>
              <w:jc w:val="center"/>
              <w:rPr>
                <w:color w:val="000000"/>
                <w:sz w:val="20"/>
                <w:szCs w:val="20"/>
              </w:rPr>
            </w:pPr>
            <w:r w:rsidRPr="00E929F2">
              <w:rPr>
                <w:color w:val="000000"/>
                <w:sz w:val="20"/>
              </w:rPr>
              <w:t>descrescătoare</w:t>
            </w:r>
          </w:p>
        </w:tc>
      </w:tr>
      <w:tr w:rsidR="00BB3756" w:rsidRPr="00E929F2" w14:paraId="2FAA0EF8" w14:textId="77777777" w:rsidTr="00DE490A">
        <w:trPr>
          <w:trHeight w:val="315"/>
          <w:jc w:val="center"/>
        </w:trPr>
        <w:tc>
          <w:tcPr>
            <w:tcW w:w="2520" w:type="dxa"/>
            <w:tcBorders>
              <w:top w:val="single" w:sz="8" w:space="0" w:color="auto"/>
              <w:left w:val="single" w:sz="8" w:space="0" w:color="auto"/>
              <w:bottom w:val="single" w:sz="8" w:space="0" w:color="auto"/>
              <w:right w:val="nil"/>
            </w:tcBorders>
            <w:shd w:val="clear" w:color="auto" w:fill="auto"/>
            <w:noWrap/>
            <w:vAlign w:val="center"/>
            <w:hideMark/>
          </w:tcPr>
          <w:p w14:paraId="36FB86CD" w14:textId="77777777" w:rsidR="00BB3756" w:rsidRPr="00E929F2" w:rsidRDefault="00BB3756" w:rsidP="00DE490A">
            <w:pPr>
              <w:rPr>
                <w:b/>
                <w:bCs/>
                <w:color w:val="000000"/>
                <w:sz w:val="20"/>
                <w:szCs w:val="20"/>
              </w:rPr>
            </w:pPr>
            <w:r w:rsidRPr="00E929F2">
              <w:rPr>
                <w:b/>
                <w:bCs/>
                <w:color w:val="000000"/>
                <w:sz w:val="20"/>
              </w:rPr>
              <w:t> </w:t>
            </w:r>
          </w:p>
        </w:tc>
        <w:tc>
          <w:tcPr>
            <w:tcW w:w="16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6A6F3B10" w14:textId="77777777" w:rsidR="00BB3756" w:rsidRPr="00E929F2" w:rsidRDefault="00BB3756" w:rsidP="00DE490A">
            <w:pPr>
              <w:rPr>
                <w:rFonts w:ascii="Calibri" w:hAnsi="Calibri"/>
                <w:color w:val="000000"/>
              </w:rPr>
            </w:pPr>
            <w:r w:rsidRPr="00E929F2">
              <w:rPr>
                <w:rFonts w:ascii="Calibri" w:hAnsi="Calibri"/>
                <w:color w:val="000000"/>
              </w:rPr>
              <w:t> </w:t>
            </w:r>
          </w:p>
        </w:tc>
        <w:tc>
          <w:tcPr>
            <w:tcW w:w="2700" w:type="dxa"/>
            <w:tcBorders>
              <w:top w:val="single" w:sz="8" w:space="0" w:color="auto"/>
              <w:left w:val="nil"/>
              <w:bottom w:val="single" w:sz="8" w:space="0" w:color="auto"/>
              <w:right w:val="single" w:sz="8" w:space="0" w:color="auto"/>
            </w:tcBorders>
            <w:shd w:val="clear" w:color="auto" w:fill="auto"/>
            <w:noWrap/>
            <w:vAlign w:val="bottom"/>
            <w:hideMark/>
          </w:tcPr>
          <w:p w14:paraId="4839D7C9" w14:textId="77777777" w:rsidR="00BB3756" w:rsidRPr="00E929F2" w:rsidRDefault="00BB3756" w:rsidP="00DE490A">
            <w:pPr>
              <w:rPr>
                <w:rFonts w:ascii="Calibri" w:hAnsi="Calibri"/>
                <w:color w:val="000000"/>
              </w:rPr>
            </w:pPr>
            <w:r w:rsidRPr="00E929F2">
              <w:rPr>
                <w:rFonts w:ascii="Calibri" w:hAnsi="Calibri"/>
                <w:color w:val="000000"/>
              </w:rPr>
              <w:t> </w:t>
            </w:r>
          </w:p>
        </w:tc>
        <w:tc>
          <w:tcPr>
            <w:tcW w:w="2164" w:type="dxa"/>
            <w:gridSpan w:val="2"/>
            <w:tcBorders>
              <w:top w:val="single" w:sz="8" w:space="0" w:color="auto"/>
              <w:left w:val="nil"/>
              <w:bottom w:val="single" w:sz="8" w:space="0" w:color="auto"/>
              <w:right w:val="single" w:sz="8" w:space="0" w:color="000000"/>
            </w:tcBorders>
            <w:shd w:val="clear" w:color="auto" w:fill="auto"/>
            <w:noWrap/>
            <w:vAlign w:val="bottom"/>
            <w:hideMark/>
          </w:tcPr>
          <w:p w14:paraId="6E182756" w14:textId="77777777" w:rsidR="00BB3756" w:rsidRPr="00E929F2" w:rsidRDefault="00BB3756" w:rsidP="00DE490A">
            <w:pPr>
              <w:jc w:val="center"/>
              <w:rPr>
                <w:rFonts w:ascii="Calibri" w:hAnsi="Calibri"/>
                <w:color w:val="000000"/>
              </w:rPr>
            </w:pPr>
            <w:r w:rsidRPr="00E929F2">
              <w:rPr>
                <w:rFonts w:ascii="Calibri" w:hAnsi="Calibri"/>
                <w:color w:val="000000"/>
              </w:rPr>
              <w:t> </w:t>
            </w:r>
          </w:p>
        </w:tc>
      </w:tr>
    </w:tbl>
    <w:p w14:paraId="2A0D1C55" w14:textId="77777777" w:rsidR="00BB3756" w:rsidRDefault="00BB3756" w:rsidP="00BB3756"/>
    <w:p w14:paraId="5404B35B" w14:textId="77777777" w:rsidR="00E929F2" w:rsidRDefault="00E929F2" w:rsidP="00E929F2">
      <w:pPr>
        <w:widowControl w:val="0"/>
        <w:autoSpaceDE w:val="0"/>
        <w:autoSpaceDN w:val="0"/>
        <w:rPr>
          <w:sz w:val="22"/>
          <w:szCs w:val="22"/>
        </w:rPr>
      </w:pPr>
    </w:p>
    <w:p w14:paraId="53619907" w14:textId="77777777" w:rsidR="00754BCA" w:rsidRPr="00E929F2" w:rsidRDefault="00754BCA" w:rsidP="00E929F2">
      <w:pPr>
        <w:widowControl w:val="0"/>
        <w:autoSpaceDE w:val="0"/>
        <w:autoSpaceDN w:val="0"/>
        <w:rPr>
          <w:sz w:val="22"/>
          <w:szCs w:val="22"/>
        </w:rPr>
        <w:sectPr w:rsidR="00754BCA" w:rsidRPr="00E929F2">
          <w:pgSz w:w="11910" w:h="16850"/>
          <w:pgMar w:top="1060" w:right="880" w:bottom="1680" w:left="840" w:header="0" w:footer="1412" w:gutter="0"/>
          <w:cols w:space="720"/>
        </w:sectPr>
      </w:pPr>
    </w:p>
    <w:p w14:paraId="62387BC1" w14:textId="77777777" w:rsidR="00E929F2" w:rsidRPr="00E929F2" w:rsidRDefault="00E929F2" w:rsidP="00754BCA">
      <w:pPr>
        <w:widowControl w:val="0"/>
        <w:tabs>
          <w:tab w:val="left" w:pos="0"/>
        </w:tabs>
        <w:autoSpaceDE w:val="0"/>
        <w:autoSpaceDN w:val="0"/>
        <w:spacing w:before="100"/>
        <w:jc w:val="both"/>
        <w:outlineLvl w:val="1"/>
        <w:rPr>
          <w:b/>
          <w:bCs/>
          <w:color w:val="000000" w:themeColor="text1"/>
          <w:lang w:val="en-US"/>
        </w:rPr>
      </w:pPr>
    </w:p>
    <w:p w14:paraId="2BF08FA1" w14:textId="77777777" w:rsidR="00E929F2" w:rsidRPr="00E929F2" w:rsidRDefault="00E929F2" w:rsidP="00E929F2">
      <w:pPr>
        <w:widowControl w:val="0"/>
        <w:tabs>
          <w:tab w:val="left" w:pos="1115"/>
        </w:tabs>
        <w:autoSpaceDE w:val="0"/>
        <w:autoSpaceDN w:val="0"/>
        <w:spacing w:before="100"/>
        <w:jc w:val="both"/>
        <w:outlineLvl w:val="1"/>
        <w:rPr>
          <w:color w:val="000000" w:themeColor="text1"/>
          <w:lang w:val="en-US"/>
        </w:rPr>
      </w:pPr>
      <w:proofErr w:type="spellStart"/>
      <w:r w:rsidRPr="00E929F2">
        <w:rPr>
          <w:b/>
          <w:bCs/>
          <w:color w:val="000000" w:themeColor="text1"/>
          <w:lang w:val="en-US"/>
        </w:rPr>
        <w:t>Presiunile</w:t>
      </w:r>
      <w:proofErr w:type="spellEnd"/>
      <w:r w:rsidRPr="00E929F2">
        <w:rPr>
          <w:b/>
          <w:bCs/>
          <w:color w:val="000000" w:themeColor="text1"/>
          <w:lang w:val="en-US"/>
        </w:rPr>
        <w:t xml:space="preserve"> </w:t>
      </w:r>
      <w:proofErr w:type="spellStart"/>
      <w:r w:rsidRPr="00E929F2">
        <w:rPr>
          <w:b/>
          <w:bCs/>
          <w:color w:val="000000" w:themeColor="text1"/>
          <w:lang w:val="en-US"/>
        </w:rPr>
        <w:t>și</w:t>
      </w:r>
      <w:proofErr w:type="spellEnd"/>
      <w:r w:rsidRPr="00E929F2">
        <w:rPr>
          <w:b/>
          <w:bCs/>
          <w:color w:val="000000" w:themeColor="text1"/>
          <w:lang w:val="en-US"/>
        </w:rPr>
        <w:t xml:space="preserve"> </w:t>
      </w:r>
      <w:proofErr w:type="spellStart"/>
      <w:r w:rsidRPr="00E929F2">
        <w:rPr>
          <w:b/>
          <w:bCs/>
          <w:color w:val="000000" w:themeColor="text1"/>
          <w:lang w:val="en-US"/>
        </w:rPr>
        <w:t>amenințările</w:t>
      </w:r>
      <w:proofErr w:type="spellEnd"/>
      <w:r w:rsidRPr="00E929F2">
        <w:rPr>
          <w:b/>
          <w:bCs/>
          <w:color w:val="000000" w:themeColor="text1"/>
          <w:lang w:val="en-US"/>
        </w:rPr>
        <w:t xml:space="preserve"> </w:t>
      </w:r>
      <w:proofErr w:type="spellStart"/>
      <w:r w:rsidRPr="00E929F2">
        <w:rPr>
          <w:b/>
          <w:bCs/>
          <w:color w:val="000000" w:themeColor="text1"/>
          <w:lang w:val="en-US"/>
        </w:rPr>
        <w:t>specifice</w:t>
      </w:r>
      <w:proofErr w:type="spellEnd"/>
      <w:r w:rsidRPr="00E929F2">
        <w:rPr>
          <w:b/>
          <w:bCs/>
          <w:color w:val="000000" w:themeColor="text1"/>
          <w:lang w:val="en-US"/>
        </w:rPr>
        <w:t xml:space="preserve"> </w:t>
      </w:r>
      <w:proofErr w:type="spellStart"/>
      <w:r w:rsidRPr="00E929F2">
        <w:rPr>
          <w:b/>
          <w:bCs/>
          <w:color w:val="000000" w:themeColor="text1"/>
          <w:lang w:val="en-US"/>
        </w:rPr>
        <w:t>habitatului</w:t>
      </w:r>
      <w:proofErr w:type="spellEnd"/>
      <w:r w:rsidRPr="00E929F2">
        <w:rPr>
          <w:b/>
          <w:bCs/>
          <w:color w:val="000000" w:themeColor="text1"/>
          <w:lang w:val="en-US"/>
        </w:rPr>
        <w:t xml:space="preserve"> </w:t>
      </w:r>
      <w:proofErr w:type="spellStart"/>
      <w:r w:rsidRPr="00E929F2">
        <w:rPr>
          <w:b/>
          <w:bCs/>
          <w:color w:val="000000" w:themeColor="text1"/>
          <w:lang w:val="en-US"/>
        </w:rPr>
        <w:t>respectiv</w:t>
      </w:r>
      <w:proofErr w:type="spellEnd"/>
      <w:r w:rsidRPr="00E929F2">
        <w:rPr>
          <w:b/>
          <w:bCs/>
          <w:color w:val="000000" w:themeColor="text1"/>
          <w:lang w:val="en-US"/>
        </w:rPr>
        <w:t xml:space="preserve"> </w:t>
      </w:r>
      <w:r w:rsidRPr="00E929F2">
        <w:rPr>
          <w:color w:val="000000" w:themeColor="text1"/>
          <w:lang w:val="en-US"/>
        </w:rPr>
        <w:t xml:space="preserve">pot fi </w:t>
      </w:r>
      <w:proofErr w:type="spellStart"/>
      <w:r w:rsidRPr="00E929F2">
        <w:rPr>
          <w:color w:val="000000" w:themeColor="text1"/>
          <w:lang w:val="en-US"/>
        </w:rPr>
        <w:t>selectate</w:t>
      </w:r>
      <w:proofErr w:type="spellEnd"/>
      <w:r w:rsidRPr="00E929F2">
        <w:rPr>
          <w:color w:val="000000" w:themeColor="text1"/>
          <w:lang w:val="en-US"/>
        </w:rPr>
        <w:t xml:space="preserve"> de la </w:t>
      </w:r>
      <w:proofErr w:type="spellStart"/>
      <w:r w:rsidRPr="00E929F2">
        <w:rPr>
          <w:color w:val="000000" w:themeColor="text1"/>
          <w:lang w:val="en-US"/>
        </w:rPr>
        <w:t>următoarea</w:t>
      </w:r>
      <w:proofErr w:type="spellEnd"/>
      <w:r w:rsidRPr="00E929F2">
        <w:rPr>
          <w:color w:val="000000" w:themeColor="text1"/>
          <w:lang w:val="en-US"/>
        </w:rPr>
        <w:t xml:space="preserve"> </w:t>
      </w:r>
      <w:proofErr w:type="spellStart"/>
      <w:r w:rsidRPr="00E929F2">
        <w:rPr>
          <w:color w:val="000000" w:themeColor="text1"/>
          <w:lang w:val="en-US"/>
        </w:rPr>
        <w:t>adresa</w:t>
      </w:r>
      <w:proofErr w:type="spellEnd"/>
      <w:r w:rsidRPr="00E929F2">
        <w:rPr>
          <w:color w:val="000000" w:themeColor="text1"/>
          <w:lang w:val="en-US"/>
        </w:rPr>
        <w:t xml:space="preserve"> web: </w:t>
      </w:r>
      <w:hyperlink r:id="rId49" w:history="1">
        <w:r w:rsidR="003771D0" w:rsidRPr="007A20AE">
          <w:rPr>
            <w:rStyle w:val="Hyperlink"/>
            <w:lang w:val="en-US"/>
          </w:rPr>
          <w:t>https://cdr.eionet.europa.eu/help/habitats_art17</w:t>
        </w:r>
      </w:hyperlink>
      <w:r w:rsidR="003771D0">
        <w:rPr>
          <w:color w:val="000000" w:themeColor="text1"/>
          <w:lang w:val="en-US"/>
        </w:rPr>
        <w:t xml:space="preserve"> </w:t>
      </w:r>
      <w:r w:rsidRPr="00E929F2">
        <w:rPr>
          <w:color w:val="000000" w:themeColor="text1"/>
          <w:lang w:val="en-US"/>
        </w:rPr>
        <w:t>.</w:t>
      </w:r>
    </w:p>
    <w:p w14:paraId="46C2D846" w14:textId="77777777" w:rsidR="00E929F2" w:rsidRPr="00E929F2" w:rsidRDefault="00E929F2" w:rsidP="00E929F2">
      <w:pPr>
        <w:widowControl w:val="0"/>
        <w:tabs>
          <w:tab w:val="left" w:pos="1115"/>
        </w:tabs>
        <w:autoSpaceDE w:val="0"/>
        <w:autoSpaceDN w:val="0"/>
        <w:spacing w:before="100"/>
        <w:jc w:val="both"/>
        <w:outlineLvl w:val="1"/>
        <w:rPr>
          <w:color w:val="000000" w:themeColor="text1"/>
          <w:lang w:val="en-US"/>
        </w:rPr>
      </w:pPr>
    </w:p>
    <w:p w14:paraId="3BEFC587" w14:textId="77777777" w:rsidR="00E929F2" w:rsidRPr="00E929F2" w:rsidRDefault="00B72D84" w:rsidP="00E929F2">
      <w:pPr>
        <w:widowControl w:val="0"/>
        <w:tabs>
          <w:tab w:val="left" w:pos="1115"/>
        </w:tabs>
        <w:autoSpaceDE w:val="0"/>
        <w:autoSpaceDN w:val="0"/>
        <w:jc w:val="both"/>
        <w:outlineLvl w:val="1"/>
        <w:rPr>
          <w:b/>
          <w:bCs/>
          <w:color w:val="000000" w:themeColor="text1"/>
          <w:lang w:val="en-US"/>
        </w:rPr>
      </w:pPr>
      <w:proofErr w:type="spellStart"/>
      <w:r w:rsidRPr="00E929F2">
        <w:rPr>
          <w:b/>
          <w:bCs/>
          <w:color w:val="000000" w:themeColor="text1"/>
          <w:lang w:val="en-US"/>
        </w:rPr>
        <w:t>Fișa</w:t>
      </w:r>
      <w:proofErr w:type="spellEnd"/>
      <w:r w:rsidR="00E929F2" w:rsidRPr="00E929F2">
        <w:rPr>
          <w:b/>
          <w:bCs/>
          <w:color w:val="000000" w:themeColor="text1"/>
          <w:spacing w:val="-1"/>
          <w:lang w:val="en-US"/>
        </w:rPr>
        <w:t xml:space="preserve"> </w:t>
      </w:r>
      <w:r w:rsidRPr="00E929F2">
        <w:rPr>
          <w:b/>
          <w:bCs/>
          <w:color w:val="000000" w:themeColor="text1"/>
          <w:lang w:val="en-US"/>
        </w:rPr>
        <w:t>de</w:t>
      </w:r>
      <w:r w:rsidR="00E929F2" w:rsidRPr="00E929F2">
        <w:rPr>
          <w:b/>
          <w:bCs/>
          <w:color w:val="000000" w:themeColor="text1"/>
          <w:spacing w:val="-2"/>
          <w:lang w:val="en-US"/>
        </w:rPr>
        <w:t xml:space="preserve"> </w:t>
      </w:r>
      <w:proofErr w:type="spellStart"/>
      <w:r w:rsidRPr="00E929F2">
        <w:rPr>
          <w:b/>
          <w:bCs/>
          <w:color w:val="000000" w:themeColor="text1"/>
          <w:lang w:val="en-US"/>
        </w:rPr>
        <w:t>teren</w:t>
      </w:r>
      <w:proofErr w:type="spellEnd"/>
    </w:p>
    <w:p w14:paraId="7879AC8C" w14:textId="77777777" w:rsidR="00E929F2" w:rsidRPr="00E929F2" w:rsidRDefault="00E929F2" w:rsidP="00B72D84">
      <w:pPr>
        <w:widowControl w:val="0"/>
        <w:autoSpaceDE w:val="0"/>
        <w:autoSpaceDN w:val="0"/>
        <w:adjustRightInd w:val="0"/>
        <w:spacing w:before="160" w:line="237" w:lineRule="auto"/>
        <w:ind w:right="250"/>
        <w:jc w:val="both"/>
        <w:rPr>
          <w:rFonts w:eastAsiaTheme="minorEastAsia"/>
          <w:color w:val="000000" w:themeColor="text1"/>
          <w:lang w:val="fr-FR"/>
        </w:rPr>
      </w:pPr>
      <w:proofErr w:type="spellStart"/>
      <w:r w:rsidRPr="00E929F2">
        <w:rPr>
          <w:rFonts w:eastAsiaTheme="minorEastAsia"/>
          <w:color w:val="000000" w:themeColor="text1"/>
          <w:lang w:val="fr-FR"/>
        </w:rPr>
        <w:t>Formatul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bazei</w:t>
      </w:r>
      <w:proofErr w:type="spellEnd"/>
      <w:r w:rsidRPr="00E929F2">
        <w:rPr>
          <w:rFonts w:eastAsiaTheme="minorEastAsia"/>
          <w:color w:val="000000" w:themeColor="text1"/>
          <w:lang w:val="fr-FR"/>
        </w:rPr>
        <w:t xml:space="preserve"> de date </w:t>
      </w:r>
      <w:proofErr w:type="spellStart"/>
      <w:r w:rsidRPr="00E929F2">
        <w:rPr>
          <w:rFonts w:eastAsiaTheme="minorEastAsia"/>
          <w:color w:val="000000" w:themeColor="text1"/>
          <w:lang w:val="fr-FR"/>
        </w:rPr>
        <w:t>pentru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habitatele</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sărături</w:t>
      </w:r>
      <w:proofErr w:type="spellEnd"/>
      <w:r w:rsidRPr="00E929F2">
        <w:rPr>
          <w:rFonts w:eastAsiaTheme="minorEastAsia"/>
          <w:color w:val="000000" w:themeColor="text1"/>
          <w:lang w:val="fr-FR"/>
        </w:rPr>
        <w:t xml:space="preserve"> este </w:t>
      </w:r>
      <w:proofErr w:type="spellStart"/>
      <w:r w:rsidRPr="00E929F2">
        <w:rPr>
          <w:rFonts w:eastAsiaTheme="minorEastAsia"/>
          <w:color w:val="000000" w:themeColor="text1"/>
          <w:lang w:val="fr-FR"/>
        </w:rPr>
        <w:t>redat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cele</w:t>
      </w:r>
      <w:proofErr w:type="spellEnd"/>
      <w:r w:rsidRPr="00E929F2">
        <w:rPr>
          <w:rFonts w:eastAsiaTheme="minorEastAsia"/>
          <w:color w:val="000000" w:themeColor="text1"/>
          <w:lang w:val="fr-FR"/>
        </w:rPr>
        <w:t xml:space="preserve"> ce </w:t>
      </w:r>
      <w:proofErr w:type="spellStart"/>
      <w:r w:rsidRPr="00E929F2">
        <w:rPr>
          <w:rFonts w:eastAsiaTheme="minorEastAsia"/>
          <w:color w:val="000000" w:themeColor="text1"/>
          <w:lang w:val="fr-FR"/>
        </w:rPr>
        <w:t>urmează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poate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constitui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fișa</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teren</w:t>
      </w:r>
      <w:proofErr w:type="spellEnd"/>
      <w:r w:rsidRPr="00E929F2">
        <w:rPr>
          <w:rFonts w:eastAsiaTheme="minorEastAsia"/>
          <w:color w:val="000000" w:themeColor="text1"/>
          <w:lang w:val="fr-FR"/>
        </w:rPr>
        <w:t>.</w:t>
      </w:r>
    </w:p>
    <w:p w14:paraId="6EDD7543" w14:textId="77777777" w:rsidR="00E929F2" w:rsidRPr="00E929F2" w:rsidRDefault="00E929F2" w:rsidP="00B72D84">
      <w:pPr>
        <w:widowControl w:val="0"/>
        <w:autoSpaceDE w:val="0"/>
        <w:autoSpaceDN w:val="0"/>
        <w:adjustRightInd w:val="0"/>
        <w:spacing w:before="1"/>
        <w:ind w:right="248"/>
        <w:jc w:val="both"/>
        <w:rPr>
          <w:rFonts w:eastAsiaTheme="minorEastAsia"/>
          <w:color w:val="000000" w:themeColor="text1"/>
          <w:lang w:val="fr-FR"/>
        </w:rPr>
      </w:pPr>
      <w:proofErr w:type="spellStart"/>
      <w:r w:rsidRPr="00E929F2">
        <w:rPr>
          <w:rFonts w:eastAsiaTheme="minorEastAsia"/>
          <w:color w:val="000000" w:themeColor="text1"/>
          <w:lang w:val="fr-FR"/>
        </w:rPr>
        <w:t>Fişele</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monitorizare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sunt</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completate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după</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stabilirea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eşantioanelor</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reprezentative</w:t>
      </w:r>
      <w:proofErr w:type="spellEnd"/>
      <w:r w:rsidRPr="00E929F2">
        <w:rPr>
          <w:rFonts w:eastAsiaTheme="minorEastAsia"/>
          <w:color w:val="000000" w:themeColor="text1"/>
          <w:spacing w:val="61"/>
          <w:lang w:val="fr-FR"/>
        </w:rPr>
        <w:t xml:space="preserve"> </w:t>
      </w:r>
      <w:r w:rsidRPr="00E929F2">
        <w:rPr>
          <w:rFonts w:eastAsiaTheme="minorEastAsia"/>
          <w:color w:val="000000" w:themeColor="text1"/>
          <w:lang w:val="fr-FR"/>
        </w:rPr>
        <w:t>ale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fitocenozelor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componente</w:t>
      </w:r>
      <w:proofErr w:type="spellEnd"/>
      <w:r w:rsidRPr="00E929F2">
        <w:rPr>
          <w:rFonts w:eastAsiaTheme="minorEastAsia"/>
          <w:color w:val="000000" w:themeColor="text1"/>
          <w:lang w:val="fr-FR"/>
        </w:rPr>
        <w:t xml:space="preserve"> ale </w:t>
      </w:r>
      <w:proofErr w:type="spellStart"/>
      <w:r w:rsidRPr="00E929F2">
        <w:rPr>
          <w:rFonts w:eastAsiaTheme="minorEastAsia"/>
          <w:color w:val="000000" w:themeColor="text1"/>
          <w:lang w:val="fr-FR"/>
        </w:rPr>
        <w:t>habitatelor</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interes</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comunitar</w:t>
      </w:r>
      <w:proofErr w:type="spellEnd"/>
      <w:r w:rsidRPr="00E929F2">
        <w:rPr>
          <w:rFonts w:eastAsiaTheme="minorEastAsia"/>
          <w:color w:val="000000" w:themeColor="text1"/>
          <w:lang w:val="fr-FR"/>
        </w:rPr>
        <w:t xml:space="preserve">. Aceste </w:t>
      </w:r>
      <w:proofErr w:type="spellStart"/>
      <w:r w:rsidRPr="00E929F2">
        <w:rPr>
          <w:rFonts w:eastAsiaTheme="minorEastAsia"/>
          <w:color w:val="000000" w:themeColor="text1"/>
          <w:lang w:val="fr-FR"/>
        </w:rPr>
        <w:t>fişe</w:t>
      </w:r>
      <w:proofErr w:type="spellEnd"/>
      <w:r w:rsidRPr="00E929F2">
        <w:rPr>
          <w:rFonts w:eastAsiaTheme="minorEastAsia"/>
          <w:color w:val="000000" w:themeColor="text1"/>
          <w:lang w:val="fr-FR"/>
        </w:rPr>
        <w:t xml:space="preserve"> vor </w:t>
      </w:r>
      <w:proofErr w:type="spellStart"/>
      <w:r w:rsidRPr="00E929F2">
        <w:rPr>
          <w:rFonts w:eastAsiaTheme="minorEastAsia"/>
          <w:color w:val="000000" w:themeColor="text1"/>
          <w:lang w:val="fr-FR"/>
        </w:rPr>
        <w:t>conţine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informaţii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referitoare</w:t>
      </w:r>
      <w:proofErr w:type="spellEnd"/>
      <w:r w:rsidRPr="00E929F2">
        <w:rPr>
          <w:rFonts w:eastAsiaTheme="minorEastAsia"/>
          <w:color w:val="000000" w:themeColor="text1"/>
          <w:spacing w:val="-2"/>
          <w:lang w:val="fr-FR"/>
        </w:rPr>
        <w:t xml:space="preserve"> </w:t>
      </w:r>
      <w:r w:rsidRPr="00E929F2">
        <w:rPr>
          <w:rFonts w:eastAsiaTheme="minorEastAsia"/>
          <w:color w:val="000000" w:themeColor="text1"/>
          <w:lang w:val="fr-FR"/>
        </w:rPr>
        <w:t>la</w:t>
      </w:r>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așezare</w:t>
      </w:r>
      <w:proofErr w:type="spellEnd"/>
      <w:r w:rsidRPr="00E929F2">
        <w:rPr>
          <w:rFonts w:eastAsiaTheme="minorEastAsia"/>
          <w:color w:val="000000" w:themeColor="text1"/>
          <w:lang w:val="fr-FR"/>
        </w:rPr>
        <w:t>, relief,</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condiții</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biotop</w:t>
      </w:r>
      <w:proofErr w:type="spellEnd"/>
      <w:r w:rsidRPr="00E929F2">
        <w:rPr>
          <w:rFonts w:eastAsiaTheme="minorEastAsia"/>
          <w:color w:val="000000" w:themeColor="text1"/>
          <w:lang w:val="fr-FR"/>
        </w:rPr>
        <w:t>,</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lista</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speciilor</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din</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suprafața</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probă</w:t>
      </w:r>
      <w:proofErr w:type="spellEnd"/>
      <w:r w:rsidRPr="00E929F2">
        <w:rPr>
          <w:rFonts w:eastAsiaTheme="minorEastAsia"/>
          <w:color w:val="000000" w:themeColor="text1"/>
          <w:lang w:val="fr-FR"/>
        </w:rPr>
        <w:t>, etc.</w:t>
      </w:r>
    </w:p>
    <w:p w14:paraId="40E875AA" w14:textId="77777777" w:rsidR="00E929F2" w:rsidRPr="00E929F2" w:rsidRDefault="00E929F2" w:rsidP="00B72D84">
      <w:pPr>
        <w:widowControl w:val="0"/>
        <w:autoSpaceDE w:val="0"/>
        <w:autoSpaceDN w:val="0"/>
        <w:adjustRightInd w:val="0"/>
        <w:spacing w:before="64"/>
        <w:ind w:right="255"/>
        <w:jc w:val="both"/>
        <w:rPr>
          <w:rFonts w:eastAsiaTheme="minorEastAsia"/>
          <w:color w:val="000000" w:themeColor="text1"/>
          <w:lang w:val="fr-FR"/>
        </w:rPr>
      </w:pPr>
      <w:proofErr w:type="spellStart"/>
      <w:r w:rsidRPr="00E929F2">
        <w:rPr>
          <w:rFonts w:eastAsiaTheme="minorEastAsia"/>
          <w:color w:val="000000" w:themeColor="text1"/>
          <w:lang w:val="fr-FR"/>
        </w:rPr>
        <w:t>Monitorizarea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habitatelor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speciilor</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floră</w:t>
      </w:r>
      <w:proofErr w:type="spellEnd"/>
      <w:r w:rsidRPr="00E929F2">
        <w:rPr>
          <w:rFonts w:eastAsiaTheme="minorEastAsia"/>
          <w:color w:val="000000" w:themeColor="text1"/>
          <w:lang w:val="fr-FR"/>
        </w:rPr>
        <w:t xml:space="preserve"> care le </w:t>
      </w:r>
      <w:proofErr w:type="spellStart"/>
      <w:r w:rsidRPr="00E929F2">
        <w:rPr>
          <w:rFonts w:eastAsiaTheme="minorEastAsia"/>
          <w:color w:val="000000" w:themeColor="text1"/>
          <w:lang w:val="fr-FR"/>
        </w:rPr>
        <w:t>definesc</w:t>
      </w:r>
      <w:proofErr w:type="spellEnd"/>
      <w:r w:rsidRPr="00E929F2">
        <w:rPr>
          <w:rFonts w:eastAsiaTheme="minorEastAsia"/>
          <w:color w:val="000000" w:themeColor="text1"/>
          <w:lang w:val="fr-FR"/>
        </w:rPr>
        <w:t xml:space="preserve"> se </w:t>
      </w:r>
      <w:proofErr w:type="spellStart"/>
      <w:r w:rsidRPr="00E929F2">
        <w:rPr>
          <w:rFonts w:eastAsiaTheme="minorEastAsia"/>
          <w:color w:val="000000" w:themeColor="text1"/>
          <w:lang w:val="fr-FR"/>
        </w:rPr>
        <w:t>realizează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prin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utilizarea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metodei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suprafeţelor</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probă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transecte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sau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suprafețe</w:t>
      </w:r>
      <w:proofErr w:type="spellEnd"/>
      <w:r w:rsidRPr="00E929F2">
        <w:rPr>
          <w:rFonts w:eastAsiaTheme="minorEastAsia"/>
          <w:color w:val="000000" w:themeColor="text1"/>
          <w:lang w:val="fr-FR"/>
        </w:rPr>
        <w:t xml:space="preserve"> permanente (</w:t>
      </w:r>
      <w:proofErr w:type="spellStart"/>
      <w:r w:rsidRPr="00E929F2">
        <w:rPr>
          <w:rFonts w:eastAsiaTheme="minorEastAsia"/>
          <w:color w:val="000000" w:themeColor="text1"/>
          <w:lang w:val="fr-FR"/>
        </w:rPr>
        <w:t>relevee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metodă</w:t>
      </w:r>
      <w:proofErr w:type="spellEnd"/>
      <w:r w:rsidRPr="00E929F2">
        <w:rPr>
          <w:rFonts w:eastAsiaTheme="minorEastAsia"/>
          <w:color w:val="000000" w:themeColor="text1"/>
          <w:lang w:val="fr-FR"/>
        </w:rPr>
        <w:t xml:space="preserve"> ce </w:t>
      </w:r>
      <w:proofErr w:type="spellStart"/>
      <w:r w:rsidRPr="00E929F2">
        <w:rPr>
          <w:rFonts w:eastAsiaTheme="minorEastAsia"/>
          <w:color w:val="000000" w:themeColor="text1"/>
          <w:lang w:val="fr-FR"/>
        </w:rPr>
        <w:t>prezintă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avantajul</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efectuării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studiilor</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comparative.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Suprafeţele</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probă</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se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aleg</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funcţie</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gradientul</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 xml:space="preserve">de </w:t>
      </w:r>
      <w:r w:rsidRPr="00E929F2">
        <w:rPr>
          <w:rFonts w:eastAsiaTheme="minorEastAsia"/>
          <w:color w:val="000000" w:themeColor="text1"/>
          <w:spacing w:val="-57"/>
          <w:lang w:val="fr-FR"/>
        </w:rPr>
        <w:t xml:space="preserve"> </w:t>
      </w:r>
      <w:proofErr w:type="spellStart"/>
      <w:r w:rsidRPr="00E929F2">
        <w:rPr>
          <w:rFonts w:eastAsiaTheme="minorEastAsia"/>
          <w:color w:val="000000" w:themeColor="text1"/>
          <w:lang w:val="fr-FR"/>
        </w:rPr>
        <w:t>vegetaţie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prezent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cadrul</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habitatului</w:t>
      </w:r>
      <w:proofErr w:type="spellEnd"/>
      <w:r w:rsidRPr="00E929F2">
        <w:rPr>
          <w:rFonts w:eastAsiaTheme="minorEastAsia"/>
          <w:color w:val="000000" w:themeColor="text1"/>
          <w:lang w:val="fr-FR"/>
        </w:rPr>
        <w:t xml:space="preserve"> 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interes</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comunitar</w:t>
      </w:r>
      <w:proofErr w:type="spellEnd"/>
      <w:r w:rsidRPr="00E929F2">
        <w:rPr>
          <w:rFonts w:eastAsiaTheme="minorEastAsia"/>
          <w:color w:val="000000" w:themeColor="text1"/>
          <w:spacing w:val="-3"/>
          <w:lang w:val="fr-FR"/>
        </w:rPr>
        <w:t xml:space="preserve"> </w:t>
      </w:r>
      <w:proofErr w:type="spellStart"/>
      <w:r w:rsidRPr="00E929F2">
        <w:rPr>
          <w:rFonts w:eastAsiaTheme="minorEastAsia"/>
          <w:color w:val="000000" w:themeColor="text1"/>
          <w:lang w:val="fr-FR"/>
        </w:rPr>
        <w:t>având</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structuri</w:t>
      </w:r>
      <w:proofErr w:type="spellEnd"/>
      <w:r w:rsidRPr="00E929F2">
        <w:rPr>
          <w:rFonts w:eastAsiaTheme="minorEastAsia"/>
          <w:color w:val="000000" w:themeColor="text1"/>
          <w:spacing w:val="2"/>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tip:</w:t>
      </w:r>
    </w:p>
    <w:p w14:paraId="30F6CB02" w14:textId="77777777" w:rsidR="00E929F2" w:rsidRPr="00E929F2" w:rsidRDefault="00E929F2" w:rsidP="009E63E5">
      <w:pPr>
        <w:widowControl w:val="0"/>
        <w:numPr>
          <w:ilvl w:val="0"/>
          <w:numId w:val="115"/>
        </w:numPr>
        <w:tabs>
          <w:tab w:val="left" w:pos="720"/>
        </w:tabs>
        <w:autoSpaceDE w:val="0"/>
        <w:autoSpaceDN w:val="0"/>
        <w:ind w:left="0" w:right="258" w:firstLine="0"/>
        <w:jc w:val="both"/>
        <w:rPr>
          <w:rFonts w:eastAsiaTheme="minorHAnsi"/>
          <w:color w:val="000000" w:themeColor="text1"/>
          <w:lang w:val="fr-FR"/>
        </w:rPr>
      </w:pPr>
      <w:proofErr w:type="spellStart"/>
      <w:r w:rsidRPr="00E929F2">
        <w:rPr>
          <w:rFonts w:eastAsiaTheme="minorHAnsi"/>
          <w:color w:val="000000" w:themeColor="text1"/>
          <w:lang w:val="fr-FR"/>
        </w:rPr>
        <w:t>relevee</w:t>
      </w:r>
      <w:proofErr w:type="spellEnd"/>
      <w:r w:rsidRPr="00E929F2">
        <w:rPr>
          <w:rFonts w:eastAsiaTheme="minorHAnsi"/>
          <w:color w:val="000000" w:themeColor="text1"/>
          <w:lang w:val="fr-FR"/>
        </w:rPr>
        <w:t xml:space="preserve"> permanente ce </w:t>
      </w:r>
      <w:proofErr w:type="spellStart"/>
      <w:r w:rsidRPr="00E929F2">
        <w:rPr>
          <w:rFonts w:eastAsiaTheme="minorHAnsi"/>
          <w:color w:val="000000" w:themeColor="text1"/>
          <w:lang w:val="fr-FR"/>
        </w:rPr>
        <w:t>asigură</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monitorizarea</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comunităţilor</w:t>
      </w:r>
      <w:proofErr w:type="spellEnd"/>
      <w:r w:rsidRPr="00E929F2">
        <w:rPr>
          <w:rFonts w:eastAsiaTheme="minorHAnsi"/>
          <w:color w:val="000000" w:themeColor="text1"/>
          <w:lang w:val="fr-FR"/>
        </w:rPr>
        <w:t xml:space="preserve"> de plante </w:t>
      </w:r>
      <w:proofErr w:type="spellStart"/>
      <w:r w:rsidRPr="00E929F2">
        <w:rPr>
          <w:rFonts w:eastAsiaTheme="minorHAnsi"/>
          <w:color w:val="000000" w:themeColor="text1"/>
          <w:lang w:val="fr-FR"/>
        </w:rPr>
        <w:t>unde</w:t>
      </w:r>
      <w:proofErr w:type="spellEnd"/>
      <w:r w:rsidRPr="00E929F2">
        <w:rPr>
          <w:rFonts w:eastAsiaTheme="minorHAnsi"/>
          <w:color w:val="000000" w:themeColor="text1"/>
          <w:lang w:val="fr-FR"/>
        </w:rPr>
        <w:t xml:space="preserve"> nu </w:t>
      </w:r>
      <w:proofErr w:type="spellStart"/>
      <w:r w:rsidRPr="00E929F2">
        <w:rPr>
          <w:rFonts w:eastAsiaTheme="minorHAnsi"/>
          <w:color w:val="000000" w:themeColor="text1"/>
          <w:lang w:val="fr-FR"/>
        </w:rPr>
        <w:t>există</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evident</w:t>
      </w:r>
      <w:proofErr w:type="spellEnd"/>
      <w:r w:rsidRPr="00E929F2">
        <w:rPr>
          <w:rFonts w:eastAsiaTheme="minorHAnsi"/>
          <w:color w:val="000000" w:themeColor="text1"/>
          <w:spacing w:val="1"/>
          <w:lang w:val="fr-FR"/>
        </w:rPr>
        <w:t xml:space="preserve"> </w:t>
      </w:r>
      <w:r w:rsidRPr="00E929F2">
        <w:rPr>
          <w:rFonts w:eastAsiaTheme="minorHAnsi"/>
          <w:color w:val="000000" w:themeColor="text1"/>
          <w:lang w:val="fr-FR"/>
        </w:rPr>
        <w:t>un</w:t>
      </w:r>
      <w:r w:rsidRPr="00E929F2">
        <w:rPr>
          <w:rFonts w:eastAsiaTheme="minorHAnsi"/>
          <w:color w:val="000000" w:themeColor="text1"/>
          <w:spacing w:val="-1"/>
          <w:lang w:val="fr-FR"/>
        </w:rPr>
        <w:t xml:space="preserve"> </w:t>
      </w:r>
      <w:r w:rsidRPr="00E929F2">
        <w:rPr>
          <w:rFonts w:eastAsiaTheme="minorHAnsi"/>
          <w:color w:val="000000" w:themeColor="text1"/>
          <w:lang w:val="fr-FR"/>
        </w:rPr>
        <w:t xml:space="preserve">gradient de </w:t>
      </w:r>
      <w:proofErr w:type="spellStart"/>
      <w:r w:rsidRPr="00E929F2">
        <w:rPr>
          <w:rFonts w:eastAsiaTheme="minorHAnsi"/>
          <w:color w:val="000000" w:themeColor="text1"/>
          <w:lang w:val="fr-FR"/>
        </w:rPr>
        <w:t>vegetație</w:t>
      </w:r>
      <w:proofErr w:type="spellEnd"/>
      <w:r w:rsidRPr="00E929F2">
        <w:rPr>
          <w:rFonts w:eastAsiaTheme="minorHAnsi"/>
          <w:color w:val="000000" w:themeColor="text1"/>
          <w:lang w:val="fr-FR"/>
        </w:rPr>
        <w:t>;</w:t>
      </w:r>
    </w:p>
    <w:p w14:paraId="06D6D3D0" w14:textId="77777777" w:rsidR="00E929F2" w:rsidRPr="00E929F2" w:rsidRDefault="00E929F2" w:rsidP="009E63E5">
      <w:pPr>
        <w:widowControl w:val="0"/>
        <w:numPr>
          <w:ilvl w:val="0"/>
          <w:numId w:val="115"/>
        </w:numPr>
        <w:tabs>
          <w:tab w:val="left" w:pos="720"/>
        </w:tabs>
        <w:autoSpaceDE w:val="0"/>
        <w:autoSpaceDN w:val="0"/>
        <w:ind w:left="0" w:right="258" w:firstLine="0"/>
        <w:jc w:val="both"/>
        <w:rPr>
          <w:rFonts w:eastAsiaTheme="minorHAnsi"/>
          <w:color w:val="000000" w:themeColor="text1"/>
          <w:lang w:val="fr-FR"/>
        </w:rPr>
      </w:pPr>
      <w:proofErr w:type="spellStart"/>
      <w:r w:rsidRPr="00E929F2">
        <w:rPr>
          <w:rFonts w:eastAsiaTheme="minorHAnsi"/>
          <w:color w:val="000000" w:themeColor="text1"/>
          <w:lang w:val="fr-FR"/>
        </w:rPr>
        <w:t>transecte</w:t>
      </w:r>
      <w:proofErr w:type="spellEnd"/>
      <w:r w:rsidRPr="00E929F2">
        <w:rPr>
          <w:rFonts w:eastAsiaTheme="minorHAnsi"/>
          <w:color w:val="000000" w:themeColor="text1"/>
          <w:lang w:val="fr-FR"/>
        </w:rPr>
        <w:t xml:space="preserve"> de </w:t>
      </w:r>
      <w:proofErr w:type="spellStart"/>
      <w:r w:rsidRPr="00E929F2">
        <w:rPr>
          <w:rFonts w:eastAsiaTheme="minorHAnsi"/>
          <w:color w:val="000000" w:themeColor="text1"/>
          <w:lang w:val="fr-FR"/>
        </w:rPr>
        <w:t>vegetație</w:t>
      </w:r>
      <w:proofErr w:type="spellEnd"/>
      <w:r w:rsidRPr="00E929F2">
        <w:rPr>
          <w:rFonts w:eastAsiaTheme="minorHAnsi"/>
          <w:color w:val="000000" w:themeColor="text1"/>
          <w:lang w:val="fr-FR"/>
        </w:rPr>
        <w:t xml:space="preserve"> permanente </w:t>
      </w:r>
      <w:proofErr w:type="spellStart"/>
      <w:r w:rsidRPr="00E929F2">
        <w:rPr>
          <w:rFonts w:eastAsiaTheme="minorHAnsi"/>
          <w:color w:val="000000" w:themeColor="text1"/>
          <w:lang w:val="fr-FR"/>
        </w:rPr>
        <w:t>de-a</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lungul</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habitatului</w:t>
      </w:r>
      <w:proofErr w:type="spellEnd"/>
      <w:r w:rsidRPr="00E929F2">
        <w:rPr>
          <w:rFonts w:eastAsiaTheme="minorHAnsi"/>
          <w:color w:val="000000" w:themeColor="text1"/>
          <w:lang w:val="fr-FR"/>
        </w:rPr>
        <w:t xml:space="preserve"> de </w:t>
      </w:r>
      <w:proofErr w:type="spellStart"/>
      <w:r w:rsidRPr="00E929F2">
        <w:rPr>
          <w:rFonts w:eastAsiaTheme="minorHAnsi"/>
          <w:color w:val="000000" w:themeColor="text1"/>
          <w:lang w:val="fr-FR"/>
        </w:rPr>
        <w:t>interes</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comunitar</w:t>
      </w:r>
      <w:proofErr w:type="spellEnd"/>
      <w:r w:rsidRPr="00E929F2">
        <w:rPr>
          <w:rFonts w:eastAsiaTheme="minorHAnsi"/>
          <w:color w:val="000000" w:themeColor="text1"/>
          <w:lang w:val="fr-FR"/>
        </w:rPr>
        <w:t>.</w:t>
      </w:r>
      <w:r w:rsidRPr="00E929F2">
        <w:rPr>
          <w:rFonts w:eastAsiaTheme="minorHAnsi"/>
          <w:color w:val="000000" w:themeColor="text1"/>
          <w:spacing w:val="-57"/>
          <w:lang w:val="fr-FR"/>
        </w:rPr>
        <w:t xml:space="preserve"> </w:t>
      </w:r>
      <w:proofErr w:type="spellStart"/>
      <w:r w:rsidRPr="00E929F2">
        <w:rPr>
          <w:rFonts w:eastAsiaTheme="minorHAnsi"/>
          <w:color w:val="000000" w:themeColor="text1"/>
          <w:lang w:val="en-US"/>
        </w:rPr>
        <w:t>Pentru</w:t>
      </w:r>
      <w:proofErr w:type="spellEnd"/>
      <w:r w:rsidRPr="00E929F2">
        <w:rPr>
          <w:rFonts w:eastAsiaTheme="minorHAnsi"/>
          <w:color w:val="000000" w:themeColor="text1"/>
          <w:spacing w:val="-1"/>
          <w:lang w:val="en-US"/>
        </w:rPr>
        <w:t xml:space="preserve"> </w:t>
      </w:r>
      <w:proofErr w:type="spellStart"/>
      <w:r w:rsidRPr="00E929F2">
        <w:rPr>
          <w:rFonts w:eastAsiaTheme="minorHAnsi"/>
          <w:color w:val="000000" w:themeColor="text1"/>
          <w:lang w:val="en-US"/>
        </w:rPr>
        <w:t>monitorizarea</w:t>
      </w:r>
      <w:proofErr w:type="spellEnd"/>
      <w:r w:rsidRPr="00E929F2">
        <w:rPr>
          <w:rFonts w:eastAsiaTheme="minorHAnsi"/>
          <w:color w:val="000000" w:themeColor="text1"/>
          <w:spacing w:val="-1"/>
          <w:lang w:val="en-US"/>
        </w:rPr>
        <w:t xml:space="preserve"> </w:t>
      </w:r>
      <w:proofErr w:type="spellStart"/>
      <w:r w:rsidRPr="00E929F2">
        <w:rPr>
          <w:rFonts w:eastAsiaTheme="minorHAnsi"/>
          <w:color w:val="000000" w:themeColor="text1"/>
          <w:lang w:val="en-US"/>
        </w:rPr>
        <w:t>în</w:t>
      </w:r>
      <w:proofErr w:type="spellEnd"/>
      <w:r w:rsidRPr="00E929F2">
        <w:rPr>
          <w:rFonts w:eastAsiaTheme="minorHAnsi"/>
          <w:color w:val="000000" w:themeColor="text1"/>
          <w:spacing w:val="-1"/>
          <w:lang w:val="en-US"/>
        </w:rPr>
        <w:t xml:space="preserve"> </w:t>
      </w:r>
      <w:proofErr w:type="spellStart"/>
      <w:r w:rsidRPr="00E929F2">
        <w:rPr>
          <w:rFonts w:eastAsiaTheme="minorHAnsi"/>
          <w:color w:val="000000" w:themeColor="text1"/>
          <w:lang w:val="en-US"/>
        </w:rPr>
        <w:t>teren</w:t>
      </w:r>
      <w:proofErr w:type="spellEnd"/>
      <w:r w:rsidRPr="00E929F2">
        <w:rPr>
          <w:rFonts w:eastAsiaTheme="minorHAnsi"/>
          <w:color w:val="000000" w:themeColor="text1"/>
          <w:spacing w:val="1"/>
          <w:lang w:val="en-US"/>
        </w:rPr>
        <w:t xml:space="preserve"> </w:t>
      </w:r>
      <w:r w:rsidRPr="00E929F2">
        <w:rPr>
          <w:rFonts w:eastAsiaTheme="minorHAnsi"/>
          <w:color w:val="000000" w:themeColor="text1"/>
          <w:lang w:val="en-US"/>
        </w:rPr>
        <w:t>se</w:t>
      </w:r>
      <w:r w:rsidRPr="00E929F2">
        <w:rPr>
          <w:rFonts w:eastAsiaTheme="minorHAnsi"/>
          <w:color w:val="000000" w:themeColor="text1"/>
          <w:spacing w:val="-1"/>
          <w:lang w:val="en-US"/>
        </w:rPr>
        <w:t xml:space="preserve"> </w:t>
      </w:r>
      <w:proofErr w:type="spellStart"/>
      <w:r w:rsidRPr="00E929F2">
        <w:rPr>
          <w:rFonts w:eastAsiaTheme="minorHAnsi"/>
          <w:color w:val="000000" w:themeColor="text1"/>
          <w:lang w:val="en-US"/>
        </w:rPr>
        <w:t>vor</w:t>
      </w:r>
      <w:proofErr w:type="spellEnd"/>
      <w:r w:rsidRPr="00E929F2">
        <w:rPr>
          <w:rFonts w:eastAsiaTheme="minorHAnsi"/>
          <w:color w:val="000000" w:themeColor="text1"/>
          <w:spacing w:val="-2"/>
          <w:lang w:val="en-US"/>
        </w:rPr>
        <w:t xml:space="preserve"> </w:t>
      </w:r>
      <w:proofErr w:type="spellStart"/>
      <w:r w:rsidRPr="00E929F2">
        <w:rPr>
          <w:rFonts w:eastAsiaTheme="minorHAnsi"/>
          <w:color w:val="000000" w:themeColor="text1"/>
          <w:lang w:val="en-US"/>
        </w:rPr>
        <w:t>utiliza</w:t>
      </w:r>
      <w:proofErr w:type="spellEnd"/>
      <w:r w:rsidRPr="00E929F2">
        <w:rPr>
          <w:rFonts w:eastAsiaTheme="minorHAnsi"/>
          <w:color w:val="000000" w:themeColor="text1"/>
          <w:spacing w:val="-1"/>
          <w:lang w:val="en-US"/>
        </w:rPr>
        <w:t xml:space="preserve"> </w:t>
      </w:r>
      <w:proofErr w:type="spellStart"/>
      <w:r w:rsidRPr="00E929F2">
        <w:rPr>
          <w:rFonts w:eastAsiaTheme="minorHAnsi"/>
          <w:color w:val="000000" w:themeColor="text1"/>
          <w:lang w:val="en-US"/>
        </w:rPr>
        <w:t>următoarele</w:t>
      </w:r>
      <w:proofErr w:type="spellEnd"/>
      <w:r w:rsidRPr="00E929F2">
        <w:rPr>
          <w:rFonts w:eastAsiaTheme="minorHAnsi"/>
          <w:color w:val="000000" w:themeColor="text1"/>
          <w:spacing w:val="-1"/>
          <w:lang w:val="en-US"/>
        </w:rPr>
        <w:t xml:space="preserve"> </w:t>
      </w:r>
      <w:proofErr w:type="spellStart"/>
      <w:r w:rsidRPr="00E929F2">
        <w:rPr>
          <w:rFonts w:eastAsiaTheme="minorHAnsi"/>
          <w:color w:val="000000" w:themeColor="text1"/>
          <w:lang w:val="en-US"/>
        </w:rPr>
        <w:t>suprafeţe</w:t>
      </w:r>
      <w:proofErr w:type="spellEnd"/>
      <w:r w:rsidRPr="00E929F2">
        <w:rPr>
          <w:rFonts w:eastAsiaTheme="minorHAnsi"/>
          <w:color w:val="000000" w:themeColor="text1"/>
          <w:lang w:val="en-US"/>
        </w:rPr>
        <w:t xml:space="preserve"> de</w:t>
      </w:r>
      <w:r w:rsidRPr="00E929F2">
        <w:rPr>
          <w:rFonts w:eastAsiaTheme="minorHAnsi"/>
          <w:color w:val="000000" w:themeColor="text1"/>
          <w:spacing w:val="-2"/>
          <w:lang w:val="en-US"/>
        </w:rPr>
        <w:t xml:space="preserve"> </w:t>
      </w:r>
      <w:proofErr w:type="spellStart"/>
      <w:r w:rsidRPr="00E929F2">
        <w:rPr>
          <w:rFonts w:eastAsiaTheme="minorHAnsi"/>
          <w:color w:val="000000" w:themeColor="text1"/>
          <w:lang w:val="en-US"/>
        </w:rPr>
        <w:t>probă</w:t>
      </w:r>
      <w:proofErr w:type="spellEnd"/>
      <w:r w:rsidRPr="00E929F2">
        <w:rPr>
          <w:rFonts w:eastAsiaTheme="minorHAnsi"/>
          <w:color w:val="000000" w:themeColor="text1"/>
          <w:lang w:val="en-US"/>
        </w:rPr>
        <w:t>:</w:t>
      </w:r>
    </w:p>
    <w:p w14:paraId="7A887BFF" w14:textId="77777777" w:rsidR="00E929F2" w:rsidRPr="00E929F2" w:rsidRDefault="00E929F2" w:rsidP="009E63E5">
      <w:pPr>
        <w:widowControl w:val="0"/>
        <w:numPr>
          <w:ilvl w:val="0"/>
          <w:numId w:val="115"/>
        </w:numPr>
        <w:tabs>
          <w:tab w:val="left" w:pos="720"/>
        </w:tabs>
        <w:autoSpaceDE w:val="0"/>
        <w:autoSpaceDN w:val="0"/>
        <w:ind w:left="0" w:right="258" w:firstLine="0"/>
        <w:jc w:val="both"/>
        <w:rPr>
          <w:rFonts w:eastAsiaTheme="minorHAnsi"/>
          <w:color w:val="000000" w:themeColor="text1"/>
          <w:lang w:val="fr-FR"/>
        </w:rPr>
      </w:pPr>
      <w:proofErr w:type="spellStart"/>
      <w:r w:rsidRPr="00E929F2">
        <w:rPr>
          <w:rFonts w:eastAsiaTheme="minorHAnsi"/>
          <w:color w:val="000000" w:themeColor="text1"/>
          <w:lang w:val="fr-FR"/>
        </w:rPr>
        <w:t>Suprafeţe</w:t>
      </w:r>
      <w:proofErr w:type="spellEnd"/>
      <w:r w:rsidRPr="00E929F2">
        <w:rPr>
          <w:rFonts w:eastAsiaTheme="minorHAnsi"/>
          <w:color w:val="000000" w:themeColor="text1"/>
          <w:lang w:val="fr-FR"/>
        </w:rPr>
        <w:t xml:space="preserve"> de</w:t>
      </w:r>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probă</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poligonale</w:t>
      </w:r>
      <w:proofErr w:type="spellEnd"/>
      <w:r w:rsidRPr="00E929F2">
        <w:rPr>
          <w:rFonts w:eastAsiaTheme="minorHAnsi"/>
          <w:color w:val="000000" w:themeColor="text1"/>
          <w:lang w:val="fr-FR"/>
        </w:rPr>
        <w:t>, permanente, de</w:t>
      </w:r>
      <w:r w:rsidRPr="00E929F2">
        <w:rPr>
          <w:rFonts w:eastAsiaTheme="minorHAnsi"/>
          <w:color w:val="000000" w:themeColor="text1"/>
          <w:spacing w:val="-2"/>
          <w:lang w:val="fr-FR"/>
        </w:rPr>
        <w:t xml:space="preserve"> </w:t>
      </w:r>
      <w:r w:rsidRPr="00E929F2">
        <w:rPr>
          <w:rFonts w:eastAsiaTheme="minorHAnsi"/>
          <w:color w:val="000000" w:themeColor="text1"/>
          <w:lang w:val="fr-FR"/>
        </w:rPr>
        <w:t>maximum 100 m</w:t>
      </w:r>
      <w:r w:rsidRPr="00E929F2">
        <w:rPr>
          <w:rFonts w:eastAsiaTheme="minorHAnsi"/>
          <w:color w:val="000000" w:themeColor="text1"/>
          <w:vertAlign w:val="superscript"/>
          <w:lang w:val="fr-FR"/>
        </w:rPr>
        <w:t>2</w:t>
      </w:r>
      <w:r w:rsidRPr="00E929F2">
        <w:rPr>
          <w:rFonts w:eastAsiaTheme="minorHAnsi"/>
          <w:color w:val="000000" w:themeColor="text1"/>
          <w:lang w:val="fr-FR"/>
        </w:rPr>
        <w:t>;</w:t>
      </w:r>
    </w:p>
    <w:p w14:paraId="6109D0A2" w14:textId="77777777" w:rsidR="00E929F2" w:rsidRPr="00E929F2" w:rsidRDefault="00E929F2" w:rsidP="009E63E5">
      <w:pPr>
        <w:widowControl w:val="0"/>
        <w:numPr>
          <w:ilvl w:val="0"/>
          <w:numId w:val="115"/>
        </w:numPr>
        <w:tabs>
          <w:tab w:val="left" w:pos="720"/>
        </w:tabs>
        <w:autoSpaceDE w:val="0"/>
        <w:autoSpaceDN w:val="0"/>
        <w:ind w:left="0" w:right="258" w:firstLine="0"/>
        <w:jc w:val="both"/>
        <w:rPr>
          <w:rFonts w:eastAsiaTheme="minorHAnsi"/>
          <w:color w:val="000000" w:themeColor="text1"/>
          <w:lang w:val="fr-FR"/>
        </w:rPr>
      </w:pPr>
      <w:proofErr w:type="spellStart"/>
      <w:r w:rsidRPr="00E929F2">
        <w:rPr>
          <w:rFonts w:eastAsiaTheme="minorHAnsi"/>
          <w:color w:val="000000" w:themeColor="text1"/>
          <w:lang w:val="fr-FR"/>
        </w:rPr>
        <w:t>Suprafeţe</w:t>
      </w:r>
      <w:proofErr w:type="spellEnd"/>
      <w:r w:rsidRPr="00E929F2">
        <w:rPr>
          <w:rFonts w:eastAsiaTheme="minorHAnsi"/>
          <w:color w:val="000000" w:themeColor="text1"/>
          <w:spacing w:val="-1"/>
          <w:lang w:val="fr-FR"/>
        </w:rPr>
        <w:t xml:space="preserve"> </w:t>
      </w:r>
      <w:r w:rsidRPr="00E929F2">
        <w:rPr>
          <w:rFonts w:eastAsiaTheme="minorHAnsi"/>
          <w:color w:val="000000" w:themeColor="text1"/>
          <w:lang w:val="fr-FR"/>
        </w:rPr>
        <w:t>de</w:t>
      </w:r>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probă</w:t>
      </w:r>
      <w:proofErr w:type="spellEnd"/>
      <w:r w:rsidRPr="00E929F2">
        <w:rPr>
          <w:rFonts w:eastAsiaTheme="minorHAnsi"/>
          <w:color w:val="000000" w:themeColor="text1"/>
          <w:spacing w:val="-1"/>
          <w:lang w:val="fr-FR"/>
        </w:rPr>
        <w:t xml:space="preserve"> </w:t>
      </w:r>
      <w:r w:rsidRPr="00E929F2">
        <w:rPr>
          <w:rFonts w:eastAsiaTheme="minorHAnsi"/>
          <w:color w:val="000000" w:themeColor="text1"/>
          <w:lang w:val="fr-FR"/>
        </w:rPr>
        <w:t xml:space="preserve">permanente, de </w:t>
      </w:r>
      <w:proofErr w:type="spellStart"/>
      <w:r w:rsidRPr="00E929F2">
        <w:rPr>
          <w:rFonts w:eastAsiaTheme="minorHAnsi"/>
          <w:color w:val="000000" w:themeColor="text1"/>
          <w:lang w:val="fr-FR"/>
        </w:rPr>
        <w:t>formă</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neregulată,de</w:t>
      </w:r>
      <w:proofErr w:type="spellEnd"/>
      <w:r w:rsidRPr="00E929F2">
        <w:rPr>
          <w:rFonts w:eastAsiaTheme="minorHAnsi"/>
          <w:color w:val="000000" w:themeColor="text1"/>
          <w:spacing w:val="-2"/>
          <w:lang w:val="fr-FR"/>
        </w:rPr>
        <w:t xml:space="preserve"> </w:t>
      </w:r>
      <w:r w:rsidRPr="00E929F2">
        <w:rPr>
          <w:rFonts w:eastAsiaTheme="minorHAnsi"/>
          <w:color w:val="000000" w:themeColor="text1"/>
          <w:lang w:val="fr-FR"/>
        </w:rPr>
        <w:t>maximum 100</w:t>
      </w:r>
      <w:r w:rsidRPr="00E929F2">
        <w:rPr>
          <w:rFonts w:eastAsiaTheme="minorHAnsi"/>
          <w:color w:val="000000" w:themeColor="text1"/>
          <w:spacing w:val="-1"/>
          <w:lang w:val="fr-FR"/>
        </w:rPr>
        <w:t xml:space="preserve"> </w:t>
      </w:r>
      <w:r w:rsidRPr="00E929F2">
        <w:rPr>
          <w:rFonts w:eastAsiaTheme="minorHAnsi"/>
          <w:color w:val="000000" w:themeColor="text1"/>
          <w:lang w:val="fr-FR"/>
        </w:rPr>
        <w:t>m</w:t>
      </w:r>
      <w:r w:rsidRPr="00E929F2">
        <w:rPr>
          <w:rFonts w:eastAsiaTheme="minorHAnsi"/>
          <w:color w:val="000000" w:themeColor="text1"/>
          <w:vertAlign w:val="superscript"/>
          <w:lang w:val="fr-FR"/>
        </w:rPr>
        <w:t>2</w:t>
      </w:r>
      <w:r w:rsidRPr="00E929F2">
        <w:rPr>
          <w:rFonts w:eastAsiaTheme="minorHAnsi"/>
          <w:color w:val="000000" w:themeColor="text1"/>
          <w:lang w:val="fr-FR"/>
        </w:rPr>
        <w:t>.</w:t>
      </w:r>
    </w:p>
    <w:p w14:paraId="5095BF60" w14:textId="77777777" w:rsidR="00E929F2" w:rsidRPr="00E929F2" w:rsidRDefault="00E929F2" w:rsidP="00B72D84">
      <w:pPr>
        <w:widowControl w:val="0"/>
        <w:autoSpaceDE w:val="0"/>
        <w:autoSpaceDN w:val="0"/>
        <w:adjustRightInd w:val="0"/>
        <w:ind w:right="257"/>
        <w:jc w:val="both"/>
        <w:rPr>
          <w:rFonts w:eastAsiaTheme="minorEastAsia"/>
          <w:color w:val="000000" w:themeColor="text1"/>
          <w:lang w:val="fr-FR"/>
        </w:rPr>
      </w:pPr>
      <w:proofErr w:type="spellStart"/>
      <w:r w:rsidRPr="00E929F2">
        <w:rPr>
          <w:rFonts w:eastAsiaTheme="minorEastAsia"/>
          <w:color w:val="000000" w:themeColor="text1"/>
          <w:lang w:val="fr-FR"/>
        </w:rPr>
        <w:t>Numărul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minim</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suprafeţe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quadrate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relevee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depinde</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resursele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disponibile</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prelucrările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statistice</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ulterioare</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suprafața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habitatelor</w:t>
      </w:r>
      <w:proofErr w:type="spellEnd"/>
      <w:r w:rsidRPr="00E929F2">
        <w:rPr>
          <w:rFonts w:eastAsiaTheme="minorEastAsia"/>
          <w:color w:val="000000" w:themeColor="text1"/>
          <w:lang w:val="fr-FR"/>
        </w:rPr>
        <w:t>.</w:t>
      </w:r>
    </w:p>
    <w:p w14:paraId="1BDBAEA1" w14:textId="77777777" w:rsidR="00E929F2" w:rsidRPr="00E929F2" w:rsidRDefault="00E929F2" w:rsidP="00B72D84">
      <w:pPr>
        <w:widowControl w:val="0"/>
        <w:autoSpaceDE w:val="0"/>
        <w:autoSpaceDN w:val="0"/>
        <w:adjustRightInd w:val="0"/>
        <w:spacing w:before="1"/>
        <w:ind w:right="255"/>
        <w:jc w:val="both"/>
        <w:rPr>
          <w:rFonts w:eastAsiaTheme="minorEastAsia"/>
          <w:color w:val="000000" w:themeColor="text1"/>
          <w:lang w:val="fr-FR"/>
        </w:rPr>
      </w:pPr>
      <w:proofErr w:type="spellStart"/>
      <w:r w:rsidRPr="00E929F2">
        <w:rPr>
          <w:rFonts w:eastAsiaTheme="minorEastAsia"/>
          <w:color w:val="000000" w:themeColor="text1"/>
          <w:lang w:val="fr-FR"/>
        </w:rPr>
        <w:t>Observaţiile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datele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culese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deplasările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pe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teren</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constituie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baza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tuturor</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prelucrărilor</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spacing w:val="-57"/>
          <w:lang w:val="fr-FR"/>
        </w:rPr>
        <w:t xml:space="preserve"> </w:t>
      </w:r>
      <w:proofErr w:type="spellStart"/>
      <w:r w:rsidRPr="00E929F2">
        <w:rPr>
          <w:rFonts w:eastAsiaTheme="minorEastAsia"/>
          <w:color w:val="000000" w:themeColor="text1"/>
          <w:lang w:val="fr-FR"/>
        </w:rPr>
        <w:t>interpretărilor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vederea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obţinerii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unor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rezultate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cât</w:t>
      </w:r>
      <w:proofErr w:type="spellEnd"/>
      <w:r w:rsidRPr="00E929F2">
        <w:rPr>
          <w:rFonts w:eastAsiaTheme="minorEastAsia"/>
          <w:color w:val="000000" w:themeColor="text1"/>
          <w:lang w:val="fr-FR"/>
        </w:rPr>
        <w:t xml:space="preserve"> mai </w:t>
      </w:r>
      <w:proofErr w:type="spellStart"/>
      <w:r w:rsidRPr="00E929F2">
        <w:rPr>
          <w:rFonts w:eastAsiaTheme="minorEastAsia"/>
          <w:color w:val="000000" w:themeColor="text1"/>
          <w:lang w:val="fr-FR"/>
        </w:rPr>
        <w:t>obiective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valoare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ştiinţifică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obiectiv</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atins</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prin</w:t>
      </w:r>
      <w:proofErr w:type="spellEnd"/>
      <w:r w:rsidRPr="00E929F2">
        <w:rPr>
          <w:rFonts w:eastAsiaTheme="minorEastAsia"/>
          <w:color w:val="000000" w:themeColor="text1"/>
          <w:lang w:val="fr-FR"/>
        </w:rPr>
        <w:t>:</w:t>
      </w:r>
    </w:p>
    <w:p w14:paraId="55C7076A" w14:textId="77777777" w:rsidR="00E929F2" w:rsidRPr="00E929F2" w:rsidRDefault="00E929F2" w:rsidP="009E63E5">
      <w:pPr>
        <w:widowControl w:val="0"/>
        <w:numPr>
          <w:ilvl w:val="2"/>
          <w:numId w:val="160"/>
        </w:numPr>
        <w:autoSpaceDE w:val="0"/>
        <w:autoSpaceDN w:val="0"/>
        <w:ind w:left="0" w:right="258" w:firstLine="0"/>
        <w:jc w:val="both"/>
        <w:rPr>
          <w:rFonts w:eastAsiaTheme="minorHAnsi"/>
          <w:color w:val="000000" w:themeColor="text1"/>
          <w:lang w:val="fr-FR"/>
        </w:rPr>
      </w:pPr>
      <w:proofErr w:type="spellStart"/>
      <w:r w:rsidRPr="00E929F2">
        <w:rPr>
          <w:rFonts w:eastAsiaTheme="minorHAnsi"/>
          <w:color w:val="000000" w:themeColor="text1"/>
          <w:lang w:val="fr-FR"/>
        </w:rPr>
        <w:t>delimitarea</w:t>
      </w:r>
      <w:proofErr w:type="spellEnd"/>
      <w:r w:rsidRPr="00E929F2">
        <w:rPr>
          <w:rFonts w:eastAsiaTheme="minorHAnsi"/>
          <w:color w:val="000000" w:themeColor="text1"/>
          <w:spacing w:val="7"/>
          <w:lang w:val="fr-FR"/>
        </w:rPr>
        <w:t xml:space="preserve"> </w:t>
      </w:r>
      <w:proofErr w:type="spellStart"/>
      <w:r w:rsidRPr="00E929F2">
        <w:rPr>
          <w:rFonts w:eastAsiaTheme="minorHAnsi"/>
          <w:color w:val="000000" w:themeColor="text1"/>
          <w:lang w:val="fr-FR"/>
        </w:rPr>
        <w:t>ariei</w:t>
      </w:r>
      <w:proofErr w:type="spellEnd"/>
      <w:r w:rsidRPr="00E929F2">
        <w:rPr>
          <w:rFonts w:eastAsiaTheme="minorHAnsi"/>
          <w:color w:val="000000" w:themeColor="text1"/>
          <w:spacing w:val="8"/>
          <w:lang w:val="fr-FR"/>
        </w:rPr>
        <w:t xml:space="preserve"> </w:t>
      </w:r>
      <w:r w:rsidRPr="00E929F2">
        <w:rPr>
          <w:rFonts w:eastAsiaTheme="minorHAnsi"/>
          <w:color w:val="000000" w:themeColor="text1"/>
          <w:lang w:val="fr-FR"/>
        </w:rPr>
        <w:t>de</w:t>
      </w:r>
      <w:r w:rsidRPr="00E929F2">
        <w:rPr>
          <w:rFonts w:eastAsiaTheme="minorHAnsi"/>
          <w:color w:val="000000" w:themeColor="text1"/>
          <w:spacing w:val="9"/>
          <w:lang w:val="fr-FR"/>
        </w:rPr>
        <w:t xml:space="preserve"> </w:t>
      </w:r>
      <w:proofErr w:type="spellStart"/>
      <w:r w:rsidRPr="00E929F2">
        <w:rPr>
          <w:rFonts w:eastAsiaTheme="minorHAnsi"/>
          <w:color w:val="000000" w:themeColor="text1"/>
          <w:lang w:val="fr-FR"/>
        </w:rPr>
        <w:t>studiu</w:t>
      </w:r>
      <w:proofErr w:type="spellEnd"/>
      <w:r w:rsidRPr="00E929F2">
        <w:rPr>
          <w:rFonts w:eastAsiaTheme="minorHAnsi"/>
          <w:color w:val="000000" w:themeColor="text1"/>
          <w:lang w:val="fr-FR"/>
        </w:rPr>
        <w:t>,</w:t>
      </w:r>
      <w:r w:rsidRPr="00E929F2">
        <w:rPr>
          <w:rFonts w:eastAsiaTheme="minorHAnsi"/>
          <w:color w:val="000000" w:themeColor="text1"/>
          <w:spacing w:val="8"/>
          <w:lang w:val="fr-FR"/>
        </w:rPr>
        <w:t xml:space="preserve"> </w:t>
      </w:r>
      <w:proofErr w:type="spellStart"/>
      <w:r w:rsidRPr="00E929F2">
        <w:rPr>
          <w:rFonts w:eastAsiaTheme="minorHAnsi"/>
          <w:color w:val="000000" w:themeColor="text1"/>
          <w:lang w:val="fr-FR"/>
        </w:rPr>
        <w:t>pe</w:t>
      </w:r>
      <w:proofErr w:type="spellEnd"/>
      <w:r w:rsidRPr="00E929F2">
        <w:rPr>
          <w:rFonts w:eastAsiaTheme="minorHAnsi"/>
          <w:color w:val="000000" w:themeColor="text1"/>
          <w:spacing w:val="7"/>
          <w:lang w:val="fr-FR"/>
        </w:rPr>
        <w:t xml:space="preserve"> </w:t>
      </w:r>
      <w:r w:rsidRPr="00E929F2">
        <w:rPr>
          <w:rFonts w:eastAsiaTheme="minorHAnsi"/>
          <w:color w:val="000000" w:themeColor="text1"/>
          <w:lang w:val="fr-FR"/>
        </w:rPr>
        <w:t>o</w:t>
      </w:r>
      <w:r w:rsidRPr="00E929F2">
        <w:rPr>
          <w:rFonts w:eastAsiaTheme="minorHAnsi"/>
          <w:color w:val="000000" w:themeColor="text1"/>
          <w:spacing w:val="8"/>
          <w:lang w:val="fr-FR"/>
        </w:rPr>
        <w:t xml:space="preserve"> </w:t>
      </w:r>
      <w:proofErr w:type="spellStart"/>
      <w:r w:rsidRPr="00E929F2">
        <w:rPr>
          <w:rFonts w:eastAsiaTheme="minorHAnsi"/>
          <w:color w:val="000000" w:themeColor="text1"/>
          <w:lang w:val="fr-FR"/>
        </w:rPr>
        <w:t>hartă</w:t>
      </w:r>
      <w:proofErr w:type="spellEnd"/>
      <w:r w:rsidRPr="00E929F2">
        <w:rPr>
          <w:rFonts w:eastAsiaTheme="minorHAnsi"/>
          <w:color w:val="000000" w:themeColor="text1"/>
          <w:spacing w:val="7"/>
          <w:lang w:val="fr-FR"/>
        </w:rPr>
        <w:t xml:space="preserve"> </w:t>
      </w:r>
      <w:proofErr w:type="spellStart"/>
      <w:r w:rsidRPr="00E929F2">
        <w:rPr>
          <w:rFonts w:eastAsiaTheme="minorHAnsi"/>
          <w:color w:val="000000" w:themeColor="text1"/>
          <w:lang w:val="fr-FR"/>
        </w:rPr>
        <w:t>topografică</w:t>
      </w:r>
      <w:proofErr w:type="spellEnd"/>
      <w:r w:rsidRPr="00E929F2">
        <w:rPr>
          <w:rFonts w:eastAsiaTheme="minorHAnsi"/>
          <w:color w:val="000000" w:themeColor="text1"/>
          <w:spacing w:val="7"/>
          <w:lang w:val="fr-FR"/>
        </w:rPr>
        <w:t xml:space="preserve"> </w:t>
      </w:r>
      <w:r w:rsidRPr="00E929F2">
        <w:rPr>
          <w:rFonts w:eastAsiaTheme="minorHAnsi"/>
          <w:color w:val="000000" w:themeColor="text1"/>
          <w:lang w:val="fr-FR"/>
        </w:rPr>
        <w:t>la</w:t>
      </w:r>
      <w:r w:rsidRPr="00E929F2">
        <w:rPr>
          <w:rFonts w:eastAsiaTheme="minorHAnsi"/>
          <w:color w:val="000000" w:themeColor="text1"/>
          <w:spacing w:val="7"/>
          <w:lang w:val="fr-FR"/>
        </w:rPr>
        <w:t xml:space="preserve"> </w:t>
      </w:r>
      <w:proofErr w:type="spellStart"/>
      <w:r w:rsidRPr="00E929F2">
        <w:rPr>
          <w:rFonts w:eastAsiaTheme="minorHAnsi"/>
          <w:color w:val="000000" w:themeColor="text1"/>
          <w:lang w:val="fr-FR"/>
        </w:rPr>
        <w:t>scară</w:t>
      </w:r>
      <w:proofErr w:type="spellEnd"/>
      <w:r w:rsidRPr="00E929F2">
        <w:rPr>
          <w:rFonts w:eastAsiaTheme="minorHAnsi"/>
          <w:color w:val="000000" w:themeColor="text1"/>
          <w:spacing w:val="7"/>
          <w:lang w:val="fr-FR"/>
        </w:rPr>
        <w:t xml:space="preserve"> </w:t>
      </w:r>
      <w:r w:rsidRPr="00E929F2">
        <w:rPr>
          <w:rFonts w:eastAsiaTheme="minorHAnsi"/>
          <w:color w:val="000000" w:themeColor="text1"/>
          <w:lang w:val="fr-FR"/>
        </w:rPr>
        <w:t>mare</w:t>
      </w:r>
      <w:r w:rsidRPr="00E929F2">
        <w:rPr>
          <w:rFonts w:eastAsiaTheme="minorHAnsi"/>
          <w:color w:val="000000" w:themeColor="text1"/>
          <w:spacing w:val="7"/>
          <w:lang w:val="fr-FR"/>
        </w:rPr>
        <w:t xml:space="preserve"> </w:t>
      </w:r>
      <w:proofErr w:type="spellStart"/>
      <w:r w:rsidRPr="00E929F2">
        <w:rPr>
          <w:rFonts w:eastAsiaTheme="minorHAnsi"/>
          <w:color w:val="000000" w:themeColor="text1"/>
          <w:lang w:val="fr-FR"/>
        </w:rPr>
        <w:t>unde</w:t>
      </w:r>
      <w:proofErr w:type="spellEnd"/>
      <w:r w:rsidRPr="00E929F2">
        <w:rPr>
          <w:rFonts w:eastAsiaTheme="minorHAnsi"/>
          <w:color w:val="000000" w:themeColor="text1"/>
          <w:spacing w:val="7"/>
          <w:lang w:val="fr-FR"/>
        </w:rPr>
        <w:t xml:space="preserve"> </w:t>
      </w:r>
      <w:r w:rsidRPr="00E929F2">
        <w:rPr>
          <w:rFonts w:eastAsiaTheme="minorHAnsi"/>
          <w:color w:val="000000" w:themeColor="text1"/>
          <w:lang w:val="fr-FR"/>
        </w:rPr>
        <w:t>se</w:t>
      </w:r>
      <w:r w:rsidRPr="00E929F2">
        <w:rPr>
          <w:rFonts w:eastAsiaTheme="minorHAnsi"/>
          <w:color w:val="000000" w:themeColor="text1"/>
          <w:spacing w:val="7"/>
          <w:lang w:val="fr-FR"/>
        </w:rPr>
        <w:t xml:space="preserve"> </w:t>
      </w:r>
      <w:proofErr w:type="spellStart"/>
      <w:r w:rsidRPr="00E929F2">
        <w:rPr>
          <w:rFonts w:eastAsiaTheme="minorHAnsi"/>
          <w:color w:val="000000" w:themeColor="text1"/>
          <w:lang w:val="fr-FR"/>
        </w:rPr>
        <w:t>stabilesc</w:t>
      </w:r>
      <w:proofErr w:type="spellEnd"/>
      <w:r w:rsidRPr="00E929F2">
        <w:rPr>
          <w:rFonts w:eastAsiaTheme="minorHAnsi"/>
          <w:color w:val="000000" w:themeColor="text1"/>
          <w:spacing w:val="-57"/>
          <w:lang w:val="fr-FR"/>
        </w:rPr>
        <w:t xml:space="preserve"> </w:t>
      </w:r>
      <w:proofErr w:type="spellStart"/>
      <w:r w:rsidRPr="00E929F2">
        <w:rPr>
          <w:rFonts w:eastAsiaTheme="minorHAnsi"/>
          <w:color w:val="000000" w:themeColor="text1"/>
          <w:lang w:val="fr-FR"/>
        </w:rPr>
        <w:t>suprafeţele</w:t>
      </w:r>
      <w:proofErr w:type="spellEnd"/>
      <w:r w:rsidRPr="00E929F2">
        <w:rPr>
          <w:rFonts w:eastAsiaTheme="minorHAnsi"/>
          <w:color w:val="000000" w:themeColor="text1"/>
          <w:spacing w:val="-2"/>
          <w:lang w:val="fr-FR"/>
        </w:rPr>
        <w:t xml:space="preserve"> </w:t>
      </w:r>
      <w:r w:rsidRPr="00E929F2">
        <w:rPr>
          <w:rFonts w:eastAsiaTheme="minorHAnsi"/>
          <w:color w:val="000000" w:themeColor="text1"/>
          <w:lang w:val="fr-FR"/>
        </w:rPr>
        <w:t>ce</w:t>
      </w:r>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urmează</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să</w:t>
      </w:r>
      <w:proofErr w:type="spellEnd"/>
      <w:r w:rsidRPr="00E929F2">
        <w:rPr>
          <w:rFonts w:eastAsiaTheme="minorHAnsi"/>
          <w:color w:val="000000" w:themeColor="text1"/>
          <w:spacing w:val="-1"/>
          <w:lang w:val="fr-FR"/>
        </w:rPr>
        <w:t xml:space="preserve"> </w:t>
      </w:r>
      <w:r w:rsidRPr="00E929F2">
        <w:rPr>
          <w:rFonts w:eastAsiaTheme="minorHAnsi"/>
          <w:color w:val="000000" w:themeColor="text1"/>
          <w:lang w:val="fr-FR"/>
        </w:rPr>
        <w:t xml:space="preserve">fie </w:t>
      </w:r>
      <w:proofErr w:type="spellStart"/>
      <w:r w:rsidRPr="00E929F2">
        <w:rPr>
          <w:rFonts w:eastAsiaTheme="minorHAnsi"/>
          <w:color w:val="000000" w:themeColor="text1"/>
          <w:lang w:val="fr-FR"/>
        </w:rPr>
        <w:t>străbătute</w:t>
      </w:r>
      <w:proofErr w:type="spellEnd"/>
      <w:r w:rsidRPr="00E929F2">
        <w:rPr>
          <w:rFonts w:eastAsiaTheme="minorHAnsi"/>
          <w:color w:val="000000" w:themeColor="text1"/>
          <w:lang w:val="fr-FR"/>
        </w:rPr>
        <w:t>,</w:t>
      </w:r>
    </w:p>
    <w:p w14:paraId="4F745ECC" w14:textId="77777777" w:rsidR="00E929F2" w:rsidRPr="00E929F2" w:rsidRDefault="00E929F2" w:rsidP="009E63E5">
      <w:pPr>
        <w:widowControl w:val="0"/>
        <w:numPr>
          <w:ilvl w:val="2"/>
          <w:numId w:val="160"/>
        </w:numPr>
        <w:autoSpaceDE w:val="0"/>
        <w:autoSpaceDN w:val="0"/>
        <w:ind w:left="0" w:right="260" w:firstLine="0"/>
        <w:jc w:val="both"/>
        <w:rPr>
          <w:rFonts w:eastAsiaTheme="minorHAnsi"/>
          <w:color w:val="000000" w:themeColor="text1"/>
          <w:lang w:val="fr-FR"/>
        </w:rPr>
      </w:pPr>
      <w:proofErr w:type="spellStart"/>
      <w:r w:rsidRPr="00E929F2">
        <w:rPr>
          <w:rFonts w:eastAsiaTheme="minorHAnsi"/>
          <w:color w:val="000000" w:themeColor="text1"/>
          <w:lang w:val="fr-FR"/>
        </w:rPr>
        <w:t>consultarea</w:t>
      </w:r>
      <w:proofErr w:type="spellEnd"/>
      <w:r w:rsidRPr="00E929F2">
        <w:rPr>
          <w:rFonts w:eastAsiaTheme="minorHAnsi"/>
          <w:color w:val="000000" w:themeColor="text1"/>
          <w:spacing w:val="33"/>
          <w:lang w:val="fr-FR"/>
        </w:rPr>
        <w:t xml:space="preserve"> </w:t>
      </w:r>
      <w:proofErr w:type="spellStart"/>
      <w:r w:rsidRPr="00E929F2">
        <w:rPr>
          <w:rFonts w:eastAsiaTheme="minorHAnsi"/>
          <w:color w:val="000000" w:themeColor="text1"/>
          <w:lang w:val="fr-FR"/>
        </w:rPr>
        <w:t>bibliografiei</w:t>
      </w:r>
      <w:proofErr w:type="spellEnd"/>
      <w:r w:rsidRPr="00E929F2">
        <w:rPr>
          <w:rFonts w:eastAsiaTheme="minorHAnsi"/>
          <w:color w:val="000000" w:themeColor="text1"/>
          <w:spacing w:val="34"/>
          <w:lang w:val="fr-FR"/>
        </w:rPr>
        <w:t xml:space="preserve"> </w:t>
      </w:r>
      <w:proofErr w:type="spellStart"/>
      <w:r w:rsidRPr="00E929F2">
        <w:rPr>
          <w:rFonts w:eastAsiaTheme="minorHAnsi"/>
          <w:color w:val="000000" w:themeColor="text1"/>
          <w:lang w:val="fr-FR"/>
        </w:rPr>
        <w:t>necesare</w:t>
      </w:r>
      <w:proofErr w:type="spellEnd"/>
      <w:r w:rsidRPr="00E929F2">
        <w:rPr>
          <w:rFonts w:eastAsiaTheme="minorHAnsi"/>
          <w:color w:val="000000" w:themeColor="text1"/>
          <w:spacing w:val="33"/>
          <w:lang w:val="fr-FR"/>
        </w:rPr>
        <w:t xml:space="preserve"> </w:t>
      </w:r>
      <w:proofErr w:type="spellStart"/>
      <w:r w:rsidRPr="00E929F2">
        <w:rPr>
          <w:rFonts w:eastAsiaTheme="minorHAnsi"/>
          <w:color w:val="000000" w:themeColor="text1"/>
          <w:lang w:val="fr-FR"/>
        </w:rPr>
        <w:t>pentru</w:t>
      </w:r>
      <w:proofErr w:type="spellEnd"/>
      <w:r w:rsidRPr="00E929F2">
        <w:rPr>
          <w:rFonts w:eastAsiaTheme="minorHAnsi"/>
          <w:color w:val="000000" w:themeColor="text1"/>
          <w:spacing w:val="34"/>
          <w:lang w:val="fr-FR"/>
        </w:rPr>
        <w:t xml:space="preserve"> </w:t>
      </w:r>
      <w:proofErr w:type="spellStart"/>
      <w:r w:rsidRPr="00E929F2">
        <w:rPr>
          <w:rFonts w:eastAsiaTheme="minorHAnsi"/>
          <w:color w:val="000000" w:themeColor="text1"/>
          <w:lang w:val="fr-FR"/>
        </w:rPr>
        <w:t>interpretarea</w:t>
      </w:r>
      <w:proofErr w:type="spellEnd"/>
      <w:r w:rsidRPr="00E929F2">
        <w:rPr>
          <w:rFonts w:eastAsiaTheme="minorHAnsi"/>
          <w:color w:val="000000" w:themeColor="text1"/>
          <w:spacing w:val="33"/>
          <w:lang w:val="fr-FR"/>
        </w:rPr>
        <w:t xml:space="preserve"> </w:t>
      </w:r>
      <w:proofErr w:type="spellStart"/>
      <w:r w:rsidRPr="00E929F2">
        <w:rPr>
          <w:rFonts w:eastAsiaTheme="minorHAnsi"/>
          <w:color w:val="000000" w:themeColor="text1"/>
          <w:lang w:val="fr-FR"/>
        </w:rPr>
        <w:t>compoziţiei</w:t>
      </w:r>
      <w:proofErr w:type="spellEnd"/>
      <w:r w:rsidRPr="00E929F2">
        <w:rPr>
          <w:rFonts w:eastAsiaTheme="minorHAnsi"/>
          <w:color w:val="000000" w:themeColor="text1"/>
          <w:spacing w:val="34"/>
          <w:lang w:val="fr-FR"/>
        </w:rPr>
        <w:t xml:space="preserve"> </w:t>
      </w:r>
      <w:proofErr w:type="spellStart"/>
      <w:r w:rsidRPr="00E929F2">
        <w:rPr>
          <w:rFonts w:eastAsiaTheme="minorHAnsi"/>
          <w:color w:val="000000" w:themeColor="text1"/>
          <w:lang w:val="fr-FR"/>
        </w:rPr>
        <w:t>covorului</w:t>
      </w:r>
      <w:proofErr w:type="spellEnd"/>
      <w:r w:rsidRPr="00E929F2">
        <w:rPr>
          <w:rFonts w:eastAsiaTheme="minorHAnsi"/>
          <w:color w:val="000000" w:themeColor="text1"/>
          <w:spacing w:val="35"/>
          <w:lang w:val="fr-FR"/>
        </w:rPr>
        <w:t xml:space="preserve"> </w:t>
      </w:r>
      <w:proofErr w:type="spellStart"/>
      <w:r w:rsidRPr="00E929F2">
        <w:rPr>
          <w:rFonts w:eastAsiaTheme="minorHAnsi"/>
          <w:color w:val="000000" w:themeColor="text1"/>
          <w:lang w:val="fr-FR"/>
        </w:rPr>
        <w:t>vegetal</w:t>
      </w:r>
      <w:proofErr w:type="spellEnd"/>
      <w:r w:rsidRPr="00E929F2">
        <w:rPr>
          <w:rFonts w:eastAsiaTheme="minorHAnsi"/>
          <w:color w:val="000000" w:themeColor="text1"/>
          <w:spacing w:val="34"/>
          <w:lang w:val="fr-FR"/>
        </w:rPr>
        <w:t xml:space="preserve"> </w:t>
      </w:r>
      <w:proofErr w:type="spellStart"/>
      <w:r w:rsidRPr="00E929F2">
        <w:rPr>
          <w:rFonts w:eastAsiaTheme="minorHAnsi"/>
          <w:color w:val="000000" w:themeColor="text1"/>
          <w:lang w:val="fr-FR"/>
        </w:rPr>
        <w:t>în</w:t>
      </w:r>
      <w:proofErr w:type="spellEnd"/>
      <w:r w:rsidRPr="00E929F2">
        <w:rPr>
          <w:rFonts w:eastAsiaTheme="minorHAnsi"/>
          <w:color w:val="000000" w:themeColor="text1"/>
          <w:spacing w:val="-57"/>
          <w:lang w:val="fr-FR"/>
        </w:rPr>
        <w:t xml:space="preserve"> </w:t>
      </w:r>
      <w:proofErr w:type="spellStart"/>
      <w:r w:rsidRPr="00E929F2">
        <w:rPr>
          <w:rFonts w:eastAsiaTheme="minorHAnsi"/>
          <w:color w:val="000000" w:themeColor="text1"/>
          <w:lang w:val="fr-FR"/>
        </w:rPr>
        <w:t>funcţie</w:t>
      </w:r>
      <w:proofErr w:type="spellEnd"/>
      <w:r w:rsidRPr="00E929F2">
        <w:rPr>
          <w:rFonts w:eastAsiaTheme="minorHAnsi"/>
          <w:color w:val="000000" w:themeColor="text1"/>
          <w:spacing w:val="-2"/>
          <w:lang w:val="fr-FR"/>
        </w:rPr>
        <w:t xml:space="preserve"> </w:t>
      </w:r>
      <w:r w:rsidRPr="00E929F2">
        <w:rPr>
          <w:rFonts w:eastAsiaTheme="minorHAnsi"/>
          <w:color w:val="000000" w:themeColor="text1"/>
          <w:lang w:val="fr-FR"/>
        </w:rPr>
        <w:t>de</w:t>
      </w:r>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condiţiile</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fizico-geografice</w:t>
      </w:r>
      <w:proofErr w:type="spellEnd"/>
      <w:r w:rsidRPr="00E929F2">
        <w:rPr>
          <w:rFonts w:eastAsiaTheme="minorHAnsi"/>
          <w:color w:val="000000" w:themeColor="text1"/>
          <w:spacing w:val="1"/>
          <w:lang w:val="fr-FR"/>
        </w:rPr>
        <w:t xml:space="preserve"> </w:t>
      </w:r>
      <w:r w:rsidRPr="00E929F2">
        <w:rPr>
          <w:rFonts w:eastAsiaTheme="minorHAnsi"/>
          <w:color w:val="000000" w:themeColor="text1"/>
          <w:lang w:val="fr-FR"/>
        </w:rPr>
        <w:t xml:space="preserve">ale </w:t>
      </w:r>
      <w:proofErr w:type="spellStart"/>
      <w:r w:rsidRPr="00E929F2">
        <w:rPr>
          <w:rFonts w:eastAsiaTheme="minorHAnsi"/>
          <w:color w:val="000000" w:themeColor="text1"/>
          <w:lang w:val="fr-FR"/>
        </w:rPr>
        <w:t>zonei</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cercetate</w:t>
      </w:r>
      <w:proofErr w:type="spellEnd"/>
      <w:r w:rsidRPr="00E929F2">
        <w:rPr>
          <w:rFonts w:eastAsiaTheme="minorHAnsi"/>
          <w:color w:val="000000" w:themeColor="text1"/>
          <w:lang w:val="fr-FR"/>
        </w:rPr>
        <w:t>,</w:t>
      </w:r>
    </w:p>
    <w:p w14:paraId="3E65AA86" w14:textId="77777777" w:rsidR="00E929F2" w:rsidRPr="00E929F2" w:rsidRDefault="00E929F2" w:rsidP="009E63E5">
      <w:pPr>
        <w:widowControl w:val="0"/>
        <w:numPr>
          <w:ilvl w:val="2"/>
          <w:numId w:val="160"/>
        </w:numPr>
        <w:tabs>
          <w:tab w:val="left" w:pos="720"/>
        </w:tabs>
        <w:autoSpaceDE w:val="0"/>
        <w:autoSpaceDN w:val="0"/>
        <w:ind w:left="0" w:firstLine="0"/>
        <w:jc w:val="both"/>
        <w:rPr>
          <w:rFonts w:eastAsiaTheme="minorHAnsi"/>
          <w:color w:val="000000" w:themeColor="text1"/>
          <w:lang w:val="fr-FR"/>
        </w:rPr>
      </w:pPr>
      <w:proofErr w:type="spellStart"/>
      <w:r w:rsidRPr="00E929F2">
        <w:rPr>
          <w:rFonts w:eastAsiaTheme="minorHAnsi"/>
          <w:color w:val="000000" w:themeColor="text1"/>
          <w:lang w:val="fr-FR"/>
        </w:rPr>
        <w:t>identificarea</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aspectelor</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floristice</w:t>
      </w:r>
      <w:proofErr w:type="spellEnd"/>
      <w:r w:rsidRPr="00E929F2">
        <w:rPr>
          <w:rFonts w:eastAsiaTheme="minorHAnsi"/>
          <w:color w:val="000000" w:themeColor="text1"/>
          <w:spacing w:val="-3"/>
          <w:lang w:val="fr-FR"/>
        </w:rPr>
        <w:t xml:space="preserve"> </w:t>
      </w:r>
      <w:proofErr w:type="spellStart"/>
      <w:r w:rsidRPr="00E929F2">
        <w:rPr>
          <w:rFonts w:eastAsiaTheme="minorHAnsi"/>
          <w:color w:val="000000" w:themeColor="text1"/>
          <w:lang w:val="fr-FR"/>
        </w:rPr>
        <w:t>şi</w:t>
      </w:r>
      <w:proofErr w:type="spellEnd"/>
      <w:r w:rsidRPr="00E929F2">
        <w:rPr>
          <w:rFonts w:eastAsiaTheme="minorHAnsi"/>
          <w:color w:val="000000" w:themeColor="text1"/>
          <w:spacing w:val="-2"/>
          <w:lang w:val="fr-FR"/>
        </w:rPr>
        <w:t xml:space="preserve"> </w:t>
      </w:r>
      <w:r w:rsidRPr="00E929F2">
        <w:rPr>
          <w:rFonts w:eastAsiaTheme="minorHAnsi"/>
          <w:color w:val="000000" w:themeColor="text1"/>
          <w:lang w:val="fr-FR"/>
        </w:rPr>
        <w:t>de</w:t>
      </w:r>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vegetație</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întâlnite</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în</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zonele</w:t>
      </w:r>
      <w:proofErr w:type="spellEnd"/>
      <w:r w:rsidRPr="00E929F2">
        <w:rPr>
          <w:rFonts w:eastAsiaTheme="minorHAnsi"/>
          <w:color w:val="000000" w:themeColor="text1"/>
          <w:spacing w:val="-1"/>
          <w:lang w:val="fr-FR"/>
        </w:rPr>
        <w:t xml:space="preserve"> </w:t>
      </w:r>
      <w:r w:rsidRPr="00E929F2">
        <w:rPr>
          <w:rFonts w:eastAsiaTheme="minorHAnsi"/>
          <w:color w:val="000000" w:themeColor="text1"/>
          <w:lang w:val="fr-FR"/>
        </w:rPr>
        <w:t>de</w:t>
      </w:r>
      <w:r w:rsidRPr="00E929F2">
        <w:rPr>
          <w:rFonts w:eastAsiaTheme="minorHAnsi"/>
          <w:color w:val="000000" w:themeColor="text1"/>
          <w:spacing w:val="-3"/>
          <w:lang w:val="fr-FR"/>
        </w:rPr>
        <w:t xml:space="preserve"> </w:t>
      </w:r>
      <w:proofErr w:type="spellStart"/>
      <w:r w:rsidRPr="00E929F2">
        <w:rPr>
          <w:rFonts w:eastAsiaTheme="minorHAnsi"/>
          <w:color w:val="000000" w:themeColor="text1"/>
          <w:lang w:val="fr-FR"/>
        </w:rPr>
        <w:t>probă</w:t>
      </w:r>
      <w:proofErr w:type="spellEnd"/>
      <w:r w:rsidRPr="00E929F2">
        <w:rPr>
          <w:rFonts w:eastAsiaTheme="minorHAnsi"/>
          <w:color w:val="000000" w:themeColor="text1"/>
          <w:lang w:val="fr-FR"/>
        </w:rPr>
        <w:t>,</w:t>
      </w:r>
    </w:p>
    <w:p w14:paraId="5D4BBE87" w14:textId="77777777" w:rsidR="00E929F2" w:rsidRPr="00E929F2" w:rsidRDefault="00E929F2" w:rsidP="009E63E5">
      <w:pPr>
        <w:widowControl w:val="0"/>
        <w:numPr>
          <w:ilvl w:val="2"/>
          <w:numId w:val="160"/>
        </w:numPr>
        <w:tabs>
          <w:tab w:val="left" w:pos="720"/>
        </w:tabs>
        <w:autoSpaceDE w:val="0"/>
        <w:autoSpaceDN w:val="0"/>
        <w:ind w:left="0" w:firstLine="0"/>
        <w:jc w:val="both"/>
        <w:rPr>
          <w:rFonts w:eastAsiaTheme="minorHAnsi"/>
          <w:color w:val="000000" w:themeColor="text1"/>
          <w:lang w:val="en-US"/>
        </w:rPr>
      </w:pPr>
      <w:proofErr w:type="spellStart"/>
      <w:r w:rsidRPr="00E929F2">
        <w:rPr>
          <w:rFonts w:eastAsiaTheme="minorHAnsi"/>
          <w:color w:val="000000" w:themeColor="text1"/>
          <w:lang w:val="en-US"/>
        </w:rPr>
        <w:t>pregătirea</w:t>
      </w:r>
      <w:proofErr w:type="spellEnd"/>
      <w:r w:rsidRPr="00E929F2">
        <w:rPr>
          <w:rFonts w:eastAsiaTheme="minorHAnsi"/>
          <w:color w:val="000000" w:themeColor="text1"/>
          <w:spacing w:val="-3"/>
          <w:lang w:val="en-US"/>
        </w:rPr>
        <w:t xml:space="preserve"> </w:t>
      </w:r>
      <w:proofErr w:type="spellStart"/>
      <w:r w:rsidRPr="00E929F2">
        <w:rPr>
          <w:rFonts w:eastAsiaTheme="minorHAnsi"/>
          <w:color w:val="000000" w:themeColor="text1"/>
          <w:lang w:val="en-US"/>
        </w:rPr>
        <w:t>materialelor</w:t>
      </w:r>
      <w:proofErr w:type="spellEnd"/>
      <w:r w:rsidRPr="00E929F2">
        <w:rPr>
          <w:rFonts w:eastAsiaTheme="minorHAnsi"/>
          <w:color w:val="000000" w:themeColor="text1"/>
          <w:lang w:val="en-US"/>
        </w:rPr>
        <w:t xml:space="preserve"> </w:t>
      </w:r>
      <w:proofErr w:type="spellStart"/>
      <w:r w:rsidRPr="00E929F2">
        <w:rPr>
          <w:rFonts w:eastAsiaTheme="minorHAnsi"/>
          <w:color w:val="000000" w:themeColor="text1"/>
          <w:lang w:val="en-US"/>
        </w:rPr>
        <w:t>şi</w:t>
      </w:r>
      <w:proofErr w:type="spellEnd"/>
      <w:r w:rsidRPr="00E929F2">
        <w:rPr>
          <w:rFonts w:eastAsiaTheme="minorHAnsi"/>
          <w:color w:val="000000" w:themeColor="text1"/>
          <w:spacing w:val="-3"/>
          <w:lang w:val="en-US"/>
        </w:rPr>
        <w:t xml:space="preserve"> </w:t>
      </w:r>
      <w:r w:rsidRPr="00E929F2">
        <w:rPr>
          <w:rFonts w:eastAsiaTheme="minorHAnsi"/>
          <w:color w:val="000000" w:themeColor="text1"/>
          <w:lang w:val="en-US"/>
        </w:rPr>
        <w:t>a</w:t>
      </w:r>
      <w:r w:rsidRPr="00E929F2">
        <w:rPr>
          <w:rFonts w:eastAsiaTheme="minorHAnsi"/>
          <w:color w:val="000000" w:themeColor="text1"/>
          <w:spacing w:val="-1"/>
          <w:lang w:val="en-US"/>
        </w:rPr>
        <w:t xml:space="preserve"> </w:t>
      </w:r>
      <w:proofErr w:type="spellStart"/>
      <w:r w:rsidRPr="00E929F2">
        <w:rPr>
          <w:rFonts w:eastAsiaTheme="minorHAnsi"/>
          <w:color w:val="000000" w:themeColor="text1"/>
          <w:lang w:val="en-US"/>
        </w:rPr>
        <w:t>echipamentelor</w:t>
      </w:r>
      <w:proofErr w:type="spellEnd"/>
      <w:r w:rsidRPr="00E929F2">
        <w:rPr>
          <w:rFonts w:eastAsiaTheme="minorHAnsi"/>
          <w:color w:val="000000" w:themeColor="text1"/>
          <w:spacing w:val="-2"/>
          <w:lang w:val="en-US"/>
        </w:rPr>
        <w:t xml:space="preserve"> </w:t>
      </w:r>
      <w:proofErr w:type="spellStart"/>
      <w:r w:rsidRPr="00E929F2">
        <w:rPr>
          <w:rFonts w:eastAsiaTheme="minorHAnsi"/>
          <w:color w:val="000000" w:themeColor="text1"/>
          <w:lang w:val="en-US"/>
        </w:rPr>
        <w:t>necesare</w:t>
      </w:r>
      <w:proofErr w:type="spellEnd"/>
      <w:r w:rsidRPr="00E929F2">
        <w:rPr>
          <w:rFonts w:eastAsiaTheme="minorHAnsi"/>
          <w:color w:val="000000" w:themeColor="text1"/>
          <w:lang w:val="en-US"/>
        </w:rPr>
        <w:t>,</w:t>
      </w:r>
    </w:p>
    <w:p w14:paraId="3DD937CE" w14:textId="77777777" w:rsidR="00E929F2" w:rsidRPr="00E929F2" w:rsidRDefault="00E929F2" w:rsidP="009E63E5">
      <w:pPr>
        <w:widowControl w:val="0"/>
        <w:numPr>
          <w:ilvl w:val="2"/>
          <w:numId w:val="160"/>
        </w:numPr>
        <w:tabs>
          <w:tab w:val="left" w:pos="720"/>
        </w:tabs>
        <w:autoSpaceDE w:val="0"/>
        <w:autoSpaceDN w:val="0"/>
        <w:ind w:left="0" w:firstLine="0"/>
        <w:jc w:val="both"/>
        <w:rPr>
          <w:rFonts w:eastAsiaTheme="minorHAnsi"/>
          <w:color w:val="000000" w:themeColor="text1"/>
          <w:lang w:val="fr-FR"/>
        </w:rPr>
      </w:pPr>
      <w:proofErr w:type="spellStart"/>
      <w:r w:rsidRPr="00E929F2">
        <w:rPr>
          <w:rFonts w:eastAsiaTheme="minorHAnsi"/>
          <w:color w:val="000000" w:themeColor="text1"/>
          <w:lang w:val="fr-FR"/>
        </w:rPr>
        <w:t>stabilirea</w:t>
      </w:r>
      <w:proofErr w:type="spellEnd"/>
      <w:r w:rsidRPr="00E929F2">
        <w:rPr>
          <w:rFonts w:eastAsiaTheme="minorHAnsi"/>
          <w:color w:val="000000" w:themeColor="text1"/>
          <w:spacing w:val="-3"/>
          <w:lang w:val="fr-FR"/>
        </w:rPr>
        <w:t xml:space="preserve"> </w:t>
      </w:r>
      <w:proofErr w:type="spellStart"/>
      <w:r w:rsidRPr="00E929F2">
        <w:rPr>
          <w:rFonts w:eastAsiaTheme="minorHAnsi"/>
          <w:color w:val="000000" w:themeColor="text1"/>
          <w:lang w:val="fr-FR"/>
        </w:rPr>
        <w:t>pe</w:t>
      </w:r>
      <w:proofErr w:type="spellEnd"/>
      <w:r w:rsidRPr="00E929F2">
        <w:rPr>
          <w:rFonts w:eastAsiaTheme="minorHAnsi"/>
          <w:color w:val="000000" w:themeColor="text1"/>
          <w:spacing w:val="-2"/>
          <w:lang w:val="fr-FR"/>
        </w:rPr>
        <w:t xml:space="preserve"> </w:t>
      </w:r>
      <w:proofErr w:type="spellStart"/>
      <w:r w:rsidRPr="00E929F2">
        <w:rPr>
          <w:rFonts w:eastAsiaTheme="minorHAnsi"/>
          <w:color w:val="000000" w:themeColor="text1"/>
          <w:lang w:val="fr-FR"/>
        </w:rPr>
        <w:t>teren</w:t>
      </w:r>
      <w:proofErr w:type="spellEnd"/>
      <w:r w:rsidRPr="00E929F2">
        <w:rPr>
          <w:rFonts w:eastAsiaTheme="minorHAnsi"/>
          <w:color w:val="000000" w:themeColor="text1"/>
          <w:spacing w:val="1"/>
          <w:lang w:val="fr-FR"/>
        </w:rPr>
        <w:t xml:space="preserve"> </w:t>
      </w:r>
      <w:r w:rsidRPr="00E929F2">
        <w:rPr>
          <w:rFonts w:eastAsiaTheme="minorHAnsi"/>
          <w:color w:val="000000" w:themeColor="text1"/>
          <w:lang w:val="fr-FR"/>
        </w:rPr>
        <w:t>a</w:t>
      </w:r>
      <w:r w:rsidRPr="00E929F2">
        <w:rPr>
          <w:rFonts w:eastAsiaTheme="minorHAnsi"/>
          <w:color w:val="000000" w:themeColor="text1"/>
          <w:spacing w:val="-2"/>
          <w:lang w:val="fr-FR"/>
        </w:rPr>
        <w:t xml:space="preserve"> </w:t>
      </w:r>
      <w:proofErr w:type="spellStart"/>
      <w:r w:rsidRPr="00E929F2">
        <w:rPr>
          <w:rFonts w:eastAsiaTheme="minorHAnsi"/>
          <w:color w:val="000000" w:themeColor="text1"/>
          <w:lang w:val="fr-FR"/>
        </w:rPr>
        <w:t>suprafeţelor</w:t>
      </w:r>
      <w:proofErr w:type="spellEnd"/>
      <w:r w:rsidRPr="00E929F2">
        <w:rPr>
          <w:rFonts w:eastAsiaTheme="minorHAnsi"/>
          <w:color w:val="000000" w:themeColor="text1"/>
          <w:spacing w:val="-1"/>
          <w:lang w:val="fr-FR"/>
        </w:rPr>
        <w:t xml:space="preserve"> </w:t>
      </w:r>
      <w:r w:rsidRPr="00E929F2">
        <w:rPr>
          <w:rFonts w:eastAsiaTheme="minorHAnsi"/>
          <w:color w:val="000000" w:themeColor="text1"/>
          <w:lang w:val="fr-FR"/>
        </w:rPr>
        <w:t>de</w:t>
      </w:r>
      <w:r w:rsidRPr="00E929F2">
        <w:rPr>
          <w:rFonts w:eastAsiaTheme="minorHAnsi"/>
          <w:color w:val="000000" w:themeColor="text1"/>
          <w:spacing w:val="-3"/>
          <w:lang w:val="fr-FR"/>
        </w:rPr>
        <w:t xml:space="preserve"> </w:t>
      </w:r>
      <w:proofErr w:type="spellStart"/>
      <w:r w:rsidRPr="00E929F2">
        <w:rPr>
          <w:rFonts w:eastAsiaTheme="minorHAnsi"/>
          <w:color w:val="000000" w:themeColor="text1"/>
          <w:lang w:val="fr-FR"/>
        </w:rPr>
        <w:t>probă</w:t>
      </w:r>
      <w:proofErr w:type="spellEnd"/>
      <w:r w:rsidRPr="00E929F2">
        <w:rPr>
          <w:rFonts w:eastAsiaTheme="minorHAnsi"/>
          <w:color w:val="000000" w:themeColor="text1"/>
          <w:spacing w:val="-2"/>
          <w:lang w:val="fr-FR"/>
        </w:rPr>
        <w:t xml:space="preserve"> </w:t>
      </w:r>
      <w:r w:rsidRPr="00E929F2">
        <w:rPr>
          <w:rFonts w:eastAsiaTheme="minorHAnsi"/>
          <w:color w:val="000000" w:themeColor="text1"/>
          <w:lang w:val="fr-FR"/>
        </w:rPr>
        <w:t>permanente.</w:t>
      </w:r>
    </w:p>
    <w:p w14:paraId="513EAFDA" w14:textId="77777777" w:rsidR="00E929F2" w:rsidRPr="00E929F2" w:rsidRDefault="00E929F2" w:rsidP="00E929F2">
      <w:pPr>
        <w:widowControl w:val="0"/>
        <w:autoSpaceDE w:val="0"/>
        <w:autoSpaceDN w:val="0"/>
        <w:adjustRightInd w:val="0"/>
        <w:ind w:left="115"/>
        <w:jc w:val="both"/>
        <w:rPr>
          <w:rFonts w:eastAsiaTheme="minorEastAsia"/>
          <w:color w:val="000000" w:themeColor="text1"/>
          <w:lang w:val="fr-FR"/>
        </w:rPr>
      </w:pPr>
    </w:p>
    <w:p w14:paraId="6CED2C1D" w14:textId="77777777" w:rsidR="00E929F2" w:rsidRPr="00E929F2" w:rsidRDefault="00E929F2" w:rsidP="00B72D84">
      <w:pPr>
        <w:spacing w:before="1"/>
        <w:jc w:val="both"/>
        <w:rPr>
          <w:i/>
          <w:color w:val="000000" w:themeColor="text1"/>
        </w:rPr>
      </w:pPr>
      <w:r w:rsidRPr="00E929F2">
        <w:rPr>
          <w:i/>
          <w:color w:val="000000" w:themeColor="text1"/>
        </w:rPr>
        <w:t>Pregătirea</w:t>
      </w:r>
      <w:r w:rsidRPr="00E929F2">
        <w:rPr>
          <w:i/>
          <w:color w:val="000000" w:themeColor="text1"/>
          <w:spacing w:val="-3"/>
        </w:rPr>
        <w:t xml:space="preserve"> </w:t>
      </w:r>
      <w:r w:rsidRPr="00E929F2">
        <w:rPr>
          <w:i/>
          <w:color w:val="000000" w:themeColor="text1"/>
        </w:rPr>
        <w:t>materialelor</w:t>
      </w:r>
      <w:r w:rsidRPr="00E929F2">
        <w:rPr>
          <w:i/>
          <w:color w:val="000000" w:themeColor="text1"/>
          <w:spacing w:val="-2"/>
        </w:rPr>
        <w:t xml:space="preserve"> </w:t>
      </w:r>
      <w:r w:rsidRPr="00E929F2">
        <w:rPr>
          <w:i/>
          <w:color w:val="000000" w:themeColor="text1"/>
        </w:rPr>
        <w:t>şi</w:t>
      </w:r>
      <w:r w:rsidRPr="00E929F2">
        <w:rPr>
          <w:i/>
          <w:color w:val="000000" w:themeColor="text1"/>
          <w:spacing w:val="-2"/>
        </w:rPr>
        <w:t xml:space="preserve"> </w:t>
      </w:r>
      <w:r w:rsidRPr="00E929F2">
        <w:rPr>
          <w:i/>
          <w:color w:val="000000" w:themeColor="text1"/>
        </w:rPr>
        <w:t>a</w:t>
      </w:r>
      <w:r w:rsidRPr="00E929F2">
        <w:rPr>
          <w:i/>
          <w:color w:val="000000" w:themeColor="text1"/>
          <w:spacing w:val="-2"/>
        </w:rPr>
        <w:t xml:space="preserve"> </w:t>
      </w:r>
      <w:r w:rsidRPr="00E929F2">
        <w:rPr>
          <w:i/>
          <w:color w:val="000000" w:themeColor="text1"/>
        </w:rPr>
        <w:t>echipamentelor</w:t>
      </w:r>
      <w:r w:rsidRPr="00E929F2">
        <w:rPr>
          <w:i/>
          <w:color w:val="000000" w:themeColor="text1"/>
          <w:spacing w:val="-2"/>
        </w:rPr>
        <w:t xml:space="preserve"> </w:t>
      </w:r>
      <w:r w:rsidRPr="00E929F2">
        <w:rPr>
          <w:i/>
          <w:color w:val="000000" w:themeColor="text1"/>
        </w:rPr>
        <w:t>presupune:</w:t>
      </w:r>
    </w:p>
    <w:p w14:paraId="61C24048" w14:textId="77777777" w:rsidR="00E929F2" w:rsidRPr="00E929F2" w:rsidRDefault="00E929F2" w:rsidP="009E63E5">
      <w:pPr>
        <w:widowControl w:val="0"/>
        <w:numPr>
          <w:ilvl w:val="1"/>
          <w:numId w:val="114"/>
        </w:numPr>
        <w:tabs>
          <w:tab w:val="left" w:pos="900"/>
        </w:tabs>
        <w:autoSpaceDE w:val="0"/>
        <w:autoSpaceDN w:val="0"/>
        <w:ind w:left="0" w:firstLine="0"/>
        <w:jc w:val="both"/>
        <w:rPr>
          <w:rFonts w:eastAsiaTheme="minorHAnsi"/>
          <w:color w:val="000000" w:themeColor="text1"/>
          <w:lang w:val="en-US"/>
        </w:rPr>
      </w:pPr>
      <w:proofErr w:type="spellStart"/>
      <w:r w:rsidRPr="00E929F2">
        <w:rPr>
          <w:rFonts w:eastAsiaTheme="minorHAnsi"/>
          <w:color w:val="000000" w:themeColor="text1"/>
          <w:lang w:val="en-US"/>
        </w:rPr>
        <w:t>înregistrarea</w:t>
      </w:r>
      <w:proofErr w:type="spellEnd"/>
      <w:r w:rsidRPr="00E929F2">
        <w:rPr>
          <w:rFonts w:eastAsiaTheme="minorHAnsi"/>
          <w:color w:val="000000" w:themeColor="text1"/>
          <w:spacing w:val="-3"/>
          <w:lang w:val="en-US"/>
        </w:rPr>
        <w:t xml:space="preserve"> </w:t>
      </w:r>
      <w:proofErr w:type="spellStart"/>
      <w:r w:rsidRPr="00E929F2">
        <w:rPr>
          <w:rFonts w:eastAsiaTheme="minorHAnsi"/>
          <w:color w:val="000000" w:themeColor="text1"/>
          <w:lang w:val="en-US"/>
        </w:rPr>
        <w:t>datelor</w:t>
      </w:r>
      <w:proofErr w:type="spellEnd"/>
      <w:r w:rsidRPr="00E929F2">
        <w:rPr>
          <w:rFonts w:eastAsiaTheme="minorHAnsi"/>
          <w:color w:val="000000" w:themeColor="text1"/>
          <w:lang w:val="en-US"/>
        </w:rPr>
        <w:t>:</w:t>
      </w:r>
      <w:r w:rsidRPr="00E929F2">
        <w:rPr>
          <w:rFonts w:eastAsiaTheme="minorHAnsi"/>
          <w:color w:val="000000" w:themeColor="text1"/>
          <w:spacing w:val="-1"/>
          <w:lang w:val="en-US"/>
        </w:rPr>
        <w:t xml:space="preserve"> </w:t>
      </w:r>
      <w:proofErr w:type="spellStart"/>
      <w:r w:rsidRPr="00E929F2">
        <w:rPr>
          <w:rFonts w:eastAsiaTheme="minorHAnsi"/>
          <w:color w:val="000000" w:themeColor="text1"/>
          <w:lang w:val="en-US"/>
        </w:rPr>
        <w:t>fişe</w:t>
      </w:r>
      <w:proofErr w:type="spellEnd"/>
      <w:r w:rsidRPr="00E929F2">
        <w:rPr>
          <w:rFonts w:eastAsiaTheme="minorHAnsi"/>
          <w:color w:val="000000" w:themeColor="text1"/>
          <w:lang w:val="en-US"/>
        </w:rPr>
        <w:t xml:space="preserve"> </w:t>
      </w:r>
      <w:proofErr w:type="spellStart"/>
      <w:r w:rsidRPr="00E929F2">
        <w:rPr>
          <w:rFonts w:eastAsiaTheme="minorHAnsi"/>
          <w:color w:val="000000" w:themeColor="text1"/>
          <w:lang w:val="en-US"/>
        </w:rPr>
        <w:t>şi</w:t>
      </w:r>
      <w:proofErr w:type="spellEnd"/>
      <w:r w:rsidRPr="00E929F2">
        <w:rPr>
          <w:rFonts w:eastAsiaTheme="minorHAnsi"/>
          <w:color w:val="000000" w:themeColor="text1"/>
          <w:spacing w:val="-2"/>
          <w:lang w:val="en-US"/>
        </w:rPr>
        <w:t xml:space="preserve"> </w:t>
      </w:r>
      <w:proofErr w:type="spellStart"/>
      <w:r w:rsidRPr="00E929F2">
        <w:rPr>
          <w:rFonts w:eastAsiaTheme="minorHAnsi"/>
          <w:color w:val="000000" w:themeColor="text1"/>
          <w:lang w:val="en-US"/>
        </w:rPr>
        <w:t>caiet</w:t>
      </w:r>
      <w:proofErr w:type="spellEnd"/>
      <w:r w:rsidRPr="00E929F2">
        <w:rPr>
          <w:rFonts w:eastAsiaTheme="minorHAnsi"/>
          <w:color w:val="000000" w:themeColor="text1"/>
          <w:spacing w:val="-1"/>
          <w:lang w:val="en-US"/>
        </w:rPr>
        <w:t xml:space="preserve"> </w:t>
      </w:r>
      <w:r w:rsidRPr="00E929F2">
        <w:rPr>
          <w:rFonts w:eastAsiaTheme="minorHAnsi"/>
          <w:color w:val="000000" w:themeColor="text1"/>
          <w:lang w:val="en-US"/>
        </w:rPr>
        <w:t>de</w:t>
      </w:r>
      <w:r w:rsidRPr="00E929F2">
        <w:rPr>
          <w:rFonts w:eastAsiaTheme="minorHAnsi"/>
          <w:color w:val="000000" w:themeColor="text1"/>
          <w:spacing w:val="-2"/>
          <w:lang w:val="en-US"/>
        </w:rPr>
        <w:t xml:space="preserve"> </w:t>
      </w:r>
      <w:proofErr w:type="spellStart"/>
      <w:r w:rsidRPr="00E929F2">
        <w:rPr>
          <w:rFonts w:eastAsiaTheme="minorHAnsi"/>
          <w:color w:val="000000" w:themeColor="text1"/>
          <w:lang w:val="en-US"/>
        </w:rPr>
        <w:t>teren</w:t>
      </w:r>
      <w:proofErr w:type="spellEnd"/>
      <w:r w:rsidRPr="00E929F2">
        <w:rPr>
          <w:rFonts w:eastAsiaTheme="minorHAnsi"/>
          <w:color w:val="000000" w:themeColor="text1"/>
          <w:lang w:val="en-US"/>
        </w:rPr>
        <w:t>,</w:t>
      </w:r>
      <w:r w:rsidRPr="00E929F2">
        <w:rPr>
          <w:rFonts w:eastAsiaTheme="minorHAnsi"/>
          <w:color w:val="000000" w:themeColor="text1"/>
          <w:spacing w:val="-1"/>
          <w:lang w:val="en-US"/>
        </w:rPr>
        <w:t xml:space="preserve"> </w:t>
      </w:r>
      <w:proofErr w:type="spellStart"/>
      <w:r w:rsidRPr="00E929F2">
        <w:rPr>
          <w:rFonts w:eastAsiaTheme="minorHAnsi"/>
          <w:color w:val="000000" w:themeColor="text1"/>
          <w:lang w:val="en-US"/>
        </w:rPr>
        <w:t>ustensile</w:t>
      </w:r>
      <w:proofErr w:type="spellEnd"/>
      <w:r w:rsidRPr="00E929F2">
        <w:rPr>
          <w:rFonts w:eastAsiaTheme="minorHAnsi"/>
          <w:color w:val="000000" w:themeColor="text1"/>
          <w:spacing w:val="-2"/>
          <w:lang w:val="en-US"/>
        </w:rPr>
        <w:t xml:space="preserve"> </w:t>
      </w:r>
      <w:r w:rsidRPr="00E929F2">
        <w:rPr>
          <w:rFonts w:eastAsiaTheme="minorHAnsi"/>
          <w:color w:val="000000" w:themeColor="text1"/>
          <w:lang w:val="en-US"/>
        </w:rPr>
        <w:t>de</w:t>
      </w:r>
      <w:r w:rsidRPr="00E929F2">
        <w:rPr>
          <w:rFonts w:eastAsiaTheme="minorHAnsi"/>
          <w:color w:val="000000" w:themeColor="text1"/>
          <w:spacing w:val="-2"/>
          <w:lang w:val="en-US"/>
        </w:rPr>
        <w:t xml:space="preserve"> </w:t>
      </w:r>
      <w:proofErr w:type="spellStart"/>
      <w:r w:rsidRPr="00E929F2">
        <w:rPr>
          <w:rFonts w:eastAsiaTheme="minorHAnsi"/>
          <w:color w:val="000000" w:themeColor="text1"/>
          <w:lang w:val="en-US"/>
        </w:rPr>
        <w:t>scris</w:t>
      </w:r>
      <w:proofErr w:type="spellEnd"/>
      <w:r w:rsidRPr="00E929F2">
        <w:rPr>
          <w:rFonts w:eastAsiaTheme="minorHAnsi"/>
          <w:color w:val="000000" w:themeColor="text1"/>
          <w:lang w:val="en-US"/>
        </w:rPr>
        <w:t>,</w:t>
      </w:r>
      <w:r w:rsidRPr="00E929F2">
        <w:rPr>
          <w:rFonts w:eastAsiaTheme="minorHAnsi"/>
          <w:color w:val="000000" w:themeColor="text1"/>
          <w:spacing w:val="-2"/>
          <w:lang w:val="en-US"/>
        </w:rPr>
        <w:t xml:space="preserve"> </w:t>
      </w:r>
      <w:proofErr w:type="spellStart"/>
      <w:r w:rsidRPr="00E929F2">
        <w:rPr>
          <w:rFonts w:eastAsiaTheme="minorHAnsi"/>
          <w:color w:val="000000" w:themeColor="text1"/>
          <w:lang w:val="en-US"/>
        </w:rPr>
        <w:t>aparate</w:t>
      </w:r>
      <w:proofErr w:type="spellEnd"/>
      <w:r w:rsidRPr="00E929F2">
        <w:rPr>
          <w:rFonts w:eastAsiaTheme="minorHAnsi"/>
          <w:color w:val="000000" w:themeColor="text1"/>
          <w:spacing w:val="-1"/>
          <w:lang w:val="en-US"/>
        </w:rPr>
        <w:t xml:space="preserve"> </w:t>
      </w:r>
      <w:proofErr w:type="spellStart"/>
      <w:r w:rsidRPr="00E929F2">
        <w:rPr>
          <w:rFonts w:eastAsiaTheme="minorHAnsi"/>
          <w:color w:val="000000" w:themeColor="text1"/>
          <w:lang w:val="en-US"/>
        </w:rPr>
        <w:t>foto</w:t>
      </w:r>
      <w:proofErr w:type="spellEnd"/>
      <w:r w:rsidRPr="00E929F2">
        <w:rPr>
          <w:rFonts w:eastAsiaTheme="minorHAnsi"/>
          <w:color w:val="000000" w:themeColor="text1"/>
          <w:lang w:val="en-US"/>
        </w:rPr>
        <w:t>,</w:t>
      </w:r>
      <w:r w:rsidRPr="00E929F2">
        <w:rPr>
          <w:rFonts w:eastAsiaTheme="minorHAnsi"/>
          <w:color w:val="000000" w:themeColor="text1"/>
          <w:spacing w:val="-1"/>
          <w:lang w:val="en-US"/>
        </w:rPr>
        <w:t xml:space="preserve"> </w:t>
      </w:r>
      <w:proofErr w:type="spellStart"/>
      <w:r w:rsidRPr="00E929F2">
        <w:rPr>
          <w:rFonts w:eastAsiaTheme="minorHAnsi"/>
          <w:color w:val="000000" w:themeColor="text1"/>
          <w:lang w:val="en-US"/>
        </w:rPr>
        <w:t>echipamente</w:t>
      </w:r>
      <w:proofErr w:type="spellEnd"/>
      <w:r w:rsidRPr="00E929F2">
        <w:rPr>
          <w:rFonts w:eastAsiaTheme="minorHAnsi"/>
          <w:color w:val="000000" w:themeColor="text1"/>
          <w:lang w:val="en-US"/>
        </w:rPr>
        <w:t xml:space="preserve"> IT;</w:t>
      </w:r>
    </w:p>
    <w:p w14:paraId="7428EBC9" w14:textId="77777777" w:rsidR="00E929F2" w:rsidRPr="00E929F2" w:rsidRDefault="00E929F2" w:rsidP="009E63E5">
      <w:pPr>
        <w:widowControl w:val="0"/>
        <w:numPr>
          <w:ilvl w:val="1"/>
          <w:numId w:val="114"/>
        </w:numPr>
        <w:tabs>
          <w:tab w:val="left" w:pos="900"/>
        </w:tabs>
        <w:autoSpaceDE w:val="0"/>
        <w:autoSpaceDN w:val="0"/>
        <w:ind w:left="0" w:firstLine="0"/>
        <w:jc w:val="both"/>
        <w:rPr>
          <w:rFonts w:eastAsiaTheme="minorHAnsi"/>
          <w:color w:val="000000" w:themeColor="text1"/>
          <w:lang w:val="en-US"/>
        </w:rPr>
      </w:pPr>
      <w:proofErr w:type="spellStart"/>
      <w:r w:rsidRPr="00E929F2">
        <w:rPr>
          <w:rFonts w:eastAsiaTheme="minorHAnsi"/>
          <w:color w:val="000000" w:themeColor="text1"/>
          <w:lang w:val="en-US"/>
        </w:rPr>
        <w:t>orientare</w:t>
      </w:r>
      <w:proofErr w:type="spellEnd"/>
      <w:r w:rsidRPr="00E929F2">
        <w:rPr>
          <w:rFonts w:eastAsiaTheme="minorHAnsi"/>
          <w:color w:val="000000" w:themeColor="text1"/>
          <w:spacing w:val="-4"/>
          <w:lang w:val="en-US"/>
        </w:rPr>
        <w:t xml:space="preserve"> </w:t>
      </w:r>
      <w:proofErr w:type="spellStart"/>
      <w:r w:rsidRPr="00E929F2">
        <w:rPr>
          <w:rFonts w:eastAsiaTheme="minorHAnsi"/>
          <w:color w:val="000000" w:themeColor="text1"/>
          <w:lang w:val="en-US"/>
        </w:rPr>
        <w:t>în</w:t>
      </w:r>
      <w:proofErr w:type="spellEnd"/>
      <w:r w:rsidRPr="00E929F2">
        <w:rPr>
          <w:rFonts w:eastAsiaTheme="minorHAnsi"/>
          <w:color w:val="000000" w:themeColor="text1"/>
          <w:spacing w:val="-1"/>
          <w:lang w:val="en-US"/>
        </w:rPr>
        <w:t xml:space="preserve"> </w:t>
      </w:r>
      <w:proofErr w:type="spellStart"/>
      <w:r w:rsidRPr="00E929F2">
        <w:rPr>
          <w:rFonts w:eastAsiaTheme="minorHAnsi"/>
          <w:color w:val="000000" w:themeColor="text1"/>
          <w:lang w:val="en-US"/>
        </w:rPr>
        <w:t>teren</w:t>
      </w:r>
      <w:proofErr w:type="spellEnd"/>
      <w:r w:rsidRPr="00E929F2">
        <w:rPr>
          <w:rFonts w:eastAsiaTheme="minorHAnsi"/>
          <w:color w:val="000000" w:themeColor="text1"/>
          <w:lang w:val="en-US"/>
        </w:rPr>
        <w:t>:</w:t>
      </w:r>
      <w:r w:rsidRPr="00E929F2">
        <w:rPr>
          <w:rFonts w:eastAsiaTheme="minorHAnsi"/>
          <w:color w:val="000000" w:themeColor="text1"/>
          <w:spacing w:val="-1"/>
          <w:lang w:val="en-US"/>
        </w:rPr>
        <w:t xml:space="preserve"> </w:t>
      </w:r>
      <w:proofErr w:type="spellStart"/>
      <w:r w:rsidRPr="00E929F2">
        <w:rPr>
          <w:rFonts w:eastAsiaTheme="minorHAnsi"/>
          <w:color w:val="000000" w:themeColor="text1"/>
          <w:lang w:val="en-US"/>
        </w:rPr>
        <w:t>planuri</w:t>
      </w:r>
      <w:proofErr w:type="spellEnd"/>
      <w:r w:rsidRPr="00E929F2">
        <w:rPr>
          <w:rFonts w:eastAsiaTheme="minorHAnsi"/>
          <w:color w:val="000000" w:themeColor="text1"/>
          <w:lang w:val="en-US"/>
        </w:rPr>
        <w:t xml:space="preserve"> </w:t>
      </w:r>
      <w:proofErr w:type="spellStart"/>
      <w:r w:rsidRPr="00E929F2">
        <w:rPr>
          <w:rFonts w:eastAsiaTheme="minorHAnsi"/>
          <w:color w:val="000000" w:themeColor="text1"/>
          <w:lang w:val="en-US"/>
        </w:rPr>
        <w:t>topografice</w:t>
      </w:r>
      <w:proofErr w:type="spellEnd"/>
      <w:r w:rsidRPr="00E929F2">
        <w:rPr>
          <w:rFonts w:eastAsiaTheme="minorHAnsi"/>
          <w:color w:val="000000" w:themeColor="text1"/>
          <w:lang w:val="en-US"/>
        </w:rPr>
        <w:t>,</w:t>
      </w:r>
      <w:r w:rsidRPr="00E929F2">
        <w:rPr>
          <w:rFonts w:eastAsiaTheme="minorHAnsi"/>
          <w:color w:val="000000" w:themeColor="text1"/>
          <w:spacing w:val="-1"/>
          <w:lang w:val="en-US"/>
        </w:rPr>
        <w:t xml:space="preserve"> </w:t>
      </w:r>
      <w:proofErr w:type="spellStart"/>
      <w:r w:rsidRPr="00E929F2">
        <w:rPr>
          <w:rFonts w:eastAsiaTheme="minorHAnsi"/>
          <w:color w:val="000000" w:themeColor="text1"/>
          <w:lang w:val="en-US"/>
        </w:rPr>
        <w:t>harţi</w:t>
      </w:r>
      <w:proofErr w:type="spellEnd"/>
      <w:r w:rsidRPr="00E929F2">
        <w:rPr>
          <w:rFonts w:eastAsiaTheme="minorHAnsi"/>
          <w:color w:val="000000" w:themeColor="text1"/>
          <w:spacing w:val="-2"/>
          <w:lang w:val="en-US"/>
        </w:rPr>
        <w:t xml:space="preserve"> </w:t>
      </w:r>
      <w:proofErr w:type="spellStart"/>
      <w:r w:rsidRPr="00E929F2">
        <w:rPr>
          <w:rFonts w:eastAsiaTheme="minorHAnsi"/>
          <w:color w:val="000000" w:themeColor="text1"/>
          <w:lang w:val="en-US"/>
        </w:rPr>
        <w:t>topografice</w:t>
      </w:r>
      <w:proofErr w:type="spellEnd"/>
      <w:r w:rsidRPr="00E929F2">
        <w:rPr>
          <w:rFonts w:eastAsiaTheme="minorHAnsi"/>
          <w:color w:val="000000" w:themeColor="text1"/>
          <w:lang w:val="en-US"/>
        </w:rPr>
        <w:t>,</w:t>
      </w:r>
      <w:r w:rsidRPr="00E929F2">
        <w:rPr>
          <w:rFonts w:eastAsiaTheme="minorHAnsi"/>
          <w:color w:val="000000" w:themeColor="text1"/>
          <w:spacing w:val="-1"/>
          <w:lang w:val="en-US"/>
        </w:rPr>
        <w:t xml:space="preserve"> </w:t>
      </w:r>
      <w:proofErr w:type="spellStart"/>
      <w:r w:rsidRPr="00E929F2">
        <w:rPr>
          <w:rFonts w:eastAsiaTheme="minorHAnsi"/>
          <w:color w:val="000000" w:themeColor="text1"/>
          <w:lang w:val="en-US"/>
        </w:rPr>
        <w:t>busole</w:t>
      </w:r>
      <w:proofErr w:type="spellEnd"/>
      <w:r w:rsidRPr="00E929F2">
        <w:rPr>
          <w:rFonts w:eastAsiaTheme="minorHAnsi"/>
          <w:color w:val="000000" w:themeColor="text1"/>
          <w:lang w:val="en-US"/>
        </w:rPr>
        <w:t>,</w:t>
      </w:r>
      <w:r w:rsidRPr="00E929F2">
        <w:rPr>
          <w:rFonts w:eastAsiaTheme="minorHAnsi"/>
          <w:color w:val="000000" w:themeColor="text1"/>
          <w:spacing w:val="1"/>
          <w:lang w:val="en-US"/>
        </w:rPr>
        <w:t xml:space="preserve"> </w:t>
      </w:r>
      <w:r w:rsidRPr="00E929F2">
        <w:rPr>
          <w:rFonts w:eastAsiaTheme="minorHAnsi"/>
          <w:color w:val="000000" w:themeColor="text1"/>
          <w:lang w:val="en-US"/>
        </w:rPr>
        <w:t>GPS-</w:t>
      </w:r>
      <w:proofErr w:type="spellStart"/>
      <w:r w:rsidRPr="00E929F2">
        <w:rPr>
          <w:rFonts w:eastAsiaTheme="minorHAnsi"/>
          <w:color w:val="000000" w:themeColor="text1"/>
          <w:lang w:val="en-US"/>
        </w:rPr>
        <w:t>uri</w:t>
      </w:r>
      <w:proofErr w:type="spellEnd"/>
      <w:r w:rsidRPr="00E929F2">
        <w:rPr>
          <w:rFonts w:eastAsiaTheme="minorHAnsi"/>
          <w:color w:val="000000" w:themeColor="text1"/>
          <w:lang w:val="en-US"/>
        </w:rPr>
        <w:t>;</w:t>
      </w:r>
    </w:p>
    <w:p w14:paraId="60EA71DB" w14:textId="77777777" w:rsidR="00E929F2" w:rsidRPr="00E929F2" w:rsidRDefault="00E929F2" w:rsidP="009E63E5">
      <w:pPr>
        <w:widowControl w:val="0"/>
        <w:numPr>
          <w:ilvl w:val="1"/>
          <w:numId w:val="114"/>
        </w:numPr>
        <w:tabs>
          <w:tab w:val="left" w:pos="900"/>
        </w:tabs>
        <w:autoSpaceDE w:val="0"/>
        <w:autoSpaceDN w:val="0"/>
        <w:ind w:left="0" w:right="254" w:firstLine="0"/>
        <w:jc w:val="both"/>
        <w:rPr>
          <w:rFonts w:eastAsiaTheme="minorHAnsi"/>
          <w:color w:val="000000" w:themeColor="text1"/>
          <w:lang w:val="fr-FR"/>
        </w:rPr>
      </w:pPr>
      <w:proofErr w:type="spellStart"/>
      <w:r w:rsidRPr="00E929F2">
        <w:rPr>
          <w:rFonts w:eastAsiaTheme="minorHAnsi"/>
          <w:color w:val="000000" w:themeColor="text1"/>
          <w:lang w:val="fr-FR"/>
        </w:rPr>
        <w:t>colectarea</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probelor</w:t>
      </w:r>
      <w:proofErr w:type="spellEnd"/>
      <w:r w:rsidRPr="00E929F2">
        <w:rPr>
          <w:rFonts w:eastAsiaTheme="minorHAnsi"/>
          <w:color w:val="000000" w:themeColor="text1"/>
          <w:lang w:val="fr-FR"/>
        </w:rPr>
        <w:t xml:space="preserve"> de sol (</w:t>
      </w:r>
      <w:proofErr w:type="spellStart"/>
      <w:r w:rsidRPr="00E929F2">
        <w:rPr>
          <w:rFonts w:eastAsiaTheme="minorHAnsi"/>
          <w:color w:val="000000" w:themeColor="text1"/>
          <w:lang w:val="fr-FR"/>
        </w:rPr>
        <w:t>sondă</w:t>
      </w:r>
      <w:proofErr w:type="spellEnd"/>
      <w:r w:rsidRPr="00E929F2">
        <w:rPr>
          <w:rFonts w:eastAsiaTheme="minorHAnsi"/>
          <w:color w:val="000000" w:themeColor="text1"/>
          <w:lang w:val="fr-FR"/>
        </w:rPr>
        <w:t xml:space="preserve"> de </w:t>
      </w:r>
      <w:proofErr w:type="spellStart"/>
      <w:r w:rsidRPr="00E929F2">
        <w:rPr>
          <w:rFonts w:eastAsiaTheme="minorHAnsi"/>
          <w:color w:val="000000" w:themeColor="text1"/>
          <w:lang w:val="fr-FR"/>
        </w:rPr>
        <w:t>prelevare</w:t>
      </w:r>
      <w:proofErr w:type="spellEnd"/>
      <w:r w:rsidRPr="00E929F2">
        <w:rPr>
          <w:rFonts w:eastAsiaTheme="minorHAnsi"/>
          <w:color w:val="000000" w:themeColor="text1"/>
          <w:lang w:val="fr-FR"/>
        </w:rPr>
        <w:t xml:space="preserve"> a </w:t>
      </w:r>
      <w:proofErr w:type="spellStart"/>
      <w:r w:rsidRPr="00E929F2">
        <w:rPr>
          <w:rFonts w:eastAsiaTheme="minorHAnsi"/>
          <w:color w:val="000000" w:themeColor="text1"/>
          <w:lang w:val="fr-FR"/>
        </w:rPr>
        <w:t>solului</w:t>
      </w:r>
      <w:proofErr w:type="spellEnd"/>
      <w:r w:rsidRPr="00E929F2">
        <w:rPr>
          <w:rFonts w:eastAsiaTheme="minorHAnsi"/>
          <w:color w:val="000000" w:themeColor="text1"/>
          <w:lang w:val="fr-FR"/>
        </w:rPr>
        <w:t xml:space="preserve">, pungi de plastic) </w:t>
      </w:r>
      <w:proofErr w:type="spellStart"/>
      <w:r w:rsidRPr="00E929F2">
        <w:rPr>
          <w:rFonts w:eastAsiaTheme="minorHAnsi"/>
          <w:color w:val="000000" w:themeColor="text1"/>
          <w:lang w:val="fr-FR"/>
        </w:rPr>
        <w:t>şi</w:t>
      </w:r>
      <w:proofErr w:type="spellEnd"/>
      <w:r w:rsidRPr="00E929F2">
        <w:rPr>
          <w:rFonts w:eastAsiaTheme="minorHAnsi"/>
          <w:color w:val="000000" w:themeColor="text1"/>
          <w:lang w:val="fr-FR"/>
        </w:rPr>
        <w:t xml:space="preserve"> a </w:t>
      </w:r>
      <w:proofErr w:type="spellStart"/>
      <w:r w:rsidRPr="00E929F2">
        <w:rPr>
          <w:rFonts w:eastAsiaTheme="minorHAnsi"/>
          <w:color w:val="000000" w:themeColor="text1"/>
          <w:lang w:val="fr-FR"/>
        </w:rPr>
        <w:t>probelor</w:t>
      </w:r>
      <w:proofErr w:type="spellEnd"/>
      <w:r w:rsidRPr="00E929F2">
        <w:rPr>
          <w:rFonts w:eastAsiaTheme="minorHAnsi"/>
          <w:color w:val="000000" w:themeColor="text1"/>
          <w:lang w:val="fr-FR"/>
        </w:rPr>
        <w:t xml:space="preserve"> de</w:t>
      </w:r>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apă</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sondă</w:t>
      </w:r>
      <w:proofErr w:type="spellEnd"/>
      <w:r w:rsidRPr="00E929F2">
        <w:rPr>
          <w:rFonts w:eastAsiaTheme="minorHAnsi"/>
          <w:color w:val="000000" w:themeColor="text1"/>
          <w:lang w:val="fr-FR"/>
        </w:rPr>
        <w:t xml:space="preserve"> de </w:t>
      </w:r>
      <w:proofErr w:type="spellStart"/>
      <w:r w:rsidRPr="00E929F2">
        <w:rPr>
          <w:rFonts w:eastAsiaTheme="minorHAnsi"/>
          <w:color w:val="000000" w:themeColor="text1"/>
          <w:lang w:val="fr-FR"/>
        </w:rPr>
        <w:t>prelevare</w:t>
      </w:r>
      <w:proofErr w:type="spellEnd"/>
      <w:r w:rsidRPr="00E929F2">
        <w:rPr>
          <w:rFonts w:eastAsiaTheme="minorHAnsi"/>
          <w:color w:val="000000" w:themeColor="text1"/>
          <w:lang w:val="fr-FR"/>
        </w:rPr>
        <w:t xml:space="preserve"> a </w:t>
      </w:r>
      <w:proofErr w:type="spellStart"/>
      <w:r w:rsidRPr="00E929F2">
        <w:rPr>
          <w:rFonts w:eastAsiaTheme="minorHAnsi"/>
          <w:color w:val="000000" w:themeColor="text1"/>
          <w:lang w:val="fr-FR"/>
        </w:rPr>
        <w:t>probelor</w:t>
      </w:r>
      <w:proofErr w:type="spellEnd"/>
      <w:r w:rsidRPr="00E929F2">
        <w:rPr>
          <w:rFonts w:eastAsiaTheme="minorHAnsi"/>
          <w:color w:val="000000" w:themeColor="text1"/>
          <w:lang w:val="fr-FR"/>
        </w:rPr>
        <w:t xml:space="preserve"> de </w:t>
      </w:r>
      <w:proofErr w:type="spellStart"/>
      <w:r w:rsidRPr="00E929F2">
        <w:rPr>
          <w:rFonts w:eastAsiaTheme="minorHAnsi"/>
          <w:color w:val="000000" w:themeColor="text1"/>
          <w:lang w:val="fr-FR"/>
        </w:rPr>
        <w:t>apă</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dragă</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recipiente</w:t>
      </w:r>
      <w:proofErr w:type="spellEnd"/>
      <w:r w:rsidRPr="00E929F2">
        <w:rPr>
          <w:rFonts w:eastAsiaTheme="minorHAnsi"/>
          <w:color w:val="000000" w:themeColor="text1"/>
          <w:lang w:val="fr-FR"/>
        </w:rPr>
        <w:t xml:space="preserve"> de plastic de </w:t>
      </w:r>
      <w:proofErr w:type="spellStart"/>
      <w:r w:rsidRPr="00E929F2">
        <w:rPr>
          <w:rFonts w:eastAsiaTheme="minorHAnsi"/>
          <w:color w:val="000000" w:themeColor="text1"/>
          <w:lang w:val="fr-FR"/>
        </w:rPr>
        <w:t>stocare</w:t>
      </w:r>
      <w:proofErr w:type="spellEnd"/>
      <w:r w:rsidRPr="00E929F2">
        <w:rPr>
          <w:rFonts w:eastAsiaTheme="minorHAnsi"/>
          <w:color w:val="000000" w:themeColor="text1"/>
          <w:lang w:val="fr-FR"/>
        </w:rPr>
        <w:t xml:space="preserve"> probe,</w:t>
      </w:r>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barcă</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cu</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motor</w:t>
      </w:r>
      <w:proofErr w:type="spellEnd"/>
      <w:r w:rsidRPr="00E929F2">
        <w:rPr>
          <w:rFonts w:eastAsiaTheme="minorHAnsi"/>
          <w:color w:val="000000" w:themeColor="text1"/>
          <w:lang w:val="fr-FR"/>
        </w:rPr>
        <w:t>);</w:t>
      </w:r>
    </w:p>
    <w:p w14:paraId="1D1ED7DF" w14:textId="77777777" w:rsidR="00E929F2" w:rsidRPr="00E929F2" w:rsidRDefault="00E929F2" w:rsidP="009E63E5">
      <w:pPr>
        <w:widowControl w:val="0"/>
        <w:numPr>
          <w:ilvl w:val="1"/>
          <w:numId w:val="114"/>
        </w:numPr>
        <w:tabs>
          <w:tab w:val="left" w:pos="900"/>
        </w:tabs>
        <w:autoSpaceDE w:val="0"/>
        <w:autoSpaceDN w:val="0"/>
        <w:ind w:left="0" w:right="255" w:firstLine="0"/>
        <w:jc w:val="both"/>
        <w:rPr>
          <w:rFonts w:eastAsiaTheme="minorHAnsi"/>
          <w:color w:val="000000" w:themeColor="text1"/>
          <w:lang w:val="en-US"/>
        </w:rPr>
      </w:pPr>
      <w:proofErr w:type="spellStart"/>
      <w:r w:rsidRPr="00E929F2">
        <w:rPr>
          <w:rFonts w:eastAsiaTheme="minorHAnsi"/>
          <w:color w:val="000000" w:themeColor="text1"/>
          <w:lang w:val="en-US"/>
        </w:rPr>
        <w:t>pentru</w:t>
      </w:r>
      <w:proofErr w:type="spellEnd"/>
      <w:r w:rsidRPr="00E929F2">
        <w:rPr>
          <w:rFonts w:eastAsiaTheme="minorHAnsi"/>
          <w:color w:val="000000" w:themeColor="text1"/>
          <w:lang w:val="en-US"/>
        </w:rPr>
        <w:t xml:space="preserve"> </w:t>
      </w:r>
      <w:proofErr w:type="spellStart"/>
      <w:r w:rsidRPr="00E929F2">
        <w:rPr>
          <w:rFonts w:eastAsiaTheme="minorHAnsi"/>
          <w:color w:val="000000" w:themeColor="text1"/>
          <w:lang w:val="en-US"/>
        </w:rPr>
        <w:t>identificarea</w:t>
      </w:r>
      <w:proofErr w:type="spellEnd"/>
      <w:r w:rsidRPr="00E929F2">
        <w:rPr>
          <w:rFonts w:eastAsiaTheme="minorHAnsi"/>
          <w:color w:val="000000" w:themeColor="text1"/>
          <w:lang w:val="en-US"/>
        </w:rPr>
        <w:t xml:space="preserve"> </w:t>
      </w:r>
      <w:proofErr w:type="spellStart"/>
      <w:r w:rsidRPr="00E929F2">
        <w:rPr>
          <w:rFonts w:eastAsiaTheme="minorHAnsi"/>
          <w:color w:val="000000" w:themeColor="text1"/>
          <w:lang w:val="en-US"/>
        </w:rPr>
        <w:t>şi</w:t>
      </w:r>
      <w:proofErr w:type="spellEnd"/>
      <w:r w:rsidRPr="00E929F2">
        <w:rPr>
          <w:rFonts w:eastAsiaTheme="minorHAnsi"/>
          <w:color w:val="000000" w:themeColor="text1"/>
          <w:lang w:val="en-US"/>
        </w:rPr>
        <w:t xml:space="preserve"> </w:t>
      </w:r>
      <w:proofErr w:type="spellStart"/>
      <w:r w:rsidRPr="00E929F2">
        <w:rPr>
          <w:rFonts w:eastAsiaTheme="minorHAnsi"/>
          <w:color w:val="000000" w:themeColor="text1"/>
          <w:lang w:val="en-US"/>
        </w:rPr>
        <w:t>colectarea</w:t>
      </w:r>
      <w:proofErr w:type="spellEnd"/>
      <w:r w:rsidRPr="00E929F2">
        <w:rPr>
          <w:rFonts w:eastAsiaTheme="minorHAnsi"/>
          <w:color w:val="000000" w:themeColor="text1"/>
          <w:lang w:val="en-US"/>
        </w:rPr>
        <w:t xml:space="preserve"> </w:t>
      </w:r>
      <w:proofErr w:type="spellStart"/>
      <w:r w:rsidRPr="00E929F2">
        <w:rPr>
          <w:rFonts w:eastAsiaTheme="minorHAnsi"/>
          <w:color w:val="000000" w:themeColor="text1"/>
          <w:lang w:val="en-US"/>
        </w:rPr>
        <w:t>materialului</w:t>
      </w:r>
      <w:proofErr w:type="spellEnd"/>
      <w:r w:rsidRPr="00E929F2">
        <w:rPr>
          <w:rFonts w:eastAsiaTheme="minorHAnsi"/>
          <w:color w:val="000000" w:themeColor="text1"/>
          <w:lang w:val="en-US"/>
        </w:rPr>
        <w:t xml:space="preserve"> biologic: </w:t>
      </w:r>
      <w:proofErr w:type="spellStart"/>
      <w:r w:rsidRPr="00E929F2">
        <w:rPr>
          <w:rFonts w:eastAsiaTheme="minorHAnsi"/>
          <w:color w:val="000000" w:themeColor="text1"/>
          <w:lang w:val="en-US"/>
        </w:rPr>
        <w:t>herbar</w:t>
      </w:r>
      <w:proofErr w:type="spellEnd"/>
      <w:r w:rsidRPr="00E929F2">
        <w:rPr>
          <w:rFonts w:eastAsiaTheme="minorHAnsi"/>
          <w:color w:val="000000" w:themeColor="text1"/>
          <w:lang w:val="en-US"/>
        </w:rPr>
        <w:t xml:space="preserve">, </w:t>
      </w:r>
      <w:proofErr w:type="spellStart"/>
      <w:r w:rsidRPr="00E929F2">
        <w:rPr>
          <w:rFonts w:eastAsiaTheme="minorHAnsi"/>
          <w:color w:val="000000" w:themeColor="text1"/>
          <w:lang w:val="en-US"/>
        </w:rPr>
        <w:t>lupă</w:t>
      </w:r>
      <w:proofErr w:type="spellEnd"/>
      <w:r w:rsidRPr="00E929F2">
        <w:rPr>
          <w:rFonts w:eastAsiaTheme="minorHAnsi"/>
          <w:color w:val="000000" w:themeColor="text1"/>
          <w:lang w:val="en-US"/>
        </w:rPr>
        <w:t xml:space="preserve">, determinator, </w:t>
      </w:r>
      <w:proofErr w:type="spellStart"/>
      <w:r w:rsidRPr="00E929F2">
        <w:rPr>
          <w:rFonts w:eastAsiaTheme="minorHAnsi"/>
          <w:color w:val="000000" w:themeColor="text1"/>
          <w:lang w:val="en-US"/>
        </w:rPr>
        <w:t>daltă</w:t>
      </w:r>
      <w:proofErr w:type="spellEnd"/>
      <w:r w:rsidRPr="00E929F2">
        <w:rPr>
          <w:rFonts w:eastAsiaTheme="minorHAnsi"/>
          <w:color w:val="000000" w:themeColor="text1"/>
          <w:lang w:val="en-US"/>
        </w:rPr>
        <w:t xml:space="preserve"> </w:t>
      </w:r>
      <w:proofErr w:type="spellStart"/>
      <w:r w:rsidRPr="00E929F2">
        <w:rPr>
          <w:rFonts w:eastAsiaTheme="minorHAnsi"/>
          <w:color w:val="000000" w:themeColor="text1"/>
          <w:lang w:val="en-US"/>
        </w:rPr>
        <w:t>sau</w:t>
      </w:r>
      <w:proofErr w:type="spellEnd"/>
      <w:r w:rsidRPr="00E929F2">
        <w:rPr>
          <w:rFonts w:eastAsiaTheme="minorHAnsi"/>
          <w:color w:val="000000" w:themeColor="text1"/>
          <w:spacing w:val="-57"/>
          <w:lang w:val="en-US"/>
        </w:rPr>
        <w:t xml:space="preserve"> </w:t>
      </w:r>
      <w:proofErr w:type="spellStart"/>
      <w:r w:rsidRPr="00E929F2">
        <w:rPr>
          <w:rFonts w:eastAsiaTheme="minorHAnsi"/>
          <w:color w:val="000000" w:themeColor="text1"/>
          <w:lang w:val="en-US"/>
        </w:rPr>
        <w:t>lingură</w:t>
      </w:r>
      <w:proofErr w:type="spellEnd"/>
      <w:r w:rsidRPr="00E929F2">
        <w:rPr>
          <w:rFonts w:eastAsiaTheme="minorHAnsi"/>
          <w:color w:val="000000" w:themeColor="text1"/>
          <w:spacing w:val="-2"/>
          <w:lang w:val="en-US"/>
        </w:rPr>
        <w:t xml:space="preserve"> </w:t>
      </w:r>
      <w:proofErr w:type="spellStart"/>
      <w:r w:rsidRPr="00E929F2">
        <w:rPr>
          <w:rFonts w:eastAsiaTheme="minorHAnsi"/>
          <w:color w:val="000000" w:themeColor="text1"/>
          <w:lang w:val="en-US"/>
        </w:rPr>
        <w:t>pentru</w:t>
      </w:r>
      <w:proofErr w:type="spellEnd"/>
      <w:r w:rsidRPr="00E929F2">
        <w:rPr>
          <w:rFonts w:eastAsiaTheme="minorHAnsi"/>
          <w:color w:val="000000" w:themeColor="text1"/>
          <w:lang w:val="en-US"/>
        </w:rPr>
        <w:t xml:space="preserve"> </w:t>
      </w:r>
      <w:proofErr w:type="spellStart"/>
      <w:r w:rsidRPr="00E929F2">
        <w:rPr>
          <w:rFonts w:eastAsiaTheme="minorHAnsi"/>
          <w:color w:val="000000" w:themeColor="text1"/>
          <w:lang w:val="en-US"/>
        </w:rPr>
        <w:t>scos</w:t>
      </w:r>
      <w:proofErr w:type="spellEnd"/>
      <w:r w:rsidRPr="00E929F2">
        <w:rPr>
          <w:rFonts w:eastAsiaTheme="minorHAnsi"/>
          <w:color w:val="000000" w:themeColor="text1"/>
          <w:lang w:val="en-US"/>
        </w:rPr>
        <w:t xml:space="preserve"> </w:t>
      </w:r>
      <w:proofErr w:type="spellStart"/>
      <w:r w:rsidRPr="00E929F2">
        <w:rPr>
          <w:rFonts w:eastAsiaTheme="minorHAnsi"/>
          <w:color w:val="000000" w:themeColor="text1"/>
          <w:lang w:val="en-US"/>
        </w:rPr>
        <w:t>plantele</w:t>
      </w:r>
      <w:proofErr w:type="spellEnd"/>
      <w:r w:rsidRPr="00E929F2">
        <w:rPr>
          <w:rFonts w:eastAsiaTheme="minorHAnsi"/>
          <w:color w:val="000000" w:themeColor="text1"/>
          <w:lang w:val="en-US"/>
        </w:rPr>
        <w:t xml:space="preserve">, </w:t>
      </w:r>
      <w:proofErr w:type="spellStart"/>
      <w:r w:rsidRPr="00E929F2">
        <w:rPr>
          <w:rFonts w:eastAsiaTheme="minorHAnsi"/>
          <w:color w:val="000000" w:themeColor="text1"/>
          <w:lang w:val="en-US"/>
        </w:rPr>
        <w:t>botanieră</w:t>
      </w:r>
      <w:proofErr w:type="spellEnd"/>
      <w:r w:rsidRPr="00E929F2">
        <w:rPr>
          <w:rFonts w:eastAsiaTheme="minorHAnsi"/>
          <w:color w:val="000000" w:themeColor="text1"/>
          <w:lang w:val="en-US"/>
        </w:rPr>
        <w:t>;</w:t>
      </w:r>
    </w:p>
    <w:p w14:paraId="434C3C69" w14:textId="77777777" w:rsidR="00E929F2" w:rsidRPr="00E929F2" w:rsidRDefault="00E929F2" w:rsidP="009E63E5">
      <w:pPr>
        <w:widowControl w:val="0"/>
        <w:numPr>
          <w:ilvl w:val="1"/>
          <w:numId w:val="114"/>
        </w:numPr>
        <w:tabs>
          <w:tab w:val="left" w:pos="900"/>
        </w:tabs>
        <w:autoSpaceDE w:val="0"/>
        <w:autoSpaceDN w:val="0"/>
        <w:ind w:left="0" w:firstLine="0"/>
        <w:jc w:val="both"/>
        <w:rPr>
          <w:rFonts w:eastAsiaTheme="minorHAnsi"/>
          <w:color w:val="000000" w:themeColor="text1"/>
          <w:lang w:val="fr-FR"/>
        </w:rPr>
      </w:pPr>
      <w:proofErr w:type="spellStart"/>
      <w:r w:rsidRPr="00E929F2">
        <w:rPr>
          <w:rFonts w:eastAsiaTheme="minorHAnsi"/>
          <w:color w:val="000000" w:themeColor="text1"/>
          <w:lang w:val="fr-FR"/>
        </w:rPr>
        <w:t>pentru</w:t>
      </w:r>
      <w:proofErr w:type="spellEnd"/>
      <w:r w:rsidRPr="00E929F2">
        <w:rPr>
          <w:rFonts w:eastAsiaTheme="minorHAnsi"/>
          <w:color w:val="000000" w:themeColor="text1"/>
          <w:spacing w:val="-3"/>
          <w:lang w:val="fr-FR"/>
        </w:rPr>
        <w:t xml:space="preserve"> </w:t>
      </w:r>
      <w:proofErr w:type="spellStart"/>
      <w:r w:rsidRPr="00E929F2">
        <w:rPr>
          <w:rFonts w:eastAsiaTheme="minorHAnsi"/>
          <w:color w:val="000000" w:themeColor="text1"/>
          <w:lang w:val="fr-FR"/>
        </w:rPr>
        <w:t>determinări</w:t>
      </w:r>
      <w:proofErr w:type="spellEnd"/>
      <w:r w:rsidRPr="00E929F2">
        <w:rPr>
          <w:rFonts w:eastAsiaTheme="minorHAnsi"/>
          <w:color w:val="000000" w:themeColor="text1"/>
          <w:spacing w:val="-2"/>
          <w:lang w:val="fr-FR"/>
        </w:rPr>
        <w:t xml:space="preserve"> </w:t>
      </w:r>
      <w:proofErr w:type="spellStart"/>
      <w:r w:rsidRPr="00E929F2">
        <w:rPr>
          <w:rFonts w:eastAsiaTheme="minorHAnsi"/>
          <w:color w:val="000000" w:themeColor="text1"/>
          <w:lang w:val="fr-FR"/>
        </w:rPr>
        <w:t>cantitative</w:t>
      </w:r>
      <w:proofErr w:type="spellEnd"/>
      <w:r w:rsidRPr="00E929F2">
        <w:rPr>
          <w:rFonts w:eastAsiaTheme="minorHAnsi"/>
          <w:color w:val="000000" w:themeColor="text1"/>
          <w:lang w:val="fr-FR"/>
        </w:rPr>
        <w:t>:</w:t>
      </w:r>
      <w:r w:rsidRPr="00E929F2">
        <w:rPr>
          <w:rFonts w:eastAsiaTheme="minorHAnsi"/>
          <w:color w:val="000000" w:themeColor="text1"/>
          <w:spacing w:val="-2"/>
          <w:lang w:val="fr-FR"/>
        </w:rPr>
        <w:t xml:space="preserve"> </w:t>
      </w:r>
      <w:proofErr w:type="spellStart"/>
      <w:r w:rsidRPr="00E929F2">
        <w:rPr>
          <w:rFonts w:eastAsiaTheme="minorHAnsi"/>
          <w:color w:val="000000" w:themeColor="text1"/>
          <w:lang w:val="fr-FR"/>
        </w:rPr>
        <w:t>dendrometru</w:t>
      </w:r>
      <w:proofErr w:type="spellEnd"/>
      <w:r w:rsidRPr="00E929F2">
        <w:rPr>
          <w:rFonts w:eastAsiaTheme="minorHAnsi"/>
          <w:color w:val="000000" w:themeColor="text1"/>
          <w:lang w:val="fr-FR"/>
        </w:rPr>
        <w:t>,</w:t>
      </w:r>
      <w:r w:rsidRPr="00E929F2">
        <w:rPr>
          <w:rFonts w:eastAsiaTheme="minorHAnsi"/>
          <w:color w:val="000000" w:themeColor="text1"/>
          <w:spacing w:val="-2"/>
          <w:lang w:val="fr-FR"/>
        </w:rPr>
        <w:t xml:space="preserve"> </w:t>
      </w:r>
      <w:proofErr w:type="spellStart"/>
      <w:r w:rsidRPr="00E929F2">
        <w:rPr>
          <w:rFonts w:eastAsiaTheme="minorHAnsi"/>
          <w:color w:val="000000" w:themeColor="text1"/>
          <w:lang w:val="fr-FR"/>
        </w:rPr>
        <w:t>ramă</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metrică</w:t>
      </w:r>
      <w:proofErr w:type="spellEnd"/>
      <w:r w:rsidRPr="00E929F2">
        <w:rPr>
          <w:rFonts w:eastAsiaTheme="minorHAnsi"/>
          <w:color w:val="000000" w:themeColor="text1"/>
          <w:lang w:val="fr-FR"/>
        </w:rPr>
        <w:t>,</w:t>
      </w:r>
      <w:r w:rsidRPr="00E929F2">
        <w:rPr>
          <w:rFonts w:eastAsiaTheme="minorHAnsi"/>
          <w:color w:val="000000" w:themeColor="text1"/>
          <w:spacing w:val="-2"/>
          <w:lang w:val="fr-FR"/>
        </w:rPr>
        <w:t xml:space="preserve"> </w:t>
      </w:r>
      <w:proofErr w:type="spellStart"/>
      <w:r w:rsidRPr="00E929F2">
        <w:rPr>
          <w:rFonts w:eastAsiaTheme="minorHAnsi"/>
          <w:color w:val="000000" w:themeColor="text1"/>
          <w:lang w:val="fr-FR"/>
        </w:rPr>
        <w:t>ruletă</w:t>
      </w:r>
      <w:proofErr w:type="spellEnd"/>
      <w:r w:rsidRPr="00E929F2">
        <w:rPr>
          <w:rFonts w:eastAsiaTheme="minorHAnsi"/>
          <w:color w:val="000000" w:themeColor="text1"/>
          <w:lang w:val="fr-FR"/>
        </w:rPr>
        <w:t>;</w:t>
      </w:r>
    </w:p>
    <w:p w14:paraId="5EB65D09" w14:textId="77777777" w:rsidR="00E929F2" w:rsidRPr="00E929F2" w:rsidRDefault="00E929F2" w:rsidP="00E929F2">
      <w:pPr>
        <w:widowControl w:val="0"/>
        <w:autoSpaceDE w:val="0"/>
        <w:autoSpaceDN w:val="0"/>
        <w:adjustRightInd w:val="0"/>
        <w:ind w:left="115"/>
        <w:jc w:val="both"/>
        <w:rPr>
          <w:rFonts w:eastAsiaTheme="minorEastAsia"/>
          <w:color w:val="000000" w:themeColor="text1"/>
          <w:lang w:val="fr-FR"/>
        </w:rPr>
      </w:pPr>
    </w:p>
    <w:p w14:paraId="151C1AC2" w14:textId="77777777" w:rsidR="00E929F2" w:rsidRPr="00E929F2" w:rsidRDefault="00E929F2" w:rsidP="000222D6">
      <w:pPr>
        <w:widowControl w:val="0"/>
        <w:autoSpaceDE w:val="0"/>
        <w:autoSpaceDN w:val="0"/>
        <w:adjustRightInd w:val="0"/>
        <w:ind w:right="251"/>
        <w:jc w:val="both"/>
        <w:rPr>
          <w:rFonts w:eastAsiaTheme="minorEastAsia"/>
          <w:color w:val="000000" w:themeColor="text1"/>
          <w:lang w:val="fr-FR"/>
        </w:rPr>
      </w:pPr>
      <w:proofErr w:type="spellStart"/>
      <w:r w:rsidRPr="00E929F2">
        <w:rPr>
          <w:rFonts w:eastAsiaTheme="minorEastAsia"/>
          <w:color w:val="000000" w:themeColor="text1"/>
          <w:lang w:val="fr-FR"/>
        </w:rPr>
        <w:t>Fiecare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dintre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asociațiile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vegetale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identificate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descrierea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habitatelor</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vor</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fi</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descrise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prin</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caracteristici</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structurale,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funcţionale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dinamice</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care</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le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individualizează</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din</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punct</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vedere</w:t>
      </w:r>
      <w:proofErr w:type="spellEnd"/>
      <w:r w:rsidRPr="00E929F2">
        <w:rPr>
          <w:rFonts w:eastAsiaTheme="minorEastAsia"/>
          <w:color w:val="000000" w:themeColor="text1"/>
          <w:spacing w:val="-57"/>
          <w:lang w:val="fr-FR"/>
        </w:rPr>
        <w:t xml:space="preserve"> </w:t>
      </w:r>
      <w:proofErr w:type="spellStart"/>
      <w:r w:rsidRPr="00E929F2">
        <w:rPr>
          <w:rFonts w:eastAsiaTheme="minorEastAsia"/>
          <w:color w:val="000000" w:themeColor="text1"/>
          <w:lang w:val="fr-FR"/>
        </w:rPr>
        <w:t>conservativ</w:t>
      </w:r>
      <w:proofErr w:type="spellEnd"/>
      <w:r w:rsidRPr="00E929F2">
        <w:rPr>
          <w:rFonts w:eastAsiaTheme="minorEastAsia"/>
          <w:color w:val="000000" w:themeColor="text1"/>
          <w:lang w:val="fr-FR"/>
        </w:rPr>
        <w:t>.</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Fără</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a</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minimaliza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rolul</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celorlalte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specii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cadrul</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fitocenozelor</w:t>
      </w:r>
      <w:proofErr w:type="spellEnd"/>
      <w:r w:rsidRPr="00E929F2">
        <w:rPr>
          <w:rFonts w:eastAsiaTheme="minorEastAsia"/>
          <w:color w:val="000000" w:themeColor="text1"/>
          <w:lang w:val="fr-FR"/>
        </w:rPr>
        <w:t>,</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speciile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edificatoare</w:t>
      </w:r>
      <w:proofErr w:type="spellEnd"/>
      <w:r w:rsidRPr="00E929F2">
        <w:rPr>
          <w:rFonts w:eastAsiaTheme="minorEastAsia"/>
          <w:color w:val="000000" w:themeColor="text1"/>
          <w:lang w:val="fr-FR"/>
        </w:rPr>
        <w:t>/</w:t>
      </w:r>
      <w:proofErr w:type="spellStart"/>
      <w:r w:rsidRPr="00E929F2">
        <w:rPr>
          <w:rFonts w:eastAsiaTheme="minorEastAsia"/>
          <w:color w:val="000000" w:themeColor="text1"/>
          <w:lang w:val="fr-FR"/>
        </w:rPr>
        <w:t>caracteristice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sunt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cele</w:t>
      </w:r>
      <w:proofErr w:type="spellEnd"/>
      <w:r w:rsidRPr="00E929F2">
        <w:rPr>
          <w:rFonts w:eastAsiaTheme="minorEastAsia"/>
          <w:color w:val="000000" w:themeColor="text1"/>
          <w:lang w:val="fr-FR"/>
        </w:rPr>
        <w:t xml:space="preserve"> care </w:t>
      </w:r>
      <w:proofErr w:type="spellStart"/>
      <w:r w:rsidRPr="00E929F2">
        <w:rPr>
          <w:rFonts w:eastAsiaTheme="minorEastAsia"/>
          <w:color w:val="000000" w:themeColor="text1"/>
          <w:lang w:val="fr-FR"/>
        </w:rPr>
        <w:t>determină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mare </w:t>
      </w:r>
      <w:proofErr w:type="spellStart"/>
      <w:r w:rsidRPr="00E929F2">
        <w:rPr>
          <w:rFonts w:eastAsiaTheme="minorEastAsia"/>
          <w:color w:val="000000" w:themeColor="text1"/>
          <w:lang w:val="fr-FR"/>
        </w:rPr>
        <w:t>măsură</w:t>
      </w:r>
      <w:proofErr w:type="spellEnd"/>
      <w:r w:rsidRPr="00E929F2">
        <w:rPr>
          <w:rFonts w:eastAsiaTheme="minorEastAsia"/>
          <w:color w:val="000000" w:themeColor="text1"/>
          <w:lang w:val="fr-FR"/>
        </w:rPr>
        <w:t xml:space="preserve"> structura, </w:t>
      </w:r>
      <w:proofErr w:type="spellStart"/>
      <w:r w:rsidRPr="00E929F2">
        <w:rPr>
          <w:rFonts w:eastAsiaTheme="minorEastAsia"/>
          <w:color w:val="000000" w:themeColor="text1"/>
          <w:lang w:val="fr-FR"/>
        </w:rPr>
        <w:t>stabilitatea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funcţiile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spacing w:val="-57"/>
          <w:lang w:val="fr-FR"/>
        </w:rPr>
        <w:t xml:space="preserve"> </w:t>
      </w:r>
      <w:proofErr w:type="spellStart"/>
      <w:r w:rsidRPr="00E929F2">
        <w:rPr>
          <w:rFonts w:eastAsiaTheme="minorEastAsia"/>
          <w:color w:val="000000" w:themeColor="text1"/>
          <w:lang w:val="fr-FR"/>
        </w:rPr>
        <w:t>dinamica</w:t>
      </w:r>
      <w:proofErr w:type="spellEnd"/>
      <w:r w:rsidRPr="00E929F2">
        <w:rPr>
          <w:rFonts w:eastAsiaTheme="minorEastAsia"/>
          <w:color w:val="000000" w:themeColor="text1"/>
          <w:spacing w:val="-3"/>
          <w:lang w:val="fr-FR"/>
        </w:rPr>
        <w:t xml:space="preserve"> </w:t>
      </w:r>
      <w:proofErr w:type="spellStart"/>
      <w:r w:rsidRPr="00E929F2">
        <w:rPr>
          <w:rFonts w:eastAsiaTheme="minorEastAsia"/>
          <w:color w:val="000000" w:themeColor="text1"/>
          <w:lang w:val="fr-FR"/>
        </w:rPr>
        <w:t>habitatului.Vor</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 xml:space="preserve">fi </w:t>
      </w:r>
      <w:proofErr w:type="spellStart"/>
      <w:r w:rsidRPr="00E929F2">
        <w:rPr>
          <w:rFonts w:eastAsiaTheme="minorEastAsia"/>
          <w:color w:val="000000" w:themeColor="text1"/>
          <w:lang w:val="fr-FR"/>
        </w:rPr>
        <w:t>inventariate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cadrul</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habitatului</w:t>
      </w:r>
      <w:proofErr w:type="spellEnd"/>
      <w:r w:rsidRPr="00E929F2">
        <w:rPr>
          <w:rFonts w:eastAsiaTheme="minorEastAsia"/>
          <w:color w:val="000000" w:themeColor="text1"/>
          <w:lang w:val="fr-FR"/>
        </w:rPr>
        <w:t>:</w:t>
      </w:r>
    </w:p>
    <w:p w14:paraId="723B3AF2" w14:textId="77777777" w:rsidR="00E929F2" w:rsidRPr="00E929F2" w:rsidRDefault="00E929F2" w:rsidP="009E63E5">
      <w:pPr>
        <w:widowControl w:val="0"/>
        <w:numPr>
          <w:ilvl w:val="0"/>
          <w:numId w:val="113"/>
        </w:numPr>
        <w:tabs>
          <w:tab w:val="left" w:pos="900"/>
        </w:tabs>
        <w:autoSpaceDE w:val="0"/>
        <w:autoSpaceDN w:val="0"/>
        <w:spacing w:before="1"/>
        <w:ind w:left="0" w:right="250" w:firstLine="0"/>
        <w:jc w:val="both"/>
        <w:rPr>
          <w:rFonts w:eastAsiaTheme="minorHAnsi"/>
          <w:color w:val="000000" w:themeColor="text1"/>
          <w:lang w:val="fr-FR"/>
        </w:rPr>
      </w:pPr>
      <w:proofErr w:type="spellStart"/>
      <w:r w:rsidRPr="00E929F2">
        <w:rPr>
          <w:rFonts w:eastAsiaTheme="minorHAnsi"/>
          <w:b/>
          <w:color w:val="000000" w:themeColor="text1"/>
          <w:lang w:val="fr-FR"/>
        </w:rPr>
        <w:t>Speciile</w:t>
      </w:r>
      <w:proofErr w:type="spellEnd"/>
      <w:r w:rsidRPr="00E929F2">
        <w:rPr>
          <w:rFonts w:eastAsiaTheme="minorHAnsi"/>
          <w:b/>
          <w:color w:val="000000" w:themeColor="text1"/>
          <w:spacing w:val="1"/>
          <w:lang w:val="fr-FR"/>
        </w:rPr>
        <w:t xml:space="preserve"> </w:t>
      </w:r>
      <w:proofErr w:type="spellStart"/>
      <w:r w:rsidRPr="00E929F2">
        <w:rPr>
          <w:rFonts w:eastAsiaTheme="minorHAnsi"/>
          <w:b/>
          <w:color w:val="000000" w:themeColor="text1"/>
          <w:lang w:val="fr-FR"/>
        </w:rPr>
        <w:t>caracteristice</w:t>
      </w:r>
      <w:proofErr w:type="spellEnd"/>
      <w:r w:rsidRPr="00E929F2">
        <w:rPr>
          <w:rFonts w:eastAsiaTheme="minorHAnsi"/>
          <w:b/>
          <w:color w:val="000000" w:themeColor="text1"/>
          <w:spacing w:val="1"/>
          <w:lang w:val="fr-FR"/>
        </w:rPr>
        <w:t xml:space="preserve"> </w:t>
      </w:r>
      <w:r w:rsidRPr="00E929F2">
        <w:rPr>
          <w:rFonts w:eastAsiaTheme="minorHAnsi"/>
          <w:b/>
          <w:color w:val="000000" w:themeColor="text1"/>
          <w:lang w:val="fr-FR"/>
        </w:rPr>
        <w:t>-</w:t>
      </w:r>
      <w:r w:rsidRPr="00E929F2">
        <w:rPr>
          <w:rFonts w:eastAsiaTheme="minorHAnsi"/>
          <w:b/>
          <w:color w:val="000000" w:themeColor="text1"/>
          <w:spacing w:val="1"/>
          <w:lang w:val="fr-FR"/>
        </w:rPr>
        <w:t xml:space="preserve"> </w:t>
      </w:r>
      <w:r w:rsidRPr="00E929F2">
        <w:rPr>
          <w:rFonts w:eastAsiaTheme="minorHAnsi"/>
          <w:color w:val="000000" w:themeColor="text1"/>
          <w:lang w:val="fr-FR"/>
        </w:rPr>
        <w:t>au</w:t>
      </w:r>
      <w:r w:rsidRPr="00E929F2">
        <w:rPr>
          <w:rFonts w:eastAsiaTheme="minorHAnsi"/>
          <w:color w:val="000000" w:themeColor="text1"/>
          <w:spacing w:val="1"/>
          <w:lang w:val="fr-FR"/>
        </w:rPr>
        <w:t xml:space="preserve"> </w:t>
      </w:r>
      <w:r w:rsidRPr="00E929F2">
        <w:rPr>
          <w:rFonts w:eastAsiaTheme="minorHAnsi"/>
          <w:color w:val="000000" w:themeColor="text1"/>
          <w:lang w:val="fr-FR"/>
        </w:rPr>
        <w:t>o</w:t>
      </w:r>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răspândire</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limitată</w:t>
      </w:r>
      <w:proofErr w:type="spellEnd"/>
      <w:r w:rsidRPr="00E929F2">
        <w:rPr>
          <w:rFonts w:eastAsiaTheme="minorHAnsi"/>
          <w:color w:val="000000" w:themeColor="text1"/>
          <w:spacing w:val="1"/>
          <w:lang w:val="fr-FR"/>
        </w:rPr>
        <w:t xml:space="preserve"> </w:t>
      </w:r>
      <w:r w:rsidRPr="00E929F2">
        <w:rPr>
          <w:rFonts w:eastAsiaTheme="minorHAnsi"/>
          <w:color w:val="000000" w:themeColor="text1"/>
          <w:lang w:val="fr-FR"/>
        </w:rPr>
        <w:t>la</w:t>
      </w:r>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nivelul</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asociației</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sau</w:t>
      </w:r>
      <w:proofErr w:type="spellEnd"/>
      <w:r w:rsidRPr="00E929F2">
        <w:rPr>
          <w:rFonts w:eastAsiaTheme="minorHAnsi"/>
          <w:color w:val="000000" w:themeColor="text1"/>
          <w:spacing w:val="1"/>
          <w:lang w:val="fr-FR"/>
        </w:rPr>
        <w:t xml:space="preserve"> </w:t>
      </w:r>
      <w:r w:rsidRPr="00E929F2">
        <w:rPr>
          <w:rFonts w:eastAsiaTheme="minorHAnsi"/>
          <w:color w:val="000000" w:themeColor="text1"/>
          <w:lang w:val="fr-FR"/>
        </w:rPr>
        <w:t>la</w:t>
      </w:r>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unităţile</w:t>
      </w:r>
      <w:proofErr w:type="spellEnd"/>
      <w:r w:rsidRPr="00E929F2">
        <w:rPr>
          <w:rFonts w:eastAsiaTheme="minorHAnsi"/>
          <w:color w:val="000000" w:themeColor="text1"/>
          <w:spacing w:val="-57"/>
          <w:lang w:val="fr-FR"/>
        </w:rPr>
        <w:t xml:space="preserve"> </w:t>
      </w:r>
      <w:proofErr w:type="spellStart"/>
      <w:r w:rsidRPr="00E929F2">
        <w:rPr>
          <w:rFonts w:eastAsiaTheme="minorHAnsi"/>
          <w:color w:val="000000" w:themeColor="text1"/>
          <w:lang w:val="fr-FR"/>
        </w:rPr>
        <w:t>cenotaxonomice</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ierarhic</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superioare</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asociațiilor</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vegetale</w:t>
      </w:r>
      <w:proofErr w:type="spellEnd"/>
      <w:r w:rsidRPr="00E929F2">
        <w:rPr>
          <w:rFonts w:eastAsiaTheme="minorHAnsi"/>
          <w:color w:val="000000" w:themeColor="text1"/>
          <w:lang w:val="fr-FR"/>
        </w:rPr>
        <w:t xml:space="preserve"> care </w:t>
      </w:r>
      <w:proofErr w:type="spellStart"/>
      <w:r w:rsidRPr="00E929F2">
        <w:rPr>
          <w:rFonts w:eastAsiaTheme="minorHAnsi"/>
          <w:color w:val="000000" w:themeColor="text1"/>
          <w:lang w:val="fr-FR"/>
        </w:rPr>
        <w:t>intră</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în</w:t>
      </w:r>
      <w:proofErr w:type="spellEnd"/>
      <w:r w:rsidRPr="00E929F2">
        <w:rPr>
          <w:rFonts w:eastAsiaTheme="minorHAnsi"/>
          <w:color w:val="000000" w:themeColor="text1"/>
          <w:lang w:val="fr-FR"/>
        </w:rPr>
        <w:t xml:space="preserve"> structura </w:t>
      </w:r>
      <w:proofErr w:type="spellStart"/>
      <w:r w:rsidRPr="00E929F2">
        <w:rPr>
          <w:rFonts w:eastAsiaTheme="minorHAnsi"/>
          <w:color w:val="000000" w:themeColor="text1"/>
          <w:lang w:val="fr-FR"/>
        </w:rPr>
        <w:t>habitatului</w:t>
      </w:r>
      <w:proofErr w:type="spellEnd"/>
      <w:r w:rsidRPr="00E929F2">
        <w:rPr>
          <w:rFonts w:eastAsiaTheme="minorHAnsi"/>
          <w:color w:val="000000" w:themeColor="text1"/>
          <w:lang w:val="fr-FR"/>
        </w:rPr>
        <w:t>.</w:t>
      </w:r>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Abundența</w:t>
      </w:r>
      <w:proofErr w:type="spellEnd"/>
      <w:r w:rsidRPr="00E929F2">
        <w:rPr>
          <w:rFonts w:eastAsiaTheme="minorHAnsi"/>
          <w:color w:val="000000" w:themeColor="text1"/>
          <w:lang w:val="fr-FR"/>
        </w:rPr>
        <w:t>,</w:t>
      </w:r>
      <w:r w:rsidRPr="00E929F2">
        <w:rPr>
          <w:rFonts w:eastAsiaTheme="minorHAnsi"/>
          <w:color w:val="000000" w:themeColor="text1"/>
          <w:spacing w:val="-2"/>
          <w:lang w:val="fr-FR"/>
        </w:rPr>
        <w:t xml:space="preserve"> </w:t>
      </w:r>
      <w:proofErr w:type="spellStart"/>
      <w:r w:rsidRPr="00E929F2">
        <w:rPr>
          <w:rFonts w:eastAsiaTheme="minorHAnsi"/>
          <w:color w:val="000000" w:themeColor="text1"/>
          <w:lang w:val="fr-FR"/>
        </w:rPr>
        <w:lastRenderedPageBreak/>
        <w:t>prezenţa</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sau</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absenţa</w:t>
      </w:r>
      <w:proofErr w:type="spellEnd"/>
      <w:r w:rsidRPr="00E929F2">
        <w:rPr>
          <w:rFonts w:eastAsiaTheme="minorHAnsi"/>
          <w:color w:val="000000" w:themeColor="text1"/>
          <w:spacing w:val="-3"/>
          <w:lang w:val="fr-FR"/>
        </w:rPr>
        <w:t xml:space="preserve"> </w:t>
      </w:r>
      <w:proofErr w:type="spellStart"/>
      <w:r w:rsidRPr="00E929F2">
        <w:rPr>
          <w:rFonts w:eastAsiaTheme="minorHAnsi"/>
          <w:color w:val="000000" w:themeColor="text1"/>
          <w:lang w:val="fr-FR"/>
        </w:rPr>
        <w:t>acestora</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reflectă</w:t>
      </w:r>
      <w:proofErr w:type="spellEnd"/>
      <w:r w:rsidRPr="00E929F2">
        <w:rPr>
          <w:rFonts w:eastAsiaTheme="minorHAnsi"/>
          <w:color w:val="000000" w:themeColor="text1"/>
          <w:spacing w:val="-1"/>
          <w:lang w:val="fr-FR"/>
        </w:rPr>
        <w:t xml:space="preserve"> </w:t>
      </w:r>
      <w:r w:rsidRPr="00E929F2">
        <w:rPr>
          <w:rFonts w:eastAsiaTheme="minorHAnsi"/>
          <w:color w:val="000000" w:themeColor="text1"/>
          <w:lang w:val="fr-FR"/>
        </w:rPr>
        <w:t>„</w:t>
      </w:r>
      <w:proofErr w:type="spellStart"/>
      <w:r w:rsidRPr="00E929F2">
        <w:rPr>
          <w:rFonts w:eastAsiaTheme="minorHAnsi"/>
          <w:color w:val="000000" w:themeColor="text1"/>
          <w:lang w:val="fr-FR"/>
        </w:rPr>
        <w:t>starea</w:t>
      </w:r>
      <w:proofErr w:type="spellEnd"/>
      <w:r w:rsidRPr="00E929F2">
        <w:rPr>
          <w:rFonts w:eastAsiaTheme="minorHAnsi"/>
          <w:color w:val="000000" w:themeColor="text1"/>
          <w:spacing w:val="-2"/>
          <w:lang w:val="fr-FR"/>
        </w:rPr>
        <w:t xml:space="preserve"> </w:t>
      </w:r>
      <w:r w:rsidRPr="00E929F2">
        <w:rPr>
          <w:rFonts w:eastAsiaTheme="minorHAnsi"/>
          <w:color w:val="000000" w:themeColor="text1"/>
          <w:lang w:val="fr-FR"/>
        </w:rPr>
        <w:t>de</w:t>
      </w:r>
      <w:r w:rsidRPr="00E929F2">
        <w:rPr>
          <w:rFonts w:eastAsiaTheme="minorHAnsi"/>
          <w:color w:val="000000" w:themeColor="text1"/>
          <w:spacing w:val="-2"/>
          <w:lang w:val="fr-FR"/>
        </w:rPr>
        <w:t xml:space="preserve"> </w:t>
      </w:r>
      <w:proofErr w:type="spellStart"/>
      <w:r w:rsidRPr="00E929F2">
        <w:rPr>
          <w:rFonts w:eastAsiaTheme="minorHAnsi"/>
          <w:color w:val="000000" w:themeColor="text1"/>
          <w:lang w:val="fr-FR"/>
        </w:rPr>
        <w:t>sănătate</w:t>
      </w:r>
      <w:proofErr w:type="spellEnd"/>
      <w:r w:rsidRPr="00E929F2">
        <w:rPr>
          <w:rFonts w:eastAsiaTheme="minorHAnsi"/>
          <w:color w:val="000000" w:themeColor="text1"/>
          <w:lang w:val="fr-FR"/>
        </w:rPr>
        <w:t>” a</w:t>
      </w:r>
      <w:r w:rsidRPr="00E929F2">
        <w:rPr>
          <w:rFonts w:eastAsiaTheme="minorHAnsi"/>
          <w:color w:val="000000" w:themeColor="text1"/>
          <w:spacing w:val="-2"/>
          <w:lang w:val="fr-FR"/>
        </w:rPr>
        <w:t xml:space="preserve"> </w:t>
      </w:r>
      <w:proofErr w:type="spellStart"/>
      <w:r w:rsidRPr="00E929F2">
        <w:rPr>
          <w:rFonts w:eastAsiaTheme="minorHAnsi"/>
          <w:color w:val="000000" w:themeColor="text1"/>
          <w:lang w:val="fr-FR"/>
        </w:rPr>
        <w:t>habitatului</w:t>
      </w:r>
      <w:proofErr w:type="spellEnd"/>
      <w:r w:rsidRPr="00E929F2">
        <w:rPr>
          <w:rFonts w:eastAsiaTheme="minorHAnsi"/>
          <w:color w:val="000000" w:themeColor="text1"/>
          <w:lang w:val="fr-FR"/>
        </w:rPr>
        <w:t>.</w:t>
      </w:r>
    </w:p>
    <w:p w14:paraId="65515823" w14:textId="77777777" w:rsidR="00E929F2" w:rsidRPr="00E929F2" w:rsidRDefault="00E929F2" w:rsidP="009E63E5">
      <w:pPr>
        <w:widowControl w:val="0"/>
        <w:numPr>
          <w:ilvl w:val="0"/>
          <w:numId w:val="113"/>
        </w:numPr>
        <w:tabs>
          <w:tab w:val="left" w:pos="900"/>
        </w:tabs>
        <w:autoSpaceDE w:val="0"/>
        <w:autoSpaceDN w:val="0"/>
        <w:ind w:left="0" w:right="251" w:firstLine="0"/>
        <w:jc w:val="both"/>
        <w:rPr>
          <w:rFonts w:eastAsiaTheme="minorHAnsi"/>
          <w:color w:val="000000" w:themeColor="text1"/>
          <w:lang w:val="fr-FR"/>
        </w:rPr>
      </w:pPr>
      <w:proofErr w:type="spellStart"/>
      <w:r w:rsidRPr="00E929F2">
        <w:rPr>
          <w:rFonts w:eastAsiaTheme="minorHAnsi"/>
          <w:b/>
          <w:color w:val="000000" w:themeColor="text1"/>
          <w:lang w:val="fr-FR"/>
        </w:rPr>
        <w:t>Speciile</w:t>
      </w:r>
      <w:proofErr w:type="spellEnd"/>
      <w:r w:rsidRPr="00E929F2">
        <w:rPr>
          <w:rFonts w:eastAsiaTheme="minorHAnsi"/>
          <w:b/>
          <w:color w:val="000000" w:themeColor="text1"/>
          <w:lang w:val="fr-FR"/>
        </w:rPr>
        <w:t xml:space="preserve"> </w:t>
      </w:r>
      <w:proofErr w:type="spellStart"/>
      <w:r w:rsidRPr="00E929F2">
        <w:rPr>
          <w:rFonts w:eastAsiaTheme="minorHAnsi"/>
          <w:b/>
          <w:color w:val="000000" w:themeColor="text1"/>
          <w:lang w:val="fr-FR"/>
        </w:rPr>
        <w:t>edificatoare</w:t>
      </w:r>
      <w:proofErr w:type="spellEnd"/>
      <w:r w:rsidRPr="00E929F2">
        <w:rPr>
          <w:rFonts w:eastAsiaTheme="minorHAnsi"/>
          <w:b/>
          <w:color w:val="000000" w:themeColor="text1"/>
          <w:lang w:val="fr-FR"/>
        </w:rPr>
        <w:t xml:space="preserve"> </w:t>
      </w:r>
      <w:r w:rsidRPr="00E929F2">
        <w:rPr>
          <w:rFonts w:eastAsiaTheme="minorHAnsi"/>
          <w:color w:val="000000" w:themeColor="text1"/>
          <w:lang w:val="fr-FR"/>
        </w:rPr>
        <w:t>(</w:t>
      </w:r>
      <w:proofErr w:type="spellStart"/>
      <w:r w:rsidRPr="00E929F2">
        <w:rPr>
          <w:rFonts w:eastAsiaTheme="minorHAnsi"/>
          <w:color w:val="000000" w:themeColor="text1"/>
          <w:lang w:val="fr-FR"/>
        </w:rPr>
        <w:t>sau</w:t>
      </w:r>
      <w:proofErr w:type="spellEnd"/>
      <w:r w:rsidRPr="00E929F2">
        <w:rPr>
          <w:rFonts w:eastAsiaTheme="minorHAnsi"/>
          <w:color w:val="000000" w:themeColor="text1"/>
          <w:lang w:val="fr-FR"/>
        </w:rPr>
        <w:t xml:space="preserve"> dominante) care </w:t>
      </w:r>
      <w:proofErr w:type="spellStart"/>
      <w:r w:rsidRPr="00E929F2">
        <w:rPr>
          <w:rFonts w:eastAsiaTheme="minorHAnsi"/>
          <w:color w:val="000000" w:themeColor="text1"/>
          <w:lang w:val="fr-FR"/>
        </w:rPr>
        <w:t>prin</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numărul</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sau</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acoperirea</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fitoindivizilor</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lor</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formează</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cea</w:t>
      </w:r>
      <w:proofErr w:type="spellEnd"/>
      <w:r w:rsidRPr="00E929F2">
        <w:rPr>
          <w:rFonts w:eastAsiaTheme="minorHAnsi"/>
          <w:color w:val="000000" w:themeColor="text1"/>
          <w:lang w:val="fr-FR"/>
        </w:rPr>
        <w:t xml:space="preserve"> mai mare parte a </w:t>
      </w:r>
      <w:proofErr w:type="spellStart"/>
      <w:r w:rsidRPr="00E929F2">
        <w:rPr>
          <w:rFonts w:eastAsiaTheme="minorHAnsi"/>
          <w:color w:val="000000" w:themeColor="text1"/>
          <w:lang w:val="fr-FR"/>
        </w:rPr>
        <w:t>fitomasei</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imprimând</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particularitățile</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fitocenozelor</w:t>
      </w:r>
      <w:proofErr w:type="spellEnd"/>
      <w:r w:rsidRPr="00E929F2">
        <w:rPr>
          <w:rFonts w:eastAsiaTheme="minorHAnsi"/>
          <w:color w:val="000000" w:themeColor="text1"/>
          <w:lang w:val="fr-FR"/>
        </w:rPr>
        <w:t xml:space="preserve">, dar </w:t>
      </w:r>
      <w:proofErr w:type="spellStart"/>
      <w:r w:rsidRPr="00E929F2">
        <w:rPr>
          <w:rFonts w:eastAsiaTheme="minorHAnsi"/>
          <w:color w:val="000000" w:themeColor="text1"/>
          <w:lang w:val="fr-FR"/>
        </w:rPr>
        <w:t>și</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compoziția</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floristică</w:t>
      </w:r>
      <w:proofErr w:type="spellEnd"/>
      <w:r w:rsidRPr="00E929F2">
        <w:rPr>
          <w:rFonts w:eastAsiaTheme="minorHAnsi"/>
          <w:color w:val="000000" w:themeColor="text1"/>
          <w:spacing w:val="-2"/>
          <w:lang w:val="fr-FR"/>
        </w:rPr>
        <w:t xml:space="preserve"> </w:t>
      </w:r>
      <w:proofErr w:type="spellStart"/>
      <w:r w:rsidRPr="00E929F2">
        <w:rPr>
          <w:rFonts w:eastAsiaTheme="minorHAnsi"/>
          <w:color w:val="000000" w:themeColor="text1"/>
          <w:lang w:val="fr-FR"/>
        </w:rPr>
        <w:t>specifică</w:t>
      </w:r>
      <w:proofErr w:type="spellEnd"/>
      <w:r w:rsidRPr="00E929F2">
        <w:rPr>
          <w:rFonts w:eastAsiaTheme="minorHAnsi"/>
          <w:color w:val="000000" w:themeColor="text1"/>
          <w:spacing w:val="-2"/>
          <w:lang w:val="fr-FR"/>
        </w:rPr>
        <w:t xml:space="preserve"> </w:t>
      </w:r>
      <w:proofErr w:type="spellStart"/>
      <w:r w:rsidRPr="00E929F2">
        <w:rPr>
          <w:rFonts w:eastAsiaTheme="minorHAnsi"/>
          <w:color w:val="000000" w:themeColor="text1"/>
          <w:lang w:val="fr-FR"/>
        </w:rPr>
        <w:t>unei</w:t>
      </w:r>
      <w:proofErr w:type="spellEnd"/>
      <w:r w:rsidRPr="00E929F2">
        <w:rPr>
          <w:rFonts w:eastAsiaTheme="minorHAnsi"/>
          <w:color w:val="000000" w:themeColor="text1"/>
          <w:spacing w:val="2"/>
          <w:lang w:val="fr-FR"/>
        </w:rPr>
        <w:t xml:space="preserve"> </w:t>
      </w:r>
      <w:proofErr w:type="spellStart"/>
      <w:r w:rsidRPr="00E929F2">
        <w:rPr>
          <w:rFonts w:eastAsiaTheme="minorHAnsi"/>
          <w:color w:val="000000" w:themeColor="text1"/>
          <w:lang w:val="fr-FR"/>
        </w:rPr>
        <w:t>asociații</w:t>
      </w:r>
      <w:proofErr w:type="spellEnd"/>
      <w:r w:rsidRPr="00E929F2">
        <w:rPr>
          <w:rFonts w:eastAsiaTheme="minorHAnsi"/>
          <w:color w:val="000000" w:themeColor="text1"/>
          <w:lang w:val="fr-FR"/>
        </w:rPr>
        <w:t>.</w:t>
      </w:r>
    </w:p>
    <w:p w14:paraId="7CAF2B3A" w14:textId="77777777" w:rsidR="00E929F2" w:rsidRPr="00E929F2" w:rsidRDefault="00E929F2" w:rsidP="009E63E5">
      <w:pPr>
        <w:widowControl w:val="0"/>
        <w:numPr>
          <w:ilvl w:val="0"/>
          <w:numId w:val="113"/>
        </w:numPr>
        <w:tabs>
          <w:tab w:val="left" w:pos="900"/>
        </w:tabs>
        <w:autoSpaceDE w:val="0"/>
        <w:autoSpaceDN w:val="0"/>
        <w:ind w:left="0" w:right="252" w:firstLine="0"/>
        <w:jc w:val="both"/>
        <w:rPr>
          <w:rFonts w:eastAsiaTheme="minorHAnsi"/>
          <w:color w:val="000000" w:themeColor="text1"/>
          <w:lang w:val="fr-FR"/>
        </w:rPr>
      </w:pPr>
      <w:proofErr w:type="spellStart"/>
      <w:r w:rsidRPr="00E929F2">
        <w:rPr>
          <w:rFonts w:eastAsiaTheme="minorHAnsi"/>
          <w:b/>
          <w:color w:val="000000" w:themeColor="text1"/>
          <w:lang w:val="fr-FR"/>
        </w:rPr>
        <w:t>Speciile</w:t>
      </w:r>
      <w:proofErr w:type="spellEnd"/>
      <w:r w:rsidRPr="00E929F2">
        <w:rPr>
          <w:rFonts w:eastAsiaTheme="minorHAnsi"/>
          <w:b/>
          <w:color w:val="000000" w:themeColor="text1"/>
          <w:spacing w:val="1"/>
          <w:lang w:val="fr-FR"/>
        </w:rPr>
        <w:t xml:space="preserve"> </w:t>
      </w:r>
      <w:proofErr w:type="spellStart"/>
      <w:r w:rsidRPr="00E929F2">
        <w:rPr>
          <w:rFonts w:eastAsiaTheme="minorHAnsi"/>
          <w:b/>
          <w:color w:val="000000" w:themeColor="text1"/>
          <w:lang w:val="fr-FR"/>
        </w:rPr>
        <w:t>invazive</w:t>
      </w:r>
      <w:proofErr w:type="spellEnd"/>
      <w:r w:rsidRPr="00E929F2">
        <w:rPr>
          <w:rFonts w:eastAsiaTheme="minorHAnsi"/>
          <w:b/>
          <w:color w:val="000000" w:themeColor="text1"/>
          <w:lang w:val="fr-FR"/>
        </w:rPr>
        <w:t>/colonialiste</w:t>
      </w:r>
      <w:r w:rsidRPr="00E929F2">
        <w:rPr>
          <w:rFonts w:eastAsiaTheme="minorHAnsi"/>
          <w:b/>
          <w:color w:val="000000" w:themeColor="text1"/>
          <w:spacing w:val="1"/>
          <w:lang w:val="fr-FR"/>
        </w:rPr>
        <w:t xml:space="preserve"> </w:t>
      </w:r>
      <w:r w:rsidRPr="00E929F2">
        <w:rPr>
          <w:rFonts w:eastAsiaTheme="minorHAnsi"/>
          <w:color w:val="000000" w:themeColor="text1"/>
          <w:lang w:val="fr-FR"/>
        </w:rPr>
        <w:t>ce</w:t>
      </w:r>
      <w:r w:rsidRPr="00E929F2">
        <w:rPr>
          <w:rFonts w:eastAsiaTheme="minorHAnsi"/>
          <w:color w:val="000000" w:themeColor="text1"/>
          <w:spacing w:val="1"/>
          <w:lang w:val="fr-FR"/>
        </w:rPr>
        <w:t xml:space="preserve"> </w:t>
      </w:r>
      <w:r w:rsidRPr="00E929F2">
        <w:rPr>
          <w:rFonts w:eastAsiaTheme="minorHAnsi"/>
          <w:color w:val="000000" w:themeColor="text1"/>
          <w:lang w:val="fr-FR"/>
        </w:rPr>
        <w:t>pot</w:t>
      </w:r>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oferi</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informaţii</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preţioase</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despre</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influenţa</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şi</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intensitatea</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factorilor</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ecologici</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în</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general,şi</w:t>
      </w:r>
      <w:proofErr w:type="spellEnd"/>
      <w:r w:rsidRPr="00E929F2">
        <w:rPr>
          <w:rFonts w:eastAsiaTheme="minorHAnsi"/>
          <w:color w:val="000000" w:themeColor="text1"/>
          <w:lang w:val="fr-FR"/>
        </w:rPr>
        <w:t xml:space="preserve"> a </w:t>
      </w:r>
      <w:proofErr w:type="spellStart"/>
      <w:r w:rsidRPr="00E929F2">
        <w:rPr>
          <w:rFonts w:eastAsiaTheme="minorHAnsi"/>
          <w:color w:val="000000" w:themeColor="text1"/>
          <w:lang w:val="fr-FR"/>
        </w:rPr>
        <w:t>celor</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antropozoogeni</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în</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special</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Numărul</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speciilor</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invazive</w:t>
      </w:r>
      <w:proofErr w:type="spellEnd"/>
      <w:r w:rsidRPr="00E929F2">
        <w:rPr>
          <w:rFonts w:eastAsiaTheme="minorHAnsi"/>
          <w:color w:val="000000" w:themeColor="text1"/>
          <w:lang w:val="fr-FR"/>
        </w:rPr>
        <w:t xml:space="preserve">/colonialiste </w:t>
      </w:r>
      <w:proofErr w:type="spellStart"/>
      <w:r w:rsidRPr="00E929F2">
        <w:rPr>
          <w:rFonts w:eastAsiaTheme="minorHAnsi"/>
          <w:color w:val="000000" w:themeColor="text1"/>
          <w:lang w:val="fr-FR"/>
        </w:rPr>
        <w:t>alături</w:t>
      </w:r>
      <w:proofErr w:type="spellEnd"/>
      <w:r w:rsidRPr="00E929F2">
        <w:rPr>
          <w:rFonts w:eastAsiaTheme="minorHAnsi"/>
          <w:color w:val="000000" w:themeColor="text1"/>
          <w:lang w:val="fr-FR"/>
        </w:rPr>
        <w:t xml:space="preserve"> de </w:t>
      </w:r>
      <w:proofErr w:type="spellStart"/>
      <w:r w:rsidRPr="00E929F2">
        <w:rPr>
          <w:rFonts w:eastAsiaTheme="minorHAnsi"/>
          <w:color w:val="000000" w:themeColor="text1"/>
          <w:lang w:val="fr-FR"/>
        </w:rPr>
        <w:t>abundenţa</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şi</w:t>
      </w:r>
      <w:proofErr w:type="spellEnd"/>
      <w:r w:rsidRPr="00E929F2">
        <w:rPr>
          <w:rFonts w:eastAsiaTheme="minorHAnsi"/>
          <w:color w:val="000000" w:themeColor="text1"/>
          <w:lang w:val="fr-FR"/>
        </w:rPr>
        <w:t xml:space="preserve"> de </w:t>
      </w:r>
      <w:proofErr w:type="spellStart"/>
      <w:r w:rsidRPr="00E929F2">
        <w:rPr>
          <w:rFonts w:eastAsiaTheme="minorHAnsi"/>
          <w:color w:val="000000" w:themeColor="text1"/>
          <w:lang w:val="fr-FR"/>
        </w:rPr>
        <w:t>modul</w:t>
      </w:r>
      <w:proofErr w:type="spellEnd"/>
      <w:r w:rsidRPr="00E929F2">
        <w:rPr>
          <w:rFonts w:eastAsiaTheme="minorHAnsi"/>
          <w:color w:val="000000" w:themeColor="text1"/>
          <w:lang w:val="fr-FR"/>
        </w:rPr>
        <w:t xml:space="preserve"> de </w:t>
      </w:r>
      <w:proofErr w:type="spellStart"/>
      <w:r w:rsidRPr="00E929F2">
        <w:rPr>
          <w:rFonts w:eastAsiaTheme="minorHAnsi"/>
          <w:color w:val="000000" w:themeColor="text1"/>
          <w:lang w:val="fr-FR"/>
        </w:rPr>
        <w:t>distribuţie</w:t>
      </w:r>
      <w:proofErr w:type="spellEnd"/>
      <w:r w:rsidRPr="00E929F2">
        <w:rPr>
          <w:rFonts w:eastAsiaTheme="minorHAnsi"/>
          <w:color w:val="000000" w:themeColor="text1"/>
          <w:lang w:val="fr-FR"/>
        </w:rPr>
        <w:t xml:space="preserve"> a </w:t>
      </w:r>
      <w:proofErr w:type="spellStart"/>
      <w:r w:rsidRPr="00E929F2">
        <w:rPr>
          <w:rFonts w:eastAsiaTheme="minorHAnsi"/>
          <w:color w:val="000000" w:themeColor="text1"/>
          <w:lang w:val="fr-FR"/>
        </w:rPr>
        <w:t>acestora</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în</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cadrul</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fitocenozelor</w:t>
      </w:r>
      <w:proofErr w:type="spellEnd"/>
      <w:r w:rsidRPr="00E929F2">
        <w:rPr>
          <w:rFonts w:eastAsiaTheme="minorHAnsi"/>
          <w:color w:val="000000" w:themeColor="text1"/>
          <w:lang w:val="fr-FR"/>
        </w:rPr>
        <w:t xml:space="preserve"> va</w:t>
      </w:r>
      <w:r w:rsidRPr="00E929F2">
        <w:rPr>
          <w:rFonts w:eastAsiaTheme="minorHAnsi"/>
          <w:color w:val="000000" w:themeColor="text1"/>
          <w:spacing w:val="-2"/>
          <w:lang w:val="fr-FR"/>
        </w:rPr>
        <w:t xml:space="preserve"> </w:t>
      </w:r>
      <w:proofErr w:type="spellStart"/>
      <w:r w:rsidRPr="00E929F2">
        <w:rPr>
          <w:rFonts w:eastAsiaTheme="minorHAnsi"/>
          <w:color w:val="000000" w:themeColor="text1"/>
          <w:lang w:val="fr-FR"/>
        </w:rPr>
        <w:t>reflecta</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gradul</w:t>
      </w:r>
      <w:proofErr w:type="spellEnd"/>
      <w:r w:rsidRPr="00E929F2">
        <w:rPr>
          <w:rFonts w:eastAsiaTheme="minorHAnsi"/>
          <w:color w:val="000000" w:themeColor="text1"/>
          <w:lang w:val="fr-FR"/>
        </w:rPr>
        <w:t xml:space="preserve"> de </w:t>
      </w:r>
      <w:proofErr w:type="spellStart"/>
      <w:r w:rsidRPr="00E929F2">
        <w:rPr>
          <w:rFonts w:eastAsiaTheme="minorHAnsi"/>
          <w:color w:val="000000" w:themeColor="text1"/>
          <w:lang w:val="fr-FR"/>
        </w:rPr>
        <w:t>degradare</w:t>
      </w:r>
      <w:proofErr w:type="spellEnd"/>
      <w:r w:rsidRPr="00E929F2">
        <w:rPr>
          <w:rFonts w:eastAsiaTheme="minorHAnsi"/>
          <w:color w:val="000000" w:themeColor="text1"/>
          <w:spacing w:val="-2"/>
          <w:lang w:val="fr-FR"/>
        </w:rPr>
        <w:t xml:space="preserve"> </w:t>
      </w:r>
      <w:r w:rsidRPr="00E929F2">
        <w:rPr>
          <w:rFonts w:eastAsiaTheme="minorHAnsi"/>
          <w:color w:val="000000" w:themeColor="text1"/>
          <w:lang w:val="fr-FR"/>
        </w:rPr>
        <w:t>a</w:t>
      </w:r>
      <w:r w:rsidRPr="00E929F2">
        <w:rPr>
          <w:rFonts w:eastAsiaTheme="minorHAnsi"/>
          <w:color w:val="000000" w:themeColor="text1"/>
          <w:spacing w:val="-2"/>
          <w:lang w:val="fr-FR"/>
        </w:rPr>
        <w:t xml:space="preserve"> </w:t>
      </w:r>
      <w:proofErr w:type="spellStart"/>
      <w:r w:rsidRPr="00E929F2">
        <w:rPr>
          <w:rFonts w:eastAsiaTheme="minorHAnsi"/>
          <w:color w:val="000000" w:themeColor="text1"/>
          <w:lang w:val="fr-FR"/>
        </w:rPr>
        <w:t>habitatului</w:t>
      </w:r>
      <w:proofErr w:type="spellEnd"/>
      <w:r w:rsidRPr="00E929F2">
        <w:rPr>
          <w:rFonts w:eastAsiaTheme="minorHAnsi"/>
          <w:color w:val="000000" w:themeColor="text1"/>
          <w:lang w:val="fr-FR"/>
        </w:rPr>
        <w:t>.</w:t>
      </w:r>
    </w:p>
    <w:p w14:paraId="671A3B37" w14:textId="77777777" w:rsidR="00E929F2" w:rsidRPr="00E929F2" w:rsidRDefault="00E929F2" w:rsidP="00E929F2">
      <w:pPr>
        <w:widowControl w:val="0"/>
        <w:autoSpaceDE w:val="0"/>
        <w:autoSpaceDN w:val="0"/>
        <w:adjustRightInd w:val="0"/>
        <w:ind w:left="115"/>
        <w:jc w:val="both"/>
        <w:rPr>
          <w:rFonts w:eastAsiaTheme="minorEastAsia"/>
          <w:color w:val="000000" w:themeColor="text1"/>
          <w:lang w:val="fr-FR"/>
        </w:rPr>
      </w:pPr>
    </w:p>
    <w:p w14:paraId="745EA397" w14:textId="77777777" w:rsidR="00E929F2" w:rsidRPr="00E929F2" w:rsidRDefault="00E929F2" w:rsidP="000222D6">
      <w:pPr>
        <w:widowControl w:val="0"/>
        <w:autoSpaceDE w:val="0"/>
        <w:autoSpaceDN w:val="0"/>
        <w:adjustRightInd w:val="0"/>
        <w:jc w:val="both"/>
        <w:rPr>
          <w:rFonts w:eastAsiaTheme="minorEastAsia"/>
          <w:color w:val="000000" w:themeColor="text1"/>
          <w:lang w:val="fr-FR"/>
        </w:rPr>
      </w:pPr>
      <w:proofErr w:type="spellStart"/>
      <w:r w:rsidRPr="00E929F2">
        <w:rPr>
          <w:rFonts w:eastAsiaTheme="minorEastAsia"/>
          <w:color w:val="000000" w:themeColor="text1"/>
          <w:lang w:val="fr-FR"/>
        </w:rPr>
        <w:t>Pe</w:t>
      </w:r>
      <w:proofErr w:type="spellEnd"/>
      <w:r w:rsidRPr="00E929F2">
        <w:rPr>
          <w:rFonts w:eastAsiaTheme="minorEastAsia"/>
          <w:color w:val="000000" w:themeColor="text1"/>
          <w:spacing w:val="-3"/>
          <w:lang w:val="fr-FR"/>
        </w:rPr>
        <w:t xml:space="preserve"> </w:t>
      </w:r>
      <w:proofErr w:type="spellStart"/>
      <w:r w:rsidRPr="00E929F2">
        <w:rPr>
          <w:rFonts w:eastAsiaTheme="minorEastAsia"/>
          <w:color w:val="000000" w:themeColor="text1"/>
          <w:lang w:val="fr-FR"/>
        </w:rPr>
        <w:t>baza</w:t>
      </w:r>
      <w:proofErr w:type="spellEnd"/>
      <w:r w:rsidRPr="00E929F2">
        <w:rPr>
          <w:rFonts w:eastAsiaTheme="minorEastAsia"/>
          <w:color w:val="000000" w:themeColor="text1"/>
          <w:spacing w:val="-3"/>
          <w:lang w:val="fr-FR"/>
        </w:rPr>
        <w:t xml:space="preserve"> </w:t>
      </w:r>
      <w:proofErr w:type="spellStart"/>
      <w:r w:rsidRPr="00E929F2">
        <w:rPr>
          <w:rFonts w:eastAsiaTheme="minorEastAsia"/>
          <w:color w:val="000000" w:themeColor="text1"/>
          <w:lang w:val="fr-FR"/>
        </w:rPr>
        <w:t>identificării</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speciilor</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se</w:t>
      </w:r>
      <w:r w:rsidRPr="00E929F2">
        <w:rPr>
          <w:rFonts w:eastAsiaTheme="minorEastAsia"/>
          <w:color w:val="000000" w:themeColor="text1"/>
          <w:spacing w:val="-3"/>
          <w:lang w:val="fr-FR"/>
        </w:rPr>
        <w:t xml:space="preserve"> </w:t>
      </w:r>
      <w:proofErr w:type="spellStart"/>
      <w:r w:rsidRPr="00E929F2">
        <w:rPr>
          <w:rFonts w:eastAsiaTheme="minorEastAsia"/>
          <w:color w:val="000000" w:themeColor="text1"/>
          <w:lang w:val="fr-FR"/>
        </w:rPr>
        <w:t>estimează</w:t>
      </w:r>
      <w:proofErr w:type="spellEnd"/>
      <w:r w:rsidRPr="00E929F2">
        <w:rPr>
          <w:rFonts w:eastAsiaTheme="minorEastAsia"/>
          <w:color w:val="000000" w:themeColor="text1"/>
          <w:lang w:val="fr-FR"/>
        </w:rPr>
        <w:t>:</w:t>
      </w:r>
    </w:p>
    <w:p w14:paraId="6DB6C64C" w14:textId="77777777" w:rsidR="000222D6" w:rsidRPr="000222D6" w:rsidRDefault="00E929F2" w:rsidP="009E63E5">
      <w:pPr>
        <w:pStyle w:val="ListParagraph"/>
        <w:widowControl w:val="0"/>
        <w:numPr>
          <w:ilvl w:val="0"/>
          <w:numId w:val="185"/>
        </w:numPr>
        <w:autoSpaceDE w:val="0"/>
        <w:autoSpaceDN w:val="0"/>
        <w:adjustRightInd w:val="0"/>
        <w:ind w:left="360"/>
        <w:jc w:val="both"/>
        <w:rPr>
          <w:rFonts w:ascii="Times New Roman" w:eastAsiaTheme="minorEastAsia" w:hAnsi="Times New Roman" w:cs="Times New Roman"/>
          <w:color w:val="000000" w:themeColor="text1"/>
          <w:sz w:val="24"/>
          <w:szCs w:val="24"/>
        </w:rPr>
      </w:pPr>
      <w:proofErr w:type="spellStart"/>
      <w:r w:rsidRPr="000222D6">
        <w:rPr>
          <w:rFonts w:ascii="Times New Roman" w:eastAsiaTheme="minorEastAsia" w:hAnsi="Times New Roman" w:cs="Times New Roman"/>
          <w:b/>
          <w:color w:val="000000" w:themeColor="text1"/>
          <w:sz w:val="24"/>
          <w:szCs w:val="24"/>
          <w:lang w:val="fr-FR"/>
        </w:rPr>
        <w:t>Diversitatea</w:t>
      </w:r>
      <w:proofErr w:type="spellEnd"/>
      <w:r w:rsidRPr="000222D6">
        <w:rPr>
          <w:rFonts w:ascii="Times New Roman" w:eastAsiaTheme="minorEastAsia" w:hAnsi="Times New Roman" w:cs="Times New Roman"/>
          <w:b/>
          <w:color w:val="000000" w:themeColor="text1"/>
          <w:sz w:val="24"/>
          <w:szCs w:val="24"/>
          <w:lang w:val="fr-FR"/>
        </w:rPr>
        <w:t xml:space="preserve"> </w:t>
      </w:r>
      <w:proofErr w:type="spellStart"/>
      <w:r w:rsidRPr="000222D6">
        <w:rPr>
          <w:rFonts w:ascii="Times New Roman" w:eastAsiaTheme="minorEastAsia" w:hAnsi="Times New Roman" w:cs="Times New Roman"/>
          <w:b/>
          <w:color w:val="000000" w:themeColor="text1"/>
          <w:sz w:val="24"/>
          <w:szCs w:val="24"/>
          <w:lang w:val="fr-FR"/>
        </w:rPr>
        <w:t>biologică</w:t>
      </w:r>
      <w:proofErr w:type="spellEnd"/>
      <w:r w:rsidRPr="000222D6">
        <w:rPr>
          <w:rFonts w:ascii="Times New Roman" w:eastAsiaTheme="minorEastAsia" w:hAnsi="Times New Roman" w:cs="Times New Roman"/>
          <w:b/>
          <w:color w:val="000000" w:themeColor="text1"/>
          <w:sz w:val="24"/>
          <w:szCs w:val="24"/>
          <w:lang w:val="fr-FR"/>
        </w:rPr>
        <w:t xml:space="preserve">, </w:t>
      </w:r>
      <w:proofErr w:type="spellStart"/>
      <w:r w:rsidRPr="000222D6">
        <w:rPr>
          <w:rFonts w:ascii="Times New Roman" w:eastAsiaTheme="minorEastAsia" w:hAnsi="Times New Roman" w:cs="Times New Roman"/>
          <w:color w:val="000000" w:themeColor="text1"/>
          <w:sz w:val="24"/>
          <w:szCs w:val="24"/>
          <w:lang w:val="fr-FR"/>
        </w:rPr>
        <w:t>definită</w:t>
      </w:r>
      <w:proofErr w:type="spellEnd"/>
      <w:r w:rsidRPr="000222D6">
        <w:rPr>
          <w:rFonts w:ascii="Times New Roman" w:eastAsiaTheme="minorEastAsia" w:hAnsi="Times New Roman" w:cs="Times New Roman"/>
          <w:color w:val="000000" w:themeColor="text1"/>
          <w:sz w:val="24"/>
          <w:szCs w:val="24"/>
          <w:lang w:val="fr-FR"/>
        </w:rPr>
        <w:t xml:space="preserve"> ca </w:t>
      </w:r>
      <w:proofErr w:type="spellStart"/>
      <w:r w:rsidRPr="000222D6">
        <w:rPr>
          <w:rFonts w:ascii="Times New Roman" w:eastAsiaTheme="minorEastAsia" w:hAnsi="Times New Roman" w:cs="Times New Roman"/>
          <w:color w:val="000000" w:themeColor="text1"/>
          <w:sz w:val="24"/>
          <w:szCs w:val="24"/>
          <w:lang w:val="fr-FR"/>
        </w:rPr>
        <w:t>varietatea</w:t>
      </w:r>
      <w:proofErr w:type="spellEnd"/>
      <w:r w:rsidRPr="000222D6">
        <w:rPr>
          <w:rFonts w:ascii="Times New Roman" w:eastAsiaTheme="minorEastAsia" w:hAnsi="Times New Roman" w:cs="Times New Roman"/>
          <w:color w:val="000000" w:themeColor="text1"/>
          <w:sz w:val="24"/>
          <w:szCs w:val="24"/>
          <w:lang w:val="fr-FR"/>
        </w:rPr>
        <w:t xml:space="preserve"> </w:t>
      </w:r>
      <w:proofErr w:type="spellStart"/>
      <w:r w:rsidRPr="000222D6">
        <w:rPr>
          <w:rFonts w:ascii="Times New Roman" w:eastAsiaTheme="minorEastAsia" w:hAnsi="Times New Roman" w:cs="Times New Roman"/>
          <w:color w:val="000000" w:themeColor="text1"/>
          <w:sz w:val="24"/>
          <w:szCs w:val="24"/>
          <w:lang w:val="fr-FR"/>
        </w:rPr>
        <w:t>şi</w:t>
      </w:r>
      <w:proofErr w:type="spellEnd"/>
      <w:r w:rsidRPr="000222D6">
        <w:rPr>
          <w:rFonts w:ascii="Times New Roman" w:eastAsiaTheme="minorEastAsia" w:hAnsi="Times New Roman" w:cs="Times New Roman"/>
          <w:color w:val="000000" w:themeColor="text1"/>
          <w:sz w:val="24"/>
          <w:szCs w:val="24"/>
          <w:lang w:val="fr-FR"/>
        </w:rPr>
        <w:t xml:space="preserve"> </w:t>
      </w:r>
      <w:proofErr w:type="spellStart"/>
      <w:r w:rsidRPr="000222D6">
        <w:rPr>
          <w:rFonts w:ascii="Times New Roman" w:eastAsiaTheme="minorEastAsia" w:hAnsi="Times New Roman" w:cs="Times New Roman"/>
          <w:color w:val="000000" w:themeColor="text1"/>
          <w:sz w:val="24"/>
          <w:szCs w:val="24"/>
          <w:lang w:val="fr-FR"/>
        </w:rPr>
        <w:t>abundenţa</w:t>
      </w:r>
      <w:proofErr w:type="spellEnd"/>
      <w:r w:rsidRPr="000222D6">
        <w:rPr>
          <w:rFonts w:ascii="Times New Roman" w:eastAsiaTheme="minorEastAsia" w:hAnsi="Times New Roman" w:cs="Times New Roman"/>
          <w:color w:val="000000" w:themeColor="text1"/>
          <w:sz w:val="24"/>
          <w:szCs w:val="24"/>
          <w:lang w:val="fr-FR"/>
        </w:rPr>
        <w:t xml:space="preserve"> </w:t>
      </w:r>
      <w:proofErr w:type="spellStart"/>
      <w:r w:rsidRPr="000222D6">
        <w:rPr>
          <w:rFonts w:ascii="Times New Roman" w:eastAsiaTheme="minorEastAsia" w:hAnsi="Times New Roman" w:cs="Times New Roman"/>
          <w:color w:val="000000" w:themeColor="text1"/>
          <w:sz w:val="24"/>
          <w:szCs w:val="24"/>
          <w:lang w:val="fr-FR"/>
        </w:rPr>
        <w:t>speciilor</w:t>
      </w:r>
      <w:proofErr w:type="spellEnd"/>
      <w:r w:rsidRPr="000222D6">
        <w:rPr>
          <w:rFonts w:ascii="Times New Roman" w:eastAsiaTheme="minorEastAsia" w:hAnsi="Times New Roman" w:cs="Times New Roman"/>
          <w:color w:val="000000" w:themeColor="text1"/>
          <w:sz w:val="24"/>
          <w:szCs w:val="24"/>
          <w:lang w:val="fr-FR"/>
        </w:rPr>
        <w:t xml:space="preserve"> </w:t>
      </w:r>
      <w:proofErr w:type="spellStart"/>
      <w:r w:rsidRPr="000222D6">
        <w:rPr>
          <w:rFonts w:ascii="Times New Roman" w:eastAsiaTheme="minorEastAsia" w:hAnsi="Times New Roman" w:cs="Times New Roman"/>
          <w:color w:val="000000" w:themeColor="text1"/>
          <w:sz w:val="24"/>
          <w:szCs w:val="24"/>
          <w:lang w:val="fr-FR"/>
        </w:rPr>
        <w:t>într</w:t>
      </w:r>
      <w:proofErr w:type="spellEnd"/>
      <w:r w:rsidRPr="000222D6">
        <w:rPr>
          <w:rFonts w:ascii="Times New Roman" w:eastAsiaTheme="minorEastAsia" w:hAnsi="Times New Roman" w:cs="Times New Roman"/>
          <w:color w:val="000000" w:themeColor="text1"/>
          <w:sz w:val="24"/>
          <w:szCs w:val="24"/>
          <w:lang w:val="fr-FR"/>
        </w:rPr>
        <w:t xml:space="preserve">-o </w:t>
      </w:r>
      <w:proofErr w:type="spellStart"/>
      <w:r w:rsidRPr="000222D6">
        <w:rPr>
          <w:rFonts w:ascii="Times New Roman" w:eastAsiaTheme="minorEastAsia" w:hAnsi="Times New Roman" w:cs="Times New Roman"/>
          <w:color w:val="000000" w:themeColor="text1"/>
          <w:sz w:val="24"/>
          <w:szCs w:val="24"/>
          <w:lang w:val="fr-FR"/>
        </w:rPr>
        <w:t>anumită</w:t>
      </w:r>
      <w:proofErr w:type="spellEnd"/>
      <w:r w:rsidRPr="000222D6">
        <w:rPr>
          <w:rFonts w:ascii="Times New Roman" w:eastAsiaTheme="minorEastAsia" w:hAnsi="Times New Roman" w:cs="Times New Roman"/>
          <w:color w:val="000000" w:themeColor="text1"/>
          <w:sz w:val="24"/>
          <w:szCs w:val="24"/>
          <w:lang w:val="fr-FR"/>
        </w:rPr>
        <w:t xml:space="preserve"> </w:t>
      </w:r>
      <w:proofErr w:type="spellStart"/>
      <w:r w:rsidRPr="000222D6">
        <w:rPr>
          <w:rFonts w:ascii="Times New Roman" w:eastAsiaTheme="minorEastAsia" w:hAnsi="Times New Roman" w:cs="Times New Roman"/>
          <w:color w:val="000000" w:themeColor="text1"/>
          <w:sz w:val="24"/>
          <w:szCs w:val="24"/>
          <w:lang w:val="fr-FR"/>
        </w:rPr>
        <w:t>unitate</w:t>
      </w:r>
      <w:proofErr w:type="spellEnd"/>
      <w:r w:rsidRPr="000222D6">
        <w:rPr>
          <w:rFonts w:ascii="Times New Roman" w:eastAsiaTheme="minorEastAsia" w:hAnsi="Times New Roman" w:cs="Times New Roman"/>
          <w:color w:val="000000" w:themeColor="text1"/>
          <w:spacing w:val="1"/>
          <w:sz w:val="24"/>
          <w:szCs w:val="24"/>
          <w:lang w:val="fr-FR"/>
        </w:rPr>
        <w:t xml:space="preserve"> </w:t>
      </w:r>
      <w:r w:rsidRPr="000222D6">
        <w:rPr>
          <w:rFonts w:ascii="Times New Roman" w:eastAsiaTheme="minorEastAsia" w:hAnsi="Times New Roman" w:cs="Times New Roman"/>
          <w:color w:val="000000" w:themeColor="text1"/>
          <w:sz w:val="24"/>
          <w:szCs w:val="24"/>
          <w:lang w:val="fr-FR"/>
        </w:rPr>
        <w:t xml:space="preserve">de </w:t>
      </w:r>
      <w:proofErr w:type="spellStart"/>
      <w:r w:rsidRPr="000222D6">
        <w:rPr>
          <w:rFonts w:ascii="Times New Roman" w:eastAsiaTheme="minorEastAsia" w:hAnsi="Times New Roman" w:cs="Times New Roman"/>
          <w:color w:val="000000" w:themeColor="text1"/>
          <w:sz w:val="24"/>
          <w:szCs w:val="24"/>
          <w:lang w:val="fr-FR"/>
        </w:rPr>
        <w:t>studiu</w:t>
      </w:r>
      <w:proofErr w:type="spellEnd"/>
      <w:r w:rsidRPr="000222D6">
        <w:rPr>
          <w:rFonts w:ascii="Times New Roman" w:eastAsiaTheme="minorEastAsia" w:hAnsi="Times New Roman" w:cs="Times New Roman"/>
          <w:color w:val="000000" w:themeColor="text1"/>
          <w:sz w:val="24"/>
          <w:szCs w:val="24"/>
          <w:lang w:val="fr-FR"/>
        </w:rPr>
        <w:t xml:space="preserve"> </w:t>
      </w:r>
      <w:proofErr w:type="spellStart"/>
      <w:r w:rsidRPr="000222D6">
        <w:rPr>
          <w:rFonts w:ascii="Times New Roman" w:eastAsiaTheme="minorEastAsia" w:hAnsi="Times New Roman" w:cs="Times New Roman"/>
          <w:color w:val="000000" w:themeColor="text1"/>
          <w:sz w:val="24"/>
          <w:szCs w:val="24"/>
          <w:lang w:val="fr-FR"/>
        </w:rPr>
        <w:t>şi</w:t>
      </w:r>
      <w:proofErr w:type="spellEnd"/>
      <w:r w:rsidRPr="000222D6">
        <w:rPr>
          <w:rFonts w:ascii="Times New Roman" w:eastAsiaTheme="minorEastAsia" w:hAnsi="Times New Roman" w:cs="Times New Roman"/>
          <w:color w:val="000000" w:themeColor="text1"/>
          <w:sz w:val="24"/>
          <w:szCs w:val="24"/>
          <w:lang w:val="fr-FR"/>
        </w:rPr>
        <w:t xml:space="preserve"> care </w:t>
      </w:r>
      <w:proofErr w:type="spellStart"/>
      <w:r w:rsidRPr="000222D6">
        <w:rPr>
          <w:rFonts w:ascii="Times New Roman" w:eastAsiaTheme="minorEastAsia" w:hAnsi="Times New Roman" w:cs="Times New Roman"/>
          <w:color w:val="000000" w:themeColor="text1"/>
          <w:sz w:val="24"/>
          <w:szCs w:val="24"/>
          <w:lang w:val="fr-FR"/>
        </w:rPr>
        <w:t>reprezintă</w:t>
      </w:r>
      <w:proofErr w:type="spellEnd"/>
      <w:r w:rsidRPr="000222D6">
        <w:rPr>
          <w:rFonts w:ascii="Times New Roman" w:eastAsiaTheme="minorEastAsia" w:hAnsi="Times New Roman" w:cs="Times New Roman"/>
          <w:color w:val="000000" w:themeColor="text1"/>
          <w:sz w:val="24"/>
          <w:szCs w:val="24"/>
          <w:lang w:val="fr-FR"/>
        </w:rPr>
        <w:t xml:space="preserve"> </w:t>
      </w:r>
      <w:proofErr w:type="spellStart"/>
      <w:r w:rsidRPr="000222D6">
        <w:rPr>
          <w:rFonts w:ascii="Times New Roman" w:eastAsiaTheme="minorEastAsia" w:hAnsi="Times New Roman" w:cs="Times New Roman"/>
          <w:color w:val="000000" w:themeColor="text1"/>
          <w:sz w:val="24"/>
          <w:szCs w:val="24"/>
          <w:lang w:val="fr-FR"/>
        </w:rPr>
        <w:t>numărul</w:t>
      </w:r>
      <w:proofErr w:type="spellEnd"/>
      <w:r w:rsidRPr="000222D6">
        <w:rPr>
          <w:rFonts w:ascii="Times New Roman" w:eastAsiaTheme="minorEastAsia" w:hAnsi="Times New Roman" w:cs="Times New Roman"/>
          <w:color w:val="000000" w:themeColor="text1"/>
          <w:sz w:val="24"/>
          <w:szCs w:val="24"/>
          <w:lang w:val="fr-FR"/>
        </w:rPr>
        <w:t xml:space="preserve"> de </w:t>
      </w:r>
      <w:proofErr w:type="spellStart"/>
      <w:r w:rsidRPr="000222D6">
        <w:rPr>
          <w:rFonts w:ascii="Times New Roman" w:eastAsiaTheme="minorEastAsia" w:hAnsi="Times New Roman" w:cs="Times New Roman"/>
          <w:color w:val="000000" w:themeColor="text1"/>
          <w:sz w:val="24"/>
          <w:szCs w:val="24"/>
          <w:lang w:val="fr-FR"/>
        </w:rPr>
        <w:t>specii</w:t>
      </w:r>
      <w:proofErr w:type="spellEnd"/>
      <w:r w:rsidRPr="000222D6">
        <w:rPr>
          <w:rFonts w:ascii="Times New Roman" w:eastAsiaTheme="minorEastAsia" w:hAnsi="Times New Roman" w:cs="Times New Roman"/>
          <w:color w:val="000000" w:themeColor="text1"/>
          <w:sz w:val="24"/>
          <w:szCs w:val="24"/>
          <w:lang w:val="fr-FR"/>
        </w:rPr>
        <w:t xml:space="preserve">, </w:t>
      </w:r>
      <w:proofErr w:type="spellStart"/>
      <w:r w:rsidRPr="000222D6">
        <w:rPr>
          <w:rFonts w:ascii="Times New Roman" w:eastAsiaTheme="minorEastAsia" w:hAnsi="Times New Roman" w:cs="Times New Roman"/>
          <w:color w:val="000000" w:themeColor="text1"/>
          <w:sz w:val="24"/>
          <w:szCs w:val="24"/>
          <w:lang w:val="fr-FR"/>
        </w:rPr>
        <w:t>sau</w:t>
      </w:r>
      <w:proofErr w:type="spellEnd"/>
      <w:r w:rsidRPr="000222D6">
        <w:rPr>
          <w:rFonts w:ascii="Times New Roman" w:eastAsiaTheme="minorEastAsia" w:hAnsi="Times New Roman" w:cs="Times New Roman"/>
          <w:color w:val="000000" w:themeColor="text1"/>
          <w:sz w:val="24"/>
          <w:szCs w:val="24"/>
          <w:lang w:val="fr-FR"/>
        </w:rPr>
        <w:t xml:space="preserve"> </w:t>
      </w:r>
      <w:proofErr w:type="spellStart"/>
      <w:r w:rsidRPr="000222D6">
        <w:rPr>
          <w:rFonts w:ascii="Times New Roman" w:eastAsiaTheme="minorEastAsia" w:hAnsi="Times New Roman" w:cs="Times New Roman"/>
          <w:color w:val="000000" w:themeColor="text1"/>
          <w:sz w:val="24"/>
          <w:szCs w:val="24"/>
          <w:lang w:val="fr-FR"/>
        </w:rPr>
        <w:t>densitatea</w:t>
      </w:r>
      <w:proofErr w:type="spellEnd"/>
      <w:r w:rsidRPr="000222D6">
        <w:rPr>
          <w:rFonts w:ascii="Times New Roman" w:eastAsiaTheme="minorEastAsia" w:hAnsi="Times New Roman" w:cs="Times New Roman"/>
          <w:color w:val="000000" w:themeColor="text1"/>
          <w:sz w:val="24"/>
          <w:szCs w:val="24"/>
          <w:lang w:val="fr-FR"/>
        </w:rPr>
        <w:t xml:space="preserve"> </w:t>
      </w:r>
      <w:proofErr w:type="spellStart"/>
      <w:r w:rsidRPr="000222D6">
        <w:rPr>
          <w:rFonts w:ascii="Times New Roman" w:eastAsiaTheme="minorEastAsia" w:hAnsi="Times New Roman" w:cs="Times New Roman"/>
          <w:color w:val="000000" w:themeColor="text1"/>
          <w:sz w:val="24"/>
          <w:szCs w:val="24"/>
          <w:lang w:val="fr-FR"/>
        </w:rPr>
        <w:t>speciilor</w:t>
      </w:r>
      <w:proofErr w:type="spellEnd"/>
      <w:r w:rsidRPr="000222D6">
        <w:rPr>
          <w:rFonts w:ascii="Times New Roman" w:eastAsiaTheme="minorEastAsia" w:hAnsi="Times New Roman" w:cs="Times New Roman"/>
          <w:color w:val="000000" w:themeColor="text1"/>
          <w:sz w:val="24"/>
          <w:szCs w:val="24"/>
          <w:lang w:val="fr-FR"/>
        </w:rPr>
        <w:t xml:space="preserve"> </w:t>
      </w:r>
      <w:proofErr w:type="spellStart"/>
      <w:r w:rsidRPr="000222D6">
        <w:rPr>
          <w:rFonts w:ascii="Times New Roman" w:eastAsiaTheme="minorEastAsia" w:hAnsi="Times New Roman" w:cs="Times New Roman"/>
          <w:color w:val="000000" w:themeColor="text1"/>
          <w:sz w:val="24"/>
          <w:szCs w:val="24"/>
          <w:lang w:val="fr-FR"/>
        </w:rPr>
        <w:t>pe</w:t>
      </w:r>
      <w:proofErr w:type="spellEnd"/>
      <w:r w:rsidRPr="000222D6">
        <w:rPr>
          <w:rFonts w:ascii="Times New Roman" w:eastAsiaTheme="minorEastAsia" w:hAnsi="Times New Roman" w:cs="Times New Roman"/>
          <w:color w:val="000000" w:themeColor="text1"/>
          <w:sz w:val="24"/>
          <w:szCs w:val="24"/>
          <w:lang w:val="fr-FR"/>
        </w:rPr>
        <w:t xml:space="preserve"> </w:t>
      </w:r>
      <w:proofErr w:type="spellStart"/>
      <w:r w:rsidRPr="000222D6">
        <w:rPr>
          <w:rFonts w:ascii="Times New Roman" w:eastAsiaTheme="minorEastAsia" w:hAnsi="Times New Roman" w:cs="Times New Roman"/>
          <w:color w:val="000000" w:themeColor="text1"/>
          <w:sz w:val="24"/>
          <w:szCs w:val="24"/>
          <w:lang w:val="fr-FR"/>
        </w:rPr>
        <w:t>unitatea</w:t>
      </w:r>
      <w:proofErr w:type="spellEnd"/>
      <w:r w:rsidRPr="000222D6">
        <w:rPr>
          <w:rFonts w:ascii="Times New Roman" w:eastAsiaTheme="minorEastAsia" w:hAnsi="Times New Roman" w:cs="Times New Roman"/>
          <w:color w:val="000000" w:themeColor="text1"/>
          <w:sz w:val="24"/>
          <w:szCs w:val="24"/>
          <w:lang w:val="fr-FR"/>
        </w:rPr>
        <w:t xml:space="preserve"> de</w:t>
      </w:r>
      <w:r w:rsidRPr="000222D6">
        <w:rPr>
          <w:rFonts w:ascii="Times New Roman" w:eastAsiaTheme="minorEastAsia" w:hAnsi="Times New Roman" w:cs="Times New Roman"/>
          <w:color w:val="000000" w:themeColor="text1"/>
          <w:spacing w:val="1"/>
          <w:sz w:val="24"/>
          <w:szCs w:val="24"/>
          <w:lang w:val="fr-FR"/>
        </w:rPr>
        <w:t xml:space="preserve"> </w:t>
      </w:r>
      <w:proofErr w:type="spellStart"/>
      <w:r w:rsidRPr="000222D6">
        <w:rPr>
          <w:rFonts w:ascii="Times New Roman" w:eastAsiaTheme="minorEastAsia" w:hAnsi="Times New Roman" w:cs="Times New Roman"/>
          <w:color w:val="000000" w:themeColor="text1"/>
          <w:sz w:val="24"/>
          <w:szCs w:val="24"/>
          <w:lang w:val="fr-FR"/>
        </w:rPr>
        <w:t>suprafaţă</w:t>
      </w:r>
      <w:proofErr w:type="spellEnd"/>
      <w:r w:rsidRPr="000222D6">
        <w:rPr>
          <w:rFonts w:ascii="Times New Roman" w:eastAsiaTheme="minorEastAsia" w:hAnsi="Times New Roman" w:cs="Times New Roman"/>
          <w:color w:val="000000" w:themeColor="text1"/>
          <w:sz w:val="24"/>
          <w:szCs w:val="24"/>
          <w:lang w:val="fr-FR"/>
        </w:rPr>
        <w:t>.</w:t>
      </w:r>
      <w:r w:rsidRPr="000222D6">
        <w:rPr>
          <w:rFonts w:ascii="Times New Roman" w:eastAsiaTheme="minorEastAsia" w:hAnsi="Times New Roman" w:cs="Times New Roman"/>
          <w:color w:val="000000" w:themeColor="text1"/>
          <w:spacing w:val="1"/>
          <w:sz w:val="24"/>
          <w:szCs w:val="24"/>
          <w:lang w:val="fr-FR"/>
        </w:rPr>
        <w:t xml:space="preserve"> </w:t>
      </w:r>
      <w:proofErr w:type="spellStart"/>
      <w:r w:rsidRPr="000222D6">
        <w:rPr>
          <w:rFonts w:ascii="Times New Roman" w:eastAsiaTheme="minorEastAsia" w:hAnsi="Times New Roman" w:cs="Times New Roman"/>
          <w:color w:val="000000" w:themeColor="text1"/>
          <w:sz w:val="24"/>
          <w:szCs w:val="24"/>
        </w:rPr>
        <w:t>Diversitatea</w:t>
      </w:r>
      <w:proofErr w:type="spellEnd"/>
      <w:r w:rsidRPr="000222D6">
        <w:rPr>
          <w:rFonts w:ascii="Times New Roman" w:eastAsiaTheme="minorEastAsia" w:hAnsi="Times New Roman" w:cs="Times New Roman"/>
          <w:color w:val="000000" w:themeColor="text1"/>
          <w:spacing w:val="1"/>
          <w:sz w:val="24"/>
          <w:szCs w:val="24"/>
        </w:rPr>
        <w:t xml:space="preserve"> </w:t>
      </w:r>
      <w:proofErr w:type="spellStart"/>
      <w:r w:rsidRPr="000222D6">
        <w:rPr>
          <w:rFonts w:ascii="Times New Roman" w:eastAsiaTheme="minorEastAsia" w:hAnsi="Times New Roman" w:cs="Times New Roman"/>
          <w:color w:val="000000" w:themeColor="text1"/>
          <w:sz w:val="24"/>
          <w:szCs w:val="24"/>
        </w:rPr>
        <w:t>biologică</w:t>
      </w:r>
      <w:proofErr w:type="spellEnd"/>
      <w:r w:rsidRPr="000222D6">
        <w:rPr>
          <w:rFonts w:ascii="Times New Roman" w:eastAsiaTheme="minorEastAsia" w:hAnsi="Times New Roman" w:cs="Times New Roman"/>
          <w:color w:val="000000" w:themeColor="text1"/>
          <w:spacing w:val="1"/>
          <w:sz w:val="24"/>
          <w:szCs w:val="24"/>
        </w:rPr>
        <w:t xml:space="preserve"> </w:t>
      </w:r>
      <w:proofErr w:type="spellStart"/>
      <w:r w:rsidRPr="000222D6">
        <w:rPr>
          <w:rFonts w:ascii="Times New Roman" w:eastAsiaTheme="minorEastAsia" w:hAnsi="Times New Roman" w:cs="Times New Roman"/>
          <w:color w:val="000000" w:themeColor="text1"/>
          <w:sz w:val="24"/>
          <w:szCs w:val="24"/>
        </w:rPr>
        <w:t>oferă</w:t>
      </w:r>
      <w:proofErr w:type="spellEnd"/>
      <w:r w:rsidRPr="000222D6">
        <w:rPr>
          <w:rFonts w:ascii="Times New Roman" w:eastAsiaTheme="minorEastAsia" w:hAnsi="Times New Roman" w:cs="Times New Roman"/>
          <w:color w:val="000000" w:themeColor="text1"/>
          <w:spacing w:val="1"/>
          <w:sz w:val="24"/>
          <w:szCs w:val="24"/>
        </w:rPr>
        <w:t xml:space="preserve"> </w:t>
      </w:r>
      <w:proofErr w:type="spellStart"/>
      <w:r w:rsidRPr="000222D6">
        <w:rPr>
          <w:rFonts w:ascii="Times New Roman" w:eastAsiaTheme="minorEastAsia" w:hAnsi="Times New Roman" w:cs="Times New Roman"/>
          <w:color w:val="000000" w:themeColor="text1"/>
          <w:sz w:val="24"/>
          <w:szCs w:val="24"/>
        </w:rPr>
        <w:t>informaţii</w:t>
      </w:r>
      <w:proofErr w:type="spellEnd"/>
      <w:r w:rsidRPr="000222D6">
        <w:rPr>
          <w:rFonts w:ascii="Times New Roman" w:eastAsiaTheme="minorEastAsia" w:hAnsi="Times New Roman" w:cs="Times New Roman"/>
          <w:color w:val="000000" w:themeColor="text1"/>
          <w:spacing w:val="1"/>
          <w:sz w:val="24"/>
          <w:szCs w:val="24"/>
        </w:rPr>
        <w:t xml:space="preserve"> </w:t>
      </w:r>
      <w:proofErr w:type="spellStart"/>
      <w:r w:rsidRPr="000222D6">
        <w:rPr>
          <w:rFonts w:ascii="Times New Roman" w:eastAsiaTheme="minorEastAsia" w:hAnsi="Times New Roman" w:cs="Times New Roman"/>
          <w:color w:val="000000" w:themeColor="text1"/>
          <w:sz w:val="24"/>
          <w:szCs w:val="24"/>
        </w:rPr>
        <w:t>asupra</w:t>
      </w:r>
      <w:proofErr w:type="spellEnd"/>
      <w:r w:rsidRPr="000222D6">
        <w:rPr>
          <w:rFonts w:ascii="Times New Roman" w:eastAsiaTheme="minorEastAsia" w:hAnsi="Times New Roman" w:cs="Times New Roman"/>
          <w:color w:val="000000" w:themeColor="text1"/>
          <w:spacing w:val="1"/>
          <w:sz w:val="24"/>
          <w:szCs w:val="24"/>
        </w:rPr>
        <w:t xml:space="preserve"> </w:t>
      </w:r>
      <w:proofErr w:type="spellStart"/>
      <w:r w:rsidRPr="000222D6">
        <w:rPr>
          <w:rFonts w:ascii="Times New Roman" w:eastAsiaTheme="minorEastAsia" w:hAnsi="Times New Roman" w:cs="Times New Roman"/>
          <w:color w:val="000000" w:themeColor="text1"/>
          <w:sz w:val="24"/>
          <w:szCs w:val="24"/>
        </w:rPr>
        <w:t>particularităţilor</w:t>
      </w:r>
      <w:proofErr w:type="spellEnd"/>
      <w:r w:rsidRPr="000222D6">
        <w:rPr>
          <w:rFonts w:ascii="Times New Roman" w:eastAsiaTheme="minorEastAsia" w:hAnsi="Times New Roman" w:cs="Times New Roman"/>
          <w:color w:val="000000" w:themeColor="text1"/>
          <w:spacing w:val="1"/>
          <w:sz w:val="24"/>
          <w:szCs w:val="24"/>
        </w:rPr>
        <w:t xml:space="preserve"> </w:t>
      </w:r>
      <w:proofErr w:type="spellStart"/>
      <w:r w:rsidRPr="000222D6">
        <w:rPr>
          <w:rFonts w:ascii="Times New Roman" w:eastAsiaTheme="minorEastAsia" w:hAnsi="Times New Roman" w:cs="Times New Roman"/>
          <w:color w:val="000000" w:themeColor="text1"/>
          <w:sz w:val="24"/>
          <w:szCs w:val="24"/>
        </w:rPr>
        <w:t>fitocenozelor</w:t>
      </w:r>
      <w:proofErr w:type="spellEnd"/>
      <w:r w:rsidRPr="000222D6">
        <w:rPr>
          <w:rFonts w:ascii="Times New Roman" w:eastAsiaTheme="minorEastAsia" w:hAnsi="Times New Roman" w:cs="Times New Roman"/>
          <w:color w:val="000000" w:themeColor="text1"/>
          <w:spacing w:val="-57"/>
          <w:sz w:val="24"/>
          <w:szCs w:val="24"/>
        </w:rPr>
        <w:t xml:space="preserve"> </w:t>
      </w:r>
      <w:r w:rsidRPr="000222D6">
        <w:rPr>
          <w:rFonts w:ascii="Times New Roman" w:eastAsiaTheme="minorEastAsia" w:hAnsi="Times New Roman" w:cs="Times New Roman"/>
          <w:color w:val="000000" w:themeColor="text1"/>
          <w:sz w:val="24"/>
          <w:szCs w:val="24"/>
        </w:rPr>
        <w:t>precum</w:t>
      </w:r>
      <w:r w:rsidRPr="000222D6">
        <w:rPr>
          <w:rFonts w:ascii="Times New Roman" w:eastAsiaTheme="minorEastAsia" w:hAnsi="Times New Roman" w:cs="Times New Roman"/>
          <w:color w:val="000000" w:themeColor="text1"/>
          <w:spacing w:val="-1"/>
          <w:sz w:val="24"/>
          <w:szCs w:val="24"/>
        </w:rPr>
        <w:t xml:space="preserve"> </w:t>
      </w:r>
      <w:proofErr w:type="spellStart"/>
      <w:r w:rsidRPr="000222D6">
        <w:rPr>
          <w:rFonts w:ascii="Times New Roman" w:eastAsiaTheme="minorEastAsia" w:hAnsi="Times New Roman" w:cs="Times New Roman"/>
          <w:color w:val="000000" w:themeColor="text1"/>
          <w:sz w:val="24"/>
          <w:szCs w:val="24"/>
        </w:rPr>
        <w:t>şi</w:t>
      </w:r>
      <w:proofErr w:type="spellEnd"/>
      <w:r w:rsidRPr="000222D6">
        <w:rPr>
          <w:rFonts w:ascii="Times New Roman" w:eastAsiaTheme="minorEastAsia" w:hAnsi="Times New Roman" w:cs="Times New Roman"/>
          <w:color w:val="000000" w:themeColor="text1"/>
          <w:sz w:val="24"/>
          <w:szCs w:val="24"/>
        </w:rPr>
        <w:t xml:space="preserve"> a</w:t>
      </w:r>
      <w:r w:rsidRPr="000222D6">
        <w:rPr>
          <w:rFonts w:ascii="Times New Roman" w:eastAsiaTheme="minorEastAsia" w:hAnsi="Times New Roman" w:cs="Times New Roman"/>
          <w:color w:val="000000" w:themeColor="text1"/>
          <w:spacing w:val="-1"/>
          <w:sz w:val="24"/>
          <w:szCs w:val="24"/>
        </w:rPr>
        <w:t xml:space="preserve"> </w:t>
      </w:r>
      <w:proofErr w:type="spellStart"/>
      <w:r w:rsidRPr="000222D6">
        <w:rPr>
          <w:rFonts w:ascii="Times New Roman" w:eastAsiaTheme="minorEastAsia" w:hAnsi="Times New Roman" w:cs="Times New Roman"/>
          <w:color w:val="000000" w:themeColor="text1"/>
          <w:sz w:val="24"/>
          <w:szCs w:val="24"/>
        </w:rPr>
        <w:t>stadiului</w:t>
      </w:r>
      <w:proofErr w:type="spellEnd"/>
      <w:r w:rsidRPr="000222D6">
        <w:rPr>
          <w:rFonts w:ascii="Times New Roman" w:eastAsiaTheme="minorEastAsia" w:hAnsi="Times New Roman" w:cs="Times New Roman"/>
          <w:color w:val="000000" w:themeColor="text1"/>
          <w:sz w:val="24"/>
          <w:szCs w:val="24"/>
        </w:rPr>
        <w:t xml:space="preserve"> de</w:t>
      </w:r>
      <w:r w:rsidRPr="000222D6">
        <w:rPr>
          <w:rFonts w:ascii="Times New Roman" w:eastAsiaTheme="minorEastAsia" w:hAnsi="Times New Roman" w:cs="Times New Roman"/>
          <w:color w:val="000000" w:themeColor="text1"/>
          <w:spacing w:val="-1"/>
          <w:sz w:val="24"/>
          <w:szCs w:val="24"/>
        </w:rPr>
        <w:t xml:space="preserve"> </w:t>
      </w:r>
      <w:proofErr w:type="spellStart"/>
      <w:r w:rsidRPr="000222D6">
        <w:rPr>
          <w:rFonts w:ascii="Times New Roman" w:eastAsiaTheme="minorEastAsia" w:hAnsi="Times New Roman" w:cs="Times New Roman"/>
          <w:color w:val="000000" w:themeColor="text1"/>
          <w:sz w:val="24"/>
          <w:szCs w:val="24"/>
        </w:rPr>
        <w:t>evoluţie</w:t>
      </w:r>
      <w:proofErr w:type="spellEnd"/>
      <w:r w:rsidRPr="000222D6">
        <w:rPr>
          <w:rFonts w:ascii="Times New Roman" w:eastAsiaTheme="minorEastAsia" w:hAnsi="Times New Roman" w:cs="Times New Roman"/>
          <w:color w:val="000000" w:themeColor="text1"/>
          <w:sz w:val="24"/>
          <w:szCs w:val="24"/>
        </w:rPr>
        <w:t xml:space="preserve"> al </w:t>
      </w:r>
      <w:proofErr w:type="spellStart"/>
      <w:r w:rsidRPr="000222D6">
        <w:rPr>
          <w:rFonts w:ascii="Times New Roman" w:eastAsiaTheme="minorEastAsia" w:hAnsi="Times New Roman" w:cs="Times New Roman"/>
          <w:color w:val="000000" w:themeColor="text1"/>
          <w:sz w:val="24"/>
          <w:szCs w:val="24"/>
        </w:rPr>
        <w:t>acestora</w:t>
      </w:r>
      <w:proofErr w:type="spellEnd"/>
      <w:r w:rsidRPr="000222D6">
        <w:rPr>
          <w:rFonts w:ascii="Times New Roman" w:eastAsiaTheme="minorEastAsia" w:hAnsi="Times New Roman" w:cs="Times New Roman"/>
          <w:color w:val="000000" w:themeColor="text1"/>
          <w:sz w:val="24"/>
          <w:szCs w:val="24"/>
        </w:rPr>
        <w:t>.</w:t>
      </w:r>
    </w:p>
    <w:p w14:paraId="17E247ED" w14:textId="77777777" w:rsidR="00E929F2" w:rsidRPr="000222D6" w:rsidRDefault="00E929F2" w:rsidP="009E63E5">
      <w:pPr>
        <w:pStyle w:val="ListParagraph"/>
        <w:widowControl w:val="0"/>
        <w:numPr>
          <w:ilvl w:val="0"/>
          <w:numId w:val="185"/>
        </w:numPr>
        <w:autoSpaceDE w:val="0"/>
        <w:autoSpaceDN w:val="0"/>
        <w:adjustRightInd w:val="0"/>
        <w:ind w:left="360"/>
        <w:jc w:val="both"/>
        <w:rPr>
          <w:rFonts w:ascii="Times New Roman" w:eastAsiaTheme="minorEastAsia" w:hAnsi="Times New Roman" w:cs="Times New Roman"/>
          <w:color w:val="000000" w:themeColor="text1"/>
          <w:sz w:val="24"/>
          <w:szCs w:val="24"/>
        </w:rPr>
      </w:pPr>
      <w:proofErr w:type="spellStart"/>
      <w:r w:rsidRPr="000222D6">
        <w:rPr>
          <w:rFonts w:ascii="Times New Roman" w:hAnsi="Times New Roman" w:cs="Times New Roman"/>
          <w:b/>
          <w:color w:val="000000" w:themeColor="text1"/>
          <w:sz w:val="24"/>
          <w:szCs w:val="24"/>
        </w:rPr>
        <w:t>Compoziția</w:t>
      </w:r>
      <w:proofErr w:type="spellEnd"/>
      <w:r w:rsidRPr="000222D6">
        <w:rPr>
          <w:rFonts w:ascii="Times New Roman" w:hAnsi="Times New Roman" w:cs="Times New Roman"/>
          <w:b/>
          <w:color w:val="000000" w:themeColor="text1"/>
          <w:sz w:val="24"/>
          <w:szCs w:val="24"/>
        </w:rPr>
        <w:t xml:space="preserve"> </w:t>
      </w:r>
      <w:proofErr w:type="spellStart"/>
      <w:r w:rsidRPr="000222D6">
        <w:rPr>
          <w:rFonts w:ascii="Times New Roman" w:hAnsi="Times New Roman" w:cs="Times New Roman"/>
          <w:b/>
          <w:color w:val="000000" w:themeColor="text1"/>
          <w:sz w:val="24"/>
          <w:szCs w:val="24"/>
        </w:rPr>
        <w:t>floristică</w:t>
      </w:r>
      <w:proofErr w:type="spellEnd"/>
      <w:r w:rsidRPr="000222D6">
        <w:rPr>
          <w:rFonts w:ascii="Times New Roman" w:hAnsi="Times New Roman" w:cs="Times New Roman"/>
          <w:b/>
          <w:color w:val="000000" w:themeColor="text1"/>
          <w:sz w:val="24"/>
          <w:szCs w:val="24"/>
        </w:rPr>
        <w:t xml:space="preserve"> a </w:t>
      </w:r>
      <w:proofErr w:type="spellStart"/>
      <w:r w:rsidRPr="000222D6">
        <w:rPr>
          <w:rFonts w:ascii="Times New Roman" w:hAnsi="Times New Roman" w:cs="Times New Roman"/>
          <w:b/>
          <w:color w:val="000000" w:themeColor="text1"/>
          <w:sz w:val="24"/>
          <w:szCs w:val="24"/>
        </w:rPr>
        <w:t>habitatului</w:t>
      </w:r>
      <w:proofErr w:type="spellEnd"/>
      <w:r w:rsidRPr="000222D6">
        <w:rPr>
          <w:rFonts w:ascii="Times New Roman" w:hAnsi="Times New Roman" w:cs="Times New Roman"/>
          <w:b/>
          <w:color w:val="000000" w:themeColor="text1"/>
          <w:sz w:val="24"/>
          <w:szCs w:val="24"/>
        </w:rPr>
        <w:t xml:space="preserve"> </w:t>
      </w:r>
      <w:proofErr w:type="spellStart"/>
      <w:r w:rsidRPr="000222D6">
        <w:rPr>
          <w:rFonts w:ascii="Times New Roman" w:hAnsi="Times New Roman" w:cs="Times New Roman"/>
          <w:color w:val="000000" w:themeColor="text1"/>
          <w:sz w:val="24"/>
          <w:szCs w:val="24"/>
        </w:rPr>
        <w:t>exprimată</w:t>
      </w:r>
      <w:proofErr w:type="spellEnd"/>
      <w:r w:rsidRPr="000222D6">
        <w:rPr>
          <w:rFonts w:ascii="Times New Roman" w:hAnsi="Times New Roman" w:cs="Times New Roman"/>
          <w:color w:val="000000" w:themeColor="text1"/>
          <w:sz w:val="24"/>
          <w:szCs w:val="24"/>
        </w:rPr>
        <w:t xml:space="preserve">, de </w:t>
      </w:r>
      <w:proofErr w:type="spellStart"/>
      <w:r w:rsidRPr="000222D6">
        <w:rPr>
          <w:rFonts w:ascii="Times New Roman" w:hAnsi="Times New Roman" w:cs="Times New Roman"/>
          <w:color w:val="000000" w:themeColor="text1"/>
          <w:sz w:val="24"/>
          <w:szCs w:val="24"/>
        </w:rPr>
        <w:t>cele</w:t>
      </w:r>
      <w:proofErr w:type="spellEnd"/>
      <w:r w:rsidRPr="000222D6">
        <w:rPr>
          <w:rFonts w:ascii="Times New Roman" w:hAnsi="Times New Roman" w:cs="Times New Roman"/>
          <w:color w:val="000000" w:themeColor="text1"/>
          <w:sz w:val="24"/>
          <w:szCs w:val="24"/>
        </w:rPr>
        <w:t xml:space="preserve"> </w:t>
      </w:r>
      <w:proofErr w:type="spellStart"/>
      <w:r w:rsidRPr="000222D6">
        <w:rPr>
          <w:rFonts w:ascii="Times New Roman" w:hAnsi="Times New Roman" w:cs="Times New Roman"/>
          <w:color w:val="000000" w:themeColor="text1"/>
          <w:sz w:val="24"/>
          <w:szCs w:val="24"/>
        </w:rPr>
        <w:t>mai</w:t>
      </w:r>
      <w:proofErr w:type="spellEnd"/>
      <w:r w:rsidRPr="000222D6">
        <w:rPr>
          <w:rFonts w:ascii="Times New Roman" w:hAnsi="Times New Roman" w:cs="Times New Roman"/>
          <w:color w:val="000000" w:themeColor="text1"/>
          <w:sz w:val="24"/>
          <w:szCs w:val="24"/>
        </w:rPr>
        <w:t xml:space="preserve"> </w:t>
      </w:r>
      <w:proofErr w:type="spellStart"/>
      <w:r w:rsidRPr="000222D6">
        <w:rPr>
          <w:rFonts w:ascii="Times New Roman" w:hAnsi="Times New Roman" w:cs="Times New Roman"/>
          <w:color w:val="000000" w:themeColor="text1"/>
          <w:sz w:val="24"/>
          <w:szCs w:val="24"/>
        </w:rPr>
        <w:t>multe</w:t>
      </w:r>
      <w:proofErr w:type="spellEnd"/>
      <w:r w:rsidRPr="000222D6">
        <w:rPr>
          <w:rFonts w:ascii="Times New Roman" w:hAnsi="Times New Roman" w:cs="Times New Roman"/>
          <w:color w:val="000000" w:themeColor="text1"/>
          <w:sz w:val="24"/>
          <w:szCs w:val="24"/>
        </w:rPr>
        <w:t xml:space="preserve"> </w:t>
      </w:r>
      <w:proofErr w:type="spellStart"/>
      <w:r w:rsidRPr="000222D6">
        <w:rPr>
          <w:rFonts w:ascii="Times New Roman" w:hAnsi="Times New Roman" w:cs="Times New Roman"/>
          <w:color w:val="000000" w:themeColor="text1"/>
          <w:sz w:val="24"/>
          <w:szCs w:val="24"/>
        </w:rPr>
        <w:t>ori</w:t>
      </w:r>
      <w:proofErr w:type="spellEnd"/>
      <w:r w:rsidRPr="000222D6">
        <w:rPr>
          <w:rFonts w:ascii="Times New Roman" w:hAnsi="Times New Roman" w:cs="Times New Roman"/>
          <w:color w:val="000000" w:themeColor="text1"/>
          <w:sz w:val="24"/>
          <w:szCs w:val="24"/>
        </w:rPr>
        <w:t xml:space="preserve">, </w:t>
      </w:r>
      <w:proofErr w:type="spellStart"/>
      <w:r w:rsidRPr="000222D6">
        <w:rPr>
          <w:rFonts w:ascii="Times New Roman" w:hAnsi="Times New Roman" w:cs="Times New Roman"/>
          <w:color w:val="000000" w:themeColor="text1"/>
          <w:sz w:val="24"/>
          <w:szCs w:val="24"/>
        </w:rPr>
        <w:t>prin</w:t>
      </w:r>
      <w:proofErr w:type="spellEnd"/>
      <w:r w:rsidRPr="000222D6">
        <w:rPr>
          <w:rFonts w:ascii="Times New Roman" w:hAnsi="Times New Roman" w:cs="Times New Roman"/>
          <w:color w:val="000000" w:themeColor="text1"/>
          <w:sz w:val="24"/>
          <w:szCs w:val="24"/>
        </w:rPr>
        <w:t xml:space="preserve"> </w:t>
      </w:r>
      <w:proofErr w:type="spellStart"/>
      <w:r w:rsidRPr="000222D6">
        <w:rPr>
          <w:rFonts w:ascii="Times New Roman" w:hAnsi="Times New Roman" w:cs="Times New Roman"/>
          <w:b/>
          <w:color w:val="000000" w:themeColor="text1"/>
          <w:sz w:val="24"/>
          <w:szCs w:val="24"/>
        </w:rPr>
        <w:t>abundenţa</w:t>
      </w:r>
      <w:proofErr w:type="spellEnd"/>
      <w:r w:rsidRPr="000222D6">
        <w:rPr>
          <w:rFonts w:ascii="Times New Roman" w:hAnsi="Times New Roman" w:cs="Times New Roman"/>
          <w:b/>
          <w:color w:val="000000" w:themeColor="text1"/>
          <w:spacing w:val="1"/>
          <w:sz w:val="24"/>
          <w:szCs w:val="24"/>
        </w:rPr>
        <w:t xml:space="preserve"> </w:t>
      </w:r>
      <w:proofErr w:type="spellStart"/>
      <w:r w:rsidRPr="000222D6">
        <w:rPr>
          <w:rFonts w:ascii="Times New Roman" w:hAnsi="Times New Roman" w:cs="Times New Roman"/>
          <w:b/>
          <w:color w:val="000000" w:themeColor="text1"/>
          <w:sz w:val="24"/>
          <w:szCs w:val="24"/>
        </w:rPr>
        <w:t>speciilor</w:t>
      </w:r>
      <w:proofErr w:type="spellEnd"/>
      <w:r w:rsidRPr="000222D6">
        <w:rPr>
          <w:rFonts w:ascii="Times New Roman" w:hAnsi="Times New Roman" w:cs="Times New Roman"/>
          <w:b/>
          <w:color w:val="000000" w:themeColor="text1"/>
          <w:sz w:val="24"/>
          <w:szCs w:val="24"/>
        </w:rPr>
        <w:t xml:space="preserve"> </w:t>
      </w:r>
      <w:r w:rsidRPr="000222D6">
        <w:rPr>
          <w:rFonts w:ascii="Times New Roman" w:hAnsi="Times New Roman" w:cs="Times New Roman"/>
          <w:color w:val="000000" w:themeColor="text1"/>
          <w:sz w:val="24"/>
          <w:szCs w:val="24"/>
        </w:rPr>
        <w:t xml:space="preserve">care </w:t>
      </w:r>
      <w:proofErr w:type="spellStart"/>
      <w:r w:rsidRPr="000222D6">
        <w:rPr>
          <w:rFonts w:ascii="Times New Roman" w:hAnsi="Times New Roman" w:cs="Times New Roman"/>
          <w:color w:val="000000" w:themeColor="text1"/>
          <w:sz w:val="24"/>
          <w:szCs w:val="24"/>
        </w:rPr>
        <w:t>reprezintă</w:t>
      </w:r>
      <w:proofErr w:type="spellEnd"/>
      <w:r w:rsidRPr="000222D6">
        <w:rPr>
          <w:rFonts w:ascii="Times New Roman" w:hAnsi="Times New Roman" w:cs="Times New Roman"/>
          <w:color w:val="000000" w:themeColor="text1"/>
          <w:sz w:val="24"/>
          <w:szCs w:val="24"/>
        </w:rPr>
        <w:t xml:space="preserve"> o </w:t>
      </w:r>
      <w:proofErr w:type="spellStart"/>
      <w:r w:rsidRPr="000222D6">
        <w:rPr>
          <w:rFonts w:ascii="Times New Roman" w:hAnsi="Times New Roman" w:cs="Times New Roman"/>
          <w:color w:val="000000" w:themeColor="text1"/>
          <w:sz w:val="24"/>
          <w:szCs w:val="24"/>
        </w:rPr>
        <w:t>sinteză</w:t>
      </w:r>
      <w:proofErr w:type="spellEnd"/>
      <w:r w:rsidRPr="000222D6">
        <w:rPr>
          <w:rFonts w:ascii="Times New Roman" w:hAnsi="Times New Roman" w:cs="Times New Roman"/>
          <w:color w:val="000000" w:themeColor="text1"/>
          <w:sz w:val="24"/>
          <w:szCs w:val="24"/>
        </w:rPr>
        <w:t xml:space="preserve"> a </w:t>
      </w:r>
      <w:proofErr w:type="spellStart"/>
      <w:r w:rsidRPr="000222D6">
        <w:rPr>
          <w:rFonts w:ascii="Times New Roman" w:hAnsi="Times New Roman" w:cs="Times New Roman"/>
          <w:color w:val="000000" w:themeColor="text1"/>
          <w:sz w:val="24"/>
          <w:szCs w:val="24"/>
        </w:rPr>
        <w:t>distribuţiei</w:t>
      </w:r>
      <w:proofErr w:type="spellEnd"/>
      <w:r w:rsidRPr="000222D6">
        <w:rPr>
          <w:rFonts w:ascii="Times New Roman" w:hAnsi="Times New Roman" w:cs="Times New Roman"/>
          <w:color w:val="000000" w:themeColor="text1"/>
          <w:sz w:val="24"/>
          <w:szCs w:val="24"/>
        </w:rPr>
        <w:t xml:space="preserve"> </w:t>
      </w:r>
      <w:proofErr w:type="spellStart"/>
      <w:r w:rsidRPr="000222D6">
        <w:rPr>
          <w:rFonts w:ascii="Times New Roman" w:hAnsi="Times New Roman" w:cs="Times New Roman"/>
          <w:color w:val="000000" w:themeColor="text1"/>
          <w:sz w:val="24"/>
          <w:szCs w:val="24"/>
        </w:rPr>
        <w:t>acoperirii</w:t>
      </w:r>
      <w:proofErr w:type="spellEnd"/>
      <w:r w:rsidRPr="000222D6">
        <w:rPr>
          <w:rFonts w:ascii="Times New Roman" w:hAnsi="Times New Roman" w:cs="Times New Roman"/>
          <w:color w:val="000000" w:themeColor="text1"/>
          <w:sz w:val="24"/>
          <w:szCs w:val="24"/>
        </w:rPr>
        <w:t xml:space="preserve"> relative (</w:t>
      </w:r>
      <w:proofErr w:type="spellStart"/>
      <w:r w:rsidRPr="000222D6">
        <w:rPr>
          <w:rFonts w:ascii="Times New Roman" w:hAnsi="Times New Roman" w:cs="Times New Roman"/>
          <w:color w:val="000000" w:themeColor="text1"/>
          <w:sz w:val="24"/>
          <w:szCs w:val="24"/>
        </w:rPr>
        <w:t>frecvenţei</w:t>
      </w:r>
      <w:proofErr w:type="spellEnd"/>
      <w:r w:rsidRPr="000222D6">
        <w:rPr>
          <w:rFonts w:ascii="Times New Roman" w:hAnsi="Times New Roman" w:cs="Times New Roman"/>
          <w:color w:val="000000" w:themeColor="text1"/>
          <w:sz w:val="24"/>
          <w:szCs w:val="24"/>
        </w:rPr>
        <w:t xml:space="preserve">) a </w:t>
      </w:r>
      <w:proofErr w:type="spellStart"/>
      <w:r w:rsidRPr="000222D6">
        <w:rPr>
          <w:rFonts w:ascii="Times New Roman" w:hAnsi="Times New Roman" w:cs="Times New Roman"/>
          <w:color w:val="000000" w:themeColor="text1"/>
          <w:sz w:val="24"/>
          <w:szCs w:val="24"/>
        </w:rPr>
        <w:t>speciilor</w:t>
      </w:r>
      <w:proofErr w:type="spellEnd"/>
      <w:r w:rsidRPr="000222D6">
        <w:rPr>
          <w:rFonts w:ascii="Times New Roman" w:hAnsi="Times New Roman" w:cs="Times New Roman"/>
          <w:color w:val="000000" w:themeColor="text1"/>
          <w:spacing w:val="1"/>
          <w:sz w:val="24"/>
          <w:szCs w:val="24"/>
        </w:rPr>
        <w:t xml:space="preserve"> </w:t>
      </w:r>
      <w:proofErr w:type="spellStart"/>
      <w:r w:rsidRPr="000222D6">
        <w:rPr>
          <w:rFonts w:ascii="Times New Roman" w:hAnsi="Times New Roman" w:cs="Times New Roman"/>
          <w:color w:val="000000" w:themeColor="text1"/>
          <w:sz w:val="24"/>
          <w:szCs w:val="24"/>
        </w:rPr>
        <w:t>dintr</w:t>
      </w:r>
      <w:proofErr w:type="spellEnd"/>
      <w:r w:rsidRPr="000222D6">
        <w:rPr>
          <w:rFonts w:ascii="Times New Roman" w:hAnsi="Times New Roman" w:cs="Times New Roman"/>
          <w:color w:val="000000" w:themeColor="text1"/>
          <w:sz w:val="24"/>
          <w:szCs w:val="24"/>
        </w:rPr>
        <w:t>-o</w:t>
      </w:r>
      <w:r w:rsidRPr="000222D6">
        <w:rPr>
          <w:rFonts w:ascii="Times New Roman" w:hAnsi="Times New Roman" w:cs="Times New Roman"/>
          <w:color w:val="000000" w:themeColor="text1"/>
          <w:spacing w:val="-1"/>
          <w:sz w:val="24"/>
          <w:szCs w:val="24"/>
        </w:rPr>
        <w:t xml:space="preserve"> </w:t>
      </w:r>
      <w:proofErr w:type="spellStart"/>
      <w:r w:rsidRPr="000222D6">
        <w:rPr>
          <w:rFonts w:ascii="Times New Roman" w:hAnsi="Times New Roman" w:cs="Times New Roman"/>
          <w:color w:val="000000" w:themeColor="text1"/>
          <w:sz w:val="24"/>
          <w:szCs w:val="24"/>
        </w:rPr>
        <w:t>fitocenoză</w:t>
      </w:r>
      <w:proofErr w:type="spellEnd"/>
      <w:r w:rsidRPr="000222D6">
        <w:rPr>
          <w:rFonts w:ascii="Times New Roman" w:hAnsi="Times New Roman" w:cs="Times New Roman"/>
          <w:color w:val="000000" w:themeColor="text1"/>
          <w:sz w:val="24"/>
          <w:szCs w:val="24"/>
        </w:rPr>
        <w:t>.</w:t>
      </w:r>
    </w:p>
    <w:p w14:paraId="5EEDFB61" w14:textId="77777777" w:rsidR="000222D6" w:rsidRDefault="000222D6" w:rsidP="00E929F2">
      <w:pPr>
        <w:widowControl w:val="0"/>
        <w:tabs>
          <w:tab w:val="left" w:pos="1115"/>
        </w:tabs>
        <w:autoSpaceDE w:val="0"/>
        <w:autoSpaceDN w:val="0"/>
        <w:spacing w:before="100"/>
        <w:jc w:val="center"/>
        <w:outlineLvl w:val="1"/>
        <w:rPr>
          <w:b/>
          <w:bCs/>
          <w:color w:val="000000" w:themeColor="text1"/>
          <w:lang w:val="en-US"/>
        </w:rPr>
      </w:pPr>
    </w:p>
    <w:p w14:paraId="6AD19F7D" w14:textId="77777777" w:rsidR="000222D6" w:rsidRDefault="000222D6" w:rsidP="00E929F2">
      <w:pPr>
        <w:widowControl w:val="0"/>
        <w:tabs>
          <w:tab w:val="left" w:pos="1115"/>
        </w:tabs>
        <w:autoSpaceDE w:val="0"/>
        <w:autoSpaceDN w:val="0"/>
        <w:spacing w:before="100"/>
        <w:jc w:val="center"/>
        <w:outlineLvl w:val="1"/>
        <w:rPr>
          <w:b/>
          <w:bCs/>
          <w:color w:val="000000" w:themeColor="text1"/>
          <w:lang w:val="en-US"/>
        </w:rPr>
      </w:pPr>
    </w:p>
    <w:p w14:paraId="06E063CB" w14:textId="77777777" w:rsidR="00E929F2" w:rsidRPr="00E929F2" w:rsidRDefault="00E929F2" w:rsidP="0049533B">
      <w:pPr>
        <w:spacing w:after="160" w:line="259" w:lineRule="auto"/>
        <w:rPr>
          <w:b/>
          <w:bCs/>
          <w:color w:val="000000" w:themeColor="text1"/>
          <w:lang w:val="en-US"/>
        </w:rPr>
      </w:pPr>
      <w:proofErr w:type="spellStart"/>
      <w:r w:rsidRPr="00E929F2">
        <w:rPr>
          <w:b/>
          <w:bCs/>
          <w:color w:val="000000" w:themeColor="text1"/>
          <w:lang w:val="en-US"/>
        </w:rPr>
        <w:t>Parametrii</w:t>
      </w:r>
      <w:proofErr w:type="spellEnd"/>
      <w:r w:rsidRPr="00E929F2">
        <w:rPr>
          <w:b/>
          <w:bCs/>
          <w:color w:val="000000" w:themeColor="text1"/>
          <w:spacing w:val="-5"/>
          <w:lang w:val="en-US"/>
        </w:rPr>
        <w:t xml:space="preserve"> </w:t>
      </w:r>
      <w:proofErr w:type="spellStart"/>
      <w:r w:rsidRPr="00E929F2">
        <w:rPr>
          <w:b/>
          <w:bCs/>
          <w:color w:val="000000" w:themeColor="text1"/>
          <w:lang w:val="en-US"/>
        </w:rPr>
        <w:t>evaluați</w:t>
      </w:r>
      <w:proofErr w:type="spellEnd"/>
    </w:p>
    <w:p w14:paraId="69610D14" w14:textId="77777777" w:rsidR="00E929F2" w:rsidRPr="00E929F2" w:rsidRDefault="000222D6" w:rsidP="0049533B">
      <w:pPr>
        <w:jc w:val="both"/>
        <w:rPr>
          <w:b/>
          <w:color w:val="000000" w:themeColor="text1"/>
        </w:rPr>
      </w:pPr>
      <w:r>
        <w:rPr>
          <w:b/>
          <w:color w:val="000000" w:themeColor="text1"/>
        </w:rPr>
        <w:t>Arealul</w:t>
      </w:r>
    </w:p>
    <w:p w14:paraId="4B3FAA28" w14:textId="77777777" w:rsidR="00E929F2" w:rsidRPr="00E929F2" w:rsidRDefault="00E929F2" w:rsidP="0049533B">
      <w:pPr>
        <w:widowControl w:val="0"/>
        <w:autoSpaceDE w:val="0"/>
        <w:autoSpaceDN w:val="0"/>
        <w:adjustRightInd w:val="0"/>
        <w:spacing w:before="7"/>
        <w:jc w:val="both"/>
        <w:rPr>
          <w:rFonts w:eastAsiaTheme="minorEastAsia"/>
          <w:b/>
          <w:color w:val="000000" w:themeColor="text1"/>
          <w:lang w:val="en-US"/>
        </w:rPr>
      </w:pPr>
    </w:p>
    <w:p w14:paraId="646F9DF7" w14:textId="77777777" w:rsidR="00E929F2" w:rsidRPr="00E929F2" w:rsidRDefault="00E929F2" w:rsidP="0049533B">
      <w:pPr>
        <w:widowControl w:val="0"/>
        <w:autoSpaceDE w:val="0"/>
        <w:autoSpaceDN w:val="0"/>
        <w:adjustRightInd w:val="0"/>
        <w:ind w:right="250"/>
        <w:jc w:val="both"/>
        <w:rPr>
          <w:rFonts w:eastAsiaTheme="minorEastAsia"/>
          <w:color w:val="000000" w:themeColor="text1"/>
          <w:lang w:val="fr-FR"/>
        </w:rPr>
      </w:pPr>
      <w:r w:rsidRPr="00E929F2">
        <w:rPr>
          <w:rFonts w:eastAsiaTheme="minorEastAsia"/>
          <w:color w:val="000000" w:themeColor="text1"/>
          <w:lang w:val="en-US"/>
        </w:rPr>
        <w:t xml:space="preserve">La </w:t>
      </w:r>
      <w:proofErr w:type="spellStart"/>
      <w:r w:rsidRPr="00E929F2">
        <w:rPr>
          <w:rFonts w:eastAsiaTheme="minorEastAsia"/>
          <w:color w:val="000000" w:themeColor="text1"/>
          <w:lang w:val="en-US"/>
        </w:rPr>
        <w:t>acest</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parametru</w:t>
      </w:r>
      <w:proofErr w:type="spellEnd"/>
      <w:r w:rsidRPr="00E929F2">
        <w:rPr>
          <w:rFonts w:eastAsiaTheme="minorEastAsia"/>
          <w:color w:val="000000" w:themeColor="text1"/>
          <w:lang w:val="en-US"/>
        </w:rPr>
        <w:t xml:space="preserve"> se </w:t>
      </w:r>
      <w:proofErr w:type="spellStart"/>
      <w:r w:rsidRPr="00E929F2">
        <w:rPr>
          <w:rFonts w:eastAsiaTheme="minorEastAsia"/>
          <w:color w:val="000000" w:themeColor="text1"/>
          <w:lang w:val="en-US"/>
        </w:rPr>
        <w:t>consemnează</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informații</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despre</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suprafața</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arealului</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tendințele</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arealului</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și</w:t>
      </w:r>
      <w:proofErr w:type="spellEnd"/>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arealul</w:t>
      </w:r>
      <w:proofErr w:type="spellEnd"/>
      <w:r w:rsidRPr="00E929F2">
        <w:rPr>
          <w:rFonts w:eastAsiaTheme="minorEastAsia"/>
          <w:color w:val="000000" w:themeColor="text1"/>
          <w:spacing w:val="-1"/>
          <w:lang w:val="en-US"/>
        </w:rPr>
        <w:t xml:space="preserve"> </w:t>
      </w:r>
      <w:r w:rsidRPr="00E929F2">
        <w:rPr>
          <w:rFonts w:eastAsiaTheme="minorEastAsia"/>
          <w:color w:val="000000" w:themeColor="text1"/>
          <w:lang w:val="en-US"/>
        </w:rPr>
        <w:t>de</w:t>
      </w:r>
      <w:r w:rsidRPr="00E929F2">
        <w:rPr>
          <w:rFonts w:eastAsiaTheme="minorEastAsia"/>
          <w:color w:val="000000" w:themeColor="text1"/>
          <w:spacing w:val="1"/>
          <w:lang w:val="en-US"/>
        </w:rPr>
        <w:t xml:space="preserve"> </w:t>
      </w:r>
      <w:r w:rsidRPr="00E929F2">
        <w:rPr>
          <w:rFonts w:eastAsiaTheme="minorEastAsia"/>
          <w:color w:val="000000" w:themeColor="text1"/>
          <w:lang w:val="en-US"/>
        </w:rPr>
        <w:t>re</w:t>
      </w:r>
      <w:proofErr w:type="spellStart"/>
      <w:r w:rsidRPr="00E929F2">
        <w:rPr>
          <w:rFonts w:eastAsiaTheme="minorEastAsia"/>
          <w:color w:val="000000" w:themeColor="text1"/>
          <w:lang w:val="fr-FR"/>
        </w:rPr>
        <w:t>ferință</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favorabil</w:t>
      </w:r>
      <w:proofErr w:type="spellEnd"/>
      <w:r w:rsidRPr="00E929F2">
        <w:rPr>
          <w:rFonts w:eastAsiaTheme="minorEastAsia"/>
          <w:color w:val="000000" w:themeColor="text1"/>
          <w:lang w:val="fr-FR"/>
        </w:rPr>
        <w:t>.</w:t>
      </w:r>
    </w:p>
    <w:p w14:paraId="290BF9FA" w14:textId="77777777" w:rsidR="00E929F2" w:rsidRPr="00E929F2" w:rsidRDefault="00E929F2" w:rsidP="0049533B">
      <w:pPr>
        <w:widowControl w:val="0"/>
        <w:autoSpaceDE w:val="0"/>
        <w:autoSpaceDN w:val="0"/>
        <w:adjustRightInd w:val="0"/>
        <w:spacing w:before="1"/>
        <w:ind w:right="252"/>
        <w:jc w:val="both"/>
        <w:rPr>
          <w:rFonts w:eastAsiaTheme="minorEastAsia"/>
          <w:color w:val="000000" w:themeColor="text1"/>
          <w:lang w:val="fr-FR"/>
        </w:rPr>
      </w:pPr>
      <w:proofErr w:type="spellStart"/>
      <w:r w:rsidRPr="00E929F2">
        <w:rPr>
          <w:rFonts w:eastAsiaTheme="minorEastAsia"/>
          <w:color w:val="000000" w:themeColor="text1"/>
          <w:lang w:val="fr-FR"/>
        </w:rPr>
        <w:t>Corelat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formatul</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raportare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arealul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oferă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rezultatul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evaluării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stării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pentru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areal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utilizând</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cele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patru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categorii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disponibile</w:t>
      </w:r>
      <w:proofErr w:type="spellEnd"/>
      <w:r w:rsidRPr="00E929F2">
        <w:rPr>
          <w:rFonts w:eastAsiaTheme="minorEastAsia"/>
          <w:color w:val="000000" w:themeColor="text1"/>
          <w:lang w:val="fr-FR"/>
        </w:rPr>
        <w:t xml:space="preserve">: </w:t>
      </w:r>
      <w:r w:rsidRPr="00E929F2">
        <w:rPr>
          <w:rFonts w:eastAsiaTheme="minorEastAsia"/>
          <w:b/>
          <w:color w:val="000000" w:themeColor="text1"/>
          <w:lang w:val="fr-FR"/>
        </w:rPr>
        <w:t>„</w:t>
      </w:r>
      <w:proofErr w:type="spellStart"/>
      <w:r w:rsidRPr="00E929F2">
        <w:rPr>
          <w:rFonts w:eastAsiaTheme="minorEastAsia"/>
          <w:color w:val="000000" w:themeColor="text1"/>
          <w:lang w:val="fr-FR"/>
        </w:rPr>
        <w:t>favorabil</w:t>
      </w:r>
      <w:proofErr w:type="spellEnd"/>
      <w:r w:rsidRPr="00E929F2">
        <w:rPr>
          <w:rFonts w:eastAsiaTheme="minorEastAsia"/>
          <w:b/>
          <w:color w:val="000000" w:themeColor="text1"/>
          <w:lang w:val="fr-FR"/>
        </w:rPr>
        <w:t>” (FV), „</w:t>
      </w:r>
      <w:proofErr w:type="spellStart"/>
      <w:r w:rsidRPr="00E929F2">
        <w:rPr>
          <w:rFonts w:eastAsiaTheme="minorEastAsia"/>
          <w:color w:val="000000" w:themeColor="text1"/>
          <w:lang w:val="fr-FR"/>
        </w:rPr>
        <w:t>nefavorabil-inadecvat</w:t>
      </w:r>
      <w:proofErr w:type="spellEnd"/>
      <w:r w:rsidRPr="00E929F2">
        <w:rPr>
          <w:rFonts w:eastAsiaTheme="minorEastAsia"/>
          <w:b/>
          <w:color w:val="000000" w:themeColor="text1"/>
          <w:lang w:val="fr-FR"/>
        </w:rPr>
        <w:t>” (U1), „</w:t>
      </w:r>
      <w:proofErr w:type="spellStart"/>
      <w:r w:rsidRPr="00E929F2">
        <w:rPr>
          <w:rFonts w:eastAsiaTheme="minorEastAsia"/>
          <w:color w:val="000000" w:themeColor="text1"/>
          <w:lang w:val="fr-FR"/>
        </w:rPr>
        <w:t>nefavorabil-rău</w:t>
      </w:r>
      <w:proofErr w:type="spellEnd"/>
      <w:r w:rsidRPr="00E929F2">
        <w:rPr>
          <w:rFonts w:eastAsiaTheme="minorEastAsia"/>
          <w:b/>
          <w:color w:val="000000" w:themeColor="text1"/>
          <w:lang w:val="fr-FR"/>
        </w:rPr>
        <w:t>” (U2)</w:t>
      </w:r>
      <w:r w:rsidRPr="00E929F2">
        <w:rPr>
          <w:rFonts w:eastAsiaTheme="minorEastAsia"/>
          <w:b/>
          <w:color w:val="000000" w:themeColor="text1"/>
          <w:spacing w:val="-57"/>
          <w:lang w:val="fr-FR"/>
        </w:rPr>
        <w:t xml:space="preserve"> </w:t>
      </w:r>
      <w:proofErr w:type="spellStart"/>
      <w:r w:rsidRPr="00E929F2">
        <w:rPr>
          <w:rFonts w:eastAsiaTheme="minorEastAsia"/>
          <w:b/>
          <w:color w:val="000000" w:themeColor="text1"/>
          <w:lang w:val="fr-FR"/>
        </w:rPr>
        <w:t>și</w:t>
      </w:r>
      <w:proofErr w:type="spellEnd"/>
      <w:r w:rsidRPr="00E929F2">
        <w:rPr>
          <w:rFonts w:eastAsiaTheme="minorEastAsia"/>
          <w:b/>
          <w:color w:val="000000" w:themeColor="text1"/>
          <w:spacing w:val="-2"/>
          <w:lang w:val="fr-FR"/>
        </w:rPr>
        <w:t xml:space="preserve"> </w:t>
      </w:r>
      <w:r w:rsidRPr="00E929F2">
        <w:rPr>
          <w:rFonts w:eastAsiaTheme="minorEastAsia"/>
          <w:b/>
          <w:color w:val="000000" w:themeColor="text1"/>
          <w:lang w:val="fr-FR"/>
        </w:rPr>
        <w:t>„</w:t>
      </w:r>
      <w:proofErr w:type="spellStart"/>
      <w:r w:rsidRPr="00E929F2">
        <w:rPr>
          <w:rFonts w:eastAsiaTheme="minorEastAsia"/>
          <w:color w:val="000000" w:themeColor="text1"/>
          <w:lang w:val="fr-FR"/>
        </w:rPr>
        <w:t>necunoscut</w:t>
      </w:r>
      <w:proofErr w:type="spellEnd"/>
      <w:r w:rsidRPr="00E929F2">
        <w:rPr>
          <w:rFonts w:eastAsiaTheme="minorEastAsia"/>
          <w:b/>
          <w:color w:val="000000" w:themeColor="text1"/>
          <w:lang w:val="fr-FR"/>
        </w:rPr>
        <w:t>” (XX)</w:t>
      </w:r>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fiind</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redat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tabelul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următor</w:t>
      </w:r>
      <w:proofErr w:type="spellEnd"/>
      <w:r w:rsidRPr="00E929F2">
        <w:rPr>
          <w:rFonts w:eastAsiaTheme="minorEastAsia"/>
          <w:color w:val="000000" w:themeColor="text1"/>
          <w:lang w:val="fr-FR"/>
        </w:rPr>
        <w:t>:</w:t>
      </w:r>
    </w:p>
    <w:p w14:paraId="4B81BF37" w14:textId="77777777" w:rsidR="00E929F2" w:rsidRPr="00E929F2" w:rsidRDefault="00E929F2" w:rsidP="00E929F2">
      <w:pPr>
        <w:widowControl w:val="0"/>
        <w:autoSpaceDE w:val="0"/>
        <w:autoSpaceDN w:val="0"/>
        <w:adjustRightInd w:val="0"/>
        <w:spacing w:before="8"/>
        <w:ind w:left="115"/>
        <w:jc w:val="both"/>
        <w:rPr>
          <w:rFonts w:eastAsiaTheme="minorEastAsia"/>
          <w:color w:val="000000" w:themeColor="text1"/>
          <w:lang w:val="fr-FR"/>
        </w:rPr>
      </w:pPr>
    </w:p>
    <w:tbl>
      <w:tblPr>
        <w:tblW w:w="10170"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15"/>
        <w:gridCol w:w="8255"/>
      </w:tblGrid>
      <w:tr w:rsidR="00E929F2" w:rsidRPr="00E929F2" w14:paraId="236552F0" w14:textId="77777777" w:rsidTr="0049533B">
        <w:trPr>
          <w:trHeight w:val="551"/>
        </w:trPr>
        <w:tc>
          <w:tcPr>
            <w:tcW w:w="1915" w:type="dxa"/>
            <w:shd w:val="clear" w:color="auto" w:fill="DBE4F0"/>
          </w:tcPr>
          <w:p w14:paraId="4B918130" w14:textId="77777777" w:rsidR="00E929F2" w:rsidRPr="00E929F2" w:rsidRDefault="00E929F2" w:rsidP="00E929F2">
            <w:pPr>
              <w:widowControl w:val="0"/>
              <w:tabs>
                <w:tab w:val="left" w:pos="1458"/>
              </w:tabs>
              <w:autoSpaceDE w:val="0"/>
              <w:autoSpaceDN w:val="0"/>
              <w:spacing w:line="273" w:lineRule="exact"/>
              <w:ind w:left="108"/>
              <w:jc w:val="both"/>
              <w:rPr>
                <w:b/>
                <w:color w:val="000000" w:themeColor="text1"/>
              </w:rPr>
            </w:pPr>
            <w:r w:rsidRPr="00E929F2">
              <w:rPr>
                <w:b/>
                <w:color w:val="000000" w:themeColor="text1"/>
              </w:rPr>
              <w:t>Starea</w:t>
            </w:r>
            <w:r w:rsidRPr="00E929F2">
              <w:rPr>
                <w:b/>
                <w:color w:val="000000" w:themeColor="text1"/>
              </w:rPr>
              <w:tab/>
              <w:t>de</w:t>
            </w:r>
          </w:p>
          <w:p w14:paraId="2815F0F8" w14:textId="77777777" w:rsidR="00E929F2" w:rsidRPr="00E929F2" w:rsidRDefault="00E929F2" w:rsidP="00E929F2">
            <w:pPr>
              <w:widowControl w:val="0"/>
              <w:autoSpaceDE w:val="0"/>
              <w:autoSpaceDN w:val="0"/>
              <w:spacing w:line="259" w:lineRule="exact"/>
              <w:ind w:left="108"/>
              <w:jc w:val="both"/>
              <w:rPr>
                <w:b/>
                <w:color w:val="000000" w:themeColor="text1"/>
              </w:rPr>
            </w:pPr>
            <w:r w:rsidRPr="00E929F2">
              <w:rPr>
                <w:b/>
                <w:color w:val="000000" w:themeColor="text1"/>
              </w:rPr>
              <w:t>conservare</w:t>
            </w:r>
          </w:p>
        </w:tc>
        <w:tc>
          <w:tcPr>
            <w:tcW w:w="8255" w:type="dxa"/>
            <w:shd w:val="clear" w:color="auto" w:fill="DBE4F0"/>
          </w:tcPr>
          <w:p w14:paraId="6CCA2E76" w14:textId="77777777" w:rsidR="00E929F2" w:rsidRPr="00E929F2" w:rsidRDefault="00E929F2" w:rsidP="00E929F2">
            <w:pPr>
              <w:widowControl w:val="0"/>
              <w:autoSpaceDE w:val="0"/>
              <w:autoSpaceDN w:val="0"/>
              <w:spacing w:before="135"/>
              <w:ind w:left="107"/>
              <w:jc w:val="both"/>
              <w:rPr>
                <w:b/>
                <w:color w:val="000000" w:themeColor="text1"/>
              </w:rPr>
            </w:pPr>
            <w:r w:rsidRPr="00E929F2">
              <w:rPr>
                <w:b/>
                <w:color w:val="000000" w:themeColor="text1"/>
              </w:rPr>
              <w:t>Criterii</w:t>
            </w:r>
            <w:r w:rsidRPr="00E929F2">
              <w:rPr>
                <w:b/>
                <w:color w:val="000000" w:themeColor="text1"/>
                <w:spacing w:val="-2"/>
              </w:rPr>
              <w:t xml:space="preserve"> </w:t>
            </w:r>
            <w:r w:rsidRPr="00E929F2">
              <w:rPr>
                <w:b/>
                <w:color w:val="000000" w:themeColor="text1"/>
              </w:rPr>
              <w:t>de</w:t>
            </w:r>
            <w:r w:rsidRPr="00E929F2">
              <w:rPr>
                <w:b/>
                <w:color w:val="000000" w:themeColor="text1"/>
                <w:spacing w:val="-2"/>
              </w:rPr>
              <w:t xml:space="preserve"> </w:t>
            </w:r>
            <w:r w:rsidRPr="00E929F2">
              <w:rPr>
                <w:b/>
                <w:color w:val="000000" w:themeColor="text1"/>
              </w:rPr>
              <w:t>evaluare</w:t>
            </w:r>
          </w:p>
        </w:tc>
      </w:tr>
      <w:tr w:rsidR="00E929F2" w:rsidRPr="00E929F2" w14:paraId="27137361" w14:textId="77777777" w:rsidTr="0049533B">
        <w:trPr>
          <w:trHeight w:val="4707"/>
        </w:trPr>
        <w:tc>
          <w:tcPr>
            <w:tcW w:w="1915" w:type="dxa"/>
          </w:tcPr>
          <w:p w14:paraId="012B9496" w14:textId="77777777" w:rsidR="00E929F2" w:rsidRPr="00E929F2" w:rsidRDefault="00E929F2" w:rsidP="00E929F2">
            <w:pPr>
              <w:widowControl w:val="0"/>
              <w:autoSpaceDE w:val="0"/>
              <w:autoSpaceDN w:val="0"/>
              <w:jc w:val="both"/>
              <w:rPr>
                <w:color w:val="000000" w:themeColor="text1"/>
              </w:rPr>
            </w:pPr>
          </w:p>
          <w:p w14:paraId="7FEFF855" w14:textId="77777777" w:rsidR="00E929F2" w:rsidRPr="00E929F2" w:rsidRDefault="00E929F2" w:rsidP="00E929F2">
            <w:pPr>
              <w:widowControl w:val="0"/>
              <w:autoSpaceDE w:val="0"/>
              <w:autoSpaceDN w:val="0"/>
              <w:jc w:val="both"/>
              <w:rPr>
                <w:color w:val="000000" w:themeColor="text1"/>
              </w:rPr>
            </w:pPr>
          </w:p>
          <w:p w14:paraId="3416DDC6" w14:textId="77777777" w:rsidR="00E929F2" w:rsidRPr="00E929F2" w:rsidRDefault="00E929F2" w:rsidP="00E929F2">
            <w:pPr>
              <w:widowControl w:val="0"/>
              <w:autoSpaceDE w:val="0"/>
              <w:autoSpaceDN w:val="0"/>
              <w:jc w:val="both"/>
              <w:rPr>
                <w:color w:val="000000" w:themeColor="text1"/>
              </w:rPr>
            </w:pPr>
          </w:p>
          <w:p w14:paraId="6C46D4E9" w14:textId="77777777" w:rsidR="00E929F2" w:rsidRPr="00E929F2" w:rsidRDefault="00E929F2" w:rsidP="00E929F2">
            <w:pPr>
              <w:widowControl w:val="0"/>
              <w:autoSpaceDE w:val="0"/>
              <w:autoSpaceDN w:val="0"/>
              <w:jc w:val="both"/>
              <w:rPr>
                <w:color w:val="000000" w:themeColor="text1"/>
              </w:rPr>
            </w:pPr>
          </w:p>
          <w:p w14:paraId="7462E2A1" w14:textId="77777777" w:rsidR="00E929F2" w:rsidRPr="00E929F2" w:rsidRDefault="00E929F2" w:rsidP="00E929F2">
            <w:pPr>
              <w:widowControl w:val="0"/>
              <w:autoSpaceDE w:val="0"/>
              <w:autoSpaceDN w:val="0"/>
              <w:jc w:val="both"/>
              <w:rPr>
                <w:color w:val="000000" w:themeColor="text1"/>
              </w:rPr>
            </w:pPr>
          </w:p>
          <w:p w14:paraId="109D4196" w14:textId="77777777" w:rsidR="00E929F2" w:rsidRPr="00E929F2" w:rsidRDefault="00E929F2" w:rsidP="00E929F2">
            <w:pPr>
              <w:widowControl w:val="0"/>
              <w:autoSpaceDE w:val="0"/>
              <w:autoSpaceDN w:val="0"/>
              <w:jc w:val="both"/>
              <w:rPr>
                <w:color w:val="000000" w:themeColor="text1"/>
              </w:rPr>
            </w:pPr>
          </w:p>
          <w:p w14:paraId="7BE9DE25" w14:textId="77777777" w:rsidR="00E929F2" w:rsidRPr="00E929F2" w:rsidRDefault="00E929F2" w:rsidP="00E929F2">
            <w:pPr>
              <w:widowControl w:val="0"/>
              <w:autoSpaceDE w:val="0"/>
              <w:autoSpaceDN w:val="0"/>
              <w:spacing w:before="11"/>
              <w:jc w:val="both"/>
              <w:rPr>
                <w:color w:val="000000" w:themeColor="text1"/>
              </w:rPr>
            </w:pPr>
          </w:p>
          <w:p w14:paraId="55FC3CA8" w14:textId="77777777" w:rsidR="00E929F2" w:rsidRPr="00E929F2" w:rsidRDefault="00E929F2" w:rsidP="00E929F2">
            <w:pPr>
              <w:widowControl w:val="0"/>
              <w:autoSpaceDE w:val="0"/>
              <w:autoSpaceDN w:val="0"/>
              <w:ind w:left="108"/>
              <w:jc w:val="both"/>
              <w:rPr>
                <w:color w:val="000000" w:themeColor="text1"/>
              </w:rPr>
            </w:pPr>
            <w:r w:rsidRPr="00E929F2">
              <w:rPr>
                <w:color w:val="000000" w:themeColor="text1"/>
              </w:rPr>
              <w:t>Favorabil</w:t>
            </w:r>
            <w:r w:rsidRPr="00E929F2">
              <w:rPr>
                <w:color w:val="000000" w:themeColor="text1"/>
                <w:spacing w:val="-3"/>
              </w:rPr>
              <w:t xml:space="preserve"> </w:t>
            </w:r>
            <w:r w:rsidRPr="00E929F2">
              <w:rPr>
                <w:color w:val="000000" w:themeColor="text1"/>
              </w:rPr>
              <w:t>(FV)</w:t>
            </w:r>
          </w:p>
        </w:tc>
        <w:tc>
          <w:tcPr>
            <w:tcW w:w="8255" w:type="dxa"/>
          </w:tcPr>
          <w:p w14:paraId="48AFE5C1" w14:textId="77777777" w:rsidR="00E929F2" w:rsidRPr="00E929F2" w:rsidRDefault="00E929F2" w:rsidP="00E929F2">
            <w:pPr>
              <w:widowControl w:val="0"/>
              <w:autoSpaceDE w:val="0"/>
              <w:autoSpaceDN w:val="0"/>
              <w:spacing w:line="268" w:lineRule="exact"/>
              <w:ind w:left="107"/>
              <w:jc w:val="both"/>
              <w:rPr>
                <w:color w:val="000000" w:themeColor="text1"/>
              </w:rPr>
            </w:pPr>
            <w:r w:rsidRPr="00E929F2">
              <w:rPr>
                <w:color w:val="000000" w:themeColor="text1"/>
              </w:rPr>
              <w:t>Conform</w:t>
            </w:r>
            <w:r w:rsidRPr="00E929F2">
              <w:rPr>
                <w:color w:val="000000" w:themeColor="text1"/>
                <w:spacing w:val="10"/>
              </w:rPr>
              <w:t xml:space="preserve"> </w:t>
            </w:r>
            <w:r w:rsidRPr="00E929F2">
              <w:rPr>
                <w:color w:val="000000" w:themeColor="text1"/>
              </w:rPr>
              <w:t>matricei</w:t>
            </w:r>
            <w:r w:rsidRPr="00E929F2">
              <w:rPr>
                <w:color w:val="000000" w:themeColor="text1"/>
                <w:spacing w:val="10"/>
              </w:rPr>
              <w:t xml:space="preserve"> </w:t>
            </w:r>
            <w:r w:rsidRPr="00E929F2">
              <w:rPr>
                <w:color w:val="000000" w:themeColor="text1"/>
              </w:rPr>
              <w:t>de</w:t>
            </w:r>
            <w:r w:rsidRPr="00E929F2">
              <w:rPr>
                <w:color w:val="000000" w:themeColor="text1"/>
                <w:spacing w:val="9"/>
              </w:rPr>
              <w:t xml:space="preserve"> </w:t>
            </w:r>
            <w:r w:rsidRPr="00E929F2">
              <w:rPr>
                <w:color w:val="000000" w:themeColor="text1"/>
              </w:rPr>
              <w:t>evaluare</w:t>
            </w:r>
            <w:r w:rsidRPr="00E929F2">
              <w:rPr>
                <w:color w:val="000000" w:themeColor="text1"/>
                <w:spacing w:val="8"/>
              </w:rPr>
              <w:t xml:space="preserve"> </w:t>
            </w:r>
            <w:r w:rsidRPr="00E929F2">
              <w:rPr>
                <w:color w:val="000000" w:themeColor="text1"/>
              </w:rPr>
              <w:t>(anexa</w:t>
            </w:r>
            <w:r w:rsidRPr="00E929F2">
              <w:rPr>
                <w:color w:val="000000" w:themeColor="text1"/>
                <w:spacing w:val="9"/>
              </w:rPr>
              <w:t xml:space="preserve"> </w:t>
            </w:r>
            <w:r w:rsidRPr="00E929F2">
              <w:rPr>
                <w:color w:val="000000" w:themeColor="text1"/>
              </w:rPr>
              <w:t>E),</w:t>
            </w:r>
            <w:r w:rsidRPr="00E929F2">
              <w:rPr>
                <w:color w:val="000000" w:themeColor="text1"/>
                <w:spacing w:val="9"/>
              </w:rPr>
              <w:t xml:space="preserve"> </w:t>
            </w:r>
            <w:r w:rsidRPr="00E929F2">
              <w:rPr>
                <w:color w:val="000000" w:themeColor="text1"/>
              </w:rPr>
              <w:t>starea</w:t>
            </w:r>
            <w:r w:rsidRPr="00E929F2">
              <w:rPr>
                <w:color w:val="000000" w:themeColor="text1"/>
                <w:spacing w:val="9"/>
              </w:rPr>
              <w:t xml:space="preserve"> </w:t>
            </w:r>
            <w:r w:rsidRPr="00E929F2">
              <w:rPr>
                <w:color w:val="000000" w:themeColor="text1"/>
              </w:rPr>
              <w:t>zonei</w:t>
            </w:r>
            <w:r w:rsidRPr="00E929F2">
              <w:rPr>
                <w:color w:val="000000" w:themeColor="text1"/>
                <w:spacing w:val="10"/>
              </w:rPr>
              <w:t xml:space="preserve"> </w:t>
            </w:r>
            <w:r w:rsidRPr="00E929F2">
              <w:rPr>
                <w:color w:val="000000" w:themeColor="text1"/>
              </w:rPr>
              <w:t>acoperite</w:t>
            </w:r>
            <w:r w:rsidRPr="00E929F2">
              <w:rPr>
                <w:color w:val="000000" w:themeColor="text1"/>
                <w:spacing w:val="9"/>
              </w:rPr>
              <w:t xml:space="preserve"> </w:t>
            </w:r>
            <w:r w:rsidRPr="00E929F2">
              <w:rPr>
                <w:color w:val="000000" w:themeColor="text1"/>
              </w:rPr>
              <w:t>de</w:t>
            </w:r>
            <w:r w:rsidRPr="00E929F2">
              <w:rPr>
                <w:color w:val="000000" w:themeColor="text1"/>
                <w:spacing w:val="9"/>
              </w:rPr>
              <w:t xml:space="preserve"> </w:t>
            </w:r>
            <w:r w:rsidRPr="00E929F2">
              <w:rPr>
                <w:color w:val="000000" w:themeColor="text1"/>
              </w:rPr>
              <w:t>habitat</w:t>
            </w:r>
            <w:r w:rsidRPr="00E929F2">
              <w:rPr>
                <w:color w:val="000000" w:themeColor="text1"/>
                <w:spacing w:val="10"/>
              </w:rPr>
              <w:t xml:space="preserve"> </w:t>
            </w:r>
            <w:r w:rsidRPr="00E929F2">
              <w:rPr>
                <w:color w:val="000000" w:themeColor="text1"/>
              </w:rPr>
              <w:t>este</w:t>
            </w:r>
          </w:p>
          <w:p w14:paraId="1F0DE619" w14:textId="77777777" w:rsidR="00E929F2" w:rsidRPr="00E929F2" w:rsidRDefault="00E929F2" w:rsidP="00E929F2">
            <w:pPr>
              <w:widowControl w:val="0"/>
              <w:autoSpaceDE w:val="0"/>
              <w:autoSpaceDN w:val="0"/>
              <w:ind w:left="107"/>
              <w:jc w:val="both"/>
              <w:rPr>
                <w:color w:val="000000" w:themeColor="text1"/>
              </w:rPr>
            </w:pPr>
            <w:r w:rsidRPr="00E929F2">
              <w:rPr>
                <w:color w:val="000000" w:themeColor="text1"/>
              </w:rPr>
              <w:t>„favorabilă”</w:t>
            </w:r>
            <w:r w:rsidRPr="00E929F2">
              <w:rPr>
                <w:color w:val="000000" w:themeColor="text1"/>
                <w:spacing w:val="-4"/>
              </w:rPr>
              <w:t xml:space="preserve"> </w:t>
            </w:r>
            <w:r w:rsidRPr="00E929F2">
              <w:rPr>
                <w:color w:val="000000" w:themeColor="text1"/>
              </w:rPr>
              <w:t>dacă:</w:t>
            </w:r>
          </w:p>
          <w:p w14:paraId="7340FD68" w14:textId="77777777" w:rsidR="00E929F2" w:rsidRPr="00E929F2" w:rsidRDefault="00E929F2" w:rsidP="009E63E5">
            <w:pPr>
              <w:widowControl w:val="0"/>
              <w:numPr>
                <w:ilvl w:val="0"/>
                <w:numId w:val="112"/>
              </w:numPr>
              <w:tabs>
                <w:tab w:val="left" w:pos="467"/>
                <w:tab w:val="left" w:pos="468"/>
              </w:tabs>
              <w:autoSpaceDE w:val="0"/>
              <w:autoSpaceDN w:val="0"/>
              <w:spacing w:before="1" w:line="287" w:lineRule="exact"/>
              <w:ind w:hanging="361"/>
              <w:jc w:val="both"/>
              <w:rPr>
                <w:color w:val="000000" w:themeColor="text1"/>
              </w:rPr>
            </w:pPr>
            <w:r w:rsidRPr="00E929F2">
              <w:rPr>
                <w:color w:val="000000" w:themeColor="text1"/>
              </w:rPr>
              <w:t>tendința</w:t>
            </w:r>
            <w:r w:rsidRPr="00E929F2">
              <w:rPr>
                <w:color w:val="000000" w:themeColor="text1"/>
                <w:spacing w:val="-3"/>
              </w:rPr>
              <w:t xml:space="preserve"> </w:t>
            </w:r>
            <w:r w:rsidRPr="00E929F2">
              <w:rPr>
                <w:color w:val="000000" w:themeColor="text1"/>
              </w:rPr>
              <w:t>este</w:t>
            </w:r>
            <w:r w:rsidRPr="00E929F2">
              <w:rPr>
                <w:color w:val="000000" w:themeColor="text1"/>
                <w:spacing w:val="-3"/>
              </w:rPr>
              <w:t xml:space="preserve"> </w:t>
            </w:r>
            <w:r w:rsidRPr="00E929F2">
              <w:rPr>
                <w:color w:val="000000" w:themeColor="text1"/>
              </w:rPr>
              <w:t>stabilă</w:t>
            </w:r>
            <w:r w:rsidRPr="00E929F2">
              <w:rPr>
                <w:color w:val="000000" w:themeColor="text1"/>
                <w:spacing w:val="-3"/>
              </w:rPr>
              <w:t xml:space="preserve"> </w:t>
            </w:r>
            <w:r w:rsidRPr="00E929F2">
              <w:rPr>
                <w:color w:val="000000" w:themeColor="text1"/>
              </w:rPr>
              <w:t>(pierderi</w:t>
            </w:r>
            <w:r w:rsidRPr="00E929F2">
              <w:rPr>
                <w:color w:val="000000" w:themeColor="text1"/>
                <w:spacing w:val="-2"/>
              </w:rPr>
              <w:t xml:space="preserve"> </w:t>
            </w:r>
            <w:r w:rsidRPr="00E929F2">
              <w:rPr>
                <w:color w:val="000000" w:themeColor="text1"/>
              </w:rPr>
              <w:t>și</w:t>
            </w:r>
            <w:r w:rsidRPr="00E929F2">
              <w:rPr>
                <w:color w:val="000000" w:themeColor="text1"/>
                <w:spacing w:val="-3"/>
              </w:rPr>
              <w:t xml:space="preserve"> </w:t>
            </w:r>
            <w:r w:rsidRPr="00E929F2">
              <w:rPr>
                <w:color w:val="000000" w:themeColor="text1"/>
              </w:rPr>
              <w:t>expansiune</w:t>
            </w:r>
            <w:r w:rsidRPr="00E929F2">
              <w:rPr>
                <w:color w:val="000000" w:themeColor="text1"/>
                <w:spacing w:val="-4"/>
              </w:rPr>
              <w:t xml:space="preserve"> </w:t>
            </w:r>
            <w:r w:rsidRPr="00E929F2">
              <w:rPr>
                <w:color w:val="000000" w:themeColor="text1"/>
              </w:rPr>
              <w:t>în</w:t>
            </w:r>
            <w:r w:rsidRPr="00E929F2">
              <w:rPr>
                <w:color w:val="000000" w:themeColor="text1"/>
                <w:spacing w:val="-2"/>
              </w:rPr>
              <w:t xml:space="preserve"> </w:t>
            </w:r>
            <w:r w:rsidRPr="00E929F2">
              <w:rPr>
                <w:color w:val="000000" w:themeColor="text1"/>
              </w:rPr>
              <w:t>echilibru)</w:t>
            </w:r>
            <w:r w:rsidRPr="00E929F2">
              <w:rPr>
                <w:color w:val="000000" w:themeColor="text1"/>
                <w:spacing w:val="-3"/>
              </w:rPr>
              <w:t xml:space="preserve"> </w:t>
            </w:r>
            <w:r w:rsidRPr="00E929F2">
              <w:rPr>
                <w:color w:val="000000" w:themeColor="text1"/>
              </w:rPr>
              <w:t>sau</w:t>
            </w:r>
            <w:r w:rsidRPr="00E929F2">
              <w:rPr>
                <w:color w:val="000000" w:themeColor="text1"/>
                <w:spacing w:val="-3"/>
              </w:rPr>
              <w:t xml:space="preserve"> </w:t>
            </w:r>
            <w:r w:rsidRPr="00E929F2">
              <w:rPr>
                <w:color w:val="000000" w:themeColor="text1"/>
              </w:rPr>
              <w:t>în</w:t>
            </w:r>
            <w:r w:rsidRPr="00E929F2">
              <w:rPr>
                <w:color w:val="000000" w:themeColor="text1"/>
                <w:spacing w:val="-2"/>
              </w:rPr>
              <w:t xml:space="preserve"> </w:t>
            </w:r>
            <w:r w:rsidRPr="00E929F2">
              <w:rPr>
                <w:color w:val="000000" w:themeColor="text1"/>
              </w:rPr>
              <w:t>creștere;</w:t>
            </w:r>
            <w:r w:rsidRPr="00E929F2">
              <w:rPr>
                <w:color w:val="000000" w:themeColor="text1"/>
                <w:spacing w:val="-3"/>
              </w:rPr>
              <w:t xml:space="preserve"> </w:t>
            </w:r>
            <w:r w:rsidRPr="00E929F2">
              <w:rPr>
                <w:color w:val="000000" w:themeColor="text1"/>
              </w:rPr>
              <w:t>și</w:t>
            </w:r>
          </w:p>
          <w:p w14:paraId="1F46850E" w14:textId="77777777" w:rsidR="00E929F2" w:rsidRPr="00E929F2" w:rsidRDefault="00E929F2" w:rsidP="009E63E5">
            <w:pPr>
              <w:widowControl w:val="0"/>
              <w:numPr>
                <w:ilvl w:val="0"/>
                <w:numId w:val="112"/>
              </w:numPr>
              <w:tabs>
                <w:tab w:val="left" w:pos="467"/>
                <w:tab w:val="left" w:pos="468"/>
              </w:tabs>
              <w:autoSpaceDE w:val="0"/>
              <w:autoSpaceDN w:val="0"/>
              <w:spacing w:before="3" w:line="230" w:lineRule="auto"/>
              <w:ind w:right="94"/>
              <w:jc w:val="both"/>
              <w:rPr>
                <w:color w:val="000000" w:themeColor="text1"/>
              </w:rPr>
            </w:pPr>
            <w:r w:rsidRPr="00E929F2">
              <w:rPr>
                <w:color w:val="000000" w:themeColor="text1"/>
              </w:rPr>
              <w:t>suprafața</w:t>
            </w:r>
            <w:r w:rsidRPr="00E929F2">
              <w:rPr>
                <w:color w:val="000000" w:themeColor="text1"/>
                <w:spacing w:val="8"/>
              </w:rPr>
              <w:t xml:space="preserve"> </w:t>
            </w:r>
            <w:r w:rsidRPr="00E929F2">
              <w:rPr>
                <w:color w:val="000000" w:themeColor="text1"/>
              </w:rPr>
              <w:t>acoperită</w:t>
            </w:r>
            <w:r w:rsidRPr="00E929F2">
              <w:rPr>
                <w:color w:val="000000" w:themeColor="text1"/>
                <w:spacing w:val="8"/>
              </w:rPr>
              <w:t xml:space="preserve"> </w:t>
            </w:r>
            <w:r w:rsidRPr="00E929F2">
              <w:rPr>
                <w:color w:val="000000" w:themeColor="text1"/>
              </w:rPr>
              <w:t>de</w:t>
            </w:r>
            <w:r w:rsidRPr="00E929F2">
              <w:rPr>
                <w:color w:val="000000" w:themeColor="text1"/>
                <w:spacing w:val="8"/>
              </w:rPr>
              <w:t xml:space="preserve"> </w:t>
            </w:r>
            <w:r w:rsidRPr="00E929F2">
              <w:rPr>
                <w:color w:val="000000" w:themeColor="text1"/>
              </w:rPr>
              <w:t>habitat</w:t>
            </w:r>
            <w:r w:rsidRPr="00E929F2">
              <w:rPr>
                <w:color w:val="000000" w:themeColor="text1"/>
                <w:spacing w:val="7"/>
              </w:rPr>
              <w:t xml:space="preserve"> </w:t>
            </w:r>
            <w:r w:rsidRPr="00E929F2">
              <w:rPr>
                <w:color w:val="000000" w:themeColor="text1"/>
              </w:rPr>
              <w:t>(câmpul</w:t>
            </w:r>
            <w:r w:rsidRPr="00E929F2">
              <w:rPr>
                <w:color w:val="000000" w:themeColor="text1"/>
                <w:spacing w:val="7"/>
              </w:rPr>
              <w:t xml:space="preserve"> </w:t>
            </w:r>
            <w:r w:rsidRPr="00E929F2">
              <w:rPr>
                <w:color w:val="000000" w:themeColor="text1"/>
              </w:rPr>
              <w:t>5.2)</w:t>
            </w:r>
            <w:r w:rsidRPr="00E929F2">
              <w:rPr>
                <w:color w:val="000000" w:themeColor="text1"/>
                <w:spacing w:val="6"/>
              </w:rPr>
              <w:t xml:space="preserve"> </w:t>
            </w:r>
            <w:r w:rsidRPr="00E929F2">
              <w:rPr>
                <w:color w:val="000000" w:themeColor="text1"/>
              </w:rPr>
              <w:t>nu</w:t>
            </w:r>
            <w:r w:rsidRPr="00E929F2">
              <w:rPr>
                <w:color w:val="000000" w:themeColor="text1"/>
                <w:spacing w:val="9"/>
              </w:rPr>
              <w:t xml:space="preserve"> </w:t>
            </w:r>
            <w:r w:rsidRPr="00E929F2">
              <w:rPr>
                <w:color w:val="000000" w:themeColor="text1"/>
              </w:rPr>
              <w:t>este</w:t>
            </w:r>
            <w:r w:rsidRPr="00E929F2">
              <w:rPr>
                <w:color w:val="000000" w:themeColor="text1"/>
                <w:spacing w:val="6"/>
              </w:rPr>
              <w:t xml:space="preserve"> </w:t>
            </w:r>
            <w:r w:rsidRPr="00E929F2">
              <w:rPr>
                <w:color w:val="000000" w:themeColor="text1"/>
              </w:rPr>
              <w:t>mai</w:t>
            </w:r>
            <w:r w:rsidRPr="00E929F2">
              <w:rPr>
                <w:color w:val="000000" w:themeColor="text1"/>
                <w:spacing w:val="7"/>
              </w:rPr>
              <w:t xml:space="preserve"> </w:t>
            </w:r>
            <w:r w:rsidRPr="00E929F2">
              <w:rPr>
                <w:color w:val="000000" w:themeColor="text1"/>
              </w:rPr>
              <w:t>mică</w:t>
            </w:r>
            <w:r w:rsidRPr="00E929F2">
              <w:rPr>
                <w:color w:val="000000" w:themeColor="text1"/>
                <w:spacing w:val="6"/>
              </w:rPr>
              <w:t xml:space="preserve"> </w:t>
            </w:r>
            <w:r w:rsidRPr="00E929F2">
              <w:rPr>
                <w:color w:val="000000" w:themeColor="text1"/>
              </w:rPr>
              <w:t>decât</w:t>
            </w:r>
            <w:r w:rsidRPr="00E929F2">
              <w:rPr>
                <w:color w:val="000000" w:themeColor="text1"/>
                <w:spacing w:val="7"/>
              </w:rPr>
              <w:t xml:space="preserve"> </w:t>
            </w:r>
            <w:r w:rsidRPr="00E929F2">
              <w:rPr>
                <w:color w:val="000000" w:themeColor="text1"/>
              </w:rPr>
              <w:t>zona</w:t>
            </w:r>
            <w:r w:rsidRPr="00E929F2">
              <w:rPr>
                <w:color w:val="000000" w:themeColor="text1"/>
                <w:spacing w:val="8"/>
              </w:rPr>
              <w:t xml:space="preserve"> </w:t>
            </w:r>
            <w:r w:rsidRPr="00E929F2">
              <w:rPr>
                <w:color w:val="000000" w:themeColor="text1"/>
              </w:rPr>
              <w:t>de</w:t>
            </w:r>
            <w:r w:rsidRPr="00E929F2">
              <w:rPr>
                <w:color w:val="000000" w:themeColor="text1"/>
                <w:spacing w:val="-57"/>
              </w:rPr>
              <w:t xml:space="preserve"> </w:t>
            </w:r>
            <w:r w:rsidRPr="00E929F2">
              <w:rPr>
                <w:color w:val="000000" w:themeColor="text1"/>
              </w:rPr>
              <w:t>referință</w:t>
            </w:r>
            <w:r w:rsidRPr="00E929F2">
              <w:rPr>
                <w:color w:val="000000" w:themeColor="text1"/>
                <w:spacing w:val="-2"/>
              </w:rPr>
              <w:t xml:space="preserve"> </w:t>
            </w:r>
            <w:r w:rsidRPr="00E929F2">
              <w:rPr>
                <w:color w:val="000000" w:themeColor="text1"/>
              </w:rPr>
              <w:t>favorabilă</w:t>
            </w:r>
            <w:r w:rsidRPr="00E929F2">
              <w:rPr>
                <w:color w:val="000000" w:themeColor="text1"/>
                <w:spacing w:val="-1"/>
              </w:rPr>
              <w:t xml:space="preserve"> </w:t>
            </w:r>
            <w:r w:rsidRPr="00E929F2">
              <w:rPr>
                <w:color w:val="000000" w:themeColor="text1"/>
              </w:rPr>
              <w:t>(câmpul 5.13); și</w:t>
            </w:r>
          </w:p>
          <w:p w14:paraId="6F6B30BE" w14:textId="77777777" w:rsidR="00E929F2" w:rsidRPr="00E929F2" w:rsidRDefault="00E929F2" w:rsidP="009E63E5">
            <w:pPr>
              <w:widowControl w:val="0"/>
              <w:numPr>
                <w:ilvl w:val="0"/>
                <w:numId w:val="112"/>
              </w:numPr>
              <w:tabs>
                <w:tab w:val="left" w:pos="467"/>
                <w:tab w:val="left" w:pos="468"/>
              </w:tabs>
              <w:autoSpaceDE w:val="0"/>
              <w:autoSpaceDN w:val="0"/>
              <w:spacing w:before="10" w:line="230" w:lineRule="auto"/>
              <w:ind w:left="107" w:right="283" w:firstLine="0"/>
              <w:jc w:val="both"/>
              <w:rPr>
                <w:color w:val="000000" w:themeColor="text1"/>
              </w:rPr>
            </w:pPr>
            <w:r w:rsidRPr="00E929F2">
              <w:rPr>
                <w:color w:val="000000" w:themeColor="text1"/>
              </w:rPr>
              <w:t>nu</w:t>
            </w:r>
            <w:r w:rsidRPr="00E929F2">
              <w:rPr>
                <w:color w:val="000000" w:themeColor="text1"/>
                <w:spacing w:val="-2"/>
              </w:rPr>
              <w:t xml:space="preserve"> </w:t>
            </w:r>
            <w:r w:rsidRPr="00E929F2">
              <w:rPr>
                <w:color w:val="000000" w:themeColor="text1"/>
              </w:rPr>
              <w:t>există</w:t>
            </w:r>
            <w:r w:rsidRPr="00E929F2">
              <w:rPr>
                <w:color w:val="000000" w:themeColor="text1"/>
                <w:spacing w:val="-2"/>
              </w:rPr>
              <w:t xml:space="preserve"> </w:t>
            </w:r>
            <w:r w:rsidRPr="00E929F2">
              <w:rPr>
                <w:color w:val="000000" w:themeColor="text1"/>
              </w:rPr>
              <w:t>modificări</w:t>
            </w:r>
            <w:r w:rsidRPr="00E929F2">
              <w:rPr>
                <w:color w:val="000000" w:themeColor="text1"/>
                <w:spacing w:val="-1"/>
              </w:rPr>
              <w:t xml:space="preserve"> </w:t>
            </w:r>
            <w:r w:rsidRPr="00E929F2">
              <w:rPr>
                <w:color w:val="000000" w:themeColor="text1"/>
              </w:rPr>
              <w:t>semnificative</w:t>
            </w:r>
            <w:r w:rsidRPr="00E929F2">
              <w:rPr>
                <w:color w:val="000000" w:themeColor="text1"/>
                <w:spacing w:val="-2"/>
              </w:rPr>
              <w:t xml:space="preserve"> </w:t>
            </w:r>
            <w:r w:rsidRPr="00E929F2">
              <w:rPr>
                <w:color w:val="000000" w:themeColor="text1"/>
              </w:rPr>
              <w:t>ale</w:t>
            </w:r>
            <w:r w:rsidRPr="00E929F2">
              <w:rPr>
                <w:color w:val="000000" w:themeColor="text1"/>
                <w:spacing w:val="-1"/>
              </w:rPr>
              <w:t xml:space="preserve"> </w:t>
            </w:r>
            <w:r w:rsidRPr="00E929F2">
              <w:rPr>
                <w:color w:val="000000" w:themeColor="text1"/>
              </w:rPr>
              <w:t>modelului de</w:t>
            </w:r>
            <w:r w:rsidRPr="00E929F2">
              <w:rPr>
                <w:color w:val="000000" w:themeColor="text1"/>
                <w:spacing w:val="-2"/>
              </w:rPr>
              <w:t xml:space="preserve"> </w:t>
            </w:r>
            <w:r w:rsidRPr="00E929F2">
              <w:rPr>
                <w:color w:val="000000" w:themeColor="text1"/>
              </w:rPr>
              <w:t>distribuție</w:t>
            </w:r>
            <w:r w:rsidRPr="00E929F2">
              <w:rPr>
                <w:color w:val="000000" w:themeColor="text1"/>
                <w:spacing w:val="-2"/>
              </w:rPr>
              <w:t xml:space="preserve"> </w:t>
            </w:r>
            <w:r w:rsidRPr="00E929F2">
              <w:rPr>
                <w:color w:val="000000" w:themeColor="text1"/>
              </w:rPr>
              <w:t>în</w:t>
            </w:r>
            <w:r w:rsidRPr="00E929F2">
              <w:rPr>
                <w:color w:val="000000" w:themeColor="text1"/>
                <w:spacing w:val="-1"/>
              </w:rPr>
              <w:t xml:space="preserve"> </w:t>
            </w:r>
            <w:r w:rsidRPr="00E929F2">
              <w:rPr>
                <w:color w:val="000000" w:themeColor="text1"/>
              </w:rPr>
              <w:t>interval.</w:t>
            </w:r>
            <w:r w:rsidRPr="00E929F2">
              <w:rPr>
                <w:color w:val="000000" w:themeColor="text1"/>
                <w:spacing w:val="-57"/>
              </w:rPr>
              <w:t xml:space="preserve"> </w:t>
            </w:r>
            <w:r w:rsidRPr="00E929F2">
              <w:rPr>
                <w:color w:val="000000" w:themeColor="text1"/>
              </w:rPr>
              <w:t>Informațiisuplimentare:</w:t>
            </w:r>
          </w:p>
          <w:p w14:paraId="7E39CDE0" w14:textId="77777777" w:rsidR="00E929F2" w:rsidRPr="00E929F2" w:rsidRDefault="00E929F2" w:rsidP="009E63E5">
            <w:pPr>
              <w:widowControl w:val="0"/>
              <w:numPr>
                <w:ilvl w:val="1"/>
                <w:numId w:val="112"/>
              </w:numPr>
              <w:tabs>
                <w:tab w:val="left" w:pos="829"/>
              </w:tabs>
              <w:autoSpaceDE w:val="0"/>
              <w:autoSpaceDN w:val="0"/>
              <w:spacing w:before="1"/>
              <w:ind w:right="105"/>
              <w:jc w:val="both"/>
              <w:rPr>
                <w:color w:val="000000" w:themeColor="text1"/>
              </w:rPr>
            </w:pPr>
            <w:r w:rsidRPr="00E929F2">
              <w:rPr>
                <w:color w:val="000000" w:themeColor="text1"/>
              </w:rPr>
              <w:t>Trebuie să se utilizeze tendința pe perioada de tendință pe termen scurt</w:t>
            </w:r>
            <w:r w:rsidRPr="00E929F2">
              <w:rPr>
                <w:color w:val="000000" w:themeColor="text1"/>
                <w:spacing w:val="1"/>
              </w:rPr>
              <w:t xml:space="preserve"> </w:t>
            </w:r>
            <w:r w:rsidRPr="00E929F2">
              <w:rPr>
                <w:color w:val="000000" w:themeColor="text1"/>
              </w:rPr>
              <w:t>(câmpul</w:t>
            </w:r>
            <w:r w:rsidRPr="00E929F2">
              <w:rPr>
                <w:color w:val="000000" w:themeColor="text1"/>
                <w:spacing w:val="-1"/>
              </w:rPr>
              <w:t xml:space="preserve"> </w:t>
            </w:r>
            <w:r w:rsidRPr="00E929F2">
              <w:rPr>
                <w:color w:val="000000" w:themeColor="text1"/>
              </w:rPr>
              <w:t>5.5)</w:t>
            </w:r>
            <w:r w:rsidRPr="00E929F2">
              <w:rPr>
                <w:color w:val="000000" w:themeColor="text1"/>
                <w:spacing w:val="-1"/>
              </w:rPr>
              <w:t xml:space="preserve"> </w:t>
            </w:r>
            <w:r w:rsidRPr="00E929F2">
              <w:rPr>
                <w:color w:val="000000" w:themeColor="text1"/>
              </w:rPr>
              <w:t>pentru</w:t>
            </w:r>
            <w:r w:rsidRPr="00E929F2">
              <w:rPr>
                <w:color w:val="000000" w:themeColor="text1"/>
                <w:spacing w:val="1"/>
              </w:rPr>
              <w:t xml:space="preserve"> </w:t>
            </w:r>
            <w:r w:rsidRPr="00E929F2">
              <w:rPr>
                <w:color w:val="000000" w:themeColor="text1"/>
              </w:rPr>
              <w:t>evaluarea</w:t>
            </w:r>
            <w:r w:rsidRPr="00E929F2">
              <w:rPr>
                <w:color w:val="000000" w:themeColor="text1"/>
                <w:spacing w:val="-1"/>
              </w:rPr>
              <w:t xml:space="preserve"> </w:t>
            </w:r>
            <w:r w:rsidRPr="00E929F2">
              <w:rPr>
                <w:color w:val="000000" w:themeColor="text1"/>
              </w:rPr>
              <w:t>statutului.</w:t>
            </w:r>
          </w:p>
          <w:p w14:paraId="0A9BF719" w14:textId="77777777" w:rsidR="00E929F2" w:rsidRPr="00E929F2" w:rsidRDefault="00E929F2" w:rsidP="009E63E5">
            <w:pPr>
              <w:widowControl w:val="0"/>
              <w:numPr>
                <w:ilvl w:val="1"/>
                <w:numId w:val="112"/>
              </w:numPr>
              <w:tabs>
                <w:tab w:val="left" w:pos="829"/>
              </w:tabs>
              <w:autoSpaceDE w:val="0"/>
              <w:autoSpaceDN w:val="0"/>
              <w:spacing w:before="1"/>
              <w:ind w:right="97"/>
              <w:jc w:val="both"/>
              <w:rPr>
                <w:color w:val="000000" w:themeColor="text1"/>
              </w:rPr>
            </w:pPr>
            <w:r w:rsidRPr="00E929F2">
              <w:rPr>
                <w:color w:val="000000" w:themeColor="text1"/>
              </w:rPr>
              <w:t>Pot exista situații în care suprafața habitatului a scăzut în perioada de</w:t>
            </w:r>
            <w:r w:rsidRPr="00E929F2">
              <w:rPr>
                <w:color w:val="000000" w:themeColor="text1"/>
                <w:spacing w:val="1"/>
              </w:rPr>
              <w:t xml:space="preserve"> </w:t>
            </w:r>
            <w:r w:rsidRPr="00E929F2">
              <w:rPr>
                <w:color w:val="000000" w:themeColor="text1"/>
              </w:rPr>
              <w:t>tendință</w:t>
            </w:r>
            <w:r w:rsidRPr="00E929F2">
              <w:rPr>
                <w:color w:val="000000" w:themeColor="text1"/>
                <w:spacing w:val="1"/>
              </w:rPr>
              <w:t xml:space="preserve"> </w:t>
            </w:r>
            <w:r w:rsidRPr="00E929F2">
              <w:rPr>
                <w:color w:val="000000" w:themeColor="text1"/>
              </w:rPr>
              <w:t>pe</w:t>
            </w:r>
            <w:r w:rsidRPr="00E929F2">
              <w:rPr>
                <w:color w:val="000000" w:themeColor="text1"/>
                <w:spacing w:val="1"/>
              </w:rPr>
              <w:t xml:space="preserve"> </w:t>
            </w:r>
            <w:r w:rsidRPr="00E929F2">
              <w:rPr>
                <w:color w:val="000000" w:themeColor="text1"/>
              </w:rPr>
              <w:t>termen</w:t>
            </w:r>
            <w:r w:rsidRPr="00E929F2">
              <w:rPr>
                <w:color w:val="000000" w:themeColor="text1"/>
                <w:spacing w:val="1"/>
              </w:rPr>
              <w:t xml:space="preserve"> </w:t>
            </w:r>
            <w:r w:rsidRPr="00E929F2">
              <w:rPr>
                <w:color w:val="000000" w:themeColor="text1"/>
              </w:rPr>
              <w:t>scurt</w:t>
            </w:r>
            <w:r w:rsidRPr="00E929F2">
              <w:rPr>
                <w:color w:val="000000" w:themeColor="text1"/>
                <w:spacing w:val="1"/>
              </w:rPr>
              <w:t xml:space="preserve"> </w:t>
            </w:r>
            <w:r w:rsidRPr="00E929F2">
              <w:rPr>
                <w:color w:val="000000" w:themeColor="text1"/>
              </w:rPr>
              <w:t>(câmpul</w:t>
            </w:r>
            <w:r w:rsidRPr="00E929F2">
              <w:rPr>
                <w:color w:val="000000" w:themeColor="text1"/>
                <w:spacing w:val="1"/>
              </w:rPr>
              <w:t xml:space="preserve"> </w:t>
            </w:r>
            <w:r w:rsidRPr="00E929F2">
              <w:rPr>
                <w:color w:val="000000" w:themeColor="text1"/>
              </w:rPr>
              <w:t>5.5)</w:t>
            </w:r>
            <w:r w:rsidRPr="00E929F2">
              <w:rPr>
                <w:color w:val="000000" w:themeColor="text1"/>
                <w:spacing w:val="1"/>
              </w:rPr>
              <w:t xml:space="preserve"> </w:t>
            </w:r>
            <w:r w:rsidRPr="00E929F2">
              <w:rPr>
                <w:color w:val="000000" w:themeColor="text1"/>
              </w:rPr>
              <w:t>ca</w:t>
            </w:r>
            <w:r w:rsidRPr="00E929F2">
              <w:rPr>
                <w:color w:val="000000" w:themeColor="text1"/>
                <w:spacing w:val="1"/>
              </w:rPr>
              <w:t xml:space="preserve"> </w:t>
            </w:r>
            <w:r w:rsidRPr="00E929F2">
              <w:rPr>
                <w:color w:val="000000" w:themeColor="text1"/>
              </w:rPr>
              <w:t>urmare</w:t>
            </w:r>
            <w:r w:rsidRPr="00E929F2">
              <w:rPr>
                <w:color w:val="000000" w:themeColor="text1"/>
                <w:spacing w:val="1"/>
              </w:rPr>
              <w:t xml:space="preserve"> </w:t>
            </w:r>
            <w:r w:rsidRPr="00E929F2">
              <w:rPr>
                <w:color w:val="000000" w:themeColor="text1"/>
              </w:rPr>
              <w:t>a</w:t>
            </w:r>
            <w:r w:rsidRPr="00E929F2">
              <w:rPr>
                <w:color w:val="000000" w:themeColor="text1"/>
                <w:spacing w:val="1"/>
              </w:rPr>
              <w:t xml:space="preserve"> </w:t>
            </w:r>
            <w:r w:rsidRPr="00E929F2">
              <w:rPr>
                <w:color w:val="000000" w:themeColor="text1"/>
              </w:rPr>
              <w:t>măsurilor</w:t>
            </w:r>
            <w:r w:rsidRPr="00E929F2">
              <w:rPr>
                <w:color w:val="000000" w:themeColor="text1"/>
                <w:spacing w:val="1"/>
              </w:rPr>
              <w:t xml:space="preserve"> </w:t>
            </w:r>
            <w:r w:rsidRPr="00E929F2">
              <w:rPr>
                <w:color w:val="000000" w:themeColor="text1"/>
              </w:rPr>
              <w:t>de</w:t>
            </w:r>
            <w:r w:rsidRPr="00E929F2">
              <w:rPr>
                <w:color w:val="000000" w:themeColor="text1"/>
                <w:spacing w:val="1"/>
              </w:rPr>
              <w:t xml:space="preserve"> </w:t>
            </w:r>
            <w:r w:rsidRPr="00E929F2">
              <w:rPr>
                <w:color w:val="000000" w:themeColor="text1"/>
              </w:rPr>
              <w:t>gestionare (de exemplu, pentru a restabili un alt habitat din anexa I sau</w:t>
            </w:r>
            <w:r w:rsidRPr="00E929F2">
              <w:rPr>
                <w:color w:val="000000" w:themeColor="text1"/>
                <w:spacing w:val="1"/>
              </w:rPr>
              <w:t xml:space="preserve"> </w:t>
            </w:r>
            <w:r w:rsidRPr="00E929F2">
              <w:rPr>
                <w:color w:val="000000" w:themeColor="text1"/>
              </w:rPr>
              <w:t>habitatul unei specii din anexa II). Zona de habitat ar putea fi încă</w:t>
            </w:r>
            <w:r w:rsidRPr="00E929F2">
              <w:rPr>
                <w:color w:val="000000" w:themeColor="text1"/>
                <w:spacing w:val="1"/>
              </w:rPr>
              <w:t xml:space="preserve"> </w:t>
            </w:r>
            <w:r w:rsidRPr="00E929F2">
              <w:rPr>
                <w:color w:val="000000" w:themeColor="text1"/>
              </w:rPr>
              <w:t>considerată la starea de conservare favorabilă, dar în astfel de cazuri se</w:t>
            </w:r>
            <w:r w:rsidRPr="00E929F2">
              <w:rPr>
                <w:color w:val="000000" w:themeColor="text1"/>
                <w:spacing w:val="1"/>
              </w:rPr>
              <w:t xml:space="preserve"> </w:t>
            </w:r>
            <w:r w:rsidRPr="00E929F2">
              <w:rPr>
                <w:color w:val="000000" w:themeColor="text1"/>
              </w:rPr>
              <w:t>oferă</w:t>
            </w:r>
            <w:r w:rsidRPr="00E929F2">
              <w:rPr>
                <w:color w:val="000000" w:themeColor="text1"/>
                <w:spacing w:val="-3"/>
              </w:rPr>
              <w:t xml:space="preserve"> </w:t>
            </w:r>
            <w:r w:rsidRPr="00E929F2">
              <w:rPr>
                <w:color w:val="000000" w:themeColor="text1"/>
              </w:rPr>
              <w:t>detalii în</w:t>
            </w:r>
            <w:r w:rsidRPr="00E929F2">
              <w:rPr>
                <w:color w:val="000000" w:themeColor="text1"/>
                <w:spacing w:val="-1"/>
              </w:rPr>
              <w:t xml:space="preserve"> </w:t>
            </w:r>
            <w:r w:rsidRPr="00E929F2">
              <w:rPr>
                <w:color w:val="000000" w:themeColor="text1"/>
              </w:rPr>
              <w:t>câmpul 10.8</w:t>
            </w:r>
            <w:r w:rsidRPr="00E929F2">
              <w:rPr>
                <w:color w:val="000000" w:themeColor="text1"/>
                <w:spacing w:val="-1"/>
              </w:rPr>
              <w:t xml:space="preserve"> </w:t>
            </w:r>
            <w:r w:rsidRPr="00E929F2">
              <w:rPr>
                <w:color w:val="000000" w:themeColor="text1"/>
              </w:rPr>
              <w:t>„Informații suplimentare”.</w:t>
            </w:r>
          </w:p>
          <w:p w14:paraId="1C634324" w14:textId="77777777" w:rsidR="00E929F2" w:rsidRPr="00E929F2" w:rsidRDefault="00E929F2" w:rsidP="009E63E5">
            <w:pPr>
              <w:widowControl w:val="0"/>
              <w:numPr>
                <w:ilvl w:val="1"/>
                <w:numId w:val="112"/>
              </w:numPr>
              <w:tabs>
                <w:tab w:val="left" w:pos="829"/>
              </w:tabs>
              <w:autoSpaceDE w:val="0"/>
              <w:autoSpaceDN w:val="0"/>
              <w:spacing w:line="270" w:lineRule="atLeast"/>
              <w:ind w:right="98"/>
              <w:jc w:val="both"/>
              <w:rPr>
                <w:color w:val="000000" w:themeColor="text1"/>
              </w:rPr>
            </w:pPr>
            <w:r w:rsidRPr="00E929F2">
              <w:rPr>
                <w:color w:val="000000" w:themeColor="text1"/>
              </w:rPr>
              <w:t>3. Pentru habitate dinamice, cum ar fi mutarea dunelor, zona de habitat</w:t>
            </w:r>
            <w:r w:rsidRPr="00E929F2">
              <w:rPr>
                <w:color w:val="000000" w:themeColor="text1"/>
                <w:spacing w:val="1"/>
              </w:rPr>
              <w:t xml:space="preserve"> </w:t>
            </w:r>
            <w:r w:rsidRPr="00E929F2">
              <w:rPr>
                <w:color w:val="000000" w:themeColor="text1"/>
              </w:rPr>
              <w:t>poate</w:t>
            </w:r>
            <w:r w:rsidRPr="00E929F2">
              <w:rPr>
                <w:color w:val="000000" w:themeColor="text1"/>
                <w:spacing w:val="6"/>
              </w:rPr>
              <w:t xml:space="preserve"> </w:t>
            </w:r>
            <w:r w:rsidRPr="00E929F2">
              <w:rPr>
                <w:color w:val="000000" w:themeColor="text1"/>
              </w:rPr>
              <w:t>să</w:t>
            </w:r>
            <w:r w:rsidRPr="00E929F2">
              <w:rPr>
                <w:color w:val="000000" w:themeColor="text1"/>
                <w:spacing w:val="7"/>
              </w:rPr>
              <w:t xml:space="preserve"> </w:t>
            </w:r>
            <w:r w:rsidRPr="00E929F2">
              <w:rPr>
                <w:color w:val="000000" w:themeColor="text1"/>
              </w:rPr>
              <w:t>fi</w:t>
            </w:r>
            <w:r w:rsidRPr="00E929F2">
              <w:rPr>
                <w:color w:val="000000" w:themeColor="text1"/>
                <w:spacing w:val="8"/>
              </w:rPr>
              <w:t xml:space="preserve"> </w:t>
            </w:r>
            <w:r w:rsidRPr="00E929F2">
              <w:rPr>
                <w:color w:val="000000" w:themeColor="text1"/>
              </w:rPr>
              <w:t>scăzut</w:t>
            </w:r>
            <w:r w:rsidRPr="00E929F2">
              <w:rPr>
                <w:color w:val="000000" w:themeColor="text1"/>
                <w:spacing w:val="8"/>
              </w:rPr>
              <w:t xml:space="preserve"> </w:t>
            </w:r>
            <w:r w:rsidRPr="00E929F2">
              <w:rPr>
                <w:color w:val="000000" w:themeColor="text1"/>
              </w:rPr>
              <w:t>în</w:t>
            </w:r>
            <w:r w:rsidRPr="00E929F2">
              <w:rPr>
                <w:color w:val="000000" w:themeColor="text1"/>
                <w:spacing w:val="7"/>
              </w:rPr>
              <w:t xml:space="preserve"> </w:t>
            </w:r>
            <w:r w:rsidRPr="00E929F2">
              <w:rPr>
                <w:color w:val="000000" w:themeColor="text1"/>
              </w:rPr>
              <w:t>perioada</w:t>
            </w:r>
            <w:r w:rsidRPr="00E929F2">
              <w:rPr>
                <w:color w:val="000000" w:themeColor="text1"/>
                <w:spacing w:val="7"/>
              </w:rPr>
              <w:t xml:space="preserve"> </w:t>
            </w:r>
            <w:r w:rsidRPr="00E929F2">
              <w:rPr>
                <w:color w:val="000000" w:themeColor="text1"/>
              </w:rPr>
              <w:t>de</w:t>
            </w:r>
            <w:r w:rsidRPr="00E929F2">
              <w:rPr>
                <w:color w:val="000000" w:themeColor="text1"/>
                <w:spacing w:val="7"/>
              </w:rPr>
              <w:t xml:space="preserve"> </w:t>
            </w:r>
            <w:r w:rsidRPr="00E929F2">
              <w:rPr>
                <w:color w:val="000000" w:themeColor="text1"/>
              </w:rPr>
              <w:t>tendință</w:t>
            </w:r>
            <w:r w:rsidRPr="00E929F2">
              <w:rPr>
                <w:color w:val="000000" w:themeColor="text1"/>
                <w:spacing w:val="7"/>
              </w:rPr>
              <w:t xml:space="preserve"> </w:t>
            </w:r>
            <w:r w:rsidRPr="00E929F2">
              <w:rPr>
                <w:color w:val="000000" w:themeColor="text1"/>
              </w:rPr>
              <w:t>pe</w:t>
            </w:r>
            <w:r w:rsidRPr="00E929F2">
              <w:rPr>
                <w:color w:val="000000" w:themeColor="text1"/>
                <w:spacing w:val="7"/>
              </w:rPr>
              <w:t xml:space="preserve"> </w:t>
            </w:r>
            <w:r w:rsidRPr="00E929F2">
              <w:rPr>
                <w:color w:val="000000" w:themeColor="text1"/>
              </w:rPr>
              <w:t>termen</w:t>
            </w:r>
            <w:r w:rsidRPr="00E929F2">
              <w:rPr>
                <w:color w:val="000000" w:themeColor="text1"/>
                <w:spacing w:val="7"/>
              </w:rPr>
              <w:t xml:space="preserve"> </w:t>
            </w:r>
            <w:r w:rsidRPr="00E929F2">
              <w:rPr>
                <w:color w:val="000000" w:themeColor="text1"/>
              </w:rPr>
              <w:t>scurt</w:t>
            </w:r>
            <w:r w:rsidRPr="00E929F2">
              <w:rPr>
                <w:color w:val="000000" w:themeColor="text1"/>
                <w:spacing w:val="8"/>
              </w:rPr>
              <w:t xml:space="preserve"> </w:t>
            </w:r>
            <w:r w:rsidRPr="00E929F2">
              <w:rPr>
                <w:color w:val="000000" w:themeColor="text1"/>
              </w:rPr>
              <w:t>(câmpul</w:t>
            </w:r>
            <w:r w:rsidRPr="00E929F2">
              <w:rPr>
                <w:color w:val="000000" w:themeColor="text1"/>
                <w:spacing w:val="9"/>
              </w:rPr>
              <w:t xml:space="preserve"> </w:t>
            </w:r>
            <w:r w:rsidRPr="00E929F2">
              <w:rPr>
                <w:color w:val="000000" w:themeColor="text1"/>
              </w:rPr>
              <w:t>5.5),</w:t>
            </w:r>
          </w:p>
        </w:tc>
      </w:tr>
      <w:tr w:rsidR="00E929F2" w:rsidRPr="00E929F2" w14:paraId="33DF6B73" w14:textId="77777777" w:rsidTr="0049533B">
        <w:trPr>
          <w:trHeight w:val="1106"/>
        </w:trPr>
        <w:tc>
          <w:tcPr>
            <w:tcW w:w="1915" w:type="dxa"/>
          </w:tcPr>
          <w:p w14:paraId="303E05AA" w14:textId="77777777" w:rsidR="00E929F2" w:rsidRPr="00E929F2" w:rsidRDefault="00E929F2" w:rsidP="00E929F2">
            <w:pPr>
              <w:widowControl w:val="0"/>
              <w:autoSpaceDE w:val="0"/>
              <w:autoSpaceDN w:val="0"/>
              <w:jc w:val="both"/>
              <w:rPr>
                <w:color w:val="000000" w:themeColor="text1"/>
              </w:rPr>
            </w:pPr>
          </w:p>
        </w:tc>
        <w:tc>
          <w:tcPr>
            <w:tcW w:w="8255" w:type="dxa"/>
          </w:tcPr>
          <w:p w14:paraId="566C11CA" w14:textId="77777777" w:rsidR="00E929F2" w:rsidRPr="00E929F2" w:rsidRDefault="00E929F2" w:rsidP="00E929F2">
            <w:pPr>
              <w:widowControl w:val="0"/>
              <w:autoSpaceDE w:val="0"/>
              <w:autoSpaceDN w:val="0"/>
              <w:ind w:left="828"/>
              <w:jc w:val="both"/>
              <w:rPr>
                <w:color w:val="000000" w:themeColor="text1"/>
              </w:rPr>
            </w:pPr>
            <w:r w:rsidRPr="00E929F2">
              <w:rPr>
                <w:color w:val="000000" w:themeColor="text1"/>
              </w:rPr>
              <w:t>dar,</w:t>
            </w:r>
            <w:r w:rsidRPr="00E929F2">
              <w:rPr>
                <w:color w:val="000000" w:themeColor="text1"/>
                <w:spacing w:val="1"/>
              </w:rPr>
              <w:t xml:space="preserve"> </w:t>
            </w:r>
            <w:r w:rsidRPr="00E929F2">
              <w:rPr>
                <w:color w:val="000000" w:themeColor="text1"/>
              </w:rPr>
              <w:t>datorită</w:t>
            </w:r>
            <w:r w:rsidRPr="00E929F2">
              <w:rPr>
                <w:color w:val="000000" w:themeColor="text1"/>
                <w:spacing w:val="1"/>
              </w:rPr>
              <w:t xml:space="preserve"> </w:t>
            </w:r>
            <w:r w:rsidRPr="00E929F2">
              <w:rPr>
                <w:color w:val="000000" w:themeColor="text1"/>
              </w:rPr>
              <w:t>naturii</w:t>
            </w:r>
            <w:r w:rsidRPr="00E929F2">
              <w:rPr>
                <w:color w:val="000000" w:themeColor="text1"/>
                <w:spacing w:val="1"/>
              </w:rPr>
              <w:t xml:space="preserve"> </w:t>
            </w:r>
            <w:r w:rsidRPr="00E929F2">
              <w:rPr>
                <w:color w:val="000000" w:themeColor="text1"/>
              </w:rPr>
              <w:t>dinamice</w:t>
            </w:r>
            <w:r w:rsidRPr="00E929F2">
              <w:rPr>
                <w:color w:val="000000" w:themeColor="text1"/>
                <w:spacing w:val="1"/>
              </w:rPr>
              <w:t xml:space="preserve"> </w:t>
            </w:r>
            <w:r w:rsidRPr="00E929F2">
              <w:rPr>
                <w:color w:val="000000" w:themeColor="text1"/>
              </w:rPr>
              <w:t>a</w:t>
            </w:r>
            <w:r w:rsidRPr="00E929F2">
              <w:rPr>
                <w:color w:val="000000" w:themeColor="text1"/>
                <w:spacing w:val="1"/>
              </w:rPr>
              <w:t xml:space="preserve"> </w:t>
            </w:r>
            <w:r w:rsidRPr="00E929F2">
              <w:rPr>
                <w:color w:val="000000" w:themeColor="text1"/>
              </w:rPr>
              <w:t>habitatului,</w:t>
            </w:r>
            <w:r w:rsidRPr="00E929F2">
              <w:rPr>
                <w:color w:val="000000" w:themeColor="text1"/>
                <w:spacing w:val="1"/>
              </w:rPr>
              <w:t xml:space="preserve"> </w:t>
            </w:r>
            <w:r w:rsidRPr="00E929F2">
              <w:rPr>
                <w:color w:val="000000" w:themeColor="text1"/>
              </w:rPr>
              <w:t>aceasta</w:t>
            </w:r>
            <w:r w:rsidRPr="00E929F2">
              <w:rPr>
                <w:color w:val="000000" w:themeColor="text1"/>
                <w:spacing w:val="1"/>
              </w:rPr>
              <w:t xml:space="preserve"> </w:t>
            </w:r>
            <w:r w:rsidRPr="00E929F2">
              <w:rPr>
                <w:color w:val="000000" w:themeColor="text1"/>
              </w:rPr>
              <w:t>nu</w:t>
            </w:r>
            <w:r w:rsidRPr="00E929F2">
              <w:rPr>
                <w:color w:val="000000" w:themeColor="text1"/>
                <w:spacing w:val="1"/>
              </w:rPr>
              <w:t xml:space="preserve"> </w:t>
            </w:r>
            <w:r w:rsidRPr="00E929F2">
              <w:rPr>
                <w:color w:val="000000" w:themeColor="text1"/>
              </w:rPr>
              <w:t>reprezintă</w:t>
            </w:r>
            <w:r w:rsidRPr="00E929F2">
              <w:rPr>
                <w:color w:val="000000" w:themeColor="text1"/>
                <w:spacing w:val="1"/>
              </w:rPr>
              <w:t xml:space="preserve"> </w:t>
            </w:r>
            <w:r w:rsidRPr="00E929F2">
              <w:rPr>
                <w:color w:val="000000" w:themeColor="text1"/>
              </w:rPr>
              <w:t>o</w:t>
            </w:r>
            <w:r w:rsidRPr="00E929F2">
              <w:rPr>
                <w:color w:val="000000" w:themeColor="text1"/>
                <w:spacing w:val="-58"/>
              </w:rPr>
              <w:t xml:space="preserve"> </w:t>
            </w:r>
            <w:r w:rsidRPr="00E929F2">
              <w:rPr>
                <w:color w:val="000000" w:themeColor="text1"/>
              </w:rPr>
              <w:t>pierdere</w:t>
            </w:r>
            <w:r w:rsidRPr="00E929F2">
              <w:rPr>
                <w:color w:val="000000" w:themeColor="text1"/>
                <w:spacing w:val="47"/>
              </w:rPr>
              <w:t xml:space="preserve"> </w:t>
            </w:r>
            <w:r w:rsidRPr="00E929F2">
              <w:rPr>
                <w:color w:val="000000" w:themeColor="text1"/>
              </w:rPr>
              <w:t>permanentă</w:t>
            </w:r>
            <w:r w:rsidRPr="00E929F2">
              <w:rPr>
                <w:color w:val="000000" w:themeColor="text1"/>
                <w:spacing w:val="47"/>
              </w:rPr>
              <w:t xml:space="preserve"> </w:t>
            </w:r>
            <w:r w:rsidRPr="00E929F2">
              <w:rPr>
                <w:color w:val="000000" w:themeColor="text1"/>
              </w:rPr>
              <w:t>a</w:t>
            </w:r>
            <w:r w:rsidRPr="00E929F2">
              <w:rPr>
                <w:color w:val="000000" w:themeColor="text1"/>
                <w:spacing w:val="47"/>
              </w:rPr>
              <w:t xml:space="preserve"> </w:t>
            </w:r>
            <w:r w:rsidRPr="00E929F2">
              <w:rPr>
                <w:color w:val="000000" w:themeColor="text1"/>
              </w:rPr>
              <w:t>zonei</w:t>
            </w:r>
            <w:r w:rsidRPr="00E929F2">
              <w:rPr>
                <w:color w:val="000000" w:themeColor="text1"/>
                <w:spacing w:val="48"/>
              </w:rPr>
              <w:t xml:space="preserve"> </w:t>
            </w:r>
            <w:r w:rsidRPr="00E929F2">
              <w:rPr>
                <w:color w:val="000000" w:themeColor="text1"/>
              </w:rPr>
              <w:t>de</w:t>
            </w:r>
            <w:r w:rsidRPr="00E929F2">
              <w:rPr>
                <w:color w:val="000000" w:themeColor="text1"/>
                <w:spacing w:val="47"/>
              </w:rPr>
              <w:t xml:space="preserve"> </w:t>
            </w:r>
            <w:r w:rsidRPr="00E929F2">
              <w:rPr>
                <w:color w:val="000000" w:themeColor="text1"/>
              </w:rPr>
              <w:t>habitat.</w:t>
            </w:r>
            <w:r w:rsidRPr="00E929F2">
              <w:rPr>
                <w:color w:val="000000" w:themeColor="text1"/>
                <w:spacing w:val="51"/>
              </w:rPr>
              <w:t xml:space="preserve"> </w:t>
            </w:r>
            <w:r w:rsidRPr="00E929F2">
              <w:rPr>
                <w:color w:val="000000" w:themeColor="text1"/>
              </w:rPr>
              <w:t>În</w:t>
            </w:r>
            <w:r w:rsidRPr="00E929F2">
              <w:rPr>
                <w:color w:val="000000" w:themeColor="text1"/>
                <w:spacing w:val="48"/>
              </w:rPr>
              <w:t xml:space="preserve"> </w:t>
            </w:r>
            <w:r w:rsidRPr="00E929F2">
              <w:rPr>
                <w:color w:val="000000" w:themeColor="text1"/>
              </w:rPr>
              <w:t>această</w:t>
            </w:r>
            <w:r w:rsidRPr="00E929F2">
              <w:rPr>
                <w:color w:val="000000" w:themeColor="text1"/>
                <w:spacing w:val="48"/>
              </w:rPr>
              <w:t xml:space="preserve"> </w:t>
            </w:r>
            <w:r w:rsidRPr="00E929F2">
              <w:rPr>
                <w:color w:val="000000" w:themeColor="text1"/>
              </w:rPr>
              <w:t>situație,</w:t>
            </w:r>
            <w:r w:rsidRPr="00E929F2">
              <w:rPr>
                <w:color w:val="000000" w:themeColor="text1"/>
                <w:spacing w:val="45"/>
              </w:rPr>
              <w:t xml:space="preserve"> </w:t>
            </w:r>
            <w:r w:rsidRPr="00E929F2">
              <w:rPr>
                <w:color w:val="000000" w:themeColor="text1"/>
              </w:rPr>
              <w:t>zona</w:t>
            </w:r>
            <w:r w:rsidRPr="00E929F2">
              <w:rPr>
                <w:color w:val="000000" w:themeColor="text1"/>
                <w:spacing w:val="47"/>
              </w:rPr>
              <w:t xml:space="preserve"> </w:t>
            </w:r>
            <w:r w:rsidRPr="00E929F2">
              <w:rPr>
                <w:color w:val="000000" w:themeColor="text1"/>
              </w:rPr>
              <w:t>de</w:t>
            </w:r>
          </w:p>
          <w:p w14:paraId="0AF353B8" w14:textId="77777777" w:rsidR="00E929F2" w:rsidRPr="00E929F2" w:rsidRDefault="00E929F2" w:rsidP="00E929F2">
            <w:pPr>
              <w:widowControl w:val="0"/>
              <w:autoSpaceDE w:val="0"/>
              <w:autoSpaceDN w:val="0"/>
              <w:spacing w:line="270" w:lineRule="atLeast"/>
              <w:ind w:left="828"/>
              <w:jc w:val="both"/>
              <w:rPr>
                <w:color w:val="000000" w:themeColor="text1"/>
              </w:rPr>
            </w:pPr>
            <w:r w:rsidRPr="00E929F2">
              <w:rPr>
                <w:color w:val="000000" w:themeColor="text1"/>
              </w:rPr>
              <w:t>habitat</w:t>
            </w:r>
            <w:r w:rsidRPr="00E929F2">
              <w:rPr>
                <w:color w:val="000000" w:themeColor="text1"/>
                <w:spacing w:val="9"/>
              </w:rPr>
              <w:t xml:space="preserve"> </w:t>
            </w:r>
            <w:r w:rsidRPr="00E929F2">
              <w:rPr>
                <w:color w:val="000000" w:themeColor="text1"/>
              </w:rPr>
              <w:t>ar</w:t>
            </w:r>
            <w:r w:rsidRPr="00E929F2">
              <w:rPr>
                <w:color w:val="000000" w:themeColor="text1"/>
                <w:spacing w:val="8"/>
              </w:rPr>
              <w:t xml:space="preserve"> </w:t>
            </w:r>
            <w:r w:rsidRPr="00E929F2">
              <w:rPr>
                <w:color w:val="000000" w:themeColor="text1"/>
              </w:rPr>
              <w:t>putea</w:t>
            </w:r>
            <w:r w:rsidRPr="00E929F2">
              <w:rPr>
                <w:color w:val="000000" w:themeColor="text1"/>
                <w:spacing w:val="8"/>
              </w:rPr>
              <w:t xml:space="preserve"> </w:t>
            </w:r>
            <w:r w:rsidRPr="00E929F2">
              <w:rPr>
                <w:color w:val="000000" w:themeColor="text1"/>
              </w:rPr>
              <w:t>fi</w:t>
            </w:r>
            <w:r w:rsidRPr="00E929F2">
              <w:rPr>
                <w:color w:val="000000" w:themeColor="text1"/>
                <w:spacing w:val="9"/>
              </w:rPr>
              <w:t xml:space="preserve"> </w:t>
            </w:r>
            <w:r w:rsidRPr="00E929F2">
              <w:rPr>
                <w:color w:val="000000" w:themeColor="text1"/>
              </w:rPr>
              <w:t>încă</w:t>
            </w:r>
            <w:r w:rsidRPr="00E929F2">
              <w:rPr>
                <w:color w:val="000000" w:themeColor="text1"/>
                <w:spacing w:val="10"/>
              </w:rPr>
              <w:t xml:space="preserve"> </w:t>
            </w:r>
            <w:r w:rsidRPr="00E929F2">
              <w:rPr>
                <w:color w:val="000000" w:themeColor="text1"/>
              </w:rPr>
              <w:t>evaluată</w:t>
            </w:r>
            <w:r w:rsidRPr="00E929F2">
              <w:rPr>
                <w:color w:val="000000" w:themeColor="text1"/>
                <w:spacing w:val="10"/>
              </w:rPr>
              <w:t xml:space="preserve"> </w:t>
            </w:r>
            <w:r w:rsidRPr="00E929F2">
              <w:rPr>
                <w:color w:val="000000" w:themeColor="text1"/>
              </w:rPr>
              <w:t>ca</w:t>
            </w:r>
            <w:r w:rsidRPr="00E929F2">
              <w:rPr>
                <w:color w:val="000000" w:themeColor="text1"/>
                <w:spacing w:val="10"/>
              </w:rPr>
              <w:t xml:space="preserve"> </w:t>
            </w:r>
            <w:r w:rsidRPr="00E929F2">
              <w:rPr>
                <w:color w:val="000000" w:themeColor="text1"/>
              </w:rPr>
              <w:t>fiind</w:t>
            </w:r>
            <w:r w:rsidRPr="00E929F2">
              <w:rPr>
                <w:color w:val="000000" w:themeColor="text1"/>
                <w:spacing w:val="9"/>
              </w:rPr>
              <w:t xml:space="preserve"> </w:t>
            </w:r>
            <w:r w:rsidRPr="00E929F2">
              <w:rPr>
                <w:color w:val="000000" w:themeColor="text1"/>
              </w:rPr>
              <w:t>„favorabilă”,</w:t>
            </w:r>
            <w:r w:rsidRPr="00E929F2">
              <w:rPr>
                <w:color w:val="000000" w:themeColor="text1"/>
                <w:spacing w:val="9"/>
              </w:rPr>
              <w:t xml:space="preserve"> </w:t>
            </w:r>
            <w:r w:rsidRPr="00E929F2">
              <w:rPr>
                <w:color w:val="000000" w:themeColor="text1"/>
              </w:rPr>
              <w:t>dar</w:t>
            </w:r>
            <w:r w:rsidRPr="00E929F2">
              <w:rPr>
                <w:color w:val="000000" w:themeColor="text1"/>
                <w:spacing w:val="8"/>
              </w:rPr>
              <w:t xml:space="preserve"> </w:t>
            </w:r>
            <w:r w:rsidRPr="00E929F2">
              <w:rPr>
                <w:color w:val="000000" w:themeColor="text1"/>
              </w:rPr>
              <w:t>trebuie</w:t>
            </w:r>
            <w:r w:rsidRPr="00E929F2">
              <w:rPr>
                <w:color w:val="000000" w:themeColor="text1"/>
                <w:spacing w:val="-57"/>
              </w:rPr>
              <w:t xml:space="preserve"> </w:t>
            </w:r>
            <w:r w:rsidRPr="00E929F2">
              <w:rPr>
                <w:color w:val="000000" w:themeColor="text1"/>
              </w:rPr>
              <w:t>furnizate</w:t>
            </w:r>
            <w:r w:rsidRPr="00E929F2">
              <w:rPr>
                <w:color w:val="000000" w:themeColor="text1"/>
                <w:spacing w:val="-1"/>
              </w:rPr>
              <w:t xml:space="preserve"> </w:t>
            </w:r>
            <w:r w:rsidRPr="00E929F2">
              <w:rPr>
                <w:color w:val="000000" w:themeColor="text1"/>
              </w:rPr>
              <w:t>detalii în câmpul 10.8.</w:t>
            </w:r>
          </w:p>
        </w:tc>
      </w:tr>
      <w:tr w:rsidR="00E929F2" w:rsidRPr="00E929F2" w14:paraId="43F52ED9" w14:textId="77777777" w:rsidTr="0049533B">
        <w:trPr>
          <w:trHeight w:val="4432"/>
        </w:trPr>
        <w:tc>
          <w:tcPr>
            <w:tcW w:w="1915" w:type="dxa"/>
          </w:tcPr>
          <w:p w14:paraId="1D29D7B2" w14:textId="77777777" w:rsidR="00E929F2" w:rsidRPr="00E929F2" w:rsidRDefault="00E929F2" w:rsidP="00E929F2">
            <w:pPr>
              <w:widowControl w:val="0"/>
              <w:autoSpaceDE w:val="0"/>
              <w:autoSpaceDN w:val="0"/>
              <w:jc w:val="both"/>
              <w:rPr>
                <w:color w:val="000000" w:themeColor="text1"/>
              </w:rPr>
            </w:pPr>
          </w:p>
          <w:p w14:paraId="694494FD" w14:textId="77777777" w:rsidR="00E929F2" w:rsidRPr="00E929F2" w:rsidRDefault="00E929F2" w:rsidP="00E929F2">
            <w:pPr>
              <w:widowControl w:val="0"/>
              <w:autoSpaceDE w:val="0"/>
              <w:autoSpaceDN w:val="0"/>
              <w:jc w:val="both"/>
              <w:rPr>
                <w:color w:val="000000" w:themeColor="text1"/>
              </w:rPr>
            </w:pPr>
          </w:p>
          <w:p w14:paraId="07149923" w14:textId="77777777" w:rsidR="00E929F2" w:rsidRPr="00E929F2" w:rsidRDefault="00E929F2" w:rsidP="00E929F2">
            <w:pPr>
              <w:widowControl w:val="0"/>
              <w:autoSpaceDE w:val="0"/>
              <w:autoSpaceDN w:val="0"/>
              <w:jc w:val="both"/>
              <w:rPr>
                <w:color w:val="000000" w:themeColor="text1"/>
              </w:rPr>
            </w:pPr>
          </w:p>
          <w:p w14:paraId="3C43846B" w14:textId="77777777" w:rsidR="00E929F2" w:rsidRPr="00E929F2" w:rsidRDefault="00E929F2" w:rsidP="00E929F2">
            <w:pPr>
              <w:widowControl w:val="0"/>
              <w:autoSpaceDE w:val="0"/>
              <w:autoSpaceDN w:val="0"/>
              <w:jc w:val="both"/>
              <w:rPr>
                <w:color w:val="000000" w:themeColor="text1"/>
              </w:rPr>
            </w:pPr>
          </w:p>
          <w:p w14:paraId="053BD943" w14:textId="77777777" w:rsidR="00E929F2" w:rsidRPr="00E929F2" w:rsidRDefault="00E929F2" w:rsidP="00E929F2">
            <w:pPr>
              <w:widowControl w:val="0"/>
              <w:autoSpaceDE w:val="0"/>
              <w:autoSpaceDN w:val="0"/>
              <w:jc w:val="both"/>
              <w:rPr>
                <w:color w:val="000000" w:themeColor="text1"/>
              </w:rPr>
            </w:pPr>
          </w:p>
          <w:p w14:paraId="640A9164" w14:textId="77777777" w:rsidR="00E929F2" w:rsidRPr="00E929F2" w:rsidRDefault="00E929F2" w:rsidP="00E929F2">
            <w:pPr>
              <w:widowControl w:val="0"/>
              <w:autoSpaceDE w:val="0"/>
              <w:autoSpaceDN w:val="0"/>
              <w:spacing w:before="2"/>
              <w:jc w:val="both"/>
              <w:rPr>
                <w:color w:val="000000" w:themeColor="text1"/>
              </w:rPr>
            </w:pPr>
          </w:p>
          <w:p w14:paraId="0478900F" w14:textId="77777777" w:rsidR="00E929F2" w:rsidRPr="00E929F2" w:rsidRDefault="00E929F2" w:rsidP="00E929F2">
            <w:pPr>
              <w:widowControl w:val="0"/>
              <w:autoSpaceDE w:val="0"/>
              <w:autoSpaceDN w:val="0"/>
              <w:ind w:left="108" w:right="253"/>
              <w:jc w:val="both"/>
              <w:rPr>
                <w:color w:val="000000" w:themeColor="text1"/>
              </w:rPr>
            </w:pPr>
            <w:r w:rsidRPr="00E929F2">
              <w:rPr>
                <w:color w:val="000000" w:themeColor="text1"/>
              </w:rPr>
              <w:t>Nefavorabil-</w:t>
            </w:r>
            <w:r w:rsidRPr="00E929F2">
              <w:rPr>
                <w:color w:val="000000" w:themeColor="text1"/>
                <w:spacing w:val="1"/>
              </w:rPr>
              <w:t xml:space="preserve"> </w:t>
            </w:r>
            <w:r w:rsidRPr="00E929F2">
              <w:rPr>
                <w:color w:val="000000" w:themeColor="text1"/>
              </w:rPr>
              <w:t>inadecvat</w:t>
            </w:r>
            <w:r w:rsidRPr="00E929F2">
              <w:rPr>
                <w:color w:val="000000" w:themeColor="text1"/>
                <w:spacing w:val="-14"/>
              </w:rPr>
              <w:t xml:space="preserve"> </w:t>
            </w:r>
            <w:r w:rsidRPr="00E929F2">
              <w:rPr>
                <w:color w:val="000000" w:themeColor="text1"/>
              </w:rPr>
              <w:t>(U1)</w:t>
            </w:r>
          </w:p>
        </w:tc>
        <w:tc>
          <w:tcPr>
            <w:tcW w:w="8255" w:type="dxa"/>
          </w:tcPr>
          <w:p w14:paraId="203B440D" w14:textId="77777777" w:rsidR="00E929F2" w:rsidRPr="00E929F2" w:rsidRDefault="00E929F2" w:rsidP="00E929F2">
            <w:pPr>
              <w:widowControl w:val="0"/>
              <w:autoSpaceDE w:val="0"/>
              <w:autoSpaceDN w:val="0"/>
              <w:spacing w:line="260" w:lineRule="exact"/>
              <w:ind w:left="107"/>
              <w:jc w:val="both"/>
              <w:rPr>
                <w:color w:val="000000" w:themeColor="text1"/>
              </w:rPr>
            </w:pPr>
            <w:r w:rsidRPr="00E929F2">
              <w:rPr>
                <w:color w:val="000000" w:themeColor="text1"/>
              </w:rPr>
              <w:t>Conform</w:t>
            </w:r>
            <w:r w:rsidRPr="00E929F2">
              <w:rPr>
                <w:color w:val="000000" w:themeColor="text1"/>
                <w:spacing w:val="10"/>
              </w:rPr>
              <w:t xml:space="preserve"> </w:t>
            </w:r>
            <w:r w:rsidRPr="00E929F2">
              <w:rPr>
                <w:color w:val="000000" w:themeColor="text1"/>
              </w:rPr>
              <w:t>matricei</w:t>
            </w:r>
            <w:r w:rsidRPr="00E929F2">
              <w:rPr>
                <w:color w:val="000000" w:themeColor="text1"/>
                <w:spacing w:val="10"/>
              </w:rPr>
              <w:t xml:space="preserve"> </w:t>
            </w:r>
            <w:r w:rsidRPr="00E929F2">
              <w:rPr>
                <w:color w:val="000000" w:themeColor="text1"/>
              </w:rPr>
              <w:t>de</w:t>
            </w:r>
            <w:r w:rsidRPr="00E929F2">
              <w:rPr>
                <w:color w:val="000000" w:themeColor="text1"/>
                <w:spacing w:val="9"/>
              </w:rPr>
              <w:t xml:space="preserve"> </w:t>
            </w:r>
            <w:r w:rsidRPr="00E929F2">
              <w:rPr>
                <w:color w:val="000000" w:themeColor="text1"/>
              </w:rPr>
              <w:t>evaluare</w:t>
            </w:r>
            <w:r w:rsidRPr="00E929F2">
              <w:rPr>
                <w:color w:val="000000" w:themeColor="text1"/>
                <w:spacing w:val="8"/>
              </w:rPr>
              <w:t xml:space="preserve"> </w:t>
            </w:r>
            <w:r w:rsidRPr="00E929F2">
              <w:rPr>
                <w:color w:val="000000" w:themeColor="text1"/>
              </w:rPr>
              <w:t>(anexa</w:t>
            </w:r>
            <w:r w:rsidRPr="00E929F2">
              <w:rPr>
                <w:color w:val="000000" w:themeColor="text1"/>
                <w:spacing w:val="9"/>
              </w:rPr>
              <w:t xml:space="preserve"> </w:t>
            </w:r>
            <w:r w:rsidRPr="00E929F2">
              <w:rPr>
                <w:color w:val="000000" w:themeColor="text1"/>
              </w:rPr>
              <w:t>E),</w:t>
            </w:r>
            <w:r w:rsidRPr="00E929F2">
              <w:rPr>
                <w:color w:val="000000" w:themeColor="text1"/>
                <w:spacing w:val="9"/>
              </w:rPr>
              <w:t xml:space="preserve"> </w:t>
            </w:r>
            <w:r w:rsidRPr="00E929F2">
              <w:rPr>
                <w:color w:val="000000" w:themeColor="text1"/>
              </w:rPr>
              <w:t>starea</w:t>
            </w:r>
            <w:r w:rsidRPr="00E929F2">
              <w:rPr>
                <w:color w:val="000000" w:themeColor="text1"/>
                <w:spacing w:val="9"/>
              </w:rPr>
              <w:t xml:space="preserve"> </w:t>
            </w:r>
            <w:r w:rsidRPr="00E929F2">
              <w:rPr>
                <w:color w:val="000000" w:themeColor="text1"/>
              </w:rPr>
              <w:t>zonei</w:t>
            </w:r>
            <w:r w:rsidRPr="00E929F2">
              <w:rPr>
                <w:color w:val="000000" w:themeColor="text1"/>
                <w:spacing w:val="10"/>
              </w:rPr>
              <w:t xml:space="preserve"> </w:t>
            </w:r>
            <w:r w:rsidRPr="00E929F2">
              <w:rPr>
                <w:color w:val="000000" w:themeColor="text1"/>
              </w:rPr>
              <w:t>acoperite</w:t>
            </w:r>
            <w:r w:rsidRPr="00E929F2">
              <w:rPr>
                <w:color w:val="000000" w:themeColor="text1"/>
                <w:spacing w:val="9"/>
              </w:rPr>
              <w:t xml:space="preserve"> </w:t>
            </w:r>
            <w:r w:rsidRPr="00E929F2">
              <w:rPr>
                <w:color w:val="000000" w:themeColor="text1"/>
              </w:rPr>
              <w:t>de</w:t>
            </w:r>
            <w:r w:rsidRPr="00E929F2">
              <w:rPr>
                <w:color w:val="000000" w:themeColor="text1"/>
                <w:spacing w:val="9"/>
              </w:rPr>
              <w:t xml:space="preserve"> </w:t>
            </w:r>
            <w:r w:rsidRPr="00E929F2">
              <w:rPr>
                <w:color w:val="000000" w:themeColor="text1"/>
              </w:rPr>
              <w:t>habitat</w:t>
            </w:r>
            <w:r w:rsidRPr="00E929F2">
              <w:rPr>
                <w:color w:val="000000" w:themeColor="text1"/>
                <w:spacing w:val="10"/>
              </w:rPr>
              <w:t xml:space="preserve"> </w:t>
            </w:r>
            <w:r w:rsidRPr="00E929F2">
              <w:rPr>
                <w:color w:val="000000" w:themeColor="text1"/>
              </w:rPr>
              <w:t>este</w:t>
            </w:r>
          </w:p>
          <w:p w14:paraId="1CAE6DD5" w14:textId="77777777" w:rsidR="00E929F2" w:rsidRPr="00E929F2" w:rsidRDefault="00E929F2" w:rsidP="00E929F2">
            <w:pPr>
              <w:widowControl w:val="0"/>
              <w:autoSpaceDE w:val="0"/>
              <w:autoSpaceDN w:val="0"/>
              <w:ind w:left="107"/>
              <w:jc w:val="both"/>
              <w:rPr>
                <w:color w:val="000000" w:themeColor="text1"/>
              </w:rPr>
            </w:pPr>
            <w:r w:rsidRPr="00E929F2">
              <w:rPr>
                <w:color w:val="000000" w:themeColor="text1"/>
              </w:rPr>
              <w:t>„nefavorabilă-inadecvată”</w:t>
            </w:r>
            <w:r w:rsidRPr="00E929F2">
              <w:rPr>
                <w:color w:val="000000" w:themeColor="text1"/>
                <w:spacing w:val="-4"/>
              </w:rPr>
              <w:t xml:space="preserve"> </w:t>
            </w:r>
            <w:r w:rsidRPr="00E929F2">
              <w:rPr>
                <w:color w:val="000000" w:themeColor="text1"/>
              </w:rPr>
              <w:t>dacă:</w:t>
            </w:r>
          </w:p>
          <w:p w14:paraId="6AB84650" w14:textId="77777777" w:rsidR="00E929F2" w:rsidRPr="00E929F2" w:rsidRDefault="00E929F2" w:rsidP="009E63E5">
            <w:pPr>
              <w:widowControl w:val="0"/>
              <w:numPr>
                <w:ilvl w:val="0"/>
                <w:numId w:val="111"/>
              </w:numPr>
              <w:tabs>
                <w:tab w:val="left" w:pos="467"/>
                <w:tab w:val="left" w:pos="468"/>
              </w:tabs>
              <w:autoSpaceDE w:val="0"/>
              <w:autoSpaceDN w:val="0"/>
              <w:spacing w:before="9" w:line="230" w:lineRule="auto"/>
              <w:ind w:right="103"/>
              <w:jc w:val="both"/>
              <w:rPr>
                <w:color w:val="000000" w:themeColor="text1"/>
              </w:rPr>
            </w:pPr>
            <w:r w:rsidRPr="00E929F2">
              <w:rPr>
                <w:color w:val="000000" w:themeColor="text1"/>
              </w:rPr>
              <w:t>orice</w:t>
            </w:r>
            <w:r w:rsidRPr="00E929F2">
              <w:rPr>
                <w:color w:val="000000" w:themeColor="text1"/>
                <w:spacing w:val="6"/>
              </w:rPr>
              <w:t xml:space="preserve"> </w:t>
            </w:r>
            <w:r w:rsidRPr="00E929F2">
              <w:rPr>
                <w:color w:val="000000" w:themeColor="text1"/>
              </w:rPr>
              <w:t>altă</w:t>
            </w:r>
            <w:r w:rsidRPr="00E929F2">
              <w:rPr>
                <w:color w:val="000000" w:themeColor="text1"/>
                <w:spacing w:val="5"/>
              </w:rPr>
              <w:t xml:space="preserve"> </w:t>
            </w:r>
            <w:r w:rsidRPr="00E929F2">
              <w:rPr>
                <w:color w:val="000000" w:themeColor="text1"/>
              </w:rPr>
              <w:t>combinație</w:t>
            </w:r>
            <w:r w:rsidRPr="00E929F2">
              <w:rPr>
                <w:color w:val="000000" w:themeColor="text1"/>
                <w:spacing w:val="7"/>
              </w:rPr>
              <w:t xml:space="preserve"> </w:t>
            </w:r>
            <w:r w:rsidRPr="00E929F2">
              <w:rPr>
                <w:color w:val="000000" w:themeColor="text1"/>
              </w:rPr>
              <w:t>(o</w:t>
            </w:r>
            <w:r w:rsidRPr="00E929F2">
              <w:rPr>
                <w:color w:val="000000" w:themeColor="text1"/>
                <w:spacing w:val="8"/>
              </w:rPr>
              <w:t xml:space="preserve"> </w:t>
            </w:r>
            <w:r w:rsidRPr="00E929F2">
              <w:rPr>
                <w:color w:val="000000" w:themeColor="text1"/>
              </w:rPr>
              <w:t>altă</w:t>
            </w:r>
            <w:r w:rsidRPr="00E929F2">
              <w:rPr>
                <w:color w:val="000000" w:themeColor="text1"/>
                <w:spacing w:val="5"/>
              </w:rPr>
              <w:t xml:space="preserve"> </w:t>
            </w:r>
            <w:r w:rsidRPr="00E929F2">
              <w:rPr>
                <w:color w:val="000000" w:themeColor="text1"/>
              </w:rPr>
              <w:t>combinație</w:t>
            </w:r>
            <w:r w:rsidRPr="00E929F2">
              <w:rPr>
                <w:color w:val="000000" w:themeColor="text1"/>
                <w:spacing w:val="5"/>
              </w:rPr>
              <w:t xml:space="preserve"> </w:t>
            </w:r>
            <w:r w:rsidRPr="00E929F2">
              <w:rPr>
                <w:color w:val="000000" w:themeColor="text1"/>
              </w:rPr>
              <w:t>de</w:t>
            </w:r>
            <w:r w:rsidRPr="00E929F2">
              <w:rPr>
                <w:color w:val="000000" w:themeColor="text1"/>
                <w:spacing w:val="6"/>
              </w:rPr>
              <w:t xml:space="preserve"> </w:t>
            </w:r>
            <w:r w:rsidRPr="00E929F2">
              <w:rPr>
                <w:color w:val="000000" w:themeColor="text1"/>
              </w:rPr>
              <w:t>criterii</w:t>
            </w:r>
            <w:r w:rsidRPr="00E929F2">
              <w:rPr>
                <w:color w:val="000000" w:themeColor="text1"/>
                <w:spacing w:val="6"/>
              </w:rPr>
              <w:t xml:space="preserve"> </w:t>
            </w:r>
            <w:r w:rsidRPr="00E929F2">
              <w:rPr>
                <w:color w:val="000000" w:themeColor="text1"/>
              </w:rPr>
              <w:t>decât</w:t>
            </w:r>
            <w:r w:rsidRPr="00E929F2">
              <w:rPr>
                <w:color w:val="000000" w:themeColor="text1"/>
                <w:spacing w:val="6"/>
              </w:rPr>
              <w:t xml:space="preserve"> </w:t>
            </w:r>
            <w:r w:rsidRPr="00E929F2">
              <w:rPr>
                <w:color w:val="000000" w:themeColor="text1"/>
              </w:rPr>
              <w:t>pentru</w:t>
            </w:r>
            <w:r w:rsidRPr="00E929F2">
              <w:rPr>
                <w:color w:val="000000" w:themeColor="text1"/>
                <w:spacing w:val="6"/>
              </w:rPr>
              <w:t xml:space="preserve"> </w:t>
            </w:r>
            <w:r w:rsidRPr="00E929F2">
              <w:rPr>
                <w:color w:val="000000" w:themeColor="text1"/>
              </w:rPr>
              <w:t>„favorabil”</w:t>
            </w:r>
            <w:r w:rsidRPr="00E929F2">
              <w:rPr>
                <w:color w:val="000000" w:themeColor="text1"/>
                <w:spacing w:val="-57"/>
              </w:rPr>
              <w:t xml:space="preserve"> </w:t>
            </w:r>
            <w:r w:rsidRPr="00E929F2">
              <w:rPr>
                <w:color w:val="000000" w:themeColor="text1"/>
              </w:rPr>
              <w:t>sau</w:t>
            </w:r>
            <w:r w:rsidRPr="00E929F2">
              <w:rPr>
                <w:color w:val="000000" w:themeColor="text1"/>
                <w:spacing w:val="-1"/>
              </w:rPr>
              <w:t xml:space="preserve"> </w:t>
            </w:r>
            <w:r w:rsidRPr="00E929F2">
              <w:rPr>
                <w:color w:val="000000" w:themeColor="text1"/>
              </w:rPr>
              <w:t>„nefavorabil-rău”).</w:t>
            </w:r>
          </w:p>
          <w:p w14:paraId="3A6E6545" w14:textId="77777777" w:rsidR="00E929F2" w:rsidRPr="00E929F2" w:rsidRDefault="00E929F2" w:rsidP="00E929F2">
            <w:pPr>
              <w:widowControl w:val="0"/>
              <w:autoSpaceDE w:val="0"/>
              <w:autoSpaceDN w:val="0"/>
              <w:spacing w:before="1"/>
              <w:ind w:left="107"/>
              <w:jc w:val="both"/>
              <w:rPr>
                <w:color w:val="000000" w:themeColor="text1"/>
              </w:rPr>
            </w:pPr>
            <w:r w:rsidRPr="00E929F2">
              <w:rPr>
                <w:color w:val="000000" w:themeColor="text1"/>
              </w:rPr>
              <w:t>Informațiisuplimentare:</w:t>
            </w:r>
          </w:p>
          <w:p w14:paraId="382FEBB9" w14:textId="77777777" w:rsidR="00E929F2" w:rsidRPr="00E929F2" w:rsidRDefault="00E929F2" w:rsidP="009E63E5">
            <w:pPr>
              <w:widowControl w:val="0"/>
              <w:numPr>
                <w:ilvl w:val="1"/>
                <w:numId w:val="111"/>
              </w:numPr>
              <w:tabs>
                <w:tab w:val="left" w:pos="829"/>
              </w:tabs>
              <w:autoSpaceDE w:val="0"/>
              <w:autoSpaceDN w:val="0"/>
              <w:ind w:hanging="362"/>
              <w:jc w:val="both"/>
              <w:rPr>
                <w:color w:val="000000" w:themeColor="text1"/>
              </w:rPr>
            </w:pPr>
            <w:r w:rsidRPr="00E929F2">
              <w:rPr>
                <w:color w:val="000000" w:themeColor="text1"/>
              </w:rPr>
              <w:t>Matricea</w:t>
            </w:r>
            <w:r w:rsidRPr="00E929F2">
              <w:rPr>
                <w:color w:val="000000" w:themeColor="text1"/>
                <w:spacing w:val="37"/>
              </w:rPr>
              <w:t xml:space="preserve"> </w:t>
            </w:r>
            <w:r w:rsidRPr="00E929F2">
              <w:rPr>
                <w:color w:val="000000" w:themeColor="text1"/>
              </w:rPr>
              <w:t>de</w:t>
            </w:r>
            <w:r w:rsidRPr="00E929F2">
              <w:rPr>
                <w:color w:val="000000" w:themeColor="text1"/>
                <w:spacing w:val="96"/>
              </w:rPr>
              <w:t xml:space="preserve"> </w:t>
            </w:r>
            <w:r w:rsidRPr="00E929F2">
              <w:rPr>
                <w:color w:val="000000" w:themeColor="text1"/>
              </w:rPr>
              <w:t>evaluare</w:t>
            </w:r>
            <w:r w:rsidRPr="00E929F2">
              <w:rPr>
                <w:color w:val="000000" w:themeColor="text1"/>
                <w:spacing w:val="97"/>
              </w:rPr>
              <w:t xml:space="preserve"> </w:t>
            </w:r>
            <w:r w:rsidRPr="00E929F2">
              <w:rPr>
                <w:color w:val="000000" w:themeColor="text1"/>
              </w:rPr>
              <w:t>nu</w:t>
            </w:r>
            <w:r w:rsidRPr="00E929F2">
              <w:rPr>
                <w:color w:val="000000" w:themeColor="text1"/>
                <w:spacing w:val="97"/>
              </w:rPr>
              <w:t xml:space="preserve"> </w:t>
            </w:r>
            <w:r w:rsidRPr="00E929F2">
              <w:rPr>
                <w:color w:val="000000" w:themeColor="text1"/>
              </w:rPr>
              <w:t>include</w:t>
            </w:r>
            <w:r w:rsidRPr="00E929F2">
              <w:rPr>
                <w:color w:val="000000" w:themeColor="text1"/>
                <w:spacing w:val="97"/>
              </w:rPr>
              <w:t xml:space="preserve"> </w:t>
            </w:r>
            <w:r w:rsidRPr="00E929F2">
              <w:rPr>
                <w:color w:val="000000" w:themeColor="text1"/>
              </w:rPr>
              <w:t>criterii</w:t>
            </w:r>
            <w:r w:rsidRPr="00E929F2">
              <w:rPr>
                <w:color w:val="000000" w:themeColor="text1"/>
                <w:spacing w:val="97"/>
              </w:rPr>
              <w:t xml:space="preserve"> </w:t>
            </w:r>
            <w:r w:rsidRPr="00E929F2">
              <w:rPr>
                <w:color w:val="000000" w:themeColor="text1"/>
              </w:rPr>
              <w:t>explicite</w:t>
            </w:r>
            <w:r w:rsidRPr="00E929F2">
              <w:rPr>
                <w:color w:val="000000" w:themeColor="text1"/>
                <w:spacing w:val="96"/>
              </w:rPr>
              <w:t xml:space="preserve"> </w:t>
            </w:r>
            <w:r w:rsidRPr="00E929F2">
              <w:rPr>
                <w:color w:val="000000" w:themeColor="text1"/>
              </w:rPr>
              <w:t>pentru</w:t>
            </w:r>
            <w:r w:rsidRPr="00E929F2">
              <w:rPr>
                <w:color w:val="000000" w:themeColor="text1"/>
                <w:spacing w:val="97"/>
              </w:rPr>
              <w:t xml:space="preserve"> </w:t>
            </w:r>
            <w:r w:rsidRPr="00E929F2">
              <w:rPr>
                <w:color w:val="000000" w:themeColor="text1"/>
              </w:rPr>
              <w:t>statutul</w:t>
            </w:r>
          </w:p>
          <w:p w14:paraId="2172E203" w14:textId="77777777" w:rsidR="00E929F2" w:rsidRPr="00E929F2" w:rsidRDefault="00E929F2" w:rsidP="00E929F2">
            <w:pPr>
              <w:widowControl w:val="0"/>
              <w:autoSpaceDE w:val="0"/>
              <w:autoSpaceDN w:val="0"/>
              <w:ind w:left="828" w:right="95"/>
              <w:jc w:val="both"/>
              <w:rPr>
                <w:color w:val="000000" w:themeColor="text1"/>
              </w:rPr>
            </w:pPr>
            <w:r w:rsidRPr="00E929F2">
              <w:rPr>
                <w:color w:val="000000" w:themeColor="text1"/>
              </w:rPr>
              <w:t>„nefavorabil-inadecvat” al zonei acoperite de habitat. Cu toate acestea,</w:t>
            </w:r>
            <w:r w:rsidRPr="00E929F2">
              <w:rPr>
                <w:color w:val="000000" w:themeColor="text1"/>
                <w:spacing w:val="1"/>
              </w:rPr>
              <w:t xml:space="preserve"> </w:t>
            </w:r>
            <w:r w:rsidRPr="00E929F2">
              <w:rPr>
                <w:color w:val="000000" w:themeColor="text1"/>
              </w:rPr>
              <w:t>luând</w:t>
            </w:r>
            <w:r w:rsidRPr="00E929F2">
              <w:rPr>
                <w:color w:val="000000" w:themeColor="text1"/>
                <w:spacing w:val="1"/>
              </w:rPr>
              <w:t xml:space="preserve"> </w:t>
            </w:r>
            <w:r w:rsidRPr="00E929F2">
              <w:rPr>
                <w:color w:val="000000" w:themeColor="text1"/>
              </w:rPr>
              <w:t>în</w:t>
            </w:r>
            <w:r w:rsidRPr="00E929F2">
              <w:rPr>
                <w:color w:val="000000" w:themeColor="text1"/>
                <w:spacing w:val="1"/>
              </w:rPr>
              <w:t xml:space="preserve"> </w:t>
            </w:r>
            <w:r w:rsidRPr="00E929F2">
              <w:rPr>
                <w:color w:val="000000" w:themeColor="text1"/>
              </w:rPr>
              <w:t>considerare</w:t>
            </w:r>
            <w:r w:rsidRPr="00E929F2">
              <w:rPr>
                <w:color w:val="000000" w:themeColor="text1"/>
                <w:spacing w:val="1"/>
              </w:rPr>
              <w:t xml:space="preserve"> </w:t>
            </w:r>
            <w:r w:rsidRPr="00E929F2">
              <w:rPr>
                <w:color w:val="000000" w:themeColor="text1"/>
              </w:rPr>
              <w:t>criteriile</w:t>
            </w:r>
            <w:r w:rsidRPr="00E929F2">
              <w:rPr>
                <w:color w:val="000000" w:themeColor="text1"/>
                <w:spacing w:val="1"/>
              </w:rPr>
              <w:t xml:space="preserve"> </w:t>
            </w:r>
            <w:r w:rsidRPr="00E929F2">
              <w:rPr>
                <w:color w:val="000000" w:themeColor="text1"/>
              </w:rPr>
              <w:t>pentru</w:t>
            </w:r>
            <w:r w:rsidRPr="00E929F2">
              <w:rPr>
                <w:color w:val="000000" w:themeColor="text1"/>
                <w:spacing w:val="1"/>
              </w:rPr>
              <w:t xml:space="preserve"> </w:t>
            </w:r>
            <w:r w:rsidRPr="00E929F2">
              <w:rPr>
                <w:color w:val="000000" w:themeColor="text1"/>
              </w:rPr>
              <w:t>„favorabile”</w:t>
            </w:r>
            <w:r w:rsidRPr="00E929F2">
              <w:rPr>
                <w:color w:val="000000" w:themeColor="text1"/>
                <w:spacing w:val="1"/>
              </w:rPr>
              <w:t xml:space="preserve"> </w:t>
            </w:r>
            <w:r w:rsidRPr="00E929F2">
              <w:rPr>
                <w:color w:val="000000" w:themeColor="text1"/>
              </w:rPr>
              <w:t>și</w:t>
            </w:r>
            <w:r w:rsidRPr="00E929F2">
              <w:rPr>
                <w:color w:val="000000" w:themeColor="text1"/>
                <w:spacing w:val="1"/>
              </w:rPr>
              <w:t xml:space="preserve"> </w:t>
            </w:r>
            <w:r w:rsidRPr="00E929F2">
              <w:rPr>
                <w:color w:val="000000" w:themeColor="text1"/>
              </w:rPr>
              <w:t>„nefavorabile-</w:t>
            </w:r>
            <w:r w:rsidRPr="00E929F2">
              <w:rPr>
                <w:color w:val="000000" w:themeColor="text1"/>
                <w:spacing w:val="1"/>
              </w:rPr>
              <w:t xml:space="preserve"> </w:t>
            </w:r>
            <w:r w:rsidRPr="00E929F2">
              <w:rPr>
                <w:color w:val="000000" w:themeColor="text1"/>
              </w:rPr>
              <w:t>rele”,</w:t>
            </w:r>
            <w:r w:rsidRPr="00E929F2">
              <w:rPr>
                <w:color w:val="000000" w:themeColor="text1"/>
                <w:spacing w:val="24"/>
              </w:rPr>
              <w:t xml:space="preserve"> </w:t>
            </w:r>
            <w:r w:rsidRPr="00E929F2">
              <w:rPr>
                <w:color w:val="000000" w:themeColor="text1"/>
              </w:rPr>
              <w:t>statutul</w:t>
            </w:r>
            <w:r w:rsidRPr="00E929F2">
              <w:rPr>
                <w:color w:val="000000" w:themeColor="text1"/>
                <w:spacing w:val="24"/>
              </w:rPr>
              <w:t xml:space="preserve"> </w:t>
            </w:r>
            <w:r w:rsidRPr="00E929F2">
              <w:rPr>
                <w:color w:val="000000" w:themeColor="text1"/>
              </w:rPr>
              <w:t>zonei</w:t>
            </w:r>
            <w:r w:rsidRPr="00E929F2">
              <w:rPr>
                <w:color w:val="000000" w:themeColor="text1"/>
                <w:spacing w:val="22"/>
              </w:rPr>
              <w:t xml:space="preserve"> </w:t>
            </w:r>
            <w:r w:rsidRPr="00E929F2">
              <w:rPr>
                <w:color w:val="000000" w:themeColor="text1"/>
              </w:rPr>
              <w:t>acoperite</w:t>
            </w:r>
            <w:r w:rsidRPr="00E929F2">
              <w:rPr>
                <w:color w:val="000000" w:themeColor="text1"/>
                <w:spacing w:val="23"/>
              </w:rPr>
              <w:t xml:space="preserve"> </w:t>
            </w:r>
            <w:r w:rsidRPr="00E929F2">
              <w:rPr>
                <w:color w:val="000000" w:themeColor="text1"/>
              </w:rPr>
              <w:t>de</w:t>
            </w:r>
            <w:r w:rsidRPr="00E929F2">
              <w:rPr>
                <w:color w:val="000000" w:themeColor="text1"/>
                <w:spacing w:val="23"/>
              </w:rPr>
              <w:t xml:space="preserve"> </w:t>
            </w:r>
            <w:r w:rsidRPr="00E929F2">
              <w:rPr>
                <w:color w:val="000000" w:themeColor="text1"/>
              </w:rPr>
              <w:t>habitat</w:t>
            </w:r>
            <w:r w:rsidRPr="00E929F2">
              <w:rPr>
                <w:color w:val="000000" w:themeColor="text1"/>
                <w:spacing w:val="24"/>
              </w:rPr>
              <w:t xml:space="preserve"> </w:t>
            </w:r>
            <w:r w:rsidRPr="00E929F2">
              <w:rPr>
                <w:color w:val="000000" w:themeColor="text1"/>
              </w:rPr>
              <w:t>ar</w:t>
            </w:r>
            <w:r w:rsidRPr="00E929F2">
              <w:rPr>
                <w:color w:val="000000" w:themeColor="text1"/>
                <w:spacing w:val="23"/>
              </w:rPr>
              <w:t xml:space="preserve"> </w:t>
            </w:r>
            <w:r w:rsidRPr="00E929F2">
              <w:rPr>
                <w:color w:val="000000" w:themeColor="text1"/>
              </w:rPr>
              <w:t>trebui</w:t>
            </w:r>
            <w:r w:rsidRPr="00E929F2">
              <w:rPr>
                <w:color w:val="000000" w:themeColor="text1"/>
                <w:spacing w:val="24"/>
              </w:rPr>
              <w:t xml:space="preserve"> </w:t>
            </w:r>
            <w:r w:rsidRPr="00E929F2">
              <w:rPr>
                <w:color w:val="000000" w:themeColor="text1"/>
              </w:rPr>
              <w:t>considerat</w:t>
            </w:r>
          </w:p>
          <w:p w14:paraId="4F5563B5" w14:textId="77777777" w:rsidR="00E929F2" w:rsidRPr="00E929F2" w:rsidRDefault="00E929F2" w:rsidP="00E929F2">
            <w:pPr>
              <w:widowControl w:val="0"/>
              <w:autoSpaceDE w:val="0"/>
              <w:autoSpaceDN w:val="0"/>
              <w:spacing w:before="1"/>
              <w:ind w:left="828"/>
              <w:jc w:val="both"/>
              <w:rPr>
                <w:color w:val="000000" w:themeColor="text1"/>
              </w:rPr>
            </w:pPr>
            <w:r w:rsidRPr="00E929F2">
              <w:rPr>
                <w:color w:val="000000" w:themeColor="text1"/>
              </w:rPr>
              <w:t>„nefavorabil-inadecvat”</w:t>
            </w:r>
            <w:r w:rsidRPr="00E929F2">
              <w:rPr>
                <w:color w:val="000000" w:themeColor="text1"/>
                <w:spacing w:val="-3"/>
              </w:rPr>
              <w:t xml:space="preserve"> </w:t>
            </w:r>
            <w:r w:rsidRPr="00E929F2">
              <w:rPr>
                <w:color w:val="000000" w:themeColor="text1"/>
              </w:rPr>
              <w:t>dacă:</w:t>
            </w:r>
          </w:p>
          <w:p w14:paraId="19DEEFB2" w14:textId="77777777" w:rsidR="00E929F2" w:rsidRPr="00E929F2" w:rsidRDefault="00E929F2" w:rsidP="009E63E5">
            <w:pPr>
              <w:widowControl w:val="0"/>
              <w:numPr>
                <w:ilvl w:val="2"/>
                <w:numId w:val="111"/>
              </w:numPr>
              <w:tabs>
                <w:tab w:val="left" w:pos="1176"/>
                <w:tab w:val="left" w:pos="1177"/>
              </w:tabs>
              <w:autoSpaceDE w:val="0"/>
              <w:autoSpaceDN w:val="0"/>
              <w:spacing w:line="286" w:lineRule="exact"/>
              <w:ind w:hanging="361"/>
              <w:jc w:val="both"/>
              <w:rPr>
                <w:color w:val="000000" w:themeColor="text1"/>
              </w:rPr>
            </w:pPr>
            <w:r w:rsidRPr="00E929F2">
              <w:rPr>
                <w:color w:val="000000" w:themeColor="text1"/>
              </w:rPr>
              <w:t>o</w:t>
            </w:r>
            <w:r w:rsidRPr="00E929F2">
              <w:rPr>
                <w:color w:val="000000" w:themeColor="text1"/>
                <w:spacing w:val="-1"/>
              </w:rPr>
              <w:t xml:space="preserve"> </w:t>
            </w:r>
            <w:r w:rsidRPr="00E929F2">
              <w:rPr>
                <w:color w:val="000000" w:themeColor="text1"/>
              </w:rPr>
              <w:t>scădere</w:t>
            </w:r>
            <w:r w:rsidRPr="00E929F2">
              <w:rPr>
                <w:color w:val="000000" w:themeColor="text1"/>
                <w:spacing w:val="-2"/>
              </w:rPr>
              <w:t xml:space="preserve"> </w:t>
            </w:r>
            <w:r w:rsidRPr="00E929F2">
              <w:rPr>
                <w:color w:val="000000" w:themeColor="text1"/>
              </w:rPr>
              <w:t>echivalentă</w:t>
            </w:r>
            <w:r w:rsidRPr="00E929F2">
              <w:rPr>
                <w:color w:val="000000" w:themeColor="text1"/>
                <w:spacing w:val="-1"/>
              </w:rPr>
              <w:t xml:space="preserve"> </w:t>
            </w:r>
            <w:r w:rsidRPr="00E929F2">
              <w:rPr>
                <w:color w:val="000000" w:themeColor="text1"/>
              </w:rPr>
              <w:t>cu</w:t>
            </w:r>
            <w:r w:rsidRPr="00E929F2">
              <w:rPr>
                <w:color w:val="000000" w:themeColor="text1"/>
                <w:spacing w:val="1"/>
              </w:rPr>
              <w:t xml:space="preserve"> </w:t>
            </w:r>
            <w:r w:rsidRPr="00E929F2">
              <w:rPr>
                <w:color w:val="000000" w:themeColor="text1"/>
              </w:rPr>
              <w:t>o</w:t>
            </w:r>
            <w:r w:rsidRPr="00E929F2">
              <w:rPr>
                <w:color w:val="000000" w:themeColor="text1"/>
                <w:spacing w:val="-1"/>
              </w:rPr>
              <w:t xml:space="preserve"> </w:t>
            </w:r>
            <w:r w:rsidRPr="00E929F2">
              <w:rPr>
                <w:color w:val="000000" w:themeColor="text1"/>
              </w:rPr>
              <w:t>pierdere</w:t>
            </w:r>
            <w:r w:rsidRPr="00E929F2">
              <w:rPr>
                <w:color w:val="000000" w:themeColor="text1"/>
                <w:spacing w:val="-2"/>
              </w:rPr>
              <w:t xml:space="preserve"> </w:t>
            </w:r>
            <w:r w:rsidRPr="00E929F2">
              <w:rPr>
                <w:color w:val="000000" w:themeColor="text1"/>
              </w:rPr>
              <w:t>mai</w:t>
            </w:r>
            <w:r w:rsidRPr="00E929F2">
              <w:rPr>
                <w:color w:val="000000" w:themeColor="text1"/>
                <w:spacing w:val="-1"/>
              </w:rPr>
              <w:t xml:space="preserve"> </w:t>
            </w:r>
            <w:r w:rsidRPr="00E929F2">
              <w:rPr>
                <w:color w:val="000000" w:themeColor="text1"/>
              </w:rPr>
              <w:t>mică</w:t>
            </w:r>
            <w:r w:rsidRPr="00E929F2">
              <w:rPr>
                <w:color w:val="000000" w:themeColor="text1"/>
                <w:spacing w:val="-2"/>
              </w:rPr>
              <w:t xml:space="preserve"> </w:t>
            </w:r>
            <w:r w:rsidRPr="00E929F2">
              <w:rPr>
                <w:color w:val="000000" w:themeColor="text1"/>
              </w:rPr>
              <w:t>de</w:t>
            </w:r>
            <w:r w:rsidRPr="00E929F2">
              <w:rPr>
                <w:color w:val="000000" w:themeColor="text1"/>
                <w:spacing w:val="-2"/>
              </w:rPr>
              <w:t xml:space="preserve"> </w:t>
            </w:r>
            <w:r w:rsidRPr="00E929F2">
              <w:rPr>
                <w:color w:val="000000" w:themeColor="text1"/>
              </w:rPr>
              <w:t>1%</w:t>
            </w:r>
            <w:r w:rsidRPr="00E929F2">
              <w:rPr>
                <w:color w:val="000000" w:themeColor="text1"/>
                <w:spacing w:val="-1"/>
              </w:rPr>
              <w:t xml:space="preserve"> </w:t>
            </w:r>
            <w:r w:rsidRPr="00E929F2">
              <w:rPr>
                <w:color w:val="000000" w:themeColor="text1"/>
              </w:rPr>
              <w:t>pe</w:t>
            </w:r>
            <w:r w:rsidRPr="00E929F2">
              <w:rPr>
                <w:color w:val="000000" w:themeColor="text1"/>
                <w:spacing w:val="-2"/>
              </w:rPr>
              <w:t xml:space="preserve"> </w:t>
            </w:r>
            <w:r w:rsidRPr="00E929F2">
              <w:rPr>
                <w:color w:val="000000" w:themeColor="text1"/>
              </w:rPr>
              <w:t>an;</w:t>
            </w:r>
            <w:r w:rsidRPr="00E929F2">
              <w:rPr>
                <w:color w:val="000000" w:themeColor="text1"/>
                <w:spacing w:val="-1"/>
              </w:rPr>
              <w:t xml:space="preserve"> </w:t>
            </w:r>
            <w:r w:rsidRPr="00E929F2">
              <w:rPr>
                <w:color w:val="000000" w:themeColor="text1"/>
              </w:rPr>
              <w:t>sau</w:t>
            </w:r>
          </w:p>
          <w:p w14:paraId="189E4A72" w14:textId="77777777" w:rsidR="00E929F2" w:rsidRPr="00E929F2" w:rsidRDefault="00E929F2" w:rsidP="009E63E5">
            <w:pPr>
              <w:widowControl w:val="0"/>
              <w:numPr>
                <w:ilvl w:val="2"/>
                <w:numId w:val="111"/>
              </w:numPr>
              <w:tabs>
                <w:tab w:val="left" w:pos="1176"/>
                <w:tab w:val="left" w:pos="1177"/>
              </w:tabs>
              <w:autoSpaceDE w:val="0"/>
              <w:autoSpaceDN w:val="0"/>
              <w:spacing w:before="2" w:line="230" w:lineRule="auto"/>
              <w:ind w:right="102"/>
              <w:jc w:val="both"/>
              <w:rPr>
                <w:color w:val="000000" w:themeColor="text1"/>
              </w:rPr>
            </w:pPr>
            <w:r w:rsidRPr="00E929F2">
              <w:rPr>
                <w:color w:val="000000" w:themeColor="text1"/>
              </w:rPr>
              <w:t>suprafața</w:t>
            </w:r>
            <w:r w:rsidRPr="00E929F2">
              <w:rPr>
                <w:color w:val="000000" w:themeColor="text1"/>
                <w:spacing w:val="19"/>
              </w:rPr>
              <w:t xml:space="preserve"> </w:t>
            </w:r>
            <w:r w:rsidRPr="00E929F2">
              <w:rPr>
                <w:color w:val="000000" w:themeColor="text1"/>
              </w:rPr>
              <w:t>acoperită</w:t>
            </w:r>
            <w:r w:rsidRPr="00E929F2">
              <w:rPr>
                <w:color w:val="000000" w:themeColor="text1"/>
                <w:spacing w:val="17"/>
              </w:rPr>
              <w:t xml:space="preserve"> </w:t>
            </w:r>
            <w:r w:rsidRPr="00E929F2">
              <w:rPr>
                <w:color w:val="000000" w:themeColor="text1"/>
              </w:rPr>
              <w:t>de</w:t>
            </w:r>
            <w:r w:rsidRPr="00E929F2">
              <w:rPr>
                <w:color w:val="000000" w:themeColor="text1"/>
                <w:spacing w:val="19"/>
              </w:rPr>
              <w:t xml:space="preserve"> </w:t>
            </w:r>
            <w:r w:rsidRPr="00E929F2">
              <w:rPr>
                <w:color w:val="000000" w:themeColor="text1"/>
              </w:rPr>
              <w:t>habitat</w:t>
            </w:r>
            <w:r w:rsidRPr="00E929F2">
              <w:rPr>
                <w:color w:val="000000" w:themeColor="text1"/>
                <w:spacing w:val="18"/>
              </w:rPr>
              <w:t xml:space="preserve"> </w:t>
            </w:r>
            <w:r w:rsidRPr="00E929F2">
              <w:rPr>
                <w:color w:val="000000" w:themeColor="text1"/>
              </w:rPr>
              <w:t>(câmpul</w:t>
            </w:r>
            <w:r w:rsidRPr="00E929F2">
              <w:rPr>
                <w:color w:val="000000" w:themeColor="text1"/>
                <w:spacing w:val="18"/>
              </w:rPr>
              <w:t xml:space="preserve"> </w:t>
            </w:r>
            <w:r w:rsidRPr="00E929F2">
              <w:rPr>
                <w:color w:val="000000" w:themeColor="text1"/>
              </w:rPr>
              <w:t>5.2)</w:t>
            </w:r>
            <w:r w:rsidRPr="00E929F2">
              <w:rPr>
                <w:color w:val="000000" w:themeColor="text1"/>
                <w:spacing w:val="19"/>
              </w:rPr>
              <w:t xml:space="preserve"> </w:t>
            </w:r>
            <w:r w:rsidRPr="00E929F2">
              <w:rPr>
                <w:color w:val="000000" w:themeColor="text1"/>
              </w:rPr>
              <w:t>este</w:t>
            </w:r>
            <w:r w:rsidRPr="00E929F2">
              <w:rPr>
                <w:color w:val="000000" w:themeColor="text1"/>
                <w:spacing w:val="17"/>
              </w:rPr>
              <w:t xml:space="preserve"> </w:t>
            </w:r>
            <w:r w:rsidRPr="00E929F2">
              <w:rPr>
                <w:color w:val="000000" w:themeColor="text1"/>
              </w:rPr>
              <w:t>sub</w:t>
            </w:r>
            <w:r w:rsidRPr="00E929F2">
              <w:rPr>
                <w:color w:val="000000" w:themeColor="text1"/>
                <w:spacing w:val="18"/>
              </w:rPr>
              <w:t xml:space="preserve"> </w:t>
            </w:r>
            <w:r w:rsidRPr="00E929F2">
              <w:rPr>
                <w:color w:val="000000" w:themeColor="text1"/>
              </w:rPr>
              <w:t>10%</w:t>
            </w:r>
            <w:r w:rsidRPr="00E929F2">
              <w:rPr>
                <w:color w:val="000000" w:themeColor="text1"/>
                <w:spacing w:val="17"/>
              </w:rPr>
              <w:t xml:space="preserve"> </w:t>
            </w:r>
            <w:r w:rsidRPr="00E929F2">
              <w:rPr>
                <w:color w:val="000000" w:themeColor="text1"/>
              </w:rPr>
              <w:t>sub</w:t>
            </w:r>
            <w:r w:rsidRPr="00E929F2">
              <w:rPr>
                <w:color w:val="000000" w:themeColor="text1"/>
                <w:spacing w:val="-57"/>
              </w:rPr>
              <w:t xml:space="preserve"> </w:t>
            </w:r>
            <w:r w:rsidRPr="00E929F2">
              <w:rPr>
                <w:color w:val="000000" w:themeColor="text1"/>
              </w:rPr>
              <w:t>suprafața</w:t>
            </w:r>
            <w:r w:rsidRPr="00E929F2">
              <w:rPr>
                <w:color w:val="000000" w:themeColor="text1"/>
                <w:spacing w:val="-1"/>
              </w:rPr>
              <w:t xml:space="preserve"> </w:t>
            </w:r>
            <w:r w:rsidRPr="00E929F2">
              <w:rPr>
                <w:color w:val="000000" w:themeColor="text1"/>
              </w:rPr>
              <w:t>de</w:t>
            </w:r>
            <w:r w:rsidRPr="00E929F2">
              <w:rPr>
                <w:color w:val="000000" w:themeColor="text1"/>
                <w:spacing w:val="-1"/>
              </w:rPr>
              <w:t xml:space="preserve"> </w:t>
            </w:r>
            <w:r w:rsidRPr="00E929F2">
              <w:rPr>
                <w:color w:val="000000" w:themeColor="text1"/>
              </w:rPr>
              <w:t>referință</w:t>
            </w:r>
            <w:r w:rsidRPr="00E929F2">
              <w:rPr>
                <w:color w:val="000000" w:themeColor="text1"/>
                <w:spacing w:val="-1"/>
              </w:rPr>
              <w:t xml:space="preserve"> </w:t>
            </w:r>
            <w:r w:rsidRPr="00E929F2">
              <w:rPr>
                <w:color w:val="000000" w:themeColor="text1"/>
              </w:rPr>
              <w:t>favorabilă</w:t>
            </w:r>
            <w:r w:rsidRPr="00E929F2">
              <w:rPr>
                <w:color w:val="000000" w:themeColor="text1"/>
                <w:spacing w:val="-2"/>
              </w:rPr>
              <w:t xml:space="preserve"> </w:t>
            </w:r>
            <w:r w:rsidRPr="00E929F2">
              <w:rPr>
                <w:color w:val="000000" w:themeColor="text1"/>
              </w:rPr>
              <w:t>(câmpul</w:t>
            </w:r>
            <w:r w:rsidRPr="00E929F2">
              <w:rPr>
                <w:color w:val="000000" w:themeColor="text1"/>
                <w:spacing w:val="3"/>
              </w:rPr>
              <w:t xml:space="preserve"> </w:t>
            </w:r>
            <w:r w:rsidRPr="00E929F2">
              <w:rPr>
                <w:color w:val="000000" w:themeColor="text1"/>
              </w:rPr>
              <w:t>5.13); sau</w:t>
            </w:r>
          </w:p>
          <w:p w14:paraId="0B9AB588" w14:textId="77777777" w:rsidR="00E929F2" w:rsidRPr="00E929F2" w:rsidRDefault="00E929F2" w:rsidP="009E63E5">
            <w:pPr>
              <w:widowControl w:val="0"/>
              <w:numPr>
                <w:ilvl w:val="2"/>
                <w:numId w:val="111"/>
              </w:numPr>
              <w:tabs>
                <w:tab w:val="left" w:pos="1176"/>
                <w:tab w:val="left" w:pos="1177"/>
              </w:tabs>
              <w:autoSpaceDE w:val="0"/>
              <w:autoSpaceDN w:val="0"/>
              <w:spacing w:before="2" w:line="287" w:lineRule="exact"/>
              <w:ind w:hanging="361"/>
              <w:jc w:val="both"/>
              <w:rPr>
                <w:color w:val="000000" w:themeColor="text1"/>
              </w:rPr>
            </w:pPr>
            <w:r w:rsidRPr="00E929F2">
              <w:rPr>
                <w:color w:val="000000" w:themeColor="text1"/>
              </w:rPr>
              <w:t>pierderi</w:t>
            </w:r>
            <w:r w:rsidRPr="00E929F2">
              <w:rPr>
                <w:color w:val="000000" w:themeColor="text1"/>
                <w:spacing w:val="-1"/>
              </w:rPr>
              <w:t xml:space="preserve"> </w:t>
            </w:r>
            <w:r w:rsidRPr="00E929F2">
              <w:rPr>
                <w:color w:val="000000" w:themeColor="text1"/>
              </w:rPr>
              <w:t>mici</w:t>
            </w:r>
            <w:r w:rsidRPr="00E929F2">
              <w:rPr>
                <w:color w:val="000000" w:themeColor="text1"/>
                <w:spacing w:val="-1"/>
              </w:rPr>
              <w:t xml:space="preserve"> </w:t>
            </w:r>
            <w:r w:rsidRPr="00E929F2">
              <w:rPr>
                <w:color w:val="000000" w:themeColor="text1"/>
              </w:rPr>
              <w:t>în modelul</w:t>
            </w:r>
            <w:r w:rsidRPr="00E929F2">
              <w:rPr>
                <w:color w:val="000000" w:themeColor="text1"/>
                <w:spacing w:val="-1"/>
              </w:rPr>
              <w:t xml:space="preserve"> </w:t>
            </w:r>
            <w:r w:rsidRPr="00E929F2">
              <w:rPr>
                <w:color w:val="000000" w:themeColor="text1"/>
              </w:rPr>
              <w:t>de distribuție</w:t>
            </w:r>
            <w:r w:rsidRPr="00E929F2">
              <w:rPr>
                <w:color w:val="000000" w:themeColor="text1"/>
                <w:spacing w:val="-2"/>
              </w:rPr>
              <w:t xml:space="preserve"> </w:t>
            </w:r>
            <w:r w:rsidRPr="00E929F2">
              <w:rPr>
                <w:color w:val="000000" w:themeColor="text1"/>
              </w:rPr>
              <w:t>în</w:t>
            </w:r>
            <w:r w:rsidRPr="00E929F2">
              <w:rPr>
                <w:color w:val="000000" w:themeColor="text1"/>
                <w:spacing w:val="-1"/>
              </w:rPr>
              <w:t xml:space="preserve"> </w:t>
            </w:r>
            <w:r w:rsidRPr="00E929F2">
              <w:rPr>
                <w:color w:val="000000" w:themeColor="text1"/>
              </w:rPr>
              <w:t>raza</w:t>
            </w:r>
            <w:r w:rsidRPr="00E929F2">
              <w:rPr>
                <w:color w:val="000000" w:themeColor="text1"/>
                <w:spacing w:val="-1"/>
              </w:rPr>
              <w:t xml:space="preserve"> </w:t>
            </w:r>
            <w:r w:rsidRPr="00E929F2">
              <w:rPr>
                <w:color w:val="000000" w:themeColor="text1"/>
              </w:rPr>
              <w:t>de</w:t>
            </w:r>
            <w:r w:rsidRPr="00E929F2">
              <w:rPr>
                <w:color w:val="000000" w:themeColor="text1"/>
                <w:spacing w:val="-2"/>
              </w:rPr>
              <w:t xml:space="preserve"> </w:t>
            </w:r>
            <w:r w:rsidRPr="00E929F2">
              <w:rPr>
                <w:color w:val="000000" w:themeColor="text1"/>
              </w:rPr>
              <w:t>acțiune.</w:t>
            </w:r>
          </w:p>
          <w:p w14:paraId="4932EC23" w14:textId="77777777" w:rsidR="00E929F2" w:rsidRPr="00E929F2" w:rsidRDefault="00E929F2" w:rsidP="009E63E5">
            <w:pPr>
              <w:widowControl w:val="0"/>
              <w:numPr>
                <w:ilvl w:val="1"/>
                <w:numId w:val="111"/>
              </w:numPr>
              <w:tabs>
                <w:tab w:val="left" w:pos="829"/>
              </w:tabs>
              <w:autoSpaceDE w:val="0"/>
              <w:autoSpaceDN w:val="0"/>
              <w:spacing w:line="270" w:lineRule="exact"/>
              <w:ind w:hanging="362"/>
              <w:jc w:val="both"/>
              <w:rPr>
                <w:color w:val="000000" w:themeColor="text1"/>
              </w:rPr>
            </w:pPr>
            <w:r w:rsidRPr="00E929F2">
              <w:rPr>
                <w:color w:val="000000" w:themeColor="text1"/>
              </w:rPr>
              <w:t>Pentru</w:t>
            </w:r>
            <w:r w:rsidRPr="00E929F2">
              <w:rPr>
                <w:color w:val="000000" w:themeColor="text1"/>
                <w:spacing w:val="26"/>
              </w:rPr>
              <w:t xml:space="preserve"> </w:t>
            </w:r>
            <w:r w:rsidRPr="00E929F2">
              <w:rPr>
                <w:color w:val="000000" w:themeColor="text1"/>
              </w:rPr>
              <w:t>evaluarea</w:t>
            </w:r>
            <w:r w:rsidRPr="00E929F2">
              <w:rPr>
                <w:color w:val="000000" w:themeColor="text1"/>
                <w:spacing w:val="27"/>
              </w:rPr>
              <w:t xml:space="preserve"> </w:t>
            </w:r>
            <w:r w:rsidRPr="00E929F2">
              <w:rPr>
                <w:color w:val="000000" w:themeColor="text1"/>
              </w:rPr>
              <w:t>stării</w:t>
            </w:r>
            <w:r w:rsidRPr="00E929F2">
              <w:rPr>
                <w:color w:val="000000" w:themeColor="text1"/>
                <w:spacing w:val="27"/>
              </w:rPr>
              <w:t xml:space="preserve"> </w:t>
            </w:r>
            <w:r w:rsidRPr="00E929F2">
              <w:rPr>
                <w:color w:val="000000" w:themeColor="text1"/>
              </w:rPr>
              <w:t>trebuie</w:t>
            </w:r>
            <w:r w:rsidRPr="00E929F2">
              <w:rPr>
                <w:color w:val="000000" w:themeColor="text1"/>
                <w:spacing w:val="27"/>
              </w:rPr>
              <w:t xml:space="preserve"> </w:t>
            </w:r>
            <w:r w:rsidRPr="00E929F2">
              <w:rPr>
                <w:color w:val="000000" w:themeColor="text1"/>
              </w:rPr>
              <w:t>utilizat</w:t>
            </w:r>
            <w:r w:rsidRPr="00E929F2">
              <w:rPr>
                <w:color w:val="000000" w:themeColor="text1"/>
                <w:spacing w:val="28"/>
              </w:rPr>
              <w:t xml:space="preserve"> </w:t>
            </w:r>
            <w:r w:rsidRPr="00E929F2">
              <w:rPr>
                <w:color w:val="000000" w:themeColor="text1"/>
              </w:rPr>
              <w:t>trendul</w:t>
            </w:r>
            <w:r w:rsidRPr="00E929F2">
              <w:rPr>
                <w:color w:val="000000" w:themeColor="text1"/>
                <w:spacing w:val="28"/>
              </w:rPr>
              <w:t xml:space="preserve"> </w:t>
            </w:r>
            <w:r w:rsidRPr="00E929F2">
              <w:rPr>
                <w:color w:val="000000" w:themeColor="text1"/>
              </w:rPr>
              <w:t>pe</w:t>
            </w:r>
            <w:r w:rsidRPr="00E929F2">
              <w:rPr>
                <w:color w:val="000000" w:themeColor="text1"/>
                <w:spacing w:val="26"/>
              </w:rPr>
              <w:t xml:space="preserve"> </w:t>
            </w:r>
            <w:r w:rsidRPr="00E929F2">
              <w:rPr>
                <w:color w:val="000000" w:themeColor="text1"/>
              </w:rPr>
              <w:t>perioada</w:t>
            </w:r>
            <w:r w:rsidRPr="00E929F2">
              <w:rPr>
                <w:color w:val="000000" w:themeColor="text1"/>
                <w:spacing w:val="26"/>
              </w:rPr>
              <w:t xml:space="preserve"> </w:t>
            </w:r>
            <w:r w:rsidRPr="00E929F2">
              <w:rPr>
                <w:color w:val="000000" w:themeColor="text1"/>
              </w:rPr>
              <w:t>de</w:t>
            </w:r>
            <w:r w:rsidRPr="00E929F2">
              <w:rPr>
                <w:color w:val="000000" w:themeColor="text1"/>
                <w:spacing w:val="26"/>
              </w:rPr>
              <w:t xml:space="preserve"> </w:t>
            </w:r>
            <w:r w:rsidRPr="00E929F2">
              <w:rPr>
                <w:color w:val="000000" w:themeColor="text1"/>
              </w:rPr>
              <w:t>tendință</w:t>
            </w:r>
          </w:p>
          <w:p w14:paraId="4199CA5D" w14:textId="77777777" w:rsidR="00E929F2" w:rsidRPr="00E929F2" w:rsidRDefault="00E929F2" w:rsidP="00E929F2">
            <w:pPr>
              <w:widowControl w:val="0"/>
              <w:autoSpaceDE w:val="0"/>
              <w:autoSpaceDN w:val="0"/>
              <w:spacing w:line="272" w:lineRule="exact"/>
              <w:ind w:left="828"/>
              <w:jc w:val="both"/>
              <w:rPr>
                <w:color w:val="000000" w:themeColor="text1"/>
              </w:rPr>
            </w:pPr>
            <w:r w:rsidRPr="00E929F2">
              <w:rPr>
                <w:color w:val="000000" w:themeColor="text1"/>
              </w:rPr>
              <w:t>pe</w:t>
            </w:r>
            <w:r w:rsidRPr="00E929F2">
              <w:rPr>
                <w:color w:val="000000" w:themeColor="text1"/>
                <w:spacing w:val="-2"/>
              </w:rPr>
              <w:t xml:space="preserve"> </w:t>
            </w:r>
            <w:r w:rsidRPr="00E929F2">
              <w:rPr>
                <w:color w:val="000000" w:themeColor="text1"/>
              </w:rPr>
              <w:t>termen</w:t>
            </w:r>
            <w:r w:rsidRPr="00E929F2">
              <w:rPr>
                <w:color w:val="000000" w:themeColor="text1"/>
                <w:spacing w:val="-1"/>
              </w:rPr>
              <w:t xml:space="preserve"> </w:t>
            </w:r>
            <w:r w:rsidRPr="00E929F2">
              <w:rPr>
                <w:color w:val="000000" w:themeColor="text1"/>
              </w:rPr>
              <w:t>scurt (câmpul</w:t>
            </w:r>
            <w:r w:rsidRPr="00E929F2">
              <w:rPr>
                <w:color w:val="000000" w:themeColor="text1"/>
                <w:spacing w:val="-1"/>
              </w:rPr>
              <w:t xml:space="preserve"> </w:t>
            </w:r>
            <w:r w:rsidRPr="00E929F2">
              <w:rPr>
                <w:color w:val="000000" w:themeColor="text1"/>
              </w:rPr>
              <w:t>5.5).</w:t>
            </w:r>
          </w:p>
        </w:tc>
      </w:tr>
      <w:tr w:rsidR="00E929F2" w:rsidRPr="00E929F2" w14:paraId="58C7E4DA" w14:textId="77777777" w:rsidTr="0049533B">
        <w:trPr>
          <w:trHeight w:val="2774"/>
        </w:trPr>
        <w:tc>
          <w:tcPr>
            <w:tcW w:w="1915" w:type="dxa"/>
          </w:tcPr>
          <w:p w14:paraId="3013053D" w14:textId="77777777" w:rsidR="00E929F2" w:rsidRPr="00E929F2" w:rsidRDefault="00E929F2" w:rsidP="00E929F2">
            <w:pPr>
              <w:widowControl w:val="0"/>
              <w:autoSpaceDE w:val="0"/>
              <w:autoSpaceDN w:val="0"/>
              <w:jc w:val="both"/>
              <w:rPr>
                <w:color w:val="000000" w:themeColor="text1"/>
              </w:rPr>
            </w:pPr>
          </w:p>
          <w:p w14:paraId="64BCB6CC" w14:textId="77777777" w:rsidR="00E929F2" w:rsidRPr="00E929F2" w:rsidRDefault="00E929F2" w:rsidP="00E929F2">
            <w:pPr>
              <w:widowControl w:val="0"/>
              <w:autoSpaceDE w:val="0"/>
              <w:autoSpaceDN w:val="0"/>
              <w:jc w:val="both"/>
              <w:rPr>
                <w:color w:val="000000" w:themeColor="text1"/>
              </w:rPr>
            </w:pPr>
          </w:p>
          <w:p w14:paraId="36BD8E72" w14:textId="77777777" w:rsidR="00E929F2" w:rsidRPr="00E929F2" w:rsidRDefault="00E929F2" w:rsidP="00E929F2">
            <w:pPr>
              <w:widowControl w:val="0"/>
              <w:autoSpaceDE w:val="0"/>
              <w:autoSpaceDN w:val="0"/>
              <w:jc w:val="both"/>
              <w:rPr>
                <w:color w:val="000000" w:themeColor="text1"/>
              </w:rPr>
            </w:pPr>
          </w:p>
          <w:p w14:paraId="210E7931" w14:textId="77777777" w:rsidR="00E929F2" w:rsidRPr="00E929F2" w:rsidRDefault="00E929F2" w:rsidP="00E929F2">
            <w:pPr>
              <w:widowControl w:val="0"/>
              <w:autoSpaceDE w:val="0"/>
              <w:autoSpaceDN w:val="0"/>
              <w:spacing w:before="198"/>
              <w:ind w:left="108" w:right="154"/>
              <w:jc w:val="both"/>
              <w:rPr>
                <w:color w:val="000000" w:themeColor="text1"/>
              </w:rPr>
            </w:pPr>
            <w:r w:rsidRPr="00E929F2">
              <w:rPr>
                <w:color w:val="000000" w:themeColor="text1"/>
                <w:spacing w:val="-1"/>
              </w:rPr>
              <w:t>Nefavorabil-rău</w:t>
            </w:r>
            <w:r w:rsidRPr="00E929F2">
              <w:rPr>
                <w:color w:val="000000" w:themeColor="text1"/>
                <w:spacing w:val="-57"/>
              </w:rPr>
              <w:t xml:space="preserve"> </w:t>
            </w:r>
            <w:r w:rsidRPr="00E929F2">
              <w:rPr>
                <w:color w:val="000000" w:themeColor="text1"/>
              </w:rPr>
              <w:t>(U2)</w:t>
            </w:r>
          </w:p>
        </w:tc>
        <w:tc>
          <w:tcPr>
            <w:tcW w:w="8255" w:type="dxa"/>
          </w:tcPr>
          <w:p w14:paraId="434C151B" w14:textId="77777777" w:rsidR="00E929F2" w:rsidRPr="00E929F2" w:rsidRDefault="00E929F2" w:rsidP="00E929F2">
            <w:pPr>
              <w:widowControl w:val="0"/>
              <w:autoSpaceDE w:val="0"/>
              <w:autoSpaceDN w:val="0"/>
              <w:spacing w:line="260" w:lineRule="exact"/>
              <w:ind w:left="107"/>
              <w:jc w:val="both"/>
              <w:rPr>
                <w:color w:val="000000" w:themeColor="text1"/>
              </w:rPr>
            </w:pPr>
            <w:r w:rsidRPr="00E929F2">
              <w:rPr>
                <w:color w:val="000000" w:themeColor="text1"/>
              </w:rPr>
              <w:t>Conform</w:t>
            </w:r>
            <w:r w:rsidRPr="00E929F2">
              <w:rPr>
                <w:color w:val="000000" w:themeColor="text1"/>
                <w:spacing w:val="40"/>
              </w:rPr>
              <w:t xml:space="preserve"> </w:t>
            </w:r>
            <w:r w:rsidRPr="00E929F2">
              <w:rPr>
                <w:color w:val="000000" w:themeColor="text1"/>
              </w:rPr>
              <w:t>matricei</w:t>
            </w:r>
            <w:r w:rsidRPr="00E929F2">
              <w:rPr>
                <w:color w:val="000000" w:themeColor="text1"/>
                <w:spacing w:val="41"/>
              </w:rPr>
              <w:t xml:space="preserve"> </w:t>
            </w:r>
            <w:r w:rsidRPr="00E929F2">
              <w:rPr>
                <w:color w:val="000000" w:themeColor="text1"/>
              </w:rPr>
              <w:t>de</w:t>
            </w:r>
            <w:r w:rsidRPr="00E929F2">
              <w:rPr>
                <w:color w:val="000000" w:themeColor="text1"/>
                <w:spacing w:val="39"/>
              </w:rPr>
              <w:t xml:space="preserve"> </w:t>
            </w:r>
            <w:r w:rsidRPr="00E929F2">
              <w:rPr>
                <w:color w:val="000000" w:themeColor="text1"/>
              </w:rPr>
              <w:t>evaluare</w:t>
            </w:r>
            <w:r w:rsidRPr="00E929F2">
              <w:rPr>
                <w:color w:val="000000" w:themeColor="text1"/>
                <w:spacing w:val="38"/>
              </w:rPr>
              <w:t xml:space="preserve"> </w:t>
            </w:r>
            <w:r w:rsidRPr="00E929F2">
              <w:rPr>
                <w:color w:val="000000" w:themeColor="text1"/>
              </w:rPr>
              <w:t>(anexa</w:t>
            </w:r>
            <w:r w:rsidRPr="00E929F2">
              <w:rPr>
                <w:color w:val="000000" w:themeColor="text1"/>
                <w:spacing w:val="39"/>
              </w:rPr>
              <w:t xml:space="preserve"> </w:t>
            </w:r>
            <w:r w:rsidRPr="00E929F2">
              <w:rPr>
                <w:color w:val="000000" w:themeColor="text1"/>
              </w:rPr>
              <w:t>E),</w:t>
            </w:r>
            <w:r w:rsidRPr="00E929F2">
              <w:rPr>
                <w:color w:val="000000" w:themeColor="text1"/>
                <w:spacing w:val="40"/>
              </w:rPr>
              <w:t xml:space="preserve"> </w:t>
            </w:r>
            <w:r w:rsidRPr="00E929F2">
              <w:rPr>
                <w:color w:val="000000" w:themeColor="text1"/>
              </w:rPr>
              <w:t>statutul</w:t>
            </w:r>
            <w:r w:rsidRPr="00E929F2">
              <w:rPr>
                <w:color w:val="000000" w:themeColor="text1"/>
                <w:spacing w:val="41"/>
              </w:rPr>
              <w:t xml:space="preserve"> </w:t>
            </w:r>
            <w:r w:rsidRPr="00E929F2">
              <w:rPr>
                <w:color w:val="000000" w:themeColor="text1"/>
              </w:rPr>
              <w:t>zonei</w:t>
            </w:r>
            <w:r w:rsidRPr="00E929F2">
              <w:rPr>
                <w:color w:val="000000" w:themeColor="text1"/>
                <w:spacing w:val="40"/>
              </w:rPr>
              <w:t xml:space="preserve"> </w:t>
            </w:r>
            <w:r w:rsidRPr="00E929F2">
              <w:rPr>
                <w:color w:val="000000" w:themeColor="text1"/>
              </w:rPr>
              <w:t>acoperite</w:t>
            </w:r>
            <w:r w:rsidRPr="00E929F2">
              <w:rPr>
                <w:color w:val="000000" w:themeColor="text1"/>
                <w:spacing w:val="39"/>
              </w:rPr>
              <w:t xml:space="preserve"> </w:t>
            </w:r>
            <w:r w:rsidRPr="00E929F2">
              <w:rPr>
                <w:color w:val="000000" w:themeColor="text1"/>
              </w:rPr>
              <w:t>de</w:t>
            </w:r>
            <w:r w:rsidRPr="00E929F2">
              <w:rPr>
                <w:color w:val="000000" w:themeColor="text1"/>
                <w:spacing w:val="39"/>
              </w:rPr>
              <w:t xml:space="preserve"> </w:t>
            </w:r>
            <w:r w:rsidRPr="00E929F2">
              <w:rPr>
                <w:color w:val="000000" w:themeColor="text1"/>
              </w:rPr>
              <w:t>habitat</w:t>
            </w:r>
          </w:p>
          <w:p w14:paraId="58D29183" w14:textId="77777777" w:rsidR="00E929F2" w:rsidRPr="00E929F2" w:rsidRDefault="00E929F2" w:rsidP="00E929F2">
            <w:pPr>
              <w:widowControl w:val="0"/>
              <w:autoSpaceDE w:val="0"/>
              <w:autoSpaceDN w:val="0"/>
              <w:ind w:left="107"/>
              <w:jc w:val="both"/>
              <w:rPr>
                <w:color w:val="000000" w:themeColor="text1"/>
              </w:rPr>
            </w:pPr>
            <w:r w:rsidRPr="00E929F2">
              <w:rPr>
                <w:color w:val="000000" w:themeColor="text1"/>
              </w:rPr>
              <w:t>este</w:t>
            </w:r>
            <w:r w:rsidRPr="00E929F2">
              <w:rPr>
                <w:color w:val="000000" w:themeColor="text1"/>
                <w:spacing w:val="-3"/>
              </w:rPr>
              <w:t xml:space="preserve"> </w:t>
            </w:r>
            <w:r w:rsidRPr="00E929F2">
              <w:rPr>
                <w:color w:val="000000" w:themeColor="text1"/>
              </w:rPr>
              <w:t>„nefavorabil-rău”</w:t>
            </w:r>
            <w:r w:rsidRPr="00E929F2">
              <w:rPr>
                <w:color w:val="000000" w:themeColor="text1"/>
                <w:spacing w:val="-2"/>
              </w:rPr>
              <w:t xml:space="preserve"> </w:t>
            </w:r>
            <w:r w:rsidRPr="00E929F2">
              <w:rPr>
                <w:color w:val="000000" w:themeColor="text1"/>
              </w:rPr>
              <w:t>dacă:</w:t>
            </w:r>
          </w:p>
          <w:p w14:paraId="21252D3A" w14:textId="77777777" w:rsidR="00E929F2" w:rsidRPr="00E929F2" w:rsidRDefault="00E929F2" w:rsidP="009E63E5">
            <w:pPr>
              <w:widowControl w:val="0"/>
              <w:numPr>
                <w:ilvl w:val="0"/>
                <w:numId w:val="110"/>
              </w:numPr>
              <w:tabs>
                <w:tab w:val="left" w:pos="828"/>
                <w:tab w:val="left" w:pos="829"/>
              </w:tabs>
              <w:autoSpaceDE w:val="0"/>
              <w:autoSpaceDN w:val="0"/>
              <w:spacing w:before="9" w:line="230" w:lineRule="auto"/>
              <w:ind w:right="103"/>
              <w:jc w:val="both"/>
              <w:rPr>
                <w:color w:val="000000" w:themeColor="text1"/>
              </w:rPr>
            </w:pPr>
            <w:r w:rsidRPr="00E929F2">
              <w:rPr>
                <w:color w:val="000000" w:themeColor="text1"/>
              </w:rPr>
              <w:t>o</w:t>
            </w:r>
            <w:r w:rsidRPr="00E929F2">
              <w:rPr>
                <w:color w:val="000000" w:themeColor="text1"/>
                <w:spacing w:val="3"/>
              </w:rPr>
              <w:t xml:space="preserve"> </w:t>
            </w:r>
            <w:r w:rsidRPr="00E929F2">
              <w:rPr>
                <w:color w:val="000000" w:themeColor="text1"/>
              </w:rPr>
              <w:t>scădere</w:t>
            </w:r>
            <w:r w:rsidRPr="00E929F2">
              <w:rPr>
                <w:color w:val="000000" w:themeColor="text1"/>
                <w:spacing w:val="2"/>
              </w:rPr>
              <w:t xml:space="preserve"> </w:t>
            </w:r>
            <w:r w:rsidRPr="00E929F2">
              <w:rPr>
                <w:color w:val="000000" w:themeColor="text1"/>
              </w:rPr>
              <w:t>mare</w:t>
            </w:r>
            <w:r w:rsidRPr="00E929F2">
              <w:rPr>
                <w:color w:val="000000" w:themeColor="text1"/>
                <w:spacing w:val="5"/>
              </w:rPr>
              <w:t xml:space="preserve"> </w:t>
            </w:r>
            <w:r w:rsidRPr="00E929F2">
              <w:rPr>
                <w:color w:val="000000" w:themeColor="text1"/>
              </w:rPr>
              <w:t>echivalentă</w:t>
            </w:r>
            <w:r w:rsidRPr="00E929F2">
              <w:rPr>
                <w:color w:val="000000" w:themeColor="text1"/>
                <w:spacing w:val="3"/>
              </w:rPr>
              <w:t xml:space="preserve"> </w:t>
            </w:r>
            <w:r w:rsidRPr="00E929F2">
              <w:rPr>
                <w:color w:val="000000" w:themeColor="text1"/>
              </w:rPr>
              <w:t>cu</w:t>
            </w:r>
            <w:r w:rsidRPr="00E929F2">
              <w:rPr>
                <w:color w:val="000000" w:themeColor="text1"/>
                <w:spacing w:val="3"/>
              </w:rPr>
              <w:t xml:space="preserve"> </w:t>
            </w:r>
            <w:r w:rsidRPr="00E929F2">
              <w:rPr>
                <w:color w:val="000000" w:themeColor="text1"/>
              </w:rPr>
              <w:t>o</w:t>
            </w:r>
            <w:r w:rsidRPr="00E929F2">
              <w:rPr>
                <w:color w:val="000000" w:themeColor="text1"/>
                <w:spacing w:val="4"/>
              </w:rPr>
              <w:t xml:space="preserve"> </w:t>
            </w:r>
            <w:r w:rsidRPr="00E929F2">
              <w:rPr>
                <w:color w:val="000000" w:themeColor="text1"/>
              </w:rPr>
              <w:t>pierdere</w:t>
            </w:r>
            <w:r w:rsidRPr="00E929F2">
              <w:rPr>
                <w:color w:val="000000" w:themeColor="text1"/>
                <w:spacing w:val="2"/>
              </w:rPr>
              <w:t xml:space="preserve"> </w:t>
            </w:r>
            <w:r w:rsidRPr="00E929F2">
              <w:rPr>
                <w:color w:val="000000" w:themeColor="text1"/>
              </w:rPr>
              <w:t>de</w:t>
            </w:r>
            <w:r w:rsidRPr="00E929F2">
              <w:rPr>
                <w:color w:val="000000" w:themeColor="text1"/>
                <w:spacing w:val="2"/>
              </w:rPr>
              <w:t xml:space="preserve"> </w:t>
            </w:r>
            <w:r w:rsidRPr="00E929F2">
              <w:rPr>
                <w:color w:val="000000" w:themeColor="text1"/>
              </w:rPr>
              <w:t>peste</w:t>
            </w:r>
            <w:r w:rsidRPr="00E929F2">
              <w:rPr>
                <w:color w:val="000000" w:themeColor="text1"/>
                <w:spacing w:val="2"/>
              </w:rPr>
              <w:t xml:space="preserve"> </w:t>
            </w:r>
            <w:r w:rsidRPr="00E929F2">
              <w:rPr>
                <w:color w:val="000000" w:themeColor="text1"/>
              </w:rPr>
              <w:t>1%</w:t>
            </w:r>
            <w:r w:rsidRPr="00E929F2">
              <w:rPr>
                <w:color w:val="000000" w:themeColor="text1"/>
                <w:spacing w:val="2"/>
              </w:rPr>
              <w:t xml:space="preserve"> </w:t>
            </w:r>
            <w:r w:rsidRPr="00E929F2">
              <w:rPr>
                <w:color w:val="000000" w:themeColor="text1"/>
              </w:rPr>
              <w:t>pe</w:t>
            </w:r>
            <w:r w:rsidRPr="00E929F2">
              <w:rPr>
                <w:color w:val="000000" w:themeColor="text1"/>
                <w:spacing w:val="2"/>
              </w:rPr>
              <w:t xml:space="preserve"> </w:t>
            </w:r>
            <w:r w:rsidRPr="00E929F2">
              <w:rPr>
                <w:color w:val="000000" w:themeColor="text1"/>
              </w:rPr>
              <w:t>an</w:t>
            </w:r>
            <w:r w:rsidRPr="00E929F2">
              <w:rPr>
                <w:color w:val="000000" w:themeColor="text1"/>
                <w:spacing w:val="4"/>
              </w:rPr>
              <w:t xml:space="preserve"> </w:t>
            </w:r>
            <w:r w:rsidRPr="00E929F2">
              <w:rPr>
                <w:color w:val="000000" w:themeColor="text1"/>
              </w:rPr>
              <w:t>în</w:t>
            </w:r>
            <w:r w:rsidRPr="00E929F2">
              <w:rPr>
                <w:color w:val="000000" w:themeColor="text1"/>
                <w:spacing w:val="4"/>
              </w:rPr>
              <w:t xml:space="preserve"> </w:t>
            </w:r>
            <w:r w:rsidRPr="00E929F2">
              <w:rPr>
                <w:color w:val="000000" w:themeColor="text1"/>
              </w:rPr>
              <w:t>perioada</w:t>
            </w:r>
            <w:r w:rsidRPr="00E929F2">
              <w:rPr>
                <w:color w:val="000000" w:themeColor="text1"/>
                <w:spacing w:val="-57"/>
              </w:rPr>
              <w:t xml:space="preserve"> </w:t>
            </w:r>
            <w:r w:rsidRPr="00E929F2">
              <w:rPr>
                <w:color w:val="000000" w:themeColor="text1"/>
              </w:rPr>
              <w:t>specificată</w:t>
            </w:r>
            <w:r w:rsidRPr="00E929F2">
              <w:rPr>
                <w:color w:val="000000" w:themeColor="text1"/>
                <w:spacing w:val="-2"/>
              </w:rPr>
              <w:t xml:space="preserve"> </w:t>
            </w:r>
            <w:r w:rsidRPr="00E929F2">
              <w:rPr>
                <w:color w:val="000000" w:themeColor="text1"/>
              </w:rPr>
              <w:t>de</w:t>
            </w:r>
            <w:r w:rsidRPr="00E929F2">
              <w:rPr>
                <w:color w:val="000000" w:themeColor="text1"/>
                <w:spacing w:val="-1"/>
              </w:rPr>
              <w:t xml:space="preserve"> </w:t>
            </w:r>
            <w:r w:rsidRPr="00E929F2">
              <w:rPr>
                <w:color w:val="000000" w:themeColor="text1"/>
              </w:rPr>
              <w:t>statul membru; sau</w:t>
            </w:r>
          </w:p>
          <w:p w14:paraId="2A44CD5C" w14:textId="77777777" w:rsidR="00E929F2" w:rsidRPr="00E929F2" w:rsidRDefault="00E929F2" w:rsidP="009E63E5">
            <w:pPr>
              <w:widowControl w:val="0"/>
              <w:numPr>
                <w:ilvl w:val="0"/>
                <w:numId w:val="110"/>
              </w:numPr>
              <w:tabs>
                <w:tab w:val="left" w:pos="828"/>
                <w:tab w:val="left" w:pos="829"/>
              </w:tabs>
              <w:autoSpaceDE w:val="0"/>
              <w:autoSpaceDN w:val="0"/>
              <w:spacing w:before="2" w:line="287" w:lineRule="exact"/>
              <w:ind w:hanging="362"/>
              <w:jc w:val="both"/>
              <w:rPr>
                <w:color w:val="000000" w:themeColor="text1"/>
              </w:rPr>
            </w:pPr>
            <w:r w:rsidRPr="00E929F2">
              <w:rPr>
                <w:color w:val="000000" w:themeColor="text1"/>
              </w:rPr>
              <w:t>pierderi</w:t>
            </w:r>
            <w:r w:rsidRPr="00E929F2">
              <w:rPr>
                <w:color w:val="000000" w:themeColor="text1"/>
                <w:spacing w:val="-1"/>
              </w:rPr>
              <w:t xml:space="preserve"> </w:t>
            </w:r>
            <w:r w:rsidRPr="00E929F2">
              <w:rPr>
                <w:color w:val="000000" w:themeColor="text1"/>
              </w:rPr>
              <w:t>majore</w:t>
            </w:r>
            <w:r w:rsidRPr="00E929F2">
              <w:rPr>
                <w:color w:val="000000" w:themeColor="text1"/>
                <w:spacing w:val="-2"/>
              </w:rPr>
              <w:t xml:space="preserve"> </w:t>
            </w:r>
            <w:r w:rsidRPr="00E929F2">
              <w:rPr>
                <w:color w:val="000000" w:themeColor="text1"/>
              </w:rPr>
              <w:t>în</w:t>
            </w:r>
            <w:r w:rsidRPr="00E929F2">
              <w:rPr>
                <w:color w:val="000000" w:themeColor="text1"/>
                <w:spacing w:val="-1"/>
              </w:rPr>
              <w:t xml:space="preserve"> </w:t>
            </w:r>
            <w:r w:rsidRPr="00E929F2">
              <w:rPr>
                <w:color w:val="000000" w:themeColor="text1"/>
              </w:rPr>
              <w:t>modelul</w:t>
            </w:r>
            <w:r w:rsidRPr="00E929F2">
              <w:rPr>
                <w:color w:val="000000" w:themeColor="text1"/>
                <w:spacing w:val="-1"/>
              </w:rPr>
              <w:t xml:space="preserve"> </w:t>
            </w:r>
            <w:r w:rsidRPr="00E929F2">
              <w:rPr>
                <w:color w:val="000000" w:themeColor="text1"/>
              </w:rPr>
              <w:t>de</w:t>
            </w:r>
            <w:r w:rsidRPr="00E929F2">
              <w:rPr>
                <w:color w:val="000000" w:themeColor="text1"/>
                <w:spacing w:val="-2"/>
              </w:rPr>
              <w:t xml:space="preserve"> </w:t>
            </w:r>
            <w:r w:rsidRPr="00E929F2">
              <w:rPr>
                <w:color w:val="000000" w:themeColor="text1"/>
              </w:rPr>
              <w:t>distribuție</w:t>
            </w:r>
            <w:r w:rsidRPr="00E929F2">
              <w:rPr>
                <w:color w:val="000000" w:themeColor="text1"/>
                <w:spacing w:val="-2"/>
              </w:rPr>
              <w:t xml:space="preserve"> </w:t>
            </w:r>
            <w:r w:rsidRPr="00E929F2">
              <w:rPr>
                <w:color w:val="000000" w:themeColor="text1"/>
              </w:rPr>
              <w:t>în</w:t>
            </w:r>
            <w:r w:rsidRPr="00E929F2">
              <w:rPr>
                <w:color w:val="000000" w:themeColor="text1"/>
                <w:spacing w:val="-1"/>
              </w:rPr>
              <w:t xml:space="preserve"> </w:t>
            </w:r>
            <w:r w:rsidRPr="00E929F2">
              <w:rPr>
                <w:color w:val="000000" w:themeColor="text1"/>
              </w:rPr>
              <w:t>raza</w:t>
            </w:r>
            <w:r w:rsidRPr="00E929F2">
              <w:rPr>
                <w:color w:val="000000" w:themeColor="text1"/>
                <w:spacing w:val="-2"/>
              </w:rPr>
              <w:t xml:space="preserve"> </w:t>
            </w:r>
            <w:r w:rsidRPr="00E929F2">
              <w:rPr>
                <w:color w:val="000000" w:themeColor="text1"/>
              </w:rPr>
              <w:t>de</w:t>
            </w:r>
            <w:r w:rsidRPr="00E929F2">
              <w:rPr>
                <w:color w:val="000000" w:themeColor="text1"/>
                <w:spacing w:val="-2"/>
              </w:rPr>
              <w:t xml:space="preserve"> </w:t>
            </w:r>
            <w:r w:rsidRPr="00E929F2">
              <w:rPr>
                <w:color w:val="000000" w:themeColor="text1"/>
              </w:rPr>
              <w:t>acțiune;</w:t>
            </w:r>
            <w:r w:rsidRPr="00E929F2">
              <w:rPr>
                <w:color w:val="000000" w:themeColor="text1"/>
                <w:spacing w:val="-1"/>
              </w:rPr>
              <w:t xml:space="preserve"> </w:t>
            </w:r>
            <w:r w:rsidRPr="00E929F2">
              <w:rPr>
                <w:color w:val="000000" w:themeColor="text1"/>
              </w:rPr>
              <w:t>sau</w:t>
            </w:r>
          </w:p>
          <w:p w14:paraId="2C86FA3F" w14:textId="77777777" w:rsidR="00E929F2" w:rsidRPr="00E929F2" w:rsidRDefault="00E929F2" w:rsidP="009E63E5">
            <w:pPr>
              <w:widowControl w:val="0"/>
              <w:numPr>
                <w:ilvl w:val="0"/>
                <w:numId w:val="110"/>
              </w:numPr>
              <w:tabs>
                <w:tab w:val="left" w:pos="828"/>
                <w:tab w:val="left" w:pos="829"/>
              </w:tabs>
              <w:autoSpaceDE w:val="0"/>
              <w:autoSpaceDN w:val="0"/>
              <w:spacing w:before="3" w:line="230" w:lineRule="auto"/>
              <w:ind w:right="98"/>
              <w:jc w:val="both"/>
              <w:rPr>
                <w:color w:val="000000" w:themeColor="text1"/>
              </w:rPr>
            </w:pPr>
            <w:r w:rsidRPr="00E929F2">
              <w:rPr>
                <w:color w:val="000000" w:themeColor="text1"/>
              </w:rPr>
              <w:t>suprafața</w:t>
            </w:r>
            <w:r w:rsidRPr="00E929F2">
              <w:rPr>
                <w:color w:val="000000" w:themeColor="text1"/>
                <w:spacing w:val="3"/>
              </w:rPr>
              <w:t xml:space="preserve"> </w:t>
            </w:r>
            <w:r w:rsidRPr="00E929F2">
              <w:rPr>
                <w:color w:val="000000" w:themeColor="text1"/>
              </w:rPr>
              <w:t>acoperită</w:t>
            </w:r>
            <w:r w:rsidRPr="00E929F2">
              <w:rPr>
                <w:color w:val="000000" w:themeColor="text1"/>
                <w:spacing w:val="59"/>
              </w:rPr>
              <w:t xml:space="preserve"> </w:t>
            </w:r>
            <w:r w:rsidRPr="00E929F2">
              <w:rPr>
                <w:color w:val="000000" w:themeColor="text1"/>
              </w:rPr>
              <w:t>de</w:t>
            </w:r>
            <w:r w:rsidRPr="00E929F2">
              <w:rPr>
                <w:color w:val="000000" w:themeColor="text1"/>
                <w:spacing w:val="2"/>
              </w:rPr>
              <w:t xml:space="preserve"> </w:t>
            </w:r>
            <w:r w:rsidRPr="00E929F2">
              <w:rPr>
                <w:color w:val="000000" w:themeColor="text1"/>
              </w:rPr>
              <w:t>habitat</w:t>
            </w:r>
            <w:r w:rsidRPr="00E929F2">
              <w:rPr>
                <w:color w:val="000000" w:themeColor="text1"/>
                <w:spacing w:val="1"/>
              </w:rPr>
              <w:t xml:space="preserve"> </w:t>
            </w:r>
            <w:r w:rsidRPr="00E929F2">
              <w:rPr>
                <w:color w:val="000000" w:themeColor="text1"/>
              </w:rPr>
              <w:t>(câmpul</w:t>
            </w:r>
            <w:r w:rsidRPr="00E929F2">
              <w:rPr>
                <w:color w:val="000000" w:themeColor="text1"/>
                <w:spacing w:val="4"/>
              </w:rPr>
              <w:t xml:space="preserve"> </w:t>
            </w:r>
            <w:r w:rsidRPr="00E929F2">
              <w:rPr>
                <w:color w:val="000000" w:themeColor="text1"/>
              </w:rPr>
              <w:t>5.2)</w:t>
            </w:r>
            <w:r w:rsidRPr="00E929F2">
              <w:rPr>
                <w:color w:val="000000" w:themeColor="text1"/>
                <w:spacing w:val="59"/>
              </w:rPr>
              <w:t xml:space="preserve"> </w:t>
            </w:r>
            <w:r w:rsidRPr="00E929F2">
              <w:rPr>
                <w:color w:val="000000" w:themeColor="text1"/>
              </w:rPr>
              <w:t>este</w:t>
            </w:r>
            <w:r w:rsidRPr="00E929F2">
              <w:rPr>
                <w:color w:val="000000" w:themeColor="text1"/>
                <w:spacing w:val="59"/>
              </w:rPr>
              <w:t xml:space="preserve"> </w:t>
            </w:r>
            <w:r w:rsidRPr="00E929F2">
              <w:rPr>
                <w:color w:val="000000" w:themeColor="text1"/>
              </w:rPr>
              <w:t>cu</w:t>
            </w:r>
            <w:r w:rsidRPr="00E929F2">
              <w:rPr>
                <w:color w:val="000000" w:themeColor="text1"/>
                <w:spacing w:val="1"/>
              </w:rPr>
              <w:t xml:space="preserve"> </w:t>
            </w:r>
            <w:r w:rsidRPr="00E929F2">
              <w:rPr>
                <w:color w:val="000000" w:themeColor="text1"/>
              </w:rPr>
              <w:t>peste  10%</w:t>
            </w:r>
            <w:r w:rsidRPr="00E929F2">
              <w:rPr>
                <w:color w:val="000000" w:themeColor="text1"/>
                <w:spacing w:val="59"/>
              </w:rPr>
              <w:t xml:space="preserve"> </w:t>
            </w:r>
            <w:r w:rsidRPr="00E929F2">
              <w:rPr>
                <w:color w:val="000000" w:themeColor="text1"/>
              </w:rPr>
              <w:t>sub</w:t>
            </w:r>
            <w:r w:rsidRPr="00E929F2">
              <w:rPr>
                <w:color w:val="000000" w:themeColor="text1"/>
                <w:spacing w:val="-57"/>
              </w:rPr>
              <w:t xml:space="preserve"> </w:t>
            </w:r>
            <w:r w:rsidRPr="00E929F2">
              <w:rPr>
                <w:color w:val="000000" w:themeColor="text1"/>
              </w:rPr>
              <w:t>suprafața</w:t>
            </w:r>
            <w:r w:rsidRPr="00E929F2">
              <w:rPr>
                <w:color w:val="000000" w:themeColor="text1"/>
                <w:spacing w:val="-1"/>
              </w:rPr>
              <w:t xml:space="preserve"> </w:t>
            </w:r>
            <w:r w:rsidRPr="00E929F2">
              <w:rPr>
                <w:color w:val="000000" w:themeColor="text1"/>
              </w:rPr>
              <w:t>de</w:t>
            </w:r>
            <w:r w:rsidRPr="00E929F2">
              <w:rPr>
                <w:color w:val="000000" w:themeColor="text1"/>
                <w:spacing w:val="-1"/>
              </w:rPr>
              <w:t xml:space="preserve"> </w:t>
            </w:r>
            <w:r w:rsidRPr="00E929F2">
              <w:rPr>
                <w:color w:val="000000" w:themeColor="text1"/>
              </w:rPr>
              <w:t>referință</w:t>
            </w:r>
            <w:r w:rsidRPr="00E929F2">
              <w:rPr>
                <w:color w:val="000000" w:themeColor="text1"/>
                <w:spacing w:val="-1"/>
              </w:rPr>
              <w:t xml:space="preserve"> </w:t>
            </w:r>
            <w:r w:rsidRPr="00E929F2">
              <w:rPr>
                <w:color w:val="000000" w:themeColor="text1"/>
              </w:rPr>
              <w:t>favorabilă</w:t>
            </w:r>
            <w:r w:rsidRPr="00E929F2">
              <w:rPr>
                <w:color w:val="000000" w:themeColor="text1"/>
                <w:spacing w:val="-1"/>
              </w:rPr>
              <w:t xml:space="preserve"> </w:t>
            </w:r>
            <w:r w:rsidRPr="00E929F2">
              <w:rPr>
                <w:color w:val="000000" w:themeColor="text1"/>
              </w:rPr>
              <w:t>(câmpul</w:t>
            </w:r>
            <w:r w:rsidRPr="00E929F2">
              <w:rPr>
                <w:color w:val="000000" w:themeColor="text1"/>
                <w:spacing w:val="-1"/>
              </w:rPr>
              <w:t xml:space="preserve"> </w:t>
            </w:r>
            <w:r w:rsidRPr="00E929F2">
              <w:rPr>
                <w:color w:val="000000" w:themeColor="text1"/>
              </w:rPr>
              <w:t>5.13)</w:t>
            </w:r>
          </w:p>
          <w:p w14:paraId="513B02BA" w14:textId="77777777" w:rsidR="00E929F2" w:rsidRPr="00E929F2" w:rsidRDefault="00E929F2" w:rsidP="00E929F2">
            <w:pPr>
              <w:widowControl w:val="0"/>
              <w:autoSpaceDE w:val="0"/>
              <w:autoSpaceDN w:val="0"/>
              <w:spacing w:before="1"/>
              <w:ind w:left="107"/>
              <w:jc w:val="both"/>
              <w:rPr>
                <w:color w:val="000000" w:themeColor="text1"/>
              </w:rPr>
            </w:pPr>
            <w:r w:rsidRPr="00E929F2">
              <w:rPr>
                <w:color w:val="000000" w:themeColor="text1"/>
              </w:rPr>
              <w:t>Informațiisuplimentare:</w:t>
            </w:r>
          </w:p>
          <w:p w14:paraId="5FE46A1E" w14:textId="77777777" w:rsidR="00E929F2" w:rsidRPr="00E929F2" w:rsidRDefault="00E929F2" w:rsidP="00E929F2">
            <w:pPr>
              <w:widowControl w:val="0"/>
              <w:autoSpaceDE w:val="0"/>
              <w:autoSpaceDN w:val="0"/>
              <w:spacing w:line="270" w:lineRule="atLeast"/>
              <w:ind w:left="107" w:right="98"/>
              <w:jc w:val="both"/>
              <w:rPr>
                <w:color w:val="000000" w:themeColor="text1"/>
              </w:rPr>
            </w:pPr>
            <w:r w:rsidRPr="00E929F2">
              <w:rPr>
                <w:color w:val="000000" w:themeColor="text1"/>
              </w:rPr>
              <w:t>Pentru</w:t>
            </w:r>
            <w:r w:rsidRPr="00E929F2">
              <w:rPr>
                <w:color w:val="000000" w:themeColor="text1"/>
                <w:spacing w:val="47"/>
              </w:rPr>
              <w:t xml:space="preserve"> </w:t>
            </w:r>
            <w:r w:rsidRPr="00E929F2">
              <w:rPr>
                <w:color w:val="000000" w:themeColor="text1"/>
              </w:rPr>
              <w:t>evaluarea</w:t>
            </w:r>
            <w:r w:rsidRPr="00E929F2">
              <w:rPr>
                <w:color w:val="000000" w:themeColor="text1"/>
                <w:spacing w:val="48"/>
              </w:rPr>
              <w:t xml:space="preserve"> </w:t>
            </w:r>
            <w:r w:rsidRPr="00E929F2">
              <w:rPr>
                <w:color w:val="000000" w:themeColor="text1"/>
              </w:rPr>
              <w:t>stării</w:t>
            </w:r>
            <w:r w:rsidRPr="00E929F2">
              <w:rPr>
                <w:color w:val="000000" w:themeColor="text1"/>
                <w:spacing w:val="48"/>
              </w:rPr>
              <w:t xml:space="preserve"> </w:t>
            </w:r>
            <w:r w:rsidRPr="00E929F2">
              <w:rPr>
                <w:color w:val="000000" w:themeColor="text1"/>
              </w:rPr>
              <w:t>trebuie</w:t>
            </w:r>
            <w:r w:rsidRPr="00E929F2">
              <w:rPr>
                <w:color w:val="000000" w:themeColor="text1"/>
                <w:spacing w:val="48"/>
              </w:rPr>
              <w:t xml:space="preserve"> </w:t>
            </w:r>
            <w:r w:rsidRPr="00E929F2">
              <w:rPr>
                <w:color w:val="000000" w:themeColor="text1"/>
              </w:rPr>
              <w:t>utilizată</w:t>
            </w:r>
            <w:r w:rsidRPr="00E929F2">
              <w:rPr>
                <w:color w:val="000000" w:themeColor="text1"/>
                <w:spacing w:val="47"/>
              </w:rPr>
              <w:t xml:space="preserve"> </w:t>
            </w:r>
            <w:r w:rsidRPr="00E929F2">
              <w:rPr>
                <w:color w:val="000000" w:themeColor="text1"/>
              </w:rPr>
              <w:t>tendința</w:t>
            </w:r>
            <w:r w:rsidRPr="00E929F2">
              <w:rPr>
                <w:color w:val="000000" w:themeColor="text1"/>
                <w:spacing w:val="46"/>
              </w:rPr>
              <w:t xml:space="preserve"> </w:t>
            </w:r>
            <w:r w:rsidRPr="00E929F2">
              <w:rPr>
                <w:color w:val="000000" w:themeColor="text1"/>
              </w:rPr>
              <w:t>pe</w:t>
            </w:r>
            <w:r w:rsidRPr="00E929F2">
              <w:rPr>
                <w:color w:val="000000" w:themeColor="text1"/>
                <w:spacing w:val="47"/>
              </w:rPr>
              <w:t xml:space="preserve"> </w:t>
            </w:r>
            <w:r w:rsidRPr="00E929F2">
              <w:rPr>
                <w:color w:val="000000" w:themeColor="text1"/>
              </w:rPr>
              <w:t>perioada</w:t>
            </w:r>
            <w:r w:rsidRPr="00E929F2">
              <w:rPr>
                <w:color w:val="000000" w:themeColor="text1"/>
                <w:spacing w:val="48"/>
              </w:rPr>
              <w:t xml:space="preserve"> </w:t>
            </w:r>
            <w:r w:rsidRPr="00E929F2">
              <w:rPr>
                <w:color w:val="000000" w:themeColor="text1"/>
              </w:rPr>
              <w:t>de</w:t>
            </w:r>
            <w:r w:rsidRPr="00E929F2">
              <w:rPr>
                <w:color w:val="000000" w:themeColor="text1"/>
                <w:spacing w:val="47"/>
              </w:rPr>
              <w:t xml:space="preserve"> </w:t>
            </w:r>
            <w:r w:rsidRPr="00E929F2">
              <w:rPr>
                <w:color w:val="000000" w:themeColor="text1"/>
              </w:rPr>
              <w:t>tendință</w:t>
            </w:r>
            <w:r w:rsidRPr="00E929F2">
              <w:rPr>
                <w:color w:val="000000" w:themeColor="text1"/>
                <w:spacing w:val="48"/>
              </w:rPr>
              <w:t xml:space="preserve"> </w:t>
            </w:r>
            <w:r w:rsidRPr="00E929F2">
              <w:rPr>
                <w:color w:val="000000" w:themeColor="text1"/>
              </w:rPr>
              <w:t>pe</w:t>
            </w:r>
            <w:r w:rsidRPr="00E929F2">
              <w:rPr>
                <w:color w:val="000000" w:themeColor="text1"/>
                <w:spacing w:val="-57"/>
              </w:rPr>
              <w:t xml:space="preserve"> </w:t>
            </w:r>
            <w:r w:rsidRPr="00E929F2">
              <w:rPr>
                <w:color w:val="000000" w:themeColor="text1"/>
              </w:rPr>
              <w:t>termen</w:t>
            </w:r>
            <w:r w:rsidRPr="00E929F2">
              <w:rPr>
                <w:color w:val="000000" w:themeColor="text1"/>
                <w:spacing w:val="-1"/>
              </w:rPr>
              <w:t xml:space="preserve"> </w:t>
            </w:r>
            <w:r w:rsidRPr="00E929F2">
              <w:rPr>
                <w:color w:val="000000" w:themeColor="text1"/>
              </w:rPr>
              <w:t>scurt (câmpul 5.5).</w:t>
            </w:r>
          </w:p>
        </w:tc>
      </w:tr>
      <w:tr w:rsidR="00E929F2" w:rsidRPr="00E929F2" w14:paraId="2A678A59" w14:textId="77777777" w:rsidTr="0049533B">
        <w:trPr>
          <w:trHeight w:val="844"/>
        </w:trPr>
        <w:tc>
          <w:tcPr>
            <w:tcW w:w="1915" w:type="dxa"/>
          </w:tcPr>
          <w:p w14:paraId="07A364E0" w14:textId="77777777" w:rsidR="00E929F2" w:rsidRPr="00E929F2" w:rsidRDefault="00E929F2" w:rsidP="00E929F2">
            <w:pPr>
              <w:widowControl w:val="0"/>
              <w:autoSpaceDE w:val="0"/>
              <w:autoSpaceDN w:val="0"/>
              <w:spacing w:before="130"/>
              <w:ind w:left="108" w:right="549"/>
              <w:jc w:val="both"/>
              <w:rPr>
                <w:color w:val="000000" w:themeColor="text1"/>
              </w:rPr>
            </w:pPr>
            <w:r w:rsidRPr="00E929F2">
              <w:rPr>
                <w:color w:val="000000" w:themeColor="text1"/>
                <w:spacing w:val="-1"/>
              </w:rPr>
              <w:t>Necunoscut</w:t>
            </w:r>
            <w:r w:rsidRPr="00E929F2">
              <w:rPr>
                <w:color w:val="000000" w:themeColor="text1"/>
                <w:spacing w:val="-57"/>
              </w:rPr>
              <w:t xml:space="preserve"> </w:t>
            </w:r>
            <w:r w:rsidRPr="00E929F2">
              <w:rPr>
                <w:color w:val="000000" w:themeColor="text1"/>
              </w:rPr>
              <w:t>(XX)</w:t>
            </w:r>
          </w:p>
        </w:tc>
        <w:tc>
          <w:tcPr>
            <w:tcW w:w="8255" w:type="dxa"/>
          </w:tcPr>
          <w:p w14:paraId="2261AB83" w14:textId="77777777" w:rsidR="00E929F2" w:rsidRPr="00E929F2" w:rsidRDefault="00E929F2" w:rsidP="00E929F2">
            <w:pPr>
              <w:widowControl w:val="0"/>
              <w:tabs>
                <w:tab w:val="left" w:pos="1218"/>
                <w:tab w:val="left" w:pos="2247"/>
                <w:tab w:val="left" w:pos="2717"/>
                <w:tab w:val="left" w:pos="3771"/>
                <w:tab w:val="left" w:pos="4659"/>
                <w:tab w:val="left" w:pos="5191"/>
                <w:tab w:val="left" w:pos="5992"/>
                <w:tab w:val="left" w:pos="7345"/>
              </w:tabs>
              <w:autoSpaceDE w:val="0"/>
              <w:autoSpaceDN w:val="0"/>
              <w:spacing w:line="260" w:lineRule="exact"/>
              <w:ind w:left="107"/>
              <w:jc w:val="both"/>
              <w:rPr>
                <w:color w:val="000000" w:themeColor="text1"/>
              </w:rPr>
            </w:pPr>
            <w:r w:rsidRPr="00E929F2">
              <w:rPr>
                <w:color w:val="000000" w:themeColor="text1"/>
              </w:rPr>
              <w:t>Conform</w:t>
            </w:r>
            <w:r w:rsidRPr="00E929F2">
              <w:rPr>
                <w:color w:val="000000" w:themeColor="text1"/>
              </w:rPr>
              <w:tab/>
              <w:t>matricei</w:t>
            </w:r>
            <w:r w:rsidRPr="00E929F2">
              <w:rPr>
                <w:color w:val="000000" w:themeColor="text1"/>
              </w:rPr>
              <w:tab/>
              <w:t>de</w:t>
            </w:r>
            <w:r w:rsidRPr="00E929F2">
              <w:rPr>
                <w:color w:val="000000" w:themeColor="text1"/>
              </w:rPr>
              <w:tab/>
              <w:t>evaluare</w:t>
            </w:r>
            <w:r w:rsidRPr="00E929F2">
              <w:rPr>
                <w:color w:val="000000" w:themeColor="text1"/>
              </w:rPr>
              <w:tab/>
              <w:t>(anexa</w:t>
            </w:r>
            <w:r w:rsidRPr="00E929F2">
              <w:rPr>
                <w:color w:val="000000" w:themeColor="text1"/>
              </w:rPr>
              <w:tab/>
              <w:t>E),</w:t>
            </w:r>
            <w:r w:rsidRPr="00E929F2">
              <w:rPr>
                <w:color w:val="000000" w:themeColor="text1"/>
              </w:rPr>
              <w:tab/>
              <w:t>starea</w:t>
            </w:r>
            <w:r w:rsidRPr="00E929F2">
              <w:rPr>
                <w:color w:val="000000" w:themeColor="text1"/>
              </w:rPr>
              <w:tab/>
              <w:t>intervalului</w:t>
            </w:r>
            <w:r w:rsidRPr="00E929F2">
              <w:rPr>
                <w:color w:val="000000" w:themeColor="text1"/>
              </w:rPr>
              <w:tab/>
              <w:t>este</w:t>
            </w:r>
          </w:p>
          <w:p w14:paraId="17FD74AB" w14:textId="77777777" w:rsidR="00E929F2" w:rsidRPr="00E929F2" w:rsidRDefault="00E929F2" w:rsidP="00E929F2">
            <w:pPr>
              <w:widowControl w:val="0"/>
              <w:autoSpaceDE w:val="0"/>
              <w:autoSpaceDN w:val="0"/>
              <w:ind w:left="107"/>
              <w:jc w:val="both"/>
              <w:rPr>
                <w:color w:val="000000" w:themeColor="text1"/>
              </w:rPr>
            </w:pPr>
            <w:r w:rsidRPr="00E929F2">
              <w:rPr>
                <w:color w:val="000000" w:themeColor="text1"/>
              </w:rPr>
              <w:t>„</w:t>
            </w:r>
            <w:r w:rsidRPr="00E929F2">
              <w:rPr>
                <w:b/>
                <w:color w:val="000000" w:themeColor="text1"/>
              </w:rPr>
              <w:t>necunoscută</w:t>
            </w:r>
            <w:r w:rsidRPr="00E929F2">
              <w:rPr>
                <w:color w:val="000000" w:themeColor="text1"/>
              </w:rPr>
              <w:t>”</w:t>
            </w:r>
            <w:r w:rsidRPr="00E929F2">
              <w:rPr>
                <w:color w:val="000000" w:themeColor="text1"/>
                <w:spacing w:val="-3"/>
              </w:rPr>
              <w:t xml:space="preserve"> </w:t>
            </w:r>
            <w:r w:rsidRPr="00E929F2">
              <w:rPr>
                <w:color w:val="000000" w:themeColor="text1"/>
              </w:rPr>
              <w:t>dacă:</w:t>
            </w:r>
          </w:p>
          <w:p w14:paraId="717180CF" w14:textId="77777777" w:rsidR="00E929F2" w:rsidRPr="00E929F2" w:rsidRDefault="00E929F2" w:rsidP="009E63E5">
            <w:pPr>
              <w:widowControl w:val="0"/>
              <w:numPr>
                <w:ilvl w:val="0"/>
                <w:numId w:val="109"/>
              </w:numPr>
              <w:tabs>
                <w:tab w:val="left" w:pos="828"/>
                <w:tab w:val="left" w:pos="829"/>
              </w:tabs>
              <w:autoSpaceDE w:val="0"/>
              <w:autoSpaceDN w:val="0"/>
              <w:spacing w:before="2" w:line="287" w:lineRule="exact"/>
              <w:ind w:hanging="328"/>
              <w:jc w:val="both"/>
              <w:rPr>
                <w:color w:val="000000" w:themeColor="text1"/>
              </w:rPr>
            </w:pPr>
            <w:r w:rsidRPr="00E929F2">
              <w:rPr>
                <w:color w:val="000000" w:themeColor="text1"/>
              </w:rPr>
              <w:t>nu</w:t>
            </w:r>
            <w:r w:rsidRPr="00E929F2">
              <w:rPr>
                <w:color w:val="000000" w:themeColor="text1"/>
                <w:spacing w:val="-2"/>
              </w:rPr>
              <w:t xml:space="preserve"> </w:t>
            </w:r>
            <w:r w:rsidRPr="00E929F2">
              <w:rPr>
                <w:color w:val="000000" w:themeColor="text1"/>
              </w:rPr>
              <w:t>există</w:t>
            </w:r>
            <w:r w:rsidRPr="00E929F2">
              <w:rPr>
                <w:color w:val="000000" w:themeColor="text1"/>
                <w:spacing w:val="-2"/>
              </w:rPr>
              <w:t xml:space="preserve"> </w:t>
            </w:r>
            <w:r w:rsidRPr="00E929F2">
              <w:rPr>
                <w:color w:val="000000" w:themeColor="text1"/>
              </w:rPr>
              <w:t>informații</w:t>
            </w:r>
            <w:r w:rsidRPr="00E929F2">
              <w:rPr>
                <w:color w:val="000000" w:themeColor="text1"/>
                <w:spacing w:val="-1"/>
              </w:rPr>
              <w:t xml:space="preserve"> </w:t>
            </w:r>
            <w:r w:rsidRPr="00E929F2">
              <w:rPr>
                <w:color w:val="000000" w:themeColor="text1"/>
              </w:rPr>
              <w:t>disponibile</w:t>
            </w:r>
            <w:r w:rsidRPr="00E929F2">
              <w:rPr>
                <w:color w:val="000000" w:themeColor="text1"/>
                <w:spacing w:val="-1"/>
              </w:rPr>
              <w:t xml:space="preserve"> </w:t>
            </w:r>
            <w:r w:rsidRPr="00E929F2">
              <w:rPr>
                <w:color w:val="000000" w:themeColor="text1"/>
              </w:rPr>
              <w:t>fiabile</w:t>
            </w:r>
            <w:r w:rsidRPr="00E929F2">
              <w:rPr>
                <w:color w:val="000000" w:themeColor="text1"/>
                <w:spacing w:val="-1"/>
              </w:rPr>
              <w:t xml:space="preserve"> </w:t>
            </w:r>
            <w:r w:rsidRPr="00E929F2">
              <w:rPr>
                <w:color w:val="000000" w:themeColor="text1"/>
              </w:rPr>
              <w:t>sau</w:t>
            </w:r>
            <w:r w:rsidRPr="00E929F2">
              <w:rPr>
                <w:color w:val="000000" w:themeColor="text1"/>
                <w:spacing w:val="-2"/>
              </w:rPr>
              <w:t xml:space="preserve"> </w:t>
            </w:r>
            <w:r w:rsidRPr="00E929F2">
              <w:rPr>
                <w:color w:val="000000" w:themeColor="text1"/>
              </w:rPr>
              <w:t>sunt</w:t>
            </w:r>
            <w:r w:rsidRPr="00E929F2">
              <w:rPr>
                <w:color w:val="000000" w:themeColor="text1"/>
                <w:spacing w:val="-1"/>
              </w:rPr>
              <w:t xml:space="preserve"> </w:t>
            </w:r>
            <w:r w:rsidRPr="00E929F2">
              <w:rPr>
                <w:color w:val="000000" w:themeColor="text1"/>
              </w:rPr>
              <w:t>insuficiente.</w:t>
            </w:r>
          </w:p>
        </w:tc>
      </w:tr>
    </w:tbl>
    <w:p w14:paraId="613349A1" w14:textId="77777777" w:rsidR="00E929F2" w:rsidRPr="00E929F2" w:rsidRDefault="000222D6" w:rsidP="0049533B">
      <w:pPr>
        <w:spacing w:before="90" w:beforeAutospacing="1" w:after="100" w:afterAutospacing="1"/>
        <w:ind w:firstLine="270"/>
        <w:jc w:val="both"/>
        <w:outlineLvl w:val="1"/>
        <w:rPr>
          <w:bCs/>
          <w:color w:val="000000" w:themeColor="text1"/>
        </w:rPr>
      </w:pPr>
      <w:r w:rsidRPr="00E929F2">
        <w:rPr>
          <w:b/>
          <w:bCs/>
          <w:color w:val="000000" w:themeColor="text1"/>
        </w:rPr>
        <w:t>Suprafața</w:t>
      </w:r>
    </w:p>
    <w:p w14:paraId="079C8267" w14:textId="77777777" w:rsidR="00E929F2" w:rsidRPr="00E929F2" w:rsidRDefault="00E929F2" w:rsidP="0049533B">
      <w:pPr>
        <w:widowControl w:val="0"/>
        <w:tabs>
          <w:tab w:val="left" w:pos="9890"/>
        </w:tabs>
        <w:autoSpaceDE w:val="0"/>
        <w:autoSpaceDN w:val="0"/>
        <w:adjustRightInd w:val="0"/>
        <w:ind w:right="26" w:firstLine="270"/>
        <w:jc w:val="both"/>
        <w:rPr>
          <w:rFonts w:eastAsiaTheme="minorEastAsia"/>
          <w:color w:val="000000" w:themeColor="text1"/>
        </w:rPr>
      </w:pPr>
      <w:r w:rsidRPr="00E929F2">
        <w:rPr>
          <w:rFonts w:eastAsiaTheme="minorEastAsia"/>
          <w:color w:val="000000" w:themeColor="text1"/>
        </w:rPr>
        <w:t>Acest</w:t>
      </w:r>
      <w:r w:rsidRPr="00E929F2">
        <w:rPr>
          <w:rFonts w:eastAsiaTheme="minorEastAsia"/>
          <w:color w:val="000000" w:themeColor="text1"/>
          <w:spacing w:val="1"/>
        </w:rPr>
        <w:t xml:space="preserve"> </w:t>
      </w:r>
      <w:r w:rsidRPr="00E929F2">
        <w:rPr>
          <w:rFonts w:eastAsiaTheme="minorEastAsia"/>
          <w:color w:val="000000" w:themeColor="text1"/>
        </w:rPr>
        <w:t>parametru</w:t>
      </w:r>
      <w:r w:rsidRPr="00E929F2">
        <w:rPr>
          <w:rFonts w:eastAsiaTheme="minorEastAsia"/>
          <w:color w:val="000000" w:themeColor="text1"/>
          <w:spacing w:val="1"/>
        </w:rPr>
        <w:t xml:space="preserve"> </w:t>
      </w:r>
      <w:r w:rsidRPr="00E929F2">
        <w:rPr>
          <w:rFonts w:eastAsiaTheme="minorEastAsia"/>
          <w:color w:val="000000" w:themeColor="text1"/>
        </w:rPr>
        <w:t>reprezintă</w:t>
      </w:r>
      <w:r w:rsidRPr="00E929F2">
        <w:rPr>
          <w:rFonts w:eastAsiaTheme="minorEastAsia"/>
          <w:color w:val="000000" w:themeColor="text1"/>
          <w:spacing w:val="1"/>
        </w:rPr>
        <w:t xml:space="preserve"> </w:t>
      </w:r>
      <w:r w:rsidRPr="00E929F2">
        <w:rPr>
          <w:rFonts w:eastAsiaTheme="minorEastAsia"/>
          <w:color w:val="000000" w:themeColor="text1"/>
        </w:rPr>
        <w:t>suprafața</w:t>
      </w:r>
      <w:r w:rsidRPr="00E929F2">
        <w:rPr>
          <w:rFonts w:eastAsiaTheme="minorEastAsia"/>
          <w:color w:val="000000" w:themeColor="text1"/>
          <w:spacing w:val="1"/>
        </w:rPr>
        <w:t xml:space="preserve"> </w:t>
      </w:r>
      <w:r w:rsidRPr="00E929F2">
        <w:rPr>
          <w:rFonts w:eastAsiaTheme="minorEastAsia"/>
          <w:color w:val="000000" w:themeColor="text1"/>
        </w:rPr>
        <w:t>totală</w:t>
      </w:r>
      <w:r w:rsidRPr="00E929F2">
        <w:rPr>
          <w:rFonts w:eastAsiaTheme="minorEastAsia"/>
          <w:color w:val="000000" w:themeColor="text1"/>
          <w:spacing w:val="1"/>
        </w:rPr>
        <w:t xml:space="preserve"> </w:t>
      </w:r>
      <w:r w:rsidRPr="00E929F2">
        <w:rPr>
          <w:rFonts w:eastAsiaTheme="minorEastAsia"/>
          <w:color w:val="000000" w:themeColor="text1"/>
        </w:rPr>
        <w:t>(în</w:t>
      </w:r>
      <w:r w:rsidRPr="00E929F2">
        <w:rPr>
          <w:rFonts w:eastAsiaTheme="minorEastAsia"/>
          <w:color w:val="000000" w:themeColor="text1"/>
          <w:spacing w:val="1"/>
        </w:rPr>
        <w:t xml:space="preserve"> </w:t>
      </w:r>
      <w:r w:rsidRPr="00E929F2">
        <w:rPr>
          <w:rFonts w:eastAsiaTheme="minorEastAsia"/>
          <w:color w:val="000000" w:themeColor="text1"/>
        </w:rPr>
        <w:t>km</w:t>
      </w:r>
      <w:r w:rsidRPr="00E929F2">
        <w:rPr>
          <w:rFonts w:eastAsiaTheme="minorEastAsia"/>
          <w:color w:val="000000" w:themeColor="text1"/>
          <w:vertAlign w:val="superscript"/>
        </w:rPr>
        <w:t>2</w:t>
      </w:r>
      <w:r w:rsidRPr="00E929F2">
        <w:rPr>
          <w:rFonts w:eastAsiaTheme="minorEastAsia"/>
          <w:color w:val="000000" w:themeColor="text1"/>
        </w:rPr>
        <w:t>)</w:t>
      </w:r>
      <w:r w:rsidRPr="00E929F2">
        <w:rPr>
          <w:rFonts w:eastAsiaTheme="minorEastAsia"/>
          <w:color w:val="000000" w:themeColor="text1"/>
          <w:spacing w:val="1"/>
        </w:rPr>
        <w:t xml:space="preserve"> </w:t>
      </w:r>
      <w:r w:rsidRPr="00E929F2">
        <w:rPr>
          <w:rFonts w:eastAsiaTheme="minorEastAsia"/>
          <w:color w:val="000000" w:themeColor="text1"/>
        </w:rPr>
        <w:t>a</w:t>
      </w:r>
      <w:r w:rsidRPr="00E929F2">
        <w:rPr>
          <w:rFonts w:eastAsiaTheme="minorEastAsia"/>
          <w:color w:val="000000" w:themeColor="text1"/>
          <w:spacing w:val="1"/>
        </w:rPr>
        <w:t xml:space="preserve"> </w:t>
      </w:r>
      <w:r w:rsidRPr="00E929F2">
        <w:rPr>
          <w:rFonts w:eastAsiaTheme="minorEastAsia"/>
          <w:color w:val="000000" w:themeColor="text1"/>
        </w:rPr>
        <w:t>arealului</w:t>
      </w:r>
      <w:r w:rsidRPr="00E929F2">
        <w:rPr>
          <w:rFonts w:eastAsiaTheme="minorEastAsia"/>
          <w:color w:val="000000" w:themeColor="text1"/>
          <w:spacing w:val="1"/>
        </w:rPr>
        <w:t xml:space="preserve"> </w:t>
      </w:r>
      <w:r w:rsidRPr="00E929F2">
        <w:rPr>
          <w:rFonts w:eastAsiaTheme="minorEastAsia"/>
          <w:color w:val="000000" w:themeColor="text1"/>
        </w:rPr>
        <w:t>actual</w:t>
      </w:r>
      <w:r w:rsidRPr="00E929F2">
        <w:rPr>
          <w:rFonts w:eastAsiaTheme="minorEastAsia"/>
          <w:color w:val="000000" w:themeColor="text1"/>
          <w:spacing w:val="1"/>
        </w:rPr>
        <w:t xml:space="preserve"> </w:t>
      </w:r>
      <w:r w:rsidRPr="00E929F2">
        <w:rPr>
          <w:rFonts w:eastAsiaTheme="minorEastAsia"/>
          <w:color w:val="000000" w:themeColor="text1"/>
        </w:rPr>
        <w:t>(limitele</w:t>
      </w:r>
      <w:r w:rsidRPr="00E929F2">
        <w:rPr>
          <w:rFonts w:eastAsiaTheme="minorEastAsia"/>
          <w:color w:val="000000" w:themeColor="text1"/>
          <w:spacing w:val="1"/>
        </w:rPr>
        <w:t xml:space="preserve"> </w:t>
      </w:r>
      <w:r w:rsidRPr="00E929F2">
        <w:rPr>
          <w:rFonts w:eastAsiaTheme="minorEastAsia"/>
          <w:color w:val="000000" w:themeColor="text1"/>
        </w:rPr>
        <w:t>exterioare</w:t>
      </w:r>
      <w:r w:rsidRPr="00E929F2">
        <w:rPr>
          <w:rFonts w:eastAsiaTheme="minorEastAsia"/>
          <w:color w:val="000000" w:themeColor="text1"/>
          <w:spacing w:val="1"/>
        </w:rPr>
        <w:t xml:space="preserve"> </w:t>
      </w:r>
      <w:r w:rsidRPr="00E929F2">
        <w:rPr>
          <w:rFonts w:eastAsiaTheme="minorEastAsia"/>
          <w:color w:val="000000" w:themeColor="text1"/>
        </w:rPr>
        <w:t>ale</w:t>
      </w:r>
      <w:r w:rsidRPr="00E929F2">
        <w:rPr>
          <w:rFonts w:eastAsiaTheme="minorEastAsia"/>
          <w:color w:val="000000" w:themeColor="text1"/>
          <w:spacing w:val="-57"/>
        </w:rPr>
        <w:t xml:space="preserve"> </w:t>
      </w:r>
      <w:r w:rsidRPr="00E929F2">
        <w:rPr>
          <w:rFonts w:eastAsiaTheme="minorEastAsia"/>
          <w:color w:val="000000" w:themeColor="text1"/>
        </w:rPr>
        <w:t>distribuției</w:t>
      </w:r>
      <w:r w:rsidRPr="00E929F2">
        <w:rPr>
          <w:rFonts w:eastAsiaTheme="minorEastAsia"/>
          <w:color w:val="000000" w:themeColor="text1"/>
          <w:spacing w:val="1"/>
        </w:rPr>
        <w:t xml:space="preserve"> </w:t>
      </w:r>
      <w:r w:rsidRPr="00E929F2">
        <w:rPr>
          <w:rFonts w:eastAsiaTheme="minorEastAsia"/>
          <w:color w:val="000000" w:themeColor="text1"/>
        </w:rPr>
        <w:t>habitatului)</w:t>
      </w:r>
      <w:r w:rsidRPr="00E929F2">
        <w:rPr>
          <w:rFonts w:eastAsiaTheme="minorEastAsia"/>
          <w:color w:val="000000" w:themeColor="text1"/>
          <w:spacing w:val="1"/>
        </w:rPr>
        <w:t xml:space="preserve"> </w:t>
      </w:r>
      <w:r w:rsidRPr="00E929F2">
        <w:rPr>
          <w:rFonts w:eastAsiaTheme="minorEastAsia"/>
          <w:color w:val="000000" w:themeColor="text1"/>
        </w:rPr>
        <w:t>în</w:t>
      </w:r>
      <w:r w:rsidRPr="00E929F2">
        <w:rPr>
          <w:rFonts w:eastAsiaTheme="minorEastAsia"/>
          <w:color w:val="000000" w:themeColor="text1"/>
          <w:spacing w:val="1"/>
        </w:rPr>
        <w:t xml:space="preserve"> </w:t>
      </w:r>
      <w:r w:rsidRPr="00E929F2">
        <w:rPr>
          <w:rFonts w:eastAsiaTheme="minorEastAsia"/>
          <w:color w:val="000000" w:themeColor="text1"/>
        </w:rPr>
        <w:t>regiunea</w:t>
      </w:r>
      <w:r w:rsidRPr="00E929F2">
        <w:rPr>
          <w:rFonts w:eastAsiaTheme="minorEastAsia"/>
          <w:color w:val="000000" w:themeColor="text1"/>
          <w:spacing w:val="1"/>
        </w:rPr>
        <w:t xml:space="preserve"> </w:t>
      </w:r>
      <w:r w:rsidRPr="00E929F2">
        <w:rPr>
          <w:rFonts w:eastAsiaTheme="minorEastAsia"/>
          <w:color w:val="000000" w:themeColor="text1"/>
        </w:rPr>
        <w:t>biogeografică</w:t>
      </w:r>
      <w:r w:rsidRPr="00E929F2">
        <w:rPr>
          <w:rFonts w:eastAsiaTheme="minorEastAsia"/>
          <w:color w:val="000000" w:themeColor="text1"/>
          <w:spacing w:val="1"/>
        </w:rPr>
        <w:t xml:space="preserve"> </w:t>
      </w:r>
      <w:r w:rsidRPr="00E929F2">
        <w:rPr>
          <w:rFonts w:eastAsiaTheme="minorEastAsia"/>
          <w:color w:val="000000" w:themeColor="text1"/>
        </w:rPr>
        <w:t>sau</w:t>
      </w:r>
      <w:r w:rsidRPr="00E929F2">
        <w:rPr>
          <w:rFonts w:eastAsiaTheme="minorEastAsia"/>
          <w:color w:val="000000" w:themeColor="text1"/>
          <w:spacing w:val="1"/>
        </w:rPr>
        <w:t xml:space="preserve"> </w:t>
      </w:r>
      <w:r w:rsidRPr="00E929F2">
        <w:rPr>
          <w:rFonts w:eastAsiaTheme="minorEastAsia"/>
          <w:color w:val="000000" w:themeColor="text1"/>
        </w:rPr>
        <w:t>marină</w:t>
      </w:r>
      <w:r w:rsidRPr="00E929F2">
        <w:rPr>
          <w:rFonts w:eastAsiaTheme="minorEastAsia"/>
          <w:color w:val="000000" w:themeColor="text1"/>
          <w:spacing w:val="1"/>
        </w:rPr>
        <w:t xml:space="preserve"> </w:t>
      </w:r>
      <w:r w:rsidRPr="00E929F2">
        <w:rPr>
          <w:rFonts w:eastAsiaTheme="minorEastAsia"/>
          <w:color w:val="000000" w:themeColor="text1"/>
        </w:rPr>
        <w:t>în</w:t>
      </w:r>
      <w:r w:rsidRPr="00E929F2">
        <w:rPr>
          <w:rFonts w:eastAsiaTheme="minorEastAsia"/>
          <w:color w:val="000000" w:themeColor="text1"/>
          <w:spacing w:val="1"/>
        </w:rPr>
        <w:t xml:space="preserve"> </w:t>
      </w:r>
      <w:r w:rsidRPr="00E929F2">
        <w:rPr>
          <w:rFonts w:eastAsiaTheme="minorEastAsia"/>
          <w:color w:val="000000" w:themeColor="text1"/>
        </w:rPr>
        <w:t>cauză.</w:t>
      </w:r>
      <w:r w:rsidRPr="00E929F2">
        <w:rPr>
          <w:rFonts w:eastAsiaTheme="minorEastAsia"/>
          <w:color w:val="000000" w:themeColor="text1"/>
          <w:spacing w:val="1"/>
        </w:rPr>
        <w:t xml:space="preserve"> </w:t>
      </w:r>
      <w:r w:rsidRPr="00E929F2">
        <w:rPr>
          <w:rFonts w:eastAsiaTheme="minorEastAsia"/>
          <w:color w:val="000000" w:themeColor="text1"/>
        </w:rPr>
        <w:t>Intervalul</w:t>
      </w:r>
      <w:r w:rsidRPr="00E929F2">
        <w:rPr>
          <w:rFonts w:eastAsiaTheme="minorEastAsia"/>
          <w:color w:val="000000" w:themeColor="text1"/>
          <w:spacing w:val="1"/>
        </w:rPr>
        <w:t xml:space="preserve"> </w:t>
      </w:r>
      <w:r w:rsidRPr="00E929F2">
        <w:rPr>
          <w:rFonts w:eastAsiaTheme="minorEastAsia"/>
          <w:color w:val="000000" w:themeColor="text1"/>
        </w:rPr>
        <w:t>din</w:t>
      </w:r>
      <w:r w:rsidRPr="00E929F2">
        <w:rPr>
          <w:rFonts w:eastAsiaTheme="minorEastAsia"/>
          <w:color w:val="000000" w:themeColor="text1"/>
          <w:spacing w:val="1"/>
        </w:rPr>
        <w:t xml:space="preserve"> </w:t>
      </w:r>
      <w:r w:rsidRPr="00E929F2">
        <w:rPr>
          <w:rFonts w:eastAsiaTheme="minorEastAsia"/>
          <w:color w:val="000000" w:themeColor="text1"/>
        </w:rPr>
        <w:t>regiunea</w:t>
      </w:r>
      <w:r w:rsidRPr="00E929F2">
        <w:rPr>
          <w:rFonts w:eastAsiaTheme="minorEastAsia"/>
          <w:color w:val="000000" w:themeColor="text1"/>
          <w:spacing w:val="-57"/>
        </w:rPr>
        <w:t xml:space="preserve"> </w:t>
      </w:r>
      <w:r w:rsidRPr="00E929F2">
        <w:rPr>
          <w:rFonts w:eastAsiaTheme="minorEastAsia"/>
          <w:color w:val="000000" w:themeColor="text1"/>
        </w:rPr>
        <w:t>biogeografică sau marină în cauză este reprezentat de grile (10x10 km) care apar total sau parțial în</w:t>
      </w:r>
      <w:r w:rsidRPr="00E929F2">
        <w:rPr>
          <w:rFonts w:eastAsiaTheme="minorEastAsia"/>
          <w:color w:val="000000" w:themeColor="text1"/>
          <w:spacing w:val="1"/>
        </w:rPr>
        <w:t xml:space="preserve"> </w:t>
      </w:r>
      <w:r w:rsidRPr="00E929F2">
        <w:rPr>
          <w:rFonts w:eastAsiaTheme="minorEastAsia"/>
          <w:color w:val="000000" w:themeColor="text1"/>
        </w:rPr>
        <w:t>regiune (adică rețelele intersectate de granițele regiunilor biogeografice sau marine sunt luate în</w:t>
      </w:r>
      <w:r w:rsidRPr="00E929F2">
        <w:rPr>
          <w:rFonts w:eastAsiaTheme="minorEastAsia"/>
          <w:color w:val="000000" w:themeColor="text1"/>
          <w:spacing w:val="1"/>
        </w:rPr>
        <w:t xml:space="preserve"> </w:t>
      </w:r>
      <w:r w:rsidRPr="00E929F2">
        <w:rPr>
          <w:rFonts w:eastAsiaTheme="minorEastAsia"/>
          <w:color w:val="000000" w:themeColor="text1"/>
        </w:rPr>
        <w:t>considerare în ambele regiuni). În general, suprafața este prevăzută cu rezoluție de 10x10 km, iar</w:t>
      </w:r>
      <w:r w:rsidRPr="00E929F2">
        <w:rPr>
          <w:rFonts w:eastAsiaTheme="minorEastAsia"/>
          <w:color w:val="000000" w:themeColor="text1"/>
          <w:spacing w:val="1"/>
        </w:rPr>
        <w:t xml:space="preserve"> </w:t>
      </w:r>
      <w:r w:rsidRPr="00E929F2">
        <w:rPr>
          <w:rFonts w:eastAsiaTheme="minorEastAsia"/>
          <w:color w:val="000000" w:themeColor="text1"/>
        </w:rPr>
        <w:t>suprafața minimă trebuie să fie de 100 km</w:t>
      </w:r>
      <w:r w:rsidRPr="00E929F2">
        <w:rPr>
          <w:rFonts w:eastAsiaTheme="minorEastAsia"/>
          <w:color w:val="000000" w:themeColor="text1"/>
          <w:vertAlign w:val="superscript"/>
        </w:rPr>
        <w:t>2</w:t>
      </w:r>
      <w:r w:rsidRPr="00E929F2">
        <w:rPr>
          <w:rFonts w:eastAsiaTheme="minorEastAsia"/>
          <w:color w:val="000000" w:themeColor="text1"/>
        </w:rPr>
        <w:t>. Pentru speciile localizate cu o rază foarte mică, este</w:t>
      </w:r>
      <w:r w:rsidRPr="00E929F2">
        <w:rPr>
          <w:rFonts w:eastAsiaTheme="minorEastAsia"/>
          <w:color w:val="000000" w:themeColor="text1"/>
          <w:spacing w:val="1"/>
        </w:rPr>
        <w:t xml:space="preserve"> </w:t>
      </w:r>
      <w:r w:rsidRPr="00E929F2">
        <w:rPr>
          <w:rFonts w:eastAsiaTheme="minorEastAsia"/>
          <w:color w:val="000000" w:themeColor="text1"/>
        </w:rPr>
        <w:t>posibil să se raporteze folosind o rezoluție mai fină; de exemplu, pentru habitatele limitate la o</w:t>
      </w:r>
      <w:r w:rsidRPr="00E929F2">
        <w:rPr>
          <w:rFonts w:eastAsiaTheme="minorEastAsia"/>
          <w:color w:val="000000" w:themeColor="text1"/>
          <w:spacing w:val="1"/>
        </w:rPr>
        <w:t xml:space="preserve"> </w:t>
      </w:r>
      <w:r w:rsidRPr="00E929F2">
        <w:rPr>
          <w:rFonts w:eastAsiaTheme="minorEastAsia"/>
          <w:color w:val="000000" w:themeColor="text1"/>
        </w:rPr>
        <w:t>singură locație, zona este localitatea în care se află habitatul, care poate fi de câțiva metri pătrați.</w:t>
      </w:r>
      <w:r w:rsidRPr="00E929F2">
        <w:rPr>
          <w:rFonts w:eastAsiaTheme="minorEastAsia"/>
          <w:color w:val="000000" w:themeColor="text1"/>
          <w:spacing w:val="1"/>
        </w:rPr>
        <w:t xml:space="preserve"> </w:t>
      </w:r>
      <w:r w:rsidRPr="00E929F2">
        <w:rPr>
          <w:rFonts w:eastAsiaTheme="minorEastAsia"/>
          <w:color w:val="000000" w:themeColor="text1"/>
        </w:rPr>
        <w:t>Sunt</w:t>
      </w:r>
      <w:r w:rsidRPr="00E929F2">
        <w:rPr>
          <w:rFonts w:eastAsiaTheme="minorEastAsia"/>
          <w:color w:val="000000" w:themeColor="text1"/>
          <w:spacing w:val="-1"/>
        </w:rPr>
        <w:t xml:space="preserve"> </w:t>
      </w:r>
      <w:r w:rsidRPr="00E929F2">
        <w:rPr>
          <w:rFonts w:eastAsiaTheme="minorEastAsia"/>
          <w:color w:val="000000" w:themeColor="text1"/>
        </w:rPr>
        <w:t>permise</w:t>
      </w:r>
      <w:r w:rsidRPr="00E929F2">
        <w:rPr>
          <w:rFonts w:eastAsiaTheme="minorEastAsia"/>
          <w:color w:val="000000" w:themeColor="text1"/>
          <w:spacing w:val="-1"/>
        </w:rPr>
        <w:t xml:space="preserve"> </w:t>
      </w:r>
      <w:r w:rsidRPr="00E929F2">
        <w:rPr>
          <w:rFonts w:eastAsiaTheme="minorEastAsia"/>
          <w:color w:val="000000" w:themeColor="text1"/>
        </w:rPr>
        <w:t>zecimale, întrucât</w:t>
      </w:r>
      <w:r w:rsidRPr="00E929F2">
        <w:rPr>
          <w:rFonts w:eastAsiaTheme="minorEastAsia"/>
          <w:color w:val="000000" w:themeColor="text1"/>
          <w:spacing w:val="-1"/>
        </w:rPr>
        <w:t xml:space="preserve"> </w:t>
      </w:r>
      <w:r w:rsidRPr="00E929F2">
        <w:rPr>
          <w:rFonts w:eastAsiaTheme="minorEastAsia"/>
          <w:color w:val="000000" w:themeColor="text1"/>
        </w:rPr>
        <w:t>arealul unor</w:t>
      </w:r>
      <w:r w:rsidRPr="00E929F2">
        <w:rPr>
          <w:rFonts w:eastAsiaTheme="minorEastAsia"/>
          <w:color w:val="000000" w:themeColor="text1"/>
          <w:spacing w:val="-1"/>
        </w:rPr>
        <w:t xml:space="preserve"> </w:t>
      </w:r>
      <w:r w:rsidRPr="00E929F2">
        <w:rPr>
          <w:rFonts w:eastAsiaTheme="minorEastAsia"/>
          <w:color w:val="000000" w:themeColor="text1"/>
        </w:rPr>
        <w:t>habitate poate</w:t>
      </w:r>
      <w:r w:rsidRPr="00E929F2">
        <w:rPr>
          <w:rFonts w:eastAsiaTheme="minorEastAsia"/>
          <w:color w:val="000000" w:themeColor="text1"/>
          <w:spacing w:val="-1"/>
        </w:rPr>
        <w:t xml:space="preserve"> </w:t>
      </w:r>
      <w:r w:rsidRPr="00E929F2">
        <w:rPr>
          <w:rFonts w:eastAsiaTheme="minorEastAsia"/>
          <w:color w:val="000000" w:themeColor="text1"/>
        </w:rPr>
        <w:t>fi</w:t>
      </w:r>
      <w:r w:rsidRPr="00E929F2">
        <w:rPr>
          <w:rFonts w:eastAsiaTheme="minorEastAsia"/>
          <w:color w:val="000000" w:themeColor="text1"/>
          <w:spacing w:val="2"/>
        </w:rPr>
        <w:t xml:space="preserve"> </w:t>
      </w:r>
      <w:r w:rsidRPr="00E929F2">
        <w:rPr>
          <w:rFonts w:eastAsiaTheme="minorEastAsia"/>
          <w:color w:val="000000" w:themeColor="text1"/>
        </w:rPr>
        <w:t>foarte</w:t>
      </w:r>
      <w:r w:rsidRPr="00E929F2">
        <w:rPr>
          <w:rFonts w:eastAsiaTheme="minorEastAsia"/>
          <w:color w:val="000000" w:themeColor="text1"/>
          <w:spacing w:val="-2"/>
        </w:rPr>
        <w:t xml:space="preserve"> </w:t>
      </w:r>
      <w:r w:rsidRPr="00E929F2">
        <w:rPr>
          <w:rFonts w:eastAsiaTheme="minorEastAsia"/>
          <w:color w:val="000000" w:themeColor="text1"/>
        </w:rPr>
        <w:t>mică.</w:t>
      </w:r>
    </w:p>
    <w:p w14:paraId="1A4365E3" w14:textId="77777777" w:rsidR="00E929F2" w:rsidRPr="00E929F2" w:rsidRDefault="00E929F2" w:rsidP="0049533B">
      <w:pPr>
        <w:widowControl w:val="0"/>
        <w:autoSpaceDE w:val="0"/>
        <w:autoSpaceDN w:val="0"/>
        <w:adjustRightInd w:val="0"/>
        <w:spacing w:before="1"/>
        <w:ind w:right="26" w:firstLine="270"/>
        <w:jc w:val="both"/>
        <w:rPr>
          <w:rFonts w:eastAsiaTheme="minorEastAsia"/>
          <w:color w:val="000000" w:themeColor="text1"/>
          <w:lang w:val="fr-FR"/>
        </w:rPr>
      </w:pPr>
      <w:proofErr w:type="spellStart"/>
      <w:r w:rsidRPr="00E929F2">
        <w:rPr>
          <w:rFonts w:eastAsiaTheme="minorEastAsia"/>
          <w:color w:val="000000" w:themeColor="text1"/>
          <w:lang w:val="fr-FR"/>
        </w:rPr>
        <w:t>Suprafața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habitatului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poate</w:t>
      </w:r>
      <w:proofErr w:type="spellEnd"/>
      <w:r w:rsidRPr="00E929F2">
        <w:rPr>
          <w:rFonts w:eastAsiaTheme="minorEastAsia"/>
          <w:color w:val="000000" w:themeColor="text1"/>
          <w:lang w:val="fr-FR"/>
        </w:rPr>
        <w:t xml:space="preserve"> fi </w:t>
      </w:r>
      <w:proofErr w:type="spellStart"/>
      <w:r w:rsidRPr="00E929F2">
        <w:rPr>
          <w:rFonts w:eastAsiaTheme="minorEastAsia"/>
          <w:color w:val="000000" w:themeColor="text1"/>
          <w:lang w:val="fr-FR"/>
        </w:rPr>
        <w:t>raportată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formatul</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raport</w:t>
      </w:r>
      <w:proofErr w:type="spellEnd"/>
      <w:r w:rsidRPr="00E929F2">
        <w:rPr>
          <w:rFonts w:eastAsiaTheme="minorEastAsia"/>
          <w:color w:val="000000" w:themeColor="text1"/>
          <w:lang w:val="fr-FR"/>
        </w:rPr>
        <w:t xml:space="preserve"> ca un </w:t>
      </w:r>
      <w:proofErr w:type="spellStart"/>
      <w:r w:rsidRPr="00E929F2">
        <w:rPr>
          <w:rFonts w:eastAsiaTheme="minorEastAsia"/>
          <w:color w:val="000000" w:themeColor="text1"/>
          <w:lang w:val="fr-FR"/>
        </w:rPr>
        <w:t>interval</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exemplu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valoarea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minimă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maximă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sau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intervalul</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încredere</w:t>
      </w:r>
      <w:proofErr w:type="spellEnd"/>
      <w:r w:rsidRPr="00E929F2">
        <w:rPr>
          <w:rFonts w:eastAsiaTheme="minorEastAsia"/>
          <w:color w:val="000000" w:themeColor="text1"/>
          <w:lang w:val="fr-FR"/>
        </w:rPr>
        <w:t xml:space="preserve"> de 95% </w:t>
      </w:r>
      <w:proofErr w:type="spellStart"/>
      <w:r w:rsidRPr="00E929F2">
        <w:rPr>
          <w:rFonts w:eastAsiaTheme="minorEastAsia"/>
          <w:color w:val="000000" w:themeColor="text1"/>
          <w:lang w:val="fr-FR"/>
        </w:rPr>
        <w:t>dintr</w:t>
      </w:r>
      <w:proofErr w:type="spellEnd"/>
      <w:r w:rsidRPr="00E929F2">
        <w:rPr>
          <w:rFonts w:eastAsiaTheme="minorEastAsia"/>
          <w:color w:val="000000" w:themeColor="text1"/>
          <w:lang w:val="fr-FR"/>
        </w:rPr>
        <w:t xml:space="preserve">-un model)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 </w:t>
      </w:r>
      <w:proofErr w:type="spellStart"/>
      <w:r w:rsidRPr="00E929F2">
        <w:rPr>
          <w:rFonts w:eastAsiaTheme="minorEastAsia"/>
          <w:color w:val="000000" w:themeColor="text1"/>
          <w:lang w:val="fr-FR"/>
        </w:rPr>
        <w:t>sau</w:t>
      </w:r>
      <w:proofErr w:type="spellEnd"/>
      <w:r w:rsidRPr="00E929F2">
        <w:rPr>
          <w:rFonts w:eastAsiaTheme="minorEastAsia"/>
          <w:color w:val="000000" w:themeColor="text1"/>
          <w:lang w:val="fr-FR"/>
        </w:rPr>
        <w:t xml:space="preserve"> ca </w:t>
      </w:r>
      <w:proofErr w:type="spellStart"/>
      <w:r w:rsidRPr="00E929F2">
        <w:rPr>
          <w:rFonts w:eastAsiaTheme="minorEastAsia"/>
          <w:color w:val="000000" w:themeColor="text1"/>
          <w:lang w:val="fr-FR"/>
        </w:rPr>
        <w:t>cea</w:t>
      </w:r>
      <w:proofErr w:type="spellEnd"/>
      <w:r w:rsidRPr="00E929F2">
        <w:rPr>
          <w:rFonts w:eastAsiaTheme="minorEastAsia"/>
          <w:color w:val="000000" w:themeColor="text1"/>
          <w:lang w:val="fr-FR"/>
        </w:rPr>
        <w:t xml:space="preserve"> mai </w:t>
      </w:r>
      <w:proofErr w:type="spellStart"/>
      <w:r w:rsidRPr="00E929F2">
        <w:rPr>
          <w:rFonts w:eastAsiaTheme="minorEastAsia"/>
          <w:color w:val="000000" w:themeColor="text1"/>
          <w:lang w:val="fr-FR"/>
        </w:rPr>
        <w:t>bună</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valoare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disponibilă</w:t>
      </w:r>
      <w:proofErr w:type="spellEnd"/>
      <w:r w:rsidRPr="00E929F2">
        <w:rPr>
          <w:rFonts w:eastAsiaTheme="minorEastAsia"/>
          <w:color w:val="000000" w:themeColor="text1"/>
          <w:lang w:val="fr-FR"/>
        </w:rPr>
        <w:t>.</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Estimarea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suprafeței</w:t>
      </w:r>
      <w:proofErr w:type="spellEnd"/>
      <w:r w:rsidRPr="00E929F2">
        <w:rPr>
          <w:rFonts w:eastAsiaTheme="minorEastAsia"/>
          <w:color w:val="000000" w:themeColor="text1"/>
          <w:spacing w:val="2"/>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intervale</w:t>
      </w:r>
      <w:proofErr w:type="spellEnd"/>
      <w:r w:rsidRPr="00E929F2">
        <w:rPr>
          <w:rFonts w:eastAsiaTheme="minorEastAsia"/>
          <w:color w:val="000000" w:themeColor="text1"/>
          <w:spacing w:val="4"/>
          <w:lang w:val="fr-FR"/>
        </w:rPr>
        <w:t xml:space="preserve"> </w:t>
      </w:r>
      <w:r w:rsidRPr="00E929F2">
        <w:rPr>
          <w:rFonts w:eastAsiaTheme="minorEastAsia"/>
          <w:color w:val="000000" w:themeColor="text1"/>
          <w:lang w:val="fr-FR"/>
        </w:rPr>
        <w:t>(</w:t>
      </w:r>
      <w:proofErr w:type="spellStart"/>
      <w:r w:rsidRPr="00E929F2">
        <w:rPr>
          <w:rFonts w:eastAsiaTheme="minorEastAsia"/>
          <w:color w:val="000000" w:themeColor="text1"/>
          <w:lang w:val="fr-FR"/>
        </w:rPr>
        <w:t>câmpurile</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5.2</w:t>
      </w:r>
      <w:r w:rsidRPr="00E929F2">
        <w:rPr>
          <w:rFonts w:eastAsiaTheme="minorEastAsia"/>
          <w:color w:val="000000" w:themeColor="text1"/>
          <w:spacing w:val="4"/>
          <w:lang w:val="fr-FR"/>
        </w:rPr>
        <w:t xml:space="preserve"> </w:t>
      </w:r>
      <w:r w:rsidRPr="00E929F2">
        <w:rPr>
          <w:rFonts w:eastAsiaTheme="minorEastAsia"/>
          <w:color w:val="000000" w:themeColor="text1"/>
          <w:lang w:val="fr-FR"/>
        </w:rPr>
        <w:t>(a)</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spacing w:val="2"/>
          <w:lang w:val="fr-FR"/>
        </w:rPr>
        <w:t xml:space="preserve"> </w:t>
      </w:r>
      <w:r w:rsidRPr="00E929F2">
        <w:rPr>
          <w:rFonts w:eastAsiaTheme="minorEastAsia"/>
          <w:color w:val="000000" w:themeColor="text1"/>
          <w:lang w:val="fr-FR"/>
        </w:rPr>
        <w:t>(b))</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trebuie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să</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 xml:space="preserve">fie </w:t>
      </w:r>
      <w:proofErr w:type="spellStart"/>
      <w:r w:rsidRPr="00E929F2">
        <w:rPr>
          <w:rFonts w:eastAsiaTheme="minorEastAsia"/>
          <w:color w:val="000000" w:themeColor="text1"/>
          <w:lang w:val="fr-FR"/>
        </w:rPr>
        <w:t>indicate</w:t>
      </w:r>
      <w:proofErr w:type="spellEnd"/>
      <w:r w:rsidRPr="00E929F2">
        <w:rPr>
          <w:rFonts w:eastAsiaTheme="minorEastAsia"/>
          <w:color w:val="000000" w:themeColor="text1"/>
          <w:lang w:val="fr-FR"/>
        </w:rPr>
        <w:t xml:space="preserve"> ca </w:t>
      </w:r>
      <w:proofErr w:type="spellStart"/>
      <w:r w:rsidRPr="00E929F2">
        <w:rPr>
          <w:rFonts w:eastAsiaTheme="minorEastAsia"/>
          <w:color w:val="000000" w:themeColor="text1"/>
          <w:lang w:val="fr-FR"/>
        </w:rPr>
        <w:t>numere</w:t>
      </w:r>
      <w:proofErr w:type="spellEnd"/>
      <w:r w:rsidRPr="00E929F2">
        <w:rPr>
          <w:rFonts w:eastAsiaTheme="minorEastAsia"/>
          <w:color w:val="000000" w:themeColor="text1"/>
          <w:lang w:val="fr-FR"/>
        </w:rPr>
        <w:t xml:space="preserve"> minime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maxime. </w:t>
      </w:r>
      <w:proofErr w:type="spellStart"/>
      <w:r w:rsidRPr="00E929F2">
        <w:rPr>
          <w:rFonts w:eastAsiaTheme="minorEastAsia"/>
          <w:color w:val="000000" w:themeColor="text1"/>
          <w:lang w:val="fr-FR"/>
        </w:rPr>
        <w:t>Minimul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maximul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trebuie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întotdeauna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introduse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împreună</w:t>
      </w:r>
      <w:proofErr w:type="spellEnd"/>
      <w:r w:rsidRPr="00E929F2">
        <w:rPr>
          <w:rFonts w:eastAsiaTheme="minorEastAsia"/>
          <w:color w:val="000000" w:themeColor="text1"/>
          <w:lang w:val="fr-FR"/>
        </w:rPr>
        <w:t>,</w:t>
      </w:r>
      <w:r w:rsidRPr="00E929F2">
        <w:rPr>
          <w:rFonts w:eastAsiaTheme="minorEastAsia"/>
          <w:color w:val="000000" w:themeColor="text1"/>
          <w:spacing w:val="-58"/>
          <w:lang w:val="fr-FR"/>
        </w:rPr>
        <w:t xml:space="preserve"> </w:t>
      </w:r>
      <w:proofErr w:type="spellStart"/>
      <w:r w:rsidRPr="00E929F2">
        <w:rPr>
          <w:rFonts w:eastAsiaTheme="minorEastAsia"/>
          <w:color w:val="000000" w:themeColor="text1"/>
          <w:lang w:val="fr-FR"/>
        </w:rPr>
        <w:t>adică</w:t>
      </w:r>
      <w:proofErr w:type="spellEnd"/>
      <w:r w:rsidRPr="00E929F2">
        <w:rPr>
          <w:rFonts w:eastAsiaTheme="minorEastAsia"/>
          <w:color w:val="000000" w:themeColor="text1"/>
          <w:spacing w:val="-3"/>
          <w:lang w:val="fr-FR"/>
        </w:rPr>
        <w:t xml:space="preserve"> </w:t>
      </w:r>
      <w:r w:rsidRPr="00E929F2">
        <w:rPr>
          <w:rFonts w:eastAsiaTheme="minorEastAsia"/>
          <w:color w:val="000000" w:themeColor="text1"/>
          <w:lang w:val="fr-FR"/>
        </w:rPr>
        <w:t xml:space="preserve">nu </w:t>
      </w:r>
      <w:proofErr w:type="spellStart"/>
      <w:r w:rsidRPr="00E929F2">
        <w:rPr>
          <w:rFonts w:eastAsiaTheme="minorEastAsia"/>
          <w:color w:val="000000" w:themeColor="text1"/>
          <w:lang w:val="fr-FR"/>
        </w:rPr>
        <w:t>numai</w:t>
      </w:r>
      <w:proofErr w:type="spellEnd"/>
      <w:r w:rsidRPr="00E929F2">
        <w:rPr>
          <w:rFonts w:eastAsiaTheme="minorEastAsia"/>
          <w:color w:val="000000" w:themeColor="text1"/>
          <w:lang w:val="fr-FR"/>
        </w:rPr>
        <w:t xml:space="preserve"> ca</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minimul</w:t>
      </w:r>
      <w:proofErr w:type="spellEnd"/>
      <w:r w:rsidRPr="00E929F2">
        <w:rPr>
          <w:rFonts w:eastAsiaTheme="minorEastAsia"/>
          <w:color w:val="000000" w:themeColor="text1"/>
          <w:lang w:val="fr-FR"/>
        </w:rPr>
        <w:t xml:space="preserve"> / </w:t>
      </w:r>
      <w:proofErr w:type="spellStart"/>
      <w:r w:rsidRPr="00E929F2">
        <w:rPr>
          <w:rFonts w:eastAsiaTheme="minorEastAsia"/>
          <w:color w:val="000000" w:themeColor="text1"/>
          <w:lang w:val="fr-FR"/>
        </w:rPr>
        <w:t>numai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maximul</w:t>
      </w:r>
      <w:proofErr w:type="spellEnd"/>
      <w:r w:rsidRPr="00E929F2">
        <w:rPr>
          <w:rFonts w:eastAsiaTheme="minorEastAsia"/>
          <w:color w:val="000000" w:themeColor="text1"/>
          <w:lang w:val="fr-FR"/>
        </w:rPr>
        <w:t>.</w:t>
      </w:r>
    </w:p>
    <w:p w14:paraId="26A87F59" w14:textId="77777777" w:rsidR="00E929F2" w:rsidRPr="00E929F2" w:rsidRDefault="00E929F2" w:rsidP="0049533B">
      <w:pPr>
        <w:widowControl w:val="0"/>
        <w:autoSpaceDE w:val="0"/>
        <w:autoSpaceDN w:val="0"/>
        <w:adjustRightInd w:val="0"/>
        <w:ind w:right="26" w:firstLine="270"/>
        <w:jc w:val="both"/>
        <w:rPr>
          <w:rFonts w:eastAsiaTheme="minorEastAsia"/>
          <w:color w:val="000000" w:themeColor="text1"/>
          <w:lang w:val="fr-FR"/>
        </w:rPr>
      </w:pPr>
      <w:proofErr w:type="spellStart"/>
      <w:r w:rsidRPr="00E929F2">
        <w:rPr>
          <w:rFonts w:eastAsiaTheme="minorEastAsia"/>
          <w:color w:val="000000" w:themeColor="text1"/>
          <w:lang w:val="fr-FR"/>
        </w:rPr>
        <w:lastRenderedPageBreak/>
        <w:t>Există</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asemenea</w:t>
      </w:r>
      <w:proofErr w:type="spellEnd"/>
      <w:r w:rsidRPr="00E929F2">
        <w:rPr>
          <w:rFonts w:eastAsiaTheme="minorEastAsia"/>
          <w:color w:val="000000" w:themeColor="text1"/>
          <w:lang w:val="fr-FR"/>
        </w:rPr>
        <w:t xml:space="preserve">, un </w:t>
      </w:r>
      <w:proofErr w:type="spellStart"/>
      <w:r w:rsidRPr="00E929F2">
        <w:rPr>
          <w:rFonts w:eastAsiaTheme="minorEastAsia"/>
          <w:color w:val="000000" w:themeColor="text1"/>
          <w:lang w:val="fr-FR"/>
        </w:rPr>
        <w:t>câmp</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cea</w:t>
      </w:r>
      <w:proofErr w:type="spellEnd"/>
      <w:r w:rsidRPr="00E929F2">
        <w:rPr>
          <w:rFonts w:eastAsiaTheme="minorEastAsia"/>
          <w:color w:val="000000" w:themeColor="text1"/>
          <w:lang w:val="fr-FR"/>
        </w:rPr>
        <w:t xml:space="preserve"> mai </w:t>
      </w:r>
      <w:proofErr w:type="spellStart"/>
      <w:r w:rsidRPr="00E929F2">
        <w:rPr>
          <w:rFonts w:eastAsiaTheme="minorEastAsia"/>
          <w:color w:val="000000" w:themeColor="text1"/>
          <w:lang w:val="fr-FR"/>
        </w:rPr>
        <w:t>bună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valoare</w:t>
      </w:r>
      <w:proofErr w:type="spellEnd"/>
      <w:r w:rsidRPr="00E929F2">
        <w:rPr>
          <w:rFonts w:eastAsiaTheme="minorEastAsia"/>
          <w:color w:val="000000" w:themeColor="text1"/>
          <w:lang w:val="fr-FR"/>
        </w:rPr>
        <w:t xml:space="preserve">” (5.2 (c)) </w:t>
      </w:r>
      <w:proofErr w:type="spellStart"/>
      <w:r w:rsidRPr="00E929F2">
        <w:rPr>
          <w:rFonts w:eastAsiaTheme="minorEastAsia"/>
          <w:color w:val="000000" w:themeColor="text1"/>
          <w:lang w:val="fr-FR"/>
        </w:rPr>
        <w:t>unde</w:t>
      </w:r>
      <w:proofErr w:type="spellEnd"/>
      <w:r w:rsidRPr="00E929F2">
        <w:rPr>
          <w:rFonts w:eastAsiaTheme="minorEastAsia"/>
          <w:color w:val="000000" w:themeColor="text1"/>
          <w:lang w:val="fr-FR"/>
        </w:rPr>
        <w:t xml:space="preserve"> se </w:t>
      </w:r>
      <w:proofErr w:type="spellStart"/>
      <w:r w:rsidRPr="00E929F2">
        <w:rPr>
          <w:rFonts w:eastAsiaTheme="minorEastAsia"/>
          <w:color w:val="000000" w:themeColor="text1"/>
          <w:lang w:val="fr-FR"/>
        </w:rPr>
        <w:t>poate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introduce</w:t>
      </w:r>
      <w:proofErr w:type="spellEnd"/>
      <w:r w:rsidRPr="00E929F2">
        <w:rPr>
          <w:rFonts w:eastAsiaTheme="minorEastAsia"/>
          <w:color w:val="000000" w:themeColor="text1"/>
          <w:lang w:val="fr-FR"/>
        </w:rPr>
        <w:t xml:space="preserve"> o </w:t>
      </w:r>
      <w:proofErr w:type="spellStart"/>
      <w:r w:rsidRPr="00E929F2">
        <w:rPr>
          <w:rFonts w:eastAsiaTheme="minorEastAsia"/>
          <w:color w:val="000000" w:themeColor="text1"/>
          <w:lang w:val="fr-FR"/>
        </w:rPr>
        <w:t>singură</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valoare</w:t>
      </w:r>
      <w:proofErr w:type="spellEnd"/>
      <w:r w:rsidRPr="00E929F2">
        <w:rPr>
          <w:rFonts w:eastAsiaTheme="minorEastAsia"/>
          <w:color w:val="000000" w:themeColor="text1"/>
          <w:lang w:val="fr-FR"/>
        </w:rPr>
        <w:t xml:space="preserve"> (o </w:t>
      </w:r>
      <w:proofErr w:type="spellStart"/>
      <w:r w:rsidRPr="00E929F2">
        <w:rPr>
          <w:rFonts w:eastAsiaTheme="minorEastAsia"/>
          <w:color w:val="000000" w:themeColor="text1"/>
          <w:lang w:val="fr-FR"/>
        </w:rPr>
        <w:t>valoare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precisă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sau</w:t>
      </w:r>
      <w:proofErr w:type="spellEnd"/>
      <w:r w:rsidRPr="00E929F2">
        <w:rPr>
          <w:rFonts w:eastAsiaTheme="minorEastAsia"/>
          <w:color w:val="000000" w:themeColor="text1"/>
          <w:lang w:val="fr-FR"/>
        </w:rPr>
        <w:t xml:space="preserve"> o </w:t>
      </w:r>
      <w:proofErr w:type="spellStart"/>
      <w:r w:rsidRPr="00E929F2">
        <w:rPr>
          <w:rFonts w:eastAsiaTheme="minorEastAsia"/>
          <w:color w:val="000000" w:themeColor="text1"/>
          <w:lang w:val="fr-FR"/>
        </w:rPr>
        <w:t>estimare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Când</w:t>
      </w:r>
      <w:proofErr w:type="spellEnd"/>
      <w:r w:rsidRPr="00E929F2">
        <w:rPr>
          <w:rFonts w:eastAsiaTheme="minorEastAsia"/>
          <w:color w:val="000000" w:themeColor="text1"/>
          <w:lang w:val="fr-FR"/>
        </w:rPr>
        <w:t xml:space="preserve"> se </w:t>
      </w:r>
      <w:proofErr w:type="spellStart"/>
      <w:r w:rsidRPr="00E929F2">
        <w:rPr>
          <w:rFonts w:eastAsiaTheme="minorEastAsia"/>
          <w:color w:val="000000" w:themeColor="text1"/>
          <w:lang w:val="fr-FR"/>
        </w:rPr>
        <w:t>cunoaște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doar</w:t>
      </w:r>
      <w:proofErr w:type="spellEnd"/>
      <w:r w:rsidRPr="00E929F2">
        <w:rPr>
          <w:rFonts w:eastAsiaTheme="minorEastAsia"/>
          <w:color w:val="000000" w:themeColor="text1"/>
          <w:lang w:val="fr-FR"/>
        </w:rPr>
        <w:t xml:space="preserve"> o </w:t>
      </w:r>
      <w:proofErr w:type="spellStart"/>
      <w:r w:rsidRPr="00E929F2">
        <w:rPr>
          <w:rFonts w:eastAsiaTheme="minorEastAsia"/>
          <w:color w:val="000000" w:themeColor="text1"/>
          <w:lang w:val="fr-FR"/>
        </w:rPr>
        <w:t>valoare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minimă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sau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maximă</w:t>
      </w:r>
      <w:proofErr w:type="spellEnd"/>
      <w:r w:rsidRPr="00E929F2">
        <w:rPr>
          <w:rFonts w:eastAsiaTheme="minorEastAsia"/>
          <w:color w:val="000000" w:themeColor="text1"/>
          <w:lang w:val="fr-FR"/>
        </w:rPr>
        <w:t>) a</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suprafeței</w:t>
      </w:r>
      <w:proofErr w:type="spellEnd"/>
      <w:r w:rsidRPr="00E929F2">
        <w:rPr>
          <w:rFonts w:eastAsiaTheme="minorEastAsia"/>
          <w:color w:val="000000" w:themeColor="text1"/>
          <w:spacing w:val="38"/>
          <w:lang w:val="fr-FR"/>
        </w:rPr>
        <w:t xml:space="preserve"> </w:t>
      </w:r>
      <w:proofErr w:type="spellStart"/>
      <w:r w:rsidRPr="00E929F2">
        <w:rPr>
          <w:rFonts w:eastAsiaTheme="minorEastAsia"/>
          <w:color w:val="000000" w:themeColor="text1"/>
          <w:lang w:val="fr-FR"/>
        </w:rPr>
        <w:t>habitatului</w:t>
      </w:r>
      <w:proofErr w:type="spellEnd"/>
      <w:r w:rsidRPr="00E929F2">
        <w:rPr>
          <w:rFonts w:eastAsiaTheme="minorEastAsia"/>
          <w:color w:val="000000" w:themeColor="text1"/>
          <w:spacing w:val="39"/>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37"/>
          <w:lang w:val="fr-FR"/>
        </w:rPr>
        <w:t xml:space="preserve"> </w:t>
      </w:r>
      <w:proofErr w:type="spellStart"/>
      <w:r w:rsidRPr="00E929F2">
        <w:rPr>
          <w:rFonts w:eastAsiaTheme="minorEastAsia"/>
          <w:color w:val="000000" w:themeColor="text1"/>
          <w:lang w:val="fr-FR"/>
        </w:rPr>
        <w:t>exemplu</w:t>
      </w:r>
      <w:proofErr w:type="spellEnd"/>
      <w:r w:rsidRPr="00E929F2">
        <w:rPr>
          <w:rFonts w:eastAsiaTheme="minorEastAsia"/>
          <w:color w:val="000000" w:themeColor="text1"/>
          <w:lang w:val="fr-FR"/>
        </w:rPr>
        <w:t>,</w:t>
      </w:r>
      <w:r w:rsidRPr="00E929F2">
        <w:rPr>
          <w:rFonts w:eastAsiaTheme="minorEastAsia"/>
          <w:color w:val="000000" w:themeColor="text1"/>
          <w:spacing w:val="38"/>
          <w:lang w:val="fr-FR"/>
        </w:rPr>
        <w:t xml:space="preserve"> </w:t>
      </w:r>
      <w:proofErr w:type="spellStart"/>
      <w:r w:rsidRPr="00E929F2">
        <w:rPr>
          <w:rFonts w:eastAsiaTheme="minorEastAsia"/>
          <w:color w:val="000000" w:themeColor="text1"/>
          <w:lang w:val="fr-FR"/>
        </w:rPr>
        <w:t>prin</w:t>
      </w:r>
      <w:proofErr w:type="spellEnd"/>
      <w:r w:rsidRPr="00E929F2">
        <w:rPr>
          <w:rFonts w:eastAsiaTheme="minorEastAsia"/>
          <w:color w:val="000000" w:themeColor="text1"/>
          <w:spacing w:val="39"/>
          <w:lang w:val="fr-FR"/>
        </w:rPr>
        <w:t xml:space="preserve"> </w:t>
      </w:r>
      <w:proofErr w:type="spellStart"/>
      <w:r w:rsidRPr="00E929F2">
        <w:rPr>
          <w:rFonts w:eastAsiaTheme="minorEastAsia"/>
          <w:color w:val="000000" w:themeColor="text1"/>
          <w:lang w:val="fr-FR"/>
        </w:rPr>
        <w:t>avizul</w:t>
      </w:r>
      <w:proofErr w:type="spellEnd"/>
      <w:r w:rsidRPr="00E929F2">
        <w:rPr>
          <w:rFonts w:eastAsiaTheme="minorEastAsia"/>
          <w:color w:val="000000" w:themeColor="text1"/>
          <w:spacing w:val="36"/>
          <w:lang w:val="fr-FR"/>
        </w:rPr>
        <w:t xml:space="preserve"> </w:t>
      </w:r>
      <w:proofErr w:type="spellStart"/>
      <w:r w:rsidRPr="00E929F2">
        <w:rPr>
          <w:rFonts w:eastAsiaTheme="minorEastAsia"/>
          <w:color w:val="000000" w:themeColor="text1"/>
          <w:lang w:val="fr-FR"/>
        </w:rPr>
        <w:t>experților</w:t>
      </w:r>
      <w:proofErr w:type="spellEnd"/>
      <w:r w:rsidRPr="00E929F2">
        <w:rPr>
          <w:rFonts w:eastAsiaTheme="minorEastAsia"/>
          <w:color w:val="000000" w:themeColor="text1"/>
          <w:lang w:val="fr-FR"/>
        </w:rPr>
        <w:t>),</w:t>
      </w:r>
      <w:r w:rsidRPr="00E929F2">
        <w:rPr>
          <w:rFonts w:eastAsiaTheme="minorEastAsia"/>
          <w:color w:val="000000" w:themeColor="text1"/>
          <w:spacing w:val="38"/>
          <w:lang w:val="fr-FR"/>
        </w:rPr>
        <w:t xml:space="preserve"> </w:t>
      </w:r>
      <w:proofErr w:type="spellStart"/>
      <w:r w:rsidRPr="00E929F2">
        <w:rPr>
          <w:rFonts w:eastAsiaTheme="minorEastAsia"/>
          <w:color w:val="000000" w:themeColor="text1"/>
          <w:lang w:val="fr-FR"/>
        </w:rPr>
        <w:t>aceasta</w:t>
      </w:r>
      <w:proofErr w:type="spellEnd"/>
      <w:r w:rsidRPr="00E929F2">
        <w:rPr>
          <w:rFonts w:eastAsiaTheme="minorEastAsia"/>
          <w:color w:val="000000" w:themeColor="text1"/>
          <w:spacing w:val="41"/>
          <w:lang w:val="fr-FR"/>
        </w:rPr>
        <w:t xml:space="preserve"> </w:t>
      </w:r>
      <w:proofErr w:type="spellStart"/>
      <w:r w:rsidRPr="00E929F2">
        <w:rPr>
          <w:rFonts w:eastAsiaTheme="minorEastAsia"/>
          <w:color w:val="000000" w:themeColor="text1"/>
          <w:lang w:val="fr-FR"/>
        </w:rPr>
        <w:t>ar</w:t>
      </w:r>
      <w:proofErr w:type="spellEnd"/>
      <w:r w:rsidRPr="00E929F2">
        <w:rPr>
          <w:rFonts w:eastAsiaTheme="minorEastAsia"/>
          <w:color w:val="000000" w:themeColor="text1"/>
          <w:spacing w:val="37"/>
          <w:lang w:val="fr-FR"/>
        </w:rPr>
        <w:t xml:space="preserve"> </w:t>
      </w:r>
      <w:proofErr w:type="spellStart"/>
      <w:r w:rsidRPr="00E929F2">
        <w:rPr>
          <w:rFonts w:eastAsiaTheme="minorEastAsia"/>
          <w:color w:val="000000" w:themeColor="text1"/>
          <w:lang w:val="fr-FR"/>
        </w:rPr>
        <w:t>trebui</w:t>
      </w:r>
      <w:proofErr w:type="spellEnd"/>
      <w:r w:rsidRPr="00E929F2">
        <w:rPr>
          <w:rFonts w:eastAsiaTheme="minorEastAsia"/>
          <w:color w:val="000000" w:themeColor="text1"/>
          <w:spacing w:val="39"/>
          <w:lang w:val="fr-FR"/>
        </w:rPr>
        <w:t xml:space="preserve"> </w:t>
      </w:r>
      <w:proofErr w:type="spellStart"/>
      <w:r w:rsidRPr="00E929F2">
        <w:rPr>
          <w:rFonts w:eastAsiaTheme="minorEastAsia"/>
          <w:color w:val="000000" w:themeColor="text1"/>
          <w:lang w:val="fr-FR"/>
        </w:rPr>
        <w:t>introdusă</w:t>
      </w:r>
      <w:proofErr w:type="spellEnd"/>
      <w:r w:rsidRPr="00E929F2">
        <w:rPr>
          <w:rFonts w:eastAsiaTheme="minorEastAsia"/>
          <w:color w:val="000000" w:themeColor="text1"/>
          <w:spacing w:val="37"/>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spacing w:val="39"/>
          <w:lang w:val="fr-FR"/>
        </w:rPr>
        <w:t xml:space="preserve"> </w:t>
      </w:r>
      <w:proofErr w:type="spellStart"/>
      <w:r w:rsidRPr="00E929F2">
        <w:rPr>
          <w:rFonts w:eastAsiaTheme="minorEastAsia"/>
          <w:color w:val="000000" w:themeColor="text1"/>
          <w:lang w:val="fr-FR"/>
        </w:rPr>
        <w:t>câmpul</w:t>
      </w:r>
      <w:proofErr w:type="spellEnd"/>
    </w:p>
    <w:p w14:paraId="292A308E" w14:textId="77777777" w:rsidR="00E929F2" w:rsidRPr="00E929F2" w:rsidRDefault="00E929F2" w:rsidP="0049533B">
      <w:pPr>
        <w:widowControl w:val="0"/>
        <w:autoSpaceDE w:val="0"/>
        <w:autoSpaceDN w:val="0"/>
        <w:adjustRightInd w:val="0"/>
        <w:ind w:right="26" w:firstLine="270"/>
        <w:jc w:val="both"/>
        <w:rPr>
          <w:rFonts w:eastAsiaTheme="minorEastAsia"/>
          <w:color w:val="000000" w:themeColor="text1"/>
          <w:lang w:val="fr-FR"/>
        </w:rPr>
      </w:pPr>
      <w:r w:rsidRPr="00E929F2">
        <w:rPr>
          <w:rFonts w:eastAsiaTheme="minorEastAsia"/>
          <w:color w:val="000000" w:themeColor="text1"/>
          <w:lang w:val="fr-FR"/>
        </w:rPr>
        <w:t>„</w:t>
      </w:r>
      <w:proofErr w:type="spellStart"/>
      <w:r w:rsidRPr="00E929F2">
        <w:rPr>
          <w:rFonts w:eastAsiaTheme="minorEastAsia"/>
          <w:color w:val="000000" w:themeColor="text1"/>
          <w:lang w:val="fr-FR"/>
        </w:rPr>
        <w:t>Cea</w:t>
      </w:r>
      <w:proofErr w:type="spellEnd"/>
      <w:r w:rsidRPr="00E929F2">
        <w:rPr>
          <w:rFonts w:eastAsiaTheme="minorEastAsia"/>
          <w:color w:val="000000" w:themeColor="text1"/>
          <w:lang w:val="fr-FR"/>
        </w:rPr>
        <w:t xml:space="preserve"> mai </w:t>
      </w:r>
      <w:proofErr w:type="spellStart"/>
      <w:r w:rsidRPr="00E929F2">
        <w:rPr>
          <w:rFonts w:eastAsiaTheme="minorEastAsia"/>
          <w:color w:val="000000" w:themeColor="text1"/>
          <w:lang w:val="fr-FR"/>
        </w:rPr>
        <w:t>bună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valoare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NU „(a) </w:t>
      </w:r>
      <w:proofErr w:type="spellStart"/>
      <w:r w:rsidRPr="00E929F2">
        <w:rPr>
          <w:rFonts w:eastAsiaTheme="minorEastAsia"/>
          <w:color w:val="000000" w:themeColor="text1"/>
          <w:lang w:val="fr-FR"/>
        </w:rPr>
        <w:t>minimă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sau</w:t>
      </w:r>
      <w:proofErr w:type="spellEnd"/>
      <w:r w:rsidRPr="00E929F2">
        <w:rPr>
          <w:rFonts w:eastAsiaTheme="minorEastAsia"/>
          <w:color w:val="000000" w:themeColor="text1"/>
          <w:lang w:val="fr-FR"/>
        </w:rPr>
        <w:t xml:space="preserve"> „(b) Maxim ”</w:t>
      </w:r>
      <w:proofErr w:type="spellStart"/>
      <w:r w:rsidRPr="00E929F2">
        <w:rPr>
          <w:rFonts w:eastAsiaTheme="minorEastAsia"/>
          <w:color w:val="000000" w:themeColor="text1"/>
          <w:lang w:val="fr-FR"/>
        </w:rPr>
        <w:t>câmpuri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Sursa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acestei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estimări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poate</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fi</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clarificată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câmpul</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5.3 (</w:t>
      </w:r>
      <w:proofErr w:type="spellStart"/>
      <w:r w:rsidRPr="00E929F2">
        <w:rPr>
          <w:rFonts w:eastAsiaTheme="minorEastAsia"/>
          <w:color w:val="000000" w:themeColor="text1"/>
          <w:lang w:val="fr-FR"/>
        </w:rPr>
        <w:t>vezi</w:t>
      </w:r>
      <w:proofErr w:type="spellEnd"/>
      <w:r w:rsidRPr="00E929F2">
        <w:rPr>
          <w:rFonts w:eastAsiaTheme="minorEastAsia"/>
          <w:color w:val="000000" w:themeColor="text1"/>
          <w:lang w:val="fr-FR"/>
        </w:rPr>
        <w:t xml:space="preserve"> mai</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jos</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Numerele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raportate</w:t>
      </w:r>
      <w:proofErr w:type="spellEnd"/>
      <w:r w:rsidRPr="00E929F2">
        <w:rPr>
          <w:rFonts w:eastAsiaTheme="minorEastAsia"/>
          <w:color w:val="000000" w:themeColor="text1"/>
          <w:spacing w:val="-2"/>
          <w:lang w:val="fr-FR"/>
        </w:rPr>
        <w:t xml:space="preserve"> </w:t>
      </w:r>
      <w:r w:rsidRPr="00E929F2">
        <w:rPr>
          <w:rFonts w:eastAsiaTheme="minorEastAsia"/>
          <w:color w:val="000000" w:themeColor="text1"/>
          <w:lang w:val="fr-FR"/>
        </w:rPr>
        <w:t xml:space="preserve">nu </w:t>
      </w:r>
      <w:proofErr w:type="spellStart"/>
      <w:r w:rsidRPr="00E929F2">
        <w:rPr>
          <w:rFonts w:eastAsiaTheme="minorEastAsia"/>
          <w:color w:val="000000" w:themeColor="text1"/>
          <w:lang w:val="fr-FR"/>
        </w:rPr>
        <w:t>trebuie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rotunjite</w:t>
      </w:r>
      <w:proofErr w:type="spellEnd"/>
      <w:r w:rsidRPr="00E929F2">
        <w:rPr>
          <w:rFonts w:eastAsiaTheme="minorEastAsia"/>
          <w:color w:val="000000" w:themeColor="text1"/>
          <w:lang w:val="fr-FR"/>
        </w:rPr>
        <w:t>.</w:t>
      </w:r>
    </w:p>
    <w:p w14:paraId="52958C67" w14:textId="77777777" w:rsidR="00E929F2" w:rsidRPr="00E929F2" w:rsidRDefault="00E929F2" w:rsidP="0049533B">
      <w:pPr>
        <w:widowControl w:val="0"/>
        <w:autoSpaceDE w:val="0"/>
        <w:autoSpaceDN w:val="0"/>
        <w:adjustRightInd w:val="0"/>
        <w:ind w:right="26" w:firstLine="270"/>
        <w:jc w:val="both"/>
        <w:rPr>
          <w:rFonts w:eastAsiaTheme="minorEastAsia"/>
          <w:color w:val="000000" w:themeColor="text1"/>
          <w:lang w:val="fr-FR"/>
        </w:rPr>
      </w:pPr>
      <w:proofErr w:type="spellStart"/>
      <w:r w:rsidRPr="00E929F2">
        <w:rPr>
          <w:rFonts w:eastAsiaTheme="minorEastAsia"/>
          <w:color w:val="000000" w:themeColor="text1"/>
          <w:lang w:val="fr-FR"/>
        </w:rPr>
        <w:t>Atât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intervalul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cât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cea</w:t>
      </w:r>
      <w:proofErr w:type="spellEnd"/>
      <w:r w:rsidRPr="00E929F2">
        <w:rPr>
          <w:rFonts w:eastAsiaTheme="minorEastAsia"/>
          <w:color w:val="000000" w:themeColor="text1"/>
          <w:lang w:val="fr-FR"/>
        </w:rPr>
        <w:t xml:space="preserve"> mai </w:t>
      </w:r>
      <w:proofErr w:type="spellStart"/>
      <w:r w:rsidRPr="00E929F2">
        <w:rPr>
          <w:rFonts w:eastAsiaTheme="minorEastAsia"/>
          <w:color w:val="000000" w:themeColor="text1"/>
          <w:lang w:val="fr-FR"/>
        </w:rPr>
        <w:t>bună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valoare</w:t>
      </w:r>
      <w:proofErr w:type="spellEnd"/>
      <w:r w:rsidRPr="00E929F2">
        <w:rPr>
          <w:rFonts w:eastAsiaTheme="minorEastAsia"/>
          <w:color w:val="000000" w:themeColor="text1"/>
          <w:lang w:val="fr-FR"/>
        </w:rPr>
        <w:t xml:space="preserve"> pot fi </w:t>
      </w:r>
      <w:proofErr w:type="spellStart"/>
      <w:r w:rsidRPr="00E929F2">
        <w:rPr>
          <w:rFonts w:eastAsiaTheme="minorEastAsia"/>
          <w:color w:val="000000" w:themeColor="text1"/>
          <w:lang w:val="fr-FR"/>
        </w:rPr>
        <w:t>furnizate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împreună</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exemplu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atunci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când</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intervalul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provenit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din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modelare</w:t>
      </w:r>
      <w:proofErr w:type="spellEnd"/>
      <w:r w:rsidRPr="00E929F2">
        <w:rPr>
          <w:rFonts w:eastAsiaTheme="minorEastAsia"/>
          <w:color w:val="000000" w:themeColor="text1"/>
          <w:lang w:val="fr-FR"/>
        </w:rPr>
        <w:t xml:space="preserve"> este </w:t>
      </w:r>
      <w:proofErr w:type="spellStart"/>
      <w:r w:rsidRPr="00E929F2">
        <w:rPr>
          <w:rFonts w:eastAsiaTheme="minorEastAsia"/>
          <w:color w:val="000000" w:themeColor="text1"/>
          <w:lang w:val="fr-FR"/>
        </w:rPr>
        <w:t>destul</w:t>
      </w:r>
      <w:proofErr w:type="spellEnd"/>
      <w:r w:rsidRPr="00E929F2">
        <w:rPr>
          <w:rFonts w:eastAsiaTheme="minorEastAsia"/>
          <w:color w:val="000000" w:themeColor="text1"/>
          <w:lang w:val="fr-FR"/>
        </w:rPr>
        <w:t xml:space="preserve"> de</w:t>
      </w:r>
      <w:r w:rsidRPr="00E929F2">
        <w:rPr>
          <w:rFonts w:eastAsiaTheme="minorEastAsia"/>
          <w:color w:val="000000" w:themeColor="text1"/>
          <w:spacing w:val="60"/>
          <w:lang w:val="fr-FR"/>
        </w:rPr>
        <w:t xml:space="preserve"> </w:t>
      </w:r>
      <w:r w:rsidRPr="00E929F2">
        <w:rPr>
          <w:rFonts w:eastAsiaTheme="minorEastAsia"/>
          <w:color w:val="000000" w:themeColor="text1"/>
          <w:lang w:val="fr-FR"/>
        </w:rPr>
        <w:t xml:space="preserve">mare (de </w:t>
      </w:r>
      <w:proofErr w:type="spellStart"/>
      <w:r w:rsidRPr="00E929F2">
        <w:rPr>
          <w:rFonts w:eastAsiaTheme="minorEastAsia"/>
          <w:color w:val="000000" w:themeColor="text1"/>
          <w:lang w:val="fr-FR"/>
        </w:rPr>
        <w:t>exemplu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valorile</w:t>
      </w:r>
      <w:proofErr w:type="spellEnd"/>
      <w:r w:rsidRPr="00E929F2">
        <w:rPr>
          <w:rFonts w:eastAsiaTheme="minorEastAsia"/>
          <w:color w:val="000000" w:themeColor="text1"/>
          <w:lang w:val="fr-FR"/>
        </w:rPr>
        <w:t xml:space="preserve"> minime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maxime)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 xml:space="preserve">este </w:t>
      </w:r>
      <w:proofErr w:type="spellStart"/>
      <w:r w:rsidRPr="00E929F2">
        <w:rPr>
          <w:rFonts w:eastAsiaTheme="minorEastAsia"/>
          <w:color w:val="000000" w:themeColor="text1"/>
          <w:lang w:val="fr-FR"/>
        </w:rPr>
        <w:t>disponibilă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o </w:t>
      </w:r>
      <w:proofErr w:type="spellStart"/>
      <w:r w:rsidRPr="00E929F2">
        <w:rPr>
          <w:rFonts w:eastAsiaTheme="minorEastAsia"/>
          <w:color w:val="000000" w:themeColor="text1"/>
          <w:lang w:val="fr-FR"/>
        </w:rPr>
        <w:t>evaluare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expertă</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suprafeței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reale</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habitatului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Evaluarea</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către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experți</w:t>
      </w:r>
      <w:proofErr w:type="spellEnd"/>
      <w:r w:rsidRPr="00E929F2">
        <w:rPr>
          <w:rFonts w:eastAsiaTheme="minorEastAsia"/>
          <w:color w:val="000000" w:themeColor="text1"/>
          <w:lang w:val="fr-FR"/>
        </w:rPr>
        <w:t xml:space="preserve"> a</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rezultatelor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modelării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poate</w:t>
      </w:r>
      <w:proofErr w:type="spellEnd"/>
      <w:r w:rsidRPr="00E929F2">
        <w:rPr>
          <w:rFonts w:eastAsiaTheme="minorEastAsia"/>
          <w:color w:val="000000" w:themeColor="text1"/>
          <w:lang w:val="fr-FR"/>
        </w:rPr>
        <w:t xml:space="preserve"> duce la o </w:t>
      </w:r>
      <w:proofErr w:type="spellStart"/>
      <w:r w:rsidRPr="00E929F2">
        <w:rPr>
          <w:rFonts w:eastAsiaTheme="minorEastAsia"/>
          <w:color w:val="000000" w:themeColor="text1"/>
          <w:lang w:val="fr-FR"/>
        </w:rPr>
        <w:t>valoare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unică</w:t>
      </w:r>
      <w:proofErr w:type="spellEnd"/>
      <w:r w:rsidRPr="00E929F2">
        <w:rPr>
          <w:rFonts w:eastAsiaTheme="minorEastAsia"/>
          <w:color w:val="000000" w:themeColor="text1"/>
          <w:lang w:val="fr-FR"/>
        </w:rPr>
        <w:t xml:space="preserve"> mai </w:t>
      </w:r>
      <w:proofErr w:type="spellStart"/>
      <w:r w:rsidRPr="00E929F2">
        <w:rPr>
          <w:rFonts w:eastAsiaTheme="minorEastAsia"/>
          <w:color w:val="000000" w:themeColor="text1"/>
          <w:lang w:val="fr-FR"/>
        </w:rPr>
        <w:t>exactă</w:t>
      </w:r>
      <w:proofErr w:type="spellEnd"/>
      <w:r w:rsidRPr="00E929F2">
        <w:rPr>
          <w:rFonts w:eastAsiaTheme="minorEastAsia"/>
          <w:color w:val="000000" w:themeColor="text1"/>
          <w:lang w:val="fr-FR"/>
        </w:rPr>
        <w:t xml:space="preserve"> care </w:t>
      </w:r>
      <w:proofErr w:type="spellStart"/>
      <w:r w:rsidRPr="00E929F2">
        <w:rPr>
          <w:rFonts w:eastAsiaTheme="minorEastAsia"/>
          <w:color w:val="000000" w:themeColor="text1"/>
          <w:lang w:val="fr-FR"/>
        </w:rPr>
        <w:t>trebuie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utilizată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evaluările</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 xml:space="preserve">UE.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alte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situații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estimarea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punctului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cea</w:t>
      </w:r>
      <w:proofErr w:type="spellEnd"/>
      <w:r w:rsidRPr="00E929F2">
        <w:rPr>
          <w:rFonts w:eastAsiaTheme="minorEastAsia"/>
          <w:color w:val="000000" w:themeColor="text1"/>
          <w:lang w:val="fr-FR"/>
        </w:rPr>
        <w:t xml:space="preserve"> mai </w:t>
      </w:r>
      <w:proofErr w:type="spellStart"/>
      <w:r w:rsidRPr="00E929F2">
        <w:rPr>
          <w:rFonts w:eastAsiaTheme="minorEastAsia"/>
          <w:color w:val="000000" w:themeColor="text1"/>
          <w:lang w:val="fr-FR"/>
        </w:rPr>
        <w:t>bună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valoare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unică</w:t>
      </w:r>
      <w:proofErr w:type="spellEnd"/>
      <w:r w:rsidRPr="00E929F2">
        <w:rPr>
          <w:rFonts w:eastAsiaTheme="minorEastAsia"/>
          <w:color w:val="000000" w:themeColor="text1"/>
          <w:lang w:val="fr-FR"/>
        </w:rPr>
        <w:t xml:space="preserve">) este </w:t>
      </w:r>
      <w:proofErr w:type="spellStart"/>
      <w:r w:rsidRPr="00E929F2">
        <w:rPr>
          <w:rFonts w:eastAsiaTheme="minorEastAsia"/>
          <w:color w:val="000000" w:themeColor="text1"/>
          <w:lang w:val="fr-FR"/>
        </w:rPr>
        <w:t>disponibilă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statul</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membru</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dorește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să</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ofere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limitele</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încredere</w:t>
      </w:r>
      <w:proofErr w:type="spellEnd"/>
      <w:r w:rsidRPr="00E929F2">
        <w:rPr>
          <w:rFonts w:eastAsiaTheme="minorEastAsia"/>
          <w:color w:val="000000" w:themeColor="text1"/>
          <w:lang w:val="fr-FR"/>
        </w:rPr>
        <w:t>.</w:t>
      </w:r>
    </w:p>
    <w:p w14:paraId="4E383CEF" w14:textId="77777777" w:rsidR="00E929F2" w:rsidRPr="00E929F2" w:rsidRDefault="00E929F2" w:rsidP="0049533B">
      <w:pPr>
        <w:spacing w:before="100" w:beforeAutospacing="1" w:after="100" w:afterAutospacing="1"/>
        <w:ind w:firstLine="270"/>
        <w:jc w:val="both"/>
        <w:outlineLvl w:val="1"/>
        <w:rPr>
          <w:bCs/>
          <w:color w:val="000000" w:themeColor="text1"/>
          <w:lang w:val="en-US"/>
        </w:rPr>
      </w:pPr>
      <w:proofErr w:type="spellStart"/>
      <w:r w:rsidRPr="00E929F2">
        <w:rPr>
          <w:b/>
          <w:bCs/>
          <w:color w:val="000000" w:themeColor="text1"/>
          <w:lang w:val="en-US"/>
        </w:rPr>
        <w:t>Structura</w:t>
      </w:r>
      <w:proofErr w:type="spellEnd"/>
      <w:r w:rsidRPr="00E929F2">
        <w:rPr>
          <w:b/>
          <w:bCs/>
          <w:color w:val="000000" w:themeColor="text1"/>
          <w:spacing w:val="-3"/>
          <w:lang w:val="en-US"/>
        </w:rPr>
        <w:t xml:space="preserve"> </w:t>
      </w:r>
      <w:proofErr w:type="spellStart"/>
      <w:r w:rsidRPr="00E929F2">
        <w:rPr>
          <w:b/>
          <w:bCs/>
          <w:color w:val="000000" w:themeColor="text1"/>
          <w:lang w:val="en-US"/>
        </w:rPr>
        <w:t>și</w:t>
      </w:r>
      <w:proofErr w:type="spellEnd"/>
      <w:r w:rsidRPr="00E929F2">
        <w:rPr>
          <w:b/>
          <w:bCs/>
          <w:color w:val="000000" w:themeColor="text1"/>
          <w:spacing w:val="-3"/>
          <w:lang w:val="en-US"/>
        </w:rPr>
        <w:t xml:space="preserve"> </w:t>
      </w:r>
      <w:proofErr w:type="spellStart"/>
      <w:r w:rsidRPr="00E929F2">
        <w:rPr>
          <w:b/>
          <w:bCs/>
          <w:color w:val="000000" w:themeColor="text1"/>
          <w:lang w:val="en-US"/>
        </w:rPr>
        <w:t>funcțiile</w:t>
      </w:r>
      <w:proofErr w:type="spellEnd"/>
      <w:r w:rsidRPr="00E929F2">
        <w:rPr>
          <w:b/>
          <w:bCs/>
          <w:color w:val="000000" w:themeColor="text1"/>
          <w:spacing w:val="-2"/>
          <w:lang w:val="en-US"/>
        </w:rPr>
        <w:t xml:space="preserve"> </w:t>
      </w:r>
      <w:proofErr w:type="spellStart"/>
      <w:r w:rsidRPr="00E929F2">
        <w:rPr>
          <w:b/>
          <w:bCs/>
          <w:color w:val="000000" w:themeColor="text1"/>
          <w:lang w:val="en-US"/>
        </w:rPr>
        <w:t>specifice</w:t>
      </w:r>
      <w:proofErr w:type="spellEnd"/>
      <w:r w:rsidRPr="00E929F2">
        <w:rPr>
          <w:b/>
          <w:bCs/>
          <w:color w:val="000000" w:themeColor="text1"/>
          <w:spacing w:val="-4"/>
          <w:lang w:val="en-US"/>
        </w:rPr>
        <w:t xml:space="preserve"> </w:t>
      </w:r>
      <w:r w:rsidRPr="00E929F2">
        <w:rPr>
          <w:b/>
          <w:bCs/>
          <w:color w:val="000000" w:themeColor="text1"/>
          <w:lang w:val="en-US"/>
        </w:rPr>
        <w:t>(</w:t>
      </w:r>
      <w:proofErr w:type="spellStart"/>
      <w:r w:rsidRPr="00E929F2">
        <w:rPr>
          <w:b/>
          <w:bCs/>
          <w:color w:val="000000" w:themeColor="text1"/>
          <w:lang w:val="en-US"/>
        </w:rPr>
        <w:t>inclusiv</w:t>
      </w:r>
      <w:proofErr w:type="spellEnd"/>
      <w:r w:rsidRPr="00E929F2">
        <w:rPr>
          <w:b/>
          <w:bCs/>
          <w:color w:val="000000" w:themeColor="text1"/>
          <w:spacing w:val="-3"/>
          <w:lang w:val="en-US"/>
        </w:rPr>
        <w:t xml:space="preserve"> </w:t>
      </w:r>
      <w:proofErr w:type="spellStart"/>
      <w:r w:rsidRPr="00E929F2">
        <w:rPr>
          <w:b/>
          <w:bCs/>
          <w:color w:val="000000" w:themeColor="text1"/>
          <w:lang w:val="en-US"/>
        </w:rPr>
        <w:t>speciile</w:t>
      </w:r>
      <w:proofErr w:type="spellEnd"/>
      <w:r w:rsidRPr="00E929F2">
        <w:rPr>
          <w:b/>
          <w:bCs/>
          <w:color w:val="000000" w:themeColor="text1"/>
          <w:spacing w:val="-2"/>
          <w:lang w:val="en-US"/>
        </w:rPr>
        <w:t xml:space="preserve"> </w:t>
      </w:r>
      <w:proofErr w:type="spellStart"/>
      <w:r w:rsidRPr="00E929F2">
        <w:rPr>
          <w:b/>
          <w:bCs/>
          <w:color w:val="000000" w:themeColor="text1"/>
          <w:lang w:val="en-US"/>
        </w:rPr>
        <w:t>tipice</w:t>
      </w:r>
      <w:proofErr w:type="spellEnd"/>
      <w:r w:rsidRPr="00E929F2">
        <w:rPr>
          <w:b/>
          <w:bCs/>
          <w:color w:val="000000" w:themeColor="text1"/>
          <w:lang w:val="en-US"/>
        </w:rPr>
        <w:t>)</w:t>
      </w:r>
    </w:p>
    <w:p w14:paraId="5E867DC8" w14:textId="77777777" w:rsidR="00E929F2" w:rsidRPr="00E929F2" w:rsidRDefault="00E929F2" w:rsidP="0049533B">
      <w:pPr>
        <w:widowControl w:val="0"/>
        <w:autoSpaceDE w:val="0"/>
        <w:autoSpaceDN w:val="0"/>
        <w:adjustRightInd w:val="0"/>
        <w:spacing w:before="1"/>
        <w:ind w:right="26" w:firstLine="270"/>
        <w:jc w:val="both"/>
        <w:rPr>
          <w:rFonts w:eastAsiaTheme="minorEastAsia"/>
          <w:color w:val="000000" w:themeColor="text1"/>
          <w:lang w:val="fr-FR"/>
        </w:rPr>
      </w:pPr>
      <w:proofErr w:type="spellStart"/>
      <w:r w:rsidRPr="00E929F2">
        <w:rPr>
          <w:rFonts w:eastAsiaTheme="minorEastAsia"/>
          <w:color w:val="000000" w:themeColor="text1"/>
          <w:lang w:val="fr-FR"/>
        </w:rPr>
        <w:t>Acest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parametru</w:t>
      </w:r>
      <w:proofErr w:type="spellEnd"/>
      <w:r w:rsidRPr="00E929F2">
        <w:rPr>
          <w:rFonts w:eastAsiaTheme="minorEastAsia"/>
          <w:color w:val="000000" w:themeColor="text1"/>
          <w:lang w:val="fr-FR"/>
        </w:rPr>
        <w:t xml:space="preserve"> face </w:t>
      </w:r>
      <w:proofErr w:type="spellStart"/>
      <w:r w:rsidRPr="00E929F2">
        <w:rPr>
          <w:rFonts w:eastAsiaTheme="minorEastAsia"/>
          <w:color w:val="000000" w:themeColor="text1"/>
          <w:lang w:val="fr-FR"/>
        </w:rPr>
        <w:t>referire</w:t>
      </w:r>
      <w:proofErr w:type="spellEnd"/>
      <w:r w:rsidRPr="00E929F2">
        <w:rPr>
          <w:rFonts w:eastAsiaTheme="minorEastAsia"/>
          <w:color w:val="000000" w:themeColor="text1"/>
          <w:lang w:val="fr-FR"/>
        </w:rPr>
        <w:t xml:space="preserve"> la </w:t>
      </w:r>
      <w:proofErr w:type="spellStart"/>
      <w:r w:rsidRPr="00E929F2">
        <w:rPr>
          <w:rFonts w:eastAsiaTheme="minorEastAsia"/>
          <w:color w:val="000000" w:themeColor="text1"/>
          <w:lang w:val="fr-FR"/>
        </w:rPr>
        <w:t>speciile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tipice</w:t>
      </w:r>
      <w:proofErr w:type="spellEnd"/>
      <w:r w:rsidRPr="00E929F2">
        <w:rPr>
          <w:rFonts w:eastAsiaTheme="minorEastAsia"/>
          <w:color w:val="000000" w:themeColor="text1"/>
          <w:lang w:val="fr-FR"/>
        </w:rPr>
        <w:t xml:space="preserve"> ale </w:t>
      </w:r>
      <w:proofErr w:type="spellStart"/>
      <w:r w:rsidRPr="00E929F2">
        <w:rPr>
          <w:rFonts w:eastAsiaTheme="minorEastAsia"/>
          <w:color w:val="000000" w:themeColor="text1"/>
          <w:lang w:val="fr-FR"/>
        </w:rPr>
        <w:t>habitatului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sunt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raportate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deoarece</w:t>
      </w:r>
      <w:proofErr w:type="spellEnd"/>
      <w:r w:rsidRPr="00E929F2">
        <w:rPr>
          <w:rFonts w:eastAsiaTheme="minorEastAsia"/>
          <w:color w:val="000000" w:themeColor="text1"/>
          <w:lang w:val="fr-FR"/>
        </w:rPr>
        <w:t xml:space="preserve"> se </w:t>
      </w:r>
      <w:proofErr w:type="spellStart"/>
      <w:r w:rsidRPr="00E929F2">
        <w:rPr>
          <w:rFonts w:eastAsiaTheme="minorEastAsia"/>
          <w:color w:val="000000" w:themeColor="text1"/>
          <w:lang w:val="fr-FR"/>
        </w:rPr>
        <w:t>utilizează</w:t>
      </w:r>
      <w:proofErr w:type="spellEnd"/>
      <w:r w:rsidRPr="00E929F2">
        <w:rPr>
          <w:rFonts w:eastAsiaTheme="minorEastAsia"/>
          <w:color w:val="000000" w:themeColor="text1"/>
          <w:spacing w:val="-57"/>
          <w:lang w:val="fr-FR"/>
        </w:rPr>
        <w:t xml:space="preserve"> </w:t>
      </w:r>
      <w:proofErr w:type="spellStart"/>
      <w:r w:rsidRPr="00E929F2">
        <w:rPr>
          <w:rFonts w:eastAsiaTheme="minorEastAsia"/>
          <w:color w:val="000000" w:themeColor="text1"/>
          <w:lang w:val="fr-FR"/>
        </w:rPr>
        <w:t>pentru</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evalua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dacă</w:t>
      </w:r>
      <w:proofErr w:type="spellEnd"/>
      <w:r w:rsidRPr="00E929F2">
        <w:rPr>
          <w:rFonts w:eastAsiaTheme="minorEastAsia"/>
          <w:color w:val="000000" w:themeColor="text1"/>
          <w:lang w:val="fr-FR"/>
        </w:rPr>
        <w:t xml:space="preserve"> un habitat este </w:t>
      </w:r>
      <w:proofErr w:type="spellStart"/>
      <w:r w:rsidRPr="00E929F2">
        <w:rPr>
          <w:rFonts w:eastAsiaTheme="minorEastAsia"/>
          <w:color w:val="000000" w:themeColor="text1"/>
          <w:lang w:val="fr-FR"/>
        </w:rPr>
        <w:t>într</w:t>
      </w:r>
      <w:proofErr w:type="spellEnd"/>
      <w:r w:rsidRPr="00E929F2">
        <w:rPr>
          <w:rFonts w:eastAsiaTheme="minorEastAsia"/>
          <w:color w:val="000000" w:themeColor="text1"/>
          <w:lang w:val="fr-FR"/>
        </w:rPr>
        <w:t xml:space="preserve">-o </w:t>
      </w:r>
      <w:proofErr w:type="spellStart"/>
      <w:r w:rsidRPr="00E929F2">
        <w:rPr>
          <w:rFonts w:eastAsiaTheme="minorEastAsia"/>
          <w:color w:val="000000" w:themeColor="text1"/>
          <w:lang w:val="fr-FR"/>
        </w:rPr>
        <w:t>stare</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conservare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favorabilă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sau</w:t>
      </w:r>
      <w:proofErr w:type="spellEnd"/>
      <w:r w:rsidRPr="00E929F2">
        <w:rPr>
          <w:rFonts w:eastAsiaTheme="minorEastAsia"/>
          <w:color w:val="000000" w:themeColor="text1"/>
          <w:lang w:val="fr-FR"/>
        </w:rPr>
        <w:t xml:space="preserve"> nu. </w:t>
      </w:r>
      <w:proofErr w:type="spellStart"/>
      <w:r w:rsidRPr="00E929F2">
        <w:rPr>
          <w:rFonts w:eastAsiaTheme="minorEastAsia"/>
          <w:color w:val="000000" w:themeColor="text1"/>
          <w:lang w:val="fr-FR"/>
        </w:rPr>
        <w:t>Acestea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sunt</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speciile</w:t>
      </w:r>
      <w:proofErr w:type="spellEnd"/>
      <w:r w:rsidRPr="00E929F2">
        <w:rPr>
          <w:rFonts w:eastAsiaTheme="minorEastAsia"/>
          <w:color w:val="000000" w:themeColor="text1"/>
          <w:spacing w:val="9"/>
          <w:lang w:val="fr-FR"/>
        </w:rPr>
        <w:t xml:space="preserve"> </w:t>
      </w:r>
      <w:r w:rsidRPr="00E929F2">
        <w:rPr>
          <w:rFonts w:eastAsiaTheme="minorEastAsia"/>
          <w:color w:val="000000" w:themeColor="text1"/>
          <w:lang w:val="fr-FR"/>
        </w:rPr>
        <w:t>care</w:t>
      </w:r>
      <w:r w:rsidRPr="00E929F2">
        <w:rPr>
          <w:rFonts w:eastAsiaTheme="minorEastAsia"/>
          <w:color w:val="000000" w:themeColor="text1"/>
          <w:spacing w:val="9"/>
          <w:lang w:val="fr-FR"/>
        </w:rPr>
        <w:t xml:space="preserve"> </w:t>
      </w:r>
      <w:proofErr w:type="spellStart"/>
      <w:r w:rsidRPr="00E929F2">
        <w:rPr>
          <w:rFonts w:eastAsiaTheme="minorEastAsia"/>
          <w:color w:val="000000" w:themeColor="text1"/>
          <w:lang w:val="fr-FR"/>
        </w:rPr>
        <w:t>apar</w:t>
      </w:r>
      <w:proofErr w:type="spellEnd"/>
      <w:r w:rsidRPr="00E929F2">
        <w:rPr>
          <w:rFonts w:eastAsiaTheme="minorEastAsia"/>
          <w:color w:val="000000" w:themeColor="text1"/>
          <w:spacing w:val="10"/>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spacing w:val="11"/>
          <w:lang w:val="fr-FR"/>
        </w:rPr>
        <w:t xml:space="preserve"> </w:t>
      </w:r>
      <w:r w:rsidRPr="00E929F2">
        <w:rPr>
          <w:rFonts w:eastAsiaTheme="minorEastAsia"/>
          <w:color w:val="000000" w:themeColor="text1"/>
          <w:lang w:val="fr-FR"/>
        </w:rPr>
        <w:t>mod</w:t>
      </w:r>
      <w:r w:rsidRPr="00E929F2">
        <w:rPr>
          <w:rFonts w:eastAsiaTheme="minorEastAsia"/>
          <w:color w:val="000000" w:themeColor="text1"/>
          <w:spacing w:val="10"/>
          <w:lang w:val="fr-FR"/>
        </w:rPr>
        <w:t xml:space="preserve"> </w:t>
      </w:r>
      <w:proofErr w:type="spellStart"/>
      <w:r w:rsidRPr="00E929F2">
        <w:rPr>
          <w:rFonts w:eastAsiaTheme="minorEastAsia"/>
          <w:color w:val="000000" w:themeColor="text1"/>
          <w:lang w:val="fr-FR"/>
        </w:rPr>
        <w:t>regulat</w:t>
      </w:r>
      <w:proofErr w:type="spellEnd"/>
      <w:r w:rsidRPr="00E929F2">
        <w:rPr>
          <w:rFonts w:eastAsiaTheme="minorEastAsia"/>
          <w:color w:val="000000" w:themeColor="text1"/>
          <w:spacing w:val="10"/>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spacing w:val="11"/>
          <w:lang w:val="fr-FR"/>
        </w:rPr>
        <w:t xml:space="preserve"> </w:t>
      </w:r>
      <w:proofErr w:type="spellStart"/>
      <w:r w:rsidRPr="00E929F2">
        <w:rPr>
          <w:rFonts w:eastAsiaTheme="minorEastAsia"/>
          <w:color w:val="000000" w:themeColor="text1"/>
          <w:lang w:val="fr-FR"/>
        </w:rPr>
        <w:t>tipul</w:t>
      </w:r>
      <w:proofErr w:type="spellEnd"/>
      <w:r w:rsidRPr="00E929F2">
        <w:rPr>
          <w:rFonts w:eastAsiaTheme="minorEastAsia"/>
          <w:color w:val="000000" w:themeColor="text1"/>
          <w:spacing w:val="1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8"/>
          <w:lang w:val="fr-FR"/>
        </w:rPr>
        <w:t xml:space="preserve"> </w:t>
      </w:r>
      <w:r w:rsidRPr="00E929F2">
        <w:rPr>
          <w:rFonts w:eastAsiaTheme="minorEastAsia"/>
          <w:color w:val="000000" w:themeColor="text1"/>
          <w:lang w:val="fr-FR"/>
        </w:rPr>
        <w:t>habitat</w:t>
      </w:r>
      <w:r w:rsidRPr="00E929F2">
        <w:rPr>
          <w:rFonts w:eastAsiaTheme="minorEastAsia"/>
          <w:color w:val="000000" w:themeColor="text1"/>
          <w:spacing w:val="11"/>
          <w:lang w:val="fr-FR"/>
        </w:rPr>
        <w:t xml:space="preserve"> </w:t>
      </w:r>
      <w:r w:rsidRPr="00E929F2">
        <w:rPr>
          <w:rFonts w:eastAsiaTheme="minorEastAsia"/>
          <w:color w:val="000000" w:themeColor="text1"/>
          <w:lang w:val="fr-FR"/>
        </w:rPr>
        <w:t>(</w:t>
      </w:r>
      <w:proofErr w:type="spellStart"/>
      <w:r w:rsidRPr="00E929F2">
        <w:rPr>
          <w:rFonts w:eastAsiaTheme="minorEastAsia"/>
          <w:color w:val="000000" w:themeColor="text1"/>
          <w:lang w:val="fr-FR"/>
        </w:rPr>
        <w:t>spre</w:t>
      </w:r>
      <w:proofErr w:type="spellEnd"/>
      <w:r w:rsidRPr="00E929F2">
        <w:rPr>
          <w:rFonts w:eastAsiaTheme="minorEastAsia"/>
          <w:color w:val="000000" w:themeColor="text1"/>
          <w:spacing w:val="9"/>
          <w:lang w:val="fr-FR"/>
        </w:rPr>
        <w:t xml:space="preserve"> </w:t>
      </w:r>
      <w:proofErr w:type="spellStart"/>
      <w:r w:rsidRPr="00E929F2">
        <w:rPr>
          <w:rFonts w:eastAsiaTheme="minorEastAsia"/>
          <w:color w:val="000000" w:themeColor="text1"/>
          <w:lang w:val="fr-FR"/>
        </w:rPr>
        <w:t>deosebire</w:t>
      </w:r>
      <w:proofErr w:type="spellEnd"/>
      <w:r w:rsidRPr="00E929F2">
        <w:rPr>
          <w:rFonts w:eastAsiaTheme="minorEastAsia"/>
          <w:color w:val="000000" w:themeColor="text1"/>
          <w:spacing w:val="9"/>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9"/>
          <w:lang w:val="fr-FR"/>
        </w:rPr>
        <w:t xml:space="preserve"> </w:t>
      </w:r>
      <w:proofErr w:type="spellStart"/>
      <w:r w:rsidRPr="00E929F2">
        <w:rPr>
          <w:rFonts w:eastAsiaTheme="minorEastAsia"/>
          <w:color w:val="000000" w:themeColor="text1"/>
          <w:lang w:val="fr-FR"/>
        </w:rPr>
        <w:t>speciile</w:t>
      </w:r>
      <w:proofErr w:type="spellEnd"/>
      <w:r w:rsidRPr="00E929F2">
        <w:rPr>
          <w:rFonts w:eastAsiaTheme="minorEastAsia"/>
          <w:color w:val="000000" w:themeColor="text1"/>
          <w:spacing w:val="9"/>
          <w:lang w:val="fr-FR"/>
        </w:rPr>
        <w:t xml:space="preserve"> </w:t>
      </w:r>
      <w:r w:rsidRPr="00E929F2">
        <w:rPr>
          <w:rFonts w:eastAsiaTheme="minorEastAsia"/>
          <w:color w:val="000000" w:themeColor="text1"/>
          <w:lang w:val="fr-FR"/>
        </w:rPr>
        <w:t>care</w:t>
      </w:r>
      <w:r w:rsidRPr="00E929F2">
        <w:rPr>
          <w:rFonts w:eastAsiaTheme="minorEastAsia"/>
          <w:color w:val="000000" w:themeColor="text1"/>
          <w:spacing w:val="9"/>
          <w:lang w:val="fr-FR"/>
        </w:rPr>
        <w:t xml:space="preserve"> </w:t>
      </w:r>
      <w:proofErr w:type="spellStart"/>
      <w:r w:rsidRPr="00E929F2">
        <w:rPr>
          <w:rFonts w:eastAsiaTheme="minorEastAsia"/>
          <w:color w:val="000000" w:themeColor="text1"/>
          <w:lang w:val="fr-FR"/>
        </w:rPr>
        <w:t>apar</w:t>
      </w:r>
      <w:proofErr w:type="spellEnd"/>
      <w:r w:rsidRPr="00E929F2">
        <w:rPr>
          <w:rFonts w:eastAsiaTheme="minorEastAsia"/>
          <w:color w:val="000000" w:themeColor="text1"/>
          <w:spacing w:val="10"/>
          <w:lang w:val="fr-FR"/>
        </w:rPr>
        <w:t xml:space="preserve"> </w:t>
      </w:r>
      <w:proofErr w:type="spellStart"/>
      <w:r w:rsidRPr="00E929F2">
        <w:rPr>
          <w:rFonts w:eastAsiaTheme="minorEastAsia"/>
          <w:color w:val="000000" w:themeColor="text1"/>
          <w:lang w:val="fr-FR"/>
        </w:rPr>
        <w:t>ocazional</w:t>
      </w:r>
      <w:proofErr w:type="spellEnd"/>
      <w:r w:rsidRPr="00E929F2">
        <w:rPr>
          <w:rFonts w:eastAsiaTheme="minorEastAsia"/>
          <w:color w:val="000000" w:themeColor="text1"/>
          <w:lang w:val="fr-FR"/>
        </w:rPr>
        <w:t>)</w:t>
      </w:r>
      <w:r w:rsidRPr="00E929F2">
        <w:rPr>
          <w:rFonts w:eastAsiaTheme="minorEastAsia"/>
          <w:color w:val="000000" w:themeColor="text1"/>
          <w:spacing w:val="-58"/>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sunt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specii</w:t>
      </w:r>
      <w:proofErr w:type="spellEnd"/>
      <w:r w:rsidRPr="00E929F2">
        <w:rPr>
          <w:rFonts w:eastAsiaTheme="minorEastAsia"/>
          <w:color w:val="000000" w:themeColor="text1"/>
          <w:lang w:val="fr-FR"/>
        </w:rPr>
        <w:t xml:space="preserve"> care </w:t>
      </w:r>
      <w:proofErr w:type="spellStart"/>
      <w:r w:rsidRPr="00E929F2">
        <w:rPr>
          <w:rFonts w:eastAsiaTheme="minorEastAsia"/>
          <w:color w:val="000000" w:themeColor="text1"/>
          <w:lang w:val="fr-FR"/>
        </w:rPr>
        <w:t>sunt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indicatori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buni</w:t>
      </w:r>
      <w:proofErr w:type="spellEnd"/>
      <w:r w:rsidRPr="00E929F2">
        <w:rPr>
          <w:rFonts w:eastAsiaTheme="minorEastAsia"/>
          <w:color w:val="000000" w:themeColor="text1"/>
          <w:lang w:val="fr-FR"/>
        </w:rPr>
        <w:t xml:space="preserve"> ai </w:t>
      </w:r>
      <w:proofErr w:type="spellStart"/>
      <w:r w:rsidRPr="00E929F2">
        <w:rPr>
          <w:rFonts w:eastAsiaTheme="minorEastAsia"/>
          <w:color w:val="000000" w:themeColor="text1"/>
          <w:lang w:val="fr-FR"/>
        </w:rPr>
        <w:t>calității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favorabile</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habitatului</w:t>
      </w:r>
      <w:proofErr w:type="spellEnd"/>
      <w:r w:rsidRPr="00E929F2">
        <w:rPr>
          <w:rFonts w:eastAsiaTheme="minorEastAsia"/>
          <w:color w:val="000000" w:themeColor="text1"/>
          <w:lang w:val="fr-FR"/>
        </w:rPr>
        <w:t>. Lista „</w:t>
      </w:r>
      <w:proofErr w:type="spellStart"/>
      <w:r w:rsidRPr="00E929F2">
        <w:rPr>
          <w:rFonts w:eastAsiaTheme="minorEastAsia"/>
          <w:color w:val="000000" w:themeColor="text1"/>
          <w:lang w:val="fr-FR"/>
        </w:rPr>
        <w:t>speciilor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tipice</w:t>
      </w:r>
      <w:proofErr w:type="spellEnd"/>
      <w:r w:rsidRPr="00E929F2">
        <w:rPr>
          <w:rFonts w:eastAsiaTheme="minorEastAsia"/>
          <w:color w:val="000000" w:themeColor="text1"/>
          <w:lang w:val="fr-FR"/>
        </w:rPr>
        <w:t>”</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alese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scopul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evaluării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stării</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conservare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trebui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mod </w:t>
      </w:r>
      <w:proofErr w:type="spellStart"/>
      <w:r w:rsidRPr="00E929F2">
        <w:rPr>
          <w:rFonts w:eastAsiaTheme="minorEastAsia"/>
          <w:color w:val="000000" w:themeColor="text1"/>
          <w:lang w:val="fr-FR"/>
        </w:rPr>
        <w:t>ideal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rămână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stabilă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termen</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mediu-lung</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adică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lungul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perioadelor</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raportare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Speciile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tipice</w:t>
      </w:r>
      <w:proofErr w:type="spellEnd"/>
      <w:r w:rsidRPr="00E929F2">
        <w:rPr>
          <w:rFonts w:eastAsiaTheme="minorEastAsia"/>
          <w:color w:val="000000" w:themeColor="text1"/>
          <w:lang w:val="fr-FR"/>
        </w:rPr>
        <w:t xml:space="preserve"> pot fi </w:t>
      </w:r>
      <w:proofErr w:type="spellStart"/>
      <w:r w:rsidRPr="00E929F2">
        <w:rPr>
          <w:rFonts w:eastAsiaTheme="minorEastAsia"/>
          <w:color w:val="000000" w:themeColor="text1"/>
          <w:lang w:val="fr-FR"/>
        </w:rPr>
        <w:t>extrase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din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orice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grup</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 xml:space="preserve">de </w:t>
      </w:r>
      <w:proofErr w:type="spellStart"/>
      <w:r w:rsidRPr="00E929F2">
        <w:rPr>
          <w:rFonts w:eastAsiaTheme="minorEastAsia"/>
          <w:color w:val="000000" w:themeColor="text1"/>
          <w:lang w:val="fr-FR"/>
        </w:rPr>
        <w:t>specii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Alegerea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speciilor</w:t>
      </w:r>
      <w:proofErr w:type="spellEnd"/>
      <w:r w:rsidRPr="00E929F2">
        <w:rPr>
          <w:rFonts w:eastAsiaTheme="minorEastAsia"/>
          <w:color w:val="000000" w:themeColor="text1"/>
          <w:lang w:val="fr-FR"/>
        </w:rPr>
        <w:t xml:space="preserve"> nu </w:t>
      </w:r>
      <w:proofErr w:type="spellStart"/>
      <w:r w:rsidRPr="00E929F2">
        <w:rPr>
          <w:rFonts w:eastAsiaTheme="minorEastAsia"/>
          <w:color w:val="000000" w:themeColor="text1"/>
          <w:lang w:val="fr-FR"/>
        </w:rPr>
        <w:t>trebuie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să</w:t>
      </w:r>
      <w:proofErr w:type="spellEnd"/>
      <w:r w:rsidRPr="00E929F2">
        <w:rPr>
          <w:rFonts w:eastAsiaTheme="minorEastAsia"/>
          <w:color w:val="000000" w:themeColor="text1"/>
          <w:lang w:val="fr-FR"/>
        </w:rPr>
        <w:t xml:space="preserve"> se </w:t>
      </w:r>
      <w:proofErr w:type="spellStart"/>
      <w:r w:rsidRPr="00E929F2">
        <w:rPr>
          <w:rFonts w:eastAsiaTheme="minorEastAsia"/>
          <w:color w:val="000000" w:themeColor="text1"/>
          <w:lang w:val="fr-FR"/>
        </w:rPr>
        <w:t>limiteze</w:t>
      </w:r>
      <w:proofErr w:type="spellEnd"/>
      <w:r w:rsidRPr="00E929F2">
        <w:rPr>
          <w:rFonts w:eastAsiaTheme="minorEastAsia"/>
          <w:color w:val="000000" w:themeColor="text1"/>
          <w:lang w:val="fr-FR"/>
        </w:rPr>
        <w:t xml:space="preserve"> la </w:t>
      </w:r>
      <w:proofErr w:type="spellStart"/>
      <w:r w:rsidRPr="00E929F2">
        <w:rPr>
          <w:rFonts w:eastAsiaTheme="minorEastAsia"/>
          <w:color w:val="000000" w:themeColor="text1"/>
          <w:lang w:val="fr-FR"/>
        </w:rPr>
        <w:t>speciile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enumerate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anexele</w:t>
      </w:r>
      <w:proofErr w:type="spellEnd"/>
      <w:r w:rsidRPr="00E929F2">
        <w:rPr>
          <w:rFonts w:eastAsiaTheme="minorEastAsia"/>
          <w:color w:val="000000" w:themeColor="text1"/>
          <w:lang w:val="fr-FR"/>
        </w:rPr>
        <w:t xml:space="preserve"> II, IV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V la</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Directiva</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Habitate</w:t>
      </w:r>
      <w:proofErr w:type="spellEnd"/>
      <w:r w:rsidRPr="00E929F2">
        <w:rPr>
          <w:rFonts w:eastAsiaTheme="minorEastAsia"/>
          <w:color w:val="000000" w:themeColor="text1"/>
          <w:lang w:val="fr-FR"/>
        </w:rPr>
        <w:t>.</w:t>
      </w:r>
    </w:p>
    <w:p w14:paraId="68943D24" w14:textId="77777777" w:rsidR="00E929F2" w:rsidRPr="00E929F2" w:rsidRDefault="00E929F2" w:rsidP="0049533B">
      <w:pPr>
        <w:widowControl w:val="0"/>
        <w:autoSpaceDE w:val="0"/>
        <w:autoSpaceDN w:val="0"/>
        <w:adjustRightInd w:val="0"/>
        <w:ind w:right="26" w:firstLine="270"/>
        <w:jc w:val="both"/>
        <w:rPr>
          <w:rFonts w:eastAsiaTheme="minorEastAsia"/>
          <w:color w:val="000000" w:themeColor="text1"/>
          <w:lang w:val="fr-FR"/>
        </w:rPr>
      </w:pPr>
      <w:proofErr w:type="spellStart"/>
      <w:r w:rsidRPr="00E929F2">
        <w:rPr>
          <w:rFonts w:eastAsiaTheme="minorEastAsia"/>
          <w:color w:val="000000" w:themeColor="text1"/>
          <w:lang w:val="fr-FR"/>
        </w:rPr>
        <w:t>Modificarea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listei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speciilor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tipice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necesită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întocmirea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unei</w:t>
      </w:r>
      <w:proofErr w:type="spellEnd"/>
      <w:r w:rsidRPr="00E929F2">
        <w:rPr>
          <w:rFonts w:eastAsiaTheme="minorEastAsia"/>
          <w:color w:val="000000" w:themeColor="text1"/>
          <w:lang w:val="fr-FR"/>
        </w:rPr>
        <w:t xml:space="preserve"> foi de calcul </w:t>
      </w:r>
      <w:proofErr w:type="spellStart"/>
      <w:r w:rsidRPr="00E929F2">
        <w:rPr>
          <w:rFonts w:eastAsiaTheme="minorEastAsia"/>
          <w:color w:val="000000" w:themeColor="text1"/>
          <w:lang w:val="fr-FR"/>
        </w:rPr>
        <w:t>suplimentară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cu</w:t>
      </w:r>
      <w:proofErr w:type="spellEnd"/>
      <w:r w:rsidRPr="00E929F2">
        <w:rPr>
          <w:rFonts w:eastAsiaTheme="minorEastAsia"/>
          <w:color w:val="000000" w:themeColor="text1"/>
          <w:lang w:val="fr-FR"/>
        </w:rPr>
        <w:t xml:space="preserve"> lista</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actualizată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Foaia</w:t>
      </w:r>
      <w:proofErr w:type="spellEnd"/>
      <w:r w:rsidRPr="00E929F2">
        <w:rPr>
          <w:rFonts w:eastAsiaTheme="minorEastAsia"/>
          <w:color w:val="000000" w:themeColor="text1"/>
          <w:lang w:val="fr-FR"/>
        </w:rPr>
        <w:t xml:space="preserve"> de</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 xml:space="preserve">calcul </w:t>
      </w:r>
      <w:proofErr w:type="spellStart"/>
      <w:r w:rsidRPr="00E929F2">
        <w:rPr>
          <w:rFonts w:eastAsiaTheme="minorEastAsia"/>
          <w:color w:val="000000" w:themeColor="text1"/>
          <w:lang w:val="fr-FR"/>
        </w:rPr>
        <w:t>trebuie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să</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respecte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specificațiile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furnizate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pe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portalul</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referință</w:t>
      </w:r>
      <w:proofErr w:type="spellEnd"/>
      <w:r w:rsidRPr="00E929F2">
        <w:rPr>
          <w:rFonts w:eastAsiaTheme="minorEastAsia"/>
          <w:color w:val="000000" w:themeColor="text1"/>
          <w:lang w:val="fr-FR"/>
        </w:rPr>
        <w:t>.</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Trebuie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utilizate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doar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nume</w:t>
      </w:r>
      <w:proofErr w:type="spellEnd"/>
      <w:r w:rsidRPr="00E929F2">
        <w:rPr>
          <w:rFonts w:eastAsiaTheme="minorEastAsia"/>
          <w:color w:val="000000" w:themeColor="text1"/>
          <w:lang w:val="fr-FR"/>
        </w:rPr>
        <w:t xml:space="preserve"> latine. Se </w:t>
      </w:r>
      <w:proofErr w:type="spellStart"/>
      <w:r w:rsidRPr="00E929F2">
        <w:rPr>
          <w:rFonts w:eastAsiaTheme="minorEastAsia"/>
          <w:color w:val="000000" w:themeColor="text1"/>
          <w:lang w:val="fr-FR"/>
        </w:rPr>
        <w:t>recomandă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utilizarea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denumirilor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din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directorii</w:t>
      </w:r>
      <w:proofErr w:type="spellEnd"/>
      <w:r w:rsidRPr="00E929F2">
        <w:rPr>
          <w:rFonts w:eastAsiaTheme="minorEastAsia"/>
          <w:color w:val="000000" w:themeColor="text1"/>
          <w:lang w:val="fr-FR"/>
        </w:rPr>
        <w:t xml:space="preserve"> Pan-</w:t>
      </w:r>
      <w:proofErr w:type="spellStart"/>
      <w:r w:rsidRPr="00E929F2">
        <w:rPr>
          <w:rFonts w:eastAsiaTheme="minorEastAsia"/>
          <w:color w:val="000000" w:themeColor="text1"/>
          <w:lang w:val="fr-FR"/>
        </w:rPr>
        <w:t>European</w:t>
      </w:r>
      <w:proofErr w:type="spellEnd"/>
      <w:r w:rsidRPr="00E929F2">
        <w:rPr>
          <w:rFonts w:eastAsiaTheme="minorEastAsia"/>
          <w:color w:val="000000" w:themeColor="text1"/>
          <w:spacing w:val="-57"/>
          <w:lang w:val="fr-FR"/>
        </w:rPr>
        <w:t xml:space="preserve"> </w:t>
      </w:r>
      <w:proofErr w:type="spellStart"/>
      <w:r w:rsidRPr="00E929F2">
        <w:rPr>
          <w:rFonts w:eastAsiaTheme="minorEastAsia"/>
          <w:color w:val="000000" w:themeColor="text1"/>
          <w:lang w:val="fr-FR"/>
        </w:rPr>
        <w:t>Species</w:t>
      </w:r>
      <w:proofErr w:type="spellEnd"/>
      <w:r w:rsidRPr="00E929F2">
        <w:rPr>
          <w:rFonts w:eastAsiaTheme="minorEastAsia"/>
          <w:color w:val="000000" w:themeColor="text1"/>
          <w:lang w:val="fr-FR"/>
        </w:rPr>
        <w:t xml:space="preserve"> Infrastructure (PESI) Catalogue of Life (</w:t>
      </w:r>
      <w:proofErr w:type="spellStart"/>
      <w:r w:rsidRPr="00E929F2">
        <w:rPr>
          <w:rFonts w:eastAsiaTheme="minorEastAsia"/>
          <w:color w:val="000000" w:themeColor="text1"/>
          <w:lang w:val="fr-FR"/>
        </w:rPr>
        <w:t>CoL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Eur</w:t>
      </w:r>
      <w:proofErr w:type="spellEnd"/>
      <w:r w:rsidRPr="00E929F2">
        <w:rPr>
          <w:rFonts w:eastAsiaTheme="minorEastAsia"/>
          <w:color w:val="000000" w:themeColor="text1"/>
          <w:lang w:val="fr-FR"/>
        </w:rPr>
        <w:t xml:space="preserve"> + Med </w:t>
      </w:r>
      <w:proofErr w:type="spellStart"/>
      <w:r w:rsidRPr="00E929F2">
        <w:rPr>
          <w:rFonts w:eastAsiaTheme="minorEastAsia"/>
          <w:color w:val="000000" w:themeColor="text1"/>
          <w:lang w:val="fr-FR"/>
        </w:rPr>
        <w:t>PlantBase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sau</w:t>
      </w:r>
      <w:proofErr w:type="spellEnd"/>
      <w:r w:rsidRPr="00E929F2">
        <w:rPr>
          <w:rFonts w:eastAsiaTheme="minorEastAsia"/>
          <w:color w:val="000000" w:themeColor="text1"/>
          <w:lang w:val="fr-FR"/>
        </w:rPr>
        <w:t xml:space="preserve"> o </w:t>
      </w:r>
      <w:proofErr w:type="spellStart"/>
      <w:r w:rsidRPr="00E929F2">
        <w:rPr>
          <w:rFonts w:eastAsiaTheme="minorEastAsia"/>
          <w:color w:val="000000" w:themeColor="text1"/>
          <w:lang w:val="fr-FR"/>
        </w:rPr>
        <w:t>altă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referință</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taxonomică</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regională</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sau</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internațională</w:t>
      </w:r>
      <w:proofErr w:type="spellEnd"/>
      <w:r w:rsidRPr="00E929F2">
        <w:rPr>
          <w:rFonts w:eastAsiaTheme="minorEastAsia"/>
          <w:color w:val="000000" w:themeColor="text1"/>
          <w:lang w:val="fr-FR"/>
        </w:rPr>
        <w:t>.</w:t>
      </w:r>
    </w:p>
    <w:p w14:paraId="19FA85F7" w14:textId="77777777" w:rsidR="00E929F2" w:rsidRPr="00E929F2" w:rsidRDefault="0049533B" w:rsidP="0049533B">
      <w:pPr>
        <w:spacing w:before="100" w:beforeAutospacing="1" w:after="100" w:afterAutospacing="1"/>
        <w:ind w:right="26" w:firstLine="270"/>
        <w:jc w:val="both"/>
        <w:outlineLvl w:val="1"/>
        <w:rPr>
          <w:bCs/>
          <w:color w:val="000000" w:themeColor="text1"/>
          <w:lang w:val="fr-FR"/>
        </w:rPr>
      </w:pPr>
      <w:proofErr w:type="spellStart"/>
      <w:r>
        <w:rPr>
          <w:b/>
          <w:bCs/>
          <w:color w:val="000000" w:themeColor="text1"/>
          <w:lang w:val="fr-FR"/>
        </w:rPr>
        <w:t>Perspectivele</w:t>
      </w:r>
      <w:proofErr w:type="spellEnd"/>
    </w:p>
    <w:p w14:paraId="3AF2202F" w14:textId="77777777" w:rsidR="00E929F2" w:rsidRPr="00E929F2" w:rsidRDefault="00E929F2" w:rsidP="0049533B">
      <w:pPr>
        <w:widowControl w:val="0"/>
        <w:autoSpaceDE w:val="0"/>
        <w:autoSpaceDN w:val="0"/>
        <w:adjustRightInd w:val="0"/>
        <w:ind w:right="26"/>
        <w:jc w:val="both"/>
        <w:rPr>
          <w:rFonts w:eastAsiaTheme="minorEastAsia"/>
          <w:color w:val="000000" w:themeColor="text1"/>
          <w:lang w:val="fr-FR"/>
        </w:rPr>
      </w:pPr>
      <w:proofErr w:type="spellStart"/>
      <w:r w:rsidRPr="00E929F2">
        <w:rPr>
          <w:rFonts w:eastAsiaTheme="minorEastAsia"/>
          <w:color w:val="000000" w:themeColor="text1"/>
          <w:lang w:val="fr-FR"/>
        </w:rPr>
        <w:t>Acest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parametru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integrează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informații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despre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trei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parametri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Suprafață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Areal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Structură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funcții</w:t>
      </w:r>
      <w:proofErr w:type="spellEnd"/>
      <w:r w:rsidRPr="00E929F2">
        <w:rPr>
          <w:rFonts w:eastAsiaTheme="minorEastAsia"/>
          <w:color w:val="000000" w:themeColor="text1"/>
          <w:lang w:val="fr-FR"/>
        </w:rPr>
        <w:t>).</w:t>
      </w:r>
      <w:r w:rsidRPr="00E929F2">
        <w:rPr>
          <w:rFonts w:eastAsiaTheme="minorEastAsia"/>
          <w:color w:val="000000" w:themeColor="text1"/>
          <w:spacing w:val="-57"/>
          <w:lang w:val="fr-FR"/>
        </w:rPr>
        <w:t xml:space="preserve"> </w:t>
      </w:r>
      <w:proofErr w:type="spellStart"/>
      <w:r w:rsidRPr="00E929F2">
        <w:rPr>
          <w:rFonts w:eastAsiaTheme="minorEastAsia"/>
          <w:color w:val="000000" w:themeColor="text1"/>
          <w:lang w:val="fr-FR"/>
        </w:rPr>
        <w:t>Perspectivele</w:t>
      </w:r>
      <w:proofErr w:type="spellEnd"/>
      <w:r w:rsidRPr="00E929F2">
        <w:rPr>
          <w:rFonts w:eastAsiaTheme="minorEastAsia"/>
          <w:color w:val="000000" w:themeColor="text1"/>
          <w:spacing w:val="35"/>
          <w:lang w:val="fr-FR"/>
        </w:rPr>
        <w:t xml:space="preserve"> </w:t>
      </w:r>
      <w:proofErr w:type="spellStart"/>
      <w:r w:rsidRPr="00E929F2">
        <w:rPr>
          <w:rFonts w:eastAsiaTheme="minorEastAsia"/>
          <w:color w:val="000000" w:themeColor="text1"/>
          <w:lang w:val="fr-FR"/>
        </w:rPr>
        <w:t>indică</w:t>
      </w:r>
      <w:proofErr w:type="spellEnd"/>
      <w:r w:rsidRPr="00E929F2">
        <w:rPr>
          <w:rFonts w:eastAsiaTheme="minorEastAsia"/>
          <w:color w:val="000000" w:themeColor="text1"/>
          <w:spacing w:val="36"/>
          <w:lang w:val="fr-FR"/>
        </w:rPr>
        <w:t xml:space="preserve"> </w:t>
      </w:r>
      <w:proofErr w:type="spellStart"/>
      <w:r w:rsidRPr="00E929F2">
        <w:rPr>
          <w:rFonts w:eastAsiaTheme="minorEastAsia"/>
          <w:color w:val="000000" w:themeColor="text1"/>
          <w:lang w:val="fr-FR"/>
        </w:rPr>
        <w:t>direcția</w:t>
      </w:r>
      <w:proofErr w:type="spellEnd"/>
      <w:r w:rsidRPr="00E929F2">
        <w:rPr>
          <w:rFonts w:eastAsiaTheme="minorEastAsia"/>
          <w:color w:val="000000" w:themeColor="text1"/>
          <w:spacing w:val="36"/>
          <w:lang w:val="fr-FR"/>
        </w:rPr>
        <w:t xml:space="preserve"> </w:t>
      </w:r>
      <w:proofErr w:type="spellStart"/>
      <w:r w:rsidRPr="00E929F2">
        <w:rPr>
          <w:rFonts w:eastAsiaTheme="minorEastAsia"/>
          <w:color w:val="000000" w:themeColor="text1"/>
          <w:lang w:val="fr-FR"/>
        </w:rPr>
        <w:t>schimbării</w:t>
      </w:r>
      <w:proofErr w:type="spellEnd"/>
      <w:r w:rsidRPr="00E929F2">
        <w:rPr>
          <w:rFonts w:eastAsiaTheme="minorEastAsia"/>
          <w:color w:val="000000" w:themeColor="text1"/>
          <w:spacing w:val="36"/>
          <w:lang w:val="fr-FR"/>
        </w:rPr>
        <w:t xml:space="preserve"> </w:t>
      </w:r>
      <w:proofErr w:type="spellStart"/>
      <w:r w:rsidRPr="00E929F2">
        <w:rPr>
          <w:rFonts w:eastAsiaTheme="minorEastAsia"/>
          <w:color w:val="000000" w:themeColor="text1"/>
          <w:lang w:val="fr-FR"/>
        </w:rPr>
        <w:t>preconizate</w:t>
      </w:r>
      <w:proofErr w:type="spellEnd"/>
      <w:r w:rsidRPr="00E929F2">
        <w:rPr>
          <w:rFonts w:eastAsiaTheme="minorEastAsia"/>
          <w:color w:val="000000" w:themeColor="text1"/>
          <w:spacing w:val="36"/>
          <w:lang w:val="fr-FR"/>
        </w:rPr>
        <w:t xml:space="preserve"> </w:t>
      </w:r>
      <w:r w:rsidRPr="00E929F2">
        <w:rPr>
          <w:rFonts w:eastAsiaTheme="minorEastAsia"/>
          <w:color w:val="000000" w:themeColor="text1"/>
          <w:lang w:val="fr-FR"/>
        </w:rPr>
        <w:t>a</w:t>
      </w:r>
      <w:r w:rsidRPr="00E929F2">
        <w:rPr>
          <w:rFonts w:eastAsiaTheme="minorEastAsia"/>
          <w:color w:val="000000" w:themeColor="text1"/>
          <w:spacing w:val="36"/>
          <w:lang w:val="fr-FR"/>
        </w:rPr>
        <w:t xml:space="preserve"> </w:t>
      </w:r>
      <w:proofErr w:type="spellStart"/>
      <w:r w:rsidRPr="00E929F2">
        <w:rPr>
          <w:rFonts w:eastAsiaTheme="minorEastAsia"/>
          <w:color w:val="000000" w:themeColor="text1"/>
          <w:lang w:val="fr-FR"/>
        </w:rPr>
        <w:t>stării</w:t>
      </w:r>
      <w:proofErr w:type="spellEnd"/>
      <w:r w:rsidRPr="00E929F2">
        <w:rPr>
          <w:rFonts w:eastAsiaTheme="minorEastAsia"/>
          <w:color w:val="000000" w:themeColor="text1"/>
          <w:spacing w:val="36"/>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36"/>
          <w:lang w:val="fr-FR"/>
        </w:rPr>
        <w:t xml:space="preserve"> </w:t>
      </w:r>
      <w:proofErr w:type="spellStart"/>
      <w:r w:rsidRPr="00E929F2">
        <w:rPr>
          <w:rFonts w:eastAsiaTheme="minorEastAsia"/>
          <w:color w:val="000000" w:themeColor="text1"/>
          <w:lang w:val="fr-FR"/>
        </w:rPr>
        <w:t>conservare</w:t>
      </w:r>
      <w:proofErr w:type="spellEnd"/>
      <w:r w:rsidRPr="00E929F2">
        <w:rPr>
          <w:rFonts w:eastAsiaTheme="minorEastAsia"/>
          <w:color w:val="000000" w:themeColor="text1"/>
          <w:spacing w:val="36"/>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spacing w:val="36"/>
          <w:lang w:val="fr-FR"/>
        </w:rPr>
        <w:t xml:space="preserve"> </w:t>
      </w:r>
      <w:proofErr w:type="spellStart"/>
      <w:r w:rsidRPr="00E929F2">
        <w:rPr>
          <w:rFonts w:eastAsiaTheme="minorEastAsia"/>
          <w:color w:val="000000" w:themeColor="text1"/>
          <w:lang w:val="fr-FR"/>
        </w:rPr>
        <w:t>viitorul</w:t>
      </w:r>
      <w:proofErr w:type="spellEnd"/>
      <w:r w:rsidRPr="00E929F2">
        <w:rPr>
          <w:rFonts w:eastAsiaTheme="minorEastAsia"/>
          <w:color w:val="000000" w:themeColor="text1"/>
          <w:spacing w:val="37"/>
          <w:lang w:val="fr-FR"/>
        </w:rPr>
        <w:t xml:space="preserve"> </w:t>
      </w:r>
      <w:proofErr w:type="spellStart"/>
      <w:r w:rsidRPr="00E929F2">
        <w:rPr>
          <w:rFonts w:eastAsiaTheme="minorEastAsia"/>
          <w:color w:val="000000" w:themeColor="text1"/>
          <w:lang w:val="fr-FR"/>
        </w:rPr>
        <w:t>apropiat</w:t>
      </w:r>
      <w:proofErr w:type="spellEnd"/>
      <w:r w:rsidRPr="00E929F2">
        <w:rPr>
          <w:rFonts w:eastAsiaTheme="minorEastAsia"/>
          <w:color w:val="000000" w:themeColor="text1"/>
          <w:spacing w:val="37"/>
          <w:lang w:val="fr-FR"/>
        </w:rPr>
        <w:t xml:space="preserve"> </w:t>
      </w:r>
      <w:proofErr w:type="spellStart"/>
      <w:r w:rsidRPr="00E929F2">
        <w:rPr>
          <w:rFonts w:eastAsiaTheme="minorEastAsia"/>
          <w:color w:val="000000" w:themeColor="text1"/>
          <w:lang w:val="fr-FR"/>
        </w:rPr>
        <w:t>pe</w:t>
      </w:r>
      <w:proofErr w:type="spellEnd"/>
      <w:r w:rsidRPr="00E929F2">
        <w:rPr>
          <w:rFonts w:eastAsiaTheme="minorEastAsia"/>
          <w:color w:val="000000" w:themeColor="text1"/>
          <w:spacing w:val="-58"/>
          <w:lang w:val="fr-FR"/>
        </w:rPr>
        <w:t xml:space="preserve"> </w:t>
      </w:r>
      <w:proofErr w:type="spellStart"/>
      <w:r w:rsidRPr="00E929F2">
        <w:rPr>
          <w:rFonts w:eastAsiaTheme="minorEastAsia"/>
          <w:color w:val="000000" w:themeColor="text1"/>
          <w:lang w:val="fr-FR"/>
        </w:rPr>
        <w:t>baza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unei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analize</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stării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actuale</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presiunilor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amenințărilor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raportate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măsurilor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luate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pentru</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fiecare</w:t>
      </w:r>
      <w:proofErr w:type="spellEnd"/>
      <w:r w:rsidRPr="00E929F2">
        <w:rPr>
          <w:rFonts w:eastAsiaTheme="minorEastAsia"/>
          <w:color w:val="000000" w:themeColor="text1"/>
          <w:spacing w:val="-3"/>
          <w:lang w:val="fr-FR"/>
        </w:rPr>
        <w:t xml:space="preserve"> </w:t>
      </w:r>
      <w:proofErr w:type="spellStart"/>
      <w:r w:rsidRPr="00E929F2">
        <w:rPr>
          <w:rFonts w:eastAsiaTheme="minorEastAsia"/>
          <w:color w:val="000000" w:themeColor="text1"/>
          <w:lang w:val="fr-FR"/>
        </w:rPr>
        <w:t>din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ceilalți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trei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parametri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interval</w:t>
      </w:r>
      <w:proofErr w:type="spellEnd"/>
      <w:r w:rsidRPr="00E929F2">
        <w:rPr>
          <w:rFonts w:eastAsiaTheme="minorEastAsia"/>
          <w:color w:val="000000" w:themeColor="text1"/>
          <w:lang w:val="fr-FR"/>
        </w:rPr>
        <w:t>,</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suprafață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structură</w:t>
      </w:r>
      <w:proofErr w:type="spellEnd"/>
      <w:r w:rsidRPr="00E929F2">
        <w:rPr>
          <w:rFonts w:eastAsiaTheme="minorEastAsia"/>
          <w:color w:val="000000" w:themeColor="text1"/>
          <w:spacing w:val="-3"/>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funcții</w:t>
      </w:r>
      <w:proofErr w:type="spellEnd"/>
      <w:r w:rsidRPr="00E929F2">
        <w:rPr>
          <w:rFonts w:eastAsiaTheme="minorEastAsia"/>
          <w:color w:val="000000" w:themeColor="text1"/>
          <w:lang w:val="fr-FR"/>
        </w:rPr>
        <w:t>).</w:t>
      </w:r>
    </w:p>
    <w:p w14:paraId="75C9818A" w14:textId="77777777" w:rsidR="00E929F2" w:rsidRDefault="00E929F2" w:rsidP="0049533B">
      <w:pPr>
        <w:spacing w:before="157"/>
        <w:ind w:right="26"/>
        <w:jc w:val="both"/>
        <w:rPr>
          <w:rFonts w:eastAsiaTheme="minorEastAsia"/>
          <w:color w:val="000000" w:themeColor="text1"/>
          <w:lang w:val="fr-FR"/>
        </w:rPr>
      </w:pPr>
      <w:r w:rsidRPr="00E929F2">
        <w:rPr>
          <w:color w:val="000000" w:themeColor="text1"/>
        </w:rPr>
        <w:t>Evaluarea perspectivelor se face corelat cu formatul de raportare, rezultatul evaluării stării perspectivelor se face folosind cele patru</w:t>
      </w:r>
      <w:r w:rsidRPr="00E929F2">
        <w:rPr>
          <w:color w:val="000000" w:themeColor="text1"/>
          <w:spacing w:val="1"/>
        </w:rPr>
        <w:t xml:space="preserve"> </w:t>
      </w:r>
      <w:r w:rsidRPr="00E929F2">
        <w:rPr>
          <w:color w:val="000000" w:themeColor="text1"/>
        </w:rPr>
        <w:t>categorii</w:t>
      </w:r>
      <w:r w:rsidRPr="00E929F2">
        <w:rPr>
          <w:color w:val="000000" w:themeColor="text1"/>
          <w:spacing w:val="11"/>
        </w:rPr>
        <w:t xml:space="preserve"> </w:t>
      </w:r>
      <w:r w:rsidRPr="00E929F2">
        <w:rPr>
          <w:color w:val="000000" w:themeColor="text1"/>
        </w:rPr>
        <w:t>disponibile:</w:t>
      </w:r>
      <w:r w:rsidRPr="00E929F2">
        <w:rPr>
          <w:color w:val="000000" w:themeColor="text1"/>
          <w:spacing w:val="11"/>
        </w:rPr>
        <w:t xml:space="preserve"> </w:t>
      </w:r>
      <w:r w:rsidRPr="00E929F2">
        <w:rPr>
          <w:color w:val="000000" w:themeColor="text1"/>
        </w:rPr>
        <w:t>„</w:t>
      </w:r>
      <w:r w:rsidRPr="00E929F2">
        <w:rPr>
          <w:b/>
          <w:color w:val="000000" w:themeColor="text1"/>
        </w:rPr>
        <w:t>favorabil</w:t>
      </w:r>
      <w:r w:rsidRPr="00E929F2">
        <w:rPr>
          <w:color w:val="000000" w:themeColor="text1"/>
        </w:rPr>
        <w:t>”</w:t>
      </w:r>
      <w:r w:rsidRPr="00E929F2">
        <w:rPr>
          <w:color w:val="000000" w:themeColor="text1"/>
          <w:spacing w:val="10"/>
        </w:rPr>
        <w:t xml:space="preserve"> </w:t>
      </w:r>
      <w:r w:rsidRPr="00E929F2">
        <w:rPr>
          <w:color w:val="000000" w:themeColor="text1"/>
        </w:rPr>
        <w:t>(FV),</w:t>
      </w:r>
      <w:r w:rsidRPr="00E929F2">
        <w:rPr>
          <w:color w:val="000000" w:themeColor="text1"/>
          <w:spacing w:val="11"/>
        </w:rPr>
        <w:t xml:space="preserve"> </w:t>
      </w:r>
      <w:r w:rsidRPr="00E929F2">
        <w:rPr>
          <w:color w:val="000000" w:themeColor="text1"/>
        </w:rPr>
        <w:t>„</w:t>
      </w:r>
      <w:r w:rsidRPr="00E929F2">
        <w:rPr>
          <w:b/>
          <w:color w:val="000000" w:themeColor="text1"/>
        </w:rPr>
        <w:t>nefavorabil-inadecvat</w:t>
      </w:r>
      <w:r w:rsidRPr="00E929F2">
        <w:rPr>
          <w:color w:val="000000" w:themeColor="text1"/>
        </w:rPr>
        <w:t>”</w:t>
      </w:r>
      <w:r w:rsidRPr="00E929F2">
        <w:rPr>
          <w:color w:val="000000" w:themeColor="text1"/>
          <w:spacing w:val="11"/>
        </w:rPr>
        <w:t xml:space="preserve"> </w:t>
      </w:r>
      <w:r w:rsidRPr="00E929F2">
        <w:rPr>
          <w:color w:val="000000" w:themeColor="text1"/>
        </w:rPr>
        <w:t>(U1),</w:t>
      </w:r>
      <w:r w:rsidRPr="00E929F2">
        <w:rPr>
          <w:color w:val="000000" w:themeColor="text1"/>
          <w:spacing w:val="11"/>
        </w:rPr>
        <w:t xml:space="preserve"> </w:t>
      </w:r>
      <w:r w:rsidRPr="00E929F2">
        <w:rPr>
          <w:color w:val="000000" w:themeColor="text1"/>
        </w:rPr>
        <w:t>„</w:t>
      </w:r>
      <w:r w:rsidRPr="00E929F2">
        <w:rPr>
          <w:b/>
          <w:color w:val="000000" w:themeColor="text1"/>
        </w:rPr>
        <w:t>nefavorabil-rău</w:t>
      </w:r>
      <w:r w:rsidRPr="00E929F2">
        <w:rPr>
          <w:color w:val="000000" w:themeColor="text1"/>
        </w:rPr>
        <w:t>”</w:t>
      </w:r>
      <w:r w:rsidRPr="00E929F2">
        <w:rPr>
          <w:color w:val="000000" w:themeColor="text1"/>
          <w:spacing w:val="10"/>
        </w:rPr>
        <w:t xml:space="preserve"> </w:t>
      </w:r>
      <w:r w:rsidRPr="00E929F2">
        <w:rPr>
          <w:color w:val="000000" w:themeColor="text1"/>
        </w:rPr>
        <w:t>(U2)</w:t>
      </w:r>
      <w:r w:rsidRPr="00E929F2">
        <w:rPr>
          <w:color w:val="000000" w:themeColor="text1"/>
          <w:spacing w:val="10"/>
        </w:rPr>
        <w:t xml:space="preserve"> </w:t>
      </w:r>
      <w:r w:rsidRPr="00E929F2">
        <w:rPr>
          <w:color w:val="000000" w:themeColor="text1"/>
        </w:rPr>
        <w:t>și</w:t>
      </w:r>
      <w:r w:rsidR="0049533B">
        <w:rPr>
          <w:color w:val="000000" w:themeColor="text1"/>
        </w:rPr>
        <w:t xml:space="preserve"> </w:t>
      </w:r>
      <w:r w:rsidRPr="00E929F2">
        <w:rPr>
          <w:rFonts w:eastAsiaTheme="minorEastAsia"/>
          <w:color w:val="000000" w:themeColor="text1"/>
          <w:lang w:val="fr-FR"/>
        </w:rPr>
        <w:t>„</w:t>
      </w:r>
      <w:proofErr w:type="spellStart"/>
      <w:r w:rsidRPr="00E929F2">
        <w:rPr>
          <w:rFonts w:eastAsiaTheme="minorEastAsia"/>
          <w:b/>
          <w:color w:val="000000" w:themeColor="text1"/>
          <w:lang w:val="fr-FR"/>
        </w:rPr>
        <w:t>necunoscut</w:t>
      </w:r>
      <w:proofErr w:type="spellEnd"/>
      <w:r w:rsidRPr="00E929F2">
        <w:rPr>
          <w:rFonts w:eastAsiaTheme="minorEastAsia"/>
          <w:color w:val="000000" w:themeColor="text1"/>
          <w:lang w:val="fr-FR"/>
        </w:rPr>
        <w:t>”</w:t>
      </w:r>
      <w:r w:rsidRPr="00E929F2">
        <w:rPr>
          <w:rFonts w:eastAsiaTheme="minorEastAsia"/>
          <w:color w:val="000000" w:themeColor="text1"/>
          <w:spacing w:val="-3"/>
          <w:lang w:val="fr-FR"/>
        </w:rPr>
        <w:t xml:space="preserve"> </w:t>
      </w:r>
      <w:r w:rsidRPr="00E929F2">
        <w:rPr>
          <w:rFonts w:eastAsiaTheme="minorEastAsia"/>
          <w:color w:val="000000" w:themeColor="text1"/>
          <w:lang w:val="fr-FR"/>
        </w:rPr>
        <w:t>(XX)</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este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redat</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tabelul</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2"/>
          <w:lang w:val="fr-FR"/>
        </w:rPr>
        <w:t xml:space="preserve"> </w:t>
      </w:r>
      <w:r w:rsidRPr="00E929F2">
        <w:rPr>
          <w:rFonts w:eastAsiaTheme="minorEastAsia"/>
          <w:color w:val="000000" w:themeColor="text1"/>
          <w:lang w:val="fr-FR"/>
        </w:rPr>
        <w:t>mai</w:t>
      </w:r>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jos</w:t>
      </w:r>
      <w:proofErr w:type="spellEnd"/>
      <w:r w:rsidRPr="00E929F2">
        <w:rPr>
          <w:rFonts w:eastAsiaTheme="minorEastAsia"/>
          <w:color w:val="000000" w:themeColor="text1"/>
          <w:lang w:val="fr-FR"/>
        </w:rPr>
        <w:t>:</w:t>
      </w:r>
    </w:p>
    <w:p w14:paraId="4E7B7C80" w14:textId="77777777" w:rsidR="00E929F2" w:rsidRDefault="00E929F2" w:rsidP="00E929F2">
      <w:pPr>
        <w:widowControl w:val="0"/>
        <w:autoSpaceDE w:val="0"/>
        <w:autoSpaceDN w:val="0"/>
        <w:adjustRightInd w:val="0"/>
        <w:spacing w:before="1"/>
        <w:ind w:left="293"/>
        <w:jc w:val="both"/>
        <w:rPr>
          <w:rFonts w:eastAsiaTheme="minorEastAsia"/>
          <w:color w:val="000000" w:themeColor="text1"/>
          <w:lang w:val="fr-FR"/>
        </w:rPr>
      </w:pPr>
    </w:p>
    <w:p w14:paraId="72640D98" w14:textId="77777777" w:rsidR="00E929F2" w:rsidRPr="00E929F2" w:rsidRDefault="00E929F2" w:rsidP="00E929F2">
      <w:pPr>
        <w:widowControl w:val="0"/>
        <w:autoSpaceDE w:val="0"/>
        <w:autoSpaceDN w:val="0"/>
        <w:adjustRightInd w:val="0"/>
        <w:spacing w:before="1"/>
        <w:ind w:left="293"/>
        <w:jc w:val="both"/>
        <w:rPr>
          <w:rFonts w:eastAsiaTheme="minorEastAsia"/>
          <w:color w:val="000000" w:themeColor="text1"/>
          <w:lang w:val="fr-FR"/>
        </w:rPr>
      </w:pPr>
    </w:p>
    <w:tbl>
      <w:tblPr>
        <w:tblW w:w="0" w:type="auto"/>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0"/>
        <w:gridCol w:w="8165"/>
      </w:tblGrid>
      <w:tr w:rsidR="00E929F2" w:rsidRPr="00E929F2" w14:paraId="70E6670C" w14:textId="77777777" w:rsidTr="0049533B">
        <w:trPr>
          <w:trHeight w:val="551"/>
        </w:trPr>
        <w:tc>
          <w:tcPr>
            <w:tcW w:w="1810" w:type="dxa"/>
            <w:shd w:val="clear" w:color="auto" w:fill="DBE4F0"/>
          </w:tcPr>
          <w:p w14:paraId="036A6AEC" w14:textId="77777777" w:rsidR="00E929F2" w:rsidRPr="00E929F2" w:rsidRDefault="00E929F2" w:rsidP="00E929F2">
            <w:pPr>
              <w:widowControl w:val="0"/>
              <w:tabs>
                <w:tab w:val="left" w:pos="1458"/>
              </w:tabs>
              <w:autoSpaceDE w:val="0"/>
              <w:autoSpaceDN w:val="0"/>
              <w:spacing w:line="276" w:lineRule="exact"/>
              <w:ind w:left="108" w:right="98"/>
              <w:jc w:val="both"/>
              <w:rPr>
                <w:b/>
                <w:color w:val="000000" w:themeColor="text1"/>
              </w:rPr>
            </w:pPr>
            <w:r w:rsidRPr="00E929F2">
              <w:rPr>
                <w:b/>
                <w:color w:val="000000" w:themeColor="text1"/>
              </w:rPr>
              <w:t>Starea</w:t>
            </w:r>
            <w:r w:rsidRPr="00E929F2">
              <w:rPr>
                <w:b/>
                <w:color w:val="000000" w:themeColor="text1"/>
              </w:rPr>
              <w:tab/>
            </w:r>
            <w:r w:rsidRPr="00E929F2">
              <w:rPr>
                <w:b/>
                <w:color w:val="000000" w:themeColor="text1"/>
                <w:spacing w:val="-2"/>
              </w:rPr>
              <w:t>de</w:t>
            </w:r>
            <w:r w:rsidRPr="00E929F2">
              <w:rPr>
                <w:b/>
                <w:color w:val="000000" w:themeColor="text1"/>
                <w:spacing w:val="-57"/>
              </w:rPr>
              <w:t xml:space="preserve"> </w:t>
            </w:r>
            <w:r w:rsidRPr="00E929F2">
              <w:rPr>
                <w:b/>
                <w:color w:val="000000" w:themeColor="text1"/>
              </w:rPr>
              <w:t>conservare</w:t>
            </w:r>
          </w:p>
        </w:tc>
        <w:tc>
          <w:tcPr>
            <w:tcW w:w="8165" w:type="dxa"/>
            <w:shd w:val="clear" w:color="auto" w:fill="DBE4F0"/>
          </w:tcPr>
          <w:p w14:paraId="24948606" w14:textId="77777777" w:rsidR="00E929F2" w:rsidRPr="00E929F2" w:rsidRDefault="00E929F2" w:rsidP="00E929F2">
            <w:pPr>
              <w:widowControl w:val="0"/>
              <w:autoSpaceDE w:val="0"/>
              <w:autoSpaceDN w:val="0"/>
              <w:spacing w:before="133"/>
              <w:ind w:left="107"/>
              <w:jc w:val="both"/>
              <w:rPr>
                <w:b/>
                <w:color w:val="000000" w:themeColor="text1"/>
              </w:rPr>
            </w:pPr>
            <w:r w:rsidRPr="00E929F2">
              <w:rPr>
                <w:b/>
                <w:color w:val="000000" w:themeColor="text1"/>
              </w:rPr>
              <w:t>Criterii</w:t>
            </w:r>
            <w:r w:rsidRPr="00E929F2">
              <w:rPr>
                <w:b/>
                <w:color w:val="000000" w:themeColor="text1"/>
                <w:spacing w:val="-2"/>
              </w:rPr>
              <w:t xml:space="preserve"> </w:t>
            </w:r>
            <w:r w:rsidRPr="00E929F2">
              <w:rPr>
                <w:b/>
                <w:color w:val="000000" w:themeColor="text1"/>
              </w:rPr>
              <w:t>de</w:t>
            </w:r>
            <w:r w:rsidRPr="00E929F2">
              <w:rPr>
                <w:b/>
                <w:color w:val="000000" w:themeColor="text1"/>
                <w:spacing w:val="-1"/>
              </w:rPr>
              <w:t xml:space="preserve"> </w:t>
            </w:r>
            <w:r w:rsidRPr="00E929F2">
              <w:rPr>
                <w:b/>
                <w:color w:val="000000" w:themeColor="text1"/>
              </w:rPr>
              <w:t>evaluare</w:t>
            </w:r>
          </w:p>
        </w:tc>
      </w:tr>
      <w:tr w:rsidR="00E929F2" w:rsidRPr="00E929F2" w14:paraId="2642BA1E" w14:textId="77777777" w:rsidTr="0049533B">
        <w:trPr>
          <w:trHeight w:val="2212"/>
        </w:trPr>
        <w:tc>
          <w:tcPr>
            <w:tcW w:w="1810" w:type="dxa"/>
          </w:tcPr>
          <w:p w14:paraId="520C3384" w14:textId="77777777" w:rsidR="00E929F2" w:rsidRPr="00E929F2" w:rsidRDefault="00E929F2" w:rsidP="00E929F2">
            <w:pPr>
              <w:widowControl w:val="0"/>
              <w:autoSpaceDE w:val="0"/>
              <w:autoSpaceDN w:val="0"/>
              <w:jc w:val="both"/>
              <w:rPr>
                <w:color w:val="000000" w:themeColor="text1"/>
              </w:rPr>
            </w:pPr>
          </w:p>
          <w:p w14:paraId="3921280B" w14:textId="77777777" w:rsidR="00E929F2" w:rsidRPr="00E929F2" w:rsidRDefault="00E929F2" w:rsidP="00E929F2">
            <w:pPr>
              <w:widowControl w:val="0"/>
              <w:autoSpaceDE w:val="0"/>
              <w:autoSpaceDN w:val="0"/>
              <w:jc w:val="both"/>
              <w:rPr>
                <w:color w:val="000000" w:themeColor="text1"/>
              </w:rPr>
            </w:pPr>
          </w:p>
          <w:p w14:paraId="480A06B6" w14:textId="77777777" w:rsidR="00E929F2" w:rsidRPr="00E929F2" w:rsidRDefault="00E929F2" w:rsidP="00E929F2">
            <w:pPr>
              <w:widowControl w:val="0"/>
              <w:autoSpaceDE w:val="0"/>
              <w:autoSpaceDN w:val="0"/>
              <w:spacing w:before="4"/>
              <w:jc w:val="both"/>
              <w:rPr>
                <w:color w:val="000000" w:themeColor="text1"/>
              </w:rPr>
            </w:pPr>
          </w:p>
          <w:p w14:paraId="43B0505B" w14:textId="77777777" w:rsidR="00E929F2" w:rsidRPr="00E929F2" w:rsidRDefault="00E929F2" w:rsidP="00E929F2">
            <w:pPr>
              <w:widowControl w:val="0"/>
              <w:autoSpaceDE w:val="0"/>
              <w:autoSpaceDN w:val="0"/>
              <w:ind w:left="108"/>
              <w:jc w:val="both"/>
              <w:rPr>
                <w:color w:val="000000" w:themeColor="text1"/>
              </w:rPr>
            </w:pPr>
            <w:r w:rsidRPr="00E929F2">
              <w:rPr>
                <w:color w:val="000000" w:themeColor="text1"/>
              </w:rPr>
              <w:t>Favorabil</w:t>
            </w:r>
            <w:r w:rsidRPr="00E929F2">
              <w:rPr>
                <w:color w:val="000000" w:themeColor="text1"/>
                <w:spacing w:val="-3"/>
              </w:rPr>
              <w:t xml:space="preserve"> </w:t>
            </w:r>
            <w:r w:rsidRPr="00E929F2">
              <w:rPr>
                <w:color w:val="000000" w:themeColor="text1"/>
              </w:rPr>
              <w:t>(FV)</w:t>
            </w:r>
          </w:p>
        </w:tc>
        <w:tc>
          <w:tcPr>
            <w:tcW w:w="8165" w:type="dxa"/>
          </w:tcPr>
          <w:p w14:paraId="5E077D89" w14:textId="77777777" w:rsidR="00E929F2" w:rsidRPr="00E929F2" w:rsidRDefault="00E929F2" w:rsidP="00E929F2">
            <w:pPr>
              <w:widowControl w:val="0"/>
              <w:autoSpaceDE w:val="0"/>
              <w:autoSpaceDN w:val="0"/>
              <w:ind w:left="107"/>
              <w:jc w:val="both"/>
              <w:rPr>
                <w:color w:val="000000" w:themeColor="text1"/>
              </w:rPr>
            </w:pPr>
            <w:r w:rsidRPr="00E929F2">
              <w:rPr>
                <w:color w:val="000000" w:themeColor="text1"/>
              </w:rPr>
              <w:t>Conform</w:t>
            </w:r>
            <w:r w:rsidRPr="00E929F2">
              <w:rPr>
                <w:color w:val="000000" w:themeColor="text1"/>
                <w:spacing w:val="46"/>
              </w:rPr>
              <w:t xml:space="preserve"> </w:t>
            </w:r>
            <w:r w:rsidRPr="00E929F2">
              <w:rPr>
                <w:color w:val="000000" w:themeColor="text1"/>
              </w:rPr>
              <w:t>matricei</w:t>
            </w:r>
            <w:r w:rsidRPr="00E929F2">
              <w:rPr>
                <w:color w:val="000000" w:themeColor="text1"/>
                <w:spacing w:val="46"/>
              </w:rPr>
              <w:t xml:space="preserve"> </w:t>
            </w:r>
            <w:r w:rsidRPr="00E929F2">
              <w:rPr>
                <w:color w:val="000000" w:themeColor="text1"/>
              </w:rPr>
              <w:t>de</w:t>
            </w:r>
            <w:r w:rsidRPr="00E929F2">
              <w:rPr>
                <w:color w:val="000000" w:themeColor="text1"/>
                <w:spacing w:val="44"/>
              </w:rPr>
              <w:t xml:space="preserve"> </w:t>
            </w:r>
            <w:r w:rsidRPr="00E929F2">
              <w:rPr>
                <w:color w:val="000000" w:themeColor="text1"/>
              </w:rPr>
              <w:t>evaluare</w:t>
            </w:r>
            <w:r w:rsidRPr="00E929F2">
              <w:rPr>
                <w:color w:val="000000" w:themeColor="text1"/>
                <w:spacing w:val="44"/>
              </w:rPr>
              <w:t xml:space="preserve"> </w:t>
            </w:r>
            <w:r w:rsidRPr="00E929F2">
              <w:rPr>
                <w:color w:val="000000" w:themeColor="text1"/>
              </w:rPr>
              <w:t>(anexa</w:t>
            </w:r>
            <w:r w:rsidRPr="00E929F2">
              <w:rPr>
                <w:color w:val="000000" w:themeColor="text1"/>
                <w:spacing w:val="44"/>
              </w:rPr>
              <w:t xml:space="preserve"> </w:t>
            </w:r>
            <w:r w:rsidRPr="00E929F2">
              <w:rPr>
                <w:color w:val="000000" w:themeColor="text1"/>
              </w:rPr>
              <w:t>E),</w:t>
            </w:r>
            <w:r w:rsidRPr="00E929F2">
              <w:rPr>
                <w:color w:val="000000" w:themeColor="text1"/>
                <w:spacing w:val="46"/>
              </w:rPr>
              <w:t xml:space="preserve"> </w:t>
            </w:r>
            <w:r w:rsidRPr="00E929F2">
              <w:rPr>
                <w:color w:val="000000" w:themeColor="text1"/>
              </w:rPr>
              <w:t>situația</w:t>
            </w:r>
            <w:r w:rsidRPr="00E929F2">
              <w:rPr>
                <w:color w:val="000000" w:themeColor="text1"/>
                <w:spacing w:val="44"/>
              </w:rPr>
              <w:t xml:space="preserve"> </w:t>
            </w:r>
            <w:r w:rsidRPr="00E929F2">
              <w:rPr>
                <w:color w:val="000000" w:themeColor="text1"/>
              </w:rPr>
              <w:t>perspectivelor</w:t>
            </w:r>
            <w:r w:rsidRPr="00E929F2">
              <w:rPr>
                <w:color w:val="000000" w:themeColor="text1"/>
                <w:spacing w:val="45"/>
              </w:rPr>
              <w:t xml:space="preserve"> </w:t>
            </w:r>
            <w:r w:rsidRPr="00E929F2">
              <w:rPr>
                <w:color w:val="000000" w:themeColor="text1"/>
              </w:rPr>
              <w:t>viitoare</w:t>
            </w:r>
            <w:r w:rsidRPr="00E929F2">
              <w:rPr>
                <w:color w:val="000000" w:themeColor="text1"/>
                <w:spacing w:val="-57"/>
              </w:rPr>
              <w:t xml:space="preserve"> </w:t>
            </w:r>
            <w:r w:rsidRPr="00E929F2">
              <w:rPr>
                <w:color w:val="000000" w:themeColor="text1"/>
              </w:rPr>
              <w:t>este</w:t>
            </w:r>
            <w:r w:rsidRPr="00E929F2">
              <w:rPr>
                <w:color w:val="000000" w:themeColor="text1"/>
                <w:spacing w:val="-2"/>
              </w:rPr>
              <w:t xml:space="preserve"> </w:t>
            </w:r>
            <w:r w:rsidRPr="00E929F2">
              <w:rPr>
                <w:color w:val="000000" w:themeColor="text1"/>
              </w:rPr>
              <w:t>„favorabilă”</w:t>
            </w:r>
            <w:r w:rsidRPr="00E929F2">
              <w:rPr>
                <w:color w:val="000000" w:themeColor="text1"/>
                <w:spacing w:val="-1"/>
              </w:rPr>
              <w:t xml:space="preserve"> </w:t>
            </w:r>
            <w:r w:rsidRPr="00E929F2">
              <w:rPr>
                <w:color w:val="000000" w:themeColor="text1"/>
              </w:rPr>
              <w:t>dacă:</w:t>
            </w:r>
          </w:p>
          <w:p w14:paraId="6067DFBD" w14:textId="77777777" w:rsidR="00E929F2" w:rsidRPr="00E929F2" w:rsidRDefault="00E929F2" w:rsidP="00E929F2">
            <w:pPr>
              <w:widowControl w:val="0"/>
              <w:tabs>
                <w:tab w:val="left" w:pos="828"/>
              </w:tabs>
              <w:autoSpaceDE w:val="0"/>
              <w:autoSpaceDN w:val="0"/>
              <w:spacing w:before="1" w:line="230" w:lineRule="auto"/>
              <w:ind w:left="828" w:right="103" w:hanging="361"/>
              <w:jc w:val="both"/>
              <w:rPr>
                <w:color w:val="000000" w:themeColor="text1"/>
              </w:rPr>
            </w:pPr>
            <w:r w:rsidRPr="00E929F2">
              <w:rPr>
                <w:color w:val="000000" w:themeColor="text1"/>
              </w:rPr>
              <w:t>-</w:t>
            </w:r>
            <w:r w:rsidRPr="00E929F2">
              <w:rPr>
                <w:color w:val="000000" w:themeColor="text1"/>
              </w:rPr>
              <w:tab/>
              <w:t>nu se</w:t>
            </w:r>
            <w:r w:rsidRPr="00E929F2">
              <w:rPr>
                <w:color w:val="000000" w:themeColor="text1"/>
                <w:spacing w:val="2"/>
              </w:rPr>
              <w:t xml:space="preserve"> </w:t>
            </w:r>
            <w:r w:rsidRPr="00E929F2">
              <w:rPr>
                <w:color w:val="000000" w:themeColor="text1"/>
              </w:rPr>
              <w:t>așteaptă</w:t>
            </w:r>
            <w:r w:rsidRPr="00E929F2">
              <w:rPr>
                <w:color w:val="000000" w:themeColor="text1"/>
                <w:spacing w:val="2"/>
              </w:rPr>
              <w:t xml:space="preserve"> </w:t>
            </w:r>
            <w:r w:rsidRPr="00E929F2">
              <w:rPr>
                <w:color w:val="000000" w:themeColor="text1"/>
              </w:rPr>
              <w:t>niciun</w:t>
            </w:r>
            <w:r w:rsidRPr="00E929F2">
              <w:rPr>
                <w:color w:val="000000" w:themeColor="text1"/>
                <w:spacing w:val="1"/>
              </w:rPr>
              <w:t xml:space="preserve"> </w:t>
            </w:r>
            <w:r w:rsidRPr="00E929F2">
              <w:rPr>
                <w:color w:val="000000" w:themeColor="text1"/>
              </w:rPr>
              <w:t>impact</w:t>
            </w:r>
            <w:r w:rsidRPr="00E929F2">
              <w:rPr>
                <w:color w:val="000000" w:themeColor="text1"/>
                <w:spacing w:val="1"/>
              </w:rPr>
              <w:t xml:space="preserve"> </w:t>
            </w:r>
            <w:r w:rsidRPr="00E929F2">
              <w:rPr>
                <w:color w:val="000000" w:themeColor="text1"/>
              </w:rPr>
              <w:t>semnificativ din</w:t>
            </w:r>
            <w:r w:rsidRPr="00E929F2">
              <w:rPr>
                <w:color w:val="000000" w:themeColor="text1"/>
                <w:spacing w:val="4"/>
              </w:rPr>
              <w:t xml:space="preserve"> </w:t>
            </w:r>
            <w:r w:rsidRPr="00E929F2">
              <w:rPr>
                <w:color w:val="000000" w:themeColor="text1"/>
              </w:rPr>
              <w:t>cauza amenințărilor la</w:t>
            </w:r>
            <w:r w:rsidRPr="00E929F2">
              <w:rPr>
                <w:color w:val="000000" w:themeColor="text1"/>
                <w:spacing w:val="-57"/>
              </w:rPr>
              <w:t xml:space="preserve"> </w:t>
            </w:r>
            <w:r w:rsidRPr="00E929F2">
              <w:rPr>
                <w:color w:val="000000" w:themeColor="text1"/>
              </w:rPr>
              <w:t>habitat</w:t>
            </w:r>
            <w:r w:rsidRPr="00E929F2">
              <w:rPr>
                <w:color w:val="000000" w:themeColor="text1"/>
                <w:spacing w:val="-1"/>
              </w:rPr>
              <w:t xml:space="preserve"> </w:t>
            </w:r>
            <w:r w:rsidRPr="00E929F2">
              <w:rPr>
                <w:color w:val="000000" w:themeColor="text1"/>
              </w:rPr>
              <w:t>și</w:t>
            </w:r>
            <w:r w:rsidRPr="00E929F2">
              <w:rPr>
                <w:color w:val="000000" w:themeColor="text1"/>
                <w:spacing w:val="-1"/>
              </w:rPr>
              <w:t xml:space="preserve"> </w:t>
            </w:r>
            <w:r w:rsidRPr="00E929F2">
              <w:rPr>
                <w:color w:val="000000" w:themeColor="text1"/>
              </w:rPr>
              <w:t>viabilitatea</w:t>
            </w:r>
            <w:r w:rsidRPr="00E929F2">
              <w:rPr>
                <w:color w:val="000000" w:themeColor="text1"/>
                <w:spacing w:val="-2"/>
              </w:rPr>
              <w:t xml:space="preserve"> </w:t>
            </w:r>
            <w:r w:rsidRPr="00E929F2">
              <w:rPr>
                <w:color w:val="000000" w:themeColor="text1"/>
              </w:rPr>
              <w:t>acestuia</w:t>
            </w:r>
            <w:r w:rsidRPr="00E929F2">
              <w:rPr>
                <w:color w:val="000000" w:themeColor="text1"/>
                <w:spacing w:val="-1"/>
              </w:rPr>
              <w:t xml:space="preserve"> </w:t>
            </w:r>
            <w:r w:rsidRPr="00E929F2">
              <w:rPr>
                <w:color w:val="000000" w:themeColor="text1"/>
              </w:rPr>
              <w:t>pe</w:t>
            </w:r>
            <w:r w:rsidRPr="00E929F2">
              <w:rPr>
                <w:color w:val="000000" w:themeColor="text1"/>
                <w:spacing w:val="-2"/>
              </w:rPr>
              <w:t xml:space="preserve"> </w:t>
            </w:r>
            <w:r w:rsidRPr="00E929F2">
              <w:rPr>
                <w:color w:val="000000" w:themeColor="text1"/>
              </w:rPr>
              <w:t>termen</w:t>
            </w:r>
            <w:r w:rsidRPr="00E929F2">
              <w:rPr>
                <w:color w:val="000000" w:themeColor="text1"/>
                <w:spacing w:val="-1"/>
              </w:rPr>
              <w:t xml:space="preserve"> </w:t>
            </w:r>
            <w:r w:rsidRPr="00E929F2">
              <w:rPr>
                <w:color w:val="000000" w:themeColor="text1"/>
              </w:rPr>
              <w:t>lung</w:t>
            </w:r>
            <w:r w:rsidRPr="00E929F2">
              <w:rPr>
                <w:color w:val="000000" w:themeColor="text1"/>
                <w:spacing w:val="-4"/>
              </w:rPr>
              <w:t xml:space="preserve"> </w:t>
            </w:r>
            <w:r w:rsidRPr="00E929F2">
              <w:rPr>
                <w:color w:val="000000" w:themeColor="text1"/>
              </w:rPr>
              <w:t>este</w:t>
            </w:r>
            <w:r w:rsidRPr="00E929F2">
              <w:rPr>
                <w:color w:val="000000" w:themeColor="text1"/>
                <w:spacing w:val="1"/>
              </w:rPr>
              <w:t xml:space="preserve"> </w:t>
            </w:r>
            <w:r w:rsidRPr="00E929F2">
              <w:rPr>
                <w:color w:val="000000" w:themeColor="text1"/>
              </w:rPr>
              <w:t>asigurată.</w:t>
            </w:r>
          </w:p>
          <w:p w14:paraId="0BFF2FE1" w14:textId="77777777" w:rsidR="00E929F2" w:rsidRPr="00E929F2" w:rsidRDefault="00E929F2" w:rsidP="00E929F2">
            <w:pPr>
              <w:widowControl w:val="0"/>
              <w:autoSpaceDE w:val="0"/>
              <w:autoSpaceDN w:val="0"/>
              <w:spacing w:before="1"/>
              <w:ind w:left="107"/>
              <w:jc w:val="both"/>
              <w:rPr>
                <w:color w:val="000000" w:themeColor="text1"/>
              </w:rPr>
            </w:pPr>
            <w:r w:rsidRPr="00E929F2">
              <w:rPr>
                <w:color w:val="000000" w:themeColor="text1"/>
              </w:rPr>
              <w:t>Informații suplimentare:</w:t>
            </w:r>
          </w:p>
          <w:p w14:paraId="57DC7286" w14:textId="77777777" w:rsidR="00E929F2" w:rsidRPr="00E929F2" w:rsidRDefault="00E929F2" w:rsidP="00E929F2">
            <w:pPr>
              <w:widowControl w:val="0"/>
              <w:autoSpaceDE w:val="0"/>
              <w:autoSpaceDN w:val="0"/>
              <w:ind w:left="107"/>
              <w:jc w:val="both"/>
              <w:rPr>
                <w:color w:val="000000" w:themeColor="text1"/>
              </w:rPr>
            </w:pPr>
            <w:r w:rsidRPr="00E929F2">
              <w:rPr>
                <w:color w:val="000000" w:themeColor="text1"/>
              </w:rPr>
              <w:t>Perspectivele</w:t>
            </w:r>
            <w:r w:rsidRPr="00E929F2">
              <w:rPr>
                <w:color w:val="000000" w:themeColor="text1"/>
                <w:spacing w:val="22"/>
              </w:rPr>
              <w:t xml:space="preserve"> </w:t>
            </w:r>
            <w:r w:rsidRPr="00E929F2">
              <w:rPr>
                <w:color w:val="000000" w:themeColor="text1"/>
              </w:rPr>
              <w:t>de</w:t>
            </w:r>
            <w:r w:rsidRPr="00E929F2">
              <w:rPr>
                <w:color w:val="000000" w:themeColor="text1"/>
                <w:spacing w:val="22"/>
              </w:rPr>
              <w:t xml:space="preserve"> </w:t>
            </w:r>
            <w:r w:rsidRPr="00E929F2">
              <w:rPr>
                <w:color w:val="000000" w:themeColor="text1"/>
              </w:rPr>
              <w:t>viitor</w:t>
            </w:r>
            <w:r w:rsidRPr="00E929F2">
              <w:rPr>
                <w:color w:val="000000" w:themeColor="text1"/>
                <w:spacing w:val="22"/>
              </w:rPr>
              <w:t xml:space="preserve"> </w:t>
            </w:r>
            <w:r w:rsidRPr="00E929F2">
              <w:rPr>
                <w:color w:val="000000" w:themeColor="text1"/>
              </w:rPr>
              <w:t>ar</w:t>
            </w:r>
            <w:r w:rsidRPr="00E929F2">
              <w:rPr>
                <w:color w:val="000000" w:themeColor="text1"/>
                <w:spacing w:val="23"/>
              </w:rPr>
              <w:t xml:space="preserve"> </w:t>
            </w:r>
            <w:r w:rsidRPr="00E929F2">
              <w:rPr>
                <w:color w:val="000000" w:themeColor="text1"/>
              </w:rPr>
              <w:t>trebui</w:t>
            </w:r>
            <w:r w:rsidRPr="00E929F2">
              <w:rPr>
                <w:color w:val="000000" w:themeColor="text1"/>
                <w:spacing w:val="23"/>
              </w:rPr>
              <w:t xml:space="preserve"> </w:t>
            </w:r>
            <w:r w:rsidRPr="00E929F2">
              <w:rPr>
                <w:color w:val="000000" w:themeColor="text1"/>
              </w:rPr>
              <w:t>evaluate</w:t>
            </w:r>
            <w:r w:rsidRPr="00E929F2">
              <w:rPr>
                <w:color w:val="000000" w:themeColor="text1"/>
                <w:spacing w:val="22"/>
              </w:rPr>
              <w:t xml:space="preserve"> </w:t>
            </w:r>
            <w:r w:rsidRPr="00E929F2">
              <w:rPr>
                <w:color w:val="000000" w:themeColor="text1"/>
              </w:rPr>
              <w:t>„favorabile”</w:t>
            </w:r>
            <w:r w:rsidRPr="00E929F2">
              <w:rPr>
                <w:color w:val="000000" w:themeColor="text1"/>
                <w:spacing w:val="22"/>
              </w:rPr>
              <w:t xml:space="preserve"> </w:t>
            </w:r>
            <w:r w:rsidRPr="00E929F2">
              <w:rPr>
                <w:color w:val="000000" w:themeColor="text1"/>
              </w:rPr>
              <w:t>dacă</w:t>
            </w:r>
            <w:r w:rsidRPr="00E929F2">
              <w:rPr>
                <w:color w:val="000000" w:themeColor="text1"/>
                <w:spacing w:val="21"/>
              </w:rPr>
              <w:t xml:space="preserve"> </w:t>
            </w:r>
            <w:r w:rsidRPr="00E929F2">
              <w:rPr>
                <w:color w:val="000000" w:themeColor="text1"/>
              </w:rPr>
              <w:t>toți</w:t>
            </w:r>
            <w:r w:rsidRPr="00E929F2">
              <w:rPr>
                <w:color w:val="000000" w:themeColor="text1"/>
                <w:spacing w:val="24"/>
              </w:rPr>
              <w:t xml:space="preserve"> </w:t>
            </w:r>
            <w:r w:rsidRPr="00E929F2">
              <w:rPr>
                <w:color w:val="000000" w:themeColor="text1"/>
              </w:rPr>
              <w:t>parametrii</w:t>
            </w:r>
          </w:p>
          <w:p w14:paraId="3F2269D4" w14:textId="77777777" w:rsidR="00E929F2" w:rsidRPr="00E929F2" w:rsidRDefault="00E929F2" w:rsidP="00E929F2">
            <w:pPr>
              <w:widowControl w:val="0"/>
              <w:autoSpaceDE w:val="0"/>
              <w:autoSpaceDN w:val="0"/>
              <w:spacing w:line="270" w:lineRule="atLeast"/>
              <w:ind w:left="107" w:right="96"/>
              <w:jc w:val="both"/>
              <w:rPr>
                <w:color w:val="000000" w:themeColor="text1"/>
              </w:rPr>
            </w:pPr>
            <w:r w:rsidRPr="00E929F2">
              <w:rPr>
                <w:color w:val="000000" w:themeColor="text1"/>
              </w:rPr>
              <w:t>au</w:t>
            </w:r>
            <w:r w:rsidRPr="00E929F2">
              <w:rPr>
                <w:color w:val="000000" w:themeColor="text1"/>
                <w:spacing w:val="37"/>
              </w:rPr>
              <w:t xml:space="preserve"> </w:t>
            </w:r>
            <w:r w:rsidRPr="00E929F2">
              <w:rPr>
                <w:color w:val="000000" w:themeColor="text1"/>
              </w:rPr>
              <w:t>perspective</w:t>
            </w:r>
            <w:r w:rsidRPr="00E929F2">
              <w:rPr>
                <w:color w:val="000000" w:themeColor="text1"/>
                <w:spacing w:val="36"/>
              </w:rPr>
              <w:t xml:space="preserve"> </w:t>
            </w:r>
            <w:r w:rsidRPr="00E929F2">
              <w:rPr>
                <w:color w:val="000000" w:themeColor="text1"/>
              </w:rPr>
              <w:t>bune</w:t>
            </w:r>
            <w:r w:rsidRPr="00E929F2">
              <w:rPr>
                <w:color w:val="000000" w:themeColor="text1"/>
                <w:spacing w:val="38"/>
              </w:rPr>
              <w:t xml:space="preserve"> </w:t>
            </w:r>
            <w:r w:rsidRPr="00E929F2">
              <w:rPr>
                <w:color w:val="000000" w:themeColor="text1"/>
              </w:rPr>
              <w:t>(câmpul</w:t>
            </w:r>
            <w:r w:rsidRPr="00E929F2">
              <w:rPr>
                <w:color w:val="000000" w:themeColor="text1"/>
                <w:spacing w:val="37"/>
              </w:rPr>
              <w:t xml:space="preserve"> </w:t>
            </w:r>
            <w:r w:rsidRPr="00E929F2">
              <w:rPr>
                <w:color w:val="000000" w:themeColor="text1"/>
              </w:rPr>
              <w:t>9.1)</w:t>
            </w:r>
            <w:r w:rsidRPr="00E929F2">
              <w:rPr>
                <w:color w:val="000000" w:themeColor="text1"/>
                <w:spacing w:val="36"/>
              </w:rPr>
              <w:t xml:space="preserve"> </w:t>
            </w:r>
            <w:r w:rsidRPr="00E929F2">
              <w:rPr>
                <w:color w:val="000000" w:themeColor="text1"/>
              </w:rPr>
              <w:t>sau</w:t>
            </w:r>
            <w:r w:rsidRPr="00E929F2">
              <w:rPr>
                <w:color w:val="000000" w:themeColor="text1"/>
                <w:spacing w:val="37"/>
              </w:rPr>
              <w:t xml:space="preserve"> </w:t>
            </w:r>
            <w:r w:rsidRPr="00E929F2">
              <w:rPr>
                <w:color w:val="000000" w:themeColor="text1"/>
              </w:rPr>
              <w:t>dacă</w:t>
            </w:r>
            <w:r w:rsidRPr="00E929F2">
              <w:rPr>
                <w:color w:val="000000" w:themeColor="text1"/>
                <w:spacing w:val="36"/>
              </w:rPr>
              <w:t xml:space="preserve"> </w:t>
            </w:r>
            <w:r w:rsidRPr="00E929F2">
              <w:rPr>
                <w:color w:val="000000" w:themeColor="text1"/>
              </w:rPr>
              <w:t>perspectivele</w:t>
            </w:r>
            <w:r w:rsidRPr="00E929F2">
              <w:rPr>
                <w:color w:val="000000" w:themeColor="text1"/>
                <w:spacing w:val="36"/>
              </w:rPr>
              <w:t xml:space="preserve"> </w:t>
            </w:r>
            <w:r w:rsidRPr="00E929F2">
              <w:rPr>
                <w:color w:val="000000" w:themeColor="text1"/>
              </w:rPr>
              <w:t>unui</w:t>
            </w:r>
            <w:r w:rsidRPr="00E929F2">
              <w:rPr>
                <w:color w:val="000000" w:themeColor="text1"/>
                <w:spacing w:val="37"/>
              </w:rPr>
              <w:t xml:space="preserve"> </w:t>
            </w:r>
            <w:r w:rsidRPr="00E929F2">
              <w:rPr>
                <w:color w:val="000000" w:themeColor="text1"/>
              </w:rPr>
              <w:t>parametru</w:t>
            </w:r>
            <w:r w:rsidRPr="00E929F2">
              <w:rPr>
                <w:color w:val="000000" w:themeColor="text1"/>
                <w:spacing w:val="-57"/>
              </w:rPr>
              <w:t xml:space="preserve"> </w:t>
            </w:r>
            <w:r w:rsidRPr="00E929F2">
              <w:rPr>
                <w:color w:val="000000" w:themeColor="text1"/>
              </w:rPr>
              <w:t>sunt</w:t>
            </w:r>
            <w:r w:rsidRPr="00E929F2">
              <w:rPr>
                <w:color w:val="000000" w:themeColor="text1"/>
                <w:spacing w:val="-1"/>
              </w:rPr>
              <w:t xml:space="preserve"> </w:t>
            </w:r>
            <w:r w:rsidRPr="00E929F2">
              <w:rPr>
                <w:color w:val="000000" w:themeColor="text1"/>
              </w:rPr>
              <w:t>„necunoscute”,</w:t>
            </w:r>
            <w:r w:rsidRPr="00E929F2">
              <w:rPr>
                <w:color w:val="000000" w:themeColor="text1"/>
                <w:spacing w:val="-1"/>
              </w:rPr>
              <w:t xml:space="preserve"> </w:t>
            </w:r>
            <w:r w:rsidRPr="00E929F2">
              <w:rPr>
                <w:color w:val="000000" w:themeColor="text1"/>
              </w:rPr>
              <w:t>în</w:t>
            </w:r>
            <w:r w:rsidRPr="00E929F2">
              <w:rPr>
                <w:color w:val="000000" w:themeColor="text1"/>
                <w:spacing w:val="-1"/>
              </w:rPr>
              <w:t xml:space="preserve"> </w:t>
            </w:r>
            <w:r w:rsidRPr="00E929F2">
              <w:rPr>
                <w:color w:val="000000" w:themeColor="text1"/>
              </w:rPr>
              <w:t>timp ce</w:t>
            </w:r>
            <w:r w:rsidRPr="00E929F2">
              <w:rPr>
                <w:color w:val="000000" w:themeColor="text1"/>
                <w:spacing w:val="-2"/>
              </w:rPr>
              <w:t xml:space="preserve"> </w:t>
            </w:r>
            <w:r w:rsidRPr="00E929F2">
              <w:rPr>
                <w:color w:val="000000" w:themeColor="text1"/>
              </w:rPr>
              <w:t>ceilalți</w:t>
            </w:r>
            <w:r w:rsidRPr="00E929F2">
              <w:rPr>
                <w:color w:val="000000" w:themeColor="text1"/>
                <w:spacing w:val="-1"/>
              </w:rPr>
              <w:t xml:space="preserve"> </w:t>
            </w:r>
            <w:r w:rsidRPr="00E929F2">
              <w:rPr>
                <w:color w:val="000000" w:themeColor="text1"/>
              </w:rPr>
              <w:t>parametri</w:t>
            </w:r>
            <w:r w:rsidRPr="00E929F2">
              <w:rPr>
                <w:color w:val="000000" w:themeColor="text1"/>
                <w:spacing w:val="-1"/>
              </w:rPr>
              <w:t xml:space="preserve"> </w:t>
            </w:r>
            <w:r w:rsidRPr="00E929F2">
              <w:rPr>
                <w:color w:val="000000" w:themeColor="text1"/>
              </w:rPr>
              <w:t>au perspective</w:t>
            </w:r>
            <w:r w:rsidRPr="00E929F2">
              <w:rPr>
                <w:color w:val="000000" w:themeColor="text1"/>
                <w:spacing w:val="-2"/>
              </w:rPr>
              <w:t xml:space="preserve"> </w:t>
            </w:r>
            <w:r w:rsidRPr="00E929F2">
              <w:rPr>
                <w:color w:val="000000" w:themeColor="text1"/>
              </w:rPr>
              <w:t>bune.</w:t>
            </w:r>
          </w:p>
        </w:tc>
      </w:tr>
      <w:tr w:rsidR="00E929F2" w:rsidRPr="00E929F2" w14:paraId="0E0BD968" w14:textId="77777777" w:rsidTr="0049533B">
        <w:trPr>
          <w:trHeight w:val="3316"/>
        </w:trPr>
        <w:tc>
          <w:tcPr>
            <w:tcW w:w="1810" w:type="dxa"/>
          </w:tcPr>
          <w:p w14:paraId="68EACB0A" w14:textId="77777777" w:rsidR="00E929F2" w:rsidRPr="00E929F2" w:rsidRDefault="00E929F2" w:rsidP="00E929F2">
            <w:pPr>
              <w:widowControl w:val="0"/>
              <w:autoSpaceDE w:val="0"/>
              <w:autoSpaceDN w:val="0"/>
              <w:jc w:val="both"/>
              <w:rPr>
                <w:color w:val="000000" w:themeColor="text1"/>
              </w:rPr>
            </w:pPr>
          </w:p>
          <w:p w14:paraId="127C3D0A" w14:textId="77777777" w:rsidR="00E929F2" w:rsidRPr="00E929F2" w:rsidRDefault="00E929F2" w:rsidP="00E929F2">
            <w:pPr>
              <w:widowControl w:val="0"/>
              <w:autoSpaceDE w:val="0"/>
              <w:autoSpaceDN w:val="0"/>
              <w:jc w:val="both"/>
              <w:rPr>
                <w:color w:val="000000" w:themeColor="text1"/>
              </w:rPr>
            </w:pPr>
          </w:p>
          <w:p w14:paraId="433E6C85" w14:textId="77777777" w:rsidR="00E929F2" w:rsidRPr="00E929F2" w:rsidRDefault="00E929F2" w:rsidP="00E929F2">
            <w:pPr>
              <w:widowControl w:val="0"/>
              <w:autoSpaceDE w:val="0"/>
              <w:autoSpaceDN w:val="0"/>
              <w:jc w:val="both"/>
              <w:rPr>
                <w:color w:val="000000" w:themeColor="text1"/>
              </w:rPr>
            </w:pPr>
          </w:p>
          <w:p w14:paraId="4CD5F385" w14:textId="77777777" w:rsidR="00E929F2" w:rsidRPr="00E929F2" w:rsidRDefault="00E929F2" w:rsidP="00E929F2">
            <w:pPr>
              <w:widowControl w:val="0"/>
              <w:autoSpaceDE w:val="0"/>
              <w:autoSpaceDN w:val="0"/>
              <w:jc w:val="both"/>
              <w:rPr>
                <w:color w:val="000000" w:themeColor="text1"/>
              </w:rPr>
            </w:pPr>
          </w:p>
          <w:p w14:paraId="46EC20EA" w14:textId="77777777" w:rsidR="00E929F2" w:rsidRPr="00E929F2" w:rsidRDefault="00E929F2" w:rsidP="00E929F2">
            <w:pPr>
              <w:widowControl w:val="0"/>
              <w:autoSpaceDE w:val="0"/>
              <w:autoSpaceDN w:val="0"/>
              <w:spacing w:before="173"/>
              <w:ind w:left="108" w:right="253"/>
              <w:jc w:val="both"/>
              <w:rPr>
                <w:color w:val="000000" w:themeColor="text1"/>
              </w:rPr>
            </w:pPr>
            <w:r w:rsidRPr="00E929F2">
              <w:rPr>
                <w:color w:val="000000" w:themeColor="text1"/>
              </w:rPr>
              <w:t>Nefavorabil-</w:t>
            </w:r>
            <w:r w:rsidRPr="00E929F2">
              <w:rPr>
                <w:color w:val="000000" w:themeColor="text1"/>
                <w:spacing w:val="1"/>
              </w:rPr>
              <w:t xml:space="preserve"> </w:t>
            </w:r>
            <w:r w:rsidRPr="00E929F2">
              <w:rPr>
                <w:color w:val="000000" w:themeColor="text1"/>
              </w:rPr>
              <w:t>inadecvat</w:t>
            </w:r>
            <w:r w:rsidRPr="00E929F2">
              <w:rPr>
                <w:color w:val="000000" w:themeColor="text1"/>
                <w:spacing w:val="-14"/>
              </w:rPr>
              <w:t xml:space="preserve"> </w:t>
            </w:r>
            <w:r w:rsidRPr="00E929F2">
              <w:rPr>
                <w:color w:val="000000" w:themeColor="text1"/>
              </w:rPr>
              <w:t>(U1)</w:t>
            </w:r>
          </w:p>
        </w:tc>
        <w:tc>
          <w:tcPr>
            <w:tcW w:w="8165" w:type="dxa"/>
          </w:tcPr>
          <w:p w14:paraId="6BB7848D" w14:textId="77777777" w:rsidR="00E929F2" w:rsidRPr="00E929F2" w:rsidRDefault="00E929F2" w:rsidP="00E929F2">
            <w:pPr>
              <w:widowControl w:val="0"/>
              <w:autoSpaceDE w:val="0"/>
              <w:autoSpaceDN w:val="0"/>
              <w:ind w:left="107" w:right="96"/>
              <w:jc w:val="both"/>
              <w:rPr>
                <w:color w:val="000000" w:themeColor="text1"/>
              </w:rPr>
            </w:pPr>
            <w:r w:rsidRPr="00E929F2">
              <w:rPr>
                <w:color w:val="000000" w:themeColor="text1"/>
              </w:rPr>
              <w:t>Conform</w:t>
            </w:r>
            <w:r w:rsidRPr="00E929F2">
              <w:rPr>
                <w:color w:val="000000" w:themeColor="text1"/>
                <w:spacing w:val="43"/>
              </w:rPr>
              <w:t xml:space="preserve"> </w:t>
            </w:r>
            <w:r w:rsidRPr="00E929F2">
              <w:rPr>
                <w:color w:val="000000" w:themeColor="text1"/>
              </w:rPr>
              <w:t>matricei</w:t>
            </w:r>
            <w:r w:rsidRPr="00E929F2">
              <w:rPr>
                <w:color w:val="000000" w:themeColor="text1"/>
                <w:spacing w:val="44"/>
              </w:rPr>
              <w:t xml:space="preserve"> </w:t>
            </w:r>
            <w:r w:rsidRPr="00E929F2">
              <w:rPr>
                <w:color w:val="000000" w:themeColor="text1"/>
              </w:rPr>
              <w:t>de</w:t>
            </w:r>
            <w:r w:rsidRPr="00E929F2">
              <w:rPr>
                <w:color w:val="000000" w:themeColor="text1"/>
                <w:spacing w:val="44"/>
              </w:rPr>
              <w:t xml:space="preserve"> </w:t>
            </w:r>
            <w:r w:rsidRPr="00E929F2">
              <w:rPr>
                <w:color w:val="000000" w:themeColor="text1"/>
              </w:rPr>
              <w:t>evaluare</w:t>
            </w:r>
            <w:r w:rsidRPr="00E929F2">
              <w:rPr>
                <w:color w:val="000000" w:themeColor="text1"/>
                <w:spacing w:val="45"/>
              </w:rPr>
              <w:t xml:space="preserve"> </w:t>
            </w:r>
            <w:r w:rsidRPr="00E929F2">
              <w:rPr>
                <w:color w:val="000000" w:themeColor="text1"/>
              </w:rPr>
              <w:t>(anexa</w:t>
            </w:r>
            <w:r w:rsidRPr="00E929F2">
              <w:rPr>
                <w:color w:val="000000" w:themeColor="text1"/>
                <w:spacing w:val="42"/>
              </w:rPr>
              <w:t xml:space="preserve"> </w:t>
            </w:r>
            <w:r w:rsidRPr="00E929F2">
              <w:rPr>
                <w:color w:val="000000" w:themeColor="text1"/>
              </w:rPr>
              <w:t>E),</w:t>
            </w:r>
            <w:r w:rsidRPr="00E929F2">
              <w:rPr>
                <w:color w:val="000000" w:themeColor="text1"/>
                <w:spacing w:val="44"/>
              </w:rPr>
              <w:t xml:space="preserve"> </w:t>
            </w:r>
            <w:r w:rsidRPr="00E929F2">
              <w:rPr>
                <w:color w:val="000000" w:themeColor="text1"/>
              </w:rPr>
              <w:t>statutul</w:t>
            </w:r>
            <w:r w:rsidRPr="00E929F2">
              <w:rPr>
                <w:color w:val="000000" w:themeColor="text1"/>
                <w:spacing w:val="43"/>
              </w:rPr>
              <w:t xml:space="preserve"> </w:t>
            </w:r>
            <w:r w:rsidRPr="00E929F2">
              <w:rPr>
                <w:color w:val="000000" w:themeColor="text1"/>
              </w:rPr>
              <w:t>perspectivelor</w:t>
            </w:r>
            <w:r w:rsidRPr="00E929F2">
              <w:rPr>
                <w:color w:val="000000" w:themeColor="text1"/>
                <w:spacing w:val="44"/>
              </w:rPr>
              <w:t xml:space="preserve"> </w:t>
            </w:r>
            <w:r w:rsidRPr="00E929F2">
              <w:rPr>
                <w:color w:val="000000" w:themeColor="text1"/>
              </w:rPr>
              <w:t>viitoare</w:t>
            </w:r>
            <w:r w:rsidRPr="00E929F2">
              <w:rPr>
                <w:color w:val="000000" w:themeColor="text1"/>
                <w:spacing w:val="-57"/>
              </w:rPr>
              <w:t xml:space="preserve"> </w:t>
            </w:r>
            <w:r w:rsidRPr="00E929F2">
              <w:rPr>
                <w:color w:val="000000" w:themeColor="text1"/>
              </w:rPr>
              <w:t>este</w:t>
            </w:r>
            <w:r w:rsidRPr="00E929F2">
              <w:rPr>
                <w:color w:val="000000" w:themeColor="text1"/>
                <w:spacing w:val="-2"/>
              </w:rPr>
              <w:t xml:space="preserve"> </w:t>
            </w:r>
            <w:r w:rsidRPr="00E929F2">
              <w:rPr>
                <w:color w:val="000000" w:themeColor="text1"/>
              </w:rPr>
              <w:t>„nefavorabil-inadecvat” dacă:</w:t>
            </w:r>
          </w:p>
          <w:p w14:paraId="7A65035D" w14:textId="77777777" w:rsidR="00E929F2" w:rsidRPr="00E929F2" w:rsidRDefault="00E929F2" w:rsidP="00E929F2">
            <w:pPr>
              <w:widowControl w:val="0"/>
              <w:tabs>
                <w:tab w:val="left" w:pos="828"/>
              </w:tabs>
              <w:autoSpaceDE w:val="0"/>
              <w:autoSpaceDN w:val="0"/>
              <w:spacing w:line="286" w:lineRule="exact"/>
              <w:ind w:left="467"/>
              <w:jc w:val="both"/>
              <w:rPr>
                <w:color w:val="000000" w:themeColor="text1"/>
              </w:rPr>
            </w:pPr>
            <w:r w:rsidRPr="00E929F2">
              <w:rPr>
                <w:color w:val="000000" w:themeColor="text1"/>
              </w:rPr>
              <w:t>-</w:t>
            </w:r>
            <w:r w:rsidRPr="00E929F2">
              <w:rPr>
                <w:color w:val="000000" w:themeColor="text1"/>
              </w:rPr>
              <w:tab/>
              <w:t>orice</w:t>
            </w:r>
            <w:r w:rsidRPr="00E929F2">
              <w:rPr>
                <w:color w:val="000000" w:themeColor="text1"/>
                <w:spacing w:val="53"/>
              </w:rPr>
              <w:t xml:space="preserve"> </w:t>
            </w:r>
            <w:r w:rsidRPr="00E929F2">
              <w:rPr>
                <w:color w:val="000000" w:themeColor="text1"/>
              </w:rPr>
              <w:t>altă</w:t>
            </w:r>
            <w:r w:rsidRPr="00E929F2">
              <w:rPr>
                <w:color w:val="000000" w:themeColor="text1"/>
                <w:spacing w:val="55"/>
              </w:rPr>
              <w:t xml:space="preserve"> </w:t>
            </w:r>
            <w:r w:rsidRPr="00E929F2">
              <w:rPr>
                <w:color w:val="000000" w:themeColor="text1"/>
              </w:rPr>
              <w:t>combinație</w:t>
            </w:r>
            <w:r w:rsidRPr="00E929F2">
              <w:rPr>
                <w:color w:val="000000" w:themeColor="text1"/>
                <w:spacing w:val="54"/>
              </w:rPr>
              <w:t xml:space="preserve"> </w:t>
            </w:r>
            <w:r w:rsidRPr="00E929F2">
              <w:rPr>
                <w:color w:val="000000" w:themeColor="text1"/>
              </w:rPr>
              <w:t>(o</w:t>
            </w:r>
            <w:r w:rsidRPr="00E929F2">
              <w:rPr>
                <w:color w:val="000000" w:themeColor="text1"/>
                <w:spacing w:val="57"/>
              </w:rPr>
              <w:t xml:space="preserve"> </w:t>
            </w:r>
            <w:r w:rsidRPr="00E929F2">
              <w:rPr>
                <w:color w:val="000000" w:themeColor="text1"/>
              </w:rPr>
              <w:t>altă</w:t>
            </w:r>
            <w:r w:rsidRPr="00E929F2">
              <w:rPr>
                <w:color w:val="000000" w:themeColor="text1"/>
                <w:spacing w:val="54"/>
              </w:rPr>
              <w:t xml:space="preserve"> </w:t>
            </w:r>
            <w:r w:rsidRPr="00E929F2">
              <w:rPr>
                <w:color w:val="000000" w:themeColor="text1"/>
              </w:rPr>
              <w:t>combinație</w:t>
            </w:r>
            <w:r w:rsidRPr="00E929F2">
              <w:rPr>
                <w:color w:val="000000" w:themeColor="text1"/>
                <w:spacing w:val="55"/>
              </w:rPr>
              <w:t xml:space="preserve"> </w:t>
            </w:r>
            <w:r w:rsidRPr="00E929F2">
              <w:rPr>
                <w:color w:val="000000" w:themeColor="text1"/>
              </w:rPr>
              <w:t>de</w:t>
            </w:r>
            <w:r w:rsidRPr="00E929F2">
              <w:rPr>
                <w:color w:val="000000" w:themeColor="text1"/>
                <w:spacing w:val="54"/>
              </w:rPr>
              <w:t xml:space="preserve"> </w:t>
            </w:r>
            <w:r w:rsidRPr="00E929F2">
              <w:rPr>
                <w:color w:val="000000" w:themeColor="text1"/>
              </w:rPr>
              <w:t>criterii</w:t>
            </w:r>
            <w:r w:rsidRPr="00E929F2">
              <w:rPr>
                <w:color w:val="000000" w:themeColor="text1"/>
                <w:spacing w:val="57"/>
              </w:rPr>
              <w:t xml:space="preserve"> </w:t>
            </w:r>
            <w:r w:rsidRPr="00E929F2">
              <w:rPr>
                <w:color w:val="000000" w:themeColor="text1"/>
              </w:rPr>
              <w:t>decât</w:t>
            </w:r>
            <w:r w:rsidRPr="00E929F2">
              <w:rPr>
                <w:color w:val="000000" w:themeColor="text1"/>
                <w:spacing w:val="56"/>
              </w:rPr>
              <w:t xml:space="preserve"> </w:t>
            </w:r>
            <w:r w:rsidRPr="00E929F2">
              <w:rPr>
                <w:color w:val="000000" w:themeColor="text1"/>
              </w:rPr>
              <w:t>pentru</w:t>
            </w:r>
          </w:p>
          <w:p w14:paraId="103F0797" w14:textId="77777777" w:rsidR="00E929F2" w:rsidRPr="00E929F2" w:rsidRDefault="00E929F2" w:rsidP="00E929F2">
            <w:pPr>
              <w:widowControl w:val="0"/>
              <w:autoSpaceDE w:val="0"/>
              <w:autoSpaceDN w:val="0"/>
              <w:spacing w:line="269" w:lineRule="exact"/>
              <w:ind w:left="828"/>
              <w:jc w:val="both"/>
              <w:rPr>
                <w:color w:val="000000" w:themeColor="text1"/>
              </w:rPr>
            </w:pPr>
            <w:r w:rsidRPr="00E929F2">
              <w:rPr>
                <w:color w:val="000000" w:themeColor="text1"/>
              </w:rPr>
              <w:t>„favorabil”</w:t>
            </w:r>
            <w:r w:rsidRPr="00E929F2">
              <w:rPr>
                <w:color w:val="000000" w:themeColor="text1"/>
                <w:spacing w:val="-3"/>
              </w:rPr>
              <w:t xml:space="preserve"> </w:t>
            </w:r>
            <w:r w:rsidRPr="00E929F2">
              <w:rPr>
                <w:color w:val="000000" w:themeColor="text1"/>
              </w:rPr>
              <w:t>sau</w:t>
            </w:r>
            <w:r w:rsidRPr="00E929F2">
              <w:rPr>
                <w:color w:val="000000" w:themeColor="text1"/>
                <w:spacing w:val="-2"/>
              </w:rPr>
              <w:t xml:space="preserve"> </w:t>
            </w:r>
            <w:r w:rsidRPr="00E929F2">
              <w:rPr>
                <w:color w:val="000000" w:themeColor="text1"/>
              </w:rPr>
              <w:t>„nefavorabil-rău”).</w:t>
            </w:r>
          </w:p>
          <w:p w14:paraId="5D12E89F" w14:textId="77777777" w:rsidR="00E929F2" w:rsidRPr="00E929F2" w:rsidRDefault="00E929F2" w:rsidP="00E929F2">
            <w:pPr>
              <w:widowControl w:val="0"/>
              <w:autoSpaceDE w:val="0"/>
              <w:autoSpaceDN w:val="0"/>
              <w:ind w:left="107"/>
              <w:jc w:val="both"/>
              <w:rPr>
                <w:color w:val="000000" w:themeColor="text1"/>
              </w:rPr>
            </w:pPr>
            <w:r w:rsidRPr="00E929F2">
              <w:rPr>
                <w:color w:val="000000" w:themeColor="text1"/>
              </w:rPr>
              <w:t>Informațiisuplimentare:</w:t>
            </w:r>
          </w:p>
          <w:p w14:paraId="39730184" w14:textId="77777777" w:rsidR="00E929F2" w:rsidRPr="00E929F2" w:rsidRDefault="00E929F2" w:rsidP="00E929F2">
            <w:pPr>
              <w:widowControl w:val="0"/>
              <w:tabs>
                <w:tab w:val="left" w:pos="1164"/>
                <w:tab w:val="left" w:pos="1596"/>
                <w:tab w:val="left" w:pos="2612"/>
                <w:tab w:val="left" w:pos="3056"/>
                <w:tab w:val="left" w:pos="3968"/>
                <w:tab w:val="left" w:pos="4812"/>
                <w:tab w:val="left" w:pos="5843"/>
                <w:tab w:val="left" w:pos="6659"/>
              </w:tabs>
              <w:autoSpaceDE w:val="0"/>
              <w:autoSpaceDN w:val="0"/>
              <w:ind w:left="107"/>
              <w:jc w:val="both"/>
              <w:rPr>
                <w:color w:val="000000" w:themeColor="text1"/>
              </w:rPr>
            </w:pPr>
            <w:r w:rsidRPr="00E929F2">
              <w:rPr>
                <w:color w:val="000000" w:themeColor="text1"/>
              </w:rPr>
              <w:t>Matricea</w:t>
            </w:r>
            <w:r w:rsidRPr="00E929F2">
              <w:rPr>
                <w:color w:val="000000" w:themeColor="text1"/>
              </w:rPr>
              <w:tab/>
              <w:t>de</w:t>
            </w:r>
            <w:r w:rsidRPr="00E929F2">
              <w:rPr>
                <w:color w:val="000000" w:themeColor="text1"/>
              </w:rPr>
              <w:tab/>
              <w:t>evaluare</w:t>
            </w:r>
            <w:r w:rsidRPr="00E929F2">
              <w:rPr>
                <w:color w:val="000000" w:themeColor="text1"/>
              </w:rPr>
              <w:tab/>
              <w:t>nu</w:t>
            </w:r>
            <w:r w:rsidRPr="00E929F2">
              <w:rPr>
                <w:color w:val="000000" w:themeColor="text1"/>
              </w:rPr>
              <w:tab/>
              <w:t>include</w:t>
            </w:r>
            <w:r w:rsidRPr="00E929F2">
              <w:rPr>
                <w:color w:val="000000" w:themeColor="text1"/>
              </w:rPr>
              <w:tab/>
              <w:t>criterii</w:t>
            </w:r>
            <w:r w:rsidRPr="00E929F2">
              <w:rPr>
                <w:color w:val="000000" w:themeColor="text1"/>
              </w:rPr>
              <w:tab/>
              <w:t>explicite</w:t>
            </w:r>
            <w:r w:rsidRPr="00E929F2">
              <w:rPr>
                <w:color w:val="000000" w:themeColor="text1"/>
              </w:rPr>
              <w:tab/>
              <w:t>pentru</w:t>
            </w:r>
            <w:r w:rsidRPr="00E929F2">
              <w:rPr>
                <w:color w:val="000000" w:themeColor="text1"/>
              </w:rPr>
              <w:tab/>
              <w:t>statutul</w:t>
            </w:r>
          </w:p>
          <w:p w14:paraId="0C0DF20F" w14:textId="77777777" w:rsidR="00E929F2" w:rsidRPr="00E929F2" w:rsidRDefault="00E929F2" w:rsidP="00E929F2">
            <w:pPr>
              <w:widowControl w:val="0"/>
              <w:autoSpaceDE w:val="0"/>
              <w:autoSpaceDN w:val="0"/>
              <w:spacing w:line="270" w:lineRule="atLeast"/>
              <w:ind w:left="107" w:right="98"/>
              <w:jc w:val="both"/>
              <w:rPr>
                <w:color w:val="000000" w:themeColor="text1"/>
              </w:rPr>
            </w:pPr>
            <w:r w:rsidRPr="00E929F2">
              <w:rPr>
                <w:color w:val="000000" w:themeColor="text1"/>
              </w:rPr>
              <w:t>„nefavorabil-inadecvat” al perspectivelor viitoare. Cu toate acestea, ținând</w:t>
            </w:r>
            <w:r w:rsidRPr="00E929F2">
              <w:rPr>
                <w:color w:val="000000" w:themeColor="text1"/>
                <w:spacing w:val="1"/>
              </w:rPr>
              <w:t xml:space="preserve"> </w:t>
            </w:r>
            <w:r w:rsidRPr="00E929F2">
              <w:rPr>
                <w:color w:val="000000" w:themeColor="text1"/>
              </w:rPr>
              <w:t>cont de metoda de evaluare a perspectivelor de viitor propuse în aceste</w:t>
            </w:r>
            <w:r w:rsidRPr="00E929F2">
              <w:rPr>
                <w:color w:val="000000" w:themeColor="text1"/>
                <w:spacing w:val="1"/>
              </w:rPr>
              <w:t xml:space="preserve"> </w:t>
            </w:r>
            <w:r w:rsidRPr="00E929F2">
              <w:rPr>
                <w:color w:val="000000" w:themeColor="text1"/>
              </w:rPr>
              <w:t>orientări,</w:t>
            </w:r>
            <w:r w:rsidRPr="00E929F2">
              <w:rPr>
                <w:color w:val="000000" w:themeColor="text1"/>
                <w:spacing w:val="1"/>
              </w:rPr>
              <w:t xml:space="preserve"> </w:t>
            </w:r>
            <w:r w:rsidRPr="00E929F2">
              <w:rPr>
                <w:color w:val="000000" w:themeColor="text1"/>
              </w:rPr>
              <w:t>statutul</w:t>
            </w:r>
            <w:r w:rsidRPr="00E929F2">
              <w:rPr>
                <w:color w:val="000000" w:themeColor="text1"/>
                <w:spacing w:val="1"/>
              </w:rPr>
              <w:t xml:space="preserve"> </w:t>
            </w:r>
            <w:r w:rsidRPr="00E929F2">
              <w:rPr>
                <w:color w:val="000000" w:themeColor="text1"/>
              </w:rPr>
              <w:t>ar</w:t>
            </w:r>
            <w:r w:rsidRPr="00E929F2">
              <w:rPr>
                <w:color w:val="000000" w:themeColor="text1"/>
                <w:spacing w:val="1"/>
              </w:rPr>
              <w:t xml:space="preserve"> </w:t>
            </w:r>
            <w:r w:rsidRPr="00E929F2">
              <w:rPr>
                <w:color w:val="000000" w:themeColor="text1"/>
              </w:rPr>
              <w:t>trebui</w:t>
            </w:r>
            <w:r w:rsidRPr="00E929F2">
              <w:rPr>
                <w:color w:val="000000" w:themeColor="text1"/>
                <w:spacing w:val="1"/>
              </w:rPr>
              <w:t xml:space="preserve"> </w:t>
            </w:r>
            <w:r w:rsidRPr="00E929F2">
              <w:rPr>
                <w:color w:val="000000" w:themeColor="text1"/>
              </w:rPr>
              <w:t>considerat</w:t>
            </w:r>
            <w:r w:rsidRPr="00E929F2">
              <w:rPr>
                <w:color w:val="000000" w:themeColor="text1"/>
                <w:spacing w:val="1"/>
              </w:rPr>
              <w:t xml:space="preserve"> </w:t>
            </w:r>
            <w:r w:rsidRPr="00E929F2">
              <w:rPr>
                <w:color w:val="000000" w:themeColor="text1"/>
              </w:rPr>
              <w:t>„nefavorabil-inadecvat”</w:t>
            </w:r>
            <w:r w:rsidRPr="00E929F2">
              <w:rPr>
                <w:color w:val="000000" w:themeColor="text1"/>
                <w:spacing w:val="1"/>
              </w:rPr>
              <w:t xml:space="preserve"> </w:t>
            </w:r>
            <w:r w:rsidRPr="00E929F2">
              <w:rPr>
                <w:color w:val="000000" w:themeColor="text1"/>
              </w:rPr>
              <w:t>dacă</w:t>
            </w:r>
            <w:r w:rsidRPr="00E929F2">
              <w:rPr>
                <w:color w:val="000000" w:themeColor="text1"/>
                <w:spacing w:val="1"/>
              </w:rPr>
              <w:t xml:space="preserve"> </w:t>
            </w:r>
            <w:r w:rsidRPr="00E929F2">
              <w:rPr>
                <w:color w:val="000000" w:themeColor="text1"/>
              </w:rPr>
              <w:t>perspectivele unuia sau mai multor parametri (câmpul 9.1) sunt „sărace”,</w:t>
            </w:r>
            <w:r w:rsidRPr="00E929F2">
              <w:rPr>
                <w:color w:val="000000" w:themeColor="text1"/>
                <w:spacing w:val="1"/>
              </w:rPr>
              <w:t xml:space="preserve"> </w:t>
            </w:r>
            <w:r w:rsidRPr="00E929F2">
              <w:rPr>
                <w:color w:val="000000" w:themeColor="text1"/>
              </w:rPr>
              <w:t>niciunul nu are perspective „proaste”. și există cel puțin un parametru cu</w:t>
            </w:r>
            <w:r w:rsidRPr="00E929F2">
              <w:rPr>
                <w:color w:val="000000" w:themeColor="text1"/>
                <w:spacing w:val="1"/>
              </w:rPr>
              <w:t xml:space="preserve"> </w:t>
            </w:r>
            <w:r w:rsidRPr="00E929F2">
              <w:rPr>
                <w:color w:val="000000" w:themeColor="text1"/>
              </w:rPr>
              <w:t>perspective</w:t>
            </w:r>
            <w:r w:rsidRPr="00E929F2">
              <w:rPr>
                <w:color w:val="000000" w:themeColor="text1"/>
                <w:spacing w:val="-2"/>
              </w:rPr>
              <w:t xml:space="preserve"> </w:t>
            </w:r>
            <w:r w:rsidRPr="00E929F2">
              <w:rPr>
                <w:color w:val="000000" w:themeColor="text1"/>
              </w:rPr>
              <w:t>„necunoscute”.</w:t>
            </w:r>
          </w:p>
        </w:tc>
      </w:tr>
      <w:tr w:rsidR="00E929F2" w:rsidRPr="00E929F2" w14:paraId="53EDECF5" w14:textId="77777777" w:rsidTr="0049533B">
        <w:trPr>
          <w:trHeight w:val="2212"/>
        </w:trPr>
        <w:tc>
          <w:tcPr>
            <w:tcW w:w="1810" w:type="dxa"/>
          </w:tcPr>
          <w:p w14:paraId="77A027D8" w14:textId="77777777" w:rsidR="00E929F2" w:rsidRPr="00E929F2" w:rsidRDefault="00E929F2" w:rsidP="00E929F2">
            <w:pPr>
              <w:widowControl w:val="0"/>
              <w:autoSpaceDE w:val="0"/>
              <w:autoSpaceDN w:val="0"/>
              <w:jc w:val="both"/>
              <w:rPr>
                <w:color w:val="000000" w:themeColor="text1"/>
              </w:rPr>
            </w:pPr>
          </w:p>
          <w:p w14:paraId="56258B18" w14:textId="77777777" w:rsidR="00E929F2" w:rsidRPr="00E929F2" w:rsidRDefault="00E929F2" w:rsidP="00E929F2">
            <w:pPr>
              <w:widowControl w:val="0"/>
              <w:autoSpaceDE w:val="0"/>
              <w:autoSpaceDN w:val="0"/>
              <w:jc w:val="both"/>
              <w:rPr>
                <w:color w:val="000000" w:themeColor="text1"/>
              </w:rPr>
            </w:pPr>
          </w:p>
          <w:p w14:paraId="7955FAD9" w14:textId="77777777" w:rsidR="00E929F2" w:rsidRPr="00E929F2" w:rsidRDefault="00E929F2" w:rsidP="00E929F2">
            <w:pPr>
              <w:widowControl w:val="0"/>
              <w:autoSpaceDE w:val="0"/>
              <w:autoSpaceDN w:val="0"/>
              <w:spacing w:before="216"/>
              <w:ind w:left="108" w:right="154"/>
              <w:jc w:val="both"/>
              <w:rPr>
                <w:color w:val="000000" w:themeColor="text1"/>
              </w:rPr>
            </w:pPr>
            <w:r w:rsidRPr="00E929F2">
              <w:rPr>
                <w:color w:val="000000" w:themeColor="text1"/>
                <w:spacing w:val="-1"/>
              </w:rPr>
              <w:t>Nefavorabil-rău</w:t>
            </w:r>
            <w:r w:rsidRPr="00E929F2">
              <w:rPr>
                <w:color w:val="000000" w:themeColor="text1"/>
                <w:spacing w:val="-57"/>
              </w:rPr>
              <w:t xml:space="preserve"> </w:t>
            </w:r>
            <w:r w:rsidRPr="00E929F2">
              <w:rPr>
                <w:color w:val="000000" w:themeColor="text1"/>
              </w:rPr>
              <w:t>(U2)</w:t>
            </w:r>
          </w:p>
        </w:tc>
        <w:tc>
          <w:tcPr>
            <w:tcW w:w="8165" w:type="dxa"/>
          </w:tcPr>
          <w:p w14:paraId="72853C95" w14:textId="77777777" w:rsidR="00E929F2" w:rsidRPr="00E929F2" w:rsidRDefault="00E929F2" w:rsidP="00E929F2">
            <w:pPr>
              <w:widowControl w:val="0"/>
              <w:autoSpaceDE w:val="0"/>
              <w:autoSpaceDN w:val="0"/>
              <w:ind w:left="107" w:right="98"/>
              <w:jc w:val="both"/>
              <w:rPr>
                <w:color w:val="000000" w:themeColor="text1"/>
              </w:rPr>
            </w:pPr>
            <w:r w:rsidRPr="00E929F2">
              <w:rPr>
                <w:color w:val="000000" w:themeColor="text1"/>
              </w:rPr>
              <w:t>Conform matricei de evaluare (anexa E), statutul perspectivelor de viitor</w:t>
            </w:r>
            <w:r w:rsidRPr="00E929F2">
              <w:rPr>
                <w:color w:val="000000" w:themeColor="text1"/>
                <w:spacing w:val="1"/>
              </w:rPr>
              <w:t xml:space="preserve"> </w:t>
            </w:r>
            <w:r w:rsidRPr="00E929F2">
              <w:rPr>
                <w:color w:val="000000" w:themeColor="text1"/>
              </w:rPr>
              <w:t>este</w:t>
            </w:r>
            <w:r w:rsidRPr="00E929F2">
              <w:rPr>
                <w:color w:val="000000" w:themeColor="text1"/>
                <w:spacing w:val="-2"/>
              </w:rPr>
              <w:t xml:space="preserve"> </w:t>
            </w:r>
            <w:r w:rsidRPr="00E929F2">
              <w:rPr>
                <w:color w:val="000000" w:themeColor="text1"/>
              </w:rPr>
              <w:t>„nefavorabil-rău”</w:t>
            </w:r>
            <w:r w:rsidRPr="00E929F2">
              <w:rPr>
                <w:color w:val="000000" w:themeColor="text1"/>
                <w:spacing w:val="-1"/>
              </w:rPr>
              <w:t xml:space="preserve"> </w:t>
            </w:r>
            <w:r w:rsidRPr="00E929F2">
              <w:rPr>
                <w:color w:val="000000" w:themeColor="text1"/>
              </w:rPr>
              <w:t>dacă:</w:t>
            </w:r>
          </w:p>
          <w:p w14:paraId="7C7213BD" w14:textId="77777777" w:rsidR="00E929F2" w:rsidRPr="00E929F2" w:rsidRDefault="00E929F2" w:rsidP="00E929F2">
            <w:pPr>
              <w:widowControl w:val="0"/>
              <w:autoSpaceDE w:val="0"/>
              <w:autoSpaceDN w:val="0"/>
              <w:spacing w:line="232" w:lineRule="auto"/>
              <w:ind w:left="828" w:right="99" w:hanging="361"/>
              <w:jc w:val="both"/>
              <w:rPr>
                <w:color w:val="000000" w:themeColor="text1"/>
              </w:rPr>
            </w:pPr>
            <w:r w:rsidRPr="00E929F2">
              <w:rPr>
                <w:color w:val="000000" w:themeColor="text1"/>
              </w:rPr>
              <w:t>-</w:t>
            </w:r>
            <w:r w:rsidRPr="00E929F2">
              <w:rPr>
                <w:color w:val="000000" w:themeColor="text1"/>
                <w:spacing w:val="1"/>
              </w:rPr>
              <w:t xml:space="preserve"> </w:t>
            </w:r>
            <w:r w:rsidRPr="00E929F2">
              <w:rPr>
                <w:color w:val="000000" w:themeColor="text1"/>
              </w:rPr>
              <w:t>Se așteaptă impacturi severe din cauza presiunilor și amenințărilor</w:t>
            </w:r>
            <w:r w:rsidRPr="00E929F2">
              <w:rPr>
                <w:color w:val="000000" w:themeColor="text1"/>
                <w:spacing w:val="1"/>
              </w:rPr>
              <w:t xml:space="preserve"> </w:t>
            </w:r>
            <w:r w:rsidRPr="00E929F2">
              <w:rPr>
                <w:color w:val="000000" w:themeColor="text1"/>
              </w:rPr>
              <w:t>asupra habitatului, perspectivele viitorului său sunt „proaste”, iar</w:t>
            </w:r>
            <w:r w:rsidRPr="00E929F2">
              <w:rPr>
                <w:color w:val="000000" w:themeColor="text1"/>
                <w:spacing w:val="1"/>
              </w:rPr>
              <w:t xml:space="preserve"> </w:t>
            </w:r>
            <w:r w:rsidRPr="00E929F2">
              <w:rPr>
                <w:color w:val="000000" w:themeColor="text1"/>
              </w:rPr>
              <w:t>viabilitatea</w:t>
            </w:r>
            <w:r w:rsidRPr="00E929F2">
              <w:rPr>
                <w:color w:val="000000" w:themeColor="text1"/>
                <w:spacing w:val="-2"/>
              </w:rPr>
              <w:t xml:space="preserve"> </w:t>
            </w:r>
            <w:r w:rsidRPr="00E929F2">
              <w:rPr>
                <w:color w:val="000000" w:themeColor="text1"/>
              </w:rPr>
              <w:t>pe</w:t>
            </w:r>
            <w:r w:rsidRPr="00E929F2">
              <w:rPr>
                <w:color w:val="000000" w:themeColor="text1"/>
                <w:spacing w:val="-1"/>
              </w:rPr>
              <w:t xml:space="preserve"> </w:t>
            </w:r>
            <w:r w:rsidRPr="00E929F2">
              <w:rPr>
                <w:color w:val="000000" w:themeColor="text1"/>
              </w:rPr>
              <w:t>termen lung</w:t>
            </w:r>
            <w:r w:rsidRPr="00E929F2">
              <w:rPr>
                <w:color w:val="000000" w:themeColor="text1"/>
                <w:spacing w:val="-3"/>
              </w:rPr>
              <w:t xml:space="preserve"> </w:t>
            </w:r>
            <w:r w:rsidRPr="00E929F2">
              <w:rPr>
                <w:color w:val="000000" w:themeColor="text1"/>
              </w:rPr>
              <w:t>nu</w:t>
            </w:r>
            <w:r w:rsidRPr="00E929F2">
              <w:rPr>
                <w:color w:val="000000" w:themeColor="text1"/>
                <w:spacing w:val="-1"/>
              </w:rPr>
              <w:t xml:space="preserve"> </w:t>
            </w:r>
            <w:r w:rsidRPr="00E929F2">
              <w:rPr>
                <w:color w:val="000000" w:themeColor="text1"/>
              </w:rPr>
              <w:t>este</w:t>
            </w:r>
            <w:r w:rsidRPr="00E929F2">
              <w:rPr>
                <w:color w:val="000000" w:themeColor="text1"/>
                <w:spacing w:val="1"/>
              </w:rPr>
              <w:t xml:space="preserve"> </w:t>
            </w:r>
            <w:r w:rsidRPr="00E929F2">
              <w:rPr>
                <w:color w:val="000000" w:themeColor="text1"/>
              </w:rPr>
              <w:t>asigurată.</w:t>
            </w:r>
          </w:p>
          <w:p w14:paraId="3F6C445A" w14:textId="77777777" w:rsidR="00E929F2" w:rsidRPr="00E929F2" w:rsidRDefault="00E929F2" w:rsidP="00E929F2">
            <w:pPr>
              <w:widowControl w:val="0"/>
              <w:autoSpaceDE w:val="0"/>
              <w:autoSpaceDN w:val="0"/>
              <w:ind w:left="107"/>
              <w:jc w:val="both"/>
              <w:rPr>
                <w:color w:val="000000" w:themeColor="text1"/>
              </w:rPr>
            </w:pPr>
            <w:r w:rsidRPr="00E929F2">
              <w:rPr>
                <w:color w:val="000000" w:themeColor="text1"/>
              </w:rPr>
              <w:t>Informațiisuplimentare:</w:t>
            </w:r>
          </w:p>
          <w:p w14:paraId="378712ED" w14:textId="77777777" w:rsidR="00E929F2" w:rsidRPr="00E929F2" w:rsidRDefault="00E929F2" w:rsidP="00E929F2">
            <w:pPr>
              <w:widowControl w:val="0"/>
              <w:autoSpaceDE w:val="0"/>
              <w:autoSpaceDN w:val="0"/>
              <w:spacing w:line="270" w:lineRule="atLeast"/>
              <w:ind w:left="107" w:right="95"/>
              <w:jc w:val="both"/>
              <w:rPr>
                <w:color w:val="000000" w:themeColor="text1"/>
              </w:rPr>
            </w:pPr>
            <w:r w:rsidRPr="00E929F2">
              <w:rPr>
                <w:color w:val="000000" w:themeColor="text1"/>
              </w:rPr>
              <w:t>Perspectivele</w:t>
            </w:r>
            <w:r w:rsidRPr="00E929F2">
              <w:rPr>
                <w:color w:val="000000" w:themeColor="text1"/>
                <w:spacing w:val="22"/>
              </w:rPr>
              <w:t xml:space="preserve"> </w:t>
            </w:r>
            <w:r w:rsidRPr="00E929F2">
              <w:rPr>
                <w:color w:val="000000" w:themeColor="text1"/>
              </w:rPr>
              <w:t>de</w:t>
            </w:r>
            <w:r w:rsidRPr="00E929F2">
              <w:rPr>
                <w:color w:val="000000" w:themeColor="text1"/>
                <w:spacing w:val="22"/>
              </w:rPr>
              <w:t xml:space="preserve"> </w:t>
            </w:r>
            <w:r w:rsidRPr="00E929F2">
              <w:rPr>
                <w:color w:val="000000" w:themeColor="text1"/>
              </w:rPr>
              <w:t>viitor</w:t>
            </w:r>
            <w:r w:rsidRPr="00E929F2">
              <w:rPr>
                <w:color w:val="000000" w:themeColor="text1"/>
                <w:spacing w:val="23"/>
              </w:rPr>
              <w:t xml:space="preserve"> </w:t>
            </w:r>
            <w:r w:rsidRPr="00E929F2">
              <w:rPr>
                <w:color w:val="000000" w:themeColor="text1"/>
              </w:rPr>
              <w:t>ar</w:t>
            </w:r>
            <w:r w:rsidRPr="00E929F2">
              <w:rPr>
                <w:color w:val="000000" w:themeColor="text1"/>
                <w:spacing w:val="23"/>
              </w:rPr>
              <w:t xml:space="preserve"> </w:t>
            </w:r>
            <w:r w:rsidRPr="00E929F2">
              <w:rPr>
                <w:color w:val="000000" w:themeColor="text1"/>
              </w:rPr>
              <w:t>trebui</w:t>
            </w:r>
            <w:r w:rsidRPr="00E929F2">
              <w:rPr>
                <w:color w:val="000000" w:themeColor="text1"/>
                <w:spacing w:val="24"/>
              </w:rPr>
              <w:t xml:space="preserve"> </w:t>
            </w:r>
            <w:r w:rsidRPr="00E929F2">
              <w:rPr>
                <w:color w:val="000000" w:themeColor="text1"/>
              </w:rPr>
              <w:t>evaluate</w:t>
            </w:r>
            <w:r w:rsidRPr="00E929F2">
              <w:rPr>
                <w:color w:val="000000" w:themeColor="text1"/>
                <w:spacing w:val="25"/>
              </w:rPr>
              <w:t xml:space="preserve"> </w:t>
            </w:r>
            <w:r w:rsidRPr="00E929F2">
              <w:rPr>
                <w:color w:val="000000" w:themeColor="text1"/>
              </w:rPr>
              <w:t>ca</w:t>
            </w:r>
            <w:r w:rsidRPr="00E929F2">
              <w:rPr>
                <w:color w:val="000000" w:themeColor="text1"/>
                <w:spacing w:val="22"/>
              </w:rPr>
              <w:t xml:space="preserve"> </w:t>
            </w:r>
            <w:r w:rsidRPr="00E929F2">
              <w:rPr>
                <w:color w:val="000000" w:themeColor="text1"/>
              </w:rPr>
              <w:t>„nefavorabile-rele”</w:t>
            </w:r>
            <w:r w:rsidRPr="00E929F2">
              <w:rPr>
                <w:color w:val="000000" w:themeColor="text1"/>
                <w:spacing w:val="22"/>
              </w:rPr>
              <w:t xml:space="preserve"> </w:t>
            </w:r>
            <w:r w:rsidRPr="00E929F2">
              <w:rPr>
                <w:color w:val="000000" w:themeColor="text1"/>
              </w:rPr>
              <w:t>dacă</w:t>
            </w:r>
            <w:r w:rsidRPr="00E929F2">
              <w:rPr>
                <w:color w:val="000000" w:themeColor="text1"/>
                <w:spacing w:val="22"/>
              </w:rPr>
              <w:t xml:space="preserve"> </w:t>
            </w:r>
            <w:r w:rsidRPr="00E929F2">
              <w:rPr>
                <w:color w:val="000000" w:themeColor="text1"/>
              </w:rPr>
              <w:t>unul</w:t>
            </w:r>
            <w:r w:rsidRPr="00E929F2">
              <w:rPr>
                <w:color w:val="000000" w:themeColor="text1"/>
                <w:spacing w:val="-57"/>
              </w:rPr>
              <w:t xml:space="preserve"> </w:t>
            </w:r>
            <w:r w:rsidRPr="00E929F2">
              <w:rPr>
                <w:color w:val="000000" w:themeColor="text1"/>
              </w:rPr>
              <w:t>sau</w:t>
            </w:r>
            <w:r w:rsidRPr="00E929F2">
              <w:rPr>
                <w:color w:val="000000" w:themeColor="text1"/>
                <w:spacing w:val="-1"/>
              </w:rPr>
              <w:t xml:space="preserve"> </w:t>
            </w:r>
            <w:r w:rsidRPr="00E929F2">
              <w:rPr>
                <w:color w:val="000000" w:themeColor="text1"/>
              </w:rPr>
              <w:t>mai mulți</w:t>
            </w:r>
            <w:r w:rsidRPr="00E929F2">
              <w:rPr>
                <w:color w:val="000000" w:themeColor="text1"/>
                <w:spacing w:val="-1"/>
              </w:rPr>
              <w:t xml:space="preserve"> </w:t>
            </w:r>
            <w:r w:rsidRPr="00E929F2">
              <w:rPr>
                <w:color w:val="000000" w:themeColor="text1"/>
              </w:rPr>
              <w:t>parametri au perspective</w:t>
            </w:r>
            <w:r w:rsidRPr="00E929F2">
              <w:rPr>
                <w:color w:val="000000" w:themeColor="text1"/>
                <w:spacing w:val="-2"/>
              </w:rPr>
              <w:t xml:space="preserve"> </w:t>
            </w:r>
            <w:r w:rsidRPr="00E929F2">
              <w:rPr>
                <w:color w:val="000000" w:themeColor="text1"/>
              </w:rPr>
              <w:t>„proaste”</w:t>
            </w:r>
            <w:r w:rsidRPr="00E929F2">
              <w:rPr>
                <w:color w:val="000000" w:themeColor="text1"/>
                <w:spacing w:val="-1"/>
              </w:rPr>
              <w:t xml:space="preserve"> </w:t>
            </w:r>
            <w:r w:rsidRPr="00E929F2">
              <w:rPr>
                <w:color w:val="000000" w:themeColor="text1"/>
              </w:rPr>
              <w:t>(câmpul 9.1).</w:t>
            </w:r>
          </w:p>
        </w:tc>
      </w:tr>
      <w:tr w:rsidR="00E929F2" w:rsidRPr="00E929F2" w14:paraId="376DD625" w14:textId="77777777" w:rsidTr="0049533B">
        <w:trPr>
          <w:trHeight w:val="1936"/>
        </w:trPr>
        <w:tc>
          <w:tcPr>
            <w:tcW w:w="1810" w:type="dxa"/>
          </w:tcPr>
          <w:p w14:paraId="69A84B31" w14:textId="77777777" w:rsidR="00E929F2" w:rsidRPr="00E929F2" w:rsidRDefault="00E929F2" w:rsidP="00E929F2">
            <w:pPr>
              <w:widowControl w:val="0"/>
              <w:autoSpaceDE w:val="0"/>
              <w:autoSpaceDN w:val="0"/>
              <w:jc w:val="both"/>
              <w:rPr>
                <w:color w:val="000000" w:themeColor="text1"/>
              </w:rPr>
            </w:pPr>
          </w:p>
          <w:p w14:paraId="78598EFC" w14:textId="77777777" w:rsidR="00E929F2" w:rsidRPr="00E929F2" w:rsidRDefault="00E929F2" w:rsidP="00E929F2">
            <w:pPr>
              <w:widowControl w:val="0"/>
              <w:autoSpaceDE w:val="0"/>
              <w:autoSpaceDN w:val="0"/>
              <w:spacing w:before="10"/>
              <w:jc w:val="both"/>
              <w:rPr>
                <w:color w:val="000000" w:themeColor="text1"/>
              </w:rPr>
            </w:pPr>
          </w:p>
          <w:p w14:paraId="1ECF40E0" w14:textId="77777777" w:rsidR="00E929F2" w:rsidRPr="00E929F2" w:rsidRDefault="00E929F2" w:rsidP="00E929F2">
            <w:pPr>
              <w:widowControl w:val="0"/>
              <w:autoSpaceDE w:val="0"/>
              <w:autoSpaceDN w:val="0"/>
              <w:ind w:left="108" w:right="549"/>
              <w:jc w:val="both"/>
              <w:rPr>
                <w:color w:val="000000" w:themeColor="text1"/>
              </w:rPr>
            </w:pPr>
            <w:r w:rsidRPr="00E929F2">
              <w:rPr>
                <w:color w:val="000000" w:themeColor="text1"/>
                <w:spacing w:val="-1"/>
              </w:rPr>
              <w:t>Necunoscut</w:t>
            </w:r>
            <w:r w:rsidRPr="00E929F2">
              <w:rPr>
                <w:color w:val="000000" w:themeColor="text1"/>
                <w:spacing w:val="-57"/>
              </w:rPr>
              <w:t xml:space="preserve"> </w:t>
            </w:r>
            <w:r w:rsidRPr="00E929F2">
              <w:rPr>
                <w:color w:val="000000" w:themeColor="text1"/>
              </w:rPr>
              <w:t>(XX)</w:t>
            </w:r>
          </w:p>
        </w:tc>
        <w:tc>
          <w:tcPr>
            <w:tcW w:w="8165" w:type="dxa"/>
          </w:tcPr>
          <w:p w14:paraId="0FF89770" w14:textId="77777777" w:rsidR="00E929F2" w:rsidRPr="00E929F2" w:rsidRDefault="00E929F2" w:rsidP="00E929F2">
            <w:pPr>
              <w:widowControl w:val="0"/>
              <w:autoSpaceDE w:val="0"/>
              <w:autoSpaceDN w:val="0"/>
              <w:ind w:left="107" w:right="100"/>
              <w:jc w:val="both"/>
              <w:rPr>
                <w:color w:val="000000" w:themeColor="text1"/>
              </w:rPr>
            </w:pPr>
            <w:r w:rsidRPr="00E929F2">
              <w:rPr>
                <w:color w:val="000000" w:themeColor="text1"/>
              </w:rPr>
              <w:t>Conform</w:t>
            </w:r>
            <w:r w:rsidRPr="00E929F2">
              <w:rPr>
                <w:color w:val="000000" w:themeColor="text1"/>
                <w:spacing w:val="46"/>
              </w:rPr>
              <w:t xml:space="preserve"> </w:t>
            </w:r>
            <w:r w:rsidRPr="00E929F2">
              <w:rPr>
                <w:color w:val="000000" w:themeColor="text1"/>
              </w:rPr>
              <w:t>matricei</w:t>
            </w:r>
            <w:r w:rsidRPr="00E929F2">
              <w:rPr>
                <w:color w:val="000000" w:themeColor="text1"/>
                <w:spacing w:val="46"/>
              </w:rPr>
              <w:t xml:space="preserve"> </w:t>
            </w:r>
            <w:r w:rsidRPr="00E929F2">
              <w:rPr>
                <w:color w:val="000000" w:themeColor="text1"/>
              </w:rPr>
              <w:t>de</w:t>
            </w:r>
            <w:r w:rsidRPr="00E929F2">
              <w:rPr>
                <w:color w:val="000000" w:themeColor="text1"/>
                <w:spacing w:val="44"/>
              </w:rPr>
              <w:t xml:space="preserve"> </w:t>
            </w:r>
            <w:r w:rsidRPr="00E929F2">
              <w:rPr>
                <w:color w:val="000000" w:themeColor="text1"/>
              </w:rPr>
              <w:t>evaluare</w:t>
            </w:r>
            <w:r w:rsidRPr="00E929F2">
              <w:rPr>
                <w:color w:val="000000" w:themeColor="text1"/>
                <w:spacing w:val="44"/>
              </w:rPr>
              <w:t xml:space="preserve"> </w:t>
            </w:r>
            <w:r w:rsidRPr="00E929F2">
              <w:rPr>
                <w:color w:val="000000" w:themeColor="text1"/>
              </w:rPr>
              <w:t>(anexa</w:t>
            </w:r>
            <w:r w:rsidRPr="00E929F2">
              <w:rPr>
                <w:color w:val="000000" w:themeColor="text1"/>
                <w:spacing w:val="44"/>
              </w:rPr>
              <w:t xml:space="preserve"> </w:t>
            </w:r>
            <w:r w:rsidRPr="00E929F2">
              <w:rPr>
                <w:color w:val="000000" w:themeColor="text1"/>
              </w:rPr>
              <w:t>E),</w:t>
            </w:r>
            <w:r w:rsidRPr="00E929F2">
              <w:rPr>
                <w:color w:val="000000" w:themeColor="text1"/>
                <w:spacing w:val="46"/>
              </w:rPr>
              <w:t xml:space="preserve"> </w:t>
            </w:r>
            <w:r w:rsidRPr="00E929F2">
              <w:rPr>
                <w:color w:val="000000" w:themeColor="text1"/>
              </w:rPr>
              <w:t>situația</w:t>
            </w:r>
            <w:r w:rsidRPr="00E929F2">
              <w:rPr>
                <w:color w:val="000000" w:themeColor="text1"/>
                <w:spacing w:val="44"/>
              </w:rPr>
              <w:t xml:space="preserve"> </w:t>
            </w:r>
            <w:r w:rsidRPr="00E929F2">
              <w:rPr>
                <w:color w:val="000000" w:themeColor="text1"/>
              </w:rPr>
              <w:t>perspectivelor</w:t>
            </w:r>
            <w:r w:rsidRPr="00E929F2">
              <w:rPr>
                <w:color w:val="000000" w:themeColor="text1"/>
                <w:spacing w:val="45"/>
              </w:rPr>
              <w:t xml:space="preserve"> </w:t>
            </w:r>
            <w:r w:rsidRPr="00E929F2">
              <w:rPr>
                <w:color w:val="000000" w:themeColor="text1"/>
              </w:rPr>
              <w:t>viitoare</w:t>
            </w:r>
            <w:r w:rsidRPr="00E929F2">
              <w:rPr>
                <w:color w:val="000000" w:themeColor="text1"/>
                <w:spacing w:val="-58"/>
              </w:rPr>
              <w:t xml:space="preserve"> </w:t>
            </w:r>
            <w:r w:rsidRPr="00E929F2">
              <w:rPr>
                <w:color w:val="000000" w:themeColor="text1"/>
              </w:rPr>
              <w:t>este</w:t>
            </w:r>
            <w:r w:rsidRPr="00E929F2">
              <w:rPr>
                <w:color w:val="000000" w:themeColor="text1"/>
                <w:spacing w:val="-2"/>
              </w:rPr>
              <w:t xml:space="preserve"> </w:t>
            </w:r>
            <w:r w:rsidRPr="00E929F2">
              <w:rPr>
                <w:color w:val="000000" w:themeColor="text1"/>
              </w:rPr>
              <w:t>„necunoscută”</w:t>
            </w:r>
            <w:r w:rsidRPr="00E929F2">
              <w:rPr>
                <w:color w:val="000000" w:themeColor="text1"/>
                <w:spacing w:val="-1"/>
              </w:rPr>
              <w:t xml:space="preserve"> </w:t>
            </w:r>
            <w:r w:rsidRPr="00E929F2">
              <w:rPr>
                <w:color w:val="000000" w:themeColor="text1"/>
              </w:rPr>
              <w:t>dacă:</w:t>
            </w:r>
          </w:p>
          <w:p w14:paraId="4ED650CB" w14:textId="77777777" w:rsidR="00E929F2" w:rsidRPr="00E929F2" w:rsidRDefault="00E929F2" w:rsidP="00E929F2">
            <w:pPr>
              <w:widowControl w:val="0"/>
              <w:autoSpaceDE w:val="0"/>
              <w:autoSpaceDN w:val="0"/>
              <w:spacing w:line="230" w:lineRule="auto"/>
              <w:ind w:left="107" w:right="1341" w:firstLine="360"/>
              <w:jc w:val="both"/>
              <w:rPr>
                <w:color w:val="000000" w:themeColor="text1"/>
              </w:rPr>
            </w:pPr>
            <w:r w:rsidRPr="00E929F2">
              <w:rPr>
                <w:color w:val="000000" w:themeColor="text1"/>
              </w:rPr>
              <w:t>-</w:t>
            </w:r>
            <w:r w:rsidRPr="00E929F2">
              <w:rPr>
                <w:color w:val="000000" w:themeColor="text1"/>
                <w:spacing w:val="1"/>
              </w:rPr>
              <w:t xml:space="preserve"> </w:t>
            </w:r>
            <w:r w:rsidRPr="00E929F2">
              <w:rPr>
                <w:color w:val="000000" w:themeColor="text1"/>
              </w:rPr>
              <w:t>nu există informații fiabile sau insuficiente disponibile.</w:t>
            </w:r>
            <w:r w:rsidRPr="00E929F2">
              <w:rPr>
                <w:color w:val="000000" w:themeColor="text1"/>
                <w:spacing w:val="-57"/>
              </w:rPr>
              <w:t xml:space="preserve"> </w:t>
            </w:r>
            <w:r w:rsidRPr="00E929F2">
              <w:rPr>
                <w:color w:val="000000" w:themeColor="text1"/>
              </w:rPr>
              <w:t>Observații</w:t>
            </w:r>
            <w:r w:rsidRPr="00E929F2">
              <w:rPr>
                <w:color w:val="000000" w:themeColor="text1"/>
                <w:spacing w:val="-1"/>
              </w:rPr>
              <w:t xml:space="preserve"> </w:t>
            </w:r>
            <w:r w:rsidRPr="00E929F2">
              <w:rPr>
                <w:color w:val="000000" w:themeColor="text1"/>
              </w:rPr>
              <w:t>complementare:</w:t>
            </w:r>
          </w:p>
          <w:p w14:paraId="0EE662ED" w14:textId="77777777" w:rsidR="00E929F2" w:rsidRPr="00E929F2" w:rsidRDefault="00E929F2" w:rsidP="00E929F2">
            <w:pPr>
              <w:widowControl w:val="0"/>
              <w:autoSpaceDE w:val="0"/>
              <w:autoSpaceDN w:val="0"/>
              <w:spacing w:line="270" w:lineRule="atLeast"/>
              <w:ind w:left="141" w:right="100" w:hanging="10"/>
              <w:jc w:val="both"/>
              <w:rPr>
                <w:color w:val="000000" w:themeColor="text1"/>
              </w:rPr>
            </w:pPr>
            <w:r w:rsidRPr="00E929F2">
              <w:rPr>
                <w:color w:val="000000" w:themeColor="text1"/>
              </w:rPr>
              <w:t>Perspectivele</w:t>
            </w:r>
            <w:r w:rsidRPr="00E929F2">
              <w:rPr>
                <w:color w:val="000000" w:themeColor="text1"/>
                <w:spacing w:val="36"/>
              </w:rPr>
              <w:t xml:space="preserve"> </w:t>
            </w:r>
            <w:r w:rsidRPr="00E929F2">
              <w:rPr>
                <w:color w:val="000000" w:themeColor="text1"/>
              </w:rPr>
              <w:t>de</w:t>
            </w:r>
            <w:r w:rsidRPr="00E929F2">
              <w:rPr>
                <w:color w:val="000000" w:themeColor="text1"/>
                <w:spacing w:val="37"/>
              </w:rPr>
              <w:t xml:space="preserve"> </w:t>
            </w:r>
            <w:r w:rsidRPr="00E929F2">
              <w:rPr>
                <w:color w:val="000000" w:themeColor="text1"/>
              </w:rPr>
              <w:t>viitor</w:t>
            </w:r>
            <w:r w:rsidRPr="00E929F2">
              <w:rPr>
                <w:color w:val="000000" w:themeColor="text1"/>
                <w:spacing w:val="37"/>
              </w:rPr>
              <w:t xml:space="preserve"> </w:t>
            </w:r>
            <w:r w:rsidRPr="00E929F2">
              <w:rPr>
                <w:color w:val="000000" w:themeColor="text1"/>
              </w:rPr>
              <w:t>ar</w:t>
            </w:r>
            <w:r w:rsidRPr="00E929F2">
              <w:rPr>
                <w:color w:val="000000" w:themeColor="text1"/>
                <w:spacing w:val="37"/>
              </w:rPr>
              <w:t xml:space="preserve"> </w:t>
            </w:r>
            <w:r w:rsidRPr="00E929F2">
              <w:rPr>
                <w:color w:val="000000" w:themeColor="text1"/>
              </w:rPr>
              <w:t>trebui</w:t>
            </w:r>
            <w:r w:rsidRPr="00E929F2">
              <w:rPr>
                <w:color w:val="000000" w:themeColor="text1"/>
                <w:spacing w:val="37"/>
              </w:rPr>
              <w:t xml:space="preserve"> </w:t>
            </w:r>
            <w:r w:rsidRPr="00E929F2">
              <w:rPr>
                <w:color w:val="000000" w:themeColor="text1"/>
              </w:rPr>
              <w:t>evaluate</w:t>
            </w:r>
            <w:r w:rsidRPr="00E929F2">
              <w:rPr>
                <w:color w:val="000000" w:themeColor="text1"/>
                <w:spacing w:val="39"/>
              </w:rPr>
              <w:t xml:space="preserve"> </w:t>
            </w:r>
            <w:r w:rsidRPr="00E929F2">
              <w:rPr>
                <w:color w:val="000000" w:themeColor="text1"/>
              </w:rPr>
              <w:t>ca</w:t>
            </w:r>
            <w:r w:rsidRPr="00E929F2">
              <w:rPr>
                <w:color w:val="000000" w:themeColor="text1"/>
                <w:spacing w:val="36"/>
              </w:rPr>
              <w:t xml:space="preserve"> </w:t>
            </w:r>
            <w:r w:rsidRPr="00E929F2">
              <w:rPr>
                <w:color w:val="000000" w:themeColor="text1"/>
              </w:rPr>
              <w:t>„necunoscute”</w:t>
            </w:r>
            <w:r w:rsidRPr="00E929F2">
              <w:rPr>
                <w:color w:val="000000" w:themeColor="text1"/>
                <w:spacing w:val="36"/>
              </w:rPr>
              <w:t xml:space="preserve"> </w:t>
            </w:r>
            <w:r w:rsidRPr="00E929F2">
              <w:rPr>
                <w:color w:val="000000" w:themeColor="text1"/>
              </w:rPr>
              <w:t>dacă</w:t>
            </w:r>
            <w:r w:rsidRPr="00E929F2">
              <w:rPr>
                <w:color w:val="000000" w:themeColor="text1"/>
                <w:spacing w:val="36"/>
              </w:rPr>
              <w:t xml:space="preserve"> </w:t>
            </w:r>
            <w:r w:rsidRPr="00E929F2">
              <w:rPr>
                <w:color w:val="000000" w:themeColor="text1"/>
              </w:rPr>
              <w:t>doi</w:t>
            </w:r>
            <w:r w:rsidRPr="00E929F2">
              <w:rPr>
                <w:color w:val="000000" w:themeColor="text1"/>
                <w:spacing w:val="38"/>
              </w:rPr>
              <w:t xml:space="preserve"> </w:t>
            </w:r>
            <w:r w:rsidRPr="00E929F2">
              <w:rPr>
                <w:color w:val="000000" w:themeColor="text1"/>
              </w:rPr>
              <w:t>sau</w:t>
            </w:r>
            <w:r w:rsidRPr="00E929F2">
              <w:rPr>
                <w:color w:val="000000" w:themeColor="text1"/>
                <w:spacing w:val="-58"/>
              </w:rPr>
              <w:t xml:space="preserve"> </w:t>
            </w:r>
            <w:r w:rsidRPr="00E929F2">
              <w:rPr>
                <w:color w:val="000000" w:themeColor="text1"/>
              </w:rPr>
              <w:t>mai mulți parametri au perspective „necunoscute” și dacă niciun parametru</w:t>
            </w:r>
            <w:r w:rsidRPr="00E929F2">
              <w:rPr>
                <w:color w:val="000000" w:themeColor="text1"/>
                <w:spacing w:val="-57"/>
              </w:rPr>
              <w:t xml:space="preserve"> </w:t>
            </w:r>
            <w:r w:rsidRPr="00E929F2">
              <w:rPr>
                <w:color w:val="000000" w:themeColor="text1"/>
              </w:rPr>
              <w:t>nu</w:t>
            </w:r>
            <w:r w:rsidRPr="00E929F2">
              <w:rPr>
                <w:color w:val="000000" w:themeColor="text1"/>
                <w:spacing w:val="-1"/>
              </w:rPr>
              <w:t xml:space="preserve"> </w:t>
            </w:r>
            <w:r w:rsidRPr="00E929F2">
              <w:rPr>
                <w:color w:val="000000" w:themeColor="text1"/>
              </w:rPr>
              <w:t>are</w:t>
            </w:r>
            <w:r w:rsidRPr="00E929F2">
              <w:rPr>
                <w:color w:val="000000" w:themeColor="text1"/>
                <w:spacing w:val="-2"/>
              </w:rPr>
              <w:t xml:space="preserve"> </w:t>
            </w:r>
            <w:r w:rsidRPr="00E929F2">
              <w:rPr>
                <w:color w:val="000000" w:themeColor="text1"/>
              </w:rPr>
              <w:t>perspective</w:t>
            </w:r>
            <w:r w:rsidRPr="00E929F2">
              <w:rPr>
                <w:color w:val="000000" w:themeColor="text1"/>
                <w:spacing w:val="-1"/>
              </w:rPr>
              <w:t xml:space="preserve"> </w:t>
            </w:r>
            <w:r w:rsidRPr="00E929F2">
              <w:rPr>
                <w:color w:val="000000" w:themeColor="text1"/>
              </w:rPr>
              <w:t>„proaste”</w:t>
            </w:r>
            <w:r w:rsidRPr="00E929F2">
              <w:rPr>
                <w:color w:val="000000" w:themeColor="text1"/>
                <w:spacing w:val="-2"/>
              </w:rPr>
              <w:t xml:space="preserve"> </w:t>
            </w:r>
            <w:r w:rsidRPr="00E929F2">
              <w:rPr>
                <w:color w:val="000000" w:themeColor="text1"/>
              </w:rPr>
              <w:t>(câmpul 9.1).</w:t>
            </w:r>
          </w:p>
        </w:tc>
      </w:tr>
    </w:tbl>
    <w:p w14:paraId="0BBD1E30" w14:textId="77777777" w:rsidR="00E929F2" w:rsidRPr="00E929F2" w:rsidRDefault="00E929F2" w:rsidP="00E929F2">
      <w:pPr>
        <w:widowControl w:val="0"/>
        <w:autoSpaceDE w:val="0"/>
        <w:autoSpaceDN w:val="0"/>
        <w:adjustRightInd w:val="0"/>
        <w:spacing w:before="11"/>
        <w:jc w:val="both"/>
        <w:rPr>
          <w:rFonts w:eastAsiaTheme="minorEastAsia"/>
          <w:color w:val="000000" w:themeColor="text1"/>
          <w:lang w:val="fr-FR"/>
        </w:rPr>
      </w:pPr>
    </w:p>
    <w:p w14:paraId="713BDB9F" w14:textId="77777777" w:rsidR="00E929F2" w:rsidRPr="00E929F2" w:rsidRDefault="0049533B" w:rsidP="0049533B">
      <w:pPr>
        <w:widowControl w:val="0"/>
        <w:tabs>
          <w:tab w:val="left" w:pos="270"/>
        </w:tabs>
        <w:autoSpaceDE w:val="0"/>
        <w:autoSpaceDN w:val="0"/>
        <w:jc w:val="both"/>
        <w:outlineLvl w:val="1"/>
        <w:rPr>
          <w:b/>
          <w:bCs/>
          <w:color w:val="000000" w:themeColor="text1"/>
          <w:lang w:val="en-US"/>
        </w:rPr>
      </w:pPr>
      <w:r>
        <w:rPr>
          <w:b/>
          <w:bCs/>
          <w:color w:val="000000" w:themeColor="text1"/>
          <w:lang w:val="en-US"/>
        </w:rPr>
        <w:tab/>
      </w:r>
      <w:proofErr w:type="spellStart"/>
      <w:r w:rsidR="00E929F2" w:rsidRPr="00E929F2">
        <w:rPr>
          <w:b/>
          <w:bCs/>
          <w:color w:val="000000" w:themeColor="text1"/>
          <w:lang w:val="en-US"/>
        </w:rPr>
        <w:t>Eșantionarea</w:t>
      </w:r>
      <w:proofErr w:type="spellEnd"/>
      <w:r w:rsidR="00E929F2" w:rsidRPr="00E929F2">
        <w:rPr>
          <w:b/>
          <w:bCs/>
          <w:color w:val="000000" w:themeColor="text1"/>
          <w:spacing w:val="-4"/>
          <w:lang w:val="en-US"/>
        </w:rPr>
        <w:t xml:space="preserve"> </w:t>
      </w:r>
      <w:proofErr w:type="spellStart"/>
      <w:r w:rsidR="00E929F2" w:rsidRPr="00E929F2">
        <w:rPr>
          <w:b/>
          <w:bCs/>
          <w:color w:val="000000" w:themeColor="text1"/>
          <w:lang w:val="en-US"/>
        </w:rPr>
        <w:t>habitatelor</w:t>
      </w:r>
      <w:proofErr w:type="spellEnd"/>
      <w:r w:rsidR="00E929F2" w:rsidRPr="00E929F2">
        <w:rPr>
          <w:b/>
          <w:bCs/>
          <w:color w:val="000000" w:themeColor="text1"/>
          <w:spacing w:val="-4"/>
          <w:lang w:val="en-US"/>
        </w:rPr>
        <w:t xml:space="preserve"> </w:t>
      </w:r>
      <w:proofErr w:type="spellStart"/>
      <w:r w:rsidR="00E929F2" w:rsidRPr="00E929F2">
        <w:rPr>
          <w:b/>
          <w:bCs/>
          <w:color w:val="000000" w:themeColor="text1"/>
          <w:lang w:val="en-US"/>
        </w:rPr>
        <w:t>în</w:t>
      </w:r>
      <w:proofErr w:type="spellEnd"/>
      <w:r w:rsidR="00E929F2" w:rsidRPr="00E929F2">
        <w:rPr>
          <w:b/>
          <w:bCs/>
          <w:color w:val="000000" w:themeColor="text1"/>
          <w:spacing w:val="-5"/>
          <w:lang w:val="en-US"/>
        </w:rPr>
        <w:t xml:space="preserve"> </w:t>
      </w:r>
      <w:proofErr w:type="spellStart"/>
      <w:r w:rsidR="00E929F2" w:rsidRPr="00E929F2">
        <w:rPr>
          <w:b/>
          <w:bCs/>
          <w:color w:val="000000" w:themeColor="text1"/>
          <w:lang w:val="en-US"/>
        </w:rPr>
        <w:t>vederea</w:t>
      </w:r>
      <w:proofErr w:type="spellEnd"/>
      <w:r w:rsidR="00E929F2" w:rsidRPr="00E929F2">
        <w:rPr>
          <w:b/>
          <w:bCs/>
          <w:color w:val="000000" w:themeColor="text1"/>
          <w:spacing w:val="-4"/>
          <w:lang w:val="en-US"/>
        </w:rPr>
        <w:t xml:space="preserve"> </w:t>
      </w:r>
      <w:proofErr w:type="spellStart"/>
      <w:r w:rsidR="00E929F2" w:rsidRPr="00E929F2">
        <w:rPr>
          <w:b/>
          <w:bCs/>
          <w:color w:val="000000" w:themeColor="text1"/>
          <w:lang w:val="en-US"/>
        </w:rPr>
        <w:t>inventarierii</w:t>
      </w:r>
      <w:proofErr w:type="spellEnd"/>
      <w:r w:rsidR="00E929F2" w:rsidRPr="00E929F2">
        <w:rPr>
          <w:b/>
          <w:bCs/>
          <w:color w:val="000000" w:themeColor="text1"/>
          <w:spacing w:val="-5"/>
          <w:lang w:val="en-US"/>
        </w:rPr>
        <w:t xml:space="preserve"> </w:t>
      </w:r>
      <w:proofErr w:type="spellStart"/>
      <w:r w:rsidR="00E929F2" w:rsidRPr="00E929F2">
        <w:rPr>
          <w:b/>
          <w:bCs/>
          <w:color w:val="000000" w:themeColor="text1"/>
          <w:lang w:val="en-US"/>
        </w:rPr>
        <w:t>acestora</w:t>
      </w:r>
      <w:proofErr w:type="spellEnd"/>
    </w:p>
    <w:p w14:paraId="206547D8" w14:textId="77777777" w:rsidR="00E929F2" w:rsidRPr="00E929F2" w:rsidRDefault="00E929F2" w:rsidP="00E929F2">
      <w:pPr>
        <w:widowControl w:val="0"/>
        <w:autoSpaceDE w:val="0"/>
        <w:autoSpaceDN w:val="0"/>
        <w:adjustRightInd w:val="0"/>
        <w:spacing w:before="157"/>
        <w:ind w:left="293" w:right="250"/>
        <w:jc w:val="both"/>
        <w:rPr>
          <w:rFonts w:eastAsiaTheme="minorEastAsia"/>
          <w:color w:val="000000" w:themeColor="text1"/>
          <w:lang w:val="fr-FR"/>
        </w:rPr>
      </w:pPr>
      <w:proofErr w:type="spellStart"/>
      <w:r w:rsidRPr="00E929F2">
        <w:rPr>
          <w:rFonts w:eastAsiaTheme="minorEastAsia"/>
          <w:color w:val="000000" w:themeColor="text1"/>
          <w:lang w:val="fr-FR"/>
        </w:rPr>
        <w:t>Eșantionarea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habitatelor</w:t>
      </w:r>
      <w:proofErr w:type="spellEnd"/>
      <w:r w:rsidRPr="00E929F2">
        <w:rPr>
          <w:rFonts w:eastAsiaTheme="minorEastAsia"/>
          <w:color w:val="000000" w:themeColor="text1"/>
          <w:lang w:val="fr-FR"/>
        </w:rPr>
        <w:t xml:space="preserve"> se va face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funcție</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distribuția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lor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informațiile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privire</w:t>
      </w:r>
      <w:proofErr w:type="spellEnd"/>
      <w:r w:rsidRPr="00E929F2">
        <w:rPr>
          <w:rFonts w:eastAsiaTheme="minorEastAsia"/>
          <w:color w:val="000000" w:themeColor="text1"/>
          <w:lang w:val="fr-FR"/>
        </w:rPr>
        <w:t xml:space="preserve"> la </w:t>
      </w:r>
      <w:proofErr w:type="spellStart"/>
      <w:r w:rsidRPr="00E929F2">
        <w:rPr>
          <w:rFonts w:eastAsiaTheme="minorEastAsia"/>
          <w:color w:val="000000" w:themeColor="text1"/>
          <w:lang w:val="fr-FR"/>
        </w:rPr>
        <w:t>suprafața</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w:t>
      </w:r>
      <w:proofErr w:type="spellStart"/>
      <w:r w:rsidRPr="00E929F2">
        <w:rPr>
          <w:rFonts w:eastAsiaTheme="minorEastAsia"/>
          <w:color w:val="000000" w:themeColor="text1"/>
          <w:lang w:val="fr-FR"/>
        </w:rPr>
        <w:t>arealul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habitatului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Pentru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habitatele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areal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mic</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răspândire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numărul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suprafețelor</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probă</w:t>
      </w:r>
      <w:proofErr w:type="spellEnd"/>
      <w:r w:rsidRPr="00E929F2">
        <w:rPr>
          <w:rFonts w:eastAsiaTheme="minorEastAsia"/>
          <w:color w:val="000000" w:themeColor="text1"/>
          <w:lang w:val="fr-FR"/>
        </w:rPr>
        <w:t xml:space="preserve"> va</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 xml:space="preserve">fi redus. </w:t>
      </w:r>
      <w:proofErr w:type="spellStart"/>
      <w:r w:rsidRPr="00E929F2">
        <w:rPr>
          <w:rFonts w:eastAsiaTheme="minorEastAsia"/>
          <w:color w:val="000000" w:themeColor="text1"/>
          <w:lang w:val="fr-FR"/>
        </w:rPr>
        <w:t>Pentru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habitatele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areal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larg</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răspândire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datorită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suprafețelor</w:t>
      </w:r>
      <w:proofErr w:type="spellEnd"/>
      <w:r w:rsidRPr="00E929F2">
        <w:rPr>
          <w:rFonts w:eastAsiaTheme="minorEastAsia"/>
          <w:color w:val="000000" w:themeColor="text1"/>
          <w:lang w:val="fr-FR"/>
        </w:rPr>
        <w:t xml:space="preserve"> mari </w:t>
      </w:r>
      <w:proofErr w:type="spellStart"/>
      <w:r w:rsidRPr="00E929F2">
        <w:rPr>
          <w:rFonts w:eastAsiaTheme="minorEastAsia"/>
          <w:color w:val="000000" w:themeColor="text1"/>
          <w:lang w:val="fr-FR"/>
        </w:rPr>
        <w:t>pe</w:t>
      </w:r>
      <w:proofErr w:type="spellEnd"/>
      <w:r w:rsidRPr="00E929F2">
        <w:rPr>
          <w:rFonts w:eastAsiaTheme="minorEastAsia"/>
          <w:color w:val="000000" w:themeColor="text1"/>
          <w:lang w:val="fr-FR"/>
        </w:rPr>
        <w:t xml:space="preserve"> care o parte </w:t>
      </w:r>
      <w:proofErr w:type="spellStart"/>
      <w:r w:rsidRPr="00E929F2">
        <w:rPr>
          <w:rFonts w:eastAsiaTheme="minorEastAsia"/>
          <w:color w:val="000000" w:themeColor="text1"/>
          <w:lang w:val="fr-FR"/>
        </w:rPr>
        <w:t>din</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aceste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habitate</w:t>
      </w:r>
      <w:proofErr w:type="spellEnd"/>
      <w:r w:rsidRPr="00E929F2">
        <w:rPr>
          <w:rFonts w:eastAsiaTheme="minorEastAsia"/>
          <w:color w:val="000000" w:themeColor="text1"/>
          <w:lang w:val="fr-FR"/>
        </w:rPr>
        <w:t xml:space="preserve"> le </w:t>
      </w:r>
      <w:proofErr w:type="spellStart"/>
      <w:r w:rsidRPr="00E929F2">
        <w:rPr>
          <w:rFonts w:eastAsiaTheme="minorEastAsia"/>
          <w:color w:val="000000" w:themeColor="text1"/>
          <w:lang w:val="fr-FR"/>
        </w:rPr>
        <w:t>ocupă</w:t>
      </w:r>
      <w:proofErr w:type="spellEnd"/>
      <w:r w:rsidRPr="00E929F2">
        <w:rPr>
          <w:rFonts w:eastAsiaTheme="minorEastAsia"/>
          <w:color w:val="000000" w:themeColor="text1"/>
          <w:lang w:val="fr-FR"/>
        </w:rPr>
        <w:t xml:space="preserve"> la </w:t>
      </w:r>
      <w:proofErr w:type="spellStart"/>
      <w:r w:rsidRPr="00E929F2">
        <w:rPr>
          <w:rFonts w:eastAsiaTheme="minorEastAsia"/>
          <w:color w:val="000000" w:themeColor="text1"/>
          <w:lang w:val="fr-FR"/>
        </w:rPr>
        <w:t>nivel</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bioregiune</w:t>
      </w:r>
      <w:proofErr w:type="spellEnd"/>
      <w:r w:rsidRPr="00E929F2">
        <w:rPr>
          <w:rFonts w:eastAsiaTheme="minorEastAsia"/>
          <w:color w:val="000000" w:themeColor="text1"/>
          <w:lang w:val="fr-FR"/>
        </w:rPr>
        <w:t xml:space="preserve"> se va </w:t>
      </w:r>
      <w:proofErr w:type="spellStart"/>
      <w:r w:rsidRPr="00E929F2">
        <w:rPr>
          <w:rFonts w:eastAsiaTheme="minorEastAsia"/>
          <w:color w:val="000000" w:themeColor="text1"/>
          <w:lang w:val="fr-FR"/>
        </w:rPr>
        <w:t>ține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cont</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modul</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amplasare</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suprafețelor</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probă</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w:t>
      </w:r>
      <w:proofErr w:type="spellStart"/>
      <w:r w:rsidRPr="00E929F2">
        <w:rPr>
          <w:rFonts w:eastAsiaTheme="minorEastAsia"/>
          <w:color w:val="000000" w:themeColor="text1"/>
          <w:lang w:val="fr-FR"/>
        </w:rPr>
        <w:t>relevee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sau</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transecte</w:t>
      </w:r>
      <w:proofErr w:type="spellEnd"/>
      <w:r w:rsidRPr="00E929F2">
        <w:rPr>
          <w:rFonts w:eastAsiaTheme="minorEastAsia"/>
          <w:color w:val="000000" w:themeColor="text1"/>
          <w:lang w:val="fr-FR"/>
        </w:rPr>
        <w:t>),</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mărimea</w:t>
      </w:r>
      <w:proofErr w:type="spellEnd"/>
      <w:r w:rsidRPr="00E929F2">
        <w:rPr>
          <w:rFonts w:eastAsiaTheme="minorEastAsia"/>
          <w:color w:val="000000" w:themeColor="text1"/>
          <w:lang w:val="fr-FR"/>
        </w:rPr>
        <w:t>,</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forma</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numărul</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acestora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pentru</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a</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putea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obține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rezultatele</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dorite</w:t>
      </w:r>
      <w:proofErr w:type="spellEnd"/>
      <w:r w:rsidRPr="00E929F2">
        <w:rPr>
          <w:rFonts w:eastAsiaTheme="minorEastAsia"/>
          <w:color w:val="000000" w:themeColor="text1"/>
          <w:lang w:val="fr-FR"/>
        </w:rPr>
        <w:t>.</w:t>
      </w:r>
    </w:p>
    <w:p w14:paraId="6881DE4B" w14:textId="77777777" w:rsidR="00E929F2" w:rsidRPr="00E929F2" w:rsidRDefault="00E929F2" w:rsidP="00E929F2">
      <w:pPr>
        <w:widowControl w:val="0"/>
        <w:autoSpaceDE w:val="0"/>
        <w:autoSpaceDN w:val="0"/>
        <w:adjustRightInd w:val="0"/>
        <w:spacing w:before="157"/>
        <w:ind w:left="293" w:right="250"/>
        <w:jc w:val="both"/>
        <w:rPr>
          <w:rFonts w:eastAsiaTheme="minorEastAsia"/>
          <w:b/>
          <w:color w:val="000000" w:themeColor="text1"/>
          <w:lang w:val="fr-FR"/>
        </w:rPr>
      </w:pPr>
      <w:proofErr w:type="spellStart"/>
      <w:r w:rsidRPr="00E929F2">
        <w:rPr>
          <w:rFonts w:eastAsiaTheme="minorEastAsia"/>
          <w:b/>
          <w:color w:val="000000" w:themeColor="text1"/>
          <w:lang w:val="fr-FR"/>
        </w:rPr>
        <w:t>Tipul</w:t>
      </w:r>
      <w:proofErr w:type="spellEnd"/>
      <w:r w:rsidRPr="00E929F2">
        <w:rPr>
          <w:rFonts w:eastAsiaTheme="minorEastAsia"/>
          <w:b/>
          <w:color w:val="000000" w:themeColor="text1"/>
          <w:spacing w:val="-3"/>
          <w:lang w:val="fr-FR"/>
        </w:rPr>
        <w:t xml:space="preserve"> </w:t>
      </w:r>
      <w:r w:rsidRPr="00E929F2">
        <w:rPr>
          <w:rFonts w:eastAsiaTheme="minorEastAsia"/>
          <w:b/>
          <w:color w:val="000000" w:themeColor="text1"/>
          <w:lang w:val="fr-FR"/>
        </w:rPr>
        <w:t>de</w:t>
      </w:r>
      <w:r w:rsidRPr="00E929F2">
        <w:rPr>
          <w:rFonts w:eastAsiaTheme="minorEastAsia"/>
          <w:b/>
          <w:color w:val="000000" w:themeColor="text1"/>
          <w:spacing w:val="-2"/>
          <w:lang w:val="fr-FR"/>
        </w:rPr>
        <w:t xml:space="preserve"> </w:t>
      </w:r>
      <w:proofErr w:type="spellStart"/>
      <w:r w:rsidRPr="00E929F2">
        <w:rPr>
          <w:rFonts w:eastAsiaTheme="minorEastAsia"/>
          <w:b/>
          <w:color w:val="000000" w:themeColor="text1"/>
          <w:lang w:val="fr-FR"/>
        </w:rPr>
        <w:t>eșantionare</w:t>
      </w:r>
      <w:proofErr w:type="spellEnd"/>
    </w:p>
    <w:p w14:paraId="5939BF42" w14:textId="77777777" w:rsidR="00E929F2" w:rsidRPr="00E929F2" w:rsidRDefault="00E929F2" w:rsidP="00E929F2">
      <w:pPr>
        <w:widowControl w:val="0"/>
        <w:autoSpaceDE w:val="0"/>
        <w:autoSpaceDN w:val="0"/>
        <w:adjustRightInd w:val="0"/>
        <w:ind w:left="293" w:right="257"/>
        <w:jc w:val="both"/>
        <w:rPr>
          <w:rFonts w:eastAsiaTheme="minorEastAsia"/>
          <w:color w:val="000000" w:themeColor="text1"/>
          <w:lang w:val="fr-FR"/>
        </w:rPr>
      </w:pPr>
      <w:proofErr w:type="spellStart"/>
      <w:r w:rsidRPr="00E929F2">
        <w:rPr>
          <w:rFonts w:eastAsiaTheme="minorEastAsia"/>
          <w:color w:val="000000" w:themeColor="text1"/>
          <w:lang w:val="fr-FR"/>
        </w:rPr>
        <w:t>Tipul</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eșantionaj</w:t>
      </w:r>
      <w:proofErr w:type="spellEnd"/>
      <w:r w:rsidRPr="00E929F2">
        <w:rPr>
          <w:rFonts w:eastAsiaTheme="minorEastAsia"/>
          <w:color w:val="000000" w:themeColor="text1"/>
          <w:lang w:val="fr-FR"/>
        </w:rPr>
        <w:t xml:space="preserve"> se </w:t>
      </w:r>
      <w:proofErr w:type="spellStart"/>
      <w:r w:rsidRPr="00E929F2">
        <w:rPr>
          <w:rFonts w:eastAsiaTheme="minorEastAsia"/>
          <w:color w:val="000000" w:themeColor="text1"/>
          <w:lang w:val="fr-FR"/>
        </w:rPr>
        <w:t>referă</w:t>
      </w:r>
      <w:proofErr w:type="spellEnd"/>
      <w:r w:rsidRPr="00E929F2">
        <w:rPr>
          <w:rFonts w:eastAsiaTheme="minorEastAsia"/>
          <w:color w:val="000000" w:themeColor="text1"/>
          <w:lang w:val="fr-FR"/>
        </w:rPr>
        <w:t xml:space="preserve"> la </w:t>
      </w:r>
      <w:proofErr w:type="spellStart"/>
      <w:r w:rsidRPr="00E929F2">
        <w:rPr>
          <w:rFonts w:eastAsiaTheme="minorEastAsia"/>
          <w:color w:val="000000" w:themeColor="text1"/>
          <w:lang w:val="fr-FR"/>
        </w:rPr>
        <w:t>modul</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alegere</w:t>
      </w:r>
      <w:proofErr w:type="spellEnd"/>
      <w:r w:rsidRPr="00E929F2">
        <w:rPr>
          <w:rFonts w:eastAsiaTheme="minorEastAsia"/>
          <w:color w:val="000000" w:themeColor="text1"/>
          <w:lang w:val="fr-FR"/>
        </w:rPr>
        <w:t>/</w:t>
      </w:r>
      <w:proofErr w:type="spellStart"/>
      <w:r w:rsidRPr="00E929F2">
        <w:rPr>
          <w:rFonts w:eastAsiaTheme="minorEastAsia"/>
          <w:color w:val="000000" w:themeColor="text1"/>
          <w:lang w:val="fr-FR"/>
        </w:rPr>
        <w:t>amplasare</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suprafețelor</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probă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cadrul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cărora</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se</w:t>
      </w:r>
      <w:r w:rsidRPr="00E929F2">
        <w:rPr>
          <w:rFonts w:eastAsiaTheme="minorEastAsia"/>
          <w:color w:val="000000" w:themeColor="text1"/>
          <w:spacing w:val="-2"/>
          <w:lang w:val="fr-FR"/>
        </w:rPr>
        <w:t xml:space="preserve"> </w:t>
      </w:r>
      <w:r w:rsidRPr="00E929F2">
        <w:rPr>
          <w:rFonts w:eastAsiaTheme="minorEastAsia"/>
          <w:color w:val="000000" w:themeColor="text1"/>
          <w:lang w:val="fr-FR"/>
        </w:rPr>
        <w:t xml:space="preserve">vor </w:t>
      </w:r>
      <w:proofErr w:type="spellStart"/>
      <w:r w:rsidRPr="00E929F2">
        <w:rPr>
          <w:rFonts w:eastAsiaTheme="minorEastAsia"/>
          <w:color w:val="000000" w:themeColor="text1"/>
          <w:lang w:val="fr-FR"/>
        </w:rPr>
        <w:t>înregistra</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valorile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atributelor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monitorizate</w:t>
      </w:r>
      <w:proofErr w:type="spellEnd"/>
      <w:r w:rsidRPr="00E929F2">
        <w:rPr>
          <w:rFonts w:eastAsiaTheme="minorEastAsia"/>
          <w:color w:val="000000" w:themeColor="text1"/>
          <w:lang w:val="fr-FR"/>
        </w:rPr>
        <w:t>.</w:t>
      </w:r>
    </w:p>
    <w:p w14:paraId="176B22EB" w14:textId="77777777" w:rsidR="00E929F2" w:rsidRPr="00E929F2" w:rsidRDefault="00E929F2" w:rsidP="00E929F2">
      <w:pPr>
        <w:widowControl w:val="0"/>
        <w:autoSpaceDE w:val="0"/>
        <w:autoSpaceDN w:val="0"/>
        <w:adjustRightInd w:val="0"/>
        <w:spacing w:before="64"/>
        <w:ind w:left="293" w:right="260"/>
        <w:jc w:val="both"/>
        <w:rPr>
          <w:rFonts w:eastAsiaTheme="minorEastAsia"/>
          <w:color w:val="000000" w:themeColor="text1"/>
          <w:lang w:val="fr-FR"/>
        </w:rPr>
      </w:pPr>
      <w:r w:rsidRPr="00E929F2">
        <w:rPr>
          <w:rFonts w:eastAsiaTheme="minorEastAsia"/>
          <w:color w:val="000000" w:themeColor="text1"/>
          <w:lang w:val="fr-FR"/>
        </w:rPr>
        <w:t>Se</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vor</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utiliza</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2</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metode</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eșantionare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specifice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funcție</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amplasarea</w:t>
      </w:r>
      <w:proofErr w:type="spellEnd"/>
      <w:r w:rsidRPr="00E929F2">
        <w:rPr>
          <w:rFonts w:eastAsiaTheme="minorEastAsia"/>
          <w:color w:val="000000" w:themeColor="text1"/>
          <w:lang w:val="fr-FR"/>
        </w:rPr>
        <w:t>,</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tipul</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suprafața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habitatului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țintăşi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anume</w:t>
      </w:r>
      <w:proofErr w:type="spellEnd"/>
      <w:r w:rsidRPr="00E929F2">
        <w:rPr>
          <w:rFonts w:eastAsiaTheme="minorEastAsia"/>
          <w:color w:val="000000" w:themeColor="text1"/>
          <w:lang w:val="fr-FR"/>
        </w:rPr>
        <w:t>:</w:t>
      </w:r>
    </w:p>
    <w:p w14:paraId="04273FFB" w14:textId="77777777" w:rsidR="00E929F2" w:rsidRPr="00E929F2" w:rsidRDefault="00E929F2" w:rsidP="009E63E5">
      <w:pPr>
        <w:widowControl w:val="0"/>
        <w:numPr>
          <w:ilvl w:val="0"/>
          <w:numId w:val="108"/>
        </w:numPr>
        <w:tabs>
          <w:tab w:val="left" w:pos="586"/>
        </w:tabs>
        <w:autoSpaceDE w:val="0"/>
        <w:autoSpaceDN w:val="0"/>
        <w:ind w:right="253" w:firstLine="0"/>
        <w:jc w:val="both"/>
        <w:rPr>
          <w:rFonts w:eastAsiaTheme="minorHAnsi"/>
          <w:color w:val="000000" w:themeColor="text1"/>
          <w:lang w:val="fr-FR"/>
        </w:rPr>
      </w:pPr>
      <w:proofErr w:type="spellStart"/>
      <w:r w:rsidRPr="00E929F2">
        <w:rPr>
          <w:rFonts w:eastAsiaTheme="minorHAnsi"/>
          <w:b/>
          <w:color w:val="000000" w:themeColor="text1"/>
          <w:lang w:val="fr-FR"/>
        </w:rPr>
        <w:t>Eşantionarea</w:t>
      </w:r>
      <w:proofErr w:type="spellEnd"/>
      <w:r w:rsidRPr="00E929F2">
        <w:rPr>
          <w:rFonts w:eastAsiaTheme="minorHAnsi"/>
          <w:b/>
          <w:color w:val="000000" w:themeColor="text1"/>
          <w:lang w:val="fr-FR"/>
        </w:rPr>
        <w:t xml:space="preserve"> </w:t>
      </w:r>
      <w:proofErr w:type="spellStart"/>
      <w:r w:rsidRPr="00E929F2">
        <w:rPr>
          <w:rFonts w:eastAsiaTheme="minorHAnsi"/>
          <w:b/>
          <w:color w:val="000000" w:themeColor="text1"/>
          <w:lang w:val="fr-FR"/>
        </w:rPr>
        <w:t>selectivă</w:t>
      </w:r>
      <w:proofErr w:type="spellEnd"/>
      <w:r w:rsidRPr="00E929F2">
        <w:rPr>
          <w:rFonts w:eastAsiaTheme="minorHAnsi"/>
          <w:b/>
          <w:color w:val="000000" w:themeColor="text1"/>
          <w:lang w:val="fr-FR"/>
        </w:rPr>
        <w:t xml:space="preserve"> (</w:t>
      </w:r>
      <w:proofErr w:type="spellStart"/>
      <w:r w:rsidRPr="00E929F2">
        <w:rPr>
          <w:rFonts w:eastAsiaTheme="minorHAnsi"/>
          <w:b/>
          <w:color w:val="000000" w:themeColor="text1"/>
          <w:lang w:val="fr-FR"/>
        </w:rPr>
        <w:t>subiectivă</w:t>
      </w:r>
      <w:proofErr w:type="spellEnd"/>
      <w:r w:rsidRPr="00E929F2">
        <w:rPr>
          <w:rFonts w:eastAsiaTheme="minorHAnsi"/>
          <w:b/>
          <w:color w:val="000000" w:themeColor="text1"/>
          <w:lang w:val="fr-FR"/>
        </w:rPr>
        <w:t xml:space="preserve">) </w:t>
      </w:r>
      <w:proofErr w:type="spellStart"/>
      <w:r w:rsidRPr="00E929F2">
        <w:rPr>
          <w:rFonts w:eastAsiaTheme="minorHAnsi"/>
          <w:color w:val="000000" w:themeColor="text1"/>
          <w:lang w:val="fr-FR"/>
        </w:rPr>
        <w:t>presupune</w:t>
      </w:r>
      <w:proofErr w:type="spellEnd"/>
      <w:r w:rsidRPr="00E929F2">
        <w:rPr>
          <w:rFonts w:eastAsiaTheme="minorHAnsi"/>
          <w:color w:val="000000" w:themeColor="text1"/>
          <w:lang w:val="fr-FR"/>
        </w:rPr>
        <w:t xml:space="preserve"> ca </w:t>
      </w:r>
      <w:proofErr w:type="spellStart"/>
      <w:r w:rsidRPr="00E929F2">
        <w:rPr>
          <w:rFonts w:eastAsiaTheme="minorHAnsi"/>
          <w:color w:val="000000" w:themeColor="text1"/>
          <w:lang w:val="fr-FR"/>
        </w:rPr>
        <w:t>suprafeţele</w:t>
      </w:r>
      <w:proofErr w:type="spellEnd"/>
      <w:r w:rsidRPr="00E929F2">
        <w:rPr>
          <w:rFonts w:eastAsiaTheme="minorHAnsi"/>
          <w:color w:val="000000" w:themeColor="text1"/>
          <w:lang w:val="fr-FR"/>
        </w:rPr>
        <w:t xml:space="preserve"> de </w:t>
      </w:r>
      <w:proofErr w:type="spellStart"/>
      <w:r w:rsidRPr="00E929F2">
        <w:rPr>
          <w:rFonts w:eastAsiaTheme="minorHAnsi"/>
          <w:color w:val="000000" w:themeColor="text1"/>
          <w:lang w:val="fr-FR"/>
        </w:rPr>
        <w:t>probă</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să</w:t>
      </w:r>
      <w:proofErr w:type="spellEnd"/>
      <w:r w:rsidRPr="00E929F2">
        <w:rPr>
          <w:rFonts w:eastAsiaTheme="minorHAnsi"/>
          <w:color w:val="000000" w:themeColor="text1"/>
          <w:lang w:val="fr-FR"/>
        </w:rPr>
        <w:t xml:space="preserve"> fie </w:t>
      </w:r>
      <w:proofErr w:type="spellStart"/>
      <w:r w:rsidRPr="00E929F2">
        <w:rPr>
          <w:rFonts w:eastAsiaTheme="minorHAnsi"/>
          <w:color w:val="000000" w:themeColor="text1"/>
          <w:lang w:val="fr-FR"/>
        </w:rPr>
        <w:t>alese</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în</w:t>
      </w:r>
      <w:proofErr w:type="spellEnd"/>
      <w:r w:rsidRPr="00E929F2">
        <w:rPr>
          <w:rFonts w:eastAsiaTheme="minorHAnsi"/>
          <w:color w:val="000000" w:themeColor="text1"/>
          <w:lang w:val="fr-FR"/>
        </w:rPr>
        <w:t xml:space="preserve"> mod</w:t>
      </w:r>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subiectiv</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în</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funcţie</w:t>
      </w:r>
      <w:proofErr w:type="spellEnd"/>
      <w:r w:rsidRPr="00E929F2">
        <w:rPr>
          <w:rFonts w:eastAsiaTheme="minorHAnsi"/>
          <w:color w:val="000000" w:themeColor="text1"/>
          <w:lang w:val="fr-FR"/>
        </w:rPr>
        <w:t xml:space="preserve"> de </w:t>
      </w:r>
      <w:proofErr w:type="spellStart"/>
      <w:r w:rsidRPr="00E929F2">
        <w:rPr>
          <w:rFonts w:eastAsiaTheme="minorHAnsi"/>
          <w:color w:val="000000" w:themeColor="text1"/>
          <w:lang w:val="fr-FR"/>
        </w:rPr>
        <w:t>anumite</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criterii</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alese</w:t>
      </w:r>
      <w:proofErr w:type="spellEnd"/>
      <w:r w:rsidRPr="00E929F2">
        <w:rPr>
          <w:rFonts w:eastAsiaTheme="minorHAnsi"/>
          <w:color w:val="000000" w:themeColor="text1"/>
          <w:lang w:val="fr-FR"/>
        </w:rPr>
        <w:t xml:space="preserve"> de </w:t>
      </w:r>
      <w:proofErr w:type="spellStart"/>
      <w:r w:rsidRPr="00E929F2">
        <w:rPr>
          <w:rFonts w:eastAsiaTheme="minorHAnsi"/>
          <w:color w:val="000000" w:themeColor="text1"/>
          <w:lang w:val="fr-FR"/>
        </w:rPr>
        <w:t>fiecare</w:t>
      </w:r>
      <w:proofErr w:type="spellEnd"/>
      <w:r w:rsidRPr="00E929F2">
        <w:rPr>
          <w:rFonts w:eastAsiaTheme="minorHAnsi"/>
          <w:color w:val="000000" w:themeColor="text1"/>
          <w:lang w:val="fr-FR"/>
        </w:rPr>
        <w:t xml:space="preserve"> expert. </w:t>
      </w:r>
      <w:proofErr w:type="spellStart"/>
      <w:r w:rsidRPr="00E929F2">
        <w:rPr>
          <w:rFonts w:eastAsiaTheme="minorHAnsi"/>
          <w:color w:val="000000" w:themeColor="text1"/>
          <w:lang w:val="fr-FR"/>
        </w:rPr>
        <w:t>Această</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metodă</w:t>
      </w:r>
      <w:proofErr w:type="spellEnd"/>
      <w:r w:rsidRPr="00E929F2">
        <w:rPr>
          <w:rFonts w:eastAsiaTheme="minorHAnsi"/>
          <w:color w:val="000000" w:themeColor="text1"/>
          <w:lang w:val="fr-FR"/>
        </w:rPr>
        <w:t xml:space="preserve"> de </w:t>
      </w:r>
      <w:proofErr w:type="spellStart"/>
      <w:r w:rsidRPr="00E929F2">
        <w:rPr>
          <w:rFonts w:eastAsiaTheme="minorHAnsi"/>
          <w:color w:val="000000" w:themeColor="text1"/>
          <w:lang w:val="fr-FR"/>
        </w:rPr>
        <w:t>eşantionare</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deşi</w:t>
      </w:r>
      <w:proofErr w:type="spellEnd"/>
      <w:r w:rsidRPr="00E929F2">
        <w:rPr>
          <w:rFonts w:eastAsiaTheme="minorHAnsi"/>
          <w:color w:val="000000" w:themeColor="text1"/>
          <w:spacing w:val="1"/>
          <w:lang w:val="fr-FR"/>
        </w:rPr>
        <w:t xml:space="preserve"> </w:t>
      </w:r>
      <w:r w:rsidRPr="00E929F2">
        <w:rPr>
          <w:rFonts w:eastAsiaTheme="minorHAnsi"/>
          <w:color w:val="000000" w:themeColor="text1"/>
          <w:lang w:val="fr-FR"/>
        </w:rPr>
        <w:t xml:space="preserve">nu </w:t>
      </w:r>
      <w:proofErr w:type="spellStart"/>
      <w:r w:rsidRPr="00E929F2">
        <w:rPr>
          <w:rFonts w:eastAsiaTheme="minorHAnsi"/>
          <w:color w:val="000000" w:themeColor="text1"/>
          <w:lang w:val="fr-FR"/>
        </w:rPr>
        <w:t>permite</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obţinerea</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unor</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rezultate</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semnificative</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din</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punct</w:t>
      </w:r>
      <w:proofErr w:type="spellEnd"/>
      <w:r w:rsidRPr="00E929F2">
        <w:rPr>
          <w:rFonts w:eastAsiaTheme="minorHAnsi"/>
          <w:color w:val="000000" w:themeColor="text1"/>
          <w:lang w:val="fr-FR"/>
        </w:rPr>
        <w:t xml:space="preserve"> de </w:t>
      </w:r>
      <w:proofErr w:type="spellStart"/>
      <w:r w:rsidRPr="00E929F2">
        <w:rPr>
          <w:rFonts w:eastAsiaTheme="minorHAnsi"/>
          <w:color w:val="000000" w:themeColor="text1"/>
          <w:lang w:val="fr-FR"/>
        </w:rPr>
        <w:t>vedere</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statistic</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poate</w:t>
      </w:r>
      <w:proofErr w:type="spellEnd"/>
      <w:r w:rsidRPr="00E929F2">
        <w:rPr>
          <w:rFonts w:eastAsiaTheme="minorHAnsi"/>
          <w:color w:val="000000" w:themeColor="text1"/>
          <w:lang w:val="fr-FR"/>
        </w:rPr>
        <w:t xml:space="preserve"> fi </w:t>
      </w:r>
      <w:proofErr w:type="spellStart"/>
      <w:r w:rsidRPr="00E929F2">
        <w:rPr>
          <w:rFonts w:eastAsiaTheme="minorHAnsi"/>
          <w:color w:val="000000" w:themeColor="text1"/>
          <w:lang w:val="fr-FR"/>
        </w:rPr>
        <w:t>utilizată</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atunci</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când</w:t>
      </w:r>
      <w:proofErr w:type="spellEnd"/>
      <w:r w:rsidRPr="00E929F2">
        <w:rPr>
          <w:rFonts w:eastAsiaTheme="minorHAnsi"/>
          <w:color w:val="000000" w:themeColor="text1"/>
          <w:lang w:val="fr-FR"/>
        </w:rPr>
        <w:t xml:space="preserve"> se </w:t>
      </w:r>
      <w:proofErr w:type="spellStart"/>
      <w:r w:rsidRPr="00E929F2">
        <w:rPr>
          <w:rFonts w:eastAsiaTheme="minorHAnsi"/>
          <w:color w:val="000000" w:themeColor="text1"/>
          <w:lang w:val="fr-FR"/>
        </w:rPr>
        <w:t>realizează</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clasificarea</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cenotaxonomică</w:t>
      </w:r>
      <w:proofErr w:type="spellEnd"/>
      <w:r w:rsidRPr="00E929F2">
        <w:rPr>
          <w:rFonts w:eastAsiaTheme="minorHAnsi"/>
          <w:color w:val="000000" w:themeColor="text1"/>
          <w:lang w:val="fr-FR"/>
        </w:rPr>
        <w:t xml:space="preserve"> a </w:t>
      </w:r>
      <w:proofErr w:type="spellStart"/>
      <w:r w:rsidRPr="00E929F2">
        <w:rPr>
          <w:rFonts w:eastAsiaTheme="minorHAnsi"/>
          <w:color w:val="000000" w:themeColor="text1"/>
          <w:lang w:val="fr-FR"/>
        </w:rPr>
        <w:t>fragmentelor</w:t>
      </w:r>
      <w:proofErr w:type="spellEnd"/>
      <w:r w:rsidRPr="00E929F2">
        <w:rPr>
          <w:rFonts w:eastAsiaTheme="minorHAnsi"/>
          <w:color w:val="000000" w:themeColor="text1"/>
          <w:lang w:val="fr-FR"/>
        </w:rPr>
        <w:t xml:space="preserve"> de </w:t>
      </w:r>
      <w:proofErr w:type="spellStart"/>
      <w:r w:rsidRPr="00E929F2">
        <w:rPr>
          <w:rFonts w:eastAsiaTheme="minorHAnsi"/>
          <w:color w:val="000000" w:themeColor="text1"/>
          <w:lang w:val="fr-FR"/>
        </w:rPr>
        <w:t>vegetaţie</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şi</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când</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sunt</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alese</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suprafeţele</w:t>
      </w:r>
      <w:proofErr w:type="spellEnd"/>
      <w:r w:rsidRPr="00E929F2">
        <w:rPr>
          <w:rFonts w:eastAsiaTheme="minorHAnsi"/>
          <w:color w:val="000000" w:themeColor="text1"/>
          <w:spacing w:val="-2"/>
          <w:lang w:val="fr-FR"/>
        </w:rPr>
        <w:t xml:space="preserve"> </w:t>
      </w:r>
      <w:r w:rsidRPr="00E929F2">
        <w:rPr>
          <w:rFonts w:eastAsiaTheme="minorHAnsi"/>
          <w:color w:val="000000" w:themeColor="text1"/>
          <w:lang w:val="fr-FR"/>
        </w:rPr>
        <w:t>de</w:t>
      </w:r>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probă</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cele</w:t>
      </w:r>
      <w:proofErr w:type="spellEnd"/>
      <w:r w:rsidRPr="00E929F2">
        <w:rPr>
          <w:rFonts w:eastAsiaTheme="minorHAnsi"/>
          <w:color w:val="000000" w:themeColor="text1"/>
          <w:spacing w:val="1"/>
          <w:lang w:val="fr-FR"/>
        </w:rPr>
        <w:t xml:space="preserve"> </w:t>
      </w:r>
      <w:r w:rsidRPr="00E929F2">
        <w:rPr>
          <w:rFonts w:eastAsiaTheme="minorHAnsi"/>
          <w:color w:val="000000" w:themeColor="text1"/>
          <w:lang w:val="fr-FR"/>
        </w:rPr>
        <w:t xml:space="preserve">mai </w:t>
      </w:r>
      <w:proofErr w:type="spellStart"/>
      <w:r w:rsidRPr="00E929F2">
        <w:rPr>
          <w:rFonts w:eastAsiaTheme="minorHAnsi"/>
          <w:color w:val="000000" w:themeColor="text1"/>
          <w:lang w:val="fr-FR"/>
        </w:rPr>
        <w:t>reprezentative</w:t>
      </w:r>
      <w:proofErr w:type="spellEnd"/>
      <w:r w:rsidRPr="00E929F2">
        <w:rPr>
          <w:rFonts w:eastAsiaTheme="minorHAnsi"/>
          <w:color w:val="000000" w:themeColor="text1"/>
          <w:lang w:val="fr-FR"/>
        </w:rPr>
        <w:t>.</w:t>
      </w:r>
    </w:p>
    <w:p w14:paraId="70CE32E8" w14:textId="77777777" w:rsidR="00E929F2" w:rsidRPr="00E929F2" w:rsidRDefault="00E929F2" w:rsidP="009E63E5">
      <w:pPr>
        <w:widowControl w:val="0"/>
        <w:numPr>
          <w:ilvl w:val="0"/>
          <w:numId w:val="108"/>
        </w:numPr>
        <w:tabs>
          <w:tab w:val="left" w:pos="538"/>
        </w:tabs>
        <w:autoSpaceDE w:val="0"/>
        <w:autoSpaceDN w:val="0"/>
        <w:ind w:right="26" w:firstLine="0"/>
        <w:jc w:val="both"/>
        <w:rPr>
          <w:rFonts w:eastAsiaTheme="minorHAnsi"/>
          <w:color w:val="000000" w:themeColor="text1"/>
          <w:lang w:val="en-US"/>
        </w:rPr>
      </w:pPr>
      <w:proofErr w:type="spellStart"/>
      <w:r w:rsidRPr="00E929F2">
        <w:rPr>
          <w:rFonts w:eastAsiaTheme="minorHAnsi"/>
          <w:b/>
          <w:color w:val="000000" w:themeColor="text1"/>
          <w:lang w:val="fr-FR"/>
        </w:rPr>
        <w:t>Eşantionarea</w:t>
      </w:r>
      <w:proofErr w:type="spellEnd"/>
      <w:r w:rsidRPr="00E929F2">
        <w:rPr>
          <w:rFonts w:eastAsiaTheme="minorHAnsi"/>
          <w:b/>
          <w:color w:val="000000" w:themeColor="text1"/>
          <w:lang w:val="fr-FR"/>
        </w:rPr>
        <w:t xml:space="preserve"> </w:t>
      </w:r>
      <w:proofErr w:type="spellStart"/>
      <w:r w:rsidRPr="00E929F2">
        <w:rPr>
          <w:rFonts w:eastAsiaTheme="minorHAnsi"/>
          <w:b/>
          <w:color w:val="000000" w:themeColor="text1"/>
          <w:lang w:val="fr-FR"/>
        </w:rPr>
        <w:t>aleatorie</w:t>
      </w:r>
      <w:proofErr w:type="spellEnd"/>
      <w:r w:rsidRPr="00E929F2">
        <w:rPr>
          <w:rFonts w:eastAsiaTheme="minorHAnsi"/>
          <w:b/>
          <w:color w:val="000000" w:themeColor="text1"/>
          <w:lang w:val="fr-FR"/>
        </w:rPr>
        <w:t xml:space="preserve"> </w:t>
      </w:r>
      <w:r w:rsidRPr="00E929F2">
        <w:rPr>
          <w:rFonts w:eastAsiaTheme="minorHAnsi"/>
          <w:color w:val="000000" w:themeColor="text1"/>
          <w:lang w:val="fr-FR"/>
        </w:rPr>
        <w:t xml:space="preserve">este o </w:t>
      </w:r>
      <w:proofErr w:type="spellStart"/>
      <w:r w:rsidRPr="00E929F2">
        <w:rPr>
          <w:rFonts w:eastAsiaTheme="minorHAnsi"/>
          <w:color w:val="000000" w:themeColor="text1"/>
          <w:lang w:val="fr-FR"/>
        </w:rPr>
        <w:t>metodă</w:t>
      </w:r>
      <w:proofErr w:type="spellEnd"/>
      <w:r w:rsidRPr="00E929F2">
        <w:rPr>
          <w:rFonts w:eastAsiaTheme="minorHAnsi"/>
          <w:color w:val="000000" w:themeColor="text1"/>
          <w:lang w:val="fr-FR"/>
        </w:rPr>
        <w:t xml:space="preserve"> mai </w:t>
      </w:r>
      <w:proofErr w:type="spellStart"/>
      <w:r w:rsidRPr="00E929F2">
        <w:rPr>
          <w:rFonts w:eastAsiaTheme="minorHAnsi"/>
          <w:color w:val="000000" w:themeColor="text1"/>
          <w:lang w:val="fr-FR"/>
        </w:rPr>
        <w:t>comună</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şi</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uşor</w:t>
      </w:r>
      <w:proofErr w:type="spellEnd"/>
      <w:r w:rsidRPr="00E929F2">
        <w:rPr>
          <w:rFonts w:eastAsiaTheme="minorHAnsi"/>
          <w:color w:val="000000" w:themeColor="text1"/>
          <w:lang w:val="fr-FR"/>
        </w:rPr>
        <w:t xml:space="preserve"> de </w:t>
      </w:r>
      <w:proofErr w:type="spellStart"/>
      <w:r w:rsidRPr="00E929F2">
        <w:rPr>
          <w:rFonts w:eastAsiaTheme="minorHAnsi"/>
          <w:color w:val="000000" w:themeColor="text1"/>
          <w:lang w:val="fr-FR"/>
        </w:rPr>
        <w:t>utilizat</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Metoda</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propune</w:t>
      </w:r>
      <w:proofErr w:type="spellEnd"/>
      <w:r w:rsidRPr="00E929F2">
        <w:rPr>
          <w:rFonts w:eastAsiaTheme="minorHAnsi"/>
          <w:color w:val="000000" w:themeColor="text1"/>
          <w:lang w:val="fr-FR"/>
        </w:rPr>
        <w:t xml:space="preserve"> ca </w:t>
      </w:r>
      <w:proofErr w:type="spellStart"/>
      <w:r w:rsidRPr="00E929F2">
        <w:rPr>
          <w:rFonts w:eastAsiaTheme="minorHAnsi"/>
          <w:color w:val="000000" w:themeColor="text1"/>
          <w:lang w:val="fr-FR"/>
        </w:rPr>
        <w:t>fiecare</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punct</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din</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suprafața</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analizată</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să</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aibă</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șanse</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egale</w:t>
      </w:r>
      <w:proofErr w:type="spellEnd"/>
      <w:r w:rsidRPr="00E929F2">
        <w:rPr>
          <w:rFonts w:eastAsiaTheme="minorHAnsi"/>
          <w:color w:val="000000" w:themeColor="text1"/>
          <w:lang w:val="fr-FR"/>
        </w:rPr>
        <w:t xml:space="preserve"> de a fi ales </w:t>
      </w:r>
      <w:proofErr w:type="spellStart"/>
      <w:r w:rsidRPr="00E929F2">
        <w:rPr>
          <w:rFonts w:eastAsiaTheme="minorHAnsi"/>
          <w:color w:val="000000" w:themeColor="text1"/>
          <w:lang w:val="fr-FR"/>
        </w:rPr>
        <w:t>în</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cadrul</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monitorizării</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habitatului</w:t>
      </w:r>
      <w:proofErr w:type="spellEnd"/>
      <w:r w:rsidRPr="00E929F2">
        <w:rPr>
          <w:rFonts w:eastAsiaTheme="minorHAnsi"/>
          <w:color w:val="000000" w:themeColor="text1"/>
          <w:lang w:val="fr-FR"/>
        </w:rPr>
        <w:t>.</w:t>
      </w:r>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Pentru</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aceasta</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în</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cadrul</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suprafeței</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analizate</w:t>
      </w:r>
      <w:proofErr w:type="spellEnd"/>
      <w:r w:rsidRPr="00E929F2">
        <w:rPr>
          <w:rFonts w:eastAsiaTheme="minorHAnsi"/>
          <w:color w:val="000000" w:themeColor="text1"/>
          <w:lang w:val="fr-FR"/>
        </w:rPr>
        <w:t xml:space="preserve">, se va </w:t>
      </w:r>
      <w:proofErr w:type="spellStart"/>
      <w:r w:rsidRPr="00E929F2">
        <w:rPr>
          <w:rFonts w:eastAsiaTheme="minorHAnsi"/>
          <w:color w:val="000000" w:themeColor="text1"/>
          <w:lang w:val="fr-FR"/>
        </w:rPr>
        <w:t>stabili</w:t>
      </w:r>
      <w:proofErr w:type="spellEnd"/>
      <w:r w:rsidRPr="00E929F2">
        <w:rPr>
          <w:rFonts w:eastAsiaTheme="minorHAnsi"/>
          <w:color w:val="000000" w:themeColor="text1"/>
          <w:lang w:val="fr-FR"/>
        </w:rPr>
        <w:t xml:space="preserve"> o </w:t>
      </w:r>
      <w:proofErr w:type="spellStart"/>
      <w:r w:rsidRPr="00E929F2">
        <w:rPr>
          <w:rFonts w:eastAsiaTheme="minorHAnsi"/>
          <w:color w:val="000000" w:themeColor="text1"/>
          <w:lang w:val="fr-FR"/>
        </w:rPr>
        <w:t>reţea</w:t>
      </w:r>
      <w:proofErr w:type="spellEnd"/>
      <w:r w:rsidRPr="00E929F2">
        <w:rPr>
          <w:rFonts w:eastAsiaTheme="minorHAnsi"/>
          <w:color w:val="000000" w:themeColor="text1"/>
          <w:lang w:val="fr-FR"/>
        </w:rPr>
        <w:t xml:space="preserve"> de </w:t>
      </w:r>
      <w:proofErr w:type="spellStart"/>
      <w:r w:rsidRPr="00E929F2">
        <w:rPr>
          <w:rFonts w:eastAsiaTheme="minorHAnsi"/>
          <w:color w:val="000000" w:themeColor="text1"/>
          <w:lang w:val="fr-FR"/>
        </w:rPr>
        <w:t>coordonate</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t>şi</w:t>
      </w:r>
      <w:proofErr w:type="spellEnd"/>
      <w:r w:rsidRPr="00E929F2">
        <w:rPr>
          <w:rFonts w:eastAsiaTheme="minorHAnsi"/>
          <w:color w:val="000000" w:themeColor="text1"/>
          <w:lang w:val="fr-FR"/>
        </w:rPr>
        <w:t xml:space="preserve"> se vor </w:t>
      </w:r>
      <w:proofErr w:type="spellStart"/>
      <w:r w:rsidRPr="00E929F2">
        <w:rPr>
          <w:rFonts w:eastAsiaTheme="minorHAnsi"/>
          <w:color w:val="000000" w:themeColor="text1"/>
          <w:lang w:val="fr-FR"/>
        </w:rPr>
        <w:t>alege</w:t>
      </w:r>
      <w:proofErr w:type="spellEnd"/>
      <w:r w:rsidRPr="00E929F2">
        <w:rPr>
          <w:rFonts w:eastAsiaTheme="minorHAnsi"/>
          <w:color w:val="000000" w:themeColor="text1"/>
          <w:spacing w:val="1"/>
          <w:lang w:val="fr-FR"/>
        </w:rPr>
        <w:t xml:space="preserve"> </w:t>
      </w:r>
      <w:proofErr w:type="spellStart"/>
      <w:r w:rsidRPr="00E929F2">
        <w:rPr>
          <w:rFonts w:eastAsiaTheme="minorHAnsi"/>
          <w:color w:val="000000" w:themeColor="text1"/>
          <w:lang w:val="fr-FR"/>
        </w:rPr>
        <w:t>eşantioanele</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fr-FR"/>
        </w:rPr>
        <w:lastRenderedPageBreak/>
        <w:t>reprezentative</w:t>
      </w:r>
      <w:proofErr w:type="spellEnd"/>
      <w:r w:rsidRPr="00E929F2">
        <w:rPr>
          <w:rFonts w:eastAsiaTheme="minorHAnsi"/>
          <w:color w:val="000000" w:themeColor="text1"/>
          <w:lang w:val="fr-FR"/>
        </w:rPr>
        <w:t xml:space="preserve"> care vor fi </w:t>
      </w:r>
      <w:proofErr w:type="spellStart"/>
      <w:r w:rsidRPr="00E929F2">
        <w:rPr>
          <w:rFonts w:eastAsiaTheme="minorHAnsi"/>
          <w:color w:val="000000" w:themeColor="text1"/>
          <w:lang w:val="fr-FR"/>
        </w:rPr>
        <w:t>inventariate</w:t>
      </w:r>
      <w:proofErr w:type="spellEnd"/>
      <w:r w:rsidRPr="00E929F2">
        <w:rPr>
          <w:rFonts w:eastAsiaTheme="minorHAnsi"/>
          <w:color w:val="000000" w:themeColor="text1"/>
          <w:lang w:val="fr-FR"/>
        </w:rPr>
        <w:t xml:space="preserve">. </w:t>
      </w:r>
      <w:proofErr w:type="spellStart"/>
      <w:r w:rsidRPr="00E929F2">
        <w:rPr>
          <w:rFonts w:eastAsiaTheme="minorHAnsi"/>
          <w:color w:val="000000" w:themeColor="text1"/>
          <w:lang w:val="en-US"/>
        </w:rPr>
        <w:t>Eșantionarea</w:t>
      </w:r>
      <w:proofErr w:type="spellEnd"/>
      <w:r w:rsidRPr="00E929F2">
        <w:rPr>
          <w:rFonts w:eastAsiaTheme="minorHAnsi"/>
          <w:color w:val="000000" w:themeColor="text1"/>
          <w:lang w:val="en-US"/>
        </w:rPr>
        <w:t xml:space="preserve"> </w:t>
      </w:r>
      <w:proofErr w:type="spellStart"/>
      <w:r w:rsidRPr="00E929F2">
        <w:rPr>
          <w:rFonts w:eastAsiaTheme="minorHAnsi"/>
          <w:color w:val="000000" w:themeColor="text1"/>
          <w:lang w:val="en-US"/>
        </w:rPr>
        <w:t>aleatorie</w:t>
      </w:r>
      <w:proofErr w:type="spellEnd"/>
      <w:r w:rsidRPr="00E929F2">
        <w:rPr>
          <w:rFonts w:eastAsiaTheme="minorHAnsi"/>
          <w:color w:val="000000" w:themeColor="text1"/>
          <w:lang w:val="en-US"/>
        </w:rPr>
        <w:t xml:space="preserve"> </w:t>
      </w:r>
      <w:proofErr w:type="spellStart"/>
      <w:r w:rsidRPr="00E929F2">
        <w:rPr>
          <w:rFonts w:eastAsiaTheme="minorHAnsi"/>
          <w:color w:val="000000" w:themeColor="text1"/>
          <w:lang w:val="en-US"/>
        </w:rPr>
        <w:t>stabileşte</w:t>
      </w:r>
      <w:proofErr w:type="spellEnd"/>
      <w:r w:rsidRPr="00E929F2">
        <w:rPr>
          <w:rFonts w:eastAsiaTheme="minorHAnsi"/>
          <w:color w:val="000000" w:themeColor="text1"/>
          <w:lang w:val="en-US"/>
        </w:rPr>
        <w:t xml:space="preserve"> </w:t>
      </w:r>
      <w:proofErr w:type="spellStart"/>
      <w:r w:rsidRPr="00E929F2">
        <w:rPr>
          <w:rFonts w:eastAsiaTheme="minorHAnsi"/>
          <w:color w:val="000000" w:themeColor="text1"/>
          <w:lang w:val="en-US"/>
        </w:rPr>
        <w:t>că</w:t>
      </w:r>
      <w:proofErr w:type="spellEnd"/>
      <w:r w:rsidRPr="00E929F2">
        <w:rPr>
          <w:rFonts w:eastAsiaTheme="minorHAnsi"/>
          <w:color w:val="000000" w:themeColor="text1"/>
          <w:lang w:val="en-US"/>
        </w:rPr>
        <w:t xml:space="preserve"> </w:t>
      </w:r>
      <w:proofErr w:type="spellStart"/>
      <w:r w:rsidRPr="00E929F2">
        <w:rPr>
          <w:rFonts w:eastAsiaTheme="minorHAnsi"/>
          <w:color w:val="000000" w:themeColor="text1"/>
          <w:lang w:val="en-US"/>
        </w:rPr>
        <w:t>fiecare</w:t>
      </w:r>
      <w:proofErr w:type="spellEnd"/>
      <w:r w:rsidRPr="00E929F2">
        <w:rPr>
          <w:rFonts w:eastAsiaTheme="minorHAnsi"/>
          <w:color w:val="000000" w:themeColor="text1"/>
          <w:lang w:val="en-US"/>
        </w:rPr>
        <w:t xml:space="preserve"> </w:t>
      </w:r>
      <w:proofErr w:type="spellStart"/>
      <w:r w:rsidRPr="00E929F2">
        <w:rPr>
          <w:rFonts w:eastAsiaTheme="minorHAnsi"/>
          <w:color w:val="000000" w:themeColor="text1"/>
          <w:lang w:val="en-US"/>
        </w:rPr>
        <w:t>probă</w:t>
      </w:r>
      <w:proofErr w:type="spellEnd"/>
      <w:r w:rsidRPr="00E929F2">
        <w:rPr>
          <w:rFonts w:eastAsiaTheme="minorHAnsi"/>
          <w:color w:val="000000" w:themeColor="text1"/>
          <w:spacing w:val="-57"/>
          <w:lang w:val="en-US"/>
        </w:rPr>
        <w:t xml:space="preserve"> </w:t>
      </w:r>
      <w:r w:rsidRPr="00E929F2">
        <w:rPr>
          <w:rFonts w:eastAsiaTheme="minorHAnsi"/>
          <w:color w:val="000000" w:themeColor="text1"/>
          <w:lang w:val="en-US"/>
        </w:rPr>
        <w:t>se</w:t>
      </w:r>
      <w:r w:rsidRPr="00E929F2">
        <w:rPr>
          <w:rFonts w:eastAsiaTheme="minorHAnsi"/>
          <w:color w:val="000000" w:themeColor="text1"/>
          <w:spacing w:val="-2"/>
          <w:lang w:val="en-US"/>
        </w:rPr>
        <w:t xml:space="preserve"> </w:t>
      </w:r>
      <w:proofErr w:type="spellStart"/>
      <w:r w:rsidRPr="00E929F2">
        <w:rPr>
          <w:rFonts w:eastAsiaTheme="minorHAnsi"/>
          <w:color w:val="000000" w:themeColor="text1"/>
          <w:lang w:val="en-US"/>
        </w:rPr>
        <w:t>află</w:t>
      </w:r>
      <w:proofErr w:type="spellEnd"/>
      <w:r w:rsidRPr="00E929F2">
        <w:rPr>
          <w:rFonts w:eastAsiaTheme="minorHAnsi"/>
          <w:color w:val="000000" w:themeColor="text1"/>
          <w:spacing w:val="-2"/>
          <w:lang w:val="en-US"/>
        </w:rPr>
        <w:t xml:space="preserve"> </w:t>
      </w:r>
      <w:proofErr w:type="spellStart"/>
      <w:r w:rsidRPr="00E929F2">
        <w:rPr>
          <w:rFonts w:eastAsiaTheme="minorHAnsi"/>
          <w:color w:val="000000" w:themeColor="text1"/>
          <w:lang w:val="en-US"/>
        </w:rPr>
        <w:t>localizată</w:t>
      </w:r>
      <w:proofErr w:type="spellEnd"/>
      <w:r w:rsidRPr="00E929F2">
        <w:rPr>
          <w:rFonts w:eastAsiaTheme="minorHAnsi"/>
          <w:color w:val="000000" w:themeColor="text1"/>
          <w:spacing w:val="-1"/>
          <w:lang w:val="en-US"/>
        </w:rPr>
        <w:t xml:space="preserve"> </w:t>
      </w:r>
      <w:proofErr w:type="spellStart"/>
      <w:r w:rsidRPr="00E929F2">
        <w:rPr>
          <w:rFonts w:eastAsiaTheme="minorHAnsi"/>
          <w:color w:val="000000" w:themeColor="text1"/>
          <w:lang w:val="en-US"/>
        </w:rPr>
        <w:t>în</w:t>
      </w:r>
      <w:proofErr w:type="spellEnd"/>
      <w:r w:rsidRPr="00E929F2">
        <w:rPr>
          <w:rFonts w:eastAsiaTheme="minorHAnsi"/>
          <w:color w:val="000000" w:themeColor="text1"/>
          <w:lang w:val="en-US"/>
        </w:rPr>
        <w:t xml:space="preserve"> mod</w:t>
      </w:r>
      <w:r w:rsidRPr="00E929F2">
        <w:rPr>
          <w:rFonts w:eastAsiaTheme="minorHAnsi"/>
          <w:color w:val="000000" w:themeColor="text1"/>
          <w:spacing w:val="-1"/>
          <w:lang w:val="en-US"/>
        </w:rPr>
        <w:t xml:space="preserve"> </w:t>
      </w:r>
      <w:r w:rsidRPr="00E929F2">
        <w:rPr>
          <w:rFonts w:eastAsiaTheme="minorHAnsi"/>
          <w:color w:val="000000" w:themeColor="text1"/>
          <w:lang w:val="en-US"/>
        </w:rPr>
        <w:t xml:space="preserve">independent, </w:t>
      </w:r>
      <w:proofErr w:type="spellStart"/>
      <w:r w:rsidRPr="00E929F2">
        <w:rPr>
          <w:rFonts w:eastAsiaTheme="minorHAnsi"/>
          <w:color w:val="000000" w:themeColor="text1"/>
          <w:lang w:val="en-US"/>
        </w:rPr>
        <w:t>ceea</w:t>
      </w:r>
      <w:proofErr w:type="spellEnd"/>
      <w:r w:rsidRPr="00E929F2">
        <w:rPr>
          <w:rFonts w:eastAsiaTheme="minorHAnsi"/>
          <w:color w:val="000000" w:themeColor="text1"/>
          <w:spacing w:val="1"/>
          <w:lang w:val="en-US"/>
        </w:rPr>
        <w:t xml:space="preserve"> </w:t>
      </w:r>
      <w:proofErr w:type="spellStart"/>
      <w:r w:rsidRPr="00E929F2">
        <w:rPr>
          <w:rFonts w:eastAsiaTheme="minorHAnsi"/>
          <w:color w:val="000000" w:themeColor="text1"/>
          <w:lang w:val="en-US"/>
        </w:rPr>
        <w:t>ce</w:t>
      </w:r>
      <w:proofErr w:type="spellEnd"/>
      <w:r w:rsidRPr="00E929F2">
        <w:rPr>
          <w:rFonts w:eastAsiaTheme="minorHAnsi"/>
          <w:color w:val="000000" w:themeColor="text1"/>
          <w:spacing w:val="-2"/>
          <w:lang w:val="en-US"/>
        </w:rPr>
        <w:t xml:space="preserve"> </w:t>
      </w:r>
      <w:proofErr w:type="spellStart"/>
      <w:r w:rsidRPr="00E929F2">
        <w:rPr>
          <w:rFonts w:eastAsiaTheme="minorHAnsi"/>
          <w:color w:val="000000" w:themeColor="text1"/>
          <w:lang w:val="en-US"/>
        </w:rPr>
        <w:t>este</w:t>
      </w:r>
      <w:proofErr w:type="spellEnd"/>
      <w:r w:rsidRPr="00E929F2">
        <w:rPr>
          <w:rFonts w:eastAsiaTheme="minorHAnsi"/>
          <w:color w:val="000000" w:themeColor="text1"/>
          <w:spacing w:val="1"/>
          <w:lang w:val="en-US"/>
        </w:rPr>
        <w:t xml:space="preserve"> </w:t>
      </w:r>
      <w:r w:rsidRPr="00E929F2">
        <w:rPr>
          <w:rFonts w:eastAsiaTheme="minorHAnsi"/>
          <w:color w:val="000000" w:themeColor="text1"/>
          <w:lang w:val="en-US"/>
        </w:rPr>
        <w:t>important</w:t>
      </w:r>
      <w:r w:rsidRPr="00E929F2">
        <w:rPr>
          <w:rFonts w:eastAsiaTheme="minorHAnsi"/>
          <w:color w:val="000000" w:themeColor="text1"/>
          <w:spacing w:val="-1"/>
          <w:lang w:val="en-US"/>
        </w:rPr>
        <w:t xml:space="preserve"> </w:t>
      </w:r>
      <w:proofErr w:type="spellStart"/>
      <w:r w:rsidRPr="00E929F2">
        <w:rPr>
          <w:rFonts w:eastAsiaTheme="minorHAnsi"/>
          <w:color w:val="000000" w:themeColor="text1"/>
          <w:lang w:val="en-US"/>
        </w:rPr>
        <w:t>pentru</w:t>
      </w:r>
      <w:proofErr w:type="spellEnd"/>
      <w:r w:rsidRPr="00E929F2">
        <w:rPr>
          <w:rFonts w:eastAsiaTheme="minorHAnsi"/>
          <w:color w:val="000000" w:themeColor="text1"/>
          <w:lang w:val="en-US"/>
        </w:rPr>
        <w:t xml:space="preserve"> </w:t>
      </w:r>
      <w:proofErr w:type="spellStart"/>
      <w:r w:rsidRPr="00E929F2">
        <w:rPr>
          <w:rFonts w:eastAsiaTheme="minorHAnsi"/>
          <w:color w:val="000000" w:themeColor="text1"/>
          <w:lang w:val="en-US"/>
        </w:rPr>
        <w:t>analiza</w:t>
      </w:r>
      <w:proofErr w:type="spellEnd"/>
      <w:r w:rsidRPr="00E929F2">
        <w:rPr>
          <w:rFonts w:eastAsiaTheme="minorHAnsi"/>
          <w:color w:val="000000" w:themeColor="text1"/>
          <w:spacing w:val="-1"/>
          <w:lang w:val="en-US"/>
        </w:rPr>
        <w:t xml:space="preserve"> </w:t>
      </w:r>
      <w:proofErr w:type="spellStart"/>
      <w:r w:rsidRPr="00E929F2">
        <w:rPr>
          <w:rFonts w:eastAsiaTheme="minorHAnsi"/>
          <w:color w:val="000000" w:themeColor="text1"/>
          <w:lang w:val="en-US"/>
        </w:rPr>
        <w:t>statistică</w:t>
      </w:r>
      <w:proofErr w:type="spellEnd"/>
      <w:r w:rsidRPr="00E929F2">
        <w:rPr>
          <w:rFonts w:eastAsiaTheme="minorHAnsi"/>
          <w:color w:val="000000" w:themeColor="text1"/>
          <w:lang w:val="en-US"/>
        </w:rPr>
        <w:t>.</w:t>
      </w:r>
    </w:p>
    <w:p w14:paraId="3183ED5C" w14:textId="77777777" w:rsidR="00E929F2" w:rsidRPr="00E929F2" w:rsidRDefault="00E929F2" w:rsidP="0049533B">
      <w:pPr>
        <w:spacing w:before="6" w:beforeAutospacing="1" w:after="100" w:afterAutospacing="1" w:line="274" w:lineRule="exact"/>
        <w:ind w:right="26" w:firstLine="293"/>
        <w:jc w:val="both"/>
        <w:outlineLvl w:val="1"/>
        <w:rPr>
          <w:b/>
          <w:bCs/>
          <w:color w:val="000000" w:themeColor="text1"/>
          <w:lang w:val="en-US"/>
        </w:rPr>
      </w:pPr>
      <w:proofErr w:type="spellStart"/>
      <w:r w:rsidRPr="00E929F2">
        <w:rPr>
          <w:b/>
          <w:bCs/>
          <w:color w:val="000000" w:themeColor="text1"/>
          <w:lang w:val="en-US"/>
        </w:rPr>
        <w:t>Numărul</w:t>
      </w:r>
      <w:proofErr w:type="spellEnd"/>
      <w:r w:rsidRPr="00E929F2">
        <w:rPr>
          <w:b/>
          <w:bCs/>
          <w:color w:val="000000" w:themeColor="text1"/>
          <w:spacing w:val="-4"/>
          <w:lang w:val="en-US"/>
        </w:rPr>
        <w:t xml:space="preserve"> </w:t>
      </w:r>
      <w:proofErr w:type="spellStart"/>
      <w:r w:rsidRPr="00E929F2">
        <w:rPr>
          <w:b/>
          <w:bCs/>
          <w:color w:val="000000" w:themeColor="text1"/>
          <w:lang w:val="en-US"/>
        </w:rPr>
        <w:t>şi</w:t>
      </w:r>
      <w:proofErr w:type="spellEnd"/>
      <w:r w:rsidRPr="00E929F2">
        <w:rPr>
          <w:b/>
          <w:bCs/>
          <w:color w:val="000000" w:themeColor="text1"/>
          <w:spacing w:val="-3"/>
          <w:lang w:val="en-US"/>
        </w:rPr>
        <w:t xml:space="preserve"> </w:t>
      </w:r>
      <w:proofErr w:type="spellStart"/>
      <w:r w:rsidRPr="00E929F2">
        <w:rPr>
          <w:b/>
          <w:bCs/>
          <w:color w:val="000000" w:themeColor="text1"/>
          <w:lang w:val="en-US"/>
        </w:rPr>
        <w:t>mărimea</w:t>
      </w:r>
      <w:proofErr w:type="spellEnd"/>
      <w:r w:rsidRPr="00E929F2">
        <w:rPr>
          <w:b/>
          <w:bCs/>
          <w:color w:val="000000" w:themeColor="text1"/>
          <w:spacing w:val="-3"/>
          <w:lang w:val="en-US"/>
        </w:rPr>
        <w:t xml:space="preserve"> </w:t>
      </w:r>
      <w:proofErr w:type="spellStart"/>
      <w:r w:rsidRPr="00E929F2">
        <w:rPr>
          <w:b/>
          <w:bCs/>
          <w:color w:val="000000" w:themeColor="text1"/>
          <w:lang w:val="en-US"/>
        </w:rPr>
        <w:t>suprafețelor</w:t>
      </w:r>
      <w:proofErr w:type="spellEnd"/>
      <w:r w:rsidRPr="00E929F2">
        <w:rPr>
          <w:b/>
          <w:bCs/>
          <w:color w:val="000000" w:themeColor="text1"/>
          <w:spacing w:val="-3"/>
          <w:lang w:val="en-US"/>
        </w:rPr>
        <w:t xml:space="preserve"> </w:t>
      </w:r>
      <w:r w:rsidRPr="00E929F2">
        <w:rPr>
          <w:b/>
          <w:bCs/>
          <w:color w:val="000000" w:themeColor="text1"/>
          <w:lang w:val="en-US"/>
        </w:rPr>
        <w:t>de</w:t>
      </w:r>
      <w:r w:rsidRPr="00E929F2">
        <w:rPr>
          <w:b/>
          <w:bCs/>
          <w:color w:val="000000" w:themeColor="text1"/>
          <w:spacing w:val="-4"/>
          <w:lang w:val="en-US"/>
        </w:rPr>
        <w:t xml:space="preserve"> </w:t>
      </w:r>
      <w:proofErr w:type="spellStart"/>
      <w:r w:rsidRPr="00E929F2">
        <w:rPr>
          <w:b/>
          <w:bCs/>
          <w:color w:val="000000" w:themeColor="text1"/>
          <w:lang w:val="en-US"/>
        </w:rPr>
        <w:t>probă</w:t>
      </w:r>
      <w:proofErr w:type="spellEnd"/>
    </w:p>
    <w:p w14:paraId="2D35BEA9" w14:textId="77777777" w:rsidR="00E929F2" w:rsidRPr="00E929F2" w:rsidRDefault="00E929F2" w:rsidP="0049533B">
      <w:pPr>
        <w:widowControl w:val="0"/>
        <w:autoSpaceDE w:val="0"/>
        <w:autoSpaceDN w:val="0"/>
        <w:adjustRightInd w:val="0"/>
        <w:ind w:left="293" w:right="26"/>
        <w:jc w:val="both"/>
        <w:rPr>
          <w:rFonts w:eastAsiaTheme="minorEastAsia"/>
          <w:color w:val="000000" w:themeColor="text1"/>
          <w:lang w:val="en-US"/>
        </w:rPr>
      </w:pPr>
      <w:proofErr w:type="spellStart"/>
      <w:r w:rsidRPr="00E929F2">
        <w:rPr>
          <w:rFonts w:eastAsiaTheme="minorEastAsia"/>
          <w:color w:val="000000" w:themeColor="text1"/>
          <w:lang w:val="en-US"/>
        </w:rPr>
        <w:t>Alegerea</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suprafeței</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eșantioanelor</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în</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cadrul</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habitatelor</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țintă</w:t>
      </w:r>
      <w:proofErr w:type="spellEnd"/>
      <w:r w:rsidRPr="00E929F2">
        <w:rPr>
          <w:rFonts w:eastAsiaTheme="minorEastAsia"/>
          <w:color w:val="000000" w:themeColor="text1"/>
          <w:lang w:val="en-US"/>
        </w:rPr>
        <w:t xml:space="preserve"> se </w:t>
      </w:r>
      <w:proofErr w:type="spellStart"/>
      <w:r w:rsidRPr="00E929F2">
        <w:rPr>
          <w:rFonts w:eastAsiaTheme="minorEastAsia"/>
          <w:color w:val="000000" w:themeColor="text1"/>
          <w:lang w:val="en-US"/>
        </w:rPr>
        <w:t>bazează</w:t>
      </w:r>
      <w:proofErr w:type="spellEnd"/>
      <w:r w:rsidRPr="00E929F2">
        <w:rPr>
          <w:rFonts w:eastAsiaTheme="minorEastAsia"/>
          <w:color w:val="000000" w:themeColor="text1"/>
          <w:lang w:val="en-US"/>
        </w:rPr>
        <w:t xml:space="preserve"> pe </w:t>
      </w:r>
      <w:proofErr w:type="spellStart"/>
      <w:r w:rsidRPr="00E929F2">
        <w:rPr>
          <w:rFonts w:eastAsiaTheme="minorEastAsia"/>
          <w:color w:val="000000" w:themeColor="text1"/>
          <w:lang w:val="en-US"/>
        </w:rPr>
        <w:t>conceptul</w:t>
      </w:r>
      <w:proofErr w:type="spellEnd"/>
      <w:r w:rsidRPr="00E929F2">
        <w:rPr>
          <w:rFonts w:eastAsiaTheme="minorEastAsia"/>
          <w:color w:val="000000" w:themeColor="text1"/>
          <w:lang w:val="en-US"/>
        </w:rPr>
        <w:t xml:space="preserve"> de areal minim</w:t>
      </w:r>
      <w:r w:rsidRPr="00E929F2">
        <w:rPr>
          <w:rFonts w:eastAsiaTheme="minorEastAsia"/>
          <w:color w:val="000000" w:themeColor="text1"/>
          <w:spacing w:val="1"/>
          <w:lang w:val="en-US"/>
        </w:rPr>
        <w:t xml:space="preserve"> </w:t>
      </w:r>
      <w:r w:rsidRPr="00E929F2">
        <w:rPr>
          <w:rFonts w:eastAsiaTheme="minorEastAsia"/>
          <w:color w:val="000000" w:themeColor="text1"/>
          <w:lang w:val="en-US"/>
        </w:rPr>
        <w:t xml:space="preserve">care </w:t>
      </w:r>
      <w:proofErr w:type="spellStart"/>
      <w:r w:rsidRPr="00E929F2">
        <w:rPr>
          <w:rFonts w:eastAsiaTheme="minorEastAsia"/>
          <w:color w:val="000000" w:themeColor="text1"/>
          <w:lang w:val="en-US"/>
        </w:rPr>
        <w:t>este</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definit</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prin</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suprafața</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minimă</w:t>
      </w:r>
      <w:proofErr w:type="spellEnd"/>
      <w:r w:rsidRPr="00E929F2">
        <w:rPr>
          <w:rFonts w:eastAsiaTheme="minorEastAsia"/>
          <w:color w:val="000000" w:themeColor="text1"/>
          <w:lang w:val="en-US"/>
        </w:rPr>
        <w:t xml:space="preserve"> pe care </w:t>
      </w:r>
      <w:proofErr w:type="spellStart"/>
      <w:r w:rsidRPr="00E929F2">
        <w:rPr>
          <w:rFonts w:eastAsiaTheme="minorEastAsia"/>
          <w:color w:val="000000" w:themeColor="text1"/>
          <w:lang w:val="en-US"/>
        </w:rPr>
        <w:t>trebuie</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efectuat</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releveul</w:t>
      </w:r>
      <w:proofErr w:type="spellEnd"/>
      <w:r w:rsidRPr="00E929F2">
        <w:rPr>
          <w:rFonts w:eastAsiaTheme="minorEastAsia"/>
          <w:color w:val="000000" w:themeColor="text1"/>
          <w:lang w:val="en-US"/>
        </w:rPr>
        <w:t xml:space="preserve"> </w:t>
      </w:r>
      <w:r w:rsidR="0049533B">
        <w:rPr>
          <w:rFonts w:eastAsiaTheme="minorEastAsia"/>
          <w:color w:val="000000" w:themeColor="text1"/>
          <w:lang w:val="en-US"/>
        </w:rPr>
        <w:t xml:space="preserve">de </w:t>
      </w:r>
      <w:proofErr w:type="spellStart"/>
      <w:r w:rsidRPr="00E929F2">
        <w:rPr>
          <w:rFonts w:eastAsiaTheme="minorEastAsia"/>
          <w:color w:val="000000" w:themeColor="text1"/>
          <w:lang w:val="en-US"/>
        </w:rPr>
        <w:t>monitorizare</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pentru</w:t>
      </w:r>
      <w:proofErr w:type="spellEnd"/>
      <w:r w:rsidRPr="00E929F2">
        <w:rPr>
          <w:rFonts w:eastAsiaTheme="minorEastAsia"/>
          <w:color w:val="000000" w:themeColor="text1"/>
          <w:lang w:val="en-US"/>
        </w:rPr>
        <w:t xml:space="preserve"> a</w:t>
      </w:r>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surprinde</w:t>
      </w:r>
      <w:proofErr w:type="spellEnd"/>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majoritatea</w:t>
      </w:r>
      <w:proofErr w:type="spellEnd"/>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speciilor</w:t>
      </w:r>
      <w:proofErr w:type="spellEnd"/>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edificatoare</w:t>
      </w:r>
      <w:proofErr w:type="spellEnd"/>
      <w:r w:rsidRPr="00E929F2">
        <w:rPr>
          <w:rFonts w:eastAsiaTheme="minorEastAsia"/>
          <w:color w:val="000000" w:themeColor="text1"/>
          <w:spacing w:val="1"/>
          <w:lang w:val="en-US"/>
        </w:rPr>
        <w:t xml:space="preserve"> </w:t>
      </w:r>
      <w:r w:rsidRPr="00E929F2">
        <w:rPr>
          <w:rFonts w:eastAsiaTheme="minorEastAsia"/>
          <w:color w:val="000000" w:themeColor="text1"/>
          <w:lang w:val="en-US"/>
        </w:rPr>
        <w:t>care</w:t>
      </w:r>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intră</w:t>
      </w:r>
      <w:proofErr w:type="spellEnd"/>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în</w:t>
      </w:r>
      <w:proofErr w:type="spellEnd"/>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compoziţia</w:t>
      </w:r>
      <w:proofErr w:type="spellEnd"/>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fitocenozelor</w:t>
      </w:r>
      <w:proofErr w:type="spellEnd"/>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habitatului</w:t>
      </w:r>
      <w:proofErr w:type="spellEnd"/>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monitorizat</w:t>
      </w:r>
      <w:proofErr w:type="spellEnd"/>
      <w:r w:rsidRPr="00E929F2">
        <w:rPr>
          <w:rFonts w:eastAsiaTheme="minorEastAsia"/>
          <w:color w:val="000000" w:themeColor="text1"/>
          <w:lang w:val="en-US"/>
        </w:rPr>
        <w:t>.</w:t>
      </w:r>
    </w:p>
    <w:p w14:paraId="01E023E1" w14:textId="77777777" w:rsidR="00E929F2" w:rsidRPr="00E929F2" w:rsidRDefault="00E929F2" w:rsidP="0049533B">
      <w:pPr>
        <w:widowControl w:val="0"/>
        <w:autoSpaceDE w:val="0"/>
        <w:autoSpaceDN w:val="0"/>
        <w:adjustRightInd w:val="0"/>
        <w:spacing w:after="5"/>
        <w:ind w:left="293" w:right="26"/>
        <w:jc w:val="both"/>
        <w:rPr>
          <w:rFonts w:eastAsiaTheme="minorEastAsia"/>
          <w:color w:val="000000" w:themeColor="text1"/>
          <w:lang w:val="fr-FR"/>
        </w:rPr>
      </w:pPr>
      <w:proofErr w:type="spellStart"/>
      <w:r w:rsidRPr="00E929F2">
        <w:rPr>
          <w:rFonts w:eastAsiaTheme="minorEastAsia"/>
          <w:color w:val="000000" w:themeColor="text1"/>
          <w:lang w:val="fr-FR"/>
        </w:rPr>
        <w:t>Mărimea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suprafețelor</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probă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poate</w:t>
      </w:r>
      <w:proofErr w:type="spellEnd"/>
      <w:r w:rsidRPr="00E929F2">
        <w:rPr>
          <w:rFonts w:eastAsiaTheme="minorEastAsia"/>
          <w:color w:val="000000" w:themeColor="text1"/>
          <w:lang w:val="fr-FR"/>
        </w:rPr>
        <w:t xml:space="preserve"> fi </w:t>
      </w:r>
      <w:proofErr w:type="spellStart"/>
      <w:r w:rsidRPr="00E929F2">
        <w:rPr>
          <w:rFonts w:eastAsiaTheme="minorEastAsia"/>
          <w:color w:val="000000" w:themeColor="text1"/>
          <w:lang w:val="fr-FR"/>
        </w:rPr>
        <w:t>diferită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pentru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fiecare</w:t>
      </w:r>
      <w:proofErr w:type="spellEnd"/>
      <w:r w:rsidRPr="00E929F2">
        <w:rPr>
          <w:rFonts w:eastAsiaTheme="minorEastAsia"/>
          <w:color w:val="000000" w:themeColor="text1"/>
          <w:lang w:val="fr-FR"/>
        </w:rPr>
        <w:t xml:space="preserve"> tip de habitat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lang w:val="fr-FR"/>
        </w:rPr>
        <w:t xml:space="preserve"> este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funcție</w:t>
      </w:r>
      <w:proofErr w:type="spellEnd"/>
      <w:r w:rsidRPr="00E929F2">
        <w:rPr>
          <w:rFonts w:eastAsiaTheme="minorEastAsia"/>
          <w:color w:val="000000" w:themeColor="text1"/>
          <w:lang w:val="fr-FR"/>
        </w:rPr>
        <w:t xml:space="preserve"> 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suprafața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habitatului</w:t>
      </w:r>
      <w:proofErr w:type="spellEnd"/>
      <w:r w:rsidRPr="00E929F2">
        <w:rPr>
          <w:rFonts w:eastAsiaTheme="minorEastAsia"/>
          <w:color w:val="000000" w:themeColor="text1"/>
          <w:lang w:val="fr-FR"/>
        </w:rPr>
        <w:t>.</w:t>
      </w:r>
    </w:p>
    <w:p w14:paraId="0ECD10FC" w14:textId="77777777" w:rsidR="00E929F2" w:rsidRPr="00E929F2" w:rsidRDefault="00E929F2" w:rsidP="00E929F2">
      <w:pPr>
        <w:widowControl w:val="0"/>
        <w:autoSpaceDE w:val="0"/>
        <w:autoSpaceDN w:val="0"/>
        <w:adjustRightInd w:val="0"/>
        <w:ind w:left="3050"/>
        <w:jc w:val="both"/>
        <w:rPr>
          <w:rFonts w:eastAsiaTheme="minorEastAsia"/>
          <w:color w:val="000000" w:themeColor="text1"/>
          <w:lang w:val="en-US"/>
        </w:rPr>
      </w:pPr>
      <w:r w:rsidRPr="00E929F2">
        <w:rPr>
          <w:rFonts w:eastAsiaTheme="minorEastAsia"/>
          <w:noProof/>
          <w:color w:val="000000" w:themeColor="text1"/>
          <w:lang w:val="en-US"/>
        </w:rPr>
        <w:drawing>
          <wp:inline distT="0" distB="0" distL="0" distR="0" wp14:anchorId="455096C3" wp14:editId="3FB491CE">
            <wp:extent cx="3000061" cy="2747200"/>
            <wp:effectExtent l="0" t="0" r="0" b="0"/>
            <wp:docPr id="22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1.jpeg"/>
                    <pic:cNvPicPr/>
                  </pic:nvPicPr>
                  <pic:blipFill>
                    <a:blip r:embed="rId50" cstate="print"/>
                    <a:stretch>
                      <a:fillRect/>
                    </a:stretch>
                  </pic:blipFill>
                  <pic:spPr>
                    <a:xfrm>
                      <a:off x="0" y="0"/>
                      <a:ext cx="3000061" cy="2747200"/>
                    </a:xfrm>
                    <a:prstGeom prst="rect">
                      <a:avLst/>
                    </a:prstGeom>
                  </pic:spPr>
                </pic:pic>
              </a:graphicData>
            </a:graphic>
          </wp:inline>
        </w:drawing>
      </w:r>
    </w:p>
    <w:p w14:paraId="6C114766" w14:textId="77777777" w:rsidR="00E929F2" w:rsidRPr="00E929F2" w:rsidRDefault="00E929F2" w:rsidP="00E929F2">
      <w:pPr>
        <w:widowControl w:val="0"/>
        <w:autoSpaceDE w:val="0"/>
        <w:autoSpaceDN w:val="0"/>
        <w:adjustRightInd w:val="0"/>
        <w:spacing w:before="18"/>
        <w:ind w:left="3195" w:right="265" w:hanging="2307"/>
        <w:jc w:val="both"/>
        <w:rPr>
          <w:rFonts w:eastAsiaTheme="minorEastAsia"/>
          <w:color w:val="000000" w:themeColor="text1"/>
          <w:lang w:val="fr-FR"/>
        </w:rPr>
      </w:pPr>
      <w:proofErr w:type="spellStart"/>
      <w:r w:rsidRPr="00E929F2">
        <w:rPr>
          <w:rFonts w:eastAsiaTheme="minorEastAsia"/>
          <w:color w:val="000000" w:themeColor="text1"/>
          <w:lang w:val="fr-FR"/>
        </w:rPr>
        <w:t>Mărimi</w:t>
      </w:r>
      <w:proofErr w:type="spellEnd"/>
      <w:r w:rsidRPr="00E929F2">
        <w:rPr>
          <w:rFonts w:eastAsiaTheme="minorEastAsia"/>
          <w:color w:val="000000" w:themeColor="text1"/>
          <w:lang w:val="fr-FR"/>
        </w:rPr>
        <w:t xml:space="preserve"> ale </w:t>
      </w:r>
      <w:proofErr w:type="spellStart"/>
      <w:r w:rsidRPr="00E929F2">
        <w:rPr>
          <w:rFonts w:eastAsiaTheme="minorEastAsia"/>
          <w:color w:val="000000" w:themeColor="text1"/>
          <w:lang w:val="fr-FR"/>
        </w:rPr>
        <w:t>releveelor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utilizate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cadrul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metodologiei</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monitorizare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funcție</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tipurile</w:t>
      </w:r>
      <w:proofErr w:type="spellEnd"/>
      <w:r w:rsidRPr="00E929F2">
        <w:rPr>
          <w:rFonts w:eastAsiaTheme="minorEastAsia"/>
          <w:color w:val="000000" w:themeColor="text1"/>
          <w:lang w:val="fr-FR"/>
        </w:rPr>
        <w:t xml:space="preserve"> de</w:t>
      </w:r>
      <w:r w:rsidRPr="00E929F2">
        <w:rPr>
          <w:rFonts w:eastAsiaTheme="minorEastAsia"/>
          <w:color w:val="000000" w:themeColor="text1"/>
          <w:spacing w:val="-57"/>
          <w:lang w:val="fr-FR"/>
        </w:rPr>
        <w:t xml:space="preserve"> </w:t>
      </w:r>
      <w:proofErr w:type="spellStart"/>
      <w:r w:rsidRPr="00E929F2">
        <w:rPr>
          <w:rFonts w:eastAsiaTheme="minorEastAsia"/>
          <w:color w:val="000000" w:themeColor="text1"/>
          <w:lang w:val="fr-FR"/>
        </w:rPr>
        <w:t>habitate</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w:t>
      </w:r>
      <w:proofErr w:type="spellStart"/>
      <w:r w:rsidRPr="00E929F2">
        <w:rPr>
          <w:rFonts w:eastAsiaTheme="minorEastAsia"/>
          <w:color w:val="000000" w:themeColor="text1"/>
          <w:lang w:val="fr-FR"/>
        </w:rPr>
        <w:t>prelucrat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după</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Rodwell</w:t>
      </w:r>
      <w:proofErr w:type="spellEnd"/>
      <w:r w:rsidRPr="00E929F2">
        <w:rPr>
          <w:rFonts w:eastAsiaTheme="minorEastAsia"/>
          <w:color w:val="000000" w:themeColor="text1"/>
          <w:lang w:val="fr-FR"/>
        </w:rPr>
        <w:t>, 2006)</w:t>
      </w:r>
    </w:p>
    <w:p w14:paraId="6DECF935" w14:textId="77777777" w:rsidR="00E929F2" w:rsidRPr="00E929F2" w:rsidRDefault="00E929F2" w:rsidP="00E929F2">
      <w:pPr>
        <w:widowControl w:val="0"/>
        <w:autoSpaceDE w:val="0"/>
        <w:autoSpaceDN w:val="0"/>
        <w:adjustRightInd w:val="0"/>
        <w:ind w:left="115"/>
        <w:jc w:val="both"/>
        <w:rPr>
          <w:rFonts w:eastAsiaTheme="minorEastAsia"/>
          <w:color w:val="000000" w:themeColor="text1"/>
          <w:lang w:val="fr-FR"/>
        </w:rPr>
      </w:pPr>
    </w:p>
    <w:p w14:paraId="3721487C" w14:textId="77777777" w:rsidR="00E929F2" w:rsidRPr="00E929F2" w:rsidRDefault="00E929F2" w:rsidP="00E929F2">
      <w:pPr>
        <w:widowControl w:val="0"/>
        <w:autoSpaceDE w:val="0"/>
        <w:autoSpaceDN w:val="0"/>
        <w:adjustRightInd w:val="0"/>
        <w:ind w:left="293" w:right="252"/>
        <w:jc w:val="both"/>
        <w:rPr>
          <w:rFonts w:eastAsiaTheme="minorEastAsia"/>
          <w:color w:val="000000" w:themeColor="text1"/>
          <w:lang w:val="fr-FR"/>
        </w:rPr>
      </w:pPr>
      <w:proofErr w:type="spellStart"/>
      <w:r w:rsidRPr="00E929F2">
        <w:rPr>
          <w:rFonts w:eastAsiaTheme="minorEastAsia"/>
          <w:color w:val="000000" w:themeColor="text1"/>
          <w:lang w:val="fr-FR"/>
        </w:rPr>
        <w:t>Stabilirea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numărului</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 xml:space="preserve">de </w:t>
      </w:r>
      <w:proofErr w:type="spellStart"/>
      <w:r w:rsidRPr="00E929F2">
        <w:rPr>
          <w:rFonts w:eastAsiaTheme="minorEastAsia"/>
          <w:color w:val="000000" w:themeColor="text1"/>
          <w:lang w:val="fr-FR"/>
        </w:rPr>
        <w:t>eşantioane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necesare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precum</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indicatorii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monitorizati</w:t>
      </w:r>
      <w:proofErr w:type="spellEnd"/>
      <w:r w:rsidRPr="00E929F2">
        <w:rPr>
          <w:rFonts w:eastAsiaTheme="minorEastAsia"/>
          <w:color w:val="000000" w:themeColor="text1"/>
          <w:spacing w:val="60"/>
          <w:lang w:val="fr-FR"/>
        </w:rPr>
        <w:t xml:space="preserve"> </w:t>
      </w:r>
      <w:proofErr w:type="spellStart"/>
      <w:r w:rsidRPr="00E929F2">
        <w:rPr>
          <w:rFonts w:eastAsiaTheme="minorEastAsia"/>
          <w:color w:val="000000" w:themeColor="text1"/>
          <w:lang w:val="fr-FR"/>
        </w:rPr>
        <w:t>pentru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evaluarea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stării</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conservare</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habitatului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ține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cont</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toleranţa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sau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eroarea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maximă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acceptată</w:t>
      </w:r>
      <w:proofErr w:type="spellEnd"/>
      <w:r w:rsidRPr="00E929F2">
        <w:rPr>
          <w:rFonts w:eastAsiaTheme="minorEastAsia"/>
          <w:color w:val="000000" w:themeColor="text1"/>
          <w:lang w:val="fr-FR"/>
        </w:rPr>
        <w:t xml:space="preserve"> dar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lang w:val="fr-FR"/>
        </w:rPr>
        <w:t xml:space="preserve"> 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intervalul</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încredere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dorit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Numărul</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suprafeţe</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probă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necesare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pentru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monitorizarea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unui</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 xml:space="preserve">habitat de </w:t>
      </w:r>
      <w:proofErr w:type="spellStart"/>
      <w:r w:rsidRPr="00E929F2">
        <w:rPr>
          <w:rFonts w:eastAsiaTheme="minorEastAsia"/>
          <w:color w:val="000000" w:themeColor="text1"/>
          <w:lang w:val="fr-FR"/>
        </w:rPr>
        <w:t>interes</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comunitar</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depins</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primul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rând</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suprafaţa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ocupată</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acesta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arealul</w:t>
      </w:r>
      <w:proofErr w:type="spellEnd"/>
      <w:r w:rsidRPr="00E929F2">
        <w:rPr>
          <w:rFonts w:eastAsiaTheme="minorEastAsia"/>
          <w:color w:val="000000" w:themeColor="text1"/>
          <w:lang w:val="fr-FR"/>
        </w:rPr>
        <w:t xml:space="preserve"> 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prezenţă</w:t>
      </w:r>
      <w:proofErr w:type="spellEnd"/>
      <w:r w:rsidRPr="00E929F2">
        <w:rPr>
          <w:rFonts w:eastAsiaTheme="minorEastAsia"/>
          <w:color w:val="000000" w:themeColor="text1"/>
          <w:lang w:val="fr-FR"/>
        </w:rPr>
        <w:t>,</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 xml:space="preserve">dar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spacing w:val="-2"/>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complexitatea</w:t>
      </w:r>
      <w:proofErr w:type="spellEnd"/>
      <w:r w:rsidRPr="00E929F2">
        <w:rPr>
          <w:rFonts w:eastAsiaTheme="minorEastAsia"/>
          <w:color w:val="000000" w:themeColor="text1"/>
          <w:spacing w:val="-3"/>
          <w:lang w:val="fr-FR"/>
        </w:rPr>
        <w:t xml:space="preserve"> </w:t>
      </w:r>
      <w:proofErr w:type="spellStart"/>
      <w:r w:rsidRPr="00E929F2">
        <w:rPr>
          <w:rFonts w:eastAsiaTheme="minorEastAsia"/>
          <w:color w:val="000000" w:themeColor="text1"/>
          <w:lang w:val="fr-FR"/>
        </w:rPr>
        <w:t>structurală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variabilitatea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spaţială</w:t>
      </w:r>
      <w:proofErr w:type="spellEnd"/>
      <w:r w:rsidRPr="00E929F2">
        <w:rPr>
          <w:rFonts w:eastAsiaTheme="minorEastAsia"/>
          <w:color w:val="000000" w:themeColor="text1"/>
          <w:spacing w:val="-3"/>
          <w:lang w:val="fr-FR"/>
        </w:rPr>
        <w:t xml:space="preserve"> </w:t>
      </w:r>
      <w:r w:rsidRPr="00E929F2">
        <w:rPr>
          <w:rFonts w:eastAsiaTheme="minorEastAsia"/>
          <w:color w:val="000000" w:themeColor="text1"/>
          <w:lang w:val="fr-FR"/>
        </w:rPr>
        <w:t>a</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acestuia</w:t>
      </w:r>
      <w:proofErr w:type="spellEnd"/>
      <w:r w:rsidRPr="00E929F2">
        <w:rPr>
          <w:rFonts w:eastAsiaTheme="minorEastAsia"/>
          <w:color w:val="000000" w:themeColor="text1"/>
          <w:lang w:val="fr-FR"/>
        </w:rPr>
        <w:t>.</w:t>
      </w:r>
    </w:p>
    <w:p w14:paraId="12E69BFC" w14:textId="77777777" w:rsidR="00E929F2" w:rsidRPr="00E929F2" w:rsidRDefault="00E929F2" w:rsidP="00E929F2">
      <w:pPr>
        <w:widowControl w:val="0"/>
        <w:autoSpaceDE w:val="0"/>
        <w:autoSpaceDN w:val="0"/>
        <w:adjustRightInd w:val="0"/>
        <w:ind w:left="293" w:right="255"/>
        <w:jc w:val="both"/>
        <w:rPr>
          <w:rFonts w:eastAsiaTheme="minorEastAsia"/>
          <w:color w:val="000000" w:themeColor="text1"/>
          <w:lang w:val="fr-FR"/>
        </w:rPr>
      </w:pPr>
      <w:r w:rsidRPr="00E929F2">
        <w:rPr>
          <w:rFonts w:eastAsiaTheme="minorEastAsia"/>
          <w:color w:val="000000" w:themeColor="text1"/>
          <w:lang w:val="fr-FR"/>
        </w:rPr>
        <w:t xml:space="preserve">Se vor </w:t>
      </w:r>
      <w:proofErr w:type="spellStart"/>
      <w:r w:rsidRPr="00E929F2">
        <w:rPr>
          <w:rFonts w:eastAsiaTheme="minorEastAsia"/>
          <w:color w:val="000000" w:themeColor="text1"/>
          <w:lang w:val="fr-FR"/>
        </w:rPr>
        <w:t>folosi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suprafețe</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probă</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formă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pătrată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poligonală</w:t>
      </w:r>
      <w:proofErr w:type="spellEnd"/>
      <w:r w:rsidRPr="00E929F2">
        <w:rPr>
          <w:rFonts w:eastAsiaTheme="minorEastAsia"/>
          <w:color w:val="000000" w:themeColor="text1"/>
          <w:lang w:val="fr-FR"/>
        </w:rPr>
        <w:t xml:space="preserve">) dar pot exista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suprafețe</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probă</w:t>
      </w:r>
      <w:proofErr w:type="spellEnd"/>
      <w:r w:rsidRPr="00E929F2">
        <w:rPr>
          <w:rFonts w:eastAsiaTheme="minorEastAsia"/>
          <w:color w:val="000000" w:themeColor="text1"/>
          <w:lang w:val="fr-FR"/>
        </w:rPr>
        <w:t xml:space="preserve"> de</w:t>
      </w:r>
      <w:r w:rsidRPr="00E929F2">
        <w:rPr>
          <w:rFonts w:eastAsiaTheme="minorEastAsia"/>
          <w:color w:val="000000" w:themeColor="text1"/>
          <w:spacing w:val="-57"/>
          <w:lang w:val="fr-FR"/>
        </w:rPr>
        <w:t xml:space="preserve"> </w:t>
      </w:r>
      <w:proofErr w:type="spellStart"/>
      <w:r w:rsidRPr="00E929F2">
        <w:rPr>
          <w:rFonts w:eastAsiaTheme="minorEastAsia"/>
          <w:color w:val="000000" w:themeColor="text1"/>
          <w:lang w:val="fr-FR"/>
        </w:rPr>
        <w:t>formă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neregulată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funcție</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dispunerea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habitatului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cadrul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reliefului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caz</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care forma este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adaptabilă</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condițiilor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habitatului</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din</w:t>
      </w:r>
      <w:proofErr w:type="spellEnd"/>
      <w:r w:rsidRPr="00E929F2">
        <w:rPr>
          <w:rFonts w:eastAsiaTheme="minorEastAsia"/>
          <w:color w:val="000000" w:themeColor="text1"/>
          <w:lang w:val="fr-FR"/>
        </w:rPr>
        <w:t xml:space="preserve"> figura</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mai</w:t>
      </w:r>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jos</w:t>
      </w:r>
      <w:proofErr w:type="spellEnd"/>
      <w:r w:rsidRPr="00E929F2">
        <w:rPr>
          <w:rFonts w:eastAsiaTheme="minorEastAsia"/>
          <w:color w:val="000000" w:themeColor="text1"/>
          <w:lang w:val="fr-FR"/>
        </w:rPr>
        <w:t>.</w:t>
      </w:r>
    </w:p>
    <w:p w14:paraId="33FACB58" w14:textId="77777777" w:rsidR="00E929F2" w:rsidRPr="00E929F2" w:rsidRDefault="00E929F2" w:rsidP="00E929F2">
      <w:pPr>
        <w:widowControl w:val="0"/>
        <w:autoSpaceDE w:val="0"/>
        <w:autoSpaceDN w:val="0"/>
        <w:adjustRightInd w:val="0"/>
        <w:ind w:left="293" w:right="255"/>
        <w:jc w:val="both"/>
        <w:rPr>
          <w:rFonts w:eastAsiaTheme="minorEastAsia"/>
          <w:color w:val="000000" w:themeColor="text1"/>
          <w:lang w:val="fr-FR"/>
        </w:rPr>
      </w:pPr>
      <w:r w:rsidRPr="00E929F2">
        <w:rPr>
          <w:rFonts w:eastAsiaTheme="minorEastAsia"/>
          <w:noProof/>
          <w:color w:val="000000" w:themeColor="text1"/>
          <w:lang w:val="en-US"/>
        </w:rPr>
        <w:lastRenderedPageBreak/>
        <w:drawing>
          <wp:inline distT="0" distB="0" distL="0" distR="0" wp14:anchorId="0D4A52F2" wp14:editId="775CCFD9">
            <wp:extent cx="3060891" cy="2610421"/>
            <wp:effectExtent l="0" t="0" r="0" b="0"/>
            <wp:docPr id="222"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2.png"/>
                    <pic:cNvPicPr/>
                  </pic:nvPicPr>
                  <pic:blipFill>
                    <a:blip r:embed="rId51" cstate="print"/>
                    <a:stretch>
                      <a:fillRect/>
                    </a:stretch>
                  </pic:blipFill>
                  <pic:spPr>
                    <a:xfrm>
                      <a:off x="0" y="0"/>
                      <a:ext cx="3060891" cy="2610421"/>
                    </a:xfrm>
                    <a:prstGeom prst="rect">
                      <a:avLst/>
                    </a:prstGeom>
                  </pic:spPr>
                </pic:pic>
              </a:graphicData>
            </a:graphic>
          </wp:inline>
        </w:drawing>
      </w:r>
    </w:p>
    <w:p w14:paraId="3757BCAC" w14:textId="77777777" w:rsidR="00E929F2" w:rsidRPr="00E929F2" w:rsidRDefault="00E929F2" w:rsidP="00E929F2">
      <w:pPr>
        <w:widowControl w:val="0"/>
        <w:autoSpaceDE w:val="0"/>
        <w:autoSpaceDN w:val="0"/>
        <w:adjustRightInd w:val="0"/>
        <w:spacing w:before="46"/>
        <w:ind w:left="1963"/>
        <w:jc w:val="both"/>
        <w:rPr>
          <w:rFonts w:eastAsiaTheme="minorEastAsia"/>
          <w:color w:val="000000" w:themeColor="text1"/>
          <w:lang w:val="fr-FR"/>
        </w:rPr>
      </w:pPr>
      <w:proofErr w:type="spellStart"/>
      <w:r w:rsidRPr="00E929F2">
        <w:rPr>
          <w:rFonts w:eastAsiaTheme="minorEastAsia"/>
          <w:color w:val="000000" w:themeColor="text1"/>
          <w:lang w:val="fr-FR"/>
        </w:rPr>
        <w:t>Suprafețe</w:t>
      </w:r>
      <w:proofErr w:type="spellEnd"/>
      <w:r w:rsidRPr="00E929F2">
        <w:rPr>
          <w:rFonts w:eastAsiaTheme="minorEastAsia"/>
          <w:color w:val="000000" w:themeColor="text1"/>
          <w:spacing w:val="-2"/>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probă</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cu</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formă</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neregulată</w:t>
      </w:r>
      <w:proofErr w:type="spellEnd"/>
      <w:r w:rsidRPr="00E929F2">
        <w:rPr>
          <w:rFonts w:eastAsiaTheme="minorEastAsia"/>
          <w:color w:val="000000" w:themeColor="text1"/>
          <w:spacing w:val="-3"/>
          <w:lang w:val="fr-FR"/>
        </w:rPr>
        <w:t xml:space="preserve"> </w:t>
      </w:r>
      <w:r w:rsidRPr="00E929F2">
        <w:rPr>
          <w:rFonts w:eastAsiaTheme="minorEastAsia"/>
          <w:color w:val="000000" w:themeColor="text1"/>
          <w:lang w:val="fr-FR"/>
        </w:rPr>
        <w:t>(</w:t>
      </w:r>
      <w:proofErr w:type="spellStart"/>
      <w:r w:rsidRPr="00E929F2">
        <w:rPr>
          <w:rFonts w:eastAsiaTheme="minorEastAsia"/>
          <w:color w:val="000000" w:themeColor="text1"/>
          <w:lang w:val="fr-FR"/>
        </w:rPr>
        <w:t>prelucrat</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după</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Rodwell</w:t>
      </w:r>
      <w:proofErr w:type="spellEnd"/>
      <w:r w:rsidRPr="00E929F2">
        <w:rPr>
          <w:rFonts w:eastAsiaTheme="minorEastAsia"/>
          <w:color w:val="000000" w:themeColor="text1"/>
          <w:lang w:val="fr-FR"/>
        </w:rPr>
        <w:t>,</w:t>
      </w:r>
      <w:r w:rsidRPr="00E929F2">
        <w:rPr>
          <w:rFonts w:eastAsiaTheme="minorEastAsia"/>
          <w:color w:val="000000" w:themeColor="text1"/>
          <w:spacing w:val="-2"/>
          <w:lang w:val="fr-FR"/>
        </w:rPr>
        <w:t xml:space="preserve"> </w:t>
      </w:r>
      <w:r w:rsidRPr="00E929F2">
        <w:rPr>
          <w:rFonts w:eastAsiaTheme="minorEastAsia"/>
          <w:color w:val="000000" w:themeColor="text1"/>
          <w:lang w:val="fr-FR"/>
        </w:rPr>
        <w:t>2006)</w:t>
      </w:r>
    </w:p>
    <w:p w14:paraId="3BEDD3D3" w14:textId="77777777" w:rsidR="00E929F2" w:rsidRPr="00E929F2" w:rsidRDefault="00E929F2" w:rsidP="00E929F2">
      <w:pPr>
        <w:widowControl w:val="0"/>
        <w:autoSpaceDE w:val="0"/>
        <w:autoSpaceDN w:val="0"/>
        <w:adjustRightInd w:val="0"/>
        <w:ind w:left="115"/>
        <w:jc w:val="both"/>
        <w:rPr>
          <w:rFonts w:eastAsiaTheme="minorEastAsia"/>
          <w:color w:val="000000" w:themeColor="text1"/>
          <w:lang w:val="fr-FR"/>
        </w:rPr>
      </w:pPr>
    </w:p>
    <w:p w14:paraId="2DE4081D" w14:textId="77777777" w:rsidR="00E929F2" w:rsidRPr="00E929F2" w:rsidRDefault="00E929F2" w:rsidP="0049533B">
      <w:pPr>
        <w:widowControl w:val="0"/>
        <w:autoSpaceDE w:val="0"/>
        <w:autoSpaceDN w:val="0"/>
        <w:adjustRightInd w:val="0"/>
        <w:ind w:right="26"/>
        <w:jc w:val="both"/>
        <w:rPr>
          <w:rFonts w:eastAsiaTheme="minorEastAsia"/>
          <w:color w:val="000000" w:themeColor="text1"/>
          <w:lang w:val="fr-FR"/>
        </w:rPr>
      </w:pPr>
      <w:proofErr w:type="spellStart"/>
      <w:r w:rsidRPr="00E929F2">
        <w:rPr>
          <w:rFonts w:eastAsiaTheme="minorEastAsia"/>
          <w:color w:val="000000" w:themeColor="text1"/>
          <w:lang w:val="fr-FR"/>
        </w:rPr>
        <w:t>Marcarea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suprafețelor</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probă</w:t>
      </w:r>
      <w:proofErr w:type="spellEnd"/>
      <w:r w:rsidRPr="00E929F2">
        <w:rPr>
          <w:rFonts w:eastAsiaTheme="minorEastAsia"/>
          <w:color w:val="000000" w:themeColor="text1"/>
          <w:lang w:val="fr-FR"/>
        </w:rPr>
        <w:t xml:space="preserve"> se va face </w:t>
      </w:r>
      <w:proofErr w:type="spellStart"/>
      <w:r w:rsidRPr="00E929F2">
        <w:rPr>
          <w:rFonts w:eastAsiaTheme="minorEastAsia"/>
          <w:color w:val="000000" w:themeColor="text1"/>
          <w:lang w:val="fr-FR"/>
        </w:rPr>
        <w:t>atât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prin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notarea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coordonatelor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geografice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ajutorul</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GPS-</w:t>
      </w:r>
      <w:proofErr w:type="spellStart"/>
      <w:r w:rsidRPr="00E929F2">
        <w:rPr>
          <w:rFonts w:eastAsiaTheme="minorEastAsia"/>
          <w:color w:val="000000" w:themeColor="text1"/>
          <w:lang w:val="fr-FR"/>
        </w:rPr>
        <w:t>ului</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colţului</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jos</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din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partea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stânga</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fiecărui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eşantion</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tip</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releveu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suprafață</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probă</w:t>
      </w:r>
      <w:proofErr w:type="spellEnd"/>
      <w:r w:rsidRPr="00E929F2">
        <w:rPr>
          <w:rFonts w:eastAsiaTheme="minorEastAsia"/>
          <w:color w:val="000000" w:themeColor="text1"/>
          <w:lang w:val="fr-FR"/>
        </w:rPr>
        <w:t>)</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sau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puncte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traseul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transectului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realiat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paralel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pentru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ariile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protejate</w:t>
      </w:r>
      <w:proofErr w:type="spellEnd"/>
      <w:r w:rsidRPr="00E929F2">
        <w:rPr>
          <w:rFonts w:eastAsiaTheme="minorEastAsia"/>
          <w:color w:val="000000" w:themeColor="text1"/>
          <w:lang w:val="fr-FR"/>
        </w:rPr>
        <w:t xml:space="preserve"> care au custodie </w:t>
      </w:r>
      <w:proofErr w:type="spellStart"/>
      <w:r w:rsidRPr="00E929F2">
        <w:rPr>
          <w:rFonts w:eastAsiaTheme="minorEastAsia"/>
          <w:color w:val="000000" w:themeColor="text1"/>
          <w:lang w:val="fr-FR"/>
        </w:rPr>
        <w:t>sau</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administrație</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proprie</w:t>
      </w:r>
      <w:proofErr w:type="spellEnd"/>
      <w:r w:rsidRPr="00E929F2">
        <w:rPr>
          <w:rFonts w:eastAsiaTheme="minorEastAsia"/>
          <w:color w:val="000000" w:themeColor="text1"/>
          <w:lang w:val="fr-FR"/>
        </w:rPr>
        <w:t xml:space="preserve">, se </w:t>
      </w:r>
      <w:proofErr w:type="spellStart"/>
      <w:r w:rsidRPr="00E929F2">
        <w:rPr>
          <w:rFonts w:eastAsiaTheme="minorEastAsia"/>
          <w:color w:val="000000" w:themeColor="text1"/>
          <w:lang w:val="fr-FR"/>
        </w:rPr>
        <w:t>poate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recomanda</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montarea</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unor</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markeri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staționari</w:t>
      </w:r>
      <w:proofErr w:type="spellEnd"/>
      <w:r w:rsidRPr="00E929F2">
        <w:rPr>
          <w:rFonts w:eastAsiaTheme="minorEastAsia"/>
          <w:color w:val="000000" w:themeColor="text1"/>
          <w:lang w:val="fr-FR"/>
        </w:rPr>
        <w:t>.</w:t>
      </w:r>
    </w:p>
    <w:p w14:paraId="20181ECC" w14:textId="77777777" w:rsidR="00E929F2" w:rsidRPr="00E929F2" w:rsidRDefault="00E929F2" w:rsidP="00E929F2">
      <w:pPr>
        <w:widowControl w:val="0"/>
        <w:autoSpaceDE w:val="0"/>
        <w:autoSpaceDN w:val="0"/>
        <w:adjustRightInd w:val="0"/>
        <w:ind w:left="115"/>
        <w:jc w:val="both"/>
        <w:rPr>
          <w:rFonts w:eastAsiaTheme="minorEastAsia"/>
          <w:color w:val="000000" w:themeColor="text1"/>
          <w:lang w:val="fr-FR"/>
        </w:rPr>
      </w:pPr>
    </w:p>
    <w:p w14:paraId="58623EEA" w14:textId="77777777" w:rsidR="00E929F2" w:rsidRPr="00E929F2" w:rsidRDefault="00E929F2" w:rsidP="0049533B">
      <w:pPr>
        <w:widowControl w:val="0"/>
        <w:tabs>
          <w:tab w:val="left" w:pos="1115"/>
        </w:tabs>
        <w:autoSpaceDE w:val="0"/>
        <w:autoSpaceDN w:val="0"/>
        <w:jc w:val="both"/>
        <w:outlineLvl w:val="1"/>
        <w:rPr>
          <w:b/>
          <w:bCs/>
          <w:color w:val="000000" w:themeColor="text1"/>
          <w:lang w:val="fr-FR"/>
        </w:rPr>
      </w:pPr>
      <w:proofErr w:type="spellStart"/>
      <w:r w:rsidRPr="00E929F2">
        <w:rPr>
          <w:b/>
          <w:bCs/>
          <w:color w:val="000000" w:themeColor="text1"/>
          <w:lang w:val="fr-FR"/>
        </w:rPr>
        <w:t>Colectarea</w:t>
      </w:r>
      <w:proofErr w:type="spellEnd"/>
      <w:r w:rsidRPr="00E929F2">
        <w:rPr>
          <w:b/>
          <w:bCs/>
          <w:color w:val="000000" w:themeColor="text1"/>
          <w:spacing w:val="-5"/>
          <w:lang w:val="fr-FR"/>
        </w:rPr>
        <w:t xml:space="preserve"> </w:t>
      </w:r>
      <w:proofErr w:type="spellStart"/>
      <w:r w:rsidRPr="00E929F2">
        <w:rPr>
          <w:b/>
          <w:bCs/>
          <w:color w:val="000000" w:themeColor="text1"/>
          <w:lang w:val="fr-FR"/>
        </w:rPr>
        <w:t>informației</w:t>
      </w:r>
      <w:proofErr w:type="spellEnd"/>
      <w:r w:rsidRPr="00E929F2">
        <w:rPr>
          <w:b/>
          <w:bCs/>
          <w:color w:val="000000" w:themeColor="text1"/>
          <w:spacing w:val="-5"/>
          <w:lang w:val="fr-FR"/>
        </w:rPr>
        <w:t xml:space="preserve"> </w:t>
      </w:r>
      <w:proofErr w:type="spellStart"/>
      <w:r w:rsidRPr="00E929F2">
        <w:rPr>
          <w:b/>
          <w:bCs/>
          <w:color w:val="000000" w:themeColor="text1"/>
          <w:lang w:val="fr-FR"/>
        </w:rPr>
        <w:t>pe</w:t>
      </w:r>
      <w:proofErr w:type="spellEnd"/>
      <w:r w:rsidRPr="00E929F2">
        <w:rPr>
          <w:b/>
          <w:bCs/>
          <w:color w:val="000000" w:themeColor="text1"/>
          <w:spacing w:val="-5"/>
          <w:lang w:val="fr-FR"/>
        </w:rPr>
        <w:t xml:space="preserve"> </w:t>
      </w:r>
      <w:r w:rsidRPr="00E929F2">
        <w:rPr>
          <w:b/>
          <w:bCs/>
          <w:color w:val="000000" w:themeColor="text1"/>
          <w:lang w:val="fr-FR"/>
        </w:rPr>
        <w:t>plot</w:t>
      </w:r>
      <w:r w:rsidRPr="00E929F2">
        <w:rPr>
          <w:b/>
          <w:bCs/>
          <w:color w:val="000000" w:themeColor="text1"/>
          <w:spacing w:val="-4"/>
          <w:lang w:val="fr-FR"/>
        </w:rPr>
        <w:t xml:space="preserve"> </w:t>
      </w:r>
      <w:r w:rsidRPr="00E929F2">
        <w:rPr>
          <w:b/>
          <w:bCs/>
          <w:color w:val="000000" w:themeColor="text1"/>
          <w:lang w:val="fr-FR"/>
        </w:rPr>
        <w:t>de</w:t>
      </w:r>
      <w:r w:rsidRPr="00E929F2">
        <w:rPr>
          <w:b/>
          <w:bCs/>
          <w:color w:val="000000" w:themeColor="text1"/>
          <w:spacing w:val="-5"/>
          <w:lang w:val="fr-FR"/>
        </w:rPr>
        <w:t xml:space="preserve"> </w:t>
      </w:r>
      <w:proofErr w:type="spellStart"/>
      <w:r w:rsidRPr="00E929F2">
        <w:rPr>
          <w:b/>
          <w:bCs/>
          <w:color w:val="000000" w:themeColor="text1"/>
          <w:lang w:val="fr-FR"/>
        </w:rPr>
        <w:t>monitorizare</w:t>
      </w:r>
      <w:proofErr w:type="spellEnd"/>
    </w:p>
    <w:p w14:paraId="4C1489CC" w14:textId="77777777" w:rsidR="00E929F2" w:rsidRPr="00E929F2" w:rsidRDefault="00E929F2" w:rsidP="00E929F2">
      <w:pPr>
        <w:widowControl w:val="0"/>
        <w:autoSpaceDE w:val="0"/>
        <w:autoSpaceDN w:val="0"/>
        <w:adjustRightInd w:val="0"/>
        <w:spacing w:before="9"/>
        <w:ind w:left="115"/>
        <w:jc w:val="both"/>
        <w:rPr>
          <w:rFonts w:eastAsiaTheme="minorEastAsia"/>
          <w:b/>
          <w:color w:val="000000" w:themeColor="text1"/>
          <w:lang w:val="fr-FR"/>
        </w:rPr>
      </w:pPr>
    </w:p>
    <w:p w14:paraId="4AF73B70" w14:textId="77777777" w:rsidR="00E929F2" w:rsidRPr="00E929F2" w:rsidRDefault="00E929F2" w:rsidP="0049533B">
      <w:pPr>
        <w:widowControl w:val="0"/>
        <w:autoSpaceDE w:val="0"/>
        <w:autoSpaceDN w:val="0"/>
        <w:adjustRightInd w:val="0"/>
        <w:ind w:right="26"/>
        <w:jc w:val="both"/>
        <w:rPr>
          <w:rFonts w:eastAsiaTheme="minorEastAsia"/>
          <w:color w:val="000000" w:themeColor="text1"/>
          <w:lang w:val="fr-FR"/>
        </w:rPr>
      </w:pPr>
      <w:proofErr w:type="spellStart"/>
      <w:r w:rsidRPr="00E929F2">
        <w:rPr>
          <w:rFonts w:eastAsiaTheme="minorEastAsia"/>
          <w:color w:val="000000" w:themeColor="text1"/>
          <w:lang w:val="fr-FR"/>
        </w:rPr>
        <w:t>Colectarea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informațiilor</w:t>
      </w:r>
      <w:proofErr w:type="spellEnd"/>
      <w:r w:rsidRPr="00E929F2">
        <w:rPr>
          <w:rFonts w:eastAsiaTheme="minorEastAsia"/>
          <w:color w:val="000000" w:themeColor="text1"/>
          <w:lang w:val="fr-FR"/>
        </w:rPr>
        <w:t xml:space="preserve"> este direct </w:t>
      </w:r>
      <w:proofErr w:type="spellStart"/>
      <w:r w:rsidRPr="00E929F2">
        <w:rPr>
          <w:rFonts w:eastAsiaTheme="minorEastAsia"/>
          <w:color w:val="000000" w:themeColor="text1"/>
          <w:lang w:val="fr-FR"/>
        </w:rPr>
        <w:t>legată</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hărțile</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distribuție</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habitatelor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Acestea</w:t>
      </w:r>
      <w:proofErr w:type="spellEnd"/>
      <w:r w:rsidRPr="00E929F2">
        <w:rPr>
          <w:rFonts w:eastAsiaTheme="minorEastAsia"/>
          <w:color w:val="000000" w:themeColor="text1"/>
          <w:lang w:val="fr-FR"/>
        </w:rPr>
        <w:t xml:space="preserve"> se vor</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realiza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format GIS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vor fi </w:t>
      </w:r>
      <w:proofErr w:type="spellStart"/>
      <w:r w:rsidRPr="00E929F2">
        <w:rPr>
          <w:rFonts w:eastAsiaTheme="minorEastAsia"/>
          <w:color w:val="000000" w:themeColor="text1"/>
          <w:lang w:val="fr-FR"/>
        </w:rPr>
        <w:t>livrate</w:t>
      </w:r>
      <w:proofErr w:type="spellEnd"/>
      <w:r w:rsidRPr="00E929F2">
        <w:rPr>
          <w:rFonts w:eastAsiaTheme="minorEastAsia"/>
          <w:color w:val="000000" w:themeColor="text1"/>
          <w:lang w:val="fr-FR"/>
        </w:rPr>
        <w:t xml:space="preserve"> ca </w:t>
      </w:r>
      <w:proofErr w:type="spellStart"/>
      <w:r w:rsidRPr="00E929F2">
        <w:rPr>
          <w:rFonts w:eastAsiaTheme="minorEastAsia"/>
          <w:color w:val="000000" w:themeColor="text1"/>
          <w:lang w:val="fr-FR"/>
        </w:rPr>
        <w:t>fișiere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împreună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meta</w:t>
      </w:r>
      <w:proofErr w:type="spellEnd"/>
      <w:r w:rsidRPr="00E929F2">
        <w:rPr>
          <w:rFonts w:eastAsiaTheme="minorEastAsia"/>
          <w:color w:val="000000" w:themeColor="text1"/>
          <w:lang w:val="fr-FR"/>
        </w:rPr>
        <w:t xml:space="preserve">-date </w:t>
      </w:r>
      <w:proofErr w:type="spellStart"/>
      <w:r w:rsidRPr="00E929F2">
        <w:rPr>
          <w:rFonts w:eastAsiaTheme="minorEastAsia"/>
          <w:color w:val="000000" w:themeColor="text1"/>
          <w:lang w:val="fr-FR"/>
        </w:rPr>
        <w:t>relevante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Suprafața</w:t>
      </w:r>
      <w:proofErr w:type="spellEnd"/>
      <w:r w:rsidRPr="00E929F2">
        <w:rPr>
          <w:rFonts w:eastAsiaTheme="minorEastAsia"/>
          <w:color w:val="000000" w:themeColor="text1"/>
          <w:lang w:val="fr-FR"/>
        </w:rPr>
        <w:t xml:space="preserve"> standard</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 xml:space="preserve">de </w:t>
      </w:r>
      <w:proofErr w:type="spellStart"/>
      <w:r w:rsidRPr="00E929F2">
        <w:rPr>
          <w:rFonts w:eastAsiaTheme="minorEastAsia"/>
          <w:color w:val="000000" w:themeColor="text1"/>
          <w:lang w:val="fr-FR"/>
        </w:rPr>
        <w:t>pe</w:t>
      </w:r>
      <w:proofErr w:type="spellEnd"/>
      <w:r w:rsidRPr="00E929F2">
        <w:rPr>
          <w:rFonts w:eastAsiaTheme="minorEastAsia"/>
          <w:color w:val="000000" w:themeColor="text1"/>
          <w:lang w:val="fr-FR"/>
        </w:rPr>
        <w:t xml:space="preserve"> care se </w:t>
      </w:r>
      <w:proofErr w:type="spellStart"/>
      <w:r w:rsidRPr="00E929F2">
        <w:rPr>
          <w:rFonts w:eastAsiaTheme="minorEastAsia"/>
          <w:color w:val="000000" w:themeColor="text1"/>
          <w:lang w:val="fr-FR"/>
        </w:rPr>
        <w:t>realizeaza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raportarea</w:t>
      </w:r>
      <w:proofErr w:type="spellEnd"/>
      <w:r w:rsidRPr="00E929F2">
        <w:rPr>
          <w:rFonts w:eastAsiaTheme="minorEastAsia"/>
          <w:color w:val="000000" w:themeColor="text1"/>
          <w:lang w:val="fr-FR"/>
        </w:rPr>
        <w:t xml:space="preserve"> este de 10x10km ETRS, </w:t>
      </w:r>
      <w:proofErr w:type="spellStart"/>
      <w:r w:rsidRPr="00E929F2">
        <w:rPr>
          <w:rFonts w:eastAsiaTheme="minorEastAsia"/>
          <w:color w:val="000000" w:themeColor="text1"/>
          <w:lang w:val="fr-FR"/>
        </w:rPr>
        <w:t>acesta</w:t>
      </w:r>
      <w:proofErr w:type="spellEnd"/>
      <w:r w:rsidRPr="00E929F2">
        <w:rPr>
          <w:rFonts w:eastAsiaTheme="minorEastAsia"/>
          <w:color w:val="000000" w:themeColor="text1"/>
          <w:lang w:val="fr-FR"/>
        </w:rPr>
        <w:t xml:space="preserve"> face parte </w:t>
      </w:r>
      <w:proofErr w:type="spellStart"/>
      <w:r w:rsidRPr="00E929F2">
        <w:rPr>
          <w:rFonts w:eastAsiaTheme="minorEastAsia"/>
          <w:color w:val="000000" w:themeColor="text1"/>
          <w:lang w:val="fr-FR"/>
        </w:rPr>
        <w:t>dintr</w:t>
      </w:r>
      <w:proofErr w:type="spellEnd"/>
      <w:r w:rsidRPr="00E929F2">
        <w:rPr>
          <w:rFonts w:eastAsiaTheme="minorEastAsia"/>
          <w:color w:val="000000" w:themeColor="text1"/>
          <w:lang w:val="fr-FR"/>
        </w:rPr>
        <w:t xml:space="preserve">-un </w:t>
      </w:r>
      <w:proofErr w:type="spellStart"/>
      <w:r w:rsidRPr="00E929F2">
        <w:rPr>
          <w:rFonts w:eastAsiaTheme="minorEastAsia"/>
          <w:color w:val="000000" w:themeColor="text1"/>
          <w:lang w:val="fr-FR"/>
        </w:rPr>
        <w:t>caroiaj</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realizat</w:t>
      </w:r>
      <w:proofErr w:type="spellEnd"/>
      <w:r w:rsidRPr="00E929F2">
        <w:rPr>
          <w:rFonts w:eastAsiaTheme="minorEastAsia"/>
          <w:color w:val="000000" w:themeColor="text1"/>
          <w:spacing w:val="-57"/>
          <w:lang w:val="fr-FR"/>
        </w:rPr>
        <w:t xml:space="preserve"> </w:t>
      </w:r>
      <w:proofErr w:type="spellStart"/>
      <w:r w:rsidRPr="00E929F2">
        <w:rPr>
          <w:rFonts w:eastAsiaTheme="minorEastAsia"/>
          <w:color w:val="000000" w:themeColor="text1"/>
          <w:lang w:val="fr-FR"/>
        </w:rPr>
        <w:t>prin</w:t>
      </w:r>
      <w:proofErr w:type="spellEnd"/>
      <w:r w:rsidRPr="00E929F2">
        <w:rPr>
          <w:rFonts w:eastAsiaTheme="minorEastAsia"/>
          <w:color w:val="000000" w:themeColor="text1"/>
          <w:spacing w:val="15"/>
          <w:lang w:val="fr-FR"/>
        </w:rPr>
        <w:t xml:space="preserve"> </w:t>
      </w:r>
      <w:proofErr w:type="spellStart"/>
      <w:r w:rsidRPr="00E929F2">
        <w:rPr>
          <w:rFonts w:eastAsiaTheme="minorEastAsia"/>
          <w:color w:val="000000" w:themeColor="text1"/>
          <w:lang w:val="fr-FR"/>
        </w:rPr>
        <w:t>proiectie</w:t>
      </w:r>
      <w:proofErr w:type="spellEnd"/>
      <w:r w:rsidRPr="00E929F2">
        <w:rPr>
          <w:rFonts w:eastAsiaTheme="minorEastAsia"/>
          <w:color w:val="000000" w:themeColor="text1"/>
          <w:spacing w:val="13"/>
          <w:lang w:val="fr-FR"/>
        </w:rPr>
        <w:t xml:space="preserve"> </w:t>
      </w:r>
      <w:r w:rsidRPr="00E929F2">
        <w:rPr>
          <w:rFonts w:eastAsiaTheme="minorEastAsia"/>
          <w:color w:val="000000" w:themeColor="text1"/>
          <w:lang w:val="fr-FR"/>
        </w:rPr>
        <w:t>ETRS</w:t>
      </w:r>
      <w:r w:rsidRPr="00E929F2">
        <w:rPr>
          <w:rFonts w:eastAsiaTheme="minorEastAsia"/>
          <w:color w:val="000000" w:themeColor="text1"/>
          <w:spacing w:val="15"/>
          <w:lang w:val="fr-FR"/>
        </w:rPr>
        <w:t xml:space="preserve"> </w:t>
      </w:r>
      <w:r w:rsidRPr="00E929F2">
        <w:rPr>
          <w:rFonts w:eastAsiaTheme="minorEastAsia"/>
          <w:color w:val="000000" w:themeColor="text1"/>
          <w:lang w:val="fr-FR"/>
        </w:rPr>
        <w:t>5210.</w:t>
      </w:r>
      <w:r w:rsidRPr="00E929F2">
        <w:rPr>
          <w:rFonts w:eastAsiaTheme="minorEastAsia"/>
          <w:color w:val="000000" w:themeColor="text1"/>
          <w:spacing w:val="14"/>
          <w:lang w:val="fr-FR"/>
        </w:rPr>
        <w:t xml:space="preserve"> </w:t>
      </w:r>
      <w:proofErr w:type="spellStart"/>
      <w:r w:rsidRPr="00E929F2">
        <w:rPr>
          <w:rFonts w:eastAsiaTheme="minorEastAsia"/>
          <w:color w:val="000000" w:themeColor="text1"/>
          <w:lang w:val="fr-FR"/>
        </w:rPr>
        <w:t>Acest</w:t>
      </w:r>
      <w:proofErr w:type="spellEnd"/>
      <w:r w:rsidRPr="00E929F2">
        <w:rPr>
          <w:rFonts w:eastAsiaTheme="minorEastAsia"/>
          <w:color w:val="000000" w:themeColor="text1"/>
          <w:spacing w:val="15"/>
          <w:lang w:val="fr-FR"/>
        </w:rPr>
        <w:t xml:space="preserve"> </w:t>
      </w:r>
      <w:proofErr w:type="spellStart"/>
      <w:r w:rsidRPr="00E929F2">
        <w:rPr>
          <w:rFonts w:eastAsiaTheme="minorEastAsia"/>
          <w:color w:val="000000" w:themeColor="text1"/>
          <w:lang w:val="fr-FR"/>
        </w:rPr>
        <w:t>caroiaj</w:t>
      </w:r>
      <w:proofErr w:type="spellEnd"/>
      <w:r w:rsidRPr="00E929F2">
        <w:rPr>
          <w:rFonts w:eastAsiaTheme="minorEastAsia"/>
          <w:color w:val="000000" w:themeColor="text1"/>
          <w:spacing w:val="15"/>
          <w:lang w:val="fr-FR"/>
        </w:rPr>
        <w:t xml:space="preserve"> </w:t>
      </w:r>
      <w:r w:rsidRPr="00E929F2">
        <w:rPr>
          <w:rFonts w:eastAsiaTheme="minorEastAsia"/>
          <w:color w:val="000000" w:themeColor="text1"/>
          <w:lang w:val="fr-FR"/>
        </w:rPr>
        <w:t>este</w:t>
      </w:r>
      <w:r w:rsidRPr="00E929F2">
        <w:rPr>
          <w:rFonts w:eastAsiaTheme="minorEastAsia"/>
          <w:color w:val="000000" w:themeColor="text1"/>
          <w:spacing w:val="14"/>
          <w:lang w:val="fr-FR"/>
        </w:rPr>
        <w:t xml:space="preserve"> </w:t>
      </w:r>
      <w:proofErr w:type="spellStart"/>
      <w:r w:rsidRPr="00E929F2">
        <w:rPr>
          <w:rFonts w:eastAsiaTheme="minorEastAsia"/>
          <w:color w:val="000000" w:themeColor="text1"/>
          <w:lang w:val="fr-FR"/>
        </w:rPr>
        <w:t>recomandat</w:t>
      </w:r>
      <w:proofErr w:type="spellEnd"/>
      <w:r w:rsidRPr="00E929F2">
        <w:rPr>
          <w:rFonts w:eastAsiaTheme="minorEastAsia"/>
          <w:color w:val="000000" w:themeColor="text1"/>
          <w:spacing w:val="15"/>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3"/>
          <w:lang w:val="fr-FR"/>
        </w:rPr>
        <w:t xml:space="preserve"> </w:t>
      </w:r>
      <w:proofErr w:type="spellStart"/>
      <w:r w:rsidRPr="00E929F2">
        <w:rPr>
          <w:rFonts w:eastAsiaTheme="minorEastAsia"/>
          <w:color w:val="000000" w:themeColor="text1"/>
          <w:lang w:val="fr-FR"/>
        </w:rPr>
        <w:t>Comisia</w:t>
      </w:r>
      <w:proofErr w:type="spellEnd"/>
      <w:r w:rsidRPr="00E929F2">
        <w:rPr>
          <w:rFonts w:eastAsiaTheme="minorEastAsia"/>
          <w:color w:val="000000" w:themeColor="text1"/>
          <w:spacing w:val="14"/>
          <w:lang w:val="fr-FR"/>
        </w:rPr>
        <w:t xml:space="preserve"> </w:t>
      </w:r>
      <w:proofErr w:type="spellStart"/>
      <w:r w:rsidRPr="00E929F2">
        <w:rPr>
          <w:rFonts w:eastAsiaTheme="minorEastAsia"/>
          <w:color w:val="000000" w:themeColor="text1"/>
          <w:lang w:val="fr-FR"/>
        </w:rPr>
        <w:t>Europeană</w:t>
      </w:r>
      <w:proofErr w:type="spellEnd"/>
      <w:r w:rsidRPr="00E929F2">
        <w:rPr>
          <w:rFonts w:eastAsiaTheme="minorEastAsia"/>
          <w:color w:val="000000" w:themeColor="text1"/>
          <w:spacing w:val="13"/>
          <w:lang w:val="fr-FR"/>
        </w:rPr>
        <w:t xml:space="preserve"> </w:t>
      </w:r>
      <w:proofErr w:type="spellStart"/>
      <w:r w:rsidRPr="00E929F2">
        <w:rPr>
          <w:rFonts w:eastAsiaTheme="minorEastAsia"/>
          <w:color w:val="000000" w:themeColor="text1"/>
          <w:lang w:val="fr-FR"/>
        </w:rPr>
        <w:t>pentru</w:t>
      </w:r>
      <w:proofErr w:type="spellEnd"/>
      <w:r w:rsidRPr="00E929F2">
        <w:rPr>
          <w:rFonts w:eastAsiaTheme="minorEastAsia"/>
          <w:color w:val="000000" w:themeColor="text1"/>
          <w:spacing w:val="14"/>
          <w:lang w:val="fr-FR"/>
        </w:rPr>
        <w:t xml:space="preserve"> </w:t>
      </w:r>
      <w:r w:rsidRPr="00E929F2">
        <w:rPr>
          <w:rFonts w:eastAsiaTheme="minorEastAsia"/>
          <w:color w:val="000000" w:themeColor="text1"/>
          <w:lang w:val="fr-FR"/>
        </w:rPr>
        <w:t>a</w:t>
      </w:r>
      <w:r w:rsidRPr="00E929F2">
        <w:rPr>
          <w:rFonts w:eastAsiaTheme="minorEastAsia"/>
          <w:color w:val="000000" w:themeColor="text1"/>
          <w:spacing w:val="13"/>
          <w:lang w:val="fr-FR"/>
        </w:rPr>
        <w:t xml:space="preserve"> </w:t>
      </w:r>
      <w:r w:rsidRPr="00E929F2">
        <w:rPr>
          <w:rFonts w:eastAsiaTheme="minorEastAsia"/>
          <w:color w:val="000000" w:themeColor="text1"/>
          <w:lang w:val="fr-FR"/>
        </w:rPr>
        <w:t>fi</w:t>
      </w:r>
      <w:r w:rsidRPr="00E929F2">
        <w:rPr>
          <w:rFonts w:eastAsiaTheme="minorEastAsia"/>
          <w:color w:val="000000" w:themeColor="text1"/>
          <w:spacing w:val="14"/>
          <w:lang w:val="fr-FR"/>
        </w:rPr>
        <w:t xml:space="preserve"> </w:t>
      </w:r>
      <w:proofErr w:type="spellStart"/>
      <w:r w:rsidRPr="00E929F2">
        <w:rPr>
          <w:rFonts w:eastAsiaTheme="minorEastAsia"/>
          <w:color w:val="000000" w:themeColor="text1"/>
          <w:lang w:val="fr-FR"/>
        </w:rPr>
        <w:t>folosit</w:t>
      </w:r>
      <w:proofErr w:type="spellEnd"/>
      <w:r w:rsidRPr="00E929F2">
        <w:rPr>
          <w:rFonts w:eastAsiaTheme="minorEastAsia"/>
          <w:color w:val="000000" w:themeColor="text1"/>
          <w:spacing w:val="-57"/>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toate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statele</w:t>
      </w:r>
      <w:proofErr w:type="spellEnd"/>
      <w:r w:rsidRPr="00E929F2">
        <w:rPr>
          <w:rFonts w:eastAsiaTheme="minorEastAsia"/>
          <w:color w:val="000000" w:themeColor="text1"/>
          <w:lang w:val="fr-FR"/>
        </w:rPr>
        <w:t xml:space="preserve"> membre.</w:t>
      </w:r>
    </w:p>
    <w:p w14:paraId="09B019D9" w14:textId="77777777" w:rsidR="00E929F2" w:rsidRPr="00E929F2" w:rsidRDefault="00E929F2" w:rsidP="0049533B">
      <w:pPr>
        <w:widowControl w:val="0"/>
        <w:autoSpaceDE w:val="0"/>
        <w:autoSpaceDN w:val="0"/>
        <w:adjustRightInd w:val="0"/>
        <w:ind w:right="26"/>
        <w:jc w:val="both"/>
        <w:rPr>
          <w:rFonts w:eastAsiaTheme="minorEastAsia"/>
          <w:color w:val="000000" w:themeColor="text1"/>
          <w:lang w:val="fr-FR"/>
        </w:rPr>
      </w:pPr>
      <w:proofErr w:type="spellStart"/>
      <w:r w:rsidRPr="00E929F2">
        <w:rPr>
          <w:rFonts w:eastAsiaTheme="minorEastAsia"/>
          <w:color w:val="000000" w:themeColor="text1"/>
          <w:lang w:val="fr-FR"/>
        </w:rPr>
        <w:t>Metoda</w:t>
      </w:r>
      <w:proofErr w:type="spellEnd"/>
      <w:r w:rsidRPr="00E929F2">
        <w:rPr>
          <w:rFonts w:eastAsiaTheme="minorEastAsia"/>
          <w:color w:val="000000" w:themeColor="text1"/>
          <w:spacing w:val="12"/>
          <w:lang w:val="fr-FR"/>
        </w:rPr>
        <w:t xml:space="preserve"> </w:t>
      </w:r>
      <w:proofErr w:type="spellStart"/>
      <w:r w:rsidRPr="00E929F2">
        <w:rPr>
          <w:rFonts w:eastAsiaTheme="minorEastAsia"/>
          <w:color w:val="000000" w:themeColor="text1"/>
          <w:lang w:val="fr-FR"/>
        </w:rPr>
        <w:t>utilizată</w:t>
      </w:r>
      <w:proofErr w:type="spellEnd"/>
      <w:r w:rsidRPr="00E929F2">
        <w:rPr>
          <w:rFonts w:eastAsiaTheme="minorEastAsia"/>
          <w:color w:val="000000" w:themeColor="text1"/>
          <w:spacing w:val="13"/>
          <w:lang w:val="fr-FR"/>
        </w:rPr>
        <w:t xml:space="preserve"> </w:t>
      </w:r>
      <w:proofErr w:type="spellStart"/>
      <w:r w:rsidRPr="00E929F2">
        <w:rPr>
          <w:rFonts w:eastAsiaTheme="minorEastAsia"/>
          <w:color w:val="000000" w:themeColor="text1"/>
          <w:lang w:val="fr-FR"/>
        </w:rPr>
        <w:t>pentru</w:t>
      </w:r>
      <w:proofErr w:type="spellEnd"/>
      <w:r w:rsidRPr="00E929F2">
        <w:rPr>
          <w:rFonts w:eastAsiaTheme="minorEastAsia"/>
          <w:color w:val="000000" w:themeColor="text1"/>
          <w:spacing w:val="13"/>
          <w:lang w:val="fr-FR"/>
        </w:rPr>
        <w:t xml:space="preserve"> </w:t>
      </w:r>
      <w:proofErr w:type="spellStart"/>
      <w:r w:rsidRPr="00E929F2">
        <w:rPr>
          <w:rFonts w:eastAsiaTheme="minorEastAsia"/>
          <w:color w:val="000000" w:themeColor="text1"/>
          <w:lang w:val="fr-FR"/>
        </w:rPr>
        <w:t>realizarea</w:t>
      </w:r>
      <w:proofErr w:type="spellEnd"/>
      <w:r w:rsidRPr="00E929F2">
        <w:rPr>
          <w:rFonts w:eastAsiaTheme="minorEastAsia"/>
          <w:color w:val="000000" w:themeColor="text1"/>
          <w:spacing w:val="13"/>
          <w:lang w:val="fr-FR"/>
        </w:rPr>
        <w:t xml:space="preserve"> </w:t>
      </w:r>
      <w:proofErr w:type="spellStart"/>
      <w:r w:rsidRPr="00E929F2">
        <w:rPr>
          <w:rFonts w:eastAsiaTheme="minorEastAsia"/>
          <w:color w:val="000000" w:themeColor="text1"/>
          <w:lang w:val="fr-FR"/>
        </w:rPr>
        <w:t>hărților</w:t>
      </w:r>
      <w:proofErr w:type="spellEnd"/>
      <w:r w:rsidRPr="00E929F2">
        <w:rPr>
          <w:rFonts w:eastAsiaTheme="minorEastAsia"/>
          <w:color w:val="000000" w:themeColor="text1"/>
          <w:spacing w:val="14"/>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3"/>
          <w:lang w:val="fr-FR"/>
        </w:rPr>
        <w:t xml:space="preserve"> </w:t>
      </w:r>
      <w:proofErr w:type="spellStart"/>
      <w:r w:rsidRPr="00E929F2">
        <w:rPr>
          <w:rFonts w:eastAsiaTheme="minorEastAsia"/>
          <w:color w:val="000000" w:themeColor="text1"/>
          <w:lang w:val="fr-FR"/>
        </w:rPr>
        <w:t>distribuție</w:t>
      </w:r>
      <w:proofErr w:type="spellEnd"/>
      <w:r w:rsidRPr="00E929F2">
        <w:rPr>
          <w:rFonts w:eastAsiaTheme="minorEastAsia"/>
          <w:color w:val="000000" w:themeColor="text1"/>
          <w:spacing w:val="17"/>
          <w:lang w:val="fr-FR"/>
        </w:rPr>
        <w:t xml:space="preserve"> </w:t>
      </w:r>
      <w:r w:rsidRPr="00E929F2">
        <w:rPr>
          <w:rFonts w:eastAsiaTheme="minorEastAsia"/>
          <w:color w:val="000000" w:themeColor="text1"/>
          <w:lang w:val="fr-FR"/>
        </w:rPr>
        <w:t>se</w:t>
      </w:r>
      <w:r w:rsidRPr="00E929F2">
        <w:rPr>
          <w:rFonts w:eastAsiaTheme="minorEastAsia"/>
          <w:color w:val="000000" w:themeColor="text1"/>
          <w:spacing w:val="13"/>
          <w:lang w:val="fr-FR"/>
        </w:rPr>
        <w:t xml:space="preserve"> </w:t>
      </w:r>
      <w:proofErr w:type="spellStart"/>
      <w:r w:rsidRPr="00E929F2">
        <w:rPr>
          <w:rFonts w:eastAsiaTheme="minorEastAsia"/>
          <w:color w:val="000000" w:themeColor="text1"/>
          <w:lang w:val="fr-FR"/>
        </w:rPr>
        <w:t>încadrează</w:t>
      </w:r>
      <w:proofErr w:type="spellEnd"/>
      <w:r w:rsidRPr="00E929F2">
        <w:rPr>
          <w:rFonts w:eastAsiaTheme="minorEastAsia"/>
          <w:color w:val="000000" w:themeColor="text1"/>
          <w:spacing w:val="13"/>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spacing w:val="14"/>
          <w:lang w:val="fr-FR"/>
        </w:rPr>
        <w:t xml:space="preserve"> </w:t>
      </w:r>
      <w:proofErr w:type="spellStart"/>
      <w:r w:rsidRPr="00E929F2">
        <w:rPr>
          <w:rFonts w:eastAsiaTheme="minorEastAsia"/>
          <w:color w:val="000000" w:themeColor="text1"/>
          <w:lang w:val="fr-FR"/>
        </w:rPr>
        <w:t>una</w:t>
      </w:r>
      <w:proofErr w:type="spellEnd"/>
      <w:r w:rsidRPr="00E929F2">
        <w:rPr>
          <w:rFonts w:eastAsiaTheme="minorEastAsia"/>
          <w:color w:val="000000" w:themeColor="text1"/>
          <w:spacing w:val="13"/>
          <w:lang w:val="fr-FR"/>
        </w:rPr>
        <w:t xml:space="preserve"> </w:t>
      </w:r>
      <w:proofErr w:type="spellStart"/>
      <w:r w:rsidRPr="00E929F2">
        <w:rPr>
          <w:rFonts w:eastAsiaTheme="minorEastAsia"/>
          <w:color w:val="000000" w:themeColor="text1"/>
          <w:lang w:val="fr-FR"/>
        </w:rPr>
        <w:t>din</w:t>
      </w:r>
      <w:proofErr w:type="spellEnd"/>
      <w:r w:rsidRPr="00E929F2">
        <w:rPr>
          <w:rFonts w:eastAsiaTheme="minorEastAsia"/>
          <w:color w:val="000000" w:themeColor="text1"/>
          <w:spacing w:val="14"/>
          <w:lang w:val="fr-FR"/>
        </w:rPr>
        <w:t xml:space="preserve"> </w:t>
      </w:r>
      <w:proofErr w:type="spellStart"/>
      <w:r w:rsidRPr="00E929F2">
        <w:rPr>
          <w:rFonts w:eastAsiaTheme="minorEastAsia"/>
          <w:color w:val="000000" w:themeColor="text1"/>
          <w:lang w:val="fr-FR"/>
        </w:rPr>
        <w:t>următoarele</w:t>
      </w:r>
      <w:proofErr w:type="spellEnd"/>
      <w:r w:rsidRPr="00E929F2">
        <w:rPr>
          <w:rFonts w:eastAsiaTheme="minorEastAsia"/>
          <w:color w:val="000000" w:themeColor="text1"/>
          <w:spacing w:val="-57"/>
          <w:lang w:val="fr-FR"/>
        </w:rPr>
        <w:t xml:space="preserve"> </w:t>
      </w:r>
      <w:proofErr w:type="spellStart"/>
      <w:r w:rsidRPr="00E929F2">
        <w:rPr>
          <w:rFonts w:eastAsiaTheme="minorEastAsia"/>
          <w:color w:val="000000" w:themeColor="text1"/>
          <w:lang w:val="fr-FR"/>
        </w:rPr>
        <w:t>categorii</w:t>
      </w:r>
      <w:proofErr w:type="spellEnd"/>
      <w:r w:rsidRPr="00E929F2">
        <w:rPr>
          <w:rFonts w:eastAsiaTheme="minorEastAsia"/>
          <w:color w:val="000000" w:themeColor="text1"/>
          <w:lang w:val="fr-FR"/>
        </w:rPr>
        <w:t>:</w:t>
      </w:r>
    </w:p>
    <w:p w14:paraId="43DC4B5C" w14:textId="77777777" w:rsidR="00E929F2" w:rsidRPr="00E929F2" w:rsidRDefault="00E929F2" w:rsidP="0049533B">
      <w:pPr>
        <w:widowControl w:val="0"/>
        <w:autoSpaceDE w:val="0"/>
        <w:autoSpaceDN w:val="0"/>
        <w:adjustRightInd w:val="0"/>
        <w:ind w:right="26"/>
        <w:jc w:val="both"/>
        <w:rPr>
          <w:rFonts w:eastAsiaTheme="minorEastAsia"/>
          <w:color w:val="000000" w:themeColor="text1"/>
          <w:lang w:val="fr-FR"/>
        </w:rPr>
      </w:pPr>
      <w:r w:rsidRPr="00E929F2">
        <w:rPr>
          <w:rFonts w:eastAsiaTheme="minorEastAsia"/>
          <w:color w:val="000000" w:themeColor="text1"/>
          <w:lang w:val="fr-FR"/>
        </w:rPr>
        <w:t>3</w:t>
      </w:r>
      <w:r w:rsidRPr="00E929F2">
        <w:rPr>
          <w:rFonts w:eastAsiaTheme="minorEastAsia"/>
          <w:color w:val="000000" w:themeColor="text1"/>
          <w:spacing w:val="-2"/>
          <w:lang w:val="fr-FR"/>
        </w:rPr>
        <w:t xml:space="preserve"> </w:t>
      </w:r>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Inventariere</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completă</w:t>
      </w:r>
      <w:proofErr w:type="spellEnd"/>
    </w:p>
    <w:p w14:paraId="7543E4BB" w14:textId="77777777" w:rsidR="00E929F2" w:rsidRPr="00E929F2" w:rsidRDefault="00E929F2" w:rsidP="0049533B">
      <w:pPr>
        <w:widowControl w:val="0"/>
        <w:autoSpaceDE w:val="0"/>
        <w:autoSpaceDN w:val="0"/>
        <w:adjustRightInd w:val="0"/>
        <w:spacing w:before="1"/>
        <w:ind w:right="26"/>
        <w:jc w:val="both"/>
        <w:rPr>
          <w:rFonts w:eastAsiaTheme="minorEastAsia"/>
          <w:color w:val="000000" w:themeColor="text1"/>
          <w:lang w:val="fr-FR"/>
        </w:rPr>
      </w:pPr>
      <w:r w:rsidRPr="00E929F2">
        <w:rPr>
          <w:rFonts w:eastAsiaTheme="minorEastAsia"/>
          <w:color w:val="000000" w:themeColor="text1"/>
          <w:lang w:val="fr-FR"/>
        </w:rPr>
        <w:t>2</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Estimare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pe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baza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unor</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 xml:space="preserve">date </w:t>
      </w:r>
      <w:proofErr w:type="spellStart"/>
      <w:r w:rsidRPr="00E929F2">
        <w:rPr>
          <w:rFonts w:eastAsiaTheme="minorEastAsia"/>
          <w:color w:val="000000" w:themeColor="text1"/>
          <w:lang w:val="fr-FR"/>
        </w:rPr>
        <w:t>parțiale</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pe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baza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unor</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extrapolări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sau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prin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utilizarea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unor</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modele</w:t>
      </w:r>
      <w:proofErr w:type="spellEnd"/>
    </w:p>
    <w:p w14:paraId="48AAD1BE" w14:textId="77777777" w:rsidR="00E929F2" w:rsidRPr="00E929F2" w:rsidRDefault="00E929F2" w:rsidP="0049533B">
      <w:pPr>
        <w:widowControl w:val="0"/>
        <w:autoSpaceDE w:val="0"/>
        <w:autoSpaceDN w:val="0"/>
        <w:adjustRightInd w:val="0"/>
        <w:ind w:right="26"/>
        <w:jc w:val="both"/>
        <w:rPr>
          <w:rFonts w:eastAsiaTheme="minorEastAsia"/>
          <w:color w:val="000000" w:themeColor="text1"/>
          <w:lang w:val="fr-FR"/>
        </w:rPr>
      </w:pPr>
      <w:r w:rsidRPr="00E929F2">
        <w:rPr>
          <w:rFonts w:eastAsiaTheme="minorEastAsia"/>
          <w:color w:val="000000" w:themeColor="text1"/>
          <w:lang w:val="fr-FR"/>
        </w:rPr>
        <w:t>1</w:t>
      </w:r>
      <w:r w:rsidRPr="00E929F2">
        <w:rPr>
          <w:rFonts w:eastAsiaTheme="minorEastAsia"/>
          <w:color w:val="000000" w:themeColor="text1"/>
          <w:spacing w:val="13"/>
          <w:lang w:val="fr-FR"/>
        </w:rPr>
        <w:t xml:space="preserve"> </w:t>
      </w:r>
      <w:r w:rsidRPr="00E929F2">
        <w:rPr>
          <w:rFonts w:eastAsiaTheme="minorEastAsia"/>
          <w:color w:val="000000" w:themeColor="text1"/>
          <w:lang w:val="fr-FR"/>
        </w:rPr>
        <w:t>=</w:t>
      </w:r>
      <w:r w:rsidRPr="00E929F2">
        <w:rPr>
          <w:rFonts w:eastAsiaTheme="minorEastAsia"/>
          <w:color w:val="000000" w:themeColor="text1"/>
          <w:spacing w:val="12"/>
          <w:lang w:val="fr-FR"/>
        </w:rPr>
        <w:t xml:space="preserve"> </w:t>
      </w:r>
      <w:proofErr w:type="spellStart"/>
      <w:r w:rsidRPr="00E929F2">
        <w:rPr>
          <w:rFonts w:eastAsiaTheme="minorEastAsia"/>
          <w:color w:val="000000" w:themeColor="text1"/>
          <w:lang w:val="fr-FR"/>
        </w:rPr>
        <w:t>Estimare</w:t>
      </w:r>
      <w:proofErr w:type="spellEnd"/>
      <w:r w:rsidRPr="00E929F2">
        <w:rPr>
          <w:rFonts w:eastAsiaTheme="minorEastAsia"/>
          <w:color w:val="000000" w:themeColor="text1"/>
          <w:spacing w:val="12"/>
          <w:lang w:val="fr-FR"/>
        </w:rPr>
        <w:t xml:space="preserve"> </w:t>
      </w:r>
      <w:proofErr w:type="spellStart"/>
      <w:r w:rsidRPr="00E929F2">
        <w:rPr>
          <w:rFonts w:eastAsiaTheme="minorEastAsia"/>
          <w:color w:val="000000" w:themeColor="text1"/>
          <w:lang w:val="fr-FR"/>
        </w:rPr>
        <w:t>pe</w:t>
      </w:r>
      <w:proofErr w:type="spellEnd"/>
      <w:r w:rsidRPr="00E929F2">
        <w:rPr>
          <w:rFonts w:eastAsiaTheme="minorEastAsia"/>
          <w:color w:val="000000" w:themeColor="text1"/>
          <w:spacing w:val="12"/>
          <w:lang w:val="fr-FR"/>
        </w:rPr>
        <w:t xml:space="preserve"> </w:t>
      </w:r>
      <w:proofErr w:type="spellStart"/>
      <w:r w:rsidRPr="00E929F2">
        <w:rPr>
          <w:rFonts w:eastAsiaTheme="minorEastAsia"/>
          <w:color w:val="000000" w:themeColor="text1"/>
          <w:lang w:val="fr-FR"/>
        </w:rPr>
        <w:t>baza</w:t>
      </w:r>
      <w:proofErr w:type="spellEnd"/>
      <w:r w:rsidRPr="00E929F2">
        <w:rPr>
          <w:rFonts w:eastAsiaTheme="minorEastAsia"/>
          <w:color w:val="000000" w:themeColor="text1"/>
          <w:spacing w:val="13"/>
          <w:lang w:val="fr-FR"/>
        </w:rPr>
        <w:t xml:space="preserve"> </w:t>
      </w:r>
      <w:proofErr w:type="spellStart"/>
      <w:r w:rsidRPr="00E929F2">
        <w:rPr>
          <w:rFonts w:eastAsiaTheme="minorEastAsia"/>
          <w:color w:val="000000" w:themeColor="text1"/>
          <w:lang w:val="fr-FR"/>
        </w:rPr>
        <w:t>opiniilor</w:t>
      </w:r>
      <w:proofErr w:type="spellEnd"/>
      <w:r w:rsidRPr="00E929F2">
        <w:rPr>
          <w:rFonts w:eastAsiaTheme="minorEastAsia"/>
          <w:color w:val="000000" w:themeColor="text1"/>
          <w:spacing w:val="12"/>
          <w:lang w:val="fr-FR"/>
        </w:rPr>
        <w:t xml:space="preserve"> </w:t>
      </w:r>
      <w:proofErr w:type="spellStart"/>
      <w:r w:rsidRPr="00E929F2">
        <w:rPr>
          <w:rFonts w:eastAsiaTheme="minorEastAsia"/>
          <w:color w:val="000000" w:themeColor="text1"/>
          <w:lang w:val="fr-FR"/>
        </w:rPr>
        <w:t>unor</w:t>
      </w:r>
      <w:proofErr w:type="spellEnd"/>
      <w:r w:rsidRPr="00E929F2">
        <w:rPr>
          <w:rFonts w:eastAsiaTheme="minorEastAsia"/>
          <w:color w:val="000000" w:themeColor="text1"/>
          <w:spacing w:val="12"/>
          <w:lang w:val="fr-FR"/>
        </w:rPr>
        <w:t xml:space="preserve"> </w:t>
      </w:r>
      <w:proofErr w:type="spellStart"/>
      <w:r w:rsidRPr="00E929F2">
        <w:rPr>
          <w:rFonts w:eastAsiaTheme="minorEastAsia"/>
          <w:color w:val="000000" w:themeColor="text1"/>
          <w:lang w:val="fr-FR"/>
        </w:rPr>
        <w:t>experți</w:t>
      </w:r>
      <w:proofErr w:type="spellEnd"/>
      <w:r w:rsidRPr="00E929F2">
        <w:rPr>
          <w:rFonts w:eastAsiaTheme="minorEastAsia"/>
          <w:color w:val="000000" w:themeColor="text1"/>
          <w:lang w:val="fr-FR"/>
        </w:rPr>
        <w:t>,</w:t>
      </w:r>
      <w:r w:rsidRPr="00E929F2">
        <w:rPr>
          <w:rFonts w:eastAsiaTheme="minorEastAsia"/>
          <w:color w:val="000000" w:themeColor="text1"/>
          <w:spacing w:val="13"/>
          <w:lang w:val="fr-FR"/>
        </w:rPr>
        <w:t xml:space="preserve"> </w:t>
      </w:r>
      <w:proofErr w:type="spellStart"/>
      <w:r w:rsidRPr="00E929F2">
        <w:rPr>
          <w:rFonts w:eastAsiaTheme="minorEastAsia"/>
          <w:color w:val="000000" w:themeColor="text1"/>
          <w:lang w:val="fr-FR"/>
        </w:rPr>
        <w:t>opinii</w:t>
      </w:r>
      <w:proofErr w:type="spellEnd"/>
      <w:r w:rsidRPr="00E929F2">
        <w:rPr>
          <w:rFonts w:eastAsiaTheme="minorEastAsia"/>
          <w:color w:val="000000" w:themeColor="text1"/>
          <w:spacing w:val="14"/>
          <w:lang w:val="fr-FR"/>
        </w:rPr>
        <w:t xml:space="preserve"> </w:t>
      </w:r>
      <w:proofErr w:type="spellStart"/>
      <w:r w:rsidRPr="00E929F2">
        <w:rPr>
          <w:rFonts w:eastAsiaTheme="minorEastAsia"/>
          <w:color w:val="000000" w:themeColor="text1"/>
          <w:lang w:val="fr-FR"/>
        </w:rPr>
        <w:t>obținute</w:t>
      </w:r>
      <w:proofErr w:type="spellEnd"/>
      <w:r w:rsidRPr="00E929F2">
        <w:rPr>
          <w:rFonts w:eastAsiaTheme="minorEastAsia"/>
          <w:color w:val="000000" w:themeColor="text1"/>
          <w:spacing w:val="12"/>
          <w:lang w:val="fr-FR"/>
        </w:rPr>
        <w:t xml:space="preserve"> </w:t>
      </w:r>
      <w:proofErr w:type="spellStart"/>
      <w:r w:rsidRPr="00E929F2">
        <w:rPr>
          <w:rFonts w:eastAsiaTheme="minorEastAsia"/>
          <w:color w:val="000000" w:themeColor="text1"/>
          <w:lang w:val="fr-FR"/>
        </w:rPr>
        <w:t>pe</w:t>
      </w:r>
      <w:proofErr w:type="spellEnd"/>
      <w:r w:rsidRPr="00E929F2">
        <w:rPr>
          <w:rFonts w:eastAsiaTheme="minorEastAsia"/>
          <w:color w:val="000000" w:themeColor="text1"/>
          <w:spacing w:val="14"/>
          <w:lang w:val="fr-FR"/>
        </w:rPr>
        <w:t xml:space="preserve"> </w:t>
      </w:r>
      <w:proofErr w:type="spellStart"/>
      <w:r w:rsidRPr="00E929F2">
        <w:rPr>
          <w:rFonts w:eastAsiaTheme="minorEastAsia"/>
          <w:color w:val="000000" w:themeColor="text1"/>
          <w:lang w:val="fr-FR"/>
        </w:rPr>
        <w:t>baza</w:t>
      </w:r>
      <w:proofErr w:type="spellEnd"/>
      <w:r w:rsidRPr="00E929F2">
        <w:rPr>
          <w:rFonts w:eastAsiaTheme="minorEastAsia"/>
          <w:color w:val="000000" w:themeColor="text1"/>
          <w:spacing w:val="12"/>
          <w:lang w:val="fr-FR"/>
        </w:rPr>
        <w:t xml:space="preserve"> </w:t>
      </w:r>
      <w:proofErr w:type="spellStart"/>
      <w:r w:rsidRPr="00E929F2">
        <w:rPr>
          <w:rFonts w:eastAsiaTheme="minorEastAsia"/>
          <w:color w:val="000000" w:themeColor="text1"/>
          <w:lang w:val="fr-FR"/>
        </w:rPr>
        <w:t>unui</w:t>
      </w:r>
      <w:proofErr w:type="spellEnd"/>
      <w:r w:rsidRPr="00E929F2">
        <w:rPr>
          <w:rFonts w:eastAsiaTheme="minorEastAsia"/>
          <w:color w:val="000000" w:themeColor="text1"/>
          <w:spacing w:val="11"/>
          <w:lang w:val="fr-FR"/>
        </w:rPr>
        <w:t xml:space="preserve"> </w:t>
      </w:r>
      <w:proofErr w:type="spellStart"/>
      <w:r w:rsidRPr="00E929F2">
        <w:rPr>
          <w:rFonts w:eastAsiaTheme="minorEastAsia"/>
          <w:color w:val="000000" w:themeColor="text1"/>
          <w:lang w:val="fr-FR"/>
        </w:rPr>
        <w:t>eșantionaj</w:t>
      </w:r>
      <w:proofErr w:type="spellEnd"/>
      <w:r w:rsidRPr="00E929F2">
        <w:rPr>
          <w:rFonts w:eastAsiaTheme="minorEastAsia"/>
          <w:color w:val="000000" w:themeColor="text1"/>
          <w:spacing w:val="14"/>
          <w:lang w:val="fr-FR"/>
        </w:rPr>
        <w:t xml:space="preserve"> </w:t>
      </w:r>
      <w:r w:rsidRPr="00E929F2">
        <w:rPr>
          <w:rFonts w:eastAsiaTheme="minorEastAsia"/>
          <w:color w:val="000000" w:themeColor="text1"/>
          <w:lang w:val="fr-FR"/>
        </w:rPr>
        <w:t>minimal/</w:t>
      </w:r>
      <w:proofErr w:type="spellStart"/>
      <w:r w:rsidRPr="00E929F2">
        <w:rPr>
          <w:rFonts w:eastAsiaTheme="minorEastAsia"/>
          <w:color w:val="000000" w:themeColor="text1"/>
          <w:lang w:val="fr-FR"/>
        </w:rPr>
        <w:t>fără</w:t>
      </w:r>
      <w:proofErr w:type="spellEnd"/>
      <w:r w:rsidRPr="00E929F2">
        <w:rPr>
          <w:rFonts w:eastAsiaTheme="minorEastAsia"/>
          <w:color w:val="000000" w:themeColor="text1"/>
          <w:spacing w:val="-57"/>
          <w:lang w:val="fr-FR"/>
        </w:rPr>
        <w:t xml:space="preserve"> </w:t>
      </w:r>
      <w:proofErr w:type="spellStart"/>
      <w:r w:rsidRPr="00E929F2">
        <w:rPr>
          <w:rFonts w:eastAsiaTheme="minorEastAsia"/>
          <w:color w:val="000000" w:themeColor="text1"/>
          <w:lang w:val="fr-FR"/>
        </w:rPr>
        <w:t>eșantionaj</w:t>
      </w:r>
      <w:proofErr w:type="spellEnd"/>
    </w:p>
    <w:p w14:paraId="5C3D50F2" w14:textId="77777777" w:rsidR="00E929F2" w:rsidRPr="00E929F2" w:rsidRDefault="00E929F2" w:rsidP="0049533B">
      <w:pPr>
        <w:widowControl w:val="0"/>
        <w:autoSpaceDE w:val="0"/>
        <w:autoSpaceDN w:val="0"/>
        <w:adjustRightInd w:val="0"/>
        <w:ind w:right="26"/>
        <w:jc w:val="both"/>
        <w:rPr>
          <w:rFonts w:eastAsiaTheme="minorEastAsia"/>
          <w:color w:val="000000" w:themeColor="text1"/>
          <w:lang w:val="fr-FR"/>
        </w:rPr>
      </w:pPr>
      <w:r w:rsidRPr="00E929F2">
        <w:rPr>
          <w:rFonts w:eastAsiaTheme="minorEastAsia"/>
          <w:color w:val="000000" w:themeColor="text1"/>
          <w:lang w:val="fr-FR"/>
        </w:rPr>
        <w:t>0</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w:t>
      </w:r>
      <w:r w:rsidRPr="00E929F2">
        <w:rPr>
          <w:rFonts w:eastAsiaTheme="minorEastAsia"/>
          <w:color w:val="000000" w:themeColor="text1"/>
          <w:spacing w:val="-2"/>
          <w:lang w:val="fr-FR"/>
        </w:rPr>
        <w:t xml:space="preserve"> </w:t>
      </w:r>
      <w:r w:rsidRPr="00E929F2">
        <w:rPr>
          <w:rFonts w:eastAsiaTheme="minorEastAsia"/>
          <w:color w:val="000000" w:themeColor="text1"/>
          <w:lang w:val="fr-FR"/>
        </w:rPr>
        <w:t>Date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inexistente</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(absente)</w:t>
      </w:r>
    </w:p>
    <w:p w14:paraId="37573579" w14:textId="77777777" w:rsidR="00E929F2" w:rsidRDefault="00E929F2" w:rsidP="00E929F2">
      <w:pPr>
        <w:spacing w:before="4" w:beforeAutospacing="1" w:after="100" w:afterAutospacing="1" w:line="274" w:lineRule="exact"/>
        <w:jc w:val="both"/>
        <w:outlineLvl w:val="1"/>
        <w:rPr>
          <w:b/>
          <w:bCs/>
          <w:color w:val="000000" w:themeColor="text1"/>
          <w:lang w:val="fr-FR"/>
        </w:rPr>
      </w:pPr>
      <w:r w:rsidRPr="00E929F2">
        <w:rPr>
          <w:b/>
          <w:bCs/>
          <w:color w:val="000000" w:themeColor="text1"/>
          <w:lang w:val="fr-FR"/>
        </w:rPr>
        <w:t xml:space="preserve">           </w:t>
      </w:r>
      <w:proofErr w:type="spellStart"/>
      <w:r w:rsidRPr="00E929F2">
        <w:rPr>
          <w:b/>
          <w:bCs/>
          <w:color w:val="000000" w:themeColor="text1"/>
          <w:lang w:val="fr-FR"/>
        </w:rPr>
        <w:t>Gradul</w:t>
      </w:r>
      <w:proofErr w:type="spellEnd"/>
      <w:r w:rsidRPr="00E929F2">
        <w:rPr>
          <w:b/>
          <w:bCs/>
          <w:color w:val="000000" w:themeColor="text1"/>
          <w:spacing w:val="-2"/>
          <w:lang w:val="fr-FR"/>
        </w:rPr>
        <w:t xml:space="preserve"> </w:t>
      </w:r>
      <w:r w:rsidRPr="00E929F2">
        <w:rPr>
          <w:b/>
          <w:bCs/>
          <w:color w:val="000000" w:themeColor="text1"/>
          <w:lang w:val="fr-FR"/>
        </w:rPr>
        <w:t>de</w:t>
      </w:r>
      <w:r w:rsidRPr="00E929F2">
        <w:rPr>
          <w:b/>
          <w:bCs/>
          <w:color w:val="000000" w:themeColor="text1"/>
          <w:spacing w:val="-2"/>
          <w:lang w:val="fr-FR"/>
        </w:rPr>
        <w:t xml:space="preserve"> </w:t>
      </w:r>
      <w:proofErr w:type="spellStart"/>
      <w:r w:rsidRPr="00E929F2">
        <w:rPr>
          <w:b/>
          <w:bCs/>
          <w:color w:val="000000" w:themeColor="text1"/>
          <w:lang w:val="fr-FR"/>
        </w:rPr>
        <w:t>acoperire</w:t>
      </w:r>
      <w:proofErr w:type="spellEnd"/>
      <w:r w:rsidRPr="00E929F2">
        <w:rPr>
          <w:b/>
          <w:bCs/>
          <w:color w:val="000000" w:themeColor="text1"/>
          <w:spacing w:val="-2"/>
          <w:lang w:val="fr-FR"/>
        </w:rPr>
        <w:t xml:space="preserve"> </w:t>
      </w:r>
      <w:r w:rsidRPr="00E929F2">
        <w:rPr>
          <w:b/>
          <w:bCs/>
          <w:color w:val="000000" w:themeColor="text1"/>
          <w:lang w:val="fr-FR"/>
        </w:rPr>
        <w:t>a</w:t>
      </w:r>
      <w:r w:rsidRPr="00E929F2">
        <w:rPr>
          <w:b/>
          <w:bCs/>
          <w:color w:val="000000" w:themeColor="text1"/>
          <w:spacing w:val="-1"/>
          <w:lang w:val="fr-FR"/>
        </w:rPr>
        <w:t xml:space="preserve"> </w:t>
      </w:r>
      <w:proofErr w:type="spellStart"/>
      <w:r w:rsidRPr="00E929F2">
        <w:rPr>
          <w:b/>
          <w:bCs/>
          <w:color w:val="000000" w:themeColor="text1"/>
          <w:lang w:val="fr-FR"/>
        </w:rPr>
        <w:t>habitatelor</w:t>
      </w:r>
      <w:proofErr w:type="spellEnd"/>
    </w:p>
    <w:p w14:paraId="27AB2977" w14:textId="77777777" w:rsidR="00E929F2" w:rsidRPr="00E929F2" w:rsidRDefault="00E929F2" w:rsidP="00E929F2">
      <w:pPr>
        <w:spacing w:before="4" w:beforeAutospacing="1" w:after="100" w:afterAutospacing="1" w:line="274" w:lineRule="exact"/>
        <w:jc w:val="both"/>
        <w:outlineLvl w:val="1"/>
        <w:rPr>
          <w:rFonts w:eastAsiaTheme="minorEastAsia"/>
          <w:color w:val="000000" w:themeColor="text1"/>
          <w:lang w:val="fr-FR"/>
        </w:rPr>
      </w:pPr>
      <w:proofErr w:type="spellStart"/>
      <w:r w:rsidRPr="00E929F2">
        <w:rPr>
          <w:rFonts w:eastAsiaTheme="minorEastAsia"/>
          <w:color w:val="000000" w:themeColor="text1"/>
          <w:lang w:val="fr-FR"/>
        </w:rPr>
        <w:t>Procentul</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acoperire</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habitatelor</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interes</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comunitar</w:t>
      </w:r>
      <w:proofErr w:type="spellEnd"/>
      <w:r w:rsidRPr="00E929F2">
        <w:rPr>
          <w:rFonts w:eastAsiaTheme="minorEastAsia"/>
          <w:color w:val="000000" w:themeColor="text1"/>
          <w:lang w:val="fr-FR"/>
        </w:rPr>
        <w:t xml:space="preserve"> este </w:t>
      </w:r>
      <w:proofErr w:type="spellStart"/>
      <w:r w:rsidRPr="00E929F2">
        <w:rPr>
          <w:rFonts w:eastAsiaTheme="minorEastAsia"/>
          <w:color w:val="000000" w:themeColor="text1"/>
          <w:lang w:val="fr-FR"/>
        </w:rPr>
        <w:t>necesar</w:t>
      </w:r>
      <w:proofErr w:type="spellEnd"/>
      <w:r w:rsidRPr="00E929F2">
        <w:rPr>
          <w:rFonts w:eastAsiaTheme="minorEastAsia"/>
          <w:color w:val="000000" w:themeColor="text1"/>
          <w:lang w:val="fr-FR"/>
        </w:rPr>
        <w:t xml:space="preserve"> a se </w:t>
      </w:r>
      <w:proofErr w:type="spellStart"/>
      <w:r w:rsidRPr="00E929F2">
        <w:rPr>
          <w:rFonts w:eastAsiaTheme="minorEastAsia"/>
          <w:color w:val="000000" w:themeColor="text1"/>
          <w:lang w:val="fr-FR"/>
        </w:rPr>
        <w:t>aplica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pentru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întreaga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zonă</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monitorizată</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din</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punct</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vedere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biologic</w:t>
      </w:r>
      <w:proofErr w:type="spellEnd"/>
      <w:r w:rsidRPr="00E929F2">
        <w:rPr>
          <w:rFonts w:eastAsiaTheme="minorEastAsia"/>
          <w:color w:val="000000" w:themeColor="text1"/>
          <w:lang w:val="fr-FR"/>
        </w:rPr>
        <w:t>.</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Pentru</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determinarea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gradului</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acoperire</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a</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habitatelor</w:t>
      </w:r>
      <w:proofErr w:type="spellEnd"/>
      <w:r w:rsidRPr="00E929F2">
        <w:rPr>
          <w:rFonts w:eastAsiaTheme="minorEastAsia"/>
          <w:color w:val="000000" w:themeColor="text1"/>
          <w:spacing w:val="-2"/>
          <w:lang w:val="fr-FR"/>
        </w:rPr>
        <w:t xml:space="preserve"> </w:t>
      </w:r>
      <w:r w:rsidRPr="00E929F2">
        <w:rPr>
          <w:rFonts w:eastAsiaTheme="minorEastAsia"/>
          <w:color w:val="000000" w:themeColor="text1"/>
          <w:lang w:val="fr-FR"/>
        </w:rPr>
        <w:t>se</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va</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utiliza</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 xml:space="preserve">o </w:t>
      </w:r>
      <w:proofErr w:type="spellStart"/>
      <w:r w:rsidRPr="00E929F2">
        <w:rPr>
          <w:rFonts w:eastAsiaTheme="minorEastAsia"/>
          <w:color w:val="000000" w:themeColor="text1"/>
          <w:lang w:val="fr-FR"/>
        </w:rPr>
        <w:t>scală</w:t>
      </w:r>
      <w:proofErr w:type="spellEnd"/>
      <w:r w:rsidRPr="00E929F2">
        <w:rPr>
          <w:rFonts w:eastAsiaTheme="minorEastAsia"/>
          <w:color w:val="000000" w:themeColor="text1"/>
          <w:lang w:val="fr-FR"/>
        </w:rPr>
        <w:t xml:space="preserve"> 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evaluare</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conform</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figurii</w:t>
      </w:r>
      <w:proofErr w:type="spellEnd"/>
      <w:r w:rsidRPr="00E929F2">
        <w:rPr>
          <w:rFonts w:eastAsiaTheme="minorEastAsia"/>
          <w:color w:val="000000" w:themeColor="text1"/>
          <w:lang w:val="fr-FR"/>
        </w:rPr>
        <w:t xml:space="preserve"> de</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 xml:space="preserve">mai </w:t>
      </w:r>
      <w:proofErr w:type="spellStart"/>
      <w:r w:rsidRPr="00E929F2">
        <w:rPr>
          <w:rFonts w:eastAsiaTheme="minorEastAsia"/>
          <w:color w:val="000000" w:themeColor="text1"/>
          <w:lang w:val="fr-FR"/>
        </w:rPr>
        <w:t>jos</w:t>
      </w:r>
      <w:proofErr w:type="spellEnd"/>
      <w:r w:rsidRPr="00E929F2">
        <w:rPr>
          <w:rFonts w:eastAsiaTheme="minorEastAsia"/>
          <w:color w:val="000000" w:themeColor="text1"/>
          <w:lang w:val="fr-FR"/>
        </w:rPr>
        <w:t>.</w:t>
      </w:r>
    </w:p>
    <w:p w14:paraId="6C629125" w14:textId="77777777" w:rsidR="00E929F2" w:rsidRPr="00E929F2" w:rsidRDefault="00E929F2" w:rsidP="00E929F2">
      <w:pPr>
        <w:widowControl w:val="0"/>
        <w:autoSpaceDE w:val="0"/>
        <w:autoSpaceDN w:val="0"/>
        <w:adjustRightInd w:val="0"/>
        <w:ind w:left="293" w:right="257"/>
        <w:jc w:val="both"/>
        <w:rPr>
          <w:rFonts w:eastAsiaTheme="minorEastAsia"/>
          <w:color w:val="000000" w:themeColor="text1"/>
          <w:lang w:val="fr-FR"/>
        </w:rPr>
      </w:pPr>
      <w:r w:rsidRPr="00E929F2">
        <w:rPr>
          <w:rFonts w:eastAsiaTheme="minorEastAsia"/>
          <w:noProof/>
          <w:color w:val="000000" w:themeColor="text1"/>
          <w:lang w:val="en-US"/>
        </w:rPr>
        <w:lastRenderedPageBreak/>
        <mc:AlternateContent>
          <mc:Choice Requires="wpg">
            <w:drawing>
              <wp:inline distT="0" distB="0" distL="0" distR="0" wp14:anchorId="3E9EB20A" wp14:editId="69210D5C">
                <wp:extent cx="3365500" cy="3244850"/>
                <wp:effectExtent l="0" t="0" r="6350" b="0"/>
                <wp:docPr id="218"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5500" cy="3244850"/>
                          <a:chOff x="0" y="0"/>
                          <a:chExt cx="5404" cy="5721"/>
                        </a:xfrm>
                      </wpg:grpSpPr>
                      <pic:pic xmlns:pic="http://schemas.openxmlformats.org/drawingml/2006/picture">
                        <pic:nvPicPr>
                          <pic:cNvPr id="219" name="Picture 36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21" y="36"/>
                            <a:ext cx="5085" cy="5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0" name="AutoShape 362"/>
                        <wps:cNvSpPr>
                          <a:spLocks/>
                        </wps:cNvSpPr>
                        <wps:spPr bwMode="auto">
                          <a:xfrm>
                            <a:off x="0" y="0"/>
                            <a:ext cx="5404" cy="5721"/>
                          </a:xfrm>
                          <a:custGeom>
                            <a:avLst/>
                            <a:gdLst>
                              <a:gd name="T0" fmla="*/ 5389 w 5404"/>
                              <a:gd name="T1" fmla="*/ 0 h 5721"/>
                              <a:gd name="T2" fmla="*/ 14 w 5404"/>
                              <a:gd name="T3" fmla="*/ 0 h 5721"/>
                              <a:gd name="T4" fmla="*/ 0 w 5404"/>
                              <a:gd name="T5" fmla="*/ 0 h 5721"/>
                              <a:gd name="T6" fmla="*/ 0 w 5404"/>
                              <a:gd name="T7" fmla="*/ 14 h 5721"/>
                              <a:gd name="T8" fmla="*/ 0 w 5404"/>
                              <a:gd name="T9" fmla="*/ 5706 h 5721"/>
                              <a:gd name="T10" fmla="*/ 0 w 5404"/>
                              <a:gd name="T11" fmla="*/ 5720 h 5721"/>
                              <a:gd name="T12" fmla="*/ 14 w 5404"/>
                              <a:gd name="T13" fmla="*/ 5720 h 5721"/>
                              <a:gd name="T14" fmla="*/ 5389 w 5404"/>
                              <a:gd name="T15" fmla="*/ 5720 h 5721"/>
                              <a:gd name="T16" fmla="*/ 5389 w 5404"/>
                              <a:gd name="T17" fmla="*/ 5706 h 5721"/>
                              <a:gd name="T18" fmla="*/ 14 w 5404"/>
                              <a:gd name="T19" fmla="*/ 5706 h 5721"/>
                              <a:gd name="T20" fmla="*/ 14 w 5404"/>
                              <a:gd name="T21" fmla="*/ 14 h 5721"/>
                              <a:gd name="T22" fmla="*/ 5389 w 5404"/>
                              <a:gd name="T23" fmla="*/ 14 h 5721"/>
                              <a:gd name="T24" fmla="*/ 5389 w 5404"/>
                              <a:gd name="T25" fmla="*/ 0 h 5721"/>
                              <a:gd name="T26" fmla="*/ 5404 w 5404"/>
                              <a:gd name="T27" fmla="*/ 0 h 5721"/>
                              <a:gd name="T28" fmla="*/ 5390 w 5404"/>
                              <a:gd name="T29" fmla="*/ 0 h 5721"/>
                              <a:gd name="T30" fmla="*/ 5390 w 5404"/>
                              <a:gd name="T31" fmla="*/ 14 h 5721"/>
                              <a:gd name="T32" fmla="*/ 5390 w 5404"/>
                              <a:gd name="T33" fmla="*/ 5706 h 5721"/>
                              <a:gd name="T34" fmla="*/ 5390 w 5404"/>
                              <a:gd name="T35" fmla="*/ 5720 h 5721"/>
                              <a:gd name="T36" fmla="*/ 5404 w 5404"/>
                              <a:gd name="T37" fmla="*/ 5720 h 5721"/>
                              <a:gd name="T38" fmla="*/ 5404 w 5404"/>
                              <a:gd name="T39" fmla="*/ 5706 h 5721"/>
                              <a:gd name="T40" fmla="*/ 5404 w 5404"/>
                              <a:gd name="T41" fmla="*/ 14 h 5721"/>
                              <a:gd name="T42" fmla="*/ 5404 w 5404"/>
                              <a:gd name="T43" fmla="*/ 0 h 57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404" h="5721">
                                <a:moveTo>
                                  <a:pt x="5389" y="0"/>
                                </a:moveTo>
                                <a:lnTo>
                                  <a:pt x="14" y="0"/>
                                </a:lnTo>
                                <a:lnTo>
                                  <a:pt x="0" y="0"/>
                                </a:lnTo>
                                <a:lnTo>
                                  <a:pt x="0" y="14"/>
                                </a:lnTo>
                                <a:lnTo>
                                  <a:pt x="0" y="5706"/>
                                </a:lnTo>
                                <a:lnTo>
                                  <a:pt x="0" y="5720"/>
                                </a:lnTo>
                                <a:lnTo>
                                  <a:pt x="14" y="5720"/>
                                </a:lnTo>
                                <a:lnTo>
                                  <a:pt x="5389" y="5720"/>
                                </a:lnTo>
                                <a:lnTo>
                                  <a:pt x="5389" y="5706"/>
                                </a:lnTo>
                                <a:lnTo>
                                  <a:pt x="14" y="5706"/>
                                </a:lnTo>
                                <a:lnTo>
                                  <a:pt x="14" y="14"/>
                                </a:lnTo>
                                <a:lnTo>
                                  <a:pt x="5389" y="14"/>
                                </a:lnTo>
                                <a:lnTo>
                                  <a:pt x="5389" y="0"/>
                                </a:lnTo>
                                <a:close/>
                                <a:moveTo>
                                  <a:pt x="5404" y="0"/>
                                </a:moveTo>
                                <a:lnTo>
                                  <a:pt x="5390" y="0"/>
                                </a:lnTo>
                                <a:lnTo>
                                  <a:pt x="5390" y="14"/>
                                </a:lnTo>
                                <a:lnTo>
                                  <a:pt x="5390" y="5706"/>
                                </a:lnTo>
                                <a:lnTo>
                                  <a:pt x="5390" y="5720"/>
                                </a:lnTo>
                                <a:lnTo>
                                  <a:pt x="5404" y="5720"/>
                                </a:lnTo>
                                <a:lnTo>
                                  <a:pt x="5404" y="5706"/>
                                </a:lnTo>
                                <a:lnTo>
                                  <a:pt x="5404" y="14"/>
                                </a:lnTo>
                                <a:lnTo>
                                  <a:pt x="54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F6A299F" id="Group 566" o:spid="_x0000_s1026" style="width:265pt;height:255.5pt;mso-position-horizontal-relative:char;mso-position-vertical-relative:line" coordsize="5404,57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">
                <v:shape id="Picture 361" o:spid="_x0000_s1027" type="#_x0000_t75" style="position:absolute;left:121;top:36;width:5085;height:5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AV7LGAAAA3AAAAA8AAABkcnMvZG93bnJldi54bWxEj0FrwkAUhO+F/oflFbwU3SRIqdFVSqFV&#10;eqs24PGRfWZjs2/D7jbGf98tFDwOM/MNs9qMthMD+dA6VpDPMhDEtdMtNwq+Dm/TZxAhImvsHJOC&#10;KwXYrO/vVlhqd+FPGvaxEQnCoUQFJsa+lDLUhiyGmeuJk3dy3mJM0jdSe7wkuO1kkWVP0mLLacFg&#10;T6+G6u/9j1VQfRyLRVVdz5Xx2/w9DvPt6XGu1ORhfFmCiDTGW/i/vdMKinwBf2fSEZ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ABXssYAAADcAAAADwAAAAAAAAAAAAAA&#10;AACfAgAAZHJzL2Rvd25yZXYueG1sUEsFBgAAAAAEAAQA9wAAAJIDAAAAAA==&#10;">
                  <v:imagedata r:id="rId53" o:title=""/>
                </v:shape>
                <v:shape id="AutoShape 362" o:spid="_x0000_s1028" style="position:absolute;width:5404;height:5721;visibility:visible;mso-wrap-style:square;v-text-anchor:top" coordsize="5404,5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hlFsAA&#10;AADcAAAADwAAAGRycy9kb3ducmV2LnhtbERPTYvCMBC9C/6HMII3Tbei7FajiOiiJ13Xg8ehGduy&#10;zaQksXb/vTkIHh/ve7HqTC1acr6yrOBjnIAgzq2uuFBw+d2NPkH4gKyxtkwK/snDatnvLTDT9sE/&#10;1J5DIWII+wwVlCE0mZQ+L8mgH9uGOHI36wyGCF0htcNHDDe1TJNkJg1WHBtKbGhTUv53vhsF3/jl&#10;1nZyD9vjyR82dlpcW39Sajjo1nMQgbrwFr/ce60gTeP8eCYeAbl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jhlFsAAAADcAAAADwAAAAAAAAAAAAAAAACYAgAAZHJzL2Rvd25y&#10;ZXYueG1sUEsFBgAAAAAEAAQA9QAAAIUDAAAAAA==&#10;" path="m5389,l14,,,,,14,,5706r,14l14,5720r5375,l5389,5706r-5375,l14,14r5375,l5389,xm5404,r-14,l5390,14r,5692l5390,5720r14,l5404,5706r,-5692l5404,xe" fillcolor="black" stroked="f">
                  <v:path arrowok="t" o:connecttype="custom" o:connectlocs="5389,0;14,0;0,0;0,14;0,5706;0,5720;14,5720;5389,5720;5389,5706;14,5706;14,14;5389,14;5389,0;5404,0;5390,0;5390,14;5390,5706;5390,5720;5404,5720;5404,5706;5404,14;5404,0" o:connectangles="0,0,0,0,0,0,0,0,0,0,0,0,0,0,0,0,0,0,0,0,0,0"/>
                </v:shape>
                <w10:anchorlock/>
              </v:group>
            </w:pict>
          </mc:Fallback>
        </mc:AlternateContent>
      </w:r>
    </w:p>
    <w:p w14:paraId="1C672D42" w14:textId="77777777" w:rsidR="00E929F2" w:rsidRPr="00E929F2" w:rsidRDefault="00E929F2" w:rsidP="00E929F2">
      <w:pPr>
        <w:widowControl w:val="0"/>
        <w:autoSpaceDE w:val="0"/>
        <w:autoSpaceDN w:val="0"/>
        <w:adjustRightInd w:val="0"/>
        <w:spacing w:before="9"/>
        <w:ind w:left="115"/>
        <w:jc w:val="both"/>
        <w:rPr>
          <w:rFonts w:eastAsiaTheme="minorEastAsia"/>
          <w:color w:val="000000" w:themeColor="text1"/>
          <w:lang w:val="fr-FR"/>
        </w:rPr>
      </w:pPr>
    </w:p>
    <w:p w14:paraId="3D3FF759" w14:textId="77777777" w:rsidR="00E929F2" w:rsidRPr="00E929F2" w:rsidRDefault="00E929F2" w:rsidP="00E929F2">
      <w:pPr>
        <w:widowControl w:val="0"/>
        <w:autoSpaceDE w:val="0"/>
        <w:autoSpaceDN w:val="0"/>
        <w:adjustRightInd w:val="0"/>
        <w:spacing w:before="90"/>
        <w:ind w:left="785"/>
        <w:jc w:val="both"/>
        <w:rPr>
          <w:rFonts w:eastAsiaTheme="minorEastAsia"/>
          <w:color w:val="000000" w:themeColor="text1"/>
          <w:lang w:val="fr-FR"/>
        </w:rPr>
      </w:pPr>
      <w:proofErr w:type="spellStart"/>
      <w:r w:rsidRPr="00E929F2">
        <w:rPr>
          <w:rFonts w:eastAsiaTheme="minorEastAsia"/>
          <w:color w:val="000000" w:themeColor="text1"/>
          <w:lang w:val="fr-FR"/>
        </w:rPr>
        <w:t>Grilă</w:t>
      </w:r>
      <w:proofErr w:type="spellEnd"/>
      <w:r w:rsidRPr="00E929F2">
        <w:rPr>
          <w:rFonts w:eastAsiaTheme="minorEastAsia"/>
          <w:color w:val="000000" w:themeColor="text1"/>
          <w:spacing w:val="-2"/>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estimare</w:t>
      </w:r>
      <w:proofErr w:type="spellEnd"/>
      <w:r w:rsidRPr="00E929F2">
        <w:rPr>
          <w:rFonts w:eastAsiaTheme="minorEastAsia"/>
          <w:color w:val="000000" w:themeColor="text1"/>
          <w:spacing w:val="-2"/>
          <w:lang w:val="fr-FR"/>
        </w:rPr>
        <w:t xml:space="preserve"> </w:t>
      </w:r>
      <w:r w:rsidRPr="00E929F2">
        <w:rPr>
          <w:rFonts w:eastAsiaTheme="minorEastAsia"/>
          <w:color w:val="000000" w:themeColor="text1"/>
          <w:lang w:val="fr-FR"/>
        </w:rPr>
        <w:t>a</w:t>
      </w:r>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procentului</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 xml:space="preserve">de </w:t>
      </w:r>
      <w:proofErr w:type="spellStart"/>
      <w:r w:rsidRPr="00E929F2">
        <w:rPr>
          <w:rFonts w:eastAsiaTheme="minorEastAsia"/>
          <w:color w:val="000000" w:themeColor="text1"/>
          <w:lang w:val="fr-FR"/>
        </w:rPr>
        <w:t>acoperire</w:t>
      </w:r>
      <w:proofErr w:type="spellEnd"/>
      <w:r w:rsidRPr="00E929F2">
        <w:rPr>
          <w:rFonts w:eastAsiaTheme="minorEastAsia"/>
          <w:color w:val="000000" w:themeColor="text1"/>
          <w:spacing w:val="-2"/>
          <w:lang w:val="fr-FR"/>
        </w:rPr>
        <w:t xml:space="preserve"> </w:t>
      </w:r>
      <w:r w:rsidRPr="00E929F2">
        <w:rPr>
          <w:rFonts w:eastAsiaTheme="minorEastAsia"/>
          <w:color w:val="000000" w:themeColor="text1"/>
          <w:lang w:val="fr-FR"/>
        </w:rPr>
        <w:t>a</w:t>
      </w:r>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unui</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habitat</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w:t>
      </w:r>
      <w:proofErr w:type="spellStart"/>
      <w:r w:rsidRPr="00E929F2">
        <w:rPr>
          <w:rFonts w:eastAsiaTheme="minorEastAsia"/>
          <w:color w:val="000000" w:themeColor="text1"/>
          <w:lang w:val="fr-FR"/>
        </w:rPr>
        <w:t>prelucrat</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după</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Rodwell</w:t>
      </w:r>
      <w:proofErr w:type="spellEnd"/>
      <w:r w:rsidRPr="00E929F2">
        <w:rPr>
          <w:rFonts w:eastAsiaTheme="minorEastAsia"/>
          <w:color w:val="000000" w:themeColor="text1"/>
          <w:lang w:val="fr-FR"/>
        </w:rPr>
        <w:t>, 2006)</w:t>
      </w:r>
    </w:p>
    <w:p w14:paraId="5A00D7EA" w14:textId="77777777" w:rsidR="00E929F2" w:rsidRPr="00E929F2" w:rsidRDefault="00E929F2" w:rsidP="00E929F2">
      <w:pPr>
        <w:widowControl w:val="0"/>
        <w:autoSpaceDE w:val="0"/>
        <w:autoSpaceDN w:val="0"/>
        <w:adjustRightInd w:val="0"/>
        <w:spacing w:before="1"/>
        <w:ind w:left="115"/>
        <w:jc w:val="both"/>
        <w:rPr>
          <w:rFonts w:eastAsiaTheme="minorEastAsia"/>
          <w:color w:val="000000" w:themeColor="text1"/>
          <w:lang w:val="fr-FR"/>
        </w:rPr>
      </w:pPr>
    </w:p>
    <w:p w14:paraId="6D6809E4" w14:textId="77777777" w:rsidR="00E929F2" w:rsidRPr="00E929F2" w:rsidRDefault="00E929F2" w:rsidP="00E929F2">
      <w:pPr>
        <w:widowControl w:val="0"/>
        <w:autoSpaceDE w:val="0"/>
        <w:autoSpaceDN w:val="0"/>
        <w:adjustRightInd w:val="0"/>
        <w:ind w:left="293" w:right="251"/>
        <w:jc w:val="both"/>
        <w:rPr>
          <w:rFonts w:eastAsiaTheme="minorEastAsia"/>
          <w:color w:val="000000" w:themeColor="text1"/>
          <w:lang w:val="fr-FR"/>
        </w:rPr>
      </w:pPr>
      <w:proofErr w:type="spellStart"/>
      <w:r w:rsidRPr="00E929F2">
        <w:rPr>
          <w:rFonts w:eastAsiaTheme="minorEastAsia"/>
          <w:b/>
          <w:color w:val="000000" w:themeColor="text1"/>
          <w:lang w:val="fr-FR"/>
        </w:rPr>
        <w:t>Datele</w:t>
      </w:r>
      <w:proofErr w:type="spellEnd"/>
      <w:r w:rsidRPr="00E929F2">
        <w:rPr>
          <w:rFonts w:eastAsiaTheme="minorEastAsia"/>
          <w:b/>
          <w:color w:val="000000" w:themeColor="text1"/>
          <w:lang w:val="fr-FR"/>
        </w:rPr>
        <w:t xml:space="preserve"> </w:t>
      </w:r>
      <w:proofErr w:type="spellStart"/>
      <w:r w:rsidRPr="00E929F2">
        <w:rPr>
          <w:rFonts w:eastAsiaTheme="minorEastAsia"/>
          <w:b/>
          <w:color w:val="000000" w:themeColor="text1"/>
          <w:lang w:val="fr-FR"/>
        </w:rPr>
        <w:t>spațiale</w:t>
      </w:r>
      <w:proofErr w:type="spellEnd"/>
      <w:r w:rsidRPr="00E929F2">
        <w:rPr>
          <w:rFonts w:eastAsiaTheme="minorEastAsia"/>
          <w:b/>
          <w:color w:val="000000" w:themeColor="text1"/>
          <w:lang w:val="fr-FR"/>
        </w:rPr>
        <w:t xml:space="preserve"> </w:t>
      </w:r>
      <w:r w:rsidRPr="00E929F2">
        <w:rPr>
          <w:rFonts w:eastAsiaTheme="minorEastAsia"/>
          <w:color w:val="000000" w:themeColor="text1"/>
          <w:lang w:val="fr-FR"/>
        </w:rPr>
        <w:t xml:space="preserve">se </w:t>
      </w:r>
      <w:proofErr w:type="spellStart"/>
      <w:r w:rsidRPr="00E929F2">
        <w:rPr>
          <w:rFonts w:eastAsiaTheme="minorEastAsia"/>
          <w:color w:val="000000" w:themeColor="text1"/>
          <w:lang w:val="fr-FR"/>
        </w:rPr>
        <w:t>referă</w:t>
      </w:r>
      <w:proofErr w:type="spellEnd"/>
      <w:r w:rsidRPr="00E929F2">
        <w:rPr>
          <w:rFonts w:eastAsiaTheme="minorEastAsia"/>
          <w:color w:val="000000" w:themeColor="text1"/>
          <w:lang w:val="fr-FR"/>
        </w:rPr>
        <w:t xml:space="preserve"> la </w:t>
      </w:r>
      <w:proofErr w:type="spellStart"/>
      <w:r w:rsidRPr="00E929F2">
        <w:rPr>
          <w:rFonts w:eastAsiaTheme="minorEastAsia"/>
          <w:color w:val="000000" w:themeColor="text1"/>
          <w:lang w:val="fr-FR"/>
        </w:rPr>
        <w:t>hărțile</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distribuție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ale </w:t>
      </w:r>
      <w:proofErr w:type="spellStart"/>
      <w:r w:rsidRPr="00E929F2">
        <w:rPr>
          <w:rFonts w:eastAsiaTheme="minorEastAsia"/>
          <w:color w:val="000000" w:themeColor="text1"/>
          <w:lang w:val="fr-FR"/>
        </w:rPr>
        <w:t>arealului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pentru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toate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tipurile</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habitate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din</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Anexa</w:t>
      </w:r>
      <w:proofErr w:type="spellEnd"/>
      <w:r w:rsidRPr="00E929F2">
        <w:rPr>
          <w:rFonts w:eastAsiaTheme="minorEastAsia"/>
          <w:color w:val="000000" w:themeColor="text1"/>
          <w:lang w:val="fr-FR"/>
        </w:rPr>
        <w:t xml:space="preserve"> I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lang w:val="fr-FR"/>
        </w:rPr>
        <w:t xml:space="preserve"> care </w:t>
      </w:r>
      <w:proofErr w:type="spellStart"/>
      <w:r w:rsidRPr="00E929F2">
        <w:rPr>
          <w:rFonts w:eastAsiaTheme="minorEastAsia"/>
          <w:color w:val="000000" w:themeColor="text1"/>
          <w:lang w:val="fr-FR"/>
        </w:rPr>
        <w:t>sunt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cerințe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obligatorii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pentru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raportare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conform</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articolului</w:t>
      </w:r>
      <w:proofErr w:type="spellEnd"/>
      <w:r w:rsidRPr="00E929F2">
        <w:rPr>
          <w:rFonts w:eastAsiaTheme="minorEastAsia"/>
          <w:color w:val="000000" w:themeColor="text1"/>
          <w:lang w:val="fr-FR"/>
        </w:rPr>
        <w:t xml:space="preserve"> 17 al DH. </w:t>
      </w:r>
      <w:proofErr w:type="spellStart"/>
      <w:r w:rsidRPr="00E929F2">
        <w:rPr>
          <w:rFonts w:eastAsiaTheme="minorEastAsia"/>
          <w:color w:val="000000" w:themeColor="text1"/>
          <w:lang w:val="fr-FR"/>
        </w:rPr>
        <w:t>Hărțile</w:t>
      </w:r>
      <w:proofErr w:type="spellEnd"/>
      <w:r w:rsidRPr="00E929F2">
        <w:rPr>
          <w:rFonts w:eastAsiaTheme="minorEastAsia"/>
          <w:color w:val="000000" w:themeColor="text1"/>
          <w:lang w:val="fr-FR"/>
        </w:rPr>
        <w:t xml:space="preserve"> 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distribuție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trebuie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furnizeze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informații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despre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ocurențele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actuale</w:t>
      </w:r>
      <w:proofErr w:type="spellEnd"/>
      <w:r w:rsidRPr="00E929F2">
        <w:rPr>
          <w:rFonts w:eastAsiaTheme="minorEastAsia"/>
          <w:color w:val="000000" w:themeColor="text1"/>
          <w:lang w:val="fr-FR"/>
        </w:rPr>
        <w:t xml:space="preserve"> ale </w:t>
      </w:r>
      <w:proofErr w:type="spellStart"/>
      <w:r w:rsidRPr="00E929F2">
        <w:rPr>
          <w:rFonts w:eastAsiaTheme="minorEastAsia"/>
          <w:color w:val="000000" w:themeColor="text1"/>
          <w:lang w:val="fr-FR"/>
        </w:rPr>
        <w:t>tipurilor</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habitate</w:t>
      </w:r>
      <w:proofErr w:type="spellEnd"/>
      <w:r w:rsidRPr="00E929F2">
        <w:rPr>
          <w:rFonts w:eastAsiaTheme="minorEastAsia"/>
          <w:color w:val="000000" w:themeColor="text1"/>
          <w:lang w:val="fr-FR"/>
        </w:rPr>
        <w:t>, care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trebuie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să</w:t>
      </w:r>
      <w:proofErr w:type="spellEnd"/>
      <w:r w:rsidRPr="00E929F2">
        <w:rPr>
          <w:rFonts w:eastAsiaTheme="minorEastAsia"/>
          <w:color w:val="000000" w:themeColor="text1"/>
          <w:lang w:val="fr-FR"/>
        </w:rPr>
        <w:t xml:space="preserve"> fie </w:t>
      </w:r>
      <w:proofErr w:type="spellStart"/>
      <w:r w:rsidRPr="00E929F2">
        <w:rPr>
          <w:rFonts w:eastAsiaTheme="minorEastAsia"/>
          <w:color w:val="000000" w:themeColor="text1"/>
          <w:lang w:val="fr-FR"/>
        </w:rPr>
        <w:t>bazate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rezultatele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unei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cartări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sau</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unei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inventarieri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complete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acolo</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unde</w:t>
      </w:r>
      <w:proofErr w:type="spellEnd"/>
      <w:r w:rsidRPr="00E929F2">
        <w:rPr>
          <w:rFonts w:eastAsiaTheme="minorEastAsia"/>
          <w:color w:val="000000" w:themeColor="text1"/>
          <w:lang w:val="fr-FR"/>
        </w:rPr>
        <w:t xml:space="preserve"> este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posibil</w:t>
      </w:r>
      <w:proofErr w:type="spellEnd"/>
      <w:r w:rsidRPr="00E929F2">
        <w:rPr>
          <w:rFonts w:eastAsiaTheme="minorEastAsia"/>
          <w:color w:val="000000" w:themeColor="text1"/>
          <w:lang w:val="fr-FR"/>
        </w:rPr>
        <w:t>.</w:t>
      </w:r>
    </w:p>
    <w:p w14:paraId="4B506085" w14:textId="77777777" w:rsidR="00E929F2" w:rsidRPr="00E929F2" w:rsidRDefault="00E929F2" w:rsidP="00E929F2">
      <w:pPr>
        <w:spacing w:after="160" w:line="259" w:lineRule="auto"/>
        <w:rPr>
          <w:bCs/>
          <w:color w:val="000000" w:themeColor="text1"/>
        </w:rPr>
      </w:pPr>
      <w:r w:rsidRPr="00E929F2">
        <w:rPr>
          <w:bCs/>
          <w:color w:val="000000" w:themeColor="text1"/>
        </w:rPr>
        <w:br w:type="page"/>
      </w:r>
    </w:p>
    <w:p w14:paraId="6593AF59" w14:textId="77777777" w:rsidR="00E929F2" w:rsidRPr="00E929F2" w:rsidRDefault="00E929F2" w:rsidP="00E929F2">
      <w:pPr>
        <w:widowControl w:val="0"/>
        <w:tabs>
          <w:tab w:val="left" w:pos="1115"/>
        </w:tabs>
        <w:autoSpaceDE w:val="0"/>
        <w:autoSpaceDN w:val="0"/>
        <w:spacing w:before="90"/>
        <w:jc w:val="both"/>
        <w:outlineLvl w:val="0"/>
        <w:rPr>
          <w:rFonts w:eastAsiaTheme="majorEastAsia"/>
          <w:b/>
          <w:bCs/>
          <w:color w:val="000000" w:themeColor="text1"/>
          <w:lang w:val="fr-FR"/>
        </w:rPr>
      </w:pPr>
      <w:r w:rsidRPr="00E929F2">
        <w:rPr>
          <w:rFonts w:eastAsiaTheme="majorEastAsia"/>
          <w:b/>
          <w:bCs/>
          <w:color w:val="000000" w:themeColor="text1"/>
          <w:lang w:val="fr-FR"/>
        </w:rPr>
        <w:lastRenderedPageBreak/>
        <w:tab/>
        <w:t>STRUCTURA</w:t>
      </w:r>
      <w:r w:rsidRPr="00E929F2">
        <w:rPr>
          <w:rFonts w:eastAsiaTheme="majorEastAsia"/>
          <w:b/>
          <w:bCs/>
          <w:color w:val="000000" w:themeColor="text1"/>
          <w:spacing w:val="-4"/>
          <w:lang w:val="fr-FR"/>
        </w:rPr>
        <w:t xml:space="preserve"> </w:t>
      </w:r>
      <w:r w:rsidRPr="00E929F2">
        <w:rPr>
          <w:rFonts w:eastAsiaTheme="majorEastAsia"/>
          <w:b/>
          <w:bCs/>
          <w:color w:val="000000" w:themeColor="text1"/>
          <w:lang w:val="fr-FR"/>
        </w:rPr>
        <w:t>ȘI</w:t>
      </w:r>
      <w:r w:rsidRPr="00E929F2">
        <w:rPr>
          <w:rFonts w:eastAsiaTheme="majorEastAsia"/>
          <w:b/>
          <w:bCs/>
          <w:color w:val="000000" w:themeColor="text1"/>
          <w:spacing w:val="-5"/>
          <w:lang w:val="fr-FR"/>
        </w:rPr>
        <w:t xml:space="preserve"> </w:t>
      </w:r>
      <w:r w:rsidRPr="00E929F2">
        <w:rPr>
          <w:rFonts w:eastAsiaTheme="majorEastAsia"/>
          <w:b/>
          <w:bCs/>
          <w:color w:val="000000" w:themeColor="text1"/>
          <w:lang w:val="fr-FR"/>
        </w:rPr>
        <w:t>FUNCȚIILE</w:t>
      </w:r>
      <w:r w:rsidRPr="00E929F2">
        <w:rPr>
          <w:rFonts w:eastAsiaTheme="majorEastAsia"/>
          <w:b/>
          <w:bCs/>
          <w:color w:val="000000" w:themeColor="text1"/>
          <w:spacing w:val="-5"/>
          <w:lang w:val="fr-FR"/>
        </w:rPr>
        <w:t xml:space="preserve"> </w:t>
      </w:r>
      <w:r w:rsidRPr="00E929F2">
        <w:rPr>
          <w:rFonts w:eastAsiaTheme="majorEastAsia"/>
          <w:b/>
          <w:bCs/>
          <w:color w:val="000000" w:themeColor="text1"/>
          <w:lang w:val="fr-FR"/>
        </w:rPr>
        <w:t>HABITATELOR</w:t>
      </w:r>
    </w:p>
    <w:p w14:paraId="6DBACBC9" w14:textId="77777777" w:rsidR="00E929F2" w:rsidRPr="00E929F2" w:rsidRDefault="00E929F2" w:rsidP="00E929F2">
      <w:pPr>
        <w:widowControl w:val="0"/>
        <w:autoSpaceDE w:val="0"/>
        <w:autoSpaceDN w:val="0"/>
        <w:adjustRightInd w:val="0"/>
        <w:spacing w:before="10"/>
        <w:ind w:left="115"/>
        <w:jc w:val="both"/>
        <w:rPr>
          <w:rFonts w:eastAsiaTheme="minorEastAsia"/>
          <w:b/>
          <w:color w:val="000000" w:themeColor="text1"/>
          <w:lang w:val="fr-FR"/>
        </w:rPr>
      </w:pPr>
    </w:p>
    <w:p w14:paraId="3228D1C9" w14:textId="77777777" w:rsidR="00E929F2" w:rsidRPr="00E929F2" w:rsidRDefault="00E929F2" w:rsidP="0049533B">
      <w:pPr>
        <w:widowControl w:val="0"/>
        <w:tabs>
          <w:tab w:val="left" w:pos="9990"/>
        </w:tabs>
        <w:autoSpaceDE w:val="0"/>
        <w:autoSpaceDN w:val="0"/>
        <w:adjustRightInd w:val="0"/>
        <w:ind w:left="180" w:right="26"/>
        <w:jc w:val="both"/>
        <w:rPr>
          <w:rFonts w:eastAsiaTheme="minorEastAsia"/>
          <w:color w:val="000000" w:themeColor="text1"/>
          <w:lang w:val="fr-FR"/>
        </w:rPr>
      </w:pPr>
      <w:proofErr w:type="spellStart"/>
      <w:r w:rsidRPr="00E929F2">
        <w:rPr>
          <w:rFonts w:eastAsiaTheme="minorEastAsia"/>
          <w:color w:val="000000" w:themeColor="text1"/>
          <w:lang w:val="fr-FR"/>
        </w:rPr>
        <w:t>Inventarierea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habitatelor</w:t>
      </w:r>
      <w:proofErr w:type="spellEnd"/>
      <w:r w:rsidRPr="00E929F2">
        <w:rPr>
          <w:rFonts w:eastAsiaTheme="minorEastAsia"/>
          <w:color w:val="000000" w:themeColor="text1"/>
          <w:lang w:val="fr-FR"/>
        </w:rPr>
        <w:t xml:space="preserve"> se va </w:t>
      </w:r>
      <w:proofErr w:type="spellStart"/>
      <w:r w:rsidRPr="00E929F2">
        <w:rPr>
          <w:rFonts w:eastAsiaTheme="minorEastAsia"/>
          <w:color w:val="000000" w:themeColor="text1"/>
          <w:lang w:val="fr-FR"/>
        </w:rPr>
        <w:t>realizape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baza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Manualului</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Interpretare</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Habitatelor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Naturale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din</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Uniunea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Europeană</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(EUR</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28)</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după</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Şcoala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Floristică</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Central</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Europeană</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(Braun–Blanquet),</w:t>
      </w:r>
      <w:r w:rsidRPr="00E929F2">
        <w:rPr>
          <w:rFonts w:eastAsiaTheme="minorEastAsia"/>
          <w:color w:val="000000" w:themeColor="text1"/>
          <w:spacing w:val="-57"/>
          <w:lang w:val="fr-FR"/>
        </w:rPr>
        <w:t xml:space="preserve"> </w:t>
      </w:r>
      <w:proofErr w:type="spellStart"/>
      <w:r w:rsidRPr="00E929F2">
        <w:rPr>
          <w:rFonts w:eastAsiaTheme="minorEastAsia"/>
          <w:color w:val="000000" w:themeColor="text1"/>
          <w:lang w:val="fr-FR"/>
        </w:rPr>
        <w:t>situație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care se vor face </w:t>
      </w:r>
      <w:proofErr w:type="spellStart"/>
      <w:r w:rsidRPr="00E929F2">
        <w:rPr>
          <w:rFonts w:eastAsiaTheme="minorEastAsia"/>
          <w:color w:val="000000" w:themeColor="text1"/>
          <w:lang w:val="fr-FR"/>
        </w:rPr>
        <w:t>investigaţii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după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itinerar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staţionar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2 </w:t>
      </w:r>
      <w:proofErr w:type="spellStart"/>
      <w:r w:rsidRPr="00E929F2">
        <w:rPr>
          <w:rFonts w:eastAsiaTheme="minorEastAsia"/>
          <w:color w:val="000000" w:themeColor="text1"/>
          <w:lang w:val="fr-FR"/>
        </w:rPr>
        <w:t>etape</w:t>
      </w:r>
      <w:proofErr w:type="spellEnd"/>
      <w:r w:rsidRPr="00E929F2">
        <w:rPr>
          <w:rFonts w:eastAsiaTheme="minorEastAsia"/>
          <w:i/>
          <w:color w:val="000000" w:themeColor="text1"/>
          <w:lang w:val="fr-FR"/>
        </w:rPr>
        <w:t>:</w:t>
      </w:r>
      <w:r w:rsidRPr="00E929F2">
        <w:rPr>
          <w:rFonts w:eastAsiaTheme="minorEastAsia"/>
          <w:i/>
          <w:color w:val="000000" w:themeColor="text1"/>
          <w:spacing w:val="1"/>
          <w:lang w:val="fr-FR"/>
        </w:rPr>
        <w:t xml:space="preserve"> </w:t>
      </w:r>
      <w:proofErr w:type="spellStart"/>
      <w:r w:rsidRPr="00E929F2">
        <w:rPr>
          <w:rFonts w:eastAsiaTheme="minorEastAsia"/>
          <w:color w:val="000000" w:themeColor="text1"/>
          <w:lang w:val="fr-FR"/>
        </w:rPr>
        <w:t>etapa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analitică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etapa</w:t>
      </w:r>
      <w:proofErr w:type="spellEnd"/>
      <w:r w:rsidRPr="00E929F2">
        <w:rPr>
          <w:rFonts w:eastAsiaTheme="minorEastAsia"/>
          <w:color w:val="000000" w:themeColor="text1"/>
          <w:spacing w:val="-3"/>
          <w:lang w:val="fr-FR"/>
        </w:rPr>
        <w:t xml:space="preserve"> </w:t>
      </w:r>
      <w:proofErr w:type="spellStart"/>
      <w:r w:rsidRPr="00E929F2">
        <w:rPr>
          <w:rFonts w:eastAsiaTheme="minorEastAsia"/>
          <w:color w:val="000000" w:themeColor="text1"/>
          <w:lang w:val="fr-FR"/>
        </w:rPr>
        <w:t>sintetică</w:t>
      </w:r>
      <w:proofErr w:type="spellEnd"/>
      <w:r w:rsidRPr="00E929F2">
        <w:rPr>
          <w:rFonts w:eastAsiaTheme="minorEastAsia"/>
          <w:color w:val="000000" w:themeColor="text1"/>
          <w:lang w:val="fr-FR"/>
        </w:rPr>
        <w:t>.</w:t>
      </w:r>
    </w:p>
    <w:p w14:paraId="6304D7EC" w14:textId="77777777" w:rsidR="00E929F2" w:rsidRPr="00E929F2" w:rsidRDefault="00E929F2" w:rsidP="0049533B">
      <w:pPr>
        <w:widowControl w:val="0"/>
        <w:tabs>
          <w:tab w:val="left" w:pos="9990"/>
        </w:tabs>
        <w:autoSpaceDE w:val="0"/>
        <w:autoSpaceDN w:val="0"/>
        <w:adjustRightInd w:val="0"/>
        <w:ind w:left="180" w:right="26"/>
        <w:jc w:val="both"/>
        <w:rPr>
          <w:rFonts w:eastAsiaTheme="minorEastAsia"/>
          <w:color w:val="000000" w:themeColor="text1"/>
          <w:lang w:val="fr-FR"/>
        </w:rPr>
      </w:pPr>
      <w:r w:rsidRPr="00E929F2">
        <w:rPr>
          <w:rFonts w:eastAsiaTheme="minorEastAsia"/>
          <w:color w:val="000000" w:themeColor="text1"/>
          <w:lang w:val="fr-FR"/>
        </w:rPr>
        <w:t xml:space="preserve">Prin </w:t>
      </w:r>
      <w:proofErr w:type="spellStart"/>
      <w:r w:rsidRPr="00E929F2">
        <w:rPr>
          <w:rFonts w:eastAsiaTheme="minorEastAsia"/>
          <w:color w:val="000000" w:themeColor="text1"/>
          <w:lang w:val="fr-FR"/>
        </w:rPr>
        <w:t>identificarea</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speciilor</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cheie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edificatoare</w:t>
      </w:r>
      <w:proofErr w:type="spellEnd"/>
      <w:r w:rsidRPr="00E929F2">
        <w:rPr>
          <w:rFonts w:eastAsiaTheme="minorEastAsia"/>
          <w:color w:val="000000" w:themeColor="text1"/>
          <w:lang w:val="fr-FR"/>
        </w:rPr>
        <w:t>/</w:t>
      </w:r>
      <w:proofErr w:type="spellStart"/>
      <w:r w:rsidRPr="00E929F2">
        <w:rPr>
          <w:rFonts w:eastAsiaTheme="minorEastAsia"/>
          <w:color w:val="000000" w:themeColor="text1"/>
          <w:lang w:val="fr-FR"/>
        </w:rPr>
        <w:t>caracteristice</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habitatelor</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interes</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comunitar</w:t>
      </w:r>
      <w:proofErr w:type="spellEnd"/>
      <w:r w:rsidRPr="00E929F2">
        <w:rPr>
          <w:rFonts w:eastAsiaTheme="minorEastAsia"/>
          <w:color w:val="000000" w:themeColor="text1"/>
          <w:lang w:val="fr-FR"/>
        </w:rPr>
        <w:t xml:space="preserve"> se</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vor</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efectua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determinări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folosind</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variabile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legate</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funcţiile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ecosistemului</w:t>
      </w:r>
      <w:proofErr w:type="spellEnd"/>
      <w:r w:rsidRPr="00E929F2">
        <w:rPr>
          <w:rFonts w:eastAsiaTheme="minorEastAsia"/>
          <w:color w:val="000000" w:themeColor="text1"/>
          <w:lang w:val="fr-FR"/>
        </w:rPr>
        <w:t>,</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precum</w:t>
      </w:r>
      <w:proofErr w:type="spellEnd"/>
      <w:r w:rsidRPr="00E929F2">
        <w:rPr>
          <w:rFonts w:eastAsiaTheme="minorEastAsia"/>
          <w:color w:val="000000" w:themeColor="text1"/>
          <w:lang w:val="fr-FR"/>
        </w:rPr>
        <w:t>:</w:t>
      </w:r>
      <w:r w:rsidRPr="00E929F2">
        <w:rPr>
          <w:rFonts w:eastAsiaTheme="minorEastAsia"/>
          <w:color w:val="000000" w:themeColor="text1"/>
          <w:spacing w:val="60"/>
          <w:lang w:val="fr-FR"/>
        </w:rPr>
        <w:t xml:space="preserve"> </w:t>
      </w:r>
      <w:proofErr w:type="spellStart"/>
      <w:r w:rsidRPr="00E929F2">
        <w:rPr>
          <w:rFonts w:eastAsiaTheme="minorEastAsia"/>
          <w:color w:val="000000" w:themeColor="text1"/>
          <w:lang w:val="fr-FR"/>
        </w:rPr>
        <w:t>perioada</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optimă</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monitorizare</w:t>
      </w:r>
      <w:proofErr w:type="spellEnd"/>
      <w:r w:rsidRPr="00E929F2">
        <w:rPr>
          <w:rFonts w:eastAsiaTheme="minorEastAsia"/>
          <w:color w:val="000000" w:themeColor="text1"/>
          <w:lang w:val="fr-FR"/>
        </w:rPr>
        <w:t xml:space="preserve">, structura </w:t>
      </w:r>
      <w:proofErr w:type="spellStart"/>
      <w:r w:rsidRPr="00E929F2">
        <w:rPr>
          <w:rFonts w:eastAsiaTheme="minorEastAsia"/>
          <w:color w:val="000000" w:themeColor="text1"/>
          <w:lang w:val="fr-FR"/>
        </w:rPr>
        <w:t>calitativă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cantitativă</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habitatului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identificat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şi</w:t>
      </w:r>
      <w:proofErr w:type="spellEnd"/>
      <w:r w:rsidRPr="00E929F2">
        <w:rPr>
          <w:rFonts w:eastAsiaTheme="minorEastAsia"/>
          <w:color w:val="000000" w:themeColor="text1"/>
          <w:lang w:val="fr-FR"/>
        </w:rPr>
        <w:t xml:space="preserve"> a </w:t>
      </w:r>
      <w:proofErr w:type="spellStart"/>
      <w:r w:rsidRPr="00E929F2">
        <w:rPr>
          <w:rFonts w:eastAsiaTheme="minorEastAsia"/>
          <w:color w:val="000000" w:themeColor="text1"/>
          <w:lang w:val="fr-FR"/>
        </w:rPr>
        <w:t>speciilor</w:t>
      </w:r>
      <w:proofErr w:type="spellEnd"/>
      <w:r w:rsidRPr="00E929F2">
        <w:rPr>
          <w:rFonts w:eastAsiaTheme="minorEastAsia"/>
          <w:color w:val="000000" w:themeColor="text1"/>
          <w:lang w:val="fr-FR"/>
        </w:rPr>
        <w:t xml:space="preserve"> 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floră</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identificate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Datele</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culese</w:t>
      </w:r>
      <w:proofErr w:type="spellEnd"/>
      <w:r w:rsidRPr="00E929F2">
        <w:rPr>
          <w:rFonts w:eastAsiaTheme="minorEastAsia"/>
          <w:color w:val="000000" w:themeColor="text1"/>
          <w:spacing w:val="-2"/>
          <w:lang w:val="fr-FR"/>
        </w:rPr>
        <w:t xml:space="preserve"> </w:t>
      </w:r>
      <w:proofErr w:type="spellStart"/>
      <w:r w:rsidRPr="00E929F2">
        <w:rPr>
          <w:rFonts w:eastAsiaTheme="minorEastAsia"/>
          <w:color w:val="000000" w:themeColor="text1"/>
          <w:lang w:val="fr-FR"/>
        </w:rPr>
        <w:t>din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teren</w:t>
      </w:r>
      <w:proofErr w:type="spellEnd"/>
      <w:r w:rsidRPr="00E929F2">
        <w:rPr>
          <w:rFonts w:eastAsiaTheme="minorEastAsia"/>
          <w:color w:val="000000" w:themeColor="text1"/>
          <w:lang w:val="fr-FR"/>
        </w:rPr>
        <w:t xml:space="preserve"> vor</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fi</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trecute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fişele</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monitorizare</w:t>
      </w:r>
      <w:proofErr w:type="spellEnd"/>
      <w:r w:rsidRPr="00E929F2">
        <w:rPr>
          <w:rFonts w:eastAsiaTheme="minorEastAsia"/>
          <w:color w:val="000000" w:themeColor="text1"/>
          <w:lang w:val="fr-FR"/>
        </w:rPr>
        <w:t>.</w:t>
      </w:r>
    </w:p>
    <w:p w14:paraId="4BDC52A6" w14:textId="77777777" w:rsidR="00E929F2" w:rsidRPr="00E929F2" w:rsidRDefault="00E929F2" w:rsidP="0049533B">
      <w:pPr>
        <w:widowControl w:val="0"/>
        <w:tabs>
          <w:tab w:val="left" w:pos="9990"/>
        </w:tabs>
        <w:autoSpaceDE w:val="0"/>
        <w:autoSpaceDN w:val="0"/>
        <w:adjustRightInd w:val="0"/>
        <w:spacing w:before="1"/>
        <w:ind w:left="180" w:right="26"/>
        <w:jc w:val="both"/>
        <w:rPr>
          <w:rFonts w:eastAsiaTheme="minorEastAsia"/>
          <w:color w:val="000000" w:themeColor="text1"/>
          <w:lang w:val="fr-FR"/>
        </w:rPr>
      </w:pPr>
      <w:proofErr w:type="spellStart"/>
      <w:r w:rsidRPr="00E929F2">
        <w:rPr>
          <w:rFonts w:eastAsiaTheme="minorEastAsia"/>
          <w:color w:val="000000" w:themeColor="text1"/>
          <w:lang w:val="fr-FR"/>
        </w:rPr>
        <w:t>Corelat</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formatul</w:t>
      </w:r>
      <w:proofErr w:type="spellEnd"/>
      <w:r w:rsidRPr="00E929F2">
        <w:rPr>
          <w:rFonts w:eastAsiaTheme="minorEastAsia"/>
          <w:color w:val="000000" w:themeColor="text1"/>
          <w:lang w:val="fr-FR"/>
        </w:rPr>
        <w:t xml:space="preserve"> de </w:t>
      </w:r>
      <w:proofErr w:type="spellStart"/>
      <w:r w:rsidRPr="00E929F2">
        <w:rPr>
          <w:rFonts w:eastAsiaTheme="minorEastAsia"/>
          <w:color w:val="000000" w:themeColor="text1"/>
          <w:lang w:val="fr-FR"/>
        </w:rPr>
        <w:t>raportare</w:t>
      </w:r>
      <w:proofErr w:type="spellEnd"/>
      <w:r w:rsidRPr="00E929F2">
        <w:rPr>
          <w:rFonts w:eastAsiaTheme="minorEastAsia"/>
          <w:color w:val="000000" w:themeColor="text1"/>
          <w:lang w:val="fr-FR"/>
        </w:rPr>
        <w:t xml:space="preserve">, structura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funcțiile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oferă</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rezultatul</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evaluării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stării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habitatului</w:t>
      </w:r>
      <w:proofErr w:type="spellEnd"/>
      <w:r w:rsidRPr="00E929F2">
        <w:rPr>
          <w:rFonts w:eastAsiaTheme="minorEastAsia"/>
          <w:color w:val="000000" w:themeColor="text1"/>
          <w:spacing w:val="1"/>
          <w:lang w:val="fr-FR"/>
        </w:rPr>
        <w:t xml:space="preserve"> </w:t>
      </w:r>
      <w:proofErr w:type="spellStart"/>
      <w:r w:rsidRPr="00E929F2">
        <w:rPr>
          <w:rFonts w:eastAsiaTheme="minorEastAsia"/>
          <w:color w:val="000000" w:themeColor="text1"/>
          <w:lang w:val="fr-FR"/>
        </w:rPr>
        <w:t>pentru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specii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folosind</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cele</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patru</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categorii</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disponibile</w:t>
      </w:r>
      <w:proofErr w:type="spellEnd"/>
      <w:r w:rsidRPr="00E929F2">
        <w:rPr>
          <w:rFonts w:eastAsiaTheme="minorEastAsia"/>
          <w:color w:val="000000" w:themeColor="text1"/>
          <w:lang w:val="fr-FR"/>
        </w:rPr>
        <w:t>: „</w:t>
      </w:r>
      <w:proofErr w:type="spellStart"/>
      <w:r w:rsidRPr="00E929F2">
        <w:rPr>
          <w:rFonts w:eastAsiaTheme="minorEastAsia"/>
          <w:b/>
          <w:color w:val="000000" w:themeColor="text1"/>
          <w:lang w:val="fr-FR"/>
        </w:rPr>
        <w:t>favorabil</w:t>
      </w:r>
      <w:proofErr w:type="spellEnd"/>
      <w:r w:rsidRPr="00E929F2">
        <w:rPr>
          <w:rFonts w:eastAsiaTheme="minorEastAsia"/>
          <w:color w:val="000000" w:themeColor="text1"/>
          <w:lang w:val="fr-FR"/>
        </w:rPr>
        <w:t>” (FV), „</w:t>
      </w:r>
      <w:proofErr w:type="spellStart"/>
      <w:r w:rsidRPr="00E929F2">
        <w:rPr>
          <w:rFonts w:eastAsiaTheme="minorEastAsia"/>
          <w:b/>
          <w:color w:val="000000" w:themeColor="text1"/>
          <w:lang w:val="fr-FR"/>
        </w:rPr>
        <w:t>nefavorabil-inadecvat</w:t>
      </w:r>
      <w:proofErr w:type="spellEnd"/>
      <w:r w:rsidRPr="00E929F2">
        <w:rPr>
          <w:rFonts w:eastAsiaTheme="minorEastAsia"/>
          <w:color w:val="000000" w:themeColor="text1"/>
          <w:lang w:val="fr-FR"/>
        </w:rPr>
        <w:t>”</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(U1),</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w:t>
      </w:r>
      <w:proofErr w:type="spellStart"/>
      <w:r w:rsidRPr="00E929F2">
        <w:rPr>
          <w:rFonts w:eastAsiaTheme="minorEastAsia"/>
          <w:b/>
          <w:color w:val="000000" w:themeColor="text1"/>
          <w:lang w:val="fr-FR"/>
        </w:rPr>
        <w:t>nefavorabil-rău</w:t>
      </w:r>
      <w:proofErr w:type="spellEnd"/>
      <w:r w:rsidRPr="00E929F2">
        <w:rPr>
          <w:rFonts w:eastAsiaTheme="minorEastAsia"/>
          <w:color w:val="000000" w:themeColor="text1"/>
          <w:lang w:val="fr-FR"/>
        </w:rPr>
        <w:t>”</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(U2)</w:t>
      </w:r>
      <w:r w:rsidRPr="00E929F2">
        <w:rPr>
          <w:rFonts w:eastAsiaTheme="minorEastAsia"/>
          <w:color w:val="000000" w:themeColor="text1"/>
          <w:spacing w:val="-3"/>
          <w:lang w:val="fr-FR"/>
        </w:rPr>
        <w:t xml:space="preserve"> </w:t>
      </w:r>
      <w:proofErr w:type="spellStart"/>
      <w:r w:rsidRPr="00E929F2">
        <w:rPr>
          <w:rFonts w:eastAsiaTheme="minorEastAsia"/>
          <w:color w:val="000000" w:themeColor="text1"/>
          <w:lang w:val="fr-FR"/>
        </w:rPr>
        <w:t>și</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w:t>
      </w:r>
      <w:proofErr w:type="spellStart"/>
      <w:r w:rsidRPr="00E929F2">
        <w:rPr>
          <w:rFonts w:eastAsiaTheme="minorEastAsia"/>
          <w:b/>
          <w:color w:val="000000" w:themeColor="text1"/>
          <w:lang w:val="fr-FR"/>
        </w:rPr>
        <w:t>necunoscut</w:t>
      </w:r>
      <w:proofErr w:type="spellEnd"/>
      <w:r w:rsidRPr="00E929F2">
        <w:rPr>
          <w:rFonts w:eastAsiaTheme="minorEastAsia"/>
          <w:color w:val="000000" w:themeColor="text1"/>
          <w:lang w:val="fr-FR"/>
        </w:rPr>
        <w:t>”</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(XX),</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 xml:space="preserve">redate </w:t>
      </w:r>
      <w:proofErr w:type="spellStart"/>
      <w:r w:rsidRPr="00E929F2">
        <w:rPr>
          <w:rFonts w:eastAsiaTheme="minorEastAsia"/>
          <w:color w:val="000000" w:themeColor="text1"/>
          <w:lang w:val="fr-FR"/>
        </w:rPr>
        <w:t>în</w:t>
      </w:r>
      <w:proofErr w:type="spellEnd"/>
      <w:r w:rsidRPr="00E929F2">
        <w:rPr>
          <w:rFonts w:eastAsiaTheme="minorEastAsia"/>
          <w:color w:val="000000" w:themeColor="text1"/>
          <w:lang w:val="fr-FR"/>
        </w:rPr>
        <w:t xml:space="preserve"> </w:t>
      </w:r>
      <w:proofErr w:type="spellStart"/>
      <w:r w:rsidRPr="00E929F2">
        <w:rPr>
          <w:rFonts w:eastAsiaTheme="minorEastAsia"/>
          <w:color w:val="000000" w:themeColor="text1"/>
          <w:lang w:val="fr-FR"/>
        </w:rPr>
        <w:t>tabelul</w:t>
      </w:r>
      <w:proofErr w:type="spellEnd"/>
      <w:r w:rsidRPr="00E929F2">
        <w:rPr>
          <w:rFonts w:eastAsiaTheme="minorEastAsia"/>
          <w:color w:val="000000" w:themeColor="text1"/>
          <w:spacing w:val="-1"/>
          <w:lang w:val="fr-FR"/>
        </w:rPr>
        <w:t xml:space="preserve"> </w:t>
      </w:r>
      <w:r w:rsidRPr="00E929F2">
        <w:rPr>
          <w:rFonts w:eastAsiaTheme="minorEastAsia"/>
          <w:color w:val="000000" w:themeColor="text1"/>
          <w:lang w:val="fr-FR"/>
        </w:rPr>
        <w:t>de</w:t>
      </w:r>
      <w:r w:rsidRPr="00E929F2">
        <w:rPr>
          <w:rFonts w:eastAsiaTheme="minorEastAsia"/>
          <w:color w:val="000000" w:themeColor="text1"/>
          <w:spacing w:val="1"/>
          <w:lang w:val="fr-FR"/>
        </w:rPr>
        <w:t xml:space="preserve"> </w:t>
      </w:r>
      <w:r w:rsidRPr="00E929F2">
        <w:rPr>
          <w:rFonts w:eastAsiaTheme="minorEastAsia"/>
          <w:color w:val="000000" w:themeColor="text1"/>
          <w:lang w:val="fr-FR"/>
        </w:rPr>
        <w:t xml:space="preserve">mai </w:t>
      </w:r>
      <w:proofErr w:type="spellStart"/>
      <w:r w:rsidRPr="00E929F2">
        <w:rPr>
          <w:rFonts w:eastAsiaTheme="minorEastAsia"/>
          <w:color w:val="000000" w:themeColor="text1"/>
          <w:lang w:val="fr-FR"/>
        </w:rPr>
        <w:t>jos</w:t>
      </w:r>
      <w:proofErr w:type="spellEnd"/>
      <w:r w:rsidRPr="00E929F2">
        <w:rPr>
          <w:rFonts w:eastAsiaTheme="minorEastAsia"/>
          <w:color w:val="000000" w:themeColor="text1"/>
          <w:lang w:val="fr-FR"/>
        </w:rPr>
        <w:t>:</w:t>
      </w:r>
    </w:p>
    <w:p w14:paraId="5E5B82F1" w14:textId="77777777" w:rsidR="00E929F2" w:rsidRPr="00E929F2" w:rsidRDefault="00E929F2" w:rsidP="00E929F2">
      <w:pPr>
        <w:widowControl w:val="0"/>
        <w:autoSpaceDE w:val="0"/>
        <w:autoSpaceDN w:val="0"/>
        <w:adjustRightInd w:val="0"/>
        <w:spacing w:before="8"/>
        <w:ind w:left="115"/>
        <w:jc w:val="both"/>
        <w:rPr>
          <w:rFonts w:eastAsiaTheme="minorEastAsia"/>
          <w:color w:val="000000" w:themeColor="text1"/>
          <w:lang w:val="fr-FR"/>
        </w:rPr>
      </w:pPr>
    </w:p>
    <w:tbl>
      <w:tblPr>
        <w:tblW w:w="0" w:type="auto"/>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15"/>
        <w:gridCol w:w="7775"/>
      </w:tblGrid>
      <w:tr w:rsidR="00E929F2" w:rsidRPr="00E929F2" w14:paraId="204B7DE0" w14:textId="77777777" w:rsidTr="0017673F">
        <w:trPr>
          <w:trHeight w:val="551"/>
        </w:trPr>
        <w:tc>
          <w:tcPr>
            <w:tcW w:w="1515" w:type="dxa"/>
            <w:shd w:val="clear" w:color="auto" w:fill="DBE4F0"/>
          </w:tcPr>
          <w:p w14:paraId="77BB532E" w14:textId="77777777" w:rsidR="00E929F2" w:rsidRPr="00E929F2" w:rsidRDefault="00E929F2" w:rsidP="00E929F2">
            <w:pPr>
              <w:widowControl w:val="0"/>
              <w:tabs>
                <w:tab w:val="left" w:pos="1458"/>
              </w:tabs>
              <w:autoSpaceDE w:val="0"/>
              <w:autoSpaceDN w:val="0"/>
              <w:spacing w:line="273" w:lineRule="exact"/>
              <w:ind w:left="108"/>
              <w:jc w:val="both"/>
              <w:rPr>
                <w:b/>
                <w:color w:val="000000" w:themeColor="text1"/>
              </w:rPr>
            </w:pPr>
            <w:r w:rsidRPr="00E929F2">
              <w:rPr>
                <w:b/>
                <w:color w:val="000000" w:themeColor="text1"/>
              </w:rPr>
              <w:t>Starea</w:t>
            </w:r>
            <w:r w:rsidRPr="00E929F2">
              <w:rPr>
                <w:b/>
                <w:color w:val="000000" w:themeColor="text1"/>
              </w:rPr>
              <w:tab/>
              <w:t>de</w:t>
            </w:r>
          </w:p>
          <w:p w14:paraId="687300AC" w14:textId="77777777" w:rsidR="00E929F2" w:rsidRPr="00E929F2" w:rsidRDefault="00E929F2" w:rsidP="00E929F2">
            <w:pPr>
              <w:widowControl w:val="0"/>
              <w:autoSpaceDE w:val="0"/>
              <w:autoSpaceDN w:val="0"/>
              <w:spacing w:line="259" w:lineRule="exact"/>
              <w:ind w:left="108"/>
              <w:jc w:val="both"/>
              <w:rPr>
                <w:b/>
                <w:color w:val="000000" w:themeColor="text1"/>
              </w:rPr>
            </w:pPr>
            <w:r w:rsidRPr="00E929F2">
              <w:rPr>
                <w:b/>
                <w:color w:val="000000" w:themeColor="text1"/>
              </w:rPr>
              <w:t>conservare</w:t>
            </w:r>
          </w:p>
        </w:tc>
        <w:tc>
          <w:tcPr>
            <w:tcW w:w="7775" w:type="dxa"/>
            <w:shd w:val="clear" w:color="auto" w:fill="DBE4F0"/>
          </w:tcPr>
          <w:p w14:paraId="1EEDB528" w14:textId="77777777" w:rsidR="00E929F2" w:rsidRPr="00E929F2" w:rsidRDefault="00E929F2" w:rsidP="00E929F2">
            <w:pPr>
              <w:widowControl w:val="0"/>
              <w:autoSpaceDE w:val="0"/>
              <w:autoSpaceDN w:val="0"/>
              <w:spacing w:before="135"/>
              <w:ind w:left="107"/>
              <w:jc w:val="both"/>
              <w:rPr>
                <w:b/>
                <w:color w:val="000000" w:themeColor="text1"/>
              </w:rPr>
            </w:pPr>
            <w:r w:rsidRPr="00E929F2">
              <w:rPr>
                <w:b/>
                <w:color w:val="000000" w:themeColor="text1"/>
              </w:rPr>
              <w:t>Criterii</w:t>
            </w:r>
            <w:r w:rsidRPr="00E929F2">
              <w:rPr>
                <w:b/>
                <w:color w:val="000000" w:themeColor="text1"/>
                <w:spacing w:val="-2"/>
              </w:rPr>
              <w:t xml:space="preserve"> </w:t>
            </w:r>
            <w:r w:rsidRPr="00E929F2">
              <w:rPr>
                <w:b/>
                <w:color w:val="000000" w:themeColor="text1"/>
              </w:rPr>
              <w:t>de</w:t>
            </w:r>
            <w:r w:rsidRPr="00E929F2">
              <w:rPr>
                <w:b/>
                <w:color w:val="000000" w:themeColor="text1"/>
                <w:spacing w:val="-2"/>
              </w:rPr>
              <w:t xml:space="preserve"> </w:t>
            </w:r>
            <w:r w:rsidRPr="00E929F2">
              <w:rPr>
                <w:b/>
                <w:color w:val="000000" w:themeColor="text1"/>
              </w:rPr>
              <w:t>evaluare</w:t>
            </w:r>
          </w:p>
        </w:tc>
      </w:tr>
      <w:tr w:rsidR="00E929F2" w:rsidRPr="00E929F2" w14:paraId="0EDAF76F" w14:textId="77777777" w:rsidTr="0017673F">
        <w:trPr>
          <w:trHeight w:val="8566"/>
        </w:trPr>
        <w:tc>
          <w:tcPr>
            <w:tcW w:w="1515" w:type="dxa"/>
          </w:tcPr>
          <w:p w14:paraId="0B28B2A6" w14:textId="77777777" w:rsidR="00E929F2" w:rsidRPr="00E929F2" w:rsidRDefault="00E929F2" w:rsidP="00E929F2">
            <w:pPr>
              <w:widowControl w:val="0"/>
              <w:autoSpaceDE w:val="0"/>
              <w:autoSpaceDN w:val="0"/>
              <w:jc w:val="both"/>
              <w:rPr>
                <w:color w:val="000000" w:themeColor="text1"/>
              </w:rPr>
            </w:pPr>
          </w:p>
          <w:p w14:paraId="335A4D97" w14:textId="77777777" w:rsidR="00E929F2" w:rsidRPr="00E929F2" w:rsidRDefault="00E929F2" w:rsidP="00E929F2">
            <w:pPr>
              <w:widowControl w:val="0"/>
              <w:autoSpaceDE w:val="0"/>
              <w:autoSpaceDN w:val="0"/>
              <w:jc w:val="both"/>
              <w:rPr>
                <w:color w:val="000000" w:themeColor="text1"/>
              </w:rPr>
            </w:pPr>
          </w:p>
          <w:p w14:paraId="2A5F780B" w14:textId="77777777" w:rsidR="00E929F2" w:rsidRPr="00E929F2" w:rsidRDefault="00E929F2" w:rsidP="00E929F2">
            <w:pPr>
              <w:widowControl w:val="0"/>
              <w:autoSpaceDE w:val="0"/>
              <w:autoSpaceDN w:val="0"/>
              <w:jc w:val="both"/>
              <w:rPr>
                <w:color w:val="000000" w:themeColor="text1"/>
              </w:rPr>
            </w:pPr>
          </w:p>
          <w:p w14:paraId="2B8CFDD6" w14:textId="77777777" w:rsidR="00E929F2" w:rsidRPr="00E929F2" w:rsidRDefault="00E929F2" w:rsidP="00E929F2">
            <w:pPr>
              <w:widowControl w:val="0"/>
              <w:autoSpaceDE w:val="0"/>
              <w:autoSpaceDN w:val="0"/>
              <w:jc w:val="both"/>
              <w:rPr>
                <w:color w:val="000000" w:themeColor="text1"/>
              </w:rPr>
            </w:pPr>
          </w:p>
          <w:p w14:paraId="5AF2CB4A" w14:textId="77777777" w:rsidR="00E929F2" w:rsidRPr="00E929F2" w:rsidRDefault="00E929F2" w:rsidP="00E929F2">
            <w:pPr>
              <w:widowControl w:val="0"/>
              <w:autoSpaceDE w:val="0"/>
              <w:autoSpaceDN w:val="0"/>
              <w:jc w:val="both"/>
              <w:rPr>
                <w:color w:val="000000" w:themeColor="text1"/>
              </w:rPr>
            </w:pPr>
          </w:p>
          <w:p w14:paraId="2F6DB9D7" w14:textId="77777777" w:rsidR="00E929F2" w:rsidRPr="00E929F2" w:rsidRDefault="00E929F2" w:rsidP="00E929F2">
            <w:pPr>
              <w:widowControl w:val="0"/>
              <w:autoSpaceDE w:val="0"/>
              <w:autoSpaceDN w:val="0"/>
              <w:jc w:val="both"/>
              <w:rPr>
                <w:color w:val="000000" w:themeColor="text1"/>
              </w:rPr>
            </w:pPr>
          </w:p>
          <w:p w14:paraId="1F7F2C6C" w14:textId="77777777" w:rsidR="00E929F2" w:rsidRPr="00E929F2" w:rsidRDefault="00E929F2" w:rsidP="00E929F2">
            <w:pPr>
              <w:widowControl w:val="0"/>
              <w:autoSpaceDE w:val="0"/>
              <w:autoSpaceDN w:val="0"/>
              <w:jc w:val="both"/>
              <w:rPr>
                <w:color w:val="000000" w:themeColor="text1"/>
              </w:rPr>
            </w:pPr>
          </w:p>
          <w:p w14:paraId="6CD7F15D" w14:textId="77777777" w:rsidR="00E929F2" w:rsidRPr="00E929F2" w:rsidRDefault="00E929F2" w:rsidP="00E929F2">
            <w:pPr>
              <w:widowControl w:val="0"/>
              <w:autoSpaceDE w:val="0"/>
              <w:autoSpaceDN w:val="0"/>
              <w:jc w:val="both"/>
              <w:rPr>
                <w:color w:val="000000" w:themeColor="text1"/>
              </w:rPr>
            </w:pPr>
          </w:p>
          <w:p w14:paraId="33537D97" w14:textId="77777777" w:rsidR="00E929F2" w:rsidRPr="00E929F2" w:rsidRDefault="00E929F2" w:rsidP="00E929F2">
            <w:pPr>
              <w:widowControl w:val="0"/>
              <w:autoSpaceDE w:val="0"/>
              <w:autoSpaceDN w:val="0"/>
              <w:jc w:val="both"/>
              <w:rPr>
                <w:color w:val="000000" w:themeColor="text1"/>
              </w:rPr>
            </w:pPr>
          </w:p>
          <w:p w14:paraId="2505C6A0" w14:textId="77777777" w:rsidR="00E929F2" w:rsidRPr="00E929F2" w:rsidRDefault="00E929F2" w:rsidP="00E929F2">
            <w:pPr>
              <w:widowControl w:val="0"/>
              <w:autoSpaceDE w:val="0"/>
              <w:autoSpaceDN w:val="0"/>
              <w:jc w:val="both"/>
              <w:rPr>
                <w:color w:val="000000" w:themeColor="text1"/>
              </w:rPr>
            </w:pPr>
          </w:p>
          <w:p w14:paraId="69A1A783" w14:textId="77777777" w:rsidR="00E929F2" w:rsidRPr="00E929F2" w:rsidRDefault="00E929F2" w:rsidP="00E929F2">
            <w:pPr>
              <w:widowControl w:val="0"/>
              <w:autoSpaceDE w:val="0"/>
              <w:autoSpaceDN w:val="0"/>
              <w:jc w:val="both"/>
              <w:rPr>
                <w:color w:val="000000" w:themeColor="text1"/>
              </w:rPr>
            </w:pPr>
          </w:p>
          <w:p w14:paraId="79A4400D" w14:textId="77777777" w:rsidR="00E929F2" w:rsidRPr="00E929F2" w:rsidRDefault="00E929F2" w:rsidP="00E929F2">
            <w:pPr>
              <w:widowControl w:val="0"/>
              <w:autoSpaceDE w:val="0"/>
              <w:autoSpaceDN w:val="0"/>
              <w:jc w:val="both"/>
              <w:rPr>
                <w:color w:val="000000" w:themeColor="text1"/>
              </w:rPr>
            </w:pPr>
          </w:p>
          <w:p w14:paraId="2D3A2F68" w14:textId="77777777" w:rsidR="00E929F2" w:rsidRPr="00E929F2" w:rsidRDefault="00E929F2" w:rsidP="00E929F2">
            <w:pPr>
              <w:widowControl w:val="0"/>
              <w:autoSpaceDE w:val="0"/>
              <w:autoSpaceDN w:val="0"/>
              <w:jc w:val="both"/>
              <w:rPr>
                <w:color w:val="000000" w:themeColor="text1"/>
              </w:rPr>
            </w:pPr>
          </w:p>
          <w:p w14:paraId="2C3965D9" w14:textId="77777777" w:rsidR="00E929F2" w:rsidRPr="00E929F2" w:rsidRDefault="00E929F2" w:rsidP="00E929F2">
            <w:pPr>
              <w:widowControl w:val="0"/>
              <w:autoSpaceDE w:val="0"/>
              <w:autoSpaceDN w:val="0"/>
              <w:spacing w:before="9"/>
              <w:jc w:val="both"/>
              <w:rPr>
                <w:color w:val="000000" w:themeColor="text1"/>
              </w:rPr>
            </w:pPr>
          </w:p>
          <w:p w14:paraId="31051119" w14:textId="77777777" w:rsidR="00E929F2" w:rsidRPr="00E929F2" w:rsidRDefault="00E929F2" w:rsidP="00E929F2">
            <w:pPr>
              <w:widowControl w:val="0"/>
              <w:autoSpaceDE w:val="0"/>
              <w:autoSpaceDN w:val="0"/>
              <w:ind w:left="108"/>
              <w:jc w:val="both"/>
              <w:rPr>
                <w:color w:val="000000" w:themeColor="text1"/>
              </w:rPr>
            </w:pPr>
            <w:r w:rsidRPr="00E929F2">
              <w:rPr>
                <w:color w:val="000000" w:themeColor="text1"/>
              </w:rPr>
              <w:t>Favorabil</w:t>
            </w:r>
            <w:r w:rsidRPr="00E929F2">
              <w:rPr>
                <w:color w:val="000000" w:themeColor="text1"/>
                <w:spacing w:val="-3"/>
              </w:rPr>
              <w:t xml:space="preserve"> </w:t>
            </w:r>
            <w:r w:rsidRPr="00E929F2">
              <w:rPr>
                <w:color w:val="000000" w:themeColor="text1"/>
              </w:rPr>
              <w:t>(FV)</w:t>
            </w:r>
          </w:p>
        </w:tc>
        <w:tc>
          <w:tcPr>
            <w:tcW w:w="7775" w:type="dxa"/>
          </w:tcPr>
          <w:p w14:paraId="2A6DA8B3" w14:textId="77777777" w:rsidR="00E929F2" w:rsidRPr="00E929F2" w:rsidRDefault="00E929F2" w:rsidP="00E929F2">
            <w:pPr>
              <w:widowControl w:val="0"/>
              <w:autoSpaceDE w:val="0"/>
              <w:autoSpaceDN w:val="0"/>
              <w:spacing w:line="268" w:lineRule="exact"/>
              <w:ind w:left="107"/>
              <w:jc w:val="both"/>
              <w:rPr>
                <w:color w:val="000000" w:themeColor="text1"/>
              </w:rPr>
            </w:pPr>
            <w:r w:rsidRPr="00E929F2">
              <w:rPr>
                <w:color w:val="000000" w:themeColor="text1"/>
              </w:rPr>
              <w:t>În</w:t>
            </w:r>
            <w:r w:rsidRPr="00E929F2">
              <w:rPr>
                <w:color w:val="000000" w:themeColor="text1"/>
                <w:spacing w:val="22"/>
              </w:rPr>
              <w:t xml:space="preserve"> </w:t>
            </w:r>
            <w:r w:rsidRPr="00E929F2">
              <w:rPr>
                <w:color w:val="000000" w:themeColor="text1"/>
              </w:rPr>
              <w:t>conformitate</w:t>
            </w:r>
            <w:r w:rsidRPr="00E929F2">
              <w:rPr>
                <w:color w:val="000000" w:themeColor="text1"/>
                <w:spacing w:val="21"/>
              </w:rPr>
              <w:t xml:space="preserve"> </w:t>
            </w:r>
            <w:r w:rsidRPr="00E929F2">
              <w:rPr>
                <w:color w:val="000000" w:themeColor="text1"/>
              </w:rPr>
              <w:t>cu</w:t>
            </w:r>
            <w:r w:rsidRPr="00E929F2">
              <w:rPr>
                <w:color w:val="000000" w:themeColor="text1"/>
                <w:spacing w:val="20"/>
              </w:rPr>
              <w:t xml:space="preserve"> </w:t>
            </w:r>
            <w:r w:rsidRPr="00E929F2">
              <w:rPr>
                <w:color w:val="000000" w:themeColor="text1"/>
              </w:rPr>
              <w:t>matricea</w:t>
            </w:r>
            <w:r w:rsidRPr="00E929F2">
              <w:rPr>
                <w:color w:val="000000" w:themeColor="text1"/>
                <w:spacing w:val="19"/>
              </w:rPr>
              <w:t xml:space="preserve"> </w:t>
            </w:r>
            <w:r w:rsidRPr="00E929F2">
              <w:rPr>
                <w:color w:val="000000" w:themeColor="text1"/>
              </w:rPr>
              <w:t>de</w:t>
            </w:r>
            <w:r w:rsidRPr="00E929F2">
              <w:rPr>
                <w:color w:val="000000" w:themeColor="text1"/>
                <w:spacing w:val="19"/>
              </w:rPr>
              <w:t xml:space="preserve"> </w:t>
            </w:r>
            <w:r w:rsidRPr="00E929F2">
              <w:rPr>
                <w:color w:val="000000" w:themeColor="text1"/>
              </w:rPr>
              <w:t>evaluare</w:t>
            </w:r>
            <w:r w:rsidRPr="00E929F2">
              <w:rPr>
                <w:color w:val="000000" w:themeColor="text1"/>
                <w:spacing w:val="21"/>
              </w:rPr>
              <w:t xml:space="preserve"> </w:t>
            </w:r>
            <w:r w:rsidRPr="00E929F2">
              <w:rPr>
                <w:color w:val="000000" w:themeColor="text1"/>
              </w:rPr>
              <w:t>(anexa</w:t>
            </w:r>
            <w:r w:rsidRPr="00E929F2">
              <w:rPr>
                <w:color w:val="000000" w:themeColor="text1"/>
                <w:spacing w:val="20"/>
              </w:rPr>
              <w:t xml:space="preserve"> </w:t>
            </w:r>
            <w:r w:rsidRPr="00E929F2">
              <w:rPr>
                <w:color w:val="000000" w:themeColor="text1"/>
              </w:rPr>
              <w:t>E),</w:t>
            </w:r>
            <w:r w:rsidRPr="00E929F2">
              <w:rPr>
                <w:color w:val="000000" w:themeColor="text1"/>
                <w:spacing w:val="20"/>
              </w:rPr>
              <w:t xml:space="preserve"> </w:t>
            </w:r>
            <w:r w:rsidRPr="00E929F2">
              <w:rPr>
                <w:color w:val="000000" w:themeColor="text1"/>
              </w:rPr>
              <w:t>starea</w:t>
            </w:r>
            <w:r w:rsidRPr="00E929F2">
              <w:rPr>
                <w:color w:val="000000" w:themeColor="text1"/>
                <w:spacing w:val="19"/>
              </w:rPr>
              <w:t xml:space="preserve"> </w:t>
            </w:r>
            <w:r w:rsidRPr="00E929F2">
              <w:rPr>
                <w:color w:val="000000" w:themeColor="text1"/>
              </w:rPr>
              <w:t>și</w:t>
            </w:r>
            <w:r w:rsidRPr="00E929F2">
              <w:rPr>
                <w:color w:val="000000" w:themeColor="text1"/>
                <w:spacing w:val="21"/>
              </w:rPr>
              <w:t xml:space="preserve"> </w:t>
            </w:r>
            <w:r w:rsidRPr="00E929F2">
              <w:rPr>
                <w:color w:val="000000" w:themeColor="text1"/>
              </w:rPr>
              <w:t>funcțiile</w:t>
            </w:r>
            <w:r w:rsidRPr="00E929F2">
              <w:rPr>
                <w:color w:val="000000" w:themeColor="text1"/>
                <w:spacing w:val="19"/>
              </w:rPr>
              <w:t xml:space="preserve"> </w:t>
            </w:r>
            <w:r w:rsidRPr="00E929F2">
              <w:rPr>
                <w:color w:val="000000" w:themeColor="text1"/>
              </w:rPr>
              <w:t>sunt</w:t>
            </w:r>
          </w:p>
          <w:p w14:paraId="4BEDB2D8" w14:textId="77777777" w:rsidR="00E929F2" w:rsidRPr="00E929F2" w:rsidRDefault="00E929F2" w:rsidP="00E929F2">
            <w:pPr>
              <w:widowControl w:val="0"/>
              <w:autoSpaceDE w:val="0"/>
              <w:autoSpaceDN w:val="0"/>
              <w:ind w:left="107"/>
              <w:jc w:val="both"/>
              <w:rPr>
                <w:color w:val="000000" w:themeColor="text1"/>
              </w:rPr>
            </w:pPr>
            <w:r w:rsidRPr="00E929F2">
              <w:rPr>
                <w:color w:val="000000" w:themeColor="text1"/>
              </w:rPr>
              <w:t>„favorabile”</w:t>
            </w:r>
            <w:r w:rsidRPr="00E929F2">
              <w:rPr>
                <w:color w:val="000000" w:themeColor="text1"/>
                <w:spacing w:val="-4"/>
              </w:rPr>
              <w:t xml:space="preserve"> </w:t>
            </w:r>
            <w:r w:rsidRPr="00E929F2">
              <w:rPr>
                <w:color w:val="000000" w:themeColor="text1"/>
              </w:rPr>
              <w:t>dacă:</w:t>
            </w:r>
          </w:p>
          <w:p w14:paraId="78F2DDCF" w14:textId="77777777" w:rsidR="00E929F2" w:rsidRPr="00E929F2" w:rsidRDefault="00E929F2" w:rsidP="009E63E5">
            <w:pPr>
              <w:widowControl w:val="0"/>
              <w:numPr>
                <w:ilvl w:val="0"/>
                <w:numId w:val="106"/>
              </w:numPr>
              <w:tabs>
                <w:tab w:val="left" w:pos="828"/>
                <w:tab w:val="left" w:pos="829"/>
              </w:tabs>
              <w:autoSpaceDE w:val="0"/>
              <w:autoSpaceDN w:val="0"/>
              <w:spacing w:line="287" w:lineRule="exact"/>
              <w:ind w:left="828" w:hanging="362"/>
              <w:jc w:val="both"/>
              <w:rPr>
                <w:color w:val="000000" w:themeColor="text1"/>
              </w:rPr>
            </w:pPr>
            <w:r w:rsidRPr="00E929F2">
              <w:rPr>
                <w:color w:val="000000" w:themeColor="text1"/>
              </w:rPr>
              <w:t>structura</w:t>
            </w:r>
            <w:r w:rsidRPr="00E929F2">
              <w:rPr>
                <w:color w:val="000000" w:themeColor="text1"/>
                <w:spacing w:val="-4"/>
              </w:rPr>
              <w:t xml:space="preserve"> </w:t>
            </w:r>
            <w:r w:rsidRPr="00E929F2">
              <w:rPr>
                <w:color w:val="000000" w:themeColor="text1"/>
              </w:rPr>
              <w:t>și</w:t>
            </w:r>
            <w:r w:rsidRPr="00E929F2">
              <w:rPr>
                <w:color w:val="000000" w:themeColor="text1"/>
                <w:spacing w:val="-3"/>
              </w:rPr>
              <w:t xml:space="preserve"> </w:t>
            </w:r>
            <w:r w:rsidRPr="00E929F2">
              <w:rPr>
                <w:color w:val="000000" w:themeColor="text1"/>
              </w:rPr>
              <w:t>funcțiile</w:t>
            </w:r>
            <w:r w:rsidRPr="00E929F2">
              <w:rPr>
                <w:color w:val="000000" w:themeColor="text1"/>
                <w:spacing w:val="-2"/>
              </w:rPr>
              <w:t xml:space="preserve"> </w:t>
            </w:r>
            <w:r w:rsidRPr="00E929F2">
              <w:rPr>
                <w:color w:val="000000" w:themeColor="text1"/>
              </w:rPr>
              <w:t>(inclusiv</w:t>
            </w:r>
            <w:r w:rsidRPr="00E929F2">
              <w:rPr>
                <w:color w:val="000000" w:themeColor="text1"/>
                <w:spacing w:val="-2"/>
              </w:rPr>
              <w:t xml:space="preserve"> </w:t>
            </w:r>
            <w:r w:rsidRPr="00E929F2">
              <w:rPr>
                <w:color w:val="000000" w:themeColor="text1"/>
              </w:rPr>
              <w:t>speciile</w:t>
            </w:r>
            <w:r w:rsidRPr="00E929F2">
              <w:rPr>
                <w:color w:val="000000" w:themeColor="text1"/>
                <w:spacing w:val="-1"/>
              </w:rPr>
              <w:t xml:space="preserve"> </w:t>
            </w:r>
            <w:r w:rsidRPr="00E929F2">
              <w:rPr>
                <w:color w:val="000000" w:themeColor="text1"/>
              </w:rPr>
              <w:t>tipice)</w:t>
            </w:r>
            <w:r w:rsidRPr="00E929F2">
              <w:rPr>
                <w:color w:val="000000" w:themeColor="text1"/>
                <w:spacing w:val="-2"/>
              </w:rPr>
              <w:t xml:space="preserve"> </w:t>
            </w:r>
            <w:r w:rsidRPr="00E929F2">
              <w:rPr>
                <w:color w:val="000000" w:themeColor="text1"/>
              </w:rPr>
              <w:t>sunt</w:t>
            </w:r>
            <w:r w:rsidRPr="00E929F2">
              <w:rPr>
                <w:color w:val="000000" w:themeColor="text1"/>
                <w:spacing w:val="-3"/>
              </w:rPr>
              <w:t xml:space="preserve"> </w:t>
            </w:r>
            <w:r w:rsidRPr="00E929F2">
              <w:rPr>
                <w:color w:val="000000" w:themeColor="text1"/>
              </w:rPr>
              <w:t>în</w:t>
            </w:r>
            <w:r w:rsidRPr="00E929F2">
              <w:rPr>
                <w:color w:val="000000" w:themeColor="text1"/>
                <w:spacing w:val="-1"/>
              </w:rPr>
              <w:t xml:space="preserve"> </w:t>
            </w:r>
            <w:r w:rsidRPr="00E929F2">
              <w:rPr>
                <w:color w:val="000000" w:themeColor="text1"/>
              </w:rPr>
              <w:t>stare</w:t>
            </w:r>
            <w:r w:rsidRPr="00E929F2">
              <w:rPr>
                <w:color w:val="000000" w:themeColor="text1"/>
                <w:spacing w:val="-3"/>
              </w:rPr>
              <w:t xml:space="preserve"> </w:t>
            </w:r>
            <w:r w:rsidRPr="00E929F2">
              <w:rPr>
                <w:color w:val="000000" w:themeColor="text1"/>
              </w:rPr>
              <w:t>bună;</w:t>
            </w:r>
            <w:r w:rsidRPr="00E929F2">
              <w:rPr>
                <w:color w:val="000000" w:themeColor="text1"/>
                <w:spacing w:val="-1"/>
              </w:rPr>
              <w:t xml:space="preserve"> </w:t>
            </w:r>
            <w:r w:rsidRPr="00E929F2">
              <w:rPr>
                <w:color w:val="000000" w:themeColor="text1"/>
              </w:rPr>
              <w:t>și</w:t>
            </w:r>
          </w:p>
          <w:p w14:paraId="18344A22" w14:textId="77777777" w:rsidR="00E929F2" w:rsidRPr="00E929F2" w:rsidRDefault="00E929F2" w:rsidP="009E63E5">
            <w:pPr>
              <w:widowControl w:val="0"/>
              <w:numPr>
                <w:ilvl w:val="0"/>
                <w:numId w:val="106"/>
              </w:numPr>
              <w:tabs>
                <w:tab w:val="left" w:pos="828"/>
                <w:tab w:val="left" w:pos="829"/>
              </w:tabs>
              <w:autoSpaceDE w:val="0"/>
              <w:autoSpaceDN w:val="0"/>
              <w:spacing w:before="3" w:line="230" w:lineRule="auto"/>
              <w:ind w:right="2131" w:firstLine="360"/>
              <w:jc w:val="both"/>
              <w:rPr>
                <w:color w:val="000000" w:themeColor="text1"/>
              </w:rPr>
            </w:pPr>
            <w:r w:rsidRPr="00E929F2">
              <w:rPr>
                <w:color w:val="000000" w:themeColor="text1"/>
              </w:rPr>
              <w:t>și</w:t>
            </w:r>
            <w:r w:rsidRPr="00E929F2">
              <w:rPr>
                <w:color w:val="000000" w:themeColor="text1"/>
                <w:spacing w:val="-4"/>
              </w:rPr>
              <w:t xml:space="preserve"> </w:t>
            </w:r>
            <w:r w:rsidRPr="00E929F2">
              <w:rPr>
                <w:color w:val="000000" w:themeColor="text1"/>
              </w:rPr>
              <w:t>nu</w:t>
            </w:r>
            <w:r w:rsidRPr="00E929F2">
              <w:rPr>
                <w:color w:val="000000" w:themeColor="text1"/>
                <w:spacing w:val="-3"/>
              </w:rPr>
              <w:t xml:space="preserve"> </w:t>
            </w:r>
            <w:r w:rsidRPr="00E929F2">
              <w:rPr>
                <w:color w:val="000000" w:themeColor="text1"/>
              </w:rPr>
              <w:t>există</w:t>
            </w:r>
            <w:r w:rsidRPr="00E929F2">
              <w:rPr>
                <w:color w:val="000000" w:themeColor="text1"/>
                <w:spacing w:val="-3"/>
              </w:rPr>
              <w:t xml:space="preserve"> </w:t>
            </w:r>
            <w:r w:rsidRPr="00E929F2">
              <w:rPr>
                <w:color w:val="000000" w:themeColor="text1"/>
              </w:rPr>
              <w:t>deteriorări</w:t>
            </w:r>
            <w:r w:rsidRPr="00E929F2">
              <w:rPr>
                <w:color w:val="000000" w:themeColor="text1"/>
                <w:spacing w:val="-4"/>
              </w:rPr>
              <w:t xml:space="preserve"> </w:t>
            </w:r>
            <w:r w:rsidRPr="00E929F2">
              <w:rPr>
                <w:color w:val="000000" w:themeColor="text1"/>
              </w:rPr>
              <w:t>/</w:t>
            </w:r>
            <w:r w:rsidRPr="00E929F2">
              <w:rPr>
                <w:color w:val="000000" w:themeColor="text1"/>
                <w:spacing w:val="-3"/>
              </w:rPr>
              <w:t xml:space="preserve"> </w:t>
            </w:r>
            <w:r w:rsidRPr="00E929F2">
              <w:rPr>
                <w:color w:val="000000" w:themeColor="text1"/>
              </w:rPr>
              <w:t>presiuni</w:t>
            </w:r>
            <w:r w:rsidRPr="00E929F2">
              <w:rPr>
                <w:color w:val="000000" w:themeColor="text1"/>
                <w:spacing w:val="-3"/>
              </w:rPr>
              <w:t xml:space="preserve"> </w:t>
            </w:r>
            <w:r w:rsidRPr="00E929F2">
              <w:rPr>
                <w:color w:val="000000" w:themeColor="text1"/>
              </w:rPr>
              <w:t>semnificative.</w:t>
            </w:r>
            <w:r w:rsidRPr="00E929F2">
              <w:rPr>
                <w:color w:val="000000" w:themeColor="text1"/>
                <w:spacing w:val="-57"/>
              </w:rPr>
              <w:t xml:space="preserve"> </w:t>
            </w:r>
            <w:r w:rsidRPr="00E929F2">
              <w:rPr>
                <w:color w:val="000000" w:themeColor="text1"/>
              </w:rPr>
              <w:t>Informațiisuplimentare:</w:t>
            </w:r>
          </w:p>
          <w:p w14:paraId="290CBE9D" w14:textId="77777777" w:rsidR="00E929F2" w:rsidRPr="00E929F2" w:rsidRDefault="00E929F2" w:rsidP="009E63E5">
            <w:pPr>
              <w:widowControl w:val="0"/>
              <w:numPr>
                <w:ilvl w:val="0"/>
                <w:numId w:val="105"/>
              </w:numPr>
              <w:tabs>
                <w:tab w:val="left" w:pos="829"/>
              </w:tabs>
              <w:autoSpaceDE w:val="0"/>
              <w:autoSpaceDN w:val="0"/>
              <w:spacing w:before="1"/>
              <w:ind w:right="96"/>
              <w:jc w:val="both"/>
              <w:rPr>
                <w:color w:val="000000" w:themeColor="text1"/>
              </w:rPr>
            </w:pPr>
            <w:r w:rsidRPr="00E929F2">
              <w:rPr>
                <w:color w:val="000000" w:themeColor="text1"/>
              </w:rPr>
              <w:t>Matricea</w:t>
            </w:r>
            <w:r w:rsidRPr="00E929F2">
              <w:rPr>
                <w:color w:val="000000" w:themeColor="text1"/>
                <w:spacing w:val="1"/>
              </w:rPr>
              <w:t xml:space="preserve"> </w:t>
            </w:r>
            <w:r w:rsidRPr="00E929F2">
              <w:rPr>
                <w:color w:val="000000" w:themeColor="text1"/>
              </w:rPr>
              <w:t>de</w:t>
            </w:r>
            <w:r w:rsidRPr="00E929F2">
              <w:rPr>
                <w:color w:val="000000" w:themeColor="text1"/>
                <w:spacing w:val="1"/>
              </w:rPr>
              <w:t xml:space="preserve"> </w:t>
            </w:r>
            <w:r w:rsidRPr="00E929F2">
              <w:rPr>
                <w:color w:val="000000" w:themeColor="text1"/>
              </w:rPr>
              <w:t>evaluare</w:t>
            </w:r>
            <w:r w:rsidRPr="00E929F2">
              <w:rPr>
                <w:color w:val="000000" w:themeColor="text1"/>
                <w:spacing w:val="1"/>
              </w:rPr>
              <w:t xml:space="preserve"> </w:t>
            </w:r>
            <w:r w:rsidRPr="00E929F2">
              <w:rPr>
                <w:color w:val="000000" w:themeColor="text1"/>
              </w:rPr>
              <w:t>afirmă</w:t>
            </w:r>
            <w:r w:rsidRPr="00E929F2">
              <w:rPr>
                <w:color w:val="000000" w:themeColor="text1"/>
                <w:spacing w:val="1"/>
              </w:rPr>
              <w:t xml:space="preserve"> </w:t>
            </w:r>
            <w:r w:rsidRPr="00E929F2">
              <w:rPr>
                <w:color w:val="000000" w:themeColor="text1"/>
              </w:rPr>
              <w:t>că,</w:t>
            </w:r>
            <w:r w:rsidRPr="00E929F2">
              <w:rPr>
                <w:color w:val="000000" w:themeColor="text1"/>
                <w:spacing w:val="1"/>
              </w:rPr>
              <w:t xml:space="preserve"> </w:t>
            </w:r>
            <w:r w:rsidRPr="00E929F2">
              <w:rPr>
                <w:color w:val="000000" w:themeColor="text1"/>
              </w:rPr>
              <w:t>dacă</w:t>
            </w:r>
            <w:r w:rsidRPr="00E929F2">
              <w:rPr>
                <w:color w:val="000000" w:themeColor="text1"/>
                <w:spacing w:val="1"/>
              </w:rPr>
              <w:t xml:space="preserve"> </w:t>
            </w:r>
            <w:r w:rsidRPr="00E929F2">
              <w:rPr>
                <w:color w:val="000000" w:themeColor="text1"/>
              </w:rPr>
              <w:t>mai</w:t>
            </w:r>
            <w:r w:rsidRPr="00E929F2">
              <w:rPr>
                <w:color w:val="000000" w:themeColor="text1"/>
                <w:spacing w:val="1"/>
              </w:rPr>
              <w:t xml:space="preserve"> </w:t>
            </w:r>
            <w:r w:rsidRPr="00E929F2">
              <w:rPr>
                <w:color w:val="000000" w:themeColor="text1"/>
              </w:rPr>
              <w:t>mult</w:t>
            </w:r>
            <w:r w:rsidRPr="00E929F2">
              <w:rPr>
                <w:color w:val="000000" w:themeColor="text1"/>
                <w:spacing w:val="1"/>
              </w:rPr>
              <w:t xml:space="preserve"> </w:t>
            </w:r>
            <w:r w:rsidRPr="00E929F2">
              <w:rPr>
                <w:color w:val="000000" w:themeColor="text1"/>
              </w:rPr>
              <w:t>de</w:t>
            </w:r>
            <w:r w:rsidRPr="00E929F2">
              <w:rPr>
                <w:color w:val="000000" w:themeColor="text1"/>
                <w:spacing w:val="60"/>
              </w:rPr>
              <w:t xml:space="preserve"> </w:t>
            </w:r>
            <w:r w:rsidRPr="00E929F2">
              <w:rPr>
                <w:color w:val="000000" w:themeColor="text1"/>
              </w:rPr>
              <w:t>25%</w:t>
            </w:r>
            <w:r w:rsidRPr="00E929F2">
              <w:rPr>
                <w:color w:val="000000" w:themeColor="text1"/>
                <w:spacing w:val="60"/>
              </w:rPr>
              <w:t xml:space="preserve"> </w:t>
            </w:r>
            <w:r w:rsidRPr="00E929F2">
              <w:rPr>
                <w:color w:val="000000" w:themeColor="text1"/>
              </w:rPr>
              <w:t>din</w:t>
            </w:r>
            <w:r w:rsidRPr="00E929F2">
              <w:rPr>
                <w:color w:val="000000" w:themeColor="text1"/>
                <w:spacing w:val="1"/>
              </w:rPr>
              <w:t xml:space="preserve"> </w:t>
            </w:r>
            <w:r w:rsidRPr="00E929F2">
              <w:rPr>
                <w:color w:val="000000" w:themeColor="text1"/>
              </w:rPr>
              <w:t>suprafața</w:t>
            </w:r>
            <w:r w:rsidRPr="00E929F2">
              <w:rPr>
                <w:color w:val="000000" w:themeColor="text1"/>
                <w:spacing w:val="18"/>
              </w:rPr>
              <w:t xml:space="preserve"> </w:t>
            </w:r>
            <w:r w:rsidRPr="00E929F2">
              <w:rPr>
                <w:color w:val="000000" w:themeColor="text1"/>
              </w:rPr>
              <w:t>de</w:t>
            </w:r>
            <w:r w:rsidRPr="00E929F2">
              <w:rPr>
                <w:color w:val="000000" w:themeColor="text1"/>
                <w:spacing w:val="18"/>
              </w:rPr>
              <w:t xml:space="preserve"> </w:t>
            </w:r>
            <w:r w:rsidRPr="00E929F2">
              <w:rPr>
                <w:color w:val="000000" w:themeColor="text1"/>
              </w:rPr>
              <w:t>tip</w:t>
            </w:r>
            <w:r w:rsidRPr="00E929F2">
              <w:rPr>
                <w:color w:val="000000" w:themeColor="text1"/>
                <w:spacing w:val="19"/>
              </w:rPr>
              <w:t xml:space="preserve"> </w:t>
            </w:r>
            <w:r w:rsidRPr="00E929F2">
              <w:rPr>
                <w:color w:val="000000" w:themeColor="text1"/>
              </w:rPr>
              <w:t>habitat</w:t>
            </w:r>
            <w:r w:rsidRPr="00E929F2">
              <w:rPr>
                <w:color w:val="000000" w:themeColor="text1"/>
                <w:spacing w:val="22"/>
              </w:rPr>
              <w:t xml:space="preserve"> </w:t>
            </w:r>
            <w:r w:rsidRPr="00E929F2">
              <w:rPr>
                <w:color w:val="000000" w:themeColor="text1"/>
              </w:rPr>
              <w:t>din</w:t>
            </w:r>
            <w:r w:rsidRPr="00E929F2">
              <w:rPr>
                <w:color w:val="000000" w:themeColor="text1"/>
                <w:spacing w:val="19"/>
              </w:rPr>
              <w:t xml:space="preserve"> </w:t>
            </w:r>
            <w:r w:rsidRPr="00E929F2">
              <w:rPr>
                <w:color w:val="000000" w:themeColor="text1"/>
              </w:rPr>
              <w:t>regiunea</w:t>
            </w:r>
            <w:r w:rsidRPr="00E929F2">
              <w:rPr>
                <w:color w:val="000000" w:themeColor="text1"/>
                <w:spacing w:val="18"/>
              </w:rPr>
              <w:t xml:space="preserve"> </w:t>
            </w:r>
            <w:r w:rsidRPr="00E929F2">
              <w:rPr>
                <w:color w:val="000000" w:themeColor="text1"/>
              </w:rPr>
              <w:t>evaluată</w:t>
            </w:r>
            <w:r w:rsidRPr="00E929F2">
              <w:rPr>
                <w:color w:val="000000" w:themeColor="text1"/>
                <w:spacing w:val="20"/>
              </w:rPr>
              <w:t xml:space="preserve"> </w:t>
            </w:r>
            <w:r w:rsidRPr="00E929F2">
              <w:rPr>
                <w:color w:val="000000" w:themeColor="text1"/>
              </w:rPr>
              <w:t>este</w:t>
            </w:r>
            <w:r w:rsidRPr="00E929F2">
              <w:rPr>
                <w:color w:val="000000" w:themeColor="text1"/>
                <w:spacing w:val="19"/>
              </w:rPr>
              <w:t xml:space="preserve"> </w:t>
            </w:r>
            <w:r w:rsidRPr="00E929F2">
              <w:rPr>
                <w:color w:val="000000" w:themeColor="text1"/>
              </w:rPr>
              <w:t>considerată</w:t>
            </w:r>
          </w:p>
          <w:p w14:paraId="68F952B7" w14:textId="77777777" w:rsidR="00E929F2" w:rsidRPr="00E929F2" w:rsidRDefault="00E929F2" w:rsidP="00E929F2">
            <w:pPr>
              <w:widowControl w:val="0"/>
              <w:autoSpaceDE w:val="0"/>
              <w:autoSpaceDN w:val="0"/>
              <w:spacing w:before="1"/>
              <w:ind w:left="828" w:right="96"/>
              <w:jc w:val="both"/>
              <w:rPr>
                <w:color w:val="000000" w:themeColor="text1"/>
              </w:rPr>
            </w:pPr>
            <w:r w:rsidRPr="00E929F2">
              <w:rPr>
                <w:color w:val="000000" w:themeColor="text1"/>
              </w:rPr>
              <w:t>„defavorabilă”</w:t>
            </w:r>
            <w:r w:rsidRPr="00E929F2">
              <w:rPr>
                <w:color w:val="000000" w:themeColor="text1"/>
                <w:spacing w:val="1"/>
              </w:rPr>
              <w:t xml:space="preserve"> </w:t>
            </w:r>
            <w:r w:rsidRPr="00E929F2">
              <w:rPr>
                <w:color w:val="000000" w:themeColor="text1"/>
              </w:rPr>
              <w:t>(adică</w:t>
            </w:r>
            <w:r w:rsidRPr="00E929F2">
              <w:rPr>
                <w:color w:val="000000" w:themeColor="text1"/>
                <w:spacing w:val="1"/>
              </w:rPr>
              <w:t xml:space="preserve"> </w:t>
            </w:r>
            <w:r w:rsidRPr="00E929F2">
              <w:rPr>
                <w:color w:val="000000" w:themeColor="text1"/>
              </w:rPr>
              <w:t>nu</w:t>
            </w:r>
            <w:r w:rsidRPr="00E929F2">
              <w:rPr>
                <w:color w:val="000000" w:themeColor="text1"/>
                <w:spacing w:val="1"/>
              </w:rPr>
              <w:t xml:space="preserve"> </w:t>
            </w:r>
            <w:r w:rsidRPr="00E929F2">
              <w:rPr>
                <w:color w:val="000000" w:themeColor="text1"/>
              </w:rPr>
              <w:t>este</w:t>
            </w:r>
            <w:r w:rsidRPr="00E929F2">
              <w:rPr>
                <w:color w:val="000000" w:themeColor="text1"/>
                <w:spacing w:val="1"/>
              </w:rPr>
              <w:t xml:space="preserve"> </w:t>
            </w:r>
            <w:r w:rsidRPr="00E929F2">
              <w:rPr>
                <w:color w:val="000000" w:themeColor="text1"/>
              </w:rPr>
              <w:t>în</w:t>
            </w:r>
            <w:r w:rsidRPr="00E929F2">
              <w:rPr>
                <w:color w:val="000000" w:themeColor="text1"/>
                <w:spacing w:val="1"/>
              </w:rPr>
              <w:t xml:space="preserve"> </w:t>
            </w:r>
            <w:r w:rsidRPr="00E929F2">
              <w:rPr>
                <w:color w:val="000000" w:themeColor="text1"/>
              </w:rPr>
              <w:t>stare</w:t>
            </w:r>
            <w:r w:rsidRPr="00E929F2">
              <w:rPr>
                <w:color w:val="000000" w:themeColor="text1"/>
                <w:spacing w:val="1"/>
              </w:rPr>
              <w:t xml:space="preserve"> </w:t>
            </w:r>
            <w:r w:rsidRPr="00E929F2">
              <w:rPr>
                <w:color w:val="000000" w:themeColor="text1"/>
              </w:rPr>
              <w:t>bună),</w:t>
            </w:r>
            <w:r w:rsidRPr="00E929F2">
              <w:rPr>
                <w:color w:val="000000" w:themeColor="text1"/>
                <w:spacing w:val="1"/>
              </w:rPr>
              <w:t xml:space="preserve"> </w:t>
            </w:r>
            <w:r w:rsidRPr="00E929F2">
              <w:rPr>
                <w:color w:val="000000" w:themeColor="text1"/>
              </w:rPr>
              <w:t>atunci</w:t>
            </w:r>
            <w:r w:rsidRPr="00E929F2">
              <w:rPr>
                <w:color w:val="000000" w:themeColor="text1"/>
                <w:spacing w:val="1"/>
              </w:rPr>
              <w:t xml:space="preserve"> </w:t>
            </w:r>
            <w:r w:rsidRPr="00E929F2">
              <w:rPr>
                <w:color w:val="000000" w:themeColor="text1"/>
              </w:rPr>
              <w:t>statutul</w:t>
            </w:r>
            <w:r w:rsidRPr="00E929F2">
              <w:rPr>
                <w:color w:val="000000" w:themeColor="text1"/>
                <w:spacing w:val="1"/>
              </w:rPr>
              <w:t xml:space="preserve"> </w:t>
            </w:r>
            <w:r w:rsidRPr="00E929F2">
              <w:rPr>
                <w:color w:val="000000" w:themeColor="text1"/>
              </w:rPr>
              <w:t>și</w:t>
            </w:r>
            <w:r w:rsidRPr="00E929F2">
              <w:rPr>
                <w:color w:val="000000" w:themeColor="text1"/>
                <w:spacing w:val="1"/>
              </w:rPr>
              <w:t xml:space="preserve"> </w:t>
            </w:r>
            <w:r w:rsidRPr="00E929F2">
              <w:rPr>
                <w:color w:val="000000" w:themeColor="text1"/>
              </w:rPr>
              <w:t>funcțiile sunt „nefavorabile-rele”. Cu toate acestea, nu oferă criterii</w:t>
            </w:r>
            <w:r w:rsidRPr="00E929F2">
              <w:rPr>
                <w:color w:val="000000" w:themeColor="text1"/>
                <w:spacing w:val="1"/>
              </w:rPr>
              <w:t xml:space="preserve"> </w:t>
            </w:r>
            <w:r w:rsidRPr="00E929F2">
              <w:rPr>
                <w:color w:val="000000" w:themeColor="text1"/>
              </w:rPr>
              <w:t>numerice</w:t>
            </w:r>
            <w:r w:rsidRPr="00E929F2">
              <w:rPr>
                <w:color w:val="000000" w:themeColor="text1"/>
                <w:spacing w:val="1"/>
              </w:rPr>
              <w:t xml:space="preserve"> </w:t>
            </w:r>
            <w:r w:rsidRPr="00E929F2">
              <w:rPr>
                <w:color w:val="000000" w:themeColor="text1"/>
              </w:rPr>
              <w:t>pentru</w:t>
            </w:r>
            <w:r w:rsidRPr="00E929F2">
              <w:rPr>
                <w:color w:val="000000" w:themeColor="text1"/>
                <w:spacing w:val="1"/>
              </w:rPr>
              <w:t xml:space="preserve"> </w:t>
            </w:r>
            <w:r w:rsidRPr="00E929F2">
              <w:rPr>
                <w:color w:val="000000" w:themeColor="text1"/>
              </w:rPr>
              <w:t>„favorabile”</w:t>
            </w:r>
            <w:r w:rsidRPr="00E929F2">
              <w:rPr>
                <w:color w:val="000000" w:themeColor="text1"/>
                <w:spacing w:val="1"/>
              </w:rPr>
              <w:t xml:space="preserve"> </w:t>
            </w:r>
            <w:r w:rsidRPr="00E929F2">
              <w:rPr>
                <w:color w:val="000000" w:themeColor="text1"/>
              </w:rPr>
              <w:t>sau</w:t>
            </w:r>
            <w:r w:rsidRPr="00E929F2">
              <w:rPr>
                <w:color w:val="000000" w:themeColor="text1"/>
                <w:spacing w:val="1"/>
              </w:rPr>
              <w:t xml:space="preserve"> </w:t>
            </w:r>
            <w:r w:rsidRPr="00E929F2">
              <w:rPr>
                <w:color w:val="000000" w:themeColor="text1"/>
              </w:rPr>
              <w:t>„nefavorabile-inadecvate”.</w:t>
            </w:r>
            <w:r w:rsidRPr="00E929F2">
              <w:rPr>
                <w:color w:val="000000" w:themeColor="text1"/>
                <w:spacing w:val="60"/>
              </w:rPr>
              <w:t xml:space="preserve"> </w:t>
            </w:r>
            <w:r w:rsidRPr="00E929F2">
              <w:rPr>
                <w:color w:val="000000" w:themeColor="text1"/>
              </w:rPr>
              <w:t>Se</w:t>
            </w:r>
            <w:r w:rsidRPr="00E929F2">
              <w:rPr>
                <w:color w:val="000000" w:themeColor="text1"/>
                <w:spacing w:val="1"/>
              </w:rPr>
              <w:t xml:space="preserve"> </w:t>
            </w:r>
            <w:r w:rsidRPr="00E929F2">
              <w:rPr>
                <w:color w:val="000000" w:themeColor="text1"/>
              </w:rPr>
              <w:t>pare că, în rapoartele anterioare, statele membre au utilizat praguri</w:t>
            </w:r>
            <w:r w:rsidRPr="00E929F2">
              <w:rPr>
                <w:color w:val="000000" w:themeColor="text1"/>
                <w:spacing w:val="1"/>
              </w:rPr>
              <w:t xml:space="preserve"> </w:t>
            </w:r>
            <w:r w:rsidRPr="00E929F2">
              <w:rPr>
                <w:color w:val="000000" w:themeColor="text1"/>
              </w:rPr>
              <w:t>foarte</w:t>
            </w:r>
            <w:r w:rsidRPr="00E929F2">
              <w:rPr>
                <w:color w:val="000000" w:themeColor="text1"/>
                <w:spacing w:val="20"/>
              </w:rPr>
              <w:t xml:space="preserve"> </w:t>
            </w:r>
            <w:r w:rsidRPr="00E929F2">
              <w:rPr>
                <w:color w:val="000000" w:themeColor="text1"/>
              </w:rPr>
              <w:t>diferite</w:t>
            </w:r>
            <w:r w:rsidRPr="00E929F2">
              <w:rPr>
                <w:color w:val="000000" w:themeColor="text1"/>
                <w:spacing w:val="24"/>
              </w:rPr>
              <w:t xml:space="preserve"> </w:t>
            </w:r>
            <w:r w:rsidRPr="00E929F2">
              <w:rPr>
                <w:color w:val="000000" w:themeColor="text1"/>
              </w:rPr>
              <w:t>ale</w:t>
            </w:r>
            <w:r w:rsidRPr="00E929F2">
              <w:rPr>
                <w:color w:val="000000" w:themeColor="text1"/>
                <w:spacing w:val="22"/>
              </w:rPr>
              <w:t xml:space="preserve"> </w:t>
            </w:r>
            <w:r w:rsidRPr="00E929F2">
              <w:rPr>
                <w:color w:val="000000" w:themeColor="text1"/>
              </w:rPr>
              <w:t>proporției</w:t>
            </w:r>
            <w:r w:rsidRPr="00E929F2">
              <w:rPr>
                <w:color w:val="000000" w:themeColor="text1"/>
                <w:spacing w:val="23"/>
              </w:rPr>
              <w:t xml:space="preserve"> </w:t>
            </w:r>
            <w:r w:rsidRPr="00E929F2">
              <w:rPr>
                <w:color w:val="000000" w:themeColor="text1"/>
              </w:rPr>
              <w:t>de</w:t>
            </w:r>
            <w:r w:rsidRPr="00E929F2">
              <w:rPr>
                <w:color w:val="000000" w:themeColor="text1"/>
                <w:spacing w:val="21"/>
              </w:rPr>
              <w:t xml:space="preserve"> </w:t>
            </w:r>
            <w:r w:rsidRPr="00E929F2">
              <w:rPr>
                <w:color w:val="000000" w:themeColor="text1"/>
              </w:rPr>
              <w:t>suprafață</w:t>
            </w:r>
            <w:r w:rsidRPr="00E929F2">
              <w:rPr>
                <w:color w:val="000000" w:themeColor="text1"/>
                <w:spacing w:val="24"/>
              </w:rPr>
              <w:t xml:space="preserve"> </w:t>
            </w:r>
            <w:r w:rsidRPr="00E929F2">
              <w:rPr>
                <w:color w:val="000000" w:themeColor="text1"/>
              </w:rPr>
              <w:t>a</w:t>
            </w:r>
            <w:r w:rsidRPr="00E929F2">
              <w:rPr>
                <w:color w:val="000000" w:themeColor="text1"/>
                <w:spacing w:val="21"/>
              </w:rPr>
              <w:t xml:space="preserve"> </w:t>
            </w:r>
            <w:r w:rsidRPr="00E929F2">
              <w:rPr>
                <w:color w:val="000000" w:themeColor="text1"/>
              </w:rPr>
              <w:t>habitatului</w:t>
            </w:r>
            <w:r w:rsidRPr="00E929F2">
              <w:rPr>
                <w:color w:val="000000" w:themeColor="text1"/>
                <w:spacing w:val="23"/>
              </w:rPr>
              <w:t xml:space="preserve"> </w:t>
            </w:r>
            <w:r w:rsidRPr="00E929F2">
              <w:rPr>
                <w:color w:val="000000" w:themeColor="text1"/>
              </w:rPr>
              <w:t>care</w:t>
            </w:r>
            <w:r w:rsidRPr="00E929F2">
              <w:rPr>
                <w:color w:val="000000" w:themeColor="text1"/>
                <w:spacing w:val="21"/>
              </w:rPr>
              <w:t xml:space="preserve"> </w:t>
            </w:r>
            <w:r w:rsidRPr="00E929F2">
              <w:rPr>
                <w:color w:val="000000" w:themeColor="text1"/>
              </w:rPr>
              <w:t>trebuie</w:t>
            </w:r>
            <w:r w:rsidRPr="00E929F2">
              <w:rPr>
                <w:color w:val="000000" w:themeColor="text1"/>
                <w:spacing w:val="-58"/>
              </w:rPr>
              <w:t xml:space="preserve"> </w:t>
            </w:r>
            <w:r w:rsidRPr="00E929F2">
              <w:rPr>
                <w:color w:val="000000" w:themeColor="text1"/>
              </w:rPr>
              <w:t>să</w:t>
            </w:r>
            <w:r w:rsidRPr="00E929F2">
              <w:rPr>
                <w:color w:val="000000" w:themeColor="text1"/>
                <w:spacing w:val="1"/>
              </w:rPr>
              <w:t xml:space="preserve"> </w:t>
            </w:r>
            <w:r w:rsidRPr="00E929F2">
              <w:rPr>
                <w:color w:val="000000" w:themeColor="text1"/>
              </w:rPr>
              <w:t>fie</w:t>
            </w:r>
            <w:r w:rsidRPr="00E929F2">
              <w:rPr>
                <w:color w:val="000000" w:themeColor="text1"/>
                <w:spacing w:val="1"/>
              </w:rPr>
              <w:t xml:space="preserve"> </w:t>
            </w:r>
            <w:r w:rsidRPr="00E929F2">
              <w:rPr>
                <w:color w:val="000000" w:themeColor="text1"/>
              </w:rPr>
              <w:t>în</w:t>
            </w:r>
            <w:r w:rsidRPr="00E929F2">
              <w:rPr>
                <w:color w:val="000000" w:themeColor="text1"/>
                <w:spacing w:val="1"/>
              </w:rPr>
              <w:t xml:space="preserve"> </w:t>
            </w:r>
            <w:r w:rsidRPr="00E929F2">
              <w:rPr>
                <w:color w:val="000000" w:themeColor="text1"/>
              </w:rPr>
              <w:t>stare</w:t>
            </w:r>
            <w:r w:rsidRPr="00E929F2">
              <w:rPr>
                <w:color w:val="000000" w:themeColor="text1"/>
                <w:spacing w:val="1"/>
              </w:rPr>
              <w:t xml:space="preserve"> </w:t>
            </w:r>
            <w:r w:rsidRPr="00E929F2">
              <w:rPr>
                <w:color w:val="000000" w:themeColor="text1"/>
              </w:rPr>
              <w:t>bună</w:t>
            </w:r>
            <w:r w:rsidRPr="00E929F2">
              <w:rPr>
                <w:color w:val="000000" w:themeColor="text1"/>
                <w:spacing w:val="1"/>
              </w:rPr>
              <w:t xml:space="preserve"> </w:t>
            </w:r>
            <w:r w:rsidRPr="00E929F2">
              <w:rPr>
                <w:color w:val="000000" w:themeColor="text1"/>
              </w:rPr>
              <w:t>pentru</w:t>
            </w:r>
            <w:r w:rsidRPr="00E929F2">
              <w:rPr>
                <w:color w:val="000000" w:themeColor="text1"/>
                <w:spacing w:val="1"/>
              </w:rPr>
              <w:t xml:space="preserve"> </w:t>
            </w:r>
            <w:r w:rsidRPr="00E929F2">
              <w:rPr>
                <w:color w:val="000000" w:themeColor="text1"/>
              </w:rPr>
              <w:t>a</w:t>
            </w:r>
            <w:r w:rsidRPr="00E929F2">
              <w:rPr>
                <w:color w:val="000000" w:themeColor="text1"/>
                <w:spacing w:val="1"/>
              </w:rPr>
              <w:t xml:space="preserve"> </w:t>
            </w:r>
            <w:r w:rsidRPr="00E929F2">
              <w:rPr>
                <w:color w:val="000000" w:themeColor="text1"/>
              </w:rPr>
              <w:t>justifica</w:t>
            </w:r>
            <w:r w:rsidRPr="00E929F2">
              <w:rPr>
                <w:color w:val="000000" w:themeColor="text1"/>
                <w:spacing w:val="1"/>
              </w:rPr>
              <w:t xml:space="preserve"> </w:t>
            </w:r>
            <w:r w:rsidRPr="00E929F2">
              <w:rPr>
                <w:color w:val="000000" w:themeColor="text1"/>
              </w:rPr>
              <w:t>evaluarea</w:t>
            </w:r>
            <w:r w:rsidRPr="00E929F2">
              <w:rPr>
                <w:color w:val="000000" w:themeColor="text1"/>
                <w:spacing w:val="1"/>
              </w:rPr>
              <w:t xml:space="preserve"> </w:t>
            </w:r>
            <w:r w:rsidRPr="00E929F2">
              <w:rPr>
                <w:color w:val="000000" w:themeColor="text1"/>
              </w:rPr>
              <w:t>structurii</w:t>
            </w:r>
            <w:r w:rsidRPr="00E929F2">
              <w:rPr>
                <w:color w:val="000000" w:themeColor="text1"/>
                <w:spacing w:val="60"/>
              </w:rPr>
              <w:t xml:space="preserve"> </w:t>
            </w:r>
            <w:r w:rsidRPr="00E929F2">
              <w:rPr>
                <w:color w:val="000000" w:themeColor="text1"/>
              </w:rPr>
              <w:t>și</w:t>
            </w:r>
            <w:r w:rsidRPr="00E929F2">
              <w:rPr>
                <w:color w:val="000000" w:themeColor="text1"/>
                <w:spacing w:val="1"/>
              </w:rPr>
              <w:t xml:space="preserve"> </w:t>
            </w:r>
            <w:r w:rsidRPr="00E929F2">
              <w:rPr>
                <w:color w:val="000000" w:themeColor="text1"/>
              </w:rPr>
              <w:t>funcțiilor ca fiind „favorabile”. În mod ideal, întreaga suprafață a</w:t>
            </w:r>
            <w:r w:rsidRPr="00E929F2">
              <w:rPr>
                <w:color w:val="000000" w:themeColor="text1"/>
                <w:spacing w:val="1"/>
              </w:rPr>
              <w:t xml:space="preserve"> </w:t>
            </w:r>
            <w:r w:rsidRPr="00E929F2">
              <w:rPr>
                <w:color w:val="000000" w:themeColor="text1"/>
              </w:rPr>
              <w:t>unui tip de habitat ar trebui să fie în stare bună pentru ca structura și</w:t>
            </w:r>
            <w:r w:rsidRPr="00E929F2">
              <w:rPr>
                <w:color w:val="000000" w:themeColor="text1"/>
                <w:spacing w:val="-57"/>
              </w:rPr>
              <w:t xml:space="preserve"> </w:t>
            </w:r>
            <w:r w:rsidRPr="00E929F2">
              <w:rPr>
                <w:color w:val="000000" w:themeColor="text1"/>
              </w:rPr>
              <w:t>funcțiile</w:t>
            </w:r>
            <w:r w:rsidRPr="00E929F2">
              <w:rPr>
                <w:color w:val="000000" w:themeColor="text1"/>
                <w:spacing w:val="1"/>
              </w:rPr>
              <w:t xml:space="preserve"> </w:t>
            </w:r>
            <w:r w:rsidRPr="00E929F2">
              <w:rPr>
                <w:color w:val="000000" w:themeColor="text1"/>
              </w:rPr>
              <w:t>să</w:t>
            </w:r>
            <w:r w:rsidRPr="00E929F2">
              <w:rPr>
                <w:color w:val="000000" w:themeColor="text1"/>
                <w:spacing w:val="1"/>
              </w:rPr>
              <w:t xml:space="preserve"> </w:t>
            </w:r>
            <w:r w:rsidRPr="00E929F2">
              <w:rPr>
                <w:color w:val="000000" w:themeColor="text1"/>
              </w:rPr>
              <w:t>fie</w:t>
            </w:r>
            <w:r w:rsidRPr="00E929F2">
              <w:rPr>
                <w:color w:val="000000" w:themeColor="text1"/>
                <w:spacing w:val="1"/>
              </w:rPr>
              <w:t xml:space="preserve"> </w:t>
            </w:r>
            <w:r w:rsidRPr="00E929F2">
              <w:rPr>
                <w:color w:val="000000" w:themeColor="text1"/>
              </w:rPr>
              <w:t>considerate</w:t>
            </w:r>
            <w:r w:rsidRPr="00E929F2">
              <w:rPr>
                <w:color w:val="000000" w:themeColor="text1"/>
                <w:spacing w:val="1"/>
              </w:rPr>
              <w:t xml:space="preserve"> </w:t>
            </w:r>
            <w:r w:rsidRPr="00E929F2">
              <w:rPr>
                <w:color w:val="000000" w:themeColor="text1"/>
              </w:rPr>
              <w:t>„favorabile”.</w:t>
            </w:r>
            <w:r w:rsidRPr="00E929F2">
              <w:rPr>
                <w:color w:val="000000" w:themeColor="text1"/>
                <w:spacing w:val="1"/>
              </w:rPr>
              <w:t xml:space="preserve"> </w:t>
            </w:r>
            <w:r w:rsidRPr="00E929F2">
              <w:rPr>
                <w:color w:val="000000" w:themeColor="text1"/>
              </w:rPr>
              <w:t>Cu</w:t>
            </w:r>
            <w:r w:rsidRPr="00E929F2">
              <w:rPr>
                <w:color w:val="000000" w:themeColor="text1"/>
                <w:spacing w:val="1"/>
              </w:rPr>
              <w:t xml:space="preserve"> </w:t>
            </w:r>
            <w:r w:rsidRPr="00E929F2">
              <w:rPr>
                <w:color w:val="000000" w:themeColor="text1"/>
              </w:rPr>
              <w:t>toate</w:t>
            </w:r>
            <w:r w:rsidRPr="00E929F2">
              <w:rPr>
                <w:color w:val="000000" w:themeColor="text1"/>
                <w:spacing w:val="1"/>
              </w:rPr>
              <w:t xml:space="preserve"> </w:t>
            </w:r>
            <w:r w:rsidRPr="00E929F2">
              <w:rPr>
                <w:color w:val="000000" w:themeColor="text1"/>
              </w:rPr>
              <w:t>acestea,</w:t>
            </w:r>
            <w:r w:rsidRPr="00E929F2">
              <w:rPr>
                <w:color w:val="000000" w:themeColor="text1"/>
                <w:spacing w:val="60"/>
              </w:rPr>
              <w:t xml:space="preserve"> </w:t>
            </w:r>
            <w:r w:rsidRPr="00E929F2">
              <w:rPr>
                <w:color w:val="000000" w:themeColor="text1"/>
              </w:rPr>
              <w:t>acest</w:t>
            </w:r>
            <w:r w:rsidRPr="00E929F2">
              <w:rPr>
                <w:color w:val="000000" w:themeColor="text1"/>
                <w:spacing w:val="-57"/>
              </w:rPr>
              <w:t xml:space="preserve"> </w:t>
            </w:r>
            <w:r w:rsidRPr="00E929F2">
              <w:rPr>
                <w:color w:val="000000" w:themeColor="text1"/>
              </w:rPr>
              <w:t>lucru este practic realizabil și ar putea fi acceptat să existe o parte</w:t>
            </w:r>
            <w:r w:rsidRPr="00E929F2">
              <w:rPr>
                <w:color w:val="000000" w:themeColor="text1"/>
                <w:spacing w:val="1"/>
              </w:rPr>
              <w:t xml:space="preserve"> </w:t>
            </w:r>
            <w:r w:rsidRPr="00E929F2">
              <w:rPr>
                <w:color w:val="000000" w:themeColor="text1"/>
              </w:rPr>
              <w:t>din tipul de habitat în condiții „nu bune”, dar totuși considerăm că</w:t>
            </w:r>
            <w:r w:rsidRPr="00E929F2">
              <w:rPr>
                <w:color w:val="000000" w:themeColor="text1"/>
                <w:spacing w:val="1"/>
              </w:rPr>
              <w:t xml:space="preserve"> </w:t>
            </w:r>
            <w:r w:rsidRPr="00E929F2">
              <w:rPr>
                <w:color w:val="000000" w:themeColor="text1"/>
              </w:rPr>
              <w:t>structura</w:t>
            </w:r>
            <w:r w:rsidRPr="00E929F2">
              <w:rPr>
                <w:color w:val="000000" w:themeColor="text1"/>
                <w:spacing w:val="-3"/>
              </w:rPr>
              <w:t xml:space="preserve"> </w:t>
            </w:r>
            <w:r w:rsidRPr="00E929F2">
              <w:rPr>
                <w:color w:val="000000" w:themeColor="text1"/>
              </w:rPr>
              <w:t>și</w:t>
            </w:r>
            <w:r w:rsidRPr="00E929F2">
              <w:rPr>
                <w:color w:val="000000" w:themeColor="text1"/>
                <w:spacing w:val="-2"/>
              </w:rPr>
              <w:t xml:space="preserve"> </w:t>
            </w:r>
            <w:r w:rsidRPr="00E929F2">
              <w:rPr>
                <w:color w:val="000000" w:themeColor="text1"/>
              </w:rPr>
              <w:t>funcțiile</w:t>
            </w:r>
            <w:r w:rsidRPr="00E929F2">
              <w:rPr>
                <w:color w:val="000000" w:themeColor="text1"/>
                <w:spacing w:val="-1"/>
              </w:rPr>
              <w:t xml:space="preserve"> </w:t>
            </w:r>
            <w:r w:rsidRPr="00E929F2">
              <w:rPr>
                <w:color w:val="000000" w:themeColor="text1"/>
              </w:rPr>
              <w:t>sunt</w:t>
            </w:r>
            <w:r w:rsidRPr="00E929F2">
              <w:rPr>
                <w:color w:val="000000" w:themeColor="text1"/>
                <w:spacing w:val="1"/>
              </w:rPr>
              <w:t xml:space="preserve"> </w:t>
            </w:r>
            <w:r w:rsidRPr="00E929F2">
              <w:rPr>
                <w:color w:val="000000" w:themeColor="text1"/>
              </w:rPr>
              <w:t>considerate „favorabile”.</w:t>
            </w:r>
          </w:p>
          <w:p w14:paraId="3FE733D6" w14:textId="77777777" w:rsidR="00E929F2" w:rsidRPr="00E929F2" w:rsidRDefault="00E929F2" w:rsidP="00E929F2">
            <w:pPr>
              <w:widowControl w:val="0"/>
              <w:autoSpaceDE w:val="0"/>
              <w:autoSpaceDN w:val="0"/>
              <w:ind w:left="467" w:right="96"/>
              <w:jc w:val="both"/>
              <w:rPr>
                <w:color w:val="000000" w:themeColor="text1"/>
              </w:rPr>
            </w:pPr>
            <w:r w:rsidRPr="00E929F2">
              <w:rPr>
                <w:color w:val="000000" w:themeColor="text1"/>
              </w:rPr>
              <w:t>Se recomandă utilizarea unei valori indicative de 90% din suprafața de</w:t>
            </w:r>
            <w:r w:rsidRPr="00E929F2">
              <w:rPr>
                <w:color w:val="000000" w:themeColor="text1"/>
                <w:spacing w:val="1"/>
              </w:rPr>
              <w:t xml:space="preserve"> </w:t>
            </w:r>
            <w:r w:rsidRPr="00E929F2">
              <w:rPr>
                <w:color w:val="000000" w:themeColor="text1"/>
              </w:rPr>
              <w:t>tip habitat (câmpul 6.1) în condiții „bune” ca prag pentru a încheia</w:t>
            </w:r>
            <w:r w:rsidRPr="00E929F2">
              <w:rPr>
                <w:color w:val="000000" w:themeColor="text1"/>
                <w:spacing w:val="1"/>
              </w:rPr>
              <w:t xml:space="preserve"> </w:t>
            </w:r>
            <w:r w:rsidRPr="00E929F2">
              <w:rPr>
                <w:color w:val="000000" w:themeColor="text1"/>
              </w:rPr>
              <w:t>structura</w:t>
            </w:r>
            <w:r w:rsidRPr="00E929F2">
              <w:rPr>
                <w:color w:val="000000" w:themeColor="text1"/>
                <w:spacing w:val="1"/>
              </w:rPr>
              <w:t xml:space="preserve"> </w:t>
            </w:r>
            <w:r w:rsidRPr="00E929F2">
              <w:rPr>
                <w:color w:val="000000" w:themeColor="text1"/>
              </w:rPr>
              <w:t>și</w:t>
            </w:r>
            <w:r w:rsidRPr="00E929F2">
              <w:rPr>
                <w:color w:val="000000" w:themeColor="text1"/>
                <w:spacing w:val="1"/>
              </w:rPr>
              <w:t xml:space="preserve"> </w:t>
            </w:r>
            <w:r w:rsidRPr="00E929F2">
              <w:rPr>
                <w:color w:val="000000" w:themeColor="text1"/>
              </w:rPr>
              <w:t>funcțiile</w:t>
            </w:r>
            <w:r w:rsidRPr="00E929F2">
              <w:rPr>
                <w:color w:val="000000" w:themeColor="text1"/>
                <w:spacing w:val="1"/>
              </w:rPr>
              <w:t xml:space="preserve"> </w:t>
            </w:r>
            <w:r w:rsidRPr="00E929F2">
              <w:rPr>
                <w:color w:val="000000" w:themeColor="text1"/>
              </w:rPr>
              <w:t>„favorabile”.</w:t>
            </w:r>
            <w:r w:rsidRPr="00E929F2">
              <w:rPr>
                <w:color w:val="000000" w:themeColor="text1"/>
                <w:spacing w:val="1"/>
              </w:rPr>
              <w:t xml:space="preserve"> </w:t>
            </w:r>
            <w:r w:rsidRPr="00E929F2">
              <w:rPr>
                <w:color w:val="000000" w:themeColor="text1"/>
              </w:rPr>
              <w:t>Dacă</w:t>
            </w:r>
            <w:r w:rsidRPr="00E929F2">
              <w:rPr>
                <w:color w:val="000000" w:themeColor="text1"/>
                <w:spacing w:val="1"/>
              </w:rPr>
              <w:t xml:space="preserve"> </w:t>
            </w:r>
            <w:r w:rsidRPr="00E929F2">
              <w:rPr>
                <w:color w:val="000000" w:themeColor="text1"/>
              </w:rPr>
              <w:t>statul</w:t>
            </w:r>
            <w:r w:rsidRPr="00E929F2">
              <w:rPr>
                <w:color w:val="000000" w:themeColor="text1"/>
                <w:spacing w:val="1"/>
              </w:rPr>
              <w:t xml:space="preserve"> </w:t>
            </w:r>
            <w:r w:rsidRPr="00E929F2">
              <w:rPr>
                <w:color w:val="000000" w:themeColor="text1"/>
              </w:rPr>
              <w:t>membru</w:t>
            </w:r>
            <w:r w:rsidRPr="00E929F2">
              <w:rPr>
                <w:color w:val="000000" w:themeColor="text1"/>
                <w:spacing w:val="1"/>
              </w:rPr>
              <w:t xml:space="preserve"> </w:t>
            </w:r>
            <w:r w:rsidRPr="00E929F2">
              <w:rPr>
                <w:color w:val="000000" w:themeColor="text1"/>
              </w:rPr>
              <w:t>folosește</w:t>
            </w:r>
            <w:r w:rsidRPr="00E929F2">
              <w:rPr>
                <w:color w:val="000000" w:themeColor="text1"/>
                <w:spacing w:val="1"/>
              </w:rPr>
              <w:t xml:space="preserve"> </w:t>
            </w:r>
            <w:r w:rsidRPr="00E929F2">
              <w:rPr>
                <w:color w:val="000000" w:themeColor="text1"/>
              </w:rPr>
              <w:t>o</w:t>
            </w:r>
            <w:r w:rsidRPr="00E929F2">
              <w:rPr>
                <w:color w:val="000000" w:themeColor="text1"/>
                <w:spacing w:val="1"/>
              </w:rPr>
              <w:t xml:space="preserve"> </w:t>
            </w:r>
            <w:r w:rsidRPr="00E929F2">
              <w:rPr>
                <w:color w:val="000000" w:themeColor="text1"/>
              </w:rPr>
              <w:t>valoare</w:t>
            </w:r>
            <w:r w:rsidRPr="00E929F2">
              <w:rPr>
                <w:color w:val="000000" w:themeColor="text1"/>
                <w:spacing w:val="1"/>
              </w:rPr>
              <w:t xml:space="preserve"> </w:t>
            </w:r>
            <w:r w:rsidRPr="00E929F2">
              <w:rPr>
                <w:color w:val="000000" w:themeColor="text1"/>
              </w:rPr>
              <w:t>diferită,</w:t>
            </w:r>
            <w:r w:rsidRPr="00E929F2">
              <w:rPr>
                <w:color w:val="000000" w:themeColor="text1"/>
                <w:spacing w:val="1"/>
              </w:rPr>
              <w:t xml:space="preserve"> </w:t>
            </w:r>
            <w:r w:rsidRPr="00E929F2">
              <w:rPr>
                <w:color w:val="000000" w:themeColor="text1"/>
              </w:rPr>
              <w:t>aceasta</w:t>
            </w:r>
            <w:r w:rsidRPr="00E929F2">
              <w:rPr>
                <w:color w:val="000000" w:themeColor="text1"/>
                <w:spacing w:val="1"/>
              </w:rPr>
              <w:t xml:space="preserve"> </w:t>
            </w:r>
            <w:r w:rsidRPr="00E929F2">
              <w:rPr>
                <w:color w:val="000000" w:themeColor="text1"/>
              </w:rPr>
              <w:t>trebuie</w:t>
            </w:r>
            <w:r w:rsidRPr="00E929F2">
              <w:rPr>
                <w:color w:val="000000" w:themeColor="text1"/>
                <w:spacing w:val="1"/>
              </w:rPr>
              <w:t xml:space="preserve"> </w:t>
            </w:r>
            <w:r w:rsidRPr="00E929F2">
              <w:rPr>
                <w:color w:val="000000" w:themeColor="text1"/>
              </w:rPr>
              <w:t>notată</w:t>
            </w:r>
            <w:r w:rsidRPr="00E929F2">
              <w:rPr>
                <w:color w:val="000000" w:themeColor="text1"/>
                <w:spacing w:val="1"/>
              </w:rPr>
              <w:t xml:space="preserve"> </w:t>
            </w:r>
            <w:r w:rsidRPr="00E929F2">
              <w:rPr>
                <w:color w:val="000000" w:themeColor="text1"/>
              </w:rPr>
              <w:t>și</w:t>
            </w:r>
            <w:r w:rsidRPr="00E929F2">
              <w:rPr>
                <w:color w:val="000000" w:themeColor="text1"/>
                <w:spacing w:val="1"/>
              </w:rPr>
              <w:t xml:space="preserve"> </w:t>
            </w:r>
            <w:r w:rsidRPr="00E929F2">
              <w:rPr>
                <w:color w:val="000000" w:themeColor="text1"/>
              </w:rPr>
              <w:t>explicată</w:t>
            </w:r>
            <w:r w:rsidRPr="00E929F2">
              <w:rPr>
                <w:color w:val="000000" w:themeColor="text1"/>
                <w:spacing w:val="1"/>
              </w:rPr>
              <w:t xml:space="preserve"> </w:t>
            </w:r>
            <w:r w:rsidRPr="00E929F2">
              <w:rPr>
                <w:color w:val="000000" w:themeColor="text1"/>
              </w:rPr>
              <w:t>în</w:t>
            </w:r>
            <w:r w:rsidRPr="00E929F2">
              <w:rPr>
                <w:color w:val="000000" w:themeColor="text1"/>
                <w:spacing w:val="1"/>
              </w:rPr>
              <w:t xml:space="preserve"> </w:t>
            </w:r>
            <w:r w:rsidRPr="00E929F2">
              <w:rPr>
                <w:color w:val="000000" w:themeColor="text1"/>
              </w:rPr>
              <w:t>câmpul</w:t>
            </w:r>
            <w:r w:rsidRPr="00E929F2">
              <w:rPr>
                <w:color w:val="000000" w:themeColor="text1"/>
                <w:spacing w:val="1"/>
              </w:rPr>
              <w:t xml:space="preserve"> </w:t>
            </w:r>
            <w:r w:rsidRPr="00E929F2">
              <w:rPr>
                <w:color w:val="000000" w:themeColor="text1"/>
              </w:rPr>
              <w:t>10.8</w:t>
            </w:r>
            <w:r w:rsidRPr="00E929F2">
              <w:rPr>
                <w:color w:val="000000" w:themeColor="text1"/>
                <w:spacing w:val="1"/>
              </w:rPr>
              <w:t xml:space="preserve"> </w:t>
            </w:r>
            <w:r w:rsidRPr="00E929F2">
              <w:rPr>
                <w:color w:val="000000" w:themeColor="text1"/>
              </w:rPr>
              <w:t>Informații suplimentare ”. Această valoare indicativă ar putea fi, de</w:t>
            </w:r>
            <w:r w:rsidRPr="00E929F2">
              <w:rPr>
                <w:color w:val="000000" w:themeColor="text1"/>
                <w:spacing w:val="1"/>
              </w:rPr>
              <w:t xml:space="preserve"> </w:t>
            </w:r>
            <w:r w:rsidRPr="00E929F2">
              <w:rPr>
                <w:color w:val="000000" w:themeColor="text1"/>
              </w:rPr>
              <w:t>exemplu, adaptată în funcție de raritatea / abundența tipului de habitat</w:t>
            </w:r>
            <w:r w:rsidRPr="00E929F2">
              <w:rPr>
                <w:color w:val="000000" w:themeColor="text1"/>
                <w:spacing w:val="1"/>
              </w:rPr>
              <w:t xml:space="preserve"> </w:t>
            </w:r>
            <w:r w:rsidRPr="00E929F2">
              <w:rPr>
                <w:color w:val="000000" w:themeColor="text1"/>
              </w:rPr>
              <w:t>(pentru mai multe informații, a se vedea secțiunea „Starea tipului de</w:t>
            </w:r>
            <w:r w:rsidRPr="00E929F2">
              <w:rPr>
                <w:color w:val="000000" w:themeColor="text1"/>
                <w:spacing w:val="1"/>
              </w:rPr>
              <w:t xml:space="preserve"> </w:t>
            </w:r>
            <w:r w:rsidRPr="00E929F2">
              <w:rPr>
                <w:color w:val="000000" w:themeColor="text1"/>
              </w:rPr>
              <w:t>habitat” (în „6 Structura și funcțiile (inclusiv speciile tipice)” capitolul</w:t>
            </w:r>
            <w:r w:rsidRPr="00E929F2">
              <w:rPr>
                <w:color w:val="000000" w:themeColor="text1"/>
                <w:spacing w:val="1"/>
              </w:rPr>
              <w:t xml:space="preserve"> </w:t>
            </w:r>
            <w:r w:rsidRPr="00E929F2">
              <w:rPr>
                <w:color w:val="000000" w:themeColor="text1"/>
              </w:rPr>
              <w:t>din</w:t>
            </w:r>
            <w:r w:rsidRPr="00E929F2">
              <w:rPr>
                <w:color w:val="000000" w:themeColor="text1"/>
                <w:spacing w:val="-1"/>
              </w:rPr>
              <w:t xml:space="preserve"> </w:t>
            </w:r>
            <w:r w:rsidRPr="00E929F2">
              <w:rPr>
                <w:color w:val="000000" w:themeColor="text1"/>
              </w:rPr>
              <w:t>„Definiții și</w:t>
            </w:r>
            <w:r w:rsidRPr="00E929F2">
              <w:rPr>
                <w:color w:val="000000" w:themeColor="text1"/>
                <w:spacing w:val="-1"/>
              </w:rPr>
              <w:t xml:space="preserve"> </w:t>
            </w:r>
            <w:r w:rsidRPr="00E929F2">
              <w:rPr>
                <w:color w:val="000000" w:themeColor="text1"/>
              </w:rPr>
              <w:t>metode</w:t>
            </w:r>
            <w:r w:rsidRPr="00E929F2">
              <w:rPr>
                <w:color w:val="000000" w:themeColor="text1"/>
                <w:spacing w:val="-1"/>
              </w:rPr>
              <w:t xml:space="preserve"> </w:t>
            </w:r>
            <w:r w:rsidRPr="00E929F2">
              <w:rPr>
                <w:color w:val="000000" w:themeColor="text1"/>
              </w:rPr>
              <w:t>pentru</w:t>
            </w:r>
            <w:r w:rsidRPr="00E929F2">
              <w:rPr>
                <w:color w:val="000000" w:themeColor="text1"/>
                <w:spacing w:val="-1"/>
              </w:rPr>
              <w:t xml:space="preserve"> </w:t>
            </w:r>
            <w:r w:rsidRPr="00E929F2">
              <w:rPr>
                <w:color w:val="000000" w:themeColor="text1"/>
              </w:rPr>
              <w:t>raportarea</w:t>
            </w:r>
            <w:r w:rsidRPr="00E929F2">
              <w:rPr>
                <w:color w:val="000000" w:themeColor="text1"/>
                <w:spacing w:val="-1"/>
              </w:rPr>
              <w:t xml:space="preserve"> </w:t>
            </w:r>
            <w:r w:rsidRPr="00E929F2">
              <w:rPr>
                <w:color w:val="000000" w:themeColor="text1"/>
              </w:rPr>
              <w:t>habitatului 'parte).</w:t>
            </w:r>
          </w:p>
          <w:p w14:paraId="23BC6E2A" w14:textId="77777777" w:rsidR="00E929F2" w:rsidRPr="00E929F2" w:rsidRDefault="00E929F2" w:rsidP="009E63E5">
            <w:pPr>
              <w:widowControl w:val="0"/>
              <w:numPr>
                <w:ilvl w:val="0"/>
                <w:numId w:val="105"/>
              </w:numPr>
              <w:tabs>
                <w:tab w:val="left" w:pos="829"/>
              </w:tabs>
              <w:autoSpaceDE w:val="0"/>
              <w:autoSpaceDN w:val="0"/>
              <w:spacing w:line="270" w:lineRule="atLeast"/>
              <w:ind w:right="98"/>
              <w:jc w:val="both"/>
              <w:rPr>
                <w:color w:val="000000" w:themeColor="text1"/>
              </w:rPr>
            </w:pPr>
            <w:r w:rsidRPr="00E929F2">
              <w:rPr>
                <w:color w:val="000000" w:themeColor="text1"/>
              </w:rPr>
              <w:t>Deși</w:t>
            </w:r>
            <w:r w:rsidRPr="00E929F2">
              <w:rPr>
                <w:color w:val="000000" w:themeColor="text1"/>
                <w:spacing w:val="1"/>
              </w:rPr>
              <w:t xml:space="preserve"> </w:t>
            </w:r>
            <w:r w:rsidRPr="00E929F2">
              <w:rPr>
                <w:color w:val="000000" w:themeColor="text1"/>
              </w:rPr>
              <w:t>nu</w:t>
            </w:r>
            <w:r w:rsidRPr="00E929F2">
              <w:rPr>
                <w:color w:val="000000" w:themeColor="text1"/>
                <w:spacing w:val="1"/>
              </w:rPr>
              <w:t xml:space="preserve"> </w:t>
            </w:r>
            <w:r w:rsidRPr="00E929F2">
              <w:rPr>
                <w:color w:val="000000" w:themeColor="text1"/>
              </w:rPr>
              <w:t>este</w:t>
            </w:r>
            <w:r w:rsidRPr="00E929F2">
              <w:rPr>
                <w:color w:val="000000" w:themeColor="text1"/>
                <w:spacing w:val="1"/>
              </w:rPr>
              <w:t xml:space="preserve"> </w:t>
            </w:r>
            <w:r w:rsidRPr="00E929F2">
              <w:rPr>
                <w:color w:val="000000" w:themeColor="text1"/>
              </w:rPr>
              <w:t>specificat</w:t>
            </w:r>
            <w:r w:rsidRPr="00E929F2">
              <w:rPr>
                <w:color w:val="000000" w:themeColor="text1"/>
                <w:spacing w:val="1"/>
              </w:rPr>
              <w:t xml:space="preserve"> </w:t>
            </w:r>
            <w:r w:rsidRPr="00E929F2">
              <w:rPr>
                <w:color w:val="000000" w:themeColor="text1"/>
              </w:rPr>
              <w:t>clar</w:t>
            </w:r>
            <w:r w:rsidRPr="00E929F2">
              <w:rPr>
                <w:color w:val="000000" w:themeColor="text1"/>
                <w:spacing w:val="1"/>
              </w:rPr>
              <w:t xml:space="preserve"> </w:t>
            </w:r>
            <w:r w:rsidRPr="00E929F2">
              <w:rPr>
                <w:color w:val="000000" w:themeColor="text1"/>
              </w:rPr>
              <w:t>în</w:t>
            </w:r>
            <w:r w:rsidRPr="00E929F2">
              <w:rPr>
                <w:color w:val="000000" w:themeColor="text1"/>
                <w:spacing w:val="1"/>
              </w:rPr>
              <w:t xml:space="preserve"> </w:t>
            </w:r>
            <w:r w:rsidRPr="00E929F2">
              <w:rPr>
                <w:color w:val="000000" w:themeColor="text1"/>
              </w:rPr>
              <w:t>matricea</w:t>
            </w:r>
            <w:r w:rsidRPr="00E929F2">
              <w:rPr>
                <w:color w:val="000000" w:themeColor="text1"/>
                <w:spacing w:val="1"/>
              </w:rPr>
              <w:t xml:space="preserve"> </w:t>
            </w:r>
            <w:r w:rsidRPr="00E929F2">
              <w:rPr>
                <w:color w:val="000000" w:themeColor="text1"/>
              </w:rPr>
              <w:t>de</w:t>
            </w:r>
            <w:r w:rsidRPr="00E929F2">
              <w:rPr>
                <w:color w:val="000000" w:themeColor="text1"/>
                <w:spacing w:val="1"/>
              </w:rPr>
              <w:t xml:space="preserve"> </w:t>
            </w:r>
            <w:r w:rsidRPr="00E929F2">
              <w:rPr>
                <w:color w:val="000000" w:themeColor="text1"/>
              </w:rPr>
              <w:t>evaluare,</w:t>
            </w:r>
            <w:r w:rsidRPr="00E929F2">
              <w:rPr>
                <w:color w:val="000000" w:themeColor="text1"/>
                <w:spacing w:val="1"/>
              </w:rPr>
              <w:t xml:space="preserve"> </w:t>
            </w:r>
            <w:r w:rsidRPr="00E929F2">
              <w:rPr>
                <w:color w:val="000000" w:themeColor="text1"/>
              </w:rPr>
              <w:t>tendința</w:t>
            </w:r>
            <w:r w:rsidRPr="00E929F2">
              <w:rPr>
                <w:color w:val="000000" w:themeColor="text1"/>
                <w:spacing w:val="1"/>
              </w:rPr>
              <w:t xml:space="preserve"> </w:t>
            </w:r>
            <w:r w:rsidRPr="00E929F2">
              <w:rPr>
                <w:color w:val="000000" w:themeColor="text1"/>
              </w:rPr>
              <w:t>(tendința în zonă în stare bună (câmpul 6.4)) trebuie să fie stabilă</w:t>
            </w:r>
            <w:r w:rsidRPr="00E929F2">
              <w:rPr>
                <w:color w:val="000000" w:themeColor="text1"/>
                <w:spacing w:val="1"/>
              </w:rPr>
              <w:t xml:space="preserve"> </w:t>
            </w:r>
            <w:r w:rsidRPr="00E929F2">
              <w:rPr>
                <w:color w:val="000000" w:themeColor="text1"/>
              </w:rPr>
              <w:t>sau</w:t>
            </w:r>
            <w:r w:rsidRPr="00E929F2">
              <w:rPr>
                <w:color w:val="000000" w:themeColor="text1"/>
                <w:spacing w:val="49"/>
              </w:rPr>
              <w:t xml:space="preserve"> </w:t>
            </w:r>
            <w:r w:rsidRPr="00E929F2">
              <w:rPr>
                <w:color w:val="000000" w:themeColor="text1"/>
              </w:rPr>
              <w:t>în</w:t>
            </w:r>
            <w:r w:rsidRPr="00E929F2">
              <w:rPr>
                <w:color w:val="000000" w:themeColor="text1"/>
                <w:spacing w:val="51"/>
              </w:rPr>
              <w:t xml:space="preserve"> </w:t>
            </w:r>
            <w:r w:rsidRPr="00E929F2">
              <w:rPr>
                <w:color w:val="000000" w:themeColor="text1"/>
              </w:rPr>
              <w:t>creștere</w:t>
            </w:r>
            <w:r w:rsidRPr="00E929F2">
              <w:rPr>
                <w:color w:val="000000" w:themeColor="text1"/>
                <w:spacing w:val="49"/>
              </w:rPr>
              <w:t xml:space="preserve"> </w:t>
            </w:r>
            <w:r w:rsidRPr="00E929F2">
              <w:rPr>
                <w:color w:val="000000" w:themeColor="text1"/>
              </w:rPr>
              <w:t>pentru</w:t>
            </w:r>
            <w:r w:rsidRPr="00E929F2">
              <w:rPr>
                <w:color w:val="000000" w:themeColor="text1"/>
                <w:spacing w:val="50"/>
              </w:rPr>
              <w:t xml:space="preserve"> </w:t>
            </w:r>
            <w:r w:rsidRPr="00E929F2">
              <w:rPr>
                <w:color w:val="000000" w:themeColor="text1"/>
              </w:rPr>
              <w:t>ca</w:t>
            </w:r>
            <w:r w:rsidRPr="00E929F2">
              <w:rPr>
                <w:color w:val="000000" w:themeColor="text1"/>
                <w:spacing w:val="49"/>
              </w:rPr>
              <w:t xml:space="preserve"> </w:t>
            </w:r>
            <w:r w:rsidRPr="00E929F2">
              <w:rPr>
                <w:color w:val="000000" w:themeColor="text1"/>
              </w:rPr>
              <w:t>structura</w:t>
            </w:r>
            <w:r w:rsidRPr="00E929F2">
              <w:rPr>
                <w:color w:val="000000" w:themeColor="text1"/>
                <w:spacing w:val="49"/>
              </w:rPr>
              <w:t xml:space="preserve"> </w:t>
            </w:r>
            <w:r w:rsidRPr="00E929F2">
              <w:rPr>
                <w:color w:val="000000" w:themeColor="text1"/>
              </w:rPr>
              <w:t>și</w:t>
            </w:r>
            <w:r w:rsidRPr="00E929F2">
              <w:rPr>
                <w:color w:val="000000" w:themeColor="text1"/>
                <w:spacing w:val="50"/>
              </w:rPr>
              <w:t xml:space="preserve"> </w:t>
            </w:r>
            <w:r w:rsidRPr="00E929F2">
              <w:rPr>
                <w:color w:val="000000" w:themeColor="text1"/>
              </w:rPr>
              <w:t>funcțiile</w:t>
            </w:r>
            <w:r w:rsidRPr="00E929F2">
              <w:rPr>
                <w:color w:val="000000" w:themeColor="text1"/>
                <w:spacing w:val="49"/>
              </w:rPr>
              <w:t xml:space="preserve"> </w:t>
            </w:r>
            <w:r w:rsidRPr="00E929F2">
              <w:rPr>
                <w:color w:val="000000" w:themeColor="text1"/>
              </w:rPr>
              <w:t>să</w:t>
            </w:r>
            <w:r w:rsidRPr="00E929F2">
              <w:rPr>
                <w:color w:val="000000" w:themeColor="text1"/>
                <w:spacing w:val="49"/>
              </w:rPr>
              <w:t xml:space="preserve"> </w:t>
            </w:r>
            <w:r w:rsidRPr="00E929F2">
              <w:rPr>
                <w:color w:val="000000" w:themeColor="text1"/>
              </w:rPr>
              <w:t>fie</w:t>
            </w:r>
            <w:r w:rsidRPr="00E929F2">
              <w:rPr>
                <w:color w:val="000000" w:themeColor="text1"/>
                <w:spacing w:val="49"/>
              </w:rPr>
              <w:t xml:space="preserve"> </w:t>
            </w:r>
            <w:r w:rsidRPr="00E929F2">
              <w:rPr>
                <w:color w:val="000000" w:themeColor="text1"/>
              </w:rPr>
              <w:t>considerate</w:t>
            </w:r>
          </w:p>
        </w:tc>
      </w:tr>
      <w:tr w:rsidR="00E929F2" w:rsidRPr="00E929F2" w14:paraId="2788D54A" w14:textId="77777777" w:rsidTr="0017673F">
        <w:trPr>
          <w:trHeight w:val="4694"/>
        </w:trPr>
        <w:tc>
          <w:tcPr>
            <w:tcW w:w="1515" w:type="dxa"/>
          </w:tcPr>
          <w:p w14:paraId="01531D51" w14:textId="77777777" w:rsidR="00E929F2" w:rsidRPr="00E929F2" w:rsidRDefault="00E929F2" w:rsidP="00E929F2">
            <w:pPr>
              <w:widowControl w:val="0"/>
              <w:autoSpaceDE w:val="0"/>
              <w:autoSpaceDN w:val="0"/>
              <w:jc w:val="both"/>
              <w:rPr>
                <w:color w:val="000000" w:themeColor="text1"/>
              </w:rPr>
            </w:pPr>
          </w:p>
        </w:tc>
        <w:tc>
          <w:tcPr>
            <w:tcW w:w="7775" w:type="dxa"/>
          </w:tcPr>
          <w:p w14:paraId="6C98648B" w14:textId="77777777" w:rsidR="00E929F2" w:rsidRPr="00E929F2" w:rsidRDefault="00E929F2" w:rsidP="0017673F">
            <w:pPr>
              <w:widowControl w:val="0"/>
              <w:autoSpaceDE w:val="0"/>
              <w:autoSpaceDN w:val="0"/>
              <w:spacing w:line="262" w:lineRule="exact"/>
              <w:jc w:val="both"/>
              <w:rPr>
                <w:color w:val="000000" w:themeColor="text1"/>
              </w:rPr>
            </w:pPr>
            <w:r w:rsidRPr="00E929F2">
              <w:rPr>
                <w:color w:val="000000" w:themeColor="text1"/>
              </w:rPr>
              <w:t>„favorabile”.</w:t>
            </w:r>
          </w:p>
          <w:p w14:paraId="2D562A93" w14:textId="77777777" w:rsidR="00E929F2" w:rsidRPr="00E929F2" w:rsidRDefault="00E929F2" w:rsidP="009E63E5">
            <w:pPr>
              <w:widowControl w:val="0"/>
              <w:numPr>
                <w:ilvl w:val="0"/>
                <w:numId w:val="104"/>
              </w:numPr>
              <w:tabs>
                <w:tab w:val="left" w:pos="829"/>
              </w:tabs>
              <w:autoSpaceDE w:val="0"/>
              <w:autoSpaceDN w:val="0"/>
              <w:ind w:right="97"/>
              <w:jc w:val="both"/>
              <w:rPr>
                <w:color w:val="000000" w:themeColor="text1"/>
              </w:rPr>
            </w:pPr>
            <w:r w:rsidRPr="00E929F2">
              <w:rPr>
                <w:color w:val="000000" w:themeColor="text1"/>
              </w:rPr>
              <w:t>Deși nu este necesară o evaluare completă a stării de conservare a</w:t>
            </w:r>
            <w:r w:rsidRPr="00E929F2">
              <w:rPr>
                <w:color w:val="000000" w:themeColor="text1"/>
                <w:spacing w:val="1"/>
              </w:rPr>
              <w:t xml:space="preserve"> </w:t>
            </w:r>
            <w:r w:rsidRPr="00E929F2">
              <w:rPr>
                <w:color w:val="000000" w:themeColor="text1"/>
              </w:rPr>
              <w:t>fiecărei specii tipice, specia</w:t>
            </w:r>
            <w:r w:rsidRPr="00E929F2">
              <w:rPr>
                <w:color w:val="000000" w:themeColor="text1"/>
                <w:spacing w:val="1"/>
              </w:rPr>
              <w:t xml:space="preserve"> </w:t>
            </w:r>
            <w:r w:rsidRPr="00E929F2">
              <w:rPr>
                <w:color w:val="000000" w:themeColor="text1"/>
              </w:rPr>
              <w:t>generală</w:t>
            </w:r>
            <w:r w:rsidRPr="00E929F2">
              <w:rPr>
                <w:color w:val="000000" w:themeColor="text1"/>
                <w:spacing w:val="1"/>
              </w:rPr>
              <w:t xml:space="preserve"> </w:t>
            </w:r>
            <w:r w:rsidRPr="00E929F2">
              <w:rPr>
                <w:color w:val="000000" w:themeColor="text1"/>
              </w:rPr>
              <w:t>ar</w:t>
            </w:r>
            <w:r w:rsidRPr="00E929F2">
              <w:rPr>
                <w:color w:val="000000" w:themeColor="text1"/>
                <w:spacing w:val="60"/>
              </w:rPr>
              <w:t xml:space="preserve"> </w:t>
            </w:r>
            <w:r w:rsidRPr="00E929F2">
              <w:rPr>
                <w:color w:val="000000" w:themeColor="text1"/>
              </w:rPr>
              <w:t>trebui să fie „favorabilă”</w:t>
            </w:r>
            <w:r w:rsidRPr="00E929F2">
              <w:rPr>
                <w:color w:val="000000" w:themeColor="text1"/>
                <w:spacing w:val="1"/>
              </w:rPr>
              <w:t xml:space="preserve"> </w:t>
            </w:r>
            <w:r w:rsidRPr="00E929F2">
              <w:rPr>
                <w:color w:val="000000" w:themeColor="text1"/>
              </w:rPr>
              <w:t>(nu amenințată), cel puțin în acest habitat, deoarece speciile pot fi</w:t>
            </w:r>
            <w:r w:rsidRPr="00E929F2">
              <w:rPr>
                <w:color w:val="000000" w:themeColor="text1"/>
                <w:spacing w:val="1"/>
              </w:rPr>
              <w:t xml:space="preserve"> </w:t>
            </w:r>
            <w:r w:rsidRPr="00E929F2">
              <w:rPr>
                <w:color w:val="000000" w:themeColor="text1"/>
              </w:rPr>
              <w:t>tipice</w:t>
            </w:r>
            <w:r w:rsidRPr="00E929F2">
              <w:rPr>
                <w:color w:val="000000" w:themeColor="text1"/>
                <w:spacing w:val="-3"/>
              </w:rPr>
              <w:t xml:space="preserve"> </w:t>
            </w:r>
            <w:r w:rsidRPr="00E929F2">
              <w:rPr>
                <w:color w:val="000000" w:themeColor="text1"/>
              </w:rPr>
              <w:t>mai multor habitat.</w:t>
            </w:r>
          </w:p>
          <w:p w14:paraId="5DAC1501" w14:textId="77777777" w:rsidR="00E929F2" w:rsidRPr="00E929F2" w:rsidRDefault="00E929F2" w:rsidP="009E63E5">
            <w:pPr>
              <w:widowControl w:val="0"/>
              <w:numPr>
                <w:ilvl w:val="0"/>
                <w:numId w:val="104"/>
              </w:numPr>
              <w:tabs>
                <w:tab w:val="left" w:pos="829"/>
              </w:tabs>
              <w:autoSpaceDE w:val="0"/>
              <w:autoSpaceDN w:val="0"/>
              <w:ind w:right="102"/>
              <w:jc w:val="both"/>
              <w:rPr>
                <w:color w:val="000000" w:themeColor="text1"/>
              </w:rPr>
            </w:pPr>
            <w:r w:rsidRPr="00E929F2">
              <w:rPr>
                <w:color w:val="000000" w:themeColor="text1"/>
              </w:rPr>
              <w:t>Pentru ca un habitat să fie considerat „favorabil”, fragmentarea sau</w:t>
            </w:r>
            <w:r w:rsidRPr="00E929F2">
              <w:rPr>
                <w:color w:val="000000" w:themeColor="text1"/>
                <w:spacing w:val="1"/>
              </w:rPr>
              <w:t xml:space="preserve"> </w:t>
            </w:r>
            <w:r w:rsidRPr="00E929F2">
              <w:rPr>
                <w:color w:val="000000" w:themeColor="text1"/>
              </w:rPr>
              <w:t>alte</w:t>
            </w:r>
            <w:r w:rsidRPr="00E929F2">
              <w:rPr>
                <w:color w:val="000000" w:themeColor="text1"/>
                <w:spacing w:val="1"/>
              </w:rPr>
              <w:t xml:space="preserve"> </w:t>
            </w:r>
            <w:r w:rsidRPr="00E929F2">
              <w:rPr>
                <w:color w:val="000000" w:themeColor="text1"/>
              </w:rPr>
              <w:t>condiții</w:t>
            </w:r>
            <w:r w:rsidRPr="00E929F2">
              <w:rPr>
                <w:color w:val="000000" w:themeColor="text1"/>
                <w:spacing w:val="1"/>
              </w:rPr>
              <w:t xml:space="preserve"> </w:t>
            </w:r>
            <w:r w:rsidRPr="00E929F2">
              <w:rPr>
                <w:color w:val="000000" w:themeColor="text1"/>
              </w:rPr>
              <w:t>nu</w:t>
            </w:r>
            <w:r w:rsidRPr="00E929F2">
              <w:rPr>
                <w:color w:val="000000" w:themeColor="text1"/>
                <w:spacing w:val="1"/>
              </w:rPr>
              <w:t xml:space="preserve"> </w:t>
            </w:r>
            <w:r w:rsidRPr="00E929F2">
              <w:rPr>
                <w:color w:val="000000" w:themeColor="text1"/>
              </w:rPr>
              <w:t>au</w:t>
            </w:r>
            <w:r w:rsidRPr="00E929F2">
              <w:rPr>
                <w:color w:val="000000" w:themeColor="text1"/>
                <w:spacing w:val="1"/>
              </w:rPr>
              <w:t xml:space="preserve"> </w:t>
            </w:r>
            <w:r w:rsidRPr="00E929F2">
              <w:rPr>
                <w:color w:val="000000" w:themeColor="text1"/>
              </w:rPr>
              <w:t>un</w:t>
            </w:r>
            <w:r w:rsidRPr="00E929F2">
              <w:rPr>
                <w:color w:val="000000" w:themeColor="text1"/>
                <w:spacing w:val="1"/>
              </w:rPr>
              <w:t xml:space="preserve"> </w:t>
            </w:r>
            <w:r w:rsidRPr="00E929F2">
              <w:rPr>
                <w:color w:val="000000" w:themeColor="text1"/>
              </w:rPr>
              <w:t>impact</w:t>
            </w:r>
            <w:r w:rsidRPr="00E929F2">
              <w:rPr>
                <w:color w:val="000000" w:themeColor="text1"/>
                <w:spacing w:val="1"/>
              </w:rPr>
              <w:t xml:space="preserve"> </w:t>
            </w:r>
            <w:r w:rsidRPr="00E929F2">
              <w:rPr>
                <w:color w:val="000000" w:themeColor="text1"/>
              </w:rPr>
              <w:t>semnificativ</w:t>
            </w:r>
            <w:r w:rsidRPr="00E929F2">
              <w:rPr>
                <w:color w:val="000000" w:themeColor="text1"/>
                <w:spacing w:val="1"/>
              </w:rPr>
              <w:t xml:space="preserve"> </w:t>
            </w:r>
            <w:r w:rsidRPr="00E929F2">
              <w:rPr>
                <w:color w:val="000000" w:themeColor="text1"/>
              </w:rPr>
              <w:t>asupra</w:t>
            </w:r>
            <w:r w:rsidRPr="00E929F2">
              <w:rPr>
                <w:color w:val="000000" w:themeColor="text1"/>
                <w:spacing w:val="1"/>
              </w:rPr>
              <w:t xml:space="preserve"> </w:t>
            </w:r>
            <w:r w:rsidRPr="00E929F2">
              <w:rPr>
                <w:color w:val="000000" w:themeColor="text1"/>
              </w:rPr>
              <w:t>proceselor</w:t>
            </w:r>
            <w:r w:rsidRPr="00E929F2">
              <w:rPr>
                <w:color w:val="000000" w:themeColor="text1"/>
                <w:spacing w:val="1"/>
              </w:rPr>
              <w:t xml:space="preserve"> </w:t>
            </w:r>
            <w:r w:rsidRPr="00E929F2">
              <w:rPr>
                <w:color w:val="000000" w:themeColor="text1"/>
              </w:rPr>
              <w:t>ecologice.</w:t>
            </w:r>
          </w:p>
          <w:p w14:paraId="2DAEABC5" w14:textId="77777777" w:rsidR="00E929F2" w:rsidRPr="00E929F2" w:rsidRDefault="00E929F2" w:rsidP="009E63E5">
            <w:pPr>
              <w:widowControl w:val="0"/>
              <w:numPr>
                <w:ilvl w:val="0"/>
                <w:numId w:val="104"/>
              </w:numPr>
              <w:tabs>
                <w:tab w:val="left" w:pos="829"/>
              </w:tabs>
              <w:autoSpaceDE w:val="0"/>
              <w:autoSpaceDN w:val="0"/>
              <w:ind w:right="95"/>
              <w:jc w:val="both"/>
              <w:rPr>
                <w:color w:val="000000" w:themeColor="text1"/>
              </w:rPr>
            </w:pPr>
            <w:r w:rsidRPr="00E929F2">
              <w:rPr>
                <w:color w:val="000000" w:themeColor="text1"/>
              </w:rPr>
              <w:t>Este posibil ca restaurarea să crească suprafața habitatului, dar a</w:t>
            </w:r>
            <w:r w:rsidRPr="00E929F2">
              <w:rPr>
                <w:color w:val="000000" w:themeColor="text1"/>
                <w:spacing w:val="1"/>
              </w:rPr>
              <w:t xml:space="preserve"> </w:t>
            </w:r>
            <w:r w:rsidRPr="00E929F2">
              <w:rPr>
                <w:color w:val="000000" w:themeColor="text1"/>
              </w:rPr>
              <w:t>scăzut</w:t>
            </w:r>
            <w:r w:rsidRPr="00E929F2">
              <w:rPr>
                <w:color w:val="000000" w:themeColor="text1"/>
                <w:spacing w:val="1"/>
              </w:rPr>
              <w:t xml:space="preserve"> </w:t>
            </w:r>
            <w:r w:rsidRPr="00E929F2">
              <w:rPr>
                <w:color w:val="000000" w:themeColor="text1"/>
              </w:rPr>
              <w:t>proporția</w:t>
            </w:r>
            <w:r w:rsidRPr="00E929F2">
              <w:rPr>
                <w:color w:val="000000" w:themeColor="text1"/>
                <w:spacing w:val="1"/>
              </w:rPr>
              <w:t xml:space="preserve"> </w:t>
            </w:r>
            <w:r w:rsidRPr="00E929F2">
              <w:rPr>
                <w:color w:val="000000" w:themeColor="text1"/>
              </w:rPr>
              <w:t>de</w:t>
            </w:r>
            <w:r w:rsidRPr="00E929F2">
              <w:rPr>
                <w:color w:val="000000" w:themeColor="text1"/>
                <w:spacing w:val="1"/>
              </w:rPr>
              <w:t xml:space="preserve"> </w:t>
            </w:r>
            <w:r w:rsidRPr="00E929F2">
              <w:rPr>
                <w:color w:val="000000" w:themeColor="text1"/>
              </w:rPr>
              <w:t>habitat</w:t>
            </w:r>
            <w:r w:rsidRPr="00E929F2">
              <w:rPr>
                <w:color w:val="000000" w:themeColor="text1"/>
                <w:spacing w:val="1"/>
              </w:rPr>
              <w:t xml:space="preserve"> </w:t>
            </w:r>
            <w:r w:rsidRPr="00E929F2">
              <w:rPr>
                <w:color w:val="000000" w:themeColor="text1"/>
              </w:rPr>
              <w:t>în</w:t>
            </w:r>
            <w:r w:rsidRPr="00E929F2">
              <w:rPr>
                <w:color w:val="000000" w:themeColor="text1"/>
                <w:spacing w:val="1"/>
              </w:rPr>
              <w:t xml:space="preserve"> </w:t>
            </w:r>
            <w:r w:rsidRPr="00E929F2">
              <w:rPr>
                <w:color w:val="000000" w:themeColor="text1"/>
              </w:rPr>
              <w:t>condiții</w:t>
            </w:r>
            <w:r w:rsidRPr="00E929F2">
              <w:rPr>
                <w:color w:val="000000" w:themeColor="text1"/>
                <w:spacing w:val="1"/>
              </w:rPr>
              <w:t xml:space="preserve"> </w:t>
            </w:r>
            <w:r w:rsidRPr="00E929F2">
              <w:rPr>
                <w:color w:val="000000" w:themeColor="text1"/>
              </w:rPr>
              <w:t>„nu</w:t>
            </w:r>
            <w:r w:rsidRPr="00E929F2">
              <w:rPr>
                <w:color w:val="000000" w:themeColor="text1"/>
                <w:spacing w:val="1"/>
              </w:rPr>
              <w:t xml:space="preserve"> </w:t>
            </w:r>
            <w:r w:rsidRPr="00E929F2">
              <w:rPr>
                <w:color w:val="000000" w:themeColor="text1"/>
              </w:rPr>
              <w:t>bune”,</w:t>
            </w:r>
            <w:r w:rsidRPr="00E929F2">
              <w:rPr>
                <w:color w:val="000000" w:themeColor="text1"/>
                <w:spacing w:val="1"/>
              </w:rPr>
              <w:t xml:space="preserve"> </w:t>
            </w:r>
            <w:r w:rsidRPr="00E929F2">
              <w:rPr>
                <w:color w:val="000000" w:themeColor="text1"/>
              </w:rPr>
              <w:t>întrucât</w:t>
            </w:r>
            <w:r w:rsidRPr="00E929F2">
              <w:rPr>
                <w:color w:val="000000" w:themeColor="text1"/>
                <w:spacing w:val="1"/>
              </w:rPr>
              <w:t xml:space="preserve"> </w:t>
            </w:r>
            <w:r w:rsidRPr="00E929F2">
              <w:rPr>
                <w:color w:val="000000" w:themeColor="text1"/>
              </w:rPr>
              <w:t>zona</w:t>
            </w:r>
            <w:r w:rsidRPr="00E929F2">
              <w:rPr>
                <w:color w:val="000000" w:themeColor="text1"/>
                <w:spacing w:val="-57"/>
              </w:rPr>
              <w:t xml:space="preserve"> </w:t>
            </w:r>
            <w:r w:rsidRPr="00E929F2">
              <w:rPr>
                <w:color w:val="000000" w:themeColor="text1"/>
              </w:rPr>
              <w:t>restaurată nu este încă în stare „bună”. În astfel de cazuri, dacă zona</w:t>
            </w:r>
            <w:r w:rsidRPr="00E929F2">
              <w:rPr>
                <w:color w:val="000000" w:themeColor="text1"/>
                <w:spacing w:val="-57"/>
              </w:rPr>
              <w:t xml:space="preserve"> </w:t>
            </w:r>
            <w:r w:rsidRPr="00E929F2">
              <w:rPr>
                <w:color w:val="000000" w:themeColor="text1"/>
              </w:rPr>
              <w:t>în stare „bună” este mai mică de 90% din suprafața habitatului,</w:t>
            </w:r>
            <w:r w:rsidRPr="00E929F2">
              <w:rPr>
                <w:color w:val="000000" w:themeColor="text1"/>
                <w:spacing w:val="1"/>
              </w:rPr>
              <w:t xml:space="preserve"> </w:t>
            </w:r>
            <w:r w:rsidRPr="00E929F2">
              <w:rPr>
                <w:color w:val="000000" w:themeColor="text1"/>
              </w:rPr>
              <w:t>habitatul nu ar trebui să fie „favorabil” pentru parametrul Structura</w:t>
            </w:r>
            <w:r w:rsidRPr="00E929F2">
              <w:rPr>
                <w:color w:val="000000" w:themeColor="text1"/>
                <w:spacing w:val="1"/>
              </w:rPr>
              <w:t xml:space="preserve"> </w:t>
            </w:r>
            <w:r w:rsidRPr="00E929F2">
              <w:rPr>
                <w:color w:val="000000" w:themeColor="text1"/>
              </w:rPr>
              <w:t>și funcțiile (a se vedea mai sus, punctul 1). Astfel de cazuri apar cel</w:t>
            </w:r>
            <w:r w:rsidRPr="00E929F2">
              <w:rPr>
                <w:color w:val="000000" w:themeColor="text1"/>
                <w:spacing w:val="1"/>
              </w:rPr>
              <w:t xml:space="preserve"> </w:t>
            </w:r>
            <w:r w:rsidRPr="00E929F2">
              <w:rPr>
                <w:color w:val="000000" w:themeColor="text1"/>
              </w:rPr>
              <w:t>mai probabil în cazul în care zona habitatului este mai mică decât</w:t>
            </w:r>
            <w:r w:rsidRPr="00E929F2">
              <w:rPr>
                <w:color w:val="000000" w:themeColor="text1"/>
                <w:spacing w:val="1"/>
              </w:rPr>
              <w:t xml:space="preserve"> </w:t>
            </w:r>
            <w:r w:rsidRPr="00E929F2">
              <w:rPr>
                <w:color w:val="000000" w:themeColor="text1"/>
              </w:rPr>
              <w:t>valoarea</w:t>
            </w:r>
            <w:r w:rsidRPr="00E929F2">
              <w:rPr>
                <w:color w:val="000000" w:themeColor="text1"/>
                <w:spacing w:val="56"/>
              </w:rPr>
              <w:t xml:space="preserve"> </w:t>
            </w:r>
            <w:r w:rsidRPr="00E929F2">
              <w:rPr>
                <w:color w:val="000000" w:themeColor="text1"/>
              </w:rPr>
              <w:t>de</w:t>
            </w:r>
            <w:r w:rsidRPr="00E929F2">
              <w:rPr>
                <w:color w:val="000000" w:themeColor="text1"/>
                <w:spacing w:val="57"/>
              </w:rPr>
              <w:t xml:space="preserve"> </w:t>
            </w:r>
            <w:r w:rsidRPr="00E929F2">
              <w:rPr>
                <w:color w:val="000000" w:themeColor="text1"/>
              </w:rPr>
              <w:t>referință</w:t>
            </w:r>
            <w:r w:rsidRPr="00E929F2">
              <w:rPr>
                <w:color w:val="000000" w:themeColor="text1"/>
                <w:spacing w:val="58"/>
              </w:rPr>
              <w:t xml:space="preserve"> </w:t>
            </w:r>
            <w:r w:rsidRPr="00E929F2">
              <w:rPr>
                <w:color w:val="000000" w:themeColor="text1"/>
              </w:rPr>
              <w:t>și</w:t>
            </w:r>
            <w:r w:rsidRPr="00E929F2">
              <w:rPr>
                <w:color w:val="000000" w:themeColor="text1"/>
                <w:spacing w:val="58"/>
              </w:rPr>
              <w:t xml:space="preserve"> </w:t>
            </w:r>
            <w:r w:rsidRPr="00E929F2">
              <w:rPr>
                <w:color w:val="000000" w:themeColor="text1"/>
              </w:rPr>
              <w:t>starea  generală</w:t>
            </w:r>
            <w:r w:rsidRPr="00E929F2">
              <w:rPr>
                <w:color w:val="000000" w:themeColor="text1"/>
                <w:spacing w:val="58"/>
              </w:rPr>
              <w:t xml:space="preserve"> </w:t>
            </w:r>
            <w:r w:rsidRPr="00E929F2">
              <w:rPr>
                <w:color w:val="000000" w:themeColor="text1"/>
              </w:rPr>
              <w:t>de  conservare</w:t>
            </w:r>
            <w:r w:rsidRPr="00E929F2">
              <w:rPr>
                <w:color w:val="000000" w:themeColor="text1"/>
                <w:spacing w:val="56"/>
              </w:rPr>
              <w:t xml:space="preserve"> </w:t>
            </w:r>
            <w:r w:rsidRPr="00E929F2">
              <w:rPr>
                <w:color w:val="000000" w:themeColor="text1"/>
              </w:rPr>
              <w:t>ar  fi</w:t>
            </w:r>
            <w:r w:rsidRPr="00E929F2">
              <w:rPr>
                <w:color w:val="000000" w:themeColor="text1"/>
                <w:spacing w:val="58"/>
              </w:rPr>
              <w:t xml:space="preserve"> </w:t>
            </w:r>
            <w:r w:rsidRPr="00E929F2">
              <w:rPr>
                <w:color w:val="000000" w:themeColor="text1"/>
              </w:rPr>
              <w:t>fost</w:t>
            </w:r>
          </w:p>
          <w:p w14:paraId="21006754" w14:textId="77777777" w:rsidR="00E929F2" w:rsidRPr="00E929F2" w:rsidRDefault="00E929F2" w:rsidP="00E929F2">
            <w:pPr>
              <w:widowControl w:val="0"/>
              <w:autoSpaceDE w:val="0"/>
              <w:autoSpaceDN w:val="0"/>
              <w:spacing w:before="1" w:line="272" w:lineRule="exact"/>
              <w:ind w:left="828"/>
              <w:jc w:val="both"/>
              <w:rPr>
                <w:color w:val="000000" w:themeColor="text1"/>
              </w:rPr>
            </w:pPr>
            <w:r w:rsidRPr="00E929F2">
              <w:rPr>
                <w:color w:val="000000" w:themeColor="text1"/>
              </w:rPr>
              <w:t>„defavorabilă”</w:t>
            </w:r>
            <w:r w:rsidRPr="00E929F2">
              <w:rPr>
                <w:color w:val="000000" w:themeColor="text1"/>
                <w:spacing w:val="-3"/>
              </w:rPr>
              <w:t xml:space="preserve"> </w:t>
            </w:r>
            <w:r w:rsidRPr="00E929F2">
              <w:rPr>
                <w:color w:val="000000" w:themeColor="text1"/>
              </w:rPr>
              <w:t>indiferent de</w:t>
            </w:r>
            <w:r w:rsidRPr="00E929F2">
              <w:rPr>
                <w:color w:val="000000" w:themeColor="text1"/>
                <w:spacing w:val="-3"/>
              </w:rPr>
              <w:t xml:space="preserve"> </w:t>
            </w:r>
            <w:r w:rsidRPr="00E929F2">
              <w:rPr>
                <w:color w:val="000000" w:themeColor="text1"/>
              </w:rPr>
              <w:t>structură</w:t>
            </w:r>
            <w:r w:rsidRPr="00E929F2">
              <w:rPr>
                <w:color w:val="000000" w:themeColor="text1"/>
                <w:spacing w:val="-4"/>
              </w:rPr>
              <w:t xml:space="preserve"> </w:t>
            </w:r>
            <w:r w:rsidRPr="00E929F2">
              <w:rPr>
                <w:color w:val="000000" w:themeColor="text1"/>
              </w:rPr>
              <w:t>și</w:t>
            </w:r>
            <w:r w:rsidRPr="00E929F2">
              <w:rPr>
                <w:color w:val="000000" w:themeColor="text1"/>
                <w:spacing w:val="-3"/>
              </w:rPr>
              <w:t xml:space="preserve"> </w:t>
            </w:r>
            <w:r w:rsidRPr="00E929F2">
              <w:rPr>
                <w:color w:val="000000" w:themeColor="text1"/>
              </w:rPr>
              <w:t>funcții.</w:t>
            </w:r>
          </w:p>
        </w:tc>
      </w:tr>
      <w:tr w:rsidR="00E929F2" w:rsidRPr="00E929F2" w14:paraId="27318D0E" w14:textId="77777777" w:rsidTr="0017673F">
        <w:trPr>
          <w:trHeight w:val="4713"/>
        </w:trPr>
        <w:tc>
          <w:tcPr>
            <w:tcW w:w="1515" w:type="dxa"/>
          </w:tcPr>
          <w:p w14:paraId="476B2E35" w14:textId="77777777" w:rsidR="00E929F2" w:rsidRPr="00E929F2" w:rsidRDefault="00E929F2" w:rsidP="00E929F2">
            <w:pPr>
              <w:widowControl w:val="0"/>
              <w:autoSpaceDE w:val="0"/>
              <w:autoSpaceDN w:val="0"/>
              <w:jc w:val="both"/>
              <w:rPr>
                <w:color w:val="000000" w:themeColor="text1"/>
              </w:rPr>
            </w:pPr>
          </w:p>
          <w:p w14:paraId="75D8752D" w14:textId="77777777" w:rsidR="00E929F2" w:rsidRPr="00E929F2" w:rsidRDefault="00E929F2" w:rsidP="00E929F2">
            <w:pPr>
              <w:widowControl w:val="0"/>
              <w:autoSpaceDE w:val="0"/>
              <w:autoSpaceDN w:val="0"/>
              <w:jc w:val="both"/>
              <w:rPr>
                <w:color w:val="000000" w:themeColor="text1"/>
              </w:rPr>
            </w:pPr>
          </w:p>
          <w:p w14:paraId="0C143BF5" w14:textId="77777777" w:rsidR="00E929F2" w:rsidRPr="00E929F2" w:rsidRDefault="00E929F2" w:rsidP="00E929F2">
            <w:pPr>
              <w:widowControl w:val="0"/>
              <w:autoSpaceDE w:val="0"/>
              <w:autoSpaceDN w:val="0"/>
              <w:jc w:val="both"/>
              <w:rPr>
                <w:color w:val="000000" w:themeColor="text1"/>
              </w:rPr>
            </w:pPr>
          </w:p>
          <w:p w14:paraId="7F4CDC2C" w14:textId="77777777" w:rsidR="00E929F2" w:rsidRPr="00E929F2" w:rsidRDefault="00E929F2" w:rsidP="00E929F2">
            <w:pPr>
              <w:widowControl w:val="0"/>
              <w:autoSpaceDE w:val="0"/>
              <w:autoSpaceDN w:val="0"/>
              <w:jc w:val="both"/>
              <w:rPr>
                <w:color w:val="000000" w:themeColor="text1"/>
              </w:rPr>
            </w:pPr>
          </w:p>
          <w:p w14:paraId="42A790B3" w14:textId="77777777" w:rsidR="00E929F2" w:rsidRPr="00E929F2" w:rsidRDefault="00E929F2" w:rsidP="00E929F2">
            <w:pPr>
              <w:widowControl w:val="0"/>
              <w:autoSpaceDE w:val="0"/>
              <w:autoSpaceDN w:val="0"/>
              <w:jc w:val="both"/>
              <w:rPr>
                <w:color w:val="000000" w:themeColor="text1"/>
              </w:rPr>
            </w:pPr>
          </w:p>
          <w:p w14:paraId="316701AA" w14:textId="77777777" w:rsidR="00E929F2" w:rsidRPr="00E929F2" w:rsidRDefault="00E929F2" w:rsidP="00E929F2">
            <w:pPr>
              <w:widowControl w:val="0"/>
              <w:autoSpaceDE w:val="0"/>
              <w:autoSpaceDN w:val="0"/>
              <w:jc w:val="both"/>
              <w:rPr>
                <w:color w:val="000000" w:themeColor="text1"/>
              </w:rPr>
            </w:pPr>
          </w:p>
          <w:p w14:paraId="57B79A0B" w14:textId="77777777" w:rsidR="00E929F2" w:rsidRPr="00E929F2" w:rsidRDefault="00E929F2" w:rsidP="00E929F2">
            <w:pPr>
              <w:widowControl w:val="0"/>
              <w:autoSpaceDE w:val="0"/>
              <w:autoSpaceDN w:val="0"/>
              <w:spacing w:before="6"/>
              <w:jc w:val="both"/>
              <w:rPr>
                <w:color w:val="000000" w:themeColor="text1"/>
              </w:rPr>
            </w:pPr>
          </w:p>
          <w:p w14:paraId="399D762F" w14:textId="77777777" w:rsidR="00E929F2" w:rsidRPr="00E929F2" w:rsidRDefault="00E929F2" w:rsidP="00E929F2">
            <w:pPr>
              <w:widowControl w:val="0"/>
              <w:autoSpaceDE w:val="0"/>
              <w:autoSpaceDN w:val="0"/>
              <w:ind w:left="108" w:right="253"/>
              <w:jc w:val="both"/>
              <w:rPr>
                <w:color w:val="000000" w:themeColor="text1"/>
              </w:rPr>
            </w:pPr>
            <w:r w:rsidRPr="00E929F2">
              <w:rPr>
                <w:color w:val="000000" w:themeColor="text1"/>
              </w:rPr>
              <w:t>Nefavorabil-</w:t>
            </w:r>
            <w:r w:rsidRPr="00E929F2">
              <w:rPr>
                <w:color w:val="000000" w:themeColor="text1"/>
                <w:spacing w:val="1"/>
              </w:rPr>
              <w:t xml:space="preserve"> </w:t>
            </w:r>
            <w:r w:rsidRPr="00E929F2">
              <w:rPr>
                <w:color w:val="000000" w:themeColor="text1"/>
              </w:rPr>
              <w:t>inadecvat</w:t>
            </w:r>
            <w:r w:rsidRPr="00E929F2">
              <w:rPr>
                <w:color w:val="000000" w:themeColor="text1"/>
                <w:spacing w:val="-14"/>
              </w:rPr>
              <w:t xml:space="preserve"> </w:t>
            </w:r>
            <w:r w:rsidRPr="00E929F2">
              <w:rPr>
                <w:color w:val="000000" w:themeColor="text1"/>
              </w:rPr>
              <w:t>(U1)</w:t>
            </w:r>
          </w:p>
        </w:tc>
        <w:tc>
          <w:tcPr>
            <w:tcW w:w="7775" w:type="dxa"/>
          </w:tcPr>
          <w:p w14:paraId="68CBA8E9" w14:textId="77777777" w:rsidR="00E929F2" w:rsidRPr="00E929F2" w:rsidRDefault="00E929F2" w:rsidP="00E929F2">
            <w:pPr>
              <w:widowControl w:val="0"/>
              <w:autoSpaceDE w:val="0"/>
              <w:autoSpaceDN w:val="0"/>
              <w:spacing w:line="260" w:lineRule="exact"/>
              <w:ind w:left="107"/>
              <w:jc w:val="both"/>
              <w:rPr>
                <w:color w:val="000000" w:themeColor="text1"/>
              </w:rPr>
            </w:pPr>
            <w:r w:rsidRPr="00E929F2">
              <w:rPr>
                <w:color w:val="000000" w:themeColor="text1"/>
              </w:rPr>
              <w:t>Conform</w:t>
            </w:r>
            <w:r w:rsidRPr="00E929F2">
              <w:rPr>
                <w:color w:val="000000" w:themeColor="text1"/>
                <w:spacing w:val="71"/>
              </w:rPr>
              <w:t xml:space="preserve"> </w:t>
            </w:r>
            <w:r w:rsidRPr="00E929F2">
              <w:rPr>
                <w:color w:val="000000" w:themeColor="text1"/>
              </w:rPr>
              <w:t xml:space="preserve">matricei  </w:t>
            </w:r>
            <w:r w:rsidRPr="00E929F2">
              <w:rPr>
                <w:color w:val="000000" w:themeColor="text1"/>
                <w:spacing w:val="10"/>
              </w:rPr>
              <w:t xml:space="preserve"> </w:t>
            </w:r>
            <w:r w:rsidRPr="00E929F2">
              <w:rPr>
                <w:color w:val="000000" w:themeColor="text1"/>
              </w:rPr>
              <w:t xml:space="preserve">de  </w:t>
            </w:r>
            <w:r w:rsidRPr="00E929F2">
              <w:rPr>
                <w:color w:val="000000" w:themeColor="text1"/>
                <w:spacing w:val="11"/>
              </w:rPr>
              <w:t xml:space="preserve"> </w:t>
            </w:r>
            <w:r w:rsidRPr="00E929F2">
              <w:rPr>
                <w:color w:val="000000" w:themeColor="text1"/>
              </w:rPr>
              <w:t xml:space="preserve">evaluare  </w:t>
            </w:r>
            <w:r w:rsidRPr="00E929F2">
              <w:rPr>
                <w:color w:val="000000" w:themeColor="text1"/>
                <w:spacing w:val="8"/>
              </w:rPr>
              <w:t xml:space="preserve"> </w:t>
            </w:r>
            <w:r w:rsidRPr="00E929F2">
              <w:rPr>
                <w:color w:val="000000" w:themeColor="text1"/>
              </w:rPr>
              <w:t xml:space="preserve">(anexa  </w:t>
            </w:r>
            <w:r w:rsidRPr="00E929F2">
              <w:rPr>
                <w:color w:val="000000" w:themeColor="text1"/>
                <w:spacing w:val="8"/>
              </w:rPr>
              <w:t xml:space="preserve"> </w:t>
            </w:r>
            <w:r w:rsidRPr="00E929F2">
              <w:rPr>
                <w:color w:val="000000" w:themeColor="text1"/>
              </w:rPr>
              <w:t xml:space="preserve">E),  </w:t>
            </w:r>
            <w:r w:rsidRPr="00E929F2">
              <w:rPr>
                <w:color w:val="000000" w:themeColor="text1"/>
                <w:spacing w:val="9"/>
              </w:rPr>
              <w:t xml:space="preserve"> </w:t>
            </w:r>
            <w:r w:rsidRPr="00E929F2">
              <w:rPr>
                <w:color w:val="000000" w:themeColor="text1"/>
              </w:rPr>
              <w:t xml:space="preserve">starea  </w:t>
            </w:r>
            <w:r w:rsidRPr="00E929F2">
              <w:rPr>
                <w:color w:val="000000" w:themeColor="text1"/>
                <w:spacing w:val="8"/>
              </w:rPr>
              <w:t xml:space="preserve"> </w:t>
            </w:r>
            <w:r w:rsidRPr="00E929F2">
              <w:rPr>
                <w:color w:val="000000" w:themeColor="text1"/>
              </w:rPr>
              <w:t xml:space="preserve">și  </w:t>
            </w:r>
            <w:r w:rsidRPr="00E929F2">
              <w:rPr>
                <w:color w:val="000000" w:themeColor="text1"/>
                <w:spacing w:val="10"/>
              </w:rPr>
              <w:t xml:space="preserve"> </w:t>
            </w:r>
            <w:r w:rsidRPr="00E929F2">
              <w:rPr>
                <w:color w:val="000000" w:themeColor="text1"/>
              </w:rPr>
              <w:t xml:space="preserve">funcțiile  </w:t>
            </w:r>
            <w:r w:rsidRPr="00E929F2">
              <w:rPr>
                <w:color w:val="000000" w:themeColor="text1"/>
                <w:spacing w:val="8"/>
              </w:rPr>
              <w:t xml:space="preserve"> </w:t>
            </w:r>
            <w:r w:rsidRPr="00E929F2">
              <w:rPr>
                <w:color w:val="000000" w:themeColor="text1"/>
              </w:rPr>
              <w:t>sunt</w:t>
            </w:r>
          </w:p>
          <w:p w14:paraId="681BE98E" w14:textId="77777777" w:rsidR="00E929F2" w:rsidRPr="00E929F2" w:rsidRDefault="00E929F2" w:rsidP="00E929F2">
            <w:pPr>
              <w:widowControl w:val="0"/>
              <w:autoSpaceDE w:val="0"/>
              <w:autoSpaceDN w:val="0"/>
              <w:ind w:left="107"/>
              <w:jc w:val="both"/>
              <w:rPr>
                <w:color w:val="000000" w:themeColor="text1"/>
              </w:rPr>
            </w:pPr>
            <w:r w:rsidRPr="00E929F2">
              <w:rPr>
                <w:color w:val="000000" w:themeColor="text1"/>
              </w:rPr>
              <w:t>„nefavorabile-inadecvate”</w:t>
            </w:r>
            <w:r w:rsidRPr="00E929F2">
              <w:rPr>
                <w:color w:val="000000" w:themeColor="text1"/>
                <w:spacing w:val="-4"/>
              </w:rPr>
              <w:t xml:space="preserve"> </w:t>
            </w:r>
            <w:r w:rsidRPr="00E929F2">
              <w:rPr>
                <w:color w:val="000000" w:themeColor="text1"/>
              </w:rPr>
              <w:t>dacă:</w:t>
            </w:r>
          </w:p>
          <w:p w14:paraId="11DBD08B" w14:textId="77777777" w:rsidR="00E929F2" w:rsidRPr="00E929F2" w:rsidRDefault="00E929F2" w:rsidP="009E63E5">
            <w:pPr>
              <w:widowControl w:val="0"/>
              <w:numPr>
                <w:ilvl w:val="0"/>
                <w:numId w:val="103"/>
              </w:numPr>
              <w:tabs>
                <w:tab w:val="left" w:pos="828"/>
                <w:tab w:val="left" w:pos="829"/>
              </w:tabs>
              <w:autoSpaceDE w:val="0"/>
              <w:autoSpaceDN w:val="0"/>
              <w:spacing w:line="286" w:lineRule="exact"/>
              <w:ind w:hanging="362"/>
              <w:jc w:val="both"/>
              <w:rPr>
                <w:color w:val="000000" w:themeColor="text1"/>
              </w:rPr>
            </w:pPr>
            <w:r w:rsidRPr="00E929F2">
              <w:rPr>
                <w:color w:val="000000" w:themeColor="text1"/>
              </w:rPr>
              <w:t>orice</w:t>
            </w:r>
            <w:r w:rsidRPr="00E929F2">
              <w:rPr>
                <w:color w:val="000000" w:themeColor="text1"/>
                <w:spacing w:val="53"/>
              </w:rPr>
              <w:t xml:space="preserve"> </w:t>
            </w:r>
            <w:r w:rsidRPr="00E929F2">
              <w:rPr>
                <w:color w:val="000000" w:themeColor="text1"/>
              </w:rPr>
              <w:t>altă</w:t>
            </w:r>
            <w:r w:rsidRPr="00E929F2">
              <w:rPr>
                <w:color w:val="000000" w:themeColor="text1"/>
                <w:spacing w:val="55"/>
              </w:rPr>
              <w:t xml:space="preserve"> </w:t>
            </w:r>
            <w:r w:rsidRPr="00E929F2">
              <w:rPr>
                <w:color w:val="000000" w:themeColor="text1"/>
              </w:rPr>
              <w:t>combinație</w:t>
            </w:r>
            <w:r w:rsidRPr="00E929F2">
              <w:rPr>
                <w:color w:val="000000" w:themeColor="text1"/>
                <w:spacing w:val="54"/>
              </w:rPr>
              <w:t xml:space="preserve"> </w:t>
            </w:r>
            <w:r w:rsidRPr="00E929F2">
              <w:rPr>
                <w:color w:val="000000" w:themeColor="text1"/>
              </w:rPr>
              <w:t>(o</w:t>
            </w:r>
            <w:r w:rsidRPr="00E929F2">
              <w:rPr>
                <w:color w:val="000000" w:themeColor="text1"/>
                <w:spacing w:val="57"/>
              </w:rPr>
              <w:t xml:space="preserve"> </w:t>
            </w:r>
            <w:r w:rsidRPr="00E929F2">
              <w:rPr>
                <w:color w:val="000000" w:themeColor="text1"/>
              </w:rPr>
              <w:t>altă</w:t>
            </w:r>
            <w:r w:rsidRPr="00E929F2">
              <w:rPr>
                <w:color w:val="000000" w:themeColor="text1"/>
                <w:spacing w:val="54"/>
              </w:rPr>
              <w:t xml:space="preserve"> </w:t>
            </w:r>
            <w:r w:rsidRPr="00E929F2">
              <w:rPr>
                <w:color w:val="000000" w:themeColor="text1"/>
              </w:rPr>
              <w:t>combinație</w:t>
            </w:r>
            <w:r w:rsidRPr="00E929F2">
              <w:rPr>
                <w:color w:val="000000" w:themeColor="text1"/>
                <w:spacing w:val="55"/>
              </w:rPr>
              <w:t xml:space="preserve"> </w:t>
            </w:r>
            <w:r w:rsidRPr="00E929F2">
              <w:rPr>
                <w:color w:val="000000" w:themeColor="text1"/>
              </w:rPr>
              <w:t>de</w:t>
            </w:r>
            <w:r w:rsidRPr="00E929F2">
              <w:rPr>
                <w:color w:val="000000" w:themeColor="text1"/>
                <w:spacing w:val="54"/>
              </w:rPr>
              <w:t xml:space="preserve"> </w:t>
            </w:r>
            <w:r w:rsidRPr="00E929F2">
              <w:rPr>
                <w:color w:val="000000" w:themeColor="text1"/>
              </w:rPr>
              <w:t>criterii</w:t>
            </w:r>
            <w:r w:rsidRPr="00E929F2">
              <w:rPr>
                <w:color w:val="000000" w:themeColor="text1"/>
                <w:spacing w:val="57"/>
              </w:rPr>
              <w:t xml:space="preserve"> </w:t>
            </w:r>
            <w:r w:rsidRPr="00E929F2">
              <w:rPr>
                <w:color w:val="000000" w:themeColor="text1"/>
              </w:rPr>
              <w:t>decât</w:t>
            </w:r>
            <w:r w:rsidRPr="00E929F2">
              <w:rPr>
                <w:color w:val="000000" w:themeColor="text1"/>
                <w:spacing w:val="56"/>
              </w:rPr>
              <w:t xml:space="preserve"> </w:t>
            </w:r>
            <w:r w:rsidRPr="00E929F2">
              <w:rPr>
                <w:color w:val="000000" w:themeColor="text1"/>
              </w:rPr>
              <w:t>pentru</w:t>
            </w:r>
          </w:p>
          <w:p w14:paraId="38DC23D0" w14:textId="77777777" w:rsidR="00E929F2" w:rsidRPr="00E929F2" w:rsidRDefault="00E929F2" w:rsidP="00E929F2">
            <w:pPr>
              <w:widowControl w:val="0"/>
              <w:autoSpaceDE w:val="0"/>
              <w:autoSpaceDN w:val="0"/>
              <w:spacing w:line="269" w:lineRule="exact"/>
              <w:ind w:left="828"/>
              <w:jc w:val="both"/>
              <w:rPr>
                <w:color w:val="000000" w:themeColor="text1"/>
              </w:rPr>
            </w:pPr>
            <w:r w:rsidRPr="00E929F2">
              <w:rPr>
                <w:color w:val="000000" w:themeColor="text1"/>
              </w:rPr>
              <w:t>„favorabil”</w:t>
            </w:r>
            <w:r w:rsidRPr="00E929F2">
              <w:rPr>
                <w:color w:val="000000" w:themeColor="text1"/>
                <w:spacing w:val="-3"/>
              </w:rPr>
              <w:t xml:space="preserve"> </w:t>
            </w:r>
            <w:r w:rsidRPr="00E929F2">
              <w:rPr>
                <w:color w:val="000000" w:themeColor="text1"/>
              </w:rPr>
              <w:t>sau</w:t>
            </w:r>
            <w:r w:rsidRPr="00E929F2">
              <w:rPr>
                <w:color w:val="000000" w:themeColor="text1"/>
                <w:spacing w:val="-2"/>
              </w:rPr>
              <w:t xml:space="preserve"> </w:t>
            </w:r>
            <w:r w:rsidRPr="00E929F2">
              <w:rPr>
                <w:color w:val="000000" w:themeColor="text1"/>
              </w:rPr>
              <w:t>„nefavorabil-rău”).</w:t>
            </w:r>
          </w:p>
          <w:p w14:paraId="7056A8B1" w14:textId="77777777" w:rsidR="00E929F2" w:rsidRPr="00E929F2" w:rsidRDefault="00E929F2" w:rsidP="00E929F2">
            <w:pPr>
              <w:widowControl w:val="0"/>
              <w:autoSpaceDE w:val="0"/>
              <w:autoSpaceDN w:val="0"/>
              <w:ind w:left="107"/>
              <w:jc w:val="both"/>
              <w:rPr>
                <w:color w:val="000000" w:themeColor="text1"/>
              </w:rPr>
            </w:pPr>
            <w:r w:rsidRPr="00E929F2">
              <w:rPr>
                <w:color w:val="000000" w:themeColor="text1"/>
              </w:rPr>
              <w:t>Informațiisuplimentare:</w:t>
            </w:r>
          </w:p>
          <w:p w14:paraId="47928F1A" w14:textId="77777777" w:rsidR="00E929F2" w:rsidRPr="00E929F2" w:rsidRDefault="00E929F2" w:rsidP="009E63E5">
            <w:pPr>
              <w:widowControl w:val="0"/>
              <w:numPr>
                <w:ilvl w:val="0"/>
                <w:numId w:val="103"/>
              </w:numPr>
              <w:tabs>
                <w:tab w:val="left" w:pos="829"/>
              </w:tabs>
              <w:autoSpaceDE w:val="0"/>
              <w:autoSpaceDN w:val="0"/>
              <w:spacing w:line="287" w:lineRule="exact"/>
              <w:ind w:hanging="362"/>
              <w:jc w:val="both"/>
              <w:rPr>
                <w:color w:val="000000" w:themeColor="text1"/>
              </w:rPr>
            </w:pPr>
            <w:r w:rsidRPr="00E929F2">
              <w:rPr>
                <w:color w:val="000000" w:themeColor="text1"/>
              </w:rPr>
              <w:t>Matricea</w:t>
            </w:r>
            <w:r w:rsidRPr="00E929F2">
              <w:rPr>
                <w:color w:val="000000" w:themeColor="text1"/>
                <w:spacing w:val="53"/>
              </w:rPr>
              <w:t xml:space="preserve"> </w:t>
            </w:r>
            <w:r w:rsidRPr="00E929F2">
              <w:rPr>
                <w:color w:val="000000" w:themeColor="text1"/>
              </w:rPr>
              <w:t>de</w:t>
            </w:r>
            <w:r w:rsidRPr="00E929F2">
              <w:rPr>
                <w:color w:val="000000" w:themeColor="text1"/>
                <w:spacing w:val="54"/>
              </w:rPr>
              <w:t xml:space="preserve"> </w:t>
            </w:r>
            <w:r w:rsidRPr="00E929F2">
              <w:rPr>
                <w:color w:val="000000" w:themeColor="text1"/>
              </w:rPr>
              <w:t>evaluare</w:t>
            </w:r>
            <w:r w:rsidRPr="00E929F2">
              <w:rPr>
                <w:color w:val="000000" w:themeColor="text1"/>
                <w:spacing w:val="52"/>
              </w:rPr>
              <w:t xml:space="preserve"> </w:t>
            </w:r>
            <w:r w:rsidRPr="00E929F2">
              <w:rPr>
                <w:color w:val="000000" w:themeColor="text1"/>
              </w:rPr>
              <w:t>nu</w:t>
            </w:r>
            <w:r w:rsidRPr="00E929F2">
              <w:rPr>
                <w:color w:val="000000" w:themeColor="text1"/>
                <w:spacing w:val="54"/>
              </w:rPr>
              <w:t xml:space="preserve"> </w:t>
            </w:r>
            <w:r w:rsidRPr="00E929F2">
              <w:rPr>
                <w:color w:val="000000" w:themeColor="text1"/>
              </w:rPr>
              <w:t>include</w:t>
            </w:r>
            <w:r w:rsidRPr="00E929F2">
              <w:rPr>
                <w:color w:val="000000" w:themeColor="text1"/>
                <w:spacing w:val="53"/>
              </w:rPr>
              <w:t xml:space="preserve"> </w:t>
            </w:r>
            <w:r w:rsidRPr="00E929F2">
              <w:rPr>
                <w:color w:val="000000" w:themeColor="text1"/>
              </w:rPr>
              <w:t>criterii</w:t>
            </w:r>
            <w:r w:rsidRPr="00E929F2">
              <w:rPr>
                <w:color w:val="000000" w:themeColor="text1"/>
                <w:spacing w:val="55"/>
              </w:rPr>
              <w:t xml:space="preserve"> </w:t>
            </w:r>
            <w:r w:rsidRPr="00E929F2">
              <w:rPr>
                <w:color w:val="000000" w:themeColor="text1"/>
              </w:rPr>
              <w:t>explicite</w:t>
            </w:r>
            <w:r w:rsidRPr="00E929F2">
              <w:rPr>
                <w:color w:val="000000" w:themeColor="text1"/>
                <w:spacing w:val="53"/>
              </w:rPr>
              <w:t xml:space="preserve"> </w:t>
            </w:r>
            <w:r w:rsidRPr="00E929F2">
              <w:rPr>
                <w:color w:val="000000" w:themeColor="text1"/>
              </w:rPr>
              <w:t>pentru</w:t>
            </w:r>
            <w:r w:rsidRPr="00E929F2">
              <w:rPr>
                <w:color w:val="000000" w:themeColor="text1"/>
                <w:spacing w:val="54"/>
              </w:rPr>
              <w:t xml:space="preserve"> </w:t>
            </w:r>
            <w:r w:rsidRPr="00E929F2">
              <w:rPr>
                <w:color w:val="000000" w:themeColor="text1"/>
              </w:rPr>
              <w:t>statutul</w:t>
            </w:r>
          </w:p>
          <w:p w14:paraId="5C88BB93" w14:textId="77777777" w:rsidR="00E929F2" w:rsidRPr="00E929F2" w:rsidRDefault="00E929F2" w:rsidP="00E929F2">
            <w:pPr>
              <w:widowControl w:val="0"/>
              <w:autoSpaceDE w:val="0"/>
              <w:autoSpaceDN w:val="0"/>
              <w:ind w:left="828" w:right="95"/>
              <w:jc w:val="both"/>
              <w:rPr>
                <w:color w:val="000000" w:themeColor="text1"/>
              </w:rPr>
            </w:pPr>
            <w:r w:rsidRPr="00E929F2">
              <w:rPr>
                <w:color w:val="000000" w:themeColor="text1"/>
              </w:rPr>
              <w:t>„nefavorabil-inadecvat” al structurii și funcțiilor. Cu toate acestea,</w:t>
            </w:r>
            <w:r w:rsidRPr="00E929F2">
              <w:rPr>
                <w:color w:val="000000" w:themeColor="text1"/>
                <w:spacing w:val="1"/>
              </w:rPr>
              <w:t xml:space="preserve"> </w:t>
            </w:r>
            <w:r w:rsidRPr="00E929F2">
              <w:rPr>
                <w:color w:val="000000" w:themeColor="text1"/>
              </w:rPr>
              <w:t>luând în considerare criteriile pentru „favorabile” și „nefavorabile-</w:t>
            </w:r>
            <w:r w:rsidRPr="00E929F2">
              <w:rPr>
                <w:color w:val="000000" w:themeColor="text1"/>
                <w:spacing w:val="1"/>
              </w:rPr>
              <w:t xml:space="preserve"> </w:t>
            </w:r>
            <w:r w:rsidRPr="00E929F2">
              <w:rPr>
                <w:color w:val="000000" w:themeColor="text1"/>
              </w:rPr>
              <w:t>rele” și criterii complementare pentru statutul „favorabil”, statutul</w:t>
            </w:r>
            <w:r w:rsidRPr="00E929F2">
              <w:rPr>
                <w:color w:val="000000" w:themeColor="text1"/>
                <w:spacing w:val="1"/>
              </w:rPr>
              <w:t xml:space="preserve"> </w:t>
            </w:r>
            <w:r w:rsidRPr="00E929F2">
              <w:rPr>
                <w:color w:val="000000" w:themeColor="text1"/>
              </w:rPr>
              <w:t>de</w:t>
            </w:r>
            <w:r w:rsidRPr="00E929F2">
              <w:rPr>
                <w:color w:val="000000" w:themeColor="text1"/>
                <w:spacing w:val="57"/>
              </w:rPr>
              <w:t xml:space="preserve"> </w:t>
            </w:r>
            <w:r w:rsidRPr="00E929F2">
              <w:rPr>
                <w:color w:val="000000" w:themeColor="text1"/>
              </w:rPr>
              <w:t>Structura</w:t>
            </w:r>
            <w:r w:rsidRPr="00E929F2">
              <w:rPr>
                <w:color w:val="000000" w:themeColor="text1"/>
                <w:spacing w:val="57"/>
              </w:rPr>
              <w:t xml:space="preserve"> </w:t>
            </w:r>
            <w:r w:rsidRPr="00E929F2">
              <w:rPr>
                <w:color w:val="000000" w:themeColor="text1"/>
              </w:rPr>
              <w:t>și</w:t>
            </w:r>
            <w:r w:rsidRPr="00E929F2">
              <w:rPr>
                <w:color w:val="000000" w:themeColor="text1"/>
                <w:spacing w:val="59"/>
              </w:rPr>
              <w:t xml:space="preserve"> </w:t>
            </w:r>
            <w:r w:rsidRPr="00E929F2">
              <w:rPr>
                <w:color w:val="000000" w:themeColor="text1"/>
              </w:rPr>
              <w:t>funcțiile</w:t>
            </w:r>
            <w:r w:rsidRPr="00E929F2">
              <w:rPr>
                <w:color w:val="000000" w:themeColor="text1"/>
                <w:spacing w:val="58"/>
              </w:rPr>
              <w:t xml:space="preserve"> </w:t>
            </w:r>
            <w:r w:rsidRPr="00E929F2">
              <w:rPr>
                <w:color w:val="000000" w:themeColor="text1"/>
              </w:rPr>
              <w:t>ar</w:t>
            </w:r>
            <w:r w:rsidRPr="00E929F2">
              <w:rPr>
                <w:color w:val="000000" w:themeColor="text1"/>
                <w:spacing w:val="58"/>
              </w:rPr>
              <w:t xml:space="preserve"> </w:t>
            </w:r>
            <w:r w:rsidRPr="00E929F2">
              <w:rPr>
                <w:color w:val="000000" w:themeColor="text1"/>
              </w:rPr>
              <w:t>trebui</w:t>
            </w:r>
            <w:r w:rsidRPr="00E929F2">
              <w:rPr>
                <w:color w:val="000000" w:themeColor="text1"/>
                <w:spacing w:val="59"/>
              </w:rPr>
              <w:t xml:space="preserve"> </w:t>
            </w:r>
            <w:r w:rsidRPr="00E929F2">
              <w:rPr>
                <w:color w:val="000000" w:themeColor="text1"/>
              </w:rPr>
              <w:t>considerate</w:t>
            </w:r>
            <w:r w:rsidRPr="00E929F2">
              <w:rPr>
                <w:color w:val="000000" w:themeColor="text1"/>
                <w:spacing w:val="57"/>
              </w:rPr>
              <w:t xml:space="preserve"> </w:t>
            </w:r>
            <w:r w:rsidRPr="00E929F2">
              <w:rPr>
                <w:color w:val="000000" w:themeColor="text1"/>
              </w:rPr>
              <w:t>„nefavorabile-</w:t>
            </w:r>
            <w:r w:rsidRPr="00E929F2">
              <w:rPr>
                <w:color w:val="000000" w:themeColor="text1"/>
                <w:spacing w:val="-58"/>
              </w:rPr>
              <w:t xml:space="preserve"> </w:t>
            </w:r>
            <w:r w:rsidRPr="00E929F2">
              <w:rPr>
                <w:color w:val="000000" w:themeColor="text1"/>
              </w:rPr>
              <w:t>inadecvate”</w:t>
            </w:r>
            <w:r w:rsidRPr="00E929F2">
              <w:rPr>
                <w:color w:val="000000" w:themeColor="text1"/>
                <w:spacing w:val="-2"/>
              </w:rPr>
              <w:t xml:space="preserve"> </w:t>
            </w:r>
            <w:r w:rsidRPr="00E929F2">
              <w:rPr>
                <w:color w:val="000000" w:themeColor="text1"/>
              </w:rPr>
              <w:t>dacă:</w:t>
            </w:r>
          </w:p>
          <w:p w14:paraId="0490DC29" w14:textId="77777777" w:rsidR="00E929F2" w:rsidRPr="00E929F2" w:rsidRDefault="00E929F2" w:rsidP="009E63E5">
            <w:pPr>
              <w:widowControl w:val="0"/>
              <w:numPr>
                <w:ilvl w:val="0"/>
                <w:numId w:val="103"/>
              </w:numPr>
              <w:tabs>
                <w:tab w:val="left" w:pos="828"/>
                <w:tab w:val="left" w:pos="829"/>
              </w:tabs>
              <w:autoSpaceDE w:val="0"/>
              <w:autoSpaceDN w:val="0"/>
              <w:spacing w:before="4" w:line="230" w:lineRule="auto"/>
              <w:ind w:right="97"/>
              <w:jc w:val="both"/>
              <w:rPr>
                <w:color w:val="000000" w:themeColor="text1"/>
              </w:rPr>
            </w:pPr>
            <w:r w:rsidRPr="00E929F2">
              <w:rPr>
                <w:color w:val="000000" w:themeColor="text1"/>
              </w:rPr>
              <w:t>suprafața</w:t>
            </w:r>
            <w:r w:rsidRPr="00E929F2">
              <w:rPr>
                <w:color w:val="000000" w:themeColor="text1"/>
                <w:spacing w:val="2"/>
              </w:rPr>
              <w:t xml:space="preserve"> </w:t>
            </w:r>
            <w:r w:rsidRPr="00E929F2">
              <w:rPr>
                <w:color w:val="000000" w:themeColor="text1"/>
              </w:rPr>
              <w:t>habitatului</w:t>
            </w:r>
            <w:r w:rsidRPr="00E929F2">
              <w:rPr>
                <w:color w:val="000000" w:themeColor="text1"/>
                <w:spacing w:val="3"/>
              </w:rPr>
              <w:t xml:space="preserve"> </w:t>
            </w:r>
            <w:r w:rsidRPr="00E929F2">
              <w:rPr>
                <w:color w:val="000000" w:themeColor="text1"/>
              </w:rPr>
              <w:t>cu</w:t>
            </w:r>
            <w:r w:rsidRPr="00E929F2">
              <w:rPr>
                <w:color w:val="000000" w:themeColor="text1"/>
                <w:spacing w:val="4"/>
              </w:rPr>
              <w:t xml:space="preserve"> </w:t>
            </w:r>
            <w:r w:rsidRPr="00E929F2">
              <w:rPr>
                <w:color w:val="000000" w:themeColor="text1"/>
              </w:rPr>
              <w:t>condiții</w:t>
            </w:r>
            <w:r w:rsidRPr="00E929F2">
              <w:rPr>
                <w:color w:val="000000" w:themeColor="text1"/>
                <w:spacing w:val="59"/>
              </w:rPr>
              <w:t xml:space="preserve"> </w:t>
            </w:r>
            <w:r w:rsidRPr="00E929F2">
              <w:rPr>
                <w:color w:val="000000" w:themeColor="text1"/>
              </w:rPr>
              <w:t>„nefavorabile”</w:t>
            </w:r>
            <w:r w:rsidRPr="00E929F2">
              <w:rPr>
                <w:color w:val="000000" w:themeColor="text1"/>
                <w:spacing w:val="3"/>
              </w:rPr>
              <w:t xml:space="preserve"> </w:t>
            </w:r>
            <w:r w:rsidRPr="00E929F2">
              <w:rPr>
                <w:color w:val="000000" w:themeColor="text1"/>
              </w:rPr>
              <w:t>(„nu</w:t>
            </w:r>
            <w:r w:rsidRPr="00E929F2">
              <w:rPr>
                <w:color w:val="000000" w:themeColor="text1"/>
                <w:spacing w:val="2"/>
              </w:rPr>
              <w:t xml:space="preserve"> </w:t>
            </w:r>
            <w:r w:rsidRPr="00E929F2">
              <w:rPr>
                <w:color w:val="000000" w:themeColor="text1"/>
              </w:rPr>
              <w:t>este</w:t>
            </w:r>
            <w:r w:rsidRPr="00E929F2">
              <w:rPr>
                <w:color w:val="000000" w:themeColor="text1"/>
                <w:spacing w:val="2"/>
              </w:rPr>
              <w:t xml:space="preserve"> </w:t>
            </w:r>
            <w:r w:rsidRPr="00E929F2">
              <w:rPr>
                <w:color w:val="000000" w:themeColor="text1"/>
              </w:rPr>
              <w:t>bine”)</w:t>
            </w:r>
            <w:r w:rsidRPr="00E929F2">
              <w:rPr>
                <w:color w:val="000000" w:themeColor="text1"/>
                <w:spacing w:val="-57"/>
              </w:rPr>
              <w:t xml:space="preserve"> </w:t>
            </w:r>
            <w:r w:rsidRPr="00E929F2">
              <w:rPr>
                <w:color w:val="000000" w:themeColor="text1"/>
              </w:rPr>
              <w:t>(câmpul</w:t>
            </w:r>
            <w:r w:rsidRPr="00E929F2">
              <w:rPr>
                <w:color w:val="000000" w:themeColor="text1"/>
                <w:spacing w:val="-1"/>
              </w:rPr>
              <w:t xml:space="preserve"> </w:t>
            </w:r>
            <w:r w:rsidRPr="00E929F2">
              <w:rPr>
                <w:color w:val="000000" w:themeColor="text1"/>
              </w:rPr>
              <w:t>6.1)</w:t>
            </w:r>
            <w:r w:rsidRPr="00E929F2">
              <w:rPr>
                <w:color w:val="000000" w:themeColor="text1"/>
                <w:spacing w:val="-1"/>
              </w:rPr>
              <w:t xml:space="preserve"> </w:t>
            </w:r>
            <w:r w:rsidRPr="00E929F2">
              <w:rPr>
                <w:color w:val="000000" w:themeColor="text1"/>
              </w:rPr>
              <w:t>este</w:t>
            </w:r>
            <w:r w:rsidRPr="00E929F2">
              <w:rPr>
                <w:color w:val="000000" w:themeColor="text1"/>
                <w:spacing w:val="-1"/>
              </w:rPr>
              <w:t xml:space="preserve"> </w:t>
            </w:r>
            <w:r w:rsidRPr="00E929F2">
              <w:rPr>
                <w:color w:val="000000" w:themeColor="text1"/>
              </w:rPr>
              <w:t>mai mică</w:t>
            </w:r>
            <w:r w:rsidRPr="00E929F2">
              <w:rPr>
                <w:color w:val="000000" w:themeColor="text1"/>
                <w:spacing w:val="-2"/>
              </w:rPr>
              <w:t xml:space="preserve"> </w:t>
            </w:r>
            <w:r w:rsidRPr="00E929F2">
              <w:rPr>
                <w:color w:val="000000" w:themeColor="text1"/>
              </w:rPr>
              <w:t>de</w:t>
            </w:r>
            <w:r w:rsidRPr="00E929F2">
              <w:rPr>
                <w:color w:val="000000" w:themeColor="text1"/>
                <w:spacing w:val="-1"/>
              </w:rPr>
              <w:t xml:space="preserve"> </w:t>
            </w:r>
            <w:r w:rsidRPr="00E929F2">
              <w:rPr>
                <w:color w:val="000000" w:themeColor="text1"/>
              </w:rPr>
              <w:t>25%; și</w:t>
            </w:r>
          </w:p>
          <w:p w14:paraId="445AB7A2" w14:textId="77777777" w:rsidR="00E929F2" w:rsidRPr="00E929F2" w:rsidRDefault="00E929F2" w:rsidP="009E63E5">
            <w:pPr>
              <w:widowControl w:val="0"/>
              <w:numPr>
                <w:ilvl w:val="0"/>
                <w:numId w:val="103"/>
              </w:numPr>
              <w:tabs>
                <w:tab w:val="left" w:pos="828"/>
                <w:tab w:val="left" w:pos="829"/>
              </w:tabs>
              <w:autoSpaceDE w:val="0"/>
              <w:autoSpaceDN w:val="0"/>
              <w:spacing w:before="11" w:line="230" w:lineRule="auto"/>
              <w:ind w:right="101"/>
              <w:jc w:val="both"/>
              <w:rPr>
                <w:color w:val="000000" w:themeColor="text1"/>
              </w:rPr>
            </w:pPr>
            <w:r w:rsidRPr="00E929F2">
              <w:rPr>
                <w:color w:val="000000" w:themeColor="text1"/>
              </w:rPr>
              <w:t>suprafața</w:t>
            </w:r>
            <w:r w:rsidRPr="00E929F2">
              <w:rPr>
                <w:color w:val="000000" w:themeColor="text1"/>
                <w:spacing w:val="9"/>
              </w:rPr>
              <w:t xml:space="preserve"> </w:t>
            </w:r>
            <w:r w:rsidRPr="00E929F2">
              <w:rPr>
                <w:color w:val="000000" w:themeColor="text1"/>
              </w:rPr>
              <w:t>habitatului</w:t>
            </w:r>
            <w:r w:rsidRPr="00E929F2">
              <w:rPr>
                <w:color w:val="000000" w:themeColor="text1"/>
                <w:spacing w:val="7"/>
              </w:rPr>
              <w:t xml:space="preserve"> </w:t>
            </w:r>
            <w:r w:rsidRPr="00E929F2">
              <w:rPr>
                <w:color w:val="000000" w:themeColor="text1"/>
              </w:rPr>
              <w:t>cu</w:t>
            </w:r>
            <w:r w:rsidRPr="00E929F2">
              <w:rPr>
                <w:color w:val="000000" w:themeColor="text1"/>
                <w:spacing w:val="10"/>
              </w:rPr>
              <w:t xml:space="preserve"> </w:t>
            </w:r>
            <w:r w:rsidRPr="00E929F2">
              <w:rPr>
                <w:color w:val="000000" w:themeColor="text1"/>
              </w:rPr>
              <w:t>condiții</w:t>
            </w:r>
            <w:r w:rsidRPr="00E929F2">
              <w:rPr>
                <w:color w:val="000000" w:themeColor="text1"/>
                <w:spacing w:val="8"/>
              </w:rPr>
              <w:t xml:space="preserve"> </w:t>
            </w:r>
            <w:r w:rsidRPr="00E929F2">
              <w:rPr>
                <w:color w:val="000000" w:themeColor="text1"/>
              </w:rPr>
              <w:t>„bune”</w:t>
            </w:r>
            <w:r w:rsidRPr="00E929F2">
              <w:rPr>
                <w:color w:val="000000" w:themeColor="text1"/>
                <w:spacing w:val="6"/>
              </w:rPr>
              <w:t xml:space="preserve"> </w:t>
            </w:r>
            <w:r w:rsidRPr="00E929F2">
              <w:rPr>
                <w:color w:val="000000" w:themeColor="text1"/>
              </w:rPr>
              <w:t>(câmpul</w:t>
            </w:r>
            <w:r w:rsidRPr="00E929F2">
              <w:rPr>
                <w:color w:val="000000" w:themeColor="text1"/>
                <w:spacing w:val="9"/>
              </w:rPr>
              <w:t xml:space="preserve"> </w:t>
            </w:r>
            <w:r w:rsidRPr="00E929F2">
              <w:rPr>
                <w:color w:val="000000" w:themeColor="text1"/>
              </w:rPr>
              <w:t>6.1)</w:t>
            </w:r>
            <w:r w:rsidRPr="00E929F2">
              <w:rPr>
                <w:color w:val="000000" w:themeColor="text1"/>
                <w:spacing w:val="6"/>
              </w:rPr>
              <w:t xml:space="preserve"> </w:t>
            </w:r>
            <w:r w:rsidRPr="00E929F2">
              <w:rPr>
                <w:color w:val="000000" w:themeColor="text1"/>
              </w:rPr>
              <w:t>este</w:t>
            </w:r>
            <w:r w:rsidRPr="00E929F2">
              <w:rPr>
                <w:color w:val="000000" w:themeColor="text1"/>
                <w:spacing w:val="8"/>
              </w:rPr>
              <w:t xml:space="preserve"> </w:t>
            </w:r>
            <w:r w:rsidRPr="00E929F2">
              <w:rPr>
                <w:color w:val="000000" w:themeColor="text1"/>
              </w:rPr>
              <w:t>mai</w:t>
            </w:r>
            <w:r w:rsidRPr="00E929F2">
              <w:rPr>
                <w:color w:val="000000" w:themeColor="text1"/>
                <w:spacing w:val="9"/>
              </w:rPr>
              <w:t xml:space="preserve"> </w:t>
            </w:r>
            <w:r w:rsidRPr="00E929F2">
              <w:rPr>
                <w:color w:val="000000" w:themeColor="text1"/>
              </w:rPr>
              <w:t>mică</w:t>
            </w:r>
            <w:r w:rsidRPr="00E929F2">
              <w:rPr>
                <w:color w:val="000000" w:themeColor="text1"/>
                <w:spacing w:val="-57"/>
              </w:rPr>
              <w:t xml:space="preserve"> </w:t>
            </w:r>
            <w:r w:rsidRPr="00E929F2">
              <w:rPr>
                <w:color w:val="000000" w:themeColor="text1"/>
              </w:rPr>
              <w:t>de</w:t>
            </w:r>
            <w:r w:rsidRPr="00E929F2">
              <w:rPr>
                <w:color w:val="000000" w:themeColor="text1"/>
                <w:spacing w:val="-2"/>
              </w:rPr>
              <w:t xml:space="preserve"> </w:t>
            </w:r>
            <w:r w:rsidRPr="00E929F2">
              <w:rPr>
                <w:color w:val="000000" w:themeColor="text1"/>
              </w:rPr>
              <w:t>90%; și</w:t>
            </w:r>
          </w:p>
          <w:p w14:paraId="6743982B" w14:textId="77777777" w:rsidR="00E929F2" w:rsidRPr="00E929F2" w:rsidRDefault="00E929F2" w:rsidP="009E63E5">
            <w:pPr>
              <w:widowControl w:val="0"/>
              <w:numPr>
                <w:ilvl w:val="0"/>
                <w:numId w:val="103"/>
              </w:numPr>
              <w:tabs>
                <w:tab w:val="left" w:pos="828"/>
                <w:tab w:val="left" w:pos="829"/>
              </w:tabs>
              <w:autoSpaceDE w:val="0"/>
              <w:autoSpaceDN w:val="0"/>
              <w:spacing w:before="1" w:line="276" w:lineRule="exact"/>
              <w:ind w:right="100"/>
              <w:jc w:val="both"/>
              <w:rPr>
                <w:color w:val="000000" w:themeColor="text1"/>
              </w:rPr>
            </w:pPr>
            <w:r w:rsidRPr="00E929F2">
              <w:rPr>
                <w:color w:val="000000" w:themeColor="text1"/>
              </w:rPr>
              <w:t>suprafața</w:t>
            </w:r>
            <w:r w:rsidRPr="00E929F2">
              <w:rPr>
                <w:color w:val="000000" w:themeColor="text1"/>
                <w:spacing w:val="37"/>
              </w:rPr>
              <w:t xml:space="preserve"> </w:t>
            </w:r>
            <w:r w:rsidRPr="00E929F2">
              <w:rPr>
                <w:color w:val="000000" w:themeColor="text1"/>
              </w:rPr>
              <w:t>habitatului</w:t>
            </w:r>
            <w:r w:rsidRPr="00E929F2">
              <w:rPr>
                <w:color w:val="000000" w:themeColor="text1"/>
                <w:spacing w:val="38"/>
              </w:rPr>
              <w:t xml:space="preserve"> </w:t>
            </w:r>
            <w:r w:rsidRPr="00E929F2">
              <w:rPr>
                <w:color w:val="000000" w:themeColor="text1"/>
              </w:rPr>
              <w:t>cu</w:t>
            </w:r>
            <w:r w:rsidRPr="00E929F2">
              <w:rPr>
                <w:color w:val="000000" w:themeColor="text1"/>
                <w:spacing w:val="38"/>
              </w:rPr>
              <w:t xml:space="preserve"> </w:t>
            </w:r>
            <w:r w:rsidRPr="00E929F2">
              <w:rPr>
                <w:color w:val="000000" w:themeColor="text1"/>
              </w:rPr>
              <w:t>condiție</w:t>
            </w:r>
            <w:r w:rsidRPr="00E929F2">
              <w:rPr>
                <w:color w:val="000000" w:themeColor="text1"/>
                <w:spacing w:val="37"/>
              </w:rPr>
              <w:t xml:space="preserve"> </w:t>
            </w:r>
            <w:r w:rsidRPr="00E929F2">
              <w:rPr>
                <w:color w:val="000000" w:themeColor="text1"/>
              </w:rPr>
              <w:t>„necunoscută”</w:t>
            </w:r>
            <w:r w:rsidRPr="00E929F2">
              <w:rPr>
                <w:color w:val="000000" w:themeColor="text1"/>
                <w:spacing w:val="36"/>
              </w:rPr>
              <w:t xml:space="preserve"> </w:t>
            </w:r>
            <w:r w:rsidRPr="00E929F2">
              <w:rPr>
                <w:color w:val="000000" w:themeColor="text1"/>
              </w:rPr>
              <w:t>(câmpul</w:t>
            </w:r>
            <w:r w:rsidRPr="00E929F2">
              <w:rPr>
                <w:color w:val="000000" w:themeColor="text1"/>
                <w:spacing w:val="39"/>
              </w:rPr>
              <w:t xml:space="preserve"> </w:t>
            </w:r>
            <w:r w:rsidRPr="00E929F2">
              <w:rPr>
                <w:color w:val="000000" w:themeColor="text1"/>
              </w:rPr>
              <w:t>6.1)</w:t>
            </w:r>
            <w:r w:rsidRPr="00E929F2">
              <w:rPr>
                <w:color w:val="000000" w:themeColor="text1"/>
                <w:spacing w:val="36"/>
              </w:rPr>
              <w:t xml:space="preserve"> </w:t>
            </w:r>
            <w:r w:rsidRPr="00E929F2">
              <w:rPr>
                <w:color w:val="000000" w:themeColor="text1"/>
              </w:rPr>
              <w:t>este</w:t>
            </w:r>
            <w:r w:rsidRPr="00E929F2">
              <w:rPr>
                <w:color w:val="000000" w:themeColor="text1"/>
                <w:spacing w:val="-57"/>
              </w:rPr>
              <w:t xml:space="preserve"> </w:t>
            </w:r>
            <w:r w:rsidRPr="00E929F2">
              <w:rPr>
                <w:color w:val="000000" w:themeColor="text1"/>
              </w:rPr>
              <w:t>mai</w:t>
            </w:r>
            <w:r w:rsidRPr="00E929F2">
              <w:rPr>
                <w:color w:val="000000" w:themeColor="text1"/>
                <w:spacing w:val="-1"/>
              </w:rPr>
              <w:t xml:space="preserve"> </w:t>
            </w:r>
            <w:r w:rsidRPr="00E929F2">
              <w:rPr>
                <w:color w:val="000000" w:themeColor="text1"/>
              </w:rPr>
              <w:t>mică</w:t>
            </w:r>
            <w:r w:rsidRPr="00E929F2">
              <w:rPr>
                <w:color w:val="000000" w:themeColor="text1"/>
                <w:spacing w:val="-1"/>
              </w:rPr>
              <w:t xml:space="preserve"> </w:t>
            </w:r>
            <w:r w:rsidRPr="00E929F2">
              <w:rPr>
                <w:color w:val="000000" w:themeColor="text1"/>
              </w:rPr>
              <w:t>de</w:t>
            </w:r>
            <w:r w:rsidRPr="00E929F2">
              <w:rPr>
                <w:color w:val="000000" w:themeColor="text1"/>
                <w:spacing w:val="-1"/>
              </w:rPr>
              <w:t xml:space="preserve"> </w:t>
            </w:r>
            <w:r w:rsidRPr="00E929F2">
              <w:rPr>
                <w:color w:val="000000" w:themeColor="text1"/>
              </w:rPr>
              <w:t>75%.</w:t>
            </w:r>
          </w:p>
        </w:tc>
      </w:tr>
      <w:tr w:rsidR="00E929F2" w:rsidRPr="00E929F2" w14:paraId="1926D28B" w14:textId="77777777" w:rsidTr="0017673F">
        <w:trPr>
          <w:trHeight w:val="1384"/>
        </w:trPr>
        <w:tc>
          <w:tcPr>
            <w:tcW w:w="1515" w:type="dxa"/>
          </w:tcPr>
          <w:p w14:paraId="32FD06FD" w14:textId="77777777" w:rsidR="00E929F2" w:rsidRPr="00E929F2" w:rsidRDefault="00E929F2" w:rsidP="00E929F2">
            <w:pPr>
              <w:widowControl w:val="0"/>
              <w:autoSpaceDE w:val="0"/>
              <w:autoSpaceDN w:val="0"/>
              <w:spacing w:before="8"/>
              <w:jc w:val="both"/>
              <w:rPr>
                <w:color w:val="000000" w:themeColor="text1"/>
              </w:rPr>
            </w:pPr>
          </w:p>
          <w:p w14:paraId="3001D487" w14:textId="77777777" w:rsidR="00E929F2" w:rsidRPr="00E929F2" w:rsidRDefault="00E929F2" w:rsidP="00E929F2">
            <w:pPr>
              <w:widowControl w:val="0"/>
              <w:autoSpaceDE w:val="0"/>
              <w:autoSpaceDN w:val="0"/>
              <w:ind w:left="108" w:right="154"/>
              <w:jc w:val="both"/>
              <w:rPr>
                <w:color w:val="000000" w:themeColor="text1"/>
              </w:rPr>
            </w:pPr>
            <w:r w:rsidRPr="00E929F2">
              <w:rPr>
                <w:color w:val="000000" w:themeColor="text1"/>
                <w:spacing w:val="-1"/>
              </w:rPr>
              <w:t>Nefavorabil-rău</w:t>
            </w:r>
            <w:r w:rsidRPr="00E929F2">
              <w:rPr>
                <w:color w:val="000000" w:themeColor="text1"/>
                <w:spacing w:val="-57"/>
              </w:rPr>
              <w:t xml:space="preserve"> </w:t>
            </w:r>
            <w:r w:rsidRPr="00E929F2">
              <w:rPr>
                <w:color w:val="000000" w:themeColor="text1"/>
              </w:rPr>
              <w:t>(U2)</w:t>
            </w:r>
          </w:p>
        </w:tc>
        <w:tc>
          <w:tcPr>
            <w:tcW w:w="7775" w:type="dxa"/>
          </w:tcPr>
          <w:p w14:paraId="514316DC" w14:textId="77777777" w:rsidR="00E929F2" w:rsidRPr="00E929F2" w:rsidRDefault="00E929F2" w:rsidP="00E929F2">
            <w:pPr>
              <w:widowControl w:val="0"/>
              <w:autoSpaceDE w:val="0"/>
              <w:autoSpaceDN w:val="0"/>
              <w:spacing w:line="260" w:lineRule="exact"/>
              <w:ind w:left="107"/>
              <w:jc w:val="both"/>
              <w:rPr>
                <w:color w:val="000000" w:themeColor="text1"/>
              </w:rPr>
            </w:pPr>
            <w:r w:rsidRPr="00E929F2">
              <w:rPr>
                <w:color w:val="000000" w:themeColor="text1"/>
              </w:rPr>
              <w:t>Conform</w:t>
            </w:r>
            <w:r w:rsidRPr="00E929F2">
              <w:rPr>
                <w:color w:val="000000" w:themeColor="text1"/>
                <w:spacing w:val="71"/>
              </w:rPr>
              <w:t xml:space="preserve"> </w:t>
            </w:r>
            <w:r w:rsidRPr="00E929F2">
              <w:rPr>
                <w:color w:val="000000" w:themeColor="text1"/>
              </w:rPr>
              <w:t xml:space="preserve">matricei  </w:t>
            </w:r>
            <w:r w:rsidRPr="00E929F2">
              <w:rPr>
                <w:color w:val="000000" w:themeColor="text1"/>
                <w:spacing w:val="10"/>
              </w:rPr>
              <w:t xml:space="preserve"> </w:t>
            </w:r>
            <w:r w:rsidRPr="00E929F2">
              <w:rPr>
                <w:color w:val="000000" w:themeColor="text1"/>
              </w:rPr>
              <w:t xml:space="preserve">de  </w:t>
            </w:r>
            <w:r w:rsidRPr="00E929F2">
              <w:rPr>
                <w:color w:val="000000" w:themeColor="text1"/>
                <w:spacing w:val="11"/>
              </w:rPr>
              <w:t xml:space="preserve"> </w:t>
            </w:r>
            <w:r w:rsidRPr="00E929F2">
              <w:rPr>
                <w:color w:val="000000" w:themeColor="text1"/>
              </w:rPr>
              <w:t xml:space="preserve">evaluare  </w:t>
            </w:r>
            <w:r w:rsidRPr="00E929F2">
              <w:rPr>
                <w:color w:val="000000" w:themeColor="text1"/>
                <w:spacing w:val="8"/>
              </w:rPr>
              <w:t xml:space="preserve"> </w:t>
            </w:r>
            <w:r w:rsidRPr="00E929F2">
              <w:rPr>
                <w:color w:val="000000" w:themeColor="text1"/>
              </w:rPr>
              <w:t xml:space="preserve">(anexa  </w:t>
            </w:r>
            <w:r w:rsidRPr="00E929F2">
              <w:rPr>
                <w:color w:val="000000" w:themeColor="text1"/>
                <w:spacing w:val="8"/>
              </w:rPr>
              <w:t xml:space="preserve"> </w:t>
            </w:r>
            <w:r w:rsidRPr="00E929F2">
              <w:rPr>
                <w:color w:val="000000" w:themeColor="text1"/>
              </w:rPr>
              <w:t xml:space="preserve">E),  </w:t>
            </w:r>
            <w:r w:rsidRPr="00E929F2">
              <w:rPr>
                <w:color w:val="000000" w:themeColor="text1"/>
                <w:spacing w:val="9"/>
              </w:rPr>
              <w:t xml:space="preserve"> </w:t>
            </w:r>
            <w:r w:rsidRPr="00E929F2">
              <w:rPr>
                <w:color w:val="000000" w:themeColor="text1"/>
              </w:rPr>
              <w:t xml:space="preserve">starea  </w:t>
            </w:r>
            <w:r w:rsidRPr="00E929F2">
              <w:rPr>
                <w:color w:val="000000" w:themeColor="text1"/>
                <w:spacing w:val="8"/>
              </w:rPr>
              <w:t xml:space="preserve"> </w:t>
            </w:r>
            <w:r w:rsidRPr="00E929F2">
              <w:rPr>
                <w:color w:val="000000" w:themeColor="text1"/>
              </w:rPr>
              <w:t xml:space="preserve">și  </w:t>
            </w:r>
            <w:r w:rsidRPr="00E929F2">
              <w:rPr>
                <w:color w:val="000000" w:themeColor="text1"/>
                <w:spacing w:val="10"/>
              </w:rPr>
              <w:t xml:space="preserve"> </w:t>
            </w:r>
            <w:r w:rsidRPr="00E929F2">
              <w:rPr>
                <w:color w:val="000000" w:themeColor="text1"/>
              </w:rPr>
              <w:t xml:space="preserve">funcțiile  </w:t>
            </w:r>
            <w:r w:rsidRPr="00E929F2">
              <w:rPr>
                <w:color w:val="000000" w:themeColor="text1"/>
                <w:spacing w:val="8"/>
              </w:rPr>
              <w:t xml:space="preserve"> </w:t>
            </w:r>
            <w:r w:rsidRPr="00E929F2">
              <w:rPr>
                <w:color w:val="000000" w:themeColor="text1"/>
              </w:rPr>
              <w:t>sunt</w:t>
            </w:r>
          </w:p>
          <w:p w14:paraId="15D0CB45" w14:textId="77777777" w:rsidR="00E929F2" w:rsidRPr="00E929F2" w:rsidRDefault="00E929F2" w:rsidP="00E929F2">
            <w:pPr>
              <w:widowControl w:val="0"/>
              <w:autoSpaceDE w:val="0"/>
              <w:autoSpaceDN w:val="0"/>
              <w:ind w:left="107"/>
              <w:jc w:val="both"/>
              <w:rPr>
                <w:color w:val="000000" w:themeColor="text1"/>
              </w:rPr>
            </w:pPr>
            <w:r w:rsidRPr="00E929F2">
              <w:rPr>
                <w:color w:val="000000" w:themeColor="text1"/>
              </w:rPr>
              <w:t>„nefavorabile-rele”</w:t>
            </w:r>
            <w:r w:rsidRPr="00E929F2">
              <w:rPr>
                <w:color w:val="000000" w:themeColor="text1"/>
                <w:spacing w:val="-4"/>
              </w:rPr>
              <w:t xml:space="preserve"> </w:t>
            </w:r>
            <w:r w:rsidRPr="00E929F2">
              <w:rPr>
                <w:color w:val="000000" w:themeColor="text1"/>
              </w:rPr>
              <w:t>dacă:</w:t>
            </w:r>
          </w:p>
          <w:p w14:paraId="0612C546" w14:textId="77777777" w:rsidR="00E929F2" w:rsidRPr="00E929F2" w:rsidRDefault="00E929F2" w:rsidP="00E929F2">
            <w:pPr>
              <w:widowControl w:val="0"/>
              <w:autoSpaceDE w:val="0"/>
              <w:autoSpaceDN w:val="0"/>
              <w:spacing w:line="276" w:lineRule="exact"/>
              <w:ind w:left="828" w:right="100" w:hanging="361"/>
              <w:jc w:val="both"/>
              <w:rPr>
                <w:color w:val="000000" w:themeColor="text1"/>
              </w:rPr>
            </w:pPr>
            <w:r w:rsidRPr="00E929F2">
              <w:rPr>
                <w:color w:val="000000" w:themeColor="text1"/>
              </w:rPr>
              <w:t>-</w:t>
            </w:r>
            <w:r w:rsidRPr="00E929F2">
              <w:rPr>
                <w:color w:val="000000" w:themeColor="text1"/>
                <w:spacing w:val="1"/>
              </w:rPr>
              <w:t xml:space="preserve"> </w:t>
            </w:r>
            <w:r w:rsidRPr="00E929F2">
              <w:rPr>
                <w:color w:val="000000" w:themeColor="text1"/>
              </w:rPr>
              <w:t>mai mult de 25% din suprafață este defavorabilă („nu este bine” în</w:t>
            </w:r>
            <w:r w:rsidRPr="00E929F2">
              <w:rPr>
                <w:color w:val="000000" w:themeColor="text1"/>
                <w:spacing w:val="1"/>
              </w:rPr>
              <w:t xml:space="preserve"> </w:t>
            </w:r>
            <w:r w:rsidRPr="00E929F2">
              <w:rPr>
                <w:color w:val="000000" w:themeColor="text1"/>
              </w:rPr>
              <w:t>câmpul 6.1) în ceea ce privește structura și funcțiile sale specifice</w:t>
            </w:r>
            <w:r w:rsidRPr="00E929F2">
              <w:rPr>
                <w:color w:val="000000" w:themeColor="text1"/>
                <w:spacing w:val="1"/>
              </w:rPr>
              <w:t xml:space="preserve"> </w:t>
            </w:r>
            <w:r w:rsidRPr="00E929F2">
              <w:rPr>
                <w:color w:val="000000" w:themeColor="text1"/>
              </w:rPr>
              <w:t>(inclusiv</w:t>
            </w:r>
            <w:r w:rsidRPr="00E929F2">
              <w:rPr>
                <w:color w:val="000000" w:themeColor="text1"/>
                <w:spacing w:val="-1"/>
              </w:rPr>
              <w:t xml:space="preserve"> </w:t>
            </w:r>
            <w:r w:rsidRPr="00E929F2">
              <w:rPr>
                <w:color w:val="000000" w:themeColor="text1"/>
              </w:rPr>
              <w:t>speciile tipice).</w:t>
            </w:r>
          </w:p>
        </w:tc>
      </w:tr>
      <w:tr w:rsidR="00E929F2" w:rsidRPr="00E929F2" w14:paraId="27B75ABD" w14:textId="77777777" w:rsidTr="0017673F">
        <w:trPr>
          <w:trHeight w:val="1941"/>
        </w:trPr>
        <w:tc>
          <w:tcPr>
            <w:tcW w:w="1515" w:type="dxa"/>
          </w:tcPr>
          <w:p w14:paraId="0167D63F" w14:textId="77777777" w:rsidR="00E929F2" w:rsidRPr="00E929F2" w:rsidRDefault="00E929F2" w:rsidP="00E929F2">
            <w:pPr>
              <w:widowControl w:val="0"/>
              <w:autoSpaceDE w:val="0"/>
              <w:autoSpaceDN w:val="0"/>
              <w:jc w:val="both"/>
              <w:rPr>
                <w:color w:val="000000" w:themeColor="text1"/>
              </w:rPr>
            </w:pPr>
          </w:p>
          <w:p w14:paraId="0792E7C3" w14:textId="77777777" w:rsidR="00E929F2" w:rsidRPr="00E929F2" w:rsidRDefault="00E929F2" w:rsidP="00E929F2">
            <w:pPr>
              <w:widowControl w:val="0"/>
              <w:autoSpaceDE w:val="0"/>
              <w:autoSpaceDN w:val="0"/>
              <w:spacing w:before="10"/>
              <w:jc w:val="both"/>
              <w:rPr>
                <w:color w:val="000000" w:themeColor="text1"/>
              </w:rPr>
            </w:pPr>
          </w:p>
          <w:p w14:paraId="29D1D226" w14:textId="77777777" w:rsidR="00E929F2" w:rsidRPr="00E929F2" w:rsidRDefault="00E929F2" w:rsidP="00E929F2">
            <w:pPr>
              <w:widowControl w:val="0"/>
              <w:autoSpaceDE w:val="0"/>
              <w:autoSpaceDN w:val="0"/>
              <w:ind w:left="108" w:right="549"/>
              <w:jc w:val="both"/>
              <w:rPr>
                <w:color w:val="000000" w:themeColor="text1"/>
              </w:rPr>
            </w:pPr>
            <w:r w:rsidRPr="00E929F2">
              <w:rPr>
                <w:color w:val="000000" w:themeColor="text1"/>
                <w:spacing w:val="-1"/>
              </w:rPr>
              <w:t>Necunoscut</w:t>
            </w:r>
            <w:r w:rsidRPr="00E929F2">
              <w:rPr>
                <w:color w:val="000000" w:themeColor="text1"/>
                <w:spacing w:val="-57"/>
              </w:rPr>
              <w:t xml:space="preserve"> </w:t>
            </w:r>
            <w:r w:rsidRPr="00E929F2">
              <w:rPr>
                <w:color w:val="000000" w:themeColor="text1"/>
              </w:rPr>
              <w:t>(XX)</w:t>
            </w:r>
          </w:p>
        </w:tc>
        <w:tc>
          <w:tcPr>
            <w:tcW w:w="7775" w:type="dxa"/>
          </w:tcPr>
          <w:p w14:paraId="7177C485" w14:textId="77777777" w:rsidR="00E929F2" w:rsidRPr="00E929F2" w:rsidRDefault="00E929F2" w:rsidP="00E929F2">
            <w:pPr>
              <w:widowControl w:val="0"/>
              <w:autoSpaceDE w:val="0"/>
              <w:autoSpaceDN w:val="0"/>
              <w:spacing w:line="260" w:lineRule="exact"/>
              <w:ind w:left="107"/>
              <w:jc w:val="both"/>
              <w:rPr>
                <w:color w:val="000000" w:themeColor="text1"/>
              </w:rPr>
            </w:pPr>
            <w:r w:rsidRPr="00E929F2">
              <w:rPr>
                <w:color w:val="000000" w:themeColor="text1"/>
              </w:rPr>
              <w:t>Conform</w:t>
            </w:r>
            <w:r w:rsidRPr="00E929F2">
              <w:rPr>
                <w:color w:val="000000" w:themeColor="text1"/>
                <w:spacing w:val="71"/>
              </w:rPr>
              <w:t xml:space="preserve"> </w:t>
            </w:r>
            <w:r w:rsidRPr="00E929F2">
              <w:rPr>
                <w:color w:val="000000" w:themeColor="text1"/>
              </w:rPr>
              <w:t xml:space="preserve">matricei  </w:t>
            </w:r>
            <w:r w:rsidRPr="00E929F2">
              <w:rPr>
                <w:color w:val="000000" w:themeColor="text1"/>
                <w:spacing w:val="10"/>
              </w:rPr>
              <w:t xml:space="preserve"> </w:t>
            </w:r>
            <w:r w:rsidRPr="00E929F2">
              <w:rPr>
                <w:color w:val="000000" w:themeColor="text1"/>
              </w:rPr>
              <w:t xml:space="preserve">de  </w:t>
            </w:r>
            <w:r w:rsidRPr="00E929F2">
              <w:rPr>
                <w:color w:val="000000" w:themeColor="text1"/>
                <w:spacing w:val="11"/>
              </w:rPr>
              <w:t xml:space="preserve"> </w:t>
            </w:r>
            <w:r w:rsidRPr="00E929F2">
              <w:rPr>
                <w:color w:val="000000" w:themeColor="text1"/>
              </w:rPr>
              <w:t xml:space="preserve">evaluare  </w:t>
            </w:r>
            <w:r w:rsidRPr="00E929F2">
              <w:rPr>
                <w:color w:val="000000" w:themeColor="text1"/>
                <w:spacing w:val="8"/>
              </w:rPr>
              <w:t xml:space="preserve"> </w:t>
            </w:r>
            <w:r w:rsidRPr="00E929F2">
              <w:rPr>
                <w:color w:val="000000" w:themeColor="text1"/>
              </w:rPr>
              <w:t xml:space="preserve">(anexa  </w:t>
            </w:r>
            <w:r w:rsidRPr="00E929F2">
              <w:rPr>
                <w:color w:val="000000" w:themeColor="text1"/>
                <w:spacing w:val="8"/>
              </w:rPr>
              <w:t xml:space="preserve"> </w:t>
            </w:r>
            <w:r w:rsidRPr="00E929F2">
              <w:rPr>
                <w:color w:val="000000" w:themeColor="text1"/>
              </w:rPr>
              <w:t xml:space="preserve">E),  </w:t>
            </w:r>
            <w:r w:rsidRPr="00E929F2">
              <w:rPr>
                <w:color w:val="000000" w:themeColor="text1"/>
                <w:spacing w:val="9"/>
              </w:rPr>
              <w:t xml:space="preserve"> </w:t>
            </w:r>
            <w:r w:rsidRPr="00E929F2">
              <w:rPr>
                <w:color w:val="000000" w:themeColor="text1"/>
              </w:rPr>
              <w:t xml:space="preserve">starea  </w:t>
            </w:r>
            <w:r w:rsidRPr="00E929F2">
              <w:rPr>
                <w:color w:val="000000" w:themeColor="text1"/>
                <w:spacing w:val="8"/>
              </w:rPr>
              <w:t xml:space="preserve"> </w:t>
            </w:r>
            <w:r w:rsidRPr="00E929F2">
              <w:rPr>
                <w:color w:val="000000" w:themeColor="text1"/>
              </w:rPr>
              <w:t xml:space="preserve">și  </w:t>
            </w:r>
            <w:r w:rsidRPr="00E929F2">
              <w:rPr>
                <w:color w:val="000000" w:themeColor="text1"/>
                <w:spacing w:val="10"/>
              </w:rPr>
              <w:t xml:space="preserve"> </w:t>
            </w:r>
            <w:r w:rsidRPr="00E929F2">
              <w:rPr>
                <w:color w:val="000000" w:themeColor="text1"/>
              </w:rPr>
              <w:t xml:space="preserve">funcțiile  </w:t>
            </w:r>
            <w:r w:rsidRPr="00E929F2">
              <w:rPr>
                <w:color w:val="000000" w:themeColor="text1"/>
                <w:spacing w:val="8"/>
              </w:rPr>
              <w:t xml:space="preserve"> </w:t>
            </w:r>
            <w:r w:rsidRPr="00E929F2">
              <w:rPr>
                <w:color w:val="000000" w:themeColor="text1"/>
              </w:rPr>
              <w:t>sunt</w:t>
            </w:r>
          </w:p>
          <w:p w14:paraId="1ABB1A2B" w14:textId="77777777" w:rsidR="00E929F2" w:rsidRPr="00E929F2" w:rsidRDefault="00E929F2" w:rsidP="00E929F2">
            <w:pPr>
              <w:widowControl w:val="0"/>
              <w:autoSpaceDE w:val="0"/>
              <w:autoSpaceDN w:val="0"/>
              <w:ind w:left="107"/>
              <w:jc w:val="both"/>
              <w:rPr>
                <w:color w:val="000000" w:themeColor="text1"/>
              </w:rPr>
            </w:pPr>
            <w:r w:rsidRPr="00E929F2">
              <w:rPr>
                <w:color w:val="000000" w:themeColor="text1"/>
              </w:rPr>
              <w:t>„necunoscute”</w:t>
            </w:r>
            <w:r w:rsidRPr="00E929F2">
              <w:rPr>
                <w:color w:val="000000" w:themeColor="text1"/>
                <w:spacing w:val="-4"/>
              </w:rPr>
              <w:t xml:space="preserve"> </w:t>
            </w:r>
            <w:r w:rsidRPr="00E929F2">
              <w:rPr>
                <w:color w:val="000000" w:themeColor="text1"/>
              </w:rPr>
              <w:t>dacă:</w:t>
            </w:r>
          </w:p>
          <w:p w14:paraId="16E79873" w14:textId="77777777" w:rsidR="00E929F2" w:rsidRPr="00E929F2" w:rsidRDefault="00E929F2" w:rsidP="00E929F2">
            <w:pPr>
              <w:widowControl w:val="0"/>
              <w:tabs>
                <w:tab w:val="left" w:pos="828"/>
              </w:tabs>
              <w:autoSpaceDE w:val="0"/>
              <w:autoSpaceDN w:val="0"/>
              <w:spacing w:before="9" w:line="230" w:lineRule="auto"/>
              <w:ind w:left="107" w:right="1341" w:firstLine="360"/>
              <w:jc w:val="both"/>
              <w:rPr>
                <w:color w:val="000000" w:themeColor="text1"/>
              </w:rPr>
            </w:pPr>
            <w:r w:rsidRPr="00E929F2">
              <w:rPr>
                <w:color w:val="000000" w:themeColor="text1"/>
              </w:rPr>
              <w:t>-</w:t>
            </w:r>
            <w:r w:rsidRPr="00E929F2">
              <w:rPr>
                <w:color w:val="000000" w:themeColor="text1"/>
              </w:rPr>
              <w:tab/>
              <w:t>nu există informații fiabile sau insuficiente disponibile.</w:t>
            </w:r>
            <w:r w:rsidRPr="00E929F2">
              <w:rPr>
                <w:color w:val="000000" w:themeColor="text1"/>
                <w:spacing w:val="-58"/>
              </w:rPr>
              <w:t xml:space="preserve"> </w:t>
            </w:r>
            <w:r w:rsidRPr="00E929F2">
              <w:rPr>
                <w:color w:val="000000" w:themeColor="text1"/>
              </w:rPr>
              <w:t>Informațiisuplimentare:</w:t>
            </w:r>
          </w:p>
          <w:p w14:paraId="4DD0296D" w14:textId="77777777" w:rsidR="00E929F2" w:rsidRPr="00E929F2" w:rsidRDefault="00E929F2" w:rsidP="00E929F2">
            <w:pPr>
              <w:widowControl w:val="0"/>
              <w:tabs>
                <w:tab w:val="left" w:pos="828"/>
              </w:tabs>
              <w:autoSpaceDE w:val="0"/>
              <w:autoSpaceDN w:val="0"/>
              <w:spacing w:before="11" w:line="230" w:lineRule="auto"/>
              <w:ind w:left="912" w:right="98" w:hanging="360"/>
              <w:jc w:val="both"/>
              <w:rPr>
                <w:color w:val="000000" w:themeColor="text1"/>
              </w:rPr>
            </w:pPr>
            <w:r w:rsidRPr="00E929F2">
              <w:rPr>
                <w:color w:val="000000" w:themeColor="text1"/>
              </w:rPr>
              <w:t>-</w:t>
            </w:r>
            <w:r w:rsidRPr="00E929F2">
              <w:rPr>
                <w:color w:val="000000" w:themeColor="text1"/>
              </w:rPr>
              <w:tab/>
              <w:t>Statutul</w:t>
            </w:r>
            <w:r w:rsidRPr="00E929F2">
              <w:rPr>
                <w:color w:val="000000" w:themeColor="text1"/>
                <w:spacing w:val="1"/>
              </w:rPr>
              <w:t xml:space="preserve"> </w:t>
            </w:r>
            <w:r w:rsidRPr="00E929F2">
              <w:rPr>
                <w:color w:val="000000" w:themeColor="text1"/>
              </w:rPr>
              <w:t>structurii</w:t>
            </w:r>
            <w:r w:rsidRPr="00E929F2">
              <w:rPr>
                <w:color w:val="000000" w:themeColor="text1"/>
                <w:spacing w:val="1"/>
              </w:rPr>
              <w:t xml:space="preserve"> </w:t>
            </w:r>
            <w:r w:rsidRPr="00E929F2">
              <w:rPr>
                <w:color w:val="000000" w:themeColor="text1"/>
              </w:rPr>
              <w:t>și</w:t>
            </w:r>
            <w:r w:rsidRPr="00E929F2">
              <w:rPr>
                <w:color w:val="000000" w:themeColor="text1"/>
                <w:spacing w:val="1"/>
              </w:rPr>
              <w:t xml:space="preserve"> </w:t>
            </w:r>
            <w:r w:rsidRPr="00E929F2">
              <w:rPr>
                <w:color w:val="000000" w:themeColor="text1"/>
              </w:rPr>
              <w:t>funcțiilor</w:t>
            </w:r>
            <w:r w:rsidRPr="00E929F2">
              <w:rPr>
                <w:color w:val="000000" w:themeColor="text1"/>
                <w:spacing w:val="1"/>
              </w:rPr>
              <w:t xml:space="preserve"> </w:t>
            </w:r>
            <w:r w:rsidRPr="00E929F2">
              <w:rPr>
                <w:color w:val="000000" w:themeColor="text1"/>
              </w:rPr>
              <w:t>ar</w:t>
            </w:r>
            <w:r w:rsidRPr="00E929F2">
              <w:rPr>
                <w:color w:val="000000" w:themeColor="text1"/>
                <w:spacing w:val="1"/>
              </w:rPr>
              <w:t xml:space="preserve"> </w:t>
            </w:r>
            <w:r w:rsidRPr="00E929F2">
              <w:rPr>
                <w:color w:val="000000" w:themeColor="text1"/>
              </w:rPr>
              <w:t>trebui</w:t>
            </w:r>
            <w:r w:rsidRPr="00E929F2">
              <w:rPr>
                <w:color w:val="000000" w:themeColor="text1"/>
                <w:spacing w:val="1"/>
              </w:rPr>
              <w:t xml:space="preserve"> </w:t>
            </w:r>
            <w:r w:rsidRPr="00E929F2">
              <w:rPr>
                <w:color w:val="000000" w:themeColor="text1"/>
              </w:rPr>
              <w:t>considerat</w:t>
            </w:r>
            <w:r w:rsidRPr="00E929F2">
              <w:rPr>
                <w:color w:val="000000" w:themeColor="text1"/>
                <w:spacing w:val="1"/>
              </w:rPr>
              <w:t xml:space="preserve"> </w:t>
            </w:r>
            <w:r w:rsidRPr="00E929F2">
              <w:rPr>
                <w:color w:val="000000" w:themeColor="text1"/>
              </w:rPr>
              <w:t>„necunoscut”</w:t>
            </w:r>
            <w:r w:rsidRPr="00E929F2">
              <w:rPr>
                <w:color w:val="000000" w:themeColor="text1"/>
                <w:spacing w:val="-57"/>
              </w:rPr>
              <w:t xml:space="preserve"> </w:t>
            </w:r>
            <w:r w:rsidRPr="00E929F2">
              <w:rPr>
                <w:color w:val="000000" w:themeColor="text1"/>
              </w:rPr>
              <w:t>dacă</w:t>
            </w:r>
            <w:r w:rsidRPr="00E929F2">
              <w:rPr>
                <w:color w:val="000000" w:themeColor="text1"/>
                <w:spacing w:val="24"/>
              </w:rPr>
              <w:t xml:space="preserve"> </w:t>
            </w:r>
            <w:r w:rsidRPr="00E929F2">
              <w:rPr>
                <w:color w:val="000000" w:themeColor="text1"/>
              </w:rPr>
              <w:t>mai</w:t>
            </w:r>
            <w:r w:rsidRPr="00E929F2">
              <w:rPr>
                <w:color w:val="000000" w:themeColor="text1"/>
                <w:spacing w:val="25"/>
              </w:rPr>
              <w:t xml:space="preserve"> </w:t>
            </w:r>
            <w:r w:rsidRPr="00E929F2">
              <w:rPr>
                <w:color w:val="000000" w:themeColor="text1"/>
              </w:rPr>
              <w:t>mult</w:t>
            </w:r>
            <w:r w:rsidRPr="00E929F2">
              <w:rPr>
                <w:color w:val="000000" w:themeColor="text1"/>
                <w:spacing w:val="25"/>
              </w:rPr>
              <w:t xml:space="preserve"> </w:t>
            </w:r>
            <w:r w:rsidRPr="00E929F2">
              <w:rPr>
                <w:color w:val="000000" w:themeColor="text1"/>
              </w:rPr>
              <w:t>de</w:t>
            </w:r>
            <w:r w:rsidRPr="00E929F2">
              <w:rPr>
                <w:color w:val="000000" w:themeColor="text1"/>
                <w:spacing w:val="24"/>
              </w:rPr>
              <w:t xml:space="preserve"> </w:t>
            </w:r>
            <w:r w:rsidRPr="00E929F2">
              <w:rPr>
                <w:color w:val="000000" w:themeColor="text1"/>
              </w:rPr>
              <w:t>75%</w:t>
            </w:r>
            <w:r w:rsidRPr="00E929F2">
              <w:rPr>
                <w:color w:val="000000" w:themeColor="text1"/>
                <w:spacing w:val="24"/>
              </w:rPr>
              <w:t xml:space="preserve"> </w:t>
            </w:r>
            <w:r w:rsidRPr="00E929F2">
              <w:rPr>
                <w:color w:val="000000" w:themeColor="text1"/>
              </w:rPr>
              <w:t>din</w:t>
            </w:r>
            <w:r w:rsidRPr="00E929F2">
              <w:rPr>
                <w:color w:val="000000" w:themeColor="text1"/>
                <w:spacing w:val="25"/>
              </w:rPr>
              <w:t xml:space="preserve"> </w:t>
            </w:r>
            <w:r w:rsidRPr="00E929F2">
              <w:rPr>
                <w:color w:val="000000" w:themeColor="text1"/>
              </w:rPr>
              <w:t>suprafața</w:t>
            </w:r>
            <w:r w:rsidRPr="00E929F2">
              <w:rPr>
                <w:color w:val="000000" w:themeColor="text1"/>
                <w:spacing w:val="24"/>
              </w:rPr>
              <w:t xml:space="preserve"> </w:t>
            </w:r>
            <w:r w:rsidRPr="00E929F2">
              <w:rPr>
                <w:color w:val="000000" w:themeColor="text1"/>
              </w:rPr>
              <w:t>habitatului</w:t>
            </w:r>
            <w:r w:rsidRPr="00E929F2">
              <w:rPr>
                <w:color w:val="000000" w:themeColor="text1"/>
                <w:spacing w:val="25"/>
              </w:rPr>
              <w:t xml:space="preserve"> </w:t>
            </w:r>
            <w:r w:rsidRPr="00E929F2">
              <w:rPr>
                <w:color w:val="000000" w:themeColor="text1"/>
              </w:rPr>
              <w:t>are</w:t>
            </w:r>
            <w:r w:rsidRPr="00E929F2">
              <w:rPr>
                <w:color w:val="000000" w:themeColor="text1"/>
                <w:spacing w:val="23"/>
              </w:rPr>
              <w:t xml:space="preserve"> </w:t>
            </w:r>
            <w:r w:rsidRPr="00E929F2">
              <w:rPr>
                <w:color w:val="000000" w:themeColor="text1"/>
              </w:rPr>
              <w:t>condiții</w:t>
            </w:r>
          </w:p>
          <w:p w14:paraId="45D21689" w14:textId="77777777" w:rsidR="00E929F2" w:rsidRPr="00E929F2" w:rsidRDefault="00E929F2" w:rsidP="00E929F2">
            <w:pPr>
              <w:widowControl w:val="0"/>
              <w:autoSpaceDE w:val="0"/>
              <w:autoSpaceDN w:val="0"/>
              <w:spacing w:before="1" w:line="272" w:lineRule="exact"/>
              <w:ind w:left="912"/>
              <w:jc w:val="both"/>
              <w:rPr>
                <w:color w:val="000000" w:themeColor="text1"/>
              </w:rPr>
            </w:pPr>
            <w:r w:rsidRPr="00E929F2">
              <w:rPr>
                <w:color w:val="000000" w:themeColor="text1"/>
              </w:rPr>
              <w:t>„necunoscute”</w:t>
            </w:r>
            <w:r w:rsidRPr="00E929F2">
              <w:rPr>
                <w:color w:val="000000" w:themeColor="text1"/>
                <w:spacing w:val="-3"/>
              </w:rPr>
              <w:t xml:space="preserve"> </w:t>
            </w:r>
            <w:r w:rsidRPr="00E929F2">
              <w:rPr>
                <w:color w:val="000000" w:themeColor="text1"/>
              </w:rPr>
              <w:t>(câmpul 6.1).</w:t>
            </w:r>
          </w:p>
        </w:tc>
      </w:tr>
    </w:tbl>
    <w:p w14:paraId="4020DDC0" w14:textId="77777777" w:rsidR="00E929F2" w:rsidRPr="00E929F2" w:rsidRDefault="00E929F2" w:rsidP="00E929F2">
      <w:pPr>
        <w:widowControl w:val="0"/>
        <w:tabs>
          <w:tab w:val="left" w:pos="1186"/>
        </w:tabs>
        <w:autoSpaceDE w:val="0"/>
        <w:autoSpaceDN w:val="0"/>
        <w:spacing w:before="71"/>
        <w:ind w:left="1186"/>
        <w:jc w:val="both"/>
        <w:outlineLvl w:val="1"/>
        <w:rPr>
          <w:b/>
          <w:bCs/>
          <w:color w:val="000000" w:themeColor="text1"/>
          <w:lang w:val="en-US"/>
        </w:rPr>
      </w:pPr>
    </w:p>
    <w:p w14:paraId="47E7E777" w14:textId="77777777" w:rsidR="00E929F2" w:rsidRPr="00E929F2" w:rsidRDefault="00E929F2" w:rsidP="00E929F2">
      <w:pPr>
        <w:spacing w:after="160" w:line="259" w:lineRule="auto"/>
        <w:jc w:val="both"/>
        <w:rPr>
          <w:b/>
          <w:color w:val="000000" w:themeColor="text1"/>
        </w:rPr>
      </w:pPr>
      <w:r w:rsidRPr="00E929F2">
        <w:rPr>
          <w:color w:val="000000" w:themeColor="text1"/>
        </w:rPr>
        <w:br w:type="page"/>
      </w:r>
      <w:r w:rsidRPr="00E929F2">
        <w:rPr>
          <w:b/>
          <w:color w:val="000000" w:themeColor="text1"/>
        </w:rPr>
        <w:lastRenderedPageBreak/>
        <w:t xml:space="preserve">    Principalele</w:t>
      </w:r>
      <w:r w:rsidRPr="00E929F2">
        <w:rPr>
          <w:b/>
          <w:color w:val="000000" w:themeColor="text1"/>
          <w:spacing w:val="-5"/>
        </w:rPr>
        <w:t xml:space="preserve"> </w:t>
      </w:r>
      <w:r w:rsidRPr="00E929F2">
        <w:rPr>
          <w:b/>
          <w:color w:val="000000" w:themeColor="text1"/>
        </w:rPr>
        <w:t>presiuni</w:t>
      </w:r>
      <w:r w:rsidRPr="00E929F2">
        <w:rPr>
          <w:b/>
          <w:color w:val="000000" w:themeColor="text1"/>
          <w:spacing w:val="-5"/>
        </w:rPr>
        <w:t xml:space="preserve"> </w:t>
      </w:r>
      <w:r w:rsidRPr="00E929F2">
        <w:rPr>
          <w:b/>
          <w:color w:val="000000" w:themeColor="text1"/>
        </w:rPr>
        <w:t>și</w:t>
      </w:r>
      <w:r w:rsidRPr="00E929F2">
        <w:rPr>
          <w:b/>
          <w:color w:val="000000" w:themeColor="text1"/>
          <w:spacing w:val="-5"/>
        </w:rPr>
        <w:t xml:space="preserve"> </w:t>
      </w:r>
      <w:r w:rsidRPr="00E929F2">
        <w:rPr>
          <w:b/>
          <w:color w:val="000000" w:themeColor="text1"/>
        </w:rPr>
        <w:t>amenințări</w:t>
      </w:r>
    </w:p>
    <w:p w14:paraId="26A79C78" w14:textId="77777777" w:rsidR="00E929F2" w:rsidRPr="00E929F2" w:rsidRDefault="00E929F2" w:rsidP="00E929F2">
      <w:pPr>
        <w:widowControl w:val="0"/>
        <w:autoSpaceDE w:val="0"/>
        <w:autoSpaceDN w:val="0"/>
        <w:adjustRightInd w:val="0"/>
        <w:spacing w:before="225"/>
        <w:ind w:left="293" w:right="250"/>
        <w:jc w:val="both"/>
        <w:rPr>
          <w:rFonts w:eastAsiaTheme="minorEastAsia"/>
          <w:color w:val="000000" w:themeColor="text1"/>
          <w:lang w:val="en-US"/>
        </w:rPr>
      </w:pPr>
      <w:r w:rsidRPr="00E929F2">
        <w:rPr>
          <w:rFonts w:eastAsiaTheme="minorEastAsia"/>
          <w:color w:val="000000" w:themeColor="text1"/>
          <w:lang w:val="en-US"/>
        </w:rPr>
        <w:t xml:space="preserve">Din </w:t>
      </w:r>
      <w:proofErr w:type="spellStart"/>
      <w:r w:rsidRPr="00E929F2">
        <w:rPr>
          <w:rFonts w:eastAsiaTheme="minorEastAsia"/>
          <w:color w:val="000000" w:themeColor="text1"/>
          <w:lang w:val="en-US"/>
        </w:rPr>
        <w:t>punct</w:t>
      </w:r>
      <w:proofErr w:type="spellEnd"/>
      <w:r w:rsidRPr="00E929F2">
        <w:rPr>
          <w:rFonts w:eastAsiaTheme="minorEastAsia"/>
          <w:color w:val="000000" w:themeColor="text1"/>
          <w:lang w:val="en-US"/>
        </w:rPr>
        <w:t xml:space="preserve"> de </w:t>
      </w:r>
      <w:proofErr w:type="spellStart"/>
      <w:r w:rsidRPr="00E929F2">
        <w:rPr>
          <w:rFonts w:eastAsiaTheme="minorEastAsia"/>
          <w:color w:val="000000" w:themeColor="text1"/>
          <w:lang w:val="en-US"/>
        </w:rPr>
        <w:t>vedere</w:t>
      </w:r>
      <w:proofErr w:type="spellEnd"/>
      <w:r w:rsidRPr="00E929F2">
        <w:rPr>
          <w:rFonts w:eastAsiaTheme="minorEastAsia"/>
          <w:color w:val="000000" w:themeColor="text1"/>
          <w:lang w:val="en-US"/>
        </w:rPr>
        <w:t xml:space="preserve"> al </w:t>
      </w:r>
      <w:proofErr w:type="spellStart"/>
      <w:r w:rsidRPr="00E929F2">
        <w:rPr>
          <w:rFonts w:eastAsiaTheme="minorEastAsia"/>
          <w:color w:val="000000" w:themeColor="text1"/>
          <w:lang w:val="en-US"/>
        </w:rPr>
        <w:t>identificării</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în</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timp</w:t>
      </w:r>
      <w:proofErr w:type="spellEnd"/>
      <w:r w:rsidRPr="00E929F2">
        <w:rPr>
          <w:rFonts w:eastAsiaTheme="minorEastAsia"/>
          <w:color w:val="000000" w:themeColor="text1"/>
          <w:lang w:val="en-US"/>
        </w:rPr>
        <w:t xml:space="preserve"> a </w:t>
      </w:r>
      <w:proofErr w:type="spellStart"/>
      <w:r w:rsidRPr="00E929F2">
        <w:rPr>
          <w:rFonts w:eastAsiaTheme="minorEastAsia"/>
          <w:color w:val="000000" w:themeColor="text1"/>
          <w:lang w:val="en-US"/>
        </w:rPr>
        <w:t>formelor</w:t>
      </w:r>
      <w:proofErr w:type="spellEnd"/>
      <w:r w:rsidRPr="00E929F2">
        <w:rPr>
          <w:rFonts w:eastAsiaTheme="minorEastAsia"/>
          <w:color w:val="000000" w:themeColor="text1"/>
          <w:lang w:val="en-US"/>
        </w:rPr>
        <w:t xml:space="preserve"> de impact </w:t>
      </w:r>
      <w:proofErr w:type="spellStart"/>
      <w:r w:rsidRPr="00E929F2">
        <w:rPr>
          <w:rFonts w:eastAsiaTheme="minorEastAsia"/>
          <w:color w:val="000000" w:themeColor="text1"/>
          <w:lang w:val="en-US"/>
        </w:rPr>
        <w:t>acestea</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trebuie</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clasificate</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în</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două</w:t>
      </w:r>
      <w:proofErr w:type="spellEnd"/>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categorii</w:t>
      </w:r>
      <w:proofErr w:type="spellEnd"/>
      <w:r w:rsidRPr="00E929F2">
        <w:rPr>
          <w:rFonts w:eastAsiaTheme="minorEastAsia"/>
          <w:color w:val="000000" w:themeColor="text1"/>
          <w:lang w:val="en-US"/>
        </w:rPr>
        <w:t xml:space="preserve">: </w:t>
      </w:r>
      <w:proofErr w:type="spellStart"/>
      <w:r w:rsidRPr="00E929F2">
        <w:rPr>
          <w:rFonts w:eastAsiaTheme="minorEastAsia"/>
          <w:b/>
          <w:color w:val="000000" w:themeColor="text1"/>
          <w:lang w:val="en-US"/>
        </w:rPr>
        <w:t>presiuni</w:t>
      </w:r>
      <w:proofErr w:type="spellEnd"/>
      <w:r w:rsidRPr="00E929F2">
        <w:rPr>
          <w:rFonts w:eastAsiaTheme="minorEastAsia"/>
          <w:b/>
          <w:color w:val="000000" w:themeColor="text1"/>
          <w:spacing w:val="1"/>
          <w:lang w:val="en-US"/>
        </w:rPr>
        <w:t xml:space="preserve"> </w:t>
      </w:r>
      <w:proofErr w:type="spellStart"/>
      <w:r w:rsidRPr="00E929F2">
        <w:rPr>
          <w:rFonts w:eastAsiaTheme="minorEastAsia"/>
          <w:color w:val="000000" w:themeColor="text1"/>
          <w:lang w:val="en-US"/>
        </w:rPr>
        <w:t>şi</w:t>
      </w:r>
      <w:proofErr w:type="spellEnd"/>
      <w:r w:rsidRPr="00E929F2">
        <w:rPr>
          <w:rFonts w:eastAsiaTheme="minorEastAsia"/>
          <w:color w:val="000000" w:themeColor="text1"/>
          <w:lang w:val="en-US"/>
        </w:rPr>
        <w:t xml:space="preserve"> </w:t>
      </w:r>
      <w:proofErr w:type="spellStart"/>
      <w:r w:rsidRPr="00E929F2">
        <w:rPr>
          <w:rFonts w:eastAsiaTheme="minorEastAsia"/>
          <w:b/>
          <w:color w:val="000000" w:themeColor="text1"/>
          <w:lang w:val="en-US"/>
        </w:rPr>
        <w:t>ameninţări</w:t>
      </w:r>
      <w:proofErr w:type="spellEnd"/>
      <w:r w:rsidRPr="00E929F2">
        <w:rPr>
          <w:rFonts w:eastAsiaTheme="minorEastAsia"/>
          <w:color w:val="000000" w:themeColor="text1"/>
          <w:lang w:val="en-US"/>
        </w:rPr>
        <w:t>:</w:t>
      </w:r>
    </w:p>
    <w:p w14:paraId="072A7214" w14:textId="77777777" w:rsidR="00E929F2" w:rsidRPr="00E929F2" w:rsidRDefault="00E929F2" w:rsidP="00E929F2">
      <w:pPr>
        <w:widowControl w:val="0"/>
        <w:autoSpaceDE w:val="0"/>
        <w:autoSpaceDN w:val="0"/>
        <w:adjustRightInd w:val="0"/>
        <w:ind w:left="293" w:right="253"/>
        <w:jc w:val="both"/>
        <w:rPr>
          <w:rFonts w:eastAsiaTheme="minorEastAsia"/>
          <w:color w:val="000000" w:themeColor="text1"/>
          <w:lang w:val="en-US"/>
        </w:rPr>
      </w:pPr>
      <w:proofErr w:type="spellStart"/>
      <w:r w:rsidRPr="00E929F2">
        <w:rPr>
          <w:rFonts w:eastAsiaTheme="minorEastAsia"/>
          <w:b/>
          <w:color w:val="000000" w:themeColor="text1"/>
          <w:lang w:val="en-US"/>
        </w:rPr>
        <w:t>Presiunea</w:t>
      </w:r>
      <w:proofErr w:type="spellEnd"/>
      <w:r w:rsidRPr="00E929F2">
        <w:rPr>
          <w:rFonts w:eastAsiaTheme="minorEastAsia"/>
          <w:b/>
          <w:color w:val="000000" w:themeColor="text1"/>
          <w:lang w:val="en-US"/>
        </w:rPr>
        <w:t xml:space="preserve"> </w:t>
      </w:r>
      <w:r w:rsidRPr="00E929F2">
        <w:rPr>
          <w:rFonts w:eastAsiaTheme="minorEastAsia"/>
          <w:color w:val="000000" w:themeColor="text1"/>
          <w:lang w:val="en-US"/>
        </w:rPr>
        <w:t xml:space="preserve">(P) </w:t>
      </w:r>
      <w:proofErr w:type="spellStart"/>
      <w:r w:rsidRPr="00E929F2">
        <w:rPr>
          <w:rFonts w:eastAsiaTheme="minorEastAsia"/>
          <w:color w:val="000000" w:themeColor="text1"/>
          <w:lang w:val="en-US"/>
        </w:rPr>
        <w:t>reprezintă</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acea</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activitate</w:t>
      </w:r>
      <w:proofErr w:type="spellEnd"/>
      <w:r w:rsidRPr="00E929F2">
        <w:rPr>
          <w:rFonts w:eastAsiaTheme="minorEastAsia"/>
          <w:color w:val="000000" w:themeColor="text1"/>
          <w:lang w:val="en-US"/>
        </w:rPr>
        <w:t xml:space="preserve"> cu </w:t>
      </w:r>
      <w:proofErr w:type="spellStart"/>
      <w:r w:rsidRPr="00E929F2">
        <w:rPr>
          <w:rFonts w:eastAsiaTheme="minorEastAsia"/>
          <w:color w:val="000000" w:themeColor="text1"/>
          <w:lang w:val="en-US"/>
        </w:rPr>
        <w:t>potenţial</w:t>
      </w:r>
      <w:proofErr w:type="spellEnd"/>
      <w:r w:rsidRPr="00E929F2">
        <w:rPr>
          <w:rFonts w:eastAsiaTheme="minorEastAsia"/>
          <w:color w:val="000000" w:themeColor="text1"/>
          <w:lang w:val="en-US"/>
        </w:rPr>
        <w:t xml:space="preserve"> impact </w:t>
      </w:r>
      <w:proofErr w:type="spellStart"/>
      <w:r w:rsidRPr="00E929F2">
        <w:rPr>
          <w:rFonts w:eastAsiaTheme="minorEastAsia"/>
          <w:color w:val="000000" w:themeColor="text1"/>
          <w:lang w:val="en-US"/>
        </w:rPr>
        <w:t>negativ</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asupra</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stării</w:t>
      </w:r>
      <w:proofErr w:type="spellEnd"/>
      <w:r w:rsidRPr="00E929F2">
        <w:rPr>
          <w:rFonts w:eastAsiaTheme="minorEastAsia"/>
          <w:color w:val="000000" w:themeColor="text1"/>
          <w:lang w:val="en-US"/>
        </w:rPr>
        <w:t xml:space="preserve"> de </w:t>
      </w:r>
      <w:proofErr w:type="spellStart"/>
      <w:r w:rsidRPr="00E929F2">
        <w:rPr>
          <w:rFonts w:eastAsiaTheme="minorEastAsia"/>
          <w:color w:val="000000" w:themeColor="text1"/>
          <w:lang w:val="en-US"/>
        </w:rPr>
        <w:t>conservare</w:t>
      </w:r>
      <w:proofErr w:type="spellEnd"/>
      <w:r w:rsidRPr="00E929F2">
        <w:rPr>
          <w:rFonts w:eastAsiaTheme="minorEastAsia"/>
          <w:color w:val="000000" w:themeColor="text1"/>
          <w:lang w:val="en-US"/>
        </w:rPr>
        <w:t xml:space="preserve"> a</w:t>
      </w:r>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tipurilor</w:t>
      </w:r>
      <w:proofErr w:type="spellEnd"/>
      <w:r w:rsidRPr="00E929F2">
        <w:rPr>
          <w:rFonts w:eastAsiaTheme="minorEastAsia"/>
          <w:color w:val="000000" w:themeColor="text1"/>
          <w:lang w:val="en-US"/>
        </w:rPr>
        <w:t xml:space="preserve"> de </w:t>
      </w:r>
      <w:proofErr w:type="spellStart"/>
      <w:r w:rsidRPr="00E929F2">
        <w:rPr>
          <w:rFonts w:eastAsiaTheme="minorEastAsia"/>
          <w:color w:val="000000" w:themeColor="text1"/>
          <w:lang w:val="en-US"/>
        </w:rPr>
        <w:t>habitate</w:t>
      </w:r>
      <w:proofErr w:type="spellEnd"/>
      <w:r w:rsidRPr="00E929F2">
        <w:rPr>
          <w:rFonts w:eastAsiaTheme="minorEastAsia"/>
          <w:color w:val="000000" w:themeColor="text1"/>
          <w:lang w:val="en-US"/>
        </w:rPr>
        <w:t xml:space="preserve"> de </w:t>
      </w:r>
      <w:proofErr w:type="spellStart"/>
      <w:r w:rsidRPr="00E929F2">
        <w:rPr>
          <w:rFonts w:eastAsiaTheme="minorEastAsia"/>
          <w:color w:val="000000" w:themeColor="text1"/>
          <w:lang w:val="en-US"/>
        </w:rPr>
        <w:t>interes</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comunitar</w:t>
      </w:r>
      <w:proofErr w:type="spellEnd"/>
      <w:r w:rsidRPr="00E929F2">
        <w:rPr>
          <w:rFonts w:eastAsiaTheme="minorEastAsia"/>
          <w:color w:val="000000" w:themeColor="text1"/>
          <w:lang w:val="en-US"/>
        </w:rPr>
        <w:t xml:space="preserve">, care se </w:t>
      </w:r>
      <w:proofErr w:type="spellStart"/>
      <w:r w:rsidRPr="00E929F2">
        <w:rPr>
          <w:rFonts w:eastAsiaTheme="minorEastAsia"/>
          <w:color w:val="000000" w:themeColor="text1"/>
          <w:lang w:val="en-US"/>
        </w:rPr>
        <w:t>desfăşoară</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în</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prezent</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sau</w:t>
      </w:r>
      <w:proofErr w:type="spellEnd"/>
      <w:r w:rsidRPr="00E929F2">
        <w:rPr>
          <w:rFonts w:eastAsiaTheme="minorEastAsia"/>
          <w:color w:val="000000" w:themeColor="text1"/>
          <w:lang w:val="en-US"/>
        </w:rPr>
        <w:t xml:space="preserve"> care s-a </w:t>
      </w:r>
      <w:proofErr w:type="spellStart"/>
      <w:r w:rsidRPr="00E929F2">
        <w:rPr>
          <w:rFonts w:eastAsiaTheme="minorEastAsia"/>
          <w:color w:val="000000" w:themeColor="text1"/>
          <w:lang w:val="en-US"/>
        </w:rPr>
        <w:t>derulat</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în</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trecut</w:t>
      </w:r>
      <w:proofErr w:type="spellEnd"/>
      <w:r w:rsidRPr="00E929F2">
        <w:rPr>
          <w:rFonts w:eastAsiaTheme="minorEastAsia"/>
          <w:color w:val="000000" w:themeColor="text1"/>
          <w:lang w:val="en-US"/>
        </w:rPr>
        <w:t>,</w:t>
      </w:r>
      <w:r w:rsidRPr="00E929F2">
        <w:rPr>
          <w:rFonts w:eastAsiaTheme="minorEastAsia"/>
          <w:color w:val="000000" w:themeColor="text1"/>
          <w:spacing w:val="-57"/>
          <w:lang w:val="en-US"/>
        </w:rPr>
        <w:t xml:space="preserve"> </w:t>
      </w:r>
      <w:proofErr w:type="spellStart"/>
      <w:r w:rsidRPr="00E929F2">
        <w:rPr>
          <w:rFonts w:eastAsiaTheme="minorEastAsia"/>
          <w:color w:val="000000" w:themeColor="text1"/>
          <w:lang w:val="en-US"/>
        </w:rPr>
        <w:t>dar</w:t>
      </w:r>
      <w:proofErr w:type="spellEnd"/>
      <w:r w:rsidRPr="00E929F2">
        <w:rPr>
          <w:rFonts w:eastAsiaTheme="minorEastAsia"/>
          <w:color w:val="000000" w:themeColor="text1"/>
          <w:spacing w:val="-1"/>
          <w:lang w:val="en-US"/>
        </w:rPr>
        <w:t xml:space="preserve"> </w:t>
      </w:r>
      <w:r w:rsidRPr="00E929F2">
        <w:rPr>
          <w:rFonts w:eastAsiaTheme="minorEastAsia"/>
          <w:color w:val="000000" w:themeColor="text1"/>
          <w:lang w:val="en-US"/>
        </w:rPr>
        <w:t>ale</w:t>
      </w:r>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cărui</w:t>
      </w:r>
      <w:proofErr w:type="spellEnd"/>
      <w:r w:rsidRPr="00E929F2">
        <w:rPr>
          <w:rFonts w:eastAsiaTheme="minorEastAsia"/>
          <w:color w:val="000000" w:themeColor="text1"/>
          <w:spacing w:val="2"/>
          <w:lang w:val="en-US"/>
        </w:rPr>
        <w:t xml:space="preserve"> </w:t>
      </w:r>
      <w:proofErr w:type="spellStart"/>
      <w:r w:rsidRPr="00E929F2">
        <w:rPr>
          <w:rFonts w:eastAsiaTheme="minorEastAsia"/>
          <w:color w:val="000000" w:themeColor="text1"/>
          <w:lang w:val="en-US"/>
        </w:rPr>
        <w:t>efectele</w:t>
      </w:r>
      <w:proofErr w:type="spellEnd"/>
      <w:r w:rsidRPr="00E929F2">
        <w:rPr>
          <w:rFonts w:eastAsiaTheme="minorEastAsia"/>
          <w:color w:val="000000" w:themeColor="text1"/>
          <w:spacing w:val="-1"/>
          <w:lang w:val="en-US"/>
        </w:rPr>
        <w:t xml:space="preserve"> </w:t>
      </w:r>
      <w:r w:rsidRPr="00E929F2">
        <w:rPr>
          <w:rFonts w:eastAsiaTheme="minorEastAsia"/>
          <w:color w:val="000000" w:themeColor="text1"/>
          <w:lang w:val="en-US"/>
        </w:rPr>
        <w:t>negative</w:t>
      </w:r>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încă</w:t>
      </w:r>
      <w:proofErr w:type="spellEnd"/>
      <w:r w:rsidRPr="00E929F2">
        <w:rPr>
          <w:rFonts w:eastAsiaTheme="minorEastAsia"/>
          <w:color w:val="000000" w:themeColor="text1"/>
          <w:spacing w:val="-2"/>
          <w:lang w:val="en-US"/>
        </w:rPr>
        <w:t xml:space="preserve"> </w:t>
      </w:r>
      <w:proofErr w:type="spellStart"/>
      <w:r w:rsidRPr="00E929F2">
        <w:rPr>
          <w:rFonts w:eastAsiaTheme="minorEastAsia"/>
          <w:color w:val="000000" w:themeColor="text1"/>
          <w:lang w:val="en-US"/>
        </w:rPr>
        <w:t>persistă</w:t>
      </w:r>
      <w:proofErr w:type="spellEnd"/>
      <w:r w:rsidRPr="00E929F2">
        <w:rPr>
          <w:rFonts w:eastAsiaTheme="minorEastAsia"/>
          <w:color w:val="000000" w:themeColor="text1"/>
          <w:lang w:val="en-US"/>
        </w:rPr>
        <w:t>.</w:t>
      </w:r>
    </w:p>
    <w:p w14:paraId="02670B83" w14:textId="77777777" w:rsidR="00E929F2" w:rsidRPr="00E929F2" w:rsidRDefault="00E929F2" w:rsidP="00E929F2">
      <w:pPr>
        <w:widowControl w:val="0"/>
        <w:autoSpaceDE w:val="0"/>
        <w:autoSpaceDN w:val="0"/>
        <w:adjustRightInd w:val="0"/>
        <w:ind w:left="293" w:right="248"/>
        <w:jc w:val="both"/>
        <w:rPr>
          <w:rFonts w:eastAsiaTheme="minorEastAsia"/>
          <w:color w:val="000000" w:themeColor="text1"/>
          <w:lang w:val="en-US"/>
        </w:rPr>
      </w:pPr>
      <w:proofErr w:type="spellStart"/>
      <w:r w:rsidRPr="00E929F2">
        <w:rPr>
          <w:rFonts w:eastAsiaTheme="minorEastAsia"/>
          <w:b/>
          <w:color w:val="000000" w:themeColor="text1"/>
          <w:lang w:val="en-US"/>
        </w:rPr>
        <w:t>Ameninţarea</w:t>
      </w:r>
      <w:proofErr w:type="spellEnd"/>
      <w:r w:rsidRPr="00E929F2">
        <w:rPr>
          <w:rFonts w:eastAsiaTheme="minorEastAsia"/>
          <w:b/>
          <w:color w:val="000000" w:themeColor="text1"/>
          <w:lang w:val="en-US"/>
        </w:rPr>
        <w:t xml:space="preserve"> </w:t>
      </w:r>
      <w:r w:rsidRPr="00E929F2">
        <w:rPr>
          <w:rFonts w:eastAsiaTheme="minorEastAsia"/>
          <w:color w:val="000000" w:themeColor="text1"/>
          <w:lang w:val="en-US"/>
        </w:rPr>
        <w:t xml:space="preserve">(A) </w:t>
      </w:r>
      <w:proofErr w:type="spellStart"/>
      <w:r w:rsidRPr="00E929F2">
        <w:rPr>
          <w:rFonts w:eastAsiaTheme="minorEastAsia"/>
          <w:color w:val="000000" w:themeColor="text1"/>
          <w:lang w:val="en-US"/>
        </w:rPr>
        <w:t>reprezintă</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acea</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activitate</w:t>
      </w:r>
      <w:proofErr w:type="spellEnd"/>
      <w:r w:rsidRPr="00E929F2">
        <w:rPr>
          <w:rFonts w:eastAsiaTheme="minorEastAsia"/>
          <w:color w:val="000000" w:themeColor="text1"/>
          <w:lang w:val="en-US"/>
        </w:rPr>
        <w:t xml:space="preserve"> cu </w:t>
      </w:r>
      <w:proofErr w:type="spellStart"/>
      <w:r w:rsidRPr="00E929F2">
        <w:rPr>
          <w:rFonts w:eastAsiaTheme="minorEastAsia"/>
          <w:color w:val="000000" w:themeColor="text1"/>
          <w:lang w:val="en-US"/>
        </w:rPr>
        <w:t>potenţial</w:t>
      </w:r>
      <w:proofErr w:type="spellEnd"/>
      <w:r w:rsidRPr="00E929F2">
        <w:rPr>
          <w:rFonts w:eastAsiaTheme="minorEastAsia"/>
          <w:color w:val="000000" w:themeColor="text1"/>
          <w:lang w:val="en-US"/>
        </w:rPr>
        <w:t xml:space="preserve"> impact </w:t>
      </w:r>
      <w:proofErr w:type="spellStart"/>
      <w:r w:rsidRPr="00E929F2">
        <w:rPr>
          <w:rFonts w:eastAsiaTheme="minorEastAsia"/>
          <w:color w:val="000000" w:themeColor="text1"/>
          <w:lang w:val="en-US"/>
        </w:rPr>
        <w:t>negativ</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asupra</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stării</w:t>
      </w:r>
      <w:proofErr w:type="spellEnd"/>
      <w:r w:rsidRPr="00E929F2">
        <w:rPr>
          <w:rFonts w:eastAsiaTheme="minorEastAsia"/>
          <w:color w:val="000000" w:themeColor="text1"/>
          <w:lang w:val="en-US"/>
        </w:rPr>
        <w:t xml:space="preserve"> de </w:t>
      </w:r>
      <w:proofErr w:type="spellStart"/>
      <w:r w:rsidRPr="00E929F2">
        <w:rPr>
          <w:rFonts w:eastAsiaTheme="minorEastAsia"/>
          <w:color w:val="000000" w:themeColor="text1"/>
          <w:lang w:val="en-US"/>
        </w:rPr>
        <w:t>conservare</w:t>
      </w:r>
      <w:proofErr w:type="spellEnd"/>
      <w:r w:rsidRPr="00E929F2">
        <w:rPr>
          <w:rFonts w:eastAsiaTheme="minorEastAsia"/>
          <w:color w:val="000000" w:themeColor="text1"/>
          <w:lang w:val="en-US"/>
        </w:rPr>
        <w:t xml:space="preserve"> a</w:t>
      </w:r>
      <w:r w:rsidRPr="00E929F2">
        <w:rPr>
          <w:rFonts w:eastAsiaTheme="minorEastAsia"/>
          <w:color w:val="000000" w:themeColor="text1"/>
          <w:spacing w:val="-57"/>
          <w:lang w:val="en-US"/>
        </w:rPr>
        <w:t xml:space="preserve"> </w:t>
      </w:r>
      <w:proofErr w:type="spellStart"/>
      <w:r w:rsidRPr="00E929F2">
        <w:rPr>
          <w:rFonts w:eastAsiaTheme="minorEastAsia"/>
          <w:color w:val="000000" w:themeColor="text1"/>
          <w:lang w:val="en-US"/>
        </w:rPr>
        <w:t>tipurilor</w:t>
      </w:r>
      <w:proofErr w:type="spellEnd"/>
      <w:r w:rsidRPr="00E929F2">
        <w:rPr>
          <w:rFonts w:eastAsiaTheme="minorEastAsia"/>
          <w:color w:val="000000" w:themeColor="text1"/>
          <w:lang w:val="en-US"/>
        </w:rPr>
        <w:t xml:space="preserve"> de </w:t>
      </w:r>
      <w:proofErr w:type="spellStart"/>
      <w:r w:rsidRPr="00E929F2">
        <w:rPr>
          <w:rFonts w:eastAsiaTheme="minorEastAsia"/>
          <w:color w:val="000000" w:themeColor="text1"/>
          <w:lang w:val="en-US"/>
        </w:rPr>
        <w:t>habitate</w:t>
      </w:r>
      <w:proofErr w:type="spellEnd"/>
      <w:r w:rsidRPr="00E929F2">
        <w:rPr>
          <w:rFonts w:eastAsiaTheme="minorEastAsia"/>
          <w:color w:val="000000" w:themeColor="text1"/>
          <w:lang w:val="en-US"/>
        </w:rPr>
        <w:t xml:space="preserve"> de </w:t>
      </w:r>
      <w:proofErr w:type="spellStart"/>
      <w:r w:rsidRPr="00E929F2">
        <w:rPr>
          <w:rFonts w:eastAsiaTheme="minorEastAsia"/>
          <w:color w:val="000000" w:themeColor="text1"/>
          <w:lang w:val="en-US"/>
        </w:rPr>
        <w:t>interes</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comunitar</w:t>
      </w:r>
      <w:proofErr w:type="spellEnd"/>
      <w:r w:rsidRPr="00E929F2">
        <w:rPr>
          <w:rFonts w:eastAsiaTheme="minorEastAsia"/>
          <w:color w:val="000000" w:themeColor="text1"/>
          <w:lang w:val="en-US"/>
        </w:rPr>
        <w:t xml:space="preserve">, care </w:t>
      </w:r>
      <w:proofErr w:type="spellStart"/>
      <w:r w:rsidRPr="00E929F2">
        <w:rPr>
          <w:rFonts w:eastAsiaTheme="minorEastAsia"/>
          <w:color w:val="000000" w:themeColor="text1"/>
          <w:lang w:val="en-US"/>
        </w:rPr>
        <w:t>este</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preconizată</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să</w:t>
      </w:r>
      <w:proofErr w:type="spellEnd"/>
      <w:r w:rsidRPr="00E929F2">
        <w:rPr>
          <w:rFonts w:eastAsiaTheme="minorEastAsia"/>
          <w:color w:val="000000" w:themeColor="text1"/>
          <w:lang w:val="en-US"/>
        </w:rPr>
        <w:t xml:space="preserve"> se </w:t>
      </w:r>
      <w:proofErr w:type="spellStart"/>
      <w:r w:rsidRPr="00E929F2">
        <w:rPr>
          <w:rFonts w:eastAsiaTheme="minorEastAsia"/>
          <w:color w:val="000000" w:themeColor="text1"/>
          <w:lang w:val="en-US"/>
        </w:rPr>
        <w:t>deruleze</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în</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viitor</w:t>
      </w:r>
      <w:proofErr w:type="spellEnd"/>
      <w:r w:rsidRPr="00E929F2">
        <w:rPr>
          <w:rFonts w:eastAsiaTheme="minorEastAsia"/>
          <w:color w:val="000000" w:themeColor="text1"/>
          <w:lang w:val="en-US"/>
        </w:rPr>
        <w:t xml:space="preserve">. O </w:t>
      </w:r>
      <w:proofErr w:type="spellStart"/>
      <w:r w:rsidRPr="00E929F2">
        <w:rPr>
          <w:rFonts w:eastAsiaTheme="minorEastAsia"/>
          <w:color w:val="000000" w:themeColor="text1"/>
          <w:lang w:val="en-US"/>
        </w:rPr>
        <w:t>presiune</w:t>
      </w:r>
      <w:proofErr w:type="spellEnd"/>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poate</w:t>
      </w:r>
      <w:proofErr w:type="spellEnd"/>
      <w:r w:rsidRPr="00E929F2">
        <w:rPr>
          <w:rFonts w:eastAsiaTheme="minorEastAsia"/>
          <w:color w:val="000000" w:themeColor="text1"/>
          <w:lang w:val="en-US"/>
        </w:rPr>
        <w:t xml:space="preserve"> fi </w:t>
      </w:r>
      <w:proofErr w:type="spellStart"/>
      <w:r w:rsidRPr="00E929F2">
        <w:rPr>
          <w:rFonts w:eastAsiaTheme="minorEastAsia"/>
          <w:color w:val="000000" w:themeColor="text1"/>
          <w:lang w:val="en-US"/>
        </w:rPr>
        <w:t>considerată</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ameninţare</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dacă</w:t>
      </w:r>
      <w:proofErr w:type="spellEnd"/>
      <w:r w:rsidRPr="00E929F2">
        <w:rPr>
          <w:rFonts w:eastAsiaTheme="minorEastAsia"/>
          <w:color w:val="000000" w:themeColor="text1"/>
          <w:lang w:val="en-US"/>
        </w:rPr>
        <w:t xml:space="preserve"> se </w:t>
      </w:r>
      <w:proofErr w:type="spellStart"/>
      <w:r w:rsidRPr="00E929F2">
        <w:rPr>
          <w:rFonts w:eastAsiaTheme="minorEastAsia"/>
          <w:color w:val="000000" w:themeColor="text1"/>
          <w:lang w:val="en-US"/>
        </w:rPr>
        <w:t>preconizează</w:t>
      </w:r>
      <w:proofErr w:type="spellEnd"/>
      <w:r w:rsidRPr="00E929F2">
        <w:rPr>
          <w:rFonts w:eastAsiaTheme="minorEastAsia"/>
          <w:color w:val="000000" w:themeColor="text1"/>
          <w:lang w:val="en-US"/>
        </w:rPr>
        <w:t xml:space="preserve"> o </w:t>
      </w:r>
      <w:proofErr w:type="spellStart"/>
      <w:r w:rsidRPr="00E929F2">
        <w:rPr>
          <w:rFonts w:eastAsiaTheme="minorEastAsia"/>
          <w:color w:val="000000" w:themeColor="text1"/>
          <w:lang w:val="en-US"/>
        </w:rPr>
        <w:t>creştere</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semnificativă</w:t>
      </w:r>
      <w:proofErr w:type="spellEnd"/>
      <w:r w:rsidRPr="00E929F2">
        <w:rPr>
          <w:rFonts w:eastAsiaTheme="minorEastAsia"/>
          <w:color w:val="000000" w:themeColor="text1"/>
          <w:lang w:val="en-US"/>
        </w:rPr>
        <w:t xml:space="preserve"> a </w:t>
      </w:r>
      <w:proofErr w:type="spellStart"/>
      <w:r w:rsidRPr="00E929F2">
        <w:rPr>
          <w:rFonts w:eastAsiaTheme="minorEastAsia"/>
          <w:color w:val="000000" w:themeColor="text1"/>
          <w:lang w:val="en-US"/>
        </w:rPr>
        <w:t>intensităţii</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acesteia</w:t>
      </w:r>
      <w:proofErr w:type="spellEnd"/>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sau</w:t>
      </w:r>
      <w:proofErr w:type="spellEnd"/>
      <w:r w:rsidRPr="00E929F2">
        <w:rPr>
          <w:rFonts w:eastAsiaTheme="minorEastAsia"/>
          <w:color w:val="000000" w:themeColor="text1"/>
          <w:spacing w:val="-1"/>
          <w:lang w:val="en-US"/>
        </w:rPr>
        <w:t xml:space="preserve"> </w:t>
      </w:r>
      <w:r w:rsidRPr="00E929F2">
        <w:rPr>
          <w:rFonts w:eastAsiaTheme="minorEastAsia"/>
          <w:color w:val="000000" w:themeColor="text1"/>
          <w:lang w:val="en-US"/>
        </w:rPr>
        <w:t xml:space="preserve">o </w:t>
      </w:r>
      <w:proofErr w:type="spellStart"/>
      <w:r w:rsidRPr="00E929F2">
        <w:rPr>
          <w:rFonts w:eastAsiaTheme="minorEastAsia"/>
          <w:color w:val="000000" w:themeColor="text1"/>
          <w:lang w:val="en-US"/>
        </w:rPr>
        <w:t>schimbare</w:t>
      </w:r>
      <w:proofErr w:type="spellEnd"/>
      <w:r w:rsidRPr="00E929F2">
        <w:rPr>
          <w:rFonts w:eastAsiaTheme="minorEastAsia"/>
          <w:color w:val="000000" w:themeColor="text1"/>
          <w:lang w:val="en-US"/>
        </w:rPr>
        <w:t xml:space="preserve"> a</w:t>
      </w:r>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localizării</w:t>
      </w:r>
      <w:proofErr w:type="spellEnd"/>
      <w:r w:rsidRPr="00E929F2">
        <w:rPr>
          <w:rFonts w:eastAsiaTheme="minorEastAsia"/>
          <w:color w:val="000000" w:themeColor="text1"/>
          <w:spacing w:val="2"/>
          <w:lang w:val="en-US"/>
        </w:rPr>
        <w:t xml:space="preserve"> </w:t>
      </w:r>
      <w:proofErr w:type="spellStart"/>
      <w:r w:rsidRPr="00E929F2">
        <w:rPr>
          <w:rFonts w:eastAsiaTheme="minorEastAsia"/>
          <w:color w:val="000000" w:themeColor="text1"/>
          <w:lang w:val="en-US"/>
        </w:rPr>
        <w:t>respectivei</w:t>
      </w:r>
      <w:proofErr w:type="spellEnd"/>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presiuni</w:t>
      </w:r>
      <w:proofErr w:type="spellEnd"/>
      <w:r w:rsidRPr="00E929F2">
        <w:rPr>
          <w:rFonts w:eastAsiaTheme="minorEastAsia"/>
          <w:color w:val="000000" w:themeColor="text1"/>
          <w:lang w:val="en-US"/>
        </w:rPr>
        <w:t>.</w:t>
      </w:r>
    </w:p>
    <w:p w14:paraId="46315471" w14:textId="77777777" w:rsidR="00E929F2" w:rsidRPr="00E929F2" w:rsidRDefault="00E929F2" w:rsidP="00E929F2">
      <w:pPr>
        <w:widowControl w:val="0"/>
        <w:autoSpaceDE w:val="0"/>
        <w:autoSpaceDN w:val="0"/>
        <w:adjustRightInd w:val="0"/>
        <w:spacing w:before="1"/>
        <w:ind w:left="293" w:right="254"/>
        <w:jc w:val="both"/>
        <w:rPr>
          <w:rFonts w:eastAsiaTheme="minorEastAsia"/>
          <w:color w:val="000000" w:themeColor="text1"/>
          <w:lang w:val="en-US"/>
        </w:rPr>
      </w:pPr>
      <w:r w:rsidRPr="00E929F2">
        <w:rPr>
          <w:rFonts w:eastAsiaTheme="minorEastAsia"/>
          <w:color w:val="000000" w:themeColor="text1"/>
          <w:lang w:val="en-US"/>
        </w:rPr>
        <w:t xml:space="preserve">Este </w:t>
      </w:r>
      <w:proofErr w:type="spellStart"/>
      <w:r w:rsidRPr="00E929F2">
        <w:rPr>
          <w:rFonts w:eastAsiaTheme="minorEastAsia"/>
          <w:color w:val="000000" w:themeColor="text1"/>
          <w:lang w:val="en-US"/>
        </w:rPr>
        <w:t>recomandat</w:t>
      </w:r>
      <w:proofErr w:type="spellEnd"/>
      <w:r w:rsidRPr="00E929F2">
        <w:rPr>
          <w:rFonts w:eastAsiaTheme="minorEastAsia"/>
          <w:color w:val="000000" w:themeColor="text1"/>
          <w:lang w:val="en-US"/>
        </w:rPr>
        <w:t xml:space="preserve"> ca </w:t>
      </w:r>
      <w:proofErr w:type="spellStart"/>
      <w:r w:rsidRPr="00E929F2">
        <w:rPr>
          <w:rFonts w:eastAsiaTheme="minorEastAsia"/>
          <w:color w:val="000000" w:themeColor="text1"/>
          <w:lang w:val="en-US"/>
        </w:rPr>
        <w:t>durata</w:t>
      </w:r>
      <w:proofErr w:type="spellEnd"/>
      <w:r w:rsidRPr="00E929F2">
        <w:rPr>
          <w:rFonts w:eastAsiaTheme="minorEastAsia"/>
          <w:color w:val="000000" w:themeColor="text1"/>
          <w:lang w:val="en-US"/>
        </w:rPr>
        <w:t xml:space="preserve"> de </w:t>
      </w:r>
      <w:proofErr w:type="spellStart"/>
      <w:r w:rsidRPr="00E929F2">
        <w:rPr>
          <w:rFonts w:eastAsiaTheme="minorEastAsia"/>
          <w:color w:val="000000" w:themeColor="text1"/>
          <w:lang w:val="en-US"/>
        </w:rPr>
        <w:t>timp</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pentru</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cuantificarea</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presiunilor</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să</w:t>
      </w:r>
      <w:proofErr w:type="spellEnd"/>
      <w:r w:rsidRPr="00E929F2">
        <w:rPr>
          <w:rFonts w:eastAsiaTheme="minorEastAsia"/>
          <w:color w:val="000000" w:themeColor="text1"/>
          <w:lang w:val="en-US"/>
        </w:rPr>
        <w:t xml:space="preserve"> fie o </w:t>
      </w:r>
      <w:proofErr w:type="spellStart"/>
      <w:r w:rsidRPr="00E929F2">
        <w:rPr>
          <w:rFonts w:eastAsiaTheme="minorEastAsia"/>
          <w:color w:val="000000" w:themeColor="text1"/>
          <w:lang w:val="en-US"/>
        </w:rPr>
        <w:t>perioadă</w:t>
      </w:r>
      <w:proofErr w:type="spellEnd"/>
      <w:r w:rsidRPr="00E929F2">
        <w:rPr>
          <w:rFonts w:eastAsiaTheme="minorEastAsia"/>
          <w:color w:val="000000" w:themeColor="text1"/>
          <w:lang w:val="en-US"/>
        </w:rPr>
        <w:t xml:space="preserve"> de </w:t>
      </w:r>
      <w:proofErr w:type="spellStart"/>
      <w:r w:rsidRPr="00E929F2">
        <w:rPr>
          <w:rFonts w:eastAsiaTheme="minorEastAsia"/>
          <w:color w:val="000000" w:themeColor="text1"/>
          <w:lang w:val="en-US"/>
        </w:rPr>
        <w:t>raportare</w:t>
      </w:r>
      <w:proofErr w:type="spellEnd"/>
      <w:r w:rsidRPr="00E929F2">
        <w:rPr>
          <w:rFonts w:eastAsiaTheme="minorEastAsia"/>
          <w:color w:val="000000" w:themeColor="text1"/>
          <w:lang w:val="en-US"/>
        </w:rPr>
        <w:t>,</w:t>
      </w:r>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respectiv</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șase</w:t>
      </w:r>
      <w:proofErr w:type="spellEnd"/>
      <w:r w:rsidRPr="00E929F2">
        <w:rPr>
          <w:rFonts w:eastAsiaTheme="minorEastAsia"/>
          <w:color w:val="000000" w:themeColor="text1"/>
          <w:lang w:val="en-US"/>
        </w:rPr>
        <w:t xml:space="preserve"> ani, </w:t>
      </w:r>
      <w:proofErr w:type="spellStart"/>
      <w:r w:rsidRPr="00E929F2">
        <w:rPr>
          <w:rFonts w:eastAsiaTheme="minorEastAsia"/>
          <w:color w:val="000000" w:themeColor="text1"/>
          <w:lang w:val="en-US"/>
        </w:rPr>
        <w:t>în</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timp</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ce</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pentru</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amenințări</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aceasta</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să</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acopere</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două</w:t>
      </w:r>
      <w:proofErr w:type="spellEnd"/>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perioade</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viitoare</w:t>
      </w:r>
      <w:proofErr w:type="spellEnd"/>
      <w:r w:rsidRPr="00E929F2">
        <w:rPr>
          <w:rFonts w:eastAsiaTheme="minorEastAsia"/>
          <w:color w:val="000000" w:themeColor="text1"/>
          <w:lang w:val="en-US"/>
        </w:rPr>
        <w:t xml:space="preserve"> de</w:t>
      </w:r>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raportare</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respectiv</w:t>
      </w:r>
      <w:proofErr w:type="spellEnd"/>
      <w:r w:rsidRPr="00E929F2">
        <w:rPr>
          <w:rFonts w:eastAsiaTheme="minorEastAsia"/>
          <w:color w:val="000000" w:themeColor="text1"/>
          <w:lang w:val="en-US"/>
        </w:rPr>
        <w:t xml:space="preserve"> 12 ani. </w:t>
      </w:r>
      <w:proofErr w:type="spellStart"/>
      <w:r w:rsidRPr="00E929F2">
        <w:rPr>
          <w:rFonts w:eastAsiaTheme="minorEastAsia"/>
          <w:color w:val="000000" w:themeColor="text1"/>
          <w:lang w:val="en-US"/>
        </w:rPr>
        <w:t>Importanța</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relativă</w:t>
      </w:r>
      <w:proofErr w:type="spellEnd"/>
      <w:r w:rsidRPr="00E929F2">
        <w:rPr>
          <w:rFonts w:eastAsiaTheme="minorEastAsia"/>
          <w:color w:val="000000" w:themeColor="text1"/>
          <w:lang w:val="en-US"/>
        </w:rPr>
        <w:t xml:space="preserve"> a </w:t>
      </w:r>
      <w:proofErr w:type="spellStart"/>
      <w:r w:rsidRPr="00E929F2">
        <w:rPr>
          <w:rFonts w:eastAsiaTheme="minorEastAsia"/>
          <w:color w:val="000000" w:themeColor="text1"/>
          <w:lang w:val="en-US"/>
        </w:rPr>
        <w:t>amenințărilor</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și</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presiunilor</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trebuie</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să</w:t>
      </w:r>
      <w:proofErr w:type="spellEnd"/>
      <w:r w:rsidRPr="00E929F2">
        <w:rPr>
          <w:rFonts w:eastAsiaTheme="minorEastAsia"/>
          <w:color w:val="000000" w:themeColor="text1"/>
          <w:lang w:val="en-US"/>
        </w:rPr>
        <w:t xml:space="preserve"> se </w:t>
      </w:r>
      <w:proofErr w:type="spellStart"/>
      <w:r w:rsidRPr="00E929F2">
        <w:rPr>
          <w:rFonts w:eastAsiaTheme="minorEastAsia"/>
          <w:color w:val="000000" w:themeColor="text1"/>
          <w:lang w:val="en-US"/>
        </w:rPr>
        <w:t>încadreze</w:t>
      </w:r>
      <w:proofErr w:type="spellEnd"/>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în</w:t>
      </w:r>
      <w:proofErr w:type="spellEnd"/>
      <w:r w:rsidRPr="00E929F2">
        <w:rPr>
          <w:rFonts w:eastAsiaTheme="minorEastAsia"/>
          <w:color w:val="000000" w:themeColor="text1"/>
          <w:spacing w:val="-1"/>
          <w:lang w:val="en-US"/>
        </w:rPr>
        <w:t xml:space="preserve"> </w:t>
      </w:r>
      <w:proofErr w:type="spellStart"/>
      <w:r w:rsidRPr="00E929F2">
        <w:rPr>
          <w:rFonts w:eastAsiaTheme="minorEastAsia"/>
          <w:color w:val="000000" w:themeColor="text1"/>
          <w:lang w:val="en-US"/>
        </w:rPr>
        <w:t>una</w:t>
      </w:r>
      <w:proofErr w:type="spellEnd"/>
      <w:r w:rsidRPr="00E929F2">
        <w:rPr>
          <w:rFonts w:eastAsiaTheme="minorEastAsia"/>
          <w:color w:val="000000" w:themeColor="text1"/>
          <w:lang w:val="en-US"/>
        </w:rPr>
        <w:t xml:space="preserve"> din </w:t>
      </w:r>
      <w:proofErr w:type="spellStart"/>
      <w:r w:rsidRPr="00E929F2">
        <w:rPr>
          <w:rFonts w:eastAsiaTheme="minorEastAsia"/>
          <w:color w:val="000000" w:themeColor="text1"/>
          <w:lang w:val="en-US"/>
        </w:rPr>
        <w:t>cele</w:t>
      </w:r>
      <w:proofErr w:type="spellEnd"/>
      <w:r w:rsidRPr="00E929F2">
        <w:rPr>
          <w:rFonts w:eastAsiaTheme="minorEastAsia"/>
          <w:color w:val="000000" w:themeColor="text1"/>
          <w:lang w:val="en-US"/>
        </w:rPr>
        <w:t xml:space="preserve"> </w:t>
      </w:r>
      <w:proofErr w:type="spellStart"/>
      <w:r w:rsidRPr="00E929F2">
        <w:rPr>
          <w:rFonts w:eastAsiaTheme="minorEastAsia"/>
          <w:color w:val="000000" w:themeColor="text1"/>
          <w:lang w:val="en-US"/>
        </w:rPr>
        <w:t>trei</w:t>
      </w:r>
      <w:proofErr w:type="spellEnd"/>
      <w:r w:rsidRPr="00E929F2">
        <w:rPr>
          <w:rFonts w:eastAsiaTheme="minorEastAsia"/>
          <w:color w:val="000000" w:themeColor="text1"/>
          <w:spacing w:val="2"/>
          <w:lang w:val="en-US"/>
        </w:rPr>
        <w:t xml:space="preserve"> </w:t>
      </w:r>
      <w:proofErr w:type="spellStart"/>
      <w:r w:rsidRPr="00E929F2">
        <w:rPr>
          <w:rFonts w:eastAsiaTheme="minorEastAsia"/>
          <w:color w:val="000000" w:themeColor="text1"/>
          <w:lang w:val="en-US"/>
        </w:rPr>
        <w:t>categorii</w:t>
      </w:r>
      <w:proofErr w:type="spellEnd"/>
      <w:r w:rsidRPr="00E929F2">
        <w:rPr>
          <w:rFonts w:eastAsiaTheme="minorEastAsia"/>
          <w:color w:val="000000" w:themeColor="text1"/>
          <w:lang w:val="en-US"/>
        </w:rPr>
        <w:t>:</w:t>
      </w:r>
    </w:p>
    <w:p w14:paraId="6D814133" w14:textId="77777777" w:rsidR="00E929F2" w:rsidRPr="00E929F2" w:rsidRDefault="00E929F2" w:rsidP="00E929F2">
      <w:pPr>
        <w:widowControl w:val="0"/>
        <w:autoSpaceDE w:val="0"/>
        <w:autoSpaceDN w:val="0"/>
        <w:adjustRightInd w:val="0"/>
        <w:spacing w:before="8"/>
        <w:ind w:left="115"/>
        <w:jc w:val="both"/>
        <w:rPr>
          <w:rFonts w:eastAsiaTheme="minorEastAsia"/>
          <w:color w:val="000000" w:themeColor="text1"/>
          <w:lang w:val="en-US"/>
        </w:rPr>
      </w:pPr>
    </w:p>
    <w:tbl>
      <w:tblPr>
        <w:tblW w:w="0" w:type="auto"/>
        <w:tblInd w:w="10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4"/>
        <w:gridCol w:w="3097"/>
        <w:gridCol w:w="4189"/>
      </w:tblGrid>
      <w:tr w:rsidR="00E929F2" w:rsidRPr="00E929F2" w14:paraId="541B2B6A" w14:textId="77777777" w:rsidTr="00993B86">
        <w:trPr>
          <w:trHeight w:val="275"/>
        </w:trPr>
        <w:tc>
          <w:tcPr>
            <w:tcW w:w="924" w:type="dxa"/>
          </w:tcPr>
          <w:p w14:paraId="12AF43AE" w14:textId="77777777" w:rsidR="00E929F2" w:rsidRPr="00E929F2" w:rsidRDefault="00E929F2" w:rsidP="00E929F2">
            <w:pPr>
              <w:widowControl w:val="0"/>
              <w:autoSpaceDE w:val="0"/>
              <w:autoSpaceDN w:val="0"/>
              <w:spacing w:line="256" w:lineRule="exact"/>
              <w:ind w:left="107"/>
              <w:jc w:val="both"/>
              <w:rPr>
                <w:b/>
                <w:color w:val="000000" w:themeColor="text1"/>
              </w:rPr>
            </w:pPr>
            <w:r w:rsidRPr="00E929F2">
              <w:rPr>
                <w:b/>
                <w:color w:val="000000" w:themeColor="text1"/>
              </w:rPr>
              <w:t>Codul</w:t>
            </w:r>
          </w:p>
        </w:tc>
        <w:tc>
          <w:tcPr>
            <w:tcW w:w="3097" w:type="dxa"/>
          </w:tcPr>
          <w:p w14:paraId="68C43151" w14:textId="77777777" w:rsidR="00E929F2" w:rsidRPr="00E929F2" w:rsidRDefault="00E929F2" w:rsidP="00E929F2">
            <w:pPr>
              <w:widowControl w:val="0"/>
              <w:autoSpaceDE w:val="0"/>
              <w:autoSpaceDN w:val="0"/>
              <w:spacing w:line="256" w:lineRule="exact"/>
              <w:ind w:left="107"/>
              <w:jc w:val="both"/>
              <w:rPr>
                <w:b/>
                <w:color w:val="000000" w:themeColor="text1"/>
              </w:rPr>
            </w:pPr>
            <w:r w:rsidRPr="00E929F2">
              <w:rPr>
                <w:b/>
                <w:color w:val="000000" w:themeColor="text1"/>
              </w:rPr>
              <w:t>Semnificația</w:t>
            </w:r>
          </w:p>
        </w:tc>
        <w:tc>
          <w:tcPr>
            <w:tcW w:w="4189" w:type="dxa"/>
          </w:tcPr>
          <w:p w14:paraId="49A4D8BA" w14:textId="77777777" w:rsidR="00E929F2" w:rsidRPr="00E929F2" w:rsidRDefault="00E929F2" w:rsidP="00E929F2">
            <w:pPr>
              <w:widowControl w:val="0"/>
              <w:autoSpaceDE w:val="0"/>
              <w:autoSpaceDN w:val="0"/>
              <w:spacing w:line="256" w:lineRule="exact"/>
              <w:ind w:left="107"/>
              <w:jc w:val="both"/>
              <w:rPr>
                <w:b/>
                <w:color w:val="000000" w:themeColor="text1"/>
              </w:rPr>
            </w:pPr>
            <w:r w:rsidRPr="00E929F2">
              <w:rPr>
                <w:b/>
                <w:color w:val="000000" w:themeColor="text1"/>
              </w:rPr>
              <w:t>Observații</w:t>
            </w:r>
          </w:p>
        </w:tc>
      </w:tr>
      <w:tr w:rsidR="00E929F2" w:rsidRPr="00E929F2" w14:paraId="513AE6B2" w14:textId="77777777" w:rsidTr="00993B86">
        <w:trPr>
          <w:trHeight w:val="830"/>
        </w:trPr>
        <w:tc>
          <w:tcPr>
            <w:tcW w:w="924" w:type="dxa"/>
          </w:tcPr>
          <w:p w14:paraId="315D652A" w14:textId="77777777" w:rsidR="00E929F2" w:rsidRPr="00E929F2" w:rsidRDefault="00E929F2" w:rsidP="00E929F2">
            <w:pPr>
              <w:widowControl w:val="0"/>
              <w:autoSpaceDE w:val="0"/>
              <w:autoSpaceDN w:val="0"/>
              <w:spacing w:line="270" w:lineRule="exact"/>
              <w:ind w:left="107"/>
              <w:jc w:val="both"/>
              <w:rPr>
                <w:color w:val="000000" w:themeColor="text1"/>
              </w:rPr>
            </w:pPr>
            <w:r w:rsidRPr="00E929F2">
              <w:rPr>
                <w:color w:val="000000" w:themeColor="text1"/>
                <w:w w:val="99"/>
              </w:rPr>
              <w:t>H</w:t>
            </w:r>
          </w:p>
        </w:tc>
        <w:tc>
          <w:tcPr>
            <w:tcW w:w="3097" w:type="dxa"/>
          </w:tcPr>
          <w:p w14:paraId="66FEC60F" w14:textId="77777777" w:rsidR="00E929F2" w:rsidRPr="00E929F2" w:rsidRDefault="00E929F2" w:rsidP="00E929F2">
            <w:pPr>
              <w:widowControl w:val="0"/>
              <w:autoSpaceDE w:val="0"/>
              <w:autoSpaceDN w:val="0"/>
              <w:spacing w:line="270" w:lineRule="exact"/>
              <w:ind w:left="107"/>
              <w:jc w:val="both"/>
              <w:rPr>
                <w:color w:val="000000" w:themeColor="text1"/>
              </w:rPr>
            </w:pPr>
            <w:r w:rsidRPr="00E929F2">
              <w:rPr>
                <w:color w:val="000000" w:themeColor="text1"/>
              </w:rPr>
              <w:t>Importanță/impact</w:t>
            </w:r>
            <w:r w:rsidRPr="00E929F2">
              <w:rPr>
                <w:color w:val="000000" w:themeColor="text1"/>
                <w:spacing w:val="-3"/>
              </w:rPr>
              <w:t xml:space="preserve"> </w:t>
            </w:r>
            <w:r w:rsidRPr="00E929F2">
              <w:rPr>
                <w:color w:val="000000" w:themeColor="text1"/>
              </w:rPr>
              <w:t>mare</w:t>
            </w:r>
          </w:p>
        </w:tc>
        <w:tc>
          <w:tcPr>
            <w:tcW w:w="4189" w:type="dxa"/>
          </w:tcPr>
          <w:p w14:paraId="57012A6E" w14:textId="77777777" w:rsidR="00E929F2" w:rsidRPr="00E929F2" w:rsidRDefault="00E929F2" w:rsidP="00E929F2">
            <w:pPr>
              <w:widowControl w:val="0"/>
              <w:tabs>
                <w:tab w:val="left" w:pos="1408"/>
                <w:tab w:val="left" w:pos="2497"/>
                <w:tab w:val="left" w:pos="3253"/>
              </w:tabs>
              <w:autoSpaceDE w:val="0"/>
              <w:autoSpaceDN w:val="0"/>
              <w:spacing w:line="270" w:lineRule="exact"/>
              <w:ind w:left="107"/>
              <w:jc w:val="both"/>
              <w:rPr>
                <w:color w:val="000000" w:themeColor="text1"/>
              </w:rPr>
            </w:pPr>
            <w:r w:rsidRPr="00E929F2">
              <w:rPr>
                <w:color w:val="000000" w:themeColor="text1"/>
              </w:rPr>
              <w:t>Influență</w:t>
            </w:r>
            <w:r w:rsidRPr="00E929F2">
              <w:rPr>
                <w:color w:val="000000" w:themeColor="text1"/>
              </w:rPr>
              <w:tab/>
              <w:t>directă</w:t>
            </w:r>
            <w:r w:rsidRPr="00E929F2">
              <w:rPr>
                <w:color w:val="000000" w:themeColor="text1"/>
              </w:rPr>
              <w:tab/>
              <w:t>sau</w:t>
            </w:r>
            <w:r w:rsidRPr="00E929F2">
              <w:rPr>
                <w:color w:val="000000" w:themeColor="text1"/>
              </w:rPr>
              <w:tab/>
              <w:t>imediată</w:t>
            </w:r>
          </w:p>
          <w:p w14:paraId="62C596E6" w14:textId="77777777" w:rsidR="00E929F2" w:rsidRPr="00E929F2" w:rsidRDefault="00E929F2" w:rsidP="00E929F2">
            <w:pPr>
              <w:widowControl w:val="0"/>
              <w:autoSpaceDE w:val="0"/>
              <w:autoSpaceDN w:val="0"/>
              <w:spacing w:line="270" w:lineRule="atLeast"/>
              <w:ind w:left="107" w:right="98"/>
              <w:jc w:val="both"/>
              <w:rPr>
                <w:color w:val="000000" w:themeColor="text1"/>
              </w:rPr>
            </w:pPr>
            <w:r w:rsidRPr="00E929F2">
              <w:rPr>
                <w:color w:val="000000" w:themeColor="text1"/>
              </w:rPr>
              <w:t>semnificativă</w:t>
            </w:r>
            <w:r w:rsidRPr="00E929F2">
              <w:rPr>
                <w:color w:val="000000" w:themeColor="text1"/>
                <w:spacing w:val="18"/>
              </w:rPr>
              <w:t xml:space="preserve"> </w:t>
            </w:r>
            <w:r w:rsidRPr="00E929F2">
              <w:rPr>
                <w:color w:val="000000" w:themeColor="text1"/>
              </w:rPr>
              <w:t>și/sau</w:t>
            </w:r>
            <w:r w:rsidRPr="00E929F2">
              <w:rPr>
                <w:color w:val="000000" w:themeColor="text1"/>
                <w:spacing w:val="20"/>
              </w:rPr>
              <w:t xml:space="preserve"> </w:t>
            </w:r>
            <w:r w:rsidRPr="00E929F2">
              <w:rPr>
                <w:color w:val="000000" w:themeColor="text1"/>
              </w:rPr>
              <w:t>acţiune</w:t>
            </w:r>
            <w:r w:rsidRPr="00E929F2">
              <w:rPr>
                <w:color w:val="000000" w:themeColor="text1"/>
                <w:spacing w:val="19"/>
              </w:rPr>
              <w:t xml:space="preserve"> </w:t>
            </w:r>
            <w:r w:rsidRPr="00E929F2">
              <w:rPr>
                <w:color w:val="000000" w:themeColor="text1"/>
              </w:rPr>
              <w:t>pe</w:t>
            </w:r>
            <w:r w:rsidRPr="00E929F2">
              <w:rPr>
                <w:color w:val="000000" w:themeColor="text1"/>
                <w:spacing w:val="18"/>
              </w:rPr>
              <w:t xml:space="preserve"> </w:t>
            </w:r>
            <w:r w:rsidRPr="00E929F2">
              <w:rPr>
                <w:color w:val="000000" w:themeColor="text1"/>
              </w:rPr>
              <w:t>suprafețe</w:t>
            </w:r>
            <w:r w:rsidRPr="00E929F2">
              <w:rPr>
                <w:color w:val="000000" w:themeColor="text1"/>
                <w:spacing w:val="-57"/>
              </w:rPr>
              <w:t xml:space="preserve"> </w:t>
            </w:r>
            <w:r w:rsidRPr="00E929F2">
              <w:rPr>
                <w:color w:val="000000" w:themeColor="text1"/>
              </w:rPr>
              <w:t>mari</w:t>
            </w:r>
          </w:p>
        </w:tc>
      </w:tr>
      <w:tr w:rsidR="00E929F2" w:rsidRPr="00E929F2" w14:paraId="50FD6969" w14:textId="77777777" w:rsidTr="00993B86">
        <w:trPr>
          <w:trHeight w:val="1103"/>
        </w:trPr>
        <w:tc>
          <w:tcPr>
            <w:tcW w:w="924" w:type="dxa"/>
          </w:tcPr>
          <w:p w14:paraId="5BB11F24" w14:textId="77777777" w:rsidR="00E929F2" w:rsidRPr="00E929F2" w:rsidRDefault="00E929F2" w:rsidP="00E929F2">
            <w:pPr>
              <w:widowControl w:val="0"/>
              <w:autoSpaceDE w:val="0"/>
              <w:autoSpaceDN w:val="0"/>
              <w:spacing w:line="268" w:lineRule="exact"/>
              <w:ind w:left="107"/>
              <w:jc w:val="both"/>
              <w:rPr>
                <w:color w:val="000000" w:themeColor="text1"/>
              </w:rPr>
            </w:pPr>
            <w:r w:rsidRPr="00E929F2">
              <w:rPr>
                <w:color w:val="000000" w:themeColor="text1"/>
                <w:w w:val="99"/>
              </w:rPr>
              <w:t>M</w:t>
            </w:r>
          </w:p>
        </w:tc>
        <w:tc>
          <w:tcPr>
            <w:tcW w:w="3097" w:type="dxa"/>
          </w:tcPr>
          <w:p w14:paraId="3504982C" w14:textId="77777777" w:rsidR="00E929F2" w:rsidRPr="00E929F2" w:rsidRDefault="00E929F2" w:rsidP="00E929F2">
            <w:pPr>
              <w:widowControl w:val="0"/>
              <w:autoSpaceDE w:val="0"/>
              <w:autoSpaceDN w:val="0"/>
              <w:spacing w:line="268" w:lineRule="exact"/>
              <w:ind w:left="107"/>
              <w:jc w:val="both"/>
              <w:rPr>
                <w:color w:val="000000" w:themeColor="text1"/>
              </w:rPr>
            </w:pPr>
            <w:r w:rsidRPr="00E929F2">
              <w:rPr>
                <w:color w:val="000000" w:themeColor="text1"/>
              </w:rPr>
              <w:t>Importanță/impact</w:t>
            </w:r>
            <w:r w:rsidRPr="00E929F2">
              <w:rPr>
                <w:color w:val="000000" w:themeColor="text1"/>
                <w:spacing w:val="-3"/>
              </w:rPr>
              <w:t xml:space="preserve"> </w:t>
            </w:r>
            <w:r w:rsidRPr="00E929F2">
              <w:rPr>
                <w:color w:val="000000" w:themeColor="text1"/>
              </w:rPr>
              <w:t>mediu</w:t>
            </w:r>
          </w:p>
        </w:tc>
        <w:tc>
          <w:tcPr>
            <w:tcW w:w="4189" w:type="dxa"/>
          </w:tcPr>
          <w:p w14:paraId="0C4E9FA3" w14:textId="77777777" w:rsidR="00E929F2" w:rsidRPr="00E929F2" w:rsidRDefault="00E929F2" w:rsidP="00E929F2">
            <w:pPr>
              <w:widowControl w:val="0"/>
              <w:tabs>
                <w:tab w:val="left" w:pos="1252"/>
                <w:tab w:val="left" w:pos="2399"/>
                <w:tab w:val="left" w:pos="3529"/>
              </w:tabs>
              <w:autoSpaceDE w:val="0"/>
              <w:autoSpaceDN w:val="0"/>
              <w:ind w:left="107" w:right="97"/>
              <w:jc w:val="both"/>
              <w:rPr>
                <w:color w:val="000000" w:themeColor="text1"/>
              </w:rPr>
            </w:pPr>
            <w:r w:rsidRPr="00E929F2">
              <w:rPr>
                <w:color w:val="000000" w:themeColor="text1"/>
              </w:rPr>
              <w:t>Influență</w:t>
            </w:r>
            <w:r w:rsidRPr="00E929F2">
              <w:rPr>
                <w:color w:val="000000" w:themeColor="text1"/>
                <w:spacing w:val="33"/>
              </w:rPr>
              <w:t xml:space="preserve"> </w:t>
            </w:r>
            <w:r w:rsidRPr="00E929F2">
              <w:rPr>
                <w:color w:val="000000" w:themeColor="text1"/>
              </w:rPr>
              <w:t>directă</w:t>
            </w:r>
            <w:r w:rsidRPr="00E929F2">
              <w:rPr>
                <w:color w:val="000000" w:themeColor="text1"/>
                <w:spacing w:val="32"/>
              </w:rPr>
              <w:t xml:space="preserve"> </w:t>
            </w:r>
            <w:r w:rsidRPr="00E929F2">
              <w:rPr>
                <w:color w:val="000000" w:themeColor="text1"/>
              </w:rPr>
              <w:t>sau</w:t>
            </w:r>
            <w:r w:rsidRPr="00E929F2">
              <w:rPr>
                <w:color w:val="000000" w:themeColor="text1"/>
                <w:spacing w:val="33"/>
              </w:rPr>
              <w:t xml:space="preserve"> </w:t>
            </w:r>
            <w:r w:rsidRPr="00E929F2">
              <w:rPr>
                <w:color w:val="000000" w:themeColor="text1"/>
              </w:rPr>
              <w:t>imediată</w:t>
            </w:r>
            <w:r w:rsidRPr="00E929F2">
              <w:rPr>
                <w:color w:val="000000" w:themeColor="text1"/>
                <w:spacing w:val="33"/>
              </w:rPr>
              <w:t xml:space="preserve"> </w:t>
            </w:r>
            <w:r w:rsidRPr="00E929F2">
              <w:rPr>
                <w:color w:val="000000" w:themeColor="text1"/>
              </w:rPr>
              <w:t>medie,</w:t>
            </w:r>
            <w:r w:rsidRPr="00E929F2">
              <w:rPr>
                <w:color w:val="000000" w:themeColor="text1"/>
                <w:spacing w:val="33"/>
              </w:rPr>
              <w:t xml:space="preserve"> </w:t>
            </w:r>
            <w:r w:rsidRPr="00E929F2">
              <w:rPr>
                <w:color w:val="000000" w:themeColor="text1"/>
              </w:rPr>
              <w:t>în</w:t>
            </w:r>
            <w:r w:rsidRPr="00E929F2">
              <w:rPr>
                <w:color w:val="000000" w:themeColor="text1"/>
                <w:spacing w:val="-57"/>
              </w:rPr>
              <w:t xml:space="preserve"> </w:t>
            </w:r>
            <w:r w:rsidRPr="00E929F2">
              <w:rPr>
                <w:color w:val="000000" w:themeColor="text1"/>
              </w:rPr>
              <w:t>principal</w:t>
            </w:r>
            <w:r w:rsidRPr="00E929F2">
              <w:rPr>
                <w:color w:val="000000" w:themeColor="text1"/>
              </w:rPr>
              <w:tab/>
              <w:t>influență</w:t>
            </w:r>
            <w:r w:rsidRPr="00E929F2">
              <w:rPr>
                <w:color w:val="000000" w:themeColor="text1"/>
              </w:rPr>
              <w:tab/>
              <w:t>indirectă</w:t>
            </w:r>
            <w:r w:rsidRPr="00E929F2">
              <w:rPr>
                <w:color w:val="000000" w:themeColor="text1"/>
              </w:rPr>
              <w:tab/>
              <w:t>și/sau</w:t>
            </w:r>
          </w:p>
          <w:p w14:paraId="3F4EE6EA" w14:textId="77777777" w:rsidR="00E929F2" w:rsidRPr="00E929F2" w:rsidRDefault="00E929F2" w:rsidP="00E929F2">
            <w:pPr>
              <w:widowControl w:val="0"/>
              <w:autoSpaceDE w:val="0"/>
              <w:autoSpaceDN w:val="0"/>
              <w:spacing w:line="270" w:lineRule="atLeast"/>
              <w:ind w:left="107"/>
              <w:jc w:val="both"/>
              <w:rPr>
                <w:color w:val="000000" w:themeColor="text1"/>
              </w:rPr>
            </w:pPr>
            <w:r w:rsidRPr="00E929F2">
              <w:rPr>
                <w:color w:val="000000" w:themeColor="text1"/>
              </w:rPr>
              <w:t>acțiune</w:t>
            </w:r>
            <w:r w:rsidRPr="00E929F2">
              <w:rPr>
                <w:color w:val="000000" w:themeColor="text1"/>
                <w:spacing w:val="8"/>
              </w:rPr>
              <w:t xml:space="preserve"> </w:t>
            </w:r>
            <w:r w:rsidRPr="00E929F2">
              <w:rPr>
                <w:color w:val="000000" w:themeColor="text1"/>
              </w:rPr>
              <w:t>asupra</w:t>
            </w:r>
            <w:r w:rsidRPr="00E929F2">
              <w:rPr>
                <w:color w:val="000000" w:themeColor="text1"/>
                <w:spacing w:val="8"/>
              </w:rPr>
              <w:t xml:space="preserve"> </w:t>
            </w:r>
            <w:r w:rsidRPr="00E929F2">
              <w:rPr>
                <w:color w:val="000000" w:themeColor="text1"/>
              </w:rPr>
              <w:t>unei</w:t>
            </w:r>
            <w:r w:rsidRPr="00E929F2">
              <w:rPr>
                <w:color w:val="000000" w:themeColor="text1"/>
                <w:spacing w:val="9"/>
              </w:rPr>
              <w:t xml:space="preserve"> </w:t>
            </w:r>
            <w:r w:rsidRPr="00E929F2">
              <w:rPr>
                <w:color w:val="000000" w:themeColor="text1"/>
              </w:rPr>
              <w:t>părți</w:t>
            </w:r>
            <w:r w:rsidRPr="00E929F2">
              <w:rPr>
                <w:color w:val="000000" w:themeColor="text1"/>
                <w:spacing w:val="9"/>
              </w:rPr>
              <w:t xml:space="preserve"> </w:t>
            </w:r>
            <w:r w:rsidRPr="00E929F2">
              <w:rPr>
                <w:color w:val="000000" w:themeColor="text1"/>
              </w:rPr>
              <w:t>medii</w:t>
            </w:r>
            <w:r w:rsidRPr="00E929F2">
              <w:rPr>
                <w:color w:val="000000" w:themeColor="text1"/>
                <w:spacing w:val="9"/>
              </w:rPr>
              <w:t xml:space="preserve"> </w:t>
            </w:r>
            <w:r w:rsidRPr="00E929F2">
              <w:rPr>
                <w:color w:val="000000" w:themeColor="text1"/>
              </w:rPr>
              <w:t>din</w:t>
            </w:r>
            <w:r w:rsidRPr="00E929F2">
              <w:rPr>
                <w:color w:val="000000" w:themeColor="text1"/>
                <w:spacing w:val="-57"/>
              </w:rPr>
              <w:t xml:space="preserve"> </w:t>
            </w:r>
            <w:r w:rsidRPr="00E929F2">
              <w:rPr>
                <w:color w:val="000000" w:themeColor="text1"/>
              </w:rPr>
              <w:t>suprafață/doar</w:t>
            </w:r>
            <w:r w:rsidRPr="00E929F2">
              <w:rPr>
                <w:color w:val="000000" w:themeColor="text1"/>
                <w:spacing w:val="-1"/>
              </w:rPr>
              <w:t xml:space="preserve"> </w:t>
            </w:r>
            <w:r w:rsidRPr="00E929F2">
              <w:rPr>
                <w:color w:val="000000" w:themeColor="text1"/>
              </w:rPr>
              <w:t>la</w:t>
            </w:r>
            <w:r w:rsidRPr="00E929F2">
              <w:rPr>
                <w:color w:val="000000" w:themeColor="text1"/>
                <w:spacing w:val="-2"/>
              </w:rPr>
              <w:t xml:space="preserve"> </w:t>
            </w:r>
            <w:r w:rsidRPr="00E929F2">
              <w:rPr>
                <w:color w:val="000000" w:themeColor="text1"/>
              </w:rPr>
              <w:t>nivel</w:t>
            </w:r>
            <w:r w:rsidRPr="00E929F2">
              <w:rPr>
                <w:color w:val="000000" w:themeColor="text1"/>
                <w:spacing w:val="-1"/>
              </w:rPr>
              <w:t xml:space="preserve"> </w:t>
            </w:r>
            <w:r w:rsidRPr="00E929F2">
              <w:rPr>
                <w:color w:val="000000" w:themeColor="text1"/>
              </w:rPr>
              <w:t>regional</w:t>
            </w:r>
          </w:p>
        </w:tc>
      </w:tr>
      <w:tr w:rsidR="00E929F2" w:rsidRPr="00E929F2" w14:paraId="76F85B2B" w14:textId="77777777" w:rsidTr="00993B86">
        <w:trPr>
          <w:trHeight w:val="1103"/>
        </w:trPr>
        <w:tc>
          <w:tcPr>
            <w:tcW w:w="924" w:type="dxa"/>
          </w:tcPr>
          <w:p w14:paraId="24C1C926" w14:textId="77777777" w:rsidR="00E929F2" w:rsidRPr="00E929F2" w:rsidRDefault="00E929F2" w:rsidP="00E929F2">
            <w:pPr>
              <w:widowControl w:val="0"/>
              <w:autoSpaceDE w:val="0"/>
              <w:autoSpaceDN w:val="0"/>
              <w:spacing w:line="268" w:lineRule="exact"/>
              <w:ind w:left="107"/>
              <w:jc w:val="both"/>
              <w:rPr>
                <w:color w:val="000000" w:themeColor="text1"/>
              </w:rPr>
            </w:pPr>
            <w:r w:rsidRPr="00E929F2">
              <w:rPr>
                <w:color w:val="000000" w:themeColor="text1"/>
              </w:rPr>
              <w:t>L</w:t>
            </w:r>
          </w:p>
        </w:tc>
        <w:tc>
          <w:tcPr>
            <w:tcW w:w="3097" w:type="dxa"/>
          </w:tcPr>
          <w:p w14:paraId="394E6EC7" w14:textId="77777777" w:rsidR="00E929F2" w:rsidRPr="00E929F2" w:rsidRDefault="00E929F2" w:rsidP="00E929F2">
            <w:pPr>
              <w:widowControl w:val="0"/>
              <w:autoSpaceDE w:val="0"/>
              <w:autoSpaceDN w:val="0"/>
              <w:spacing w:line="268" w:lineRule="exact"/>
              <w:ind w:left="107"/>
              <w:jc w:val="both"/>
              <w:rPr>
                <w:color w:val="000000" w:themeColor="text1"/>
              </w:rPr>
            </w:pPr>
            <w:r w:rsidRPr="00E929F2">
              <w:rPr>
                <w:color w:val="000000" w:themeColor="text1"/>
              </w:rPr>
              <w:t>Importanță/impact</w:t>
            </w:r>
            <w:r w:rsidRPr="00E929F2">
              <w:rPr>
                <w:color w:val="000000" w:themeColor="text1"/>
                <w:spacing w:val="-4"/>
              </w:rPr>
              <w:t xml:space="preserve"> </w:t>
            </w:r>
            <w:r w:rsidRPr="00E929F2">
              <w:rPr>
                <w:color w:val="000000" w:themeColor="text1"/>
              </w:rPr>
              <w:t>redus</w:t>
            </w:r>
          </w:p>
        </w:tc>
        <w:tc>
          <w:tcPr>
            <w:tcW w:w="4189" w:type="dxa"/>
          </w:tcPr>
          <w:p w14:paraId="10FC9612" w14:textId="77777777" w:rsidR="00E929F2" w:rsidRPr="00E929F2" w:rsidRDefault="00E929F2" w:rsidP="00E929F2">
            <w:pPr>
              <w:widowControl w:val="0"/>
              <w:autoSpaceDE w:val="0"/>
              <w:autoSpaceDN w:val="0"/>
              <w:ind w:left="107" w:right="97"/>
              <w:jc w:val="both"/>
              <w:rPr>
                <w:color w:val="000000" w:themeColor="text1"/>
              </w:rPr>
            </w:pPr>
            <w:r w:rsidRPr="00E929F2">
              <w:rPr>
                <w:color w:val="000000" w:themeColor="text1"/>
              </w:rPr>
              <w:t>Influență</w:t>
            </w:r>
            <w:r w:rsidRPr="00E929F2">
              <w:rPr>
                <w:color w:val="000000" w:themeColor="text1"/>
                <w:spacing w:val="1"/>
              </w:rPr>
              <w:t xml:space="preserve"> </w:t>
            </w:r>
            <w:r w:rsidRPr="00E929F2">
              <w:rPr>
                <w:color w:val="000000" w:themeColor="text1"/>
              </w:rPr>
              <w:t>directă</w:t>
            </w:r>
            <w:r w:rsidRPr="00E929F2">
              <w:rPr>
                <w:color w:val="000000" w:themeColor="text1"/>
                <w:spacing w:val="1"/>
              </w:rPr>
              <w:t xml:space="preserve"> </w:t>
            </w:r>
            <w:r w:rsidRPr="00E929F2">
              <w:rPr>
                <w:color w:val="000000" w:themeColor="text1"/>
              </w:rPr>
              <w:t>sau</w:t>
            </w:r>
            <w:r w:rsidRPr="00E929F2">
              <w:rPr>
                <w:color w:val="000000" w:themeColor="text1"/>
                <w:spacing w:val="1"/>
              </w:rPr>
              <w:t xml:space="preserve"> </w:t>
            </w:r>
            <w:r w:rsidRPr="00E929F2">
              <w:rPr>
                <w:color w:val="000000" w:themeColor="text1"/>
              </w:rPr>
              <w:t>imediată</w:t>
            </w:r>
            <w:r w:rsidRPr="00E929F2">
              <w:rPr>
                <w:color w:val="000000" w:themeColor="text1"/>
                <w:spacing w:val="1"/>
              </w:rPr>
              <w:t xml:space="preserve"> </w:t>
            </w:r>
            <w:r w:rsidRPr="00E929F2">
              <w:rPr>
                <w:color w:val="000000" w:themeColor="text1"/>
              </w:rPr>
              <w:t>redusă,</w:t>
            </w:r>
            <w:r w:rsidRPr="00E929F2">
              <w:rPr>
                <w:color w:val="000000" w:themeColor="text1"/>
                <w:spacing w:val="1"/>
              </w:rPr>
              <w:t xml:space="preserve"> </w:t>
            </w:r>
            <w:r w:rsidRPr="00E929F2">
              <w:rPr>
                <w:color w:val="000000" w:themeColor="text1"/>
              </w:rPr>
              <w:t>influență</w:t>
            </w:r>
            <w:r w:rsidRPr="00E929F2">
              <w:rPr>
                <w:color w:val="000000" w:themeColor="text1"/>
                <w:spacing w:val="1"/>
              </w:rPr>
              <w:t xml:space="preserve"> </w:t>
            </w:r>
            <w:r w:rsidRPr="00E929F2">
              <w:rPr>
                <w:color w:val="000000" w:themeColor="text1"/>
              </w:rPr>
              <w:t>directă</w:t>
            </w:r>
            <w:r w:rsidRPr="00E929F2">
              <w:rPr>
                <w:color w:val="000000" w:themeColor="text1"/>
                <w:spacing w:val="1"/>
              </w:rPr>
              <w:t xml:space="preserve"> </w:t>
            </w:r>
            <w:r w:rsidRPr="00E929F2">
              <w:rPr>
                <w:color w:val="000000" w:themeColor="text1"/>
              </w:rPr>
              <w:t>și/sau</w:t>
            </w:r>
            <w:r w:rsidRPr="00E929F2">
              <w:rPr>
                <w:color w:val="000000" w:themeColor="text1"/>
                <w:spacing w:val="1"/>
              </w:rPr>
              <w:t xml:space="preserve"> </w:t>
            </w:r>
            <w:r w:rsidRPr="00E929F2">
              <w:rPr>
                <w:color w:val="000000" w:themeColor="text1"/>
              </w:rPr>
              <w:t>acțiune</w:t>
            </w:r>
            <w:r w:rsidRPr="00E929F2">
              <w:rPr>
                <w:color w:val="000000" w:themeColor="text1"/>
                <w:spacing w:val="1"/>
              </w:rPr>
              <w:t xml:space="preserve"> </w:t>
            </w:r>
            <w:r w:rsidRPr="00E929F2">
              <w:rPr>
                <w:color w:val="000000" w:themeColor="text1"/>
              </w:rPr>
              <w:t>asupra</w:t>
            </w:r>
            <w:r w:rsidRPr="00E929F2">
              <w:rPr>
                <w:color w:val="000000" w:themeColor="text1"/>
                <w:spacing w:val="1"/>
              </w:rPr>
              <w:t xml:space="preserve"> </w:t>
            </w:r>
            <w:r w:rsidRPr="00E929F2">
              <w:rPr>
                <w:color w:val="000000" w:themeColor="text1"/>
              </w:rPr>
              <w:t>unei</w:t>
            </w:r>
            <w:r w:rsidRPr="00E929F2">
              <w:rPr>
                <w:color w:val="000000" w:themeColor="text1"/>
                <w:spacing w:val="19"/>
              </w:rPr>
              <w:t xml:space="preserve"> </w:t>
            </w:r>
            <w:r w:rsidRPr="00E929F2">
              <w:rPr>
                <w:color w:val="000000" w:themeColor="text1"/>
              </w:rPr>
              <w:t>mici</w:t>
            </w:r>
            <w:r w:rsidRPr="00E929F2">
              <w:rPr>
                <w:color w:val="000000" w:themeColor="text1"/>
                <w:spacing w:val="19"/>
              </w:rPr>
              <w:t xml:space="preserve"> </w:t>
            </w:r>
            <w:r w:rsidRPr="00E929F2">
              <w:rPr>
                <w:color w:val="000000" w:themeColor="text1"/>
              </w:rPr>
              <w:t>părți</w:t>
            </w:r>
            <w:r w:rsidRPr="00E929F2">
              <w:rPr>
                <w:color w:val="000000" w:themeColor="text1"/>
                <w:spacing w:val="19"/>
              </w:rPr>
              <w:t xml:space="preserve"> </w:t>
            </w:r>
            <w:r w:rsidRPr="00E929F2">
              <w:rPr>
                <w:color w:val="000000" w:themeColor="text1"/>
              </w:rPr>
              <w:t>din</w:t>
            </w:r>
            <w:r w:rsidRPr="00E929F2">
              <w:rPr>
                <w:color w:val="000000" w:themeColor="text1"/>
                <w:spacing w:val="21"/>
              </w:rPr>
              <w:t xml:space="preserve"> </w:t>
            </w:r>
            <w:r w:rsidRPr="00E929F2">
              <w:rPr>
                <w:color w:val="000000" w:themeColor="text1"/>
              </w:rPr>
              <w:t>suprafață/</w:t>
            </w:r>
            <w:r w:rsidRPr="00E929F2">
              <w:rPr>
                <w:color w:val="000000" w:themeColor="text1"/>
                <w:spacing w:val="19"/>
              </w:rPr>
              <w:t xml:space="preserve"> </w:t>
            </w:r>
            <w:r w:rsidRPr="00E929F2">
              <w:rPr>
                <w:color w:val="000000" w:themeColor="text1"/>
              </w:rPr>
              <w:t>doar</w:t>
            </w:r>
            <w:r w:rsidRPr="00E929F2">
              <w:rPr>
                <w:color w:val="000000" w:themeColor="text1"/>
                <w:spacing w:val="20"/>
              </w:rPr>
              <w:t xml:space="preserve"> </w:t>
            </w:r>
            <w:r w:rsidRPr="00E929F2">
              <w:rPr>
                <w:color w:val="000000" w:themeColor="text1"/>
              </w:rPr>
              <w:t>la</w:t>
            </w:r>
          </w:p>
          <w:p w14:paraId="4515F8D8" w14:textId="77777777" w:rsidR="00E929F2" w:rsidRPr="00E929F2" w:rsidRDefault="00E929F2" w:rsidP="00E929F2">
            <w:pPr>
              <w:widowControl w:val="0"/>
              <w:autoSpaceDE w:val="0"/>
              <w:autoSpaceDN w:val="0"/>
              <w:spacing w:line="264" w:lineRule="exact"/>
              <w:ind w:left="107"/>
              <w:jc w:val="both"/>
              <w:rPr>
                <w:color w:val="000000" w:themeColor="text1"/>
              </w:rPr>
            </w:pPr>
            <w:r w:rsidRPr="00E929F2">
              <w:rPr>
                <w:color w:val="000000" w:themeColor="text1"/>
              </w:rPr>
              <w:t>nivel</w:t>
            </w:r>
            <w:r w:rsidRPr="00E929F2">
              <w:rPr>
                <w:color w:val="000000" w:themeColor="text1"/>
                <w:spacing w:val="-2"/>
              </w:rPr>
              <w:t xml:space="preserve"> </w:t>
            </w:r>
            <w:r w:rsidRPr="00E929F2">
              <w:rPr>
                <w:color w:val="000000" w:themeColor="text1"/>
              </w:rPr>
              <w:t>regional</w:t>
            </w:r>
          </w:p>
        </w:tc>
      </w:tr>
    </w:tbl>
    <w:p w14:paraId="30CE859F" w14:textId="77777777" w:rsidR="00E929F2" w:rsidRPr="00E929F2" w:rsidRDefault="00E929F2" w:rsidP="00E929F2">
      <w:pPr>
        <w:widowControl w:val="0"/>
        <w:autoSpaceDE w:val="0"/>
        <w:autoSpaceDN w:val="0"/>
        <w:adjustRightInd w:val="0"/>
        <w:ind w:left="115"/>
        <w:jc w:val="both"/>
        <w:rPr>
          <w:rFonts w:eastAsiaTheme="minorEastAsia"/>
          <w:color w:val="000000" w:themeColor="text1"/>
          <w:lang w:val="en-US"/>
        </w:rPr>
      </w:pPr>
    </w:p>
    <w:p w14:paraId="7DE8E81E" w14:textId="77777777" w:rsidR="00E929F2" w:rsidRPr="00E929F2" w:rsidRDefault="00E929F2" w:rsidP="00E929F2">
      <w:pPr>
        <w:spacing w:after="160" w:line="259" w:lineRule="auto"/>
        <w:rPr>
          <w:bCs/>
          <w:color w:val="000000" w:themeColor="text1"/>
        </w:rPr>
      </w:pPr>
    </w:p>
    <w:p w14:paraId="6B1DD26A" w14:textId="77777777" w:rsidR="00E929F2" w:rsidRPr="00E929F2" w:rsidRDefault="00E929F2" w:rsidP="00E929F2">
      <w:pPr>
        <w:spacing w:after="160" w:line="259" w:lineRule="auto"/>
        <w:rPr>
          <w:bCs/>
          <w:color w:val="000000" w:themeColor="text1"/>
        </w:rPr>
      </w:pPr>
      <w:r w:rsidRPr="00E929F2">
        <w:rPr>
          <w:bCs/>
          <w:color w:val="000000" w:themeColor="text1"/>
        </w:rPr>
        <w:br w:type="page"/>
      </w:r>
    </w:p>
    <w:p w14:paraId="721E0EBC" w14:textId="77777777" w:rsidR="00E929F2" w:rsidRPr="00F100E1" w:rsidRDefault="00E929F2" w:rsidP="00CE1C3B">
      <w:pPr>
        <w:spacing w:after="160" w:line="259" w:lineRule="auto"/>
        <w:jc w:val="both"/>
        <w:rPr>
          <w:b/>
          <w:color w:val="000000" w:themeColor="text1"/>
        </w:rPr>
      </w:pPr>
    </w:p>
    <w:p w14:paraId="06284799" w14:textId="77777777" w:rsidR="0009599D" w:rsidRPr="003771D0" w:rsidRDefault="0009599D" w:rsidP="003771D0">
      <w:pPr>
        <w:pStyle w:val="BodyText"/>
        <w:spacing w:before="262"/>
        <w:ind w:left="0" w:right="26"/>
        <w:jc w:val="both"/>
        <w:rPr>
          <w:sz w:val="24"/>
          <w:szCs w:val="24"/>
        </w:rPr>
      </w:pPr>
      <w:proofErr w:type="spellStart"/>
      <w:r w:rsidRPr="003771D0">
        <w:rPr>
          <w:sz w:val="24"/>
          <w:szCs w:val="24"/>
        </w:rPr>
        <w:t>Pentru</w:t>
      </w:r>
      <w:proofErr w:type="spellEnd"/>
      <w:r w:rsidRPr="003771D0">
        <w:rPr>
          <w:sz w:val="24"/>
          <w:szCs w:val="24"/>
        </w:rPr>
        <w:t xml:space="preserve"> a </w:t>
      </w:r>
      <w:proofErr w:type="spellStart"/>
      <w:r w:rsidRPr="003771D0">
        <w:rPr>
          <w:sz w:val="24"/>
          <w:szCs w:val="24"/>
        </w:rPr>
        <w:t>evalua</w:t>
      </w:r>
      <w:proofErr w:type="spellEnd"/>
      <w:r w:rsidRPr="003771D0">
        <w:rPr>
          <w:sz w:val="24"/>
          <w:szCs w:val="24"/>
        </w:rPr>
        <w:t xml:space="preserve"> </w:t>
      </w:r>
      <w:proofErr w:type="spellStart"/>
      <w:r w:rsidRPr="003771D0">
        <w:rPr>
          <w:sz w:val="24"/>
          <w:szCs w:val="24"/>
        </w:rPr>
        <w:t>starea</w:t>
      </w:r>
      <w:proofErr w:type="spellEnd"/>
      <w:r w:rsidRPr="003771D0">
        <w:rPr>
          <w:sz w:val="24"/>
          <w:szCs w:val="24"/>
        </w:rPr>
        <w:t xml:space="preserve"> de </w:t>
      </w:r>
      <w:proofErr w:type="spellStart"/>
      <w:r w:rsidRPr="003771D0">
        <w:rPr>
          <w:sz w:val="24"/>
          <w:szCs w:val="24"/>
        </w:rPr>
        <w:t>conservare</w:t>
      </w:r>
      <w:proofErr w:type="spellEnd"/>
      <w:r w:rsidRPr="003771D0">
        <w:rPr>
          <w:sz w:val="24"/>
          <w:szCs w:val="24"/>
        </w:rPr>
        <w:t xml:space="preserve"> </w:t>
      </w:r>
      <w:proofErr w:type="spellStart"/>
      <w:r w:rsidRPr="003771D0">
        <w:rPr>
          <w:sz w:val="24"/>
          <w:szCs w:val="24"/>
        </w:rPr>
        <w:t>este</w:t>
      </w:r>
      <w:proofErr w:type="spellEnd"/>
      <w:r w:rsidRPr="003771D0">
        <w:rPr>
          <w:sz w:val="24"/>
          <w:szCs w:val="24"/>
        </w:rPr>
        <w:t xml:space="preserve"> </w:t>
      </w:r>
      <w:proofErr w:type="spellStart"/>
      <w:r w:rsidRPr="003771D0">
        <w:rPr>
          <w:sz w:val="24"/>
          <w:szCs w:val="24"/>
        </w:rPr>
        <w:t>necesar</w:t>
      </w:r>
      <w:proofErr w:type="spellEnd"/>
      <w:r w:rsidRPr="003771D0">
        <w:rPr>
          <w:sz w:val="24"/>
          <w:szCs w:val="24"/>
        </w:rPr>
        <w:t xml:space="preserve"> </w:t>
      </w:r>
      <w:proofErr w:type="spellStart"/>
      <w:r w:rsidRPr="003771D0">
        <w:rPr>
          <w:sz w:val="24"/>
          <w:szCs w:val="24"/>
        </w:rPr>
        <w:t>să</w:t>
      </w:r>
      <w:proofErr w:type="spellEnd"/>
      <w:r w:rsidRPr="003771D0">
        <w:rPr>
          <w:sz w:val="24"/>
          <w:szCs w:val="24"/>
        </w:rPr>
        <w:t xml:space="preserve"> se determine </w:t>
      </w:r>
      <w:proofErr w:type="spellStart"/>
      <w:r w:rsidRPr="003771D0">
        <w:rPr>
          <w:sz w:val="24"/>
          <w:szCs w:val="24"/>
        </w:rPr>
        <w:t>valoarea</w:t>
      </w:r>
      <w:proofErr w:type="spellEnd"/>
      <w:r w:rsidRPr="003771D0">
        <w:rPr>
          <w:sz w:val="24"/>
          <w:szCs w:val="24"/>
        </w:rPr>
        <w:t xml:space="preserve"> </w:t>
      </w:r>
      <w:proofErr w:type="spellStart"/>
      <w:r w:rsidRPr="003771D0">
        <w:rPr>
          <w:sz w:val="24"/>
          <w:szCs w:val="24"/>
        </w:rPr>
        <w:t>favorabilă</w:t>
      </w:r>
      <w:proofErr w:type="spellEnd"/>
      <w:r w:rsidRPr="003771D0">
        <w:rPr>
          <w:sz w:val="24"/>
          <w:szCs w:val="24"/>
        </w:rPr>
        <w:t xml:space="preserve"> </w:t>
      </w:r>
      <w:proofErr w:type="spellStart"/>
      <w:r w:rsidRPr="003771D0">
        <w:rPr>
          <w:sz w:val="24"/>
          <w:szCs w:val="24"/>
        </w:rPr>
        <w:t>față</w:t>
      </w:r>
      <w:proofErr w:type="spellEnd"/>
      <w:r w:rsidRPr="003771D0">
        <w:rPr>
          <w:sz w:val="24"/>
          <w:szCs w:val="24"/>
        </w:rPr>
        <w:t xml:space="preserve"> de </w:t>
      </w:r>
      <w:proofErr w:type="spellStart"/>
      <w:r w:rsidRPr="003771D0">
        <w:rPr>
          <w:sz w:val="24"/>
          <w:szCs w:val="24"/>
        </w:rPr>
        <w:t>starea</w:t>
      </w:r>
      <w:proofErr w:type="spellEnd"/>
      <w:r w:rsidRPr="003771D0">
        <w:rPr>
          <w:sz w:val="24"/>
          <w:szCs w:val="24"/>
        </w:rPr>
        <w:t xml:space="preserve"> de </w:t>
      </w:r>
      <w:proofErr w:type="spellStart"/>
      <w:r w:rsidRPr="003771D0">
        <w:rPr>
          <w:sz w:val="24"/>
          <w:szCs w:val="24"/>
        </w:rPr>
        <w:t>referință</w:t>
      </w:r>
      <w:proofErr w:type="spellEnd"/>
      <w:r w:rsidRPr="003771D0">
        <w:rPr>
          <w:sz w:val="24"/>
          <w:szCs w:val="24"/>
        </w:rPr>
        <w:t>,</w:t>
      </w:r>
      <w:r w:rsidRPr="003771D0">
        <w:rPr>
          <w:spacing w:val="1"/>
          <w:sz w:val="24"/>
          <w:szCs w:val="24"/>
        </w:rPr>
        <w:t xml:space="preserve"> </w:t>
      </w:r>
      <w:proofErr w:type="spellStart"/>
      <w:r w:rsidRPr="003771D0">
        <w:rPr>
          <w:sz w:val="24"/>
          <w:szCs w:val="24"/>
        </w:rPr>
        <w:t>consemnată</w:t>
      </w:r>
      <w:proofErr w:type="spellEnd"/>
      <w:r w:rsidRPr="003771D0">
        <w:rPr>
          <w:sz w:val="24"/>
          <w:szCs w:val="24"/>
        </w:rPr>
        <w:t xml:space="preserve"> ca </w:t>
      </w:r>
      <w:proofErr w:type="spellStart"/>
      <w:r w:rsidRPr="003771D0">
        <w:rPr>
          <w:b/>
          <w:sz w:val="24"/>
          <w:szCs w:val="24"/>
        </w:rPr>
        <w:t>Valoarea</w:t>
      </w:r>
      <w:proofErr w:type="spellEnd"/>
      <w:r w:rsidRPr="003771D0">
        <w:rPr>
          <w:b/>
          <w:sz w:val="24"/>
          <w:szCs w:val="24"/>
        </w:rPr>
        <w:t xml:space="preserve"> </w:t>
      </w:r>
      <w:proofErr w:type="spellStart"/>
      <w:r w:rsidRPr="003771D0">
        <w:rPr>
          <w:b/>
          <w:sz w:val="24"/>
          <w:szCs w:val="24"/>
        </w:rPr>
        <w:t>Favorabilă</w:t>
      </w:r>
      <w:proofErr w:type="spellEnd"/>
      <w:r w:rsidRPr="003771D0">
        <w:rPr>
          <w:b/>
          <w:sz w:val="24"/>
          <w:szCs w:val="24"/>
        </w:rPr>
        <w:t xml:space="preserve"> de </w:t>
      </w:r>
      <w:proofErr w:type="spellStart"/>
      <w:r w:rsidRPr="003771D0">
        <w:rPr>
          <w:b/>
          <w:sz w:val="24"/>
          <w:szCs w:val="24"/>
        </w:rPr>
        <w:t>Referință</w:t>
      </w:r>
      <w:proofErr w:type="spellEnd"/>
      <w:r w:rsidRPr="003771D0">
        <w:rPr>
          <w:b/>
          <w:sz w:val="24"/>
          <w:szCs w:val="24"/>
        </w:rPr>
        <w:t xml:space="preserve"> </w:t>
      </w:r>
      <w:r w:rsidRPr="003771D0">
        <w:rPr>
          <w:sz w:val="24"/>
          <w:szCs w:val="24"/>
        </w:rPr>
        <w:t xml:space="preserve">(VFR). VFR </w:t>
      </w:r>
      <w:proofErr w:type="spellStart"/>
      <w:r w:rsidRPr="003771D0">
        <w:rPr>
          <w:sz w:val="24"/>
          <w:szCs w:val="24"/>
        </w:rPr>
        <w:t>este</w:t>
      </w:r>
      <w:proofErr w:type="spellEnd"/>
      <w:r w:rsidRPr="003771D0">
        <w:rPr>
          <w:sz w:val="24"/>
          <w:szCs w:val="24"/>
        </w:rPr>
        <w:t xml:space="preserve"> </w:t>
      </w:r>
      <w:proofErr w:type="spellStart"/>
      <w:r w:rsidRPr="003771D0">
        <w:rPr>
          <w:sz w:val="24"/>
          <w:szCs w:val="24"/>
        </w:rPr>
        <w:t>utilizată</w:t>
      </w:r>
      <w:proofErr w:type="spellEnd"/>
      <w:r w:rsidRPr="003771D0">
        <w:rPr>
          <w:sz w:val="24"/>
          <w:szCs w:val="24"/>
        </w:rPr>
        <w:t xml:space="preserve"> </w:t>
      </w:r>
      <w:proofErr w:type="spellStart"/>
      <w:r w:rsidRPr="003771D0">
        <w:rPr>
          <w:sz w:val="24"/>
          <w:szCs w:val="24"/>
        </w:rPr>
        <w:t>pentru</w:t>
      </w:r>
      <w:proofErr w:type="spellEnd"/>
      <w:r w:rsidRPr="003771D0">
        <w:rPr>
          <w:sz w:val="24"/>
          <w:szCs w:val="24"/>
        </w:rPr>
        <w:t xml:space="preserve"> </w:t>
      </w:r>
      <w:proofErr w:type="spellStart"/>
      <w:r w:rsidRPr="003771D0">
        <w:rPr>
          <w:sz w:val="24"/>
          <w:szCs w:val="24"/>
        </w:rPr>
        <w:t>fiecare</w:t>
      </w:r>
      <w:proofErr w:type="spellEnd"/>
      <w:r w:rsidRPr="003771D0">
        <w:rPr>
          <w:spacing w:val="1"/>
          <w:sz w:val="24"/>
          <w:szCs w:val="24"/>
        </w:rPr>
        <w:t xml:space="preserve"> </w:t>
      </w:r>
      <w:proofErr w:type="spellStart"/>
      <w:r w:rsidRPr="003771D0">
        <w:rPr>
          <w:sz w:val="24"/>
          <w:szCs w:val="24"/>
        </w:rPr>
        <w:t>dintre</w:t>
      </w:r>
      <w:proofErr w:type="spellEnd"/>
      <w:r w:rsidRPr="003771D0">
        <w:rPr>
          <w:spacing w:val="1"/>
          <w:sz w:val="24"/>
          <w:szCs w:val="24"/>
        </w:rPr>
        <w:t xml:space="preserve"> </w:t>
      </w:r>
      <w:proofErr w:type="spellStart"/>
      <w:r w:rsidRPr="003771D0">
        <w:rPr>
          <w:sz w:val="24"/>
          <w:szCs w:val="24"/>
        </w:rPr>
        <w:t>grupurile</w:t>
      </w:r>
      <w:proofErr w:type="spellEnd"/>
      <w:r w:rsidRPr="003771D0">
        <w:rPr>
          <w:spacing w:val="1"/>
          <w:sz w:val="24"/>
          <w:szCs w:val="24"/>
        </w:rPr>
        <w:t xml:space="preserve"> </w:t>
      </w:r>
      <w:r w:rsidRPr="003771D0">
        <w:rPr>
          <w:sz w:val="24"/>
          <w:szCs w:val="24"/>
        </w:rPr>
        <w:t>de</w:t>
      </w:r>
      <w:r w:rsidRPr="003771D0">
        <w:rPr>
          <w:spacing w:val="1"/>
          <w:sz w:val="24"/>
          <w:szCs w:val="24"/>
        </w:rPr>
        <w:t xml:space="preserve"> </w:t>
      </w:r>
      <w:proofErr w:type="spellStart"/>
      <w:r w:rsidRPr="003771D0">
        <w:rPr>
          <w:sz w:val="24"/>
          <w:szCs w:val="24"/>
        </w:rPr>
        <w:t>habitate</w:t>
      </w:r>
      <w:proofErr w:type="spellEnd"/>
      <w:r w:rsidRPr="003771D0">
        <w:rPr>
          <w:sz w:val="24"/>
          <w:szCs w:val="24"/>
        </w:rPr>
        <w:t>,</w:t>
      </w:r>
      <w:r w:rsidRPr="003771D0">
        <w:rPr>
          <w:spacing w:val="1"/>
          <w:sz w:val="24"/>
          <w:szCs w:val="24"/>
        </w:rPr>
        <w:t xml:space="preserve"> </w:t>
      </w:r>
      <w:proofErr w:type="spellStart"/>
      <w:r w:rsidRPr="003771D0">
        <w:rPr>
          <w:sz w:val="24"/>
          <w:szCs w:val="24"/>
        </w:rPr>
        <w:t>respectiv</w:t>
      </w:r>
      <w:proofErr w:type="spellEnd"/>
      <w:r w:rsidRPr="003771D0">
        <w:rPr>
          <w:spacing w:val="1"/>
          <w:sz w:val="24"/>
          <w:szCs w:val="24"/>
        </w:rPr>
        <w:t xml:space="preserve"> </w:t>
      </w:r>
      <w:proofErr w:type="spellStart"/>
      <w:r w:rsidRPr="003771D0">
        <w:rPr>
          <w:sz w:val="24"/>
          <w:szCs w:val="24"/>
        </w:rPr>
        <w:t>pentru</w:t>
      </w:r>
      <w:proofErr w:type="spellEnd"/>
      <w:r w:rsidRPr="003771D0">
        <w:rPr>
          <w:spacing w:val="1"/>
          <w:sz w:val="24"/>
          <w:szCs w:val="24"/>
        </w:rPr>
        <w:t xml:space="preserve"> </w:t>
      </w:r>
      <w:proofErr w:type="spellStart"/>
      <w:r w:rsidRPr="003771D0">
        <w:rPr>
          <w:sz w:val="24"/>
          <w:szCs w:val="24"/>
        </w:rPr>
        <w:t>suprafața</w:t>
      </w:r>
      <w:proofErr w:type="spellEnd"/>
      <w:r w:rsidRPr="003771D0">
        <w:rPr>
          <w:spacing w:val="1"/>
          <w:sz w:val="24"/>
          <w:szCs w:val="24"/>
        </w:rPr>
        <w:t xml:space="preserve"> </w:t>
      </w:r>
      <w:proofErr w:type="spellStart"/>
      <w:r w:rsidRPr="003771D0">
        <w:rPr>
          <w:sz w:val="24"/>
          <w:szCs w:val="24"/>
        </w:rPr>
        <w:t>favorabilă</w:t>
      </w:r>
      <w:proofErr w:type="spellEnd"/>
      <w:r w:rsidRPr="003771D0">
        <w:rPr>
          <w:spacing w:val="1"/>
          <w:sz w:val="24"/>
          <w:szCs w:val="24"/>
        </w:rPr>
        <w:t xml:space="preserve"> </w:t>
      </w:r>
      <w:proofErr w:type="spellStart"/>
      <w:r w:rsidRPr="003771D0">
        <w:rPr>
          <w:sz w:val="24"/>
          <w:szCs w:val="24"/>
        </w:rPr>
        <w:t>pentru</w:t>
      </w:r>
      <w:proofErr w:type="spellEnd"/>
      <w:r w:rsidRPr="003771D0">
        <w:rPr>
          <w:spacing w:val="1"/>
          <w:sz w:val="24"/>
          <w:szCs w:val="24"/>
        </w:rPr>
        <w:t xml:space="preserve"> </w:t>
      </w:r>
      <w:proofErr w:type="spellStart"/>
      <w:r w:rsidRPr="003771D0">
        <w:rPr>
          <w:sz w:val="24"/>
          <w:szCs w:val="24"/>
        </w:rPr>
        <w:t>tipul</w:t>
      </w:r>
      <w:proofErr w:type="spellEnd"/>
      <w:r w:rsidRPr="003771D0">
        <w:rPr>
          <w:spacing w:val="1"/>
          <w:sz w:val="24"/>
          <w:szCs w:val="24"/>
        </w:rPr>
        <w:t xml:space="preserve"> </w:t>
      </w:r>
      <w:r w:rsidRPr="003771D0">
        <w:rPr>
          <w:sz w:val="24"/>
          <w:szCs w:val="24"/>
        </w:rPr>
        <w:t>de</w:t>
      </w:r>
      <w:r w:rsidRPr="003771D0">
        <w:rPr>
          <w:spacing w:val="1"/>
          <w:sz w:val="24"/>
          <w:szCs w:val="24"/>
        </w:rPr>
        <w:t xml:space="preserve"> </w:t>
      </w:r>
      <w:r w:rsidRPr="003771D0">
        <w:rPr>
          <w:sz w:val="24"/>
          <w:szCs w:val="24"/>
        </w:rPr>
        <w:t>habitat,</w:t>
      </w:r>
      <w:r w:rsidRPr="003771D0">
        <w:rPr>
          <w:spacing w:val="1"/>
          <w:sz w:val="24"/>
          <w:szCs w:val="24"/>
        </w:rPr>
        <w:t xml:space="preserve"> </w:t>
      </w:r>
      <w:proofErr w:type="spellStart"/>
      <w:r w:rsidRPr="003771D0">
        <w:rPr>
          <w:sz w:val="24"/>
          <w:szCs w:val="24"/>
        </w:rPr>
        <w:t>consemnată</w:t>
      </w:r>
      <w:proofErr w:type="spellEnd"/>
      <w:r w:rsidRPr="003771D0">
        <w:rPr>
          <w:sz w:val="24"/>
          <w:szCs w:val="24"/>
        </w:rPr>
        <w:t xml:space="preserve"> ca </w:t>
      </w:r>
      <w:r w:rsidRPr="003771D0">
        <w:rPr>
          <w:b/>
          <w:sz w:val="24"/>
          <w:szCs w:val="24"/>
        </w:rPr>
        <w:t xml:space="preserve">Aria </w:t>
      </w:r>
      <w:proofErr w:type="spellStart"/>
      <w:r w:rsidRPr="003771D0">
        <w:rPr>
          <w:b/>
          <w:sz w:val="24"/>
          <w:szCs w:val="24"/>
        </w:rPr>
        <w:t>Favorabilă</w:t>
      </w:r>
      <w:proofErr w:type="spellEnd"/>
      <w:r w:rsidRPr="003771D0">
        <w:rPr>
          <w:b/>
          <w:sz w:val="24"/>
          <w:szCs w:val="24"/>
        </w:rPr>
        <w:t xml:space="preserve"> de </w:t>
      </w:r>
      <w:proofErr w:type="spellStart"/>
      <w:r w:rsidRPr="003771D0">
        <w:rPr>
          <w:b/>
          <w:sz w:val="24"/>
          <w:szCs w:val="24"/>
        </w:rPr>
        <w:t>Referință</w:t>
      </w:r>
      <w:proofErr w:type="spellEnd"/>
      <w:r w:rsidRPr="003771D0">
        <w:rPr>
          <w:b/>
          <w:sz w:val="24"/>
          <w:szCs w:val="24"/>
        </w:rPr>
        <w:t xml:space="preserve"> </w:t>
      </w:r>
      <w:r w:rsidRPr="003771D0">
        <w:rPr>
          <w:sz w:val="24"/>
          <w:szCs w:val="24"/>
        </w:rPr>
        <w:t xml:space="preserve">(AFR). VFR-urile sunt </w:t>
      </w:r>
      <w:proofErr w:type="spellStart"/>
      <w:r w:rsidRPr="003771D0">
        <w:rPr>
          <w:sz w:val="24"/>
          <w:szCs w:val="24"/>
        </w:rPr>
        <w:t>niveluri</w:t>
      </w:r>
      <w:proofErr w:type="spellEnd"/>
      <w:r w:rsidRPr="003771D0">
        <w:rPr>
          <w:sz w:val="24"/>
          <w:szCs w:val="24"/>
        </w:rPr>
        <w:t xml:space="preserve"> </w:t>
      </w:r>
      <w:proofErr w:type="spellStart"/>
      <w:r w:rsidRPr="003771D0">
        <w:rPr>
          <w:sz w:val="24"/>
          <w:szCs w:val="24"/>
        </w:rPr>
        <w:t>cheie</w:t>
      </w:r>
      <w:proofErr w:type="spellEnd"/>
      <w:r w:rsidRPr="003771D0">
        <w:rPr>
          <w:sz w:val="24"/>
          <w:szCs w:val="24"/>
        </w:rPr>
        <w:t xml:space="preserve"> de </w:t>
      </w:r>
      <w:proofErr w:type="spellStart"/>
      <w:r w:rsidRPr="003771D0">
        <w:rPr>
          <w:sz w:val="24"/>
          <w:szCs w:val="24"/>
        </w:rPr>
        <w:t>referință</w:t>
      </w:r>
      <w:proofErr w:type="spellEnd"/>
      <w:r w:rsidRPr="003771D0">
        <w:rPr>
          <w:spacing w:val="1"/>
          <w:sz w:val="24"/>
          <w:szCs w:val="24"/>
        </w:rPr>
        <w:t xml:space="preserve"> </w:t>
      </w:r>
      <w:proofErr w:type="spellStart"/>
      <w:r w:rsidRPr="003771D0">
        <w:rPr>
          <w:sz w:val="24"/>
          <w:szCs w:val="24"/>
        </w:rPr>
        <w:t>pentru</w:t>
      </w:r>
      <w:proofErr w:type="spellEnd"/>
      <w:r w:rsidRPr="003771D0">
        <w:rPr>
          <w:sz w:val="24"/>
          <w:szCs w:val="24"/>
        </w:rPr>
        <w:t xml:space="preserve"> a </w:t>
      </w:r>
      <w:proofErr w:type="spellStart"/>
      <w:r w:rsidRPr="003771D0">
        <w:rPr>
          <w:sz w:val="24"/>
          <w:szCs w:val="24"/>
        </w:rPr>
        <w:t>defini</w:t>
      </w:r>
      <w:proofErr w:type="spellEnd"/>
      <w:r w:rsidRPr="003771D0">
        <w:rPr>
          <w:sz w:val="24"/>
          <w:szCs w:val="24"/>
        </w:rPr>
        <w:t xml:space="preserve"> </w:t>
      </w:r>
      <w:proofErr w:type="spellStart"/>
      <w:r w:rsidRPr="003771D0">
        <w:rPr>
          <w:sz w:val="24"/>
          <w:szCs w:val="24"/>
        </w:rPr>
        <w:t>momentul</w:t>
      </w:r>
      <w:proofErr w:type="spellEnd"/>
      <w:r w:rsidRPr="003771D0">
        <w:rPr>
          <w:sz w:val="24"/>
          <w:szCs w:val="24"/>
        </w:rPr>
        <w:t xml:space="preserve"> </w:t>
      </w:r>
      <w:proofErr w:type="spellStart"/>
      <w:r w:rsidRPr="003771D0">
        <w:rPr>
          <w:sz w:val="24"/>
          <w:szCs w:val="24"/>
        </w:rPr>
        <w:t>în</w:t>
      </w:r>
      <w:proofErr w:type="spellEnd"/>
      <w:r w:rsidRPr="003771D0">
        <w:rPr>
          <w:sz w:val="24"/>
          <w:szCs w:val="24"/>
        </w:rPr>
        <w:t xml:space="preserve"> care se </w:t>
      </w:r>
      <w:proofErr w:type="spellStart"/>
      <w:r w:rsidRPr="003771D0">
        <w:rPr>
          <w:sz w:val="24"/>
          <w:szCs w:val="24"/>
        </w:rPr>
        <w:t>realizează</w:t>
      </w:r>
      <w:proofErr w:type="spellEnd"/>
      <w:r w:rsidRPr="003771D0">
        <w:rPr>
          <w:sz w:val="24"/>
          <w:szCs w:val="24"/>
        </w:rPr>
        <w:t xml:space="preserve"> </w:t>
      </w:r>
      <w:proofErr w:type="spellStart"/>
      <w:r w:rsidRPr="003771D0">
        <w:rPr>
          <w:b/>
          <w:sz w:val="24"/>
          <w:szCs w:val="24"/>
        </w:rPr>
        <w:t>Starea</w:t>
      </w:r>
      <w:proofErr w:type="spellEnd"/>
      <w:r w:rsidRPr="003771D0">
        <w:rPr>
          <w:b/>
          <w:sz w:val="24"/>
          <w:szCs w:val="24"/>
        </w:rPr>
        <w:t xml:space="preserve"> </w:t>
      </w:r>
      <w:proofErr w:type="spellStart"/>
      <w:r w:rsidRPr="003771D0">
        <w:rPr>
          <w:b/>
          <w:sz w:val="24"/>
          <w:szCs w:val="24"/>
        </w:rPr>
        <w:t>Favorabilă</w:t>
      </w:r>
      <w:proofErr w:type="spellEnd"/>
      <w:r w:rsidRPr="003771D0">
        <w:rPr>
          <w:b/>
          <w:sz w:val="24"/>
          <w:szCs w:val="24"/>
        </w:rPr>
        <w:t xml:space="preserve"> de </w:t>
      </w:r>
      <w:proofErr w:type="spellStart"/>
      <w:r w:rsidRPr="003771D0">
        <w:rPr>
          <w:b/>
          <w:sz w:val="24"/>
          <w:szCs w:val="24"/>
        </w:rPr>
        <w:t>Conservare</w:t>
      </w:r>
      <w:proofErr w:type="spellEnd"/>
      <w:r w:rsidRPr="003771D0">
        <w:rPr>
          <w:b/>
          <w:sz w:val="24"/>
          <w:szCs w:val="24"/>
        </w:rPr>
        <w:t xml:space="preserve"> </w:t>
      </w:r>
      <w:r w:rsidRPr="003771D0">
        <w:rPr>
          <w:sz w:val="24"/>
          <w:szCs w:val="24"/>
        </w:rPr>
        <w:t xml:space="preserve">(FCS) </w:t>
      </w:r>
      <w:proofErr w:type="spellStart"/>
      <w:r w:rsidRPr="003771D0">
        <w:rPr>
          <w:sz w:val="24"/>
          <w:szCs w:val="24"/>
        </w:rPr>
        <w:t>pentru</w:t>
      </w:r>
      <w:proofErr w:type="spellEnd"/>
      <w:r w:rsidRPr="003771D0">
        <w:rPr>
          <w:spacing w:val="1"/>
          <w:sz w:val="24"/>
          <w:szCs w:val="24"/>
        </w:rPr>
        <w:t xml:space="preserve"> </w:t>
      </w:r>
      <w:proofErr w:type="spellStart"/>
      <w:r w:rsidRPr="003771D0">
        <w:rPr>
          <w:sz w:val="24"/>
          <w:szCs w:val="24"/>
        </w:rPr>
        <w:t>speciile</w:t>
      </w:r>
      <w:proofErr w:type="spellEnd"/>
      <w:r w:rsidRPr="003771D0">
        <w:rPr>
          <w:spacing w:val="-1"/>
          <w:sz w:val="24"/>
          <w:szCs w:val="24"/>
        </w:rPr>
        <w:t xml:space="preserve"> </w:t>
      </w:r>
      <w:proofErr w:type="spellStart"/>
      <w:r w:rsidRPr="003771D0">
        <w:rPr>
          <w:sz w:val="24"/>
          <w:szCs w:val="24"/>
        </w:rPr>
        <w:t>și</w:t>
      </w:r>
      <w:proofErr w:type="spellEnd"/>
      <w:r w:rsidRPr="003771D0">
        <w:rPr>
          <w:spacing w:val="-1"/>
          <w:sz w:val="24"/>
          <w:szCs w:val="24"/>
        </w:rPr>
        <w:t xml:space="preserve"> </w:t>
      </w:r>
      <w:proofErr w:type="spellStart"/>
      <w:r w:rsidRPr="003771D0">
        <w:rPr>
          <w:sz w:val="24"/>
          <w:szCs w:val="24"/>
        </w:rPr>
        <w:t>habitatele</w:t>
      </w:r>
      <w:proofErr w:type="spellEnd"/>
      <w:r w:rsidRPr="003771D0">
        <w:rPr>
          <w:spacing w:val="-1"/>
          <w:sz w:val="24"/>
          <w:szCs w:val="24"/>
        </w:rPr>
        <w:t xml:space="preserve"> </w:t>
      </w:r>
      <w:proofErr w:type="spellStart"/>
      <w:r w:rsidRPr="003771D0">
        <w:rPr>
          <w:sz w:val="24"/>
          <w:szCs w:val="24"/>
        </w:rPr>
        <w:t>individuale</w:t>
      </w:r>
      <w:proofErr w:type="spellEnd"/>
      <w:r w:rsidRPr="003771D0">
        <w:rPr>
          <w:sz w:val="24"/>
          <w:szCs w:val="24"/>
        </w:rPr>
        <w:t xml:space="preserve"> (Bijlsma</w:t>
      </w:r>
      <w:r w:rsidRPr="003771D0">
        <w:rPr>
          <w:spacing w:val="-1"/>
          <w:sz w:val="24"/>
          <w:szCs w:val="24"/>
        </w:rPr>
        <w:t xml:space="preserve"> </w:t>
      </w:r>
      <w:r w:rsidRPr="003771D0">
        <w:rPr>
          <w:sz w:val="24"/>
          <w:szCs w:val="24"/>
        </w:rPr>
        <w:t>et al., 2019).</w:t>
      </w:r>
    </w:p>
    <w:p w14:paraId="524F7174" w14:textId="77777777" w:rsidR="0009599D" w:rsidRPr="003771D0" w:rsidRDefault="0009599D" w:rsidP="003771D0">
      <w:pPr>
        <w:pStyle w:val="BodyText"/>
        <w:ind w:left="0" w:right="26"/>
        <w:jc w:val="both"/>
        <w:rPr>
          <w:sz w:val="24"/>
          <w:szCs w:val="24"/>
        </w:rPr>
      </w:pPr>
      <w:proofErr w:type="spellStart"/>
      <w:r w:rsidRPr="003771D0">
        <w:rPr>
          <w:b/>
          <w:sz w:val="24"/>
          <w:szCs w:val="24"/>
        </w:rPr>
        <w:t>Intervalul</w:t>
      </w:r>
      <w:proofErr w:type="spellEnd"/>
      <w:r w:rsidRPr="003771D0">
        <w:rPr>
          <w:b/>
          <w:sz w:val="24"/>
          <w:szCs w:val="24"/>
        </w:rPr>
        <w:t xml:space="preserve"> </w:t>
      </w:r>
      <w:proofErr w:type="spellStart"/>
      <w:r w:rsidRPr="003771D0">
        <w:rPr>
          <w:b/>
          <w:sz w:val="24"/>
          <w:szCs w:val="24"/>
        </w:rPr>
        <w:t>Favorabil</w:t>
      </w:r>
      <w:proofErr w:type="spellEnd"/>
      <w:r w:rsidRPr="003771D0">
        <w:rPr>
          <w:b/>
          <w:sz w:val="24"/>
          <w:szCs w:val="24"/>
        </w:rPr>
        <w:t xml:space="preserve"> de </w:t>
      </w:r>
      <w:proofErr w:type="spellStart"/>
      <w:r w:rsidRPr="003771D0">
        <w:rPr>
          <w:b/>
          <w:sz w:val="24"/>
          <w:szCs w:val="24"/>
        </w:rPr>
        <w:t>Referință</w:t>
      </w:r>
      <w:proofErr w:type="spellEnd"/>
      <w:r w:rsidRPr="003771D0">
        <w:rPr>
          <w:b/>
          <w:sz w:val="24"/>
          <w:szCs w:val="24"/>
        </w:rPr>
        <w:t xml:space="preserve"> </w:t>
      </w:r>
      <w:r w:rsidRPr="003771D0">
        <w:rPr>
          <w:sz w:val="24"/>
          <w:szCs w:val="24"/>
        </w:rPr>
        <w:t xml:space="preserve">(IFR) </w:t>
      </w:r>
      <w:proofErr w:type="spellStart"/>
      <w:r w:rsidRPr="003771D0">
        <w:rPr>
          <w:sz w:val="24"/>
          <w:szCs w:val="24"/>
        </w:rPr>
        <w:t>este</w:t>
      </w:r>
      <w:proofErr w:type="spellEnd"/>
      <w:r w:rsidRPr="003771D0">
        <w:rPr>
          <w:sz w:val="24"/>
          <w:szCs w:val="24"/>
        </w:rPr>
        <w:t xml:space="preserve"> </w:t>
      </w:r>
      <w:proofErr w:type="spellStart"/>
      <w:r w:rsidRPr="003771D0">
        <w:rPr>
          <w:sz w:val="24"/>
          <w:szCs w:val="24"/>
        </w:rPr>
        <w:t>intervalul</w:t>
      </w:r>
      <w:proofErr w:type="spellEnd"/>
      <w:r w:rsidRPr="003771D0">
        <w:rPr>
          <w:sz w:val="24"/>
          <w:szCs w:val="24"/>
        </w:rPr>
        <w:t xml:space="preserve"> </w:t>
      </w:r>
      <w:proofErr w:type="spellStart"/>
      <w:r w:rsidRPr="003771D0">
        <w:rPr>
          <w:sz w:val="24"/>
          <w:szCs w:val="24"/>
        </w:rPr>
        <w:t>în</w:t>
      </w:r>
      <w:proofErr w:type="spellEnd"/>
      <w:r w:rsidRPr="003771D0">
        <w:rPr>
          <w:sz w:val="24"/>
          <w:szCs w:val="24"/>
        </w:rPr>
        <w:t xml:space="preserve"> care sunt </w:t>
      </w:r>
      <w:proofErr w:type="spellStart"/>
      <w:r w:rsidRPr="003771D0">
        <w:rPr>
          <w:sz w:val="24"/>
          <w:szCs w:val="24"/>
        </w:rPr>
        <w:t>incluse</w:t>
      </w:r>
      <w:proofErr w:type="spellEnd"/>
      <w:r w:rsidRPr="003771D0">
        <w:rPr>
          <w:sz w:val="24"/>
          <w:szCs w:val="24"/>
        </w:rPr>
        <w:t xml:space="preserve"> </w:t>
      </w:r>
      <w:proofErr w:type="spellStart"/>
      <w:r w:rsidRPr="003771D0">
        <w:rPr>
          <w:sz w:val="24"/>
          <w:szCs w:val="24"/>
        </w:rPr>
        <w:t>toate</w:t>
      </w:r>
      <w:proofErr w:type="spellEnd"/>
      <w:r w:rsidRPr="003771D0">
        <w:rPr>
          <w:sz w:val="24"/>
          <w:szCs w:val="24"/>
        </w:rPr>
        <w:t xml:space="preserve"> </w:t>
      </w:r>
      <w:proofErr w:type="spellStart"/>
      <w:r w:rsidRPr="003771D0">
        <w:rPr>
          <w:sz w:val="24"/>
          <w:szCs w:val="24"/>
        </w:rPr>
        <w:t>variațiile</w:t>
      </w:r>
      <w:proofErr w:type="spellEnd"/>
      <w:r w:rsidRPr="003771D0">
        <w:rPr>
          <w:spacing w:val="1"/>
          <w:sz w:val="24"/>
          <w:szCs w:val="24"/>
        </w:rPr>
        <w:t xml:space="preserve"> </w:t>
      </w:r>
      <w:proofErr w:type="spellStart"/>
      <w:r w:rsidRPr="003771D0">
        <w:rPr>
          <w:sz w:val="24"/>
          <w:szCs w:val="24"/>
        </w:rPr>
        <w:t>ecologice</w:t>
      </w:r>
      <w:proofErr w:type="spellEnd"/>
      <w:r w:rsidRPr="003771D0">
        <w:rPr>
          <w:spacing w:val="1"/>
          <w:sz w:val="24"/>
          <w:szCs w:val="24"/>
        </w:rPr>
        <w:t xml:space="preserve"> </w:t>
      </w:r>
      <w:proofErr w:type="spellStart"/>
      <w:r w:rsidRPr="003771D0">
        <w:rPr>
          <w:sz w:val="24"/>
          <w:szCs w:val="24"/>
        </w:rPr>
        <w:t>semnificative</w:t>
      </w:r>
      <w:proofErr w:type="spellEnd"/>
      <w:r w:rsidRPr="003771D0">
        <w:rPr>
          <w:spacing w:val="1"/>
          <w:sz w:val="24"/>
          <w:szCs w:val="24"/>
        </w:rPr>
        <w:t xml:space="preserve"> </w:t>
      </w:r>
      <w:r w:rsidRPr="003771D0">
        <w:rPr>
          <w:sz w:val="24"/>
          <w:szCs w:val="24"/>
        </w:rPr>
        <w:t>ale</w:t>
      </w:r>
      <w:r w:rsidRPr="003771D0">
        <w:rPr>
          <w:spacing w:val="1"/>
          <w:sz w:val="24"/>
          <w:szCs w:val="24"/>
        </w:rPr>
        <w:t xml:space="preserve"> </w:t>
      </w:r>
      <w:proofErr w:type="spellStart"/>
      <w:r w:rsidRPr="003771D0">
        <w:rPr>
          <w:sz w:val="24"/>
          <w:szCs w:val="24"/>
        </w:rPr>
        <w:t>habitatului</w:t>
      </w:r>
      <w:proofErr w:type="spellEnd"/>
      <w:r w:rsidRPr="003771D0">
        <w:rPr>
          <w:spacing w:val="1"/>
          <w:sz w:val="24"/>
          <w:szCs w:val="24"/>
        </w:rPr>
        <w:t xml:space="preserve"> </w:t>
      </w:r>
      <w:proofErr w:type="spellStart"/>
      <w:r w:rsidRPr="003771D0">
        <w:rPr>
          <w:sz w:val="24"/>
          <w:szCs w:val="24"/>
        </w:rPr>
        <w:t>pentru</w:t>
      </w:r>
      <w:proofErr w:type="spellEnd"/>
      <w:r w:rsidRPr="003771D0">
        <w:rPr>
          <w:spacing w:val="1"/>
          <w:sz w:val="24"/>
          <w:szCs w:val="24"/>
        </w:rPr>
        <w:t xml:space="preserve"> </w:t>
      </w:r>
      <w:r w:rsidRPr="003771D0">
        <w:rPr>
          <w:sz w:val="24"/>
          <w:szCs w:val="24"/>
        </w:rPr>
        <w:t>o</w:t>
      </w:r>
      <w:r w:rsidRPr="003771D0">
        <w:rPr>
          <w:spacing w:val="1"/>
          <w:sz w:val="24"/>
          <w:szCs w:val="24"/>
        </w:rPr>
        <w:t xml:space="preserve"> </w:t>
      </w:r>
      <w:proofErr w:type="spellStart"/>
      <w:r w:rsidRPr="003771D0">
        <w:rPr>
          <w:sz w:val="24"/>
          <w:szCs w:val="24"/>
        </w:rPr>
        <w:t>anumită</w:t>
      </w:r>
      <w:proofErr w:type="spellEnd"/>
      <w:r w:rsidRPr="003771D0">
        <w:rPr>
          <w:spacing w:val="1"/>
          <w:sz w:val="24"/>
          <w:szCs w:val="24"/>
        </w:rPr>
        <w:t xml:space="preserve"> </w:t>
      </w:r>
      <w:proofErr w:type="spellStart"/>
      <w:r w:rsidRPr="003771D0">
        <w:rPr>
          <w:sz w:val="24"/>
          <w:szCs w:val="24"/>
        </w:rPr>
        <w:t>regiune</w:t>
      </w:r>
      <w:proofErr w:type="spellEnd"/>
      <w:r w:rsidRPr="003771D0">
        <w:rPr>
          <w:spacing w:val="1"/>
          <w:sz w:val="24"/>
          <w:szCs w:val="24"/>
        </w:rPr>
        <w:t xml:space="preserve"> </w:t>
      </w:r>
      <w:proofErr w:type="spellStart"/>
      <w:r w:rsidRPr="003771D0">
        <w:rPr>
          <w:sz w:val="24"/>
          <w:szCs w:val="24"/>
        </w:rPr>
        <w:t>biogeografică</w:t>
      </w:r>
      <w:proofErr w:type="spellEnd"/>
      <w:r w:rsidRPr="003771D0">
        <w:rPr>
          <w:spacing w:val="1"/>
          <w:sz w:val="24"/>
          <w:szCs w:val="24"/>
        </w:rPr>
        <w:t xml:space="preserve"> </w:t>
      </w:r>
      <w:proofErr w:type="spellStart"/>
      <w:r w:rsidRPr="003771D0">
        <w:rPr>
          <w:sz w:val="24"/>
          <w:szCs w:val="24"/>
        </w:rPr>
        <w:t>și</w:t>
      </w:r>
      <w:proofErr w:type="spellEnd"/>
      <w:r w:rsidRPr="003771D0">
        <w:rPr>
          <w:spacing w:val="1"/>
          <w:sz w:val="24"/>
          <w:szCs w:val="24"/>
        </w:rPr>
        <w:t xml:space="preserve"> </w:t>
      </w:r>
      <w:r w:rsidRPr="003771D0">
        <w:rPr>
          <w:sz w:val="24"/>
          <w:szCs w:val="24"/>
        </w:rPr>
        <w:t>care</w:t>
      </w:r>
      <w:r w:rsidRPr="003771D0">
        <w:rPr>
          <w:spacing w:val="1"/>
          <w:sz w:val="24"/>
          <w:szCs w:val="24"/>
        </w:rPr>
        <w:t xml:space="preserve"> </w:t>
      </w:r>
      <w:proofErr w:type="spellStart"/>
      <w:r w:rsidRPr="003771D0">
        <w:rPr>
          <w:sz w:val="24"/>
          <w:szCs w:val="24"/>
        </w:rPr>
        <w:t>este</w:t>
      </w:r>
      <w:proofErr w:type="spellEnd"/>
      <w:r w:rsidRPr="003771D0">
        <w:rPr>
          <w:spacing w:val="-57"/>
          <w:sz w:val="24"/>
          <w:szCs w:val="24"/>
        </w:rPr>
        <w:t xml:space="preserve"> </w:t>
      </w:r>
      <w:proofErr w:type="spellStart"/>
      <w:r w:rsidRPr="003771D0">
        <w:rPr>
          <w:sz w:val="24"/>
          <w:szCs w:val="24"/>
        </w:rPr>
        <w:t>suficient</w:t>
      </w:r>
      <w:proofErr w:type="spellEnd"/>
      <w:r w:rsidRPr="003771D0">
        <w:rPr>
          <w:sz w:val="24"/>
          <w:szCs w:val="24"/>
        </w:rPr>
        <w:t xml:space="preserve"> de mare </w:t>
      </w:r>
      <w:proofErr w:type="spellStart"/>
      <w:r w:rsidRPr="003771D0">
        <w:rPr>
          <w:sz w:val="24"/>
          <w:szCs w:val="24"/>
        </w:rPr>
        <w:t>pentru</w:t>
      </w:r>
      <w:proofErr w:type="spellEnd"/>
      <w:r w:rsidRPr="003771D0">
        <w:rPr>
          <w:spacing w:val="60"/>
          <w:sz w:val="24"/>
          <w:szCs w:val="24"/>
        </w:rPr>
        <w:t xml:space="preserve"> </w:t>
      </w:r>
      <w:r w:rsidRPr="003771D0">
        <w:rPr>
          <w:sz w:val="24"/>
          <w:szCs w:val="24"/>
        </w:rPr>
        <w:t xml:space="preserve">a </w:t>
      </w:r>
      <w:proofErr w:type="spellStart"/>
      <w:r w:rsidRPr="003771D0">
        <w:rPr>
          <w:sz w:val="24"/>
          <w:szCs w:val="24"/>
        </w:rPr>
        <w:t>permite</w:t>
      </w:r>
      <w:proofErr w:type="spellEnd"/>
      <w:r w:rsidRPr="003771D0">
        <w:rPr>
          <w:sz w:val="24"/>
          <w:szCs w:val="24"/>
        </w:rPr>
        <w:t xml:space="preserve"> </w:t>
      </w:r>
      <w:proofErr w:type="spellStart"/>
      <w:r w:rsidRPr="003771D0">
        <w:rPr>
          <w:sz w:val="24"/>
          <w:szCs w:val="24"/>
        </w:rPr>
        <w:t>viabilitatea</w:t>
      </w:r>
      <w:proofErr w:type="spellEnd"/>
      <w:r w:rsidRPr="003771D0">
        <w:rPr>
          <w:sz w:val="24"/>
          <w:szCs w:val="24"/>
        </w:rPr>
        <w:t xml:space="preserve"> pe termen lung a </w:t>
      </w:r>
      <w:proofErr w:type="spellStart"/>
      <w:r w:rsidRPr="003771D0">
        <w:rPr>
          <w:sz w:val="24"/>
          <w:szCs w:val="24"/>
        </w:rPr>
        <w:t>habitatului</w:t>
      </w:r>
      <w:proofErr w:type="spellEnd"/>
      <w:r w:rsidRPr="003771D0">
        <w:rPr>
          <w:sz w:val="24"/>
          <w:szCs w:val="24"/>
        </w:rPr>
        <w:t xml:space="preserve">. </w:t>
      </w:r>
      <w:proofErr w:type="spellStart"/>
      <w:r w:rsidRPr="003771D0">
        <w:rPr>
          <w:sz w:val="24"/>
          <w:szCs w:val="24"/>
        </w:rPr>
        <w:t>Aceste</w:t>
      </w:r>
      <w:proofErr w:type="spellEnd"/>
      <w:r w:rsidRPr="003771D0">
        <w:rPr>
          <w:sz w:val="24"/>
          <w:szCs w:val="24"/>
        </w:rPr>
        <w:t xml:space="preserve"> </w:t>
      </w:r>
      <w:proofErr w:type="spellStart"/>
      <w:r w:rsidRPr="003771D0">
        <w:rPr>
          <w:sz w:val="24"/>
          <w:szCs w:val="24"/>
        </w:rPr>
        <w:t>informații</w:t>
      </w:r>
      <w:proofErr w:type="spellEnd"/>
      <w:r w:rsidRPr="003771D0">
        <w:rPr>
          <w:spacing w:val="1"/>
          <w:sz w:val="24"/>
          <w:szCs w:val="24"/>
        </w:rPr>
        <w:t xml:space="preserve"> </w:t>
      </w:r>
      <w:r w:rsidRPr="003771D0">
        <w:rPr>
          <w:sz w:val="24"/>
          <w:szCs w:val="24"/>
        </w:rPr>
        <w:t xml:space="preserve">sunt </w:t>
      </w:r>
      <w:proofErr w:type="spellStart"/>
      <w:r w:rsidRPr="003771D0">
        <w:rPr>
          <w:sz w:val="24"/>
          <w:szCs w:val="24"/>
        </w:rPr>
        <w:t>necesare</w:t>
      </w:r>
      <w:proofErr w:type="spellEnd"/>
      <w:r w:rsidRPr="003771D0">
        <w:rPr>
          <w:sz w:val="24"/>
          <w:szCs w:val="24"/>
        </w:rPr>
        <w:t xml:space="preserve"> </w:t>
      </w:r>
      <w:proofErr w:type="spellStart"/>
      <w:r w:rsidRPr="003771D0">
        <w:rPr>
          <w:sz w:val="24"/>
          <w:szCs w:val="24"/>
        </w:rPr>
        <w:t>pentru</w:t>
      </w:r>
      <w:proofErr w:type="spellEnd"/>
      <w:r w:rsidRPr="003771D0">
        <w:rPr>
          <w:sz w:val="24"/>
          <w:szCs w:val="24"/>
        </w:rPr>
        <w:t xml:space="preserve"> a </w:t>
      </w:r>
      <w:proofErr w:type="spellStart"/>
      <w:r w:rsidRPr="003771D0">
        <w:rPr>
          <w:sz w:val="24"/>
          <w:szCs w:val="24"/>
        </w:rPr>
        <w:t>efectua</w:t>
      </w:r>
      <w:proofErr w:type="spellEnd"/>
      <w:r w:rsidRPr="003771D0">
        <w:rPr>
          <w:sz w:val="24"/>
          <w:szCs w:val="24"/>
        </w:rPr>
        <w:t xml:space="preserve"> </w:t>
      </w:r>
      <w:proofErr w:type="spellStart"/>
      <w:r w:rsidRPr="003771D0">
        <w:rPr>
          <w:sz w:val="24"/>
          <w:szCs w:val="24"/>
        </w:rPr>
        <w:t>evaluarea</w:t>
      </w:r>
      <w:proofErr w:type="spellEnd"/>
      <w:r w:rsidRPr="003771D0">
        <w:rPr>
          <w:sz w:val="24"/>
          <w:szCs w:val="24"/>
        </w:rPr>
        <w:t xml:space="preserve"> </w:t>
      </w:r>
      <w:proofErr w:type="spellStart"/>
      <w:r w:rsidRPr="003771D0">
        <w:rPr>
          <w:sz w:val="24"/>
          <w:szCs w:val="24"/>
        </w:rPr>
        <w:t>stării</w:t>
      </w:r>
      <w:proofErr w:type="spellEnd"/>
      <w:r w:rsidRPr="003771D0">
        <w:rPr>
          <w:sz w:val="24"/>
          <w:szCs w:val="24"/>
        </w:rPr>
        <w:t xml:space="preserve"> de </w:t>
      </w:r>
      <w:proofErr w:type="spellStart"/>
      <w:r w:rsidRPr="003771D0">
        <w:rPr>
          <w:sz w:val="24"/>
          <w:szCs w:val="24"/>
        </w:rPr>
        <w:t>conservare</w:t>
      </w:r>
      <w:proofErr w:type="spellEnd"/>
      <w:r w:rsidRPr="003771D0">
        <w:rPr>
          <w:sz w:val="24"/>
          <w:szCs w:val="24"/>
        </w:rPr>
        <w:t xml:space="preserve"> conform </w:t>
      </w:r>
      <w:proofErr w:type="spellStart"/>
      <w:r w:rsidRPr="003771D0">
        <w:rPr>
          <w:sz w:val="24"/>
          <w:szCs w:val="24"/>
        </w:rPr>
        <w:t>anexei</w:t>
      </w:r>
      <w:proofErr w:type="spellEnd"/>
      <w:r w:rsidRPr="003771D0">
        <w:rPr>
          <w:sz w:val="24"/>
          <w:szCs w:val="24"/>
        </w:rPr>
        <w:t xml:space="preserve"> E din </w:t>
      </w:r>
      <w:proofErr w:type="spellStart"/>
      <w:r w:rsidRPr="003771D0">
        <w:rPr>
          <w:sz w:val="24"/>
          <w:szCs w:val="24"/>
        </w:rPr>
        <w:t>formatul</w:t>
      </w:r>
      <w:proofErr w:type="spellEnd"/>
      <w:r w:rsidRPr="003771D0">
        <w:rPr>
          <w:sz w:val="24"/>
          <w:szCs w:val="24"/>
        </w:rPr>
        <w:t xml:space="preserve"> de</w:t>
      </w:r>
      <w:r w:rsidRPr="003771D0">
        <w:rPr>
          <w:spacing w:val="1"/>
          <w:sz w:val="24"/>
          <w:szCs w:val="24"/>
        </w:rPr>
        <w:t xml:space="preserve"> </w:t>
      </w:r>
      <w:proofErr w:type="spellStart"/>
      <w:r w:rsidRPr="003771D0">
        <w:rPr>
          <w:sz w:val="24"/>
          <w:szCs w:val="24"/>
        </w:rPr>
        <w:t>raportare</w:t>
      </w:r>
      <w:proofErr w:type="spellEnd"/>
      <w:r w:rsidRPr="003771D0">
        <w:rPr>
          <w:sz w:val="24"/>
          <w:szCs w:val="24"/>
        </w:rPr>
        <w:t xml:space="preserve"> </w:t>
      </w:r>
      <w:proofErr w:type="spellStart"/>
      <w:r w:rsidRPr="003771D0">
        <w:rPr>
          <w:sz w:val="24"/>
          <w:szCs w:val="24"/>
        </w:rPr>
        <w:t>recomandat</w:t>
      </w:r>
      <w:proofErr w:type="spellEnd"/>
      <w:r w:rsidRPr="003771D0">
        <w:rPr>
          <w:sz w:val="24"/>
          <w:szCs w:val="24"/>
        </w:rPr>
        <w:t xml:space="preserve"> de CE. </w:t>
      </w:r>
      <w:proofErr w:type="spellStart"/>
      <w:r w:rsidRPr="003771D0">
        <w:rPr>
          <w:sz w:val="24"/>
          <w:szCs w:val="24"/>
        </w:rPr>
        <w:t>În</w:t>
      </w:r>
      <w:proofErr w:type="spellEnd"/>
      <w:r w:rsidRPr="003771D0">
        <w:rPr>
          <w:sz w:val="24"/>
          <w:szCs w:val="24"/>
        </w:rPr>
        <w:t xml:space="preserve"> </w:t>
      </w:r>
      <w:proofErr w:type="spellStart"/>
      <w:r w:rsidRPr="003771D0">
        <w:rPr>
          <w:sz w:val="24"/>
          <w:szCs w:val="24"/>
        </w:rPr>
        <w:t>multe</w:t>
      </w:r>
      <w:proofErr w:type="spellEnd"/>
      <w:r w:rsidRPr="003771D0">
        <w:rPr>
          <w:sz w:val="24"/>
          <w:szCs w:val="24"/>
        </w:rPr>
        <w:t xml:space="preserve"> </w:t>
      </w:r>
      <w:proofErr w:type="spellStart"/>
      <w:r w:rsidRPr="003771D0">
        <w:rPr>
          <w:sz w:val="24"/>
          <w:szCs w:val="24"/>
        </w:rPr>
        <w:t>cazuri</w:t>
      </w:r>
      <w:proofErr w:type="spellEnd"/>
      <w:r w:rsidRPr="003771D0">
        <w:rPr>
          <w:sz w:val="24"/>
          <w:szCs w:val="24"/>
        </w:rPr>
        <w:t xml:space="preserve"> nu </w:t>
      </w:r>
      <w:proofErr w:type="spellStart"/>
      <w:r w:rsidRPr="003771D0">
        <w:rPr>
          <w:sz w:val="24"/>
          <w:szCs w:val="24"/>
        </w:rPr>
        <w:t>este</w:t>
      </w:r>
      <w:proofErr w:type="spellEnd"/>
      <w:r w:rsidRPr="003771D0">
        <w:rPr>
          <w:sz w:val="24"/>
          <w:szCs w:val="24"/>
        </w:rPr>
        <w:t xml:space="preserve"> </w:t>
      </w:r>
      <w:proofErr w:type="spellStart"/>
      <w:r w:rsidRPr="003771D0">
        <w:rPr>
          <w:sz w:val="24"/>
          <w:szCs w:val="24"/>
        </w:rPr>
        <w:t>posibilă</w:t>
      </w:r>
      <w:proofErr w:type="spellEnd"/>
      <w:r w:rsidRPr="003771D0">
        <w:rPr>
          <w:sz w:val="24"/>
          <w:szCs w:val="24"/>
        </w:rPr>
        <w:t xml:space="preserve"> </w:t>
      </w:r>
      <w:proofErr w:type="spellStart"/>
      <w:r w:rsidRPr="003771D0">
        <w:rPr>
          <w:sz w:val="24"/>
          <w:szCs w:val="24"/>
        </w:rPr>
        <w:t>estimarea</w:t>
      </w:r>
      <w:proofErr w:type="spellEnd"/>
      <w:r w:rsidRPr="003771D0">
        <w:rPr>
          <w:sz w:val="24"/>
          <w:szCs w:val="24"/>
        </w:rPr>
        <w:t xml:space="preserve"> </w:t>
      </w:r>
      <w:proofErr w:type="spellStart"/>
      <w:r w:rsidRPr="003771D0">
        <w:rPr>
          <w:sz w:val="24"/>
          <w:szCs w:val="24"/>
        </w:rPr>
        <w:t>unei</w:t>
      </w:r>
      <w:proofErr w:type="spellEnd"/>
      <w:r w:rsidRPr="003771D0">
        <w:rPr>
          <w:sz w:val="24"/>
          <w:szCs w:val="24"/>
        </w:rPr>
        <w:t xml:space="preserve"> </w:t>
      </w:r>
      <w:proofErr w:type="spellStart"/>
      <w:r w:rsidRPr="003771D0">
        <w:rPr>
          <w:sz w:val="24"/>
          <w:szCs w:val="24"/>
        </w:rPr>
        <w:t>valori</w:t>
      </w:r>
      <w:proofErr w:type="spellEnd"/>
      <w:r w:rsidRPr="003771D0">
        <w:rPr>
          <w:sz w:val="24"/>
          <w:szCs w:val="24"/>
        </w:rPr>
        <w:t xml:space="preserve"> </w:t>
      </w:r>
      <w:proofErr w:type="spellStart"/>
      <w:r w:rsidRPr="003771D0">
        <w:rPr>
          <w:sz w:val="24"/>
          <w:szCs w:val="24"/>
        </w:rPr>
        <w:t>pentru</w:t>
      </w:r>
      <w:proofErr w:type="spellEnd"/>
      <w:r w:rsidRPr="003771D0">
        <w:rPr>
          <w:sz w:val="24"/>
          <w:szCs w:val="24"/>
        </w:rPr>
        <w:t xml:space="preserve"> IFR,</w:t>
      </w:r>
      <w:r w:rsidRPr="003771D0">
        <w:rPr>
          <w:spacing w:val="1"/>
          <w:sz w:val="24"/>
          <w:szCs w:val="24"/>
        </w:rPr>
        <w:t xml:space="preserve"> </w:t>
      </w:r>
      <w:proofErr w:type="spellStart"/>
      <w:r w:rsidRPr="003771D0">
        <w:rPr>
          <w:sz w:val="24"/>
          <w:szCs w:val="24"/>
        </w:rPr>
        <w:t>considerată</w:t>
      </w:r>
      <w:proofErr w:type="spellEnd"/>
      <w:r w:rsidRPr="003771D0">
        <w:rPr>
          <w:sz w:val="24"/>
          <w:szCs w:val="24"/>
        </w:rPr>
        <w:t xml:space="preserve"> </w:t>
      </w:r>
      <w:proofErr w:type="spellStart"/>
      <w:r w:rsidRPr="003771D0">
        <w:rPr>
          <w:sz w:val="24"/>
          <w:szCs w:val="24"/>
        </w:rPr>
        <w:t>opțiunea</w:t>
      </w:r>
      <w:proofErr w:type="spellEnd"/>
      <w:r w:rsidRPr="003771D0">
        <w:rPr>
          <w:sz w:val="24"/>
          <w:szCs w:val="24"/>
        </w:rPr>
        <w:t xml:space="preserve"> (a), </w:t>
      </w:r>
      <w:proofErr w:type="spellStart"/>
      <w:r w:rsidRPr="003771D0">
        <w:rPr>
          <w:sz w:val="24"/>
          <w:szCs w:val="24"/>
        </w:rPr>
        <w:t>dar</w:t>
      </w:r>
      <w:proofErr w:type="spellEnd"/>
      <w:r w:rsidRPr="003771D0">
        <w:rPr>
          <w:sz w:val="24"/>
          <w:szCs w:val="24"/>
        </w:rPr>
        <w:t xml:space="preserve"> </w:t>
      </w:r>
      <w:proofErr w:type="spellStart"/>
      <w:r w:rsidRPr="003771D0">
        <w:rPr>
          <w:sz w:val="24"/>
          <w:szCs w:val="24"/>
        </w:rPr>
        <w:t>este</w:t>
      </w:r>
      <w:proofErr w:type="spellEnd"/>
      <w:r w:rsidRPr="003771D0">
        <w:rPr>
          <w:sz w:val="24"/>
          <w:szCs w:val="24"/>
        </w:rPr>
        <w:t xml:space="preserve"> </w:t>
      </w:r>
      <w:proofErr w:type="spellStart"/>
      <w:r w:rsidRPr="003771D0">
        <w:rPr>
          <w:sz w:val="24"/>
          <w:szCs w:val="24"/>
        </w:rPr>
        <w:t>clar</w:t>
      </w:r>
      <w:proofErr w:type="spellEnd"/>
      <w:r w:rsidRPr="003771D0">
        <w:rPr>
          <w:sz w:val="24"/>
          <w:szCs w:val="24"/>
        </w:rPr>
        <w:t xml:space="preserve"> </w:t>
      </w:r>
      <w:proofErr w:type="spellStart"/>
      <w:r w:rsidRPr="003771D0">
        <w:rPr>
          <w:sz w:val="24"/>
          <w:szCs w:val="24"/>
        </w:rPr>
        <w:t>că</w:t>
      </w:r>
      <w:proofErr w:type="spellEnd"/>
      <w:r w:rsidRPr="003771D0">
        <w:rPr>
          <w:sz w:val="24"/>
          <w:szCs w:val="24"/>
        </w:rPr>
        <w:t xml:space="preserve"> IFR </w:t>
      </w:r>
      <w:proofErr w:type="spellStart"/>
      <w:r w:rsidRPr="003771D0">
        <w:rPr>
          <w:sz w:val="24"/>
          <w:szCs w:val="24"/>
        </w:rPr>
        <w:t>este</w:t>
      </w:r>
      <w:proofErr w:type="spellEnd"/>
      <w:r w:rsidRPr="003771D0">
        <w:rPr>
          <w:sz w:val="24"/>
          <w:szCs w:val="24"/>
        </w:rPr>
        <w:t xml:space="preserve"> </w:t>
      </w:r>
      <w:proofErr w:type="spellStart"/>
      <w:r w:rsidRPr="003771D0">
        <w:rPr>
          <w:sz w:val="24"/>
          <w:szCs w:val="24"/>
        </w:rPr>
        <w:t>mai</w:t>
      </w:r>
      <w:proofErr w:type="spellEnd"/>
      <w:r w:rsidRPr="003771D0">
        <w:rPr>
          <w:sz w:val="24"/>
          <w:szCs w:val="24"/>
        </w:rPr>
        <w:t xml:space="preserve"> mare (</w:t>
      </w:r>
      <w:proofErr w:type="spellStart"/>
      <w:r w:rsidRPr="003771D0">
        <w:rPr>
          <w:sz w:val="24"/>
          <w:szCs w:val="24"/>
        </w:rPr>
        <w:t>sau</w:t>
      </w:r>
      <w:proofErr w:type="spellEnd"/>
      <w:r w:rsidRPr="003771D0">
        <w:rPr>
          <w:sz w:val="24"/>
          <w:szCs w:val="24"/>
        </w:rPr>
        <w:t xml:space="preserve"> </w:t>
      </w:r>
      <w:proofErr w:type="spellStart"/>
      <w:r w:rsidRPr="003771D0">
        <w:rPr>
          <w:sz w:val="24"/>
          <w:szCs w:val="24"/>
        </w:rPr>
        <w:t>mult</w:t>
      </w:r>
      <w:proofErr w:type="spellEnd"/>
      <w:r w:rsidRPr="003771D0">
        <w:rPr>
          <w:sz w:val="24"/>
          <w:szCs w:val="24"/>
        </w:rPr>
        <w:t xml:space="preserve"> </w:t>
      </w:r>
      <w:proofErr w:type="spellStart"/>
      <w:r w:rsidRPr="003771D0">
        <w:rPr>
          <w:sz w:val="24"/>
          <w:szCs w:val="24"/>
        </w:rPr>
        <w:t>mai</w:t>
      </w:r>
      <w:proofErr w:type="spellEnd"/>
      <w:r w:rsidRPr="003771D0">
        <w:rPr>
          <w:sz w:val="24"/>
          <w:szCs w:val="24"/>
        </w:rPr>
        <w:t xml:space="preserve"> mare) </w:t>
      </w:r>
      <w:proofErr w:type="spellStart"/>
      <w:r w:rsidRPr="003771D0">
        <w:rPr>
          <w:sz w:val="24"/>
          <w:szCs w:val="24"/>
        </w:rPr>
        <w:t>decât</w:t>
      </w:r>
      <w:proofErr w:type="spellEnd"/>
      <w:r w:rsidRPr="003771D0">
        <w:rPr>
          <w:sz w:val="24"/>
          <w:szCs w:val="24"/>
        </w:rPr>
        <w:t xml:space="preserve"> </w:t>
      </w:r>
      <w:proofErr w:type="spellStart"/>
      <w:r w:rsidRPr="003771D0">
        <w:rPr>
          <w:sz w:val="24"/>
          <w:szCs w:val="24"/>
        </w:rPr>
        <w:t>valoarea</w:t>
      </w:r>
      <w:proofErr w:type="spellEnd"/>
      <w:r w:rsidRPr="003771D0">
        <w:rPr>
          <w:spacing w:val="1"/>
          <w:sz w:val="24"/>
          <w:szCs w:val="24"/>
        </w:rPr>
        <w:t xml:space="preserve"> </w:t>
      </w:r>
      <w:proofErr w:type="spellStart"/>
      <w:r w:rsidRPr="003771D0">
        <w:rPr>
          <w:sz w:val="24"/>
          <w:szCs w:val="24"/>
        </w:rPr>
        <w:t>actuală</w:t>
      </w:r>
      <w:proofErr w:type="spellEnd"/>
      <w:r w:rsidRPr="003771D0">
        <w:rPr>
          <w:sz w:val="24"/>
          <w:szCs w:val="24"/>
        </w:rPr>
        <w:t>.</w:t>
      </w:r>
      <w:r w:rsidRPr="003771D0">
        <w:rPr>
          <w:spacing w:val="24"/>
          <w:sz w:val="24"/>
          <w:szCs w:val="24"/>
        </w:rPr>
        <w:t xml:space="preserve"> </w:t>
      </w:r>
      <w:proofErr w:type="spellStart"/>
      <w:r w:rsidRPr="003771D0">
        <w:rPr>
          <w:sz w:val="24"/>
          <w:szCs w:val="24"/>
        </w:rPr>
        <w:t>Utilizarea</w:t>
      </w:r>
      <w:proofErr w:type="spellEnd"/>
      <w:r w:rsidRPr="003771D0">
        <w:rPr>
          <w:spacing w:val="25"/>
          <w:sz w:val="24"/>
          <w:szCs w:val="24"/>
        </w:rPr>
        <w:t xml:space="preserve"> </w:t>
      </w:r>
      <w:r w:rsidRPr="003771D0">
        <w:rPr>
          <w:sz w:val="24"/>
          <w:szCs w:val="24"/>
        </w:rPr>
        <w:t>de</w:t>
      </w:r>
      <w:r w:rsidRPr="003771D0">
        <w:rPr>
          <w:spacing w:val="24"/>
          <w:sz w:val="24"/>
          <w:szCs w:val="24"/>
        </w:rPr>
        <w:t xml:space="preserve"> </w:t>
      </w:r>
      <w:proofErr w:type="spellStart"/>
      <w:r w:rsidRPr="003771D0">
        <w:rPr>
          <w:sz w:val="24"/>
          <w:szCs w:val="24"/>
        </w:rPr>
        <w:t>către</w:t>
      </w:r>
      <w:proofErr w:type="spellEnd"/>
      <w:r w:rsidRPr="003771D0">
        <w:rPr>
          <w:spacing w:val="25"/>
          <w:sz w:val="24"/>
          <w:szCs w:val="24"/>
        </w:rPr>
        <w:t xml:space="preserve"> </w:t>
      </w:r>
      <w:proofErr w:type="spellStart"/>
      <w:r w:rsidRPr="003771D0">
        <w:rPr>
          <w:sz w:val="24"/>
          <w:szCs w:val="24"/>
        </w:rPr>
        <w:t>operatori</w:t>
      </w:r>
      <w:proofErr w:type="spellEnd"/>
      <w:r w:rsidRPr="003771D0">
        <w:rPr>
          <w:spacing w:val="25"/>
          <w:sz w:val="24"/>
          <w:szCs w:val="24"/>
        </w:rPr>
        <w:t xml:space="preserve"> </w:t>
      </w:r>
      <w:r w:rsidRPr="003771D0">
        <w:rPr>
          <w:sz w:val="24"/>
          <w:szCs w:val="24"/>
        </w:rPr>
        <w:t>(</w:t>
      </w:r>
      <w:proofErr w:type="spellStart"/>
      <w:r w:rsidRPr="003771D0">
        <w:rPr>
          <w:sz w:val="24"/>
          <w:szCs w:val="24"/>
        </w:rPr>
        <w:t>prin</w:t>
      </w:r>
      <w:proofErr w:type="spellEnd"/>
      <w:r w:rsidRPr="003771D0">
        <w:rPr>
          <w:spacing w:val="25"/>
          <w:sz w:val="24"/>
          <w:szCs w:val="24"/>
        </w:rPr>
        <w:t xml:space="preserve"> </w:t>
      </w:r>
      <w:proofErr w:type="spellStart"/>
      <w:r w:rsidRPr="003771D0">
        <w:rPr>
          <w:sz w:val="24"/>
          <w:szCs w:val="24"/>
        </w:rPr>
        <w:t>opțiunea</w:t>
      </w:r>
      <w:proofErr w:type="spellEnd"/>
      <w:r w:rsidRPr="003771D0">
        <w:rPr>
          <w:spacing w:val="24"/>
          <w:sz w:val="24"/>
          <w:szCs w:val="24"/>
        </w:rPr>
        <w:t xml:space="preserve"> </w:t>
      </w:r>
      <w:r w:rsidRPr="003771D0">
        <w:rPr>
          <w:sz w:val="24"/>
          <w:szCs w:val="24"/>
        </w:rPr>
        <w:t>(b))</w:t>
      </w:r>
      <w:r w:rsidRPr="003771D0">
        <w:rPr>
          <w:spacing w:val="26"/>
          <w:sz w:val="24"/>
          <w:szCs w:val="24"/>
        </w:rPr>
        <w:t xml:space="preserve"> </w:t>
      </w:r>
      <w:r w:rsidRPr="003771D0">
        <w:rPr>
          <w:sz w:val="24"/>
          <w:szCs w:val="24"/>
        </w:rPr>
        <w:t>a</w:t>
      </w:r>
      <w:r w:rsidRPr="003771D0">
        <w:rPr>
          <w:spacing w:val="24"/>
          <w:sz w:val="24"/>
          <w:szCs w:val="24"/>
        </w:rPr>
        <w:t xml:space="preserve"> </w:t>
      </w:r>
      <w:proofErr w:type="spellStart"/>
      <w:r w:rsidRPr="003771D0">
        <w:rPr>
          <w:sz w:val="24"/>
          <w:szCs w:val="24"/>
        </w:rPr>
        <w:t>sintagmelor</w:t>
      </w:r>
      <w:proofErr w:type="spellEnd"/>
      <w:r w:rsidRPr="003771D0">
        <w:rPr>
          <w:spacing w:val="25"/>
          <w:sz w:val="24"/>
          <w:szCs w:val="24"/>
        </w:rPr>
        <w:t xml:space="preserve"> </w:t>
      </w:r>
      <w:r w:rsidRPr="003771D0">
        <w:rPr>
          <w:sz w:val="24"/>
          <w:szCs w:val="24"/>
        </w:rPr>
        <w:t>„</w:t>
      </w:r>
      <w:proofErr w:type="spellStart"/>
      <w:r w:rsidRPr="003771D0">
        <w:rPr>
          <w:sz w:val="24"/>
          <w:szCs w:val="24"/>
        </w:rPr>
        <w:t>mai</w:t>
      </w:r>
      <w:proofErr w:type="spellEnd"/>
      <w:r w:rsidRPr="003771D0">
        <w:rPr>
          <w:spacing w:val="25"/>
          <w:sz w:val="24"/>
          <w:szCs w:val="24"/>
        </w:rPr>
        <w:t xml:space="preserve"> </w:t>
      </w:r>
      <w:r w:rsidRPr="003771D0">
        <w:rPr>
          <w:sz w:val="24"/>
          <w:szCs w:val="24"/>
        </w:rPr>
        <w:t>mare</w:t>
      </w:r>
      <w:r w:rsidRPr="003771D0">
        <w:rPr>
          <w:spacing w:val="24"/>
          <w:sz w:val="24"/>
          <w:szCs w:val="24"/>
        </w:rPr>
        <w:t xml:space="preserve"> </w:t>
      </w:r>
      <w:proofErr w:type="spellStart"/>
      <w:r w:rsidRPr="003771D0">
        <w:rPr>
          <w:sz w:val="24"/>
          <w:szCs w:val="24"/>
        </w:rPr>
        <w:t>decât</w:t>
      </w:r>
      <w:proofErr w:type="spellEnd"/>
      <w:r w:rsidRPr="003771D0">
        <w:rPr>
          <w:sz w:val="24"/>
          <w:szCs w:val="24"/>
        </w:rPr>
        <w:t>”</w:t>
      </w:r>
      <w:r w:rsidRPr="003771D0">
        <w:rPr>
          <w:spacing w:val="27"/>
          <w:sz w:val="24"/>
          <w:szCs w:val="24"/>
        </w:rPr>
        <w:t xml:space="preserve"> </w:t>
      </w:r>
      <w:r w:rsidRPr="003771D0">
        <w:rPr>
          <w:sz w:val="24"/>
          <w:szCs w:val="24"/>
        </w:rPr>
        <w:t>(&gt;)</w:t>
      </w:r>
      <w:r w:rsidRPr="003771D0">
        <w:rPr>
          <w:spacing w:val="24"/>
          <w:sz w:val="24"/>
          <w:szCs w:val="24"/>
        </w:rPr>
        <w:t xml:space="preserve"> </w:t>
      </w:r>
      <w:proofErr w:type="spellStart"/>
      <w:r w:rsidRPr="003771D0">
        <w:rPr>
          <w:sz w:val="24"/>
          <w:szCs w:val="24"/>
        </w:rPr>
        <w:t>și</w:t>
      </w:r>
      <w:proofErr w:type="spellEnd"/>
    </w:p>
    <w:p w14:paraId="4CC043CF" w14:textId="77777777" w:rsidR="0009599D" w:rsidRPr="003771D0" w:rsidRDefault="0009599D" w:rsidP="003771D0">
      <w:pPr>
        <w:pStyle w:val="BodyText"/>
        <w:spacing w:before="1"/>
        <w:ind w:left="0" w:right="26"/>
        <w:jc w:val="both"/>
        <w:rPr>
          <w:sz w:val="24"/>
          <w:szCs w:val="24"/>
        </w:rPr>
      </w:pPr>
      <w:r w:rsidRPr="003771D0">
        <w:rPr>
          <w:sz w:val="24"/>
          <w:szCs w:val="24"/>
        </w:rPr>
        <w:t>„</w:t>
      </w:r>
      <w:proofErr w:type="spellStart"/>
      <w:r w:rsidRPr="003771D0">
        <w:rPr>
          <w:sz w:val="24"/>
          <w:szCs w:val="24"/>
        </w:rPr>
        <w:t>mult</w:t>
      </w:r>
      <w:proofErr w:type="spellEnd"/>
      <w:r w:rsidRPr="003771D0">
        <w:rPr>
          <w:sz w:val="24"/>
          <w:szCs w:val="24"/>
        </w:rPr>
        <w:t xml:space="preserve"> </w:t>
      </w:r>
      <w:proofErr w:type="spellStart"/>
      <w:r w:rsidRPr="003771D0">
        <w:rPr>
          <w:sz w:val="24"/>
          <w:szCs w:val="24"/>
        </w:rPr>
        <w:t>mai</w:t>
      </w:r>
      <w:proofErr w:type="spellEnd"/>
      <w:r w:rsidRPr="003771D0">
        <w:rPr>
          <w:sz w:val="24"/>
          <w:szCs w:val="24"/>
        </w:rPr>
        <w:t xml:space="preserve"> mare </w:t>
      </w:r>
      <w:proofErr w:type="spellStart"/>
      <w:r w:rsidRPr="003771D0">
        <w:rPr>
          <w:sz w:val="24"/>
          <w:szCs w:val="24"/>
        </w:rPr>
        <w:t>decât</w:t>
      </w:r>
      <w:proofErr w:type="spellEnd"/>
      <w:r w:rsidRPr="003771D0">
        <w:rPr>
          <w:sz w:val="24"/>
          <w:szCs w:val="24"/>
        </w:rPr>
        <w:t xml:space="preserve">” (&gt;&gt;) </w:t>
      </w:r>
      <w:proofErr w:type="spellStart"/>
      <w:r w:rsidRPr="003771D0">
        <w:rPr>
          <w:sz w:val="24"/>
          <w:szCs w:val="24"/>
        </w:rPr>
        <w:t>este</w:t>
      </w:r>
      <w:proofErr w:type="spellEnd"/>
      <w:r w:rsidRPr="003771D0">
        <w:rPr>
          <w:sz w:val="24"/>
          <w:szCs w:val="24"/>
        </w:rPr>
        <w:t xml:space="preserve"> de </w:t>
      </w:r>
      <w:proofErr w:type="spellStart"/>
      <w:r w:rsidRPr="003771D0">
        <w:rPr>
          <w:sz w:val="24"/>
          <w:szCs w:val="24"/>
        </w:rPr>
        <w:t>preferat</w:t>
      </w:r>
      <w:proofErr w:type="spellEnd"/>
      <w:r w:rsidRPr="003771D0">
        <w:rPr>
          <w:sz w:val="24"/>
          <w:szCs w:val="24"/>
        </w:rPr>
        <w:t xml:space="preserve"> </w:t>
      </w:r>
      <w:proofErr w:type="spellStart"/>
      <w:r w:rsidRPr="003771D0">
        <w:rPr>
          <w:sz w:val="24"/>
          <w:szCs w:val="24"/>
        </w:rPr>
        <w:t>dacât</w:t>
      </w:r>
      <w:proofErr w:type="spellEnd"/>
      <w:r w:rsidRPr="003771D0">
        <w:rPr>
          <w:sz w:val="24"/>
          <w:szCs w:val="24"/>
        </w:rPr>
        <w:t xml:space="preserve"> </w:t>
      </w:r>
      <w:proofErr w:type="spellStart"/>
      <w:r w:rsidRPr="003771D0">
        <w:rPr>
          <w:sz w:val="24"/>
          <w:szCs w:val="24"/>
        </w:rPr>
        <w:t>să</w:t>
      </w:r>
      <w:proofErr w:type="spellEnd"/>
      <w:r w:rsidRPr="003771D0">
        <w:rPr>
          <w:sz w:val="24"/>
          <w:szCs w:val="24"/>
        </w:rPr>
        <w:t xml:space="preserve"> se </w:t>
      </w:r>
      <w:proofErr w:type="spellStart"/>
      <w:r w:rsidRPr="003771D0">
        <w:rPr>
          <w:sz w:val="24"/>
          <w:szCs w:val="24"/>
        </w:rPr>
        <w:t>raporteze</w:t>
      </w:r>
      <w:proofErr w:type="spellEnd"/>
      <w:r w:rsidRPr="003771D0">
        <w:rPr>
          <w:sz w:val="24"/>
          <w:szCs w:val="24"/>
        </w:rPr>
        <w:t xml:space="preserve"> un </w:t>
      </w:r>
      <w:proofErr w:type="spellStart"/>
      <w:r w:rsidRPr="003771D0">
        <w:rPr>
          <w:sz w:val="24"/>
          <w:szCs w:val="24"/>
        </w:rPr>
        <w:t>parametru</w:t>
      </w:r>
      <w:proofErr w:type="spellEnd"/>
      <w:r w:rsidRPr="003771D0">
        <w:rPr>
          <w:sz w:val="24"/>
          <w:szCs w:val="24"/>
        </w:rPr>
        <w:t xml:space="preserve"> ca „</w:t>
      </w:r>
      <w:proofErr w:type="spellStart"/>
      <w:r w:rsidRPr="003771D0">
        <w:rPr>
          <w:sz w:val="24"/>
          <w:szCs w:val="24"/>
        </w:rPr>
        <w:t>necunoscut</w:t>
      </w:r>
      <w:proofErr w:type="spellEnd"/>
      <w:r w:rsidRPr="003771D0">
        <w:rPr>
          <w:sz w:val="24"/>
          <w:szCs w:val="24"/>
        </w:rPr>
        <w:t>”</w:t>
      </w:r>
      <w:r w:rsidRPr="003771D0">
        <w:rPr>
          <w:spacing w:val="1"/>
          <w:sz w:val="24"/>
          <w:szCs w:val="24"/>
        </w:rPr>
        <w:t xml:space="preserve"> </w:t>
      </w:r>
      <w:r w:rsidRPr="003771D0">
        <w:rPr>
          <w:sz w:val="24"/>
          <w:szCs w:val="24"/>
        </w:rPr>
        <w:t>(Bijlsma</w:t>
      </w:r>
      <w:r w:rsidRPr="003771D0">
        <w:rPr>
          <w:spacing w:val="-2"/>
          <w:sz w:val="24"/>
          <w:szCs w:val="24"/>
        </w:rPr>
        <w:t xml:space="preserve"> </w:t>
      </w:r>
      <w:r w:rsidRPr="003771D0">
        <w:rPr>
          <w:sz w:val="24"/>
          <w:szCs w:val="24"/>
        </w:rPr>
        <w:t>et al., 2019).</w:t>
      </w:r>
    </w:p>
    <w:p w14:paraId="06F63FC8" w14:textId="77777777" w:rsidR="0009599D" w:rsidRPr="003771D0" w:rsidRDefault="0009599D" w:rsidP="003771D0">
      <w:pPr>
        <w:ind w:right="26"/>
        <w:jc w:val="both"/>
      </w:pPr>
      <w:r w:rsidRPr="003771D0">
        <w:rPr>
          <w:b/>
        </w:rPr>
        <w:t>Instrumentul de calculare a arealului (range tool)</w:t>
      </w:r>
      <w:r w:rsidRPr="003771D0">
        <w:rPr>
          <w:b/>
          <w:spacing w:val="1"/>
        </w:rPr>
        <w:t xml:space="preserve"> </w:t>
      </w:r>
      <w:r w:rsidRPr="003771D0">
        <w:rPr>
          <w:b/>
        </w:rPr>
        <w:t xml:space="preserve">- </w:t>
      </w:r>
      <w:r w:rsidRPr="003771D0">
        <w:t>este un</w:t>
      </w:r>
      <w:r w:rsidRPr="003771D0">
        <w:rPr>
          <w:spacing w:val="60"/>
        </w:rPr>
        <w:t xml:space="preserve"> </w:t>
      </w:r>
      <w:r w:rsidRPr="003771D0">
        <w:t>instrument realizat pentru a</w:t>
      </w:r>
      <w:r w:rsidRPr="003771D0">
        <w:rPr>
          <w:spacing w:val="1"/>
        </w:rPr>
        <w:t xml:space="preserve"> </w:t>
      </w:r>
      <w:r w:rsidRPr="003771D0">
        <w:t>calcula arealul tipului de habitat, utilizând informații spațiale (puncte, linii, poligoane) și o grilă</w:t>
      </w:r>
      <w:r w:rsidRPr="003771D0">
        <w:rPr>
          <w:spacing w:val="1"/>
        </w:rPr>
        <w:t xml:space="preserve"> </w:t>
      </w:r>
      <w:r w:rsidRPr="003771D0">
        <w:t>specifică (</w:t>
      </w:r>
      <w:r>
        <w:fldChar w:fldCharType="begin"/>
      </w:r>
      <w:r>
        <w:instrText>HYPERLINK "http://cdr.eionet.europa.eu/help/habitats_art17" \h</w:instrText>
      </w:r>
      <w:r>
        <w:fldChar w:fldCharType="separate"/>
      </w:r>
      <w:r w:rsidRPr="003771D0">
        <w:rPr>
          <w:color w:val="0000FF"/>
          <w:u w:val="single" w:color="0000FF"/>
        </w:rPr>
        <w:t>http://cdr.eionet.europa.eu/help/habitats_art17</w:t>
      </w:r>
      <w:r>
        <w:rPr>
          <w:color w:val="0000FF"/>
          <w:u w:val="single" w:color="0000FF"/>
        </w:rPr>
        <w:fldChar w:fldCharType="end"/>
      </w:r>
      <w:r w:rsidRPr="003771D0">
        <w:t>).</w:t>
      </w:r>
    </w:p>
    <w:p w14:paraId="2FF99E7E" w14:textId="77777777" w:rsidR="0009599D" w:rsidRPr="003771D0" w:rsidRDefault="0009599D" w:rsidP="0009599D">
      <w:pPr>
        <w:pStyle w:val="BodyText"/>
        <w:rPr>
          <w:sz w:val="20"/>
        </w:rPr>
      </w:pPr>
    </w:p>
    <w:p w14:paraId="16422284" w14:textId="77777777" w:rsidR="0009599D" w:rsidRPr="003771D0" w:rsidRDefault="0009599D" w:rsidP="0009599D">
      <w:pPr>
        <w:pStyle w:val="BodyText"/>
        <w:spacing w:before="8" w:after="1"/>
        <w:rPr>
          <w:sz w:val="28"/>
        </w:rPr>
      </w:pPr>
    </w:p>
    <w:tbl>
      <w:tblPr>
        <w:tblW w:w="0" w:type="auto"/>
        <w:tblInd w:w="3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0"/>
        <w:gridCol w:w="2017"/>
        <w:gridCol w:w="2017"/>
        <w:gridCol w:w="2017"/>
        <w:gridCol w:w="1584"/>
      </w:tblGrid>
      <w:tr w:rsidR="0009599D" w:rsidRPr="003771D0" w14:paraId="27B54E1B" w14:textId="77777777" w:rsidTr="00A930AA">
        <w:trPr>
          <w:trHeight w:val="253"/>
        </w:trPr>
        <w:tc>
          <w:tcPr>
            <w:tcW w:w="1980" w:type="dxa"/>
            <w:shd w:val="clear" w:color="auto" w:fill="C0C0C0"/>
          </w:tcPr>
          <w:p w14:paraId="0232D429" w14:textId="77777777" w:rsidR="0009599D" w:rsidRPr="003771D0" w:rsidRDefault="0009599D" w:rsidP="00A930AA">
            <w:pPr>
              <w:pStyle w:val="TableParagraph"/>
              <w:spacing w:line="234" w:lineRule="exact"/>
              <w:ind w:left="439"/>
              <w:rPr>
                <w:b/>
              </w:rPr>
            </w:pPr>
            <w:r w:rsidRPr="003771D0">
              <w:rPr>
                <w:b/>
              </w:rPr>
              <w:t>Parametru</w:t>
            </w:r>
          </w:p>
        </w:tc>
        <w:tc>
          <w:tcPr>
            <w:tcW w:w="7635" w:type="dxa"/>
            <w:gridSpan w:val="4"/>
            <w:shd w:val="clear" w:color="auto" w:fill="C0C0C0"/>
          </w:tcPr>
          <w:p w14:paraId="7301D0D4" w14:textId="77777777" w:rsidR="0009599D" w:rsidRPr="003771D0" w:rsidRDefault="0009599D" w:rsidP="00A930AA">
            <w:pPr>
              <w:pStyle w:val="TableParagraph"/>
              <w:spacing w:line="234" w:lineRule="exact"/>
              <w:ind w:left="2936" w:right="2793"/>
              <w:jc w:val="center"/>
              <w:rPr>
                <w:b/>
              </w:rPr>
            </w:pPr>
            <w:r w:rsidRPr="003771D0">
              <w:rPr>
                <w:b/>
              </w:rPr>
              <w:t>Stare</w:t>
            </w:r>
            <w:r w:rsidRPr="003771D0">
              <w:rPr>
                <w:b/>
                <w:spacing w:val="-1"/>
              </w:rPr>
              <w:t xml:space="preserve"> </w:t>
            </w:r>
            <w:r w:rsidRPr="003771D0">
              <w:rPr>
                <w:b/>
              </w:rPr>
              <w:t>de</w:t>
            </w:r>
            <w:r w:rsidRPr="003771D0">
              <w:rPr>
                <w:b/>
                <w:spacing w:val="-1"/>
              </w:rPr>
              <w:t xml:space="preserve"> </w:t>
            </w:r>
            <w:r w:rsidRPr="003771D0">
              <w:rPr>
                <w:b/>
              </w:rPr>
              <w:t>conservare</w:t>
            </w:r>
          </w:p>
        </w:tc>
      </w:tr>
      <w:tr w:rsidR="0009599D" w:rsidRPr="003771D0" w14:paraId="2E749493" w14:textId="77777777" w:rsidTr="00A930AA">
        <w:trPr>
          <w:trHeight w:val="1516"/>
        </w:trPr>
        <w:tc>
          <w:tcPr>
            <w:tcW w:w="1980" w:type="dxa"/>
          </w:tcPr>
          <w:p w14:paraId="71821A60" w14:textId="77777777" w:rsidR="0009599D" w:rsidRPr="003771D0" w:rsidRDefault="0009599D" w:rsidP="00A930AA">
            <w:pPr>
              <w:pStyle w:val="TableParagraph"/>
            </w:pPr>
          </w:p>
        </w:tc>
        <w:tc>
          <w:tcPr>
            <w:tcW w:w="2017" w:type="dxa"/>
            <w:shd w:val="clear" w:color="auto" w:fill="00FF00"/>
          </w:tcPr>
          <w:p w14:paraId="273ADA66" w14:textId="77777777" w:rsidR="0009599D" w:rsidRPr="003771D0" w:rsidRDefault="0009599D" w:rsidP="00A930AA">
            <w:pPr>
              <w:pStyle w:val="TableParagraph"/>
              <w:ind w:left="376" w:right="237"/>
              <w:jc w:val="center"/>
              <w:rPr>
                <w:b/>
              </w:rPr>
            </w:pPr>
            <w:r w:rsidRPr="003771D0">
              <w:rPr>
                <w:b/>
              </w:rPr>
              <w:t>Favorabilă</w:t>
            </w:r>
            <w:r w:rsidRPr="003771D0">
              <w:rPr>
                <w:b/>
                <w:spacing w:val="-52"/>
              </w:rPr>
              <w:t xml:space="preserve"> </w:t>
            </w:r>
            <w:r w:rsidRPr="003771D0">
              <w:rPr>
                <w:b/>
              </w:rPr>
              <w:t>(FV)</w:t>
            </w:r>
          </w:p>
          <w:p w14:paraId="17D948E8" w14:textId="77777777" w:rsidR="0009599D" w:rsidRPr="003771D0" w:rsidRDefault="0009599D" w:rsidP="00A930AA">
            <w:pPr>
              <w:pStyle w:val="TableParagraph"/>
              <w:ind w:left="376" w:right="237"/>
              <w:jc w:val="center"/>
              <w:rPr>
                <w:b/>
              </w:rPr>
            </w:pPr>
            <w:r w:rsidRPr="003771D0">
              <w:rPr>
                <w:b/>
              </w:rPr>
              <w:t>(”verde”)</w:t>
            </w:r>
          </w:p>
        </w:tc>
        <w:tc>
          <w:tcPr>
            <w:tcW w:w="2017" w:type="dxa"/>
            <w:shd w:val="clear" w:color="auto" w:fill="FFCC00"/>
          </w:tcPr>
          <w:p w14:paraId="05CEBB8F" w14:textId="77777777" w:rsidR="0009599D" w:rsidRPr="003771D0" w:rsidRDefault="0009599D" w:rsidP="00A930AA">
            <w:pPr>
              <w:pStyle w:val="TableParagraph"/>
              <w:ind w:left="376" w:right="238"/>
              <w:jc w:val="center"/>
              <w:rPr>
                <w:b/>
              </w:rPr>
            </w:pPr>
            <w:r w:rsidRPr="003771D0">
              <w:rPr>
                <w:b/>
              </w:rPr>
              <w:t>Nefavorabilă –</w:t>
            </w:r>
            <w:r w:rsidRPr="003771D0">
              <w:rPr>
                <w:b/>
                <w:spacing w:val="-52"/>
              </w:rPr>
              <w:t xml:space="preserve"> </w:t>
            </w:r>
            <w:r w:rsidRPr="003771D0">
              <w:rPr>
                <w:b/>
              </w:rPr>
              <w:t>Neadecvată</w:t>
            </w:r>
            <w:r w:rsidRPr="003771D0">
              <w:rPr>
                <w:b/>
                <w:spacing w:val="1"/>
              </w:rPr>
              <w:t xml:space="preserve"> </w:t>
            </w:r>
            <w:r w:rsidRPr="003771D0">
              <w:rPr>
                <w:b/>
              </w:rPr>
              <w:t>(U1)</w:t>
            </w:r>
          </w:p>
          <w:p w14:paraId="66FE172B" w14:textId="77777777" w:rsidR="0009599D" w:rsidRPr="003771D0" w:rsidRDefault="0009599D" w:rsidP="00A930AA">
            <w:pPr>
              <w:pStyle w:val="TableParagraph"/>
              <w:spacing w:line="252" w:lineRule="exact"/>
              <w:ind w:left="164" w:right="27"/>
              <w:jc w:val="center"/>
              <w:rPr>
                <w:b/>
              </w:rPr>
            </w:pPr>
            <w:r w:rsidRPr="003771D0">
              <w:rPr>
                <w:b/>
              </w:rPr>
              <w:t>(“chihlimbar”)</w:t>
            </w:r>
          </w:p>
        </w:tc>
        <w:tc>
          <w:tcPr>
            <w:tcW w:w="2017" w:type="dxa"/>
            <w:shd w:val="clear" w:color="auto" w:fill="FF0000"/>
          </w:tcPr>
          <w:p w14:paraId="3CCBABA1" w14:textId="77777777" w:rsidR="0009599D" w:rsidRPr="003771D0" w:rsidRDefault="0009599D" w:rsidP="00A930AA">
            <w:pPr>
              <w:pStyle w:val="TableParagraph"/>
              <w:ind w:left="164" w:right="28"/>
              <w:jc w:val="center"/>
              <w:rPr>
                <w:b/>
              </w:rPr>
            </w:pPr>
            <w:r w:rsidRPr="003771D0">
              <w:rPr>
                <w:b/>
              </w:rPr>
              <w:t>Nefavorabilă – Rea</w:t>
            </w:r>
            <w:r w:rsidRPr="003771D0">
              <w:rPr>
                <w:b/>
                <w:spacing w:val="-52"/>
              </w:rPr>
              <w:t xml:space="preserve"> </w:t>
            </w:r>
            <w:r w:rsidRPr="003771D0">
              <w:rPr>
                <w:b/>
              </w:rPr>
              <w:t>(U2)</w:t>
            </w:r>
          </w:p>
          <w:p w14:paraId="6C84259D" w14:textId="77777777" w:rsidR="0009599D" w:rsidRPr="003771D0" w:rsidRDefault="0009599D" w:rsidP="00A930AA">
            <w:pPr>
              <w:pStyle w:val="TableParagraph"/>
              <w:ind w:left="375" w:right="238"/>
              <w:jc w:val="center"/>
              <w:rPr>
                <w:b/>
              </w:rPr>
            </w:pPr>
            <w:r w:rsidRPr="003771D0">
              <w:rPr>
                <w:b/>
              </w:rPr>
              <w:t>(“roșu”)</w:t>
            </w:r>
          </w:p>
        </w:tc>
        <w:tc>
          <w:tcPr>
            <w:tcW w:w="1584" w:type="dxa"/>
          </w:tcPr>
          <w:p w14:paraId="24A3E7FB" w14:textId="77777777" w:rsidR="0009599D" w:rsidRPr="003771D0" w:rsidRDefault="0009599D" w:rsidP="00A930AA">
            <w:pPr>
              <w:pStyle w:val="TableParagraph"/>
              <w:ind w:left="262" w:right="122"/>
              <w:jc w:val="center"/>
              <w:rPr>
                <w:b/>
                <w:i/>
              </w:rPr>
            </w:pPr>
            <w:r w:rsidRPr="003771D0">
              <w:rPr>
                <w:b/>
                <w:i/>
              </w:rPr>
              <w:t>Necunoscută</w:t>
            </w:r>
            <w:r w:rsidRPr="003771D0">
              <w:rPr>
                <w:b/>
                <w:i/>
                <w:spacing w:val="-52"/>
              </w:rPr>
              <w:t xml:space="preserve"> </w:t>
            </w:r>
            <w:r w:rsidRPr="003771D0">
              <w:rPr>
                <w:b/>
                <w:i/>
              </w:rPr>
              <w:t>(X)</w:t>
            </w:r>
          </w:p>
          <w:p w14:paraId="3F074A0C" w14:textId="77777777" w:rsidR="0009599D" w:rsidRPr="003771D0" w:rsidRDefault="0009599D" w:rsidP="00A930AA">
            <w:pPr>
              <w:pStyle w:val="TableParagraph"/>
              <w:ind w:left="171" w:right="37" w:hanging="1"/>
              <w:jc w:val="center"/>
              <w:rPr>
                <w:b/>
                <w:i/>
              </w:rPr>
            </w:pPr>
            <w:r w:rsidRPr="003771D0">
              <w:rPr>
                <w:b/>
                <w:i/>
              </w:rPr>
              <w:t>(insuficiente</w:t>
            </w:r>
            <w:r w:rsidRPr="003771D0">
              <w:rPr>
                <w:b/>
                <w:i/>
                <w:spacing w:val="1"/>
              </w:rPr>
              <w:t xml:space="preserve"> </w:t>
            </w:r>
            <w:r w:rsidRPr="003771D0">
              <w:rPr>
                <w:b/>
                <w:i/>
              </w:rPr>
              <w:t>informatii</w:t>
            </w:r>
            <w:r w:rsidRPr="003771D0">
              <w:rPr>
                <w:b/>
                <w:i/>
                <w:spacing w:val="1"/>
              </w:rPr>
              <w:t xml:space="preserve"> </w:t>
            </w:r>
            <w:r w:rsidRPr="003771D0">
              <w:rPr>
                <w:b/>
                <w:i/>
              </w:rPr>
              <w:t>pentru</w:t>
            </w:r>
            <w:r w:rsidRPr="003771D0">
              <w:rPr>
                <w:b/>
                <w:i/>
                <w:spacing w:val="-7"/>
              </w:rPr>
              <w:t xml:space="preserve"> </w:t>
            </w:r>
            <w:r w:rsidRPr="003771D0">
              <w:rPr>
                <w:b/>
                <w:i/>
              </w:rPr>
              <w:t>a</w:t>
            </w:r>
            <w:r w:rsidRPr="003771D0">
              <w:rPr>
                <w:b/>
                <w:i/>
                <w:spacing w:val="-4"/>
              </w:rPr>
              <w:t xml:space="preserve"> </w:t>
            </w:r>
            <w:r w:rsidRPr="003771D0">
              <w:rPr>
                <w:b/>
                <w:i/>
              </w:rPr>
              <w:t>face</w:t>
            </w:r>
            <w:r w:rsidRPr="003771D0">
              <w:rPr>
                <w:b/>
                <w:i/>
                <w:spacing w:val="-5"/>
              </w:rPr>
              <w:t xml:space="preserve"> </w:t>
            </w:r>
            <w:r w:rsidRPr="003771D0">
              <w:rPr>
                <w:b/>
                <w:i/>
              </w:rPr>
              <w:t>o</w:t>
            </w:r>
          </w:p>
          <w:p w14:paraId="15B07B3D" w14:textId="77777777" w:rsidR="0009599D" w:rsidRPr="003771D0" w:rsidRDefault="0009599D" w:rsidP="00A930AA">
            <w:pPr>
              <w:pStyle w:val="TableParagraph"/>
              <w:spacing w:line="233" w:lineRule="exact"/>
              <w:ind w:left="259" w:right="122"/>
              <w:jc w:val="center"/>
              <w:rPr>
                <w:b/>
                <w:i/>
              </w:rPr>
            </w:pPr>
            <w:r w:rsidRPr="003771D0">
              <w:rPr>
                <w:b/>
                <w:i/>
              </w:rPr>
              <w:t>evaluare)</w:t>
            </w:r>
          </w:p>
        </w:tc>
      </w:tr>
      <w:tr w:rsidR="0009599D" w:rsidRPr="003771D0" w14:paraId="3619CF34" w14:textId="77777777" w:rsidTr="00A930AA">
        <w:trPr>
          <w:trHeight w:val="2784"/>
        </w:trPr>
        <w:tc>
          <w:tcPr>
            <w:tcW w:w="1980" w:type="dxa"/>
          </w:tcPr>
          <w:p w14:paraId="497494D5" w14:textId="77777777" w:rsidR="0009599D" w:rsidRPr="003771D0" w:rsidRDefault="0009599D" w:rsidP="00A930AA">
            <w:pPr>
              <w:pStyle w:val="TableParagraph"/>
              <w:spacing w:line="251" w:lineRule="exact"/>
              <w:rPr>
                <w:b/>
              </w:rPr>
            </w:pPr>
            <w:r w:rsidRPr="003771D0">
              <w:rPr>
                <w:b/>
              </w:rPr>
              <w:t>Intervalul de</w:t>
            </w:r>
          </w:p>
          <w:p w14:paraId="187E8985" w14:textId="77777777" w:rsidR="0009599D" w:rsidRPr="003771D0" w:rsidRDefault="0009599D" w:rsidP="00A930AA">
            <w:pPr>
              <w:pStyle w:val="TableParagraph"/>
              <w:spacing w:before="1"/>
              <w:ind w:right="21"/>
              <w:rPr>
                <w:b/>
              </w:rPr>
            </w:pPr>
            <w:r w:rsidRPr="003771D0">
              <w:rPr>
                <w:b/>
              </w:rPr>
              <w:t>distribuție a tipului</w:t>
            </w:r>
            <w:r w:rsidRPr="003771D0">
              <w:rPr>
                <w:b/>
                <w:spacing w:val="-52"/>
              </w:rPr>
              <w:t xml:space="preserve"> </w:t>
            </w:r>
            <w:r w:rsidRPr="003771D0">
              <w:rPr>
                <w:b/>
              </w:rPr>
              <w:t>de</w:t>
            </w:r>
            <w:r w:rsidRPr="003771D0">
              <w:rPr>
                <w:b/>
                <w:spacing w:val="-1"/>
              </w:rPr>
              <w:t xml:space="preserve"> </w:t>
            </w:r>
            <w:r w:rsidRPr="003771D0">
              <w:rPr>
                <w:b/>
              </w:rPr>
              <w:t>habitat</w:t>
            </w:r>
            <w:r w:rsidRPr="003771D0">
              <w:rPr>
                <w:b/>
                <w:spacing w:val="-3"/>
              </w:rPr>
              <w:t xml:space="preserve"> </w:t>
            </w:r>
            <w:r w:rsidRPr="003771D0">
              <w:rPr>
                <w:b/>
              </w:rPr>
              <w:t>(range)</w:t>
            </w:r>
          </w:p>
        </w:tc>
        <w:tc>
          <w:tcPr>
            <w:tcW w:w="2017" w:type="dxa"/>
          </w:tcPr>
          <w:p w14:paraId="496E7A7F" w14:textId="77777777" w:rsidR="0009599D" w:rsidRPr="003771D0" w:rsidRDefault="0009599D" w:rsidP="00A930AA">
            <w:pPr>
              <w:pStyle w:val="TableParagraph"/>
              <w:ind w:right="-32"/>
            </w:pPr>
            <w:r w:rsidRPr="003771D0">
              <w:t>Stabil (extinderea</w:t>
            </w:r>
            <w:r w:rsidRPr="003771D0">
              <w:rPr>
                <w:spacing w:val="1"/>
              </w:rPr>
              <w:t xml:space="preserve"> </w:t>
            </w:r>
            <w:r w:rsidRPr="003771D0">
              <w:t>echilibrează</w:t>
            </w:r>
            <w:r w:rsidRPr="003771D0">
              <w:rPr>
                <w:spacing w:val="1"/>
              </w:rPr>
              <w:t xml:space="preserve"> </w:t>
            </w:r>
            <w:r w:rsidRPr="003771D0">
              <w:t>pierderea) sau</w:t>
            </w:r>
            <w:r w:rsidRPr="003771D0">
              <w:rPr>
                <w:spacing w:val="1"/>
              </w:rPr>
              <w:t xml:space="preserve"> </w:t>
            </w:r>
            <w:r w:rsidRPr="003771D0">
              <w:t>în</w:t>
            </w:r>
            <w:r w:rsidRPr="003771D0">
              <w:rPr>
                <w:spacing w:val="1"/>
              </w:rPr>
              <w:t xml:space="preserve"> </w:t>
            </w:r>
            <w:r w:rsidRPr="003771D0">
              <w:t>creștere, dar creșterea</w:t>
            </w:r>
            <w:r w:rsidRPr="003771D0">
              <w:rPr>
                <w:spacing w:val="-52"/>
              </w:rPr>
              <w:t xml:space="preserve"> </w:t>
            </w:r>
            <w:r w:rsidRPr="003771D0">
              <w:t>nu</w:t>
            </w:r>
            <w:r w:rsidRPr="003771D0">
              <w:rPr>
                <w:spacing w:val="-1"/>
              </w:rPr>
              <w:t xml:space="preserve"> </w:t>
            </w:r>
            <w:r w:rsidRPr="003771D0">
              <w:t>este</w:t>
            </w:r>
            <w:r w:rsidRPr="003771D0">
              <w:rPr>
                <w:spacing w:val="1"/>
              </w:rPr>
              <w:t xml:space="preserve"> </w:t>
            </w:r>
            <w:r w:rsidRPr="003771D0">
              <w:t>mai mică</w:t>
            </w:r>
            <w:r w:rsidRPr="003771D0">
              <w:rPr>
                <w:spacing w:val="1"/>
              </w:rPr>
              <w:t xml:space="preserve"> </w:t>
            </w:r>
            <w:r w:rsidRPr="003771D0">
              <w:t>decât "intervalul</w:t>
            </w:r>
            <w:r w:rsidRPr="003771D0">
              <w:rPr>
                <w:spacing w:val="1"/>
              </w:rPr>
              <w:t xml:space="preserve"> </w:t>
            </w:r>
            <w:r w:rsidRPr="003771D0">
              <w:t>de</w:t>
            </w:r>
            <w:r w:rsidRPr="003771D0">
              <w:rPr>
                <w:spacing w:val="1"/>
              </w:rPr>
              <w:t xml:space="preserve"> </w:t>
            </w:r>
            <w:r w:rsidRPr="003771D0">
              <w:t>referință</w:t>
            </w:r>
            <w:r w:rsidRPr="003771D0">
              <w:rPr>
                <w:spacing w:val="-1"/>
              </w:rPr>
              <w:t xml:space="preserve"> </w:t>
            </w:r>
            <w:r w:rsidRPr="003771D0">
              <w:t>favorabil"</w:t>
            </w:r>
          </w:p>
        </w:tc>
        <w:tc>
          <w:tcPr>
            <w:tcW w:w="2017" w:type="dxa"/>
          </w:tcPr>
          <w:p w14:paraId="2E5E4968" w14:textId="77777777" w:rsidR="0009599D" w:rsidRPr="003771D0" w:rsidRDefault="0009599D" w:rsidP="00A930AA">
            <w:pPr>
              <w:pStyle w:val="TableParagraph"/>
              <w:spacing w:line="247" w:lineRule="exact"/>
              <w:ind w:right="2"/>
              <w:jc w:val="right"/>
            </w:pPr>
            <w:r w:rsidRPr="003771D0">
              <w:t>Orice</w:t>
            </w:r>
            <w:r w:rsidRPr="003771D0">
              <w:rPr>
                <w:spacing w:val="-4"/>
              </w:rPr>
              <w:t xml:space="preserve"> </w:t>
            </w:r>
            <w:r w:rsidRPr="003771D0">
              <w:t>altă</w:t>
            </w:r>
            <w:r w:rsidRPr="003771D0">
              <w:rPr>
                <w:spacing w:val="-2"/>
              </w:rPr>
              <w:t xml:space="preserve"> </w:t>
            </w:r>
            <w:r w:rsidRPr="003771D0">
              <w:t>combinație</w:t>
            </w:r>
          </w:p>
        </w:tc>
        <w:tc>
          <w:tcPr>
            <w:tcW w:w="2017" w:type="dxa"/>
          </w:tcPr>
          <w:p w14:paraId="7232EA81" w14:textId="77777777" w:rsidR="0009599D" w:rsidRPr="003771D0" w:rsidRDefault="0009599D" w:rsidP="00A930AA">
            <w:pPr>
              <w:pStyle w:val="TableParagraph"/>
              <w:ind w:left="106" w:right="54"/>
            </w:pPr>
            <w:r w:rsidRPr="003771D0">
              <w:t>Scădere</w:t>
            </w:r>
            <w:r w:rsidRPr="003771D0">
              <w:rPr>
                <w:spacing w:val="1"/>
              </w:rPr>
              <w:t xml:space="preserve"> </w:t>
            </w:r>
            <w:r w:rsidRPr="003771D0">
              <w:t>semnificativă:</w:t>
            </w:r>
            <w:r w:rsidRPr="003771D0">
              <w:rPr>
                <w:spacing w:val="1"/>
              </w:rPr>
              <w:t xml:space="preserve"> </w:t>
            </w:r>
            <w:r w:rsidRPr="003771D0">
              <w:t>(echivalent cu o</w:t>
            </w:r>
            <w:r w:rsidRPr="003771D0">
              <w:rPr>
                <w:spacing w:val="1"/>
              </w:rPr>
              <w:t xml:space="preserve"> </w:t>
            </w:r>
            <w:r w:rsidRPr="003771D0">
              <w:t>pierdere de mai mult</w:t>
            </w:r>
            <w:r w:rsidRPr="003771D0">
              <w:rPr>
                <w:spacing w:val="-52"/>
              </w:rPr>
              <w:t xml:space="preserve"> </w:t>
            </w:r>
            <w:r w:rsidRPr="003771D0">
              <w:t>de 1% pe an, față de</w:t>
            </w:r>
            <w:r w:rsidRPr="003771D0">
              <w:rPr>
                <w:spacing w:val="-52"/>
              </w:rPr>
              <w:t xml:space="preserve"> </w:t>
            </w:r>
            <w:r w:rsidRPr="003771D0">
              <w:t>termenul stabilit de</w:t>
            </w:r>
            <w:r w:rsidRPr="003771D0">
              <w:rPr>
                <w:spacing w:val="1"/>
              </w:rPr>
              <w:t xml:space="preserve"> </w:t>
            </w:r>
            <w:r w:rsidRPr="003771D0">
              <w:t>către statul membru</w:t>
            </w:r>
            <w:r w:rsidRPr="003771D0">
              <w:rPr>
                <w:spacing w:val="1"/>
              </w:rPr>
              <w:t xml:space="preserve"> </w:t>
            </w:r>
            <w:r w:rsidRPr="003771D0">
              <w:t>SAU</w:t>
            </w:r>
          </w:p>
          <w:p w14:paraId="265B3AE5" w14:textId="77777777" w:rsidR="0009599D" w:rsidRPr="003771D0" w:rsidRDefault="0009599D" w:rsidP="00A930AA">
            <w:pPr>
              <w:pStyle w:val="TableParagraph"/>
              <w:spacing w:line="252" w:lineRule="exact"/>
              <w:ind w:left="106" w:right="-7"/>
            </w:pPr>
            <w:r w:rsidRPr="003771D0">
              <w:t>o scădere mai mare</w:t>
            </w:r>
            <w:r w:rsidRPr="003771D0">
              <w:rPr>
                <w:spacing w:val="1"/>
              </w:rPr>
              <w:t xml:space="preserve"> </w:t>
            </w:r>
            <w:r w:rsidRPr="003771D0">
              <w:t>de 10% a intervalului</w:t>
            </w:r>
            <w:r w:rsidRPr="003771D0">
              <w:rPr>
                <w:spacing w:val="-52"/>
              </w:rPr>
              <w:t xml:space="preserve"> </w:t>
            </w:r>
            <w:r w:rsidRPr="003771D0">
              <w:t>de</w:t>
            </w:r>
            <w:r w:rsidRPr="003771D0">
              <w:rPr>
                <w:spacing w:val="-2"/>
              </w:rPr>
              <w:t xml:space="preserve"> </w:t>
            </w:r>
            <w:r w:rsidRPr="003771D0">
              <w:t>referință</w:t>
            </w:r>
            <w:r w:rsidRPr="003771D0">
              <w:rPr>
                <w:spacing w:val="-3"/>
              </w:rPr>
              <w:t xml:space="preserve"> </w:t>
            </w:r>
            <w:r w:rsidRPr="003771D0">
              <w:t>favorabil</w:t>
            </w:r>
          </w:p>
        </w:tc>
        <w:tc>
          <w:tcPr>
            <w:tcW w:w="1584" w:type="dxa"/>
          </w:tcPr>
          <w:p w14:paraId="14EF298D" w14:textId="77777777" w:rsidR="0009599D" w:rsidRPr="003771D0" w:rsidRDefault="0009599D" w:rsidP="00A930AA">
            <w:pPr>
              <w:pStyle w:val="TableParagraph"/>
              <w:ind w:left="106" w:right="18"/>
              <w:rPr>
                <w:i/>
              </w:rPr>
            </w:pPr>
            <w:r w:rsidRPr="003771D0">
              <w:rPr>
                <w:i/>
              </w:rPr>
              <w:t>Un număr de</w:t>
            </w:r>
            <w:r w:rsidRPr="003771D0">
              <w:rPr>
                <w:i/>
                <w:spacing w:val="1"/>
              </w:rPr>
              <w:t xml:space="preserve"> </w:t>
            </w:r>
            <w:r w:rsidRPr="003771D0">
              <w:rPr>
                <w:i/>
              </w:rPr>
              <w:t>informații</w:t>
            </w:r>
            <w:r w:rsidRPr="003771D0">
              <w:rPr>
                <w:i/>
                <w:spacing w:val="1"/>
              </w:rPr>
              <w:t xml:space="preserve"> </w:t>
            </w:r>
            <w:r w:rsidRPr="003771D0">
              <w:rPr>
                <w:i/>
              </w:rPr>
              <w:t>insuficiente, sau</w:t>
            </w:r>
            <w:r w:rsidRPr="003771D0">
              <w:rPr>
                <w:i/>
                <w:spacing w:val="-52"/>
              </w:rPr>
              <w:t xml:space="preserve"> </w:t>
            </w:r>
            <w:r w:rsidRPr="003771D0">
              <w:rPr>
                <w:i/>
              </w:rPr>
              <w:t>insuficient</w:t>
            </w:r>
            <w:r w:rsidRPr="003771D0">
              <w:rPr>
                <w:i/>
                <w:spacing w:val="1"/>
              </w:rPr>
              <w:t xml:space="preserve"> </w:t>
            </w:r>
            <w:r w:rsidRPr="003771D0">
              <w:rPr>
                <w:i/>
              </w:rPr>
              <w:t>disponibile</w:t>
            </w:r>
          </w:p>
        </w:tc>
      </w:tr>
      <w:tr w:rsidR="0009599D" w:rsidRPr="003771D0" w14:paraId="7D4A68D4" w14:textId="77777777" w:rsidTr="00A930AA">
        <w:trPr>
          <w:trHeight w:val="506"/>
        </w:trPr>
        <w:tc>
          <w:tcPr>
            <w:tcW w:w="1980" w:type="dxa"/>
          </w:tcPr>
          <w:p w14:paraId="172ED496" w14:textId="77777777" w:rsidR="0009599D" w:rsidRPr="003771D0" w:rsidRDefault="0009599D" w:rsidP="0070780E">
            <w:pPr>
              <w:pStyle w:val="TableParagraph"/>
              <w:ind w:right="16"/>
              <w:rPr>
                <w:b/>
              </w:rPr>
            </w:pPr>
            <w:r w:rsidRPr="003771D0">
              <w:rPr>
                <w:b/>
              </w:rPr>
              <w:t>Suprafața acoperită de tipul respectiv de</w:t>
            </w:r>
            <w:r w:rsidR="0070780E" w:rsidRPr="003771D0">
              <w:rPr>
                <w:b/>
              </w:rPr>
              <w:t xml:space="preserve"> habitat</w:t>
            </w:r>
            <w:r w:rsidR="0070780E" w:rsidRPr="003771D0">
              <w:rPr>
                <w:b/>
                <w:spacing w:val="-1"/>
              </w:rPr>
              <w:t xml:space="preserve"> </w:t>
            </w:r>
            <w:r w:rsidR="0070780E" w:rsidRPr="003771D0">
              <w:rPr>
                <w:b/>
              </w:rPr>
              <w:t>din</w:t>
            </w:r>
            <w:r w:rsidR="0070780E" w:rsidRPr="003771D0">
              <w:rPr>
                <w:b/>
                <w:spacing w:val="-2"/>
              </w:rPr>
              <w:t xml:space="preserve"> </w:t>
            </w:r>
            <w:r w:rsidR="0070780E" w:rsidRPr="003771D0">
              <w:rPr>
                <w:b/>
              </w:rPr>
              <w:t>range</w:t>
            </w:r>
          </w:p>
        </w:tc>
        <w:tc>
          <w:tcPr>
            <w:tcW w:w="2017" w:type="dxa"/>
          </w:tcPr>
          <w:p w14:paraId="7A9E3809" w14:textId="77777777" w:rsidR="0009599D" w:rsidRPr="003771D0" w:rsidRDefault="0009599D" w:rsidP="00A930AA">
            <w:pPr>
              <w:pStyle w:val="TableParagraph"/>
              <w:spacing w:line="246" w:lineRule="exact"/>
            </w:pPr>
            <w:r w:rsidRPr="003771D0">
              <w:t>Stabil</w:t>
            </w:r>
            <w:r w:rsidRPr="003771D0">
              <w:rPr>
                <w:spacing w:val="-3"/>
              </w:rPr>
              <w:t xml:space="preserve"> </w:t>
            </w:r>
            <w:r w:rsidRPr="003771D0">
              <w:t>(extinderea</w:t>
            </w:r>
          </w:p>
          <w:p w14:paraId="22D89E4B" w14:textId="77777777" w:rsidR="0009599D" w:rsidRPr="003771D0" w:rsidRDefault="0009599D" w:rsidP="00A930AA">
            <w:pPr>
              <w:pStyle w:val="TableParagraph"/>
              <w:spacing w:line="240" w:lineRule="exact"/>
            </w:pPr>
            <w:r w:rsidRPr="003771D0">
              <w:t>echilibrează</w:t>
            </w:r>
          </w:p>
        </w:tc>
        <w:tc>
          <w:tcPr>
            <w:tcW w:w="2017" w:type="dxa"/>
          </w:tcPr>
          <w:p w14:paraId="6B3D61CF" w14:textId="77777777" w:rsidR="0009599D" w:rsidRPr="003771D0" w:rsidRDefault="0009599D" w:rsidP="00A930AA">
            <w:pPr>
              <w:pStyle w:val="TableParagraph"/>
              <w:spacing w:line="247" w:lineRule="exact"/>
              <w:ind w:right="2"/>
              <w:jc w:val="right"/>
            </w:pPr>
            <w:r w:rsidRPr="003771D0">
              <w:t>Orice</w:t>
            </w:r>
            <w:r w:rsidRPr="003771D0">
              <w:rPr>
                <w:spacing w:val="-4"/>
              </w:rPr>
              <w:t xml:space="preserve"> </w:t>
            </w:r>
            <w:r w:rsidRPr="003771D0">
              <w:t>altă</w:t>
            </w:r>
            <w:r w:rsidRPr="003771D0">
              <w:rPr>
                <w:spacing w:val="-2"/>
              </w:rPr>
              <w:t xml:space="preserve"> </w:t>
            </w:r>
            <w:r w:rsidRPr="003771D0">
              <w:t>combinație</w:t>
            </w:r>
          </w:p>
        </w:tc>
        <w:tc>
          <w:tcPr>
            <w:tcW w:w="2017" w:type="dxa"/>
          </w:tcPr>
          <w:p w14:paraId="2CDE35BD" w14:textId="77777777" w:rsidR="0009599D" w:rsidRPr="003771D0" w:rsidRDefault="0009599D" w:rsidP="00A930AA">
            <w:pPr>
              <w:pStyle w:val="TableParagraph"/>
              <w:spacing w:line="246" w:lineRule="exact"/>
              <w:ind w:left="106"/>
            </w:pPr>
            <w:r w:rsidRPr="003771D0">
              <w:t>Reducerea</w:t>
            </w:r>
          </w:p>
          <w:p w14:paraId="63C07118" w14:textId="77777777" w:rsidR="0009599D" w:rsidRPr="003771D0" w:rsidRDefault="0009599D" w:rsidP="00A930AA">
            <w:pPr>
              <w:pStyle w:val="TableParagraph"/>
              <w:spacing w:line="240" w:lineRule="exact"/>
              <w:ind w:left="106"/>
            </w:pPr>
            <w:r w:rsidRPr="003771D0">
              <w:t>semnificativă</w:t>
            </w:r>
            <w:r w:rsidRPr="003771D0">
              <w:rPr>
                <w:spacing w:val="-3"/>
              </w:rPr>
              <w:t xml:space="preserve"> </w:t>
            </w:r>
            <w:r w:rsidRPr="003771D0">
              <w:t>a</w:t>
            </w:r>
            <w:r w:rsidRPr="003771D0">
              <w:rPr>
                <w:spacing w:val="-2"/>
              </w:rPr>
              <w:t xml:space="preserve"> </w:t>
            </w:r>
            <w:r w:rsidRPr="003771D0">
              <w:t>ariei</w:t>
            </w:r>
          </w:p>
        </w:tc>
        <w:tc>
          <w:tcPr>
            <w:tcW w:w="1584" w:type="dxa"/>
          </w:tcPr>
          <w:p w14:paraId="68BF92F6" w14:textId="77777777" w:rsidR="0009599D" w:rsidRPr="003771D0" w:rsidRDefault="0009599D" w:rsidP="00A930AA">
            <w:pPr>
              <w:pStyle w:val="TableParagraph"/>
              <w:spacing w:line="246" w:lineRule="exact"/>
              <w:ind w:left="106"/>
              <w:rPr>
                <w:i/>
              </w:rPr>
            </w:pPr>
            <w:r w:rsidRPr="003771D0">
              <w:rPr>
                <w:i/>
              </w:rPr>
              <w:t>Un</w:t>
            </w:r>
            <w:r w:rsidRPr="003771D0">
              <w:rPr>
                <w:i/>
                <w:spacing w:val="-1"/>
              </w:rPr>
              <w:t xml:space="preserve"> </w:t>
            </w:r>
            <w:r w:rsidRPr="003771D0">
              <w:rPr>
                <w:i/>
              </w:rPr>
              <w:t>număr de</w:t>
            </w:r>
          </w:p>
          <w:p w14:paraId="1875E121" w14:textId="77777777" w:rsidR="0009599D" w:rsidRPr="003771D0" w:rsidRDefault="0009599D" w:rsidP="00A930AA">
            <w:pPr>
              <w:pStyle w:val="TableParagraph"/>
              <w:spacing w:line="240" w:lineRule="exact"/>
              <w:ind w:left="106"/>
              <w:rPr>
                <w:i/>
              </w:rPr>
            </w:pPr>
            <w:r w:rsidRPr="003771D0">
              <w:rPr>
                <w:i/>
              </w:rPr>
              <w:t>informații</w:t>
            </w:r>
          </w:p>
        </w:tc>
      </w:tr>
      <w:tr w:rsidR="0009599D" w:rsidRPr="003771D0" w14:paraId="548D7FFE" w14:textId="77777777" w:rsidTr="00A930AA">
        <w:trPr>
          <w:trHeight w:val="4301"/>
        </w:trPr>
        <w:tc>
          <w:tcPr>
            <w:tcW w:w="1980" w:type="dxa"/>
          </w:tcPr>
          <w:p w14:paraId="2AA495E9" w14:textId="77777777" w:rsidR="0009599D" w:rsidRPr="003771D0" w:rsidRDefault="0009599D" w:rsidP="00A930AA">
            <w:pPr>
              <w:pStyle w:val="TableParagraph"/>
              <w:spacing w:line="251" w:lineRule="exact"/>
              <w:ind w:left="90" w:right="216"/>
              <w:jc w:val="center"/>
              <w:rPr>
                <w:b/>
              </w:rPr>
            </w:pPr>
          </w:p>
        </w:tc>
        <w:tc>
          <w:tcPr>
            <w:tcW w:w="2017" w:type="dxa"/>
          </w:tcPr>
          <w:p w14:paraId="0717E018" w14:textId="77777777" w:rsidR="0009599D" w:rsidRPr="003771D0" w:rsidRDefault="0009599D" w:rsidP="00A930AA">
            <w:pPr>
              <w:pStyle w:val="TableParagraph"/>
              <w:ind w:right="-29"/>
            </w:pPr>
            <w:r w:rsidRPr="003771D0">
              <w:t>pierderea) sau</w:t>
            </w:r>
            <w:r w:rsidRPr="003771D0">
              <w:rPr>
                <w:spacing w:val="1"/>
              </w:rPr>
              <w:t xml:space="preserve"> </w:t>
            </w:r>
            <w:r w:rsidRPr="003771D0">
              <w:t>în</w:t>
            </w:r>
            <w:r w:rsidRPr="003771D0">
              <w:rPr>
                <w:spacing w:val="1"/>
              </w:rPr>
              <w:t xml:space="preserve"> </w:t>
            </w:r>
            <w:r w:rsidRPr="003771D0">
              <w:t>creștere, dar creșterea</w:t>
            </w:r>
            <w:r w:rsidRPr="003771D0">
              <w:rPr>
                <w:spacing w:val="-52"/>
              </w:rPr>
              <w:t xml:space="preserve"> </w:t>
            </w:r>
            <w:r w:rsidRPr="003771D0">
              <w:t>nu</w:t>
            </w:r>
            <w:r w:rsidRPr="003771D0">
              <w:rPr>
                <w:spacing w:val="-1"/>
              </w:rPr>
              <w:t xml:space="preserve"> </w:t>
            </w:r>
            <w:r w:rsidRPr="003771D0">
              <w:t>este</w:t>
            </w:r>
            <w:r w:rsidRPr="003771D0">
              <w:rPr>
                <w:spacing w:val="1"/>
              </w:rPr>
              <w:t xml:space="preserve"> </w:t>
            </w:r>
            <w:r w:rsidRPr="003771D0">
              <w:t>mai mică</w:t>
            </w:r>
            <w:r w:rsidRPr="003771D0">
              <w:rPr>
                <w:spacing w:val="1"/>
              </w:rPr>
              <w:t xml:space="preserve"> </w:t>
            </w:r>
            <w:r w:rsidRPr="003771D0">
              <w:t>decât "suprafața de</w:t>
            </w:r>
            <w:r w:rsidRPr="003771D0">
              <w:rPr>
                <w:spacing w:val="1"/>
              </w:rPr>
              <w:t xml:space="preserve"> </w:t>
            </w:r>
            <w:r w:rsidRPr="003771D0">
              <w:t>referință favorabilă"</w:t>
            </w:r>
            <w:r w:rsidRPr="003771D0">
              <w:rPr>
                <w:spacing w:val="1"/>
              </w:rPr>
              <w:t xml:space="preserve"> </w:t>
            </w:r>
            <w:r w:rsidRPr="003771D0">
              <w:t>și</w:t>
            </w:r>
          </w:p>
          <w:p w14:paraId="39FCA108" w14:textId="77777777" w:rsidR="0009599D" w:rsidRPr="003771D0" w:rsidRDefault="0009599D" w:rsidP="00A930AA">
            <w:pPr>
              <w:pStyle w:val="TableParagraph"/>
              <w:ind w:right="-51"/>
            </w:pPr>
            <w:r w:rsidRPr="003771D0">
              <w:t>fără modificări</w:t>
            </w:r>
            <w:r w:rsidRPr="003771D0">
              <w:rPr>
                <w:spacing w:val="1"/>
              </w:rPr>
              <w:t xml:space="preserve"> </w:t>
            </w:r>
            <w:r w:rsidRPr="003771D0">
              <w:t>semnificative</w:t>
            </w:r>
            <w:r w:rsidRPr="003771D0">
              <w:rPr>
                <w:spacing w:val="1"/>
              </w:rPr>
              <w:t xml:space="preserve"> </w:t>
            </w:r>
            <w:r w:rsidRPr="003771D0">
              <w:t>în</w:t>
            </w:r>
            <w:r w:rsidRPr="003771D0">
              <w:rPr>
                <w:spacing w:val="1"/>
              </w:rPr>
              <w:t xml:space="preserve"> </w:t>
            </w:r>
            <w:r w:rsidRPr="003771D0">
              <w:t>modelul de distribuție</w:t>
            </w:r>
            <w:r w:rsidRPr="003771D0">
              <w:rPr>
                <w:spacing w:val="-52"/>
              </w:rPr>
              <w:t xml:space="preserve"> </w:t>
            </w:r>
            <w:r w:rsidRPr="003771D0">
              <w:t>din range (dacă există</w:t>
            </w:r>
            <w:r w:rsidRPr="003771D0">
              <w:rPr>
                <w:spacing w:val="-52"/>
              </w:rPr>
              <w:t xml:space="preserve"> </w:t>
            </w:r>
            <w:r w:rsidRPr="003771D0">
              <w:t>date</w:t>
            </w:r>
            <w:r w:rsidRPr="003771D0">
              <w:rPr>
                <w:spacing w:val="-1"/>
              </w:rPr>
              <w:t xml:space="preserve"> </w:t>
            </w:r>
            <w:r w:rsidRPr="003771D0">
              <w:t>disponibile)</w:t>
            </w:r>
          </w:p>
        </w:tc>
        <w:tc>
          <w:tcPr>
            <w:tcW w:w="2017" w:type="dxa"/>
          </w:tcPr>
          <w:p w14:paraId="2BBA7F1B" w14:textId="77777777" w:rsidR="0009599D" w:rsidRPr="003771D0" w:rsidRDefault="0009599D" w:rsidP="00A930AA">
            <w:pPr>
              <w:pStyle w:val="TableParagraph"/>
              <w:rPr>
                <w:sz w:val="20"/>
              </w:rPr>
            </w:pPr>
          </w:p>
        </w:tc>
        <w:tc>
          <w:tcPr>
            <w:tcW w:w="2017" w:type="dxa"/>
          </w:tcPr>
          <w:p w14:paraId="2CAB086D" w14:textId="77777777" w:rsidR="0009599D" w:rsidRPr="003771D0" w:rsidRDefault="0009599D" w:rsidP="00A930AA">
            <w:pPr>
              <w:pStyle w:val="TableParagraph"/>
              <w:ind w:left="106" w:right="23"/>
            </w:pPr>
            <w:r w:rsidRPr="003771D0">
              <w:t>(echivalent cu o</w:t>
            </w:r>
            <w:r w:rsidRPr="003771D0">
              <w:rPr>
                <w:spacing w:val="1"/>
              </w:rPr>
              <w:t xml:space="preserve"> </w:t>
            </w:r>
            <w:r w:rsidRPr="003771D0">
              <w:t>pierdere de mai mult</w:t>
            </w:r>
            <w:r w:rsidRPr="003771D0">
              <w:rPr>
                <w:spacing w:val="-52"/>
              </w:rPr>
              <w:t xml:space="preserve"> </w:t>
            </w:r>
            <w:r w:rsidRPr="003771D0">
              <w:t>de 1% pe an, valoare</w:t>
            </w:r>
            <w:r w:rsidRPr="003771D0">
              <w:rPr>
                <w:spacing w:val="-52"/>
              </w:rPr>
              <w:t xml:space="preserve"> </w:t>
            </w:r>
            <w:r w:rsidRPr="003771D0">
              <w:t>indicată de statul</w:t>
            </w:r>
            <w:r w:rsidRPr="003771D0">
              <w:rPr>
                <w:spacing w:val="1"/>
              </w:rPr>
              <w:t xml:space="preserve"> </w:t>
            </w:r>
            <w:r w:rsidRPr="003771D0">
              <w:t>membru și justificată</w:t>
            </w:r>
            <w:r w:rsidRPr="003771D0">
              <w:rPr>
                <w:spacing w:val="-52"/>
              </w:rPr>
              <w:t xml:space="preserve"> </w:t>
            </w:r>
            <w:r w:rsidRPr="003771D0">
              <w:t>în mod</w:t>
            </w:r>
            <w:r w:rsidRPr="003771D0">
              <w:rPr>
                <w:spacing w:val="1"/>
              </w:rPr>
              <w:t xml:space="preserve"> </w:t>
            </w:r>
            <w:r w:rsidRPr="003771D0">
              <w:t>corespunzător,</w:t>
            </w:r>
          </w:p>
          <w:p w14:paraId="386EFA5E" w14:textId="77777777" w:rsidR="0009599D" w:rsidRPr="003771D0" w:rsidRDefault="0009599D" w:rsidP="00A930AA">
            <w:pPr>
              <w:pStyle w:val="TableParagraph"/>
              <w:ind w:left="106"/>
            </w:pPr>
            <w:r w:rsidRPr="003771D0">
              <w:t>SAU</w:t>
            </w:r>
          </w:p>
          <w:p w14:paraId="1487A78A" w14:textId="77777777" w:rsidR="0009599D" w:rsidRPr="003771D0" w:rsidRDefault="0009599D" w:rsidP="00A930AA">
            <w:pPr>
              <w:pStyle w:val="TableParagraph"/>
              <w:ind w:left="106" w:right="-50"/>
            </w:pPr>
            <w:r w:rsidRPr="003771D0">
              <w:t>pierderi majore</w:t>
            </w:r>
            <w:r w:rsidRPr="003771D0">
              <w:rPr>
                <w:spacing w:val="1"/>
              </w:rPr>
              <w:t xml:space="preserve"> </w:t>
            </w:r>
            <w:r w:rsidRPr="003771D0">
              <w:t>în</w:t>
            </w:r>
            <w:r w:rsidRPr="003771D0">
              <w:rPr>
                <w:spacing w:val="1"/>
              </w:rPr>
              <w:t xml:space="preserve"> </w:t>
            </w:r>
            <w:r w:rsidRPr="003771D0">
              <w:t>modelul de distribuție</w:t>
            </w:r>
            <w:r w:rsidRPr="003771D0">
              <w:rPr>
                <w:spacing w:val="-52"/>
              </w:rPr>
              <w:t xml:space="preserve"> </w:t>
            </w:r>
            <w:r w:rsidRPr="003771D0">
              <w:t>al intervalului</w:t>
            </w:r>
          </w:p>
          <w:p w14:paraId="3333263C" w14:textId="77777777" w:rsidR="0009599D" w:rsidRPr="003771D0" w:rsidRDefault="0009599D" w:rsidP="00A930AA">
            <w:pPr>
              <w:pStyle w:val="TableParagraph"/>
              <w:spacing w:line="252" w:lineRule="exact"/>
              <w:ind w:left="106"/>
            </w:pPr>
            <w:r w:rsidRPr="003771D0">
              <w:t>SAU</w:t>
            </w:r>
          </w:p>
          <w:p w14:paraId="4C4EA21D" w14:textId="77777777" w:rsidR="0009599D" w:rsidRPr="003771D0" w:rsidRDefault="0009599D" w:rsidP="00A930AA">
            <w:pPr>
              <w:pStyle w:val="TableParagraph"/>
              <w:ind w:left="106" w:right="12"/>
            </w:pPr>
            <w:r w:rsidRPr="003771D0">
              <w:t>o reducere mai mare</w:t>
            </w:r>
            <w:r w:rsidRPr="003771D0">
              <w:rPr>
                <w:spacing w:val="1"/>
              </w:rPr>
              <w:t xml:space="preserve"> </w:t>
            </w:r>
            <w:r w:rsidRPr="003771D0">
              <w:t>de 10% din "</w:t>
            </w:r>
            <w:r w:rsidRPr="003771D0">
              <w:rPr>
                <w:spacing w:val="1"/>
              </w:rPr>
              <w:t xml:space="preserve"> </w:t>
            </w:r>
            <w:r w:rsidRPr="003771D0">
              <w:t>suprafața de referință</w:t>
            </w:r>
            <w:r w:rsidRPr="003771D0">
              <w:rPr>
                <w:spacing w:val="-52"/>
              </w:rPr>
              <w:t xml:space="preserve"> </w:t>
            </w:r>
            <w:r w:rsidRPr="003771D0">
              <w:t>favorabilă"</w:t>
            </w:r>
          </w:p>
        </w:tc>
        <w:tc>
          <w:tcPr>
            <w:tcW w:w="1584" w:type="dxa"/>
          </w:tcPr>
          <w:p w14:paraId="7FAE15F6" w14:textId="77777777" w:rsidR="0009599D" w:rsidRPr="003771D0" w:rsidRDefault="0009599D" w:rsidP="00A930AA">
            <w:pPr>
              <w:pStyle w:val="TableParagraph"/>
              <w:ind w:left="106" w:right="18"/>
              <w:rPr>
                <w:i/>
              </w:rPr>
            </w:pPr>
            <w:r w:rsidRPr="003771D0">
              <w:rPr>
                <w:i/>
              </w:rPr>
              <w:t>insuficiente, sau</w:t>
            </w:r>
            <w:r w:rsidRPr="003771D0">
              <w:rPr>
                <w:i/>
                <w:spacing w:val="-52"/>
              </w:rPr>
              <w:t xml:space="preserve"> </w:t>
            </w:r>
            <w:r w:rsidRPr="003771D0">
              <w:rPr>
                <w:i/>
              </w:rPr>
              <w:t>insuficient</w:t>
            </w:r>
            <w:r w:rsidRPr="003771D0">
              <w:rPr>
                <w:i/>
                <w:spacing w:val="1"/>
              </w:rPr>
              <w:t xml:space="preserve"> </w:t>
            </w:r>
            <w:r w:rsidRPr="003771D0">
              <w:rPr>
                <w:i/>
              </w:rPr>
              <w:t>disponibile</w:t>
            </w:r>
          </w:p>
        </w:tc>
      </w:tr>
      <w:tr w:rsidR="0009599D" w:rsidRPr="003771D0" w14:paraId="31ABCD41" w14:textId="77777777" w:rsidTr="00A930AA">
        <w:trPr>
          <w:trHeight w:val="2277"/>
        </w:trPr>
        <w:tc>
          <w:tcPr>
            <w:tcW w:w="1980" w:type="dxa"/>
          </w:tcPr>
          <w:p w14:paraId="53741667" w14:textId="77777777" w:rsidR="0009599D" w:rsidRPr="003771D0" w:rsidRDefault="0009599D" w:rsidP="00A930AA">
            <w:pPr>
              <w:pStyle w:val="TableParagraph"/>
              <w:ind w:right="-29"/>
            </w:pPr>
            <w:r w:rsidRPr="003771D0">
              <w:rPr>
                <w:b/>
              </w:rPr>
              <w:t>Structura și funcțiile specifice habitatului (inclusiv specii tipice</w:t>
            </w:r>
            <w:r w:rsidRPr="003771D0">
              <w:t>)</w:t>
            </w:r>
          </w:p>
        </w:tc>
        <w:tc>
          <w:tcPr>
            <w:tcW w:w="2017" w:type="dxa"/>
          </w:tcPr>
          <w:p w14:paraId="278C532C" w14:textId="77777777" w:rsidR="0009599D" w:rsidRPr="003771D0" w:rsidRDefault="0009599D" w:rsidP="00A930AA">
            <w:pPr>
              <w:pStyle w:val="TableParagraph"/>
              <w:ind w:right="65"/>
            </w:pPr>
            <w:r w:rsidRPr="003771D0">
              <w:t>Structura și funcțiile</w:t>
            </w:r>
            <w:r w:rsidRPr="003771D0">
              <w:rPr>
                <w:spacing w:val="-52"/>
              </w:rPr>
              <w:t xml:space="preserve"> </w:t>
            </w:r>
            <w:r w:rsidRPr="003771D0">
              <w:t>(inclusiv speciile</w:t>
            </w:r>
            <w:r w:rsidRPr="003771D0">
              <w:rPr>
                <w:spacing w:val="1"/>
              </w:rPr>
              <w:t xml:space="preserve"> </w:t>
            </w:r>
            <w:r w:rsidRPr="003771D0">
              <w:t>tipice), trebuie să fie</w:t>
            </w:r>
            <w:r w:rsidRPr="003771D0">
              <w:rPr>
                <w:spacing w:val="-52"/>
              </w:rPr>
              <w:t xml:space="preserve"> </w:t>
            </w:r>
            <w:r w:rsidRPr="003771D0">
              <w:t>în stare bună de</w:t>
            </w:r>
            <w:r w:rsidRPr="003771D0">
              <w:rPr>
                <w:spacing w:val="1"/>
              </w:rPr>
              <w:t xml:space="preserve"> </w:t>
            </w:r>
            <w:r w:rsidRPr="003771D0">
              <w:t>conservare; să nu fie</w:t>
            </w:r>
            <w:r w:rsidRPr="003771D0">
              <w:rPr>
                <w:spacing w:val="-52"/>
              </w:rPr>
              <w:t xml:space="preserve"> </w:t>
            </w:r>
            <w:r w:rsidRPr="003771D0">
              <w:t>deteriorate</w:t>
            </w:r>
            <w:r w:rsidRPr="003771D0">
              <w:rPr>
                <w:spacing w:val="1"/>
              </w:rPr>
              <w:t xml:space="preserve"> </w:t>
            </w:r>
            <w:r w:rsidRPr="003771D0">
              <w:t>semnificativ/fără</w:t>
            </w:r>
            <w:r w:rsidRPr="003771D0">
              <w:rPr>
                <w:spacing w:val="1"/>
              </w:rPr>
              <w:t xml:space="preserve"> </w:t>
            </w:r>
            <w:r w:rsidRPr="003771D0">
              <w:t>presiuni</w:t>
            </w:r>
          </w:p>
        </w:tc>
        <w:tc>
          <w:tcPr>
            <w:tcW w:w="2017" w:type="dxa"/>
          </w:tcPr>
          <w:p w14:paraId="4D5F8C16" w14:textId="77777777" w:rsidR="0009599D" w:rsidRPr="003771D0" w:rsidRDefault="0009599D" w:rsidP="00A930AA">
            <w:pPr>
              <w:pStyle w:val="TableParagraph"/>
              <w:spacing w:line="247" w:lineRule="exact"/>
              <w:ind w:right="2"/>
              <w:jc w:val="right"/>
            </w:pPr>
            <w:r w:rsidRPr="003771D0">
              <w:t>Orice</w:t>
            </w:r>
            <w:r w:rsidRPr="003771D0">
              <w:rPr>
                <w:spacing w:val="-4"/>
              </w:rPr>
              <w:t xml:space="preserve"> </w:t>
            </w:r>
            <w:r w:rsidRPr="003771D0">
              <w:t>altă</w:t>
            </w:r>
            <w:r w:rsidRPr="003771D0">
              <w:rPr>
                <w:spacing w:val="-2"/>
              </w:rPr>
              <w:t xml:space="preserve"> </w:t>
            </w:r>
            <w:r w:rsidRPr="003771D0">
              <w:t>combinație</w:t>
            </w:r>
          </w:p>
        </w:tc>
        <w:tc>
          <w:tcPr>
            <w:tcW w:w="2017" w:type="dxa"/>
          </w:tcPr>
          <w:p w14:paraId="658DFE4F" w14:textId="77777777" w:rsidR="0009599D" w:rsidRPr="003771D0" w:rsidRDefault="0009599D" w:rsidP="00A930AA">
            <w:pPr>
              <w:pStyle w:val="TableParagraph"/>
              <w:ind w:left="106" w:right="11"/>
            </w:pPr>
            <w:r w:rsidRPr="003771D0">
              <w:t>Mai mult de 25% din</w:t>
            </w:r>
            <w:r w:rsidRPr="003771D0">
              <w:rPr>
                <w:spacing w:val="-52"/>
              </w:rPr>
              <w:t xml:space="preserve"> </w:t>
            </w:r>
            <w:r w:rsidRPr="003771D0">
              <w:t>suprafață este</w:t>
            </w:r>
            <w:r w:rsidRPr="003771D0">
              <w:rPr>
                <w:spacing w:val="1"/>
              </w:rPr>
              <w:t xml:space="preserve"> </w:t>
            </w:r>
            <w:r w:rsidRPr="003771D0">
              <w:t>nefavorabilă din</w:t>
            </w:r>
            <w:r w:rsidRPr="003771D0">
              <w:rPr>
                <w:spacing w:val="1"/>
              </w:rPr>
              <w:t xml:space="preserve"> </w:t>
            </w:r>
            <w:r w:rsidRPr="003771D0">
              <w:t>punct de vedere al</w:t>
            </w:r>
            <w:r w:rsidRPr="003771D0">
              <w:rPr>
                <w:spacing w:val="1"/>
              </w:rPr>
              <w:t xml:space="preserve"> </w:t>
            </w:r>
            <w:r w:rsidRPr="003771D0">
              <w:t>structurilor</w:t>
            </w:r>
            <w:r w:rsidRPr="003771D0">
              <w:rPr>
                <w:spacing w:val="1"/>
              </w:rPr>
              <w:t xml:space="preserve"> </w:t>
            </w:r>
            <w:r w:rsidRPr="003771D0">
              <w:t>și</w:t>
            </w:r>
            <w:r w:rsidRPr="003771D0">
              <w:rPr>
                <w:spacing w:val="1"/>
              </w:rPr>
              <w:t xml:space="preserve"> </w:t>
            </w:r>
            <w:r w:rsidRPr="003771D0">
              <w:t>funcțiilor specifice</w:t>
            </w:r>
            <w:r w:rsidRPr="003771D0">
              <w:rPr>
                <w:spacing w:val="1"/>
              </w:rPr>
              <w:t xml:space="preserve"> </w:t>
            </w:r>
            <w:r w:rsidRPr="003771D0">
              <w:t>(inclusiv specii</w:t>
            </w:r>
            <w:r w:rsidRPr="003771D0">
              <w:rPr>
                <w:spacing w:val="1"/>
              </w:rPr>
              <w:t xml:space="preserve"> </w:t>
            </w:r>
            <w:r w:rsidRPr="003771D0">
              <w:t>tipice)</w:t>
            </w:r>
            <w:r w:rsidRPr="003771D0">
              <w:rPr>
                <w:vertAlign w:val="superscript"/>
              </w:rPr>
              <w:t>2</w:t>
            </w:r>
          </w:p>
        </w:tc>
        <w:tc>
          <w:tcPr>
            <w:tcW w:w="1584" w:type="dxa"/>
          </w:tcPr>
          <w:p w14:paraId="13620022" w14:textId="77777777" w:rsidR="0009599D" w:rsidRPr="003771D0" w:rsidRDefault="0009599D" w:rsidP="00A930AA">
            <w:pPr>
              <w:pStyle w:val="TableParagraph"/>
              <w:ind w:left="106" w:right="18"/>
              <w:rPr>
                <w:i/>
              </w:rPr>
            </w:pPr>
            <w:r w:rsidRPr="003771D0">
              <w:rPr>
                <w:i/>
              </w:rPr>
              <w:t>Un număr de</w:t>
            </w:r>
            <w:r w:rsidRPr="003771D0">
              <w:rPr>
                <w:i/>
                <w:spacing w:val="1"/>
              </w:rPr>
              <w:t xml:space="preserve"> </w:t>
            </w:r>
            <w:r w:rsidRPr="003771D0">
              <w:rPr>
                <w:i/>
              </w:rPr>
              <w:t>informații</w:t>
            </w:r>
            <w:r w:rsidRPr="003771D0">
              <w:rPr>
                <w:i/>
                <w:spacing w:val="1"/>
              </w:rPr>
              <w:t xml:space="preserve"> </w:t>
            </w:r>
            <w:r w:rsidRPr="003771D0">
              <w:rPr>
                <w:i/>
              </w:rPr>
              <w:t>insuficiente, sau</w:t>
            </w:r>
            <w:r w:rsidRPr="003771D0">
              <w:rPr>
                <w:i/>
                <w:spacing w:val="-52"/>
              </w:rPr>
              <w:t xml:space="preserve"> </w:t>
            </w:r>
            <w:r w:rsidRPr="003771D0">
              <w:rPr>
                <w:i/>
              </w:rPr>
              <w:t>insuficient</w:t>
            </w:r>
            <w:r w:rsidRPr="003771D0">
              <w:rPr>
                <w:i/>
                <w:spacing w:val="1"/>
              </w:rPr>
              <w:t xml:space="preserve"> </w:t>
            </w:r>
            <w:r w:rsidRPr="003771D0">
              <w:rPr>
                <w:i/>
              </w:rPr>
              <w:t>disponibile</w:t>
            </w:r>
          </w:p>
        </w:tc>
      </w:tr>
      <w:tr w:rsidR="0009599D" w:rsidRPr="003771D0" w14:paraId="76A9E2E8" w14:textId="77777777" w:rsidTr="00A930AA">
        <w:trPr>
          <w:trHeight w:val="2277"/>
        </w:trPr>
        <w:tc>
          <w:tcPr>
            <w:tcW w:w="1980" w:type="dxa"/>
          </w:tcPr>
          <w:p w14:paraId="26EDF33B" w14:textId="77777777" w:rsidR="0009599D" w:rsidRPr="003771D0" w:rsidRDefault="0009599D" w:rsidP="0070780E">
            <w:pPr>
              <w:pStyle w:val="TableParagraph"/>
              <w:ind w:right="153"/>
              <w:jc w:val="both"/>
              <w:rPr>
                <w:b/>
              </w:rPr>
            </w:pPr>
            <w:r w:rsidRPr="003771D0">
              <w:rPr>
                <w:b/>
              </w:rPr>
              <w:t>Perspective (în ceea</w:t>
            </w:r>
            <w:r w:rsidRPr="003771D0">
              <w:rPr>
                <w:b/>
                <w:spacing w:val="1"/>
              </w:rPr>
              <w:t xml:space="preserve"> </w:t>
            </w:r>
            <w:r w:rsidRPr="003771D0">
              <w:rPr>
                <w:b/>
              </w:rPr>
              <w:t>ce privete tipul, aria</w:t>
            </w:r>
            <w:r w:rsidRPr="003771D0">
              <w:rPr>
                <w:b/>
                <w:spacing w:val="-52"/>
              </w:rPr>
              <w:t xml:space="preserve"> </w:t>
            </w:r>
            <w:r w:rsidRPr="003771D0">
              <w:rPr>
                <w:b/>
              </w:rPr>
              <w:t>de acoperire;</w:t>
            </w:r>
          </w:p>
          <w:p w14:paraId="1198F641" w14:textId="77777777" w:rsidR="0009599D" w:rsidRPr="003771D0" w:rsidRDefault="0009599D" w:rsidP="0070780E">
            <w:pPr>
              <w:pStyle w:val="TableParagraph"/>
              <w:ind w:right="153"/>
              <w:jc w:val="both"/>
              <w:rPr>
                <w:b/>
              </w:rPr>
            </w:pPr>
            <w:r w:rsidRPr="003771D0">
              <w:rPr>
                <w:b/>
              </w:rPr>
              <w:t>structurile și funcții</w:t>
            </w:r>
            <w:r w:rsidRPr="003771D0">
              <w:rPr>
                <w:b/>
                <w:spacing w:val="-52"/>
              </w:rPr>
              <w:t xml:space="preserve"> </w:t>
            </w:r>
            <w:r w:rsidRPr="003771D0">
              <w:rPr>
                <w:b/>
              </w:rPr>
              <w:t>specifice)</w:t>
            </w:r>
          </w:p>
        </w:tc>
        <w:tc>
          <w:tcPr>
            <w:tcW w:w="2017" w:type="dxa"/>
          </w:tcPr>
          <w:p w14:paraId="342BCA98" w14:textId="77777777" w:rsidR="0009599D" w:rsidRPr="003771D0" w:rsidRDefault="0009599D" w:rsidP="00A930AA">
            <w:pPr>
              <w:pStyle w:val="TableParagraph"/>
              <w:ind w:right="10"/>
            </w:pPr>
            <w:r w:rsidRPr="003771D0">
              <w:t>Perspectivele pentru</w:t>
            </w:r>
            <w:r w:rsidRPr="003771D0">
              <w:rPr>
                <w:spacing w:val="1"/>
              </w:rPr>
              <w:t xml:space="preserve"> </w:t>
            </w:r>
            <w:r w:rsidRPr="003771D0">
              <w:t>habitate sunt</w:t>
            </w:r>
            <w:r w:rsidRPr="003771D0">
              <w:rPr>
                <w:spacing w:val="1"/>
              </w:rPr>
              <w:t xml:space="preserve"> </w:t>
            </w:r>
            <w:r w:rsidRPr="003771D0">
              <w:t>excelente / bune, nici</w:t>
            </w:r>
            <w:r w:rsidRPr="003771D0">
              <w:rPr>
                <w:spacing w:val="-52"/>
              </w:rPr>
              <w:t xml:space="preserve"> </w:t>
            </w:r>
            <w:r w:rsidRPr="003771D0">
              <w:t>un impact</w:t>
            </w:r>
            <w:r w:rsidRPr="003771D0">
              <w:rPr>
                <w:spacing w:val="1"/>
              </w:rPr>
              <w:t xml:space="preserve"> </w:t>
            </w:r>
            <w:r w:rsidRPr="003771D0">
              <w:t>semnificativ, nici o</w:t>
            </w:r>
            <w:r w:rsidRPr="003771D0">
              <w:rPr>
                <w:spacing w:val="1"/>
              </w:rPr>
              <w:t xml:space="preserve"> </w:t>
            </w:r>
            <w:r w:rsidRPr="003771D0">
              <w:t>amenințare la adresa</w:t>
            </w:r>
            <w:r w:rsidRPr="003771D0">
              <w:rPr>
                <w:spacing w:val="1"/>
              </w:rPr>
              <w:t xml:space="preserve"> </w:t>
            </w:r>
            <w:r w:rsidRPr="003771D0">
              <w:t>lor; viabilitatea pe</w:t>
            </w:r>
            <w:r w:rsidRPr="003771D0">
              <w:rPr>
                <w:spacing w:val="1"/>
              </w:rPr>
              <w:t xml:space="preserve"> </w:t>
            </w:r>
            <w:r w:rsidRPr="003771D0">
              <w:t>termen lung</w:t>
            </w:r>
            <w:r w:rsidRPr="003771D0">
              <w:rPr>
                <w:spacing w:val="-3"/>
              </w:rPr>
              <w:t xml:space="preserve"> </w:t>
            </w:r>
            <w:r w:rsidRPr="003771D0">
              <w:t>este</w:t>
            </w:r>
          </w:p>
          <w:p w14:paraId="0F07FECA" w14:textId="77777777" w:rsidR="0009599D" w:rsidRPr="003771D0" w:rsidRDefault="0009599D" w:rsidP="00A930AA">
            <w:pPr>
              <w:pStyle w:val="TableParagraph"/>
              <w:spacing w:line="238" w:lineRule="exact"/>
            </w:pPr>
            <w:r w:rsidRPr="003771D0">
              <w:t>asigurată</w:t>
            </w:r>
          </w:p>
        </w:tc>
        <w:tc>
          <w:tcPr>
            <w:tcW w:w="2017" w:type="dxa"/>
          </w:tcPr>
          <w:p w14:paraId="40C64F7E" w14:textId="77777777" w:rsidR="0009599D" w:rsidRPr="003771D0" w:rsidRDefault="0009599D" w:rsidP="00A930AA">
            <w:pPr>
              <w:pStyle w:val="TableParagraph"/>
              <w:spacing w:line="247" w:lineRule="exact"/>
              <w:ind w:right="2"/>
              <w:jc w:val="right"/>
            </w:pPr>
            <w:r w:rsidRPr="003771D0">
              <w:t>Orice</w:t>
            </w:r>
            <w:r w:rsidRPr="003771D0">
              <w:rPr>
                <w:spacing w:val="-4"/>
              </w:rPr>
              <w:t xml:space="preserve"> </w:t>
            </w:r>
            <w:r w:rsidRPr="003771D0">
              <w:t>altă</w:t>
            </w:r>
            <w:r w:rsidRPr="003771D0">
              <w:rPr>
                <w:spacing w:val="-2"/>
              </w:rPr>
              <w:t xml:space="preserve"> </w:t>
            </w:r>
            <w:r w:rsidRPr="003771D0">
              <w:t>combinație</w:t>
            </w:r>
          </w:p>
        </w:tc>
        <w:tc>
          <w:tcPr>
            <w:tcW w:w="2017" w:type="dxa"/>
          </w:tcPr>
          <w:p w14:paraId="12E472E3" w14:textId="77777777" w:rsidR="0009599D" w:rsidRPr="003771D0" w:rsidRDefault="0009599D" w:rsidP="00A930AA">
            <w:pPr>
              <w:pStyle w:val="TableParagraph"/>
              <w:ind w:left="106" w:right="-50"/>
            </w:pPr>
            <w:r w:rsidRPr="003771D0">
              <w:t>Perspectivele pentru</w:t>
            </w:r>
            <w:r w:rsidRPr="003771D0">
              <w:rPr>
                <w:spacing w:val="1"/>
              </w:rPr>
              <w:t xml:space="preserve"> </w:t>
            </w:r>
            <w:r w:rsidRPr="003771D0">
              <w:t>habitate sunt</w:t>
            </w:r>
            <w:r w:rsidRPr="003771D0">
              <w:rPr>
                <w:spacing w:val="1"/>
              </w:rPr>
              <w:t xml:space="preserve"> </w:t>
            </w:r>
            <w:r w:rsidRPr="003771D0">
              <w:t>îngrijorătoare, există</w:t>
            </w:r>
            <w:r w:rsidRPr="003771D0">
              <w:rPr>
                <w:spacing w:val="1"/>
              </w:rPr>
              <w:t xml:space="preserve"> </w:t>
            </w:r>
            <w:r w:rsidRPr="003771D0">
              <w:t>impact negativ, sunt</w:t>
            </w:r>
            <w:r w:rsidRPr="003771D0">
              <w:rPr>
                <w:spacing w:val="1"/>
              </w:rPr>
              <w:t xml:space="preserve"> </w:t>
            </w:r>
            <w:r w:rsidRPr="003771D0">
              <w:t>de asteptat amenințări</w:t>
            </w:r>
            <w:r w:rsidRPr="003771D0">
              <w:rPr>
                <w:spacing w:val="-52"/>
              </w:rPr>
              <w:t xml:space="preserve"> </w:t>
            </w:r>
            <w:r w:rsidRPr="003771D0">
              <w:t>grave; nu se asigură</w:t>
            </w:r>
            <w:r w:rsidRPr="003771D0">
              <w:rPr>
                <w:spacing w:val="1"/>
              </w:rPr>
              <w:t xml:space="preserve"> </w:t>
            </w:r>
            <w:r w:rsidRPr="003771D0">
              <w:t>viabilitatea pe termen</w:t>
            </w:r>
            <w:r w:rsidRPr="003771D0">
              <w:rPr>
                <w:spacing w:val="-52"/>
              </w:rPr>
              <w:t xml:space="preserve"> </w:t>
            </w:r>
            <w:r w:rsidRPr="003771D0">
              <w:t>lung</w:t>
            </w:r>
          </w:p>
        </w:tc>
        <w:tc>
          <w:tcPr>
            <w:tcW w:w="1584" w:type="dxa"/>
          </w:tcPr>
          <w:p w14:paraId="61182755" w14:textId="77777777" w:rsidR="0009599D" w:rsidRPr="003771D0" w:rsidRDefault="0009599D" w:rsidP="00A930AA">
            <w:pPr>
              <w:pStyle w:val="TableParagraph"/>
              <w:ind w:left="106" w:right="18"/>
              <w:rPr>
                <w:i/>
              </w:rPr>
            </w:pPr>
            <w:r w:rsidRPr="003771D0">
              <w:rPr>
                <w:i/>
              </w:rPr>
              <w:t>Un număr de</w:t>
            </w:r>
            <w:r w:rsidRPr="003771D0">
              <w:rPr>
                <w:i/>
                <w:spacing w:val="1"/>
              </w:rPr>
              <w:t xml:space="preserve"> </w:t>
            </w:r>
            <w:r w:rsidRPr="003771D0">
              <w:rPr>
                <w:i/>
              </w:rPr>
              <w:t>informații</w:t>
            </w:r>
            <w:r w:rsidRPr="003771D0">
              <w:rPr>
                <w:i/>
                <w:spacing w:val="1"/>
              </w:rPr>
              <w:t xml:space="preserve"> </w:t>
            </w:r>
            <w:r w:rsidRPr="003771D0">
              <w:rPr>
                <w:i/>
              </w:rPr>
              <w:t>insuficiente, sau</w:t>
            </w:r>
            <w:r w:rsidRPr="003771D0">
              <w:rPr>
                <w:i/>
                <w:spacing w:val="-52"/>
              </w:rPr>
              <w:t xml:space="preserve"> </w:t>
            </w:r>
            <w:r w:rsidRPr="003771D0">
              <w:rPr>
                <w:i/>
              </w:rPr>
              <w:t>insuficient</w:t>
            </w:r>
            <w:r w:rsidRPr="003771D0">
              <w:rPr>
                <w:i/>
                <w:spacing w:val="1"/>
              </w:rPr>
              <w:t xml:space="preserve"> </w:t>
            </w:r>
            <w:r w:rsidRPr="003771D0">
              <w:rPr>
                <w:i/>
              </w:rPr>
              <w:t>disponibile</w:t>
            </w:r>
          </w:p>
        </w:tc>
      </w:tr>
      <w:tr w:rsidR="0070780E" w:rsidRPr="003771D0" w14:paraId="7FAB05CA" w14:textId="77777777" w:rsidTr="0070780E">
        <w:trPr>
          <w:trHeight w:val="1012"/>
        </w:trPr>
        <w:tc>
          <w:tcPr>
            <w:tcW w:w="1980" w:type="dxa"/>
            <w:vMerge w:val="restart"/>
            <w:shd w:val="clear" w:color="auto" w:fill="auto"/>
          </w:tcPr>
          <w:p w14:paraId="6E72E839" w14:textId="77777777" w:rsidR="0070780E" w:rsidRPr="003771D0" w:rsidRDefault="0070780E" w:rsidP="00A930AA">
            <w:pPr>
              <w:pStyle w:val="TableParagraph"/>
              <w:ind w:right="16"/>
              <w:rPr>
                <w:b/>
              </w:rPr>
            </w:pPr>
            <w:r w:rsidRPr="003771D0">
              <w:rPr>
                <w:b/>
              </w:rPr>
              <w:t>Evaluarea generală a stării de conservare</w:t>
            </w:r>
            <w:r w:rsidRPr="003771D0">
              <w:rPr>
                <w:b/>
                <w:spacing w:val="-2"/>
              </w:rPr>
              <w:t xml:space="preserve"> </w:t>
            </w:r>
          </w:p>
        </w:tc>
        <w:tc>
          <w:tcPr>
            <w:tcW w:w="2017" w:type="dxa"/>
            <w:shd w:val="clear" w:color="auto" w:fill="00FF00"/>
          </w:tcPr>
          <w:p w14:paraId="4943BBFB" w14:textId="77777777" w:rsidR="0070780E" w:rsidRPr="003771D0" w:rsidRDefault="0070780E" w:rsidP="00A930AA">
            <w:pPr>
              <w:pStyle w:val="TableParagraph"/>
              <w:ind w:right="419"/>
              <w:rPr>
                <w:b/>
              </w:rPr>
            </w:pPr>
            <w:r w:rsidRPr="003771D0">
              <w:rPr>
                <w:b/>
              </w:rPr>
              <w:t>Toți parametrii</w:t>
            </w:r>
            <w:r w:rsidRPr="003771D0">
              <w:rPr>
                <w:b/>
                <w:spacing w:val="-53"/>
              </w:rPr>
              <w:t xml:space="preserve"> </w:t>
            </w:r>
            <w:r w:rsidRPr="003771D0">
              <w:rPr>
                <w:b/>
              </w:rPr>
              <w:t>“verde”</w:t>
            </w:r>
          </w:p>
          <w:p w14:paraId="468F6DF7" w14:textId="77777777" w:rsidR="0070780E" w:rsidRPr="003771D0" w:rsidRDefault="0070780E" w:rsidP="00A930AA">
            <w:pPr>
              <w:pStyle w:val="TableParagraph"/>
              <w:spacing w:line="252" w:lineRule="exact"/>
              <w:rPr>
                <w:b/>
              </w:rPr>
            </w:pPr>
            <w:r w:rsidRPr="003771D0">
              <w:rPr>
                <w:b/>
              </w:rPr>
              <w:t>SAU</w:t>
            </w:r>
          </w:p>
          <w:p w14:paraId="077A7826" w14:textId="77777777" w:rsidR="0070780E" w:rsidRPr="003771D0" w:rsidRDefault="0070780E" w:rsidP="00A930AA">
            <w:pPr>
              <w:pStyle w:val="TableParagraph"/>
              <w:spacing w:line="235" w:lineRule="exact"/>
              <w:rPr>
                <w:b/>
              </w:rPr>
            </w:pPr>
            <w:r w:rsidRPr="003771D0">
              <w:rPr>
                <w:b/>
              </w:rPr>
              <w:t>trei “verde”</w:t>
            </w:r>
            <w:r w:rsidRPr="003771D0">
              <w:rPr>
                <w:b/>
                <w:spacing w:val="-3"/>
              </w:rPr>
              <w:t xml:space="preserve"> </w:t>
            </w:r>
            <w:r w:rsidRPr="003771D0">
              <w:rPr>
                <w:b/>
              </w:rPr>
              <w:t>și unul “necunoscut”</w:t>
            </w:r>
          </w:p>
        </w:tc>
        <w:tc>
          <w:tcPr>
            <w:tcW w:w="2017" w:type="dxa"/>
            <w:shd w:val="clear" w:color="auto" w:fill="FFCC00"/>
          </w:tcPr>
          <w:p w14:paraId="005FEE00" w14:textId="77777777" w:rsidR="0070780E" w:rsidRPr="003771D0" w:rsidRDefault="0070780E" w:rsidP="00A930AA">
            <w:pPr>
              <w:pStyle w:val="TableParagraph"/>
              <w:ind w:right="133"/>
            </w:pPr>
            <w:r w:rsidRPr="003771D0">
              <w:t>Un parametru sau</w:t>
            </w:r>
            <w:r w:rsidRPr="003771D0">
              <w:rPr>
                <w:spacing w:val="1"/>
              </w:rPr>
              <w:t xml:space="preserve"> </w:t>
            </w:r>
            <w:r w:rsidRPr="003771D0">
              <w:t>mai</w:t>
            </w:r>
            <w:r w:rsidRPr="003771D0">
              <w:rPr>
                <w:spacing w:val="2"/>
              </w:rPr>
              <w:t xml:space="preserve"> </w:t>
            </w:r>
            <w:r w:rsidRPr="003771D0">
              <w:t>mulți</w:t>
            </w:r>
            <w:r w:rsidRPr="003771D0">
              <w:rPr>
                <w:spacing w:val="1"/>
              </w:rPr>
              <w:t xml:space="preserve"> </w:t>
            </w:r>
            <w:r w:rsidRPr="003771D0">
              <w:t>“chihlimbar”</w:t>
            </w:r>
            <w:r w:rsidRPr="003771D0">
              <w:rPr>
                <w:spacing w:val="-7"/>
              </w:rPr>
              <w:t xml:space="preserve"> </w:t>
            </w:r>
            <w:r w:rsidRPr="003771D0">
              <w:t>dar</w:t>
            </w:r>
            <w:r w:rsidRPr="003771D0">
              <w:rPr>
                <w:spacing w:val="-6"/>
              </w:rPr>
              <w:t xml:space="preserve"> </w:t>
            </w:r>
            <w:r w:rsidRPr="003771D0">
              <w:t>nu</w:t>
            </w:r>
          </w:p>
          <w:p w14:paraId="7B3A1F35" w14:textId="77777777" w:rsidR="0070780E" w:rsidRPr="003771D0" w:rsidRDefault="0070780E" w:rsidP="00A930AA">
            <w:pPr>
              <w:pStyle w:val="TableParagraph"/>
              <w:spacing w:line="240" w:lineRule="exact"/>
            </w:pPr>
            <w:r w:rsidRPr="003771D0">
              <w:t>“roșu”</w:t>
            </w:r>
          </w:p>
        </w:tc>
        <w:tc>
          <w:tcPr>
            <w:tcW w:w="2017" w:type="dxa"/>
            <w:shd w:val="clear" w:color="auto" w:fill="FF0000"/>
          </w:tcPr>
          <w:p w14:paraId="7FCC30B5" w14:textId="77777777" w:rsidR="0070780E" w:rsidRPr="003771D0" w:rsidRDefault="0070780E" w:rsidP="00A930AA">
            <w:pPr>
              <w:pStyle w:val="TableParagraph"/>
              <w:spacing w:line="242" w:lineRule="auto"/>
              <w:ind w:left="106" w:right="317"/>
            </w:pPr>
            <w:r w:rsidRPr="003771D0">
              <w:t>Un parametru sau</w:t>
            </w:r>
            <w:r w:rsidRPr="003771D0">
              <w:rPr>
                <w:spacing w:val="-52"/>
              </w:rPr>
              <w:t xml:space="preserve"> </w:t>
            </w:r>
            <w:r w:rsidRPr="003771D0">
              <w:t>mai</w:t>
            </w:r>
            <w:r w:rsidRPr="003771D0">
              <w:rPr>
                <w:spacing w:val="1"/>
              </w:rPr>
              <w:t xml:space="preserve"> </w:t>
            </w:r>
            <w:r w:rsidRPr="003771D0">
              <w:t>mulți</w:t>
            </w:r>
            <w:r w:rsidRPr="003771D0">
              <w:rPr>
                <w:spacing w:val="-1"/>
              </w:rPr>
              <w:t xml:space="preserve"> </w:t>
            </w:r>
            <w:r w:rsidRPr="003771D0">
              <w:t>“roșu”</w:t>
            </w:r>
          </w:p>
        </w:tc>
        <w:tc>
          <w:tcPr>
            <w:tcW w:w="1584" w:type="dxa"/>
            <w:shd w:val="clear" w:color="auto" w:fill="ACB9CA" w:themeFill="text2" w:themeFillTint="66"/>
          </w:tcPr>
          <w:p w14:paraId="5775931A" w14:textId="77777777" w:rsidR="0070780E" w:rsidRPr="003771D0" w:rsidRDefault="0070780E" w:rsidP="00A930AA">
            <w:pPr>
              <w:pStyle w:val="TableParagraph"/>
              <w:ind w:left="106" w:right="24"/>
            </w:pPr>
            <w:r w:rsidRPr="003771D0">
              <w:t>Doi sau mai</w:t>
            </w:r>
            <w:r w:rsidRPr="003771D0">
              <w:rPr>
                <w:spacing w:val="1"/>
              </w:rPr>
              <w:t xml:space="preserve"> </w:t>
            </w:r>
            <w:r w:rsidRPr="003771D0">
              <w:t>mulți parametrii</w:t>
            </w:r>
            <w:r w:rsidRPr="003771D0">
              <w:rPr>
                <w:spacing w:val="-52"/>
              </w:rPr>
              <w:t xml:space="preserve"> </w:t>
            </w:r>
            <w:r w:rsidRPr="003771D0">
              <w:t>“necunoscut”</w:t>
            </w:r>
          </w:p>
          <w:p w14:paraId="54993651" w14:textId="77777777" w:rsidR="0070780E" w:rsidRPr="003771D0" w:rsidRDefault="0070780E" w:rsidP="0070780E">
            <w:pPr>
              <w:pStyle w:val="TableParagraph"/>
              <w:spacing w:line="247" w:lineRule="exact"/>
              <w:ind w:left="106"/>
            </w:pPr>
            <w:r w:rsidRPr="003771D0">
              <w:t>combinate</w:t>
            </w:r>
            <w:r w:rsidRPr="003771D0">
              <w:rPr>
                <w:spacing w:val="-1"/>
              </w:rPr>
              <w:t xml:space="preserve"> </w:t>
            </w:r>
            <w:r w:rsidRPr="003771D0">
              <w:t>cu verde sau</w:t>
            </w:r>
            <w:r w:rsidRPr="003771D0">
              <w:rPr>
                <w:spacing w:val="-2"/>
              </w:rPr>
              <w:t xml:space="preserve"> </w:t>
            </w:r>
            <w:r w:rsidRPr="003771D0">
              <w:t>toate</w:t>
            </w:r>
          </w:p>
          <w:p w14:paraId="14C5B485" w14:textId="77777777" w:rsidR="0070780E" w:rsidRPr="003771D0" w:rsidRDefault="0070780E" w:rsidP="0070780E">
            <w:pPr>
              <w:pStyle w:val="TableParagraph"/>
              <w:spacing w:line="240" w:lineRule="exact"/>
              <w:ind w:left="106"/>
            </w:pPr>
            <w:r w:rsidRPr="003771D0">
              <w:t>“necunoscute”</w:t>
            </w:r>
          </w:p>
        </w:tc>
      </w:tr>
      <w:tr w:rsidR="0070780E" w:rsidRPr="003771D0" w14:paraId="2BBA4420" w14:textId="77777777" w:rsidTr="0070780E">
        <w:trPr>
          <w:trHeight w:val="1516"/>
        </w:trPr>
        <w:tc>
          <w:tcPr>
            <w:tcW w:w="1980" w:type="dxa"/>
            <w:vMerge/>
            <w:shd w:val="clear" w:color="auto" w:fill="auto"/>
          </w:tcPr>
          <w:p w14:paraId="5F0A0E6B" w14:textId="77777777" w:rsidR="0070780E" w:rsidRPr="003771D0" w:rsidRDefault="0070780E" w:rsidP="00A930AA">
            <w:pPr>
              <w:pStyle w:val="TableParagraph"/>
            </w:pPr>
          </w:p>
        </w:tc>
        <w:tc>
          <w:tcPr>
            <w:tcW w:w="2017" w:type="dxa"/>
            <w:shd w:val="clear" w:color="auto" w:fill="00FF00"/>
          </w:tcPr>
          <w:p w14:paraId="1FD7F86A" w14:textId="77777777" w:rsidR="0070780E" w:rsidRPr="003771D0" w:rsidRDefault="0070780E" w:rsidP="00A930AA">
            <w:pPr>
              <w:pStyle w:val="TableParagraph"/>
              <w:ind w:left="376" w:right="237"/>
              <w:jc w:val="center"/>
              <w:rPr>
                <w:b/>
              </w:rPr>
            </w:pPr>
            <w:r w:rsidRPr="003771D0">
              <w:rPr>
                <w:b/>
              </w:rPr>
              <w:t>Favorabilă</w:t>
            </w:r>
            <w:r w:rsidRPr="003771D0">
              <w:rPr>
                <w:b/>
                <w:spacing w:val="-52"/>
              </w:rPr>
              <w:t xml:space="preserve"> </w:t>
            </w:r>
            <w:r w:rsidRPr="003771D0">
              <w:rPr>
                <w:b/>
              </w:rPr>
              <w:t>(FV)</w:t>
            </w:r>
          </w:p>
          <w:p w14:paraId="3B61B04F" w14:textId="77777777" w:rsidR="0070780E" w:rsidRPr="003771D0" w:rsidRDefault="0070780E" w:rsidP="00A930AA">
            <w:pPr>
              <w:pStyle w:val="TableParagraph"/>
              <w:ind w:left="376" w:right="237"/>
              <w:jc w:val="center"/>
              <w:rPr>
                <w:b/>
              </w:rPr>
            </w:pPr>
            <w:r w:rsidRPr="003771D0">
              <w:rPr>
                <w:b/>
              </w:rPr>
              <w:t>(”verde”)</w:t>
            </w:r>
          </w:p>
        </w:tc>
        <w:tc>
          <w:tcPr>
            <w:tcW w:w="2017" w:type="dxa"/>
            <w:shd w:val="clear" w:color="auto" w:fill="FFCC00"/>
          </w:tcPr>
          <w:p w14:paraId="2DB58A36" w14:textId="77777777" w:rsidR="0070780E" w:rsidRPr="003771D0" w:rsidRDefault="0070780E" w:rsidP="00A930AA">
            <w:pPr>
              <w:pStyle w:val="TableParagraph"/>
              <w:ind w:left="376" w:right="238"/>
              <w:jc w:val="center"/>
              <w:rPr>
                <w:b/>
              </w:rPr>
            </w:pPr>
            <w:r w:rsidRPr="003771D0">
              <w:rPr>
                <w:b/>
              </w:rPr>
              <w:t>Nefavorabilă –</w:t>
            </w:r>
            <w:r w:rsidRPr="003771D0">
              <w:rPr>
                <w:b/>
                <w:spacing w:val="-52"/>
              </w:rPr>
              <w:t xml:space="preserve"> </w:t>
            </w:r>
            <w:r w:rsidRPr="003771D0">
              <w:rPr>
                <w:b/>
              </w:rPr>
              <w:t>Neadecvată</w:t>
            </w:r>
            <w:r w:rsidRPr="003771D0">
              <w:rPr>
                <w:b/>
                <w:spacing w:val="1"/>
              </w:rPr>
              <w:t xml:space="preserve"> </w:t>
            </w:r>
            <w:r w:rsidRPr="003771D0">
              <w:rPr>
                <w:b/>
              </w:rPr>
              <w:t>(U1)</w:t>
            </w:r>
          </w:p>
          <w:p w14:paraId="28840658" w14:textId="77777777" w:rsidR="0070780E" w:rsidRPr="003771D0" w:rsidRDefault="0070780E" w:rsidP="00A930AA">
            <w:pPr>
              <w:pStyle w:val="TableParagraph"/>
              <w:spacing w:line="252" w:lineRule="exact"/>
              <w:ind w:left="164" w:right="27"/>
              <w:jc w:val="center"/>
              <w:rPr>
                <w:b/>
              </w:rPr>
            </w:pPr>
            <w:r w:rsidRPr="003771D0">
              <w:rPr>
                <w:b/>
              </w:rPr>
              <w:t>(“chihlimbar”)</w:t>
            </w:r>
          </w:p>
        </w:tc>
        <w:tc>
          <w:tcPr>
            <w:tcW w:w="2017" w:type="dxa"/>
            <w:shd w:val="clear" w:color="auto" w:fill="FF0000"/>
          </w:tcPr>
          <w:p w14:paraId="6BF437CE" w14:textId="77777777" w:rsidR="0070780E" w:rsidRPr="003771D0" w:rsidRDefault="0070780E" w:rsidP="00A930AA">
            <w:pPr>
              <w:pStyle w:val="TableParagraph"/>
              <w:ind w:left="164" w:right="28"/>
              <w:jc w:val="center"/>
              <w:rPr>
                <w:b/>
              </w:rPr>
            </w:pPr>
            <w:r w:rsidRPr="003771D0">
              <w:rPr>
                <w:b/>
              </w:rPr>
              <w:t>Nefavorabilă – Rea</w:t>
            </w:r>
            <w:r w:rsidRPr="003771D0">
              <w:rPr>
                <w:b/>
                <w:spacing w:val="-52"/>
              </w:rPr>
              <w:t xml:space="preserve"> </w:t>
            </w:r>
            <w:r w:rsidRPr="003771D0">
              <w:rPr>
                <w:b/>
              </w:rPr>
              <w:t>(U2)</w:t>
            </w:r>
          </w:p>
          <w:p w14:paraId="130DD1E0" w14:textId="77777777" w:rsidR="0070780E" w:rsidRPr="003771D0" w:rsidRDefault="0070780E" w:rsidP="00A930AA">
            <w:pPr>
              <w:pStyle w:val="TableParagraph"/>
              <w:ind w:left="375" w:right="238"/>
              <w:jc w:val="center"/>
              <w:rPr>
                <w:b/>
              </w:rPr>
            </w:pPr>
            <w:r w:rsidRPr="003771D0">
              <w:rPr>
                <w:b/>
              </w:rPr>
              <w:t>(“roșu”)</w:t>
            </w:r>
          </w:p>
        </w:tc>
        <w:tc>
          <w:tcPr>
            <w:tcW w:w="1584" w:type="dxa"/>
            <w:shd w:val="clear" w:color="auto" w:fill="ACB9CA" w:themeFill="text2" w:themeFillTint="66"/>
          </w:tcPr>
          <w:p w14:paraId="1439318E" w14:textId="77777777" w:rsidR="0070780E" w:rsidRPr="003771D0" w:rsidRDefault="0070780E" w:rsidP="00A930AA">
            <w:pPr>
              <w:pStyle w:val="TableParagraph"/>
              <w:ind w:left="262" w:right="122"/>
              <w:jc w:val="center"/>
              <w:rPr>
                <w:b/>
                <w:i/>
              </w:rPr>
            </w:pPr>
            <w:r w:rsidRPr="003771D0">
              <w:rPr>
                <w:b/>
                <w:i/>
              </w:rPr>
              <w:t>Necunoscută</w:t>
            </w:r>
            <w:r w:rsidRPr="003771D0">
              <w:rPr>
                <w:b/>
                <w:i/>
                <w:spacing w:val="-52"/>
              </w:rPr>
              <w:t xml:space="preserve"> </w:t>
            </w:r>
            <w:r w:rsidRPr="003771D0">
              <w:rPr>
                <w:b/>
                <w:i/>
              </w:rPr>
              <w:t>(X)</w:t>
            </w:r>
          </w:p>
          <w:p w14:paraId="712ECA62" w14:textId="77777777" w:rsidR="0070780E" w:rsidRPr="003771D0" w:rsidRDefault="0070780E" w:rsidP="00A930AA">
            <w:pPr>
              <w:pStyle w:val="TableParagraph"/>
              <w:ind w:left="171" w:right="37" w:hanging="1"/>
              <w:jc w:val="center"/>
              <w:rPr>
                <w:b/>
                <w:i/>
              </w:rPr>
            </w:pPr>
            <w:r w:rsidRPr="003771D0">
              <w:rPr>
                <w:b/>
                <w:i/>
              </w:rPr>
              <w:t>(insuficiente</w:t>
            </w:r>
            <w:r w:rsidRPr="003771D0">
              <w:rPr>
                <w:b/>
                <w:i/>
                <w:spacing w:val="1"/>
              </w:rPr>
              <w:t xml:space="preserve"> </w:t>
            </w:r>
            <w:r w:rsidRPr="003771D0">
              <w:rPr>
                <w:b/>
                <w:i/>
              </w:rPr>
              <w:t>informatii</w:t>
            </w:r>
            <w:r w:rsidRPr="003771D0">
              <w:rPr>
                <w:b/>
                <w:i/>
                <w:spacing w:val="1"/>
              </w:rPr>
              <w:t xml:space="preserve"> </w:t>
            </w:r>
            <w:r w:rsidRPr="003771D0">
              <w:rPr>
                <w:b/>
                <w:i/>
              </w:rPr>
              <w:t>pentru</w:t>
            </w:r>
            <w:r w:rsidRPr="003771D0">
              <w:rPr>
                <w:b/>
                <w:i/>
                <w:spacing w:val="-7"/>
              </w:rPr>
              <w:t xml:space="preserve"> </w:t>
            </w:r>
            <w:r w:rsidRPr="003771D0">
              <w:rPr>
                <w:b/>
                <w:i/>
              </w:rPr>
              <w:t>a</w:t>
            </w:r>
            <w:r w:rsidRPr="003771D0">
              <w:rPr>
                <w:b/>
                <w:i/>
                <w:spacing w:val="-4"/>
              </w:rPr>
              <w:t xml:space="preserve"> </w:t>
            </w:r>
            <w:r w:rsidRPr="003771D0">
              <w:rPr>
                <w:b/>
                <w:i/>
              </w:rPr>
              <w:t>face</w:t>
            </w:r>
            <w:r w:rsidRPr="003771D0">
              <w:rPr>
                <w:b/>
                <w:i/>
                <w:spacing w:val="-5"/>
              </w:rPr>
              <w:t xml:space="preserve"> </w:t>
            </w:r>
            <w:r w:rsidRPr="003771D0">
              <w:rPr>
                <w:b/>
                <w:i/>
              </w:rPr>
              <w:t>o</w:t>
            </w:r>
          </w:p>
          <w:p w14:paraId="2B16FB7A" w14:textId="77777777" w:rsidR="0070780E" w:rsidRPr="003771D0" w:rsidRDefault="0070780E" w:rsidP="00A930AA">
            <w:pPr>
              <w:pStyle w:val="TableParagraph"/>
              <w:spacing w:line="233" w:lineRule="exact"/>
              <w:ind w:left="259" w:right="122"/>
              <w:jc w:val="center"/>
              <w:rPr>
                <w:b/>
                <w:i/>
              </w:rPr>
            </w:pPr>
            <w:r w:rsidRPr="003771D0">
              <w:rPr>
                <w:b/>
                <w:i/>
              </w:rPr>
              <w:t>evaluare)</w:t>
            </w:r>
          </w:p>
        </w:tc>
      </w:tr>
    </w:tbl>
    <w:p w14:paraId="23D43A12" w14:textId="77777777" w:rsidR="0009599D" w:rsidRPr="003771D0" w:rsidRDefault="0009599D" w:rsidP="0009599D">
      <w:pPr>
        <w:pStyle w:val="BodyText"/>
        <w:rPr>
          <w:sz w:val="20"/>
        </w:rPr>
      </w:pPr>
    </w:p>
    <w:p w14:paraId="1FC49218" w14:textId="77777777" w:rsidR="00D457AA" w:rsidRPr="003771D0" w:rsidRDefault="00D457AA" w:rsidP="008E33FD">
      <w:pPr>
        <w:pStyle w:val="Heading2"/>
        <w:spacing w:before="267"/>
        <w:ind w:left="300" w:right="1614"/>
        <w:jc w:val="both"/>
        <w:rPr>
          <w:color w:val="000000" w:themeColor="text1"/>
          <w:sz w:val="24"/>
          <w:szCs w:val="24"/>
          <w:lang w:val="fr-FR"/>
        </w:rPr>
      </w:pPr>
    </w:p>
    <w:p w14:paraId="5325561E" w14:textId="77777777" w:rsidR="00D457AA" w:rsidRPr="003771D0" w:rsidRDefault="00D457AA" w:rsidP="008E33FD">
      <w:pPr>
        <w:pStyle w:val="Heading2"/>
        <w:spacing w:before="267"/>
        <w:ind w:left="300" w:right="1614"/>
        <w:jc w:val="both"/>
        <w:rPr>
          <w:color w:val="000000" w:themeColor="text1"/>
          <w:sz w:val="24"/>
          <w:szCs w:val="24"/>
          <w:lang w:val="fr-FR"/>
        </w:rPr>
      </w:pPr>
    </w:p>
    <w:p w14:paraId="5A65ADF7" w14:textId="77777777" w:rsidR="00BC5122" w:rsidRPr="003771D0" w:rsidRDefault="00BC5122" w:rsidP="003771D0">
      <w:pPr>
        <w:pStyle w:val="Heading2"/>
        <w:spacing w:before="267"/>
        <w:ind w:right="125"/>
        <w:jc w:val="center"/>
        <w:rPr>
          <w:color w:val="000000" w:themeColor="text1"/>
          <w:sz w:val="24"/>
          <w:szCs w:val="24"/>
          <w:lang w:val="fr-FR"/>
        </w:rPr>
      </w:pPr>
      <w:proofErr w:type="spellStart"/>
      <w:r w:rsidRPr="003771D0">
        <w:rPr>
          <w:color w:val="000000" w:themeColor="text1"/>
          <w:sz w:val="24"/>
          <w:szCs w:val="24"/>
          <w:lang w:val="fr-FR"/>
        </w:rPr>
        <w:lastRenderedPageBreak/>
        <w:t>Evaluare</w:t>
      </w:r>
      <w:proofErr w:type="spellEnd"/>
      <w:r w:rsidR="00CE1C3B" w:rsidRPr="003771D0">
        <w:rPr>
          <w:color w:val="000000" w:themeColor="text1"/>
          <w:sz w:val="24"/>
          <w:szCs w:val="24"/>
          <w:lang w:val="fr-FR"/>
        </w:rPr>
        <w:t xml:space="preserve"> </w:t>
      </w:r>
      <w:proofErr w:type="spellStart"/>
      <w:r w:rsidR="00CE1C3B" w:rsidRPr="003771D0">
        <w:rPr>
          <w:color w:val="000000" w:themeColor="text1"/>
          <w:sz w:val="24"/>
          <w:szCs w:val="24"/>
          <w:lang w:val="fr-FR"/>
        </w:rPr>
        <w:t>și</w:t>
      </w:r>
      <w:proofErr w:type="spellEnd"/>
      <w:r w:rsidR="00CE1C3B" w:rsidRPr="003771D0">
        <w:rPr>
          <w:color w:val="000000" w:themeColor="text1"/>
          <w:sz w:val="24"/>
          <w:szCs w:val="24"/>
          <w:lang w:val="fr-FR"/>
        </w:rPr>
        <w:t xml:space="preserve"> </w:t>
      </w:r>
      <w:proofErr w:type="spellStart"/>
      <w:r w:rsidRPr="003771D0">
        <w:rPr>
          <w:color w:val="000000" w:themeColor="text1"/>
          <w:sz w:val="24"/>
          <w:szCs w:val="24"/>
          <w:lang w:val="fr-FR"/>
        </w:rPr>
        <w:t>monitorizare</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pentru</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habitatele</w:t>
      </w:r>
      <w:proofErr w:type="spellEnd"/>
      <w:r w:rsidRPr="003771D0">
        <w:rPr>
          <w:color w:val="000000" w:themeColor="text1"/>
          <w:sz w:val="24"/>
          <w:szCs w:val="24"/>
          <w:lang w:val="fr-FR"/>
        </w:rPr>
        <w:t xml:space="preserve"> de</w:t>
      </w:r>
      <w:r w:rsidR="00CE1C3B" w:rsidRPr="003771D0">
        <w:rPr>
          <w:color w:val="000000" w:themeColor="text1"/>
          <w:sz w:val="24"/>
          <w:szCs w:val="24"/>
          <w:lang w:val="fr-FR"/>
        </w:rPr>
        <w:t xml:space="preserve"> </w:t>
      </w:r>
      <w:r w:rsidRPr="003771D0">
        <w:rPr>
          <w:color w:val="000000" w:themeColor="text1"/>
          <w:spacing w:val="-57"/>
          <w:sz w:val="24"/>
          <w:szCs w:val="24"/>
          <w:lang w:val="fr-FR"/>
        </w:rPr>
        <w:t xml:space="preserve"> </w:t>
      </w:r>
      <w:proofErr w:type="spellStart"/>
      <w:r w:rsidRPr="003771D0">
        <w:rPr>
          <w:color w:val="000000" w:themeColor="text1"/>
          <w:sz w:val="24"/>
          <w:szCs w:val="24"/>
          <w:lang w:val="fr-FR"/>
        </w:rPr>
        <w:t>sărături</w:t>
      </w:r>
      <w:proofErr w:type="spellEnd"/>
      <w:r w:rsidRPr="003771D0">
        <w:rPr>
          <w:color w:val="000000" w:themeColor="text1"/>
          <w:spacing w:val="-1"/>
          <w:sz w:val="24"/>
          <w:szCs w:val="24"/>
          <w:lang w:val="fr-FR"/>
        </w:rPr>
        <w:t xml:space="preserve"> </w:t>
      </w:r>
      <w:r w:rsidRPr="003771D0">
        <w:rPr>
          <w:color w:val="000000" w:themeColor="text1"/>
          <w:sz w:val="24"/>
          <w:szCs w:val="24"/>
          <w:lang w:val="fr-FR"/>
        </w:rPr>
        <w:t>de</w:t>
      </w:r>
      <w:r w:rsidRPr="003771D0">
        <w:rPr>
          <w:color w:val="000000" w:themeColor="text1"/>
          <w:spacing w:val="-1"/>
          <w:sz w:val="24"/>
          <w:szCs w:val="24"/>
          <w:lang w:val="fr-FR"/>
        </w:rPr>
        <w:t xml:space="preserve"> </w:t>
      </w:r>
      <w:proofErr w:type="spellStart"/>
      <w:r w:rsidRPr="003771D0">
        <w:rPr>
          <w:color w:val="000000" w:themeColor="text1"/>
          <w:sz w:val="24"/>
          <w:szCs w:val="24"/>
          <w:lang w:val="fr-FR"/>
        </w:rPr>
        <w:t>interes</w:t>
      </w:r>
      <w:proofErr w:type="spellEnd"/>
      <w:r w:rsidRPr="003771D0">
        <w:rPr>
          <w:color w:val="000000" w:themeColor="text1"/>
          <w:spacing w:val="2"/>
          <w:sz w:val="24"/>
          <w:szCs w:val="24"/>
          <w:lang w:val="fr-FR"/>
        </w:rPr>
        <w:t xml:space="preserve"> </w:t>
      </w:r>
      <w:proofErr w:type="spellStart"/>
      <w:r w:rsidRPr="003771D0">
        <w:rPr>
          <w:color w:val="000000" w:themeColor="text1"/>
          <w:sz w:val="24"/>
          <w:szCs w:val="24"/>
          <w:lang w:val="fr-FR"/>
        </w:rPr>
        <w:t>comunitar</w:t>
      </w:r>
      <w:proofErr w:type="spellEnd"/>
      <w:r w:rsidRPr="003771D0">
        <w:rPr>
          <w:color w:val="000000" w:themeColor="text1"/>
          <w:spacing w:val="-2"/>
          <w:sz w:val="24"/>
          <w:szCs w:val="24"/>
          <w:lang w:val="fr-FR"/>
        </w:rPr>
        <w:t xml:space="preserve"> </w:t>
      </w:r>
      <w:proofErr w:type="spellStart"/>
      <w:r w:rsidRPr="003771D0">
        <w:rPr>
          <w:color w:val="000000" w:themeColor="text1"/>
          <w:sz w:val="24"/>
          <w:szCs w:val="24"/>
          <w:lang w:val="fr-FR"/>
        </w:rPr>
        <w:t>din</w:t>
      </w:r>
      <w:proofErr w:type="spellEnd"/>
      <w:r w:rsidRPr="003771D0">
        <w:rPr>
          <w:color w:val="000000" w:themeColor="text1"/>
          <w:spacing w:val="1"/>
          <w:sz w:val="24"/>
          <w:szCs w:val="24"/>
          <w:lang w:val="fr-FR"/>
        </w:rPr>
        <w:t xml:space="preserve"> </w:t>
      </w:r>
      <w:proofErr w:type="spellStart"/>
      <w:r w:rsidRPr="003771D0">
        <w:rPr>
          <w:color w:val="000000" w:themeColor="text1"/>
          <w:sz w:val="24"/>
          <w:szCs w:val="24"/>
          <w:lang w:val="fr-FR"/>
        </w:rPr>
        <w:t>România</w:t>
      </w:r>
      <w:proofErr w:type="spellEnd"/>
    </w:p>
    <w:p w14:paraId="09CFBA3F" w14:textId="77777777" w:rsidR="00BC5122" w:rsidRPr="003771D0" w:rsidRDefault="00BC5122" w:rsidP="008E33FD">
      <w:pPr>
        <w:pStyle w:val="BodyText"/>
        <w:spacing w:before="6"/>
        <w:jc w:val="both"/>
        <w:rPr>
          <w:b/>
          <w:color w:val="000000" w:themeColor="text1"/>
          <w:sz w:val="24"/>
          <w:szCs w:val="24"/>
          <w:lang w:val="fr-FR"/>
        </w:rPr>
      </w:pPr>
    </w:p>
    <w:p w14:paraId="0128AA61" w14:textId="77777777" w:rsidR="00BC5122" w:rsidRPr="003771D0" w:rsidRDefault="00BC5122" w:rsidP="003771D0">
      <w:pPr>
        <w:pStyle w:val="BodyText"/>
        <w:spacing w:before="1"/>
        <w:ind w:left="90" w:right="26"/>
        <w:jc w:val="both"/>
        <w:rPr>
          <w:color w:val="000000" w:themeColor="text1"/>
          <w:sz w:val="24"/>
          <w:szCs w:val="24"/>
          <w:lang w:val="fr-FR"/>
        </w:rPr>
      </w:pPr>
      <w:proofErr w:type="spellStart"/>
      <w:r w:rsidRPr="003771D0">
        <w:rPr>
          <w:color w:val="000000" w:themeColor="text1"/>
          <w:sz w:val="24"/>
          <w:szCs w:val="24"/>
          <w:lang w:val="fr-FR"/>
        </w:rPr>
        <w:t>Modul</w:t>
      </w:r>
      <w:proofErr w:type="spellEnd"/>
      <w:r w:rsidRPr="003771D0">
        <w:rPr>
          <w:color w:val="000000" w:themeColor="text1"/>
          <w:spacing w:val="36"/>
          <w:sz w:val="24"/>
          <w:szCs w:val="24"/>
          <w:lang w:val="fr-FR"/>
        </w:rPr>
        <w:t xml:space="preserve"> </w:t>
      </w:r>
      <w:proofErr w:type="spellStart"/>
      <w:r w:rsidRPr="003771D0">
        <w:rPr>
          <w:color w:val="000000" w:themeColor="text1"/>
          <w:sz w:val="24"/>
          <w:szCs w:val="24"/>
          <w:lang w:val="fr-FR"/>
        </w:rPr>
        <w:t>în</w:t>
      </w:r>
      <w:proofErr w:type="spellEnd"/>
      <w:r w:rsidRPr="003771D0">
        <w:rPr>
          <w:color w:val="000000" w:themeColor="text1"/>
          <w:spacing w:val="37"/>
          <w:sz w:val="24"/>
          <w:szCs w:val="24"/>
          <w:lang w:val="fr-FR"/>
        </w:rPr>
        <w:t xml:space="preserve"> </w:t>
      </w:r>
      <w:r w:rsidRPr="003771D0">
        <w:rPr>
          <w:color w:val="000000" w:themeColor="text1"/>
          <w:sz w:val="24"/>
          <w:szCs w:val="24"/>
          <w:lang w:val="fr-FR"/>
        </w:rPr>
        <w:t>care</w:t>
      </w:r>
      <w:r w:rsidRPr="003771D0">
        <w:rPr>
          <w:color w:val="000000" w:themeColor="text1"/>
          <w:spacing w:val="34"/>
          <w:sz w:val="24"/>
          <w:szCs w:val="24"/>
          <w:lang w:val="fr-FR"/>
        </w:rPr>
        <w:t xml:space="preserve"> </w:t>
      </w:r>
      <w:r w:rsidRPr="003771D0">
        <w:rPr>
          <w:color w:val="000000" w:themeColor="text1"/>
          <w:sz w:val="24"/>
          <w:szCs w:val="24"/>
          <w:lang w:val="fr-FR"/>
        </w:rPr>
        <w:t>se</w:t>
      </w:r>
      <w:r w:rsidRPr="003771D0">
        <w:rPr>
          <w:color w:val="000000" w:themeColor="text1"/>
          <w:spacing w:val="36"/>
          <w:sz w:val="24"/>
          <w:szCs w:val="24"/>
          <w:lang w:val="fr-FR"/>
        </w:rPr>
        <w:t xml:space="preserve"> </w:t>
      </w:r>
      <w:proofErr w:type="spellStart"/>
      <w:r w:rsidRPr="003771D0">
        <w:rPr>
          <w:color w:val="000000" w:themeColor="text1"/>
          <w:sz w:val="24"/>
          <w:szCs w:val="24"/>
          <w:lang w:val="fr-FR"/>
        </w:rPr>
        <w:t>stabilesc</w:t>
      </w:r>
      <w:proofErr w:type="spellEnd"/>
      <w:r w:rsidRPr="003771D0">
        <w:rPr>
          <w:color w:val="000000" w:themeColor="text1"/>
          <w:spacing w:val="36"/>
          <w:sz w:val="24"/>
          <w:szCs w:val="24"/>
          <w:lang w:val="fr-FR"/>
        </w:rPr>
        <w:t xml:space="preserve"> </w:t>
      </w:r>
      <w:proofErr w:type="spellStart"/>
      <w:r w:rsidRPr="003771D0">
        <w:rPr>
          <w:color w:val="000000" w:themeColor="text1"/>
          <w:sz w:val="24"/>
          <w:szCs w:val="24"/>
          <w:lang w:val="fr-FR"/>
        </w:rPr>
        <w:t>ploturile</w:t>
      </w:r>
      <w:proofErr w:type="spellEnd"/>
      <w:r w:rsidRPr="003771D0">
        <w:rPr>
          <w:color w:val="000000" w:themeColor="text1"/>
          <w:spacing w:val="35"/>
          <w:sz w:val="24"/>
          <w:szCs w:val="24"/>
          <w:lang w:val="fr-FR"/>
        </w:rPr>
        <w:t xml:space="preserve"> </w:t>
      </w:r>
      <w:r w:rsidRPr="003771D0">
        <w:rPr>
          <w:color w:val="000000" w:themeColor="text1"/>
          <w:sz w:val="24"/>
          <w:szCs w:val="24"/>
          <w:lang w:val="fr-FR"/>
        </w:rPr>
        <w:t>(</w:t>
      </w:r>
      <w:proofErr w:type="spellStart"/>
      <w:r w:rsidRPr="003771D0">
        <w:rPr>
          <w:color w:val="000000" w:themeColor="text1"/>
          <w:sz w:val="24"/>
          <w:szCs w:val="24"/>
          <w:lang w:val="fr-FR"/>
        </w:rPr>
        <w:t>suprafeţele</w:t>
      </w:r>
      <w:proofErr w:type="spellEnd"/>
      <w:r w:rsidRPr="003771D0">
        <w:rPr>
          <w:color w:val="000000" w:themeColor="text1"/>
          <w:spacing w:val="38"/>
          <w:sz w:val="24"/>
          <w:szCs w:val="24"/>
          <w:lang w:val="fr-FR"/>
        </w:rPr>
        <w:t xml:space="preserve"> </w:t>
      </w:r>
      <w:r w:rsidRPr="003771D0">
        <w:rPr>
          <w:color w:val="000000" w:themeColor="text1"/>
          <w:sz w:val="24"/>
          <w:szCs w:val="24"/>
          <w:lang w:val="fr-FR"/>
        </w:rPr>
        <w:t>de</w:t>
      </w:r>
      <w:r w:rsidRPr="003771D0">
        <w:rPr>
          <w:color w:val="000000" w:themeColor="text1"/>
          <w:spacing w:val="35"/>
          <w:sz w:val="24"/>
          <w:szCs w:val="24"/>
          <w:lang w:val="fr-FR"/>
        </w:rPr>
        <w:t xml:space="preserve"> </w:t>
      </w:r>
      <w:proofErr w:type="spellStart"/>
      <w:r w:rsidRPr="003771D0">
        <w:rPr>
          <w:color w:val="000000" w:themeColor="text1"/>
          <w:sz w:val="24"/>
          <w:szCs w:val="24"/>
          <w:lang w:val="fr-FR"/>
        </w:rPr>
        <w:t>probă</w:t>
      </w:r>
      <w:proofErr w:type="spellEnd"/>
      <w:r w:rsidRPr="003771D0">
        <w:rPr>
          <w:color w:val="000000" w:themeColor="text1"/>
          <w:sz w:val="24"/>
          <w:szCs w:val="24"/>
          <w:lang w:val="fr-FR"/>
        </w:rPr>
        <w:t>)</w:t>
      </w:r>
      <w:r w:rsidRPr="003771D0">
        <w:rPr>
          <w:color w:val="000000" w:themeColor="text1"/>
          <w:spacing w:val="36"/>
          <w:sz w:val="24"/>
          <w:szCs w:val="24"/>
          <w:lang w:val="fr-FR"/>
        </w:rPr>
        <w:t xml:space="preserve"> </w:t>
      </w:r>
      <w:r w:rsidRPr="003771D0">
        <w:rPr>
          <w:color w:val="000000" w:themeColor="text1"/>
          <w:sz w:val="24"/>
          <w:szCs w:val="24"/>
          <w:lang w:val="fr-FR"/>
        </w:rPr>
        <w:t>se</w:t>
      </w:r>
      <w:r w:rsidRPr="003771D0">
        <w:rPr>
          <w:color w:val="000000" w:themeColor="text1"/>
          <w:spacing w:val="36"/>
          <w:sz w:val="24"/>
          <w:szCs w:val="24"/>
          <w:lang w:val="fr-FR"/>
        </w:rPr>
        <w:t xml:space="preserve"> </w:t>
      </w:r>
      <w:proofErr w:type="spellStart"/>
      <w:r w:rsidRPr="003771D0">
        <w:rPr>
          <w:color w:val="000000" w:themeColor="text1"/>
          <w:sz w:val="24"/>
          <w:szCs w:val="24"/>
          <w:lang w:val="fr-FR"/>
        </w:rPr>
        <w:t>poate</w:t>
      </w:r>
      <w:proofErr w:type="spellEnd"/>
      <w:r w:rsidRPr="003771D0">
        <w:rPr>
          <w:color w:val="000000" w:themeColor="text1"/>
          <w:spacing w:val="38"/>
          <w:sz w:val="24"/>
          <w:szCs w:val="24"/>
          <w:lang w:val="fr-FR"/>
        </w:rPr>
        <w:t xml:space="preserve"> </w:t>
      </w:r>
      <w:proofErr w:type="spellStart"/>
      <w:r w:rsidRPr="003771D0">
        <w:rPr>
          <w:color w:val="000000" w:themeColor="text1"/>
          <w:sz w:val="24"/>
          <w:szCs w:val="24"/>
          <w:lang w:val="fr-FR"/>
        </w:rPr>
        <w:t>exemplifica</w:t>
      </w:r>
      <w:proofErr w:type="spellEnd"/>
      <w:r w:rsidRPr="003771D0">
        <w:rPr>
          <w:color w:val="000000" w:themeColor="text1"/>
          <w:spacing w:val="43"/>
          <w:sz w:val="24"/>
          <w:szCs w:val="24"/>
          <w:lang w:val="fr-FR"/>
        </w:rPr>
        <w:t xml:space="preserve"> </w:t>
      </w:r>
      <w:proofErr w:type="spellStart"/>
      <w:r w:rsidRPr="003771D0">
        <w:rPr>
          <w:color w:val="000000" w:themeColor="text1"/>
          <w:sz w:val="24"/>
          <w:szCs w:val="24"/>
          <w:lang w:val="fr-FR"/>
        </w:rPr>
        <w:t>în</w:t>
      </w:r>
      <w:proofErr w:type="spellEnd"/>
      <w:r w:rsidRPr="003771D0">
        <w:rPr>
          <w:color w:val="000000" w:themeColor="text1"/>
          <w:spacing w:val="36"/>
          <w:sz w:val="24"/>
          <w:szCs w:val="24"/>
          <w:lang w:val="fr-FR"/>
        </w:rPr>
        <w:t xml:space="preserve"> </w:t>
      </w:r>
      <w:proofErr w:type="spellStart"/>
      <w:r w:rsidRPr="003771D0">
        <w:rPr>
          <w:color w:val="000000" w:themeColor="text1"/>
          <w:sz w:val="24"/>
          <w:szCs w:val="24"/>
          <w:lang w:val="fr-FR"/>
        </w:rPr>
        <w:t>funcţie</w:t>
      </w:r>
      <w:proofErr w:type="spellEnd"/>
      <w:r w:rsidRPr="003771D0">
        <w:rPr>
          <w:color w:val="000000" w:themeColor="text1"/>
          <w:spacing w:val="36"/>
          <w:sz w:val="24"/>
          <w:szCs w:val="24"/>
          <w:lang w:val="fr-FR"/>
        </w:rPr>
        <w:t xml:space="preserve"> </w:t>
      </w:r>
      <w:r w:rsidRPr="003771D0">
        <w:rPr>
          <w:color w:val="000000" w:themeColor="text1"/>
          <w:sz w:val="24"/>
          <w:szCs w:val="24"/>
          <w:lang w:val="fr-FR"/>
        </w:rPr>
        <w:t>de</w:t>
      </w:r>
      <w:r w:rsidR="008E77F3" w:rsidRPr="003771D0">
        <w:rPr>
          <w:color w:val="000000" w:themeColor="text1"/>
          <w:sz w:val="24"/>
          <w:szCs w:val="24"/>
          <w:lang w:val="fr-FR"/>
        </w:rPr>
        <w:t xml:space="preserve"> </w:t>
      </w:r>
      <w:r w:rsidRPr="003771D0">
        <w:rPr>
          <w:color w:val="000000" w:themeColor="text1"/>
          <w:spacing w:val="-57"/>
          <w:sz w:val="24"/>
          <w:szCs w:val="24"/>
          <w:lang w:val="fr-FR"/>
        </w:rPr>
        <w:t xml:space="preserve"> </w:t>
      </w:r>
      <w:proofErr w:type="spellStart"/>
      <w:r w:rsidRPr="003771D0">
        <w:rPr>
          <w:color w:val="000000" w:themeColor="text1"/>
          <w:sz w:val="24"/>
          <w:szCs w:val="24"/>
          <w:lang w:val="fr-FR"/>
        </w:rPr>
        <w:t>următorii</w:t>
      </w:r>
      <w:proofErr w:type="spellEnd"/>
      <w:r w:rsidRPr="003771D0">
        <w:rPr>
          <w:color w:val="000000" w:themeColor="text1"/>
          <w:spacing w:val="-1"/>
          <w:sz w:val="24"/>
          <w:szCs w:val="24"/>
          <w:lang w:val="fr-FR"/>
        </w:rPr>
        <w:t xml:space="preserve"> </w:t>
      </w:r>
      <w:proofErr w:type="spellStart"/>
      <w:r w:rsidRPr="003771D0">
        <w:rPr>
          <w:color w:val="000000" w:themeColor="text1"/>
          <w:sz w:val="24"/>
          <w:szCs w:val="24"/>
          <w:lang w:val="fr-FR"/>
        </w:rPr>
        <w:t>termeni</w:t>
      </w:r>
      <w:proofErr w:type="spellEnd"/>
      <w:r w:rsidRPr="003771D0">
        <w:rPr>
          <w:color w:val="000000" w:themeColor="text1"/>
          <w:spacing w:val="-1"/>
          <w:sz w:val="24"/>
          <w:szCs w:val="24"/>
          <w:lang w:val="fr-FR"/>
        </w:rPr>
        <w:t xml:space="preserve"> </w:t>
      </w:r>
      <w:r w:rsidRPr="003771D0">
        <w:rPr>
          <w:color w:val="000000" w:themeColor="text1"/>
          <w:sz w:val="24"/>
          <w:szCs w:val="24"/>
          <w:lang w:val="fr-FR"/>
        </w:rPr>
        <w:t>de</w:t>
      </w:r>
      <w:r w:rsidRPr="003771D0">
        <w:rPr>
          <w:color w:val="000000" w:themeColor="text1"/>
          <w:spacing w:val="-1"/>
          <w:sz w:val="24"/>
          <w:szCs w:val="24"/>
          <w:lang w:val="fr-FR"/>
        </w:rPr>
        <w:t xml:space="preserve"> </w:t>
      </w:r>
      <w:proofErr w:type="spellStart"/>
      <w:r w:rsidRPr="003771D0">
        <w:rPr>
          <w:color w:val="000000" w:themeColor="text1"/>
          <w:sz w:val="24"/>
          <w:szCs w:val="24"/>
          <w:lang w:val="fr-FR"/>
        </w:rPr>
        <w:t>referință</w:t>
      </w:r>
      <w:proofErr w:type="spellEnd"/>
      <w:r w:rsidRPr="003771D0">
        <w:rPr>
          <w:color w:val="000000" w:themeColor="text1"/>
          <w:sz w:val="24"/>
          <w:szCs w:val="24"/>
          <w:lang w:val="fr-FR"/>
        </w:rPr>
        <w:t>,</w:t>
      </w:r>
      <w:r w:rsidRPr="003771D0">
        <w:rPr>
          <w:color w:val="000000" w:themeColor="text1"/>
          <w:spacing w:val="-1"/>
          <w:sz w:val="24"/>
          <w:szCs w:val="24"/>
          <w:lang w:val="fr-FR"/>
        </w:rPr>
        <w:t xml:space="preserve"> </w:t>
      </w:r>
      <w:proofErr w:type="spellStart"/>
      <w:r w:rsidRPr="003771D0">
        <w:rPr>
          <w:color w:val="000000" w:themeColor="text1"/>
          <w:sz w:val="24"/>
          <w:szCs w:val="24"/>
          <w:lang w:val="fr-FR"/>
        </w:rPr>
        <w:t>diferenţiat</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în</w:t>
      </w:r>
      <w:proofErr w:type="spellEnd"/>
      <w:r w:rsidRPr="003771D0">
        <w:rPr>
          <w:color w:val="000000" w:themeColor="text1"/>
          <w:spacing w:val="-1"/>
          <w:sz w:val="24"/>
          <w:szCs w:val="24"/>
          <w:lang w:val="fr-FR"/>
        </w:rPr>
        <w:t xml:space="preserve"> </w:t>
      </w:r>
      <w:proofErr w:type="spellStart"/>
      <w:r w:rsidRPr="003771D0">
        <w:rPr>
          <w:color w:val="000000" w:themeColor="text1"/>
          <w:sz w:val="24"/>
          <w:szCs w:val="24"/>
          <w:lang w:val="fr-FR"/>
        </w:rPr>
        <w:t>funcție</w:t>
      </w:r>
      <w:proofErr w:type="spellEnd"/>
      <w:r w:rsidRPr="003771D0">
        <w:rPr>
          <w:color w:val="000000" w:themeColor="text1"/>
          <w:spacing w:val="-1"/>
          <w:sz w:val="24"/>
          <w:szCs w:val="24"/>
          <w:lang w:val="fr-FR"/>
        </w:rPr>
        <w:t xml:space="preserve"> </w:t>
      </w:r>
      <w:r w:rsidRPr="003771D0">
        <w:rPr>
          <w:color w:val="000000" w:themeColor="text1"/>
          <w:sz w:val="24"/>
          <w:szCs w:val="24"/>
          <w:lang w:val="fr-FR"/>
        </w:rPr>
        <w:t>de</w:t>
      </w:r>
      <w:r w:rsidRPr="003771D0">
        <w:rPr>
          <w:color w:val="000000" w:themeColor="text1"/>
          <w:spacing w:val="-2"/>
          <w:sz w:val="24"/>
          <w:szCs w:val="24"/>
          <w:lang w:val="fr-FR"/>
        </w:rPr>
        <w:t xml:space="preserve"> </w:t>
      </w:r>
      <w:proofErr w:type="spellStart"/>
      <w:r w:rsidRPr="003771D0">
        <w:rPr>
          <w:color w:val="000000" w:themeColor="text1"/>
          <w:sz w:val="24"/>
          <w:szCs w:val="24"/>
          <w:lang w:val="fr-FR"/>
        </w:rPr>
        <w:t>suprafaţa</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pe</w:t>
      </w:r>
      <w:proofErr w:type="spellEnd"/>
      <w:r w:rsidRPr="003771D0">
        <w:rPr>
          <w:color w:val="000000" w:themeColor="text1"/>
          <w:spacing w:val="-2"/>
          <w:sz w:val="24"/>
          <w:szCs w:val="24"/>
          <w:lang w:val="fr-FR"/>
        </w:rPr>
        <w:t xml:space="preserve"> </w:t>
      </w:r>
      <w:r w:rsidRPr="003771D0">
        <w:rPr>
          <w:color w:val="000000" w:themeColor="text1"/>
          <w:sz w:val="24"/>
          <w:szCs w:val="24"/>
          <w:lang w:val="fr-FR"/>
        </w:rPr>
        <w:t>care</w:t>
      </w:r>
      <w:r w:rsidRPr="003771D0">
        <w:rPr>
          <w:color w:val="000000" w:themeColor="text1"/>
          <w:spacing w:val="-2"/>
          <w:sz w:val="24"/>
          <w:szCs w:val="24"/>
          <w:lang w:val="fr-FR"/>
        </w:rPr>
        <w:t xml:space="preserve"> </w:t>
      </w:r>
      <w:r w:rsidRPr="003771D0">
        <w:rPr>
          <w:color w:val="000000" w:themeColor="text1"/>
          <w:sz w:val="24"/>
          <w:szCs w:val="24"/>
          <w:lang w:val="fr-FR"/>
        </w:rPr>
        <w:t>o</w:t>
      </w:r>
      <w:r w:rsidRPr="003771D0">
        <w:rPr>
          <w:color w:val="000000" w:themeColor="text1"/>
          <w:spacing w:val="-1"/>
          <w:sz w:val="24"/>
          <w:szCs w:val="24"/>
          <w:lang w:val="fr-FR"/>
        </w:rPr>
        <w:t xml:space="preserve"> </w:t>
      </w:r>
      <w:proofErr w:type="spellStart"/>
      <w:r w:rsidRPr="003771D0">
        <w:rPr>
          <w:color w:val="000000" w:themeColor="text1"/>
          <w:sz w:val="24"/>
          <w:szCs w:val="24"/>
          <w:lang w:val="fr-FR"/>
        </w:rPr>
        <w:t>ocupă</w:t>
      </w:r>
      <w:proofErr w:type="spellEnd"/>
      <w:r w:rsidRPr="003771D0">
        <w:rPr>
          <w:color w:val="000000" w:themeColor="text1"/>
          <w:spacing w:val="-1"/>
          <w:sz w:val="24"/>
          <w:szCs w:val="24"/>
          <w:lang w:val="fr-FR"/>
        </w:rPr>
        <w:t xml:space="preserve"> </w:t>
      </w:r>
      <w:proofErr w:type="spellStart"/>
      <w:r w:rsidRPr="003771D0">
        <w:rPr>
          <w:color w:val="000000" w:themeColor="text1"/>
          <w:sz w:val="24"/>
          <w:szCs w:val="24"/>
          <w:lang w:val="fr-FR"/>
        </w:rPr>
        <w:t>habitatul</w:t>
      </w:r>
      <w:proofErr w:type="spellEnd"/>
      <w:r w:rsidRPr="003771D0">
        <w:rPr>
          <w:color w:val="000000" w:themeColor="text1"/>
          <w:sz w:val="24"/>
          <w:szCs w:val="24"/>
          <w:lang w:val="fr-FR"/>
        </w:rPr>
        <w:t>.</w:t>
      </w:r>
    </w:p>
    <w:p w14:paraId="101CF427" w14:textId="77777777" w:rsidR="00BC5122" w:rsidRPr="003771D0" w:rsidRDefault="00BC5122" w:rsidP="003771D0">
      <w:pPr>
        <w:pStyle w:val="Heading2"/>
        <w:ind w:left="90" w:right="26"/>
        <w:jc w:val="both"/>
        <w:rPr>
          <w:b w:val="0"/>
          <w:color w:val="000000" w:themeColor="text1"/>
          <w:sz w:val="24"/>
          <w:szCs w:val="24"/>
        </w:rPr>
      </w:pPr>
      <w:proofErr w:type="spellStart"/>
      <w:r w:rsidRPr="003771D0">
        <w:rPr>
          <w:color w:val="000000" w:themeColor="text1"/>
          <w:sz w:val="24"/>
          <w:szCs w:val="24"/>
        </w:rPr>
        <w:t>Arealul</w:t>
      </w:r>
      <w:proofErr w:type="spellEnd"/>
      <w:r w:rsidRPr="003771D0">
        <w:rPr>
          <w:color w:val="000000" w:themeColor="text1"/>
          <w:spacing w:val="-2"/>
          <w:sz w:val="24"/>
          <w:szCs w:val="24"/>
        </w:rPr>
        <w:t xml:space="preserve"> </w:t>
      </w:r>
      <w:proofErr w:type="spellStart"/>
      <w:r w:rsidRPr="003771D0">
        <w:rPr>
          <w:color w:val="000000" w:themeColor="text1"/>
          <w:sz w:val="24"/>
          <w:szCs w:val="24"/>
        </w:rPr>
        <w:t>Favorabil</w:t>
      </w:r>
      <w:proofErr w:type="spellEnd"/>
      <w:r w:rsidRPr="003771D0">
        <w:rPr>
          <w:color w:val="000000" w:themeColor="text1"/>
          <w:spacing w:val="-1"/>
          <w:sz w:val="24"/>
          <w:szCs w:val="24"/>
        </w:rPr>
        <w:t xml:space="preserve"> </w:t>
      </w:r>
      <w:r w:rsidRPr="003771D0">
        <w:rPr>
          <w:color w:val="000000" w:themeColor="text1"/>
          <w:sz w:val="24"/>
          <w:szCs w:val="24"/>
        </w:rPr>
        <w:t>de</w:t>
      </w:r>
      <w:r w:rsidRPr="003771D0">
        <w:rPr>
          <w:color w:val="000000" w:themeColor="text1"/>
          <w:spacing w:val="-3"/>
          <w:sz w:val="24"/>
          <w:szCs w:val="24"/>
        </w:rPr>
        <w:t xml:space="preserve"> </w:t>
      </w:r>
      <w:proofErr w:type="spellStart"/>
      <w:r w:rsidRPr="003771D0">
        <w:rPr>
          <w:color w:val="000000" w:themeColor="text1"/>
          <w:sz w:val="24"/>
          <w:szCs w:val="24"/>
        </w:rPr>
        <w:t>Referinţă</w:t>
      </w:r>
      <w:proofErr w:type="spellEnd"/>
      <w:r w:rsidRPr="003771D0">
        <w:rPr>
          <w:color w:val="000000" w:themeColor="text1"/>
          <w:sz w:val="24"/>
          <w:szCs w:val="24"/>
        </w:rPr>
        <w:t xml:space="preserve"> </w:t>
      </w:r>
      <w:r w:rsidRPr="003771D0">
        <w:rPr>
          <w:b w:val="0"/>
          <w:color w:val="000000" w:themeColor="text1"/>
          <w:sz w:val="24"/>
          <w:szCs w:val="24"/>
        </w:rPr>
        <w:t xml:space="preserve">(AFR) </w:t>
      </w:r>
      <w:r w:rsidRPr="003771D0">
        <w:rPr>
          <w:color w:val="000000" w:themeColor="text1"/>
          <w:sz w:val="24"/>
          <w:szCs w:val="24"/>
        </w:rPr>
        <w:t>-</w:t>
      </w:r>
      <w:r w:rsidRPr="003771D0">
        <w:rPr>
          <w:color w:val="000000" w:themeColor="text1"/>
          <w:spacing w:val="-2"/>
          <w:sz w:val="24"/>
          <w:szCs w:val="24"/>
        </w:rPr>
        <w:t xml:space="preserve"> </w:t>
      </w:r>
      <w:proofErr w:type="spellStart"/>
      <w:r w:rsidRPr="003771D0">
        <w:rPr>
          <w:color w:val="000000" w:themeColor="text1"/>
          <w:sz w:val="24"/>
          <w:szCs w:val="24"/>
        </w:rPr>
        <w:t>estimarea</w:t>
      </w:r>
      <w:proofErr w:type="spellEnd"/>
      <w:r w:rsidRPr="003771D0">
        <w:rPr>
          <w:color w:val="000000" w:themeColor="text1"/>
          <w:spacing w:val="-2"/>
          <w:sz w:val="24"/>
          <w:szCs w:val="24"/>
        </w:rPr>
        <w:t xml:space="preserve"> </w:t>
      </w:r>
      <w:proofErr w:type="spellStart"/>
      <w:r w:rsidRPr="003771D0">
        <w:rPr>
          <w:color w:val="000000" w:themeColor="text1"/>
          <w:sz w:val="24"/>
          <w:szCs w:val="24"/>
        </w:rPr>
        <w:t>arealului</w:t>
      </w:r>
      <w:proofErr w:type="spellEnd"/>
    </w:p>
    <w:p w14:paraId="41CF3663" w14:textId="77777777" w:rsidR="00BC5122" w:rsidRPr="003771D0" w:rsidRDefault="00BC5122" w:rsidP="003771D0">
      <w:pPr>
        <w:pStyle w:val="BodyText"/>
        <w:ind w:left="0" w:right="116"/>
        <w:jc w:val="both"/>
        <w:rPr>
          <w:color w:val="000000" w:themeColor="text1"/>
          <w:sz w:val="24"/>
          <w:szCs w:val="24"/>
          <w:lang w:val="fr-FR"/>
        </w:rPr>
      </w:pPr>
      <w:proofErr w:type="spellStart"/>
      <w:r w:rsidRPr="003771D0">
        <w:rPr>
          <w:color w:val="000000" w:themeColor="text1"/>
          <w:sz w:val="24"/>
          <w:szCs w:val="24"/>
          <w:lang w:val="fr-FR"/>
        </w:rPr>
        <w:t>Arealul</w:t>
      </w:r>
      <w:proofErr w:type="spellEnd"/>
      <w:r w:rsidRPr="003771D0">
        <w:rPr>
          <w:color w:val="000000" w:themeColor="text1"/>
          <w:sz w:val="24"/>
          <w:szCs w:val="24"/>
          <w:lang w:val="fr-FR"/>
        </w:rPr>
        <w:t xml:space="preserve"> este </w:t>
      </w:r>
      <w:proofErr w:type="spellStart"/>
      <w:r w:rsidRPr="003771D0">
        <w:rPr>
          <w:color w:val="000000" w:themeColor="text1"/>
          <w:sz w:val="24"/>
          <w:szCs w:val="24"/>
          <w:lang w:val="fr-FR"/>
        </w:rPr>
        <w:t>teritoriul</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în</w:t>
      </w:r>
      <w:proofErr w:type="spellEnd"/>
      <w:r w:rsidRPr="003771D0">
        <w:rPr>
          <w:color w:val="000000" w:themeColor="text1"/>
          <w:sz w:val="24"/>
          <w:szCs w:val="24"/>
          <w:lang w:val="fr-FR"/>
        </w:rPr>
        <w:t xml:space="preserve"> care se </w:t>
      </w:r>
      <w:proofErr w:type="spellStart"/>
      <w:r w:rsidRPr="003771D0">
        <w:rPr>
          <w:color w:val="000000" w:themeColor="text1"/>
          <w:sz w:val="24"/>
          <w:szCs w:val="24"/>
          <w:lang w:val="fr-FR"/>
        </w:rPr>
        <w:t>regăseşte</w:t>
      </w:r>
      <w:proofErr w:type="spellEnd"/>
      <w:r w:rsidRPr="003771D0">
        <w:rPr>
          <w:color w:val="000000" w:themeColor="text1"/>
          <w:sz w:val="24"/>
          <w:szCs w:val="24"/>
          <w:lang w:val="fr-FR"/>
        </w:rPr>
        <w:t xml:space="preserve"> un habitat </w:t>
      </w:r>
      <w:proofErr w:type="spellStart"/>
      <w:r w:rsidRPr="003771D0">
        <w:rPr>
          <w:color w:val="000000" w:themeColor="text1"/>
          <w:sz w:val="24"/>
          <w:szCs w:val="24"/>
          <w:lang w:val="fr-FR"/>
        </w:rPr>
        <w:t>poate</w:t>
      </w:r>
      <w:proofErr w:type="spellEnd"/>
      <w:r w:rsidRPr="003771D0">
        <w:rPr>
          <w:color w:val="000000" w:themeColor="text1"/>
          <w:sz w:val="24"/>
          <w:szCs w:val="24"/>
          <w:lang w:val="fr-FR"/>
        </w:rPr>
        <w:t xml:space="preserve"> fi </w:t>
      </w:r>
      <w:proofErr w:type="spellStart"/>
      <w:r w:rsidRPr="003771D0">
        <w:rPr>
          <w:color w:val="000000" w:themeColor="text1"/>
          <w:sz w:val="24"/>
          <w:szCs w:val="24"/>
          <w:lang w:val="fr-FR"/>
        </w:rPr>
        <w:t>reprezentat</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pe</w:t>
      </w:r>
      <w:proofErr w:type="spellEnd"/>
      <w:r w:rsidRPr="003771D0">
        <w:rPr>
          <w:color w:val="000000" w:themeColor="text1"/>
          <w:sz w:val="24"/>
          <w:szCs w:val="24"/>
          <w:lang w:val="fr-FR"/>
        </w:rPr>
        <w:t xml:space="preserve"> o </w:t>
      </w:r>
      <w:proofErr w:type="spellStart"/>
      <w:r w:rsidRPr="003771D0">
        <w:rPr>
          <w:color w:val="000000" w:themeColor="text1"/>
          <w:sz w:val="24"/>
          <w:szCs w:val="24"/>
          <w:lang w:val="fr-FR"/>
        </w:rPr>
        <w:t>hartă</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sau</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delimitat</w:t>
      </w:r>
      <w:proofErr w:type="spellEnd"/>
      <w:r w:rsidRPr="003771D0">
        <w:rPr>
          <w:color w:val="000000" w:themeColor="text1"/>
          <w:spacing w:val="1"/>
          <w:sz w:val="24"/>
          <w:szCs w:val="24"/>
          <w:lang w:val="fr-FR"/>
        </w:rPr>
        <w:t xml:space="preserve"> </w:t>
      </w:r>
      <w:r w:rsidRPr="003771D0">
        <w:rPr>
          <w:color w:val="000000" w:themeColor="text1"/>
          <w:sz w:val="24"/>
          <w:szCs w:val="24"/>
          <w:lang w:val="fr-FR"/>
        </w:rPr>
        <w:t xml:space="preserve">ca </w:t>
      </w:r>
      <w:proofErr w:type="spellStart"/>
      <w:r w:rsidRPr="003771D0">
        <w:rPr>
          <w:color w:val="000000" w:themeColor="text1"/>
          <w:sz w:val="24"/>
          <w:szCs w:val="24"/>
          <w:lang w:val="fr-FR"/>
        </w:rPr>
        <w:t>şi</w:t>
      </w:r>
      <w:proofErr w:type="spellEnd"/>
      <w:r w:rsidRPr="003771D0">
        <w:rPr>
          <w:color w:val="000000" w:themeColor="text1"/>
          <w:spacing w:val="1"/>
          <w:sz w:val="24"/>
          <w:szCs w:val="24"/>
          <w:lang w:val="fr-FR"/>
        </w:rPr>
        <w:t xml:space="preserve"> </w:t>
      </w:r>
      <w:proofErr w:type="spellStart"/>
      <w:r w:rsidRPr="003771D0">
        <w:rPr>
          <w:color w:val="000000" w:themeColor="text1"/>
          <w:sz w:val="24"/>
          <w:szCs w:val="24"/>
          <w:lang w:val="fr-FR"/>
        </w:rPr>
        <w:t>suprafaţă</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măsurabilă</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Arealul</w:t>
      </w:r>
      <w:proofErr w:type="spellEnd"/>
      <w:r w:rsidRPr="003771D0">
        <w:rPr>
          <w:color w:val="000000" w:themeColor="text1"/>
          <w:spacing w:val="1"/>
          <w:sz w:val="24"/>
          <w:szCs w:val="24"/>
          <w:lang w:val="fr-FR"/>
        </w:rPr>
        <w:t xml:space="preserve"> </w:t>
      </w:r>
      <w:proofErr w:type="spellStart"/>
      <w:r w:rsidRPr="003771D0">
        <w:rPr>
          <w:color w:val="000000" w:themeColor="text1"/>
          <w:sz w:val="24"/>
          <w:szCs w:val="24"/>
          <w:lang w:val="fr-FR"/>
        </w:rPr>
        <w:t>habitatului</w:t>
      </w:r>
      <w:proofErr w:type="spellEnd"/>
      <w:r w:rsidRPr="003771D0">
        <w:rPr>
          <w:color w:val="000000" w:themeColor="text1"/>
          <w:spacing w:val="1"/>
          <w:sz w:val="24"/>
          <w:szCs w:val="24"/>
          <w:lang w:val="fr-FR"/>
        </w:rPr>
        <w:t xml:space="preserve"> </w:t>
      </w:r>
      <w:r w:rsidRPr="003771D0">
        <w:rPr>
          <w:color w:val="000000" w:themeColor="text1"/>
          <w:sz w:val="24"/>
          <w:szCs w:val="24"/>
          <w:lang w:val="fr-FR"/>
        </w:rPr>
        <w:t xml:space="preserve">se </w:t>
      </w:r>
      <w:proofErr w:type="spellStart"/>
      <w:r w:rsidRPr="003771D0">
        <w:rPr>
          <w:color w:val="000000" w:themeColor="text1"/>
          <w:sz w:val="24"/>
          <w:szCs w:val="24"/>
          <w:lang w:val="fr-FR"/>
        </w:rPr>
        <w:t>raportează</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în</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funcţie</w:t>
      </w:r>
      <w:proofErr w:type="spellEnd"/>
      <w:r w:rsidRPr="003771D0">
        <w:rPr>
          <w:color w:val="000000" w:themeColor="text1"/>
          <w:spacing w:val="1"/>
          <w:sz w:val="24"/>
          <w:szCs w:val="24"/>
          <w:lang w:val="fr-FR"/>
        </w:rPr>
        <w:t xml:space="preserve"> </w:t>
      </w:r>
      <w:r w:rsidRPr="003771D0">
        <w:rPr>
          <w:color w:val="000000" w:themeColor="text1"/>
          <w:sz w:val="24"/>
          <w:szCs w:val="24"/>
          <w:lang w:val="fr-FR"/>
        </w:rPr>
        <w:t xml:space="preserve">de </w:t>
      </w:r>
      <w:proofErr w:type="spellStart"/>
      <w:r w:rsidRPr="003771D0">
        <w:rPr>
          <w:color w:val="000000" w:themeColor="text1"/>
          <w:sz w:val="24"/>
          <w:szCs w:val="24"/>
          <w:lang w:val="fr-FR"/>
        </w:rPr>
        <w:t>cele</w:t>
      </w:r>
      <w:proofErr w:type="spellEnd"/>
      <w:r w:rsidRPr="003771D0">
        <w:rPr>
          <w:color w:val="000000" w:themeColor="text1"/>
          <w:spacing w:val="1"/>
          <w:sz w:val="24"/>
          <w:szCs w:val="24"/>
          <w:lang w:val="fr-FR"/>
        </w:rPr>
        <w:t xml:space="preserve"> </w:t>
      </w:r>
      <w:r w:rsidRPr="003771D0">
        <w:rPr>
          <w:color w:val="000000" w:themeColor="text1"/>
          <w:sz w:val="24"/>
          <w:szCs w:val="24"/>
          <w:lang w:val="fr-FR"/>
        </w:rPr>
        <w:t xml:space="preserve">mai </w:t>
      </w:r>
      <w:proofErr w:type="spellStart"/>
      <w:r w:rsidRPr="003771D0">
        <w:rPr>
          <w:color w:val="000000" w:themeColor="text1"/>
          <w:sz w:val="24"/>
          <w:szCs w:val="24"/>
          <w:lang w:val="fr-FR"/>
        </w:rPr>
        <w:t>recente</w:t>
      </w:r>
      <w:proofErr w:type="spellEnd"/>
      <w:r w:rsidRPr="003771D0">
        <w:rPr>
          <w:color w:val="000000" w:themeColor="text1"/>
          <w:spacing w:val="1"/>
          <w:sz w:val="24"/>
          <w:szCs w:val="24"/>
          <w:lang w:val="fr-FR"/>
        </w:rPr>
        <w:t xml:space="preserve"> </w:t>
      </w:r>
      <w:proofErr w:type="spellStart"/>
      <w:r w:rsidRPr="003771D0">
        <w:rPr>
          <w:color w:val="000000" w:themeColor="text1"/>
          <w:sz w:val="24"/>
          <w:szCs w:val="24"/>
          <w:lang w:val="fr-FR"/>
        </w:rPr>
        <w:t>informaţii</w:t>
      </w:r>
      <w:proofErr w:type="spellEnd"/>
      <w:r w:rsidRPr="003771D0">
        <w:rPr>
          <w:color w:val="000000" w:themeColor="text1"/>
          <w:spacing w:val="-1"/>
          <w:sz w:val="24"/>
          <w:szCs w:val="24"/>
          <w:lang w:val="fr-FR"/>
        </w:rPr>
        <w:t xml:space="preserve"> </w:t>
      </w:r>
      <w:proofErr w:type="spellStart"/>
      <w:r w:rsidRPr="003771D0">
        <w:rPr>
          <w:color w:val="000000" w:themeColor="text1"/>
          <w:sz w:val="24"/>
          <w:szCs w:val="24"/>
          <w:lang w:val="fr-FR"/>
        </w:rPr>
        <w:t>disponibile</w:t>
      </w:r>
      <w:proofErr w:type="spellEnd"/>
      <w:r w:rsidRPr="003771D0">
        <w:rPr>
          <w:color w:val="000000" w:themeColor="text1"/>
          <w:spacing w:val="-1"/>
          <w:sz w:val="24"/>
          <w:szCs w:val="24"/>
          <w:lang w:val="fr-FR"/>
        </w:rPr>
        <w:t xml:space="preserve"> </w:t>
      </w:r>
      <w:r w:rsidRPr="003771D0">
        <w:rPr>
          <w:color w:val="000000" w:themeColor="text1"/>
          <w:sz w:val="24"/>
          <w:szCs w:val="24"/>
          <w:lang w:val="fr-FR"/>
        </w:rPr>
        <w:t xml:space="preserve">la data </w:t>
      </w:r>
      <w:proofErr w:type="spellStart"/>
      <w:r w:rsidRPr="003771D0">
        <w:rPr>
          <w:color w:val="000000" w:themeColor="text1"/>
          <w:sz w:val="24"/>
          <w:szCs w:val="24"/>
          <w:lang w:val="fr-FR"/>
        </w:rPr>
        <w:t>raportării</w:t>
      </w:r>
      <w:proofErr w:type="spellEnd"/>
      <w:r w:rsidRPr="003771D0">
        <w:rPr>
          <w:color w:val="000000" w:themeColor="text1"/>
          <w:sz w:val="24"/>
          <w:szCs w:val="24"/>
          <w:lang w:val="fr-FR"/>
        </w:rPr>
        <w:t>.</w:t>
      </w:r>
    </w:p>
    <w:p w14:paraId="45665E7A" w14:textId="77777777" w:rsidR="00BC5122" w:rsidRPr="003771D0" w:rsidRDefault="00BC5122" w:rsidP="003771D0">
      <w:pPr>
        <w:pStyle w:val="BodyText"/>
        <w:ind w:left="0" w:right="116"/>
        <w:jc w:val="both"/>
        <w:rPr>
          <w:color w:val="000000" w:themeColor="text1"/>
          <w:sz w:val="24"/>
          <w:szCs w:val="24"/>
          <w:lang w:val="fr-FR"/>
        </w:rPr>
      </w:pPr>
      <w:proofErr w:type="spellStart"/>
      <w:r w:rsidRPr="003771D0">
        <w:rPr>
          <w:color w:val="000000" w:themeColor="text1"/>
          <w:sz w:val="24"/>
          <w:szCs w:val="24"/>
          <w:lang w:val="fr-FR"/>
        </w:rPr>
        <w:t>Arealul</w:t>
      </w:r>
      <w:proofErr w:type="spellEnd"/>
      <w:r w:rsidRPr="003771D0">
        <w:rPr>
          <w:color w:val="000000" w:themeColor="text1"/>
          <w:sz w:val="24"/>
          <w:szCs w:val="24"/>
          <w:lang w:val="fr-FR"/>
        </w:rPr>
        <w:t xml:space="preserve"> se </w:t>
      </w:r>
      <w:proofErr w:type="spellStart"/>
      <w:r w:rsidRPr="003771D0">
        <w:rPr>
          <w:color w:val="000000" w:themeColor="text1"/>
          <w:sz w:val="24"/>
          <w:szCs w:val="24"/>
          <w:lang w:val="fr-FR"/>
        </w:rPr>
        <w:t>consideră</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prin</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limitele</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exterioare</w:t>
      </w:r>
      <w:proofErr w:type="spellEnd"/>
      <w:r w:rsidRPr="003771D0">
        <w:rPr>
          <w:color w:val="000000" w:themeColor="text1"/>
          <w:sz w:val="24"/>
          <w:szCs w:val="24"/>
          <w:lang w:val="fr-FR"/>
        </w:rPr>
        <w:t xml:space="preserve"> ale </w:t>
      </w:r>
      <w:proofErr w:type="spellStart"/>
      <w:r w:rsidRPr="003771D0">
        <w:rPr>
          <w:color w:val="000000" w:themeColor="text1"/>
          <w:sz w:val="24"/>
          <w:szCs w:val="24"/>
          <w:lang w:val="fr-FR"/>
        </w:rPr>
        <w:t>suprafeţei</w:t>
      </w:r>
      <w:proofErr w:type="spellEnd"/>
      <w:r w:rsidRPr="003771D0">
        <w:rPr>
          <w:color w:val="000000" w:themeColor="text1"/>
          <w:sz w:val="24"/>
          <w:szCs w:val="24"/>
          <w:lang w:val="fr-FR"/>
        </w:rPr>
        <w:t xml:space="preserve"> totale </w:t>
      </w:r>
      <w:proofErr w:type="spellStart"/>
      <w:r w:rsidRPr="003771D0">
        <w:rPr>
          <w:color w:val="000000" w:themeColor="text1"/>
          <w:sz w:val="24"/>
          <w:szCs w:val="24"/>
          <w:lang w:val="fr-FR"/>
        </w:rPr>
        <w:t>în</w:t>
      </w:r>
      <w:proofErr w:type="spellEnd"/>
      <w:r w:rsidRPr="003771D0">
        <w:rPr>
          <w:color w:val="000000" w:themeColor="text1"/>
          <w:sz w:val="24"/>
          <w:szCs w:val="24"/>
          <w:lang w:val="fr-FR"/>
        </w:rPr>
        <w:t xml:space="preserve"> care </w:t>
      </w:r>
      <w:proofErr w:type="spellStart"/>
      <w:r w:rsidRPr="003771D0">
        <w:rPr>
          <w:color w:val="000000" w:themeColor="text1"/>
          <w:sz w:val="24"/>
          <w:szCs w:val="24"/>
          <w:lang w:val="fr-FR"/>
        </w:rPr>
        <w:t>habitatul</w:t>
      </w:r>
      <w:proofErr w:type="spellEnd"/>
      <w:r w:rsidRPr="003771D0">
        <w:rPr>
          <w:color w:val="000000" w:themeColor="text1"/>
          <w:sz w:val="24"/>
          <w:szCs w:val="24"/>
          <w:lang w:val="fr-FR"/>
        </w:rPr>
        <w:t xml:space="preserve"> se </w:t>
      </w:r>
      <w:proofErr w:type="spellStart"/>
      <w:r w:rsidRPr="003771D0">
        <w:rPr>
          <w:color w:val="000000" w:themeColor="text1"/>
          <w:sz w:val="24"/>
          <w:szCs w:val="24"/>
          <w:lang w:val="fr-FR"/>
        </w:rPr>
        <w:t>găseşte</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în</w:t>
      </w:r>
      <w:proofErr w:type="spellEnd"/>
      <w:r w:rsidRPr="003771D0">
        <w:rPr>
          <w:color w:val="000000" w:themeColor="text1"/>
          <w:spacing w:val="1"/>
          <w:sz w:val="24"/>
          <w:szCs w:val="24"/>
          <w:lang w:val="fr-FR"/>
        </w:rPr>
        <w:t xml:space="preserve"> </w:t>
      </w:r>
      <w:proofErr w:type="spellStart"/>
      <w:r w:rsidRPr="003771D0">
        <w:rPr>
          <w:color w:val="000000" w:themeColor="text1"/>
          <w:sz w:val="24"/>
          <w:szCs w:val="24"/>
          <w:lang w:val="fr-FR"/>
        </w:rPr>
        <w:t>prezent</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În</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multe</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cazuri</w:t>
      </w:r>
      <w:proofErr w:type="spellEnd"/>
      <w:r w:rsidRPr="003771D0">
        <w:rPr>
          <w:color w:val="000000" w:themeColor="text1"/>
          <w:sz w:val="24"/>
          <w:szCs w:val="24"/>
          <w:lang w:val="fr-FR"/>
        </w:rPr>
        <w:t xml:space="preserve"> nu </w:t>
      </w:r>
      <w:proofErr w:type="spellStart"/>
      <w:r w:rsidRPr="003771D0">
        <w:rPr>
          <w:color w:val="000000" w:themeColor="text1"/>
          <w:sz w:val="24"/>
          <w:szCs w:val="24"/>
          <w:lang w:val="fr-FR"/>
        </w:rPr>
        <w:t>tot</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arealul</w:t>
      </w:r>
      <w:proofErr w:type="spellEnd"/>
      <w:r w:rsidRPr="003771D0">
        <w:rPr>
          <w:color w:val="000000" w:themeColor="text1"/>
          <w:sz w:val="24"/>
          <w:szCs w:val="24"/>
          <w:lang w:val="fr-FR"/>
        </w:rPr>
        <w:t xml:space="preserve"> va fi </w:t>
      </w:r>
      <w:proofErr w:type="spellStart"/>
      <w:r w:rsidRPr="003771D0">
        <w:rPr>
          <w:color w:val="000000" w:themeColor="text1"/>
          <w:sz w:val="24"/>
          <w:szCs w:val="24"/>
          <w:lang w:val="fr-FR"/>
        </w:rPr>
        <w:t>practic</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ocupat</w:t>
      </w:r>
      <w:proofErr w:type="spellEnd"/>
      <w:r w:rsidRPr="003771D0">
        <w:rPr>
          <w:color w:val="000000" w:themeColor="text1"/>
          <w:sz w:val="24"/>
          <w:szCs w:val="24"/>
          <w:lang w:val="fr-FR"/>
        </w:rPr>
        <w:t xml:space="preserve"> de habitat. </w:t>
      </w:r>
      <w:proofErr w:type="spellStart"/>
      <w:r w:rsidRPr="003771D0">
        <w:rPr>
          <w:color w:val="000000" w:themeColor="text1"/>
          <w:sz w:val="24"/>
          <w:szCs w:val="24"/>
          <w:lang w:val="fr-FR"/>
        </w:rPr>
        <w:t>Acesta</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include</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şi</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suprafeţe</w:t>
      </w:r>
      <w:proofErr w:type="spellEnd"/>
      <w:r w:rsidRPr="003771D0">
        <w:rPr>
          <w:color w:val="000000" w:themeColor="text1"/>
          <w:spacing w:val="1"/>
          <w:sz w:val="24"/>
          <w:szCs w:val="24"/>
          <w:lang w:val="fr-FR"/>
        </w:rPr>
        <w:t xml:space="preserve"> </w:t>
      </w:r>
      <w:r w:rsidRPr="003771D0">
        <w:rPr>
          <w:color w:val="000000" w:themeColor="text1"/>
          <w:sz w:val="24"/>
          <w:szCs w:val="24"/>
          <w:lang w:val="fr-FR"/>
        </w:rPr>
        <w:t>care</w:t>
      </w:r>
      <w:r w:rsidRPr="003771D0">
        <w:rPr>
          <w:color w:val="000000" w:themeColor="text1"/>
          <w:spacing w:val="-3"/>
          <w:sz w:val="24"/>
          <w:szCs w:val="24"/>
          <w:lang w:val="fr-FR"/>
        </w:rPr>
        <w:t xml:space="preserve"> </w:t>
      </w:r>
      <w:r w:rsidRPr="003771D0">
        <w:rPr>
          <w:color w:val="000000" w:themeColor="text1"/>
          <w:sz w:val="24"/>
          <w:szCs w:val="24"/>
          <w:lang w:val="fr-FR"/>
        </w:rPr>
        <w:t xml:space="preserve">nu </w:t>
      </w:r>
      <w:proofErr w:type="spellStart"/>
      <w:r w:rsidRPr="003771D0">
        <w:rPr>
          <w:color w:val="000000" w:themeColor="text1"/>
          <w:sz w:val="24"/>
          <w:szCs w:val="24"/>
          <w:lang w:val="fr-FR"/>
        </w:rPr>
        <w:t>sunt</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utilizate</w:t>
      </w:r>
      <w:proofErr w:type="spellEnd"/>
      <w:r w:rsidRPr="003771D0">
        <w:rPr>
          <w:color w:val="000000" w:themeColor="text1"/>
          <w:sz w:val="24"/>
          <w:szCs w:val="24"/>
          <w:lang w:val="fr-FR"/>
        </w:rPr>
        <w:t xml:space="preserve"> permanent.</w:t>
      </w:r>
    </w:p>
    <w:p w14:paraId="03433CB3" w14:textId="77777777" w:rsidR="00BC5122" w:rsidRPr="003771D0" w:rsidRDefault="00BC5122" w:rsidP="003771D0">
      <w:pPr>
        <w:pStyle w:val="BodyText"/>
        <w:ind w:left="0" w:right="116"/>
        <w:jc w:val="both"/>
        <w:rPr>
          <w:color w:val="000000" w:themeColor="text1"/>
          <w:sz w:val="24"/>
          <w:szCs w:val="24"/>
          <w:lang w:val="fr-FR"/>
        </w:rPr>
      </w:pPr>
      <w:proofErr w:type="spellStart"/>
      <w:r w:rsidRPr="003771D0">
        <w:rPr>
          <w:color w:val="000000" w:themeColor="text1"/>
          <w:sz w:val="24"/>
          <w:szCs w:val="24"/>
          <w:lang w:val="fr-FR"/>
        </w:rPr>
        <w:t>Arealul</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poate</w:t>
      </w:r>
      <w:proofErr w:type="spellEnd"/>
      <w:r w:rsidRPr="003771D0">
        <w:rPr>
          <w:color w:val="000000" w:themeColor="text1"/>
          <w:sz w:val="24"/>
          <w:szCs w:val="24"/>
          <w:lang w:val="fr-FR"/>
        </w:rPr>
        <w:t xml:space="preserve"> fi </w:t>
      </w:r>
      <w:proofErr w:type="spellStart"/>
      <w:r w:rsidRPr="003771D0">
        <w:rPr>
          <w:color w:val="000000" w:themeColor="text1"/>
          <w:sz w:val="24"/>
          <w:szCs w:val="24"/>
          <w:lang w:val="fr-FR"/>
        </w:rPr>
        <w:t>discontinuu</w:t>
      </w:r>
      <w:proofErr w:type="spellEnd"/>
      <w:r w:rsidRPr="003771D0">
        <w:rPr>
          <w:color w:val="000000" w:themeColor="text1"/>
          <w:sz w:val="24"/>
          <w:szCs w:val="24"/>
          <w:lang w:val="fr-FR"/>
        </w:rPr>
        <w:t xml:space="preserve">, de </w:t>
      </w:r>
      <w:proofErr w:type="spellStart"/>
      <w:r w:rsidRPr="003771D0">
        <w:rPr>
          <w:color w:val="000000" w:themeColor="text1"/>
          <w:sz w:val="24"/>
          <w:szCs w:val="24"/>
          <w:lang w:val="fr-FR"/>
        </w:rPr>
        <w:t>exemplu</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în</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cazul</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habitatelor</w:t>
      </w:r>
      <w:proofErr w:type="spellEnd"/>
      <w:r w:rsidRPr="003771D0">
        <w:rPr>
          <w:color w:val="000000" w:themeColor="text1"/>
          <w:sz w:val="24"/>
          <w:szCs w:val="24"/>
          <w:lang w:val="fr-FR"/>
        </w:rPr>
        <w:t xml:space="preserve"> de </w:t>
      </w:r>
      <w:proofErr w:type="spellStart"/>
      <w:r w:rsidRPr="003771D0">
        <w:rPr>
          <w:color w:val="000000" w:themeColor="text1"/>
          <w:sz w:val="24"/>
          <w:szCs w:val="24"/>
          <w:lang w:val="fr-FR"/>
        </w:rPr>
        <w:t>sărături</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acestea</w:t>
      </w:r>
      <w:proofErr w:type="spellEnd"/>
      <w:r w:rsidRPr="003771D0">
        <w:rPr>
          <w:color w:val="000000" w:themeColor="text1"/>
          <w:sz w:val="24"/>
          <w:szCs w:val="24"/>
          <w:lang w:val="fr-FR"/>
        </w:rPr>
        <w:t xml:space="preserve"> vor fi </w:t>
      </w:r>
      <w:proofErr w:type="spellStart"/>
      <w:r w:rsidRPr="003771D0">
        <w:rPr>
          <w:color w:val="000000" w:themeColor="text1"/>
          <w:sz w:val="24"/>
          <w:szCs w:val="24"/>
          <w:lang w:val="fr-FR"/>
        </w:rPr>
        <w:t>regăsite</w:t>
      </w:r>
      <w:proofErr w:type="spellEnd"/>
      <w:r w:rsidRPr="003771D0">
        <w:rPr>
          <w:color w:val="000000" w:themeColor="text1"/>
          <w:sz w:val="24"/>
          <w:szCs w:val="24"/>
          <w:lang w:val="fr-FR"/>
        </w:rPr>
        <w:t xml:space="preserve"> la</w:t>
      </w:r>
      <w:r w:rsidRPr="003771D0">
        <w:rPr>
          <w:color w:val="000000" w:themeColor="text1"/>
          <w:spacing w:val="1"/>
          <w:sz w:val="24"/>
          <w:szCs w:val="24"/>
          <w:lang w:val="fr-FR"/>
        </w:rPr>
        <w:t xml:space="preserve"> </w:t>
      </w:r>
      <w:proofErr w:type="spellStart"/>
      <w:r w:rsidRPr="003771D0">
        <w:rPr>
          <w:color w:val="000000" w:themeColor="text1"/>
          <w:sz w:val="24"/>
          <w:szCs w:val="24"/>
          <w:lang w:val="fr-FR"/>
        </w:rPr>
        <w:t>altitudini</w:t>
      </w:r>
      <w:proofErr w:type="spellEnd"/>
      <w:r w:rsidRPr="003771D0">
        <w:rPr>
          <w:color w:val="000000" w:themeColor="text1"/>
          <w:sz w:val="24"/>
          <w:szCs w:val="24"/>
          <w:lang w:val="fr-FR"/>
        </w:rPr>
        <w:t xml:space="preserve"> mai </w:t>
      </w:r>
      <w:proofErr w:type="spellStart"/>
      <w:r w:rsidRPr="003771D0">
        <w:rPr>
          <w:color w:val="000000" w:themeColor="text1"/>
          <w:sz w:val="24"/>
          <w:szCs w:val="24"/>
          <w:lang w:val="fr-FR"/>
        </w:rPr>
        <w:t>joase</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între</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diferite</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tipuri</w:t>
      </w:r>
      <w:proofErr w:type="spellEnd"/>
      <w:r w:rsidRPr="003771D0">
        <w:rPr>
          <w:color w:val="000000" w:themeColor="text1"/>
          <w:sz w:val="24"/>
          <w:szCs w:val="24"/>
          <w:lang w:val="fr-FR"/>
        </w:rPr>
        <w:t xml:space="preserve"> de </w:t>
      </w:r>
      <w:proofErr w:type="spellStart"/>
      <w:r w:rsidRPr="003771D0">
        <w:rPr>
          <w:color w:val="000000" w:themeColor="text1"/>
          <w:sz w:val="24"/>
          <w:szCs w:val="24"/>
          <w:lang w:val="fr-FR"/>
        </w:rPr>
        <w:t>culturi</w:t>
      </w:r>
      <w:proofErr w:type="spellEnd"/>
      <w:r w:rsidRPr="003771D0">
        <w:rPr>
          <w:color w:val="000000" w:themeColor="text1"/>
          <w:sz w:val="24"/>
          <w:szCs w:val="24"/>
          <w:lang w:val="fr-FR"/>
        </w:rPr>
        <w:t xml:space="preserve"> agricole, </w:t>
      </w:r>
      <w:proofErr w:type="spellStart"/>
      <w:r w:rsidRPr="003771D0">
        <w:rPr>
          <w:color w:val="000000" w:themeColor="text1"/>
          <w:sz w:val="24"/>
          <w:szCs w:val="24"/>
          <w:lang w:val="fr-FR"/>
        </w:rPr>
        <w:t>deşi</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arealul</w:t>
      </w:r>
      <w:proofErr w:type="spellEnd"/>
      <w:r w:rsidRPr="003771D0">
        <w:rPr>
          <w:color w:val="000000" w:themeColor="text1"/>
          <w:sz w:val="24"/>
          <w:szCs w:val="24"/>
          <w:lang w:val="fr-FR"/>
        </w:rPr>
        <w:t xml:space="preserve"> va </w:t>
      </w:r>
      <w:proofErr w:type="spellStart"/>
      <w:r w:rsidRPr="003771D0">
        <w:rPr>
          <w:color w:val="000000" w:themeColor="text1"/>
          <w:sz w:val="24"/>
          <w:szCs w:val="24"/>
          <w:lang w:val="fr-FR"/>
        </w:rPr>
        <w:t>cuprinde</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şi</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aceste</w:t>
      </w:r>
      <w:proofErr w:type="spellEnd"/>
      <w:r w:rsidRPr="003771D0">
        <w:rPr>
          <w:color w:val="000000" w:themeColor="text1"/>
          <w:spacing w:val="1"/>
          <w:sz w:val="24"/>
          <w:szCs w:val="24"/>
          <w:lang w:val="fr-FR"/>
        </w:rPr>
        <w:t xml:space="preserve"> </w:t>
      </w:r>
      <w:proofErr w:type="spellStart"/>
      <w:r w:rsidRPr="003771D0">
        <w:rPr>
          <w:color w:val="000000" w:themeColor="text1"/>
          <w:sz w:val="24"/>
          <w:szCs w:val="24"/>
          <w:lang w:val="fr-FR"/>
        </w:rPr>
        <w:t>teritorii</w:t>
      </w:r>
      <w:proofErr w:type="spellEnd"/>
      <w:r w:rsidRPr="003771D0">
        <w:rPr>
          <w:color w:val="000000" w:themeColor="text1"/>
          <w:sz w:val="24"/>
          <w:szCs w:val="24"/>
          <w:lang w:val="fr-FR"/>
        </w:rPr>
        <w:t>.</w:t>
      </w:r>
    </w:p>
    <w:p w14:paraId="457C525A" w14:textId="77777777" w:rsidR="00BC5122" w:rsidRPr="003771D0" w:rsidRDefault="00BC5122" w:rsidP="003771D0">
      <w:pPr>
        <w:pStyle w:val="BodyText"/>
        <w:ind w:left="0" w:right="116"/>
        <w:jc w:val="both"/>
        <w:rPr>
          <w:color w:val="000000" w:themeColor="text1"/>
          <w:sz w:val="24"/>
          <w:szCs w:val="24"/>
          <w:lang w:val="fr-FR"/>
        </w:rPr>
      </w:pPr>
      <w:proofErr w:type="spellStart"/>
      <w:r w:rsidRPr="003771D0">
        <w:rPr>
          <w:color w:val="000000" w:themeColor="text1"/>
          <w:sz w:val="24"/>
          <w:szCs w:val="24"/>
          <w:lang w:val="fr-FR"/>
        </w:rPr>
        <w:t>Arealul</w:t>
      </w:r>
      <w:proofErr w:type="spellEnd"/>
      <w:r w:rsidRPr="003771D0">
        <w:rPr>
          <w:color w:val="000000" w:themeColor="text1"/>
          <w:sz w:val="24"/>
          <w:szCs w:val="24"/>
          <w:lang w:val="fr-FR"/>
        </w:rPr>
        <w:t xml:space="preserve"> va fi </w:t>
      </w:r>
      <w:proofErr w:type="spellStart"/>
      <w:r w:rsidRPr="003771D0">
        <w:rPr>
          <w:color w:val="000000" w:themeColor="text1"/>
          <w:sz w:val="24"/>
          <w:szCs w:val="24"/>
          <w:lang w:val="fr-FR"/>
        </w:rPr>
        <w:t>estimat</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pe</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baza</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datelor</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actuale</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privind</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distribuţia</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habitatului</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în</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multe</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cazuri</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în</w:t>
      </w:r>
      <w:proofErr w:type="spellEnd"/>
      <w:r w:rsidRPr="003771D0">
        <w:rPr>
          <w:color w:val="000000" w:themeColor="text1"/>
          <w:spacing w:val="1"/>
          <w:sz w:val="24"/>
          <w:szCs w:val="24"/>
          <w:lang w:val="fr-FR"/>
        </w:rPr>
        <w:t xml:space="preserve"> </w:t>
      </w:r>
      <w:proofErr w:type="spellStart"/>
      <w:r w:rsidRPr="003771D0">
        <w:rPr>
          <w:color w:val="000000" w:themeColor="text1"/>
          <w:sz w:val="24"/>
          <w:szCs w:val="24"/>
          <w:lang w:val="fr-FR"/>
        </w:rPr>
        <w:t>urma</w:t>
      </w:r>
      <w:proofErr w:type="spellEnd"/>
      <w:r w:rsidRPr="003771D0">
        <w:rPr>
          <w:color w:val="000000" w:themeColor="text1"/>
          <w:spacing w:val="-3"/>
          <w:sz w:val="24"/>
          <w:szCs w:val="24"/>
          <w:lang w:val="fr-FR"/>
        </w:rPr>
        <w:t xml:space="preserve"> </w:t>
      </w:r>
      <w:proofErr w:type="spellStart"/>
      <w:r w:rsidRPr="003771D0">
        <w:rPr>
          <w:color w:val="000000" w:themeColor="text1"/>
          <w:sz w:val="24"/>
          <w:szCs w:val="24"/>
          <w:lang w:val="fr-FR"/>
        </w:rPr>
        <w:t>evaluării</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experţilor</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în</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situaţiile</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în</w:t>
      </w:r>
      <w:proofErr w:type="spellEnd"/>
      <w:r w:rsidRPr="003771D0">
        <w:rPr>
          <w:color w:val="000000" w:themeColor="text1"/>
          <w:spacing w:val="-1"/>
          <w:sz w:val="24"/>
          <w:szCs w:val="24"/>
          <w:lang w:val="fr-FR"/>
        </w:rPr>
        <w:t xml:space="preserve"> </w:t>
      </w:r>
      <w:r w:rsidRPr="003771D0">
        <w:rPr>
          <w:color w:val="000000" w:themeColor="text1"/>
          <w:sz w:val="24"/>
          <w:szCs w:val="24"/>
          <w:lang w:val="fr-FR"/>
        </w:rPr>
        <w:t>care</w:t>
      </w:r>
      <w:r w:rsidRPr="003771D0">
        <w:rPr>
          <w:color w:val="000000" w:themeColor="text1"/>
          <w:spacing w:val="-2"/>
          <w:sz w:val="24"/>
          <w:szCs w:val="24"/>
          <w:lang w:val="fr-FR"/>
        </w:rPr>
        <w:t xml:space="preserve"> </w:t>
      </w:r>
      <w:proofErr w:type="spellStart"/>
      <w:r w:rsidRPr="003771D0">
        <w:rPr>
          <w:color w:val="000000" w:themeColor="text1"/>
          <w:sz w:val="24"/>
          <w:szCs w:val="24"/>
          <w:lang w:val="fr-FR"/>
        </w:rPr>
        <w:t>seturile</w:t>
      </w:r>
      <w:proofErr w:type="spellEnd"/>
      <w:r w:rsidRPr="003771D0">
        <w:rPr>
          <w:color w:val="000000" w:themeColor="text1"/>
          <w:sz w:val="24"/>
          <w:szCs w:val="24"/>
          <w:lang w:val="fr-FR"/>
        </w:rPr>
        <w:t xml:space="preserve"> de</w:t>
      </w:r>
      <w:r w:rsidRPr="003771D0">
        <w:rPr>
          <w:color w:val="000000" w:themeColor="text1"/>
          <w:spacing w:val="-2"/>
          <w:sz w:val="24"/>
          <w:szCs w:val="24"/>
          <w:lang w:val="fr-FR"/>
        </w:rPr>
        <w:t xml:space="preserve"> </w:t>
      </w:r>
      <w:r w:rsidRPr="003771D0">
        <w:rPr>
          <w:color w:val="000000" w:themeColor="text1"/>
          <w:sz w:val="24"/>
          <w:szCs w:val="24"/>
          <w:lang w:val="fr-FR"/>
        </w:rPr>
        <w:t xml:space="preserve">date </w:t>
      </w:r>
      <w:proofErr w:type="spellStart"/>
      <w:r w:rsidRPr="003771D0">
        <w:rPr>
          <w:color w:val="000000" w:themeColor="text1"/>
          <w:sz w:val="24"/>
          <w:szCs w:val="24"/>
          <w:lang w:val="fr-FR"/>
        </w:rPr>
        <w:t>sunt</w:t>
      </w:r>
      <w:proofErr w:type="spellEnd"/>
      <w:r w:rsidRPr="003771D0">
        <w:rPr>
          <w:color w:val="000000" w:themeColor="text1"/>
          <w:spacing w:val="-2"/>
          <w:sz w:val="24"/>
          <w:szCs w:val="24"/>
          <w:lang w:val="fr-FR"/>
        </w:rPr>
        <w:t xml:space="preserve"> </w:t>
      </w:r>
      <w:proofErr w:type="spellStart"/>
      <w:r w:rsidRPr="003771D0">
        <w:rPr>
          <w:color w:val="000000" w:themeColor="text1"/>
          <w:sz w:val="24"/>
          <w:szCs w:val="24"/>
          <w:lang w:val="fr-FR"/>
        </w:rPr>
        <w:t>incomplete</w:t>
      </w:r>
      <w:proofErr w:type="spellEnd"/>
      <w:r w:rsidRPr="003771D0">
        <w:rPr>
          <w:color w:val="000000" w:themeColor="text1"/>
          <w:sz w:val="24"/>
          <w:szCs w:val="24"/>
          <w:lang w:val="fr-FR"/>
        </w:rPr>
        <w:t>.</w:t>
      </w:r>
    </w:p>
    <w:p w14:paraId="4D7030CC" w14:textId="77777777" w:rsidR="00BC5122" w:rsidRPr="003771D0" w:rsidRDefault="00BC5122" w:rsidP="003771D0">
      <w:pPr>
        <w:ind w:right="116"/>
        <w:jc w:val="both"/>
        <w:rPr>
          <w:color w:val="000000" w:themeColor="text1"/>
        </w:rPr>
      </w:pPr>
      <w:r w:rsidRPr="003771D0">
        <w:rPr>
          <w:color w:val="000000" w:themeColor="text1"/>
        </w:rPr>
        <w:t>Următoarele</w:t>
      </w:r>
      <w:r w:rsidRPr="003771D0">
        <w:rPr>
          <w:color w:val="000000" w:themeColor="text1"/>
          <w:spacing w:val="28"/>
        </w:rPr>
        <w:t xml:space="preserve"> </w:t>
      </w:r>
      <w:r w:rsidRPr="003771D0">
        <w:rPr>
          <w:color w:val="000000" w:themeColor="text1"/>
        </w:rPr>
        <w:t>informaţii</w:t>
      </w:r>
      <w:r w:rsidRPr="003771D0">
        <w:rPr>
          <w:color w:val="000000" w:themeColor="text1"/>
          <w:spacing w:val="32"/>
        </w:rPr>
        <w:t xml:space="preserve"> </w:t>
      </w:r>
      <w:r w:rsidRPr="003771D0">
        <w:rPr>
          <w:color w:val="000000" w:themeColor="text1"/>
        </w:rPr>
        <w:t>de</w:t>
      </w:r>
      <w:r w:rsidRPr="003771D0">
        <w:rPr>
          <w:color w:val="000000" w:themeColor="text1"/>
          <w:spacing w:val="28"/>
        </w:rPr>
        <w:t xml:space="preserve"> </w:t>
      </w:r>
      <w:r w:rsidRPr="003771D0">
        <w:rPr>
          <w:color w:val="000000" w:themeColor="text1"/>
        </w:rPr>
        <w:t>bază</w:t>
      </w:r>
      <w:r w:rsidRPr="003771D0">
        <w:rPr>
          <w:color w:val="000000" w:themeColor="text1"/>
          <w:spacing w:val="28"/>
        </w:rPr>
        <w:t xml:space="preserve"> </w:t>
      </w:r>
      <w:r w:rsidRPr="003771D0">
        <w:rPr>
          <w:color w:val="000000" w:themeColor="text1"/>
        </w:rPr>
        <w:t>şi</w:t>
      </w:r>
      <w:r w:rsidRPr="003771D0">
        <w:rPr>
          <w:color w:val="000000" w:themeColor="text1"/>
          <w:spacing w:val="30"/>
        </w:rPr>
        <w:t xml:space="preserve"> </w:t>
      </w:r>
      <w:r w:rsidRPr="003771D0">
        <w:rPr>
          <w:color w:val="000000" w:themeColor="text1"/>
        </w:rPr>
        <w:t>parametrii</w:t>
      </w:r>
      <w:r w:rsidRPr="003771D0">
        <w:rPr>
          <w:color w:val="000000" w:themeColor="text1"/>
          <w:spacing w:val="29"/>
        </w:rPr>
        <w:t xml:space="preserve"> </w:t>
      </w:r>
      <w:r w:rsidRPr="003771D0">
        <w:rPr>
          <w:color w:val="000000" w:themeColor="text1"/>
        </w:rPr>
        <w:t>sunt</w:t>
      </w:r>
      <w:r w:rsidRPr="003771D0">
        <w:rPr>
          <w:color w:val="000000" w:themeColor="text1"/>
          <w:spacing w:val="29"/>
        </w:rPr>
        <w:t xml:space="preserve"> </w:t>
      </w:r>
      <w:r w:rsidRPr="003771D0">
        <w:rPr>
          <w:color w:val="000000" w:themeColor="text1"/>
        </w:rPr>
        <w:t>considerate</w:t>
      </w:r>
      <w:r w:rsidRPr="003771D0">
        <w:rPr>
          <w:color w:val="000000" w:themeColor="text1"/>
          <w:spacing w:val="28"/>
        </w:rPr>
        <w:t xml:space="preserve"> </w:t>
      </w:r>
      <w:r w:rsidRPr="003771D0">
        <w:rPr>
          <w:color w:val="000000" w:themeColor="text1"/>
        </w:rPr>
        <w:t>utile</w:t>
      </w:r>
      <w:r w:rsidRPr="003771D0">
        <w:rPr>
          <w:color w:val="000000" w:themeColor="text1"/>
          <w:spacing w:val="29"/>
        </w:rPr>
        <w:t xml:space="preserve"> </w:t>
      </w:r>
      <w:r w:rsidRPr="003771D0">
        <w:rPr>
          <w:color w:val="000000" w:themeColor="text1"/>
        </w:rPr>
        <w:t>pentru</w:t>
      </w:r>
      <w:r w:rsidRPr="003771D0">
        <w:rPr>
          <w:color w:val="000000" w:themeColor="text1"/>
          <w:spacing w:val="28"/>
        </w:rPr>
        <w:t xml:space="preserve"> </w:t>
      </w:r>
      <w:r w:rsidRPr="003771D0">
        <w:rPr>
          <w:color w:val="000000" w:themeColor="text1"/>
        </w:rPr>
        <w:t>stabilirea</w:t>
      </w:r>
      <w:r w:rsidRPr="003771D0">
        <w:rPr>
          <w:color w:val="000000" w:themeColor="text1"/>
          <w:spacing w:val="34"/>
        </w:rPr>
        <w:t xml:space="preserve"> </w:t>
      </w:r>
      <w:r w:rsidRPr="003771D0">
        <w:rPr>
          <w:b/>
          <w:color w:val="000000" w:themeColor="text1"/>
        </w:rPr>
        <w:t>Arealului</w:t>
      </w:r>
      <w:r w:rsidRPr="003771D0">
        <w:rPr>
          <w:b/>
          <w:color w:val="000000" w:themeColor="text1"/>
          <w:spacing w:val="-57"/>
        </w:rPr>
        <w:t xml:space="preserve"> </w:t>
      </w:r>
      <w:r w:rsidRPr="003771D0">
        <w:rPr>
          <w:b/>
          <w:color w:val="000000" w:themeColor="text1"/>
        </w:rPr>
        <w:t>Favorabil</w:t>
      </w:r>
      <w:r w:rsidRPr="003771D0">
        <w:rPr>
          <w:b/>
          <w:color w:val="000000" w:themeColor="text1"/>
          <w:spacing w:val="-1"/>
        </w:rPr>
        <w:t xml:space="preserve"> </w:t>
      </w:r>
      <w:r w:rsidRPr="003771D0">
        <w:rPr>
          <w:b/>
          <w:color w:val="000000" w:themeColor="text1"/>
        </w:rPr>
        <w:t>de</w:t>
      </w:r>
      <w:r w:rsidRPr="003771D0">
        <w:rPr>
          <w:b/>
          <w:color w:val="000000" w:themeColor="text1"/>
          <w:spacing w:val="-1"/>
        </w:rPr>
        <w:t xml:space="preserve"> </w:t>
      </w:r>
      <w:r w:rsidRPr="003771D0">
        <w:rPr>
          <w:b/>
          <w:color w:val="000000" w:themeColor="text1"/>
        </w:rPr>
        <w:t>Referinţă</w:t>
      </w:r>
      <w:r w:rsidRPr="003771D0">
        <w:rPr>
          <w:b/>
          <w:color w:val="000000" w:themeColor="text1"/>
          <w:spacing w:val="3"/>
        </w:rPr>
        <w:t xml:space="preserve"> </w:t>
      </w:r>
      <w:r w:rsidRPr="003771D0">
        <w:rPr>
          <w:color w:val="000000" w:themeColor="text1"/>
        </w:rPr>
        <w:t>(AFR) pentru habitate:</w:t>
      </w:r>
    </w:p>
    <w:p w14:paraId="640CD461" w14:textId="77777777" w:rsidR="00BC5122" w:rsidRPr="003771D0" w:rsidRDefault="00BC5122" w:rsidP="003771D0">
      <w:pPr>
        <w:pStyle w:val="ListParagraph"/>
        <w:widowControl w:val="0"/>
        <w:numPr>
          <w:ilvl w:val="0"/>
          <w:numId w:val="120"/>
        </w:numPr>
        <w:tabs>
          <w:tab w:val="left" w:pos="1153"/>
        </w:tabs>
        <w:autoSpaceDE w:val="0"/>
        <w:autoSpaceDN w:val="0"/>
        <w:ind w:left="0" w:right="116" w:hanging="90"/>
        <w:jc w:val="both"/>
        <w:rPr>
          <w:rFonts w:ascii="Times New Roman" w:hAnsi="Times New Roman" w:cs="Times New Roman"/>
          <w:color w:val="000000" w:themeColor="text1"/>
          <w:sz w:val="24"/>
          <w:szCs w:val="24"/>
        </w:rPr>
      </w:pPr>
      <w:proofErr w:type="spellStart"/>
      <w:r w:rsidRPr="003771D0">
        <w:rPr>
          <w:rFonts w:ascii="Times New Roman" w:hAnsi="Times New Roman" w:cs="Times New Roman"/>
          <w:color w:val="000000" w:themeColor="text1"/>
          <w:sz w:val="24"/>
          <w:szCs w:val="24"/>
        </w:rPr>
        <w:t>arealul</w:t>
      </w:r>
      <w:proofErr w:type="spellEnd"/>
      <w:r w:rsidRPr="003771D0">
        <w:rPr>
          <w:rFonts w:ascii="Times New Roman" w:hAnsi="Times New Roman" w:cs="Times New Roman"/>
          <w:color w:val="000000" w:themeColor="text1"/>
          <w:spacing w:val="-2"/>
          <w:sz w:val="24"/>
          <w:szCs w:val="24"/>
        </w:rPr>
        <w:t xml:space="preserve"> </w:t>
      </w:r>
      <w:r w:rsidRPr="003771D0">
        <w:rPr>
          <w:rFonts w:ascii="Times New Roman" w:hAnsi="Times New Roman" w:cs="Times New Roman"/>
          <w:color w:val="000000" w:themeColor="text1"/>
          <w:sz w:val="24"/>
          <w:szCs w:val="24"/>
        </w:rPr>
        <w:t>actual;</w:t>
      </w:r>
    </w:p>
    <w:p w14:paraId="5B3C7802" w14:textId="77777777" w:rsidR="00BC5122" w:rsidRPr="003771D0" w:rsidRDefault="00BC5122" w:rsidP="003771D0">
      <w:pPr>
        <w:pStyle w:val="ListParagraph"/>
        <w:widowControl w:val="0"/>
        <w:numPr>
          <w:ilvl w:val="0"/>
          <w:numId w:val="120"/>
        </w:numPr>
        <w:tabs>
          <w:tab w:val="left" w:pos="1153"/>
        </w:tabs>
        <w:autoSpaceDE w:val="0"/>
        <w:autoSpaceDN w:val="0"/>
        <w:spacing w:before="3" w:line="237" w:lineRule="auto"/>
        <w:ind w:left="0" w:right="116" w:hanging="90"/>
        <w:jc w:val="both"/>
        <w:rPr>
          <w:rFonts w:ascii="Times New Roman" w:hAnsi="Times New Roman" w:cs="Times New Roman"/>
          <w:color w:val="000000" w:themeColor="text1"/>
          <w:sz w:val="24"/>
          <w:szCs w:val="24"/>
        </w:rPr>
      </w:pPr>
      <w:proofErr w:type="spellStart"/>
      <w:r w:rsidRPr="003771D0">
        <w:rPr>
          <w:rFonts w:ascii="Times New Roman" w:hAnsi="Times New Roman" w:cs="Times New Roman"/>
          <w:color w:val="000000" w:themeColor="text1"/>
          <w:sz w:val="24"/>
          <w:szCs w:val="24"/>
        </w:rPr>
        <w:t>extinderea</w:t>
      </w:r>
      <w:proofErr w:type="spellEnd"/>
      <w:r w:rsidRPr="003771D0">
        <w:rPr>
          <w:rFonts w:ascii="Times New Roman" w:hAnsi="Times New Roman" w:cs="Times New Roman"/>
          <w:color w:val="000000" w:themeColor="text1"/>
          <w:spacing w:val="19"/>
          <w:sz w:val="24"/>
          <w:szCs w:val="24"/>
        </w:rPr>
        <w:t xml:space="preserve"> </w:t>
      </w:r>
      <w:proofErr w:type="spellStart"/>
      <w:r w:rsidRPr="003771D0">
        <w:rPr>
          <w:rFonts w:ascii="Times New Roman" w:hAnsi="Times New Roman" w:cs="Times New Roman"/>
          <w:color w:val="000000" w:themeColor="text1"/>
          <w:sz w:val="24"/>
          <w:szCs w:val="24"/>
        </w:rPr>
        <w:t>potenţială</w:t>
      </w:r>
      <w:proofErr w:type="spellEnd"/>
      <w:r w:rsidRPr="003771D0">
        <w:rPr>
          <w:rFonts w:ascii="Times New Roman" w:hAnsi="Times New Roman" w:cs="Times New Roman"/>
          <w:color w:val="000000" w:themeColor="text1"/>
          <w:spacing w:val="21"/>
          <w:sz w:val="24"/>
          <w:szCs w:val="24"/>
        </w:rPr>
        <w:t xml:space="preserve"> </w:t>
      </w:r>
      <w:r w:rsidRPr="003771D0">
        <w:rPr>
          <w:rFonts w:ascii="Times New Roman" w:hAnsi="Times New Roman" w:cs="Times New Roman"/>
          <w:color w:val="000000" w:themeColor="text1"/>
          <w:sz w:val="24"/>
          <w:szCs w:val="24"/>
        </w:rPr>
        <w:t>a</w:t>
      </w:r>
      <w:r w:rsidRPr="003771D0">
        <w:rPr>
          <w:rFonts w:ascii="Times New Roman" w:hAnsi="Times New Roman" w:cs="Times New Roman"/>
          <w:color w:val="000000" w:themeColor="text1"/>
          <w:spacing w:val="21"/>
          <w:sz w:val="24"/>
          <w:szCs w:val="24"/>
        </w:rPr>
        <w:t xml:space="preserve"> </w:t>
      </w:r>
      <w:proofErr w:type="spellStart"/>
      <w:r w:rsidRPr="003771D0">
        <w:rPr>
          <w:rFonts w:ascii="Times New Roman" w:hAnsi="Times New Roman" w:cs="Times New Roman"/>
          <w:color w:val="000000" w:themeColor="text1"/>
          <w:sz w:val="24"/>
          <w:szCs w:val="24"/>
        </w:rPr>
        <w:t>arealului</w:t>
      </w:r>
      <w:proofErr w:type="spellEnd"/>
      <w:r w:rsidRPr="003771D0">
        <w:rPr>
          <w:rFonts w:ascii="Times New Roman" w:hAnsi="Times New Roman" w:cs="Times New Roman"/>
          <w:color w:val="000000" w:themeColor="text1"/>
          <w:spacing w:val="20"/>
          <w:sz w:val="24"/>
          <w:szCs w:val="24"/>
        </w:rPr>
        <w:t xml:space="preserve"> </w:t>
      </w:r>
      <w:proofErr w:type="spellStart"/>
      <w:r w:rsidRPr="003771D0">
        <w:rPr>
          <w:rFonts w:ascii="Times New Roman" w:hAnsi="Times New Roman" w:cs="Times New Roman"/>
          <w:color w:val="000000" w:themeColor="text1"/>
          <w:sz w:val="24"/>
          <w:szCs w:val="24"/>
        </w:rPr>
        <w:t>luând</w:t>
      </w:r>
      <w:proofErr w:type="spellEnd"/>
      <w:r w:rsidRPr="003771D0">
        <w:rPr>
          <w:rFonts w:ascii="Times New Roman" w:hAnsi="Times New Roman" w:cs="Times New Roman"/>
          <w:color w:val="000000" w:themeColor="text1"/>
          <w:spacing w:val="20"/>
          <w:sz w:val="24"/>
          <w:szCs w:val="24"/>
        </w:rPr>
        <w:t xml:space="preserve"> </w:t>
      </w:r>
      <w:proofErr w:type="spellStart"/>
      <w:r w:rsidRPr="003771D0">
        <w:rPr>
          <w:rFonts w:ascii="Times New Roman" w:hAnsi="Times New Roman" w:cs="Times New Roman"/>
          <w:color w:val="000000" w:themeColor="text1"/>
          <w:sz w:val="24"/>
          <w:szCs w:val="24"/>
        </w:rPr>
        <w:t>în</w:t>
      </w:r>
      <w:proofErr w:type="spellEnd"/>
      <w:r w:rsidRPr="003771D0">
        <w:rPr>
          <w:rFonts w:ascii="Times New Roman" w:hAnsi="Times New Roman" w:cs="Times New Roman"/>
          <w:color w:val="000000" w:themeColor="text1"/>
          <w:spacing w:val="23"/>
          <w:sz w:val="24"/>
          <w:szCs w:val="24"/>
        </w:rPr>
        <w:t xml:space="preserve"> </w:t>
      </w:r>
      <w:proofErr w:type="spellStart"/>
      <w:r w:rsidRPr="003771D0">
        <w:rPr>
          <w:rFonts w:ascii="Times New Roman" w:hAnsi="Times New Roman" w:cs="Times New Roman"/>
          <w:color w:val="000000" w:themeColor="text1"/>
          <w:sz w:val="24"/>
          <w:szCs w:val="24"/>
        </w:rPr>
        <w:t>considerare</w:t>
      </w:r>
      <w:proofErr w:type="spellEnd"/>
      <w:r w:rsidRPr="003771D0">
        <w:rPr>
          <w:rFonts w:ascii="Times New Roman" w:hAnsi="Times New Roman" w:cs="Times New Roman"/>
          <w:color w:val="000000" w:themeColor="text1"/>
          <w:spacing w:val="20"/>
          <w:sz w:val="24"/>
          <w:szCs w:val="24"/>
        </w:rPr>
        <w:t xml:space="preserve"> </w:t>
      </w:r>
      <w:proofErr w:type="spellStart"/>
      <w:r w:rsidRPr="003771D0">
        <w:rPr>
          <w:rFonts w:ascii="Times New Roman" w:hAnsi="Times New Roman" w:cs="Times New Roman"/>
          <w:color w:val="000000" w:themeColor="text1"/>
          <w:sz w:val="24"/>
          <w:szCs w:val="24"/>
        </w:rPr>
        <w:t>condiţiile</w:t>
      </w:r>
      <w:proofErr w:type="spellEnd"/>
      <w:r w:rsidRPr="003771D0">
        <w:rPr>
          <w:rFonts w:ascii="Times New Roman" w:hAnsi="Times New Roman" w:cs="Times New Roman"/>
          <w:color w:val="000000" w:themeColor="text1"/>
          <w:spacing w:val="19"/>
          <w:sz w:val="24"/>
          <w:szCs w:val="24"/>
        </w:rPr>
        <w:t xml:space="preserve"> </w:t>
      </w:r>
      <w:proofErr w:type="spellStart"/>
      <w:r w:rsidRPr="003771D0">
        <w:rPr>
          <w:rFonts w:ascii="Times New Roman" w:hAnsi="Times New Roman" w:cs="Times New Roman"/>
          <w:color w:val="000000" w:themeColor="text1"/>
          <w:sz w:val="24"/>
          <w:szCs w:val="24"/>
        </w:rPr>
        <w:t>fizice</w:t>
      </w:r>
      <w:proofErr w:type="spellEnd"/>
      <w:r w:rsidRPr="003771D0">
        <w:rPr>
          <w:rFonts w:ascii="Times New Roman" w:hAnsi="Times New Roman" w:cs="Times New Roman"/>
          <w:color w:val="000000" w:themeColor="text1"/>
          <w:spacing w:val="18"/>
          <w:sz w:val="24"/>
          <w:szCs w:val="24"/>
        </w:rPr>
        <w:t xml:space="preserve"> </w:t>
      </w:r>
      <w:proofErr w:type="spellStart"/>
      <w:r w:rsidRPr="003771D0">
        <w:rPr>
          <w:rFonts w:ascii="Times New Roman" w:hAnsi="Times New Roman" w:cs="Times New Roman"/>
          <w:color w:val="000000" w:themeColor="text1"/>
          <w:sz w:val="24"/>
          <w:szCs w:val="24"/>
        </w:rPr>
        <w:t>şi</w:t>
      </w:r>
      <w:proofErr w:type="spellEnd"/>
      <w:r w:rsidRPr="003771D0">
        <w:rPr>
          <w:rFonts w:ascii="Times New Roman" w:hAnsi="Times New Roman" w:cs="Times New Roman"/>
          <w:color w:val="000000" w:themeColor="text1"/>
          <w:spacing w:val="23"/>
          <w:sz w:val="24"/>
          <w:szCs w:val="24"/>
        </w:rPr>
        <w:t xml:space="preserve"> </w:t>
      </w:r>
      <w:proofErr w:type="spellStart"/>
      <w:r w:rsidRPr="003771D0">
        <w:rPr>
          <w:rFonts w:ascii="Times New Roman" w:hAnsi="Times New Roman" w:cs="Times New Roman"/>
          <w:color w:val="000000" w:themeColor="text1"/>
          <w:sz w:val="24"/>
          <w:szCs w:val="24"/>
        </w:rPr>
        <w:t>ecologice</w:t>
      </w:r>
      <w:proofErr w:type="spellEnd"/>
      <w:r w:rsidRPr="003771D0">
        <w:rPr>
          <w:rFonts w:ascii="Times New Roman" w:hAnsi="Times New Roman" w:cs="Times New Roman"/>
          <w:color w:val="000000" w:themeColor="text1"/>
          <w:spacing w:val="20"/>
          <w:sz w:val="24"/>
          <w:szCs w:val="24"/>
        </w:rPr>
        <w:t xml:space="preserve"> </w:t>
      </w:r>
      <w:r w:rsidRPr="003771D0">
        <w:rPr>
          <w:rFonts w:ascii="Times New Roman" w:hAnsi="Times New Roman" w:cs="Times New Roman"/>
          <w:color w:val="000000" w:themeColor="text1"/>
          <w:sz w:val="24"/>
          <w:szCs w:val="24"/>
        </w:rPr>
        <w:t>(ex.</w:t>
      </w:r>
      <w:r w:rsidRPr="003771D0">
        <w:rPr>
          <w:rFonts w:ascii="Times New Roman" w:hAnsi="Times New Roman" w:cs="Times New Roman"/>
          <w:color w:val="000000" w:themeColor="text1"/>
          <w:spacing w:val="-57"/>
          <w:sz w:val="24"/>
          <w:szCs w:val="24"/>
        </w:rPr>
        <w:t xml:space="preserve"> </w:t>
      </w:r>
      <w:proofErr w:type="spellStart"/>
      <w:r w:rsidRPr="003771D0">
        <w:rPr>
          <w:rFonts w:ascii="Times New Roman" w:hAnsi="Times New Roman" w:cs="Times New Roman"/>
          <w:color w:val="000000" w:themeColor="text1"/>
          <w:sz w:val="24"/>
          <w:szCs w:val="24"/>
        </w:rPr>
        <w:t>climat</w:t>
      </w:r>
      <w:proofErr w:type="spellEnd"/>
      <w:r w:rsidRPr="003771D0">
        <w:rPr>
          <w:rFonts w:ascii="Times New Roman" w:hAnsi="Times New Roman" w:cs="Times New Roman"/>
          <w:color w:val="000000" w:themeColor="text1"/>
          <w:sz w:val="24"/>
          <w:szCs w:val="24"/>
        </w:rPr>
        <w:t>,</w:t>
      </w:r>
      <w:r w:rsidRPr="003771D0">
        <w:rPr>
          <w:rFonts w:ascii="Times New Roman" w:hAnsi="Times New Roman" w:cs="Times New Roman"/>
          <w:color w:val="000000" w:themeColor="text1"/>
          <w:spacing w:val="-1"/>
          <w:sz w:val="24"/>
          <w:szCs w:val="24"/>
        </w:rPr>
        <w:t xml:space="preserve"> </w:t>
      </w:r>
      <w:proofErr w:type="spellStart"/>
      <w:r w:rsidRPr="003771D0">
        <w:rPr>
          <w:rFonts w:ascii="Times New Roman" w:hAnsi="Times New Roman" w:cs="Times New Roman"/>
          <w:color w:val="000000" w:themeColor="text1"/>
          <w:sz w:val="24"/>
          <w:szCs w:val="24"/>
        </w:rPr>
        <w:t>geologie</w:t>
      </w:r>
      <w:proofErr w:type="spellEnd"/>
      <w:r w:rsidRPr="003771D0">
        <w:rPr>
          <w:rFonts w:ascii="Times New Roman" w:hAnsi="Times New Roman" w:cs="Times New Roman"/>
          <w:color w:val="000000" w:themeColor="text1"/>
          <w:sz w:val="24"/>
          <w:szCs w:val="24"/>
        </w:rPr>
        <w:t xml:space="preserve">, sol, </w:t>
      </w:r>
      <w:proofErr w:type="spellStart"/>
      <w:r w:rsidRPr="003771D0">
        <w:rPr>
          <w:rFonts w:ascii="Times New Roman" w:hAnsi="Times New Roman" w:cs="Times New Roman"/>
          <w:color w:val="000000" w:themeColor="text1"/>
          <w:sz w:val="24"/>
          <w:szCs w:val="24"/>
        </w:rPr>
        <w:t>altitudine</w:t>
      </w:r>
      <w:proofErr w:type="spellEnd"/>
      <w:r w:rsidRPr="003771D0">
        <w:rPr>
          <w:rFonts w:ascii="Times New Roman" w:hAnsi="Times New Roman" w:cs="Times New Roman"/>
          <w:color w:val="000000" w:themeColor="text1"/>
          <w:sz w:val="24"/>
          <w:szCs w:val="24"/>
        </w:rPr>
        <w:t>);</w:t>
      </w:r>
    </w:p>
    <w:p w14:paraId="39D4DEB6" w14:textId="77777777" w:rsidR="00BC5122" w:rsidRPr="003771D0" w:rsidRDefault="00BC5122" w:rsidP="003771D0">
      <w:pPr>
        <w:pStyle w:val="ListParagraph"/>
        <w:widowControl w:val="0"/>
        <w:numPr>
          <w:ilvl w:val="0"/>
          <w:numId w:val="120"/>
        </w:numPr>
        <w:tabs>
          <w:tab w:val="left" w:pos="1153"/>
        </w:tabs>
        <w:autoSpaceDE w:val="0"/>
        <w:autoSpaceDN w:val="0"/>
        <w:spacing w:before="4"/>
        <w:ind w:left="0" w:right="116" w:hanging="90"/>
        <w:jc w:val="both"/>
        <w:rPr>
          <w:rFonts w:ascii="Times New Roman" w:hAnsi="Times New Roman" w:cs="Times New Roman"/>
          <w:color w:val="000000" w:themeColor="text1"/>
          <w:sz w:val="24"/>
          <w:szCs w:val="24"/>
        </w:rPr>
      </w:pPr>
      <w:proofErr w:type="spellStart"/>
      <w:r w:rsidRPr="003771D0">
        <w:rPr>
          <w:rFonts w:ascii="Times New Roman" w:hAnsi="Times New Roman" w:cs="Times New Roman"/>
          <w:color w:val="000000" w:themeColor="text1"/>
          <w:sz w:val="24"/>
          <w:szCs w:val="24"/>
        </w:rPr>
        <w:t>arealul</w:t>
      </w:r>
      <w:proofErr w:type="spellEnd"/>
      <w:r w:rsidRPr="003771D0">
        <w:rPr>
          <w:rFonts w:ascii="Times New Roman" w:hAnsi="Times New Roman" w:cs="Times New Roman"/>
          <w:color w:val="000000" w:themeColor="text1"/>
          <w:spacing w:val="-2"/>
          <w:sz w:val="24"/>
          <w:szCs w:val="24"/>
        </w:rPr>
        <w:t xml:space="preserve"> </w:t>
      </w:r>
      <w:r w:rsidRPr="003771D0">
        <w:rPr>
          <w:rFonts w:ascii="Times New Roman" w:hAnsi="Times New Roman" w:cs="Times New Roman"/>
          <w:color w:val="000000" w:themeColor="text1"/>
          <w:sz w:val="24"/>
          <w:szCs w:val="24"/>
        </w:rPr>
        <w:t>anterior</w:t>
      </w:r>
      <w:r w:rsidRPr="003771D0">
        <w:rPr>
          <w:rFonts w:ascii="Times New Roman" w:hAnsi="Times New Roman" w:cs="Times New Roman"/>
          <w:color w:val="000000" w:themeColor="text1"/>
          <w:spacing w:val="-2"/>
          <w:sz w:val="24"/>
          <w:szCs w:val="24"/>
        </w:rPr>
        <w:t xml:space="preserve"> </w:t>
      </w:r>
      <w:proofErr w:type="spellStart"/>
      <w:r w:rsidRPr="003771D0">
        <w:rPr>
          <w:rFonts w:ascii="Times New Roman" w:hAnsi="Times New Roman" w:cs="Times New Roman"/>
          <w:color w:val="000000" w:themeColor="text1"/>
          <w:sz w:val="24"/>
          <w:szCs w:val="24"/>
        </w:rPr>
        <w:t>şi</w:t>
      </w:r>
      <w:proofErr w:type="spellEnd"/>
      <w:r w:rsidRPr="003771D0">
        <w:rPr>
          <w:rFonts w:ascii="Times New Roman" w:hAnsi="Times New Roman" w:cs="Times New Roman"/>
          <w:color w:val="000000" w:themeColor="text1"/>
          <w:spacing w:val="-3"/>
          <w:sz w:val="24"/>
          <w:szCs w:val="24"/>
        </w:rPr>
        <w:t xml:space="preserve"> </w:t>
      </w:r>
      <w:proofErr w:type="spellStart"/>
      <w:r w:rsidRPr="003771D0">
        <w:rPr>
          <w:rFonts w:ascii="Times New Roman" w:hAnsi="Times New Roman" w:cs="Times New Roman"/>
          <w:color w:val="000000" w:themeColor="text1"/>
          <w:sz w:val="24"/>
          <w:szCs w:val="24"/>
        </w:rPr>
        <w:t>cauzele</w:t>
      </w:r>
      <w:proofErr w:type="spellEnd"/>
      <w:r w:rsidRPr="003771D0">
        <w:rPr>
          <w:rFonts w:ascii="Times New Roman" w:hAnsi="Times New Roman" w:cs="Times New Roman"/>
          <w:color w:val="000000" w:themeColor="text1"/>
          <w:spacing w:val="-2"/>
          <w:sz w:val="24"/>
          <w:szCs w:val="24"/>
        </w:rPr>
        <w:t xml:space="preserve"> </w:t>
      </w:r>
      <w:proofErr w:type="spellStart"/>
      <w:r w:rsidRPr="003771D0">
        <w:rPr>
          <w:rFonts w:ascii="Times New Roman" w:hAnsi="Times New Roman" w:cs="Times New Roman"/>
          <w:color w:val="000000" w:themeColor="text1"/>
          <w:sz w:val="24"/>
          <w:szCs w:val="24"/>
        </w:rPr>
        <w:t>modificării;suprafaţa</w:t>
      </w:r>
      <w:proofErr w:type="spellEnd"/>
      <w:r w:rsidRPr="003771D0">
        <w:rPr>
          <w:rFonts w:ascii="Times New Roman" w:hAnsi="Times New Roman" w:cs="Times New Roman"/>
          <w:color w:val="000000" w:themeColor="text1"/>
          <w:spacing w:val="2"/>
          <w:sz w:val="24"/>
          <w:szCs w:val="24"/>
        </w:rPr>
        <w:t xml:space="preserve"> </w:t>
      </w:r>
      <w:proofErr w:type="spellStart"/>
      <w:r w:rsidRPr="003771D0">
        <w:rPr>
          <w:rFonts w:ascii="Times New Roman" w:hAnsi="Times New Roman" w:cs="Times New Roman"/>
          <w:color w:val="000000" w:themeColor="text1"/>
          <w:sz w:val="24"/>
          <w:szCs w:val="24"/>
        </w:rPr>
        <w:t>necesară</w:t>
      </w:r>
      <w:proofErr w:type="spellEnd"/>
      <w:r w:rsidRPr="003771D0">
        <w:rPr>
          <w:rFonts w:ascii="Times New Roman" w:hAnsi="Times New Roman" w:cs="Times New Roman"/>
          <w:color w:val="000000" w:themeColor="text1"/>
          <w:spacing w:val="1"/>
          <w:sz w:val="24"/>
          <w:szCs w:val="24"/>
        </w:rPr>
        <w:t xml:space="preserve"> </w:t>
      </w:r>
      <w:proofErr w:type="spellStart"/>
      <w:r w:rsidRPr="003771D0">
        <w:rPr>
          <w:rFonts w:ascii="Times New Roman" w:hAnsi="Times New Roman" w:cs="Times New Roman"/>
          <w:color w:val="000000" w:themeColor="text1"/>
          <w:sz w:val="24"/>
          <w:szCs w:val="24"/>
        </w:rPr>
        <w:t>pentru</w:t>
      </w:r>
      <w:proofErr w:type="spellEnd"/>
      <w:r w:rsidRPr="003771D0">
        <w:rPr>
          <w:rFonts w:ascii="Times New Roman" w:hAnsi="Times New Roman" w:cs="Times New Roman"/>
          <w:color w:val="000000" w:themeColor="text1"/>
          <w:spacing w:val="2"/>
          <w:sz w:val="24"/>
          <w:szCs w:val="24"/>
        </w:rPr>
        <w:t xml:space="preserve"> </w:t>
      </w:r>
      <w:proofErr w:type="spellStart"/>
      <w:r w:rsidRPr="003771D0">
        <w:rPr>
          <w:rFonts w:ascii="Times New Roman" w:hAnsi="Times New Roman" w:cs="Times New Roman"/>
          <w:color w:val="000000" w:themeColor="text1"/>
          <w:sz w:val="24"/>
          <w:szCs w:val="24"/>
        </w:rPr>
        <w:t>viabilitatea</w:t>
      </w:r>
      <w:proofErr w:type="spellEnd"/>
      <w:r w:rsidRPr="003771D0">
        <w:rPr>
          <w:rFonts w:ascii="Times New Roman" w:hAnsi="Times New Roman" w:cs="Times New Roman"/>
          <w:color w:val="000000" w:themeColor="text1"/>
          <w:spacing w:val="1"/>
          <w:sz w:val="24"/>
          <w:szCs w:val="24"/>
        </w:rPr>
        <w:t xml:space="preserve"> </w:t>
      </w:r>
      <w:proofErr w:type="spellStart"/>
      <w:r w:rsidRPr="003771D0">
        <w:rPr>
          <w:rFonts w:ascii="Times New Roman" w:hAnsi="Times New Roman" w:cs="Times New Roman"/>
          <w:color w:val="000000" w:themeColor="text1"/>
          <w:sz w:val="24"/>
          <w:szCs w:val="24"/>
        </w:rPr>
        <w:t>habitatului</w:t>
      </w:r>
      <w:proofErr w:type="spellEnd"/>
      <w:r w:rsidRPr="003771D0">
        <w:rPr>
          <w:rFonts w:ascii="Times New Roman" w:hAnsi="Times New Roman" w:cs="Times New Roman"/>
          <w:color w:val="000000" w:themeColor="text1"/>
          <w:sz w:val="24"/>
          <w:szCs w:val="24"/>
        </w:rPr>
        <w:t>,</w:t>
      </w:r>
      <w:r w:rsidRPr="003771D0">
        <w:rPr>
          <w:rFonts w:ascii="Times New Roman" w:hAnsi="Times New Roman" w:cs="Times New Roman"/>
          <w:color w:val="000000" w:themeColor="text1"/>
          <w:spacing w:val="3"/>
          <w:sz w:val="24"/>
          <w:szCs w:val="24"/>
        </w:rPr>
        <w:t xml:space="preserve"> </w:t>
      </w:r>
      <w:proofErr w:type="spellStart"/>
      <w:r w:rsidRPr="003771D0">
        <w:rPr>
          <w:rFonts w:ascii="Times New Roman" w:hAnsi="Times New Roman" w:cs="Times New Roman"/>
          <w:color w:val="000000" w:themeColor="text1"/>
          <w:sz w:val="24"/>
          <w:szCs w:val="24"/>
        </w:rPr>
        <w:t>incluzând</w:t>
      </w:r>
      <w:proofErr w:type="spellEnd"/>
      <w:r w:rsidRPr="003771D0">
        <w:rPr>
          <w:rFonts w:ascii="Times New Roman" w:hAnsi="Times New Roman" w:cs="Times New Roman"/>
          <w:color w:val="000000" w:themeColor="text1"/>
          <w:spacing w:val="2"/>
          <w:sz w:val="24"/>
          <w:szCs w:val="24"/>
        </w:rPr>
        <w:t xml:space="preserve"> </w:t>
      </w:r>
      <w:proofErr w:type="spellStart"/>
      <w:r w:rsidRPr="003771D0">
        <w:rPr>
          <w:rFonts w:ascii="Times New Roman" w:hAnsi="Times New Roman" w:cs="Times New Roman"/>
          <w:color w:val="000000" w:themeColor="text1"/>
          <w:sz w:val="24"/>
          <w:szCs w:val="24"/>
        </w:rPr>
        <w:t>consideraţii</w:t>
      </w:r>
      <w:proofErr w:type="spellEnd"/>
      <w:r w:rsidRPr="003771D0">
        <w:rPr>
          <w:rFonts w:ascii="Times New Roman" w:hAnsi="Times New Roman" w:cs="Times New Roman"/>
          <w:color w:val="000000" w:themeColor="text1"/>
          <w:spacing w:val="3"/>
          <w:sz w:val="24"/>
          <w:szCs w:val="24"/>
        </w:rPr>
        <w:t xml:space="preserve"> </w:t>
      </w:r>
      <w:proofErr w:type="spellStart"/>
      <w:r w:rsidRPr="003771D0">
        <w:rPr>
          <w:rFonts w:ascii="Times New Roman" w:hAnsi="Times New Roman" w:cs="Times New Roman"/>
          <w:color w:val="000000" w:themeColor="text1"/>
          <w:sz w:val="24"/>
          <w:szCs w:val="24"/>
        </w:rPr>
        <w:t>privind</w:t>
      </w:r>
      <w:proofErr w:type="spellEnd"/>
      <w:r w:rsidRPr="003771D0">
        <w:rPr>
          <w:rFonts w:ascii="Times New Roman" w:hAnsi="Times New Roman" w:cs="Times New Roman"/>
          <w:color w:val="000000" w:themeColor="text1"/>
          <w:spacing w:val="-57"/>
          <w:sz w:val="24"/>
          <w:szCs w:val="24"/>
        </w:rPr>
        <w:t xml:space="preserve"> </w:t>
      </w:r>
      <w:proofErr w:type="spellStart"/>
      <w:r w:rsidRPr="003771D0">
        <w:rPr>
          <w:rFonts w:ascii="Times New Roman" w:hAnsi="Times New Roman" w:cs="Times New Roman"/>
          <w:color w:val="000000" w:themeColor="text1"/>
          <w:sz w:val="24"/>
          <w:szCs w:val="24"/>
        </w:rPr>
        <w:t>conectivitatea</w:t>
      </w:r>
      <w:proofErr w:type="spellEnd"/>
      <w:r w:rsidRPr="003771D0">
        <w:rPr>
          <w:rFonts w:ascii="Times New Roman" w:hAnsi="Times New Roman" w:cs="Times New Roman"/>
          <w:color w:val="000000" w:themeColor="text1"/>
          <w:sz w:val="24"/>
          <w:szCs w:val="24"/>
        </w:rPr>
        <w:t>.</w:t>
      </w:r>
    </w:p>
    <w:p w14:paraId="3670BADE" w14:textId="77777777" w:rsidR="00BC5122" w:rsidRPr="003771D0" w:rsidRDefault="00BC5122" w:rsidP="008E33FD">
      <w:pPr>
        <w:pStyle w:val="Heading2"/>
        <w:ind w:left="300"/>
        <w:jc w:val="both"/>
        <w:rPr>
          <w:color w:val="000000" w:themeColor="text1"/>
          <w:sz w:val="24"/>
          <w:szCs w:val="24"/>
        </w:rPr>
      </w:pPr>
      <w:proofErr w:type="spellStart"/>
      <w:r w:rsidRPr="003771D0">
        <w:rPr>
          <w:color w:val="000000" w:themeColor="text1"/>
          <w:sz w:val="24"/>
          <w:szCs w:val="24"/>
        </w:rPr>
        <w:t>Suprafaţa</w:t>
      </w:r>
      <w:proofErr w:type="spellEnd"/>
      <w:r w:rsidRPr="003771D0">
        <w:rPr>
          <w:color w:val="000000" w:themeColor="text1"/>
          <w:spacing w:val="-3"/>
          <w:sz w:val="24"/>
          <w:szCs w:val="24"/>
        </w:rPr>
        <w:t xml:space="preserve"> </w:t>
      </w:r>
      <w:proofErr w:type="spellStart"/>
      <w:r w:rsidRPr="003771D0">
        <w:rPr>
          <w:color w:val="000000" w:themeColor="text1"/>
          <w:sz w:val="24"/>
          <w:szCs w:val="24"/>
        </w:rPr>
        <w:t>Favorabilă</w:t>
      </w:r>
      <w:proofErr w:type="spellEnd"/>
      <w:r w:rsidRPr="003771D0">
        <w:rPr>
          <w:color w:val="000000" w:themeColor="text1"/>
          <w:spacing w:val="-3"/>
          <w:sz w:val="24"/>
          <w:szCs w:val="24"/>
        </w:rPr>
        <w:t xml:space="preserve"> </w:t>
      </w:r>
      <w:r w:rsidRPr="003771D0">
        <w:rPr>
          <w:color w:val="000000" w:themeColor="text1"/>
          <w:sz w:val="24"/>
          <w:szCs w:val="24"/>
        </w:rPr>
        <w:t>de</w:t>
      </w:r>
      <w:r w:rsidRPr="003771D0">
        <w:rPr>
          <w:color w:val="000000" w:themeColor="text1"/>
          <w:spacing w:val="-3"/>
          <w:sz w:val="24"/>
          <w:szCs w:val="24"/>
        </w:rPr>
        <w:t xml:space="preserve"> </w:t>
      </w:r>
      <w:proofErr w:type="spellStart"/>
      <w:r w:rsidRPr="003771D0">
        <w:rPr>
          <w:color w:val="000000" w:themeColor="text1"/>
          <w:sz w:val="24"/>
          <w:szCs w:val="24"/>
        </w:rPr>
        <w:t>Referinţă</w:t>
      </w:r>
      <w:proofErr w:type="spellEnd"/>
      <w:r w:rsidRPr="003771D0">
        <w:rPr>
          <w:color w:val="000000" w:themeColor="text1"/>
          <w:spacing w:val="-3"/>
          <w:sz w:val="24"/>
          <w:szCs w:val="24"/>
        </w:rPr>
        <w:t xml:space="preserve"> </w:t>
      </w:r>
      <w:r w:rsidRPr="003771D0">
        <w:rPr>
          <w:color w:val="000000" w:themeColor="text1"/>
          <w:sz w:val="24"/>
          <w:szCs w:val="24"/>
        </w:rPr>
        <w:t>(SFR)</w:t>
      </w:r>
    </w:p>
    <w:p w14:paraId="1DBDACD2" w14:textId="77777777" w:rsidR="00BC5122" w:rsidRPr="003771D0" w:rsidRDefault="00BC5122" w:rsidP="003771D0">
      <w:pPr>
        <w:pStyle w:val="BodyText"/>
        <w:ind w:left="0" w:right="26"/>
        <w:jc w:val="both"/>
        <w:rPr>
          <w:color w:val="000000" w:themeColor="text1"/>
          <w:sz w:val="24"/>
          <w:szCs w:val="24"/>
        </w:rPr>
      </w:pPr>
      <w:proofErr w:type="spellStart"/>
      <w:r w:rsidRPr="003771D0">
        <w:rPr>
          <w:color w:val="000000" w:themeColor="text1"/>
          <w:sz w:val="24"/>
          <w:szCs w:val="24"/>
        </w:rPr>
        <w:t>Suprafaţa</w:t>
      </w:r>
      <w:proofErr w:type="spellEnd"/>
      <w:r w:rsidRPr="003771D0">
        <w:rPr>
          <w:color w:val="000000" w:themeColor="text1"/>
          <w:sz w:val="24"/>
          <w:szCs w:val="24"/>
        </w:rPr>
        <w:t xml:space="preserve"> </w:t>
      </w:r>
      <w:proofErr w:type="spellStart"/>
      <w:r w:rsidRPr="003771D0">
        <w:rPr>
          <w:color w:val="000000" w:themeColor="text1"/>
          <w:sz w:val="24"/>
          <w:szCs w:val="24"/>
        </w:rPr>
        <w:t>totală</w:t>
      </w:r>
      <w:proofErr w:type="spellEnd"/>
      <w:r w:rsidRPr="003771D0">
        <w:rPr>
          <w:color w:val="000000" w:themeColor="text1"/>
          <w:sz w:val="24"/>
          <w:szCs w:val="24"/>
        </w:rPr>
        <w:t xml:space="preserve"> </w:t>
      </w:r>
      <w:proofErr w:type="spellStart"/>
      <w:r w:rsidRPr="003771D0">
        <w:rPr>
          <w:color w:val="000000" w:themeColor="text1"/>
          <w:sz w:val="24"/>
          <w:szCs w:val="24"/>
        </w:rPr>
        <w:t>dintr</w:t>
      </w:r>
      <w:proofErr w:type="spellEnd"/>
      <w:r w:rsidRPr="003771D0">
        <w:rPr>
          <w:color w:val="000000" w:themeColor="text1"/>
          <w:sz w:val="24"/>
          <w:szCs w:val="24"/>
        </w:rPr>
        <w:t xml:space="preserve">-o </w:t>
      </w:r>
      <w:proofErr w:type="spellStart"/>
      <w:r w:rsidRPr="003771D0">
        <w:rPr>
          <w:color w:val="000000" w:themeColor="text1"/>
          <w:sz w:val="24"/>
          <w:szCs w:val="24"/>
        </w:rPr>
        <w:t>anumită</w:t>
      </w:r>
      <w:proofErr w:type="spellEnd"/>
      <w:r w:rsidRPr="003771D0">
        <w:rPr>
          <w:color w:val="000000" w:themeColor="text1"/>
          <w:sz w:val="24"/>
          <w:szCs w:val="24"/>
        </w:rPr>
        <w:t xml:space="preserve"> </w:t>
      </w:r>
      <w:proofErr w:type="spellStart"/>
      <w:r w:rsidRPr="003771D0">
        <w:rPr>
          <w:color w:val="000000" w:themeColor="text1"/>
          <w:sz w:val="24"/>
          <w:szCs w:val="24"/>
        </w:rPr>
        <w:t>regiune</w:t>
      </w:r>
      <w:proofErr w:type="spellEnd"/>
      <w:r w:rsidRPr="003771D0">
        <w:rPr>
          <w:color w:val="000000" w:themeColor="text1"/>
          <w:sz w:val="24"/>
          <w:szCs w:val="24"/>
        </w:rPr>
        <w:t xml:space="preserve"> </w:t>
      </w:r>
      <w:proofErr w:type="spellStart"/>
      <w:r w:rsidRPr="003771D0">
        <w:rPr>
          <w:color w:val="000000" w:themeColor="text1"/>
          <w:sz w:val="24"/>
          <w:szCs w:val="24"/>
        </w:rPr>
        <w:t>biogeografică</w:t>
      </w:r>
      <w:proofErr w:type="spellEnd"/>
      <w:r w:rsidRPr="003771D0">
        <w:rPr>
          <w:color w:val="000000" w:themeColor="text1"/>
          <w:sz w:val="24"/>
          <w:szCs w:val="24"/>
        </w:rPr>
        <w:t xml:space="preserve"> </w:t>
      </w:r>
      <w:proofErr w:type="spellStart"/>
      <w:r w:rsidRPr="003771D0">
        <w:rPr>
          <w:color w:val="000000" w:themeColor="text1"/>
          <w:sz w:val="24"/>
          <w:szCs w:val="24"/>
        </w:rPr>
        <w:t>considerată</w:t>
      </w:r>
      <w:proofErr w:type="spellEnd"/>
      <w:r w:rsidRPr="003771D0">
        <w:rPr>
          <w:color w:val="000000" w:themeColor="text1"/>
          <w:sz w:val="24"/>
          <w:szCs w:val="24"/>
        </w:rPr>
        <w:t xml:space="preserve"> ca </w:t>
      </w:r>
      <w:proofErr w:type="spellStart"/>
      <w:r w:rsidRPr="003771D0">
        <w:rPr>
          <w:color w:val="000000" w:themeColor="text1"/>
          <w:sz w:val="24"/>
          <w:szCs w:val="24"/>
        </w:rPr>
        <w:t>minimul</w:t>
      </w:r>
      <w:proofErr w:type="spellEnd"/>
      <w:r w:rsidRPr="003771D0">
        <w:rPr>
          <w:color w:val="000000" w:themeColor="text1"/>
          <w:sz w:val="24"/>
          <w:szCs w:val="24"/>
        </w:rPr>
        <w:t xml:space="preserve"> </w:t>
      </w:r>
      <w:proofErr w:type="spellStart"/>
      <w:r w:rsidRPr="003771D0">
        <w:rPr>
          <w:color w:val="000000" w:themeColor="text1"/>
          <w:sz w:val="24"/>
          <w:szCs w:val="24"/>
        </w:rPr>
        <w:t>necesar</w:t>
      </w:r>
      <w:proofErr w:type="spellEnd"/>
      <w:r w:rsidRPr="003771D0">
        <w:rPr>
          <w:color w:val="000000" w:themeColor="text1"/>
          <w:sz w:val="24"/>
          <w:szCs w:val="24"/>
        </w:rPr>
        <w:t xml:space="preserve"> </w:t>
      </w:r>
      <w:proofErr w:type="spellStart"/>
      <w:r w:rsidRPr="003771D0">
        <w:rPr>
          <w:color w:val="000000" w:themeColor="text1"/>
          <w:sz w:val="24"/>
          <w:szCs w:val="24"/>
        </w:rPr>
        <w:t>pentru</w:t>
      </w:r>
      <w:proofErr w:type="spellEnd"/>
      <w:r w:rsidRPr="003771D0">
        <w:rPr>
          <w:color w:val="000000" w:themeColor="text1"/>
          <w:spacing w:val="1"/>
          <w:sz w:val="24"/>
          <w:szCs w:val="24"/>
        </w:rPr>
        <w:t xml:space="preserve"> </w:t>
      </w:r>
      <w:proofErr w:type="spellStart"/>
      <w:r w:rsidRPr="003771D0">
        <w:rPr>
          <w:color w:val="000000" w:themeColor="text1"/>
          <w:sz w:val="24"/>
          <w:szCs w:val="24"/>
        </w:rPr>
        <w:t>asigurarea</w:t>
      </w:r>
      <w:proofErr w:type="spellEnd"/>
      <w:r w:rsidRPr="003771D0">
        <w:rPr>
          <w:color w:val="000000" w:themeColor="text1"/>
          <w:sz w:val="24"/>
          <w:szCs w:val="24"/>
        </w:rPr>
        <w:t xml:space="preserve"> </w:t>
      </w:r>
      <w:proofErr w:type="spellStart"/>
      <w:r w:rsidRPr="003771D0">
        <w:rPr>
          <w:color w:val="000000" w:themeColor="text1"/>
          <w:sz w:val="24"/>
          <w:szCs w:val="24"/>
        </w:rPr>
        <w:t>viabilităţii</w:t>
      </w:r>
      <w:proofErr w:type="spellEnd"/>
      <w:r w:rsidRPr="003771D0">
        <w:rPr>
          <w:color w:val="000000" w:themeColor="text1"/>
          <w:sz w:val="24"/>
          <w:szCs w:val="24"/>
        </w:rPr>
        <w:t xml:space="preserve"> pe termen lung a </w:t>
      </w:r>
      <w:proofErr w:type="spellStart"/>
      <w:r w:rsidRPr="003771D0">
        <w:rPr>
          <w:color w:val="000000" w:themeColor="text1"/>
          <w:sz w:val="24"/>
          <w:szCs w:val="24"/>
        </w:rPr>
        <w:t>tipului</w:t>
      </w:r>
      <w:proofErr w:type="spellEnd"/>
      <w:r w:rsidRPr="003771D0">
        <w:rPr>
          <w:color w:val="000000" w:themeColor="text1"/>
          <w:sz w:val="24"/>
          <w:szCs w:val="24"/>
        </w:rPr>
        <w:t xml:space="preserve"> de habitat; </w:t>
      </w:r>
      <w:proofErr w:type="spellStart"/>
      <w:r w:rsidRPr="003771D0">
        <w:rPr>
          <w:color w:val="000000" w:themeColor="text1"/>
          <w:sz w:val="24"/>
          <w:szCs w:val="24"/>
        </w:rPr>
        <w:t>acesta</w:t>
      </w:r>
      <w:proofErr w:type="spellEnd"/>
      <w:r w:rsidRPr="003771D0">
        <w:rPr>
          <w:color w:val="000000" w:themeColor="text1"/>
          <w:sz w:val="24"/>
          <w:szCs w:val="24"/>
        </w:rPr>
        <w:t xml:space="preserve"> </w:t>
      </w:r>
      <w:proofErr w:type="spellStart"/>
      <w:r w:rsidRPr="003771D0">
        <w:rPr>
          <w:color w:val="000000" w:themeColor="text1"/>
          <w:sz w:val="24"/>
          <w:szCs w:val="24"/>
        </w:rPr>
        <w:t>trebuie</w:t>
      </w:r>
      <w:proofErr w:type="spellEnd"/>
      <w:r w:rsidRPr="003771D0">
        <w:rPr>
          <w:color w:val="000000" w:themeColor="text1"/>
          <w:sz w:val="24"/>
          <w:szCs w:val="24"/>
        </w:rPr>
        <w:t xml:space="preserve"> </w:t>
      </w:r>
      <w:proofErr w:type="spellStart"/>
      <w:r w:rsidRPr="003771D0">
        <w:rPr>
          <w:color w:val="000000" w:themeColor="text1"/>
          <w:sz w:val="24"/>
          <w:szCs w:val="24"/>
        </w:rPr>
        <w:t>să</w:t>
      </w:r>
      <w:proofErr w:type="spellEnd"/>
      <w:r w:rsidRPr="003771D0">
        <w:rPr>
          <w:color w:val="000000" w:themeColor="text1"/>
          <w:sz w:val="24"/>
          <w:szCs w:val="24"/>
        </w:rPr>
        <w:t xml:space="preserve"> </w:t>
      </w:r>
      <w:proofErr w:type="spellStart"/>
      <w:r w:rsidRPr="003771D0">
        <w:rPr>
          <w:color w:val="000000" w:themeColor="text1"/>
          <w:sz w:val="24"/>
          <w:szCs w:val="24"/>
        </w:rPr>
        <w:t>includă</w:t>
      </w:r>
      <w:proofErr w:type="spellEnd"/>
      <w:r w:rsidRPr="003771D0">
        <w:rPr>
          <w:color w:val="000000" w:themeColor="text1"/>
          <w:sz w:val="24"/>
          <w:szCs w:val="24"/>
        </w:rPr>
        <w:t xml:space="preserve"> </w:t>
      </w:r>
      <w:proofErr w:type="spellStart"/>
      <w:r w:rsidRPr="003771D0">
        <w:rPr>
          <w:color w:val="000000" w:themeColor="text1"/>
          <w:sz w:val="24"/>
          <w:szCs w:val="24"/>
        </w:rPr>
        <w:t>suprafeţele</w:t>
      </w:r>
      <w:proofErr w:type="spellEnd"/>
      <w:r w:rsidRPr="003771D0">
        <w:rPr>
          <w:color w:val="000000" w:themeColor="text1"/>
          <w:spacing w:val="1"/>
          <w:sz w:val="24"/>
          <w:szCs w:val="24"/>
        </w:rPr>
        <w:t xml:space="preserve"> </w:t>
      </w:r>
      <w:proofErr w:type="spellStart"/>
      <w:r w:rsidRPr="003771D0">
        <w:rPr>
          <w:color w:val="000000" w:themeColor="text1"/>
          <w:sz w:val="24"/>
          <w:szCs w:val="24"/>
        </w:rPr>
        <w:t>necesare</w:t>
      </w:r>
      <w:proofErr w:type="spellEnd"/>
      <w:r w:rsidRPr="003771D0">
        <w:rPr>
          <w:color w:val="000000" w:themeColor="text1"/>
          <w:sz w:val="24"/>
          <w:szCs w:val="24"/>
        </w:rPr>
        <w:t xml:space="preserve"> </w:t>
      </w:r>
      <w:proofErr w:type="spellStart"/>
      <w:r w:rsidRPr="003771D0">
        <w:rPr>
          <w:color w:val="000000" w:themeColor="text1"/>
          <w:sz w:val="24"/>
          <w:szCs w:val="24"/>
        </w:rPr>
        <w:t>pentru</w:t>
      </w:r>
      <w:proofErr w:type="spellEnd"/>
      <w:r w:rsidRPr="003771D0">
        <w:rPr>
          <w:color w:val="000000" w:themeColor="text1"/>
          <w:sz w:val="24"/>
          <w:szCs w:val="24"/>
        </w:rPr>
        <w:t xml:space="preserve"> </w:t>
      </w:r>
      <w:proofErr w:type="spellStart"/>
      <w:r w:rsidRPr="003771D0">
        <w:rPr>
          <w:color w:val="000000" w:themeColor="text1"/>
          <w:sz w:val="24"/>
          <w:szCs w:val="24"/>
        </w:rPr>
        <w:t>restaurarea</w:t>
      </w:r>
      <w:proofErr w:type="spellEnd"/>
      <w:r w:rsidRPr="003771D0">
        <w:rPr>
          <w:color w:val="000000" w:themeColor="text1"/>
          <w:sz w:val="24"/>
          <w:szCs w:val="24"/>
        </w:rPr>
        <w:t xml:space="preserve"> </w:t>
      </w:r>
      <w:proofErr w:type="spellStart"/>
      <w:r w:rsidRPr="003771D0">
        <w:rPr>
          <w:color w:val="000000" w:themeColor="text1"/>
          <w:sz w:val="24"/>
          <w:szCs w:val="24"/>
        </w:rPr>
        <w:t>sau</w:t>
      </w:r>
      <w:proofErr w:type="spellEnd"/>
      <w:r w:rsidRPr="003771D0">
        <w:rPr>
          <w:color w:val="000000" w:themeColor="text1"/>
          <w:sz w:val="24"/>
          <w:szCs w:val="24"/>
        </w:rPr>
        <w:t xml:space="preserve"> </w:t>
      </w:r>
      <w:proofErr w:type="spellStart"/>
      <w:r w:rsidRPr="003771D0">
        <w:rPr>
          <w:color w:val="000000" w:themeColor="text1"/>
          <w:sz w:val="24"/>
          <w:szCs w:val="24"/>
        </w:rPr>
        <w:t>dezvoltarea</w:t>
      </w:r>
      <w:proofErr w:type="spellEnd"/>
      <w:r w:rsidRPr="003771D0">
        <w:rPr>
          <w:color w:val="000000" w:themeColor="text1"/>
          <w:sz w:val="24"/>
          <w:szCs w:val="24"/>
        </w:rPr>
        <w:t xml:space="preserve"> </w:t>
      </w:r>
      <w:proofErr w:type="spellStart"/>
      <w:r w:rsidRPr="003771D0">
        <w:rPr>
          <w:color w:val="000000" w:themeColor="text1"/>
          <w:sz w:val="24"/>
          <w:szCs w:val="24"/>
        </w:rPr>
        <w:t>acelor</w:t>
      </w:r>
      <w:proofErr w:type="spellEnd"/>
      <w:r w:rsidRPr="003771D0">
        <w:rPr>
          <w:color w:val="000000" w:themeColor="text1"/>
          <w:sz w:val="24"/>
          <w:szCs w:val="24"/>
        </w:rPr>
        <w:t xml:space="preserve"> </w:t>
      </w:r>
      <w:proofErr w:type="spellStart"/>
      <w:r w:rsidRPr="003771D0">
        <w:rPr>
          <w:color w:val="000000" w:themeColor="text1"/>
          <w:sz w:val="24"/>
          <w:szCs w:val="24"/>
        </w:rPr>
        <w:t>tipuri</w:t>
      </w:r>
      <w:proofErr w:type="spellEnd"/>
      <w:r w:rsidRPr="003771D0">
        <w:rPr>
          <w:color w:val="000000" w:themeColor="text1"/>
          <w:sz w:val="24"/>
          <w:szCs w:val="24"/>
        </w:rPr>
        <w:t xml:space="preserve"> de </w:t>
      </w:r>
      <w:proofErr w:type="spellStart"/>
      <w:r w:rsidRPr="003771D0">
        <w:rPr>
          <w:color w:val="000000" w:themeColor="text1"/>
          <w:sz w:val="24"/>
          <w:szCs w:val="24"/>
        </w:rPr>
        <w:t>habitate</w:t>
      </w:r>
      <w:proofErr w:type="spellEnd"/>
      <w:r w:rsidRPr="003771D0">
        <w:rPr>
          <w:color w:val="000000" w:themeColor="text1"/>
          <w:sz w:val="24"/>
          <w:szCs w:val="24"/>
        </w:rPr>
        <w:t xml:space="preserve"> </w:t>
      </w:r>
      <w:proofErr w:type="spellStart"/>
      <w:r w:rsidRPr="003771D0">
        <w:rPr>
          <w:color w:val="000000" w:themeColor="text1"/>
          <w:sz w:val="24"/>
          <w:szCs w:val="24"/>
        </w:rPr>
        <w:t>în</w:t>
      </w:r>
      <w:proofErr w:type="spellEnd"/>
      <w:r w:rsidRPr="003771D0">
        <w:rPr>
          <w:color w:val="000000" w:themeColor="text1"/>
          <w:sz w:val="24"/>
          <w:szCs w:val="24"/>
        </w:rPr>
        <w:t xml:space="preserve"> </w:t>
      </w:r>
      <w:proofErr w:type="spellStart"/>
      <w:r w:rsidRPr="003771D0">
        <w:rPr>
          <w:color w:val="000000" w:themeColor="text1"/>
          <w:sz w:val="24"/>
          <w:szCs w:val="24"/>
        </w:rPr>
        <w:t>cazul</w:t>
      </w:r>
      <w:proofErr w:type="spellEnd"/>
      <w:r w:rsidRPr="003771D0">
        <w:rPr>
          <w:color w:val="000000" w:themeColor="text1"/>
          <w:sz w:val="24"/>
          <w:szCs w:val="24"/>
        </w:rPr>
        <w:t xml:space="preserve"> </w:t>
      </w:r>
      <w:proofErr w:type="spellStart"/>
      <w:r w:rsidRPr="003771D0">
        <w:rPr>
          <w:color w:val="000000" w:themeColor="text1"/>
          <w:sz w:val="24"/>
          <w:szCs w:val="24"/>
        </w:rPr>
        <w:t>cărora</w:t>
      </w:r>
      <w:proofErr w:type="spellEnd"/>
      <w:r w:rsidRPr="003771D0">
        <w:rPr>
          <w:color w:val="000000" w:themeColor="text1"/>
          <w:sz w:val="24"/>
          <w:szCs w:val="24"/>
        </w:rPr>
        <w:t xml:space="preserve"> </w:t>
      </w:r>
      <w:proofErr w:type="spellStart"/>
      <w:r w:rsidRPr="003771D0">
        <w:rPr>
          <w:color w:val="000000" w:themeColor="text1"/>
          <w:sz w:val="24"/>
          <w:szCs w:val="24"/>
        </w:rPr>
        <w:t>acoperirea</w:t>
      </w:r>
      <w:proofErr w:type="spellEnd"/>
      <w:r w:rsidRPr="003771D0">
        <w:rPr>
          <w:color w:val="000000" w:themeColor="text1"/>
          <w:spacing w:val="1"/>
          <w:sz w:val="24"/>
          <w:szCs w:val="24"/>
        </w:rPr>
        <w:t xml:space="preserve"> </w:t>
      </w:r>
      <w:proofErr w:type="spellStart"/>
      <w:r w:rsidRPr="003771D0">
        <w:rPr>
          <w:color w:val="000000" w:themeColor="text1"/>
          <w:sz w:val="24"/>
          <w:szCs w:val="24"/>
        </w:rPr>
        <w:t>actuală</w:t>
      </w:r>
      <w:proofErr w:type="spellEnd"/>
      <w:r w:rsidRPr="003771D0">
        <w:rPr>
          <w:color w:val="000000" w:themeColor="text1"/>
          <w:sz w:val="24"/>
          <w:szCs w:val="24"/>
        </w:rPr>
        <w:t xml:space="preserve"> nu </w:t>
      </w:r>
      <w:proofErr w:type="spellStart"/>
      <w:r w:rsidRPr="003771D0">
        <w:rPr>
          <w:color w:val="000000" w:themeColor="text1"/>
          <w:sz w:val="24"/>
          <w:szCs w:val="24"/>
        </w:rPr>
        <w:t>este</w:t>
      </w:r>
      <w:proofErr w:type="spellEnd"/>
      <w:r w:rsidRPr="003771D0">
        <w:rPr>
          <w:color w:val="000000" w:themeColor="text1"/>
          <w:sz w:val="24"/>
          <w:szCs w:val="24"/>
        </w:rPr>
        <w:t xml:space="preserve"> </w:t>
      </w:r>
      <w:proofErr w:type="spellStart"/>
      <w:r w:rsidRPr="003771D0">
        <w:rPr>
          <w:color w:val="000000" w:themeColor="text1"/>
          <w:sz w:val="24"/>
          <w:szCs w:val="24"/>
        </w:rPr>
        <w:t>suficientă</w:t>
      </w:r>
      <w:proofErr w:type="spellEnd"/>
      <w:r w:rsidRPr="003771D0">
        <w:rPr>
          <w:color w:val="000000" w:themeColor="text1"/>
          <w:sz w:val="24"/>
          <w:szCs w:val="24"/>
        </w:rPr>
        <w:t xml:space="preserve"> </w:t>
      </w:r>
      <w:proofErr w:type="spellStart"/>
      <w:r w:rsidRPr="003771D0">
        <w:rPr>
          <w:color w:val="000000" w:themeColor="text1"/>
          <w:sz w:val="24"/>
          <w:szCs w:val="24"/>
        </w:rPr>
        <w:t>pentru</w:t>
      </w:r>
      <w:proofErr w:type="spellEnd"/>
      <w:r w:rsidRPr="003771D0">
        <w:rPr>
          <w:color w:val="000000" w:themeColor="text1"/>
          <w:sz w:val="24"/>
          <w:szCs w:val="24"/>
        </w:rPr>
        <w:t xml:space="preserve"> </w:t>
      </w:r>
      <w:proofErr w:type="spellStart"/>
      <w:r w:rsidRPr="003771D0">
        <w:rPr>
          <w:color w:val="000000" w:themeColor="text1"/>
          <w:sz w:val="24"/>
          <w:szCs w:val="24"/>
        </w:rPr>
        <w:t>asigurarea</w:t>
      </w:r>
      <w:proofErr w:type="spellEnd"/>
      <w:r w:rsidRPr="003771D0">
        <w:rPr>
          <w:color w:val="000000" w:themeColor="text1"/>
          <w:sz w:val="24"/>
          <w:szCs w:val="24"/>
        </w:rPr>
        <w:t xml:space="preserve"> </w:t>
      </w:r>
      <w:proofErr w:type="spellStart"/>
      <w:r w:rsidRPr="003771D0">
        <w:rPr>
          <w:color w:val="000000" w:themeColor="text1"/>
          <w:sz w:val="24"/>
          <w:szCs w:val="24"/>
        </w:rPr>
        <w:t>viabilităţii</w:t>
      </w:r>
      <w:proofErr w:type="spellEnd"/>
      <w:r w:rsidRPr="003771D0">
        <w:rPr>
          <w:color w:val="000000" w:themeColor="text1"/>
          <w:sz w:val="24"/>
          <w:szCs w:val="24"/>
        </w:rPr>
        <w:t xml:space="preserve"> pe termen lung; </w:t>
      </w:r>
      <w:proofErr w:type="spellStart"/>
      <w:r w:rsidRPr="003771D0">
        <w:rPr>
          <w:color w:val="000000" w:themeColor="text1"/>
          <w:sz w:val="24"/>
          <w:szCs w:val="24"/>
        </w:rPr>
        <w:t>valoarea</w:t>
      </w:r>
      <w:proofErr w:type="spellEnd"/>
      <w:r w:rsidRPr="003771D0">
        <w:rPr>
          <w:color w:val="000000" w:themeColor="text1"/>
          <w:sz w:val="24"/>
          <w:szCs w:val="24"/>
        </w:rPr>
        <w:t xml:space="preserve"> </w:t>
      </w:r>
      <w:proofErr w:type="spellStart"/>
      <w:r w:rsidRPr="003771D0">
        <w:rPr>
          <w:color w:val="000000" w:themeColor="text1"/>
          <w:sz w:val="24"/>
          <w:szCs w:val="24"/>
        </w:rPr>
        <w:t>favorabilă</w:t>
      </w:r>
      <w:proofErr w:type="spellEnd"/>
      <w:r w:rsidRPr="003771D0">
        <w:rPr>
          <w:color w:val="000000" w:themeColor="text1"/>
          <w:sz w:val="24"/>
          <w:szCs w:val="24"/>
        </w:rPr>
        <w:t xml:space="preserve"> de</w:t>
      </w:r>
      <w:r w:rsidRPr="003771D0">
        <w:rPr>
          <w:color w:val="000000" w:themeColor="text1"/>
          <w:spacing w:val="1"/>
          <w:sz w:val="24"/>
          <w:szCs w:val="24"/>
        </w:rPr>
        <w:t xml:space="preserve"> </w:t>
      </w:r>
      <w:proofErr w:type="spellStart"/>
      <w:r w:rsidRPr="003771D0">
        <w:rPr>
          <w:color w:val="000000" w:themeColor="text1"/>
          <w:sz w:val="24"/>
          <w:szCs w:val="24"/>
        </w:rPr>
        <w:t>referinţă</w:t>
      </w:r>
      <w:proofErr w:type="spellEnd"/>
      <w:r w:rsidRPr="003771D0">
        <w:rPr>
          <w:color w:val="000000" w:themeColor="text1"/>
          <w:sz w:val="24"/>
          <w:szCs w:val="24"/>
        </w:rPr>
        <w:t xml:space="preserve"> </w:t>
      </w:r>
      <w:proofErr w:type="spellStart"/>
      <w:r w:rsidRPr="003771D0">
        <w:rPr>
          <w:color w:val="000000" w:themeColor="text1"/>
          <w:sz w:val="24"/>
          <w:szCs w:val="24"/>
        </w:rPr>
        <w:t>trebuie</w:t>
      </w:r>
      <w:proofErr w:type="spellEnd"/>
      <w:r w:rsidRPr="003771D0">
        <w:rPr>
          <w:color w:val="000000" w:themeColor="text1"/>
          <w:sz w:val="24"/>
          <w:szCs w:val="24"/>
        </w:rPr>
        <w:t xml:space="preserve"> </w:t>
      </w:r>
      <w:proofErr w:type="spellStart"/>
      <w:r w:rsidRPr="003771D0">
        <w:rPr>
          <w:color w:val="000000" w:themeColor="text1"/>
          <w:sz w:val="24"/>
          <w:szCs w:val="24"/>
        </w:rPr>
        <w:t>să</w:t>
      </w:r>
      <w:proofErr w:type="spellEnd"/>
      <w:r w:rsidRPr="003771D0">
        <w:rPr>
          <w:color w:val="000000" w:themeColor="text1"/>
          <w:sz w:val="24"/>
          <w:szCs w:val="24"/>
        </w:rPr>
        <w:t xml:space="preserve"> fie </w:t>
      </w:r>
      <w:proofErr w:type="spellStart"/>
      <w:r w:rsidRPr="003771D0">
        <w:rPr>
          <w:color w:val="000000" w:themeColor="text1"/>
          <w:sz w:val="24"/>
          <w:szCs w:val="24"/>
        </w:rPr>
        <w:t>cel</w:t>
      </w:r>
      <w:proofErr w:type="spellEnd"/>
      <w:r w:rsidRPr="003771D0">
        <w:rPr>
          <w:color w:val="000000" w:themeColor="text1"/>
          <w:sz w:val="24"/>
          <w:szCs w:val="24"/>
        </w:rPr>
        <w:t xml:space="preserve"> </w:t>
      </w:r>
      <w:proofErr w:type="spellStart"/>
      <w:r w:rsidRPr="003771D0">
        <w:rPr>
          <w:color w:val="000000" w:themeColor="text1"/>
          <w:sz w:val="24"/>
          <w:szCs w:val="24"/>
        </w:rPr>
        <w:t>puţin</w:t>
      </w:r>
      <w:proofErr w:type="spellEnd"/>
      <w:r w:rsidRPr="003771D0">
        <w:rPr>
          <w:color w:val="000000" w:themeColor="text1"/>
          <w:sz w:val="24"/>
          <w:szCs w:val="24"/>
        </w:rPr>
        <w:t xml:space="preserve"> </w:t>
      </w:r>
      <w:proofErr w:type="spellStart"/>
      <w:r w:rsidRPr="003771D0">
        <w:rPr>
          <w:color w:val="000000" w:themeColor="text1"/>
          <w:sz w:val="24"/>
          <w:szCs w:val="24"/>
        </w:rPr>
        <w:t>egală</w:t>
      </w:r>
      <w:proofErr w:type="spellEnd"/>
      <w:r w:rsidRPr="003771D0">
        <w:rPr>
          <w:color w:val="000000" w:themeColor="text1"/>
          <w:sz w:val="24"/>
          <w:szCs w:val="24"/>
        </w:rPr>
        <w:t xml:space="preserve"> cu </w:t>
      </w:r>
      <w:proofErr w:type="spellStart"/>
      <w:r w:rsidRPr="003771D0">
        <w:rPr>
          <w:color w:val="000000" w:themeColor="text1"/>
          <w:sz w:val="24"/>
          <w:szCs w:val="24"/>
        </w:rPr>
        <w:t>suprafaţa</w:t>
      </w:r>
      <w:proofErr w:type="spellEnd"/>
      <w:r w:rsidRPr="003771D0">
        <w:rPr>
          <w:color w:val="000000" w:themeColor="text1"/>
          <w:sz w:val="24"/>
          <w:szCs w:val="24"/>
        </w:rPr>
        <w:t xml:space="preserve"> </w:t>
      </w:r>
      <w:proofErr w:type="spellStart"/>
      <w:r w:rsidRPr="003771D0">
        <w:rPr>
          <w:color w:val="000000" w:themeColor="text1"/>
          <w:sz w:val="24"/>
          <w:szCs w:val="24"/>
        </w:rPr>
        <w:t>înregistrată</w:t>
      </w:r>
      <w:proofErr w:type="spellEnd"/>
      <w:r w:rsidRPr="003771D0">
        <w:rPr>
          <w:color w:val="000000" w:themeColor="text1"/>
          <w:sz w:val="24"/>
          <w:szCs w:val="24"/>
        </w:rPr>
        <w:t xml:space="preserve"> </w:t>
      </w:r>
      <w:proofErr w:type="spellStart"/>
      <w:r w:rsidRPr="003771D0">
        <w:rPr>
          <w:color w:val="000000" w:themeColor="text1"/>
          <w:sz w:val="24"/>
          <w:szCs w:val="24"/>
        </w:rPr>
        <w:t>în</w:t>
      </w:r>
      <w:proofErr w:type="spellEnd"/>
      <w:r w:rsidRPr="003771D0">
        <w:rPr>
          <w:color w:val="000000" w:themeColor="text1"/>
          <w:sz w:val="24"/>
          <w:szCs w:val="24"/>
        </w:rPr>
        <w:t xml:space="preserve"> </w:t>
      </w:r>
      <w:proofErr w:type="spellStart"/>
      <w:r w:rsidRPr="003771D0">
        <w:rPr>
          <w:color w:val="000000" w:themeColor="text1"/>
          <w:sz w:val="24"/>
          <w:szCs w:val="24"/>
        </w:rPr>
        <w:t>momentul</w:t>
      </w:r>
      <w:proofErr w:type="spellEnd"/>
      <w:r w:rsidRPr="003771D0">
        <w:rPr>
          <w:color w:val="000000" w:themeColor="text1"/>
          <w:sz w:val="24"/>
          <w:szCs w:val="24"/>
        </w:rPr>
        <w:t xml:space="preserve"> </w:t>
      </w:r>
      <w:proofErr w:type="spellStart"/>
      <w:r w:rsidRPr="003771D0">
        <w:rPr>
          <w:color w:val="000000" w:themeColor="text1"/>
          <w:sz w:val="24"/>
          <w:szCs w:val="24"/>
        </w:rPr>
        <w:t>în</w:t>
      </w:r>
      <w:proofErr w:type="spellEnd"/>
      <w:r w:rsidRPr="003771D0">
        <w:rPr>
          <w:color w:val="000000" w:themeColor="text1"/>
          <w:sz w:val="24"/>
          <w:szCs w:val="24"/>
        </w:rPr>
        <w:t xml:space="preserve"> care DH a </w:t>
      </w:r>
      <w:proofErr w:type="spellStart"/>
      <w:r w:rsidRPr="003771D0">
        <w:rPr>
          <w:color w:val="000000" w:themeColor="text1"/>
          <w:sz w:val="24"/>
          <w:szCs w:val="24"/>
        </w:rPr>
        <w:t>intrat</w:t>
      </w:r>
      <w:proofErr w:type="spellEnd"/>
      <w:r w:rsidRPr="003771D0">
        <w:rPr>
          <w:color w:val="000000" w:themeColor="text1"/>
          <w:sz w:val="24"/>
          <w:szCs w:val="24"/>
        </w:rPr>
        <w:t xml:space="preserve"> </w:t>
      </w:r>
      <w:proofErr w:type="spellStart"/>
      <w:r w:rsidRPr="003771D0">
        <w:rPr>
          <w:color w:val="000000" w:themeColor="text1"/>
          <w:sz w:val="24"/>
          <w:szCs w:val="24"/>
        </w:rPr>
        <w:t>în</w:t>
      </w:r>
      <w:proofErr w:type="spellEnd"/>
      <w:r w:rsidRPr="003771D0">
        <w:rPr>
          <w:color w:val="000000" w:themeColor="text1"/>
          <w:spacing w:val="-57"/>
          <w:sz w:val="24"/>
          <w:szCs w:val="24"/>
        </w:rPr>
        <w:t xml:space="preserve"> </w:t>
      </w:r>
      <w:proofErr w:type="spellStart"/>
      <w:r w:rsidRPr="003771D0">
        <w:rPr>
          <w:color w:val="000000" w:themeColor="text1"/>
          <w:sz w:val="24"/>
          <w:szCs w:val="24"/>
        </w:rPr>
        <w:t>vigoare</w:t>
      </w:r>
      <w:proofErr w:type="spellEnd"/>
      <w:r w:rsidRPr="003771D0">
        <w:rPr>
          <w:color w:val="000000" w:themeColor="text1"/>
          <w:sz w:val="24"/>
          <w:szCs w:val="24"/>
        </w:rPr>
        <w:t xml:space="preserve">; </w:t>
      </w:r>
      <w:proofErr w:type="spellStart"/>
      <w:r w:rsidRPr="003771D0">
        <w:rPr>
          <w:color w:val="000000" w:themeColor="text1"/>
          <w:sz w:val="24"/>
          <w:szCs w:val="24"/>
        </w:rPr>
        <w:t>informaţiile</w:t>
      </w:r>
      <w:proofErr w:type="spellEnd"/>
      <w:r w:rsidRPr="003771D0">
        <w:rPr>
          <w:color w:val="000000" w:themeColor="text1"/>
          <w:sz w:val="24"/>
          <w:szCs w:val="24"/>
        </w:rPr>
        <w:t xml:space="preserve"> </w:t>
      </w:r>
      <w:proofErr w:type="spellStart"/>
      <w:r w:rsidRPr="003771D0">
        <w:rPr>
          <w:color w:val="000000" w:themeColor="text1"/>
          <w:sz w:val="24"/>
          <w:szCs w:val="24"/>
        </w:rPr>
        <w:t>privind</w:t>
      </w:r>
      <w:proofErr w:type="spellEnd"/>
      <w:r w:rsidRPr="003771D0">
        <w:rPr>
          <w:color w:val="000000" w:themeColor="text1"/>
          <w:sz w:val="24"/>
          <w:szCs w:val="24"/>
        </w:rPr>
        <w:t xml:space="preserve"> </w:t>
      </w:r>
      <w:proofErr w:type="spellStart"/>
      <w:r w:rsidRPr="003771D0">
        <w:rPr>
          <w:color w:val="000000" w:themeColor="text1"/>
          <w:sz w:val="24"/>
          <w:szCs w:val="24"/>
        </w:rPr>
        <w:t>distribuţia</w:t>
      </w:r>
      <w:proofErr w:type="spellEnd"/>
      <w:r w:rsidRPr="003771D0">
        <w:rPr>
          <w:color w:val="000000" w:themeColor="text1"/>
          <w:sz w:val="24"/>
          <w:szCs w:val="24"/>
        </w:rPr>
        <w:t xml:space="preserve"> </w:t>
      </w:r>
      <w:proofErr w:type="spellStart"/>
      <w:r w:rsidRPr="003771D0">
        <w:rPr>
          <w:color w:val="000000" w:themeColor="text1"/>
          <w:sz w:val="24"/>
          <w:szCs w:val="24"/>
        </w:rPr>
        <w:t>anterioară</w:t>
      </w:r>
      <w:proofErr w:type="spellEnd"/>
      <w:r w:rsidRPr="003771D0">
        <w:rPr>
          <w:color w:val="000000" w:themeColor="text1"/>
          <w:sz w:val="24"/>
          <w:szCs w:val="24"/>
        </w:rPr>
        <w:t xml:space="preserve"> (</w:t>
      </w:r>
      <w:proofErr w:type="spellStart"/>
      <w:r w:rsidRPr="003771D0">
        <w:rPr>
          <w:color w:val="000000" w:themeColor="text1"/>
          <w:sz w:val="24"/>
          <w:szCs w:val="24"/>
        </w:rPr>
        <w:t>istorică</w:t>
      </w:r>
      <w:proofErr w:type="spellEnd"/>
      <w:r w:rsidRPr="003771D0">
        <w:rPr>
          <w:color w:val="000000" w:themeColor="text1"/>
          <w:sz w:val="24"/>
          <w:szCs w:val="24"/>
        </w:rPr>
        <w:t xml:space="preserve">) pot fi considerate utile </w:t>
      </w:r>
      <w:proofErr w:type="spellStart"/>
      <w:r w:rsidRPr="003771D0">
        <w:rPr>
          <w:color w:val="000000" w:themeColor="text1"/>
          <w:sz w:val="24"/>
          <w:szCs w:val="24"/>
        </w:rPr>
        <w:t>în</w:t>
      </w:r>
      <w:proofErr w:type="spellEnd"/>
      <w:r w:rsidRPr="003771D0">
        <w:rPr>
          <w:color w:val="000000" w:themeColor="text1"/>
          <w:sz w:val="24"/>
          <w:szCs w:val="24"/>
        </w:rPr>
        <w:t xml:space="preserve"> </w:t>
      </w:r>
      <w:proofErr w:type="spellStart"/>
      <w:r w:rsidRPr="003771D0">
        <w:rPr>
          <w:color w:val="000000" w:themeColor="text1"/>
          <w:sz w:val="24"/>
          <w:szCs w:val="24"/>
        </w:rPr>
        <w:t>definirea</w:t>
      </w:r>
      <w:proofErr w:type="spellEnd"/>
      <w:r w:rsidRPr="003771D0">
        <w:rPr>
          <w:color w:val="000000" w:themeColor="text1"/>
          <w:spacing w:val="1"/>
          <w:sz w:val="24"/>
          <w:szCs w:val="24"/>
        </w:rPr>
        <w:t xml:space="preserve"> </w:t>
      </w:r>
      <w:r w:rsidRPr="003771D0">
        <w:rPr>
          <w:color w:val="000000" w:themeColor="text1"/>
          <w:sz w:val="24"/>
          <w:szCs w:val="24"/>
        </w:rPr>
        <w:t>SFR; “</w:t>
      </w:r>
      <w:proofErr w:type="spellStart"/>
      <w:r w:rsidRPr="003771D0">
        <w:rPr>
          <w:color w:val="000000" w:themeColor="text1"/>
          <w:sz w:val="24"/>
          <w:szCs w:val="24"/>
        </w:rPr>
        <w:t>părerea</w:t>
      </w:r>
      <w:proofErr w:type="spellEnd"/>
      <w:r w:rsidRPr="003771D0">
        <w:rPr>
          <w:color w:val="000000" w:themeColor="text1"/>
          <w:sz w:val="24"/>
          <w:szCs w:val="24"/>
        </w:rPr>
        <w:t xml:space="preserve"> </w:t>
      </w:r>
      <w:proofErr w:type="spellStart"/>
      <w:r w:rsidRPr="003771D0">
        <w:rPr>
          <w:color w:val="000000" w:themeColor="text1"/>
          <w:sz w:val="24"/>
          <w:szCs w:val="24"/>
        </w:rPr>
        <w:t>expertului</w:t>
      </w:r>
      <w:proofErr w:type="spellEnd"/>
      <w:r w:rsidRPr="003771D0">
        <w:rPr>
          <w:color w:val="000000" w:themeColor="text1"/>
          <w:sz w:val="24"/>
          <w:szCs w:val="24"/>
        </w:rPr>
        <w:t xml:space="preserve">” </w:t>
      </w:r>
      <w:proofErr w:type="spellStart"/>
      <w:r w:rsidRPr="003771D0">
        <w:rPr>
          <w:color w:val="000000" w:themeColor="text1"/>
          <w:sz w:val="24"/>
          <w:szCs w:val="24"/>
        </w:rPr>
        <w:t>poate</w:t>
      </w:r>
      <w:proofErr w:type="spellEnd"/>
      <w:r w:rsidRPr="003771D0">
        <w:rPr>
          <w:color w:val="000000" w:themeColor="text1"/>
          <w:sz w:val="24"/>
          <w:szCs w:val="24"/>
        </w:rPr>
        <w:t xml:space="preserve"> fi </w:t>
      </w:r>
      <w:proofErr w:type="spellStart"/>
      <w:r w:rsidRPr="003771D0">
        <w:rPr>
          <w:color w:val="000000" w:themeColor="text1"/>
          <w:sz w:val="24"/>
          <w:szCs w:val="24"/>
        </w:rPr>
        <w:t>utilizată</w:t>
      </w:r>
      <w:proofErr w:type="spellEnd"/>
      <w:r w:rsidRPr="003771D0">
        <w:rPr>
          <w:color w:val="000000" w:themeColor="text1"/>
          <w:sz w:val="24"/>
          <w:szCs w:val="24"/>
        </w:rPr>
        <w:t xml:space="preserve"> </w:t>
      </w:r>
      <w:proofErr w:type="spellStart"/>
      <w:r w:rsidRPr="003771D0">
        <w:rPr>
          <w:color w:val="000000" w:themeColor="text1"/>
          <w:sz w:val="24"/>
          <w:szCs w:val="24"/>
        </w:rPr>
        <w:t>pentru</w:t>
      </w:r>
      <w:proofErr w:type="spellEnd"/>
      <w:r w:rsidRPr="003771D0">
        <w:rPr>
          <w:color w:val="000000" w:themeColor="text1"/>
          <w:sz w:val="24"/>
          <w:szCs w:val="24"/>
        </w:rPr>
        <w:t xml:space="preserve"> a </w:t>
      </w:r>
      <w:proofErr w:type="spellStart"/>
      <w:r w:rsidRPr="003771D0">
        <w:rPr>
          <w:color w:val="000000" w:themeColor="text1"/>
          <w:sz w:val="24"/>
          <w:szCs w:val="24"/>
        </w:rPr>
        <w:t>defini</w:t>
      </w:r>
      <w:proofErr w:type="spellEnd"/>
      <w:r w:rsidRPr="003771D0">
        <w:rPr>
          <w:color w:val="000000" w:themeColor="text1"/>
          <w:sz w:val="24"/>
          <w:szCs w:val="24"/>
        </w:rPr>
        <w:t xml:space="preserve"> </w:t>
      </w:r>
      <w:proofErr w:type="spellStart"/>
      <w:r w:rsidRPr="003771D0">
        <w:rPr>
          <w:color w:val="000000" w:themeColor="text1"/>
          <w:sz w:val="24"/>
          <w:szCs w:val="24"/>
        </w:rPr>
        <w:t>această</w:t>
      </w:r>
      <w:proofErr w:type="spellEnd"/>
      <w:r w:rsidRPr="003771D0">
        <w:rPr>
          <w:color w:val="000000" w:themeColor="text1"/>
          <w:sz w:val="24"/>
          <w:szCs w:val="24"/>
        </w:rPr>
        <w:t xml:space="preserve"> </w:t>
      </w:r>
      <w:proofErr w:type="spellStart"/>
      <w:r w:rsidRPr="003771D0">
        <w:rPr>
          <w:color w:val="000000" w:themeColor="text1"/>
          <w:sz w:val="24"/>
          <w:szCs w:val="24"/>
        </w:rPr>
        <w:t>suprafaţă</w:t>
      </w:r>
      <w:proofErr w:type="spellEnd"/>
      <w:r w:rsidRPr="003771D0">
        <w:rPr>
          <w:color w:val="000000" w:themeColor="text1"/>
          <w:sz w:val="24"/>
          <w:szCs w:val="24"/>
        </w:rPr>
        <w:t xml:space="preserve"> </w:t>
      </w:r>
      <w:proofErr w:type="spellStart"/>
      <w:r w:rsidRPr="003771D0">
        <w:rPr>
          <w:color w:val="000000" w:themeColor="text1"/>
          <w:sz w:val="24"/>
          <w:szCs w:val="24"/>
        </w:rPr>
        <w:t>în</w:t>
      </w:r>
      <w:proofErr w:type="spellEnd"/>
      <w:r w:rsidRPr="003771D0">
        <w:rPr>
          <w:color w:val="000000" w:themeColor="text1"/>
          <w:sz w:val="24"/>
          <w:szCs w:val="24"/>
        </w:rPr>
        <w:t xml:space="preserve"> </w:t>
      </w:r>
      <w:proofErr w:type="spellStart"/>
      <w:r w:rsidRPr="003771D0">
        <w:rPr>
          <w:color w:val="000000" w:themeColor="text1"/>
          <w:sz w:val="24"/>
          <w:szCs w:val="24"/>
        </w:rPr>
        <w:t>absenţa</w:t>
      </w:r>
      <w:proofErr w:type="spellEnd"/>
      <w:r w:rsidRPr="003771D0">
        <w:rPr>
          <w:color w:val="000000" w:themeColor="text1"/>
          <w:sz w:val="24"/>
          <w:szCs w:val="24"/>
        </w:rPr>
        <w:t xml:space="preserve"> </w:t>
      </w:r>
      <w:proofErr w:type="spellStart"/>
      <w:r w:rsidRPr="003771D0">
        <w:rPr>
          <w:color w:val="000000" w:themeColor="text1"/>
          <w:sz w:val="24"/>
          <w:szCs w:val="24"/>
        </w:rPr>
        <w:t>altor</w:t>
      </w:r>
      <w:proofErr w:type="spellEnd"/>
      <w:r w:rsidRPr="003771D0">
        <w:rPr>
          <w:color w:val="000000" w:themeColor="text1"/>
          <w:sz w:val="24"/>
          <w:szCs w:val="24"/>
        </w:rPr>
        <w:t xml:space="preserve"> date</w:t>
      </w:r>
      <w:r w:rsidRPr="003771D0">
        <w:rPr>
          <w:color w:val="000000" w:themeColor="text1"/>
          <w:spacing w:val="1"/>
          <w:sz w:val="24"/>
          <w:szCs w:val="24"/>
        </w:rPr>
        <w:t xml:space="preserve"> </w:t>
      </w:r>
      <w:r w:rsidRPr="003771D0">
        <w:rPr>
          <w:color w:val="000000" w:themeColor="text1"/>
          <w:sz w:val="24"/>
          <w:szCs w:val="24"/>
        </w:rPr>
        <w:t xml:space="preserve">(conform cu </w:t>
      </w:r>
      <w:proofErr w:type="spellStart"/>
      <w:r w:rsidRPr="003771D0">
        <w:rPr>
          <w:color w:val="000000" w:themeColor="text1"/>
          <w:sz w:val="24"/>
          <w:szCs w:val="24"/>
        </w:rPr>
        <w:t>definiţia</w:t>
      </w:r>
      <w:proofErr w:type="spellEnd"/>
      <w:r w:rsidRPr="003771D0">
        <w:rPr>
          <w:color w:val="000000" w:themeColor="text1"/>
          <w:sz w:val="24"/>
          <w:szCs w:val="24"/>
        </w:rPr>
        <w:t xml:space="preserve"> din</w:t>
      </w:r>
      <w:r w:rsidRPr="003771D0">
        <w:rPr>
          <w:color w:val="000000" w:themeColor="text1"/>
          <w:spacing w:val="60"/>
          <w:sz w:val="24"/>
          <w:szCs w:val="24"/>
        </w:rPr>
        <w:t xml:space="preserve"> </w:t>
      </w:r>
      <w:r w:rsidRPr="003771D0">
        <w:rPr>
          <w:i/>
          <w:color w:val="000000" w:themeColor="text1"/>
          <w:sz w:val="24"/>
          <w:szCs w:val="24"/>
        </w:rPr>
        <w:t>Reporting under Article 17 of the Habitats Directive: Explanatory</w:t>
      </w:r>
      <w:r w:rsidRPr="003771D0">
        <w:rPr>
          <w:i/>
          <w:color w:val="000000" w:themeColor="text1"/>
          <w:spacing w:val="1"/>
          <w:sz w:val="24"/>
          <w:szCs w:val="24"/>
        </w:rPr>
        <w:t xml:space="preserve"> </w:t>
      </w:r>
      <w:r w:rsidRPr="003771D0">
        <w:rPr>
          <w:i/>
          <w:color w:val="000000" w:themeColor="text1"/>
          <w:sz w:val="24"/>
          <w:szCs w:val="24"/>
        </w:rPr>
        <w:t>notes</w:t>
      </w:r>
      <w:r w:rsidRPr="003771D0">
        <w:rPr>
          <w:i/>
          <w:color w:val="000000" w:themeColor="text1"/>
          <w:spacing w:val="-1"/>
          <w:sz w:val="24"/>
          <w:szCs w:val="24"/>
        </w:rPr>
        <w:t xml:space="preserve"> </w:t>
      </w:r>
      <w:r w:rsidRPr="003771D0">
        <w:rPr>
          <w:i/>
          <w:color w:val="000000" w:themeColor="text1"/>
          <w:sz w:val="24"/>
          <w:szCs w:val="24"/>
        </w:rPr>
        <w:t>and guidelines for the period 2013-2018</w:t>
      </w:r>
      <w:r w:rsidRPr="003771D0">
        <w:rPr>
          <w:color w:val="000000" w:themeColor="text1"/>
          <w:sz w:val="24"/>
          <w:szCs w:val="24"/>
        </w:rPr>
        <w:t>).</w:t>
      </w:r>
    </w:p>
    <w:p w14:paraId="109BA36C" w14:textId="77777777" w:rsidR="00BC5122" w:rsidRPr="003771D0" w:rsidRDefault="00BC5122" w:rsidP="003771D0">
      <w:pPr>
        <w:pStyle w:val="BodyText"/>
        <w:ind w:left="0" w:right="26"/>
        <w:jc w:val="both"/>
        <w:rPr>
          <w:color w:val="000000" w:themeColor="text1"/>
          <w:sz w:val="24"/>
          <w:szCs w:val="24"/>
          <w:lang w:val="fr-FR"/>
        </w:rPr>
      </w:pPr>
      <w:proofErr w:type="spellStart"/>
      <w:r w:rsidRPr="003771D0">
        <w:rPr>
          <w:color w:val="000000" w:themeColor="text1"/>
          <w:sz w:val="24"/>
          <w:szCs w:val="24"/>
          <w:lang w:val="fr-FR"/>
        </w:rPr>
        <w:t>Următoarele</w:t>
      </w:r>
      <w:proofErr w:type="spellEnd"/>
      <w:r w:rsidRPr="003771D0">
        <w:rPr>
          <w:color w:val="000000" w:themeColor="text1"/>
          <w:spacing w:val="-1"/>
          <w:sz w:val="24"/>
          <w:szCs w:val="24"/>
          <w:lang w:val="fr-FR"/>
        </w:rPr>
        <w:t xml:space="preserve"> </w:t>
      </w:r>
      <w:proofErr w:type="spellStart"/>
      <w:r w:rsidRPr="003771D0">
        <w:rPr>
          <w:color w:val="000000" w:themeColor="text1"/>
          <w:sz w:val="24"/>
          <w:szCs w:val="24"/>
          <w:lang w:val="fr-FR"/>
        </w:rPr>
        <w:t>informaţii</w:t>
      </w:r>
      <w:proofErr w:type="spellEnd"/>
      <w:r w:rsidRPr="003771D0">
        <w:rPr>
          <w:color w:val="000000" w:themeColor="text1"/>
          <w:spacing w:val="-1"/>
          <w:sz w:val="24"/>
          <w:szCs w:val="24"/>
          <w:lang w:val="fr-FR"/>
        </w:rPr>
        <w:t xml:space="preserve"> </w:t>
      </w:r>
      <w:r w:rsidRPr="003771D0">
        <w:rPr>
          <w:color w:val="000000" w:themeColor="text1"/>
          <w:sz w:val="24"/>
          <w:szCs w:val="24"/>
          <w:lang w:val="fr-FR"/>
        </w:rPr>
        <w:t>de</w:t>
      </w:r>
      <w:r w:rsidRPr="003771D0">
        <w:rPr>
          <w:color w:val="000000" w:themeColor="text1"/>
          <w:spacing w:val="-2"/>
          <w:sz w:val="24"/>
          <w:szCs w:val="24"/>
          <w:lang w:val="fr-FR"/>
        </w:rPr>
        <w:t xml:space="preserve"> </w:t>
      </w:r>
      <w:proofErr w:type="spellStart"/>
      <w:r w:rsidRPr="003771D0">
        <w:rPr>
          <w:color w:val="000000" w:themeColor="text1"/>
          <w:sz w:val="24"/>
          <w:szCs w:val="24"/>
          <w:lang w:val="fr-FR"/>
        </w:rPr>
        <w:t>bază</w:t>
      </w:r>
      <w:proofErr w:type="spellEnd"/>
      <w:r w:rsidRPr="003771D0">
        <w:rPr>
          <w:color w:val="000000" w:themeColor="text1"/>
          <w:spacing w:val="-1"/>
          <w:sz w:val="24"/>
          <w:szCs w:val="24"/>
          <w:lang w:val="fr-FR"/>
        </w:rPr>
        <w:t xml:space="preserve"> </w:t>
      </w:r>
      <w:proofErr w:type="spellStart"/>
      <w:r w:rsidRPr="003771D0">
        <w:rPr>
          <w:color w:val="000000" w:themeColor="text1"/>
          <w:sz w:val="24"/>
          <w:szCs w:val="24"/>
          <w:lang w:val="fr-FR"/>
        </w:rPr>
        <w:t>şi</w:t>
      </w:r>
      <w:proofErr w:type="spellEnd"/>
      <w:r w:rsidRPr="003771D0">
        <w:rPr>
          <w:color w:val="000000" w:themeColor="text1"/>
          <w:spacing w:val="-2"/>
          <w:sz w:val="24"/>
          <w:szCs w:val="24"/>
          <w:lang w:val="fr-FR"/>
        </w:rPr>
        <w:t xml:space="preserve"> </w:t>
      </w:r>
      <w:proofErr w:type="spellStart"/>
      <w:r w:rsidRPr="003771D0">
        <w:rPr>
          <w:color w:val="000000" w:themeColor="text1"/>
          <w:sz w:val="24"/>
          <w:szCs w:val="24"/>
          <w:lang w:val="fr-FR"/>
        </w:rPr>
        <w:t>parametrii</w:t>
      </w:r>
      <w:proofErr w:type="spellEnd"/>
      <w:r w:rsidRPr="003771D0">
        <w:rPr>
          <w:color w:val="000000" w:themeColor="text1"/>
          <w:spacing w:val="1"/>
          <w:sz w:val="24"/>
          <w:szCs w:val="24"/>
          <w:lang w:val="fr-FR"/>
        </w:rPr>
        <w:t xml:space="preserve"> </w:t>
      </w:r>
      <w:proofErr w:type="spellStart"/>
      <w:r w:rsidRPr="003771D0">
        <w:rPr>
          <w:color w:val="000000" w:themeColor="text1"/>
          <w:sz w:val="24"/>
          <w:szCs w:val="24"/>
          <w:lang w:val="fr-FR"/>
        </w:rPr>
        <w:t>sunt</w:t>
      </w:r>
      <w:proofErr w:type="spellEnd"/>
      <w:r w:rsidRPr="003771D0">
        <w:rPr>
          <w:color w:val="000000" w:themeColor="text1"/>
          <w:spacing w:val="-1"/>
          <w:sz w:val="24"/>
          <w:szCs w:val="24"/>
          <w:lang w:val="fr-FR"/>
        </w:rPr>
        <w:t xml:space="preserve"> </w:t>
      </w:r>
      <w:proofErr w:type="spellStart"/>
      <w:r w:rsidRPr="003771D0">
        <w:rPr>
          <w:color w:val="000000" w:themeColor="text1"/>
          <w:sz w:val="24"/>
          <w:szCs w:val="24"/>
          <w:lang w:val="fr-FR"/>
        </w:rPr>
        <w:t>considerate</w:t>
      </w:r>
      <w:proofErr w:type="spellEnd"/>
      <w:r w:rsidRPr="003771D0">
        <w:rPr>
          <w:color w:val="000000" w:themeColor="text1"/>
          <w:sz w:val="24"/>
          <w:szCs w:val="24"/>
          <w:lang w:val="fr-FR"/>
        </w:rPr>
        <w:t xml:space="preserve"> utile</w:t>
      </w:r>
      <w:r w:rsidRPr="003771D0">
        <w:rPr>
          <w:color w:val="000000" w:themeColor="text1"/>
          <w:spacing w:val="-2"/>
          <w:sz w:val="24"/>
          <w:szCs w:val="24"/>
          <w:lang w:val="fr-FR"/>
        </w:rPr>
        <w:t xml:space="preserve"> </w:t>
      </w:r>
      <w:proofErr w:type="spellStart"/>
      <w:r w:rsidRPr="003771D0">
        <w:rPr>
          <w:color w:val="000000" w:themeColor="text1"/>
          <w:sz w:val="24"/>
          <w:szCs w:val="24"/>
          <w:lang w:val="fr-FR"/>
        </w:rPr>
        <w:t>pentru</w:t>
      </w:r>
      <w:proofErr w:type="spellEnd"/>
      <w:r w:rsidRPr="003771D0">
        <w:rPr>
          <w:color w:val="000000" w:themeColor="text1"/>
          <w:spacing w:val="-1"/>
          <w:sz w:val="24"/>
          <w:szCs w:val="24"/>
          <w:lang w:val="fr-FR"/>
        </w:rPr>
        <w:t xml:space="preserve"> </w:t>
      </w:r>
      <w:proofErr w:type="spellStart"/>
      <w:r w:rsidRPr="003771D0">
        <w:rPr>
          <w:color w:val="000000" w:themeColor="text1"/>
          <w:sz w:val="24"/>
          <w:szCs w:val="24"/>
          <w:lang w:val="fr-FR"/>
        </w:rPr>
        <w:t>stabilirea</w:t>
      </w:r>
      <w:proofErr w:type="spellEnd"/>
      <w:r w:rsidRPr="003771D0">
        <w:rPr>
          <w:color w:val="000000" w:themeColor="text1"/>
          <w:spacing w:val="-2"/>
          <w:sz w:val="24"/>
          <w:szCs w:val="24"/>
          <w:lang w:val="fr-FR"/>
        </w:rPr>
        <w:t xml:space="preserve"> </w:t>
      </w:r>
      <w:r w:rsidRPr="003771D0">
        <w:rPr>
          <w:color w:val="000000" w:themeColor="text1"/>
          <w:sz w:val="24"/>
          <w:szCs w:val="24"/>
          <w:lang w:val="fr-FR"/>
        </w:rPr>
        <w:t>SRF:</w:t>
      </w:r>
    </w:p>
    <w:p w14:paraId="3DD92360" w14:textId="77777777" w:rsidR="00BC5122" w:rsidRPr="003771D0" w:rsidRDefault="00BC5122" w:rsidP="003771D0">
      <w:pPr>
        <w:pStyle w:val="ListParagraph"/>
        <w:widowControl w:val="0"/>
        <w:numPr>
          <w:ilvl w:val="0"/>
          <w:numId w:val="120"/>
        </w:numPr>
        <w:autoSpaceDE w:val="0"/>
        <w:autoSpaceDN w:val="0"/>
        <w:spacing w:line="291" w:lineRule="exact"/>
        <w:ind w:left="0" w:right="26" w:firstLine="0"/>
        <w:jc w:val="both"/>
        <w:rPr>
          <w:rFonts w:ascii="Times New Roman" w:hAnsi="Times New Roman" w:cs="Times New Roman"/>
          <w:color w:val="000000" w:themeColor="text1"/>
          <w:sz w:val="24"/>
          <w:szCs w:val="24"/>
        </w:rPr>
      </w:pPr>
      <w:proofErr w:type="spellStart"/>
      <w:r w:rsidRPr="003771D0">
        <w:rPr>
          <w:rFonts w:ascii="Times New Roman" w:hAnsi="Times New Roman" w:cs="Times New Roman"/>
          <w:color w:val="000000" w:themeColor="text1"/>
          <w:sz w:val="24"/>
          <w:szCs w:val="24"/>
        </w:rPr>
        <w:t>distribuţia</w:t>
      </w:r>
      <w:proofErr w:type="spellEnd"/>
      <w:r w:rsidRPr="003771D0">
        <w:rPr>
          <w:rFonts w:ascii="Times New Roman" w:hAnsi="Times New Roman" w:cs="Times New Roman"/>
          <w:color w:val="000000" w:themeColor="text1"/>
          <w:spacing w:val="-4"/>
          <w:sz w:val="24"/>
          <w:szCs w:val="24"/>
        </w:rPr>
        <w:t xml:space="preserve"> </w:t>
      </w:r>
      <w:proofErr w:type="spellStart"/>
      <w:r w:rsidRPr="003771D0">
        <w:rPr>
          <w:rFonts w:ascii="Times New Roman" w:hAnsi="Times New Roman" w:cs="Times New Roman"/>
          <w:color w:val="000000" w:themeColor="text1"/>
          <w:sz w:val="24"/>
          <w:szCs w:val="24"/>
        </w:rPr>
        <w:t>anterioară</w:t>
      </w:r>
      <w:proofErr w:type="spellEnd"/>
      <w:r w:rsidRPr="003771D0">
        <w:rPr>
          <w:rFonts w:ascii="Times New Roman" w:hAnsi="Times New Roman" w:cs="Times New Roman"/>
          <w:color w:val="000000" w:themeColor="text1"/>
          <w:spacing w:val="-1"/>
          <w:sz w:val="24"/>
          <w:szCs w:val="24"/>
        </w:rPr>
        <w:t xml:space="preserve"> </w:t>
      </w:r>
      <w:r w:rsidRPr="003771D0">
        <w:rPr>
          <w:rFonts w:ascii="Times New Roman" w:hAnsi="Times New Roman" w:cs="Times New Roman"/>
          <w:color w:val="000000" w:themeColor="text1"/>
          <w:sz w:val="24"/>
          <w:szCs w:val="24"/>
        </w:rPr>
        <w:t>(</w:t>
      </w:r>
      <w:proofErr w:type="spellStart"/>
      <w:r w:rsidRPr="003771D0">
        <w:rPr>
          <w:rFonts w:ascii="Times New Roman" w:hAnsi="Times New Roman" w:cs="Times New Roman"/>
          <w:color w:val="000000" w:themeColor="text1"/>
          <w:sz w:val="24"/>
          <w:szCs w:val="24"/>
        </w:rPr>
        <w:t>informaţii</w:t>
      </w:r>
      <w:proofErr w:type="spellEnd"/>
      <w:r w:rsidRPr="003771D0">
        <w:rPr>
          <w:rFonts w:ascii="Times New Roman" w:hAnsi="Times New Roman" w:cs="Times New Roman"/>
          <w:color w:val="000000" w:themeColor="text1"/>
          <w:spacing w:val="-3"/>
          <w:sz w:val="24"/>
          <w:szCs w:val="24"/>
        </w:rPr>
        <w:t xml:space="preserve"> </w:t>
      </w:r>
      <w:proofErr w:type="spellStart"/>
      <w:r w:rsidRPr="003771D0">
        <w:rPr>
          <w:rFonts w:ascii="Times New Roman" w:hAnsi="Times New Roman" w:cs="Times New Roman"/>
          <w:color w:val="000000" w:themeColor="text1"/>
          <w:sz w:val="24"/>
          <w:szCs w:val="24"/>
        </w:rPr>
        <w:t>istorice</w:t>
      </w:r>
      <w:proofErr w:type="spellEnd"/>
      <w:r w:rsidRPr="003771D0">
        <w:rPr>
          <w:rFonts w:ascii="Times New Roman" w:hAnsi="Times New Roman" w:cs="Times New Roman"/>
          <w:color w:val="000000" w:themeColor="text1"/>
          <w:sz w:val="24"/>
          <w:szCs w:val="24"/>
        </w:rPr>
        <w:t>)</w:t>
      </w:r>
      <w:r w:rsidRPr="003771D0">
        <w:rPr>
          <w:rFonts w:ascii="Times New Roman" w:hAnsi="Times New Roman" w:cs="Times New Roman"/>
          <w:color w:val="000000" w:themeColor="text1"/>
          <w:spacing w:val="-2"/>
          <w:sz w:val="24"/>
          <w:szCs w:val="24"/>
        </w:rPr>
        <w:t xml:space="preserve"> </w:t>
      </w:r>
      <w:proofErr w:type="spellStart"/>
      <w:r w:rsidRPr="003771D0">
        <w:rPr>
          <w:rFonts w:ascii="Times New Roman" w:hAnsi="Times New Roman" w:cs="Times New Roman"/>
          <w:color w:val="000000" w:themeColor="text1"/>
          <w:sz w:val="24"/>
          <w:szCs w:val="24"/>
        </w:rPr>
        <w:t>şi</w:t>
      </w:r>
      <w:proofErr w:type="spellEnd"/>
      <w:r w:rsidRPr="003771D0">
        <w:rPr>
          <w:rFonts w:ascii="Times New Roman" w:hAnsi="Times New Roman" w:cs="Times New Roman"/>
          <w:color w:val="000000" w:themeColor="text1"/>
          <w:spacing w:val="-4"/>
          <w:sz w:val="24"/>
          <w:szCs w:val="24"/>
        </w:rPr>
        <w:t xml:space="preserve"> </w:t>
      </w:r>
      <w:proofErr w:type="spellStart"/>
      <w:r w:rsidRPr="003771D0">
        <w:rPr>
          <w:rFonts w:ascii="Times New Roman" w:hAnsi="Times New Roman" w:cs="Times New Roman"/>
          <w:color w:val="000000" w:themeColor="text1"/>
          <w:sz w:val="24"/>
          <w:szCs w:val="24"/>
        </w:rPr>
        <w:t>cauzele</w:t>
      </w:r>
      <w:proofErr w:type="spellEnd"/>
      <w:r w:rsidRPr="003771D0">
        <w:rPr>
          <w:rFonts w:ascii="Times New Roman" w:hAnsi="Times New Roman" w:cs="Times New Roman"/>
          <w:color w:val="000000" w:themeColor="text1"/>
          <w:spacing w:val="-3"/>
          <w:sz w:val="24"/>
          <w:szCs w:val="24"/>
        </w:rPr>
        <w:t xml:space="preserve"> </w:t>
      </w:r>
      <w:proofErr w:type="spellStart"/>
      <w:r w:rsidRPr="003771D0">
        <w:rPr>
          <w:rFonts w:ascii="Times New Roman" w:hAnsi="Times New Roman" w:cs="Times New Roman"/>
          <w:color w:val="000000" w:themeColor="text1"/>
          <w:sz w:val="24"/>
          <w:szCs w:val="24"/>
        </w:rPr>
        <w:t>modificării</w:t>
      </w:r>
      <w:proofErr w:type="spellEnd"/>
      <w:r w:rsidRPr="003771D0">
        <w:rPr>
          <w:rFonts w:ascii="Times New Roman" w:hAnsi="Times New Roman" w:cs="Times New Roman"/>
          <w:color w:val="000000" w:themeColor="text1"/>
          <w:sz w:val="24"/>
          <w:szCs w:val="24"/>
        </w:rPr>
        <w:t>,</w:t>
      </w:r>
    </w:p>
    <w:p w14:paraId="4E2EFC1B" w14:textId="77777777" w:rsidR="00BC5122" w:rsidRPr="003771D0" w:rsidRDefault="00BC5122" w:rsidP="003771D0">
      <w:pPr>
        <w:pStyle w:val="ListParagraph"/>
        <w:widowControl w:val="0"/>
        <w:numPr>
          <w:ilvl w:val="0"/>
          <w:numId w:val="120"/>
        </w:numPr>
        <w:autoSpaceDE w:val="0"/>
        <w:autoSpaceDN w:val="0"/>
        <w:spacing w:line="291" w:lineRule="exact"/>
        <w:ind w:left="0" w:right="26" w:firstLine="0"/>
        <w:jc w:val="both"/>
        <w:rPr>
          <w:rFonts w:ascii="Times New Roman" w:hAnsi="Times New Roman" w:cs="Times New Roman"/>
          <w:color w:val="000000" w:themeColor="text1"/>
          <w:sz w:val="24"/>
          <w:szCs w:val="24"/>
        </w:rPr>
      </w:pPr>
      <w:proofErr w:type="spellStart"/>
      <w:r w:rsidRPr="003771D0">
        <w:rPr>
          <w:rFonts w:ascii="Times New Roman" w:hAnsi="Times New Roman" w:cs="Times New Roman"/>
          <w:color w:val="000000" w:themeColor="text1"/>
          <w:sz w:val="24"/>
          <w:szCs w:val="24"/>
        </w:rPr>
        <w:t>vegetaţia</w:t>
      </w:r>
      <w:proofErr w:type="spellEnd"/>
      <w:r w:rsidRPr="003771D0">
        <w:rPr>
          <w:rFonts w:ascii="Times New Roman" w:hAnsi="Times New Roman" w:cs="Times New Roman"/>
          <w:color w:val="000000" w:themeColor="text1"/>
          <w:spacing w:val="-1"/>
          <w:sz w:val="24"/>
          <w:szCs w:val="24"/>
        </w:rPr>
        <w:t xml:space="preserve"> </w:t>
      </w:r>
      <w:proofErr w:type="spellStart"/>
      <w:r w:rsidRPr="003771D0">
        <w:rPr>
          <w:rFonts w:ascii="Times New Roman" w:hAnsi="Times New Roman" w:cs="Times New Roman"/>
          <w:color w:val="000000" w:themeColor="text1"/>
          <w:sz w:val="24"/>
          <w:szCs w:val="24"/>
        </w:rPr>
        <w:t>naturală</w:t>
      </w:r>
      <w:proofErr w:type="spellEnd"/>
      <w:r w:rsidRPr="003771D0">
        <w:rPr>
          <w:rFonts w:ascii="Times New Roman" w:hAnsi="Times New Roman" w:cs="Times New Roman"/>
          <w:color w:val="000000" w:themeColor="text1"/>
          <w:spacing w:val="-1"/>
          <w:sz w:val="24"/>
          <w:szCs w:val="24"/>
        </w:rPr>
        <w:t xml:space="preserve"> </w:t>
      </w:r>
      <w:proofErr w:type="spellStart"/>
      <w:r w:rsidRPr="003771D0">
        <w:rPr>
          <w:rFonts w:ascii="Times New Roman" w:hAnsi="Times New Roman" w:cs="Times New Roman"/>
          <w:color w:val="000000" w:themeColor="text1"/>
          <w:sz w:val="24"/>
          <w:szCs w:val="24"/>
        </w:rPr>
        <w:t>potenţială</w:t>
      </w:r>
      <w:proofErr w:type="spellEnd"/>
      <w:r w:rsidRPr="003771D0">
        <w:rPr>
          <w:rFonts w:ascii="Times New Roman" w:hAnsi="Times New Roman" w:cs="Times New Roman"/>
          <w:color w:val="000000" w:themeColor="text1"/>
          <w:sz w:val="24"/>
          <w:szCs w:val="24"/>
        </w:rPr>
        <w:t>,</w:t>
      </w:r>
    </w:p>
    <w:p w14:paraId="7B8A76AA" w14:textId="77777777" w:rsidR="00BC5122" w:rsidRPr="003771D0" w:rsidRDefault="00BC5122" w:rsidP="003771D0">
      <w:pPr>
        <w:pStyle w:val="ListParagraph"/>
        <w:widowControl w:val="0"/>
        <w:numPr>
          <w:ilvl w:val="0"/>
          <w:numId w:val="120"/>
        </w:numPr>
        <w:autoSpaceDE w:val="0"/>
        <w:autoSpaceDN w:val="0"/>
        <w:ind w:left="0" w:right="26" w:firstLine="0"/>
        <w:jc w:val="both"/>
        <w:rPr>
          <w:rFonts w:ascii="Times New Roman" w:hAnsi="Times New Roman" w:cs="Times New Roman"/>
          <w:color w:val="000000" w:themeColor="text1"/>
          <w:sz w:val="24"/>
          <w:szCs w:val="24"/>
        </w:rPr>
      </w:pPr>
      <w:proofErr w:type="spellStart"/>
      <w:r w:rsidRPr="003771D0">
        <w:rPr>
          <w:rFonts w:ascii="Times New Roman" w:hAnsi="Times New Roman" w:cs="Times New Roman"/>
          <w:color w:val="000000" w:themeColor="text1"/>
          <w:sz w:val="24"/>
          <w:szCs w:val="24"/>
        </w:rPr>
        <w:t>distribuţia</w:t>
      </w:r>
      <w:proofErr w:type="spellEnd"/>
      <w:r w:rsidRPr="003771D0">
        <w:rPr>
          <w:rFonts w:ascii="Times New Roman" w:hAnsi="Times New Roman" w:cs="Times New Roman"/>
          <w:color w:val="000000" w:themeColor="text1"/>
          <w:spacing w:val="-3"/>
          <w:sz w:val="24"/>
          <w:szCs w:val="24"/>
        </w:rPr>
        <w:t xml:space="preserve"> </w:t>
      </w:r>
      <w:proofErr w:type="spellStart"/>
      <w:r w:rsidRPr="003771D0">
        <w:rPr>
          <w:rFonts w:ascii="Times New Roman" w:hAnsi="Times New Roman" w:cs="Times New Roman"/>
          <w:color w:val="000000" w:themeColor="text1"/>
          <w:sz w:val="24"/>
          <w:szCs w:val="24"/>
        </w:rPr>
        <w:t>actuală</w:t>
      </w:r>
      <w:proofErr w:type="spellEnd"/>
      <w:r w:rsidRPr="003771D0">
        <w:rPr>
          <w:rFonts w:ascii="Times New Roman" w:hAnsi="Times New Roman" w:cs="Times New Roman"/>
          <w:color w:val="000000" w:themeColor="text1"/>
          <w:spacing w:val="-2"/>
          <w:sz w:val="24"/>
          <w:szCs w:val="24"/>
        </w:rPr>
        <w:t xml:space="preserve"> </w:t>
      </w:r>
      <w:proofErr w:type="spellStart"/>
      <w:r w:rsidRPr="003771D0">
        <w:rPr>
          <w:rFonts w:ascii="Times New Roman" w:hAnsi="Times New Roman" w:cs="Times New Roman"/>
          <w:color w:val="000000" w:themeColor="text1"/>
          <w:sz w:val="24"/>
          <w:szCs w:val="24"/>
        </w:rPr>
        <w:t>şi</w:t>
      </w:r>
      <w:proofErr w:type="spellEnd"/>
      <w:r w:rsidRPr="003771D0">
        <w:rPr>
          <w:rFonts w:ascii="Times New Roman" w:hAnsi="Times New Roman" w:cs="Times New Roman"/>
          <w:color w:val="000000" w:themeColor="text1"/>
          <w:spacing w:val="-2"/>
          <w:sz w:val="24"/>
          <w:szCs w:val="24"/>
        </w:rPr>
        <w:t xml:space="preserve"> </w:t>
      </w:r>
      <w:proofErr w:type="spellStart"/>
      <w:r w:rsidRPr="003771D0">
        <w:rPr>
          <w:rFonts w:ascii="Times New Roman" w:hAnsi="Times New Roman" w:cs="Times New Roman"/>
          <w:color w:val="000000" w:themeColor="text1"/>
          <w:sz w:val="24"/>
          <w:szCs w:val="24"/>
        </w:rPr>
        <w:t>variaţia</w:t>
      </w:r>
      <w:proofErr w:type="spellEnd"/>
      <w:r w:rsidRPr="003771D0">
        <w:rPr>
          <w:rFonts w:ascii="Times New Roman" w:hAnsi="Times New Roman" w:cs="Times New Roman"/>
          <w:color w:val="000000" w:themeColor="text1"/>
          <w:spacing w:val="-2"/>
          <w:sz w:val="24"/>
          <w:szCs w:val="24"/>
        </w:rPr>
        <w:t xml:space="preserve"> </w:t>
      </w:r>
      <w:proofErr w:type="spellStart"/>
      <w:r w:rsidRPr="003771D0">
        <w:rPr>
          <w:rFonts w:ascii="Times New Roman" w:hAnsi="Times New Roman" w:cs="Times New Roman"/>
          <w:color w:val="000000" w:themeColor="text1"/>
          <w:sz w:val="24"/>
          <w:szCs w:val="24"/>
        </w:rPr>
        <w:t>actuală</w:t>
      </w:r>
      <w:proofErr w:type="spellEnd"/>
      <w:r w:rsidRPr="003771D0">
        <w:rPr>
          <w:rFonts w:ascii="Times New Roman" w:hAnsi="Times New Roman" w:cs="Times New Roman"/>
          <w:color w:val="000000" w:themeColor="text1"/>
          <w:sz w:val="24"/>
          <w:szCs w:val="24"/>
        </w:rPr>
        <w:t>,</w:t>
      </w:r>
    </w:p>
    <w:p w14:paraId="09F75651" w14:textId="77777777" w:rsidR="00BC5122" w:rsidRPr="003771D0" w:rsidRDefault="00BC5122" w:rsidP="003771D0">
      <w:pPr>
        <w:pStyle w:val="ListParagraph"/>
        <w:widowControl w:val="0"/>
        <w:numPr>
          <w:ilvl w:val="0"/>
          <w:numId w:val="120"/>
        </w:numPr>
        <w:autoSpaceDE w:val="0"/>
        <w:autoSpaceDN w:val="0"/>
        <w:spacing w:line="291" w:lineRule="exact"/>
        <w:ind w:left="0" w:right="26" w:firstLine="0"/>
        <w:jc w:val="both"/>
        <w:rPr>
          <w:rFonts w:ascii="Times New Roman" w:hAnsi="Times New Roman" w:cs="Times New Roman"/>
          <w:color w:val="000000" w:themeColor="text1"/>
          <w:sz w:val="24"/>
          <w:szCs w:val="24"/>
        </w:rPr>
      </w:pPr>
      <w:proofErr w:type="spellStart"/>
      <w:r w:rsidRPr="003771D0">
        <w:rPr>
          <w:rFonts w:ascii="Times New Roman" w:hAnsi="Times New Roman" w:cs="Times New Roman"/>
          <w:color w:val="000000" w:themeColor="text1"/>
          <w:sz w:val="24"/>
          <w:szCs w:val="24"/>
        </w:rPr>
        <w:t>dinamica</w:t>
      </w:r>
      <w:proofErr w:type="spellEnd"/>
      <w:r w:rsidRPr="003771D0">
        <w:rPr>
          <w:rFonts w:ascii="Times New Roman" w:hAnsi="Times New Roman" w:cs="Times New Roman"/>
          <w:color w:val="000000" w:themeColor="text1"/>
          <w:spacing w:val="-3"/>
          <w:sz w:val="24"/>
          <w:szCs w:val="24"/>
        </w:rPr>
        <w:t xml:space="preserve"> </w:t>
      </w:r>
      <w:proofErr w:type="spellStart"/>
      <w:r w:rsidRPr="003771D0">
        <w:rPr>
          <w:rFonts w:ascii="Times New Roman" w:hAnsi="Times New Roman" w:cs="Times New Roman"/>
          <w:color w:val="000000" w:themeColor="text1"/>
          <w:sz w:val="24"/>
          <w:szCs w:val="24"/>
        </w:rPr>
        <w:t>tipului</w:t>
      </w:r>
      <w:proofErr w:type="spellEnd"/>
      <w:r w:rsidRPr="003771D0">
        <w:rPr>
          <w:rFonts w:ascii="Times New Roman" w:hAnsi="Times New Roman" w:cs="Times New Roman"/>
          <w:color w:val="000000" w:themeColor="text1"/>
          <w:sz w:val="24"/>
          <w:szCs w:val="24"/>
        </w:rPr>
        <w:t xml:space="preserve"> de</w:t>
      </w:r>
      <w:r w:rsidRPr="003771D0">
        <w:rPr>
          <w:rFonts w:ascii="Times New Roman" w:hAnsi="Times New Roman" w:cs="Times New Roman"/>
          <w:color w:val="000000" w:themeColor="text1"/>
          <w:spacing w:val="-2"/>
          <w:sz w:val="24"/>
          <w:szCs w:val="24"/>
        </w:rPr>
        <w:t xml:space="preserve"> </w:t>
      </w:r>
      <w:r w:rsidRPr="003771D0">
        <w:rPr>
          <w:rFonts w:ascii="Times New Roman" w:hAnsi="Times New Roman" w:cs="Times New Roman"/>
          <w:color w:val="000000" w:themeColor="text1"/>
          <w:sz w:val="24"/>
          <w:szCs w:val="24"/>
        </w:rPr>
        <w:t>habitat,</w:t>
      </w:r>
    </w:p>
    <w:p w14:paraId="70B70CF5" w14:textId="77777777" w:rsidR="00BC5122" w:rsidRPr="003771D0" w:rsidRDefault="00BC5122" w:rsidP="003771D0">
      <w:pPr>
        <w:pStyle w:val="ListParagraph"/>
        <w:widowControl w:val="0"/>
        <w:numPr>
          <w:ilvl w:val="0"/>
          <w:numId w:val="120"/>
        </w:numPr>
        <w:autoSpaceDE w:val="0"/>
        <w:autoSpaceDN w:val="0"/>
        <w:ind w:left="0" w:right="26" w:firstLine="0"/>
        <w:jc w:val="both"/>
        <w:rPr>
          <w:rFonts w:ascii="Times New Roman" w:hAnsi="Times New Roman" w:cs="Times New Roman"/>
          <w:color w:val="000000" w:themeColor="text1"/>
          <w:sz w:val="24"/>
          <w:szCs w:val="24"/>
        </w:rPr>
      </w:pPr>
      <w:proofErr w:type="spellStart"/>
      <w:r w:rsidRPr="003771D0">
        <w:rPr>
          <w:rFonts w:ascii="Times New Roman" w:hAnsi="Times New Roman" w:cs="Times New Roman"/>
          <w:color w:val="000000" w:themeColor="text1"/>
          <w:sz w:val="24"/>
          <w:szCs w:val="24"/>
        </w:rPr>
        <w:t>variabilitatea</w:t>
      </w:r>
      <w:proofErr w:type="spellEnd"/>
      <w:r w:rsidRPr="003771D0">
        <w:rPr>
          <w:rFonts w:ascii="Times New Roman" w:hAnsi="Times New Roman" w:cs="Times New Roman"/>
          <w:color w:val="000000" w:themeColor="text1"/>
          <w:spacing w:val="1"/>
          <w:sz w:val="24"/>
          <w:szCs w:val="24"/>
        </w:rPr>
        <w:t xml:space="preserve"> </w:t>
      </w:r>
      <w:proofErr w:type="spellStart"/>
      <w:r w:rsidRPr="003771D0">
        <w:rPr>
          <w:rFonts w:ascii="Times New Roman" w:hAnsi="Times New Roman" w:cs="Times New Roman"/>
          <w:color w:val="000000" w:themeColor="text1"/>
          <w:sz w:val="24"/>
          <w:szCs w:val="24"/>
        </w:rPr>
        <w:t>naturală</w:t>
      </w:r>
      <w:proofErr w:type="spellEnd"/>
      <w:r w:rsidRPr="003771D0">
        <w:rPr>
          <w:rFonts w:ascii="Times New Roman" w:hAnsi="Times New Roman" w:cs="Times New Roman"/>
          <w:color w:val="000000" w:themeColor="text1"/>
          <w:spacing w:val="3"/>
          <w:sz w:val="24"/>
          <w:szCs w:val="24"/>
        </w:rPr>
        <w:t xml:space="preserve"> </w:t>
      </w:r>
      <w:r w:rsidRPr="003771D0">
        <w:rPr>
          <w:rFonts w:ascii="Times New Roman" w:hAnsi="Times New Roman" w:cs="Times New Roman"/>
          <w:color w:val="000000" w:themeColor="text1"/>
          <w:sz w:val="24"/>
          <w:szCs w:val="24"/>
        </w:rPr>
        <w:t>care</w:t>
      </w:r>
      <w:r w:rsidRPr="003771D0">
        <w:rPr>
          <w:rFonts w:ascii="Times New Roman" w:hAnsi="Times New Roman" w:cs="Times New Roman"/>
          <w:color w:val="000000" w:themeColor="text1"/>
          <w:spacing w:val="59"/>
          <w:sz w:val="24"/>
          <w:szCs w:val="24"/>
        </w:rPr>
        <w:t xml:space="preserve"> </w:t>
      </w:r>
      <w:proofErr w:type="spellStart"/>
      <w:r w:rsidRPr="003771D0">
        <w:rPr>
          <w:rFonts w:ascii="Times New Roman" w:hAnsi="Times New Roman" w:cs="Times New Roman"/>
          <w:color w:val="000000" w:themeColor="text1"/>
          <w:sz w:val="24"/>
          <w:szCs w:val="24"/>
        </w:rPr>
        <w:t>trebuie</w:t>
      </w:r>
      <w:proofErr w:type="spellEnd"/>
      <w:r w:rsidRPr="003771D0">
        <w:rPr>
          <w:rFonts w:ascii="Times New Roman" w:hAnsi="Times New Roman" w:cs="Times New Roman"/>
          <w:color w:val="000000" w:themeColor="text1"/>
          <w:spacing w:val="3"/>
          <w:sz w:val="24"/>
          <w:szCs w:val="24"/>
        </w:rPr>
        <w:t xml:space="preserve"> </w:t>
      </w:r>
      <w:proofErr w:type="spellStart"/>
      <w:r w:rsidRPr="003771D0">
        <w:rPr>
          <w:rFonts w:ascii="Times New Roman" w:hAnsi="Times New Roman" w:cs="Times New Roman"/>
          <w:color w:val="000000" w:themeColor="text1"/>
          <w:sz w:val="24"/>
          <w:szCs w:val="24"/>
        </w:rPr>
        <w:t>acoperită</w:t>
      </w:r>
      <w:proofErr w:type="spellEnd"/>
      <w:r w:rsidRPr="003771D0">
        <w:rPr>
          <w:rFonts w:ascii="Times New Roman" w:hAnsi="Times New Roman" w:cs="Times New Roman"/>
          <w:color w:val="000000" w:themeColor="text1"/>
          <w:spacing w:val="2"/>
          <w:sz w:val="24"/>
          <w:szCs w:val="24"/>
        </w:rPr>
        <w:t xml:space="preserve"> </w:t>
      </w:r>
      <w:proofErr w:type="spellStart"/>
      <w:r w:rsidRPr="003771D0">
        <w:rPr>
          <w:rFonts w:ascii="Times New Roman" w:hAnsi="Times New Roman" w:cs="Times New Roman"/>
          <w:color w:val="000000" w:themeColor="text1"/>
          <w:sz w:val="24"/>
          <w:szCs w:val="24"/>
        </w:rPr>
        <w:t>complet</w:t>
      </w:r>
      <w:proofErr w:type="spellEnd"/>
      <w:r w:rsidRPr="003771D0">
        <w:rPr>
          <w:rFonts w:ascii="Times New Roman" w:hAnsi="Times New Roman" w:cs="Times New Roman"/>
          <w:color w:val="000000" w:themeColor="text1"/>
          <w:spacing w:val="1"/>
          <w:sz w:val="24"/>
          <w:szCs w:val="24"/>
        </w:rPr>
        <w:t xml:space="preserve"> </w:t>
      </w:r>
      <w:r w:rsidRPr="003771D0">
        <w:rPr>
          <w:rFonts w:ascii="Times New Roman" w:hAnsi="Times New Roman" w:cs="Times New Roman"/>
          <w:color w:val="000000" w:themeColor="text1"/>
          <w:sz w:val="24"/>
          <w:szCs w:val="24"/>
        </w:rPr>
        <w:t>(</w:t>
      </w:r>
      <w:proofErr w:type="spellStart"/>
      <w:r w:rsidRPr="003771D0">
        <w:rPr>
          <w:rFonts w:ascii="Times New Roman" w:hAnsi="Times New Roman" w:cs="Times New Roman"/>
          <w:color w:val="000000" w:themeColor="text1"/>
          <w:sz w:val="24"/>
          <w:szCs w:val="24"/>
        </w:rPr>
        <w:t>subtipuri</w:t>
      </w:r>
      <w:proofErr w:type="spellEnd"/>
      <w:r w:rsidRPr="003771D0">
        <w:rPr>
          <w:rFonts w:ascii="Times New Roman" w:hAnsi="Times New Roman" w:cs="Times New Roman"/>
          <w:color w:val="000000" w:themeColor="text1"/>
          <w:sz w:val="24"/>
          <w:szCs w:val="24"/>
        </w:rPr>
        <w:t>,</w:t>
      </w:r>
      <w:r w:rsidRPr="003771D0">
        <w:rPr>
          <w:rFonts w:ascii="Times New Roman" w:hAnsi="Times New Roman" w:cs="Times New Roman"/>
          <w:color w:val="000000" w:themeColor="text1"/>
          <w:spacing w:val="1"/>
          <w:sz w:val="24"/>
          <w:szCs w:val="24"/>
        </w:rPr>
        <w:t xml:space="preserve"> </w:t>
      </w:r>
      <w:proofErr w:type="spellStart"/>
      <w:r w:rsidRPr="003771D0">
        <w:rPr>
          <w:rFonts w:ascii="Times New Roman" w:hAnsi="Times New Roman" w:cs="Times New Roman"/>
          <w:color w:val="000000" w:themeColor="text1"/>
          <w:sz w:val="24"/>
          <w:szCs w:val="24"/>
        </w:rPr>
        <w:t>sintaxonomie</w:t>
      </w:r>
      <w:proofErr w:type="spellEnd"/>
      <w:r w:rsidRPr="003771D0">
        <w:rPr>
          <w:rFonts w:ascii="Times New Roman" w:hAnsi="Times New Roman" w:cs="Times New Roman"/>
          <w:color w:val="000000" w:themeColor="text1"/>
          <w:sz w:val="24"/>
          <w:szCs w:val="24"/>
        </w:rPr>
        <w:t>,</w:t>
      </w:r>
      <w:r w:rsidRPr="003771D0">
        <w:rPr>
          <w:rFonts w:ascii="Times New Roman" w:hAnsi="Times New Roman" w:cs="Times New Roman"/>
          <w:color w:val="000000" w:themeColor="text1"/>
          <w:spacing w:val="-57"/>
          <w:sz w:val="24"/>
          <w:szCs w:val="24"/>
        </w:rPr>
        <w:t xml:space="preserve"> </w:t>
      </w:r>
      <w:proofErr w:type="spellStart"/>
      <w:r w:rsidRPr="003771D0">
        <w:rPr>
          <w:rFonts w:ascii="Times New Roman" w:hAnsi="Times New Roman" w:cs="Times New Roman"/>
          <w:color w:val="000000" w:themeColor="text1"/>
          <w:sz w:val="24"/>
          <w:szCs w:val="24"/>
        </w:rPr>
        <w:t>variabile</w:t>
      </w:r>
      <w:proofErr w:type="spellEnd"/>
      <w:r w:rsidRPr="003771D0">
        <w:rPr>
          <w:rFonts w:ascii="Times New Roman" w:hAnsi="Times New Roman" w:cs="Times New Roman"/>
          <w:color w:val="000000" w:themeColor="text1"/>
          <w:spacing w:val="-2"/>
          <w:sz w:val="24"/>
          <w:szCs w:val="24"/>
        </w:rPr>
        <w:t xml:space="preserve"> </w:t>
      </w:r>
      <w:proofErr w:type="spellStart"/>
      <w:r w:rsidRPr="003771D0">
        <w:rPr>
          <w:rFonts w:ascii="Times New Roman" w:hAnsi="Times New Roman" w:cs="Times New Roman"/>
          <w:color w:val="000000" w:themeColor="text1"/>
          <w:sz w:val="24"/>
          <w:szCs w:val="24"/>
        </w:rPr>
        <w:t>ecologice</w:t>
      </w:r>
      <w:proofErr w:type="spellEnd"/>
      <w:r w:rsidRPr="003771D0">
        <w:rPr>
          <w:rFonts w:ascii="Times New Roman" w:hAnsi="Times New Roman" w:cs="Times New Roman"/>
          <w:color w:val="000000" w:themeColor="text1"/>
          <w:sz w:val="24"/>
          <w:szCs w:val="24"/>
        </w:rPr>
        <w:t>, etc.),</w:t>
      </w:r>
    </w:p>
    <w:p w14:paraId="3979014D" w14:textId="77777777" w:rsidR="00BC5122" w:rsidRPr="003771D0" w:rsidRDefault="00BC5122" w:rsidP="003771D0">
      <w:pPr>
        <w:pStyle w:val="ListParagraph"/>
        <w:widowControl w:val="0"/>
        <w:numPr>
          <w:ilvl w:val="0"/>
          <w:numId w:val="120"/>
        </w:numPr>
        <w:autoSpaceDE w:val="0"/>
        <w:autoSpaceDN w:val="0"/>
        <w:ind w:left="0" w:right="26" w:firstLine="0"/>
        <w:jc w:val="both"/>
        <w:rPr>
          <w:rFonts w:ascii="Times New Roman" w:hAnsi="Times New Roman" w:cs="Times New Roman"/>
          <w:color w:val="000000" w:themeColor="text1"/>
          <w:sz w:val="24"/>
          <w:szCs w:val="24"/>
          <w:lang w:val="fr-FR"/>
        </w:rPr>
      </w:pPr>
      <w:proofErr w:type="spellStart"/>
      <w:r w:rsidRPr="003771D0">
        <w:rPr>
          <w:rFonts w:ascii="Times New Roman" w:hAnsi="Times New Roman" w:cs="Times New Roman"/>
          <w:color w:val="000000" w:themeColor="text1"/>
          <w:sz w:val="24"/>
          <w:szCs w:val="24"/>
          <w:lang w:val="fr-FR"/>
        </w:rPr>
        <w:t>modelul</w:t>
      </w:r>
      <w:proofErr w:type="spellEnd"/>
      <w:r w:rsidRPr="003771D0">
        <w:rPr>
          <w:rFonts w:ascii="Times New Roman" w:hAnsi="Times New Roman" w:cs="Times New Roman"/>
          <w:color w:val="000000" w:themeColor="text1"/>
          <w:spacing w:val="35"/>
          <w:sz w:val="24"/>
          <w:szCs w:val="24"/>
          <w:lang w:val="fr-FR"/>
        </w:rPr>
        <w:t xml:space="preserve"> </w:t>
      </w:r>
      <w:r w:rsidRPr="003771D0">
        <w:rPr>
          <w:rFonts w:ascii="Times New Roman" w:hAnsi="Times New Roman" w:cs="Times New Roman"/>
          <w:color w:val="000000" w:themeColor="text1"/>
          <w:sz w:val="24"/>
          <w:szCs w:val="24"/>
          <w:lang w:val="fr-FR"/>
        </w:rPr>
        <w:t>de</w:t>
      </w:r>
      <w:r w:rsidRPr="003771D0">
        <w:rPr>
          <w:rFonts w:ascii="Times New Roman" w:hAnsi="Times New Roman" w:cs="Times New Roman"/>
          <w:color w:val="000000" w:themeColor="text1"/>
          <w:spacing w:val="33"/>
          <w:sz w:val="24"/>
          <w:szCs w:val="24"/>
          <w:lang w:val="fr-FR"/>
        </w:rPr>
        <w:t xml:space="preserve"> </w:t>
      </w:r>
      <w:proofErr w:type="spellStart"/>
      <w:r w:rsidRPr="003771D0">
        <w:rPr>
          <w:rFonts w:ascii="Times New Roman" w:hAnsi="Times New Roman" w:cs="Times New Roman"/>
          <w:color w:val="000000" w:themeColor="text1"/>
          <w:sz w:val="24"/>
          <w:szCs w:val="24"/>
          <w:lang w:val="fr-FR"/>
        </w:rPr>
        <w:t>distribuţie</w:t>
      </w:r>
      <w:proofErr w:type="spellEnd"/>
      <w:r w:rsidRPr="003771D0">
        <w:rPr>
          <w:rFonts w:ascii="Times New Roman" w:hAnsi="Times New Roman" w:cs="Times New Roman"/>
          <w:color w:val="000000" w:themeColor="text1"/>
          <w:spacing w:val="34"/>
          <w:sz w:val="24"/>
          <w:szCs w:val="24"/>
          <w:lang w:val="fr-FR"/>
        </w:rPr>
        <w:t xml:space="preserve"> </w:t>
      </w:r>
      <w:proofErr w:type="spellStart"/>
      <w:r w:rsidRPr="003771D0">
        <w:rPr>
          <w:rFonts w:ascii="Times New Roman" w:hAnsi="Times New Roman" w:cs="Times New Roman"/>
          <w:color w:val="000000" w:themeColor="text1"/>
          <w:sz w:val="24"/>
          <w:szCs w:val="24"/>
          <w:lang w:val="fr-FR"/>
        </w:rPr>
        <w:t>trebuie</w:t>
      </w:r>
      <w:proofErr w:type="spellEnd"/>
      <w:r w:rsidRPr="003771D0">
        <w:rPr>
          <w:rFonts w:ascii="Times New Roman" w:hAnsi="Times New Roman" w:cs="Times New Roman"/>
          <w:color w:val="000000" w:themeColor="text1"/>
          <w:spacing w:val="34"/>
          <w:sz w:val="24"/>
          <w:szCs w:val="24"/>
          <w:lang w:val="fr-FR"/>
        </w:rPr>
        <w:t xml:space="preserve"> </w:t>
      </w:r>
      <w:proofErr w:type="spellStart"/>
      <w:r w:rsidRPr="003771D0">
        <w:rPr>
          <w:rFonts w:ascii="Times New Roman" w:hAnsi="Times New Roman" w:cs="Times New Roman"/>
          <w:color w:val="000000" w:themeColor="text1"/>
          <w:sz w:val="24"/>
          <w:szCs w:val="24"/>
          <w:lang w:val="fr-FR"/>
        </w:rPr>
        <w:t>să</w:t>
      </w:r>
      <w:proofErr w:type="spellEnd"/>
      <w:r w:rsidRPr="003771D0">
        <w:rPr>
          <w:rFonts w:ascii="Times New Roman" w:hAnsi="Times New Roman" w:cs="Times New Roman"/>
          <w:color w:val="000000" w:themeColor="text1"/>
          <w:spacing w:val="35"/>
          <w:sz w:val="24"/>
          <w:szCs w:val="24"/>
          <w:lang w:val="fr-FR"/>
        </w:rPr>
        <w:t xml:space="preserve"> </w:t>
      </w:r>
      <w:proofErr w:type="spellStart"/>
      <w:r w:rsidRPr="003771D0">
        <w:rPr>
          <w:rFonts w:ascii="Times New Roman" w:hAnsi="Times New Roman" w:cs="Times New Roman"/>
          <w:color w:val="000000" w:themeColor="text1"/>
          <w:sz w:val="24"/>
          <w:szCs w:val="24"/>
          <w:lang w:val="fr-FR"/>
        </w:rPr>
        <w:t>permită</w:t>
      </w:r>
      <w:proofErr w:type="spellEnd"/>
      <w:r w:rsidRPr="003771D0">
        <w:rPr>
          <w:rFonts w:ascii="Times New Roman" w:hAnsi="Times New Roman" w:cs="Times New Roman"/>
          <w:color w:val="000000" w:themeColor="text1"/>
          <w:spacing w:val="34"/>
          <w:sz w:val="24"/>
          <w:szCs w:val="24"/>
          <w:lang w:val="fr-FR"/>
        </w:rPr>
        <w:t xml:space="preserve"> </w:t>
      </w:r>
      <w:proofErr w:type="spellStart"/>
      <w:r w:rsidRPr="003771D0">
        <w:rPr>
          <w:rFonts w:ascii="Times New Roman" w:hAnsi="Times New Roman" w:cs="Times New Roman"/>
          <w:color w:val="000000" w:themeColor="text1"/>
          <w:sz w:val="24"/>
          <w:szCs w:val="24"/>
          <w:lang w:val="fr-FR"/>
        </w:rPr>
        <w:t>schimbul</w:t>
      </w:r>
      <w:proofErr w:type="spellEnd"/>
      <w:r w:rsidRPr="003771D0">
        <w:rPr>
          <w:rFonts w:ascii="Times New Roman" w:hAnsi="Times New Roman" w:cs="Times New Roman"/>
          <w:color w:val="000000" w:themeColor="text1"/>
          <w:sz w:val="24"/>
          <w:szCs w:val="24"/>
          <w:lang w:val="fr-FR"/>
        </w:rPr>
        <w:t>/</w:t>
      </w:r>
      <w:proofErr w:type="spellStart"/>
      <w:r w:rsidRPr="003771D0">
        <w:rPr>
          <w:rFonts w:ascii="Times New Roman" w:hAnsi="Times New Roman" w:cs="Times New Roman"/>
          <w:color w:val="000000" w:themeColor="text1"/>
          <w:sz w:val="24"/>
          <w:szCs w:val="24"/>
          <w:lang w:val="fr-FR"/>
        </w:rPr>
        <w:t>fluxul</w:t>
      </w:r>
      <w:proofErr w:type="spellEnd"/>
      <w:r w:rsidRPr="003771D0">
        <w:rPr>
          <w:rFonts w:ascii="Times New Roman" w:hAnsi="Times New Roman" w:cs="Times New Roman"/>
          <w:color w:val="000000" w:themeColor="text1"/>
          <w:spacing w:val="36"/>
          <w:sz w:val="24"/>
          <w:szCs w:val="24"/>
          <w:lang w:val="fr-FR"/>
        </w:rPr>
        <w:t xml:space="preserve"> </w:t>
      </w:r>
      <w:r w:rsidRPr="003771D0">
        <w:rPr>
          <w:rFonts w:ascii="Times New Roman" w:hAnsi="Times New Roman" w:cs="Times New Roman"/>
          <w:color w:val="000000" w:themeColor="text1"/>
          <w:sz w:val="24"/>
          <w:szCs w:val="24"/>
          <w:lang w:val="fr-FR"/>
        </w:rPr>
        <w:t>de</w:t>
      </w:r>
      <w:r w:rsidRPr="003771D0">
        <w:rPr>
          <w:rFonts w:ascii="Times New Roman" w:hAnsi="Times New Roman" w:cs="Times New Roman"/>
          <w:color w:val="000000" w:themeColor="text1"/>
          <w:spacing w:val="33"/>
          <w:sz w:val="24"/>
          <w:szCs w:val="24"/>
          <w:lang w:val="fr-FR"/>
        </w:rPr>
        <w:t xml:space="preserve"> </w:t>
      </w:r>
      <w:proofErr w:type="spellStart"/>
      <w:r w:rsidRPr="003771D0">
        <w:rPr>
          <w:rFonts w:ascii="Times New Roman" w:hAnsi="Times New Roman" w:cs="Times New Roman"/>
          <w:color w:val="000000" w:themeColor="text1"/>
          <w:sz w:val="24"/>
          <w:szCs w:val="24"/>
          <w:lang w:val="fr-FR"/>
        </w:rPr>
        <w:t>gene</w:t>
      </w:r>
      <w:proofErr w:type="spellEnd"/>
      <w:r w:rsidRPr="003771D0">
        <w:rPr>
          <w:rFonts w:ascii="Times New Roman" w:hAnsi="Times New Roman" w:cs="Times New Roman"/>
          <w:color w:val="000000" w:themeColor="text1"/>
          <w:spacing w:val="34"/>
          <w:sz w:val="24"/>
          <w:szCs w:val="24"/>
          <w:lang w:val="fr-FR"/>
        </w:rPr>
        <w:t xml:space="preserve"> </w:t>
      </w:r>
      <w:proofErr w:type="spellStart"/>
      <w:r w:rsidRPr="003771D0">
        <w:rPr>
          <w:rFonts w:ascii="Times New Roman" w:hAnsi="Times New Roman" w:cs="Times New Roman"/>
          <w:color w:val="000000" w:themeColor="text1"/>
          <w:sz w:val="24"/>
          <w:szCs w:val="24"/>
          <w:lang w:val="fr-FR"/>
        </w:rPr>
        <w:t>în</w:t>
      </w:r>
      <w:proofErr w:type="spellEnd"/>
      <w:r w:rsidRPr="003771D0">
        <w:rPr>
          <w:rFonts w:ascii="Times New Roman" w:hAnsi="Times New Roman" w:cs="Times New Roman"/>
          <w:color w:val="000000" w:themeColor="text1"/>
          <w:spacing w:val="37"/>
          <w:sz w:val="24"/>
          <w:szCs w:val="24"/>
          <w:lang w:val="fr-FR"/>
        </w:rPr>
        <w:t xml:space="preserve"> </w:t>
      </w:r>
      <w:proofErr w:type="spellStart"/>
      <w:r w:rsidRPr="003771D0">
        <w:rPr>
          <w:rFonts w:ascii="Times New Roman" w:hAnsi="Times New Roman" w:cs="Times New Roman"/>
          <w:color w:val="000000" w:themeColor="text1"/>
          <w:sz w:val="24"/>
          <w:szCs w:val="24"/>
          <w:lang w:val="fr-FR"/>
        </w:rPr>
        <w:t>cazul</w:t>
      </w:r>
      <w:proofErr w:type="spellEnd"/>
      <w:r w:rsidRPr="003771D0">
        <w:rPr>
          <w:rFonts w:ascii="Times New Roman" w:hAnsi="Times New Roman" w:cs="Times New Roman"/>
          <w:color w:val="000000" w:themeColor="text1"/>
          <w:spacing w:val="36"/>
          <w:sz w:val="24"/>
          <w:szCs w:val="24"/>
          <w:lang w:val="fr-FR"/>
        </w:rPr>
        <w:t xml:space="preserve"> </w:t>
      </w:r>
      <w:proofErr w:type="spellStart"/>
      <w:r w:rsidRPr="003771D0">
        <w:rPr>
          <w:rFonts w:ascii="Times New Roman" w:hAnsi="Times New Roman" w:cs="Times New Roman"/>
          <w:color w:val="000000" w:themeColor="text1"/>
          <w:sz w:val="24"/>
          <w:szCs w:val="24"/>
          <w:lang w:val="fr-FR"/>
        </w:rPr>
        <w:t>speciilor</w:t>
      </w:r>
      <w:proofErr w:type="spellEnd"/>
      <w:r w:rsidRPr="003771D0">
        <w:rPr>
          <w:rFonts w:ascii="Times New Roman" w:hAnsi="Times New Roman" w:cs="Times New Roman"/>
          <w:color w:val="000000" w:themeColor="text1"/>
          <w:spacing w:val="-57"/>
          <w:sz w:val="24"/>
          <w:szCs w:val="24"/>
          <w:lang w:val="fr-FR"/>
        </w:rPr>
        <w:t xml:space="preserve"> </w:t>
      </w:r>
      <w:proofErr w:type="spellStart"/>
      <w:r w:rsidRPr="003771D0">
        <w:rPr>
          <w:rFonts w:ascii="Times New Roman" w:hAnsi="Times New Roman" w:cs="Times New Roman"/>
          <w:color w:val="000000" w:themeColor="text1"/>
          <w:sz w:val="24"/>
          <w:szCs w:val="24"/>
          <w:lang w:val="fr-FR"/>
        </w:rPr>
        <w:t>tipice</w:t>
      </w:r>
      <w:proofErr w:type="spellEnd"/>
      <w:r w:rsidRPr="003771D0">
        <w:rPr>
          <w:rFonts w:ascii="Times New Roman" w:hAnsi="Times New Roman" w:cs="Times New Roman"/>
          <w:color w:val="000000" w:themeColor="text1"/>
          <w:spacing w:val="-2"/>
          <w:sz w:val="24"/>
          <w:szCs w:val="24"/>
          <w:lang w:val="fr-FR"/>
        </w:rPr>
        <w:t xml:space="preserve"> </w:t>
      </w:r>
      <w:proofErr w:type="spellStart"/>
      <w:r w:rsidRPr="003771D0">
        <w:rPr>
          <w:rFonts w:ascii="Times New Roman" w:hAnsi="Times New Roman" w:cs="Times New Roman"/>
          <w:color w:val="000000" w:themeColor="text1"/>
          <w:sz w:val="24"/>
          <w:szCs w:val="24"/>
          <w:lang w:val="fr-FR"/>
        </w:rPr>
        <w:t>habitatului</w:t>
      </w:r>
      <w:proofErr w:type="spellEnd"/>
      <w:r w:rsidRPr="003771D0">
        <w:rPr>
          <w:rFonts w:ascii="Times New Roman" w:hAnsi="Times New Roman" w:cs="Times New Roman"/>
          <w:color w:val="000000" w:themeColor="text1"/>
          <w:sz w:val="24"/>
          <w:szCs w:val="24"/>
          <w:lang w:val="fr-FR"/>
        </w:rPr>
        <w:t>.</w:t>
      </w:r>
    </w:p>
    <w:p w14:paraId="7233A8D5" w14:textId="77777777" w:rsidR="00BC5122" w:rsidRPr="003771D0" w:rsidRDefault="00BC5122" w:rsidP="008E33FD">
      <w:pPr>
        <w:pStyle w:val="BodyText"/>
        <w:spacing w:before="3"/>
        <w:jc w:val="both"/>
        <w:rPr>
          <w:color w:val="000000" w:themeColor="text1"/>
          <w:sz w:val="24"/>
          <w:szCs w:val="24"/>
          <w:lang w:val="fr-FR"/>
        </w:rPr>
      </w:pPr>
    </w:p>
    <w:p w14:paraId="42E0E69E" w14:textId="77777777" w:rsidR="00BC5122" w:rsidRPr="003771D0" w:rsidRDefault="00BC5122" w:rsidP="003771D0">
      <w:pPr>
        <w:pStyle w:val="BodyText"/>
        <w:tabs>
          <w:tab w:val="left" w:pos="9270"/>
        </w:tabs>
        <w:ind w:left="0" w:right="26"/>
        <w:jc w:val="both"/>
        <w:rPr>
          <w:color w:val="000000" w:themeColor="text1"/>
          <w:sz w:val="24"/>
          <w:szCs w:val="24"/>
          <w:lang w:val="fr-FR"/>
        </w:rPr>
      </w:pPr>
      <w:proofErr w:type="spellStart"/>
      <w:r w:rsidRPr="003771D0">
        <w:rPr>
          <w:color w:val="000000" w:themeColor="text1"/>
          <w:sz w:val="24"/>
          <w:szCs w:val="24"/>
          <w:lang w:val="fr-FR"/>
        </w:rPr>
        <w:t>Metodologia</w:t>
      </w:r>
      <w:proofErr w:type="spellEnd"/>
      <w:r w:rsidRPr="003771D0">
        <w:rPr>
          <w:color w:val="000000" w:themeColor="text1"/>
          <w:spacing w:val="23"/>
          <w:sz w:val="24"/>
          <w:szCs w:val="24"/>
          <w:lang w:val="fr-FR"/>
        </w:rPr>
        <w:t xml:space="preserve"> </w:t>
      </w:r>
      <w:r w:rsidRPr="003771D0">
        <w:rPr>
          <w:color w:val="000000" w:themeColor="text1"/>
          <w:sz w:val="24"/>
          <w:szCs w:val="24"/>
          <w:lang w:val="fr-FR"/>
        </w:rPr>
        <w:t>de</w:t>
      </w:r>
      <w:r w:rsidRPr="003771D0">
        <w:rPr>
          <w:color w:val="000000" w:themeColor="text1"/>
          <w:spacing w:val="23"/>
          <w:sz w:val="24"/>
          <w:szCs w:val="24"/>
          <w:lang w:val="fr-FR"/>
        </w:rPr>
        <w:t xml:space="preserve"> </w:t>
      </w:r>
      <w:proofErr w:type="spellStart"/>
      <w:r w:rsidRPr="003771D0">
        <w:rPr>
          <w:color w:val="000000" w:themeColor="text1"/>
          <w:sz w:val="24"/>
          <w:szCs w:val="24"/>
          <w:lang w:val="fr-FR"/>
        </w:rPr>
        <w:t>evaluare</w:t>
      </w:r>
      <w:proofErr w:type="spellEnd"/>
      <w:r w:rsidRPr="003771D0">
        <w:rPr>
          <w:color w:val="000000" w:themeColor="text1"/>
          <w:spacing w:val="25"/>
          <w:sz w:val="24"/>
          <w:szCs w:val="24"/>
          <w:lang w:val="fr-FR"/>
        </w:rPr>
        <w:t xml:space="preserve"> </w:t>
      </w:r>
      <w:r w:rsidRPr="003771D0">
        <w:rPr>
          <w:color w:val="000000" w:themeColor="text1"/>
          <w:sz w:val="24"/>
          <w:szCs w:val="24"/>
          <w:lang w:val="fr-FR"/>
        </w:rPr>
        <w:t>a</w:t>
      </w:r>
      <w:r w:rsidRPr="003771D0">
        <w:rPr>
          <w:color w:val="000000" w:themeColor="text1"/>
          <w:spacing w:val="24"/>
          <w:sz w:val="24"/>
          <w:szCs w:val="24"/>
          <w:lang w:val="fr-FR"/>
        </w:rPr>
        <w:t xml:space="preserve"> </w:t>
      </w:r>
      <w:proofErr w:type="spellStart"/>
      <w:r w:rsidRPr="003771D0">
        <w:rPr>
          <w:color w:val="000000" w:themeColor="text1"/>
          <w:sz w:val="24"/>
          <w:szCs w:val="24"/>
          <w:lang w:val="fr-FR"/>
        </w:rPr>
        <w:t>stării</w:t>
      </w:r>
      <w:proofErr w:type="spellEnd"/>
      <w:r w:rsidRPr="003771D0">
        <w:rPr>
          <w:color w:val="000000" w:themeColor="text1"/>
          <w:spacing w:val="24"/>
          <w:sz w:val="24"/>
          <w:szCs w:val="24"/>
          <w:lang w:val="fr-FR"/>
        </w:rPr>
        <w:t xml:space="preserve"> </w:t>
      </w:r>
      <w:r w:rsidRPr="003771D0">
        <w:rPr>
          <w:color w:val="000000" w:themeColor="text1"/>
          <w:sz w:val="24"/>
          <w:szCs w:val="24"/>
          <w:lang w:val="fr-FR"/>
        </w:rPr>
        <w:t>de</w:t>
      </w:r>
      <w:r w:rsidRPr="003771D0">
        <w:rPr>
          <w:color w:val="000000" w:themeColor="text1"/>
          <w:spacing w:val="23"/>
          <w:sz w:val="24"/>
          <w:szCs w:val="24"/>
          <w:lang w:val="fr-FR"/>
        </w:rPr>
        <w:t xml:space="preserve"> </w:t>
      </w:r>
      <w:proofErr w:type="spellStart"/>
      <w:r w:rsidRPr="003771D0">
        <w:rPr>
          <w:color w:val="000000" w:themeColor="text1"/>
          <w:sz w:val="24"/>
          <w:szCs w:val="24"/>
          <w:lang w:val="fr-FR"/>
        </w:rPr>
        <w:t>conservare</w:t>
      </w:r>
      <w:proofErr w:type="spellEnd"/>
      <w:r w:rsidRPr="003771D0">
        <w:rPr>
          <w:color w:val="000000" w:themeColor="text1"/>
          <w:spacing w:val="24"/>
          <w:sz w:val="24"/>
          <w:szCs w:val="24"/>
          <w:lang w:val="fr-FR"/>
        </w:rPr>
        <w:t xml:space="preserve"> </w:t>
      </w:r>
      <w:r w:rsidRPr="003771D0">
        <w:rPr>
          <w:color w:val="000000" w:themeColor="text1"/>
          <w:sz w:val="24"/>
          <w:szCs w:val="24"/>
          <w:lang w:val="fr-FR"/>
        </w:rPr>
        <w:t>a</w:t>
      </w:r>
      <w:r w:rsidRPr="003771D0">
        <w:rPr>
          <w:color w:val="000000" w:themeColor="text1"/>
          <w:spacing w:val="25"/>
          <w:sz w:val="24"/>
          <w:szCs w:val="24"/>
          <w:lang w:val="fr-FR"/>
        </w:rPr>
        <w:t xml:space="preserve"> </w:t>
      </w:r>
      <w:proofErr w:type="spellStart"/>
      <w:r w:rsidRPr="003771D0">
        <w:rPr>
          <w:color w:val="000000" w:themeColor="text1"/>
          <w:sz w:val="24"/>
          <w:szCs w:val="24"/>
          <w:lang w:val="fr-FR"/>
        </w:rPr>
        <w:t>speciilor</w:t>
      </w:r>
      <w:proofErr w:type="spellEnd"/>
      <w:r w:rsidRPr="003771D0">
        <w:rPr>
          <w:color w:val="000000" w:themeColor="text1"/>
          <w:spacing w:val="24"/>
          <w:sz w:val="24"/>
          <w:szCs w:val="24"/>
          <w:lang w:val="fr-FR"/>
        </w:rPr>
        <w:t xml:space="preserve"> </w:t>
      </w:r>
      <w:proofErr w:type="spellStart"/>
      <w:r w:rsidRPr="003771D0">
        <w:rPr>
          <w:color w:val="000000" w:themeColor="text1"/>
          <w:sz w:val="24"/>
          <w:szCs w:val="24"/>
          <w:lang w:val="fr-FR"/>
        </w:rPr>
        <w:t>și</w:t>
      </w:r>
      <w:proofErr w:type="spellEnd"/>
      <w:r w:rsidRPr="003771D0">
        <w:rPr>
          <w:color w:val="000000" w:themeColor="text1"/>
          <w:spacing w:val="25"/>
          <w:sz w:val="24"/>
          <w:szCs w:val="24"/>
          <w:lang w:val="fr-FR"/>
        </w:rPr>
        <w:t xml:space="preserve"> </w:t>
      </w:r>
      <w:proofErr w:type="spellStart"/>
      <w:r w:rsidRPr="003771D0">
        <w:rPr>
          <w:color w:val="000000" w:themeColor="text1"/>
          <w:sz w:val="24"/>
          <w:szCs w:val="24"/>
          <w:lang w:val="fr-FR"/>
        </w:rPr>
        <w:t>habitatelor</w:t>
      </w:r>
      <w:proofErr w:type="spellEnd"/>
      <w:r w:rsidRPr="003771D0">
        <w:rPr>
          <w:color w:val="000000" w:themeColor="text1"/>
          <w:spacing w:val="23"/>
          <w:sz w:val="24"/>
          <w:szCs w:val="24"/>
          <w:lang w:val="fr-FR"/>
        </w:rPr>
        <w:t xml:space="preserve"> </w:t>
      </w:r>
      <w:r w:rsidRPr="003771D0">
        <w:rPr>
          <w:color w:val="000000" w:themeColor="text1"/>
          <w:sz w:val="24"/>
          <w:szCs w:val="24"/>
          <w:lang w:val="fr-FR"/>
        </w:rPr>
        <w:t>se</w:t>
      </w:r>
      <w:r w:rsidRPr="003771D0">
        <w:rPr>
          <w:color w:val="000000" w:themeColor="text1"/>
          <w:spacing w:val="23"/>
          <w:sz w:val="24"/>
          <w:szCs w:val="24"/>
          <w:lang w:val="fr-FR"/>
        </w:rPr>
        <w:t xml:space="preserve"> </w:t>
      </w:r>
      <w:r w:rsidRPr="003771D0">
        <w:rPr>
          <w:color w:val="000000" w:themeColor="text1"/>
          <w:sz w:val="24"/>
          <w:szCs w:val="24"/>
          <w:lang w:val="fr-FR"/>
        </w:rPr>
        <w:t>va</w:t>
      </w:r>
      <w:r w:rsidRPr="003771D0">
        <w:rPr>
          <w:color w:val="000000" w:themeColor="text1"/>
          <w:spacing w:val="23"/>
          <w:sz w:val="24"/>
          <w:szCs w:val="24"/>
          <w:lang w:val="fr-FR"/>
        </w:rPr>
        <w:t xml:space="preserve"> </w:t>
      </w:r>
      <w:r w:rsidRPr="003771D0">
        <w:rPr>
          <w:color w:val="000000" w:themeColor="text1"/>
          <w:sz w:val="24"/>
          <w:szCs w:val="24"/>
          <w:lang w:val="fr-FR"/>
        </w:rPr>
        <w:t>adapta</w:t>
      </w:r>
      <w:r w:rsidRPr="003771D0">
        <w:rPr>
          <w:color w:val="000000" w:themeColor="text1"/>
          <w:spacing w:val="24"/>
          <w:sz w:val="24"/>
          <w:szCs w:val="24"/>
          <w:lang w:val="fr-FR"/>
        </w:rPr>
        <w:t xml:space="preserve"> </w:t>
      </w:r>
      <w:proofErr w:type="spellStart"/>
      <w:r w:rsidRPr="003771D0">
        <w:rPr>
          <w:color w:val="000000" w:themeColor="text1"/>
          <w:sz w:val="24"/>
          <w:szCs w:val="24"/>
          <w:lang w:val="fr-FR"/>
        </w:rPr>
        <w:t>după</w:t>
      </w:r>
      <w:proofErr w:type="spellEnd"/>
      <w:r w:rsidRPr="003771D0">
        <w:rPr>
          <w:color w:val="000000" w:themeColor="text1"/>
          <w:spacing w:val="23"/>
          <w:sz w:val="24"/>
          <w:szCs w:val="24"/>
          <w:lang w:val="fr-FR"/>
        </w:rPr>
        <w:t xml:space="preserve"> </w:t>
      </w:r>
      <w:proofErr w:type="spellStart"/>
      <w:r w:rsidRPr="003771D0">
        <w:rPr>
          <w:color w:val="000000" w:themeColor="text1"/>
          <w:sz w:val="24"/>
          <w:szCs w:val="24"/>
          <w:lang w:val="fr-FR"/>
        </w:rPr>
        <w:t>caz</w:t>
      </w:r>
      <w:proofErr w:type="spellEnd"/>
      <w:r w:rsidRPr="003771D0">
        <w:rPr>
          <w:color w:val="000000" w:themeColor="text1"/>
          <w:spacing w:val="-57"/>
          <w:sz w:val="24"/>
          <w:szCs w:val="24"/>
          <w:lang w:val="fr-FR"/>
        </w:rPr>
        <w:t xml:space="preserve"> </w:t>
      </w:r>
      <w:proofErr w:type="spellStart"/>
      <w:r w:rsidRPr="003771D0">
        <w:rPr>
          <w:color w:val="000000" w:themeColor="text1"/>
          <w:sz w:val="24"/>
          <w:szCs w:val="24"/>
          <w:lang w:val="fr-FR"/>
        </w:rPr>
        <w:t>atât</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după</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atributele</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existente</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în</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fișele</w:t>
      </w:r>
      <w:proofErr w:type="spellEnd"/>
      <w:r w:rsidRPr="003771D0">
        <w:rPr>
          <w:color w:val="000000" w:themeColor="text1"/>
          <w:sz w:val="24"/>
          <w:szCs w:val="24"/>
          <w:lang w:val="fr-FR"/>
        </w:rPr>
        <w:t xml:space="preserve"> de </w:t>
      </w:r>
      <w:proofErr w:type="spellStart"/>
      <w:r w:rsidRPr="003771D0">
        <w:rPr>
          <w:color w:val="000000" w:themeColor="text1"/>
          <w:sz w:val="24"/>
          <w:szCs w:val="24"/>
          <w:lang w:val="fr-FR"/>
        </w:rPr>
        <w:t>caracterizare</w:t>
      </w:r>
      <w:proofErr w:type="spellEnd"/>
      <w:r w:rsidRPr="003771D0">
        <w:rPr>
          <w:color w:val="000000" w:themeColor="text1"/>
          <w:sz w:val="24"/>
          <w:szCs w:val="24"/>
          <w:lang w:val="fr-FR"/>
        </w:rPr>
        <w:t xml:space="preserve"> ale </w:t>
      </w:r>
      <w:proofErr w:type="spellStart"/>
      <w:r w:rsidRPr="003771D0">
        <w:rPr>
          <w:color w:val="000000" w:themeColor="text1"/>
          <w:sz w:val="24"/>
          <w:szCs w:val="24"/>
          <w:lang w:val="fr-FR"/>
        </w:rPr>
        <w:t>acestora</w:t>
      </w:r>
      <w:proofErr w:type="spellEnd"/>
      <w:r w:rsidRPr="003771D0">
        <w:rPr>
          <w:color w:val="000000" w:themeColor="text1"/>
          <w:sz w:val="24"/>
          <w:szCs w:val="24"/>
          <w:lang w:val="fr-FR"/>
        </w:rPr>
        <w:t xml:space="preserve"> -Fact Sheets, </w:t>
      </w:r>
      <w:proofErr w:type="spellStart"/>
      <w:r w:rsidRPr="003771D0">
        <w:rPr>
          <w:color w:val="000000" w:themeColor="text1"/>
          <w:sz w:val="24"/>
          <w:szCs w:val="24"/>
          <w:lang w:val="fr-FR"/>
        </w:rPr>
        <w:t>material</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proiect</w:t>
      </w:r>
      <w:proofErr w:type="spellEnd"/>
      <w:r w:rsidRPr="003771D0">
        <w:rPr>
          <w:color w:val="000000" w:themeColor="text1"/>
          <w:spacing w:val="1"/>
          <w:sz w:val="24"/>
          <w:szCs w:val="24"/>
          <w:lang w:val="fr-FR"/>
        </w:rPr>
        <w:t xml:space="preserve"> </w:t>
      </w:r>
      <w:r w:rsidRPr="003771D0">
        <w:rPr>
          <w:color w:val="000000" w:themeColor="text1"/>
          <w:sz w:val="24"/>
          <w:szCs w:val="24"/>
          <w:lang w:val="fr-FR"/>
        </w:rPr>
        <w:t xml:space="preserve">EU Phare </w:t>
      </w:r>
      <w:proofErr w:type="spellStart"/>
      <w:r w:rsidRPr="003771D0">
        <w:rPr>
          <w:color w:val="000000" w:themeColor="text1"/>
          <w:sz w:val="24"/>
          <w:szCs w:val="24"/>
          <w:lang w:val="fr-FR"/>
        </w:rPr>
        <w:t>EuropeAid</w:t>
      </w:r>
      <w:proofErr w:type="spellEnd"/>
      <w:r w:rsidRPr="003771D0">
        <w:rPr>
          <w:color w:val="000000" w:themeColor="text1"/>
          <w:sz w:val="24"/>
          <w:szCs w:val="24"/>
          <w:lang w:val="fr-FR"/>
        </w:rPr>
        <w:t xml:space="preserve">/12/12160/D/SV/RO - </w:t>
      </w:r>
      <w:proofErr w:type="spellStart"/>
      <w:r w:rsidRPr="003771D0">
        <w:rPr>
          <w:color w:val="000000" w:themeColor="text1"/>
          <w:sz w:val="24"/>
          <w:szCs w:val="24"/>
          <w:lang w:val="fr-FR"/>
        </w:rPr>
        <w:t>în</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funcție</w:t>
      </w:r>
      <w:proofErr w:type="spellEnd"/>
      <w:r w:rsidRPr="003771D0">
        <w:rPr>
          <w:color w:val="000000" w:themeColor="text1"/>
          <w:sz w:val="24"/>
          <w:szCs w:val="24"/>
          <w:lang w:val="fr-FR"/>
        </w:rPr>
        <w:t xml:space="preserve"> de </w:t>
      </w:r>
      <w:proofErr w:type="spellStart"/>
      <w:r w:rsidRPr="003771D0">
        <w:rPr>
          <w:color w:val="000000" w:themeColor="text1"/>
          <w:sz w:val="24"/>
          <w:szCs w:val="24"/>
          <w:lang w:val="fr-FR"/>
        </w:rPr>
        <w:t>disponibilitatea</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acestor</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fișe</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cât</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și</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după</w:t>
      </w:r>
      <w:proofErr w:type="spellEnd"/>
      <w:r w:rsidRPr="003771D0">
        <w:rPr>
          <w:color w:val="000000" w:themeColor="text1"/>
          <w:spacing w:val="1"/>
          <w:sz w:val="24"/>
          <w:szCs w:val="24"/>
          <w:lang w:val="fr-FR"/>
        </w:rPr>
        <w:t xml:space="preserve"> </w:t>
      </w:r>
      <w:proofErr w:type="spellStart"/>
      <w:r w:rsidRPr="003771D0">
        <w:rPr>
          <w:color w:val="000000" w:themeColor="text1"/>
          <w:sz w:val="24"/>
          <w:szCs w:val="24"/>
          <w:lang w:val="fr-FR"/>
        </w:rPr>
        <w:t>indicatorii</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prevăzuți</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lastRenderedPageBreak/>
        <w:t>în</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Ordinul</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ministrul</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mediului</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şi</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gospodăririi</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apelor</w:t>
      </w:r>
      <w:proofErr w:type="spellEnd"/>
      <w:r w:rsidRPr="003771D0">
        <w:rPr>
          <w:color w:val="000000" w:themeColor="text1"/>
          <w:sz w:val="24"/>
          <w:szCs w:val="24"/>
          <w:lang w:val="fr-FR"/>
        </w:rPr>
        <w:t xml:space="preserve"> nr. 207 </w:t>
      </w:r>
      <w:proofErr w:type="spellStart"/>
      <w:r w:rsidRPr="003771D0">
        <w:rPr>
          <w:color w:val="000000" w:themeColor="text1"/>
          <w:sz w:val="24"/>
          <w:szCs w:val="24"/>
          <w:lang w:val="fr-FR"/>
        </w:rPr>
        <w:t>din</w:t>
      </w:r>
      <w:proofErr w:type="spellEnd"/>
      <w:r w:rsidRPr="003771D0">
        <w:rPr>
          <w:color w:val="000000" w:themeColor="text1"/>
          <w:sz w:val="24"/>
          <w:szCs w:val="24"/>
          <w:lang w:val="fr-FR"/>
        </w:rPr>
        <w:t xml:space="preserve"> 3 </w:t>
      </w:r>
      <w:proofErr w:type="spellStart"/>
      <w:r w:rsidRPr="003771D0">
        <w:rPr>
          <w:color w:val="000000" w:themeColor="text1"/>
          <w:sz w:val="24"/>
          <w:szCs w:val="24"/>
          <w:lang w:val="fr-FR"/>
        </w:rPr>
        <w:t>martie</w:t>
      </w:r>
      <w:proofErr w:type="spellEnd"/>
      <w:r w:rsidRPr="003771D0">
        <w:rPr>
          <w:color w:val="000000" w:themeColor="text1"/>
          <w:spacing w:val="1"/>
          <w:sz w:val="24"/>
          <w:szCs w:val="24"/>
          <w:lang w:val="fr-FR"/>
        </w:rPr>
        <w:t xml:space="preserve"> </w:t>
      </w:r>
      <w:r w:rsidRPr="003771D0">
        <w:rPr>
          <w:color w:val="000000" w:themeColor="text1"/>
          <w:sz w:val="24"/>
          <w:szCs w:val="24"/>
          <w:lang w:val="fr-FR"/>
        </w:rPr>
        <w:t>2006.</w:t>
      </w:r>
    </w:p>
    <w:p w14:paraId="48FC2353" w14:textId="77777777" w:rsidR="00BC5122" w:rsidRPr="003771D0" w:rsidRDefault="00BC5122" w:rsidP="003771D0">
      <w:pPr>
        <w:pStyle w:val="BodyText"/>
        <w:tabs>
          <w:tab w:val="left" w:pos="9270"/>
        </w:tabs>
        <w:ind w:left="0" w:right="26"/>
        <w:jc w:val="both"/>
        <w:rPr>
          <w:color w:val="000000" w:themeColor="text1"/>
          <w:sz w:val="24"/>
          <w:szCs w:val="24"/>
          <w:lang w:val="fr-FR"/>
        </w:rPr>
      </w:pPr>
      <w:proofErr w:type="spellStart"/>
      <w:r w:rsidRPr="003771D0">
        <w:rPr>
          <w:b/>
          <w:color w:val="000000" w:themeColor="text1"/>
          <w:sz w:val="24"/>
          <w:szCs w:val="24"/>
          <w:lang w:val="fr-FR"/>
        </w:rPr>
        <w:t>Starea</w:t>
      </w:r>
      <w:proofErr w:type="spellEnd"/>
      <w:r w:rsidRPr="003771D0">
        <w:rPr>
          <w:b/>
          <w:color w:val="000000" w:themeColor="text1"/>
          <w:sz w:val="24"/>
          <w:szCs w:val="24"/>
          <w:lang w:val="fr-FR"/>
        </w:rPr>
        <w:t xml:space="preserve"> de </w:t>
      </w:r>
      <w:proofErr w:type="spellStart"/>
      <w:r w:rsidRPr="003771D0">
        <w:rPr>
          <w:b/>
          <w:color w:val="000000" w:themeColor="text1"/>
          <w:sz w:val="24"/>
          <w:szCs w:val="24"/>
          <w:lang w:val="fr-FR"/>
        </w:rPr>
        <w:t>conservare</w:t>
      </w:r>
      <w:proofErr w:type="spellEnd"/>
      <w:r w:rsidRPr="003771D0">
        <w:rPr>
          <w:b/>
          <w:color w:val="000000" w:themeColor="text1"/>
          <w:sz w:val="24"/>
          <w:szCs w:val="24"/>
          <w:lang w:val="fr-FR"/>
        </w:rPr>
        <w:t xml:space="preserve"> a </w:t>
      </w:r>
      <w:proofErr w:type="spellStart"/>
      <w:r w:rsidRPr="003771D0">
        <w:rPr>
          <w:b/>
          <w:color w:val="000000" w:themeColor="text1"/>
          <w:sz w:val="24"/>
          <w:szCs w:val="24"/>
          <w:lang w:val="fr-FR"/>
        </w:rPr>
        <w:t>unui</w:t>
      </w:r>
      <w:proofErr w:type="spellEnd"/>
      <w:r w:rsidRPr="003771D0">
        <w:rPr>
          <w:b/>
          <w:color w:val="000000" w:themeColor="text1"/>
          <w:sz w:val="24"/>
          <w:szCs w:val="24"/>
          <w:lang w:val="fr-FR"/>
        </w:rPr>
        <w:t xml:space="preserve"> tip de habitat </w:t>
      </w:r>
      <w:proofErr w:type="spellStart"/>
      <w:r w:rsidRPr="003771D0">
        <w:rPr>
          <w:color w:val="000000" w:themeColor="text1"/>
          <w:sz w:val="24"/>
          <w:szCs w:val="24"/>
          <w:lang w:val="fr-FR"/>
        </w:rPr>
        <w:t>într</w:t>
      </w:r>
      <w:proofErr w:type="spellEnd"/>
      <w:r w:rsidRPr="003771D0">
        <w:rPr>
          <w:color w:val="000000" w:themeColor="text1"/>
          <w:sz w:val="24"/>
          <w:szCs w:val="24"/>
          <w:lang w:val="fr-FR"/>
        </w:rPr>
        <w:t xml:space="preserve">-o </w:t>
      </w:r>
      <w:proofErr w:type="spellStart"/>
      <w:r w:rsidRPr="003771D0">
        <w:rPr>
          <w:color w:val="000000" w:themeColor="text1"/>
          <w:sz w:val="24"/>
          <w:szCs w:val="24"/>
          <w:lang w:val="fr-FR"/>
        </w:rPr>
        <w:t>arie</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naturală</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protejată</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presupune</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evaluarea</w:t>
      </w:r>
      <w:proofErr w:type="spellEnd"/>
      <w:r w:rsidRPr="003771D0">
        <w:rPr>
          <w:color w:val="000000" w:themeColor="text1"/>
          <w:spacing w:val="1"/>
          <w:sz w:val="24"/>
          <w:szCs w:val="24"/>
          <w:lang w:val="fr-FR"/>
        </w:rPr>
        <w:t xml:space="preserve"> </w:t>
      </w:r>
      <w:proofErr w:type="spellStart"/>
      <w:r w:rsidRPr="003771D0">
        <w:rPr>
          <w:color w:val="000000" w:themeColor="text1"/>
          <w:sz w:val="24"/>
          <w:szCs w:val="24"/>
          <w:lang w:val="fr-FR"/>
        </w:rPr>
        <w:t>stării</w:t>
      </w:r>
      <w:proofErr w:type="spellEnd"/>
      <w:r w:rsidRPr="003771D0">
        <w:rPr>
          <w:color w:val="000000" w:themeColor="text1"/>
          <w:sz w:val="24"/>
          <w:szCs w:val="24"/>
          <w:lang w:val="fr-FR"/>
        </w:rPr>
        <w:t xml:space="preserve"> de </w:t>
      </w:r>
      <w:proofErr w:type="spellStart"/>
      <w:r w:rsidRPr="003771D0">
        <w:rPr>
          <w:color w:val="000000" w:themeColor="text1"/>
          <w:sz w:val="24"/>
          <w:szCs w:val="24"/>
          <w:lang w:val="fr-FR"/>
        </w:rPr>
        <w:t>conservare</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din</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punct</w:t>
      </w:r>
      <w:proofErr w:type="spellEnd"/>
      <w:r w:rsidRPr="003771D0">
        <w:rPr>
          <w:color w:val="000000" w:themeColor="text1"/>
          <w:sz w:val="24"/>
          <w:szCs w:val="24"/>
          <w:lang w:val="fr-FR"/>
        </w:rPr>
        <w:t xml:space="preserve"> de </w:t>
      </w:r>
      <w:proofErr w:type="spellStart"/>
      <w:r w:rsidRPr="003771D0">
        <w:rPr>
          <w:color w:val="000000" w:themeColor="text1"/>
          <w:sz w:val="24"/>
          <w:szCs w:val="24"/>
          <w:lang w:val="fr-FR"/>
        </w:rPr>
        <w:t>vedere</w:t>
      </w:r>
      <w:proofErr w:type="spellEnd"/>
      <w:r w:rsidRPr="003771D0">
        <w:rPr>
          <w:color w:val="000000" w:themeColor="text1"/>
          <w:sz w:val="24"/>
          <w:szCs w:val="24"/>
          <w:lang w:val="fr-FR"/>
        </w:rPr>
        <w:t xml:space="preserve"> al mai </w:t>
      </w:r>
      <w:proofErr w:type="spellStart"/>
      <w:r w:rsidRPr="003771D0">
        <w:rPr>
          <w:color w:val="000000" w:themeColor="text1"/>
          <w:sz w:val="24"/>
          <w:szCs w:val="24"/>
          <w:lang w:val="fr-FR"/>
        </w:rPr>
        <w:t>multor</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parametri</w:t>
      </w:r>
      <w:proofErr w:type="spellEnd"/>
      <w:r w:rsidRPr="003771D0">
        <w:rPr>
          <w:color w:val="000000" w:themeColor="text1"/>
          <w:sz w:val="24"/>
          <w:szCs w:val="24"/>
          <w:lang w:val="fr-FR"/>
        </w:rPr>
        <w:t>/</w:t>
      </w:r>
      <w:proofErr w:type="spellStart"/>
      <w:r w:rsidRPr="003771D0">
        <w:rPr>
          <w:color w:val="000000" w:themeColor="text1"/>
          <w:sz w:val="24"/>
          <w:szCs w:val="24"/>
          <w:lang w:val="fr-FR"/>
        </w:rPr>
        <w:t>atribute</w:t>
      </w:r>
      <w:proofErr w:type="spellEnd"/>
      <w:r w:rsidRPr="003771D0">
        <w:rPr>
          <w:color w:val="000000" w:themeColor="text1"/>
          <w:sz w:val="24"/>
          <w:szCs w:val="24"/>
          <w:lang w:val="fr-FR"/>
        </w:rPr>
        <w:t xml:space="preserve">, care </w:t>
      </w:r>
      <w:proofErr w:type="spellStart"/>
      <w:r w:rsidRPr="003771D0">
        <w:rPr>
          <w:color w:val="000000" w:themeColor="text1"/>
          <w:sz w:val="24"/>
          <w:szCs w:val="24"/>
          <w:lang w:val="fr-FR"/>
        </w:rPr>
        <w:t>împreună</w:t>
      </w:r>
      <w:proofErr w:type="spellEnd"/>
      <w:r w:rsidRPr="003771D0">
        <w:rPr>
          <w:color w:val="000000" w:themeColor="text1"/>
          <w:sz w:val="24"/>
          <w:szCs w:val="24"/>
          <w:lang w:val="fr-FR"/>
        </w:rPr>
        <w:t xml:space="preserve"> </w:t>
      </w:r>
      <w:proofErr w:type="spellStart"/>
      <w:r w:rsidRPr="003771D0">
        <w:rPr>
          <w:color w:val="000000" w:themeColor="text1"/>
          <w:sz w:val="24"/>
          <w:szCs w:val="24"/>
          <w:lang w:val="fr-FR"/>
        </w:rPr>
        <w:t>definesc</w:t>
      </w:r>
      <w:proofErr w:type="spellEnd"/>
      <w:r w:rsidRPr="003771D0">
        <w:rPr>
          <w:color w:val="000000" w:themeColor="text1"/>
          <w:spacing w:val="1"/>
          <w:sz w:val="24"/>
          <w:szCs w:val="24"/>
          <w:lang w:val="fr-FR"/>
        </w:rPr>
        <w:t xml:space="preserve"> </w:t>
      </w:r>
      <w:proofErr w:type="spellStart"/>
      <w:r w:rsidRPr="003771D0">
        <w:rPr>
          <w:color w:val="000000" w:themeColor="text1"/>
          <w:sz w:val="24"/>
          <w:szCs w:val="24"/>
          <w:lang w:val="fr-FR"/>
        </w:rPr>
        <w:t>starea</w:t>
      </w:r>
      <w:proofErr w:type="spellEnd"/>
      <w:r w:rsidRPr="003771D0">
        <w:rPr>
          <w:color w:val="000000" w:themeColor="text1"/>
          <w:spacing w:val="-2"/>
          <w:sz w:val="24"/>
          <w:szCs w:val="24"/>
          <w:lang w:val="fr-FR"/>
        </w:rPr>
        <w:t xml:space="preserve"> </w:t>
      </w:r>
      <w:r w:rsidRPr="003771D0">
        <w:rPr>
          <w:color w:val="000000" w:themeColor="text1"/>
          <w:sz w:val="24"/>
          <w:szCs w:val="24"/>
          <w:lang w:val="fr-FR"/>
        </w:rPr>
        <w:t>de</w:t>
      </w:r>
      <w:r w:rsidRPr="003771D0">
        <w:rPr>
          <w:color w:val="000000" w:themeColor="text1"/>
          <w:spacing w:val="-1"/>
          <w:sz w:val="24"/>
          <w:szCs w:val="24"/>
          <w:lang w:val="fr-FR"/>
        </w:rPr>
        <w:t xml:space="preserve"> </w:t>
      </w:r>
      <w:proofErr w:type="spellStart"/>
      <w:r w:rsidRPr="003771D0">
        <w:rPr>
          <w:color w:val="000000" w:themeColor="text1"/>
          <w:sz w:val="24"/>
          <w:szCs w:val="24"/>
          <w:lang w:val="fr-FR"/>
        </w:rPr>
        <w:t>conservare</w:t>
      </w:r>
      <w:proofErr w:type="spellEnd"/>
      <w:r w:rsidRPr="003771D0">
        <w:rPr>
          <w:color w:val="000000" w:themeColor="text1"/>
          <w:spacing w:val="-1"/>
          <w:sz w:val="24"/>
          <w:szCs w:val="24"/>
          <w:lang w:val="fr-FR"/>
        </w:rPr>
        <w:t xml:space="preserve"> </w:t>
      </w:r>
      <w:r w:rsidRPr="003771D0">
        <w:rPr>
          <w:color w:val="000000" w:themeColor="text1"/>
          <w:sz w:val="24"/>
          <w:szCs w:val="24"/>
          <w:lang w:val="fr-FR"/>
        </w:rPr>
        <w:t>(</w:t>
      </w:r>
      <w:proofErr w:type="spellStart"/>
      <w:r w:rsidRPr="003771D0">
        <w:rPr>
          <w:color w:val="000000" w:themeColor="text1"/>
          <w:sz w:val="24"/>
          <w:szCs w:val="24"/>
          <w:lang w:val="fr-FR"/>
        </w:rPr>
        <w:t>Anexa</w:t>
      </w:r>
      <w:proofErr w:type="spellEnd"/>
      <w:r w:rsidRPr="003771D0">
        <w:rPr>
          <w:color w:val="000000" w:themeColor="text1"/>
          <w:spacing w:val="1"/>
          <w:sz w:val="24"/>
          <w:szCs w:val="24"/>
          <w:lang w:val="fr-FR"/>
        </w:rPr>
        <w:t xml:space="preserve"> </w:t>
      </w:r>
      <w:r w:rsidRPr="003771D0">
        <w:rPr>
          <w:color w:val="000000" w:themeColor="text1"/>
          <w:sz w:val="24"/>
          <w:szCs w:val="24"/>
          <w:lang w:val="fr-FR"/>
        </w:rPr>
        <w:t>nr.6):</w:t>
      </w:r>
    </w:p>
    <w:p w14:paraId="0BE3FE86" w14:textId="77777777" w:rsidR="00BC5122" w:rsidRPr="003771D0" w:rsidRDefault="00BC5122" w:rsidP="003771D0">
      <w:pPr>
        <w:pStyle w:val="ListParagraph"/>
        <w:widowControl w:val="0"/>
        <w:numPr>
          <w:ilvl w:val="0"/>
          <w:numId w:val="119"/>
        </w:numPr>
        <w:tabs>
          <w:tab w:val="left" w:pos="1021"/>
          <w:tab w:val="left" w:pos="9270"/>
        </w:tabs>
        <w:autoSpaceDE w:val="0"/>
        <w:autoSpaceDN w:val="0"/>
        <w:spacing w:before="1"/>
        <w:ind w:left="0" w:right="26" w:firstLine="0"/>
        <w:jc w:val="both"/>
        <w:rPr>
          <w:rFonts w:ascii="Times New Roman" w:hAnsi="Times New Roman" w:cs="Times New Roman"/>
          <w:color w:val="000000" w:themeColor="text1"/>
          <w:sz w:val="24"/>
          <w:szCs w:val="24"/>
          <w:lang w:val="fr-FR"/>
        </w:rPr>
      </w:pPr>
      <w:proofErr w:type="spellStart"/>
      <w:r w:rsidRPr="003771D0">
        <w:rPr>
          <w:rFonts w:ascii="Times New Roman" w:hAnsi="Times New Roman" w:cs="Times New Roman"/>
          <w:b/>
          <w:color w:val="000000" w:themeColor="text1"/>
          <w:sz w:val="24"/>
          <w:szCs w:val="24"/>
          <w:lang w:val="fr-FR"/>
        </w:rPr>
        <w:t>Cantitative</w:t>
      </w:r>
      <w:proofErr w:type="spellEnd"/>
      <w:r w:rsidRPr="003771D0">
        <w:rPr>
          <w:rFonts w:ascii="Times New Roman" w:hAnsi="Times New Roman" w:cs="Times New Roman"/>
          <w:b/>
          <w:color w:val="000000" w:themeColor="text1"/>
          <w:sz w:val="24"/>
          <w:szCs w:val="24"/>
          <w:lang w:val="fr-FR"/>
        </w:rPr>
        <w:t>:</w:t>
      </w:r>
      <w:r w:rsidRPr="003771D0">
        <w:rPr>
          <w:rFonts w:ascii="Times New Roman" w:hAnsi="Times New Roman" w:cs="Times New Roman"/>
          <w:b/>
          <w:color w:val="000000" w:themeColor="text1"/>
          <w:spacing w:val="-4"/>
          <w:sz w:val="24"/>
          <w:szCs w:val="24"/>
          <w:lang w:val="fr-FR"/>
        </w:rPr>
        <w:t xml:space="preserve"> </w:t>
      </w:r>
      <w:proofErr w:type="spellStart"/>
      <w:r w:rsidRPr="003771D0">
        <w:rPr>
          <w:rFonts w:ascii="Times New Roman" w:hAnsi="Times New Roman" w:cs="Times New Roman"/>
          <w:color w:val="000000" w:themeColor="text1"/>
          <w:sz w:val="24"/>
          <w:szCs w:val="24"/>
          <w:lang w:val="fr-FR"/>
        </w:rPr>
        <w:t>suprafaţa</w:t>
      </w:r>
      <w:proofErr w:type="spellEnd"/>
      <w:r w:rsidRPr="003771D0">
        <w:rPr>
          <w:rFonts w:ascii="Times New Roman" w:hAnsi="Times New Roman" w:cs="Times New Roman"/>
          <w:color w:val="000000" w:themeColor="text1"/>
          <w:spacing w:val="-3"/>
          <w:sz w:val="24"/>
          <w:szCs w:val="24"/>
          <w:lang w:val="fr-FR"/>
        </w:rPr>
        <w:t xml:space="preserve"> </w:t>
      </w:r>
      <w:proofErr w:type="spellStart"/>
      <w:r w:rsidRPr="003771D0">
        <w:rPr>
          <w:rFonts w:ascii="Times New Roman" w:hAnsi="Times New Roman" w:cs="Times New Roman"/>
          <w:color w:val="000000" w:themeColor="text1"/>
          <w:sz w:val="24"/>
          <w:szCs w:val="24"/>
          <w:lang w:val="fr-FR"/>
        </w:rPr>
        <w:t>ocupată</w:t>
      </w:r>
      <w:proofErr w:type="spellEnd"/>
      <w:r w:rsidRPr="003771D0">
        <w:rPr>
          <w:rFonts w:ascii="Times New Roman" w:hAnsi="Times New Roman" w:cs="Times New Roman"/>
          <w:color w:val="000000" w:themeColor="text1"/>
          <w:spacing w:val="-1"/>
          <w:sz w:val="24"/>
          <w:szCs w:val="24"/>
          <w:lang w:val="fr-FR"/>
        </w:rPr>
        <w:t xml:space="preserve"> </w:t>
      </w:r>
      <w:r w:rsidRPr="003771D0">
        <w:rPr>
          <w:rFonts w:ascii="Times New Roman" w:hAnsi="Times New Roman" w:cs="Times New Roman"/>
          <w:color w:val="000000" w:themeColor="text1"/>
          <w:sz w:val="24"/>
          <w:szCs w:val="24"/>
          <w:lang w:val="fr-FR"/>
        </w:rPr>
        <w:t>de</w:t>
      </w:r>
      <w:r w:rsidRPr="003771D0">
        <w:rPr>
          <w:rFonts w:ascii="Times New Roman" w:hAnsi="Times New Roman" w:cs="Times New Roman"/>
          <w:color w:val="000000" w:themeColor="text1"/>
          <w:spacing w:val="-4"/>
          <w:sz w:val="24"/>
          <w:szCs w:val="24"/>
          <w:lang w:val="fr-FR"/>
        </w:rPr>
        <w:t xml:space="preserve"> </w:t>
      </w:r>
      <w:proofErr w:type="spellStart"/>
      <w:r w:rsidRPr="003771D0">
        <w:rPr>
          <w:rFonts w:ascii="Times New Roman" w:hAnsi="Times New Roman" w:cs="Times New Roman"/>
          <w:color w:val="000000" w:themeColor="text1"/>
          <w:sz w:val="24"/>
          <w:szCs w:val="24"/>
          <w:lang w:val="fr-FR"/>
        </w:rPr>
        <w:t>tipul</w:t>
      </w:r>
      <w:proofErr w:type="spellEnd"/>
      <w:r w:rsidRPr="003771D0">
        <w:rPr>
          <w:rFonts w:ascii="Times New Roman" w:hAnsi="Times New Roman" w:cs="Times New Roman"/>
          <w:color w:val="000000" w:themeColor="text1"/>
          <w:spacing w:val="-2"/>
          <w:sz w:val="24"/>
          <w:szCs w:val="24"/>
          <w:lang w:val="fr-FR"/>
        </w:rPr>
        <w:t xml:space="preserve"> </w:t>
      </w:r>
      <w:r w:rsidRPr="003771D0">
        <w:rPr>
          <w:rFonts w:ascii="Times New Roman" w:hAnsi="Times New Roman" w:cs="Times New Roman"/>
          <w:color w:val="000000" w:themeColor="text1"/>
          <w:sz w:val="24"/>
          <w:szCs w:val="24"/>
          <w:lang w:val="fr-FR"/>
        </w:rPr>
        <w:t>de</w:t>
      </w:r>
      <w:r w:rsidRPr="003771D0">
        <w:rPr>
          <w:rFonts w:ascii="Times New Roman" w:hAnsi="Times New Roman" w:cs="Times New Roman"/>
          <w:color w:val="000000" w:themeColor="text1"/>
          <w:spacing w:val="-1"/>
          <w:sz w:val="24"/>
          <w:szCs w:val="24"/>
          <w:lang w:val="fr-FR"/>
        </w:rPr>
        <w:t xml:space="preserve"> </w:t>
      </w:r>
      <w:r w:rsidRPr="003771D0">
        <w:rPr>
          <w:rFonts w:ascii="Times New Roman" w:hAnsi="Times New Roman" w:cs="Times New Roman"/>
          <w:color w:val="000000" w:themeColor="text1"/>
          <w:sz w:val="24"/>
          <w:szCs w:val="24"/>
          <w:lang w:val="fr-FR"/>
        </w:rPr>
        <w:t xml:space="preserve">habitat, </w:t>
      </w:r>
      <w:proofErr w:type="spellStart"/>
      <w:r w:rsidRPr="003771D0">
        <w:rPr>
          <w:rFonts w:ascii="Times New Roman" w:hAnsi="Times New Roman" w:cs="Times New Roman"/>
          <w:color w:val="000000" w:themeColor="text1"/>
          <w:sz w:val="24"/>
          <w:szCs w:val="24"/>
          <w:lang w:val="fr-FR"/>
        </w:rPr>
        <w:t>suprafaţa</w:t>
      </w:r>
      <w:proofErr w:type="spellEnd"/>
      <w:r w:rsidRPr="003771D0">
        <w:rPr>
          <w:rFonts w:ascii="Times New Roman" w:hAnsi="Times New Roman" w:cs="Times New Roman"/>
          <w:color w:val="000000" w:themeColor="text1"/>
          <w:spacing w:val="-2"/>
          <w:sz w:val="24"/>
          <w:szCs w:val="24"/>
          <w:lang w:val="fr-FR"/>
        </w:rPr>
        <w:t xml:space="preserve"> </w:t>
      </w:r>
      <w:proofErr w:type="spellStart"/>
      <w:r w:rsidRPr="003771D0">
        <w:rPr>
          <w:rFonts w:ascii="Times New Roman" w:hAnsi="Times New Roman" w:cs="Times New Roman"/>
          <w:color w:val="000000" w:themeColor="text1"/>
          <w:sz w:val="24"/>
          <w:szCs w:val="24"/>
          <w:lang w:val="fr-FR"/>
        </w:rPr>
        <w:t>minimă</w:t>
      </w:r>
      <w:proofErr w:type="spellEnd"/>
      <w:r w:rsidRPr="003771D0">
        <w:rPr>
          <w:rFonts w:ascii="Times New Roman" w:hAnsi="Times New Roman" w:cs="Times New Roman"/>
          <w:color w:val="000000" w:themeColor="text1"/>
          <w:spacing w:val="-1"/>
          <w:sz w:val="24"/>
          <w:szCs w:val="24"/>
          <w:lang w:val="fr-FR"/>
        </w:rPr>
        <w:t xml:space="preserve"> </w:t>
      </w:r>
      <w:r w:rsidRPr="003771D0">
        <w:rPr>
          <w:rFonts w:ascii="Times New Roman" w:hAnsi="Times New Roman" w:cs="Times New Roman"/>
          <w:color w:val="000000" w:themeColor="text1"/>
          <w:sz w:val="24"/>
          <w:szCs w:val="24"/>
          <w:lang w:val="fr-FR"/>
        </w:rPr>
        <w:t>etc.</w:t>
      </w:r>
    </w:p>
    <w:p w14:paraId="44A80637" w14:textId="77777777" w:rsidR="00BC5122" w:rsidRPr="003771D0" w:rsidRDefault="00BC5122" w:rsidP="003771D0">
      <w:pPr>
        <w:pStyle w:val="ListParagraph"/>
        <w:widowControl w:val="0"/>
        <w:numPr>
          <w:ilvl w:val="0"/>
          <w:numId w:val="119"/>
        </w:numPr>
        <w:tabs>
          <w:tab w:val="left" w:pos="1021"/>
          <w:tab w:val="left" w:pos="9270"/>
        </w:tabs>
        <w:autoSpaceDE w:val="0"/>
        <w:autoSpaceDN w:val="0"/>
        <w:ind w:left="0" w:right="26" w:firstLine="0"/>
        <w:jc w:val="both"/>
        <w:rPr>
          <w:rFonts w:ascii="Times New Roman" w:hAnsi="Times New Roman" w:cs="Times New Roman"/>
          <w:color w:val="000000" w:themeColor="text1"/>
          <w:sz w:val="24"/>
          <w:szCs w:val="24"/>
          <w:lang w:val="fr-FR"/>
        </w:rPr>
      </w:pPr>
      <w:r w:rsidRPr="003771D0">
        <w:rPr>
          <w:rFonts w:ascii="Times New Roman" w:hAnsi="Times New Roman" w:cs="Times New Roman"/>
          <w:b/>
          <w:color w:val="000000" w:themeColor="text1"/>
          <w:sz w:val="24"/>
          <w:szCs w:val="24"/>
          <w:lang w:val="fr-FR"/>
        </w:rPr>
        <w:t xml:space="preserve">Structurale: </w:t>
      </w:r>
      <w:proofErr w:type="spellStart"/>
      <w:r w:rsidRPr="003771D0">
        <w:rPr>
          <w:rFonts w:ascii="Times New Roman" w:hAnsi="Times New Roman" w:cs="Times New Roman"/>
          <w:color w:val="000000" w:themeColor="text1"/>
          <w:sz w:val="24"/>
          <w:szCs w:val="24"/>
          <w:lang w:val="fr-FR"/>
        </w:rPr>
        <w:t>tipuri</w:t>
      </w:r>
      <w:proofErr w:type="spellEnd"/>
      <w:r w:rsidRPr="003771D0">
        <w:rPr>
          <w:rFonts w:ascii="Times New Roman" w:hAnsi="Times New Roman" w:cs="Times New Roman"/>
          <w:color w:val="000000" w:themeColor="text1"/>
          <w:sz w:val="24"/>
          <w:szCs w:val="24"/>
          <w:lang w:val="fr-FR"/>
        </w:rPr>
        <w:t xml:space="preserve"> de </w:t>
      </w:r>
      <w:proofErr w:type="spellStart"/>
      <w:r w:rsidRPr="003771D0">
        <w:rPr>
          <w:rFonts w:ascii="Times New Roman" w:hAnsi="Times New Roman" w:cs="Times New Roman"/>
          <w:color w:val="000000" w:themeColor="text1"/>
          <w:sz w:val="24"/>
          <w:szCs w:val="24"/>
          <w:lang w:val="fr-FR"/>
        </w:rPr>
        <w:t>comunităţi</w:t>
      </w:r>
      <w:proofErr w:type="spellEnd"/>
      <w:r w:rsidRPr="003771D0">
        <w:rPr>
          <w:rFonts w:ascii="Times New Roman" w:hAnsi="Times New Roman" w:cs="Times New Roman"/>
          <w:color w:val="000000" w:themeColor="text1"/>
          <w:sz w:val="24"/>
          <w:szCs w:val="24"/>
          <w:lang w:val="fr-FR"/>
        </w:rPr>
        <w:t xml:space="preserve"> </w:t>
      </w:r>
      <w:proofErr w:type="spellStart"/>
      <w:r w:rsidRPr="003771D0">
        <w:rPr>
          <w:rFonts w:ascii="Times New Roman" w:hAnsi="Times New Roman" w:cs="Times New Roman"/>
          <w:color w:val="000000" w:themeColor="text1"/>
          <w:sz w:val="24"/>
          <w:szCs w:val="24"/>
          <w:lang w:val="fr-FR"/>
        </w:rPr>
        <w:t>vegetale</w:t>
      </w:r>
      <w:proofErr w:type="spellEnd"/>
      <w:r w:rsidRPr="003771D0">
        <w:rPr>
          <w:rFonts w:ascii="Times New Roman" w:hAnsi="Times New Roman" w:cs="Times New Roman"/>
          <w:color w:val="000000" w:themeColor="text1"/>
          <w:sz w:val="24"/>
          <w:szCs w:val="24"/>
          <w:lang w:val="fr-FR"/>
        </w:rPr>
        <w:t xml:space="preserve">, </w:t>
      </w:r>
      <w:proofErr w:type="spellStart"/>
      <w:r w:rsidRPr="003771D0">
        <w:rPr>
          <w:rFonts w:ascii="Times New Roman" w:hAnsi="Times New Roman" w:cs="Times New Roman"/>
          <w:color w:val="000000" w:themeColor="text1"/>
          <w:sz w:val="24"/>
          <w:szCs w:val="24"/>
          <w:lang w:val="fr-FR"/>
        </w:rPr>
        <w:t>prezenţa</w:t>
      </w:r>
      <w:proofErr w:type="spellEnd"/>
      <w:r w:rsidRPr="003771D0">
        <w:rPr>
          <w:rFonts w:ascii="Times New Roman" w:hAnsi="Times New Roman" w:cs="Times New Roman"/>
          <w:color w:val="000000" w:themeColor="text1"/>
          <w:sz w:val="24"/>
          <w:szCs w:val="24"/>
          <w:lang w:val="fr-FR"/>
        </w:rPr>
        <w:t xml:space="preserve"> </w:t>
      </w:r>
      <w:proofErr w:type="spellStart"/>
      <w:r w:rsidRPr="003771D0">
        <w:rPr>
          <w:rFonts w:ascii="Times New Roman" w:hAnsi="Times New Roman" w:cs="Times New Roman"/>
          <w:color w:val="000000" w:themeColor="text1"/>
          <w:sz w:val="24"/>
          <w:szCs w:val="24"/>
          <w:lang w:val="fr-FR"/>
        </w:rPr>
        <w:t>speciilor</w:t>
      </w:r>
      <w:proofErr w:type="spellEnd"/>
      <w:r w:rsidRPr="003771D0">
        <w:rPr>
          <w:rFonts w:ascii="Times New Roman" w:hAnsi="Times New Roman" w:cs="Times New Roman"/>
          <w:color w:val="000000" w:themeColor="text1"/>
          <w:sz w:val="24"/>
          <w:szCs w:val="24"/>
          <w:lang w:val="fr-FR"/>
        </w:rPr>
        <w:t xml:space="preserve"> </w:t>
      </w:r>
      <w:proofErr w:type="spellStart"/>
      <w:r w:rsidRPr="003771D0">
        <w:rPr>
          <w:rFonts w:ascii="Times New Roman" w:hAnsi="Times New Roman" w:cs="Times New Roman"/>
          <w:color w:val="000000" w:themeColor="text1"/>
          <w:sz w:val="24"/>
          <w:szCs w:val="24"/>
          <w:lang w:val="fr-FR"/>
        </w:rPr>
        <w:t>caracteristice</w:t>
      </w:r>
      <w:proofErr w:type="spellEnd"/>
      <w:r w:rsidRPr="003771D0">
        <w:rPr>
          <w:rFonts w:ascii="Times New Roman" w:hAnsi="Times New Roman" w:cs="Times New Roman"/>
          <w:color w:val="000000" w:themeColor="text1"/>
          <w:sz w:val="24"/>
          <w:szCs w:val="24"/>
          <w:lang w:val="fr-FR"/>
        </w:rPr>
        <w:t xml:space="preserve"> </w:t>
      </w:r>
      <w:proofErr w:type="spellStart"/>
      <w:r w:rsidRPr="003771D0">
        <w:rPr>
          <w:rFonts w:ascii="Times New Roman" w:hAnsi="Times New Roman" w:cs="Times New Roman"/>
          <w:color w:val="000000" w:themeColor="text1"/>
          <w:sz w:val="24"/>
          <w:szCs w:val="24"/>
          <w:lang w:val="fr-FR"/>
        </w:rPr>
        <w:t>altele</w:t>
      </w:r>
      <w:proofErr w:type="spellEnd"/>
      <w:r w:rsidRPr="003771D0">
        <w:rPr>
          <w:rFonts w:ascii="Times New Roman" w:hAnsi="Times New Roman" w:cs="Times New Roman"/>
          <w:color w:val="000000" w:themeColor="text1"/>
          <w:sz w:val="24"/>
          <w:szCs w:val="24"/>
          <w:lang w:val="fr-FR"/>
        </w:rPr>
        <w:t xml:space="preserve"> </w:t>
      </w:r>
      <w:proofErr w:type="spellStart"/>
      <w:r w:rsidRPr="003771D0">
        <w:rPr>
          <w:rFonts w:ascii="Times New Roman" w:hAnsi="Times New Roman" w:cs="Times New Roman"/>
          <w:color w:val="000000" w:themeColor="text1"/>
          <w:sz w:val="24"/>
          <w:szCs w:val="24"/>
          <w:lang w:val="fr-FR"/>
        </w:rPr>
        <w:t>decât</w:t>
      </w:r>
      <w:proofErr w:type="spellEnd"/>
      <w:r w:rsidRPr="003771D0">
        <w:rPr>
          <w:rFonts w:ascii="Times New Roman" w:hAnsi="Times New Roman" w:cs="Times New Roman"/>
          <w:color w:val="000000" w:themeColor="text1"/>
          <w:spacing w:val="1"/>
          <w:sz w:val="24"/>
          <w:szCs w:val="24"/>
          <w:lang w:val="fr-FR"/>
        </w:rPr>
        <w:t xml:space="preserve"> </w:t>
      </w:r>
      <w:proofErr w:type="spellStart"/>
      <w:r w:rsidRPr="003771D0">
        <w:rPr>
          <w:rFonts w:ascii="Times New Roman" w:hAnsi="Times New Roman" w:cs="Times New Roman"/>
          <w:color w:val="000000" w:themeColor="text1"/>
          <w:sz w:val="24"/>
          <w:szCs w:val="24"/>
          <w:lang w:val="fr-FR"/>
        </w:rPr>
        <w:t>cele</w:t>
      </w:r>
      <w:proofErr w:type="spellEnd"/>
      <w:r w:rsidRPr="003771D0">
        <w:rPr>
          <w:rFonts w:ascii="Times New Roman" w:hAnsi="Times New Roman" w:cs="Times New Roman"/>
          <w:color w:val="000000" w:themeColor="text1"/>
          <w:sz w:val="24"/>
          <w:szCs w:val="24"/>
          <w:lang w:val="fr-FR"/>
        </w:rPr>
        <w:t xml:space="preserve"> </w:t>
      </w:r>
      <w:proofErr w:type="spellStart"/>
      <w:r w:rsidRPr="003771D0">
        <w:rPr>
          <w:rFonts w:ascii="Times New Roman" w:hAnsi="Times New Roman" w:cs="Times New Roman"/>
          <w:color w:val="000000" w:themeColor="text1"/>
          <w:sz w:val="24"/>
          <w:szCs w:val="24"/>
          <w:lang w:val="fr-FR"/>
        </w:rPr>
        <w:t>edificatoare</w:t>
      </w:r>
      <w:proofErr w:type="spellEnd"/>
      <w:r w:rsidRPr="003771D0">
        <w:rPr>
          <w:rFonts w:ascii="Times New Roman" w:hAnsi="Times New Roman" w:cs="Times New Roman"/>
          <w:color w:val="000000" w:themeColor="text1"/>
          <w:sz w:val="24"/>
          <w:szCs w:val="24"/>
          <w:lang w:val="fr-FR"/>
        </w:rPr>
        <w:t xml:space="preserve"> (min x </w:t>
      </w:r>
      <w:proofErr w:type="spellStart"/>
      <w:r w:rsidRPr="003771D0">
        <w:rPr>
          <w:rFonts w:ascii="Times New Roman" w:hAnsi="Times New Roman" w:cs="Times New Roman"/>
          <w:color w:val="000000" w:themeColor="text1"/>
          <w:sz w:val="24"/>
          <w:szCs w:val="24"/>
          <w:lang w:val="fr-FR"/>
        </w:rPr>
        <w:t>specii</w:t>
      </w:r>
      <w:proofErr w:type="spellEnd"/>
      <w:r w:rsidRPr="003771D0">
        <w:rPr>
          <w:rFonts w:ascii="Times New Roman" w:hAnsi="Times New Roman" w:cs="Times New Roman"/>
          <w:color w:val="000000" w:themeColor="text1"/>
          <w:sz w:val="24"/>
          <w:szCs w:val="24"/>
          <w:lang w:val="fr-FR"/>
        </w:rPr>
        <w:t xml:space="preserve">), </w:t>
      </w:r>
      <w:proofErr w:type="spellStart"/>
      <w:r w:rsidRPr="003771D0">
        <w:rPr>
          <w:rFonts w:ascii="Times New Roman" w:hAnsi="Times New Roman" w:cs="Times New Roman"/>
          <w:color w:val="000000" w:themeColor="text1"/>
          <w:sz w:val="24"/>
          <w:szCs w:val="24"/>
          <w:lang w:val="fr-FR"/>
        </w:rPr>
        <w:t>bogăția</w:t>
      </w:r>
      <w:proofErr w:type="spellEnd"/>
      <w:r w:rsidRPr="003771D0">
        <w:rPr>
          <w:rFonts w:ascii="Times New Roman" w:hAnsi="Times New Roman" w:cs="Times New Roman"/>
          <w:color w:val="000000" w:themeColor="text1"/>
          <w:sz w:val="24"/>
          <w:szCs w:val="24"/>
          <w:lang w:val="fr-FR"/>
        </w:rPr>
        <w:t xml:space="preserve"> </w:t>
      </w:r>
      <w:proofErr w:type="spellStart"/>
      <w:r w:rsidRPr="003771D0">
        <w:rPr>
          <w:rFonts w:ascii="Times New Roman" w:hAnsi="Times New Roman" w:cs="Times New Roman"/>
          <w:color w:val="000000" w:themeColor="text1"/>
          <w:sz w:val="24"/>
          <w:szCs w:val="24"/>
          <w:lang w:val="fr-FR"/>
        </w:rPr>
        <w:t>specifică</w:t>
      </w:r>
      <w:proofErr w:type="spellEnd"/>
      <w:r w:rsidRPr="003771D0">
        <w:rPr>
          <w:rFonts w:ascii="Times New Roman" w:hAnsi="Times New Roman" w:cs="Times New Roman"/>
          <w:color w:val="000000" w:themeColor="text1"/>
          <w:sz w:val="24"/>
          <w:szCs w:val="24"/>
          <w:lang w:val="fr-FR"/>
        </w:rPr>
        <w:t xml:space="preserve">, </w:t>
      </w:r>
      <w:proofErr w:type="spellStart"/>
      <w:r w:rsidRPr="003771D0">
        <w:rPr>
          <w:rFonts w:ascii="Times New Roman" w:hAnsi="Times New Roman" w:cs="Times New Roman"/>
          <w:color w:val="000000" w:themeColor="text1"/>
          <w:sz w:val="24"/>
          <w:szCs w:val="24"/>
          <w:lang w:val="fr-FR"/>
        </w:rPr>
        <w:t>curbele</w:t>
      </w:r>
      <w:proofErr w:type="spellEnd"/>
      <w:r w:rsidRPr="003771D0">
        <w:rPr>
          <w:rFonts w:ascii="Times New Roman" w:hAnsi="Times New Roman" w:cs="Times New Roman"/>
          <w:color w:val="000000" w:themeColor="text1"/>
          <w:sz w:val="24"/>
          <w:szCs w:val="24"/>
          <w:lang w:val="fr-FR"/>
        </w:rPr>
        <w:t xml:space="preserve"> rang-</w:t>
      </w:r>
      <w:proofErr w:type="spellStart"/>
      <w:r w:rsidRPr="003771D0">
        <w:rPr>
          <w:rFonts w:ascii="Times New Roman" w:hAnsi="Times New Roman" w:cs="Times New Roman"/>
          <w:color w:val="000000" w:themeColor="text1"/>
          <w:sz w:val="24"/>
          <w:szCs w:val="24"/>
          <w:lang w:val="fr-FR"/>
        </w:rPr>
        <w:t>frecvenţă,specii</w:t>
      </w:r>
      <w:proofErr w:type="spellEnd"/>
      <w:r w:rsidRPr="003771D0">
        <w:rPr>
          <w:rFonts w:ascii="Times New Roman" w:hAnsi="Times New Roman" w:cs="Times New Roman"/>
          <w:color w:val="000000" w:themeColor="text1"/>
          <w:sz w:val="24"/>
          <w:szCs w:val="24"/>
          <w:lang w:val="fr-FR"/>
        </w:rPr>
        <w:t xml:space="preserve"> </w:t>
      </w:r>
      <w:proofErr w:type="spellStart"/>
      <w:r w:rsidRPr="003771D0">
        <w:rPr>
          <w:rFonts w:ascii="Times New Roman" w:hAnsi="Times New Roman" w:cs="Times New Roman"/>
          <w:color w:val="000000" w:themeColor="text1"/>
          <w:sz w:val="24"/>
          <w:szCs w:val="24"/>
          <w:lang w:val="fr-FR"/>
        </w:rPr>
        <w:t>cu</w:t>
      </w:r>
      <w:proofErr w:type="spellEnd"/>
      <w:r w:rsidRPr="003771D0">
        <w:rPr>
          <w:rFonts w:ascii="Times New Roman" w:hAnsi="Times New Roman" w:cs="Times New Roman"/>
          <w:color w:val="000000" w:themeColor="text1"/>
          <w:spacing w:val="1"/>
          <w:sz w:val="24"/>
          <w:szCs w:val="24"/>
          <w:lang w:val="fr-FR"/>
        </w:rPr>
        <w:t xml:space="preserve"> </w:t>
      </w:r>
      <w:proofErr w:type="spellStart"/>
      <w:r w:rsidRPr="003771D0">
        <w:rPr>
          <w:rFonts w:ascii="Times New Roman" w:hAnsi="Times New Roman" w:cs="Times New Roman"/>
          <w:color w:val="000000" w:themeColor="text1"/>
          <w:sz w:val="24"/>
          <w:szCs w:val="24"/>
          <w:lang w:val="fr-FR"/>
        </w:rPr>
        <w:t>valoare</w:t>
      </w:r>
      <w:proofErr w:type="spellEnd"/>
      <w:r w:rsidRPr="003771D0">
        <w:rPr>
          <w:rFonts w:ascii="Times New Roman" w:hAnsi="Times New Roman" w:cs="Times New Roman"/>
          <w:color w:val="000000" w:themeColor="text1"/>
          <w:sz w:val="24"/>
          <w:szCs w:val="24"/>
          <w:lang w:val="fr-FR"/>
        </w:rPr>
        <w:t xml:space="preserve"> </w:t>
      </w:r>
      <w:proofErr w:type="spellStart"/>
      <w:r w:rsidRPr="003771D0">
        <w:rPr>
          <w:rFonts w:ascii="Times New Roman" w:hAnsi="Times New Roman" w:cs="Times New Roman"/>
          <w:color w:val="000000" w:themeColor="text1"/>
          <w:sz w:val="24"/>
          <w:szCs w:val="24"/>
          <w:lang w:val="fr-FR"/>
        </w:rPr>
        <w:t>conservativă</w:t>
      </w:r>
      <w:proofErr w:type="spellEnd"/>
      <w:r w:rsidRPr="003771D0">
        <w:rPr>
          <w:rFonts w:ascii="Times New Roman" w:hAnsi="Times New Roman" w:cs="Times New Roman"/>
          <w:color w:val="000000" w:themeColor="text1"/>
          <w:sz w:val="24"/>
          <w:szCs w:val="24"/>
          <w:lang w:val="fr-FR"/>
        </w:rPr>
        <w:t xml:space="preserve"> (de </w:t>
      </w:r>
      <w:proofErr w:type="spellStart"/>
      <w:r w:rsidRPr="003771D0">
        <w:rPr>
          <w:rFonts w:ascii="Times New Roman" w:hAnsi="Times New Roman" w:cs="Times New Roman"/>
          <w:color w:val="000000" w:themeColor="text1"/>
          <w:sz w:val="24"/>
          <w:szCs w:val="24"/>
          <w:lang w:val="fr-FR"/>
        </w:rPr>
        <w:t>exemplu</w:t>
      </w:r>
      <w:proofErr w:type="spellEnd"/>
      <w:r w:rsidRPr="003771D0">
        <w:rPr>
          <w:rFonts w:ascii="Times New Roman" w:hAnsi="Times New Roman" w:cs="Times New Roman"/>
          <w:color w:val="000000" w:themeColor="text1"/>
          <w:sz w:val="24"/>
          <w:szCs w:val="24"/>
          <w:lang w:val="fr-FR"/>
        </w:rPr>
        <w:t xml:space="preserve"> rare, </w:t>
      </w:r>
      <w:proofErr w:type="spellStart"/>
      <w:r w:rsidRPr="003771D0">
        <w:rPr>
          <w:rFonts w:ascii="Times New Roman" w:hAnsi="Times New Roman" w:cs="Times New Roman"/>
          <w:color w:val="000000" w:themeColor="text1"/>
          <w:sz w:val="24"/>
          <w:szCs w:val="24"/>
          <w:lang w:val="fr-FR"/>
        </w:rPr>
        <w:t>vulnerabile</w:t>
      </w:r>
      <w:proofErr w:type="spellEnd"/>
      <w:r w:rsidRPr="003771D0">
        <w:rPr>
          <w:rFonts w:ascii="Times New Roman" w:hAnsi="Times New Roman" w:cs="Times New Roman"/>
          <w:color w:val="000000" w:themeColor="text1"/>
          <w:sz w:val="24"/>
          <w:szCs w:val="24"/>
          <w:lang w:val="fr-FR"/>
        </w:rPr>
        <w:t xml:space="preserve">, </w:t>
      </w:r>
      <w:proofErr w:type="spellStart"/>
      <w:r w:rsidRPr="003771D0">
        <w:rPr>
          <w:rFonts w:ascii="Times New Roman" w:hAnsi="Times New Roman" w:cs="Times New Roman"/>
          <w:color w:val="000000" w:themeColor="text1"/>
          <w:sz w:val="24"/>
          <w:szCs w:val="24"/>
          <w:lang w:val="fr-FR"/>
        </w:rPr>
        <w:t>ameninţate</w:t>
      </w:r>
      <w:proofErr w:type="spellEnd"/>
      <w:r w:rsidRPr="003771D0">
        <w:rPr>
          <w:rFonts w:ascii="Times New Roman" w:hAnsi="Times New Roman" w:cs="Times New Roman"/>
          <w:color w:val="000000" w:themeColor="text1"/>
          <w:sz w:val="24"/>
          <w:szCs w:val="24"/>
          <w:lang w:val="fr-FR"/>
        </w:rPr>
        <w:t xml:space="preserve"> etc.), </w:t>
      </w:r>
      <w:proofErr w:type="spellStart"/>
      <w:r w:rsidRPr="003771D0">
        <w:rPr>
          <w:rFonts w:ascii="Times New Roman" w:hAnsi="Times New Roman" w:cs="Times New Roman"/>
          <w:color w:val="000000" w:themeColor="text1"/>
          <w:sz w:val="24"/>
          <w:szCs w:val="24"/>
          <w:lang w:val="fr-FR"/>
        </w:rPr>
        <w:t>specii</w:t>
      </w:r>
      <w:proofErr w:type="spellEnd"/>
      <w:r w:rsidRPr="003771D0">
        <w:rPr>
          <w:rFonts w:ascii="Times New Roman" w:hAnsi="Times New Roman" w:cs="Times New Roman"/>
          <w:color w:val="000000" w:themeColor="text1"/>
          <w:sz w:val="24"/>
          <w:szCs w:val="24"/>
          <w:lang w:val="fr-FR"/>
        </w:rPr>
        <w:t xml:space="preserve"> </w:t>
      </w:r>
      <w:proofErr w:type="spellStart"/>
      <w:r w:rsidRPr="003771D0">
        <w:rPr>
          <w:rFonts w:ascii="Times New Roman" w:hAnsi="Times New Roman" w:cs="Times New Roman"/>
          <w:color w:val="000000" w:themeColor="text1"/>
          <w:sz w:val="24"/>
          <w:szCs w:val="24"/>
          <w:lang w:val="fr-FR"/>
        </w:rPr>
        <w:t>nedorite</w:t>
      </w:r>
      <w:proofErr w:type="spellEnd"/>
      <w:r w:rsidRPr="003771D0">
        <w:rPr>
          <w:rFonts w:ascii="Times New Roman" w:hAnsi="Times New Roman" w:cs="Times New Roman"/>
          <w:color w:val="000000" w:themeColor="text1"/>
          <w:sz w:val="24"/>
          <w:szCs w:val="24"/>
          <w:lang w:val="fr-FR"/>
        </w:rPr>
        <w:t xml:space="preserve"> (care</w:t>
      </w:r>
      <w:r w:rsidRPr="003771D0">
        <w:rPr>
          <w:rFonts w:ascii="Times New Roman" w:hAnsi="Times New Roman" w:cs="Times New Roman"/>
          <w:color w:val="000000" w:themeColor="text1"/>
          <w:spacing w:val="-57"/>
          <w:sz w:val="24"/>
          <w:szCs w:val="24"/>
          <w:lang w:val="fr-FR"/>
        </w:rPr>
        <w:t xml:space="preserve"> </w:t>
      </w:r>
      <w:proofErr w:type="spellStart"/>
      <w:r w:rsidRPr="003771D0">
        <w:rPr>
          <w:rFonts w:ascii="Times New Roman" w:hAnsi="Times New Roman" w:cs="Times New Roman"/>
          <w:color w:val="000000" w:themeColor="text1"/>
          <w:sz w:val="24"/>
          <w:szCs w:val="24"/>
          <w:lang w:val="fr-FR"/>
        </w:rPr>
        <w:t>să</w:t>
      </w:r>
      <w:proofErr w:type="spellEnd"/>
      <w:r w:rsidRPr="003771D0">
        <w:rPr>
          <w:rFonts w:ascii="Times New Roman" w:hAnsi="Times New Roman" w:cs="Times New Roman"/>
          <w:color w:val="000000" w:themeColor="text1"/>
          <w:spacing w:val="-2"/>
          <w:sz w:val="24"/>
          <w:szCs w:val="24"/>
          <w:lang w:val="fr-FR"/>
        </w:rPr>
        <w:t xml:space="preserve"> </w:t>
      </w:r>
      <w:r w:rsidRPr="003771D0">
        <w:rPr>
          <w:rFonts w:ascii="Times New Roman" w:hAnsi="Times New Roman" w:cs="Times New Roman"/>
          <w:color w:val="000000" w:themeColor="text1"/>
          <w:sz w:val="24"/>
          <w:szCs w:val="24"/>
          <w:lang w:val="fr-FR"/>
        </w:rPr>
        <w:t>nu</w:t>
      </w:r>
      <w:r w:rsidRPr="003771D0">
        <w:rPr>
          <w:rFonts w:ascii="Times New Roman" w:hAnsi="Times New Roman" w:cs="Times New Roman"/>
          <w:color w:val="000000" w:themeColor="text1"/>
          <w:spacing w:val="-1"/>
          <w:sz w:val="24"/>
          <w:szCs w:val="24"/>
          <w:lang w:val="fr-FR"/>
        </w:rPr>
        <w:t xml:space="preserve"> </w:t>
      </w:r>
      <w:proofErr w:type="spellStart"/>
      <w:r w:rsidRPr="003771D0">
        <w:rPr>
          <w:rFonts w:ascii="Times New Roman" w:hAnsi="Times New Roman" w:cs="Times New Roman"/>
          <w:color w:val="000000" w:themeColor="text1"/>
          <w:sz w:val="24"/>
          <w:szCs w:val="24"/>
          <w:lang w:val="fr-FR"/>
        </w:rPr>
        <w:t>acopere</w:t>
      </w:r>
      <w:proofErr w:type="spellEnd"/>
      <w:r w:rsidRPr="003771D0">
        <w:rPr>
          <w:rFonts w:ascii="Times New Roman" w:hAnsi="Times New Roman" w:cs="Times New Roman"/>
          <w:color w:val="000000" w:themeColor="text1"/>
          <w:spacing w:val="-3"/>
          <w:sz w:val="24"/>
          <w:szCs w:val="24"/>
          <w:lang w:val="fr-FR"/>
        </w:rPr>
        <w:t xml:space="preserve"> </w:t>
      </w:r>
      <w:r w:rsidRPr="003771D0">
        <w:rPr>
          <w:rFonts w:ascii="Times New Roman" w:hAnsi="Times New Roman" w:cs="Times New Roman"/>
          <w:color w:val="000000" w:themeColor="text1"/>
          <w:sz w:val="24"/>
          <w:szCs w:val="24"/>
          <w:lang w:val="fr-FR"/>
        </w:rPr>
        <w:t>mai</w:t>
      </w:r>
      <w:r w:rsidRPr="003771D0">
        <w:rPr>
          <w:rFonts w:ascii="Times New Roman" w:hAnsi="Times New Roman" w:cs="Times New Roman"/>
          <w:color w:val="000000" w:themeColor="text1"/>
          <w:spacing w:val="-1"/>
          <w:sz w:val="24"/>
          <w:szCs w:val="24"/>
          <w:lang w:val="fr-FR"/>
        </w:rPr>
        <w:t xml:space="preserve"> </w:t>
      </w:r>
      <w:proofErr w:type="spellStart"/>
      <w:r w:rsidRPr="003771D0">
        <w:rPr>
          <w:rFonts w:ascii="Times New Roman" w:hAnsi="Times New Roman" w:cs="Times New Roman"/>
          <w:color w:val="000000" w:themeColor="text1"/>
          <w:sz w:val="24"/>
          <w:szCs w:val="24"/>
          <w:lang w:val="fr-FR"/>
        </w:rPr>
        <w:t>mult</w:t>
      </w:r>
      <w:proofErr w:type="spellEnd"/>
      <w:r w:rsidRPr="003771D0">
        <w:rPr>
          <w:rFonts w:ascii="Times New Roman" w:hAnsi="Times New Roman" w:cs="Times New Roman"/>
          <w:color w:val="000000" w:themeColor="text1"/>
          <w:spacing w:val="-1"/>
          <w:sz w:val="24"/>
          <w:szCs w:val="24"/>
          <w:lang w:val="fr-FR"/>
        </w:rPr>
        <w:t xml:space="preserve"> </w:t>
      </w:r>
      <w:r w:rsidRPr="003771D0">
        <w:rPr>
          <w:rFonts w:ascii="Times New Roman" w:hAnsi="Times New Roman" w:cs="Times New Roman"/>
          <w:color w:val="000000" w:themeColor="text1"/>
          <w:sz w:val="24"/>
          <w:szCs w:val="24"/>
          <w:lang w:val="fr-FR"/>
        </w:rPr>
        <w:t>de</w:t>
      </w:r>
      <w:r w:rsidRPr="003771D0">
        <w:rPr>
          <w:rFonts w:ascii="Times New Roman" w:hAnsi="Times New Roman" w:cs="Times New Roman"/>
          <w:color w:val="000000" w:themeColor="text1"/>
          <w:spacing w:val="-2"/>
          <w:sz w:val="24"/>
          <w:szCs w:val="24"/>
          <w:lang w:val="fr-FR"/>
        </w:rPr>
        <w:t xml:space="preserve"> </w:t>
      </w:r>
      <w:r w:rsidRPr="003771D0">
        <w:rPr>
          <w:rFonts w:ascii="Times New Roman" w:hAnsi="Times New Roman" w:cs="Times New Roman"/>
          <w:color w:val="000000" w:themeColor="text1"/>
          <w:sz w:val="24"/>
          <w:szCs w:val="24"/>
          <w:lang w:val="fr-FR"/>
        </w:rPr>
        <w:t>x%</w:t>
      </w:r>
      <w:r w:rsidRPr="003771D0">
        <w:rPr>
          <w:rFonts w:ascii="Times New Roman" w:hAnsi="Times New Roman" w:cs="Times New Roman"/>
          <w:color w:val="000000" w:themeColor="text1"/>
          <w:spacing w:val="-2"/>
          <w:sz w:val="24"/>
          <w:szCs w:val="24"/>
          <w:lang w:val="fr-FR"/>
        </w:rPr>
        <w:t xml:space="preserve"> </w:t>
      </w:r>
      <w:proofErr w:type="spellStart"/>
      <w:r w:rsidRPr="003771D0">
        <w:rPr>
          <w:rFonts w:ascii="Times New Roman" w:hAnsi="Times New Roman" w:cs="Times New Roman"/>
          <w:color w:val="000000" w:themeColor="text1"/>
          <w:sz w:val="24"/>
          <w:szCs w:val="24"/>
          <w:lang w:val="fr-FR"/>
        </w:rPr>
        <w:t>din</w:t>
      </w:r>
      <w:proofErr w:type="spellEnd"/>
      <w:r w:rsidRPr="003771D0">
        <w:rPr>
          <w:rFonts w:ascii="Times New Roman" w:hAnsi="Times New Roman" w:cs="Times New Roman"/>
          <w:color w:val="000000" w:themeColor="text1"/>
          <w:spacing w:val="-1"/>
          <w:sz w:val="24"/>
          <w:szCs w:val="24"/>
          <w:lang w:val="fr-FR"/>
        </w:rPr>
        <w:t xml:space="preserve"> </w:t>
      </w:r>
      <w:proofErr w:type="spellStart"/>
      <w:r w:rsidRPr="003771D0">
        <w:rPr>
          <w:rFonts w:ascii="Times New Roman" w:hAnsi="Times New Roman" w:cs="Times New Roman"/>
          <w:color w:val="000000" w:themeColor="text1"/>
          <w:sz w:val="24"/>
          <w:szCs w:val="24"/>
          <w:lang w:val="fr-FR"/>
        </w:rPr>
        <w:t>suprafţa</w:t>
      </w:r>
      <w:proofErr w:type="spellEnd"/>
      <w:r w:rsidRPr="003771D0">
        <w:rPr>
          <w:rFonts w:ascii="Times New Roman" w:hAnsi="Times New Roman" w:cs="Times New Roman"/>
          <w:color w:val="000000" w:themeColor="text1"/>
          <w:spacing w:val="-3"/>
          <w:sz w:val="24"/>
          <w:szCs w:val="24"/>
          <w:lang w:val="fr-FR"/>
        </w:rPr>
        <w:t xml:space="preserve"> </w:t>
      </w:r>
      <w:proofErr w:type="spellStart"/>
      <w:r w:rsidRPr="003771D0">
        <w:rPr>
          <w:rFonts w:ascii="Times New Roman" w:hAnsi="Times New Roman" w:cs="Times New Roman"/>
          <w:color w:val="000000" w:themeColor="text1"/>
          <w:sz w:val="24"/>
          <w:szCs w:val="24"/>
          <w:lang w:val="fr-FR"/>
        </w:rPr>
        <w:t>habitatului</w:t>
      </w:r>
      <w:proofErr w:type="spellEnd"/>
      <w:r w:rsidRPr="003771D0">
        <w:rPr>
          <w:rFonts w:ascii="Times New Roman" w:hAnsi="Times New Roman" w:cs="Times New Roman"/>
          <w:color w:val="000000" w:themeColor="text1"/>
          <w:sz w:val="24"/>
          <w:szCs w:val="24"/>
          <w:lang w:val="fr-FR"/>
        </w:rPr>
        <w:t>/</w:t>
      </w:r>
      <w:proofErr w:type="spellStart"/>
      <w:r w:rsidRPr="003771D0">
        <w:rPr>
          <w:rFonts w:ascii="Times New Roman" w:hAnsi="Times New Roman" w:cs="Times New Roman"/>
          <w:color w:val="000000" w:themeColor="text1"/>
          <w:sz w:val="24"/>
          <w:szCs w:val="24"/>
          <w:lang w:val="fr-FR"/>
        </w:rPr>
        <w:t>fragmentului</w:t>
      </w:r>
      <w:proofErr w:type="spellEnd"/>
      <w:r w:rsidRPr="003771D0">
        <w:rPr>
          <w:rFonts w:ascii="Times New Roman" w:hAnsi="Times New Roman" w:cs="Times New Roman"/>
          <w:color w:val="000000" w:themeColor="text1"/>
          <w:sz w:val="24"/>
          <w:szCs w:val="24"/>
          <w:lang w:val="fr-FR"/>
        </w:rPr>
        <w:t xml:space="preserve"> de</w:t>
      </w:r>
      <w:r w:rsidRPr="003771D0">
        <w:rPr>
          <w:rFonts w:ascii="Times New Roman" w:hAnsi="Times New Roman" w:cs="Times New Roman"/>
          <w:color w:val="000000" w:themeColor="text1"/>
          <w:spacing w:val="-1"/>
          <w:sz w:val="24"/>
          <w:szCs w:val="24"/>
          <w:lang w:val="fr-FR"/>
        </w:rPr>
        <w:t xml:space="preserve"> </w:t>
      </w:r>
      <w:r w:rsidRPr="003771D0">
        <w:rPr>
          <w:rFonts w:ascii="Times New Roman" w:hAnsi="Times New Roman" w:cs="Times New Roman"/>
          <w:color w:val="000000" w:themeColor="text1"/>
          <w:sz w:val="24"/>
          <w:szCs w:val="24"/>
          <w:lang w:val="fr-FR"/>
        </w:rPr>
        <w:t>habitat,</w:t>
      </w:r>
      <w:r w:rsidRPr="003771D0">
        <w:rPr>
          <w:rFonts w:ascii="Times New Roman" w:hAnsi="Times New Roman" w:cs="Times New Roman"/>
          <w:color w:val="000000" w:themeColor="text1"/>
          <w:spacing w:val="-1"/>
          <w:sz w:val="24"/>
          <w:szCs w:val="24"/>
          <w:lang w:val="fr-FR"/>
        </w:rPr>
        <w:t xml:space="preserve"> </w:t>
      </w:r>
      <w:proofErr w:type="spellStart"/>
      <w:r w:rsidRPr="003771D0">
        <w:rPr>
          <w:rFonts w:ascii="Times New Roman" w:hAnsi="Times New Roman" w:cs="Times New Roman"/>
          <w:color w:val="000000" w:themeColor="text1"/>
          <w:sz w:val="24"/>
          <w:szCs w:val="24"/>
          <w:lang w:val="fr-FR"/>
        </w:rPr>
        <w:t>acoperirea</w:t>
      </w:r>
      <w:proofErr w:type="spellEnd"/>
      <w:r w:rsidRPr="003771D0">
        <w:rPr>
          <w:rFonts w:ascii="Times New Roman" w:hAnsi="Times New Roman" w:cs="Times New Roman"/>
          <w:color w:val="000000" w:themeColor="text1"/>
          <w:spacing w:val="-57"/>
          <w:sz w:val="24"/>
          <w:szCs w:val="24"/>
          <w:lang w:val="fr-FR"/>
        </w:rPr>
        <w:t xml:space="preserve"> </w:t>
      </w:r>
      <w:proofErr w:type="spellStart"/>
      <w:r w:rsidRPr="003771D0">
        <w:rPr>
          <w:rFonts w:ascii="Times New Roman" w:hAnsi="Times New Roman" w:cs="Times New Roman"/>
          <w:color w:val="000000" w:themeColor="text1"/>
          <w:sz w:val="24"/>
          <w:szCs w:val="24"/>
          <w:lang w:val="fr-FR"/>
        </w:rPr>
        <w:t>cu</w:t>
      </w:r>
      <w:proofErr w:type="spellEnd"/>
      <w:r w:rsidRPr="003771D0">
        <w:rPr>
          <w:rFonts w:ascii="Times New Roman" w:hAnsi="Times New Roman" w:cs="Times New Roman"/>
          <w:color w:val="000000" w:themeColor="text1"/>
          <w:spacing w:val="-1"/>
          <w:sz w:val="24"/>
          <w:szCs w:val="24"/>
          <w:lang w:val="fr-FR"/>
        </w:rPr>
        <w:t xml:space="preserve"> </w:t>
      </w:r>
      <w:proofErr w:type="spellStart"/>
      <w:r w:rsidRPr="003771D0">
        <w:rPr>
          <w:rFonts w:ascii="Times New Roman" w:hAnsi="Times New Roman" w:cs="Times New Roman"/>
          <w:color w:val="000000" w:themeColor="text1"/>
          <w:sz w:val="24"/>
          <w:szCs w:val="24"/>
          <w:lang w:val="fr-FR"/>
        </w:rPr>
        <w:t>teren</w:t>
      </w:r>
      <w:proofErr w:type="spellEnd"/>
      <w:r w:rsidRPr="003771D0">
        <w:rPr>
          <w:rFonts w:ascii="Times New Roman" w:hAnsi="Times New Roman" w:cs="Times New Roman"/>
          <w:color w:val="000000" w:themeColor="text1"/>
          <w:spacing w:val="-1"/>
          <w:sz w:val="24"/>
          <w:szCs w:val="24"/>
          <w:lang w:val="fr-FR"/>
        </w:rPr>
        <w:t xml:space="preserve"> </w:t>
      </w:r>
      <w:proofErr w:type="spellStart"/>
      <w:r w:rsidRPr="003771D0">
        <w:rPr>
          <w:rFonts w:ascii="Times New Roman" w:hAnsi="Times New Roman" w:cs="Times New Roman"/>
          <w:color w:val="000000" w:themeColor="text1"/>
          <w:sz w:val="24"/>
          <w:szCs w:val="24"/>
          <w:lang w:val="fr-FR"/>
        </w:rPr>
        <w:t>nud</w:t>
      </w:r>
      <w:proofErr w:type="spellEnd"/>
      <w:r w:rsidRPr="003771D0">
        <w:rPr>
          <w:rFonts w:ascii="Times New Roman" w:hAnsi="Times New Roman" w:cs="Times New Roman"/>
          <w:color w:val="000000" w:themeColor="text1"/>
          <w:spacing w:val="1"/>
          <w:sz w:val="24"/>
          <w:szCs w:val="24"/>
          <w:lang w:val="fr-FR"/>
        </w:rPr>
        <w:t xml:space="preserve"> </w:t>
      </w:r>
      <w:r w:rsidRPr="003771D0">
        <w:rPr>
          <w:rFonts w:ascii="Times New Roman" w:hAnsi="Times New Roman" w:cs="Times New Roman"/>
          <w:color w:val="000000" w:themeColor="text1"/>
          <w:sz w:val="24"/>
          <w:szCs w:val="24"/>
          <w:lang w:val="fr-FR"/>
        </w:rPr>
        <w:t>(</w:t>
      </w:r>
      <w:proofErr w:type="spellStart"/>
      <w:r w:rsidRPr="003771D0">
        <w:rPr>
          <w:rFonts w:ascii="Times New Roman" w:hAnsi="Times New Roman" w:cs="Times New Roman"/>
          <w:color w:val="000000" w:themeColor="text1"/>
          <w:sz w:val="24"/>
          <w:szCs w:val="24"/>
          <w:lang w:val="fr-FR"/>
        </w:rPr>
        <w:t>eroziuni</w:t>
      </w:r>
      <w:proofErr w:type="spellEnd"/>
      <w:r w:rsidRPr="003771D0">
        <w:rPr>
          <w:rFonts w:ascii="Times New Roman" w:hAnsi="Times New Roman" w:cs="Times New Roman"/>
          <w:color w:val="000000" w:themeColor="text1"/>
          <w:sz w:val="24"/>
          <w:szCs w:val="24"/>
          <w:lang w:val="fr-FR"/>
        </w:rPr>
        <w:t xml:space="preserve">), </w:t>
      </w:r>
      <w:proofErr w:type="spellStart"/>
      <w:r w:rsidRPr="003771D0">
        <w:rPr>
          <w:rFonts w:ascii="Times New Roman" w:hAnsi="Times New Roman" w:cs="Times New Roman"/>
          <w:color w:val="000000" w:themeColor="text1"/>
          <w:sz w:val="24"/>
          <w:szCs w:val="24"/>
          <w:lang w:val="fr-FR"/>
        </w:rPr>
        <w:t>grosimea</w:t>
      </w:r>
      <w:proofErr w:type="spellEnd"/>
      <w:r w:rsidRPr="003771D0">
        <w:rPr>
          <w:rFonts w:ascii="Times New Roman" w:hAnsi="Times New Roman" w:cs="Times New Roman"/>
          <w:color w:val="000000" w:themeColor="text1"/>
          <w:spacing w:val="-2"/>
          <w:sz w:val="24"/>
          <w:szCs w:val="24"/>
          <w:lang w:val="fr-FR"/>
        </w:rPr>
        <w:t xml:space="preserve"> </w:t>
      </w:r>
      <w:proofErr w:type="spellStart"/>
      <w:r w:rsidRPr="003771D0">
        <w:rPr>
          <w:rFonts w:ascii="Times New Roman" w:hAnsi="Times New Roman" w:cs="Times New Roman"/>
          <w:color w:val="000000" w:themeColor="text1"/>
          <w:sz w:val="24"/>
          <w:szCs w:val="24"/>
          <w:lang w:val="fr-FR"/>
        </w:rPr>
        <w:t>stratului</w:t>
      </w:r>
      <w:proofErr w:type="spellEnd"/>
      <w:r w:rsidRPr="003771D0">
        <w:rPr>
          <w:rFonts w:ascii="Times New Roman" w:hAnsi="Times New Roman" w:cs="Times New Roman"/>
          <w:color w:val="000000" w:themeColor="text1"/>
          <w:spacing w:val="-1"/>
          <w:sz w:val="24"/>
          <w:szCs w:val="24"/>
          <w:lang w:val="fr-FR"/>
        </w:rPr>
        <w:t xml:space="preserve"> </w:t>
      </w:r>
      <w:r w:rsidRPr="003771D0">
        <w:rPr>
          <w:rFonts w:ascii="Times New Roman" w:hAnsi="Times New Roman" w:cs="Times New Roman"/>
          <w:color w:val="000000" w:themeColor="text1"/>
          <w:sz w:val="24"/>
          <w:szCs w:val="24"/>
          <w:lang w:val="fr-FR"/>
        </w:rPr>
        <w:t>de</w:t>
      </w:r>
      <w:r w:rsidRPr="003771D0">
        <w:rPr>
          <w:rFonts w:ascii="Times New Roman" w:hAnsi="Times New Roman" w:cs="Times New Roman"/>
          <w:color w:val="000000" w:themeColor="text1"/>
          <w:spacing w:val="-1"/>
          <w:sz w:val="24"/>
          <w:szCs w:val="24"/>
          <w:lang w:val="fr-FR"/>
        </w:rPr>
        <w:t xml:space="preserve"> </w:t>
      </w:r>
      <w:proofErr w:type="spellStart"/>
      <w:r w:rsidRPr="003771D0">
        <w:rPr>
          <w:rFonts w:ascii="Times New Roman" w:hAnsi="Times New Roman" w:cs="Times New Roman"/>
          <w:color w:val="000000" w:themeColor="text1"/>
          <w:sz w:val="24"/>
          <w:szCs w:val="24"/>
          <w:lang w:val="fr-FR"/>
        </w:rPr>
        <w:t>litieră</w:t>
      </w:r>
      <w:proofErr w:type="spellEnd"/>
      <w:r w:rsidRPr="003771D0">
        <w:rPr>
          <w:rFonts w:ascii="Times New Roman" w:hAnsi="Times New Roman" w:cs="Times New Roman"/>
          <w:color w:val="000000" w:themeColor="text1"/>
          <w:spacing w:val="-2"/>
          <w:sz w:val="24"/>
          <w:szCs w:val="24"/>
          <w:lang w:val="fr-FR"/>
        </w:rPr>
        <w:t xml:space="preserve"> </w:t>
      </w:r>
      <w:r w:rsidRPr="003771D0">
        <w:rPr>
          <w:rFonts w:ascii="Times New Roman" w:hAnsi="Times New Roman" w:cs="Times New Roman"/>
          <w:color w:val="000000" w:themeColor="text1"/>
          <w:sz w:val="24"/>
          <w:szCs w:val="24"/>
          <w:lang w:val="fr-FR"/>
        </w:rPr>
        <w:t>(</w:t>
      </w:r>
      <w:proofErr w:type="spellStart"/>
      <w:r w:rsidRPr="003771D0">
        <w:rPr>
          <w:rFonts w:ascii="Times New Roman" w:hAnsi="Times New Roman" w:cs="Times New Roman"/>
          <w:color w:val="000000" w:themeColor="text1"/>
          <w:sz w:val="24"/>
          <w:szCs w:val="24"/>
          <w:lang w:val="fr-FR"/>
        </w:rPr>
        <w:t>în</w:t>
      </w:r>
      <w:proofErr w:type="spellEnd"/>
      <w:r w:rsidRPr="003771D0">
        <w:rPr>
          <w:rFonts w:ascii="Times New Roman" w:hAnsi="Times New Roman" w:cs="Times New Roman"/>
          <w:color w:val="000000" w:themeColor="text1"/>
          <w:spacing w:val="-1"/>
          <w:sz w:val="24"/>
          <w:szCs w:val="24"/>
          <w:lang w:val="fr-FR"/>
        </w:rPr>
        <w:t xml:space="preserve"> </w:t>
      </w:r>
      <w:proofErr w:type="spellStart"/>
      <w:r w:rsidRPr="003771D0">
        <w:rPr>
          <w:rFonts w:ascii="Times New Roman" w:hAnsi="Times New Roman" w:cs="Times New Roman"/>
          <w:color w:val="000000" w:themeColor="text1"/>
          <w:sz w:val="24"/>
          <w:szCs w:val="24"/>
          <w:lang w:val="fr-FR"/>
        </w:rPr>
        <w:t>cazul</w:t>
      </w:r>
      <w:proofErr w:type="spellEnd"/>
      <w:r w:rsidRPr="003771D0">
        <w:rPr>
          <w:rFonts w:ascii="Times New Roman" w:hAnsi="Times New Roman" w:cs="Times New Roman"/>
          <w:color w:val="000000" w:themeColor="text1"/>
          <w:sz w:val="24"/>
          <w:szCs w:val="24"/>
          <w:lang w:val="fr-FR"/>
        </w:rPr>
        <w:t xml:space="preserve"> </w:t>
      </w:r>
      <w:proofErr w:type="spellStart"/>
      <w:r w:rsidRPr="003771D0">
        <w:rPr>
          <w:rFonts w:ascii="Times New Roman" w:hAnsi="Times New Roman" w:cs="Times New Roman"/>
          <w:color w:val="000000" w:themeColor="text1"/>
          <w:sz w:val="24"/>
          <w:szCs w:val="24"/>
          <w:lang w:val="fr-FR"/>
        </w:rPr>
        <w:t>habitatelor</w:t>
      </w:r>
      <w:proofErr w:type="spellEnd"/>
      <w:r w:rsidRPr="003771D0">
        <w:rPr>
          <w:rFonts w:ascii="Times New Roman" w:hAnsi="Times New Roman" w:cs="Times New Roman"/>
          <w:color w:val="000000" w:themeColor="text1"/>
          <w:spacing w:val="-1"/>
          <w:sz w:val="24"/>
          <w:szCs w:val="24"/>
          <w:lang w:val="fr-FR"/>
        </w:rPr>
        <w:t xml:space="preserve"> </w:t>
      </w:r>
      <w:r w:rsidRPr="003771D0">
        <w:rPr>
          <w:rFonts w:ascii="Times New Roman" w:hAnsi="Times New Roman" w:cs="Times New Roman"/>
          <w:color w:val="000000" w:themeColor="text1"/>
          <w:sz w:val="24"/>
          <w:szCs w:val="24"/>
          <w:lang w:val="fr-FR"/>
        </w:rPr>
        <w:t>de</w:t>
      </w:r>
      <w:r w:rsidRPr="003771D0">
        <w:rPr>
          <w:rFonts w:ascii="Times New Roman" w:hAnsi="Times New Roman" w:cs="Times New Roman"/>
          <w:color w:val="000000" w:themeColor="text1"/>
          <w:spacing w:val="-1"/>
          <w:sz w:val="24"/>
          <w:szCs w:val="24"/>
          <w:lang w:val="fr-FR"/>
        </w:rPr>
        <w:t xml:space="preserve"> </w:t>
      </w:r>
      <w:proofErr w:type="spellStart"/>
      <w:r w:rsidRPr="003771D0">
        <w:rPr>
          <w:rFonts w:ascii="Times New Roman" w:hAnsi="Times New Roman" w:cs="Times New Roman"/>
          <w:color w:val="000000" w:themeColor="text1"/>
          <w:sz w:val="24"/>
          <w:szCs w:val="24"/>
          <w:lang w:val="fr-FR"/>
        </w:rPr>
        <w:t>pajişti</w:t>
      </w:r>
      <w:proofErr w:type="spellEnd"/>
      <w:r w:rsidRPr="003771D0">
        <w:rPr>
          <w:rFonts w:ascii="Times New Roman" w:hAnsi="Times New Roman" w:cs="Times New Roman"/>
          <w:color w:val="000000" w:themeColor="text1"/>
          <w:sz w:val="24"/>
          <w:szCs w:val="24"/>
          <w:lang w:val="fr-FR"/>
        </w:rPr>
        <w:t>)</w:t>
      </w:r>
      <w:r w:rsidRPr="003771D0">
        <w:rPr>
          <w:rFonts w:ascii="Times New Roman" w:hAnsi="Times New Roman" w:cs="Times New Roman"/>
          <w:color w:val="000000" w:themeColor="text1"/>
          <w:spacing w:val="-1"/>
          <w:sz w:val="24"/>
          <w:szCs w:val="24"/>
          <w:lang w:val="fr-FR"/>
        </w:rPr>
        <w:t xml:space="preserve"> </w:t>
      </w:r>
      <w:r w:rsidRPr="003771D0">
        <w:rPr>
          <w:rFonts w:ascii="Times New Roman" w:hAnsi="Times New Roman" w:cs="Times New Roman"/>
          <w:color w:val="000000" w:themeColor="text1"/>
          <w:sz w:val="24"/>
          <w:szCs w:val="24"/>
          <w:lang w:val="fr-FR"/>
        </w:rPr>
        <w:t>etc.</w:t>
      </w:r>
    </w:p>
    <w:p w14:paraId="7D0333E9" w14:textId="77777777" w:rsidR="00BC5122" w:rsidRPr="003771D0" w:rsidRDefault="00BC5122" w:rsidP="003771D0">
      <w:pPr>
        <w:pStyle w:val="ListParagraph"/>
        <w:widowControl w:val="0"/>
        <w:numPr>
          <w:ilvl w:val="0"/>
          <w:numId w:val="119"/>
        </w:numPr>
        <w:tabs>
          <w:tab w:val="left" w:pos="1021"/>
          <w:tab w:val="left" w:pos="9270"/>
        </w:tabs>
        <w:autoSpaceDE w:val="0"/>
        <w:autoSpaceDN w:val="0"/>
        <w:ind w:left="0" w:right="26" w:firstLine="0"/>
        <w:jc w:val="both"/>
        <w:rPr>
          <w:rFonts w:ascii="Times New Roman" w:hAnsi="Times New Roman" w:cs="Times New Roman"/>
          <w:color w:val="000000" w:themeColor="text1"/>
          <w:sz w:val="24"/>
          <w:szCs w:val="24"/>
          <w:lang w:val="fr-FR"/>
        </w:rPr>
      </w:pPr>
      <w:proofErr w:type="spellStart"/>
      <w:r w:rsidRPr="003771D0">
        <w:rPr>
          <w:rFonts w:ascii="Times New Roman" w:hAnsi="Times New Roman" w:cs="Times New Roman"/>
          <w:b/>
          <w:color w:val="000000" w:themeColor="text1"/>
          <w:sz w:val="24"/>
          <w:szCs w:val="24"/>
          <w:lang w:val="fr-FR"/>
        </w:rPr>
        <w:t>Dinamice</w:t>
      </w:r>
      <w:proofErr w:type="spellEnd"/>
      <w:r w:rsidRPr="003771D0">
        <w:rPr>
          <w:rFonts w:ascii="Times New Roman" w:hAnsi="Times New Roman" w:cs="Times New Roman"/>
          <w:b/>
          <w:color w:val="000000" w:themeColor="text1"/>
          <w:sz w:val="24"/>
          <w:szCs w:val="24"/>
          <w:lang w:val="fr-FR"/>
        </w:rPr>
        <w:t>:</w:t>
      </w:r>
      <w:r w:rsidRPr="003771D0">
        <w:rPr>
          <w:rFonts w:ascii="Times New Roman" w:hAnsi="Times New Roman" w:cs="Times New Roman"/>
          <w:b/>
          <w:color w:val="000000" w:themeColor="text1"/>
          <w:spacing w:val="-3"/>
          <w:sz w:val="24"/>
          <w:szCs w:val="24"/>
          <w:lang w:val="fr-FR"/>
        </w:rPr>
        <w:t xml:space="preserve"> </w:t>
      </w:r>
      <w:proofErr w:type="spellStart"/>
      <w:r w:rsidRPr="003771D0">
        <w:rPr>
          <w:rFonts w:ascii="Times New Roman" w:hAnsi="Times New Roman" w:cs="Times New Roman"/>
          <w:color w:val="000000" w:themeColor="text1"/>
          <w:sz w:val="24"/>
          <w:szCs w:val="24"/>
          <w:lang w:val="fr-FR"/>
        </w:rPr>
        <w:t>capacitatea</w:t>
      </w:r>
      <w:proofErr w:type="spellEnd"/>
      <w:r w:rsidRPr="003771D0">
        <w:rPr>
          <w:rFonts w:ascii="Times New Roman" w:hAnsi="Times New Roman" w:cs="Times New Roman"/>
          <w:color w:val="000000" w:themeColor="text1"/>
          <w:spacing w:val="-2"/>
          <w:sz w:val="24"/>
          <w:szCs w:val="24"/>
          <w:lang w:val="fr-FR"/>
        </w:rPr>
        <w:t xml:space="preserve"> </w:t>
      </w:r>
      <w:r w:rsidRPr="003771D0">
        <w:rPr>
          <w:rFonts w:ascii="Times New Roman" w:hAnsi="Times New Roman" w:cs="Times New Roman"/>
          <w:color w:val="000000" w:themeColor="text1"/>
          <w:sz w:val="24"/>
          <w:szCs w:val="24"/>
          <w:lang w:val="fr-FR"/>
        </w:rPr>
        <w:t>de</w:t>
      </w:r>
      <w:r w:rsidRPr="003771D0">
        <w:rPr>
          <w:rFonts w:ascii="Times New Roman" w:hAnsi="Times New Roman" w:cs="Times New Roman"/>
          <w:color w:val="000000" w:themeColor="text1"/>
          <w:spacing w:val="-2"/>
          <w:sz w:val="24"/>
          <w:szCs w:val="24"/>
          <w:lang w:val="fr-FR"/>
        </w:rPr>
        <w:t xml:space="preserve"> </w:t>
      </w:r>
      <w:proofErr w:type="spellStart"/>
      <w:r w:rsidRPr="003771D0">
        <w:rPr>
          <w:rFonts w:ascii="Times New Roman" w:hAnsi="Times New Roman" w:cs="Times New Roman"/>
          <w:color w:val="000000" w:themeColor="text1"/>
          <w:sz w:val="24"/>
          <w:szCs w:val="24"/>
          <w:lang w:val="fr-FR"/>
        </w:rPr>
        <w:t>rezilienţă</w:t>
      </w:r>
      <w:proofErr w:type="spellEnd"/>
      <w:r w:rsidRPr="003771D0">
        <w:rPr>
          <w:rFonts w:ascii="Times New Roman" w:hAnsi="Times New Roman" w:cs="Times New Roman"/>
          <w:color w:val="000000" w:themeColor="text1"/>
          <w:sz w:val="24"/>
          <w:szCs w:val="24"/>
          <w:lang w:val="fr-FR"/>
        </w:rPr>
        <w:t>,</w:t>
      </w:r>
      <w:r w:rsidRPr="003771D0">
        <w:rPr>
          <w:rFonts w:ascii="Times New Roman" w:hAnsi="Times New Roman" w:cs="Times New Roman"/>
          <w:color w:val="000000" w:themeColor="text1"/>
          <w:spacing w:val="-2"/>
          <w:sz w:val="24"/>
          <w:szCs w:val="24"/>
          <w:lang w:val="fr-FR"/>
        </w:rPr>
        <w:t xml:space="preserve"> </w:t>
      </w:r>
      <w:proofErr w:type="spellStart"/>
      <w:r w:rsidRPr="003771D0">
        <w:rPr>
          <w:rFonts w:ascii="Times New Roman" w:hAnsi="Times New Roman" w:cs="Times New Roman"/>
          <w:color w:val="000000" w:themeColor="text1"/>
          <w:sz w:val="24"/>
          <w:szCs w:val="24"/>
          <w:lang w:val="fr-FR"/>
        </w:rPr>
        <w:t>capacitatea</w:t>
      </w:r>
      <w:proofErr w:type="spellEnd"/>
      <w:r w:rsidRPr="003771D0">
        <w:rPr>
          <w:rFonts w:ascii="Times New Roman" w:hAnsi="Times New Roman" w:cs="Times New Roman"/>
          <w:color w:val="000000" w:themeColor="text1"/>
          <w:spacing w:val="-3"/>
          <w:sz w:val="24"/>
          <w:szCs w:val="24"/>
          <w:lang w:val="fr-FR"/>
        </w:rPr>
        <w:t xml:space="preserve"> </w:t>
      </w:r>
      <w:r w:rsidRPr="003771D0">
        <w:rPr>
          <w:rFonts w:ascii="Times New Roman" w:hAnsi="Times New Roman" w:cs="Times New Roman"/>
          <w:color w:val="000000" w:themeColor="text1"/>
          <w:sz w:val="24"/>
          <w:szCs w:val="24"/>
          <w:lang w:val="fr-FR"/>
        </w:rPr>
        <w:t>de</w:t>
      </w:r>
      <w:r w:rsidRPr="003771D0">
        <w:rPr>
          <w:rFonts w:ascii="Times New Roman" w:hAnsi="Times New Roman" w:cs="Times New Roman"/>
          <w:color w:val="000000" w:themeColor="text1"/>
          <w:spacing w:val="-2"/>
          <w:sz w:val="24"/>
          <w:szCs w:val="24"/>
          <w:lang w:val="fr-FR"/>
        </w:rPr>
        <w:t xml:space="preserve"> </w:t>
      </w:r>
      <w:proofErr w:type="spellStart"/>
      <w:r w:rsidRPr="003771D0">
        <w:rPr>
          <w:rFonts w:ascii="Times New Roman" w:hAnsi="Times New Roman" w:cs="Times New Roman"/>
          <w:color w:val="000000" w:themeColor="text1"/>
          <w:sz w:val="24"/>
          <w:szCs w:val="24"/>
          <w:lang w:val="fr-FR"/>
        </w:rPr>
        <w:t>regenerare</w:t>
      </w:r>
      <w:proofErr w:type="spellEnd"/>
      <w:r w:rsidRPr="003771D0">
        <w:rPr>
          <w:rFonts w:ascii="Times New Roman" w:hAnsi="Times New Roman" w:cs="Times New Roman"/>
          <w:color w:val="000000" w:themeColor="text1"/>
          <w:spacing w:val="-4"/>
          <w:sz w:val="24"/>
          <w:szCs w:val="24"/>
          <w:lang w:val="fr-FR"/>
        </w:rPr>
        <w:t xml:space="preserve"> </w:t>
      </w:r>
      <w:proofErr w:type="spellStart"/>
      <w:r w:rsidRPr="003771D0">
        <w:rPr>
          <w:rFonts w:ascii="Times New Roman" w:hAnsi="Times New Roman" w:cs="Times New Roman"/>
          <w:color w:val="000000" w:themeColor="text1"/>
          <w:sz w:val="24"/>
          <w:szCs w:val="24"/>
          <w:lang w:val="fr-FR"/>
        </w:rPr>
        <w:t>naturală</w:t>
      </w:r>
      <w:proofErr w:type="spellEnd"/>
      <w:r w:rsidRPr="003771D0">
        <w:rPr>
          <w:rFonts w:ascii="Times New Roman" w:hAnsi="Times New Roman" w:cs="Times New Roman"/>
          <w:color w:val="000000" w:themeColor="text1"/>
          <w:sz w:val="24"/>
          <w:szCs w:val="24"/>
          <w:lang w:val="fr-FR"/>
        </w:rPr>
        <w:t xml:space="preserve"> etc.</w:t>
      </w:r>
    </w:p>
    <w:p w14:paraId="7EEB59DE" w14:textId="77777777" w:rsidR="00BC5122" w:rsidRPr="003771D0" w:rsidRDefault="00BC5122" w:rsidP="003771D0">
      <w:pPr>
        <w:pStyle w:val="ListParagraph"/>
        <w:widowControl w:val="0"/>
        <w:numPr>
          <w:ilvl w:val="0"/>
          <w:numId w:val="119"/>
        </w:numPr>
        <w:tabs>
          <w:tab w:val="left" w:pos="1021"/>
          <w:tab w:val="left" w:pos="9270"/>
        </w:tabs>
        <w:autoSpaceDE w:val="0"/>
        <w:autoSpaceDN w:val="0"/>
        <w:ind w:left="0" w:right="26" w:firstLine="0"/>
        <w:jc w:val="both"/>
        <w:rPr>
          <w:rFonts w:ascii="Times New Roman" w:hAnsi="Times New Roman" w:cs="Times New Roman"/>
          <w:color w:val="000000" w:themeColor="text1"/>
          <w:sz w:val="24"/>
          <w:szCs w:val="24"/>
        </w:rPr>
      </w:pPr>
      <w:proofErr w:type="spellStart"/>
      <w:r w:rsidRPr="003771D0">
        <w:rPr>
          <w:rFonts w:ascii="Times New Roman" w:hAnsi="Times New Roman" w:cs="Times New Roman"/>
          <w:b/>
          <w:color w:val="000000" w:themeColor="text1"/>
          <w:sz w:val="24"/>
          <w:szCs w:val="24"/>
        </w:rPr>
        <w:t>Funcţionale</w:t>
      </w:r>
      <w:proofErr w:type="spellEnd"/>
      <w:r w:rsidRPr="003771D0">
        <w:rPr>
          <w:rFonts w:ascii="Times New Roman" w:hAnsi="Times New Roman" w:cs="Times New Roman"/>
          <w:b/>
          <w:color w:val="000000" w:themeColor="text1"/>
          <w:sz w:val="24"/>
          <w:szCs w:val="24"/>
        </w:rPr>
        <w:t>:</w:t>
      </w:r>
      <w:r w:rsidRPr="003771D0">
        <w:rPr>
          <w:rFonts w:ascii="Times New Roman" w:hAnsi="Times New Roman" w:cs="Times New Roman"/>
          <w:b/>
          <w:color w:val="000000" w:themeColor="text1"/>
          <w:spacing w:val="-3"/>
          <w:sz w:val="24"/>
          <w:szCs w:val="24"/>
        </w:rPr>
        <w:t xml:space="preserve"> </w:t>
      </w:r>
      <w:proofErr w:type="spellStart"/>
      <w:r w:rsidRPr="003771D0">
        <w:rPr>
          <w:rFonts w:ascii="Times New Roman" w:hAnsi="Times New Roman" w:cs="Times New Roman"/>
          <w:color w:val="000000" w:themeColor="text1"/>
          <w:sz w:val="24"/>
          <w:szCs w:val="24"/>
        </w:rPr>
        <w:t>evaluarea</w:t>
      </w:r>
      <w:proofErr w:type="spellEnd"/>
      <w:r w:rsidRPr="003771D0">
        <w:rPr>
          <w:rFonts w:ascii="Times New Roman" w:hAnsi="Times New Roman" w:cs="Times New Roman"/>
          <w:color w:val="000000" w:themeColor="text1"/>
          <w:spacing w:val="-3"/>
          <w:sz w:val="24"/>
          <w:szCs w:val="24"/>
        </w:rPr>
        <w:t xml:space="preserve"> </w:t>
      </w:r>
      <w:proofErr w:type="spellStart"/>
      <w:r w:rsidRPr="003771D0">
        <w:rPr>
          <w:rFonts w:ascii="Times New Roman" w:hAnsi="Times New Roman" w:cs="Times New Roman"/>
          <w:color w:val="000000" w:themeColor="text1"/>
          <w:sz w:val="24"/>
          <w:szCs w:val="24"/>
        </w:rPr>
        <w:t>capacităţii</w:t>
      </w:r>
      <w:proofErr w:type="spellEnd"/>
      <w:r w:rsidRPr="003771D0">
        <w:rPr>
          <w:rFonts w:ascii="Times New Roman" w:hAnsi="Times New Roman" w:cs="Times New Roman"/>
          <w:color w:val="000000" w:themeColor="text1"/>
          <w:spacing w:val="-2"/>
          <w:sz w:val="24"/>
          <w:szCs w:val="24"/>
        </w:rPr>
        <w:t xml:space="preserve"> </w:t>
      </w:r>
      <w:r w:rsidRPr="003771D0">
        <w:rPr>
          <w:rFonts w:ascii="Times New Roman" w:hAnsi="Times New Roman" w:cs="Times New Roman"/>
          <w:color w:val="000000" w:themeColor="text1"/>
          <w:sz w:val="24"/>
          <w:szCs w:val="24"/>
        </w:rPr>
        <w:t>de</w:t>
      </w:r>
      <w:r w:rsidRPr="003771D0">
        <w:rPr>
          <w:rFonts w:ascii="Times New Roman" w:hAnsi="Times New Roman" w:cs="Times New Roman"/>
          <w:color w:val="000000" w:themeColor="text1"/>
          <w:spacing w:val="-2"/>
          <w:sz w:val="24"/>
          <w:szCs w:val="24"/>
        </w:rPr>
        <w:t xml:space="preserve"> </w:t>
      </w:r>
      <w:proofErr w:type="spellStart"/>
      <w:r w:rsidRPr="003771D0">
        <w:rPr>
          <w:rFonts w:ascii="Times New Roman" w:hAnsi="Times New Roman" w:cs="Times New Roman"/>
          <w:color w:val="000000" w:themeColor="text1"/>
          <w:sz w:val="24"/>
          <w:szCs w:val="24"/>
        </w:rPr>
        <w:t>realizare</w:t>
      </w:r>
      <w:proofErr w:type="spellEnd"/>
      <w:r w:rsidRPr="003771D0">
        <w:rPr>
          <w:rFonts w:ascii="Times New Roman" w:hAnsi="Times New Roman" w:cs="Times New Roman"/>
          <w:color w:val="000000" w:themeColor="text1"/>
          <w:spacing w:val="-4"/>
          <w:sz w:val="24"/>
          <w:szCs w:val="24"/>
        </w:rPr>
        <w:t xml:space="preserve"> </w:t>
      </w:r>
      <w:r w:rsidRPr="003771D0">
        <w:rPr>
          <w:rFonts w:ascii="Times New Roman" w:hAnsi="Times New Roman" w:cs="Times New Roman"/>
          <w:color w:val="000000" w:themeColor="text1"/>
          <w:sz w:val="24"/>
          <w:szCs w:val="24"/>
        </w:rPr>
        <w:t>a</w:t>
      </w:r>
      <w:r w:rsidRPr="003771D0">
        <w:rPr>
          <w:rFonts w:ascii="Times New Roman" w:hAnsi="Times New Roman" w:cs="Times New Roman"/>
          <w:color w:val="000000" w:themeColor="text1"/>
          <w:spacing w:val="-1"/>
          <w:sz w:val="24"/>
          <w:szCs w:val="24"/>
        </w:rPr>
        <w:t xml:space="preserve"> </w:t>
      </w:r>
      <w:proofErr w:type="spellStart"/>
      <w:r w:rsidRPr="003771D0">
        <w:rPr>
          <w:rFonts w:ascii="Times New Roman" w:hAnsi="Times New Roman" w:cs="Times New Roman"/>
          <w:color w:val="000000" w:themeColor="text1"/>
          <w:sz w:val="24"/>
          <w:szCs w:val="24"/>
        </w:rPr>
        <w:t>funcţiilor</w:t>
      </w:r>
      <w:proofErr w:type="spellEnd"/>
      <w:r w:rsidRPr="003771D0">
        <w:rPr>
          <w:rFonts w:ascii="Times New Roman" w:hAnsi="Times New Roman" w:cs="Times New Roman"/>
          <w:color w:val="000000" w:themeColor="text1"/>
          <w:spacing w:val="-2"/>
          <w:sz w:val="24"/>
          <w:szCs w:val="24"/>
        </w:rPr>
        <w:t xml:space="preserve"> </w:t>
      </w:r>
      <w:proofErr w:type="spellStart"/>
      <w:r w:rsidRPr="003771D0">
        <w:rPr>
          <w:rFonts w:ascii="Times New Roman" w:hAnsi="Times New Roman" w:cs="Times New Roman"/>
          <w:color w:val="000000" w:themeColor="text1"/>
          <w:sz w:val="24"/>
          <w:szCs w:val="24"/>
        </w:rPr>
        <w:t>caracteristice</w:t>
      </w:r>
      <w:proofErr w:type="spellEnd"/>
      <w:r w:rsidRPr="003771D0">
        <w:rPr>
          <w:rFonts w:ascii="Times New Roman" w:hAnsi="Times New Roman" w:cs="Times New Roman"/>
          <w:color w:val="000000" w:themeColor="text1"/>
          <w:sz w:val="24"/>
          <w:szCs w:val="24"/>
        </w:rPr>
        <w:t>;</w:t>
      </w:r>
    </w:p>
    <w:p w14:paraId="25E38CF7" w14:textId="77777777" w:rsidR="00F100E1" w:rsidRPr="003771D0" w:rsidRDefault="00BC5122" w:rsidP="003771D0">
      <w:pPr>
        <w:pStyle w:val="ListParagraph"/>
        <w:widowControl w:val="0"/>
        <w:numPr>
          <w:ilvl w:val="0"/>
          <w:numId w:val="119"/>
        </w:numPr>
        <w:tabs>
          <w:tab w:val="left" w:pos="1021"/>
          <w:tab w:val="left" w:pos="9270"/>
        </w:tabs>
        <w:autoSpaceDE w:val="0"/>
        <w:autoSpaceDN w:val="0"/>
        <w:spacing w:after="160" w:line="259" w:lineRule="auto"/>
        <w:ind w:left="0" w:right="26" w:firstLine="0"/>
        <w:jc w:val="both"/>
        <w:rPr>
          <w:bCs/>
          <w:color w:val="000000" w:themeColor="text1"/>
        </w:rPr>
      </w:pPr>
      <w:proofErr w:type="spellStart"/>
      <w:r w:rsidRPr="003771D0">
        <w:rPr>
          <w:rFonts w:ascii="Times New Roman" w:hAnsi="Times New Roman" w:cs="Times New Roman"/>
          <w:b/>
          <w:color w:val="000000" w:themeColor="text1"/>
          <w:sz w:val="24"/>
          <w:szCs w:val="24"/>
        </w:rPr>
        <w:t>Perturbări</w:t>
      </w:r>
      <w:proofErr w:type="spellEnd"/>
      <w:r w:rsidRPr="003771D0">
        <w:rPr>
          <w:rFonts w:ascii="Times New Roman" w:hAnsi="Times New Roman" w:cs="Times New Roman"/>
          <w:color w:val="000000" w:themeColor="text1"/>
          <w:sz w:val="24"/>
          <w:szCs w:val="24"/>
        </w:rPr>
        <w:t>:</w:t>
      </w:r>
      <w:r w:rsidRPr="003771D0">
        <w:rPr>
          <w:rFonts w:ascii="Times New Roman" w:hAnsi="Times New Roman" w:cs="Times New Roman"/>
          <w:color w:val="000000" w:themeColor="text1"/>
          <w:spacing w:val="-2"/>
          <w:sz w:val="24"/>
          <w:szCs w:val="24"/>
        </w:rPr>
        <w:t xml:space="preserve"> </w:t>
      </w:r>
      <w:proofErr w:type="spellStart"/>
      <w:r w:rsidRPr="003771D0">
        <w:rPr>
          <w:rFonts w:ascii="Times New Roman" w:hAnsi="Times New Roman" w:cs="Times New Roman"/>
          <w:color w:val="000000" w:themeColor="text1"/>
          <w:sz w:val="24"/>
          <w:szCs w:val="24"/>
        </w:rPr>
        <w:t>prezenţa</w:t>
      </w:r>
      <w:proofErr w:type="spellEnd"/>
      <w:r w:rsidRPr="003771D0">
        <w:rPr>
          <w:rFonts w:ascii="Times New Roman" w:hAnsi="Times New Roman" w:cs="Times New Roman"/>
          <w:color w:val="000000" w:themeColor="text1"/>
          <w:sz w:val="24"/>
          <w:szCs w:val="24"/>
        </w:rPr>
        <w:t>,</w:t>
      </w:r>
      <w:r w:rsidRPr="003771D0">
        <w:rPr>
          <w:rFonts w:ascii="Times New Roman" w:hAnsi="Times New Roman" w:cs="Times New Roman"/>
          <w:color w:val="000000" w:themeColor="text1"/>
          <w:spacing w:val="-2"/>
          <w:sz w:val="24"/>
          <w:szCs w:val="24"/>
        </w:rPr>
        <w:t xml:space="preserve"> </w:t>
      </w:r>
      <w:proofErr w:type="spellStart"/>
      <w:r w:rsidRPr="003771D0">
        <w:rPr>
          <w:rFonts w:ascii="Times New Roman" w:hAnsi="Times New Roman" w:cs="Times New Roman"/>
          <w:color w:val="000000" w:themeColor="text1"/>
          <w:sz w:val="24"/>
          <w:szCs w:val="24"/>
        </w:rPr>
        <w:t>intensitatea</w:t>
      </w:r>
      <w:proofErr w:type="spellEnd"/>
      <w:r w:rsidRPr="003771D0">
        <w:rPr>
          <w:rFonts w:ascii="Times New Roman" w:hAnsi="Times New Roman" w:cs="Times New Roman"/>
          <w:color w:val="000000" w:themeColor="text1"/>
          <w:spacing w:val="-4"/>
          <w:sz w:val="24"/>
          <w:szCs w:val="24"/>
        </w:rPr>
        <w:t xml:space="preserve"> </w:t>
      </w:r>
      <w:proofErr w:type="spellStart"/>
      <w:r w:rsidRPr="003771D0">
        <w:rPr>
          <w:rFonts w:ascii="Times New Roman" w:hAnsi="Times New Roman" w:cs="Times New Roman"/>
          <w:color w:val="000000" w:themeColor="text1"/>
          <w:sz w:val="24"/>
          <w:szCs w:val="24"/>
        </w:rPr>
        <w:t>şi</w:t>
      </w:r>
      <w:proofErr w:type="spellEnd"/>
      <w:r w:rsidRPr="003771D0">
        <w:rPr>
          <w:rFonts w:ascii="Times New Roman" w:hAnsi="Times New Roman" w:cs="Times New Roman"/>
          <w:color w:val="000000" w:themeColor="text1"/>
          <w:spacing w:val="-2"/>
          <w:sz w:val="24"/>
          <w:szCs w:val="24"/>
        </w:rPr>
        <w:t xml:space="preserve"> </w:t>
      </w:r>
      <w:proofErr w:type="spellStart"/>
      <w:r w:rsidRPr="003771D0">
        <w:rPr>
          <w:rFonts w:ascii="Times New Roman" w:hAnsi="Times New Roman" w:cs="Times New Roman"/>
          <w:color w:val="000000" w:themeColor="text1"/>
          <w:sz w:val="24"/>
          <w:szCs w:val="24"/>
        </w:rPr>
        <w:t>exitenderea</w:t>
      </w:r>
      <w:proofErr w:type="spellEnd"/>
      <w:r w:rsidRPr="003771D0">
        <w:rPr>
          <w:rFonts w:ascii="Times New Roman" w:hAnsi="Times New Roman" w:cs="Times New Roman"/>
          <w:color w:val="000000" w:themeColor="text1"/>
          <w:spacing w:val="-3"/>
          <w:sz w:val="24"/>
          <w:szCs w:val="24"/>
        </w:rPr>
        <w:t xml:space="preserve"> </w:t>
      </w:r>
      <w:proofErr w:type="spellStart"/>
      <w:r w:rsidRPr="003771D0">
        <w:rPr>
          <w:rFonts w:ascii="Times New Roman" w:hAnsi="Times New Roman" w:cs="Times New Roman"/>
          <w:color w:val="000000" w:themeColor="text1"/>
          <w:sz w:val="24"/>
          <w:szCs w:val="24"/>
        </w:rPr>
        <w:t>perturbărilo</w:t>
      </w:r>
      <w:r w:rsidR="0008707F" w:rsidRPr="003771D0">
        <w:rPr>
          <w:rFonts w:ascii="Times New Roman" w:hAnsi="Times New Roman" w:cs="Times New Roman"/>
          <w:color w:val="000000" w:themeColor="text1"/>
          <w:sz w:val="24"/>
          <w:szCs w:val="24"/>
        </w:rPr>
        <w:t>r</w:t>
      </w:r>
      <w:proofErr w:type="spellEnd"/>
    </w:p>
    <w:p w14:paraId="25A3A830" w14:textId="77777777" w:rsidR="00F100E1" w:rsidRDefault="00F100E1" w:rsidP="00F100E1">
      <w:pPr>
        <w:widowControl w:val="0"/>
        <w:tabs>
          <w:tab w:val="left" w:pos="1021"/>
        </w:tabs>
        <w:autoSpaceDE w:val="0"/>
        <w:autoSpaceDN w:val="0"/>
        <w:spacing w:after="160" w:line="259" w:lineRule="auto"/>
        <w:jc w:val="both"/>
        <w:rPr>
          <w:bCs/>
          <w:color w:val="000000" w:themeColor="text1"/>
        </w:rPr>
      </w:pPr>
    </w:p>
    <w:p w14:paraId="127805B8" w14:textId="77777777" w:rsidR="000A5F7A" w:rsidRDefault="004668E0" w:rsidP="008E33FD">
      <w:pPr>
        <w:spacing w:after="160" w:line="259" w:lineRule="auto"/>
        <w:jc w:val="both"/>
        <w:rPr>
          <w:b/>
          <w:bCs/>
          <w:color w:val="000000" w:themeColor="text1"/>
        </w:rPr>
      </w:pPr>
      <w:r>
        <w:rPr>
          <w:b/>
          <w:bCs/>
          <w:color w:val="000000" w:themeColor="text1"/>
        </w:rPr>
        <w:t>2.3</w:t>
      </w:r>
      <w:r w:rsidR="00BC3758" w:rsidRPr="00C56257">
        <w:rPr>
          <w:b/>
          <w:color w:val="000000" w:themeColor="text1"/>
        </w:rPr>
        <w:t xml:space="preserve"> </w:t>
      </w:r>
      <w:r w:rsidR="00BC3758" w:rsidRPr="00C56257">
        <w:rPr>
          <w:b/>
          <w:bCs/>
          <w:color w:val="000000" w:themeColor="text1"/>
        </w:rPr>
        <w:t xml:space="preserve">Lista cu </w:t>
      </w:r>
      <w:r w:rsidR="00510367" w:rsidRPr="00C56257">
        <w:rPr>
          <w:b/>
          <w:bCs/>
          <w:color w:val="000000" w:themeColor="text1"/>
        </w:rPr>
        <w:t>siturile de importanță c</w:t>
      </w:r>
      <w:r w:rsidR="00BC3758" w:rsidRPr="00C56257">
        <w:rPr>
          <w:b/>
          <w:bCs/>
          <w:color w:val="000000" w:themeColor="text1"/>
        </w:rPr>
        <w:t xml:space="preserve">omunitară pentru </w:t>
      </w:r>
      <w:r w:rsidR="00DF2F01" w:rsidRPr="00C56257">
        <w:rPr>
          <w:b/>
          <w:bCs/>
          <w:color w:val="000000" w:themeColor="text1"/>
        </w:rPr>
        <w:t>habitatele de  sărături</w:t>
      </w:r>
      <w:r w:rsidR="000A5F7A" w:rsidRPr="00C56257">
        <w:rPr>
          <w:b/>
          <w:bCs/>
          <w:color w:val="000000" w:themeColor="text1"/>
        </w:rPr>
        <w:t xml:space="preserve"> </w:t>
      </w:r>
    </w:p>
    <w:tbl>
      <w:tblPr>
        <w:tblW w:w="0" w:type="auto"/>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49"/>
        <w:gridCol w:w="2268"/>
        <w:gridCol w:w="4178"/>
      </w:tblGrid>
      <w:tr w:rsidR="00D810D6" w:rsidRPr="00D457AA" w14:paraId="15A2A3AC" w14:textId="77777777" w:rsidTr="003771D0">
        <w:trPr>
          <w:trHeight w:val="251"/>
        </w:trPr>
        <w:tc>
          <w:tcPr>
            <w:tcW w:w="3349" w:type="dxa"/>
          </w:tcPr>
          <w:p w14:paraId="218013E0" w14:textId="77777777" w:rsidR="00D810D6" w:rsidRPr="00D457AA" w:rsidRDefault="00D810D6" w:rsidP="00487855">
            <w:pPr>
              <w:pStyle w:val="TableParagraph"/>
              <w:spacing w:line="232" w:lineRule="exact"/>
              <w:jc w:val="both"/>
              <w:rPr>
                <w:b/>
                <w:color w:val="000000" w:themeColor="text1"/>
                <w:sz w:val="24"/>
                <w:szCs w:val="24"/>
              </w:rPr>
            </w:pPr>
            <w:r w:rsidRPr="00D457AA">
              <w:rPr>
                <w:b/>
                <w:color w:val="000000" w:themeColor="text1"/>
                <w:sz w:val="24"/>
                <w:szCs w:val="24"/>
              </w:rPr>
              <w:t>Tip</w:t>
            </w:r>
            <w:r w:rsidRPr="00D457AA">
              <w:rPr>
                <w:b/>
                <w:color w:val="000000" w:themeColor="text1"/>
                <w:spacing w:val="-1"/>
                <w:sz w:val="24"/>
                <w:szCs w:val="24"/>
              </w:rPr>
              <w:t xml:space="preserve"> </w:t>
            </w:r>
            <w:r w:rsidRPr="00D457AA">
              <w:rPr>
                <w:b/>
                <w:color w:val="000000" w:themeColor="text1"/>
                <w:sz w:val="24"/>
                <w:szCs w:val="24"/>
              </w:rPr>
              <w:t>habitat Natura</w:t>
            </w:r>
            <w:r w:rsidRPr="00D457AA">
              <w:rPr>
                <w:b/>
                <w:color w:val="000000" w:themeColor="text1"/>
                <w:spacing w:val="-4"/>
                <w:sz w:val="24"/>
                <w:szCs w:val="24"/>
              </w:rPr>
              <w:t xml:space="preserve"> </w:t>
            </w:r>
            <w:r w:rsidRPr="00D457AA">
              <w:rPr>
                <w:b/>
                <w:color w:val="000000" w:themeColor="text1"/>
                <w:sz w:val="24"/>
                <w:szCs w:val="24"/>
              </w:rPr>
              <w:t>2000</w:t>
            </w:r>
          </w:p>
        </w:tc>
        <w:tc>
          <w:tcPr>
            <w:tcW w:w="2268" w:type="dxa"/>
          </w:tcPr>
          <w:p w14:paraId="49873C69" w14:textId="77777777" w:rsidR="00D457AA" w:rsidRDefault="00D810D6" w:rsidP="00881670">
            <w:pPr>
              <w:pStyle w:val="TableParagraph"/>
              <w:tabs>
                <w:tab w:val="left" w:pos="2136"/>
              </w:tabs>
              <w:spacing w:line="232" w:lineRule="exact"/>
              <w:ind w:right="273"/>
              <w:rPr>
                <w:b/>
                <w:color w:val="000000" w:themeColor="text1"/>
                <w:sz w:val="24"/>
                <w:szCs w:val="24"/>
              </w:rPr>
            </w:pPr>
            <w:r w:rsidRPr="00D457AA">
              <w:rPr>
                <w:b/>
                <w:color w:val="000000" w:themeColor="text1"/>
                <w:sz w:val="24"/>
                <w:szCs w:val="24"/>
              </w:rPr>
              <w:t>Cod Sit Natura</w:t>
            </w:r>
            <w:r w:rsidR="00D457AA">
              <w:rPr>
                <w:b/>
                <w:color w:val="000000" w:themeColor="text1"/>
                <w:sz w:val="24"/>
                <w:szCs w:val="24"/>
              </w:rPr>
              <w:t xml:space="preserve"> </w:t>
            </w:r>
          </w:p>
          <w:p w14:paraId="64255F49" w14:textId="77777777" w:rsidR="00D810D6" w:rsidRPr="00D457AA" w:rsidRDefault="00D457AA" w:rsidP="00881670">
            <w:pPr>
              <w:pStyle w:val="TableParagraph"/>
              <w:tabs>
                <w:tab w:val="left" w:pos="2136"/>
              </w:tabs>
              <w:spacing w:line="232" w:lineRule="exact"/>
              <w:ind w:right="273"/>
              <w:rPr>
                <w:b/>
                <w:color w:val="000000" w:themeColor="text1"/>
                <w:sz w:val="24"/>
                <w:szCs w:val="24"/>
              </w:rPr>
            </w:pPr>
            <w:r>
              <w:rPr>
                <w:b/>
                <w:color w:val="000000" w:themeColor="text1"/>
                <w:sz w:val="24"/>
                <w:szCs w:val="24"/>
              </w:rPr>
              <w:t>2</w:t>
            </w:r>
            <w:r w:rsidR="00D810D6" w:rsidRPr="00D457AA">
              <w:rPr>
                <w:b/>
                <w:color w:val="000000" w:themeColor="text1"/>
                <w:sz w:val="24"/>
                <w:szCs w:val="24"/>
              </w:rPr>
              <w:t>000</w:t>
            </w:r>
          </w:p>
        </w:tc>
        <w:tc>
          <w:tcPr>
            <w:tcW w:w="4178" w:type="dxa"/>
          </w:tcPr>
          <w:p w14:paraId="08C556E1" w14:textId="77777777" w:rsidR="00D810D6" w:rsidRPr="00D457AA" w:rsidRDefault="00D810D6" w:rsidP="00487855">
            <w:pPr>
              <w:pStyle w:val="TableParagraph"/>
              <w:spacing w:line="232" w:lineRule="exact"/>
              <w:ind w:left="551" w:right="542"/>
              <w:jc w:val="both"/>
              <w:rPr>
                <w:b/>
                <w:color w:val="000000" w:themeColor="text1"/>
                <w:sz w:val="24"/>
                <w:szCs w:val="24"/>
              </w:rPr>
            </w:pPr>
            <w:r w:rsidRPr="00D457AA">
              <w:rPr>
                <w:b/>
                <w:color w:val="000000" w:themeColor="text1"/>
                <w:sz w:val="24"/>
                <w:szCs w:val="24"/>
              </w:rPr>
              <w:t>Nume Sit Natura 2000</w:t>
            </w:r>
          </w:p>
        </w:tc>
      </w:tr>
      <w:tr w:rsidR="00D810D6" w:rsidRPr="00C56257" w14:paraId="1BC8930F" w14:textId="77777777" w:rsidTr="003771D0">
        <w:trPr>
          <w:trHeight w:val="253"/>
        </w:trPr>
        <w:tc>
          <w:tcPr>
            <w:tcW w:w="3349" w:type="dxa"/>
            <w:vMerge w:val="restart"/>
          </w:tcPr>
          <w:p w14:paraId="1B6DBE3A" w14:textId="77777777" w:rsidR="00D810D6" w:rsidRPr="00C56257" w:rsidRDefault="00D810D6" w:rsidP="00487855">
            <w:pPr>
              <w:pStyle w:val="TableParagraph"/>
              <w:jc w:val="both"/>
              <w:rPr>
                <w:color w:val="000000" w:themeColor="text1"/>
                <w:sz w:val="24"/>
                <w:szCs w:val="24"/>
              </w:rPr>
            </w:pPr>
          </w:p>
          <w:p w14:paraId="5C276826" w14:textId="77777777" w:rsidR="00D810D6" w:rsidRPr="00C56257" w:rsidRDefault="00D810D6" w:rsidP="00487855">
            <w:pPr>
              <w:pStyle w:val="TableParagraph"/>
              <w:spacing w:before="7"/>
              <w:jc w:val="both"/>
              <w:rPr>
                <w:color w:val="000000" w:themeColor="text1"/>
                <w:sz w:val="24"/>
                <w:szCs w:val="24"/>
              </w:rPr>
            </w:pPr>
          </w:p>
          <w:p w14:paraId="6ED352AB" w14:textId="77777777" w:rsidR="00D810D6" w:rsidRPr="00C56257" w:rsidRDefault="00D810D6" w:rsidP="00487855">
            <w:pPr>
              <w:pStyle w:val="TableParagraph"/>
              <w:ind w:left="108" w:right="345"/>
              <w:jc w:val="both"/>
              <w:rPr>
                <w:color w:val="000000" w:themeColor="text1"/>
                <w:sz w:val="24"/>
                <w:szCs w:val="24"/>
              </w:rPr>
            </w:pPr>
            <w:r w:rsidRPr="00C56257">
              <w:rPr>
                <w:color w:val="000000" w:themeColor="text1"/>
                <w:sz w:val="24"/>
                <w:szCs w:val="24"/>
              </w:rPr>
              <w:t xml:space="preserve">1310 – Comunităţi cu </w:t>
            </w:r>
            <w:r w:rsidRPr="00C56257">
              <w:rPr>
                <w:i/>
                <w:color w:val="000000" w:themeColor="text1"/>
                <w:sz w:val="24"/>
                <w:szCs w:val="24"/>
              </w:rPr>
              <w:t xml:space="preserve">Salicornia </w:t>
            </w:r>
            <w:r w:rsidRPr="00C56257">
              <w:rPr>
                <w:color w:val="000000" w:themeColor="text1"/>
                <w:sz w:val="24"/>
                <w:szCs w:val="24"/>
              </w:rPr>
              <w:t>spp. şi</w:t>
            </w:r>
            <w:r w:rsidRPr="00C56257">
              <w:rPr>
                <w:color w:val="000000" w:themeColor="text1"/>
                <w:spacing w:val="-52"/>
                <w:sz w:val="24"/>
                <w:szCs w:val="24"/>
              </w:rPr>
              <w:t xml:space="preserve"> </w:t>
            </w:r>
            <w:r w:rsidRPr="00C56257">
              <w:rPr>
                <w:color w:val="000000" w:themeColor="text1"/>
                <w:sz w:val="24"/>
                <w:szCs w:val="24"/>
              </w:rPr>
              <w:t>alte specii anuale care colonizează</w:t>
            </w:r>
            <w:r w:rsidRPr="00C56257">
              <w:rPr>
                <w:color w:val="000000" w:themeColor="text1"/>
                <w:spacing w:val="1"/>
                <w:sz w:val="24"/>
                <w:szCs w:val="24"/>
              </w:rPr>
              <w:t xml:space="preserve"> </w:t>
            </w:r>
            <w:r w:rsidRPr="00C56257">
              <w:rPr>
                <w:color w:val="000000" w:themeColor="text1"/>
                <w:sz w:val="24"/>
                <w:szCs w:val="24"/>
              </w:rPr>
              <w:t>terenurile</w:t>
            </w:r>
            <w:r w:rsidRPr="00C56257">
              <w:rPr>
                <w:color w:val="000000" w:themeColor="text1"/>
                <w:spacing w:val="-1"/>
                <w:sz w:val="24"/>
                <w:szCs w:val="24"/>
              </w:rPr>
              <w:t xml:space="preserve"> </w:t>
            </w:r>
            <w:r w:rsidRPr="00C56257">
              <w:rPr>
                <w:color w:val="000000" w:themeColor="text1"/>
                <w:sz w:val="24"/>
                <w:szCs w:val="24"/>
              </w:rPr>
              <w:t>umede</w:t>
            </w:r>
            <w:r w:rsidRPr="00C56257">
              <w:rPr>
                <w:color w:val="000000" w:themeColor="text1"/>
                <w:spacing w:val="-1"/>
                <w:sz w:val="24"/>
                <w:szCs w:val="24"/>
              </w:rPr>
              <w:t xml:space="preserve"> </w:t>
            </w:r>
            <w:r w:rsidRPr="00C56257">
              <w:rPr>
                <w:color w:val="000000" w:themeColor="text1"/>
                <w:sz w:val="24"/>
                <w:szCs w:val="24"/>
              </w:rPr>
              <w:t>şi</w:t>
            </w:r>
            <w:r w:rsidRPr="00C56257">
              <w:rPr>
                <w:color w:val="000000" w:themeColor="text1"/>
                <w:spacing w:val="-1"/>
                <w:sz w:val="24"/>
                <w:szCs w:val="24"/>
              </w:rPr>
              <w:t xml:space="preserve"> </w:t>
            </w:r>
            <w:r w:rsidRPr="00C56257">
              <w:rPr>
                <w:color w:val="000000" w:themeColor="text1"/>
                <w:sz w:val="24"/>
                <w:szCs w:val="24"/>
              </w:rPr>
              <w:t>nisipoase</w:t>
            </w:r>
          </w:p>
        </w:tc>
        <w:tc>
          <w:tcPr>
            <w:tcW w:w="2268" w:type="dxa"/>
          </w:tcPr>
          <w:p w14:paraId="3C17544C" w14:textId="77777777" w:rsidR="00D810D6" w:rsidRPr="00D810D6" w:rsidRDefault="00D810D6" w:rsidP="00881670">
            <w:pPr>
              <w:pStyle w:val="TableParagraph"/>
              <w:spacing w:line="234" w:lineRule="exact"/>
              <w:ind w:right="1074"/>
              <w:rPr>
                <w:color w:val="000000" w:themeColor="text1"/>
              </w:rPr>
            </w:pPr>
            <w:r w:rsidRPr="00D810D6">
              <w:rPr>
                <w:color w:val="000000"/>
              </w:rPr>
              <w:t>ROSCI0005</w:t>
            </w:r>
          </w:p>
        </w:tc>
        <w:tc>
          <w:tcPr>
            <w:tcW w:w="4178" w:type="dxa"/>
            <w:vAlign w:val="bottom"/>
          </w:tcPr>
          <w:p w14:paraId="6609A9EB" w14:textId="77777777" w:rsidR="00D810D6" w:rsidRPr="00D810D6" w:rsidRDefault="00D810D6" w:rsidP="00487855">
            <w:pPr>
              <w:pStyle w:val="TableParagraph"/>
              <w:spacing w:line="234" w:lineRule="exact"/>
              <w:ind w:right="542"/>
              <w:jc w:val="both"/>
              <w:rPr>
                <w:color w:val="000000" w:themeColor="text1"/>
              </w:rPr>
            </w:pPr>
            <w:r w:rsidRPr="00D810D6">
              <w:rPr>
                <w:color w:val="000000"/>
              </w:rPr>
              <w:t>Balta Albă - Amara - Jirlău - Lacul Sărat Câineni</w:t>
            </w:r>
          </w:p>
        </w:tc>
      </w:tr>
      <w:tr w:rsidR="00D810D6" w:rsidRPr="00C56257" w14:paraId="60362F96" w14:textId="77777777" w:rsidTr="003771D0">
        <w:trPr>
          <w:trHeight w:val="253"/>
        </w:trPr>
        <w:tc>
          <w:tcPr>
            <w:tcW w:w="3349" w:type="dxa"/>
            <w:vMerge/>
          </w:tcPr>
          <w:p w14:paraId="78BE757F" w14:textId="77777777" w:rsidR="00D810D6" w:rsidRPr="00C56257" w:rsidRDefault="00D810D6" w:rsidP="00487855">
            <w:pPr>
              <w:pStyle w:val="TableParagraph"/>
              <w:jc w:val="both"/>
              <w:rPr>
                <w:color w:val="000000" w:themeColor="text1"/>
                <w:sz w:val="24"/>
                <w:szCs w:val="24"/>
              </w:rPr>
            </w:pPr>
          </w:p>
        </w:tc>
        <w:tc>
          <w:tcPr>
            <w:tcW w:w="2268" w:type="dxa"/>
          </w:tcPr>
          <w:p w14:paraId="3DAE7B2E" w14:textId="77777777" w:rsidR="00D810D6" w:rsidRPr="00881670" w:rsidRDefault="00D810D6" w:rsidP="00881670">
            <w:pPr>
              <w:pStyle w:val="TableParagraph"/>
              <w:spacing w:line="234" w:lineRule="exact"/>
              <w:ind w:right="1074"/>
              <w:rPr>
                <w:color w:val="000000"/>
              </w:rPr>
            </w:pPr>
            <w:r w:rsidRPr="00D810D6">
              <w:rPr>
                <w:color w:val="000000"/>
              </w:rPr>
              <w:t>ROSCI0065</w:t>
            </w:r>
          </w:p>
        </w:tc>
        <w:tc>
          <w:tcPr>
            <w:tcW w:w="4178" w:type="dxa"/>
            <w:vAlign w:val="bottom"/>
          </w:tcPr>
          <w:p w14:paraId="69B858DE" w14:textId="77777777" w:rsidR="00D810D6" w:rsidRPr="00D810D6" w:rsidRDefault="00D810D6" w:rsidP="00487855">
            <w:pPr>
              <w:pStyle w:val="TableParagraph"/>
              <w:spacing w:line="234" w:lineRule="exact"/>
              <w:ind w:right="542"/>
              <w:jc w:val="both"/>
              <w:rPr>
                <w:color w:val="000000" w:themeColor="text1"/>
              </w:rPr>
            </w:pPr>
            <w:r w:rsidRPr="00D810D6">
              <w:rPr>
                <w:color w:val="000000"/>
              </w:rPr>
              <w:t>Delta Dunării</w:t>
            </w:r>
          </w:p>
        </w:tc>
      </w:tr>
      <w:tr w:rsidR="00D810D6" w:rsidRPr="00C56257" w14:paraId="6222CA5C" w14:textId="77777777" w:rsidTr="003771D0">
        <w:trPr>
          <w:trHeight w:val="254"/>
        </w:trPr>
        <w:tc>
          <w:tcPr>
            <w:tcW w:w="3349" w:type="dxa"/>
            <w:vMerge/>
            <w:tcBorders>
              <w:top w:val="nil"/>
            </w:tcBorders>
          </w:tcPr>
          <w:p w14:paraId="19CC7FC3" w14:textId="77777777" w:rsidR="00D810D6" w:rsidRPr="00C56257" w:rsidRDefault="00D810D6" w:rsidP="00487855">
            <w:pPr>
              <w:jc w:val="both"/>
              <w:rPr>
                <w:color w:val="000000" w:themeColor="text1"/>
              </w:rPr>
            </w:pPr>
          </w:p>
        </w:tc>
        <w:tc>
          <w:tcPr>
            <w:tcW w:w="2268" w:type="dxa"/>
          </w:tcPr>
          <w:p w14:paraId="554E0F64" w14:textId="77777777" w:rsidR="00D810D6" w:rsidRPr="00881670" w:rsidRDefault="00D810D6" w:rsidP="00493079">
            <w:pPr>
              <w:pStyle w:val="TableParagraph"/>
              <w:spacing w:line="234" w:lineRule="exact"/>
              <w:ind w:right="1074"/>
              <w:rPr>
                <w:color w:val="000000"/>
              </w:rPr>
            </w:pPr>
            <w:r w:rsidRPr="00D810D6">
              <w:rPr>
                <w:color w:val="000000"/>
              </w:rPr>
              <w:t>ROS</w:t>
            </w:r>
            <w:r w:rsidR="00493079">
              <w:rPr>
                <w:color w:val="000000"/>
              </w:rPr>
              <w:t>AC</w:t>
            </w:r>
            <w:r w:rsidRPr="00D810D6">
              <w:rPr>
                <w:color w:val="000000"/>
              </w:rPr>
              <w:t>0221</w:t>
            </w:r>
          </w:p>
        </w:tc>
        <w:tc>
          <w:tcPr>
            <w:tcW w:w="4178" w:type="dxa"/>
            <w:vAlign w:val="bottom"/>
          </w:tcPr>
          <w:p w14:paraId="2EB147F8" w14:textId="77777777" w:rsidR="00D810D6" w:rsidRPr="00D810D6" w:rsidRDefault="00D810D6" w:rsidP="00487855">
            <w:pPr>
              <w:pStyle w:val="TableParagraph"/>
              <w:spacing w:line="234" w:lineRule="exact"/>
              <w:ind w:right="542"/>
              <w:jc w:val="both"/>
              <w:rPr>
                <w:color w:val="000000" w:themeColor="text1"/>
              </w:rPr>
            </w:pPr>
            <w:r w:rsidRPr="00D810D6">
              <w:rPr>
                <w:color w:val="000000"/>
              </w:rPr>
              <w:t>Sărăturile din Valea Ilenei</w:t>
            </w:r>
          </w:p>
        </w:tc>
      </w:tr>
      <w:tr w:rsidR="00D810D6" w:rsidRPr="00C56257" w14:paraId="690E174F" w14:textId="77777777" w:rsidTr="003771D0">
        <w:trPr>
          <w:trHeight w:val="251"/>
        </w:trPr>
        <w:tc>
          <w:tcPr>
            <w:tcW w:w="3349" w:type="dxa"/>
            <w:vMerge/>
            <w:tcBorders>
              <w:top w:val="nil"/>
            </w:tcBorders>
          </w:tcPr>
          <w:p w14:paraId="6BBA2062" w14:textId="77777777" w:rsidR="00D810D6" w:rsidRPr="00C56257" w:rsidRDefault="00D810D6" w:rsidP="00487855">
            <w:pPr>
              <w:jc w:val="both"/>
              <w:rPr>
                <w:color w:val="000000" w:themeColor="text1"/>
              </w:rPr>
            </w:pPr>
          </w:p>
        </w:tc>
        <w:tc>
          <w:tcPr>
            <w:tcW w:w="2268" w:type="dxa"/>
          </w:tcPr>
          <w:p w14:paraId="5E793E32" w14:textId="77777777" w:rsidR="00D810D6" w:rsidRPr="00881670" w:rsidRDefault="00D810D6" w:rsidP="00881670">
            <w:pPr>
              <w:pStyle w:val="TableParagraph"/>
              <w:spacing w:line="234" w:lineRule="exact"/>
              <w:ind w:right="1074"/>
              <w:rPr>
                <w:color w:val="000000"/>
              </w:rPr>
            </w:pPr>
            <w:r w:rsidRPr="00D810D6">
              <w:rPr>
                <w:color w:val="000000"/>
              </w:rPr>
              <w:t>ROSCI0222</w:t>
            </w:r>
          </w:p>
        </w:tc>
        <w:tc>
          <w:tcPr>
            <w:tcW w:w="4178" w:type="dxa"/>
            <w:vAlign w:val="bottom"/>
          </w:tcPr>
          <w:p w14:paraId="6C53E1E6" w14:textId="77777777" w:rsidR="00D810D6" w:rsidRPr="00D810D6" w:rsidRDefault="00D810D6" w:rsidP="00487855">
            <w:pPr>
              <w:pStyle w:val="TableParagraph"/>
              <w:spacing w:line="232" w:lineRule="exact"/>
              <w:ind w:right="542"/>
              <w:jc w:val="both"/>
              <w:rPr>
                <w:color w:val="000000" w:themeColor="text1"/>
              </w:rPr>
            </w:pPr>
            <w:r w:rsidRPr="00D810D6">
              <w:rPr>
                <w:color w:val="000000"/>
              </w:rPr>
              <w:t>Sărăturile Jijia Inferioară - Prut</w:t>
            </w:r>
          </w:p>
        </w:tc>
      </w:tr>
      <w:tr w:rsidR="00D810D6" w:rsidRPr="00C56257" w14:paraId="1F156F79" w14:textId="77777777" w:rsidTr="003771D0">
        <w:trPr>
          <w:trHeight w:val="254"/>
        </w:trPr>
        <w:tc>
          <w:tcPr>
            <w:tcW w:w="3349" w:type="dxa"/>
            <w:vMerge/>
            <w:tcBorders>
              <w:top w:val="nil"/>
            </w:tcBorders>
          </w:tcPr>
          <w:p w14:paraId="5CA11B1F" w14:textId="77777777" w:rsidR="00D810D6" w:rsidRPr="00C56257" w:rsidRDefault="00D810D6" w:rsidP="00487855">
            <w:pPr>
              <w:jc w:val="both"/>
              <w:rPr>
                <w:color w:val="000000" w:themeColor="text1"/>
              </w:rPr>
            </w:pPr>
          </w:p>
        </w:tc>
        <w:tc>
          <w:tcPr>
            <w:tcW w:w="2268" w:type="dxa"/>
          </w:tcPr>
          <w:p w14:paraId="2B9A63E8" w14:textId="77777777" w:rsidR="00D810D6" w:rsidRPr="00881670" w:rsidRDefault="00493079" w:rsidP="00493079">
            <w:pPr>
              <w:pStyle w:val="TableParagraph"/>
              <w:spacing w:line="234" w:lineRule="exact"/>
              <w:ind w:right="1074"/>
              <w:rPr>
                <w:color w:val="000000"/>
              </w:rPr>
            </w:pPr>
            <w:r>
              <w:rPr>
                <w:color w:val="000000"/>
              </w:rPr>
              <w:t>ROSAC</w:t>
            </w:r>
            <w:r w:rsidR="00D810D6" w:rsidRPr="00D810D6">
              <w:rPr>
                <w:color w:val="000000"/>
              </w:rPr>
              <w:t>0223</w:t>
            </w:r>
          </w:p>
        </w:tc>
        <w:tc>
          <w:tcPr>
            <w:tcW w:w="4178" w:type="dxa"/>
            <w:vAlign w:val="bottom"/>
          </w:tcPr>
          <w:p w14:paraId="5CF7877B" w14:textId="77777777" w:rsidR="00D810D6" w:rsidRPr="00D810D6" w:rsidRDefault="00D810D6" w:rsidP="00487855">
            <w:pPr>
              <w:pStyle w:val="TableParagraph"/>
              <w:spacing w:line="234" w:lineRule="exact"/>
              <w:ind w:right="542"/>
              <w:jc w:val="both"/>
              <w:rPr>
                <w:color w:val="000000" w:themeColor="text1"/>
              </w:rPr>
            </w:pPr>
            <w:r w:rsidRPr="00D810D6">
              <w:rPr>
                <w:color w:val="000000"/>
              </w:rPr>
              <w:t>Sărăturile Ocna Veche</w:t>
            </w:r>
          </w:p>
        </w:tc>
      </w:tr>
      <w:tr w:rsidR="00D810D6" w:rsidRPr="00C56257" w14:paraId="017235BC" w14:textId="77777777" w:rsidTr="003771D0">
        <w:trPr>
          <w:trHeight w:val="251"/>
        </w:trPr>
        <w:tc>
          <w:tcPr>
            <w:tcW w:w="3349" w:type="dxa"/>
            <w:vMerge/>
            <w:tcBorders>
              <w:top w:val="nil"/>
            </w:tcBorders>
          </w:tcPr>
          <w:p w14:paraId="14623D1E" w14:textId="77777777" w:rsidR="00D810D6" w:rsidRPr="00C56257" w:rsidRDefault="00D810D6" w:rsidP="00487855">
            <w:pPr>
              <w:jc w:val="both"/>
              <w:rPr>
                <w:color w:val="000000" w:themeColor="text1"/>
              </w:rPr>
            </w:pPr>
          </w:p>
        </w:tc>
        <w:tc>
          <w:tcPr>
            <w:tcW w:w="2268" w:type="dxa"/>
          </w:tcPr>
          <w:p w14:paraId="17CF584E" w14:textId="77777777" w:rsidR="00D810D6" w:rsidRPr="00881670" w:rsidRDefault="00D810D6" w:rsidP="00493079">
            <w:pPr>
              <w:pStyle w:val="TableParagraph"/>
              <w:spacing w:line="234" w:lineRule="exact"/>
              <w:ind w:right="1074"/>
              <w:rPr>
                <w:color w:val="000000"/>
              </w:rPr>
            </w:pPr>
            <w:r w:rsidRPr="00D810D6">
              <w:rPr>
                <w:color w:val="000000"/>
              </w:rPr>
              <w:t>ROS</w:t>
            </w:r>
            <w:r w:rsidR="00493079">
              <w:rPr>
                <w:color w:val="000000"/>
              </w:rPr>
              <w:t>AC</w:t>
            </w:r>
            <w:r w:rsidRPr="00D810D6">
              <w:rPr>
                <w:color w:val="000000"/>
              </w:rPr>
              <w:t>0238</w:t>
            </w:r>
          </w:p>
        </w:tc>
        <w:tc>
          <w:tcPr>
            <w:tcW w:w="4178" w:type="dxa"/>
            <w:vAlign w:val="bottom"/>
          </w:tcPr>
          <w:p w14:paraId="087B68DA" w14:textId="77777777" w:rsidR="00D810D6" w:rsidRPr="00D810D6" w:rsidRDefault="00D810D6" w:rsidP="00487855">
            <w:pPr>
              <w:pStyle w:val="TableParagraph"/>
              <w:spacing w:line="232" w:lineRule="exact"/>
              <w:ind w:right="542"/>
              <w:jc w:val="both"/>
              <w:rPr>
                <w:color w:val="000000" w:themeColor="text1"/>
              </w:rPr>
            </w:pPr>
            <w:r w:rsidRPr="00D810D6">
              <w:rPr>
                <w:color w:val="000000"/>
              </w:rPr>
              <w:t>Suatu - Cojocna - Crairât</w:t>
            </w:r>
          </w:p>
        </w:tc>
      </w:tr>
      <w:tr w:rsidR="00D810D6" w:rsidRPr="00C56257" w14:paraId="3D976A70" w14:textId="77777777" w:rsidTr="003771D0">
        <w:trPr>
          <w:trHeight w:val="254"/>
        </w:trPr>
        <w:tc>
          <w:tcPr>
            <w:tcW w:w="3349" w:type="dxa"/>
            <w:vMerge/>
            <w:tcBorders>
              <w:top w:val="nil"/>
            </w:tcBorders>
          </w:tcPr>
          <w:p w14:paraId="15842C2A" w14:textId="77777777" w:rsidR="00D810D6" w:rsidRPr="00C56257" w:rsidRDefault="00D810D6" w:rsidP="00487855">
            <w:pPr>
              <w:jc w:val="both"/>
              <w:rPr>
                <w:color w:val="000000" w:themeColor="text1"/>
              </w:rPr>
            </w:pPr>
          </w:p>
        </w:tc>
        <w:tc>
          <w:tcPr>
            <w:tcW w:w="2268" w:type="dxa"/>
          </w:tcPr>
          <w:p w14:paraId="0A9F09F3" w14:textId="77777777" w:rsidR="00D810D6" w:rsidRPr="00881670" w:rsidRDefault="00D810D6" w:rsidP="00881670">
            <w:pPr>
              <w:pStyle w:val="TableParagraph"/>
              <w:spacing w:line="234" w:lineRule="exact"/>
              <w:ind w:right="1074"/>
              <w:rPr>
                <w:color w:val="000000"/>
              </w:rPr>
            </w:pPr>
            <w:r w:rsidRPr="00D810D6">
              <w:rPr>
                <w:color w:val="000000"/>
              </w:rPr>
              <w:t>ROSCI0305</w:t>
            </w:r>
          </w:p>
        </w:tc>
        <w:tc>
          <w:tcPr>
            <w:tcW w:w="4178" w:type="dxa"/>
            <w:vAlign w:val="bottom"/>
          </w:tcPr>
          <w:p w14:paraId="124D6138" w14:textId="77777777" w:rsidR="00D810D6" w:rsidRPr="00D810D6" w:rsidRDefault="00D810D6" w:rsidP="00487855">
            <w:pPr>
              <w:pStyle w:val="TableParagraph"/>
              <w:spacing w:line="234" w:lineRule="exact"/>
              <w:ind w:right="542"/>
              <w:jc w:val="both"/>
              <w:rPr>
                <w:color w:val="000000" w:themeColor="text1"/>
              </w:rPr>
            </w:pPr>
            <w:r w:rsidRPr="00D810D6">
              <w:rPr>
                <w:color w:val="000000"/>
              </w:rPr>
              <w:t>Ianca - Plopu - Sărat - Comăneasca</w:t>
            </w:r>
          </w:p>
        </w:tc>
      </w:tr>
      <w:tr w:rsidR="00D810D6" w:rsidRPr="00C56257" w14:paraId="2EACB6C9" w14:textId="77777777" w:rsidTr="003771D0">
        <w:trPr>
          <w:trHeight w:val="254"/>
        </w:trPr>
        <w:tc>
          <w:tcPr>
            <w:tcW w:w="3349" w:type="dxa"/>
            <w:vMerge/>
            <w:tcBorders>
              <w:top w:val="nil"/>
            </w:tcBorders>
          </w:tcPr>
          <w:p w14:paraId="74DB18A6" w14:textId="77777777" w:rsidR="00D810D6" w:rsidRPr="00C56257" w:rsidRDefault="00D810D6" w:rsidP="00487855">
            <w:pPr>
              <w:jc w:val="both"/>
              <w:rPr>
                <w:color w:val="000000" w:themeColor="text1"/>
              </w:rPr>
            </w:pPr>
          </w:p>
        </w:tc>
        <w:tc>
          <w:tcPr>
            <w:tcW w:w="2268" w:type="dxa"/>
          </w:tcPr>
          <w:p w14:paraId="144D8541" w14:textId="77777777" w:rsidR="00D810D6" w:rsidRPr="00881670" w:rsidRDefault="00D810D6" w:rsidP="00881670">
            <w:pPr>
              <w:pStyle w:val="TableParagraph"/>
              <w:spacing w:line="234" w:lineRule="exact"/>
              <w:ind w:right="1074"/>
              <w:rPr>
                <w:color w:val="000000"/>
              </w:rPr>
            </w:pPr>
            <w:r w:rsidRPr="00D810D6">
              <w:rPr>
                <w:color w:val="000000"/>
              </w:rPr>
              <w:t>ROSCI0307</w:t>
            </w:r>
          </w:p>
        </w:tc>
        <w:tc>
          <w:tcPr>
            <w:tcW w:w="4178" w:type="dxa"/>
            <w:vAlign w:val="bottom"/>
          </w:tcPr>
          <w:p w14:paraId="7CFDC648" w14:textId="77777777" w:rsidR="00D810D6" w:rsidRPr="00D810D6" w:rsidRDefault="00D810D6" w:rsidP="00487855">
            <w:pPr>
              <w:pStyle w:val="TableParagraph"/>
              <w:spacing w:line="234" w:lineRule="exact"/>
              <w:ind w:right="542"/>
              <w:jc w:val="both"/>
              <w:rPr>
                <w:color w:val="000000" w:themeColor="text1"/>
              </w:rPr>
            </w:pPr>
            <w:r w:rsidRPr="00D810D6">
              <w:rPr>
                <w:color w:val="000000"/>
              </w:rPr>
              <w:t>Lacul Sărat - Brăila</w:t>
            </w:r>
          </w:p>
        </w:tc>
      </w:tr>
      <w:tr w:rsidR="00D810D6" w:rsidRPr="00C56257" w14:paraId="0E6ACB78" w14:textId="77777777" w:rsidTr="003771D0">
        <w:trPr>
          <w:trHeight w:val="251"/>
        </w:trPr>
        <w:tc>
          <w:tcPr>
            <w:tcW w:w="3349" w:type="dxa"/>
            <w:vMerge/>
            <w:tcBorders>
              <w:top w:val="nil"/>
            </w:tcBorders>
          </w:tcPr>
          <w:p w14:paraId="32ED15F6" w14:textId="77777777" w:rsidR="00D810D6" w:rsidRPr="00C56257" w:rsidRDefault="00D810D6" w:rsidP="00487855">
            <w:pPr>
              <w:jc w:val="both"/>
              <w:rPr>
                <w:color w:val="000000" w:themeColor="text1"/>
              </w:rPr>
            </w:pPr>
          </w:p>
        </w:tc>
        <w:tc>
          <w:tcPr>
            <w:tcW w:w="2268" w:type="dxa"/>
          </w:tcPr>
          <w:p w14:paraId="4C704925" w14:textId="77777777" w:rsidR="00D810D6" w:rsidRPr="00881670" w:rsidRDefault="00D810D6" w:rsidP="00881670">
            <w:pPr>
              <w:pStyle w:val="TableParagraph"/>
              <w:spacing w:line="234" w:lineRule="exact"/>
              <w:ind w:right="1074"/>
              <w:rPr>
                <w:color w:val="000000"/>
              </w:rPr>
            </w:pPr>
            <w:r w:rsidRPr="00D810D6">
              <w:rPr>
                <w:color w:val="000000"/>
              </w:rPr>
              <w:t>ROSCI0389</w:t>
            </w:r>
          </w:p>
        </w:tc>
        <w:tc>
          <w:tcPr>
            <w:tcW w:w="4178" w:type="dxa"/>
            <w:vAlign w:val="bottom"/>
          </w:tcPr>
          <w:p w14:paraId="0AB2F4EC" w14:textId="77777777" w:rsidR="00D810D6" w:rsidRPr="00D810D6" w:rsidRDefault="00D810D6" w:rsidP="00487855">
            <w:pPr>
              <w:pStyle w:val="TableParagraph"/>
              <w:spacing w:line="232" w:lineRule="exact"/>
              <w:ind w:right="542"/>
              <w:jc w:val="both"/>
              <w:rPr>
                <w:color w:val="000000" w:themeColor="text1"/>
              </w:rPr>
            </w:pPr>
            <w:r w:rsidRPr="00D810D6">
              <w:rPr>
                <w:color w:val="000000"/>
              </w:rPr>
              <w:t>Sărăturile de la Gura Ialomiței - Mihai Bravu</w:t>
            </w:r>
          </w:p>
        </w:tc>
      </w:tr>
      <w:tr w:rsidR="00D810D6" w:rsidRPr="00C56257" w14:paraId="7290FF35" w14:textId="77777777" w:rsidTr="003771D0">
        <w:trPr>
          <w:trHeight w:val="505"/>
        </w:trPr>
        <w:tc>
          <w:tcPr>
            <w:tcW w:w="3349" w:type="dxa"/>
          </w:tcPr>
          <w:p w14:paraId="320C63E1" w14:textId="77777777" w:rsidR="00D810D6" w:rsidRPr="00C56257" w:rsidRDefault="00D810D6" w:rsidP="00487855">
            <w:pPr>
              <w:pStyle w:val="TableParagraph"/>
              <w:spacing w:line="247" w:lineRule="exact"/>
              <w:ind w:left="108"/>
              <w:jc w:val="both"/>
              <w:rPr>
                <w:color w:val="000000" w:themeColor="text1"/>
                <w:sz w:val="24"/>
                <w:szCs w:val="24"/>
              </w:rPr>
            </w:pPr>
            <w:r w:rsidRPr="00C56257">
              <w:rPr>
                <w:color w:val="000000" w:themeColor="text1"/>
                <w:sz w:val="24"/>
                <w:szCs w:val="24"/>
              </w:rPr>
              <w:t>1410</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5"/>
                <w:sz w:val="24"/>
                <w:szCs w:val="24"/>
              </w:rPr>
              <w:t xml:space="preserve"> </w:t>
            </w:r>
            <w:r w:rsidRPr="00C56257">
              <w:rPr>
                <w:color w:val="000000" w:themeColor="text1"/>
                <w:sz w:val="24"/>
                <w:szCs w:val="24"/>
              </w:rPr>
              <w:t>Pajişti sărăturate</w:t>
            </w:r>
            <w:r w:rsidRPr="00C56257">
              <w:rPr>
                <w:color w:val="000000" w:themeColor="text1"/>
                <w:spacing w:val="-1"/>
                <w:sz w:val="24"/>
                <w:szCs w:val="24"/>
              </w:rPr>
              <w:t xml:space="preserve"> </w:t>
            </w:r>
            <w:r w:rsidRPr="00C56257">
              <w:rPr>
                <w:color w:val="000000" w:themeColor="text1"/>
                <w:sz w:val="24"/>
                <w:szCs w:val="24"/>
              </w:rPr>
              <w:t>de</w:t>
            </w:r>
            <w:r w:rsidRPr="00C56257">
              <w:rPr>
                <w:color w:val="000000" w:themeColor="text1"/>
                <w:spacing w:val="-5"/>
                <w:sz w:val="24"/>
                <w:szCs w:val="24"/>
              </w:rPr>
              <w:t xml:space="preserve"> </w:t>
            </w:r>
            <w:r w:rsidRPr="00C56257">
              <w:rPr>
                <w:color w:val="000000" w:themeColor="text1"/>
                <w:sz w:val="24"/>
                <w:szCs w:val="24"/>
              </w:rPr>
              <w:t>tip</w:t>
            </w:r>
          </w:p>
          <w:p w14:paraId="20608BCD" w14:textId="77777777" w:rsidR="00D810D6" w:rsidRPr="00C56257" w:rsidRDefault="00D810D6" w:rsidP="00487855">
            <w:pPr>
              <w:pStyle w:val="TableParagraph"/>
              <w:spacing w:before="1" w:line="238" w:lineRule="exact"/>
              <w:ind w:left="108"/>
              <w:jc w:val="both"/>
              <w:rPr>
                <w:color w:val="000000" w:themeColor="text1"/>
                <w:sz w:val="24"/>
                <w:szCs w:val="24"/>
              </w:rPr>
            </w:pPr>
            <w:r w:rsidRPr="00C56257">
              <w:rPr>
                <w:color w:val="000000" w:themeColor="text1"/>
                <w:sz w:val="24"/>
                <w:szCs w:val="24"/>
              </w:rPr>
              <w:t>mediteranean</w:t>
            </w:r>
            <w:r w:rsidRPr="00C56257">
              <w:rPr>
                <w:color w:val="000000" w:themeColor="text1"/>
                <w:spacing w:val="-6"/>
                <w:sz w:val="24"/>
                <w:szCs w:val="24"/>
              </w:rPr>
              <w:t xml:space="preserve"> </w:t>
            </w:r>
            <w:r w:rsidRPr="00C56257">
              <w:rPr>
                <w:color w:val="000000" w:themeColor="text1"/>
                <w:sz w:val="24"/>
                <w:szCs w:val="24"/>
              </w:rPr>
              <w:t>(</w:t>
            </w:r>
            <w:r w:rsidRPr="00C56257">
              <w:rPr>
                <w:i/>
                <w:color w:val="000000" w:themeColor="text1"/>
                <w:sz w:val="24"/>
                <w:szCs w:val="24"/>
              </w:rPr>
              <w:t>Juncetalia</w:t>
            </w:r>
            <w:r w:rsidRPr="00C56257">
              <w:rPr>
                <w:i/>
                <w:color w:val="000000" w:themeColor="text1"/>
                <w:spacing w:val="-2"/>
                <w:sz w:val="24"/>
                <w:szCs w:val="24"/>
              </w:rPr>
              <w:t xml:space="preserve"> </w:t>
            </w:r>
            <w:r w:rsidRPr="00C56257">
              <w:rPr>
                <w:i/>
                <w:color w:val="000000" w:themeColor="text1"/>
                <w:sz w:val="24"/>
                <w:szCs w:val="24"/>
              </w:rPr>
              <w:t>maritimi</w:t>
            </w:r>
            <w:r w:rsidRPr="00C56257">
              <w:rPr>
                <w:color w:val="000000" w:themeColor="text1"/>
                <w:sz w:val="24"/>
                <w:szCs w:val="24"/>
              </w:rPr>
              <w:t>)</w:t>
            </w:r>
          </w:p>
        </w:tc>
        <w:tc>
          <w:tcPr>
            <w:tcW w:w="2268" w:type="dxa"/>
          </w:tcPr>
          <w:p w14:paraId="32E001E1" w14:textId="77777777" w:rsidR="00D810D6" w:rsidRPr="00D810D6" w:rsidRDefault="00D810D6" w:rsidP="00881670">
            <w:pPr>
              <w:pStyle w:val="TableParagraph"/>
              <w:spacing w:line="232" w:lineRule="exact"/>
              <w:ind w:right="1074"/>
              <w:rPr>
                <w:color w:val="000000"/>
              </w:rPr>
            </w:pPr>
            <w:r w:rsidRPr="00D810D6">
              <w:rPr>
                <w:color w:val="000000"/>
              </w:rPr>
              <w:t>ROSCI0065</w:t>
            </w:r>
          </w:p>
        </w:tc>
        <w:tc>
          <w:tcPr>
            <w:tcW w:w="4178" w:type="dxa"/>
            <w:vAlign w:val="bottom"/>
          </w:tcPr>
          <w:p w14:paraId="56B4D660" w14:textId="77777777" w:rsidR="00D810D6" w:rsidRPr="00D810D6" w:rsidRDefault="00D810D6" w:rsidP="00487855">
            <w:pPr>
              <w:pStyle w:val="TableParagraph"/>
              <w:spacing w:line="232" w:lineRule="exact"/>
              <w:ind w:right="542"/>
              <w:jc w:val="both"/>
              <w:rPr>
                <w:color w:val="000000"/>
              </w:rPr>
            </w:pPr>
            <w:r w:rsidRPr="00D810D6">
              <w:rPr>
                <w:color w:val="000000"/>
              </w:rPr>
              <w:t>Delta Dunării</w:t>
            </w:r>
          </w:p>
        </w:tc>
      </w:tr>
      <w:tr w:rsidR="00D810D6" w:rsidRPr="00C56257" w14:paraId="4910C852" w14:textId="77777777" w:rsidTr="003771D0">
        <w:trPr>
          <w:trHeight w:val="253"/>
        </w:trPr>
        <w:tc>
          <w:tcPr>
            <w:tcW w:w="3349" w:type="dxa"/>
            <w:vMerge w:val="restart"/>
          </w:tcPr>
          <w:p w14:paraId="3F9B8865" w14:textId="77777777" w:rsidR="00D810D6" w:rsidRPr="00C56257" w:rsidRDefault="00D810D6" w:rsidP="00487855">
            <w:pPr>
              <w:pStyle w:val="TableParagraph"/>
              <w:jc w:val="both"/>
              <w:rPr>
                <w:color w:val="000000" w:themeColor="text1"/>
                <w:sz w:val="24"/>
                <w:szCs w:val="24"/>
              </w:rPr>
            </w:pPr>
          </w:p>
          <w:p w14:paraId="4CCC5326" w14:textId="77777777" w:rsidR="00D810D6" w:rsidRPr="00C56257" w:rsidRDefault="00D810D6" w:rsidP="00487855">
            <w:pPr>
              <w:pStyle w:val="TableParagraph"/>
              <w:jc w:val="both"/>
              <w:rPr>
                <w:color w:val="000000" w:themeColor="text1"/>
                <w:sz w:val="24"/>
                <w:szCs w:val="24"/>
              </w:rPr>
            </w:pPr>
          </w:p>
          <w:p w14:paraId="559EA515" w14:textId="77777777" w:rsidR="00D810D6" w:rsidRPr="00C56257" w:rsidRDefault="00D810D6" w:rsidP="00487855">
            <w:pPr>
              <w:pStyle w:val="TableParagraph"/>
              <w:jc w:val="both"/>
              <w:rPr>
                <w:color w:val="000000" w:themeColor="text1"/>
                <w:sz w:val="24"/>
                <w:szCs w:val="24"/>
              </w:rPr>
            </w:pPr>
          </w:p>
          <w:p w14:paraId="422FED05" w14:textId="77777777" w:rsidR="00D810D6" w:rsidRPr="00C56257" w:rsidRDefault="00D810D6" w:rsidP="00487855">
            <w:pPr>
              <w:pStyle w:val="TableParagraph"/>
              <w:jc w:val="both"/>
              <w:rPr>
                <w:color w:val="000000" w:themeColor="text1"/>
                <w:sz w:val="24"/>
                <w:szCs w:val="24"/>
              </w:rPr>
            </w:pPr>
          </w:p>
          <w:p w14:paraId="43A4C337" w14:textId="77777777" w:rsidR="00D810D6" w:rsidRPr="00C56257" w:rsidRDefault="00D810D6" w:rsidP="00487855">
            <w:pPr>
              <w:pStyle w:val="TableParagraph"/>
              <w:jc w:val="both"/>
              <w:rPr>
                <w:color w:val="000000" w:themeColor="text1"/>
                <w:sz w:val="24"/>
                <w:szCs w:val="24"/>
              </w:rPr>
            </w:pPr>
          </w:p>
          <w:p w14:paraId="22E1EC20" w14:textId="77777777" w:rsidR="00D810D6" w:rsidRPr="00C56257" w:rsidRDefault="00D810D6" w:rsidP="00487855">
            <w:pPr>
              <w:pStyle w:val="TableParagraph"/>
              <w:jc w:val="both"/>
              <w:rPr>
                <w:color w:val="000000" w:themeColor="text1"/>
                <w:sz w:val="24"/>
                <w:szCs w:val="24"/>
              </w:rPr>
            </w:pPr>
          </w:p>
          <w:p w14:paraId="502C449E" w14:textId="77777777" w:rsidR="00D810D6" w:rsidRPr="00C56257" w:rsidRDefault="00D810D6" w:rsidP="00487855">
            <w:pPr>
              <w:pStyle w:val="TableParagraph"/>
              <w:jc w:val="both"/>
              <w:rPr>
                <w:color w:val="000000" w:themeColor="text1"/>
                <w:sz w:val="24"/>
                <w:szCs w:val="24"/>
              </w:rPr>
            </w:pPr>
          </w:p>
          <w:p w14:paraId="4D5135B1" w14:textId="77777777" w:rsidR="00D810D6" w:rsidRPr="00C56257" w:rsidRDefault="00D810D6" w:rsidP="00487855">
            <w:pPr>
              <w:pStyle w:val="TableParagraph"/>
              <w:jc w:val="both"/>
              <w:rPr>
                <w:color w:val="000000" w:themeColor="text1"/>
                <w:sz w:val="24"/>
                <w:szCs w:val="24"/>
              </w:rPr>
            </w:pPr>
          </w:p>
          <w:p w14:paraId="3F85AE67" w14:textId="77777777" w:rsidR="00D810D6" w:rsidRPr="00C56257" w:rsidRDefault="00D810D6" w:rsidP="00487855">
            <w:pPr>
              <w:pStyle w:val="TableParagraph"/>
              <w:jc w:val="both"/>
              <w:rPr>
                <w:color w:val="000000" w:themeColor="text1"/>
                <w:sz w:val="24"/>
                <w:szCs w:val="24"/>
              </w:rPr>
            </w:pPr>
          </w:p>
          <w:p w14:paraId="06807CDD" w14:textId="77777777" w:rsidR="00D810D6" w:rsidRPr="00C56257" w:rsidRDefault="00D810D6" w:rsidP="00487855">
            <w:pPr>
              <w:pStyle w:val="TableParagraph"/>
              <w:jc w:val="both"/>
              <w:rPr>
                <w:color w:val="000000" w:themeColor="text1"/>
                <w:sz w:val="24"/>
                <w:szCs w:val="24"/>
              </w:rPr>
            </w:pPr>
          </w:p>
          <w:p w14:paraId="0A42DCCA" w14:textId="77777777" w:rsidR="00D810D6" w:rsidRPr="00C56257" w:rsidRDefault="00D810D6" w:rsidP="00487855">
            <w:pPr>
              <w:pStyle w:val="TableParagraph"/>
              <w:jc w:val="both"/>
              <w:rPr>
                <w:color w:val="000000" w:themeColor="text1"/>
                <w:sz w:val="24"/>
                <w:szCs w:val="24"/>
              </w:rPr>
            </w:pPr>
          </w:p>
          <w:p w14:paraId="421CF531" w14:textId="77777777" w:rsidR="00D810D6" w:rsidRPr="00C56257" w:rsidRDefault="00D810D6" w:rsidP="00487855">
            <w:pPr>
              <w:pStyle w:val="TableParagraph"/>
              <w:jc w:val="both"/>
              <w:rPr>
                <w:color w:val="000000" w:themeColor="text1"/>
                <w:sz w:val="24"/>
                <w:szCs w:val="24"/>
              </w:rPr>
            </w:pPr>
          </w:p>
          <w:p w14:paraId="6BF74166" w14:textId="77777777" w:rsidR="00D810D6" w:rsidRPr="00C56257" w:rsidRDefault="00D810D6" w:rsidP="00487855">
            <w:pPr>
              <w:pStyle w:val="TableParagraph"/>
              <w:spacing w:before="1"/>
              <w:jc w:val="both"/>
              <w:rPr>
                <w:color w:val="000000" w:themeColor="text1"/>
                <w:sz w:val="24"/>
                <w:szCs w:val="24"/>
              </w:rPr>
            </w:pPr>
          </w:p>
          <w:p w14:paraId="0794D5C7" w14:textId="77777777" w:rsidR="00D810D6" w:rsidRPr="00C56257" w:rsidRDefault="00D810D6" w:rsidP="00487855">
            <w:pPr>
              <w:pStyle w:val="TableParagraph"/>
              <w:ind w:left="108" w:right="871"/>
              <w:jc w:val="both"/>
              <w:rPr>
                <w:color w:val="000000" w:themeColor="text1"/>
                <w:sz w:val="24"/>
                <w:szCs w:val="24"/>
              </w:rPr>
            </w:pPr>
            <w:r w:rsidRPr="00C56257">
              <w:rPr>
                <w:color w:val="000000" w:themeColor="text1"/>
                <w:sz w:val="24"/>
                <w:szCs w:val="24"/>
              </w:rPr>
              <w:t>1530* - Pajişti şi mlaştini halofile</w:t>
            </w:r>
            <w:r w:rsidRPr="00C56257">
              <w:rPr>
                <w:color w:val="000000" w:themeColor="text1"/>
                <w:spacing w:val="-52"/>
                <w:sz w:val="24"/>
                <w:szCs w:val="24"/>
              </w:rPr>
              <w:t xml:space="preserve"> </w:t>
            </w:r>
            <w:r w:rsidRPr="00C56257">
              <w:rPr>
                <w:color w:val="000000" w:themeColor="text1"/>
                <w:sz w:val="24"/>
                <w:szCs w:val="24"/>
              </w:rPr>
              <w:t>panonice</w:t>
            </w:r>
            <w:r w:rsidRPr="00C56257">
              <w:rPr>
                <w:color w:val="000000" w:themeColor="text1"/>
                <w:spacing w:val="-3"/>
                <w:sz w:val="24"/>
                <w:szCs w:val="24"/>
              </w:rPr>
              <w:t xml:space="preserve"> </w:t>
            </w:r>
            <w:r w:rsidRPr="00C56257">
              <w:rPr>
                <w:color w:val="000000" w:themeColor="text1"/>
                <w:sz w:val="24"/>
                <w:szCs w:val="24"/>
              </w:rPr>
              <w:t>şi ponto-sarmatice</w:t>
            </w:r>
          </w:p>
        </w:tc>
        <w:tc>
          <w:tcPr>
            <w:tcW w:w="2268" w:type="dxa"/>
          </w:tcPr>
          <w:p w14:paraId="73D9E02C" w14:textId="77777777" w:rsidR="00D810D6" w:rsidRPr="00D810D6" w:rsidRDefault="00D810D6" w:rsidP="00881670">
            <w:pPr>
              <w:pStyle w:val="TableParagraph"/>
              <w:spacing w:line="234" w:lineRule="exact"/>
              <w:ind w:right="1074"/>
              <w:rPr>
                <w:color w:val="000000"/>
              </w:rPr>
            </w:pPr>
            <w:r w:rsidRPr="00D810D6">
              <w:rPr>
                <w:color w:val="000000"/>
              </w:rPr>
              <w:t>ROSCI0005</w:t>
            </w:r>
          </w:p>
        </w:tc>
        <w:tc>
          <w:tcPr>
            <w:tcW w:w="4178" w:type="dxa"/>
            <w:vAlign w:val="bottom"/>
          </w:tcPr>
          <w:p w14:paraId="0879F09F" w14:textId="77777777" w:rsidR="00D810D6" w:rsidRPr="00D810D6" w:rsidRDefault="00D810D6" w:rsidP="003771D0">
            <w:pPr>
              <w:pStyle w:val="TableParagraph"/>
              <w:spacing w:line="234" w:lineRule="exact"/>
              <w:ind w:left="38"/>
              <w:jc w:val="both"/>
              <w:rPr>
                <w:color w:val="000000"/>
              </w:rPr>
            </w:pPr>
            <w:r w:rsidRPr="00D810D6">
              <w:rPr>
                <w:color w:val="000000"/>
              </w:rPr>
              <w:t>Balta Albă - Amara - Jirlău - Lacul Sărat Câineni</w:t>
            </w:r>
          </w:p>
        </w:tc>
      </w:tr>
      <w:tr w:rsidR="00D810D6" w:rsidRPr="00C56257" w14:paraId="261342A2" w14:textId="77777777" w:rsidTr="003771D0">
        <w:trPr>
          <w:trHeight w:val="254"/>
        </w:trPr>
        <w:tc>
          <w:tcPr>
            <w:tcW w:w="3349" w:type="dxa"/>
            <w:vMerge/>
            <w:tcBorders>
              <w:top w:val="nil"/>
            </w:tcBorders>
          </w:tcPr>
          <w:p w14:paraId="23E1D359" w14:textId="77777777" w:rsidR="00D810D6" w:rsidRPr="00C56257" w:rsidRDefault="00D810D6" w:rsidP="00487855">
            <w:pPr>
              <w:jc w:val="both"/>
              <w:rPr>
                <w:color w:val="000000" w:themeColor="text1"/>
              </w:rPr>
            </w:pPr>
          </w:p>
        </w:tc>
        <w:tc>
          <w:tcPr>
            <w:tcW w:w="2268" w:type="dxa"/>
          </w:tcPr>
          <w:p w14:paraId="2975C3D7" w14:textId="77777777" w:rsidR="00D810D6" w:rsidRPr="00D810D6" w:rsidRDefault="00D810D6" w:rsidP="00881670">
            <w:pPr>
              <w:pStyle w:val="TableParagraph"/>
              <w:spacing w:line="234" w:lineRule="exact"/>
              <w:ind w:right="1074"/>
              <w:rPr>
                <w:color w:val="000000"/>
              </w:rPr>
            </w:pPr>
            <w:r w:rsidRPr="00D810D6">
              <w:rPr>
                <w:color w:val="000000"/>
              </w:rPr>
              <w:t>ROSCI0021</w:t>
            </w:r>
          </w:p>
        </w:tc>
        <w:tc>
          <w:tcPr>
            <w:tcW w:w="4178" w:type="dxa"/>
            <w:vAlign w:val="bottom"/>
          </w:tcPr>
          <w:p w14:paraId="25E6E606" w14:textId="77777777" w:rsidR="00D810D6" w:rsidRPr="00D810D6" w:rsidRDefault="00D810D6" w:rsidP="00487855">
            <w:pPr>
              <w:pStyle w:val="TableParagraph"/>
              <w:spacing w:line="234" w:lineRule="exact"/>
              <w:ind w:right="1074"/>
              <w:jc w:val="both"/>
              <w:rPr>
                <w:color w:val="000000"/>
              </w:rPr>
            </w:pPr>
            <w:r w:rsidRPr="00D810D6">
              <w:rPr>
                <w:color w:val="000000"/>
              </w:rPr>
              <w:t>Câmpia Ierului</w:t>
            </w:r>
          </w:p>
        </w:tc>
      </w:tr>
      <w:tr w:rsidR="00D810D6" w:rsidRPr="00C56257" w14:paraId="461B23B1" w14:textId="77777777" w:rsidTr="003771D0">
        <w:trPr>
          <w:trHeight w:val="251"/>
        </w:trPr>
        <w:tc>
          <w:tcPr>
            <w:tcW w:w="3349" w:type="dxa"/>
            <w:vMerge/>
            <w:tcBorders>
              <w:top w:val="nil"/>
            </w:tcBorders>
          </w:tcPr>
          <w:p w14:paraId="4BEFFB25" w14:textId="77777777" w:rsidR="00D810D6" w:rsidRPr="00C56257" w:rsidRDefault="00D810D6" w:rsidP="00487855">
            <w:pPr>
              <w:jc w:val="both"/>
              <w:rPr>
                <w:color w:val="000000" w:themeColor="text1"/>
              </w:rPr>
            </w:pPr>
          </w:p>
        </w:tc>
        <w:tc>
          <w:tcPr>
            <w:tcW w:w="2268" w:type="dxa"/>
          </w:tcPr>
          <w:p w14:paraId="5082A06B" w14:textId="77777777" w:rsidR="00D810D6" w:rsidRPr="00D810D6" w:rsidRDefault="00D810D6" w:rsidP="00881670">
            <w:pPr>
              <w:pStyle w:val="TableParagraph"/>
              <w:spacing w:line="234" w:lineRule="exact"/>
              <w:ind w:right="1074"/>
              <w:rPr>
                <w:color w:val="000000"/>
              </w:rPr>
            </w:pPr>
            <w:r w:rsidRPr="00D810D6">
              <w:rPr>
                <w:color w:val="000000"/>
              </w:rPr>
              <w:t>ROSCI0025</w:t>
            </w:r>
          </w:p>
        </w:tc>
        <w:tc>
          <w:tcPr>
            <w:tcW w:w="4178" w:type="dxa"/>
            <w:vAlign w:val="bottom"/>
          </w:tcPr>
          <w:p w14:paraId="3E510AE1" w14:textId="77777777" w:rsidR="00D810D6" w:rsidRPr="00D810D6" w:rsidRDefault="00D810D6" w:rsidP="00487855">
            <w:pPr>
              <w:pStyle w:val="TableParagraph"/>
              <w:spacing w:line="234" w:lineRule="exact"/>
              <w:ind w:right="1074"/>
              <w:jc w:val="both"/>
              <w:rPr>
                <w:color w:val="000000"/>
              </w:rPr>
            </w:pPr>
            <w:r w:rsidRPr="00D810D6">
              <w:rPr>
                <w:color w:val="000000"/>
              </w:rPr>
              <w:t>Cefa</w:t>
            </w:r>
          </w:p>
        </w:tc>
      </w:tr>
      <w:tr w:rsidR="00D810D6" w:rsidRPr="00C56257" w14:paraId="6D979C4C" w14:textId="77777777" w:rsidTr="003771D0">
        <w:trPr>
          <w:trHeight w:val="253"/>
        </w:trPr>
        <w:tc>
          <w:tcPr>
            <w:tcW w:w="3349" w:type="dxa"/>
            <w:vMerge/>
            <w:tcBorders>
              <w:top w:val="nil"/>
            </w:tcBorders>
          </w:tcPr>
          <w:p w14:paraId="1A3521DB" w14:textId="77777777" w:rsidR="00D810D6" w:rsidRPr="00C56257" w:rsidRDefault="00D810D6" w:rsidP="00487855">
            <w:pPr>
              <w:jc w:val="both"/>
              <w:rPr>
                <w:color w:val="000000" w:themeColor="text1"/>
              </w:rPr>
            </w:pPr>
          </w:p>
        </w:tc>
        <w:tc>
          <w:tcPr>
            <w:tcW w:w="2268" w:type="dxa"/>
          </w:tcPr>
          <w:p w14:paraId="03609F43" w14:textId="77777777" w:rsidR="00D810D6" w:rsidRPr="00D810D6" w:rsidRDefault="00493079" w:rsidP="00881670">
            <w:pPr>
              <w:pStyle w:val="TableParagraph"/>
              <w:spacing w:line="234" w:lineRule="exact"/>
              <w:ind w:right="1074"/>
              <w:rPr>
                <w:color w:val="000000"/>
              </w:rPr>
            </w:pPr>
            <w:r>
              <w:rPr>
                <w:color w:val="000000"/>
              </w:rPr>
              <w:t>ROSAC</w:t>
            </w:r>
            <w:r w:rsidR="00D810D6" w:rsidRPr="00D810D6">
              <w:rPr>
                <w:color w:val="000000"/>
              </w:rPr>
              <w:t>0039</w:t>
            </w:r>
          </w:p>
        </w:tc>
        <w:tc>
          <w:tcPr>
            <w:tcW w:w="4178" w:type="dxa"/>
            <w:vAlign w:val="bottom"/>
          </w:tcPr>
          <w:p w14:paraId="2CCA7281" w14:textId="77777777" w:rsidR="00D810D6" w:rsidRPr="00D810D6" w:rsidRDefault="00D810D6" w:rsidP="00487855">
            <w:pPr>
              <w:pStyle w:val="TableParagraph"/>
              <w:spacing w:line="234" w:lineRule="exact"/>
              <w:ind w:right="1074"/>
              <w:jc w:val="both"/>
              <w:rPr>
                <w:color w:val="000000"/>
              </w:rPr>
            </w:pPr>
            <w:r w:rsidRPr="00D810D6">
              <w:rPr>
                <w:color w:val="000000"/>
              </w:rPr>
              <w:t>Ciuperceni - Desa</w:t>
            </w:r>
          </w:p>
        </w:tc>
      </w:tr>
      <w:tr w:rsidR="00D810D6" w:rsidRPr="00C56257" w14:paraId="02C07B18" w14:textId="77777777" w:rsidTr="003771D0">
        <w:trPr>
          <w:trHeight w:val="251"/>
        </w:trPr>
        <w:tc>
          <w:tcPr>
            <w:tcW w:w="3349" w:type="dxa"/>
            <w:vMerge/>
            <w:tcBorders>
              <w:top w:val="nil"/>
            </w:tcBorders>
          </w:tcPr>
          <w:p w14:paraId="6C53FCDA" w14:textId="77777777" w:rsidR="00D810D6" w:rsidRPr="00C56257" w:rsidRDefault="00D810D6" w:rsidP="00487855">
            <w:pPr>
              <w:jc w:val="both"/>
              <w:rPr>
                <w:color w:val="000000" w:themeColor="text1"/>
              </w:rPr>
            </w:pPr>
          </w:p>
        </w:tc>
        <w:tc>
          <w:tcPr>
            <w:tcW w:w="2268" w:type="dxa"/>
          </w:tcPr>
          <w:p w14:paraId="6D18311A" w14:textId="77777777" w:rsidR="00D810D6" w:rsidRPr="00D810D6" w:rsidRDefault="00D810D6" w:rsidP="00881670">
            <w:pPr>
              <w:pStyle w:val="TableParagraph"/>
              <w:spacing w:line="234" w:lineRule="exact"/>
              <w:ind w:right="1074"/>
              <w:rPr>
                <w:color w:val="000000"/>
              </w:rPr>
            </w:pPr>
            <w:r w:rsidRPr="00D810D6">
              <w:rPr>
                <w:color w:val="000000"/>
              </w:rPr>
              <w:t>ROSCI0043</w:t>
            </w:r>
          </w:p>
        </w:tc>
        <w:tc>
          <w:tcPr>
            <w:tcW w:w="4178" w:type="dxa"/>
            <w:vAlign w:val="bottom"/>
          </w:tcPr>
          <w:p w14:paraId="5420A0AA" w14:textId="77777777" w:rsidR="00D810D6" w:rsidRPr="00D810D6" w:rsidRDefault="00D810D6" w:rsidP="00487855">
            <w:pPr>
              <w:pStyle w:val="TableParagraph"/>
              <w:spacing w:line="234" w:lineRule="exact"/>
              <w:ind w:right="1074"/>
              <w:jc w:val="both"/>
              <w:rPr>
                <w:color w:val="000000"/>
              </w:rPr>
            </w:pPr>
            <w:r w:rsidRPr="00D810D6">
              <w:rPr>
                <w:color w:val="000000"/>
              </w:rPr>
              <w:t>Comana</w:t>
            </w:r>
          </w:p>
        </w:tc>
      </w:tr>
      <w:tr w:rsidR="00D810D6" w:rsidRPr="00C56257" w14:paraId="7FDBD6CD" w14:textId="77777777" w:rsidTr="003771D0">
        <w:trPr>
          <w:trHeight w:val="253"/>
        </w:trPr>
        <w:tc>
          <w:tcPr>
            <w:tcW w:w="3349" w:type="dxa"/>
            <w:vMerge/>
            <w:tcBorders>
              <w:top w:val="nil"/>
            </w:tcBorders>
          </w:tcPr>
          <w:p w14:paraId="2D3EF953" w14:textId="77777777" w:rsidR="00D810D6" w:rsidRPr="00C56257" w:rsidRDefault="00D810D6" w:rsidP="00487855">
            <w:pPr>
              <w:jc w:val="both"/>
              <w:rPr>
                <w:color w:val="000000" w:themeColor="text1"/>
              </w:rPr>
            </w:pPr>
          </w:p>
        </w:tc>
        <w:tc>
          <w:tcPr>
            <w:tcW w:w="2268" w:type="dxa"/>
          </w:tcPr>
          <w:p w14:paraId="63EFA212" w14:textId="77777777" w:rsidR="00D810D6" w:rsidRPr="00D810D6" w:rsidRDefault="00493079" w:rsidP="00493079">
            <w:pPr>
              <w:pStyle w:val="TableParagraph"/>
              <w:spacing w:line="234" w:lineRule="exact"/>
              <w:ind w:right="1074"/>
              <w:rPr>
                <w:color w:val="000000"/>
              </w:rPr>
            </w:pPr>
            <w:r>
              <w:rPr>
                <w:color w:val="000000"/>
              </w:rPr>
              <w:t>ROSAC</w:t>
            </w:r>
            <w:r w:rsidR="00D810D6" w:rsidRPr="00D810D6">
              <w:rPr>
                <w:color w:val="000000"/>
              </w:rPr>
              <w:t>0045</w:t>
            </w:r>
          </w:p>
        </w:tc>
        <w:tc>
          <w:tcPr>
            <w:tcW w:w="4178" w:type="dxa"/>
            <w:vAlign w:val="bottom"/>
          </w:tcPr>
          <w:p w14:paraId="7B2970DD" w14:textId="77777777" w:rsidR="00D810D6" w:rsidRPr="00D810D6" w:rsidRDefault="00D810D6" w:rsidP="00487855">
            <w:pPr>
              <w:pStyle w:val="TableParagraph"/>
              <w:spacing w:line="234" w:lineRule="exact"/>
              <w:ind w:right="1074"/>
              <w:jc w:val="both"/>
              <w:rPr>
                <w:color w:val="000000"/>
              </w:rPr>
            </w:pPr>
            <w:r w:rsidRPr="00D810D6">
              <w:rPr>
                <w:color w:val="000000"/>
              </w:rPr>
              <w:t>Coridorul Jiului</w:t>
            </w:r>
          </w:p>
        </w:tc>
      </w:tr>
      <w:tr w:rsidR="00D810D6" w:rsidRPr="00C56257" w14:paraId="0D989A02" w14:textId="77777777" w:rsidTr="003771D0">
        <w:trPr>
          <w:trHeight w:val="254"/>
        </w:trPr>
        <w:tc>
          <w:tcPr>
            <w:tcW w:w="3349" w:type="dxa"/>
            <w:vMerge/>
            <w:tcBorders>
              <w:top w:val="nil"/>
            </w:tcBorders>
          </w:tcPr>
          <w:p w14:paraId="2FCC74E1" w14:textId="77777777" w:rsidR="00D810D6" w:rsidRPr="00C56257" w:rsidRDefault="00D810D6" w:rsidP="00487855">
            <w:pPr>
              <w:jc w:val="both"/>
              <w:rPr>
                <w:color w:val="000000" w:themeColor="text1"/>
              </w:rPr>
            </w:pPr>
          </w:p>
        </w:tc>
        <w:tc>
          <w:tcPr>
            <w:tcW w:w="2268" w:type="dxa"/>
          </w:tcPr>
          <w:p w14:paraId="51AC9FB3" w14:textId="77777777" w:rsidR="00D810D6" w:rsidRPr="00D810D6" w:rsidRDefault="00D810D6" w:rsidP="00881670">
            <w:pPr>
              <w:pStyle w:val="TableParagraph"/>
              <w:spacing w:line="234" w:lineRule="exact"/>
              <w:ind w:right="1074"/>
              <w:rPr>
                <w:color w:val="000000"/>
              </w:rPr>
            </w:pPr>
            <w:r w:rsidRPr="00D810D6">
              <w:rPr>
                <w:color w:val="000000"/>
              </w:rPr>
              <w:t>ROSCI0065</w:t>
            </w:r>
          </w:p>
        </w:tc>
        <w:tc>
          <w:tcPr>
            <w:tcW w:w="4178" w:type="dxa"/>
            <w:vAlign w:val="bottom"/>
          </w:tcPr>
          <w:p w14:paraId="66776633" w14:textId="77777777" w:rsidR="00D810D6" w:rsidRPr="00D810D6" w:rsidRDefault="00D810D6" w:rsidP="00487855">
            <w:pPr>
              <w:pStyle w:val="TableParagraph"/>
              <w:spacing w:line="234" w:lineRule="exact"/>
              <w:ind w:right="1074"/>
              <w:jc w:val="both"/>
              <w:rPr>
                <w:color w:val="000000"/>
              </w:rPr>
            </w:pPr>
            <w:r w:rsidRPr="00D810D6">
              <w:rPr>
                <w:color w:val="000000"/>
              </w:rPr>
              <w:t>Delta Dunării</w:t>
            </w:r>
          </w:p>
        </w:tc>
      </w:tr>
      <w:tr w:rsidR="00D810D6" w:rsidRPr="00C56257" w14:paraId="5B71D699" w14:textId="77777777" w:rsidTr="003771D0">
        <w:trPr>
          <w:trHeight w:val="251"/>
        </w:trPr>
        <w:tc>
          <w:tcPr>
            <w:tcW w:w="3349" w:type="dxa"/>
            <w:vMerge/>
            <w:tcBorders>
              <w:top w:val="nil"/>
            </w:tcBorders>
          </w:tcPr>
          <w:p w14:paraId="3258EC49" w14:textId="77777777" w:rsidR="00D810D6" w:rsidRPr="00C56257" w:rsidRDefault="00D810D6" w:rsidP="00487855">
            <w:pPr>
              <w:jc w:val="both"/>
              <w:rPr>
                <w:color w:val="000000" w:themeColor="text1"/>
              </w:rPr>
            </w:pPr>
          </w:p>
        </w:tc>
        <w:tc>
          <w:tcPr>
            <w:tcW w:w="2268" w:type="dxa"/>
          </w:tcPr>
          <w:p w14:paraId="186D70C8" w14:textId="77777777" w:rsidR="00D810D6" w:rsidRPr="00D810D6" w:rsidRDefault="00493079" w:rsidP="00881670">
            <w:pPr>
              <w:pStyle w:val="TableParagraph"/>
              <w:spacing w:line="234" w:lineRule="exact"/>
              <w:ind w:right="1074"/>
              <w:rPr>
                <w:color w:val="000000"/>
              </w:rPr>
            </w:pPr>
            <w:r>
              <w:rPr>
                <w:color w:val="000000"/>
              </w:rPr>
              <w:t>ROSAC</w:t>
            </w:r>
            <w:r w:rsidR="00D810D6" w:rsidRPr="00D810D6">
              <w:rPr>
                <w:color w:val="000000"/>
              </w:rPr>
              <w:t>0068</w:t>
            </w:r>
          </w:p>
        </w:tc>
        <w:tc>
          <w:tcPr>
            <w:tcW w:w="4178" w:type="dxa"/>
            <w:vAlign w:val="bottom"/>
          </w:tcPr>
          <w:p w14:paraId="398C6E57" w14:textId="77777777" w:rsidR="00D810D6" w:rsidRPr="00D810D6" w:rsidRDefault="00D810D6" w:rsidP="00487855">
            <w:pPr>
              <w:pStyle w:val="TableParagraph"/>
              <w:spacing w:line="234" w:lineRule="exact"/>
              <w:ind w:right="1074"/>
              <w:jc w:val="both"/>
              <w:rPr>
                <w:color w:val="000000"/>
              </w:rPr>
            </w:pPr>
            <w:r w:rsidRPr="00D810D6">
              <w:rPr>
                <w:color w:val="000000"/>
              </w:rPr>
              <w:t>Diosig</w:t>
            </w:r>
          </w:p>
        </w:tc>
      </w:tr>
      <w:tr w:rsidR="00D810D6" w:rsidRPr="00C56257" w14:paraId="3223BABF" w14:textId="77777777" w:rsidTr="003771D0">
        <w:trPr>
          <w:trHeight w:val="253"/>
        </w:trPr>
        <w:tc>
          <w:tcPr>
            <w:tcW w:w="3349" w:type="dxa"/>
            <w:vMerge/>
            <w:tcBorders>
              <w:top w:val="nil"/>
            </w:tcBorders>
          </w:tcPr>
          <w:p w14:paraId="39428100" w14:textId="77777777" w:rsidR="00D810D6" w:rsidRPr="00C56257" w:rsidRDefault="00D810D6" w:rsidP="00487855">
            <w:pPr>
              <w:jc w:val="both"/>
              <w:rPr>
                <w:color w:val="000000" w:themeColor="text1"/>
              </w:rPr>
            </w:pPr>
          </w:p>
        </w:tc>
        <w:tc>
          <w:tcPr>
            <w:tcW w:w="2268" w:type="dxa"/>
          </w:tcPr>
          <w:p w14:paraId="475BB989" w14:textId="77777777" w:rsidR="00D810D6" w:rsidRPr="00D810D6" w:rsidRDefault="00D810D6" w:rsidP="00881670">
            <w:pPr>
              <w:pStyle w:val="TableParagraph"/>
              <w:spacing w:line="234" w:lineRule="exact"/>
              <w:ind w:right="1074"/>
              <w:rPr>
                <w:color w:val="000000"/>
              </w:rPr>
            </w:pPr>
            <w:r w:rsidRPr="00D810D6">
              <w:rPr>
                <w:color w:val="000000"/>
              </w:rPr>
              <w:t>ROSCI0095</w:t>
            </w:r>
          </w:p>
        </w:tc>
        <w:tc>
          <w:tcPr>
            <w:tcW w:w="4178" w:type="dxa"/>
            <w:vAlign w:val="bottom"/>
          </w:tcPr>
          <w:p w14:paraId="24E9A320" w14:textId="77777777" w:rsidR="00D810D6" w:rsidRPr="00D810D6" w:rsidRDefault="00D810D6" w:rsidP="00487855">
            <w:pPr>
              <w:pStyle w:val="TableParagraph"/>
              <w:spacing w:line="234" w:lineRule="exact"/>
              <w:ind w:right="1074"/>
              <w:jc w:val="both"/>
              <w:rPr>
                <w:color w:val="000000"/>
              </w:rPr>
            </w:pPr>
            <w:r w:rsidRPr="00D810D6">
              <w:rPr>
                <w:color w:val="000000"/>
              </w:rPr>
              <w:t>La Sărătura</w:t>
            </w:r>
          </w:p>
        </w:tc>
      </w:tr>
      <w:tr w:rsidR="00D810D6" w:rsidRPr="00C56257" w14:paraId="48F498CD" w14:textId="77777777" w:rsidTr="003771D0">
        <w:trPr>
          <w:trHeight w:val="251"/>
        </w:trPr>
        <w:tc>
          <w:tcPr>
            <w:tcW w:w="3349" w:type="dxa"/>
            <w:vMerge/>
            <w:tcBorders>
              <w:top w:val="nil"/>
            </w:tcBorders>
          </w:tcPr>
          <w:p w14:paraId="1FC00D1A" w14:textId="77777777" w:rsidR="00D810D6" w:rsidRPr="00C56257" w:rsidRDefault="00D810D6" w:rsidP="00487855">
            <w:pPr>
              <w:jc w:val="both"/>
              <w:rPr>
                <w:color w:val="000000" w:themeColor="text1"/>
              </w:rPr>
            </w:pPr>
          </w:p>
        </w:tc>
        <w:tc>
          <w:tcPr>
            <w:tcW w:w="2268" w:type="dxa"/>
          </w:tcPr>
          <w:p w14:paraId="25C35E83" w14:textId="77777777" w:rsidR="00D810D6" w:rsidRPr="00D810D6" w:rsidRDefault="00493079" w:rsidP="00881670">
            <w:pPr>
              <w:pStyle w:val="TableParagraph"/>
              <w:spacing w:line="234" w:lineRule="exact"/>
              <w:ind w:right="1074"/>
              <w:rPr>
                <w:color w:val="000000"/>
              </w:rPr>
            </w:pPr>
            <w:r>
              <w:rPr>
                <w:color w:val="000000"/>
              </w:rPr>
              <w:t>ROSAC</w:t>
            </w:r>
            <w:r w:rsidR="00D810D6" w:rsidRPr="00D810D6">
              <w:rPr>
                <w:color w:val="000000"/>
              </w:rPr>
              <w:t>0099</w:t>
            </w:r>
          </w:p>
        </w:tc>
        <w:tc>
          <w:tcPr>
            <w:tcW w:w="4178" w:type="dxa"/>
            <w:vAlign w:val="bottom"/>
          </w:tcPr>
          <w:p w14:paraId="530D86AE" w14:textId="77777777" w:rsidR="00D810D6" w:rsidRPr="00D810D6" w:rsidRDefault="00D810D6" w:rsidP="003771D0">
            <w:pPr>
              <w:pStyle w:val="TableParagraph"/>
              <w:spacing w:line="234" w:lineRule="exact"/>
              <w:ind w:right="80"/>
              <w:jc w:val="both"/>
              <w:rPr>
                <w:color w:val="000000"/>
              </w:rPr>
            </w:pPr>
            <w:r w:rsidRPr="00D810D6">
              <w:rPr>
                <w:color w:val="000000"/>
              </w:rPr>
              <w:t>Lacul Știucilor - Sic - Puini - Bonțida</w:t>
            </w:r>
          </w:p>
        </w:tc>
      </w:tr>
      <w:tr w:rsidR="00D810D6" w:rsidRPr="00C56257" w14:paraId="73AFE23D" w14:textId="77777777" w:rsidTr="003771D0">
        <w:trPr>
          <w:trHeight w:val="254"/>
        </w:trPr>
        <w:tc>
          <w:tcPr>
            <w:tcW w:w="3349" w:type="dxa"/>
            <w:vMerge/>
            <w:tcBorders>
              <w:top w:val="nil"/>
            </w:tcBorders>
          </w:tcPr>
          <w:p w14:paraId="6A96D746" w14:textId="77777777" w:rsidR="00D810D6" w:rsidRPr="00C56257" w:rsidRDefault="00D810D6" w:rsidP="00487855">
            <w:pPr>
              <w:jc w:val="both"/>
              <w:rPr>
                <w:color w:val="000000" w:themeColor="text1"/>
              </w:rPr>
            </w:pPr>
          </w:p>
        </w:tc>
        <w:tc>
          <w:tcPr>
            <w:tcW w:w="2268" w:type="dxa"/>
          </w:tcPr>
          <w:p w14:paraId="37CD7A5D" w14:textId="77777777" w:rsidR="00D810D6" w:rsidRPr="00D810D6" w:rsidRDefault="00493079" w:rsidP="00881670">
            <w:pPr>
              <w:pStyle w:val="TableParagraph"/>
              <w:spacing w:line="234" w:lineRule="exact"/>
              <w:ind w:right="1074"/>
              <w:rPr>
                <w:color w:val="000000"/>
              </w:rPr>
            </w:pPr>
            <w:r>
              <w:rPr>
                <w:color w:val="000000"/>
              </w:rPr>
              <w:t>ROSAC</w:t>
            </w:r>
            <w:r w:rsidR="00D810D6" w:rsidRPr="00D810D6">
              <w:rPr>
                <w:color w:val="000000"/>
              </w:rPr>
              <w:t>0103</w:t>
            </w:r>
          </w:p>
        </w:tc>
        <w:tc>
          <w:tcPr>
            <w:tcW w:w="4178" w:type="dxa"/>
            <w:vAlign w:val="bottom"/>
          </w:tcPr>
          <w:p w14:paraId="60DC04C5" w14:textId="77777777" w:rsidR="00D810D6" w:rsidRPr="00D810D6" w:rsidRDefault="00D810D6" w:rsidP="00487855">
            <w:pPr>
              <w:pStyle w:val="TableParagraph"/>
              <w:spacing w:line="234" w:lineRule="exact"/>
              <w:ind w:right="1074"/>
              <w:jc w:val="both"/>
              <w:rPr>
                <w:color w:val="000000"/>
              </w:rPr>
            </w:pPr>
            <w:r w:rsidRPr="00D810D6">
              <w:rPr>
                <w:color w:val="000000"/>
              </w:rPr>
              <w:t>Lunca Buzăului</w:t>
            </w:r>
          </w:p>
        </w:tc>
      </w:tr>
      <w:tr w:rsidR="00D810D6" w:rsidRPr="00C56257" w14:paraId="525551AA" w14:textId="77777777" w:rsidTr="003771D0">
        <w:trPr>
          <w:trHeight w:val="251"/>
        </w:trPr>
        <w:tc>
          <w:tcPr>
            <w:tcW w:w="3349" w:type="dxa"/>
            <w:vMerge/>
            <w:tcBorders>
              <w:top w:val="nil"/>
            </w:tcBorders>
          </w:tcPr>
          <w:p w14:paraId="3D8734D9" w14:textId="77777777" w:rsidR="00D810D6" w:rsidRPr="00C56257" w:rsidRDefault="00D810D6" w:rsidP="00487855">
            <w:pPr>
              <w:jc w:val="both"/>
              <w:rPr>
                <w:color w:val="000000" w:themeColor="text1"/>
              </w:rPr>
            </w:pPr>
          </w:p>
        </w:tc>
        <w:tc>
          <w:tcPr>
            <w:tcW w:w="2268" w:type="dxa"/>
          </w:tcPr>
          <w:p w14:paraId="070337E3" w14:textId="77777777" w:rsidR="00D810D6" w:rsidRPr="00D810D6" w:rsidRDefault="00D810D6" w:rsidP="00881670">
            <w:pPr>
              <w:pStyle w:val="TableParagraph"/>
              <w:spacing w:line="234" w:lineRule="exact"/>
              <w:ind w:right="1074"/>
              <w:rPr>
                <w:color w:val="000000"/>
              </w:rPr>
            </w:pPr>
            <w:r w:rsidRPr="00D810D6">
              <w:rPr>
                <w:color w:val="000000"/>
              </w:rPr>
              <w:t>ROSCI0115</w:t>
            </w:r>
          </w:p>
        </w:tc>
        <w:tc>
          <w:tcPr>
            <w:tcW w:w="4178" w:type="dxa"/>
            <w:vAlign w:val="bottom"/>
          </w:tcPr>
          <w:p w14:paraId="2183A4C8" w14:textId="77777777" w:rsidR="00D810D6" w:rsidRPr="00D810D6" w:rsidRDefault="00D810D6" w:rsidP="00487855">
            <w:pPr>
              <w:pStyle w:val="TableParagraph"/>
              <w:spacing w:line="234" w:lineRule="exact"/>
              <w:ind w:right="1074"/>
              <w:jc w:val="both"/>
              <w:rPr>
                <w:color w:val="000000"/>
              </w:rPr>
            </w:pPr>
            <w:r w:rsidRPr="00D810D6">
              <w:rPr>
                <w:color w:val="000000"/>
              </w:rPr>
              <w:t>Mlaștina Satchinez</w:t>
            </w:r>
          </w:p>
        </w:tc>
      </w:tr>
      <w:tr w:rsidR="00D810D6" w:rsidRPr="00C56257" w14:paraId="790034CC" w14:textId="77777777" w:rsidTr="003771D0">
        <w:trPr>
          <w:trHeight w:val="254"/>
        </w:trPr>
        <w:tc>
          <w:tcPr>
            <w:tcW w:w="3349" w:type="dxa"/>
            <w:vMerge/>
            <w:tcBorders>
              <w:top w:val="nil"/>
            </w:tcBorders>
          </w:tcPr>
          <w:p w14:paraId="2E2ACBC3" w14:textId="77777777" w:rsidR="00D810D6" w:rsidRPr="00C56257" w:rsidRDefault="00D810D6" w:rsidP="00487855">
            <w:pPr>
              <w:jc w:val="both"/>
              <w:rPr>
                <w:color w:val="000000" w:themeColor="text1"/>
              </w:rPr>
            </w:pPr>
          </w:p>
        </w:tc>
        <w:tc>
          <w:tcPr>
            <w:tcW w:w="2268" w:type="dxa"/>
          </w:tcPr>
          <w:p w14:paraId="3AD7CBFC" w14:textId="77777777" w:rsidR="00D810D6" w:rsidRPr="00D810D6" w:rsidRDefault="00D810D6" w:rsidP="00881670">
            <w:pPr>
              <w:pStyle w:val="TableParagraph"/>
              <w:spacing w:line="234" w:lineRule="exact"/>
              <w:ind w:right="1074"/>
              <w:rPr>
                <w:color w:val="000000"/>
              </w:rPr>
            </w:pPr>
            <w:r w:rsidRPr="00D810D6">
              <w:rPr>
                <w:color w:val="000000"/>
              </w:rPr>
              <w:t>ROSCI0123</w:t>
            </w:r>
          </w:p>
        </w:tc>
        <w:tc>
          <w:tcPr>
            <w:tcW w:w="4178" w:type="dxa"/>
            <w:vAlign w:val="bottom"/>
          </w:tcPr>
          <w:p w14:paraId="03B95BB7" w14:textId="77777777" w:rsidR="00D810D6" w:rsidRPr="00D810D6" w:rsidRDefault="00D810D6" w:rsidP="00487855">
            <w:pPr>
              <w:pStyle w:val="TableParagraph"/>
              <w:spacing w:line="234" w:lineRule="exact"/>
              <w:ind w:right="1074"/>
              <w:jc w:val="both"/>
              <w:rPr>
                <w:color w:val="000000"/>
              </w:rPr>
            </w:pPr>
            <w:r w:rsidRPr="00D810D6">
              <w:rPr>
                <w:color w:val="000000"/>
              </w:rPr>
              <w:t>Munții Măcinului</w:t>
            </w:r>
          </w:p>
        </w:tc>
      </w:tr>
      <w:tr w:rsidR="00D810D6" w:rsidRPr="00C56257" w14:paraId="5280D680" w14:textId="77777777" w:rsidTr="003771D0">
        <w:trPr>
          <w:trHeight w:val="254"/>
        </w:trPr>
        <w:tc>
          <w:tcPr>
            <w:tcW w:w="3349" w:type="dxa"/>
            <w:vMerge/>
            <w:tcBorders>
              <w:top w:val="nil"/>
            </w:tcBorders>
          </w:tcPr>
          <w:p w14:paraId="17F67497" w14:textId="77777777" w:rsidR="00D810D6" w:rsidRPr="00C56257" w:rsidRDefault="00D810D6" w:rsidP="00487855">
            <w:pPr>
              <w:jc w:val="both"/>
              <w:rPr>
                <w:color w:val="000000" w:themeColor="text1"/>
              </w:rPr>
            </w:pPr>
          </w:p>
        </w:tc>
        <w:tc>
          <w:tcPr>
            <w:tcW w:w="2268" w:type="dxa"/>
          </w:tcPr>
          <w:p w14:paraId="64E38FB5" w14:textId="77777777" w:rsidR="00D810D6" w:rsidRPr="00D810D6" w:rsidRDefault="00493079" w:rsidP="00881670">
            <w:pPr>
              <w:pStyle w:val="TableParagraph"/>
              <w:spacing w:line="234" w:lineRule="exact"/>
              <w:ind w:right="1074"/>
              <w:rPr>
                <w:color w:val="000000"/>
              </w:rPr>
            </w:pPr>
            <w:r>
              <w:rPr>
                <w:color w:val="000000"/>
              </w:rPr>
              <w:t>ROSAC</w:t>
            </w:r>
            <w:r w:rsidR="00D810D6" w:rsidRPr="00D810D6">
              <w:rPr>
                <w:color w:val="000000"/>
              </w:rPr>
              <w:t>0171</w:t>
            </w:r>
          </w:p>
        </w:tc>
        <w:tc>
          <w:tcPr>
            <w:tcW w:w="4178" w:type="dxa"/>
            <w:vAlign w:val="bottom"/>
          </w:tcPr>
          <w:p w14:paraId="090CFE34" w14:textId="77777777" w:rsidR="00D810D6" w:rsidRPr="00D810D6" w:rsidRDefault="00D810D6" w:rsidP="00487855">
            <w:pPr>
              <w:pStyle w:val="TableParagraph"/>
              <w:spacing w:line="234" w:lineRule="exact"/>
              <w:ind w:right="1074"/>
              <w:jc w:val="both"/>
              <w:rPr>
                <w:color w:val="000000"/>
              </w:rPr>
            </w:pPr>
            <w:r w:rsidRPr="00D810D6">
              <w:rPr>
                <w:color w:val="000000"/>
              </w:rPr>
              <w:t>Pădurea și pajiștile de la Mârzești</w:t>
            </w:r>
          </w:p>
        </w:tc>
      </w:tr>
      <w:tr w:rsidR="00D810D6" w:rsidRPr="00C56257" w14:paraId="194208BD" w14:textId="77777777" w:rsidTr="003771D0">
        <w:trPr>
          <w:trHeight w:val="251"/>
        </w:trPr>
        <w:tc>
          <w:tcPr>
            <w:tcW w:w="3349" w:type="dxa"/>
            <w:vMerge/>
            <w:tcBorders>
              <w:top w:val="nil"/>
            </w:tcBorders>
          </w:tcPr>
          <w:p w14:paraId="33B1BC86" w14:textId="77777777" w:rsidR="00D810D6" w:rsidRPr="00C56257" w:rsidRDefault="00D810D6" w:rsidP="00487855">
            <w:pPr>
              <w:jc w:val="both"/>
              <w:rPr>
                <w:color w:val="000000" w:themeColor="text1"/>
              </w:rPr>
            </w:pPr>
          </w:p>
        </w:tc>
        <w:tc>
          <w:tcPr>
            <w:tcW w:w="2268" w:type="dxa"/>
          </w:tcPr>
          <w:p w14:paraId="449A3A38" w14:textId="77777777" w:rsidR="00D810D6" w:rsidRPr="00D810D6" w:rsidRDefault="00493079" w:rsidP="00881670">
            <w:pPr>
              <w:pStyle w:val="TableParagraph"/>
              <w:spacing w:line="234" w:lineRule="exact"/>
              <w:ind w:right="1074"/>
              <w:rPr>
                <w:color w:val="000000"/>
              </w:rPr>
            </w:pPr>
            <w:r>
              <w:rPr>
                <w:color w:val="000000"/>
              </w:rPr>
              <w:t>ROSAS</w:t>
            </w:r>
            <w:r w:rsidR="00D810D6" w:rsidRPr="00D810D6">
              <w:rPr>
                <w:color w:val="000000"/>
              </w:rPr>
              <w:t>0221</w:t>
            </w:r>
          </w:p>
        </w:tc>
        <w:tc>
          <w:tcPr>
            <w:tcW w:w="4178" w:type="dxa"/>
            <w:vAlign w:val="bottom"/>
          </w:tcPr>
          <w:p w14:paraId="6BB85281" w14:textId="77777777" w:rsidR="00D810D6" w:rsidRPr="00D810D6" w:rsidRDefault="00D810D6" w:rsidP="00487855">
            <w:pPr>
              <w:pStyle w:val="TableParagraph"/>
              <w:spacing w:line="234" w:lineRule="exact"/>
              <w:ind w:right="1074"/>
              <w:jc w:val="both"/>
              <w:rPr>
                <w:color w:val="000000"/>
              </w:rPr>
            </w:pPr>
            <w:r w:rsidRPr="00D810D6">
              <w:rPr>
                <w:color w:val="000000"/>
              </w:rPr>
              <w:t>Sărăturile din Valea Ilenei</w:t>
            </w:r>
          </w:p>
        </w:tc>
      </w:tr>
      <w:tr w:rsidR="00D810D6" w:rsidRPr="00C56257" w14:paraId="28811ED2" w14:textId="77777777" w:rsidTr="003771D0">
        <w:trPr>
          <w:trHeight w:val="253"/>
        </w:trPr>
        <w:tc>
          <w:tcPr>
            <w:tcW w:w="3349" w:type="dxa"/>
            <w:vMerge/>
            <w:tcBorders>
              <w:top w:val="nil"/>
            </w:tcBorders>
          </w:tcPr>
          <w:p w14:paraId="15560777" w14:textId="77777777" w:rsidR="00D810D6" w:rsidRPr="00C56257" w:rsidRDefault="00D810D6" w:rsidP="00487855">
            <w:pPr>
              <w:jc w:val="both"/>
              <w:rPr>
                <w:color w:val="000000" w:themeColor="text1"/>
              </w:rPr>
            </w:pPr>
          </w:p>
        </w:tc>
        <w:tc>
          <w:tcPr>
            <w:tcW w:w="2268" w:type="dxa"/>
          </w:tcPr>
          <w:p w14:paraId="20691AAD" w14:textId="77777777" w:rsidR="00D810D6" w:rsidRPr="00D810D6" w:rsidRDefault="00D810D6" w:rsidP="00881670">
            <w:pPr>
              <w:pStyle w:val="TableParagraph"/>
              <w:spacing w:line="234" w:lineRule="exact"/>
              <w:ind w:right="1074"/>
              <w:rPr>
                <w:color w:val="000000"/>
              </w:rPr>
            </w:pPr>
            <w:r w:rsidRPr="00D810D6">
              <w:rPr>
                <w:color w:val="000000"/>
              </w:rPr>
              <w:t>ROSCI0222</w:t>
            </w:r>
          </w:p>
        </w:tc>
        <w:tc>
          <w:tcPr>
            <w:tcW w:w="4178" w:type="dxa"/>
            <w:vAlign w:val="bottom"/>
          </w:tcPr>
          <w:p w14:paraId="7B312C65" w14:textId="77777777" w:rsidR="00D810D6" w:rsidRPr="00D810D6" w:rsidRDefault="00D810D6" w:rsidP="00487855">
            <w:pPr>
              <w:pStyle w:val="TableParagraph"/>
              <w:spacing w:line="234" w:lineRule="exact"/>
              <w:ind w:right="1074"/>
              <w:jc w:val="both"/>
              <w:rPr>
                <w:color w:val="000000"/>
              </w:rPr>
            </w:pPr>
            <w:r w:rsidRPr="00D810D6">
              <w:rPr>
                <w:color w:val="000000"/>
              </w:rPr>
              <w:t>Sărăturile Jijia Inferioară - Prut</w:t>
            </w:r>
          </w:p>
        </w:tc>
      </w:tr>
      <w:tr w:rsidR="00D810D6" w:rsidRPr="00C56257" w14:paraId="6C4A336E" w14:textId="77777777" w:rsidTr="003771D0">
        <w:trPr>
          <w:trHeight w:val="251"/>
        </w:trPr>
        <w:tc>
          <w:tcPr>
            <w:tcW w:w="3349" w:type="dxa"/>
            <w:vMerge/>
            <w:tcBorders>
              <w:top w:val="nil"/>
            </w:tcBorders>
          </w:tcPr>
          <w:p w14:paraId="7C882924" w14:textId="77777777" w:rsidR="00D810D6" w:rsidRPr="00C56257" w:rsidRDefault="00D810D6" w:rsidP="00487855">
            <w:pPr>
              <w:jc w:val="both"/>
              <w:rPr>
                <w:color w:val="000000" w:themeColor="text1"/>
              </w:rPr>
            </w:pPr>
          </w:p>
        </w:tc>
        <w:tc>
          <w:tcPr>
            <w:tcW w:w="2268" w:type="dxa"/>
          </w:tcPr>
          <w:p w14:paraId="0E9F3587" w14:textId="77777777" w:rsidR="00D810D6" w:rsidRPr="00D810D6" w:rsidRDefault="00493079" w:rsidP="00493079">
            <w:pPr>
              <w:pStyle w:val="TableParagraph"/>
              <w:spacing w:line="234" w:lineRule="exact"/>
              <w:ind w:right="1074"/>
              <w:rPr>
                <w:color w:val="000000"/>
              </w:rPr>
            </w:pPr>
            <w:r>
              <w:rPr>
                <w:color w:val="000000"/>
              </w:rPr>
              <w:t>ROSAC</w:t>
            </w:r>
            <w:r w:rsidR="00D810D6" w:rsidRPr="00D810D6">
              <w:rPr>
                <w:color w:val="000000"/>
              </w:rPr>
              <w:t>0223</w:t>
            </w:r>
          </w:p>
        </w:tc>
        <w:tc>
          <w:tcPr>
            <w:tcW w:w="4178" w:type="dxa"/>
            <w:vAlign w:val="bottom"/>
          </w:tcPr>
          <w:p w14:paraId="0CD541CE" w14:textId="77777777" w:rsidR="00D810D6" w:rsidRPr="00D810D6" w:rsidRDefault="00D810D6" w:rsidP="00487855">
            <w:pPr>
              <w:pStyle w:val="TableParagraph"/>
              <w:spacing w:line="234" w:lineRule="exact"/>
              <w:ind w:right="1074"/>
              <w:jc w:val="both"/>
              <w:rPr>
                <w:color w:val="000000"/>
              </w:rPr>
            </w:pPr>
            <w:r w:rsidRPr="00D810D6">
              <w:rPr>
                <w:color w:val="000000"/>
              </w:rPr>
              <w:t>Sărăturile Ocna Veche</w:t>
            </w:r>
          </w:p>
        </w:tc>
      </w:tr>
      <w:tr w:rsidR="00D810D6" w:rsidRPr="00C56257" w14:paraId="4EC5AE11" w14:textId="77777777" w:rsidTr="003771D0">
        <w:trPr>
          <w:trHeight w:val="253"/>
        </w:trPr>
        <w:tc>
          <w:tcPr>
            <w:tcW w:w="3349" w:type="dxa"/>
            <w:vMerge/>
            <w:tcBorders>
              <w:top w:val="nil"/>
            </w:tcBorders>
          </w:tcPr>
          <w:p w14:paraId="75A3FA9E" w14:textId="77777777" w:rsidR="00D810D6" w:rsidRPr="00C56257" w:rsidRDefault="00D810D6" w:rsidP="00487855">
            <w:pPr>
              <w:jc w:val="both"/>
              <w:rPr>
                <w:color w:val="000000" w:themeColor="text1"/>
              </w:rPr>
            </w:pPr>
          </w:p>
        </w:tc>
        <w:tc>
          <w:tcPr>
            <w:tcW w:w="2268" w:type="dxa"/>
          </w:tcPr>
          <w:p w14:paraId="2ED282C0" w14:textId="77777777" w:rsidR="00D810D6" w:rsidRPr="00D810D6" w:rsidRDefault="00493079" w:rsidP="00881670">
            <w:pPr>
              <w:pStyle w:val="TableParagraph"/>
              <w:spacing w:line="234" w:lineRule="exact"/>
              <w:ind w:right="1074"/>
              <w:rPr>
                <w:color w:val="000000"/>
              </w:rPr>
            </w:pPr>
            <w:r>
              <w:rPr>
                <w:color w:val="000000"/>
              </w:rPr>
              <w:t>ROSAC</w:t>
            </w:r>
            <w:r w:rsidR="00D810D6" w:rsidRPr="00D810D6">
              <w:rPr>
                <w:color w:val="000000"/>
              </w:rPr>
              <w:t>0231</w:t>
            </w:r>
          </w:p>
        </w:tc>
        <w:tc>
          <w:tcPr>
            <w:tcW w:w="4178" w:type="dxa"/>
            <w:vAlign w:val="bottom"/>
          </w:tcPr>
          <w:p w14:paraId="5CEEC342" w14:textId="77777777" w:rsidR="00D810D6" w:rsidRPr="00D810D6" w:rsidRDefault="00D810D6" w:rsidP="00487855">
            <w:pPr>
              <w:pStyle w:val="TableParagraph"/>
              <w:spacing w:line="234" w:lineRule="exact"/>
              <w:ind w:right="1074"/>
              <w:jc w:val="both"/>
              <w:rPr>
                <w:color w:val="000000"/>
              </w:rPr>
            </w:pPr>
            <w:r w:rsidRPr="00D810D6">
              <w:rPr>
                <w:color w:val="000000"/>
              </w:rPr>
              <w:t>Nădab - Socodor - Vărșad</w:t>
            </w:r>
          </w:p>
        </w:tc>
      </w:tr>
      <w:tr w:rsidR="00D810D6" w:rsidRPr="00C56257" w14:paraId="42DE67AE" w14:textId="77777777" w:rsidTr="003771D0">
        <w:trPr>
          <w:trHeight w:val="251"/>
        </w:trPr>
        <w:tc>
          <w:tcPr>
            <w:tcW w:w="3349" w:type="dxa"/>
            <w:vMerge/>
            <w:tcBorders>
              <w:top w:val="nil"/>
            </w:tcBorders>
          </w:tcPr>
          <w:p w14:paraId="10B39C05" w14:textId="77777777" w:rsidR="00D810D6" w:rsidRPr="00C56257" w:rsidRDefault="00D810D6" w:rsidP="00487855">
            <w:pPr>
              <w:jc w:val="both"/>
              <w:rPr>
                <w:color w:val="000000" w:themeColor="text1"/>
              </w:rPr>
            </w:pPr>
          </w:p>
        </w:tc>
        <w:tc>
          <w:tcPr>
            <w:tcW w:w="2268" w:type="dxa"/>
          </w:tcPr>
          <w:p w14:paraId="55751720" w14:textId="77777777" w:rsidR="00D810D6" w:rsidRPr="00D810D6" w:rsidRDefault="00493079" w:rsidP="00881670">
            <w:pPr>
              <w:pStyle w:val="TableParagraph"/>
              <w:spacing w:line="234" w:lineRule="exact"/>
              <w:ind w:right="1074"/>
              <w:rPr>
                <w:color w:val="000000"/>
              </w:rPr>
            </w:pPr>
            <w:r>
              <w:rPr>
                <w:color w:val="000000"/>
              </w:rPr>
              <w:t>ROSAC</w:t>
            </w:r>
            <w:r w:rsidR="00D810D6" w:rsidRPr="00D810D6">
              <w:rPr>
                <w:color w:val="000000"/>
              </w:rPr>
              <w:t>0238</w:t>
            </w:r>
          </w:p>
        </w:tc>
        <w:tc>
          <w:tcPr>
            <w:tcW w:w="4178" w:type="dxa"/>
            <w:vAlign w:val="bottom"/>
          </w:tcPr>
          <w:p w14:paraId="08050005" w14:textId="77777777" w:rsidR="00D810D6" w:rsidRPr="00D810D6" w:rsidRDefault="00D810D6" w:rsidP="00487855">
            <w:pPr>
              <w:pStyle w:val="TableParagraph"/>
              <w:spacing w:line="234" w:lineRule="exact"/>
              <w:ind w:right="1074"/>
              <w:jc w:val="both"/>
              <w:rPr>
                <w:color w:val="000000"/>
              </w:rPr>
            </w:pPr>
            <w:r w:rsidRPr="00D810D6">
              <w:rPr>
                <w:color w:val="000000"/>
              </w:rPr>
              <w:t>Suatu - Cojocna - Crairât</w:t>
            </w:r>
          </w:p>
        </w:tc>
      </w:tr>
      <w:tr w:rsidR="00D810D6" w:rsidRPr="00C56257" w14:paraId="4BD135BC" w14:textId="77777777" w:rsidTr="003771D0">
        <w:trPr>
          <w:trHeight w:val="253"/>
        </w:trPr>
        <w:tc>
          <w:tcPr>
            <w:tcW w:w="3349" w:type="dxa"/>
            <w:vMerge/>
            <w:tcBorders>
              <w:top w:val="nil"/>
            </w:tcBorders>
          </w:tcPr>
          <w:p w14:paraId="693C49F6" w14:textId="77777777" w:rsidR="00D810D6" w:rsidRPr="00C56257" w:rsidRDefault="00D810D6" w:rsidP="00487855">
            <w:pPr>
              <w:jc w:val="both"/>
              <w:rPr>
                <w:color w:val="000000" w:themeColor="text1"/>
              </w:rPr>
            </w:pPr>
          </w:p>
        </w:tc>
        <w:tc>
          <w:tcPr>
            <w:tcW w:w="2268" w:type="dxa"/>
          </w:tcPr>
          <w:p w14:paraId="48EE54B5" w14:textId="77777777" w:rsidR="00D810D6" w:rsidRPr="00D810D6" w:rsidRDefault="00D810D6" w:rsidP="00881670">
            <w:pPr>
              <w:pStyle w:val="TableParagraph"/>
              <w:spacing w:line="234" w:lineRule="exact"/>
              <w:ind w:right="1074"/>
              <w:rPr>
                <w:color w:val="000000"/>
              </w:rPr>
            </w:pPr>
            <w:r w:rsidRPr="00D810D6">
              <w:rPr>
                <w:color w:val="000000"/>
              </w:rPr>
              <w:t>ROSCI0259</w:t>
            </w:r>
          </w:p>
        </w:tc>
        <w:tc>
          <w:tcPr>
            <w:tcW w:w="4178" w:type="dxa"/>
            <w:vAlign w:val="bottom"/>
          </w:tcPr>
          <w:p w14:paraId="7A3484A2" w14:textId="77777777" w:rsidR="00D810D6" w:rsidRPr="00D810D6" w:rsidRDefault="00D810D6" w:rsidP="00487855">
            <w:pPr>
              <w:pStyle w:val="TableParagraph"/>
              <w:spacing w:line="234" w:lineRule="exact"/>
              <w:ind w:right="1074"/>
              <w:jc w:val="both"/>
              <w:rPr>
                <w:color w:val="000000"/>
              </w:rPr>
            </w:pPr>
            <w:r w:rsidRPr="00D810D6">
              <w:rPr>
                <w:color w:val="000000"/>
              </w:rPr>
              <w:t>Valea Călmățuiului</w:t>
            </w:r>
          </w:p>
        </w:tc>
      </w:tr>
      <w:tr w:rsidR="00D810D6" w:rsidRPr="00C56257" w14:paraId="170C6BEE" w14:textId="77777777" w:rsidTr="003771D0">
        <w:trPr>
          <w:trHeight w:val="254"/>
        </w:trPr>
        <w:tc>
          <w:tcPr>
            <w:tcW w:w="3349" w:type="dxa"/>
            <w:vMerge/>
            <w:tcBorders>
              <w:top w:val="nil"/>
            </w:tcBorders>
          </w:tcPr>
          <w:p w14:paraId="340742F1" w14:textId="77777777" w:rsidR="00D810D6" w:rsidRPr="00C56257" w:rsidRDefault="00D810D6" w:rsidP="00487855">
            <w:pPr>
              <w:jc w:val="both"/>
              <w:rPr>
                <w:color w:val="000000" w:themeColor="text1"/>
              </w:rPr>
            </w:pPr>
          </w:p>
        </w:tc>
        <w:tc>
          <w:tcPr>
            <w:tcW w:w="2268" w:type="dxa"/>
          </w:tcPr>
          <w:p w14:paraId="159FE2A2" w14:textId="77777777" w:rsidR="00D810D6" w:rsidRPr="00D810D6" w:rsidRDefault="00D810D6" w:rsidP="00881670">
            <w:pPr>
              <w:pStyle w:val="TableParagraph"/>
              <w:spacing w:line="234" w:lineRule="exact"/>
              <w:ind w:right="1074"/>
              <w:rPr>
                <w:color w:val="000000"/>
              </w:rPr>
            </w:pPr>
            <w:r w:rsidRPr="00D810D6">
              <w:rPr>
                <w:color w:val="000000"/>
              </w:rPr>
              <w:t>ROSCI0265</w:t>
            </w:r>
          </w:p>
        </w:tc>
        <w:tc>
          <w:tcPr>
            <w:tcW w:w="4178" w:type="dxa"/>
            <w:vAlign w:val="bottom"/>
          </w:tcPr>
          <w:p w14:paraId="31C6147A" w14:textId="77777777" w:rsidR="00D810D6" w:rsidRPr="00D810D6" w:rsidRDefault="00D810D6" w:rsidP="00487855">
            <w:pPr>
              <w:pStyle w:val="TableParagraph"/>
              <w:spacing w:line="234" w:lineRule="exact"/>
              <w:ind w:right="1074"/>
              <w:jc w:val="both"/>
              <w:rPr>
                <w:color w:val="000000"/>
              </w:rPr>
            </w:pPr>
            <w:r w:rsidRPr="00D810D6">
              <w:rPr>
                <w:color w:val="000000"/>
              </w:rPr>
              <w:t>Valea lui David</w:t>
            </w:r>
          </w:p>
        </w:tc>
      </w:tr>
      <w:tr w:rsidR="00D810D6" w:rsidRPr="00C56257" w14:paraId="1E8EFC96" w14:textId="77777777" w:rsidTr="003771D0">
        <w:trPr>
          <w:trHeight w:val="251"/>
        </w:trPr>
        <w:tc>
          <w:tcPr>
            <w:tcW w:w="3349" w:type="dxa"/>
            <w:vMerge/>
            <w:tcBorders>
              <w:top w:val="nil"/>
            </w:tcBorders>
          </w:tcPr>
          <w:p w14:paraId="52955A9C" w14:textId="77777777" w:rsidR="00D810D6" w:rsidRPr="00C56257" w:rsidRDefault="00D810D6" w:rsidP="00487855">
            <w:pPr>
              <w:jc w:val="both"/>
              <w:rPr>
                <w:color w:val="000000" w:themeColor="text1"/>
              </w:rPr>
            </w:pPr>
          </w:p>
        </w:tc>
        <w:tc>
          <w:tcPr>
            <w:tcW w:w="2268" w:type="dxa"/>
          </w:tcPr>
          <w:p w14:paraId="46C1E1A5" w14:textId="77777777" w:rsidR="00D810D6" w:rsidRPr="00D810D6" w:rsidRDefault="00493079" w:rsidP="00881670">
            <w:pPr>
              <w:pStyle w:val="TableParagraph"/>
              <w:spacing w:line="234" w:lineRule="exact"/>
              <w:ind w:right="1074"/>
              <w:rPr>
                <w:color w:val="000000"/>
              </w:rPr>
            </w:pPr>
            <w:r>
              <w:rPr>
                <w:color w:val="000000"/>
              </w:rPr>
              <w:t>ROSAC</w:t>
            </w:r>
            <w:r w:rsidR="00D810D6" w:rsidRPr="00D810D6">
              <w:rPr>
                <w:color w:val="000000"/>
              </w:rPr>
              <w:t>0272</w:t>
            </w:r>
          </w:p>
        </w:tc>
        <w:tc>
          <w:tcPr>
            <w:tcW w:w="4178" w:type="dxa"/>
            <w:vAlign w:val="bottom"/>
          </w:tcPr>
          <w:p w14:paraId="16FA6204" w14:textId="77777777" w:rsidR="00D810D6" w:rsidRPr="00D810D6" w:rsidRDefault="00D810D6" w:rsidP="00487855">
            <w:pPr>
              <w:pStyle w:val="TableParagraph"/>
              <w:spacing w:line="234" w:lineRule="exact"/>
              <w:ind w:right="1074"/>
              <w:jc w:val="both"/>
              <w:rPr>
                <w:color w:val="000000"/>
              </w:rPr>
            </w:pPr>
            <w:r w:rsidRPr="00D810D6">
              <w:rPr>
                <w:color w:val="000000"/>
              </w:rPr>
              <w:t>Vulcanii Noroioși de la Pâclele Mari și Pâclele Mici</w:t>
            </w:r>
          </w:p>
        </w:tc>
      </w:tr>
      <w:tr w:rsidR="00D810D6" w:rsidRPr="00C56257" w14:paraId="32417A62" w14:textId="77777777" w:rsidTr="003771D0">
        <w:trPr>
          <w:trHeight w:val="254"/>
        </w:trPr>
        <w:tc>
          <w:tcPr>
            <w:tcW w:w="3349" w:type="dxa"/>
            <w:vMerge/>
            <w:tcBorders>
              <w:top w:val="nil"/>
            </w:tcBorders>
          </w:tcPr>
          <w:p w14:paraId="6E7CC4C1" w14:textId="77777777" w:rsidR="00D810D6" w:rsidRPr="00C56257" w:rsidRDefault="00D810D6" w:rsidP="00487855">
            <w:pPr>
              <w:jc w:val="both"/>
              <w:rPr>
                <w:color w:val="000000" w:themeColor="text1"/>
              </w:rPr>
            </w:pPr>
          </w:p>
        </w:tc>
        <w:tc>
          <w:tcPr>
            <w:tcW w:w="2268" w:type="dxa"/>
          </w:tcPr>
          <w:p w14:paraId="43951E25" w14:textId="77777777" w:rsidR="00D810D6" w:rsidRPr="00D810D6" w:rsidRDefault="00D810D6" w:rsidP="00881670">
            <w:pPr>
              <w:pStyle w:val="TableParagraph"/>
              <w:spacing w:line="234" w:lineRule="exact"/>
              <w:ind w:right="1074"/>
              <w:rPr>
                <w:color w:val="000000"/>
              </w:rPr>
            </w:pPr>
            <w:r w:rsidRPr="00D810D6">
              <w:rPr>
                <w:color w:val="000000"/>
              </w:rPr>
              <w:t>ROSCI0277</w:t>
            </w:r>
          </w:p>
        </w:tc>
        <w:tc>
          <w:tcPr>
            <w:tcW w:w="4178" w:type="dxa"/>
            <w:vAlign w:val="bottom"/>
          </w:tcPr>
          <w:p w14:paraId="4AB238FF" w14:textId="77777777" w:rsidR="00D810D6" w:rsidRPr="00D810D6" w:rsidRDefault="00D810D6" w:rsidP="003771D0">
            <w:pPr>
              <w:pStyle w:val="TableParagraph"/>
              <w:spacing w:line="234" w:lineRule="exact"/>
              <w:ind w:right="1074"/>
              <w:jc w:val="both"/>
              <w:rPr>
                <w:color w:val="000000"/>
              </w:rPr>
            </w:pPr>
            <w:r w:rsidRPr="00D810D6">
              <w:rPr>
                <w:color w:val="000000"/>
              </w:rPr>
              <w:t>Becicherecu Mic</w:t>
            </w:r>
          </w:p>
        </w:tc>
      </w:tr>
      <w:tr w:rsidR="00D810D6" w:rsidRPr="00C56257" w14:paraId="652CC17D" w14:textId="77777777" w:rsidTr="003771D0">
        <w:trPr>
          <w:trHeight w:val="251"/>
        </w:trPr>
        <w:tc>
          <w:tcPr>
            <w:tcW w:w="3349" w:type="dxa"/>
            <w:vMerge/>
            <w:tcBorders>
              <w:top w:val="nil"/>
            </w:tcBorders>
          </w:tcPr>
          <w:p w14:paraId="1500E316" w14:textId="77777777" w:rsidR="00D810D6" w:rsidRPr="00C56257" w:rsidRDefault="00D810D6" w:rsidP="00487855">
            <w:pPr>
              <w:jc w:val="both"/>
              <w:rPr>
                <w:color w:val="000000" w:themeColor="text1"/>
              </w:rPr>
            </w:pPr>
          </w:p>
        </w:tc>
        <w:tc>
          <w:tcPr>
            <w:tcW w:w="2268" w:type="dxa"/>
          </w:tcPr>
          <w:p w14:paraId="5E148288" w14:textId="77777777" w:rsidR="00D810D6" w:rsidRPr="00D810D6" w:rsidRDefault="00D810D6" w:rsidP="00881670">
            <w:pPr>
              <w:pStyle w:val="TableParagraph"/>
              <w:spacing w:line="234" w:lineRule="exact"/>
              <w:ind w:right="1074"/>
              <w:rPr>
                <w:color w:val="000000"/>
              </w:rPr>
            </w:pPr>
            <w:r w:rsidRPr="00D810D6">
              <w:rPr>
                <w:color w:val="000000"/>
              </w:rPr>
              <w:t>ROSCI0305</w:t>
            </w:r>
          </w:p>
        </w:tc>
        <w:tc>
          <w:tcPr>
            <w:tcW w:w="4178" w:type="dxa"/>
            <w:vAlign w:val="bottom"/>
          </w:tcPr>
          <w:p w14:paraId="53E07671" w14:textId="77777777" w:rsidR="00D810D6" w:rsidRPr="00D810D6" w:rsidRDefault="00D810D6" w:rsidP="00487855">
            <w:pPr>
              <w:pStyle w:val="TableParagraph"/>
              <w:spacing w:line="234" w:lineRule="exact"/>
              <w:ind w:right="1074"/>
              <w:jc w:val="both"/>
              <w:rPr>
                <w:color w:val="000000"/>
              </w:rPr>
            </w:pPr>
            <w:r w:rsidRPr="00D810D6">
              <w:rPr>
                <w:color w:val="000000"/>
              </w:rPr>
              <w:t>Ianca - Plopu - Sărat - Comăneasca</w:t>
            </w:r>
          </w:p>
        </w:tc>
      </w:tr>
      <w:tr w:rsidR="00D810D6" w:rsidRPr="00C56257" w14:paraId="1078FE56" w14:textId="77777777" w:rsidTr="003771D0">
        <w:trPr>
          <w:trHeight w:val="254"/>
        </w:trPr>
        <w:tc>
          <w:tcPr>
            <w:tcW w:w="3349" w:type="dxa"/>
            <w:vMerge/>
            <w:tcBorders>
              <w:top w:val="nil"/>
            </w:tcBorders>
          </w:tcPr>
          <w:p w14:paraId="0107BC98" w14:textId="77777777" w:rsidR="00D810D6" w:rsidRPr="00C56257" w:rsidRDefault="00D810D6" w:rsidP="00487855">
            <w:pPr>
              <w:jc w:val="both"/>
              <w:rPr>
                <w:color w:val="000000" w:themeColor="text1"/>
              </w:rPr>
            </w:pPr>
          </w:p>
        </w:tc>
        <w:tc>
          <w:tcPr>
            <w:tcW w:w="2268" w:type="dxa"/>
          </w:tcPr>
          <w:p w14:paraId="20DAC114" w14:textId="77777777" w:rsidR="00D810D6" w:rsidRPr="00D810D6" w:rsidRDefault="00D810D6" w:rsidP="00881670">
            <w:pPr>
              <w:pStyle w:val="TableParagraph"/>
              <w:spacing w:line="234" w:lineRule="exact"/>
              <w:ind w:right="1074"/>
              <w:rPr>
                <w:color w:val="000000"/>
              </w:rPr>
            </w:pPr>
            <w:r w:rsidRPr="00D810D6">
              <w:rPr>
                <w:color w:val="000000"/>
              </w:rPr>
              <w:t>ROSCI0307</w:t>
            </w:r>
          </w:p>
        </w:tc>
        <w:tc>
          <w:tcPr>
            <w:tcW w:w="4178" w:type="dxa"/>
            <w:vAlign w:val="bottom"/>
          </w:tcPr>
          <w:p w14:paraId="032DD60A" w14:textId="77777777" w:rsidR="00D810D6" w:rsidRPr="00D810D6" w:rsidRDefault="00D810D6" w:rsidP="00487855">
            <w:pPr>
              <w:pStyle w:val="TableParagraph"/>
              <w:spacing w:line="234" w:lineRule="exact"/>
              <w:ind w:right="1074"/>
              <w:jc w:val="both"/>
              <w:rPr>
                <w:color w:val="000000"/>
              </w:rPr>
            </w:pPr>
            <w:r w:rsidRPr="00D810D6">
              <w:rPr>
                <w:color w:val="000000"/>
              </w:rPr>
              <w:t>Lacul Sărat - Brăila</w:t>
            </w:r>
          </w:p>
        </w:tc>
      </w:tr>
      <w:tr w:rsidR="00D810D6" w:rsidRPr="00C56257" w14:paraId="5DE8E39E" w14:textId="77777777" w:rsidTr="003771D0">
        <w:trPr>
          <w:trHeight w:val="251"/>
        </w:trPr>
        <w:tc>
          <w:tcPr>
            <w:tcW w:w="3349" w:type="dxa"/>
            <w:vMerge/>
            <w:tcBorders>
              <w:top w:val="nil"/>
            </w:tcBorders>
          </w:tcPr>
          <w:p w14:paraId="0CC1EA06" w14:textId="77777777" w:rsidR="00D810D6" w:rsidRPr="00C56257" w:rsidRDefault="00D810D6" w:rsidP="00487855">
            <w:pPr>
              <w:jc w:val="both"/>
              <w:rPr>
                <w:color w:val="000000" w:themeColor="text1"/>
              </w:rPr>
            </w:pPr>
          </w:p>
        </w:tc>
        <w:tc>
          <w:tcPr>
            <w:tcW w:w="2268" w:type="dxa"/>
          </w:tcPr>
          <w:p w14:paraId="063BA091" w14:textId="77777777" w:rsidR="00D810D6" w:rsidRPr="00D810D6" w:rsidRDefault="00D810D6" w:rsidP="00881670">
            <w:pPr>
              <w:pStyle w:val="TableParagraph"/>
              <w:spacing w:line="234" w:lineRule="exact"/>
              <w:ind w:right="1074"/>
              <w:rPr>
                <w:color w:val="000000"/>
              </w:rPr>
            </w:pPr>
            <w:r w:rsidRPr="00D810D6">
              <w:rPr>
                <w:color w:val="000000"/>
              </w:rPr>
              <w:t>ROSCI0320</w:t>
            </w:r>
          </w:p>
        </w:tc>
        <w:tc>
          <w:tcPr>
            <w:tcW w:w="4178" w:type="dxa"/>
            <w:vAlign w:val="bottom"/>
          </w:tcPr>
          <w:p w14:paraId="388B953C" w14:textId="77777777" w:rsidR="00D810D6" w:rsidRPr="00D810D6" w:rsidRDefault="00D810D6" w:rsidP="00487855">
            <w:pPr>
              <w:pStyle w:val="TableParagraph"/>
              <w:spacing w:line="234" w:lineRule="exact"/>
              <w:ind w:right="1074"/>
              <w:jc w:val="both"/>
              <w:rPr>
                <w:color w:val="000000"/>
              </w:rPr>
            </w:pPr>
            <w:r w:rsidRPr="00D810D6">
              <w:rPr>
                <w:color w:val="000000"/>
              </w:rPr>
              <w:t>Mociar</w:t>
            </w:r>
          </w:p>
        </w:tc>
      </w:tr>
      <w:tr w:rsidR="00D810D6" w:rsidRPr="00C56257" w14:paraId="33DB0E05" w14:textId="77777777" w:rsidTr="003771D0">
        <w:trPr>
          <w:trHeight w:val="253"/>
        </w:trPr>
        <w:tc>
          <w:tcPr>
            <w:tcW w:w="3349" w:type="dxa"/>
            <w:vMerge/>
            <w:tcBorders>
              <w:top w:val="nil"/>
            </w:tcBorders>
          </w:tcPr>
          <w:p w14:paraId="4A710B33" w14:textId="77777777" w:rsidR="00D810D6" w:rsidRPr="00C56257" w:rsidRDefault="00D810D6" w:rsidP="00487855">
            <w:pPr>
              <w:jc w:val="both"/>
              <w:rPr>
                <w:color w:val="000000" w:themeColor="text1"/>
              </w:rPr>
            </w:pPr>
          </w:p>
        </w:tc>
        <w:tc>
          <w:tcPr>
            <w:tcW w:w="2268" w:type="dxa"/>
          </w:tcPr>
          <w:p w14:paraId="6DC78575" w14:textId="77777777" w:rsidR="00D810D6" w:rsidRPr="00D810D6" w:rsidRDefault="00D810D6" w:rsidP="00881670">
            <w:pPr>
              <w:pStyle w:val="TableParagraph"/>
              <w:spacing w:line="234" w:lineRule="exact"/>
              <w:ind w:right="1074"/>
              <w:rPr>
                <w:color w:val="000000"/>
              </w:rPr>
            </w:pPr>
            <w:r w:rsidRPr="00D810D6">
              <w:rPr>
                <w:color w:val="000000"/>
              </w:rPr>
              <w:t>ROSCI0387</w:t>
            </w:r>
          </w:p>
        </w:tc>
        <w:tc>
          <w:tcPr>
            <w:tcW w:w="4178" w:type="dxa"/>
            <w:vAlign w:val="bottom"/>
          </w:tcPr>
          <w:p w14:paraId="1A57C2DB" w14:textId="77777777" w:rsidR="00D810D6" w:rsidRPr="00D810D6" w:rsidRDefault="00D810D6" w:rsidP="00487855">
            <w:pPr>
              <w:pStyle w:val="TableParagraph"/>
              <w:spacing w:line="234" w:lineRule="exact"/>
              <w:ind w:right="1074"/>
              <w:jc w:val="both"/>
              <w:rPr>
                <w:color w:val="000000"/>
              </w:rPr>
            </w:pPr>
            <w:r w:rsidRPr="00D810D6">
              <w:rPr>
                <w:color w:val="000000"/>
              </w:rPr>
              <w:t>Salonta</w:t>
            </w:r>
          </w:p>
        </w:tc>
      </w:tr>
      <w:tr w:rsidR="00D810D6" w:rsidRPr="00C56257" w14:paraId="7E0645B6" w14:textId="77777777" w:rsidTr="003771D0">
        <w:trPr>
          <w:trHeight w:val="253"/>
        </w:trPr>
        <w:tc>
          <w:tcPr>
            <w:tcW w:w="3349" w:type="dxa"/>
            <w:vMerge/>
            <w:tcBorders>
              <w:top w:val="nil"/>
            </w:tcBorders>
          </w:tcPr>
          <w:p w14:paraId="75B5B413" w14:textId="77777777" w:rsidR="00D810D6" w:rsidRPr="00C56257" w:rsidRDefault="00D810D6" w:rsidP="00487855">
            <w:pPr>
              <w:jc w:val="both"/>
              <w:rPr>
                <w:color w:val="000000" w:themeColor="text1"/>
              </w:rPr>
            </w:pPr>
          </w:p>
        </w:tc>
        <w:tc>
          <w:tcPr>
            <w:tcW w:w="2268" w:type="dxa"/>
          </w:tcPr>
          <w:p w14:paraId="56CA2A12" w14:textId="77777777" w:rsidR="00D810D6" w:rsidRPr="00D810D6" w:rsidRDefault="00D810D6" w:rsidP="00881670">
            <w:pPr>
              <w:pStyle w:val="TableParagraph"/>
              <w:spacing w:line="234" w:lineRule="exact"/>
              <w:ind w:right="1074"/>
              <w:rPr>
                <w:color w:val="000000"/>
              </w:rPr>
            </w:pPr>
            <w:r w:rsidRPr="00D810D6">
              <w:rPr>
                <w:color w:val="000000"/>
              </w:rPr>
              <w:t>ROSCI0388</w:t>
            </w:r>
          </w:p>
        </w:tc>
        <w:tc>
          <w:tcPr>
            <w:tcW w:w="4178" w:type="dxa"/>
            <w:vAlign w:val="bottom"/>
          </w:tcPr>
          <w:p w14:paraId="24BCE768" w14:textId="77777777" w:rsidR="00D810D6" w:rsidRPr="00D810D6" w:rsidRDefault="00D810D6" w:rsidP="003771D0">
            <w:pPr>
              <w:pStyle w:val="TableParagraph"/>
              <w:spacing w:line="234" w:lineRule="exact"/>
              <w:ind w:right="1074"/>
              <w:jc w:val="both"/>
              <w:rPr>
                <w:color w:val="000000"/>
              </w:rPr>
            </w:pPr>
            <w:r w:rsidRPr="00D810D6">
              <w:rPr>
                <w:color w:val="000000"/>
              </w:rPr>
              <w:t xml:space="preserve">Sărăturile de la Foeni - </w:t>
            </w:r>
            <w:r w:rsidR="003771D0">
              <w:rPr>
                <w:color w:val="000000"/>
              </w:rPr>
              <w:t>G</w:t>
            </w:r>
            <w:r w:rsidRPr="00D810D6">
              <w:rPr>
                <w:color w:val="000000"/>
              </w:rPr>
              <w:t>răniceri</w:t>
            </w:r>
          </w:p>
        </w:tc>
      </w:tr>
      <w:tr w:rsidR="00D810D6" w:rsidRPr="00C56257" w14:paraId="5255F573" w14:textId="77777777" w:rsidTr="003771D0">
        <w:trPr>
          <w:trHeight w:val="251"/>
        </w:trPr>
        <w:tc>
          <w:tcPr>
            <w:tcW w:w="3349" w:type="dxa"/>
            <w:vMerge/>
            <w:tcBorders>
              <w:top w:val="nil"/>
              <w:bottom w:val="nil"/>
            </w:tcBorders>
          </w:tcPr>
          <w:p w14:paraId="51AD5B84" w14:textId="77777777" w:rsidR="00D810D6" w:rsidRPr="00C56257" w:rsidRDefault="00D810D6" w:rsidP="00487855">
            <w:pPr>
              <w:jc w:val="both"/>
              <w:rPr>
                <w:color w:val="000000" w:themeColor="text1"/>
              </w:rPr>
            </w:pPr>
          </w:p>
        </w:tc>
        <w:tc>
          <w:tcPr>
            <w:tcW w:w="2268" w:type="dxa"/>
          </w:tcPr>
          <w:p w14:paraId="029CAF4C" w14:textId="77777777" w:rsidR="00D810D6" w:rsidRPr="00D810D6" w:rsidRDefault="00D810D6" w:rsidP="00881670">
            <w:pPr>
              <w:pStyle w:val="TableParagraph"/>
              <w:spacing w:line="234" w:lineRule="exact"/>
              <w:ind w:right="1074"/>
              <w:rPr>
                <w:color w:val="000000"/>
              </w:rPr>
            </w:pPr>
            <w:r w:rsidRPr="00D810D6">
              <w:rPr>
                <w:color w:val="000000"/>
              </w:rPr>
              <w:t>ROSCI0389</w:t>
            </w:r>
          </w:p>
        </w:tc>
        <w:tc>
          <w:tcPr>
            <w:tcW w:w="4178" w:type="dxa"/>
            <w:vAlign w:val="bottom"/>
          </w:tcPr>
          <w:p w14:paraId="4FFDB001" w14:textId="77777777" w:rsidR="00D810D6" w:rsidRPr="00D810D6" w:rsidRDefault="00D810D6" w:rsidP="00487855">
            <w:pPr>
              <w:pStyle w:val="TableParagraph"/>
              <w:spacing w:line="234" w:lineRule="exact"/>
              <w:ind w:right="1074"/>
              <w:jc w:val="both"/>
              <w:rPr>
                <w:color w:val="000000"/>
              </w:rPr>
            </w:pPr>
            <w:r w:rsidRPr="00D810D6">
              <w:rPr>
                <w:color w:val="000000"/>
              </w:rPr>
              <w:t>Sărăturile de la Gura Ialomiței - Mihai Bravu</w:t>
            </w:r>
          </w:p>
        </w:tc>
      </w:tr>
      <w:tr w:rsidR="00D810D6" w:rsidRPr="00C56257" w14:paraId="3121673B" w14:textId="77777777" w:rsidTr="003771D0">
        <w:trPr>
          <w:trHeight w:val="251"/>
        </w:trPr>
        <w:tc>
          <w:tcPr>
            <w:tcW w:w="3349" w:type="dxa"/>
            <w:tcBorders>
              <w:top w:val="nil"/>
              <w:bottom w:val="nil"/>
            </w:tcBorders>
          </w:tcPr>
          <w:p w14:paraId="46B61A83" w14:textId="77777777" w:rsidR="00D810D6" w:rsidRPr="00C56257" w:rsidRDefault="00D810D6" w:rsidP="00487855">
            <w:pPr>
              <w:jc w:val="both"/>
              <w:rPr>
                <w:color w:val="000000" w:themeColor="text1"/>
              </w:rPr>
            </w:pPr>
          </w:p>
        </w:tc>
        <w:tc>
          <w:tcPr>
            <w:tcW w:w="2268" w:type="dxa"/>
          </w:tcPr>
          <w:p w14:paraId="5323F658" w14:textId="77777777" w:rsidR="00D810D6" w:rsidRPr="00D810D6" w:rsidRDefault="00D810D6" w:rsidP="00881670">
            <w:pPr>
              <w:pStyle w:val="TableParagraph"/>
              <w:spacing w:line="234" w:lineRule="exact"/>
              <w:ind w:right="1074"/>
              <w:rPr>
                <w:color w:val="000000"/>
              </w:rPr>
            </w:pPr>
            <w:r w:rsidRPr="00D810D6">
              <w:rPr>
                <w:color w:val="000000"/>
              </w:rPr>
              <w:t>ROSCI0390</w:t>
            </w:r>
          </w:p>
        </w:tc>
        <w:tc>
          <w:tcPr>
            <w:tcW w:w="4178" w:type="dxa"/>
            <w:vAlign w:val="bottom"/>
          </w:tcPr>
          <w:p w14:paraId="25AE773F" w14:textId="77777777" w:rsidR="00D810D6" w:rsidRPr="00D810D6" w:rsidRDefault="00D810D6" w:rsidP="00487855">
            <w:pPr>
              <w:pStyle w:val="TableParagraph"/>
              <w:spacing w:line="234" w:lineRule="exact"/>
              <w:ind w:right="1074"/>
              <w:jc w:val="both"/>
              <w:rPr>
                <w:color w:val="000000"/>
              </w:rPr>
            </w:pPr>
            <w:r w:rsidRPr="00D810D6">
              <w:rPr>
                <w:color w:val="000000"/>
              </w:rPr>
              <w:t>Sărăturile Diniaș</w:t>
            </w:r>
          </w:p>
        </w:tc>
      </w:tr>
      <w:tr w:rsidR="00D810D6" w:rsidRPr="00C56257" w14:paraId="3409EA5F" w14:textId="77777777" w:rsidTr="003771D0">
        <w:trPr>
          <w:trHeight w:val="251"/>
        </w:trPr>
        <w:tc>
          <w:tcPr>
            <w:tcW w:w="3349" w:type="dxa"/>
            <w:tcBorders>
              <w:top w:val="nil"/>
              <w:bottom w:val="nil"/>
            </w:tcBorders>
          </w:tcPr>
          <w:p w14:paraId="698216E0" w14:textId="77777777" w:rsidR="00D810D6" w:rsidRPr="00C56257" w:rsidRDefault="00D810D6" w:rsidP="00487855">
            <w:pPr>
              <w:jc w:val="both"/>
              <w:rPr>
                <w:color w:val="000000" w:themeColor="text1"/>
              </w:rPr>
            </w:pPr>
          </w:p>
        </w:tc>
        <w:tc>
          <w:tcPr>
            <w:tcW w:w="2268" w:type="dxa"/>
          </w:tcPr>
          <w:p w14:paraId="3EB4846A" w14:textId="77777777" w:rsidR="00D810D6" w:rsidRPr="00D810D6" w:rsidRDefault="00D810D6" w:rsidP="00881670">
            <w:pPr>
              <w:pStyle w:val="TableParagraph"/>
              <w:spacing w:line="234" w:lineRule="exact"/>
              <w:ind w:right="1074"/>
              <w:rPr>
                <w:color w:val="000000"/>
              </w:rPr>
            </w:pPr>
            <w:r w:rsidRPr="00D810D6">
              <w:rPr>
                <w:color w:val="000000"/>
              </w:rPr>
              <w:t>ROSCI0401</w:t>
            </w:r>
          </w:p>
        </w:tc>
        <w:tc>
          <w:tcPr>
            <w:tcW w:w="4178" w:type="dxa"/>
            <w:vAlign w:val="bottom"/>
          </w:tcPr>
          <w:p w14:paraId="2E48A5B5" w14:textId="77777777" w:rsidR="00D810D6" w:rsidRPr="00D810D6" w:rsidRDefault="00D810D6" w:rsidP="00487855">
            <w:pPr>
              <w:pStyle w:val="TableParagraph"/>
              <w:spacing w:line="234" w:lineRule="exact"/>
              <w:ind w:right="1074"/>
              <w:jc w:val="both"/>
              <w:rPr>
                <w:color w:val="000000"/>
              </w:rPr>
            </w:pPr>
            <w:r w:rsidRPr="00D810D6">
              <w:rPr>
                <w:color w:val="000000"/>
              </w:rPr>
              <w:t>Turnu - Variașu</w:t>
            </w:r>
          </w:p>
        </w:tc>
      </w:tr>
      <w:tr w:rsidR="00D810D6" w:rsidRPr="00C56257" w14:paraId="64F3366D" w14:textId="77777777" w:rsidTr="003771D0">
        <w:trPr>
          <w:trHeight w:val="251"/>
        </w:trPr>
        <w:tc>
          <w:tcPr>
            <w:tcW w:w="3349" w:type="dxa"/>
            <w:tcBorders>
              <w:top w:val="nil"/>
            </w:tcBorders>
          </w:tcPr>
          <w:p w14:paraId="7B70FB46" w14:textId="77777777" w:rsidR="00D810D6" w:rsidRPr="00C56257" w:rsidRDefault="00D810D6" w:rsidP="00487855">
            <w:pPr>
              <w:jc w:val="both"/>
              <w:rPr>
                <w:color w:val="000000" w:themeColor="text1"/>
              </w:rPr>
            </w:pPr>
          </w:p>
        </w:tc>
        <w:tc>
          <w:tcPr>
            <w:tcW w:w="2268" w:type="dxa"/>
          </w:tcPr>
          <w:p w14:paraId="3864B88C" w14:textId="77777777" w:rsidR="00D810D6" w:rsidRPr="00D810D6" w:rsidRDefault="00D810D6" w:rsidP="00881670">
            <w:pPr>
              <w:pStyle w:val="TableParagraph"/>
              <w:spacing w:line="234" w:lineRule="exact"/>
              <w:ind w:right="1074"/>
              <w:rPr>
                <w:color w:val="000000"/>
              </w:rPr>
            </w:pPr>
            <w:r w:rsidRPr="00D810D6">
              <w:rPr>
                <w:color w:val="000000"/>
              </w:rPr>
              <w:t>ROSCI0414</w:t>
            </w:r>
          </w:p>
        </w:tc>
        <w:tc>
          <w:tcPr>
            <w:tcW w:w="4178" w:type="dxa"/>
            <w:vAlign w:val="bottom"/>
          </w:tcPr>
          <w:p w14:paraId="0B08A01D" w14:textId="77777777" w:rsidR="00D810D6" w:rsidRPr="00D810D6" w:rsidRDefault="00D810D6" w:rsidP="00487855">
            <w:pPr>
              <w:pStyle w:val="TableParagraph"/>
              <w:spacing w:line="234" w:lineRule="exact"/>
              <w:ind w:right="1074"/>
              <w:jc w:val="both"/>
              <w:rPr>
                <w:color w:val="000000"/>
              </w:rPr>
            </w:pPr>
            <w:r w:rsidRPr="00D810D6">
              <w:rPr>
                <w:color w:val="000000"/>
              </w:rPr>
              <w:t>Lovrin</w:t>
            </w:r>
          </w:p>
        </w:tc>
      </w:tr>
    </w:tbl>
    <w:p w14:paraId="617BCEC9" w14:textId="77777777" w:rsidR="00D810D6" w:rsidRDefault="00D810D6" w:rsidP="008E33FD">
      <w:pPr>
        <w:spacing w:after="160" w:line="259" w:lineRule="auto"/>
        <w:jc w:val="both"/>
        <w:rPr>
          <w:b/>
          <w:bCs/>
          <w:color w:val="000000" w:themeColor="text1"/>
        </w:rPr>
      </w:pPr>
    </w:p>
    <w:p w14:paraId="65B8D108" w14:textId="77777777" w:rsidR="0021774E" w:rsidRPr="00C56257" w:rsidRDefault="0021774E" w:rsidP="008E33FD">
      <w:pPr>
        <w:spacing w:after="160" w:line="259" w:lineRule="auto"/>
        <w:jc w:val="both"/>
        <w:rPr>
          <w:bCs/>
          <w:color w:val="000000" w:themeColor="text1"/>
        </w:rPr>
      </w:pPr>
    </w:p>
    <w:p w14:paraId="7E37FBD7" w14:textId="77777777" w:rsidR="00D810D6" w:rsidRDefault="004668E0" w:rsidP="0017673F">
      <w:pPr>
        <w:spacing w:after="160" w:line="259" w:lineRule="auto"/>
        <w:ind w:right="160"/>
        <w:jc w:val="both"/>
        <w:rPr>
          <w:b/>
          <w:bCs/>
          <w:color w:val="000000" w:themeColor="text1"/>
        </w:rPr>
      </w:pPr>
      <w:r>
        <w:rPr>
          <w:b/>
          <w:bCs/>
          <w:color w:val="000000" w:themeColor="text1"/>
        </w:rPr>
        <w:t>2.4</w:t>
      </w:r>
      <w:r w:rsidR="00BC3758" w:rsidRPr="00C56257">
        <w:rPr>
          <w:b/>
          <w:color w:val="000000" w:themeColor="text1"/>
        </w:rPr>
        <w:t xml:space="preserve"> </w:t>
      </w:r>
      <w:r w:rsidR="00510367" w:rsidRPr="00C56257">
        <w:rPr>
          <w:b/>
          <w:bCs/>
          <w:color w:val="000000" w:themeColor="text1"/>
        </w:rPr>
        <w:t>Lista cu presiunile și a</w:t>
      </w:r>
      <w:r w:rsidR="00BC3758" w:rsidRPr="00C56257">
        <w:rPr>
          <w:b/>
          <w:bCs/>
          <w:color w:val="000000" w:themeColor="text1"/>
        </w:rPr>
        <w:t xml:space="preserve">menințările ce acționează asupra </w:t>
      </w:r>
      <w:r w:rsidR="00DF2F01" w:rsidRPr="00C56257">
        <w:rPr>
          <w:b/>
          <w:bCs/>
          <w:color w:val="000000" w:themeColor="text1"/>
        </w:rPr>
        <w:t>habitatelor de  sărături</w:t>
      </w:r>
      <w:r w:rsidR="001C4653" w:rsidRPr="001C4653">
        <w:t xml:space="preserve"> </w:t>
      </w:r>
      <w:bookmarkStart w:id="26" w:name="_Hlk140131024"/>
      <w:r w:rsidR="001C4653" w:rsidRPr="0017673F">
        <w:rPr>
          <w:color w:val="000000" w:themeColor="text1"/>
        </w:rPr>
        <w:t>poate fi selectată de la următoarea adresa web: https://cdr.eionet.europa.eu/help/habitats_art17.</w:t>
      </w:r>
      <w:bookmarkEnd w:id="26"/>
    </w:p>
    <w:p w14:paraId="44C56270" w14:textId="77777777" w:rsidR="00BC3758" w:rsidRPr="00C56257" w:rsidRDefault="004668E0" w:rsidP="008E33FD">
      <w:pPr>
        <w:spacing w:after="160" w:line="259" w:lineRule="auto"/>
        <w:jc w:val="both"/>
        <w:rPr>
          <w:b/>
          <w:bCs/>
          <w:color w:val="000000" w:themeColor="text1"/>
        </w:rPr>
      </w:pPr>
      <w:r>
        <w:rPr>
          <w:b/>
          <w:bCs/>
          <w:color w:val="000000" w:themeColor="text1"/>
        </w:rPr>
        <w:t>2.5</w:t>
      </w:r>
      <w:r w:rsidR="00510367" w:rsidRPr="00C56257">
        <w:rPr>
          <w:b/>
          <w:bCs/>
          <w:color w:val="000000" w:themeColor="text1"/>
        </w:rPr>
        <w:t xml:space="preserve"> Lista cu m</w:t>
      </w:r>
      <w:r w:rsidR="00BC3758" w:rsidRPr="00C56257">
        <w:rPr>
          <w:b/>
          <w:bCs/>
          <w:color w:val="000000" w:themeColor="text1"/>
        </w:rPr>
        <w:t xml:space="preserve">ăsurile de conservare ce se pot aplica </w:t>
      </w:r>
      <w:r w:rsidR="00DF2F01" w:rsidRPr="00C56257">
        <w:rPr>
          <w:b/>
          <w:bCs/>
          <w:color w:val="000000" w:themeColor="text1"/>
        </w:rPr>
        <w:t>habitatelor de  sărături</w:t>
      </w:r>
    </w:p>
    <w:p w14:paraId="635E3BED" w14:textId="77777777" w:rsidR="00AF21FB" w:rsidRPr="00C56257" w:rsidRDefault="00AF21FB" w:rsidP="00493079">
      <w:pPr>
        <w:pStyle w:val="BodyText"/>
        <w:ind w:left="0" w:right="26"/>
        <w:jc w:val="both"/>
        <w:rPr>
          <w:color w:val="000000" w:themeColor="text1"/>
          <w:sz w:val="24"/>
          <w:szCs w:val="24"/>
          <w:lang w:val="fr-FR"/>
        </w:rPr>
      </w:pPr>
      <w:proofErr w:type="spellStart"/>
      <w:r w:rsidRPr="00C56257">
        <w:rPr>
          <w:color w:val="000000" w:themeColor="text1"/>
          <w:sz w:val="24"/>
          <w:szCs w:val="24"/>
          <w:lang w:val="fr-FR"/>
        </w:rPr>
        <w:t>Principalul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scop</w:t>
      </w:r>
      <w:proofErr w:type="spellEnd"/>
      <w:r w:rsidRPr="00C56257">
        <w:rPr>
          <w:color w:val="000000" w:themeColor="text1"/>
          <w:sz w:val="24"/>
          <w:szCs w:val="24"/>
          <w:lang w:val="fr-FR"/>
        </w:rPr>
        <w:t xml:space="preserve"> al </w:t>
      </w:r>
      <w:proofErr w:type="spellStart"/>
      <w:r w:rsidRPr="00C56257">
        <w:rPr>
          <w:color w:val="000000" w:themeColor="text1"/>
          <w:sz w:val="24"/>
          <w:szCs w:val="24"/>
          <w:lang w:val="fr-FR"/>
        </w:rPr>
        <w:t>implementării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acestor</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măsuri</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 xml:space="preserve"> are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vedere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menținerea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arealului</w:t>
      </w:r>
      <w:proofErr w:type="spellEnd"/>
      <w:r w:rsidR="00493079">
        <w:rPr>
          <w:color w:val="000000" w:themeColor="text1"/>
          <w:sz w:val="24"/>
          <w:szCs w:val="24"/>
          <w:lang w:val="fr-FR"/>
        </w:rPr>
        <w:t xml:space="preserve"> </w:t>
      </w:r>
      <w:r w:rsidRPr="00C56257">
        <w:rPr>
          <w:color w:val="000000" w:themeColor="text1"/>
          <w:spacing w:val="-57"/>
          <w:sz w:val="24"/>
          <w:szCs w:val="24"/>
          <w:lang w:val="fr-FR"/>
        </w:rPr>
        <w:t xml:space="preserve"> </w:t>
      </w:r>
      <w:proofErr w:type="spellStart"/>
      <w:r w:rsidRPr="00C56257">
        <w:rPr>
          <w:color w:val="000000" w:themeColor="text1"/>
          <w:sz w:val="24"/>
          <w:szCs w:val="24"/>
          <w:lang w:val="fr-FR"/>
        </w:rPr>
        <w:t>actual</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al</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habitatului</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r w:rsidRPr="00C56257">
        <w:rPr>
          <w:color w:val="000000" w:themeColor="text1"/>
          <w:sz w:val="24"/>
          <w:szCs w:val="24"/>
          <w:lang w:val="fr-FR"/>
        </w:rPr>
        <w:t>Aceste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informații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despre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măsurile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conservare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utile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inclusiv</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la</w:t>
      </w:r>
      <w:r w:rsidR="00493079">
        <w:rPr>
          <w:color w:val="000000" w:themeColor="text1"/>
          <w:sz w:val="24"/>
          <w:szCs w:val="24"/>
          <w:lang w:val="fr-FR"/>
        </w:rPr>
        <w:t xml:space="preserve"> </w:t>
      </w:r>
      <w:r w:rsidRPr="00C56257">
        <w:rPr>
          <w:color w:val="000000" w:themeColor="text1"/>
          <w:spacing w:val="-58"/>
          <w:sz w:val="24"/>
          <w:szCs w:val="24"/>
          <w:lang w:val="fr-FR"/>
        </w:rPr>
        <w:t xml:space="preserve"> </w:t>
      </w:r>
      <w:proofErr w:type="spellStart"/>
      <w:r w:rsidRPr="00C56257">
        <w:rPr>
          <w:color w:val="000000" w:themeColor="text1"/>
          <w:sz w:val="24"/>
          <w:szCs w:val="24"/>
          <w:lang w:val="fr-FR"/>
        </w:rPr>
        <w:t>planurile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gestionare</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00493079">
        <w:rPr>
          <w:color w:val="000000" w:themeColor="text1"/>
          <w:sz w:val="24"/>
          <w:szCs w:val="24"/>
          <w:lang w:val="fr-FR"/>
        </w:rPr>
        <w:t>precum</w:t>
      </w:r>
      <w:proofErr w:type="spellEnd"/>
      <w:r w:rsidR="00493079">
        <w:rPr>
          <w:color w:val="000000" w:themeColor="text1"/>
          <w:sz w:val="24"/>
          <w:szCs w:val="24"/>
          <w:lang w:val="fr-FR"/>
        </w:rPr>
        <w:t> </w:t>
      </w:r>
      <w:r w:rsidR="00493079">
        <w:rPr>
          <w:color w:val="000000" w:themeColor="text1"/>
          <w:sz w:val="24"/>
          <w:szCs w:val="24"/>
          <w:lang w:val="ro-RO"/>
        </w:rPr>
        <w:t>și la</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întreținerea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sau</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restabilirea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habitatelor</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la</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starea</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conservare</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favorabilă</w:t>
      </w:r>
      <w:proofErr w:type="spellEnd"/>
      <w:r w:rsidRPr="00C56257">
        <w:rPr>
          <w:color w:val="000000" w:themeColor="text1"/>
          <w:sz w:val="24"/>
          <w:szCs w:val="24"/>
          <w:lang w:val="fr-FR"/>
        </w:rPr>
        <w:t>.</w:t>
      </w:r>
    </w:p>
    <w:p w14:paraId="312DD9C0" w14:textId="77777777" w:rsidR="00AF21FB" w:rsidRPr="00C56257" w:rsidRDefault="00AF21FB" w:rsidP="00493079">
      <w:pPr>
        <w:pStyle w:val="BodyText"/>
        <w:ind w:left="0" w:right="26"/>
        <w:jc w:val="both"/>
        <w:rPr>
          <w:color w:val="000000" w:themeColor="text1"/>
          <w:sz w:val="24"/>
          <w:szCs w:val="24"/>
          <w:lang w:val="fr-FR"/>
        </w:rPr>
      </w:pP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urma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identificării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categoriilor</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presiuni</w:t>
      </w:r>
      <w:proofErr w:type="spellEnd"/>
      <w:r w:rsidRPr="00C56257">
        <w:rPr>
          <w:color w:val="000000" w:themeColor="text1"/>
          <w:sz w:val="24"/>
          <w:szCs w:val="24"/>
          <w:lang w:val="fr-FR"/>
        </w:rPr>
        <w:t xml:space="preserve">, se </w:t>
      </w:r>
      <w:proofErr w:type="spellStart"/>
      <w:r w:rsidRPr="00C56257">
        <w:rPr>
          <w:color w:val="000000" w:themeColor="text1"/>
          <w:sz w:val="24"/>
          <w:szCs w:val="24"/>
          <w:lang w:val="fr-FR"/>
        </w:rPr>
        <w:t>propune</w:t>
      </w:r>
      <w:proofErr w:type="spellEnd"/>
      <w:r w:rsidRPr="00C56257">
        <w:rPr>
          <w:color w:val="000000" w:themeColor="text1"/>
          <w:sz w:val="24"/>
          <w:szCs w:val="24"/>
          <w:lang w:val="fr-FR"/>
        </w:rPr>
        <w:t xml:space="preserve"> un set de </w:t>
      </w:r>
      <w:proofErr w:type="spellStart"/>
      <w:r w:rsidRPr="00C56257">
        <w:rPr>
          <w:color w:val="000000" w:themeColor="text1"/>
          <w:sz w:val="24"/>
          <w:szCs w:val="24"/>
          <w:lang w:val="fr-FR"/>
        </w:rPr>
        <w:t>măsuri</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generale</w:t>
      </w:r>
      <w:proofErr w:type="spellEnd"/>
      <w:r w:rsidRPr="00C56257">
        <w:rPr>
          <w:color w:val="000000" w:themeColor="text1"/>
          <w:spacing w:val="-57"/>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particulare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adaptate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grupului</w:t>
      </w:r>
      <w:proofErr w:type="spellEnd"/>
      <w:r w:rsidRPr="00C56257">
        <w:rPr>
          <w:color w:val="000000" w:themeColor="text1"/>
          <w:sz w:val="24"/>
          <w:szCs w:val="24"/>
          <w:lang w:val="fr-FR"/>
        </w:rPr>
        <w:t xml:space="preserve"> 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habitate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w:t>
      </w:r>
      <w:proofErr w:type="spellStart"/>
      <w:r w:rsidRPr="00C56257">
        <w:rPr>
          <w:color w:val="000000" w:themeColor="text1"/>
          <w:sz w:val="24"/>
          <w:szCs w:val="24"/>
          <w:lang w:val="fr-FR"/>
        </w:rPr>
        <w:t>vezi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tabelul</w:t>
      </w:r>
      <w:proofErr w:type="spellEnd"/>
      <w:r w:rsidRPr="00C56257">
        <w:rPr>
          <w:color w:val="000000" w:themeColor="text1"/>
          <w:sz w:val="24"/>
          <w:szCs w:val="24"/>
          <w:lang w:val="fr-FR"/>
        </w:rPr>
        <w:t xml:space="preserve"> de</w:t>
      </w:r>
      <w:r w:rsidRPr="00C56257">
        <w:rPr>
          <w:color w:val="000000" w:themeColor="text1"/>
          <w:spacing w:val="-1"/>
          <w:sz w:val="24"/>
          <w:szCs w:val="24"/>
          <w:lang w:val="fr-FR"/>
        </w:rPr>
        <w:t xml:space="preserve"> </w:t>
      </w:r>
      <w:r w:rsidRPr="00C56257">
        <w:rPr>
          <w:color w:val="000000" w:themeColor="text1"/>
          <w:sz w:val="24"/>
          <w:szCs w:val="24"/>
          <w:lang w:val="fr-FR"/>
        </w:rPr>
        <w:t xml:space="preserve">mai </w:t>
      </w:r>
      <w:proofErr w:type="spellStart"/>
      <w:r w:rsidRPr="00C56257">
        <w:rPr>
          <w:color w:val="000000" w:themeColor="text1"/>
          <w:sz w:val="24"/>
          <w:szCs w:val="24"/>
          <w:lang w:val="fr-FR"/>
        </w:rPr>
        <w:t>jos</w:t>
      </w:r>
      <w:proofErr w:type="spellEnd"/>
      <w:r w:rsidRPr="00C56257">
        <w:rPr>
          <w:color w:val="000000" w:themeColor="text1"/>
          <w:sz w:val="24"/>
          <w:szCs w:val="24"/>
          <w:lang w:val="fr-FR"/>
        </w:rPr>
        <w:t>).</w:t>
      </w:r>
    </w:p>
    <w:p w14:paraId="47076EBF" w14:textId="77777777" w:rsidR="00AF21FB" w:rsidRPr="00C56257" w:rsidRDefault="00AF21FB" w:rsidP="008E33FD">
      <w:pPr>
        <w:pStyle w:val="BodyText"/>
        <w:spacing w:before="6"/>
        <w:jc w:val="both"/>
        <w:rPr>
          <w:color w:val="000000" w:themeColor="text1"/>
          <w:sz w:val="24"/>
          <w:szCs w:val="24"/>
          <w:lang w:val="fr-FR"/>
        </w:rPr>
      </w:pPr>
    </w:p>
    <w:tbl>
      <w:tblPr>
        <w:tblW w:w="9788" w:type="dxa"/>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8"/>
        <w:gridCol w:w="811"/>
        <w:gridCol w:w="1440"/>
        <w:gridCol w:w="4999"/>
        <w:gridCol w:w="1890"/>
      </w:tblGrid>
      <w:tr w:rsidR="0030520C" w:rsidRPr="00C56257" w14:paraId="42CE98CF" w14:textId="77777777" w:rsidTr="0009599D">
        <w:trPr>
          <w:trHeight w:val="757"/>
        </w:trPr>
        <w:tc>
          <w:tcPr>
            <w:tcW w:w="648" w:type="dxa"/>
            <w:shd w:val="clear" w:color="auto" w:fill="8DB4E2"/>
          </w:tcPr>
          <w:p w14:paraId="0330609E" w14:textId="77777777" w:rsidR="0030520C" w:rsidRPr="00F100E1" w:rsidRDefault="0030520C" w:rsidP="008E33FD">
            <w:pPr>
              <w:pStyle w:val="TableParagraph"/>
              <w:ind w:right="126"/>
              <w:jc w:val="both"/>
              <w:rPr>
                <w:b/>
                <w:color w:val="000000" w:themeColor="text1"/>
                <w:sz w:val="24"/>
                <w:szCs w:val="24"/>
              </w:rPr>
            </w:pPr>
            <w:r w:rsidRPr="00F100E1">
              <w:rPr>
                <w:b/>
                <w:color w:val="000000" w:themeColor="text1"/>
                <w:sz w:val="24"/>
                <w:szCs w:val="24"/>
              </w:rPr>
              <w:t>Nr.</w:t>
            </w:r>
            <w:r w:rsidRPr="00F100E1">
              <w:rPr>
                <w:b/>
                <w:color w:val="000000" w:themeColor="text1"/>
                <w:spacing w:val="1"/>
                <w:sz w:val="24"/>
                <w:szCs w:val="24"/>
              </w:rPr>
              <w:t xml:space="preserve"> </w:t>
            </w:r>
            <w:r w:rsidRPr="00F100E1">
              <w:rPr>
                <w:b/>
                <w:color w:val="000000" w:themeColor="text1"/>
                <w:sz w:val="24"/>
                <w:szCs w:val="24"/>
              </w:rPr>
              <w:t>Crt.</w:t>
            </w:r>
          </w:p>
        </w:tc>
        <w:tc>
          <w:tcPr>
            <w:tcW w:w="811" w:type="dxa"/>
            <w:shd w:val="clear" w:color="auto" w:fill="8DB4E2"/>
          </w:tcPr>
          <w:p w14:paraId="71F74EF5" w14:textId="77777777" w:rsidR="0030520C" w:rsidRPr="00F100E1" w:rsidRDefault="0030520C" w:rsidP="008E33FD">
            <w:pPr>
              <w:pStyle w:val="TableParagraph"/>
              <w:spacing w:before="8"/>
              <w:jc w:val="both"/>
              <w:rPr>
                <w:color w:val="000000" w:themeColor="text1"/>
                <w:sz w:val="24"/>
                <w:szCs w:val="24"/>
              </w:rPr>
            </w:pPr>
          </w:p>
          <w:p w14:paraId="379D0ABD" w14:textId="77777777" w:rsidR="0030520C" w:rsidRPr="00F100E1" w:rsidRDefault="0030520C" w:rsidP="008E33FD">
            <w:pPr>
              <w:pStyle w:val="TableParagraph"/>
              <w:spacing w:before="1"/>
              <w:jc w:val="both"/>
              <w:rPr>
                <w:b/>
                <w:color w:val="000000" w:themeColor="text1"/>
                <w:sz w:val="24"/>
                <w:szCs w:val="24"/>
              </w:rPr>
            </w:pPr>
            <w:r w:rsidRPr="00F100E1">
              <w:rPr>
                <w:b/>
                <w:color w:val="000000" w:themeColor="text1"/>
                <w:sz w:val="24"/>
                <w:szCs w:val="24"/>
              </w:rPr>
              <w:t>Cod</w:t>
            </w:r>
          </w:p>
        </w:tc>
        <w:tc>
          <w:tcPr>
            <w:tcW w:w="1440" w:type="dxa"/>
            <w:shd w:val="clear" w:color="auto" w:fill="8DB4E2"/>
          </w:tcPr>
          <w:p w14:paraId="1EB1B746" w14:textId="77777777" w:rsidR="0030520C" w:rsidRPr="00F100E1" w:rsidRDefault="0030520C" w:rsidP="008E33FD">
            <w:pPr>
              <w:pStyle w:val="TableParagraph"/>
              <w:spacing w:before="123"/>
              <w:ind w:right="276"/>
              <w:jc w:val="both"/>
              <w:rPr>
                <w:b/>
                <w:color w:val="000000" w:themeColor="text1"/>
                <w:sz w:val="24"/>
                <w:szCs w:val="24"/>
              </w:rPr>
            </w:pPr>
            <w:r w:rsidRPr="00F100E1">
              <w:rPr>
                <w:b/>
                <w:color w:val="000000" w:themeColor="text1"/>
                <w:sz w:val="24"/>
                <w:szCs w:val="24"/>
              </w:rPr>
              <w:t>Măsuri de</w:t>
            </w:r>
            <w:r w:rsidRPr="00F100E1">
              <w:rPr>
                <w:b/>
                <w:color w:val="000000" w:themeColor="text1"/>
                <w:spacing w:val="1"/>
                <w:sz w:val="24"/>
                <w:szCs w:val="24"/>
              </w:rPr>
              <w:t xml:space="preserve"> </w:t>
            </w:r>
            <w:r w:rsidRPr="00F100E1">
              <w:rPr>
                <w:b/>
                <w:color w:val="000000" w:themeColor="text1"/>
                <w:sz w:val="24"/>
                <w:szCs w:val="24"/>
              </w:rPr>
              <w:t>conservare</w:t>
            </w:r>
          </w:p>
        </w:tc>
        <w:tc>
          <w:tcPr>
            <w:tcW w:w="4999" w:type="dxa"/>
            <w:shd w:val="clear" w:color="auto" w:fill="8DB4E2"/>
          </w:tcPr>
          <w:p w14:paraId="22D0BE44" w14:textId="77777777" w:rsidR="0030520C" w:rsidRPr="00F100E1" w:rsidRDefault="0030520C" w:rsidP="008E33FD">
            <w:pPr>
              <w:pStyle w:val="TableParagraph"/>
              <w:spacing w:before="8"/>
              <w:jc w:val="both"/>
              <w:rPr>
                <w:color w:val="000000" w:themeColor="text1"/>
                <w:sz w:val="24"/>
                <w:szCs w:val="24"/>
              </w:rPr>
            </w:pPr>
          </w:p>
          <w:p w14:paraId="3D1FF545" w14:textId="77777777" w:rsidR="0030520C" w:rsidRPr="00F100E1" w:rsidRDefault="0030520C" w:rsidP="008E33FD">
            <w:pPr>
              <w:pStyle w:val="TableParagraph"/>
              <w:spacing w:before="1"/>
              <w:ind w:left="108"/>
              <w:jc w:val="both"/>
              <w:rPr>
                <w:b/>
                <w:color w:val="000000" w:themeColor="text1"/>
                <w:sz w:val="24"/>
                <w:szCs w:val="24"/>
              </w:rPr>
            </w:pPr>
            <w:r w:rsidRPr="00F100E1">
              <w:rPr>
                <w:b/>
                <w:color w:val="000000" w:themeColor="text1"/>
                <w:sz w:val="24"/>
                <w:szCs w:val="24"/>
              </w:rPr>
              <w:t>Descriere</w:t>
            </w:r>
          </w:p>
        </w:tc>
        <w:tc>
          <w:tcPr>
            <w:tcW w:w="1890" w:type="dxa"/>
            <w:shd w:val="clear" w:color="auto" w:fill="8DB4E2"/>
          </w:tcPr>
          <w:p w14:paraId="0E11253F" w14:textId="77777777" w:rsidR="0030520C" w:rsidRPr="00F100E1" w:rsidRDefault="0030520C" w:rsidP="008E33FD">
            <w:pPr>
              <w:pStyle w:val="TableParagraph"/>
              <w:spacing w:line="252" w:lineRule="exact"/>
              <w:ind w:left="109" w:right="174"/>
              <w:jc w:val="both"/>
              <w:rPr>
                <w:b/>
                <w:color w:val="000000" w:themeColor="text1"/>
                <w:sz w:val="24"/>
                <w:szCs w:val="24"/>
              </w:rPr>
            </w:pPr>
            <w:r w:rsidRPr="00F100E1">
              <w:rPr>
                <w:b/>
                <w:color w:val="000000" w:themeColor="text1"/>
                <w:sz w:val="24"/>
                <w:szCs w:val="24"/>
              </w:rPr>
              <w:t>Principalele</w:t>
            </w:r>
            <w:r w:rsidRPr="00F100E1">
              <w:rPr>
                <w:b/>
                <w:color w:val="000000" w:themeColor="text1"/>
                <w:spacing w:val="-53"/>
                <w:sz w:val="24"/>
                <w:szCs w:val="24"/>
              </w:rPr>
              <w:t xml:space="preserve"> </w:t>
            </w:r>
            <w:r w:rsidRPr="00F100E1">
              <w:rPr>
                <w:b/>
                <w:color w:val="000000" w:themeColor="text1"/>
                <w:sz w:val="24"/>
                <w:szCs w:val="24"/>
              </w:rPr>
              <w:t>presiuni</w:t>
            </w:r>
            <w:r w:rsidRPr="00F100E1">
              <w:rPr>
                <w:b/>
                <w:color w:val="000000" w:themeColor="text1"/>
                <w:spacing w:val="1"/>
                <w:sz w:val="24"/>
                <w:szCs w:val="24"/>
              </w:rPr>
              <w:t xml:space="preserve"> </w:t>
            </w:r>
            <w:r w:rsidRPr="00F100E1">
              <w:rPr>
                <w:b/>
                <w:color w:val="000000" w:themeColor="text1"/>
                <w:sz w:val="24"/>
                <w:szCs w:val="24"/>
              </w:rPr>
              <w:t>abordate</w:t>
            </w:r>
          </w:p>
        </w:tc>
      </w:tr>
      <w:tr w:rsidR="0030520C" w:rsidRPr="00C56257" w14:paraId="7FC6C729" w14:textId="77777777" w:rsidTr="0009599D">
        <w:trPr>
          <w:trHeight w:val="1243"/>
        </w:trPr>
        <w:tc>
          <w:tcPr>
            <w:tcW w:w="648" w:type="dxa"/>
          </w:tcPr>
          <w:p w14:paraId="0AC91C83" w14:textId="77777777" w:rsidR="0030520C" w:rsidRPr="00C56257" w:rsidRDefault="0030520C" w:rsidP="008E33FD">
            <w:pPr>
              <w:pStyle w:val="TableParagraph"/>
              <w:spacing w:line="247" w:lineRule="exact"/>
              <w:ind w:right="2"/>
              <w:jc w:val="both"/>
              <w:rPr>
                <w:color w:val="000000" w:themeColor="text1"/>
                <w:sz w:val="24"/>
                <w:szCs w:val="24"/>
              </w:rPr>
            </w:pPr>
            <w:r w:rsidRPr="00C56257">
              <w:rPr>
                <w:color w:val="000000" w:themeColor="text1"/>
                <w:sz w:val="24"/>
                <w:szCs w:val="24"/>
              </w:rPr>
              <w:t>1.</w:t>
            </w:r>
          </w:p>
        </w:tc>
        <w:tc>
          <w:tcPr>
            <w:tcW w:w="811" w:type="dxa"/>
          </w:tcPr>
          <w:p w14:paraId="605782DD" w14:textId="77777777" w:rsidR="0030520C" w:rsidRPr="00C56257" w:rsidRDefault="0030520C" w:rsidP="008E33FD">
            <w:pPr>
              <w:pStyle w:val="TableParagraph"/>
              <w:jc w:val="both"/>
              <w:rPr>
                <w:color w:val="000000" w:themeColor="text1"/>
                <w:sz w:val="24"/>
                <w:szCs w:val="24"/>
              </w:rPr>
            </w:pPr>
          </w:p>
          <w:p w14:paraId="184437BF" w14:textId="77777777" w:rsidR="0030520C" w:rsidRPr="00C56257" w:rsidRDefault="0030520C" w:rsidP="008E33FD">
            <w:pPr>
              <w:pStyle w:val="TableParagraph"/>
              <w:jc w:val="both"/>
              <w:rPr>
                <w:color w:val="000000" w:themeColor="text1"/>
                <w:sz w:val="24"/>
                <w:szCs w:val="24"/>
              </w:rPr>
            </w:pPr>
          </w:p>
          <w:p w14:paraId="0C1B5D9A" w14:textId="77777777" w:rsidR="0030520C" w:rsidRPr="00C56257" w:rsidRDefault="0030520C" w:rsidP="008E33FD">
            <w:pPr>
              <w:pStyle w:val="TableParagraph"/>
              <w:jc w:val="both"/>
              <w:rPr>
                <w:color w:val="000000" w:themeColor="text1"/>
                <w:sz w:val="24"/>
                <w:szCs w:val="24"/>
              </w:rPr>
            </w:pPr>
          </w:p>
          <w:p w14:paraId="10E28DCD" w14:textId="77777777" w:rsidR="0030520C" w:rsidRPr="00C56257" w:rsidRDefault="0030520C" w:rsidP="008E33FD">
            <w:pPr>
              <w:pStyle w:val="TableParagraph"/>
              <w:jc w:val="both"/>
              <w:rPr>
                <w:color w:val="000000" w:themeColor="text1"/>
                <w:sz w:val="24"/>
                <w:szCs w:val="24"/>
              </w:rPr>
            </w:pPr>
          </w:p>
          <w:p w14:paraId="5E66B56E" w14:textId="77777777" w:rsidR="0030520C" w:rsidRPr="00C56257" w:rsidRDefault="0030520C" w:rsidP="008E33FD">
            <w:pPr>
              <w:pStyle w:val="TableParagraph"/>
              <w:jc w:val="both"/>
              <w:rPr>
                <w:color w:val="000000" w:themeColor="text1"/>
                <w:sz w:val="24"/>
                <w:szCs w:val="24"/>
              </w:rPr>
            </w:pPr>
          </w:p>
          <w:p w14:paraId="254B3380" w14:textId="77777777" w:rsidR="0030520C" w:rsidRPr="00C56257" w:rsidRDefault="0030520C" w:rsidP="008E33FD">
            <w:pPr>
              <w:pStyle w:val="TableParagraph"/>
              <w:jc w:val="both"/>
              <w:rPr>
                <w:color w:val="000000" w:themeColor="text1"/>
                <w:sz w:val="24"/>
                <w:szCs w:val="24"/>
              </w:rPr>
            </w:pPr>
          </w:p>
          <w:p w14:paraId="5103769D" w14:textId="77777777" w:rsidR="0030520C" w:rsidRPr="00C56257" w:rsidRDefault="0030520C" w:rsidP="008E33FD">
            <w:pPr>
              <w:pStyle w:val="TableParagraph"/>
              <w:jc w:val="both"/>
              <w:rPr>
                <w:color w:val="000000" w:themeColor="text1"/>
                <w:sz w:val="24"/>
                <w:szCs w:val="24"/>
              </w:rPr>
            </w:pPr>
          </w:p>
          <w:p w14:paraId="0CEA38F5" w14:textId="77777777" w:rsidR="0030520C" w:rsidRPr="00C56257" w:rsidRDefault="0030520C" w:rsidP="008E33FD">
            <w:pPr>
              <w:pStyle w:val="TableParagraph"/>
              <w:jc w:val="both"/>
              <w:rPr>
                <w:color w:val="000000" w:themeColor="text1"/>
                <w:sz w:val="24"/>
                <w:szCs w:val="24"/>
              </w:rPr>
            </w:pPr>
          </w:p>
          <w:p w14:paraId="1097D344" w14:textId="77777777" w:rsidR="0030520C" w:rsidRPr="00C56257" w:rsidRDefault="0030520C" w:rsidP="008E33FD">
            <w:pPr>
              <w:pStyle w:val="TableParagraph"/>
              <w:spacing w:before="188"/>
              <w:jc w:val="both"/>
              <w:rPr>
                <w:color w:val="000000" w:themeColor="text1"/>
                <w:sz w:val="24"/>
                <w:szCs w:val="24"/>
              </w:rPr>
            </w:pPr>
            <w:r w:rsidRPr="00C56257">
              <w:rPr>
                <w:color w:val="000000" w:themeColor="text1"/>
                <w:sz w:val="24"/>
                <w:szCs w:val="24"/>
              </w:rPr>
              <w:t>CA09</w:t>
            </w:r>
          </w:p>
        </w:tc>
        <w:tc>
          <w:tcPr>
            <w:tcW w:w="1440" w:type="dxa"/>
          </w:tcPr>
          <w:p w14:paraId="2B909D63" w14:textId="77777777" w:rsidR="0030520C" w:rsidRPr="00C56257" w:rsidRDefault="0030520C" w:rsidP="008E33FD">
            <w:pPr>
              <w:pStyle w:val="TableParagraph"/>
              <w:jc w:val="both"/>
              <w:rPr>
                <w:color w:val="000000" w:themeColor="text1"/>
                <w:sz w:val="24"/>
                <w:szCs w:val="24"/>
              </w:rPr>
            </w:pPr>
          </w:p>
          <w:p w14:paraId="65F2B5F4" w14:textId="77777777" w:rsidR="0030520C" w:rsidRPr="00C56257" w:rsidRDefault="0030520C" w:rsidP="008E33FD">
            <w:pPr>
              <w:pStyle w:val="TableParagraph"/>
              <w:jc w:val="both"/>
              <w:rPr>
                <w:color w:val="000000" w:themeColor="text1"/>
                <w:sz w:val="24"/>
                <w:szCs w:val="24"/>
              </w:rPr>
            </w:pPr>
          </w:p>
          <w:p w14:paraId="2B3B4D6C" w14:textId="77777777" w:rsidR="0030520C" w:rsidRPr="00C56257" w:rsidRDefault="0030520C" w:rsidP="008E33FD">
            <w:pPr>
              <w:pStyle w:val="TableParagraph"/>
              <w:jc w:val="both"/>
              <w:rPr>
                <w:color w:val="000000" w:themeColor="text1"/>
                <w:sz w:val="24"/>
                <w:szCs w:val="24"/>
              </w:rPr>
            </w:pPr>
          </w:p>
          <w:p w14:paraId="1D1604C6" w14:textId="77777777" w:rsidR="0030520C" w:rsidRPr="00C56257" w:rsidRDefault="0030520C" w:rsidP="008E33FD">
            <w:pPr>
              <w:pStyle w:val="TableParagraph"/>
              <w:jc w:val="both"/>
              <w:rPr>
                <w:color w:val="000000" w:themeColor="text1"/>
                <w:sz w:val="24"/>
                <w:szCs w:val="24"/>
              </w:rPr>
            </w:pPr>
          </w:p>
          <w:p w14:paraId="70C1DFEA" w14:textId="77777777" w:rsidR="0030520C" w:rsidRPr="00C56257" w:rsidRDefault="0030520C" w:rsidP="008E33FD">
            <w:pPr>
              <w:pStyle w:val="TableParagraph"/>
              <w:spacing w:before="5"/>
              <w:jc w:val="both"/>
              <w:rPr>
                <w:color w:val="000000" w:themeColor="text1"/>
                <w:sz w:val="24"/>
                <w:szCs w:val="24"/>
              </w:rPr>
            </w:pPr>
          </w:p>
          <w:p w14:paraId="58B818DB" w14:textId="77777777" w:rsidR="0030520C" w:rsidRPr="00C56257" w:rsidRDefault="0030520C" w:rsidP="008E33FD">
            <w:pPr>
              <w:pStyle w:val="TableParagraph"/>
              <w:ind w:right="87"/>
              <w:jc w:val="both"/>
              <w:rPr>
                <w:color w:val="000000" w:themeColor="text1"/>
                <w:sz w:val="24"/>
                <w:szCs w:val="24"/>
              </w:rPr>
            </w:pPr>
            <w:r w:rsidRPr="00C56257">
              <w:rPr>
                <w:color w:val="000000" w:themeColor="text1"/>
                <w:sz w:val="24"/>
                <w:szCs w:val="24"/>
              </w:rPr>
              <w:t>Gestionarea</w:t>
            </w:r>
            <w:r w:rsidRPr="00C56257">
              <w:rPr>
                <w:color w:val="000000" w:themeColor="text1"/>
                <w:spacing w:val="1"/>
                <w:sz w:val="24"/>
                <w:szCs w:val="24"/>
              </w:rPr>
              <w:t xml:space="preserve"> </w:t>
            </w:r>
            <w:r w:rsidRPr="00C56257">
              <w:rPr>
                <w:color w:val="000000" w:themeColor="text1"/>
                <w:sz w:val="24"/>
                <w:szCs w:val="24"/>
              </w:rPr>
              <w:t>folosirii</w:t>
            </w:r>
            <w:r w:rsidRPr="00C56257">
              <w:rPr>
                <w:color w:val="000000" w:themeColor="text1"/>
                <w:spacing w:val="1"/>
                <w:sz w:val="24"/>
                <w:szCs w:val="24"/>
              </w:rPr>
              <w:t xml:space="preserve"> </w:t>
            </w:r>
            <w:r w:rsidRPr="00C56257">
              <w:rPr>
                <w:color w:val="000000" w:themeColor="text1"/>
                <w:sz w:val="24"/>
                <w:szCs w:val="24"/>
              </w:rPr>
              <w:t>îngrășămintel</w:t>
            </w:r>
            <w:r w:rsidRPr="00C56257">
              <w:rPr>
                <w:color w:val="000000" w:themeColor="text1"/>
                <w:spacing w:val="-52"/>
                <w:sz w:val="24"/>
                <w:szCs w:val="24"/>
              </w:rPr>
              <w:t xml:space="preserve"> </w:t>
            </w:r>
            <w:r w:rsidRPr="00C56257">
              <w:rPr>
                <w:color w:val="000000" w:themeColor="text1"/>
                <w:sz w:val="24"/>
                <w:szCs w:val="24"/>
              </w:rPr>
              <w:t>or naturale și</w:t>
            </w:r>
            <w:r w:rsidRPr="00C56257">
              <w:rPr>
                <w:color w:val="000000" w:themeColor="text1"/>
                <w:spacing w:val="1"/>
                <w:sz w:val="24"/>
                <w:szCs w:val="24"/>
              </w:rPr>
              <w:t xml:space="preserve"> </w:t>
            </w:r>
            <w:r w:rsidRPr="00C56257">
              <w:rPr>
                <w:color w:val="000000" w:themeColor="text1"/>
                <w:sz w:val="24"/>
                <w:szCs w:val="24"/>
              </w:rPr>
              <w:t>a substanțelor</w:t>
            </w:r>
            <w:r w:rsidRPr="00C56257">
              <w:rPr>
                <w:color w:val="000000" w:themeColor="text1"/>
                <w:spacing w:val="-52"/>
                <w:sz w:val="24"/>
                <w:szCs w:val="24"/>
              </w:rPr>
              <w:t xml:space="preserve"> </w:t>
            </w:r>
            <w:r w:rsidRPr="00C56257">
              <w:rPr>
                <w:color w:val="000000" w:themeColor="text1"/>
                <w:sz w:val="24"/>
                <w:szCs w:val="24"/>
              </w:rPr>
              <w:t>chimice în</w:t>
            </w:r>
            <w:r w:rsidRPr="00C56257">
              <w:rPr>
                <w:color w:val="000000" w:themeColor="text1"/>
                <w:spacing w:val="1"/>
                <w:sz w:val="24"/>
                <w:szCs w:val="24"/>
              </w:rPr>
              <w:t xml:space="preserve"> </w:t>
            </w:r>
            <w:r w:rsidRPr="00C56257">
              <w:rPr>
                <w:color w:val="000000" w:themeColor="text1"/>
                <w:sz w:val="24"/>
                <w:szCs w:val="24"/>
              </w:rPr>
              <w:t>producția</w:t>
            </w:r>
            <w:r w:rsidRPr="00C56257">
              <w:rPr>
                <w:color w:val="000000" w:themeColor="text1"/>
                <w:spacing w:val="1"/>
                <w:sz w:val="24"/>
                <w:szCs w:val="24"/>
              </w:rPr>
              <w:t xml:space="preserve"> </w:t>
            </w:r>
            <w:r w:rsidRPr="00C56257">
              <w:rPr>
                <w:color w:val="000000" w:themeColor="text1"/>
                <w:sz w:val="24"/>
                <w:szCs w:val="24"/>
              </w:rPr>
              <w:t>agricolă</w:t>
            </w:r>
            <w:r w:rsidRPr="00C56257">
              <w:rPr>
                <w:color w:val="000000" w:themeColor="text1"/>
                <w:spacing w:val="1"/>
                <w:sz w:val="24"/>
                <w:szCs w:val="24"/>
              </w:rPr>
              <w:t xml:space="preserve"> </w:t>
            </w:r>
            <w:r w:rsidRPr="00C56257">
              <w:rPr>
                <w:color w:val="000000" w:themeColor="text1"/>
                <w:sz w:val="24"/>
                <w:szCs w:val="24"/>
              </w:rPr>
              <w:t>(vegetală și</w:t>
            </w:r>
            <w:r w:rsidRPr="00C56257">
              <w:rPr>
                <w:color w:val="000000" w:themeColor="text1"/>
                <w:spacing w:val="1"/>
                <w:sz w:val="24"/>
                <w:szCs w:val="24"/>
              </w:rPr>
              <w:t xml:space="preserve"> </w:t>
            </w:r>
            <w:r w:rsidRPr="00C56257">
              <w:rPr>
                <w:color w:val="000000" w:themeColor="text1"/>
                <w:sz w:val="24"/>
                <w:szCs w:val="24"/>
              </w:rPr>
              <w:t>animală)</w:t>
            </w:r>
          </w:p>
        </w:tc>
        <w:tc>
          <w:tcPr>
            <w:tcW w:w="4999" w:type="dxa"/>
          </w:tcPr>
          <w:p w14:paraId="299E6559" w14:textId="77777777" w:rsidR="0030520C" w:rsidRPr="00C56257" w:rsidRDefault="0030520C" w:rsidP="008E33FD">
            <w:pPr>
              <w:pStyle w:val="TableParagraph"/>
              <w:ind w:left="108" w:right="703"/>
              <w:jc w:val="both"/>
              <w:rPr>
                <w:color w:val="000000" w:themeColor="text1"/>
                <w:sz w:val="24"/>
                <w:szCs w:val="24"/>
              </w:rPr>
            </w:pPr>
            <w:r w:rsidRPr="00C56257">
              <w:rPr>
                <w:color w:val="000000" w:themeColor="text1"/>
                <w:sz w:val="24"/>
                <w:szCs w:val="24"/>
              </w:rPr>
              <w:t>Gestionarea</w:t>
            </w:r>
            <w:r w:rsidRPr="00C56257">
              <w:rPr>
                <w:color w:val="000000" w:themeColor="text1"/>
                <w:spacing w:val="-4"/>
                <w:sz w:val="24"/>
                <w:szCs w:val="24"/>
              </w:rPr>
              <w:t xml:space="preserve"> </w:t>
            </w:r>
            <w:r w:rsidRPr="00C56257">
              <w:rPr>
                <w:color w:val="000000" w:themeColor="text1"/>
                <w:sz w:val="24"/>
                <w:szCs w:val="24"/>
              </w:rPr>
              <w:t>(reducerea</w:t>
            </w:r>
            <w:r w:rsidRPr="00C56257">
              <w:rPr>
                <w:color w:val="000000" w:themeColor="text1"/>
                <w:spacing w:val="-2"/>
                <w:sz w:val="24"/>
                <w:szCs w:val="24"/>
              </w:rPr>
              <w:t xml:space="preserve"> </w:t>
            </w:r>
            <w:r w:rsidRPr="00C56257">
              <w:rPr>
                <w:color w:val="000000" w:themeColor="text1"/>
                <w:sz w:val="24"/>
                <w:szCs w:val="24"/>
              </w:rPr>
              <w:t>sau</w:t>
            </w:r>
            <w:r w:rsidRPr="00C56257">
              <w:rPr>
                <w:color w:val="000000" w:themeColor="text1"/>
                <w:spacing w:val="-7"/>
                <w:sz w:val="24"/>
                <w:szCs w:val="24"/>
              </w:rPr>
              <w:t xml:space="preserve"> </w:t>
            </w:r>
            <w:r w:rsidRPr="00C56257">
              <w:rPr>
                <w:color w:val="000000" w:themeColor="text1"/>
                <w:sz w:val="24"/>
                <w:szCs w:val="24"/>
              </w:rPr>
              <w:t>eliminarea)</w:t>
            </w:r>
            <w:r w:rsidRPr="00C56257">
              <w:rPr>
                <w:color w:val="000000" w:themeColor="text1"/>
                <w:spacing w:val="-52"/>
                <w:sz w:val="24"/>
                <w:szCs w:val="24"/>
              </w:rPr>
              <w:t xml:space="preserve"> </w:t>
            </w:r>
            <w:r w:rsidRPr="00C56257">
              <w:rPr>
                <w:color w:val="000000" w:themeColor="text1"/>
                <w:sz w:val="24"/>
                <w:szCs w:val="24"/>
              </w:rPr>
              <w:t>utilizării:</w:t>
            </w:r>
          </w:p>
          <w:p w14:paraId="3CA2CE5D" w14:textId="77777777" w:rsidR="0030520C" w:rsidRPr="00C56257" w:rsidRDefault="0030520C" w:rsidP="009E63E5">
            <w:pPr>
              <w:pStyle w:val="TableParagraph"/>
              <w:numPr>
                <w:ilvl w:val="0"/>
                <w:numId w:val="97"/>
              </w:numPr>
              <w:tabs>
                <w:tab w:val="left" w:pos="234"/>
              </w:tabs>
              <w:ind w:right="153" w:firstLine="0"/>
              <w:jc w:val="both"/>
              <w:rPr>
                <w:color w:val="000000" w:themeColor="text1"/>
                <w:sz w:val="24"/>
                <w:szCs w:val="24"/>
              </w:rPr>
            </w:pPr>
            <w:r w:rsidRPr="00C56257">
              <w:rPr>
                <w:color w:val="000000" w:themeColor="text1"/>
                <w:sz w:val="24"/>
                <w:szCs w:val="24"/>
              </w:rPr>
              <w:t>îngrășămintelor (de exemplu: amendamente</w:t>
            </w:r>
            <w:r w:rsidRPr="00C56257">
              <w:rPr>
                <w:color w:val="000000" w:themeColor="text1"/>
                <w:spacing w:val="-52"/>
                <w:sz w:val="24"/>
                <w:szCs w:val="24"/>
              </w:rPr>
              <w:t xml:space="preserve"> </w:t>
            </w:r>
            <w:r w:rsidRPr="00C56257">
              <w:rPr>
                <w:color w:val="000000" w:themeColor="text1"/>
                <w:sz w:val="24"/>
                <w:szCs w:val="24"/>
              </w:rPr>
              <w:t>minerale,</w:t>
            </w:r>
            <w:r w:rsidRPr="00C56257">
              <w:rPr>
                <w:color w:val="000000" w:themeColor="text1"/>
                <w:spacing w:val="-2"/>
                <w:sz w:val="24"/>
                <w:szCs w:val="24"/>
              </w:rPr>
              <w:t xml:space="preserve"> </w:t>
            </w:r>
            <w:r w:rsidRPr="00C56257">
              <w:rPr>
                <w:color w:val="000000" w:themeColor="text1"/>
                <w:sz w:val="24"/>
                <w:szCs w:val="24"/>
              </w:rPr>
              <w:t>gunoi de</w:t>
            </w:r>
            <w:r w:rsidRPr="00C56257">
              <w:rPr>
                <w:color w:val="000000" w:themeColor="text1"/>
                <w:spacing w:val="-1"/>
                <w:sz w:val="24"/>
                <w:szCs w:val="24"/>
              </w:rPr>
              <w:t xml:space="preserve"> </w:t>
            </w:r>
            <w:r w:rsidRPr="00C56257">
              <w:rPr>
                <w:color w:val="000000" w:themeColor="text1"/>
                <w:sz w:val="24"/>
                <w:szCs w:val="24"/>
              </w:rPr>
              <w:t>grajd,</w:t>
            </w:r>
            <w:r w:rsidRPr="00C56257">
              <w:rPr>
                <w:color w:val="000000" w:themeColor="text1"/>
                <w:spacing w:val="-1"/>
                <w:sz w:val="24"/>
                <w:szCs w:val="24"/>
              </w:rPr>
              <w:t xml:space="preserve"> </w:t>
            </w:r>
            <w:r w:rsidRPr="00C56257">
              <w:rPr>
                <w:color w:val="000000" w:themeColor="text1"/>
                <w:sz w:val="24"/>
                <w:szCs w:val="24"/>
              </w:rPr>
              <w:t>nămol biologic);</w:t>
            </w:r>
          </w:p>
          <w:p w14:paraId="4CD3A71E" w14:textId="77777777" w:rsidR="0030520C" w:rsidRPr="00C56257" w:rsidRDefault="0030520C" w:rsidP="009E63E5">
            <w:pPr>
              <w:pStyle w:val="TableParagraph"/>
              <w:numPr>
                <w:ilvl w:val="0"/>
                <w:numId w:val="97"/>
              </w:numPr>
              <w:tabs>
                <w:tab w:val="left" w:pos="234"/>
              </w:tabs>
              <w:ind w:right="288" w:firstLine="0"/>
              <w:jc w:val="both"/>
              <w:rPr>
                <w:color w:val="000000" w:themeColor="text1"/>
                <w:sz w:val="24"/>
                <w:szCs w:val="24"/>
              </w:rPr>
            </w:pPr>
            <w:r w:rsidRPr="00C56257">
              <w:rPr>
                <w:color w:val="000000" w:themeColor="text1"/>
                <w:sz w:val="24"/>
                <w:szCs w:val="24"/>
              </w:rPr>
              <w:t>pesticidelor,fungicidelor, substanțelor de</w:t>
            </w:r>
            <w:r w:rsidRPr="00C56257">
              <w:rPr>
                <w:color w:val="000000" w:themeColor="text1"/>
                <w:spacing w:val="1"/>
                <w:sz w:val="24"/>
                <w:szCs w:val="24"/>
              </w:rPr>
              <w:t xml:space="preserve"> </w:t>
            </w:r>
            <w:r w:rsidRPr="00C56257">
              <w:rPr>
                <w:color w:val="000000" w:themeColor="text1"/>
                <w:sz w:val="24"/>
                <w:szCs w:val="24"/>
              </w:rPr>
              <w:t>tratare</w:t>
            </w:r>
            <w:r w:rsidRPr="00C56257">
              <w:rPr>
                <w:color w:val="000000" w:themeColor="text1"/>
                <w:spacing w:val="49"/>
                <w:sz w:val="24"/>
                <w:szCs w:val="24"/>
              </w:rPr>
              <w:t xml:space="preserve"> </w:t>
            </w:r>
            <w:r w:rsidRPr="00C56257">
              <w:rPr>
                <w:color w:val="000000" w:themeColor="text1"/>
                <w:sz w:val="24"/>
                <w:szCs w:val="24"/>
              </w:rPr>
              <w:t>a</w:t>
            </w:r>
            <w:r w:rsidRPr="00C56257">
              <w:rPr>
                <w:color w:val="000000" w:themeColor="text1"/>
                <w:spacing w:val="-4"/>
                <w:sz w:val="24"/>
                <w:szCs w:val="24"/>
              </w:rPr>
              <w:t xml:space="preserve"> </w:t>
            </w:r>
            <w:r w:rsidRPr="00C56257">
              <w:rPr>
                <w:color w:val="000000" w:themeColor="text1"/>
                <w:sz w:val="24"/>
                <w:szCs w:val="24"/>
              </w:rPr>
              <w:t>semințelor,</w:t>
            </w:r>
            <w:r w:rsidRPr="00C56257">
              <w:rPr>
                <w:color w:val="000000" w:themeColor="text1"/>
                <w:spacing w:val="-3"/>
                <w:sz w:val="24"/>
                <w:szCs w:val="24"/>
              </w:rPr>
              <w:t xml:space="preserve"> </w:t>
            </w:r>
            <w:r w:rsidRPr="00C56257">
              <w:rPr>
                <w:color w:val="000000" w:themeColor="text1"/>
                <w:sz w:val="24"/>
                <w:szCs w:val="24"/>
              </w:rPr>
              <w:t>a</w:t>
            </w:r>
            <w:r w:rsidRPr="00C56257">
              <w:rPr>
                <w:color w:val="000000" w:themeColor="text1"/>
                <w:spacing w:val="-2"/>
                <w:sz w:val="24"/>
                <w:szCs w:val="24"/>
              </w:rPr>
              <w:t xml:space="preserve"> </w:t>
            </w:r>
            <w:r w:rsidRPr="00C56257">
              <w:rPr>
                <w:color w:val="000000" w:themeColor="text1"/>
                <w:sz w:val="24"/>
                <w:szCs w:val="24"/>
              </w:rPr>
              <w:t>erbicidelor,</w:t>
            </w:r>
            <w:r w:rsidRPr="00C56257">
              <w:rPr>
                <w:color w:val="000000" w:themeColor="text1"/>
                <w:spacing w:val="-6"/>
                <w:sz w:val="24"/>
                <w:szCs w:val="24"/>
              </w:rPr>
              <w:t xml:space="preserve"> </w:t>
            </w:r>
            <w:r w:rsidRPr="00C56257">
              <w:rPr>
                <w:color w:val="000000" w:themeColor="text1"/>
                <w:sz w:val="24"/>
                <w:szCs w:val="24"/>
              </w:rPr>
              <w:t>agenților</w:t>
            </w:r>
            <w:r w:rsidRPr="00C56257">
              <w:rPr>
                <w:color w:val="000000" w:themeColor="text1"/>
                <w:spacing w:val="-52"/>
                <w:sz w:val="24"/>
                <w:szCs w:val="24"/>
              </w:rPr>
              <w:t xml:space="preserve"> </w:t>
            </w:r>
            <w:r w:rsidRPr="00C56257">
              <w:rPr>
                <w:color w:val="000000" w:themeColor="text1"/>
                <w:sz w:val="24"/>
                <w:szCs w:val="24"/>
              </w:rPr>
              <w:t>de întârziere a creșterii, hormoni și alte</w:t>
            </w:r>
            <w:r w:rsidRPr="00C56257">
              <w:rPr>
                <w:color w:val="000000" w:themeColor="text1"/>
                <w:spacing w:val="1"/>
                <w:sz w:val="24"/>
                <w:szCs w:val="24"/>
              </w:rPr>
              <w:t xml:space="preserve"> </w:t>
            </w:r>
            <w:r w:rsidRPr="00C56257">
              <w:rPr>
                <w:color w:val="000000" w:themeColor="text1"/>
                <w:sz w:val="24"/>
                <w:szCs w:val="24"/>
              </w:rPr>
              <w:t>substanțe chimice utilizate în producția de</w:t>
            </w:r>
            <w:r w:rsidRPr="00C56257">
              <w:rPr>
                <w:color w:val="000000" w:themeColor="text1"/>
                <w:spacing w:val="1"/>
                <w:sz w:val="24"/>
                <w:szCs w:val="24"/>
              </w:rPr>
              <w:t xml:space="preserve"> </w:t>
            </w:r>
            <w:r w:rsidRPr="00C56257">
              <w:rPr>
                <w:color w:val="000000" w:themeColor="text1"/>
                <w:sz w:val="24"/>
                <w:szCs w:val="24"/>
              </w:rPr>
              <w:t>plante;</w:t>
            </w:r>
          </w:p>
          <w:p w14:paraId="6EBF01DD" w14:textId="77777777" w:rsidR="0030520C" w:rsidRPr="00C56257" w:rsidRDefault="0030520C" w:rsidP="009E63E5">
            <w:pPr>
              <w:pStyle w:val="TableParagraph"/>
              <w:numPr>
                <w:ilvl w:val="0"/>
                <w:numId w:val="97"/>
              </w:numPr>
              <w:tabs>
                <w:tab w:val="left" w:pos="234"/>
              </w:tabs>
              <w:ind w:right="599" w:firstLine="0"/>
              <w:jc w:val="both"/>
              <w:rPr>
                <w:color w:val="000000" w:themeColor="text1"/>
                <w:sz w:val="24"/>
                <w:szCs w:val="24"/>
              </w:rPr>
            </w:pPr>
            <w:r w:rsidRPr="00C56257">
              <w:rPr>
                <w:color w:val="000000" w:themeColor="text1"/>
                <w:sz w:val="24"/>
                <w:szCs w:val="24"/>
              </w:rPr>
              <w:t>rodenticidelor și a altor produse pentru</w:t>
            </w:r>
            <w:r w:rsidRPr="00C56257">
              <w:rPr>
                <w:color w:val="000000" w:themeColor="text1"/>
                <w:spacing w:val="-52"/>
                <w:sz w:val="24"/>
                <w:szCs w:val="24"/>
              </w:rPr>
              <w:t xml:space="preserve"> </w:t>
            </w:r>
            <w:r w:rsidRPr="00C56257">
              <w:rPr>
                <w:color w:val="000000" w:themeColor="text1"/>
                <w:sz w:val="24"/>
                <w:szCs w:val="24"/>
              </w:rPr>
              <w:t>controlul dăunătorilor;</w:t>
            </w:r>
          </w:p>
          <w:p w14:paraId="30B75E91" w14:textId="77777777" w:rsidR="0030520C" w:rsidRPr="00C56257" w:rsidRDefault="0030520C" w:rsidP="008E33FD">
            <w:pPr>
              <w:pStyle w:val="TableParagraph"/>
              <w:ind w:left="108" w:right="207"/>
              <w:jc w:val="both"/>
              <w:rPr>
                <w:color w:val="000000" w:themeColor="text1"/>
                <w:sz w:val="24"/>
                <w:szCs w:val="24"/>
              </w:rPr>
            </w:pPr>
            <w:r w:rsidRPr="00C56257">
              <w:rPr>
                <w:color w:val="000000" w:themeColor="text1"/>
                <w:sz w:val="24"/>
                <w:szCs w:val="24"/>
              </w:rPr>
              <w:t>viermicidelor și a altor produse veterinare</w:t>
            </w:r>
            <w:r w:rsidRPr="00C56257">
              <w:rPr>
                <w:color w:val="000000" w:themeColor="text1"/>
                <w:spacing w:val="1"/>
                <w:sz w:val="24"/>
                <w:szCs w:val="24"/>
              </w:rPr>
              <w:t xml:space="preserve"> </w:t>
            </w:r>
            <w:r w:rsidRPr="00C56257">
              <w:rPr>
                <w:color w:val="000000" w:themeColor="text1"/>
                <w:sz w:val="24"/>
                <w:szCs w:val="24"/>
              </w:rPr>
              <w:t>folosite în producția animală (ca de exemplu</w:t>
            </w:r>
            <w:r w:rsidRPr="00C56257">
              <w:rPr>
                <w:color w:val="000000" w:themeColor="text1"/>
                <w:spacing w:val="-52"/>
                <w:sz w:val="24"/>
                <w:szCs w:val="24"/>
              </w:rPr>
              <w:t xml:space="preserve"> </w:t>
            </w:r>
            <w:r w:rsidRPr="00C56257">
              <w:rPr>
                <w:color w:val="000000" w:themeColor="text1"/>
                <w:sz w:val="24"/>
                <w:szCs w:val="24"/>
              </w:rPr>
              <w:t>diclofenac și / sau alte produse veterinare</w:t>
            </w:r>
            <w:r w:rsidRPr="00C56257">
              <w:rPr>
                <w:color w:val="000000" w:themeColor="text1"/>
                <w:spacing w:val="1"/>
                <w:sz w:val="24"/>
                <w:szCs w:val="24"/>
              </w:rPr>
              <w:t xml:space="preserve"> </w:t>
            </w:r>
            <w:r w:rsidRPr="00C56257">
              <w:rPr>
                <w:color w:val="000000" w:themeColor="text1"/>
                <w:sz w:val="24"/>
                <w:szCs w:val="24"/>
              </w:rPr>
              <w:t>similare).</w:t>
            </w:r>
          </w:p>
          <w:p w14:paraId="05B3AE15" w14:textId="77777777" w:rsidR="0030520C" w:rsidRPr="00C56257" w:rsidRDefault="0030520C" w:rsidP="008E33FD">
            <w:pPr>
              <w:pStyle w:val="TableParagraph"/>
              <w:ind w:left="108" w:right="137"/>
              <w:jc w:val="both"/>
              <w:rPr>
                <w:color w:val="000000" w:themeColor="text1"/>
                <w:sz w:val="24"/>
                <w:szCs w:val="24"/>
              </w:rPr>
            </w:pPr>
            <w:r w:rsidRPr="00C56257">
              <w:rPr>
                <w:color w:val="000000" w:themeColor="text1"/>
                <w:sz w:val="24"/>
                <w:szCs w:val="24"/>
              </w:rPr>
              <w:t>De asemenea, această măsură include</w:t>
            </w:r>
            <w:r w:rsidRPr="00C56257">
              <w:rPr>
                <w:color w:val="000000" w:themeColor="text1"/>
                <w:spacing w:val="1"/>
                <w:sz w:val="24"/>
                <w:szCs w:val="24"/>
              </w:rPr>
              <w:t xml:space="preserve"> </w:t>
            </w:r>
            <w:r w:rsidRPr="00C56257">
              <w:rPr>
                <w:color w:val="000000" w:themeColor="text1"/>
                <w:sz w:val="24"/>
                <w:szCs w:val="24"/>
              </w:rPr>
              <w:t>dezvoltarea și menținerea măsurilor de</w:t>
            </w:r>
            <w:r w:rsidRPr="00C56257">
              <w:rPr>
                <w:color w:val="000000" w:themeColor="text1"/>
                <w:spacing w:val="1"/>
                <w:sz w:val="24"/>
                <w:szCs w:val="24"/>
              </w:rPr>
              <w:t xml:space="preserve"> </w:t>
            </w:r>
            <w:r w:rsidRPr="00C56257">
              <w:rPr>
                <w:color w:val="000000" w:themeColor="text1"/>
                <w:sz w:val="24"/>
                <w:szCs w:val="24"/>
              </w:rPr>
              <w:t>conservare</w:t>
            </w:r>
            <w:r w:rsidRPr="00C56257">
              <w:rPr>
                <w:color w:val="000000" w:themeColor="text1"/>
                <w:spacing w:val="2"/>
                <w:sz w:val="24"/>
                <w:szCs w:val="24"/>
              </w:rPr>
              <w:t xml:space="preserve"> </w:t>
            </w:r>
            <w:r w:rsidRPr="00C56257">
              <w:rPr>
                <w:color w:val="000000" w:themeColor="text1"/>
                <w:sz w:val="24"/>
                <w:szCs w:val="24"/>
              </w:rPr>
              <w:t>a</w:t>
            </w:r>
            <w:r w:rsidRPr="00C56257">
              <w:rPr>
                <w:color w:val="000000" w:themeColor="text1"/>
                <w:spacing w:val="1"/>
                <w:sz w:val="24"/>
                <w:szCs w:val="24"/>
              </w:rPr>
              <w:t xml:space="preserve"> </w:t>
            </w:r>
            <w:r w:rsidRPr="00C56257">
              <w:rPr>
                <w:color w:val="000000" w:themeColor="text1"/>
                <w:sz w:val="24"/>
                <w:szCs w:val="24"/>
              </w:rPr>
              <w:t>promontorilor</w:t>
            </w:r>
            <w:r w:rsidRPr="00C56257">
              <w:rPr>
                <w:color w:val="000000" w:themeColor="text1"/>
                <w:spacing w:val="1"/>
                <w:sz w:val="24"/>
                <w:szCs w:val="24"/>
              </w:rPr>
              <w:t xml:space="preserve"> </w:t>
            </w:r>
            <w:r w:rsidRPr="00C56257">
              <w:rPr>
                <w:color w:val="000000" w:themeColor="text1"/>
                <w:sz w:val="24"/>
                <w:szCs w:val="24"/>
              </w:rPr>
              <w:t>(capurilor,</w:t>
            </w:r>
            <w:r w:rsidRPr="00C56257">
              <w:rPr>
                <w:color w:val="000000" w:themeColor="text1"/>
                <w:spacing w:val="1"/>
                <w:sz w:val="24"/>
                <w:szCs w:val="24"/>
              </w:rPr>
              <w:t xml:space="preserve"> </w:t>
            </w:r>
            <w:r w:rsidRPr="00C56257">
              <w:rPr>
                <w:color w:val="000000" w:themeColor="text1"/>
                <w:sz w:val="24"/>
                <w:szCs w:val="24"/>
              </w:rPr>
              <w:t>micilor</w:t>
            </w:r>
            <w:r w:rsidRPr="00C56257">
              <w:rPr>
                <w:color w:val="000000" w:themeColor="text1"/>
                <w:spacing w:val="-2"/>
                <w:sz w:val="24"/>
                <w:szCs w:val="24"/>
              </w:rPr>
              <w:t xml:space="preserve"> </w:t>
            </w:r>
            <w:r w:rsidRPr="00C56257">
              <w:rPr>
                <w:color w:val="000000" w:themeColor="text1"/>
                <w:sz w:val="24"/>
                <w:szCs w:val="24"/>
              </w:rPr>
              <w:t>peninsule)</w:t>
            </w:r>
            <w:r w:rsidRPr="00C56257">
              <w:rPr>
                <w:color w:val="000000" w:themeColor="text1"/>
                <w:spacing w:val="-1"/>
                <w:sz w:val="24"/>
                <w:szCs w:val="24"/>
              </w:rPr>
              <w:t xml:space="preserve"> </w:t>
            </w:r>
            <w:r w:rsidRPr="00C56257">
              <w:rPr>
                <w:color w:val="000000" w:themeColor="text1"/>
                <w:sz w:val="24"/>
                <w:szCs w:val="24"/>
              </w:rPr>
              <w:t>sau</w:t>
            </w:r>
            <w:r w:rsidRPr="00C56257">
              <w:rPr>
                <w:color w:val="000000" w:themeColor="text1"/>
                <w:spacing w:val="-5"/>
                <w:sz w:val="24"/>
                <w:szCs w:val="24"/>
              </w:rPr>
              <w:t xml:space="preserve"> </w:t>
            </w:r>
            <w:r w:rsidRPr="00C56257">
              <w:rPr>
                <w:color w:val="000000" w:themeColor="text1"/>
                <w:sz w:val="24"/>
                <w:szCs w:val="24"/>
              </w:rPr>
              <w:t>a</w:t>
            </w:r>
            <w:r w:rsidRPr="00C56257">
              <w:rPr>
                <w:color w:val="000000" w:themeColor="text1"/>
                <w:spacing w:val="-1"/>
                <w:sz w:val="24"/>
                <w:szCs w:val="24"/>
              </w:rPr>
              <w:t xml:space="preserve"> </w:t>
            </w:r>
            <w:r w:rsidRPr="00C56257">
              <w:rPr>
                <w:color w:val="000000" w:themeColor="text1"/>
                <w:sz w:val="24"/>
                <w:szCs w:val="24"/>
              </w:rPr>
              <w:t>marginilor</w:t>
            </w:r>
            <w:r w:rsidRPr="00C56257">
              <w:rPr>
                <w:color w:val="000000" w:themeColor="text1"/>
                <w:spacing w:val="-1"/>
                <w:sz w:val="24"/>
                <w:szCs w:val="24"/>
              </w:rPr>
              <w:t xml:space="preserve"> </w:t>
            </w:r>
            <w:r w:rsidRPr="00C56257">
              <w:rPr>
                <w:color w:val="000000" w:themeColor="text1"/>
                <w:sz w:val="24"/>
                <w:szCs w:val="24"/>
              </w:rPr>
              <w:t>de</w:t>
            </w:r>
            <w:r w:rsidRPr="00C56257">
              <w:rPr>
                <w:color w:val="000000" w:themeColor="text1"/>
                <w:spacing w:val="-2"/>
                <w:sz w:val="24"/>
                <w:szCs w:val="24"/>
              </w:rPr>
              <w:t xml:space="preserve"> </w:t>
            </w:r>
            <w:r w:rsidRPr="00C56257">
              <w:rPr>
                <w:color w:val="000000" w:themeColor="text1"/>
                <w:sz w:val="24"/>
                <w:szCs w:val="24"/>
              </w:rPr>
              <w:t>ogoare</w:t>
            </w:r>
          </w:p>
          <w:p w14:paraId="592A0118" w14:textId="77777777" w:rsidR="0030520C" w:rsidRPr="00C56257" w:rsidRDefault="0030520C" w:rsidP="008E33FD">
            <w:pPr>
              <w:pStyle w:val="TableParagraph"/>
              <w:spacing w:line="238" w:lineRule="exact"/>
              <w:ind w:left="108"/>
              <w:jc w:val="both"/>
              <w:rPr>
                <w:color w:val="000000" w:themeColor="text1"/>
                <w:sz w:val="24"/>
                <w:szCs w:val="24"/>
              </w:rPr>
            </w:pPr>
            <w:r w:rsidRPr="00C56257">
              <w:rPr>
                <w:color w:val="000000" w:themeColor="text1"/>
                <w:sz w:val="24"/>
                <w:szCs w:val="24"/>
              </w:rPr>
              <w:lastRenderedPageBreak/>
              <w:t>(a</w:t>
            </w:r>
            <w:r w:rsidRPr="00C56257">
              <w:rPr>
                <w:color w:val="000000" w:themeColor="text1"/>
                <w:spacing w:val="-3"/>
                <w:sz w:val="24"/>
                <w:szCs w:val="24"/>
              </w:rPr>
              <w:t xml:space="preserve"> </w:t>
            </w:r>
            <w:r w:rsidRPr="00C56257">
              <w:rPr>
                <w:color w:val="000000" w:themeColor="text1"/>
                <w:sz w:val="24"/>
                <w:szCs w:val="24"/>
              </w:rPr>
              <w:t>haturilor).</w:t>
            </w:r>
          </w:p>
        </w:tc>
        <w:tc>
          <w:tcPr>
            <w:tcW w:w="1890" w:type="dxa"/>
          </w:tcPr>
          <w:p w14:paraId="3B78C8AA" w14:textId="77777777" w:rsidR="0030520C" w:rsidRPr="00C56257" w:rsidRDefault="0030520C" w:rsidP="008E33FD">
            <w:pPr>
              <w:pStyle w:val="TableParagraph"/>
              <w:jc w:val="both"/>
              <w:rPr>
                <w:color w:val="000000" w:themeColor="text1"/>
                <w:sz w:val="24"/>
                <w:szCs w:val="24"/>
              </w:rPr>
            </w:pPr>
          </w:p>
          <w:p w14:paraId="23B6FE85" w14:textId="77777777" w:rsidR="0030520C" w:rsidRPr="00C56257" w:rsidRDefault="0030520C" w:rsidP="008E33FD">
            <w:pPr>
              <w:pStyle w:val="TableParagraph"/>
              <w:jc w:val="both"/>
              <w:rPr>
                <w:color w:val="000000" w:themeColor="text1"/>
                <w:sz w:val="24"/>
                <w:szCs w:val="24"/>
              </w:rPr>
            </w:pPr>
          </w:p>
          <w:p w14:paraId="3E4F0936" w14:textId="77777777" w:rsidR="0030520C" w:rsidRPr="00C56257" w:rsidRDefault="0030520C" w:rsidP="008E33FD">
            <w:pPr>
              <w:pStyle w:val="TableParagraph"/>
              <w:jc w:val="both"/>
              <w:rPr>
                <w:color w:val="000000" w:themeColor="text1"/>
                <w:sz w:val="24"/>
                <w:szCs w:val="24"/>
              </w:rPr>
            </w:pPr>
          </w:p>
          <w:p w14:paraId="79212EBC" w14:textId="77777777" w:rsidR="0030520C" w:rsidRPr="00C56257" w:rsidRDefault="0030520C" w:rsidP="008E33FD">
            <w:pPr>
              <w:pStyle w:val="TableParagraph"/>
              <w:jc w:val="both"/>
              <w:rPr>
                <w:color w:val="000000" w:themeColor="text1"/>
                <w:sz w:val="24"/>
                <w:szCs w:val="24"/>
              </w:rPr>
            </w:pPr>
          </w:p>
          <w:p w14:paraId="090AE580" w14:textId="77777777" w:rsidR="0030520C" w:rsidRPr="00C56257" w:rsidRDefault="0030520C" w:rsidP="008E33FD">
            <w:pPr>
              <w:pStyle w:val="TableParagraph"/>
              <w:jc w:val="both"/>
              <w:rPr>
                <w:color w:val="000000" w:themeColor="text1"/>
                <w:sz w:val="24"/>
                <w:szCs w:val="24"/>
              </w:rPr>
            </w:pPr>
          </w:p>
          <w:p w14:paraId="02131514" w14:textId="77777777" w:rsidR="0030520C" w:rsidRPr="00C56257" w:rsidRDefault="0030520C" w:rsidP="008E33FD">
            <w:pPr>
              <w:pStyle w:val="TableParagraph"/>
              <w:jc w:val="both"/>
              <w:rPr>
                <w:color w:val="000000" w:themeColor="text1"/>
                <w:sz w:val="24"/>
                <w:szCs w:val="24"/>
              </w:rPr>
            </w:pPr>
          </w:p>
          <w:p w14:paraId="311C4EDF" w14:textId="77777777" w:rsidR="0030520C" w:rsidRPr="00C56257" w:rsidRDefault="0030520C" w:rsidP="008E33FD">
            <w:pPr>
              <w:pStyle w:val="TableParagraph"/>
              <w:jc w:val="both"/>
              <w:rPr>
                <w:color w:val="000000" w:themeColor="text1"/>
                <w:sz w:val="24"/>
                <w:szCs w:val="24"/>
              </w:rPr>
            </w:pPr>
          </w:p>
          <w:p w14:paraId="260A9A1B" w14:textId="77777777" w:rsidR="0030520C" w:rsidRPr="00C56257" w:rsidRDefault="0030520C" w:rsidP="008E33FD">
            <w:pPr>
              <w:pStyle w:val="TableParagraph"/>
              <w:spacing w:before="212"/>
              <w:ind w:left="109" w:right="248"/>
              <w:jc w:val="both"/>
              <w:rPr>
                <w:color w:val="000000" w:themeColor="text1"/>
                <w:sz w:val="24"/>
                <w:szCs w:val="24"/>
              </w:rPr>
            </w:pPr>
            <w:r w:rsidRPr="00C56257">
              <w:rPr>
                <w:color w:val="000000" w:themeColor="text1"/>
                <w:sz w:val="24"/>
                <w:szCs w:val="24"/>
              </w:rPr>
              <w:t>A14 parțial,</w:t>
            </w:r>
            <w:r w:rsidRPr="00C56257">
              <w:rPr>
                <w:color w:val="000000" w:themeColor="text1"/>
                <w:spacing w:val="-52"/>
                <w:sz w:val="24"/>
                <w:szCs w:val="24"/>
              </w:rPr>
              <w:t xml:space="preserve"> </w:t>
            </w:r>
            <w:r w:rsidRPr="00C56257">
              <w:rPr>
                <w:color w:val="000000" w:themeColor="text1"/>
                <w:sz w:val="24"/>
                <w:szCs w:val="24"/>
              </w:rPr>
              <w:t>A19, A20,</w:t>
            </w:r>
            <w:r w:rsidRPr="00C56257">
              <w:rPr>
                <w:color w:val="000000" w:themeColor="text1"/>
                <w:spacing w:val="1"/>
                <w:sz w:val="24"/>
                <w:szCs w:val="24"/>
              </w:rPr>
              <w:t xml:space="preserve"> </w:t>
            </w:r>
            <w:r w:rsidRPr="00C56257">
              <w:rPr>
                <w:color w:val="000000" w:themeColor="text1"/>
                <w:sz w:val="24"/>
                <w:szCs w:val="24"/>
              </w:rPr>
              <w:t>A21</w:t>
            </w:r>
          </w:p>
        </w:tc>
      </w:tr>
      <w:tr w:rsidR="0030520C" w:rsidRPr="00C56257" w14:paraId="5A79A77E" w14:textId="77777777" w:rsidTr="0009599D">
        <w:trPr>
          <w:trHeight w:val="1519"/>
        </w:trPr>
        <w:tc>
          <w:tcPr>
            <w:tcW w:w="648" w:type="dxa"/>
          </w:tcPr>
          <w:p w14:paraId="07D3696F" w14:textId="77777777" w:rsidR="0030520C" w:rsidRPr="00C56257" w:rsidRDefault="0030520C" w:rsidP="008E33FD">
            <w:pPr>
              <w:pStyle w:val="TableParagraph"/>
              <w:spacing w:line="247" w:lineRule="exact"/>
              <w:ind w:right="2"/>
              <w:jc w:val="both"/>
              <w:rPr>
                <w:color w:val="000000" w:themeColor="text1"/>
                <w:sz w:val="24"/>
                <w:szCs w:val="24"/>
              </w:rPr>
            </w:pPr>
            <w:r w:rsidRPr="00C56257">
              <w:rPr>
                <w:color w:val="000000" w:themeColor="text1"/>
                <w:sz w:val="24"/>
                <w:szCs w:val="24"/>
              </w:rPr>
              <w:t>2.</w:t>
            </w:r>
          </w:p>
        </w:tc>
        <w:tc>
          <w:tcPr>
            <w:tcW w:w="811" w:type="dxa"/>
          </w:tcPr>
          <w:p w14:paraId="54806C6A" w14:textId="77777777" w:rsidR="0030520C" w:rsidRPr="00C56257" w:rsidRDefault="0030520C" w:rsidP="008E33FD">
            <w:pPr>
              <w:pStyle w:val="TableParagraph"/>
              <w:jc w:val="both"/>
              <w:rPr>
                <w:color w:val="000000" w:themeColor="text1"/>
                <w:sz w:val="24"/>
                <w:szCs w:val="24"/>
              </w:rPr>
            </w:pPr>
          </w:p>
          <w:p w14:paraId="5DCBF4F9" w14:textId="77777777" w:rsidR="0030520C" w:rsidRPr="00C56257" w:rsidRDefault="0030520C" w:rsidP="008E33FD">
            <w:pPr>
              <w:pStyle w:val="TableParagraph"/>
              <w:spacing w:before="6"/>
              <w:jc w:val="both"/>
              <w:rPr>
                <w:color w:val="000000" w:themeColor="text1"/>
                <w:sz w:val="24"/>
                <w:szCs w:val="24"/>
              </w:rPr>
            </w:pPr>
          </w:p>
          <w:p w14:paraId="7481E5D2" w14:textId="77777777" w:rsidR="0030520C" w:rsidRPr="00C56257" w:rsidRDefault="0030520C" w:rsidP="008E33FD">
            <w:pPr>
              <w:pStyle w:val="TableParagraph"/>
              <w:spacing w:before="1"/>
              <w:jc w:val="both"/>
              <w:rPr>
                <w:color w:val="000000" w:themeColor="text1"/>
                <w:sz w:val="24"/>
                <w:szCs w:val="24"/>
              </w:rPr>
            </w:pPr>
            <w:r w:rsidRPr="00C56257">
              <w:rPr>
                <w:color w:val="000000" w:themeColor="text1"/>
                <w:sz w:val="24"/>
                <w:szCs w:val="24"/>
              </w:rPr>
              <w:t>CA16</w:t>
            </w:r>
          </w:p>
        </w:tc>
        <w:tc>
          <w:tcPr>
            <w:tcW w:w="1440" w:type="dxa"/>
          </w:tcPr>
          <w:p w14:paraId="365AA2AC" w14:textId="77777777" w:rsidR="0030520C" w:rsidRPr="00C56257" w:rsidRDefault="0030520C" w:rsidP="008E33FD">
            <w:pPr>
              <w:pStyle w:val="TableParagraph"/>
              <w:spacing w:before="6"/>
              <w:jc w:val="both"/>
              <w:rPr>
                <w:color w:val="000000" w:themeColor="text1"/>
                <w:sz w:val="24"/>
                <w:szCs w:val="24"/>
              </w:rPr>
            </w:pPr>
          </w:p>
          <w:p w14:paraId="4E1F8437" w14:textId="77777777" w:rsidR="0030520C" w:rsidRPr="00C56257" w:rsidRDefault="0030520C" w:rsidP="008E33FD">
            <w:pPr>
              <w:pStyle w:val="TableParagraph"/>
              <w:ind w:right="270"/>
              <w:jc w:val="both"/>
              <w:rPr>
                <w:color w:val="000000" w:themeColor="text1"/>
                <w:sz w:val="24"/>
                <w:szCs w:val="24"/>
              </w:rPr>
            </w:pPr>
            <w:r w:rsidRPr="00C56257">
              <w:rPr>
                <w:color w:val="000000" w:themeColor="text1"/>
                <w:sz w:val="24"/>
                <w:szCs w:val="24"/>
              </w:rPr>
              <w:t>Alte măsuri</w:t>
            </w:r>
            <w:r w:rsidRPr="00C56257">
              <w:rPr>
                <w:color w:val="000000" w:themeColor="text1"/>
                <w:spacing w:val="-52"/>
                <w:sz w:val="24"/>
                <w:szCs w:val="24"/>
              </w:rPr>
              <w:t xml:space="preserve"> </w:t>
            </w:r>
            <w:r w:rsidRPr="00C56257">
              <w:rPr>
                <w:color w:val="000000" w:themeColor="text1"/>
                <w:sz w:val="24"/>
                <w:szCs w:val="24"/>
              </w:rPr>
              <w:t>legate de</w:t>
            </w:r>
            <w:r w:rsidRPr="00C56257">
              <w:rPr>
                <w:color w:val="000000" w:themeColor="text1"/>
                <w:spacing w:val="1"/>
                <w:sz w:val="24"/>
                <w:szCs w:val="24"/>
              </w:rPr>
              <w:t xml:space="preserve"> </w:t>
            </w:r>
            <w:r w:rsidRPr="00C56257">
              <w:rPr>
                <w:color w:val="000000" w:themeColor="text1"/>
                <w:sz w:val="24"/>
                <w:szCs w:val="24"/>
              </w:rPr>
              <w:t>practicile</w:t>
            </w:r>
            <w:r w:rsidRPr="00C56257">
              <w:rPr>
                <w:color w:val="000000" w:themeColor="text1"/>
                <w:spacing w:val="1"/>
                <w:sz w:val="24"/>
                <w:szCs w:val="24"/>
              </w:rPr>
              <w:t xml:space="preserve"> </w:t>
            </w:r>
            <w:r w:rsidRPr="00C56257">
              <w:rPr>
                <w:color w:val="000000" w:themeColor="text1"/>
                <w:sz w:val="24"/>
                <w:szCs w:val="24"/>
              </w:rPr>
              <w:t>agricole</w:t>
            </w:r>
          </w:p>
        </w:tc>
        <w:tc>
          <w:tcPr>
            <w:tcW w:w="4999" w:type="dxa"/>
          </w:tcPr>
          <w:p w14:paraId="2A2002C1" w14:textId="77777777" w:rsidR="0030520C" w:rsidRPr="00C56257" w:rsidRDefault="0030520C" w:rsidP="008E33FD">
            <w:pPr>
              <w:pStyle w:val="TableParagraph"/>
              <w:ind w:left="108" w:right="94"/>
              <w:jc w:val="both"/>
              <w:rPr>
                <w:color w:val="000000" w:themeColor="text1"/>
                <w:sz w:val="24"/>
                <w:szCs w:val="24"/>
              </w:rPr>
            </w:pPr>
            <w:r w:rsidRPr="00C56257">
              <w:rPr>
                <w:color w:val="000000" w:themeColor="text1"/>
                <w:sz w:val="24"/>
                <w:szCs w:val="24"/>
              </w:rPr>
              <w:t>Alte măsuri legate de practicile agricole sau</w:t>
            </w:r>
            <w:r w:rsidRPr="00C56257">
              <w:rPr>
                <w:color w:val="000000" w:themeColor="text1"/>
                <w:spacing w:val="1"/>
                <w:sz w:val="24"/>
                <w:szCs w:val="24"/>
              </w:rPr>
              <w:t xml:space="preserve"> </w:t>
            </w:r>
            <w:r w:rsidRPr="00C56257">
              <w:rPr>
                <w:color w:val="000000" w:themeColor="text1"/>
                <w:sz w:val="24"/>
                <w:szCs w:val="24"/>
              </w:rPr>
              <w:t>de habitate legate activitățile agricole și care</w:t>
            </w:r>
            <w:r w:rsidRPr="00C56257">
              <w:rPr>
                <w:color w:val="000000" w:themeColor="text1"/>
                <w:spacing w:val="1"/>
                <w:sz w:val="24"/>
                <w:szCs w:val="24"/>
              </w:rPr>
              <w:t xml:space="preserve"> </w:t>
            </w:r>
            <w:r w:rsidRPr="00C56257">
              <w:rPr>
                <w:color w:val="000000" w:themeColor="text1"/>
                <w:sz w:val="24"/>
                <w:szCs w:val="24"/>
              </w:rPr>
              <w:t>nu sunt acoperite de celelalte măsuri CA; de</w:t>
            </w:r>
            <w:r w:rsidRPr="00C56257">
              <w:rPr>
                <w:color w:val="000000" w:themeColor="text1"/>
                <w:spacing w:val="1"/>
                <w:sz w:val="24"/>
                <w:szCs w:val="24"/>
              </w:rPr>
              <w:t xml:space="preserve"> </w:t>
            </w:r>
            <w:r w:rsidRPr="00C56257">
              <w:rPr>
                <w:color w:val="000000" w:themeColor="text1"/>
                <w:sz w:val="24"/>
                <w:szCs w:val="24"/>
              </w:rPr>
              <w:t>ex.</w:t>
            </w:r>
            <w:r w:rsidRPr="00C56257">
              <w:rPr>
                <w:color w:val="000000" w:themeColor="text1"/>
                <w:spacing w:val="-2"/>
                <w:sz w:val="24"/>
                <w:szCs w:val="24"/>
              </w:rPr>
              <w:t xml:space="preserve"> </w:t>
            </w:r>
            <w:r w:rsidRPr="00C56257">
              <w:rPr>
                <w:color w:val="000000" w:themeColor="text1"/>
                <w:sz w:val="24"/>
                <w:szCs w:val="24"/>
              </w:rPr>
              <w:t>adaptarea</w:t>
            </w:r>
            <w:r w:rsidRPr="00C56257">
              <w:rPr>
                <w:color w:val="000000" w:themeColor="text1"/>
                <w:spacing w:val="-1"/>
                <w:sz w:val="24"/>
                <w:szCs w:val="24"/>
              </w:rPr>
              <w:t xml:space="preserve"> </w:t>
            </w:r>
            <w:r w:rsidRPr="00C56257">
              <w:rPr>
                <w:color w:val="000000" w:themeColor="text1"/>
                <w:sz w:val="24"/>
                <w:szCs w:val="24"/>
              </w:rPr>
              <w:t>metodelor</w:t>
            </w:r>
            <w:r w:rsidRPr="00C56257">
              <w:rPr>
                <w:color w:val="000000" w:themeColor="text1"/>
                <w:spacing w:val="-1"/>
                <w:sz w:val="24"/>
                <w:szCs w:val="24"/>
              </w:rPr>
              <w:t xml:space="preserve"> </w:t>
            </w:r>
            <w:r w:rsidRPr="00C56257">
              <w:rPr>
                <w:color w:val="000000" w:themeColor="text1"/>
                <w:sz w:val="24"/>
                <w:szCs w:val="24"/>
              </w:rPr>
              <w:t>și /</w:t>
            </w:r>
            <w:r w:rsidRPr="00C56257">
              <w:rPr>
                <w:color w:val="000000" w:themeColor="text1"/>
                <w:spacing w:val="-3"/>
                <w:sz w:val="24"/>
                <w:szCs w:val="24"/>
              </w:rPr>
              <w:t xml:space="preserve"> </w:t>
            </w:r>
            <w:r w:rsidRPr="00C56257">
              <w:rPr>
                <w:color w:val="000000" w:themeColor="text1"/>
                <w:sz w:val="24"/>
                <w:szCs w:val="24"/>
              </w:rPr>
              <w:t>sau</w:t>
            </w:r>
            <w:r w:rsidRPr="00C56257">
              <w:rPr>
                <w:color w:val="000000" w:themeColor="text1"/>
                <w:spacing w:val="-2"/>
                <w:sz w:val="24"/>
                <w:szCs w:val="24"/>
              </w:rPr>
              <w:t xml:space="preserve"> </w:t>
            </w:r>
            <w:r w:rsidRPr="00C56257">
              <w:rPr>
                <w:color w:val="000000" w:themeColor="text1"/>
                <w:sz w:val="24"/>
                <w:szCs w:val="24"/>
              </w:rPr>
              <w:t>a</w:t>
            </w:r>
            <w:r w:rsidRPr="00C56257">
              <w:rPr>
                <w:color w:val="000000" w:themeColor="text1"/>
                <w:spacing w:val="-1"/>
                <w:sz w:val="24"/>
                <w:szCs w:val="24"/>
              </w:rPr>
              <w:t xml:space="preserve"> </w:t>
            </w:r>
            <w:r w:rsidRPr="00C56257">
              <w:rPr>
                <w:color w:val="000000" w:themeColor="text1"/>
                <w:sz w:val="24"/>
                <w:szCs w:val="24"/>
              </w:rPr>
              <w:t>momentului</w:t>
            </w:r>
          </w:p>
          <w:p w14:paraId="2916789C" w14:textId="77777777" w:rsidR="0030520C" w:rsidRPr="00C56257" w:rsidRDefault="0030520C" w:rsidP="008E33FD">
            <w:pPr>
              <w:pStyle w:val="TableParagraph"/>
              <w:spacing w:line="252" w:lineRule="exact"/>
              <w:ind w:left="108" w:right="788"/>
              <w:jc w:val="both"/>
              <w:rPr>
                <w:color w:val="000000" w:themeColor="text1"/>
                <w:sz w:val="24"/>
                <w:szCs w:val="24"/>
              </w:rPr>
            </w:pPr>
            <w:r w:rsidRPr="00C56257">
              <w:rPr>
                <w:color w:val="000000" w:themeColor="text1"/>
                <w:sz w:val="24"/>
                <w:szCs w:val="24"/>
              </w:rPr>
              <w:t>de recoltare pentru a evita perturbarea</w:t>
            </w:r>
            <w:r w:rsidRPr="00C56257">
              <w:rPr>
                <w:color w:val="000000" w:themeColor="text1"/>
                <w:spacing w:val="-52"/>
                <w:sz w:val="24"/>
                <w:szCs w:val="24"/>
              </w:rPr>
              <w:t xml:space="preserve"> </w:t>
            </w:r>
            <w:r w:rsidRPr="00C56257">
              <w:rPr>
                <w:color w:val="000000" w:themeColor="text1"/>
                <w:sz w:val="24"/>
                <w:szCs w:val="24"/>
              </w:rPr>
              <w:t>păsărilor</w:t>
            </w:r>
            <w:r w:rsidRPr="00C56257">
              <w:rPr>
                <w:color w:val="000000" w:themeColor="text1"/>
                <w:spacing w:val="-3"/>
                <w:sz w:val="24"/>
                <w:szCs w:val="24"/>
              </w:rPr>
              <w:t xml:space="preserve"> </w:t>
            </w:r>
            <w:r w:rsidRPr="00C56257">
              <w:rPr>
                <w:color w:val="000000" w:themeColor="text1"/>
                <w:sz w:val="24"/>
                <w:szCs w:val="24"/>
              </w:rPr>
              <w:t>cuibăritoare.</w:t>
            </w:r>
          </w:p>
        </w:tc>
        <w:tc>
          <w:tcPr>
            <w:tcW w:w="1890" w:type="dxa"/>
          </w:tcPr>
          <w:p w14:paraId="5E1DD1FC" w14:textId="77777777" w:rsidR="0030520C" w:rsidRPr="00C56257" w:rsidRDefault="0030520C" w:rsidP="008E33FD">
            <w:pPr>
              <w:pStyle w:val="TableParagraph"/>
              <w:spacing w:before="6"/>
              <w:jc w:val="both"/>
              <w:rPr>
                <w:color w:val="000000" w:themeColor="text1"/>
                <w:sz w:val="24"/>
                <w:szCs w:val="24"/>
              </w:rPr>
            </w:pPr>
          </w:p>
          <w:p w14:paraId="390D9E2B" w14:textId="77777777" w:rsidR="0030520C" w:rsidRPr="00C56257" w:rsidRDefault="0030520C" w:rsidP="008E33FD">
            <w:pPr>
              <w:pStyle w:val="TableParagraph"/>
              <w:ind w:left="109" w:right="393"/>
              <w:jc w:val="both"/>
              <w:rPr>
                <w:color w:val="000000" w:themeColor="text1"/>
                <w:sz w:val="24"/>
                <w:szCs w:val="24"/>
              </w:rPr>
            </w:pPr>
            <w:r w:rsidRPr="00C56257">
              <w:rPr>
                <w:color w:val="000000" w:themeColor="text1"/>
                <w:sz w:val="24"/>
                <w:szCs w:val="24"/>
              </w:rPr>
              <w:t>A04, A17,</w:t>
            </w:r>
            <w:r w:rsidRPr="00C56257">
              <w:rPr>
                <w:color w:val="000000" w:themeColor="text1"/>
                <w:spacing w:val="-52"/>
                <w:sz w:val="24"/>
                <w:szCs w:val="24"/>
              </w:rPr>
              <w:t xml:space="preserve"> </w:t>
            </w:r>
            <w:r w:rsidRPr="00C56257">
              <w:rPr>
                <w:color w:val="000000" w:themeColor="text1"/>
                <w:sz w:val="24"/>
                <w:szCs w:val="24"/>
              </w:rPr>
              <w:t>A22, A23,</w:t>
            </w:r>
            <w:r w:rsidRPr="00C56257">
              <w:rPr>
                <w:color w:val="000000" w:themeColor="text1"/>
                <w:spacing w:val="-52"/>
                <w:sz w:val="24"/>
                <w:szCs w:val="24"/>
              </w:rPr>
              <w:t xml:space="preserve"> </w:t>
            </w:r>
            <w:r w:rsidRPr="00C56257">
              <w:rPr>
                <w:color w:val="000000" w:themeColor="text1"/>
                <w:sz w:val="24"/>
                <w:szCs w:val="24"/>
              </w:rPr>
              <w:t>A24, A34,</w:t>
            </w:r>
            <w:r w:rsidRPr="00C56257">
              <w:rPr>
                <w:color w:val="000000" w:themeColor="text1"/>
                <w:spacing w:val="-52"/>
                <w:sz w:val="24"/>
                <w:szCs w:val="24"/>
              </w:rPr>
              <w:t xml:space="preserve"> </w:t>
            </w:r>
            <w:r w:rsidRPr="00C56257">
              <w:rPr>
                <w:color w:val="000000" w:themeColor="text1"/>
                <w:sz w:val="24"/>
                <w:szCs w:val="24"/>
              </w:rPr>
              <w:t>A35</w:t>
            </w:r>
          </w:p>
        </w:tc>
      </w:tr>
      <w:tr w:rsidR="0030520C" w:rsidRPr="00C56257" w14:paraId="77000A00" w14:textId="77777777" w:rsidTr="0009599D">
        <w:trPr>
          <w:trHeight w:val="1264"/>
        </w:trPr>
        <w:tc>
          <w:tcPr>
            <w:tcW w:w="648" w:type="dxa"/>
          </w:tcPr>
          <w:p w14:paraId="081B7EBE" w14:textId="77777777" w:rsidR="0030520C" w:rsidRPr="00C56257" w:rsidRDefault="0030520C" w:rsidP="008E33FD">
            <w:pPr>
              <w:pStyle w:val="TableParagraph"/>
              <w:spacing w:line="247" w:lineRule="exact"/>
              <w:ind w:right="2"/>
              <w:jc w:val="both"/>
              <w:rPr>
                <w:color w:val="000000" w:themeColor="text1"/>
                <w:sz w:val="24"/>
                <w:szCs w:val="24"/>
              </w:rPr>
            </w:pPr>
            <w:r w:rsidRPr="00C56257">
              <w:rPr>
                <w:color w:val="000000" w:themeColor="text1"/>
                <w:sz w:val="24"/>
                <w:szCs w:val="24"/>
              </w:rPr>
              <w:t>3.</w:t>
            </w:r>
          </w:p>
        </w:tc>
        <w:tc>
          <w:tcPr>
            <w:tcW w:w="811" w:type="dxa"/>
          </w:tcPr>
          <w:p w14:paraId="21D9FD11" w14:textId="77777777" w:rsidR="0030520C" w:rsidRPr="00C56257" w:rsidRDefault="0030520C" w:rsidP="008E33FD">
            <w:pPr>
              <w:pStyle w:val="TableParagraph"/>
              <w:jc w:val="both"/>
              <w:rPr>
                <w:color w:val="000000" w:themeColor="text1"/>
                <w:sz w:val="24"/>
                <w:szCs w:val="24"/>
              </w:rPr>
            </w:pPr>
          </w:p>
          <w:p w14:paraId="42CE37F0" w14:textId="77777777" w:rsidR="0030520C" w:rsidRPr="00C56257" w:rsidRDefault="0030520C" w:rsidP="008E33FD">
            <w:pPr>
              <w:pStyle w:val="TableParagraph"/>
              <w:spacing w:before="5"/>
              <w:jc w:val="both"/>
              <w:rPr>
                <w:color w:val="000000" w:themeColor="text1"/>
                <w:sz w:val="24"/>
                <w:szCs w:val="24"/>
              </w:rPr>
            </w:pPr>
          </w:p>
          <w:p w14:paraId="7C44C5F4" w14:textId="77777777" w:rsidR="0030520C" w:rsidRPr="00C56257" w:rsidRDefault="0030520C" w:rsidP="008E33FD">
            <w:pPr>
              <w:pStyle w:val="TableParagraph"/>
              <w:jc w:val="both"/>
              <w:rPr>
                <w:color w:val="000000" w:themeColor="text1"/>
                <w:sz w:val="24"/>
                <w:szCs w:val="24"/>
              </w:rPr>
            </w:pPr>
            <w:r w:rsidRPr="00C56257">
              <w:rPr>
                <w:color w:val="000000" w:themeColor="text1"/>
                <w:sz w:val="24"/>
                <w:szCs w:val="24"/>
              </w:rPr>
              <w:t>CB04</w:t>
            </w:r>
          </w:p>
        </w:tc>
        <w:tc>
          <w:tcPr>
            <w:tcW w:w="1440" w:type="dxa"/>
          </w:tcPr>
          <w:p w14:paraId="756B24B0" w14:textId="77777777" w:rsidR="0030520C" w:rsidRPr="00C56257" w:rsidRDefault="0030520C" w:rsidP="008E33FD">
            <w:pPr>
              <w:pStyle w:val="TableParagraph"/>
              <w:ind w:right="130"/>
              <w:jc w:val="both"/>
              <w:rPr>
                <w:color w:val="000000" w:themeColor="text1"/>
                <w:sz w:val="24"/>
                <w:szCs w:val="24"/>
              </w:rPr>
            </w:pPr>
            <w:r w:rsidRPr="00C56257">
              <w:rPr>
                <w:color w:val="000000" w:themeColor="text1"/>
                <w:sz w:val="24"/>
                <w:szCs w:val="24"/>
              </w:rPr>
              <w:t>Adaptarea/ge</w:t>
            </w:r>
            <w:r w:rsidRPr="00C56257">
              <w:rPr>
                <w:color w:val="000000" w:themeColor="text1"/>
                <w:spacing w:val="-52"/>
                <w:sz w:val="24"/>
                <w:szCs w:val="24"/>
              </w:rPr>
              <w:t xml:space="preserve"> </w:t>
            </w:r>
            <w:r w:rsidRPr="00C56257">
              <w:rPr>
                <w:color w:val="000000" w:themeColor="text1"/>
                <w:sz w:val="24"/>
                <w:szCs w:val="24"/>
              </w:rPr>
              <w:t>stionarea</w:t>
            </w:r>
            <w:r w:rsidRPr="00C56257">
              <w:rPr>
                <w:color w:val="000000" w:themeColor="text1"/>
                <w:spacing w:val="1"/>
                <w:sz w:val="24"/>
                <w:szCs w:val="24"/>
              </w:rPr>
              <w:t xml:space="preserve"> </w:t>
            </w:r>
            <w:r w:rsidRPr="00C56257">
              <w:rPr>
                <w:color w:val="000000" w:themeColor="text1"/>
                <w:sz w:val="24"/>
                <w:szCs w:val="24"/>
              </w:rPr>
              <w:t>reîmpăduririi</w:t>
            </w:r>
            <w:r w:rsidRPr="00C56257">
              <w:rPr>
                <w:color w:val="000000" w:themeColor="text1"/>
                <w:spacing w:val="-52"/>
                <w:sz w:val="24"/>
                <w:szCs w:val="24"/>
              </w:rPr>
              <w:t xml:space="preserve"> </w:t>
            </w:r>
            <w:r w:rsidRPr="00C56257">
              <w:rPr>
                <w:color w:val="000000" w:themeColor="text1"/>
                <w:sz w:val="24"/>
                <w:szCs w:val="24"/>
              </w:rPr>
              <w:t>și</w:t>
            </w:r>
            <w:r w:rsidRPr="00C56257">
              <w:rPr>
                <w:color w:val="000000" w:themeColor="text1"/>
                <w:spacing w:val="1"/>
                <w:sz w:val="24"/>
                <w:szCs w:val="24"/>
              </w:rPr>
              <w:t xml:space="preserve"> </w:t>
            </w:r>
            <w:r w:rsidRPr="00C56257">
              <w:rPr>
                <w:color w:val="000000" w:themeColor="text1"/>
                <w:sz w:val="24"/>
                <w:szCs w:val="24"/>
              </w:rPr>
              <w:t>a</w:t>
            </w:r>
          </w:p>
          <w:p w14:paraId="2A6B684E" w14:textId="77777777" w:rsidR="0030520C" w:rsidRPr="00C56257" w:rsidRDefault="0030520C" w:rsidP="008E33FD">
            <w:pPr>
              <w:pStyle w:val="TableParagraph"/>
              <w:spacing w:line="238" w:lineRule="exact"/>
              <w:jc w:val="both"/>
              <w:rPr>
                <w:color w:val="000000" w:themeColor="text1"/>
                <w:sz w:val="24"/>
                <w:szCs w:val="24"/>
              </w:rPr>
            </w:pPr>
            <w:r w:rsidRPr="00C56257">
              <w:rPr>
                <w:color w:val="000000" w:themeColor="text1"/>
                <w:sz w:val="24"/>
                <w:szCs w:val="24"/>
              </w:rPr>
              <w:t>regenerării</w:t>
            </w:r>
          </w:p>
        </w:tc>
        <w:tc>
          <w:tcPr>
            <w:tcW w:w="4999" w:type="dxa"/>
          </w:tcPr>
          <w:p w14:paraId="758D2F41" w14:textId="77777777" w:rsidR="0030520C" w:rsidRPr="00C56257" w:rsidRDefault="0030520C" w:rsidP="008E33FD">
            <w:pPr>
              <w:pStyle w:val="TableParagraph"/>
              <w:ind w:left="108" w:right="170"/>
              <w:jc w:val="both"/>
              <w:rPr>
                <w:color w:val="000000" w:themeColor="text1"/>
                <w:sz w:val="24"/>
                <w:szCs w:val="24"/>
              </w:rPr>
            </w:pPr>
            <w:r w:rsidRPr="00C56257">
              <w:rPr>
                <w:color w:val="000000" w:themeColor="text1"/>
                <w:sz w:val="24"/>
                <w:szCs w:val="24"/>
              </w:rPr>
              <w:t>Adaptarea sau gestionarea acțiunilor de</w:t>
            </w:r>
            <w:r w:rsidRPr="00C56257">
              <w:rPr>
                <w:color w:val="000000" w:themeColor="text1"/>
                <w:spacing w:val="1"/>
                <w:sz w:val="24"/>
                <w:szCs w:val="24"/>
              </w:rPr>
              <w:t xml:space="preserve"> </w:t>
            </w:r>
            <w:r w:rsidRPr="00C56257">
              <w:rPr>
                <w:color w:val="000000" w:themeColor="text1"/>
                <w:sz w:val="24"/>
                <w:szCs w:val="24"/>
              </w:rPr>
              <w:t>reîmpădurire pentru a reface habitatele</w:t>
            </w:r>
            <w:r w:rsidRPr="00C56257">
              <w:rPr>
                <w:color w:val="000000" w:themeColor="text1"/>
                <w:spacing w:val="1"/>
                <w:sz w:val="24"/>
                <w:szCs w:val="24"/>
              </w:rPr>
              <w:t xml:space="preserve"> </w:t>
            </w:r>
            <w:r w:rsidRPr="00C56257">
              <w:rPr>
                <w:color w:val="000000" w:themeColor="text1"/>
                <w:sz w:val="24"/>
                <w:szCs w:val="24"/>
              </w:rPr>
              <w:t>forestiere și habitatele speciilor tipice de</w:t>
            </w:r>
            <w:r w:rsidRPr="00C56257">
              <w:rPr>
                <w:color w:val="000000" w:themeColor="text1"/>
                <w:spacing w:val="1"/>
                <w:sz w:val="24"/>
                <w:szCs w:val="24"/>
              </w:rPr>
              <w:t xml:space="preserve"> </w:t>
            </w:r>
            <w:r w:rsidRPr="00C56257">
              <w:rPr>
                <w:color w:val="000000" w:themeColor="text1"/>
                <w:sz w:val="24"/>
                <w:szCs w:val="24"/>
              </w:rPr>
              <w:t>pădure,</w:t>
            </w:r>
            <w:r w:rsidRPr="00C56257">
              <w:rPr>
                <w:color w:val="000000" w:themeColor="text1"/>
                <w:spacing w:val="-1"/>
                <w:sz w:val="24"/>
                <w:szCs w:val="24"/>
              </w:rPr>
              <w:t xml:space="preserve"> </w:t>
            </w:r>
            <w:r w:rsidRPr="00C56257">
              <w:rPr>
                <w:color w:val="000000" w:themeColor="text1"/>
                <w:sz w:val="24"/>
                <w:szCs w:val="24"/>
              </w:rPr>
              <w:t>incluzând,</w:t>
            </w:r>
            <w:r w:rsidRPr="00C56257">
              <w:rPr>
                <w:color w:val="000000" w:themeColor="text1"/>
                <w:spacing w:val="-3"/>
                <w:sz w:val="24"/>
                <w:szCs w:val="24"/>
              </w:rPr>
              <w:t xml:space="preserve"> </w:t>
            </w:r>
            <w:r w:rsidRPr="00C56257">
              <w:rPr>
                <w:color w:val="000000" w:themeColor="text1"/>
                <w:sz w:val="24"/>
                <w:szCs w:val="24"/>
              </w:rPr>
              <w:t>de</w:t>
            </w:r>
            <w:r w:rsidRPr="00C56257">
              <w:rPr>
                <w:color w:val="000000" w:themeColor="text1"/>
                <w:spacing w:val="-1"/>
                <w:sz w:val="24"/>
                <w:szCs w:val="24"/>
              </w:rPr>
              <w:t xml:space="preserve"> </w:t>
            </w:r>
            <w:r w:rsidRPr="00C56257">
              <w:rPr>
                <w:color w:val="000000" w:themeColor="text1"/>
                <w:sz w:val="24"/>
                <w:szCs w:val="24"/>
              </w:rPr>
              <w:t>exemplu, conversia,</w:t>
            </w:r>
            <w:r w:rsidRPr="00C56257">
              <w:rPr>
                <w:color w:val="000000" w:themeColor="text1"/>
                <w:spacing w:val="-1"/>
                <w:sz w:val="24"/>
                <w:szCs w:val="24"/>
              </w:rPr>
              <w:t xml:space="preserve"> </w:t>
            </w:r>
            <w:r w:rsidRPr="00C56257">
              <w:rPr>
                <w:color w:val="000000" w:themeColor="text1"/>
                <w:sz w:val="24"/>
                <w:szCs w:val="24"/>
              </w:rPr>
              <w:t>pe</w:t>
            </w:r>
          </w:p>
          <w:p w14:paraId="445AD649" w14:textId="77777777" w:rsidR="0030520C" w:rsidRPr="00C56257" w:rsidRDefault="0030520C" w:rsidP="008E33FD">
            <w:pPr>
              <w:pStyle w:val="TableParagraph"/>
              <w:spacing w:line="238" w:lineRule="exact"/>
              <w:ind w:left="108"/>
              <w:jc w:val="both"/>
              <w:rPr>
                <w:color w:val="000000" w:themeColor="text1"/>
                <w:sz w:val="24"/>
                <w:szCs w:val="24"/>
              </w:rPr>
            </w:pPr>
            <w:r w:rsidRPr="00C56257">
              <w:rPr>
                <w:color w:val="000000" w:themeColor="text1"/>
                <w:sz w:val="24"/>
                <w:szCs w:val="24"/>
              </w:rPr>
              <w:t>termen</w:t>
            </w:r>
            <w:r w:rsidRPr="00C56257">
              <w:rPr>
                <w:color w:val="000000" w:themeColor="text1"/>
                <w:spacing w:val="-2"/>
                <w:sz w:val="24"/>
                <w:szCs w:val="24"/>
              </w:rPr>
              <w:t xml:space="preserve"> </w:t>
            </w:r>
            <w:r w:rsidRPr="00C56257">
              <w:rPr>
                <w:color w:val="000000" w:themeColor="text1"/>
                <w:sz w:val="24"/>
                <w:szCs w:val="24"/>
              </w:rPr>
              <w:t>lung,</w:t>
            </w:r>
            <w:r w:rsidRPr="00C56257">
              <w:rPr>
                <w:color w:val="000000" w:themeColor="text1"/>
                <w:spacing w:val="-1"/>
                <w:sz w:val="24"/>
                <w:szCs w:val="24"/>
              </w:rPr>
              <w:t xml:space="preserve"> </w:t>
            </w:r>
            <w:r w:rsidRPr="00C56257">
              <w:rPr>
                <w:color w:val="000000" w:themeColor="text1"/>
                <w:sz w:val="24"/>
                <w:szCs w:val="24"/>
              </w:rPr>
              <w:t>plantațiilor</w:t>
            </w:r>
            <w:r w:rsidRPr="00C56257">
              <w:rPr>
                <w:color w:val="000000" w:themeColor="text1"/>
                <w:spacing w:val="-1"/>
                <w:sz w:val="24"/>
                <w:szCs w:val="24"/>
              </w:rPr>
              <w:t xml:space="preserve"> </w:t>
            </w:r>
            <w:r w:rsidRPr="00C56257">
              <w:rPr>
                <w:color w:val="000000" w:themeColor="text1"/>
                <w:sz w:val="24"/>
                <w:szCs w:val="24"/>
              </w:rPr>
              <w:t>cu</w:t>
            </w:r>
            <w:r w:rsidRPr="00C56257">
              <w:rPr>
                <w:color w:val="000000" w:themeColor="text1"/>
                <w:spacing w:val="-3"/>
                <w:sz w:val="24"/>
                <w:szCs w:val="24"/>
              </w:rPr>
              <w:t xml:space="preserve"> </w:t>
            </w:r>
            <w:r w:rsidRPr="00C56257">
              <w:rPr>
                <w:color w:val="000000" w:themeColor="text1"/>
                <w:sz w:val="24"/>
                <w:szCs w:val="24"/>
              </w:rPr>
              <w:t>aliniamente</w:t>
            </w:r>
            <w:r w:rsidRPr="00C56257">
              <w:rPr>
                <w:color w:val="000000" w:themeColor="text1"/>
                <w:spacing w:val="-3"/>
                <w:sz w:val="24"/>
                <w:szCs w:val="24"/>
              </w:rPr>
              <w:t xml:space="preserve"> </w:t>
            </w:r>
            <w:r w:rsidRPr="00C56257">
              <w:rPr>
                <w:color w:val="000000" w:themeColor="text1"/>
                <w:sz w:val="24"/>
                <w:szCs w:val="24"/>
              </w:rPr>
              <w:t>în</w:t>
            </w:r>
          </w:p>
        </w:tc>
        <w:tc>
          <w:tcPr>
            <w:tcW w:w="1890" w:type="dxa"/>
          </w:tcPr>
          <w:p w14:paraId="6BDB8A28" w14:textId="77777777" w:rsidR="0030520C" w:rsidRPr="00C56257" w:rsidRDefault="0030520C" w:rsidP="008E33FD">
            <w:pPr>
              <w:pStyle w:val="TableParagraph"/>
              <w:spacing w:before="4"/>
              <w:jc w:val="both"/>
              <w:rPr>
                <w:color w:val="000000" w:themeColor="text1"/>
                <w:sz w:val="24"/>
                <w:szCs w:val="24"/>
              </w:rPr>
            </w:pPr>
          </w:p>
          <w:p w14:paraId="604FFFFD" w14:textId="77777777" w:rsidR="0030520C" w:rsidRPr="00C56257" w:rsidRDefault="0030520C" w:rsidP="008E33FD">
            <w:pPr>
              <w:pStyle w:val="TableParagraph"/>
              <w:ind w:left="109" w:right="260"/>
              <w:jc w:val="both"/>
              <w:rPr>
                <w:color w:val="000000" w:themeColor="text1"/>
                <w:sz w:val="24"/>
                <w:szCs w:val="24"/>
              </w:rPr>
            </w:pPr>
            <w:r w:rsidRPr="00C56257">
              <w:rPr>
                <w:color w:val="000000" w:themeColor="text1"/>
                <w:sz w:val="24"/>
                <w:szCs w:val="24"/>
              </w:rPr>
              <w:t>B02 parțial,</w:t>
            </w:r>
            <w:r w:rsidRPr="00C56257">
              <w:rPr>
                <w:color w:val="000000" w:themeColor="text1"/>
                <w:spacing w:val="-52"/>
                <w:sz w:val="24"/>
                <w:szCs w:val="24"/>
              </w:rPr>
              <w:t xml:space="preserve"> </w:t>
            </w:r>
            <w:r w:rsidRPr="00C56257">
              <w:rPr>
                <w:color w:val="000000" w:themeColor="text1"/>
                <w:sz w:val="24"/>
                <w:szCs w:val="24"/>
              </w:rPr>
              <w:t>B03, B05,</w:t>
            </w:r>
          </w:p>
          <w:p w14:paraId="781C76A2" w14:textId="77777777" w:rsidR="0030520C" w:rsidRPr="00C56257" w:rsidRDefault="0030520C" w:rsidP="008E33FD">
            <w:pPr>
              <w:pStyle w:val="TableParagraph"/>
              <w:ind w:left="109"/>
              <w:jc w:val="both"/>
              <w:rPr>
                <w:color w:val="000000" w:themeColor="text1"/>
                <w:sz w:val="24"/>
                <w:szCs w:val="24"/>
              </w:rPr>
            </w:pPr>
            <w:r w:rsidRPr="00C56257">
              <w:rPr>
                <w:color w:val="000000" w:themeColor="text1"/>
                <w:sz w:val="24"/>
                <w:szCs w:val="24"/>
              </w:rPr>
              <w:t>B17</w:t>
            </w:r>
            <w:r w:rsidRPr="00C56257">
              <w:rPr>
                <w:color w:val="000000" w:themeColor="text1"/>
                <w:spacing w:val="-1"/>
                <w:sz w:val="24"/>
                <w:szCs w:val="24"/>
              </w:rPr>
              <w:t xml:space="preserve"> </w:t>
            </w:r>
            <w:r w:rsidRPr="00C56257">
              <w:rPr>
                <w:color w:val="000000" w:themeColor="text1"/>
                <w:sz w:val="24"/>
                <w:szCs w:val="24"/>
              </w:rPr>
              <w:t>parțial</w:t>
            </w:r>
          </w:p>
        </w:tc>
      </w:tr>
      <w:tr w:rsidR="0030520C" w:rsidRPr="00C56257" w14:paraId="52D77387" w14:textId="77777777" w:rsidTr="0009599D">
        <w:trPr>
          <w:trHeight w:val="758"/>
        </w:trPr>
        <w:tc>
          <w:tcPr>
            <w:tcW w:w="648" w:type="dxa"/>
          </w:tcPr>
          <w:p w14:paraId="578CAA98" w14:textId="77777777" w:rsidR="0030520C" w:rsidRPr="00C56257" w:rsidRDefault="0030520C" w:rsidP="008E33FD">
            <w:pPr>
              <w:pStyle w:val="TableParagraph"/>
              <w:jc w:val="both"/>
              <w:rPr>
                <w:color w:val="000000" w:themeColor="text1"/>
                <w:sz w:val="24"/>
                <w:szCs w:val="24"/>
              </w:rPr>
            </w:pPr>
          </w:p>
        </w:tc>
        <w:tc>
          <w:tcPr>
            <w:tcW w:w="811" w:type="dxa"/>
          </w:tcPr>
          <w:p w14:paraId="4A796827" w14:textId="77777777" w:rsidR="0030520C" w:rsidRPr="00C56257" w:rsidRDefault="0030520C" w:rsidP="008E33FD">
            <w:pPr>
              <w:pStyle w:val="TableParagraph"/>
              <w:jc w:val="both"/>
              <w:rPr>
                <w:color w:val="000000" w:themeColor="text1"/>
                <w:sz w:val="24"/>
                <w:szCs w:val="24"/>
              </w:rPr>
            </w:pPr>
          </w:p>
        </w:tc>
        <w:tc>
          <w:tcPr>
            <w:tcW w:w="1440" w:type="dxa"/>
          </w:tcPr>
          <w:p w14:paraId="2E9D7F54" w14:textId="77777777" w:rsidR="0030520C" w:rsidRPr="00C56257" w:rsidRDefault="0030520C" w:rsidP="008E33FD">
            <w:pPr>
              <w:pStyle w:val="TableParagraph"/>
              <w:spacing w:line="247" w:lineRule="exact"/>
              <w:jc w:val="both"/>
              <w:rPr>
                <w:color w:val="000000" w:themeColor="text1"/>
                <w:sz w:val="24"/>
                <w:szCs w:val="24"/>
              </w:rPr>
            </w:pPr>
            <w:r w:rsidRPr="00C56257">
              <w:rPr>
                <w:color w:val="000000" w:themeColor="text1"/>
                <w:sz w:val="24"/>
                <w:szCs w:val="24"/>
              </w:rPr>
              <w:t>pădurilor</w:t>
            </w:r>
          </w:p>
        </w:tc>
        <w:tc>
          <w:tcPr>
            <w:tcW w:w="4999" w:type="dxa"/>
          </w:tcPr>
          <w:p w14:paraId="6B2A8737" w14:textId="77777777" w:rsidR="0030520C" w:rsidRPr="00C56257" w:rsidRDefault="0030520C" w:rsidP="008E33FD">
            <w:pPr>
              <w:pStyle w:val="TableParagraph"/>
              <w:spacing w:line="247" w:lineRule="exact"/>
              <w:ind w:left="108"/>
              <w:jc w:val="both"/>
              <w:rPr>
                <w:color w:val="000000" w:themeColor="text1"/>
                <w:sz w:val="24"/>
                <w:szCs w:val="24"/>
              </w:rPr>
            </w:pPr>
            <w:r w:rsidRPr="00C56257">
              <w:rPr>
                <w:color w:val="000000" w:themeColor="text1"/>
                <w:sz w:val="24"/>
                <w:szCs w:val="24"/>
              </w:rPr>
              <w:t>păduri</w:t>
            </w:r>
            <w:r w:rsidRPr="00C56257">
              <w:rPr>
                <w:color w:val="000000" w:themeColor="text1"/>
                <w:spacing w:val="-1"/>
                <w:sz w:val="24"/>
                <w:szCs w:val="24"/>
              </w:rPr>
              <w:t xml:space="preserve"> </w:t>
            </w:r>
            <w:r w:rsidRPr="00C56257">
              <w:rPr>
                <w:color w:val="000000" w:themeColor="text1"/>
                <w:sz w:val="24"/>
                <w:szCs w:val="24"/>
              </w:rPr>
              <w:t>autohtone,</w:t>
            </w:r>
            <w:r w:rsidRPr="00C56257">
              <w:rPr>
                <w:color w:val="000000" w:themeColor="text1"/>
                <w:spacing w:val="-3"/>
                <w:sz w:val="24"/>
                <w:szCs w:val="24"/>
              </w:rPr>
              <w:t xml:space="preserve"> </w:t>
            </w:r>
            <w:r w:rsidRPr="00C56257">
              <w:rPr>
                <w:color w:val="000000" w:themeColor="text1"/>
                <w:sz w:val="24"/>
                <w:szCs w:val="24"/>
              </w:rPr>
              <w:t>sau</w:t>
            </w:r>
            <w:r w:rsidRPr="00C56257">
              <w:rPr>
                <w:color w:val="000000" w:themeColor="text1"/>
                <w:spacing w:val="-4"/>
                <w:sz w:val="24"/>
                <w:szCs w:val="24"/>
              </w:rPr>
              <w:t xml:space="preserve"> </w:t>
            </w:r>
            <w:r w:rsidRPr="00C56257">
              <w:rPr>
                <w:color w:val="000000" w:themeColor="text1"/>
                <w:sz w:val="24"/>
                <w:szCs w:val="24"/>
              </w:rPr>
              <w:t>adaptarea</w:t>
            </w:r>
            <w:r w:rsidRPr="00C56257">
              <w:rPr>
                <w:color w:val="000000" w:themeColor="text1"/>
                <w:spacing w:val="-3"/>
                <w:sz w:val="24"/>
                <w:szCs w:val="24"/>
              </w:rPr>
              <w:t xml:space="preserve"> </w:t>
            </w:r>
            <w:r w:rsidRPr="00C56257">
              <w:rPr>
                <w:color w:val="000000" w:themeColor="text1"/>
                <w:sz w:val="24"/>
                <w:szCs w:val="24"/>
              </w:rPr>
              <w:t>tehnicilor</w:t>
            </w:r>
            <w:r w:rsidRPr="00C56257">
              <w:rPr>
                <w:color w:val="000000" w:themeColor="text1"/>
                <w:spacing w:val="-1"/>
                <w:sz w:val="24"/>
                <w:szCs w:val="24"/>
              </w:rPr>
              <w:t xml:space="preserve"> </w:t>
            </w:r>
            <w:r w:rsidRPr="00C56257">
              <w:rPr>
                <w:color w:val="000000" w:themeColor="text1"/>
                <w:sz w:val="24"/>
                <w:szCs w:val="24"/>
              </w:rPr>
              <w:t>de</w:t>
            </w:r>
          </w:p>
          <w:p w14:paraId="599230AE" w14:textId="77777777" w:rsidR="0030520C" w:rsidRPr="00C56257" w:rsidRDefault="0030520C" w:rsidP="008E33FD">
            <w:pPr>
              <w:pStyle w:val="TableParagraph"/>
              <w:spacing w:line="252" w:lineRule="exact"/>
              <w:ind w:left="108" w:right="357"/>
              <w:jc w:val="both"/>
              <w:rPr>
                <w:color w:val="000000" w:themeColor="text1"/>
                <w:sz w:val="24"/>
                <w:szCs w:val="24"/>
              </w:rPr>
            </w:pPr>
            <w:r w:rsidRPr="00C56257">
              <w:rPr>
                <w:color w:val="000000" w:themeColor="text1"/>
                <w:sz w:val="24"/>
                <w:szCs w:val="24"/>
              </w:rPr>
              <w:t>reîmpădurire,</w:t>
            </w:r>
            <w:r w:rsidRPr="00C56257">
              <w:rPr>
                <w:color w:val="000000" w:themeColor="text1"/>
                <w:spacing w:val="-4"/>
                <w:sz w:val="24"/>
                <w:szCs w:val="24"/>
              </w:rPr>
              <w:t xml:space="preserve"> </w:t>
            </w:r>
            <w:r w:rsidRPr="00C56257">
              <w:rPr>
                <w:color w:val="000000" w:themeColor="text1"/>
                <w:sz w:val="24"/>
                <w:szCs w:val="24"/>
              </w:rPr>
              <w:t>precum</w:t>
            </w:r>
            <w:r w:rsidRPr="00C56257">
              <w:rPr>
                <w:color w:val="000000" w:themeColor="text1"/>
                <w:spacing w:val="-6"/>
                <w:sz w:val="24"/>
                <w:szCs w:val="24"/>
              </w:rPr>
              <w:t xml:space="preserve"> </w:t>
            </w:r>
            <w:r w:rsidRPr="00C56257">
              <w:rPr>
                <w:color w:val="000000" w:themeColor="text1"/>
                <w:sz w:val="24"/>
                <w:szCs w:val="24"/>
              </w:rPr>
              <w:t>utilizarea</w:t>
            </w:r>
            <w:r w:rsidRPr="00C56257">
              <w:rPr>
                <w:color w:val="000000" w:themeColor="text1"/>
                <w:spacing w:val="-5"/>
                <w:sz w:val="24"/>
                <w:szCs w:val="24"/>
              </w:rPr>
              <w:t xml:space="preserve"> </w:t>
            </w:r>
            <w:r w:rsidRPr="00C56257">
              <w:rPr>
                <w:color w:val="000000" w:themeColor="text1"/>
                <w:sz w:val="24"/>
                <w:szCs w:val="24"/>
              </w:rPr>
              <w:t>regenerării</w:t>
            </w:r>
            <w:r w:rsidRPr="00C56257">
              <w:rPr>
                <w:color w:val="000000" w:themeColor="text1"/>
                <w:spacing w:val="-52"/>
                <w:sz w:val="24"/>
                <w:szCs w:val="24"/>
              </w:rPr>
              <w:t xml:space="preserve"> </w:t>
            </w:r>
            <w:r w:rsidRPr="00C56257">
              <w:rPr>
                <w:color w:val="000000" w:themeColor="text1"/>
                <w:sz w:val="24"/>
                <w:szCs w:val="24"/>
              </w:rPr>
              <w:t>naturale</w:t>
            </w:r>
            <w:r w:rsidRPr="00C56257">
              <w:rPr>
                <w:color w:val="000000" w:themeColor="text1"/>
                <w:spacing w:val="-1"/>
                <w:sz w:val="24"/>
                <w:szCs w:val="24"/>
              </w:rPr>
              <w:t xml:space="preserve"> </w:t>
            </w:r>
            <w:r w:rsidRPr="00C56257">
              <w:rPr>
                <w:color w:val="000000" w:themeColor="text1"/>
                <w:sz w:val="24"/>
                <w:szCs w:val="24"/>
              </w:rPr>
              <w:t>sau a</w:t>
            </w:r>
            <w:r w:rsidRPr="00C56257">
              <w:rPr>
                <w:color w:val="000000" w:themeColor="text1"/>
                <w:spacing w:val="-2"/>
                <w:sz w:val="24"/>
                <w:szCs w:val="24"/>
              </w:rPr>
              <w:t xml:space="preserve"> </w:t>
            </w:r>
            <w:r w:rsidRPr="00C56257">
              <w:rPr>
                <w:color w:val="000000" w:themeColor="text1"/>
                <w:sz w:val="24"/>
                <w:szCs w:val="24"/>
              </w:rPr>
              <w:t>focului.</w:t>
            </w:r>
          </w:p>
        </w:tc>
        <w:tc>
          <w:tcPr>
            <w:tcW w:w="1890" w:type="dxa"/>
          </w:tcPr>
          <w:p w14:paraId="58626C09" w14:textId="77777777" w:rsidR="0030520C" w:rsidRPr="00C56257" w:rsidRDefault="0030520C" w:rsidP="008E33FD">
            <w:pPr>
              <w:pStyle w:val="TableParagraph"/>
              <w:jc w:val="both"/>
              <w:rPr>
                <w:color w:val="000000" w:themeColor="text1"/>
                <w:sz w:val="24"/>
                <w:szCs w:val="24"/>
              </w:rPr>
            </w:pPr>
          </w:p>
        </w:tc>
      </w:tr>
      <w:tr w:rsidR="0030520C" w:rsidRPr="00C56257" w14:paraId="09764311" w14:textId="77777777" w:rsidTr="0009599D">
        <w:trPr>
          <w:trHeight w:val="613"/>
        </w:trPr>
        <w:tc>
          <w:tcPr>
            <w:tcW w:w="648" w:type="dxa"/>
          </w:tcPr>
          <w:p w14:paraId="2E77EF37" w14:textId="77777777" w:rsidR="0030520C" w:rsidRPr="00C56257" w:rsidRDefault="0030520C" w:rsidP="008E33FD">
            <w:pPr>
              <w:pStyle w:val="TableParagraph"/>
              <w:spacing w:line="249" w:lineRule="exact"/>
              <w:ind w:right="2"/>
              <w:jc w:val="both"/>
              <w:rPr>
                <w:color w:val="000000" w:themeColor="text1"/>
                <w:sz w:val="24"/>
                <w:szCs w:val="24"/>
              </w:rPr>
            </w:pPr>
            <w:r w:rsidRPr="00C56257">
              <w:rPr>
                <w:color w:val="000000" w:themeColor="text1"/>
                <w:sz w:val="24"/>
                <w:szCs w:val="24"/>
              </w:rPr>
              <w:t>4.</w:t>
            </w:r>
          </w:p>
        </w:tc>
        <w:tc>
          <w:tcPr>
            <w:tcW w:w="811" w:type="dxa"/>
          </w:tcPr>
          <w:p w14:paraId="4A20DD68" w14:textId="77777777" w:rsidR="0030520C" w:rsidRPr="00C56257" w:rsidRDefault="0030520C" w:rsidP="008E33FD">
            <w:pPr>
              <w:pStyle w:val="TableParagraph"/>
              <w:jc w:val="both"/>
              <w:rPr>
                <w:color w:val="000000" w:themeColor="text1"/>
                <w:sz w:val="24"/>
                <w:szCs w:val="24"/>
              </w:rPr>
            </w:pPr>
          </w:p>
          <w:p w14:paraId="69DAC31C" w14:textId="77777777" w:rsidR="0030520C" w:rsidRPr="00C56257" w:rsidRDefault="0030520C" w:rsidP="008E33FD">
            <w:pPr>
              <w:pStyle w:val="TableParagraph"/>
              <w:jc w:val="both"/>
              <w:rPr>
                <w:color w:val="000000" w:themeColor="text1"/>
                <w:sz w:val="24"/>
                <w:szCs w:val="24"/>
              </w:rPr>
            </w:pPr>
          </w:p>
          <w:p w14:paraId="087BEB55" w14:textId="77777777" w:rsidR="0030520C" w:rsidRPr="00C56257" w:rsidRDefault="0030520C" w:rsidP="008E33FD">
            <w:pPr>
              <w:pStyle w:val="TableParagraph"/>
              <w:jc w:val="both"/>
              <w:rPr>
                <w:color w:val="000000" w:themeColor="text1"/>
                <w:sz w:val="24"/>
                <w:szCs w:val="24"/>
              </w:rPr>
            </w:pPr>
          </w:p>
          <w:p w14:paraId="14FFCD69" w14:textId="77777777" w:rsidR="0030520C" w:rsidRPr="00C56257" w:rsidRDefault="0030520C" w:rsidP="008E33FD">
            <w:pPr>
              <w:pStyle w:val="TableParagraph"/>
              <w:jc w:val="both"/>
              <w:rPr>
                <w:color w:val="000000" w:themeColor="text1"/>
                <w:sz w:val="24"/>
                <w:szCs w:val="24"/>
              </w:rPr>
            </w:pPr>
          </w:p>
          <w:p w14:paraId="3477EB18" w14:textId="77777777" w:rsidR="0030520C" w:rsidRPr="00C56257" w:rsidRDefault="0030520C" w:rsidP="008E33FD">
            <w:pPr>
              <w:pStyle w:val="TableParagraph"/>
              <w:spacing w:before="157"/>
              <w:jc w:val="both"/>
              <w:rPr>
                <w:color w:val="000000" w:themeColor="text1"/>
                <w:sz w:val="24"/>
                <w:szCs w:val="24"/>
              </w:rPr>
            </w:pPr>
            <w:r w:rsidRPr="00C56257">
              <w:rPr>
                <w:color w:val="000000" w:themeColor="text1"/>
                <w:sz w:val="24"/>
                <w:szCs w:val="24"/>
              </w:rPr>
              <w:t>CA07</w:t>
            </w:r>
          </w:p>
        </w:tc>
        <w:tc>
          <w:tcPr>
            <w:tcW w:w="1440" w:type="dxa"/>
          </w:tcPr>
          <w:p w14:paraId="7782C92A" w14:textId="77777777" w:rsidR="0030520C" w:rsidRPr="00C56257" w:rsidRDefault="0030520C" w:rsidP="008E33FD">
            <w:pPr>
              <w:pStyle w:val="TableParagraph"/>
              <w:jc w:val="both"/>
              <w:rPr>
                <w:color w:val="000000" w:themeColor="text1"/>
                <w:sz w:val="24"/>
                <w:szCs w:val="24"/>
              </w:rPr>
            </w:pPr>
          </w:p>
          <w:p w14:paraId="6F6C3B1A" w14:textId="77777777" w:rsidR="0030520C" w:rsidRPr="00C56257" w:rsidRDefault="0030520C" w:rsidP="008E33FD">
            <w:pPr>
              <w:pStyle w:val="TableParagraph"/>
              <w:jc w:val="both"/>
              <w:rPr>
                <w:color w:val="000000" w:themeColor="text1"/>
                <w:sz w:val="24"/>
                <w:szCs w:val="24"/>
              </w:rPr>
            </w:pPr>
          </w:p>
          <w:p w14:paraId="2624558C" w14:textId="77777777" w:rsidR="0030520C" w:rsidRPr="00C56257" w:rsidRDefault="0030520C" w:rsidP="008E33FD">
            <w:pPr>
              <w:pStyle w:val="TableParagraph"/>
              <w:spacing w:before="5"/>
              <w:jc w:val="both"/>
              <w:rPr>
                <w:color w:val="000000" w:themeColor="text1"/>
                <w:sz w:val="24"/>
                <w:szCs w:val="24"/>
              </w:rPr>
            </w:pPr>
          </w:p>
          <w:p w14:paraId="5AF2B480" w14:textId="77777777" w:rsidR="0030520C" w:rsidRPr="00C56257" w:rsidRDefault="0030520C" w:rsidP="008E33FD">
            <w:pPr>
              <w:pStyle w:val="TableParagraph"/>
              <w:ind w:right="258"/>
              <w:jc w:val="both"/>
              <w:rPr>
                <w:color w:val="000000" w:themeColor="text1"/>
                <w:sz w:val="24"/>
                <w:szCs w:val="24"/>
              </w:rPr>
            </w:pPr>
            <w:r w:rsidRPr="00C56257">
              <w:rPr>
                <w:color w:val="000000" w:themeColor="text1"/>
                <w:sz w:val="24"/>
                <w:szCs w:val="24"/>
              </w:rPr>
              <w:t>Recrearea</w:t>
            </w:r>
            <w:r w:rsidRPr="00C56257">
              <w:rPr>
                <w:color w:val="000000" w:themeColor="text1"/>
                <w:spacing w:val="1"/>
                <w:sz w:val="24"/>
                <w:szCs w:val="24"/>
              </w:rPr>
              <w:t xml:space="preserve"> </w:t>
            </w:r>
            <w:r w:rsidRPr="00C56257">
              <w:rPr>
                <w:color w:val="000000" w:themeColor="text1"/>
                <w:sz w:val="24"/>
                <w:szCs w:val="24"/>
              </w:rPr>
              <w:t>habitatelor</w:t>
            </w:r>
            <w:r w:rsidRPr="00C56257">
              <w:rPr>
                <w:color w:val="000000" w:themeColor="text1"/>
                <w:spacing w:val="1"/>
                <w:sz w:val="24"/>
                <w:szCs w:val="24"/>
              </w:rPr>
              <w:t xml:space="preserve"> </w:t>
            </w:r>
            <w:r w:rsidRPr="00C56257">
              <w:rPr>
                <w:color w:val="000000" w:themeColor="text1"/>
                <w:sz w:val="24"/>
                <w:szCs w:val="24"/>
              </w:rPr>
              <w:t>agricole din</w:t>
            </w:r>
            <w:r w:rsidRPr="00C56257">
              <w:rPr>
                <w:color w:val="000000" w:themeColor="text1"/>
                <w:spacing w:val="-52"/>
                <w:sz w:val="24"/>
                <w:szCs w:val="24"/>
              </w:rPr>
              <w:t xml:space="preserve"> </w:t>
            </w:r>
            <w:r w:rsidRPr="00C56257">
              <w:rPr>
                <w:color w:val="000000" w:themeColor="text1"/>
                <w:sz w:val="24"/>
                <w:szCs w:val="24"/>
              </w:rPr>
              <w:t>Anexa I</w:t>
            </w:r>
          </w:p>
        </w:tc>
        <w:tc>
          <w:tcPr>
            <w:tcW w:w="4999" w:type="dxa"/>
          </w:tcPr>
          <w:p w14:paraId="2C0367C5" w14:textId="77777777" w:rsidR="0030520C" w:rsidRPr="00C56257" w:rsidRDefault="0030520C" w:rsidP="008E33FD">
            <w:pPr>
              <w:pStyle w:val="TableParagraph"/>
              <w:ind w:left="108" w:right="215"/>
              <w:jc w:val="both"/>
              <w:rPr>
                <w:color w:val="000000" w:themeColor="text1"/>
                <w:sz w:val="24"/>
                <w:szCs w:val="24"/>
              </w:rPr>
            </w:pPr>
            <w:r w:rsidRPr="00C56257">
              <w:rPr>
                <w:color w:val="000000" w:themeColor="text1"/>
                <w:sz w:val="24"/>
                <w:szCs w:val="24"/>
              </w:rPr>
              <w:t>Terenul care a fost folosit anterior pentru</w:t>
            </w:r>
            <w:r w:rsidRPr="00C56257">
              <w:rPr>
                <w:color w:val="000000" w:themeColor="text1"/>
                <w:spacing w:val="1"/>
                <w:sz w:val="24"/>
                <w:szCs w:val="24"/>
              </w:rPr>
              <w:t xml:space="preserve"> </w:t>
            </w:r>
            <w:r w:rsidRPr="00C56257">
              <w:rPr>
                <w:color w:val="000000" w:themeColor="text1"/>
                <w:sz w:val="24"/>
                <w:szCs w:val="24"/>
              </w:rPr>
              <w:t>agricultură (de ex. teren arabil) ori pentru</w:t>
            </w:r>
            <w:r w:rsidRPr="00C56257">
              <w:rPr>
                <w:color w:val="000000" w:themeColor="text1"/>
                <w:spacing w:val="1"/>
                <w:sz w:val="24"/>
                <w:szCs w:val="24"/>
              </w:rPr>
              <w:t xml:space="preserve"> </w:t>
            </w:r>
            <w:r w:rsidRPr="00C56257">
              <w:rPr>
                <w:color w:val="000000" w:themeColor="text1"/>
                <w:sz w:val="24"/>
                <w:szCs w:val="24"/>
              </w:rPr>
              <w:t>silvicultură (de exemplu, plantație</w:t>
            </w:r>
            <w:r w:rsidRPr="00C56257">
              <w:rPr>
                <w:color w:val="000000" w:themeColor="text1"/>
                <w:spacing w:val="1"/>
                <w:sz w:val="24"/>
                <w:szCs w:val="24"/>
              </w:rPr>
              <w:t xml:space="preserve"> </w:t>
            </w:r>
            <w:r w:rsidRPr="00C56257">
              <w:rPr>
                <w:color w:val="000000" w:themeColor="text1"/>
                <w:sz w:val="24"/>
                <w:szCs w:val="24"/>
              </w:rPr>
              <w:t>populară/industrială) să fie destinat unei alte</w:t>
            </w:r>
            <w:r w:rsidRPr="00C56257">
              <w:rPr>
                <w:color w:val="000000" w:themeColor="text1"/>
                <w:spacing w:val="-52"/>
                <w:sz w:val="24"/>
                <w:szCs w:val="24"/>
              </w:rPr>
              <w:t xml:space="preserve"> </w:t>
            </w:r>
            <w:r w:rsidRPr="00C56257">
              <w:rPr>
                <w:color w:val="000000" w:themeColor="text1"/>
                <w:sz w:val="24"/>
                <w:szCs w:val="24"/>
              </w:rPr>
              <w:t>utilizări; (re) crearea / restaurarea ca tip de</w:t>
            </w:r>
            <w:r w:rsidRPr="00C56257">
              <w:rPr>
                <w:color w:val="000000" w:themeColor="text1"/>
                <w:spacing w:val="1"/>
                <w:sz w:val="24"/>
                <w:szCs w:val="24"/>
              </w:rPr>
              <w:t xml:space="preserve"> </w:t>
            </w:r>
            <w:r w:rsidRPr="00C56257">
              <w:rPr>
                <w:color w:val="000000" w:themeColor="text1"/>
                <w:sz w:val="24"/>
                <w:szCs w:val="24"/>
              </w:rPr>
              <w:t>habitat agricol din Anexa I. Măsura include,</w:t>
            </w:r>
            <w:r w:rsidRPr="00C56257">
              <w:rPr>
                <w:color w:val="000000" w:themeColor="text1"/>
                <w:spacing w:val="-52"/>
                <w:sz w:val="24"/>
                <w:szCs w:val="24"/>
              </w:rPr>
              <w:t xml:space="preserve"> </w:t>
            </w:r>
            <w:r w:rsidRPr="00C56257">
              <w:rPr>
                <w:color w:val="000000" w:themeColor="text1"/>
                <w:sz w:val="24"/>
                <w:szCs w:val="24"/>
              </w:rPr>
              <w:t>de</w:t>
            </w:r>
            <w:r w:rsidRPr="00C56257">
              <w:rPr>
                <w:color w:val="000000" w:themeColor="text1"/>
                <w:spacing w:val="-2"/>
                <w:sz w:val="24"/>
                <w:szCs w:val="24"/>
              </w:rPr>
              <w:t xml:space="preserve"> </w:t>
            </w:r>
            <w:r w:rsidRPr="00C56257">
              <w:rPr>
                <w:color w:val="000000" w:themeColor="text1"/>
                <w:sz w:val="24"/>
                <w:szCs w:val="24"/>
              </w:rPr>
              <w:t>exemplu,</w:t>
            </w:r>
            <w:r w:rsidRPr="00C56257">
              <w:rPr>
                <w:color w:val="000000" w:themeColor="text1"/>
                <w:spacing w:val="-4"/>
                <w:sz w:val="24"/>
                <w:szCs w:val="24"/>
              </w:rPr>
              <w:t xml:space="preserve"> </w:t>
            </w:r>
            <w:r w:rsidRPr="00C56257">
              <w:rPr>
                <w:color w:val="000000" w:themeColor="text1"/>
                <w:sz w:val="24"/>
                <w:szCs w:val="24"/>
              </w:rPr>
              <w:t>recrearea</w:t>
            </w:r>
            <w:r w:rsidRPr="00C56257">
              <w:rPr>
                <w:color w:val="000000" w:themeColor="text1"/>
                <w:spacing w:val="-3"/>
                <w:sz w:val="24"/>
                <w:szCs w:val="24"/>
              </w:rPr>
              <w:t xml:space="preserve"> </w:t>
            </w:r>
            <w:r w:rsidRPr="00C56257">
              <w:rPr>
                <w:color w:val="000000" w:themeColor="text1"/>
                <w:sz w:val="24"/>
                <w:szCs w:val="24"/>
              </w:rPr>
              <w:t>unei</w:t>
            </w:r>
            <w:r w:rsidRPr="00C56257">
              <w:rPr>
                <w:color w:val="000000" w:themeColor="text1"/>
                <w:spacing w:val="-3"/>
                <w:sz w:val="24"/>
                <w:szCs w:val="24"/>
              </w:rPr>
              <w:t xml:space="preserve"> </w:t>
            </w:r>
            <w:r w:rsidRPr="00C56257">
              <w:rPr>
                <w:color w:val="000000" w:themeColor="text1"/>
                <w:sz w:val="24"/>
                <w:szCs w:val="24"/>
              </w:rPr>
              <w:t>pajiști</w:t>
            </w:r>
            <w:r w:rsidRPr="00C56257">
              <w:rPr>
                <w:color w:val="000000" w:themeColor="text1"/>
                <w:spacing w:val="-1"/>
                <w:sz w:val="24"/>
                <w:szCs w:val="24"/>
              </w:rPr>
              <w:t xml:space="preserve"> </w:t>
            </w:r>
            <w:r w:rsidRPr="00C56257">
              <w:rPr>
                <w:color w:val="000000" w:themeColor="text1"/>
                <w:sz w:val="24"/>
                <w:szCs w:val="24"/>
              </w:rPr>
              <w:t>din</w:t>
            </w:r>
            <w:r w:rsidRPr="00C56257">
              <w:rPr>
                <w:color w:val="000000" w:themeColor="text1"/>
                <w:spacing w:val="-1"/>
                <w:sz w:val="24"/>
                <w:szCs w:val="24"/>
              </w:rPr>
              <w:t xml:space="preserve"> </w:t>
            </w:r>
            <w:r w:rsidRPr="00C56257">
              <w:rPr>
                <w:color w:val="000000" w:themeColor="text1"/>
                <w:sz w:val="24"/>
                <w:szCs w:val="24"/>
              </w:rPr>
              <w:t>Anexa</w:t>
            </w:r>
            <w:r w:rsidRPr="00C56257">
              <w:rPr>
                <w:color w:val="000000" w:themeColor="text1"/>
                <w:spacing w:val="-52"/>
                <w:sz w:val="24"/>
                <w:szCs w:val="24"/>
              </w:rPr>
              <w:t xml:space="preserve"> </w:t>
            </w:r>
            <w:r w:rsidRPr="00C56257">
              <w:rPr>
                <w:color w:val="000000" w:themeColor="text1"/>
                <w:sz w:val="24"/>
                <w:szCs w:val="24"/>
              </w:rPr>
              <w:t>I dintr-o plantație forestieră. Acesta este un</w:t>
            </w:r>
            <w:r w:rsidRPr="00C56257">
              <w:rPr>
                <w:color w:val="000000" w:themeColor="text1"/>
                <w:spacing w:val="1"/>
                <w:sz w:val="24"/>
                <w:szCs w:val="24"/>
              </w:rPr>
              <w:t xml:space="preserve"> </w:t>
            </w:r>
            <w:r w:rsidRPr="00C56257">
              <w:rPr>
                <w:color w:val="000000" w:themeColor="text1"/>
                <w:sz w:val="24"/>
                <w:szCs w:val="24"/>
              </w:rPr>
              <w:t>proces care ar putea dura mult timp pentru a</w:t>
            </w:r>
            <w:r w:rsidRPr="00C56257">
              <w:rPr>
                <w:color w:val="000000" w:themeColor="text1"/>
                <w:spacing w:val="-52"/>
                <w:sz w:val="24"/>
                <w:szCs w:val="24"/>
              </w:rPr>
              <w:t xml:space="preserve"> </w:t>
            </w:r>
            <w:r w:rsidRPr="00C56257">
              <w:rPr>
                <w:color w:val="000000" w:themeColor="text1"/>
                <w:sz w:val="24"/>
                <w:szCs w:val="24"/>
              </w:rPr>
              <w:t>fi</w:t>
            </w:r>
            <w:r w:rsidRPr="00C56257">
              <w:rPr>
                <w:color w:val="000000" w:themeColor="text1"/>
                <w:spacing w:val="-4"/>
                <w:sz w:val="24"/>
                <w:szCs w:val="24"/>
              </w:rPr>
              <w:t xml:space="preserve"> </w:t>
            </w:r>
            <w:r w:rsidRPr="00C56257">
              <w:rPr>
                <w:color w:val="000000" w:themeColor="text1"/>
                <w:sz w:val="24"/>
                <w:szCs w:val="24"/>
              </w:rPr>
              <w:t>restabilite</w:t>
            </w:r>
            <w:r w:rsidRPr="00C56257">
              <w:rPr>
                <w:color w:val="000000" w:themeColor="text1"/>
                <w:spacing w:val="-1"/>
                <w:sz w:val="24"/>
                <w:szCs w:val="24"/>
              </w:rPr>
              <w:t xml:space="preserve"> </w:t>
            </w:r>
            <w:r w:rsidRPr="00C56257">
              <w:rPr>
                <w:color w:val="000000" w:themeColor="text1"/>
                <w:sz w:val="24"/>
                <w:szCs w:val="24"/>
              </w:rPr>
              <w:t>pe</w:t>
            </w:r>
            <w:r w:rsidRPr="00C56257">
              <w:rPr>
                <w:color w:val="000000" w:themeColor="text1"/>
                <w:spacing w:val="-1"/>
                <w:sz w:val="24"/>
                <w:szCs w:val="24"/>
              </w:rPr>
              <w:t xml:space="preserve"> </w:t>
            </w:r>
            <w:r w:rsidRPr="00C56257">
              <w:rPr>
                <w:color w:val="000000" w:themeColor="text1"/>
                <w:sz w:val="24"/>
                <w:szCs w:val="24"/>
              </w:rPr>
              <w:t>deplin</w:t>
            </w:r>
            <w:r w:rsidRPr="00C56257">
              <w:rPr>
                <w:color w:val="000000" w:themeColor="text1"/>
                <w:spacing w:val="-5"/>
                <w:sz w:val="24"/>
                <w:szCs w:val="24"/>
              </w:rPr>
              <w:t xml:space="preserve"> </w:t>
            </w:r>
            <w:r w:rsidRPr="00C56257">
              <w:rPr>
                <w:color w:val="000000" w:themeColor="text1"/>
                <w:sz w:val="24"/>
                <w:szCs w:val="24"/>
              </w:rPr>
              <w:t>structura</w:t>
            </w:r>
            <w:r w:rsidRPr="00C56257">
              <w:rPr>
                <w:color w:val="000000" w:themeColor="text1"/>
                <w:spacing w:val="-3"/>
                <w:sz w:val="24"/>
                <w:szCs w:val="24"/>
              </w:rPr>
              <w:t xml:space="preserve"> </w:t>
            </w:r>
            <w:r w:rsidRPr="00C56257">
              <w:rPr>
                <w:color w:val="000000" w:themeColor="text1"/>
                <w:sz w:val="24"/>
                <w:szCs w:val="24"/>
              </w:rPr>
              <w:t>și</w:t>
            </w:r>
            <w:r w:rsidRPr="00C56257">
              <w:rPr>
                <w:color w:val="000000" w:themeColor="text1"/>
                <w:spacing w:val="-2"/>
                <w:sz w:val="24"/>
                <w:szCs w:val="24"/>
              </w:rPr>
              <w:t xml:space="preserve"> </w:t>
            </w:r>
            <w:r w:rsidRPr="00C56257">
              <w:rPr>
                <w:color w:val="000000" w:themeColor="text1"/>
                <w:sz w:val="24"/>
                <w:szCs w:val="24"/>
              </w:rPr>
              <w:t>funcțiile</w:t>
            </w:r>
          </w:p>
          <w:p w14:paraId="19B0BF2B" w14:textId="77777777" w:rsidR="0030520C" w:rsidRPr="00C56257" w:rsidRDefault="0030520C" w:rsidP="008E33FD">
            <w:pPr>
              <w:pStyle w:val="TableParagraph"/>
              <w:spacing w:line="238" w:lineRule="exact"/>
              <w:ind w:left="108"/>
              <w:jc w:val="both"/>
              <w:rPr>
                <w:color w:val="000000" w:themeColor="text1"/>
                <w:sz w:val="24"/>
                <w:szCs w:val="24"/>
              </w:rPr>
            </w:pPr>
            <w:r w:rsidRPr="00C56257">
              <w:rPr>
                <w:color w:val="000000" w:themeColor="text1"/>
                <w:sz w:val="24"/>
                <w:szCs w:val="24"/>
              </w:rPr>
              <w:t>habitatelor.</w:t>
            </w:r>
          </w:p>
        </w:tc>
        <w:tc>
          <w:tcPr>
            <w:tcW w:w="1890" w:type="dxa"/>
          </w:tcPr>
          <w:p w14:paraId="2CA29CDA" w14:textId="77777777" w:rsidR="0030520C" w:rsidRPr="00C56257" w:rsidRDefault="0030520C" w:rsidP="008E33FD">
            <w:pPr>
              <w:pStyle w:val="TableParagraph"/>
              <w:jc w:val="both"/>
              <w:rPr>
                <w:color w:val="000000" w:themeColor="text1"/>
                <w:sz w:val="24"/>
                <w:szCs w:val="24"/>
              </w:rPr>
            </w:pPr>
          </w:p>
          <w:p w14:paraId="756834ED" w14:textId="77777777" w:rsidR="0030520C" w:rsidRPr="00C56257" w:rsidRDefault="0030520C" w:rsidP="008E33FD">
            <w:pPr>
              <w:pStyle w:val="TableParagraph"/>
              <w:jc w:val="both"/>
              <w:rPr>
                <w:color w:val="000000" w:themeColor="text1"/>
                <w:sz w:val="24"/>
                <w:szCs w:val="24"/>
              </w:rPr>
            </w:pPr>
          </w:p>
          <w:p w14:paraId="39C37138" w14:textId="77777777" w:rsidR="0030520C" w:rsidRPr="00C56257" w:rsidRDefault="0030520C" w:rsidP="008E33FD">
            <w:pPr>
              <w:pStyle w:val="TableParagraph"/>
              <w:spacing w:before="5"/>
              <w:jc w:val="both"/>
              <w:rPr>
                <w:color w:val="000000" w:themeColor="text1"/>
                <w:sz w:val="24"/>
                <w:szCs w:val="24"/>
              </w:rPr>
            </w:pPr>
          </w:p>
          <w:p w14:paraId="19DB3468" w14:textId="77777777" w:rsidR="0030520C" w:rsidRPr="00C56257" w:rsidRDefault="0030520C" w:rsidP="008E33FD">
            <w:pPr>
              <w:pStyle w:val="TableParagraph"/>
              <w:ind w:left="109" w:right="404"/>
              <w:jc w:val="both"/>
              <w:rPr>
                <w:color w:val="000000" w:themeColor="text1"/>
                <w:sz w:val="24"/>
                <w:szCs w:val="24"/>
              </w:rPr>
            </w:pPr>
            <w:r w:rsidRPr="00C56257">
              <w:rPr>
                <w:color w:val="000000" w:themeColor="text1"/>
                <w:sz w:val="24"/>
                <w:szCs w:val="24"/>
              </w:rPr>
              <w:t>A02, B01,</w:t>
            </w:r>
            <w:r w:rsidRPr="00C56257">
              <w:rPr>
                <w:color w:val="000000" w:themeColor="text1"/>
                <w:spacing w:val="-52"/>
                <w:sz w:val="24"/>
                <w:szCs w:val="24"/>
              </w:rPr>
              <w:t xml:space="preserve"> </w:t>
            </w:r>
            <w:r w:rsidRPr="00C56257">
              <w:rPr>
                <w:color w:val="000000" w:themeColor="text1"/>
                <w:sz w:val="24"/>
                <w:szCs w:val="24"/>
              </w:rPr>
              <w:t>C05, D01,</w:t>
            </w:r>
            <w:r w:rsidRPr="00C56257">
              <w:rPr>
                <w:color w:val="000000" w:themeColor="text1"/>
                <w:spacing w:val="-52"/>
                <w:sz w:val="24"/>
                <w:szCs w:val="24"/>
              </w:rPr>
              <w:t xml:space="preserve"> </w:t>
            </w:r>
            <w:r w:rsidRPr="00C56257">
              <w:rPr>
                <w:color w:val="000000" w:themeColor="text1"/>
                <w:sz w:val="24"/>
                <w:szCs w:val="24"/>
              </w:rPr>
              <w:t>D03, F01,</w:t>
            </w:r>
            <w:r w:rsidRPr="00C56257">
              <w:rPr>
                <w:color w:val="000000" w:themeColor="text1"/>
                <w:spacing w:val="-52"/>
                <w:sz w:val="24"/>
                <w:szCs w:val="24"/>
              </w:rPr>
              <w:t xml:space="preserve"> </w:t>
            </w:r>
            <w:r w:rsidRPr="00C56257">
              <w:rPr>
                <w:color w:val="000000" w:themeColor="text1"/>
                <w:sz w:val="24"/>
                <w:szCs w:val="24"/>
              </w:rPr>
              <w:t>F03, F05</w:t>
            </w:r>
          </w:p>
        </w:tc>
      </w:tr>
      <w:tr w:rsidR="0030520C" w:rsidRPr="00C56257" w14:paraId="5A12432E" w14:textId="77777777" w:rsidTr="0009599D">
        <w:trPr>
          <w:trHeight w:val="3542"/>
        </w:trPr>
        <w:tc>
          <w:tcPr>
            <w:tcW w:w="648" w:type="dxa"/>
          </w:tcPr>
          <w:p w14:paraId="18F78904" w14:textId="77777777" w:rsidR="0030520C" w:rsidRPr="00C56257" w:rsidRDefault="0030520C" w:rsidP="008E33FD">
            <w:pPr>
              <w:pStyle w:val="TableParagraph"/>
              <w:spacing w:line="247" w:lineRule="exact"/>
              <w:ind w:right="2"/>
              <w:jc w:val="both"/>
              <w:rPr>
                <w:color w:val="000000" w:themeColor="text1"/>
                <w:sz w:val="24"/>
                <w:szCs w:val="24"/>
              </w:rPr>
            </w:pPr>
            <w:r w:rsidRPr="00C56257">
              <w:rPr>
                <w:color w:val="000000" w:themeColor="text1"/>
                <w:sz w:val="24"/>
                <w:szCs w:val="24"/>
              </w:rPr>
              <w:t>5.</w:t>
            </w:r>
          </w:p>
        </w:tc>
        <w:tc>
          <w:tcPr>
            <w:tcW w:w="811" w:type="dxa"/>
          </w:tcPr>
          <w:p w14:paraId="6B502DE0" w14:textId="77777777" w:rsidR="0030520C" w:rsidRPr="00C56257" w:rsidRDefault="0030520C" w:rsidP="008E33FD">
            <w:pPr>
              <w:pStyle w:val="TableParagraph"/>
              <w:jc w:val="both"/>
              <w:rPr>
                <w:color w:val="000000" w:themeColor="text1"/>
                <w:sz w:val="24"/>
                <w:szCs w:val="24"/>
              </w:rPr>
            </w:pPr>
          </w:p>
          <w:p w14:paraId="7DFCD8E4" w14:textId="77777777" w:rsidR="0030520C" w:rsidRPr="00C56257" w:rsidRDefault="0030520C" w:rsidP="008E33FD">
            <w:pPr>
              <w:pStyle w:val="TableParagraph"/>
              <w:jc w:val="both"/>
              <w:rPr>
                <w:color w:val="000000" w:themeColor="text1"/>
                <w:sz w:val="24"/>
                <w:szCs w:val="24"/>
              </w:rPr>
            </w:pPr>
          </w:p>
          <w:p w14:paraId="6819A008" w14:textId="77777777" w:rsidR="0030520C" w:rsidRPr="00C56257" w:rsidRDefault="0030520C" w:rsidP="008E33FD">
            <w:pPr>
              <w:pStyle w:val="TableParagraph"/>
              <w:jc w:val="both"/>
              <w:rPr>
                <w:color w:val="000000" w:themeColor="text1"/>
                <w:sz w:val="24"/>
                <w:szCs w:val="24"/>
              </w:rPr>
            </w:pPr>
          </w:p>
          <w:p w14:paraId="3A1D40D4" w14:textId="77777777" w:rsidR="0030520C" w:rsidRPr="00C56257" w:rsidRDefault="0030520C" w:rsidP="008E33FD">
            <w:pPr>
              <w:pStyle w:val="TableParagraph"/>
              <w:jc w:val="both"/>
              <w:rPr>
                <w:color w:val="000000" w:themeColor="text1"/>
                <w:sz w:val="24"/>
                <w:szCs w:val="24"/>
              </w:rPr>
            </w:pPr>
          </w:p>
          <w:p w14:paraId="0F4CCA67" w14:textId="77777777" w:rsidR="0030520C" w:rsidRPr="00C56257" w:rsidRDefault="0030520C" w:rsidP="008E33FD">
            <w:pPr>
              <w:pStyle w:val="TableParagraph"/>
              <w:jc w:val="both"/>
              <w:rPr>
                <w:color w:val="000000" w:themeColor="text1"/>
                <w:sz w:val="24"/>
                <w:szCs w:val="24"/>
              </w:rPr>
            </w:pPr>
          </w:p>
          <w:p w14:paraId="0FFD8C8A" w14:textId="77777777" w:rsidR="0030520C" w:rsidRPr="00C56257" w:rsidRDefault="0030520C" w:rsidP="008E33FD">
            <w:pPr>
              <w:pStyle w:val="TableParagraph"/>
              <w:spacing w:before="4"/>
              <w:jc w:val="both"/>
              <w:rPr>
                <w:color w:val="000000" w:themeColor="text1"/>
                <w:sz w:val="24"/>
                <w:szCs w:val="24"/>
              </w:rPr>
            </w:pPr>
          </w:p>
          <w:p w14:paraId="0D0549AD" w14:textId="77777777" w:rsidR="0030520C" w:rsidRPr="00C56257" w:rsidRDefault="0030520C" w:rsidP="008E33FD">
            <w:pPr>
              <w:pStyle w:val="TableParagraph"/>
              <w:jc w:val="both"/>
              <w:rPr>
                <w:color w:val="000000" w:themeColor="text1"/>
                <w:sz w:val="24"/>
                <w:szCs w:val="24"/>
              </w:rPr>
            </w:pPr>
            <w:r w:rsidRPr="00C56257">
              <w:rPr>
                <w:color w:val="000000" w:themeColor="text1"/>
                <w:sz w:val="24"/>
                <w:szCs w:val="24"/>
              </w:rPr>
              <w:t>CC03</w:t>
            </w:r>
          </w:p>
        </w:tc>
        <w:tc>
          <w:tcPr>
            <w:tcW w:w="1440" w:type="dxa"/>
          </w:tcPr>
          <w:p w14:paraId="1EE82686" w14:textId="77777777" w:rsidR="0030520C" w:rsidRPr="00C56257" w:rsidRDefault="0030520C" w:rsidP="008E33FD">
            <w:pPr>
              <w:pStyle w:val="TableParagraph"/>
              <w:spacing w:before="4"/>
              <w:jc w:val="both"/>
              <w:rPr>
                <w:color w:val="000000" w:themeColor="text1"/>
                <w:sz w:val="24"/>
                <w:szCs w:val="24"/>
              </w:rPr>
            </w:pPr>
          </w:p>
          <w:p w14:paraId="4B1AB0C1" w14:textId="77777777" w:rsidR="0030520C" w:rsidRPr="00C56257" w:rsidRDefault="0030520C" w:rsidP="008E33FD">
            <w:pPr>
              <w:pStyle w:val="TableParagraph"/>
              <w:spacing w:before="1"/>
              <w:ind w:right="130"/>
              <w:jc w:val="both"/>
              <w:rPr>
                <w:color w:val="000000" w:themeColor="text1"/>
                <w:sz w:val="24"/>
                <w:szCs w:val="24"/>
              </w:rPr>
            </w:pPr>
            <w:r w:rsidRPr="00C56257">
              <w:rPr>
                <w:color w:val="000000" w:themeColor="text1"/>
                <w:sz w:val="24"/>
                <w:szCs w:val="24"/>
              </w:rPr>
              <w:t>Adaptarea/ge</w:t>
            </w:r>
            <w:r w:rsidRPr="00C56257">
              <w:rPr>
                <w:color w:val="000000" w:themeColor="text1"/>
                <w:spacing w:val="-52"/>
                <w:sz w:val="24"/>
                <w:szCs w:val="24"/>
              </w:rPr>
              <w:t xml:space="preserve"> </w:t>
            </w:r>
            <w:r w:rsidRPr="00C56257">
              <w:rPr>
                <w:color w:val="000000" w:themeColor="text1"/>
                <w:sz w:val="24"/>
                <w:szCs w:val="24"/>
              </w:rPr>
              <w:t>stionarea</w:t>
            </w:r>
            <w:r w:rsidRPr="00C56257">
              <w:rPr>
                <w:color w:val="000000" w:themeColor="text1"/>
                <w:spacing w:val="1"/>
                <w:sz w:val="24"/>
                <w:szCs w:val="24"/>
              </w:rPr>
              <w:t xml:space="preserve"> </w:t>
            </w:r>
            <w:r w:rsidRPr="00C56257">
              <w:rPr>
                <w:color w:val="000000" w:themeColor="text1"/>
                <w:sz w:val="24"/>
                <w:szCs w:val="24"/>
              </w:rPr>
              <w:t>producerii de</w:t>
            </w:r>
            <w:r w:rsidRPr="00C56257">
              <w:rPr>
                <w:color w:val="000000" w:themeColor="text1"/>
                <w:spacing w:val="-52"/>
                <w:sz w:val="24"/>
                <w:szCs w:val="24"/>
              </w:rPr>
              <w:t xml:space="preserve"> </w:t>
            </w:r>
            <w:r w:rsidRPr="00C56257">
              <w:rPr>
                <w:color w:val="000000" w:themeColor="text1"/>
                <w:sz w:val="24"/>
                <w:szCs w:val="24"/>
              </w:rPr>
              <w:t>energie</w:t>
            </w:r>
            <w:r w:rsidRPr="00C56257">
              <w:rPr>
                <w:color w:val="000000" w:themeColor="text1"/>
                <w:spacing w:val="1"/>
                <w:sz w:val="24"/>
                <w:szCs w:val="24"/>
              </w:rPr>
              <w:t xml:space="preserve"> </w:t>
            </w:r>
            <w:r w:rsidRPr="00C56257">
              <w:rPr>
                <w:color w:val="000000" w:themeColor="text1"/>
                <w:sz w:val="24"/>
                <w:szCs w:val="24"/>
              </w:rPr>
              <w:t>regenerabilă,</w:t>
            </w:r>
            <w:r w:rsidRPr="00C56257">
              <w:rPr>
                <w:color w:val="000000" w:themeColor="text1"/>
                <w:spacing w:val="-52"/>
                <w:sz w:val="24"/>
                <w:szCs w:val="24"/>
              </w:rPr>
              <w:t xml:space="preserve"> </w:t>
            </w:r>
            <w:r w:rsidRPr="00C56257">
              <w:rPr>
                <w:color w:val="000000" w:themeColor="text1"/>
                <w:sz w:val="24"/>
                <w:szCs w:val="24"/>
              </w:rPr>
              <w:t>a instalațiilor</w:t>
            </w:r>
            <w:r w:rsidRPr="00C56257">
              <w:rPr>
                <w:color w:val="000000" w:themeColor="text1"/>
                <w:spacing w:val="-52"/>
                <w:sz w:val="24"/>
                <w:szCs w:val="24"/>
              </w:rPr>
              <w:t xml:space="preserve"> </w:t>
            </w:r>
            <w:r w:rsidRPr="00C56257">
              <w:rPr>
                <w:color w:val="000000" w:themeColor="text1"/>
                <w:sz w:val="24"/>
                <w:szCs w:val="24"/>
              </w:rPr>
              <w:t>și sistemului</w:t>
            </w:r>
            <w:r w:rsidRPr="00C56257">
              <w:rPr>
                <w:color w:val="000000" w:themeColor="text1"/>
                <w:spacing w:val="1"/>
                <w:sz w:val="24"/>
                <w:szCs w:val="24"/>
              </w:rPr>
              <w:t xml:space="preserve"> </w:t>
            </w:r>
            <w:r w:rsidRPr="00C56257">
              <w:rPr>
                <w:color w:val="000000" w:themeColor="text1"/>
                <w:sz w:val="24"/>
                <w:szCs w:val="24"/>
              </w:rPr>
              <w:t>de</w:t>
            </w:r>
            <w:r w:rsidRPr="00C56257">
              <w:rPr>
                <w:color w:val="000000" w:themeColor="text1"/>
                <w:spacing w:val="1"/>
                <w:sz w:val="24"/>
                <w:szCs w:val="24"/>
              </w:rPr>
              <w:t xml:space="preserve"> </w:t>
            </w:r>
            <w:r w:rsidRPr="00C56257">
              <w:rPr>
                <w:color w:val="000000" w:themeColor="text1"/>
                <w:sz w:val="24"/>
                <w:szCs w:val="24"/>
              </w:rPr>
              <w:t>funcționare a</w:t>
            </w:r>
            <w:r w:rsidRPr="00C56257">
              <w:rPr>
                <w:color w:val="000000" w:themeColor="text1"/>
                <w:spacing w:val="-52"/>
                <w:sz w:val="24"/>
                <w:szCs w:val="24"/>
              </w:rPr>
              <w:t xml:space="preserve"> </w:t>
            </w:r>
            <w:r w:rsidRPr="00C56257">
              <w:rPr>
                <w:color w:val="000000" w:themeColor="text1"/>
                <w:sz w:val="24"/>
                <w:szCs w:val="24"/>
              </w:rPr>
              <w:t>acestor</w:t>
            </w:r>
            <w:r w:rsidRPr="00C56257">
              <w:rPr>
                <w:color w:val="000000" w:themeColor="text1"/>
                <w:spacing w:val="1"/>
                <w:sz w:val="24"/>
                <w:szCs w:val="24"/>
              </w:rPr>
              <w:t xml:space="preserve"> </w:t>
            </w:r>
            <w:r w:rsidRPr="00C56257">
              <w:rPr>
                <w:color w:val="000000" w:themeColor="text1"/>
                <w:sz w:val="24"/>
                <w:szCs w:val="24"/>
              </w:rPr>
              <w:t>instalații.</w:t>
            </w:r>
          </w:p>
        </w:tc>
        <w:tc>
          <w:tcPr>
            <w:tcW w:w="4999" w:type="dxa"/>
          </w:tcPr>
          <w:p w14:paraId="59FBC04B" w14:textId="77777777" w:rsidR="0030520C" w:rsidRPr="00C56257" w:rsidRDefault="0030520C" w:rsidP="008E33FD">
            <w:pPr>
              <w:pStyle w:val="TableParagraph"/>
              <w:ind w:left="108" w:right="278"/>
              <w:jc w:val="both"/>
              <w:rPr>
                <w:color w:val="000000" w:themeColor="text1"/>
                <w:sz w:val="24"/>
                <w:szCs w:val="24"/>
              </w:rPr>
            </w:pPr>
            <w:r w:rsidRPr="00C56257">
              <w:rPr>
                <w:color w:val="000000" w:themeColor="text1"/>
                <w:sz w:val="24"/>
                <w:szCs w:val="24"/>
              </w:rPr>
              <w:t>Adaptarea</w:t>
            </w:r>
            <w:r w:rsidRPr="00C56257">
              <w:rPr>
                <w:color w:val="000000" w:themeColor="text1"/>
                <w:spacing w:val="-4"/>
                <w:sz w:val="24"/>
                <w:szCs w:val="24"/>
              </w:rPr>
              <w:t xml:space="preserve"> </w:t>
            </w:r>
            <w:r w:rsidRPr="00C56257">
              <w:rPr>
                <w:color w:val="000000" w:themeColor="text1"/>
                <w:sz w:val="24"/>
                <w:szCs w:val="24"/>
              </w:rPr>
              <w:t>și</w:t>
            </w:r>
            <w:r w:rsidRPr="00C56257">
              <w:rPr>
                <w:color w:val="000000" w:themeColor="text1"/>
                <w:spacing w:val="-1"/>
                <w:sz w:val="24"/>
                <w:szCs w:val="24"/>
              </w:rPr>
              <w:t xml:space="preserve"> </w:t>
            </w:r>
            <w:r w:rsidRPr="00C56257">
              <w:rPr>
                <w:color w:val="000000" w:themeColor="text1"/>
                <w:sz w:val="24"/>
                <w:szCs w:val="24"/>
              </w:rPr>
              <w:t>gestionarea</w:t>
            </w:r>
            <w:r w:rsidRPr="00C56257">
              <w:rPr>
                <w:color w:val="000000" w:themeColor="text1"/>
                <w:spacing w:val="-4"/>
                <w:sz w:val="24"/>
                <w:szCs w:val="24"/>
              </w:rPr>
              <w:t xml:space="preserve"> </w:t>
            </w:r>
            <w:r w:rsidRPr="00C56257">
              <w:rPr>
                <w:color w:val="000000" w:themeColor="text1"/>
                <w:sz w:val="24"/>
                <w:szCs w:val="24"/>
              </w:rPr>
              <w:t>(inclusiv</w:t>
            </w:r>
            <w:r w:rsidRPr="00C56257">
              <w:rPr>
                <w:color w:val="000000" w:themeColor="text1"/>
                <w:spacing w:val="-5"/>
                <w:sz w:val="24"/>
                <w:szCs w:val="24"/>
              </w:rPr>
              <w:t xml:space="preserve"> </w:t>
            </w:r>
            <w:r w:rsidRPr="00C56257">
              <w:rPr>
                <w:color w:val="000000" w:themeColor="text1"/>
                <w:sz w:val="24"/>
                <w:szCs w:val="24"/>
              </w:rPr>
              <w:t>oprirea</w:t>
            </w:r>
            <w:r w:rsidRPr="00C56257">
              <w:rPr>
                <w:color w:val="000000" w:themeColor="text1"/>
                <w:spacing w:val="-2"/>
                <w:sz w:val="24"/>
                <w:szCs w:val="24"/>
              </w:rPr>
              <w:t xml:space="preserve"> </w:t>
            </w:r>
            <w:r w:rsidRPr="00C56257">
              <w:rPr>
                <w:color w:val="000000" w:themeColor="text1"/>
                <w:sz w:val="24"/>
                <w:szCs w:val="24"/>
              </w:rPr>
              <w:t>și</w:t>
            </w:r>
            <w:r w:rsidRPr="00C56257">
              <w:rPr>
                <w:color w:val="000000" w:themeColor="text1"/>
                <w:spacing w:val="-52"/>
                <w:sz w:val="24"/>
                <w:szCs w:val="24"/>
              </w:rPr>
              <w:t xml:space="preserve"> </w:t>
            </w:r>
            <w:r w:rsidRPr="00C56257">
              <w:rPr>
                <w:color w:val="000000" w:themeColor="text1"/>
                <w:sz w:val="24"/>
                <w:szCs w:val="24"/>
              </w:rPr>
              <w:t>evitarea) instalării și funcționării</w:t>
            </w:r>
            <w:r w:rsidRPr="00C56257">
              <w:rPr>
                <w:color w:val="000000" w:themeColor="text1"/>
                <w:spacing w:val="1"/>
                <w:sz w:val="24"/>
                <w:szCs w:val="24"/>
              </w:rPr>
              <w:t xml:space="preserve"> </w:t>
            </w:r>
            <w:r w:rsidRPr="00C56257">
              <w:rPr>
                <w:color w:val="000000" w:themeColor="text1"/>
                <w:sz w:val="24"/>
                <w:szCs w:val="24"/>
              </w:rPr>
              <w:t>infrastructurilor de producere a energiei</w:t>
            </w:r>
            <w:r w:rsidRPr="00C56257">
              <w:rPr>
                <w:color w:val="000000" w:themeColor="text1"/>
                <w:spacing w:val="1"/>
                <w:sz w:val="24"/>
                <w:szCs w:val="24"/>
              </w:rPr>
              <w:t xml:space="preserve"> </w:t>
            </w:r>
            <w:r w:rsidRPr="00C56257">
              <w:rPr>
                <w:color w:val="000000" w:themeColor="text1"/>
                <w:sz w:val="24"/>
                <w:szCs w:val="24"/>
              </w:rPr>
              <w:t>regenerabilă</w:t>
            </w:r>
            <w:r w:rsidRPr="00C56257">
              <w:rPr>
                <w:color w:val="000000" w:themeColor="text1"/>
                <w:spacing w:val="-4"/>
                <w:sz w:val="24"/>
                <w:szCs w:val="24"/>
              </w:rPr>
              <w:t xml:space="preserve"> </w:t>
            </w:r>
            <w:r w:rsidRPr="00C56257">
              <w:rPr>
                <w:color w:val="000000" w:themeColor="text1"/>
                <w:sz w:val="24"/>
                <w:szCs w:val="24"/>
              </w:rPr>
              <w:t>(cu</w:t>
            </w:r>
            <w:r w:rsidRPr="00C56257">
              <w:rPr>
                <w:color w:val="000000" w:themeColor="text1"/>
                <w:spacing w:val="-2"/>
                <w:sz w:val="24"/>
                <w:szCs w:val="24"/>
              </w:rPr>
              <w:t xml:space="preserve"> </w:t>
            </w:r>
            <w:r w:rsidRPr="00C56257">
              <w:rPr>
                <w:color w:val="000000" w:themeColor="text1"/>
                <w:sz w:val="24"/>
                <w:szCs w:val="24"/>
              </w:rPr>
              <w:t>excepția</w:t>
            </w:r>
            <w:r w:rsidRPr="00C56257">
              <w:rPr>
                <w:color w:val="000000" w:themeColor="text1"/>
                <w:spacing w:val="-1"/>
                <w:sz w:val="24"/>
                <w:szCs w:val="24"/>
              </w:rPr>
              <w:t xml:space="preserve"> </w:t>
            </w:r>
            <w:r w:rsidRPr="00C56257">
              <w:rPr>
                <w:color w:val="000000" w:themeColor="text1"/>
                <w:sz w:val="24"/>
                <w:szCs w:val="24"/>
              </w:rPr>
              <w:t>hidro-energiei).</w:t>
            </w:r>
          </w:p>
          <w:p w14:paraId="2A0CD178" w14:textId="77777777" w:rsidR="0030520C" w:rsidRPr="00C56257" w:rsidRDefault="0030520C" w:rsidP="008E33FD">
            <w:pPr>
              <w:pStyle w:val="TableParagraph"/>
              <w:ind w:left="108" w:right="176"/>
              <w:jc w:val="both"/>
              <w:rPr>
                <w:color w:val="000000" w:themeColor="text1"/>
                <w:sz w:val="24"/>
                <w:szCs w:val="24"/>
              </w:rPr>
            </w:pPr>
            <w:r w:rsidRPr="00C56257">
              <w:rPr>
                <w:color w:val="000000" w:themeColor="text1"/>
                <w:sz w:val="24"/>
                <w:szCs w:val="24"/>
              </w:rPr>
              <w:t>Aceasta include, de asemenea, măsuri pentru</w:t>
            </w:r>
            <w:r w:rsidRPr="00C56257">
              <w:rPr>
                <w:color w:val="000000" w:themeColor="text1"/>
                <w:spacing w:val="-52"/>
                <w:sz w:val="24"/>
                <w:szCs w:val="24"/>
              </w:rPr>
              <w:t xml:space="preserve"> </w:t>
            </w:r>
            <w:r w:rsidRPr="00C56257">
              <w:rPr>
                <w:color w:val="000000" w:themeColor="text1"/>
                <w:sz w:val="24"/>
                <w:szCs w:val="24"/>
              </w:rPr>
              <w:t>a atenua impactul parcurilor eoliene, cum ar</w:t>
            </w:r>
            <w:r w:rsidRPr="00C56257">
              <w:rPr>
                <w:color w:val="000000" w:themeColor="text1"/>
                <w:spacing w:val="1"/>
                <w:sz w:val="24"/>
                <w:szCs w:val="24"/>
              </w:rPr>
              <w:t xml:space="preserve"> </w:t>
            </w:r>
            <w:r w:rsidRPr="00C56257">
              <w:rPr>
                <w:color w:val="000000" w:themeColor="text1"/>
                <w:sz w:val="24"/>
                <w:szCs w:val="24"/>
              </w:rPr>
              <w:t>fi evitarea construirii de turbine în locuri</w:t>
            </w:r>
            <w:r w:rsidRPr="00C56257">
              <w:rPr>
                <w:color w:val="000000" w:themeColor="text1"/>
                <w:spacing w:val="1"/>
                <w:sz w:val="24"/>
                <w:szCs w:val="24"/>
              </w:rPr>
              <w:t xml:space="preserve"> </w:t>
            </w:r>
            <w:r w:rsidRPr="00C56257">
              <w:rPr>
                <w:color w:val="000000" w:themeColor="text1"/>
                <w:sz w:val="24"/>
                <w:szCs w:val="24"/>
              </w:rPr>
              <w:t>sensibile (de exemplu, blocaje de migrație a</w:t>
            </w:r>
            <w:r w:rsidRPr="00C56257">
              <w:rPr>
                <w:color w:val="000000" w:themeColor="text1"/>
                <w:spacing w:val="1"/>
                <w:sz w:val="24"/>
                <w:szCs w:val="24"/>
              </w:rPr>
              <w:t xml:space="preserve"> </w:t>
            </w:r>
            <w:r w:rsidRPr="00C56257">
              <w:rPr>
                <w:color w:val="000000" w:themeColor="text1"/>
                <w:sz w:val="24"/>
                <w:szCs w:val="24"/>
              </w:rPr>
              <w:t>păsărilor), oprirea turbinelor în anumite</w:t>
            </w:r>
            <w:r w:rsidRPr="00C56257">
              <w:rPr>
                <w:color w:val="000000" w:themeColor="text1"/>
                <w:spacing w:val="1"/>
                <w:sz w:val="24"/>
                <w:szCs w:val="24"/>
              </w:rPr>
              <w:t xml:space="preserve"> </w:t>
            </w:r>
            <w:r w:rsidRPr="00C56257">
              <w:rPr>
                <w:color w:val="000000" w:themeColor="text1"/>
                <w:sz w:val="24"/>
                <w:szCs w:val="24"/>
              </w:rPr>
              <w:t>condiții și / sau perioade deosebit de</w:t>
            </w:r>
            <w:r w:rsidRPr="00C56257">
              <w:rPr>
                <w:color w:val="000000" w:themeColor="text1"/>
                <w:spacing w:val="1"/>
                <w:sz w:val="24"/>
                <w:szCs w:val="24"/>
              </w:rPr>
              <w:t xml:space="preserve"> </w:t>
            </w:r>
            <w:r w:rsidRPr="00C56257">
              <w:rPr>
                <w:color w:val="000000" w:themeColor="text1"/>
                <w:sz w:val="24"/>
                <w:szCs w:val="24"/>
              </w:rPr>
              <w:t>problematice ale anului (precum momentul</w:t>
            </w:r>
            <w:r w:rsidRPr="00C56257">
              <w:rPr>
                <w:color w:val="000000" w:themeColor="text1"/>
                <w:spacing w:val="1"/>
                <w:sz w:val="24"/>
                <w:szCs w:val="24"/>
              </w:rPr>
              <w:t xml:space="preserve"> </w:t>
            </w:r>
            <w:r w:rsidRPr="00C56257">
              <w:rPr>
                <w:color w:val="000000" w:themeColor="text1"/>
                <w:sz w:val="24"/>
                <w:szCs w:val="24"/>
              </w:rPr>
              <w:t>migrației maxime).</w:t>
            </w:r>
          </w:p>
        </w:tc>
        <w:tc>
          <w:tcPr>
            <w:tcW w:w="1890" w:type="dxa"/>
          </w:tcPr>
          <w:p w14:paraId="48CCA25D" w14:textId="77777777" w:rsidR="0030520C" w:rsidRPr="00C56257" w:rsidRDefault="0030520C" w:rsidP="008E33FD">
            <w:pPr>
              <w:pStyle w:val="TableParagraph"/>
              <w:jc w:val="both"/>
              <w:rPr>
                <w:color w:val="000000" w:themeColor="text1"/>
                <w:sz w:val="24"/>
                <w:szCs w:val="24"/>
              </w:rPr>
            </w:pPr>
          </w:p>
          <w:p w14:paraId="6D7DA558" w14:textId="77777777" w:rsidR="0030520C" w:rsidRPr="00C56257" w:rsidRDefault="0030520C" w:rsidP="008E33FD">
            <w:pPr>
              <w:pStyle w:val="TableParagraph"/>
              <w:jc w:val="both"/>
              <w:rPr>
                <w:color w:val="000000" w:themeColor="text1"/>
                <w:sz w:val="24"/>
                <w:szCs w:val="24"/>
              </w:rPr>
            </w:pPr>
          </w:p>
          <w:p w14:paraId="083D1FD3" w14:textId="77777777" w:rsidR="0030520C" w:rsidRPr="00C56257" w:rsidRDefault="0030520C" w:rsidP="008E33FD">
            <w:pPr>
              <w:pStyle w:val="TableParagraph"/>
              <w:jc w:val="both"/>
              <w:rPr>
                <w:color w:val="000000" w:themeColor="text1"/>
                <w:sz w:val="24"/>
                <w:szCs w:val="24"/>
              </w:rPr>
            </w:pPr>
          </w:p>
          <w:p w14:paraId="2BFAA910" w14:textId="77777777" w:rsidR="0030520C" w:rsidRPr="00C56257" w:rsidRDefault="0030520C" w:rsidP="008E33FD">
            <w:pPr>
              <w:pStyle w:val="TableParagraph"/>
              <w:jc w:val="both"/>
              <w:rPr>
                <w:color w:val="000000" w:themeColor="text1"/>
                <w:sz w:val="24"/>
                <w:szCs w:val="24"/>
              </w:rPr>
            </w:pPr>
          </w:p>
          <w:p w14:paraId="4A348242" w14:textId="77777777" w:rsidR="0030520C" w:rsidRPr="00C56257" w:rsidRDefault="0030520C" w:rsidP="008E33FD">
            <w:pPr>
              <w:pStyle w:val="TableParagraph"/>
              <w:spacing w:before="6"/>
              <w:jc w:val="both"/>
              <w:rPr>
                <w:color w:val="000000" w:themeColor="text1"/>
                <w:sz w:val="24"/>
                <w:szCs w:val="24"/>
              </w:rPr>
            </w:pPr>
          </w:p>
          <w:p w14:paraId="5B7607B3" w14:textId="77777777" w:rsidR="0030520C" w:rsidRPr="00C56257" w:rsidRDefault="0030520C" w:rsidP="008E33FD">
            <w:pPr>
              <w:pStyle w:val="TableParagraph"/>
              <w:ind w:left="109" w:right="376"/>
              <w:jc w:val="both"/>
              <w:rPr>
                <w:color w:val="000000" w:themeColor="text1"/>
                <w:sz w:val="24"/>
                <w:szCs w:val="24"/>
              </w:rPr>
            </w:pPr>
            <w:r w:rsidRPr="00C56257">
              <w:rPr>
                <w:color w:val="000000" w:themeColor="text1"/>
                <w:sz w:val="24"/>
                <w:szCs w:val="24"/>
              </w:rPr>
              <w:t>D01, D03,</w:t>
            </w:r>
            <w:r w:rsidRPr="00C56257">
              <w:rPr>
                <w:color w:val="000000" w:themeColor="text1"/>
                <w:spacing w:val="-52"/>
                <w:sz w:val="24"/>
                <w:szCs w:val="24"/>
              </w:rPr>
              <w:t xml:space="preserve"> </w:t>
            </w:r>
            <w:r w:rsidRPr="00C56257">
              <w:rPr>
                <w:color w:val="000000" w:themeColor="text1"/>
                <w:sz w:val="24"/>
                <w:szCs w:val="24"/>
              </w:rPr>
              <w:t>D04,</w:t>
            </w:r>
            <w:r w:rsidRPr="00C56257">
              <w:rPr>
                <w:color w:val="000000" w:themeColor="text1"/>
                <w:spacing w:val="-1"/>
                <w:sz w:val="24"/>
                <w:szCs w:val="24"/>
              </w:rPr>
              <w:t xml:space="preserve"> </w:t>
            </w:r>
            <w:r w:rsidRPr="00C56257">
              <w:rPr>
                <w:color w:val="000000" w:themeColor="text1"/>
                <w:sz w:val="24"/>
                <w:szCs w:val="24"/>
              </w:rPr>
              <w:t>D05</w:t>
            </w:r>
          </w:p>
        </w:tc>
      </w:tr>
      <w:tr w:rsidR="0030520C" w:rsidRPr="00C56257" w14:paraId="59CA422D" w14:textId="77777777" w:rsidTr="0009599D">
        <w:trPr>
          <w:trHeight w:val="1333"/>
        </w:trPr>
        <w:tc>
          <w:tcPr>
            <w:tcW w:w="648" w:type="dxa"/>
          </w:tcPr>
          <w:p w14:paraId="09A81DCC" w14:textId="77777777" w:rsidR="0030520C" w:rsidRPr="00C56257" w:rsidRDefault="0030520C" w:rsidP="008E33FD">
            <w:pPr>
              <w:pStyle w:val="TableParagraph"/>
              <w:spacing w:line="247" w:lineRule="exact"/>
              <w:ind w:right="2"/>
              <w:jc w:val="both"/>
              <w:rPr>
                <w:color w:val="000000" w:themeColor="text1"/>
                <w:sz w:val="24"/>
                <w:szCs w:val="24"/>
              </w:rPr>
            </w:pPr>
            <w:r w:rsidRPr="00C56257">
              <w:rPr>
                <w:color w:val="000000" w:themeColor="text1"/>
                <w:sz w:val="24"/>
                <w:szCs w:val="24"/>
              </w:rPr>
              <w:t>6.</w:t>
            </w:r>
          </w:p>
        </w:tc>
        <w:tc>
          <w:tcPr>
            <w:tcW w:w="811" w:type="dxa"/>
          </w:tcPr>
          <w:p w14:paraId="118BC5AC" w14:textId="77777777" w:rsidR="0030520C" w:rsidRPr="00C56257" w:rsidRDefault="0030520C" w:rsidP="008E33FD">
            <w:pPr>
              <w:pStyle w:val="TableParagraph"/>
              <w:jc w:val="both"/>
              <w:rPr>
                <w:color w:val="000000" w:themeColor="text1"/>
                <w:sz w:val="24"/>
                <w:szCs w:val="24"/>
              </w:rPr>
            </w:pPr>
          </w:p>
          <w:p w14:paraId="3A2B118E" w14:textId="77777777" w:rsidR="0030520C" w:rsidRPr="00C56257" w:rsidRDefault="0030520C" w:rsidP="008E33FD">
            <w:pPr>
              <w:pStyle w:val="TableParagraph"/>
              <w:jc w:val="both"/>
              <w:rPr>
                <w:color w:val="000000" w:themeColor="text1"/>
                <w:sz w:val="24"/>
                <w:szCs w:val="24"/>
              </w:rPr>
            </w:pPr>
          </w:p>
          <w:p w14:paraId="214D45A9" w14:textId="77777777" w:rsidR="0030520C" w:rsidRPr="00C56257" w:rsidRDefault="0030520C" w:rsidP="008E33FD">
            <w:pPr>
              <w:pStyle w:val="TableParagraph"/>
              <w:jc w:val="both"/>
              <w:rPr>
                <w:color w:val="000000" w:themeColor="text1"/>
                <w:sz w:val="24"/>
                <w:szCs w:val="24"/>
              </w:rPr>
            </w:pPr>
          </w:p>
          <w:p w14:paraId="2C762C67" w14:textId="77777777" w:rsidR="0030520C" w:rsidRPr="00C56257" w:rsidRDefault="0030520C" w:rsidP="008E33FD">
            <w:pPr>
              <w:pStyle w:val="TableParagraph"/>
              <w:jc w:val="both"/>
              <w:rPr>
                <w:color w:val="000000" w:themeColor="text1"/>
                <w:sz w:val="24"/>
                <w:szCs w:val="24"/>
              </w:rPr>
            </w:pPr>
          </w:p>
          <w:p w14:paraId="4C92343F" w14:textId="77777777" w:rsidR="0030520C" w:rsidRPr="00C56257" w:rsidRDefault="0030520C" w:rsidP="008E33FD">
            <w:pPr>
              <w:pStyle w:val="TableParagraph"/>
              <w:jc w:val="both"/>
              <w:rPr>
                <w:color w:val="000000" w:themeColor="text1"/>
                <w:sz w:val="24"/>
                <w:szCs w:val="24"/>
              </w:rPr>
            </w:pPr>
          </w:p>
          <w:p w14:paraId="1FEB4402" w14:textId="77777777" w:rsidR="0030520C" w:rsidRPr="00C56257" w:rsidRDefault="0030520C" w:rsidP="008E33FD">
            <w:pPr>
              <w:pStyle w:val="TableParagraph"/>
              <w:jc w:val="both"/>
              <w:rPr>
                <w:color w:val="000000" w:themeColor="text1"/>
                <w:sz w:val="24"/>
                <w:szCs w:val="24"/>
              </w:rPr>
            </w:pPr>
          </w:p>
          <w:p w14:paraId="1F9CC284" w14:textId="77777777" w:rsidR="0030520C" w:rsidRPr="00C56257" w:rsidRDefault="0030520C" w:rsidP="008E33FD">
            <w:pPr>
              <w:pStyle w:val="TableParagraph"/>
              <w:jc w:val="both"/>
              <w:rPr>
                <w:color w:val="000000" w:themeColor="text1"/>
                <w:sz w:val="24"/>
                <w:szCs w:val="24"/>
              </w:rPr>
            </w:pPr>
          </w:p>
          <w:p w14:paraId="5BDF07DC" w14:textId="77777777" w:rsidR="0030520C" w:rsidRPr="00C56257" w:rsidRDefault="0030520C" w:rsidP="008E33FD">
            <w:pPr>
              <w:pStyle w:val="TableParagraph"/>
              <w:jc w:val="both"/>
              <w:rPr>
                <w:color w:val="000000" w:themeColor="text1"/>
                <w:sz w:val="24"/>
                <w:szCs w:val="24"/>
              </w:rPr>
            </w:pPr>
          </w:p>
          <w:p w14:paraId="163D6ED2" w14:textId="77777777" w:rsidR="0030520C" w:rsidRPr="00C56257" w:rsidRDefault="0030520C" w:rsidP="008E33FD">
            <w:pPr>
              <w:pStyle w:val="TableParagraph"/>
              <w:spacing w:before="4"/>
              <w:jc w:val="both"/>
              <w:rPr>
                <w:color w:val="000000" w:themeColor="text1"/>
                <w:sz w:val="24"/>
                <w:szCs w:val="24"/>
              </w:rPr>
            </w:pPr>
          </w:p>
          <w:p w14:paraId="4DD13758" w14:textId="77777777" w:rsidR="0030520C" w:rsidRPr="00C56257" w:rsidRDefault="0030520C" w:rsidP="008E33FD">
            <w:pPr>
              <w:pStyle w:val="TableParagraph"/>
              <w:spacing w:before="1"/>
              <w:jc w:val="both"/>
              <w:rPr>
                <w:color w:val="000000" w:themeColor="text1"/>
                <w:sz w:val="24"/>
                <w:szCs w:val="24"/>
              </w:rPr>
            </w:pPr>
            <w:r w:rsidRPr="00C56257">
              <w:rPr>
                <w:color w:val="000000" w:themeColor="text1"/>
                <w:sz w:val="24"/>
                <w:szCs w:val="24"/>
              </w:rPr>
              <w:t>CE01</w:t>
            </w:r>
          </w:p>
        </w:tc>
        <w:tc>
          <w:tcPr>
            <w:tcW w:w="1440" w:type="dxa"/>
          </w:tcPr>
          <w:p w14:paraId="6E4508A0" w14:textId="77777777" w:rsidR="0030520C" w:rsidRPr="00C56257" w:rsidRDefault="0030520C" w:rsidP="008E33FD">
            <w:pPr>
              <w:pStyle w:val="TableParagraph"/>
              <w:jc w:val="both"/>
              <w:rPr>
                <w:color w:val="000000" w:themeColor="text1"/>
                <w:sz w:val="24"/>
                <w:szCs w:val="24"/>
              </w:rPr>
            </w:pPr>
          </w:p>
          <w:p w14:paraId="6968E446" w14:textId="77777777" w:rsidR="0030520C" w:rsidRPr="00C56257" w:rsidRDefault="0030520C" w:rsidP="008E33FD">
            <w:pPr>
              <w:pStyle w:val="TableParagraph"/>
              <w:jc w:val="both"/>
              <w:rPr>
                <w:color w:val="000000" w:themeColor="text1"/>
                <w:sz w:val="24"/>
                <w:szCs w:val="24"/>
              </w:rPr>
            </w:pPr>
          </w:p>
          <w:p w14:paraId="780A3EE6" w14:textId="77777777" w:rsidR="0030520C" w:rsidRPr="00C56257" w:rsidRDefault="0030520C" w:rsidP="008E33FD">
            <w:pPr>
              <w:pStyle w:val="TableParagraph"/>
              <w:jc w:val="both"/>
              <w:rPr>
                <w:color w:val="000000" w:themeColor="text1"/>
                <w:sz w:val="24"/>
                <w:szCs w:val="24"/>
              </w:rPr>
            </w:pPr>
          </w:p>
          <w:p w14:paraId="3C1BE5DB" w14:textId="77777777" w:rsidR="0030520C" w:rsidRPr="00C56257" w:rsidRDefault="0030520C" w:rsidP="008E33FD">
            <w:pPr>
              <w:pStyle w:val="TableParagraph"/>
              <w:jc w:val="both"/>
              <w:rPr>
                <w:color w:val="000000" w:themeColor="text1"/>
                <w:sz w:val="24"/>
                <w:szCs w:val="24"/>
              </w:rPr>
            </w:pPr>
          </w:p>
          <w:p w14:paraId="154DD668" w14:textId="77777777" w:rsidR="0030520C" w:rsidRPr="00C56257" w:rsidRDefault="0030520C" w:rsidP="008E33FD">
            <w:pPr>
              <w:pStyle w:val="TableParagraph"/>
              <w:jc w:val="both"/>
              <w:rPr>
                <w:color w:val="000000" w:themeColor="text1"/>
                <w:sz w:val="24"/>
                <w:szCs w:val="24"/>
              </w:rPr>
            </w:pPr>
          </w:p>
          <w:p w14:paraId="66271112" w14:textId="77777777" w:rsidR="0030520C" w:rsidRPr="00C56257" w:rsidRDefault="0030520C" w:rsidP="008E33FD">
            <w:pPr>
              <w:pStyle w:val="TableParagraph"/>
              <w:spacing w:before="5"/>
              <w:jc w:val="both"/>
              <w:rPr>
                <w:color w:val="000000" w:themeColor="text1"/>
                <w:sz w:val="24"/>
                <w:szCs w:val="24"/>
              </w:rPr>
            </w:pPr>
          </w:p>
          <w:p w14:paraId="03C6CFB6" w14:textId="77777777" w:rsidR="0030520C" w:rsidRPr="00C56257" w:rsidRDefault="0030520C" w:rsidP="008E33FD">
            <w:pPr>
              <w:pStyle w:val="TableParagraph"/>
              <w:ind w:right="101"/>
              <w:jc w:val="both"/>
              <w:rPr>
                <w:color w:val="000000" w:themeColor="text1"/>
                <w:sz w:val="24"/>
                <w:szCs w:val="24"/>
              </w:rPr>
            </w:pPr>
            <w:r w:rsidRPr="00C56257">
              <w:rPr>
                <w:color w:val="000000" w:themeColor="text1"/>
                <w:sz w:val="24"/>
                <w:szCs w:val="24"/>
              </w:rPr>
              <w:t>Reducerea</w:t>
            </w:r>
            <w:r w:rsidRPr="00C56257">
              <w:rPr>
                <w:color w:val="000000" w:themeColor="text1"/>
                <w:spacing w:val="1"/>
                <w:sz w:val="24"/>
                <w:szCs w:val="24"/>
              </w:rPr>
              <w:t xml:space="preserve"> </w:t>
            </w:r>
            <w:r w:rsidRPr="00C56257">
              <w:rPr>
                <w:color w:val="000000" w:themeColor="text1"/>
                <w:sz w:val="24"/>
                <w:szCs w:val="24"/>
              </w:rPr>
              <w:t>impactului</w:t>
            </w:r>
            <w:r w:rsidRPr="00C56257">
              <w:rPr>
                <w:color w:val="000000" w:themeColor="text1"/>
                <w:spacing w:val="1"/>
                <w:sz w:val="24"/>
                <w:szCs w:val="24"/>
              </w:rPr>
              <w:t xml:space="preserve"> </w:t>
            </w:r>
            <w:r w:rsidRPr="00C56257">
              <w:rPr>
                <w:color w:val="000000" w:themeColor="text1"/>
                <w:sz w:val="24"/>
                <w:szCs w:val="24"/>
              </w:rPr>
              <w:lastRenderedPageBreak/>
              <w:t>activităților</w:t>
            </w:r>
            <w:r w:rsidRPr="00C56257">
              <w:rPr>
                <w:color w:val="000000" w:themeColor="text1"/>
                <w:spacing w:val="1"/>
                <w:sz w:val="24"/>
                <w:szCs w:val="24"/>
              </w:rPr>
              <w:t xml:space="preserve"> </w:t>
            </w:r>
            <w:r w:rsidRPr="00C56257">
              <w:rPr>
                <w:color w:val="000000" w:themeColor="text1"/>
                <w:sz w:val="24"/>
                <w:szCs w:val="24"/>
              </w:rPr>
              <w:t>de</w:t>
            </w:r>
            <w:r w:rsidRPr="00C56257">
              <w:rPr>
                <w:color w:val="000000" w:themeColor="text1"/>
                <w:spacing w:val="55"/>
                <w:sz w:val="24"/>
                <w:szCs w:val="24"/>
              </w:rPr>
              <w:t xml:space="preserve"> </w:t>
            </w:r>
            <w:r w:rsidRPr="00C56257">
              <w:rPr>
                <w:color w:val="000000" w:themeColor="text1"/>
                <w:sz w:val="24"/>
                <w:szCs w:val="24"/>
              </w:rPr>
              <w:t>transport</w:t>
            </w:r>
            <w:r w:rsidRPr="00C56257">
              <w:rPr>
                <w:color w:val="000000" w:themeColor="text1"/>
                <w:spacing w:val="1"/>
                <w:sz w:val="24"/>
                <w:szCs w:val="24"/>
              </w:rPr>
              <w:t xml:space="preserve"> </w:t>
            </w:r>
            <w:r w:rsidRPr="00C56257">
              <w:rPr>
                <w:color w:val="000000" w:themeColor="text1"/>
                <w:sz w:val="24"/>
                <w:szCs w:val="24"/>
              </w:rPr>
              <w:t>și al</w:t>
            </w:r>
            <w:r w:rsidRPr="00C56257">
              <w:rPr>
                <w:color w:val="000000" w:themeColor="text1"/>
                <w:spacing w:val="1"/>
                <w:sz w:val="24"/>
                <w:szCs w:val="24"/>
              </w:rPr>
              <w:t xml:space="preserve"> </w:t>
            </w:r>
            <w:r w:rsidRPr="00C56257">
              <w:rPr>
                <w:color w:val="000000" w:themeColor="text1"/>
                <w:sz w:val="24"/>
                <w:szCs w:val="24"/>
              </w:rPr>
              <w:t>infrastructurii</w:t>
            </w:r>
          </w:p>
        </w:tc>
        <w:tc>
          <w:tcPr>
            <w:tcW w:w="4999" w:type="dxa"/>
          </w:tcPr>
          <w:p w14:paraId="7D1B295E" w14:textId="77777777" w:rsidR="0030520C" w:rsidRPr="00C56257" w:rsidRDefault="0030520C" w:rsidP="008E33FD">
            <w:pPr>
              <w:pStyle w:val="TableParagraph"/>
              <w:ind w:left="108" w:right="94"/>
              <w:jc w:val="both"/>
              <w:rPr>
                <w:color w:val="000000" w:themeColor="text1"/>
                <w:sz w:val="24"/>
                <w:szCs w:val="24"/>
              </w:rPr>
            </w:pPr>
            <w:r w:rsidRPr="00C56257">
              <w:rPr>
                <w:color w:val="000000" w:themeColor="text1"/>
                <w:sz w:val="24"/>
                <w:szCs w:val="24"/>
              </w:rPr>
              <w:lastRenderedPageBreak/>
              <w:t>Reducerea impactului infrastructurilor de</w:t>
            </w:r>
            <w:r w:rsidRPr="00C56257">
              <w:rPr>
                <w:color w:val="000000" w:themeColor="text1"/>
                <w:spacing w:val="1"/>
                <w:sz w:val="24"/>
                <w:szCs w:val="24"/>
              </w:rPr>
              <w:t xml:space="preserve"> </w:t>
            </w:r>
            <w:r w:rsidRPr="00C56257">
              <w:rPr>
                <w:color w:val="000000" w:themeColor="text1"/>
                <w:sz w:val="24"/>
                <w:szCs w:val="24"/>
              </w:rPr>
              <w:t>transport (drumuri, căi ferate, poduri,</w:t>
            </w:r>
            <w:r w:rsidRPr="00C56257">
              <w:rPr>
                <w:color w:val="000000" w:themeColor="text1"/>
                <w:spacing w:val="1"/>
                <w:sz w:val="24"/>
                <w:szCs w:val="24"/>
              </w:rPr>
              <w:t xml:space="preserve"> </w:t>
            </w:r>
            <w:r w:rsidRPr="00C56257">
              <w:rPr>
                <w:color w:val="000000" w:themeColor="text1"/>
                <w:sz w:val="24"/>
                <w:szCs w:val="24"/>
              </w:rPr>
              <w:t>viaducte, tuneluri, coridoare și canale de</w:t>
            </w:r>
            <w:r w:rsidRPr="00C56257">
              <w:rPr>
                <w:color w:val="000000" w:themeColor="text1"/>
                <w:spacing w:val="1"/>
                <w:sz w:val="24"/>
                <w:szCs w:val="24"/>
              </w:rPr>
              <w:t xml:space="preserve"> </w:t>
            </w:r>
            <w:r w:rsidRPr="00C56257">
              <w:rPr>
                <w:color w:val="000000" w:themeColor="text1"/>
                <w:sz w:val="24"/>
                <w:szCs w:val="24"/>
              </w:rPr>
              <w:t>navigație, strâmtori, porturi, aerodromuri) și</w:t>
            </w:r>
            <w:r w:rsidRPr="00C56257">
              <w:rPr>
                <w:color w:val="000000" w:themeColor="text1"/>
                <w:spacing w:val="-52"/>
                <w:sz w:val="24"/>
                <w:szCs w:val="24"/>
              </w:rPr>
              <w:t xml:space="preserve"> </w:t>
            </w:r>
            <w:r w:rsidRPr="00C56257">
              <w:rPr>
                <w:color w:val="000000" w:themeColor="text1"/>
                <w:sz w:val="24"/>
                <w:szCs w:val="24"/>
              </w:rPr>
              <w:t>activităților</w:t>
            </w:r>
            <w:r w:rsidRPr="00C56257">
              <w:rPr>
                <w:color w:val="000000" w:themeColor="text1"/>
                <w:spacing w:val="-5"/>
                <w:sz w:val="24"/>
                <w:szCs w:val="24"/>
              </w:rPr>
              <w:t xml:space="preserve"> </w:t>
            </w:r>
            <w:r w:rsidRPr="00C56257">
              <w:rPr>
                <w:color w:val="000000" w:themeColor="text1"/>
                <w:sz w:val="24"/>
                <w:szCs w:val="24"/>
              </w:rPr>
              <w:t>de</w:t>
            </w:r>
            <w:r w:rsidRPr="00C56257">
              <w:rPr>
                <w:color w:val="000000" w:themeColor="text1"/>
                <w:spacing w:val="-4"/>
                <w:sz w:val="24"/>
                <w:szCs w:val="24"/>
              </w:rPr>
              <w:t xml:space="preserve"> </w:t>
            </w:r>
            <w:r w:rsidRPr="00C56257">
              <w:rPr>
                <w:color w:val="000000" w:themeColor="text1"/>
                <w:sz w:val="24"/>
                <w:szCs w:val="24"/>
              </w:rPr>
              <w:t>transport</w:t>
            </w:r>
            <w:r w:rsidRPr="00C56257">
              <w:rPr>
                <w:color w:val="000000" w:themeColor="text1"/>
                <w:spacing w:val="-4"/>
                <w:sz w:val="24"/>
                <w:szCs w:val="24"/>
              </w:rPr>
              <w:t xml:space="preserve"> </w:t>
            </w:r>
            <w:r w:rsidRPr="00C56257">
              <w:rPr>
                <w:color w:val="000000" w:themeColor="text1"/>
                <w:sz w:val="24"/>
                <w:szCs w:val="24"/>
              </w:rPr>
              <w:t>asupra</w:t>
            </w:r>
            <w:r w:rsidRPr="00C56257">
              <w:rPr>
                <w:color w:val="000000" w:themeColor="text1"/>
                <w:spacing w:val="-2"/>
                <w:sz w:val="24"/>
                <w:szCs w:val="24"/>
              </w:rPr>
              <w:t xml:space="preserve"> </w:t>
            </w:r>
            <w:r w:rsidRPr="00C56257">
              <w:rPr>
                <w:color w:val="000000" w:themeColor="text1"/>
                <w:sz w:val="24"/>
                <w:szCs w:val="24"/>
              </w:rPr>
              <w:t>habitatelor</w:t>
            </w:r>
            <w:r w:rsidRPr="00C56257">
              <w:rPr>
                <w:color w:val="000000" w:themeColor="text1"/>
                <w:spacing w:val="-4"/>
                <w:sz w:val="24"/>
                <w:szCs w:val="24"/>
              </w:rPr>
              <w:t xml:space="preserve"> </w:t>
            </w:r>
            <w:r w:rsidRPr="00C56257">
              <w:rPr>
                <w:color w:val="000000" w:themeColor="text1"/>
                <w:sz w:val="24"/>
                <w:szCs w:val="24"/>
              </w:rPr>
              <w:t>și</w:t>
            </w:r>
            <w:r w:rsidRPr="00C56257">
              <w:rPr>
                <w:color w:val="000000" w:themeColor="text1"/>
                <w:spacing w:val="-52"/>
                <w:sz w:val="24"/>
                <w:szCs w:val="24"/>
              </w:rPr>
              <w:t xml:space="preserve"> </w:t>
            </w:r>
            <w:r w:rsidRPr="00C56257">
              <w:rPr>
                <w:color w:val="000000" w:themeColor="text1"/>
                <w:sz w:val="24"/>
                <w:szCs w:val="24"/>
              </w:rPr>
              <w:t>speciilor vizate de directivele privind</w:t>
            </w:r>
            <w:r w:rsidRPr="00C56257">
              <w:rPr>
                <w:color w:val="000000" w:themeColor="text1"/>
                <w:spacing w:val="1"/>
                <w:sz w:val="24"/>
                <w:szCs w:val="24"/>
              </w:rPr>
              <w:t xml:space="preserve"> </w:t>
            </w:r>
            <w:r w:rsidRPr="00C56257">
              <w:rPr>
                <w:color w:val="000000" w:themeColor="text1"/>
                <w:sz w:val="24"/>
                <w:szCs w:val="24"/>
              </w:rPr>
              <w:t>conservarea</w:t>
            </w:r>
            <w:r w:rsidRPr="00C56257">
              <w:rPr>
                <w:color w:val="000000" w:themeColor="text1"/>
                <w:spacing w:val="-3"/>
                <w:sz w:val="24"/>
                <w:szCs w:val="24"/>
              </w:rPr>
              <w:t xml:space="preserve"> </w:t>
            </w:r>
            <w:r w:rsidRPr="00C56257">
              <w:rPr>
                <w:color w:val="000000" w:themeColor="text1"/>
                <w:sz w:val="24"/>
                <w:szCs w:val="24"/>
              </w:rPr>
              <w:t>naturii.</w:t>
            </w:r>
          </w:p>
          <w:p w14:paraId="160EFA74" w14:textId="77777777" w:rsidR="0030520C" w:rsidRPr="00C56257" w:rsidRDefault="0030520C" w:rsidP="008E33FD">
            <w:pPr>
              <w:pStyle w:val="TableParagraph"/>
              <w:ind w:left="108" w:right="207"/>
              <w:jc w:val="both"/>
              <w:rPr>
                <w:color w:val="000000" w:themeColor="text1"/>
                <w:sz w:val="24"/>
                <w:szCs w:val="24"/>
              </w:rPr>
            </w:pPr>
            <w:r w:rsidRPr="00C56257">
              <w:rPr>
                <w:color w:val="000000" w:themeColor="text1"/>
                <w:sz w:val="24"/>
                <w:szCs w:val="24"/>
              </w:rPr>
              <w:t>Aceasta include, de exemplu, construirea și</w:t>
            </w:r>
            <w:r w:rsidRPr="00C56257">
              <w:rPr>
                <w:color w:val="000000" w:themeColor="text1"/>
                <w:spacing w:val="1"/>
                <w:sz w:val="24"/>
                <w:szCs w:val="24"/>
              </w:rPr>
              <w:t xml:space="preserve"> </w:t>
            </w:r>
            <w:r w:rsidRPr="00C56257">
              <w:rPr>
                <w:color w:val="000000" w:themeColor="text1"/>
                <w:sz w:val="24"/>
                <w:szCs w:val="24"/>
              </w:rPr>
              <w:t>gestionarea pasajelor pentru animale,</w:t>
            </w:r>
            <w:r w:rsidRPr="00C56257">
              <w:rPr>
                <w:color w:val="000000" w:themeColor="text1"/>
                <w:spacing w:val="1"/>
                <w:sz w:val="24"/>
                <w:szCs w:val="24"/>
              </w:rPr>
              <w:t xml:space="preserve"> </w:t>
            </w:r>
            <w:r w:rsidRPr="00C56257">
              <w:rPr>
                <w:color w:val="000000" w:themeColor="text1"/>
                <w:sz w:val="24"/>
                <w:szCs w:val="24"/>
              </w:rPr>
              <w:lastRenderedPageBreak/>
              <w:t>dezvoltarea infrastructurii verzi / albastre,</w:t>
            </w:r>
            <w:r w:rsidRPr="00C56257">
              <w:rPr>
                <w:color w:val="000000" w:themeColor="text1"/>
                <w:spacing w:val="1"/>
                <w:sz w:val="24"/>
                <w:szCs w:val="24"/>
              </w:rPr>
              <w:t xml:space="preserve"> </w:t>
            </w:r>
            <w:r w:rsidRPr="00C56257">
              <w:rPr>
                <w:color w:val="000000" w:themeColor="text1"/>
                <w:sz w:val="24"/>
                <w:szCs w:val="24"/>
              </w:rPr>
              <w:t>gestionarea traficului și a infrastructurii</w:t>
            </w:r>
            <w:r w:rsidRPr="00C56257">
              <w:rPr>
                <w:color w:val="000000" w:themeColor="text1"/>
                <w:spacing w:val="1"/>
                <w:sz w:val="24"/>
                <w:szCs w:val="24"/>
              </w:rPr>
              <w:t xml:space="preserve"> </w:t>
            </w:r>
            <w:r w:rsidRPr="00C56257">
              <w:rPr>
                <w:color w:val="000000" w:themeColor="text1"/>
                <w:sz w:val="24"/>
                <w:szCs w:val="24"/>
              </w:rPr>
              <w:t>marine și fluviale pentru, de exemplu,</w:t>
            </w:r>
            <w:r w:rsidRPr="00C56257">
              <w:rPr>
                <w:color w:val="000000" w:themeColor="text1"/>
                <w:spacing w:val="1"/>
                <w:sz w:val="24"/>
                <w:szCs w:val="24"/>
              </w:rPr>
              <w:t xml:space="preserve"> </w:t>
            </w:r>
            <w:r w:rsidRPr="00C56257">
              <w:rPr>
                <w:color w:val="000000" w:themeColor="text1"/>
                <w:sz w:val="24"/>
                <w:szCs w:val="24"/>
              </w:rPr>
              <w:t>reducerea eroziunii malurilor și descurajarea</w:t>
            </w:r>
            <w:r w:rsidRPr="00C56257">
              <w:rPr>
                <w:color w:val="000000" w:themeColor="text1"/>
                <w:spacing w:val="-52"/>
                <w:sz w:val="24"/>
                <w:szCs w:val="24"/>
              </w:rPr>
              <w:t xml:space="preserve"> </w:t>
            </w:r>
            <w:r w:rsidRPr="00C56257">
              <w:rPr>
                <w:color w:val="000000" w:themeColor="text1"/>
                <w:sz w:val="24"/>
                <w:szCs w:val="24"/>
              </w:rPr>
              <w:t>(de exemplu, lăsând iarba să crească mult</w:t>
            </w:r>
            <w:r w:rsidRPr="00C56257">
              <w:rPr>
                <w:color w:val="000000" w:themeColor="text1"/>
                <w:spacing w:val="1"/>
                <w:sz w:val="24"/>
                <w:szCs w:val="24"/>
              </w:rPr>
              <w:t xml:space="preserve"> </w:t>
            </w:r>
            <w:r w:rsidRPr="00C56257">
              <w:rPr>
                <w:color w:val="000000" w:themeColor="text1"/>
                <w:sz w:val="24"/>
                <w:szCs w:val="24"/>
              </w:rPr>
              <w:t>timp sau folosind tactici active de ”speriat”)</w:t>
            </w:r>
            <w:r w:rsidRPr="00C56257">
              <w:rPr>
                <w:color w:val="000000" w:themeColor="text1"/>
                <w:spacing w:val="-52"/>
                <w:sz w:val="24"/>
                <w:szCs w:val="24"/>
              </w:rPr>
              <w:t xml:space="preserve"> </w:t>
            </w:r>
            <w:r w:rsidRPr="00C56257">
              <w:rPr>
                <w:color w:val="000000" w:themeColor="text1"/>
                <w:sz w:val="24"/>
                <w:szCs w:val="24"/>
              </w:rPr>
              <w:t>păsărilor în folosirea</w:t>
            </w:r>
            <w:r w:rsidRPr="00C56257">
              <w:rPr>
                <w:color w:val="000000" w:themeColor="text1"/>
                <w:spacing w:val="1"/>
                <w:sz w:val="24"/>
                <w:szCs w:val="24"/>
              </w:rPr>
              <w:t xml:space="preserve"> </w:t>
            </w:r>
            <w:r w:rsidRPr="00C56257">
              <w:rPr>
                <w:color w:val="000000" w:themeColor="text1"/>
                <w:sz w:val="24"/>
                <w:szCs w:val="24"/>
              </w:rPr>
              <w:t>aeroporturilor/aerodromurilor.</w:t>
            </w:r>
          </w:p>
          <w:p w14:paraId="57AAFEFE" w14:textId="77777777" w:rsidR="0030520C" w:rsidRPr="00C56257" w:rsidRDefault="0030520C" w:rsidP="008E33FD">
            <w:pPr>
              <w:pStyle w:val="TableParagraph"/>
              <w:ind w:left="108" w:right="207"/>
              <w:jc w:val="both"/>
              <w:rPr>
                <w:color w:val="000000" w:themeColor="text1"/>
                <w:sz w:val="24"/>
                <w:szCs w:val="24"/>
              </w:rPr>
            </w:pPr>
            <w:r w:rsidRPr="00C56257">
              <w:rPr>
                <w:color w:val="000000" w:themeColor="text1"/>
                <w:sz w:val="24"/>
                <w:szCs w:val="24"/>
              </w:rPr>
              <w:t>De asemenea, include orice măsuri de</w:t>
            </w:r>
            <w:r w:rsidRPr="00C56257">
              <w:rPr>
                <w:color w:val="000000" w:themeColor="text1"/>
                <w:spacing w:val="1"/>
                <w:sz w:val="24"/>
                <w:szCs w:val="24"/>
              </w:rPr>
              <w:t xml:space="preserve"> </w:t>
            </w:r>
            <w:r w:rsidRPr="00C56257">
              <w:rPr>
                <w:color w:val="000000" w:themeColor="text1"/>
                <w:sz w:val="24"/>
                <w:szCs w:val="24"/>
              </w:rPr>
              <w:t>reducere</w:t>
            </w:r>
            <w:r w:rsidRPr="00C56257">
              <w:rPr>
                <w:color w:val="000000" w:themeColor="text1"/>
                <w:spacing w:val="-2"/>
                <w:sz w:val="24"/>
                <w:szCs w:val="24"/>
              </w:rPr>
              <w:t xml:space="preserve"> </w:t>
            </w:r>
            <w:r w:rsidRPr="00C56257">
              <w:rPr>
                <w:color w:val="000000" w:themeColor="text1"/>
                <w:sz w:val="24"/>
                <w:szCs w:val="24"/>
              </w:rPr>
              <w:t>a</w:t>
            </w:r>
            <w:r w:rsidRPr="00C56257">
              <w:rPr>
                <w:color w:val="000000" w:themeColor="text1"/>
                <w:spacing w:val="-2"/>
                <w:sz w:val="24"/>
                <w:szCs w:val="24"/>
              </w:rPr>
              <w:t xml:space="preserve"> </w:t>
            </w:r>
            <w:r w:rsidRPr="00C56257">
              <w:rPr>
                <w:color w:val="000000" w:themeColor="text1"/>
                <w:sz w:val="24"/>
                <w:szCs w:val="24"/>
              </w:rPr>
              <w:t>poluării fonice</w:t>
            </w:r>
            <w:r w:rsidRPr="00C56257">
              <w:rPr>
                <w:color w:val="000000" w:themeColor="text1"/>
                <w:spacing w:val="-2"/>
                <w:sz w:val="24"/>
                <w:szCs w:val="24"/>
              </w:rPr>
              <w:t xml:space="preserve"> </w:t>
            </w:r>
            <w:r w:rsidRPr="00C56257">
              <w:rPr>
                <w:color w:val="000000" w:themeColor="text1"/>
                <w:sz w:val="24"/>
                <w:szCs w:val="24"/>
              </w:rPr>
              <w:t>și</w:t>
            </w:r>
            <w:r w:rsidRPr="00C56257">
              <w:rPr>
                <w:color w:val="000000" w:themeColor="text1"/>
                <w:spacing w:val="-3"/>
                <w:sz w:val="24"/>
                <w:szCs w:val="24"/>
              </w:rPr>
              <w:t xml:space="preserve"> </w:t>
            </w:r>
            <w:r w:rsidRPr="00C56257">
              <w:rPr>
                <w:color w:val="000000" w:themeColor="text1"/>
                <w:sz w:val="24"/>
                <w:szCs w:val="24"/>
              </w:rPr>
              <w:t>luminoase.</w:t>
            </w:r>
          </w:p>
          <w:p w14:paraId="560541B8" w14:textId="77777777" w:rsidR="0030520C" w:rsidRPr="00C56257" w:rsidRDefault="0030520C" w:rsidP="008E33FD">
            <w:pPr>
              <w:pStyle w:val="TableParagraph"/>
              <w:spacing w:line="252" w:lineRule="exact"/>
              <w:ind w:left="108" w:right="388"/>
              <w:jc w:val="both"/>
              <w:rPr>
                <w:color w:val="000000" w:themeColor="text1"/>
                <w:sz w:val="24"/>
                <w:szCs w:val="24"/>
              </w:rPr>
            </w:pPr>
            <w:r w:rsidRPr="00C56257">
              <w:rPr>
                <w:color w:val="000000" w:themeColor="text1"/>
                <w:sz w:val="24"/>
                <w:szCs w:val="24"/>
              </w:rPr>
              <w:t>Reglementarea traficului sau construcția</w:t>
            </w:r>
            <w:r w:rsidRPr="00C56257">
              <w:rPr>
                <w:color w:val="000000" w:themeColor="text1"/>
                <w:spacing w:val="1"/>
                <w:sz w:val="24"/>
                <w:szCs w:val="24"/>
              </w:rPr>
              <w:t xml:space="preserve"> </w:t>
            </w:r>
            <w:r w:rsidRPr="00C56257">
              <w:rPr>
                <w:color w:val="000000" w:themeColor="text1"/>
                <w:sz w:val="24"/>
                <w:szCs w:val="24"/>
              </w:rPr>
              <w:t>infrastructurii</w:t>
            </w:r>
            <w:r w:rsidRPr="00C56257">
              <w:rPr>
                <w:color w:val="000000" w:themeColor="text1"/>
                <w:spacing w:val="-2"/>
                <w:sz w:val="24"/>
                <w:szCs w:val="24"/>
              </w:rPr>
              <w:t xml:space="preserve"> </w:t>
            </w:r>
            <w:r w:rsidRPr="00C56257">
              <w:rPr>
                <w:color w:val="000000" w:themeColor="text1"/>
                <w:sz w:val="24"/>
                <w:szCs w:val="24"/>
              </w:rPr>
              <w:t>de</w:t>
            </w:r>
            <w:r w:rsidRPr="00C56257">
              <w:rPr>
                <w:color w:val="000000" w:themeColor="text1"/>
                <w:spacing w:val="-3"/>
                <w:sz w:val="24"/>
                <w:szCs w:val="24"/>
              </w:rPr>
              <w:t xml:space="preserve"> </w:t>
            </w:r>
            <w:r w:rsidRPr="00C56257">
              <w:rPr>
                <w:color w:val="000000" w:themeColor="text1"/>
                <w:sz w:val="24"/>
                <w:szCs w:val="24"/>
              </w:rPr>
              <w:t>circulație</w:t>
            </w:r>
            <w:r w:rsidRPr="00C56257">
              <w:rPr>
                <w:color w:val="000000" w:themeColor="text1"/>
                <w:spacing w:val="-4"/>
                <w:sz w:val="24"/>
                <w:szCs w:val="24"/>
              </w:rPr>
              <w:t xml:space="preserve"> </w:t>
            </w:r>
            <w:r w:rsidRPr="00C56257">
              <w:rPr>
                <w:color w:val="000000" w:themeColor="text1"/>
                <w:sz w:val="24"/>
                <w:szCs w:val="24"/>
              </w:rPr>
              <w:t>pentru</w:t>
            </w:r>
            <w:r w:rsidRPr="00C56257">
              <w:rPr>
                <w:color w:val="000000" w:themeColor="text1"/>
                <w:spacing w:val="-3"/>
                <w:sz w:val="24"/>
                <w:szCs w:val="24"/>
              </w:rPr>
              <w:t xml:space="preserve"> </w:t>
            </w:r>
            <w:r w:rsidRPr="00C56257">
              <w:rPr>
                <w:color w:val="000000" w:themeColor="text1"/>
                <w:sz w:val="24"/>
                <w:szCs w:val="24"/>
              </w:rPr>
              <w:t>a</w:t>
            </w:r>
            <w:r w:rsidRPr="00C56257">
              <w:rPr>
                <w:color w:val="000000" w:themeColor="text1"/>
                <w:spacing w:val="-4"/>
                <w:sz w:val="24"/>
                <w:szCs w:val="24"/>
              </w:rPr>
              <w:t xml:space="preserve"> </w:t>
            </w:r>
            <w:r w:rsidRPr="00C56257">
              <w:rPr>
                <w:color w:val="000000" w:themeColor="text1"/>
                <w:sz w:val="24"/>
                <w:szCs w:val="24"/>
              </w:rPr>
              <w:t>reduce poluarea</w:t>
            </w:r>
            <w:r w:rsidRPr="00C56257">
              <w:rPr>
                <w:color w:val="000000" w:themeColor="text1"/>
                <w:spacing w:val="-3"/>
                <w:sz w:val="24"/>
                <w:szCs w:val="24"/>
              </w:rPr>
              <w:t xml:space="preserve"> </w:t>
            </w:r>
            <w:r w:rsidRPr="00C56257">
              <w:rPr>
                <w:color w:val="000000" w:themeColor="text1"/>
                <w:sz w:val="24"/>
                <w:szCs w:val="24"/>
              </w:rPr>
              <w:t>chimică</w:t>
            </w:r>
            <w:r w:rsidRPr="00C56257">
              <w:rPr>
                <w:color w:val="000000" w:themeColor="text1"/>
                <w:spacing w:val="-1"/>
                <w:sz w:val="24"/>
                <w:szCs w:val="24"/>
              </w:rPr>
              <w:t xml:space="preserve"> </w:t>
            </w:r>
            <w:r w:rsidRPr="00C56257">
              <w:rPr>
                <w:color w:val="000000" w:themeColor="text1"/>
                <w:sz w:val="24"/>
                <w:szCs w:val="24"/>
              </w:rPr>
              <w:t>/cu</w:t>
            </w:r>
            <w:r w:rsidRPr="00C56257">
              <w:rPr>
                <w:color w:val="000000" w:themeColor="text1"/>
                <w:spacing w:val="-3"/>
                <w:sz w:val="24"/>
                <w:szCs w:val="24"/>
              </w:rPr>
              <w:t xml:space="preserve"> </w:t>
            </w:r>
            <w:r w:rsidRPr="00C56257">
              <w:rPr>
                <w:color w:val="000000" w:themeColor="text1"/>
                <w:sz w:val="24"/>
                <w:szCs w:val="24"/>
              </w:rPr>
              <w:t>particule</w:t>
            </w:r>
            <w:r w:rsidRPr="00C56257">
              <w:rPr>
                <w:color w:val="000000" w:themeColor="text1"/>
                <w:spacing w:val="-1"/>
                <w:sz w:val="24"/>
                <w:szCs w:val="24"/>
              </w:rPr>
              <w:t xml:space="preserve"> </w:t>
            </w:r>
            <w:r w:rsidRPr="00C56257">
              <w:rPr>
                <w:color w:val="000000" w:themeColor="text1"/>
                <w:sz w:val="24"/>
                <w:szCs w:val="24"/>
              </w:rPr>
              <w:t>care</w:t>
            </w:r>
            <w:r w:rsidRPr="00C56257">
              <w:rPr>
                <w:color w:val="000000" w:themeColor="text1"/>
                <w:spacing w:val="-3"/>
                <w:sz w:val="24"/>
                <w:szCs w:val="24"/>
              </w:rPr>
              <w:t xml:space="preserve"> </w:t>
            </w:r>
            <w:r w:rsidRPr="00C56257">
              <w:rPr>
                <w:color w:val="000000" w:themeColor="text1"/>
                <w:sz w:val="24"/>
                <w:szCs w:val="24"/>
              </w:rPr>
              <w:t>ar</w:t>
            </w:r>
            <w:r w:rsidRPr="00C56257">
              <w:rPr>
                <w:color w:val="000000" w:themeColor="text1"/>
                <w:spacing w:val="-3"/>
                <w:sz w:val="24"/>
                <w:szCs w:val="24"/>
              </w:rPr>
              <w:t xml:space="preserve"> </w:t>
            </w:r>
            <w:r w:rsidRPr="00C56257">
              <w:rPr>
                <w:color w:val="000000" w:themeColor="text1"/>
                <w:sz w:val="24"/>
                <w:szCs w:val="24"/>
              </w:rPr>
              <w:t>trebui</w:t>
            </w:r>
            <w:r w:rsidRPr="00C56257">
              <w:rPr>
                <w:color w:val="000000" w:themeColor="text1"/>
                <w:spacing w:val="-52"/>
                <w:sz w:val="24"/>
                <w:szCs w:val="24"/>
              </w:rPr>
              <w:t xml:space="preserve"> </w:t>
            </w:r>
            <w:r w:rsidRPr="00C56257">
              <w:rPr>
                <w:color w:val="000000" w:themeColor="text1"/>
                <w:sz w:val="24"/>
                <w:szCs w:val="24"/>
              </w:rPr>
              <w:t>raportată</w:t>
            </w:r>
            <w:r w:rsidRPr="00C56257">
              <w:rPr>
                <w:color w:val="000000" w:themeColor="text1"/>
                <w:spacing w:val="-3"/>
                <w:sz w:val="24"/>
                <w:szCs w:val="24"/>
              </w:rPr>
              <w:t xml:space="preserve"> </w:t>
            </w:r>
            <w:r w:rsidRPr="00C56257">
              <w:rPr>
                <w:color w:val="000000" w:themeColor="text1"/>
                <w:sz w:val="24"/>
                <w:szCs w:val="24"/>
              </w:rPr>
              <w:t>sub codul</w:t>
            </w:r>
            <w:r w:rsidRPr="00C56257">
              <w:rPr>
                <w:color w:val="000000" w:themeColor="text1"/>
                <w:spacing w:val="1"/>
                <w:sz w:val="24"/>
                <w:szCs w:val="24"/>
              </w:rPr>
              <w:t xml:space="preserve"> </w:t>
            </w:r>
            <w:r w:rsidRPr="00C56257">
              <w:rPr>
                <w:color w:val="000000" w:themeColor="text1"/>
                <w:sz w:val="24"/>
                <w:szCs w:val="24"/>
              </w:rPr>
              <w:t>CE03.</w:t>
            </w:r>
          </w:p>
        </w:tc>
        <w:tc>
          <w:tcPr>
            <w:tcW w:w="1890" w:type="dxa"/>
          </w:tcPr>
          <w:p w14:paraId="22B71BD1" w14:textId="77777777" w:rsidR="0030520C" w:rsidRPr="00C56257" w:rsidRDefault="0030520C" w:rsidP="008E33FD">
            <w:pPr>
              <w:pStyle w:val="TableParagraph"/>
              <w:jc w:val="both"/>
              <w:rPr>
                <w:color w:val="000000" w:themeColor="text1"/>
                <w:sz w:val="24"/>
                <w:szCs w:val="24"/>
              </w:rPr>
            </w:pPr>
          </w:p>
          <w:p w14:paraId="65B2F0F2" w14:textId="77777777" w:rsidR="0030520C" w:rsidRPr="00C56257" w:rsidRDefault="0030520C" w:rsidP="008E33FD">
            <w:pPr>
              <w:pStyle w:val="TableParagraph"/>
              <w:jc w:val="both"/>
              <w:rPr>
                <w:color w:val="000000" w:themeColor="text1"/>
                <w:sz w:val="24"/>
                <w:szCs w:val="24"/>
              </w:rPr>
            </w:pPr>
          </w:p>
          <w:p w14:paraId="1CD273D2" w14:textId="77777777" w:rsidR="0030520C" w:rsidRPr="00C56257" w:rsidRDefault="0030520C" w:rsidP="008E33FD">
            <w:pPr>
              <w:pStyle w:val="TableParagraph"/>
              <w:jc w:val="both"/>
              <w:rPr>
                <w:color w:val="000000" w:themeColor="text1"/>
                <w:sz w:val="24"/>
                <w:szCs w:val="24"/>
              </w:rPr>
            </w:pPr>
          </w:p>
          <w:p w14:paraId="50B1F516" w14:textId="77777777" w:rsidR="0030520C" w:rsidRPr="00C56257" w:rsidRDefault="0030520C" w:rsidP="008E33FD">
            <w:pPr>
              <w:pStyle w:val="TableParagraph"/>
              <w:jc w:val="both"/>
              <w:rPr>
                <w:color w:val="000000" w:themeColor="text1"/>
                <w:sz w:val="24"/>
                <w:szCs w:val="24"/>
              </w:rPr>
            </w:pPr>
          </w:p>
          <w:p w14:paraId="561436DD" w14:textId="77777777" w:rsidR="0030520C" w:rsidRPr="00C56257" w:rsidRDefault="0030520C" w:rsidP="008E33FD">
            <w:pPr>
              <w:pStyle w:val="TableParagraph"/>
              <w:jc w:val="both"/>
              <w:rPr>
                <w:color w:val="000000" w:themeColor="text1"/>
                <w:sz w:val="24"/>
                <w:szCs w:val="24"/>
              </w:rPr>
            </w:pPr>
          </w:p>
          <w:p w14:paraId="6089AF60" w14:textId="77777777" w:rsidR="0030520C" w:rsidRPr="00C56257" w:rsidRDefault="0030520C" w:rsidP="008E33FD">
            <w:pPr>
              <w:pStyle w:val="TableParagraph"/>
              <w:jc w:val="both"/>
              <w:rPr>
                <w:color w:val="000000" w:themeColor="text1"/>
                <w:sz w:val="24"/>
                <w:szCs w:val="24"/>
              </w:rPr>
            </w:pPr>
          </w:p>
          <w:p w14:paraId="1D19CFB7" w14:textId="77777777" w:rsidR="0030520C" w:rsidRPr="00C56257" w:rsidRDefault="0030520C" w:rsidP="008E33FD">
            <w:pPr>
              <w:pStyle w:val="TableParagraph"/>
              <w:jc w:val="both"/>
              <w:rPr>
                <w:color w:val="000000" w:themeColor="text1"/>
                <w:sz w:val="24"/>
                <w:szCs w:val="24"/>
              </w:rPr>
            </w:pPr>
          </w:p>
          <w:p w14:paraId="02427128" w14:textId="77777777" w:rsidR="0030520C" w:rsidRPr="00C56257" w:rsidRDefault="0030520C" w:rsidP="008E33FD">
            <w:pPr>
              <w:pStyle w:val="TableParagraph"/>
              <w:jc w:val="both"/>
              <w:rPr>
                <w:color w:val="000000" w:themeColor="text1"/>
                <w:sz w:val="24"/>
                <w:szCs w:val="24"/>
              </w:rPr>
            </w:pPr>
          </w:p>
          <w:p w14:paraId="49FBBE8F" w14:textId="77777777" w:rsidR="0030520C" w:rsidRPr="00C56257" w:rsidRDefault="0030520C" w:rsidP="008E33FD">
            <w:pPr>
              <w:pStyle w:val="TableParagraph"/>
              <w:spacing w:before="188"/>
              <w:ind w:left="109" w:right="425"/>
              <w:jc w:val="both"/>
              <w:rPr>
                <w:color w:val="000000" w:themeColor="text1"/>
                <w:sz w:val="24"/>
                <w:szCs w:val="24"/>
              </w:rPr>
            </w:pPr>
            <w:r w:rsidRPr="00C56257">
              <w:rPr>
                <w:color w:val="000000" w:themeColor="text1"/>
                <w:sz w:val="24"/>
                <w:szCs w:val="24"/>
              </w:rPr>
              <w:lastRenderedPageBreak/>
              <w:t>E01, E02,</w:t>
            </w:r>
            <w:r w:rsidRPr="00C56257">
              <w:rPr>
                <w:color w:val="000000" w:themeColor="text1"/>
                <w:spacing w:val="-52"/>
                <w:sz w:val="24"/>
                <w:szCs w:val="24"/>
              </w:rPr>
              <w:t xml:space="preserve"> </w:t>
            </w:r>
            <w:r w:rsidRPr="00C56257">
              <w:rPr>
                <w:color w:val="000000" w:themeColor="text1"/>
                <w:sz w:val="24"/>
                <w:szCs w:val="24"/>
              </w:rPr>
              <w:t>E03, E04</w:t>
            </w:r>
          </w:p>
        </w:tc>
      </w:tr>
      <w:tr w:rsidR="0030520C" w:rsidRPr="00C56257" w14:paraId="43E81589" w14:textId="77777777" w:rsidTr="0009599D">
        <w:trPr>
          <w:trHeight w:val="3290"/>
        </w:trPr>
        <w:tc>
          <w:tcPr>
            <w:tcW w:w="648" w:type="dxa"/>
          </w:tcPr>
          <w:p w14:paraId="3F599B1A" w14:textId="77777777" w:rsidR="0030520C" w:rsidRPr="00C56257" w:rsidRDefault="0030520C" w:rsidP="008E33FD">
            <w:pPr>
              <w:pStyle w:val="TableParagraph"/>
              <w:spacing w:line="249" w:lineRule="exact"/>
              <w:ind w:right="2"/>
              <w:jc w:val="both"/>
              <w:rPr>
                <w:color w:val="000000" w:themeColor="text1"/>
                <w:sz w:val="24"/>
                <w:szCs w:val="24"/>
              </w:rPr>
            </w:pPr>
            <w:r w:rsidRPr="00C56257">
              <w:rPr>
                <w:color w:val="000000" w:themeColor="text1"/>
                <w:sz w:val="24"/>
                <w:szCs w:val="24"/>
              </w:rPr>
              <w:t>7.</w:t>
            </w:r>
          </w:p>
        </w:tc>
        <w:tc>
          <w:tcPr>
            <w:tcW w:w="811" w:type="dxa"/>
          </w:tcPr>
          <w:p w14:paraId="6BA01DB8" w14:textId="77777777" w:rsidR="0030520C" w:rsidRPr="00C56257" w:rsidRDefault="0030520C" w:rsidP="008E33FD">
            <w:pPr>
              <w:pStyle w:val="TableParagraph"/>
              <w:jc w:val="both"/>
              <w:rPr>
                <w:color w:val="000000" w:themeColor="text1"/>
                <w:sz w:val="24"/>
                <w:szCs w:val="24"/>
              </w:rPr>
            </w:pPr>
          </w:p>
          <w:p w14:paraId="78A0FD8C" w14:textId="77777777" w:rsidR="0030520C" w:rsidRPr="00C56257" w:rsidRDefault="0030520C" w:rsidP="008E33FD">
            <w:pPr>
              <w:pStyle w:val="TableParagraph"/>
              <w:jc w:val="both"/>
              <w:rPr>
                <w:color w:val="000000" w:themeColor="text1"/>
                <w:sz w:val="24"/>
                <w:szCs w:val="24"/>
              </w:rPr>
            </w:pPr>
          </w:p>
          <w:p w14:paraId="532BDEAA" w14:textId="77777777" w:rsidR="0030520C" w:rsidRPr="00C56257" w:rsidRDefault="0030520C" w:rsidP="008E33FD">
            <w:pPr>
              <w:pStyle w:val="TableParagraph"/>
              <w:jc w:val="both"/>
              <w:rPr>
                <w:color w:val="000000" w:themeColor="text1"/>
                <w:sz w:val="24"/>
                <w:szCs w:val="24"/>
              </w:rPr>
            </w:pPr>
          </w:p>
          <w:p w14:paraId="550A14DF" w14:textId="77777777" w:rsidR="0030520C" w:rsidRPr="00C56257" w:rsidRDefault="0030520C" w:rsidP="008E33FD">
            <w:pPr>
              <w:pStyle w:val="TableParagraph"/>
              <w:jc w:val="both"/>
              <w:rPr>
                <w:color w:val="000000" w:themeColor="text1"/>
                <w:sz w:val="24"/>
                <w:szCs w:val="24"/>
              </w:rPr>
            </w:pPr>
          </w:p>
          <w:p w14:paraId="7ECF852D" w14:textId="77777777" w:rsidR="0030520C" w:rsidRPr="00C56257" w:rsidRDefault="0030520C" w:rsidP="008E33FD">
            <w:pPr>
              <w:pStyle w:val="TableParagraph"/>
              <w:spacing w:before="6"/>
              <w:jc w:val="both"/>
              <w:rPr>
                <w:color w:val="000000" w:themeColor="text1"/>
                <w:sz w:val="24"/>
                <w:szCs w:val="24"/>
              </w:rPr>
            </w:pPr>
          </w:p>
          <w:p w14:paraId="7A350B33" w14:textId="77777777" w:rsidR="0030520C" w:rsidRPr="00C56257" w:rsidRDefault="0030520C" w:rsidP="008E33FD">
            <w:pPr>
              <w:pStyle w:val="TableParagraph"/>
              <w:jc w:val="both"/>
              <w:rPr>
                <w:color w:val="000000" w:themeColor="text1"/>
                <w:sz w:val="24"/>
                <w:szCs w:val="24"/>
              </w:rPr>
            </w:pPr>
            <w:r w:rsidRPr="00C56257">
              <w:rPr>
                <w:color w:val="000000" w:themeColor="text1"/>
                <w:sz w:val="24"/>
                <w:szCs w:val="24"/>
              </w:rPr>
              <w:t>CI01</w:t>
            </w:r>
          </w:p>
        </w:tc>
        <w:tc>
          <w:tcPr>
            <w:tcW w:w="1440" w:type="dxa"/>
          </w:tcPr>
          <w:p w14:paraId="5FFBAD78" w14:textId="77777777" w:rsidR="0030520C" w:rsidRPr="00C56257" w:rsidRDefault="0030520C" w:rsidP="008E33FD">
            <w:pPr>
              <w:pStyle w:val="TableParagraph"/>
              <w:ind w:right="301"/>
              <w:jc w:val="both"/>
              <w:rPr>
                <w:color w:val="000000" w:themeColor="text1"/>
                <w:sz w:val="24"/>
                <w:szCs w:val="24"/>
              </w:rPr>
            </w:pPr>
            <w:r w:rsidRPr="00C56257">
              <w:rPr>
                <w:color w:val="000000" w:themeColor="text1"/>
                <w:sz w:val="24"/>
                <w:szCs w:val="24"/>
              </w:rPr>
              <w:t>Detectarea</w:t>
            </w:r>
            <w:r w:rsidRPr="00C56257">
              <w:rPr>
                <w:color w:val="000000" w:themeColor="text1"/>
                <w:spacing w:val="1"/>
                <w:sz w:val="24"/>
                <w:szCs w:val="24"/>
              </w:rPr>
              <w:t xml:space="preserve"> </w:t>
            </w:r>
            <w:r w:rsidRPr="00C56257">
              <w:rPr>
                <w:color w:val="000000" w:themeColor="text1"/>
                <w:sz w:val="24"/>
                <w:szCs w:val="24"/>
              </w:rPr>
              <w:t>timpurie și</w:t>
            </w:r>
            <w:r w:rsidRPr="00C56257">
              <w:rPr>
                <w:color w:val="000000" w:themeColor="text1"/>
                <w:spacing w:val="1"/>
                <w:sz w:val="24"/>
                <w:szCs w:val="24"/>
              </w:rPr>
              <w:t xml:space="preserve"> </w:t>
            </w:r>
            <w:r w:rsidRPr="00C56257">
              <w:rPr>
                <w:color w:val="000000" w:themeColor="text1"/>
                <w:sz w:val="24"/>
                <w:szCs w:val="24"/>
              </w:rPr>
              <w:t>eradicarea</w:t>
            </w:r>
            <w:r w:rsidRPr="00C56257">
              <w:rPr>
                <w:color w:val="000000" w:themeColor="text1"/>
                <w:spacing w:val="1"/>
                <w:sz w:val="24"/>
                <w:szCs w:val="24"/>
              </w:rPr>
              <w:t xml:space="preserve"> </w:t>
            </w:r>
            <w:r w:rsidRPr="00C56257">
              <w:rPr>
                <w:color w:val="000000" w:themeColor="text1"/>
                <w:sz w:val="24"/>
                <w:szCs w:val="24"/>
              </w:rPr>
              <w:t>rapidă a</w:t>
            </w:r>
            <w:r w:rsidRPr="00C56257">
              <w:rPr>
                <w:color w:val="000000" w:themeColor="text1"/>
                <w:spacing w:val="1"/>
                <w:sz w:val="24"/>
                <w:szCs w:val="24"/>
              </w:rPr>
              <w:t xml:space="preserve"> </w:t>
            </w:r>
            <w:r w:rsidRPr="00C56257">
              <w:rPr>
                <w:color w:val="000000" w:themeColor="text1"/>
                <w:sz w:val="24"/>
                <w:szCs w:val="24"/>
              </w:rPr>
              <w:t>speciilor</w:t>
            </w:r>
            <w:r w:rsidRPr="00C56257">
              <w:rPr>
                <w:color w:val="000000" w:themeColor="text1"/>
                <w:spacing w:val="1"/>
                <w:sz w:val="24"/>
                <w:szCs w:val="24"/>
              </w:rPr>
              <w:t xml:space="preserve"> </w:t>
            </w:r>
            <w:r w:rsidRPr="00C56257">
              <w:rPr>
                <w:color w:val="000000" w:themeColor="text1"/>
                <w:sz w:val="24"/>
                <w:szCs w:val="24"/>
              </w:rPr>
              <w:t>alohtone,</w:t>
            </w:r>
            <w:r w:rsidRPr="00C56257">
              <w:rPr>
                <w:color w:val="000000" w:themeColor="text1"/>
                <w:spacing w:val="1"/>
                <w:sz w:val="24"/>
                <w:szCs w:val="24"/>
              </w:rPr>
              <w:t xml:space="preserve"> </w:t>
            </w:r>
            <w:r w:rsidRPr="00C56257">
              <w:rPr>
                <w:color w:val="000000" w:themeColor="text1"/>
                <w:sz w:val="24"/>
                <w:szCs w:val="24"/>
              </w:rPr>
              <w:t>invazive</w:t>
            </w:r>
            <w:r w:rsidRPr="00C56257">
              <w:rPr>
                <w:color w:val="000000" w:themeColor="text1"/>
                <w:spacing w:val="1"/>
                <w:sz w:val="24"/>
                <w:szCs w:val="24"/>
              </w:rPr>
              <w:t xml:space="preserve"> </w:t>
            </w:r>
            <w:r w:rsidRPr="00C56257">
              <w:rPr>
                <w:color w:val="000000" w:themeColor="text1"/>
                <w:sz w:val="24"/>
                <w:szCs w:val="24"/>
              </w:rPr>
              <w:t>considerate</w:t>
            </w:r>
            <w:r w:rsidRPr="00C56257">
              <w:rPr>
                <w:color w:val="000000" w:themeColor="text1"/>
                <w:spacing w:val="-52"/>
                <w:sz w:val="24"/>
                <w:szCs w:val="24"/>
              </w:rPr>
              <w:t xml:space="preserve"> </w:t>
            </w:r>
            <w:r w:rsidRPr="00C56257">
              <w:rPr>
                <w:color w:val="000000" w:themeColor="text1"/>
                <w:sz w:val="24"/>
                <w:szCs w:val="24"/>
              </w:rPr>
              <w:t>de interes</w:t>
            </w:r>
            <w:r w:rsidRPr="00C56257">
              <w:rPr>
                <w:color w:val="000000" w:themeColor="text1"/>
                <w:spacing w:val="1"/>
                <w:sz w:val="24"/>
                <w:szCs w:val="24"/>
              </w:rPr>
              <w:t xml:space="preserve"> </w:t>
            </w:r>
            <w:r w:rsidRPr="00C56257">
              <w:rPr>
                <w:color w:val="000000" w:themeColor="text1"/>
                <w:sz w:val="24"/>
                <w:szCs w:val="24"/>
              </w:rPr>
              <w:t>pentru</w:t>
            </w:r>
            <w:r w:rsidRPr="00C56257">
              <w:rPr>
                <w:color w:val="000000" w:themeColor="text1"/>
                <w:spacing w:val="1"/>
                <w:sz w:val="24"/>
                <w:szCs w:val="24"/>
              </w:rPr>
              <w:t xml:space="preserve"> </w:t>
            </w:r>
            <w:r w:rsidRPr="00C56257">
              <w:rPr>
                <w:color w:val="000000" w:themeColor="text1"/>
                <w:sz w:val="24"/>
                <w:szCs w:val="24"/>
              </w:rPr>
              <w:t>Uniunea</w:t>
            </w:r>
            <w:r w:rsidRPr="00C56257">
              <w:rPr>
                <w:color w:val="000000" w:themeColor="text1"/>
                <w:spacing w:val="1"/>
                <w:sz w:val="24"/>
                <w:szCs w:val="24"/>
              </w:rPr>
              <w:t xml:space="preserve"> </w:t>
            </w:r>
            <w:r w:rsidRPr="00C56257">
              <w:rPr>
                <w:color w:val="000000" w:themeColor="text1"/>
                <w:sz w:val="24"/>
                <w:szCs w:val="24"/>
              </w:rPr>
              <w:t>Europeană</w:t>
            </w:r>
          </w:p>
        </w:tc>
        <w:tc>
          <w:tcPr>
            <w:tcW w:w="4999" w:type="dxa"/>
          </w:tcPr>
          <w:p w14:paraId="553ABDDE" w14:textId="77777777" w:rsidR="0030520C" w:rsidRPr="00C56257" w:rsidRDefault="0030520C" w:rsidP="008E33FD">
            <w:pPr>
              <w:pStyle w:val="TableParagraph"/>
              <w:jc w:val="both"/>
              <w:rPr>
                <w:color w:val="000000" w:themeColor="text1"/>
                <w:sz w:val="24"/>
                <w:szCs w:val="24"/>
              </w:rPr>
            </w:pPr>
          </w:p>
          <w:p w14:paraId="4992CF5B" w14:textId="77777777" w:rsidR="0030520C" w:rsidRPr="00C56257" w:rsidRDefault="0030520C" w:rsidP="008E33FD">
            <w:pPr>
              <w:pStyle w:val="TableParagraph"/>
              <w:spacing w:before="5"/>
              <w:jc w:val="both"/>
              <w:rPr>
                <w:color w:val="000000" w:themeColor="text1"/>
                <w:sz w:val="24"/>
                <w:szCs w:val="24"/>
              </w:rPr>
            </w:pPr>
          </w:p>
          <w:p w14:paraId="2029AA81" w14:textId="77777777" w:rsidR="0030520C" w:rsidRPr="00C56257" w:rsidRDefault="0030520C" w:rsidP="008E33FD">
            <w:pPr>
              <w:pStyle w:val="TableParagraph"/>
              <w:ind w:left="108" w:right="127"/>
              <w:jc w:val="both"/>
              <w:rPr>
                <w:color w:val="000000" w:themeColor="text1"/>
                <w:sz w:val="24"/>
                <w:szCs w:val="24"/>
              </w:rPr>
            </w:pPr>
            <w:r w:rsidRPr="00C56257">
              <w:rPr>
                <w:color w:val="000000" w:themeColor="text1"/>
                <w:sz w:val="24"/>
                <w:szCs w:val="24"/>
              </w:rPr>
              <w:t>Stabilirea și aplicarea sistemului de detectare</w:t>
            </w:r>
            <w:r w:rsidRPr="00C56257">
              <w:rPr>
                <w:color w:val="000000" w:themeColor="text1"/>
                <w:spacing w:val="1"/>
                <w:sz w:val="24"/>
                <w:szCs w:val="24"/>
              </w:rPr>
              <w:t xml:space="preserve"> </w:t>
            </w:r>
            <w:r w:rsidRPr="00C56257">
              <w:rPr>
                <w:color w:val="000000" w:themeColor="text1"/>
                <w:sz w:val="24"/>
                <w:szCs w:val="24"/>
              </w:rPr>
              <w:t>timpurie și eradicare rapidă a speciilor străine</w:t>
            </w:r>
            <w:r w:rsidRPr="00C56257">
              <w:rPr>
                <w:color w:val="000000" w:themeColor="text1"/>
                <w:spacing w:val="-53"/>
                <w:sz w:val="24"/>
                <w:szCs w:val="24"/>
              </w:rPr>
              <w:t xml:space="preserve"> </w:t>
            </w:r>
            <w:r w:rsidRPr="00C56257">
              <w:rPr>
                <w:color w:val="000000" w:themeColor="text1"/>
                <w:sz w:val="24"/>
                <w:szCs w:val="24"/>
              </w:rPr>
              <w:t>invazive</w:t>
            </w:r>
            <w:r w:rsidRPr="00C56257">
              <w:rPr>
                <w:color w:val="000000" w:themeColor="text1"/>
                <w:spacing w:val="4"/>
                <w:sz w:val="24"/>
                <w:szCs w:val="24"/>
              </w:rPr>
              <w:t xml:space="preserve"> </w:t>
            </w:r>
            <w:r w:rsidRPr="00C56257">
              <w:rPr>
                <w:color w:val="000000" w:themeColor="text1"/>
                <w:sz w:val="24"/>
                <w:szCs w:val="24"/>
              </w:rPr>
              <w:t>de</w:t>
            </w:r>
            <w:r w:rsidRPr="00C56257">
              <w:rPr>
                <w:color w:val="000000" w:themeColor="text1"/>
                <w:spacing w:val="4"/>
                <w:sz w:val="24"/>
                <w:szCs w:val="24"/>
              </w:rPr>
              <w:t xml:space="preserve"> </w:t>
            </w:r>
            <w:r w:rsidRPr="00C56257">
              <w:rPr>
                <w:color w:val="000000" w:themeColor="text1"/>
                <w:sz w:val="24"/>
                <w:szCs w:val="24"/>
              </w:rPr>
              <w:t>interes</w:t>
            </w:r>
            <w:r w:rsidRPr="00C56257">
              <w:rPr>
                <w:color w:val="000000" w:themeColor="text1"/>
                <w:spacing w:val="5"/>
                <w:sz w:val="24"/>
                <w:szCs w:val="24"/>
              </w:rPr>
              <w:t xml:space="preserve"> </w:t>
            </w:r>
            <w:r w:rsidRPr="00C56257">
              <w:rPr>
                <w:color w:val="000000" w:themeColor="text1"/>
                <w:sz w:val="24"/>
                <w:szCs w:val="24"/>
              </w:rPr>
              <w:t>pentru</w:t>
            </w:r>
            <w:r w:rsidRPr="00C56257">
              <w:rPr>
                <w:color w:val="000000" w:themeColor="text1"/>
                <w:spacing w:val="1"/>
                <w:sz w:val="24"/>
                <w:szCs w:val="24"/>
              </w:rPr>
              <w:t xml:space="preserve"> </w:t>
            </w:r>
            <w:r w:rsidRPr="00C56257">
              <w:rPr>
                <w:color w:val="000000" w:themeColor="text1"/>
                <w:sz w:val="24"/>
                <w:szCs w:val="24"/>
              </w:rPr>
              <w:t>Uniunea</w:t>
            </w:r>
            <w:r w:rsidRPr="00C56257">
              <w:rPr>
                <w:color w:val="000000" w:themeColor="text1"/>
                <w:spacing w:val="1"/>
                <w:sz w:val="24"/>
                <w:szCs w:val="24"/>
              </w:rPr>
              <w:t xml:space="preserve"> </w:t>
            </w:r>
            <w:r w:rsidRPr="00C56257">
              <w:rPr>
                <w:color w:val="000000" w:themeColor="text1"/>
                <w:sz w:val="24"/>
                <w:szCs w:val="24"/>
              </w:rPr>
              <w:t>Europeană (în conformitate cu Regulamentul</w:t>
            </w:r>
            <w:r w:rsidRPr="00C56257">
              <w:rPr>
                <w:color w:val="000000" w:themeColor="text1"/>
                <w:spacing w:val="-52"/>
                <w:sz w:val="24"/>
                <w:szCs w:val="24"/>
              </w:rPr>
              <w:t xml:space="preserve"> </w:t>
            </w:r>
            <w:r w:rsidRPr="00C56257">
              <w:rPr>
                <w:color w:val="000000" w:themeColor="text1"/>
                <w:sz w:val="24"/>
                <w:szCs w:val="24"/>
              </w:rPr>
              <w:t>(UE)</w:t>
            </w:r>
            <w:r w:rsidRPr="00C56257">
              <w:rPr>
                <w:color w:val="000000" w:themeColor="text1"/>
                <w:spacing w:val="-1"/>
                <w:sz w:val="24"/>
                <w:szCs w:val="24"/>
              </w:rPr>
              <w:t xml:space="preserve"> </w:t>
            </w:r>
            <w:r w:rsidRPr="00C56257">
              <w:rPr>
                <w:color w:val="000000" w:themeColor="text1"/>
                <w:sz w:val="24"/>
                <w:szCs w:val="24"/>
              </w:rPr>
              <w:t>nr. 1143/2014).</w:t>
            </w:r>
          </w:p>
          <w:p w14:paraId="797EE589" w14:textId="77777777" w:rsidR="0030520C" w:rsidRPr="00C56257" w:rsidRDefault="0030520C" w:rsidP="008E33FD">
            <w:pPr>
              <w:pStyle w:val="TableParagraph"/>
              <w:ind w:left="108" w:right="176"/>
              <w:jc w:val="both"/>
              <w:rPr>
                <w:color w:val="000000" w:themeColor="text1"/>
                <w:sz w:val="24"/>
                <w:szCs w:val="24"/>
              </w:rPr>
            </w:pPr>
            <w:r w:rsidRPr="00C56257">
              <w:rPr>
                <w:color w:val="000000" w:themeColor="text1"/>
                <w:sz w:val="24"/>
                <w:szCs w:val="24"/>
              </w:rPr>
              <w:t>Aceasta include, de asemenea, măsuri pentru</w:t>
            </w:r>
            <w:r w:rsidRPr="00C56257">
              <w:rPr>
                <w:color w:val="000000" w:themeColor="text1"/>
                <w:spacing w:val="-52"/>
                <w:sz w:val="24"/>
                <w:szCs w:val="24"/>
              </w:rPr>
              <w:t xml:space="preserve"> </w:t>
            </w:r>
            <w:r w:rsidRPr="00C56257">
              <w:rPr>
                <w:color w:val="000000" w:themeColor="text1"/>
                <w:sz w:val="24"/>
                <w:szCs w:val="24"/>
              </w:rPr>
              <w:t>prevenirea sau reducerea probabilității</w:t>
            </w:r>
            <w:r w:rsidRPr="00C56257">
              <w:rPr>
                <w:color w:val="000000" w:themeColor="text1"/>
                <w:spacing w:val="1"/>
                <w:sz w:val="24"/>
                <w:szCs w:val="24"/>
              </w:rPr>
              <w:t xml:space="preserve"> </w:t>
            </w:r>
            <w:r w:rsidRPr="00C56257">
              <w:rPr>
                <w:color w:val="000000" w:themeColor="text1"/>
                <w:sz w:val="24"/>
                <w:szCs w:val="24"/>
              </w:rPr>
              <w:t>stabilirii/fixării și intrării speciilor alohtone</w:t>
            </w:r>
            <w:r w:rsidRPr="00C56257">
              <w:rPr>
                <w:color w:val="000000" w:themeColor="text1"/>
                <w:spacing w:val="1"/>
                <w:sz w:val="24"/>
                <w:szCs w:val="24"/>
              </w:rPr>
              <w:t xml:space="preserve"> </w:t>
            </w:r>
            <w:r w:rsidRPr="00C56257">
              <w:rPr>
                <w:color w:val="000000" w:themeColor="text1"/>
                <w:sz w:val="24"/>
                <w:szCs w:val="24"/>
              </w:rPr>
              <w:t>invazive.</w:t>
            </w:r>
          </w:p>
        </w:tc>
        <w:tc>
          <w:tcPr>
            <w:tcW w:w="1890" w:type="dxa"/>
          </w:tcPr>
          <w:p w14:paraId="1438AE56" w14:textId="77777777" w:rsidR="0030520C" w:rsidRPr="00C56257" w:rsidRDefault="0030520C" w:rsidP="008E33FD">
            <w:pPr>
              <w:pStyle w:val="TableParagraph"/>
              <w:jc w:val="both"/>
              <w:rPr>
                <w:color w:val="000000" w:themeColor="text1"/>
                <w:sz w:val="24"/>
                <w:szCs w:val="24"/>
              </w:rPr>
            </w:pPr>
          </w:p>
          <w:p w14:paraId="5D84CC91" w14:textId="77777777" w:rsidR="0030520C" w:rsidRPr="00C56257" w:rsidRDefault="0030520C" w:rsidP="008E33FD">
            <w:pPr>
              <w:pStyle w:val="TableParagraph"/>
              <w:jc w:val="both"/>
              <w:rPr>
                <w:color w:val="000000" w:themeColor="text1"/>
                <w:sz w:val="24"/>
                <w:szCs w:val="24"/>
              </w:rPr>
            </w:pPr>
          </w:p>
          <w:p w14:paraId="4AA8C0C6" w14:textId="77777777" w:rsidR="0030520C" w:rsidRPr="00C56257" w:rsidRDefault="0030520C" w:rsidP="008E33FD">
            <w:pPr>
              <w:pStyle w:val="TableParagraph"/>
              <w:jc w:val="both"/>
              <w:rPr>
                <w:color w:val="000000" w:themeColor="text1"/>
                <w:sz w:val="24"/>
                <w:szCs w:val="24"/>
              </w:rPr>
            </w:pPr>
          </w:p>
          <w:p w14:paraId="46F84D90" w14:textId="77777777" w:rsidR="0030520C" w:rsidRPr="00C56257" w:rsidRDefault="0030520C" w:rsidP="008E33FD">
            <w:pPr>
              <w:pStyle w:val="TableParagraph"/>
              <w:jc w:val="both"/>
              <w:rPr>
                <w:color w:val="000000" w:themeColor="text1"/>
                <w:sz w:val="24"/>
                <w:szCs w:val="24"/>
              </w:rPr>
            </w:pPr>
          </w:p>
          <w:p w14:paraId="3EC45ACA" w14:textId="77777777" w:rsidR="0030520C" w:rsidRPr="00C56257" w:rsidRDefault="0030520C" w:rsidP="008E33FD">
            <w:pPr>
              <w:pStyle w:val="TableParagraph"/>
              <w:spacing w:before="6"/>
              <w:jc w:val="both"/>
              <w:rPr>
                <w:color w:val="000000" w:themeColor="text1"/>
                <w:sz w:val="24"/>
                <w:szCs w:val="24"/>
              </w:rPr>
            </w:pPr>
          </w:p>
          <w:p w14:paraId="0DDBCA2F" w14:textId="77777777" w:rsidR="0030520C" w:rsidRPr="00C56257" w:rsidRDefault="0030520C" w:rsidP="008E33FD">
            <w:pPr>
              <w:pStyle w:val="TableParagraph"/>
              <w:ind w:left="109"/>
              <w:jc w:val="both"/>
              <w:rPr>
                <w:color w:val="000000" w:themeColor="text1"/>
                <w:sz w:val="24"/>
                <w:szCs w:val="24"/>
              </w:rPr>
            </w:pPr>
            <w:r w:rsidRPr="00C56257">
              <w:rPr>
                <w:color w:val="000000" w:themeColor="text1"/>
                <w:sz w:val="24"/>
                <w:szCs w:val="24"/>
              </w:rPr>
              <w:t>I01</w:t>
            </w:r>
          </w:p>
        </w:tc>
      </w:tr>
      <w:tr w:rsidR="0030520C" w:rsidRPr="00C56257" w14:paraId="11D3CF83" w14:textId="77777777" w:rsidTr="0009599D">
        <w:trPr>
          <w:trHeight w:val="343"/>
        </w:trPr>
        <w:tc>
          <w:tcPr>
            <w:tcW w:w="648" w:type="dxa"/>
          </w:tcPr>
          <w:p w14:paraId="398F05E8" w14:textId="77777777" w:rsidR="0030520C" w:rsidRPr="00C56257" w:rsidRDefault="0030520C" w:rsidP="008E33FD">
            <w:pPr>
              <w:pStyle w:val="TableParagraph"/>
              <w:spacing w:line="247" w:lineRule="exact"/>
              <w:ind w:right="2"/>
              <w:jc w:val="both"/>
              <w:rPr>
                <w:color w:val="000000" w:themeColor="text1"/>
                <w:sz w:val="24"/>
                <w:szCs w:val="24"/>
              </w:rPr>
            </w:pPr>
            <w:r w:rsidRPr="00C56257">
              <w:rPr>
                <w:color w:val="000000" w:themeColor="text1"/>
                <w:sz w:val="24"/>
                <w:szCs w:val="24"/>
              </w:rPr>
              <w:t>8.</w:t>
            </w:r>
          </w:p>
        </w:tc>
        <w:tc>
          <w:tcPr>
            <w:tcW w:w="811" w:type="dxa"/>
          </w:tcPr>
          <w:p w14:paraId="3EE266A7" w14:textId="77777777" w:rsidR="0030520C" w:rsidRPr="00C56257" w:rsidRDefault="0030520C" w:rsidP="008E33FD">
            <w:pPr>
              <w:pStyle w:val="TableParagraph"/>
              <w:jc w:val="both"/>
              <w:rPr>
                <w:color w:val="000000" w:themeColor="text1"/>
                <w:sz w:val="24"/>
                <w:szCs w:val="24"/>
              </w:rPr>
            </w:pPr>
          </w:p>
          <w:p w14:paraId="0E88F88D" w14:textId="77777777" w:rsidR="0030520C" w:rsidRPr="00C56257" w:rsidRDefault="0030520C" w:rsidP="008E33FD">
            <w:pPr>
              <w:pStyle w:val="TableParagraph"/>
              <w:jc w:val="both"/>
              <w:rPr>
                <w:color w:val="000000" w:themeColor="text1"/>
                <w:sz w:val="24"/>
                <w:szCs w:val="24"/>
              </w:rPr>
            </w:pPr>
          </w:p>
          <w:p w14:paraId="37B3F192" w14:textId="77777777" w:rsidR="0030520C" w:rsidRPr="00C56257" w:rsidRDefault="0030520C" w:rsidP="008E33FD">
            <w:pPr>
              <w:pStyle w:val="TableParagraph"/>
              <w:jc w:val="both"/>
              <w:rPr>
                <w:color w:val="000000" w:themeColor="text1"/>
                <w:sz w:val="24"/>
                <w:szCs w:val="24"/>
              </w:rPr>
            </w:pPr>
          </w:p>
          <w:p w14:paraId="0D47384C" w14:textId="77777777" w:rsidR="0030520C" w:rsidRPr="00C56257" w:rsidRDefault="0030520C" w:rsidP="008E33FD">
            <w:pPr>
              <w:pStyle w:val="TableParagraph"/>
              <w:jc w:val="both"/>
              <w:rPr>
                <w:color w:val="000000" w:themeColor="text1"/>
                <w:sz w:val="24"/>
                <w:szCs w:val="24"/>
              </w:rPr>
            </w:pPr>
          </w:p>
          <w:p w14:paraId="00476F50" w14:textId="77777777" w:rsidR="0030520C" w:rsidRPr="00C56257" w:rsidRDefault="0030520C" w:rsidP="008E33FD">
            <w:pPr>
              <w:pStyle w:val="TableParagraph"/>
              <w:jc w:val="both"/>
              <w:rPr>
                <w:color w:val="000000" w:themeColor="text1"/>
                <w:sz w:val="24"/>
                <w:szCs w:val="24"/>
              </w:rPr>
            </w:pPr>
          </w:p>
          <w:p w14:paraId="4F861047" w14:textId="77777777" w:rsidR="0030520C" w:rsidRPr="00C56257" w:rsidRDefault="0030520C" w:rsidP="008E33FD">
            <w:pPr>
              <w:pStyle w:val="TableParagraph"/>
              <w:jc w:val="both"/>
              <w:rPr>
                <w:color w:val="000000" w:themeColor="text1"/>
                <w:sz w:val="24"/>
                <w:szCs w:val="24"/>
              </w:rPr>
            </w:pPr>
          </w:p>
          <w:p w14:paraId="652B40D2" w14:textId="77777777" w:rsidR="0030520C" w:rsidRPr="00C56257" w:rsidRDefault="0030520C" w:rsidP="008E33FD">
            <w:pPr>
              <w:pStyle w:val="TableParagraph"/>
              <w:jc w:val="both"/>
              <w:rPr>
                <w:color w:val="000000" w:themeColor="text1"/>
                <w:sz w:val="24"/>
                <w:szCs w:val="24"/>
              </w:rPr>
            </w:pPr>
          </w:p>
          <w:p w14:paraId="47629606" w14:textId="77777777" w:rsidR="0030520C" w:rsidRPr="00C56257" w:rsidRDefault="0030520C" w:rsidP="008E33FD">
            <w:pPr>
              <w:pStyle w:val="TableParagraph"/>
              <w:spacing w:before="4"/>
              <w:jc w:val="both"/>
              <w:rPr>
                <w:color w:val="000000" w:themeColor="text1"/>
                <w:sz w:val="24"/>
                <w:szCs w:val="24"/>
              </w:rPr>
            </w:pPr>
          </w:p>
          <w:p w14:paraId="2C2246F0" w14:textId="77777777" w:rsidR="0030520C" w:rsidRPr="00C56257" w:rsidRDefault="0030520C" w:rsidP="008E33FD">
            <w:pPr>
              <w:pStyle w:val="TableParagraph"/>
              <w:spacing w:before="1"/>
              <w:jc w:val="both"/>
              <w:rPr>
                <w:color w:val="000000" w:themeColor="text1"/>
                <w:sz w:val="24"/>
                <w:szCs w:val="24"/>
              </w:rPr>
            </w:pPr>
            <w:r w:rsidRPr="00C56257">
              <w:rPr>
                <w:color w:val="000000" w:themeColor="text1"/>
                <w:sz w:val="24"/>
                <w:szCs w:val="24"/>
              </w:rPr>
              <w:t>CI03</w:t>
            </w:r>
          </w:p>
        </w:tc>
        <w:tc>
          <w:tcPr>
            <w:tcW w:w="1440" w:type="dxa"/>
          </w:tcPr>
          <w:p w14:paraId="3A082819" w14:textId="77777777" w:rsidR="0030520C" w:rsidRPr="00C56257" w:rsidRDefault="0030520C" w:rsidP="008E33FD">
            <w:pPr>
              <w:pStyle w:val="TableParagraph"/>
              <w:ind w:right="154"/>
              <w:jc w:val="both"/>
              <w:rPr>
                <w:color w:val="000000" w:themeColor="text1"/>
                <w:sz w:val="24"/>
                <w:szCs w:val="24"/>
              </w:rPr>
            </w:pPr>
            <w:r w:rsidRPr="00C56257">
              <w:rPr>
                <w:color w:val="000000" w:themeColor="text1"/>
                <w:sz w:val="24"/>
                <w:szCs w:val="24"/>
              </w:rPr>
              <w:t>Management</w:t>
            </w:r>
            <w:r w:rsidRPr="00C56257">
              <w:rPr>
                <w:color w:val="000000" w:themeColor="text1"/>
                <w:spacing w:val="-53"/>
                <w:sz w:val="24"/>
                <w:szCs w:val="24"/>
              </w:rPr>
              <w:t xml:space="preserve"> </w:t>
            </w:r>
            <w:r w:rsidRPr="00C56257">
              <w:rPr>
                <w:color w:val="000000" w:themeColor="text1"/>
                <w:sz w:val="24"/>
                <w:szCs w:val="24"/>
              </w:rPr>
              <w:t>ul, controlul</w:t>
            </w:r>
            <w:r w:rsidRPr="00C56257">
              <w:rPr>
                <w:color w:val="000000" w:themeColor="text1"/>
                <w:spacing w:val="1"/>
                <w:sz w:val="24"/>
                <w:szCs w:val="24"/>
              </w:rPr>
              <w:t xml:space="preserve"> </w:t>
            </w:r>
            <w:r w:rsidRPr="00C56257">
              <w:rPr>
                <w:color w:val="000000" w:themeColor="text1"/>
                <w:sz w:val="24"/>
                <w:szCs w:val="24"/>
              </w:rPr>
              <w:t>sau</w:t>
            </w:r>
            <w:r w:rsidRPr="00C56257">
              <w:rPr>
                <w:color w:val="000000" w:themeColor="text1"/>
                <w:spacing w:val="1"/>
                <w:sz w:val="24"/>
                <w:szCs w:val="24"/>
              </w:rPr>
              <w:t xml:space="preserve"> </w:t>
            </w:r>
            <w:r w:rsidRPr="00C56257">
              <w:rPr>
                <w:color w:val="000000" w:themeColor="text1"/>
                <w:sz w:val="24"/>
                <w:szCs w:val="24"/>
              </w:rPr>
              <w:t>eradicarea</w:t>
            </w:r>
            <w:r w:rsidRPr="00C56257">
              <w:rPr>
                <w:color w:val="000000" w:themeColor="text1"/>
                <w:spacing w:val="1"/>
                <w:sz w:val="24"/>
                <w:szCs w:val="24"/>
              </w:rPr>
              <w:t xml:space="preserve"> </w:t>
            </w:r>
            <w:r w:rsidRPr="00C56257">
              <w:rPr>
                <w:color w:val="000000" w:themeColor="text1"/>
                <w:sz w:val="24"/>
                <w:szCs w:val="24"/>
              </w:rPr>
              <w:t>altor specii</w:t>
            </w:r>
            <w:r w:rsidRPr="00C56257">
              <w:rPr>
                <w:color w:val="000000" w:themeColor="text1"/>
                <w:spacing w:val="1"/>
                <w:sz w:val="24"/>
                <w:szCs w:val="24"/>
              </w:rPr>
              <w:t xml:space="preserve"> </w:t>
            </w:r>
            <w:r w:rsidRPr="00C56257">
              <w:rPr>
                <w:color w:val="000000" w:themeColor="text1"/>
                <w:sz w:val="24"/>
                <w:szCs w:val="24"/>
              </w:rPr>
              <w:t>alohtone</w:t>
            </w:r>
            <w:r w:rsidRPr="00C56257">
              <w:rPr>
                <w:color w:val="000000" w:themeColor="text1"/>
                <w:spacing w:val="1"/>
                <w:sz w:val="24"/>
                <w:szCs w:val="24"/>
              </w:rPr>
              <w:t xml:space="preserve"> </w:t>
            </w:r>
            <w:r w:rsidRPr="00C56257">
              <w:rPr>
                <w:color w:val="000000" w:themeColor="text1"/>
                <w:sz w:val="24"/>
                <w:szCs w:val="24"/>
              </w:rPr>
              <w:t>invazive</w:t>
            </w:r>
          </w:p>
        </w:tc>
        <w:tc>
          <w:tcPr>
            <w:tcW w:w="4999" w:type="dxa"/>
          </w:tcPr>
          <w:p w14:paraId="65F728C9" w14:textId="77777777" w:rsidR="0030520C" w:rsidRPr="00C56257" w:rsidRDefault="0030520C" w:rsidP="0030520C">
            <w:pPr>
              <w:pStyle w:val="TableParagraph"/>
              <w:spacing w:before="143"/>
              <w:ind w:right="171"/>
              <w:jc w:val="both"/>
              <w:rPr>
                <w:color w:val="000000" w:themeColor="text1"/>
                <w:sz w:val="24"/>
                <w:szCs w:val="24"/>
              </w:rPr>
            </w:pPr>
            <w:r w:rsidRPr="00C56257">
              <w:rPr>
                <w:color w:val="000000" w:themeColor="text1"/>
                <w:sz w:val="24"/>
                <w:szCs w:val="24"/>
              </w:rPr>
              <w:t>Gestionarea,</w:t>
            </w:r>
            <w:r w:rsidRPr="00C56257">
              <w:rPr>
                <w:color w:val="000000" w:themeColor="text1"/>
                <w:spacing w:val="-7"/>
                <w:sz w:val="24"/>
                <w:szCs w:val="24"/>
              </w:rPr>
              <w:t xml:space="preserve"> </w:t>
            </w:r>
            <w:r w:rsidRPr="00C56257">
              <w:rPr>
                <w:color w:val="000000" w:themeColor="text1"/>
                <w:sz w:val="24"/>
                <w:szCs w:val="24"/>
              </w:rPr>
              <w:t>controlul</w:t>
            </w:r>
            <w:r w:rsidRPr="00C56257">
              <w:rPr>
                <w:color w:val="000000" w:themeColor="text1"/>
                <w:spacing w:val="-7"/>
                <w:sz w:val="24"/>
                <w:szCs w:val="24"/>
              </w:rPr>
              <w:t xml:space="preserve"> </w:t>
            </w:r>
            <w:r w:rsidRPr="00C56257">
              <w:rPr>
                <w:color w:val="000000" w:themeColor="text1"/>
                <w:sz w:val="24"/>
                <w:szCs w:val="24"/>
              </w:rPr>
              <w:t>răspândirii</w:t>
            </w:r>
            <w:r w:rsidRPr="00C56257">
              <w:rPr>
                <w:color w:val="000000" w:themeColor="text1"/>
                <w:spacing w:val="-3"/>
                <w:sz w:val="24"/>
                <w:szCs w:val="24"/>
              </w:rPr>
              <w:t xml:space="preserve"> </w:t>
            </w:r>
            <w:r w:rsidRPr="00C56257">
              <w:rPr>
                <w:color w:val="000000" w:themeColor="text1"/>
                <w:sz w:val="24"/>
                <w:szCs w:val="24"/>
              </w:rPr>
              <w:t>altor</w:t>
            </w:r>
            <w:r w:rsidRPr="00C56257">
              <w:rPr>
                <w:color w:val="000000" w:themeColor="text1"/>
                <w:spacing w:val="-4"/>
                <w:sz w:val="24"/>
                <w:szCs w:val="24"/>
              </w:rPr>
              <w:t xml:space="preserve"> </w:t>
            </w:r>
            <w:r w:rsidRPr="00C56257">
              <w:rPr>
                <w:color w:val="000000" w:themeColor="text1"/>
                <w:sz w:val="24"/>
                <w:szCs w:val="24"/>
              </w:rPr>
              <w:t>specii</w:t>
            </w:r>
            <w:r w:rsidRPr="00C56257">
              <w:rPr>
                <w:color w:val="000000" w:themeColor="text1"/>
                <w:spacing w:val="-52"/>
                <w:sz w:val="24"/>
                <w:szCs w:val="24"/>
              </w:rPr>
              <w:t xml:space="preserve"> </w:t>
            </w:r>
            <w:r w:rsidRPr="00C56257">
              <w:rPr>
                <w:color w:val="000000" w:themeColor="text1"/>
                <w:sz w:val="24"/>
                <w:szCs w:val="24"/>
              </w:rPr>
              <w:t>non-native „invazive” (adică orice specie</w:t>
            </w:r>
            <w:r w:rsidRPr="00C56257">
              <w:rPr>
                <w:color w:val="000000" w:themeColor="text1"/>
                <w:spacing w:val="1"/>
                <w:sz w:val="24"/>
                <w:szCs w:val="24"/>
              </w:rPr>
              <w:t xml:space="preserve"> </w:t>
            </w:r>
            <w:r w:rsidRPr="00C56257">
              <w:rPr>
                <w:color w:val="000000" w:themeColor="text1"/>
                <w:sz w:val="24"/>
                <w:szCs w:val="24"/>
              </w:rPr>
              <w:t>introdusă în perioada modernă care este</w:t>
            </w:r>
            <w:r w:rsidRPr="00C56257">
              <w:rPr>
                <w:color w:val="000000" w:themeColor="text1"/>
                <w:spacing w:val="1"/>
                <w:sz w:val="24"/>
                <w:szCs w:val="24"/>
              </w:rPr>
              <w:t xml:space="preserve"> </w:t>
            </w:r>
            <w:r w:rsidRPr="00C56257">
              <w:rPr>
                <w:color w:val="000000" w:themeColor="text1"/>
                <w:sz w:val="24"/>
                <w:szCs w:val="24"/>
              </w:rPr>
              <w:t>stabilită în sălbăticie în afara ariei sale</w:t>
            </w:r>
            <w:r w:rsidRPr="00C56257">
              <w:rPr>
                <w:color w:val="000000" w:themeColor="text1"/>
                <w:spacing w:val="1"/>
                <w:sz w:val="24"/>
                <w:szCs w:val="24"/>
              </w:rPr>
              <w:t xml:space="preserve"> </w:t>
            </w:r>
            <w:r w:rsidRPr="00C56257">
              <w:rPr>
                <w:color w:val="000000" w:themeColor="text1"/>
                <w:sz w:val="24"/>
                <w:szCs w:val="24"/>
              </w:rPr>
              <w:t>naturale și a cărei introducere și / sau</w:t>
            </w:r>
            <w:r w:rsidRPr="00C56257">
              <w:rPr>
                <w:color w:val="000000" w:themeColor="text1"/>
                <w:spacing w:val="1"/>
                <w:sz w:val="24"/>
                <w:szCs w:val="24"/>
              </w:rPr>
              <w:t xml:space="preserve"> </w:t>
            </w:r>
            <w:r w:rsidRPr="00C56257">
              <w:rPr>
                <w:color w:val="000000" w:themeColor="text1"/>
                <w:sz w:val="24"/>
                <w:szCs w:val="24"/>
              </w:rPr>
              <w:t>răspândire reprezintă o amenințare concretă</w:t>
            </w:r>
            <w:r w:rsidRPr="00C56257">
              <w:rPr>
                <w:color w:val="000000" w:themeColor="text1"/>
                <w:spacing w:val="1"/>
                <w:sz w:val="24"/>
                <w:szCs w:val="24"/>
              </w:rPr>
              <w:t xml:space="preserve"> </w:t>
            </w:r>
            <w:r w:rsidRPr="00C56257">
              <w:rPr>
                <w:color w:val="000000" w:themeColor="text1"/>
                <w:sz w:val="24"/>
                <w:szCs w:val="24"/>
              </w:rPr>
              <w:t>sau potențială pentru habitate și specii,</w:t>
            </w:r>
            <w:r w:rsidRPr="00C56257">
              <w:rPr>
                <w:color w:val="000000" w:themeColor="text1"/>
                <w:spacing w:val="1"/>
                <w:sz w:val="24"/>
                <w:szCs w:val="24"/>
              </w:rPr>
              <w:t xml:space="preserve"> </w:t>
            </w:r>
            <w:r w:rsidRPr="00C56257">
              <w:rPr>
                <w:color w:val="000000" w:themeColor="text1"/>
                <w:sz w:val="24"/>
                <w:szCs w:val="24"/>
              </w:rPr>
              <w:t>indiferent de dinamica populației invazive</w:t>
            </w:r>
            <w:r w:rsidRPr="00C56257">
              <w:rPr>
                <w:color w:val="000000" w:themeColor="text1"/>
                <w:spacing w:val="1"/>
                <w:sz w:val="24"/>
                <w:szCs w:val="24"/>
              </w:rPr>
              <w:t xml:space="preserve"> </w:t>
            </w:r>
            <w:r w:rsidRPr="00C56257">
              <w:rPr>
                <w:color w:val="000000" w:themeColor="text1"/>
                <w:sz w:val="24"/>
                <w:szCs w:val="24"/>
              </w:rPr>
              <w:t xml:space="preserve">(ex. controlul </w:t>
            </w:r>
            <w:r w:rsidRPr="00C56257">
              <w:rPr>
                <w:i/>
                <w:color w:val="000000" w:themeColor="text1"/>
                <w:sz w:val="24"/>
                <w:szCs w:val="24"/>
              </w:rPr>
              <w:t xml:space="preserve">Acacia </w:t>
            </w:r>
            <w:r w:rsidRPr="00C56257">
              <w:rPr>
                <w:color w:val="000000" w:themeColor="text1"/>
                <w:sz w:val="24"/>
                <w:szCs w:val="24"/>
              </w:rPr>
              <w:t>spp.) sau eradicarea</w:t>
            </w:r>
            <w:r w:rsidRPr="00C56257">
              <w:rPr>
                <w:color w:val="000000" w:themeColor="text1"/>
                <w:spacing w:val="1"/>
                <w:sz w:val="24"/>
                <w:szCs w:val="24"/>
              </w:rPr>
              <w:t xml:space="preserve"> </w:t>
            </w:r>
            <w:r w:rsidRPr="00C56257">
              <w:rPr>
                <w:color w:val="000000" w:themeColor="text1"/>
                <w:sz w:val="24"/>
                <w:szCs w:val="24"/>
              </w:rPr>
              <w:t>populațiilor</w:t>
            </w:r>
            <w:r w:rsidRPr="00C56257">
              <w:rPr>
                <w:color w:val="000000" w:themeColor="text1"/>
                <w:spacing w:val="-5"/>
                <w:sz w:val="24"/>
                <w:szCs w:val="24"/>
              </w:rPr>
              <w:t xml:space="preserve"> </w:t>
            </w:r>
            <w:r w:rsidRPr="00C56257">
              <w:rPr>
                <w:color w:val="000000" w:themeColor="text1"/>
                <w:sz w:val="24"/>
                <w:szCs w:val="24"/>
              </w:rPr>
              <w:t>stabilite</w:t>
            </w:r>
            <w:r w:rsidRPr="00C56257">
              <w:rPr>
                <w:color w:val="000000" w:themeColor="text1"/>
                <w:spacing w:val="-2"/>
                <w:sz w:val="24"/>
                <w:szCs w:val="24"/>
              </w:rPr>
              <w:t xml:space="preserve"> </w:t>
            </w:r>
            <w:r w:rsidRPr="00C56257">
              <w:rPr>
                <w:color w:val="000000" w:themeColor="text1"/>
                <w:sz w:val="24"/>
                <w:szCs w:val="24"/>
              </w:rPr>
              <w:t>ale</w:t>
            </w:r>
            <w:r w:rsidRPr="00C56257">
              <w:rPr>
                <w:color w:val="000000" w:themeColor="text1"/>
                <w:spacing w:val="-4"/>
                <w:sz w:val="24"/>
                <w:szCs w:val="24"/>
              </w:rPr>
              <w:t xml:space="preserve"> </w:t>
            </w:r>
            <w:r w:rsidRPr="00C56257">
              <w:rPr>
                <w:color w:val="000000" w:themeColor="text1"/>
                <w:sz w:val="24"/>
                <w:szCs w:val="24"/>
              </w:rPr>
              <w:t>altor</w:t>
            </w:r>
            <w:r w:rsidRPr="00C56257">
              <w:rPr>
                <w:color w:val="000000" w:themeColor="text1"/>
                <w:spacing w:val="-2"/>
                <w:sz w:val="24"/>
                <w:szCs w:val="24"/>
              </w:rPr>
              <w:t xml:space="preserve"> </w:t>
            </w:r>
            <w:r w:rsidRPr="00C56257">
              <w:rPr>
                <w:color w:val="000000" w:themeColor="text1"/>
                <w:sz w:val="24"/>
                <w:szCs w:val="24"/>
              </w:rPr>
              <w:t>specii</w:t>
            </w:r>
            <w:r w:rsidRPr="00C56257">
              <w:rPr>
                <w:color w:val="000000" w:themeColor="text1"/>
                <w:spacing w:val="-1"/>
                <w:sz w:val="24"/>
                <w:szCs w:val="24"/>
              </w:rPr>
              <w:t xml:space="preserve"> </w:t>
            </w:r>
            <w:r w:rsidRPr="00C56257">
              <w:rPr>
                <w:color w:val="000000" w:themeColor="text1"/>
                <w:sz w:val="24"/>
                <w:szCs w:val="24"/>
              </w:rPr>
              <w:t>străine.</w:t>
            </w:r>
          </w:p>
        </w:tc>
        <w:tc>
          <w:tcPr>
            <w:tcW w:w="1890" w:type="dxa"/>
          </w:tcPr>
          <w:p w14:paraId="55E4A1D3" w14:textId="77777777" w:rsidR="0030520C" w:rsidRPr="00C56257" w:rsidRDefault="0030520C" w:rsidP="008E33FD">
            <w:pPr>
              <w:pStyle w:val="TableParagraph"/>
              <w:jc w:val="both"/>
              <w:rPr>
                <w:color w:val="000000" w:themeColor="text1"/>
                <w:sz w:val="24"/>
                <w:szCs w:val="24"/>
              </w:rPr>
            </w:pPr>
          </w:p>
          <w:p w14:paraId="3F2110B1" w14:textId="77777777" w:rsidR="0030520C" w:rsidRPr="00C56257" w:rsidRDefault="0030520C" w:rsidP="008E33FD">
            <w:pPr>
              <w:pStyle w:val="TableParagraph"/>
              <w:jc w:val="both"/>
              <w:rPr>
                <w:color w:val="000000" w:themeColor="text1"/>
                <w:sz w:val="24"/>
                <w:szCs w:val="24"/>
              </w:rPr>
            </w:pPr>
          </w:p>
          <w:p w14:paraId="728A257F" w14:textId="77777777" w:rsidR="0030520C" w:rsidRPr="00C56257" w:rsidRDefault="0030520C" w:rsidP="008E33FD">
            <w:pPr>
              <w:pStyle w:val="TableParagraph"/>
              <w:jc w:val="both"/>
              <w:rPr>
                <w:color w:val="000000" w:themeColor="text1"/>
                <w:sz w:val="24"/>
                <w:szCs w:val="24"/>
              </w:rPr>
            </w:pPr>
          </w:p>
          <w:p w14:paraId="38CD791D" w14:textId="77777777" w:rsidR="0030520C" w:rsidRPr="00C56257" w:rsidRDefault="0030520C" w:rsidP="008E33FD">
            <w:pPr>
              <w:pStyle w:val="TableParagraph"/>
              <w:spacing w:before="4"/>
              <w:jc w:val="both"/>
              <w:rPr>
                <w:color w:val="000000" w:themeColor="text1"/>
                <w:sz w:val="24"/>
                <w:szCs w:val="24"/>
              </w:rPr>
            </w:pPr>
          </w:p>
          <w:p w14:paraId="3DAC30AA" w14:textId="77777777" w:rsidR="0030520C" w:rsidRPr="00C56257" w:rsidRDefault="0030520C" w:rsidP="008E33FD">
            <w:pPr>
              <w:pStyle w:val="TableParagraph"/>
              <w:spacing w:before="1"/>
              <w:ind w:left="109"/>
              <w:jc w:val="both"/>
              <w:rPr>
                <w:color w:val="000000" w:themeColor="text1"/>
                <w:sz w:val="24"/>
                <w:szCs w:val="24"/>
              </w:rPr>
            </w:pPr>
            <w:r w:rsidRPr="00C56257">
              <w:rPr>
                <w:color w:val="000000" w:themeColor="text1"/>
                <w:sz w:val="24"/>
                <w:szCs w:val="24"/>
              </w:rPr>
              <w:t>I02</w:t>
            </w:r>
          </w:p>
        </w:tc>
      </w:tr>
      <w:tr w:rsidR="0030520C" w:rsidRPr="00C56257" w14:paraId="10A27E9E" w14:textId="77777777" w:rsidTr="00493079">
        <w:trPr>
          <w:trHeight w:val="260"/>
        </w:trPr>
        <w:tc>
          <w:tcPr>
            <w:tcW w:w="648" w:type="dxa"/>
          </w:tcPr>
          <w:p w14:paraId="05CCA1B2" w14:textId="77777777" w:rsidR="0030520C" w:rsidRPr="00C56257" w:rsidRDefault="0030520C" w:rsidP="008E33FD">
            <w:pPr>
              <w:pStyle w:val="TableParagraph"/>
              <w:spacing w:line="249" w:lineRule="exact"/>
              <w:ind w:right="2"/>
              <w:jc w:val="both"/>
              <w:rPr>
                <w:color w:val="000000" w:themeColor="text1"/>
                <w:sz w:val="24"/>
                <w:szCs w:val="24"/>
              </w:rPr>
            </w:pPr>
            <w:r w:rsidRPr="00C56257">
              <w:rPr>
                <w:color w:val="000000" w:themeColor="text1"/>
                <w:sz w:val="24"/>
                <w:szCs w:val="24"/>
              </w:rPr>
              <w:t>9.</w:t>
            </w:r>
          </w:p>
        </w:tc>
        <w:tc>
          <w:tcPr>
            <w:tcW w:w="811" w:type="dxa"/>
          </w:tcPr>
          <w:p w14:paraId="1663D99F" w14:textId="77777777" w:rsidR="0030520C" w:rsidRPr="00C56257" w:rsidRDefault="0030520C" w:rsidP="008E33FD">
            <w:pPr>
              <w:pStyle w:val="TableParagraph"/>
              <w:jc w:val="both"/>
              <w:rPr>
                <w:color w:val="000000" w:themeColor="text1"/>
                <w:sz w:val="24"/>
                <w:szCs w:val="24"/>
              </w:rPr>
            </w:pPr>
          </w:p>
          <w:p w14:paraId="0FA065D5" w14:textId="77777777" w:rsidR="0030520C" w:rsidRPr="00C56257" w:rsidRDefault="0030520C" w:rsidP="008E33FD">
            <w:pPr>
              <w:pStyle w:val="TableParagraph"/>
              <w:jc w:val="both"/>
              <w:rPr>
                <w:color w:val="000000" w:themeColor="text1"/>
                <w:sz w:val="24"/>
                <w:szCs w:val="24"/>
              </w:rPr>
            </w:pPr>
          </w:p>
          <w:p w14:paraId="176F5148" w14:textId="77777777" w:rsidR="0030520C" w:rsidRPr="00C56257" w:rsidRDefault="0030520C" w:rsidP="008E33FD">
            <w:pPr>
              <w:pStyle w:val="TableParagraph"/>
              <w:spacing w:before="7"/>
              <w:jc w:val="both"/>
              <w:rPr>
                <w:color w:val="000000" w:themeColor="text1"/>
                <w:sz w:val="24"/>
                <w:szCs w:val="24"/>
              </w:rPr>
            </w:pPr>
          </w:p>
          <w:p w14:paraId="248DF3C6" w14:textId="77777777" w:rsidR="0030520C" w:rsidRPr="00C56257" w:rsidRDefault="0030520C" w:rsidP="008E33FD">
            <w:pPr>
              <w:pStyle w:val="TableParagraph"/>
              <w:jc w:val="both"/>
              <w:rPr>
                <w:color w:val="000000" w:themeColor="text1"/>
                <w:sz w:val="24"/>
                <w:szCs w:val="24"/>
              </w:rPr>
            </w:pPr>
            <w:r w:rsidRPr="00C56257">
              <w:rPr>
                <w:color w:val="000000" w:themeColor="text1"/>
                <w:sz w:val="24"/>
                <w:szCs w:val="24"/>
              </w:rPr>
              <w:t>CJ02</w:t>
            </w:r>
          </w:p>
        </w:tc>
        <w:tc>
          <w:tcPr>
            <w:tcW w:w="1440" w:type="dxa"/>
          </w:tcPr>
          <w:p w14:paraId="74CDCABE" w14:textId="77777777" w:rsidR="0030520C" w:rsidRPr="00C56257" w:rsidRDefault="0030520C" w:rsidP="008E33FD">
            <w:pPr>
              <w:pStyle w:val="TableParagraph"/>
              <w:spacing w:before="121"/>
              <w:ind w:right="105"/>
              <w:jc w:val="both"/>
              <w:rPr>
                <w:color w:val="000000" w:themeColor="text1"/>
                <w:sz w:val="24"/>
                <w:szCs w:val="24"/>
              </w:rPr>
            </w:pPr>
            <w:r w:rsidRPr="00C56257">
              <w:rPr>
                <w:color w:val="000000" w:themeColor="text1"/>
                <w:sz w:val="24"/>
                <w:szCs w:val="24"/>
              </w:rPr>
              <w:t>Reducerea</w:t>
            </w:r>
            <w:r w:rsidRPr="00C56257">
              <w:rPr>
                <w:color w:val="000000" w:themeColor="text1"/>
                <w:spacing w:val="1"/>
                <w:sz w:val="24"/>
                <w:szCs w:val="24"/>
              </w:rPr>
              <w:t xml:space="preserve"> </w:t>
            </w:r>
            <w:r w:rsidRPr="00C56257">
              <w:rPr>
                <w:color w:val="000000" w:themeColor="text1"/>
                <w:sz w:val="24"/>
                <w:szCs w:val="24"/>
              </w:rPr>
              <w:t>impactul</w:t>
            </w:r>
            <w:r w:rsidRPr="00C56257">
              <w:rPr>
                <w:color w:val="000000" w:themeColor="text1"/>
                <w:spacing w:val="1"/>
                <w:sz w:val="24"/>
                <w:szCs w:val="24"/>
              </w:rPr>
              <w:t xml:space="preserve"> </w:t>
            </w:r>
            <w:r w:rsidRPr="00C56257">
              <w:rPr>
                <w:color w:val="000000" w:themeColor="text1"/>
                <w:sz w:val="24"/>
                <w:szCs w:val="24"/>
              </w:rPr>
              <w:t>indus de</w:t>
            </w:r>
            <w:r w:rsidRPr="00C56257">
              <w:rPr>
                <w:color w:val="000000" w:themeColor="text1"/>
                <w:spacing w:val="1"/>
                <w:sz w:val="24"/>
                <w:szCs w:val="24"/>
              </w:rPr>
              <w:t xml:space="preserve"> </w:t>
            </w:r>
            <w:r w:rsidRPr="00C56257">
              <w:rPr>
                <w:color w:val="000000" w:themeColor="text1"/>
                <w:sz w:val="24"/>
                <w:szCs w:val="24"/>
              </w:rPr>
              <w:t>modificările</w:t>
            </w:r>
            <w:r w:rsidRPr="00C56257">
              <w:rPr>
                <w:color w:val="000000" w:themeColor="text1"/>
                <w:spacing w:val="1"/>
                <w:sz w:val="24"/>
                <w:szCs w:val="24"/>
              </w:rPr>
              <w:t xml:space="preserve"> </w:t>
            </w:r>
            <w:r w:rsidRPr="00C56257">
              <w:rPr>
                <w:color w:val="000000" w:themeColor="text1"/>
                <w:sz w:val="24"/>
                <w:szCs w:val="24"/>
              </w:rPr>
              <w:t>hidrologice</w:t>
            </w:r>
            <w:r w:rsidRPr="00C56257">
              <w:rPr>
                <w:color w:val="000000" w:themeColor="text1"/>
                <w:spacing w:val="1"/>
                <w:sz w:val="24"/>
                <w:szCs w:val="24"/>
              </w:rPr>
              <w:t xml:space="preserve"> </w:t>
            </w:r>
            <w:r w:rsidRPr="00C56257">
              <w:rPr>
                <w:color w:val="000000" w:themeColor="text1"/>
                <w:sz w:val="24"/>
                <w:szCs w:val="24"/>
              </w:rPr>
              <w:t>multifuncțion</w:t>
            </w:r>
            <w:r w:rsidRPr="00C56257">
              <w:rPr>
                <w:color w:val="000000" w:themeColor="text1"/>
                <w:spacing w:val="-52"/>
                <w:sz w:val="24"/>
                <w:szCs w:val="24"/>
              </w:rPr>
              <w:t xml:space="preserve"> </w:t>
            </w:r>
            <w:r w:rsidRPr="00C56257">
              <w:rPr>
                <w:color w:val="000000" w:themeColor="text1"/>
                <w:sz w:val="24"/>
                <w:szCs w:val="24"/>
              </w:rPr>
              <w:t>ale</w:t>
            </w:r>
          </w:p>
        </w:tc>
        <w:tc>
          <w:tcPr>
            <w:tcW w:w="4999" w:type="dxa"/>
          </w:tcPr>
          <w:p w14:paraId="15E7D6BC" w14:textId="77777777" w:rsidR="0030520C" w:rsidRPr="00C56257" w:rsidRDefault="0030520C" w:rsidP="008E33FD">
            <w:pPr>
              <w:pStyle w:val="TableParagraph"/>
              <w:ind w:left="108"/>
              <w:jc w:val="both"/>
              <w:rPr>
                <w:color w:val="000000" w:themeColor="text1"/>
                <w:sz w:val="24"/>
                <w:szCs w:val="24"/>
              </w:rPr>
            </w:pPr>
            <w:r w:rsidRPr="00C56257">
              <w:rPr>
                <w:color w:val="000000" w:themeColor="text1"/>
                <w:sz w:val="24"/>
                <w:szCs w:val="24"/>
              </w:rPr>
              <w:t>Reducerea impactului cauzat de depozitarea</w:t>
            </w:r>
            <w:r w:rsidRPr="00C56257">
              <w:rPr>
                <w:color w:val="000000" w:themeColor="text1"/>
                <w:spacing w:val="1"/>
                <w:sz w:val="24"/>
                <w:szCs w:val="24"/>
              </w:rPr>
              <w:t xml:space="preserve"> </w:t>
            </w:r>
            <w:r w:rsidRPr="00C56257">
              <w:rPr>
                <w:color w:val="000000" w:themeColor="text1"/>
                <w:sz w:val="24"/>
                <w:szCs w:val="24"/>
              </w:rPr>
              <w:t>deșeurilor, îndepărtarea sedimentelor,</w:t>
            </w:r>
            <w:r w:rsidRPr="00C56257">
              <w:rPr>
                <w:color w:val="000000" w:themeColor="text1"/>
                <w:spacing w:val="1"/>
                <w:sz w:val="24"/>
                <w:szCs w:val="24"/>
              </w:rPr>
              <w:t xml:space="preserve"> </w:t>
            </w:r>
            <w:r w:rsidRPr="00C56257">
              <w:rPr>
                <w:color w:val="000000" w:themeColor="text1"/>
                <w:sz w:val="24"/>
                <w:szCs w:val="24"/>
              </w:rPr>
              <w:t>canalizarea, modificarea cursurilor de apă,</w:t>
            </w:r>
            <w:r w:rsidRPr="00C56257">
              <w:rPr>
                <w:color w:val="000000" w:themeColor="text1"/>
                <w:spacing w:val="1"/>
                <w:sz w:val="24"/>
                <w:szCs w:val="24"/>
              </w:rPr>
              <w:t xml:space="preserve"> </w:t>
            </w:r>
            <w:r w:rsidRPr="00C56257">
              <w:rPr>
                <w:color w:val="000000" w:themeColor="text1"/>
                <w:sz w:val="24"/>
                <w:szCs w:val="24"/>
              </w:rPr>
              <w:t>modificarea regimului de inundații și alte</w:t>
            </w:r>
            <w:r w:rsidRPr="00C56257">
              <w:rPr>
                <w:color w:val="000000" w:themeColor="text1"/>
                <w:spacing w:val="1"/>
                <w:sz w:val="24"/>
                <w:szCs w:val="24"/>
              </w:rPr>
              <w:t xml:space="preserve"> </w:t>
            </w:r>
            <w:r w:rsidRPr="00C56257">
              <w:rPr>
                <w:color w:val="000000" w:themeColor="text1"/>
                <w:sz w:val="24"/>
                <w:szCs w:val="24"/>
              </w:rPr>
              <w:t>modificări</w:t>
            </w:r>
            <w:r w:rsidRPr="00C56257">
              <w:rPr>
                <w:color w:val="000000" w:themeColor="text1"/>
                <w:spacing w:val="-4"/>
                <w:sz w:val="24"/>
                <w:szCs w:val="24"/>
              </w:rPr>
              <w:t xml:space="preserve"> </w:t>
            </w:r>
            <w:r w:rsidRPr="00C56257">
              <w:rPr>
                <w:color w:val="000000" w:themeColor="text1"/>
                <w:sz w:val="24"/>
                <w:szCs w:val="24"/>
              </w:rPr>
              <w:t>ale</w:t>
            </w:r>
            <w:r w:rsidRPr="00C56257">
              <w:rPr>
                <w:color w:val="000000" w:themeColor="text1"/>
                <w:spacing w:val="-4"/>
                <w:sz w:val="24"/>
                <w:szCs w:val="24"/>
              </w:rPr>
              <w:t xml:space="preserve"> </w:t>
            </w:r>
            <w:r w:rsidRPr="00C56257">
              <w:rPr>
                <w:color w:val="000000" w:themeColor="text1"/>
                <w:sz w:val="24"/>
                <w:szCs w:val="24"/>
              </w:rPr>
              <w:t>funcționării</w:t>
            </w:r>
            <w:r w:rsidRPr="00C56257">
              <w:rPr>
                <w:color w:val="000000" w:themeColor="text1"/>
                <w:spacing w:val="-4"/>
                <w:sz w:val="24"/>
                <w:szCs w:val="24"/>
              </w:rPr>
              <w:t xml:space="preserve"> </w:t>
            </w:r>
            <w:r w:rsidRPr="00C56257">
              <w:rPr>
                <w:color w:val="000000" w:themeColor="text1"/>
                <w:sz w:val="24"/>
                <w:szCs w:val="24"/>
              </w:rPr>
              <w:t>hidrologice</w:t>
            </w:r>
            <w:r w:rsidRPr="00C56257">
              <w:rPr>
                <w:color w:val="000000" w:themeColor="text1"/>
                <w:spacing w:val="-3"/>
                <w:sz w:val="24"/>
                <w:szCs w:val="24"/>
              </w:rPr>
              <w:t xml:space="preserve"> </w:t>
            </w:r>
            <w:r w:rsidRPr="00C56257">
              <w:rPr>
                <w:color w:val="000000" w:themeColor="text1"/>
                <w:sz w:val="24"/>
                <w:szCs w:val="24"/>
              </w:rPr>
              <w:t>sau</w:t>
            </w:r>
            <w:r w:rsidRPr="00C56257">
              <w:rPr>
                <w:color w:val="000000" w:themeColor="text1"/>
                <w:spacing w:val="-5"/>
                <w:sz w:val="24"/>
                <w:szCs w:val="24"/>
              </w:rPr>
              <w:t xml:space="preserve"> </w:t>
            </w:r>
            <w:r w:rsidRPr="00C56257">
              <w:rPr>
                <w:color w:val="000000" w:themeColor="text1"/>
                <w:sz w:val="24"/>
                <w:szCs w:val="24"/>
              </w:rPr>
              <w:t>ale</w:t>
            </w:r>
            <w:r w:rsidRPr="00C56257">
              <w:rPr>
                <w:color w:val="000000" w:themeColor="text1"/>
                <w:spacing w:val="-52"/>
                <w:sz w:val="24"/>
                <w:szCs w:val="24"/>
              </w:rPr>
              <w:t xml:space="preserve"> </w:t>
            </w:r>
            <w:r w:rsidRPr="00C56257">
              <w:rPr>
                <w:color w:val="000000" w:themeColor="text1"/>
                <w:sz w:val="24"/>
                <w:szCs w:val="24"/>
              </w:rPr>
              <w:t>caracteristicilor</w:t>
            </w:r>
            <w:r w:rsidRPr="00C56257">
              <w:rPr>
                <w:color w:val="000000" w:themeColor="text1"/>
                <w:spacing w:val="-4"/>
                <w:sz w:val="24"/>
                <w:szCs w:val="24"/>
              </w:rPr>
              <w:t xml:space="preserve"> </w:t>
            </w:r>
            <w:r w:rsidRPr="00C56257">
              <w:rPr>
                <w:color w:val="000000" w:themeColor="text1"/>
                <w:sz w:val="24"/>
                <w:szCs w:val="24"/>
              </w:rPr>
              <w:t>fizice</w:t>
            </w:r>
            <w:r w:rsidRPr="00C56257">
              <w:rPr>
                <w:color w:val="000000" w:themeColor="text1"/>
                <w:spacing w:val="-4"/>
                <w:sz w:val="24"/>
                <w:szCs w:val="24"/>
              </w:rPr>
              <w:t xml:space="preserve"> </w:t>
            </w:r>
            <w:r w:rsidRPr="00C56257">
              <w:rPr>
                <w:color w:val="000000" w:themeColor="text1"/>
                <w:sz w:val="24"/>
                <w:szCs w:val="24"/>
              </w:rPr>
              <w:t>ale</w:t>
            </w:r>
            <w:r w:rsidRPr="00C56257">
              <w:rPr>
                <w:color w:val="000000" w:themeColor="text1"/>
                <w:spacing w:val="-2"/>
                <w:sz w:val="24"/>
                <w:szCs w:val="24"/>
              </w:rPr>
              <w:t xml:space="preserve"> </w:t>
            </w:r>
            <w:r w:rsidRPr="00C56257">
              <w:rPr>
                <w:color w:val="000000" w:themeColor="text1"/>
                <w:sz w:val="24"/>
                <w:szCs w:val="24"/>
              </w:rPr>
              <w:t>corpurilor</w:t>
            </w:r>
            <w:r w:rsidRPr="00C56257">
              <w:rPr>
                <w:color w:val="000000" w:themeColor="text1"/>
                <w:spacing w:val="-2"/>
                <w:sz w:val="24"/>
                <w:szCs w:val="24"/>
              </w:rPr>
              <w:t xml:space="preserve"> </w:t>
            </w:r>
            <w:r w:rsidRPr="00C56257">
              <w:rPr>
                <w:color w:val="000000" w:themeColor="text1"/>
                <w:sz w:val="24"/>
                <w:szCs w:val="24"/>
              </w:rPr>
              <w:t>de</w:t>
            </w:r>
            <w:r w:rsidRPr="00C56257">
              <w:rPr>
                <w:color w:val="000000" w:themeColor="text1"/>
                <w:spacing w:val="-1"/>
                <w:sz w:val="24"/>
                <w:szCs w:val="24"/>
              </w:rPr>
              <w:t xml:space="preserve"> </w:t>
            </w:r>
            <w:r w:rsidRPr="00C56257">
              <w:rPr>
                <w:color w:val="000000" w:themeColor="text1"/>
                <w:sz w:val="24"/>
                <w:szCs w:val="24"/>
              </w:rPr>
              <w:t>apă,</w:t>
            </w:r>
          </w:p>
          <w:p w14:paraId="7A259993" w14:textId="77777777" w:rsidR="0030520C" w:rsidRPr="00C56257" w:rsidRDefault="0030520C" w:rsidP="008E33FD">
            <w:pPr>
              <w:pStyle w:val="TableParagraph"/>
              <w:spacing w:line="252" w:lineRule="exact"/>
              <w:ind w:left="108" w:right="561"/>
              <w:jc w:val="both"/>
              <w:rPr>
                <w:color w:val="000000" w:themeColor="text1"/>
                <w:sz w:val="24"/>
                <w:szCs w:val="24"/>
              </w:rPr>
            </w:pPr>
            <w:r w:rsidRPr="00C56257">
              <w:rPr>
                <w:color w:val="000000" w:themeColor="text1"/>
                <w:sz w:val="24"/>
                <w:szCs w:val="24"/>
              </w:rPr>
              <w:t>care nu pot fi ușor asociate cu una dintre</w:t>
            </w:r>
            <w:r w:rsidRPr="00C56257">
              <w:rPr>
                <w:color w:val="000000" w:themeColor="text1"/>
                <w:spacing w:val="-52"/>
                <w:sz w:val="24"/>
                <w:szCs w:val="24"/>
              </w:rPr>
              <w:t xml:space="preserve"> </w:t>
            </w:r>
            <w:r w:rsidRPr="00C56257">
              <w:rPr>
                <w:color w:val="000000" w:themeColor="text1"/>
                <w:sz w:val="24"/>
                <w:szCs w:val="24"/>
              </w:rPr>
              <w:t>categoriile</w:t>
            </w:r>
            <w:r w:rsidRPr="00C56257">
              <w:rPr>
                <w:color w:val="000000" w:themeColor="text1"/>
                <w:spacing w:val="-1"/>
                <w:sz w:val="24"/>
                <w:szCs w:val="24"/>
              </w:rPr>
              <w:t xml:space="preserve"> </w:t>
            </w:r>
            <w:r w:rsidRPr="00C56257">
              <w:rPr>
                <w:color w:val="000000" w:themeColor="text1"/>
                <w:sz w:val="24"/>
                <w:szCs w:val="24"/>
              </w:rPr>
              <w:t>de mai</w:t>
            </w:r>
            <w:r w:rsidRPr="00C56257">
              <w:rPr>
                <w:color w:val="000000" w:themeColor="text1"/>
                <w:spacing w:val="1"/>
                <w:sz w:val="24"/>
                <w:szCs w:val="24"/>
              </w:rPr>
              <w:t xml:space="preserve"> </w:t>
            </w:r>
            <w:r w:rsidRPr="00C56257">
              <w:rPr>
                <w:color w:val="000000" w:themeColor="text1"/>
                <w:sz w:val="24"/>
                <w:szCs w:val="24"/>
              </w:rPr>
              <w:t>sus.</w:t>
            </w:r>
          </w:p>
        </w:tc>
        <w:tc>
          <w:tcPr>
            <w:tcW w:w="1890" w:type="dxa"/>
          </w:tcPr>
          <w:p w14:paraId="0F818DD9" w14:textId="77777777" w:rsidR="0030520C" w:rsidRPr="00C56257" w:rsidRDefault="0030520C" w:rsidP="008E33FD">
            <w:pPr>
              <w:pStyle w:val="TableParagraph"/>
              <w:jc w:val="both"/>
              <w:rPr>
                <w:color w:val="000000" w:themeColor="text1"/>
                <w:sz w:val="24"/>
                <w:szCs w:val="24"/>
              </w:rPr>
            </w:pPr>
          </w:p>
          <w:p w14:paraId="782B719B" w14:textId="77777777" w:rsidR="0030520C" w:rsidRPr="00C56257" w:rsidRDefault="0030520C" w:rsidP="008E33FD">
            <w:pPr>
              <w:pStyle w:val="TableParagraph"/>
              <w:spacing w:before="6"/>
              <w:jc w:val="both"/>
              <w:rPr>
                <w:color w:val="000000" w:themeColor="text1"/>
                <w:sz w:val="24"/>
                <w:szCs w:val="24"/>
              </w:rPr>
            </w:pPr>
          </w:p>
          <w:p w14:paraId="35B234DB" w14:textId="77777777" w:rsidR="0030520C" w:rsidRPr="00C56257" w:rsidRDefault="0030520C" w:rsidP="008E33FD">
            <w:pPr>
              <w:pStyle w:val="TableParagraph"/>
              <w:ind w:left="109" w:right="391"/>
              <w:jc w:val="both"/>
              <w:rPr>
                <w:color w:val="000000" w:themeColor="text1"/>
                <w:sz w:val="24"/>
                <w:szCs w:val="24"/>
              </w:rPr>
            </w:pPr>
            <w:r w:rsidRPr="00C56257">
              <w:rPr>
                <w:color w:val="000000" w:themeColor="text1"/>
                <w:sz w:val="24"/>
                <w:szCs w:val="24"/>
              </w:rPr>
              <w:t>K01, K02,</w:t>
            </w:r>
            <w:r w:rsidRPr="00C56257">
              <w:rPr>
                <w:color w:val="000000" w:themeColor="text1"/>
                <w:spacing w:val="-52"/>
                <w:sz w:val="24"/>
                <w:szCs w:val="24"/>
              </w:rPr>
              <w:t xml:space="preserve"> </w:t>
            </w:r>
            <w:r w:rsidRPr="00C56257">
              <w:rPr>
                <w:color w:val="000000" w:themeColor="text1"/>
                <w:sz w:val="24"/>
                <w:szCs w:val="24"/>
              </w:rPr>
              <w:t>K03, K04,</w:t>
            </w:r>
            <w:r w:rsidRPr="00C56257">
              <w:rPr>
                <w:color w:val="000000" w:themeColor="text1"/>
                <w:spacing w:val="-52"/>
                <w:sz w:val="24"/>
                <w:szCs w:val="24"/>
              </w:rPr>
              <w:t xml:space="preserve"> </w:t>
            </w:r>
            <w:r w:rsidRPr="00C56257">
              <w:rPr>
                <w:color w:val="000000" w:themeColor="text1"/>
                <w:sz w:val="24"/>
                <w:szCs w:val="24"/>
              </w:rPr>
              <w:t>K05</w:t>
            </w:r>
          </w:p>
        </w:tc>
      </w:tr>
      <w:tr w:rsidR="0030520C" w:rsidRPr="00C56257" w14:paraId="64D05F22" w14:textId="77777777" w:rsidTr="0009599D">
        <w:trPr>
          <w:trHeight w:val="883"/>
        </w:trPr>
        <w:tc>
          <w:tcPr>
            <w:tcW w:w="648" w:type="dxa"/>
          </w:tcPr>
          <w:p w14:paraId="44E02AB2" w14:textId="77777777" w:rsidR="0030520C" w:rsidRPr="00C56257" w:rsidRDefault="0030520C" w:rsidP="008E33FD">
            <w:pPr>
              <w:pStyle w:val="TableParagraph"/>
              <w:spacing w:line="247" w:lineRule="exact"/>
              <w:ind w:right="-58"/>
              <w:jc w:val="both"/>
              <w:rPr>
                <w:color w:val="000000" w:themeColor="text1"/>
                <w:sz w:val="24"/>
                <w:szCs w:val="24"/>
              </w:rPr>
            </w:pPr>
            <w:r w:rsidRPr="00C56257">
              <w:rPr>
                <w:color w:val="000000" w:themeColor="text1"/>
                <w:sz w:val="24"/>
                <w:szCs w:val="24"/>
              </w:rPr>
              <w:t>10</w:t>
            </w:r>
          </w:p>
        </w:tc>
        <w:tc>
          <w:tcPr>
            <w:tcW w:w="811" w:type="dxa"/>
          </w:tcPr>
          <w:p w14:paraId="66D2CA73" w14:textId="77777777" w:rsidR="0030520C" w:rsidRPr="00C56257" w:rsidRDefault="0030520C" w:rsidP="008E33FD">
            <w:pPr>
              <w:pStyle w:val="TableParagraph"/>
              <w:jc w:val="both"/>
              <w:rPr>
                <w:color w:val="000000" w:themeColor="text1"/>
                <w:sz w:val="24"/>
                <w:szCs w:val="24"/>
              </w:rPr>
            </w:pPr>
          </w:p>
          <w:p w14:paraId="3FAD8B2C" w14:textId="77777777" w:rsidR="0030520C" w:rsidRPr="00C56257" w:rsidRDefault="0030520C" w:rsidP="008E33FD">
            <w:pPr>
              <w:pStyle w:val="TableParagraph"/>
              <w:jc w:val="both"/>
              <w:rPr>
                <w:color w:val="000000" w:themeColor="text1"/>
                <w:sz w:val="24"/>
                <w:szCs w:val="24"/>
              </w:rPr>
            </w:pPr>
          </w:p>
          <w:p w14:paraId="7FC0F850" w14:textId="77777777" w:rsidR="0030520C" w:rsidRPr="00C56257" w:rsidRDefault="0030520C" w:rsidP="008E33FD">
            <w:pPr>
              <w:pStyle w:val="TableParagraph"/>
              <w:spacing w:before="5"/>
              <w:jc w:val="both"/>
              <w:rPr>
                <w:color w:val="000000" w:themeColor="text1"/>
                <w:sz w:val="24"/>
                <w:szCs w:val="24"/>
              </w:rPr>
            </w:pPr>
          </w:p>
          <w:p w14:paraId="29031365" w14:textId="77777777" w:rsidR="0030520C" w:rsidRPr="00C56257" w:rsidRDefault="0030520C" w:rsidP="008E33FD">
            <w:pPr>
              <w:pStyle w:val="TableParagraph"/>
              <w:jc w:val="both"/>
              <w:rPr>
                <w:color w:val="000000" w:themeColor="text1"/>
                <w:sz w:val="24"/>
                <w:szCs w:val="24"/>
              </w:rPr>
            </w:pPr>
            <w:r w:rsidRPr="00C56257">
              <w:rPr>
                <w:color w:val="000000" w:themeColor="text1"/>
                <w:sz w:val="24"/>
                <w:szCs w:val="24"/>
              </w:rPr>
              <w:t>CL02</w:t>
            </w:r>
          </w:p>
        </w:tc>
        <w:tc>
          <w:tcPr>
            <w:tcW w:w="1440" w:type="dxa"/>
          </w:tcPr>
          <w:p w14:paraId="760BC6C1" w14:textId="77777777" w:rsidR="0030520C" w:rsidRPr="00C56257" w:rsidRDefault="0030520C" w:rsidP="008E33FD">
            <w:pPr>
              <w:pStyle w:val="TableParagraph"/>
              <w:ind w:right="93"/>
              <w:jc w:val="both"/>
              <w:rPr>
                <w:color w:val="000000" w:themeColor="text1"/>
                <w:sz w:val="24"/>
                <w:szCs w:val="24"/>
              </w:rPr>
            </w:pPr>
            <w:r w:rsidRPr="00C56257">
              <w:rPr>
                <w:color w:val="000000" w:themeColor="text1"/>
                <w:sz w:val="24"/>
                <w:szCs w:val="24"/>
              </w:rPr>
              <w:t>Reducerea la</w:t>
            </w:r>
            <w:r w:rsidRPr="00C56257">
              <w:rPr>
                <w:color w:val="000000" w:themeColor="text1"/>
                <w:spacing w:val="1"/>
                <w:sz w:val="24"/>
                <w:szCs w:val="24"/>
              </w:rPr>
              <w:t xml:space="preserve"> </w:t>
            </w:r>
            <w:r w:rsidRPr="00C56257">
              <w:rPr>
                <w:color w:val="000000" w:themeColor="text1"/>
                <w:sz w:val="24"/>
                <w:szCs w:val="24"/>
              </w:rPr>
              <w:t>minimum/pre</w:t>
            </w:r>
            <w:r w:rsidRPr="00C56257">
              <w:rPr>
                <w:color w:val="000000" w:themeColor="text1"/>
                <w:spacing w:val="-52"/>
                <w:sz w:val="24"/>
                <w:szCs w:val="24"/>
              </w:rPr>
              <w:t xml:space="preserve"> </w:t>
            </w:r>
            <w:r w:rsidRPr="00C56257">
              <w:rPr>
                <w:color w:val="000000" w:themeColor="text1"/>
                <w:sz w:val="24"/>
                <w:szCs w:val="24"/>
              </w:rPr>
              <w:t>venirea</w:t>
            </w:r>
            <w:r w:rsidRPr="00C56257">
              <w:rPr>
                <w:color w:val="000000" w:themeColor="text1"/>
                <w:spacing w:val="1"/>
                <w:sz w:val="24"/>
                <w:szCs w:val="24"/>
              </w:rPr>
              <w:t xml:space="preserve"> </w:t>
            </w:r>
            <w:r w:rsidRPr="00C56257">
              <w:rPr>
                <w:color w:val="000000" w:themeColor="text1"/>
                <w:sz w:val="24"/>
                <w:szCs w:val="24"/>
              </w:rPr>
              <w:t>impactelor</w:t>
            </w:r>
            <w:r w:rsidRPr="00C56257">
              <w:rPr>
                <w:color w:val="000000" w:themeColor="text1"/>
                <w:spacing w:val="1"/>
                <w:sz w:val="24"/>
                <w:szCs w:val="24"/>
              </w:rPr>
              <w:t xml:space="preserve"> </w:t>
            </w:r>
            <w:r w:rsidRPr="00C56257">
              <w:rPr>
                <w:color w:val="000000" w:themeColor="text1"/>
                <w:sz w:val="24"/>
                <w:szCs w:val="24"/>
              </w:rPr>
              <w:t>geologice și a</w:t>
            </w:r>
            <w:r w:rsidRPr="00C56257">
              <w:rPr>
                <w:color w:val="000000" w:themeColor="text1"/>
                <w:spacing w:val="-52"/>
                <w:sz w:val="24"/>
                <w:szCs w:val="24"/>
              </w:rPr>
              <w:t xml:space="preserve"> </w:t>
            </w:r>
            <w:r w:rsidRPr="00C56257">
              <w:rPr>
                <w:color w:val="000000" w:themeColor="text1"/>
                <w:sz w:val="24"/>
                <w:szCs w:val="24"/>
              </w:rPr>
              <w:t>catastrofelor</w:t>
            </w:r>
            <w:r w:rsidRPr="00C56257">
              <w:rPr>
                <w:color w:val="000000" w:themeColor="text1"/>
                <w:spacing w:val="1"/>
                <w:sz w:val="24"/>
                <w:szCs w:val="24"/>
              </w:rPr>
              <w:t xml:space="preserve"> </w:t>
            </w:r>
            <w:r w:rsidRPr="00C56257">
              <w:rPr>
                <w:color w:val="000000" w:themeColor="text1"/>
                <w:sz w:val="24"/>
                <w:szCs w:val="24"/>
              </w:rPr>
              <w:t>naturale</w:t>
            </w:r>
          </w:p>
        </w:tc>
        <w:tc>
          <w:tcPr>
            <w:tcW w:w="4999" w:type="dxa"/>
          </w:tcPr>
          <w:p w14:paraId="3CD4DBBD" w14:textId="77777777" w:rsidR="0030520C" w:rsidRPr="00C56257" w:rsidRDefault="0030520C" w:rsidP="008E33FD">
            <w:pPr>
              <w:pStyle w:val="TableParagraph"/>
              <w:spacing w:before="121"/>
              <w:ind w:left="108" w:right="195"/>
              <w:jc w:val="both"/>
              <w:rPr>
                <w:color w:val="000000" w:themeColor="text1"/>
                <w:sz w:val="24"/>
                <w:szCs w:val="24"/>
              </w:rPr>
            </w:pPr>
            <w:r w:rsidRPr="00C56257">
              <w:rPr>
                <w:color w:val="000000" w:themeColor="text1"/>
                <w:sz w:val="24"/>
                <w:szCs w:val="24"/>
              </w:rPr>
              <w:t>Minimalizarea (și, atunci când este posibil,</w:t>
            </w:r>
            <w:r w:rsidRPr="00C56257">
              <w:rPr>
                <w:color w:val="000000" w:themeColor="text1"/>
                <w:spacing w:val="1"/>
                <w:sz w:val="24"/>
                <w:szCs w:val="24"/>
              </w:rPr>
              <w:t xml:space="preserve"> </w:t>
            </w:r>
            <w:r w:rsidRPr="00C56257">
              <w:rPr>
                <w:color w:val="000000" w:themeColor="text1"/>
                <w:sz w:val="24"/>
                <w:szCs w:val="24"/>
              </w:rPr>
              <w:t>prevenirea) impactului evenimentelor</w:t>
            </w:r>
            <w:r w:rsidRPr="00C56257">
              <w:rPr>
                <w:color w:val="000000" w:themeColor="text1"/>
                <w:spacing w:val="1"/>
                <w:sz w:val="24"/>
                <w:szCs w:val="24"/>
              </w:rPr>
              <w:t xml:space="preserve"> </w:t>
            </w:r>
            <w:r w:rsidRPr="00C56257">
              <w:rPr>
                <w:color w:val="000000" w:themeColor="text1"/>
                <w:sz w:val="24"/>
                <w:szCs w:val="24"/>
              </w:rPr>
              <w:t>geologice (de exemplu activitatea vulcanică)</w:t>
            </w:r>
            <w:r w:rsidRPr="00C56257">
              <w:rPr>
                <w:color w:val="000000" w:themeColor="text1"/>
                <w:spacing w:val="-52"/>
                <w:sz w:val="24"/>
                <w:szCs w:val="24"/>
              </w:rPr>
              <w:t xml:space="preserve"> </w:t>
            </w:r>
            <w:r w:rsidRPr="00C56257">
              <w:rPr>
                <w:color w:val="000000" w:themeColor="text1"/>
                <w:sz w:val="24"/>
                <w:szCs w:val="24"/>
              </w:rPr>
              <w:t>și a evenimentelor naturale extreme (de</w:t>
            </w:r>
            <w:r w:rsidRPr="00C56257">
              <w:rPr>
                <w:color w:val="000000" w:themeColor="text1"/>
                <w:spacing w:val="1"/>
                <w:sz w:val="24"/>
                <w:szCs w:val="24"/>
              </w:rPr>
              <w:t xml:space="preserve"> </w:t>
            </w:r>
            <w:r w:rsidRPr="00C56257">
              <w:rPr>
                <w:color w:val="000000" w:themeColor="text1"/>
                <w:sz w:val="24"/>
                <w:szCs w:val="24"/>
              </w:rPr>
              <w:t>exemplu: valuri, furtuni, alunecări de teren,</w:t>
            </w:r>
            <w:r w:rsidRPr="00C56257">
              <w:rPr>
                <w:color w:val="000000" w:themeColor="text1"/>
                <w:spacing w:val="1"/>
                <w:sz w:val="24"/>
                <w:szCs w:val="24"/>
              </w:rPr>
              <w:t xml:space="preserve"> </w:t>
            </w:r>
            <w:r w:rsidRPr="00C56257">
              <w:rPr>
                <w:color w:val="000000" w:themeColor="text1"/>
                <w:sz w:val="24"/>
                <w:szCs w:val="24"/>
              </w:rPr>
              <w:t>inundații, incendii spontane/naturale) asupra</w:t>
            </w:r>
            <w:r w:rsidRPr="00C56257">
              <w:rPr>
                <w:color w:val="000000" w:themeColor="text1"/>
                <w:spacing w:val="-52"/>
                <w:sz w:val="24"/>
                <w:szCs w:val="24"/>
              </w:rPr>
              <w:t xml:space="preserve"> </w:t>
            </w:r>
            <w:r w:rsidRPr="00C56257">
              <w:rPr>
                <w:color w:val="000000" w:themeColor="text1"/>
                <w:sz w:val="24"/>
                <w:szCs w:val="24"/>
              </w:rPr>
              <w:t>habitatelor</w:t>
            </w:r>
            <w:r w:rsidRPr="00C56257">
              <w:rPr>
                <w:color w:val="000000" w:themeColor="text1"/>
                <w:spacing w:val="-1"/>
                <w:sz w:val="24"/>
                <w:szCs w:val="24"/>
              </w:rPr>
              <w:t xml:space="preserve"> </w:t>
            </w:r>
            <w:r w:rsidRPr="00C56257">
              <w:rPr>
                <w:color w:val="000000" w:themeColor="text1"/>
                <w:sz w:val="24"/>
                <w:szCs w:val="24"/>
              </w:rPr>
              <w:t>și</w:t>
            </w:r>
            <w:r w:rsidRPr="00C56257">
              <w:rPr>
                <w:color w:val="000000" w:themeColor="text1"/>
                <w:spacing w:val="1"/>
                <w:sz w:val="24"/>
                <w:szCs w:val="24"/>
              </w:rPr>
              <w:t xml:space="preserve"> </w:t>
            </w:r>
            <w:r w:rsidRPr="00C56257">
              <w:rPr>
                <w:color w:val="000000" w:themeColor="text1"/>
                <w:sz w:val="24"/>
                <w:szCs w:val="24"/>
              </w:rPr>
              <w:t>speciilor.</w:t>
            </w:r>
          </w:p>
        </w:tc>
        <w:tc>
          <w:tcPr>
            <w:tcW w:w="1890" w:type="dxa"/>
          </w:tcPr>
          <w:p w14:paraId="4CFEC4CA" w14:textId="77777777" w:rsidR="0030520C" w:rsidRPr="00C56257" w:rsidRDefault="0030520C" w:rsidP="008E33FD">
            <w:pPr>
              <w:pStyle w:val="TableParagraph"/>
              <w:spacing w:before="1"/>
              <w:ind w:left="109" w:right="318"/>
              <w:jc w:val="both"/>
              <w:rPr>
                <w:color w:val="000000" w:themeColor="text1"/>
                <w:sz w:val="24"/>
                <w:szCs w:val="24"/>
              </w:rPr>
            </w:pPr>
            <w:r w:rsidRPr="00C56257">
              <w:rPr>
                <w:color w:val="000000" w:themeColor="text1"/>
                <w:sz w:val="24"/>
                <w:szCs w:val="24"/>
              </w:rPr>
              <w:t>M01, M02,</w:t>
            </w:r>
            <w:r w:rsidRPr="00C56257">
              <w:rPr>
                <w:color w:val="000000" w:themeColor="text1"/>
                <w:spacing w:val="-52"/>
                <w:sz w:val="24"/>
                <w:szCs w:val="24"/>
              </w:rPr>
              <w:t xml:space="preserve"> </w:t>
            </w:r>
            <w:r w:rsidRPr="00C56257">
              <w:rPr>
                <w:color w:val="000000" w:themeColor="text1"/>
                <w:sz w:val="24"/>
                <w:szCs w:val="24"/>
              </w:rPr>
              <w:t>M03, M04,</w:t>
            </w:r>
            <w:r w:rsidRPr="00C56257">
              <w:rPr>
                <w:color w:val="000000" w:themeColor="text1"/>
                <w:spacing w:val="-52"/>
                <w:sz w:val="24"/>
                <w:szCs w:val="24"/>
              </w:rPr>
              <w:t xml:space="preserve"> </w:t>
            </w:r>
            <w:r w:rsidRPr="00C56257">
              <w:rPr>
                <w:color w:val="000000" w:themeColor="text1"/>
                <w:sz w:val="24"/>
                <w:szCs w:val="24"/>
              </w:rPr>
              <w:t>M05, M06,</w:t>
            </w:r>
            <w:r w:rsidRPr="00C56257">
              <w:rPr>
                <w:color w:val="000000" w:themeColor="text1"/>
                <w:spacing w:val="-52"/>
                <w:sz w:val="24"/>
                <w:szCs w:val="24"/>
              </w:rPr>
              <w:t xml:space="preserve"> </w:t>
            </w:r>
            <w:r w:rsidRPr="00C56257">
              <w:rPr>
                <w:color w:val="000000" w:themeColor="text1"/>
                <w:sz w:val="24"/>
                <w:szCs w:val="24"/>
              </w:rPr>
              <w:t>M07, M08,</w:t>
            </w:r>
            <w:r w:rsidRPr="00C56257">
              <w:rPr>
                <w:color w:val="000000" w:themeColor="text1"/>
                <w:spacing w:val="-52"/>
                <w:sz w:val="24"/>
                <w:szCs w:val="24"/>
              </w:rPr>
              <w:t xml:space="preserve"> </w:t>
            </w:r>
            <w:r w:rsidRPr="00C56257">
              <w:rPr>
                <w:color w:val="000000" w:themeColor="text1"/>
                <w:sz w:val="24"/>
                <w:szCs w:val="24"/>
              </w:rPr>
              <w:t>M09, M10</w:t>
            </w:r>
          </w:p>
        </w:tc>
      </w:tr>
    </w:tbl>
    <w:p w14:paraId="28DE8ED1" w14:textId="77777777" w:rsidR="00411BEE" w:rsidRDefault="0046215B" w:rsidP="00E12F5B">
      <w:pPr>
        <w:spacing w:after="160" w:line="259" w:lineRule="auto"/>
        <w:jc w:val="both"/>
        <w:rPr>
          <w:b/>
          <w:bCs/>
          <w:color w:val="000000" w:themeColor="text1"/>
        </w:rPr>
      </w:pPr>
      <w:r w:rsidRPr="00C56257">
        <w:rPr>
          <w:b/>
          <w:bCs/>
          <w:color w:val="000000" w:themeColor="text1"/>
        </w:rPr>
        <w:br w:type="page"/>
      </w:r>
      <w:r w:rsidR="00411BEE" w:rsidRPr="00411BEE">
        <w:rPr>
          <w:b/>
          <w:bCs/>
          <w:color w:val="000000" w:themeColor="text1"/>
        </w:rPr>
        <w:lastRenderedPageBreak/>
        <w:t>3. Ghidul cu  protocoalele de monitorizare si metodologiile unitare de monitorizare a starii de conservare a habitatelor de dune continentale</w:t>
      </w:r>
    </w:p>
    <w:p w14:paraId="7D19BE3D" w14:textId="77777777" w:rsidR="003A79C7" w:rsidRDefault="003A79C7" w:rsidP="003A79C7">
      <w:pPr>
        <w:pStyle w:val="BodyText"/>
        <w:spacing w:before="261"/>
        <w:ind w:left="0" w:right="-9"/>
        <w:jc w:val="both"/>
        <w:rPr>
          <w:sz w:val="24"/>
          <w:szCs w:val="24"/>
        </w:rPr>
      </w:pPr>
      <w:proofErr w:type="spellStart"/>
      <w:r w:rsidRPr="00E12F5B">
        <w:rPr>
          <w:sz w:val="24"/>
          <w:szCs w:val="24"/>
        </w:rPr>
        <w:t>Protoco</w:t>
      </w:r>
      <w:r w:rsidR="001C4653" w:rsidRPr="00E12F5B">
        <w:rPr>
          <w:sz w:val="24"/>
          <w:szCs w:val="24"/>
        </w:rPr>
        <w:t>lul</w:t>
      </w:r>
      <w:proofErr w:type="spellEnd"/>
      <w:r w:rsidRPr="00E12F5B">
        <w:rPr>
          <w:sz w:val="24"/>
          <w:szCs w:val="24"/>
        </w:rPr>
        <w:t xml:space="preserve"> de </w:t>
      </w:r>
      <w:proofErr w:type="spellStart"/>
      <w:r w:rsidRPr="00E12F5B">
        <w:rPr>
          <w:sz w:val="24"/>
          <w:szCs w:val="24"/>
        </w:rPr>
        <w:t>monitorizare</w:t>
      </w:r>
      <w:proofErr w:type="spellEnd"/>
      <w:r w:rsidRPr="00E12F5B">
        <w:rPr>
          <w:sz w:val="24"/>
          <w:szCs w:val="24"/>
        </w:rPr>
        <w:t xml:space="preserve"> </w:t>
      </w:r>
      <w:proofErr w:type="spellStart"/>
      <w:r w:rsidRPr="00E12F5B">
        <w:rPr>
          <w:sz w:val="24"/>
          <w:szCs w:val="24"/>
        </w:rPr>
        <w:t>și</w:t>
      </w:r>
      <w:proofErr w:type="spellEnd"/>
      <w:r w:rsidRPr="00E12F5B">
        <w:rPr>
          <w:sz w:val="24"/>
          <w:szCs w:val="24"/>
        </w:rPr>
        <w:t xml:space="preserve"> </w:t>
      </w:r>
      <w:proofErr w:type="spellStart"/>
      <w:r w:rsidRPr="00E12F5B">
        <w:rPr>
          <w:sz w:val="24"/>
          <w:szCs w:val="24"/>
        </w:rPr>
        <w:t>metodologi</w:t>
      </w:r>
      <w:r w:rsidR="001C4653" w:rsidRPr="00E12F5B">
        <w:rPr>
          <w:sz w:val="24"/>
          <w:szCs w:val="24"/>
        </w:rPr>
        <w:t>a</w:t>
      </w:r>
      <w:proofErr w:type="spellEnd"/>
      <w:r w:rsidRPr="00E12F5B">
        <w:rPr>
          <w:sz w:val="24"/>
          <w:szCs w:val="24"/>
        </w:rPr>
        <w:t xml:space="preserve"> de </w:t>
      </w:r>
      <w:proofErr w:type="spellStart"/>
      <w:r w:rsidRPr="00E12F5B">
        <w:rPr>
          <w:sz w:val="24"/>
          <w:szCs w:val="24"/>
        </w:rPr>
        <w:t>monitorizare</w:t>
      </w:r>
      <w:proofErr w:type="spellEnd"/>
      <w:r w:rsidRPr="00E12F5B">
        <w:rPr>
          <w:sz w:val="24"/>
          <w:szCs w:val="24"/>
        </w:rPr>
        <w:t xml:space="preserve"> a </w:t>
      </w:r>
      <w:proofErr w:type="spellStart"/>
      <w:r w:rsidRPr="00E12F5B">
        <w:rPr>
          <w:sz w:val="24"/>
          <w:szCs w:val="24"/>
        </w:rPr>
        <w:t>habitatelor</w:t>
      </w:r>
      <w:proofErr w:type="spellEnd"/>
      <w:r w:rsidRPr="00E12F5B">
        <w:rPr>
          <w:sz w:val="24"/>
          <w:szCs w:val="24"/>
        </w:rPr>
        <w:t xml:space="preserve"> de dune </w:t>
      </w:r>
      <w:proofErr w:type="spellStart"/>
      <w:r w:rsidRPr="00E12F5B">
        <w:rPr>
          <w:sz w:val="24"/>
          <w:szCs w:val="24"/>
        </w:rPr>
        <w:t>continentale</w:t>
      </w:r>
      <w:proofErr w:type="spellEnd"/>
      <w:r w:rsidRPr="00E12F5B">
        <w:rPr>
          <w:sz w:val="24"/>
          <w:szCs w:val="24"/>
        </w:rPr>
        <w:t xml:space="preserve"> sunt </w:t>
      </w:r>
      <w:proofErr w:type="spellStart"/>
      <w:r w:rsidRPr="00E12F5B">
        <w:rPr>
          <w:sz w:val="24"/>
          <w:szCs w:val="24"/>
        </w:rPr>
        <w:t>aferente</w:t>
      </w:r>
      <w:proofErr w:type="spellEnd"/>
      <w:r w:rsidRPr="00E12F5B">
        <w:rPr>
          <w:sz w:val="24"/>
          <w:szCs w:val="24"/>
        </w:rPr>
        <w:t xml:space="preserve"> </w:t>
      </w:r>
      <w:proofErr w:type="spellStart"/>
      <w:r w:rsidRPr="00E12F5B">
        <w:rPr>
          <w:sz w:val="24"/>
          <w:szCs w:val="24"/>
        </w:rPr>
        <w:t>următoarelor</w:t>
      </w:r>
      <w:proofErr w:type="spellEnd"/>
      <w:r w:rsidRPr="00E12F5B">
        <w:rPr>
          <w:spacing w:val="1"/>
          <w:sz w:val="24"/>
          <w:szCs w:val="24"/>
        </w:rPr>
        <w:t xml:space="preserve"> </w:t>
      </w:r>
      <w:proofErr w:type="spellStart"/>
      <w:r w:rsidRPr="00E12F5B">
        <w:rPr>
          <w:sz w:val="24"/>
          <w:szCs w:val="24"/>
        </w:rPr>
        <w:t>tipuri</w:t>
      </w:r>
      <w:proofErr w:type="spellEnd"/>
      <w:r w:rsidRPr="00E12F5B">
        <w:rPr>
          <w:sz w:val="24"/>
          <w:szCs w:val="24"/>
        </w:rPr>
        <w:t xml:space="preserve"> de </w:t>
      </w:r>
      <w:proofErr w:type="spellStart"/>
      <w:r w:rsidRPr="00E12F5B">
        <w:rPr>
          <w:sz w:val="24"/>
          <w:szCs w:val="24"/>
        </w:rPr>
        <w:t>habitate</w:t>
      </w:r>
      <w:proofErr w:type="spellEnd"/>
      <w:r w:rsidRPr="00E12F5B">
        <w:rPr>
          <w:sz w:val="24"/>
          <w:szCs w:val="24"/>
        </w:rPr>
        <w:t xml:space="preserve">: 2110 Dune mobile </w:t>
      </w:r>
      <w:proofErr w:type="spellStart"/>
      <w:r w:rsidRPr="00E12F5B">
        <w:rPr>
          <w:sz w:val="24"/>
          <w:szCs w:val="24"/>
        </w:rPr>
        <w:t>embrionare</w:t>
      </w:r>
      <w:proofErr w:type="spellEnd"/>
      <w:r w:rsidRPr="00E12F5B">
        <w:rPr>
          <w:sz w:val="24"/>
          <w:szCs w:val="24"/>
        </w:rPr>
        <w:t xml:space="preserve"> - </w:t>
      </w:r>
      <w:proofErr w:type="spellStart"/>
      <w:r w:rsidRPr="00E12F5B">
        <w:rPr>
          <w:sz w:val="24"/>
          <w:szCs w:val="24"/>
        </w:rPr>
        <w:t>în</w:t>
      </w:r>
      <w:proofErr w:type="spellEnd"/>
      <w:r w:rsidRPr="00E12F5B">
        <w:rPr>
          <w:sz w:val="24"/>
          <w:szCs w:val="24"/>
        </w:rPr>
        <w:t xml:space="preserve"> </w:t>
      </w:r>
      <w:proofErr w:type="spellStart"/>
      <w:r w:rsidRPr="00E12F5B">
        <w:rPr>
          <w:sz w:val="24"/>
          <w:szCs w:val="24"/>
        </w:rPr>
        <w:t>formare</w:t>
      </w:r>
      <w:proofErr w:type="spellEnd"/>
      <w:r w:rsidRPr="00E12F5B">
        <w:rPr>
          <w:sz w:val="24"/>
          <w:szCs w:val="24"/>
        </w:rPr>
        <w:t xml:space="preserve">; 2130* Dune fixate cu </w:t>
      </w:r>
      <w:proofErr w:type="spellStart"/>
      <w:r w:rsidRPr="00E12F5B">
        <w:rPr>
          <w:sz w:val="24"/>
          <w:szCs w:val="24"/>
        </w:rPr>
        <w:t>vegetație</w:t>
      </w:r>
      <w:proofErr w:type="spellEnd"/>
      <w:r w:rsidRPr="00E12F5B">
        <w:rPr>
          <w:spacing w:val="-57"/>
          <w:sz w:val="24"/>
          <w:szCs w:val="24"/>
        </w:rPr>
        <w:t xml:space="preserve"> </w:t>
      </w:r>
      <w:proofErr w:type="spellStart"/>
      <w:r w:rsidRPr="00E12F5B">
        <w:rPr>
          <w:sz w:val="24"/>
          <w:szCs w:val="24"/>
        </w:rPr>
        <w:t>herbacee</w:t>
      </w:r>
      <w:proofErr w:type="spellEnd"/>
      <w:r w:rsidRPr="00E12F5B">
        <w:rPr>
          <w:sz w:val="24"/>
          <w:szCs w:val="24"/>
        </w:rPr>
        <w:t xml:space="preserve"> </w:t>
      </w:r>
      <w:proofErr w:type="spellStart"/>
      <w:r w:rsidRPr="00E12F5B">
        <w:rPr>
          <w:sz w:val="24"/>
          <w:szCs w:val="24"/>
        </w:rPr>
        <w:t>perenă</w:t>
      </w:r>
      <w:proofErr w:type="spellEnd"/>
      <w:r w:rsidRPr="00E12F5B">
        <w:rPr>
          <w:sz w:val="24"/>
          <w:szCs w:val="24"/>
        </w:rPr>
        <w:t xml:space="preserve"> - dune </w:t>
      </w:r>
      <w:proofErr w:type="spellStart"/>
      <w:r w:rsidRPr="00E12F5B">
        <w:rPr>
          <w:sz w:val="24"/>
          <w:szCs w:val="24"/>
        </w:rPr>
        <w:t>gri</w:t>
      </w:r>
      <w:proofErr w:type="spellEnd"/>
      <w:r w:rsidRPr="00E12F5B">
        <w:rPr>
          <w:sz w:val="24"/>
          <w:szCs w:val="24"/>
        </w:rPr>
        <w:t xml:space="preserve">; 2160 Dune cu </w:t>
      </w:r>
      <w:proofErr w:type="spellStart"/>
      <w:r w:rsidRPr="00E12F5B">
        <w:rPr>
          <w:i/>
          <w:sz w:val="24"/>
          <w:szCs w:val="24"/>
        </w:rPr>
        <w:t>Hippophae</w:t>
      </w:r>
      <w:proofErr w:type="spellEnd"/>
      <w:r w:rsidRPr="00E12F5B">
        <w:rPr>
          <w:i/>
          <w:sz w:val="24"/>
          <w:szCs w:val="24"/>
        </w:rPr>
        <w:t xml:space="preserve"> </w:t>
      </w:r>
      <w:proofErr w:type="spellStart"/>
      <w:r w:rsidRPr="00E12F5B">
        <w:rPr>
          <w:i/>
          <w:sz w:val="24"/>
          <w:szCs w:val="24"/>
        </w:rPr>
        <w:t>rhamnoides</w:t>
      </w:r>
      <w:proofErr w:type="spellEnd"/>
      <w:r w:rsidRPr="00E12F5B">
        <w:rPr>
          <w:sz w:val="24"/>
          <w:szCs w:val="24"/>
        </w:rPr>
        <w:t xml:space="preserve">; 2190 </w:t>
      </w:r>
      <w:proofErr w:type="spellStart"/>
      <w:r w:rsidRPr="00E12F5B">
        <w:rPr>
          <w:sz w:val="24"/>
          <w:szCs w:val="24"/>
        </w:rPr>
        <w:t>Depresiuni</w:t>
      </w:r>
      <w:proofErr w:type="spellEnd"/>
      <w:r w:rsidRPr="00E12F5B">
        <w:rPr>
          <w:sz w:val="24"/>
          <w:szCs w:val="24"/>
        </w:rPr>
        <w:t xml:space="preserve"> </w:t>
      </w:r>
      <w:proofErr w:type="spellStart"/>
      <w:r w:rsidRPr="00E12F5B">
        <w:rPr>
          <w:sz w:val="24"/>
          <w:szCs w:val="24"/>
        </w:rPr>
        <w:t>umede</w:t>
      </w:r>
      <w:proofErr w:type="spellEnd"/>
      <w:r w:rsidRPr="00E12F5B">
        <w:rPr>
          <w:spacing w:val="1"/>
          <w:sz w:val="24"/>
          <w:szCs w:val="24"/>
        </w:rPr>
        <w:t xml:space="preserve"> </w:t>
      </w:r>
      <w:proofErr w:type="spellStart"/>
      <w:r w:rsidRPr="00E12F5B">
        <w:rPr>
          <w:sz w:val="24"/>
          <w:szCs w:val="24"/>
        </w:rPr>
        <w:t>interdunale</w:t>
      </w:r>
      <w:proofErr w:type="spellEnd"/>
      <w:r w:rsidRPr="00E12F5B">
        <w:rPr>
          <w:sz w:val="24"/>
          <w:szCs w:val="24"/>
        </w:rPr>
        <w:t>;</w:t>
      </w:r>
      <w:r w:rsidRPr="00E12F5B">
        <w:rPr>
          <w:spacing w:val="-1"/>
          <w:sz w:val="24"/>
          <w:szCs w:val="24"/>
        </w:rPr>
        <w:t xml:space="preserve"> </w:t>
      </w:r>
      <w:r w:rsidRPr="00E12F5B">
        <w:rPr>
          <w:sz w:val="24"/>
          <w:szCs w:val="24"/>
        </w:rPr>
        <w:t xml:space="preserve">2340* Dune </w:t>
      </w:r>
      <w:proofErr w:type="spellStart"/>
      <w:r w:rsidRPr="00E12F5B">
        <w:rPr>
          <w:sz w:val="24"/>
          <w:szCs w:val="24"/>
        </w:rPr>
        <w:t>panonice</w:t>
      </w:r>
      <w:proofErr w:type="spellEnd"/>
      <w:r w:rsidRPr="00E12F5B">
        <w:rPr>
          <w:sz w:val="24"/>
          <w:szCs w:val="24"/>
        </w:rPr>
        <w:t>.</w:t>
      </w:r>
    </w:p>
    <w:p w14:paraId="5FA433F4" w14:textId="77777777" w:rsidR="003A79C7" w:rsidRPr="00C56257" w:rsidRDefault="003A79C7" w:rsidP="00F100E1">
      <w:pPr>
        <w:spacing w:after="160" w:line="259" w:lineRule="auto"/>
        <w:ind w:right="869"/>
        <w:jc w:val="both"/>
        <w:rPr>
          <w:b/>
          <w:bCs/>
          <w:color w:val="000000" w:themeColor="text1"/>
        </w:rPr>
      </w:pPr>
    </w:p>
    <w:p w14:paraId="3969F2FB" w14:textId="77777777" w:rsidR="00BC3758" w:rsidRPr="00C56257" w:rsidRDefault="00411BEE" w:rsidP="008E33FD">
      <w:pPr>
        <w:spacing w:after="160" w:line="259" w:lineRule="auto"/>
        <w:jc w:val="both"/>
        <w:rPr>
          <w:b/>
          <w:bCs/>
          <w:color w:val="000000" w:themeColor="text1"/>
        </w:rPr>
      </w:pPr>
      <w:r w:rsidRPr="00411BEE">
        <w:rPr>
          <w:b/>
          <w:bCs/>
          <w:color w:val="000000" w:themeColor="text1"/>
        </w:rPr>
        <w:t>Capitolul 3.1. Protoco</w:t>
      </w:r>
      <w:r w:rsidR="001C4653">
        <w:rPr>
          <w:b/>
          <w:bCs/>
          <w:color w:val="000000" w:themeColor="text1"/>
        </w:rPr>
        <w:t>lul</w:t>
      </w:r>
      <w:r w:rsidRPr="00411BEE">
        <w:rPr>
          <w:b/>
          <w:bCs/>
          <w:color w:val="000000" w:themeColor="text1"/>
        </w:rPr>
        <w:t xml:space="preserve"> de monitorizare a stării de conservare a habitatelor de dune continentale de interes comunitar</w:t>
      </w:r>
    </w:p>
    <w:p w14:paraId="309B4AC5" w14:textId="77777777" w:rsidR="00A37B92" w:rsidRPr="00C56257" w:rsidRDefault="00A37B92" w:rsidP="00493079">
      <w:pPr>
        <w:widowControl w:val="0"/>
        <w:autoSpaceDE w:val="0"/>
        <w:autoSpaceDN w:val="0"/>
        <w:spacing w:before="68"/>
        <w:ind w:right="26"/>
        <w:jc w:val="both"/>
        <w:outlineLvl w:val="1"/>
        <w:rPr>
          <w:rFonts w:eastAsia="Cambria"/>
          <w:b/>
          <w:bCs/>
          <w:color w:val="000000" w:themeColor="text1"/>
        </w:rPr>
      </w:pPr>
      <w:r w:rsidRPr="00C56257">
        <w:rPr>
          <w:rFonts w:eastAsia="Cambria"/>
          <w:b/>
          <w:bCs/>
          <w:color w:val="000000" w:themeColor="text1"/>
        </w:rPr>
        <w:t>Alegerea și distribuția ploturilor se va face în funcție de perioadele optime de culegere a</w:t>
      </w:r>
      <w:r w:rsidRPr="00C56257">
        <w:rPr>
          <w:rFonts w:eastAsia="Cambria"/>
          <w:b/>
          <w:bCs/>
          <w:color w:val="000000" w:themeColor="text1"/>
          <w:spacing w:val="1"/>
        </w:rPr>
        <w:t xml:space="preserve"> </w:t>
      </w:r>
      <w:r w:rsidR="009A0EA7">
        <w:rPr>
          <w:rFonts w:eastAsia="Cambria"/>
          <w:b/>
          <w:bCs/>
          <w:color w:val="000000" w:themeColor="text1"/>
        </w:rPr>
        <w:t>datelor</w:t>
      </w:r>
    </w:p>
    <w:p w14:paraId="50903B43" w14:textId="77777777" w:rsidR="00A37B92" w:rsidRPr="00C56257" w:rsidRDefault="00A37B92" w:rsidP="00493079">
      <w:pPr>
        <w:widowControl w:val="0"/>
        <w:autoSpaceDE w:val="0"/>
        <w:autoSpaceDN w:val="0"/>
        <w:ind w:right="26"/>
        <w:jc w:val="both"/>
        <w:rPr>
          <w:color w:val="000000" w:themeColor="text1"/>
        </w:rPr>
      </w:pPr>
      <w:r>
        <w:rPr>
          <w:color w:val="000000" w:themeColor="text1"/>
        </w:rPr>
        <w:t>M</w:t>
      </w:r>
      <w:r w:rsidRPr="00C56257">
        <w:rPr>
          <w:color w:val="000000" w:themeColor="text1"/>
        </w:rPr>
        <w:t>onitorizarea</w:t>
      </w:r>
      <w:r w:rsidRPr="00C56257">
        <w:rPr>
          <w:color w:val="000000" w:themeColor="text1"/>
          <w:spacing w:val="1"/>
        </w:rPr>
        <w:t xml:space="preserve"> </w:t>
      </w:r>
      <w:r w:rsidRPr="00C56257">
        <w:rPr>
          <w:color w:val="000000" w:themeColor="text1"/>
        </w:rPr>
        <w:t>habitatelor</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dune</w:t>
      </w:r>
      <w:r w:rsidRPr="00C56257">
        <w:rPr>
          <w:color w:val="000000" w:themeColor="text1"/>
          <w:spacing w:val="1"/>
        </w:rPr>
        <w:t xml:space="preserve"> </w:t>
      </w:r>
      <w:r w:rsidRPr="00C56257">
        <w:rPr>
          <w:color w:val="000000" w:themeColor="text1"/>
        </w:rPr>
        <w:t>continentale</w:t>
      </w:r>
      <w:r w:rsidRPr="00C56257">
        <w:rPr>
          <w:color w:val="000000" w:themeColor="text1"/>
          <w:spacing w:val="1"/>
        </w:rPr>
        <w:t xml:space="preserve"> </w:t>
      </w:r>
      <w:r w:rsidRPr="00C56257">
        <w:rPr>
          <w:color w:val="000000" w:themeColor="text1"/>
        </w:rPr>
        <w:t>se</w:t>
      </w:r>
      <w:r w:rsidRPr="00C56257">
        <w:rPr>
          <w:color w:val="000000" w:themeColor="text1"/>
          <w:spacing w:val="1"/>
        </w:rPr>
        <w:t xml:space="preserve"> </w:t>
      </w:r>
      <w:r w:rsidRPr="00C56257">
        <w:rPr>
          <w:color w:val="000000" w:themeColor="text1"/>
        </w:rPr>
        <w:t>realizează</w:t>
      </w:r>
      <w:r w:rsidRPr="00C56257">
        <w:rPr>
          <w:color w:val="000000" w:themeColor="text1"/>
          <w:spacing w:val="1"/>
        </w:rPr>
        <w:t xml:space="preserve"> </w:t>
      </w:r>
      <w:r w:rsidRPr="00C56257">
        <w:rPr>
          <w:color w:val="000000" w:themeColor="text1"/>
        </w:rPr>
        <w:t>la</w:t>
      </w:r>
      <w:r w:rsidRPr="00C56257">
        <w:rPr>
          <w:color w:val="000000" w:themeColor="text1"/>
          <w:spacing w:val="1"/>
        </w:rPr>
        <w:t xml:space="preserve"> </w:t>
      </w:r>
      <w:r w:rsidRPr="00C56257">
        <w:rPr>
          <w:color w:val="000000" w:themeColor="text1"/>
        </w:rPr>
        <w:t>nivel</w:t>
      </w:r>
      <w:r w:rsidRPr="00C56257">
        <w:rPr>
          <w:color w:val="000000" w:themeColor="text1"/>
          <w:spacing w:val="1"/>
        </w:rPr>
        <w:t xml:space="preserve"> </w:t>
      </w:r>
      <w:r w:rsidRPr="00C56257">
        <w:rPr>
          <w:color w:val="000000" w:themeColor="text1"/>
        </w:rPr>
        <w:t>național, în interiorul și în exteriorul rețelei Natura 2000, în funcție de distribuția habitatelor pe</w:t>
      </w:r>
      <w:r w:rsidRPr="00C56257">
        <w:rPr>
          <w:color w:val="000000" w:themeColor="text1"/>
          <w:spacing w:val="1"/>
        </w:rPr>
        <w:t xml:space="preserve"> </w:t>
      </w:r>
      <w:r w:rsidRPr="00C56257">
        <w:rPr>
          <w:color w:val="000000" w:themeColor="text1"/>
        </w:rPr>
        <w:t>regiuni</w:t>
      </w:r>
      <w:r w:rsidRPr="00C56257">
        <w:rPr>
          <w:color w:val="000000" w:themeColor="text1"/>
          <w:spacing w:val="-1"/>
        </w:rPr>
        <w:t xml:space="preserve"> </w:t>
      </w:r>
      <w:r w:rsidRPr="00C56257">
        <w:rPr>
          <w:color w:val="000000" w:themeColor="text1"/>
        </w:rPr>
        <w:t>biogeografice.</w:t>
      </w:r>
    </w:p>
    <w:p w14:paraId="483E4F0F" w14:textId="77777777" w:rsidR="00A37B92" w:rsidRPr="00C56257" w:rsidRDefault="00A37B92" w:rsidP="00493079">
      <w:pPr>
        <w:widowControl w:val="0"/>
        <w:autoSpaceDE w:val="0"/>
        <w:autoSpaceDN w:val="0"/>
        <w:ind w:right="26"/>
        <w:jc w:val="both"/>
        <w:rPr>
          <w:color w:val="000000" w:themeColor="text1"/>
        </w:rPr>
      </w:pPr>
      <w:r w:rsidRPr="00E12F5B">
        <w:rPr>
          <w:color w:val="000000" w:themeColor="text1"/>
        </w:rPr>
        <w:t>În tabelul de mai jos sunt redate habitatele de dune continentale de interes comunitar care fac</w:t>
      </w:r>
      <w:r w:rsidRPr="00E12F5B">
        <w:rPr>
          <w:color w:val="000000" w:themeColor="text1"/>
          <w:spacing w:val="1"/>
        </w:rPr>
        <w:t xml:space="preserve"> </w:t>
      </w:r>
      <w:r w:rsidRPr="00E12F5B">
        <w:rPr>
          <w:color w:val="000000" w:themeColor="text1"/>
        </w:rPr>
        <w:t>obiectul</w:t>
      </w:r>
      <w:r w:rsidRPr="00E12F5B">
        <w:rPr>
          <w:color w:val="000000" w:themeColor="text1"/>
          <w:spacing w:val="-1"/>
        </w:rPr>
        <w:t xml:space="preserve"> </w:t>
      </w:r>
      <w:r w:rsidRPr="00E12F5B">
        <w:rPr>
          <w:color w:val="000000" w:themeColor="text1"/>
        </w:rPr>
        <w:t>prezentei metodologii:</w:t>
      </w:r>
    </w:p>
    <w:p w14:paraId="196BC480" w14:textId="77777777" w:rsidR="00A37B92" w:rsidRPr="00C56257" w:rsidRDefault="00A37B92" w:rsidP="00A37B92">
      <w:pPr>
        <w:widowControl w:val="0"/>
        <w:autoSpaceDE w:val="0"/>
        <w:autoSpaceDN w:val="0"/>
        <w:spacing w:before="5" w:after="1"/>
        <w:jc w:val="both"/>
        <w:rPr>
          <w:color w:val="000000" w:themeColor="text1"/>
        </w:rPr>
      </w:pPr>
    </w:p>
    <w:tbl>
      <w:tblPr>
        <w:tblW w:w="0" w:type="auto"/>
        <w:tblInd w:w="3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07"/>
        <w:gridCol w:w="708"/>
        <w:gridCol w:w="709"/>
        <w:gridCol w:w="711"/>
        <w:gridCol w:w="766"/>
        <w:gridCol w:w="745"/>
      </w:tblGrid>
      <w:tr w:rsidR="00A37B92" w:rsidRPr="00C56257" w14:paraId="0EDF73F6" w14:textId="77777777" w:rsidTr="00C902DF">
        <w:trPr>
          <w:trHeight w:val="251"/>
        </w:trPr>
        <w:tc>
          <w:tcPr>
            <w:tcW w:w="5907" w:type="dxa"/>
            <w:vMerge w:val="restart"/>
            <w:shd w:val="clear" w:color="auto" w:fill="D9D9D9"/>
          </w:tcPr>
          <w:p w14:paraId="565E1201" w14:textId="77777777" w:rsidR="00A37B92" w:rsidRPr="00C56257" w:rsidRDefault="00A37B92" w:rsidP="00C902DF">
            <w:pPr>
              <w:widowControl w:val="0"/>
              <w:autoSpaceDE w:val="0"/>
              <w:autoSpaceDN w:val="0"/>
              <w:spacing w:before="130"/>
              <w:jc w:val="both"/>
              <w:rPr>
                <w:b/>
                <w:color w:val="000000" w:themeColor="text1"/>
              </w:rPr>
            </w:pPr>
            <w:r w:rsidRPr="00C56257">
              <w:rPr>
                <w:b/>
                <w:color w:val="000000" w:themeColor="text1"/>
              </w:rPr>
              <w:t>Denumirea</w:t>
            </w:r>
            <w:r w:rsidRPr="00C56257">
              <w:rPr>
                <w:b/>
                <w:color w:val="000000" w:themeColor="text1"/>
                <w:spacing w:val="-1"/>
              </w:rPr>
              <w:t xml:space="preserve"> </w:t>
            </w:r>
            <w:r w:rsidRPr="00C56257">
              <w:rPr>
                <w:b/>
                <w:color w:val="000000" w:themeColor="text1"/>
              </w:rPr>
              <w:t>şi codul Natura</w:t>
            </w:r>
            <w:r w:rsidRPr="00C56257">
              <w:rPr>
                <w:b/>
                <w:color w:val="000000" w:themeColor="text1"/>
                <w:spacing w:val="-1"/>
              </w:rPr>
              <w:t xml:space="preserve"> </w:t>
            </w:r>
            <w:r w:rsidRPr="00C56257">
              <w:rPr>
                <w:b/>
                <w:color w:val="000000" w:themeColor="text1"/>
              </w:rPr>
              <w:t>2000</w:t>
            </w:r>
          </w:p>
        </w:tc>
        <w:tc>
          <w:tcPr>
            <w:tcW w:w="3639" w:type="dxa"/>
            <w:gridSpan w:val="5"/>
            <w:shd w:val="clear" w:color="auto" w:fill="D9D9D9"/>
          </w:tcPr>
          <w:p w14:paraId="71E59058" w14:textId="77777777" w:rsidR="00A37B92" w:rsidRPr="00C56257" w:rsidRDefault="00A37B92" w:rsidP="00C902DF">
            <w:pPr>
              <w:widowControl w:val="0"/>
              <w:autoSpaceDE w:val="0"/>
              <w:autoSpaceDN w:val="0"/>
              <w:spacing w:line="232" w:lineRule="exact"/>
              <w:jc w:val="both"/>
              <w:rPr>
                <w:b/>
                <w:color w:val="000000" w:themeColor="text1"/>
              </w:rPr>
            </w:pPr>
            <w:r w:rsidRPr="00C56257">
              <w:rPr>
                <w:b/>
                <w:color w:val="000000" w:themeColor="text1"/>
              </w:rPr>
              <w:t>Prezenţa</w:t>
            </w:r>
            <w:r w:rsidRPr="00C56257">
              <w:rPr>
                <w:b/>
                <w:color w:val="000000" w:themeColor="text1"/>
                <w:spacing w:val="-5"/>
              </w:rPr>
              <w:t xml:space="preserve"> </w:t>
            </w:r>
            <w:r w:rsidRPr="00C56257">
              <w:rPr>
                <w:b/>
                <w:color w:val="000000" w:themeColor="text1"/>
              </w:rPr>
              <w:t>în</w:t>
            </w:r>
            <w:r w:rsidRPr="00C56257">
              <w:rPr>
                <w:b/>
                <w:color w:val="000000" w:themeColor="text1"/>
                <w:spacing w:val="-1"/>
              </w:rPr>
              <w:t xml:space="preserve"> </w:t>
            </w:r>
            <w:r w:rsidRPr="00C56257">
              <w:rPr>
                <w:b/>
                <w:color w:val="000000" w:themeColor="text1"/>
              </w:rPr>
              <w:t>regiunea</w:t>
            </w:r>
            <w:r w:rsidRPr="00C56257">
              <w:rPr>
                <w:b/>
                <w:color w:val="000000" w:themeColor="text1"/>
                <w:spacing w:val="-3"/>
              </w:rPr>
              <w:t xml:space="preserve"> </w:t>
            </w:r>
            <w:r w:rsidRPr="00C56257">
              <w:rPr>
                <w:b/>
                <w:color w:val="000000" w:themeColor="text1"/>
              </w:rPr>
              <w:t>biogeografică</w:t>
            </w:r>
          </w:p>
        </w:tc>
      </w:tr>
      <w:tr w:rsidR="00A37B92" w:rsidRPr="00C56257" w14:paraId="61D82AB3" w14:textId="77777777" w:rsidTr="00C902DF">
        <w:trPr>
          <w:trHeight w:val="254"/>
        </w:trPr>
        <w:tc>
          <w:tcPr>
            <w:tcW w:w="5907" w:type="dxa"/>
            <w:vMerge/>
            <w:tcBorders>
              <w:top w:val="nil"/>
            </w:tcBorders>
            <w:shd w:val="clear" w:color="auto" w:fill="D9D9D9"/>
          </w:tcPr>
          <w:p w14:paraId="2D705EBD" w14:textId="77777777" w:rsidR="00A37B92" w:rsidRPr="00C56257" w:rsidRDefault="00A37B92" w:rsidP="00C902DF">
            <w:pPr>
              <w:widowControl w:val="0"/>
              <w:autoSpaceDE w:val="0"/>
              <w:autoSpaceDN w:val="0"/>
              <w:jc w:val="both"/>
              <w:rPr>
                <w:color w:val="000000" w:themeColor="text1"/>
              </w:rPr>
            </w:pPr>
          </w:p>
        </w:tc>
        <w:tc>
          <w:tcPr>
            <w:tcW w:w="708" w:type="dxa"/>
          </w:tcPr>
          <w:p w14:paraId="4AEF3F3E" w14:textId="77777777" w:rsidR="00A37B92" w:rsidRPr="00C56257" w:rsidRDefault="00A37B92" w:rsidP="00C902DF">
            <w:pPr>
              <w:widowControl w:val="0"/>
              <w:autoSpaceDE w:val="0"/>
              <w:autoSpaceDN w:val="0"/>
              <w:spacing w:before="1" w:line="233" w:lineRule="exact"/>
              <w:jc w:val="both"/>
              <w:rPr>
                <w:b/>
                <w:color w:val="000000" w:themeColor="text1"/>
              </w:rPr>
            </w:pPr>
            <w:r w:rsidRPr="00C56257">
              <w:rPr>
                <w:b/>
                <w:color w:val="000000" w:themeColor="text1"/>
              </w:rPr>
              <w:t>PAN</w:t>
            </w:r>
          </w:p>
        </w:tc>
        <w:tc>
          <w:tcPr>
            <w:tcW w:w="709" w:type="dxa"/>
          </w:tcPr>
          <w:p w14:paraId="575A0B68" w14:textId="77777777" w:rsidR="00A37B92" w:rsidRPr="00C56257" w:rsidRDefault="00A37B92" w:rsidP="00C902DF">
            <w:pPr>
              <w:widowControl w:val="0"/>
              <w:autoSpaceDE w:val="0"/>
              <w:autoSpaceDN w:val="0"/>
              <w:spacing w:before="1" w:line="233" w:lineRule="exact"/>
              <w:jc w:val="both"/>
              <w:rPr>
                <w:b/>
                <w:color w:val="000000" w:themeColor="text1"/>
              </w:rPr>
            </w:pPr>
            <w:r w:rsidRPr="00C56257">
              <w:rPr>
                <w:b/>
                <w:color w:val="000000" w:themeColor="text1"/>
              </w:rPr>
              <w:t>CON</w:t>
            </w:r>
          </w:p>
        </w:tc>
        <w:tc>
          <w:tcPr>
            <w:tcW w:w="711" w:type="dxa"/>
          </w:tcPr>
          <w:p w14:paraId="34748579" w14:textId="77777777" w:rsidR="00A37B92" w:rsidRPr="00C56257" w:rsidRDefault="00A37B92" w:rsidP="00C902DF">
            <w:pPr>
              <w:widowControl w:val="0"/>
              <w:autoSpaceDE w:val="0"/>
              <w:autoSpaceDN w:val="0"/>
              <w:spacing w:before="1" w:line="233" w:lineRule="exact"/>
              <w:jc w:val="both"/>
              <w:rPr>
                <w:b/>
                <w:color w:val="000000" w:themeColor="text1"/>
              </w:rPr>
            </w:pPr>
            <w:r w:rsidRPr="00C56257">
              <w:rPr>
                <w:b/>
                <w:color w:val="000000" w:themeColor="text1"/>
              </w:rPr>
              <w:t>ALP</w:t>
            </w:r>
          </w:p>
        </w:tc>
        <w:tc>
          <w:tcPr>
            <w:tcW w:w="766" w:type="dxa"/>
          </w:tcPr>
          <w:p w14:paraId="753153FC" w14:textId="77777777" w:rsidR="00A37B92" w:rsidRPr="00C56257" w:rsidRDefault="00A37B92" w:rsidP="00C902DF">
            <w:pPr>
              <w:widowControl w:val="0"/>
              <w:autoSpaceDE w:val="0"/>
              <w:autoSpaceDN w:val="0"/>
              <w:spacing w:before="1" w:line="233" w:lineRule="exact"/>
              <w:jc w:val="both"/>
              <w:rPr>
                <w:b/>
                <w:color w:val="000000" w:themeColor="text1"/>
              </w:rPr>
            </w:pPr>
            <w:r w:rsidRPr="00C56257">
              <w:rPr>
                <w:b/>
                <w:color w:val="000000" w:themeColor="text1"/>
              </w:rPr>
              <w:t>STE</w:t>
            </w:r>
          </w:p>
        </w:tc>
        <w:tc>
          <w:tcPr>
            <w:tcW w:w="745" w:type="dxa"/>
          </w:tcPr>
          <w:p w14:paraId="006FF35F" w14:textId="77777777" w:rsidR="00A37B92" w:rsidRPr="00C56257" w:rsidRDefault="00A37B92" w:rsidP="00C902DF">
            <w:pPr>
              <w:widowControl w:val="0"/>
              <w:autoSpaceDE w:val="0"/>
              <w:autoSpaceDN w:val="0"/>
              <w:spacing w:before="1" w:line="233" w:lineRule="exact"/>
              <w:ind w:right="111"/>
              <w:jc w:val="both"/>
              <w:rPr>
                <w:b/>
                <w:color w:val="000000" w:themeColor="text1"/>
              </w:rPr>
            </w:pPr>
            <w:r w:rsidRPr="00C56257">
              <w:rPr>
                <w:b/>
                <w:color w:val="000000" w:themeColor="text1"/>
              </w:rPr>
              <w:t>PON</w:t>
            </w:r>
          </w:p>
        </w:tc>
      </w:tr>
      <w:tr w:rsidR="00A37B92" w:rsidRPr="00C56257" w14:paraId="4C37F89B" w14:textId="77777777" w:rsidTr="00C902DF">
        <w:trPr>
          <w:trHeight w:val="429"/>
        </w:trPr>
        <w:tc>
          <w:tcPr>
            <w:tcW w:w="5907" w:type="dxa"/>
          </w:tcPr>
          <w:p w14:paraId="3CEAEECB" w14:textId="77777777" w:rsidR="00A37B92" w:rsidRPr="00C56257" w:rsidRDefault="00A37B92" w:rsidP="00C902DF">
            <w:pPr>
              <w:widowControl w:val="0"/>
              <w:autoSpaceDE w:val="0"/>
              <w:autoSpaceDN w:val="0"/>
              <w:spacing w:before="82"/>
              <w:jc w:val="both"/>
              <w:rPr>
                <w:color w:val="000000" w:themeColor="text1"/>
              </w:rPr>
            </w:pPr>
            <w:r w:rsidRPr="00C56257">
              <w:rPr>
                <w:color w:val="000000" w:themeColor="text1"/>
              </w:rPr>
              <w:t>2110</w:t>
            </w:r>
            <w:r w:rsidRPr="00C56257">
              <w:rPr>
                <w:color w:val="000000" w:themeColor="text1"/>
                <w:spacing w:val="-1"/>
              </w:rPr>
              <w:t xml:space="preserve"> </w:t>
            </w:r>
            <w:r w:rsidRPr="00C56257">
              <w:rPr>
                <w:color w:val="000000" w:themeColor="text1"/>
              </w:rPr>
              <w:t>-</w:t>
            </w:r>
            <w:r w:rsidRPr="00C56257">
              <w:rPr>
                <w:color w:val="000000" w:themeColor="text1"/>
                <w:spacing w:val="-5"/>
              </w:rPr>
              <w:t xml:space="preserve"> </w:t>
            </w:r>
            <w:r w:rsidRPr="00C56257">
              <w:rPr>
                <w:color w:val="000000" w:themeColor="text1"/>
              </w:rPr>
              <w:t>Dune</w:t>
            </w:r>
            <w:r w:rsidRPr="00C56257">
              <w:rPr>
                <w:color w:val="000000" w:themeColor="text1"/>
                <w:spacing w:val="1"/>
              </w:rPr>
              <w:t xml:space="preserve"> </w:t>
            </w:r>
            <w:r w:rsidRPr="00C56257">
              <w:rPr>
                <w:color w:val="000000" w:themeColor="text1"/>
              </w:rPr>
              <w:t>mobile</w:t>
            </w:r>
            <w:r w:rsidRPr="00C56257">
              <w:rPr>
                <w:color w:val="000000" w:themeColor="text1"/>
                <w:spacing w:val="-3"/>
              </w:rPr>
              <w:t xml:space="preserve"> </w:t>
            </w:r>
            <w:r w:rsidRPr="00C56257">
              <w:rPr>
                <w:color w:val="000000" w:themeColor="text1"/>
              </w:rPr>
              <w:t>embrionare</w:t>
            </w:r>
            <w:r w:rsidRPr="00C56257">
              <w:rPr>
                <w:color w:val="000000" w:themeColor="text1"/>
                <w:spacing w:val="-3"/>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formare)</w:t>
            </w:r>
          </w:p>
        </w:tc>
        <w:tc>
          <w:tcPr>
            <w:tcW w:w="708" w:type="dxa"/>
          </w:tcPr>
          <w:p w14:paraId="1BD7B7EB" w14:textId="77777777" w:rsidR="00A37B92" w:rsidRPr="00C56257" w:rsidRDefault="00A37B92" w:rsidP="00C902DF">
            <w:pPr>
              <w:widowControl w:val="0"/>
              <w:autoSpaceDE w:val="0"/>
              <w:autoSpaceDN w:val="0"/>
              <w:jc w:val="both"/>
              <w:rPr>
                <w:color w:val="000000" w:themeColor="text1"/>
              </w:rPr>
            </w:pPr>
          </w:p>
        </w:tc>
        <w:tc>
          <w:tcPr>
            <w:tcW w:w="709" w:type="dxa"/>
          </w:tcPr>
          <w:p w14:paraId="3DB76180" w14:textId="77777777" w:rsidR="00A37B92" w:rsidRPr="00C56257" w:rsidRDefault="00A37B92" w:rsidP="00C902DF">
            <w:pPr>
              <w:widowControl w:val="0"/>
              <w:autoSpaceDE w:val="0"/>
              <w:autoSpaceDN w:val="0"/>
              <w:jc w:val="both"/>
              <w:rPr>
                <w:color w:val="000000" w:themeColor="text1"/>
              </w:rPr>
            </w:pPr>
          </w:p>
        </w:tc>
        <w:tc>
          <w:tcPr>
            <w:tcW w:w="711" w:type="dxa"/>
          </w:tcPr>
          <w:p w14:paraId="3F244F01" w14:textId="77777777" w:rsidR="00A37B92" w:rsidRPr="00C56257" w:rsidRDefault="00A37B92" w:rsidP="00C902DF">
            <w:pPr>
              <w:widowControl w:val="0"/>
              <w:autoSpaceDE w:val="0"/>
              <w:autoSpaceDN w:val="0"/>
              <w:jc w:val="both"/>
              <w:rPr>
                <w:color w:val="000000" w:themeColor="text1"/>
              </w:rPr>
            </w:pPr>
          </w:p>
        </w:tc>
        <w:tc>
          <w:tcPr>
            <w:tcW w:w="766" w:type="dxa"/>
          </w:tcPr>
          <w:p w14:paraId="6EF7BB97" w14:textId="77777777" w:rsidR="00A37B92" w:rsidRPr="00C56257" w:rsidRDefault="00A37B92" w:rsidP="00C902DF">
            <w:pPr>
              <w:widowControl w:val="0"/>
              <w:autoSpaceDE w:val="0"/>
              <w:autoSpaceDN w:val="0"/>
              <w:jc w:val="both"/>
              <w:rPr>
                <w:color w:val="000000" w:themeColor="text1"/>
              </w:rPr>
            </w:pPr>
          </w:p>
        </w:tc>
        <w:tc>
          <w:tcPr>
            <w:tcW w:w="745" w:type="dxa"/>
            <w:shd w:val="clear" w:color="auto" w:fill="D9D9D9"/>
          </w:tcPr>
          <w:p w14:paraId="30E49514" w14:textId="77777777" w:rsidR="00A37B92" w:rsidRPr="00C56257" w:rsidRDefault="00A37B92" w:rsidP="00C902DF">
            <w:pPr>
              <w:widowControl w:val="0"/>
              <w:autoSpaceDE w:val="0"/>
              <w:autoSpaceDN w:val="0"/>
              <w:spacing w:before="87"/>
              <w:jc w:val="both"/>
              <w:rPr>
                <w:b/>
                <w:color w:val="000000" w:themeColor="text1"/>
              </w:rPr>
            </w:pPr>
            <w:r w:rsidRPr="00C56257">
              <w:rPr>
                <w:b/>
                <w:color w:val="000000" w:themeColor="text1"/>
              </w:rPr>
              <w:t>√</w:t>
            </w:r>
          </w:p>
        </w:tc>
      </w:tr>
      <w:tr w:rsidR="00A37B92" w:rsidRPr="00C56257" w14:paraId="63FC8428" w14:textId="77777777" w:rsidTr="00C902DF">
        <w:trPr>
          <w:trHeight w:val="410"/>
        </w:trPr>
        <w:tc>
          <w:tcPr>
            <w:tcW w:w="5907" w:type="dxa"/>
          </w:tcPr>
          <w:p w14:paraId="1A493212" w14:textId="77777777" w:rsidR="00A37B92" w:rsidRPr="00C56257" w:rsidRDefault="00A37B92" w:rsidP="00C902DF">
            <w:pPr>
              <w:widowControl w:val="0"/>
              <w:autoSpaceDE w:val="0"/>
              <w:autoSpaceDN w:val="0"/>
              <w:spacing w:before="73"/>
              <w:jc w:val="both"/>
              <w:rPr>
                <w:color w:val="000000" w:themeColor="text1"/>
              </w:rPr>
            </w:pPr>
            <w:r w:rsidRPr="00C56257">
              <w:rPr>
                <w:color w:val="000000" w:themeColor="text1"/>
              </w:rPr>
              <w:t>2130*</w:t>
            </w:r>
            <w:r w:rsidRPr="00C56257">
              <w:rPr>
                <w:color w:val="000000" w:themeColor="text1"/>
                <w:spacing w:val="-1"/>
              </w:rPr>
              <w:t xml:space="preserve"> </w:t>
            </w:r>
            <w:r w:rsidRPr="00C56257">
              <w:rPr>
                <w:color w:val="000000" w:themeColor="text1"/>
              </w:rPr>
              <w:t>-</w:t>
            </w:r>
            <w:r w:rsidRPr="00C56257">
              <w:rPr>
                <w:color w:val="000000" w:themeColor="text1"/>
                <w:spacing w:val="-5"/>
              </w:rPr>
              <w:t xml:space="preserve"> </w:t>
            </w:r>
            <w:r w:rsidRPr="00C56257">
              <w:rPr>
                <w:color w:val="000000" w:themeColor="text1"/>
              </w:rPr>
              <w:t>Dune</w:t>
            </w:r>
            <w:r w:rsidRPr="00C56257">
              <w:rPr>
                <w:color w:val="000000" w:themeColor="text1"/>
                <w:spacing w:val="-1"/>
              </w:rPr>
              <w:t xml:space="preserve"> </w:t>
            </w:r>
            <w:r w:rsidRPr="00C56257">
              <w:rPr>
                <w:color w:val="000000" w:themeColor="text1"/>
              </w:rPr>
              <w:t>fixate</w:t>
            </w:r>
            <w:r w:rsidRPr="00C56257">
              <w:rPr>
                <w:color w:val="000000" w:themeColor="text1"/>
                <w:spacing w:val="-2"/>
              </w:rPr>
              <w:t xml:space="preserve"> </w:t>
            </w:r>
            <w:r w:rsidRPr="00C56257">
              <w:rPr>
                <w:color w:val="000000" w:themeColor="text1"/>
              </w:rPr>
              <w:t>cu</w:t>
            </w:r>
            <w:r w:rsidRPr="00C56257">
              <w:rPr>
                <w:color w:val="000000" w:themeColor="text1"/>
                <w:spacing w:val="-1"/>
              </w:rPr>
              <w:t xml:space="preserve"> </w:t>
            </w:r>
            <w:r w:rsidRPr="00C56257">
              <w:rPr>
                <w:color w:val="000000" w:themeColor="text1"/>
              </w:rPr>
              <w:t>vegetație</w:t>
            </w:r>
            <w:r w:rsidRPr="00C56257">
              <w:rPr>
                <w:color w:val="000000" w:themeColor="text1"/>
                <w:spacing w:val="-1"/>
              </w:rPr>
              <w:t xml:space="preserve"> </w:t>
            </w:r>
            <w:r w:rsidRPr="00C56257">
              <w:rPr>
                <w:color w:val="000000" w:themeColor="text1"/>
              </w:rPr>
              <w:t>herbacee</w:t>
            </w:r>
            <w:r w:rsidRPr="00C56257">
              <w:rPr>
                <w:color w:val="000000" w:themeColor="text1"/>
                <w:spacing w:val="-1"/>
              </w:rPr>
              <w:t xml:space="preserve"> </w:t>
            </w:r>
            <w:r w:rsidRPr="00C56257">
              <w:rPr>
                <w:color w:val="000000" w:themeColor="text1"/>
              </w:rPr>
              <w:t>perenă (dune</w:t>
            </w:r>
            <w:r w:rsidRPr="00C56257">
              <w:rPr>
                <w:color w:val="000000" w:themeColor="text1"/>
                <w:spacing w:val="-1"/>
              </w:rPr>
              <w:t xml:space="preserve"> </w:t>
            </w:r>
            <w:r w:rsidRPr="00C56257">
              <w:rPr>
                <w:color w:val="000000" w:themeColor="text1"/>
              </w:rPr>
              <w:t>gri)</w:t>
            </w:r>
          </w:p>
        </w:tc>
        <w:tc>
          <w:tcPr>
            <w:tcW w:w="708" w:type="dxa"/>
          </w:tcPr>
          <w:p w14:paraId="05129544" w14:textId="77777777" w:rsidR="00A37B92" w:rsidRPr="00C56257" w:rsidRDefault="00A37B92" w:rsidP="00C902DF">
            <w:pPr>
              <w:widowControl w:val="0"/>
              <w:autoSpaceDE w:val="0"/>
              <w:autoSpaceDN w:val="0"/>
              <w:jc w:val="both"/>
              <w:rPr>
                <w:color w:val="000000" w:themeColor="text1"/>
              </w:rPr>
            </w:pPr>
          </w:p>
        </w:tc>
        <w:tc>
          <w:tcPr>
            <w:tcW w:w="709" w:type="dxa"/>
          </w:tcPr>
          <w:p w14:paraId="34F4F213" w14:textId="77777777" w:rsidR="00A37B92" w:rsidRPr="00C56257" w:rsidRDefault="00A37B92" w:rsidP="00C902DF">
            <w:pPr>
              <w:widowControl w:val="0"/>
              <w:autoSpaceDE w:val="0"/>
              <w:autoSpaceDN w:val="0"/>
              <w:jc w:val="both"/>
              <w:rPr>
                <w:color w:val="000000" w:themeColor="text1"/>
              </w:rPr>
            </w:pPr>
          </w:p>
        </w:tc>
        <w:tc>
          <w:tcPr>
            <w:tcW w:w="711" w:type="dxa"/>
          </w:tcPr>
          <w:p w14:paraId="33F7885D" w14:textId="77777777" w:rsidR="00A37B92" w:rsidRPr="00C56257" w:rsidRDefault="00A37B92" w:rsidP="00C902DF">
            <w:pPr>
              <w:widowControl w:val="0"/>
              <w:autoSpaceDE w:val="0"/>
              <w:autoSpaceDN w:val="0"/>
              <w:jc w:val="both"/>
              <w:rPr>
                <w:color w:val="000000" w:themeColor="text1"/>
              </w:rPr>
            </w:pPr>
          </w:p>
        </w:tc>
        <w:tc>
          <w:tcPr>
            <w:tcW w:w="766" w:type="dxa"/>
          </w:tcPr>
          <w:p w14:paraId="3A3719DF" w14:textId="77777777" w:rsidR="00A37B92" w:rsidRPr="00C56257" w:rsidRDefault="00A37B92" w:rsidP="00C902DF">
            <w:pPr>
              <w:widowControl w:val="0"/>
              <w:autoSpaceDE w:val="0"/>
              <w:autoSpaceDN w:val="0"/>
              <w:jc w:val="both"/>
              <w:rPr>
                <w:color w:val="000000" w:themeColor="text1"/>
              </w:rPr>
            </w:pPr>
          </w:p>
        </w:tc>
        <w:tc>
          <w:tcPr>
            <w:tcW w:w="745" w:type="dxa"/>
            <w:shd w:val="clear" w:color="auto" w:fill="D9D9D9"/>
          </w:tcPr>
          <w:p w14:paraId="6EE861CA" w14:textId="77777777" w:rsidR="00A37B92" w:rsidRPr="00C56257" w:rsidRDefault="00A37B92" w:rsidP="00C902DF">
            <w:pPr>
              <w:widowControl w:val="0"/>
              <w:autoSpaceDE w:val="0"/>
              <w:autoSpaceDN w:val="0"/>
              <w:spacing w:before="78"/>
              <w:jc w:val="both"/>
              <w:rPr>
                <w:b/>
                <w:color w:val="000000" w:themeColor="text1"/>
              </w:rPr>
            </w:pPr>
            <w:r w:rsidRPr="00C56257">
              <w:rPr>
                <w:b/>
                <w:color w:val="000000" w:themeColor="text1"/>
              </w:rPr>
              <w:t>√</w:t>
            </w:r>
          </w:p>
        </w:tc>
      </w:tr>
      <w:tr w:rsidR="00A37B92" w:rsidRPr="00C56257" w14:paraId="733C5D18" w14:textId="77777777" w:rsidTr="00C902DF">
        <w:trPr>
          <w:trHeight w:val="323"/>
        </w:trPr>
        <w:tc>
          <w:tcPr>
            <w:tcW w:w="5907" w:type="dxa"/>
          </w:tcPr>
          <w:p w14:paraId="6966E372" w14:textId="77777777" w:rsidR="00A37B92" w:rsidRPr="00C56257" w:rsidRDefault="00A37B92" w:rsidP="00C902DF">
            <w:pPr>
              <w:widowControl w:val="0"/>
              <w:autoSpaceDE w:val="0"/>
              <w:autoSpaceDN w:val="0"/>
              <w:spacing w:before="29"/>
              <w:jc w:val="both"/>
              <w:rPr>
                <w:i/>
                <w:color w:val="000000" w:themeColor="text1"/>
              </w:rPr>
            </w:pPr>
            <w:r w:rsidRPr="00C56257">
              <w:rPr>
                <w:color w:val="000000" w:themeColor="text1"/>
              </w:rPr>
              <w:t>2160 -</w:t>
            </w:r>
            <w:r w:rsidRPr="00C56257">
              <w:rPr>
                <w:color w:val="000000" w:themeColor="text1"/>
                <w:spacing w:val="-4"/>
              </w:rPr>
              <w:t xml:space="preserve"> </w:t>
            </w:r>
            <w:r w:rsidRPr="00C56257">
              <w:rPr>
                <w:color w:val="000000" w:themeColor="text1"/>
              </w:rPr>
              <w:t>Dune</w:t>
            </w:r>
            <w:r w:rsidRPr="00C56257">
              <w:rPr>
                <w:color w:val="000000" w:themeColor="text1"/>
                <w:spacing w:val="1"/>
              </w:rPr>
              <w:t xml:space="preserve"> </w:t>
            </w:r>
            <w:r w:rsidRPr="00C56257">
              <w:rPr>
                <w:color w:val="000000" w:themeColor="text1"/>
              </w:rPr>
              <w:t xml:space="preserve">cu </w:t>
            </w:r>
            <w:r w:rsidRPr="00C56257">
              <w:rPr>
                <w:i/>
                <w:color w:val="000000" w:themeColor="text1"/>
              </w:rPr>
              <w:t>Hippophae</w:t>
            </w:r>
            <w:r w:rsidRPr="00C56257">
              <w:rPr>
                <w:i/>
                <w:color w:val="000000" w:themeColor="text1"/>
                <w:spacing w:val="-2"/>
              </w:rPr>
              <w:t xml:space="preserve"> </w:t>
            </w:r>
            <w:r w:rsidRPr="00C56257">
              <w:rPr>
                <w:i/>
                <w:color w:val="000000" w:themeColor="text1"/>
              </w:rPr>
              <w:t>rhamnoides</w:t>
            </w:r>
          </w:p>
        </w:tc>
        <w:tc>
          <w:tcPr>
            <w:tcW w:w="708" w:type="dxa"/>
          </w:tcPr>
          <w:p w14:paraId="2B30825A" w14:textId="77777777" w:rsidR="00A37B92" w:rsidRPr="00C56257" w:rsidRDefault="00A37B92" w:rsidP="00C902DF">
            <w:pPr>
              <w:widowControl w:val="0"/>
              <w:autoSpaceDE w:val="0"/>
              <w:autoSpaceDN w:val="0"/>
              <w:jc w:val="both"/>
              <w:rPr>
                <w:color w:val="000000" w:themeColor="text1"/>
              </w:rPr>
            </w:pPr>
          </w:p>
        </w:tc>
        <w:tc>
          <w:tcPr>
            <w:tcW w:w="709" w:type="dxa"/>
          </w:tcPr>
          <w:p w14:paraId="7F058CC9" w14:textId="77777777" w:rsidR="00A37B92" w:rsidRPr="00C56257" w:rsidRDefault="00A37B92" w:rsidP="00C902DF">
            <w:pPr>
              <w:widowControl w:val="0"/>
              <w:autoSpaceDE w:val="0"/>
              <w:autoSpaceDN w:val="0"/>
              <w:jc w:val="both"/>
              <w:rPr>
                <w:color w:val="000000" w:themeColor="text1"/>
              </w:rPr>
            </w:pPr>
          </w:p>
        </w:tc>
        <w:tc>
          <w:tcPr>
            <w:tcW w:w="711" w:type="dxa"/>
          </w:tcPr>
          <w:p w14:paraId="12F6EFE9" w14:textId="77777777" w:rsidR="00A37B92" w:rsidRPr="00C56257" w:rsidRDefault="00A37B92" w:rsidP="00C902DF">
            <w:pPr>
              <w:widowControl w:val="0"/>
              <w:autoSpaceDE w:val="0"/>
              <w:autoSpaceDN w:val="0"/>
              <w:jc w:val="both"/>
              <w:rPr>
                <w:color w:val="000000" w:themeColor="text1"/>
              </w:rPr>
            </w:pPr>
          </w:p>
        </w:tc>
        <w:tc>
          <w:tcPr>
            <w:tcW w:w="766" w:type="dxa"/>
          </w:tcPr>
          <w:p w14:paraId="265E7EE9" w14:textId="77777777" w:rsidR="00A37B92" w:rsidRPr="00C56257" w:rsidRDefault="00A37B92" w:rsidP="00C902DF">
            <w:pPr>
              <w:widowControl w:val="0"/>
              <w:autoSpaceDE w:val="0"/>
              <w:autoSpaceDN w:val="0"/>
              <w:jc w:val="both"/>
              <w:rPr>
                <w:color w:val="000000" w:themeColor="text1"/>
              </w:rPr>
            </w:pPr>
          </w:p>
        </w:tc>
        <w:tc>
          <w:tcPr>
            <w:tcW w:w="745" w:type="dxa"/>
            <w:shd w:val="clear" w:color="auto" w:fill="D9D9D9"/>
          </w:tcPr>
          <w:p w14:paraId="12376C24" w14:textId="77777777" w:rsidR="00A37B92" w:rsidRPr="00C56257" w:rsidRDefault="00A37B92" w:rsidP="00C902DF">
            <w:pPr>
              <w:widowControl w:val="0"/>
              <w:autoSpaceDE w:val="0"/>
              <w:autoSpaceDN w:val="0"/>
              <w:spacing w:before="34"/>
              <w:jc w:val="both"/>
              <w:rPr>
                <w:b/>
                <w:color w:val="000000" w:themeColor="text1"/>
              </w:rPr>
            </w:pPr>
            <w:r w:rsidRPr="00C56257">
              <w:rPr>
                <w:b/>
                <w:color w:val="000000" w:themeColor="text1"/>
              </w:rPr>
              <w:t>√</w:t>
            </w:r>
          </w:p>
        </w:tc>
      </w:tr>
      <w:tr w:rsidR="00A37B92" w:rsidRPr="00C56257" w14:paraId="6496C7A8" w14:textId="77777777" w:rsidTr="00C902DF">
        <w:trPr>
          <w:trHeight w:val="393"/>
        </w:trPr>
        <w:tc>
          <w:tcPr>
            <w:tcW w:w="5907" w:type="dxa"/>
          </w:tcPr>
          <w:p w14:paraId="6DCC4E83" w14:textId="77777777" w:rsidR="00A37B92" w:rsidRPr="00C56257" w:rsidRDefault="00A37B92" w:rsidP="00C902DF">
            <w:pPr>
              <w:widowControl w:val="0"/>
              <w:autoSpaceDE w:val="0"/>
              <w:autoSpaceDN w:val="0"/>
              <w:spacing w:before="65"/>
              <w:jc w:val="both"/>
              <w:rPr>
                <w:color w:val="000000" w:themeColor="text1"/>
              </w:rPr>
            </w:pPr>
            <w:r w:rsidRPr="00C56257">
              <w:rPr>
                <w:color w:val="000000" w:themeColor="text1"/>
              </w:rPr>
              <w:t>2190</w:t>
            </w:r>
            <w:r w:rsidRPr="00C56257">
              <w:rPr>
                <w:color w:val="000000" w:themeColor="text1"/>
                <w:spacing w:val="-2"/>
              </w:rPr>
              <w:t xml:space="preserve"> </w:t>
            </w:r>
            <w:r w:rsidRPr="00C56257">
              <w:rPr>
                <w:color w:val="000000" w:themeColor="text1"/>
              </w:rPr>
              <w:t>-</w:t>
            </w:r>
            <w:r w:rsidRPr="00C56257">
              <w:rPr>
                <w:color w:val="000000" w:themeColor="text1"/>
                <w:spacing w:val="-5"/>
              </w:rPr>
              <w:t xml:space="preserve"> </w:t>
            </w:r>
            <w:r w:rsidRPr="00C56257">
              <w:rPr>
                <w:color w:val="000000" w:themeColor="text1"/>
              </w:rPr>
              <w:t>Depresiuni umede</w:t>
            </w:r>
            <w:r w:rsidRPr="00C56257">
              <w:rPr>
                <w:color w:val="000000" w:themeColor="text1"/>
                <w:spacing w:val="-1"/>
              </w:rPr>
              <w:t xml:space="preserve"> </w:t>
            </w:r>
            <w:r w:rsidRPr="00C56257">
              <w:rPr>
                <w:color w:val="000000" w:themeColor="text1"/>
              </w:rPr>
              <w:t>interdunale</w:t>
            </w:r>
          </w:p>
        </w:tc>
        <w:tc>
          <w:tcPr>
            <w:tcW w:w="708" w:type="dxa"/>
          </w:tcPr>
          <w:p w14:paraId="51ECEDE7" w14:textId="77777777" w:rsidR="00A37B92" w:rsidRPr="00C56257" w:rsidRDefault="00A37B92" w:rsidP="00C902DF">
            <w:pPr>
              <w:widowControl w:val="0"/>
              <w:autoSpaceDE w:val="0"/>
              <w:autoSpaceDN w:val="0"/>
              <w:jc w:val="both"/>
              <w:rPr>
                <w:color w:val="000000" w:themeColor="text1"/>
              </w:rPr>
            </w:pPr>
          </w:p>
        </w:tc>
        <w:tc>
          <w:tcPr>
            <w:tcW w:w="709" w:type="dxa"/>
          </w:tcPr>
          <w:p w14:paraId="096F8991" w14:textId="77777777" w:rsidR="00A37B92" w:rsidRPr="00C56257" w:rsidRDefault="00A37B92" w:rsidP="00C902DF">
            <w:pPr>
              <w:widowControl w:val="0"/>
              <w:autoSpaceDE w:val="0"/>
              <w:autoSpaceDN w:val="0"/>
              <w:jc w:val="both"/>
              <w:rPr>
                <w:color w:val="000000" w:themeColor="text1"/>
              </w:rPr>
            </w:pPr>
          </w:p>
        </w:tc>
        <w:tc>
          <w:tcPr>
            <w:tcW w:w="711" w:type="dxa"/>
          </w:tcPr>
          <w:p w14:paraId="16FD4091" w14:textId="77777777" w:rsidR="00A37B92" w:rsidRPr="00C56257" w:rsidRDefault="00A37B92" w:rsidP="00C902DF">
            <w:pPr>
              <w:widowControl w:val="0"/>
              <w:autoSpaceDE w:val="0"/>
              <w:autoSpaceDN w:val="0"/>
              <w:jc w:val="both"/>
              <w:rPr>
                <w:color w:val="000000" w:themeColor="text1"/>
              </w:rPr>
            </w:pPr>
          </w:p>
        </w:tc>
        <w:tc>
          <w:tcPr>
            <w:tcW w:w="766" w:type="dxa"/>
          </w:tcPr>
          <w:p w14:paraId="0CA2B9B2" w14:textId="77777777" w:rsidR="00A37B92" w:rsidRPr="00C56257" w:rsidRDefault="00A37B92" w:rsidP="00C902DF">
            <w:pPr>
              <w:widowControl w:val="0"/>
              <w:autoSpaceDE w:val="0"/>
              <w:autoSpaceDN w:val="0"/>
              <w:jc w:val="both"/>
              <w:rPr>
                <w:color w:val="000000" w:themeColor="text1"/>
              </w:rPr>
            </w:pPr>
          </w:p>
        </w:tc>
        <w:tc>
          <w:tcPr>
            <w:tcW w:w="745" w:type="dxa"/>
            <w:shd w:val="clear" w:color="auto" w:fill="D9D9D9"/>
          </w:tcPr>
          <w:p w14:paraId="59BA8BEC" w14:textId="77777777" w:rsidR="00A37B92" w:rsidRPr="00C56257" w:rsidRDefault="00A37B92" w:rsidP="00C902DF">
            <w:pPr>
              <w:widowControl w:val="0"/>
              <w:autoSpaceDE w:val="0"/>
              <w:autoSpaceDN w:val="0"/>
              <w:spacing w:before="70"/>
              <w:jc w:val="both"/>
              <w:rPr>
                <w:b/>
                <w:color w:val="000000" w:themeColor="text1"/>
              </w:rPr>
            </w:pPr>
            <w:r w:rsidRPr="00C56257">
              <w:rPr>
                <w:b/>
                <w:color w:val="000000" w:themeColor="text1"/>
              </w:rPr>
              <w:t>√</w:t>
            </w:r>
          </w:p>
        </w:tc>
      </w:tr>
      <w:tr w:rsidR="00A37B92" w:rsidRPr="00C56257" w14:paraId="4B1A86EE" w14:textId="77777777" w:rsidTr="00C902DF">
        <w:trPr>
          <w:trHeight w:val="493"/>
        </w:trPr>
        <w:tc>
          <w:tcPr>
            <w:tcW w:w="5907" w:type="dxa"/>
          </w:tcPr>
          <w:p w14:paraId="07765997" w14:textId="77777777" w:rsidR="00A37B92" w:rsidRPr="00C56257" w:rsidRDefault="00A37B92" w:rsidP="00C902DF">
            <w:pPr>
              <w:widowControl w:val="0"/>
              <w:autoSpaceDE w:val="0"/>
              <w:autoSpaceDN w:val="0"/>
              <w:spacing w:before="116"/>
              <w:jc w:val="both"/>
              <w:rPr>
                <w:color w:val="000000" w:themeColor="text1"/>
              </w:rPr>
            </w:pPr>
            <w:r w:rsidRPr="00C56257">
              <w:rPr>
                <w:color w:val="000000" w:themeColor="text1"/>
              </w:rPr>
              <w:t>2340* -</w:t>
            </w:r>
            <w:r w:rsidRPr="00C56257">
              <w:rPr>
                <w:color w:val="000000" w:themeColor="text1"/>
                <w:spacing w:val="-3"/>
              </w:rPr>
              <w:t xml:space="preserve"> </w:t>
            </w:r>
            <w:r w:rsidRPr="00C56257">
              <w:rPr>
                <w:color w:val="000000" w:themeColor="text1"/>
              </w:rPr>
              <w:t>Dune panonice</w:t>
            </w:r>
          </w:p>
        </w:tc>
        <w:tc>
          <w:tcPr>
            <w:tcW w:w="708" w:type="dxa"/>
            <w:shd w:val="clear" w:color="auto" w:fill="D9D9D9"/>
          </w:tcPr>
          <w:p w14:paraId="6257BC5C" w14:textId="77777777" w:rsidR="00A37B92" w:rsidRPr="00C56257" w:rsidRDefault="00A37B92" w:rsidP="00C902DF">
            <w:pPr>
              <w:widowControl w:val="0"/>
              <w:autoSpaceDE w:val="0"/>
              <w:autoSpaceDN w:val="0"/>
              <w:spacing w:before="121"/>
              <w:jc w:val="both"/>
              <w:rPr>
                <w:b/>
                <w:color w:val="000000" w:themeColor="text1"/>
              </w:rPr>
            </w:pPr>
            <w:r w:rsidRPr="00C56257">
              <w:rPr>
                <w:b/>
                <w:color w:val="000000" w:themeColor="text1"/>
              </w:rPr>
              <w:t>√</w:t>
            </w:r>
          </w:p>
        </w:tc>
        <w:tc>
          <w:tcPr>
            <w:tcW w:w="709" w:type="dxa"/>
          </w:tcPr>
          <w:p w14:paraId="5AE212B3" w14:textId="77777777" w:rsidR="00A37B92" w:rsidRPr="00C56257" w:rsidRDefault="00A37B92" w:rsidP="00C902DF">
            <w:pPr>
              <w:widowControl w:val="0"/>
              <w:autoSpaceDE w:val="0"/>
              <w:autoSpaceDN w:val="0"/>
              <w:jc w:val="both"/>
              <w:rPr>
                <w:color w:val="000000" w:themeColor="text1"/>
              </w:rPr>
            </w:pPr>
          </w:p>
        </w:tc>
        <w:tc>
          <w:tcPr>
            <w:tcW w:w="711" w:type="dxa"/>
          </w:tcPr>
          <w:p w14:paraId="2DF451D8" w14:textId="77777777" w:rsidR="00A37B92" w:rsidRPr="00C56257" w:rsidRDefault="00A37B92" w:rsidP="00C902DF">
            <w:pPr>
              <w:widowControl w:val="0"/>
              <w:autoSpaceDE w:val="0"/>
              <w:autoSpaceDN w:val="0"/>
              <w:jc w:val="both"/>
              <w:rPr>
                <w:color w:val="000000" w:themeColor="text1"/>
              </w:rPr>
            </w:pPr>
          </w:p>
        </w:tc>
        <w:tc>
          <w:tcPr>
            <w:tcW w:w="766" w:type="dxa"/>
          </w:tcPr>
          <w:p w14:paraId="10F485C4" w14:textId="77777777" w:rsidR="00A37B92" w:rsidRPr="00C56257" w:rsidRDefault="00A37B92" w:rsidP="00C902DF">
            <w:pPr>
              <w:widowControl w:val="0"/>
              <w:autoSpaceDE w:val="0"/>
              <w:autoSpaceDN w:val="0"/>
              <w:jc w:val="both"/>
              <w:rPr>
                <w:color w:val="000000" w:themeColor="text1"/>
              </w:rPr>
            </w:pPr>
          </w:p>
        </w:tc>
        <w:tc>
          <w:tcPr>
            <w:tcW w:w="745" w:type="dxa"/>
          </w:tcPr>
          <w:p w14:paraId="0FBC6FD2" w14:textId="77777777" w:rsidR="00A37B92" w:rsidRPr="00C56257" w:rsidRDefault="00A37B92" w:rsidP="00C902DF">
            <w:pPr>
              <w:widowControl w:val="0"/>
              <w:autoSpaceDE w:val="0"/>
              <w:autoSpaceDN w:val="0"/>
              <w:jc w:val="both"/>
              <w:rPr>
                <w:color w:val="000000" w:themeColor="text1"/>
              </w:rPr>
            </w:pPr>
          </w:p>
        </w:tc>
      </w:tr>
    </w:tbl>
    <w:p w14:paraId="53B748C7" w14:textId="77777777" w:rsidR="009A0EA7" w:rsidRDefault="009A0EA7" w:rsidP="00A37B92">
      <w:pPr>
        <w:widowControl w:val="0"/>
        <w:autoSpaceDE w:val="0"/>
        <w:autoSpaceDN w:val="0"/>
        <w:spacing w:line="249" w:lineRule="exact"/>
        <w:jc w:val="both"/>
        <w:rPr>
          <w:b/>
          <w:color w:val="000000" w:themeColor="text1"/>
        </w:rPr>
      </w:pPr>
    </w:p>
    <w:p w14:paraId="396FDED9" w14:textId="77777777" w:rsidR="00A37B92" w:rsidRPr="00C56257" w:rsidRDefault="009A0EA7" w:rsidP="00A37B92">
      <w:pPr>
        <w:widowControl w:val="0"/>
        <w:autoSpaceDE w:val="0"/>
        <w:autoSpaceDN w:val="0"/>
        <w:spacing w:line="249" w:lineRule="exact"/>
        <w:jc w:val="both"/>
        <w:rPr>
          <w:b/>
          <w:color w:val="000000" w:themeColor="text1"/>
        </w:rPr>
      </w:pPr>
      <w:r w:rsidRPr="00C56257">
        <w:rPr>
          <w:b/>
          <w:color w:val="000000" w:themeColor="text1"/>
        </w:rPr>
        <w:t>Mențiune:</w:t>
      </w:r>
    </w:p>
    <w:p w14:paraId="13C4FB88" w14:textId="77777777" w:rsidR="00A37B92" w:rsidRPr="00C56257" w:rsidRDefault="00A37B92" w:rsidP="00A37B92">
      <w:pPr>
        <w:widowControl w:val="0"/>
        <w:autoSpaceDE w:val="0"/>
        <w:autoSpaceDN w:val="0"/>
        <w:ind w:right="246"/>
        <w:jc w:val="both"/>
        <w:rPr>
          <w:color w:val="000000" w:themeColor="text1"/>
        </w:rPr>
      </w:pPr>
      <w:r w:rsidRPr="00C56257">
        <w:rPr>
          <w:color w:val="000000" w:themeColor="text1"/>
        </w:rPr>
        <w:t xml:space="preserve">Pentru bioregiunile CON și STE, tipurile de habitate </w:t>
      </w:r>
      <w:r w:rsidRPr="00C56257">
        <w:rPr>
          <w:i/>
          <w:color w:val="000000" w:themeColor="text1"/>
        </w:rPr>
        <w:t>2130* - Dune fixate cu vegetație herbacee perenă (dune</w:t>
      </w:r>
      <w:r w:rsidRPr="00C56257">
        <w:rPr>
          <w:i/>
          <w:color w:val="000000" w:themeColor="text1"/>
          <w:spacing w:val="-52"/>
        </w:rPr>
        <w:t xml:space="preserve"> </w:t>
      </w:r>
      <w:r w:rsidRPr="00C56257">
        <w:rPr>
          <w:i/>
          <w:color w:val="000000" w:themeColor="text1"/>
        </w:rPr>
        <w:t xml:space="preserve">gri) </w:t>
      </w:r>
      <w:r w:rsidRPr="00C56257">
        <w:rPr>
          <w:color w:val="000000" w:themeColor="text1"/>
        </w:rPr>
        <w:t xml:space="preserve">și </w:t>
      </w:r>
      <w:r w:rsidRPr="00C56257">
        <w:rPr>
          <w:i/>
          <w:color w:val="000000" w:themeColor="text1"/>
        </w:rPr>
        <w:t>2190 Depresiuni umede interdunale</w:t>
      </w:r>
      <w:r w:rsidRPr="00C56257">
        <w:rPr>
          <w:color w:val="000000" w:themeColor="text1"/>
        </w:rPr>
        <w:t>, nu sunt menționate în documentul aflat pe portalul de referință al</w:t>
      </w:r>
      <w:r w:rsidRPr="00C56257">
        <w:rPr>
          <w:color w:val="000000" w:themeColor="text1"/>
          <w:spacing w:val="1"/>
        </w:rPr>
        <w:t xml:space="preserve"> </w:t>
      </w:r>
      <w:r w:rsidRPr="00C56257">
        <w:rPr>
          <w:color w:val="000000" w:themeColor="text1"/>
        </w:rPr>
        <w:t>CE (Art 17 cheklists_RO), iar prezența lor încă trebuie confirmată. Există referințe bibliografice și date de</w:t>
      </w:r>
      <w:r w:rsidRPr="00C56257">
        <w:rPr>
          <w:color w:val="000000" w:themeColor="text1"/>
          <w:spacing w:val="1"/>
        </w:rPr>
        <w:t xml:space="preserve"> </w:t>
      </w:r>
      <w:r w:rsidRPr="00C56257">
        <w:rPr>
          <w:color w:val="000000" w:themeColor="text1"/>
        </w:rPr>
        <w:t>teren care confirmă prezența acestor habitate în sudul Moldovei (Dunele de nisip de la Hanul Conachi -</w:t>
      </w:r>
      <w:r w:rsidRPr="00C56257">
        <w:rPr>
          <w:color w:val="000000" w:themeColor="text1"/>
          <w:spacing w:val="1"/>
        </w:rPr>
        <w:t xml:space="preserve"> </w:t>
      </w:r>
      <w:r w:rsidRPr="00C56257">
        <w:rPr>
          <w:color w:val="000000" w:themeColor="text1"/>
        </w:rPr>
        <w:t>ROSCI0072) și în sudul şi sud-vestul Olteniei (zona Calafat-Başcov-Dolj, Izvoarele-Mehedinți), în Câmpia</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Vest/Crişana</w:t>
      </w:r>
      <w:r w:rsidRPr="00C56257">
        <w:rPr>
          <w:color w:val="000000" w:themeColor="text1"/>
          <w:spacing w:val="-2"/>
        </w:rPr>
        <w:t xml:space="preserve"> </w:t>
      </w:r>
      <w:r w:rsidRPr="00C56257">
        <w:rPr>
          <w:color w:val="000000" w:themeColor="text1"/>
        </w:rPr>
        <w:t>(Dunele de</w:t>
      </w:r>
      <w:r w:rsidRPr="00C56257">
        <w:rPr>
          <w:color w:val="000000" w:themeColor="text1"/>
          <w:spacing w:val="-2"/>
        </w:rPr>
        <w:t xml:space="preserve"> </w:t>
      </w:r>
      <w:r w:rsidRPr="00C56257">
        <w:rPr>
          <w:color w:val="000000" w:themeColor="text1"/>
        </w:rPr>
        <w:t>nisip de</w:t>
      </w:r>
      <w:r w:rsidRPr="00C56257">
        <w:rPr>
          <w:color w:val="000000" w:themeColor="text1"/>
          <w:spacing w:val="-2"/>
        </w:rPr>
        <w:t xml:space="preserve"> </w:t>
      </w:r>
      <w:r w:rsidRPr="00C56257">
        <w:rPr>
          <w:color w:val="000000" w:themeColor="text1"/>
        </w:rPr>
        <w:t>la Foieni).</w:t>
      </w:r>
    </w:p>
    <w:p w14:paraId="06F25BF0" w14:textId="77777777" w:rsidR="00A37B92" w:rsidRPr="00C56257" w:rsidRDefault="00A37B92" w:rsidP="00A37B92">
      <w:pPr>
        <w:widowControl w:val="0"/>
        <w:autoSpaceDE w:val="0"/>
        <w:autoSpaceDN w:val="0"/>
        <w:spacing w:before="7"/>
        <w:jc w:val="both"/>
        <w:rPr>
          <w:color w:val="000000" w:themeColor="text1"/>
        </w:rPr>
      </w:pPr>
    </w:p>
    <w:p w14:paraId="1ABDBD43" w14:textId="77777777" w:rsidR="00A37B92" w:rsidRPr="00C56257" w:rsidRDefault="00A37B92" w:rsidP="00A37B92">
      <w:pPr>
        <w:widowControl w:val="0"/>
        <w:autoSpaceDE w:val="0"/>
        <w:autoSpaceDN w:val="0"/>
        <w:jc w:val="both"/>
        <w:rPr>
          <w:color w:val="000000" w:themeColor="text1"/>
        </w:rPr>
      </w:pPr>
      <w:r w:rsidRPr="00C56257">
        <w:rPr>
          <w:color w:val="000000" w:themeColor="text1"/>
        </w:rPr>
        <w:t>În</w:t>
      </w:r>
      <w:r w:rsidRPr="00C56257">
        <w:rPr>
          <w:color w:val="000000" w:themeColor="text1"/>
          <w:spacing w:val="-1"/>
        </w:rPr>
        <w:t xml:space="preserve"> </w:t>
      </w:r>
      <w:r w:rsidRPr="00C56257">
        <w:rPr>
          <w:color w:val="000000" w:themeColor="text1"/>
        </w:rPr>
        <w:t>tabelul</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mai jos</w:t>
      </w:r>
      <w:r w:rsidRPr="00C56257">
        <w:rPr>
          <w:color w:val="000000" w:themeColor="text1"/>
          <w:spacing w:val="-1"/>
        </w:rPr>
        <w:t xml:space="preserve"> </w:t>
      </w:r>
      <w:r w:rsidRPr="00C56257">
        <w:rPr>
          <w:color w:val="000000" w:themeColor="text1"/>
        </w:rPr>
        <w:t>sunt</w:t>
      </w:r>
      <w:r w:rsidRPr="00C56257">
        <w:rPr>
          <w:color w:val="000000" w:themeColor="text1"/>
          <w:spacing w:val="-1"/>
        </w:rPr>
        <w:t xml:space="preserve"> </w:t>
      </w:r>
      <w:r w:rsidRPr="00C56257">
        <w:rPr>
          <w:color w:val="000000" w:themeColor="text1"/>
        </w:rPr>
        <w:t>redate perioadele</w:t>
      </w:r>
      <w:r w:rsidRPr="00C56257">
        <w:rPr>
          <w:color w:val="000000" w:themeColor="text1"/>
          <w:spacing w:val="-2"/>
        </w:rPr>
        <w:t xml:space="preserve"> </w:t>
      </w:r>
      <w:r w:rsidRPr="00C56257">
        <w:rPr>
          <w:color w:val="000000" w:themeColor="text1"/>
        </w:rPr>
        <w:t>optime</w:t>
      </w:r>
      <w:r w:rsidRPr="00C56257">
        <w:rPr>
          <w:color w:val="000000" w:themeColor="text1"/>
          <w:spacing w:val="-1"/>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culegere</w:t>
      </w:r>
      <w:r w:rsidRPr="00C56257">
        <w:rPr>
          <w:color w:val="000000" w:themeColor="text1"/>
          <w:spacing w:val="-3"/>
        </w:rPr>
        <w:t xml:space="preserve"> </w:t>
      </w:r>
      <w:r w:rsidRPr="00C56257">
        <w:rPr>
          <w:color w:val="000000" w:themeColor="text1"/>
        </w:rPr>
        <w:t>a</w:t>
      </w:r>
      <w:r w:rsidRPr="00C56257">
        <w:rPr>
          <w:color w:val="000000" w:themeColor="text1"/>
          <w:spacing w:val="-2"/>
        </w:rPr>
        <w:t xml:space="preserve"> </w:t>
      </w:r>
      <w:r w:rsidRPr="00C56257">
        <w:rPr>
          <w:color w:val="000000" w:themeColor="text1"/>
        </w:rPr>
        <w:t>datelor</w:t>
      </w:r>
      <w:r w:rsidRPr="00C56257">
        <w:rPr>
          <w:color w:val="000000" w:themeColor="text1"/>
          <w:spacing w:val="-2"/>
        </w:rPr>
        <w:t xml:space="preserve"> </w:t>
      </w:r>
      <w:r w:rsidRPr="00C56257">
        <w:rPr>
          <w:color w:val="000000" w:themeColor="text1"/>
        </w:rPr>
        <w:t>în</w:t>
      </w:r>
      <w:r w:rsidRPr="00C56257">
        <w:rPr>
          <w:color w:val="000000" w:themeColor="text1"/>
          <w:spacing w:val="2"/>
        </w:rPr>
        <w:t xml:space="preserve"> </w:t>
      </w:r>
      <w:r w:rsidRPr="00C56257">
        <w:rPr>
          <w:color w:val="000000" w:themeColor="text1"/>
        </w:rPr>
        <w:t>cadrul</w:t>
      </w:r>
      <w:r w:rsidRPr="00C56257">
        <w:rPr>
          <w:color w:val="000000" w:themeColor="text1"/>
          <w:spacing w:val="-1"/>
        </w:rPr>
        <w:t xml:space="preserve"> </w:t>
      </w:r>
      <w:r w:rsidRPr="00C56257">
        <w:rPr>
          <w:color w:val="000000" w:themeColor="text1"/>
        </w:rPr>
        <w:t>habitatelor</w:t>
      </w:r>
      <w:r w:rsidRPr="00C56257">
        <w:rPr>
          <w:color w:val="000000" w:themeColor="text1"/>
          <w:spacing w:val="-1"/>
        </w:rPr>
        <w:t xml:space="preserve"> </w:t>
      </w:r>
      <w:r w:rsidRPr="00C56257">
        <w:rPr>
          <w:color w:val="000000" w:themeColor="text1"/>
        </w:rPr>
        <w:t>țintă</w:t>
      </w:r>
    </w:p>
    <w:p w14:paraId="7C127A38" w14:textId="77777777" w:rsidR="00A37B92" w:rsidRPr="00C56257" w:rsidRDefault="00A37B92" w:rsidP="00A37B92">
      <w:pPr>
        <w:widowControl w:val="0"/>
        <w:autoSpaceDE w:val="0"/>
        <w:autoSpaceDN w:val="0"/>
        <w:spacing w:before="8"/>
        <w:jc w:val="both"/>
        <w:rPr>
          <w:color w:val="000000" w:themeColor="text1"/>
        </w:rPr>
      </w:pPr>
    </w:p>
    <w:tbl>
      <w:tblPr>
        <w:tblW w:w="0" w:type="auto"/>
        <w:tblInd w:w="5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51"/>
        <w:gridCol w:w="2657"/>
        <w:gridCol w:w="2050"/>
        <w:gridCol w:w="2280"/>
      </w:tblGrid>
      <w:tr w:rsidR="00A37B92" w:rsidRPr="00C56257" w14:paraId="61FD0B5A" w14:textId="77777777" w:rsidTr="00C902DF">
        <w:trPr>
          <w:trHeight w:val="254"/>
        </w:trPr>
        <w:tc>
          <w:tcPr>
            <w:tcW w:w="2151" w:type="dxa"/>
          </w:tcPr>
          <w:p w14:paraId="6BE7B01A" w14:textId="77777777" w:rsidR="00A37B92" w:rsidRPr="00C56257" w:rsidRDefault="00A37B92" w:rsidP="00C902DF">
            <w:pPr>
              <w:widowControl w:val="0"/>
              <w:autoSpaceDE w:val="0"/>
              <w:autoSpaceDN w:val="0"/>
              <w:spacing w:line="234" w:lineRule="exact"/>
              <w:jc w:val="both"/>
              <w:rPr>
                <w:b/>
                <w:color w:val="000000" w:themeColor="text1"/>
              </w:rPr>
            </w:pPr>
            <w:r w:rsidRPr="00C56257">
              <w:rPr>
                <w:b/>
                <w:color w:val="000000" w:themeColor="text1"/>
              </w:rPr>
              <w:t>Tip</w:t>
            </w:r>
            <w:r w:rsidRPr="00C56257">
              <w:rPr>
                <w:b/>
                <w:color w:val="000000" w:themeColor="text1"/>
                <w:spacing w:val="-1"/>
              </w:rPr>
              <w:t xml:space="preserve"> </w:t>
            </w:r>
            <w:r w:rsidRPr="00C56257">
              <w:rPr>
                <w:b/>
                <w:color w:val="000000" w:themeColor="text1"/>
              </w:rPr>
              <w:t>habitat</w:t>
            </w:r>
          </w:p>
        </w:tc>
        <w:tc>
          <w:tcPr>
            <w:tcW w:w="2657" w:type="dxa"/>
          </w:tcPr>
          <w:p w14:paraId="325BB5BB" w14:textId="77777777" w:rsidR="00A37B92" w:rsidRPr="00C56257" w:rsidRDefault="00A37B92" w:rsidP="00C902DF">
            <w:pPr>
              <w:widowControl w:val="0"/>
              <w:autoSpaceDE w:val="0"/>
              <w:autoSpaceDN w:val="0"/>
              <w:spacing w:line="234" w:lineRule="exact"/>
              <w:jc w:val="both"/>
              <w:rPr>
                <w:b/>
                <w:color w:val="000000" w:themeColor="text1"/>
              </w:rPr>
            </w:pPr>
            <w:r w:rsidRPr="00C56257">
              <w:rPr>
                <w:b/>
                <w:color w:val="000000" w:themeColor="text1"/>
              </w:rPr>
              <w:t>Tipul</w:t>
            </w:r>
            <w:r w:rsidRPr="00C56257">
              <w:rPr>
                <w:b/>
                <w:color w:val="000000" w:themeColor="text1"/>
                <w:spacing w:val="-1"/>
              </w:rPr>
              <w:t xml:space="preserve"> </w:t>
            </w:r>
            <w:r w:rsidRPr="00C56257">
              <w:rPr>
                <w:b/>
                <w:color w:val="000000" w:themeColor="text1"/>
              </w:rPr>
              <w:t>de</w:t>
            </w:r>
            <w:r w:rsidRPr="00C56257">
              <w:rPr>
                <w:b/>
                <w:color w:val="000000" w:themeColor="text1"/>
                <w:spacing w:val="-4"/>
              </w:rPr>
              <w:t xml:space="preserve"> </w:t>
            </w:r>
            <w:r w:rsidRPr="00C56257">
              <w:rPr>
                <w:b/>
                <w:color w:val="000000" w:themeColor="text1"/>
              </w:rPr>
              <w:t>fitocenoză</w:t>
            </w:r>
          </w:p>
        </w:tc>
        <w:tc>
          <w:tcPr>
            <w:tcW w:w="2050" w:type="dxa"/>
          </w:tcPr>
          <w:p w14:paraId="03578A26" w14:textId="77777777" w:rsidR="00A37B92" w:rsidRPr="00C56257" w:rsidRDefault="00A37B92" w:rsidP="00C902DF">
            <w:pPr>
              <w:widowControl w:val="0"/>
              <w:autoSpaceDE w:val="0"/>
              <w:autoSpaceDN w:val="0"/>
              <w:spacing w:line="234" w:lineRule="exact"/>
              <w:ind w:right="162"/>
              <w:jc w:val="both"/>
              <w:rPr>
                <w:b/>
                <w:color w:val="000000" w:themeColor="text1"/>
              </w:rPr>
            </w:pPr>
            <w:r w:rsidRPr="00C56257">
              <w:rPr>
                <w:b/>
                <w:color w:val="000000" w:themeColor="text1"/>
              </w:rPr>
              <w:t>Aspectul</w:t>
            </w:r>
            <w:r w:rsidRPr="00C56257">
              <w:rPr>
                <w:b/>
                <w:color w:val="000000" w:themeColor="text1"/>
                <w:spacing w:val="-1"/>
              </w:rPr>
              <w:t xml:space="preserve"> </w:t>
            </w:r>
            <w:r w:rsidRPr="00C56257">
              <w:rPr>
                <w:b/>
                <w:color w:val="000000" w:themeColor="text1"/>
              </w:rPr>
              <w:t>surprins</w:t>
            </w:r>
          </w:p>
        </w:tc>
        <w:tc>
          <w:tcPr>
            <w:tcW w:w="2280" w:type="dxa"/>
          </w:tcPr>
          <w:p w14:paraId="505B84A8" w14:textId="77777777" w:rsidR="00A37B92" w:rsidRPr="00C56257" w:rsidRDefault="00A37B92" w:rsidP="00C902DF">
            <w:pPr>
              <w:widowControl w:val="0"/>
              <w:autoSpaceDE w:val="0"/>
              <w:autoSpaceDN w:val="0"/>
              <w:spacing w:line="234" w:lineRule="exact"/>
              <w:ind w:right="329"/>
              <w:jc w:val="both"/>
              <w:rPr>
                <w:b/>
                <w:color w:val="000000" w:themeColor="text1"/>
              </w:rPr>
            </w:pPr>
            <w:r w:rsidRPr="00C56257">
              <w:rPr>
                <w:b/>
                <w:color w:val="000000" w:themeColor="text1"/>
              </w:rPr>
              <w:t>Perioada</w:t>
            </w:r>
            <w:r w:rsidRPr="00C56257">
              <w:rPr>
                <w:b/>
                <w:color w:val="000000" w:themeColor="text1"/>
                <w:spacing w:val="-1"/>
              </w:rPr>
              <w:t xml:space="preserve"> </w:t>
            </w:r>
            <w:r w:rsidRPr="00C56257">
              <w:rPr>
                <w:b/>
                <w:color w:val="000000" w:themeColor="text1"/>
              </w:rPr>
              <w:t>optimă</w:t>
            </w:r>
          </w:p>
        </w:tc>
      </w:tr>
      <w:tr w:rsidR="00A37B92" w:rsidRPr="00C56257" w14:paraId="190FB9E0" w14:textId="77777777" w:rsidTr="00C902DF">
        <w:trPr>
          <w:trHeight w:val="251"/>
        </w:trPr>
        <w:tc>
          <w:tcPr>
            <w:tcW w:w="2151" w:type="dxa"/>
            <w:vMerge w:val="restart"/>
          </w:tcPr>
          <w:p w14:paraId="43A9723B" w14:textId="77777777" w:rsidR="00A37B92" w:rsidRPr="00C56257" w:rsidRDefault="00A37B92" w:rsidP="00C902DF">
            <w:pPr>
              <w:widowControl w:val="0"/>
              <w:autoSpaceDE w:val="0"/>
              <w:autoSpaceDN w:val="0"/>
              <w:spacing w:before="135"/>
              <w:ind w:right="285"/>
              <w:jc w:val="both"/>
              <w:rPr>
                <w:b/>
                <w:color w:val="000000" w:themeColor="text1"/>
              </w:rPr>
            </w:pPr>
            <w:r w:rsidRPr="00C56257">
              <w:rPr>
                <w:b/>
                <w:color w:val="000000" w:themeColor="text1"/>
              </w:rPr>
              <w:t>HABITATE DE</w:t>
            </w:r>
            <w:r w:rsidRPr="00C56257">
              <w:rPr>
                <w:b/>
                <w:color w:val="000000" w:themeColor="text1"/>
                <w:spacing w:val="-52"/>
              </w:rPr>
              <w:t xml:space="preserve"> </w:t>
            </w:r>
            <w:r w:rsidRPr="00C56257">
              <w:rPr>
                <w:b/>
                <w:color w:val="000000" w:themeColor="text1"/>
              </w:rPr>
              <w:t>DUNE</w:t>
            </w:r>
          </w:p>
        </w:tc>
        <w:tc>
          <w:tcPr>
            <w:tcW w:w="2657" w:type="dxa"/>
            <w:vMerge w:val="restart"/>
          </w:tcPr>
          <w:p w14:paraId="569028E9" w14:textId="77777777" w:rsidR="00A37B92" w:rsidRPr="00C56257" w:rsidRDefault="00A37B92" w:rsidP="00C902DF">
            <w:pPr>
              <w:widowControl w:val="0"/>
              <w:autoSpaceDE w:val="0"/>
              <w:autoSpaceDN w:val="0"/>
              <w:spacing w:before="3"/>
              <w:ind w:right="1722"/>
              <w:jc w:val="both"/>
              <w:rPr>
                <w:color w:val="000000" w:themeColor="text1"/>
              </w:rPr>
            </w:pPr>
            <w:r w:rsidRPr="00C56257">
              <w:rPr>
                <w:color w:val="000000" w:themeColor="text1"/>
              </w:rPr>
              <w:t>panonice</w:t>
            </w:r>
            <w:r w:rsidRPr="00C56257">
              <w:rPr>
                <w:color w:val="000000" w:themeColor="text1"/>
                <w:spacing w:val="-52"/>
              </w:rPr>
              <w:t xml:space="preserve"> </w:t>
            </w:r>
            <w:r w:rsidRPr="00C56257">
              <w:rPr>
                <w:color w:val="000000" w:themeColor="text1"/>
              </w:rPr>
              <w:t>stepice</w:t>
            </w:r>
          </w:p>
          <w:p w14:paraId="737E4690" w14:textId="77777777" w:rsidR="00A37B92" w:rsidRPr="00C56257" w:rsidRDefault="00A37B92" w:rsidP="00C902DF">
            <w:pPr>
              <w:widowControl w:val="0"/>
              <w:autoSpaceDE w:val="0"/>
              <w:autoSpaceDN w:val="0"/>
              <w:spacing w:line="248" w:lineRule="exact"/>
              <w:jc w:val="both"/>
              <w:rPr>
                <w:color w:val="000000" w:themeColor="text1"/>
              </w:rPr>
            </w:pPr>
            <w:r w:rsidRPr="00C56257">
              <w:rPr>
                <w:color w:val="000000" w:themeColor="text1"/>
              </w:rPr>
              <w:t>pontice</w:t>
            </w:r>
          </w:p>
        </w:tc>
        <w:tc>
          <w:tcPr>
            <w:tcW w:w="2050" w:type="dxa"/>
          </w:tcPr>
          <w:p w14:paraId="4E65ECEF" w14:textId="77777777" w:rsidR="00A37B92" w:rsidRPr="00C56257" w:rsidRDefault="00A37B92" w:rsidP="00C902DF">
            <w:pPr>
              <w:widowControl w:val="0"/>
              <w:autoSpaceDE w:val="0"/>
              <w:autoSpaceDN w:val="0"/>
              <w:spacing w:line="232" w:lineRule="exact"/>
              <w:ind w:right="162"/>
              <w:jc w:val="both"/>
              <w:rPr>
                <w:color w:val="000000" w:themeColor="text1"/>
              </w:rPr>
            </w:pPr>
            <w:r w:rsidRPr="00C56257">
              <w:rPr>
                <w:color w:val="000000" w:themeColor="text1"/>
              </w:rPr>
              <w:t>Vernal</w:t>
            </w:r>
          </w:p>
        </w:tc>
        <w:tc>
          <w:tcPr>
            <w:tcW w:w="2280" w:type="dxa"/>
          </w:tcPr>
          <w:p w14:paraId="373F78F2" w14:textId="77777777" w:rsidR="00A37B92" w:rsidRPr="00C56257" w:rsidRDefault="00A37B92" w:rsidP="00C902DF">
            <w:pPr>
              <w:widowControl w:val="0"/>
              <w:autoSpaceDE w:val="0"/>
              <w:autoSpaceDN w:val="0"/>
              <w:spacing w:line="232" w:lineRule="exact"/>
              <w:ind w:right="329"/>
              <w:jc w:val="both"/>
              <w:rPr>
                <w:color w:val="000000" w:themeColor="text1"/>
              </w:rPr>
            </w:pPr>
            <w:r w:rsidRPr="00C56257">
              <w:rPr>
                <w:color w:val="000000" w:themeColor="text1"/>
              </w:rPr>
              <w:t>III-IV</w:t>
            </w:r>
          </w:p>
        </w:tc>
      </w:tr>
      <w:tr w:rsidR="00A37B92" w:rsidRPr="00C56257" w14:paraId="32875489" w14:textId="77777777" w:rsidTr="00C902DF">
        <w:trPr>
          <w:trHeight w:val="254"/>
        </w:trPr>
        <w:tc>
          <w:tcPr>
            <w:tcW w:w="2151" w:type="dxa"/>
            <w:vMerge/>
            <w:tcBorders>
              <w:top w:val="nil"/>
            </w:tcBorders>
          </w:tcPr>
          <w:p w14:paraId="0B5A97AD" w14:textId="77777777" w:rsidR="00A37B92" w:rsidRPr="00C56257" w:rsidRDefault="00A37B92" w:rsidP="00C902DF">
            <w:pPr>
              <w:widowControl w:val="0"/>
              <w:autoSpaceDE w:val="0"/>
              <w:autoSpaceDN w:val="0"/>
              <w:jc w:val="both"/>
              <w:rPr>
                <w:color w:val="000000" w:themeColor="text1"/>
              </w:rPr>
            </w:pPr>
          </w:p>
        </w:tc>
        <w:tc>
          <w:tcPr>
            <w:tcW w:w="2657" w:type="dxa"/>
            <w:vMerge/>
            <w:tcBorders>
              <w:top w:val="nil"/>
            </w:tcBorders>
          </w:tcPr>
          <w:p w14:paraId="2D797E66" w14:textId="77777777" w:rsidR="00A37B92" w:rsidRPr="00C56257" w:rsidRDefault="00A37B92" w:rsidP="00C902DF">
            <w:pPr>
              <w:widowControl w:val="0"/>
              <w:autoSpaceDE w:val="0"/>
              <w:autoSpaceDN w:val="0"/>
              <w:jc w:val="both"/>
              <w:rPr>
                <w:color w:val="000000" w:themeColor="text1"/>
              </w:rPr>
            </w:pPr>
          </w:p>
        </w:tc>
        <w:tc>
          <w:tcPr>
            <w:tcW w:w="2050" w:type="dxa"/>
          </w:tcPr>
          <w:p w14:paraId="28F2CB86" w14:textId="77777777" w:rsidR="00A37B92" w:rsidRPr="00C56257" w:rsidRDefault="00A37B92" w:rsidP="00C902DF">
            <w:pPr>
              <w:widowControl w:val="0"/>
              <w:autoSpaceDE w:val="0"/>
              <w:autoSpaceDN w:val="0"/>
              <w:spacing w:line="234" w:lineRule="exact"/>
              <w:ind w:right="162"/>
              <w:jc w:val="both"/>
              <w:rPr>
                <w:color w:val="000000" w:themeColor="text1"/>
              </w:rPr>
            </w:pPr>
            <w:r w:rsidRPr="00C56257">
              <w:rPr>
                <w:color w:val="000000" w:themeColor="text1"/>
              </w:rPr>
              <w:t>Estival</w:t>
            </w:r>
          </w:p>
        </w:tc>
        <w:tc>
          <w:tcPr>
            <w:tcW w:w="2280" w:type="dxa"/>
          </w:tcPr>
          <w:p w14:paraId="05769D90" w14:textId="77777777" w:rsidR="00A37B92" w:rsidRPr="00C56257" w:rsidRDefault="00A37B92" w:rsidP="00C902DF">
            <w:pPr>
              <w:widowControl w:val="0"/>
              <w:autoSpaceDE w:val="0"/>
              <w:autoSpaceDN w:val="0"/>
              <w:spacing w:line="234" w:lineRule="exact"/>
              <w:ind w:right="329"/>
              <w:jc w:val="both"/>
              <w:rPr>
                <w:color w:val="000000" w:themeColor="text1"/>
              </w:rPr>
            </w:pPr>
            <w:r w:rsidRPr="00C56257">
              <w:rPr>
                <w:color w:val="000000" w:themeColor="text1"/>
              </w:rPr>
              <w:t>V-VIII</w:t>
            </w:r>
          </w:p>
        </w:tc>
      </w:tr>
      <w:tr w:rsidR="00A37B92" w:rsidRPr="00C56257" w14:paraId="5B3B2955" w14:textId="77777777" w:rsidTr="00C902DF">
        <w:trPr>
          <w:trHeight w:val="251"/>
        </w:trPr>
        <w:tc>
          <w:tcPr>
            <w:tcW w:w="2151" w:type="dxa"/>
            <w:vMerge/>
            <w:tcBorders>
              <w:top w:val="nil"/>
            </w:tcBorders>
          </w:tcPr>
          <w:p w14:paraId="0CC2E098" w14:textId="77777777" w:rsidR="00A37B92" w:rsidRPr="00C56257" w:rsidRDefault="00A37B92" w:rsidP="00C902DF">
            <w:pPr>
              <w:widowControl w:val="0"/>
              <w:autoSpaceDE w:val="0"/>
              <w:autoSpaceDN w:val="0"/>
              <w:jc w:val="both"/>
              <w:rPr>
                <w:color w:val="000000" w:themeColor="text1"/>
              </w:rPr>
            </w:pPr>
          </w:p>
        </w:tc>
        <w:tc>
          <w:tcPr>
            <w:tcW w:w="2657" w:type="dxa"/>
            <w:vMerge/>
            <w:tcBorders>
              <w:top w:val="nil"/>
            </w:tcBorders>
          </w:tcPr>
          <w:p w14:paraId="2B2ECC03" w14:textId="77777777" w:rsidR="00A37B92" w:rsidRPr="00C56257" w:rsidRDefault="00A37B92" w:rsidP="00C902DF">
            <w:pPr>
              <w:widowControl w:val="0"/>
              <w:autoSpaceDE w:val="0"/>
              <w:autoSpaceDN w:val="0"/>
              <w:jc w:val="both"/>
              <w:rPr>
                <w:color w:val="000000" w:themeColor="text1"/>
              </w:rPr>
            </w:pPr>
          </w:p>
        </w:tc>
        <w:tc>
          <w:tcPr>
            <w:tcW w:w="2050" w:type="dxa"/>
          </w:tcPr>
          <w:p w14:paraId="3D5549AF" w14:textId="77777777" w:rsidR="00A37B92" w:rsidRPr="00C56257" w:rsidRDefault="00A37B92" w:rsidP="00C902DF">
            <w:pPr>
              <w:widowControl w:val="0"/>
              <w:autoSpaceDE w:val="0"/>
              <w:autoSpaceDN w:val="0"/>
              <w:spacing w:line="232" w:lineRule="exact"/>
              <w:ind w:right="162"/>
              <w:jc w:val="both"/>
              <w:rPr>
                <w:color w:val="000000" w:themeColor="text1"/>
              </w:rPr>
            </w:pPr>
            <w:r w:rsidRPr="00C56257">
              <w:rPr>
                <w:color w:val="000000" w:themeColor="text1"/>
              </w:rPr>
              <w:t>Autumnal</w:t>
            </w:r>
          </w:p>
        </w:tc>
        <w:tc>
          <w:tcPr>
            <w:tcW w:w="2280" w:type="dxa"/>
          </w:tcPr>
          <w:p w14:paraId="0BF89A11" w14:textId="77777777" w:rsidR="00A37B92" w:rsidRPr="00C56257" w:rsidRDefault="00A37B92" w:rsidP="00C902DF">
            <w:pPr>
              <w:widowControl w:val="0"/>
              <w:autoSpaceDE w:val="0"/>
              <w:autoSpaceDN w:val="0"/>
              <w:spacing w:line="232" w:lineRule="exact"/>
              <w:ind w:right="323"/>
              <w:jc w:val="both"/>
              <w:rPr>
                <w:color w:val="000000" w:themeColor="text1"/>
              </w:rPr>
            </w:pPr>
            <w:r w:rsidRPr="00C56257">
              <w:rPr>
                <w:color w:val="000000" w:themeColor="text1"/>
              </w:rPr>
              <w:t>IX-XI</w:t>
            </w:r>
          </w:p>
        </w:tc>
      </w:tr>
    </w:tbl>
    <w:p w14:paraId="07AD93B3" w14:textId="77777777" w:rsidR="00A37B92" w:rsidRPr="00C56257" w:rsidRDefault="00A37B92" w:rsidP="00A37B92">
      <w:pPr>
        <w:widowControl w:val="0"/>
        <w:autoSpaceDE w:val="0"/>
        <w:autoSpaceDN w:val="0"/>
        <w:jc w:val="both"/>
        <w:rPr>
          <w:color w:val="000000" w:themeColor="text1"/>
        </w:rPr>
      </w:pPr>
    </w:p>
    <w:p w14:paraId="2907EA22" w14:textId="77777777" w:rsidR="00A37B92" w:rsidRPr="00C56257" w:rsidRDefault="00A37B92" w:rsidP="00F100E1">
      <w:pPr>
        <w:widowControl w:val="0"/>
        <w:tabs>
          <w:tab w:val="left" w:pos="1115"/>
        </w:tabs>
        <w:autoSpaceDE w:val="0"/>
        <w:autoSpaceDN w:val="0"/>
        <w:jc w:val="both"/>
        <w:outlineLvl w:val="1"/>
        <w:rPr>
          <w:rFonts w:eastAsia="Cambria"/>
          <w:b/>
          <w:bCs/>
          <w:color w:val="000000" w:themeColor="text1"/>
        </w:rPr>
      </w:pPr>
      <w:r w:rsidRPr="00C56257">
        <w:rPr>
          <w:rFonts w:eastAsia="Cambria"/>
          <w:b/>
          <w:bCs/>
          <w:color w:val="000000" w:themeColor="text1"/>
        </w:rPr>
        <w:t>Utilizarea</w:t>
      </w:r>
      <w:r w:rsidRPr="00C56257">
        <w:rPr>
          <w:rFonts w:eastAsia="Cambria"/>
          <w:b/>
          <w:bCs/>
          <w:color w:val="000000" w:themeColor="text1"/>
          <w:spacing w:val="-6"/>
        </w:rPr>
        <w:t xml:space="preserve"> </w:t>
      </w:r>
      <w:r w:rsidRPr="00C56257">
        <w:rPr>
          <w:rFonts w:eastAsia="Cambria"/>
          <w:b/>
          <w:bCs/>
          <w:color w:val="000000" w:themeColor="text1"/>
        </w:rPr>
        <w:t>hărților</w:t>
      </w:r>
    </w:p>
    <w:p w14:paraId="2FADE55B" w14:textId="77777777" w:rsidR="00A37B92" w:rsidRPr="00C56257" w:rsidRDefault="00A37B92" w:rsidP="00493079">
      <w:pPr>
        <w:widowControl w:val="0"/>
        <w:autoSpaceDE w:val="0"/>
        <w:autoSpaceDN w:val="0"/>
        <w:spacing w:before="157"/>
        <w:ind w:right="26"/>
        <w:jc w:val="both"/>
        <w:rPr>
          <w:color w:val="000000" w:themeColor="text1"/>
        </w:rPr>
      </w:pPr>
      <w:r w:rsidRPr="00C56257">
        <w:rPr>
          <w:color w:val="000000" w:themeColor="text1"/>
        </w:rPr>
        <w:t>Obiectivele specifice propuse în cadrul programului de monitorizare nu pot fi atinse fără o alegere</w:t>
      </w:r>
      <w:r w:rsidRPr="00C56257">
        <w:rPr>
          <w:color w:val="000000" w:themeColor="text1"/>
          <w:spacing w:val="1"/>
        </w:rPr>
        <w:t xml:space="preserve"> </w:t>
      </w:r>
      <w:r w:rsidRPr="00C56257">
        <w:rPr>
          <w:color w:val="000000" w:themeColor="text1"/>
        </w:rPr>
        <w:t>riguroasă a atributelor care trebuie măsurate, a tipului de date colectate şi a metodelor utilizate</w:t>
      </w:r>
      <w:r w:rsidRPr="00C56257">
        <w:rPr>
          <w:color w:val="000000" w:themeColor="text1"/>
          <w:spacing w:val="1"/>
        </w:rPr>
        <w:t xml:space="preserve"> </w:t>
      </w:r>
      <w:r w:rsidRPr="00C56257">
        <w:rPr>
          <w:color w:val="000000" w:themeColor="text1"/>
        </w:rPr>
        <w:t xml:space="preserve">pentru colectarea acestora. </w:t>
      </w:r>
    </w:p>
    <w:p w14:paraId="3D44A714" w14:textId="77777777" w:rsidR="00A37B92" w:rsidRPr="00C56257" w:rsidRDefault="00A37B92" w:rsidP="00493079">
      <w:pPr>
        <w:widowControl w:val="0"/>
        <w:autoSpaceDE w:val="0"/>
        <w:autoSpaceDN w:val="0"/>
        <w:ind w:right="26"/>
        <w:jc w:val="both"/>
        <w:rPr>
          <w:color w:val="000000" w:themeColor="text1"/>
        </w:rPr>
      </w:pPr>
      <w:r w:rsidRPr="00C56257">
        <w:rPr>
          <w:color w:val="000000" w:themeColor="text1"/>
        </w:rPr>
        <w:t xml:space="preserve">Exemplu: Harta de distribuție pentru habitatul de dune continentale </w:t>
      </w:r>
      <w:r w:rsidRPr="00C56257">
        <w:rPr>
          <w:i/>
          <w:color w:val="000000" w:themeColor="text1"/>
        </w:rPr>
        <w:t>2110 Dune mobile embrionare (în</w:t>
      </w:r>
      <w:r w:rsidRPr="00C56257">
        <w:rPr>
          <w:i/>
          <w:color w:val="000000" w:themeColor="text1"/>
          <w:spacing w:val="1"/>
        </w:rPr>
        <w:t xml:space="preserve"> </w:t>
      </w:r>
      <w:r w:rsidRPr="00C56257">
        <w:rPr>
          <w:i/>
          <w:color w:val="000000" w:themeColor="text1"/>
        </w:rPr>
        <w:t>formare)</w:t>
      </w:r>
      <w:r w:rsidRPr="00C56257">
        <w:rPr>
          <w:i/>
          <w:color w:val="000000" w:themeColor="text1"/>
          <w:spacing w:val="-2"/>
        </w:rPr>
        <w:t xml:space="preserve"> </w:t>
      </w:r>
      <w:r w:rsidRPr="00C56257">
        <w:rPr>
          <w:color w:val="000000" w:themeColor="text1"/>
        </w:rPr>
        <w:t>este redată mai</w:t>
      </w:r>
      <w:r w:rsidRPr="00C56257">
        <w:rPr>
          <w:color w:val="000000" w:themeColor="text1"/>
          <w:spacing w:val="-2"/>
        </w:rPr>
        <w:t xml:space="preserve"> </w:t>
      </w:r>
      <w:r w:rsidRPr="00C56257">
        <w:rPr>
          <w:color w:val="000000" w:themeColor="text1"/>
        </w:rPr>
        <w:t>jos.</w:t>
      </w:r>
    </w:p>
    <w:p w14:paraId="0DCA8E00" w14:textId="77777777" w:rsidR="00A37B92" w:rsidRDefault="00A37B92" w:rsidP="00493079">
      <w:pPr>
        <w:widowControl w:val="0"/>
        <w:autoSpaceDE w:val="0"/>
        <w:autoSpaceDN w:val="0"/>
        <w:ind w:right="26"/>
        <w:jc w:val="both"/>
        <w:rPr>
          <w:color w:val="000000" w:themeColor="text1"/>
        </w:rPr>
      </w:pPr>
      <w:r w:rsidRPr="00C56257">
        <w:rPr>
          <w:color w:val="000000" w:themeColor="text1"/>
        </w:rPr>
        <w:lastRenderedPageBreak/>
        <w:t>Pentru fiecare obiectiv principal propus, la nivelul fiecărui habitat țintă, se vor identifica acele</w:t>
      </w:r>
      <w:r w:rsidRPr="00C56257">
        <w:rPr>
          <w:color w:val="000000" w:themeColor="text1"/>
          <w:spacing w:val="1"/>
        </w:rPr>
        <w:t xml:space="preserve"> </w:t>
      </w:r>
      <w:r w:rsidRPr="00C56257">
        <w:rPr>
          <w:color w:val="000000" w:themeColor="text1"/>
        </w:rPr>
        <w:t>caracteristici</w:t>
      </w:r>
      <w:r w:rsidRPr="00C56257">
        <w:rPr>
          <w:color w:val="000000" w:themeColor="text1"/>
          <w:spacing w:val="1"/>
        </w:rPr>
        <w:t xml:space="preserve"> </w:t>
      </w:r>
      <w:r w:rsidRPr="00C56257">
        <w:rPr>
          <w:color w:val="000000" w:themeColor="text1"/>
        </w:rPr>
        <w:t>(atribute)</w:t>
      </w:r>
      <w:r w:rsidRPr="00C56257">
        <w:rPr>
          <w:color w:val="000000" w:themeColor="text1"/>
          <w:spacing w:val="1"/>
        </w:rPr>
        <w:t xml:space="preserve"> </w:t>
      </w:r>
      <w:r w:rsidRPr="00C56257">
        <w:rPr>
          <w:color w:val="000000" w:themeColor="text1"/>
        </w:rPr>
        <w:t>ale</w:t>
      </w:r>
      <w:r w:rsidRPr="00C56257">
        <w:rPr>
          <w:color w:val="000000" w:themeColor="text1"/>
          <w:spacing w:val="1"/>
        </w:rPr>
        <w:t xml:space="preserve"> </w:t>
      </w:r>
      <w:r w:rsidRPr="00C56257">
        <w:rPr>
          <w:color w:val="000000" w:themeColor="text1"/>
        </w:rPr>
        <w:t>habitatului</w:t>
      </w:r>
      <w:r w:rsidRPr="00C56257">
        <w:rPr>
          <w:color w:val="000000" w:themeColor="text1"/>
          <w:spacing w:val="1"/>
        </w:rPr>
        <w:t xml:space="preserve"> </w:t>
      </w:r>
      <w:r w:rsidRPr="00C56257">
        <w:rPr>
          <w:color w:val="000000" w:themeColor="text1"/>
        </w:rPr>
        <w:t>care</w:t>
      </w:r>
      <w:r w:rsidRPr="00C56257">
        <w:rPr>
          <w:color w:val="000000" w:themeColor="text1"/>
          <w:spacing w:val="1"/>
        </w:rPr>
        <w:t xml:space="preserve"> </w:t>
      </w:r>
      <w:r w:rsidRPr="00C56257">
        <w:rPr>
          <w:color w:val="000000" w:themeColor="text1"/>
        </w:rPr>
        <w:t>reflectă</w:t>
      </w:r>
      <w:r w:rsidRPr="00C56257">
        <w:rPr>
          <w:color w:val="000000" w:themeColor="text1"/>
          <w:spacing w:val="1"/>
        </w:rPr>
        <w:t xml:space="preserve"> </w:t>
      </w:r>
      <w:r w:rsidRPr="00C56257">
        <w:rPr>
          <w:color w:val="000000" w:themeColor="text1"/>
        </w:rPr>
        <w:t>proprietățile</w:t>
      </w:r>
      <w:r w:rsidRPr="00C56257">
        <w:rPr>
          <w:color w:val="000000" w:themeColor="text1"/>
          <w:spacing w:val="1"/>
        </w:rPr>
        <w:t xml:space="preserve"> </w:t>
      </w:r>
      <w:r w:rsidRPr="00C56257">
        <w:rPr>
          <w:color w:val="000000" w:themeColor="text1"/>
        </w:rPr>
        <w:t>acestuia</w:t>
      </w:r>
      <w:r w:rsidRPr="00C56257">
        <w:rPr>
          <w:color w:val="000000" w:themeColor="text1"/>
          <w:spacing w:val="1"/>
        </w:rPr>
        <w:t xml:space="preserve"> </w:t>
      </w:r>
      <w:r w:rsidRPr="00C56257">
        <w:rPr>
          <w:color w:val="000000" w:themeColor="text1"/>
        </w:rPr>
        <w:t>și</w:t>
      </w:r>
      <w:r w:rsidRPr="00C56257">
        <w:rPr>
          <w:color w:val="000000" w:themeColor="text1"/>
          <w:spacing w:val="1"/>
        </w:rPr>
        <w:t xml:space="preserve"> </w:t>
      </w:r>
      <w:r w:rsidRPr="00C56257">
        <w:rPr>
          <w:color w:val="000000" w:themeColor="text1"/>
        </w:rPr>
        <w:t>pot</w:t>
      </w:r>
      <w:r w:rsidRPr="00C56257">
        <w:rPr>
          <w:color w:val="000000" w:themeColor="text1"/>
          <w:spacing w:val="1"/>
        </w:rPr>
        <w:t xml:space="preserve"> </w:t>
      </w:r>
      <w:r w:rsidRPr="00C56257">
        <w:rPr>
          <w:color w:val="000000" w:themeColor="text1"/>
        </w:rPr>
        <w:t>fi</w:t>
      </w:r>
      <w:r w:rsidRPr="00C56257">
        <w:rPr>
          <w:color w:val="000000" w:themeColor="text1"/>
          <w:spacing w:val="1"/>
        </w:rPr>
        <w:t xml:space="preserve"> </w:t>
      </w:r>
      <w:r w:rsidRPr="00C56257">
        <w:rPr>
          <w:color w:val="000000" w:themeColor="text1"/>
        </w:rPr>
        <w:t>cuantificate</w:t>
      </w:r>
      <w:r w:rsidR="00493079">
        <w:rPr>
          <w:color w:val="000000" w:themeColor="text1"/>
        </w:rPr>
        <w:t xml:space="preserve">. </w:t>
      </w:r>
      <w:r w:rsidRPr="00C56257">
        <w:rPr>
          <w:color w:val="000000" w:themeColor="text1"/>
          <w:spacing w:val="-57"/>
        </w:rPr>
        <w:t xml:space="preserve"> </w:t>
      </w:r>
      <w:r w:rsidR="007F6479">
        <w:rPr>
          <w:color w:val="000000" w:themeColor="text1"/>
          <w:spacing w:val="-57"/>
        </w:rPr>
        <w:t xml:space="preserve"> </w:t>
      </w:r>
      <w:r w:rsidR="00493079">
        <w:rPr>
          <w:color w:val="000000" w:themeColor="text1"/>
          <w:spacing w:val="-57"/>
        </w:rPr>
        <w:t xml:space="preserve">  </w:t>
      </w:r>
      <w:r w:rsidRPr="00C56257">
        <w:rPr>
          <w:color w:val="000000" w:themeColor="text1"/>
        </w:rPr>
        <w:t>Fiecărui atribut, acolo unde informațiile existente permit acest lucru, i se va defini un interval de</w:t>
      </w:r>
      <w:r w:rsidRPr="00C56257">
        <w:rPr>
          <w:color w:val="000000" w:themeColor="text1"/>
          <w:spacing w:val="1"/>
        </w:rPr>
        <w:t xml:space="preserve"> </w:t>
      </w:r>
      <w:r w:rsidRPr="00C56257">
        <w:rPr>
          <w:color w:val="000000" w:themeColor="text1"/>
        </w:rPr>
        <w:t>valori pe care le poate lua, fără ca proprietățile habitatului analizat să fie alterate, uşurându-se astfel</w:t>
      </w:r>
      <w:r w:rsidRPr="00C56257">
        <w:rPr>
          <w:color w:val="000000" w:themeColor="text1"/>
          <w:spacing w:val="1"/>
        </w:rPr>
        <w:t xml:space="preserve"> </w:t>
      </w:r>
      <w:r w:rsidRPr="00C56257">
        <w:rPr>
          <w:color w:val="000000" w:themeColor="text1"/>
        </w:rPr>
        <w:t>interpretarea rezultatelor.</w:t>
      </w:r>
    </w:p>
    <w:p w14:paraId="2EB64069" w14:textId="77777777" w:rsidR="00752668" w:rsidRPr="00C56257" w:rsidRDefault="00752668" w:rsidP="00A37B92">
      <w:pPr>
        <w:widowControl w:val="0"/>
        <w:autoSpaceDE w:val="0"/>
        <w:autoSpaceDN w:val="0"/>
        <w:ind w:right="251"/>
        <w:jc w:val="both"/>
        <w:rPr>
          <w:color w:val="000000" w:themeColor="text1"/>
        </w:rPr>
      </w:pPr>
    </w:p>
    <w:p w14:paraId="20D1CEA5" w14:textId="77777777" w:rsidR="00A37B92" w:rsidRPr="00C56257" w:rsidRDefault="00A37B92" w:rsidP="00A37B92">
      <w:pPr>
        <w:widowControl w:val="0"/>
        <w:autoSpaceDE w:val="0"/>
        <w:autoSpaceDN w:val="0"/>
        <w:jc w:val="both"/>
        <w:rPr>
          <w:color w:val="000000" w:themeColor="text1"/>
        </w:rPr>
      </w:pPr>
      <w:r w:rsidRPr="00C56257">
        <w:rPr>
          <w:noProof/>
          <w:color w:val="000000" w:themeColor="text1"/>
          <w:lang w:val="en-US"/>
        </w:rPr>
        <w:drawing>
          <wp:inline distT="0" distB="0" distL="0" distR="0" wp14:anchorId="340A798F" wp14:editId="10E63573">
            <wp:extent cx="5176886" cy="3254576"/>
            <wp:effectExtent l="0" t="0" r="5080" b="3175"/>
            <wp:docPr id="533" name="image20.jpeg" descr="2110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0.jpeg"/>
                    <pic:cNvPicPr/>
                  </pic:nvPicPr>
                  <pic:blipFill>
                    <a:blip r:embed="rId54" cstate="print"/>
                    <a:stretch>
                      <a:fillRect/>
                    </a:stretch>
                  </pic:blipFill>
                  <pic:spPr>
                    <a:xfrm>
                      <a:off x="0" y="0"/>
                      <a:ext cx="5187839" cy="3261462"/>
                    </a:xfrm>
                    <a:prstGeom prst="rect">
                      <a:avLst/>
                    </a:prstGeom>
                  </pic:spPr>
                </pic:pic>
              </a:graphicData>
            </a:graphic>
          </wp:inline>
        </w:drawing>
      </w:r>
    </w:p>
    <w:p w14:paraId="2BF142E5" w14:textId="77777777" w:rsidR="00A37B92" w:rsidRPr="00C56257" w:rsidRDefault="00A37B92" w:rsidP="00A37B92">
      <w:pPr>
        <w:widowControl w:val="0"/>
        <w:autoSpaceDE w:val="0"/>
        <w:autoSpaceDN w:val="0"/>
        <w:spacing w:before="90"/>
        <w:jc w:val="both"/>
        <w:rPr>
          <w:color w:val="000000" w:themeColor="text1"/>
        </w:rPr>
      </w:pPr>
      <w:r w:rsidRPr="00C56257">
        <w:rPr>
          <w:color w:val="000000" w:themeColor="text1"/>
        </w:rPr>
        <w:t>În</w:t>
      </w:r>
      <w:r w:rsidRPr="00C56257">
        <w:rPr>
          <w:color w:val="000000" w:themeColor="text1"/>
          <w:spacing w:val="-1"/>
        </w:rPr>
        <w:t xml:space="preserve"> </w:t>
      </w:r>
      <w:r w:rsidRPr="00C56257">
        <w:rPr>
          <w:color w:val="000000" w:themeColor="text1"/>
        </w:rPr>
        <w:t>tabelul</w:t>
      </w:r>
      <w:r w:rsidRPr="00C56257">
        <w:rPr>
          <w:color w:val="000000" w:themeColor="text1"/>
          <w:spacing w:val="-1"/>
        </w:rPr>
        <w:t xml:space="preserve"> </w:t>
      </w:r>
      <w:r w:rsidRPr="00C56257">
        <w:rPr>
          <w:color w:val="000000" w:themeColor="text1"/>
        </w:rPr>
        <w:t>care</w:t>
      </w:r>
      <w:r w:rsidRPr="00C56257">
        <w:rPr>
          <w:color w:val="000000" w:themeColor="text1"/>
          <w:spacing w:val="-3"/>
        </w:rPr>
        <w:t xml:space="preserve"> </w:t>
      </w:r>
      <w:r w:rsidRPr="00C56257">
        <w:rPr>
          <w:color w:val="000000" w:themeColor="text1"/>
        </w:rPr>
        <w:t>urmează</w:t>
      </w:r>
      <w:r w:rsidRPr="00C56257">
        <w:rPr>
          <w:color w:val="000000" w:themeColor="text1"/>
          <w:spacing w:val="-2"/>
        </w:rPr>
        <w:t xml:space="preserve"> </w:t>
      </w:r>
      <w:r w:rsidRPr="00C56257">
        <w:rPr>
          <w:color w:val="000000" w:themeColor="text1"/>
        </w:rPr>
        <w:t>se</w:t>
      </w:r>
      <w:r w:rsidRPr="00C56257">
        <w:rPr>
          <w:color w:val="000000" w:themeColor="text1"/>
          <w:spacing w:val="-2"/>
        </w:rPr>
        <w:t xml:space="preserve"> </w:t>
      </w:r>
      <w:r w:rsidRPr="00C56257">
        <w:rPr>
          <w:color w:val="000000" w:themeColor="text1"/>
        </w:rPr>
        <w:t>regăsesc indicatorii</w:t>
      </w:r>
      <w:r w:rsidRPr="00C56257">
        <w:rPr>
          <w:color w:val="000000" w:themeColor="text1"/>
          <w:spacing w:val="-1"/>
        </w:rPr>
        <w:t xml:space="preserve"> </w:t>
      </w:r>
      <w:r w:rsidRPr="00C56257">
        <w:rPr>
          <w:color w:val="000000" w:themeColor="text1"/>
        </w:rPr>
        <w:t>generali</w:t>
      </w:r>
      <w:r w:rsidRPr="00C56257">
        <w:rPr>
          <w:color w:val="000000" w:themeColor="text1"/>
          <w:spacing w:val="-1"/>
        </w:rPr>
        <w:t xml:space="preserve"> </w:t>
      </w:r>
      <w:r w:rsidRPr="00C56257">
        <w:rPr>
          <w:color w:val="000000" w:themeColor="text1"/>
        </w:rPr>
        <w:t>din</w:t>
      </w:r>
      <w:r w:rsidRPr="00C56257">
        <w:rPr>
          <w:color w:val="000000" w:themeColor="text1"/>
          <w:spacing w:val="-1"/>
        </w:rPr>
        <w:t xml:space="preserve"> </w:t>
      </w:r>
      <w:r w:rsidRPr="00C56257">
        <w:rPr>
          <w:color w:val="000000" w:themeColor="text1"/>
        </w:rPr>
        <w:t>cadrul</w:t>
      </w:r>
      <w:r w:rsidRPr="00C56257">
        <w:rPr>
          <w:color w:val="000000" w:themeColor="text1"/>
          <w:spacing w:val="-1"/>
        </w:rPr>
        <w:t xml:space="preserve"> </w:t>
      </w:r>
      <w:r w:rsidRPr="00C56257">
        <w:rPr>
          <w:color w:val="000000" w:themeColor="text1"/>
        </w:rPr>
        <w:t>planului</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monitorizare</w:t>
      </w:r>
    </w:p>
    <w:p w14:paraId="61A01272" w14:textId="77777777" w:rsidR="00A37B92" w:rsidRPr="00C56257" w:rsidRDefault="00A37B92" w:rsidP="00A37B92">
      <w:pPr>
        <w:widowControl w:val="0"/>
        <w:autoSpaceDE w:val="0"/>
        <w:autoSpaceDN w:val="0"/>
        <w:spacing w:before="8"/>
        <w:jc w:val="both"/>
        <w:rPr>
          <w:color w:val="000000" w:themeColor="text1"/>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75"/>
        <w:gridCol w:w="7101"/>
      </w:tblGrid>
      <w:tr w:rsidR="00A37B92" w:rsidRPr="00C56257" w14:paraId="0EE68279" w14:textId="77777777" w:rsidTr="00175369">
        <w:trPr>
          <w:trHeight w:val="422"/>
        </w:trPr>
        <w:tc>
          <w:tcPr>
            <w:tcW w:w="2675" w:type="dxa"/>
            <w:shd w:val="clear" w:color="auto" w:fill="D9D9D9"/>
          </w:tcPr>
          <w:p w14:paraId="54F095A6" w14:textId="77777777" w:rsidR="00A37B92" w:rsidRPr="00C56257" w:rsidRDefault="00A37B92" w:rsidP="00C902DF">
            <w:pPr>
              <w:widowControl w:val="0"/>
              <w:autoSpaceDE w:val="0"/>
              <w:autoSpaceDN w:val="0"/>
              <w:spacing w:before="68"/>
              <w:jc w:val="both"/>
              <w:rPr>
                <w:b/>
                <w:color w:val="000000" w:themeColor="text1"/>
              </w:rPr>
            </w:pPr>
            <w:r w:rsidRPr="00C56257">
              <w:rPr>
                <w:b/>
                <w:color w:val="000000" w:themeColor="text1"/>
              </w:rPr>
              <w:t>Indicatori</w:t>
            </w:r>
          </w:p>
        </w:tc>
        <w:tc>
          <w:tcPr>
            <w:tcW w:w="7101" w:type="dxa"/>
            <w:shd w:val="clear" w:color="auto" w:fill="D9D9D9"/>
          </w:tcPr>
          <w:p w14:paraId="2CA9F346" w14:textId="77777777" w:rsidR="00A37B92" w:rsidRPr="00C56257" w:rsidRDefault="00A37B92" w:rsidP="00C902DF">
            <w:pPr>
              <w:widowControl w:val="0"/>
              <w:autoSpaceDE w:val="0"/>
              <w:autoSpaceDN w:val="0"/>
              <w:spacing w:before="68"/>
              <w:jc w:val="both"/>
              <w:rPr>
                <w:b/>
                <w:color w:val="000000" w:themeColor="text1"/>
              </w:rPr>
            </w:pPr>
            <w:r w:rsidRPr="00C56257">
              <w:rPr>
                <w:b/>
                <w:color w:val="000000" w:themeColor="text1"/>
              </w:rPr>
              <w:t>Compoziție</w:t>
            </w:r>
          </w:p>
        </w:tc>
      </w:tr>
      <w:tr w:rsidR="00A37B92" w:rsidRPr="00C56257" w14:paraId="30CA3098" w14:textId="77777777" w:rsidTr="00175369">
        <w:trPr>
          <w:trHeight w:val="827"/>
        </w:trPr>
        <w:tc>
          <w:tcPr>
            <w:tcW w:w="2675" w:type="dxa"/>
          </w:tcPr>
          <w:p w14:paraId="3C281EB8" w14:textId="77777777" w:rsidR="00A37B92" w:rsidRPr="00C56257" w:rsidRDefault="00A37B92" w:rsidP="00C902DF">
            <w:pPr>
              <w:widowControl w:val="0"/>
              <w:autoSpaceDE w:val="0"/>
              <w:autoSpaceDN w:val="0"/>
              <w:spacing w:before="131"/>
              <w:ind w:right="715"/>
              <w:jc w:val="both"/>
              <w:rPr>
                <w:color w:val="000000" w:themeColor="text1"/>
              </w:rPr>
            </w:pPr>
            <w:r w:rsidRPr="00C56257">
              <w:rPr>
                <w:color w:val="000000" w:themeColor="text1"/>
              </w:rPr>
              <w:t>La</w:t>
            </w:r>
            <w:r w:rsidRPr="00C56257">
              <w:rPr>
                <w:color w:val="000000" w:themeColor="text1"/>
                <w:spacing w:val="-9"/>
              </w:rPr>
              <w:t xml:space="preserve"> </w:t>
            </w:r>
            <w:r w:rsidRPr="00C56257">
              <w:rPr>
                <w:color w:val="000000" w:themeColor="text1"/>
              </w:rPr>
              <w:t>nivel</w:t>
            </w:r>
            <w:r w:rsidRPr="00C56257">
              <w:rPr>
                <w:color w:val="000000" w:themeColor="text1"/>
                <w:spacing w:val="-7"/>
              </w:rPr>
              <w:t xml:space="preserve"> </w:t>
            </w:r>
            <w:r w:rsidRPr="00C56257">
              <w:rPr>
                <w:color w:val="000000" w:themeColor="text1"/>
              </w:rPr>
              <w:t>de</w:t>
            </w:r>
            <w:r w:rsidRPr="00C56257">
              <w:rPr>
                <w:color w:val="000000" w:themeColor="text1"/>
                <w:spacing w:val="-57"/>
              </w:rPr>
              <w:t xml:space="preserve"> </w:t>
            </w:r>
            <w:r w:rsidRPr="00C56257">
              <w:rPr>
                <w:color w:val="000000" w:themeColor="text1"/>
              </w:rPr>
              <w:t>habitat</w:t>
            </w:r>
          </w:p>
        </w:tc>
        <w:tc>
          <w:tcPr>
            <w:tcW w:w="7101" w:type="dxa"/>
          </w:tcPr>
          <w:p w14:paraId="6A2F4C9D" w14:textId="77777777" w:rsidR="00A37B92" w:rsidRPr="00C56257" w:rsidRDefault="00A37B92" w:rsidP="009E63E5">
            <w:pPr>
              <w:widowControl w:val="0"/>
              <w:numPr>
                <w:ilvl w:val="0"/>
                <w:numId w:val="96"/>
              </w:numPr>
              <w:tabs>
                <w:tab w:val="left" w:pos="367"/>
              </w:tabs>
              <w:autoSpaceDE w:val="0"/>
              <w:autoSpaceDN w:val="0"/>
              <w:spacing w:line="268" w:lineRule="exact"/>
              <w:jc w:val="both"/>
              <w:rPr>
                <w:color w:val="000000" w:themeColor="text1"/>
              </w:rPr>
            </w:pPr>
            <w:r w:rsidRPr="00C56257">
              <w:rPr>
                <w:color w:val="000000" w:themeColor="text1"/>
              </w:rPr>
              <w:t>proporția</w:t>
            </w:r>
            <w:r w:rsidRPr="00C56257">
              <w:rPr>
                <w:color w:val="000000" w:themeColor="text1"/>
                <w:spacing w:val="-2"/>
              </w:rPr>
              <w:t xml:space="preserve"> </w:t>
            </w:r>
            <w:r w:rsidRPr="00C56257">
              <w:rPr>
                <w:color w:val="000000" w:themeColor="text1"/>
              </w:rPr>
              <w:t>habitatului</w:t>
            </w:r>
            <w:r w:rsidRPr="00C56257">
              <w:rPr>
                <w:color w:val="000000" w:themeColor="text1"/>
                <w:spacing w:val="-2"/>
              </w:rPr>
              <w:t xml:space="preserve"> </w:t>
            </w:r>
            <w:r w:rsidRPr="00C56257">
              <w:rPr>
                <w:color w:val="000000" w:themeColor="text1"/>
              </w:rPr>
              <w:t>în</w:t>
            </w:r>
            <w:r w:rsidRPr="00C56257">
              <w:rPr>
                <w:color w:val="000000" w:themeColor="text1"/>
                <w:spacing w:val="-2"/>
              </w:rPr>
              <w:t xml:space="preserve"> </w:t>
            </w:r>
            <w:r w:rsidRPr="00C56257">
              <w:rPr>
                <w:color w:val="000000" w:themeColor="text1"/>
              </w:rPr>
              <w:t>cadrul</w:t>
            </w:r>
            <w:r w:rsidRPr="00C56257">
              <w:rPr>
                <w:color w:val="000000" w:themeColor="text1"/>
                <w:spacing w:val="-1"/>
              </w:rPr>
              <w:t xml:space="preserve"> </w:t>
            </w:r>
            <w:r w:rsidRPr="00C56257">
              <w:rPr>
                <w:color w:val="000000" w:themeColor="text1"/>
              </w:rPr>
              <w:t>arealului analizat</w:t>
            </w:r>
          </w:p>
          <w:p w14:paraId="339AFFB9" w14:textId="77777777" w:rsidR="00A37B92" w:rsidRPr="00C56257" w:rsidRDefault="00A37B92" w:rsidP="009E63E5">
            <w:pPr>
              <w:widowControl w:val="0"/>
              <w:numPr>
                <w:ilvl w:val="0"/>
                <w:numId w:val="96"/>
              </w:numPr>
              <w:tabs>
                <w:tab w:val="left" w:pos="367"/>
              </w:tabs>
              <w:autoSpaceDE w:val="0"/>
              <w:autoSpaceDN w:val="0"/>
              <w:jc w:val="both"/>
              <w:rPr>
                <w:color w:val="000000" w:themeColor="text1"/>
              </w:rPr>
            </w:pPr>
            <w:r w:rsidRPr="00C56257">
              <w:rPr>
                <w:color w:val="000000" w:themeColor="text1"/>
              </w:rPr>
              <w:t>tipuri</w:t>
            </w:r>
            <w:r w:rsidRPr="00C56257">
              <w:rPr>
                <w:color w:val="000000" w:themeColor="text1"/>
                <w:spacing w:val="-3"/>
              </w:rPr>
              <w:t xml:space="preserve"> </w:t>
            </w:r>
            <w:r w:rsidRPr="00C56257">
              <w:rPr>
                <w:color w:val="000000" w:themeColor="text1"/>
              </w:rPr>
              <w:t>de</w:t>
            </w:r>
            <w:r w:rsidRPr="00C56257">
              <w:rPr>
                <w:color w:val="000000" w:themeColor="text1"/>
                <w:spacing w:val="-4"/>
              </w:rPr>
              <w:t xml:space="preserve"> </w:t>
            </w:r>
            <w:r w:rsidRPr="00C56257">
              <w:rPr>
                <w:color w:val="000000" w:themeColor="text1"/>
              </w:rPr>
              <w:t>asociații</w:t>
            </w:r>
            <w:r w:rsidRPr="00C56257">
              <w:rPr>
                <w:color w:val="000000" w:themeColor="text1"/>
                <w:spacing w:val="-2"/>
              </w:rPr>
              <w:t xml:space="preserve"> </w:t>
            </w:r>
            <w:r w:rsidRPr="00C56257">
              <w:rPr>
                <w:color w:val="000000" w:themeColor="text1"/>
              </w:rPr>
              <w:t>vegetale</w:t>
            </w:r>
            <w:r w:rsidRPr="00C56257">
              <w:rPr>
                <w:color w:val="000000" w:themeColor="text1"/>
                <w:spacing w:val="-2"/>
              </w:rPr>
              <w:t xml:space="preserve"> </w:t>
            </w:r>
            <w:r w:rsidRPr="00C56257">
              <w:rPr>
                <w:color w:val="000000" w:themeColor="text1"/>
              </w:rPr>
              <w:t>componente</w:t>
            </w:r>
          </w:p>
          <w:p w14:paraId="5C512A22" w14:textId="77777777" w:rsidR="00A37B92" w:rsidRPr="00C56257" w:rsidRDefault="00A37B92" w:rsidP="009E63E5">
            <w:pPr>
              <w:widowControl w:val="0"/>
              <w:numPr>
                <w:ilvl w:val="0"/>
                <w:numId w:val="96"/>
              </w:numPr>
              <w:tabs>
                <w:tab w:val="left" w:pos="367"/>
              </w:tabs>
              <w:autoSpaceDE w:val="0"/>
              <w:autoSpaceDN w:val="0"/>
              <w:spacing w:line="264" w:lineRule="exact"/>
              <w:jc w:val="both"/>
              <w:rPr>
                <w:color w:val="000000" w:themeColor="text1"/>
              </w:rPr>
            </w:pPr>
            <w:r w:rsidRPr="00C56257">
              <w:rPr>
                <w:color w:val="000000" w:themeColor="text1"/>
              </w:rPr>
              <w:t>identificare,</w:t>
            </w:r>
            <w:r w:rsidRPr="00C56257">
              <w:rPr>
                <w:color w:val="000000" w:themeColor="text1"/>
                <w:spacing w:val="-3"/>
              </w:rPr>
              <w:t xml:space="preserve"> </w:t>
            </w:r>
            <w:r w:rsidRPr="00C56257">
              <w:rPr>
                <w:color w:val="000000" w:themeColor="text1"/>
              </w:rPr>
              <w:t>distribuție,</w:t>
            </w:r>
            <w:r w:rsidRPr="00C56257">
              <w:rPr>
                <w:color w:val="000000" w:themeColor="text1"/>
                <w:spacing w:val="-2"/>
              </w:rPr>
              <w:t xml:space="preserve"> </w:t>
            </w:r>
            <w:r w:rsidRPr="00C56257">
              <w:rPr>
                <w:color w:val="000000" w:themeColor="text1"/>
              </w:rPr>
              <w:t>diversitate,</w:t>
            </w:r>
            <w:r w:rsidRPr="00C56257">
              <w:rPr>
                <w:color w:val="000000" w:themeColor="text1"/>
                <w:spacing w:val="-2"/>
              </w:rPr>
              <w:t xml:space="preserve"> </w:t>
            </w:r>
            <w:r w:rsidRPr="00C56257">
              <w:rPr>
                <w:color w:val="000000" w:themeColor="text1"/>
              </w:rPr>
              <w:t>abundență</w:t>
            </w:r>
          </w:p>
        </w:tc>
      </w:tr>
      <w:tr w:rsidR="00A37B92" w:rsidRPr="00C56257" w14:paraId="4F8DC97D" w14:textId="77777777" w:rsidTr="00175369">
        <w:trPr>
          <w:trHeight w:val="1104"/>
        </w:trPr>
        <w:tc>
          <w:tcPr>
            <w:tcW w:w="2675" w:type="dxa"/>
          </w:tcPr>
          <w:p w14:paraId="57B713AE" w14:textId="77777777" w:rsidR="00A37B92" w:rsidRPr="00C56257" w:rsidRDefault="00A37B92" w:rsidP="00C902DF">
            <w:pPr>
              <w:widowControl w:val="0"/>
              <w:autoSpaceDE w:val="0"/>
              <w:autoSpaceDN w:val="0"/>
              <w:spacing w:before="3"/>
              <w:jc w:val="both"/>
              <w:rPr>
                <w:color w:val="000000" w:themeColor="text1"/>
              </w:rPr>
            </w:pPr>
          </w:p>
          <w:p w14:paraId="257AD999" w14:textId="77777777" w:rsidR="00A37B92" w:rsidRPr="00C56257" w:rsidRDefault="00A37B92" w:rsidP="00C902DF">
            <w:pPr>
              <w:widowControl w:val="0"/>
              <w:autoSpaceDE w:val="0"/>
              <w:autoSpaceDN w:val="0"/>
              <w:ind w:right="479"/>
              <w:jc w:val="both"/>
              <w:rPr>
                <w:color w:val="000000" w:themeColor="text1"/>
              </w:rPr>
            </w:pPr>
            <w:r w:rsidRPr="00C56257">
              <w:rPr>
                <w:color w:val="000000" w:themeColor="text1"/>
              </w:rPr>
              <w:t>Comunitate –</w:t>
            </w:r>
            <w:r w:rsidRPr="00C56257">
              <w:rPr>
                <w:color w:val="000000" w:themeColor="text1"/>
                <w:spacing w:val="-57"/>
              </w:rPr>
              <w:t xml:space="preserve"> </w:t>
            </w:r>
            <w:r w:rsidRPr="00C56257">
              <w:rPr>
                <w:color w:val="000000" w:themeColor="text1"/>
              </w:rPr>
              <w:t>ecosistem</w:t>
            </w:r>
          </w:p>
        </w:tc>
        <w:tc>
          <w:tcPr>
            <w:tcW w:w="7101" w:type="dxa"/>
          </w:tcPr>
          <w:p w14:paraId="74FA7ED2" w14:textId="77777777" w:rsidR="00CC696F" w:rsidRDefault="00A37B92" w:rsidP="009E63E5">
            <w:pPr>
              <w:widowControl w:val="0"/>
              <w:numPr>
                <w:ilvl w:val="0"/>
                <w:numId w:val="95"/>
              </w:numPr>
              <w:tabs>
                <w:tab w:val="left" w:pos="367"/>
              </w:tabs>
              <w:autoSpaceDE w:val="0"/>
              <w:autoSpaceDN w:val="0"/>
              <w:spacing w:line="268" w:lineRule="exact"/>
              <w:jc w:val="both"/>
              <w:rPr>
                <w:color w:val="000000" w:themeColor="text1"/>
              </w:rPr>
            </w:pPr>
            <w:r w:rsidRPr="00C56257">
              <w:rPr>
                <w:color w:val="000000" w:themeColor="text1"/>
              </w:rPr>
              <w:t>identificarea</w:t>
            </w:r>
            <w:r w:rsidRPr="00C56257">
              <w:rPr>
                <w:color w:val="000000" w:themeColor="text1"/>
                <w:spacing w:val="-3"/>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speciişi</w:t>
            </w:r>
            <w:r w:rsidRPr="00C56257">
              <w:rPr>
                <w:color w:val="000000" w:themeColor="text1"/>
                <w:spacing w:val="-2"/>
              </w:rPr>
              <w:t xml:space="preserve"> </w:t>
            </w:r>
            <w:r w:rsidRPr="00C56257">
              <w:rPr>
                <w:color w:val="000000" w:themeColor="text1"/>
              </w:rPr>
              <w:t>abundența</w:t>
            </w:r>
            <w:r w:rsidRPr="00C56257">
              <w:rPr>
                <w:color w:val="000000" w:themeColor="text1"/>
                <w:spacing w:val="-2"/>
              </w:rPr>
              <w:t xml:space="preserve"> </w:t>
            </w:r>
            <w:r w:rsidRPr="00C56257">
              <w:rPr>
                <w:color w:val="000000" w:themeColor="text1"/>
              </w:rPr>
              <w:t>relativă</w:t>
            </w:r>
          </w:p>
          <w:p w14:paraId="48E03FFD" w14:textId="77777777" w:rsidR="00A37B92" w:rsidRPr="00CC696F" w:rsidRDefault="00A37B92" w:rsidP="009E63E5">
            <w:pPr>
              <w:widowControl w:val="0"/>
              <w:numPr>
                <w:ilvl w:val="0"/>
                <w:numId w:val="95"/>
              </w:numPr>
              <w:tabs>
                <w:tab w:val="left" w:pos="367"/>
              </w:tabs>
              <w:autoSpaceDE w:val="0"/>
              <w:autoSpaceDN w:val="0"/>
              <w:spacing w:line="268" w:lineRule="exact"/>
              <w:jc w:val="both"/>
              <w:rPr>
                <w:color w:val="000000" w:themeColor="text1"/>
              </w:rPr>
            </w:pPr>
            <w:r w:rsidRPr="00CC696F">
              <w:rPr>
                <w:color w:val="000000" w:themeColor="text1"/>
              </w:rPr>
              <w:t>frecvență, abundență, diversitatea în specii a comunității, proporțiile</w:t>
            </w:r>
            <w:r w:rsidR="00CC696F">
              <w:rPr>
                <w:color w:val="000000" w:themeColor="text1"/>
              </w:rPr>
              <w:t xml:space="preserve"> </w:t>
            </w:r>
            <w:r w:rsidRPr="00CC696F">
              <w:rPr>
                <w:color w:val="000000" w:themeColor="text1"/>
                <w:spacing w:val="-58"/>
              </w:rPr>
              <w:t xml:space="preserve"> </w:t>
            </w:r>
            <w:r w:rsidRPr="00CC696F">
              <w:rPr>
                <w:color w:val="000000" w:themeColor="text1"/>
              </w:rPr>
              <w:t>de</w:t>
            </w:r>
            <w:r w:rsidRPr="00CC696F">
              <w:rPr>
                <w:color w:val="000000" w:themeColor="text1"/>
                <w:spacing w:val="-2"/>
              </w:rPr>
              <w:t xml:space="preserve"> </w:t>
            </w:r>
            <w:r w:rsidRPr="00CC696F">
              <w:rPr>
                <w:color w:val="000000" w:themeColor="text1"/>
              </w:rPr>
              <w:t>specii</w:t>
            </w:r>
            <w:r w:rsidRPr="00CC696F">
              <w:rPr>
                <w:color w:val="000000" w:themeColor="text1"/>
                <w:spacing w:val="-1"/>
              </w:rPr>
              <w:t xml:space="preserve"> </w:t>
            </w:r>
            <w:r w:rsidRPr="00CC696F">
              <w:rPr>
                <w:color w:val="000000" w:themeColor="text1"/>
              </w:rPr>
              <w:t>endemice</w:t>
            </w:r>
            <w:r w:rsidRPr="00CC696F">
              <w:rPr>
                <w:color w:val="000000" w:themeColor="text1"/>
                <w:spacing w:val="-1"/>
              </w:rPr>
              <w:t xml:space="preserve"> </w:t>
            </w:r>
            <w:r w:rsidRPr="00CC696F">
              <w:rPr>
                <w:color w:val="000000" w:themeColor="text1"/>
              </w:rPr>
              <w:t>amenințate</w:t>
            </w:r>
            <w:r w:rsidRPr="00CC696F">
              <w:rPr>
                <w:color w:val="000000" w:themeColor="text1"/>
                <w:spacing w:val="-1"/>
              </w:rPr>
              <w:t xml:space="preserve"> </w:t>
            </w:r>
            <w:r w:rsidRPr="00CC696F">
              <w:rPr>
                <w:color w:val="000000" w:themeColor="text1"/>
              </w:rPr>
              <w:t>şi</w:t>
            </w:r>
            <w:r w:rsidRPr="00CC696F">
              <w:rPr>
                <w:color w:val="000000" w:themeColor="text1"/>
                <w:spacing w:val="-2"/>
              </w:rPr>
              <w:t xml:space="preserve"> </w:t>
            </w:r>
            <w:r w:rsidRPr="00CC696F">
              <w:rPr>
                <w:color w:val="000000" w:themeColor="text1"/>
              </w:rPr>
              <w:t>specii pe</w:t>
            </w:r>
            <w:r w:rsidRPr="00CC696F">
              <w:rPr>
                <w:color w:val="000000" w:themeColor="text1"/>
                <w:spacing w:val="-2"/>
              </w:rPr>
              <w:t xml:space="preserve"> </w:t>
            </w:r>
            <w:r w:rsidRPr="00CC696F">
              <w:rPr>
                <w:color w:val="000000" w:themeColor="text1"/>
              </w:rPr>
              <w:t>cale</w:t>
            </w:r>
            <w:r w:rsidRPr="00CC696F">
              <w:rPr>
                <w:color w:val="000000" w:themeColor="text1"/>
                <w:spacing w:val="-1"/>
              </w:rPr>
              <w:t xml:space="preserve"> </w:t>
            </w:r>
            <w:r w:rsidRPr="00CC696F">
              <w:rPr>
                <w:color w:val="000000" w:themeColor="text1"/>
              </w:rPr>
              <w:t>de</w:t>
            </w:r>
            <w:r w:rsidRPr="00CC696F">
              <w:rPr>
                <w:color w:val="000000" w:themeColor="text1"/>
                <w:spacing w:val="1"/>
              </w:rPr>
              <w:t xml:space="preserve"> </w:t>
            </w:r>
            <w:r w:rsidRPr="00CC696F">
              <w:rPr>
                <w:color w:val="000000" w:themeColor="text1"/>
              </w:rPr>
              <w:t>dispariție</w:t>
            </w:r>
          </w:p>
          <w:p w14:paraId="5E03B6EF" w14:textId="77777777" w:rsidR="00A37B92" w:rsidRPr="00C56257" w:rsidRDefault="00A37B92" w:rsidP="009E63E5">
            <w:pPr>
              <w:widowControl w:val="0"/>
              <w:numPr>
                <w:ilvl w:val="0"/>
                <w:numId w:val="95"/>
              </w:numPr>
              <w:tabs>
                <w:tab w:val="left" w:pos="367"/>
              </w:tabs>
              <w:autoSpaceDE w:val="0"/>
              <w:autoSpaceDN w:val="0"/>
              <w:spacing w:line="264" w:lineRule="exact"/>
              <w:jc w:val="both"/>
              <w:rPr>
                <w:color w:val="000000" w:themeColor="text1"/>
              </w:rPr>
            </w:pPr>
            <w:r w:rsidRPr="00C56257">
              <w:rPr>
                <w:color w:val="000000" w:themeColor="text1"/>
              </w:rPr>
              <w:t>dominanța</w:t>
            </w:r>
            <w:r w:rsidRPr="00C56257">
              <w:rPr>
                <w:color w:val="000000" w:themeColor="text1"/>
                <w:spacing w:val="-3"/>
              </w:rPr>
              <w:t xml:space="preserve"> </w:t>
            </w:r>
            <w:r w:rsidRPr="00C56257">
              <w:rPr>
                <w:color w:val="000000" w:themeColor="text1"/>
              </w:rPr>
              <w:t>–</w:t>
            </w:r>
            <w:r w:rsidRPr="00C56257">
              <w:rPr>
                <w:color w:val="000000" w:themeColor="text1"/>
                <w:spacing w:val="-2"/>
              </w:rPr>
              <w:t xml:space="preserve"> </w:t>
            </w:r>
            <w:r w:rsidRPr="00C56257">
              <w:rPr>
                <w:color w:val="000000" w:themeColor="text1"/>
              </w:rPr>
              <w:t>diversitate,</w:t>
            </w:r>
            <w:r w:rsidRPr="00C56257">
              <w:rPr>
                <w:color w:val="000000" w:themeColor="text1"/>
                <w:spacing w:val="-1"/>
              </w:rPr>
              <w:t xml:space="preserve"> </w:t>
            </w:r>
            <w:r w:rsidRPr="00C56257">
              <w:rPr>
                <w:color w:val="000000" w:themeColor="text1"/>
              </w:rPr>
              <w:t>proporții</w:t>
            </w:r>
          </w:p>
        </w:tc>
      </w:tr>
      <w:tr w:rsidR="00A37B92" w:rsidRPr="00C56257" w14:paraId="41FAC88C" w14:textId="77777777" w:rsidTr="00175369">
        <w:trPr>
          <w:trHeight w:val="554"/>
        </w:trPr>
        <w:tc>
          <w:tcPr>
            <w:tcW w:w="2675" w:type="dxa"/>
          </w:tcPr>
          <w:p w14:paraId="0D779203" w14:textId="77777777" w:rsidR="00A37B92" w:rsidRPr="00C56257" w:rsidRDefault="00A37B92" w:rsidP="00C902DF">
            <w:pPr>
              <w:widowControl w:val="0"/>
              <w:autoSpaceDE w:val="0"/>
              <w:autoSpaceDN w:val="0"/>
              <w:spacing w:before="131"/>
              <w:jc w:val="both"/>
              <w:rPr>
                <w:color w:val="000000" w:themeColor="text1"/>
              </w:rPr>
            </w:pPr>
            <w:r w:rsidRPr="00C56257">
              <w:rPr>
                <w:color w:val="000000" w:themeColor="text1"/>
              </w:rPr>
              <w:t>Populație</w:t>
            </w:r>
            <w:r w:rsidRPr="00C56257">
              <w:rPr>
                <w:color w:val="000000" w:themeColor="text1"/>
                <w:spacing w:val="-2"/>
              </w:rPr>
              <w:t xml:space="preserve"> </w:t>
            </w:r>
            <w:r w:rsidRPr="00C56257">
              <w:rPr>
                <w:color w:val="000000" w:themeColor="text1"/>
              </w:rPr>
              <w:t>-</w:t>
            </w:r>
            <w:r w:rsidRPr="00C56257">
              <w:rPr>
                <w:color w:val="000000" w:themeColor="text1"/>
                <w:spacing w:val="-2"/>
              </w:rPr>
              <w:t xml:space="preserve"> </w:t>
            </w:r>
            <w:r w:rsidRPr="00C56257">
              <w:rPr>
                <w:color w:val="000000" w:themeColor="text1"/>
              </w:rPr>
              <w:t>specii</w:t>
            </w:r>
          </w:p>
        </w:tc>
        <w:tc>
          <w:tcPr>
            <w:tcW w:w="7101" w:type="dxa"/>
          </w:tcPr>
          <w:p w14:paraId="3F292926" w14:textId="77777777" w:rsidR="00A37B92" w:rsidRPr="00C56257" w:rsidRDefault="00A37B92" w:rsidP="009E63E5">
            <w:pPr>
              <w:widowControl w:val="0"/>
              <w:numPr>
                <w:ilvl w:val="0"/>
                <w:numId w:val="94"/>
              </w:numPr>
              <w:tabs>
                <w:tab w:val="left" w:pos="535"/>
              </w:tabs>
              <w:autoSpaceDE w:val="0"/>
              <w:autoSpaceDN w:val="0"/>
              <w:spacing w:line="268" w:lineRule="exact"/>
              <w:jc w:val="both"/>
              <w:rPr>
                <w:color w:val="000000" w:themeColor="text1"/>
              </w:rPr>
            </w:pPr>
            <w:r w:rsidRPr="00C56257">
              <w:rPr>
                <w:color w:val="000000" w:themeColor="text1"/>
              </w:rPr>
              <w:t>abundența</w:t>
            </w:r>
            <w:r w:rsidRPr="00C56257">
              <w:rPr>
                <w:color w:val="000000" w:themeColor="text1"/>
                <w:spacing w:val="-1"/>
              </w:rPr>
              <w:t xml:space="preserve"> </w:t>
            </w:r>
            <w:r w:rsidRPr="00C56257">
              <w:rPr>
                <w:color w:val="000000" w:themeColor="text1"/>
              </w:rPr>
              <w:t>relativă</w:t>
            </w:r>
            <w:r w:rsidRPr="00C56257">
              <w:rPr>
                <w:color w:val="000000" w:themeColor="text1"/>
                <w:spacing w:val="-2"/>
              </w:rPr>
              <w:t xml:space="preserve"> </w:t>
            </w:r>
            <w:r w:rsidRPr="00C56257">
              <w:rPr>
                <w:color w:val="000000" w:themeColor="text1"/>
              </w:rPr>
              <w:t>şi</w:t>
            </w:r>
            <w:r w:rsidRPr="00C56257">
              <w:rPr>
                <w:color w:val="000000" w:themeColor="text1"/>
                <w:spacing w:val="-3"/>
              </w:rPr>
              <w:t xml:space="preserve"> </w:t>
            </w:r>
            <w:r w:rsidRPr="00C56257">
              <w:rPr>
                <w:color w:val="000000" w:themeColor="text1"/>
              </w:rPr>
              <w:t>absolută</w:t>
            </w:r>
          </w:p>
          <w:p w14:paraId="291C6927" w14:textId="77777777" w:rsidR="00A37B92" w:rsidRPr="00C56257" w:rsidRDefault="00A37B92" w:rsidP="009E63E5">
            <w:pPr>
              <w:widowControl w:val="0"/>
              <w:numPr>
                <w:ilvl w:val="0"/>
                <w:numId w:val="94"/>
              </w:numPr>
              <w:tabs>
                <w:tab w:val="left" w:pos="535"/>
              </w:tabs>
              <w:autoSpaceDE w:val="0"/>
              <w:autoSpaceDN w:val="0"/>
              <w:spacing w:line="266" w:lineRule="exact"/>
              <w:jc w:val="both"/>
              <w:rPr>
                <w:color w:val="000000" w:themeColor="text1"/>
              </w:rPr>
            </w:pPr>
            <w:r w:rsidRPr="00C56257">
              <w:rPr>
                <w:color w:val="000000" w:themeColor="text1"/>
              </w:rPr>
              <w:t>densitate</w:t>
            </w:r>
          </w:p>
        </w:tc>
      </w:tr>
    </w:tbl>
    <w:p w14:paraId="4CEC725C" w14:textId="77777777" w:rsidR="00A37B92" w:rsidRPr="00C56257" w:rsidRDefault="00A37B92" w:rsidP="00A37B92">
      <w:pPr>
        <w:widowControl w:val="0"/>
        <w:autoSpaceDE w:val="0"/>
        <w:autoSpaceDN w:val="0"/>
        <w:jc w:val="both"/>
        <w:rPr>
          <w:color w:val="000000" w:themeColor="text1"/>
        </w:rPr>
      </w:pPr>
    </w:p>
    <w:p w14:paraId="25EC028C" w14:textId="77777777" w:rsidR="00A37B92" w:rsidRPr="00C56257" w:rsidRDefault="00A37B92" w:rsidP="00A37B92">
      <w:pPr>
        <w:widowControl w:val="0"/>
        <w:autoSpaceDE w:val="0"/>
        <w:autoSpaceDN w:val="0"/>
        <w:spacing w:before="11"/>
        <w:jc w:val="both"/>
        <w:rPr>
          <w:color w:val="000000" w:themeColor="text1"/>
        </w:rPr>
      </w:pPr>
    </w:p>
    <w:p w14:paraId="6A2A8781" w14:textId="77777777" w:rsidR="00A37B92" w:rsidRPr="00C56257" w:rsidRDefault="00A37B92" w:rsidP="00F100E1">
      <w:pPr>
        <w:widowControl w:val="0"/>
        <w:tabs>
          <w:tab w:val="left" w:pos="1115"/>
        </w:tabs>
        <w:autoSpaceDE w:val="0"/>
        <w:autoSpaceDN w:val="0"/>
        <w:jc w:val="both"/>
        <w:outlineLvl w:val="1"/>
        <w:rPr>
          <w:rFonts w:eastAsia="Cambria"/>
          <w:b/>
          <w:bCs/>
          <w:color w:val="000000" w:themeColor="text1"/>
        </w:rPr>
      </w:pPr>
      <w:r w:rsidRPr="00C56257">
        <w:rPr>
          <w:rFonts w:eastAsia="Cambria"/>
          <w:b/>
          <w:bCs/>
          <w:color w:val="000000" w:themeColor="text1"/>
        </w:rPr>
        <w:t>Metoda</w:t>
      </w:r>
      <w:r w:rsidRPr="00C56257">
        <w:rPr>
          <w:rFonts w:eastAsia="Cambria"/>
          <w:b/>
          <w:bCs/>
          <w:color w:val="000000" w:themeColor="text1"/>
          <w:spacing w:val="-4"/>
        </w:rPr>
        <w:t xml:space="preserve"> </w:t>
      </w:r>
      <w:r w:rsidRPr="00C56257">
        <w:rPr>
          <w:rFonts w:eastAsia="Cambria"/>
          <w:b/>
          <w:bCs/>
          <w:color w:val="000000" w:themeColor="text1"/>
        </w:rPr>
        <w:t>de</w:t>
      </w:r>
      <w:r w:rsidRPr="00C56257">
        <w:rPr>
          <w:rFonts w:eastAsia="Cambria"/>
          <w:b/>
          <w:bCs/>
          <w:color w:val="000000" w:themeColor="text1"/>
          <w:spacing w:val="-4"/>
        </w:rPr>
        <w:t xml:space="preserve"> </w:t>
      </w:r>
      <w:r w:rsidRPr="00C56257">
        <w:rPr>
          <w:rFonts w:eastAsia="Cambria"/>
          <w:b/>
          <w:bCs/>
          <w:color w:val="000000" w:themeColor="text1"/>
        </w:rPr>
        <w:t>evaluare</w:t>
      </w:r>
      <w:r w:rsidRPr="00C56257">
        <w:rPr>
          <w:rFonts w:eastAsia="Cambria"/>
          <w:b/>
          <w:bCs/>
          <w:color w:val="000000" w:themeColor="text1"/>
          <w:spacing w:val="-4"/>
        </w:rPr>
        <w:t xml:space="preserve"> </w:t>
      </w:r>
      <w:r w:rsidRPr="00C56257">
        <w:rPr>
          <w:rFonts w:eastAsia="Cambria"/>
          <w:b/>
          <w:bCs/>
          <w:color w:val="000000" w:themeColor="text1"/>
        </w:rPr>
        <w:t>pe</w:t>
      </w:r>
      <w:r w:rsidRPr="00C56257">
        <w:rPr>
          <w:rFonts w:eastAsia="Cambria"/>
          <w:b/>
          <w:bCs/>
          <w:color w:val="000000" w:themeColor="text1"/>
          <w:spacing w:val="-3"/>
        </w:rPr>
        <w:t xml:space="preserve"> </w:t>
      </w:r>
      <w:r w:rsidRPr="00C56257">
        <w:rPr>
          <w:rFonts w:eastAsia="Cambria"/>
          <w:b/>
          <w:bCs/>
          <w:color w:val="000000" w:themeColor="text1"/>
        </w:rPr>
        <w:t>plot</w:t>
      </w:r>
      <w:r w:rsidRPr="00C56257">
        <w:rPr>
          <w:rFonts w:eastAsia="Cambria"/>
          <w:b/>
          <w:bCs/>
          <w:color w:val="000000" w:themeColor="text1"/>
          <w:spacing w:val="-2"/>
        </w:rPr>
        <w:t xml:space="preserve"> </w:t>
      </w:r>
      <w:r w:rsidRPr="00C56257">
        <w:rPr>
          <w:rFonts w:eastAsia="Cambria"/>
          <w:b/>
          <w:bCs/>
          <w:color w:val="000000" w:themeColor="text1"/>
        </w:rPr>
        <w:t>de</w:t>
      </w:r>
      <w:r w:rsidRPr="00C56257">
        <w:rPr>
          <w:rFonts w:eastAsia="Cambria"/>
          <w:b/>
          <w:bCs/>
          <w:color w:val="000000" w:themeColor="text1"/>
          <w:spacing w:val="-4"/>
        </w:rPr>
        <w:t xml:space="preserve"> </w:t>
      </w:r>
      <w:r w:rsidRPr="00C56257">
        <w:rPr>
          <w:rFonts w:eastAsia="Cambria"/>
          <w:b/>
          <w:bCs/>
          <w:color w:val="000000" w:themeColor="text1"/>
        </w:rPr>
        <w:t>monitorizare</w:t>
      </w:r>
    </w:p>
    <w:p w14:paraId="7C9D471C" w14:textId="77777777" w:rsidR="00A37B92" w:rsidRPr="00C56257" w:rsidRDefault="00A37B92" w:rsidP="00A37B92">
      <w:pPr>
        <w:widowControl w:val="0"/>
        <w:autoSpaceDE w:val="0"/>
        <w:autoSpaceDN w:val="0"/>
        <w:spacing w:before="159" w:line="276" w:lineRule="auto"/>
        <w:ind w:right="248"/>
        <w:jc w:val="both"/>
        <w:rPr>
          <w:color w:val="000000" w:themeColor="text1"/>
        </w:rPr>
      </w:pPr>
      <w:r w:rsidRPr="00C56257">
        <w:rPr>
          <w:noProof/>
          <w:color w:val="000000" w:themeColor="text1"/>
          <w:lang w:val="en-US"/>
        </w:rPr>
        <w:lastRenderedPageBreak/>
        <w:drawing>
          <wp:anchor distT="0" distB="0" distL="0" distR="0" simplePos="0" relativeHeight="251660288" behindDoc="0" locked="0" layoutInCell="1" allowOverlap="1" wp14:anchorId="6A9D2FBA" wp14:editId="2B3CE031">
            <wp:simplePos x="0" y="0"/>
            <wp:positionH relativeFrom="page">
              <wp:posOffset>1234389</wp:posOffset>
            </wp:positionH>
            <wp:positionV relativeFrom="paragraph">
              <wp:posOffset>1390562</wp:posOffset>
            </wp:positionV>
            <wp:extent cx="5101035" cy="3649789"/>
            <wp:effectExtent l="0" t="0" r="0" b="0"/>
            <wp:wrapTopAndBottom/>
            <wp:docPr id="536"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4.jpeg"/>
                    <pic:cNvPicPr/>
                  </pic:nvPicPr>
                  <pic:blipFill>
                    <a:blip r:embed="rId55" cstate="print"/>
                    <a:stretch>
                      <a:fillRect/>
                    </a:stretch>
                  </pic:blipFill>
                  <pic:spPr>
                    <a:xfrm>
                      <a:off x="0" y="0"/>
                      <a:ext cx="5101035" cy="3649789"/>
                    </a:xfrm>
                    <a:prstGeom prst="rect">
                      <a:avLst/>
                    </a:prstGeom>
                  </pic:spPr>
                </pic:pic>
              </a:graphicData>
            </a:graphic>
          </wp:anchor>
        </w:drawing>
      </w:r>
      <w:r w:rsidRPr="00C56257">
        <w:rPr>
          <w:color w:val="000000" w:themeColor="text1"/>
        </w:rPr>
        <w:t>Hărțile de distribuție și ale arealului fiecărui tip de habitat se vor realiza în formatul standard 10x10</w:t>
      </w:r>
      <w:r w:rsidRPr="00C56257">
        <w:rPr>
          <w:color w:val="000000" w:themeColor="text1"/>
          <w:spacing w:val="1"/>
        </w:rPr>
        <w:t xml:space="preserve"> </w:t>
      </w:r>
      <w:r w:rsidRPr="00C56257">
        <w:rPr>
          <w:color w:val="000000" w:themeColor="text1"/>
        </w:rPr>
        <w:t>km ETRS, proiecţie ETRS 5210. Conform instrucțiunilor CE nu este permisa utilizarea de date</w:t>
      </w:r>
      <w:r w:rsidRPr="00C56257">
        <w:rPr>
          <w:color w:val="000000" w:themeColor="text1"/>
          <w:spacing w:val="1"/>
        </w:rPr>
        <w:t xml:space="preserve"> </w:t>
      </w:r>
      <w:r w:rsidRPr="00C56257">
        <w:rPr>
          <w:color w:val="000000" w:themeColor="text1"/>
        </w:rPr>
        <w:t>atribut pentru indicarea prezenței unui habitat într-o celula din grid. Hărțile de distribuție vor fi</w:t>
      </w:r>
      <w:r w:rsidRPr="00C56257">
        <w:rPr>
          <w:color w:val="000000" w:themeColor="text1"/>
          <w:spacing w:val="1"/>
        </w:rPr>
        <w:t xml:space="preserve"> </w:t>
      </w:r>
      <w:r w:rsidRPr="00C56257">
        <w:rPr>
          <w:color w:val="000000" w:themeColor="text1"/>
        </w:rPr>
        <w:t>completate cu metadatele necesare, conform cu cerințele CE, și în concordanță cu specificațiile</w:t>
      </w:r>
      <w:r w:rsidRPr="00C56257">
        <w:rPr>
          <w:color w:val="000000" w:themeColor="text1"/>
          <w:spacing w:val="1"/>
        </w:rPr>
        <w:t xml:space="preserve"> </w:t>
      </w:r>
      <w:r w:rsidRPr="00C56257">
        <w:rPr>
          <w:color w:val="000000" w:themeColor="text1"/>
        </w:rPr>
        <w:t>INSPIRE, atunci când acestea vor fi disponibile pentru aceste tipuri de date. Metadatele vor conține</w:t>
      </w:r>
      <w:r w:rsidRPr="00C56257">
        <w:rPr>
          <w:color w:val="000000" w:themeColor="text1"/>
          <w:spacing w:val="1"/>
        </w:rPr>
        <w:t xml:space="preserve"> </w:t>
      </w:r>
      <w:r w:rsidRPr="00C56257">
        <w:rPr>
          <w:color w:val="000000" w:themeColor="text1"/>
        </w:rPr>
        <w:t>între</w:t>
      </w:r>
      <w:r w:rsidRPr="00C56257">
        <w:rPr>
          <w:color w:val="000000" w:themeColor="text1"/>
          <w:spacing w:val="-3"/>
        </w:rPr>
        <w:t xml:space="preserve"> </w:t>
      </w:r>
      <w:r w:rsidRPr="00C56257">
        <w:rPr>
          <w:color w:val="000000" w:themeColor="text1"/>
        </w:rPr>
        <w:t>altele perioada</w:t>
      </w:r>
      <w:r w:rsidRPr="00C56257">
        <w:rPr>
          <w:color w:val="000000" w:themeColor="text1"/>
          <w:spacing w:val="-2"/>
        </w:rPr>
        <w:t xml:space="preserve"> </w:t>
      </w:r>
      <w:r w:rsidRPr="00C56257">
        <w:rPr>
          <w:color w:val="000000" w:themeColor="text1"/>
        </w:rPr>
        <w:t>în care</w:t>
      </w:r>
      <w:r w:rsidRPr="00C56257">
        <w:rPr>
          <w:color w:val="000000" w:themeColor="text1"/>
          <w:spacing w:val="-2"/>
        </w:rPr>
        <w:t xml:space="preserve"> </w:t>
      </w:r>
      <w:r w:rsidRPr="00C56257">
        <w:rPr>
          <w:color w:val="000000" w:themeColor="text1"/>
        </w:rPr>
        <w:t>au</w:t>
      </w:r>
      <w:r w:rsidRPr="00C56257">
        <w:rPr>
          <w:color w:val="000000" w:themeColor="text1"/>
          <w:spacing w:val="-1"/>
        </w:rPr>
        <w:t xml:space="preserve"> </w:t>
      </w:r>
      <w:r w:rsidRPr="00C56257">
        <w:rPr>
          <w:color w:val="000000" w:themeColor="text1"/>
        </w:rPr>
        <w:t>fost culese</w:t>
      </w:r>
      <w:r w:rsidRPr="00C56257">
        <w:rPr>
          <w:color w:val="000000" w:themeColor="text1"/>
          <w:spacing w:val="-2"/>
        </w:rPr>
        <w:t xml:space="preserve"> </w:t>
      </w:r>
      <w:r w:rsidRPr="00C56257">
        <w:rPr>
          <w:color w:val="000000" w:themeColor="text1"/>
        </w:rPr>
        <w:t>datele de</w:t>
      </w:r>
      <w:r w:rsidRPr="00C56257">
        <w:rPr>
          <w:color w:val="000000" w:themeColor="text1"/>
          <w:spacing w:val="-1"/>
        </w:rPr>
        <w:t xml:space="preserve"> </w:t>
      </w:r>
      <w:r w:rsidRPr="00C56257">
        <w:rPr>
          <w:color w:val="000000" w:themeColor="text1"/>
        </w:rPr>
        <w:t>distribuție,</w:t>
      </w:r>
      <w:r w:rsidRPr="00C56257">
        <w:rPr>
          <w:color w:val="000000" w:themeColor="text1"/>
          <w:spacing w:val="-1"/>
        </w:rPr>
        <w:t xml:space="preserve"> </w:t>
      </w:r>
      <w:r w:rsidRPr="00C56257">
        <w:rPr>
          <w:color w:val="000000" w:themeColor="text1"/>
        </w:rPr>
        <w:t>sistemul de</w:t>
      </w:r>
      <w:r w:rsidRPr="00C56257">
        <w:rPr>
          <w:color w:val="000000" w:themeColor="text1"/>
          <w:spacing w:val="-1"/>
        </w:rPr>
        <w:t xml:space="preserve"> </w:t>
      </w:r>
      <w:r w:rsidRPr="00C56257">
        <w:rPr>
          <w:color w:val="000000" w:themeColor="text1"/>
        </w:rPr>
        <w:t>proiecție,</w:t>
      </w:r>
      <w:r w:rsidRPr="00C56257">
        <w:rPr>
          <w:color w:val="000000" w:themeColor="text1"/>
          <w:spacing w:val="-1"/>
        </w:rPr>
        <w:t xml:space="preserve"> </w:t>
      </w:r>
      <w:r w:rsidRPr="00C56257">
        <w:rPr>
          <w:color w:val="000000" w:themeColor="text1"/>
        </w:rPr>
        <w:t>data,</w:t>
      </w:r>
      <w:r w:rsidRPr="00C56257">
        <w:rPr>
          <w:color w:val="000000" w:themeColor="text1"/>
          <w:spacing w:val="2"/>
        </w:rPr>
        <w:t xml:space="preserve"> </w:t>
      </w:r>
      <w:r w:rsidRPr="00C56257">
        <w:rPr>
          <w:color w:val="000000" w:themeColor="text1"/>
        </w:rPr>
        <w:t>etc.</w:t>
      </w:r>
    </w:p>
    <w:p w14:paraId="38BE08EA" w14:textId="77777777" w:rsidR="00A37B92" w:rsidRPr="00C56257" w:rsidRDefault="00A37B92" w:rsidP="00A37B92">
      <w:pPr>
        <w:widowControl w:val="0"/>
        <w:autoSpaceDE w:val="0"/>
        <w:autoSpaceDN w:val="0"/>
        <w:spacing w:before="5"/>
        <w:jc w:val="both"/>
        <w:rPr>
          <w:color w:val="000000" w:themeColor="text1"/>
        </w:rPr>
      </w:pPr>
    </w:p>
    <w:p w14:paraId="6D68C9B4" w14:textId="77777777" w:rsidR="00A37B92" w:rsidRPr="00C56257" w:rsidRDefault="00A37B92" w:rsidP="00F100E1">
      <w:pPr>
        <w:widowControl w:val="0"/>
        <w:tabs>
          <w:tab w:val="left" w:pos="1115"/>
        </w:tabs>
        <w:autoSpaceDE w:val="0"/>
        <w:autoSpaceDN w:val="0"/>
        <w:jc w:val="both"/>
        <w:outlineLvl w:val="1"/>
        <w:rPr>
          <w:rFonts w:eastAsia="Cambria"/>
          <w:b/>
          <w:bCs/>
          <w:color w:val="000000" w:themeColor="text1"/>
        </w:rPr>
      </w:pPr>
      <w:r w:rsidRPr="00C56257">
        <w:rPr>
          <w:rFonts w:eastAsia="Cambria"/>
          <w:b/>
          <w:bCs/>
          <w:color w:val="000000" w:themeColor="text1"/>
        </w:rPr>
        <w:t>Agregarea</w:t>
      </w:r>
      <w:r w:rsidRPr="00C56257">
        <w:rPr>
          <w:rFonts w:eastAsia="Cambria"/>
          <w:b/>
          <w:bCs/>
          <w:color w:val="000000" w:themeColor="text1"/>
          <w:spacing w:val="-4"/>
        </w:rPr>
        <w:t xml:space="preserve"> </w:t>
      </w:r>
      <w:r w:rsidRPr="00C56257">
        <w:rPr>
          <w:rFonts w:eastAsia="Cambria"/>
          <w:b/>
          <w:bCs/>
          <w:color w:val="000000" w:themeColor="text1"/>
        </w:rPr>
        <w:t>informației</w:t>
      </w:r>
      <w:r w:rsidRPr="00C56257">
        <w:rPr>
          <w:rFonts w:eastAsia="Cambria"/>
          <w:b/>
          <w:bCs/>
          <w:color w:val="000000" w:themeColor="text1"/>
          <w:spacing w:val="-5"/>
        </w:rPr>
        <w:t xml:space="preserve"> </w:t>
      </w:r>
      <w:r w:rsidRPr="00C56257">
        <w:rPr>
          <w:rFonts w:eastAsia="Cambria"/>
          <w:b/>
          <w:bCs/>
          <w:color w:val="000000" w:themeColor="text1"/>
        </w:rPr>
        <w:t>pe</w:t>
      </w:r>
      <w:r w:rsidRPr="00C56257">
        <w:rPr>
          <w:rFonts w:eastAsia="Cambria"/>
          <w:b/>
          <w:bCs/>
          <w:color w:val="000000" w:themeColor="text1"/>
          <w:spacing w:val="-5"/>
        </w:rPr>
        <w:t xml:space="preserve"> </w:t>
      </w:r>
      <w:r w:rsidRPr="00C56257">
        <w:rPr>
          <w:rFonts w:eastAsia="Cambria"/>
          <w:b/>
          <w:bCs/>
          <w:color w:val="000000" w:themeColor="text1"/>
        </w:rPr>
        <w:t>plot</w:t>
      </w:r>
      <w:r w:rsidRPr="00C56257">
        <w:rPr>
          <w:rFonts w:eastAsia="Cambria"/>
          <w:b/>
          <w:bCs/>
          <w:color w:val="000000" w:themeColor="text1"/>
          <w:spacing w:val="-4"/>
        </w:rPr>
        <w:t xml:space="preserve"> </w:t>
      </w:r>
      <w:r w:rsidRPr="00C56257">
        <w:rPr>
          <w:rFonts w:eastAsia="Cambria"/>
          <w:b/>
          <w:bCs/>
          <w:color w:val="000000" w:themeColor="text1"/>
        </w:rPr>
        <w:t>de</w:t>
      </w:r>
      <w:r w:rsidRPr="00C56257">
        <w:rPr>
          <w:rFonts w:eastAsia="Cambria"/>
          <w:b/>
          <w:bCs/>
          <w:color w:val="000000" w:themeColor="text1"/>
          <w:spacing w:val="-4"/>
        </w:rPr>
        <w:t xml:space="preserve"> </w:t>
      </w:r>
      <w:r w:rsidRPr="00C56257">
        <w:rPr>
          <w:rFonts w:eastAsia="Cambria"/>
          <w:b/>
          <w:bCs/>
          <w:color w:val="000000" w:themeColor="text1"/>
        </w:rPr>
        <w:t>monitorizare</w:t>
      </w:r>
    </w:p>
    <w:p w14:paraId="680EF048" w14:textId="77777777" w:rsidR="00A37B92" w:rsidRPr="00C56257" w:rsidRDefault="00A37B92" w:rsidP="00A37B92">
      <w:pPr>
        <w:widowControl w:val="0"/>
        <w:autoSpaceDE w:val="0"/>
        <w:autoSpaceDN w:val="0"/>
        <w:spacing w:before="157"/>
        <w:jc w:val="both"/>
        <w:rPr>
          <w:color w:val="000000" w:themeColor="text1"/>
        </w:rPr>
      </w:pPr>
      <w:r w:rsidRPr="00C56257">
        <w:rPr>
          <w:color w:val="000000" w:themeColor="text1"/>
        </w:rPr>
        <w:t>Modul</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agregare a</w:t>
      </w:r>
      <w:r w:rsidRPr="00C56257">
        <w:rPr>
          <w:color w:val="000000" w:themeColor="text1"/>
          <w:spacing w:val="-1"/>
        </w:rPr>
        <w:t xml:space="preserve"> </w:t>
      </w:r>
      <w:r w:rsidRPr="00C56257">
        <w:rPr>
          <w:color w:val="000000" w:themeColor="text1"/>
        </w:rPr>
        <w:t>datelor</w:t>
      </w:r>
      <w:r w:rsidRPr="00C56257">
        <w:rPr>
          <w:color w:val="000000" w:themeColor="text1"/>
          <w:spacing w:val="-1"/>
        </w:rPr>
        <w:t xml:space="preserve"> </w:t>
      </w:r>
      <w:r w:rsidRPr="00C56257">
        <w:rPr>
          <w:color w:val="000000" w:themeColor="text1"/>
        </w:rPr>
        <w:t>se</w:t>
      </w:r>
      <w:r w:rsidRPr="00C56257">
        <w:rPr>
          <w:color w:val="000000" w:themeColor="text1"/>
          <w:spacing w:val="-1"/>
        </w:rPr>
        <w:t xml:space="preserve"> </w:t>
      </w:r>
      <w:r w:rsidRPr="00C56257">
        <w:rPr>
          <w:color w:val="000000" w:themeColor="text1"/>
        </w:rPr>
        <w:t>face</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două</w:t>
      </w:r>
      <w:r w:rsidRPr="00C56257">
        <w:rPr>
          <w:color w:val="000000" w:themeColor="text1"/>
          <w:spacing w:val="-1"/>
        </w:rPr>
        <w:t xml:space="preserve"> </w:t>
      </w:r>
      <w:r w:rsidRPr="00C56257">
        <w:rPr>
          <w:color w:val="000000" w:themeColor="text1"/>
        </w:rPr>
        <w:t>etape:</w:t>
      </w:r>
    </w:p>
    <w:p w14:paraId="2024D798" w14:textId="77777777" w:rsidR="00A37B92" w:rsidRPr="00C56257" w:rsidRDefault="00A37B92" w:rsidP="009E63E5">
      <w:pPr>
        <w:widowControl w:val="0"/>
        <w:numPr>
          <w:ilvl w:val="0"/>
          <w:numId w:val="93"/>
        </w:numPr>
        <w:tabs>
          <w:tab w:val="left" w:pos="713"/>
          <w:tab w:val="left" w:pos="714"/>
        </w:tabs>
        <w:autoSpaceDE w:val="0"/>
        <w:autoSpaceDN w:val="0"/>
        <w:spacing w:before="12" w:line="228" w:lineRule="auto"/>
        <w:ind w:right="252"/>
        <w:jc w:val="both"/>
        <w:rPr>
          <w:color w:val="000000" w:themeColor="text1"/>
        </w:rPr>
      </w:pPr>
      <w:r w:rsidRPr="00C56257">
        <w:rPr>
          <w:color w:val="000000" w:themeColor="text1"/>
        </w:rPr>
        <w:t>Agregarea</w:t>
      </w:r>
      <w:r w:rsidRPr="00C56257">
        <w:rPr>
          <w:color w:val="000000" w:themeColor="text1"/>
          <w:spacing w:val="14"/>
        </w:rPr>
        <w:t xml:space="preserve"> </w:t>
      </w:r>
      <w:r w:rsidRPr="00C56257">
        <w:rPr>
          <w:color w:val="000000" w:themeColor="text1"/>
        </w:rPr>
        <w:t>spațială,</w:t>
      </w:r>
      <w:r w:rsidRPr="00C56257">
        <w:rPr>
          <w:color w:val="000000" w:themeColor="text1"/>
          <w:spacing w:val="15"/>
        </w:rPr>
        <w:t xml:space="preserve"> </w:t>
      </w:r>
      <w:r w:rsidRPr="00C56257">
        <w:rPr>
          <w:color w:val="000000" w:themeColor="text1"/>
        </w:rPr>
        <w:t>respectiv</w:t>
      </w:r>
      <w:r w:rsidRPr="00C56257">
        <w:rPr>
          <w:color w:val="000000" w:themeColor="text1"/>
          <w:spacing w:val="17"/>
        </w:rPr>
        <w:t xml:space="preserve"> </w:t>
      </w:r>
      <w:r w:rsidRPr="00C56257">
        <w:rPr>
          <w:color w:val="000000" w:themeColor="text1"/>
        </w:rPr>
        <w:t>generarea</w:t>
      </w:r>
      <w:r w:rsidRPr="00C56257">
        <w:rPr>
          <w:color w:val="000000" w:themeColor="text1"/>
          <w:spacing w:val="14"/>
        </w:rPr>
        <w:t xml:space="preserve"> </w:t>
      </w:r>
      <w:r w:rsidRPr="00C56257">
        <w:rPr>
          <w:color w:val="000000" w:themeColor="text1"/>
        </w:rPr>
        <w:t>hărților</w:t>
      </w:r>
      <w:r w:rsidRPr="00C56257">
        <w:rPr>
          <w:color w:val="000000" w:themeColor="text1"/>
          <w:spacing w:val="15"/>
        </w:rPr>
        <w:t xml:space="preserve"> </w:t>
      </w:r>
      <w:r w:rsidRPr="00C56257">
        <w:rPr>
          <w:color w:val="000000" w:themeColor="text1"/>
        </w:rPr>
        <w:t>în</w:t>
      </w:r>
      <w:r w:rsidRPr="00C56257">
        <w:rPr>
          <w:color w:val="000000" w:themeColor="text1"/>
          <w:spacing w:val="15"/>
        </w:rPr>
        <w:t xml:space="preserve"> </w:t>
      </w:r>
      <w:r w:rsidRPr="00C56257">
        <w:rPr>
          <w:color w:val="000000" w:themeColor="text1"/>
        </w:rPr>
        <w:t>conformitate</w:t>
      </w:r>
      <w:r w:rsidRPr="00C56257">
        <w:rPr>
          <w:color w:val="000000" w:themeColor="text1"/>
          <w:spacing w:val="14"/>
        </w:rPr>
        <w:t xml:space="preserve"> </w:t>
      </w:r>
      <w:r w:rsidRPr="00C56257">
        <w:rPr>
          <w:color w:val="000000" w:themeColor="text1"/>
        </w:rPr>
        <w:t>cu</w:t>
      </w:r>
      <w:r w:rsidRPr="00C56257">
        <w:rPr>
          <w:color w:val="000000" w:themeColor="text1"/>
          <w:spacing w:val="15"/>
        </w:rPr>
        <w:t xml:space="preserve"> </w:t>
      </w:r>
      <w:r w:rsidRPr="00C56257">
        <w:rPr>
          <w:color w:val="000000" w:themeColor="text1"/>
        </w:rPr>
        <w:t>formatul</w:t>
      </w:r>
      <w:r w:rsidRPr="00C56257">
        <w:rPr>
          <w:color w:val="000000" w:themeColor="text1"/>
          <w:spacing w:val="16"/>
        </w:rPr>
        <w:t xml:space="preserve"> </w:t>
      </w:r>
      <w:r w:rsidRPr="00C56257">
        <w:rPr>
          <w:color w:val="000000" w:themeColor="text1"/>
        </w:rPr>
        <w:t>de</w:t>
      </w:r>
      <w:r w:rsidRPr="00C56257">
        <w:rPr>
          <w:color w:val="000000" w:themeColor="text1"/>
          <w:spacing w:val="14"/>
        </w:rPr>
        <w:t xml:space="preserve"> </w:t>
      </w:r>
      <w:r w:rsidRPr="00C56257">
        <w:rPr>
          <w:color w:val="000000" w:themeColor="text1"/>
        </w:rPr>
        <w:t>raportare</w:t>
      </w:r>
      <w:r w:rsidRPr="00C56257">
        <w:rPr>
          <w:color w:val="000000" w:themeColor="text1"/>
          <w:spacing w:val="-57"/>
        </w:rPr>
        <w:t xml:space="preserve"> </w:t>
      </w:r>
      <w:r w:rsidRPr="00C56257">
        <w:rPr>
          <w:color w:val="000000" w:themeColor="text1"/>
        </w:rPr>
        <w:t>pornind</w:t>
      </w:r>
      <w:r w:rsidRPr="00C56257">
        <w:rPr>
          <w:color w:val="000000" w:themeColor="text1"/>
          <w:spacing w:val="-1"/>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la datele</w:t>
      </w:r>
      <w:r w:rsidRPr="00C56257">
        <w:rPr>
          <w:color w:val="000000" w:themeColor="text1"/>
          <w:spacing w:val="-1"/>
        </w:rPr>
        <w:t xml:space="preserve"> </w:t>
      </w:r>
      <w:r w:rsidRPr="00C56257">
        <w:rPr>
          <w:color w:val="000000" w:themeColor="text1"/>
        </w:rPr>
        <w:t>primare/datele</w:t>
      </w:r>
      <w:r w:rsidRPr="00C56257">
        <w:rPr>
          <w:color w:val="000000" w:themeColor="text1"/>
          <w:spacing w:val="-1"/>
        </w:rPr>
        <w:t xml:space="preserve"> </w:t>
      </w:r>
      <w:r w:rsidRPr="00C56257">
        <w:rPr>
          <w:color w:val="000000" w:themeColor="text1"/>
        </w:rPr>
        <w:t>din teren.</w:t>
      </w:r>
    </w:p>
    <w:p w14:paraId="406FA91A" w14:textId="77777777" w:rsidR="00A37B92" w:rsidRPr="00C56257" w:rsidRDefault="00A37B92" w:rsidP="009E63E5">
      <w:pPr>
        <w:widowControl w:val="0"/>
        <w:numPr>
          <w:ilvl w:val="0"/>
          <w:numId w:val="93"/>
        </w:numPr>
        <w:tabs>
          <w:tab w:val="left" w:pos="713"/>
          <w:tab w:val="left" w:pos="714"/>
        </w:tabs>
        <w:autoSpaceDE w:val="0"/>
        <w:autoSpaceDN w:val="0"/>
        <w:spacing w:before="12" w:line="228" w:lineRule="auto"/>
        <w:ind w:right="252"/>
        <w:jc w:val="both"/>
        <w:rPr>
          <w:color w:val="000000" w:themeColor="text1"/>
        </w:rPr>
      </w:pPr>
      <w:r w:rsidRPr="00C56257">
        <w:rPr>
          <w:color w:val="000000" w:themeColor="text1"/>
        </w:rPr>
        <w:t>Agregarea</w:t>
      </w:r>
      <w:r w:rsidRPr="00C56257">
        <w:rPr>
          <w:color w:val="000000" w:themeColor="text1"/>
          <w:spacing w:val="23"/>
        </w:rPr>
        <w:t xml:space="preserve"> </w:t>
      </w:r>
      <w:r w:rsidRPr="00C56257">
        <w:rPr>
          <w:color w:val="000000" w:themeColor="text1"/>
        </w:rPr>
        <w:t>non-spațială</w:t>
      </w:r>
      <w:r w:rsidRPr="00C56257">
        <w:rPr>
          <w:color w:val="000000" w:themeColor="text1"/>
          <w:spacing w:val="25"/>
        </w:rPr>
        <w:t xml:space="preserve"> </w:t>
      </w:r>
      <w:r w:rsidRPr="00C56257">
        <w:rPr>
          <w:color w:val="000000" w:themeColor="text1"/>
        </w:rPr>
        <w:t>care</w:t>
      </w:r>
      <w:r w:rsidRPr="00C56257">
        <w:rPr>
          <w:color w:val="000000" w:themeColor="text1"/>
          <w:spacing w:val="22"/>
        </w:rPr>
        <w:t xml:space="preserve"> </w:t>
      </w:r>
      <w:r w:rsidRPr="00C56257">
        <w:rPr>
          <w:color w:val="000000" w:themeColor="text1"/>
        </w:rPr>
        <w:t>presupune</w:t>
      </w:r>
      <w:r w:rsidRPr="00C56257">
        <w:rPr>
          <w:color w:val="000000" w:themeColor="text1"/>
          <w:spacing w:val="25"/>
        </w:rPr>
        <w:t xml:space="preserve"> </w:t>
      </w:r>
      <w:r w:rsidRPr="00C56257">
        <w:rPr>
          <w:color w:val="000000" w:themeColor="text1"/>
        </w:rPr>
        <w:t>generarea</w:t>
      </w:r>
      <w:r w:rsidRPr="00C56257">
        <w:rPr>
          <w:color w:val="000000" w:themeColor="text1"/>
          <w:spacing w:val="23"/>
        </w:rPr>
        <w:t xml:space="preserve"> </w:t>
      </w:r>
      <w:r w:rsidRPr="00C56257">
        <w:rPr>
          <w:color w:val="000000" w:themeColor="text1"/>
        </w:rPr>
        <w:t>fișierelor</w:t>
      </w:r>
      <w:r w:rsidRPr="00C56257">
        <w:rPr>
          <w:color w:val="000000" w:themeColor="text1"/>
          <w:spacing w:val="24"/>
        </w:rPr>
        <w:t xml:space="preserve"> </w:t>
      </w:r>
      <w:r w:rsidRPr="00C56257">
        <w:rPr>
          <w:color w:val="000000" w:themeColor="text1"/>
        </w:rPr>
        <w:t>specifice,</w:t>
      </w:r>
      <w:r w:rsidRPr="00C56257">
        <w:rPr>
          <w:color w:val="000000" w:themeColor="text1"/>
          <w:spacing w:val="24"/>
        </w:rPr>
        <w:t xml:space="preserve"> </w:t>
      </w:r>
      <w:r w:rsidRPr="00C56257">
        <w:rPr>
          <w:color w:val="000000" w:themeColor="text1"/>
        </w:rPr>
        <w:t>în</w:t>
      </w:r>
      <w:r w:rsidRPr="00C56257">
        <w:rPr>
          <w:color w:val="000000" w:themeColor="text1"/>
          <w:spacing w:val="26"/>
        </w:rPr>
        <w:t xml:space="preserve"> </w:t>
      </w:r>
      <w:r w:rsidRPr="00C56257">
        <w:rPr>
          <w:color w:val="000000" w:themeColor="text1"/>
        </w:rPr>
        <w:t>conformitate</w:t>
      </w:r>
      <w:r w:rsidRPr="00C56257">
        <w:rPr>
          <w:color w:val="000000" w:themeColor="text1"/>
          <w:spacing w:val="23"/>
        </w:rPr>
        <w:t xml:space="preserve"> </w:t>
      </w:r>
      <w:r w:rsidRPr="00C56257">
        <w:rPr>
          <w:color w:val="000000" w:themeColor="text1"/>
        </w:rPr>
        <w:t>cu</w:t>
      </w:r>
      <w:r w:rsidRPr="00C56257">
        <w:rPr>
          <w:color w:val="000000" w:themeColor="text1"/>
          <w:spacing w:val="-57"/>
        </w:rPr>
        <w:t xml:space="preserve"> </w:t>
      </w:r>
      <w:r w:rsidRPr="00C56257">
        <w:rPr>
          <w:color w:val="000000" w:themeColor="text1"/>
        </w:rPr>
        <w:t>formatul</w:t>
      </w:r>
      <w:r w:rsidRPr="00C56257">
        <w:rPr>
          <w:color w:val="000000" w:themeColor="text1"/>
          <w:spacing w:val="-1"/>
        </w:rPr>
        <w:t xml:space="preserve"> </w:t>
      </w:r>
      <w:r w:rsidRPr="00C56257">
        <w:rPr>
          <w:color w:val="000000" w:themeColor="text1"/>
        </w:rPr>
        <w:t>de raportare, pornind de</w:t>
      </w:r>
      <w:r w:rsidRPr="00C56257">
        <w:rPr>
          <w:color w:val="000000" w:themeColor="text1"/>
          <w:spacing w:val="-2"/>
        </w:rPr>
        <w:t xml:space="preserve"> </w:t>
      </w:r>
      <w:r w:rsidRPr="00C56257">
        <w:rPr>
          <w:color w:val="000000" w:themeColor="text1"/>
        </w:rPr>
        <w:t>la datele</w:t>
      </w:r>
      <w:r w:rsidRPr="00C56257">
        <w:rPr>
          <w:color w:val="000000" w:themeColor="text1"/>
          <w:spacing w:val="-1"/>
        </w:rPr>
        <w:t xml:space="preserve"> </w:t>
      </w:r>
      <w:r w:rsidRPr="00C56257">
        <w:rPr>
          <w:color w:val="000000" w:themeColor="text1"/>
        </w:rPr>
        <w:t>primare.</w:t>
      </w:r>
    </w:p>
    <w:p w14:paraId="16B71DD8" w14:textId="77777777" w:rsidR="00A37B92" w:rsidRPr="00C56257" w:rsidRDefault="00A37B92" w:rsidP="00A37B92">
      <w:pPr>
        <w:widowControl w:val="0"/>
        <w:tabs>
          <w:tab w:val="left" w:pos="713"/>
          <w:tab w:val="left" w:pos="714"/>
        </w:tabs>
        <w:autoSpaceDE w:val="0"/>
        <w:autoSpaceDN w:val="0"/>
        <w:spacing w:before="12" w:line="228" w:lineRule="auto"/>
        <w:ind w:right="252"/>
        <w:jc w:val="both"/>
        <w:rPr>
          <w:color w:val="000000" w:themeColor="text1"/>
        </w:rPr>
      </w:pPr>
    </w:p>
    <w:p w14:paraId="0A00A151" w14:textId="77777777" w:rsidR="00A37B92" w:rsidRPr="00C56257" w:rsidRDefault="00A37B92" w:rsidP="00F100E1">
      <w:pPr>
        <w:widowControl w:val="0"/>
        <w:tabs>
          <w:tab w:val="left" w:pos="713"/>
          <w:tab w:val="left" w:pos="714"/>
        </w:tabs>
        <w:autoSpaceDE w:val="0"/>
        <w:autoSpaceDN w:val="0"/>
        <w:spacing w:before="70" w:line="242" w:lineRule="auto"/>
        <w:ind w:right="1610"/>
        <w:jc w:val="both"/>
        <w:outlineLvl w:val="0"/>
        <w:rPr>
          <w:rFonts w:eastAsia="Cambria"/>
          <w:b/>
          <w:bCs/>
        </w:rPr>
      </w:pPr>
      <w:r w:rsidRPr="00C56257">
        <w:rPr>
          <w:rFonts w:eastAsia="Cambria"/>
          <w:b/>
          <w:bCs/>
        </w:rPr>
        <w:t xml:space="preserve">Structura și funcțiile habitatelor de dune </w:t>
      </w:r>
      <w:r w:rsidRPr="00C56257">
        <w:rPr>
          <w:rFonts w:eastAsia="Cambria"/>
          <w:b/>
          <w:bCs/>
          <w:spacing w:val="-68"/>
        </w:rPr>
        <w:t xml:space="preserve"> </w:t>
      </w:r>
      <w:r w:rsidRPr="00C56257">
        <w:rPr>
          <w:rFonts w:eastAsia="Cambria"/>
          <w:b/>
          <w:bCs/>
        </w:rPr>
        <w:t>continentale</w:t>
      </w:r>
    </w:p>
    <w:p w14:paraId="55395C98" w14:textId="77777777" w:rsidR="00A37B92" w:rsidRPr="00C56257" w:rsidRDefault="00A37B92" w:rsidP="00A37B92">
      <w:pPr>
        <w:widowControl w:val="0"/>
        <w:autoSpaceDE w:val="0"/>
        <w:autoSpaceDN w:val="0"/>
        <w:spacing w:before="5"/>
        <w:jc w:val="both"/>
        <w:rPr>
          <w:b/>
          <w:color w:val="000000" w:themeColor="text1"/>
        </w:rPr>
      </w:pPr>
    </w:p>
    <w:p w14:paraId="14A20797" w14:textId="77777777" w:rsidR="00A37B92" w:rsidRPr="00C56257" w:rsidRDefault="00A37B92" w:rsidP="004471AF">
      <w:pPr>
        <w:widowControl w:val="0"/>
        <w:autoSpaceDE w:val="0"/>
        <w:autoSpaceDN w:val="0"/>
        <w:ind w:right="26"/>
        <w:jc w:val="both"/>
        <w:rPr>
          <w:color w:val="000000" w:themeColor="text1"/>
        </w:rPr>
      </w:pPr>
      <w:r w:rsidRPr="00C56257">
        <w:rPr>
          <w:color w:val="000000" w:themeColor="text1"/>
        </w:rPr>
        <w:t>Inventarierea habitatelor se va realizape baza Manualului de Interpretare a Habitatelor Naturale din</w:t>
      </w:r>
      <w:r w:rsidRPr="00C56257">
        <w:rPr>
          <w:color w:val="000000" w:themeColor="text1"/>
          <w:spacing w:val="1"/>
        </w:rPr>
        <w:t xml:space="preserve"> </w:t>
      </w:r>
      <w:r w:rsidRPr="00C56257">
        <w:rPr>
          <w:color w:val="000000" w:themeColor="text1"/>
        </w:rPr>
        <w:t>Uniunea</w:t>
      </w:r>
      <w:r w:rsidRPr="00C56257">
        <w:rPr>
          <w:color w:val="000000" w:themeColor="text1"/>
          <w:spacing w:val="1"/>
        </w:rPr>
        <w:t xml:space="preserve"> </w:t>
      </w:r>
      <w:r w:rsidRPr="00C56257">
        <w:rPr>
          <w:color w:val="000000" w:themeColor="text1"/>
        </w:rPr>
        <w:t>Europeană</w:t>
      </w:r>
      <w:r w:rsidRPr="00C56257">
        <w:rPr>
          <w:color w:val="000000" w:themeColor="text1"/>
          <w:spacing w:val="1"/>
        </w:rPr>
        <w:t xml:space="preserve"> </w:t>
      </w:r>
      <w:r w:rsidRPr="00C56257">
        <w:rPr>
          <w:color w:val="000000" w:themeColor="text1"/>
        </w:rPr>
        <w:t>(EUR</w:t>
      </w:r>
      <w:r w:rsidRPr="00C56257">
        <w:rPr>
          <w:color w:val="000000" w:themeColor="text1"/>
          <w:spacing w:val="1"/>
        </w:rPr>
        <w:t xml:space="preserve"> </w:t>
      </w:r>
      <w:r w:rsidRPr="00C56257">
        <w:rPr>
          <w:color w:val="000000" w:themeColor="text1"/>
        </w:rPr>
        <w:t>28)</w:t>
      </w:r>
      <w:r w:rsidRPr="00C56257">
        <w:rPr>
          <w:color w:val="000000" w:themeColor="text1"/>
          <w:spacing w:val="1"/>
        </w:rPr>
        <w:t xml:space="preserve"> </w:t>
      </w:r>
      <w:r w:rsidRPr="00C56257">
        <w:rPr>
          <w:color w:val="000000" w:themeColor="text1"/>
        </w:rPr>
        <w:t>și</w:t>
      </w:r>
      <w:r w:rsidRPr="00C56257">
        <w:rPr>
          <w:color w:val="000000" w:themeColor="text1"/>
          <w:spacing w:val="1"/>
        </w:rPr>
        <w:t xml:space="preserve"> </w:t>
      </w:r>
      <w:r w:rsidRPr="00C56257">
        <w:rPr>
          <w:color w:val="000000" w:themeColor="text1"/>
        </w:rPr>
        <w:t>după</w:t>
      </w:r>
      <w:r w:rsidRPr="00C56257">
        <w:rPr>
          <w:color w:val="000000" w:themeColor="text1"/>
          <w:spacing w:val="1"/>
        </w:rPr>
        <w:t xml:space="preserve"> </w:t>
      </w:r>
      <w:r w:rsidRPr="00C56257">
        <w:rPr>
          <w:color w:val="000000" w:themeColor="text1"/>
        </w:rPr>
        <w:t>Şcoala</w:t>
      </w:r>
      <w:r w:rsidRPr="00C56257">
        <w:rPr>
          <w:color w:val="000000" w:themeColor="text1"/>
          <w:spacing w:val="1"/>
        </w:rPr>
        <w:t xml:space="preserve"> </w:t>
      </w:r>
      <w:r w:rsidRPr="00C56257">
        <w:rPr>
          <w:color w:val="000000" w:themeColor="text1"/>
        </w:rPr>
        <w:t>Floristică</w:t>
      </w:r>
      <w:r w:rsidRPr="00C56257">
        <w:rPr>
          <w:color w:val="000000" w:themeColor="text1"/>
          <w:spacing w:val="1"/>
        </w:rPr>
        <w:t xml:space="preserve"> </w:t>
      </w:r>
      <w:r w:rsidRPr="00C56257">
        <w:rPr>
          <w:color w:val="000000" w:themeColor="text1"/>
        </w:rPr>
        <w:t>Central</w:t>
      </w:r>
      <w:r w:rsidRPr="00C56257">
        <w:rPr>
          <w:color w:val="000000" w:themeColor="text1"/>
          <w:spacing w:val="1"/>
        </w:rPr>
        <w:t xml:space="preserve"> </w:t>
      </w:r>
      <w:r w:rsidRPr="00C56257">
        <w:rPr>
          <w:color w:val="000000" w:themeColor="text1"/>
        </w:rPr>
        <w:t>Europeană</w:t>
      </w:r>
      <w:r w:rsidRPr="00C56257">
        <w:rPr>
          <w:color w:val="000000" w:themeColor="text1"/>
          <w:spacing w:val="1"/>
        </w:rPr>
        <w:t xml:space="preserve"> </w:t>
      </w:r>
      <w:r w:rsidRPr="00C56257">
        <w:rPr>
          <w:color w:val="000000" w:themeColor="text1"/>
        </w:rPr>
        <w:t>(Braun–Blanquet),</w:t>
      </w:r>
      <w:r w:rsidRPr="00C56257">
        <w:rPr>
          <w:color w:val="000000" w:themeColor="text1"/>
          <w:spacing w:val="-57"/>
        </w:rPr>
        <w:t xml:space="preserve"> </w:t>
      </w:r>
      <w:r w:rsidR="007F6479">
        <w:rPr>
          <w:color w:val="000000" w:themeColor="text1"/>
          <w:spacing w:val="-57"/>
        </w:rPr>
        <w:t xml:space="preserve">      </w:t>
      </w:r>
      <w:r w:rsidRPr="00C56257">
        <w:rPr>
          <w:color w:val="000000" w:themeColor="text1"/>
        </w:rPr>
        <w:t>situație în care se vor face investigaţii după „itinerar” şi în „staţionar”, în 2 etape</w:t>
      </w:r>
      <w:r w:rsidRPr="00C56257">
        <w:rPr>
          <w:i/>
          <w:color w:val="000000" w:themeColor="text1"/>
        </w:rPr>
        <w:t>:</w:t>
      </w:r>
      <w:r w:rsidRPr="00C56257">
        <w:rPr>
          <w:i/>
          <w:color w:val="000000" w:themeColor="text1"/>
          <w:spacing w:val="1"/>
        </w:rPr>
        <w:t xml:space="preserve"> </w:t>
      </w:r>
      <w:r w:rsidRPr="00C56257">
        <w:rPr>
          <w:color w:val="000000" w:themeColor="text1"/>
        </w:rPr>
        <w:t>etapa analitică şi</w:t>
      </w:r>
      <w:r w:rsidRPr="00C56257">
        <w:rPr>
          <w:color w:val="000000" w:themeColor="text1"/>
          <w:spacing w:val="1"/>
        </w:rPr>
        <w:t xml:space="preserve"> </w:t>
      </w:r>
      <w:r w:rsidRPr="00C56257">
        <w:rPr>
          <w:color w:val="000000" w:themeColor="text1"/>
        </w:rPr>
        <w:t>etapa</w:t>
      </w:r>
      <w:r w:rsidRPr="00C56257">
        <w:rPr>
          <w:color w:val="000000" w:themeColor="text1"/>
          <w:spacing w:val="-3"/>
        </w:rPr>
        <w:t xml:space="preserve"> </w:t>
      </w:r>
      <w:r w:rsidRPr="00C56257">
        <w:rPr>
          <w:color w:val="000000" w:themeColor="text1"/>
        </w:rPr>
        <w:t>sintetică.</w:t>
      </w:r>
    </w:p>
    <w:p w14:paraId="2709F390" w14:textId="77777777" w:rsidR="00A37B92" w:rsidRPr="00C56257" w:rsidRDefault="00A37B92" w:rsidP="004471AF">
      <w:pPr>
        <w:widowControl w:val="0"/>
        <w:autoSpaceDE w:val="0"/>
        <w:autoSpaceDN w:val="0"/>
        <w:ind w:right="26"/>
        <w:jc w:val="both"/>
        <w:rPr>
          <w:color w:val="000000" w:themeColor="text1"/>
        </w:rPr>
      </w:pPr>
      <w:r w:rsidRPr="00C56257">
        <w:rPr>
          <w:color w:val="000000" w:themeColor="text1"/>
        </w:rPr>
        <w:t>Prin identificarea speciilor cheie (edificatoare/caracteristice) a habitatelor de interes comunitar se</w:t>
      </w:r>
      <w:r w:rsidRPr="00C56257">
        <w:rPr>
          <w:color w:val="000000" w:themeColor="text1"/>
          <w:spacing w:val="1"/>
        </w:rPr>
        <w:t xml:space="preserve"> </w:t>
      </w:r>
      <w:r w:rsidRPr="00C56257">
        <w:rPr>
          <w:color w:val="000000" w:themeColor="text1"/>
        </w:rPr>
        <w:t>vor</w:t>
      </w:r>
      <w:r w:rsidRPr="00C56257">
        <w:rPr>
          <w:color w:val="000000" w:themeColor="text1"/>
          <w:spacing w:val="1"/>
        </w:rPr>
        <w:t xml:space="preserve"> </w:t>
      </w:r>
      <w:r w:rsidRPr="00C56257">
        <w:rPr>
          <w:color w:val="000000" w:themeColor="text1"/>
        </w:rPr>
        <w:t>efectua</w:t>
      </w:r>
      <w:r w:rsidRPr="00C56257">
        <w:rPr>
          <w:color w:val="000000" w:themeColor="text1"/>
          <w:spacing w:val="1"/>
        </w:rPr>
        <w:t xml:space="preserve"> </w:t>
      </w:r>
      <w:r w:rsidRPr="00C56257">
        <w:rPr>
          <w:color w:val="000000" w:themeColor="text1"/>
        </w:rPr>
        <w:t>determinări</w:t>
      </w:r>
      <w:r w:rsidRPr="00C56257">
        <w:rPr>
          <w:color w:val="000000" w:themeColor="text1"/>
          <w:spacing w:val="1"/>
        </w:rPr>
        <w:t xml:space="preserve"> </w:t>
      </w:r>
      <w:r w:rsidRPr="00C56257">
        <w:rPr>
          <w:color w:val="000000" w:themeColor="text1"/>
        </w:rPr>
        <w:t>folosind</w:t>
      </w:r>
      <w:r w:rsidRPr="00C56257">
        <w:rPr>
          <w:color w:val="000000" w:themeColor="text1"/>
          <w:spacing w:val="1"/>
        </w:rPr>
        <w:t xml:space="preserve"> </w:t>
      </w:r>
      <w:r w:rsidRPr="00C56257">
        <w:rPr>
          <w:color w:val="000000" w:themeColor="text1"/>
        </w:rPr>
        <w:t>variabile</w:t>
      </w:r>
      <w:r w:rsidRPr="00C56257">
        <w:rPr>
          <w:color w:val="000000" w:themeColor="text1"/>
          <w:spacing w:val="1"/>
        </w:rPr>
        <w:t xml:space="preserve"> </w:t>
      </w:r>
      <w:r w:rsidRPr="00C56257">
        <w:rPr>
          <w:color w:val="000000" w:themeColor="text1"/>
        </w:rPr>
        <w:t>legate</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funcţiile</w:t>
      </w:r>
      <w:r w:rsidRPr="00C56257">
        <w:rPr>
          <w:color w:val="000000" w:themeColor="text1"/>
          <w:spacing w:val="1"/>
        </w:rPr>
        <w:t xml:space="preserve"> </w:t>
      </w:r>
      <w:r w:rsidRPr="00C56257">
        <w:rPr>
          <w:color w:val="000000" w:themeColor="text1"/>
        </w:rPr>
        <w:t>ecosistemului,</w:t>
      </w:r>
      <w:r w:rsidRPr="00C56257">
        <w:rPr>
          <w:color w:val="000000" w:themeColor="text1"/>
          <w:spacing w:val="1"/>
        </w:rPr>
        <w:t xml:space="preserve"> </w:t>
      </w:r>
      <w:r w:rsidRPr="00C56257">
        <w:rPr>
          <w:color w:val="000000" w:themeColor="text1"/>
        </w:rPr>
        <w:t>precum:</w:t>
      </w:r>
      <w:r w:rsidRPr="00C56257">
        <w:rPr>
          <w:color w:val="000000" w:themeColor="text1"/>
          <w:spacing w:val="60"/>
        </w:rPr>
        <w:t xml:space="preserve"> </w:t>
      </w:r>
      <w:r w:rsidRPr="00C56257">
        <w:rPr>
          <w:color w:val="000000" w:themeColor="text1"/>
        </w:rPr>
        <w:t>perioada</w:t>
      </w:r>
      <w:r w:rsidRPr="00C56257">
        <w:rPr>
          <w:color w:val="000000" w:themeColor="text1"/>
          <w:spacing w:val="1"/>
        </w:rPr>
        <w:t xml:space="preserve"> </w:t>
      </w:r>
      <w:r w:rsidRPr="00C56257">
        <w:rPr>
          <w:color w:val="000000" w:themeColor="text1"/>
        </w:rPr>
        <w:t>optimă de monitorizare, structura calitativă şi cantitativă a habitatului identificat şi a speciilor de</w:t>
      </w:r>
      <w:r w:rsidRPr="00C56257">
        <w:rPr>
          <w:color w:val="000000" w:themeColor="text1"/>
          <w:spacing w:val="1"/>
        </w:rPr>
        <w:t xml:space="preserve"> </w:t>
      </w:r>
      <w:r w:rsidRPr="00C56257">
        <w:rPr>
          <w:color w:val="000000" w:themeColor="text1"/>
        </w:rPr>
        <w:t>floră</w:t>
      </w:r>
      <w:r w:rsidRPr="00C56257">
        <w:rPr>
          <w:color w:val="000000" w:themeColor="text1"/>
          <w:spacing w:val="-2"/>
        </w:rPr>
        <w:t xml:space="preserve"> </w:t>
      </w:r>
      <w:r w:rsidRPr="00C56257">
        <w:rPr>
          <w:color w:val="000000" w:themeColor="text1"/>
        </w:rPr>
        <w:t>identificate. Datele</w:t>
      </w:r>
      <w:r w:rsidRPr="00C56257">
        <w:rPr>
          <w:color w:val="000000" w:themeColor="text1"/>
          <w:spacing w:val="1"/>
        </w:rPr>
        <w:t xml:space="preserve"> </w:t>
      </w:r>
      <w:r w:rsidRPr="00C56257">
        <w:rPr>
          <w:color w:val="000000" w:themeColor="text1"/>
        </w:rPr>
        <w:t>culese</w:t>
      </w:r>
      <w:r w:rsidRPr="00C56257">
        <w:rPr>
          <w:color w:val="000000" w:themeColor="text1"/>
          <w:spacing w:val="-2"/>
        </w:rPr>
        <w:t xml:space="preserve"> </w:t>
      </w:r>
      <w:r w:rsidRPr="00C56257">
        <w:rPr>
          <w:color w:val="000000" w:themeColor="text1"/>
        </w:rPr>
        <w:t>din teren vor</w:t>
      </w:r>
      <w:r w:rsidRPr="00C56257">
        <w:rPr>
          <w:color w:val="000000" w:themeColor="text1"/>
          <w:spacing w:val="-1"/>
        </w:rPr>
        <w:t xml:space="preserve"> </w:t>
      </w:r>
      <w:r w:rsidRPr="00C56257">
        <w:rPr>
          <w:color w:val="000000" w:themeColor="text1"/>
        </w:rPr>
        <w:t>fi</w:t>
      </w:r>
      <w:r w:rsidRPr="00C56257">
        <w:rPr>
          <w:color w:val="000000" w:themeColor="text1"/>
          <w:spacing w:val="-1"/>
        </w:rPr>
        <w:t xml:space="preserve"> </w:t>
      </w:r>
      <w:r w:rsidRPr="00C56257">
        <w:rPr>
          <w:color w:val="000000" w:themeColor="text1"/>
        </w:rPr>
        <w:t>trecute în fişele</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monitorizare.</w:t>
      </w:r>
    </w:p>
    <w:p w14:paraId="43D1AEA2" w14:textId="77777777" w:rsidR="00A37B92" w:rsidRPr="00C56257" w:rsidRDefault="00A37B92" w:rsidP="004471AF">
      <w:pPr>
        <w:widowControl w:val="0"/>
        <w:autoSpaceDE w:val="0"/>
        <w:autoSpaceDN w:val="0"/>
        <w:spacing w:before="1"/>
        <w:ind w:right="26"/>
        <w:jc w:val="both"/>
        <w:rPr>
          <w:color w:val="000000" w:themeColor="text1"/>
        </w:rPr>
      </w:pPr>
      <w:r w:rsidRPr="00C56257">
        <w:rPr>
          <w:color w:val="000000" w:themeColor="text1"/>
        </w:rPr>
        <w:t>Corelat cu formatul de raportare, structura și funcțiile oferă rezultatul evaluării stării habitatului</w:t>
      </w:r>
      <w:r w:rsidRPr="00C56257">
        <w:rPr>
          <w:color w:val="000000" w:themeColor="text1"/>
          <w:spacing w:val="1"/>
        </w:rPr>
        <w:t xml:space="preserve"> </w:t>
      </w:r>
      <w:r w:rsidRPr="00C56257">
        <w:rPr>
          <w:color w:val="000000" w:themeColor="text1"/>
        </w:rPr>
        <w:t>pentru specii folosind cele patru categorii disponibile: „</w:t>
      </w:r>
      <w:r w:rsidRPr="00C56257">
        <w:rPr>
          <w:b/>
          <w:color w:val="000000" w:themeColor="text1"/>
        </w:rPr>
        <w:t>favorabil</w:t>
      </w:r>
      <w:r w:rsidRPr="00C56257">
        <w:rPr>
          <w:color w:val="000000" w:themeColor="text1"/>
        </w:rPr>
        <w:t>” (FV), „</w:t>
      </w:r>
      <w:r w:rsidRPr="00C56257">
        <w:rPr>
          <w:b/>
          <w:color w:val="000000" w:themeColor="text1"/>
        </w:rPr>
        <w:t>nefavorabil-inadecvat</w:t>
      </w:r>
      <w:r w:rsidRPr="00C56257">
        <w:rPr>
          <w:color w:val="000000" w:themeColor="text1"/>
        </w:rPr>
        <w:t>”</w:t>
      </w:r>
      <w:r w:rsidRPr="00C56257">
        <w:rPr>
          <w:color w:val="000000" w:themeColor="text1"/>
          <w:spacing w:val="1"/>
        </w:rPr>
        <w:t xml:space="preserve"> </w:t>
      </w:r>
      <w:r w:rsidRPr="00C56257">
        <w:rPr>
          <w:color w:val="000000" w:themeColor="text1"/>
        </w:rPr>
        <w:t>(U1),</w:t>
      </w:r>
      <w:r w:rsidRPr="00C56257">
        <w:rPr>
          <w:color w:val="000000" w:themeColor="text1"/>
          <w:spacing w:val="-1"/>
        </w:rPr>
        <w:t xml:space="preserve"> </w:t>
      </w:r>
      <w:r w:rsidRPr="00C56257">
        <w:rPr>
          <w:color w:val="000000" w:themeColor="text1"/>
        </w:rPr>
        <w:t>„</w:t>
      </w:r>
      <w:r w:rsidRPr="00C56257">
        <w:rPr>
          <w:b/>
          <w:color w:val="000000" w:themeColor="text1"/>
        </w:rPr>
        <w:t>nefavorabil-rău</w:t>
      </w:r>
      <w:r w:rsidRPr="00C56257">
        <w:rPr>
          <w:color w:val="000000" w:themeColor="text1"/>
        </w:rPr>
        <w:t>”</w:t>
      </w:r>
      <w:r w:rsidRPr="00C56257">
        <w:rPr>
          <w:color w:val="000000" w:themeColor="text1"/>
          <w:spacing w:val="-1"/>
        </w:rPr>
        <w:t xml:space="preserve"> </w:t>
      </w:r>
      <w:r w:rsidRPr="00C56257">
        <w:rPr>
          <w:color w:val="000000" w:themeColor="text1"/>
        </w:rPr>
        <w:t>(U2)</w:t>
      </w:r>
      <w:r w:rsidRPr="00C56257">
        <w:rPr>
          <w:color w:val="000000" w:themeColor="text1"/>
          <w:spacing w:val="-3"/>
        </w:rPr>
        <w:t xml:space="preserve"> </w:t>
      </w:r>
      <w:r w:rsidRPr="00C56257">
        <w:rPr>
          <w:color w:val="000000" w:themeColor="text1"/>
        </w:rPr>
        <w:t>și</w:t>
      </w:r>
      <w:r w:rsidRPr="00C56257">
        <w:rPr>
          <w:color w:val="000000" w:themeColor="text1"/>
          <w:spacing w:val="-1"/>
        </w:rPr>
        <w:t xml:space="preserve"> </w:t>
      </w:r>
      <w:r w:rsidRPr="00C56257">
        <w:rPr>
          <w:color w:val="000000" w:themeColor="text1"/>
        </w:rPr>
        <w:t>„</w:t>
      </w:r>
      <w:r w:rsidRPr="00C56257">
        <w:rPr>
          <w:b/>
          <w:color w:val="000000" w:themeColor="text1"/>
        </w:rPr>
        <w:t>necunoscut</w:t>
      </w:r>
      <w:r w:rsidRPr="00C56257">
        <w:rPr>
          <w:color w:val="000000" w:themeColor="text1"/>
        </w:rPr>
        <w:t>”</w:t>
      </w:r>
      <w:r w:rsidRPr="00C56257">
        <w:rPr>
          <w:color w:val="000000" w:themeColor="text1"/>
          <w:spacing w:val="-1"/>
        </w:rPr>
        <w:t xml:space="preserve"> </w:t>
      </w:r>
      <w:r w:rsidRPr="00C56257">
        <w:rPr>
          <w:color w:val="000000" w:themeColor="text1"/>
        </w:rPr>
        <w:t>(XX),</w:t>
      </w:r>
      <w:r w:rsidRPr="00C56257">
        <w:rPr>
          <w:color w:val="000000" w:themeColor="text1"/>
          <w:spacing w:val="-1"/>
        </w:rPr>
        <w:t xml:space="preserve"> </w:t>
      </w:r>
      <w:r w:rsidRPr="00C56257">
        <w:rPr>
          <w:color w:val="000000" w:themeColor="text1"/>
        </w:rPr>
        <w:t>redate în tabelul</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mai jos:</w:t>
      </w:r>
    </w:p>
    <w:p w14:paraId="5E255617" w14:textId="77777777" w:rsidR="00A37B92" w:rsidRPr="00C56257" w:rsidRDefault="00A37B92" w:rsidP="00A37B92">
      <w:pPr>
        <w:widowControl w:val="0"/>
        <w:autoSpaceDE w:val="0"/>
        <w:autoSpaceDN w:val="0"/>
        <w:spacing w:before="8"/>
        <w:jc w:val="both"/>
        <w:rPr>
          <w:color w:val="000000" w:themeColor="text1"/>
        </w:rPr>
      </w:pPr>
    </w:p>
    <w:tbl>
      <w:tblPr>
        <w:tblW w:w="0" w:type="auto"/>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0"/>
        <w:gridCol w:w="8165"/>
      </w:tblGrid>
      <w:tr w:rsidR="00A37B92" w:rsidRPr="00C56257" w14:paraId="144A9141" w14:textId="77777777" w:rsidTr="004471AF">
        <w:trPr>
          <w:trHeight w:val="551"/>
        </w:trPr>
        <w:tc>
          <w:tcPr>
            <w:tcW w:w="1810" w:type="dxa"/>
            <w:shd w:val="clear" w:color="auto" w:fill="DBE4F0"/>
          </w:tcPr>
          <w:p w14:paraId="59649702" w14:textId="77777777" w:rsidR="00A37B92" w:rsidRPr="00C56257" w:rsidRDefault="00A37B92" w:rsidP="00C902DF">
            <w:pPr>
              <w:widowControl w:val="0"/>
              <w:tabs>
                <w:tab w:val="left" w:pos="1458"/>
              </w:tabs>
              <w:autoSpaceDE w:val="0"/>
              <w:autoSpaceDN w:val="0"/>
              <w:spacing w:line="273" w:lineRule="exact"/>
              <w:jc w:val="both"/>
              <w:rPr>
                <w:b/>
                <w:color w:val="000000" w:themeColor="text1"/>
              </w:rPr>
            </w:pPr>
            <w:r w:rsidRPr="00C56257">
              <w:rPr>
                <w:b/>
                <w:color w:val="000000" w:themeColor="text1"/>
              </w:rPr>
              <w:lastRenderedPageBreak/>
              <w:t>Starea</w:t>
            </w:r>
            <w:r w:rsidRPr="00C56257">
              <w:rPr>
                <w:b/>
                <w:color w:val="000000" w:themeColor="text1"/>
              </w:rPr>
              <w:tab/>
              <w:t>de</w:t>
            </w:r>
          </w:p>
          <w:p w14:paraId="0301FBBA" w14:textId="77777777" w:rsidR="00A37B92" w:rsidRPr="00C56257" w:rsidRDefault="00A37B92" w:rsidP="00C902DF">
            <w:pPr>
              <w:widowControl w:val="0"/>
              <w:autoSpaceDE w:val="0"/>
              <w:autoSpaceDN w:val="0"/>
              <w:spacing w:line="259" w:lineRule="exact"/>
              <w:jc w:val="both"/>
              <w:rPr>
                <w:b/>
                <w:color w:val="000000" w:themeColor="text1"/>
              </w:rPr>
            </w:pPr>
            <w:r w:rsidRPr="00C56257">
              <w:rPr>
                <w:b/>
                <w:color w:val="000000" w:themeColor="text1"/>
              </w:rPr>
              <w:t>conservare</w:t>
            </w:r>
          </w:p>
        </w:tc>
        <w:tc>
          <w:tcPr>
            <w:tcW w:w="8165" w:type="dxa"/>
            <w:shd w:val="clear" w:color="auto" w:fill="DBE4F0"/>
          </w:tcPr>
          <w:p w14:paraId="7E22B36E" w14:textId="77777777" w:rsidR="00A37B92" w:rsidRPr="00C56257" w:rsidRDefault="00A37B92" w:rsidP="00C902DF">
            <w:pPr>
              <w:widowControl w:val="0"/>
              <w:autoSpaceDE w:val="0"/>
              <w:autoSpaceDN w:val="0"/>
              <w:spacing w:before="135"/>
              <w:jc w:val="both"/>
              <w:rPr>
                <w:b/>
                <w:color w:val="000000" w:themeColor="text1"/>
              </w:rPr>
            </w:pPr>
            <w:r w:rsidRPr="00C56257">
              <w:rPr>
                <w:b/>
                <w:color w:val="000000" w:themeColor="text1"/>
              </w:rPr>
              <w:t>Criterii</w:t>
            </w:r>
            <w:r w:rsidRPr="00C56257">
              <w:rPr>
                <w:b/>
                <w:color w:val="000000" w:themeColor="text1"/>
                <w:spacing w:val="-2"/>
              </w:rPr>
              <w:t xml:space="preserve"> </w:t>
            </w:r>
            <w:r w:rsidRPr="00C56257">
              <w:rPr>
                <w:b/>
                <w:color w:val="000000" w:themeColor="text1"/>
              </w:rPr>
              <w:t>de</w:t>
            </w:r>
            <w:r w:rsidRPr="00C56257">
              <w:rPr>
                <w:b/>
                <w:color w:val="000000" w:themeColor="text1"/>
                <w:spacing w:val="-2"/>
              </w:rPr>
              <w:t xml:space="preserve"> </w:t>
            </w:r>
            <w:r w:rsidRPr="00C56257">
              <w:rPr>
                <w:b/>
                <w:color w:val="000000" w:themeColor="text1"/>
              </w:rPr>
              <w:t>evaluare</w:t>
            </w:r>
          </w:p>
        </w:tc>
      </w:tr>
      <w:tr w:rsidR="00A37B92" w:rsidRPr="00C56257" w14:paraId="746E5BD4" w14:textId="77777777" w:rsidTr="004471AF">
        <w:trPr>
          <w:trHeight w:val="8566"/>
        </w:trPr>
        <w:tc>
          <w:tcPr>
            <w:tcW w:w="1810" w:type="dxa"/>
          </w:tcPr>
          <w:p w14:paraId="0BB3329F" w14:textId="77777777" w:rsidR="00A37B92" w:rsidRPr="00C56257" w:rsidRDefault="00A37B92" w:rsidP="00C902DF">
            <w:pPr>
              <w:widowControl w:val="0"/>
              <w:autoSpaceDE w:val="0"/>
              <w:autoSpaceDN w:val="0"/>
              <w:jc w:val="both"/>
              <w:rPr>
                <w:color w:val="000000" w:themeColor="text1"/>
              </w:rPr>
            </w:pPr>
          </w:p>
          <w:p w14:paraId="74A9C697" w14:textId="77777777" w:rsidR="00A37B92" w:rsidRPr="00C56257" w:rsidRDefault="00A37B92" w:rsidP="00C902DF">
            <w:pPr>
              <w:widowControl w:val="0"/>
              <w:autoSpaceDE w:val="0"/>
              <w:autoSpaceDN w:val="0"/>
              <w:jc w:val="both"/>
              <w:rPr>
                <w:color w:val="000000" w:themeColor="text1"/>
              </w:rPr>
            </w:pPr>
          </w:p>
          <w:p w14:paraId="30347DFA" w14:textId="77777777" w:rsidR="00A37B92" w:rsidRPr="00C56257" w:rsidRDefault="00A37B92" w:rsidP="00C902DF">
            <w:pPr>
              <w:widowControl w:val="0"/>
              <w:autoSpaceDE w:val="0"/>
              <w:autoSpaceDN w:val="0"/>
              <w:jc w:val="both"/>
              <w:rPr>
                <w:color w:val="000000" w:themeColor="text1"/>
              </w:rPr>
            </w:pPr>
          </w:p>
          <w:p w14:paraId="68D1A1AE" w14:textId="77777777" w:rsidR="00A37B92" w:rsidRPr="00C56257" w:rsidRDefault="00A37B92" w:rsidP="00C902DF">
            <w:pPr>
              <w:widowControl w:val="0"/>
              <w:autoSpaceDE w:val="0"/>
              <w:autoSpaceDN w:val="0"/>
              <w:jc w:val="both"/>
              <w:rPr>
                <w:color w:val="000000" w:themeColor="text1"/>
              </w:rPr>
            </w:pPr>
          </w:p>
          <w:p w14:paraId="4D348373" w14:textId="77777777" w:rsidR="00A37B92" w:rsidRPr="00C56257" w:rsidRDefault="00A37B92" w:rsidP="00C902DF">
            <w:pPr>
              <w:widowControl w:val="0"/>
              <w:autoSpaceDE w:val="0"/>
              <w:autoSpaceDN w:val="0"/>
              <w:jc w:val="both"/>
              <w:rPr>
                <w:color w:val="000000" w:themeColor="text1"/>
              </w:rPr>
            </w:pPr>
          </w:p>
          <w:p w14:paraId="72A3BA8D" w14:textId="77777777" w:rsidR="00A37B92" w:rsidRPr="00C56257" w:rsidRDefault="00A37B92" w:rsidP="00C902DF">
            <w:pPr>
              <w:widowControl w:val="0"/>
              <w:autoSpaceDE w:val="0"/>
              <w:autoSpaceDN w:val="0"/>
              <w:jc w:val="both"/>
              <w:rPr>
                <w:color w:val="000000" w:themeColor="text1"/>
              </w:rPr>
            </w:pPr>
          </w:p>
          <w:p w14:paraId="0E38A305" w14:textId="77777777" w:rsidR="00A37B92" w:rsidRPr="00C56257" w:rsidRDefault="00A37B92" w:rsidP="00C902DF">
            <w:pPr>
              <w:widowControl w:val="0"/>
              <w:autoSpaceDE w:val="0"/>
              <w:autoSpaceDN w:val="0"/>
              <w:jc w:val="both"/>
              <w:rPr>
                <w:color w:val="000000" w:themeColor="text1"/>
              </w:rPr>
            </w:pPr>
          </w:p>
          <w:p w14:paraId="2DD2AA98" w14:textId="77777777" w:rsidR="00A37B92" w:rsidRPr="00C56257" w:rsidRDefault="00A37B92" w:rsidP="00C902DF">
            <w:pPr>
              <w:widowControl w:val="0"/>
              <w:autoSpaceDE w:val="0"/>
              <w:autoSpaceDN w:val="0"/>
              <w:jc w:val="both"/>
              <w:rPr>
                <w:color w:val="000000" w:themeColor="text1"/>
              </w:rPr>
            </w:pPr>
          </w:p>
          <w:p w14:paraId="05E75068" w14:textId="77777777" w:rsidR="00A37B92" w:rsidRPr="00C56257" w:rsidRDefault="00A37B92" w:rsidP="00C902DF">
            <w:pPr>
              <w:widowControl w:val="0"/>
              <w:autoSpaceDE w:val="0"/>
              <w:autoSpaceDN w:val="0"/>
              <w:jc w:val="both"/>
              <w:rPr>
                <w:color w:val="000000" w:themeColor="text1"/>
              </w:rPr>
            </w:pPr>
          </w:p>
          <w:p w14:paraId="16044853" w14:textId="77777777" w:rsidR="00A37B92" w:rsidRPr="00C56257" w:rsidRDefault="00A37B92" w:rsidP="00C902DF">
            <w:pPr>
              <w:widowControl w:val="0"/>
              <w:autoSpaceDE w:val="0"/>
              <w:autoSpaceDN w:val="0"/>
              <w:jc w:val="both"/>
              <w:rPr>
                <w:color w:val="000000" w:themeColor="text1"/>
              </w:rPr>
            </w:pPr>
          </w:p>
          <w:p w14:paraId="3D5767E0" w14:textId="77777777" w:rsidR="00A37B92" w:rsidRPr="00C56257" w:rsidRDefault="00A37B92" w:rsidP="00C902DF">
            <w:pPr>
              <w:widowControl w:val="0"/>
              <w:autoSpaceDE w:val="0"/>
              <w:autoSpaceDN w:val="0"/>
              <w:jc w:val="both"/>
              <w:rPr>
                <w:color w:val="000000" w:themeColor="text1"/>
              </w:rPr>
            </w:pPr>
          </w:p>
          <w:p w14:paraId="5D38E067" w14:textId="77777777" w:rsidR="00A37B92" w:rsidRPr="00C56257" w:rsidRDefault="00A37B92" w:rsidP="00C902DF">
            <w:pPr>
              <w:widowControl w:val="0"/>
              <w:autoSpaceDE w:val="0"/>
              <w:autoSpaceDN w:val="0"/>
              <w:jc w:val="both"/>
              <w:rPr>
                <w:color w:val="000000" w:themeColor="text1"/>
              </w:rPr>
            </w:pPr>
          </w:p>
          <w:p w14:paraId="6A05BC10" w14:textId="77777777" w:rsidR="00A37B92" w:rsidRPr="00C56257" w:rsidRDefault="00A37B92" w:rsidP="00C902DF">
            <w:pPr>
              <w:widowControl w:val="0"/>
              <w:autoSpaceDE w:val="0"/>
              <w:autoSpaceDN w:val="0"/>
              <w:jc w:val="both"/>
              <w:rPr>
                <w:color w:val="000000" w:themeColor="text1"/>
              </w:rPr>
            </w:pPr>
          </w:p>
          <w:p w14:paraId="790C9A2F" w14:textId="77777777" w:rsidR="00A37B92" w:rsidRPr="00C56257" w:rsidRDefault="00A37B92" w:rsidP="00C902DF">
            <w:pPr>
              <w:widowControl w:val="0"/>
              <w:autoSpaceDE w:val="0"/>
              <w:autoSpaceDN w:val="0"/>
              <w:spacing w:before="9"/>
              <w:jc w:val="both"/>
              <w:rPr>
                <w:color w:val="000000" w:themeColor="text1"/>
              </w:rPr>
            </w:pPr>
          </w:p>
          <w:p w14:paraId="7383FE3F" w14:textId="77777777" w:rsidR="00A37B92" w:rsidRPr="00C56257" w:rsidRDefault="00A37B92" w:rsidP="00C902DF">
            <w:pPr>
              <w:widowControl w:val="0"/>
              <w:autoSpaceDE w:val="0"/>
              <w:autoSpaceDN w:val="0"/>
              <w:jc w:val="both"/>
              <w:rPr>
                <w:color w:val="000000" w:themeColor="text1"/>
              </w:rPr>
            </w:pPr>
            <w:r w:rsidRPr="00C56257">
              <w:rPr>
                <w:color w:val="000000" w:themeColor="text1"/>
              </w:rPr>
              <w:t>Favorabil</w:t>
            </w:r>
            <w:r w:rsidRPr="00C56257">
              <w:rPr>
                <w:color w:val="000000" w:themeColor="text1"/>
                <w:spacing w:val="-3"/>
              </w:rPr>
              <w:t xml:space="preserve"> </w:t>
            </w:r>
            <w:r w:rsidRPr="00C56257">
              <w:rPr>
                <w:color w:val="000000" w:themeColor="text1"/>
              </w:rPr>
              <w:t>(FV)</w:t>
            </w:r>
          </w:p>
        </w:tc>
        <w:tc>
          <w:tcPr>
            <w:tcW w:w="8165" w:type="dxa"/>
          </w:tcPr>
          <w:p w14:paraId="29BDBCC9" w14:textId="77777777" w:rsidR="00A37B92" w:rsidRPr="00C56257" w:rsidRDefault="00A37B92" w:rsidP="00C902DF">
            <w:pPr>
              <w:widowControl w:val="0"/>
              <w:autoSpaceDE w:val="0"/>
              <w:autoSpaceDN w:val="0"/>
              <w:spacing w:line="270" w:lineRule="exact"/>
              <w:jc w:val="both"/>
              <w:rPr>
                <w:color w:val="000000" w:themeColor="text1"/>
              </w:rPr>
            </w:pPr>
            <w:r w:rsidRPr="00C56257">
              <w:rPr>
                <w:color w:val="000000" w:themeColor="text1"/>
              </w:rPr>
              <w:t>În</w:t>
            </w:r>
            <w:r w:rsidRPr="00C56257">
              <w:rPr>
                <w:color w:val="000000" w:themeColor="text1"/>
                <w:spacing w:val="21"/>
              </w:rPr>
              <w:t xml:space="preserve"> </w:t>
            </w:r>
            <w:r w:rsidRPr="00C56257">
              <w:rPr>
                <w:color w:val="000000" w:themeColor="text1"/>
              </w:rPr>
              <w:t>conformitate</w:t>
            </w:r>
            <w:r w:rsidRPr="00C56257">
              <w:rPr>
                <w:color w:val="000000" w:themeColor="text1"/>
                <w:spacing w:val="21"/>
              </w:rPr>
              <w:t xml:space="preserve"> </w:t>
            </w:r>
            <w:r w:rsidRPr="00C56257">
              <w:rPr>
                <w:color w:val="000000" w:themeColor="text1"/>
              </w:rPr>
              <w:t>cu</w:t>
            </w:r>
            <w:r w:rsidRPr="00C56257">
              <w:rPr>
                <w:color w:val="000000" w:themeColor="text1"/>
                <w:spacing w:val="20"/>
              </w:rPr>
              <w:t xml:space="preserve"> </w:t>
            </w:r>
            <w:r w:rsidRPr="00C56257">
              <w:rPr>
                <w:color w:val="000000" w:themeColor="text1"/>
              </w:rPr>
              <w:t>matricea</w:t>
            </w:r>
            <w:r w:rsidRPr="00C56257">
              <w:rPr>
                <w:color w:val="000000" w:themeColor="text1"/>
                <w:spacing w:val="19"/>
              </w:rPr>
              <w:t xml:space="preserve"> </w:t>
            </w:r>
            <w:r w:rsidRPr="00C56257">
              <w:rPr>
                <w:color w:val="000000" w:themeColor="text1"/>
              </w:rPr>
              <w:t>de</w:t>
            </w:r>
            <w:r w:rsidRPr="00C56257">
              <w:rPr>
                <w:color w:val="000000" w:themeColor="text1"/>
                <w:spacing w:val="19"/>
              </w:rPr>
              <w:t xml:space="preserve"> </w:t>
            </w:r>
            <w:r w:rsidRPr="00C56257">
              <w:rPr>
                <w:color w:val="000000" w:themeColor="text1"/>
              </w:rPr>
              <w:t>evaluare</w:t>
            </w:r>
            <w:r w:rsidRPr="00C56257">
              <w:rPr>
                <w:color w:val="000000" w:themeColor="text1"/>
                <w:spacing w:val="21"/>
              </w:rPr>
              <w:t xml:space="preserve"> </w:t>
            </w:r>
            <w:r w:rsidRPr="00C56257">
              <w:rPr>
                <w:color w:val="000000" w:themeColor="text1"/>
              </w:rPr>
              <w:t>(anexa</w:t>
            </w:r>
            <w:r w:rsidRPr="00C56257">
              <w:rPr>
                <w:color w:val="000000" w:themeColor="text1"/>
                <w:spacing w:val="18"/>
              </w:rPr>
              <w:t xml:space="preserve"> </w:t>
            </w:r>
            <w:r w:rsidRPr="00C56257">
              <w:rPr>
                <w:color w:val="000000" w:themeColor="text1"/>
              </w:rPr>
              <w:t>E),</w:t>
            </w:r>
            <w:r w:rsidRPr="00C56257">
              <w:rPr>
                <w:color w:val="000000" w:themeColor="text1"/>
                <w:spacing w:val="20"/>
              </w:rPr>
              <w:t xml:space="preserve"> </w:t>
            </w:r>
            <w:r w:rsidRPr="00C56257">
              <w:rPr>
                <w:color w:val="000000" w:themeColor="text1"/>
              </w:rPr>
              <w:t>starea</w:t>
            </w:r>
            <w:r w:rsidRPr="00C56257">
              <w:rPr>
                <w:color w:val="000000" w:themeColor="text1"/>
                <w:spacing w:val="19"/>
              </w:rPr>
              <w:t xml:space="preserve"> </w:t>
            </w:r>
            <w:r w:rsidRPr="00C56257">
              <w:rPr>
                <w:color w:val="000000" w:themeColor="text1"/>
              </w:rPr>
              <w:t>și</w:t>
            </w:r>
            <w:r w:rsidRPr="00C56257">
              <w:rPr>
                <w:color w:val="000000" w:themeColor="text1"/>
                <w:spacing w:val="26"/>
              </w:rPr>
              <w:t xml:space="preserve"> </w:t>
            </w:r>
            <w:r w:rsidRPr="00C56257">
              <w:rPr>
                <w:color w:val="000000" w:themeColor="text1"/>
              </w:rPr>
              <w:t>funcțiile</w:t>
            </w:r>
            <w:r w:rsidRPr="00C56257">
              <w:rPr>
                <w:color w:val="000000" w:themeColor="text1"/>
                <w:spacing w:val="19"/>
              </w:rPr>
              <w:t xml:space="preserve"> </w:t>
            </w:r>
            <w:r w:rsidRPr="00C56257">
              <w:rPr>
                <w:color w:val="000000" w:themeColor="text1"/>
              </w:rPr>
              <w:t>sunt</w:t>
            </w:r>
          </w:p>
          <w:p w14:paraId="6F003545" w14:textId="77777777" w:rsidR="00A37B92" w:rsidRPr="00C56257" w:rsidRDefault="00A37B92" w:rsidP="00C902DF">
            <w:pPr>
              <w:widowControl w:val="0"/>
              <w:autoSpaceDE w:val="0"/>
              <w:autoSpaceDN w:val="0"/>
              <w:jc w:val="both"/>
              <w:rPr>
                <w:color w:val="000000" w:themeColor="text1"/>
              </w:rPr>
            </w:pPr>
            <w:r w:rsidRPr="00C56257">
              <w:rPr>
                <w:color w:val="000000" w:themeColor="text1"/>
              </w:rPr>
              <w:t>„favorabile”</w:t>
            </w:r>
            <w:r w:rsidRPr="00C56257">
              <w:rPr>
                <w:color w:val="000000" w:themeColor="text1"/>
                <w:spacing w:val="-4"/>
              </w:rPr>
              <w:t xml:space="preserve"> </w:t>
            </w:r>
            <w:r w:rsidRPr="00C56257">
              <w:rPr>
                <w:color w:val="000000" w:themeColor="text1"/>
              </w:rPr>
              <w:t>dacă:</w:t>
            </w:r>
          </w:p>
          <w:p w14:paraId="7608987E" w14:textId="77777777" w:rsidR="00A37B92" w:rsidRPr="00C56257" w:rsidRDefault="00A37B92" w:rsidP="009E63E5">
            <w:pPr>
              <w:widowControl w:val="0"/>
              <w:numPr>
                <w:ilvl w:val="0"/>
                <w:numId w:val="92"/>
              </w:numPr>
              <w:tabs>
                <w:tab w:val="left" w:pos="828"/>
                <w:tab w:val="left" w:pos="829"/>
              </w:tabs>
              <w:autoSpaceDE w:val="0"/>
              <w:autoSpaceDN w:val="0"/>
              <w:spacing w:line="286" w:lineRule="exact"/>
              <w:ind w:left="828" w:hanging="362"/>
              <w:jc w:val="both"/>
              <w:rPr>
                <w:color w:val="000000" w:themeColor="text1"/>
              </w:rPr>
            </w:pPr>
            <w:r w:rsidRPr="00C56257">
              <w:rPr>
                <w:color w:val="000000" w:themeColor="text1"/>
              </w:rPr>
              <w:t>structura</w:t>
            </w:r>
            <w:r w:rsidRPr="00C56257">
              <w:rPr>
                <w:color w:val="000000" w:themeColor="text1"/>
                <w:spacing w:val="-4"/>
              </w:rPr>
              <w:t xml:space="preserve"> </w:t>
            </w:r>
            <w:r w:rsidRPr="00C56257">
              <w:rPr>
                <w:color w:val="000000" w:themeColor="text1"/>
              </w:rPr>
              <w:t>și</w:t>
            </w:r>
            <w:r w:rsidRPr="00C56257">
              <w:rPr>
                <w:color w:val="000000" w:themeColor="text1"/>
                <w:spacing w:val="-3"/>
              </w:rPr>
              <w:t xml:space="preserve"> </w:t>
            </w:r>
            <w:r w:rsidRPr="00C56257">
              <w:rPr>
                <w:color w:val="000000" w:themeColor="text1"/>
              </w:rPr>
              <w:t>funcțiile</w:t>
            </w:r>
            <w:r w:rsidRPr="00C56257">
              <w:rPr>
                <w:color w:val="000000" w:themeColor="text1"/>
                <w:spacing w:val="-2"/>
              </w:rPr>
              <w:t xml:space="preserve"> </w:t>
            </w:r>
            <w:r w:rsidRPr="00C56257">
              <w:rPr>
                <w:color w:val="000000" w:themeColor="text1"/>
              </w:rPr>
              <w:t>(inclusiv</w:t>
            </w:r>
            <w:r w:rsidRPr="00C56257">
              <w:rPr>
                <w:color w:val="000000" w:themeColor="text1"/>
                <w:spacing w:val="-2"/>
              </w:rPr>
              <w:t xml:space="preserve"> </w:t>
            </w:r>
            <w:r w:rsidRPr="00C56257">
              <w:rPr>
                <w:color w:val="000000" w:themeColor="text1"/>
              </w:rPr>
              <w:t>speciile</w:t>
            </w:r>
            <w:r w:rsidRPr="00C56257">
              <w:rPr>
                <w:color w:val="000000" w:themeColor="text1"/>
                <w:spacing w:val="-1"/>
              </w:rPr>
              <w:t xml:space="preserve"> </w:t>
            </w:r>
            <w:r w:rsidRPr="00C56257">
              <w:rPr>
                <w:color w:val="000000" w:themeColor="text1"/>
              </w:rPr>
              <w:t>tipice)</w:t>
            </w:r>
            <w:r w:rsidRPr="00C56257">
              <w:rPr>
                <w:color w:val="000000" w:themeColor="text1"/>
                <w:spacing w:val="-2"/>
              </w:rPr>
              <w:t xml:space="preserve"> </w:t>
            </w:r>
            <w:r w:rsidRPr="00C56257">
              <w:rPr>
                <w:color w:val="000000" w:themeColor="text1"/>
              </w:rPr>
              <w:t>sunt</w:t>
            </w:r>
            <w:r w:rsidRPr="00C56257">
              <w:rPr>
                <w:color w:val="000000" w:themeColor="text1"/>
                <w:spacing w:val="-3"/>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stare</w:t>
            </w:r>
            <w:r w:rsidRPr="00C56257">
              <w:rPr>
                <w:color w:val="000000" w:themeColor="text1"/>
                <w:spacing w:val="-3"/>
              </w:rPr>
              <w:t xml:space="preserve"> </w:t>
            </w:r>
            <w:r w:rsidRPr="00C56257">
              <w:rPr>
                <w:color w:val="000000" w:themeColor="text1"/>
              </w:rPr>
              <w:t>bună;</w:t>
            </w:r>
            <w:r w:rsidRPr="00C56257">
              <w:rPr>
                <w:color w:val="000000" w:themeColor="text1"/>
                <w:spacing w:val="-1"/>
              </w:rPr>
              <w:t xml:space="preserve"> </w:t>
            </w:r>
            <w:r w:rsidRPr="00C56257">
              <w:rPr>
                <w:color w:val="000000" w:themeColor="text1"/>
              </w:rPr>
              <w:t>și</w:t>
            </w:r>
          </w:p>
          <w:p w14:paraId="42CF0080" w14:textId="77777777" w:rsidR="00A37B92" w:rsidRPr="00C56257" w:rsidRDefault="00A37B92" w:rsidP="009E63E5">
            <w:pPr>
              <w:widowControl w:val="0"/>
              <w:numPr>
                <w:ilvl w:val="0"/>
                <w:numId w:val="92"/>
              </w:numPr>
              <w:tabs>
                <w:tab w:val="left" w:pos="828"/>
                <w:tab w:val="left" w:pos="829"/>
              </w:tabs>
              <w:autoSpaceDE w:val="0"/>
              <w:autoSpaceDN w:val="0"/>
              <w:spacing w:before="2" w:line="230" w:lineRule="auto"/>
              <w:ind w:right="2131" w:firstLine="360"/>
              <w:jc w:val="both"/>
              <w:rPr>
                <w:color w:val="000000" w:themeColor="text1"/>
              </w:rPr>
            </w:pPr>
            <w:r w:rsidRPr="00C56257">
              <w:rPr>
                <w:color w:val="000000" w:themeColor="text1"/>
              </w:rPr>
              <w:t>și</w:t>
            </w:r>
            <w:r w:rsidRPr="00C56257">
              <w:rPr>
                <w:color w:val="000000" w:themeColor="text1"/>
                <w:spacing w:val="-4"/>
              </w:rPr>
              <w:t xml:space="preserve"> </w:t>
            </w:r>
            <w:r w:rsidRPr="00C56257">
              <w:rPr>
                <w:color w:val="000000" w:themeColor="text1"/>
              </w:rPr>
              <w:t>nu</w:t>
            </w:r>
            <w:r w:rsidRPr="00C56257">
              <w:rPr>
                <w:color w:val="000000" w:themeColor="text1"/>
                <w:spacing w:val="-3"/>
              </w:rPr>
              <w:t xml:space="preserve"> </w:t>
            </w:r>
            <w:r w:rsidRPr="00C56257">
              <w:rPr>
                <w:color w:val="000000" w:themeColor="text1"/>
              </w:rPr>
              <w:t>există</w:t>
            </w:r>
            <w:r w:rsidRPr="00C56257">
              <w:rPr>
                <w:color w:val="000000" w:themeColor="text1"/>
                <w:spacing w:val="-3"/>
              </w:rPr>
              <w:t xml:space="preserve"> </w:t>
            </w:r>
            <w:r w:rsidRPr="00C56257">
              <w:rPr>
                <w:color w:val="000000" w:themeColor="text1"/>
              </w:rPr>
              <w:t>deteriorări</w:t>
            </w:r>
            <w:r w:rsidRPr="00C56257">
              <w:rPr>
                <w:color w:val="000000" w:themeColor="text1"/>
                <w:spacing w:val="-4"/>
              </w:rPr>
              <w:t xml:space="preserve"> </w:t>
            </w:r>
            <w:r w:rsidRPr="00C56257">
              <w:rPr>
                <w:color w:val="000000" w:themeColor="text1"/>
              </w:rPr>
              <w:t>/</w:t>
            </w:r>
            <w:r w:rsidRPr="00C56257">
              <w:rPr>
                <w:color w:val="000000" w:themeColor="text1"/>
                <w:spacing w:val="-3"/>
              </w:rPr>
              <w:t xml:space="preserve"> </w:t>
            </w:r>
            <w:r w:rsidRPr="00C56257">
              <w:rPr>
                <w:color w:val="000000" w:themeColor="text1"/>
              </w:rPr>
              <w:t>presiuni</w:t>
            </w:r>
            <w:r w:rsidRPr="00C56257">
              <w:rPr>
                <w:color w:val="000000" w:themeColor="text1"/>
                <w:spacing w:val="-3"/>
              </w:rPr>
              <w:t xml:space="preserve"> </w:t>
            </w:r>
            <w:r w:rsidRPr="00C56257">
              <w:rPr>
                <w:color w:val="000000" w:themeColor="text1"/>
              </w:rPr>
              <w:t>semnificative.</w:t>
            </w:r>
            <w:r w:rsidRPr="00C56257">
              <w:rPr>
                <w:color w:val="000000" w:themeColor="text1"/>
                <w:spacing w:val="-57"/>
              </w:rPr>
              <w:t xml:space="preserve"> </w:t>
            </w:r>
            <w:r w:rsidRPr="00C56257">
              <w:rPr>
                <w:color w:val="000000" w:themeColor="text1"/>
              </w:rPr>
              <w:t>Informațiisuplimentare:</w:t>
            </w:r>
          </w:p>
          <w:p w14:paraId="1A53098A" w14:textId="77777777" w:rsidR="00A37B92" w:rsidRPr="00C56257" w:rsidRDefault="00A37B92" w:rsidP="009E63E5">
            <w:pPr>
              <w:widowControl w:val="0"/>
              <w:numPr>
                <w:ilvl w:val="0"/>
                <w:numId w:val="91"/>
              </w:numPr>
              <w:tabs>
                <w:tab w:val="left" w:pos="829"/>
              </w:tabs>
              <w:autoSpaceDE w:val="0"/>
              <w:autoSpaceDN w:val="0"/>
              <w:spacing w:before="1"/>
              <w:ind w:right="99"/>
              <w:jc w:val="both"/>
              <w:rPr>
                <w:color w:val="000000" w:themeColor="text1"/>
              </w:rPr>
            </w:pPr>
            <w:r w:rsidRPr="00C56257">
              <w:rPr>
                <w:color w:val="000000" w:themeColor="text1"/>
              </w:rPr>
              <w:t>Matricea</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evaluare</w:t>
            </w:r>
            <w:r w:rsidRPr="00C56257">
              <w:rPr>
                <w:color w:val="000000" w:themeColor="text1"/>
                <w:spacing w:val="1"/>
              </w:rPr>
              <w:t xml:space="preserve"> </w:t>
            </w:r>
            <w:r w:rsidRPr="00C56257">
              <w:rPr>
                <w:color w:val="000000" w:themeColor="text1"/>
              </w:rPr>
              <w:t>afirmă</w:t>
            </w:r>
            <w:r w:rsidRPr="00C56257">
              <w:rPr>
                <w:color w:val="000000" w:themeColor="text1"/>
                <w:spacing w:val="1"/>
              </w:rPr>
              <w:t xml:space="preserve"> </w:t>
            </w:r>
            <w:r w:rsidRPr="00C56257">
              <w:rPr>
                <w:color w:val="000000" w:themeColor="text1"/>
              </w:rPr>
              <w:t>că,</w:t>
            </w:r>
            <w:r w:rsidRPr="00C56257">
              <w:rPr>
                <w:color w:val="000000" w:themeColor="text1"/>
                <w:spacing w:val="1"/>
              </w:rPr>
              <w:t xml:space="preserve"> </w:t>
            </w:r>
            <w:r w:rsidRPr="00C56257">
              <w:rPr>
                <w:color w:val="000000" w:themeColor="text1"/>
              </w:rPr>
              <w:t>dacă</w:t>
            </w:r>
            <w:r w:rsidRPr="00C56257">
              <w:rPr>
                <w:color w:val="000000" w:themeColor="text1"/>
                <w:spacing w:val="1"/>
              </w:rPr>
              <w:t xml:space="preserve"> </w:t>
            </w:r>
            <w:r w:rsidRPr="00C56257">
              <w:rPr>
                <w:color w:val="000000" w:themeColor="text1"/>
              </w:rPr>
              <w:t>mai</w:t>
            </w:r>
            <w:r w:rsidRPr="00C56257">
              <w:rPr>
                <w:color w:val="000000" w:themeColor="text1"/>
                <w:spacing w:val="1"/>
              </w:rPr>
              <w:t xml:space="preserve"> </w:t>
            </w:r>
            <w:r w:rsidRPr="00C56257">
              <w:rPr>
                <w:color w:val="000000" w:themeColor="text1"/>
              </w:rPr>
              <w:t>mult</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25%</w:t>
            </w:r>
            <w:r w:rsidRPr="00C56257">
              <w:rPr>
                <w:color w:val="000000" w:themeColor="text1"/>
                <w:spacing w:val="60"/>
              </w:rPr>
              <w:t xml:space="preserve"> </w:t>
            </w:r>
            <w:r w:rsidRPr="00C56257">
              <w:rPr>
                <w:color w:val="000000" w:themeColor="text1"/>
              </w:rPr>
              <w:t>din</w:t>
            </w:r>
            <w:r w:rsidRPr="00C56257">
              <w:rPr>
                <w:color w:val="000000" w:themeColor="text1"/>
                <w:spacing w:val="1"/>
              </w:rPr>
              <w:t xml:space="preserve"> </w:t>
            </w:r>
            <w:r w:rsidRPr="00C56257">
              <w:rPr>
                <w:color w:val="000000" w:themeColor="text1"/>
              </w:rPr>
              <w:t>suprafața</w:t>
            </w:r>
            <w:r w:rsidRPr="00C56257">
              <w:rPr>
                <w:color w:val="000000" w:themeColor="text1"/>
                <w:spacing w:val="18"/>
              </w:rPr>
              <w:t xml:space="preserve"> </w:t>
            </w:r>
            <w:r w:rsidRPr="00C56257">
              <w:rPr>
                <w:color w:val="000000" w:themeColor="text1"/>
              </w:rPr>
              <w:t>de</w:t>
            </w:r>
            <w:r w:rsidRPr="00C56257">
              <w:rPr>
                <w:color w:val="000000" w:themeColor="text1"/>
                <w:spacing w:val="18"/>
              </w:rPr>
              <w:t xml:space="preserve"> </w:t>
            </w:r>
            <w:r w:rsidRPr="00C56257">
              <w:rPr>
                <w:color w:val="000000" w:themeColor="text1"/>
              </w:rPr>
              <w:t>tip</w:t>
            </w:r>
            <w:r w:rsidRPr="00C56257">
              <w:rPr>
                <w:color w:val="000000" w:themeColor="text1"/>
                <w:spacing w:val="20"/>
              </w:rPr>
              <w:t xml:space="preserve"> </w:t>
            </w:r>
            <w:r w:rsidRPr="00C56257">
              <w:rPr>
                <w:color w:val="000000" w:themeColor="text1"/>
              </w:rPr>
              <w:t>habitat</w:t>
            </w:r>
            <w:r w:rsidRPr="00C56257">
              <w:rPr>
                <w:color w:val="000000" w:themeColor="text1"/>
                <w:spacing w:val="22"/>
              </w:rPr>
              <w:t xml:space="preserve"> </w:t>
            </w:r>
            <w:r w:rsidRPr="00C56257">
              <w:rPr>
                <w:color w:val="000000" w:themeColor="text1"/>
              </w:rPr>
              <w:t>din</w:t>
            </w:r>
            <w:r w:rsidRPr="00C56257">
              <w:rPr>
                <w:color w:val="000000" w:themeColor="text1"/>
                <w:spacing w:val="19"/>
              </w:rPr>
              <w:t xml:space="preserve"> </w:t>
            </w:r>
            <w:r w:rsidRPr="00C56257">
              <w:rPr>
                <w:color w:val="000000" w:themeColor="text1"/>
              </w:rPr>
              <w:t>regiunea</w:t>
            </w:r>
            <w:r w:rsidRPr="00C56257">
              <w:rPr>
                <w:color w:val="000000" w:themeColor="text1"/>
                <w:spacing w:val="18"/>
              </w:rPr>
              <w:t xml:space="preserve"> </w:t>
            </w:r>
            <w:r w:rsidRPr="00C56257">
              <w:rPr>
                <w:color w:val="000000" w:themeColor="text1"/>
              </w:rPr>
              <w:t>evaluată</w:t>
            </w:r>
            <w:r w:rsidRPr="00C56257">
              <w:rPr>
                <w:color w:val="000000" w:themeColor="text1"/>
                <w:spacing w:val="20"/>
              </w:rPr>
              <w:t xml:space="preserve"> </w:t>
            </w:r>
            <w:r w:rsidRPr="00C56257">
              <w:rPr>
                <w:color w:val="000000" w:themeColor="text1"/>
              </w:rPr>
              <w:t>este</w:t>
            </w:r>
            <w:r w:rsidRPr="00C56257">
              <w:rPr>
                <w:color w:val="000000" w:themeColor="text1"/>
                <w:spacing w:val="19"/>
              </w:rPr>
              <w:t xml:space="preserve"> </w:t>
            </w:r>
            <w:r w:rsidRPr="00C56257">
              <w:rPr>
                <w:color w:val="000000" w:themeColor="text1"/>
              </w:rPr>
              <w:t>considerată</w:t>
            </w:r>
          </w:p>
          <w:p w14:paraId="7EA1C134" w14:textId="77777777" w:rsidR="00A37B92" w:rsidRPr="00C56257" w:rsidRDefault="00A37B92" w:rsidP="00C902DF">
            <w:pPr>
              <w:widowControl w:val="0"/>
              <w:autoSpaceDE w:val="0"/>
              <w:autoSpaceDN w:val="0"/>
              <w:spacing w:before="1"/>
              <w:ind w:right="95"/>
              <w:jc w:val="both"/>
              <w:rPr>
                <w:color w:val="000000" w:themeColor="text1"/>
              </w:rPr>
            </w:pPr>
            <w:r w:rsidRPr="00C56257">
              <w:rPr>
                <w:color w:val="000000" w:themeColor="text1"/>
              </w:rPr>
              <w:t>„defavorabilă”</w:t>
            </w:r>
            <w:r w:rsidRPr="00C56257">
              <w:rPr>
                <w:color w:val="000000" w:themeColor="text1"/>
                <w:spacing w:val="1"/>
              </w:rPr>
              <w:t xml:space="preserve"> </w:t>
            </w:r>
            <w:r w:rsidRPr="00C56257">
              <w:rPr>
                <w:color w:val="000000" w:themeColor="text1"/>
              </w:rPr>
              <w:t>(adică</w:t>
            </w:r>
            <w:r w:rsidRPr="00C56257">
              <w:rPr>
                <w:color w:val="000000" w:themeColor="text1"/>
                <w:spacing w:val="1"/>
              </w:rPr>
              <w:t xml:space="preserve"> </w:t>
            </w:r>
            <w:r w:rsidRPr="00C56257">
              <w:rPr>
                <w:color w:val="000000" w:themeColor="text1"/>
              </w:rPr>
              <w:t>nu</w:t>
            </w:r>
            <w:r w:rsidRPr="00C56257">
              <w:rPr>
                <w:color w:val="000000" w:themeColor="text1"/>
                <w:spacing w:val="1"/>
              </w:rPr>
              <w:t xml:space="preserve"> </w:t>
            </w:r>
            <w:r w:rsidRPr="00C56257">
              <w:rPr>
                <w:color w:val="000000" w:themeColor="text1"/>
              </w:rPr>
              <w:t>este</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stare</w:t>
            </w:r>
            <w:r w:rsidRPr="00C56257">
              <w:rPr>
                <w:color w:val="000000" w:themeColor="text1"/>
                <w:spacing w:val="1"/>
              </w:rPr>
              <w:t xml:space="preserve"> </w:t>
            </w:r>
            <w:r w:rsidRPr="00C56257">
              <w:rPr>
                <w:color w:val="000000" w:themeColor="text1"/>
              </w:rPr>
              <w:t>bună),</w:t>
            </w:r>
            <w:r w:rsidRPr="00C56257">
              <w:rPr>
                <w:color w:val="000000" w:themeColor="text1"/>
                <w:spacing w:val="1"/>
              </w:rPr>
              <w:t xml:space="preserve"> </w:t>
            </w:r>
            <w:r w:rsidRPr="00C56257">
              <w:rPr>
                <w:color w:val="000000" w:themeColor="text1"/>
              </w:rPr>
              <w:t>atunci</w:t>
            </w:r>
            <w:r w:rsidRPr="00C56257">
              <w:rPr>
                <w:color w:val="000000" w:themeColor="text1"/>
                <w:spacing w:val="1"/>
              </w:rPr>
              <w:t xml:space="preserve"> </w:t>
            </w:r>
            <w:r w:rsidRPr="00C56257">
              <w:rPr>
                <w:color w:val="000000" w:themeColor="text1"/>
              </w:rPr>
              <w:t>statutul</w:t>
            </w:r>
            <w:r w:rsidRPr="00C56257">
              <w:rPr>
                <w:color w:val="000000" w:themeColor="text1"/>
                <w:spacing w:val="1"/>
              </w:rPr>
              <w:t xml:space="preserve"> </w:t>
            </w:r>
            <w:r w:rsidRPr="00C56257">
              <w:rPr>
                <w:color w:val="000000" w:themeColor="text1"/>
              </w:rPr>
              <w:t>și</w:t>
            </w:r>
            <w:r w:rsidRPr="00C56257">
              <w:rPr>
                <w:color w:val="000000" w:themeColor="text1"/>
                <w:spacing w:val="1"/>
              </w:rPr>
              <w:t xml:space="preserve"> </w:t>
            </w:r>
            <w:r w:rsidRPr="00C56257">
              <w:rPr>
                <w:color w:val="000000" w:themeColor="text1"/>
              </w:rPr>
              <w:t>funcțiile sunt „nefavorabile-rele”. Cu toate acestea, nu oferă criterii</w:t>
            </w:r>
            <w:r w:rsidRPr="00C56257">
              <w:rPr>
                <w:color w:val="000000" w:themeColor="text1"/>
                <w:spacing w:val="1"/>
              </w:rPr>
              <w:t xml:space="preserve"> </w:t>
            </w:r>
            <w:r w:rsidRPr="00C56257">
              <w:rPr>
                <w:color w:val="000000" w:themeColor="text1"/>
              </w:rPr>
              <w:t>numerice</w:t>
            </w:r>
            <w:r w:rsidRPr="00C56257">
              <w:rPr>
                <w:color w:val="000000" w:themeColor="text1"/>
                <w:spacing w:val="1"/>
              </w:rPr>
              <w:t xml:space="preserve"> </w:t>
            </w:r>
            <w:r w:rsidRPr="00C56257">
              <w:rPr>
                <w:color w:val="000000" w:themeColor="text1"/>
              </w:rPr>
              <w:t>pentru</w:t>
            </w:r>
            <w:r w:rsidRPr="00C56257">
              <w:rPr>
                <w:color w:val="000000" w:themeColor="text1"/>
                <w:spacing w:val="1"/>
              </w:rPr>
              <w:t xml:space="preserve"> </w:t>
            </w:r>
            <w:r w:rsidRPr="00C56257">
              <w:rPr>
                <w:color w:val="000000" w:themeColor="text1"/>
              </w:rPr>
              <w:t>„favorabile”</w:t>
            </w:r>
            <w:r w:rsidRPr="00C56257">
              <w:rPr>
                <w:color w:val="000000" w:themeColor="text1"/>
                <w:spacing w:val="1"/>
              </w:rPr>
              <w:t xml:space="preserve"> </w:t>
            </w:r>
            <w:r w:rsidRPr="00C56257">
              <w:rPr>
                <w:color w:val="000000" w:themeColor="text1"/>
              </w:rPr>
              <w:t>sau</w:t>
            </w:r>
            <w:r w:rsidRPr="00C56257">
              <w:rPr>
                <w:color w:val="000000" w:themeColor="text1"/>
                <w:spacing w:val="1"/>
              </w:rPr>
              <w:t xml:space="preserve"> </w:t>
            </w:r>
            <w:r w:rsidRPr="00C56257">
              <w:rPr>
                <w:color w:val="000000" w:themeColor="text1"/>
              </w:rPr>
              <w:t>„nefavorabile-inadecvate”.</w:t>
            </w:r>
            <w:r w:rsidRPr="00C56257">
              <w:rPr>
                <w:color w:val="000000" w:themeColor="text1"/>
                <w:spacing w:val="60"/>
              </w:rPr>
              <w:t xml:space="preserve"> </w:t>
            </w:r>
            <w:r w:rsidRPr="00C56257">
              <w:rPr>
                <w:color w:val="000000" w:themeColor="text1"/>
              </w:rPr>
              <w:t>Se</w:t>
            </w:r>
            <w:r w:rsidRPr="00C56257">
              <w:rPr>
                <w:color w:val="000000" w:themeColor="text1"/>
                <w:spacing w:val="1"/>
              </w:rPr>
              <w:t xml:space="preserve"> </w:t>
            </w:r>
            <w:r w:rsidRPr="00C56257">
              <w:rPr>
                <w:color w:val="000000" w:themeColor="text1"/>
              </w:rPr>
              <w:t>pare că, în rapoartele anterioare, statele membre au utilizat praguri</w:t>
            </w:r>
            <w:r w:rsidRPr="00C56257">
              <w:rPr>
                <w:color w:val="000000" w:themeColor="text1"/>
                <w:spacing w:val="1"/>
              </w:rPr>
              <w:t xml:space="preserve"> </w:t>
            </w:r>
            <w:r w:rsidRPr="00C56257">
              <w:rPr>
                <w:color w:val="000000" w:themeColor="text1"/>
              </w:rPr>
              <w:t>foarte</w:t>
            </w:r>
            <w:r w:rsidRPr="00C56257">
              <w:rPr>
                <w:color w:val="000000" w:themeColor="text1"/>
                <w:spacing w:val="20"/>
              </w:rPr>
              <w:t xml:space="preserve"> </w:t>
            </w:r>
            <w:r w:rsidRPr="00C56257">
              <w:rPr>
                <w:color w:val="000000" w:themeColor="text1"/>
              </w:rPr>
              <w:t>diferite</w:t>
            </w:r>
            <w:r w:rsidRPr="00C56257">
              <w:rPr>
                <w:color w:val="000000" w:themeColor="text1"/>
                <w:spacing w:val="24"/>
              </w:rPr>
              <w:t xml:space="preserve"> </w:t>
            </w:r>
            <w:r w:rsidRPr="00C56257">
              <w:rPr>
                <w:color w:val="000000" w:themeColor="text1"/>
              </w:rPr>
              <w:t>ale</w:t>
            </w:r>
            <w:r w:rsidRPr="00C56257">
              <w:rPr>
                <w:color w:val="000000" w:themeColor="text1"/>
                <w:spacing w:val="22"/>
              </w:rPr>
              <w:t xml:space="preserve"> </w:t>
            </w:r>
            <w:r w:rsidRPr="00C56257">
              <w:rPr>
                <w:color w:val="000000" w:themeColor="text1"/>
              </w:rPr>
              <w:t>proporției</w:t>
            </w:r>
            <w:r w:rsidRPr="00C56257">
              <w:rPr>
                <w:color w:val="000000" w:themeColor="text1"/>
                <w:spacing w:val="23"/>
              </w:rPr>
              <w:t xml:space="preserve"> </w:t>
            </w:r>
            <w:r w:rsidRPr="00C56257">
              <w:rPr>
                <w:color w:val="000000" w:themeColor="text1"/>
              </w:rPr>
              <w:t>de</w:t>
            </w:r>
            <w:r w:rsidRPr="00C56257">
              <w:rPr>
                <w:color w:val="000000" w:themeColor="text1"/>
                <w:spacing w:val="21"/>
              </w:rPr>
              <w:t xml:space="preserve"> </w:t>
            </w:r>
            <w:r w:rsidRPr="00C56257">
              <w:rPr>
                <w:color w:val="000000" w:themeColor="text1"/>
              </w:rPr>
              <w:t>suprafață</w:t>
            </w:r>
            <w:r w:rsidRPr="00C56257">
              <w:rPr>
                <w:color w:val="000000" w:themeColor="text1"/>
                <w:spacing w:val="24"/>
              </w:rPr>
              <w:t xml:space="preserve"> </w:t>
            </w:r>
            <w:r w:rsidRPr="00C56257">
              <w:rPr>
                <w:color w:val="000000" w:themeColor="text1"/>
              </w:rPr>
              <w:t>a</w:t>
            </w:r>
            <w:r w:rsidRPr="00C56257">
              <w:rPr>
                <w:color w:val="000000" w:themeColor="text1"/>
                <w:spacing w:val="21"/>
              </w:rPr>
              <w:t xml:space="preserve"> </w:t>
            </w:r>
            <w:r w:rsidRPr="00C56257">
              <w:rPr>
                <w:color w:val="000000" w:themeColor="text1"/>
              </w:rPr>
              <w:t>habitatului</w:t>
            </w:r>
            <w:r w:rsidRPr="00C56257">
              <w:rPr>
                <w:color w:val="000000" w:themeColor="text1"/>
                <w:spacing w:val="23"/>
              </w:rPr>
              <w:t xml:space="preserve"> </w:t>
            </w:r>
            <w:r w:rsidRPr="00C56257">
              <w:rPr>
                <w:color w:val="000000" w:themeColor="text1"/>
              </w:rPr>
              <w:t>care</w:t>
            </w:r>
            <w:r w:rsidRPr="00C56257">
              <w:rPr>
                <w:color w:val="000000" w:themeColor="text1"/>
                <w:spacing w:val="21"/>
              </w:rPr>
              <w:t xml:space="preserve"> </w:t>
            </w:r>
            <w:r w:rsidRPr="00C56257">
              <w:rPr>
                <w:color w:val="000000" w:themeColor="text1"/>
              </w:rPr>
              <w:t>trebuie</w:t>
            </w:r>
            <w:r w:rsidRPr="00C56257">
              <w:rPr>
                <w:color w:val="000000" w:themeColor="text1"/>
                <w:spacing w:val="-58"/>
              </w:rPr>
              <w:t xml:space="preserve"> </w:t>
            </w:r>
            <w:r w:rsidRPr="00C56257">
              <w:rPr>
                <w:color w:val="000000" w:themeColor="text1"/>
              </w:rPr>
              <w:t>să</w:t>
            </w:r>
            <w:r w:rsidRPr="00C56257">
              <w:rPr>
                <w:color w:val="000000" w:themeColor="text1"/>
                <w:spacing w:val="1"/>
              </w:rPr>
              <w:t xml:space="preserve"> </w:t>
            </w:r>
            <w:r w:rsidRPr="00C56257">
              <w:rPr>
                <w:color w:val="000000" w:themeColor="text1"/>
              </w:rPr>
              <w:t>fie</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stare</w:t>
            </w:r>
            <w:r w:rsidRPr="00C56257">
              <w:rPr>
                <w:color w:val="000000" w:themeColor="text1"/>
                <w:spacing w:val="1"/>
              </w:rPr>
              <w:t xml:space="preserve"> </w:t>
            </w:r>
            <w:r w:rsidRPr="00C56257">
              <w:rPr>
                <w:color w:val="000000" w:themeColor="text1"/>
              </w:rPr>
              <w:t>bună</w:t>
            </w:r>
            <w:r w:rsidRPr="00C56257">
              <w:rPr>
                <w:color w:val="000000" w:themeColor="text1"/>
                <w:spacing w:val="1"/>
              </w:rPr>
              <w:t xml:space="preserve"> </w:t>
            </w:r>
            <w:r w:rsidRPr="00C56257">
              <w:rPr>
                <w:color w:val="000000" w:themeColor="text1"/>
              </w:rPr>
              <w:t>pentru</w:t>
            </w:r>
            <w:r w:rsidRPr="00C56257">
              <w:rPr>
                <w:color w:val="000000" w:themeColor="text1"/>
                <w:spacing w:val="1"/>
              </w:rPr>
              <w:t xml:space="preserve"> </w:t>
            </w:r>
            <w:r w:rsidRPr="00C56257">
              <w:rPr>
                <w:color w:val="000000" w:themeColor="text1"/>
              </w:rPr>
              <w:t>a</w:t>
            </w:r>
            <w:r w:rsidRPr="00C56257">
              <w:rPr>
                <w:color w:val="000000" w:themeColor="text1"/>
                <w:spacing w:val="1"/>
              </w:rPr>
              <w:t xml:space="preserve"> </w:t>
            </w:r>
            <w:r w:rsidRPr="00C56257">
              <w:rPr>
                <w:color w:val="000000" w:themeColor="text1"/>
              </w:rPr>
              <w:t>justifica</w:t>
            </w:r>
            <w:r w:rsidRPr="00C56257">
              <w:rPr>
                <w:color w:val="000000" w:themeColor="text1"/>
                <w:spacing w:val="1"/>
              </w:rPr>
              <w:t xml:space="preserve"> </w:t>
            </w:r>
            <w:r w:rsidRPr="00C56257">
              <w:rPr>
                <w:color w:val="000000" w:themeColor="text1"/>
              </w:rPr>
              <w:t>evaluarea</w:t>
            </w:r>
            <w:r w:rsidRPr="00C56257">
              <w:rPr>
                <w:color w:val="000000" w:themeColor="text1"/>
                <w:spacing w:val="1"/>
              </w:rPr>
              <w:t xml:space="preserve"> </w:t>
            </w:r>
            <w:r w:rsidRPr="00C56257">
              <w:rPr>
                <w:color w:val="000000" w:themeColor="text1"/>
              </w:rPr>
              <w:t>structurii</w:t>
            </w:r>
            <w:r w:rsidRPr="00C56257">
              <w:rPr>
                <w:color w:val="000000" w:themeColor="text1"/>
                <w:spacing w:val="60"/>
              </w:rPr>
              <w:t xml:space="preserve"> </w:t>
            </w:r>
            <w:r w:rsidRPr="00C56257">
              <w:rPr>
                <w:color w:val="000000" w:themeColor="text1"/>
              </w:rPr>
              <w:t>și</w:t>
            </w:r>
            <w:r w:rsidRPr="00C56257">
              <w:rPr>
                <w:color w:val="000000" w:themeColor="text1"/>
                <w:spacing w:val="1"/>
              </w:rPr>
              <w:t xml:space="preserve"> </w:t>
            </w:r>
            <w:r w:rsidRPr="00C56257">
              <w:rPr>
                <w:color w:val="000000" w:themeColor="text1"/>
              </w:rPr>
              <w:t>funcțiilor ca fiind „favorabile”. În mod ideal, întreaga suprafață a</w:t>
            </w:r>
            <w:r w:rsidRPr="00C56257">
              <w:rPr>
                <w:color w:val="000000" w:themeColor="text1"/>
                <w:spacing w:val="1"/>
              </w:rPr>
              <w:t xml:space="preserve"> </w:t>
            </w:r>
            <w:r w:rsidRPr="00C56257">
              <w:rPr>
                <w:color w:val="000000" w:themeColor="text1"/>
              </w:rPr>
              <w:t>unui tip de habitat ar trebui să fie în stare bună pentru ca structura și</w:t>
            </w:r>
            <w:r w:rsidRPr="00C56257">
              <w:rPr>
                <w:color w:val="000000" w:themeColor="text1"/>
                <w:spacing w:val="-57"/>
              </w:rPr>
              <w:t xml:space="preserve"> </w:t>
            </w:r>
            <w:r w:rsidRPr="00C56257">
              <w:rPr>
                <w:color w:val="000000" w:themeColor="text1"/>
              </w:rPr>
              <w:t>funcțiile</w:t>
            </w:r>
            <w:r w:rsidRPr="00C56257">
              <w:rPr>
                <w:color w:val="000000" w:themeColor="text1"/>
                <w:spacing w:val="1"/>
              </w:rPr>
              <w:t xml:space="preserve"> </w:t>
            </w:r>
            <w:r w:rsidRPr="00C56257">
              <w:rPr>
                <w:color w:val="000000" w:themeColor="text1"/>
              </w:rPr>
              <w:t>să</w:t>
            </w:r>
            <w:r w:rsidRPr="00C56257">
              <w:rPr>
                <w:color w:val="000000" w:themeColor="text1"/>
                <w:spacing w:val="1"/>
              </w:rPr>
              <w:t xml:space="preserve"> </w:t>
            </w:r>
            <w:r w:rsidRPr="00C56257">
              <w:rPr>
                <w:color w:val="000000" w:themeColor="text1"/>
              </w:rPr>
              <w:t>fie</w:t>
            </w:r>
            <w:r w:rsidRPr="00C56257">
              <w:rPr>
                <w:color w:val="000000" w:themeColor="text1"/>
                <w:spacing w:val="1"/>
              </w:rPr>
              <w:t xml:space="preserve"> </w:t>
            </w:r>
            <w:r w:rsidRPr="00C56257">
              <w:rPr>
                <w:color w:val="000000" w:themeColor="text1"/>
              </w:rPr>
              <w:t>considerate</w:t>
            </w:r>
            <w:r w:rsidRPr="00C56257">
              <w:rPr>
                <w:color w:val="000000" w:themeColor="text1"/>
                <w:spacing w:val="1"/>
              </w:rPr>
              <w:t xml:space="preserve"> </w:t>
            </w:r>
            <w:r w:rsidRPr="00C56257">
              <w:rPr>
                <w:color w:val="000000" w:themeColor="text1"/>
              </w:rPr>
              <w:t>„favorabile”.</w:t>
            </w:r>
            <w:r w:rsidRPr="00C56257">
              <w:rPr>
                <w:color w:val="000000" w:themeColor="text1"/>
                <w:spacing w:val="1"/>
              </w:rPr>
              <w:t xml:space="preserve"> </w:t>
            </w:r>
            <w:r w:rsidRPr="00C56257">
              <w:rPr>
                <w:color w:val="000000" w:themeColor="text1"/>
              </w:rPr>
              <w:t>Cu</w:t>
            </w:r>
            <w:r w:rsidRPr="00C56257">
              <w:rPr>
                <w:color w:val="000000" w:themeColor="text1"/>
                <w:spacing w:val="1"/>
              </w:rPr>
              <w:t xml:space="preserve"> </w:t>
            </w:r>
            <w:r w:rsidRPr="00C56257">
              <w:rPr>
                <w:color w:val="000000" w:themeColor="text1"/>
              </w:rPr>
              <w:t>toate</w:t>
            </w:r>
            <w:r w:rsidRPr="00C56257">
              <w:rPr>
                <w:color w:val="000000" w:themeColor="text1"/>
                <w:spacing w:val="1"/>
              </w:rPr>
              <w:t xml:space="preserve"> </w:t>
            </w:r>
            <w:r w:rsidRPr="00C56257">
              <w:rPr>
                <w:color w:val="000000" w:themeColor="text1"/>
              </w:rPr>
              <w:t>acestea,</w:t>
            </w:r>
            <w:r w:rsidRPr="00C56257">
              <w:rPr>
                <w:color w:val="000000" w:themeColor="text1"/>
                <w:spacing w:val="60"/>
              </w:rPr>
              <w:t xml:space="preserve"> </w:t>
            </w:r>
            <w:r w:rsidRPr="00C56257">
              <w:rPr>
                <w:color w:val="000000" w:themeColor="text1"/>
              </w:rPr>
              <w:t>acest</w:t>
            </w:r>
            <w:r w:rsidRPr="00C56257">
              <w:rPr>
                <w:color w:val="000000" w:themeColor="text1"/>
                <w:spacing w:val="-57"/>
              </w:rPr>
              <w:t xml:space="preserve"> </w:t>
            </w:r>
            <w:r w:rsidRPr="00C56257">
              <w:rPr>
                <w:color w:val="000000" w:themeColor="text1"/>
              </w:rPr>
              <w:t>lucru este practic realizabil și ar putea fi acceptat să existe o parte</w:t>
            </w:r>
            <w:r w:rsidRPr="00C56257">
              <w:rPr>
                <w:color w:val="000000" w:themeColor="text1"/>
                <w:spacing w:val="1"/>
              </w:rPr>
              <w:t xml:space="preserve"> </w:t>
            </w:r>
            <w:r w:rsidRPr="00C56257">
              <w:rPr>
                <w:color w:val="000000" w:themeColor="text1"/>
              </w:rPr>
              <w:t>din tipul de habitat în condiții „nu bune”, dar totuși considerăm că</w:t>
            </w:r>
            <w:r w:rsidRPr="00C56257">
              <w:rPr>
                <w:color w:val="000000" w:themeColor="text1"/>
                <w:spacing w:val="1"/>
              </w:rPr>
              <w:t xml:space="preserve"> </w:t>
            </w:r>
            <w:r w:rsidRPr="00C56257">
              <w:rPr>
                <w:color w:val="000000" w:themeColor="text1"/>
              </w:rPr>
              <w:t>structura</w:t>
            </w:r>
            <w:r w:rsidRPr="00C56257">
              <w:rPr>
                <w:color w:val="000000" w:themeColor="text1"/>
                <w:spacing w:val="-3"/>
              </w:rPr>
              <w:t xml:space="preserve"> </w:t>
            </w:r>
            <w:r w:rsidRPr="00C56257">
              <w:rPr>
                <w:color w:val="000000" w:themeColor="text1"/>
              </w:rPr>
              <w:t>și</w:t>
            </w:r>
            <w:r w:rsidRPr="00C56257">
              <w:rPr>
                <w:color w:val="000000" w:themeColor="text1"/>
                <w:spacing w:val="-2"/>
              </w:rPr>
              <w:t xml:space="preserve"> </w:t>
            </w:r>
            <w:r w:rsidRPr="00C56257">
              <w:rPr>
                <w:color w:val="000000" w:themeColor="text1"/>
              </w:rPr>
              <w:t>funcțiile</w:t>
            </w:r>
            <w:r w:rsidRPr="00C56257">
              <w:rPr>
                <w:color w:val="000000" w:themeColor="text1"/>
                <w:spacing w:val="-1"/>
              </w:rPr>
              <w:t xml:space="preserve"> </w:t>
            </w:r>
            <w:r w:rsidRPr="00C56257">
              <w:rPr>
                <w:color w:val="000000" w:themeColor="text1"/>
              </w:rPr>
              <w:t>sunt</w:t>
            </w:r>
            <w:r w:rsidRPr="00C56257">
              <w:rPr>
                <w:color w:val="000000" w:themeColor="text1"/>
                <w:spacing w:val="1"/>
              </w:rPr>
              <w:t xml:space="preserve"> </w:t>
            </w:r>
            <w:r w:rsidRPr="00C56257">
              <w:rPr>
                <w:color w:val="000000" w:themeColor="text1"/>
              </w:rPr>
              <w:t>considerate „favorabile”.</w:t>
            </w:r>
          </w:p>
          <w:p w14:paraId="1E7DF26F" w14:textId="77777777" w:rsidR="00A37B92" w:rsidRPr="00C56257" w:rsidRDefault="00A37B92" w:rsidP="00C902DF">
            <w:pPr>
              <w:widowControl w:val="0"/>
              <w:autoSpaceDE w:val="0"/>
              <w:autoSpaceDN w:val="0"/>
              <w:ind w:right="99"/>
              <w:jc w:val="both"/>
              <w:rPr>
                <w:color w:val="000000" w:themeColor="text1"/>
              </w:rPr>
            </w:pPr>
            <w:r w:rsidRPr="00C56257">
              <w:rPr>
                <w:color w:val="000000" w:themeColor="text1"/>
              </w:rPr>
              <w:t>Se recomandă utilizarea unei valori indicative de 90% din suprafața de</w:t>
            </w:r>
            <w:r w:rsidRPr="00C56257">
              <w:rPr>
                <w:color w:val="000000" w:themeColor="text1"/>
                <w:spacing w:val="1"/>
              </w:rPr>
              <w:t xml:space="preserve"> </w:t>
            </w:r>
            <w:r w:rsidRPr="00C56257">
              <w:rPr>
                <w:color w:val="000000" w:themeColor="text1"/>
              </w:rPr>
              <w:t>tip habitat (câmpul 6.1) în condiții „bune” ca prag pentru a încheia</w:t>
            </w:r>
            <w:r w:rsidRPr="00C56257">
              <w:rPr>
                <w:color w:val="000000" w:themeColor="text1"/>
                <w:spacing w:val="1"/>
              </w:rPr>
              <w:t xml:space="preserve"> </w:t>
            </w:r>
            <w:r w:rsidRPr="00C56257">
              <w:rPr>
                <w:color w:val="000000" w:themeColor="text1"/>
              </w:rPr>
              <w:t>structura</w:t>
            </w:r>
            <w:r w:rsidRPr="00C56257">
              <w:rPr>
                <w:color w:val="000000" w:themeColor="text1"/>
                <w:spacing w:val="1"/>
              </w:rPr>
              <w:t xml:space="preserve"> </w:t>
            </w:r>
            <w:r w:rsidRPr="00C56257">
              <w:rPr>
                <w:color w:val="000000" w:themeColor="text1"/>
              </w:rPr>
              <w:t>și</w:t>
            </w:r>
            <w:r w:rsidRPr="00C56257">
              <w:rPr>
                <w:color w:val="000000" w:themeColor="text1"/>
                <w:spacing w:val="1"/>
              </w:rPr>
              <w:t xml:space="preserve"> </w:t>
            </w:r>
            <w:r w:rsidRPr="00C56257">
              <w:rPr>
                <w:color w:val="000000" w:themeColor="text1"/>
              </w:rPr>
              <w:t>funcțiile</w:t>
            </w:r>
            <w:r w:rsidRPr="00C56257">
              <w:rPr>
                <w:color w:val="000000" w:themeColor="text1"/>
                <w:spacing w:val="1"/>
              </w:rPr>
              <w:t xml:space="preserve"> </w:t>
            </w:r>
            <w:r w:rsidRPr="00C56257">
              <w:rPr>
                <w:color w:val="000000" w:themeColor="text1"/>
              </w:rPr>
              <w:t>„favorabile”.</w:t>
            </w:r>
            <w:r w:rsidRPr="00C56257">
              <w:rPr>
                <w:color w:val="000000" w:themeColor="text1"/>
                <w:spacing w:val="1"/>
              </w:rPr>
              <w:t xml:space="preserve"> </w:t>
            </w:r>
            <w:r w:rsidRPr="00C56257">
              <w:rPr>
                <w:color w:val="000000" w:themeColor="text1"/>
              </w:rPr>
              <w:t>Dacă</w:t>
            </w:r>
            <w:r w:rsidRPr="00C56257">
              <w:rPr>
                <w:color w:val="000000" w:themeColor="text1"/>
                <w:spacing w:val="1"/>
              </w:rPr>
              <w:t xml:space="preserve"> </w:t>
            </w:r>
            <w:r w:rsidRPr="00C56257">
              <w:rPr>
                <w:color w:val="000000" w:themeColor="text1"/>
              </w:rPr>
              <w:t>statul</w:t>
            </w:r>
            <w:r w:rsidRPr="00C56257">
              <w:rPr>
                <w:color w:val="000000" w:themeColor="text1"/>
                <w:spacing w:val="1"/>
              </w:rPr>
              <w:t xml:space="preserve"> </w:t>
            </w:r>
            <w:r w:rsidRPr="00C56257">
              <w:rPr>
                <w:color w:val="000000" w:themeColor="text1"/>
              </w:rPr>
              <w:t>membru</w:t>
            </w:r>
            <w:r w:rsidRPr="00C56257">
              <w:rPr>
                <w:color w:val="000000" w:themeColor="text1"/>
                <w:spacing w:val="1"/>
              </w:rPr>
              <w:t xml:space="preserve"> </w:t>
            </w:r>
            <w:r w:rsidRPr="00C56257">
              <w:rPr>
                <w:color w:val="000000" w:themeColor="text1"/>
              </w:rPr>
              <w:t>folosește</w:t>
            </w:r>
            <w:r w:rsidRPr="00C56257">
              <w:rPr>
                <w:color w:val="000000" w:themeColor="text1"/>
                <w:spacing w:val="1"/>
              </w:rPr>
              <w:t xml:space="preserve"> </w:t>
            </w:r>
            <w:r w:rsidRPr="00C56257">
              <w:rPr>
                <w:color w:val="000000" w:themeColor="text1"/>
              </w:rPr>
              <w:t>o</w:t>
            </w:r>
            <w:r w:rsidRPr="00C56257">
              <w:rPr>
                <w:color w:val="000000" w:themeColor="text1"/>
                <w:spacing w:val="1"/>
              </w:rPr>
              <w:t xml:space="preserve"> </w:t>
            </w:r>
            <w:r w:rsidRPr="00C56257">
              <w:rPr>
                <w:color w:val="000000" w:themeColor="text1"/>
              </w:rPr>
              <w:t>valoare</w:t>
            </w:r>
            <w:r w:rsidRPr="00C56257">
              <w:rPr>
                <w:color w:val="000000" w:themeColor="text1"/>
                <w:spacing w:val="1"/>
              </w:rPr>
              <w:t xml:space="preserve"> </w:t>
            </w:r>
            <w:r w:rsidRPr="00C56257">
              <w:rPr>
                <w:color w:val="000000" w:themeColor="text1"/>
              </w:rPr>
              <w:t>diferită,</w:t>
            </w:r>
            <w:r w:rsidRPr="00C56257">
              <w:rPr>
                <w:color w:val="000000" w:themeColor="text1"/>
                <w:spacing w:val="1"/>
              </w:rPr>
              <w:t xml:space="preserve"> </w:t>
            </w:r>
            <w:r w:rsidRPr="00C56257">
              <w:rPr>
                <w:color w:val="000000" w:themeColor="text1"/>
              </w:rPr>
              <w:t>aceasta</w:t>
            </w:r>
            <w:r w:rsidRPr="00C56257">
              <w:rPr>
                <w:color w:val="000000" w:themeColor="text1"/>
                <w:spacing w:val="1"/>
              </w:rPr>
              <w:t xml:space="preserve"> </w:t>
            </w:r>
            <w:r w:rsidRPr="00C56257">
              <w:rPr>
                <w:color w:val="000000" w:themeColor="text1"/>
              </w:rPr>
              <w:t>trebuie</w:t>
            </w:r>
            <w:r w:rsidRPr="00C56257">
              <w:rPr>
                <w:color w:val="000000" w:themeColor="text1"/>
                <w:spacing w:val="1"/>
              </w:rPr>
              <w:t xml:space="preserve"> </w:t>
            </w:r>
            <w:r w:rsidRPr="00C56257">
              <w:rPr>
                <w:color w:val="000000" w:themeColor="text1"/>
              </w:rPr>
              <w:t>notată</w:t>
            </w:r>
            <w:r w:rsidRPr="00C56257">
              <w:rPr>
                <w:color w:val="000000" w:themeColor="text1"/>
                <w:spacing w:val="1"/>
              </w:rPr>
              <w:t xml:space="preserve"> </w:t>
            </w:r>
            <w:r w:rsidRPr="00C56257">
              <w:rPr>
                <w:color w:val="000000" w:themeColor="text1"/>
              </w:rPr>
              <w:t>și</w:t>
            </w:r>
            <w:r w:rsidRPr="00C56257">
              <w:rPr>
                <w:color w:val="000000" w:themeColor="text1"/>
                <w:spacing w:val="1"/>
              </w:rPr>
              <w:t xml:space="preserve"> </w:t>
            </w:r>
            <w:r w:rsidRPr="00C56257">
              <w:rPr>
                <w:color w:val="000000" w:themeColor="text1"/>
              </w:rPr>
              <w:t>explicată</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câmpul</w:t>
            </w:r>
            <w:r w:rsidRPr="00C56257">
              <w:rPr>
                <w:color w:val="000000" w:themeColor="text1"/>
                <w:spacing w:val="1"/>
              </w:rPr>
              <w:t xml:space="preserve"> </w:t>
            </w:r>
            <w:r w:rsidRPr="00C56257">
              <w:rPr>
                <w:color w:val="000000" w:themeColor="text1"/>
              </w:rPr>
              <w:t>10.8</w:t>
            </w:r>
            <w:r w:rsidRPr="00C56257">
              <w:rPr>
                <w:color w:val="000000" w:themeColor="text1"/>
                <w:spacing w:val="1"/>
              </w:rPr>
              <w:t xml:space="preserve"> </w:t>
            </w:r>
            <w:r w:rsidRPr="00C56257">
              <w:rPr>
                <w:color w:val="000000" w:themeColor="text1"/>
              </w:rPr>
              <w:t>Informații suplimentare ”. Această valoare indicativă ar putea fi, de</w:t>
            </w:r>
            <w:r w:rsidRPr="00C56257">
              <w:rPr>
                <w:color w:val="000000" w:themeColor="text1"/>
                <w:spacing w:val="1"/>
              </w:rPr>
              <w:t xml:space="preserve"> </w:t>
            </w:r>
            <w:r w:rsidRPr="00C56257">
              <w:rPr>
                <w:color w:val="000000" w:themeColor="text1"/>
              </w:rPr>
              <w:t>exemplu, adaptată în funcție de raritatea / abundența tipului de habitat</w:t>
            </w:r>
            <w:r w:rsidRPr="00C56257">
              <w:rPr>
                <w:color w:val="000000" w:themeColor="text1"/>
                <w:spacing w:val="1"/>
              </w:rPr>
              <w:t xml:space="preserve"> </w:t>
            </w:r>
            <w:r w:rsidRPr="00C56257">
              <w:rPr>
                <w:color w:val="000000" w:themeColor="text1"/>
              </w:rPr>
              <w:t>(pentru mai multe informații, a se vedea secțiunea „Starea tipului de</w:t>
            </w:r>
            <w:r w:rsidRPr="00C56257">
              <w:rPr>
                <w:color w:val="000000" w:themeColor="text1"/>
                <w:spacing w:val="1"/>
              </w:rPr>
              <w:t xml:space="preserve"> </w:t>
            </w:r>
            <w:r w:rsidRPr="00C56257">
              <w:rPr>
                <w:color w:val="000000" w:themeColor="text1"/>
              </w:rPr>
              <w:t>habitat” (în „6 Structura și funcțiile (inclusiv speciile tipice)” capitolul</w:t>
            </w:r>
            <w:r w:rsidRPr="00C56257">
              <w:rPr>
                <w:color w:val="000000" w:themeColor="text1"/>
                <w:spacing w:val="1"/>
              </w:rPr>
              <w:t xml:space="preserve"> </w:t>
            </w:r>
            <w:r w:rsidRPr="00C56257">
              <w:rPr>
                <w:color w:val="000000" w:themeColor="text1"/>
              </w:rPr>
              <w:t>din</w:t>
            </w:r>
            <w:r w:rsidRPr="00C56257">
              <w:rPr>
                <w:color w:val="000000" w:themeColor="text1"/>
                <w:spacing w:val="-1"/>
              </w:rPr>
              <w:t xml:space="preserve"> </w:t>
            </w:r>
            <w:r w:rsidRPr="00C56257">
              <w:rPr>
                <w:color w:val="000000" w:themeColor="text1"/>
              </w:rPr>
              <w:t>„Definiții și</w:t>
            </w:r>
            <w:r w:rsidRPr="00C56257">
              <w:rPr>
                <w:color w:val="000000" w:themeColor="text1"/>
                <w:spacing w:val="-1"/>
              </w:rPr>
              <w:t xml:space="preserve"> </w:t>
            </w:r>
            <w:r w:rsidRPr="00C56257">
              <w:rPr>
                <w:color w:val="000000" w:themeColor="text1"/>
              </w:rPr>
              <w:t>metode</w:t>
            </w:r>
            <w:r w:rsidRPr="00C56257">
              <w:rPr>
                <w:color w:val="000000" w:themeColor="text1"/>
                <w:spacing w:val="-1"/>
              </w:rPr>
              <w:t xml:space="preserve"> </w:t>
            </w:r>
            <w:r w:rsidRPr="00C56257">
              <w:rPr>
                <w:color w:val="000000" w:themeColor="text1"/>
              </w:rPr>
              <w:t>pentru</w:t>
            </w:r>
            <w:r w:rsidRPr="00C56257">
              <w:rPr>
                <w:color w:val="000000" w:themeColor="text1"/>
                <w:spacing w:val="-1"/>
              </w:rPr>
              <w:t xml:space="preserve"> </w:t>
            </w:r>
            <w:r w:rsidRPr="00C56257">
              <w:rPr>
                <w:color w:val="000000" w:themeColor="text1"/>
              </w:rPr>
              <w:t>raportarea</w:t>
            </w:r>
            <w:r w:rsidRPr="00C56257">
              <w:rPr>
                <w:color w:val="000000" w:themeColor="text1"/>
                <w:spacing w:val="-1"/>
              </w:rPr>
              <w:t xml:space="preserve"> </w:t>
            </w:r>
            <w:r w:rsidRPr="00C56257">
              <w:rPr>
                <w:color w:val="000000" w:themeColor="text1"/>
              </w:rPr>
              <w:t>habitatului 'parte).</w:t>
            </w:r>
          </w:p>
          <w:p w14:paraId="60CA609E" w14:textId="77777777" w:rsidR="004471AF" w:rsidRPr="004471AF" w:rsidRDefault="00A37B92" w:rsidP="009E63E5">
            <w:pPr>
              <w:widowControl w:val="0"/>
              <w:numPr>
                <w:ilvl w:val="0"/>
                <w:numId w:val="90"/>
              </w:numPr>
              <w:tabs>
                <w:tab w:val="left" w:pos="829"/>
              </w:tabs>
              <w:autoSpaceDE w:val="0"/>
              <w:autoSpaceDN w:val="0"/>
              <w:ind w:right="100"/>
              <w:jc w:val="both"/>
              <w:rPr>
                <w:color w:val="000000" w:themeColor="text1"/>
              </w:rPr>
            </w:pPr>
            <w:r w:rsidRPr="004471AF">
              <w:rPr>
                <w:color w:val="000000" w:themeColor="text1"/>
              </w:rPr>
              <w:t>Deși nu este specificat clar în matricea de evaluare, tendința (tendința în zonă în stare bună (câmpul 6.4)) trebuie să fie stabilă sau în creștere pentru ca structura și funcțiile să fie considerate</w:t>
            </w:r>
            <w:r w:rsidR="004471AF" w:rsidRPr="004471AF">
              <w:rPr>
                <w:color w:val="000000" w:themeColor="text1"/>
              </w:rPr>
              <w:t xml:space="preserve"> „favorabile”.</w:t>
            </w:r>
          </w:p>
          <w:p w14:paraId="4EE97480" w14:textId="77777777" w:rsidR="004471AF" w:rsidRPr="00C56257" w:rsidRDefault="004471AF" w:rsidP="009E63E5">
            <w:pPr>
              <w:widowControl w:val="0"/>
              <w:numPr>
                <w:ilvl w:val="0"/>
                <w:numId w:val="90"/>
              </w:numPr>
              <w:tabs>
                <w:tab w:val="left" w:pos="829"/>
              </w:tabs>
              <w:autoSpaceDE w:val="0"/>
              <w:autoSpaceDN w:val="0"/>
              <w:ind w:right="100"/>
              <w:jc w:val="both"/>
              <w:rPr>
                <w:color w:val="000000" w:themeColor="text1"/>
              </w:rPr>
            </w:pPr>
            <w:r w:rsidRPr="00C56257">
              <w:rPr>
                <w:color w:val="000000" w:themeColor="text1"/>
              </w:rPr>
              <w:t>Deși nu este necesară o evaluare completă a stării de conservare a</w:t>
            </w:r>
            <w:r w:rsidRPr="00C56257">
              <w:rPr>
                <w:color w:val="000000" w:themeColor="text1"/>
                <w:spacing w:val="1"/>
              </w:rPr>
              <w:t xml:space="preserve"> </w:t>
            </w:r>
            <w:r w:rsidRPr="00C56257">
              <w:rPr>
                <w:color w:val="000000" w:themeColor="text1"/>
              </w:rPr>
              <w:t>fiecărei specii tipice, specia</w:t>
            </w:r>
            <w:r w:rsidRPr="00C56257">
              <w:rPr>
                <w:color w:val="000000" w:themeColor="text1"/>
                <w:spacing w:val="1"/>
              </w:rPr>
              <w:t xml:space="preserve"> </w:t>
            </w:r>
            <w:r w:rsidRPr="00C56257">
              <w:rPr>
                <w:color w:val="000000" w:themeColor="text1"/>
              </w:rPr>
              <w:t>generală</w:t>
            </w:r>
            <w:r w:rsidRPr="00C56257">
              <w:rPr>
                <w:color w:val="000000" w:themeColor="text1"/>
                <w:spacing w:val="1"/>
              </w:rPr>
              <w:t xml:space="preserve"> </w:t>
            </w:r>
            <w:r w:rsidRPr="00C56257">
              <w:rPr>
                <w:color w:val="000000" w:themeColor="text1"/>
              </w:rPr>
              <w:t>ar</w:t>
            </w:r>
            <w:r w:rsidRPr="00C56257">
              <w:rPr>
                <w:color w:val="000000" w:themeColor="text1"/>
                <w:spacing w:val="60"/>
              </w:rPr>
              <w:t xml:space="preserve"> </w:t>
            </w:r>
            <w:r w:rsidRPr="00C56257">
              <w:rPr>
                <w:color w:val="000000" w:themeColor="text1"/>
              </w:rPr>
              <w:t>trebui să fie „favorabilă”</w:t>
            </w:r>
            <w:r w:rsidRPr="00C56257">
              <w:rPr>
                <w:color w:val="000000" w:themeColor="text1"/>
                <w:spacing w:val="1"/>
              </w:rPr>
              <w:t xml:space="preserve"> </w:t>
            </w:r>
            <w:r w:rsidRPr="00C56257">
              <w:rPr>
                <w:color w:val="000000" w:themeColor="text1"/>
              </w:rPr>
              <w:t>(nu amenințată), cel puțin în acest habitat, deoarece speciile pot fi</w:t>
            </w:r>
            <w:r w:rsidRPr="00C56257">
              <w:rPr>
                <w:color w:val="000000" w:themeColor="text1"/>
                <w:spacing w:val="1"/>
              </w:rPr>
              <w:t xml:space="preserve"> </w:t>
            </w:r>
            <w:r w:rsidRPr="00C56257">
              <w:rPr>
                <w:color w:val="000000" w:themeColor="text1"/>
              </w:rPr>
              <w:t>tipice</w:t>
            </w:r>
            <w:r w:rsidRPr="00C56257">
              <w:rPr>
                <w:color w:val="000000" w:themeColor="text1"/>
                <w:spacing w:val="-3"/>
              </w:rPr>
              <w:t xml:space="preserve"> </w:t>
            </w:r>
            <w:r w:rsidRPr="00C56257">
              <w:rPr>
                <w:color w:val="000000" w:themeColor="text1"/>
              </w:rPr>
              <w:t>mai multor habitat.</w:t>
            </w:r>
          </w:p>
          <w:p w14:paraId="6D2729F0" w14:textId="77777777" w:rsidR="004471AF" w:rsidRPr="00C56257" w:rsidRDefault="004471AF" w:rsidP="009E63E5">
            <w:pPr>
              <w:widowControl w:val="0"/>
              <w:numPr>
                <w:ilvl w:val="0"/>
                <w:numId w:val="90"/>
              </w:numPr>
              <w:tabs>
                <w:tab w:val="left" w:pos="829"/>
              </w:tabs>
              <w:autoSpaceDE w:val="0"/>
              <w:autoSpaceDN w:val="0"/>
              <w:ind w:right="99"/>
              <w:jc w:val="both"/>
              <w:rPr>
                <w:color w:val="000000" w:themeColor="text1"/>
              </w:rPr>
            </w:pPr>
            <w:r w:rsidRPr="00C56257">
              <w:rPr>
                <w:color w:val="000000" w:themeColor="text1"/>
              </w:rPr>
              <w:t>Pentru ca un habitat să fie considerat „favorabil”, fragmentarea sau</w:t>
            </w:r>
            <w:r w:rsidRPr="00C56257">
              <w:rPr>
                <w:color w:val="000000" w:themeColor="text1"/>
                <w:spacing w:val="1"/>
              </w:rPr>
              <w:t xml:space="preserve"> </w:t>
            </w:r>
            <w:r w:rsidRPr="00C56257">
              <w:rPr>
                <w:color w:val="000000" w:themeColor="text1"/>
              </w:rPr>
              <w:t>alte</w:t>
            </w:r>
            <w:r w:rsidRPr="00C56257">
              <w:rPr>
                <w:color w:val="000000" w:themeColor="text1"/>
                <w:spacing w:val="1"/>
              </w:rPr>
              <w:t xml:space="preserve"> </w:t>
            </w:r>
            <w:r w:rsidRPr="00C56257">
              <w:rPr>
                <w:color w:val="000000" w:themeColor="text1"/>
              </w:rPr>
              <w:t>condiții</w:t>
            </w:r>
            <w:r w:rsidRPr="00C56257">
              <w:rPr>
                <w:color w:val="000000" w:themeColor="text1"/>
                <w:spacing w:val="1"/>
              </w:rPr>
              <w:t xml:space="preserve"> </w:t>
            </w:r>
            <w:r w:rsidRPr="00C56257">
              <w:rPr>
                <w:color w:val="000000" w:themeColor="text1"/>
              </w:rPr>
              <w:t>nu</w:t>
            </w:r>
            <w:r w:rsidRPr="00C56257">
              <w:rPr>
                <w:color w:val="000000" w:themeColor="text1"/>
                <w:spacing w:val="1"/>
              </w:rPr>
              <w:t xml:space="preserve"> </w:t>
            </w:r>
            <w:r w:rsidRPr="00C56257">
              <w:rPr>
                <w:color w:val="000000" w:themeColor="text1"/>
              </w:rPr>
              <w:t>au</w:t>
            </w:r>
            <w:r w:rsidRPr="00C56257">
              <w:rPr>
                <w:color w:val="000000" w:themeColor="text1"/>
                <w:spacing w:val="1"/>
              </w:rPr>
              <w:t xml:space="preserve"> </w:t>
            </w:r>
            <w:r w:rsidRPr="00C56257">
              <w:rPr>
                <w:color w:val="000000" w:themeColor="text1"/>
              </w:rPr>
              <w:t>un</w:t>
            </w:r>
            <w:r w:rsidRPr="00C56257">
              <w:rPr>
                <w:color w:val="000000" w:themeColor="text1"/>
                <w:spacing w:val="1"/>
              </w:rPr>
              <w:t xml:space="preserve"> </w:t>
            </w:r>
            <w:r w:rsidRPr="00C56257">
              <w:rPr>
                <w:color w:val="000000" w:themeColor="text1"/>
              </w:rPr>
              <w:t>impact</w:t>
            </w:r>
            <w:r w:rsidRPr="00C56257">
              <w:rPr>
                <w:color w:val="000000" w:themeColor="text1"/>
                <w:spacing w:val="1"/>
              </w:rPr>
              <w:t xml:space="preserve"> </w:t>
            </w:r>
            <w:r w:rsidRPr="00C56257">
              <w:rPr>
                <w:color w:val="000000" w:themeColor="text1"/>
              </w:rPr>
              <w:t>semnificativ</w:t>
            </w:r>
            <w:r w:rsidRPr="00C56257">
              <w:rPr>
                <w:color w:val="000000" w:themeColor="text1"/>
                <w:spacing w:val="1"/>
              </w:rPr>
              <w:t xml:space="preserve"> </w:t>
            </w:r>
            <w:r w:rsidRPr="00C56257">
              <w:rPr>
                <w:color w:val="000000" w:themeColor="text1"/>
              </w:rPr>
              <w:t>asupra</w:t>
            </w:r>
            <w:r w:rsidRPr="00C56257">
              <w:rPr>
                <w:color w:val="000000" w:themeColor="text1"/>
                <w:spacing w:val="1"/>
              </w:rPr>
              <w:t xml:space="preserve"> </w:t>
            </w:r>
            <w:r w:rsidRPr="00C56257">
              <w:rPr>
                <w:color w:val="000000" w:themeColor="text1"/>
              </w:rPr>
              <w:t>proceselor</w:t>
            </w:r>
            <w:r w:rsidRPr="00C56257">
              <w:rPr>
                <w:color w:val="000000" w:themeColor="text1"/>
                <w:spacing w:val="1"/>
              </w:rPr>
              <w:t xml:space="preserve"> </w:t>
            </w:r>
            <w:r w:rsidRPr="00C56257">
              <w:rPr>
                <w:color w:val="000000" w:themeColor="text1"/>
              </w:rPr>
              <w:t>ecologice.</w:t>
            </w:r>
          </w:p>
          <w:p w14:paraId="1280DB6B" w14:textId="77777777" w:rsidR="00A37B92" w:rsidRPr="00C56257" w:rsidRDefault="004471AF" w:rsidP="009E63E5">
            <w:pPr>
              <w:widowControl w:val="0"/>
              <w:numPr>
                <w:ilvl w:val="0"/>
                <w:numId w:val="90"/>
              </w:numPr>
              <w:tabs>
                <w:tab w:val="left" w:pos="829"/>
              </w:tabs>
              <w:autoSpaceDE w:val="0"/>
              <w:autoSpaceDN w:val="0"/>
              <w:ind w:right="100"/>
              <w:jc w:val="both"/>
              <w:rPr>
                <w:color w:val="000000" w:themeColor="text1"/>
              </w:rPr>
            </w:pPr>
            <w:r w:rsidRPr="00C56257">
              <w:rPr>
                <w:color w:val="000000" w:themeColor="text1"/>
              </w:rPr>
              <w:t>Este posibil ca restaurarea să crească suprafața habitatului, dar a</w:t>
            </w:r>
            <w:r w:rsidRPr="00C56257">
              <w:rPr>
                <w:color w:val="000000" w:themeColor="text1"/>
                <w:spacing w:val="1"/>
              </w:rPr>
              <w:t xml:space="preserve"> </w:t>
            </w:r>
            <w:r w:rsidRPr="00C56257">
              <w:rPr>
                <w:color w:val="000000" w:themeColor="text1"/>
              </w:rPr>
              <w:t>scăzut</w:t>
            </w:r>
            <w:r w:rsidRPr="00C56257">
              <w:rPr>
                <w:color w:val="000000" w:themeColor="text1"/>
                <w:spacing w:val="1"/>
              </w:rPr>
              <w:t xml:space="preserve"> </w:t>
            </w:r>
            <w:r w:rsidRPr="00C56257">
              <w:rPr>
                <w:color w:val="000000" w:themeColor="text1"/>
              </w:rPr>
              <w:t>proporția</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habitat</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condiții</w:t>
            </w:r>
            <w:r w:rsidRPr="00C56257">
              <w:rPr>
                <w:color w:val="000000" w:themeColor="text1"/>
                <w:spacing w:val="1"/>
              </w:rPr>
              <w:t xml:space="preserve"> </w:t>
            </w:r>
            <w:r w:rsidRPr="00C56257">
              <w:rPr>
                <w:color w:val="000000" w:themeColor="text1"/>
              </w:rPr>
              <w:t>„nu</w:t>
            </w:r>
            <w:r w:rsidRPr="00C56257">
              <w:rPr>
                <w:color w:val="000000" w:themeColor="text1"/>
                <w:spacing w:val="1"/>
              </w:rPr>
              <w:t xml:space="preserve"> </w:t>
            </w:r>
            <w:r w:rsidRPr="00C56257">
              <w:rPr>
                <w:color w:val="000000" w:themeColor="text1"/>
              </w:rPr>
              <w:t>bune”,</w:t>
            </w:r>
            <w:r w:rsidRPr="00C56257">
              <w:rPr>
                <w:color w:val="000000" w:themeColor="text1"/>
                <w:spacing w:val="1"/>
              </w:rPr>
              <w:t xml:space="preserve"> </w:t>
            </w:r>
            <w:r w:rsidRPr="00C56257">
              <w:rPr>
                <w:color w:val="000000" w:themeColor="text1"/>
              </w:rPr>
              <w:t>întrucât</w:t>
            </w:r>
            <w:r w:rsidRPr="00C56257">
              <w:rPr>
                <w:color w:val="000000" w:themeColor="text1"/>
                <w:spacing w:val="1"/>
              </w:rPr>
              <w:t xml:space="preserve"> </w:t>
            </w:r>
            <w:r w:rsidRPr="00C56257">
              <w:rPr>
                <w:color w:val="000000" w:themeColor="text1"/>
              </w:rPr>
              <w:t>zona</w:t>
            </w:r>
            <w:r w:rsidRPr="00C56257">
              <w:rPr>
                <w:color w:val="000000" w:themeColor="text1"/>
                <w:spacing w:val="-57"/>
              </w:rPr>
              <w:t xml:space="preserve"> </w:t>
            </w:r>
            <w:r w:rsidRPr="00C56257">
              <w:rPr>
                <w:color w:val="000000" w:themeColor="text1"/>
              </w:rPr>
              <w:t>restaurată nu este încă în stare „bună”. În astfel de cazuri, dacă zona</w:t>
            </w:r>
            <w:r w:rsidRPr="00C56257">
              <w:rPr>
                <w:color w:val="000000" w:themeColor="text1"/>
                <w:spacing w:val="-57"/>
              </w:rPr>
              <w:t xml:space="preserve"> </w:t>
            </w:r>
            <w:r w:rsidRPr="00C56257">
              <w:rPr>
                <w:color w:val="000000" w:themeColor="text1"/>
              </w:rPr>
              <w:t>în stare „bună” este mai mică de 90% din suprafața habitatului,</w:t>
            </w:r>
            <w:r w:rsidRPr="00C56257">
              <w:rPr>
                <w:color w:val="000000" w:themeColor="text1"/>
                <w:spacing w:val="1"/>
              </w:rPr>
              <w:t xml:space="preserve"> </w:t>
            </w:r>
            <w:r w:rsidRPr="00C56257">
              <w:rPr>
                <w:color w:val="000000" w:themeColor="text1"/>
              </w:rPr>
              <w:t>habitatul nu ar trebui să fie „favorabil” pentru parametrul Structura</w:t>
            </w:r>
            <w:r w:rsidRPr="00C56257">
              <w:rPr>
                <w:color w:val="000000" w:themeColor="text1"/>
                <w:spacing w:val="1"/>
              </w:rPr>
              <w:t xml:space="preserve"> </w:t>
            </w:r>
            <w:r w:rsidRPr="00C56257">
              <w:rPr>
                <w:color w:val="000000" w:themeColor="text1"/>
              </w:rPr>
              <w:t>și funcțiile (a se vedea mai sus, punctul 1). Astfel de cazuri apar cel</w:t>
            </w:r>
            <w:r w:rsidRPr="00C56257">
              <w:rPr>
                <w:color w:val="000000" w:themeColor="text1"/>
                <w:spacing w:val="-57"/>
              </w:rPr>
              <w:t xml:space="preserve"> </w:t>
            </w:r>
            <w:r w:rsidRPr="00C56257">
              <w:rPr>
                <w:color w:val="000000" w:themeColor="text1"/>
              </w:rPr>
              <w:t>mai probabil în cazul în care zona habitatului este mai mică decât</w:t>
            </w:r>
            <w:r w:rsidRPr="00C56257">
              <w:rPr>
                <w:color w:val="000000" w:themeColor="text1"/>
                <w:spacing w:val="1"/>
              </w:rPr>
              <w:t xml:space="preserve"> </w:t>
            </w:r>
            <w:r w:rsidRPr="00C56257">
              <w:rPr>
                <w:color w:val="000000" w:themeColor="text1"/>
              </w:rPr>
              <w:t>valoarea</w:t>
            </w:r>
            <w:r w:rsidRPr="00C56257">
              <w:rPr>
                <w:color w:val="000000" w:themeColor="text1"/>
                <w:spacing w:val="56"/>
              </w:rPr>
              <w:t xml:space="preserve"> </w:t>
            </w:r>
            <w:r w:rsidRPr="00C56257">
              <w:rPr>
                <w:color w:val="000000" w:themeColor="text1"/>
              </w:rPr>
              <w:t>de</w:t>
            </w:r>
            <w:r w:rsidRPr="00C56257">
              <w:rPr>
                <w:color w:val="000000" w:themeColor="text1"/>
                <w:spacing w:val="57"/>
              </w:rPr>
              <w:t xml:space="preserve"> </w:t>
            </w:r>
            <w:r w:rsidRPr="00C56257">
              <w:rPr>
                <w:color w:val="000000" w:themeColor="text1"/>
              </w:rPr>
              <w:t>referință</w:t>
            </w:r>
            <w:r w:rsidRPr="00C56257">
              <w:rPr>
                <w:color w:val="000000" w:themeColor="text1"/>
                <w:spacing w:val="58"/>
              </w:rPr>
              <w:t xml:space="preserve"> </w:t>
            </w:r>
            <w:r w:rsidRPr="00C56257">
              <w:rPr>
                <w:color w:val="000000" w:themeColor="text1"/>
              </w:rPr>
              <w:t>și</w:t>
            </w:r>
            <w:r w:rsidRPr="00C56257">
              <w:rPr>
                <w:color w:val="000000" w:themeColor="text1"/>
                <w:spacing w:val="58"/>
              </w:rPr>
              <w:t xml:space="preserve"> </w:t>
            </w:r>
            <w:r w:rsidRPr="00C56257">
              <w:rPr>
                <w:color w:val="000000" w:themeColor="text1"/>
              </w:rPr>
              <w:t>starea  generală</w:t>
            </w:r>
            <w:r w:rsidRPr="00C56257">
              <w:rPr>
                <w:color w:val="000000" w:themeColor="text1"/>
                <w:spacing w:val="58"/>
              </w:rPr>
              <w:t xml:space="preserve"> </w:t>
            </w:r>
            <w:r w:rsidRPr="00C56257">
              <w:rPr>
                <w:color w:val="000000" w:themeColor="text1"/>
              </w:rPr>
              <w:t>de  conservare</w:t>
            </w:r>
            <w:r w:rsidRPr="00C56257">
              <w:rPr>
                <w:color w:val="000000" w:themeColor="text1"/>
                <w:spacing w:val="56"/>
              </w:rPr>
              <w:t xml:space="preserve"> </w:t>
            </w:r>
            <w:r w:rsidRPr="00C56257">
              <w:rPr>
                <w:color w:val="000000" w:themeColor="text1"/>
              </w:rPr>
              <w:t>ar  fi</w:t>
            </w:r>
            <w:r w:rsidRPr="00C56257">
              <w:rPr>
                <w:color w:val="000000" w:themeColor="text1"/>
                <w:spacing w:val="58"/>
              </w:rPr>
              <w:t xml:space="preserve"> </w:t>
            </w:r>
            <w:r w:rsidRPr="00C56257">
              <w:rPr>
                <w:color w:val="000000" w:themeColor="text1"/>
              </w:rPr>
              <w:t>fost</w:t>
            </w:r>
            <w:r>
              <w:rPr>
                <w:color w:val="000000" w:themeColor="text1"/>
              </w:rPr>
              <w:t xml:space="preserve"> </w:t>
            </w:r>
            <w:r w:rsidRPr="00C56257">
              <w:rPr>
                <w:color w:val="000000" w:themeColor="text1"/>
              </w:rPr>
              <w:t>„defavorabilă”</w:t>
            </w:r>
            <w:r w:rsidRPr="00C56257">
              <w:rPr>
                <w:color w:val="000000" w:themeColor="text1"/>
                <w:spacing w:val="-3"/>
              </w:rPr>
              <w:t xml:space="preserve"> </w:t>
            </w:r>
            <w:r w:rsidRPr="00C56257">
              <w:rPr>
                <w:color w:val="000000" w:themeColor="text1"/>
              </w:rPr>
              <w:t>indiferent de</w:t>
            </w:r>
            <w:r w:rsidRPr="00C56257">
              <w:rPr>
                <w:color w:val="000000" w:themeColor="text1"/>
                <w:spacing w:val="-3"/>
              </w:rPr>
              <w:t xml:space="preserve"> </w:t>
            </w:r>
            <w:r w:rsidRPr="00C56257">
              <w:rPr>
                <w:color w:val="000000" w:themeColor="text1"/>
              </w:rPr>
              <w:t>structură</w:t>
            </w:r>
            <w:r w:rsidRPr="00C56257">
              <w:rPr>
                <w:color w:val="000000" w:themeColor="text1"/>
                <w:spacing w:val="-4"/>
              </w:rPr>
              <w:t xml:space="preserve"> </w:t>
            </w:r>
            <w:r w:rsidRPr="00C56257">
              <w:rPr>
                <w:color w:val="000000" w:themeColor="text1"/>
              </w:rPr>
              <w:t>și</w:t>
            </w:r>
            <w:r w:rsidRPr="00C56257">
              <w:rPr>
                <w:color w:val="000000" w:themeColor="text1"/>
                <w:spacing w:val="-3"/>
              </w:rPr>
              <w:t xml:space="preserve"> </w:t>
            </w:r>
            <w:r w:rsidRPr="00C56257">
              <w:rPr>
                <w:color w:val="000000" w:themeColor="text1"/>
              </w:rPr>
              <w:t>funcții.</w:t>
            </w:r>
          </w:p>
        </w:tc>
      </w:tr>
      <w:tr w:rsidR="00A37B92" w:rsidRPr="00C56257" w14:paraId="05A57A01" w14:textId="77777777" w:rsidTr="004471AF">
        <w:trPr>
          <w:trHeight w:val="4405"/>
        </w:trPr>
        <w:tc>
          <w:tcPr>
            <w:tcW w:w="1810" w:type="dxa"/>
          </w:tcPr>
          <w:p w14:paraId="48C5CA8D" w14:textId="77777777" w:rsidR="00A37B92" w:rsidRPr="00C56257" w:rsidRDefault="00A37B92" w:rsidP="00C902DF">
            <w:pPr>
              <w:widowControl w:val="0"/>
              <w:autoSpaceDE w:val="0"/>
              <w:autoSpaceDN w:val="0"/>
              <w:jc w:val="both"/>
              <w:rPr>
                <w:color w:val="000000" w:themeColor="text1"/>
              </w:rPr>
            </w:pPr>
          </w:p>
          <w:p w14:paraId="66F86AD9" w14:textId="77777777" w:rsidR="00A37B92" w:rsidRPr="00C56257" w:rsidRDefault="00A37B92" w:rsidP="00C902DF">
            <w:pPr>
              <w:widowControl w:val="0"/>
              <w:autoSpaceDE w:val="0"/>
              <w:autoSpaceDN w:val="0"/>
              <w:jc w:val="both"/>
              <w:rPr>
                <w:color w:val="000000" w:themeColor="text1"/>
              </w:rPr>
            </w:pPr>
          </w:p>
          <w:p w14:paraId="6327E8B0" w14:textId="77777777" w:rsidR="00A37B92" w:rsidRPr="00C56257" w:rsidRDefault="00A37B92" w:rsidP="00C902DF">
            <w:pPr>
              <w:widowControl w:val="0"/>
              <w:autoSpaceDE w:val="0"/>
              <w:autoSpaceDN w:val="0"/>
              <w:jc w:val="both"/>
              <w:rPr>
                <w:color w:val="000000" w:themeColor="text1"/>
              </w:rPr>
            </w:pPr>
          </w:p>
          <w:p w14:paraId="0D168A52" w14:textId="77777777" w:rsidR="00A37B92" w:rsidRPr="00C56257" w:rsidRDefault="00A37B92" w:rsidP="00C902DF">
            <w:pPr>
              <w:widowControl w:val="0"/>
              <w:autoSpaceDE w:val="0"/>
              <w:autoSpaceDN w:val="0"/>
              <w:jc w:val="both"/>
              <w:rPr>
                <w:color w:val="000000" w:themeColor="text1"/>
              </w:rPr>
            </w:pPr>
          </w:p>
          <w:p w14:paraId="34C53239" w14:textId="77777777" w:rsidR="00A37B92" w:rsidRPr="00C56257" w:rsidRDefault="00A37B92" w:rsidP="00C902DF">
            <w:pPr>
              <w:widowControl w:val="0"/>
              <w:autoSpaceDE w:val="0"/>
              <w:autoSpaceDN w:val="0"/>
              <w:jc w:val="both"/>
              <w:rPr>
                <w:color w:val="000000" w:themeColor="text1"/>
              </w:rPr>
            </w:pPr>
          </w:p>
          <w:p w14:paraId="0C2484A9" w14:textId="77777777" w:rsidR="00A37B92" w:rsidRPr="00C56257" w:rsidRDefault="00A37B92" w:rsidP="00C902DF">
            <w:pPr>
              <w:widowControl w:val="0"/>
              <w:autoSpaceDE w:val="0"/>
              <w:autoSpaceDN w:val="0"/>
              <w:jc w:val="both"/>
              <w:rPr>
                <w:color w:val="000000" w:themeColor="text1"/>
              </w:rPr>
            </w:pPr>
          </w:p>
          <w:p w14:paraId="7001F39A" w14:textId="77777777" w:rsidR="00A37B92" w:rsidRPr="00C56257" w:rsidRDefault="00A37B92" w:rsidP="00C902DF">
            <w:pPr>
              <w:widowControl w:val="0"/>
              <w:autoSpaceDE w:val="0"/>
              <w:autoSpaceDN w:val="0"/>
              <w:spacing w:before="6"/>
              <w:jc w:val="both"/>
              <w:rPr>
                <w:color w:val="000000" w:themeColor="text1"/>
              </w:rPr>
            </w:pPr>
          </w:p>
          <w:p w14:paraId="15EB3B3B" w14:textId="77777777" w:rsidR="00A37B92" w:rsidRPr="00C56257" w:rsidRDefault="00A37B92" w:rsidP="00C902DF">
            <w:pPr>
              <w:widowControl w:val="0"/>
              <w:autoSpaceDE w:val="0"/>
              <w:autoSpaceDN w:val="0"/>
              <w:ind w:right="253"/>
              <w:jc w:val="both"/>
              <w:rPr>
                <w:color w:val="000000" w:themeColor="text1"/>
              </w:rPr>
            </w:pPr>
            <w:r w:rsidRPr="00C56257">
              <w:rPr>
                <w:color w:val="000000" w:themeColor="text1"/>
              </w:rPr>
              <w:t>Nefavorabil-</w:t>
            </w:r>
            <w:r w:rsidRPr="00C56257">
              <w:rPr>
                <w:color w:val="000000" w:themeColor="text1"/>
                <w:spacing w:val="1"/>
              </w:rPr>
              <w:t xml:space="preserve"> </w:t>
            </w:r>
            <w:r w:rsidRPr="00C56257">
              <w:rPr>
                <w:color w:val="000000" w:themeColor="text1"/>
              </w:rPr>
              <w:t>inadecvat</w:t>
            </w:r>
            <w:r w:rsidRPr="00C56257">
              <w:rPr>
                <w:color w:val="000000" w:themeColor="text1"/>
                <w:spacing w:val="-14"/>
              </w:rPr>
              <w:t xml:space="preserve"> </w:t>
            </w:r>
            <w:r w:rsidRPr="00C56257">
              <w:rPr>
                <w:color w:val="000000" w:themeColor="text1"/>
              </w:rPr>
              <w:t>(U1)</w:t>
            </w:r>
          </w:p>
        </w:tc>
        <w:tc>
          <w:tcPr>
            <w:tcW w:w="8165" w:type="dxa"/>
          </w:tcPr>
          <w:p w14:paraId="7C4C09A4" w14:textId="77777777" w:rsidR="00A37B92" w:rsidRPr="00C56257" w:rsidRDefault="00A37B92" w:rsidP="00C902DF">
            <w:pPr>
              <w:widowControl w:val="0"/>
              <w:autoSpaceDE w:val="0"/>
              <w:autoSpaceDN w:val="0"/>
              <w:spacing w:line="260" w:lineRule="exact"/>
              <w:jc w:val="both"/>
              <w:rPr>
                <w:color w:val="000000" w:themeColor="text1"/>
              </w:rPr>
            </w:pPr>
            <w:r w:rsidRPr="00C56257">
              <w:rPr>
                <w:color w:val="000000" w:themeColor="text1"/>
              </w:rPr>
              <w:t>Conform</w:t>
            </w:r>
            <w:r w:rsidRPr="00C56257">
              <w:rPr>
                <w:color w:val="000000" w:themeColor="text1"/>
                <w:spacing w:val="71"/>
              </w:rPr>
              <w:t xml:space="preserve"> </w:t>
            </w:r>
            <w:r w:rsidRPr="00C56257">
              <w:rPr>
                <w:color w:val="000000" w:themeColor="text1"/>
              </w:rPr>
              <w:t xml:space="preserve">matricei  </w:t>
            </w:r>
            <w:r w:rsidRPr="00C56257">
              <w:rPr>
                <w:color w:val="000000" w:themeColor="text1"/>
                <w:spacing w:val="10"/>
              </w:rPr>
              <w:t xml:space="preserve"> </w:t>
            </w:r>
            <w:r w:rsidRPr="00C56257">
              <w:rPr>
                <w:color w:val="000000" w:themeColor="text1"/>
              </w:rPr>
              <w:t xml:space="preserve">de  </w:t>
            </w:r>
            <w:r w:rsidRPr="00C56257">
              <w:rPr>
                <w:color w:val="000000" w:themeColor="text1"/>
                <w:spacing w:val="11"/>
              </w:rPr>
              <w:t xml:space="preserve"> </w:t>
            </w:r>
            <w:r w:rsidRPr="00C56257">
              <w:rPr>
                <w:color w:val="000000" w:themeColor="text1"/>
              </w:rPr>
              <w:t xml:space="preserve">evaluare  </w:t>
            </w:r>
            <w:r w:rsidRPr="00C56257">
              <w:rPr>
                <w:color w:val="000000" w:themeColor="text1"/>
                <w:spacing w:val="8"/>
              </w:rPr>
              <w:t xml:space="preserve"> </w:t>
            </w:r>
            <w:r w:rsidRPr="00C56257">
              <w:rPr>
                <w:color w:val="000000" w:themeColor="text1"/>
              </w:rPr>
              <w:t xml:space="preserve">(anexa  </w:t>
            </w:r>
            <w:r w:rsidRPr="00C56257">
              <w:rPr>
                <w:color w:val="000000" w:themeColor="text1"/>
                <w:spacing w:val="8"/>
              </w:rPr>
              <w:t xml:space="preserve"> </w:t>
            </w:r>
            <w:r w:rsidRPr="00C56257">
              <w:rPr>
                <w:color w:val="000000" w:themeColor="text1"/>
              </w:rPr>
              <w:t xml:space="preserve">E),  </w:t>
            </w:r>
            <w:r w:rsidRPr="00C56257">
              <w:rPr>
                <w:color w:val="000000" w:themeColor="text1"/>
                <w:spacing w:val="9"/>
              </w:rPr>
              <w:t xml:space="preserve"> </w:t>
            </w:r>
            <w:r w:rsidRPr="00C56257">
              <w:rPr>
                <w:color w:val="000000" w:themeColor="text1"/>
              </w:rPr>
              <w:t xml:space="preserve">starea  </w:t>
            </w:r>
            <w:r w:rsidRPr="00C56257">
              <w:rPr>
                <w:color w:val="000000" w:themeColor="text1"/>
                <w:spacing w:val="8"/>
              </w:rPr>
              <w:t xml:space="preserve"> </w:t>
            </w:r>
            <w:r w:rsidRPr="00C56257">
              <w:rPr>
                <w:color w:val="000000" w:themeColor="text1"/>
              </w:rPr>
              <w:t xml:space="preserve">și  </w:t>
            </w:r>
            <w:r w:rsidRPr="00C56257">
              <w:rPr>
                <w:color w:val="000000" w:themeColor="text1"/>
                <w:spacing w:val="10"/>
              </w:rPr>
              <w:t xml:space="preserve"> </w:t>
            </w:r>
            <w:r w:rsidRPr="00C56257">
              <w:rPr>
                <w:color w:val="000000" w:themeColor="text1"/>
              </w:rPr>
              <w:t xml:space="preserve">funcțiile  </w:t>
            </w:r>
            <w:r w:rsidRPr="00C56257">
              <w:rPr>
                <w:color w:val="000000" w:themeColor="text1"/>
                <w:spacing w:val="8"/>
              </w:rPr>
              <w:t xml:space="preserve"> </w:t>
            </w:r>
            <w:r w:rsidRPr="00C56257">
              <w:rPr>
                <w:color w:val="000000" w:themeColor="text1"/>
              </w:rPr>
              <w:t>sunt</w:t>
            </w:r>
          </w:p>
          <w:p w14:paraId="0C1AD629" w14:textId="77777777" w:rsidR="00A37B92" w:rsidRPr="00C56257" w:rsidRDefault="00A37B92" w:rsidP="00C902DF">
            <w:pPr>
              <w:widowControl w:val="0"/>
              <w:autoSpaceDE w:val="0"/>
              <w:autoSpaceDN w:val="0"/>
              <w:jc w:val="both"/>
              <w:rPr>
                <w:color w:val="000000" w:themeColor="text1"/>
              </w:rPr>
            </w:pPr>
            <w:r w:rsidRPr="00C56257">
              <w:rPr>
                <w:color w:val="000000" w:themeColor="text1"/>
              </w:rPr>
              <w:t>„nefavorabile-inadecvate”</w:t>
            </w:r>
            <w:r w:rsidRPr="00C56257">
              <w:rPr>
                <w:color w:val="000000" w:themeColor="text1"/>
                <w:spacing w:val="-4"/>
              </w:rPr>
              <w:t xml:space="preserve"> </w:t>
            </w:r>
            <w:r w:rsidRPr="00C56257">
              <w:rPr>
                <w:color w:val="000000" w:themeColor="text1"/>
              </w:rPr>
              <w:t>dacă:</w:t>
            </w:r>
          </w:p>
          <w:p w14:paraId="7C96A6DA" w14:textId="77777777" w:rsidR="00A37B92" w:rsidRPr="00C56257" w:rsidRDefault="00A37B92" w:rsidP="009E63E5">
            <w:pPr>
              <w:widowControl w:val="0"/>
              <w:numPr>
                <w:ilvl w:val="0"/>
                <w:numId w:val="89"/>
              </w:numPr>
              <w:tabs>
                <w:tab w:val="left" w:pos="828"/>
                <w:tab w:val="left" w:pos="829"/>
              </w:tabs>
              <w:autoSpaceDE w:val="0"/>
              <w:autoSpaceDN w:val="0"/>
              <w:spacing w:line="286" w:lineRule="exact"/>
              <w:ind w:hanging="362"/>
              <w:jc w:val="both"/>
              <w:rPr>
                <w:color w:val="000000" w:themeColor="text1"/>
              </w:rPr>
            </w:pPr>
            <w:r w:rsidRPr="00C56257">
              <w:rPr>
                <w:color w:val="000000" w:themeColor="text1"/>
              </w:rPr>
              <w:t>orice</w:t>
            </w:r>
            <w:r w:rsidRPr="00C56257">
              <w:rPr>
                <w:color w:val="000000" w:themeColor="text1"/>
                <w:spacing w:val="53"/>
              </w:rPr>
              <w:t xml:space="preserve"> </w:t>
            </w:r>
            <w:r w:rsidRPr="00C56257">
              <w:rPr>
                <w:color w:val="000000" w:themeColor="text1"/>
              </w:rPr>
              <w:t>altă</w:t>
            </w:r>
            <w:r w:rsidRPr="00C56257">
              <w:rPr>
                <w:color w:val="000000" w:themeColor="text1"/>
                <w:spacing w:val="56"/>
              </w:rPr>
              <w:t xml:space="preserve"> </w:t>
            </w:r>
            <w:r w:rsidRPr="00C56257">
              <w:rPr>
                <w:color w:val="000000" w:themeColor="text1"/>
              </w:rPr>
              <w:t>combinație</w:t>
            </w:r>
            <w:r w:rsidRPr="00C56257">
              <w:rPr>
                <w:color w:val="000000" w:themeColor="text1"/>
                <w:spacing w:val="54"/>
              </w:rPr>
              <w:t xml:space="preserve"> </w:t>
            </w:r>
            <w:r w:rsidRPr="00C56257">
              <w:rPr>
                <w:color w:val="000000" w:themeColor="text1"/>
              </w:rPr>
              <w:t>(o</w:t>
            </w:r>
            <w:r w:rsidRPr="00C56257">
              <w:rPr>
                <w:color w:val="000000" w:themeColor="text1"/>
                <w:spacing w:val="57"/>
              </w:rPr>
              <w:t xml:space="preserve"> </w:t>
            </w:r>
            <w:r w:rsidRPr="00C56257">
              <w:rPr>
                <w:color w:val="000000" w:themeColor="text1"/>
              </w:rPr>
              <w:t>altă</w:t>
            </w:r>
            <w:r w:rsidRPr="00C56257">
              <w:rPr>
                <w:color w:val="000000" w:themeColor="text1"/>
                <w:spacing w:val="54"/>
              </w:rPr>
              <w:t xml:space="preserve"> </w:t>
            </w:r>
            <w:r w:rsidRPr="00C56257">
              <w:rPr>
                <w:color w:val="000000" w:themeColor="text1"/>
              </w:rPr>
              <w:t>combinație</w:t>
            </w:r>
            <w:r w:rsidRPr="00C56257">
              <w:rPr>
                <w:color w:val="000000" w:themeColor="text1"/>
                <w:spacing w:val="55"/>
              </w:rPr>
              <w:t xml:space="preserve"> </w:t>
            </w:r>
            <w:r w:rsidRPr="00C56257">
              <w:rPr>
                <w:color w:val="000000" w:themeColor="text1"/>
              </w:rPr>
              <w:t>de</w:t>
            </w:r>
            <w:r w:rsidRPr="00C56257">
              <w:rPr>
                <w:color w:val="000000" w:themeColor="text1"/>
                <w:spacing w:val="54"/>
              </w:rPr>
              <w:t xml:space="preserve"> </w:t>
            </w:r>
            <w:r w:rsidRPr="00C56257">
              <w:rPr>
                <w:color w:val="000000" w:themeColor="text1"/>
              </w:rPr>
              <w:t>criterii</w:t>
            </w:r>
            <w:r w:rsidRPr="00C56257">
              <w:rPr>
                <w:color w:val="000000" w:themeColor="text1"/>
                <w:spacing w:val="57"/>
              </w:rPr>
              <w:t xml:space="preserve"> </w:t>
            </w:r>
            <w:r w:rsidRPr="00C56257">
              <w:rPr>
                <w:color w:val="000000" w:themeColor="text1"/>
              </w:rPr>
              <w:t>decât</w:t>
            </w:r>
            <w:r w:rsidRPr="00C56257">
              <w:rPr>
                <w:color w:val="000000" w:themeColor="text1"/>
                <w:spacing w:val="56"/>
              </w:rPr>
              <w:t xml:space="preserve"> </w:t>
            </w:r>
            <w:r w:rsidRPr="00C56257">
              <w:rPr>
                <w:color w:val="000000" w:themeColor="text1"/>
              </w:rPr>
              <w:t>pentru</w:t>
            </w:r>
          </w:p>
          <w:p w14:paraId="3A8BEFBC" w14:textId="77777777" w:rsidR="00A37B92" w:rsidRPr="00C56257" w:rsidRDefault="00A37B92" w:rsidP="00C902DF">
            <w:pPr>
              <w:widowControl w:val="0"/>
              <w:autoSpaceDE w:val="0"/>
              <w:autoSpaceDN w:val="0"/>
              <w:spacing w:line="269" w:lineRule="exact"/>
              <w:jc w:val="both"/>
              <w:rPr>
                <w:color w:val="000000" w:themeColor="text1"/>
              </w:rPr>
            </w:pPr>
            <w:r w:rsidRPr="00C56257">
              <w:rPr>
                <w:color w:val="000000" w:themeColor="text1"/>
              </w:rPr>
              <w:t>„favorabil”</w:t>
            </w:r>
            <w:r w:rsidRPr="00C56257">
              <w:rPr>
                <w:color w:val="000000" w:themeColor="text1"/>
                <w:spacing w:val="-3"/>
              </w:rPr>
              <w:t xml:space="preserve"> </w:t>
            </w:r>
            <w:r w:rsidRPr="00C56257">
              <w:rPr>
                <w:color w:val="000000" w:themeColor="text1"/>
              </w:rPr>
              <w:t>sau</w:t>
            </w:r>
            <w:r w:rsidRPr="00C56257">
              <w:rPr>
                <w:color w:val="000000" w:themeColor="text1"/>
                <w:spacing w:val="-2"/>
              </w:rPr>
              <w:t xml:space="preserve"> </w:t>
            </w:r>
            <w:r w:rsidRPr="00C56257">
              <w:rPr>
                <w:color w:val="000000" w:themeColor="text1"/>
              </w:rPr>
              <w:t>„nefavorabil-rău”).</w:t>
            </w:r>
          </w:p>
          <w:p w14:paraId="2578C090" w14:textId="77777777" w:rsidR="00A37B92" w:rsidRPr="00C56257" w:rsidRDefault="00A37B92" w:rsidP="00C902DF">
            <w:pPr>
              <w:widowControl w:val="0"/>
              <w:autoSpaceDE w:val="0"/>
              <w:autoSpaceDN w:val="0"/>
              <w:jc w:val="both"/>
              <w:rPr>
                <w:color w:val="000000" w:themeColor="text1"/>
              </w:rPr>
            </w:pPr>
            <w:r w:rsidRPr="00C56257">
              <w:rPr>
                <w:color w:val="000000" w:themeColor="text1"/>
              </w:rPr>
              <w:t>Informațiisuplimentare:</w:t>
            </w:r>
          </w:p>
          <w:p w14:paraId="24800FCF" w14:textId="77777777" w:rsidR="00A37B92" w:rsidRPr="00C56257" w:rsidRDefault="00A37B92" w:rsidP="009E63E5">
            <w:pPr>
              <w:widowControl w:val="0"/>
              <w:numPr>
                <w:ilvl w:val="0"/>
                <w:numId w:val="89"/>
              </w:numPr>
              <w:tabs>
                <w:tab w:val="left" w:pos="829"/>
              </w:tabs>
              <w:autoSpaceDE w:val="0"/>
              <w:autoSpaceDN w:val="0"/>
              <w:spacing w:line="287" w:lineRule="exact"/>
              <w:ind w:hanging="362"/>
              <w:jc w:val="both"/>
              <w:rPr>
                <w:color w:val="000000" w:themeColor="text1"/>
              </w:rPr>
            </w:pPr>
            <w:r w:rsidRPr="00C56257">
              <w:rPr>
                <w:color w:val="000000" w:themeColor="text1"/>
              </w:rPr>
              <w:t>Matricea</w:t>
            </w:r>
            <w:r w:rsidRPr="00C56257">
              <w:rPr>
                <w:color w:val="000000" w:themeColor="text1"/>
                <w:spacing w:val="53"/>
              </w:rPr>
              <w:t xml:space="preserve"> </w:t>
            </w:r>
            <w:r w:rsidRPr="00C56257">
              <w:rPr>
                <w:color w:val="000000" w:themeColor="text1"/>
              </w:rPr>
              <w:t>de</w:t>
            </w:r>
            <w:r w:rsidRPr="00C56257">
              <w:rPr>
                <w:color w:val="000000" w:themeColor="text1"/>
                <w:spacing w:val="54"/>
              </w:rPr>
              <w:t xml:space="preserve"> </w:t>
            </w:r>
            <w:r w:rsidRPr="00C56257">
              <w:rPr>
                <w:color w:val="000000" w:themeColor="text1"/>
              </w:rPr>
              <w:t>evaluare</w:t>
            </w:r>
            <w:r w:rsidRPr="00C56257">
              <w:rPr>
                <w:color w:val="000000" w:themeColor="text1"/>
                <w:spacing w:val="52"/>
              </w:rPr>
              <w:t xml:space="preserve"> </w:t>
            </w:r>
            <w:r w:rsidRPr="00C56257">
              <w:rPr>
                <w:color w:val="000000" w:themeColor="text1"/>
              </w:rPr>
              <w:t>nu</w:t>
            </w:r>
            <w:r w:rsidRPr="00C56257">
              <w:rPr>
                <w:color w:val="000000" w:themeColor="text1"/>
                <w:spacing w:val="54"/>
              </w:rPr>
              <w:t xml:space="preserve"> </w:t>
            </w:r>
            <w:r w:rsidRPr="00C56257">
              <w:rPr>
                <w:color w:val="000000" w:themeColor="text1"/>
              </w:rPr>
              <w:t>include</w:t>
            </w:r>
            <w:r w:rsidRPr="00C56257">
              <w:rPr>
                <w:color w:val="000000" w:themeColor="text1"/>
                <w:spacing w:val="53"/>
              </w:rPr>
              <w:t xml:space="preserve"> </w:t>
            </w:r>
            <w:r w:rsidRPr="00C56257">
              <w:rPr>
                <w:color w:val="000000" w:themeColor="text1"/>
              </w:rPr>
              <w:t>criterii</w:t>
            </w:r>
            <w:r w:rsidRPr="00C56257">
              <w:rPr>
                <w:color w:val="000000" w:themeColor="text1"/>
                <w:spacing w:val="55"/>
              </w:rPr>
              <w:t xml:space="preserve"> </w:t>
            </w:r>
            <w:r w:rsidRPr="00C56257">
              <w:rPr>
                <w:color w:val="000000" w:themeColor="text1"/>
              </w:rPr>
              <w:t>explicite</w:t>
            </w:r>
            <w:r w:rsidRPr="00C56257">
              <w:rPr>
                <w:color w:val="000000" w:themeColor="text1"/>
                <w:spacing w:val="53"/>
              </w:rPr>
              <w:t xml:space="preserve"> </w:t>
            </w:r>
            <w:r w:rsidRPr="00C56257">
              <w:rPr>
                <w:color w:val="000000" w:themeColor="text1"/>
              </w:rPr>
              <w:t>pentru</w:t>
            </w:r>
            <w:r w:rsidRPr="00C56257">
              <w:rPr>
                <w:color w:val="000000" w:themeColor="text1"/>
                <w:spacing w:val="54"/>
              </w:rPr>
              <w:t xml:space="preserve"> </w:t>
            </w:r>
            <w:r w:rsidRPr="00C56257">
              <w:rPr>
                <w:color w:val="000000" w:themeColor="text1"/>
              </w:rPr>
              <w:t>statutul</w:t>
            </w:r>
          </w:p>
          <w:p w14:paraId="5FEB3437" w14:textId="77777777" w:rsidR="00A37B92" w:rsidRPr="00C56257" w:rsidRDefault="00A37B92" w:rsidP="00C902DF">
            <w:pPr>
              <w:widowControl w:val="0"/>
              <w:autoSpaceDE w:val="0"/>
              <w:autoSpaceDN w:val="0"/>
              <w:ind w:right="95"/>
              <w:jc w:val="both"/>
              <w:rPr>
                <w:color w:val="000000" w:themeColor="text1"/>
              </w:rPr>
            </w:pPr>
            <w:r w:rsidRPr="00C56257">
              <w:rPr>
                <w:color w:val="000000" w:themeColor="text1"/>
              </w:rPr>
              <w:t>„nefavorabil-inadecvat” al structurii și funcțiilor. Cu toate acestea,</w:t>
            </w:r>
            <w:r w:rsidRPr="00C56257">
              <w:rPr>
                <w:color w:val="000000" w:themeColor="text1"/>
                <w:spacing w:val="1"/>
              </w:rPr>
              <w:t xml:space="preserve"> </w:t>
            </w:r>
            <w:r w:rsidRPr="00C56257">
              <w:rPr>
                <w:color w:val="000000" w:themeColor="text1"/>
              </w:rPr>
              <w:t>luând în considerare criteriile pentru „favorabile” și „nefavorabile-</w:t>
            </w:r>
            <w:r w:rsidRPr="00C56257">
              <w:rPr>
                <w:color w:val="000000" w:themeColor="text1"/>
                <w:spacing w:val="1"/>
              </w:rPr>
              <w:t xml:space="preserve"> </w:t>
            </w:r>
            <w:r w:rsidRPr="00C56257">
              <w:rPr>
                <w:color w:val="000000" w:themeColor="text1"/>
              </w:rPr>
              <w:t>rele” și criterii complementare pentru statutul „favorabil”, statutul</w:t>
            </w:r>
            <w:r w:rsidRPr="00C56257">
              <w:rPr>
                <w:color w:val="000000" w:themeColor="text1"/>
                <w:spacing w:val="1"/>
              </w:rPr>
              <w:t xml:space="preserve"> </w:t>
            </w:r>
            <w:r w:rsidRPr="00C56257">
              <w:rPr>
                <w:color w:val="000000" w:themeColor="text1"/>
              </w:rPr>
              <w:t>de</w:t>
            </w:r>
            <w:r w:rsidRPr="00C56257">
              <w:rPr>
                <w:color w:val="000000" w:themeColor="text1"/>
                <w:spacing w:val="57"/>
              </w:rPr>
              <w:t xml:space="preserve"> </w:t>
            </w:r>
            <w:r w:rsidRPr="00C56257">
              <w:rPr>
                <w:color w:val="000000" w:themeColor="text1"/>
              </w:rPr>
              <w:t>Structura</w:t>
            </w:r>
            <w:r w:rsidRPr="00C56257">
              <w:rPr>
                <w:color w:val="000000" w:themeColor="text1"/>
                <w:spacing w:val="57"/>
              </w:rPr>
              <w:t xml:space="preserve"> </w:t>
            </w:r>
            <w:r w:rsidRPr="00C56257">
              <w:rPr>
                <w:color w:val="000000" w:themeColor="text1"/>
              </w:rPr>
              <w:t>și</w:t>
            </w:r>
            <w:r w:rsidRPr="00C56257">
              <w:rPr>
                <w:color w:val="000000" w:themeColor="text1"/>
                <w:spacing w:val="59"/>
              </w:rPr>
              <w:t xml:space="preserve"> </w:t>
            </w:r>
            <w:r w:rsidRPr="00C56257">
              <w:rPr>
                <w:color w:val="000000" w:themeColor="text1"/>
              </w:rPr>
              <w:t>funcțiile</w:t>
            </w:r>
            <w:r w:rsidRPr="00C56257">
              <w:rPr>
                <w:color w:val="000000" w:themeColor="text1"/>
                <w:spacing w:val="58"/>
              </w:rPr>
              <w:t xml:space="preserve"> </w:t>
            </w:r>
            <w:r w:rsidRPr="00C56257">
              <w:rPr>
                <w:color w:val="000000" w:themeColor="text1"/>
              </w:rPr>
              <w:t>ar</w:t>
            </w:r>
            <w:r w:rsidRPr="00C56257">
              <w:rPr>
                <w:color w:val="000000" w:themeColor="text1"/>
                <w:spacing w:val="58"/>
              </w:rPr>
              <w:t xml:space="preserve"> </w:t>
            </w:r>
            <w:r w:rsidRPr="00C56257">
              <w:rPr>
                <w:color w:val="000000" w:themeColor="text1"/>
              </w:rPr>
              <w:t>trebui</w:t>
            </w:r>
            <w:r w:rsidRPr="00C56257">
              <w:rPr>
                <w:color w:val="000000" w:themeColor="text1"/>
                <w:spacing w:val="59"/>
              </w:rPr>
              <w:t xml:space="preserve"> </w:t>
            </w:r>
            <w:r w:rsidRPr="00C56257">
              <w:rPr>
                <w:color w:val="000000" w:themeColor="text1"/>
              </w:rPr>
              <w:t>considerate</w:t>
            </w:r>
            <w:r w:rsidRPr="00C56257">
              <w:rPr>
                <w:color w:val="000000" w:themeColor="text1"/>
                <w:spacing w:val="57"/>
              </w:rPr>
              <w:t xml:space="preserve"> </w:t>
            </w:r>
            <w:r w:rsidRPr="00C56257">
              <w:rPr>
                <w:color w:val="000000" w:themeColor="text1"/>
              </w:rPr>
              <w:t>„nefavorabile-</w:t>
            </w:r>
            <w:r w:rsidRPr="00C56257">
              <w:rPr>
                <w:color w:val="000000" w:themeColor="text1"/>
                <w:spacing w:val="-58"/>
              </w:rPr>
              <w:t xml:space="preserve"> </w:t>
            </w:r>
            <w:r w:rsidRPr="00C56257">
              <w:rPr>
                <w:color w:val="000000" w:themeColor="text1"/>
              </w:rPr>
              <w:t>inadecvate”</w:t>
            </w:r>
            <w:r w:rsidRPr="00C56257">
              <w:rPr>
                <w:color w:val="000000" w:themeColor="text1"/>
                <w:spacing w:val="-2"/>
              </w:rPr>
              <w:t xml:space="preserve"> </w:t>
            </w:r>
            <w:r w:rsidRPr="00C56257">
              <w:rPr>
                <w:color w:val="000000" w:themeColor="text1"/>
              </w:rPr>
              <w:t>dacă:</w:t>
            </w:r>
          </w:p>
          <w:p w14:paraId="5D3F0EC6" w14:textId="77777777" w:rsidR="00A37B92" w:rsidRPr="00C56257" w:rsidRDefault="00A37B92" w:rsidP="009E63E5">
            <w:pPr>
              <w:widowControl w:val="0"/>
              <w:numPr>
                <w:ilvl w:val="0"/>
                <w:numId w:val="89"/>
              </w:numPr>
              <w:tabs>
                <w:tab w:val="left" w:pos="828"/>
                <w:tab w:val="left" w:pos="829"/>
              </w:tabs>
              <w:autoSpaceDE w:val="0"/>
              <w:autoSpaceDN w:val="0"/>
              <w:spacing w:before="4" w:line="230" w:lineRule="auto"/>
              <w:ind w:right="95"/>
              <w:jc w:val="both"/>
              <w:rPr>
                <w:color w:val="000000" w:themeColor="text1"/>
              </w:rPr>
            </w:pPr>
            <w:r w:rsidRPr="00C56257">
              <w:rPr>
                <w:color w:val="000000" w:themeColor="text1"/>
              </w:rPr>
              <w:t>suprafața</w:t>
            </w:r>
            <w:r w:rsidRPr="00C56257">
              <w:rPr>
                <w:color w:val="000000" w:themeColor="text1"/>
                <w:spacing w:val="2"/>
              </w:rPr>
              <w:t xml:space="preserve"> </w:t>
            </w:r>
            <w:r w:rsidRPr="00C56257">
              <w:rPr>
                <w:color w:val="000000" w:themeColor="text1"/>
              </w:rPr>
              <w:t>habitatului</w:t>
            </w:r>
            <w:r w:rsidRPr="00C56257">
              <w:rPr>
                <w:color w:val="000000" w:themeColor="text1"/>
                <w:spacing w:val="3"/>
              </w:rPr>
              <w:t xml:space="preserve"> </w:t>
            </w:r>
            <w:r w:rsidRPr="00C56257">
              <w:rPr>
                <w:color w:val="000000" w:themeColor="text1"/>
              </w:rPr>
              <w:t>cu</w:t>
            </w:r>
            <w:r w:rsidRPr="00C56257">
              <w:rPr>
                <w:color w:val="000000" w:themeColor="text1"/>
                <w:spacing w:val="4"/>
              </w:rPr>
              <w:t xml:space="preserve"> </w:t>
            </w:r>
            <w:r w:rsidRPr="00C56257">
              <w:rPr>
                <w:color w:val="000000" w:themeColor="text1"/>
              </w:rPr>
              <w:t>condiții</w:t>
            </w:r>
            <w:r w:rsidRPr="00C56257">
              <w:rPr>
                <w:color w:val="000000" w:themeColor="text1"/>
                <w:spacing w:val="59"/>
              </w:rPr>
              <w:t xml:space="preserve"> </w:t>
            </w:r>
            <w:r w:rsidRPr="00C56257">
              <w:rPr>
                <w:color w:val="000000" w:themeColor="text1"/>
              </w:rPr>
              <w:t>„nefavorabile”</w:t>
            </w:r>
            <w:r w:rsidRPr="00C56257">
              <w:rPr>
                <w:color w:val="000000" w:themeColor="text1"/>
                <w:spacing w:val="3"/>
              </w:rPr>
              <w:t xml:space="preserve"> </w:t>
            </w:r>
            <w:r w:rsidRPr="00C56257">
              <w:rPr>
                <w:color w:val="000000" w:themeColor="text1"/>
              </w:rPr>
              <w:t>(„nu</w:t>
            </w:r>
            <w:r w:rsidRPr="00C56257">
              <w:rPr>
                <w:color w:val="000000" w:themeColor="text1"/>
                <w:spacing w:val="2"/>
              </w:rPr>
              <w:t xml:space="preserve"> </w:t>
            </w:r>
            <w:r w:rsidRPr="00C56257">
              <w:rPr>
                <w:color w:val="000000" w:themeColor="text1"/>
              </w:rPr>
              <w:t>este</w:t>
            </w:r>
            <w:r w:rsidRPr="00C56257">
              <w:rPr>
                <w:color w:val="000000" w:themeColor="text1"/>
                <w:spacing w:val="2"/>
              </w:rPr>
              <w:t xml:space="preserve"> </w:t>
            </w:r>
            <w:r w:rsidRPr="00C56257">
              <w:rPr>
                <w:color w:val="000000" w:themeColor="text1"/>
              </w:rPr>
              <w:t>bine”)</w:t>
            </w:r>
            <w:r w:rsidRPr="00C56257">
              <w:rPr>
                <w:color w:val="000000" w:themeColor="text1"/>
                <w:spacing w:val="-57"/>
              </w:rPr>
              <w:t xml:space="preserve"> </w:t>
            </w:r>
            <w:r w:rsidRPr="00C56257">
              <w:rPr>
                <w:color w:val="000000" w:themeColor="text1"/>
              </w:rPr>
              <w:t>(câmpul</w:t>
            </w:r>
            <w:r w:rsidRPr="00C56257">
              <w:rPr>
                <w:color w:val="000000" w:themeColor="text1"/>
                <w:spacing w:val="-1"/>
              </w:rPr>
              <w:t xml:space="preserve"> </w:t>
            </w:r>
            <w:r w:rsidRPr="00C56257">
              <w:rPr>
                <w:color w:val="000000" w:themeColor="text1"/>
              </w:rPr>
              <w:t>6.1)</w:t>
            </w:r>
            <w:r w:rsidRPr="00C56257">
              <w:rPr>
                <w:color w:val="000000" w:themeColor="text1"/>
                <w:spacing w:val="-1"/>
              </w:rPr>
              <w:t xml:space="preserve"> </w:t>
            </w:r>
            <w:r w:rsidRPr="00C56257">
              <w:rPr>
                <w:color w:val="000000" w:themeColor="text1"/>
              </w:rPr>
              <w:t>este</w:t>
            </w:r>
            <w:r w:rsidRPr="00C56257">
              <w:rPr>
                <w:color w:val="000000" w:themeColor="text1"/>
                <w:spacing w:val="-1"/>
              </w:rPr>
              <w:t xml:space="preserve"> </w:t>
            </w:r>
            <w:r w:rsidRPr="00C56257">
              <w:rPr>
                <w:color w:val="000000" w:themeColor="text1"/>
              </w:rPr>
              <w:t>mai mică</w:t>
            </w:r>
            <w:r w:rsidRPr="00C56257">
              <w:rPr>
                <w:color w:val="000000" w:themeColor="text1"/>
                <w:spacing w:val="-2"/>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25%; și</w:t>
            </w:r>
          </w:p>
          <w:p w14:paraId="5726B83E" w14:textId="77777777" w:rsidR="00A37B92" w:rsidRPr="00C56257" w:rsidRDefault="00A37B92" w:rsidP="009E63E5">
            <w:pPr>
              <w:widowControl w:val="0"/>
              <w:numPr>
                <w:ilvl w:val="0"/>
                <w:numId w:val="89"/>
              </w:numPr>
              <w:tabs>
                <w:tab w:val="left" w:pos="828"/>
                <w:tab w:val="left" w:pos="829"/>
              </w:tabs>
              <w:autoSpaceDE w:val="0"/>
              <w:autoSpaceDN w:val="0"/>
              <w:spacing w:before="11" w:line="230" w:lineRule="auto"/>
              <w:ind w:right="101"/>
              <w:jc w:val="both"/>
              <w:rPr>
                <w:color w:val="000000" w:themeColor="text1"/>
              </w:rPr>
            </w:pPr>
            <w:r w:rsidRPr="00C56257">
              <w:rPr>
                <w:color w:val="000000" w:themeColor="text1"/>
              </w:rPr>
              <w:t>suprafața</w:t>
            </w:r>
            <w:r w:rsidRPr="00C56257">
              <w:rPr>
                <w:color w:val="000000" w:themeColor="text1"/>
                <w:spacing w:val="9"/>
              </w:rPr>
              <w:t xml:space="preserve"> </w:t>
            </w:r>
            <w:r w:rsidRPr="00C56257">
              <w:rPr>
                <w:color w:val="000000" w:themeColor="text1"/>
              </w:rPr>
              <w:t>habitatului</w:t>
            </w:r>
            <w:r w:rsidRPr="00C56257">
              <w:rPr>
                <w:color w:val="000000" w:themeColor="text1"/>
                <w:spacing w:val="7"/>
              </w:rPr>
              <w:t xml:space="preserve"> </w:t>
            </w:r>
            <w:r w:rsidRPr="00C56257">
              <w:rPr>
                <w:color w:val="000000" w:themeColor="text1"/>
              </w:rPr>
              <w:t>cu</w:t>
            </w:r>
            <w:r w:rsidRPr="00C56257">
              <w:rPr>
                <w:color w:val="000000" w:themeColor="text1"/>
                <w:spacing w:val="10"/>
              </w:rPr>
              <w:t xml:space="preserve"> </w:t>
            </w:r>
            <w:r w:rsidRPr="00C56257">
              <w:rPr>
                <w:color w:val="000000" w:themeColor="text1"/>
              </w:rPr>
              <w:t>condiții</w:t>
            </w:r>
            <w:r w:rsidRPr="00C56257">
              <w:rPr>
                <w:color w:val="000000" w:themeColor="text1"/>
                <w:spacing w:val="8"/>
              </w:rPr>
              <w:t xml:space="preserve"> </w:t>
            </w:r>
            <w:r w:rsidRPr="00C56257">
              <w:rPr>
                <w:color w:val="000000" w:themeColor="text1"/>
              </w:rPr>
              <w:t>„bune”</w:t>
            </w:r>
            <w:r w:rsidRPr="00C56257">
              <w:rPr>
                <w:color w:val="000000" w:themeColor="text1"/>
                <w:spacing w:val="6"/>
              </w:rPr>
              <w:t xml:space="preserve"> </w:t>
            </w:r>
            <w:r w:rsidRPr="00C56257">
              <w:rPr>
                <w:color w:val="000000" w:themeColor="text1"/>
              </w:rPr>
              <w:t>(câmpul</w:t>
            </w:r>
            <w:r w:rsidRPr="00C56257">
              <w:rPr>
                <w:color w:val="000000" w:themeColor="text1"/>
                <w:spacing w:val="9"/>
              </w:rPr>
              <w:t xml:space="preserve"> </w:t>
            </w:r>
            <w:r w:rsidRPr="00C56257">
              <w:rPr>
                <w:color w:val="000000" w:themeColor="text1"/>
              </w:rPr>
              <w:t>6.1)</w:t>
            </w:r>
            <w:r w:rsidRPr="00C56257">
              <w:rPr>
                <w:color w:val="000000" w:themeColor="text1"/>
                <w:spacing w:val="6"/>
              </w:rPr>
              <w:t xml:space="preserve"> </w:t>
            </w:r>
            <w:r w:rsidRPr="00C56257">
              <w:rPr>
                <w:color w:val="000000" w:themeColor="text1"/>
              </w:rPr>
              <w:t>este</w:t>
            </w:r>
            <w:r w:rsidRPr="00C56257">
              <w:rPr>
                <w:color w:val="000000" w:themeColor="text1"/>
                <w:spacing w:val="8"/>
              </w:rPr>
              <w:t xml:space="preserve"> </w:t>
            </w:r>
            <w:r w:rsidRPr="00C56257">
              <w:rPr>
                <w:color w:val="000000" w:themeColor="text1"/>
              </w:rPr>
              <w:t>mai</w:t>
            </w:r>
            <w:r w:rsidRPr="00C56257">
              <w:rPr>
                <w:color w:val="000000" w:themeColor="text1"/>
                <w:spacing w:val="9"/>
              </w:rPr>
              <w:t xml:space="preserve"> </w:t>
            </w:r>
            <w:r w:rsidRPr="00C56257">
              <w:rPr>
                <w:color w:val="000000" w:themeColor="text1"/>
              </w:rPr>
              <w:t>mică</w:t>
            </w:r>
            <w:r w:rsidRPr="00C56257">
              <w:rPr>
                <w:color w:val="000000" w:themeColor="text1"/>
                <w:spacing w:val="-57"/>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90%; și</w:t>
            </w:r>
          </w:p>
          <w:p w14:paraId="0376F519" w14:textId="77777777" w:rsidR="00A37B92" w:rsidRPr="00C56257" w:rsidRDefault="00A37B92" w:rsidP="009E63E5">
            <w:pPr>
              <w:widowControl w:val="0"/>
              <w:numPr>
                <w:ilvl w:val="0"/>
                <w:numId w:val="89"/>
              </w:numPr>
              <w:tabs>
                <w:tab w:val="left" w:pos="828"/>
                <w:tab w:val="left" w:pos="829"/>
              </w:tabs>
              <w:autoSpaceDE w:val="0"/>
              <w:autoSpaceDN w:val="0"/>
              <w:spacing w:before="1" w:line="276" w:lineRule="exact"/>
              <w:ind w:right="100"/>
              <w:jc w:val="both"/>
              <w:rPr>
                <w:color w:val="000000" w:themeColor="text1"/>
              </w:rPr>
            </w:pPr>
            <w:r w:rsidRPr="00C56257">
              <w:rPr>
                <w:color w:val="000000" w:themeColor="text1"/>
              </w:rPr>
              <w:t>suprafața</w:t>
            </w:r>
            <w:r w:rsidRPr="00C56257">
              <w:rPr>
                <w:color w:val="000000" w:themeColor="text1"/>
                <w:spacing w:val="37"/>
              </w:rPr>
              <w:t xml:space="preserve"> </w:t>
            </w:r>
            <w:r w:rsidRPr="00C56257">
              <w:rPr>
                <w:color w:val="000000" w:themeColor="text1"/>
              </w:rPr>
              <w:t>habitatului</w:t>
            </w:r>
            <w:r w:rsidRPr="00C56257">
              <w:rPr>
                <w:color w:val="000000" w:themeColor="text1"/>
                <w:spacing w:val="38"/>
              </w:rPr>
              <w:t xml:space="preserve"> </w:t>
            </w:r>
            <w:r w:rsidRPr="00C56257">
              <w:rPr>
                <w:color w:val="000000" w:themeColor="text1"/>
              </w:rPr>
              <w:t>cu</w:t>
            </w:r>
            <w:r w:rsidRPr="00C56257">
              <w:rPr>
                <w:color w:val="000000" w:themeColor="text1"/>
                <w:spacing w:val="38"/>
              </w:rPr>
              <w:t xml:space="preserve"> </w:t>
            </w:r>
            <w:r w:rsidRPr="00C56257">
              <w:rPr>
                <w:color w:val="000000" w:themeColor="text1"/>
              </w:rPr>
              <w:t>condiție</w:t>
            </w:r>
            <w:r w:rsidRPr="00C56257">
              <w:rPr>
                <w:color w:val="000000" w:themeColor="text1"/>
                <w:spacing w:val="37"/>
              </w:rPr>
              <w:t xml:space="preserve"> </w:t>
            </w:r>
            <w:r w:rsidRPr="00C56257">
              <w:rPr>
                <w:color w:val="000000" w:themeColor="text1"/>
              </w:rPr>
              <w:t>„necunoscută”</w:t>
            </w:r>
            <w:r w:rsidRPr="00C56257">
              <w:rPr>
                <w:color w:val="000000" w:themeColor="text1"/>
                <w:spacing w:val="36"/>
              </w:rPr>
              <w:t xml:space="preserve"> </w:t>
            </w:r>
            <w:r w:rsidRPr="00C56257">
              <w:rPr>
                <w:color w:val="000000" w:themeColor="text1"/>
              </w:rPr>
              <w:t>(câmpul</w:t>
            </w:r>
            <w:r w:rsidRPr="00C56257">
              <w:rPr>
                <w:color w:val="000000" w:themeColor="text1"/>
                <w:spacing w:val="39"/>
              </w:rPr>
              <w:t xml:space="preserve"> </w:t>
            </w:r>
            <w:r w:rsidRPr="00C56257">
              <w:rPr>
                <w:color w:val="000000" w:themeColor="text1"/>
              </w:rPr>
              <w:t>6.1)</w:t>
            </w:r>
            <w:r w:rsidRPr="00C56257">
              <w:rPr>
                <w:color w:val="000000" w:themeColor="text1"/>
                <w:spacing w:val="36"/>
              </w:rPr>
              <w:t xml:space="preserve"> </w:t>
            </w:r>
            <w:r w:rsidRPr="00C56257">
              <w:rPr>
                <w:color w:val="000000" w:themeColor="text1"/>
              </w:rPr>
              <w:t>este</w:t>
            </w:r>
            <w:r w:rsidRPr="00C56257">
              <w:rPr>
                <w:color w:val="000000" w:themeColor="text1"/>
                <w:spacing w:val="-57"/>
              </w:rPr>
              <w:t xml:space="preserve"> </w:t>
            </w:r>
            <w:r w:rsidRPr="00C56257">
              <w:rPr>
                <w:color w:val="000000" w:themeColor="text1"/>
              </w:rPr>
              <w:t>mai</w:t>
            </w:r>
            <w:r w:rsidRPr="00C56257">
              <w:rPr>
                <w:color w:val="000000" w:themeColor="text1"/>
                <w:spacing w:val="-1"/>
              </w:rPr>
              <w:t xml:space="preserve"> </w:t>
            </w:r>
            <w:r w:rsidRPr="00C56257">
              <w:rPr>
                <w:color w:val="000000" w:themeColor="text1"/>
              </w:rPr>
              <w:t>mică</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75%.</w:t>
            </w:r>
          </w:p>
        </w:tc>
      </w:tr>
      <w:tr w:rsidR="00A37B92" w:rsidRPr="00C56257" w14:paraId="59AFE246" w14:textId="77777777" w:rsidTr="004471AF">
        <w:trPr>
          <w:trHeight w:val="1384"/>
        </w:trPr>
        <w:tc>
          <w:tcPr>
            <w:tcW w:w="1810" w:type="dxa"/>
          </w:tcPr>
          <w:p w14:paraId="38463B80" w14:textId="77777777" w:rsidR="00A37B92" w:rsidRPr="00C56257" w:rsidRDefault="00A37B92" w:rsidP="00C902DF">
            <w:pPr>
              <w:widowControl w:val="0"/>
              <w:autoSpaceDE w:val="0"/>
              <w:autoSpaceDN w:val="0"/>
              <w:spacing w:before="8"/>
              <w:jc w:val="both"/>
              <w:rPr>
                <w:color w:val="000000" w:themeColor="text1"/>
              </w:rPr>
            </w:pPr>
          </w:p>
          <w:p w14:paraId="79656DBF" w14:textId="77777777" w:rsidR="00A37B92" w:rsidRPr="00C56257" w:rsidRDefault="00A37B92" w:rsidP="00C902DF">
            <w:pPr>
              <w:widowControl w:val="0"/>
              <w:autoSpaceDE w:val="0"/>
              <w:autoSpaceDN w:val="0"/>
              <w:ind w:right="154"/>
              <w:jc w:val="both"/>
              <w:rPr>
                <w:color w:val="000000" w:themeColor="text1"/>
              </w:rPr>
            </w:pPr>
            <w:r w:rsidRPr="00C56257">
              <w:rPr>
                <w:color w:val="000000" w:themeColor="text1"/>
                <w:spacing w:val="-1"/>
              </w:rPr>
              <w:t>Nefavorabil-rău</w:t>
            </w:r>
            <w:r w:rsidRPr="00C56257">
              <w:rPr>
                <w:color w:val="000000" w:themeColor="text1"/>
                <w:spacing w:val="-57"/>
              </w:rPr>
              <w:t xml:space="preserve"> </w:t>
            </w:r>
            <w:r w:rsidRPr="00C56257">
              <w:rPr>
                <w:color w:val="000000" w:themeColor="text1"/>
              </w:rPr>
              <w:t>(U2)</w:t>
            </w:r>
          </w:p>
        </w:tc>
        <w:tc>
          <w:tcPr>
            <w:tcW w:w="8165" w:type="dxa"/>
          </w:tcPr>
          <w:p w14:paraId="433026D5" w14:textId="77777777" w:rsidR="00A37B92" w:rsidRPr="00C56257" w:rsidRDefault="00A37B92" w:rsidP="00C902DF">
            <w:pPr>
              <w:widowControl w:val="0"/>
              <w:autoSpaceDE w:val="0"/>
              <w:autoSpaceDN w:val="0"/>
              <w:spacing w:line="260" w:lineRule="exact"/>
              <w:jc w:val="both"/>
              <w:rPr>
                <w:color w:val="000000" w:themeColor="text1"/>
              </w:rPr>
            </w:pPr>
            <w:r w:rsidRPr="00C56257">
              <w:rPr>
                <w:color w:val="000000" w:themeColor="text1"/>
              </w:rPr>
              <w:t>Conform</w:t>
            </w:r>
            <w:r w:rsidRPr="00C56257">
              <w:rPr>
                <w:color w:val="000000" w:themeColor="text1"/>
                <w:spacing w:val="72"/>
              </w:rPr>
              <w:t xml:space="preserve"> </w:t>
            </w:r>
            <w:r w:rsidRPr="00C56257">
              <w:rPr>
                <w:color w:val="000000" w:themeColor="text1"/>
              </w:rPr>
              <w:t xml:space="preserve">matricei  </w:t>
            </w:r>
            <w:r w:rsidRPr="00C56257">
              <w:rPr>
                <w:color w:val="000000" w:themeColor="text1"/>
                <w:spacing w:val="10"/>
              </w:rPr>
              <w:t xml:space="preserve"> </w:t>
            </w:r>
            <w:r w:rsidRPr="00C56257">
              <w:rPr>
                <w:color w:val="000000" w:themeColor="text1"/>
              </w:rPr>
              <w:t xml:space="preserve">de  </w:t>
            </w:r>
            <w:r w:rsidRPr="00C56257">
              <w:rPr>
                <w:color w:val="000000" w:themeColor="text1"/>
                <w:spacing w:val="11"/>
              </w:rPr>
              <w:t xml:space="preserve"> </w:t>
            </w:r>
            <w:r w:rsidRPr="00C56257">
              <w:rPr>
                <w:color w:val="000000" w:themeColor="text1"/>
              </w:rPr>
              <w:t xml:space="preserve">evaluare  </w:t>
            </w:r>
            <w:r w:rsidRPr="00C56257">
              <w:rPr>
                <w:color w:val="000000" w:themeColor="text1"/>
                <w:spacing w:val="8"/>
              </w:rPr>
              <w:t xml:space="preserve"> </w:t>
            </w:r>
            <w:r w:rsidRPr="00C56257">
              <w:rPr>
                <w:color w:val="000000" w:themeColor="text1"/>
              </w:rPr>
              <w:t xml:space="preserve">(anexa  </w:t>
            </w:r>
            <w:r w:rsidRPr="00C56257">
              <w:rPr>
                <w:color w:val="000000" w:themeColor="text1"/>
                <w:spacing w:val="8"/>
              </w:rPr>
              <w:t xml:space="preserve"> </w:t>
            </w:r>
            <w:r w:rsidRPr="00C56257">
              <w:rPr>
                <w:color w:val="000000" w:themeColor="text1"/>
              </w:rPr>
              <w:t xml:space="preserve">E),  </w:t>
            </w:r>
            <w:r w:rsidRPr="00C56257">
              <w:rPr>
                <w:color w:val="000000" w:themeColor="text1"/>
                <w:spacing w:val="9"/>
              </w:rPr>
              <w:t xml:space="preserve"> </w:t>
            </w:r>
            <w:r w:rsidRPr="00C56257">
              <w:rPr>
                <w:color w:val="000000" w:themeColor="text1"/>
              </w:rPr>
              <w:t xml:space="preserve">starea  </w:t>
            </w:r>
            <w:r w:rsidRPr="00C56257">
              <w:rPr>
                <w:color w:val="000000" w:themeColor="text1"/>
                <w:spacing w:val="8"/>
              </w:rPr>
              <w:t xml:space="preserve"> </w:t>
            </w:r>
            <w:r w:rsidRPr="00C56257">
              <w:rPr>
                <w:color w:val="000000" w:themeColor="text1"/>
              </w:rPr>
              <w:t xml:space="preserve">și  </w:t>
            </w:r>
            <w:r w:rsidRPr="00C56257">
              <w:rPr>
                <w:color w:val="000000" w:themeColor="text1"/>
                <w:spacing w:val="10"/>
              </w:rPr>
              <w:t xml:space="preserve"> </w:t>
            </w:r>
            <w:r w:rsidRPr="00C56257">
              <w:rPr>
                <w:color w:val="000000" w:themeColor="text1"/>
              </w:rPr>
              <w:t xml:space="preserve">funcțiile  </w:t>
            </w:r>
            <w:r w:rsidRPr="00C56257">
              <w:rPr>
                <w:color w:val="000000" w:themeColor="text1"/>
                <w:spacing w:val="8"/>
              </w:rPr>
              <w:t xml:space="preserve"> </w:t>
            </w:r>
            <w:r w:rsidRPr="00C56257">
              <w:rPr>
                <w:color w:val="000000" w:themeColor="text1"/>
              </w:rPr>
              <w:t>sunt</w:t>
            </w:r>
          </w:p>
          <w:p w14:paraId="294E8954" w14:textId="77777777" w:rsidR="00A37B92" w:rsidRPr="00C56257" w:rsidRDefault="00A37B92" w:rsidP="00C902DF">
            <w:pPr>
              <w:widowControl w:val="0"/>
              <w:autoSpaceDE w:val="0"/>
              <w:autoSpaceDN w:val="0"/>
              <w:jc w:val="both"/>
              <w:rPr>
                <w:color w:val="000000" w:themeColor="text1"/>
              </w:rPr>
            </w:pPr>
            <w:r w:rsidRPr="00C56257">
              <w:rPr>
                <w:color w:val="000000" w:themeColor="text1"/>
              </w:rPr>
              <w:t>„nefavorabile-rele”</w:t>
            </w:r>
            <w:r w:rsidRPr="00C56257">
              <w:rPr>
                <w:color w:val="000000" w:themeColor="text1"/>
                <w:spacing w:val="-4"/>
              </w:rPr>
              <w:t xml:space="preserve"> </w:t>
            </w:r>
            <w:r w:rsidRPr="00C56257">
              <w:rPr>
                <w:color w:val="000000" w:themeColor="text1"/>
              </w:rPr>
              <w:t>dacă:</w:t>
            </w:r>
          </w:p>
          <w:p w14:paraId="44F72E16" w14:textId="77777777" w:rsidR="00A37B92" w:rsidRPr="00C56257" w:rsidRDefault="00A37B92" w:rsidP="00C902DF">
            <w:pPr>
              <w:widowControl w:val="0"/>
              <w:autoSpaceDE w:val="0"/>
              <w:autoSpaceDN w:val="0"/>
              <w:spacing w:line="276" w:lineRule="exact"/>
              <w:ind w:right="100"/>
              <w:jc w:val="both"/>
              <w:rPr>
                <w:color w:val="000000" w:themeColor="text1"/>
              </w:rPr>
            </w:pPr>
            <w:r w:rsidRPr="00C56257">
              <w:rPr>
                <w:color w:val="000000" w:themeColor="text1"/>
              </w:rPr>
              <w:t>-</w:t>
            </w:r>
            <w:r w:rsidRPr="00C56257">
              <w:rPr>
                <w:color w:val="000000" w:themeColor="text1"/>
                <w:spacing w:val="1"/>
              </w:rPr>
              <w:t xml:space="preserve"> </w:t>
            </w:r>
            <w:r w:rsidRPr="00C56257">
              <w:rPr>
                <w:color w:val="000000" w:themeColor="text1"/>
              </w:rPr>
              <w:t>mai mult de 25% din suprafață este defavorabilă („nu este bine” în</w:t>
            </w:r>
            <w:r w:rsidRPr="00C56257">
              <w:rPr>
                <w:color w:val="000000" w:themeColor="text1"/>
                <w:spacing w:val="1"/>
              </w:rPr>
              <w:t xml:space="preserve"> </w:t>
            </w:r>
            <w:r w:rsidRPr="00C56257">
              <w:rPr>
                <w:color w:val="000000" w:themeColor="text1"/>
              </w:rPr>
              <w:t>câmpul 6.1) în ceea ce privește structura și funcțiile sale specifice</w:t>
            </w:r>
            <w:r w:rsidRPr="00C56257">
              <w:rPr>
                <w:color w:val="000000" w:themeColor="text1"/>
                <w:spacing w:val="1"/>
              </w:rPr>
              <w:t xml:space="preserve"> </w:t>
            </w:r>
            <w:r w:rsidRPr="00C56257">
              <w:rPr>
                <w:color w:val="000000" w:themeColor="text1"/>
              </w:rPr>
              <w:t>(inclusiv</w:t>
            </w:r>
            <w:r w:rsidRPr="00C56257">
              <w:rPr>
                <w:color w:val="000000" w:themeColor="text1"/>
                <w:spacing w:val="-1"/>
              </w:rPr>
              <w:t xml:space="preserve"> </w:t>
            </w:r>
            <w:r w:rsidRPr="00C56257">
              <w:rPr>
                <w:color w:val="000000" w:themeColor="text1"/>
              </w:rPr>
              <w:t>speciile tipice).</w:t>
            </w:r>
          </w:p>
        </w:tc>
      </w:tr>
      <w:tr w:rsidR="00A37B92" w:rsidRPr="00C56257" w14:paraId="2E40D491" w14:textId="77777777" w:rsidTr="004471AF">
        <w:trPr>
          <w:trHeight w:val="1941"/>
        </w:trPr>
        <w:tc>
          <w:tcPr>
            <w:tcW w:w="1810" w:type="dxa"/>
          </w:tcPr>
          <w:p w14:paraId="4B8880EE" w14:textId="77777777" w:rsidR="00A37B92" w:rsidRPr="00C56257" w:rsidRDefault="00A37B92" w:rsidP="00C902DF">
            <w:pPr>
              <w:widowControl w:val="0"/>
              <w:autoSpaceDE w:val="0"/>
              <w:autoSpaceDN w:val="0"/>
              <w:jc w:val="both"/>
              <w:rPr>
                <w:color w:val="000000" w:themeColor="text1"/>
              </w:rPr>
            </w:pPr>
          </w:p>
          <w:p w14:paraId="4EC6FAB5" w14:textId="77777777" w:rsidR="00A37B92" w:rsidRPr="00C56257" w:rsidRDefault="00A37B92" w:rsidP="00C902DF">
            <w:pPr>
              <w:widowControl w:val="0"/>
              <w:autoSpaceDE w:val="0"/>
              <w:autoSpaceDN w:val="0"/>
              <w:spacing w:before="10"/>
              <w:jc w:val="both"/>
              <w:rPr>
                <w:color w:val="000000" w:themeColor="text1"/>
              </w:rPr>
            </w:pPr>
          </w:p>
          <w:p w14:paraId="428CE033" w14:textId="77777777" w:rsidR="00A37B92" w:rsidRPr="00C56257" w:rsidRDefault="00A37B92" w:rsidP="00C902DF">
            <w:pPr>
              <w:widowControl w:val="0"/>
              <w:autoSpaceDE w:val="0"/>
              <w:autoSpaceDN w:val="0"/>
              <w:ind w:right="549"/>
              <w:jc w:val="both"/>
              <w:rPr>
                <w:color w:val="000000" w:themeColor="text1"/>
              </w:rPr>
            </w:pPr>
            <w:r w:rsidRPr="00C56257">
              <w:rPr>
                <w:color w:val="000000" w:themeColor="text1"/>
                <w:spacing w:val="-1"/>
              </w:rPr>
              <w:t>Necunoscut</w:t>
            </w:r>
            <w:r w:rsidRPr="00C56257">
              <w:rPr>
                <w:color w:val="000000" w:themeColor="text1"/>
                <w:spacing w:val="-57"/>
              </w:rPr>
              <w:t xml:space="preserve"> </w:t>
            </w:r>
            <w:r w:rsidRPr="00C56257">
              <w:rPr>
                <w:color w:val="000000" w:themeColor="text1"/>
              </w:rPr>
              <w:t>(XX)</w:t>
            </w:r>
          </w:p>
        </w:tc>
        <w:tc>
          <w:tcPr>
            <w:tcW w:w="8165" w:type="dxa"/>
          </w:tcPr>
          <w:p w14:paraId="3181D454" w14:textId="77777777" w:rsidR="00A37B92" w:rsidRPr="00C56257" w:rsidRDefault="00A37B92" w:rsidP="00C902DF">
            <w:pPr>
              <w:widowControl w:val="0"/>
              <w:autoSpaceDE w:val="0"/>
              <w:autoSpaceDN w:val="0"/>
              <w:spacing w:line="260" w:lineRule="exact"/>
              <w:jc w:val="both"/>
              <w:rPr>
                <w:color w:val="000000" w:themeColor="text1"/>
              </w:rPr>
            </w:pPr>
            <w:r w:rsidRPr="00C56257">
              <w:rPr>
                <w:color w:val="000000" w:themeColor="text1"/>
              </w:rPr>
              <w:t>Conform</w:t>
            </w:r>
            <w:r w:rsidRPr="00C56257">
              <w:rPr>
                <w:color w:val="000000" w:themeColor="text1"/>
                <w:spacing w:val="71"/>
              </w:rPr>
              <w:t xml:space="preserve"> </w:t>
            </w:r>
            <w:r w:rsidRPr="00C56257">
              <w:rPr>
                <w:color w:val="000000" w:themeColor="text1"/>
              </w:rPr>
              <w:t xml:space="preserve">matricei  </w:t>
            </w:r>
            <w:r w:rsidRPr="00C56257">
              <w:rPr>
                <w:color w:val="000000" w:themeColor="text1"/>
                <w:spacing w:val="10"/>
              </w:rPr>
              <w:t xml:space="preserve"> </w:t>
            </w:r>
            <w:r w:rsidRPr="00C56257">
              <w:rPr>
                <w:color w:val="000000" w:themeColor="text1"/>
              </w:rPr>
              <w:t xml:space="preserve">de  </w:t>
            </w:r>
            <w:r w:rsidRPr="00C56257">
              <w:rPr>
                <w:color w:val="000000" w:themeColor="text1"/>
                <w:spacing w:val="11"/>
              </w:rPr>
              <w:t xml:space="preserve"> </w:t>
            </w:r>
            <w:r w:rsidRPr="00C56257">
              <w:rPr>
                <w:color w:val="000000" w:themeColor="text1"/>
              </w:rPr>
              <w:t xml:space="preserve">evaluare  </w:t>
            </w:r>
            <w:r w:rsidRPr="00C56257">
              <w:rPr>
                <w:color w:val="000000" w:themeColor="text1"/>
                <w:spacing w:val="8"/>
              </w:rPr>
              <w:t xml:space="preserve"> </w:t>
            </w:r>
            <w:r w:rsidRPr="00C56257">
              <w:rPr>
                <w:color w:val="000000" w:themeColor="text1"/>
              </w:rPr>
              <w:t xml:space="preserve">(anexa  </w:t>
            </w:r>
            <w:r w:rsidRPr="00C56257">
              <w:rPr>
                <w:color w:val="000000" w:themeColor="text1"/>
                <w:spacing w:val="8"/>
              </w:rPr>
              <w:t xml:space="preserve"> </w:t>
            </w:r>
            <w:r w:rsidRPr="00C56257">
              <w:rPr>
                <w:color w:val="000000" w:themeColor="text1"/>
              </w:rPr>
              <w:t xml:space="preserve">E),  </w:t>
            </w:r>
            <w:r w:rsidRPr="00C56257">
              <w:rPr>
                <w:color w:val="000000" w:themeColor="text1"/>
                <w:spacing w:val="9"/>
              </w:rPr>
              <w:t xml:space="preserve"> </w:t>
            </w:r>
            <w:r w:rsidRPr="00C56257">
              <w:rPr>
                <w:color w:val="000000" w:themeColor="text1"/>
              </w:rPr>
              <w:t xml:space="preserve">starea  </w:t>
            </w:r>
            <w:r w:rsidRPr="00C56257">
              <w:rPr>
                <w:color w:val="000000" w:themeColor="text1"/>
                <w:spacing w:val="8"/>
              </w:rPr>
              <w:t xml:space="preserve"> </w:t>
            </w:r>
            <w:r w:rsidRPr="00C56257">
              <w:rPr>
                <w:color w:val="000000" w:themeColor="text1"/>
              </w:rPr>
              <w:t xml:space="preserve">și  </w:t>
            </w:r>
            <w:r w:rsidRPr="00C56257">
              <w:rPr>
                <w:color w:val="000000" w:themeColor="text1"/>
                <w:spacing w:val="10"/>
              </w:rPr>
              <w:t xml:space="preserve"> </w:t>
            </w:r>
            <w:r w:rsidRPr="00C56257">
              <w:rPr>
                <w:color w:val="000000" w:themeColor="text1"/>
              </w:rPr>
              <w:t xml:space="preserve">funcțiile  </w:t>
            </w:r>
            <w:r w:rsidRPr="00C56257">
              <w:rPr>
                <w:color w:val="000000" w:themeColor="text1"/>
                <w:spacing w:val="8"/>
              </w:rPr>
              <w:t xml:space="preserve"> </w:t>
            </w:r>
            <w:r w:rsidRPr="00C56257">
              <w:rPr>
                <w:color w:val="000000" w:themeColor="text1"/>
              </w:rPr>
              <w:t>sunt</w:t>
            </w:r>
          </w:p>
          <w:p w14:paraId="5CBB5F26" w14:textId="77777777" w:rsidR="00A37B92" w:rsidRPr="00C56257" w:rsidRDefault="00A37B92" w:rsidP="00C902DF">
            <w:pPr>
              <w:widowControl w:val="0"/>
              <w:autoSpaceDE w:val="0"/>
              <w:autoSpaceDN w:val="0"/>
              <w:jc w:val="both"/>
              <w:rPr>
                <w:color w:val="000000" w:themeColor="text1"/>
              </w:rPr>
            </w:pPr>
            <w:r w:rsidRPr="00C56257">
              <w:rPr>
                <w:color w:val="000000" w:themeColor="text1"/>
              </w:rPr>
              <w:t>„necunoscute”</w:t>
            </w:r>
            <w:r w:rsidRPr="00C56257">
              <w:rPr>
                <w:color w:val="000000" w:themeColor="text1"/>
                <w:spacing w:val="-4"/>
              </w:rPr>
              <w:t xml:space="preserve"> </w:t>
            </w:r>
            <w:r w:rsidRPr="00C56257">
              <w:rPr>
                <w:color w:val="000000" w:themeColor="text1"/>
              </w:rPr>
              <w:t>dacă:</w:t>
            </w:r>
          </w:p>
          <w:p w14:paraId="1B3E1D55" w14:textId="77777777" w:rsidR="00A37B92" w:rsidRPr="00C56257" w:rsidRDefault="00A37B92" w:rsidP="00C902DF">
            <w:pPr>
              <w:widowControl w:val="0"/>
              <w:tabs>
                <w:tab w:val="left" w:pos="828"/>
              </w:tabs>
              <w:autoSpaceDE w:val="0"/>
              <w:autoSpaceDN w:val="0"/>
              <w:spacing w:before="9" w:line="230" w:lineRule="auto"/>
              <w:ind w:right="1341"/>
              <w:jc w:val="both"/>
              <w:rPr>
                <w:color w:val="000000" w:themeColor="text1"/>
              </w:rPr>
            </w:pPr>
            <w:r w:rsidRPr="00C56257">
              <w:rPr>
                <w:color w:val="000000" w:themeColor="text1"/>
              </w:rPr>
              <w:t>-</w:t>
            </w:r>
            <w:r w:rsidRPr="00C56257">
              <w:rPr>
                <w:color w:val="000000" w:themeColor="text1"/>
              </w:rPr>
              <w:tab/>
              <w:t>nu există informații fiabile sau insuficiente disponibile.</w:t>
            </w:r>
            <w:r w:rsidRPr="00C56257">
              <w:rPr>
                <w:color w:val="000000" w:themeColor="text1"/>
                <w:spacing w:val="-58"/>
              </w:rPr>
              <w:t xml:space="preserve"> </w:t>
            </w:r>
            <w:r w:rsidRPr="00C56257">
              <w:rPr>
                <w:color w:val="000000" w:themeColor="text1"/>
              </w:rPr>
              <w:t>Informațiisuplimentare:</w:t>
            </w:r>
          </w:p>
          <w:p w14:paraId="38F80844" w14:textId="77777777" w:rsidR="00A37B92" w:rsidRPr="00C56257" w:rsidRDefault="00A37B92" w:rsidP="00C902DF">
            <w:pPr>
              <w:widowControl w:val="0"/>
              <w:tabs>
                <w:tab w:val="left" w:pos="912"/>
              </w:tabs>
              <w:autoSpaceDE w:val="0"/>
              <w:autoSpaceDN w:val="0"/>
              <w:spacing w:before="11" w:line="230" w:lineRule="auto"/>
              <w:ind w:right="101"/>
              <w:jc w:val="both"/>
              <w:rPr>
                <w:color w:val="000000" w:themeColor="text1"/>
              </w:rPr>
            </w:pPr>
            <w:r w:rsidRPr="00C56257">
              <w:rPr>
                <w:color w:val="000000" w:themeColor="text1"/>
              </w:rPr>
              <w:t>-</w:t>
            </w:r>
            <w:r w:rsidRPr="00C56257">
              <w:rPr>
                <w:color w:val="000000" w:themeColor="text1"/>
              </w:rPr>
              <w:tab/>
              <w:t>Statutul</w:t>
            </w:r>
            <w:r w:rsidRPr="00C56257">
              <w:rPr>
                <w:color w:val="000000" w:themeColor="text1"/>
                <w:spacing w:val="46"/>
              </w:rPr>
              <w:t xml:space="preserve"> </w:t>
            </w:r>
            <w:r w:rsidRPr="00C56257">
              <w:rPr>
                <w:color w:val="000000" w:themeColor="text1"/>
              </w:rPr>
              <w:t>structurii</w:t>
            </w:r>
            <w:r w:rsidRPr="00C56257">
              <w:rPr>
                <w:color w:val="000000" w:themeColor="text1"/>
                <w:spacing w:val="47"/>
              </w:rPr>
              <w:t xml:space="preserve"> </w:t>
            </w:r>
            <w:r w:rsidRPr="00C56257">
              <w:rPr>
                <w:color w:val="000000" w:themeColor="text1"/>
              </w:rPr>
              <w:t>și</w:t>
            </w:r>
            <w:r w:rsidRPr="00C56257">
              <w:rPr>
                <w:color w:val="000000" w:themeColor="text1"/>
                <w:spacing w:val="47"/>
              </w:rPr>
              <w:t xml:space="preserve"> </w:t>
            </w:r>
            <w:r w:rsidRPr="00C56257">
              <w:rPr>
                <w:color w:val="000000" w:themeColor="text1"/>
              </w:rPr>
              <w:t>funcțiilor</w:t>
            </w:r>
            <w:r w:rsidRPr="00C56257">
              <w:rPr>
                <w:color w:val="000000" w:themeColor="text1"/>
                <w:spacing w:val="46"/>
              </w:rPr>
              <w:t xml:space="preserve"> </w:t>
            </w:r>
            <w:r w:rsidRPr="00C56257">
              <w:rPr>
                <w:color w:val="000000" w:themeColor="text1"/>
              </w:rPr>
              <w:t>ar</w:t>
            </w:r>
            <w:r w:rsidRPr="00C56257">
              <w:rPr>
                <w:color w:val="000000" w:themeColor="text1"/>
                <w:spacing w:val="46"/>
              </w:rPr>
              <w:t xml:space="preserve"> </w:t>
            </w:r>
            <w:r w:rsidRPr="00C56257">
              <w:rPr>
                <w:color w:val="000000" w:themeColor="text1"/>
              </w:rPr>
              <w:t>trebui</w:t>
            </w:r>
            <w:r w:rsidRPr="00C56257">
              <w:rPr>
                <w:color w:val="000000" w:themeColor="text1"/>
                <w:spacing w:val="47"/>
              </w:rPr>
              <w:t xml:space="preserve"> </w:t>
            </w:r>
            <w:r w:rsidRPr="00C56257">
              <w:rPr>
                <w:color w:val="000000" w:themeColor="text1"/>
              </w:rPr>
              <w:t>considerat</w:t>
            </w:r>
            <w:r w:rsidRPr="00C56257">
              <w:rPr>
                <w:color w:val="000000" w:themeColor="text1"/>
                <w:spacing w:val="47"/>
              </w:rPr>
              <w:t xml:space="preserve"> </w:t>
            </w:r>
            <w:r w:rsidRPr="00C56257">
              <w:rPr>
                <w:color w:val="000000" w:themeColor="text1"/>
              </w:rPr>
              <w:t>„necunoscut”</w:t>
            </w:r>
            <w:r w:rsidRPr="00C56257">
              <w:rPr>
                <w:color w:val="000000" w:themeColor="text1"/>
                <w:spacing w:val="-57"/>
              </w:rPr>
              <w:t xml:space="preserve"> </w:t>
            </w:r>
            <w:r w:rsidRPr="00C56257">
              <w:rPr>
                <w:color w:val="000000" w:themeColor="text1"/>
              </w:rPr>
              <w:t>dacă</w:t>
            </w:r>
            <w:r w:rsidRPr="00C56257">
              <w:rPr>
                <w:color w:val="000000" w:themeColor="text1"/>
                <w:spacing w:val="24"/>
              </w:rPr>
              <w:t xml:space="preserve"> </w:t>
            </w:r>
            <w:r w:rsidRPr="00C56257">
              <w:rPr>
                <w:color w:val="000000" w:themeColor="text1"/>
              </w:rPr>
              <w:t>mai</w:t>
            </w:r>
            <w:r w:rsidRPr="00C56257">
              <w:rPr>
                <w:color w:val="000000" w:themeColor="text1"/>
                <w:spacing w:val="25"/>
              </w:rPr>
              <w:t xml:space="preserve"> </w:t>
            </w:r>
            <w:r w:rsidRPr="00C56257">
              <w:rPr>
                <w:color w:val="000000" w:themeColor="text1"/>
              </w:rPr>
              <w:t>mult</w:t>
            </w:r>
            <w:r w:rsidRPr="00C56257">
              <w:rPr>
                <w:color w:val="000000" w:themeColor="text1"/>
                <w:spacing w:val="25"/>
              </w:rPr>
              <w:t xml:space="preserve"> </w:t>
            </w:r>
            <w:r w:rsidRPr="00C56257">
              <w:rPr>
                <w:color w:val="000000" w:themeColor="text1"/>
              </w:rPr>
              <w:t>de</w:t>
            </w:r>
            <w:r w:rsidRPr="00C56257">
              <w:rPr>
                <w:color w:val="000000" w:themeColor="text1"/>
                <w:spacing w:val="24"/>
              </w:rPr>
              <w:t xml:space="preserve"> </w:t>
            </w:r>
            <w:r w:rsidRPr="00C56257">
              <w:rPr>
                <w:color w:val="000000" w:themeColor="text1"/>
              </w:rPr>
              <w:t>75%</w:t>
            </w:r>
            <w:r w:rsidRPr="00C56257">
              <w:rPr>
                <w:color w:val="000000" w:themeColor="text1"/>
                <w:spacing w:val="24"/>
              </w:rPr>
              <w:t xml:space="preserve"> </w:t>
            </w:r>
            <w:r w:rsidRPr="00C56257">
              <w:rPr>
                <w:color w:val="000000" w:themeColor="text1"/>
              </w:rPr>
              <w:t>din</w:t>
            </w:r>
            <w:r w:rsidRPr="00C56257">
              <w:rPr>
                <w:color w:val="000000" w:themeColor="text1"/>
                <w:spacing w:val="25"/>
              </w:rPr>
              <w:t xml:space="preserve"> </w:t>
            </w:r>
            <w:r w:rsidRPr="00C56257">
              <w:rPr>
                <w:color w:val="000000" w:themeColor="text1"/>
              </w:rPr>
              <w:t>suprafața</w:t>
            </w:r>
            <w:r w:rsidRPr="00C56257">
              <w:rPr>
                <w:color w:val="000000" w:themeColor="text1"/>
                <w:spacing w:val="24"/>
              </w:rPr>
              <w:t xml:space="preserve"> </w:t>
            </w:r>
            <w:r w:rsidRPr="00C56257">
              <w:rPr>
                <w:color w:val="000000" w:themeColor="text1"/>
              </w:rPr>
              <w:t>habitatului</w:t>
            </w:r>
            <w:r w:rsidRPr="00C56257">
              <w:rPr>
                <w:color w:val="000000" w:themeColor="text1"/>
                <w:spacing w:val="25"/>
              </w:rPr>
              <w:t xml:space="preserve"> </w:t>
            </w:r>
            <w:r w:rsidRPr="00C56257">
              <w:rPr>
                <w:color w:val="000000" w:themeColor="text1"/>
              </w:rPr>
              <w:t>are</w:t>
            </w:r>
            <w:r w:rsidRPr="00C56257">
              <w:rPr>
                <w:color w:val="000000" w:themeColor="text1"/>
                <w:spacing w:val="23"/>
              </w:rPr>
              <w:t xml:space="preserve"> </w:t>
            </w:r>
            <w:r w:rsidRPr="00C56257">
              <w:rPr>
                <w:color w:val="000000" w:themeColor="text1"/>
              </w:rPr>
              <w:t>condiții</w:t>
            </w:r>
          </w:p>
          <w:p w14:paraId="1E61EFFF" w14:textId="77777777" w:rsidR="00A37B92" w:rsidRPr="00C56257" w:rsidRDefault="00A37B92" w:rsidP="00C902DF">
            <w:pPr>
              <w:widowControl w:val="0"/>
              <w:autoSpaceDE w:val="0"/>
              <w:autoSpaceDN w:val="0"/>
              <w:spacing w:before="1" w:line="272" w:lineRule="exact"/>
              <w:jc w:val="both"/>
              <w:rPr>
                <w:color w:val="000000" w:themeColor="text1"/>
              </w:rPr>
            </w:pPr>
            <w:r w:rsidRPr="00C56257">
              <w:rPr>
                <w:color w:val="000000" w:themeColor="text1"/>
              </w:rPr>
              <w:t>„necunoscute”</w:t>
            </w:r>
            <w:r w:rsidRPr="00C56257">
              <w:rPr>
                <w:color w:val="000000" w:themeColor="text1"/>
                <w:spacing w:val="-3"/>
              </w:rPr>
              <w:t xml:space="preserve"> </w:t>
            </w:r>
            <w:r w:rsidRPr="00C56257">
              <w:rPr>
                <w:color w:val="000000" w:themeColor="text1"/>
              </w:rPr>
              <w:t>(câmpul 6.1).</w:t>
            </w:r>
          </w:p>
        </w:tc>
      </w:tr>
    </w:tbl>
    <w:p w14:paraId="08278ABB" w14:textId="77777777" w:rsidR="00A37B92" w:rsidRPr="00C56257" w:rsidRDefault="00A37B92" w:rsidP="00A37B92">
      <w:pPr>
        <w:widowControl w:val="0"/>
        <w:tabs>
          <w:tab w:val="left" w:pos="1186"/>
        </w:tabs>
        <w:autoSpaceDE w:val="0"/>
        <w:autoSpaceDN w:val="0"/>
        <w:spacing w:before="71"/>
        <w:ind w:left="1186"/>
        <w:jc w:val="both"/>
        <w:outlineLvl w:val="1"/>
        <w:rPr>
          <w:rFonts w:eastAsia="Cambria"/>
          <w:b/>
          <w:bCs/>
          <w:color w:val="000000" w:themeColor="text1"/>
        </w:rPr>
      </w:pPr>
    </w:p>
    <w:p w14:paraId="7001E96B" w14:textId="77777777" w:rsidR="00A37B92" w:rsidRPr="00C56257" w:rsidRDefault="00A37B92" w:rsidP="00A37B92">
      <w:pPr>
        <w:spacing w:after="160" w:line="259" w:lineRule="auto"/>
        <w:jc w:val="both"/>
        <w:rPr>
          <w:rFonts w:eastAsia="Cambria"/>
          <w:b/>
          <w:bCs/>
          <w:color w:val="000000" w:themeColor="text1"/>
        </w:rPr>
      </w:pPr>
    </w:p>
    <w:p w14:paraId="1464A4A3" w14:textId="77777777" w:rsidR="00A37B92" w:rsidRPr="00C56257" w:rsidRDefault="00A37B92" w:rsidP="00F100E1">
      <w:pPr>
        <w:widowControl w:val="0"/>
        <w:tabs>
          <w:tab w:val="left" w:pos="1186"/>
        </w:tabs>
        <w:autoSpaceDE w:val="0"/>
        <w:autoSpaceDN w:val="0"/>
        <w:spacing w:before="71"/>
        <w:jc w:val="both"/>
        <w:outlineLvl w:val="1"/>
        <w:rPr>
          <w:rFonts w:eastAsia="Cambria"/>
          <w:b/>
          <w:bCs/>
          <w:color w:val="000000" w:themeColor="text1"/>
        </w:rPr>
      </w:pPr>
      <w:r w:rsidRPr="00C56257">
        <w:rPr>
          <w:rFonts w:eastAsia="Cambria"/>
          <w:b/>
          <w:bCs/>
          <w:color w:val="000000" w:themeColor="text1"/>
        </w:rPr>
        <w:t>Principalele</w:t>
      </w:r>
      <w:r w:rsidRPr="00C56257">
        <w:rPr>
          <w:rFonts w:eastAsia="Cambria"/>
          <w:b/>
          <w:bCs/>
          <w:color w:val="000000" w:themeColor="text1"/>
          <w:spacing w:val="-5"/>
        </w:rPr>
        <w:t xml:space="preserve"> </w:t>
      </w:r>
      <w:r w:rsidRPr="00C56257">
        <w:rPr>
          <w:rFonts w:eastAsia="Cambria"/>
          <w:b/>
          <w:bCs/>
          <w:color w:val="000000" w:themeColor="text1"/>
        </w:rPr>
        <w:t>presiuni</w:t>
      </w:r>
      <w:r w:rsidRPr="00C56257">
        <w:rPr>
          <w:rFonts w:eastAsia="Cambria"/>
          <w:b/>
          <w:bCs/>
          <w:color w:val="000000" w:themeColor="text1"/>
          <w:spacing w:val="-5"/>
        </w:rPr>
        <w:t xml:space="preserve"> </w:t>
      </w:r>
      <w:r w:rsidRPr="00C56257">
        <w:rPr>
          <w:rFonts w:eastAsia="Cambria"/>
          <w:b/>
          <w:bCs/>
          <w:color w:val="000000" w:themeColor="text1"/>
        </w:rPr>
        <w:t>și</w:t>
      </w:r>
      <w:r w:rsidRPr="00C56257">
        <w:rPr>
          <w:rFonts w:eastAsia="Cambria"/>
          <w:b/>
          <w:bCs/>
          <w:color w:val="000000" w:themeColor="text1"/>
          <w:spacing w:val="-5"/>
        </w:rPr>
        <w:t xml:space="preserve"> </w:t>
      </w:r>
      <w:r w:rsidRPr="00C56257">
        <w:rPr>
          <w:rFonts w:eastAsia="Cambria"/>
          <w:b/>
          <w:bCs/>
          <w:color w:val="000000" w:themeColor="text1"/>
        </w:rPr>
        <w:t>amenințări</w:t>
      </w:r>
    </w:p>
    <w:p w14:paraId="740CB0F1" w14:textId="77777777" w:rsidR="00A37B92" w:rsidRPr="00C56257" w:rsidRDefault="00A37B92" w:rsidP="00A37B92">
      <w:pPr>
        <w:widowControl w:val="0"/>
        <w:autoSpaceDE w:val="0"/>
        <w:autoSpaceDN w:val="0"/>
        <w:spacing w:before="225"/>
        <w:ind w:right="250"/>
        <w:jc w:val="both"/>
        <w:rPr>
          <w:color w:val="000000" w:themeColor="text1"/>
        </w:rPr>
      </w:pPr>
      <w:r w:rsidRPr="00C56257">
        <w:rPr>
          <w:color w:val="000000" w:themeColor="text1"/>
        </w:rPr>
        <w:t>Din punct de vedere al identificării în timp a formelor de impact acestea trebuie clasificate în două</w:t>
      </w:r>
      <w:r w:rsidRPr="00C56257">
        <w:rPr>
          <w:color w:val="000000" w:themeColor="text1"/>
          <w:spacing w:val="1"/>
        </w:rPr>
        <w:t xml:space="preserve"> </w:t>
      </w:r>
      <w:r w:rsidRPr="00C56257">
        <w:rPr>
          <w:color w:val="000000" w:themeColor="text1"/>
        </w:rPr>
        <w:t xml:space="preserve">categorii: </w:t>
      </w:r>
      <w:r w:rsidRPr="00C56257">
        <w:rPr>
          <w:b/>
          <w:color w:val="000000" w:themeColor="text1"/>
        </w:rPr>
        <w:t>presiuni</w:t>
      </w:r>
      <w:r w:rsidRPr="00C56257">
        <w:rPr>
          <w:b/>
          <w:color w:val="000000" w:themeColor="text1"/>
          <w:spacing w:val="1"/>
        </w:rPr>
        <w:t xml:space="preserve"> </w:t>
      </w:r>
      <w:r w:rsidRPr="00C56257">
        <w:rPr>
          <w:color w:val="000000" w:themeColor="text1"/>
        </w:rPr>
        <w:t xml:space="preserve">şi </w:t>
      </w:r>
      <w:r w:rsidRPr="00C56257">
        <w:rPr>
          <w:b/>
          <w:color w:val="000000" w:themeColor="text1"/>
        </w:rPr>
        <w:t>ameninţări</w:t>
      </w:r>
      <w:r w:rsidRPr="00C56257">
        <w:rPr>
          <w:color w:val="000000" w:themeColor="text1"/>
        </w:rPr>
        <w:t>:</w:t>
      </w:r>
    </w:p>
    <w:p w14:paraId="25ED0271" w14:textId="77777777" w:rsidR="00A37B92" w:rsidRPr="00C56257" w:rsidRDefault="00A37B92" w:rsidP="00A37B92">
      <w:pPr>
        <w:widowControl w:val="0"/>
        <w:autoSpaceDE w:val="0"/>
        <w:autoSpaceDN w:val="0"/>
        <w:ind w:right="253"/>
        <w:jc w:val="both"/>
        <w:rPr>
          <w:color w:val="000000" w:themeColor="text1"/>
        </w:rPr>
      </w:pPr>
      <w:r w:rsidRPr="00C56257">
        <w:rPr>
          <w:b/>
          <w:color w:val="000000" w:themeColor="text1"/>
        </w:rPr>
        <w:t xml:space="preserve">Presiunea </w:t>
      </w:r>
      <w:r w:rsidRPr="00C56257">
        <w:rPr>
          <w:color w:val="000000" w:themeColor="text1"/>
        </w:rPr>
        <w:t>(P) reprezintă acea activitate cu potenţial impact negativ asupra stării de conservare a</w:t>
      </w:r>
      <w:r w:rsidRPr="00C56257">
        <w:rPr>
          <w:color w:val="000000" w:themeColor="text1"/>
          <w:spacing w:val="1"/>
        </w:rPr>
        <w:t xml:space="preserve"> </w:t>
      </w:r>
      <w:r w:rsidRPr="00C56257">
        <w:rPr>
          <w:color w:val="000000" w:themeColor="text1"/>
        </w:rPr>
        <w:t>tipurilor de habitate de interes comunitar, care se desfăşoară în prezent sau care s-a derulat în trecut,</w:t>
      </w:r>
      <w:r w:rsidRPr="00C56257">
        <w:rPr>
          <w:color w:val="000000" w:themeColor="text1"/>
          <w:spacing w:val="-57"/>
        </w:rPr>
        <w:t xml:space="preserve"> </w:t>
      </w:r>
      <w:r w:rsidRPr="00C56257">
        <w:rPr>
          <w:color w:val="000000" w:themeColor="text1"/>
        </w:rPr>
        <w:t>dar</w:t>
      </w:r>
      <w:r w:rsidRPr="00C56257">
        <w:rPr>
          <w:color w:val="000000" w:themeColor="text1"/>
          <w:spacing w:val="-1"/>
        </w:rPr>
        <w:t xml:space="preserve"> </w:t>
      </w:r>
      <w:r w:rsidRPr="00C56257">
        <w:rPr>
          <w:color w:val="000000" w:themeColor="text1"/>
        </w:rPr>
        <w:t>ale</w:t>
      </w:r>
      <w:r w:rsidRPr="00C56257">
        <w:rPr>
          <w:color w:val="000000" w:themeColor="text1"/>
          <w:spacing w:val="1"/>
        </w:rPr>
        <w:t xml:space="preserve"> </w:t>
      </w:r>
      <w:r w:rsidRPr="00C56257">
        <w:rPr>
          <w:color w:val="000000" w:themeColor="text1"/>
        </w:rPr>
        <w:t>cărui</w:t>
      </w:r>
      <w:r w:rsidRPr="00C56257">
        <w:rPr>
          <w:color w:val="000000" w:themeColor="text1"/>
          <w:spacing w:val="2"/>
        </w:rPr>
        <w:t xml:space="preserve"> </w:t>
      </w:r>
      <w:r w:rsidRPr="00C56257">
        <w:rPr>
          <w:color w:val="000000" w:themeColor="text1"/>
        </w:rPr>
        <w:t>efectele</w:t>
      </w:r>
      <w:r w:rsidRPr="00C56257">
        <w:rPr>
          <w:color w:val="000000" w:themeColor="text1"/>
          <w:spacing w:val="-1"/>
        </w:rPr>
        <w:t xml:space="preserve"> </w:t>
      </w:r>
      <w:r w:rsidRPr="00C56257">
        <w:rPr>
          <w:color w:val="000000" w:themeColor="text1"/>
        </w:rPr>
        <w:t>negative încă</w:t>
      </w:r>
      <w:r w:rsidRPr="00C56257">
        <w:rPr>
          <w:color w:val="000000" w:themeColor="text1"/>
          <w:spacing w:val="-2"/>
        </w:rPr>
        <w:t xml:space="preserve"> </w:t>
      </w:r>
      <w:r w:rsidRPr="00C56257">
        <w:rPr>
          <w:color w:val="000000" w:themeColor="text1"/>
        </w:rPr>
        <w:t>persistă.</w:t>
      </w:r>
    </w:p>
    <w:p w14:paraId="10836A51" w14:textId="77777777" w:rsidR="00A37B92" w:rsidRPr="00C56257" w:rsidRDefault="00A37B92" w:rsidP="00A37B92">
      <w:pPr>
        <w:widowControl w:val="0"/>
        <w:autoSpaceDE w:val="0"/>
        <w:autoSpaceDN w:val="0"/>
        <w:ind w:right="248"/>
        <w:jc w:val="both"/>
        <w:rPr>
          <w:color w:val="000000" w:themeColor="text1"/>
        </w:rPr>
      </w:pPr>
      <w:r w:rsidRPr="00C56257">
        <w:rPr>
          <w:b/>
          <w:color w:val="000000" w:themeColor="text1"/>
        </w:rPr>
        <w:t xml:space="preserve">Ameninţarea </w:t>
      </w:r>
      <w:r w:rsidRPr="00C56257">
        <w:rPr>
          <w:color w:val="000000" w:themeColor="text1"/>
        </w:rPr>
        <w:t>(A) reprezintă acea activitate cu potenţial impact negativ asupra stării de conservare a</w:t>
      </w:r>
      <w:r w:rsidRPr="00C56257">
        <w:rPr>
          <w:color w:val="000000" w:themeColor="text1"/>
          <w:spacing w:val="-57"/>
        </w:rPr>
        <w:t xml:space="preserve"> </w:t>
      </w:r>
      <w:r w:rsidRPr="00C56257">
        <w:rPr>
          <w:color w:val="000000" w:themeColor="text1"/>
        </w:rPr>
        <w:t>tipurilor de habitate de interes comunitar, care este preconizată să se deruleze în viitor. O presiune</w:t>
      </w:r>
      <w:r w:rsidRPr="00C56257">
        <w:rPr>
          <w:color w:val="000000" w:themeColor="text1"/>
          <w:spacing w:val="1"/>
        </w:rPr>
        <w:t xml:space="preserve"> </w:t>
      </w:r>
      <w:r w:rsidRPr="00C56257">
        <w:rPr>
          <w:color w:val="000000" w:themeColor="text1"/>
        </w:rPr>
        <w:t>poate fi considerată ameninţare dacă se preconizează o creştere semnificativă a intensităţii acesteia</w:t>
      </w:r>
      <w:r w:rsidRPr="00C56257">
        <w:rPr>
          <w:color w:val="000000" w:themeColor="text1"/>
          <w:spacing w:val="1"/>
        </w:rPr>
        <w:t xml:space="preserve"> </w:t>
      </w:r>
      <w:r w:rsidRPr="00C56257">
        <w:rPr>
          <w:color w:val="000000" w:themeColor="text1"/>
        </w:rPr>
        <w:t>sau</w:t>
      </w:r>
      <w:r w:rsidRPr="00C56257">
        <w:rPr>
          <w:color w:val="000000" w:themeColor="text1"/>
          <w:spacing w:val="-1"/>
        </w:rPr>
        <w:t xml:space="preserve"> </w:t>
      </w:r>
      <w:r w:rsidRPr="00C56257">
        <w:rPr>
          <w:color w:val="000000" w:themeColor="text1"/>
        </w:rPr>
        <w:t>o schimbare a</w:t>
      </w:r>
      <w:r w:rsidRPr="00C56257">
        <w:rPr>
          <w:color w:val="000000" w:themeColor="text1"/>
          <w:spacing w:val="-1"/>
        </w:rPr>
        <w:t xml:space="preserve"> </w:t>
      </w:r>
      <w:r w:rsidRPr="00C56257">
        <w:rPr>
          <w:color w:val="000000" w:themeColor="text1"/>
        </w:rPr>
        <w:t>localizării</w:t>
      </w:r>
      <w:r w:rsidRPr="00C56257">
        <w:rPr>
          <w:color w:val="000000" w:themeColor="text1"/>
          <w:spacing w:val="2"/>
        </w:rPr>
        <w:t xml:space="preserve"> </w:t>
      </w:r>
      <w:r w:rsidRPr="00C56257">
        <w:rPr>
          <w:color w:val="000000" w:themeColor="text1"/>
        </w:rPr>
        <w:t>respectivei</w:t>
      </w:r>
      <w:r w:rsidRPr="00C56257">
        <w:rPr>
          <w:color w:val="000000" w:themeColor="text1"/>
          <w:spacing w:val="1"/>
        </w:rPr>
        <w:t xml:space="preserve"> </w:t>
      </w:r>
      <w:r w:rsidRPr="00C56257">
        <w:rPr>
          <w:color w:val="000000" w:themeColor="text1"/>
        </w:rPr>
        <w:t>presiuni.</w:t>
      </w:r>
    </w:p>
    <w:p w14:paraId="1C9260EC" w14:textId="77777777" w:rsidR="00A37B92" w:rsidRPr="00C56257" w:rsidRDefault="00A37B92" w:rsidP="00A37B92">
      <w:pPr>
        <w:widowControl w:val="0"/>
        <w:autoSpaceDE w:val="0"/>
        <w:autoSpaceDN w:val="0"/>
        <w:spacing w:before="1"/>
        <w:ind w:right="254"/>
        <w:jc w:val="both"/>
        <w:rPr>
          <w:color w:val="000000" w:themeColor="text1"/>
        </w:rPr>
      </w:pPr>
      <w:r w:rsidRPr="00C56257">
        <w:rPr>
          <w:color w:val="000000" w:themeColor="text1"/>
        </w:rPr>
        <w:t>Este recomandat ca durata de timp pentru cuantificarea presiunilor să fie o perioadă de raportare,</w:t>
      </w:r>
      <w:r w:rsidRPr="00C56257">
        <w:rPr>
          <w:color w:val="000000" w:themeColor="text1"/>
          <w:spacing w:val="1"/>
        </w:rPr>
        <w:t xml:space="preserve"> </w:t>
      </w:r>
      <w:r w:rsidRPr="00C56257">
        <w:rPr>
          <w:color w:val="000000" w:themeColor="text1"/>
        </w:rPr>
        <w:t>respectiv șase ani, în timp ce pentru amenințări aceasta să acopere două</w:t>
      </w:r>
      <w:r w:rsidRPr="00C56257">
        <w:rPr>
          <w:color w:val="000000" w:themeColor="text1"/>
          <w:spacing w:val="1"/>
        </w:rPr>
        <w:t xml:space="preserve"> </w:t>
      </w:r>
      <w:r w:rsidRPr="00C56257">
        <w:rPr>
          <w:color w:val="000000" w:themeColor="text1"/>
        </w:rPr>
        <w:t>perioade viitoare de</w:t>
      </w:r>
      <w:r w:rsidRPr="00C56257">
        <w:rPr>
          <w:color w:val="000000" w:themeColor="text1"/>
          <w:spacing w:val="1"/>
        </w:rPr>
        <w:t xml:space="preserve"> </w:t>
      </w:r>
      <w:r w:rsidRPr="00C56257">
        <w:rPr>
          <w:color w:val="000000" w:themeColor="text1"/>
        </w:rPr>
        <w:t>raportare, respectiv 12 ani. Importanța relativă a amenințărilor și presiunilor trebuie să se încadreze</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una din cele trei</w:t>
      </w:r>
      <w:r w:rsidRPr="00C56257">
        <w:rPr>
          <w:color w:val="000000" w:themeColor="text1"/>
          <w:spacing w:val="2"/>
        </w:rPr>
        <w:t xml:space="preserve"> </w:t>
      </w:r>
      <w:r w:rsidRPr="00C56257">
        <w:rPr>
          <w:color w:val="000000" w:themeColor="text1"/>
        </w:rPr>
        <w:t>categorii:</w:t>
      </w:r>
    </w:p>
    <w:p w14:paraId="369CF9C1" w14:textId="77777777" w:rsidR="004471AF" w:rsidRDefault="004471AF">
      <w:pPr>
        <w:spacing w:after="160" w:line="259" w:lineRule="auto"/>
        <w:rPr>
          <w:color w:val="000000" w:themeColor="text1"/>
        </w:rPr>
      </w:pPr>
      <w:r>
        <w:rPr>
          <w:color w:val="000000" w:themeColor="text1"/>
        </w:rPr>
        <w:br w:type="page"/>
      </w:r>
    </w:p>
    <w:p w14:paraId="3F26278C" w14:textId="77777777" w:rsidR="00A37B92" w:rsidRPr="00C56257" w:rsidRDefault="00A37B92" w:rsidP="00A37B92">
      <w:pPr>
        <w:widowControl w:val="0"/>
        <w:autoSpaceDE w:val="0"/>
        <w:autoSpaceDN w:val="0"/>
        <w:spacing w:before="8"/>
        <w:jc w:val="both"/>
        <w:rPr>
          <w:color w:val="000000" w:themeColor="text1"/>
        </w:rPr>
      </w:pPr>
    </w:p>
    <w:tbl>
      <w:tblPr>
        <w:tblW w:w="0" w:type="auto"/>
        <w:tblInd w:w="10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4"/>
        <w:gridCol w:w="3097"/>
        <w:gridCol w:w="4189"/>
      </w:tblGrid>
      <w:tr w:rsidR="00A37B92" w:rsidRPr="00C56257" w14:paraId="1408B756" w14:textId="77777777" w:rsidTr="00C902DF">
        <w:trPr>
          <w:trHeight w:val="275"/>
        </w:trPr>
        <w:tc>
          <w:tcPr>
            <w:tcW w:w="924" w:type="dxa"/>
          </w:tcPr>
          <w:p w14:paraId="35C7F5CF" w14:textId="77777777" w:rsidR="00A37B92" w:rsidRPr="00C56257" w:rsidRDefault="00A37B92" w:rsidP="00C902DF">
            <w:pPr>
              <w:widowControl w:val="0"/>
              <w:autoSpaceDE w:val="0"/>
              <w:autoSpaceDN w:val="0"/>
              <w:spacing w:line="256" w:lineRule="exact"/>
              <w:jc w:val="both"/>
              <w:rPr>
                <w:b/>
                <w:color w:val="000000" w:themeColor="text1"/>
              </w:rPr>
            </w:pPr>
            <w:r w:rsidRPr="00C56257">
              <w:rPr>
                <w:b/>
                <w:color w:val="000000" w:themeColor="text1"/>
              </w:rPr>
              <w:t>Codul</w:t>
            </w:r>
          </w:p>
        </w:tc>
        <w:tc>
          <w:tcPr>
            <w:tcW w:w="3097" w:type="dxa"/>
          </w:tcPr>
          <w:p w14:paraId="532DD8C5" w14:textId="77777777" w:rsidR="00A37B92" w:rsidRPr="00C56257" w:rsidRDefault="00A37B92" w:rsidP="00C902DF">
            <w:pPr>
              <w:widowControl w:val="0"/>
              <w:autoSpaceDE w:val="0"/>
              <w:autoSpaceDN w:val="0"/>
              <w:spacing w:line="256" w:lineRule="exact"/>
              <w:jc w:val="both"/>
              <w:rPr>
                <w:b/>
                <w:color w:val="000000" w:themeColor="text1"/>
              </w:rPr>
            </w:pPr>
            <w:r w:rsidRPr="00C56257">
              <w:rPr>
                <w:b/>
                <w:color w:val="000000" w:themeColor="text1"/>
              </w:rPr>
              <w:t>Semnificația</w:t>
            </w:r>
          </w:p>
        </w:tc>
        <w:tc>
          <w:tcPr>
            <w:tcW w:w="4189" w:type="dxa"/>
          </w:tcPr>
          <w:p w14:paraId="20E1DDDA" w14:textId="77777777" w:rsidR="00A37B92" w:rsidRPr="00C56257" w:rsidRDefault="00A37B92" w:rsidP="00C902DF">
            <w:pPr>
              <w:widowControl w:val="0"/>
              <w:autoSpaceDE w:val="0"/>
              <w:autoSpaceDN w:val="0"/>
              <w:spacing w:line="256" w:lineRule="exact"/>
              <w:jc w:val="both"/>
              <w:rPr>
                <w:b/>
                <w:color w:val="000000" w:themeColor="text1"/>
              </w:rPr>
            </w:pPr>
            <w:r w:rsidRPr="00C56257">
              <w:rPr>
                <w:b/>
                <w:color w:val="000000" w:themeColor="text1"/>
              </w:rPr>
              <w:t>Observații</w:t>
            </w:r>
          </w:p>
        </w:tc>
      </w:tr>
      <w:tr w:rsidR="00A37B92" w:rsidRPr="00C56257" w14:paraId="02E8FEA3" w14:textId="77777777" w:rsidTr="00C902DF">
        <w:trPr>
          <w:trHeight w:val="830"/>
        </w:trPr>
        <w:tc>
          <w:tcPr>
            <w:tcW w:w="924" w:type="dxa"/>
          </w:tcPr>
          <w:p w14:paraId="2D6E0821" w14:textId="77777777" w:rsidR="00A37B92" w:rsidRPr="00C56257" w:rsidRDefault="00A37B92" w:rsidP="00C902DF">
            <w:pPr>
              <w:widowControl w:val="0"/>
              <w:autoSpaceDE w:val="0"/>
              <w:autoSpaceDN w:val="0"/>
              <w:spacing w:line="270" w:lineRule="exact"/>
              <w:jc w:val="both"/>
              <w:rPr>
                <w:color w:val="000000" w:themeColor="text1"/>
              </w:rPr>
            </w:pPr>
            <w:r w:rsidRPr="00C56257">
              <w:rPr>
                <w:color w:val="000000" w:themeColor="text1"/>
                <w:w w:val="99"/>
              </w:rPr>
              <w:t>H</w:t>
            </w:r>
          </w:p>
        </w:tc>
        <w:tc>
          <w:tcPr>
            <w:tcW w:w="3097" w:type="dxa"/>
          </w:tcPr>
          <w:p w14:paraId="713AA211" w14:textId="77777777" w:rsidR="00A37B92" w:rsidRPr="00C56257" w:rsidRDefault="00A37B92" w:rsidP="00C902DF">
            <w:pPr>
              <w:widowControl w:val="0"/>
              <w:autoSpaceDE w:val="0"/>
              <w:autoSpaceDN w:val="0"/>
              <w:spacing w:line="270" w:lineRule="exact"/>
              <w:jc w:val="both"/>
              <w:rPr>
                <w:color w:val="000000" w:themeColor="text1"/>
              </w:rPr>
            </w:pPr>
            <w:r w:rsidRPr="00C56257">
              <w:rPr>
                <w:color w:val="000000" w:themeColor="text1"/>
              </w:rPr>
              <w:t>Importanță/impact</w:t>
            </w:r>
            <w:r w:rsidRPr="00C56257">
              <w:rPr>
                <w:color w:val="000000" w:themeColor="text1"/>
                <w:spacing w:val="-3"/>
              </w:rPr>
              <w:t xml:space="preserve"> </w:t>
            </w:r>
            <w:r w:rsidRPr="00C56257">
              <w:rPr>
                <w:color w:val="000000" w:themeColor="text1"/>
              </w:rPr>
              <w:t>mare</w:t>
            </w:r>
          </w:p>
        </w:tc>
        <w:tc>
          <w:tcPr>
            <w:tcW w:w="4189" w:type="dxa"/>
          </w:tcPr>
          <w:p w14:paraId="71685C56" w14:textId="77777777" w:rsidR="00A37B92" w:rsidRPr="00C56257" w:rsidRDefault="00A37B92" w:rsidP="00C902DF">
            <w:pPr>
              <w:widowControl w:val="0"/>
              <w:tabs>
                <w:tab w:val="left" w:pos="1407"/>
                <w:tab w:val="left" w:pos="2496"/>
                <w:tab w:val="left" w:pos="3252"/>
              </w:tabs>
              <w:autoSpaceDE w:val="0"/>
              <w:autoSpaceDN w:val="0"/>
              <w:spacing w:line="270" w:lineRule="exact"/>
              <w:jc w:val="both"/>
              <w:rPr>
                <w:color w:val="000000" w:themeColor="text1"/>
              </w:rPr>
            </w:pPr>
            <w:r w:rsidRPr="00C56257">
              <w:rPr>
                <w:color w:val="000000" w:themeColor="text1"/>
              </w:rPr>
              <w:t>Influență</w:t>
            </w:r>
            <w:r w:rsidRPr="00C56257">
              <w:rPr>
                <w:color w:val="000000" w:themeColor="text1"/>
              </w:rPr>
              <w:tab/>
              <w:t>directă</w:t>
            </w:r>
            <w:r w:rsidRPr="00C56257">
              <w:rPr>
                <w:color w:val="000000" w:themeColor="text1"/>
              </w:rPr>
              <w:tab/>
              <w:t>sau</w:t>
            </w:r>
            <w:r w:rsidRPr="00C56257">
              <w:rPr>
                <w:color w:val="000000" w:themeColor="text1"/>
              </w:rPr>
              <w:tab/>
              <w:t>imediată</w:t>
            </w:r>
          </w:p>
          <w:p w14:paraId="4BAB3A50" w14:textId="77777777" w:rsidR="00A37B92" w:rsidRPr="00C56257" w:rsidRDefault="00A37B92" w:rsidP="00C902DF">
            <w:pPr>
              <w:widowControl w:val="0"/>
              <w:autoSpaceDE w:val="0"/>
              <w:autoSpaceDN w:val="0"/>
              <w:spacing w:line="270" w:lineRule="atLeast"/>
              <w:ind w:right="98"/>
              <w:jc w:val="both"/>
              <w:rPr>
                <w:color w:val="000000" w:themeColor="text1"/>
              </w:rPr>
            </w:pPr>
            <w:r w:rsidRPr="00C56257">
              <w:rPr>
                <w:color w:val="000000" w:themeColor="text1"/>
              </w:rPr>
              <w:t>semnificativă</w:t>
            </w:r>
            <w:r w:rsidRPr="00C56257">
              <w:rPr>
                <w:color w:val="000000" w:themeColor="text1"/>
                <w:spacing w:val="18"/>
              </w:rPr>
              <w:t xml:space="preserve"> </w:t>
            </w:r>
            <w:r w:rsidRPr="00C56257">
              <w:rPr>
                <w:color w:val="000000" w:themeColor="text1"/>
              </w:rPr>
              <w:t>și/sau</w:t>
            </w:r>
            <w:r w:rsidRPr="00C56257">
              <w:rPr>
                <w:color w:val="000000" w:themeColor="text1"/>
                <w:spacing w:val="20"/>
              </w:rPr>
              <w:t xml:space="preserve"> </w:t>
            </w:r>
            <w:r w:rsidRPr="00C56257">
              <w:rPr>
                <w:color w:val="000000" w:themeColor="text1"/>
              </w:rPr>
              <w:t>acţiune</w:t>
            </w:r>
            <w:r w:rsidRPr="00C56257">
              <w:rPr>
                <w:color w:val="000000" w:themeColor="text1"/>
                <w:spacing w:val="19"/>
              </w:rPr>
              <w:t xml:space="preserve"> </w:t>
            </w:r>
            <w:r w:rsidRPr="00C56257">
              <w:rPr>
                <w:color w:val="000000" w:themeColor="text1"/>
              </w:rPr>
              <w:t>pe</w:t>
            </w:r>
            <w:r w:rsidRPr="00C56257">
              <w:rPr>
                <w:color w:val="000000" w:themeColor="text1"/>
                <w:spacing w:val="18"/>
              </w:rPr>
              <w:t xml:space="preserve"> </w:t>
            </w:r>
            <w:r w:rsidRPr="00C56257">
              <w:rPr>
                <w:color w:val="000000" w:themeColor="text1"/>
              </w:rPr>
              <w:t>suprafețe</w:t>
            </w:r>
            <w:r w:rsidRPr="00C56257">
              <w:rPr>
                <w:color w:val="000000" w:themeColor="text1"/>
                <w:spacing w:val="-57"/>
              </w:rPr>
              <w:t xml:space="preserve"> </w:t>
            </w:r>
            <w:r w:rsidRPr="00C56257">
              <w:rPr>
                <w:color w:val="000000" w:themeColor="text1"/>
              </w:rPr>
              <w:t>mari</w:t>
            </w:r>
          </w:p>
        </w:tc>
      </w:tr>
      <w:tr w:rsidR="00A37B92" w:rsidRPr="00C56257" w14:paraId="504FFE29" w14:textId="77777777" w:rsidTr="00C902DF">
        <w:trPr>
          <w:trHeight w:val="1103"/>
        </w:trPr>
        <w:tc>
          <w:tcPr>
            <w:tcW w:w="924" w:type="dxa"/>
          </w:tcPr>
          <w:p w14:paraId="3F7D5216" w14:textId="77777777" w:rsidR="00A37B92" w:rsidRPr="00C56257" w:rsidRDefault="00A37B92" w:rsidP="00C902DF">
            <w:pPr>
              <w:widowControl w:val="0"/>
              <w:autoSpaceDE w:val="0"/>
              <w:autoSpaceDN w:val="0"/>
              <w:spacing w:line="268" w:lineRule="exact"/>
              <w:jc w:val="both"/>
              <w:rPr>
                <w:color w:val="000000" w:themeColor="text1"/>
              </w:rPr>
            </w:pPr>
            <w:r w:rsidRPr="00C56257">
              <w:rPr>
                <w:color w:val="000000" w:themeColor="text1"/>
                <w:w w:val="99"/>
              </w:rPr>
              <w:t>M</w:t>
            </w:r>
          </w:p>
        </w:tc>
        <w:tc>
          <w:tcPr>
            <w:tcW w:w="3097" w:type="dxa"/>
          </w:tcPr>
          <w:p w14:paraId="45C2E98A" w14:textId="77777777" w:rsidR="00A37B92" w:rsidRPr="00C56257" w:rsidRDefault="00A37B92" w:rsidP="00C902DF">
            <w:pPr>
              <w:widowControl w:val="0"/>
              <w:autoSpaceDE w:val="0"/>
              <w:autoSpaceDN w:val="0"/>
              <w:spacing w:line="268" w:lineRule="exact"/>
              <w:jc w:val="both"/>
              <w:rPr>
                <w:color w:val="000000" w:themeColor="text1"/>
              </w:rPr>
            </w:pPr>
            <w:r w:rsidRPr="00C56257">
              <w:rPr>
                <w:color w:val="000000" w:themeColor="text1"/>
              </w:rPr>
              <w:t>Importanță/impact</w:t>
            </w:r>
            <w:r w:rsidRPr="00C56257">
              <w:rPr>
                <w:color w:val="000000" w:themeColor="text1"/>
                <w:spacing w:val="-3"/>
              </w:rPr>
              <w:t xml:space="preserve"> </w:t>
            </w:r>
            <w:r w:rsidRPr="00C56257">
              <w:rPr>
                <w:color w:val="000000" w:themeColor="text1"/>
              </w:rPr>
              <w:t>mediu</w:t>
            </w:r>
          </w:p>
        </w:tc>
        <w:tc>
          <w:tcPr>
            <w:tcW w:w="4189" w:type="dxa"/>
          </w:tcPr>
          <w:p w14:paraId="618631EA" w14:textId="77777777" w:rsidR="00A37B92" w:rsidRPr="00C56257" w:rsidRDefault="00A37B92" w:rsidP="00C902DF">
            <w:pPr>
              <w:widowControl w:val="0"/>
              <w:tabs>
                <w:tab w:val="left" w:pos="1252"/>
                <w:tab w:val="left" w:pos="2399"/>
                <w:tab w:val="left" w:pos="3529"/>
              </w:tabs>
              <w:autoSpaceDE w:val="0"/>
              <w:autoSpaceDN w:val="0"/>
              <w:ind w:right="97"/>
              <w:jc w:val="both"/>
              <w:rPr>
                <w:color w:val="000000" w:themeColor="text1"/>
              </w:rPr>
            </w:pPr>
            <w:r w:rsidRPr="00C56257">
              <w:rPr>
                <w:color w:val="000000" w:themeColor="text1"/>
              </w:rPr>
              <w:t>Influență</w:t>
            </w:r>
            <w:r w:rsidRPr="00C56257">
              <w:rPr>
                <w:color w:val="000000" w:themeColor="text1"/>
                <w:spacing w:val="33"/>
              </w:rPr>
              <w:t xml:space="preserve"> </w:t>
            </w:r>
            <w:r w:rsidRPr="00C56257">
              <w:rPr>
                <w:color w:val="000000" w:themeColor="text1"/>
              </w:rPr>
              <w:t>directă</w:t>
            </w:r>
            <w:r w:rsidRPr="00C56257">
              <w:rPr>
                <w:color w:val="000000" w:themeColor="text1"/>
                <w:spacing w:val="32"/>
              </w:rPr>
              <w:t xml:space="preserve"> </w:t>
            </w:r>
            <w:r w:rsidRPr="00C56257">
              <w:rPr>
                <w:color w:val="000000" w:themeColor="text1"/>
              </w:rPr>
              <w:t>sau</w:t>
            </w:r>
            <w:r w:rsidRPr="00C56257">
              <w:rPr>
                <w:color w:val="000000" w:themeColor="text1"/>
                <w:spacing w:val="33"/>
              </w:rPr>
              <w:t xml:space="preserve"> </w:t>
            </w:r>
            <w:r w:rsidRPr="00C56257">
              <w:rPr>
                <w:color w:val="000000" w:themeColor="text1"/>
              </w:rPr>
              <w:t>imediată</w:t>
            </w:r>
            <w:r w:rsidRPr="00C56257">
              <w:rPr>
                <w:color w:val="000000" w:themeColor="text1"/>
                <w:spacing w:val="33"/>
              </w:rPr>
              <w:t xml:space="preserve"> </w:t>
            </w:r>
            <w:r w:rsidRPr="00C56257">
              <w:rPr>
                <w:color w:val="000000" w:themeColor="text1"/>
              </w:rPr>
              <w:t>medie,</w:t>
            </w:r>
            <w:r w:rsidRPr="00C56257">
              <w:rPr>
                <w:color w:val="000000" w:themeColor="text1"/>
                <w:spacing w:val="33"/>
              </w:rPr>
              <w:t xml:space="preserve"> </w:t>
            </w:r>
            <w:r w:rsidRPr="00C56257">
              <w:rPr>
                <w:color w:val="000000" w:themeColor="text1"/>
              </w:rPr>
              <w:t>în</w:t>
            </w:r>
            <w:r w:rsidRPr="00C56257">
              <w:rPr>
                <w:color w:val="000000" w:themeColor="text1"/>
                <w:spacing w:val="-57"/>
              </w:rPr>
              <w:t xml:space="preserve"> </w:t>
            </w:r>
            <w:r w:rsidRPr="00C56257">
              <w:rPr>
                <w:color w:val="000000" w:themeColor="text1"/>
              </w:rPr>
              <w:t>principal</w:t>
            </w:r>
            <w:r w:rsidRPr="00C56257">
              <w:rPr>
                <w:color w:val="000000" w:themeColor="text1"/>
              </w:rPr>
              <w:tab/>
              <w:t>influență</w:t>
            </w:r>
            <w:r w:rsidRPr="00C56257">
              <w:rPr>
                <w:color w:val="000000" w:themeColor="text1"/>
              </w:rPr>
              <w:tab/>
              <w:t>indirectă</w:t>
            </w:r>
            <w:r w:rsidRPr="00C56257">
              <w:rPr>
                <w:color w:val="000000" w:themeColor="text1"/>
              </w:rPr>
              <w:tab/>
              <w:t>și/sau</w:t>
            </w:r>
          </w:p>
          <w:p w14:paraId="7435D597" w14:textId="77777777" w:rsidR="00A37B92" w:rsidRPr="00C56257" w:rsidRDefault="00A37B92" w:rsidP="00C902DF">
            <w:pPr>
              <w:widowControl w:val="0"/>
              <w:autoSpaceDE w:val="0"/>
              <w:autoSpaceDN w:val="0"/>
              <w:spacing w:line="270" w:lineRule="atLeast"/>
              <w:jc w:val="both"/>
              <w:rPr>
                <w:color w:val="000000" w:themeColor="text1"/>
              </w:rPr>
            </w:pPr>
            <w:r w:rsidRPr="00C56257">
              <w:rPr>
                <w:color w:val="000000" w:themeColor="text1"/>
              </w:rPr>
              <w:t>acțiune</w:t>
            </w:r>
            <w:r w:rsidRPr="00C56257">
              <w:rPr>
                <w:color w:val="000000" w:themeColor="text1"/>
                <w:spacing w:val="8"/>
              </w:rPr>
              <w:t xml:space="preserve"> </w:t>
            </w:r>
            <w:r w:rsidRPr="00C56257">
              <w:rPr>
                <w:color w:val="000000" w:themeColor="text1"/>
              </w:rPr>
              <w:t>asupra</w:t>
            </w:r>
            <w:r w:rsidRPr="00C56257">
              <w:rPr>
                <w:color w:val="000000" w:themeColor="text1"/>
                <w:spacing w:val="8"/>
              </w:rPr>
              <w:t xml:space="preserve"> </w:t>
            </w:r>
            <w:r w:rsidRPr="00C56257">
              <w:rPr>
                <w:color w:val="000000" w:themeColor="text1"/>
              </w:rPr>
              <w:t>unei</w:t>
            </w:r>
            <w:r w:rsidRPr="00C56257">
              <w:rPr>
                <w:color w:val="000000" w:themeColor="text1"/>
                <w:spacing w:val="9"/>
              </w:rPr>
              <w:t xml:space="preserve"> </w:t>
            </w:r>
            <w:r w:rsidRPr="00C56257">
              <w:rPr>
                <w:color w:val="000000" w:themeColor="text1"/>
              </w:rPr>
              <w:t>părți</w:t>
            </w:r>
            <w:r w:rsidRPr="00C56257">
              <w:rPr>
                <w:color w:val="000000" w:themeColor="text1"/>
                <w:spacing w:val="9"/>
              </w:rPr>
              <w:t xml:space="preserve"> </w:t>
            </w:r>
            <w:r w:rsidRPr="00C56257">
              <w:rPr>
                <w:color w:val="000000" w:themeColor="text1"/>
              </w:rPr>
              <w:t>medii</w:t>
            </w:r>
            <w:r w:rsidRPr="00C56257">
              <w:rPr>
                <w:color w:val="000000" w:themeColor="text1"/>
                <w:spacing w:val="9"/>
              </w:rPr>
              <w:t xml:space="preserve"> </w:t>
            </w:r>
            <w:r w:rsidRPr="00C56257">
              <w:rPr>
                <w:color w:val="000000" w:themeColor="text1"/>
              </w:rPr>
              <w:t>din</w:t>
            </w:r>
            <w:r w:rsidRPr="00C56257">
              <w:rPr>
                <w:color w:val="000000" w:themeColor="text1"/>
                <w:spacing w:val="-57"/>
              </w:rPr>
              <w:t xml:space="preserve"> </w:t>
            </w:r>
            <w:r w:rsidRPr="00C56257">
              <w:rPr>
                <w:color w:val="000000" w:themeColor="text1"/>
              </w:rPr>
              <w:t>suprafață/doar</w:t>
            </w:r>
            <w:r w:rsidRPr="00C56257">
              <w:rPr>
                <w:color w:val="000000" w:themeColor="text1"/>
                <w:spacing w:val="-1"/>
              </w:rPr>
              <w:t xml:space="preserve"> </w:t>
            </w:r>
            <w:r w:rsidRPr="00C56257">
              <w:rPr>
                <w:color w:val="000000" w:themeColor="text1"/>
              </w:rPr>
              <w:t>la</w:t>
            </w:r>
            <w:r w:rsidRPr="00C56257">
              <w:rPr>
                <w:color w:val="000000" w:themeColor="text1"/>
                <w:spacing w:val="-2"/>
              </w:rPr>
              <w:t xml:space="preserve"> </w:t>
            </w:r>
            <w:r w:rsidRPr="00C56257">
              <w:rPr>
                <w:color w:val="000000" w:themeColor="text1"/>
              </w:rPr>
              <w:t>nivel</w:t>
            </w:r>
            <w:r w:rsidRPr="00C56257">
              <w:rPr>
                <w:color w:val="000000" w:themeColor="text1"/>
                <w:spacing w:val="-1"/>
              </w:rPr>
              <w:t xml:space="preserve"> </w:t>
            </w:r>
            <w:r w:rsidRPr="00C56257">
              <w:rPr>
                <w:color w:val="000000" w:themeColor="text1"/>
              </w:rPr>
              <w:t>regional</w:t>
            </w:r>
          </w:p>
        </w:tc>
      </w:tr>
      <w:tr w:rsidR="00A37B92" w:rsidRPr="00C56257" w14:paraId="7FFE211F" w14:textId="77777777" w:rsidTr="00C902DF">
        <w:trPr>
          <w:trHeight w:val="1103"/>
        </w:trPr>
        <w:tc>
          <w:tcPr>
            <w:tcW w:w="924" w:type="dxa"/>
          </w:tcPr>
          <w:p w14:paraId="27D651EC" w14:textId="77777777" w:rsidR="00A37B92" w:rsidRPr="00C56257" w:rsidRDefault="00A37B92" w:rsidP="00C902DF">
            <w:pPr>
              <w:widowControl w:val="0"/>
              <w:autoSpaceDE w:val="0"/>
              <w:autoSpaceDN w:val="0"/>
              <w:spacing w:line="268" w:lineRule="exact"/>
              <w:jc w:val="both"/>
              <w:rPr>
                <w:color w:val="000000" w:themeColor="text1"/>
              </w:rPr>
            </w:pPr>
            <w:r w:rsidRPr="00C56257">
              <w:rPr>
                <w:color w:val="000000" w:themeColor="text1"/>
              </w:rPr>
              <w:t>L</w:t>
            </w:r>
          </w:p>
        </w:tc>
        <w:tc>
          <w:tcPr>
            <w:tcW w:w="3097" w:type="dxa"/>
          </w:tcPr>
          <w:p w14:paraId="64119B35" w14:textId="77777777" w:rsidR="00A37B92" w:rsidRPr="00C56257" w:rsidRDefault="00A37B92" w:rsidP="00C902DF">
            <w:pPr>
              <w:widowControl w:val="0"/>
              <w:autoSpaceDE w:val="0"/>
              <w:autoSpaceDN w:val="0"/>
              <w:spacing w:line="268" w:lineRule="exact"/>
              <w:jc w:val="both"/>
              <w:rPr>
                <w:color w:val="000000" w:themeColor="text1"/>
              </w:rPr>
            </w:pPr>
            <w:r w:rsidRPr="00C56257">
              <w:rPr>
                <w:color w:val="000000" w:themeColor="text1"/>
              </w:rPr>
              <w:t>Importanță/impact</w:t>
            </w:r>
            <w:r w:rsidRPr="00C56257">
              <w:rPr>
                <w:color w:val="000000" w:themeColor="text1"/>
                <w:spacing w:val="-4"/>
              </w:rPr>
              <w:t xml:space="preserve"> </w:t>
            </w:r>
            <w:r w:rsidRPr="00C56257">
              <w:rPr>
                <w:color w:val="000000" w:themeColor="text1"/>
              </w:rPr>
              <w:t>redus</w:t>
            </w:r>
          </w:p>
        </w:tc>
        <w:tc>
          <w:tcPr>
            <w:tcW w:w="4189" w:type="dxa"/>
          </w:tcPr>
          <w:p w14:paraId="127C1D3E" w14:textId="77777777" w:rsidR="00A37B92" w:rsidRPr="00C56257" w:rsidRDefault="00A37B92" w:rsidP="00C902DF">
            <w:pPr>
              <w:widowControl w:val="0"/>
              <w:autoSpaceDE w:val="0"/>
              <w:autoSpaceDN w:val="0"/>
              <w:ind w:right="97"/>
              <w:jc w:val="both"/>
              <w:rPr>
                <w:color w:val="000000" w:themeColor="text1"/>
              </w:rPr>
            </w:pPr>
            <w:r w:rsidRPr="00C56257">
              <w:rPr>
                <w:color w:val="000000" w:themeColor="text1"/>
              </w:rPr>
              <w:t>Influență</w:t>
            </w:r>
            <w:r w:rsidRPr="00C56257">
              <w:rPr>
                <w:color w:val="000000" w:themeColor="text1"/>
                <w:spacing w:val="1"/>
              </w:rPr>
              <w:t xml:space="preserve"> </w:t>
            </w:r>
            <w:r w:rsidRPr="00C56257">
              <w:rPr>
                <w:color w:val="000000" w:themeColor="text1"/>
              </w:rPr>
              <w:t>directă</w:t>
            </w:r>
            <w:r w:rsidRPr="00C56257">
              <w:rPr>
                <w:color w:val="000000" w:themeColor="text1"/>
                <w:spacing w:val="1"/>
              </w:rPr>
              <w:t xml:space="preserve"> </w:t>
            </w:r>
            <w:r w:rsidRPr="00C56257">
              <w:rPr>
                <w:color w:val="000000" w:themeColor="text1"/>
              </w:rPr>
              <w:t>sau</w:t>
            </w:r>
            <w:r w:rsidRPr="00C56257">
              <w:rPr>
                <w:color w:val="000000" w:themeColor="text1"/>
                <w:spacing w:val="1"/>
              </w:rPr>
              <w:t xml:space="preserve"> </w:t>
            </w:r>
            <w:r w:rsidRPr="00C56257">
              <w:rPr>
                <w:color w:val="000000" w:themeColor="text1"/>
              </w:rPr>
              <w:t>imediată</w:t>
            </w:r>
            <w:r w:rsidRPr="00C56257">
              <w:rPr>
                <w:color w:val="000000" w:themeColor="text1"/>
                <w:spacing w:val="1"/>
              </w:rPr>
              <w:t xml:space="preserve"> </w:t>
            </w:r>
            <w:r w:rsidRPr="00C56257">
              <w:rPr>
                <w:color w:val="000000" w:themeColor="text1"/>
              </w:rPr>
              <w:t>redusă,</w:t>
            </w:r>
            <w:r w:rsidRPr="00C56257">
              <w:rPr>
                <w:color w:val="000000" w:themeColor="text1"/>
                <w:spacing w:val="1"/>
              </w:rPr>
              <w:t xml:space="preserve"> </w:t>
            </w:r>
            <w:r w:rsidRPr="00C56257">
              <w:rPr>
                <w:color w:val="000000" w:themeColor="text1"/>
              </w:rPr>
              <w:t>influență</w:t>
            </w:r>
            <w:r w:rsidRPr="00C56257">
              <w:rPr>
                <w:color w:val="000000" w:themeColor="text1"/>
                <w:spacing w:val="1"/>
              </w:rPr>
              <w:t xml:space="preserve"> </w:t>
            </w:r>
            <w:r w:rsidRPr="00C56257">
              <w:rPr>
                <w:color w:val="000000" w:themeColor="text1"/>
              </w:rPr>
              <w:t>directă</w:t>
            </w:r>
            <w:r w:rsidRPr="00C56257">
              <w:rPr>
                <w:color w:val="000000" w:themeColor="text1"/>
                <w:spacing w:val="1"/>
              </w:rPr>
              <w:t xml:space="preserve"> </w:t>
            </w:r>
            <w:r w:rsidRPr="00C56257">
              <w:rPr>
                <w:color w:val="000000" w:themeColor="text1"/>
              </w:rPr>
              <w:t>și/sau</w:t>
            </w:r>
            <w:r w:rsidRPr="00C56257">
              <w:rPr>
                <w:color w:val="000000" w:themeColor="text1"/>
                <w:spacing w:val="1"/>
              </w:rPr>
              <w:t xml:space="preserve"> </w:t>
            </w:r>
            <w:r w:rsidRPr="00C56257">
              <w:rPr>
                <w:color w:val="000000" w:themeColor="text1"/>
              </w:rPr>
              <w:t>acțiune</w:t>
            </w:r>
            <w:r w:rsidRPr="00C56257">
              <w:rPr>
                <w:color w:val="000000" w:themeColor="text1"/>
                <w:spacing w:val="1"/>
              </w:rPr>
              <w:t xml:space="preserve"> </w:t>
            </w:r>
            <w:r w:rsidRPr="00C56257">
              <w:rPr>
                <w:color w:val="000000" w:themeColor="text1"/>
              </w:rPr>
              <w:t>asupra</w:t>
            </w:r>
            <w:r w:rsidRPr="00C56257">
              <w:rPr>
                <w:color w:val="000000" w:themeColor="text1"/>
                <w:spacing w:val="1"/>
              </w:rPr>
              <w:t xml:space="preserve"> </w:t>
            </w:r>
            <w:r w:rsidRPr="00C56257">
              <w:rPr>
                <w:color w:val="000000" w:themeColor="text1"/>
              </w:rPr>
              <w:t>unei</w:t>
            </w:r>
            <w:r w:rsidRPr="00C56257">
              <w:rPr>
                <w:color w:val="000000" w:themeColor="text1"/>
                <w:spacing w:val="19"/>
              </w:rPr>
              <w:t xml:space="preserve"> </w:t>
            </w:r>
            <w:r w:rsidRPr="00C56257">
              <w:rPr>
                <w:color w:val="000000" w:themeColor="text1"/>
              </w:rPr>
              <w:t>mici</w:t>
            </w:r>
            <w:r w:rsidRPr="00C56257">
              <w:rPr>
                <w:color w:val="000000" w:themeColor="text1"/>
                <w:spacing w:val="19"/>
              </w:rPr>
              <w:t xml:space="preserve"> </w:t>
            </w:r>
            <w:r w:rsidRPr="00C56257">
              <w:rPr>
                <w:color w:val="000000" w:themeColor="text1"/>
              </w:rPr>
              <w:t>părți</w:t>
            </w:r>
            <w:r w:rsidRPr="00C56257">
              <w:rPr>
                <w:color w:val="000000" w:themeColor="text1"/>
                <w:spacing w:val="19"/>
              </w:rPr>
              <w:t xml:space="preserve"> </w:t>
            </w:r>
            <w:r w:rsidRPr="00C56257">
              <w:rPr>
                <w:color w:val="000000" w:themeColor="text1"/>
              </w:rPr>
              <w:t>din</w:t>
            </w:r>
            <w:r w:rsidRPr="00C56257">
              <w:rPr>
                <w:color w:val="000000" w:themeColor="text1"/>
                <w:spacing w:val="21"/>
              </w:rPr>
              <w:t xml:space="preserve"> </w:t>
            </w:r>
            <w:r w:rsidRPr="00C56257">
              <w:rPr>
                <w:color w:val="000000" w:themeColor="text1"/>
              </w:rPr>
              <w:t>suprafață/</w:t>
            </w:r>
            <w:r w:rsidRPr="00C56257">
              <w:rPr>
                <w:color w:val="000000" w:themeColor="text1"/>
                <w:spacing w:val="19"/>
              </w:rPr>
              <w:t xml:space="preserve"> </w:t>
            </w:r>
            <w:r w:rsidRPr="00C56257">
              <w:rPr>
                <w:color w:val="000000" w:themeColor="text1"/>
              </w:rPr>
              <w:t>doar</w:t>
            </w:r>
            <w:r w:rsidRPr="00C56257">
              <w:rPr>
                <w:color w:val="000000" w:themeColor="text1"/>
                <w:spacing w:val="20"/>
              </w:rPr>
              <w:t xml:space="preserve"> </w:t>
            </w:r>
            <w:r w:rsidRPr="00C56257">
              <w:rPr>
                <w:color w:val="000000" w:themeColor="text1"/>
              </w:rPr>
              <w:t>la</w:t>
            </w:r>
          </w:p>
          <w:p w14:paraId="3E7A96F6" w14:textId="77777777" w:rsidR="00A37B92" w:rsidRPr="00C56257" w:rsidRDefault="00A37B92" w:rsidP="00C902DF">
            <w:pPr>
              <w:widowControl w:val="0"/>
              <w:autoSpaceDE w:val="0"/>
              <w:autoSpaceDN w:val="0"/>
              <w:spacing w:line="264" w:lineRule="exact"/>
              <w:jc w:val="both"/>
              <w:rPr>
                <w:color w:val="000000" w:themeColor="text1"/>
              </w:rPr>
            </w:pPr>
            <w:r w:rsidRPr="00C56257">
              <w:rPr>
                <w:color w:val="000000" w:themeColor="text1"/>
              </w:rPr>
              <w:t>nivel</w:t>
            </w:r>
            <w:r w:rsidRPr="00C56257">
              <w:rPr>
                <w:color w:val="000000" w:themeColor="text1"/>
                <w:spacing w:val="-2"/>
              </w:rPr>
              <w:t xml:space="preserve"> </w:t>
            </w:r>
            <w:r w:rsidRPr="00C56257">
              <w:rPr>
                <w:color w:val="000000" w:themeColor="text1"/>
              </w:rPr>
              <w:t>regional</w:t>
            </w:r>
          </w:p>
        </w:tc>
      </w:tr>
    </w:tbl>
    <w:p w14:paraId="5349A696" w14:textId="77777777" w:rsidR="00A37B92" w:rsidRPr="00C56257" w:rsidRDefault="00A37B92" w:rsidP="00A37B92">
      <w:pPr>
        <w:widowControl w:val="0"/>
        <w:autoSpaceDE w:val="0"/>
        <w:autoSpaceDN w:val="0"/>
        <w:jc w:val="both"/>
        <w:rPr>
          <w:color w:val="000000" w:themeColor="text1"/>
        </w:rPr>
      </w:pPr>
    </w:p>
    <w:p w14:paraId="4B8899F0" w14:textId="77777777" w:rsidR="00A37B92" w:rsidRPr="00C56257" w:rsidRDefault="00A37B92" w:rsidP="00A37B92">
      <w:pPr>
        <w:widowControl w:val="0"/>
        <w:autoSpaceDE w:val="0"/>
        <w:autoSpaceDN w:val="0"/>
        <w:spacing w:before="195"/>
        <w:jc w:val="both"/>
        <w:outlineLvl w:val="1"/>
        <w:rPr>
          <w:rFonts w:eastAsia="Cambria"/>
          <w:b/>
          <w:bCs/>
          <w:color w:val="000000" w:themeColor="text1"/>
        </w:rPr>
      </w:pPr>
      <w:r w:rsidRPr="00C56257">
        <w:rPr>
          <w:rFonts w:eastAsia="Cambria"/>
          <w:b/>
          <w:bCs/>
          <w:color w:val="000000" w:themeColor="text1"/>
        </w:rPr>
        <w:t>Reprezentativitatea</w:t>
      </w:r>
      <w:r w:rsidRPr="00C56257">
        <w:rPr>
          <w:rFonts w:eastAsia="Cambria"/>
          <w:b/>
          <w:bCs/>
          <w:color w:val="000000" w:themeColor="text1"/>
          <w:spacing w:val="-2"/>
        </w:rPr>
        <w:t xml:space="preserve"> </w:t>
      </w:r>
      <w:r w:rsidRPr="00C56257">
        <w:rPr>
          <w:rFonts w:eastAsia="Cambria"/>
          <w:b/>
          <w:bCs/>
          <w:color w:val="000000" w:themeColor="text1"/>
        </w:rPr>
        <w:t>habitatelor</w:t>
      </w:r>
      <w:r w:rsidRPr="00C56257">
        <w:rPr>
          <w:rFonts w:eastAsia="Cambria"/>
          <w:b/>
          <w:bCs/>
          <w:color w:val="000000" w:themeColor="text1"/>
          <w:spacing w:val="-2"/>
        </w:rPr>
        <w:t xml:space="preserve"> </w:t>
      </w:r>
      <w:r w:rsidRPr="00C56257">
        <w:rPr>
          <w:rFonts w:eastAsia="Cambria"/>
          <w:b/>
          <w:bCs/>
          <w:color w:val="000000" w:themeColor="text1"/>
        </w:rPr>
        <w:t>de</w:t>
      </w:r>
      <w:r w:rsidRPr="00C56257">
        <w:rPr>
          <w:rFonts w:eastAsia="Cambria"/>
          <w:b/>
          <w:bCs/>
          <w:color w:val="000000" w:themeColor="text1"/>
          <w:spacing w:val="-1"/>
        </w:rPr>
        <w:t xml:space="preserve"> </w:t>
      </w:r>
      <w:r w:rsidRPr="00C56257">
        <w:rPr>
          <w:rFonts w:eastAsia="Cambria"/>
          <w:b/>
          <w:bCs/>
          <w:color w:val="000000" w:themeColor="text1"/>
        </w:rPr>
        <w:t>dune</w:t>
      </w:r>
      <w:r w:rsidRPr="00C56257">
        <w:rPr>
          <w:rFonts w:eastAsia="Cambria"/>
          <w:b/>
          <w:bCs/>
          <w:color w:val="000000" w:themeColor="text1"/>
          <w:spacing w:val="-3"/>
        </w:rPr>
        <w:t xml:space="preserve"> </w:t>
      </w:r>
      <w:r w:rsidRPr="00C56257">
        <w:rPr>
          <w:rFonts w:eastAsia="Cambria"/>
          <w:b/>
          <w:bCs/>
          <w:color w:val="000000" w:themeColor="text1"/>
        </w:rPr>
        <w:t>continentale</w:t>
      </w:r>
      <w:r w:rsidRPr="00C56257">
        <w:rPr>
          <w:rFonts w:eastAsia="Cambria"/>
          <w:b/>
          <w:bCs/>
          <w:color w:val="000000" w:themeColor="text1"/>
          <w:spacing w:val="-2"/>
        </w:rPr>
        <w:t xml:space="preserve"> </w:t>
      </w:r>
      <w:r w:rsidRPr="00C56257">
        <w:rPr>
          <w:rFonts w:eastAsia="Cambria"/>
          <w:b/>
          <w:bCs/>
          <w:color w:val="000000" w:themeColor="text1"/>
        </w:rPr>
        <w:t>pe</w:t>
      </w:r>
      <w:r w:rsidRPr="00C56257">
        <w:rPr>
          <w:rFonts w:eastAsia="Cambria"/>
          <w:b/>
          <w:bCs/>
          <w:color w:val="000000" w:themeColor="text1"/>
          <w:spacing w:val="-3"/>
        </w:rPr>
        <w:t xml:space="preserve"> </w:t>
      </w:r>
      <w:r w:rsidRPr="00C56257">
        <w:rPr>
          <w:rFonts w:eastAsia="Cambria"/>
          <w:b/>
          <w:bCs/>
          <w:color w:val="000000" w:themeColor="text1"/>
        </w:rPr>
        <w:t>teritoriul</w:t>
      </w:r>
      <w:r w:rsidRPr="00C56257">
        <w:rPr>
          <w:rFonts w:eastAsia="Cambria"/>
          <w:b/>
          <w:bCs/>
          <w:color w:val="000000" w:themeColor="text1"/>
          <w:spacing w:val="-2"/>
        </w:rPr>
        <w:t xml:space="preserve"> </w:t>
      </w:r>
      <w:r w:rsidRPr="00C56257">
        <w:rPr>
          <w:rFonts w:eastAsia="Cambria"/>
          <w:b/>
          <w:bCs/>
          <w:color w:val="000000" w:themeColor="text1"/>
        </w:rPr>
        <w:t>României</w:t>
      </w:r>
    </w:p>
    <w:p w14:paraId="52867709" w14:textId="77777777" w:rsidR="00A37B92" w:rsidRPr="00C56257" w:rsidRDefault="00A37B92" w:rsidP="00A37B92">
      <w:pPr>
        <w:widowControl w:val="0"/>
        <w:autoSpaceDE w:val="0"/>
        <w:autoSpaceDN w:val="0"/>
        <w:spacing w:before="4"/>
        <w:jc w:val="both"/>
        <w:rPr>
          <w:b/>
          <w:color w:val="000000" w:themeColor="text1"/>
        </w:rPr>
      </w:pPr>
    </w:p>
    <w:p w14:paraId="0B916EDD" w14:textId="77777777" w:rsidR="00A37B92" w:rsidRPr="00C56257" w:rsidRDefault="00A37B92" w:rsidP="004471AF">
      <w:pPr>
        <w:widowControl w:val="0"/>
        <w:autoSpaceDE w:val="0"/>
        <w:autoSpaceDN w:val="0"/>
        <w:ind w:right="26"/>
        <w:jc w:val="both"/>
        <w:rPr>
          <w:color w:val="000000" w:themeColor="text1"/>
        </w:rPr>
      </w:pPr>
      <w:r w:rsidRPr="00C56257">
        <w:rPr>
          <w:color w:val="000000" w:themeColor="text1"/>
        </w:rPr>
        <w:t>Dunele de nisip s-au format în decursul timpului prin modelarea eoliană a nisipurilor de origine</w:t>
      </w:r>
      <w:r w:rsidRPr="00C56257">
        <w:rPr>
          <w:color w:val="000000" w:themeColor="text1"/>
          <w:spacing w:val="1"/>
        </w:rPr>
        <w:t xml:space="preserve"> </w:t>
      </w:r>
      <w:r w:rsidRPr="00C56257">
        <w:rPr>
          <w:color w:val="000000" w:themeColor="text1"/>
        </w:rPr>
        <w:t>marină</w:t>
      </w:r>
      <w:r w:rsidRPr="00C56257">
        <w:rPr>
          <w:color w:val="000000" w:themeColor="text1"/>
          <w:spacing w:val="-1"/>
        </w:rPr>
        <w:t xml:space="preserve"> </w:t>
      </w:r>
      <w:r w:rsidRPr="00C56257">
        <w:rPr>
          <w:color w:val="000000" w:themeColor="text1"/>
        </w:rPr>
        <w:t>sau a</w:t>
      </w:r>
      <w:r w:rsidRPr="00C56257">
        <w:rPr>
          <w:color w:val="000000" w:themeColor="text1"/>
          <w:spacing w:val="-1"/>
        </w:rPr>
        <w:t xml:space="preserve"> </w:t>
      </w:r>
      <w:r w:rsidRPr="00C56257">
        <w:rPr>
          <w:color w:val="000000" w:themeColor="text1"/>
        </w:rPr>
        <w:t>nisipurilor continentale,</w:t>
      </w:r>
      <w:r w:rsidRPr="00C56257">
        <w:rPr>
          <w:color w:val="000000" w:themeColor="text1"/>
          <w:spacing w:val="-1"/>
        </w:rPr>
        <w:t xml:space="preserve"> </w:t>
      </w:r>
      <w:r w:rsidRPr="00C56257">
        <w:rPr>
          <w:color w:val="000000" w:themeColor="text1"/>
        </w:rPr>
        <w:t>în general de</w:t>
      </w:r>
      <w:r w:rsidRPr="00C56257">
        <w:rPr>
          <w:color w:val="000000" w:themeColor="text1"/>
          <w:spacing w:val="1"/>
        </w:rPr>
        <w:t xml:space="preserve"> </w:t>
      </w:r>
      <w:r w:rsidRPr="00C56257">
        <w:rPr>
          <w:color w:val="000000" w:themeColor="text1"/>
        </w:rPr>
        <w:t>origine</w:t>
      </w:r>
      <w:r w:rsidRPr="00C56257">
        <w:rPr>
          <w:color w:val="000000" w:themeColor="text1"/>
          <w:spacing w:val="1"/>
        </w:rPr>
        <w:t xml:space="preserve"> </w:t>
      </w:r>
      <w:r w:rsidRPr="00C56257">
        <w:rPr>
          <w:color w:val="000000" w:themeColor="text1"/>
        </w:rPr>
        <w:t>fluviatilă.</w:t>
      </w:r>
    </w:p>
    <w:p w14:paraId="6556B88C" w14:textId="77777777" w:rsidR="00A37B92" w:rsidRPr="00C56257" w:rsidRDefault="00A37B92" w:rsidP="004471AF">
      <w:pPr>
        <w:widowControl w:val="0"/>
        <w:autoSpaceDE w:val="0"/>
        <w:autoSpaceDN w:val="0"/>
        <w:ind w:right="26"/>
        <w:jc w:val="both"/>
        <w:rPr>
          <w:color w:val="000000" w:themeColor="text1"/>
        </w:rPr>
      </w:pPr>
      <w:r w:rsidRPr="00C56257">
        <w:rPr>
          <w:color w:val="000000" w:themeColor="text1"/>
        </w:rPr>
        <w:t>Dunele formate din nisipuri marine nesolificate sau slab solificate (psamosoluri) modelate eolian</w:t>
      </w:r>
      <w:r w:rsidRPr="00C56257">
        <w:rPr>
          <w:color w:val="000000" w:themeColor="text1"/>
          <w:spacing w:val="1"/>
        </w:rPr>
        <w:t xml:space="preserve"> </w:t>
      </w:r>
      <w:r w:rsidRPr="00C56257">
        <w:rPr>
          <w:color w:val="000000" w:themeColor="text1"/>
        </w:rPr>
        <w:t>sunt întâlnite în cadrul bioregiunii pontice, pe plajele litoralului maritim dintre Vama Veche şi</w:t>
      </w:r>
      <w:r w:rsidRPr="00C56257">
        <w:rPr>
          <w:color w:val="000000" w:themeColor="text1"/>
          <w:spacing w:val="1"/>
        </w:rPr>
        <w:t xml:space="preserve"> </w:t>
      </w:r>
      <w:r w:rsidRPr="00C56257">
        <w:rPr>
          <w:color w:val="000000" w:themeColor="text1"/>
        </w:rPr>
        <w:t>Golful</w:t>
      </w:r>
      <w:r w:rsidRPr="00C56257">
        <w:rPr>
          <w:color w:val="000000" w:themeColor="text1"/>
          <w:spacing w:val="1"/>
        </w:rPr>
        <w:t xml:space="preserve"> </w:t>
      </w:r>
      <w:r w:rsidRPr="00C56257">
        <w:rPr>
          <w:color w:val="000000" w:themeColor="text1"/>
        </w:rPr>
        <w:t>Musura,</w:t>
      </w:r>
      <w:r w:rsidRPr="00C56257">
        <w:rPr>
          <w:color w:val="000000" w:themeColor="text1"/>
          <w:spacing w:val="1"/>
        </w:rPr>
        <w:t xml:space="preserve"> </w:t>
      </w:r>
      <w:r w:rsidRPr="00C56257">
        <w:rPr>
          <w:color w:val="000000" w:themeColor="text1"/>
        </w:rPr>
        <w:t>pe</w:t>
      </w:r>
      <w:r w:rsidRPr="00C56257">
        <w:rPr>
          <w:color w:val="000000" w:themeColor="text1"/>
          <w:spacing w:val="1"/>
        </w:rPr>
        <w:t xml:space="preserve"> </w:t>
      </w:r>
      <w:r w:rsidRPr="00C56257">
        <w:rPr>
          <w:color w:val="000000" w:themeColor="text1"/>
        </w:rPr>
        <w:t>cotele</w:t>
      </w:r>
      <w:r w:rsidRPr="00C56257">
        <w:rPr>
          <w:color w:val="000000" w:themeColor="text1"/>
          <w:spacing w:val="1"/>
        </w:rPr>
        <w:t xml:space="preserve"> </w:t>
      </w:r>
      <w:r w:rsidRPr="00C56257">
        <w:rPr>
          <w:color w:val="000000" w:themeColor="text1"/>
        </w:rPr>
        <w:t>înalte</w:t>
      </w:r>
      <w:r w:rsidRPr="00C56257">
        <w:rPr>
          <w:color w:val="000000" w:themeColor="text1"/>
          <w:spacing w:val="1"/>
        </w:rPr>
        <w:t xml:space="preserve"> </w:t>
      </w:r>
      <w:r w:rsidRPr="00C56257">
        <w:rPr>
          <w:color w:val="000000" w:themeColor="text1"/>
        </w:rPr>
        <w:t>ale</w:t>
      </w:r>
      <w:r w:rsidRPr="00C56257">
        <w:rPr>
          <w:color w:val="000000" w:themeColor="text1"/>
          <w:spacing w:val="1"/>
        </w:rPr>
        <w:t xml:space="preserve"> </w:t>
      </w:r>
      <w:r w:rsidRPr="00C56257">
        <w:rPr>
          <w:color w:val="000000" w:themeColor="text1"/>
        </w:rPr>
        <w:t>cordoanelor</w:t>
      </w:r>
      <w:r w:rsidRPr="00C56257">
        <w:rPr>
          <w:color w:val="000000" w:themeColor="text1"/>
          <w:spacing w:val="1"/>
        </w:rPr>
        <w:t xml:space="preserve"> </w:t>
      </w:r>
      <w:r w:rsidRPr="00C56257">
        <w:rPr>
          <w:color w:val="000000" w:themeColor="text1"/>
        </w:rPr>
        <w:t>litorale</w:t>
      </w:r>
      <w:r w:rsidRPr="00C56257">
        <w:rPr>
          <w:color w:val="000000" w:themeColor="text1"/>
          <w:spacing w:val="1"/>
        </w:rPr>
        <w:t xml:space="preserve"> </w:t>
      </w:r>
      <w:r w:rsidRPr="00C56257">
        <w:rPr>
          <w:color w:val="000000" w:themeColor="text1"/>
        </w:rPr>
        <w:t>(Periboina-Portița-Periteaşca)</w:t>
      </w:r>
      <w:r w:rsidRPr="00C56257">
        <w:rPr>
          <w:color w:val="000000" w:themeColor="text1"/>
          <w:spacing w:val="1"/>
        </w:rPr>
        <w:t xml:space="preserve"> </w:t>
      </w:r>
      <w:r w:rsidRPr="00C56257">
        <w:rPr>
          <w:color w:val="000000" w:themeColor="text1"/>
        </w:rPr>
        <w:t>și</w:t>
      </w:r>
      <w:r w:rsidRPr="00C56257">
        <w:rPr>
          <w:color w:val="000000" w:themeColor="text1"/>
          <w:spacing w:val="60"/>
        </w:rPr>
        <w:t xml:space="preserve"> </w:t>
      </w:r>
      <w:r w:rsidRPr="00C56257">
        <w:rPr>
          <w:color w:val="000000" w:themeColor="text1"/>
        </w:rPr>
        <w:t>pe</w:t>
      </w:r>
      <w:r w:rsidRPr="00C56257">
        <w:rPr>
          <w:color w:val="000000" w:themeColor="text1"/>
          <w:spacing w:val="1"/>
        </w:rPr>
        <w:t xml:space="preserve"> </w:t>
      </w:r>
      <w:r w:rsidRPr="00C56257">
        <w:rPr>
          <w:color w:val="000000" w:themeColor="text1"/>
        </w:rPr>
        <w:t>grindurile din zona complexului lagunar Razelm-Sinoe (grindurile Chituc, Lupilor, Saele-Istria,</w:t>
      </w:r>
      <w:r w:rsidRPr="00C56257">
        <w:rPr>
          <w:color w:val="000000" w:themeColor="text1"/>
          <w:spacing w:val="1"/>
        </w:rPr>
        <w:t xml:space="preserve"> </w:t>
      </w:r>
      <w:r w:rsidRPr="00C56257">
        <w:rPr>
          <w:color w:val="000000" w:themeColor="text1"/>
        </w:rPr>
        <w:t>Perişor),</w:t>
      </w:r>
      <w:r w:rsidRPr="00C56257">
        <w:rPr>
          <w:color w:val="000000" w:themeColor="text1"/>
          <w:spacing w:val="1"/>
        </w:rPr>
        <w:t xml:space="preserve"> </w:t>
      </w:r>
      <w:r w:rsidRPr="00C56257">
        <w:rPr>
          <w:color w:val="000000" w:themeColor="text1"/>
        </w:rPr>
        <w:t>precum</w:t>
      </w:r>
      <w:r w:rsidRPr="00C56257">
        <w:rPr>
          <w:color w:val="000000" w:themeColor="text1"/>
          <w:spacing w:val="1"/>
        </w:rPr>
        <w:t xml:space="preserve"> </w:t>
      </w:r>
      <w:r w:rsidRPr="00C56257">
        <w:rPr>
          <w:color w:val="000000" w:themeColor="text1"/>
        </w:rPr>
        <w:t>și</w:t>
      </w:r>
      <w:r w:rsidRPr="00C56257">
        <w:rPr>
          <w:color w:val="000000" w:themeColor="text1"/>
          <w:spacing w:val="1"/>
        </w:rPr>
        <w:t xml:space="preserve"> </w:t>
      </w:r>
      <w:r w:rsidRPr="00C56257">
        <w:rPr>
          <w:color w:val="000000" w:themeColor="text1"/>
        </w:rPr>
        <w:t>cele</w:t>
      </w:r>
      <w:r w:rsidRPr="00C56257">
        <w:rPr>
          <w:color w:val="000000" w:themeColor="text1"/>
          <w:spacing w:val="1"/>
        </w:rPr>
        <w:t xml:space="preserve"> </w:t>
      </w:r>
      <w:r w:rsidRPr="00C56257">
        <w:rPr>
          <w:color w:val="000000" w:themeColor="text1"/>
        </w:rPr>
        <w:t>din</w:t>
      </w:r>
      <w:r w:rsidRPr="00C56257">
        <w:rPr>
          <w:color w:val="000000" w:themeColor="text1"/>
          <w:spacing w:val="1"/>
        </w:rPr>
        <w:t xml:space="preserve"> </w:t>
      </w:r>
      <w:r w:rsidRPr="00C56257">
        <w:rPr>
          <w:color w:val="000000" w:themeColor="text1"/>
        </w:rPr>
        <w:t>Delta</w:t>
      </w:r>
      <w:r w:rsidRPr="00C56257">
        <w:rPr>
          <w:color w:val="000000" w:themeColor="text1"/>
          <w:spacing w:val="1"/>
        </w:rPr>
        <w:t xml:space="preserve"> </w:t>
      </w:r>
      <w:r w:rsidRPr="00C56257">
        <w:rPr>
          <w:color w:val="000000" w:themeColor="text1"/>
        </w:rPr>
        <w:t>Dunării</w:t>
      </w:r>
      <w:r w:rsidRPr="00C56257">
        <w:rPr>
          <w:color w:val="000000" w:themeColor="text1"/>
          <w:spacing w:val="1"/>
        </w:rPr>
        <w:t xml:space="preserve"> </w:t>
      </w:r>
      <w:r w:rsidRPr="00C56257">
        <w:rPr>
          <w:color w:val="000000" w:themeColor="text1"/>
        </w:rPr>
        <w:t>(grindurile</w:t>
      </w:r>
      <w:r w:rsidRPr="00C56257">
        <w:rPr>
          <w:color w:val="000000" w:themeColor="text1"/>
          <w:spacing w:val="1"/>
        </w:rPr>
        <w:t xml:space="preserve"> </w:t>
      </w:r>
      <w:r w:rsidRPr="00C56257">
        <w:rPr>
          <w:color w:val="000000" w:themeColor="text1"/>
        </w:rPr>
        <w:t>Crucea,</w:t>
      </w:r>
      <w:r w:rsidRPr="00C56257">
        <w:rPr>
          <w:color w:val="000000" w:themeColor="text1"/>
          <w:spacing w:val="1"/>
        </w:rPr>
        <w:t xml:space="preserve"> </w:t>
      </w:r>
      <w:r w:rsidRPr="00C56257">
        <w:rPr>
          <w:color w:val="000000" w:themeColor="text1"/>
        </w:rPr>
        <w:t>Buhazului,</w:t>
      </w:r>
      <w:r w:rsidRPr="00C56257">
        <w:rPr>
          <w:color w:val="000000" w:themeColor="text1"/>
          <w:spacing w:val="1"/>
        </w:rPr>
        <w:t xml:space="preserve"> </w:t>
      </w:r>
      <w:r w:rsidRPr="00C56257">
        <w:rPr>
          <w:color w:val="000000" w:themeColor="text1"/>
        </w:rPr>
        <w:t>Sărăturile,</w:t>
      </w:r>
      <w:r w:rsidRPr="00C56257">
        <w:rPr>
          <w:color w:val="000000" w:themeColor="text1"/>
          <w:spacing w:val="1"/>
        </w:rPr>
        <w:t xml:space="preserve"> </w:t>
      </w:r>
      <w:r w:rsidRPr="00C56257">
        <w:rPr>
          <w:color w:val="000000" w:themeColor="text1"/>
        </w:rPr>
        <w:t>Letea,</w:t>
      </w:r>
      <w:r w:rsidRPr="00C56257">
        <w:rPr>
          <w:color w:val="000000" w:themeColor="text1"/>
          <w:spacing w:val="1"/>
        </w:rPr>
        <w:t xml:space="preserve"> </w:t>
      </w:r>
      <w:r w:rsidRPr="00C56257">
        <w:rPr>
          <w:color w:val="000000" w:themeColor="text1"/>
        </w:rPr>
        <w:t>Caraorman).</w:t>
      </w:r>
    </w:p>
    <w:p w14:paraId="4AF2CFC4" w14:textId="77777777" w:rsidR="00A37B92" w:rsidRPr="00C56257" w:rsidRDefault="00A37B92" w:rsidP="004471AF">
      <w:pPr>
        <w:widowControl w:val="0"/>
        <w:autoSpaceDE w:val="0"/>
        <w:autoSpaceDN w:val="0"/>
        <w:ind w:right="26"/>
        <w:jc w:val="both"/>
        <w:rPr>
          <w:color w:val="000000" w:themeColor="text1"/>
        </w:rPr>
      </w:pPr>
      <w:r w:rsidRPr="00C56257">
        <w:rPr>
          <w:color w:val="000000" w:themeColor="text1"/>
        </w:rPr>
        <w:t>Dunele continentale se întâlnesc pe suprafețe importante în bioregiunile stepică și continentală, în</w:t>
      </w:r>
      <w:r w:rsidRPr="00C56257">
        <w:rPr>
          <w:color w:val="000000" w:themeColor="text1"/>
          <w:spacing w:val="1"/>
        </w:rPr>
        <w:t xml:space="preserve"> </w:t>
      </w:r>
      <w:r w:rsidRPr="00C56257">
        <w:rPr>
          <w:color w:val="000000" w:themeColor="text1"/>
        </w:rPr>
        <w:t>sudul Moldovei (Dunele de nisip de la Hanul Conachi - ROSCI0072), în sudul şi sud-vestul Olteniei</w:t>
      </w:r>
      <w:r w:rsidRPr="00C56257">
        <w:rPr>
          <w:color w:val="000000" w:themeColor="text1"/>
          <w:spacing w:val="-57"/>
        </w:rPr>
        <w:t xml:space="preserve"> </w:t>
      </w:r>
      <w:r w:rsidR="007F6479">
        <w:rPr>
          <w:color w:val="000000" w:themeColor="text1"/>
          <w:spacing w:val="-57"/>
        </w:rPr>
        <w:t xml:space="preserve">        </w:t>
      </w:r>
      <w:r w:rsidRPr="00C56257">
        <w:rPr>
          <w:color w:val="000000" w:themeColor="text1"/>
        </w:rPr>
        <w:t>(zona Calafat-Başcov-Dolj, Izvoarele-Mehedinți) și în Câmpia de Vest/ Crişana (Dunele de nisip de</w:t>
      </w:r>
      <w:r w:rsidR="007F6479">
        <w:rPr>
          <w:color w:val="000000" w:themeColor="text1"/>
        </w:rPr>
        <w:t xml:space="preserve"> </w:t>
      </w:r>
      <w:r w:rsidRPr="00C56257">
        <w:rPr>
          <w:color w:val="000000" w:themeColor="text1"/>
          <w:spacing w:val="-57"/>
        </w:rPr>
        <w:t xml:space="preserve"> </w:t>
      </w:r>
      <w:r w:rsidRPr="00C56257">
        <w:rPr>
          <w:color w:val="000000" w:themeColor="text1"/>
        </w:rPr>
        <w:t>la</w:t>
      </w:r>
      <w:r w:rsidRPr="00C56257">
        <w:rPr>
          <w:color w:val="000000" w:themeColor="text1"/>
          <w:spacing w:val="-1"/>
        </w:rPr>
        <w:t xml:space="preserve"> </w:t>
      </w:r>
      <w:r w:rsidRPr="00C56257">
        <w:rPr>
          <w:color w:val="000000" w:themeColor="text1"/>
        </w:rPr>
        <w:t>Foieni).</w:t>
      </w:r>
    </w:p>
    <w:p w14:paraId="6019642C" w14:textId="77777777" w:rsidR="00A37B92" w:rsidRPr="00C56257" w:rsidRDefault="00A37B92" w:rsidP="004471AF">
      <w:pPr>
        <w:widowControl w:val="0"/>
        <w:autoSpaceDE w:val="0"/>
        <w:autoSpaceDN w:val="0"/>
        <w:ind w:right="26"/>
        <w:jc w:val="both"/>
        <w:rPr>
          <w:color w:val="000000" w:themeColor="text1"/>
        </w:rPr>
      </w:pPr>
      <w:r w:rsidRPr="00C56257">
        <w:rPr>
          <w:color w:val="000000" w:themeColor="text1"/>
        </w:rPr>
        <w:t>Tipurile</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dune</w:t>
      </w:r>
      <w:r w:rsidRPr="00C56257">
        <w:rPr>
          <w:color w:val="000000" w:themeColor="text1"/>
          <w:spacing w:val="1"/>
        </w:rPr>
        <w:t xml:space="preserve"> </w:t>
      </w:r>
      <w:r w:rsidRPr="00C56257">
        <w:rPr>
          <w:color w:val="000000" w:themeColor="text1"/>
        </w:rPr>
        <w:t>adăpostesc</w:t>
      </w:r>
      <w:r w:rsidRPr="00C56257">
        <w:rPr>
          <w:color w:val="000000" w:themeColor="text1"/>
          <w:spacing w:val="1"/>
        </w:rPr>
        <w:t xml:space="preserve"> </w:t>
      </w:r>
      <w:r w:rsidRPr="00C56257">
        <w:rPr>
          <w:color w:val="000000" w:themeColor="text1"/>
        </w:rPr>
        <w:t>comunități</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plante</w:t>
      </w:r>
      <w:r w:rsidRPr="00C56257">
        <w:rPr>
          <w:color w:val="000000" w:themeColor="text1"/>
          <w:spacing w:val="1"/>
        </w:rPr>
        <w:t xml:space="preserve"> </w:t>
      </w:r>
      <w:r w:rsidRPr="00C56257">
        <w:rPr>
          <w:color w:val="000000" w:themeColor="text1"/>
        </w:rPr>
        <w:t>unice</w:t>
      </w:r>
      <w:r w:rsidRPr="00C56257">
        <w:rPr>
          <w:color w:val="000000" w:themeColor="text1"/>
          <w:spacing w:val="1"/>
        </w:rPr>
        <w:t xml:space="preserve"> </w:t>
      </w:r>
      <w:r w:rsidRPr="00C56257">
        <w:rPr>
          <w:color w:val="000000" w:themeColor="text1"/>
        </w:rPr>
        <w:t>la</w:t>
      </w:r>
      <w:r w:rsidRPr="00C56257">
        <w:rPr>
          <w:color w:val="000000" w:themeColor="text1"/>
          <w:spacing w:val="1"/>
        </w:rPr>
        <w:t xml:space="preserve"> </w:t>
      </w:r>
      <w:r w:rsidRPr="00C56257">
        <w:rPr>
          <w:color w:val="000000" w:themeColor="text1"/>
        </w:rPr>
        <w:t>nivel</w:t>
      </w:r>
      <w:r w:rsidRPr="00C56257">
        <w:rPr>
          <w:color w:val="000000" w:themeColor="text1"/>
          <w:spacing w:val="1"/>
        </w:rPr>
        <w:t xml:space="preserve"> </w:t>
      </w:r>
      <w:r w:rsidRPr="00C56257">
        <w:rPr>
          <w:color w:val="000000" w:themeColor="text1"/>
        </w:rPr>
        <w:t>național</w:t>
      </w:r>
      <w:r w:rsidRPr="00C56257">
        <w:rPr>
          <w:color w:val="000000" w:themeColor="text1"/>
          <w:spacing w:val="1"/>
        </w:rPr>
        <w:t xml:space="preserve"> </w:t>
      </w:r>
      <w:r w:rsidRPr="00C56257">
        <w:rPr>
          <w:color w:val="000000" w:themeColor="text1"/>
        </w:rPr>
        <w:t>sau</w:t>
      </w:r>
      <w:r w:rsidRPr="00C56257">
        <w:rPr>
          <w:color w:val="000000" w:themeColor="text1"/>
          <w:spacing w:val="1"/>
        </w:rPr>
        <w:t xml:space="preserve"> </w:t>
      </w:r>
      <w:r w:rsidRPr="00C56257">
        <w:rPr>
          <w:color w:val="000000" w:themeColor="text1"/>
        </w:rPr>
        <w:t>european,</w:t>
      </w:r>
      <w:r w:rsidRPr="00C56257">
        <w:rPr>
          <w:color w:val="000000" w:themeColor="text1"/>
          <w:spacing w:val="60"/>
        </w:rPr>
        <w:t xml:space="preserve"> </w:t>
      </w:r>
      <w:r w:rsidRPr="00C56257">
        <w:rPr>
          <w:color w:val="000000" w:themeColor="text1"/>
        </w:rPr>
        <w:t>cu</w:t>
      </w:r>
      <w:r w:rsidRPr="00C56257">
        <w:rPr>
          <w:color w:val="000000" w:themeColor="text1"/>
          <w:spacing w:val="1"/>
        </w:rPr>
        <w:t xml:space="preserve"> </w:t>
      </w:r>
      <w:r w:rsidRPr="00C56257">
        <w:rPr>
          <w:color w:val="000000" w:themeColor="text1"/>
        </w:rPr>
        <w:t>numeroase rarități floristice, multe dintre ele specifice substratului nisipos, mai mult sau mai puțin</w:t>
      </w:r>
      <w:r w:rsidRPr="00C56257">
        <w:rPr>
          <w:color w:val="000000" w:themeColor="text1"/>
          <w:spacing w:val="1"/>
        </w:rPr>
        <w:t xml:space="preserve"> </w:t>
      </w:r>
      <w:r w:rsidRPr="00C56257">
        <w:rPr>
          <w:color w:val="000000" w:themeColor="text1"/>
        </w:rPr>
        <w:t>sărăturat.</w:t>
      </w:r>
    </w:p>
    <w:p w14:paraId="4924E13F" w14:textId="77777777" w:rsidR="00A37B92" w:rsidRPr="00C56257" w:rsidRDefault="00A37B92" w:rsidP="004471AF">
      <w:pPr>
        <w:widowControl w:val="0"/>
        <w:autoSpaceDE w:val="0"/>
        <w:autoSpaceDN w:val="0"/>
        <w:spacing w:before="64"/>
        <w:ind w:right="26"/>
        <w:jc w:val="both"/>
        <w:rPr>
          <w:color w:val="000000" w:themeColor="text1"/>
        </w:rPr>
      </w:pPr>
      <w:r w:rsidRPr="00C56257">
        <w:rPr>
          <w:color w:val="000000" w:themeColor="text1"/>
        </w:rPr>
        <w:t>În funcție de mobilitatea dunelor, de gradul de solificare a nisipurilor, de vegetația caracteristică cu</w:t>
      </w:r>
      <w:r w:rsidRPr="00C56257">
        <w:rPr>
          <w:color w:val="000000" w:themeColor="text1"/>
          <w:spacing w:val="1"/>
        </w:rPr>
        <w:t xml:space="preserve"> </w:t>
      </w:r>
      <w:r w:rsidRPr="00C56257">
        <w:rPr>
          <w:color w:val="000000" w:themeColor="text1"/>
        </w:rPr>
        <w:t>rol în fixarea dunelor sau de influența mai mult sau mai puțin pregnantă a apelor freatice sau de</w:t>
      </w:r>
      <w:r w:rsidRPr="00C56257">
        <w:rPr>
          <w:color w:val="000000" w:themeColor="text1"/>
          <w:spacing w:val="1"/>
        </w:rPr>
        <w:t xml:space="preserve"> </w:t>
      </w:r>
      <w:r w:rsidRPr="00C56257">
        <w:rPr>
          <w:color w:val="000000" w:themeColor="text1"/>
        </w:rPr>
        <w:t>infiltrație,</w:t>
      </w:r>
      <w:r w:rsidRPr="00C56257">
        <w:rPr>
          <w:color w:val="000000" w:themeColor="text1"/>
          <w:spacing w:val="-1"/>
        </w:rPr>
        <w:t xml:space="preserve"> </w:t>
      </w:r>
      <w:r w:rsidRPr="00C56257">
        <w:rPr>
          <w:color w:val="000000" w:themeColor="text1"/>
        </w:rPr>
        <w:t>în cadrul complexelor de</w:t>
      </w:r>
      <w:r w:rsidRPr="00C56257">
        <w:rPr>
          <w:color w:val="000000" w:themeColor="text1"/>
          <w:spacing w:val="-3"/>
        </w:rPr>
        <w:t xml:space="preserve"> </w:t>
      </w:r>
      <w:r w:rsidRPr="00C56257">
        <w:rPr>
          <w:color w:val="000000" w:themeColor="text1"/>
        </w:rPr>
        <w:t>dune, se</w:t>
      </w:r>
      <w:r w:rsidRPr="00C56257">
        <w:rPr>
          <w:color w:val="000000" w:themeColor="text1"/>
          <w:spacing w:val="-1"/>
        </w:rPr>
        <w:t xml:space="preserve"> </w:t>
      </w:r>
      <w:r w:rsidRPr="00C56257">
        <w:rPr>
          <w:color w:val="000000" w:themeColor="text1"/>
        </w:rPr>
        <w:t>disting</w:t>
      </w:r>
      <w:r w:rsidRPr="00C56257">
        <w:rPr>
          <w:color w:val="000000" w:themeColor="text1"/>
          <w:spacing w:val="-2"/>
        </w:rPr>
        <w:t xml:space="preserve"> </w:t>
      </w:r>
      <w:r w:rsidRPr="00C56257">
        <w:rPr>
          <w:color w:val="000000" w:themeColor="text1"/>
        </w:rPr>
        <w:t>mai</w:t>
      </w:r>
      <w:r w:rsidRPr="00C56257">
        <w:rPr>
          <w:color w:val="000000" w:themeColor="text1"/>
          <w:spacing w:val="-1"/>
        </w:rPr>
        <w:t xml:space="preserve"> </w:t>
      </w:r>
      <w:r w:rsidRPr="00C56257">
        <w:rPr>
          <w:color w:val="000000" w:themeColor="text1"/>
        </w:rPr>
        <w:t>multe tipuri de</w:t>
      </w:r>
      <w:r w:rsidRPr="00C56257">
        <w:rPr>
          <w:color w:val="000000" w:themeColor="text1"/>
          <w:spacing w:val="-1"/>
        </w:rPr>
        <w:t xml:space="preserve"> </w:t>
      </w:r>
      <w:r w:rsidRPr="00C56257">
        <w:rPr>
          <w:color w:val="000000" w:themeColor="text1"/>
        </w:rPr>
        <w:t>habitate şi</w:t>
      </w:r>
      <w:r w:rsidRPr="00C56257">
        <w:rPr>
          <w:color w:val="000000" w:themeColor="text1"/>
          <w:spacing w:val="-2"/>
        </w:rPr>
        <w:t xml:space="preserve"> </w:t>
      </w:r>
      <w:r w:rsidRPr="00C56257">
        <w:rPr>
          <w:color w:val="000000" w:themeColor="text1"/>
        </w:rPr>
        <w:t>anume:</w:t>
      </w:r>
    </w:p>
    <w:p w14:paraId="26E211FE" w14:textId="77777777" w:rsidR="00A37B92" w:rsidRPr="00C56257" w:rsidRDefault="00A37B92" w:rsidP="009E63E5">
      <w:pPr>
        <w:widowControl w:val="0"/>
        <w:numPr>
          <w:ilvl w:val="0"/>
          <w:numId w:val="88"/>
        </w:numPr>
        <w:tabs>
          <w:tab w:val="left" w:pos="433"/>
        </w:tabs>
        <w:autoSpaceDE w:val="0"/>
        <w:autoSpaceDN w:val="0"/>
        <w:ind w:right="26"/>
        <w:jc w:val="both"/>
        <w:rPr>
          <w:color w:val="000000" w:themeColor="text1"/>
        </w:rPr>
      </w:pPr>
      <w:r w:rsidRPr="00C56257">
        <w:rPr>
          <w:color w:val="000000" w:themeColor="text1"/>
        </w:rPr>
        <w:t>Dune</w:t>
      </w:r>
      <w:r w:rsidRPr="00C56257">
        <w:rPr>
          <w:color w:val="000000" w:themeColor="text1"/>
          <w:spacing w:val="-3"/>
        </w:rPr>
        <w:t xml:space="preserve"> </w:t>
      </w:r>
      <w:r w:rsidRPr="00C56257">
        <w:rPr>
          <w:color w:val="000000" w:themeColor="text1"/>
        </w:rPr>
        <w:t>mobile embrionare;</w:t>
      </w:r>
    </w:p>
    <w:p w14:paraId="49D90A86" w14:textId="77777777" w:rsidR="00A37B92" w:rsidRPr="00C56257" w:rsidRDefault="00A37B92" w:rsidP="009E63E5">
      <w:pPr>
        <w:widowControl w:val="0"/>
        <w:numPr>
          <w:ilvl w:val="0"/>
          <w:numId w:val="88"/>
        </w:numPr>
        <w:tabs>
          <w:tab w:val="left" w:pos="433"/>
        </w:tabs>
        <w:autoSpaceDE w:val="0"/>
        <w:autoSpaceDN w:val="0"/>
        <w:ind w:right="26"/>
        <w:jc w:val="both"/>
        <w:rPr>
          <w:color w:val="000000" w:themeColor="text1"/>
        </w:rPr>
      </w:pPr>
      <w:r w:rsidRPr="00C56257">
        <w:rPr>
          <w:color w:val="000000" w:themeColor="text1"/>
        </w:rPr>
        <w:t>Dune</w:t>
      </w:r>
      <w:r w:rsidRPr="00C56257">
        <w:rPr>
          <w:color w:val="000000" w:themeColor="text1"/>
          <w:spacing w:val="-3"/>
        </w:rPr>
        <w:t xml:space="preserve"> </w:t>
      </w:r>
      <w:r w:rsidRPr="00C56257">
        <w:rPr>
          <w:color w:val="000000" w:themeColor="text1"/>
        </w:rPr>
        <w:t>fixate</w:t>
      </w:r>
      <w:r w:rsidRPr="00C56257">
        <w:rPr>
          <w:color w:val="000000" w:themeColor="text1"/>
          <w:spacing w:val="-1"/>
        </w:rPr>
        <w:t xml:space="preserve"> </w:t>
      </w:r>
      <w:r w:rsidRPr="00C56257">
        <w:rPr>
          <w:color w:val="000000" w:themeColor="text1"/>
        </w:rPr>
        <w:t>cu</w:t>
      </w:r>
      <w:r w:rsidRPr="00C56257">
        <w:rPr>
          <w:color w:val="000000" w:themeColor="text1"/>
          <w:spacing w:val="-1"/>
        </w:rPr>
        <w:t xml:space="preserve"> </w:t>
      </w:r>
      <w:r w:rsidRPr="00C56257">
        <w:rPr>
          <w:color w:val="000000" w:themeColor="text1"/>
        </w:rPr>
        <w:t>vegetaţie</w:t>
      </w:r>
      <w:r w:rsidRPr="00C56257">
        <w:rPr>
          <w:color w:val="000000" w:themeColor="text1"/>
          <w:spacing w:val="-2"/>
        </w:rPr>
        <w:t xml:space="preserve"> </w:t>
      </w:r>
      <w:r w:rsidRPr="00C56257">
        <w:rPr>
          <w:color w:val="000000" w:themeColor="text1"/>
        </w:rPr>
        <w:t>herbacee</w:t>
      </w:r>
      <w:r w:rsidRPr="00C56257">
        <w:rPr>
          <w:color w:val="000000" w:themeColor="text1"/>
          <w:spacing w:val="-2"/>
        </w:rPr>
        <w:t xml:space="preserve"> </w:t>
      </w:r>
      <w:r w:rsidRPr="00C56257">
        <w:rPr>
          <w:color w:val="000000" w:themeColor="text1"/>
        </w:rPr>
        <w:t>perenă</w:t>
      </w:r>
      <w:r w:rsidRPr="00C56257">
        <w:rPr>
          <w:color w:val="000000" w:themeColor="text1"/>
          <w:spacing w:val="-2"/>
        </w:rPr>
        <w:t xml:space="preserve"> </w:t>
      </w:r>
      <w:r w:rsidRPr="00C56257">
        <w:rPr>
          <w:color w:val="000000" w:themeColor="text1"/>
        </w:rPr>
        <w:t>(dune gri);</w:t>
      </w:r>
    </w:p>
    <w:p w14:paraId="26759AF0" w14:textId="77777777" w:rsidR="00A37B92" w:rsidRPr="00C56257" w:rsidRDefault="00A37B92" w:rsidP="009E63E5">
      <w:pPr>
        <w:widowControl w:val="0"/>
        <w:numPr>
          <w:ilvl w:val="0"/>
          <w:numId w:val="88"/>
        </w:numPr>
        <w:tabs>
          <w:tab w:val="left" w:pos="433"/>
        </w:tabs>
        <w:autoSpaceDE w:val="0"/>
        <w:autoSpaceDN w:val="0"/>
        <w:ind w:right="26"/>
        <w:jc w:val="both"/>
        <w:rPr>
          <w:color w:val="000000" w:themeColor="text1"/>
        </w:rPr>
      </w:pPr>
      <w:r w:rsidRPr="00C56257">
        <w:rPr>
          <w:color w:val="000000" w:themeColor="text1"/>
        </w:rPr>
        <w:t>Dune</w:t>
      </w:r>
      <w:r w:rsidRPr="00C56257">
        <w:rPr>
          <w:color w:val="000000" w:themeColor="text1"/>
          <w:spacing w:val="-2"/>
        </w:rPr>
        <w:t xml:space="preserve"> </w:t>
      </w:r>
      <w:r w:rsidRPr="00C56257">
        <w:rPr>
          <w:color w:val="000000" w:themeColor="text1"/>
        </w:rPr>
        <w:t>cu</w:t>
      </w:r>
      <w:r w:rsidRPr="00C56257">
        <w:rPr>
          <w:color w:val="000000" w:themeColor="text1"/>
          <w:spacing w:val="2"/>
        </w:rPr>
        <w:t xml:space="preserve"> </w:t>
      </w:r>
      <w:r w:rsidRPr="00C56257">
        <w:rPr>
          <w:i/>
          <w:color w:val="000000" w:themeColor="text1"/>
        </w:rPr>
        <w:t>Hippophaë</w:t>
      </w:r>
      <w:r w:rsidRPr="00C56257">
        <w:rPr>
          <w:i/>
          <w:color w:val="000000" w:themeColor="text1"/>
          <w:spacing w:val="-1"/>
        </w:rPr>
        <w:t xml:space="preserve"> </w:t>
      </w:r>
      <w:r w:rsidRPr="00C56257">
        <w:rPr>
          <w:i/>
          <w:color w:val="000000" w:themeColor="text1"/>
        </w:rPr>
        <w:t>rhamnoides</w:t>
      </w:r>
      <w:r w:rsidRPr="00C56257">
        <w:rPr>
          <w:color w:val="000000" w:themeColor="text1"/>
        </w:rPr>
        <w:t>;</w:t>
      </w:r>
    </w:p>
    <w:p w14:paraId="08C59E04" w14:textId="77777777" w:rsidR="00A37B92" w:rsidRPr="00C56257" w:rsidRDefault="00A37B92" w:rsidP="009E63E5">
      <w:pPr>
        <w:widowControl w:val="0"/>
        <w:numPr>
          <w:ilvl w:val="0"/>
          <w:numId w:val="88"/>
        </w:numPr>
        <w:tabs>
          <w:tab w:val="left" w:pos="433"/>
        </w:tabs>
        <w:autoSpaceDE w:val="0"/>
        <w:autoSpaceDN w:val="0"/>
        <w:ind w:right="26"/>
        <w:jc w:val="both"/>
        <w:rPr>
          <w:color w:val="000000" w:themeColor="text1"/>
        </w:rPr>
      </w:pPr>
      <w:r w:rsidRPr="00C56257">
        <w:rPr>
          <w:color w:val="000000" w:themeColor="text1"/>
        </w:rPr>
        <w:t>Depresiuni</w:t>
      </w:r>
      <w:r w:rsidRPr="00C56257">
        <w:rPr>
          <w:color w:val="000000" w:themeColor="text1"/>
          <w:spacing w:val="-1"/>
        </w:rPr>
        <w:t xml:space="preserve"> </w:t>
      </w:r>
      <w:r w:rsidRPr="00C56257">
        <w:rPr>
          <w:color w:val="000000" w:themeColor="text1"/>
        </w:rPr>
        <w:t>umede</w:t>
      </w:r>
      <w:r w:rsidRPr="00C56257">
        <w:rPr>
          <w:color w:val="000000" w:themeColor="text1"/>
          <w:spacing w:val="-3"/>
        </w:rPr>
        <w:t xml:space="preserve"> </w:t>
      </w:r>
      <w:r w:rsidRPr="00C56257">
        <w:rPr>
          <w:color w:val="000000" w:themeColor="text1"/>
        </w:rPr>
        <w:t>interdunale;</w:t>
      </w:r>
    </w:p>
    <w:p w14:paraId="204BB51B" w14:textId="77777777" w:rsidR="00A37B92" w:rsidRPr="00C56257" w:rsidRDefault="00A37B92" w:rsidP="009E63E5">
      <w:pPr>
        <w:widowControl w:val="0"/>
        <w:numPr>
          <w:ilvl w:val="0"/>
          <w:numId w:val="88"/>
        </w:numPr>
        <w:tabs>
          <w:tab w:val="left" w:pos="433"/>
        </w:tabs>
        <w:autoSpaceDE w:val="0"/>
        <w:autoSpaceDN w:val="0"/>
        <w:ind w:right="26"/>
        <w:jc w:val="both"/>
        <w:rPr>
          <w:color w:val="000000" w:themeColor="text1"/>
        </w:rPr>
      </w:pPr>
      <w:r w:rsidRPr="00C56257">
        <w:rPr>
          <w:color w:val="000000" w:themeColor="text1"/>
        </w:rPr>
        <w:t>Dune</w:t>
      </w:r>
      <w:r w:rsidRPr="00C56257">
        <w:rPr>
          <w:color w:val="000000" w:themeColor="text1"/>
          <w:spacing w:val="-3"/>
        </w:rPr>
        <w:t xml:space="preserve"> </w:t>
      </w:r>
      <w:r w:rsidRPr="00C56257">
        <w:rPr>
          <w:color w:val="000000" w:themeColor="text1"/>
        </w:rPr>
        <w:t>continentale</w:t>
      </w:r>
      <w:r w:rsidRPr="00C56257">
        <w:rPr>
          <w:color w:val="000000" w:themeColor="text1"/>
          <w:spacing w:val="-1"/>
        </w:rPr>
        <w:t xml:space="preserve"> </w:t>
      </w:r>
      <w:r w:rsidRPr="00C56257">
        <w:rPr>
          <w:color w:val="000000" w:themeColor="text1"/>
        </w:rPr>
        <w:t>panonice.</w:t>
      </w:r>
    </w:p>
    <w:p w14:paraId="136F8263" w14:textId="77777777" w:rsidR="00A37B92" w:rsidRPr="00C56257" w:rsidRDefault="00A37B92" w:rsidP="00A37B92">
      <w:pPr>
        <w:widowControl w:val="0"/>
        <w:autoSpaceDE w:val="0"/>
        <w:autoSpaceDN w:val="0"/>
        <w:spacing w:before="11"/>
        <w:jc w:val="both"/>
        <w:rPr>
          <w:color w:val="000000" w:themeColor="text1"/>
        </w:rPr>
      </w:pPr>
    </w:p>
    <w:p w14:paraId="37E9BE92" w14:textId="77777777" w:rsidR="00A37B92" w:rsidRPr="00C56257" w:rsidRDefault="00A37B92" w:rsidP="00F100E1">
      <w:pPr>
        <w:widowControl w:val="0"/>
        <w:tabs>
          <w:tab w:val="left" w:pos="1191"/>
        </w:tabs>
        <w:autoSpaceDE w:val="0"/>
        <w:autoSpaceDN w:val="0"/>
        <w:jc w:val="both"/>
        <w:outlineLvl w:val="1"/>
        <w:rPr>
          <w:rFonts w:eastAsia="Cambria"/>
          <w:b/>
          <w:bCs/>
          <w:color w:val="000000" w:themeColor="text1"/>
        </w:rPr>
      </w:pPr>
      <w:r w:rsidRPr="00C56257">
        <w:rPr>
          <w:rFonts w:eastAsia="Cambria"/>
          <w:b/>
          <w:bCs/>
          <w:color w:val="000000" w:themeColor="text1"/>
        </w:rPr>
        <w:t>Perspective</w:t>
      </w:r>
    </w:p>
    <w:p w14:paraId="1D40C022" w14:textId="77777777" w:rsidR="006E7847" w:rsidRPr="006E7847" w:rsidRDefault="006E7847" w:rsidP="006E7847">
      <w:pPr>
        <w:widowControl w:val="0"/>
        <w:autoSpaceDE w:val="0"/>
        <w:autoSpaceDN w:val="0"/>
        <w:spacing w:before="8"/>
        <w:jc w:val="both"/>
        <w:rPr>
          <w:color w:val="000000" w:themeColor="text1"/>
        </w:rPr>
      </w:pPr>
      <w:r w:rsidRPr="006E7847">
        <w:rPr>
          <w:color w:val="000000" w:themeColor="text1"/>
        </w:rPr>
        <w:t>Corelat cu formatul de raportare, rezultatul evaluării stării perspectivelor se face folosind cele patru categorii disponibile: „</w:t>
      </w:r>
      <w:r w:rsidRPr="006E7847">
        <w:rPr>
          <w:b/>
          <w:color w:val="000000" w:themeColor="text1"/>
        </w:rPr>
        <w:t>favorabil</w:t>
      </w:r>
      <w:r w:rsidRPr="006E7847">
        <w:rPr>
          <w:color w:val="000000" w:themeColor="text1"/>
        </w:rPr>
        <w:t>” (FV), „</w:t>
      </w:r>
      <w:r w:rsidRPr="006E7847">
        <w:rPr>
          <w:b/>
          <w:color w:val="000000" w:themeColor="text1"/>
        </w:rPr>
        <w:t>nefavorabil-inadecvat</w:t>
      </w:r>
      <w:r w:rsidRPr="006E7847">
        <w:rPr>
          <w:color w:val="000000" w:themeColor="text1"/>
        </w:rPr>
        <w:t>” (U1), „</w:t>
      </w:r>
      <w:r w:rsidRPr="006E7847">
        <w:rPr>
          <w:b/>
          <w:color w:val="000000" w:themeColor="text1"/>
        </w:rPr>
        <w:t>nefavorabil-rău</w:t>
      </w:r>
      <w:r w:rsidRPr="006E7847">
        <w:rPr>
          <w:color w:val="000000" w:themeColor="text1"/>
        </w:rPr>
        <w:t>” (U2) și</w:t>
      </w:r>
      <w:r w:rsidR="004471AF">
        <w:rPr>
          <w:color w:val="000000" w:themeColor="text1"/>
        </w:rPr>
        <w:t xml:space="preserve"> </w:t>
      </w:r>
      <w:r w:rsidRPr="006E7847">
        <w:rPr>
          <w:color w:val="000000" w:themeColor="text1"/>
        </w:rPr>
        <w:t>„</w:t>
      </w:r>
      <w:r w:rsidRPr="006E7847">
        <w:rPr>
          <w:b/>
          <w:color w:val="000000" w:themeColor="text1"/>
        </w:rPr>
        <w:t>necunoscut</w:t>
      </w:r>
      <w:r w:rsidRPr="006E7847">
        <w:rPr>
          <w:color w:val="000000" w:themeColor="text1"/>
        </w:rPr>
        <w:t>” (XX) este redat în tabelul de mai jos:</w:t>
      </w:r>
    </w:p>
    <w:p w14:paraId="58178AB4" w14:textId="77777777" w:rsidR="00A37B92" w:rsidRPr="00C56257" w:rsidRDefault="00A37B92" w:rsidP="00A37B92">
      <w:pPr>
        <w:widowControl w:val="0"/>
        <w:autoSpaceDE w:val="0"/>
        <w:autoSpaceDN w:val="0"/>
        <w:spacing w:before="8"/>
        <w:jc w:val="both"/>
        <w:rPr>
          <w:color w:val="000000" w:themeColor="text1"/>
        </w:rPr>
      </w:pPr>
    </w:p>
    <w:tbl>
      <w:tblPr>
        <w:tblW w:w="0" w:type="auto"/>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0"/>
        <w:gridCol w:w="7480"/>
      </w:tblGrid>
      <w:tr w:rsidR="00A37B92" w:rsidRPr="00C56257" w14:paraId="7223E3B2" w14:textId="77777777" w:rsidTr="00C902DF">
        <w:trPr>
          <w:trHeight w:val="552"/>
        </w:trPr>
        <w:tc>
          <w:tcPr>
            <w:tcW w:w="1810" w:type="dxa"/>
            <w:shd w:val="clear" w:color="auto" w:fill="DBE4F0"/>
          </w:tcPr>
          <w:p w14:paraId="1A30F7A1" w14:textId="77777777" w:rsidR="00A37B92" w:rsidRPr="00C56257" w:rsidRDefault="00A37B92" w:rsidP="00C902DF">
            <w:pPr>
              <w:widowControl w:val="0"/>
              <w:tabs>
                <w:tab w:val="left" w:pos="1458"/>
              </w:tabs>
              <w:autoSpaceDE w:val="0"/>
              <w:autoSpaceDN w:val="0"/>
              <w:spacing w:line="276" w:lineRule="exact"/>
              <w:ind w:right="98"/>
              <w:jc w:val="both"/>
              <w:rPr>
                <w:b/>
                <w:color w:val="000000" w:themeColor="text1"/>
              </w:rPr>
            </w:pPr>
            <w:r w:rsidRPr="00C56257">
              <w:rPr>
                <w:b/>
                <w:color w:val="000000" w:themeColor="text1"/>
              </w:rPr>
              <w:t>Starea</w:t>
            </w:r>
            <w:r w:rsidRPr="00C56257">
              <w:rPr>
                <w:b/>
                <w:color w:val="000000" w:themeColor="text1"/>
              </w:rPr>
              <w:tab/>
            </w:r>
            <w:r w:rsidRPr="00C56257">
              <w:rPr>
                <w:b/>
                <w:color w:val="000000" w:themeColor="text1"/>
                <w:spacing w:val="-2"/>
              </w:rPr>
              <w:t>de</w:t>
            </w:r>
            <w:r w:rsidRPr="00C56257">
              <w:rPr>
                <w:b/>
                <w:color w:val="000000" w:themeColor="text1"/>
                <w:spacing w:val="-57"/>
              </w:rPr>
              <w:t xml:space="preserve"> </w:t>
            </w:r>
            <w:r w:rsidRPr="00C56257">
              <w:rPr>
                <w:b/>
                <w:color w:val="000000" w:themeColor="text1"/>
              </w:rPr>
              <w:t>conservare</w:t>
            </w:r>
          </w:p>
        </w:tc>
        <w:tc>
          <w:tcPr>
            <w:tcW w:w="7480" w:type="dxa"/>
            <w:shd w:val="clear" w:color="auto" w:fill="DBE4F0"/>
          </w:tcPr>
          <w:p w14:paraId="6398A5F7" w14:textId="77777777" w:rsidR="00A37B92" w:rsidRPr="00C56257" w:rsidRDefault="00A37B92" w:rsidP="00C902DF">
            <w:pPr>
              <w:widowControl w:val="0"/>
              <w:autoSpaceDE w:val="0"/>
              <w:autoSpaceDN w:val="0"/>
              <w:spacing w:before="133"/>
              <w:jc w:val="both"/>
              <w:rPr>
                <w:b/>
                <w:color w:val="000000" w:themeColor="text1"/>
              </w:rPr>
            </w:pPr>
            <w:r w:rsidRPr="00C56257">
              <w:rPr>
                <w:b/>
                <w:color w:val="000000" w:themeColor="text1"/>
              </w:rPr>
              <w:t>Criterii</w:t>
            </w:r>
            <w:r w:rsidRPr="00C56257">
              <w:rPr>
                <w:b/>
                <w:color w:val="000000" w:themeColor="text1"/>
                <w:spacing w:val="-2"/>
              </w:rPr>
              <w:t xml:space="preserve"> </w:t>
            </w:r>
            <w:r w:rsidRPr="00C56257">
              <w:rPr>
                <w:b/>
                <w:color w:val="000000" w:themeColor="text1"/>
              </w:rPr>
              <w:t>de</w:t>
            </w:r>
            <w:r w:rsidRPr="00C56257">
              <w:rPr>
                <w:b/>
                <w:color w:val="000000" w:themeColor="text1"/>
                <w:spacing w:val="-2"/>
              </w:rPr>
              <w:t xml:space="preserve"> </w:t>
            </w:r>
            <w:r w:rsidRPr="00C56257">
              <w:rPr>
                <w:b/>
                <w:color w:val="000000" w:themeColor="text1"/>
              </w:rPr>
              <w:t>evaluare</w:t>
            </w:r>
          </w:p>
        </w:tc>
      </w:tr>
      <w:tr w:rsidR="00A37B92" w:rsidRPr="00C56257" w14:paraId="7C262007" w14:textId="77777777" w:rsidTr="00C902DF">
        <w:trPr>
          <w:trHeight w:val="2212"/>
        </w:trPr>
        <w:tc>
          <w:tcPr>
            <w:tcW w:w="1810" w:type="dxa"/>
          </w:tcPr>
          <w:p w14:paraId="65E3243D" w14:textId="77777777" w:rsidR="00A37B92" w:rsidRPr="00C56257" w:rsidRDefault="00A37B92" w:rsidP="00C902DF">
            <w:pPr>
              <w:widowControl w:val="0"/>
              <w:autoSpaceDE w:val="0"/>
              <w:autoSpaceDN w:val="0"/>
              <w:jc w:val="both"/>
              <w:rPr>
                <w:color w:val="000000" w:themeColor="text1"/>
              </w:rPr>
            </w:pPr>
          </w:p>
          <w:p w14:paraId="55F22CAC" w14:textId="77777777" w:rsidR="00A37B92" w:rsidRPr="00C56257" w:rsidRDefault="00A37B92" w:rsidP="00C902DF">
            <w:pPr>
              <w:widowControl w:val="0"/>
              <w:autoSpaceDE w:val="0"/>
              <w:autoSpaceDN w:val="0"/>
              <w:jc w:val="both"/>
              <w:rPr>
                <w:color w:val="000000" w:themeColor="text1"/>
              </w:rPr>
            </w:pPr>
          </w:p>
          <w:p w14:paraId="46A8ADA2" w14:textId="77777777" w:rsidR="00A37B92" w:rsidRPr="00C56257" w:rsidRDefault="00A37B92" w:rsidP="00C902DF">
            <w:pPr>
              <w:widowControl w:val="0"/>
              <w:autoSpaceDE w:val="0"/>
              <w:autoSpaceDN w:val="0"/>
              <w:spacing w:before="6"/>
              <w:jc w:val="both"/>
              <w:rPr>
                <w:color w:val="000000" w:themeColor="text1"/>
              </w:rPr>
            </w:pPr>
          </w:p>
          <w:p w14:paraId="5019EFF3" w14:textId="77777777" w:rsidR="00A37B92" w:rsidRPr="00C56257" w:rsidRDefault="00A37B92" w:rsidP="00C902DF">
            <w:pPr>
              <w:widowControl w:val="0"/>
              <w:autoSpaceDE w:val="0"/>
              <w:autoSpaceDN w:val="0"/>
              <w:spacing w:before="1"/>
              <w:jc w:val="both"/>
              <w:rPr>
                <w:color w:val="000000" w:themeColor="text1"/>
              </w:rPr>
            </w:pPr>
            <w:r w:rsidRPr="00C56257">
              <w:rPr>
                <w:color w:val="000000" w:themeColor="text1"/>
              </w:rPr>
              <w:t>Favorabil</w:t>
            </w:r>
            <w:r w:rsidRPr="00C56257">
              <w:rPr>
                <w:color w:val="000000" w:themeColor="text1"/>
                <w:spacing w:val="-3"/>
              </w:rPr>
              <w:t xml:space="preserve"> </w:t>
            </w:r>
            <w:r w:rsidRPr="00C56257">
              <w:rPr>
                <w:color w:val="000000" w:themeColor="text1"/>
              </w:rPr>
              <w:t>(FV)</w:t>
            </w:r>
          </w:p>
        </w:tc>
        <w:tc>
          <w:tcPr>
            <w:tcW w:w="7480" w:type="dxa"/>
          </w:tcPr>
          <w:p w14:paraId="0E171DCA" w14:textId="77777777" w:rsidR="00A37B92" w:rsidRPr="00C56257" w:rsidRDefault="00A37B92" w:rsidP="00C902DF">
            <w:pPr>
              <w:widowControl w:val="0"/>
              <w:autoSpaceDE w:val="0"/>
              <w:autoSpaceDN w:val="0"/>
              <w:jc w:val="both"/>
              <w:rPr>
                <w:color w:val="000000" w:themeColor="text1"/>
              </w:rPr>
            </w:pPr>
            <w:r w:rsidRPr="00C56257">
              <w:rPr>
                <w:color w:val="000000" w:themeColor="text1"/>
              </w:rPr>
              <w:t>Conform</w:t>
            </w:r>
            <w:r w:rsidRPr="00C56257">
              <w:rPr>
                <w:color w:val="000000" w:themeColor="text1"/>
                <w:spacing w:val="46"/>
              </w:rPr>
              <w:t xml:space="preserve"> </w:t>
            </w:r>
            <w:r w:rsidRPr="00C56257">
              <w:rPr>
                <w:color w:val="000000" w:themeColor="text1"/>
              </w:rPr>
              <w:t>matricei</w:t>
            </w:r>
            <w:r w:rsidRPr="00C56257">
              <w:rPr>
                <w:color w:val="000000" w:themeColor="text1"/>
                <w:spacing w:val="46"/>
              </w:rPr>
              <w:t xml:space="preserve"> </w:t>
            </w:r>
            <w:r w:rsidRPr="00C56257">
              <w:rPr>
                <w:color w:val="000000" w:themeColor="text1"/>
              </w:rPr>
              <w:t>de</w:t>
            </w:r>
            <w:r w:rsidRPr="00C56257">
              <w:rPr>
                <w:color w:val="000000" w:themeColor="text1"/>
                <w:spacing w:val="44"/>
              </w:rPr>
              <w:t xml:space="preserve"> </w:t>
            </w:r>
            <w:r w:rsidRPr="00C56257">
              <w:rPr>
                <w:color w:val="000000" w:themeColor="text1"/>
              </w:rPr>
              <w:t>evaluare</w:t>
            </w:r>
            <w:r w:rsidRPr="00C56257">
              <w:rPr>
                <w:color w:val="000000" w:themeColor="text1"/>
                <w:spacing w:val="44"/>
              </w:rPr>
              <w:t xml:space="preserve"> </w:t>
            </w:r>
            <w:r w:rsidRPr="00C56257">
              <w:rPr>
                <w:color w:val="000000" w:themeColor="text1"/>
              </w:rPr>
              <w:t>(anexa</w:t>
            </w:r>
            <w:r w:rsidRPr="00C56257">
              <w:rPr>
                <w:color w:val="000000" w:themeColor="text1"/>
                <w:spacing w:val="44"/>
              </w:rPr>
              <w:t xml:space="preserve"> </w:t>
            </w:r>
            <w:r w:rsidRPr="00C56257">
              <w:rPr>
                <w:color w:val="000000" w:themeColor="text1"/>
              </w:rPr>
              <w:t>E),</w:t>
            </w:r>
            <w:r w:rsidRPr="00C56257">
              <w:rPr>
                <w:color w:val="000000" w:themeColor="text1"/>
                <w:spacing w:val="46"/>
              </w:rPr>
              <w:t xml:space="preserve"> </w:t>
            </w:r>
            <w:r w:rsidRPr="00C56257">
              <w:rPr>
                <w:color w:val="000000" w:themeColor="text1"/>
              </w:rPr>
              <w:t>situația</w:t>
            </w:r>
            <w:r w:rsidRPr="00C56257">
              <w:rPr>
                <w:color w:val="000000" w:themeColor="text1"/>
                <w:spacing w:val="44"/>
              </w:rPr>
              <w:t xml:space="preserve"> </w:t>
            </w:r>
            <w:r w:rsidRPr="00C56257">
              <w:rPr>
                <w:color w:val="000000" w:themeColor="text1"/>
              </w:rPr>
              <w:t>perspectivelor</w:t>
            </w:r>
            <w:r w:rsidRPr="00C56257">
              <w:rPr>
                <w:color w:val="000000" w:themeColor="text1"/>
                <w:spacing w:val="45"/>
              </w:rPr>
              <w:t xml:space="preserve"> </w:t>
            </w:r>
            <w:r w:rsidRPr="00C56257">
              <w:rPr>
                <w:color w:val="000000" w:themeColor="text1"/>
              </w:rPr>
              <w:t>viitoare</w:t>
            </w:r>
            <w:r w:rsidRPr="00C56257">
              <w:rPr>
                <w:color w:val="000000" w:themeColor="text1"/>
                <w:spacing w:val="-57"/>
              </w:rPr>
              <w:t xml:space="preserve"> </w:t>
            </w:r>
            <w:r w:rsidRPr="00C56257">
              <w:rPr>
                <w:color w:val="000000" w:themeColor="text1"/>
              </w:rPr>
              <w:t>este</w:t>
            </w:r>
            <w:r w:rsidRPr="00C56257">
              <w:rPr>
                <w:color w:val="000000" w:themeColor="text1"/>
                <w:spacing w:val="-2"/>
              </w:rPr>
              <w:t xml:space="preserve"> </w:t>
            </w:r>
            <w:r w:rsidRPr="00C56257">
              <w:rPr>
                <w:color w:val="000000" w:themeColor="text1"/>
              </w:rPr>
              <w:t>„favorabilă”</w:t>
            </w:r>
            <w:r w:rsidRPr="00C56257">
              <w:rPr>
                <w:color w:val="000000" w:themeColor="text1"/>
                <w:spacing w:val="-1"/>
              </w:rPr>
              <w:t xml:space="preserve"> </w:t>
            </w:r>
            <w:r w:rsidRPr="00C56257">
              <w:rPr>
                <w:color w:val="000000" w:themeColor="text1"/>
              </w:rPr>
              <w:t>dacă:</w:t>
            </w:r>
          </w:p>
          <w:p w14:paraId="27DE8010" w14:textId="77777777" w:rsidR="00A37B92" w:rsidRPr="00C56257" w:rsidRDefault="00A37B92" w:rsidP="00C902DF">
            <w:pPr>
              <w:widowControl w:val="0"/>
              <w:tabs>
                <w:tab w:val="left" w:pos="828"/>
              </w:tabs>
              <w:autoSpaceDE w:val="0"/>
              <w:autoSpaceDN w:val="0"/>
              <w:spacing w:before="1" w:line="230" w:lineRule="auto"/>
              <w:ind w:right="103"/>
              <w:jc w:val="both"/>
              <w:rPr>
                <w:color w:val="000000" w:themeColor="text1"/>
              </w:rPr>
            </w:pPr>
            <w:r w:rsidRPr="00C56257">
              <w:rPr>
                <w:color w:val="000000" w:themeColor="text1"/>
              </w:rPr>
              <w:t>-</w:t>
            </w:r>
            <w:r w:rsidRPr="00C56257">
              <w:rPr>
                <w:color w:val="000000" w:themeColor="text1"/>
              </w:rPr>
              <w:tab/>
              <w:t>nu se</w:t>
            </w:r>
            <w:r w:rsidRPr="00C56257">
              <w:rPr>
                <w:color w:val="000000" w:themeColor="text1"/>
                <w:spacing w:val="2"/>
              </w:rPr>
              <w:t xml:space="preserve"> </w:t>
            </w:r>
            <w:r w:rsidRPr="00C56257">
              <w:rPr>
                <w:color w:val="000000" w:themeColor="text1"/>
              </w:rPr>
              <w:t>așteaptă</w:t>
            </w:r>
            <w:r w:rsidRPr="00C56257">
              <w:rPr>
                <w:color w:val="000000" w:themeColor="text1"/>
                <w:spacing w:val="2"/>
              </w:rPr>
              <w:t xml:space="preserve"> </w:t>
            </w:r>
            <w:r w:rsidRPr="00C56257">
              <w:rPr>
                <w:color w:val="000000" w:themeColor="text1"/>
              </w:rPr>
              <w:t>niciun</w:t>
            </w:r>
            <w:r w:rsidRPr="00C56257">
              <w:rPr>
                <w:color w:val="000000" w:themeColor="text1"/>
                <w:spacing w:val="1"/>
              </w:rPr>
              <w:t xml:space="preserve"> </w:t>
            </w:r>
            <w:r w:rsidRPr="00C56257">
              <w:rPr>
                <w:color w:val="000000" w:themeColor="text1"/>
              </w:rPr>
              <w:t>impact</w:t>
            </w:r>
            <w:r w:rsidRPr="00C56257">
              <w:rPr>
                <w:color w:val="000000" w:themeColor="text1"/>
                <w:spacing w:val="1"/>
              </w:rPr>
              <w:t xml:space="preserve"> </w:t>
            </w:r>
            <w:r w:rsidRPr="00C56257">
              <w:rPr>
                <w:color w:val="000000" w:themeColor="text1"/>
              </w:rPr>
              <w:t>semnificativ din</w:t>
            </w:r>
            <w:r w:rsidRPr="00C56257">
              <w:rPr>
                <w:color w:val="000000" w:themeColor="text1"/>
                <w:spacing w:val="4"/>
              </w:rPr>
              <w:t xml:space="preserve"> </w:t>
            </w:r>
            <w:r w:rsidRPr="00C56257">
              <w:rPr>
                <w:color w:val="000000" w:themeColor="text1"/>
              </w:rPr>
              <w:t>cauza amenințărilor la</w:t>
            </w:r>
            <w:r w:rsidRPr="00C56257">
              <w:rPr>
                <w:color w:val="000000" w:themeColor="text1"/>
                <w:spacing w:val="-57"/>
              </w:rPr>
              <w:t xml:space="preserve"> </w:t>
            </w:r>
            <w:r w:rsidRPr="00C56257">
              <w:rPr>
                <w:color w:val="000000" w:themeColor="text1"/>
              </w:rPr>
              <w:t>habitat</w:t>
            </w:r>
            <w:r w:rsidRPr="00C56257">
              <w:rPr>
                <w:color w:val="000000" w:themeColor="text1"/>
                <w:spacing w:val="-1"/>
              </w:rPr>
              <w:t xml:space="preserve"> </w:t>
            </w:r>
            <w:r w:rsidRPr="00C56257">
              <w:rPr>
                <w:color w:val="000000" w:themeColor="text1"/>
              </w:rPr>
              <w:t>și</w:t>
            </w:r>
            <w:r w:rsidRPr="00C56257">
              <w:rPr>
                <w:color w:val="000000" w:themeColor="text1"/>
                <w:spacing w:val="-1"/>
              </w:rPr>
              <w:t xml:space="preserve"> </w:t>
            </w:r>
            <w:r w:rsidRPr="00C56257">
              <w:rPr>
                <w:color w:val="000000" w:themeColor="text1"/>
              </w:rPr>
              <w:t>viabilitatea</w:t>
            </w:r>
            <w:r w:rsidRPr="00C56257">
              <w:rPr>
                <w:color w:val="000000" w:themeColor="text1"/>
                <w:spacing w:val="-2"/>
              </w:rPr>
              <w:t xml:space="preserve"> </w:t>
            </w:r>
            <w:r w:rsidRPr="00C56257">
              <w:rPr>
                <w:color w:val="000000" w:themeColor="text1"/>
              </w:rPr>
              <w:t>acestuia</w:t>
            </w:r>
            <w:r w:rsidRPr="00C56257">
              <w:rPr>
                <w:color w:val="000000" w:themeColor="text1"/>
                <w:spacing w:val="-1"/>
              </w:rPr>
              <w:t xml:space="preserve"> </w:t>
            </w:r>
            <w:r w:rsidRPr="00C56257">
              <w:rPr>
                <w:color w:val="000000" w:themeColor="text1"/>
              </w:rPr>
              <w:t>pe</w:t>
            </w:r>
            <w:r w:rsidRPr="00C56257">
              <w:rPr>
                <w:color w:val="000000" w:themeColor="text1"/>
                <w:spacing w:val="-2"/>
              </w:rPr>
              <w:t xml:space="preserve"> </w:t>
            </w:r>
            <w:r w:rsidRPr="00C56257">
              <w:rPr>
                <w:color w:val="000000" w:themeColor="text1"/>
              </w:rPr>
              <w:t>termen lung</w:t>
            </w:r>
            <w:r w:rsidRPr="00C56257">
              <w:rPr>
                <w:color w:val="000000" w:themeColor="text1"/>
                <w:spacing w:val="-4"/>
              </w:rPr>
              <w:t xml:space="preserve"> </w:t>
            </w:r>
            <w:r w:rsidRPr="00C56257">
              <w:rPr>
                <w:color w:val="000000" w:themeColor="text1"/>
              </w:rPr>
              <w:t>este</w:t>
            </w:r>
            <w:r w:rsidRPr="00C56257">
              <w:rPr>
                <w:color w:val="000000" w:themeColor="text1"/>
                <w:spacing w:val="1"/>
              </w:rPr>
              <w:t xml:space="preserve"> </w:t>
            </w:r>
            <w:r w:rsidRPr="00C56257">
              <w:rPr>
                <w:color w:val="000000" w:themeColor="text1"/>
              </w:rPr>
              <w:t>asigurată.</w:t>
            </w:r>
          </w:p>
          <w:p w14:paraId="1DE3A9B3" w14:textId="77777777" w:rsidR="00A37B92" w:rsidRPr="00C56257" w:rsidRDefault="00A37B92" w:rsidP="00C902DF">
            <w:pPr>
              <w:widowControl w:val="0"/>
              <w:autoSpaceDE w:val="0"/>
              <w:autoSpaceDN w:val="0"/>
              <w:spacing w:before="1"/>
              <w:jc w:val="both"/>
              <w:rPr>
                <w:color w:val="000000" w:themeColor="text1"/>
              </w:rPr>
            </w:pPr>
            <w:r w:rsidRPr="00C56257">
              <w:rPr>
                <w:color w:val="000000" w:themeColor="text1"/>
              </w:rPr>
              <w:t>Informațiisuplimentare:</w:t>
            </w:r>
          </w:p>
          <w:p w14:paraId="41F2013C" w14:textId="77777777" w:rsidR="00A37B92" w:rsidRPr="00C56257" w:rsidRDefault="00A37B92" w:rsidP="00C902DF">
            <w:pPr>
              <w:widowControl w:val="0"/>
              <w:autoSpaceDE w:val="0"/>
              <w:autoSpaceDN w:val="0"/>
              <w:spacing w:line="270" w:lineRule="atLeast"/>
              <w:ind w:right="101"/>
              <w:jc w:val="both"/>
              <w:rPr>
                <w:color w:val="000000" w:themeColor="text1"/>
              </w:rPr>
            </w:pPr>
            <w:r w:rsidRPr="00C56257">
              <w:rPr>
                <w:color w:val="000000" w:themeColor="text1"/>
              </w:rPr>
              <w:t>Perspectivele de viitor ar trebui evaluate „favorabile” dacă toți parametrii</w:t>
            </w:r>
            <w:r w:rsidRPr="00C56257">
              <w:rPr>
                <w:color w:val="000000" w:themeColor="text1"/>
                <w:spacing w:val="1"/>
              </w:rPr>
              <w:t xml:space="preserve"> </w:t>
            </w:r>
            <w:r w:rsidRPr="00C56257">
              <w:rPr>
                <w:color w:val="000000" w:themeColor="text1"/>
              </w:rPr>
              <w:t>au perspective bune (câmpul 9.1) sau dacă perspectivele unui parametru</w:t>
            </w:r>
            <w:r w:rsidRPr="00C56257">
              <w:rPr>
                <w:color w:val="000000" w:themeColor="text1"/>
                <w:spacing w:val="1"/>
              </w:rPr>
              <w:t xml:space="preserve"> </w:t>
            </w:r>
            <w:r w:rsidRPr="00C56257">
              <w:rPr>
                <w:color w:val="000000" w:themeColor="text1"/>
              </w:rPr>
              <w:t>sunt</w:t>
            </w:r>
            <w:r w:rsidRPr="00C56257">
              <w:rPr>
                <w:color w:val="000000" w:themeColor="text1"/>
                <w:spacing w:val="-1"/>
              </w:rPr>
              <w:t xml:space="preserve"> </w:t>
            </w:r>
            <w:r w:rsidRPr="00C56257">
              <w:rPr>
                <w:color w:val="000000" w:themeColor="text1"/>
              </w:rPr>
              <w:t>„necunoscute”,</w:t>
            </w:r>
            <w:r w:rsidRPr="00C56257">
              <w:rPr>
                <w:color w:val="000000" w:themeColor="text1"/>
                <w:spacing w:val="-1"/>
              </w:rPr>
              <w:t xml:space="preserve"> </w:t>
            </w:r>
            <w:r w:rsidRPr="00C56257">
              <w:rPr>
                <w:color w:val="000000" w:themeColor="text1"/>
              </w:rPr>
              <w:t>în timp</w:t>
            </w:r>
            <w:r w:rsidRPr="00C56257">
              <w:rPr>
                <w:color w:val="000000" w:themeColor="text1"/>
                <w:spacing w:val="-1"/>
              </w:rPr>
              <w:t xml:space="preserve"> </w:t>
            </w:r>
            <w:r w:rsidRPr="00C56257">
              <w:rPr>
                <w:color w:val="000000" w:themeColor="text1"/>
              </w:rPr>
              <w:t>ce</w:t>
            </w:r>
            <w:r w:rsidRPr="00C56257">
              <w:rPr>
                <w:color w:val="000000" w:themeColor="text1"/>
                <w:spacing w:val="-1"/>
              </w:rPr>
              <w:t xml:space="preserve"> </w:t>
            </w:r>
            <w:r w:rsidRPr="00C56257">
              <w:rPr>
                <w:color w:val="000000" w:themeColor="text1"/>
              </w:rPr>
              <w:t>ceilalți</w:t>
            </w:r>
            <w:r w:rsidRPr="00C56257">
              <w:rPr>
                <w:color w:val="000000" w:themeColor="text1"/>
                <w:spacing w:val="-1"/>
              </w:rPr>
              <w:t xml:space="preserve"> </w:t>
            </w:r>
            <w:r w:rsidRPr="00C56257">
              <w:rPr>
                <w:color w:val="000000" w:themeColor="text1"/>
              </w:rPr>
              <w:t>parametri au</w:t>
            </w:r>
            <w:r w:rsidRPr="00C56257">
              <w:rPr>
                <w:color w:val="000000" w:themeColor="text1"/>
                <w:spacing w:val="-1"/>
              </w:rPr>
              <w:t xml:space="preserve"> </w:t>
            </w:r>
            <w:r w:rsidRPr="00C56257">
              <w:rPr>
                <w:color w:val="000000" w:themeColor="text1"/>
              </w:rPr>
              <w:t>perspective</w:t>
            </w:r>
            <w:r w:rsidRPr="00C56257">
              <w:rPr>
                <w:color w:val="000000" w:themeColor="text1"/>
                <w:spacing w:val="-1"/>
              </w:rPr>
              <w:t xml:space="preserve"> </w:t>
            </w:r>
            <w:r w:rsidRPr="00C56257">
              <w:rPr>
                <w:color w:val="000000" w:themeColor="text1"/>
              </w:rPr>
              <w:t>bune.</w:t>
            </w:r>
          </w:p>
        </w:tc>
      </w:tr>
      <w:tr w:rsidR="00A37B92" w:rsidRPr="00C56257" w14:paraId="650AB24F" w14:textId="77777777" w:rsidTr="00C902DF">
        <w:trPr>
          <w:trHeight w:val="3317"/>
        </w:trPr>
        <w:tc>
          <w:tcPr>
            <w:tcW w:w="1810" w:type="dxa"/>
          </w:tcPr>
          <w:p w14:paraId="5DA7A673" w14:textId="77777777" w:rsidR="00A37B92" w:rsidRPr="00C56257" w:rsidRDefault="00A37B92" w:rsidP="00C902DF">
            <w:pPr>
              <w:widowControl w:val="0"/>
              <w:autoSpaceDE w:val="0"/>
              <w:autoSpaceDN w:val="0"/>
              <w:jc w:val="both"/>
              <w:rPr>
                <w:color w:val="000000" w:themeColor="text1"/>
              </w:rPr>
            </w:pPr>
          </w:p>
          <w:p w14:paraId="03A97800" w14:textId="77777777" w:rsidR="00A37B92" w:rsidRPr="00C56257" w:rsidRDefault="00A37B92" w:rsidP="00C902DF">
            <w:pPr>
              <w:widowControl w:val="0"/>
              <w:autoSpaceDE w:val="0"/>
              <w:autoSpaceDN w:val="0"/>
              <w:jc w:val="both"/>
              <w:rPr>
                <w:color w:val="000000" w:themeColor="text1"/>
              </w:rPr>
            </w:pPr>
          </w:p>
          <w:p w14:paraId="176D52E5" w14:textId="77777777" w:rsidR="00A37B92" w:rsidRPr="00C56257" w:rsidRDefault="00A37B92" w:rsidP="00C902DF">
            <w:pPr>
              <w:widowControl w:val="0"/>
              <w:autoSpaceDE w:val="0"/>
              <w:autoSpaceDN w:val="0"/>
              <w:jc w:val="both"/>
              <w:rPr>
                <w:color w:val="000000" w:themeColor="text1"/>
              </w:rPr>
            </w:pPr>
          </w:p>
          <w:p w14:paraId="5811EC30" w14:textId="77777777" w:rsidR="00A37B92" w:rsidRPr="00C56257" w:rsidRDefault="00A37B92" w:rsidP="00C902DF">
            <w:pPr>
              <w:widowControl w:val="0"/>
              <w:autoSpaceDE w:val="0"/>
              <w:autoSpaceDN w:val="0"/>
              <w:jc w:val="both"/>
              <w:rPr>
                <w:color w:val="000000" w:themeColor="text1"/>
              </w:rPr>
            </w:pPr>
          </w:p>
          <w:p w14:paraId="429ED4D7" w14:textId="77777777" w:rsidR="00A37B92" w:rsidRPr="00C56257" w:rsidRDefault="00A37B92" w:rsidP="00C902DF">
            <w:pPr>
              <w:widowControl w:val="0"/>
              <w:autoSpaceDE w:val="0"/>
              <w:autoSpaceDN w:val="0"/>
              <w:spacing w:before="179"/>
              <w:ind w:right="253"/>
              <w:jc w:val="both"/>
              <w:rPr>
                <w:color w:val="000000" w:themeColor="text1"/>
              </w:rPr>
            </w:pPr>
            <w:r w:rsidRPr="00C56257">
              <w:rPr>
                <w:color w:val="000000" w:themeColor="text1"/>
              </w:rPr>
              <w:t>Nefavorabil-</w:t>
            </w:r>
            <w:r w:rsidRPr="00C56257">
              <w:rPr>
                <w:color w:val="000000" w:themeColor="text1"/>
                <w:spacing w:val="1"/>
              </w:rPr>
              <w:t xml:space="preserve"> </w:t>
            </w:r>
            <w:r w:rsidRPr="00C56257">
              <w:rPr>
                <w:color w:val="000000" w:themeColor="text1"/>
              </w:rPr>
              <w:t>inadecvat</w:t>
            </w:r>
            <w:r w:rsidRPr="00C56257">
              <w:rPr>
                <w:color w:val="000000" w:themeColor="text1"/>
                <w:spacing w:val="-14"/>
              </w:rPr>
              <w:t xml:space="preserve"> </w:t>
            </w:r>
            <w:r w:rsidRPr="00C56257">
              <w:rPr>
                <w:color w:val="000000" w:themeColor="text1"/>
              </w:rPr>
              <w:t>(U1)</w:t>
            </w:r>
          </w:p>
        </w:tc>
        <w:tc>
          <w:tcPr>
            <w:tcW w:w="7480" w:type="dxa"/>
          </w:tcPr>
          <w:p w14:paraId="6258090E" w14:textId="77777777" w:rsidR="00A37B92" w:rsidRPr="00C56257" w:rsidRDefault="00A37B92" w:rsidP="00C902DF">
            <w:pPr>
              <w:widowControl w:val="0"/>
              <w:autoSpaceDE w:val="0"/>
              <w:autoSpaceDN w:val="0"/>
              <w:ind w:right="96"/>
              <w:jc w:val="both"/>
              <w:rPr>
                <w:color w:val="000000" w:themeColor="text1"/>
              </w:rPr>
            </w:pPr>
            <w:r w:rsidRPr="00C56257">
              <w:rPr>
                <w:color w:val="000000" w:themeColor="text1"/>
              </w:rPr>
              <w:t>Conform</w:t>
            </w:r>
            <w:r w:rsidRPr="00C56257">
              <w:rPr>
                <w:color w:val="000000" w:themeColor="text1"/>
                <w:spacing w:val="43"/>
              </w:rPr>
              <w:t xml:space="preserve"> </w:t>
            </w:r>
            <w:r w:rsidRPr="00C56257">
              <w:rPr>
                <w:color w:val="000000" w:themeColor="text1"/>
              </w:rPr>
              <w:t>matricei</w:t>
            </w:r>
            <w:r w:rsidRPr="00C56257">
              <w:rPr>
                <w:color w:val="000000" w:themeColor="text1"/>
                <w:spacing w:val="44"/>
              </w:rPr>
              <w:t xml:space="preserve"> </w:t>
            </w:r>
            <w:r w:rsidRPr="00C56257">
              <w:rPr>
                <w:color w:val="000000" w:themeColor="text1"/>
              </w:rPr>
              <w:t>de</w:t>
            </w:r>
            <w:r w:rsidRPr="00C56257">
              <w:rPr>
                <w:color w:val="000000" w:themeColor="text1"/>
                <w:spacing w:val="44"/>
              </w:rPr>
              <w:t xml:space="preserve"> </w:t>
            </w:r>
            <w:r w:rsidRPr="00C56257">
              <w:rPr>
                <w:color w:val="000000" w:themeColor="text1"/>
              </w:rPr>
              <w:t>evaluare</w:t>
            </w:r>
            <w:r w:rsidRPr="00C56257">
              <w:rPr>
                <w:color w:val="000000" w:themeColor="text1"/>
                <w:spacing w:val="45"/>
              </w:rPr>
              <w:t xml:space="preserve"> </w:t>
            </w:r>
            <w:r w:rsidRPr="00C56257">
              <w:rPr>
                <w:color w:val="000000" w:themeColor="text1"/>
              </w:rPr>
              <w:t>(anexa</w:t>
            </w:r>
            <w:r w:rsidRPr="00C56257">
              <w:rPr>
                <w:color w:val="000000" w:themeColor="text1"/>
                <w:spacing w:val="42"/>
              </w:rPr>
              <w:t xml:space="preserve"> </w:t>
            </w:r>
            <w:r w:rsidRPr="00C56257">
              <w:rPr>
                <w:color w:val="000000" w:themeColor="text1"/>
              </w:rPr>
              <w:t>E),</w:t>
            </w:r>
            <w:r w:rsidRPr="00C56257">
              <w:rPr>
                <w:color w:val="000000" w:themeColor="text1"/>
                <w:spacing w:val="44"/>
              </w:rPr>
              <w:t xml:space="preserve"> </w:t>
            </w:r>
            <w:r w:rsidRPr="00C56257">
              <w:rPr>
                <w:color w:val="000000" w:themeColor="text1"/>
              </w:rPr>
              <w:t>statutul</w:t>
            </w:r>
            <w:r w:rsidRPr="00C56257">
              <w:rPr>
                <w:color w:val="000000" w:themeColor="text1"/>
                <w:spacing w:val="43"/>
              </w:rPr>
              <w:t xml:space="preserve"> </w:t>
            </w:r>
            <w:r w:rsidRPr="00C56257">
              <w:rPr>
                <w:color w:val="000000" w:themeColor="text1"/>
              </w:rPr>
              <w:t>perspectivelor</w:t>
            </w:r>
            <w:r w:rsidRPr="00C56257">
              <w:rPr>
                <w:color w:val="000000" w:themeColor="text1"/>
                <w:spacing w:val="44"/>
              </w:rPr>
              <w:t xml:space="preserve"> </w:t>
            </w:r>
            <w:r w:rsidRPr="00C56257">
              <w:rPr>
                <w:color w:val="000000" w:themeColor="text1"/>
              </w:rPr>
              <w:t>viitoare</w:t>
            </w:r>
            <w:r w:rsidRPr="00C56257">
              <w:rPr>
                <w:color w:val="000000" w:themeColor="text1"/>
                <w:spacing w:val="-57"/>
              </w:rPr>
              <w:t xml:space="preserve"> </w:t>
            </w:r>
            <w:r w:rsidRPr="00C56257">
              <w:rPr>
                <w:color w:val="000000" w:themeColor="text1"/>
              </w:rPr>
              <w:t>este</w:t>
            </w:r>
            <w:r w:rsidRPr="00C56257">
              <w:rPr>
                <w:color w:val="000000" w:themeColor="text1"/>
                <w:spacing w:val="-2"/>
              </w:rPr>
              <w:t xml:space="preserve"> </w:t>
            </w:r>
            <w:r w:rsidRPr="00C56257">
              <w:rPr>
                <w:color w:val="000000" w:themeColor="text1"/>
              </w:rPr>
              <w:t>„nefavorabil-inadecvat” dacă:</w:t>
            </w:r>
          </w:p>
          <w:p w14:paraId="66604CD4" w14:textId="77777777" w:rsidR="00A37B92" w:rsidRPr="00C56257" w:rsidRDefault="00A37B92" w:rsidP="00C902DF">
            <w:pPr>
              <w:widowControl w:val="0"/>
              <w:tabs>
                <w:tab w:val="left" w:pos="828"/>
              </w:tabs>
              <w:autoSpaceDE w:val="0"/>
              <w:autoSpaceDN w:val="0"/>
              <w:spacing w:line="287" w:lineRule="exact"/>
              <w:jc w:val="both"/>
              <w:rPr>
                <w:color w:val="000000" w:themeColor="text1"/>
              </w:rPr>
            </w:pPr>
            <w:r w:rsidRPr="00C56257">
              <w:rPr>
                <w:color w:val="000000" w:themeColor="text1"/>
              </w:rPr>
              <w:t>-</w:t>
            </w:r>
            <w:r w:rsidRPr="00C56257">
              <w:rPr>
                <w:color w:val="000000" w:themeColor="text1"/>
              </w:rPr>
              <w:tab/>
              <w:t>orice</w:t>
            </w:r>
            <w:r w:rsidRPr="00C56257">
              <w:rPr>
                <w:color w:val="000000" w:themeColor="text1"/>
                <w:spacing w:val="53"/>
              </w:rPr>
              <w:t xml:space="preserve"> </w:t>
            </w:r>
            <w:r w:rsidRPr="00C56257">
              <w:rPr>
                <w:color w:val="000000" w:themeColor="text1"/>
              </w:rPr>
              <w:t>altă</w:t>
            </w:r>
            <w:r w:rsidRPr="00C56257">
              <w:rPr>
                <w:color w:val="000000" w:themeColor="text1"/>
                <w:spacing w:val="55"/>
              </w:rPr>
              <w:t xml:space="preserve"> </w:t>
            </w:r>
            <w:r w:rsidRPr="00C56257">
              <w:rPr>
                <w:color w:val="000000" w:themeColor="text1"/>
              </w:rPr>
              <w:t>combinație</w:t>
            </w:r>
            <w:r w:rsidRPr="00C56257">
              <w:rPr>
                <w:color w:val="000000" w:themeColor="text1"/>
                <w:spacing w:val="54"/>
              </w:rPr>
              <w:t xml:space="preserve"> </w:t>
            </w:r>
            <w:r w:rsidRPr="00C56257">
              <w:rPr>
                <w:color w:val="000000" w:themeColor="text1"/>
              </w:rPr>
              <w:t>(o</w:t>
            </w:r>
            <w:r w:rsidRPr="00C56257">
              <w:rPr>
                <w:color w:val="000000" w:themeColor="text1"/>
                <w:spacing w:val="57"/>
              </w:rPr>
              <w:t xml:space="preserve"> </w:t>
            </w:r>
            <w:r w:rsidRPr="00C56257">
              <w:rPr>
                <w:color w:val="000000" w:themeColor="text1"/>
              </w:rPr>
              <w:t>altă</w:t>
            </w:r>
            <w:r w:rsidRPr="00C56257">
              <w:rPr>
                <w:color w:val="000000" w:themeColor="text1"/>
                <w:spacing w:val="54"/>
              </w:rPr>
              <w:t xml:space="preserve"> </w:t>
            </w:r>
            <w:r w:rsidRPr="00C56257">
              <w:rPr>
                <w:color w:val="000000" w:themeColor="text1"/>
              </w:rPr>
              <w:t>combinație</w:t>
            </w:r>
            <w:r w:rsidRPr="00C56257">
              <w:rPr>
                <w:color w:val="000000" w:themeColor="text1"/>
                <w:spacing w:val="55"/>
              </w:rPr>
              <w:t xml:space="preserve"> </w:t>
            </w:r>
            <w:r w:rsidRPr="00C56257">
              <w:rPr>
                <w:color w:val="000000" w:themeColor="text1"/>
              </w:rPr>
              <w:t>de</w:t>
            </w:r>
            <w:r w:rsidRPr="00C56257">
              <w:rPr>
                <w:color w:val="000000" w:themeColor="text1"/>
                <w:spacing w:val="54"/>
              </w:rPr>
              <w:t xml:space="preserve"> </w:t>
            </w:r>
            <w:r w:rsidRPr="00C56257">
              <w:rPr>
                <w:color w:val="000000" w:themeColor="text1"/>
              </w:rPr>
              <w:t>criterii</w:t>
            </w:r>
            <w:r w:rsidRPr="00C56257">
              <w:rPr>
                <w:color w:val="000000" w:themeColor="text1"/>
                <w:spacing w:val="57"/>
              </w:rPr>
              <w:t xml:space="preserve"> </w:t>
            </w:r>
            <w:r w:rsidRPr="00C56257">
              <w:rPr>
                <w:color w:val="000000" w:themeColor="text1"/>
              </w:rPr>
              <w:t>decât</w:t>
            </w:r>
            <w:r w:rsidRPr="00C56257">
              <w:rPr>
                <w:color w:val="000000" w:themeColor="text1"/>
                <w:spacing w:val="56"/>
              </w:rPr>
              <w:t xml:space="preserve"> </w:t>
            </w:r>
            <w:r w:rsidRPr="00C56257">
              <w:rPr>
                <w:color w:val="000000" w:themeColor="text1"/>
              </w:rPr>
              <w:t>pentru</w:t>
            </w:r>
          </w:p>
          <w:p w14:paraId="17704CB1" w14:textId="77777777" w:rsidR="00A37B92" w:rsidRPr="00C56257" w:rsidRDefault="00A37B92" w:rsidP="00C902DF">
            <w:pPr>
              <w:widowControl w:val="0"/>
              <w:autoSpaceDE w:val="0"/>
              <w:autoSpaceDN w:val="0"/>
              <w:spacing w:line="270" w:lineRule="exact"/>
              <w:jc w:val="both"/>
              <w:rPr>
                <w:color w:val="000000" w:themeColor="text1"/>
              </w:rPr>
            </w:pPr>
            <w:r w:rsidRPr="00C56257">
              <w:rPr>
                <w:color w:val="000000" w:themeColor="text1"/>
              </w:rPr>
              <w:t>„favorabil”</w:t>
            </w:r>
            <w:r w:rsidRPr="00C56257">
              <w:rPr>
                <w:color w:val="000000" w:themeColor="text1"/>
                <w:spacing w:val="-3"/>
              </w:rPr>
              <w:t xml:space="preserve"> </w:t>
            </w:r>
            <w:r w:rsidRPr="00C56257">
              <w:rPr>
                <w:color w:val="000000" w:themeColor="text1"/>
              </w:rPr>
              <w:t>sau</w:t>
            </w:r>
            <w:r w:rsidRPr="00C56257">
              <w:rPr>
                <w:color w:val="000000" w:themeColor="text1"/>
                <w:spacing w:val="-2"/>
              </w:rPr>
              <w:t xml:space="preserve"> </w:t>
            </w:r>
            <w:r w:rsidRPr="00C56257">
              <w:rPr>
                <w:color w:val="000000" w:themeColor="text1"/>
              </w:rPr>
              <w:t>„nefavorabil-rău”).</w:t>
            </w:r>
          </w:p>
          <w:p w14:paraId="4A3AD673" w14:textId="77777777" w:rsidR="00A37B92" w:rsidRPr="00C56257" w:rsidRDefault="00A37B92" w:rsidP="00C902DF">
            <w:pPr>
              <w:widowControl w:val="0"/>
              <w:autoSpaceDE w:val="0"/>
              <w:autoSpaceDN w:val="0"/>
              <w:jc w:val="both"/>
              <w:rPr>
                <w:color w:val="000000" w:themeColor="text1"/>
              </w:rPr>
            </w:pPr>
            <w:r w:rsidRPr="00C56257">
              <w:rPr>
                <w:color w:val="000000" w:themeColor="text1"/>
              </w:rPr>
              <w:t>Informațiisuplimentare:</w:t>
            </w:r>
          </w:p>
          <w:p w14:paraId="4E41E3CD" w14:textId="77777777" w:rsidR="00A37B92" w:rsidRPr="00C56257" w:rsidRDefault="00A37B92" w:rsidP="00C902DF">
            <w:pPr>
              <w:widowControl w:val="0"/>
              <w:tabs>
                <w:tab w:val="left" w:pos="1163"/>
                <w:tab w:val="left" w:pos="1594"/>
                <w:tab w:val="left" w:pos="2611"/>
                <w:tab w:val="left" w:pos="3055"/>
                <w:tab w:val="left" w:pos="3967"/>
                <w:tab w:val="left" w:pos="4811"/>
                <w:tab w:val="left" w:pos="5842"/>
                <w:tab w:val="left" w:pos="6657"/>
              </w:tabs>
              <w:autoSpaceDE w:val="0"/>
              <w:autoSpaceDN w:val="0"/>
              <w:jc w:val="both"/>
              <w:rPr>
                <w:color w:val="000000" w:themeColor="text1"/>
              </w:rPr>
            </w:pPr>
            <w:r w:rsidRPr="00C56257">
              <w:rPr>
                <w:color w:val="000000" w:themeColor="text1"/>
              </w:rPr>
              <w:t>Matricea</w:t>
            </w:r>
            <w:r w:rsidRPr="00C56257">
              <w:rPr>
                <w:color w:val="000000" w:themeColor="text1"/>
              </w:rPr>
              <w:tab/>
              <w:t>de</w:t>
            </w:r>
            <w:r w:rsidRPr="00C56257">
              <w:rPr>
                <w:color w:val="000000" w:themeColor="text1"/>
              </w:rPr>
              <w:tab/>
              <w:t>evaluare</w:t>
            </w:r>
            <w:r w:rsidRPr="00C56257">
              <w:rPr>
                <w:color w:val="000000" w:themeColor="text1"/>
              </w:rPr>
              <w:tab/>
              <w:t>nu</w:t>
            </w:r>
            <w:r w:rsidRPr="00C56257">
              <w:rPr>
                <w:color w:val="000000" w:themeColor="text1"/>
              </w:rPr>
              <w:tab/>
              <w:t>include</w:t>
            </w:r>
            <w:r w:rsidRPr="00C56257">
              <w:rPr>
                <w:color w:val="000000" w:themeColor="text1"/>
              </w:rPr>
              <w:tab/>
              <w:t>criterii</w:t>
            </w:r>
            <w:r w:rsidRPr="00C56257">
              <w:rPr>
                <w:color w:val="000000" w:themeColor="text1"/>
              </w:rPr>
              <w:tab/>
              <w:t>explicite</w:t>
            </w:r>
            <w:r w:rsidRPr="00C56257">
              <w:rPr>
                <w:color w:val="000000" w:themeColor="text1"/>
              </w:rPr>
              <w:tab/>
              <w:t>pentru</w:t>
            </w:r>
            <w:r w:rsidRPr="00C56257">
              <w:rPr>
                <w:color w:val="000000" w:themeColor="text1"/>
              </w:rPr>
              <w:tab/>
              <w:t>statutul</w:t>
            </w:r>
          </w:p>
          <w:p w14:paraId="50CD0A23" w14:textId="77777777" w:rsidR="00A37B92" w:rsidRPr="00C56257" w:rsidRDefault="00A37B92" w:rsidP="00C902DF">
            <w:pPr>
              <w:widowControl w:val="0"/>
              <w:autoSpaceDE w:val="0"/>
              <w:autoSpaceDN w:val="0"/>
              <w:spacing w:line="270" w:lineRule="atLeast"/>
              <w:ind w:right="98"/>
              <w:jc w:val="both"/>
              <w:rPr>
                <w:color w:val="000000" w:themeColor="text1"/>
              </w:rPr>
            </w:pPr>
            <w:r w:rsidRPr="00C56257">
              <w:rPr>
                <w:color w:val="000000" w:themeColor="text1"/>
              </w:rPr>
              <w:t>„nefavorabil-inadecvat” al perspectivelor viitoare. Cu toate acestea, ținând</w:t>
            </w:r>
            <w:r w:rsidRPr="00C56257">
              <w:rPr>
                <w:color w:val="000000" w:themeColor="text1"/>
                <w:spacing w:val="1"/>
              </w:rPr>
              <w:t xml:space="preserve"> </w:t>
            </w:r>
            <w:r w:rsidRPr="00C56257">
              <w:rPr>
                <w:color w:val="000000" w:themeColor="text1"/>
              </w:rPr>
              <w:t>cont de metoda de evaluare a perspectivelor de viitor propuse în aceste</w:t>
            </w:r>
            <w:r w:rsidRPr="00C56257">
              <w:rPr>
                <w:color w:val="000000" w:themeColor="text1"/>
                <w:spacing w:val="1"/>
              </w:rPr>
              <w:t xml:space="preserve"> </w:t>
            </w:r>
            <w:r w:rsidRPr="00C56257">
              <w:rPr>
                <w:color w:val="000000" w:themeColor="text1"/>
              </w:rPr>
              <w:t>orientări,</w:t>
            </w:r>
            <w:r w:rsidRPr="00C56257">
              <w:rPr>
                <w:color w:val="000000" w:themeColor="text1"/>
                <w:spacing w:val="1"/>
              </w:rPr>
              <w:t xml:space="preserve"> </w:t>
            </w:r>
            <w:r w:rsidRPr="00C56257">
              <w:rPr>
                <w:color w:val="000000" w:themeColor="text1"/>
              </w:rPr>
              <w:t>statutul</w:t>
            </w:r>
            <w:r w:rsidRPr="00C56257">
              <w:rPr>
                <w:color w:val="000000" w:themeColor="text1"/>
                <w:spacing w:val="1"/>
              </w:rPr>
              <w:t xml:space="preserve"> </w:t>
            </w:r>
            <w:r w:rsidRPr="00C56257">
              <w:rPr>
                <w:color w:val="000000" w:themeColor="text1"/>
              </w:rPr>
              <w:t>ar</w:t>
            </w:r>
            <w:r w:rsidRPr="00C56257">
              <w:rPr>
                <w:color w:val="000000" w:themeColor="text1"/>
                <w:spacing w:val="1"/>
              </w:rPr>
              <w:t xml:space="preserve"> </w:t>
            </w:r>
            <w:r w:rsidRPr="00C56257">
              <w:rPr>
                <w:color w:val="000000" w:themeColor="text1"/>
              </w:rPr>
              <w:t>trebui</w:t>
            </w:r>
            <w:r w:rsidRPr="00C56257">
              <w:rPr>
                <w:color w:val="000000" w:themeColor="text1"/>
                <w:spacing w:val="1"/>
              </w:rPr>
              <w:t xml:space="preserve"> </w:t>
            </w:r>
            <w:r w:rsidRPr="00C56257">
              <w:rPr>
                <w:color w:val="000000" w:themeColor="text1"/>
              </w:rPr>
              <w:t>considerat</w:t>
            </w:r>
            <w:r w:rsidRPr="00C56257">
              <w:rPr>
                <w:color w:val="000000" w:themeColor="text1"/>
                <w:spacing w:val="1"/>
              </w:rPr>
              <w:t xml:space="preserve"> </w:t>
            </w:r>
            <w:r w:rsidRPr="00C56257">
              <w:rPr>
                <w:color w:val="000000" w:themeColor="text1"/>
              </w:rPr>
              <w:t>„nefavorabil-inadecvat”</w:t>
            </w:r>
            <w:r w:rsidRPr="00C56257">
              <w:rPr>
                <w:color w:val="000000" w:themeColor="text1"/>
                <w:spacing w:val="1"/>
              </w:rPr>
              <w:t xml:space="preserve"> </w:t>
            </w:r>
            <w:r w:rsidRPr="00C56257">
              <w:rPr>
                <w:color w:val="000000" w:themeColor="text1"/>
              </w:rPr>
              <w:t>dacă</w:t>
            </w:r>
            <w:r w:rsidRPr="00C56257">
              <w:rPr>
                <w:color w:val="000000" w:themeColor="text1"/>
                <w:spacing w:val="1"/>
              </w:rPr>
              <w:t xml:space="preserve"> </w:t>
            </w:r>
            <w:r w:rsidRPr="00C56257">
              <w:rPr>
                <w:color w:val="000000" w:themeColor="text1"/>
              </w:rPr>
              <w:t>perspectivele unuia sau mai multor parametri (câmpul 9.1) sunt „sărace”,</w:t>
            </w:r>
            <w:r w:rsidRPr="00C56257">
              <w:rPr>
                <w:color w:val="000000" w:themeColor="text1"/>
                <w:spacing w:val="1"/>
              </w:rPr>
              <w:t xml:space="preserve"> </w:t>
            </w:r>
            <w:r w:rsidRPr="00C56257">
              <w:rPr>
                <w:color w:val="000000" w:themeColor="text1"/>
              </w:rPr>
              <w:t>niciunul nu are perspective „proaste”. și există cel puțin un parametru cu</w:t>
            </w:r>
            <w:r w:rsidRPr="00C56257">
              <w:rPr>
                <w:color w:val="000000" w:themeColor="text1"/>
                <w:spacing w:val="1"/>
              </w:rPr>
              <w:t xml:space="preserve"> </w:t>
            </w:r>
            <w:r w:rsidRPr="00C56257">
              <w:rPr>
                <w:color w:val="000000" w:themeColor="text1"/>
              </w:rPr>
              <w:t>perspective</w:t>
            </w:r>
            <w:r w:rsidRPr="00C56257">
              <w:rPr>
                <w:color w:val="000000" w:themeColor="text1"/>
                <w:spacing w:val="-2"/>
              </w:rPr>
              <w:t xml:space="preserve"> </w:t>
            </w:r>
            <w:r w:rsidRPr="00C56257">
              <w:rPr>
                <w:color w:val="000000" w:themeColor="text1"/>
              </w:rPr>
              <w:t>„necunoscute”.</w:t>
            </w:r>
          </w:p>
        </w:tc>
      </w:tr>
      <w:tr w:rsidR="00A37B92" w:rsidRPr="00C56257" w14:paraId="07DE32C3" w14:textId="77777777" w:rsidTr="00C902DF">
        <w:trPr>
          <w:trHeight w:val="1384"/>
        </w:trPr>
        <w:tc>
          <w:tcPr>
            <w:tcW w:w="1810" w:type="dxa"/>
          </w:tcPr>
          <w:p w14:paraId="6667797B" w14:textId="77777777" w:rsidR="00A37B92" w:rsidRPr="00C56257" w:rsidRDefault="00A37B92" w:rsidP="00C902DF">
            <w:pPr>
              <w:widowControl w:val="0"/>
              <w:autoSpaceDE w:val="0"/>
              <w:autoSpaceDN w:val="0"/>
              <w:spacing w:before="4"/>
              <w:jc w:val="both"/>
              <w:rPr>
                <w:color w:val="000000" w:themeColor="text1"/>
              </w:rPr>
            </w:pPr>
          </w:p>
          <w:p w14:paraId="2AAC5C65" w14:textId="77777777" w:rsidR="00A37B92" w:rsidRPr="00C56257" w:rsidRDefault="00A37B92" w:rsidP="00C902DF">
            <w:pPr>
              <w:widowControl w:val="0"/>
              <w:autoSpaceDE w:val="0"/>
              <w:autoSpaceDN w:val="0"/>
              <w:spacing w:before="1"/>
              <w:ind w:right="154"/>
              <w:jc w:val="both"/>
              <w:rPr>
                <w:color w:val="000000" w:themeColor="text1"/>
              </w:rPr>
            </w:pPr>
            <w:r w:rsidRPr="00C56257">
              <w:rPr>
                <w:color w:val="000000" w:themeColor="text1"/>
                <w:spacing w:val="-1"/>
              </w:rPr>
              <w:t>Nefavorabil-rău</w:t>
            </w:r>
            <w:r w:rsidRPr="00C56257">
              <w:rPr>
                <w:color w:val="000000" w:themeColor="text1"/>
                <w:spacing w:val="-57"/>
              </w:rPr>
              <w:t xml:space="preserve"> </w:t>
            </w:r>
            <w:r w:rsidRPr="00C56257">
              <w:rPr>
                <w:color w:val="000000" w:themeColor="text1"/>
              </w:rPr>
              <w:t>(U2)</w:t>
            </w:r>
          </w:p>
        </w:tc>
        <w:tc>
          <w:tcPr>
            <w:tcW w:w="7480" w:type="dxa"/>
          </w:tcPr>
          <w:p w14:paraId="31615A12" w14:textId="77777777" w:rsidR="00A37B92" w:rsidRPr="00C56257" w:rsidRDefault="00A37B92" w:rsidP="00C902DF">
            <w:pPr>
              <w:widowControl w:val="0"/>
              <w:autoSpaceDE w:val="0"/>
              <w:autoSpaceDN w:val="0"/>
              <w:ind w:right="100"/>
              <w:jc w:val="both"/>
              <w:rPr>
                <w:color w:val="000000" w:themeColor="text1"/>
              </w:rPr>
            </w:pPr>
            <w:r w:rsidRPr="00C56257">
              <w:rPr>
                <w:color w:val="000000" w:themeColor="text1"/>
              </w:rPr>
              <w:t>Conform matricei de evaluare (anexa E), statutul perspectivelor de viitor</w:t>
            </w:r>
            <w:r w:rsidRPr="00C56257">
              <w:rPr>
                <w:color w:val="000000" w:themeColor="text1"/>
                <w:spacing w:val="1"/>
              </w:rPr>
              <w:t xml:space="preserve"> </w:t>
            </w:r>
            <w:r w:rsidRPr="00C56257">
              <w:rPr>
                <w:color w:val="000000" w:themeColor="text1"/>
              </w:rPr>
              <w:t>este</w:t>
            </w:r>
            <w:r w:rsidRPr="00C56257">
              <w:rPr>
                <w:color w:val="000000" w:themeColor="text1"/>
                <w:spacing w:val="-2"/>
              </w:rPr>
              <w:t xml:space="preserve"> </w:t>
            </w:r>
            <w:r w:rsidRPr="00C56257">
              <w:rPr>
                <w:color w:val="000000" w:themeColor="text1"/>
              </w:rPr>
              <w:t>„nefavorabil-rău”</w:t>
            </w:r>
            <w:r w:rsidRPr="00C56257">
              <w:rPr>
                <w:color w:val="000000" w:themeColor="text1"/>
                <w:spacing w:val="-1"/>
              </w:rPr>
              <w:t xml:space="preserve"> </w:t>
            </w:r>
            <w:r w:rsidRPr="00C56257">
              <w:rPr>
                <w:color w:val="000000" w:themeColor="text1"/>
              </w:rPr>
              <w:t>dacă:</w:t>
            </w:r>
          </w:p>
          <w:p w14:paraId="7EC93409" w14:textId="77777777" w:rsidR="00A37B92" w:rsidRPr="00C56257" w:rsidRDefault="00A37B92" w:rsidP="00C902DF">
            <w:pPr>
              <w:widowControl w:val="0"/>
              <w:autoSpaceDE w:val="0"/>
              <w:autoSpaceDN w:val="0"/>
              <w:spacing w:line="276" w:lineRule="exact"/>
              <w:ind w:right="99"/>
              <w:jc w:val="both"/>
              <w:rPr>
                <w:color w:val="000000" w:themeColor="text1"/>
              </w:rPr>
            </w:pPr>
            <w:r w:rsidRPr="00C56257">
              <w:rPr>
                <w:color w:val="000000" w:themeColor="text1"/>
              </w:rPr>
              <w:t>-</w:t>
            </w:r>
            <w:r w:rsidRPr="00C56257">
              <w:rPr>
                <w:color w:val="000000" w:themeColor="text1"/>
                <w:spacing w:val="1"/>
              </w:rPr>
              <w:t xml:space="preserve"> </w:t>
            </w:r>
            <w:r w:rsidRPr="00C56257">
              <w:rPr>
                <w:color w:val="000000" w:themeColor="text1"/>
              </w:rPr>
              <w:t>Se așteaptă impacturi severe din cauza presiunilor și amenințărilor</w:t>
            </w:r>
            <w:r w:rsidRPr="00C56257">
              <w:rPr>
                <w:color w:val="000000" w:themeColor="text1"/>
                <w:spacing w:val="1"/>
              </w:rPr>
              <w:t xml:space="preserve"> </w:t>
            </w:r>
            <w:r w:rsidRPr="00C56257">
              <w:rPr>
                <w:color w:val="000000" w:themeColor="text1"/>
              </w:rPr>
              <w:t>asupra habitatului, perspectivele viitorului său sunt „proaste”, iar</w:t>
            </w:r>
            <w:r w:rsidRPr="00C56257">
              <w:rPr>
                <w:color w:val="000000" w:themeColor="text1"/>
                <w:spacing w:val="1"/>
              </w:rPr>
              <w:t xml:space="preserve"> </w:t>
            </w:r>
            <w:r w:rsidRPr="00C56257">
              <w:rPr>
                <w:color w:val="000000" w:themeColor="text1"/>
              </w:rPr>
              <w:t>viabilitatea</w:t>
            </w:r>
            <w:r w:rsidRPr="00C56257">
              <w:rPr>
                <w:color w:val="000000" w:themeColor="text1"/>
                <w:spacing w:val="-2"/>
              </w:rPr>
              <w:t xml:space="preserve"> </w:t>
            </w:r>
            <w:r w:rsidRPr="00C56257">
              <w:rPr>
                <w:color w:val="000000" w:themeColor="text1"/>
              </w:rPr>
              <w:t>pe</w:t>
            </w:r>
            <w:r w:rsidRPr="00C56257">
              <w:rPr>
                <w:color w:val="000000" w:themeColor="text1"/>
                <w:spacing w:val="-1"/>
              </w:rPr>
              <w:t xml:space="preserve"> </w:t>
            </w:r>
            <w:r w:rsidRPr="00C56257">
              <w:rPr>
                <w:color w:val="000000" w:themeColor="text1"/>
              </w:rPr>
              <w:t>termen lung</w:t>
            </w:r>
            <w:r w:rsidRPr="00C56257">
              <w:rPr>
                <w:color w:val="000000" w:themeColor="text1"/>
                <w:spacing w:val="-2"/>
              </w:rPr>
              <w:t xml:space="preserve"> </w:t>
            </w:r>
            <w:r w:rsidRPr="00C56257">
              <w:rPr>
                <w:color w:val="000000" w:themeColor="text1"/>
              </w:rPr>
              <w:t>nu</w:t>
            </w:r>
            <w:r w:rsidRPr="00C56257">
              <w:rPr>
                <w:color w:val="000000" w:themeColor="text1"/>
                <w:spacing w:val="-1"/>
              </w:rPr>
              <w:t xml:space="preserve"> </w:t>
            </w:r>
            <w:r w:rsidRPr="00C56257">
              <w:rPr>
                <w:color w:val="000000" w:themeColor="text1"/>
              </w:rPr>
              <w:t>este</w:t>
            </w:r>
            <w:r w:rsidRPr="00C56257">
              <w:rPr>
                <w:color w:val="000000" w:themeColor="text1"/>
                <w:spacing w:val="1"/>
              </w:rPr>
              <w:t xml:space="preserve"> </w:t>
            </w:r>
            <w:r w:rsidRPr="00C56257">
              <w:rPr>
                <w:color w:val="000000" w:themeColor="text1"/>
              </w:rPr>
              <w:t>asigurată.</w:t>
            </w:r>
          </w:p>
        </w:tc>
      </w:tr>
      <w:tr w:rsidR="00A37B92" w:rsidRPr="00C56257" w14:paraId="074D9F76" w14:textId="77777777" w:rsidTr="00C902DF">
        <w:trPr>
          <w:trHeight w:val="830"/>
        </w:trPr>
        <w:tc>
          <w:tcPr>
            <w:tcW w:w="1810" w:type="dxa"/>
          </w:tcPr>
          <w:p w14:paraId="724E0F1F" w14:textId="77777777" w:rsidR="00A37B92" w:rsidRPr="00C56257" w:rsidRDefault="00A37B92" w:rsidP="00C902DF">
            <w:pPr>
              <w:widowControl w:val="0"/>
              <w:autoSpaceDE w:val="0"/>
              <w:autoSpaceDN w:val="0"/>
              <w:jc w:val="both"/>
              <w:rPr>
                <w:color w:val="000000" w:themeColor="text1"/>
              </w:rPr>
            </w:pPr>
          </w:p>
        </w:tc>
        <w:tc>
          <w:tcPr>
            <w:tcW w:w="7480" w:type="dxa"/>
          </w:tcPr>
          <w:p w14:paraId="37A6FF84" w14:textId="77777777" w:rsidR="00A37B92" w:rsidRPr="00C56257" w:rsidRDefault="00A37B92" w:rsidP="00C902DF">
            <w:pPr>
              <w:widowControl w:val="0"/>
              <w:autoSpaceDE w:val="0"/>
              <w:autoSpaceDN w:val="0"/>
              <w:spacing w:line="262" w:lineRule="exact"/>
              <w:jc w:val="both"/>
              <w:rPr>
                <w:color w:val="000000" w:themeColor="text1"/>
              </w:rPr>
            </w:pPr>
            <w:r w:rsidRPr="00C56257">
              <w:rPr>
                <w:color w:val="000000" w:themeColor="text1"/>
              </w:rPr>
              <w:t>Informațiisuplimentare:</w:t>
            </w:r>
          </w:p>
          <w:p w14:paraId="1CA52A1F" w14:textId="77777777" w:rsidR="00A37B92" w:rsidRPr="00C56257" w:rsidRDefault="00A37B92" w:rsidP="00C902DF">
            <w:pPr>
              <w:widowControl w:val="0"/>
              <w:autoSpaceDE w:val="0"/>
              <w:autoSpaceDN w:val="0"/>
              <w:spacing w:line="270" w:lineRule="atLeast"/>
              <w:ind w:right="95"/>
              <w:jc w:val="both"/>
              <w:rPr>
                <w:color w:val="000000" w:themeColor="text1"/>
              </w:rPr>
            </w:pPr>
            <w:r w:rsidRPr="00C56257">
              <w:rPr>
                <w:color w:val="000000" w:themeColor="text1"/>
              </w:rPr>
              <w:t>Perspectivele</w:t>
            </w:r>
            <w:r w:rsidRPr="00C56257">
              <w:rPr>
                <w:color w:val="000000" w:themeColor="text1"/>
                <w:spacing w:val="22"/>
              </w:rPr>
              <w:t xml:space="preserve"> </w:t>
            </w:r>
            <w:r w:rsidRPr="00C56257">
              <w:rPr>
                <w:color w:val="000000" w:themeColor="text1"/>
              </w:rPr>
              <w:t>de</w:t>
            </w:r>
            <w:r w:rsidRPr="00C56257">
              <w:rPr>
                <w:color w:val="000000" w:themeColor="text1"/>
                <w:spacing w:val="22"/>
              </w:rPr>
              <w:t xml:space="preserve"> </w:t>
            </w:r>
            <w:r w:rsidRPr="00C56257">
              <w:rPr>
                <w:color w:val="000000" w:themeColor="text1"/>
              </w:rPr>
              <w:t>viitor</w:t>
            </w:r>
            <w:r w:rsidRPr="00C56257">
              <w:rPr>
                <w:color w:val="000000" w:themeColor="text1"/>
                <w:spacing w:val="23"/>
              </w:rPr>
              <w:t xml:space="preserve"> </w:t>
            </w:r>
            <w:r w:rsidRPr="00C56257">
              <w:rPr>
                <w:color w:val="000000" w:themeColor="text1"/>
              </w:rPr>
              <w:t>ar</w:t>
            </w:r>
            <w:r w:rsidRPr="00C56257">
              <w:rPr>
                <w:color w:val="000000" w:themeColor="text1"/>
                <w:spacing w:val="23"/>
              </w:rPr>
              <w:t xml:space="preserve"> </w:t>
            </w:r>
            <w:r w:rsidRPr="00C56257">
              <w:rPr>
                <w:color w:val="000000" w:themeColor="text1"/>
              </w:rPr>
              <w:t>trebui</w:t>
            </w:r>
            <w:r w:rsidRPr="00C56257">
              <w:rPr>
                <w:color w:val="000000" w:themeColor="text1"/>
                <w:spacing w:val="24"/>
              </w:rPr>
              <w:t xml:space="preserve"> </w:t>
            </w:r>
            <w:r w:rsidRPr="00C56257">
              <w:rPr>
                <w:color w:val="000000" w:themeColor="text1"/>
              </w:rPr>
              <w:t>evaluate</w:t>
            </w:r>
            <w:r w:rsidRPr="00C56257">
              <w:rPr>
                <w:color w:val="000000" w:themeColor="text1"/>
                <w:spacing w:val="25"/>
              </w:rPr>
              <w:t xml:space="preserve"> </w:t>
            </w:r>
            <w:r w:rsidRPr="00C56257">
              <w:rPr>
                <w:color w:val="000000" w:themeColor="text1"/>
              </w:rPr>
              <w:t>ca</w:t>
            </w:r>
            <w:r w:rsidRPr="00C56257">
              <w:rPr>
                <w:color w:val="000000" w:themeColor="text1"/>
                <w:spacing w:val="22"/>
              </w:rPr>
              <w:t xml:space="preserve"> </w:t>
            </w:r>
            <w:r w:rsidRPr="00C56257">
              <w:rPr>
                <w:color w:val="000000" w:themeColor="text1"/>
              </w:rPr>
              <w:t>„nefavorabile-rele”</w:t>
            </w:r>
            <w:r w:rsidRPr="00C56257">
              <w:rPr>
                <w:color w:val="000000" w:themeColor="text1"/>
                <w:spacing w:val="22"/>
              </w:rPr>
              <w:t xml:space="preserve"> </w:t>
            </w:r>
            <w:r w:rsidRPr="00C56257">
              <w:rPr>
                <w:color w:val="000000" w:themeColor="text1"/>
              </w:rPr>
              <w:t>dacă</w:t>
            </w:r>
            <w:r w:rsidRPr="00C56257">
              <w:rPr>
                <w:color w:val="000000" w:themeColor="text1"/>
                <w:spacing w:val="22"/>
              </w:rPr>
              <w:t xml:space="preserve"> </w:t>
            </w:r>
            <w:r w:rsidRPr="00C56257">
              <w:rPr>
                <w:color w:val="000000" w:themeColor="text1"/>
              </w:rPr>
              <w:t>unul</w:t>
            </w:r>
            <w:r w:rsidRPr="00C56257">
              <w:rPr>
                <w:color w:val="000000" w:themeColor="text1"/>
                <w:spacing w:val="-57"/>
              </w:rPr>
              <w:t xml:space="preserve"> </w:t>
            </w:r>
            <w:r w:rsidRPr="00C56257">
              <w:rPr>
                <w:color w:val="000000" w:themeColor="text1"/>
              </w:rPr>
              <w:t>sau</w:t>
            </w:r>
            <w:r w:rsidRPr="00C56257">
              <w:rPr>
                <w:color w:val="000000" w:themeColor="text1"/>
                <w:spacing w:val="-1"/>
              </w:rPr>
              <w:t xml:space="preserve"> </w:t>
            </w:r>
            <w:r w:rsidRPr="00C56257">
              <w:rPr>
                <w:color w:val="000000" w:themeColor="text1"/>
              </w:rPr>
              <w:t>mai mulți</w:t>
            </w:r>
            <w:r w:rsidRPr="00C56257">
              <w:rPr>
                <w:color w:val="000000" w:themeColor="text1"/>
                <w:spacing w:val="-1"/>
              </w:rPr>
              <w:t xml:space="preserve"> </w:t>
            </w:r>
            <w:r w:rsidRPr="00C56257">
              <w:rPr>
                <w:color w:val="000000" w:themeColor="text1"/>
              </w:rPr>
              <w:t>parametri au perspective</w:t>
            </w:r>
            <w:r w:rsidRPr="00C56257">
              <w:rPr>
                <w:color w:val="000000" w:themeColor="text1"/>
                <w:spacing w:val="-2"/>
              </w:rPr>
              <w:t xml:space="preserve"> </w:t>
            </w:r>
            <w:r w:rsidRPr="00C56257">
              <w:rPr>
                <w:color w:val="000000" w:themeColor="text1"/>
              </w:rPr>
              <w:t>„proaste”</w:t>
            </w:r>
            <w:r w:rsidRPr="00C56257">
              <w:rPr>
                <w:color w:val="000000" w:themeColor="text1"/>
                <w:spacing w:val="-1"/>
              </w:rPr>
              <w:t xml:space="preserve"> </w:t>
            </w:r>
            <w:r w:rsidRPr="00C56257">
              <w:rPr>
                <w:color w:val="000000" w:themeColor="text1"/>
              </w:rPr>
              <w:t>(câmpul 9.1).</w:t>
            </w:r>
          </w:p>
        </w:tc>
      </w:tr>
      <w:tr w:rsidR="00A37B92" w:rsidRPr="00C56257" w14:paraId="2DFA1A8D" w14:textId="77777777" w:rsidTr="00C902DF">
        <w:trPr>
          <w:trHeight w:val="1936"/>
        </w:trPr>
        <w:tc>
          <w:tcPr>
            <w:tcW w:w="1810" w:type="dxa"/>
          </w:tcPr>
          <w:p w14:paraId="47EB2E2F" w14:textId="77777777" w:rsidR="00A37B92" w:rsidRPr="00C56257" w:rsidRDefault="00A37B92" w:rsidP="00C902DF">
            <w:pPr>
              <w:widowControl w:val="0"/>
              <w:autoSpaceDE w:val="0"/>
              <w:autoSpaceDN w:val="0"/>
              <w:jc w:val="both"/>
              <w:rPr>
                <w:color w:val="000000" w:themeColor="text1"/>
              </w:rPr>
            </w:pPr>
          </w:p>
          <w:p w14:paraId="2457A362" w14:textId="77777777" w:rsidR="00A37B92" w:rsidRPr="00C56257" w:rsidRDefault="00A37B92" w:rsidP="00C902DF">
            <w:pPr>
              <w:widowControl w:val="0"/>
              <w:autoSpaceDE w:val="0"/>
              <w:autoSpaceDN w:val="0"/>
              <w:spacing w:before="8"/>
              <w:jc w:val="both"/>
              <w:rPr>
                <w:color w:val="000000" w:themeColor="text1"/>
              </w:rPr>
            </w:pPr>
          </w:p>
          <w:p w14:paraId="5123A611" w14:textId="77777777" w:rsidR="00A37B92" w:rsidRPr="00C56257" w:rsidRDefault="00A37B92" w:rsidP="00C902DF">
            <w:pPr>
              <w:widowControl w:val="0"/>
              <w:autoSpaceDE w:val="0"/>
              <w:autoSpaceDN w:val="0"/>
              <w:ind w:right="549"/>
              <w:jc w:val="both"/>
              <w:rPr>
                <w:color w:val="000000" w:themeColor="text1"/>
              </w:rPr>
            </w:pPr>
            <w:r w:rsidRPr="00C56257">
              <w:rPr>
                <w:color w:val="000000" w:themeColor="text1"/>
                <w:spacing w:val="-1"/>
              </w:rPr>
              <w:t>Necunoscut</w:t>
            </w:r>
            <w:r w:rsidRPr="00C56257">
              <w:rPr>
                <w:color w:val="000000" w:themeColor="text1"/>
                <w:spacing w:val="-57"/>
              </w:rPr>
              <w:t xml:space="preserve"> </w:t>
            </w:r>
            <w:r w:rsidRPr="00C56257">
              <w:rPr>
                <w:color w:val="000000" w:themeColor="text1"/>
              </w:rPr>
              <w:t>(XX)</w:t>
            </w:r>
          </w:p>
        </w:tc>
        <w:tc>
          <w:tcPr>
            <w:tcW w:w="7480" w:type="dxa"/>
          </w:tcPr>
          <w:p w14:paraId="5FA6AE3E" w14:textId="77777777" w:rsidR="00A37B92" w:rsidRPr="00C56257" w:rsidRDefault="00A37B92" w:rsidP="00C902DF">
            <w:pPr>
              <w:widowControl w:val="0"/>
              <w:autoSpaceDE w:val="0"/>
              <w:autoSpaceDN w:val="0"/>
              <w:spacing w:line="260" w:lineRule="exact"/>
              <w:jc w:val="both"/>
              <w:rPr>
                <w:color w:val="000000" w:themeColor="text1"/>
              </w:rPr>
            </w:pPr>
            <w:r w:rsidRPr="00C56257">
              <w:rPr>
                <w:color w:val="000000" w:themeColor="text1"/>
              </w:rPr>
              <w:t>Conform</w:t>
            </w:r>
            <w:r w:rsidRPr="00C56257">
              <w:rPr>
                <w:color w:val="000000" w:themeColor="text1"/>
                <w:spacing w:val="46"/>
              </w:rPr>
              <w:t xml:space="preserve"> </w:t>
            </w:r>
            <w:r w:rsidRPr="00C56257">
              <w:rPr>
                <w:color w:val="000000" w:themeColor="text1"/>
              </w:rPr>
              <w:t>matricei</w:t>
            </w:r>
            <w:r w:rsidRPr="00C56257">
              <w:rPr>
                <w:color w:val="000000" w:themeColor="text1"/>
                <w:spacing w:val="46"/>
              </w:rPr>
              <w:t xml:space="preserve"> </w:t>
            </w:r>
            <w:r w:rsidRPr="00C56257">
              <w:rPr>
                <w:color w:val="000000" w:themeColor="text1"/>
              </w:rPr>
              <w:t>de</w:t>
            </w:r>
            <w:r w:rsidRPr="00C56257">
              <w:rPr>
                <w:color w:val="000000" w:themeColor="text1"/>
                <w:spacing w:val="44"/>
              </w:rPr>
              <w:t xml:space="preserve"> </w:t>
            </w:r>
            <w:r w:rsidRPr="00C56257">
              <w:rPr>
                <w:color w:val="000000" w:themeColor="text1"/>
              </w:rPr>
              <w:t>evaluare</w:t>
            </w:r>
            <w:r w:rsidRPr="00C56257">
              <w:rPr>
                <w:color w:val="000000" w:themeColor="text1"/>
                <w:spacing w:val="45"/>
              </w:rPr>
              <w:t xml:space="preserve"> </w:t>
            </w:r>
            <w:r w:rsidRPr="00C56257">
              <w:rPr>
                <w:color w:val="000000" w:themeColor="text1"/>
              </w:rPr>
              <w:t>(anexa</w:t>
            </w:r>
            <w:r w:rsidRPr="00C56257">
              <w:rPr>
                <w:color w:val="000000" w:themeColor="text1"/>
                <w:spacing w:val="44"/>
              </w:rPr>
              <w:t xml:space="preserve"> </w:t>
            </w:r>
            <w:r w:rsidRPr="00C56257">
              <w:rPr>
                <w:color w:val="000000" w:themeColor="text1"/>
              </w:rPr>
              <w:t>E),</w:t>
            </w:r>
            <w:r w:rsidRPr="00C56257">
              <w:rPr>
                <w:color w:val="000000" w:themeColor="text1"/>
                <w:spacing w:val="45"/>
              </w:rPr>
              <w:t xml:space="preserve"> </w:t>
            </w:r>
            <w:r w:rsidRPr="00C56257">
              <w:rPr>
                <w:color w:val="000000" w:themeColor="text1"/>
              </w:rPr>
              <w:t>situația</w:t>
            </w:r>
            <w:r w:rsidRPr="00C56257">
              <w:rPr>
                <w:color w:val="000000" w:themeColor="text1"/>
                <w:spacing w:val="49"/>
              </w:rPr>
              <w:t xml:space="preserve"> </w:t>
            </w:r>
            <w:r w:rsidRPr="00C56257">
              <w:rPr>
                <w:color w:val="000000" w:themeColor="text1"/>
              </w:rPr>
              <w:t>perspectivelor</w:t>
            </w:r>
            <w:r w:rsidRPr="00C56257">
              <w:rPr>
                <w:color w:val="000000" w:themeColor="text1"/>
                <w:spacing w:val="46"/>
              </w:rPr>
              <w:t xml:space="preserve"> </w:t>
            </w:r>
            <w:r w:rsidRPr="00C56257">
              <w:rPr>
                <w:color w:val="000000" w:themeColor="text1"/>
              </w:rPr>
              <w:t>viitoare</w:t>
            </w:r>
          </w:p>
          <w:p w14:paraId="18777916" w14:textId="77777777" w:rsidR="00A37B92" w:rsidRPr="00C56257" w:rsidRDefault="00A37B92" w:rsidP="00C902DF">
            <w:pPr>
              <w:widowControl w:val="0"/>
              <w:autoSpaceDE w:val="0"/>
              <w:autoSpaceDN w:val="0"/>
              <w:jc w:val="both"/>
              <w:rPr>
                <w:color w:val="000000" w:themeColor="text1"/>
              </w:rPr>
            </w:pPr>
            <w:r w:rsidRPr="00C56257">
              <w:rPr>
                <w:color w:val="000000" w:themeColor="text1"/>
              </w:rPr>
              <w:t>este</w:t>
            </w:r>
            <w:r w:rsidRPr="00C56257">
              <w:rPr>
                <w:color w:val="000000" w:themeColor="text1"/>
                <w:spacing w:val="-3"/>
              </w:rPr>
              <w:t xml:space="preserve"> </w:t>
            </w:r>
            <w:r w:rsidRPr="00C56257">
              <w:rPr>
                <w:color w:val="000000" w:themeColor="text1"/>
              </w:rPr>
              <w:t>„necunoscută”</w:t>
            </w:r>
            <w:r w:rsidRPr="00C56257">
              <w:rPr>
                <w:color w:val="000000" w:themeColor="text1"/>
                <w:spacing w:val="-2"/>
              </w:rPr>
              <w:t xml:space="preserve"> </w:t>
            </w:r>
            <w:r w:rsidRPr="00C56257">
              <w:rPr>
                <w:color w:val="000000" w:themeColor="text1"/>
              </w:rPr>
              <w:t>dacă:</w:t>
            </w:r>
          </w:p>
          <w:p w14:paraId="3A6CFE6F" w14:textId="77777777" w:rsidR="00A37B92" w:rsidRPr="00C56257" w:rsidRDefault="00A37B92" w:rsidP="00C902DF">
            <w:pPr>
              <w:widowControl w:val="0"/>
              <w:autoSpaceDE w:val="0"/>
              <w:autoSpaceDN w:val="0"/>
              <w:spacing w:before="9" w:line="230" w:lineRule="auto"/>
              <w:ind w:right="1341"/>
              <w:jc w:val="both"/>
              <w:rPr>
                <w:color w:val="000000" w:themeColor="text1"/>
              </w:rPr>
            </w:pPr>
            <w:r w:rsidRPr="00C56257">
              <w:rPr>
                <w:color w:val="000000" w:themeColor="text1"/>
              </w:rPr>
              <w:t>-</w:t>
            </w:r>
            <w:r w:rsidRPr="00C56257">
              <w:rPr>
                <w:color w:val="000000" w:themeColor="text1"/>
                <w:spacing w:val="1"/>
              </w:rPr>
              <w:t xml:space="preserve"> </w:t>
            </w:r>
            <w:r w:rsidRPr="00C56257">
              <w:rPr>
                <w:color w:val="000000" w:themeColor="text1"/>
              </w:rPr>
              <w:t>nu există informații fiabile sau insuficiente disponibile.</w:t>
            </w:r>
            <w:r w:rsidRPr="00C56257">
              <w:rPr>
                <w:color w:val="000000" w:themeColor="text1"/>
                <w:spacing w:val="-57"/>
              </w:rPr>
              <w:t xml:space="preserve"> </w:t>
            </w:r>
            <w:r w:rsidRPr="00C56257">
              <w:rPr>
                <w:color w:val="000000" w:themeColor="text1"/>
              </w:rPr>
              <w:t>Observații</w:t>
            </w:r>
            <w:r w:rsidRPr="00C56257">
              <w:rPr>
                <w:color w:val="000000" w:themeColor="text1"/>
                <w:spacing w:val="-1"/>
              </w:rPr>
              <w:t xml:space="preserve"> </w:t>
            </w:r>
            <w:r w:rsidRPr="00C56257">
              <w:rPr>
                <w:color w:val="000000" w:themeColor="text1"/>
              </w:rPr>
              <w:t>complementare:</w:t>
            </w:r>
          </w:p>
          <w:p w14:paraId="0269C012" w14:textId="77777777" w:rsidR="00A37B92" w:rsidRPr="00C56257" w:rsidRDefault="00A37B92" w:rsidP="00C902DF">
            <w:pPr>
              <w:widowControl w:val="0"/>
              <w:autoSpaceDE w:val="0"/>
              <w:autoSpaceDN w:val="0"/>
              <w:spacing w:line="270" w:lineRule="atLeast"/>
              <w:ind w:right="96"/>
              <w:jc w:val="both"/>
              <w:rPr>
                <w:color w:val="000000" w:themeColor="text1"/>
              </w:rPr>
            </w:pPr>
            <w:r w:rsidRPr="00C56257">
              <w:rPr>
                <w:color w:val="000000" w:themeColor="text1"/>
              </w:rPr>
              <w:t>Perspectivele</w:t>
            </w:r>
            <w:r w:rsidRPr="00C56257">
              <w:rPr>
                <w:color w:val="000000" w:themeColor="text1"/>
                <w:spacing w:val="36"/>
              </w:rPr>
              <w:t xml:space="preserve"> </w:t>
            </w:r>
            <w:r w:rsidRPr="00C56257">
              <w:rPr>
                <w:color w:val="000000" w:themeColor="text1"/>
              </w:rPr>
              <w:t>de</w:t>
            </w:r>
            <w:r w:rsidRPr="00C56257">
              <w:rPr>
                <w:color w:val="000000" w:themeColor="text1"/>
                <w:spacing w:val="37"/>
              </w:rPr>
              <w:t xml:space="preserve"> </w:t>
            </w:r>
            <w:r w:rsidRPr="00C56257">
              <w:rPr>
                <w:color w:val="000000" w:themeColor="text1"/>
              </w:rPr>
              <w:t>viitor</w:t>
            </w:r>
            <w:r w:rsidRPr="00C56257">
              <w:rPr>
                <w:color w:val="000000" w:themeColor="text1"/>
                <w:spacing w:val="37"/>
              </w:rPr>
              <w:t xml:space="preserve"> </w:t>
            </w:r>
            <w:r w:rsidRPr="00C56257">
              <w:rPr>
                <w:color w:val="000000" w:themeColor="text1"/>
              </w:rPr>
              <w:t>ar</w:t>
            </w:r>
            <w:r w:rsidRPr="00C56257">
              <w:rPr>
                <w:color w:val="000000" w:themeColor="text1"/>
                <w:spacing w:val="37"/>
              </w:rPr>
              <w:t xml:space="preserve"> </w:t>
            </w:r>
            <w:r w:rsidRPr="00C56257">
              <w:rPr>
                <w:color w:val="000000" w:themeColor="text1"/>
              </w:rPr>
              <w:t>trebui</w:t>
            </w:r>
            <w:r w:rsidRPr="00C56257">
              <w:rPr>
                <w:color w:val="000000" w:themeColor="text1"/>
                <w:spacing w:val="37"/>
              </w:rPr>
              <w:t xml:space="preserve"> </w:t>
            </w:r>
            <w:r w:rsidRPr="00C56257">
              <w:rPr>
                <w:color w:val="000000" w:themeColor="text1"/>
              </w:rPr>
              <w:t>evaluate</w:t>
            </w:r>
            <w:r w:rsidRPr="00C56257">
              <w:rPr>
                <w:color w:val="000000" w:themeColor="text1"/>
                <w:spacing w:val="39"/>
              </w:rPr>
              <w:t xml:space="preserve"> </w:t>
            </w:r>
            <w:r w:rsidRPr="00C56257">
              <w:rPr>
                <w:color w:val="000000" w:themeColor="text1"/>
              </w:rPr>
              <w:t>ca</w:t>
            </w:r>
            <w:r w:rsidRPr="00C56257">
              <w:rPr>
                <w:color w:val="000000" w:themeColor="text1"/>
                <w:spacing w:val="36"/>
              </w:rPr>
              <w:t xml:space="preserve"> </w:t>
            </w:r>
            <w:r w:rsidRPr="00C56257">
              <w:rPr>
                <w:color w:val="000000" w:themeColor="text1"/>
              </w:rPr>
              <w:t>„necunoscute”</w:t>
            </w:r>
            <w:r w:rsidRPr="00C56257">
              <w:rPr>
                <w:color w:val="000000" w:themeColor="text1"/>
                <w:spacing w:val="36"/>
              </w:rPr>
              <w:t xml:space="preserve"> </w:t>
            </w:r>
            <w:r w:rsidRPr="00C56257">
              <w:rPr>
                <w:color w:val="000000" w:themeColor="text1"/>
              </w:rPr>
              <w:t>dacă</w:t>
            </w:r>
            <w:r w:rsidRPr="00C56257">
              <w:rPr>
                <w:color w:val="000000" w:themeColor="text1"/>
                <w:spacing w:val="36"/>
              </w:rPr>
              <w:t xml:space="preserve"> </w:t>
            </w:r>
            <w:r w:rsidRPr="00C56257">
              <w:rPr>
                <w:color w:val="000000" w:themeColor="text1"/>
              </w:rPr>
              <w:t>doi</w:t>
            </w:r>
            <w:r w:rsidRPr="00C56257">
              <w:rPr>
                <w:color w:val="000000" w:themeColor="text1"/>
                <w:spacing w:val="38"/>
              </w:rPr>
              <w:t xml:space="preserve"> </w:t>
            </w:r>
            <w:r w:rsidRPr="00C56257">
              <w:rPr>
                <w:color w:val="000000" w:themeColor="text1"/>
              </w:rPr>
              <w:t>sau</w:t>
            </w:r>
            <w:r w:rsidRPr="00C56257">
              <w:rPr>
                <w:color w:val="000000" w:themeColor="text1"/>
                <w:spacing w:val="-58"/>
              </w:rPr>
              <w:t xml:space="preserve"> </w:t>
            </w:r>
            <w:r w:rsidRPr="00C56257">
              <w:rPr>
                <w:color w:val="000000" w:themeColor="text1"/>
              </w:rPr>
              <w:t>mai mulți parametri au perspective „necunoscute” și dacă niciun parametru</w:t>
            </w:r>
            <w:r w:rsidRPr="00C56257">
              <w:rPr>
                <w:color w:val="000000" w:themeColor="text1"/>
                <w:spacing w:val="-57"/>
              </w:rPr>
              <w:t xml:space="preserve"> </w:t>
            </w:r>
            <w:r w:rsidRPr="00C56257">
              <w:rPr>
                <w:color w:val="000000" w:themeColor="text1"/>
              </w:rPr>
              <w:t>nu</w:t>
            </w:r>
            <w:r w:rsidRPr="00C56257">
              <w:rPr>
                <w:color w:val="000000" w:themeColor="text1"/>
                <w:spacing w:val="-1"/>
              </w:rPr>
              <w:t xml:space="preserve"> </w:t>
            </w:r>
            <w:r w:rsidRPr="00C56257">
              <w:rPr>
                <w:color w:val="000000" w:themeColor="text1"/>
              </w:rPr>
              <w:t>are</w:t>
            </w:r>
            <w:r w:rsidRPr="00C56257">
              <w:rPr>
                <w:color w:val="000000" w:themeColor="text1"/>
                <w:spacing w:val="-2"/>
              </w:rPr>
              <w:t xml:space="preserve"> </w:t>
            </w:r>
            <w:r w:rsidRPr="00C56257">
              <w:rPr>
                <w:color w:val="000000" w:themeColor="text1"/>
              </w:rPr>
              <w:t>perspective</w:t>
            </w:r>
            <w:r w:rsidRPr="00C56257">
              <w:rPr>
                <w:color w:val="000000" w:themeColor="text1"/>
                <w:spacing w:val="-1"/>
              </w:rPr>
              <w:t xml:space="preserve"> </w:t>
            </w:r>
            <w:r w:rsidRPr="00C56257">
              <w:rPr>
                <w:color w:val="000000" w:themeColor="text1"/>
              </w:rPr>
              <w:t>„proaste”</w:t>
            </w:r>
            <w:r w:rsidRPr="00C56257">
              <w:rPr>
                <w:color w:val="000000" w:themeColor="text1"/>
                <w:spacing w:val="-2"/>
              </w:rPr>
              <w:t xml:space="preserve"> </w:t>
            </w:r>
            <w:r w:rsidRPr="00C56257">
              <w:rPr>
                <w:color w:val="000000" w:themeColor="text1"/>
              </w:rPr>
              <w:t>(câmpul 9.1).</w:t>
            </w:r>
          </w:p>
        </w:tc>
      </w:tr>
    </w:tbl>
    <w:p w14:paraId="6ED96CE9" w14:textId="77777777" w:rsidR="00A37B92" w:rsidRPr="00C56257" w:rsidRDefault="00A37B92" w:rsidP="00A37B92">
      <w:pPr>
        <w:widowControl w:val="0"/>
        <w:autoSpaceDE w:val="0"/>
        <w:autoSpaceDN w:val="0"/>
        <w:spacing w:before="9"/>
        <w:jc w:val="both"/>
        <w:rPr>
          <w:color w:val="000000" w:themeColor="text1"/>
        </w:rPr>
      </w:pPr>
    </w:p>
    <w:p w14:paraId="263427BF" w14:textId="77777777" w:rsidR="00A37B92" w:rsidRPr="00C56257" w:rsidRDefault="00A37B92" w:rsidP="00F100E1">
      <w:pPr>
        <w:widowControl w:val="0"/>
        <w:tabs>
          <w:tab w:val="left" w:pos="1194"/>
        </w:tabs>
        <w:autoSpaceDE w:val="0"/>
        <w:autoSpaceDN w:val="0"/>
        <w:spacing w:before="245"/>
        <w:jc w:val="both"/>
        <w:outlineLvl w:val="1"/>
        <w:rPr>
          <w:rFonts w:eastAsia="Cambria"/>
          <w:b/>
          <w:bCs/>
          <w:color w:val="000000" w:themeColor="text1"/>
        </w:rPr>
      </w:pPr>
      <w:r w:rsidRPr="00C56257">
        <w:rPr>
          <w:rFonts w:eastAsia="Cambria"/>
          <w:b/>
          <w:bCs/>
          <w:color w:val="000000" w:themeColor="text1"/>
        </w:rPr>
        <w:t>Relația</w:t>
      </w:r>
      <w:r w:rsidRPr="00C56257">
        <w:rPr>
          <w:rFonts w:eastAsia="Cambria"/>
          <w:b/>
          <w:bCs/>
          <w:color w:val="000000" w:themeColor="text1"/>
          <w:spacing w:val="-5"/>
        </w:rPr>
        <w:t xml:space="preserve"> </w:t>
      </w:r>
      <w:r w:rsidRPr="00C56257">
        <w:rPr>
          <w:rFonts w:eastAsia="Cambria"/>
          <w:b/>
          <w:bCs/>
          <w:color w:val="000000" w:themeColor="text1"/>
        </w:rPr>
        <w:t>plot</w:t>
      </w:r>
      <w:r w:rsidRPr="00C56257">
        <w:rPr>
          <w:rFonts w:eastAsia="Cambria"/>
          <w:b/>
          <w:bCs/>
          <w:color w:val="000000" w:themeColor="text1"/>
          <w:spacing w:val="-5"/>
        </w:rPr>
        <w:t xml:space="preserve"> </w:t>
      </w:r>
      <w:r w:rsidRPr="00C56257">
        <w:rPr>
          <w:rFonts w:eastAsia="Cambria"/>
          <w:b/>
          <w:bCs/>
          <w:color w:val="000000" w:themeColor="text1"/>
        </w:rPr>
        <w:t>de</w:t>
      </w:r>
      <w:r w:rsidRPr="00C56257">
        <w:rPr>
          <w:rFonts w:eastAsia="Cambria"/>
          <w:b/>
          <w:bCs/>
          <w:color w:val="000000" w:themeColor="text1"/>
          <w:spacing w:val="-6"/>
        </w:rPr>
        <w:t xml:space="preserve"> </w:t>
      </w:r>
      <w:r w:rsidRPr="00C56257">
        <w:rPr>
          <w:rFonts w:eastAsia="Cambria"/>
          <w:b/>
          <w:bCs/>
          <w:color w:val="000000" w:themeColor="text1"/>
        </w:rPr>
        <w:t>monitorizare/rețea</w:t>
      </w:r>
      <w:r w:rsidRPr="00C56257">
        <w:rPr>
          <w:rFonts w:eastAsia="Cambria"/>
          <w:b/>
          <w:bCs/>
          <w:color w:val="000000" w:themeColor="text1"/>
          <w:spacing w:val="-5"/>
        </w:rPr>
        <w:t xml:space="preserve"> </w:t>
      </w:r>
      <w:r w:rsidRPr="00C56257">
        <w:rPr>
          <w:rFonts w:eastAsia="Cambria"/>
          <w:b/>
          <w:bCs/>
          <w:color w:val="000000" w:themeColor="text1"/>
        </w:rPr>
        <w:t>Natura</w:t>
      </w:r>
      <w:r w:rsidRPr="00C56257">
        <w:rPr>
          <w:rFonts w:eastAsia="Cambria"/>
          <w:b/>
          <w:bCs/>
          <w:color w:val="000000" w:themeColor="text1"/>
          <w:spacing w:val="-4"/>
        </w:rPr>
        <w:t xml:space="preserve"> </w:t>
      </w:r>
      <w:r w:rsidRPr="00C56257">
        <w:rPr>
          <w:rFonts w:eastAsia="Cambria"/>
          <w:b/>
          <w:bCs/>
          <w:color w:val="000000" w:themeColor="text1"/>
        </w:rPr>
        <w:t>2000</w:t>
      </w:r>
    </w:p>
    <w:p w14:paraId="39E5A307" w14:textId="77777777" w:rsidR="00A37B92" w:rsidRPr="00C56257" w:rsidRDefault="00A37B92" w:rsidP="00A37B92">
      <w:pPr>
        <w:widowControl w:val="0"/>
        <w:autoSpaceDE w:val="0"/>
        <w:autoSpaceDN w:val="0"/>
        <w:spacing w:before="154"/>
        <w:jc w:val="both"/>
        <w:rPr>
          <w:i/>
          <w:color w:val="000000" w:themeColor="text1"/>
        </w:rPr>
      </w:pPr>
      <w:r w:rsidRPr="00C56257">
        <w:rPr>
          <w:i/>
          <w:color w:val="000000" w:themeColor="text1"/>
        </w:rPr>
        <w:t>Acoperirea</w:t>
      </w:r>
      <w:r w:rsidRPr="00C56257">
        <w:rPr>
          <w:i/>
          <w:color w:val="000000" w:themeColor="text1"/>
          <w:spacing w:val="-1"/>
        </w:rPr>
        <w:t xml:space="preserve"> </w:t>
      </w:r>
      <w:r w:rsidRPr="00C56257">
        <w:rPr>
          <w:i/>
          <w:color w:val="000000" w:themeColor="text1"/>
        </w:rPr>
        <w:t>NATURA</w:t>
      </w:r>
      <w:r w:rsidRPr="00C56257">
        <w:rPr>
          <w:i/>
          <w:color w:val="000000" w:themeColor="text1"/>
          <w:spacing w:val="-2"/>
        </w:rPr>
        <w:t xml:space="preserve"> </w:t>
      </w:r>
      <w:r w:rsidRPr="00C56257">
        <w:rPr>
          <w:i/>
          <w:color w:val="000000" w:themeColor="text1"/>
        </w:rPr>
        <w:t>2000</w:t>
      </w:r>
      <w:r w:rsidRPr="00C56257">
        <w:rPr>
          <w:i/>
          <w:color w:val="000000" w:themeColor="text1"/>
          <w:spacing w:val="-1"/>
        </w:rPr>
        <w:t xml:space="preserve"> </w:t>
      </w:r>
      <w:r w:rsidRPr="00C56257">
        <w:rPr>
          <w:i/>
          <w:color w:val="000000" w:themeColor="text1"/>
        </w:rPr>
        <w:t>(pSCIs,</w:t>
      </w:r>
      <w:r w:rsidRPr="00C56257">
        <w:rPr>
          <w:i/>
          <w:color w:val="000000" w:themeColor="text1"/>
          <w:spacing w:val="-1"/>
        </w:rPr>
        <w:t xml:space="preserve"> </w:t>
      </w:r>
      <w:r w:rsidRPr="00C56257">
        <w:rPr>
          <w:i/>
          <w:color w:val="000000" w:themeColor="text1"/>
        </w:rPr>
        <w:t>SCI</w:t>
      </w:r>
      <w:r w:rsidRPr="00C56257">
        <w:rPr>
          <w:i/>
          <w:color w:val="000000" w:themeColor="text1"/>
          <w:spacing w:val="-1"/>
        </w:rPr>
        <w:t xml:space="preserve"> </w:t>
      </w:r>
      <w:r w:rsidRPr="00C56257">
        <w:rPr>
          <w:i/>
          <w:color w:val="000000" w:themeColor="text1"/>
        </w:rPr>
        <w:t>și</w:t>
      </w:r>
      <w:r w:rsidRPr="00C56257">
        <w:rPr>
          <w:i/>
          <w:color w:val="000000" w:themeColor="text1"/>
          <w:spacing w:val="-2"/>
        </w:rPr>
        <w:t xml:space="preserve"> </w:t>
      </w:r>
      <w:r w:rsidRPr="00C56257">
        <w:rPr>
          <w:i/>
          <w:color w:val="000000" w:themeColor="text1"/>
        </w:rPr>
        <w:t>SACs)</w:t>
      </w:r>
      <w:r w:rsidRPr="00C56257">
        <w:rPr>
          <w:i/>
          <w:color w:val="000000" w:themeColor="text1"/>
          <w:spacing w:val="-2"/>
        </w:rPr>
        <w:t xml:space="preserve"> </w:t>
      </w:r>
      <w:r w:rsidRPr="00C56257">
        <w:rPr>
          <w:i/>
          <w:color w:val="000000" w:themeColor="text1"/>
        </w:rPr>
        <w:t>pentru</w:t>
      </w:r>
      <w:r w:rsidRPr="00C56257">
        <w:rPr>
          <w:i/>
          <w:color w:val="000000" w:themeColor="text1"/>
          <w:spacing w:val="-1"/>
        </w:rPr>
        <w:t xml:space="preserve"> </w:t>
      </w:r>
      <w:r w:rsidRPr="00C56257">
        <w:rPr>
          <w:i/>
          <w:color w:val="000000" w:themeColor="text1"/>
        </w:rPr>
        <w:t>habitatele</w:t>
      </w:r>
      <w:r w:rsidRPr="00C56257">
        <w:rPr>
          <w:i/>
          <w:color w:val="000000" w:themeColor="text1"/>
          <w:spacing w:val="-2"/>
        </w:rPr>
        <w:t xml:space="preserve"> </w:t>
      </w:r>
      <w:r w:rsidRPr="00C56257">
        <w:rPr>
          <w:i/>
          <w:color w:val="000000" w:themeColor="text1"/>
        </w:rPr>
        <w:t>din anexa</w:t>
      </w:r>
      <w:r w:rsidRPr="00C56257">
        <w:rPr>
          <w:i/>
          <w:color w:val="000000" w:themeColor="text1"/>
          <w:spacing w:val="-1"/>
        </w:rPr>
        <w:t xml:space="preserve"> </w:t>
      </w:r>
      <w:r w:rsidRPr="00C56257">
        <w:rPr>
          <w:i/>
          <w:color w:val="000000" w:themeColor="text1"/>
        </w:rPr>
        <w:t>I</w:t>
      </w:r>
    </w:p>
    <w:p w14:paraId="39AC18D0" w14:textId="77777777" w:rsidR="00A37B92" w:rsidRPr="00C56257" w:rsidRDefault="00A37B92" w:rsidP="00A37B92">
      <w:pPr>
        <w:widowControl w:val="0"/>
        <w:autoSpaceDE w:val="0"/>
        <w:autoSpaceDN w:val="0"/>
        <w:ind w:right="255"/>
        <w:jc w:val="both"/>
        <w:rPr>
          <w:color w:val="000000" w:themeColor="text1"/>
        </w:rPr>
      </w:pPr>
      <w:r w:rsidRPr="00C56257">
        <w:rPr>
          <w:color w:val="000000" w:themeColor="text1"/>
        </w:rPr>
        <w:t>Această secțiune oferă informații despre suprafața habitatului și tendința suprafeței în stare bună în</w:t>
      </w:r>
      <w:r w:rsidRPr="00C56257">
        <w:rPr>
          <w:color w:val="000000" w:themeColor="text1"/>
          <w:spacing w:val="1"/>
        </w:rPr>
        <w:t xml:space="preserve"> </w:t>
      </w:r>
      <w:r w:rsidRPr="00C56257">
        <w:rPr>
          <w:color w:val="000000" w:themeColor="text1"/>
        </w:rPr>
        <w:t>rețeaua Natura 2000. Informațiile solicitate ar trebui să acopere siturile de importanță comunitară</w:t>
      </w:r>
      <w:r w:rsidRPr="00C56257">
        <w:rPr>
          <w:color w:val="000000" w:themeColor="text1"/>
          <w:spacing w:val="1"/>
        </w:rPr>
        <w:t xml:space="preserve"> </w:t>
      </w:r>
      <w:r w:rsidRPr="00C56257">
        <w:rPr>
          <w:color w:val="000000" w:themeColor="text1"/>
        </w:rPr>
        <w:t>propuse (pSCI), siturile de importanță comunitară (SCI) și zonele speciale de conservare (SAC) ale</w:t>
      </w:r>
      <w:r w:rsidRPr="00C56257">
        <w:rPr>
          <w:color w:val="000000" w:themeColor="text1"/>
          <w:spacing w:val="1"/>
        </w:rPr>
        <w:t xml:space="preserve"> </w:t>
      </w:r>
      <w:r w:rsidRPr="00C56257">
        <w:rPr>
          <w:color w:val="000000" w:themeColor="text1"/>
        </w:rPr>
        <w:t>rețelei</w:t>
      </w:r>
      <w:r w:rsidRPr="00C56257">
        <w:rPr>
          <w:color w:val="000000" w:themeColor="text1"/>
          <w:spacing w:val="-1"/>
        </w:rPr>
        <w:t xml:space="preserve"> </w:t>
      </w:r>
      <w:r w:rsidRPr="00C56257">
        <w:rPr>
          <w:color w:val="000000" w:themeColor="text1"/>
        </w:rPr>
        <w:t>Natura</w:t>
      </w:r>
      <w:r w:rsidRPr="00C56257">
        <w:rPr>
          <w:color w:val="000000" w:themeColor="text1"/>
          <w:spacing w:val="-2"/>
        </w:rPr>
        <w:t xml:space="preserve"> </w:t>
      </w:r>
      <w:r w:rsidRPr="00C56257">
        <w:rPr>
          <w:color w:val="000000" w:themeColor="text1"/>
        </w:rPr>
        <w:t>2000 din regiunea</w:t>
      </w:r>
      <w:r w:rsidRPr="00C56257">
        <w:rPr>
          <w:color w:val="000000" w:themeColor="text1"/>
          <w:spacing w:val="-1"/>
        </w:rPr>
        <w:t xml:space="preserve"> </w:t>
      </w:r>
      <w:r w:rsidRPr="00C56257">
        <w:rPr>
          <w:color w:val="000000" w:themeColor="text1"/>
        </w:rPr>
        <w:t>biogeografică</w:t>
      </w:r>
      <w:r w:rsidRPr="00C56257">
        <w:rPr>
          <w:color w:val="000000" w:themeColor="text1"/>
          <w:spacing w:val="-2"/>
        </w:rPr>
        <w:t xml:space="preserve"> </w:t>
      </w:r>
      <w:r w:rsidRPr="00C56257">
        <w:rPr>
          <w:color w:val="000000" w:themeColor="text1"/>
        </w:rPr>
        <w:t>/</w:t>
      </w:r>
      <w:r w:rsidRPr="00C56257">
        <w:rPr>
          <w:color w:val="000000" w:themeColor="text1"/>
          <w:spacing w:val="2"/>
        </w:rPr>
        <w:t xml:space="preserve"> </w:t>
      </w:r>
      <w:r w:rsidRPr="00C56257">
        <w:rPr>
          <w:color w:val="000000" w:themeColor="text1"/>
        </w:rPr>
        <w:t>marină în cauză.</w:t>
      </w:r>
    </w:p>
    <w:p w14:paraId="1A40B22A" w14:textId="77777777" w:rsidR="00A37B92" w:rsidRPr="00C56257" w:rsidRDefault="00A37B92" w:rsidP="00A37B92">
      <w:pPr>
        <w:widowControl w:val="0"/>
        <w:autoSpaceDE w:val="0"/>
        <w:autoSpaceDN w:val="0"/>
        <w:ind w:right="253"/>
        <w:jc w:val="both"/>
        <w:rPr>
          <w:color w:val="000000" w:themeColor="text1"/>
        </w:rPr>
      </w:pPr>
      <w:r w:rsidRPr="00C56257">
        <w:rPr>
          <w:color w:val="000000" w:themeColor="text1"/>
        </w:rPr>
        <w:t>Informațiile se referă la toate pSCI-urile / SCI-urile / SAC-urile în care habitatele din anexa I sunt</w:t>
      </w:r>
      <w:r w:rsidRPr="00C56257">
        <w:rPr>
          <w:color w:val="000000" w:themeColor="text1"/>
          <w:spacing w:val="1"/>
        </w:rPr>
        <w:t xml:space="preserve"> </w:t>
      </w:r>
      <w:r w:rsidRPr="00C56257">
        <w:rPr>
          <w:color w:val="000000" w:themeColor="text1"/>
        </w:rPr>
        <w:t>prezente,</w:t>
      </w:r>
      <w:r w:rsidRPr="00C56257">
        <w:rPr>
          <w:color w:val="000000" w:themeColor="text1"/>
          <w:spacing w:val="-1"/>
        </w:rPr>
        <w:t xml:space="preserve"> </w:t>
      </w:r>
      <w:r w:rsidRPr="00C56257">
        <w:rPr>
          <w:color w:val="000000" w:themeColor="text1"/>
        </w:rPr>
        <w:t>nu numai</w:t>
      </w:r>
      <w:r w:rsidRPr="00C56257">
        <w:rPr>
          <w:color w:val="000000" w:themeColor="text1"/>
          <w:spacing w:val="-1"/>
        </w:rPr>
        <w:t xml:space="preserve"> </w:t>
      </w:r>
      <w:r w:rsidRPr="00C56257">
        <w:rPr>
          <w:color w:val="000000" w:themeColor="text1"/>
        </w:rPr>
        <w:t>acele</w:t>
      </w:r>
      <w:r w:rsidRPr="00C56257">
        <w:rPr>
          <w:color w:val="000000" w:themeColor="text1"/>
          <w:spacing w:val="1"/>
        </w:rPr>
        <w:t xml:space="preserve"> </w:t>
      </w:r>
      <w:r w:rsidRPr="00C56257">
        <w:rPr>
          <w:color w:val="000000" w:themeColor="text1"/>
        </w:rPr>
        <w:t>sit-uri</w:t>
      </w:r>
      <w:r w:rsidRPr="00C56257">
        <w:rPr>
          <w:color w:val="000000" w:themeColor="text1"/>
          <w:spacing w:val="-1"/>
        </w:rPr>
        <w:t xml:space="preserve"> </w:t>
      </w:r>
      <w:r w:rsidRPr="00C56257">
        <w:rPr>
          <w:color w:val="000000" w:themeColor="text1"/>
        </w:rPr>
        <w:t>în care</w:t>
      </w:r>
      <w:r w:rsidRPr="00C56257">
        <w:rPr>
          <w:color w:val="000000" w:themeColor="text1"/>
          <w:spacing w:val="-2"/>
        </w:rPr>
        <w:t xml:space="preserve"> </w:t>
      </w:r>
      <w:r w:rsidRPr="00C56257">
        <w:rPr>
          <w:color w:val="000000" w:themeColor="text1"/>
        </w:rPr>
        <w:t>habitatul</w:t>
      </w:r>
      <w:r w:rsidRPr="00C56257">
        <w:rPr>
          <w:color w:val="000000" w:themeColor="text1"/>
          <w:spacing w:val="1"/>
        </w:rPr>
        <w:t xml:space="preserve"> </w:t>
      </w:r>
      <w:r w:rsidRPr="00C56257">
        <w:rPr>
          <w:color w:val="000000" w:themeColor="text1"/>
        </w:rPr>
        <w:t>este declarat</w:t>
      </w:r>
      <w:r w:rsidRPr="00C56257">
        <w:rPr>
          <w:color w:val="000000" w:themeColor="text1"/>
          <w:spacing w:val="-1"/>
        </w:rPr>
        <w:t xml:space="preserve"> </w:t>
      </w:r>
      <w:r w:rsidRPr="00C56257">
        <w:rPr>
          <w:color w:val="000000" w:themeColor="text1"/>
        </w:rPr>
        <w:t>obiectiv de</w:t>
      </w:r>
      <w:r w:rsidRPr="00C56257">
        <w:rPr>
          <w:color w:val="000000" w:themeColor="text1"/>
          <w:spacing w:val="1"/>
        </w:rPr>
        <w:t xml:space="preserve"> </w:t>
      </w:r>
      <w:r w:rsidRPr="00C56257">
        <w:rPr>
          <w:color w:val="000000" w:themeColor="text1"/>
        </w:rPr>
        <w:t>conservare.</w:t>
      </w:r>
    </w:p>
    <w:p w14:paraId="3EFFBD7D" w14:textId="77777777" w:rsidR="00A37B92" w:rsidRPr="00C56257" w:rsidRDefault="00A37B92" w:rsidP="00A37B92">
      <w:pPr>
        <w:widowControl w:val="0"/>
        <w:autoSpaceDE w:val="0"/>
        <w:autoSpaceDN w:val="0"/>
        <w:spacing w:before="1"/>
        <w:jc w:val="both"/>
        <w:rPr>
          <w:i/>
          <w:color w:val="000000" w:themeColor="text1"/>
        </w:rPr>
      </w:pPr>
      <w:r w:rsidRPr="00C56257">
        <w:rPr>
          <w:i/>
          <w:color w:val="000000" w:themeColor="text1"/>
        </w:rPr>
        <w:t>Suprafața</w:t>
      </w:r>
      <w:r w:rsidRPr="00C56257">
        <w:rPr>
          <w:i/>
          <w:color w:val="000000" w:themeColor="text1"/>
          <w:spacing w:val="-1"/>
        </w:rPr>
        <w:t xml:space="preserve"> </w:t>
      </w:r>
      <w:r w:rsidRPr="00C56257">
        <w:rPr>
          <w:i/>
          <w:color w:val="000000" w:themeColor="text1"/>
        </w:rPr>
        <w:t>tipului</w:t>
      </w:r>
      <w:r w:rsidRPr="00C56257">
        <w:rPr>
          <w:i/>
          <w:color w:val="000000" w:themeColor="text1"/>
          <w:spacing w:val="1"/>
        </w:rPr>
        <w:t xml:space="preserve"> </w:t>
      </w:r>
      <w:r w:rsidRPr="00C56257">
        <w:rPr>
          <w:i/>
          <w:color w:val="000000" w:themeColor="text1"/>
        </w:rPr>
        <w:t>de</w:t>
      </w:r>
      <w:r w:rsidRPr="00C56257">
        <w:rPr>
          <w:i/>
          <w:color w:val="000000" w:themeColor="text1"/>
          <w:spacing w:val="-2"/>
        </w:rPr>
        <w:t xml:space="preserve"> </w:t>
      </w:r>
      <w:r w:rsidRPr="00C56257">
        <w:rPr>
          <w:i/>
          <w:color w:val="000000" w:themeColor="text1"/>
        </w:rPr>
        <w:t>habitat din rețeaua</w:t>
      </w:r>
      <w:r w:rsidRPr="00C56257">
        <w:rPr>
          <w:i/>
          <w:color w:val="000000" w:themeColor="text1"/>
          <w:spacing w:val="-1"/>
        </w:rPr>
        <w:t xml:space="preserve"> </w:t>
      </w:r>
      <w:r w:rsidRPr="00C56257">
        <w:rPr>
          <w:i/>
          <w:color w:val="000000" w:themeColor="text1"/>
        </w:rPr>
        <w:t>pSCI, SCI</w:t>
      </w:r>
      <w:r w:rsidRPr="00C56257">
        <w:rPr>
          <w:i/>
          <w:color w:val="000000" w:themeColor="text1"/>
          <w:spacing w:val="-1"/>
        </w:rPr>
        <w:t xml:space="preserve"> </w:t>
      </w:r>
      <w:r w:rsidRPr="00C56257">
        <w:rPr>
          <w:i/>
          <w:color w:val="000000" w:themeColor="text1"/>
        </w:rPr>
        <w:t>și</w:t>
      </w:r>
      <w:r w:rsidRPr="00C56257">
        <w:rPr>
          <w:i/>
          <w:color w:val="000000" w:themeColor="text1"/>
          <w:spacing w:val="-1"/>
        </w:rPr>
        <w:t xml:space="preserve"> </w:t>
      </w:r>
      <w:r w:rsidRPr="00C56257">
        <w:rPr>
          <w:i/>
          <w:color w:val="000000" w:themeColor="text1"/>
        </w:rPr>
        <w:t>SAC</w:t>
      </w:r>
    </w:p>
    <w:p w14:paraId="74154225" w14:textId="77777777" w:rsidR="00A37B92" w:rsidRPr="00C56257" w:rsidRDefault="00A37B92" w:rsidP="00A37B92">
      <w:pPr>
        <w:widowControl w:val="0"/>
        <w:autoSpaceDE w:val="0"/>
        <w:autoSpaceDN w:val="0"/>
        <w:ind w:right="253"/>
        <w:jc w:val="both"/>
        <w:rPr>
          <w:color w:val="000000" w:themeColor="text1"/>
        </w:rPr>
      </w:pPr>
      <w:r w:rsidRPr="00C56257">
        <w:rPr>
          <w:color w:val="000000" w:themeColor="text1"/>
        </w:rPr>
        <w:t>Se indică suprafața tipului de habitat din rețea, din regiunea biogeografică sau marină în cauză,</w:t>
      </w:r>
      <w:r w:rsidRPr="00C56257">
        <w:rPr>
          <w:color w:val="000000" w:themeColor="text1"/>
          <w:spacing w:val="1"/>
        </w:rPr>
        <w:t xml:space="preserve"> </w:t>
      </w:r>
      <w:r w:rsidRPr="00C56257">
        <w:rPr>
          <w:color w:val="000000" w:themeColor="text1"/>
        </w:rPr>
        <w:t>inclusiv toate siturile în care este prezent tipul de habitat. Se urmăresc aceleași recomandări ca și</w:t>
      </w:r>
      <w:r w:rsidRPr="00C56257">
        <w:rPr>
          <w:color w:val="000000" w:themeColor="text1"/>
          <w:spacing w:val="1"/>
        </w:rPr>
        <w:t xml:space="preserve"> </w:t>
      </w:r>
      <w:r w:rsidRPr="00C56257">
        <w:rPr>
          <w:color w:val="000000" w:themeColor="text1"/>
        </w:rPr>
        <w:t>pentru</w:t>
      </w:r>
      <w:r w:rsidRPr="00C56257">
        <w:rPr>
          <w:color w:val="000000" w:themeColor="text1"/>
          <w:spacing w:val="-1"/>
        </w:rPr>
        <w:t xml:space="preserve"> </w:t>
      </w:r>
      <w:r w:rsidRPr="00C56257">
        <w:rPr>
          <w:color w:val="000000" w:themeColor="text1"/>
        </w:rPr>
        <w:t>suprafața</w:t>
      </w:r>
      <w:r w:rsidRPr="00C56257">
        <w:rPr>
          <w:color w:val="000000" w:themeColor="text1"/>
          <w:spacing w:val="-1"/>
        </w:rPr>
        <w:t xml:space="preserve"> </w:t>
      </w:r>
      <w:r w:rsidRPr="00C56257">
        <w:rPr>
          <w:color w:val="000000" w:themeColor="text1"/>
        </w:rPr>
        <w:t>habitatului.</w:t>
      </w:r>
    </w:p>
    <w:p w14:paraId="6E976832" w14:textId="77777777" w:rsidR="00A37B92" w:rsidRPr="00C56257" w:rsidRDefault="00A37B92" w:rsidP="00A37B92">
      <w:pPr>
        <w:widowControl w:val="0"/>
        <w:autoSpaceDE w:val="0"/>
        <w:autoSpaceDN w:val="0"/>
        <w:spacing w:before="8"/>
        <w:jc w:val="both"/>
        <w:rPr>
          <w:color w:val="000000" w:themeColor="text1"/>
        </w:rPr>
      </w:pPr>
    </w:p>
    <w:tbl>
      <w:tblPr>
        <w:tblW w:w="0" w:type="auto"/>
        <w:tblInd w:w="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0"/>
        <w:gridCol w:w="696"/>
        <w:gridCol w:w="749"/>
        <w:gridCol w:w="710"/>
        <w:gridCol w:w="669"/>
        <w:gridCol w:w="672"/>
        <w:gridCol w:w="736"/>
        <w:gridCol w:w="1529"/>
        <w:gridCol w:w="2386"/>
      </w:tblGrid>
      <w:tr w:rsidR="00A37B92" w:rsidRPr="00C56257" w14:paraId="0E2B538F" w14:textId="77777777" w:rsidTr="00C902DF">
        <w:trPr>
          <w:trHeight w:val="554"/>
        </w:trPr>
        <w:tc>
          <w:tcPr>
            <w:tcW w:w="1490" w:type="dxa"/>
          </w:tcPr>
          <w:p w14:paraId="41852F97" w14:textId="77777777" w:rsidR="00A37B92" w:rsidRPr="00C56257" w:rsidRDefault="00A37B92" w:rsidP="00C902DF">
            <w:pPr>
              <w:widowControl w:val="0"/>
              <w:autoSpaceDE w:val="0"/>
              <w:autoSpaceDN w:val="0"/>
              <w:spacing w:before="10"/>
              <w:jc w:val="both"/>
              <w:rPr>
                <w:color w:val="000000" w:themeColor="text1"/>
              </w:rPr>
            </w:pPr>
          </w:p>
          <w:p w14:paraId="2D7F7D36" w14:textId="77777777" w:rsidR="00A37B92" w:rsidRPr="00C56257" w:rsidRDefault="00A37B92" w:rsidP="00C902DF">
            <w:pPr>
              <w:widowControl w:val="0"/>
              <w:autoSpaceDE w:val="0"/>
              <w:autoSpaceDN w:val="0"/>
              <w:spacing w:line="259" w:lineRule="exact"/>
              <w:ind w:right="78"/>
              <w:jc w:val="both"/>
              <w:rPr>
                <w:b/>
                <w:color w:val="000000" w:themeColor="text1"/>
              </w:rPr>
            </w:pPr>
            <w:r w:rsidRPr="00C56257">
              <w:rPr>
                <w:b/>
                <w:color w:val="000000" w:themeColor="text1"/>
              </w:rPr>
              <w:t>Cod</w:t>
            </w:r>
            <w:r w:rsidRPr="00C56257">
              <w:rPr>
                <w:b/>
                <w:color w:val="000000" w:themeColor="text1"/>
                <w:spacing w:val="-1"/>
              </w:rPr>
              <w:t xml:space="preserve"> </w:t>
            </w:r>
            <w:r w:rsidRPr="00C56257">
              <w:rPr>
                <w:b/>
                <w:color w:val="000000" w:themeColor="text1"/>
              </w:rPr>
              <w:t>Habitat</w:t>
            </w:r>
          </w:p>
        </w:tc>
        <w:tc>
          <w:tcPr>
            <w:tcW w:w="696" w:type="dxa"/>
          </w:tcPr>
          <w:p w14:paraId="0EF353CA" w14:textId="77777777" w:rsidR="00A37B92" w:rsidRPr="00C56257" w:rsidRDefault="00A37B92" w:rsidP="00C902DF">
            <w:pPr>
              <w:widowControl w:val="0"/>
              <w:autoSpaceDE w:val="0"/>
              <w:autoSpaceDN w:val="0"/>
              <w:spacing w:before="10"/>
              <w:jc w:val="both"/>
              <w:rPr>
                <w:color w:val="000000" w:themeColor="text1"/>
              </w:rPr>
            </w:pPr>
          </w:p>
          <w:p w14:paraId="27E237B0" w14:textId="77777777" w:rsidR="00A37B92" w:rsidRPr="00C56257" w:rsidRDefault="00A37B92" w:rsidP="00C902DF">
            <w:pPr>
              <w:widowControl w:val="0"/>
              <w:autoSpaceDE w:val="0"/>
              <w:autoSpaceDN w:val="0"/>
              <w:spacing w:line="259" w:lineRule="exact"/>
              <w:ind w:right="78"/>
              <w:jc w:val="both"/>
              <w:rPr>
                <w:b/>
                <w:color w:val="000000" w:themeColor="text1"/>
              </w:rPr>
            </w:pPr>
            <w:r w:rsidRPr="00C56257">
              <w:rPr>
                <w:b/>
                <w:color w:val="000000" w:themeColor="text1"/>
              </w:rPr>
              <w:t>ALP</w:t>
            </w:r>
          </w:p>
        </w:tc>
        <w:tc>
          <w:tcPr>
            <w:tcW w:w="749" w:type="dxa"/>
          </w:tcPr>
          <w:p w14:paraId="2C7F2378" w14:textId="77777777" w:rsidR="00A37B92" w:rsidRPr="00C56257" w:rsidRDefault="00A37B92" w:rsidP="00C902DF">
            <w:pPr>
              <w:widowControl w:val="0"/>
              <w:autoSpaceDE w:val="0"/>
              <w:autoSpaceDN w:val="0"/>
              <w:spacing w:before="10"/>
              <w:jc w:val="both"/>
              <w:rPr>
                <w:color w:val="000000" w:themeColor="text1"/>
              </w:rPr>
            </w:pPr>
          </w:p>
          <w:p w14:paraId="248085D7" w14:textId="77777777" w:rsidR="00A37B92" w:rsidRPr="00C56257" w:rsidRDefault="00A37B92" w:rsidP="00C902DF">
            <w:pPr>
              <w:widowControl w:val="0"/>
              <w:autoSpaceDE w:val="0"/>
              <w:autoSpaceDN w:val="0"/>
              <w:spacing w:line="259" w:lineRule="exact"/>
              <w:ind w:right="77"/>
              <w:jc w:val="both"/>
              <w:rPr>
                <w:b/>
                <w:color w:val="000000" w:themeColor="text1"/>
              </w:rPr>
            </w:pPr>
            <w:r w:rsidRPr="00C56257">
              <w:rPr>
                <w:b/>
                <w:color w:val="000000" w:themeColor="text1"/>
              </w:rPr>
              <w:t>CON</w:t>
            </w:r>
          </w:p>
        </w:tc>
        <w:tc>
          <w:tcPr>
            <w:tcW w:w="710" w:type="dxa"/>
          </w:tcPr>
          <w:p w14:paraId="719B5B60" w14:textId="77777777" w:rsidR="00A37B92" w:rsidRPr="00C56257" w:rsidRDefault="00A37B92" w:rsidP="00C902DF">
            <w:pPr>
              <w:widowControl w:val="0"/>
              <w:autoSpaceDE w:val="0"/>
              <w:autoSpaceDN w:val="0"/>
              <w:spacing w:before="10"/>
              <w:jc w:val="both"/>
              <w:rPr>
                <w:color w:val="000000" w:themeColor="text1"/>
              </w:rPr>
            </w:pPr>
          </w:p>
          <w:p w14:paraId="700D5CA5" w14:textId="77777777" w:rsidR="00A37B92" w:rsidRPr="00C56257" w:rsidRDefault="00A37B92" w:rsidP="00C902DF">
            <w:pPr>
              <w:widowControl w:val="0"/>
              <w:autoSpaceDE w:val="0"/>
              <w:autoSpaceDN w:val="0"/>
              <w:spacing w:line="259" w:lineRule="exact"/>
              <w:ind w:right="76"/>
              <w:jc w:val="both"/>
              <w:rPr>
                <w:b/>
                <w:color w:val="000000" w:themeColor="text1"/>
              </w:rPr>
            </w:pPr>
            <w:r w:rsidRPr="00C56257">
              <w:rPr>
                <w:b/>
                <w:color w:val="000000" w:themeColor="text1"/>
              </w:rPr>
              <w:t>PAN</w:t>
            </w:r>
          </w:p>
        </w:tc>
        <w:tc>
          <w:tcPr>
            <w:tcW w:w="669" w:type="dxa"/>
          </w:tcPr>
          <w:p w14:paraId="4BA82000" w14:textId="77777777" w:rsidR="00A37B92" w:rsidRPr="00C56257" w:rsidRDefault="00A37B92" w:rsidP="00C902DF">
            <w:pPr>
              <w:widowControl w:val="0"/>
              <w:autoSpaceDE w:val="0"/>
              <w:autoSpaceDN w:val="0"/>
              <w:spacing w:before="10"/>
              <w:jc w:val="both"/>
              <w:rPr>
                <w:color w:val="000000" w:themeColor="text1"/>
              </w:rPr>
            </w:pPr>
          </w:p>
          <w:p w14:paraId="0BE075CC" w14:textId="77777777" w:rsidR="00A37B92" w:rsidRPr="00C56257" w:rsidRDefault="00A37B92" w:rsidP="00C902DF">
            <w:pPr>
              <w:widowControl w:val="0"/>
              <w:autoSpaceDE w:val="0"/>
              <w:autoSpaceDN w:val="0"/>
              <w:spacing w:line="259" w:lineRule="exact"/>
              <w:ind w:right="73"/>
              <w:jc w:val="both"/>
              <w:rPr>
                <w:b/>
                <w:color w:val="000000" w:themeColor="text1"/>
              </w:rPr>
            </w:pPr>
            <w:r w:rsidRPr="00C56257">
              <w:rPr>
                <w:b/>
                <w:color w:val="000000" w:themeColor="text1"/>
              </w:rPr>
              <w:t>STE</w:t>
            </w:r>
          </w:p>
        </w:tc>
        <w:tc>
          <w:tcPr>
            <w:tcW w:w="672" w:type="dxa"/>
          </w:tcPr>
          <w:p w14:paraId="3D13C5C3" w14:textId="77777777" w:rsidR="00A37B92" w:rsidRPr="00C56257" w:rsidRDefault="00A37B92" w:rsidP="00C902DF">
            <w:pPr>
              <w:widowControl w:val="0"/>
              <w:autoSpaceDE w:val="0"/>
              <w:autoSpaceDN w:val="0"/>
              <w:spacing w:before="10"/>
              <w:jc w:val="both"/>
              <w:rPr>
                <w:color w:val="000000" w:themeColor="text1"/>
              </w:rPr>
            </w:pPr>
          </w:p>
          <w:p w14:paraId="3A969B96" w14:textId="77777777" w:rsidR="00A37B92" w:rsidRPr="00C56257" w:rsidRDefault="00A37B92" w:rsidP="00C902DF">
            <w:pPr>
              <w:widowControl w:val="0"/>
              <w:autoSpaceDE w:val="0"/>
              <w:autoSpaceDN w:val="0"/>
              <w:spacing w:line="259" w:lineRule="exact"/>
              <w:ind w:right="75"/>
              <w:jc w:val="both"/>
              <w:rPr>
                <w:b/>
                <w:color w:val="000000" w:themeColor="text1"/>
              </w:rPr>
            </w:pPr>
            <w:r w:rsidRPr="00C56257">
              <w:rPr>
                <w:b/>
                <w:color w:val="000000" w:themeColor="text1"/>
              </w:rPr>
              <w:t>BLS</w:t>
            </w:r>
          </w:p>
        </w:tc>
        <w:tc>
          <w:tcPr>
            <w:tcW w:w="736" w:type="dxa"/>
          </w:tcPr>
          <w:p w14:paraId="3EDBA9DA" w14:textId="77777777" w:rsidR="00A37B92" w:rsidRPr="00C56257" w:rsidRDefault="00A37B92" w:rsidP="00C902DF">
            <w:pPr>
              <w:widowControl w:val="0"/>
              <w:autoSpaceDE w:val="0"/>
              <w:autoSpaceDN w:val="0"/>
              <w:spacing w:before="10"/>
              <w:jc w:val="both"/>
              <w:rPr>
                <w:color w:val="000000" w:themeColor="text1"/>
              </w:rPr>
            </w:pPr>
          </w:p>
          <w:p w14:paraId="0C0FDA4E" w14:textId="77777777" w:rsidR="00A37B92" w:rsidRPr="00C56257" w:rsidRDefault="00A37B92" w:rsidP="00C902DF">
            <w:pPr>
              <w:widowControl w:val="0"/>
              <w:autoSpaceDE w:val="0"/>
              <w:autoSpaceDN w:val="0"/>
              <w:spacing w:line="259" w:lineRule="exact"/>
              <w:ind w:right="76"/>
              <w:jc w:val="both"/>
              <w:rPr>
                <w:b/>
                <w:color w:val="000000" w:themeColor="text1"/>
              </w:rPr>
            </w:pPr>
            <w:r w:rsidRPr="00C56257">
              <w:rPr>
                <w:b/>
                <w:color w:val="000000" w:themeColor="text1"/>
              </w:rPr>
              <w:t>MBS</w:t>
            </w:r>
          </w:p>
        </w:tc>
        <w:tc>
          <w:tcPr>
            <w:tcW w:w="1529" w:type="dxa"/>
          </w:tcPr>
          <w:p w14:paraId="57368819" w14:textId="77777777" w:rsidR="00A37B92" w:rsidRPr="00C56257" w:rsidRDefault="00A37B92" w:rsidP="00C902DF">
            <w:pPr>
              <w:widowControl w:val="0"/>
              <w:autoSpaceDE w:val="0"/>
              <w:autoSpaceDN w:val="0"/>
              <w:spacing w:before="10"/>
              <w:jc w:val="both"/>
              <w:rPr>
                <w:color w:val="000000" w:themeColor="text1"/>
              </w:rPr>
            </w:pPr>
          </w:p>
          <w:p w14:paraId="621015E6" w14:textId="77777777" w:rsidR="00A37B92" w:rsidRPr="00C56257" w:rsidRDefault="00A37B92" w:rsidP="00C902DF">
            <w:pPr>
              <w:widowControl w:val="0"/>
              <w:autoSpaceDE w:val="0"/>
              <w:autoSpaceDN w:val="0"/>
              <w:spacing w:line="259" w:lineRule="exact"/>
              <w:ind w:right="75"/>
              <w:jc w:val="both"/>
              <w:rPr>
                <w:b/>
                <w:color w:val="000000" w:themeColor="text1"/>
              </w:rPr>
            </w:pPr>
            <w:r w:rsidRPr="00C56257">
              <w:rPr>
                <w:b/>
                <w:color w:val="000000" w:themeColor="text1"/>
              </w:rPr>
              <w:t>Total</w:t>
            </w:r>
            <w:r w:rsidRPr="00C56257">
              <w:rPr>
                <w:b/>
                <w:color w:val="000000" w:themeColor="text1"/>
                <w:spacing w:val="-1"/>
              </w:rPr>
              <w:t xml:space="preserve"> </w:t>
            </w:r>
            <w:r w:rsidRPr="00C56257">
              <w:rPr>
                <w:b/>
                <w:color w:val="000000" w:themeColor="text1"/>
              </w:rPr>
              <w:t>ploturi</w:t>
            </w:r>
          </w:p>
        </w:tc>
        <w:tc>
          <w:tcPr>
            <w:tcW w:w="2386" w:type="dxa"/>
          </w:tcPr>
          <w:p w14:paraId="1E250B33" w14:textId="77777777" w:rsidR="00A37B92" w:rsidRPr="00C56257" w:rsidRDefault="00A37B92" w:rsidP="00C902DF">
            <w:pPr>
              <w:widowControl w:val="0"/>
              <w:autoSpaceDE w:val="0"/>
              <w:autoSpaceDN w:val="0"/>
              <w:spacing w:line="276" w:lineRule="exact"/>
              <w:ind w:right="242"/>
              <w:jc w:val="both"/>
              <w:rPr>
                <w:b/>
                <w:color w:val="000000" w:themeColor="text1"/>
              </w:rPr>
            </w:pPr>
            <w:r w:rsidRPr="00C56257">
              <w:rPr>
                <w:b/>
                <w:color w:val="000000" w:themeColor="text1"/>
              </w:rPr>
              <w:t>Ploturi in doua</w:t>
            </w:r>
            <w:r w:rsidRPr="00C56257">
              <w:rPr>
                <w:b/>
                <w:color w:val="000000" w:themeColor="text1"/>
                <w:spacing w:val="1"/>
              </w:rPr>
              <w:t xml:space="preserve"> </w:t>
            </w:r>
            <w:r w:rsidRPr="00C56257">
              <w:rPr>
                <w:b/>
                <w:color w:val="000000" w:themeColor="text1"/>
              </w:rPr>
              <w:t>bioregiuni</w:t>
            </w:r>
            <w:r w:rsidRPr="00C56257">
              <w:rPr>
                <w:b/>
                <w:color w:val="000000" w:themeColor="text1"/>
                <w:spacing w:val="-13"/>
              </w:rPr>
              <w:t xml:space="preserve"> </w:t>
            </w:r>
            <w:r w:rsidRPr="00C56257">
              <w:rPr>
                <w:b/>
                <w:color w:val="000000" w:themeColor="text1"/>
              </w:rPr>
              <w:t>diferite</w:t>
            </w:r>
          </w:p>
        </w:tc>
      </w:tr>
      <w:tr w:rsidR="00A37B92" w:rsidRPr="00C56257" w14:paraId="245DEEF7" w14:textId="77777777" w:rsidTr="00C902DF">
        <w:trPr>
          <w:trHeight w:val="299"/>
        </w:trPr>
        <w:tc>
          <w:tcPr>
            <w:tcW w:w="1490" w:type="dxa"/>
          </w:tcPr>
          <w:p w14:paraId="2F3158FC" w14:textId="77777777" w:rsidR="00A37B92" w:rsidRPr="00C56257" w:rsidRDefault="00A37B92" w:rsidP="00C902DF">
            <w:pPr>
              <w:widowControl w:val="0"/>
              <w:autoSpaceDE w:val="0"/>
              <w:autoSpaceDN w:val="0"/>
              <w:spacing w:before="20" w:line="259" w:lineRule="exact"/>
              <w:ind w:right="78"/>
              <w:jc w:val="both"/>
              <w:rPr>
                <w:b/>
                <w:color w:val="000000" w:themeColor="text1"/>
              </w:rPr>
            </w:pPr>
            <w:r w:rsidRPr="00C56257">
              <w:rPr>
                <w:b/>
                <w:color w:val="000000" w:themeColor="text1"/>
              </w:rPr>
              <w:t>2110</w:t>
            </w:r>
          </w:p>
        </w:tc>
        <w:tc>
          <w:tcPr>
            <w:tcW w:w="696" w:type="dxa"/>
          </w:tcPr>
          <w:p w14:paraId="132F92B1"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0</w:t>
            </w:r>
          </w:p>
        </w:tc>
        <w:tc>
          <w:tcPr>
            <w:tcW w:w="749" w:type="dxa"/>
          </w:tcPr>
          <w:p w14:paraId="231B4D4B"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0</w:t>
            </w:r>
          </w:p>
        </w:tc>
        <w:tc>
          <w:tcPr>
            <w:tcW w:w="710" w:type="dxa"/>
          </w:tcPr>
          <w:p w14:paraId="69710A8A"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0</w:t>
            </w:r>
          </w:p>
        </w:tc>
        <w:tc>
          <w:tcPr>
            <w:tcW w:w="669" w:type="dxa"/>
          </w:tcPr>
          <w:p w14:paraId="30AE373C"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0</w:t>
            </w:r>
          </w:p>
        </w:tc>
        <w:tc>
          <w:tcPr>
            <w:tcW w:w="672" w:type="dxa"/>
          </w:tcPr>
          <w:p w14:paraId="2689D03D" w14:textId="77777777" w:rsidR="00A37B92" w:rsidRPr="00C56257" w:rsidRDefault="00A37B92" w:rsidP="00C902DF">
            <w:pPr>
              <w:widowControl w:val="0"/>
              <w:autoSpaceDE w:val="0"/>
              <w:autoSpaceDN w:val="0"/>
              <w:spacing w:before="15" w:line="264" w:lineRule="exact"/>
              <w:ind w:right="75"/>
              <w:jc w:val="both"/>
              <w:rPr>
                <w:color w:val="000000" w:themeColor="text1"/>
              </w:rPr>
            </w:pPr>
            <w:r w:rsidRPr="00C56257">
              <w:rPr>
                <w:color w:val="000000" w:themeColor="text1"/>
              </w:rPr>
              <w:t>10</w:t>
            </w:r>
          </w:p>
        </w:tc>
        <w:tc>
          <w:tcPr>
            <w:tcW w:w="736" w:type="dxa"/>
          </w:tcPr>
          <w:p w14:paraId="10068D07"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0</w:t>
            </w:r>
          </w:p>
        </w:tc>
        <w:tc>
          <w:tcPr>
            <w:tcW w:w="1529" w:type="dxa"/>
          </w:tcPr>
          <w:p w14:paraId="665D095A" w14:textId="77777777" w:rsidR="00A37B92" w:rsidRPr="00C56257" w:rsidRDefault="00A37B92" w:rsidP="00C902DF">
            <w:pPr>
              <w:widowControl w:val="0"/>
              <w:autoSpaceDE w:val="0"/>
              <w:autoSpaceDN w:val="0"/>
              <w:spacing w:before="15" w:line="264" w:lineRule="exact"/>
              <w:ind w:right="75"/>
              <w:jc w:val="both"/>
              <w:rPr>
                <w:color w:val="000000" w:themeColor="text1"/>
              </w:rPr>
            </w:pPr>
            <w:r w:rsidRPr="00C56257">
              <w:rPr>
                <w:color w:val="000000" w:themeColor="text1"/>
              </w:rPr>
              <w:t>10</w:t>
            </w:r>
          </w:p>
        </w:tc>
        <w:tc>
          <w:tcPr>
            <w:tcW w:w="2386" w:type="dxa"/>
          </w:tcPr>
          <w:p w14:paraId="1A3CAA4C"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0</w:t>
            </w:r>
          </w:p>
        </w:tc>
      </w:tr>
      <w:tr w:rsidR="00A37B92" w:rsidRPr="00C56257" w14:paraId="31D59C86" w14:textId="77777777" w:rsidTr="00C902DF">
        <w:trPr>
          <w:trHeight w:val="299"/>
        </w:trPr>
        <w:tc>
          <w:tcPr>
            <w:tcW w:w="1490" w:type="dxa"/>
          </w:tcPr>
          <w:p w14:paraId="42A54CE7" w14:textId="77777777" w:rsidR="00A37B92" w:rsidRPr="00C56257" w:rsidRDefault="00A37B92" w:rsidP="00C902DF">
            <w:pPr>
              <w:widowControl w:val="0"/>
              <w:autoSpaceDE w:val="0"/>
              <w:autoSpaceDN w:val="0"/>
              <w:spacing w:before="20" w:line="259" w:lineRule="exact"/>
              <w:ind w:right="78"/>
              <w:jc w:val="both"/>
              <w:rPr>
                <w:b/>
                <w:color w:val="000000" w:themeColor="text1"/>
              </w:rPr>
            </w:pPr>
            <w:r w:rsidRPr="00C56257">
              <w:rPr>
                <w:b/>
                <w:color w:val="000000" w:themeColor="text1"/>
              </w:rPr>
              <w:t>2130*</w:t>
            </w:r>
          </w:p>
        </w:tc>
        <w:tc>
          <w:tcPr>
            <w:tcW w:w="696" w:type="dxa"/>
          </w:tcPr>
          <w:p w14:paraId="5A840538"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0</w:t>
            </w:r>
          </w:p>
        </w:tc>
        <w:tc>
          <w:tcPr>
            <w:tcW w:w="749" w:type="dxa"/>
          </w:tcPr>
          <w:p w14:paraId="15C9243E"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0</w:t>
            </w:r>
          </w:p>
        </w:tc>
        <w:tc>
          <w:tcPr>
            <w:tcW w:w="710" w:type="dxa"/>
          </w:tcPr>
          <w:p w14:paraId="60800B67"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0</w:t>
            </w:r>
          </w:p>
        </w:tc>
        <w:tc>
          <w:tcPr>
            <w:tcW w:w="669" w:type="dxa"/>
          </w:tcPr>
          <w:p w14:paraId="2B42670E"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0</w:t>
            </w:r>
          </w:p>
        </w:tc>
        <w:tc>
          <w:tcPr>
            <w:tcW w:w="672" w:type="dxa"/>
          </w:tcPr>
          <w:p w14:paraId="2D78487F"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6</w:t>
            </w:r>
          </w:p>
        </w:tc>
        <w:tc>
          <w:tcPr>
            <w:tcW w:w="736" w:type="dxa"/>
          </w:tcPr>
          <w:p w14:paraId="7A8203C1"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0</w:t>
            </w:r>
          </w:p>
        </w:tc>
        <w:tc>
          <w:tcPr>
            <w:tcW w:w="1529" w:type="dxa"/>
          </w:tcPr>
          <w:p w14:paraId="68D6F839"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6</w:t>
            </w:r>
          </w:p>
        </w:tc>
        <w:tc>
          <w:tcPr>
            <w:tcW w:w="2386" w:type="dxa"/>
          </w:tcPr>
          <w:p w14:paraId="19FD9F51"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0</w:t>
            </w:r>
          </w:p>
        </w:tc>
      </w:tr>
      <w:tr w:rsidR="00A37B92" w:rsidRPr="00C56257" w14:paraId="4F4C97E4" w14:textId="77777777" w:rsidTr="00C902DF">
        <w:trPr>
          <w:trHeight w:val="299"/>
        </w:trPr>
        <w:tc>
          <w:tcPr>
            <w:tcW w:w="1490" w:type="dxa"/>
          </w:tcPr>
          <w:p w14:paraId="6AE2A010" w14:textId="77777777" w:rsidR="00A37B92" w:rsidRPr="00C56257" w:rsidRDefault="00A37B92" w:rsidP="00C902DF">
            <w:pPr>
              <w:widowControl w:val="0"/>
              <w:autoSpaceDE w:val="0"/>
              <w:autoSpaceDN w:val="0"/>
              <w:spacing w:before="21" w:line="259" w:lineRule="exact"/>
              <w:ind w:right="78"/>
              <w:jc w:val="both"/>
              <w:rPr>
                <w:b/>
                <w:color w:val="000000" w:themeColor="text1"/>
              </w:rPr>
            </w:pPr>
            <w:r w:rsidRPr="00C56257">
              <w:rPr>
                <w:b/>
                <w:color w:val="000000" w:themeColor="text1"/>
              </w:rPr>
              <w:t>2160</w:t>
            </w:r>
          </w:p>
        </w:tc>
        <w:tc>
          <w:tcPr>
            <w:tcW w:w="696" w:type="dxa"/>
          </w:tcPr>
          <w:p w14:paraId="1323686C" w14:textId="77777777" w:rsidR="00A37B92" w:rsidRPr="00C56257" w:rsidRDefault="00A37B92" w:rsidP="00C902DF">
            <w:pPr>
              <w:widowControl w:val="0"/>
              <w:autoSpaceDE w:val="0"/>
              <w:autoSpaceDN w:val="0"/>
              <w:spacing w:before="16" w:line="264" w:lineRule="exact"/>
              <w:jc w:val="both"/>
              <w:rPr>
                <w:color w:val="000000" w:themeColor="text1"/>
              </w:rPr>
            </w:pPr>
            <w:r w:rsidRPr="00C56257">
              <w:rPr>
                <w:color w:val="000000" w:themeColor="text1"/>
              </w:rPr>
              <w:t>0</w:t>
            </w:r>
          </w:p>
        </w:tc>
        <w:tc>
          <w:tcPr>
            <w:tcW w:w="749" w:type="dxa"/>
          </w:tcPr>
          <w:p w14:paraId="5069AC35" w14:textId="77777777" w:rsidR="00A37B92" w:rsidRPr="00C56257" w:rsidRDefault="00A37B92" w:rsidP="00C902DF">
            <w:pPr>
              <w:widowControl w:val="0"/>
              <w:autoSpaceDE w:val="0"/>
              <w:autoSpaceDN w:val="0"/>
              <w:spacing w:before="16" w:line="264" w:lineRule="exact"/>
              <w:jc w:val="both"/>
              <w:rPr>
                <w:color w:val="000000" w:themeColor="text1"/>
              </w:rPr>
            </w:pPr>
            <w:r w:rsidRPr="00C56257">
              <w:rPr>
                <w:color w:val="000000" w:themeColor="text1"/>
              </w:rPr>
              <w:t>0</w:t>
            </w:r>
          </w:p>
        </w:tc>
        <w:tc>
          <w:tcPr>
            <w:tcW w:w="710" w:type="dxa"/>
          </w:tcPr>
          <w:p w14:paraId="01005735" w14:textId="77777777" w:rsidR="00A37B92" w:rsidRPr="00C56257" w:rsidRDefault="00A37B92" w:rsidP="00C902DF">
            <w:pPr>
              <w:widowControl w:val="0"/>
              <w:autoSpaceDE w:val="0"/>
              <w:autoSpaceDN w:val="0"/>
              <w:spacing w:before="16" w:line="264" w:lineRule="exact"/>
              <w:jc w:val="both"/>
              <w:rPr>
                <w:color w:val="000000" w:themeColor="text1"/>
              </w:rPr>
            </w:pPr>
            <w:r w:rsidRPr="00C56257">
              <w:rPr>
                <w:color w:val="000000" w:themeColor="text1"/>
              </w:rPr>
              <w:t>0</w:t>
            </w:r>
          </w:p>
        </w:tc>
        <w:tc>
          <w:tcPr>
            <w:tcW w:w="669" w:type="dxa"/>
          </w:tcPr>
          <w:p w14:paraId="051E3997" w14:textId="77777777" w:rsidR="00A37B92" w:rsidRPr="00C56257" w:rsidRDefault="00A37B92" w:rsidP="00C902DF">
            <w:pPr>
              <w:widowControl w:val="0"/>
              <w:autoSpaceDE w:val="0"/>
              <w:autoSpaceDN w:val="0"/>
              <w:spacing w:before="16" w:line="264" w:lineRule="exact"/>
              <w:jc w:val="both"/>
              <w:rPr>
                <w:color w:val="000000" w:themeColor="text1"/>
              </w:rPr>
            </w:pPr>
            <w:r w:rsidRPr="00C56257">
              <w:rPr>
                <w:color w:val="000000" w:themeColor="text1"/>
              </w:rPr>
              <w:t>0</w:t>
            </w:r>
          </w:p>
        </w:tc>
        <w:tc>
          <w:tcPr>
            <w:tcW w:w="672" w:type="dxa"/>
          </w:tcPr>
          <w:p w14:paraId="73940535" w14:textId="77777777" w:rsidR="00A37B92" w:rsidRPr="00C56257" w:rsidRDefault="00A37B92" w:rsidP="00C902DF">
            <w:pPr>
              <w:widowControl w:val="0"/>
              <w:autoSpaceDE w:val="0"/>
              <w:autoSpaceDN w:val="0"/>
              <w:spacing w:before="16" w:line="264" w:lineRule="exact"/>
              <w:ind w:right="75"/>
              <w:jc w:val="both"/>
              <w:rPr>
                <w:color w:val="000000" w:themeColor="text1"/>
              </w:rPr>
            </w:pPr>
            <w:r w:rsidRPr="00C56257">
              <w:rPr>
                <w:color w:val="000000" w:themeColor="text1"/>
              </w:rPr>
              <w:t>10</w:t>
            </w:r>
          </w:p>
        </w:tc>
        <w:tc>
          <w:tcPr>
            <w:tcW w:w="736" w:type="dxa"/>
          </w:tcPr>
          <w:p w14:paraId="1098C62A" w14:textId="77777777" w:rsidR="00A37B92" w:rsidRPr="00C56257" w:rsidRDefault="00A37B92" w:rsidP="00C902DF">
            <w:pPr>
              <w:widowControl w:val="0"/>
              <w:autoSpaceDE w:val="0"/>
              <w:autoSpaceDN w:val="0"/>
              <w:spacing w:before="16" w:line="264" w:lineRule="exact"/>
              <w:jc w:val="both"/>
              <w:rPr>
                <w:color w:val="000000" w:themeColor="text1"/>
              </w:rPr>
            </w:pPr>
            <w:r w:rsidRPr="00C56257">
              <w:rPr>
                <w:color w:val="000000" w:themeColor="text1"/>
              </w:rPr>
              <w:t>0</w:t>
            </w:r>
          </w:p>
        </w:tc>
        <w:tc>
          <w:tcPr>
            <w:tcW w:w="1529" w:type="dxa"/>
          </w:tcPr>
          <w:p w14:paraId="4FF6EFE1" w14:textId="77777777" w:rsidR="00A37B92" w:rsidRPr="00C56257" w:rsidRDefault="00A37B92" w:rsidP="00C902DF">
            <w:pPr>
              <w:widowControl w:val="0"/>
              <w:autoSpaceDE w:val="0"/>
              <w:autoSpaceDN w:val="0"/>
              <w:spacing w:before="16" w:line="264" w:lineRule="exact"/>
              <w:ind w:right="75"/>
              <w:jc w:val="both"/>
              <w:rPr>
                <w:color w:val="000000" w:themeColor="text1"/>
              </w:rPr>
            </w:pPr>
            <w:r w:rsidRPr="00C56257">
              <w:rPr>
                <w:color w:val="000000" w:themeColor="text1"/>
              </w:rPr>
              <w:t>10</w:t>
            </w:r>
          </w:p>
        </w:tc>
        <w:tc>
          <w:tcPr>
            <w:tcW w:w="2386" w:type="dxa"/>
          </w:tcPr>
          <w:p w14:paraId="4F5D7489" w14:textId="77777777" w:rsidR="00A37B92" w:rsidRPr="00C56257" w:rsidRDefault="00A37B92" w:rsidP="00C902DF">
            <w:pPr>
              <w:widowControl w:val="0"/>
              <w:autoSpaceDE w:val="0"/>
              <w:autoSpaceDN w:val="0"/>
              <w:spacing w:before="16" w:line="264" w:lineRule="exact"/>
              <w:jc w:val="both"/>
              <w:rPr>
                <w:color w:val="000000" w:themeColor="text1"/>
              </w:rPr>
            </w:pPr>
            <w:r w:rsidRPr="00C56257">
              <w:rPr>
                <w:color w:val="000000" w:themeColor="text1"/>
              </w:rPr>
              <w:t>0</w:t>
            </w:r>
          </w:p>
        </w:tc>
      </w:tr>
      <w:tr w:rsidR="00A37B92" w:rsidRPr="00C56257" w14:paraId="3B6A0178" w14:textId="77777777" w:rsidTr="00C902DF">
        <w:trPr>
          <w:trHeight w:val="299"/>
        </w:trPr>
        <w:tc>
          <w:tcPr>
            <w:tcW w:w="1490" w:type="dxa"/>
          </w:tcPr>
          <w:p w14:paraId="486BE3CA" w14:textId="77777777" w:rsidR="00A37B92" w:rsidRPr="00C56257" w:rsidRDefault="00A37B92" w:rsidP="00C902DF">
            <w:pPr>
              <w:widowControl w:val="0"/>
              <w:autoSpaceDE w:val="0"/>
              <w:autoSpaceDN w:val="0"/>
              <w:spacing w:before="20" w:line="259" w:lineRule="exact"/>
              <w:ind w:right="78"/>
              <w:jc w:val="both"/>
              <w:rPr>
                <w:b/>
                <w:color w:val="000000" w:themeColor="text1"/>
              </w:rPr>
            </w:pPr>
            <w:r w:rsidRPr="00C56257">
              <w:rPr>
                <w:b/>
                <w:color w:val="000000" w:themeColor="text1"/>
              </w:rPr>
              <w:t>2190</w:t>
            </w:r>
          </w:p>
        </w:tc>
        <w:tc>
          <w:tcPr>
            <w:tcW w:w="696" w:type="dxa"/>
          </w:tcPr>
          <w:p w14:paraId="6E0E8DAD"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0</w:t>
            </w:r>
          </w:p>
        </w:tc>
        <w:tc>
          <w:tcPr>
            <w:tcW w:w="749" w:type="dxa"/>
          </w:tcPr>
          <w:p w14:paraId="3F5E291F"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0</w:t>
            </w:r>
          </w:p>
        </w:tc>
        <w:tc>
          <w:tcPr>
            <w:tcW w:w="710" w:type="dxa"/>
          </w:tcPr>
          <w:p w14:paraId="1A5C6D18"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0</w:t>
            </w:r>
          </w:p>
        </w:tc>
        <w:tc>
          <w:tcPr>
            <w:tcW w:w="669" w:type="dxa"/>
          </w:tcPr>
          <w:p w14:paraId="66D1FB99"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0</w:t>
            </w:r>
          </w:p>
        </w:tc>
        <w:tc>
          <w:tcPr>
            <w:tcW w:w="672" w:type="dxa"/>
          </w:tcPr>
          <w:p w14:paraId="20ADFA2B"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5</w:t>
            </w:r>
          </w:p>
        </w:tc>
        <w:tc>
          <w:tcPr>
            <w:tcW w:w="736" w:type="dxa"/>
          </w:tcPr>
          <w:p w14:paraId="4D631870"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0</w:t>
            </w:r>
          </w:p>
        </w:tc>
        <w:tc>
          <w:tcPr>
            <w:tcW w:w="1529" w:type="dxa"/>
          </w:tcPr>
          <w:p w14:paraId="6DAD7234"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5</w:t>
            </w:r>
          </w:p>
        </w:tc>
        <w:tc>
          <w:tcPr>
            <w:tcW w:w="2386" w:type="dxa"/>
          </w:tcPr>
          <w:p w14:paraId="320315D9" w14:textId="77777777" w:rsidR="00A37B92" w:rsidRPr="00C56257" w:rsidRDefault="00A37B92" w:rsidP="00C902DF">
            <w:pPr>
              <w:widowControl w:val="0"/>
              <w:autoSpaceDE w:val="0"/>
              <w:autoSpaceDN w:val="0"/>
              <w:spacing w:before="15" w:line="264" w:lineRule="exact"/>
              <w:jc w:val="both"/>
              <w:rPr>
                <w:color w:val="000000" w:themeColor="text1"/>
              </w:rPr>
            </w:pPr>
            <w:r w:rsidRPr="00C56257">
              <w:rPr>
                <w:color w:val="000000" w:themeColor="text1"/>
              </w:rPr>
              <w:t>0</w:t>
            </w:r>
          </w:p>
        </w:tc>
      </w:tr>
      <w:tr w:rsidR="00A37B92" w:rsidRPr="00C56257" w14:paraId="12CD7175" w14:textId="77777777" w:rsidTr="00C902DF">
        <w:trPr>
          <w:trHeight w:val="301"/>
        </w:trPr>
        <w:tc>
          <w:tcPr>
            <w:tcW w:w="1490" w:type="dxa"/>
          </w:tcPr>
          <w:p w14:paraId="6CC7380D" w14:textId="77777777" w:rsidR="00A37B92" w:rsidRPr="00C56257" w:rsidRDefault="00A37B92" w:rsidP="00C902DF">
            <w:pPr>
              <w:widowControl w:val="0"/>
              <w:autoSpaceDE w:val="0"/>
              <w:autoSpaceDN w:val="0"/>
              <w:spacing w:before="20" w:line="261" w:lineRule="exact"/>
              <w:ind w:right="78"/>
              <w:jc w:val="both"/>
              <w:rPr>
                <w:b/>
                <w:color w:val="000000" w:themeColor="text1"/>
              </w:rPr>
            </w:pPr>
            <w:r w:rsidRPr="00C56257">
              <w:rPr>
                <w:b/>
                <w:color w:val="000000" w:themeColor="text1"/>
              </w:rPr>
              <w:t>2340*</w:t>
            </w:r>
          </w:p>
        </w:tc>
        <w:tc>
          <w:tcPr>
            <w:tcW w:w="696" w:type="dxa"/>
          </w:tcPr>
          <w:p w14:paraId="31BE344C" w14:textId="77777777" w:rsidR="00A37B92" w:rsidRPr="00C56257" w:rsidRDefault="00A37B92" w:rsidP="00C902DF">
            <w:pPr>
              <w:widowControl w:val="0"/>
              <w:autoSpaceDE w:val="0"/>
              <w:autoSpaceDN w:val="0"/>
              <w:spacing w:before="15" w:line="266" w:lineRule="exact"/>
              <w:jc w:val="both"/>
              <w:rPr>
                <w:color w:val="000000" w:themeColor="text1"/>
              </w:rPr>
            </w:pPr>
            <w:r w:rsidRPr="00C56257">
              <w:rPr>
                <w:color w:val="000000" w:themeColor="text1"/>
              </w:rPr>
              <w:t>0</w:t>
            </w:r>
          </w:p>
        </w:tc>
        <w:tc>
          <w:tcPr>
            <w:tcW w:w="749" w:type="dxa"/>
          </w:tcPr>
          <w:p w14:paraId="68E91EE6" w14:textId="77777777" w:rsidR="00A37B92" w:rsidRPr="00C56257" w:rsidRDefault="00A37B92" w:rsidP="00C902DF">
            <w:pPr>
              <w:widowControl w:val="0"/>
              <w:autoSpaceDE w:val="0"/>
              <w:autoSpaceDN w:val="0"/>
              <w:spacing w:before="15" w:line="266" w:lineRule="exact"/>
              <w:jc w:val="both"/>
              <w:rPr>
                <w:color w:val="000000" w:themeColor="text1"/>
              </w:rPr>
            </w:pPr>
            <w:r w:rsidRPr="00C56257">
              <w:rPr>
                <w:color w:val="000000" w:themeColor="text1"/>
              </w:rPr>
              <w:t>0</w:t>
            </w:r>
          </w:p>
        </w:tc>
        <w:tc>
          <w:tcPr>
            <w:tcW w:w="710" w:type="dxa"/>
          </w:tcPr>
          <w:p w14:paraId="52534ED8" w14:textId="77777777" w:rsidR="00A37B92" w:rsidRPr="00C56257" w:rsidRDefault="00A37B92" w:rsidP="00C902DF">
            <w:pPr>
              <w:widowControl w:val="0"/>
              <w:autoSpaceDE w:val="0"/>
              <w:autoSpaceDN w:val="0"/>
              <w:spacing w:before="15" w:line="266" w:lineRule="exact"/>
              <w:jc w:val="both"/>
              <w:rPr>
                <w:color w:val="000000" w:themeColor="text1"/>
              </w:rPr>
            </w:pPr>
            <w:r w:rsidRPr="00C56257">
              <w:rPr>
                <w:color w:val="000000" w:themeColor="text1"/>
              </w:rPr>
              <w:t>6</w:t>
            </w:r>
          </w:p>
        </w:tc>
        <w:tc>
          <w:tcPr>
            <w:tcW w:w="669" w:type="dxa"/>
          </w:tcPr>
          <w:p w14:paraId="6104A6E2" w14:textId="77777777" w:rsidR="00A37B92" w:rsidRPr="00C56257" w:rsidRDefault="00A37B92" w:rsidP="00C902DF">
            <w:pPr>
              <w:widowControl w:val="0"/>
              <w:autoSpaceDE w:val="0"/>
              <w:autoSpaceDN w:val="0"/>
              <w:spacing w:before="15" w:line="266" w:lineRule="exact"/>
              <w:jc w:val="both"/>
              <w:rPr>
                <w:color w:val="000000" w:themeColor="text1"/>
              </w:rPr>
            </w:pPr>
            <w:r w:rsidRPr="00C56257">
              <w:rPr>
                <w:color w:val="000000" w:themeColor="text1"/>
              </w:rPr>
              <w:t>0</w:t>
            </w:r>
          </w:p>
        </w:tc>
        <w:tc>
          <w:tcPr>
            <w:tcW w:w="672" w:type="dxa"/>
          </w:tcPr>
          <w:p w14:paraId="0A8313F5" w14:textId="77777777" w:rsidR="00A37B92" w:rsidRPr="00C56257" w:rsidRDefault="00A37B92" w:rsidP="00C902DF">
            <w:pPr>
              <w:widowControl w:val="0"/>
              <w:autoSpaceDE w:val="0"/>
              <w:autoSpaceDN w:val="0"/>
              <w:spacing w:before="15" w:line="266" w:lineRule="exact"/>
              <w:jc w:val="both"/>
              <w:rPr>
                <w:color w:val="000000" w:themeColor="text1"/>
              </w:rPr>
            </w:pPr>
            <w:r w:rsidRPr="00C56257">
              <w:rPr>
                <w:color w:val="000000" w:themeColor="text1"/>
              </w:rPr>
              <w:t>0</w:t>
            </w:r>
          </w:p>
        </w:tc>
        <w:tc>
          <w:tcPr>
            <w:tcW w:w="736" w:type="dxa"/>
          </w:tcPr>
          <w:p w14:paraId="61A14809" w14:textId="77777777" w:rsidR="00A37B92" w:rsidRPr="00C56257" w:rsidRDefault="00A37B92" w:rsidP="00C902DF">
            <w:pPr>
              <w:widowControl w:val="0"/>
              <w:autoSpaceDE w:val="0"/>
              <w:autoSpaceDN w:val="0"/>
              <w:spacing w:before="15" w:line="266" w:lineRule="exact"/>
              <w:jc w:val="both"/>
              <w:rPr>
                <w:color w:val="000000" w:themeColor="text1"/>
              </w:rPr>
            </w:pPr>
            <w:r w:rsidRPr="00C56257">
              <w:rPr>
                <w:color w:val="000000" w:themeColor="text1"/>
              </w:rPr>
              <w:t>0</w:t>
            </w:r>
          </w:p>
        </w:tc>
        <w:tc>
          <w:tcPr>
            <w:tcW w:w="1529" w:type="dxa"/>
          </w:tcPr>
          <w:p w14:paraId="03557DA8" w14:textId="77777777" w:rsidR="00A37B92" w:rsidRPr="00C56257" w:rsidRDefault="00A37B92" w:rsidP="00C902DF">
            <w:pPr>
              <w:widowControl w:val="0"/>
              <w:autoSpaceDE w:val="0"/>
              <w:autoSpaceDN w:val="0"/>
              <w:spacing w:before="15" w:line="266" w:lineRule="exact"/>
              <w:jc w:val="both"/>
              <w:rPr>
                <w:color w:val="000000" w:themeColor="text1"/>
              </w:rPr>
            </w:pPr>
            <w:r w:rsidRPr="00C56257">
              <w:rPr>
                <w:color w:val="000000" w:themeColor="text1"/>
              </w:rPr>
              <w:t>6</w:t>
            </w:r>
          </w:p>
        </w:tc>
        <w:tc>
          <w:tcPr>
            <w:tcW w:w="2386" w:type="dxa"/>
          </w:tcPr>
          <w:p w14:paraId="01C2373B" w14:textId="77777777" w:rsidR="00A37B92" w:rsidRPr="00C56257" w:rsidRDefault="00A37B92" w:rsidP="00C902DF">
            <w:pPr>
              <w:widowControl w:val="0"/>
              <w:autoSpaceDE w:val="0"/>
              <w:autoSpaceDN w:val="0"/>
              <w:spacing w:before="15" w:line="266" w:lineRule="exact"/>
              <w:jc w:val="both"/>
              <w:rPr>
                <w:color w:val="000000" w:themeColor="text1"/>
              </w:rPr>
            </w:pPr>
            <w:r w:rsidRPr="00C56257">
              <w:rPr>
                <w:color w:val="000000" w:themeColor="text1"/>
              </w:rPr>
              <w:t>0</w:t>
            </w:r>
          </w:p>
        </w:tc>
      </w:tr>
    </w:tbl>
    <w:p w14:paraId="6E86509F" w14:textId="77777777" w:rsidR="00A37B92" w:rsidRPr="00C56257" w:rsidRDefault="00A37B92" w:rsidP="00F100E1">
      <w:pPr>
        <w:widowControl w:val="0"/>
        <w:tabs>
          <w:tab w:val="left" w:pos="1194"/>
        </w:tabs>
        <w:autoSpaceDE w:val="0"/>
        <w:autoSpaceDN w:val="0"/>
        <w:spacing w:before="250"/>
        <w:jc w:val="both"/>
        <w:outlineLvl w:val="1"/>
        <w:rPr>
          <w:rFonts w:eastAsia="Cambria"/>
          <w:b/>
          <w:bCs/>
          <w:color w:val="000000" w:themeColor="text1"/>
        </w:rPr>
      </w:pPr>
      <w:r w:rsidRPr="00C56257">
        <w:rPr>
          <w:rFonts w:eastAsia="Cambria"/>
          <w:b/>
          <w:bCs/>
          <w:color w:val="000000" w:themeColor="text1"/>
        </w:rPr>
        <w:t>Ploturi</w:t>
      </w:r>
      <w:r w:rsidRPr="00C56257">
        <w:rPr>
          <w:rFonts w:eastAsia="Cambria"/>
          <w:b/>
          <w:bCs/>
          <w:color w:val="000000" w:themeColor="text1"/>
          <w:spacing w:val="-5"/>
        </w:rPr>
        <w:t xml:space="preserve"> </w:t>
      </w:r>
      <w:r w:rsidRPr="00C56257">
        <w:rPr>
          <w:rFonts w:eastAsia="Cambria"/>
          <w:b/>
          <w:bCs/>
          <w:color w:val="000000" w:themeColor="text1"/>
        </w:rPr>
        <w:t>de</w:t>
      </w:r>
      <w:r w:rsidRPr="00C56257">
        <w:rPr>
          <w:rFonts w:eastAsia="Cambria"/>
          <w:b/>
          <w:bCs/>
          <w:color w:val="000000" w:themeColor="text1"/>
          <w:spacing w:val="-5"/>
        </w:rPr>
        <w:t xml:space="preserve"> </w:t>
      </w:r>
      <w:r w:rsidRPr="00C56257">
        <w:rPr>
          <w:rFonts w:eastAsia="Cambria"/>
          <w:b/>
          <w:bCs/>
          <w:color w:val="000000" w:themeColor="text1"/>
        </w:rPr>
        <w:t>monitorizare</w:t>
      </w:r>
      <w:r w:rsidRPr="00C56257">
        <w:rPr>
          <w:rFonts w:eastAsia="Cambria"/>
          <w:b/>
          <w:bCs/>
          <w:color w:val="000000" w:themeColor="text1"/>
          <w:spacing w:val="-5"/>
        </w:rPr>
        <w:t xml:space="preserve"> </w:t>
      </w:r>
      <w:r w:rsidRPr="00C56257">
        <w:rPr>
          <w:rFonts w:eastAsia="Cambria"/>
          <w:b/>
          <w:bCs/>
          <w:color w:val="000000" w:themeColor="text1"/>
        </w:rPr>
        <w:t>din</w:t>
      </w:r>
      <w:r w:rsidRPr="00C56257">
        <w:rPr>
          <w:rFonts w:eastAsia="Cambria"/>
          <w:b/>
          <w:bCs/>
          <w:color w:val="000000" w:themeColor="text1"/>
          <w:spacing w:val="-2"/>
        </w:rPr>
        <w:t xml:space="preserve"> </w:t>
      </w:r>
      <w:r w:rsidRPr="00C56257">
        <w:rPr>
          <w:rFonts w:eastAsia="Cambria"/>
          <w:b/>
          <w:bCs/>
          <w:color w:val="000000" w:themeColor="text1"/>
        </w:rPr>
        <w:t>rețeaua</w:t>
      </w:r>
      <w:r w:rsidRPr="00C56257">
        <w:rPr>
          <w:rFonts w:eastAsia="Cambria"/>
          <w:b/>
          <w:bCs/>
          <w:color w:val="000000" w:themeColor="text1"/>
          <w:spacing w:val="-3"/>
        </w:rPr>
        <w:t xml:space="preserve"> </w:t>
      </w:r>
      <w:r w:rsidRPr="00C56257">
        <w:rPr>
          <w:rFonts w:eastAsia="Cambria"/>
          <w:b/>
          <w:bCs/>
          <w:color w:val="000000" w:themeColor="text1"/>
        </w:rPr>
        <w:t>Natura</w:t>
      </w:r>
      <w:r w:rsidRPr="00C56257">
        <w:rPr>
          <w:rFonts w:eastAsia="Cambria"/>
          <w:b/>
          <w:bCs/>
          <w:color w:val="000000" w:themeColor="text1"/>
          <w:spacing w:val="-6"/>
        </w:rPr>
        <w:t xml:space="preserve"> </w:t>
      </w:r>
      <w:r w:rsidRPr="00C56257">
        <w:rPr>
          <w:rFonts w:eastAsia="Cambria"/>
          <w:b/>
          <w:bCs/>
          <w:color w:val="000000" w:themeColor="text1"/>
        </w:rPr>
        <w:t>2000</w:t>
      </w:r>
    </w:p>
    <w:p w14:paraId="31CFE0AB" w14:textId="77777777" w:rsidR="00A37B92" w:rsidRPr="00C56257" w:rsidRDefault="00A37B92" w:rsidP="00A37B92">
      <w:pPr>
        <w:widowControl w:val="0"/>
        <w:autoSpaceDE w:val="0"/>
        <w:autoSpaceDN w:val="0"/>
        <w:spacing w:before="157"/>
        <w:jc w:val="both"/>
        <w:rPr>
          <w:color w:val="000000" w:themeColor="text1"/>
        </w:rPr>
      </w:pPr>
      <w:r w:rsidRPr="00C56257">
        <w:rPr>
          <w:color w:val="000000" w:themeColor="text1"/>
        </w:rPr>
        <w:t>Ploturile</w:t>
      </w:r>
      <w:r w:rsidRPr="00C56257">
        <w:rPr>
          <w:color w:val="000000" w:themeColor="text1"/>
          <w:spacing w:val="-2"/>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monitorizare</w:t>
      </w:r>
      <w:r w:rsidRPr="00C56257">
        <w:rPr>
          <w:color w:val="000000" w:themeColor="text1"/>
          <w:spacing w:val="-3"/>
        </w:rPr>
        <w:t xml:space="preserve"> </w:t>
      </w:r>
      <w:r w:rsidRPr="00C56257">
        <w:rPr>
          <w:color w:val="000000" w:themeColor="text1"/>
        </w:rPr>
        <w:t>se</w:t>
      </w:r>
      <w:r w:rsidRPr="00C56257">
        <w:rPr>
          <w:color w:val="000000" w:themeColor="text1"/>
          <w:spacing w:val="-2"/>
        </w:rPr>
        <w:t xml:space="preserve"> </w:t>
      </w:r>
      <w:r w:rsidRPr="00C56257">
        <w:rPr>
          <w:color w:val="000000" w:themeColor="text1"/>
        </w:rPr>
        <w:t>stabilesc</w:t>
      </w:r>
      <w:r w:rsidRPr="00C56257">
        <w:rPr>
          <w:color w:val="000000" w:themeColor="text1"/>
          <w:spacing w:val="-2"/>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corelație cu:</w:t>
      </w:r>
    </w:p>
    <w:p w14:paraId="0EEAD22C" w14:textId="77777777" w:rsidR="00A37B92" w:rsidRPr="00C56257" w:rsidRDefault="00A37B92" w:rsidP="009E63E5">
      <w:pPr>
        <w:widowControl w:val="0"/>
        <w:numPr>
          <w:ilvl w:val="0"/>
          <w:numId w:val="88"/>
        </w:numPr>
        <w:tabs>
          <w:tab w:val="left" w:pos="142"/>
        </w:tabs>
        <w:autoSpaceDE w:val="0"/>
        <w:autoSpaceDN w:val="0"/>
        <w:ind w:hanging="432"/>
        <w:jc w:val="both"/>
        <w:rPr>
          <w:color w:val="000000" w:themeColor="text1"/>
        </w:rPr>
      </w:pPr>
      <w:r w:rsidRPr="00C56257">
        <w:rPr>
          <w:color w:val="000000" w:themeColor="text1"/>
        </w:rPr>
        <w:t>arealul</w:t>
      </w:r>
      <w:r w:rsidRPr="00C56257">
        <w:rPr>
          <w:color w:val="000000" w:themeColor="text1"/>
          <w:spacing w:val="-2"/>
        </w:rPr>
        <w:t xml:space="preserve"> </w:t>
      </w:r>
      <w:r w:rsidRPr="00C56257">
        <w:rPr>
          <w:color w:val="000000" w:themeColor="text1"/>
        </w:rPr>
        <w:t>tipului</w:t>
      </w:r>
      <w:r w:rsidRPr="00C56257">
        <w:rPr>
          <w:color w:val="000000" w:themeColor="text1"/>
          <w:spacing w:val="-1"/>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habitat</w:t>
      </w:r>
      <w:r w:rsidRPr="00C56257">
        <w:rPr>
          <w:color w:val="000000" w:themeColor="text1"/>
          <w:spacing w:val="-1"/>
        </w:rPr>
        <w:t xml:space="preserve"> </w:t>
      </w:r>
      <w:r w:rsidRPr="00C56257">
        <w:rPr>
          <w:color w:val="000000" w:themeColor="text1"/>
        </w:rPr>
        <w:t>din</w:t>
      </w:r>
      <w:r w:rsidRPr="00C56257">
        <w:rPr>
          <w:color w:val="000000" w:themeColor="text1"/>
          <w:spacing w:val="-1"/>
        </w:rPr>
        <w:t xml:space="preserve"> </w:t>
      </w:r>
      <w:r w:rsidRPr="00C56257">
        <w:rPr>
          <w:color w:val="000000" w:themeColor="text1"/>
        </w:rPr>
        <w:t>interiorul</w:t>
      </w:r>
      <w:r w:rsidRPr="00C56257">
        <w:rPr>
          <w:color w:val="000000" w:themeColor="text1"/>
          <w:spacing w:val="-1"/>
        </w:rPr>
        <w:t xml:space="preserve"> </w:t>
      </w:r>
      <w:r w:rsidRPr="00C56257">
        <w:rPr>
          <w:color w:val="000000" w:themeColor="text1"/>
        </w:rPr>
        <w:t>rețelei</w:t>
      </w:r>
      <w:r w:rsidRPr="00C56257">
        <w:rPr>
          <w:color w:val="000000" w:themeColor="text1"/>
          <w:spacing w:val="-2"/>
        </w:rPr>
        <w:t xml:space="preserve"> </w:t>
      </w:r>
      <w:r w:rsidRPr="00C56257">
        <w:rPr>
          <w:color w:val="000000" w:themeColor="text1"/>
        </w:rPr>
        <w:t>pSCI,</w:t>
      </w:r>
      <w:r w:rsidRPr="00C56257">
        <w:rPr>
          <w:color w:val="000000" w:themeColor="text1"/>
          <w:spacing w:val="-1"/>
        </w:rPr>
        <w:t xml:space="preserve"> </w:t>
      </w:r>
      <w:r w:rsidRPr="00C56257">
        <w:rPr>
          <w:color w:val="000000" w:themeColor="text1"/>
        </w:rPr>
        <w:t>SCI</w:t>
      </w:r>
      <w:r w:rsidRPr="00C56257">
        <w:rPr>
          <w:color w:val="000000" w:themeColor="text1"/>
          <w:spacing w:val="-5"/>
        </w:rPr>
        <w:t xml:space="preserve"> </w:t>
      </w:r>
      <w:r w:rsidRPr="00C56257">
        <w:rPr>
          <w:color w:val="000000" w:themeColor="text1"/>
        </w:rPr>
        <w:t>și</w:t>
      </w:r>
      <w:r w:rsidRPr="00C56257">
        <w:rPr>
          <w:color w:val="000000" w:themeColor="text1"/>
          <w:spacing w:val="-2"/>
        </w:rPr>
        <w:t xml:space="preserve"> </w:t>
      </w:r>
      <w:r w:rsidRPr="00C56257">
        <w:rPr>
          <w:color w:val="000000" w:themeColor="text1"/>
        </w:rPr>
        <w:t>SAC,</w:t>
      </w:r>
    </w:p>
    <w:p w14:paraId="618D917D" w14:textId="77777777" w:rsidR="00A37B92" w:rsidRPr="00C56257" w:rsidRDefault="00A37B92" w:rsidP="00A37B92">
      <w:pPr>
        <w:widowControl w:val="0"/>
        <w:autoSpaceDE w:val="0"/>
        <w:autoSpaceDN w:val="0"/>
        <w:jc w:val="both"/>
        <w:rPr>
          <w:color w:val="000000" w:themeColor="text1"/>
        </w:rPr>
      </w:pPr>
      <w:r w:rsidRPr="00C56257">
        <w:rPr>
          <w:color w:val="000000" w:themeColor="text1"/>
        </w:rPr>
        <w:t>-modul</w:t>
      </w:r>
      <w:r w:rsidRPr="00C56257">
        <w:rPr>
          <w:color w:val="000000" w:themeColor="text1"/>
          <w:spacing w:val="-2"/>
        </w:rPr>
        <w:t xml:space="preserve"> </w:t>
      </w:r>
      <w:r w:rsidRPr="00C56257">
        <w:rPr>
          <w:color w:val="000000" w:themeColor="text1"/>
        </w:rPr>
        <w:t>de</w:t>
      </w:r>
      <w:r w:rsidRPr="00C56257">
        <w:rPr>
          <w:color w:val="000000" w:themeColor="text1"/>
          <w:spacing w:val="-3"/>
        </w:rPr>
        <w:t xml:space="preserve"> </w:t>
      </w:r>
      <w:r w:rsidRPr="00C56257">
        <w:rPr>
          <w:color w:val="000000" w:themeColor="text1"/>
        </w:rPr>
        <w:t>estimare,</w:t>
      </w:r>
    </w:p>
    <w:p w14:paraId="0F134866" w14:textId="77777777" w:rsidR="00A37B92" w:rsidRPr="00C56257" w:rsidRDefault="00A37B92" w:rsidP="00A37B92">
      <w:pPr>
        <w:widowControl w:val="0"/>
        <w:autoSpaceDE w:val="0"/>
        <w:autoSpaceDN w:val="0"/>
        <w:spacing w:before="1"/>
        <w:jc w:val="both"/>
        <w:rPr>
          <w:color w:val="000000" w:themeColor="text1"/>
        </w:rPr>
      </w:pPr>
      <w:r w:rsidRPr="00C56257">
        <w:rPr>
          <w:color w:val="000000" w:themeColor="text1"/>
        </w:rPr>
        <w:t>-suprafața</w:t>
      </w:r>
      <w:r w:rsidRPr="00C56257">
        <w:rPr>
          <w:color w:val="000000" w:themeColor="text1"/>
          <w:spacing w:val="-2"/>
        </w:rPr>
        <w:t xml:space="preserve"> </w:t>
      </w:r>
      <w:r w:rsidRPr="00C56257">
        <w:rPr>
          <w:color w:val="000000" w:themeColor="text1"/>
        </w:rPr>
        <w:t>tipului</w:t>
      </w:r>
      <w:r w:rsidRPr="00C56257">
        <w:rPr>
          <w:color w:val="000000" w:themeColor="text1"/>
          <w:spacing w:val="-2"/>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habitat</w:t>
      </w:r>
      <w:r w:rsidRPr="00C56257">
        <w:rPr>
          <w:color w:val="000000" w:themeColor="text1"/>
          <w:spacing w:val="-2"/>
        </w:rPr>
        <w:t xml:space="preserve"> </w:t>
      </w:r>
      <w:r w:rsidRPr="00C56257">
        <w:rPr>
          <w:color w:val="000000" w:themeColor="text1"/>
        </w:rPr>
        <w:t>din</w:t>
      </w:r>
      <w:r w:rsidRPr="00C56257">
        <w:rPr>
          <w:color w:val="000000" w:themeColor="text1"/>
          <w:spacing w:val="-2"/>
        </w:rPr>
        <w:t xml:space="preserve"> </w:t>
      </w:r>
      <w:r w:rsidRPr="00C56257">
        <w:rPr>
          <w:color w:val="000000" w:themeColor="text1"/>
        </w:rPr>
        <w:t>interiorul</w:t>
      </w:r>
      <w:r w:rsidRPr="00C56257">
        <w:rPr>
          <w:color w:val="000000" w:themeColor="text1"/>
          <w:spacing w:val="-1"/>
        </w:rPr>
        <w:t xml:space="preserve"> </w:t>
      </w:r>
      <w:r w:rsidRPr="00C56257">
        <w:rPr>
          <w:color w:val="000000" w:themeColor="text1"/>
        </w:rPr>
        <w:t>rețelei,</w:t>
      </w:r>
    </w:p>
    <w:p w14:paraId="71CD1850" w14:textId="77777777" w:rsidR="00A37B92" w:rsidRPr="00C56257" w:rsidRDefault="00A37B92" w:rsidP="00A37B92">
      <w:pPr>
        <w:widowControl w:val="0"/>
        <w:autoSpaceDE w:val="0"/>
        <w:autoSpaceDN w:val="0"/>
        <w:jc w:val="both"/>
        <w:rPr>
          <w:color w:val="000000" w:themeColor="text1"/>
        </w:rPr>
      </w:pPr>
      <w:r w:rsidRPr="00C56257">
        <w:rPr>
          <w:color w:val="000000" w:themeColor="text1"/>
        </w:rPr>
        <w:t>-metoda</w:t>
      </w:r>
      <w:r w:rsidRPr="00C56257">
        <w:rPr>
          <w:color w:val="000000" w:themeColor="text1"/>
          <w:spacing w:val="-2"/>
        </w:rPr>
        <w:t xml:space="preserve"> </w:t>
      </w:r>
      <w:r w:rsidRPr="00C56257">
        <w:rPr>
          <w:color w:val="000000" w:themeColor="text1"/>
        </w:rPr>
        <w:t>folosită,</w:t>
      </w:r>
    </w:p>
    <w:p w14:paraId="642ABC28" w14:textId="77777777" w:rsidR="00A37B92" w:rsidRPr="00C56257" w:rsidRDefault="00A37B92" w:rsidP="00A37B92">
      <w:pPr>
        <w:widowControl w:val="0"/>
        <w:autoSpaceDE w:val="0"/>
        <w:autoSpaceDN w:val="0"/>
        <w:jc w:val="both"/>
        <w:rPr>
          <w:color w:val="000000" w:themeColor="text1"/>
        </w:rPr>
      </w:pPr>
      <w:r w:rsidRPr="00C56257">
        <w:rPr>
          <w:color w:val="000000" w:themeColor="text1"/>
        </w:rPr>
        <w:t>-tendința</w:t>
      </w:r>
      <w:r w:rsidRPr="00C56257">
        <w:rPr>
          <w:color w:val="000000" w:themeColor="text1"/>
          <w:spacing w:val="-1"/>
        </w:rPr>
        <w:t xml:space="preserve"> </w:t>
      </w:r>
      <w:r w:rsidRPr="00C56257">
        <w:rPr>
          <w:color w:val="000000" w:themeColor="text1"/>
        </w:rPr>
        <w:t>pe</w:t>
      </w:r>
      <w:r w:rsidRPr="00C56257">
        <w:rPr>
          <w:color w:val="000000" w:themeColor="text1"/>
          <w:spacing w:val="-3"/>
        </w:rPr>
        <w:t xml:space="preserve"> </w:t>
      </w:r>
      <w:r w:rsidRPr="00C56257">
        <w:rPr>
          <w:color w:val="000000" w:themeColor="text1"/>
        </w:rPr>
        <w:t>termen</w:t>
      </w:r>
      <w:r w:rsidRPr="00C56257">
        <w:rPr>
          <w:color w:val="000000" w:themeColor="text1"/>
          <w:spacing w:val="-1"/>
        </w:rPr>
        <w:t xml:space="preserve"> </w:t>
      </w:r>
      <w:r w:rsidRPr="00C56257">
        <w:rPr>
          <w:color w:val="000000" w:themeColor="text1"/>
        </w:rPr>
        <w:t>scurt a</w:t>
      </w:r>
      <w:r w:rsidRPr="00C56257">
        <w:rPr>
          <w:color w:val="000000" w:themeColor="text1"/>
          <w:spacing w:val="-2"/>
        </w:rPr>
        <w:t xml:space="preserve"> </w:t>
      </w:r>
      <w:r w:rsidRPr="00C56257">
        <w:rPr>
          <w:color w:val="000000" w:themeColor="text1"/>
        </w:rPr>
        <w:t>habitatului în</w:t>
      </w:r>
      <w:r w:rsidRPr="00C56257">
        <w:rPr>
          <w:color w:val="000000" w:themeColor="text1"/>
          <w:spacing w:val="-1"/>
        </w:rPr>
        <w:t xml:space="preserve"> </w:t>
      </w:r>
      <w:r w:rsidRPr="00C56257">
        <w:rPr>
          <w:color w:val="000000" w:themeColor="text1"/>
        </w:rPr>
        <w:t>stare</w:t>
      </w:r>
      <w:r w:rsidRPr="00C56257">
        <w:rPr>
          <w:color w:val="000000" w:themeColor="text1"/>
          <w:spacing w:val="-3"/>
        </w:rPr>
        <w:t xml:space="preserve"> </w:t>
      </w:r>
      <w:r w:rsidRPr="00C56257">
        <w:rPr>
          <w:color w:val="000000" w:themeColor="text1"/>
        </w:rPr>
        <w:t>bună</w:t>
      </w:r>
      <w:r w:rsidRPr="00C56257">
        <w:rPr>
          <w:color w:val="000000" w:themeColor="text1"/>
          <w:spacing w:val="-2"/>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cadrul</w:t>
      </w:r>
      <w:r w:rsidRPr="00C56257">
        <w:rPr>
          <w:color w:val="000000" w:themeColor="text1"/>
          <w:spacing w:val="-1"/>
        </w:rPr>
        <w:t xml:space="preserve"> </w:t>
      </w:r>
      <w:r w:rsidRPr="00C56257">
        <w:rPr>
          <w:color w:val="000000" w:themeColor="text1"/>
        </w:rPr>
        <w:t>rețelei</w:t>
      </w:r>
      <w:r w:rsidRPr="00C56257">
        <w:rPr>
          <w:color w:val="000000" w:themeColor="text1"/>
          <w:spacing w:val="2"/>
        </w:rPr>
        <w:t xml:space="preserve"> </w:t>
      </w:r>
      <w:r w:rsidRPr="00C56257">
        <w:rPr>
          <w:color w:val="000000" w:themeColor="text1"/>
        </w:rPr>
        <w:t>(direcţia),</w:t>
      </w:r>
    </w:p>
    <w:p w14:paraId="5681378D" w14:textId="77777777" w:rsidR="00A37B92" w:rsidRPr="00C56257" w:rsidRDefault="00A37B92" w:rsidP="00A37B92">
      <w:pPr>
        <w:widowControl w:val="0"/>
        <w:autoSpaceDE w:val="0"/>
        <w:autoSpaceDN w:val="0"/>
        <w:jc w:val="both"/>
        <w:rPr>
          <w:color w:val="000000" w:themeColor="text1"/>
        </w:rPr>
      </w:pPr>
      <w:r w:rsidRPr="00C56257">
        <w:rPr>
          <w:color w:val="000000" w:themeColor="text1"/>
        </w:rPr>
        <w:t>-tendința</w:t>
      </w:r>
      <w:r w:rsidRPr="00C56257">
        <w:rPr>
          <w:color w:val="000000" w:themeColor="text1"/>
          <w:spacing w:val="-1"/>
        </w:rPr>
        <w:t xml:space="preserve"> </w:t>
      </w:r>
      <w:r w:rsidRPr="00C56257">
        <w:rPr>
          <w:color w:val="000000" w:themeColor="text1"/>
        </w:rPr>
        <w:t>pe</w:t>
      </w:r>
      <w:r w:rsidRPr="00C56257">
        <w:rPr>
          <w:color w:val="000000" w:themeColor="text1"/>
          <w:spacing w:val="-3"/>
        </w:rPr>
        <w:t xml:space="preserve"> </w:t>
      </w:r>
      <w:r w:rsidRPr="00C56257">
        <w:rPr>
          <w:color w:val="000000" w:themeColor="text1"/>
        </w:rPr>
        <w:t>termen</w:t>
      </w:r>
      <w:r w:rsidRPr="00C56257">
        <w:rPr>
          <w:color w:val="000000" w:themeColor="text1"/>
          <w:spacing w:val="-1"/>
        </w:rPr>
        <w:t xml:space="preserve"> </w:t>
      </w:r>
      <w:r w:rsidRPr="00C56257">
        <w:rPr>
          <w:color w:val="000000" w:themeColor="text1"/>
        </w:rPr>
        <w:t>scurt a</w:t>
      </w:r>
      <w:r w:rsidRPr="00C56257">
        <w:rPr>
          <w:color w:val="000000" w:themeColor="text1"/>
          <w:spacing w:val="-2"/>
        </w:rPr>
        <w:t xml:space="preserve"> </w:t>
      </w:r>
      <w:r w:rsidRPr="00C56257">
        <w:rPr>
          <w:color w:val="000000" w:themeColor="text1"/>
        </w:rPr>
        <w:t>habitatului</w:t>
      </w:r>
      <w:r w:rsidRPr="00C56257">
        <w:rPr>
          <w:color w:val="000000" w:themeColor="text1"/>
          <w:spacing w:val="-1"/>
        </w:rPr>
        <w:t xml:space="preserve"> </w:t>
      </w:r>
      <w:r w:rsidRPr="00C56257">
        <w:rPr>
          <w:color w:val="000000" w:themeColor="text1"/>
        </w:rPr>
        <w:t>în stare</w:t>
      </w:r>
      <w:r w:rsidRPr="00C56257">
        <w:rPr>
          <w:color w:val="000000" w:themeColor="text1"/>
          <w:spacing w:val="-3"/>
        </w:rPr>
        <w:t xml:space="preserve"> </w:t>
      </w:r>
      <w:r w:rsidRPr="00C56257">
        <w:rPr>
          <w:color w:val="000000" w:themeColor="text1"/>
        </w:rPr>
        <w:t>bună</w:t>
      </w:r>
      <w:r w:rsidRPr="00C56257">
        <w:rPr>
          <w:color w:val="000000" w:themeColor="text1"/>
          <w:spacing w:val="-2"/>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cadrul</w:t>
      </w:r>
      <w:r w:rsidRPr="00C56257">
        <w:rPr>
          <w:color w:val="000000" w:themeColor="text1"/>
          <w:spacing w:val="-1"/>
        </w:rPr>
        <w:t xml:space="preserve"> </w:t>
      </w:r>
      <w:r w:rsidRPr="00C56257">
        <w:rPr>
          <w:color w:val="000000" w:themeColor="text1"/>
        </w:rPr>
        <w:t>rețelei</w:t>
      </w:r>
      <w:r w:rsidRPr="00C56257">
        <w:rPr>
          <w:color w:val="000000" w:themeColor="text1"/>
          <w:spacing w:val="2"/>
        </w:rPr>
        <w:t xml:space="preserve"> </w:t>
      </w:r>
      <w:r w:rsidRPr="00C56257">
        <w:rPr>
          <w:color w:val="000000" w:themeColor="text1"/>
        </w:rPr>
        <w:t>(metoda</w:t>
      </w:r>
      <w:r w:rsidRPr="00C56257">
        <w:rPr>
          <w:color w:val="000000" w:themeColor="text1"/>
          <w:spacing w:val="-2"/>
        </w:rPr>
        <w:t xml:space="preserve"> </w:t>
      </w:r>
      <w:r w:rsidRPr="00C56257">
        <w:rPr>
          <w:color w:val="000000" w:themeColor="text1"/>
        </w:rPr>
        <w:t>folosită).</w:t>
      </w:r>
    </w:p>
    <w:p w14:paraId="363D0114" w14:textId="77777777" w:rsidR="00A37B92" w:rsidRPr="00C56257" w:rsidRDefault="00A37B92" w:rsidP="00A37B92">
      <w:pPr>
        <w:widowControl w:val="0"/>
        <w:autoSpaceDE w:val="0"/>
        <w:autoSpaceDN w:val="0"/>
        <w:jc w:val="both"/>
        <w:rPr>
          <w:color w:val="000000" w:themeColor="text1"/>
        </w:rPr>
      </w:pPr>
    </w:p>
    <w:p w14:paraId="5D5F2279" w14:textId="77777777" w:rsidR="00A37B92" w:rsidRPr="00C56257" w:rsidRDefault="00A37B92" w:rsidP="00175369">
      <w:pPr>
        <w:widowControl w:val="0"/>
        <w:tabs>
          <w:tab w:val="left" w:pos="1246"/>
        </w:tabs>
        <w:autoSpaceDE w:val="0"/>
        <w:autoSpaceDN w:val="0"/>
        <w:jc w:val="both"/>
        <w:outlineLvl w:val="1"/>
        <w:rPr>
          <w:rFonts w:eastAsia="Cambria"/>
          <w:b/>
          <w:bCs/>
          <w:color w:val="000000" w:themeColor="text1"/>
        </w:rPr>
      </w:pPr>
      <w:r w:rsidRPr="00C56257">
        <w:rPr>
          <w:rFonts w:eastAsia="Cambria"/>
          <w:b/>
          <w:bCs/>
          <w:color w:val="000000" w:themeColor="text1"/>
        </w:rPr>
        <w:t>Ploturi</w:t>
      </w:r>
      <w:r w:rsidRPr="00C56257">
        <w:rPr>
          <w:rFonts w:eastAsia="Cambria"/>
          <w:b/>
          <w:bCs/>
          <w:color w:val="000000" w:themeColor="text1"/>
          <w:spacing w:val="-5"/>
        </w:rPr>
        <w:t xml:space="preserve"> </w:t>
      </w:r>
      <w:r w:rsidRPr="00C56257">
        <w:rPr>
          <w:rFonts w:eastAsia="Cambria"/>
          <w:b/>
          <w:bCs/>
          <w:color w:val="000000" w:themeColor="text1"/>
        </w:rPr>
        <w:t>de</w:t>
      </w:r>
      <w:r w:rsidRPr="00C56257">
        <w:rPr>
          <w:rFonts w:eastAsia="Cambria"/>
          <w:b/>
          <w:bCs/>
          <w:color w:val="000000" w:themeColor="text1"/>
          <w:spacing w:val="-4"/>
        </w:rPr>
        <w:t xml:space="preserve"> </w:t>
      </w:r>
      <w:r w:rsidRPr="00C56257">
        <w:rPr>
          <w:rFonts w:eastAsia="Cambria"/>
          <w:b/>
          <w:bCs/>
          <w:color w:val="000000" w:themeColor="text1"/>
        </w:rPr>
        <w:t>monitorizare</w:t>
      </w:r>
      <w:r w:rsidRPr="00C56257">
        <w:rPr>
          <w:rFonts w:eastAsia="Cambria"/>
          <w:b/>
          <w:bCs/>
          <w:color w:val="000000" w:themeColor="text1"/>
          <w:spacing w:val="-4"/>
        </w:rPr>
        <w:t xml:space="preserve"> </w:t>
      </w:r>
      <w:r w:rsidRPr="00C56257">
        <w:rPr>
          <w:rFonts w:eastAsia="Cambria"/>
          <w:b/>
          <w:bCs/>
          <w:color w:val="000000" w:themeColor="text1"/>
        </w:rPr>
        <w:t>în</w:t>
      </w:r>
      <w:r w:rsidRPr="00C56257">
        <w:rPr>
          <w:rFonts w:eastAsia="Cambria"/>
          <w:b/>
          <w:bCs/>
          <w:color w:val="000000" w:themeColor="text1"/>
          <w:spacing w:val="-5"/>
        </w:rPr>
        <w:t xml:space="preserve"> </w:t>
      </w:r>
      <w:r w:rsidRPr="00C56257">
        <w:rPr>
          <w:rFonts w:eastAsia="Cambria"/>
          <w:b/>
          <w:bCs/>
          <w:color w:val="000000" w:themeColor="text1"/>
        </w:rPr>
        <w:t>afara</w:t>
      </w:r>
      <w:r w:rsidRPr="00C56257">
        <w:rPr>
          <w:rFonts w:eastAsia="Cambria"/>
          <w:b/>
          <w:bCs/>
          <w:color w:val="000000" w:themeColor="text1"/>
          <w:spacing w:val="-3"/>
        </w:rPr>
        <w:t xml:space="preserve"> </w:t>
      </w:r>
      <w:r w:rsidRPr="00C56257">
        <w:rPr>
          <w:rFonts w:eastAsia="Cambria"/>
          <w:b/>
          <w:bCs/>
          <w:color w:val="000000" w:themeColor="text1"/>
        </w:rPr>
        <w:t>rețelei</w:t>
      </w:r>
      <w:r w:rsidRPr="00C56257">
        <w:rPr>
          <w:rFonts w:eastAsia="Cambria"/>
          <w:b/>
          <w:bCs/>
          <w:color w:val="000000" w:themeColor="text1"/>
          <w:spacing w:val="-4"/>
        </w:rPr>
        <w:t xml:space="preserve"> </w:t>
      </w:r>
      <w:r w:rsidRPr="00C56257">
        <w:rPr>
          <w:rFonts w:eastAsia="Cambria"/>
          <w:b/>
          <w:bCs/>
          <w:color w:val="000000" w:themeColor="text1"/>
        </w:rPr>
        <w:t>Natura</w:t>
      </w:r>
      <w:r w:rsidRPr="00C56257">
        <w:rPr>
          <w:rFonts w:eastAsia="Cambria"/>
          <w:b/>
          <w:bCs/>
          <w:color w:val="000000" w:themeColor="text1"/>
          <w:spacing w:val="-2"/>
        </w:rPr>
        <w:t xml:space="preserve"> </w:t>
      </w:r>
      <w:r w:rsidRPr="00C56257">
        <w:rPr>
          <w:rFonts w:eastAsia="Cambria"/>
          <w:b/>
          <w:bCs/>
          <w:color w:val="000000" w:themeColor="text1"/>
        </w:rPr>
        <w:t>2000</w:t>
      </w:r>
    </w:p>
    <w:p w14:paraId="25BA5D5E" w14:textId="77777777" w:rsidR="00A37B92" w:rsidRPr="00C56257" w:rsidRDefault="00A37B92" w:rsidP="004471AF">
      <w:pPr>
        <w:widowControl w:val="0"/>
        <w:autoSpaceDE w:val="0"/>
        <w:autoSpaceDN w:val="0"/>
        <w:spacing w:before="155"/>
        <w:ind w:right="26"/>
        <w:jc w:val="both"/>
        <w:rPr>
          <w:color w:val="000000" w:themeColor="text1"/>
        </w:rPr>
      </w:pPr>
      <w:r w:rsidRPr="00C56257">
        <w:rPr>
          <w:color w:val="000000" w:themeColor="text1"/>
        </w:rPr>
        <w:t>Monitorizarea</w:t>
      </w:r>
      <w:r w:rsidRPr="00C56257">
        <w:rPr>
          <w:color w:val="000000" w:themeColor="text1"/>
          <w:spacing w:val="14"/>
        </w:rPr>
        <w:t xml:space="preserve"> </w:t>
      </w:r>
      <w:r w:rsidRPr="00C56257">
        <w:rPr>
          <w:color w:val="000000" w:themeColor="text1"/>
        </w:rPr>
        <w:t>habitatelor</w:t>
      </w:r>
      <w:r w:rsidRPr="00C56257">
        <w:rPr>
          <w:color w:val="000000" w:themeColor="text1"/>
          <w:spacing w:val="14"/>
        </w:rPr>
        <w:t xml:space="preserve"> </w:t>
      </w:r>
      <w:r w:rsidRPr="00C56257">
        <w:rPr>
          <w:color w:val="000000" w:themeColor="text1"/>
        </w:rPr>
        <w:t>de</w:t>
      </w:r>
      <w:r w:rsidRPr="00C56257">
        <w:rPr>
          <w:color w:val="000000" w:themeColor="text1"/>
          <w:spacing w:val="14"/>
        </w:rPr>
        <w:t xml:space="preserve"> </w:t>
      </w:r>
      <w:r w:rsidRPr="00C56257">
        <w:rPr>
          <w:color w:val="000000" w:themeColor="text1"/>
        </w:rPr>
        <w:t>interes</w:t>
      </w:r>
      <w:r w:rsidRPr="00C56257">
        <w:rPr>
          <w:color w:val="000000" w:themeColor="text1"/>
          <w:spacing w:val="18"/>
        </w:rPr>
        <w:t xml:space="preserve"> </w:t>
      </w:r>
      <w:r w:rsidRPr="00C56257">
        <w:rPr>
          <w:color w:val="000000" w:themeColor="text1"/>
        </w:rPr>
        <w:t>comunitar</w:t>
      </w:r>
      <w:r w:rsidRPr="00C56257">
        <w:rPr>
          <w:color w:val="000000" w:themeColor="text1"/>
          <w:spacing w:val="14"/>
        </w:rPr>
        <w:t xml:space="preserve"> </w:t>
      </w:r>
      <w:r w:rsidRPr="00C56257">
        <w:rPr>
          <w:color w:val="000000" w:themeColor="text1"/>
        </w:rPr>
        <w:t>se</w:t>
      </w:r>
      <w:r w:rsidRPr="00C56257">
        <w:rPr>
          <w:color w:val="000000" w:themeColor="text1"/>
          <w:spacing w:val="16"/>
        </w:rPr>
        <w:t xml:space="preserve"> </w:t>
      </w:r>
      <w:r w:rsidRPr="00C56257">
        <w:rPr>
          <w:color w:val="000000" w:themeColor="text1"/>
        </w:rPr>
        <w:t>face</w:t>
      </w:r>
      <w:r w:rsidRPr="00C56257">
        <w:rPr>
          <w:color w:val="000000" w:themeColor="text1"/>
          <w:spacing w:val="16"/>
        </w:rPr>
        <w:t xml:space="preserve"> </w:t>
      </w:r>
      <w:r w:rsidRPr="00C56257">
        <w:rPr>
          <w:color w:val="000000" w:themeColor="text1"/>
        </w:rPr>
        <w:t>atât</w:t>
      </w:r>
      <w:r w:rsidRPr="00C56257">
        <w:rPr>
          <w:color w:val="000000" w:themeColor="text1"/>
          <w:spacing w:val="15"/>
        </w:rPr>
        <w:t xml:space="preserve"> </w:t>
      </w:r>
      <w:r w:rsidRPr="00C56257">
        <w:rPr>
          <w:color w:val="000000" w:themeColor="text1"/>
        </w:rPr>
        <w:t>în</w:t>
      </w:r>
      <w:r w:rsidRPr="00C56257">
        <w:rPr>
          <w:color w:val="000000" w:themeColor="text1"/>
          <w:spacing w:val="16"/>
        </w:rPr>
        <w:t xml:space="preserve"> </w:t>
      </w:r>
      <w:r w:rsidRPr="00C56257">
        <w:rPr>
          <w:color w:val="000000" w:themeColor="text1"/>
        </w:rPr>
        <w:t>interiorul</w:t>
      </w:r>
      <w:r w:rsidRPr="00C56257">
        <w:rPr>
          <w:color w:val="000000" w:themeColor="text1"/>
          <w:spacing w:val="16"/>
        </w:rPr>
        <w:t xml:space="preserve"> </w:t>
      </w:r>
      <w:r w:rsidRPr="00C56257">
        <w:rPr>
          <w:color w:val="000000" w:themeColor="text1"/>
        </w:rPr>
        <w:t>Rețelei</w:t>
      </w:r>
      <w:r w:rsidRPr="00C56257">
        <w:rPr>
          <w:color w:val="000000" w:themeColor="text1"/>
          <w:spacing w:val="15"/>
        </w:rPr>
        <w:t xml:space="preserve"> </w:t>
      </w:r>
      <w:r w:rsidRPr="00C56257">
        <w:rPr>
          <w:color w:val="000000" w:themeColor="text1"/>
        </w:rPr>
        <w:t>Natura</w:t>
      </w:r>
      <w:r w:rsidRPr="00C56257">
        <w:rPr>
          <w:color w:val="000000" w:themeColor="text1"/>
          <w:spacing w:val="14"/>
        </w:rPr>
        <w:t xml:space="preserve"> </w:t>
      </w:r>
      <w:r w:rsidRPr="00C56257">
        <w:rPr>
          <w:color w:val="000000" w:themeColor="text1"/>
        </w:rPr>
        <w:t>2000,</w:t>
      </w:r>
      <w:r w:rsidRPr="00C56257">
        <w:rPr>
          <w:color w:val="000000" w:themeColor="text1"/>
          <w:spacing w:val="15"/>
        </w:rPr>
        <w:t xml:space="preserve"> </w:t>
      </w:r>
      <w:r w:rsidRPr="00C56257">
        <w:rPr>
          <w:color w:val="000000" w:themeColor="text1"/>
        </w:rPr>
        <w:t>cât</w:t>
      </w:r>
      <w:r w:rsidRPr="00C56257">
        <w:rPr>
          <w:color w:val="000000" w:themeColor="text1"/>
          <w:spacing w:val="16"/>
        </w:rPr>
        <w:t xml:space="preserve"> </w:t>
      </w:r>
      <w:r w:rsidRPr="00C56257">
        <w:rPr>
          <w:color w:val="000000" w:themeColor="text1"/>
        </w:rPr>
        <w:t>și</w:t>
      </w:r>
      <w:r w:rsidR="004471AF">
        <w:rPr>
          <w:color w:val="000000" w:themeColor="text1"/>
        </w:rPr>
        <w:t xml:space="preserve"> </w:t>
      </w:r>
      <w:r w:rsidRPr="00C56257">
        <w:rPr>
          <w:color w:val="000000" w:themeColor="text1"/>
          <w:spacing w:val="-57"/>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afara</w:t>
      </w:r>
      <w:r w:rsidRPr="00C56257">
        <w:rPr>
          <w:color w:val="000000" w:themeColor="text1"/>
          <w:spacing w:val="-1"/>
        </w:rPr>
        <w:t xml:space="preserve"> </w:t>
      </w:r>
      <w:r w:rsidRPr="00C56257">
        <w:rPr>
          <w:color w:val="000000" w:themeColor="text1"/>
        </w:rPr>
        <w:t>rețelei Natura</w:t>
      </w:r>
      <w:r w:rsidRPr="00C56257">
        <w:rPr>
          <w:color w:val="000000" w:themeColor="text1"/>
          <w:spacing w:val="-1"/>
        </w:rPr>
        <w:t xml:space="preserve"> </w:t>
      </w:r>
      <w:r w:rsidRPr="00C56257">
        <w:rPr>
          <w:color w:val="000000" w:themeColor="text1"/>
        </w:rPr>
        <w:t>2000,</w:t>
      </w:r>
      <w:r w:rsidRPr="00C56257">
        <w:rPr>
          <w:color w:val="000000" w:themeColor="text1"/>
          <w:spacing w:val="-1"/>
        </w:rPr>
        <w:t xml:space="preserve"> </w:t>
      </w:r>
      <w:r w:rsidRPr="00C56257">
        <w:rPr>
          <w:color w:val="000000" w:themeColor="text1"/>
        </w:rPr>
        <w:t>în scopul evaluării în</w:t>
      </w:r>
      <w:r w:rsidRPr="00C56257">
        <w:rPr>
          <w:color w:val="000000" w:themeColor="text1"/>
          <w:spacing w:val="2"/>
        </w:rPr>
        <w:t xml:space="preserve"> </w:t>
      </w:r>
      <w:r w:rsidRPr="00C56257">
        <w:rPr>
          <w:color w:val="000000" w:themeColor="text1"/>
        </w:rPr>
        <w:t>vederea</w:t>
      </w:r>
      <w:r w:rsidRPr="00C56257">
        <w:rPr>
          <w:color w:val="000000" w:themeColor="text1"/>
          <w:spacing w:val="-2"/>
        </w:rPr>
        <w:t xml:space="preserve"> </w:t>
      </w:r>
      <w:r w:rsidRPr="00C56257">
        <w:rPr>
          <w:color w:val="000000" w:themeColor="text1"/>
        </w:rPr>
        <w:t>raportării către</w:t>
      </w:r>
      <w:r w:rsidRPr="00C56257">
        <w:rPr>
          <w:color w:val="000000" w:themeColor="text1"/>
          <w:spacing w:val="-2"/>
        </w:rPr>
        <w:t xml:space="preserve"> </w:t>
      </w:r>
      <w:r w:rsidRPr="00C56257">
        <w:rPr>
          <w:color w:val="000000" w:themeColor="text1"/>
        </w:rPr>
        <w:t>CE.</w:t>
      </w:r>
    </w:p>
    <w:p w14:paraId="799C97B7" w14:textId="77777777" w:rsidR="00A37B92" w:rsidRPr="00C56257" w:rsidRDefault="00A37B92" w:rsidP="004471AF">
      <w:pPr>
        <w:widowControl w:val="0"/>
        <w:autoSpaceDE w:val="0"/>
        <w:autoSpaceDN w:val="0"/>
        <w:ind w:right="26"/>
        <w:jc w:val="both"/>
        <w:rPr>
          <w:color w:val="000000" w:themeColor="text1"/>
        </w:rPr>
      </w:pPr>
      <w:r w:rsidRPr="00C56257">
        <w:rPr>
          <w:color w:val="000000" w:themeColor="text1"/>
        </w:rPr>
        <w:t>În</w:t>
      </w:r>
      <w:r w:rsidRPr="00C56257">
        <w:rPr>
          <w:color w:val="000000" w:themeColor="text1"/>
          <w:spacing w:val="-1"/>
        </w:rPr>
        <w:t xml:space="preserve"> </w:t>
      </w:r>
      <w:r w:rsidRPr="00C56257">
        <w:rPr>
          <w:color w:val="000000" w:themeColor="text1"/>
        </w:rPr>
        <w:t>esență,</w:t>
      </w:r>
      <w:r w:rsidRPr="00C56257">
        <w:rPr>
          <w:color w:val="000000" w:themeColor="text1"/>
          <w:spacing w:val="-1"/>
        </w:rPr>
        <w:t xml:space="preserve"> </w:t>
      </w:r>
      <w:r w:rsidRPr="00C56257">
        <w:rPr>
          <w:color w:val="000000" w:themeColor="text1"/>
        </w:rPr>
        <w:t>acest</w:t>
      </w:r>
      <w:r w:rsidRPr="00C56257">
        <w:rPr>
          <w:color w:val="000000" w:themeColor="text1"/>
          <w:spacing w:val="-3"/>
        </w:rPr>
        <w:t xml:space="preserve"> </w:t>
      </w:r>
      <w:r w:rsidRPr="00C56257">
        <w:rPr>
          <w:color w:val="000000" w:themeColor="text1"/>
        </w:rPr>
        <w:t>fapt</w:t>
      </w:r>
      <w:r w:rsidRPr="00C56257">
        <w:rPr>
          <w:color w:val="000000" w:themeColor="text1"/>
          <w:spacing w:val="-2"/>
        </w:rPr>
        <w:t xml:space="preserve"> </w:t>
      </w:r>
      <w:r w:rsidRPr="00C56257">
        <w:rPr>
          <w:color w:val="000000" w:themeColor="text1"/>
        </w:rPr>
        <w:t>se</w:t>
      </w:r>
      <w:r w:rsidRPr="00C56257">
        <w:rPr>
          <w:color w:val="000000" w:themeColor="text1"/>
          <w:spacing w:val="-3"/>
        </w:rPr>
        <w:t xml:space="preserve"> </w:t>
      </w:r>
      <w:r w:rsidRPr="00C56257">
        <w:rPr>
          <w:color w:val="000000" w:themeColor="text1"/>
        </w:rPr>
        <w:t>transpune</w:t>
      </w:r>
      <w:r w:rsidRPr="00C56257">
        <w:rPr>
          <w:color w:val="000000" w:themeColor="text1"/>
          <w:spacing w:val="-4"/>
        </w:rPr>
        <w:t xml:space="preserve"> </w:t>
      </w:r>
      <w:r w:rsidRPr="00C56257">
        <w:rPr>
          <w:color w:val="000000" w:themeColor="text1"/>
        </w:rPr>
        <w:t>astfel:</w:t>
      </w:r>
    </w:p>
    <w:p w14:paraId="07754D02" w14:textId="77777777" w:rsidR="00A37B92" w:rsidRPr="00C56257" w:rsidRDefault="00A37B92" w:rsidP="009E63E5">
      <w:pPr>
        <w:widowControl w:val="0"/>
        <w:numPr>
          <w:ilvl w:val="0"/>
          <w:numId w:val="87"/>
        </w:numPr>
        <w:tabs>
          <w:tab w:val="left" w:pos="1014"/>
        </w:tabs>
        <w:autoSpaceDE w:val="0"/>
        <w:autoSpaceDN w:val="0"/>
        <w:ind w:right="26" w:hanging="361"/>
        <w:jc w:val="both"/>
        <w:rPr>
          <w:color w:val="000000" w:themeColor="text1"/>
        </w:rPr>
      </w:pPr>
      <w:r w:rsidRPr="00C56257">
        <w:rPr>
          <w:color w:val="000000" w:themeColor="text1"/>
        </w:rPr>
        <w:t>Monitorizare</w:t>
      </w:r>
      <w:r w:rsidRPr="00C56257">
        <w:rPr>
          <w:color w:val="000000" w:themeColor="text1"/>
          <w:spacing w:val="-3"/>
        </w:rPr>
        <w:t xml:space="preserve"> </w:t>
      </w:r>
      <w:r w:rsidRPr="00C56257">
        <w:rPr>
          <w:color w:val="000000" w:themeColor="text1"/>
        </w:rPr>
        <w:t>în ploturi numai în</w:t>
      </w:r>
      <w:r w:rsidRPr="00C56257">
        <w:rPr>
          <w:color w:val="000000" w:themeColor="text1"/>
          <w:spacing w:val="-1"/>
        </w:rPr>
        <w:t xml:space="preserve"> </w:t>
      </w:r>
      <w:r w:rsidRPr="00C56257">
        <w:rPr>
          <w:color w:val="000000" w:themeColor="text1"/>
        </w:rPr>
        <w:t>interiorul Natura</w:t>
      </w:r>
      <w:r w:rsidRPr="00C56257">
        <w:rPr>
          <w:color w:val="000000" w:themeColor="text1"/>
          <w:spacing w:val="-1"/>
        </w:rPr>
        <w:t xml:space="preserve"> </w:t>
      </w:r>
      <w:r w:rsidRPr="00C56257">
        <w:rPr>
          <w:color w:val="000000" w:themeColor="text1"/>
        </w:rPr>
        <w:t>2000;</w:t>
      </w:r>
    </w:p>
    <w:p w14:paraId="3A17ED37" w14:textId="77777777" w:rsidR="00A37B92" w:rsidRPr="00C56257" w:rsidRDefault="00A37B92" w:rsidP="009E63E5">
      <w:pPr>
        <w:widowControl w:val="0"/>
        <w:numPr>
          <w:ilvl w:val="0"/>
          <w:numId w:val="87"/>
        </w:numPr>
        <w:tabs>
          <w:tab w:val="left" w:pos="1014"/>
        </w:tabs>
        <w:autoSpaceDE w:val="0"/>
        <w:autoSpaceDN w:val="0"/>
        <w:ind w:right="26" w:hanging="361"/>
        <w:jc w:val="both"/>
        <w:rPr>
          <w:color w:val="000000" w:themeColor="text1"/>
        </w:rPr>
      </w:pPr>
      <w:r w:rsidRPr="00C56257">
        <w:rPr>
          <w:color w:val="000000" w:themeColor="text1"/>
        </w:rPr>
        <w:t>Monitorizare</w:t>
      </w:r>
      <w:r w:rsidRPr="00C56257">
        <w:rPr>
          <w:color w:val="000000" w:themeColor="text1"/>
          <w:spacing w:val="-3"/>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ploturi atât</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interiorul, cât</w:t>
      </w:r>
      <w:r w:rsidRPr="00C56257">
        <w:rPr>
          <w:color w:val="000000" w:themeColor="text1"/>
          <w:spacing w:val="-1"/>
        </w:rPr>
        <w:t xml:space="preserve"> </w:t>
      </w:r>
      <w:r w:rsidRPr="00C56257">
        <w:rPr>
          <w:color w:val="000000" w:themeColor="text1"/>
        </w:rPr>
        <w:t>și</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afara</w:t>
      </w:r>
      <w:r w:rsidRPr="00C56257">
        <w:rPr>
          <w:color w:val="000000" w:themeColor="text1"/>
          <w:spacing w:val="-1"/>
        </w:rPr>
        <w:t xml:space="preserve"> </w:t>
      </w:r>
      <w:r w:rsidRPr="00C56257">
        <w:rPr>
          <w:color w:val="000000" w:themeColor="text1"/>
        </w:rPr>
        <w:t>Natura</w:t>
      </w:r>
      <w:r w:rsidRPr="00C56257">
        <w:rPr>
          <w:color w:val="000000" w:themeColor="text1"/>
          <w:spacing w:val="-2"/>
        </w:rPr>
        <w:t xml:space="preserve"> </w:t>
      </w:r>
      <w:r w:rsidRPr="00C56257">
        <w:rPr>
          <w:color w:val="000000" w:themeColor="text1"/>
        </w:rPr>
        <w:t>2000;</w:t>
      </w:r>
    </w:p>
    <w:p w14:paraId="42F42641" w14:textId="77777777" w:rsidR="00A37B92" w:rsidRPr="00C56257" w:rsidRDefault="00A37B92" w:rsidP="009E63E5">
      <w:pPr>
        <w:widowControl w:val="0"/>
        <w:numPr>
          <w:ilvl w:val="0"/>
          <w:numId w:val="87"/>
        </w:numPr>
        <w:tabs>
          <w:tab w:val="left" w:pos="1014"/>
        </w:tabs>
        <w:autoSpaceDE w:val="0"/>
        <w:autoSpaceDN w:val="0"/>
        <w:ind w:right="26" w:hanging="361"/>
        <w:jc w:val="both"/>
        <w:rPr>
          <w:color w:val="000000" w:themeColor="text1"/>
        </w:rPr>
      </w:pPr>
      <w:r w:rsidRPr="00C56257">
        <w:rPr>
          <w:color w:val="000000" w:themeColor="text1"/>
        </w:rPr>
        <w:t>Monitorizare</w:t>
      </w:r>
      <w:r w:rsidRPr="00C56257">
        <w:rPr>
          <w:color w:val="000000" w:themeColor="text1"/>
          <w:spacing w:val="-3"/>
        </w:rPr>
        <w:t xml:space="preserve"> </w:t>
      </w:r>
      <w:r w:rsidRPr="00C56257">
        <w:rPr>
          <w:color w:val="000000" w:themeColor="text1"/>
        </w:rPr>
        <w:t>în ploturi</w:t>
      </w:r>
      <w:r w:rsidRPr="00C56257">
        <w:rPr>
          <w:color w:val="000000" w:themeColor="text1"/>
          <w:spacing w:val="1"/>
        </w:rPr>
        <w:t xml:space="preserve"> </w:t>
      </w:r>
      <w:r w:rsidRPr="00C56257">
        <w:rPr>
          <w:color w:val="000000" w:themeColor="text1"/>
        </w:rPr>
        <w:t>numai în afara</w:t>
      </w:r>
      <w:r w:rsidRPr="00C56257">
        <w:rPr>
          <w:color w:val="000000" w:themeColor="text1"/>
          <w:spacing w:val="-1"/>
        </w:rPr>
        <w:t xml:space="preserve"> </w:t>
      </w:r>
      <w:r w:rsidRPr="00C56257">
        <w:rPr>
          <w:color w:val="000000" w:themeColor="text1"/>
        </w:rPr>
        <w:t>Natura</w:t>
      </w:r>
      <w:r w:rsidRPr="00C56257">
        <w:rPr>
          <w:color w:val="000000" w:themeColor="text1"/>
          <w:spacing w:val="-1"/>
        </w:rPr>
        <w:t xml:space="preserve"> </w:t>
      </w:r>
      <w:r w:rsidRPr="00C56257">
        <w:rPr>
          <w:color w:val="000000" w:themeColor="text1"/>
        </w:rPr>
        <w:t>2000.</w:t>
      </w:r>
    </w:p>
    <w:p w14:paraId="2B6C6C33" w14:textId="77777777" w:rsidR="00A37B92" w:rsidRPr="00C56257" w:rsidRDefault="00A37B92" w:rsidP="004471AF">
      <w:pPr>
        <w:widowControl w:val="0"/>
        <w:autoSpaceDE w:val="0"/>
        <w:autoSpaceDN w:val="0"/>
        <w:ind w:right="26"/>
        <w:jc w:val="both"/>
        <w:rPr>
          <w:color w:val="000000" w:themeColor="text1"/>
        </w:rPr>
      </w:pPr>
      <w:r w:rsidRPr="00C56257">
        <w:rPr>
          <w:color w:val="000000" w:themeColor="text1"/>
        </w:rPr>
        <w:t>Datele rezultate în urma monitorizării trebuie să surprindă unde are loc principalul obiectiv al</w:t>
      </w:r>
      <w:r w:rsidRPr="00C56257">
        <w:rPr>
          <w:color w:val="000000" w:themeColor="text1"/>
          <w:spacing w:val="1"/>
        </w:rPr>
        <w:t xml:space="preserve"> </w:t>
      </w:r>
      <w:r w:rsidRPr="00C56257">
        <w:rPr>
          <w:color w:val="000000" w:themeColor="text1"/>
        </w:rPr>
        <w:t>acțiunii de conservare. Prin urmare, în corelare cu formatul de raportare, se alege opțiunea (a) dacă</w:t>
      </w:r>
      <w:r w:rsidRPr="00C56257">
        <w:rPr>
          <w:color w:val="000000" w:themeColor="text1"/>
          <w:spacing w:val="1"/>
        </w:rPr>
        <w:t xml:space="preserve"> </w:t>
      </w:r>
      <w:r w:rsidRPr="00C56257">
        <w:rPr>
          <w:color w:val="000000" w:themeColor="text1"/>
        </w:rPr>
        <w:t>toate, sau marea majoritate, dintre măsurile de conservare sunt limitate la Natura 2000, opțiunea (b)</w:t>
      </w:r>
      <w:r w:rsidRPr="00C56257">
        <w:rPr>
          <w:color w:val="000000" w:themeColor="text1"/>
          <w:spacing w:val="1"/>
        </w:rPr>
        <w:t xml:space="preserve"> </w:t>
      </w:r>
      <w:r w:rsidRPr="00C56257">
        <w:rPr>
          <w:color w:val="000000" w:themeColor="text1"/>
        </w:rPr>
        <w:t>dacă există o investiție proporțională în punerea în aplicare a măsurilor în interiorul și în afara</w:t>
      </w:r>
      <w:r w:rsidRPr="00C56257">
        <w:rPr>
          <w:color w:val="000000" w:themeColor="text1"/>
          <w:spacing w:val="1"/>
        </w:rPr>
        <w:t xml:space="preserve"> </w:t>
      </w:r>
      <w:r w:rsidRPr="00C56257">
        <w:rPr>
          <w:color w:val="000000" w:themeColor="text1"/>
        </w:rPr>
        <w:t>Natura</w:t>
      </w:r>
      <w:r w:rsidRPr="00C56257">
        <w:rPr>
          <w:color w:val="000000" w:themeColor="text1"/>
          <w:spacing w:val="44"/>
        </w:rPr>
        <w:t xml:space="preserve"> </w:t>
      </w:r>
      <w:r w:rsidRPr="00C56257">
        <w:rPr>
          <w:color w:val="000000" w:themeColor="text1"/>
        </w:rPr>
        <w:t>2000</w:t>
      </w:r>
      <w:r w:rsidRPr="00C56257">
        <w:rPr>
          <w:color w:val="000000" w:themeColor="text1"/>
          <w:spacing w:val="46"/>
        </w:rPr>
        <w:t xml:space="preserve"> </w:t>
      </w:r>
      <w:r w:rsidRPr="00C56257">
        <w:rPr>
          <w:color w:val="000000" w:themeColor="text1"/>
        </w:rPr>
        <w:t>și</w:t>
      </w:r>
      <w:r w:rsidRPr="00C56257">
        <w:rPr>
          <w:color w:val="000000" w:themeColor="text1"/>
          <w:spacing w:val="47"/>
        </w:rPr>
        <w:t xml:space="preserve"> </w:t>
      </w:r>
      <w:r w:rsidRPr="00C56257">
        <w:rPr>
          <w:color w:val="000000" w:themeColor="text1"/>
        </w:rPr>
        <w:t>opțiunea</w:t>
      </w:r>
      <w:r w:rsidRPr="00C56257">
        <w:rPr>
          <w:color w:val="000000" w:themeColor="text1"/>
          <w:spacing w:val="45"/>
        </w:rPr>
        <w:t xml:space="preserve"> </w:t>
      </w:r>
      <w:r w:rsidRPr="00C56257">
        <w:rPr>
          <w:color w:val="000000" w:themeColor="text1"/>
        </w:rPr>
        <w:t>(c)</w:t>
      </w:r>
      <w:r w:rsidRPr="00C56257">
        <w:rPr>
          <w:color w:val="000000" w:themeColor="text1"/>
          <w:spacing w:val="46"/>
        </w:rPr>
        <w:t xml:space="preserve"> </w:t>
      </w:r>
      <w:r w:rsidRPr="00C56257">
        <w:rPr>
          <w:color w:val="000000" w:themeColor="text1"/>
        </w:rPr>
        <w:t>dacă</w:t>
      </w:r>
      <w:r w:rsidRPr="00C56257">
        <w:rPr>
          <w:color w:val="000000" w:themeColor="text1"/>
          <w:spacing w:val="45"/>
        </w:rPr>
        <w:t xml:space="preserve"> </w:t>
      </w:r>
      <w:r w:rsidRPr="00C56257">
        <w:rPr>
          <w:color w:val="000000" w:themeColor="text1"/>
        </w:rPr>
        <w:t>toate,</w:t>
      </w:r>
      <w:r w:rsidRPr="00C56257">
        <w:rPr>
          <w:color w:val="000000" w:themeColor="text1"/>
          <w:spacing w:val="46"/>
        </w:rPr>
        <w:t xml:space="preserve"> </w:t>
      </w:r>
      <w:r w:rsidRPr="00C56257">
        <w:rPr>
          <w:color w:val="000000" w:themeColor="text1"/>
        </w:rPr>
        <w:t>sau</w:t>
      </w:r>
      <w:r w:rsidRPr="00C56257">
        <w:rPr>
          <w:color w:val="000000" w:themeColor="text1"/>
          <w:spacing w:val="46"/>
        </w:rPr>
        <w:t xml:space="preserve"> </w:t>
      </w:r>
      <w:r w:rsidRPr="00C56257">
        <w:rPr>
          <w:color w:val="000000" w:themeColor="text1"/>
        </w:rPr>
        <w:t>marea</w:t>
      </w:r>
      <w:r w:rsidRPr="00C56257">
        <w:rPr>
          <w:color w:val="000000" w:themeColor="text1"/>
          <w:spacing w:val="44"/>
        </w:rPr>
        <w:t xml:space="preserve"> </w:t>
      </w:r>
      <w:r w:rsidRPr="00C56257">
        <w:rPr>
          <w:color w:val="000000" w:themeColor="text1"/>
        </w:rPr>
        <w:t>majoritate,</w:t>
      </w:r>
      <w:r w:rsidRPr="00C56257">
        <w:rPr>
          <w:color w:val="000000" w:themeColor="text1"/>
          <w:spacing w:val="46"/>
        </w:rPr>
        <w:t xml:space="preserve"> </w:t>
      </w:r>
      <w:r w:rsidRPr="00C56257">
        <w:rPr>
          <w:color w:val="000000" w:themeColor="text1"/>
        </w:rPr>
        <w:t>dintre</w:t>
      </w:r>
      <w:r w:rsidRPr="00C56257">
        <w:rPr>
          <w:color w:val="000000" w:themeColor="text1"/>
          <w:spacing w:val="45"/>
        </w:rPr>
        <w:t xml:space="preserve"> </w:t>
      </w:r>
      <w:r w:rsidRPr="00C56257">
        <w:rPr>
          <w:color w:val="000000" w:themeColor="text1"/>
        </w:rPr>
        <w:t>măsuri</w:t>
      </w:r>
      <w:r w:rsidRPr="00C56257">
        <w:rPr>
          <w:color w:val="000000" w:themeColor="text1"/>
          <w:spacing w:val="47"/>
        </w:rPr>
        <w:t xml:space="preserve"> </w:t>
      </w:r>
      <w:r w:rsidRPr="00C56257">
        <w:rPr>
          <w:color w:val="000000" w:themeColor="text1"/>
        </w:rPr>
        <w:t>sunt</w:t>
      </w:r>
      <w:r w:rsidRPr="00C56257">
        <w:rPr>
          <w:color w:val="000000" w:themeColor="text1"/>
          <w:spacing w:val="47"/>
        </w:rPr>
        <w:t xml:space="preserve"> </w:t>
      </w:r>
      <w:r w:rsidRPr="00C56257">
        <w:rPr>
          <w:color w:val="000000" w:themeColor="text1"/>
        </w:rPr>
        <w:t>luate</w:t>
      </w:r>
      <w:r w:rsidRPr="00C56257">
        <w:rPr>
          <w:color w:val="000000" w:themeColor="text1"/>
          <w:spacing w:val="46"/>
        </w:rPr>
        <w:t xml:space="preserve"> </w:t>
      </w:r>
      <w:r w:rsidRPr="00C56257">
        <w:rPr>
          <w:color w:val="000000" w:themeColor="text1"/>
        </w:rPr>
        <w:t>în</w:t>
      </w:r>
      <w:r w:rsidRPr="00C56257">
        <w:rPr>
          <w:color w:val="000000" w:themeColor="text1"/>
          <w:spacing w:val="44"/>
        </w:rPr>
        <w:t xml:space="preserve"> </w:t>
      </w:r>
      <w:r w:rsidRPr="00C56257">
        <w:rPr>
          <w:color w:val="000000" w:themeColor="text1"/>
        </w:rPr>
        <w:t>afara</w:t>
      </w:r>
      <w:r w:rsidRPr="00C56257">
        <w:rPr>
          <w:color w:val="000000" w:themeColor="text1"/>
          <w:spacing w:val="-58"/>
        </w:rPr>
        <w:t xml:space="preserve"> </w:t>
      </w:r>
      <w:r w:rsidRPr="00C56257">
        <w:rPr>
          <w:color w:val="000000" w:themeColor="text1"/>
        </w:rPr>
        <w:t>Natura</w:t>
      </w:r>
      <w:r w:rsidRPr="00C56257">
        <w:rPr>
          <w:color w:val="000000" w:themeColor="text1"/>
          <w:spacing w:val="-3"/>
        </w:rPr>
        <w:t xml:space="preserve"> </w:t>
      </w:r>
      <w:r w:rsidRPr="00C56257">
        <w:rPr>
          <w:color w:val="000000" w:themeColor="text1"/>
        </w:rPr>
        <w:t>2000.</w:t>
      </w:r>
    </w:p>
    <w:p w14:paraId="797F992C" w14:textId="77777777" w:rsidR="00A37B92" w:rsidRPr="00C56257" w:rsidRDefault="00A37B92" w:rsidP="004471AF">
      <w:pPr>
        <w:widowControl w:val="0"/>
        <w:autoSpaceDE w:val="0"/>
        <w:autoSpaceDN w:val="0"/>
        <w:spacing w:before="1"/>
        <w:ind w:right="26"/>
        <w:jc w:val="both"/>
        <w:rPr>
          <w:color w:val="000000" w:themeColor="text1"/>
        </w:rPr>
      </w:pPr>
      <w:r w:rsidRPr="00C56257">
        <w:rPr>
          <w:color w:val="000000" w:themeColor="text1"/>
        </w:rPr>
        <w:t>În stadiul actual, majoritatea habitatelor care nu sunt în rețeaua Natura 2000, nu sunt cartate nici la</w:t>
      </w:r>
      <w:r w:rsidRPr="00C56257">
        <w:rPr>
          <w:color w:val="000000" w:themeColor="text1"/>
          <w:spacing w:val="1"/>
        </w:rPr>
        <w:t xml:space="preserve"> </w:t>
      </w:r>
      <w:r w:rsidRPr="00C56257">
        <w:rPr>
          <w:color w:val="000000" w:themeColor="text1"/>
        </w:rPr>
        <w:t>nivel</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bioregiune și</w:t>
      </w:r>
      <w:r w:rsidRPr="00C56257">
        <w:rPr>
          <w:color w:val="000000" w:themeColor="text1"/>
          <w:spacing w:val="-1"/>
        </w:rPr>
        <w:t xml:space="preserve"> </w:t>
      </w:r>
      <w:r w:rsidRPr="00C56257">
        <w:rPr>
          <w:color w:val="000000" w:themeColor="text1"/>
        </w:rPr>
        <w:t>nici la</w:t>
      </w:r>
      <w:r w:rsidRPr="00C56257">
        <w:rPr>
          <w:color w:val="000000" w:themeColor="text1"/>
          <w:spacing w:val="-1"/>
        </w:rPr>
        <w:t xml:space="preserve"> </w:t>
      </w:r>
      <w:r w:rsidRPr="00C56257">
        <w:rPr>
          <w:color w:val="000000" w:themeColor="text1"/>
        </w:rPr>
        <w:t>nivel național.</w:t>
      </w:r>
    </w:p>
    <w:p w14:paraId="2F24131D" w14:textId="77777777" w:rsidR="00175369" w:rsidRDefault="00175369" w:rsidP="00175369">
      <w:pPr>
        <w:widowControl w:val="0"/>
        <w:autoSpaceDE w:val="0"/>
        <w:autoSpaceDN w:val="0"/>
        <w:spacing w:before="1"/>
        <w:ind w:right="257"/>
        <w:jc w:val="both"/>
        <w:rPr>
          <w:rFonts w:eastAsia="Cambria"/>
          <w:b/>
          <w:bCs/>
          <w:color w:val="000000" w:themeColor="text1"/>
          <w:lang w:val="fr-FR"/>
        </w:rPr>
      </w:pPr>
    </w:p>
    <w:p w14:paraId="15FE0931" w14:textId="77777777" w:rsidR="00A37B92" w:rsidRPr="00175369" w:rsidRDefault="00A37B92" w:rsidP="00175369">
      <w:pPr>
        <w:widowControl w:val="0"/>
        <w:autoSpaceDE w:val="0"/>
        <w:autoSpaceDN w:val="0"/>
        <w:spacing w:before="1"/>
        <w:ind w:right="257"/>
        <w:jc w:val="both"/>
        <w:rPr>
          <w:rFonts w:eastAsia="Cambria"/>
          <w:b/>
          <w:bCs/>
          <w:color w:val="000000" w:themeColor="text1"/>
          <w:lang w:val="fr-FR"/>
        </w:rPr>
      </w:pPr>
      <w:proofErr w:type="spellStart"/>
      <w:r w:rsidRPr="00175369">
        <w:rPr>
          <w:rFonts w:eastAsia="Cambria"/>
          <w:b/>
          <w:bCs/>
          <w:color w:val="000000" w:themeColor="text1"/>
          <w:lang w:val="fr-FR"/>
        </w:rPr>
        <w:t>Evaluarea</w:t>
      </w:r>
      <w:proofErr w:type="spellEnd"/>
      <w:r w:rsidRPr="00175369">
        <w:rPr>
          <w:rFonts w:eastAsia="Cambria"/>
          <w:b/>
          <w:bCs/>
          <w:color w:val="000000" w:themeColor="text1"/>
          <w:lang w:val="fr-FR"/>
        </w:rPr>
        <w:t xml:space="preserve"> </w:t>
      </w:r>
      <w:proofErr w:type="spellStart"/>
      <w:r w:rsidRPr="00175369">
        <w:rPr>
          <w:rFonts w:eastAsia="Cambria"/>
          <w:b/>
          <w:bCs/>
          <w:color w:val="000000" w:themeColor="text1"/>
          <w:lang w:val="fr-FR"/>
        </w:rPr>
        <w:t>stării</w:t>
      </w:r>
      <w:proofErr w:type="spellEnd"/>
      <w:r w:rsidRPr="00175369">
        <w:rPr>
          <w:rFonts w:eastAsia="Cambria"/>
          <w:b/>
          <w:bCs/>
          <w:color w:val="000000" w:themeColor="text1"/>
          <w:lang w:val="fr-FR"/>
        </w:rPr>
        <w:t xml:space="preserve"> de </w:t>
      </w:r>
      <w:proofErr w:type="spellStart"/>
      <w:r w:rsidRPr="00175369">
        <w:rPr>
          <w:rFonts w:eastAsia="Cambria"/>
          <w:b/>
          <w:bCs/>
          <w:color w:val="000000" w:themeColor="text1"/>
          <w:lang w:val="fr-FR"/>
        </w:rPr>
        <w:t>conservare</w:t>
      </w:r>
      <w:proofErr w:type="spellEnd"/>
      <w:r w:rsidRPr="00175369">
        <w:rPr>
          <w:rFonts w:eastAsia="Cambria"/>
          <w:b/>
          <w:bCs/>
          <w:color w:val="000000" w:themeColor="text1"/>
          <w:lang w:val="fr-FR"/>
        </w:rPr>
        <w:t xml:space="preserve"> a </w:t>
      </w:r>
      <w:proofErr w:type="spellStart"/>
      <w:r w:rsidRPr="00175369">
        <w:rPr>
          <w:rFonts w:eastAsia="Cambria"/>
          <w:b/>
          <w:bCs/>
          <w:color w:val="000000" w:themeColor="text1"/>
          <w:lang w:val="fr-FR"/>
        </w:rPr>
        <w:t>habitatelor</w:t>
      </w:r>
      <w:proofErr w:type="spellEnd"/>
      <w:r w:rsidRPr="00175369">
        <w:rPr>
          <w:rFonts w:eastAsia="Cambria"/>
          <w:b/>
          <w:bCs/>
          <w:color w:val="000000" w:themeColor="text1"/>
          <w:lang w:val="fr-FR"/>
        </w:rPr>
        <w:t xml:space="preserve"> de </w:t>
      </w:r>
      <w:r w:rsidRPr="00175369">
        <w:rPr>
          <w:rFonts w:eastAsia="Cambria"/>
          <w:b/>
          <w:bCs/>
          <w:color w:val="000000" w:themeColor="text1"/>
          <w:spacing w:val="-68"/>
          <w:lang w:val="fr-FR"/>
        </w:rPr>
        <w:t xml:space="preserve">   </w:t>
      </w:r>
      <w:r w:rsidRPr="00175369">
        <w:rPr>
          <w:rFonts w:eastAsia="Cambria"/>
          <w:b/>
          <w:bCs/>
          <w:color w:val="000000" w:themeColor="text1"/>
          <w:lang w:val="fr-FR"/>
        </w:rPr>
        <w:t>dune continentale</w:t>
      </w:r>
    </w:p>
    <w:p w14:paraId="4DB3657B" w14:textId="77777777" w:rsidR="00A37B92" w:rsidRPr="00C56257" w:rsidRDefault="00A37B92" w:rsidP="00A37B92">
      <w:pPr>
        <w:widowControl w:val="0"/>
        <w:autoSpaceDE w:val="0"/>
        <w:autoSpaceDN w:val="0"/>
        <w:spacing w:before="6"/>
        <w:jc w:val="both"/>
        <w:rPr>
          <w:b/>
          <w:color w:val="000000" w:themeColor="text1"/>
        </w:rPr>
      </w:pPr>
    </w:p>
    <w:p w14:paraId="764900DD" w14:textId="77777777" w:rsidR="00A37B92" w:rsidRPr="00C56257" w:rsidRDefault="00A37B92" w:rsidP="00A37B92">
      <w:pPr>
        <w:widowControl w:val="0"/>
        <w:tabs>
          <w:tab w:val="left" w:pos="1232"/>
        </w:tabs>
        <w:autoSpaceDE w:val="0"/>
        <w:autoSpaceDN w:val="0"/>
        <w:jc w:val="both"/>
        <w:outlineLvl w:val="1"/>
        <w:rPr>
          <w:rFonts w:eastAsia="Cambria"/>
          <w:b/>
          <w:bCs/>
          <w:color w:val="000000" w:themeColor="text1"/>
        </w:rPr>
      </w:pPr>
      <w:r w:rsidRPr="00C56257">
        <w:rPr>
          <w:rFonts w:eastAsia="Cambria"/>
          <w:b/>
          <w:bCs/>
          <w:color w:val="000000" w:themeColor="text1"/>
        </w:rPr>
        <w:t>Metodologia</w:t>
      </w:r>
      <w:r w:rsidRPr="00C56257">
        <w:rPr>
          <w:rFonts w:eastAsia="Cambria"/>
          <w:b/>
          <w:bCs/>
          <w:color w:val="000000" w:themeColor="text1"/>
          <w:spacing w:val="-3"/>
        </w:rPr>
        <w:t xml:space="preserve"> </w:t>
      </w:r>
      <w:r w:rsidRPr="00C56257">
        <w:rPr>
          <w:rFonts w:eastAsia="Cambria"/>
          <w:b/>
          <w:bCs/>
          <w:color w:val="000000" w:themeColor="text1"/>
        </w:rPr>
        <w:t>de</w:t>
      </w:r>
      <w:r w:rsidRPr="00C56257">
        <w:rPr>
          <w:rFonts w:eastAsia="Cambria"/>
          <w:b/>
          <w:bCs/>
          <w:color w:val="000000" w:themeColor="text1"/>
          <w:spacing w:val="-4"/>
        </w:rPr>
        <w:t xml:space="preserve"> </w:t>
      </w:r>
      <w:r w:rsidRPr="00C56257">
        <w:rPr>
          <w:rFonts w:eastAsia="Cambria"/>
          <w:b/>
          <w:bCs/>
          <w:color w:val="000000" w:themeColor="text1"/>
        </w:rPr>
        <w:t>agregare</w:t>
      </w:r>
      <w:r w:rsidRPr="00C56257">
        <w:rPr>
          <w:rFonts w:eastAsia="Cambria"/>
          <w:b/>
          <w:bCs/>
          <w:color w:val="000000" w:themeColor="text1"/>
          <w:spacing w:val="-3"/>
        </w:rPr>
        <w:t xml:space="preserve"> </w:t>
      </w:r>
      <w:r w:rsidRPr="00C56257">
        <w:rPr>
          <w:rFonts w:eastAsia="Cambria"/>
          <w:b/>
          <w:bCs/>
          <w:color w:val="000000" w:themeColor="text1"/>
        </w:rPr>
        <w:t>a</w:t>
      </w:r>
      <w:r w:rsidRPr="00C56257">
        <w:rPr>
          <w:rFonts w:eastAsia="Cambria"/>
          <w:b/>
          <w:bCs/>
          <w:color w:val="000000" w:themeColor="text1"/>
          <w:spacing w:val="-3"/>
        </w:rPr>
        <w:t xml:space="preserve"> </w:t>
      </w:r>
      <w:r w:rsidRPr="00C56257">
        <w:rPr>
          <w:rFonts w:eastAsia="Cambria"/>
          <w:b/>
          <w:bCs/>
          <w:color w:val="000000" w:themeColor="text1"/>
        </w:rPr>
        <w:t>datelor</w:t>
      </w:r>
    </w:p>
    <w:p w14:paraId="69B30EAD" w14:textId="77777777" w:rsidR="00A37B92" w:rsidRPr="00C56257" w:rsidRDefault="00A37B92" w:rsidP="004471AF">
      <w:pPr>
        <w:widowControl w:val="0"/>
        <w:autoSpaceDE w:val="0"/>
        <w:autoSpaceDN w:val="0"/>
        <w:spacing w:before="157"/>
        <w:ind w:right="26"/>
        <w:jc w:val="both"/>
        <w:rPr>
          <w:color w:val="000000" w:themeColor="text1"/>
        </w:rPr>
      </w:pPr>
      <w:r w:rsidRPr="00C56257">
        <w:rPr>
          <w:color w:val="000000" w:themeColor="text1"/>
        </w:rPr>
        <w:t>Observațiile directe evaluate de către experții în biodiversitate, selectați pentru evaluarea habitatelor</w:t>
      </w:r>
      <w:r w:rsidRPr="00C56257">
        <w:rPr>
          <w:color w:val="000000" w:themeColor="text1"/>
          <w:spacing w:val="-57"/>
        </w:rPr>
        <w:t xml:space="preserve"> </w:t>
      </w:r>
      <w:r w:rsidRPr="00C56257">
        <w:rPr>
          <w:color w:val="000000" w:themeColor="text1"/>
        </w:rPr>
        <w:t>țintă, utilizează tehnologiile de ultimă generație atât în ceea ce privește unități GPS și aplicații</w:t>
      </w:r>
      <w:r w:rsidRPr="00C56257">
        <w:rPr>
          <w:color w:val="000000" w:themeColor="text1"/>
          <w:spacing w:val="1"/>
        </w:rPr>
        <w:t xml:space="preserve"> </w:t>
      </w:r>
      <w:r w:rsidRPr="00C56257">
        <w:rPr>
          <w:color w:val="000000" w:themeColor="text1"/>
        </w:rPr>
        <w:t>mobile</w:t>
      </w:r>
      <w:r w:rsidRPr="00C56257">
        <w:rPr>
          <w:color w:val="000000" w:themeColor="text1"/>
          <w:spacing w:val="15"/>
        </w:rPr>
        <w:t xml:space="preserve"> </w:t>
      </w:r>
      <w:r w:rsidRPr="00C56257">
        <w:rPr>
          <w:color w:val="000000" w:themeColor="text1"/>
        </w:rPr>
        <w:t>de</w:t>
      </w:r>
      <w:r w:rsidRPr="00C56257">
        <w:rPr>
          <w:color w:val="000000" w:themeColor="text1"/>
          <w:spacing w:val="14"/>
        </w:rPr>
        <w:t xml:space="preserve"> </w:t>
      </w:r>
      <w:r w:rsidRPr="00C56257">
        <w:rPr>
          <w:color w:val="000000" w:themeColor="text1"/>
        </w:rPr>
        <w:t>colectare</w:t>
      </w:r>
      <w:r w:rsidRPr="00C56257">
        <w:rPr>
          <w:color w:val="000000" w:themeColor="text1"/>
          <w:spacing w:val="14"/>
        </w:rPr>
        <w:t xml:space="preserve"> </w:t>
      </w:r>
      <w:r w:rsidRPr="00C56257">
        <w:rPr>
          <w:color w:val="000000" w:themeColor="text1"/>
        </w:rPr>
        <w:t>a</w:t>
      </w:r>
      <w:r w:rsidRPr="00C56257">
        <w:rPr>
          <w:color w:val="000000" w:themeColor="text1"/>
          <w:spacing w:val="14"/>
        </w:rPr>
        <w:t xml:space="preserve"> </w:t>
      </w:r>
      <w:r w:rsidRPr="00C56257">
        <w:rPr>
          <w:color w:val="000000" w:themeColor="text1"/>
        </w:rPr>
        <w:t>datelor</w:t>
      </w:r>
      <w:r w:rsidRPr="00C56257">
        <w:rPr>
          <w:color w:val="000000" w:themeColor="text1"/>
          <w:spacing w:val="14"/>
        </w:rPr>
        <w:t xml:space="preserve"> </w:t>
      </w:r>
      <w:r w:rsidRPr="00C56257">
        <w:rPr>
          <w:color w:val="000000" w:themeColor="text1"/>
        </w:rPr>
        <w:t>din</w:t>
      </w:r>
      <w:r w:rsidRPr="00C56257">
        <w:rPr>
          <w:color w:val="000000" w:themeColor="text1"/>
          <w:spacing w:val="16"/>
        </w:rPr>
        <w:t xml:space="preserve"> </w:t>
      </w:r>
      <w:r w:rsidRPr="00C56257">
        <w:rPr>
          <w:color w:val="000000" w:themeColor="text1"/>
        </w:rPr>
        <w:t>teren.</w:t>
      </w:r>
      <w:r w:rsidRPr="00C56257">
        <w:rPr>
          <w:color w:val="000000" w:themeColor="text1"/>
          <w:spacing w:val="15"/>
        </w:rPr>
        <w:t xml:space="preserve"> </w:t>
      </w:r>
      <w:r w:rsidRPr="00C56257">
        <w:rPr>
          <w:color w:val="000000" w:themeColor="text1"/>
        </w:rPr>
        <w:t>Fișele</w:t>
      </w:r>
      <w:r w:rsidRPr="00C56257">
        <w:rPr>
          <w:color w:val="000000" w:themeColor="text1"/>
          <w:spacing w:val="15"/>
        </w:rPr>
        <w:t xml:space="preserve"> </w:t>
      </w:r>
      <w:r w:rsidRPr="00C56257">
        <w:rPr>
          <w:color w:val="000000" w:themeColor="text1"/>
        </w:rPr>
        <w:t>de</w:t>
      </w:r>
      <w:r w:rsidRPr="00C56257">
        <w:rPr>
          <w:color w:val="000000" w:themeColor="text1"/>
          <w:spacing w:val="16"/>
        </w:rPr>
        <w:t xml:space="preserve"> </w:t>
      </w:r>
      <w:r w:rsidRPr="00C56257">
        <w:rPr>
          <w:color w:val="000000" w:themeColor="text1"/>
        </w:rPr>
        <w:t>teren</w:t>
      </w:r>
      <w:r w:rsidRPr="00C56257">
        <w:rPr>
          <w:color w:val="000000" w:themeColor="text1"/>
          <w:spacing w:val="15"/>
        </w:rPr>
        <w:t xml:space="preserve"> </w:t>
      </w:r>
      <w:r w:rsidRPr="00C56257">
        <w:rPr>
          <w:color w:val="000000" w:themeColor="text1"/>
        </w:rPr>
        <w:t>completate</w:t>
      </w:r>
      <w:r w:rsidRPr="00C56257">
        <w:rPr>
          <w:color w:val="000000" w:themeColor="text1"/>
          <w:spacing w:val="14"/>
        </w:rPr>
        <w:t xml:space="preserve"> </w:t>
      </w:r>
      <w:r w:rsidRPr="00C56257">
        <w:rPr>
          <w:color w:val="000000" w:themeColor="text1"/>
        </w:rPr>
        <w:t>descriu</w:t>
      </w:r>
      <w:r w:rsidRPr="00C56257">
        <w:rPr>
          <w:color w:val="000000" w:themeColor="text1"/>
          <w:spacing w:val="17"/>
        </w:rPr>
        <w:t xml:space="preserve"> </w:t>
      </w:r>
      <w:r w:rsidRPr="00C56257">
        <w:rPr>
          <w:color w:val="000000" w:themeColor="text1"/>
        </w:rPr>
        <w:t>caracteristici</w:t>
      </w:r>
      <w:r w:rsidRPr="00C56257">
        <w:rPr>
          <w:color w:val="000000" w:themeColor="text1"/>
          <w:spacing w:val="21"/>
        </w:rPr>
        <w:t xml:space="preserve"> </w:t>
      </w:r>
      <w:r w:rsidRPr="00C56257">
        <w:rPr>
          <w:color w:val="000000" w:themeColor="text1"/>
        </w:rPr>
        <w:t>structurale</w:t>
      </w:r>
      <w:r w:rsidRPr="00C56257">
        <w:rPr>
          <w:color w:val="000000" w:themeColor="text1"/>
          <w:spacing w:val="-58"/>
        </w:rPr>
        <w:t xml:space="preserve"> </w:t>
      </w:r>
      <w:r w:rsidRPr="00C56257">
        <w:rPr>
          <w:color w:val="000000" w:themeColor="text1"/>
        </w:rPr>
        <w:t>și funcționale ale habitatelor, precum și presiuni identificate, informațiile astfel colectate intră într-</w:t>
      </w:r>
      <w:r w:rsidRPr="00C56257">
        <w:rPr>
          <w:color w:val="000000" w:themeColor="text1"/>
          <w:spacing w:val="1"/>
        </w:rPr>
        <w:t xml:space="preserve"> </w:t>
      </w:r>
      <w:r w:rsidRPr="00C56257">
        <w:rPr>
          <w:color w:val="000000" w:themeColor="text1"/>
        </w:rPr>
        <w:t>un prim proces de agregare (primul nivel) în care fiecare fișă are asociat o localizare stațială cu</w:t>
      </w:r>
      <w:r w:rsidRPr="00C56257">
        <w:rPr>
          <w:color w:val="000000" w:themeColor="text1"/>
          <w:spacing w:val="1"/>
        </w:rPr>
        <w:t xml:space="preserve"> </w:t>
      </w:r>
      <w:r w:rsidRPr="00C56257">
        <w:rPr>
          <w:color w:val="000000" w:themeColor="text1"/>
        </w:rPr>
        <w:t>precizie</w:t>
      </w:r>
      <w:r w:rsidRPr="00C56257">
        <w:rPr>
          <w:color w:val="000000" w:themeColor="text1"/>
          <w:spacing w:val="1"/>
        </w:rPr>
        <w:t xml:space="preserve"> </w:t>
      </w:r>
      <w:r w:rsidRPr="00C56257">
        <w:rPr>
          <w:color w:val="000000" w:themeColor="text1"/>
        </w:rPr>
        <w:t>metrică</w:t>
      </w:r>
      <w:r w:rsidRPr="00C56257">
        <w:rPr>
          <w:color w:val="000000" w:themeColor="text1"/>
          <w:spacing w:val="1"/>
        </w:rPr>
        <w:t xml:space="preserve"> </w:t>
      </w:r>
      <w:r w:rsidRPr="00C56257">
        <w:rPr>
          <w:color w:val="000000" w:themeColor="text1"/>
        </w:rPr>
        <w:t>(1-3</w:t>
      </w:r>
      <w:r w:rsidRPr="00C56257">
        <w:rPr>
          <w:color w:val="000000" w:themeColor="text1"/>
          <w:spacing w:val="1"/>
        </w:rPr>
        <w:t xml:space="preserve"> </w:t>
      </w:r>
      <w:r w:rsidRPr="00C56257">
        <w:rPr>
          <w:color w:val="000000" w:themeColor="text1"/>
        </w:rPr>
        <w:t>m)</w:t>
      </w:r>
      <w:r w:rsidRPr="00C56257">
        <w:rPr>
          <w:color w:val="000000" w:themeColor="text1"/>
          <w:spacing w:val="1"/>
        </w:rPr>
        <w:t xml:space="preserve"> </w:t>
      </w:r>
      <w:r w:rsidRPr="00C56257">
        <w:rPr>
          <w:color w:val="000000" w:themeColor="text1"/>
        </w:rPr>
        <w:t>se</w:t>
      </w:r>
      <w:r w:rsidRPr="00C56257">
        <w:rPr>
          <w:color w:val="000000" w:themeColor="text1"/>
          <w:spacing w:val="1"/>
        </w:rPr>
        <w:t xml:space="preserve"> </w:t>
      </w:r>
      <w:r w:rsidRPr="00C56257">
        <w:rPr>
          <w:color w:val="000000" w:themeColor="text1"/>
        </w:rPr>
        <w:t>agregă</w:t>
      </w:r>
      <w:r w:rsidRPr="00C56257">
        <w:rPr>
          <w:color w:val="000000" w:themeColor="text1"/>
          <w:spacing w:val="1"/>
        </w:rPr>
        <w:t xml:space="preserve"> </w:t>
      </w:r>
      <w:r w:rsidRPr="00C56257">
        <w:rPr>
          <w:color w:val="000000" w:themeColor="text1"/>
        </w:rPr>
        <w:t>într-un</w:t>
      </w:r>
      <w:r w:rsidRPr="00C56257">
        <w:rPr>
          <w:color w:val="000000" w:themeColor="text1"/>
          <w:spacing w:val="1"/>
        </w:rPr>
        <w:t xml:space="preserve"> </w:t>
      </w:r>
      <w:r w:rsidRPr="00C56257">
        <w:rPr>
          <w:color w:val="000000" w:themeColor="text1"/>
        </w:rPr>
        <w:t>plot</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10</w:t>
      </w:r>
      <w:r w:rsidRPr="00C56257">
        <w:rPr>
          <w:color w:val="000000" w:themeColor="text1"/>
          <w:spacing w:val="1"/>
        </w:rPr>
        <w:t xml:space="preserve"> </w:t>
      </w:r>
      <w:r w:rsidRPr="00C56257">
        <w:rPr>
          <w:color w:val="000000" w:themeColor="text1"/>
        </w:rPr>
        <w:t>x</w:t>
      </w:r>
      <w:r w:rsidRPr="00C56257">
        <w:rPr>
          <w:color w:val="000000" w:themeColor="text1"/>
          <w:spacing w:val="1"/>
        </w:rPr>
        <w:t xml:space="preserve"> </w:t>
      </w:r>
      <w:r w:rsidRPr="00C56257">
        <w:rPr>
          <w:color w:val="000000" w:themeColor="text1"/>
        </w:rPr>
        <w:t>10</w:t>
      </w:r>
      <w:r w:rsidRPr="00C56257">
        <w:rPr>
          <w:color w:val="000000" w:themeColor="text1"/>
          <w:spacing w:val="1"/>
        </w:rPr>
        <w:t xml:space="preserve"> </w:t>
      </w:r>
      <w:r w:rsidRPr="00C56257">
        <w:rPr>
          <w:color w:val="000000" w:themeColor="text1"/>
        </w:rPr>
        <w:t>km.</w:t>
      </w:r>
      <w:r w:rsidRPr="00C56257">
        <w:rPr>
          <w:color w:val="000000" w:themeColor="text1"/>
          <w:spacing w:val="1"/>
        </w:rPr>
        <w:t xml:space="preserve"> </w:t>
      </w:r>
      <w:r w:rsidRPr="00C56257">
        <w:rPr>
          <w:color w:val="000000" w:themeColor="text1"/>
        </w:rPr>
        <w:t>Această</w:t>
      </w:r>
      <w:r w:rsidRPr="00C56257">
        <w:rPr>
          <w:color w:val="000000" w:themeColor="text1"/>
          <w:spacing w:val="1"/>
        </w:rPr>
        <w:t xml:space="preserve"> </w:t>
      </w:r>
      <w:r w:rsidRPr="00C56257">
        <w:rPr>
          <w:color w:val="000000" w:themeColor="text1"/>
        </w:rPr>
        <w:t>agregare</w:t>
      </w:r>
      <w:r w:rsidRPr="00C56257">
        <w:rPr>
          <w:color w:val="000000" w:themeColor="text1"/>
          <w:spacing w:val="1"/>
        </w:rPr>
        <w:t xml:space="preserve"> </w:t>
      </w:r>
      <w:r w:rsidRPr="00C56257">
        <w:rPr>
          <w:color w:val="000000" w:themeColor="text1"/>
        </w:rPr>
        <w:t>permite</w:t>
      </w:r>
      <w:r w:rsidRPr="00C56257">
        <w:rPr>
          <w:color w:val="000000" w:themeColor="text1"/>
          <w:spacing w:val="1"/>
        </w:rPr>
        <w:t xml:space="preserve"> </w:t>
      </w:r>
      <w:r w:rsidRPr="00C56257">
        <w:rPr>
          <w:color w:val="000000" w:themeColor="text1"/>
        </w:rPr>
        <w:t>caracterizarea variabilității interne a habitatului țintă la nivelul unui plot. Plotul reprezintă unitatea</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bază</w:t>
      </w:r>
      <w:r w:rsidRPr="00C56257">
        <w:rPr>
          <w:color w:val="000000" w:themeColor="text1"/>
          <w:spacing w:val="1"/>
        </w:rPr>
        <w:t xml:space="preserve"> </w:t>
      </w:r>
      <w:r w:rsidRPr="00C56257">
        <w:rPr>
          <w:color w:val="000000" w:themeColor="text1"/>
        </w:rPr>
        <w:t>pentru</w:t>
      </w:r>
      <w:r w:rsidRPr="00C56257">
        <w:rPr>
          <w:color w:val="000000" w:themeColor="text1"/>
          <w:spacing w:val="1"/>
        </w:rPr>
        <w:t xml:space="preserve"> </w:t>
      </w:r>
      <w:r w:rsidRPr="00C56257">
        <w:rPr>
          <w:color w:val="000000" w:themeColor="text1"/>
        </w:rPr>
        <w:t>evaluare.</w:t>
      </w:r>
      <w:r w:rsidRPr="00C56257">
        <w:rPr>
          <w:color w:val="000000" w:themeColor="text1"/>
          <w:spacing w:val="1"/>
        </w:rPr>
        <w:t xml:space="preserve"> </w:t>
      </w:r>
      <w:r w:rsidRPr="00C56257">
        <w:rPr>
          <w:color w:val="000000" w:themeColor="text1"/>
        </w:rPr>
        <w:t>Metodele</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evaluare</w:t>
      </w:r>
      <w:r w:rsidRPr="00C56257">
        <w:rPr>
          <w:color w:val="000000" w:themeColor="text1"/>
          <w:spacing w:val="1"/>
        </w:rPr>
        <w:t xml:space="preserve"> </w:t>
      </w:r>
      <w:r w:rsidRPr="00C56257">
        <w:rPr>
          <w:color w:val="000000" w:themeColor="text1"/>
        </w:rPr>
        <w:t>se</w:t>
      </w:r>
      <w:r w:rsidRPr="00C56257">
        <w:rPr>
          <w:color w:val="000000" w:themeColor="text1"/>
          <w:spacing w:val="1"/>
        </w:rPr>
        <w:t xml:space="preserve"> </w:t>
      </w:r>
      <w:r w:rsidRPr="00C56257">
        <w:rPr>
          <w:color w:val="000000" w:themeColor="text1"/>
        </w:rPr>
        <w:t>realizează</w:t>
      </w:r>
      <w:r w:rsidRPr="00C56257">
        <w:rPr>
          <w:color w:val="000000" w:themeColor="text1"/>
          <w:spacing w:val="1"/>
        </w:rPr>
        <w:t xml:space="preserve"> </w:t>
      </w:r>
      <w:r w:rsidRPr="00C56257">
        <w:rPr>
          <w:color w:val="000000" w:themeColor="text1"/>
        </w:rPr>
        <w:t>fie</w:t>
      </w:r>
      <w:r w:rsidRPr="00C56257">
        <w:rPr>
          <w:color w:val="000000" w:themeColor="text1"/>
          <w:spacing w:val="1"/>
        </w:rPr>
        <w:t xml:space="preserve"> </w:t>
      </w:r>
      <w:r w:rsidRPr="00C56257">
        <w:rPr>
          <w:color w:val="000000" w:themeColor="text1"/>
        </w:rPr>
        <w:t>prin</w:t>
      </w:r>
      <w:r w:rsidRPr="00C56257">
        <w:rPr>
          <w:color w:val="000000" w:themeColor="text1"/>
          <w:spacing w:val="1"/>
        </w:rPr>
        <w:t xml:space="preserve"> </w:t>
      </w:r>
      <w:r w:rsidRPr="00C56257">
        <w:rPr>
          <w:color w:val="000000" w:themeColor="text1"/>
        </w:rPr>
        <w:t>evaluarea</w:t>
      </w:r>
      <w:r w:rsidRPr="00C56257">
        <w:rPr>
          <w:color w:val="000000" w:themeColor="text1"/>
          <w:spacing w:val="1"/>
        </w:rPr>
        <w:t xml:space="preserve"> </w:t>
      </w:r>
      <w:r w:rsidRPr="00C56257">
        <w:rPr>
          <w:color w:val="000000" w:themeColor="text1"/>
        </w:rPr>
        <w:t>completă</w:t>
      </w:r>
      <w:r w:rsidRPr="00C56257">
        <w:rPr>
          <w:color w:val="000000" w:themeColor="text1"/>
          <w:spacing w:val="60"/>
        </w:rPr>
        <w:t xml:space="preserve"> </w:t>
      </w:r>
      <w:r w:rsidRPr="00C56257">
        <w:rPr>
          <w:color w:val="000000" w:themeColor="text1"/>
        </w:rPr>
        <w:t>a</w:t>
      </w:r>
      <w:r w:rsidRPr="00C56257">
        <w:rPr>
          <w:color w:val="000000" w:themeColor="text1"/>
          <w:spacing w:val="1"/>
        </w:rPr>
        <w:t xml:space="preserve"> </w:t>
      </w:r>
      <w:r w:rsidRPr="00C56257">
        <w:rPr>
          <w:color w:val="000000" w:themeColor="text1"/>
        </w:rPr>
        <w:t>habitatului</w:t>
      </w:r>
      <w:r w:rsidRPr="00C56257">
        <w:rPr>
          <w:color w:val="000000" w:themeColor="text1"/>
          <w:spacing w:val="44"/>
        </w:rPr>
        <w:t xml:space="preserve"> </w:t>
      </w:r>
      <w:r w:rsidRPr="00C56257">
        <w:rPr>
          <w:color w:val="000000" w:themeColor="text1"/>
        </w:rPr>
        <w:t>țintă</w:t>
      </w:r>
      <w:r w:rsidRPr="00C56257">
        <w:rPr>
          <w:color w:val="000000" w:themeColor="text1"/>
          <w:spacing w:val="43"/>
        </w:rPr>
        <w:t xml:space="preserve"> </w:t>
      </w:r>
      <w:r w:rsidRPr="00C56257">
        <w:rPr>
          <w:color w:val="000000" w:themeColor="text1"/>
        </w:rPr>
        <w:t>(3</w:t>
      </w:r>
      <w:r w:rsidRPr="00C56257">
        <w:rPr>
          <w:color w:val="000000" w:themeColor="text1"/>
          <w:spacing w:val="43"/>
        </w:rPr>
        <w:t xml:space="preserve"> </w:t>
      </w:r>
      <w:r w:rsidRPr="00C56257">
        <w:rPr>
          <w:color w:val="000000" w:themeColor="text1"/>
        </w:rPr>
        <w:t>=</w:t>
      </w:r>
      <w:r w:rsidRPr="00C56257">
        <w:rPr>
          <w:color w:val="000000" w:themeColor="text1"/>
          <w:spacing w:val="46"/>
        </w:rPr>
        <w:t xml:space="preserve"> </w:t>
      </w:r>
      <w:r w:rsidRPr="00C56257">
        <w:rPr>
          <w:color w:val="000000" w:themeColor="text1"/>
        </w:rPr>
        <w:t>Complete</w:t>
      </w:r>
      <w:r w:rsidRPr="00C56257">
        <w:rPr>
          <w:color w:val="000000" w:themeColor="text1"/>
          <w:spacing w:val="43"/>
        </w:rPr>
        <w:t xml:space="preserve"> </w:t>
      </w:r>
      <w:r w:rsidRPr="00C56257">
        <w:rPr>
          <w:color w:val="000000" w:themeColor="text1"/>
        </w:rPr>
        <w:t>survey</w:t>
      </w:r>
      <w:r w:rsidRPr="00C56257">
        <w:rPr>
          <w:color w:val="000000" w:themeColor="text1"/>
          <w:spacing w:val="41"/>
        </w:rPr>
        <w:t xml:space="preserve"> </w:t>
      </w:r>
      <w:r w:rsidRPr="00C56257">
        <w:rPr>
          <w:color w:val="000000" w:themeColor="text1"/>
        </w:rPr>
        <w:t>or</w:t>
      </w:r>
      <w:r w:rsidRPr="00C56257">
        <w:rPr>
          <w:color w:val="000000" w:themeColor="text1"/>
          <w:spacing w:val="47"/>
        </w:rPr>
        <w:t xml:space="preserve"> </w:t>
      </w:r>
      <w:r w:rsidRPr="00C56257">
        <w:rPr>
          <w:color w:val="000000" w:themeColor="text1"/>
        </w:rPr>
        <w:t>a</w:t>
      </w:r>
      <w:r w:rsidRPr="00C56257">
        <w:rPr>
          <w:color w:val="000000" w:themeColor="text1"/>
          <w:spacing w:val="43"/>
        </w:rPr>
        <w:t xml:space="preserve"> </w:t>
      </w:r>
      <w:r w:rsidRPr="00C56257">
        <w:rPr>
          <w:color w:val="000000" w:themeColor="text1"/>
        </w:rPr>
        <w:t>statistically</w:t>
      </w:r>
      <w:r w:rsidRPr="00C56257">
        <w:rPr>
          <w:color w:val="000000" w:themeColor="text1"/>
          <w:spacing w:val="39"/>
        </w:rPr>
        <w:t xml:space="preserve"> </w:t>
      </w:r>
      <w:r w:rsidRPr="00C56257">
        <w:rPr>
          <w:color w:val="000000" w:themeColor="text1"/>
        </w:rPr>
        <w:t>robust</w:t>
      </w:r>
      <w:r w:rsidRPr="00C56257">
        <w:rPr>
          <w:color w:val="000000" w:themeColor="text1"/>
          <w:spacing w:val="47"/>
        </w:rPr>
        <w:t xml:space="preserve"> </w:t>
      </w:r>
      <w:r w:rsidRPr="00C56257">
        <w:rPr>
          <w:color w:val="000000" w:themeColor="text1"/>
        </w:rPr>
        <w:t>estimate);</w:t>
      </w:r>
      <w:r w:rsidRPr="00C56257">
        <w:rPr>
          <w:color w:val="000000" w:themeColor="text1"/>
          <w:spacing w:val="44"/>
        </w:rPr>
        <w:t xml:space="preserve"> </w:t>
      </w:r>
      <w:r w:rsidRPr="00C56257">
        <w:rPr>
          <w:color w:val="000000" w:themeColor="text1"/>
        </w:rPr>
        <w:t>când</w:t>
      </w:r>
      <w:r w:rsidRPr="00C56257">
        <w:rPr>
          <w:color w:val="000000" w:themeColor="text1"/>
          <w:spacing w:val="46"/>
        </w:rPr>
        <w:t xml:space="preserve"> </w:t>
      </w:r>
      <w:r w:rsidRPr="00C56257">
        <w:rPr>
          <w:color w:val="000000" w:themeColor="text1"/>
        </w:rPr>
        <w:t>se</w:t>
      </w:r>
      <w:r w:rsidRPr="00C56257">
        <w:rPr>
          <w:color w:val="000000" w:themeColor="text1"/>
          <w:spacing w:val="46"/>
        </w:rPr>
        <w:t xml:space="preserve"> </w:t>
      </w:r>
      <w:r w:rsidRPr="00C56257">
        <w:rPr>
          <w:color w:val="000000" w:themeColor="text1"/>
        </w:rPr>
        <w:t>evaluează</w:t>
      </w:r>
      <w:r w:rsidRPr="00C56257">
        <w:rPr>
          <w:color w:val="000000" w:themeColor="text1"/>
          <w:spacing w:val="44"/>
        </w:rPr>
        <w:t xml:space="preserve"> </w:t>
      </w:r>
      <w:r w:rsidRPr="00C56257">
        <w:rPr>
          <w:color w:val="000000" w:themeColor="text1"/>
        </w:rPr>
        <w:t>un</w:t>
      </w:r>
      <w:r w:rsidRPr="00C56257">
        <w:rPr>
          <w:color w:val="000000" w:themeColor="text1"/>
          <w:spacing w:val="-58"/>
        </w:rPr>
        <w:t xml:space="preserve"> </w:t>
      </w:r>
      <w:r w:rsidRPr="00C56257">
        <w:rPr>
          <w:color w:val="000000" w:themeColor="text1"/>
        </w:rPr>
        <w:t>număr de ploturi mai mic decât numărul total în care avem habitatul confirmat (2= Estimate based</w:t>
      </w:r>
      <w:r w:rsidRPr="00C56257">
        <w:rPr>
          <w:color w:val="000000" w:themeColor="text1"/>
          <w:spacing w:val="1"/>
        </w:rPr>
        <w:t xml:space="preserve"> </w:t>
      </w:r>
      <w:r w:rsidRPr="00C56257">
        <w:rPr>
          <w:color w:val="000000" w:themeColor="text1"/>
        </w:rPr>
        <w:t>on partial data with some extrapolation and/or modelling); când se evaluează un număr foarte redus</w:t>
      </w:r>
      <w:r w:rsidRPr="00C56257">
        <w:rPr>
          <w:color w:val="000000" w:themeColor="text1"/>
          <w:spacing w:val="1"/>
        </w:rPr>
        <w:t xml:space="preserve"> </w:t>
      </w:r>
      <w:r w:rsidRPr="00C56257">
        <w:rPr>
          <w:color w:val="000000" w:themeColor="text1"/>
        </w:rPr>
        <w:t xml:space="preserve">de ploturi și se utilizează părerea expertului (1 = Estimate based on expert opinion </w:t>
      </w:r>
      <w:r w:rsidRPr="00C56257">
        <w:rPr>
          <w:color w:val="000000" w:themeColor="text1"/>
        </w:rPr>
        <w:lastRenderedPageBreak/>
        <w:t>with no or</w:t>
      </w:r>
      <w:r w:rsidRPr="00C56257">
        <w:rPr>
          <w:color w:val="000000" w:themeColor="text1"/>
          <w:spacing w:val="1"/>
        </w:rPr>
        <w:t xml:space="preserve"> </w:t>
      </w:r>
      <w:r w:rsidRPr="00C56257">
        <w:rPr>
          <w:color w:val="000000" w:themeColor="text1"/>
        </w:rPr>
        <w:t>minimal</w:t>
      </w:r>
      <w:r w:rsidRPr="00C56257">
        <w:rPr>
          <w:color w:val="000000" w:themeColor="text1"/>
          <w:spacing w:val="1"/>
        </w:rPr>
        <w:t xml:space="preserve"> </w:t>
      </w:r>
      <w:r w:rsidRPr="00C56257">
        <w:rPr>
          <w:color w:val="000000" w:themeColor="text1"/>
        </w:rPr>
        <w:t>sampling);</w:t>
      </w:r>
      <w:r w:rsidRPr="00C56257">
        <w:rPr>
          <w:color w:val="000000" w:themeColor="text1"/>
          <w:spacing w:val="1"/>
        </w:rPr>
        <w:t xml:space="preserve"> </w:t>
      </w:r>
      <w:r w:rsidRPr="00C56257">
        <w:rPr>
          <w:color w:val="000000" w:themeColor="text1"/>
        </w:rPr>
        <w:t>atunci</w:t>
      </w:r>
      <w:r w:rsidRPr="00C56257">
        <w:rPr>
          <w:color w:val="000000" w:themeColor="text1"/>
          <w:spacing w:val="1"/>
        </w:rPr>
        <w:t xml:space="preserve"> </w:t>
      </w:r>
      <w:r w:rsidRPr="00C56257">
        <w:rPr>
          <w:color w:val="000000" w:themeColor="text1"/>
        </w:rPr>
        <w:t>când</w:t>
      </w:r>
      <w:r w:rsidRPr="00C56257">
        <w:rPr>
          <w:color w:val="000000" w:themeColor="text1"/>
          <w:spacing w:val="1"/>
        </w:rPr>
        <w:t xml:space="preserve"> </w:t>
      </w:r>
      <w:r w:rsidRPr="00C56257">
        <w:rPr>
          <w:color w:val="000000" w:themeColor="text1"/>
        </w:rPr>
        <w:t>nu</w:t>
      </w:r>
      <w:r w:rsidRPr="00C56257">
        <w:rPr>
          <w:color w:val="000000" w:themeColor="text1"/>
          <w:spacing w:val="1"/>
        </w:rPr>
        <w:t xml:space="preserve"> </w:t>
      </w:r>
      <w:r w:rsidRPr="00C56257">
        <w:rPr>
          <w:color w:val="000000" w:themeColor="text1"/>
        </w:rPr>
        <w:t>se</w:t>
      </w:r>
      <w:r w:rsidRPr="00C56257">
        <w:rPr>
          <w:color w:val="000000" w:themeColor="text1"/>
          <w:spacing w:val="1"/>
        </w:rPr>
        <w:t xml:space="preserve"> </w:t>
      </w:r>
      <w:r w:rsidRPr="00C56257">
        <w:rPr>
          <w:color w:val="000000" w:themeColor="text1"/>
        </w:rPr>
        <w:t>evaluează</w:t>
      </w:r>
      <w:r w:rsidRPr="00C56257">
        <w:rPr>
          <w:color w:val="000000" w:themeColor="text1"/>
          <w:spacing w:val="1"/>
        </w:rPr>
        <w:t xml:space="preserve"> </w:t>
      </w:r>
      <w:r w:rsidRPr="00C56257">
        <w:rPr>
          <w:color w:val="000000" w:themeColor="text1"/>
        </w:rPr>
        <w:t>nici</w:t>
      </w:r>
      <w:r w:rsidRPr="00C56257">
        <w:rPr>
          <w:color w:val="000000" w:themeColor="text1"/>
          <w:spacing w:val="1"/>
        </w:rPr>
        <w:t xml:space="preserve"> </w:t>
      </w:r>
      <w:r w:rsidRPr="00C56257">
        <w:rPr>
          <w:color w:val="000000" w:themeColor="text1"/>
        </w:rPr>
        <w:t>un</w:t>
      </w:r>
      <w:r w:rsidRPr="00C56257">
        <w:rPr>
          <w:color w:val="000000" w:themeColor="text1"/>
          <w:spacing w:val="1"/>
        </w:rPr>
        <w:t xml:space="preserve"> </w:t>
      </w:r>
      <w:r w:rsidRPr="00C56257">
        <w:rPr>
          <w:color w:val="000000" w:themeColor="text1"/>
        </w:rPr>
        <w:t>plot</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raport</w:t>
      </w:r>
      <w:r w:rsidRPr="00C56257">
        <w:rPr>
          <w:color w:val="000000" w:themeColor="text1"/>
          <w:spacing w:val="1"/>
        </w:rPr>
        <w:t xml:space="preserve"> </w:t>
      </w:r>
      <w:r w:rsidRPr="00C56257">
        <w:rPr>
          <w:color w:val="000000" w:themeColor="text1"/>
        </w:rPr>
        <w:t>se</w:t>
      </w:r>
      <w:r w:rsidRPr="00C56257">
        <w:rPr>
          <w:color w:val="000000" w:themeColor="text1"/>
          <w:spacing w:val="1"/>
        </w:rPr>
        <w:t xml:space="preserve"> </w:t>
      </w:r>
      <w:r w:rsidRPr="00C56257">
        <w:rPr>
          <w:color w:val="000000" w:themeColor="text1"/>
        </w:rPr>
        <w:t>va</w:t>
      </w:r>
      <w:r w:rsidRPr="00C56257">
        <w:rPr>
          <w:color w:val="000000" w:themeColor="text1"/>
          <w:spacing w:val="1"/>
        </w:rPr>
        <w:t xml:space="preserve"> </w:t>
      </w:r>
      <w:r w:rsidRPr="00C56257">
        <w:rPr>
          <w:color w:val="000000" w:themeColor="text1"/>
        </w:rPr>
        <w:t>menționa</w:t>
      </w:r>
      <w:r w:rsidRPr="00C56257">
        <w:rPr>
          <w:color w:val="000000" w:themeColor="text1"/>
          <w:spacing w:val="1"/>
        </w:rPr>
        <w:t xml:space="preserve"> </w:t>
      </w:r>
      <w:r w:rsidRPr="00C56257">
        <w:rPr>
          <w:color w:val="000000" w:themeColor="text1"/>
        </w:rPr>
        <w:t>„date</w:t>
      </w:r>
      <w:r w:rsidRPr="00C56257">
        <w:rPr>
          <w:color w:val="000000" w:themeColor="text1"/>
          <w:spacing w:val="-57"/>
        </w:rPr>
        <w:t xml:space="preserve"> </w:t>
      </w:r>
      <w:r w:rsidRPr="00C56257">
        <w:rPr>
          <w:color w:val="000000" w:themeColor="text1"/>
        </w:rPr>
        <w:t>inexistente”</w:t>
      </w:r>
      <w:r w:rsidRPr="00C56257">
        <w:rPr>
          <w:color w:val="000000" w:themeColor="text1"/>
          <w:spacing w:val="-3"/>
        </w:rPr>
        <w:t xml:space="preserve"> </w:t>
      </w:r>
      <w:r w:rsidRPr="00C56257">
        <w:rPr>
          <w:color w:val="000000" w:themeColor="text1"/>
        </w:rPr>
        <w:t>(0 =</w:t>
      </w:r>
      <w:r w:rsidRPr="00C56257">
        <w:rPr>
          <w:color w:val="000000" w:themeColor="text1"/>
          <w:spacing w:val="-1"/>
        </w:rPr>
        <w:t xml:space="preserve"> </w:t>
      </w:r>
      <w:r w:rsidRPr="00C56257">
        <w:rPr>
          <w:color w:val="000000" w:themeColor="text1"/>
        </w:rPr>
        <w:t>Absent</w:t>
      </w:r>
      <w:r w:rsidRPr="00C56257">
        <w:rPr>
          <w:color w:val="000000" w:themeColor="text1"/>
          <w:spacing w:val="2"/>
        </w:rPr>
        <w:t xml:space="preserve"> </w:t>
      </w:r>
      <w:r w:rsidRPr="00C56257">
        <w:rPr>
          <w:color w:val="000000" w:themeColor="text1"/>
        </w:rPr>
        <w:t>data).</w:t>
      </w:r>
    </w:p>
    <w:p w14:paraId="1546EE5F" w14:textId="77777777" w:rsidR="00A37B92" w:rsidRPr="00C56257" w:rsidRDefault="00A37B92" w:rsidP="00A37B92">
      <w:pPr>
        <w:widowControl w:val="0"/>
        <w:autoSpaceDE w:val="0"/>
        <w:autoSpaceDN w:val="0"/>
        <w:jc w:val="both"/>
        <w:rPr>
          <w:color w:val="000000" w:themeColor="text1"/>
        </w:rPr>
      </w:pPr>
    </w:p>
    <w:p w14:paraId="5D337F16" w14:textId="77777777" w:rsidR="00A37B92" w:rsidRPr="00C56257" w:rsidRDefault="00A37B92" w:rsidP="00A37B92">
      <w:pPr>
        <w:widowControl w:val="0"/>
        <w:tabs>
          <w:tab w:val="left" w:pos="1232"/>
        </w:tabs>
        <w:autoSpaceDE w:val="0"/>
        <w:autoSpaceDN w:val="0"/>
        <w:jc w:val="both"/>
        <w:outlineLvl w:val="1"/>
        <w:rPr>
          <w:rFonts w:eastAsia="Cambria"/>
          <w:b/>
          <w:bCs/>
          <w:color w:val="000000" w:themeColor="text1"/>
        </w:rPr>
      </w:pPr>
      <w:r w:rsidRPr="00C56257">
        <w:rPr>
          <w:rFonts w:eastAsia="Cambria"/>
          <w:b/>
          <w:bCs/>
          <w:color w:val="000000" w:themeColor="text1"/>
        </w:rPr>
        <w:t>Evaluarea</w:t>
      </w:r>
      <w:r w:rsidRPr="00C56257">
        <w:rPr>
          <w:rFonts w:eastAsia="Cambria"/>
          <w:b/>
          <w:bCs/>
          <w:color w:val="000000" w:themeColor="text1"/>
          <w:spacing w:val="-4"/>
        </w:rPr>
        <w:t xml:space="preserve"> </w:t>
      </w:r>
      <w:r w:rsidRPr="00C56257">
        <w:rPr>
          <w:rFonts w:eastAsia="Cambria"/>
          <w:b/>
          <w:bCs/>
          <w:color w:val="000000" w:themeColor="text1"/>
        </w:rPr>
        <w:t>stării</w:t>
      </w:r>
      <w:r w:rsidRPr="00C56257">
        <w:rPr>
          <w:rFonts w:eastAsia="Cambria"/>
          <w:b/>
          <w:bCs/>
          <w:color w:val="000000" w:themeColor="text1"/>
          <w:spacing w:val="-5"/>
        </w:rPr>
        <w:t xml:space="preserve"> </w:t>
      </w:r>
      <w:r w:rsidRPr="00C56257">
        <w:rPr>
          <w:rFonts w:eastAsia="Cambria"/>
          <w:b/>
          <w:bCs/>
          <w:color w:val="000000" w:themeColor="text1"/>
        </w:rPr>
        <w:t>de</w:t>
      </w:r>
      <w:r w:rsidRPr="00C56257">
        <w:rPr>
          <w:rFonts w:eastAsia="Cambria"/>
          <w:b/>
          <w:bCs/>
          <w:color w:val="000000" w:themeColor="text1"/>
          <w:spacing w:val="-4"/>
        </w:rPr>
        <w:t xml:space="preserve"> </w:t>
      </w:r>
      <w:r w:rsidRPr="00C56257">
        <w:rPr>
          <w:rFonts w:eastAsia="Cambria"/>
          <w:b/>
          <w:bCs/>
          <w:color w:val="000000" w:themeColor="text1"/>
        </w:rPr>
        <w:t>conservare</w:t>
      </w:r>
      <w:r w:rsidRPr="00C56257">
        <w:rPr>
          <w:rFonts w:eastAsia="Cambria"/>
          <w:b/>
          <w:bCs/>
          <w:color w:val="000000" w:themeColor="text1"/>
          <w:spacing w:val="-4"/>
        </w:rPr>
        <w:t xml:space="preserve"> </w:t>
      </w:r>
      <w:r w:rsidRPr="00C56257">
        <w:rPr>
          <w:rFonts w:eastAsia="Cambria"/>
          <w:b/>
          <w:bCs/>
          <w:color w:val="000000" w:themeColor="text1"/>
        </w:rPr>
        <w:t>pe</w:t>
      </w:r>
      <w:r w:rsidRPr="00C56257">
        <w:rPr>
          <w:rFonts w:eastAsia="Cambria"/>
          <w:b/>
          <w:bCs/>
          <w:color w:val="000000" w:themeColor="text1"/>
          <w:spacing w:val="-4"/>
        </w:rPr>
        <w:t xml:space="preserve"> </w:t>
      </w:r>
      <w:r w:rsidRPr="00C56257">
        <w:rPr>
          <w:rFonts w:eastAsia="Cambria"/>
          <w:b/>
          <w:bCs/>
          <w:color w:val="000000" w:themeColor="text1"/>
        </w:rPr>
        <w:t>bioregiune</w:t>
      </w:r>
    </w:p>
    <w:p w14:paraId="1B9F6143" w14:textId="77777777" w:rsidR="00A37B92" w:rsidRPr="00C56257" w:rsidRDefault="00A37B92" w:rsidP="004471AF">
      <w:pPr>
        <w:widowControl w:val="0"/>
        <w:autoSpaceDE w:val="0"/>
        <w:autoSpaceDN w:val="0"/>
        <w:spacing w:before="157"/>
        <w:ind w:right="26"/>
        <w:jc w:val="both"/>
        <w:rPr>
          <w:color w:val="000000" w:themeColor="text1"/>
        </w:rPr>
      </w:pPr>
      <w:r w:rsidRPr="00C56257">
        <w:rPr>
          <w:color w:val="000000" w:themeColor="text1"/>
        </w:rPr>
        <w:t>Evaluarea stării de conservare se realizează într-un mod gregar pentru fiecare tip de habitat care a</w:t>
      </w:r>
      <w:r w:rsidRPr="00C56257">
        <w:rPr>
          <w:color w:val="000000" w:themeColor="text1"/>
          <w:spacing w:val="1"/>
        </w:rPr>
        <w:t xml:space="preserve"> </w:t>
      </w:r>
      <w:r w:rsidRPr="00C56257">
        <w:rPr>
          <w:color w:val="000000" w:themeColor="text1"/>
        </w:rPr>
        <w:t>fost inclus în checklist, raportarea realizându-se pentru habitatele prezente la nivel național în cele 5</w:t>
      </w:r>
      <w:r w:rsidRPr="00C56257">
        <w:rPr>
          <w:color w:val="000000" w:themeColor="text1"/>
          <w:spacing w:val="-57"/>
        </w:rPr>
        <w:t xml:space="preserve"> </w:t>
      </w:r>
      <w:r w:rsidRPr="00C56257">
        <w:rPr>
          <w:color w:val="000000" w:themeColor="text1"/>
        </w:rPr>
        <w:t>bioregiuni</w:t>
      </w:r>
      <w:r w:rsidRPr="00C56257">
        <w:rPr>
          <w:color w:val="000000" w:themeColor="text1"/>
          <w:spacing w:val="-1"/>
        </w:rPr>
        <w:t xml:space="preserve"> </w:t>
      </w:r>
      <w:r w:rsidRPr="00C56257">
        <w:rPr>
          <w:color w:val="000000" w:themeColor="text1"/>
        </w:rPr>
        <w:t>terestre</w:t>
      </w:r>
      <w:r w:rsidRPr="00C56257">
        <w:rPr>
          <w:color w:val="000000" w:themeColor="text1"/>
          <w:spacing w:val="-1"/>
        </w:rPr>
        <w:t xml:space="preserve"> </w:t>
      </w:r>
      <w:r w:rsidRPr="00C56257">
        <w:rPr>
          <w:color w:val="000000" w:themeColor="text1"/>
        </w:rPr>
        <w:t>și</w:t>
      </w:r>
      <w:r w:rsidRPr="00C56257">
        <w:rPr>
          <w:color w:val="000000" w:themeColor="text1"/>
          <w:spacing w:val="-1"/>
        </w:rPr>
        <w:t xml:space="preserve"> </w:t>
      </w:r>
      <w:r w:rsidRPr="00C56257">
        <w:rPr>
          <w:color w:val="000000" w:themeColor="text1"/>
        </w:rPr>
        <w:t>Regiunea</w:t>
      </w:r>
      <w:r w:rsidRPr="00C56257">
        <w:rPr>
          <w:color w:val="000000" w:themeColor="text1"/>
          <w:spacing w:val="-2"/>
        </w:rPr>
        <w:t xml:space="preserve"> </w:t>
      </w:r>
      <w:r w:rsidRPr="00C56257">
        <w:rPr>
          <w:color w:val="000000" w:themeColor="text1"/>
        </w:rPr>
        <w:t>marină Marea</w:t>
      </w:r>
      <w:r w:rsidRPr="00C56257">
        <w:rPr>
          <w:color w:val="000000" w:themeColor="text1"/>
          <w:spacing w:val="-1"/>
        </w:rPr>
        <w:t xml:space="preserve"> </w:t>
      </w:r>
      <w:r w:rsidRPr="00C56257">
        <w:rPr>
          <w:color w:val="000000" w:themeColor="text1"/>
        </w:rPr>
        <w:t>Neagră.</w:t>
      </w:r>
    </w:p>
    <w:p w14:paraId="4C62FAE4" w14:textId="77777777" w:rsidR="00A37B92" w:rsidRPr="00C56257" w:rsidRDefault="00A37B92" w:rsidP="004471AF">
      <w:pPr>
        <w:widowControl w:val="0"/>
        <w:autoSpaceDE w:val="0"/>
        <w:autoSpaceDN w:val="0"/>
        <w:ind w:right="26"/>
        <w:jc w:val="both"/>
        <w:rPr>
          <w:color w:val="000000" w:themeColor="text1"/>
        </w:rPr>
      </w:pPr>
      <w:r w:rsidRPr="00C56257">
        <w:rPr>
          <w:color w:val="000000" w:themeColor="text1"/>
        </w:rPr>
        <w:t>Simplificat, starea de conservare favorabilă poate fi descrisă ca situaţia în care un</w:t>
      </w:r>
      <w:r w:rsidRPr="00C56257">
        <w:rPr>
          <w:color w:val="000000" w:themeColor="text1"/>
          <w:spacing w:val="60"/>
        </w:rPr>
        <w:t xml:space="preserve"> </w:t>
      </w:r>
      <w:r w:rsidRPr="00C56257">
        <w:rPr>
          <w:color w:val="000000" w:themeColor="text1"/>
        </w:rPr>
        <w:t>tip de habitat sau</w:t>
      </w:r>
      <w:r w:rsidRPr="00C56257">
        <w:rPr>
          <w:color w:val="000000" w:themeColor="text1"/>
          <w:spacing w:val="1"/>
        </w:rPr>
        <w:t xml:space="preserve"> </w:t>
      </w:r>
      <w:r w:rsidRPr="00C56257">
        <w:rPr>
          <w:color w:val="000000" w:themeColor="text1"/>
        </w:rPr>
        <w:t>o specie prosperă (atât în ceea ce priveşte suprafaţa şi mărimea populaţiei, cât şi în ceea ce priveşte</w:t>
      </w:r>
      <w:r w:rsidRPr="00C56257">
        <w:rPr>
          <w:color w:val="000000" w:themeColor="text1"/>
          <w:spacing w:val="1"/>
        </w:rPr>
        <w:t xml:space="preserve"> </w:t>
      </w:r>
      <w:r w:rsidRPr="00C56257">
        <w:rPr>
          <w:color w:val="000000" w:themeColor="text1"/>
        </w:rPr>
        <w:t>calitatea populaţiei, inclusiv în sensul capacităţii de reproducere, structurii pe vârste, mortalităţii) şi</w:t>
      </w:r>
      <w:r w:rsidRPr="00C56257">
        <w:rPr>
          <w:color w:val="000000" w:themeColor="text1"/>
          <w:spacing w:val="1"/>
        </w:rPr>
        <w:t xml:space="preserve"> </w:t>
      </w:r>
      <w:r w:rsidRPr="00C56257">
        <w:rPr>
          <w:color w:val="000000" w:themeColor="text1"/>
        </w:rPr>
        <w:t>există perspectivele să prospere de asemenea şi în viitor fără modificări semnificative în politicile şi</w:t>
      </w:r>
      <w:r w:rsidRPr="00C56257">
        <w:rPr>
          <w:color w:val="000000" w:themeColor="text1"/>
          <w:spacing w:val="1"/>
        </w:rPr>
        <w:t xml:space="preserve"> </w:t>
      </w:r>
      <w:r w:rsidRPr="00C56257">
        <w:rPr>
          <w:color w:val="000000" w:themeColor="text1"/>
        </w:rPr>
        <w:t>managementul existent. Faptul că un tip de habitat sau o specie nu</w:t>
      </w:r>
      <w:r w:rsidRPr="00C56257">
        <w:rPr>
          <w:color w:val="000000" w:themeColor="text1"/>
          <w:spacing w:val="60"/>
        </w:rPr>
        <w:t xml:space="preserve"> </w:t>
      </w:r>
      <w:r w:rsidRPr="00C56257">
        <w:rPr>
          <w:color w:val="000000" w:themeColor="text1"/>
        </w:rPr>
        <w:t>sunt ameninţate (ex: nu există</w:t>
      </w:r>
      <w:r w:rsidRPr="00C56257">
        <w:rPr>
          <w:color w:val="000000" w:themeColor="text1"/>
          <w:spacing w:val="1"/>
        </w:rPr>
        <w:t xml:space="preserve"> </w:t>
      </w:r>
      <w:r w:rsidRPr="00C56257">
        <w:rPr>
          <w:color w:val="000000" w:themeColor="text1"/>
        </w:rPr>
        <w:t>nici un risc direct să devină extincte) nu înseamnă că acestea sunt în stare de conservare favorabilă.</w:t>
      </w:r>
      <w:r w:rsidRPr="00C56257">
        <w:rPr>
          <w:color w:val="000000" w:themeColor="text1"/>
          <w:spacing w:val="1"/>
        </w:rPr>
        <w:t xml:space="preserve"> </w:t>
      </w:r>
      <w:r w:rsidRPr="00C56257">
        <w:rPr>
          <w:color w:val="000000" w:themeColor="text1"/>
        </w:rPr>
        <w:t>Obiectivul</w:t>
      </w:r>
      <w:r w:rsidRPr="00C56257">
        <w:rPr>
          <w:color w:val="000000" w:themeColor="text1"/>
          <w:spacing w:val="16"/>
        </w:rPr>
        <w:t xml:space="preserve"> </w:t>
      </w:r>
      <w:r w:rsidRPr="00C56257">
        <w:rPr>
          <w:color w:val="000000" w:themeColor="text1"/>
        </w:rPr>
        <w:t>directivei</w:t>
      </w:r>
      <w:r w:rsidRPr="00C56257">
        <w:rPr>
          <w:color w:val="000000" w:themeColor="text1"/>
          <w:spacing w:val="18"/>
        </w:rPr>
        <w:t xml:space="preserve"> </w:t>
      </w:r>
      <w:r w:rsidRPr="00C56257">
        <w:rPr>
          <w:color w:val="000000" w:themeColor="text1"/>
        </w:rPr>
        <w:t>este</w:t>
      </w:r>
      <w:r w:rsidRPr="00C56257">
        <w:rPr>
          <w:color w:val="000000" w:themeColor="text1"/>
          <w:spacing w:val="18"/>
        </w:rPr>
        <w:t xml:space="preserve"> </w:t>
      </w:r>
      <w:r w:rsidRPr="00C56257">
        <w:rPr>
          <w:color w:val="000000" w:themeColor="text1"/>
        </w:rPr>
        <w:t>definit</w:t>
      </w:r>
      <w:r w:rsidRPr="00C56257">
        <w:rPr>
          <w:color w:val="000000" w:themeColor="text1"/>
          <w:spacing w:val="17"/>
        </w:rPr>
        <w:t xml:space="preserve"> </w:t>
      </w:r>
      <w:r w:rsidRPr="00C56257">
        <w:rPr>
          <w:color w:val="000000" w:themeColor="text1"/>
        </w:rPr>
        <w:t>în</w:t>
      </w:r>
      <w:r w:rsidRPr="00C56257">
        <w:rPr>
          <w:color w:val="000000" w:themeColor="text1"/>
          <w:spacing w:val="16"/>
        </w:rPr>
        <w:t xml:space="preserve"> </w:t>
      </w:r>
      <w:r w:rsidRPr="00C56257">
        <w:rPr>
          <w:color w:val="000000" w:themeColor="text1"/>
        </w:rPr>
        <w:t>termeni</w:t>
      </w:r>
      <w:r w:rsidRPr="00C56257">
        <w:rPr>
          <w:color w:val="000000" w:themeColor="text1"/>
          <w:spacing w:val="17"/>
        </w:rPr>
        <w:t xml:space="preserve"> </w:t>
      </w:r>
      <w:r w:rsidRPr="00C56257">
        <w:rPr>
          <w:color w:val="000000" w:themeColor="text1"/>
        </w:rPr>
        <w:t>pozitivi,</w:t>
      </w:r>
      <w:r w:rsidRPr="00C56257">
        <w:rPr>
          <w:color w:val="000000" w:themeColor="text1"/>
          <w:spacing w:val="17"/>
        </w:rPr>
        <w:t xml:space="preserve"> </w:t>
      </w:r>
      <w:r w:rsidRPr="00C56257">
        <w:rPr>
          <w:color w:val="000000" w:themeColor="text1"/>
        </w:rPr>
        <w:t>orientat</w:t>
      </w:r>
      <w:r w:rsidRPr="00C56257">
        <w:rPr>
          <w:color w:val="000000" w:themeColor="text1"/>
          <w:spacing w:val="17"/>
        </w:rPr>
        <w:t xml:space="preserve"> </w:t>
      </w:r>
      <w:r w:rsidRPr="00C56257">
        <w:rPr>
          <w:color w:val="000000" w:themeColor="text1"/>
        </w:rPr>
        <w:t>spre</w:t>
      </w:r>
      <w:r w:rsidRPr="00C56257">
        <w:rPr>
          <w:color w:val="000000" w:themeColor="text1"/>
          <w:spacing w:val="14"/>
        </w:rPr>
        <w:t xml:space="preserve"> </w:t>
      </w:r>
      <w:r w:rsidRPr="00C56257">
        <w:rPr>
          <w:color w:val="000000" w:themeColor="text1"/>
        </w:rPr>
        <w:t>o</w:t>
      </w:r>
      <w:r w:rsidRPr="00C56257">
        <w:rPr>
          <w:color w:val="000000" w:themeColor="text1"/>
          <w:spacing w:val="16"/>
        </w:rPr>
        <w:t xml:space="preserve"> </w:t>
      </w:r>
      <w:r w:rsidRPr="00C56257">
        <w:rPr>
          <w:color w:val="000000" w:themeColor="text1"/>
        </w:rPr>
        <w:t>situaţie</w:t>
      </w:r>
      <w:r w:rsidRPr="00C56257">
        <w:rPr>
          <w:color w:val="000000" w:themeColor="text1"/>
          <w:spacing w:val="16"/>
        </w:rPr>
        <w:t xml:space="preserve"> </w:t>
      </w:r>
      <w:r w:rsidRPr="00C56257">
        <w:rPr>
          <w:color w:val="000000" w:themeColor="text1"/>
        </w:rPr>
        <w:t>favorabilă</w:t>
      </w:r>
      <w:r w:rsidRPr="00C56257">
        <w:rPr>
          <w:color w:val="000000" w:themeColor="text1"/>
          <w:spacing w:val="16"/>
        </w:rPr>
        <w:t xml:space="preserve"> </w:t>
      </w:r>
      <w:r w:rsidRPr="00C56257">
        <w:rPr>
          <w:color w:val="000000" w:themeColor="text1"/>
        </w:rPr>
        <w:t>care</w:t>
      </w:r>
      <w:r w:rsidRPr="00C56257">
        <w:rPr>
          <w:color w:val="000000" w:themeColor="text1"/>
          <w:spacing w:val="16"/>
        </w:rPr>
        <w:t xml:space="preserve"> </w:t>
      </w:r>
      <w:r w:rsidRPr="00C56257">
        <w:rPr>
          <w:color w:val="000000" w:themeColor="text1"/>
        </w:rPr>
        <w:t>trebuie</w:t>
      </w:r>
      <w:r w:rsidRPr="00C56257">
        <w:rPr>
          <w:color w:val="000000" w:themeColor="text1"/>
          <w:spacing w:val="-58"/>
        </w:rPr>
        <w:t xml:space="preserve"> </w:t>
      </w:r>
      <w:r w:rsidRPr="00C56257">
        <w:rPr>
          <w:color w:val="000000" w:themeColor="text1"/>
        </w:rPr>
        <w:t>să fie definită, atinsă și/sau menţinută. Prin urmare, obiectivul Directivei Habitate urmărește mai</w:t>
      </w:r>
      <w:r w:rsidRPr="00C56257">
        <w:rPr>
          <w:color w:val="000000" w:themeColor="text1"/>
          <w:spacing w:val="1"/>
        </w:rPr>
        <w:t xml:space="preserve"> </w:t>
      </w:r>
      <w:r w:rsidRPr="00C56257">
        <w:rPr>
          <w:color w:val="000000" w:themeColor="text1"/>
        </w:rPr>
        <w:t>mult</w:t>
      </w:r>
      <w:r w:rsidRPr="00C56257">
        <w:rPr>
          <w:color w:val="000000" w:themeColor="text1"/>
          <w:spacing w:val="-1"/>
        </w:rPr>
        <w:t xml:space="preserve"> </w:t>
      </w:r>
      <w:r w:rsidRPr="00C56257">
        <w:rPr>
          <w:color w:val="000000" w:themeColor="text1"/>
        </w:rPr>
        <w:t>decât evitarea</w:t>
      </w:r>
      <w:r w:rsidRPr="00C56257">
        <w:rPr>
          <w:color w:val="000000" w:themeColor="text1"/>
          <w:spacing w:val="-1"/>
        </w:rPr>
        <w:t xml:space="preserve"> </w:t>
      </w:r>
      <w:r w:rsidRPr="00C56257">
        <w:rPr>
          <w:color w:val="000000" w:themeColor="text1"/>
        </w:rPr>
        <w:t>dispariţiei tipurilor</w:t>
      </w:r>
      <w:r w:rsidRPr="00C56257">
        <w:rPr>
          <w:color w:val="000000" w:themeColor="text1"/>
          <w:spacing w:val="-1"/>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habitate</w:t>
      </w:r>
      <w:r w:rsidRPr="00C56257">
        <w:rPr>
          <w:color w:val="000000" w:themeColor="text1"/>
          <w:spacing w:val="1"/>
        </w:rPr>
        <w:t xml:space="preserve"> </w:t>
      </w:r>
      <w:r w:rsidRPr="00C56257">
        <w:rPr>
          <w:color w:val="000000" w:themeColor="text1"/>
        </w:rPr>
        <w:t>sau</w:t>
      </w:r>
      <w:r w:rsidRPr="00C56257">
        <w:rPr>
          <w:color w:val="000000" w:themeColor="text1"/>
          <w:spacing w:val="-1"/>
        </w:rPr>
        <w:t xml:space="preserve"> </w:t>
      </w:r>
      <w:r w:rsidRPr="00C56257">
        <w:rPr>
          <w:color w:val="000000" w:themeColor="text1"/>
        </w:rPr>
        <w:t>speciilor.</w:t>
      </w:r>
    </w:p>
    <w:p w14:paraId="0C3FD579" w14:textId="77777777" w:rsidR="00A37B92" w:rsidRPr="00C56257" w:rsidRDefault="00A37B92" w:rsidP="004471AF">
      <w:pPr>
        <w:widowControl w:val="0"/>
        <w:autoSpaceDE w:val="0"/>
        <w:autoSpaceDN w:val="0"/>
        <w:spacing w:before="1"/>
        <w:ind w:right="26"/>
        <w:jc w:val="both"/>
        <w:rPr>
          <w:color w:val="000000" w:themeColor="text1"/>
        </w:rPr>
      </w:pPr>
      <w:r w:rsidRPr="00C56257">
        <w:rPr>
          <w:color w:val="000000" w:themeColor="text1"/>
        </w:rPr>
        <w:t>Starea</w:t>
      </w:r>
      <w:r w:rsidRPr="00C56257">
        <w:rPr>
          <w:color w:val="000000" w:themeColor="text1"/>
          <w:spacing w:val="-3"/>
        </w:rPr>
        <w:t xml:space="preserve"> </w:t>
      </w:r>
      <w:r w:rsidRPr="00C56257">
        <w:rPr>
          <w:color w:val="000000" w:themeColor="text1"/>
        </w:rPr>
        <w:t>de conservare</w:t>
      </w:r>
      <w:r w:rsidRPr="00C56257">
        <w:rPr>
          <w:color w:val="000000" w:themeColor="text1"/>
          <w:spacing w:val="-3"/>
        </w:rPr>
        <w:t xml:space="preserve"> </w:t>
      </w:r>
      <w:r w:rsidRPr="00C56257">
        <w:rPr>
          <w:color w:val="000000" w:themeColor="text1"/>
        </w:rPr>
        <w:t>nefavorabilă</w:t>
      </w:r>
      <w:r w:rsidRPr="00C56257">
        <w:rPr>
          <w:color w:val="000000" w:themeColor="text1"/>
          <w:spacing w:val="-2"/>
        </w:rPr>
        <w:t xml:space="preserve"> </w:t>
      </w:r>
      <w:r w:rsidRPr="00C56257">
        <w:rPr>
          <w:color w:val="000000" w:themeColor="text1"/>
        </w:rPr>
        <w:t>este</w:t>
      </w:r>
      <w:r w:rsidRPr="00C56257">
        <w:rPr>
          <w:color w:val="000000" w:themeColor="text1"/>
          <w:spacing w:val="-2"/>
        </w:rPr>
        <w:t xml:space="preserve"> </w:t>
      </w:r>
      <w:r w:rsidRPr="00C56257">
        <w:rPr>
          <w:color w:val="000000" w:themeColor="text1"/>
        </w:rPr>
        <w:t>împărţită</w:t>
      </w:r>
      <w:r w:rsidRPr="00C56257">
        <w:rPr>
          <w:color w:val="000000" w:themeColor="text1"/>
          <w:spacing w:val="-2"/>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două</w:t>
      </w:r>
      <w:r w:rsidRPr="00C56257">
        <w:rPr>
          <w:color w:val="000000" w:themeColor="text1"/>
          <w:spacing w:val="-1"/>
        </w:rPr>
        <w:t xml:space="preserve"> </w:t>
      </w:r>
      <w:r w:rsidRPr="00C56257">
        <w:rPr>
          <w:color w:val="000000" w:themeColor="text1"/>
        </w:rPr>
        <w:t>clase:</w:t>
      </w:r>
    </w:p>
    <w:p w14:paraId="07ED31DE" w14:textId="77777777" w:rsidR="00A37B92" w:rsidRPr="00C56257" w:rsidRDefault="00A37B92" w:rsidP="004471AF">
      <w:pPr>
        <w:widowControl w:val="0"/>
        <w:autoSpaceDE w:val="0"/>
        <w:autoSpaceDN w:val="0"/>
        <w:ind w:right="26"/>
        <w:jc w:val="both"/>
        <w:rPr>
          <w:color w:val="000000" w:themeColor="text1"/>
        </w:rPr>
      </w:pPr>
      <w:r w:rsidRPr="00C56257">
        <w:rPr>
          <w:color w:val="000000" w:themeColor="text1"/>
        </w:rPr>
        <w:t>„nefavorabil-inadecvat”</w:t>
      </w:r>
      <w:r w:rsidRPr="00C56257">
        <w:rPr>
          <w:color w:val="000000" w:themeColor="text1"/>
          <w:spacing w:val="1"/>
        </w:rPr>
        <w:t xml:space="preserve"> </w:t>
      </w:r>
      <w:r w:rsidRPr="00C56257">
        <w:rPr>
          <w:color w:val="000000" w:themeColor="text1"/>
        </w:rPr>
        <w:t>pentru</w:t>
      </w:r>
      <w:r w:rsidRPr="00C56257">
        <w:rPr>
          <w:color w:val="000000" w:themeColor="text1"/>
          <w:spacing w:val="1"/>
        </w:rPr>
        <w:t xml:space="preserve"> </w:t>
      </w:r>
      <w:r w:rsidRPr="00C56257">
        <w:rPr>
          <w:color w:val="000000" w:themeColor="text1"/>
        </w:rPr>
        <w:t>situaţiile</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care</w:t>
      </w:r>
      <w:r w:rsidRPr="00C56257">
        <w:rPr>
          <w:color w:val="000000" w:themeColor="text1"/>
          <w:spacing w:val="1"/>
        </w:rPr>
        <w:t xml:space="preserve"> </w:t>
      </w:r>
      <w:r w:rsidRPr="00C56257">
        <w:rPr>
          <w:color w:val="000000" w:themeColor="text1"/>
        </w:rPr>
        <w:t>este</w:t>
      </w:r>
      <w:r w:rsidRPr="00C56257">
        <w:rPr>
          <w:color w:val="000000" w:themeColor="text1"/>
          <w:spacing w:val="1"/>
        </w:rPr>
        <w:t xml:space="preserve"> </w:t>
      </w:r>
      <w:r w:rsidRPr="00C56257">
        <w:rPr>
          <w:color w:val="000000" w:themeColor="text1"/>
        </w:rPr>
        <w:t>necesară</w:t>
      </w:r>
      <w:r w:rsidRPr="00C56257">
        <w:rPr>
          <w:color w:val="000000" w:themeColor="text1"/>
          <w:spacing w:val="1"/>
        </w:rPr>
        <w:t xml:space="preserve"> </w:t>
      </w:r>
      <w:r w:rsidRPr="00C56257">
        <w:rPr>
          <w:color w:val="000000" w:themeColor="text1"/>
        </w:rPr>
        <w:t>o</w:t>
      </w:r>
      <w:r w:rsidRPr="00C56257">
        <w:rPr>
          <w:color w:val="000000" w:themeColor="text1"/>
          <w:spacing w:val="1"/>
        </w:rPr>
        <w:t xml:space="preserve"> </w:t>
      </w:r>
      <w:r w:rsidRPr="00C56257">
        <w:rPr>
          <w:color w:val="000000" w:themeColor="text1"/>
        </w:rPr>
        <w:t>schimbare</w:t>
      </w:r>
      <w:r w:rsidRPr="00C56257">
        <w:rPr>
          <w:color w:val="000000" w:themeColor="text1"/>
          <w:spacing w:val="1"/>
        </w:rPr>
        <w:t xml:space="preserve"> </w:t>
      </w:r>
      <w:r w:rsidRPr="00C56257">
        <w:rPr>
          <w:color w:val="000000" w:themeColor="text1"/>
        </w:rPr>
        <w:t>a</w:t>
      </w:r>
      <w:r w:rsidRPr="00C56257">
        <w:rPr>
          <w:color w:val="000000" w:themeColor="text1"/>
          <w:spacing w:val="1"/>
        </w:rPr>
        <w:t xml:space="preserve"> </w:t>
      </w:r>
      <w:r w:rsidRPr="00C56257">
        <w:rPr>
          <w:color w:val="000000" w:themeColor="text1"/>
        </w:rPr>
        <w:t>politicilor</w:t>
      </w:r>
      <w:r w:rsidRPr="00C56257">
        <w:rPr>
          <w:color w:val="000000" w:themeColor="text1"/>
          <w:spacing w:val="1"/>
        </w:rPr>
        <w:t xml:space="preserve"> </w:t>
      </w:r>
      <w:r w:rsidRPr="00C56257">
        <w:rPr>
          <w:color w:val="000000" w:themeColor="text1"/>
        </w:rPr>
        <w:t>sau</w:t>
      </w:r>
      <w:r w:rsidRPr="00C56257">
        <w:rPr>
          <w:color w:val="000000" w:themeColor="text1"/>
          <w:spacing w:val="1"/>
        </w:rPr>
        <w:t xml:space="preserve"> </w:t>
      </w:r>
      <w:r w:rsidRPr="00C56257">
        <w:rPr>
          <w:color w:val="000000" w:themeColor="text1"/>
        </w:rPr>
        <w:t>managementului pentru a aduce tipul de habitat sau specia în stare de conservare favorabilă, dar nu</w:t>
      </w:r>
      <w:r w:rsidRPr="00C56257">
        <w:rPr>
          <w:color w:val="000000" w:themeColor="text1"/>
          <w:spacing w:val="1"/>
        </w:rPr>
        <w:t xml:space="preserve"> </w:t>
      </w:r>
      <w:r w:rsidRPr="00C56257">
        <w:rPr>
          <w:color w:val="000000" w:themeColor="text1"/>
        </w:rPr>
        <w:t>există</w:t>
      </w:r>
      <w:r w:rsidRPr="00C56257">
        <w:rPr>
          <w:color w:val="000000" w:themeColor="text1"/>
          <w:spacing w:val="-2"/>
        </w:rPr>
        <w:t xml:space="preserve"> </w:t>
      </w:r>
      <w:r w:rsidRPr="00C56257">
        <w:rPr>
          <w:color w:val="000000" w:themeColor="text1"/>
        </w:rPr>
        <w:t>nici un pericol de dispariţie în viitorul previzibil (ex: 50-100</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ani);</w:t>
      </w:r>
    </w:p>
    <w:p w14:paraId="319EB9E3" w14:textId="77777777" w:rsidR="00A37B92" w:rsidRPr="00C56257" w:rsidRDefault="00A37B92" w:rsidP="004471AF">
      <w:pPr>
        <w:widowControl w:val="0"/>
        <w:autoSpaceDE w:val="0"/>
        <w:autoSpaceDN w:val="0"/>
        <w:ind w:right="26"/>
        <w:jc w:val="both"/>
        <w:rPr>
          <w:color w:val="000000" w:themeColor="text1"/>
        </w:rPr>
      </w:pPr>
      <w:r w:rsidRPr="00C56257">
        <w:rPr>
          <w:color w:val="000000" w:themeColor="text1"/>
        </w:rPr>
        <w:t>„nefavorabil-rău” pentru situaţiile în care tipul de habitat sau specia este în pericol de a dispare în</w:t>
      </w:r>
      <w:r w:rsidRPr="00C56257">
        <w:rPr>
          <w:color w:val="000000" w:themeColor="text1"/>
          <w:spacing w:val="1"/>
        </w:rPr>
        <w:t xml:space="preserve"> </w:t>
      </w:r>
      <w:r w:rsidRPr="00C56257">
        <w:rPr>
          <w:color w:val="000000" w:themeColor="text1"/>
        </w:rPr>
        <w:t>viitorul</w:t>
      </w:r>
      <w:r w:rsidRPr="00C56257">
        <w:rPr>
          <w:color w:val="000000" w:themeColor="text1"/>
          <w:spacing w:val="-1"/>
        </w:rPr>
        <w:t xml:space="preserve"> </w:t>
      </w:r>
      <w:r w:rsidRPr="00C56257">
        <w:rPr>
          <w:color w:val="000000" w:themeColor="text1"/>
        </w:rPr>
        <w:t>previzibil (ex: 50-100 de</w:t>
      </w:r>
      <w:r w:rsidRPr="00C56257">
        <w:rPr>
          <w:color w:val="000000" w:themeColor="text1"/>
          <w:spacing w:val="-1"/>
        </w:rPr>
        <w:t xml:space="preserve"> </w:t>
      </w:r>
      <w:r w:rsidRPr="00C56257">
        <w:rPr>
          <w:color w:val="000000" w:themeColor="text1"/>
        </w:rPr>
        <w:t>ani).</w:t>
      </w:r>
    </w:p>
    <w:p w14:paraId="314E01B2" w14:textId="77777777" w:rsidR="00A37B92" w:rsidRPr="00C56257" w:rsidRDefault="00A37B92" w:rsidP="004471AF">
      <w:pPr>
        <w:widowControl w:val="0"/>
        <w:autoSpaceDE w:val="0"/>
        <w:autoSpaceDN w:val="0"/>
        <w:ind w:right="26"/>
        <w:jc w:val="both"/>
        <w:rPr>
          <w:color w:val="000000" w:themeColor="text1"/>
        </w:rPr>
      </w:pPr>
      <w:r w:rsidRPr="00C56257">
        <w:rPr>
          <w:color w:val="000000" w:themeColor="text1"/>
        </w:rPr>
        <w:t>Pentru</w:t>
      </w:r>
      <w:r w:rsidRPr="00C56257">
        <w:rPr>
          <w:color w:val="000000" w:themeColor="text1"/>
          <w:spacing w:val="1"/>
        </w:rPr>
        <w:t xml:space="preserve"> </w:t>
      </w:r>
      <w:r w:rsidRPr="00C56257">
        <w:rPr>
          <w:color w:val="000000" w:themeColor="text1"/>
        </w:rPr>
        <w:t>toate</w:t>
      </w:r>
      <w:r w:rsidRPr="00C56257">
        <w:rPr>
          <w:color w:val="000000" w:themeColor="text1"/>
          <w:spacing w:val="1"/>
        </w:rPr>
        <w:t xml:space="preserve"> </w:t>
      </w:r>
      <w:r w:rsidRPr="00C56257">
        <w:rPr>
          <w:color w:val="000000" w:themeColor="text1"/>
        </w:rPr>
        <w:t>situaţiile</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care</w:t>
      </w:r>
      <w:r w:rsidRPr="00C56257">
        <w:rPr>
          <w:color w:val="000000" w:themeColor="text1"/>
          <w:spacing w:val="1"/>
        </w:rPr>
        <w:t xml:space="preserve"> </w:t>
      </w:r>
      <w:r w:rsidRPr="00C56257">
        <w:rPr>
          <w:color w:val="000000" w:themeColor="text1"/>
        </w:rPr>
        <w:t>nu</w:t>
      </w:r>
      <w:r w:rsidRPr="00C56257">
        <w:rPr>
          <w:color w:val="000000" w:themeColor="text1"/>
          <w:spacing w:val="1"/>
        </w:rPr>
        <w:t xml:space="preserve"> </w:t>
      </w:r>
      <w:r w:rsidRPr="00C56257">
        <w:rPr>
          <w:color w:val="000000" w:themeColor="text1"/>
        </w:rPr>
        <w:t>există</w:t>
      </w:r>
      <w:r w:rsidRPr="00C56257">
        <w:rPr>
          <w:color w:val="000000" w:themeColor="text1"/>
          <w:spacing w:val="1"/>
        </w:rPr>
        <w:t xml:space="preserve"> </w:t>
      </w:r>
      <w:r w:rsidRPr="00C56257">
        <w:rPr>
          <w:color w:val="000000" w:themeColor="text1"/>
        </w:rPr>
        <w:t>suficiente</w:t>
      </w:r>
      <w:r w:rsidRPr="00C56257">
        <w:rPr>
          <w:color w:val="000000" w:themeColor="text1"/>
          <w:spacing w:val="1"/>
        </w:rPr>
        <w:t xml:space="preserve"> </w:t>
      </w:r>
      <w:r w:rsidRPr="00C56257">
        <w:rPr>
          <w:color w:val="000000" w:themeColor="text1"/>
        </w:rPr>
        <w:t>informaţii</w:t>
      </w:r>
      <w:r w:rsidRPr="00C56257">
        <w:rPr>
          <w:color w:val="000000" w:themeColor="text1"/>
          <w:spacing w:val="1"/>
        </w:rPr>
        <w:t xml:space="preserve"> </w:t>
      </w:r>
      <w:r w:rsidRPr="00C56257">
        <w:rPr>
          <w:color w:val="000000" w:themeColor="text1"/>
        </w:rPr>
        <w:t>pentru</w:t>
      </w:r>
      <w:r w:rsidRPr="00C56257">
        <w:rPr>
          <w:color w:val="000000" w:themeColor="text1"/>
          <w:spacing w:val="1"/>
        </w:rPr>
        <w:t xml:space="preserve"> </w:t>
      </w:r>
      <w:r w:rsidRPr="00C56257">
        <w:rPr>
          <w:color w:val="000000" w:themeColor="text1"/>
        </w:rPr>
        <w:t>a</w:t>
      </w:r>
      <w:r w:rsidRPr="00C56257">
        <w:rPr>
          <w:color w:val="000000" w:themeColor="text1"/>
          <w:spacing w:val="1"/>
        </w:rPr>
        <w:t xml:space="preserve"> </w:t>
      </w:r>
      <w:r w:rsidRPr="00C56257">
        <w:rPr>
          <w:color w:val="000000" w:themeColor="text1"/>
        </w:rPr>
        <w:t>realiza</w:t>
      </w:r>
      <w:r w:rsidRPr="00C56257">
        <w:rPr>
          <w:color w:val="000000" w:themeColor="text1"/>
          <w:spacing w:val="1"/>
        </w:rPr>
        <w:t xml:space="preserve"> </w:t>
      </w:r>
      <w:r w:rsidRPr="00C56257">
        <w:rPr>
          <w:color w:val="000000" w:themeColor="text1"/>
        </w:rPr>
        <w:t>o</w:t>
      </w:r>
      <w:r w:rsidRPr="00C56257">
        <w:rPr>
          <w:color w:val="000000" w:themeColor="text1"/>
          <w:spacing w:val="1"/>
        </w:rPr>
        <w:t xml:space="preserve"> </w:t>
      </w:r>
      <w:r w:rsidRPr="00C56257">
        <w:rPr>
          <w:color w:val="000000" w:themeColor="text1"/>
        </w:rPr>
        <w:t>evaluare</w:t>
      </w:r>
      <w:r w:rsidRPr="00C56257">
        <w:rPr>
          <w:color w:val="000000" w:themeColor="text1"/>
          <w:spacing w:val="1"/>
        </w:rPr>
        <w:t xml:space="preserve"> </w:t>
      </w:r>
      <w:r w:rsidRPr="00C56257">
        <w:rPr>
          <w:color w:val="000000" w:themeColor="text1"/>
        </w:rPr>
        <w:t>corespunzătoare,</w:t>
      </w:r>
      <w:r w:rsidRPr="00C56257">
        <w:rPr>
          <w:color w:val="000000" w:themeColor="text1"/>
          <w:spacing w:val="-1"/>
        </w:rPr>
        <w:t xml:space="preserve"> </w:t>
      </w:r>
      <w:r w:rsidRPr="00C56257">
        <w:rPr>
          <w:color w:val="000000" w:themeColor="text1"/>
        </w:rPr>
        <w:t>starea</w:t>
      </w:r>
      <w:r w:rsidRPr="00C56257">
        <w:rPr>
          <w:color w:val="000000" w:themeColor="text1"/>
          <w:spacing w:val="-1"/>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conservare este</w:t>
      </w:r>
      <w:r w:rsidRPr="00C56257">
        <w:rPr>
          <w:color w:val="000000" w:themeColor="text1"/>
          <w:spacing w:val="-1"/>
        </w:rPr>
        <w:t xml:space="preserve"> </w:t>
      </w:r>
      <w:r w:rsidRPr="00C56257">
        <w:rPr>
          <w:color w:val="000000" w:themeColor="text1"/>
        </w:rPr>
        <w:t>considerată</w:t>
      </w:r>
      <w:r w:rsidRPr="00C56257">
        <w:rPr>
          <w:color w:val="000000" w:themeColor="text1"/>
          <w:spacing w:val="-1"/>
        </w:rPr>
        <w:t xml:space="preserve"> </w:t>
      </w:r>
      <w:r w:rsidRPr="00C56257">
        <w:rPr>
          <w:color w:val="000000" w:themeColor="text1"/>
        </w:rPr>
        <w:t>„necunoscută”.</w:t>
      </w:r>
    </w:p>
    <w:p w14:paraId="18A3E767" w14:textId="77777777" w:rsidR="00A37B92" w:rsidRPr="00C56257" w:rsidRDefault="00A37B92" w:rsidP="004471AF">
      <w:pPr>
        <w:widowControl w:val="0"/>
        <w:autoSpaceDE w:val="0"/>
        <w:autoSpaceDN w:val="0"/>
        <w:ind w:right="26"/>
        <w:jc w:val="both"/>
        <w:rPr>
          <w:color w:val="000000" w:themeColor="text1"/>
        </w:rPr>
      </w:pPr>
      <w:r w:rsidRPr="00C56257">
        <w:rPr>
          <w:color w:val="000000" w:themeColor="text1"/>
        </w:rPr>
        <w:t>Pentru o reprezentare grafică a celor patru stări de conservare, a fost adoptat un sistem de codificare</w:t>
      </w:r>
      <w:r w:rsidRPr="00C56257">
        <w:rPr>
          <w:color w:val="000000" w:themeColor="text1"/>
          <w:spacing w:val="-57"/>
        </w:rPr>
        <w:t xml:space="preserve"> </w:t>
      </w:r>
      <w:r w:rsidRPr="00C56257">
        <w:rPr>
          <w:color w:val="000000" w:themeColor="text1"/>
        </w:rPr>
        <w:t>pe culori (prin intermediul îndrumarului Comisiei Europene: Evaluarea și raportarea în conformitate</w:t>
      </w:r>
      <w:r w:rsidRPr="00C56257">
        <w:rPr>
          <w:color w:val="000000" w:themeColor="text1"/>
          <w:spacing w:val="-57"/>
        </w:rPr>
        <w:t xml:space="preserve"> </w:t>
      </w:r>
      <w:r w:rsidRPr="00C56257">
        <w:rPr>
          <w:color w:val="000000" w:themeColor="text1"/>
        </w:rPr>
        <w:t>cu</w:t>
      </w:r>
      <w:r w:rsidRPr="00C56257">
        <w:rPr>
          <w:color w:val="000000" w:themeColor="text1"/>
          <w:spacing w:val="-1"/>
        </w:rPr>
        <w:t xml:space="preserve"> </w:t>
      </w:r>
      <w:r w:rsidRPr="00C56257">
        <w:rPr>
          <w:color w:val="000000" w:themeColor="text1"/>
        </w:rPr>
        <w:t>Articolul 17</w:t>
      </w:r>
      <w:r w:rsidRPr="00C56257">
        <w:rPr>
          <w:color w:val="000000" w:themeColor="text1"/>
          <w:spacing w:val="-1"/>
        </w:rPr>
        <w:t xml:space="preserve"> </w:t>
      </w:r>
      <w:r w:rsidRPr="00C56257">
        <w:rPr>
          <w:color w:val="000000" w:themeColor="text1"/>
        </w:rPr>
        <w:t>al Directivei</w:t>
      </w:r>
      <w:r w:rsidRPr="00C56257">
        <w:rPr>
          <w:color w:val="000000" w:themeColor="text1"/>
          <w:spacing w:val="-1"/>
        </w:rPr>
        <w:t xml:space="preserve"> </w:t>
      </w:r>
      <w:r w:rsidRPr="00C56257">
        <w:rPr>
          <w:color w:val="000000" w:themeColor="text1"/>
        </w:rPr>
        <w:t>Habitate: Formate de</w:t>
      </w:r>
      <w:r w:rsidRPr="00C56257">
        <w:rPr>
          <w:color w:val="000000" w:themeColor="text1"/>
          <w:spacing w:val="-1"/>
        </w:rPr>
        <w:t xml:space="preserve"> </w:t>
      </w:r>
      <w:r w:rsidRPr="00C56257">
        <w:rPr>
          <w:color w:val="000000" w:themeColor="text1"/>
        </w:rPr>
        <w:t>raportare</w:t>
      </w:r>
      <w:r w:rsidRPr="00C56257">
        <w:rPr>
          <w:color w:val="000000" w:themeColor="text1"/>
          <w:spacing w:val="-1"/>
        </w:rPr>
        <w:t xml:space="preserve"> </w:t>
      </w:r>
      <w:r w:rsidRPr="00C56257">
        <w:rPr>
          <w:color w:val="000000" w:themeColor="text1"/>
        </w:rPr>
        <w:t>pentru</w:t>
      </w:r>
      <w:r w:rsidRPr="00C56257">
        <w:rPr>
          <w:color w:val="000000" w:themeColor="text1"/>
          <w:spacing w:val="-1"/>
        </w:rPr>
        <w:t xml:space="preserve"> </w:t>
      </w:r>
      <w:r w:rsidRPr="00C56257">
        <w:rPr>
          <w:color w:val="000000" w:themeColor="text1"/>
        </w:rPr>
        <w:t>Perioada</w:t>
      </w:r>
      <w:r w:rsidRPr="00C56257">
        <w:rPr>
          <w:color w:val="000000" w:themeColor="text1"/>
          <w:spacing w:val="1"/>
        </w:rPr>
        <w:t xml:space="preserve"> </w:t>
      </w:r>
      <w:r w:rsidRPr="00C56257">
        <w:rPr>
          <w:color w:val="000000" w:themeColor="text1"/>
        </w:rPr>
        <w:t>2012)</w:t>
      </w:r>
      <w:r w:rsidRPr="00C56257">
        <w:rPr>
          <w:color w:val="000000" w:themeColor="text1"/>
          <w:spacing w:val="58"/>
        </w:rPr>
        <w:t xml:space="preserve"> </w:t>
      </w:r>
      <w:r w:rsidRPr="00C56257">
        <w:rPr>
          <w:color w:val="000000" w:themeColor="text1"/>
        </w:rPr>
        <w:t>:</w:t>
      </w:r>
    </w:p>
    <w:p w14:paraId="62F116CF" w14:textId="77777777" w:rsidR="00A37B92" w:rsidRPr="00461C83" w:rsidRDefault="00A37B92" w:rsidP="00461C83">
      <w:pPr>
        <w:widowControl w:val="0"/>
        <w:numPr>
          <w:ilvl w:val="0"/>
          <w:numId w:val="86"/>
        </w:numPr>
        <w:tabs>
          <w:tab w:val="left" w:pos="1734"/>
        </w:tabs>
        <w:autoSpaceDE w:val="0"/>
        <w:autoSpaceDN w:val="0"/>
        <w:spacing w:before="86"/>
        <w:ind w:right="26" w:hanging="361"/>
        <w:jc w:val="both"/>
        <w:rPr>
          <w:color w:val="000000" w:themeColor="text1"/>
        </w:rPr>
      </w:pPr>
      <w:r w:rsidRPr="00461C83">
        <w:rPr>
          <w:color w:val="000000" w:themeColor="text1"/>
        </w:rPr>
        <w:t>roşu pentru „nefavorabil-rău”;</w:t>
      </w:r>
    </w:p>
    <w:p w14:paraId="5604EC79" w14:textId="77777777" w:rsidR="00A37B92" w:rsidRPr="00461C83" w:rsidRDefault="00A37B92" w:rsidP="00461C83">
      <w:pPr>
        <w:widowControl w:val="0"/>
        <w:numPr>
          <w:ilvl w:val="0"/>
          <w:numId w:val="86"/>
        </w:numPr>
        <w:tabs>
          <w:tab w:val="left" w:pos="1734"/>
        </w:tabs>
        <w:autoSpaceDE w:val="0"/>
        <w:autoSpaceDN w:val="0"/>
        <w:spacing w:before="86"/>
        <w:ind w:right="26" w:hanging="361"/>
        <w:jc w:val="both"/>
        <w:rPr>
          <w:color w:val="000000" w:themeColor="text1"/>
        </w:rPr>
      </w:pPr>
      <w:r w:rsidRPr="00461C83">
        <w:rPr>
          <w:color w:val="000000" w:themeColor="text1"/>
        </w:rPr>
        <w:t>portocaliu pentru „nefavorabil-inadecvat”;</w:t>
      </w:r>
    </w:p>
    <w:p w14:paraId="15F0BFAB" w14:textId="77777777" w:rsidR="00A37B92" w:rsidRPr="00C56257" w:rsidRDefault="00A37B92" w:rsidP="009E63E5">
      <w:pPr>
        <w:widowControl w:val="0"/>
        <w:numPr>
          <w:ilvl w:val="0"/>
          <w:numId w:val="86"/>
        </w:numPr>
        <w:tabs>
          <w:tab w:val="left" w:pos="1734"/>
        </w:tabs>
        <w:autoSpaceDE w:val="0"/>
        <w:autoSpaceDN w:val="0"/>
        <w:spacing w:before="86"/>
        <w:ind w:right="26" w:hanging="361"/>
        <w:jc w:val="both"/>
        <w:rPr>
          <w:color w:val="000000" w:themeColor="text1"/>
        </w:rPr>
      </w:pPr>
      <w:r w:rsidRPr="00C56257">
        <w:rPr>
          <w:color w:val="000000" w:themeColor="text1"/>
        </w:rPr>
        <w:t>verde</w:t>
      </w:r>
      <w:r w:rsidRPr="00C56257">
        <w:rPr>
          <w:color w:val="000000" w:themeColor="text1"/>
          <w:spacing w:val="-4"/>
        </w:rPr>
        <w:t xml:space="preserve"> </w:t>
      </w:r>
      <w:r w:rsidRPr="00C56257">
        <w:rPr>
          <w:color w:val="000000" w:themeColor="text1"/>
        </w:rPr>
        <w:t>pentru</w:t>
      </w:r>
      <w:r w:rsidRPr="00C56257">
        <w:rPr>
          <w:color w:val="000000" w:themeColor="text1"/>
          <w:spacing w:val="-1"/>
        </w:rPr>
        <w:t xml:space="preserve"> </w:t>
      </w:r>
      <w:r w:rsidRPr="00C56257">
        <w:rPr>
          <w:color w:val="000000" w:themeColor="text1"/>
        </w:rPr>
        <w:t>„favorabil”;</w:t>
      </w:r>
    </w:p>
    <w:p w14:paraId="4FF5B134" w14:textId="77777777" w:rsidR="00A37B92" w:rsidRPr="00C56257" w:rsidRDefault="00A37B92" w:rsidP="009E63E5">
      <w:pPr>
        <w:widowControl w:val="0"/>
        <w:numPr>
          <w:ilvl w:val="0"/>
          <w:numId w:val="86"/>
        </w:numPr>
        <w:tabs>
          <w:tab w:val="left" w:pos="1734"/>
        </w:tabs>
        <w:autoSpaceDE w:val="0"/>
        <w:autoSpaceDN w:val="0"/>
        <w:spacing w:before="86"/>
        <w:ind w:right="26" w:hanging="361"/>
        <w:jc w:val="both"/>
        <w:rPr>
          <w:color w:val="000000" w:themeColor="text1"/>
        </w:rPr>
      </w:pPr>
      <w:r w:rsidRPr="00C56257">
        <w:rPr>
          <w:color w:val="000000" w:themeColor="text1"/>
        </w:rPr>
        <w:t>gri</w:t>
      </w:r>
      <w:r w:rsidRPr="00C56257">
        <w:rPr>
          <w:color w:val="000000" w:themeColor="text1"/>
          <w:spacing w:val="-2"/>
        </w:rPr>
        <w:t xml:space="preserve"> </w:t>
      </w:r>
      <w:r w:rsidRPr="00C56257">
        <w:rPr>
          <w:color w:val="000000" w:themeColor="text1"/>
        </w:rPr>
        <w:t>pentru</w:t>
      </w:r>
      <w:r w:rsidRPr="00C56257">
        <w:rPr>
          <w:color w:val="000000" w:themeColor="text1"/>
          <w:spacing w:val="-2"/>
        </w:rPr>
        <w:t xml:space="preserve"> </w:t>
      </w:r>
      <w:r w:rsidRPr="00C56257">
        <w:rPr>
          <w:color w:val="000000" w:themeColor="text1"/>
        </w:rPr>
        <w:t>„necunoscut”.</w:t>
      </w:r>
    </w:p>
    <w:p w14:paraId="1F9BE691" w14:textId="77777777" w:rsidR="00A37B92" w:rsidRPr="00C56257" w:rsidRDefault="00A37B92" w:rsidP="004471AF">
      <w:pPr>
        <w:widowControl w:val="0"/>
        <w:autoSpaceDE w:val="0"/>
        <w:autoSpaceDN w:val="0"/>
        <w:spacing w:before="40"/>
        <w:ind w:right="26"/>
        <w:jc w:val="both"/>
        <w:rPr>
          <w:color w:val="000000" w:themeColor="text1"/>
        </w:rPr>
      </w:pPr>
      <w:r w:rsidRPr="00C56257">
        <w:rPr>
          <w:color w:val="000000" w:themeColor="text1"/>
        </w:rPr>
        <w:t>Având în</w:t>
      </w:r>
      <w:r w:rsidRPr="00C56257">
        <w:rPr>
          <w:color w:val="000000" w:themeColor="text1"/>
          <w:spacing w:val="1"/>
        </w:rPr>
        <w:t xml:space="preserve"> </w:t>
      </w:r>
      <w:r w:rsidRPr="00C56257">
        <w:rPr>
          <w:color w:val="000000" w:themeColor="text1"/>
        </w:rPr>
        <w:t>vedere</w:t>
      </w:r>
      <w:r w:rsidRPr="00C56257">
        <w:rPr>
          <w:color w:val="000000" w:themeColor="text1"/>
          <w:spacing w:val="1"/>
        </w:rPr>
        <w:t xml:space="preserve"> </w:t>
      </w:r>
      <w:r w:rsidRPr="00C56257">
        <w:rPr>
          <w:color w:val="000000" w:themeColor="text1"/>
        </w:rPr>
        <w:t>că speciile şi</w:t>
      </w:r>
      <w:r w:rsidRPr="00C56257">
        <w:rPr>
          <w:color w:val="000000" w:themeColor="text1"/>
          <w:spacing w:val="1"/>
        </w:rPr>
        <w:t xml:space="preserve"> </w:t>
      </w:r>
      <w:r w:rsidRPr="00C56257">
        <w:rPr>
          <w:color w:val="000000" w:themeColor="text1"/>
        </w:rPr>
        <w:t>tipurile de habitatele de</w:t>
      </w:r>
      <w:r w:rsidRPr="00C56257">
        <w:rPr>
          <w:color w:val="000000" w:themeColor="text1"/>
          <w:spacing w:val="1"/>
        </w:rPr>
        <w:t xml:space="preserve"> </w:t>
      </w:r>
      <w:r w:rsidRPr="00C56257">
        <w:rPr>
          <w:color w:val="000000" w:themeColor="text1"/>
        </w:rPr>
        <w:t>importanţă</w:t>
      </w:r>
      <w:r w:rsidRPr="00C56257">
        <w:rPr>
          <w:color w:val="000000" w:themeColor="text1"/>
          <w:spacing w:val="1"/>
        </w:rPr>
        <w:t xml:space="preserve"> </w:t>
      </w:r>
      <w:r w:rsidRPr="00C56257">
        <w:rPr>
          <w:color w:val="000000" w:themeColor="text1"/>
        </w:rPr>
        <w:t>comunitară au</w:t>
      </w:r>
      <w:r w:rsidRPr="00C56257">
        <w:rPr>
          <w:color w:val="000000" w:themeColor="text1"/>
          <w:spacing w:val="60"/>
        </w:rPr>
        <w:t xml:space="preserve"> </w:t>
      </w:r>
      <w:r w:rsidRPr="00C56257">
        <w:rPr>
          <w:color w:val="000000" w:themeColor="text1"/>
        </w:rPr>
        <w:t>fost listate în</w:t>
      </w:r>
      <w:r w:rsidRPr="00C56257">
        <w:rPr>
          <w:color w:val="000000" w:themeColor="text1"/>
          <w:spacing w:val="1"/>
        </w:rPr>
        <w:t xml:space="preserve"> </w:t>
      </w:r>
      <w:r w:rsidRPr="00C56257">
        <w:rPr>
          <w:color w:val="000000" w:themeColor="text1"/>
        </w:rPr>
        <w:t>cadrul anexelor Directivei în urma unor studii și aprecieri prin care s-a constatat că sunt ameninţate,</w:t>
      </w:r>
      <w:r w:rsidRPr="00C56257">
        <w:rPr>
          <w:color w:val="000000" w:themeColor="text1"/>
          <w:spacing w:val="1"/>
        </w:rPr>
        <w:t xml:space="preserve"> </w:t>
      </w:r>
      <w:r w:rsidRPr="00C56257">
        <w:rPr>
          <w:color w:val="000000" w:themeColor="text1"/>
        </w:rPr>
        <w:t>rare sau endemice, nu ar trebui să surprindă pe nimeni faptul că majoritatea dintre acestea se</w:t>
      </w:r>
      <w:r w:rsidRPr="00C56257">
        <w:rPr>
          <w:color w:val="000000" w:themeColor="text1"/>
          <w:spacing w:val="1"/>
        </w:rPr>
        <w:t xml:space="preserve"> </w:t>
      </w:r>
      <w:r w:rsidRPr="00C56257">
        <w:rPr>
          <w:color w:val="000000" w:themeColor="text1"/>
        </w:rPr>
        <w:t>încadrează în categoriile   „nefavorabil-inadecvat” (portocoliu) sau „nefavorabil-rău”(roșu) în ceea</w:t>
      </w:r>
      <w:r w:rsidRPr="00C56257">
        <w:rPr>
          <w:color w:val="000000" w:themeColor="text1"/>
          <w:spacing w:val="1"/>
        </w:rPr>
        <w:t xml:space="preserve"> </w:t>
      </w:r>
      <w:r w:rsidRPr="00C56257">
        <w:rPr>
          <w:color w:val="000000" w:themeColor="text1"/>
        </w:rPr>
        <w:t>ce privește starea lor de conservare. Deasemenea, ţinând cont de faptul că este necesară</w:t>
      </w:r>
      <w:r w:rsidRPr="00C56257">
        <w:rPr>
          <w:color w:val="000000" w:themeColor="text1"/>
          <w:spacing w:val="1"/>
        </w:rPr>
        <w:t xml:space="preserve"> </w:t>
      </w:r>
      <w:r w:rsidRPr="00C56257">
        <w:rPr>
          <w:color w:val="000000" w:themeColor="text1"/>
        </w:rPr>
        <w:t>o lungă</w:t>
      </w:r>
      <w:r w:rsidRPr="00C56257">
        <w:rPr>
          <w:color w:val="000000" w:themeColor="text1"/>
          <w:spacing w:val="1"/>
        </w:rPr>
        <w:t xml:space="preserve"> </w:t>
      </w:r>
      <w:r w:rsidRPr="00C56257">
        <w:rPr>
          <w:color w:val="000000" w:themeColor="text1"/>
        </w:rPr>
        <w:t>perioadă de timp pentru ca o specie sau un tip de habitat să ajungă într-o stare de conservare</w:t>
      </w:r>
      <w:r w:rsidRPr="00C56257">
        <w:rPr>
          <w:color w:val="000000" w:themeColor="text1"/>
          <w:spacing w:val="1"/>
        </w:rPr>
        <w:t xml:space="preserve"> </w:t>
      </w:r>
      <w:r w:rsidRPr="00C56257">
        <w:rPr>
          <w:color w:val="000000" w:themeColor="text1"/>
        </w:rPr>
        <w:t>favorabilă, nu ar trebui să fie surprinzător faptul că respectiva specie sau respectivul tip de habitat</w:t>
      </w:r>
      <w:r w:rsidRPr="00C56257">
        <w:rPr>
          <w:color w:val="000000" w:themeColor="text1"/>
          <w:spacing w:val="1"/>
        </w:rPr>
        <w:t xml:space="preserve"> </w:t>
      </w:r>
      <w:r w:rsidRPr="00C56257">
        <w:rPr>
          <w:color w:val="000000" w:themeColor="text1"/>
        </w:rPr>
        <w:t>rămâne în starea de conservare nefavorabilă un timp îndelungat, chiar dacă la nivelul ariei naturale</w:t>
      </w:r>
      <w:r w:rsidRPr="00C56257">
        <w:rPr>
          <w:color w:val="000000" w:themeColor="text1"/>
          <w:spacing w:val="1"/>
        </w:rPr>
        <w:t xml:space="preserve"> </w:t>
      </w:r>
      <w:r w:rsidRPr="00C56257">
        <w:rPr>
          <w:color w:val="000000" w:themeColor="text1"/>
        </w:rPr>
        <w:t>protejate</w:t>
      </w:r>
      <w:r w:rsidRPr="00C56257">
        <w:rPr>
          <w:color w:val="000000" w:themeColor="text1"/>
          <w:spacing w:val="-1"/>
        </w:rPr>
        <w:t xml:space="preserve"> </w:t>
      </w:r>
      <w:r w:rsidRPr="00C56257">
        <w:rPr>
          <w:color w:val="000000" w:themeColor="text1"/>
        </w:rPr>
        <w:t>respective</w:t>
      </w:r>
      <w:r w:rsidRPr="00C56257">
        <w:rPr>
          <w:color w:val="000000" w:themeColor="text1"/>
          <w:spacing w:val="-1"/>
        </w:rPr>
        <w:t xml:space="preserve"> </w:t>
      </w:r>
      <w:r w:rsidRPr="00C56257">
        <w:rPr>
          <w:color w:val="000000" w:themeColor="text1"/>
        </w:rPr>
        <w:t>sunt</w:t>
      </w:r>
      <w:r w:rsidRPr="00C56257">
        <w:rPr>
          <w:color w:val="000000" w:themeColor="text1"/>
          <w:spacing w:val="2"/>
        </w:rPr>
        <w:t xml:space="preserve"> </w:t>
      </w:r>
      <w:r w:rsidRPr="00C56257">
        <w:rPr>
          <w:color w:val="000000" w:themeColor="text1"/>
        </w:rPr>
        <w:t>luate</w:t>
      </w:r>
      <w:r w:rsidRPr="00C56257">
        <w:rPr>
          <w:color w:val="000000" w:themeColor="text1"/>
          <w:spacing w:val="-1"/>
        </w:rPr>
        <w:t xml:space="preserve"> </w:t>
      </w:r>
      <w:r w:rsidRPr="00C56257">
        <w:rPr>
          <w:color w:val="000000" w:themeColor="text1"/>
        </w:rPr>
        <w:t>măsuri</w:t>
      </w:r>
      <w:r w:rsidRPr="00C56257">
        <w:rPr>
          <w:color w:val="000000" w:themeColor="text1"/>
          <w:spacing w:val="-1"/>
        </w:rPr>
        <w:t xml:space="preserve"> </w:t>
      </w:r>
      <w:r w:rsidRPr="00C56257">
        <w:rPr>
          <w:color w:val="000000" w:themeColor="text1"/>
        </w:rPr>
        <w:t>corespunzătoare.</w:t>
      </w:r>
    </w:p>
    <w:p w14:paraId="3AE917E0" w14:textId="77777777" w:rsidR="00A37B92" w:rsidRPr="00C56257" w:rsidRDefault="00A37B92" w:rsidP="004471AF">
      <w:pPr>
        <w:widowControl w:val="0"/>
        <w:autoSpaceDE w:val="0"/>
        <w:autoSpaceDN w:val="0"/>
        <w:spacing w:before="7"/>
        <w:ind w:right="26"/>
        <w:jc w:val="both"/>
        <w:rPr>
          <w:color w:val="000000" w:themeColor="text1"/>
        </w:rPr>
      </w:pPr>
    </w:p>
    <w:p w14:paraId="1B45C5FE" w14:textId="77777777" w:rsidR="00A37B92" w:rsidRPr="00C56257" w:rsidRDefault="00A37B92" w:rsidP="004471AF">
      <w:pPr>
        <w:widowControl w:val="0"/>
        <w:tabs>
          <w:tab w:val="left" w:pos="1232"/>
        </w:tabs>
        <w:autoSpaceDE w:val="0"/>
        <w:autoSpaceDN w:val="0"/>
        <w:ind w:right="26"/>
        <w:jc w:val="both"/>
        <w:outlineLvl w:val="1"/>
        <w:rPr>
          <w:rFonts w:eastAsia="Cambria"/>
          <w:b/>
          <w:bCs/>
          <w:color w:val="000000" w:themeColor="text1"/>
        </w:rPr>
      </w:pPr>
      <w:r w:rsidRPr="00C56257">
        <w:rPr>
          <w:rFonts w:eastAsia="Cambria"/>
          <w:b/>
          <w:bCs/>
          <w:color w:val="000000" w:themeColor="text1"/>
        </w:rPr>
        <w:t>Evaluarea</w:t>
      </w:r>
      <w:r w:rsidRPr="00C56257">
        <w:rPr>
          <w:rFonts w:eastAsia="Cambria"/>
          <w:b/>
          <w:bCs/>
          <w:color w:val="000000" w:themeColor="text1"/>
          <w:spacing w:val="-5"/>
        </w:rPr>
        <w:t xml:space="preserve"> </w:t>
      </w:r>
      <w:r w:rsidRPr="00C56257">
        <w:rPr>
          <w:rFonts w:eastAsia="Cambria"/>
          <w:b/>
          <w:bCs/>
          <w:color w:val="000000" w:themeColor="text1"/>
        </w:rPr>
        <w:t>tendințelor</w:t>
      </w:r>
      <w:r w:rsidRPr="00C56257">
        <w:rPr>
          <w:rFonts w:eastAsia="Cambria"/>
          <w:b/>
          <w:bCs/>
          <w:color w:val="000000" w:themeColor="text1"/>
          <w:spacing w:val="-2"/>
        </w:rPr>
        <w:t xml:space="preserve"> </w:t>
      </w:r>
      <w:r w:rsidRPr="00C56257">
        <w:rPr>
          <w:rFonts w:eastAsia="Cambria"/>
          <w:b/>
          <w:bCs/>
          <w:color w:val="000000" w:themeColor="text1"/>
        </w:rPr>
        <w:t>pe</w:t>
      </w:r>
      <w:r w:rsidRPr="00C56257">
        <w:rPr>
          <w:rFonts w:eastAsia="Cambria"/>
          <w:b/>
          <w:bCs/>
          <w:color w:val="000000" w:themeColor="text1"/>
          <w:spacing w:val="-2"/>
        </w:rPr>
        <w:t xml:space="preserve"> </w:t>
      </w:r>
      <w:r w:rsidRPr="00C56257">
        <w:rPr>
          <w:rFonts w:eastAsia="Cambria"/>
          <w:b/>
          <w:bCs/>
          <w:color w:val="000000" w:themeColor="text1"/>
        </w:rPr>
        <w:t>termen</w:t>
      </w:r>
      <w:r w:rsidRPr="00C56257">
        <w:rPr>
          <w:rFonts w:eastAsia="Cambria"/>
          <w:b/>
          <w:bCs/>
          <w:color w:val="000000" w:themeColor="text1"/>
          <w:spacing w:val="-3"/>
        </w:rPr>
        <w:t xml:space="preserve"> </w:t>
      </w:r>
      <w:r w:rsidRPr="00C56257">
        <w:rPr>
          <w:rFonts w:eastAsia="Cambria"/>
          <w:b/>
          <w:bCs/>
          <w:color w:val="000000" w:themeColor="text1"/>
        </w:rPr>
        <w:t>scurt</w:t>
      </w:r>
    </w:p>
    <w:p w14:paraId="5EC95E0A" w14:textId="77777777" w:rsidR="00A37B92" w:rsidRPr="00C56257" w:rsidRDefault="00A37B92" w:rsidP="004471AF">
      <w:pPr>
        <w:widowControl w:val="0"/>
        <w:autoSpaceDE w:val="0"/>
        <w:autoSpaceDN w:val="0"/>
        <w:spacing w:before="155"/>
        <w:ind w:right="26"/>
        <w:jc w:val="both"/>
        <w:rPr>
          <w:color w:val="000000" w:themeColor="text1"/>
        </w:rPr>
      </w:pPr>
      <w:r w:rsidRPr="00C56257">
        <w:rPr>
          <w:color w:val="000000" w:themeColor="text1"/>
        </w:rPr>
        <w:t>Având în vedere că România este la a doua raportare în baza art. 17 al Directivei Habitate, prima</w:t>
      </w:r>
      <w:r w:rsidRPr="00C56257">
        <w:rPr>
          <w:color w:val="000000" w:themeColor="text1"/>
          <w:spacing w:val="1"/>
        </w:rPr>
        <w:t xml:space="preserve"> </w:t>
      </w:r>
      <w:r w:rsidRPr="00C56257">
        <w:rPr>
          <w:color w:val="000000" w:themeColor="text1"/>
        </w:rPr>
        <w:t>raportare rămânând de referință pentru următoarele rapoarte, s-a realizat evaluarea tendințelor pe</w:t>
      </w:r>
      <w:r w:rsidRPr="00C56257">
        <w:rPr>
          <w:color w:val="000000" w:themeColor="text1"/>
          <w:spacing w:val="1"/>
        </w:rPr>
        <w:t xml:space="preserve"> </w:t>
      </w:r>
      <w:r w:rsidRPr="00C56257">
        <w:rPr>
          <w:color w:val="000000" w:themeColor="text1"/>
        </w:rPr>
        <w:t>termen scurt a stării de conservare cu utilizarea doar a unui ciclu de raportare, spre deosebire de</w:t>
      </w:r>
      <w:r w:rsidRPr="00C56257">
        <w:rPr>
          <w:color w:val="000000" w:themeColor="text1"/>
          <w:spacing w:val="1"/>
        </w:rPr>
        <w:t xml:space="preserve"> </w:t>
      </w:r>
      <w:r w:rsidRPr="00C56257">
        <w:rPr>
          <w:color w:val="000000" w:themeColor="text1"/>
        </w:rPr>
        <w:t>metoda</w:t>
      </w:r>
      <w:r w:rsidRPr="00C56257">
        <w:rPr>
          <w:color w:val="000000" w:themeColor="text1"/>
          <w:spacing w:val="-2"/>
        </w:rPr>
        <w:t xml:space="preserve"> </w:t>
      </w:r>
      <w:r w:rsidRPr="00C56257">
        <w:rPr>
          <w:color w:val="000000" w:themeColor="text1"/>
        </w:rPr>
        <w:t>recomandată.</w:t>
      </w:r>
    </w:p>
    <w:p w14:paraId="6E298B62" w14:textId="77777777" w:rsidR="00A37B92" w:rsidRPr="00C56257" w:rsidRDefault="00A37B92" w:rsidP="004471AF">
      <w:pPr>
        <w:widowControl w:val="0"/>
        <w:autoSpaceDE w:val="0"/>
        <w:autoSpaceDN w:val="0"/>
        <w:ind w:right="26"/>
        <w:jc w:val="both"/>
        <w:rPr>
          <w:color w:val="000000" w:themeColor="text1"/>
        </w:rPr>
      </w:pPr>
      <w:r w:rsidRPr="00C56257">
        <w:rPr>
          <w:color w:val="000000" w:themeColor="text1"/>
        </w:rPr>
        <w:t>Metoda de evaluare a tendințelor de evoluție pe termen scurt utilizează tendința observată pentru</w:t>
      </w:r>
      <w:r w:rsidRPr="00C56257">
        <w:rPr>
          <w:color w:val="000000" w:themeColor="text1"/>
          <w:spacing w:val="1"/>
        </w:rPr>
        <w:t xml:space="preserve"> </w:t>
      </w:r>
      <w:r w:rsidRPr="00C56257">
        <w:rPr>
          <w:color w:val="000000" w:themeColor="text1"/>
        </w:rPr>
        <w:t>parametrii de stare precum areal de distribuție și structură și funcții raportate în urmă cu 2 cicluri de</w:t>
      </w:r>
      <w:r w:rsidRPr="00C56257">
        <w:rPr>
          <w:color w:val="000000" w:themeColor="text1"/>
          <w:spacing w:val="1"/>
        </w:rPr>
        <w:t xml:space="preserve"> </w:t>
      </w:r>
      <w:r w:rsidRPr="00C56257">
        <w:rPr>
          <w:color w:val="000000" w:themeColor="text1"/>
        </w:rPr>
        <w:t>raportare</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6</w:t>
      </w:r>
      <w:r w:rsidRPr="00C56257">
        <w:rPr>
          <w:color w:val="000000" w:themeColor="text1"/>
          <w:spacing w:val="1"/>
        </w:rPr>
        <w:t xml:space="preserve"> </w:t>
      </w:r>
      <w:r w:rsidRPr="00C56257">
        <w:rPr>
          <w:color w:val="000000" w:themeColor="text1"/>
        </w:rPr>
        <w:t>ani).</w:t>
      </w:r>
      <w:r w:rsidRPr="00C56257">
        <w:rPr>
          <w:color w:val="000000" w:themeColor="text1"/>
          <w:spacing w:val="1"/>
        </w:rPr>
        <w:t xml:space="preserve"> </w:t>
      </w:r>
      <w:r w:rsidRPr="00C56257">
        <w:rPr>
          <w:color w:val="000000" w:themeColor="text1"/>
        </w:rPr>
        <w:t>Tendința</w:t>
      </w:r>
      <w:r w:rsidRPr="00C56257">
        <w:rPr>
          <w:color w:val="000000" w:themeColor="text1"/>
          <w:spacing w:val="1"/>
        </w:rPr>
        <w:t xml:space="preserve"> </w:t>
      </w:r>
      <w:r w:rsidRPr="00C56257">
        <w:rPr>
          <w:color w:val="000000" w:themeColor="text1"/>
        </w:rPr>
        <w:t>fiind</w:t>
      </w:r>
      <w:r w:rsidRPr="00C56257">
        <w:rPr>
          <w:color w:val="000000" w:themeColor="text1"/>
          <w:spacing w:val="1"/>
        </w:rPr>
        <w:t xml:space="preserve"> </w:t>
      </w:r>
      <w:r w:rsidRPr="00C56257">
        <w:rPr>
          <w:color w:val="000000" w:themeColor="text1"/>
        </w:rPr>
        <w:t>evaluată</w:t>
      </w:r>
      <w:r w:rsidRPr="00C56257">
        <w:rPr>
          <w:color w:val="000000" w:themeColor="text1"/>
          <w:spacing w:val="1"/>
        </w:rPr>
        <w:t xml:space="preserve"> </w:t>
      </w:r>
      <w:r w:rsidRPr="00C56257">
        <w:rPr>
          <w:color w:val="000000" w:themeColor="text1"/>
        </w:rPr>
        <w:t>utilizând</w:t>
      </w:r>
      <w:r w:rsidRPr="00C56257">
        <w:rPr>
          <w:color w:val="000000" w:themeColor="text1"/>
          <w:spacing w:val="1"/>
        </w:rPr>
        <w:t xml:space="preserve"> </w:t>
      </w:r>
      <w:r w:rsidRPr="00C56257">
        <w:rPr>
          <w:color w:val="000000" w:themeColor="text1"/>
        </w:rPr>
        <w:t>indicatori</w:t>
      </w:r>
      <w:r w:rsidRPr="00C56257">
        <w:rPr>
          <w:color w:val="000000" w:themeColor="text1"/>
          <w:spacing w:val="1"/>
        </w:rPr>
        <w:t xml:space="preserve"> </w:t>
      </w:r>
      <w:r w:rsidRPr="00C56257">
        <w:rPr>
          <w:color w:val="000000" w:themeColor="text1"/>
        </w:rPr>
        <w:t>calitativi</w:t>
      </w:r>
      <w:r w:rsidRPr="00C56257">
        <w:rPr>
          <w:color w:val="000000" w:themeColor="text1"/>
          <w:spacing w:val="1"/>
        </w:rPr>
        <w:t xml:space="preserve"> </w:t>
      </w:r>
      <w:r w:rsidRPr="00C56257">
        <w:rPr>
          <w:color w:val="000000" w:themeColor="text1"/>
        </w:rPr>
        <w:t>precum:</w:t>
      </w:r>
      <w:r w:rsidRPr="00C56257">
        <w:rPr>
          <w:color w:val="000000" w:themeColor="text1"/>
          <w:spacing w:val="1"/>
        </w:rPr>
        <w:t xml:space="preserve"> </w:t>
      </w:r>
      <w:r w:rsidRPr="00C56257">
        <w:rPr>
          <w:color w:val="000000" w:themeColor="text1"/>
        </w:rPr>
        <w:t>stabilă,</w:t>
      </w:r>
      <w:r w:rsidRPr="00C56257">
        <w:rPr>
          <w:color w:val="000000" w:themeColor="text1"/>
          <w:spacing w:val="60"/>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refacere,</w:t>
      </w:r>
      <w:r w:rsidRPr="00C56257">
        <w:rPr>
          <w:color w:val="000000" w:themeColor="text1"/>
          <w:spacing w:val="-1"/>
        </w:rPr>
        <w:t xml:space="preserve"> </w:t>
      </w:r>
      <w:r w:rsidRPr="00C56257">
        <w:rPr>
          <w:color w:val="000000" w:themeColor="text1"/>
        </w:rPr>
        <w:t xml:space="preserve">în declin și </w:t>
      </w:r>
      <w:r w:rsidRPr="00C56257">
        <w:rPr>
          <w:color w:val="000000" w:themeColor="text1"/>
        </w:rPr>
        <w:lastRenderedPageBreak/>
        <w:t>necunoscut.</w:t>
      </w:r>
    </w:p>
    <w:p w14:paraId="4AD52211" w14:textId="77777777" w:rsidR="00A37B92" w:rsidRPr="00C56257" w:rsidRDefault="00A37B92" w:rsidP="004471AF">
      <w:pPr>
        <w:widowControl w:val="0"/>
        <w:autoSpaceDE w:val="0"/>
        <w:autoSpaceDN w:val="0"/>
        <w:ind w:right="26"/>
        <w:jc w:val="both"/>
        <w:rPr>
          <w:color w:val="000000" w:themeColor="text1"/>
        </w:rPr>
      </w:pPr>
      <w:r w:rsidRPr="00C56257">
        <w:rPr>
          <w:color w:val="000000" w:themeColor="text1"/>
        </w:rPr>
        <w:t>Evaluarea tendințelor pe termen scurt</w:t>
      </w:r>
      <w:r w:rsidRPr="00C56257">
        <w:rPr>
          <w:color w:val="000000" w:themeColor="text1"/>
          <w:spacing w:val="1"/>
        </w:rPr>
        <w:t xml:space="preserve"> </w:t>
      </w:r>
      <w:r w:rsidRPr="00C56257">
        <w:rPr>
          <w:color w:val="000000" w:themeColor="text1"/>
        </w:rPr>
        <w:t>reprezintă de asemenea cheie de control pentru analiza de</w:t>
      </w:r>
      <w:r w:rsidRPr="00C56257">
        <w:rPr>
          <w:color w:val="000000" w:themeColor="text1"/>
          <w:spacing w:val="1"/>
        </w:rPr>
        <w:t xml:space="preserve"> </w:t>
      </w:r>
      <w:r w:rsidRPr="00C56257">
        <w:rPr>
          <w:color w:val="000000" w:themeColor="text1"/>
        </w:rPr>
        <w:t>calitate</w:t>
      </w:r>
      <w:r w:rsidRPr="00C56257">
        <w:rPr>
          <w:color w:val="000000" w:themeColor="text1"/>
          <w:spacing w:val="-2"/>
        </w:rPr>
        <w:t xml:space="preserve"> </w:t>
      </w:r>
      <w:r w:rsidRPr="00C56257">
        <w:rPr>
          <w:color w:val="000000" w:themeColor="text1"/>
        </w:rPr>
        <w:t>a</w:t>
      </w:r>
      <w:r w:rsidRPr="00C56257">
        <w:rPr>
          <w:color w:val="000000" w:themeColor="text1"/>
          <w:spacing w:val="-1"/>
        </w:rPr>
        <w:t xml:space="preserve"> </w:t>
      </w:r>
      <w:r w:rsidRPr="00C56257">
        <w:rPr>
          <w:color w:val="000000" w:themeColor="text1"/>
        </w:rPr>
        <w:t>rezultatelor</w:t>
      </w:r>
      <w:r w:rsidRPr="00C56257">
        <w:rPr>
          <w:color w:val="000000" w:themeColor="text1"/>
          <w:spacing w:val="-1"/>
        </w:rPr>
        <w:t xml:space="preserve"> </w:t>
      </w:r>
      <w:r w:rsidRPr="00C56257">
        <w:rPr>
          <w:color w:val="000000" w:themeColor="text1"/>
        </w:rPr>
        <w:t>raportării succesive.</w:t>
      </w:r>
    </w:p>
    <w:p w14:paraId="6D88BC91" w14:textId="77777777" w:rsidR="00A37B92" w:rsidRPr="00C56257" w:rsidRDefault="00A37B92" w:rsidP="004471AF">
      <w:pPr>
        <w:widowControl w:val="0"/>
        <w:autoSpaceDE w:val="0"/>
        <w:autoSpaceDN w:val="0"/>
        <w:spacing w:before="6"/>
        <w:ind w:right="26"/>
        <w:jc w:val="both"/>
        <w:rPr>
          <w:color w:val="000000" w:themeColor="text1"/>
        </w:rPr>
      </w:pPr>
    </w:p>
    <w:p w14:paraId="31B6F113" w14:textId="77777777" w:rsidR="00A37B92" w:rsidRPr="00C56257" w:rsidRDefault="00A37B92" w:rsidP="004471AF">
      <w:pPr>
        <w:widowControl w:val="0"/>
        <w:tabs>
          <w:tab w:val="left" w:pos="1232"/>
        </w:tabs>
        <w:autoSpaceDE w:val="0"/>
        <w:autoSpaceDN w:val="0"/>
        <w:ind w:right="26"/>
        <w:jc w:val="both"/>
        <w:outlineLvl w:val="1"/>
        <w:rPr>
          <w:rFonts w:eastAsia="Cambria"/>
          <w:b/>
          <w:bCs/>
          <w:color w:val="000000" w:themeColor="text1"/>
        </w:rPr>
      </w:pPr>
      <w:r w:rsidRPr="00C56257">
        <w:rPr>
          <w:rFonts w:eastAsia="Cambria"/>
          <w:b/>
          <w:bCs/>
          <w:color w:val="000000" w:themeColor="text1"/>
        </w:rPr>
        <w:t>Evaluarea</w:t>
      </w:r>
      <w:r w:rsidRPr="00C56257">
        <w:rPr>
          <w:rFonts w:eastAsia="Cambria"/>
          <w:b/>
          <w:bCs/>
          <w:color w:val="000000" w:themeColor="text1"/>
          <w:spacing w:val="-5"/>
        </w:rPr>
        <w:t xml:space="preserve"> </w:t>
      </w:r>
      <w:r w:rsidRPr="00C56257">
        <w:rPr>
          <w:rFonts w:eastAsia="Cambria"/>
          <w:b/>
          <w:bCs/>
          <w:color w:val="000000" w:themeColor="text1"/>
        </w:rPr>
        <w:t>tendințelor</w:t>
      </w:r>
      <w:r w:rsidRPr="00C56257">
        <w:rPr>
          <w:rFonts w:eastAsia="Cambria"/>
          <w:b/>
          <w:bCs/>
          <w:color w:val="000000" w:themeColor="text1"/>
          <w:spacing w:val="-2"/>
        </w:rPr>
        <w:t xml:space="preserve"> </w:t>
      </w:r>
      <w:r w:rsidRPr="00C56257">
        <w:rPr>
          <w:rFonts w:eastAsia="Cambria"/>
          <w:b/>
          <w:bCs/>
          <w:color w:val="000000" w:themeColor="text1"/>
        </w:rPr>
        <w:t>pe</w:t>
      </w:r>
      <w:r w:rsidRPr="00C56257">
        <w:rPr>
          <w:rFonts w:eastAsia="Cambria"/>
          <w:b/>
          <w:bCs/>
          <w:color w:val="000000" w:themeColor="text1"/>
          <w:spacing w:val="-2"/>
        </w:rPr>
        <w:t xml:space="preserve"> </w:t>
      </w:r>
      <w:r w:rsidRPr="00C56257">
        <w:rPr>
          <w:rFonts w:eastAsia="Cambria"/>
          <w:b/>
          <w:bCs/>
          <w:color w:val="000000" w:themeColor="text1"/>
        </w:rPr>
        <w:t>termen</w:t>
      </w:r>
      <w:r w:rsidRPr="00C56257">
        <w:rPr>
          <w:rFonts w:eastAsia="Cambria"/>
          <w:b/>
          <w:bCs/>
          <w:color w:val="000000" w:themeColor="text1"/>
          <w:spacing w:val="-3"/>
        </w:rPr>
        <w:t xml:space="preserve"> </w:t>
      </w:r>
      <w:r w:rsidRPr="00C56257">
        <w:rPr>
          <w:rFonts w:eastAsia="Cambria"/>
          <w:b/>
          <w:bCs/>
          <w:color w:val="000000" w:themeColor="text1"/>
        </w:rPr>
        <w:t>lung</w:t>
      </w:r>
    </w:p>
    <w:p w14:paraId="524B3D0B" w14:textId="77777777" w:rsidR="00A37B92" w:rsidRPr="00C56257" w:rsidRDefault="00A37B92" w:rsidP="004471AF">
      <w:pPr>
        <w:widowControl w:val="0"/>
        <w:autoSpaceDE w:val="0"/>
        <w:autoSpaceDN w:val="0"/>
        <w:spacing w:before="157"/>
        <w:ind w:right="26"/>
        <w:jc w:val="both"/>
        <w:rPr>
          <w:color w:val="000000" w:themeColor="text1"/>
        </w:rPr>
      </w:pPr>
      <w:r w:rsidRPr="00C56257">
        <w:rPr>
          <w:color w:val="000000" w:themeColor="text1"/>
        </w:rPr>
        <w:t>Având în vedere că România este la a doua raportare în baza art. 17 al Directivei Habitate, prima</w:t>
      </w:r>
      <w:r w:rsidRPr="00C56257">
        <w:rPr>
          <w:color w:val="000000" w:themeColor="text1"/>
          <w:spacing w:val="1"/>
        </w:rPr>
        <w:t xml:space="preserve"> </w:t>
      </w:r>
      <w:r w:rsidRPr="00C56257">
        <w:rPr>
          <w:color w:val="000000" w:themeColor="text1"/>
        </w:rPr>
        <w:t>raportare rămânând de referință pentru următoarele rapoarte, s-a realizat evaluarea tendințelor pe</w:t>
      </w:r>
      <w:r w:rsidRPr="00C56257">
        <w:rPr>
          <w:color w:val="000000" w:themeColor="text1"/>
          <w:spacing w:val="1"/>
        </w:rPr>
        <w:t xml:space="preserve"> </w:t>
      </w:r>
      <w:r w:rsidRPr="00C56257">
        <w:rPr>
          <w:color w:val="000000" w:themeColor="text1"/>
        </w:rPr>
        <w:t>termen lung</w:t>
      </w:r>
      <w:r w:rsidRPr="00C56257">
        <w:rPr>
          <w:color w:val="000000" w:themeColor="text1"/>
          <w:spacing w:val="1"/>
        </w:rPr>
        <w:t xml:space="preserve"> </w:t>
      </w:r>
      <w:r w:rsidRPr="00C56257">
        <w:rPr>
          <w:color w:val="000000" w:themeColor="text1"/>
        </w:rPr>
        <w:t>a stării de conservare cu utilizarea doar a unui ciclu de raportare, spre deosebire de</w:t>
      </w:r>
      <w:r w:rsidRPr="00C56257">
        <w:rPr>
          <w:color w:val="000000" w:themeColor="text1"/>
          <w:spacing w:val="1"/>
        </w:rPr>
        <w:t xml:space="preserve"> </w:t>
      </w:r>
      <w:r w:rsidRPr="00C56257">
        <w:rPr>
          <w:color w:val="000000" w:themeColor="text1"/>
        </w:rPr>
        <w:t>metoda</w:t>
      </w:r>
      <w:r w:rsidRPr="00C56257">
        <w:rPr>
          <w:color w:val="000000" w:themeColor="text1"/>
          <w:spacing w:val="-2"/>
        </w:rPr>
        <w:t xml:space="preserve"> </w:t>
      </w:r>
      <w:r w:rsidRPr="00C56257">
        <w:rPr>
          <w:color w:val="000000" w:themeColor="text1"/>
        </w:rPr>
        <w:t>recomandată.</w:t>
      </w:r>
    </w:p>
    <w:p w14:paraId="2B71B25A" w14:textId="77777777" w:rsidR="00A37B92" w:rsidRPr="00C56257" w:rsidRDefault="00A37B92" w:rsidP="004471AF">
      <w:pPr>
        <w:widowControl w:val="0"/>
        <w:autoSpaceDE w:val="0"/>
        <w:autoSpaceDN w:val="0"/>
        <w:spacing w:before="1"/>
        <w:ind w:right="26"/>
        <w:jc w:val="both"/>
        <w:rPr>
          <w:color w:val="000000" w:themeColor="text1"/>
        </w:rPr>
      </w:pPr>
      <w:r w:rsidRPr="00C56257">
        <w:rPr>
          <w:color w:val="000000" w:themeColor="text1"/>
        </w:rPr>
        <w:t>Metoda de evaluare a tendințelor de evoluție pe termen lung utilizează tendința observată pentru</w:t>
      </w:r>
      <w:r w:rsidRPr="00C56257">
        <w:rPr>
          <w:color w:val="000000" w:themeColor="text1"/>
          <w:spacing w:val="1"/>
        </w:rPr>
        <w:t xml:space="preserve"> </w:t>
      </w:r>
      <w:r w:rsidRPr="00C56257">
        <w:rPr>
          <w:color w:val="000000" w:themeColor="text1"/>
        </w:rPr>
        <w:t>parametrii de stare precum areal de distribuție și structură și funcții raportate în urmă cu 4 cicluri de</w:t>
      </w:r>
      <w:r w:rsidRPr="00C56257">
        <w:rPr>
          <w:color w:val="000000" w:themeColor="text1"/>
          <w:spacing w:val="1"/>
        </w:rPr>
        <w:t xml:space="preserve"> </w:t>
      </w:r>
      <w:r w:rsidRPr="00C56257">
        <w:rPr>
          <w:color w:val="000000" w:themeColor="text1"/>
        </w:rPr>
        <w:t>raportare</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6</w:t>
      </w:r>
      <w:r w:rsidRPr="00C56257">
        <w:rPr>
          <w:color w:val="000000" w:themeColor="text1"/>
          <w:spacing w:val="1"/>
        </w:rPr>
        <w:t xml:space="preserve"> </w:t>
      </w:r>
      <w:r w:rsidRPr="00C56257">
        <w:rPr>
          <w:color w:val="000000" w:themeColor="text1"/>
        </w:rPr>
        <w:t>ani).</w:t>
      </w:r>
      <w:r w:rsidRPr="00C56257">
        <w:rPr>
          <w:color w:val="000000" w:themeColor="text1"/>
          <w:spacing w:val="1"/>
        </w:rPr>
        <w:t xml:space="preserve"> </w:t>
      </w:r>
      <w:r w:rsidRPr="00C56257">
        <w:rPr>
          <w:color w:val="000000" w:themeColor="text1"/>
        </w:rPr>
        <w:t>Tendința</w:t>
      </w:r>
      <w:r w:rsidRPr="00C56257">
        <w:rPr>
          <w:color w:val="000000" w:themeColor="text1"/>
          <w:spacing w:val="1"/>
        </w:rPr>
        <w:t xml:space="preserve"> </w:t>
      </w:r>
      <w:r w:rsidRPr="00C56257">
        <w:rPr>
          <w:color w:val="000000" w:themeColor="text1"/>
        </w:rPr>
        <w:t>fiind</w:t>
      </w:r>
      <w:r w:rsidRPr="00C56257">
        <w:rPr>
          <w:color w:val="000000" w:themeColor="text1"/>
          <w:spacing w:val="1"/>
        </w:rPr>
        <w:t xml:space="preserve"> </w:t>
      </w:r>
      <w:r w:rsidRPr="00C56257">
        <w:rPr>
          <w:color w:val="000000" w:themeColor="text1"/>
        </w:rPr>
        <w:t>evaluată</w:t>
      </w:r>
      <w:r w:rsidRPr="00C56257">
        <w:rPr>
          <w:color w:val="000000" w:themeColor="text1"/>
          <w:spacing w:val="1"/>
        </w:rPr>
        <w:t xml:space="preserve"> </w:t>
      </w:r>
      <w:r w:rsidRPr="00C56257">
        <w:rPr>
          <w:color w:val="000000" w:themeColor="text1"/>
        </w:rPr>
        <w:t>utilizând</w:t>
      </w:r>
      <w:r w:rsidRPr="00C56257">
        <w:rPr>
          <w:color w:val="000000" w:themeColor="text1"/>
          <w:spacing w:val="1"/>
        </w:rPr>
        <w:t xml:space="preserve"> </w:t>
      </w:r>
      <w:r w:rsidRPr="00C56257">
        <w:rPr>
          <w:color w:val="000000" w:themeColor="text1"/>
        </w:rPr>
        <w:t>indicatori</w:t>
      </w:r>
      <w:r w:rsidRPr="00C56257">
        <w:rPr>
          <w:color w:val="000000" w:themeColor="text1"/>
          <w:spacing w:val="1"/>
        </w:rPr>
        <w:t xml:space="preserve"> </w:t>
      </w:r>
      <w:r w:rsidRPr="00C56257">
        <w:rPr>
          <w:color w:val="000000" w:themeColor="text1"/>
        </w:rPr>
        <w:t>calitativi</w:t>
      </w:r>
      <w:r w:rsidRPr="00C56257">
        <w:rPr>
          <w:color w:val="000000" w:themeColor="text1"/>
          <w:spacing w:val="1"/>
        </w:rPr>
        <w:t xml:space="preserve"> </w:t>
      </w:r>
      <w:r w:rsidRPr="00C56257">
        <w:rPr>
          <w:color w:val="000000" w:themeColor="text1"/>
        </w:rPr>
        <w:t>precum:</w:t>
      </w:r>
      <w:r w:rsidRPr="00C56257">
        <w:rPr>
          <w:color w:val="000000" w:themeColor="text1"/>
          <w:spacing w:val="1"/>
        </w:rPr>
        <w:t xml:space="preserve"> </w:t>
      </w:r>
      <w:r w:rsidRPr="00C56257">
        <w:rPr>
          <w:color w:val="000000" w:themeColor="text1"/>
        </w:rPr>
        <w:t>stabilă,</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refacere,</w:t>
      </w:r>
      <w:r w:rsidRPr="00C56257">
        <w:rPr>
          <w:color w:val="000000" w:themeColor="text1"/>
          <w:spacing w:val="-1"/>
        </w:rPr>
        <w:t xml:space="preserve"> </w:t>
      </w:r>
      <w:r w:rsidRPr="00C56257">
        <w:rPr>
          <w:color w:val="000000" w:themeColor="text1"/>
        </w:rPr>
        <w:t>în declin și necunoscut.</w:t>
      </w:r>
    </w:p>
    <w:p w14:paraId="43D3FAFD" w14:textId="77777777" w:rsidR="00A37B92" w:rsidRPr="00C56257" w:rsidRDefault="00A37B92" w:rsidP="004471AF">
      <w:pPr>
        <w:widowControl w:val="0"/>
        <w:autoSpaceDE w:val="0"/>
        <w:autoSpaceDN w:val="0"/>
        <w:ind w:right="26"/>
        <w:jc w:val="both"/>
        <w:rPr>
          <w:color w:val="000000" w:themeColor="text1"/>
        </w:rPr>
      </w:pPr>
      <w:r w:rsidRPr="00C56257">
        <w:rPr>
          <w:color w:val="000000" w:themeColor="text1"/>
        </w:rPr>
        <w:t>Evaluarea tendințelor pe termen lung</w:t>
      </w:r>
      <w:r w:rsidRPr="00C56257">
        <w:rPr>
          <w:color w:val="000000" w:themeColor="text1"/>
          <w:spacing w:val="1"/>
        </w:rPr>
        <w:t xml:space="preserve"> </w:t>
      </w:r>
      <w:r w:rsidRPr="00C56257">
        <w:rPr>
          <w:color w:val="000000" w:themeColor="text1"/>
        </w:rPr>
        <w:t>reprezintă de asemenea cheie de control pentru analiza de</w:t>
      </w:r>
      <w:r w:rsidRPr="00C56257">
        <w:rPr>
          <w:color w:val="000000" w:themeColor="text1"/>
          <w:spacing w:val="1"/>
        </w:rPr>
        <w:t xml:space="preserve"> </w:t>
      </w:r>
      <w:r w:rsidRPr="00C56257">
        <w:rPr>
          <w:color w:val="000000" w:themeColor="text1"/>
        </w:rPr>
        <w:t>calitate</w:t>
      </w:r>
      <w:r w:rsidRPr="00C56257">
        <w:rPr>
          <w:color w:val="000000" w:themeColor="text1"/>
          <w:spacing w:val="-2"/>
        </w:rPr>
        <w:t xml:space="preserve"> </w:t>
      </w:r>
      <w:r w:rsidRPr="00C56257">
        <w:rPr>
          <w:color w:val="000000" w:themeColor="text1"/>
        </w:rPr>
        <w:t>a</w:t>
      </w:r>
      <w:r w:rsidRPr="00C56257">
        <w:rPr>
          <w:color w:val="000000" w:themeColor="text1"/>
          <w:spacing w:val="-1"/>
        </w:rPr>
        <w:t xml:space="preserve"> </w:t>
      </w:r>
      <w:r w:rsidRPr="00C56257">
        <w:rPr>
          <w:color w:val="000000" w:themeColor="text1"/>
        </w:rPr>
        <w:t>rezultatelor</w:t>
      </w:r>
      <w:r w:rsidRPr="00C56257">
        <w:rPr>
          <w:color w:val="000000" w:themeColor="text1"/>
          <w:spacing w:val="-1"/>
        </w:rPr>
        <w:t xml:space="preserve"> </w:t>
      </w:r>
      <w:r w:rsidRPr="00C56257">
        <w:rPr>
          <w:color w:val="000000" w:themeColor="text1"/>
        </w:rPr>
        <w:t>raportării succesive.</w:t>
      </w:r>
    </w:p>
    <w:p w14:paraId="3650A303" w14:textId="77777777" w:rsidR="00A37B92" w:rsidRPr="00C56257" w:rsidRDefault="00A37B92" w:rsidP="004471AF">
      <w:pPr>
        <w:widowControl w:val="0"/>
        <w:autoSpaceDE w:val="0"/>
        <w:autoSpaceDN w:val="0"/>
        <w:spacing w:before="6"/>
        <w:ind w:right="26"/>
        <w:jc w:val="both"/>
        <w:rPr>
          <w:color w:val="000000" w:themeColor="text1"/>
        </w:rPr>
      </w:pPr>
    </w:p>
    <w:p w14:paraId="4E8A8188" w14:textId="77777777" w:rsidR="00A37B92" w:rsidRPr="00C56257" w:rsidRDefault="00A37B92" w:rsidP="004471AF">
      <w:pPr>
        <w:widowControl w:val="0"/>
        <w:tabs>
          <w:tab w:val="left" w:pos="1232"/>
        </w:tabs>
        <w:autoSpaceDE w:val="0"/>
        <w:autoSpaceDN w:val="0"/>
        <w:ind w:right="26"/>
        <w:jc w:val="both"/>
        <w:outlineLvl w:val="1"/>
        <w:rPr>
          <w:rFonts w:eastAsia="Cambria"/>
          <w:b/>
          <w:bCs/>
          <w:color w:val="000000" w:themeColor="text1"/>
        </w:rPr>
      </w:pPr>
      <w:r w:rsidRPr="00C56257">
        <w:rPr>
          <w:rFonts w:eastAsia="Cambria"/>
          <w:b/>
          <w:bCs/>
          <w:color w:val="000000" w:themeColor="text1"/>
        </w:rPr>
        <w:t>Evaluarea</w:t>
      </w:r>
      <w:r w:rsidRPr="00C56257">
        <w:rPr>
          <w:rFonts w:eastAsia="Cambria"/>
          <w:b/>
          <w:bCs/>
          <w:color w:val="000000" w:themeColor="text1"/>
          <w:spacing w:val="-6"/>
        </w:rPr>
        <w:t xml:space="preserve"> </w:t>
      </w:r>
      <w:r w:rsidRPr="00C56257">
        <w:rPr>
          <w:rFonts w:eastAsia="Cambria"/>
          <w:b/>
          <w:bCs/>
          <w:color w:val="000000" w:themeColor="text1"/>
        </w:rPr>
        <w:t>presiunilor</w:t>
      </w:r>
      <w:r w:rsidRPr="00C56257">
        <w:rPr>
          <w:rFonts w:eastAsia="Cambria"/>
          <w:b/>
          <w:bCs/>
          <w:color w:val="000000" w:themeColor="text1"/>
          <w:spacing w:val="-6"/>
        </w:rPr>
        <w:t xml:space="preserve"> </w:t>
      </w:r>
      <w:r w:rsidRPr="00C56257">
        <w:rPr>
          <w:rFonts w:eastAsia="Cambria"/>
          <w:b/>
          <w:bCs/>
          <w:color w:val="000000" w:themeColor="text1"/>
        </w:rPr>
        <w:t>si</w:t>
      </w:r>
      <w:r w:rsidRPr="00C56257">
        <w:rPr>
          <w:rFonts w:eastAsia="Cambria"/>
          <w:b/>
          <w:bCs/>
          <w:color w:val="000000" w:themeColor="text1"/>
          <w:spacing w:val="-6"/>
        </w:rPr>
        <w:t xml:space="preserve"> </w:t>
      </w:r>
      <w:r w:rsidRPr="00C56257">
        <w:rPr>
          <w:rFonts w:eastAsia="Cambria"/>
          <w:b/>
          <w:bCs/>
          <w:color w:val="000000" w:themeColor="text1"/>
        </w:rPr>
        <w:t>amenințărilor</w:t>
      </w:r>
    </w:p>
    <w:p w14:paraId="32981746" w14:textId="77777777" w:rsidR="00A37B92" w:rsidRPr="00C56257" w:rsidRDefault="00A37B92" w:rsidP="004471AF">
      <w:pPr>
        <w:widowControl w:val="0"/>
        <w:autoSpaceDE w:val="0"/>
        <w:autoSpaceDN w:val="0"/>
        <w:spacing w:before="157"/>
        <w:ind w:right="26"/>
        <w:jc w:val="both"/>
        <w:rPr>
          <w:color w:val="000000" w:themeColor="text1"/>
        </w:rPr>
      </w:pPr>
      <w:r w:rsidRPr="00C56257">
        <w:rPr>
          <w:color w:val="000000" w:themeColor="text1"/>
        </w:rPr>
        <w:t>Se utilizează nomenclatorul de presiuni și amenințări agreat la nivel european, atașat prezentului</w:t>
      </w:r>
      <w:r w:rsidRPr="00C56257">
        <w:rPr>
          <w:color w:val="000000" w:themeColor="text1"/>
          <w:spacing w:val="1"/>
        </w:rPr>
        <w:t xml:space="preserve"> </w:t>
      </w:r>
      <w:r w:rsidRPr="00C56257">
        <w:rPr>
          <w:color w:val="000000" w:themeColor="text1"/>
        </w:rPr>
        <w:t>document.</w:t>
      </w:r>
    </w:p>
    <w:p w14:paraId="0FC19C3E" w14:textId="77777777" w:rsidR="00A37B92" w:rsidRPr="00C56257" w:rsidRDefault="00A37B92" w:rsidP="004471AF">
      <w:pPr>
        <w:widowControl w:val="0"/>
        <w:autoSpaceDE w:val="0"/>
        <w:autoSpaceDN w:val="0"/>
        <w:ind w:right="26"/>
        <w:jc w:val="both"/>
        <w:rPr>
          <w:color w:val="000000" w:themeColor="text1"/>
        </w:rPr>
      </w:pPr>
      <w:r w:rsidRPr="00C56257">
        <w:rPr>
          <w:color w:val="000000" w:themeColor="text1"/>
        </w:rPr>
        <w:t>Presiunile observate în studiul de teren sunt evaluate stabilindu-se intensitatea specifică a fiecăreia</w:t>
      </w:r>
      <w:r w:rsidRPr="00C56257">
        <w:rPr>
          <w:color w:val="000000" w:themeColor="text1"/>
          <w:spacing w:val="1"/>
        </w:rPr>
        <w:t xml:space="preserve"> </w:t>
      </w:r>
      <w:r w:rsidRPr="00C56257">
        <w:rPr>
          <w:color w:val="000000" w:themeColor="text1"/>
        </w:rPr>
        <w:t>ce</w:t>
      </w:r>
      <w:r w:rsidRPr="00C56257">
        <w:rPr>
          <w:color w:val="000000" w:themeColor="text1"/>
          <w:spacing w:val="30"/>
        </w:rPr>
        <w:t xml:space="preserve"> </w:t>
      </w:r>
      <w:r w:rsidRPr="00C56257">
        <w:rPr>
          <w:color w:val="000000" w:themeColor="text1"/>
        </w:rPr>
        <w:t>se</w:t>
      </w:r>
      <w:r w:rsidRPr="00C56257">
        <w:rPr>
          <w:color w:val="000000" w:themeColor="text1"/>
          <w:spacing w:val="34"/>
        </w:rPr>
        <w:t xml:space="preserve"> </w:t>
      </w:r>
      <w:r w:rsidRPr="00C56257">
        <w:rPr>
          <w:color w:val="000000" w:themeColor="text1"/>
        </w:rPr>
        <w:t>exercită</w:t>
      </w:r>
      <w:r w:rsidRPr="00C56257">
        <w:rPr>
          <w:color w:val="000000" w:themeColor="text1"/>
          <w:spacing w:val="31"/>
        </w:rPr>
        <w:t xml:space="preserve"> </w:t>
      </w:r>
      <w:r w:rsidRPr="00C56257">
        <w:rPr>
          <w:color w:val="000000" w:themeColor="text1"/>
        </w:rPr>
        <w:t>asupra</w:t>
      </w:r>
      <w:r w:rsidRPr="00C56257">
        <w:rPr>
          <w:color w:val="000000" w:themeColor="text1"/>
          <w:spacing w:val="30"/>
        </w:rPr>
        <w:t xml:space="preserve"> </w:t>
      </w:r>
      <w:r w:rsidRPr="00C56257">
        <w:rPr>
          <w:color w:val="000000" w:themeColor="text1"/>
        </w:rPr>
        <w:t>habitatului</w:t>
      </w:r>
      <w:r w:rsidRPr="00C56257">
        <w:rPr>
          <w:color w:val="000000" w:themeColor="text1"/>
          <w:spacing w:val="32"/>
        </w:rPr>
        <w:t xml:space="preserve"> </w:t>
      </w:r>
      <w:r w:rsidRPr="00C56257">
        <w:rPr>
          <w:color w:val="000000" w:themeColor="text1"/>
        </w:rPr>
        <w:t>țintă.</w:t>
      </w:r>
      <w:r w:rsidRPr="00C56257">
        <w:rPr>
          <w:color w:val="000000" w:themeColor="text1"/>
          <w:spacing w:val="30"/>
        </w:rPr>
        <w:t xml:space="preserve"> </w:t>
      </w:r>
      <w:r w:rsidRPr="00C56257">
        <w:rPr>
          <w:color w:val="000000" w:themeColor="text1"/>
        </w:rPr>
        <w:t>Categoriile</w:t>
      </w:r>
      <w:r w:rsidRPr="00C56257">
        <w:rPr>
          <w:color w:val="000000" w:themeColor="text1"/>
          <w:spacing w:val="31"/>
        </w:rPr>
        <w:t xml:space="preserve"> </w:t>
      </w:r>
      <w:r w:rsidRPr="00C56257">
        <w:rPr>
          <w:color w:val="000000" w:themeColor="text1"/>
        </w:rPr>
        <w:t>de</w:t>
      </w:r>
      <w:r w:rsidRPr="00C56257">
        <w:rPr>
          <w:color w:val="000000" w:themeColor="text1"/>
          <w:spacing w:val="33"/>
        </w:rPr>
        <w:t xml:space="preserve"> </w:t>
      </w:r>
      <w:r w:rsidRPr="00C56257">
        <w:rPr>
          <w:color w:val="000000" w:themeColor="text1"/>
        </w:rPr>
        <w:t>evaluare</w:t>
      </w:r>
      <w:r w:rsidRPr="00C56257">
        <w:rPr>
          <w:color w:val="000000" w:themeColor="text1"/>
          <w:spacing w:val="31"/>
        </w:rPr>
        <w:t xml:space="preserve"> </w:t>
      </w:r>
      <w:r w:rsidRPr="00C56257">
        <w:rPr>
          <w:color w:val="000000" w:themeColor="text1"/>
        </w:rPr>
        <w:t>a</w:t>
      </w:r>
      <w:r w:rsidRPr="00C56257">
        <w:rPr>
          <w:color w:val="000000" w:themeColor="text1"/>
          <w:spacing w:val="33"/>
        </w:rPr>
        <w:t xml:space="preserve"> </w:t>
      </w:r>
      <w:r w:rsidRPr="00C56257">
        <w:rPr>
          <w:color w:val="000000" w:themeColor="text1"/>
        </w:rPr>
        <w:t>intensității</w:t>
      </w:r>
      <w:r w:rsidRPr="00C56257">
        <w:rPr>
          <w:color w:val="000000" w:themeColor="text1"/>
          <w:spacing w:val="32"/>
        </w:rPr>
        <w:t xml:space="preserve"> </w:t>
      </w:r>
      <w:r w:rsidRPr="00C56257">
        <w:rPr>
          <w:color w:val="000000" w:themeColor="text1"/>
        </w:rPr>
        <w:t>sunt</w:t>
      </w:r>
      <w:r w:rsidRPr="00C56257">
        <w:rPr>
          <w:color w:val="000000" w:themeColor="text1"/>
          <w:spacing w:val="31"/>
        </w:rPr>
        <w:t xml:space="preserve"> </w:t>
      </w:r>
      <w:r w:rsidRPr="00C56257">
        <w:rPr>
          <w:color w:val="000000" w:themeColor="text1"/>
        </w:rPr>
        <w:t>de</w:t>
      </w:r>
      <w:r w:rsidRPr="00C56257">
        <w:rPr>
          <w:color w:val="000000" w:themeColor="text1"/>
          <w:spacing w:val="31"/>
        </w:rPr>
        <w:t xml:space="preserve"> </w:t>
      </w:r>
      <w:r w:rsidRPr="00C56257">
        <w:rPr>
          <w:color w:val="000000" w:themeColor="text1"/>
        </w:rPr>
        <w:t>asemenea</w:t>
      </w:r>
      <w:r w:rsidRPr="00C56257">
        <w:rPr>
          <w:color w:val="000000" w:themeColor="text1"/>
          <w:spacing w:val="31"/>
        </w:rPr>
        <w:t xml:space="preserve"> </w:t>
      </w:r>
      <w:r w:rsidRPr="00C56257">
        <w:rPr>
          <w:color w:val="000000" w:themeColor="text1"/>
        </w:rPr>
        <w:t>de</w:t>
      </w:r>
      <w:r w:rsidRPr="00C56257">
        <w:rPr>
          <w:color w:val="000000" w:themeColor="text1"/>
          <w:spacing w:val="-58"/>
        </w:rPr>
        <w:t xml:space="preserve"> </w:t>
      </w:r>
      <w:r w:rsidRPr="00C56257">
        <w:rPr>
          <w:color w:val="000000" w:themeColor="text1"/>
        </w:rPr>
        <w:t>nivel</w:t>
      </w:r>
      <w:r w:rsidRPr="00C56257">
        <w:rPr>
          <w:color w:val="000000" w:themeColor="text1"/>
          <w:spacing w:val="1"/>
        </w:rPr>
        <w:t xml:space="preserve"> </w:t>
      </w:r>
      <w:r w:rsidRPr="00C56257">
        <w:rPr>
          <w:color w:val="000000" w:themeColor="text1"/>
        </w:rPr>
        <w:t>calitativ,</w:t>
      </w:r>
      <w:r w:rsidRPr="00C56257">
        <w:rPr>
          <w:color w:val="000000" w:themeColor="text1"/>
          <w:spacing w:val="1"/>
        </w:rPr>
        <w:t xml:space="preserve"> </w:t>
      </w:r>
      <w:r w:rsidRPr="00C56257">
        <w:rPr>
          <w:color w:val="000000" w:themeColor="text1"/>
        </w:rPr>
        <w:t>respectiv:</w:t>
      </w:r>
      <w:r w:rsidRPr="00C56257">
        <w:rPr>
          <w:color w:val="000000" w:themeColor="text1"/>
          <w:spacing w:val="1"/>
        </w:rPr>
        <w:t xml:space="preserve"> </w:t>
      </w:r>
      <w:r w:rsidRPr="00C56257">
        <w:rPr>
          <w:color w:val="000000" w:themeColor="text1"/>
        </w:rPr>
        <w:t>intensitate</w:t>
      </w:r>
      <w:r w:rsidRPr="00C56257">
        <w:rPr>
          <w:color w:val="000000" w:themeColor="text1"/>
          <w:spacing w:val="1"/>
        </w:rPr>
        <w:t xml:space="preserve"> </w:t>
      </w:r>
      <w:r w:rsidRPr="00C56257">
        <w:rPr>
          <w:color w:val="000000" w:themeColor="text1"/>
        </w:rPr>
        <w:t>mică,</w:t>
      </w:r>
      <w:r w:rsidRPr="00C56257">
        <w:rPr>
          <w:color w:val="000000" w:themeColor="text1"/>
          <w:spacing w:val="1"/>
        </w:rPr>
        <w:t xml:space="preserve"> </w:t>
      </w:r>
      <w:r w:rsidRPr="00C56257">
        <w:rPr>
          <w:color w:val="000000" w:themeColor="text1"/>
        </w:rPr>
        <w:t>intensitate</w:t>
      </w:r>
      <w:r w:rsidRPr="00C56257">
        <w:rPr>
          <w:color w:val="000000" w:themeColor="text1"/>
          <w:spacing w:val="1"/>
        </w:rPr>
        <w:t xml:space="preserve"> </w:t>
      </w:r>
      <w:r w:rsidRPr="00C56257">
        <w:rPr>
          <w:color w:val="000000" w:themeColor="text1"/>
        </w:rPr>
        <w:t>medie,</w:t>
      </w:r>
      <w:r w:rsidRPr="00C56257">
        <w:rPr>
          <w:color w:val="000000" w:themeColor="text1"/>
          <w:spacing w:val="1"/>
        </w:rPr>
        <w:t xml:space="preserve"> </w:t>
      </w:r>
      <w:r w:rsidRPr="00C56257">
        <w:rPr>
          <w:color w:val="000000" w:themeColor="text1"/>
        </w:rPr>
        <w:t>intensitate</w:t>
      </w:r>
      <w:r w:rsidRPr="00C56257">
        <w:rPr>
          <w:color w:val="000000" w:themeColor="text1"/>
          <w:spacing w:val="1"/>
        </w:rPr>
        <w:t xml:space="preserve"> </w:t>
      </w:r>
      <w:r w:rsidRPr="00C56257">
        <w:rPr>
          <w:color w:val="000000" w:themeColor="text1"/>
        </w:rPr>
        <w:t>mare,</w:t>
      </w:r>
      <w:r w:rsidRPr="00C56257">
        <w:rPr>
          <w:color w:val="000000" w:themeColor="text1"/>
          <w:spacing w:val="1"/>
        </w:rPr>
        <w:t xml:space="preserve"> </w:t>
      </w:r>
      <w:r w:rsidRPr="00C56257">
        <w:rPr>
          <w:color w:val="000000" w:themeColor="text1"/>
        </w:rPr>
        <w:t>intensitate</w:t>
      </w:r>
      <w:r w:rsidRPr="00C56257">
        <w:rPr>
          <w:color w:val="000000" w:themeColor="text1"/>
          <w:spacing w:val="1"/>
        </w:rPr>
        <w:t xml:space="preserve"> </w:t>
      </w:r>
      <w:r w:rsidRPr="00C56257">
        <w:rPr>
          <w:color w:val="000000" w:themeColor="text1"/>
        </w:rPr>
        <w:t>necunoscută.</w:t>
      </w:r>
    </w:p>
    <w:p w14:paraId="1193B8C3" w14:textId="77777777" w:rsidR="00A37B92" w:rsidRPr="00C56257" w:rsidRDefault="00A37B92" w:rsidP="004471AF">
      <w:pPr>
        <w:widowControl w:val="0"/>
        <w:autoSpaceDE w:val="0"/>
        <w:autoSpaceDN w:val="0"/>
        <w:spacing w:before="1"/>
        <w:ind w:right="26"/>
        <w:jc w:val="both"/>
        <w:rPr>
          <w:color w:val="000000" w:themeColor="text1"/>
        </w:rPr>
      </w:pPr>
      <w:r w:rsidRPr="00C56257">
        <w:rPr>
          <w:color w:val="000000" w:themeColor="text1"/>
        </w:rPr>
        <w:t>Amenințările</w:t>
      </w:r>
      <w:r w:rsidRPr="00C56257">
        <w:rPr>
          <w:color w:val="000000" w:themeColor="text1"/>
          <w:spacing w:val="1"/>
        </w:rPr>
        <w:t xml:space="preserve"> </w:t>
      </w:r>
      <w:r w:rsidRPr="00C56257">
        <w:rPr>
          <w:color w:val="000000" w:themeColor="text1"/>
        </w:rPr>
        <w:t>estimate,</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urma</w:t>
      </w:r>
      <w:r w:rsidRPr="00C56257">
        <w:rPr>
          <w:color w:val="000000" w:themeColor="text1"/>
          <w:spacing w:val="1"/>
        </w:rPr>
        <w:t xml:space="preserve"> </w:t>
      </w:r>
      <w:r w:rsidRPr="00C56257">
        <w:rPr>
          <w:color w:val="000000" w:themeColor="text1"/>
        </w:rPr>
        <w:t>analizei</w:t>
      </w:r>
      <w:r w:rsidRPr="00C56257">
        <w:rPr>
          <w:color w:val="000000" w:themeColor="text1"/>
          <w:spacing w:val="1"/>
        </w:rPr>
        <w:t xml:space="preserve"> </w:t>
      </w:r>
      <w:r w:rsidRPr="00C56257">
        <w:rPr>
          <w:color w:val="000000" w:themeColor="text1"/>
        </w:rPr>
        <w:t>presiunilor</w:t>
      </w:r>
      <w:r w:rsidRPr="00C56257">
        <w:rPr>
          <w:color w:val="000000" w:themeColor="text1"/>
          <w:spacing w:val="1"/>
        </w:rPr>
        <w:t xml:space="preserve"> </w:t>
      </w:r>
      <w:r w:rsidRPr="00C56257">
        <w:rPr>
          <w:color w:val="000000" w:themeColor="text1"/>
        </w:rPr>
        <w:t>existente</w:t>
      </w:r>
      <w:r w:rsidRPr="00C56257">
        <w:rPr>
          <w:color w:val="000000" w:themeColor="text1"/>
          <w:spacing w:val="1"/>
        </w:rPr>
        <w:t xml:space="preserve"> </w:t>
      </w:r>
      <w:r w:rsidRPr="00C56257">
        <w:rPr>
          <w:color w:val="000000" w:themeColor="text1"/>
        </w:rPr>
        <w:t>observate</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teren</w:t>
      </w:r>
      <w:r w:rsidRPr="00C56257">
        <w:rPr>
          <w:color w:val="000000" w:themeColor="text1"/>
          <w:spacing w:val="1"/>
        </w:rPr>
        <w:t xml:space="preserve"> </w:t>
      </w:r>
      <w:r w:rsidRPr="00C56257">
        <w:rPr>
          <w:color w:val="000000" w:themeColor="text1"/>
        </w:rPr>
        <w:t>sunt</w:t>
      </w:r>
      <w:r w:rsidRPr="00C56257">
        <w:rPr>
          <w:color w:val="000000" w:themeColor="text1"/>
          <w:spacing w:val="1"/>
        </w:rPr>
        <w:t xml:space="preserve"> </w:t>
      </w:r>
      <w:r w:rsidRPr="00C56257">
        <w:rPr>
          <w:color w:val="000000" w:themeColor="text1"/>
        </w:rPr>
        <w:t>evaluate,</w:t>
      </w:r>
      <w:r w:rsidRPr="00C56257">
        <w:rPr>
          <w:color w:val="000000" w:themeColor="text1"/>
          <w:spacing w:val="-57"/>
        </w:rPr>
        <w:t xml:space="preserve"> </w:t>
      </w:r>
      <w:r w:rsidRPr="00C56257">
        <w:rPr>
          <w:color w:val="000000" w:themeColor="text1"/>
        </w:rPr>
        <w:t>stabilindu-se</w:t>
      </w:r>
      <w:r w:rsidRPr="00C56257">
        <w:rPr>
          <w:color w:val="000000" w:themeColor="text1"/>
          <w:spacing w:val="13"/>
        </w:rPr>
        <w:t xml:space="preserve"> </w:t>
      </w:r>
      <w:r w:rsidRPr="00C56257">
        <w:rPr>
          <w:color w:val="000000" w:themeColor="text1"/>
        </w:rPr>
        <w:t>intensitatea</w:t>
      </w:r>
      <w:r w:rsidRPr="00C56257">
        <w:rPr>
          <w:color w:val="000000" w:themeColor="text1"/>
          <w:spacing w:val="15"/>
        </w:rPr>
        <w:t xml:space="preserve"> </w:t>
      </w:r>
      <w:r w:rsidRPr="00C56257">
        <w:rPr>
          <w:color w:val="000000" w:themeColor="text1"/>
        </w:rPr>
        <w:t>specifică</w:t>
      </w:r>
      <w:r w:rsidRPr="00C56257">
        <w:rPr>
          <w:color w:val="000000" w:themeColor="text1"/>
          <w:spacing w:val="14"/>
        </w:rPr>
        <w:t xml:space="preserve"> </w:t>
      </w:r>
      <w:r w:rsidRPr="00C56257">
        <w:rPr>
          <w:color w:val="000000" w:themeColor="text1"/>
        </w:rPr>
        <w:t>a</w:t>
      </w:r>
      <w:r w:rsidRPr="00C56257">
        <w:rPr>
          <w:color w:val="000000" w:themeColor="text1"/>
          <w:spacing w:val="15"/>
        </w:rPr>
        <w:t xml:space="preserve"> </w:t>
      </w:r>
      <w:r w:rsidRPr="00C56257">
        <w:rPr>
          <w:color w:val="000000" w:themeColor="text1"/>
        </w:rPr>
        <w:t>fiecăreia</w:t>
      </w:r>
      <w:r w:rsidRPr="00C56257">
        <w:rPr>
          <w:color w:val="000000" w:themeColor="text1"/>
          <w:spacing w:val="15"/>
        </w:rPr>
        <w:t xml:space="preserve"> </w:t>
      </w:r>
      <w:r w:rsidRPr="00C56257">
        <w:rPr>
          <w:color w:val="000000" w:themeColor="text1"/>
        </w:rPr>
        <w:t>ce</w:t>
      </w:r>
      <w:r w:rsidRPr="00C56257">
        <w:rPr>
          <w:color w:val="000000" w:themeColor="text1"/>
          <w:spacing w:val="16"/>
        </w:rPr>
        <w:t xml:space="preserve"> </w:t>
      </w:r>
      <w:r w:rsidRPr="00C56257">
        <w:rPr>
          <w:color w:val="000000" w:themeColor="text1"/>
        </w:rPr>
        <w:t>se</w:t>
      </w:r>
      <w:r w:rsidRPr="00C56257">
        <w:rPr>
          <w:color w:val="000000" w:themeColor="text1"/>
          <w:spacing w:val="13"/>
        </w:rPr>
        <w:t xml:space="preserve"> </w:t>
      </w:r>
      <w:r w:rsidRPr="00C56257">
        <w:rPr>
          <w:color w:val="000000" w:themeColor="text1"/>
        </w:rPr>
        <w:t>exercită</w:t>
      </w:r>
      <w:r w:rsidRPr="00C56257">
        <w:rPr>
          <w:color w:val="000000" w:themeColor="text1"/>
          <w:spacing w:val="17"/>
        </w:rPr>
        <w:t xml:space="preserve"> </w:t>
      </w:r>
      <w:r w:rsidRPr="00C56257">
        <w:rPr>
          <w:color w:val="000000" w:themeColor="text1"/>
        </w:rPr>
        <w:t>asupra</w:t>
      </w:r>
      <w:r w:rsidRPr="00C56257">
        <w:rPr>
          <w:color w:val="000000" w:themeColor="text1"/>
          <w:spacing w:val="15"/>
        </w:rPr>
        <w:t xml:space="preserve"> </w:t>
      </w:r>
      <w:r w:rsidRPr="00C56257">
        <w:rPr>
          <w:color w:val="000000" w:themeColor="text1"/>
        </w:rPr>
        <w:t>habitatului</w:t>
      </w:r>
      <w:r w:rsidRPr="00C56257">
        <w:rPr>
          <w:color w:val="000000" w:themeColor="text1"/>
          <w:spacing w:val="16"/>
        </w:rPr>
        <w:t xml:space="preserve"> </w:t>
      </w:r>
      <w:r w:rsidRPr="00C56257">
        <w:rPr>
          <w:color w:val="000000" w:themeColor="text1"/>
        </w:rPr>
        <w:t>țintă.</w:t>
      </w:r>
      <w:r w:rsidRPr="00C56257">
        <w:rPr>
          <w:color w:val="000000" w:themeColor="text1"/>
          <w:spacing w:val="14"/>
        </w:rPr>
        <w:t xml:space="preserve"> </w:t>
      </w:r>
      <w:r w:rsidRPr="00C56257">
        <w:rPr>
          <w:color w:val="000000" w:themeColor="text1"/>
        </w:rPr>
        <w:t>Categoriile</w:t>
      </w:r>
      <w:r w:rsidRPr="00C56257">
        <w:rPr>
          <w:color w:val="000000" w:themeColor="text1"/>
          <w:spacing w:val="14"/>
        </w:rPr>
        <w:t xml:space="preserve"> </w:t>
      </w:r>
      <w:r w:rsidRPr="00C56257">
        <w:rPr>
          <w:color w:val="000000" w:themeColor="text1"/>
        </w:rPr>
        <w:t>de evaluare</w:t>
      </w:r>
      <w:r w:rsidRPr="00C56257">
        <w:rPr>
          <w:color w:val="000000" w:themeColor="text1"/>
          <w:spacing w:val="35"/>
        </w:rPr>
        <w:t xml:space="preserve"> </w:t>
      </w:r>
      <w:r w:rsidRPr="00C56257">
        <w:rPr>
          <w:color w:val="000000" w:themeColor="text1"/>
        </w:rPr>
        <w:t>a</w:t>
      </w:r>
      <w:r w:rsidRPr="00C56257">
        <w:rPr>
          <w:color w:val="000000" w:themeColor="text1"/>
          <w:spacing w:val="36"/>
        </w:rPr>
        <w:t xml:space="preserve"> </w:t>
      </w:r>
      <w:r w:rsidRPr="00C56257">
        <w:rPr>
          <w:color w:val="000000" w:themeColor="text1"/>
        </w:rPr>
        <w:t>intensității</w:t>
      </w:r>
      <w:r w:rsidRPr="00C56257">
        <w:rPr>
          <w:color w:val="000000" w:themeColor="text1"/>
          <w:spacing w:val="37"/>
        </w:rPr>
        <w:t xml:space="preserve"> </w:t>
      </w:r>
      <w:r w:rsidRPr="00C56257">
        <w:rPr>
          <w:color w:val="000000" w:themeColor="text1"/>
        </w:rPr>
        <w:t>sunt</w:t>
      </w:r>
      <w:r w:rsidRPr="00C56257">
        <w:rPr>
          <w:color w:val="000000" w:themeColor="text1"/>
          <w:spacing w:val="36"/>
        </w:rPr>
        <w:t xml:space="preserve"> </w:t>
      </w:r>
      <w:r w:rsidRPr="00C56257">
        <w:rPr>
          <w:color w:val="000000" w:themeColor="text1"/>
        </w:rPr>
        <w:t>de</w:t>
      </w:r>
      <w:r w:rsidRPr="00C56257">
        <w:rPr>
          <w:color w:val="000000" w:themeColor="text1"/>
          <w:spacing w:val="36"/>
        </w:rPr>
        <w:t xml:space="preserve"> </w:t>
      </w:r>
      <w:r w:rsidRPr="00C56257">
        <w:rPr>
          <w:color w:val="000000" w:themeColor="text1"/>
        </w:rPr>
        <w:t>asemenea</w:t>
      </w:r>
      <w:r w:rsidRPr="00C56257">
        <w:rPr>
          <w:color w:val="000000" w:themeColor="text1"/>
          <w:spacing w:val="36"/>
        </w:rPr>
        <w:t xml:space="preserve"> </w:t>
      </w:r>
      <w:r w:rsidRPr="00C56257">
        <w:rPr>
          <w:color w:val="000000" w:themeColor="text1"/>
        </w:rPr>
        <w:t>de</w:t>
      </w:r>
      <w:r w:rsidRPr="00C56257">
        <w:rPr>
          <w:color w:val="000000" w:themeColor="text1"/>
          <w:spacing w:val="35"/>
        </w:rPr>
        <w:t xml:space="preserve"> </w:t>
      </w:r>
      <w:r w:rsidRPr="00C56257">
        <w:rPr>
          <w:color w:val="000000" w:themeColor="text1"/>
        </w:rPr>
        <w:t>nivel</w:t>
      </w:r>
      <w:r w:rsidRPr="00C56257">
        <w:rPr>
          <w:color w:val="000000" w:themeColor="text1"/>
          <w:spacing w:val="39"/>
        </w:rPr>
        <w:t xml:space="preserve"> </w:t>
      </w:r>
      <w:r w:rsidRPr="00C56257">
        <w:rPr>
          <w:color w:val="000000" w:themeColor="text1"/>
        </w:rPr>
        <w:t>calitativ,</w:t>
      </w:r>
      <w:r w:rsidRPr="00C56257">
        <w:rPr>
          <w:color w:val="000000" w:themeColor="text1"/>
          <w:spacing w:val="37"/>
        </w:rPr>
        <w:t xml:space="preserve"> </w:t>
      </w:r>
      <w:r w:rsidRPr="00C56257">
        <w:rPr>
          <w:color w:val="000000" w:themeColor="text1"/>
        </w:rPr>
        <w:t>respectiv:</w:t>
      </w:r>
      <w:r w:rsidRPr="00C56257">
        <w:rPr>
          <w:color w:val="000000" w:themeColor="text1"/>
          <w:spacing w:val="37"/>
        </w:rPr>
        <w:t xml:space="preserve"> </w:t>
      </w:r>
      <w:r w:rsidRPr="00C56257">
        <w:rPr>
          <w:color w:val="000000" w:themeColor="text1"/>
        </w:rPr>
        <w:t>intensitate</w:t>
      </w:r>
      <w:r w:rsidRPr="00C56257">
        <w:rPr>
          <w:color w:val="000000" w:themeColor="text1"/>
          <w:spacing w:val="35"/>
        </w:rPr>
        <w:t xml:space="preserve"> </w:t>
      </w:r>
      <w:r w:rsidRPr="00C56257">
        <w:rPr>
          <w:color w:val="000000" w:themeColor="text1"/>
        </w:rPr>
        <w:t>mică,</w:t>
      </w:r>
      <w:r w:rsidRPr="00C56257">
        <w:rPr>
          <w:color w:val="000000" w:themeColor="text1"/>
          <w:spacing w:val="37"/>
        </w:rPr>
        <w:t xml:space="preserve"> </w:t>
      </w:r>
      <w:r w:rsidRPr="00C56257">
        <w:rPr>
          <w:color w:val="000000" w:themeColor="text1"/>
        </w:rPr>
        <w:t>intensitate</w:t>
      </w:r>
      <w:r w:rsidRPr="00C56257">
        <w:rPr>
          <w:color w:val="000000" w:themeColor="text1"/>
          <w:spacing w:val="-57"/>
        </w:rPr>
        <w:t xml:space="preserve"> </w:t>
      </w:r>
      <w:r w:rsidRPr="00C56257">
        <w:rPr>
          <w:color w:val="000000" w:themeColor="text1"/>
        </w:rPr>
        <w:t>medie,</w:t>
      </w:r>
      <w:r w:rsidRPr="00C56257">
        <w:rPr>
          <w:color w:val="000000" w:themeColor="text1"/>
          <w:spacing w:val="-1"/>
        </w:rPr>
        <w:t xml:space="preserve"> </w:t>
      </w:r>
      <w:r w:rsidRPr="00C56257">
        <w:rPr>
          <w:color w:val="000000" w:themeColor="text1"/>
        </w:rPr>
        <w:t>intensitate mare, intensitate necunoscută.</w:t>
      </w:r>
    </w:p>
    <w:p w14:paraId="6B23DA31" w14:textId="77777777" w:rsidR="00A37B92" w:rsidRPr="00C56257" w:rsidRDefault="00A37B92" w:rsidP="00A37B92">
      <w:pPr>
        <w:widowControl w:val="0"/>
        <w:autoSpaceDE w:val="0"/>
        <w:autoSpaceDN w:val="0"/>
        <w:spacing w:before="6"/>
        <w:jc w:val="both"/>
        <w:rPr>
          <w:color w:val="000000" w:themeColor="text1"/>
        </w:rPr>
      </w:pPr>
    </w:p>
    <w:p w14:paraId="59768355" w14:textId="77777777" w:rsidR="00A37B92" w:rsidRPr="00C56257" w:rsidRDefault="00A37B92" w:rsidP="00A37B92">
      <w:pPr>
        <w:widowControl w:val="0"/>
        <w:tabs>
          <w:tab w:val="left" w:pos="1232"/>
        </w:tabs>
        <w:autoSpaceDE w:val="0"/>
        <w:autoSpaceDN w:val="0"/>
        <w:jc w:val="both"/>
        <w:outlineLvl w:val="1"/>
        <w:rPr>
          <w:rFonts w:eastAsia="Cambria"/>
          <w:b/>
          <w:bCs/>
          <w:color w:val="000000" w:themeColor="text1"/>
        </w:rPr>
      </w:pPr>
      <w:r w:rsidRPr="00C56257">
        <w:rPr>
          <w:rFonts w:eastAsia="Cambria"/>
          <w:b/>
          <w:bCs/>
          <w:color w:val="000000" w:themeColor="text1"/>
        </w:rPr>
        <w:t>Agregarea</w:t>
      </w:r>
      <w:r w:rsidRPr="00C56257">
        <w:rPr>
          <w:rFonts w:eastAsia="Cambria"/>
          <w:b/>
          <w:bCs/>
          <w:color w:val="000000" w:themeColor="text1"/>
          <w:spacing w:val="-5"/>
        </w:rPr>
        <w:t xml:space="preserve"> </w:t>
      </w:r>
      <w:r w:rsidRPr="00C56257">
        <w:rPr>
          <w:rFonts w:eastAsia="Cambria"/>
          <w:b/>
          <w:bCs/>
          <w:color w:val="000000" w:themeColor="text1"/>
        </w:rPr>
        <w:t>informației</w:t>
      </w:r>
      <w:r w:rsidRPr="00C56257">
        <w:rPr>
          <w:rFonts w:eastAsia="Cambria"/>
          <w:b/>
          <w:bCs/>
          <w:color w:val="000000" w:themeColor="text1"/>
          <w:spacing w:val="-5"/>
        </w:rPr>
        <w:t xml:space="preserve"> </w:t>
      </w:r>
      <w:r w:rsidRPr="00C56257">
        <w:rPr>
          <w:rFonts w:eastAsia="Cambria"/>
          <w:b/>
          <w:bCs/>
          <w:color w:val="000000" w:themeColor="text1"/>
        </w:rPr>
        <w:t>din</w:t>
      </w:r>
      <w:r w:rsidRPr="00C56257">
        <w:rPr>
          <w:rFonts w:eastAsia="Cambria"/>
          <w:b/>
          <w:bCs/>
          <w:color w:val="000000" w:themeColor="text1"/>
          <w:spacing w:val="-6"/>
        </w:rPr>
        <w:t xml:space="preserve"> </w:t>
      </w:r>
      <w:r w:rsidRPr="00C56257">
        <w:rPr>
          <w:rFonts w:eastAsia="Cambria"/>
          <w:b/>
          <w:bCs/>
          <w:color w:val="000000" w:themeColor="text1"/>
        </w:rPr>
        <w:t>ploturi</w:t>
      </w:r>
      <w:r w:rsidRPr="00C56257">
        <w:rPr>
          <w:rFonts w:eastAsia="Cambria"/>
          <w:b/>
          <w:bCs/>
          <w:color w:val="000000" w:themeColor="text1"/>
          <w:spacing w:val="-5"/>
        </w:rPr>
        <w:t xml:space="preserve"> </w:t>
      </w:r>
      <w:r w:rsidRPr="00C56257">
        <w:rPr>
          <w:rFonts w:eastAsia="Cambria"/>
          <w:b/>
          <w:bCs/>
          <w:color w:val="000000" w:themeColor="text1"/>
        </w:rPr>
        <w:t>pe</w:t>
      </w:r>
      <w:r w:rsidRPr="00C56257">
        <w:rPr>
          <w:rFonts w:eastAsia="Cambria"/>
          <w:b/>
          <w:bCs/>
          <w:color w:val="000000" w:themeColor="text1"/>
          <w:spacing w:val="-5"/>
        </w:rPr>
        <w:t xml:space="preserve"> </w:t>
      </w:r>
      <w:r w:rsidRPr="00C56257">
        <w:rPr>
          <w:rFonts w:eastAsia="Cambria"/>
          <w:b/>
          <w:bCs/>
          <w:color w:val="000000" w:themeColor="text1"/>
        </w:rPr>
        <w:t>bioregiune</w:t>
      </w:r>
    </w:p>
    <w:p w14:paraId="329945B2" w14:textId="77777777" w:rsidR="00A37B92" w:rsidRPr="00C56257" w:rsidRDefault="00A37B92" w:rsidP="00A37B92">
      <w:pPr>
        <w:widowControl w:val="0"/>
        <w:autoSpaceDE w:val="0"/>
        <w:autoSpaceDN w:val="0"/>
        <w:spacing w:before="157"/>
        <w:jc w:val="both"/>
        <w:rPr>
          <w:color w:val="000000" w:themeColor="text1"/>
        </w:rPr>
      </w:pPr>
      <w:r w:rsidRPr="00C56257">
        <w:rPr>
          <w:color w:val="000000" w:themeColor="text1"/>
        </w:rPr>
        <w:t>Modul</w:t>
      </w:r>
      <w:r w:rsidRPr="00C56257">
        <w:rPr>
          <w:color w:val="000000" w:themeColor="text1"/>
          <w:spacing w:val="-2"/>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agregare</w:t>
      </w:r>
      <w:r w:rsidRPr="00C56257">
        <w:rPr>
          <w:color w:val="000000" w:themeColor="text1"/>
          <w:spacing w:val="-1"/>
        </w:rPr>
        <w:t xml:space="preserve"> </w:t>
      </w:r>
      <w:r w:rsidRPr="00C56257">
        <w:rPr>
          <w:color w:val="000000" w:themeColor="text1"/>
        </w:rPr>
        <w:t>a</w:t>
      </w:r>
      <w:r w:rsidRPr="00C56257">
        <w:rPr>
          <w:color w:val="000000" w:themeColor="text1"/>
          <w:spacing w:val="-2"/>
        </w:rPr>
        <w:t xml:space="preserve"> </w:t>
      </w:r>
      <w:r w:rsidRPr="00C56257">
        <w:rPr>
          <w:color w:val="000000" w:themeColor="text1"/>
        </w:rPr>
        <w:t>datelor</w:t>
      </w:r>
      <w:r w:rsidRPr="00C56257">
        <w:rPr>
          <w:color w:val="000000" w:themeColor="text1"/>
          <w:spacing w:val="-1"/>
        </w:rPr>
        <w:t xml:space="preserve"> </w:t>
      </w:r>
      <w:r w:rsidRPr="00C56257">
        <w:rPr>
          <w:color w:val="000000" w:themeColor="text1"/>
        </w:rPr>
        <w:t>se</w:t>
      </w:r>
      <w:r w:rsidRPr="00C56257">
        <w:rPr>
          <w:color w:val="000000" w:themeColor="text1"/>
          <w:spacing w:val="-2"/>
        </w:rPr>
        <w:t xml:space="preserve"> </w:t>
      </w:r>
      <w:r w:rsidRPr="00C56257">
        <w:rPr>
          <w:color w:val="000000" w:themeColor="text1"/>
        </w:rPr>
        <w:t>face</w:t>
      </w:r>
      <w:r w:rsidRPr="00C56257">
        <w:rPr>
          <w:color w:val="000000" w:themeColor="text1"/>
          <w:spacing w:val="-2"/>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două</w:t>
      </w:r>
      <w:r w:rsidRPr="00C56257">
        <w:rPr>
          <w:color w:val="000000" w:themeColor="text1"/>
          <w:spacing w:val="-1"/>
        </w:rPr>
        <w:t xml:space="preserve"> </w:t>
      </w:r>
      <w:r w:rsidRPr="00C56257">
        <w:rPr>
          <w:color w:val="000000" w:themeColor="text1"/>
        </w:rPr>
        <w:t>etape:</w:t>
      </w:r>
    </w:p>
    <w:p w14:paraId="3D139422" w14:textId="77777777" w:rsidR="00A37B92" w:rsidRPr="00C56257" w:rsidRDefault="00A37B92" w:rsidP="00A37B92">
      <w:pPr>
        <w:widowControl w:val="0"/>
        <w:autoSpaceDE w:val="0"/>
        <w:autoSpaceDN w:val="0"/>
        <w:ind w:right="194"/>
        <w:jc w:val="both"/>
        <w:rPr>
          <w:color w:val="000000" w:themeColor="text1"/>
        </w:rPr>
      </w:pPr>
      <w:r w:rsidRPr="00C56257">
        <w:rPr>
          <w:color w:val="000000" w:themeColor="text1"/>
        </w:rPr>
        <w:t>Agregarea</w:t>
      </w:r>
      <w:r w:rsidRPr="00C56257">
        <w:rPr>
          <w:color w:val="000000" w:themeColor="text1"/>
          <w:spacing w:val="5"/>
        </w:rPr>
        <w:t xml:space="preserve"> </w:t>
      </w:r>
      <w:r w:rsidRPr="00C56257">
        <w:rPr>
          <w:color w:val="000000" w:themeColor="text1"/>
        </w:rPr>
        <w:t>spațială,</w:t>
      </w:r>
      <w:r w:rsidRPr="00C56257">
        <w:rPr>
          <w:color w:val="000000" w:themeColor="text1"/>
          <w:spacing w:val="4"/>
        </w:rPr>
        <w:t xml:space="preserve"> </w:t>
      </w:r>
      <w:r w:rsidRPr="00C56257">
        <w:rPr>
          <w:color w:val="000000" w:themeColor="text1"/>
        </w:rPr>
        <w:t>respectiv</w:t>
      </w:r>
      <w:r w:rsidRPr="00C56257">
        <w:rPr>
          <w:color w:val="000000" w:themeColor="text1"/>
          <w:spacing w:val="4"/>
        </w:rPr>
        <w:t xml:space="preserve"> </w:t>
      </w:r>
      <w:r w:rsidRPr="00C56257">
        <w:rPr>
          <w:color w:val="000000" w:themeColor="text1"/>
        </w:rPr>
        <w:t>generarea</w:t>
      </w:r>
      <w:r w:rsidRPr="00C56257">
        <w:rPr>
          <w:color w:val="000000" w:themeColor="text1"/>
          <w:spacing w:val="4"/>
        </w:rPr>
        <w:t xml:space="preserve"> </w:t>
      </w:r>
      <w:r w:rsidRPr="00C56257">
        <w:rPr>
          <w:color w:val="000000" w:themeColor="text1"/>
        </w:rPr>
        <w:t>hărților</w:t>
      </w:r>
      <w:r w:rsidRPr="00C56257">
        <w:rPr>
          <w:color w:val="000000" w:themeColor="text1"/>
          <w:spacing w:val="4"/>
        </w:rPr>
        <w:t xml:space="preserve"> </w:t>
      </w:r>
      <w:r w:rsidRPr="00C56257">
        <w:rPr>
          <w:color w:val="000000" w:themeColor="text1"/>
        </w:rPr>
        <w:t>în</w:t>
      </w:r>
      <w:r w:rsidRPr="00C56257">
        <w:rPr>
          <w:color w:val="000000" w:themeColor="text1"/>
          <w:spacing w:val="7"/>
        </w:rPr>
        <w:t xml:space="preserve"> </w:t>
      </w:r>
      <w:r w:rsidRPr="00C56257">
        <w:rPr>
          <w:color w:val="000000" w:themeColor="text1"/>
        </w:rPr>
        <w:t>conformitate</w:t>
      </w:r>
      <w:r w:rsidRPr="00C56257">
        <w:rPr>
          <w:color w:val="000000" w:themeColor="text1"/>
          <w:spacing w:val="4"/>
        </w:rPr>
        <w:t xml:space="preserve"> </w:t>
      </w:r>
      <w:r w:rsidRPr="00C56257">
        <w:rPr>
          <w:color w:val="000000" w:themeColor="text1"/>
        </w:rPr>
        <w:t>cu</w:t>
      </w:r>
      <w:r w:rsidRPr="00C56257">
        <w:rPr>
          <w:color w:val="000000" w:themeColor="text1"/>
          <w:spacing w:val="7"/>
        </w:rPr>
        <w:t xml:space="preserve"> </w:t>
      </w:r>
      <w:r w:rsidRPr="00C56257">
        <w:rPr>
          <w:color w:val="000000" w:themeColor="text1"/>
        </w:rPr>
        <w:t>formatul</w:t>
      </w:r>
      <w:r w:rsidRPr="00C56257">
        <w:rPr>
          <w:color w:val="000000" w:themeColor="text1"/>
          <w:spacing w:val="7"/>
        </w:rPr>
        <w:t xml:space="preserve"> </w:t>
      </w:r>
      <w:r w:rsidRPr="00C56257">
        <w:rPr>
          <w:color w:val="000000" w:themeColor="text1"/>
        </w:rPr>
        <w:t>de</w:t>
      </w:r>
      <w:r w:rsidRPr="00C56257">
        <w:rPr>
          <w:color w:val="000000" w:themeColor="text1"/>
          <w:spacing w:val="4"/>
        </w:rPr>
        <w:t xml:space="preserve"> </w:t>
      </w:r>
      <w:r w:rsidRPr="00C56257">
        <w:rPr>
          <w:color w:val="000000" w:themeColor="text1"/>
        </w:rPr>
        <w:t>raportare</w:t>
      </w:r>
      <w:r w:rsidRPr="00C56257">
        <w:rPr>
          <w:color w:val="000000" w:themeColor="text1"/>
          <w:spacing w:val="12"/>
        </w:rPr>
        <w:t xml:space="preserve"> </w:t>
      </w:r>
      <w:r w:rsidRPr="00C56257">
        <w:rPr>
          <w:color w:val="000000" w:themeColor="text1"/>
        </w:rPr>
        <w:t>pornind</w:t>
      </w:r>
      <w:r w:rsidRPr="00C56257">
        <w:rPr>
          <w:color w:val="000000" w:themeColor="text1"/>
          <w:spacing w:val="4"/>
        </w:rPr>
        <w:t xml:space="preserve"> </w:t>
      </w:r>
      <w:r w:rsidRPr="00C56257">
        <w:rPr>
          <w:color w:val="000000" w:themeColor="text1"/>
        </w:rPr>
        <w:t>de</w:t>
      </w:r>
      <w:r w:rsidRPr="00C56257">
        <w:rPr>
          <w:color w:val="000000" w:themeColor="text1"/>
          <w:spacing w:val="-57"/>
        </w:rPr>
        <w:t xml:space="preserve"> </w:t>
      </w:r>
      <w:r w:rsidRPr="00C56257">
        <w:rPr>
          <w:color w:val="000000" w:themeColor="text1"/>
        </w:rPr>
        <w:t>la ploturile evaluate (și estimate) sintetizându-se la nivel de bioregiune și respectiv la nivel național.</w:t>
      </w:r>
      <w:r w:rsidRPr="00C56257">
        <w:rPr>
          <w:color w:val="000000" w:themeColor="text1"/>
          <w:spacing w:val="-57"/>
        </w:rPr>
        <w:t xml:space="preserve"> </w:t>
      </w:r>
      <w:r w:rsidRPr="00C56257">
        <w:rPr>
          <w:color w:val="000000" w:themeColor="text1"/>
        </w:rPr>
        <w:t>Agregarea non-spațială care presupune generarea fișierelor specifice, în conformitate cu formatul de</w:t>
      </w:r>
      <w:r w:rsidRPr="00C56257">
        <w:rPr>
          <w:color w:val="000000" w:themeColor="text1"/>
          <w:spacing w:val="-57"/>
        </w:rPr>
        <w:t xml:space="preserve"> </w:t>
      </w:r>
      <w:r w:rsidRPr="00C56257">
        <w:rPr>
          <w:color w:val="000000" w:themeColor="text1"/>
        </w:rPr>
        <w:t>raportare, pornind de la datele agregate primar, prima agregare fiind prezentată în subcapitolul 4.1.</w:t>
      </w:r>
      <w:r w:rsidRPr="00C56257">
        <w:rPr>
          <w:color w:val="000000" w:themeColor="text1"/>
          <w:spacing w:val="1"/>
        </w:rPr>
        <w:t xml:space="preserve"> </w:t>
      </w:r>
      <w:r w:rsidRPr="00C56257">
        <w:rPr>
          <w:color w:val="000000" w:themeColor="text1"/>
        </w:rPr>
        <w:t>Al</w:t>
      </w:r>
      <w:r w:rsidRPr="00C56257">
        <w:rPr>
          <w:color w:val="000000" w:themeColor="text1"/>
          <w:spacing w:val="37"/>
        </w:rPr>
        <w:t xml:space="preserve"> </w:t>
      </w:r>
      <w:r w:rsidRPr="00C56257">
        <w:rPr>
          <w:color w:val="000000" w:themeColor="text1"/>
        </w:rPr>
        <w:t>doilea</w:t>
      </w:r>
      <w:r w:rsidRPr="00C56257">
        <w:rPr>
          <w:color w:val="000000" w:themeColor="text1"/>
          <w:spacing w:val="36"/>
        </w:rPr>
        <w:t xml:space="preserve"> </w:t>
      </w:r>
      <w:r w:rsidRPr="00C56257">
        <w:rPr>
          <w:color w:val="000000" w:themeColor="text1"/>
        </w:rPr>
        <w:t>nivel</w:t>
      </w:r>
      <w:r w:rsidRPr="00C56257">
        <w:rPr>
          <w:color w:val="000000" w:themeColor="text1"/>
          <w:spacing w:val="37"/>
        </w:rPr>
        <w:t xml:space="preserve"> </w:t>
      </w:r>
      <w:r w:rsidRPr="00C56257">
        <w:rPr>
          <w:color w:val="000000" w:themeColor="text1"/>
        </w:rPr>
        <w:t>de</w:t>
      </w:r>
      <w:r w:rsidRPr="00C56257">
        <w:rPr>
          <w:color w:val="000000" w:themeColor="text1"/>
          <w:spacing w:val="36"/>
        </w:rPr>
        <w:t xml:space="preserve"> </w:t>
      </w:r>
      <w:r w:rsidRPr="00C56257">
        <w:rPr>
          <w:color w:val="000000" w:themeColor="text1"/>
        </w:rPr>
        <w:t>agregare</w:t>
      </w:r>
      <w:r w:rsidRPr="00C56257">
        <w:rPr>
          <w:color w:val="000000" w:themeColor="text1"/>
          <w:spacing w:val="35"/>
        </w:rPr>
        <w:t xml:space="preserve"> </w:t>
      </w:r>
      <w:r w:rsidRPr="00C56257">
        <w:rPr>
          <w:color w:val="000000" w:themeColor="text1"/>
        </w:rPr>
        <w:t>este</w:t>
      </w:r>
      <w:r w:rsidRPr="00C56257">
        <w:rPr>
          <w:color w:val="000000" w:themeColor="text1"/>
          <w:spacing w:val="37"/>
        </w:rPr>
        <w:t xml:space="preserve"> </w:t>
      </w:r>
      <w:r w:rsidRPr="00C56257">
        <w:rPr>
          <w:color w:val="000000" w:themeColor="text1"/>
        </w:rPr>
        <w:t>al</w:t>
      </w:r>
      <w:r w:rsidRPr="00C56257">
        <w:rPr>
          <w:color w:val="000000" w:themeColor="text1"/>
          <w:spacing w:val="37"/>
        </w:rPr>
        <w:t xml:space="preserve"> </w:t>
      </w:r>
      <w:r w:rsidRPr="00C56257">
        <w:rPr>
          <w:color w:val="000000" w:themeColor="text1"/>
        </w:rPr>
        <w:t>atributelor</w:t>
      </w:r>
      <w:r w:rsidRPr="00C56257">
        <w:rPr>
          <w:color w:val="000000" w:themeColor="text1"/>
          <w:spacing w:val="41"/>
        </w:rPr>
        <w:t xml:space="preserve"> </w:t>
      </w:r>
      <w:r w:rsidRPr="00C56257">
        <w:rPr>
          <w:color w:val="000000" w:themeColor="text1"/>
        </w:rPr>
        <w:t>specifice</w:t>
      </w:r>
      <w:r w:rsidRPr="00C56257">
        <w:rPr>
          <w:color w:val="000000" w:themeColor="text1"/>
          <w:spacing w:val="35"/>
        </w:rPr>
        <w:t xml:space="preserve"> </w:t>
      </w:r>
      <w:r w:rsidRPr="00C56257">
        <w:rPr>
          <w:color w:val="000000" w:themeColor="text1"/>
        </w:rPr>
        <w:t>habitatelor</w:t>
      </w:r>
      <w:r w:rsidRPr="00C56257">
        <w:rPr>
          <w:color w:val="000000" w:themeColor="text1"/>
          <w:spacing w:val="36"/>
        </w:rPr>
        <w:t xml:space="preserve"> </w:t>
      </w:r>
      <w:r w:rsidRPr="00C56257">
        <w:rPr>
          <w:color w:val="000000" w:themeColor="text1"/>
        </w:rPr>
        <w:t>țintă</w:t>
      </w:r>
      <w:r w:rsidRPr="00C56257">
        <w:rPr>
          <w:color w:val="000000" w:themeColor="text1"/>
          <w:spacing w:val="37"/>
        </w:rPr>
        <w:t xml:space="preserve"> </w:t>
      </w:r>
      <w:r w:rsidRPr="00C56257">
        <w:rPr>
          <w:color w:val="000000" w:themeColor="text1"/>
        </w:rPr>
        <w:t>la</w:t>
      </w:r>
      <w:r w:rsidRPr="00C56257">
        <w:rPr>
          <w:color w:val="000000" w:themeColor="text1"/>
          <w:spacing w:val="39"/>
        </w:rPr>
        <w:t xml:space="preserve"> </w:t>
      </w:r>
      <w:r w:rsidRPr="00C56257">
        <w:rPr>
          <w:color w:val="000000" w:themeColor="text1"/>
        </w:rPr>
        <w:t>nivel</w:t>
      </w:r>
      <w:r w:rsidRPr="00C56257">
        <w:rPr>
          <w:color w:val="000000" w:themeColor="text1"/>
          <w:spacing w:val="37"/>
        </w:rPr>
        <w:t xml:space="preserve"> </w:t>
      </w:r>
      <w:r w:rsidRPr="00C56257">
        <w:rPr>
          <w:color w:val="000000" w:themeColor="text1"/>
        </w:rPr>
        <w:t>de</w:t>
      </w:r>
      <w:r w:rsidRPr="00C56257">
        <w:rPr>
          <w:color w:val="000000" w:themeColor="text1"/>
          <w:spacing w:val="36"/>
        </w:rPr>
        <w:t xml:space="preserve"> </w:t>
      </w:r>
      <w:r w:rsidRPr="00C56257">
        <w:rPr>
          <w:color w:val="000000" w:themeColor="text1"/>
        </w:rPr>
        <w:t>plot</w:t>
      </w:r>
      <w:r w:rsidRPr="00C56257">
        <w:rPr>
          <w:color w:val="000000" w:themeColor="text1"/>
          <w:spacing w:val="37"/>
        </w:rPr>
        <w:t xml:space="preserve"> </w:t>
      </w:r>
      <w:r w:rsidRPr="00C56257">
        <w:rPr>
          <w:color w:val="000000" w:themeColor="text1"/>
        </w:rPr>
        <w:t>ce</w:t>
      </w:r>
      <w:r w:rsidRPr="00C56257">
        <w:rPr>
          <w:color w:val="000000" w:themeColor="text1"/>
          <w:spacing w:val="37"/>
        </w:rPr>
        <w:t xml:space="preserve"> </w:t>
      </w:r>
      <w:r w:rsidRPr="00C56257">
        <w:rPr>
          <w:color w:val="000000" w:themeColor="text1"/>
        </w:rPr>
        <w:t>sunt</w:t>
      </w:r>
      <w:r w:rsidRPr="00C56257">
        <w:rPr>
          <w:color w:val="000000" w:themeColor="text1"/>
          <w:spacing w:val="-57"/>
        </w:rPr>
        <w:t xml:space="preserve"> </w:t>
      </w:r>
      <w:r w:rsidRPr="00C56257">
        <w:rPr>
          <w:color w:val="000000" w:themeColor="text1"/>
        </w:rPr>
        <w:t>ulterior</w:t>
      </w:r>
      <w:r w:rsidRPr="00C56257">
        <w:rPr>
          <w:color w:val="000000" w:themeColor="text1"/>
          <w:spacing w:val="-2"/>
        </w:rPr>
        <w:t xml:space="preserve"> </w:t>
      </w:r>
      <w:r w:rsidRPr="00C56257">
        <w:rPr>
          <w:color w:val="000000" w:themeColor="text1"/>
        </w:rPr>
        <w:t>corelate la</w:t>
      </w:r>
      <w:r w:rsidRPr="00C56257">
        <w:rPr>
          <w:color w:val="000000" w:themeColor="text1"/>
          <w:spacing w:val="-1"/>
        </w:rPr>
        <w:t xml:space="preserve"> </w:t>
      </w:r>
      <w:r w:rsidRPr="00C56257">
        <w:rPr>
          <w:color w:val="000000" w:themeColor="text1"/>
        </w:rPr>
        <w:t>nivel</w:t>
      </w:r>
      <w:r w:rsidRPr="00C56257">
        <w:rPr>
          <w:color w:val="000000" w:themeColor="text1"/>
          <w:spacing w:val="2"/>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bioregiune în vederea raportării.</w:t>
      </w:r>
    </w:p>
    <w:p w14:paraId="3326A75B" w14:textId="77777777" w:rsidR="00A37B92" w:rsidRPr="00C56257" w:rsidRDefault="00A37B92" w:rsidP="00A37B92">
      <w:pPr>
        <w:widowControl w:val="0"/>
        <w:autoSpaceDE w:val="0"/>
        <w:autoSpaceDN w:val="0"/>
        <w:spacing w:before="1"/>
        <w:ind w:right="249"/>
        <w:jc w:val="both"/>
        <w:rPr>
          <w:color w:val="000000" w:themeColor="text1"/>
        </w:rPr>
      </w:pPr>
      <w:r w:rsidRPr="00C56257">
        <w:rPr>
          <w:color w:val="000000" w:themeColor="text1"/>
        </w:rPr>
        <w:t>Informațiile din gridurile de 10 x 10 km (ploturi) la nivel de bioregiune se mediază pentru fiecare</w:t>
      </w:r>
      <w:r w:rsidRPr="00C56257">
        <w:rPr>
          <w:color w:val="000000" w:themeColor="text1"/>
          <w:spacing w:val="1"/>
        </w:rPr>
        <w:t xml:space="preserve"> </w:t>
      </w:r>
      <w:r w:rsidRPr="00C56257">
        <w:rPr>
          <w:color w:val="000000" w:themeColor="text1"/>
        </w:rPr>
        <w:t>categorie dintre parametrii de stare utilizându-se o medie ponderată pentru asumarea deciziei finale.</w:t>
      </w:r>
      <w:r w:rsidRPr="00C56257">
        <w:rPr>
          <w:color w:val="000000" w:themeColor="text1"/>
          <w:spacing w:val="-57"/>
        </w:rPr>
        <w:t xml:space="preserve"> </w:t>
      </w:r>
      <w:r w:rsidRPr="00C56257">
        <w:rPr>
          <w:color w:val="000000" w:themeColor="text1"/>
        </w:rPr>
        <w:t>Spre</w:t>
      </w:r>
      <w:r w:rsidRPr="00C56257">
        <w:rPr>
          <w:color w:val="000000" w:themeColor="text1"/>
          <w:spacing w:val="1"/>
        </w:rPr>
        <w:t xml:space="preserve"> </w:t>
      </w:r>
      <w:r w:rsidRPr="00C56257">
        <w:rPr>
          <w:color w:val="000000" w:themeColor="text1"/>
        </w:rPr>
        <w:t>exemplificare,</w:t>
      </w:r>
      <w:r w:rsidRPr="00C56257">
        <w:rPr>
          <w:color w:val="000000" w:themeColor="text1"/>
          <w:spacing w:val="1"/>
        </w:rPr>
        <w:t xml:space="preserve"> </w:t>
      </w:r>
      <w:r w:rsidRPr="00C56257">
        <w:rPr>
          <w:color w:val="000000" w:themeColor="text1"/>
        </w:rPr>
        <w:t>compoziția</w:t>
      </w:r>
      <w:r w:rsidRPr="00C56257">
        <w:rPr>
          <w:color w:val="000000" w:themeColor="text1"/>
          <w:spacing w:val="1"/>
        </w:rPr>
        <w:t xml:space="preserve"> </w:t>
      </w:r>
      <w:r w:rsidRPr="00C56257">
        <w:rPr>
          <w:color w:val="000000" w:themeColor="text1"/>
        </w:rPr>
        <w:t>specifică</w:t>
      </w:r>
      <w:r w:rsidRPr="00C56257">
        <w:rPr>
          <w:color w:val="000000" w:themeColor="text1"/>
          <w:spacing w:val="1"/>
        </w:rPr>
        <w:t xml:space="preserve"> </w:t>
      </w:r>
      <w:r w:rsidRPr="00C56257">
        <w:rPr>
          <w:color w:val="000000" w:themeColor="text1"/>
        </w:rPr>
        <w:t>ceea</w:t>
      </w:r>
      <w:r w:rsidRPr="00C56257">
        <w:rPr>
          <w:color w:val="000000" w:themeColor="text1"/>
          <w:spacing w:val="1"/>
        </w:rPr>
        <w:t xml:space="preserve"> </w:t>
      </w:r>
      <w:r w:rsidRPr="00C56257">
        <w:rPr>
          <w:color w:val="000000" w:themeColor="text1"/>
        </w:rPr>
        <w:t>ce</w:t>
      </w:r>
      <w:r w:rsidRPr="00C56257">
        <w:rPr>
          <w:color w:val="000000" w:themeColor="text1"/>
          <w:spacing w:val="1"/>
        </w:rPr>
        <w:t xml:space="preserve"> </w:t>
      </w:r>
      <w:r w:rsidRPr="00C56257">
        <w:rPr>
          <w:color w:val="000000" w:themeColor="text1"/>
        </w:rPr>
        <w:t>reprezintă</w:t>
      </w:r>
      <w:r w:rsidRPr="00C56257">
        <w:rPr>
          <w:color w:val="000000" w:themeColor="text1"/>
          <w:spacing w:val="1"/>
        </w:rPr>
        <w:t xml:space="preserve"> </w:t>
      </w:r>
      <w:r w:rsidRPr="00C56257">
        <w:rPr>
          <w:color w:val="000000" w:themeColor="text1"/>
        </w:rPr>
        <w:t>unul</w:t>
      </w:r>
      <w:r w:rsidRPr="00C56257">
        <w:rPr>
          <w:color w:val="000000" w:themeColor="text1"/>
          <w:spacing w:val="1"/>
        </w:rPr>
        <w:t xml:space="preserve"> </w:t>
      </w:r>
      <w:r w:rsidRPr="00C56257">
        <w:rPr>
          <w:color w:val="000000" w:themeColor="text1"/>
        </w:rPr>
        <w:t>dintre</w:t>
      </w:r>
      <w:r w:rsidRPr="00C56257">
        <w:rPr>
          <w:color w:val="000000" w:themeColor="text1"/>
          <w:spacing w:val="1"/>
        </w:rPr>
        <w:t xml:space="preserve"> </w:t>
      </w:r>
      <w:r w:rsidRPr="00C56257">
        <w:rPr>
          <w:color w:val="000000" w:themeColor="text1"/>
        </w:rPr>
        <w:t>parametrii</w:t>
      </w:r>
      <w:r w:rsidRPr="00C56257">
        <w:rPr>
          <w:color w:val="000000" w:themeColor="text1"/>
          <w:spacing w:val="1"/>
        </w:rPr>
        <w:t xml:space="preserve"> </w:t>
      </w:r>
      <w:r w:rsidRPr="00C56257">
        <w:rPr>
          <w:color w:val="000000" w:themeColor="text1"/>
        </w:rPr>
        <w:t>esențiali</w:t>
      </w:r>
      <w:r w:rsidRPr="00C56257">
        <w:rPr>
          <w:color w:val="000000" w:themeColor="text1"/>
          <w:spacing w:val="1"/>
        </w:rPr>
        <w:t xml:space="preserve"> </w:t>
      </w:r>
      <w:r w:rsidRPr="00C56257">
        <w:rPr>
          <w:color w:val="000000" w:themeColor="text1"/>
        </w:rPr>
        <w:t>în</w:t>
      </w:r>
      <w:r w:rsidRPr="00C56257">
        <w:rPr>
          <w:color w:val="000000" w:themeColor="text1"/>
          <w:spacing w:val="-57"/>
        </w:rPr>
        <w:t xml:space="preserve"> </w:t>
      </w:r>
      <w:r w:rsidRPr="00C56257">
        <w:rPr>
          <w:color w:val="000000" w:themeColor="text1"/>
        </w:rPr>
        <w:t>evaluarea structurii habitatelor va avea valori diferite de la un plot la altul, ceea ce impune ca din</w:t>
      </w:r>
      <w:r w:rsidRPr="00C56257">
        <w:rPr>
          <w:color w:val="000000" w:themeColor="text1"/>
          <w:spacing w:val="1"/>
        </w:rPr>
        <w:t xml:space="preserve"> </w:t>
      </w:r>
      <w:r w:rsidRPr="00C56257">
        <w:rPr>
          <w:color w:val="000000" w:themeColor="text1"/>
        </w:rPr>
        <w:t>punct de vedere sistematic să fie grupate pe clase de bogăție de specii diferită (mare, medie, mică);</w:t>
      </w:r>
      <w:r w:rsidRPr="00C56257">
        <w:rPr>
          <w:color w:val="000000" w:themeColor="text1"/>
          <w:spacing w:val="1"/>
        </w:rPr>
        <w:t xml:space="preserve"> </w:t>
      </w:r>
      <w:r w:rsidRPr="00C56257">
        <w:rPr>
          <w:color w:val="000000" w:themeColor="text1"/>
        </w:rPr>
        <w:t>ponderea fiecărei clase fiind cea care va duce la decizia specifică fiecărei bioregiuni. Astfel dacă la</w:t>
      </w:r>
      <w:r w:rsidRPr="00C56257">
        <w:rPr>
          <w:color w:val="000000" w:themeColor="text1"/>
          <w:spacing w:val="1"/>
        </w:rPr>
        <w:t xml:space="preserve"> </w:t>
      </w:r>
      <w:r w:rsidRPr="00C56257">
        <w:rPr>
          <w:color w:val="000000" w:themeColor="text1"/>
        </w:rPr>
        <w:t>habitatul 2110 vom obține 10 de ploturi care se încadrează în clasa de compoziție specifică mare (8</w:t>
      </w:r>
      <w:r w:rsidRPr="00C56257">
        <w:rPr>
          <w:color w:val="000000" w:themeColor="text1"/>
          <w:spacing w:val="1"/>
        </w:rPr>
        <w:t xml:space="preserve"> </w:t>
      </w:r>
      <w:r w:rsidRPr="00C56257">
        <w:rPr>
          <w:color w:val="000000" w:themeColor="text1"/>
        </w:rPr>
        <w:t>specii caracteristice), iar în clasa de compoziție medie (5 specii caracteristice) vom avea 5 ploturi</w:t>
      </w:r>
      <w:r w:rsidRPr="00C56257">
        <w:rPr>
          <w:color w:val="000000" w:themeColor="text1"/>
          <w:spacing w:val="1"/>
        </w:rPr>
        <w:t xml:space="preserve"> </w:t>
      </w:r>
      <w:r w:rsidRPr="00C56257">
        <w:rPr>
          <w:color w:val="000000" w:themeColor="text1"/>
        </w:rPr>
        <w:t>care se încadrează în aceasta, apoi în clasa de compoziție mică (3 specii caracteristice), putem</w:t>
      </w:r>
      <w:r w:rsidRPr="00C56257">
        <w:rPr>
          <w:color w:val="000000" w:themeColor="text1"/>
          <w:spacing w:val="1"/>
        </w:rPr>
        <w:t xml:space="preserve"> </w:t>
      </w:r>
      <w:r w:rsidRPr="00C56257">
        <w:rPr>
          <w:color w:val="000000" w:themeColor="text1"/>
        </w:rPr>
        <w:t>deduce că raportul pe</w:t>
      </w:r>
      <w:r w:rsidRPr="00C56257">
        <w:rPr>
          <w:color w:val="000000" w:themeColor="text1"/>
          <w:spacing w:val="1"/>
        </w:rPr>
        <w:t xml:space="preserve"> </w:t>
      </w:r>
      <w:r w:rsidRPr="00C56257">
        <w:rPr>
          <w:color w:val="000000" w:themeColor="text1"/>
        </w:rPr>
        <w:t>bioregiunea țintă</w:t>
      </w:r>
      <w:r w:rsidRPr="00C56257">
        <w:rPr>
          <w:color w:val="000000" w:themeColor="text1"/>
          <w:spacing w:val="1"/>
        </w:rPr>
        <w:t xml:space="preserve"> </w:t>
      </w:r>
      <w:r w:rsidRPr="00C56257">
        <w:rPr>
          <w:color w:val="000000" w:themeColor="text1"/>
        </w:rPr>
        <w:t>este considerat în stare favorabilă în ceea ce privește</w:t>
      </w:r>
      <w:r w:rsidRPr="00C56257">
        <w:rPr>
          <w:color w:val="000000" w:themeColor="text1"/>
          <w:spacing w:val="1"/>
        </w:rPr>
        <w:t xml:space="preserve"> </w:t>
      </w:r>
      <w:r w:rsidRPr="00C56257">
        <w:rPr>
          <w:color w:val="000000" w:themeColor="text1"/>
        </w:rPr>
        <w:t>evaluarea</w:t>
      </w:r>
      <w:r w:rsidRPr="00C56257">
        <w:rPr>
          <w:color w:val="000000" w:themeColor="text1"/>
          <w:spacing w:val="-2"/>
        </w:rPr>
        <w:t xml:space="preserve"> </w:t>
      </w:r>
      <w:r w:rsidRPr="00C56257">
        <w:rPr>
          <w:color w:val="000000" w:themeColor="text1"/>
        </w:rPr>
        <w:t>structurii.</w:t>
      </w:r>
    </w:p>
    <w:p w14:paraId="6CEF2114" w14:textId="77777777" w:rsidR="00A37B92" w:rsidRPr="00C56257" w:rsidRDefault="00A37B92" w:rsidP="00A37B92">
      <w:pPr>
        <w:widowControl w:val="0"/>
        <w:autoSpaceDE w:val="0"/>
        <w:autoSpaceDN w:val="0"/>
        <w:spacing w:before="1"/>
        <w:ind w:right="257"/>
        <w:jc w:val="both"/>
        <w:rPr>
          <w:color w:val="000000" w:themeColor="text1"/>
        </w:rPr>
      </w:pPr>
      <w:r w:rsidRPr="00C56257">
        <w:rPr>
          <w:color w:val="000000" w:themeColor="text1"/>
        </w:rPr>
        <w:t>Al</w:t>
      </w:r>
      <w:r w:rsidRPr="00C56257">
        <w:rPr>
          <w:color w:val="000000" w:themeColor="text1"/>
          <w:spacing w:val="31"/>
        </w:rPr>
        <w:t xml:space="preserve"> </w:t>
      </w:r>
      <w:r w:rsidRPr="00C56257">
        <w:rPr>
          <w:color w:val="000000" w:themeColor="text1"/>
        </w:rPr>
        <w:t>treilea</w:t>
      </w:r>
      <w:r w:rsidRPr="00C56257">
        <w:rPr>
          <w:color w:val="000000" w:themeColor="text1"/>
          <w:spacing w:val="31"/>
        </w:rPr>
        <w:t xml:space="preserve"> </w:t>
      </w:r>
      <w:r w:rsidRPr="00C56257">
        <w:rPr>
          <w:color w:val="000000" w:themeColor="text1"/>
        </w:rPr>
        <w:t>nivel</w:t>
      </w:r>
      <w:r w:rsidRPr="00C56257">
        <w:rPr>
          <w:color w:val="000000" w:themeColor="text1"/>
          <w:spacing w:val="31"/>
        </w:rPr>
        <w:t xml:space="preserve"> </w:t>
      </w:r>
      <w:r w:rsidRPr="00C56257">
        <w:rPr>
          <w:color w:val="000000" w:themeColor="text1"/>
        </w:rPr>
        <w:t>de</w:t>
      </w:r>
      <w:r w:rsidRPr="00C56257">
        <w:rPr>
          <w:color w:val="000000" w:themeColor="text1"/>
          <w:spacing w:val="32"/>
        </w:rPr>
        <w:t xml:space="preserve"> </w:t>
      </w:r>
      <w:r w:rsidRPr="00C56257">
        <w:rPr>
          <w:color w:val="000000" w:themeColor="text1"/>
        </w:rPr>
        <w:t>agregare</w:t>
      </w:r>
      <w:r w:rsidRPr="00C56257">
        <w:rPr>
          <w:color w:val="000000" w:themeColor="text1"/>
          <w:spacing w:val="29"/>
        </w:rPr>
        <w:t xml:space="preserve"> </w:t>
      </w:r>
      <w:r w:rsidRPr="00C56257">
        <w:rPr>
          <w:color w:val="000000" w:themeColor="text1"/>
        </w:rPr>
        <w:t>este</w:t>
      </w:r>
      <w:r w:rsidRPr="00C56257">
        <w:rPr>
          <w:color w:val="000000" w:themeColor="text1"/>
          <w:spacing w:val="32"/>
        </w:rPr>
        <w:t xml:space="preserve"> </w:t>
      </w:r>
      <w:r w:rsidRPr="00C56257">
        <w:rPr>
          <w:color w:val="000000" w:themeColor="text1"/>
        </w:rPr>
        <w:t>al</w:t>
      </w:r>
      <w:r w:rsidRPr="00C56257">
        <w:rPr>
          <w:color w:val="000000" w:themeColor="text1"/>
          <w:spacing w:val="31"/>
        </w:rPr>
        <w:t xml:space="preserve"> </w:t>
      </w:r>
      <w:r w:rsidRPr="00C56257">
        <w:rPr>
          <w:color w:val="000000" w:themeColor="text1"/>
        </w:rPr>
        <w:t>atributelor</w:t>
      </w:r>
      <w:r w:rsidRPr="00C56257">
        <w:rPr>
          <w:color w:val="000000" w:themeColor="text1"/>
          <w:spacing w:val="32"/>
        </w:rPr>
        <w:t xml:space="preserve"> </w:t>
      </w:r>
      <w:r w:rsidRPr="00C56257">
        <w:rPr>
          <w:color w:val="000000" w:themeColor="text1"/>
        </w:rPr>
        <w:t>la</w:t>
      </w:r>
      <w:r w:rsidRPr="00C56257">
        <w:rPr>
          <w:color w:val="000000" w:themeColor="text1"/>
          <w:spacing w:val="33"/>
        </w:rPr>
        <w:t xml:space="preserve"> </w:t>
      </w:r>
      <w:r w:rsidRPr="00C56257">
        <w:rPr>
          <w:color w:val="000000" w:themeColor="text1"/>
        </w:rPr>
        <w:t>nivel</w:t>
      </w:r>
      <w:r w:rsidRPr="00C56257">
        <w:rPr>
          <w:color w:val="000000" w:themeColor="text1"/>
          <w:spacing w:val="32"/>
        </w:rPr>
        <w:t xml:space="preserve"> </w:t>
      </w:r>
      <w:r w:rsidRPr="00C56257">
        <w:rPr>
          <w:color w:val="000000" w:themeColor="text1"/>
        </w:rPr>
        <w:t>național</w:t>
      </w:r>
      <w:r w:rsidRPr="00C56257">
        <w:rPr>
          <w:color w:val="000000" w:themeColor="text1"/>
          <w:spacing w:val="32"/>
        </w:rPr>
        <w:t xml:space="preserve"> </w:t>
      </w:r>
      <w:r w:rsidRPr="00C56257">
        <w:rPr>
          <w:color w:val="000000" w:themeColor="text1"/>
        </w:rPr>
        <w:t>rezultate</w:t>
      </w:r>
      <w:r w:rsidRPr="00C56257">
        <w:rPr>
          <w:color w:val="000000" w:themeColor="text1"/>
          <w:spacing w:val="28"/>
        </w:rPr>
        <w:t xml:space="preserve"> </w:t>
      </w:r>
      <w:r w:rsidRPr="00C56257">
        <w:rPr>
          <w:color w:val="000000" w:themeColor="text1"/>
        </w:rPr>
        <w:t>din</w:t>
      </w:r>
      <w:r w:rsidRPr="00C56257">
        <w:rPr>
          <w:color w:val="000000" w:themeColor="text1"/>
          <w:spacing w:val="32"/>
        </w:rPr>
        <w:t xml:space="preserve"> </w:t>
      </w:r>
      <w:r w:rsidRPr="00C56257">
        <w:rPr>
          <w:color w:val="000000" w:themeColor="text1"/>
        </w:rPr>
        <w:t>agregarea</w:t>
      </w:r>
      <w:r w:rsidRPr="00C56257">
        <w:rPr>
          <w:color w:val="000000" w:themeColor="text1"/>
          <w:spacing w:val="30"/>
        </w:rPr>
        <w:t xml:space="preserve"> </w:t>
      </w:r>
      <w:r w:rsidRPr="00C56257">
        <w:rPr>
          <w:color w:val="000000" w:themeColor="text1"/>
        </w:rPr>
        <w:t>datelor</w:t>
      </w:r>
      <w:r w:rsidRPr="00C56257">
        <w:rPr>
          <w:color w:val="000000" w:themeColor="text1"/>
          <w:spacing w:val="31"/>
        </w:rPr>
        <w:t xml:space="preserve"> </w:t>
      </w:r>
      <w:r w:rsidRPr="00C56257">
        <w:rPr>
          <w:color w:val="000000" w:themeColor="text1"/>
        </w:rPr>
        <w:t>la</w:t>
      </w:r>
      <w:r w:rsidRPr="00C56257">
        <w:rPr>
          <w:color w:val="000000" w:themeColor="text1"/>
          <w:spacing w:val="-58"/>
        </w:rPr>
        <w:t xml:space="preserve"> </w:t>
      </w:r>
      <w:r w:rsidRPr="00C56257">
        <w:rPr>
          <w:color w:val="000000" w:themeColor="text1"/>
        </w:rPr>
        <w:t>nivel</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bioregiune.</w:t>
      </w:r>
    </w:p>
    <w:p w14:paraId="2CD4DFFF" w14:textId="77777777" w:rsidR="00A37B92" w:rsidRDefault="00987BB7" w:rsidP="00A37B92">
      <w:pPr>
        <w:widowControl w:val="0"/>
        <w:autoSpaceDE w:val="0"/>
        <w:autoSpaceDN w:val="0"/>
        <w:ind w:right="252"/>
        <w:jc w:val="both"/>
        <w:rPr>
          <w:color w:val="000000" w:themeColor="text1"/>
        </w:rPr>
      </w:pPr>
      <w:r w:rsidRPr="00987BB7">
        <w:rPr>
          <w:rFonts w:eastAsia="Cambria"/>
          <w:b/>
          <w:bCs/>
          <w:color w:val="000000" w:themeColor="text1"/>
        </w:rPr>
        <w:t>Planul de monitorizare a habitatelor de dune continentale</w:t>
      </w:r>
      <w:r>
        <w:rPr>
          <w:rFonts w:eastAsia="Cambria"/>
          <w:b/>
          <w:bCs/>
          <w:color w:val="000000" w:themeColor="text1"/>
        </w:rPr>
        <w:t xml:space="preserve"> este parte a metodologiei de monitorizare și include următoarele elemente:</w:t>
      </w:r>
      <w:r w:rsidR="00A37B92" w:rsidRPr="00C56257">
        <w:rPr>
          <w:color w:val="000000" w:themeColor="text1"/>
          <w:spacing w:val="1"/>
        </w:rPr>
        <w:t xml:space="preserve"> </w:t>
      </w:r>
      <w:r w:rsidR="00A37B92" w:rsidRPr="00C56257">
        <w:rPr>
          <w:color w:val="000000" w:themeColor="text1"/>
        </w:rPr>
        <w:t>codul</w:t>
      </w:r>
      <w:r w:rsidR="00A37B92" w:rsidRPr="00C56257">
        <w:rPr>
          <w:color w:val="000000" w:themeColor="text1"/>
          <w:spacing w:val="1"/>
        </w:rPr>
        <w:t xml:space="preserve"> </w:t>
      </w:r>
      <w:r w:rsidR="00A37B92" w:rsidRPr="00C56257">
        <w:rPr>
          <w:color w:val="000000" w:themeColor="text1"/>
        </w:rPr>
        <w:t>Natura</w:t>
      </w:r>
      <w:r w:rsidR="00A37B92" w:rsidRPr="00C56257">
        <w:rPr>
          <w:color w:val="000000" w:themeColor="text1"/>
          <w:spacing w:val="1"/>
        </w:rPr>
        <w:t xml:space="preserve"> </w:t>
      </w:r>
      <w:r w:rsidR="00A37B92" w:rsidRPr="00C56257">
        <w:rPr>
          <w:color w:val="000000" w:themeColor="text1"/>
        </w:rPr>
        <w:t>2000</w:t>
      </w:r>
      <w:r w:rsidR="00A37B92" w:rsidRPr="00C56257">
        <w:rPr>
          <w:color w:val="000000" w:themeColor="text1"/>
          <w:spacing w:val="1"/>
        </w:rPr>
        <w:t xml:space="preserve"> </w:t>
      </w:r>
      <w:r w:rsidR="00A37B92" w:rsidRPr="00C56257">
        <w:rPr>
          <w:color w:val="000000" w:themeColor="text1"/>
        </w:rPr>
        <w:t>și</w:t>
      </w:r>
      <w:r w:rsidR="00A37B92" w:rsidRPr="00C56257">
        <w:rPr>
          <w:color w:val="000000" w:themeColor="text1"/>
          <w:spacing w:val="1"/>
        </w:rPr>
        <w:t xml:space="preserve"> </w:t>
      </w:r>
      <w:r w:rsidR="00A37B92" w:rsidRPr="00C56257">
        <w:rPr>
          <w:color w:val="000000" w:themeColor="text1"/>
        </w:rPr>
        <w:t>denumirea</w:t>
      </w:r>
      <w:r w:rsidR="00A37B92" w:rsidRPr="00C56257">
        <w:rPr>
          <w:color w:val="000000" w:themeColor="text1"/>
          <w:spacing w:val="1"/>
        </w:rPr>
        <w:t xml:space="preserve"> </w:t>
      </w:r>
      <w:r w:rsidR="00A37B92" w:rsidRPr="00C56257">
        <w:rPr>
          <w:color w:val="000000" w:themeColor="text1"/>
        </w:rPr>
        <w:t>habitatului,</w:t>
      </w:r>
      <w:r w:rsidR="00A37B92" w:rsidRPr="00C56257">
        <w:rPr>
          <w:color w:val="000000" w:themeColor="text1"/>
          <w:spacing w:val="1"/>
        </w:rPr>
        <w:t xml:space="preserve"> </w:t>
      </w:r>
      <w:r w:rsidR="00A37B92" w:rsidRPr="00C56257">
        <w:rPr>
          <w:color w:val="000000" w:themeColor="text1"/>
        </w:rPr>
        <w:t>perioadele</w:t>
      </w:r>
      <w:r w:rsidR="00A37B92" w:rsidRPr="00C56257">
        <w:rPr>
          <w:color w:val="000000" w:themeColor="text1"/>
          <w:spacing w:val="1"/>
        </w:rPr>
        <w:t xml:space="preserve"> </w:t>
      </w:r>
      <w:r w:rsidR="00A37B92" w:rsidRPr="00C56257">
        <w:rPr>
          <w:color w:val="000000" w:themeColor="text1"/>
        </w:rPr>
        <w:t>optime</w:t>
      </w:r>
      <w:r w:rsidR="00A37B92" w:rsidRPr="00C56257">
        <w:rPr>
          <w:color w:val="000000" w:themeColor="text1"/>
          <w:spacing w:val="1"/>
        </w:rPr>
        <w:t xml:space="preserve"> </w:t>
      </w:r>
      <w:r w:rsidR="00A37B92" w:rsidRPr="00C56257">
        <w:rPr>
          <w:color w:val="000000" w:themeColor="text1"/>
        </w:rPr>
        <w:t>de</w:t>
      </w:r>
      <w:r w:rsidR="00A37B92" w:rsidRPr="00C56257">
        <w:rPr>
          <w:color w:val="000000" w:themeColor="text1"/>
          <w:spacing w:val="1"/>
        </w:rPr>
        <w:t xml:space="preserve"> </w:t>
      </w:r>
      <w:r w:rsidR="00A37B92" w:rsidRPr="00C56257">
        <w:rPr>
          <w:color w:val="000000" w:themeColor="text1"/>
        </w:rPr>
        <w:t>monitorizare,</w:t>
      </w:r>
      <w:r w:rsidR="00A37B92" w:rsidRPr="00C56257">
        <w:rPr>
          <w:color w:val="000000" w:themeColor="text1"/>
          <w:spacing w:val="-1"/>
        </w:rPr>
        <w:t xml:space="preserve"> </w:t>
      </w:r>
      <w:r w:rsidR="00A37B92" w:rsidRPr="00C56257">
        <w:rPr>
          <w:color w:val="000000" w:themeColor="text1"/>
        </w:rPr>
        <w:t>metoda</w:t>
      </w:r>
      <w:r w:rsidR="00A37B92" w:rsidRPr="00C56257">
        <w:rPr>
          <w:color w:val="000000" w:themeColor="text1"/>
          <w:spacing w:val="-1"/>
        </w:rPr>
        <w:t xml:space="preserve"> </w:t>
      </w:r>
      <w:r w:rsidR="00A37B92" w:rsidRPr="00C56257">
        <w:rPr>
          <w:color w:val="000000" w:themeColor="text1"/>
        </w:rPr>
        <w:t>utilizată și</w:t>
      </w:r>
      <w:r w:rsidR="00A37B92" w:rsidRPr="00C56257">
        <w:rPr>
          <w:color w:val="000000" w:themeColor="text1"/>
          <w:spacing w:val="-1"/>
        </w:rPr>
        <w:t xml:space="preserve"> </w:t>
      </w:r>
      <w:r w:rsidR="00A37B92" w:rsidRPr="00C56257">
        <w:rPr>
          <w:color w:val="000000" w:themeColor="text1"/>
        </w:rPr>
        <w:t>anumite observații</w:t>
      </w:r>
      <w:r w:rsidR="00A37B92" w:rsidRPr="00C56257">
        <w:rPr>
          <w:color w:val="000000" w:themeColor="text1"/>
          <w:spacing w:val="-1"/>
        </w:rPr>
        <w:t xml:space="preserve"> </w:t>
      </w:r>
      <w:r w:rsidR="00A37B92" w:rsidRPr="00C56257">
        <w:rPr>
          <w:color w:val="000000" w:themeColor="text1"/>
        </w:rPr>
        <w:t>(de</w:t>
      </w:r>
      <w:r w:rsidR="00A37B92" w:rsidRPr="00C56257">
        <w:rPr>
          <w:color w:val="000000" w:themeColor="text1"/>
          <w:spacing w:val="-2"/>
        </w:rPr>
        <w:t xml:space="preserve"> </w:t>
      </w:r>
      <w:r w:rsidR="00A37B92" w:rsidRPr="00C56257">
        <w:rPr>
          <w:color w:val="000000" w:themeColor="text1"/>
        </w:rPr>
        <w:t>la caz</w:t>
      </w:r>
      <w:r w:rsidR="00A37B92" w:rsidRPr="00C56257">
        <w:rPr>
          <w:color w:val="000000" w:themeColor="text1"/>
          <w:spacing w:val="1"/>
        </w:rPr>
        <w:t xml:space="preserve"> </w:t>
      </w:r>
      <w:r w:rsidR="00A37B92" w:rsidRPr="00C56257">
        <w:rPr>
          <w:color w:val="000000" w:themeColor="text1"/>
        </w:rPr>
        <w:t>la caz).</w:t>
      </w:r>
    </w:p>
    <w:p w14:paraId="7DA20A7B" w14:textId="77777777" w:rsidR="00E1608A" w:rsidRDefault="00E1608A" w:rsidP="00A37B92">
      <w:pPr>
        <w:widowControl w:val="0"/>
        <w:autoSpaceDE w:val="0"/>
        <w:autoSpaceDN w:val="0"/>
        <w:spacing w:before="90"/>
        <w:ind w:right="1154"/>
        <w:jc w:val="both"/>
        <w:rPr>
          <w:b/>
          <w:color w:val="000000" w:themeColor="text1"/>
        </w:rPr>
        <w:sectPr w:rsidR="00E1608A" w:rsidSect="00B72D84">
          <w:pgSz w:w="11909" w:h="16834" w:code="9"/>
          <w:pgMar w:top="1066" w:right="878" w:bottom="1685" w:left="835" w:header="0" w:footer="1411" w:gutter="0"/>
          <w:cols w:space="708"/>
        </w:sectPr>
      </w:pPr>
    </w:p>
    <w:p w14:paraId="4C791083" w14:textId="77777777" w:rsidR="00A37B92" w:rsidRPr="00C56257" w:rsidRDefault="00A37B92" w:rsidP="00987BB7">
      <w:pPr>
        <w:tabs>
          <w:tab w:val="left" w:pos="2452"/>
        </w:tabs>
        <w:rPr>
          <w:b/>
          <w:color w:val="000000" w:themeColor="text1"/>
        </w:rPr>
      </w:pPr>
      <w:r w:rsidRPr="00C56257">
        <w:rPr>
          <w:b/>
          <w:color w:val="000000" w:themeColor="text1"/>
        </w:rPr>
        <w:lastRenderedPageBreak/>
        <w:t>Tabel–Planul</w:t>
      </w:r>
      <w:r w:rsidRPr="00C56257">
        <w:rPr>
          <w:b/>
          <w:color w:val="000000" w:themeColor="text1"/>
          <w:spacing w:val="-2"/>
        </w:rPr>
        <w:t xml:space="preserve"> </w:t>
      </w:r>
      <w:r w:rsidRPr="00C56257">
        <w:rPr>
          <w:b/>
          <w:color w:val="000000" w:themeColor="text1"/>
        </w:rPr>
        <w:t>de</w:t>
      </w:r>
      <w:r w:rsidRPr="00C56257">
        <w:rPr>
          <w:b/>
          <w:color w:val="000000" w:themeColor="text1"/>
          <w:spacing w:val="-2"/>
        </w:rPr>
        <w:t xml:space="preserve"> </w:t>
      </w:r>
      <w:r w:rsidRPr="00C56257">
        <w:rPr>
          <w:b/>
          <w:color w:val="000000" w:themeColor="text1"/>
        </w:rPr>
        <w:t>monitorizare</w:t>
      </w:r>
      <w:r w:rsidRPr="00C56257">
        <w:rPr>
          <w:b/>
          <w:color w:val="000000" w:themeColor="text1"/>
          <w:spacing w:val="-2"/>
        </w:rPr>
        <w:t xml:space="preserve"> </w:t>
      </w:r>
      <w:r w:rsidRPr="00C56257">
        <w:rPr>
          <w:b/>
          <w:color w:val="000000" w:themeColor="text1"/>
        </w:rPr>
        <w:t>a</w:t>
      </w:r>
      <w:r w:rsidRPr="00C56257">
        <w:rPr>
          <w:b/>
          <w:color w:val="000000" w:themeColor="text1"/>
          <w:spacing w:val="-2"/>
        </w:rPr>
        <w:t xml:space="preserve"> </w:t>
      </w:r>
      <w:r w:rsidRPr="00C56257">
        <w:rPr>
          <w:b/>
          <w:color w:val="000000" w:themeColor="text1"/>
        </w:rPr>
        <w:t>habitatelor</w:t>
      </w:r>
      <w:r w:rsidRPr="00C56257">
        <w:rPr>
          <w:b/>
          <w:color w:val="000000" w:themeColor="text1"/>
          <w:spacing w:val="-2"/>
        </w:rPr>
        <w:t xml:space="preserve"> </w:t>
      </w:r>
      <w:r w:rsidRPr="00C56257">
        <w:rPr>
          <w:b/>
          <w:color w:val="000000" w:themeColor="text1"/>
        </w:rPr>
        <w:t>de</w:t>
      </w:r>
      <w:r w:rsidRPr="00C56257">
        <w:rPr>
          <w:b/>
          <w:color w:val="000000" w:themeColor="text1"/>
          <w:spacing w:val="2"/>
        </w:rPr>
        <w:t xml:space="preserve"> </w:t>
      </w:r>
      <w:r w:rsidRPr="00C56257">
        <w:rPr>
          <w:b/>
          <w:color w:val="000000" w:themeColor="text1"/>
        </w:rPr>
        <w:t>dune</w:t>
      </w:r>
      <w:r w:rsidRPr="00C56257">
        <w:rPr>
          <w:b/>
          <w:color w:val="000000" w:themeColor="text1"/>
          <w:spacing w:val="-2"/>
        </w:rPr>
        <w:t xml:space="preserve"> </w:t>
      </w:r>
      <w:r w:rsidRPr="00C56257">
        <w:rPr>
          <w:b/>
          <w:color w:val="000000" w:themeColor="text1"/>
        </w:rPr>
        <w:t>continentale</w:t>
      </w:r>
    </w:p>
    <w:p w14:paraId="5B7B46EF" w14:textId="77777777" w:rsidR="00A37B92" w:rsidRPr="00C56257" w:rsidRDefault="00A37B92" w:rsidP="00A37B92">
      <w:pPr>
        <w:widowControl w:val="0"/>
        <w:autoSpaceDE w:val="0"/>
        <w:autoSpaceDN w:val="0"/>
        <w:jc w:val="both"/>
        <w:rPr>
          <w:b/>
          <w:color w:val="000000" w:themeColor="text1"/>
        </w:rPr>
      </w:pPr>
    </w:p>
    <w:p w14:paraId="235D1465" w14:textId="77777777" w:rsidR="00A37B92" w:rsidRPr="00C56257" w:rsidRDefault="00A37B92" w:rsidP="00A37B92">
      <w:pPr>
        <w:widowControl w:val="0"/>
        <w:autoSpaceDE w:val="0"/>
        <w:autoSpaceDN w:val="0"/>
        <w:spacing w:before="10" w:after="1"/>
        <w:jc w:val="both"/>
        <w:rPr>
          <w:b/>
          <w:color w:val="000000" w:themeColor="text1"/>
        </w:rPr>
      </w:pPr>
    </w:p>
    <w:tbl>
      <w:tblPr>
        <w:tblW w:w="14194"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71"/>
        <w:gridCol w:w="1224"/>
        <w:gridCol w:w="556"/>
        <w:gridCol w:w="570"/>
        <w:gridCol w:w="565"/>
        <w:gridCol w:w="565"/>
        <w:gridCol w:w="568"/>
        <w:gridCol w:w="515"/>
        <w:gridCol w:w="568"/>
        <w:gridCol w:w="566"/>
        <w:gridCol w:w="566"/>
        <w:gridCol w:w="568"/>
        <w:gridCol w:w="511"/>
        <w:gridCol w:w="2409"/>
        <w:gridCol w:w="1872"/>
      </w:tblGrid>
      <w:tr w:rsidR="00A37B92" w:rsidRPr="00C56257" w14:paraId="088193BF" w14:textId="77777777" w:rsidTr="00C902DF">
        <w:trPr>
          <w:trHeight w:val="527"/>
        </w:trPr>
        <w:tc>
          <w:tcPr>
            <w:tcW w:w="2571" w:type="dxa"/>
            <w:vMerge w:val="restart"/>
            <w:shd w:val="clear" w:color="auto" w:fill="D9D9D9"/>
          </w:tcPr>
          <w:p w14:paraId="44E42ACD" w14:textId="77777777" w:rsidR="00A37B92" w:rsidRPr="00C56257" w:rsidRDefault="00A37B92" w:rsidP="00C902DF">
            <w:pPr>
              <w:widowControl w:val="0"/>
              <w:autoSpaceDE w:val="0"/>
              <w:autoSpaceDN w:val="0"/>
              <w:spacing w:before="140"/>
              <w:ind w:right="198"/>
              <w:jc w:val="both"/>
              <w:rPr>
                <w:b/>
                <w:color w:val="000000" w:themeColor="text1"/>
              </w:rPr>
            </w:pPr>
            <w:r w:rsidRPr="00C56257">
              <w:rPr>
                <w:b/>
                <w:color w:val="000000" w:themeColor="text1"/>
              </w:rPr>
              <w:t>Denumirea</w:t>
            </w:r>
            <w:r w:rsidRPr="00C56257">
              <w:rPr>
                <w:b/>
                <w:color w:val="000000" w:themeColor="text1"/>
                <w:spacing w:val="-6"/>
              </w:rPr>
              <w:t xml:space="preserve"> </w:t>
            </w:r>
            <w:r w:rsidRPr="00C56257">
              <w:rPr>
                <w:b/>
                <w:color w:val="000000" w:themeColor="text1"/>
              </w:rPr>
              <w:t>şi</w:t>
            </w:r>
            <w:r w:rsidRPr="00C56257">
              <w:rPr>
                <w:b/>
                <w:color w:val="000000" w:themeColor="text1"/>
                <w:spacing w:val="-5"/>
              </w:rPr>
              <w:t xml:space="preserve"> </w:t>
            </w:r>
            <w:r w:rsidRPr="00C56257">
              <w:rPr>
                <w:b/>
                <w:color w:val="000000" w:themeColor="text1"/>
              </w:rPr>
              <w:t>codul</w:t>
            </w:r>
            <w:r w:rsidRPr="00C56257">
              <w:rPr>
                <w:b/>
                <w:color w:val="000000" w:themeColor="text1"/>
                <w:spacing w:val="-5"/>
              </w:rPr>
              <w:t xml:space="preserve"> </w:t>
            </w:r>
            <w:r w:rsidRPr="00C56257">
              <w:rPr>
                <w:b/>
                <w:color w:val="000000" w:themeColor="text1"/>
              </w:rPr>
              <w:t>Natura</w:t>
            </w:r>
            <w:r w:rsidRPr="00C56257">
              <w:rPr>
                <w:b/>
                <w:color w:val="000000" w:themeColor="text1"/>
                <w:spacing w:val="-52"/>
              </w:rPr>
              <w:t xml:space="preserve"> </w:t>
            </w:r>
            <w:r w:rsidRPr="00C56257">
              <w:rPr>
                <w:b/>
                <w:color w:val="000000" w:themeColor="text1"/>
              </w:rPr>
              <w:t>2000</w:t>
            </w:r>
          </w:p>
        </w:tc>
        <w:tc>
          <w:tcPr>
            <w:tcW w:w="7342" w:type="dxa"/>
            <w:gridSpan w:val="12"/>
            <w:shd w:val="clear" w:color="auto" w:fill="D9D9D9"/>
          </w:tcPr>
          <w:p w14:paraId="004AD896" w14:textId="77777777" w:rsidR="00A37B92" w:rsidRPr="00C56257" w:rsidRDefault="00A37B92" w:rsidP="00C902DF">
            <w:pPr>
              <w:widowControl w:val="0"/>
              <w:autoSpaceDE w:val="0"/>
              <w:autoSpaceDN w:val="0"/>
              <w:spacing w:before="135"/>
              <w:jc w:val="both"/>
              <w:rPr>
                <w:b/>
                <w:color w:val="000000" w:themeColor="text1"/>
              </w:rPr>
            </w:pPr>
            <w:r w:rsidRPr="00C56257">
              <w:rPr>
                <w:b/>
                <w:color w:val="000000" w:themeColor="text1"/>
              </w:rPr>
              <w:t>Perioade</w:t>
            </w:r>
            <w:r w:rsidRPr="00C56257">
              <w:rPr>
                <w:b/>
                <w:color w:val="000000" w:themeColor="text1"/>
                <w:spacing w:val="-1"/>
              </w:rPr>
              <w:t xml:space="preserve"> </w:t>
            </w:r>
            <w:r w:rsidRPr="00C56257">
              <w:rPr>
                <w:b/>
                <w:color w:val="000000" w:themeColor="text1"/>
              </w:rPr>
              <w:t>optime</w:t>
            </w:r>
            <w:r w:rsidRPr="00C56257">
              <w:rPr>
                <w:b/>
                <w:color w:val="000000" w:themeColor="text1"/>
                <w:spacing w:val="-1"/>
              </w:rPr>
              <w:t xml:space="preserve"> </w:t>
            </w:r>
            <w:r w:rsidRPr="00C56257">
              <w:rPr>
                <w:b/>
                <w:color w:val="000000" w:themeColor="text1"/>
              </w:rPr>
              <w:t>de</w:t>
            </w:r>
            <w:r w:rsidRPr="00C56257">
              <w:rPr>
                <w:b/>
                <w:color w:val="000000" w:themeColor="text1"/>
                <w:spacing w:val="-3"/>
              </w:rPr>
              <w:t xml:space="preserve"> </w:t>
            </w:r>
            <w:r w:rsidRPr="00C56257">
              <w:rPr>
                <w:b/>
                <w:color w:val="000000" w:themeColor="text1"/>
              </w:rPr>
              <w:t>monitorizare</w:t>
            </w:r>
          </w:p>
        </w:tc>
        <w:tc>
          <w:tcPr>
            <w:tcW w:w="2409" w:type="dxa"/>
            <w:vMerge w:val="restart"/>
            <w:shd w:val="clear" w:color="auto" w:fill="D9D9D9"/>
          </w:tcPr>
          <w:p w14:paraId="5263AB5D" w14:textId="77777777" w:rsidR="00A37B92" w:rsidRPr="00C56257" w:rsidRDefault="00A37B92" w:rsidP="00C902DF">
            <w:pPr>
              <w:widowControl w:val="0"/>
              <w:autoSpaceDE w:val="0"/>
              <w:autoSpaceDN w:val="0"/>
              <w:spacing w:before="2"/>
              <w:jc w:val="both"/>
              <w:rPr>
                <w:b/>
                <w:color w:val="000000" w:themeColor="text1"/>
              </w:rPr>
            </w:pPr>
          </w:p>
          <w:p w14:paraId="54B1E374" w14:textId="77777777" w:rsidR="00A37B92" w:rsidRPr="00C56257" w:rsidRDefault="00A37B92" w:rsidP="00C902DF">
            <w:pPr>
              <w:widowControl w:val="0"/>
              <w:autoSpaceDE w:val="0"/>
              <w:autoSpaceDN w:val="0"/>
              <w:jc w:val="both"/>
              <w:rPr>
                <w:b/>
                <w:color w:val="000000" w:themeColor="text1"/>
              </w:rPr>
            </w:pPr>
            <w:r w:rsidRPr="00C56257">
              <w:rPr>
                <w:b/>
                <w:color w:val="000000" w:themeColor="text1"/>
              </w:rPr>
              <w:t>Metoda</w:t>
            </w:r>
            <w:r w:rsidRPr="00C56257">
              <w:rPr>
                <w:b/>
                <w:color w:val="000000" w:themeColor="text1"/>
                <w:spacing w:val="-3"/>
              </w:rPr>
              <w:t xml:space="preserve"> </w:t>
            </w:r>
            <w:r w:rsidRPr="00C56257">
              <w:rPr>
                <w:b/>
                <w:color w:val="000000" w:themeColor="text1"/>
              </w:rPr>
              <w:t>utilizată</w:t>
            </w:r>
          </w:p>
        </w:tc>
        <w:tc>
          <w:tcPr>
            <w:tcW w:w="1872" w:type="dxa"/>
            <w:vMerge w:val="restart"/>
            <w:shd w:val="clear" w:color="auto" w:fill="D9D9D9"/>
          </w:tcPr>
          <w:p w14:paraId="476FCB1B" w14:textId="77777777" w:rsidR="00A37B92" w:rsidRPr="00C56257" w:rsidRDefault="00A37B92" w:rsidP="00C902DF">
            <w:pPr>
              <w:widowControl w:val="0"/>
              <w:autoSpaceDE w:val="0"/>
              <w:autoSpaceDN w:val="0"/>
              <w:spacing w:before="2"/>
              <w:jc w:val="both"/>
              <w:rPr>
                <w:b/>
                <w:color w:val="000000" w:themeColor="text1"/>
              </w:rPr>
            </w:pPr>
          </w:p>
          <w:p w14:paraId="26CFAF37" w14:textId="77777777" w:rsidR="00A37B92" w:rsidRPr="00C56257" w:rsidRDefault="00A37B92" w:rsidP="00C902DF">
            <w:pPr>
              <w:widowControl w:val="0"/>
              <w:autoSpaceDE w:val="0"/>
              <w:autoSpaceDN w:val="0"/>
              <w:ind w:right="1063"/>
              <w:jc w:val="both"/>
              <w:rPr>
                <w:b/>
                <w:color w:val="000000" w:themeColor="text1"/>
              </w:rPr>
            </w:pPr>
            <w:r w:rsidRPr="00C56257">
              <w:rPr>
                <w:b/>
                <w:color w:val="000000" w:themeColor="text1"/>
              </w:rPr>
              <w:t>Obs.</w:t>
            </w:r>
          </w:p>
        </w:tc>
      </w:tr>
      <w:tr w:rsidR="00A37B92" w:rsidRPr="00C56257" w14:paraId="38C10149" w14:textId="77777777" w:rsidTr="00C902DF">
        <w:trPr>
          <w:trHeight w:val="251"/>
        </w:trPr>
        <w:tc>
          <w:tcPr>
            <w:tcW w:w="2571" w:type="dxa"/>
            <w:vMerge/>
            <w:tcBorders>
              <w:top w:val="nil"/>
            </w:tcBorders>
            <w:shd w:val="clear" w:color="auto" w:fill="D9D9D9"/>
          </w:tcPr>
          <w:p w14:paraId="6E0DB3CA" w14:textId="77777777" w:rsidR="00A37B92" w:rsidRPr="00C56257" w:rsidRDefault="00A37B92" w:rsidP="00C902DF">
            <w:pPr>
              <w:widowControl w:val="0"/>
              <w:autoSpaceDE w:val="0"/>
              <w:autoSpaceDN w:val="0"/>
              <w:jc w:val="both"/>
              <w:rPr>
                <w:color w:val="000000" w:themeColor="text1"/>
              </w:rPr>
            </w:pPr>
          </w:p>
        </w:tc>
        <w:tc>
          <w:tcPr>
            <w:tcW w:w="1224" w:type="dxa"/>
            <w:shd w:val="clear" w:color="auto" w:fill="D9D9D9"/>
          </w:tcPr>
          <w:p w14:paraId="1EB74F6F" w14:textId="77777777" w:rsidR="00A37B92" w:rsidRPr="00C56257" w:rsidRDefault="00A37B92" w:rsidP="00C902DF">
            <w:pPr>
              <w:widowControl w:val="0"/>
              <w:autoSpaceDE w:val="0"/>
              <w:autoSpaceDN w:val="0"/>
              <w:spacing w:line="232" w:lineRule="exact"/>
              <w:jc w:val="both"/>
              <w:rPr>
                <w:color w:val="000000" w:themeColor="text1"/>
              </w:rPr>
            </w:pPr>
            <w:r w:rsidRPr="00C56257">
              <w:rPr>
                <w:color w:val="000000" w:themeColor="text1"/>
              </w:rPr>
              <w:t>I</w:t>
            </w:r>
          </w:p>
        </w:tc>
        <w:tc>
          <w:tcPr>
            <w:tcW w:w="556" w:type="dxa"/>
            <w:shd w:val="clear" w:color="auto" w:fill="D9D9D9"/>
          </w:tcPr>
          <w:p w14:paraId="796F2352" w14:textId="77777777" w:rsidR="00A37B92" w:rsidRPr="00C56257" w:rsidRDefault="00A37B92" w:rsidP="00C902DF">
            <w:pPr>
              <w:widowControl w:val="0"/>
              <w:autoSpaceDE w:val="0"/>
              <w:autoSpaceDN w:val="0"/>
              <w:spacing w:line="232" w:lineRule="exact"/>
              <w:ind w:right="176"/>
              <w:jc w:val="both"/>
              <w:rPr>
                <w:color w:val="000000" w:themeColor="text1"/>
              </w:rPr>
            </w:pPr>
            <w:r w:rsidRPr="00C56257">
              <w:rPr>
                <w:color w:val="000000" w:themeColor="text1"/>
              </w:rPr>
              <w:t>II</w:t>
            </w:r>
          </w:p>
        </w:tc>
        <w:tc>
          <w:tcPr>
            <w:tcW w:w="570" w:type="dxa"/>
            <w:shd w:val="clear" w:color="auto" w:fill="D9D9D9"/>
          </w:tcPr>
          <w:p w14:paraId="37AB045D" w14:textId="77777777" w:rsidR="00A37B92" w:rsidRPr="00C56257" w:rsidRDefault="00A37B92" w:rsidP="00C902DF">
            <w:pPr>
              <w:widowControl w:val="0"/>
              <w:autoSpaceDE w:val="0"/>
              <w:autoSpaceDN w:val="0"/>
              <w:spacing w:line="232" w:lineRule="exact"/>
              <w:jc w:val="both"/>
              <w:rPr>
                <w:color w:val="000000" w:themeColor="text1"/>
              </w:rPr>
            </w:pPr>
            <w:r w:rsidRPr="00C56257">
              <w:rPr>
                <w:color w:val="000000" w:themeColor="text1"/>
              </w:rPr>
              <w:t>III</w:t>
            </w:r>
          </w:p>
        </w:tc>
        <w:tc>
          <w:tcPr>
            <w:tcW w:w="565" w:type="dxa"/>
            <w:shd w:val="clear" w:color="auto" w:fill="D9D9D9"/>
          </w:tcPr>
          <w:p w14:paraId="36D33C20" w14:textId="77777777" w:rsidR="00A37B92" w:rsidRPr="00C56257" w:rsidRDefault="00A37B92" w:rsidP="00C902DF">
            <w:pPr>
              <w:widowControl w:val="0"/>
              <w:autoSpaceDE w:val="0"/>
              <w:autoSpaceDN w:val="0"/>
              <w:spacing w:line="232" w:lineRule="exact"/>
              <w:jc w:val="both"/>
              <w:rPr>
                <w:color w:val="000000" w:themeColor="text1"/>
              </w:rPr>
            </w:pPr>
            <w:r w:rsidRPr="00C56257">
              <w:rPr>
                <w:color w:val="000000" w:themeColor="text1"/>
              </w:rPr>
              <w:t>IV</w:t>
            </w:r>
          </w:p>
        </w:tc>
        <w:tc>
          <w:tcPr>
            <w:tcW w:w="565" w:type="dxa"/>
            <w:shd w:val="clear" w:color="auto" w:fill="D9D9D9"/>
          </w:tcPr>
          <w:p w14:paraId="60B67762" w14:textId="77777777" w:rsidR="00A37B92" w:rsidRPr="00C56257" w:rsidRDefault="00A37B92" w:rsidP="00C902DF">
            <w:pPr>
              <w:widowControl w:val="0"/>
              <w:autoSpaceDE w:val="0"/>
              <w:autoSpaceDN w:val="0"/>
              <w:spacing w:line="232" w:lineRule="exact"/>
              <w:jc w:val="both"/>
              <w:rPr>
                <w:color w:val="000000" w:themeColor="text1"/>
              </w:rPr>
            </w:pPr>
            <w:r w:rsidRPr="00C56257">
              <w:rPr>
                <w:color w:val="000000" w:themeColor="text1"/>
              </w:rPr>
              <w:t>V</w:t>
            </w:r>
          </w:p>
        </w:tc>
        <w:tc>
          <w:tcPr>
            <w:tcW w:w="568" w:type="dxa"/>
            <w:shd w:val="clear" w:color="auto" w:fill="D9D9D9"/>
          </w:tcPr>
          <w:p w14:paraId="530EC9AF" w14:textId="77777777" w:rsidR="00A37B92" w:rsidRPr="00C56257" w:rsidRDefault="00A37B92" w:rsidP="00C902DF">
            <w:pPr>
              <w:widowControl w:val="0"/>
              <w:autoSpaceDE w:val="0"/>
              <w:autoSpaceDN w:val="0"/>
              <w:spacing w:line="232" w:lineRule="exact"/>
              <w:jc w:val="both"/>
              <w:rPr>
                <w:color w:val="000000" w:themeColor="text1"/>
              </w:rPr>
            </w:pPr>
            <w:r w:rsidRPr="00C56257">
              <w:rPr>
                <w:color w:val="000000" w:themeColor="text1"/>
              </w:rPr>
              <w:t>VI</w:t>
            </w:r>
          </w:p>
        </w:tc>
        <w:tc>
          <w:tcPr>
            <w:tcW w:w="515" w:type="dxa"/>
            <w:shd w:val="clear" w:color="auto" w:fill="D9D9D9"/>
          </w:tcPr>
          <w:p w14:paraId="795C2BAB" w14:textId="77777777" w:rsidR="00A37B92" w:rsidRPr="00C56257" w:rsidRDefault="00A37B92" w:rsidP="00C902DF">
            <w:pPr>
              <w:widowControl w:val="0"/>
              <w:autoSpaceDE w:val="0"/>
              <w:autoSpaceDN w:val="0"/>
              <w:spacing w:line="232" w:lineRule="exact"/>
              <w:jc w:val="both"/>
              <w:rPr>
                <w:color w:val="000000" w:themeColor="text1"/>
              </w:rPr>
            </w:pPr>
            <w:r w:rsidRPr="00C56257">
              <w:rPr>
                <w:color w:val="000000" w:themeColor="text1"/>
              </w:rPr>
              <w:t>VII</w:t>
            </w:r>
          </w:p>
        </w:tc>
        <w:tc>
          <w:tcPr>
            <w:tcW w:w="568" w:type="dxa"/>
            <w:shd w:val="clear" w:color="auto" w:fill="D9D9D9"/>
          </w:tcPr>
          <w:p w14:paraId="60042AF1" w14:textId="77777777" w:rsidR="00A37B92" w:rsidRPr="00C56257" w:rsidRDefault="00A37B92" w:rsidP="00C902DF">
            <w:pPr>
              <w:widowControl w:val="0"/>
              <w:autoSpaceDE w:val="0"/>
              <w:autoSpaceDN w:val="0"/>
              <w:spacing w:line="232" w:lineRule="exact"/>
              <w:jc w:val="both"/>
              <w:rPr>
                <w:color w:val="000000" w:themeColor="text1"/>
              </w:rPr>
            </w:pPr>
            <w:r w:rsidRPr="00C56257">
              <w:rPr>
                <w:color w:val="000000" w:themeColor="text1"/>
              </w:rPr>
              <w:t>VIII</w:t>
            </w:r>
          </w:p>
        </w:tc>
        <w:tc>
          <w:tcPr>
            <w:tcW w:w="566" w:type="dxa"/>
            <w:shd w:val="clear" w:color="auto" w:fill="D9D9D9"/>
          </w:tcPr>
          <w:p w14:paraId="1AF04814" w14:textId="77777777" w:rsidR="00A37B92" w:rsidRPr="00C56257" w:rsidRDefault="00A37B92" w:rsidP="00C902DF">
            <w:pPr>
              <w:widowControl w:val="0"/>
              <w:autoSpaceDE w:val="0"/>
              <w:autoSpaceDN w:val="0"/>
              <w:spacing w:line="232" w:lineRule="exact"/>
              <w:jc w:val="both"/>
              <w:rPr>
                <w:color w:val="000000" w:themeColor="text1"/>
              </w:rPr>
            </w:pPr>
            <w:r w:rsidRPr="00C56257">
              <w:rPr>
                <w:color w:val="000000" w:themeColor="text1"/>
              </w:rPr>
              <w:t>IX</w:t>
            </w:r>
          </w:p>
        </w:tc>
        <w:tc>
          <w:tcPr>
            <w:tcW w:w="566" w:type="dxa"/>
            <w:shd w:val="clear" w:color="auto" w:fill="D9D9D9"/>
          </w:tcPr>
          <w:p w14:paraId="0F09E9A8" w14:textId="77777777" w:rsidR="00A37B92" w:rsidRPr="00C56257" w:rsidRDefault="00A37B92" w:rsidP="00C902DF">
            <w:pPr>
              <w:widowControl w:val="0"/>
              <w:autoSpaceDE w:val="0"/>
              <w:autoSpaceDN w:val="0"/>
              <w:spacing w:line="232" w:lineRule="exact"/>
              <w:jc w:val="both"/>
              <w:rPr>
                <w:color w:val="000000" w:themeColor="text1"/>
              </w:rPr>
            </w:pPr>
            <w:r w:rsidRPr="00C56257">
              <w:rPr>
                <w:color w:val="000000" w:themeColor="text1"/>
              </w:rPr>
              <w:t>X</w:t>
            </w:r>
          </w:p>
        </w:tc>
        <w:tc>
          <w:tcPr>
            <w:tcW w:w="568" w:type="dxa"/>
            <w:shd w:val="clear" w:color="auto" w:fill="D9D9D9"/>
          </w:tcPr>
          <w:p w14:paraId="0A5582F7" w14:textId="77777777" w:rsidR="00A37B92" w:rsidRPr="00C56257" w:rsidRDefault="00A37B92" w:rsidP="00C902DF">
            <w:pPr>
              <w:widowControl w:val="0"/>
              <w:autoSpaceDE w:val="0"/>
              <w:autoSpaceDN w:val="0"/>
              <w:spacing w:line="232" w:lineRule="exact"/>
              <w:jc w:val="both"/>
              <w:rPr>
                <w:color w:val="000000" w:themeColor="text1"/>
              </w:rPr>
            </w:pPr>
            <w:r w:rsidRPr="00C56257">
              <w:rPr>
                <w:color w:val="000000" w:themeColor="text1"/>
              </w:rPr>
              <w:t>XI</w:t>
            </w:r>
          </w:p>
        </w:tc>
        <w:tc>
          <w:tcPr>
            <w:tcW w:w="511" w:type="dxa"/>
            <w:shd w:val="clear" w:color="auto" w:fill="D9D9D9"/>
          </w:tcPr>
          <w:p w14:paraId="0D8DE24D" w14:textId="77777777" w:rsidR="00A37B92" w:rsidRPr="00C56257" w:rsidRDefault="00A37B92" w:rsidP="00C902DF">
            <w:pPr>
              <w:widowControl w:val="0"/>
              <w:autoSpaceDE w:val="0"/>
              <w:autoSpaceDN w:val="0"/>
              <w:spacing w:line="232" w:lineRule="exact"/>
              <w:jc w:val="both"/>
              <w:rPr>
                <w:color w:val="000000" w:themeColor="text1"/>
              </w:rPr>
            </w:pPr>
            <w:r w:rsidRPr="00C56257">
              <w:rPr>
                <w:color w:val="000000" w:themeColor="text1"/>
              </w:rPr>
              <w:t>XII</w:t>
            </w:r>
          </w:p>
        </w:tc>
        <w:tc>
          <w:tcPr>
            <w:tcW w:w="2409" w:type="dxa"/>
            <w:vMerge/>
            <w:tcBorders>
              <w:top w:val="nil"/>
            </w:tcBorders>
            <w:shd w:val="clear" w:color="auto" w:fill="D9D9D9"/>
          </w:tcPr>
          <w:p w14:paraId="172F49AA" w14:textId="77777777" w:rsidR="00A37B92" w:rsidRPr="00C56257" w:rsidRDefault="00A37B92" w:rsidP="00C902DF">
            <w:pPr>
              <w:widowControl w:val="0"/>
              <w:autoSpaceDE w:val="0"/>
              <w:autoSpaceDN w:val="0"/>
              <w:jc w:val="both"/>
              <w:rPr>
                <w:color w:val="000000" w:themeColor="text1"/>
              </w:rPr>
            </w:pPr>
          </w:p>
        </w:tc>
        <w:tc>
          <w:tcPr>
            <w:tcW w:w="1872" w:type="dxa"/>
            <w:vMerge/>
            <w:tcBorders>
              <w:top w:val="nil"/>
            </w:tcBorders>
            <w:shd w:val="clear" w:color="auto" w:fill="D9D9D9"/>
          </w:tcPr>
          <w:p w14:paraId="0C29C040" w14:textId="77777777" w:rsidR="00A37B92" w:rsidRPr="00C56257" w:rsidRDefault="00A37B92" w:rsidP="00C902DF">
            <w:pPr>
              <w:widowControl w:val="0"/>
              <w:autoSpaceDE w:val="0"/>
              <w:autoSpaceDN w:val="0"/>
              <w:jc w:val="both"/>
              <w:rPr>
                <w:color w:val="000000" w:themeColor="text1"/>
              </w:rPr>
            </w:pPr>
          </w:p>
        </w:tc>
      </w:tr>
      <w:tr w:rsidR="00A37B92" w:rsidRPr="00C56257" w14:paraId="3751AC8B" w14:textId="77777777" w:rsidTr="00C902DF">
        <w:trPr>
          <w:trHeight w:val="1264"/>
        </w:trPr>
        <w:tc>
          <w:tcPr>
            <w:tcW w:w="2571" w:type="dxa"/>
          </w:tcPr>
          <w:p w14:paraId="5F5B2389" w14:textId="77777777" w:rsidR="00A37B92" w:rsidRPr="00C56257" w:rsidRDefault="00A37B92" w:rsidP="00C902DF">
            <w:pPr>
              <w:widowControl w:val="0"/>
              <w:autoSpaceDE w:val="0"/>
              <w:autoSpaceDN w:val="0"/>
              <w:spacing w:before="7"/>
              <w:jc w:val="both"/>
              <w:rPr>
                <w:b/>
                <w:color w:val="000000" w:themeColor="text1"/>
              </w:rPr>
            </w:pPr>
          </w:p>
          <w:p w14:paraId="466F2CB0" w14:textId="77777777" w:rsidR="00A37B92" w:rsidRPr="00C56257" w:rsidRDefault="00A37B92" w:rsidP="00C902DF">
            <w:pPr>
              <w:widowControl w:val="0"/>
              <w:autoSpaceDE w:val="0"/>
              <w:autoSpaceDN w:val="0"/>
              <w:spacing w:before="1"/>
              <w:ind w:right="93"/>
              <w:jc w:val="both"/>
              <w:rPr>
                <w:color w:val="000000" w:themeColor="text1"/>
              </w:rPr>
            </w:pPr>
            <w:r w:rsidRPr="00C56257">
              <w:rPr>
                <w:color w:val="000000" w:themeColor="text1"/>
              </w:rPr>
              <w:t>2110 - Dune mobile embrionare</w:t>
            </w:r>
            <w:r w:rsidRPr="00C56257">
              <w:rPr>
                <w:color w:val="000000" w:themeColor="text1"/>
                <w:spacing w:val="-52"/>
              </w:rPr>
              <w:t xml:space="preserve"> </w:t>
            </w:r>
            <w:r w:rsidRPr="00C56257">
              <w:rPr>
                <w:color w:val="000000" w:themeColor="text1"/>
              </w:rPr>
              <w:t>(în</w:t>
            </w:r>
            <w:r w:rsidRPr="00C56257">
              <w:rPr>
                <w:color w:val="000000" w:themeColor="text1"/>
                <w:spacing w:val="-4"/>
              </w:rPr>
              <w:t xml:space="preserve"> </w:t>
            </w:r>
            <w:r w:rsidRPr="00C56257">
              <w:rPr>
                <w:color w:val="000000" w:themeColor="text1"/>
              </w:rPr>
              <w:t>formare)</w:t>
            </w:r>
          </w:p>
        </w:tc>
        <w:tc>
          <w:tcPr>
            <w:tcW w:w="1224" w:type="dxa"/>
          </w:tcPr>
          <w:p w14:paraId="321247B0" w14:textId="77777777" w:rsidR="00A37B92" w:rsidRPr="00C56257" w:rsidRDefault="00A37B92" w:rsidP="00C902DF">
            <w:pPr>
              <w:widowControl w:val="0"/>
              <w:autoSpaceDE w:val="0"/>
              <w:autoSpaceDN w:val="0"/>
              <w:jc w:val="both"/>
              <w:rPr>
                <w:color w:val="000000" w:themeColor="text1"/>
              </w:rPr>
            </w:pPr>
          </w:p>
        </w:tc>
        <w:tc>
          <w:tcPr>
            <w:tcW w:w="556" w:type="dxa"/>
          </w:tcPr>
          <w:p w14:paraId="0254E60F" w14:textId="77777777" w:rsidR="00A37B92" w:rsidRPr="00C56257" w:rsidRDefault="00A37B92" w:rsidP="00C902DF">
            <w:pPr>
              <w:widowControl w:val="0"/>
              <w:autoSpaceDE w:val="0"/>
              <w:autoSpaceDN w:val="0"/>
              <w:jc w:val="both"/>
              <w:rPr>
                <w:color w:val="000000" w:themeColor="text1"/>
              </w:rPr>
            </w:pPr>
          </w:p>
        </w:tc>
        <w:tc>
          <w:tcPr>
            <w:tcW w:w="570" w:type="dxa"/>
            <w:shd w:val="clear" w:color="auto" w:fill="BEBEBE"/>
          </w:tcPr>
          <w:p w14:paraId="0E0A8CFE" w14:textId="77777777" w:rsidR="00A37B92" w:rsidRPr="00C56257" w:rsidRDefault="00A37B92" w:rsidP="00C902DF">
            <w:pPr>
              <w:widowControl w:val="0"/>
              <w:autoSpaceDE w:val="0"/>
              <w:autoSpaceDN w:val="0"/>
              <w:jc w:val="both"/>
              <w:rPr>
                <w:color w:val="000000" w:themeColor="text1"/>
              </w:rPr>
            </w:pPr>
          </w:p>
        </w:tc>
        <w:tc>
          <w:tcPr>
            <w:tcW w:w="565" w:type="dxa"/>
            <w:shd w:val="clear" w:color="auto" w:fill="BEBEBE"/>
          </w:tcPr>
          <w:p w14:paraId="45CFA0F3" w14:textId="77777777" w:rsidR="00A37B92" w:rsidRPr="00C56257" w:rsidRDefault="00A37B92" w:rsidP="00C902DF">
            <w:pPr>
              <w:widowControl w:val="0"/>
              <w:autoSpaceDE w:val="0"/>
              <w:autoSpaceDN w:val="0"/>
              <w:jc w:val="both"/>
              <w:rPr>
                <w:color w:val="000000" w:themeColor="text1"/>
              </w:rPr>
            </w:pPr>
          </w:p>
        </w:tc>
        <w:tc>
          <w:tcPr>
            <w:tcW w:w="565" w:type="dxa"/>
            <w:shd w:val="clear" w:color="auto" w:fill="BEBEBE"/>
          </w:tcPr>
          <w:p w14:paraId="495E6F5B" w14:textId="77777777" w:rsidR="00A37B92" w:rsidRPr="00C56257" w:rsidRDefault="00A37B92" w:rsidP="00C902DF">
            <w:pPr>
              <w:widowControl w:val="0"/>
              <w:autoSpaceDE w:val="0"/>
              <w:autoSpaceDN w:val="0"/>
              <w:jc w:val="both"/>
              <w:rPr>
                <w:color w:val="000000" w:themeColor="text1"/>
              </w:rPr>
            </w:pPr>
          </w:p>
        </w:tc>
        <w:tc>
          <w:tcPr>
            <w:tcW w:w="568" w:type="dxa"/>
            <w:shd w:val="clear" w:color="auto" w:fill="BEBEBE"/>
          </w:tcPr>
          <w:p w14:paraId="46E2D12C" w14:textId="77777777" w:rsidR="00A37B92" w:rsidRPr="00C56257" w:rsidRDefault="00A37B92" w:rsidP="00C902DF">
            <w:pPr>
              <w:widowControl w:val="0"/>
              <w:autoSpaceDE w:val="0"/>
              <w:autoSpaceDN w:val="0"/>
              <w:jc w:val="both"/>
              <w:rPr>
                <w:color w:val="000000" w:themeColor="text1"/>
              </w:rPr>
            </w:pPr>
          </w:p>
        </w:tc>
        <w:tc>
          <w:tcPr>
            <w:tcW w:w="515" w:type="dxa"/>
            <w:shd w:val="clear" w:color="auto" w:fill="BEBEBE"/>
          </w:tcPr>
          <w:p w14:paraId="067F5A08" w14:textId="77777777" w:rsidR="00A37B92" w:rsidRPr="00C56257" w:rsidRDefault="00A37B92" w:rsidP="00C902DF">
            <w:pPr>
              <w:widowControl w:val="0"/>
              <w:autoSpaceDE w:val="0"/>
              <w:autoSpaceDN w:val="0"/>
              <w:jc w:val="both"/>
              <w:rPr>
                <w:color w:val="000000" w:themeColor="text1"/>
              </w:rPr>
            </w:pPr>
          </w:p>
        </w:tc>
        <w:tc>
          <w:tcPr>
            <w:tcW w:w="568" w:type="dxa"/>
            <w:shd w:val="clear" w:color="auto" w:fill="BEBEBE"/>
          </w:tcPr>
          <w:p w14:paraId="5EAD9E99" w14:textId="77777777" w:rsidR="00A37B92" w:rsidRPr="00C56257" w:rsidRDefault="00A37B92" w:rsidP="00C902DF">
            <w:pPr>
              <w:widowControl w:val="0"/>
              <w:autoSpaceDE w:val="0"/>
              <w:autoSpaceDN w:val="0"/>
              <w:jc w:val="both"/>
              <w:rPr>
                <w:color w:val="000000" w:themeColor="text1"/>
              </w:rPr>
            </w:pPr>
          </w:p>
        </w:tc>
        <w:tc>
          <w:tcPr>
            <w:tcW w:w="566" w:type="dxa"/>
            <w:shd w:val="clear" w:color="auto" w:fill="BEBEBE"/>
          </w:tcPr>
          <w:p w14:paraId="45AA4E8A" w14:textId="77777777" w:rsidR="00A37B92" w:rsidRPr="00C56257" w:rsidRDefault="00A37B92" w:rsidP="00C902DF">
            <w:pPr>
              <w:widowControl w:val="0"/>
              <w:autoSpaceDE w:val="0"/>
              <w:autoSpaceDN w:val="0"/>
              <w:jc w:val="both"/>
              <w:rPr>
                <w:color w:val="000000" w:themeColor="text1"/>
              </w:rPr>
            </w:pPr>
          </w:p>
        </w:tc>
        <w:tc>
          <w:tcPr>
            <w:tcW w:w="566" w:type="dxa"/>
            <w:shd w:val="clear" w:color="auto" w:fill="BEBEBE"/>
          </w:tcPr>
          <w:p w14:paraId="3193E0BF" w14:textId="77777777" w:rsidR="00A37B92" w:rsidRPr="00C56257" w:rsidRDefault="00A37B92" w:rsidP="00C902DF">
            <w:pPr>
              <w:widowControl w:val="0"/>
              <w:autoSpaceDE w:val="0"/>
              <w:autoSpaceDN w:val="0"/>
              <w:jc w:val="both"/>
              <w:rPr>
                <w:color w:val="000000" w:themeColor="text1"/>
              </w:rPr>
            </w:pPr>
          </w:p>
        </w:tc>
        <w:tc>
          <w:tcPr>
            <w:tcW w:w="568" w:type="dxa"/>
            <w:shd w:val="clear" w:color="auto" w:fill="BEBEBE"/>
          </w:tcPr>
          <w:p w14:paraId="1121C659" w14:textId="77777777" w:rsidR="00A37B92" w:rsidRPr="00C56257" w:rsidRDefault="00A37B92" w:rsidP="00C902DF">
            <w:pPr>
              <w:widowControl w:val="0"/>
              <w:autoSpaceDE w:val="0"/>
              <w:autoSpaceDN w:val="0"/>
              <w:jc w:val="both"/>
              <w:rPr>
                <w:color w:val="000000" w:themeColor="text1"/>
              </w:rPr>
            </w:pPr>
          </w:p>
        </w:tc>
        <w:tc>
          <w:tcPr>
            <w:tcW w:w="511" w:type="dxa"/>
          </w:tcPr>
          <w:p w14:paraId="57C2F855" w14:textId="77777777" w:rsidR="00A37B92" w:rsidRPr="00C56257" w:rsidRDefault="00A37B92" w:rsidP="00C902DF">
            <w:pPr>
              <w:widowControl w:val="0"/>
              <w:autoSpaceDE w:val="0"/>
              <w:autoSpaceDN w:val="0"/>
              <w:jc w:val="both"/>
              <w:rPr>
                <w:color w:val="000000" w:themeColor="text1"/>
              </w:rPr>
            </w:pPr>
          </w:p>
        </w:tc>
        <w:tc>
          <w:tcPr>
            <w:tcW w:w="2409" w:type="dxa"/>
          </w:tcPr>
          <w:p w14:paraId="6DBDB0F7" w14:textId="77777777" w:rsidR="00A37B92" w:rsidRPr="00C56257" w:rsidRDefault="00A37B92" w:rsidP="00C902DF">
            <w:pPr>
              <w:widowControl w:val="0"/>
              <w:autoSpaceDE w:val="0"/>
              <w:autoSpaceDN w:val="0"/>
              <w:spacing w:before="121"/>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213AD6A3" w14:textId="77777777" w:rsidR="00A37B92" w:rsidRPr="00C56257" w:rsidRDefault="00A37B92" w:rsidP="00C902DF">
            <w:pPr>
              <w:widowControl w:val="0"/>
              <w:autoSpaceDE w:val="0"/>
              <w:autoSpaceDN w:val="0"/>
              <w:spacing w:before="2"/>
              <w:ind w:right="131"/>
              <w:jc w:val="both"/>
              <w:rPr>
                <w:color w:val="000000" w:themeColor="text1"/>
              </w:rPr>
            </w:pPr>
            <w:r w:rsidRPr="00C56257">
              <w:rPr>
                <w:color w:val="000000" w:themeColor="text1"/>
              </w:rPr>
              <w:t>- metoda releveelor sau a</w:t>
            </w:r>
            <w:r w:rsidRPr="00C56257">
              <w:rPr>
                <w:color w:val="000000" w:themeColor="text1"/>
                <w:spacing w:val="-53"/>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6948FC0F" w14:textId="77777777" w:rsidR="00A37B92" w:rsidRPr="00C56257" w:rsidRDefault="00A37B92" w:rsidP="00C902DF">
            <w:pPr>
              <w:widowControl w:val="0"/>
              <w:autoSpaceDE w:val="0"/>
              <w:autoSpaceDN w:val="0"/>
              <w:spacing w:line="251" w:lineRule="exact"/>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1872" w:type="dxa"/>
          </w:tcPr>
          <w:p w14:paraId="2FFACB47" w14:textId="77777777" w:rsidR="00A37B92" w:rsidRPr="00C56257" w:rsidRDefault="00A37B92" w:rsidP="00C902DF">
            <w:pPr>
              <w:widowControl w:val="0"/>
              <w:autoSpaceDE w:val="0"/>
              <w:autoSpaceDN w:val="0"/>
              <w:ind w:right="27"/>
              <w:jc w:val="both"/>
              <w:rPr>
                <w:color w:val="000000" w:themeColor="text1"/>
              </w:rPr>
            </w:pPr>
            <w:r w:rsidRPr="00C56257">
              <w:rPr>
                <w:color w:val="000000" w:themeColor="text1"/>
              </w:rPr>
              <w:t>Min 7 relevee/ transecte de</w:t>
            </w:r>
            <w:r w:rsidRPr="00C56257">
              <w:rPr>
                <w:color w:val="000000" w:themeColor="text1"/>
                <w:spacing w:val="1"/>
              </w:rPr>
              <w:t xml:space="preserve"> </w:t>
            </w:r>
            <w:r w:rsidRPr="00C56257">
              <w:rPr>
                <w:color w:val="000000" w:themeColor="text1"/>
              </w:rPr>
              <w:t>monitorizare în cadrul ariilor</w:t>
            </w:r>
            <w:r w:rsidRPr="00C56257">
              <w:rPr>
                <w:color w:val="000000" w:themeColor="text1"/>
                <w:spacing w:val="-52"/>
              </w:rPr>
              <w:t xml:space="preserve"> </w:t>
            </w:r>
            <w:r w:rsidRPr="00C56257">
              <w:rPr>
                <w:color w:val="000000" w:themeColor="text1"/>
              </w:rPr>
              <w:t>naturale</w:t>
            </w:r>
            <w:r w:rsidRPr="00C56257">
              <w:rPr>
                <w:color w:val="000000" w:themeColor="text1"/>
                <w:spacing w:val="-1"/>
              </w:rPr>
              <w:t xml:space="preserve"> </w:t>
            </w:r>
            <w:r w:rsidRPr="00C56257">
              <w:rPr>
                <w:color w:val="000000" w:themeColor="text1"/>
              </w:rPr>
              <w:t>țintă</w:t>
            </w:r>
            <w:r w:rsidRPr="00C56257">
              <w:rPr>
                <w:color w:val="000000" w:themeColor="text1"/>
                <w:spacing w:val="1"/>
              </w:rPr>
              <w:t xml:space="preserve"> </w:t>
            </w:r>
            <w:r w:rsidRPr="00C56257">
              <w:rPr>
                <w:color w:val="000000" w:themeColor="text1"/>
              </w:rPr>
              <w:t>şi în</w:t>
            </w:r>
            <w:r w:rsidRPr="00C56257">
              <w:rPr>
                <w:color w:val="000000" w:themeColor="text1"/>
                <w:spacing w:val="-1"/>
              </w:rPr>
              <w:t xml:space="preserve"> </w:t>
            </w:r>
            <w:r w:rsidRPr="00C56257">
              <w:rPr>
                <w:color w:val="000000" w:themeColor="text1"/>
              </w:rPr>
              <w:t>afara</w:t>
            </w:r>
          </w:p>
          <w:p w14:paraId="435537FD" w14:textId="77777777" w:rsidR="00A37B92" w:rsidRPr="00C56257" w:rsidRDefault="00A37B92" w:rsidP="00C902DF">
            <w:pPr>
              <w:widowControl w:val="0"/>
              <w:autoSpaceDE w:val="0"/>
              <w:autoSpaceDN w:val="0"/>
              <w:spacing w:line="252" w:lineRule="exact"/>
              <w:ind w:right="21"/>
              <w:jc w:val="both"/>
              <w:rPr>
                <w:color w:val="000000" w:themeColor="text1"/>
              </w:rPr>
            </w:pPr>
            <w:r w:rsidRPr="00C56257">
              <w:rPr>
                <w:color w:val="000000" w:themeColor="text1"/>
              </w:rPr>
              <w:t>acestora, în situația prezenței</w:t>
            </w:r>
            <w:r w:rsidRPr="00C56257">
              <w:rPr>
                <w:color w:val="000000" w:themeColor="text1"/>
                <w:spacing w:val="-52"/>
              </w:rPr>
              <w:t xml:space="preserve"> </w:t>
            </w:r>
            <w:r w:rsidRPr="00C56257">
              <w:rPr>
                <w:color w:val="000000" w:themeColor="text1"/>
              </w:rPr>
              <w:t>habitatului.</w:t>
            </w:r>
          </w:p>
        </w:tc>
      </w:tr>
      <w:tr w:rsidR="00A37B92" w:rsidRPr="00C56257" w14:paraId="45D29067" w14:textId="77777777" w:rsidTr="00C902DF">
        <w:trPr>
          <w:trHeight w:val="1267"/>
        </w:trPr>
        <w:tc>
          <w:tcPr>
            <w:tcW w:w="2571" w:type="dxa"/>
          </w:tcPr>
          <w:p w14:paraId="53551CD9" w14:textId="77777777" w:rsidR="00A37B92" w:rsidRPr="00C56257" w:rsidRDefault="00A37B92" w:rsidP="00C902DF">
            <w:pPr>
              <w:widowControl w:val="0"/>
              <w:autoSpaceDE w:val="0"/>
              <w:autoSpaceDN w:val="0"/>
              <w:spacing w:before="7"/>
              <w:jc w:val="both"/>
              <w:rPr>
                <w:b/>
                <w:color w:val="000000" w:themeColor="text1"/>
              </w:rPr>
            </w:pPr>
          </w:p>
          <w:p w14:paraId="03408E32" w14:textId="77777777" w:rsidR="00A37B92" w:rsidRPr="00C56257" w:rsidRDefault="00A37B92" w:rsidP="00C902DF">
            <w:pPr>
              <w:widowControl w:val="0"/>
              <w:autoSpaceDE w:val="0"/>
              <w:autoSpaceDN w:val="0"/>
              <w:ind w:right="38"/>
              <w:jc w:val="both"/>
              <w:rPr>
                <w:color w:val="000000" w:themeColor="text1"/>
              </w:rPr>
            </w:pPr>
            <w:r w:rsidRPr="00C56257">
              <w:rPr>
                <w:color w:val="000000" w:themeColor="text1"/>
              </w:rPr>
              <w:t>2130* - Dune fixate cu vegetaţie</w:t>
            </w:r>
            <w:r w:rsidRPr="00C56257">
              <w:rPr>
                <w:color w:val="000000" w:themeColor="text1"/>
                <w:spacing w:val="-53"/>
              </w:rPr>
              <w:t xml:space="preserve"> </w:t>
            </w:r>
            <w:r w:rsidRPr="00C56257">
              <w:rPr>
                <w:color w:val="000000" w:themeColor="text1"/>
              </w:rPr>
              <w:t>herbacee</w:t>
            </w:r>
            <w:r w:rsidRPr="00C56257">
              <w:rPr>
                <w:color w:val="000000" w:themeColor="text1"/>
                <w:spacing w:val="-2"/>
              </w:rPr>
              <w:t xml:space="preserve"> </w:t>
            </w:r>
            <w:r w:rsidRPr="00C56257">
              <w:rPr>
                <w:color w:val="000000" w:themeColor="text1"/>
              </w:rPr>
              <w:t>perenă</w:t>
            </w:r>
            <w:r w:rsidRPr="00C56257">
              <w:rPr>
                <w:color w:val="000000" w:themeColor="text1"/>
                <w:spacing w:val="-2"/>
              </w:rPr>
              <w:t xml:space="preserve"> </w:t>
            </w:r>
            <w:r w:rsidRPr="00C56257">
              <w:rPr>
                <w:color w:val="000000" w:themeColor="text1"/>
              </w:rPr>
              <w:t>(dune gri)</w:t>
            </w:r>
          </w:p>
        </w:tc>
        <w:tc>
          <w:tcPr>
            <w:tcW w:w="1224" w:type="dxa"/>
          </w:tcPr>
          <w:p w14:paraId="5E9BD414" w14:textId="77777777" w:rsidR="00A37B92" w:rsidRPr="00C56257" w:rsidRDefault="00A37B92" w:rsidP="00C902DF">
            <w:pPr>
              <w:widowControl w:val="0"/>
              <w:autoSpaceDE w:val="0"/>
              <w:autoSpaceDN w:val="0"/>
              <w:jc w:val="both"/>
              <w:rPr>
                <w:color w:val="000000" w:themeColor="text1"/>
              </w:rPr>
            </w:pPr>
          </w:p>
        </w:tc>
        <w:tc>
          <w:tcPr>
            <w:tcW w:w="556" w:type="dxa"/>
          </w:tcPr>
          <w:p w14:paraId="1B23DAC9" w14:textId="77777777" w:rsidR="00A37B92" w:rsidRPr="00C56257" w:rsidRDefault="00A37B92" w:rsidP="00C902DF">
            <w:pPr>
              <w:widowControl w:val="0"/>
              <w:autoSpaceDE w:val="0"/>
              <w:autoSpaceDN w:val="0"/>
              <w:jc w:val="both"/>
              <w:rPr>
                <w:color w:val="000000" w:themeColor="text1"/>
              </w:rPr>
            </w:pPr>
          </w:p>
        </w:tc>
        <w:tc>
          <w:tcPr>
            <w:tcW w:w="570" w:type="dxa"/>
            <w:shd w:val="clear" w:color="auto" w:fill="BEBEBE"/>
          </w:tcPr>
          <w:p w14:paraId="498D217E" w14:textId="77777777" w:rsidR="00A37B92" w:rsidRPr="00C56257" w:rsidRDefault="00A37B92" w:rsidP="00C902DF">
            <w:pPr>
              <w:widowControl w:val="0"/>
              <w:autoSpaceDE w:val="0"/>
              <w:autoSpaceDN w:val="0"/>
              <w:jc w:val="both"/>
              <w:rPr>
                <w:color w:val="000000" w:themeColor="text1"/>
              </w:rPr>
            </w:pPr>
          </w:p>
        </w:tc>
        <w:tc>
          <w:tcPr>
            <w:tcW w:w="565" w:type="dxa"/>
            <w:shd w:val="clear" w:color="auto" w:fill="BEBEBE"/>
          </w:tcPr>
          <w:p w14:paraId="464ABBC2" w14:textId="77777777" w:rsidR="00A37B92" w:rsidRPr="00C56257" w:rsidRDefault="00A37B92" w:rsidP="00C902DF">
            <w:pPr>
              <w:widowControl w:val="0"/>
              <w:autoSpaceDE w:val="0"/>
              <w:autoSpaceDN w:val="0"/>
              <w:jc w:val="both"/>
              <w:rPr>
                <w:color w:val="000000" w:themeColor="text1"/>
              </w:rPr>
            </w:pPr>
          </w:p>
        </w:tc>
        <w:tc>
          <w:tcPr>
            <w:tcW w:w="565" w:type="dxa"/>
            <w:shd w:val="clear" w:color="auto" w:fill="BEBEBE"/>
          </w:tcPr>
          <w:p w14:paraId="3C11EB47" w14:textId="77777777" w:rsidR="00A37B92" w:rsidRPr="00C56257" w:rsidRDefault="00A37B92" w:rsidP="00C902DF">
            <w:pPr>
              <w:widowControl w:val="0"/>
              <w:autoSpaceDE w:val="0"/>
              <w:autoSpaceDN w:val="0"/>
              <w:jc w:val="both"/>
              <w:rPr>
                <w:color w:val="000000" w:themeColor="text1"/>
              </w:rPr>
            </w:pPr>
          </w:p>
        </w:tc>
        <w:tc>
          <w:tcPr>
            <w:tcW w:w="568" w:type="dxa"/>
            <w:shd w:val="clear" w:color="auto" w:fill="BEBEBE"/>
          </w:tcPr>
          <w:p w14:paraId="167BC88E" w14:textId="77777777" w:rsidR="00A37B92" w:rsidRPr="00C56257" w:rsidRDefault="00A37B92" w:rsidP="00C902DF">
            <w:pPr>
              <w:widowControl w:val="0"/>
              <w:autoSpaceDE w:val="0"/>
              <w:autoSpaceDN w:val="0"/>
              <w:jc w:val="both"/>
              <w:rPr>
                <w:color w:val="000000" w:themeColor="text1"/>
              </w:rPr>
            </w:pPr>
          </w:p>
        </w:tc>
        <w:tc>
          <w:tcPr>
            <w:tcW w:w="515" w:type="dxa"/>
            <w:shd w:val="clear" w:color="auto" w:fill="BEBEBE"/>
          </w:tcPr>
          <w:p w14:paraId="25C9A72F" w14:textId="77777777" w:rsidR="00A37B92" w:rsidRPr="00C56257" w:rsidRDefault="00A37B92" w:rsidP="00C902DF">
            <w:pPr>
              <w:widowControl w:val="0"/>
              <w:autoSpaceDE w:val="0"/>
              <w:autoSpaceDN w:val="0"/>
              <w:jc w:val="both"/>
              <w:rPr>
                <w:color w:val="000000" w:themeColor="text1"/>
              </w:rPr>
            </w:pPr>
          </w:p>
        </w:tc>
        <w:tc>
          <w:tcPr>
            <w:tcW w:w="568" w:type="dxa"/>
            <w:shd w:val="clear" w:color="auto" w:fill="BEBEBE"/>
          </w:tcPr>
          <w:p w14:paraId="441F875F" w14:textId="77777777" w:rsidR="00A37B92" w:rsidRPr="00C56257" w:rsidRDefault="00A37B92" w:rsidP="00C902DF">
            <w:pPr>
              <w:widowControl w:val="0"/>
              <w:autoSpaceDE w:val="0"/>
              <w:autoSpaceDN w:val="0"/>
              <w:jc w:val="both"/>
              <w:rPr>
                <w:color w:val="000000" w:themeColor="text1"/>
              </w:rPr>
            </w:pPr>
          </w:p>
        </w:tc>
        <w:tc>
          <w:tcPr>
            <w:tcW w:w="566" w:type="dxa"/>
            <w:shd w:val="clear" w:color="auto" w:fill="BEBEBE"/>
          </w:tcPr>
          <w:p w14:paraId="0899246D" w14:textId="77777777" w:rsidR="00A37B92" w:rsidRPr="00C56257" w:rsidRDefault="00A37B92" w:rsidP="00C902DF">
            <w:pPr>
              <w:widowControl w:val="0"/>
              <w:autoSpaceDE w:val="0"/>
              <w:autoSpaceDN w:val="0"/>
              <w:jc w:val="both"/>
              <w:rPr>
                <w:color w:val="000000" w:themeColor="text1"/>
              </w:rPr>
            </w:pPr>
          </w:p>
        </w:tc>
        <w:tc>
          <w:tcPr>
            <w:tcW w:w="566" w:type="dxa"/>
            <w:shd w:val="clear" w:color="auto" w:fill="BEBEBE"/>
          </w:tcPr>
          <w:p w14:paraId="76172610" w14:textId="77777777" w:rsidR="00A37B92" w:rsidRPr="00C56257" w:rsidRDefault="00A37B92" w:rsidP="00C902DF">
            <w:pPr>
              <w:widowControl w:val="0"/>
              <w:autoSpaceDE w:val="0"/>
              <w:autoSpaceDN w:val="0"/>
              <w:jc w:val="both"/>
              <w:rPr>
                <w:color w:val="000000" w:themeColor="text1"/>
              </w:rPr>
            </w:pPr>
          </w:p>
        </w:tc>
        <w:tc>
          <w:tcPr>
            <w:tcW w:w="568" w:type="dxa"/>
            <w:shd w:val="clear" w:color="auto" w:fill="BEBEBE"/>
          </w:tcPr>
          <w:p w14:paraId="711C240D" w14:textId="77777777" w:rsidR="00A37B92" w:rsidRPr="00C56257" w:rsidRDefault="00A37B92" w:rsidP="00C902DF">
            <w:pPr>
              <w:widowControl w:val="0"/>
              <w:autoSpaceDE w:val="0"/>
              <w:autoSpaceDN w:val="0"/>
              <w:jc w:val="both"/>
              <w:rPr>
                <w:color w:val="000000" w:themeColor="text1"/>
              </w:rPr>
            </w:pPr>
          </w:p>
        </w:tc>
        <w:tc>
          <w:tcPr>
            <w:tcW w:w="511" w:type="dxa"/>
          </w:tcPr>
          <w:p w14:paraId="5FA00AD2" w14:textId="77777777" w:rsidR="00A37B92" w:rsidRPr="00C56257" w:rsidRDefault="00A37B92" w:rsidP="00C902DF">
            <w:pPr>
              <w:widowControl w:val="0"/>
              <w:autoSpaceDE w:val="0"/>
              <w:autoSpaceDN w:val="0"/>
              <w:jc w:val="both"/>
              <w:rPr>
                <w:color w:val="000000" w:themeColor="text1"/>
              </w:rPr>
            </w:pPr>
          </w:p>
        </w:tc>
        <w:tc>
          <w:tcPr>
            <w:tcW w:w="2409" w:type="dxa"/>
          </w:tcPr>
          <w:p w14:paraId="19CBFD1F" w14:textId="77777777" w:rsidR="00A37B92" w:rsidRPr="00C56257" w:rsidRDefault="00A37B92" w:rsidP="00C902DF">
            <w:pPr>
              <w:widowControl w:val="0"/>
              <w:autoSpaceDE w:val="0"/>
              <w:autoSpaceDN w:val="0"/>
              <w:spacing w:before="121"/>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3"/>
              </w:rPr>
              <w:t xml:space="preserve"> </w:t>
            </w:r>
            <w:r w:rsidRPr="00C56257">
              <w:rPr>
                <w:color w:val="000000" w:themeColor="text1"/>
              </w:rPr>
              <w:t>prin:</w:t>
            </w:r>
          </w:p>
          <w:p w14:paraId="41BA5824" w14:textId="77777777" w:rsidR="00A37B92" w:rsidRPr="00C56257" w:rsidRDefault="00A37B92" w:rsidP="009E63E5">
            <w:pPr>
              <w:widowControl w:val="0"/>
              <w:numPr>
                <w:ilvl w:val="0"/>
                <w:numId w:val="85"/>
              </w:numPr>
              <w:tabs>
                <w:tab w:val="left" w:pos="164"/>
              </w:tabs>
              <w:autoSpaceDE w:val="0"/>
              <w:autoSpaceDN w:val="0"/>
              <w:spacing w:before="1"/>
              <w:ind w:right="149" w:firstLine="0"/>
              <w:jc w:val="both"/>
              <w:rPr>
                <w:color w:val="000000" w:themeColor="text1"/>
              </w:rPr>
            </w:pPr>
            <w:r w:rsidRPr="00C56257">
              <w:rPr>
                <w:color w:val="000000" w:themeColor="text1"/>
              </w:rPr>
              <w:t>metoda releveelor sau a</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24D43AAA" w14:textId="77777777" w:rsidR="00A37B92" w:rsidRPr="00C56257" w:rsidRDefault="00A37B92" w:rsidP="009E63E5">
            <w:pPr>
              <w:widowControl w:val="0"/>
              <w:numPr>
                <w:ilvl w:val="0"/>
                <w:numId w:val="85"/>
              </w:numPr>
              <w:tabs>
                <w:tab w:val="left" w:pos="220"/>
              </w:tabs>
              <w:autoSpaceDE w:val="0"/>
              <w:autoSpaceDN w:val="0"/>
              <w:spacing w:before="1"/>
              <w:ind w:left="219" w:hanging="184"/>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1872" w:type="dxa"/>
          </w:tcPr>
          <w:p w14:paraId="7CDB6093" w14:textId="77777777" w:rsidR="00A37B92" w:rsidRPr="00C56257" w:rsidRDefault="00A37B92" w:rsidP="00C902DF">
            <w:pPr>
              <w:widowControl w:val="0"/>
              <w:autoSpaceDE w:val="0"/>
              <w:autoSpaceDN w:val="0"/>
              <w:ind w:right="27"/>
              <w:jc w:val="both"/>
              <w:rPr>
                <w:color w:val="000000" w:themeColor="text1"/>
              </w:rPr>
            </w:pPr>
            <w:r w:rsidRPr="00C56257">
              <w:rPr>
                <w:color w:val="000000" w:themeColor="text1"/>
              </w:rPr>
              <w:t>Min 7 relevee/ transecte de</w:t>
            </w:r>
            <w:r w:rsidRPr="00C56257">
              <w:rPr>
                <w:color w:val="000000" w:themeColor="text1"/>
                <w:spacing w:val="1"/>
              </w:rPr>
              <w:t xml:space="preserve"> </w:t>
            </w:r>
            <w:r w:rsidRPr="00C56257">
              <w:rPr>
                <w:color w:val="000000" w:themeColor="text1"/>
              </w:rPr>
              <w:t>monitorizare în cadrul ariilor</w:t>
            </w:r>
            <w:r w:rsidRPr="00C56257">
              <w:rPr>
                <w:color w:val="000000" w:themeColor="text1"/>
                <w:spacing w:val="-52"/>
              </w:rPr>
              <w:t xml:space="preserve"> </w:t>
            </w:r>
            <w:r w:rsidRPr="00C56257">
              <w:rPr>
                <w:color w:val="000000" w:themeColor="text1"/>
              </w:rPr>
              <w:t>naturale țintă şi în afara</w:t>
            </w:r>
            <w:r w:rsidRPr="00C56257">
              <w:rPr>
                <w:color w:val="000000" w:themeColor="text1"/>
                <w:spacing w:val="1"/>
              </w:rPr>
              <w:t xml:space="preserve"> </w:t>
            </w:r>
            <w:r w:rsidRPr="00C56257">
              <w:rPr>
                <w:color w:val="000000" w:themeColor="text1"/>
              </w:rPr>
              <w:t>acestora,</w:t>
            </w:r>
            <w:r w:rsidRPr="00C56257">
              <w:rPr>
                <w:color w:val="000000" w:themeColor="text1"/>
                <w:spacing w:val="-4"/>
              </w:rPr>
              <w:t xml:space="preserve"> </w:t>
            </w:r>
            <w:r w:rsidRPr="00C56257">
              <w:rPr>
                <w:color w:val="000000" w:themeColor="text1"/>
              </w:rPr>
              <w:t>în</w:t>
            </w:r>
            <w:r w:rsidRPr="00C56257">
              <w:rPr>
                <w:color w:val="000000" w:themeColor="text1"/>
                <w:spacing w:val="-3"/>
              </w:rPr>
              <w:t xml:space="preserve"> </w:t>
            </w:r>
            <w:r w:rsidRPr="00C56257">
              <w:rPr>
                <w:color w:val="000000" w:themeColor="text1"/>
              </w:rPr>
              <w:t>situația</w:t>
            </w:r>
            <w:r w:rsidRPr="00C56257">
              <w:rPr>
                <w:color w:val="000000" w:themeColor="text1"/>
                <w:spacing w:val="-3"/>
              </w:rPr>
              <w:t xml:space="preserve"> </w:t>
            </w:r>
            <w:r w:rsidRPr="00C56257">
              <w:rPr>
                <w:color w:val="000000" w:themeColor="text1"/>
              </w:rPr>
              <w:t>prezenței</w:t>
            </w:r>
          </w:p>
          <w:p w14:paraId="0714D8EC" w14:textId="77777777" w:rsidR="00A37B92" w:rsidRPr="00C56257" w:rsidRDefault="00A37B92" w:rsidP="00C902DF">
            <w:pPr>
              <w:widowControl w:val="0"/>
              <w:autoSpaceDE w:val="0"/>
              <w:autoSpaceDN w:val="0"/>
              <w:spacing w:line="239" w:lineRule="exact"/>
              <w:jc w:val="both"/>
              <w:rPr>
                <w:color w:val="000000" w:themeColor="text1"/>
              </w:rPr>
            </w:pPr>
            <w:r w:rsidRPr="00C56257">
              <w:rPr>
                <w:color w:val="000000" w:themeColor="text1"/>
              </w:rPr>
              <w:t>habitatului.</w:t>
            </w:r>
          </w:p>
        </w:tc>
      </w:tr>
      <w:tr w:rsidR="00A37B92" w:rsidRPr="00C56257" w14:paraId="49C11E4E" w14:textId="77777777" w:rsidTr="00C902DF">
        <w:trPr>
          <w:trHeight w:val="1264"/>
        </w:trPr>
        <w:tc>
          <w:tcPr>
            <w:tcW w:w="2571" w:type="dxa"/>
          </w:tcPr>
          <w:p w14:paraId="39FAA1E0" w14:textId="77777777" w:rsidR="00A37B92" w:rsidRPr="00C56257" w:rsidRDefault="00A37B92" w:rsidP="00C902DF">
            <w:pPr>
              <w:widowControl w:val="0"/>
              <w:autoSpaceDE w:val="0"/>
              <w:autoSpaceDN w:val="0"/>
              <w:spacing w:before="4"/>
              <w:jc w:val="both"/>
              <w:rPr>
                <w:b/>
                <w:color w:val="000000" w:themeColor="text1"/>
              </w:rPr>
            </w:pPr>
          </w:p>
          <w:p w14:paraId="5F20DBC6" w14:textId="77777777" w:rsidR="00A37B92" w:rsidRPr="00C56257" w:rsidRDefault="00A37B92" w:rsidP="00C902DF">
            <w:pPr>
              <w:widowControl w:val="0"/>
              <w:autoSpaceDE w:val="0"/>
              <w:autoSpaceDN w:val="0"/>
              <w:spacing w:before="1"/>
              <w:ind w:right="520"/>
              <w:jc w:val="both"/>
              <w:rPr>
                <w:i/>
                <w:color w:val="000000" w:themeColor="text1"/>
              </w:rPr>
            </w:pPr>
            <w:r w:rsidRPr="00C56257">
              <w:rPr>
                <w:color w:val="000000" w:themeColor="text1"/>
              </w:rPr>
              <w:t xml:space="preserve">2160 - Dune cu </w:t>
            </w:r>
            <w:r w:rsidRPr="00C56257">
              <w:rPr>
                <w:i/>
                <w:color w:val="000000" w:themeColor="text1"/>
              </w:rPr>
              <w:t>Hippophae</w:t>
            </w:r>
            <w:r w:rsidRPr="00C56257">
              <w:rPr>
                <w:i/>
                <w:color w:val="000000" w:themeColor="text1"/>
                <w:spacing w:val="-52"/>
              </w:rPr>
              <w:t xml:space="preserve"> </w:t>
            </w:r>
            <w:r w:rsidRPr="00C56257">
              <w:rPr>
                <w:i/>
                <w:color w:val="000000" w:themeColor="text1"/>
              </w:rPr>
              <w:t>rhamnoides</w:t>
            </w:r>
          </w:p>
        </w:tc>
        <w:tc>
          <w:tcPr>
            <w:tcW w:w="1224" w:type="dxa"/>
          </w:tcPr>
          <w:p w14:paraId="0A9C2D20" w14:textId="77777777" w:rsidR="00A37B92" w:rsidRPr="00C56257" w:rsidRDefault="00A37B92" w:rsidP="00C902DF">
            <w:pPr>
              <w:widowControl w:val="0"/>
              <w:autoSpaceDE w:val="0"/>
              <w:autoSpaceDN w:val="0"/>
              <w:jc w:val="both"/>
              <w:rPr>
                <w:color w:val="000000" w:themeColor="text1"/>
              </w:rPr>
            </w:pPr>
          </w:p>
        </w:tc>
        <w:tc>
          <w:tcPr>
            <w:tcW w:w="556" w:type="dxa"/>
          </w:tcPr>
          <w:p w14:paraId="247BD136" w14:textId="77777777" w:rsidR="00A37B92" w:rsidRPr="00C56257" w:rsidRDefault="00A37B92" w:rsidP="00C902DF">
            <w:pPr>
              <w:widowControl w:val="0"/>
              <w:autoSpaceDE w:val="0"/>
              <w:autoSpaceDN w:val="0"/>
              <w:jc w:val="both"/>
              <w:rPr>
                <w:color w:val="000000" w:themeColor="text1"/>
              </w:rPr>
            </w:pPr>
          </w:p>
        </w:tc>
        <w:tc>
          <w:tcPr>
            <w:tcW w:w="570" w:type="dxa"/>
            <w:shd w:val="clear" w:color="auto" w:fill="BEBEBE"/>
          </w:tcPr>
          <w:p w14:paraId="3D15BB04" w14:textId="77777777" w:rsidR="00A37B92" w:rsidRPr="00C56257" w:rsidRDefault="00A37B92" w:rsidP="00C902DF">
            <w:pPr>
              <w:widowControl w:val="0"/>
              <w:autoSpaceDE w:val="0"/>
              <w:autoSpaceDN w:val="0"/>
              <w:jc w:val="both"/>
              <w:rPr>
                <w:color w:val="000000" w:themeColor="text1"/>
              </w:rPr>
            </w:pPr>
          </w:p>
        </w:tc>
        <w:tc>
          <w:tcPr>
            <w:tcW w:w="565" w:type="dxa"/>
            <w:shd w:val="clear" w:color="auto" w:fill="BEBEBE"/>
          </w:tcPr>
          <w:p w14:paraId="05B45D5A" w14:textId="77777777" w:rsidR="00A37B92" w:rsidRPr="00C56257" w:rsidRDefault="00A37B92" w:rsidP="00C902DF">
            <w:pPr>
              <w:widowControl w:val="0"/>
              <w:autoSpaceDE w:val="0"/>
              <w:autoSpaceDN w:val="0"/>
              <w:jc w:val="both"/>
              <w:rPr>
                <w:color w:val="000000" w:themeColor="text1"/>
              </w:rPr>
            </w:pPr>
          </w:p>
        </w:tc>
        <w:tc>
          <w:tcPr>
            <w:tcW w:w="565" w:type="dxa"/>
            <w:shd w:val="clear" w:color="auto" w:fill="BEBEBE"/>
          </w:tcPr>
          <w:p w14:paraId="736DF173" w14:textId="77777777" w:rsidR="00A37B92" w:rsidRPr="00C56257" w:rsidRDefault="00A37B92" w:rsidP="00C902DF">
            <w:pPr>
              <w:widowControl w:val="0"/>
              <w:autoSpaceDE w:val="0"/>
              <w:autoSpaceDN w:val="0"/>
              <w:jc w:val="both"/>
              <w:rPr>
                <w:color w:val="000000" w:themeColor="text1"/>
              </w:rPr>
            </w:pPr>
          </w:p>
        </w:tc>
        <w:tc>
          <w:tcPr>
            <w:tcW w:w="568" w:type="dxa"/>
            <w:shd w:val="clear" w:color="auto" w:fill="BEBEBE"/>
          </w:tcPr>
          <w:p w14:paraId="5BD4CBFA" w14:textId="77777777" w:rsidR="00A37B92" w:rsidRPr="00C56257" w:rsidRDefault="00A37B92" w:rsidP="00C902DF">
            <w:pPr>
              <w:widowControl w:val="0"/>
              <w:autoSpaceDE w:val="0"/>
              <w:autoSpaceDN w:val="0"/>
              <w:jc w:val="both"/>
              <w:rPr>
                <w:color w:val="000000" w:themeColor="text1"/>
              </w:rPr>
            </w:pPr>
          </w:p>
        </w:tc>
        <w:tc>
          <w:tcPr>
            <w:tcW w:w="515" w:type="dxa"/>
            <w:shd w:val="clear" w:color="auto" w:fill="BEBEBE"/>
          </w:tcPr>
          <w:p w14:paraId="0DA211C3" w14:textId="77777777" w:rsidR="00A37B92" w:rsidRPr="00C56257" w:rsidRDefault="00A37B92" w:rsidP="00C902DF">
            <w:pPr>
              <w:widowControl w:val="0"/>
              <w:autoSpaceDE w:val="0"/>
              <w:autoSpaceDN w:val="0"/>
              <w:jc w:val="both"/>
              <w:rPr>
                <w:color w:val="000000" w:themeColor="text1"/>
              </w:rPr>
            </w:pPr>
          </w:p>
        </w:tc>
        <w:tc>
          <w:tcPr>
            <w:tcW w:w="568" w:type="dxa"/>
            <w:shd w:val="clear" w:color="auto" w:fill="BEBEBE"/>
          </w:tcPr>
          <w:p w14:paraId="1D901473" w14:textId="77777777" w:rsidR="00A37B92" w:rsidRPr="00C56257" w:rsidRDefault="00A37B92" w:rsidP="00C902DF">
            <w:pPr>
              <w:widowControl w:val="0"/>
              <w:autoSpaceDE w:val="0"/>
              <w:autoSpaceDN w:val="0"/>
              <w:jc w:val="both"/>
              <w:rPr>
                <w:color w:val="000000" w:themeColor="text1"/>
              </w:rPr>
            </w:pPr>
          </w:p>
        </w:tc>
        <w:tc>
          <w:tcPr>
            <w:tcW w:w="566" w:type="dxa"/>
            <w:shd w:val="clear" w:color="auto" w:fill="BEBEBE"/>
          </w:tcPr>
          <w:p w14:paraId="3B6D3281" w14:textId="77777777" w:rsidR="00A37B92" w:rsidRPr="00C56257" w:rsidRDefault="00A37B92" w:rsidP="00C902DF">
            <w:pPr>
              <w:widowControl w:val="0"/>
              <w:autoSpaceDE w:val="0"/>
              <w:autoSpaceDN w:val="0"/>
              <w:jc w:val="both"/>
              <w:rPr>
                <w:color w:val="000000" w:themeColor="text1"/>
              </w:rPr>
            </w:pPr>
          </w:p>
        </w:tc>
        <w:tc>
          <w:tcPr>
            <w:tcW w:w="566" w:type="dxa"/>
            <w:shd w:val="clear" w:color="auto" w:fill="BEBEBE"/>
          </w:tcPr>
          <w:p w14:paraId="67375794" w14:textId="77777777" w:rsidR="00A37B92" w:rsidRPr="00C56257" w:rsidRDefault="00A37B92" w:rsidP="00C902DF">
            <w:pPr>
              <w:widowControl w:val="0"/>
              <w:autoSpaceDE w:val="0"/>
              <w:autoSpaceDN w:val="0"/>
              <w:jc w:val="both"/>
              <w:rPr>
                <w:color w:val="000000" w:themeColor="text1"/>
              </w:rPr>
            </w:pPr>
          </w:p>
        </w:tc>
        <w:tc>
          <w:tcPr>
            <w:tcW w:w="568" w:type="dxa"/>
            <w:shd w:val="clear" w:color="auto" w:fill="BEBEBE"/>
          </w:tcPr>
          <w:p w14:paraId="5127A500" w14:textId="77777777" w:rsidR="00A37B92" w:rsidRPr="00C56257" w:rsidRDefault="00A37B92" w:rsidP="00C902DF">
            <w:pPr>
              <w:widowControl w:val="0"/>
              <w:autoSpaceDE w:val="0"/>
              <w:autoSpaceDN w:val="0"/>
              <w:jc w:val="both"/>
              <w:rPr>
                <w:color w:val="000000" w:themeColor="text1"/>
              </w:rPr>
            </w:pPr>
          </w:p>
        </w:tc>
        <w:tc>
          <w:tcPr>
            <w:tcW w:w="511" w:type="dxa"/>
          </w:tcPr>
          <w:p w14:paraId="78F1E1D7" w14:textId="77777777" w:rsidR="00A37B92" w:rsidRPr="00C56257" w:rsidRDefault="00A37B92" w:rsidP="00C902DF">
            <w:pPr>
              <w:widowControl w:val="0"/>
              <w:autoSpaceDE w:val="0"/>
              <w:autoSpaceDN w:val="0"/>
              <w:jc w:val="both"/>
              <w:rPr>
                <w:color w:val="000000" w:themeColor="text1"/>
              </w:rPr>
            </w:pPr>
          </w:p>
        </w:tc>
        <w:tc>
          <w:tcPr>
            <w:tcW w:w="2409" w:type="dxa"/>
          </w:tcPr>
          <w:p w14:paraId="7271E412" w14:textId="77777777" w:rsidR="00A37B92" w:rsidRPr="00C56257" w:rsidRDefault="00A37B92" w:rsidP="00C902DF">
            <w:pPr>
              <w:widowControl w:val="0"/>
              <w:autoSpaceDE w:val="0"/>
              <w:autoSpaceDN w:val="0"/>
              <w:spacing w:before="121" w:line="252"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16478732" w14:textId="77777777" w:rsidR="00A37B92" w:rsidRPr="00C56257" w:rsidRDefault="00A37B92" w:rsidP="009E63E5">
            <w:pPr>
              <w:widowControl w:val="0"/>
              <w:numPr>
                <w:ilvl w:val="0"/>
                <w:numId w:val="84"/>
              </w:numPr>
              <w:tabs>
                <w:tab w:val="left" w:pos="164"/>
              </w:tabs>
              <w:autoSpaceDE w:val="0"/>
              <w:autoSpaceDN w:val="0"/>
              <w:ind w:right="149" w:firstLine="0"/>
              <w:jc w:val="both"/>
              <w:rPr>
                <w:color w:val="000000" w:themeColor="text1"/>
              </w:rPr>
            </w:pPr>
            <w:r w:rsidRPr="00C56257">
              <w:rPr>
                <w:color w:val="000000" w:themeColor="text1"/>
              </w:rPr>
              <w:t>metoda releveelor sau a</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511A37FE" w14:textId="77777777" w:rsidR="00A37B92" w:rsidRPr="00C56257" w:rsidRDefault="00A37B92" w:rsidP="009E63E5">
            <w:pPr>
              <w:widowControl w:val="0"/>
              <w:numPr>
                <w:ilvl w:val="0"/>
                <w:numId w:val="84"/>
              </w:numPr>
              <w:tabs>
                <w:tab w:val="left" w:pos="275"/>
              </w:tabs>
              <w:autoSpaceDE w:val="0"/>
              <w:autoSpaceDN w:val="0"/>
              <w:ind w:left="274" w:hanging="239"/>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1872" w:type="dxa"/>
          </w:tcPr>
          <w:p w14:paraId="75E2F944" w14:textId="77777777" w:rsidR="00A37B92" w:rsidRPr="00C56257" w:rsidRDefault="00A37B92" w:rsidP="00C902DF">
            <w:pPr>
              <w:widowControl w:val="0"/>
              <w:autoSpaceDE w:val="0"/>
              <w:autoSpaceDN w:val="0"/>
              <w:ind w:right="27"/>
              <w:jc w:val="both"/>
              <w:rPr>
                <w:color w:val="000000" w:themeColor="text1"/>
              </w:rPr>
            </w:pPr>
            <w:r w:rsidRPr="00C56257">
              <w:rPr>
                <w:color w:val="000000" w:themeColor="text1"/>
              </w:rPr>
              <w:t>Min 7 relevee/ transecte de</w:t>
            </w:r>
            <w:r w:rsidRPr="00C56257">
              <w:rPr>
                <w:color w:val="000000" w:themeColor="text1"/>
                <w:spacing w:val="1"/>
              </w:rPr>
              <w:t xml:space="preserve"> </w:t>
            </w:r>
            <w:r w:rsidRPr="00C56257">
              <w:rPr>
                <w:color w:val="000000" w:themeColor="text1"/>
              </w:rPr>
              <w:t>monitorizare în cadrul ariilor</w:t>
            </w:r>
            <w:r w:rsidRPr="00C56257">
              <w:rPr>
                <w:color w:val="000000" w:themeColor="text1"/>
                <w:spacing w:val="-52"/>
              </w:rPr>
              <w:t xml:space="preserve"> </w:t>
            </w:r>
            <w:r w:rsidRPr="00C56257">
              <w:rPr>
                <w:color w:val="000000" w:themeColor="text1"/>
              </w:rPr>
              <w:t>naturale țintă şi în afara</w:t>
            </w:r>
            <w:r w:rsidRPr="00C56257">
              <w:rPr>
                <w:color w:val="000000" w:themeColor="text1"/>
                <w:spacing w:val="1"/>
              </w:rPr>
              <w:t xml:space="preserve"> </w:t>
            </w:r>
            <w:r w:rsidRPr="00C56257">
              <w:rPr>
                <w:color w:val="000000" w:themeColor="text1"/>
              </w:rPr>
              <w:t>acestora,</w:t>
            </w:r>
            <w:r w:rsidRPr="00C56257">
              <w:rPr>
                <w:color w:val="000000" w:themeColor="text1"/>
                <w:spacing w:val="-4"/>
              </w:rPr>
              <w:t xml:space="preserve"> </w:t>
            </w:r>
            <w:r w:rsidRPr="00C56257">
              <w:rPr>
                <w:color w:val="000000" w:themeColor="text1"/>
              </w:rPr>
              <w:t>în</w:t>
            </w:r>
            <w:r w:rsidRPr="00C56257">
              <w:rPr>
                <w:color w:val="000000" w:themeColor="text1"/>
                <w:spacing w:val="-3"/>
              </w:rPr>
              <w:t xml:space="preserve"> </w:t>
            </w:r>
            <w:r w:rsidRPr="00C56257">
              <w:rPr>
                <w:color w:val="000000" w:themeColor="text1"/>
              </w:rPr>
              <w:t>situația</w:t>
            </w:r>
            <w:r w:rsidRPr="00C56257">
              <w:rPr>
                <w:color w:val="000000" w:themeColor="text1"/>
                <w:spacing w:val="-3"/>
              </w:rPr>
              <w:t xml:space="preserve"> </w:t>
            </w:r>
            <w:r w:rsidRPr="00C56257">
              <w:rPr>
                <w:color w:val="000000" w:themeColor="text1"/>
              </w:rPr>
              <w:t>prezenței</w:t>
            </w:r>
          </w:p>
          <w:p w14:paraId="1F81986C" w14:textId="77777777" w:rsidR="00A37B92" w:rsidRPr="00C56257" w:rsidRDefault="00A37B92" w:rsidP="00C902DF">
            <w:pPr>
              <w:widowControl w:val="0"/>
              <w:autoSpaceDE w:val="0"/>
              <w:autoSpaceDN w:val="0"/>
              <w:spacing w:line="239" w:lineRule="exact"/>
              <w:jc w:val="both"/>
              <w:rPr>
                <w:color w:val="000000" w:themeColor="text1"/>
              </w:rPr>
            </w:pPr>
            <w:r w:rsidRPr="00C56257">
              <w:rPr>
                <w:color w:val="000000" w:themeColor="text1"/>
              </w:rPr>
              <w:t>habitatului.</w:t>
            </w:r>
          </w:p>
        </w:tc>
      </w:tr>
      <w:tr w:rsidR="00A37B92" w:rsidRPr="00C56257" w14:paraId="265809E8" w14:textId="77777777" w:rsidTr="00C902DF">
        <w:trPr>
          <w:trHeight w:val="1265"/>
        </w:trPr>
        <w:tc>
          <w:tcPr>
            <w:tcW w:w="2571" w:type="dxa"/>
          </w:tcPr>
          <w:p w14:paraId="10B48396" w14:textId="77777777" w:rsidR="00A37B92" w:rsidRPr="00C56257" w:rsidRDefault="00A37B92" w:rsidP="00C902DF">
            <w:pPr>
              <w:widowControl w:val="0"/>
              <w:autoSpaceDE w:val="0"/>
              <w:autoSpaceDN w:val="0"/>
              <w:spacing w:before="4"/>
              <w:jc w:val="both"/>
              <w:rPr>
                <w:b/>
                <w:color w:val="000000" w:themeColor="text1"/>
              </w:rPr>
            </w:pPr>
          </w:p>
          <w:p w14:paraId="7828BE85" w14:textId="77777777" w:rsidR="00A37B92" w:rsidRPr="00C56257" w:rsidRDefault="00A37B92" w:rsidP="00C902DF">
            <w:pPr>
              <w:widowControl w:val="0"/>
              <w:autoSpaceDE w:val="0"/>
              <w:autoSpaceDN w:val="0"/>
              <w:spacing w:before="1" w:line="242" w:lineRule="auto"/>
              <w:ind w:right="686"/>
              <w:jc w:val="both"/>
              <w:rPr>
                <w:color w:val="000000" w:themeColor="text1"/>
              </w:rPr>
            </w:pPr>
            <w:r w:rsidRPr="00C56257">
              <w:rPr>
                <w:color w:val="000000" w:themeColor="text1"/>
              </w:rPr>
              <w:t>2190 - Depresiuni umede</w:t>
            </w:r>
            <w:r w:rsidRPr="00C56257">
              <w:rPr>
                <w:color w:val="000000" w:themeColor="text1"/>
                <w:spacing w:val="-52"/>
              </w:rPr>
              <w:t xml:space="preserve"> </w:t>
            </w:r>
            <w:r w:rsidRPr="00C56257">
              <w:rPr>
                <w:color w:val="000000" w:themeColor="text1"/>
              </w:rPr>
              <w:t>interdunale</w:t>
            </w:r>
          </w:p>
        </w:tc>
        <w:tc>
          <w:tcPr>
            <w:tcW w:w="1224" w:type="dxa"/>
          </w:tcPr>
          <w:p w14:paraId="4E21FAE3" w14:textId="77777777" w:rsidR="00A37B92" w:rsidRPr="00C56257" w:rsidRDefault="00A37B92" w:rsidP="00C902DF">
            <w:pPr>
              <w:widowControl w:val="0"/>
              <w:autoSpaceDE w:val="0"/>
              <w:autoSpaceDN w:val="0"/>
              <w:jc w:val="both"/>
              <w:rPr>
                <w:color w:val="000000" w:themeColor="text1"/>
              </w:rPr>
            </w:pPr>
          </w:p>
        </w:tc>
        <w:tc>
          <w:tcPr>
            <w:tcW w:w="556" w:type="dxa"/>
          </w:tcPr>
          <w:p w14:paraId="08A2B900" w14:textId="77777777" w:rsidR="00A37B92" w:rsidRPr="00C56257" w:rsidRDefault="00A37B92" w:rsidP="00C902DF">
            <w:pPr>
              <w:widowControl w:val="0"/>
              <w:autoSpaceDE w:val="0"/>
              <w:autoSpaceDN w:val="0"/>
              <w:jc w:val="both"/>
              <w:rPr>
                <w:color w:val="000000" w:themeColor="text1"/>
              </w:rPr>
            </w:pPr>
          </w:p>
        </w:tc>
        <w:tc>
          <w:tcPr>
            <w:tcW w:w="570" w:type="dxa"/>
            <w:shd w:val="clear" w:color="auto" w:fill="BEBEBE"/>
          </w:tcPr>
          <w:p w14:paraId="659FE301" w14:textId="77777777" w:rsidR="00A37B92" w:rsidRPr="00C56257" w:rsidRDefault="00A37B92" w:rsidP="00C902DF">
            <w:pPr>
              <w:widowControl w:val="0"/>
              <w:autoSpaceDE w:val="0"/>
              <w:autoSpaceDN w:val="0"/>
              <w:jc w:val="both"/>
              <w:rPr>
                <w:color w:val="000000" w:themeColor="text1"/>
              </w:rPr>
            </w:pPr>
          </w:p>
        </w:tc>
        <w:tc>
          <w:tcPr>
            <w:tcW w:w="565" w:type="dxa"/>
            <w:shd w:val="clear" w:color="auto" w:fill="BEBEBE"/>
          </w:tcPr>
          <w:p w14:paraId="41D48B6F" w14:textId="77777777" w:rsidR="00A37B92" w:rsidRPr="00C56257" w:rsidRDefault="00A37B92" w:rsidP="00C902DF">
            <w:pPr>
              <w:widowControl w:val="0"/>
              <w:autoSpaceDE w:val="0"/>
              <w:autoSpaceDN w:val="0"/>
              <w:jc w:val="both"/>
              <w:rPr>
                <w:color w:val="000000" w:themeColor="text1"/>
              </w:rPr>
            </w:pPr>
          </w:p>
        </w:tc>
        <w:tc>
          <w:tcPr>
            <w:tcW w:w="565" w:type="dxa"/>
            <w:shd w:val="clear" w:color="auto" w:fill="BEBEBE"/>
          </w:tcPr>
          <w:p w14:paraId="11F5F4A6" w14:textId="77777777" w:rsidR="00A37B92" w:rsidRPr="00C56257" w:rsidRDefault="00A37B92" w:rsidP="00C902DF">
            <w:pPr>
              <w:widowControl w:val="0"/>
              <w:autoSpaceDE w:val="0"/>
              <w:autoSpaceDN w:val="0"/>
              <w:jc w:val="both"/>
              <w:rPr>
                <w:color w:val="000000" w:themeColor="text1"/>
              </w:rPr>
            </w:pPr>
          </w:p>
        </w:tc>
        <w:tc>
          <w:tcPr>
            <w:tcW w:w="568" w:type="dxa"/>
            <w:shd w:val="clear" w:color="auto" w:fill="BEBEBE"/>
          </w:tcPr>
          <w:p w14:paraId="23B7372F" w14:textId="77777777" w:rsidR="00A37B92" w:rsidRPr="00C56257" w:rsidRDefault="00A37B92" w:rsidP="00C902DF">
            <w:pPr>
              <w:widowControl w:val="0"/>
              <w:autoSpaceDE w:val="0"/>
              <w:autoSpaceDN w:val="0"/>
              <w:jc w:val="both"/>
              <w:rPr>
                <w:color w:val="000000" w:themeColor="text1"/>
              </w:rPr>
            </w:pPr>
          </w:p>
        </w:tc>
        <w:tc>
          <w:tcPr>
            <w:tcW w:w="515" w:type="dxa"/>
            <w:shd w:val="clear" w:color="auto" w:fill="BEBEBE"/>
          </w:tcPr>
          <w:p w14:paraId="46CCC65D" w14:textId="77777777" w:rsidR="00A37B92" w:rsidRPr="00C56257" w:rsidRDefault="00A37B92" w:rsidP="00C902DF">
            <w:pPr>
              <w:widowControl w:val="0"/>
              <w:autoSpaceDE w:val="0"/>
              <w:autoSpaceDN w:val="0"/>
              <w:jc w:val="both"/>
              <w:rPr>
                <w:color w:val="000000" w:themeColor="text1"/>
              </w:rPr>
            </w:pPr>
          </w:p>
        </w:tc>
        <w:tc>
          <w:tcPr>
            <w:tcW w:w="568" w:type="dxa"/>
            <w:shd w:val="clear" w:color="auto" w:fill="BEBEBE"/>
          </w:tcPr>
          <w:p w14:paraId="38E2B1C8" w14:textId="77777777" w:rsidR="00A37B92" w:rsidRPr="00C56257" w:rsidRDefault="00A37B92" w:rsidP="00C902DF">
            <w:pPr>
              <w:widowControl w:val="0"/>
              <w:autoSpaceDE w:val="0"/>
              <w:autoSpaceDN w:val="0"/>
              <w:jc w:val="both"/>
              <w:rPr>
                <w:color w:val="000000" w:themeColor="text1"/>
              </w:rPr>
            </w:pPr>
          </w:p>
        </w:tc>
        <w:tc>
          <w:tcPr>
            <w:tcW w:w="566" w:type="dxa"/>
            <w:shd w:val="clear" w:color="auto" w:fill="BEBEBE"/>
          </w:tcPr>
          <w:p w14:paraId="6BCB10E2" w14:textId="77777777" w:rsidR="00A37B92" w:rsidRPr="00C56257" w:rsidRDefault="00A37B92" w:rsidP="00C902DF">
            <w:pPr>
              <w:widowControl w:val="0"/>
              <w:autoSpaceDE w:val="0"/>
              <w:autoSpaceDN w:val="0"/>
              <w:jc w:val="both"/>
              <w:rPr>
                <w:color w:val="000000" w:themeColor="text1"/>
              </w:rPr>
            </w:pPr>
          </w:p>
        </w:tc>
        <w:tc>
          <w:tcPr>
            <w:tcW w:w="566" w:type="dxa"/>
            <w:shd w:val="clear" w:color="auto" w:fill="BEBEBE"/>
          </w:tcPr>
          <w:p w14:paraId="68539606" w14:textId="77777777" w:rsidR="00A37B92" w:rsidRPr="00C56257" w:rsidRDefault="00A37B92" w:rsidP="00C902DF">
            <w:pPr>
              <w:widowControl w:val="0"/>
              <w:autoSpaceDE w:val="0"/>
              <w:autoSpaceDN w:val="0"/>
              <w:jc w:val="both"/>
              <w:rPr>
                <w:color w:val="000000" w:themeColor="text1"/>
              </w:rPr>
            </w:pPr>
          </w:p>
        </w:tc>
        <w:tc>
          <w:tcPr>
            <w:tcW w:w="568" w:type="dxa"/>
            <w:shd w:val="clear" w:color="auto" w:fill="BEBEBE"/>
          </w:tcPr>
          <w:p w14:paraId="69AF61FB" w14:textId="77777777" w:rsidR="00A37B92" w:rsidRPr="00C56257" w:rsidRDefault="00A37B92" w:rsidP="00C902DF">
            <w:pPr>
              <w:widowControl w:val="0"/>
              <w:autoSpaceDE w:val="0"/>
              <w:autoSpaceDN w:val="0"/>
              <w:jc w:val="both"/>
              <w:rPr>
                <w:color w:val="000000" w:themeColor="text1"/>
              </w:rPr>
            </w:pPr>
          </w:p>
        </w:tc>
        <w:tc>
          <w:tcPr>
            <w:tcW w:w="511" w:type="dxa"/>
          </w:tcPr>
          <w:p w14:paraId="084ED96A" w14:textId="77777777" w:rsidR="00A37B92" w:rsidRPr="00C56257" w:rsidRDefault="00A37B92" w:rsidP="00C902DF">
            <w:pPr>
              <w:widowControl w:val="0"/>
              <w:autoSpaceDE w:val="0"/>
              <w:autoSpaceDN w:val="0"/>
              <w:jc w:val="both"/>
              <w:rPr>
                <w:color w:val="000000" w:themeColor="text1"/>
              </w:rPr>
            </w:pPr>
          </w:p>
        </w:tc>
        <w:tc>
          <w:tcPr>
            <w:tcW w:w="2409" w:type="dxa"/>
          </w:tcPr>
          <w:p w14:paraId="53F77B51" w14:textId="77777777" w:rsidR="00A37B92" w:rsidRPr="00C56257" w:rsidRDefault="00A37B92" w:rsidP="00C902DF">
            <w:pPr>
              <w:widowControl w:val="0"/>
              <w:autoSpaceDE w:val="0"/>
              <w:autoSpaceDN w:val="0"/>
              <w:spacing w:before="121" w:line="252"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5842BB06" w14:textId="77777777" w:rsidR="00A37B92" w:rsidRPr="00C56257" w:rsidRDefault="00A37B92" w:rsidP="009E63E5">
            <w:pPr>
              <w:widowControl w:val="0"/>
              <w:numPr>
                <w:ilvl w:val="0"/>
                <w:numId w:val="83"/>
              </w:numPr>
              <w:tabs>
                <w:tab w:val="left" w:pos="164"/>
              </w:tabs>
              <w:autoSpaceDE w:val="0"/>
              <w:autoSpaceDN w:val="0"/>
              <w:spacing w:line="242" w:lineRule="auto"/>
              <w:ind w:right="149" w:firstLine="0"/>
              <w:jc w:val="both"/>
              <w:rPr>
                <w:color w:val="000000" w:themeColor="text1"/>
              </w:rPr>
            </w:pPr>
            <w:r w:rsidRPr="00C56257">
              <w:rPr>
                <w:color w:val="000000" w:themeColor="text1"/>
              </w:rPr>
              <w:t>metoda releveelor sau a</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130DC4E7" w14:textId="77777777" w:rsidR="00A37B92" w:rsidRPr="00C56257" w:rsidRDefault="00A37B92" w:rsidP="009E63E5">
            <w:pPr>
              <w:widowControl w:val="0"/>
              <w:numPr>
                <w:ilvl w:val="0"/>
                <w:numId w:val="83"/>
              </w:numPr>
              <w:tabs>
                <w:tab w:val="left" w:pos="164"/>
              </w:tabs>
              <w:autoSpaceDE w:val="0"/>
              <w:autoSpaceDN w:val="0"/>
              <w:spacing w:line="249" w:lineRule="exact"/>
              <w:ind w:left="164"/>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1872" w:type="dxa"/>
          </w:tcPr>
          <w:p w14:paraId="12477EBA" w14:textId="77777777" w:rsidR="00A37B92" w:rsidRPr="00C56257" w:rsidRDefault="00A37B92" w:rsidP="00C902DF">
            <w:pPr>
              <w:widowControl w:val="0"/>
              <w:autoSpaceDE w:val="0"/>
              <w:autoSpaceDN w:val="0"/>
              <w:ind w:right="27"/>
              <w:jc w:val="both"/>
              <w:rPr>
                <w:color w:val="000000" w:themeColor="text1"/>
              </w:rPr>
            </w:pPr>
            <w:r w:rsidRPr="00C56257">
              <w:rPr>
                <w:color w:val="000000" w:themeColor="text1"/>
              </w:rPr>
              <w:t>Min 7 relevee/ transecte de</w:t>
            </w:r>
            <w:r w:rsidRPr="00C56257">
              <w:rPr>
                <w:color w:val="000000" w:themeColor="text1"/>
                <w:spacing w:val="1"/>
              </w:rPr>
              <w:t xml:space="preserve"> </w:t>
            </w:r>
            <w:r w:rsidRPr="00C56257">
              <w:rPr>
                <w:color w:val="000000" w:themeColor="text1"/>
              </w:rPr>
              <w:t>monitorizare în cadrul ariilor</w:t>
            </w:r>
            <w:r w:rsidRPr="00C56257">
              <w:rPr>
                <w:color w:val="000000" w:themeColor="text1"/>
                <w:spacing w:val="-52"/>
              </w:rPr>
              <w:t xml:space="preserve"> </w:t>
            </w:r>
            <w:r w:rsidRPr="00C56257">
              <w:rPr>
                <w:color w:val="000000" w:themeColor="text1"/>
              </w:rPr>
              <w:t>naturale țintă şi în afara</w:t>
            </w:r>
            <w:r w:rsidRPr="00C56257">
              <w:rPr>
                <w:color w:val="000000" w:themeColor="text1"/>
                <w:spacing w:val="1"/>
              </w:rPr>
              <w:t xml:space="preserve"> </w:t>
            </w:r>
            <w:r w:rsidRPr="00C56257">
              <w:rPr>
                <w:color w:val="000000" w:themeColor="text1"/>
              </w:rPr>
              <w:t>acestora,</w:t>
            </w:r>
            <w:r w:rsidRPr="00C56257">
              <w:rPr>
                <w:color w:val="000000" w:themeColor="text1"/>
                <w:spacing w:val="-4"/>
              </w:rPr>
              <w:t xml:space="preserve"> </w:t>
            </w:r>
            <w:r w:rsidRPr="00C56257">
              <w:rPr>
                <w:color w:val="000000" w:themeColor="text1"/>
              </w:rPr>
              <w:t>în</w:t>
            </w:r>
            <w:r w:rsidRPr="00C56257">
              <w:rPr>
                <w:color w:val="000000" w:themeColor="text1"/>
                <w:spacing w:val="-3"/>
              </w:rPr>
              <w:t xml:space="preserve"> </w:t>
            </w:r>
            <w:r w:rsidRPr="00C56257">
              <w:rPr>
                <w:color w:val="000000" w:themeColor="text1"/>
              </w:rPr>
              <w:t>situația</w:t>
            </w:r>
            <w:r w:rsidRPr="00C56257">
              <w:rPr>
                <w:color w:val="000000" w:themeColor="text1"/>
                <w:spacing w:val="-3"/>
              </w:rPr>
              <w:t xml:space="preserve"> </w:t>
            </w:r>
            <w:r w:rsidRPr="00C56257">
              <w:rPr>
                <w:color w:val="000000" w:themeColor="text1"/>
              </w:rPr>
              <w:t>prezenței</w:t>
            </w:r>
          </w:p>
          <w:p w14:paraId="5BD570DF" w14:textId="77777777" w:rsidR="00A37B92" w:rsidRPr="00C56257" w:rsidRDefault="00A37B92" w:rsidP="00C902DF">
            <w:pPr>
              <w:widowControl w:val="0"/>
              <w:autoSpaceDE w:val="0"/>
              <w:autoSpaceDN w:val="0"/>
              <w:spacing w:line="238" w:lineRule="exact"/>
              <w:jc w:val="both"/>
              <w:rPr>
                <w:color w:val="000000" w:themeColor="text1"/>
              </w:rPr>
            </w:pPr>
            <w:r w:rsidRPr="00C56257">
              <w:rPr>
                <w:color w:val="000000" w:themeColor="text1"/>
              </w:rPr>
              <w:t>habitatului.</w:t>
            </w:r>
          </w:p>
        </w:tc>
      </w:tr>
      <w:tr w:rsidR="00A37B92" w:rsidRPr="00C56257" w14:paraId="168C2D39" w14:textId="77777777" w:rsidTr="00C902DF">
        <w:trPr>
          <w:trHeight w:val="1264"/>
        </w:trPr>
        <w:tc>
          <w:tcPr>
            <w:tcW w:w="2571" w:type="dxa"/>
          </w:tcPr>
          <w:p w14:paraId="1A80DC87" w14:textId="77777777" w:rsidR="00A37B92" w:rsidRPr="00C56257" w:rsidRDefault="00A37B92" w:rsidP="00C902DF">
            <w:pPr>
              <w:widowControl w:val="0"/>
              <w:autoSpaceDE w:val="0"/>
              <w:autoSpaceDN w:val="0"/>
              <w:jc w:val="both"/>
              <w:rPr>
                <w:b/>
                <w:color w:val="000000" w:themeColor="text1"/>
              </w:rPr>
            </w:pPr>
          </w:p>
          <w:p w14:paraId="5C98F950" w14:textId="77777777" w:rsidR="00A37B92" w:rsidRPr="00C56257" w:rsidRDefault="00A37B92" w:rsidP="00C902DF">
            <w:pPr>
              <w:widowControl w:val="0"/>
              <w:autoSpaceDE w:val="0"/>
              <w:autoSpaceDN w:val="0"/>
              <w:spacing w:before="5"/>
              <w:jc w:val="both"/>
              <w:rPr>
                <w:b/>
                <w:color w:val="000000" w:themeColor="text1"/>
              </w:rPr>
            </w:pPr>
          </w:p>
          <w:p w14:paraId="73A15CD5" w14:textId="77777777" w:rsidR="00A37B92" w:rsidRPr="00C56257" w:rsidRDefault="00A37B92" w:rsidP="00C902DF">
            <w:pPr>
              <w:widowControl w:val="0"/>
              <w:autoSpaceDE w:val="0"/>
              <w:autoSpaceDN w:val="0"/>
              <w:jc w:val="both"/>
              <w:rPr>
                <w:color w:val="000000" w:themeColor="text1"/>
              </w:rPr>
            </w:pPr>
            <w:r w:rsidRPr="00C56257">
              <w:rPr>
                <w:color w:val="000000" w:themeColor="text1"/>
              </w:rPr>
              <w:t>2340* -</w:t>
            </w:r>
            <w:r w:rsidRPr="00C56257">
              <w:rPr>
                <w:color w:val="000000" w:themeColor="text1"/>
                <w:spacing w:val="-3"/>
              </w:rPr>
              <w:t xml:space="preserve"> </w:t>
            </w:r>
            <w:r w:rsidRPr="00C56257">
              <w:rPr>
                <w:color w:val="000000" w:themeColor="text1"/>
              </w:rPr>
              <w:t>*Dune panonice</w:t>
            </w:r>
          </w:p>
        </w:tc>
        <w:tc>
          <w:tcPr>
            <w:tcW w:w="1224" w:type="dxa"/>
          </w:tcPr>
          <w:p w14:paraId="1073515E" w14:textId="77777777" w:rsidR="00A37B92" w:rsidRPr="00C56257" w:rsidRDefault="00A37B92" w:rsidP="00C902DF">
            <w:pPr>
              <w:widowControl w:val="0"/>
              <w:autoSpaceDE w:val="0"/>
              <w:autoSpaceDN w:val="0"/>
              <w:jc w:val="both"/>
              <w:rPr>
                <w:color w:val="000000" w:themeColor="text1"/>
              </w:rPr>
            </w:pPr>
          </w:p>
        </w:tc>
        <w:tc>
          <w:tcPr>
            <w:tcW w:w="556" w:type="dxa"/>
          </w:tcPr>
          <w:p w14:paraId="33052B89" w14:textId="77777777" w:rsidR="00A37B92" w:rsidRPr="00C56257" w:rsidRDefault="00A37B92" w:rsidP="00C902DF">
            <w:pPr>
              <w:widowControl w:val="0"/>
              <w:autoSpaceDE w:val="0"/>
              <w:autoSpaceDN w:val="0"/>
              <w:jc w:val="both"/>
              <w:rPr>
                <w:color w:val="000000" w:themeColor="text1"/>
              </w:rPr>
            </w:pPr>
          </w:p>
        </w:tc>
        <w:tc>
          <w:tcPr>
            <w:tcW w:w="570" w:type="dxa"/>
            <w:shd w:val="clear" w:color="auto" w:fill="BEBEBE"/>
          </w:tcPr>
          <w:p w14:paraId="6863FCEF" w14:textId="77777777" w:rsidR="00A37B92" w:rsidRPr="00C56257" w:rsidRDefault="00A37B92" w:rsidP="00C902DF">
            <w:pPr>
              <w:widowControl w:val="0"/>
              <w:autoSpaceDE w:val="0"/>
              <w:autoSpaceDN w:val="0"/>
              <w:jc w:val="both"/>
              <w:rPr>
                <w:color w:val="000000" w:themeColor="text1"/>
              </w:rPr>
            </w:pPr>
          </w:p>
        </w:tc>
        <w:tc>
          <w:tcPr>
            <w:tcW w:w="565" w:type="dxa"/>
            <w:shd w:val="clear" w:color="auto" w:fill="BEBEBE"/>
          </w:tcPr>
          <w:p w14:paraId="5EEB58AE" w14:textId="77777777" w:rsidR="00A37B92" w:rsidRPr="00C56257" w:rsidRDefault="00A37B92" w:rsidP="00C902DF">
            <w:pPr>
              <w:widowControl w:val="0"/>
              <w:autoSpaceDE w:val="0"/>
              <w:autoSpaceDN w:val="0"/>
              <w:jc w:val="both"/>
              <w:rPr>
                <w:color w:val="000000" w:themeColor="text1"/>
              </w:rPr>
            </w:pPr>
          </w:p>
        </w:tc>
        <w:tc>
          <w:tcPr>
            <w:tcW w:w="565" w:type="dxa"/>
            <w:shd w:val="clear" w:color="auto" w:fill="BEBEBE"/>
          </w:tcPr>
          <w:p w14:paraId="05B5EEB8" w14:textId="77777777" w:rsidR="00A37B92" w:rsidRPr="00C56257" w:rsidRDefault="00A37B92" w:rsidP="00C902DF">
            <w:pPr>
              <w:widowControl w:val="0"/>
              <w:autoSpaceDE w:val="0"/>
              <w:autoSpaceDN w:val="0"/>
              <w:jc w:val="both"/>
              <w:rPr>
                <w:color w:val="000000" w:themeColor="text1"/>
              </w:rPr>
            </w:pPr>
          </w:p>
        </w:tc>
        <w:tc>
          <w:tcPr>
            <w:tcW w:w="568" w:type="dxa"/>
            <w:shd w:val="clear" w:color="auto" w:fill="BEBEBE"/>
          </w:tcPr>
          <w:p w14:paraId="2F93C4B6" w14:textId="77777777" w:rsidR="00A37B92" w:rsidRPr="00C56257" w:rsidRDefault="00A37B92" w:rsidP="00C902DF">
            <w:pPr>
              <w:widowControl w:val="0"/>
              <w:autoSpaceDE w:val="0"/>
              <w:autoSpaceDN w:val="0"/>
              <w:jc w:val="both"/>
              <w:rPr>
                <w:color w:val="000000" w:themeColor="text1"/>
              </w:rPr>
            </w:pPr>
          </w:p>
        </w:tc>
        <w:tc>
          <w:tcPr>
            <w:tcW w:w="515" w:type="dxa"/>
            <w:shd w:val="clear" w:color="auto" w:fill="BEBEBE"/>
          </w:tcPr>
          <w:p w14:paraId="52EE58FA" w14:textId="77777777" w:rsidR="00A37B92" w:rsidRPr="00C56257" w:rsidRDefault="00A37B92" w:rsidP="00C902DF">
            <w:pPr>
              <w:widowControl w:val="0"/>
              <w:autoSpaceDE w:val="0"/>
              <w:autoSpaceDN w:val="0"/>
              <w:jc w:val="both"/>
              <w:rPr>
                <w:color w:val="000000" w:themeColor="text1"/>
              </w:rPr>
            </w:pPr>
          </w:p>
        </w:tc>
        <w:tc>
          <w:tcPr>
            <w:tcW w:w="568" w:type="dxa"/>
            <w:shd w:val="clear" w:color="auto" w:fill="BEBEBE"/>
          </w:tcPr>
          <w:p w14:paraId="1CD84703" w14:textId="77777777" w:rsidR="00A37B92" w:rsidRPr="00C56257" w:rsidRDefault="00A37B92" w:rsidP="00C902DF">
            <w:pPr>
              <w:widowControl w:val="0"/>
              <w:autoSpaceDE w:val="0"/>
              <w:autoSpaceDN w:val="0"/>
              <w:jc w:val="both"/>
              <w:rPr>
                <w:color w:val="000000" w:themeColor="text1"/>
              </w:rPr>
            </w:pPr>
          </w:p>
        </w:tc>
        <w:tc>
          <w:tcPr>
            <w:tcW w:w="566" w:type="dxa"/>
            <w:shd w:val="clear" w:color="auto" w:fill="BEBEBE"/>
          </w:tcPr>
          <w:p w14:paraId="30290FEA" w14:textId="77777777" w:rsidR="00A37B92" w:rsidRPr="00C56257" w:rsidRDefault="00A37B92" w:rsidP="00C902DF">
            <w:pPr>
              <w:widowControl w:val="0"/>
              <w:autoSpaceDE w:val="0"/>
              <w:autoSpaceDN w:val="0"/>
              <w:jc w:val="both"/>
              <w:rPr>
                <w:color w:val="000000" w:themeColor="text1"/>
              </w:rPr>
            </w:pPr>
          </w:p>
        </w:tc>
        <w:tc>
          <w:tcPr>
            <w:tcW w:w="566" w:type="dxa"/>
            <w:shd w:val="clear" w:color="auto" w:fill="BEBEBE"/>
          </w:tcPr>
          <w:p w14:paraId="325444F9" w14:textId="77777777" w:rsidR="00A37B92" w:rsidRPr="00C56257" w:rsidRDefault="00A37B92" w:rsidP="00C902DF">
            <w:pPr>
              <w:widowControl w:val="0"/>
              <w:autoSpaceDE w:val="0"/>
              <w:autoSpaceDN w:val="0"/>
              <w:jc w:val="both"/>
              <w:rPr>
                <w:color w:val="000000" w:themeColor="text1"/>
              </w:rPr>
            </w:pPr>
          </w:p>
        </w:tc>
        <w:tc>
          <w:tcPr>
            <w:tcW w:w="568" w:type="dxa"/>
            <w:shd w:val="clear" w:color="auto" w:fill="BEBEBE"/>
          </w:tcPr>
          <w:p w14:paraId="65E6CA70" w14:textId="77777777" w:rsidR="00A37B92" w:rsidRPr="00C56257" w:rsidRDefault="00A37B92" w:rsidP="00C902DF">
            <w:pPr>
              <w:widowControl w:val="0"/>
              <w:autoSpaceDE w:val="0"/>
              <w:autoSpaceDN w:val="0"/>
              <w:jc w:val="both"/>
              <w:rPr>
                <w:color w:val="000000" w:themeColor="text1"/>
              </w:rPr>
            </w:pPr>
          </w:p>
        </w:tc>
        <w:tc>
          <w:tcPr>
            <w:tcW w:w="511" w:type="dxa"/>
          </w:tcPr>
          <w:p w14:paraId="61F11D8D" w14:textId="77777777" w:rsidR="00A37B92" w:rsidRPr="00C56257" w:rsidRDefault="00A37B92" w:rsidP="00C902DF">
            <w:pPr>
              <w:widowControl w:val="0"/>
              <w:autoSpaceDE w:val="0"/>
              <w:autoSpaceDN w:val="0"/>
              <w:jc w:val="both"/>
              <w:rPr>
                <w:color w:val="000000" w:themeColor="text1"/>
              </w:rPr>
            </w:pPr>
          </w:p>
        </w:tc>
        <w:tc>
          <w:tcPr>
            <w:tcW w:w="2409" w:type="dxa"/>
          </w:tcPr>
          <w:p w14:paraId="7A079584" w14:textId="77777777" w:rsidR="00A37B92" w:rsidRPr="00C56257" w:rsidRDefault="00A37B92" w:rsidP="00C902DF">
            <w:pPr>
              <w:widowControl w:val="0"/>
              <w:autoSpaceDE w:val="0"/>
              <w:autoSpaceDN w:val="0"/>
              <w:spacing w:before="121" w:line="252"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0FFFED5B" w14:textId="77777777" w:rsidR="00A37B92" w:rsidRPr="00C56257" w:rsidRDefault="00A37B92" w:rsidP="009E63E5">
            <w:pPr>
              <w:widowControl w:val="0"/>
              <w:numPr>
                <w:ilvl w:val="0"/>
                <w:numId w:val="82"/>
              </w:numPr>
              <w:tabs>
                <w:tab w:val="left" w:pos="164"/>
              </w:tabs>
              <w:autoSpaceDE w:val="0"/>
              <w:autoSpaceDN w:val="0"/>
              <w:ind w:right="149" w:firstLine="0"/>
              <w:jc w:val="both"/>
              <w:rPr>
                <w:color w:val="000000" w:themeColor="text1"/>
              </w:rPr>
            </w:pPr>
            <w:r w:rsidRPr="00C56257">
              <w:rPr>
                <w:color w:val="000000" w:themeColor="text1"/>
              </w:rPr>
              <w:t>metoda releveelor sau a</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68416E09" w14:textId="77777777" w:rsidR="00A37B92" w:rsidRPr="00C56257" w:rsidRDefault="00A37B92" w:rsidP="009E63E5">
            <w:pPr>
              <w:widowControl w:val="0"/>
              <w:numPr>
                <w:ilvl w:val="0"/>
                <w:numId w:val="82"/>
              </w:numPr>
              <w:tabs>
                <w:tab w:val="left" w:pos="275"/>
              </w:tabs>
              <w:autoSpaceDE w:val="0"/>
              <w:autoSpaceDN w:val="0"/>
              <w:ind w:left="274" w:hanging="239"/>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1872" w:type="dxa"/>
          </w:tcPr>
          <w:p w14:paraId="31272F07" w14:textId="77777777" w:rsidR="00A37B92" w:rsidRPr="00C56257" w:rsidRDefault="00A37B92" w:rsidP="00C902DF">
            <w:pPr>
              <w:widowControl w:val="0"/>
              <w:autoSpaceDE w:val="0"/>
              <w:autoSpaceDN w:val="0"/>
              <w:ind w:right="27"/>
              <w:jc w:val="both"/>
              <w:rPr>
                <w:color w:val="000000" w:themeColor="text1"/>
              </w:rPr>
            </w:pPr>
            <w:r w:rsidRPr="00C56257">
              <w:rPr>
                <w:color w:val="000000" w:themeColor="text1"/>
              </w:rPr>
              <w:t>Min 7 relevee/ transecte de</w:t>
            </w:r>
            <w:r w:rsidRPr="00C56257">
              <w:rPr>
                <w:color w:val="000000" w:themeColor="text1"/>
                <w:spacing w:val="1"/>
              </w:rPr>
              <w:t xml:space="preserve"> </w:t>
            </w:r>
            <w:r w:rsidRPr="00C56257">
              <w:rPr>
                <w:color w:val="000000" w:themeColor="text1"/>
              </w:rPr>
              <w:t>monitorizare în cadrul ariilor</w:t>
            </w:r>
            <w:r w:rsidRPr="00C56257">
              <w:rPr>
                <w:color w:val="000000" w:themeColor="text1"/>
                <w:spacing w:val="-52"/>
              </w:rPr>
              <w:t xml:space="preserve"> </w:t>
            </w:r>
            <w:r w:rsidRPr="00C56257">
              <w:rPr>
                <w:color w:val="000000" w:themeColor="text1"/>
              </w:rPr>
              <w:t>naturale țintă şi în afara</w:t>
            </w:r>
            <w:r w:rsidRPr="00C56257">
              <w:rPr>
                <w:color w:val="000000" w:themeColor="text1"/>
                <w:spacing w:val="1"/>
              </w:rPr>
              <w:t xml:space="preserve"> </w:t>
            </w:r>
            <w:r w:rsidRPr="00C56257">
              <w:rPr>
                <w:color w:val="000000" w:themeColor="text1"/>
              </w:rPr>
              <w:t>acestora,</w:t>
            </w:r>
            <w:r w:rsidRPr="00C56257">
              <w:rPr>
                <w:color w:val="000000" w:themeColor="text1"/>
                <w:spacing w:val="-4"/>
              </w:rPr>
              <w:t xml:space="preserve"> </w:t>
            </w:r>
            <w:r w:rsidRPr="00C56257">
              <w:rPr>
                <w:color w:val="000000" w:themeColor="text1"/>
              </w:rPr>
              <w:t>în</w:t>
            </w:r>
            <w:r w:rsidRPr="00C56257">
              <w:rPr>
                <w:color w:val="000000" w:themeColor="text1"/>
                <w:spacing w:val="-3"/>
              </w:rPr>
              <w:t xml:space="preserve"> </w:t>
            </w:r>
            <w:r w:rsidRPr="00C56257">
              <w:rPr>
                <w:color w:val="000000" w:themeColor="text1"/>
              </w:rPr>
              <w:t>situația</w:t>
            </w:r>
            <w:r w:rsidRPr="00C56257">
              <w:rPr>
                <w:color w:val="000000" w:themeColor="text1"/>
                <w:spacing w:val="-3"/>
              </w:rPr>
              <w:t xml:space="preserve"> </w:t>
            </w:r>
            <w:r w:rsidRPr="00C56257">
              <w:rPr>
                <w:color w:val="000000" w:themeColor="text1"/>
              </w:rPr>
              <w:t>prezenței</w:t>
            </w:r>
          </w:p>
          <w:p w14:paraId="4743FEA0" w14:textId="77777777" w:rsidR="00A37B92" w:rsidRPr="00C56257" w:rsidRDefault="00A37B92" w:rsidP="00C902DF">
            <w:pPr>
              <w:widowControl w:val="0"/>
              <w:autoSpaceDE w:val="0"/>
              <w:autoSpaceDN w:val="0"/>
              <w:spacing w:line="238" w:lineRule="exact"/>
              <w:jc w:val="both"/>
              <w:rPr>
                <w:color w:val="000000" w:themeColor="text1"/>
              </w:rPr>
            </w:pPr>
            <w:r w:rsidRPr="00C56257">
              <w:rPr>
                <w:color w:val="000000" w:themeColor="text1"/>
              </w:rPr>
              <w:t>habitatului.</w:t>
            </w:r>
          </w:p>
        </w:tc>
      </w:tr>
    </w:tbl>
    <w:p w14:paraId="1AAFA92B" w14:textId="77777777" w:rsidR="00A37B92" w:rsidRPr="00C56257" w:rsidRDefault="00A37B92" w:rsidP="00A37B92">
      <w:pPr>
        <w:spacing w:after="160" w:line="259" w:lineRule="auto"/>
        <w:jc w:val="both"/>
        <w:rPr>
          <w:bCs/>
          <w:color w:val="000000" w:themeColor="text1"/>
        </w:rPr>
        <w:sectPr w:rsidR="00A37B92" w:rsidRPr="00C56257" w:rsidSect="00E1608A">
          <w:pgSz w:w="16840" w:h="11910" w:orient="landscape"/>
          <w:pgMar w:top="1066" w:right="1411" w:bottom="245" w:left="1598" w:header="0" w:footer="1412" w:gutter="0"/>
          <w:cols w:space="708"/>
          <w:docGrid w:linePitch="326"/>
        </w:sectPr>
      </w:pPr>
    </w:p>
    <w:p w14:paraId="5FF998B5" w14:textId="77777777" w:rsidR="005C0D69" w:rsidRPr="00C56257" w:rsidRDefault="005C0D69" w:rsidP="008E33FD">
      <w:pPr>
        <w:widowControl w:val="0"/>
        <w:autoSpaceDE w:val="0"/>
        <w:autoSpaceDN w:val="0"/>
        <w:spacing w:before="9"/>
        <w:jc w:val="both"/>
        <w:rPr>
          <w:color w:val="000000" w:themeColor="text1"/>
        </w:rPr>
      </w:pPr>
    </w:p>
    <w:p w14:paraId="0564398A" w14:textId="77777777" w:rsidR="0017379F" w:rsidRDefault="00411BEE" w:rsidP="00F100E1">
      <w:pPr>
        <w:pStyle w:val="BodyText"/>
        <w:spacing w:line="274" w:lineRule="exact"/>
        <w:ind w:left="0"/>
        <w:jc w:val="both"/>
        <w:rPr>
          <w:b/>
          <w:bCs/>
          <w:color w:val="000000" w:themeColor="text1"/>
          <w:sz w:val="24"/>
          <w:szCs w:val="24"/>
          <w:lang w:val="fr-FR"/>
        </w:rPr>
      </w:pPr>
      <w:proofErr w:type="spellStart"/>
      <w:r w:rsidRPr="00411BEE">
        <w:rPr>
          <w:b/>
          <w:bCs/>
          <w:color w:val="000000" w:themeColor="text1"/>
          <w:sz w:val="24"/>
          <w:szCs w:val="24"/>
          <w:lang w:val="fr-FR"/>
        </w:rPr>
        <w:t>Capitolul</w:t>
      </w:r>
      <w:proofErr w:type="spellEnd"/>
      <w:r w:rsidRPr="00411BEE">
        <w:rPr>
          <w:b/>
          <w:bCs/>
          <w:color w:val="000000" w:themeColor="text1"/>
          <w:sz w:val="24"/>
          <w:szCs w:val="24"/>
          <w:lang w:val="fr-FR"/>
        </w:rPr>
        <w:t xml:space="preserve"> 3.2 </w:t>
      </w:r>
      <w:proofErr w:type="spellStart"/>
      <w:r w:rsidRPr="00411BEE">
        <w:rPr>
          <w:b/>
          <w:bCs/>
          <w:color w:val="000000" w:themeColor="text1"/>
          <w:sz w:val="24"/>
          <w:szCs w:val="24"/>
          <w:lang w:val="fr-FR"/>
        </w:rPr>
        <w:t>Metodologi</w:t>
      </w:r>
      <w:r w:rsidR="0017673F">
        <w:rPr>
          <w:b/>
          <w:bCs/>
          <w:color w:val="000000" w:themeColor="text1"/>
          <w:sz w:val="24"/>
          <w:szCs w:val="24"/>
          <w:lang w:val="fr-FR"/>
        </w:rPr>
        <w:t>a</w:t>
      </w:r>
      <w:proofErr w:type="spellEnd"/>
      <w:r w:rsidRPr="00411BEE">
        <w:rPr>
          <w:b/>
          <w:bCs/>
          <w:color w:val="000000" w:themeColor="text1"/>
          <w:sz w:val="24"/>
          <w:szCs w:val="24"/>
          <w:lang w:val="fr-FR"/>
        </w:rPr>
        <w:t xml:space="preserve"> de </w:t>
      </w:r>
      <w:proofErr w:type="spellStart"/>
      <w:r w:rsidRPr="00411BEE">
        <w:rPr>
          <w:b/>
          <w:bCs/>
          <w:color w:val="000000" w:themeColor="text1"/>
          <w:sz w:val="24"/>
          <w:szCs w:val="24"/>
          <w:lang w:val="fr-FR"/>
        </w:rPr>
        <w:t>monitorizare</w:t>
      </w:r>
      <w:proofErr w:type="spellEnd"/>
      <w:r w:rsidRPr="00411BEE">
        <w:rPr>
          <w:b/>
          <w:bCs/>
          <w:color w:val="000000" w:themeColor="text1"/>
          <w:sz w:val="24"/>
          <w:szCs w:val="24"/>
          <w:lang w:val="fr-FR"/>
        </w:rPr>
        <w:t xml:space="preserve"> a </w:t>
      </w:r>
      <w:proofErr w:type="spellStart"/>
      <w:r w:rsidRPr="00411BEE">
        <w:rPr>
          <w:b/>
          <w:bCs/>
          <w:color w:val="000000" w:themeColor="text1"/>
          <w:sz w:val="24"/>
          <w:szCs w:val="24"/>
          <w:lang w:val="fr-FR"/>
        </w:rPr>
        <w:t>stării</w:t>
      </w:r>
      <w:proofErr w:type="spellEnd"/>
      <w:r w:rsidRPr="00411BEE">
        <w:rPr>
          <w:b/>
          <w:bCs/>
          <w:color w:val="000000" w:themeColor="text1"/>
          <w:sz w:val="24"/>
          <w:szCs w:val="24"/>
          <w:lang w:val="fr-FR"/>
        </w:rPr>
        <w:t xml:space="preserve"> de </w:t>
      </w:r>
      <w:proofErr w:type="spellStart"/>
      <w:r w:rsidRPr="00411BEE">
        <w:rPr>
          <w:b/>
          <w:bCs/>
          <w:color w:val="000000" w:themeColor="text1"/>
          <w:sz w:val="24"/>
          <w:szCs w:val="24"/>
          <w:lang w:val="fr-FR"/>
        </w:rPr>
        <w:t>conservare</w:t>
      </w:r>
      <w:proofErr w:type="spellEnd"/>
      <w:r w:rsidRPr="00411BEE">
        <w:rPr>
          <w:b/>
          <w:bCs/>
          <w:color w:val="000000" w:themeColor="text1"/>
          <w:sz w:val="24"/>
          <w:szCs w:val="24"/>
          <w:lang w:val="fr-FR"/>
        </w:rPr>
        <w:t xml:space="preserve"> a </w:t>
      </w:r>
      <w:proofErr w:type="spellStart"/>
      <w:r w:rsidRPr="00411BEE">
        <w:rPr>
          <w:b/>
          <w:bCs/>
          <w:color w:val="000000" w:themeColor="text1"/>
          <w:sz w:val="24"/>
          <w:szCs w:val="24"/>
          <w:lang w:val="fr-FR"/>
        </w:rPr>
        <w:t>habitatelor</w:t>
      </w:r>
      <w:proofErr w:type="spellEnd"/>
      <w:r w:rsidRPr="00411BEE">
        <w:rPr>
          <w:b/>
          <w:bCs/>
          <w:color w:val="000000" w:themeColor="text1"/>
          <w:sz w:val="24"/>
          <w:szCs w:val="24"/>
          <w:lang w:val="fr-FR"/>
        </w:rPr>
        <w:t xml:space="preserve"> de dune continentale de </w:t>
      </w:r>
      <w:proofErr w:type="spellStart"/>
      <w:r w:rsidRPr="00411BEE">
        <w:rPr>
          <w:b/>
          <w:bCs/>
          <w:color w:val="000000" w:themeColor="text1"/>
          <w:sz w:val="24"/>
          <w:szCs w:val="24"/>
          <w:lang w:val="fr-FR"/>
        </w:rPr>
        <w:t>interes</w:t>
      </w:r>
      <w:proofErr w:type="spellEnd"/>
      <w:r w:rsidRPr="00411BEE">
        <w:rPr>
          <w:b/>
          <w:bCs/>
          <w:color w:val="000000" w:themeColor="text1"/>
          <w:sz w:val="24"/>
          <w:szCs w:val="24"/>
          <w:lang w:val="fr-FR"/>
        </w:rPr>
        <w:t xml:space="preserve"> </w:t>
      </w:r>
      <w:proofErr w:type="spellStart"/>
      <w:r w:rsidRPr="00411BEE">
        <w:rPr>
          <w:b/>
          <w:bCs/>
          <w:color w:val="000000" w:themeColor="text1"/>
          <w:sz w:val="24"/>
          <w:szCs w:val="24"/>
          <w:lang w:val="fr-FR"/>
        </w:rPr>
        <w:t>comunitar</w:t>
      </w:r>
      <w:proofErr w:type="spellEnd"/>
    </w:p>
    <w:p w14:paraId="7100182E" w14:textId="77777777" w:rsidR="00266609" w:rsidRDefault="00266609" w:rsidP="00F100E1">
      <w:pPr>
        <w:pStyle w:val="BodyText"/>
        <w:spacing w:line="274" w:lineRule="exact"/>
        <w:ind w:left="0"/>
        <w:jc w:val="both"/>
        <w:rPr>
          <w:b/>
          <w:bCs/>
          <w:color w:val="000000" w:themeColor="text1"/>
          <w:sz w:val="24"/>
          <w:szCs w:val="24"/>
          <w:lang w:val="fr-FR"/>
        </w:rPr>
      </w:pPr>
    </w:p>
    <w:p w14:paraId="2BAC8DA1" w14:textId="77777777" w:rsidR="0017673F" w:rsidRPr="00C56257" w:rsidRDefault="0017673F" w:rsidP="00F100E1">
      <w:pPr>
        <w:pStyle w:val="BodyText"/>
        <w:spacing w:line="274" w:lineRule="exact"/>
        <w:ind w:left="0"/>
        <w:jc w:val="both"/>
        <w:rPr>
          <w:rFonts w:eastAsia="Times New Roman"/>
          <w:b/>
          <w:color w:val="000000" w:themeColor="text1"/>
          <w:sz w:val="24"/>
          <w:szCs w:val="24"/>
          <w:lang w:val="ro-RO"/>
        </w:rPr>
      </w:pPr>
      <w:bookmarkStart w:id="27" w:name="_Hlk140144648"/>
      <w:r w:rsidRPr="0017673F">
        <w:rPr>
          <w:rFonts w:eastAsia="Times New Roman"/>
          <w:bCs/>
          <w:color w:val="000000" w:themeColor="text1"/>
          <w:sz w:val="24"/>
          <w:szCs w:val="24"/>
          <w:lang w:val="ro-RO"/>
        </w:rPr>
        <w:t xml:space="preserve">Metodologia și planul de monitorizare pentru colectarea datelor din teren </w:t>
      </w:r>
      <w:r w:rsidR="00266609">
        <w:rPr>
          <w:rFonts w:eastAsia="Times New Roman"/>
          <w:bCs/>
          <w:color w:val="000000" w:themeColor="text1"/>
          <w:sz w:val="24"/>
          <w:szCs w:val="24"/>
          <w:lang w:val="ro-RO"/>
        </w:rPr>
        <w:t xml:space="preserve"> </w:t>
      </w:r>
      <w:r w:rsidR="00E12F5B">
        <w:rPr>
          <w:rFonts w:eastAsia="Times New Roman"/>
          <w:bCs/>
          <w:color w:val="000000" w:themeColor="text1"/>
          <w:sz w:val="24"/>
          <w:szCs w:val="24"/>
          <w:lang w:val="ro-RO"/>
        </w:rPr>
        <w:t>și pentru evaluarea stăr</w:t>
      </w:r>
      <w:r w:rsidR="00266609" w:rsidRPr="00E12F5B">
        <w:rPr>
          <w:rFonts w:eastAsia="Times New Roman"/>
          <w:bCs/>
          <w:color w:val="000000" w:themeColor="text1"/>
          <w:sz w:val="24"/>
          <w:szCs w:val="24"/>
          <w:lang w:val="ro-RO"/>
        </w:rPr>
        <w:t>ii de conservare</w:t>
      </w:r>
      <w:r w:rsidR="00266609">
        <w:rPr>
          <w:rFonts w:eastAsia="Times New Roman"/>
          <w:bCs/>
          <w:color w:val="000000" w:themeColor="text1"/>
          <w:sz w:val="24"/>
          <w:szCs w:val="24"/>
          <w:lang w:val="ro-RO"/>
        </w:rPr>
        <w:t xml:space="preserve"> </w:t>
      </w:r>
      <w:r w:rsidRPr="0017673F">
        <w:rPr>
          <w:rFonts w:eastAsia="Times New Roman"/>
          <w:bCs/>
          <w:color w:val="000000" w:themeColor="text1"/>
          <w:sz w:val="24"/>
          <w:szCs w:val="24"/>
          <w:lang w:val="ro-RO"/>
        </w:rPr>
        <w:t>sunt descrise la pct 2.2  pentru  grupele de habitate: sărături, dune continentale, apă dulce, pajiști, mlaștini și turbării, grohotișuri și stâncării</w:t>
      </w:r>
      <w:r w:rsidRPr="0017673F">
        <w:rPr>
          <w:rFonts w:eastAsia="Times New Roman"/>
          <w:b/>
          <w:color w:val="000000" w:themeColor="text1"/>
          <w:sz w:val="24"/>
          <w:szCs w:val="24"/>
          <w:lang w:val="ro-RO"/>
        </w:rPr>
        <w:t>.</w:t>
      </w:r>
    </w:p>
    <w:bookmarkEnd w:id="27"/>
    <w:p w14:paraId="15C22924" w14:textId="77777777" w:rsidR="00062648" w:rsidRPr="00C56257" w:rsidRDefault="00062648" w:rsidP="008E33FD">
      <w:pPr>
        <w:pStyle w:val="ListParagraph"/>
        <w:widowControl w:val="0"/>
        <w:tabs>
          <w:tab w:val="left" w:pos="1101"/>
          <w:tab w:val="left" w:pos="8364"/>
        </w:tabs>
        <w:autoSpaceDE w:val="0"/>
        <w:autoSpaceDN w:val="0"/>
        <w:ind w:left="1100" w:right="-16"/>
        <w:jc w:val="both"/>
        <w:rPr>
          <w:rFonts w:ascii="Times New Roman" w:hAnsi="Times New Roman" w:cs="Times New Roman"/>
          <w:color w:val="000000" w:themeColor="text1"/>
          <w:sz w:val="24"/>
          <w:szCs w:val="24"/>
        </w:rPr>
      </w:pPr>
    </w:p>
    <w:p w14:paraId="54B100C6" w14:textId="77777777" w:rsidR="005F6E85" w:rsidRPr="00C56257" w:rsidRDefault="00FC5610" w:rsidP="00FC5610">
      <w:pPr>
        <w:ind w:right="-279"/>
        <w:jc w:val="both"/>
        <w:rPr>
          <w:b/>
          <w:bCs/>
          <w:color w:val="000000" w:themeColor="text1"/>
        </w:rPr>
      </w:pPr>
      <w:r>
        <w:rPr>
          <w:b/>
          <w:bCs/>
          <w:color w:val="000000" w:themeColor="text1"/>
        </w:rPr>
        <w:t xml:space="preserve">3.3 </w:t>
      </w:r>
      <w:r w:rsidR="00804D0E" w:rsidRPr="00C56257">
        <w:rPr>
          <w:b/>
          <w:bCs/>
          <w:color w:val="000000" w:themeColor="text1"/>
        </w:rPr>
        <w:t xml:space="preserve">Lista cu </w:t>
      </w:r>
      <w:r w:rsidR="00F938F3" w:rsidRPr="00C56257">
        <w:rPr>
          <w:b/>
          <w:bCs/>
          <w:color w:val="000000" w:themeColor="text1"/>
        </w:rPr>
        <w:t>siturile de importanță c</w:t>
      </w:r>
      <w:r w:rsidR="00804D0E" w:rsidRPr="00C56257">
        <w:rPr>
          <w:b/>
          <w:bCs/>
          <w:color w:val="000000" w:themeColor="text1"/>
        </w:rPr>
        <w:t xml:space="preserve">omunitară pentru habitatele de  dune </w:t>
      </w:r>
      <w:r>
        <w:rPr>
          <w:b/>
          <w:bCs/>
          <w:color w:val="000000" w:themeColor="text1"/>
        </w:rPr>
        <w:t>c</w:t>
      </w:r>
      <w:r w:rsidR="00804D0E" w:rsidRPr="00C56257">
        <w:rPr>
          <w:b/>
          <w:bCs/>
          <w:color w:val="000000" w:themeColor="text1"/>
        </w:rPr>
        <w:t>ontinentale</w:t>
      </w:r>
      <w:r w:rsidR="005F6E85" w:rsidRPr="00C56257">
        <w:rPr>
          <w:b/>
          <w:bCs/>
          <w:color w:val="000000" w:themeColor="text1"/>
        </w:rPr>
        <w:t xml:space="preserve"> </w:t>
      </w:r>
    </w:p>
    <w:p w14:paraId="25779CB3" w14:textId="77777777" w:rsidR="005F6E85" w:rsidRPr="00C56257" w:rsidRDefault="005F6E85" w:rsidP="008E33FD">
      <w:pPr>
        <w:pStyle w:val="BodyText"/>
        <w:jc w:val="both"/>
        <w:rPr>
          <w:color w:val="000000" w:themeColor="text1"/>
          <w:sz w:val="24"/>
          <w:szCs w:val="24"/>
        </w:rPr>
      </w:pPr>
    </w:p>
    <w:p w14:paraId="78C340A9" w14:textId="77777777" w:rsidR="00D20919" w:rsidRPr="00C56257" w:rsidRDefault="00D20919" w:rsidP="00D20919">
      <w:pPr>
        <w:widowControl w:val="0"/>
        <w:autoSpaceDE w:val="0"/>
        <w:autoSpaceDN w:val="0"/>
        <w:spacing w:before="8"/>
        <w:jc w:val="both"/>
        <w:rPr>
          <w:color w:val="000000" w:themeColor="text1"/>
        </w:rPr>
      </w:pPr>
    </w:p>
    <w:tbl>
      <w:tblPr>
        <w:tblW w:w="9374" w:type="dxa"/>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10"/>
        <w:gridCol w:w="1535"/>
        <w:gridCol w:w="3629"/>
      </w:tblGrid>
      <w:tr w:rsidR="00D20919" w:rsidRPr="00C56257" w14:paraId="3CAABB84" w14:textId="77777777" w:rsidTr="00D56D53">
        <w:trPr>
          <w:trHeight w:val="254"/>
        </w:trPr>
        <w:tc>
          <w:tcPr>
            <w:tcW w:w="4210" w:type="dxa"/>
          </w:tcPr>
          <w:p w14:paraId="75949817" w14:textId="77777777" w:rsidR="00D20919" w:rsidRPr="00C56257" w:rsidRDefault="00D20919" w:rsidP="00993B86">
            <w:pPr>
              <w:widowControl w:val="0"/>
              <w:autoSpaceDE w:val="0"/>
              <w:autoSpaceDN w:val="0"/>
              <w:spacing w:before="1" w:line="233" w:lineRule="exact"/>
              <w:jc w:val="both"/>
              <w:rPr>
                <w:b/>
                <w:color w:val="000000" w:themeColor="text1"/>
              </w:rPr>
            </w:pPr>
            <w:r w:rsidRPr="00C56257">
              <w:rPr>
                <w:b/>
                <w:color w:val="000000" w:themeColor="text1"/>
              </w:rPr>
              <w:t>Tip</w:t>
            </w:r>
            <w:r w:rsidRPr="00C56257">
              <w:rPr>
                <w:b/>
                <w:color w:val="000000" w:themeColor="text1"/>
                <w:spacing w:val="-1"/>
              </w:rPr>
              <w:t xml:space="preserve"> </w:t>
            </w:r>
            <w:r w:rsidRPr="00C56257">
              <w:rPr>
                <w:b/>
                <w:color w:val="000000" w:themeColor="text1"/>
              </w:rPr>
              <w:t>habitat Natura</w:t>
            </w:r>
            <w:r w:rsidRPr="00C56257">
              <w:rPr>
                <w:b/>
                <w:color w:val="000000" w:themeColor="text1"/>
                <w:spacing w:val="-4"/>
              </w:rPr>
              <w:t xml:space="preserve"> </w:t>
            </w:r>
            <w:r w:rsidRPr="00C56257">
              <w:rPr>
                <w:b/>
                <w:color w:val="000000" w:themeColor="text1"/>
              </w:rPr>
              <w:t>2000</w:t>
            </w:r>
          </w:p>
        </w:tc>
        <w:tc>
          <w:tcPr>
            <w:tcW w:w="1535" w:type="dxa"/>
          </w:tcPr>
          <w:p w14:paraId="609B9E91" w14:textId="77777777" w:rsidR="00D20919" w:rsidRPr="00C56257" w:rsidRDefault="00D20919" w:rsidP="00993B86">
            <w:pPr>
              <w:widowControl w:val="0"/>
              <w:autoSpaceDE w:val="0"/>
              <w:autoSpaceDN w:val="0"/>
              <w:spacing w:before="1" w:line="233" w:lineRule="exact"/>
              <w:ind w:right="222"/>
              <w:rPr>
                <w:b/>
                <w:color w:val="000000" w:themeColor="text1"/>
              </w:rPr>
            </w:pPr>
            <w:r>
              <w:rPr>
                <w:b/>
                <w:color w:val="000000" w:themeColor="text1"/>
              </w:rPr>
              <w:t xml:space="preserve"> Cod </w:t>
            </w:r>
            <w:r w:rsidRPr="00C56257">
              <w:rPr>
                <w:b/>
                <w:color w:val="000000" w:themeColor="text1"/>
              </w:rPr>
              <w:t>Sit Natura</w:t>
            </w:r>
            <w:r w:rsidRPr="00C56257">
              <w:rPr>
                <w:b/>
                <w:color w:val="000000" w:themeColor="text1"/>
                <w:spacing w:val="-1"/>
              </w:rPr>
              <w:t xml:space="preserve"> </w:t>
            </w:r>
            <w:r w:rsidRPr="00C56257">
              <w:rPr>
                <w:b/>
                <w:color w:val="000000" w:themeColor="text1"/>
              </w:rPr>
              <w:t>2000</w:t>
            </w:r>
          </w:p>
        </w:tc>
        <w:tc>
          <w:tcPr>
            <w:tcW w:w="3629" w:type="dxa"/>
          </w:tcPr>
          <w:p w14:paraId="4D1F1663" w14:textId="77777777" w:rsidR="00D20919" w:rsidRPr="00C56257" w:rsidRDefault="00D20919" w:rsidP="00993B86">
            <w:pPr>
              <w:widowControl w:val="0"/>
              <w:autoSpaceDE w:val="0"/>
              <w:autoSpaceDN w:val="0"/>
              <w:spacing w:before="1" w:line="233" w:lineRule="exact"/>
              <w:ind w:right="574"/>
              <w:jc w:val="both"/>
              <w:rPr>
                <w:b/>
                <w:color w:val="000000" w:themeColor="text1"/>
              </w:rPr>
            </w:pPr>
            <w:r>
              <w:rPr>
                <w:b/>
                <w:color w:val="000000" w:themeColor="text1"/>
              </w:rPr>
              <w:t xml:space="preserve"> Nume Sit Natura 2000</w:t>
            </w:r>
          </w:p>
        </w:tc>
      </w:tr>
      <w:tr w:rsidR="00D20919" w:rsidRPr="00C56257" w14:paraId="01540A69" w14:textId="77777777" w:rsidTr="00D56D53">
        <w:trPr>
          <w:trHeight w:val="251"/>
        </w:trPr>
        <w:tc>
          <w:tcPr>
            <w:tcW w:w="4210" w:type="dxa"/>
            <w:vMerge w:val="restart"/>
          </w:tcPr>
          <w:p w14:paraId="7CE891D6" w14:textId="77777777" w:rsidR="00D20919" w:rsidRPr="00C56257" w:rsidRDefault="00D20919" w:rsidP="00993B86">
            <w:pPr>
              <w:widowControl w:val="0"/>
              <w:autoSpaceDE w:val="0"/>
              <w:autoSpaceDN w:val="0"/>
              <w:spacing w:before="125"/>
              <w:ind w:right="142"/>
              <w:jc w:val="both"/>
              <w:rPr>
                <w:color w:val="000000" w:themeColor="text1"/>
              </w:rPr>
            </w:pPr>
            <w:r w:rsidRPr="00C56257">
              <w:rPr>
                <w:color w:val="000000" w:themeColor="text1"/>
              </w:rPr>
              <w:t>2110</w:t>
            </w:r>
            <w:r w:rsidRPr="00C56257">
              <w:rPr>
                <w:color w:val="000000" w:themeColor="text1"/>
                <w:spacing w:val="-1"/>
              </w:rPr>
              <w:t xml:space="preserve"> </w:t>
            </w:r>
            <w:r w:rsidRPr="00C56257">
              <w:rPr>
                <w:color w:val="000000" w:themeColor="text1"/>
              </w:rPr>
              <w:t>-</w:t>
            </w:r>
            <w:r w:rsidRPr="00C56257">
              <w:rPr>
                <w:color w:val="000000" w:themeColor="text1"/>
                <w:spacing w:val="-5"/>
              </w:rPr>
              <w:t xml:space="preserve"> </w:t>
            </w:r>
            <w:r w:rsidRPr="00C56257">
              <w:rPr>
                <w:color w:val="000000" w:themeColor="text1"/>
              </w:rPr>
              <w:t>Dune</w:t>
            </w:r>
            <w:r w:rsidRPr="00C56257">
              <w:rPr>
                <w:color w:val="000000" w:themeColor="text1"/>
                <w:spacing w:val="1"/>
              </w:rPr>
              <w:t xml:space="preserve"> </w:t>
            </w:r>
            <w:r w:rsidRPr="00C56257">
              <w:rPr>
                <w:color w:val="000000" w:themeColor="text1"/>
              </w:rPr>
              <w:t>mobile</w:t>
            </w:r>
            <w:r w:rsidRPr="00C56257">
              <w:rPr>
                <w:color w:val="000000" w:themeColor="text1"/>
                <w:spacing w:val="-3"/>
              </w:rPr>
              <w:t xml:space="preserve"> </w:t>
            </w:r>
            <w:r w:rsidRPr="00C56257">
              <w:rPr>
                <w:color w:val="000000" w:themeColor="text1"/>
              </w:rPr>
              <w:t>embrionare</w:t>
            </w:r>
            <w:r w:rsidRPr="00C56257">
              <w:rPr>
                <w:color w:val="000000" w:themeColor="text1"/>
                <w:spacing w:val="-3"/>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formare)</w:t>
            </w:r>
          </w:p>
        </w:tc>
        <w:tc>
          <w:tcPr>
            <w:tcW w:w="1535" w:type="dxa"/>
          </w:tcPr>
          <w:p w14:paraId="012FCB9D" w14:textId="77777777" w:rsidR="00D20919" w:rsidRPr="00C56257" w:rsidRDefault="00D20919" w:rsidP="00993B86">
            <w:pPr>
              <w:widowControl w:val="0"/>
              <w:autoSpaceDE w:val="0"/>
              <w:autoSpaceDN w:val="0"/>
              <w:spacing w:line="234" w:lineRule="exact"/>
              <w:ind w:right="222"/>
              <w:rPr>
                <w:color w:val="000000" w:themeColor="text1"/>
              </w:rPr>
            </w:pPr>
            <w:r w:rsidRPr="006A019A">
              <w:rPr>
                <w:color w:val="000000" w:themeColor="text1"/>
              </w:rPr>
              <w:t>ROSCI0065</w:t>
            </w:r>
          </w:p>
        </w:tc>
        <w:tc>
          <w:tcPr>
            <w:tcW w:w="3629" w:type="dxa"/>
          </w:tcPr>
          <w:p w14:paraId="21A2E5BB" w14:textId="77777777" w:rsidR="00D20919" w:rsidRPr="00C56257" w:rsidRDefault="00D20919" w:rsidP="00993B86">
            <w:pPr>
              <w:widowControl w:val="0"/>
              <w:autoSpaceDE w:val="0"/>
              <w:autoSpaceDN w:val="0"/>
              <w:spacing w:line="234" w:lineRule="exact"/>
              <w:ind w:right="530"/>
              <w:rPr>
                <w:color w:val="000000" w:themeColor="text1"/>
              </w:rPr>
            </w:pPr>
            <w:r w:rsidRPr="006A019A">
              <w:rPr>
                <w:color w:val="000000" w:themeColor="text1"/>
              </w:rPr>
              <w:t>Delta Dunării</w:t>
            </w:r>
          </w:p>
        </w:tc>
      </w:tr>
      <w:tr w:rsidR="00D20919" w:rsidRPr="00C56257" w14:paraId="1D097B42" w14:textId="77777777" w:rsidTr="00D56D53">
        <w:trPr>
          <w:trHeight w:val="253"/>
        </w:trPr>
        <w:tc>
          <w:tcPr>
            <w:tcW w:w="4210" w:type="dxa"/>
            <w:vMerge/>
            <w:tcBorders>
              <w:top w:val="nil"/>
            </w:tcBorders>
          </w:tcPr>
          <w:p w14:paraId="10200419" w14:textId="77777777" w:rsidR="00D20919" w:rsidRPr="00C56257" w:rsidRDefault="00D20919" w:rsidP="00993B86">
            <w:pPr>
              <w:widowControl w:val="0"/>
              <w:autoSpaceDE w:val="0"/>
              <w:autoSpaceDN w:val="0"/>
              <w:jc w:val="both"/>
              <w:rPr>
                <w:color w:val="000000" w:themeColor="text1"/>
              </w:rPr>
            </w:pPr>
          </w:p>
        </w:tc>
        <w:tc>
          <w:tcPr>
            <w:tcW w:w="1535" w:type="dxa"/>
          </w:tcPr>
          <w:p w14:paraId="3749F9C7" w14:textId="77777777" w:rsidR="00D20919" w:rsidRPr="00A7682F" w:rsidRDefault="00D56D53" w:rsidP="00993B86">
            <w:pPr>
              <w:widowControl w:val="0"/>
              <w:autoSpaceDE w:val="0"/>
              <w:autoSpaceDN w:val="0"/>
              <w:spacing w:line="234" w:lineRule="exact"/>
              <w:ind w:right="222"/>
              <w:rPr>
                <w:color w:val="000000" w:themeColor="text1"/>
              </w:rPr>
            </w:pPr>
            <w:r>
              <w:rPr>
                <w:color w:val="000000" w:themeColor="text1"/>
              </w:rPr>
              <w:t>ROSAC</w:t>
            </w:r>
            <w:r w:rsidR="00D20919" w:rsidRPr="00A7682F">
              <w:rPr>
                <w:color w:val="000000" w:themeColor="text1"/>
              </w:rPr>
              <w:t>0073</w:t>
            </w:r>
          </w:p>
        </w:tc>
        <w:tc>
          <w:tcPr>
            <w:tcW w:w="3629" w:type="dxa"/>
          </w:tcPr>
          <w:p w14:paraId="2C0027F4" w14:textId="77777777" w:rsidR="00D20919" w:rsidRPr="00A7682F" w:rsidRDefault="00D20919" w:rsidP="00993B86">
            <w:pPr>
              <w:widowControl w:val="0"/>
              <w:autoSpaceDE w:val="0"/>
              <w:autoSpaceDN w:val="0"/>
              <w:spacing w:line="234" w:lineRule="exact"/>
              <w:ind w:right="680"/>
              <w:rPr>
                <w:color w:val="000000" w:themeColor="text1"/>
              </w:rPr>
            </w:pPr>
            <w:r w:rsidRPr="00A7682F">
              <w:rPr>
                <w:color w:val="000000" w:themeColor="text1"/>
              </w:rPr>
              <w:t>Dunele marine de la Agigea</w:t>
            </w:r>
          </w:p>
        </w:tc>
      </w:tr>
      <w:tr w:rsidR="00D20919" w:rsidRPr="00C56257" w14:paraId="154561F8" w14:textId="77777777" w:rsidTr="00D56D53">
        <w:trPr>
          <w:trHeight w:val="254"/>
        </w:trPr>
        <w:tc>
          <w:tcPr>
            <w:tcW w:w="4210" w:type="dxa"/>
            <w:vMerge w:val="restart"/>
          </w:tcPr>
          <w:p w14:paraId="0FCA4E9F" w14:textId="77777777" w:rsidR="00D20919" w:rsidRPr="00C56257" w:rsidRDefault="00D20919" w:rsidP="00993B86">
            <w:pPr>
              <w:widowControl w:val="0"/>
              <w:autoSpaceDE w:val="0"/>
              <w:autoSpaceDN w:val="0"/>
              <w:spacing w:before="126"/>
              <w:ind w:right="142"/>
              <w:jc w:val="both"/>
              <w:rPr>
                <w:color w:val="000000" w:themeColor="text1"/>
              </w:rPr>
            </w:pPr>
            <w:r w:rsidRPr="00C56257">
              <w:rPr>
                <w:color w:val="000000" w:themeColor="text1"/>
              </w:rPr>
              <w:t>2130*</w:t>
            </w:r>
            <w:r w:rsidRPr="00C56257">
              <w:rPr>
                <w:color w:val="000000" w:themeColor="text1"/>
                <w:spacing w:val="-1"/>
              </w:rPr>
              <w:t xml:space="preserve"> </w:t>
            </w:r>
            <w:r w:rsidRPr="00C56257">
              <w:rPr>
                <w:color w:val="000000" w:themeColor="text1"/>
              </w:rPr>
              <w:t>-</w:t>
            </w:r>
            <w:r w:rsidRPr="00C56257">
              <w:rPr>
                <w:color w:val="000000" w:themeColor="text1"/>
                <w:spacing w:val="-5"/>
              </w:rPr>
              <w:t xml:space="preserve"> </w:t>
            </w:r>
            <w:r w:rsidRPr="00C56257">
              <w:rPr>
                <w:color w:val="000000" w:themeColor="text1"/>
              </w:rPr>
              <w:t>Dune</w:t>
            </w:r>
            <w:r w:rsidRPr="00C56257">
              <w:rPr>
                <w:color w:val="000000" w:themeColor="text1"/>
                <w:spacing w:val="-1"/>
              </w:rPr>
              <w:t xml:space="preserve"> </w:t>
            </w:r>
            <w:r w:rsidRPr="00C56257">
              <w:rPr>
                <w:color w:val="000000" w:themeColor="text1"/>
              </w:rPr>
              <w:t>fixate</w:t>
            </w:r>
            <w:r w:rsidRPr="00C56257">
              <w:rPr>
                <w:color w:val="000000" w:themeColor="text1"/>
                <w:spacing w:val="-2"/>
              </w:rPr>
              <w:t xml:space="preserve"> </w:t>
            </w:r>
            <w:r w:rsidRPr="00C56257">
              <w:rPr>
                <w:color w:val="000000" w:themeColor="text1"/>
              </w:rPr>
              <w:t>cu</w:t>
            </w:r>
            <w:r w:rsidRPr="00C56257">
              <w:rPr>
                <w:color w:val="000000" w:themeColor="text1"/>
                <w:spacing w:val="-1"/>
              </w:rPr>
              <w:t xml:space="preserve"> </w:t>
            </w:r>
            <w:r w:rsidRPr="00C56257">
              <w:rPr>
                <w:color w:val="000000" w:themeColor="text1"/>
              </w:rPr>
              <w:t>vegetaţie</w:t>
            </w:r>
            <w:r w:rsidRPr="00C56257">
              <w:rPr>
                <w:color w:val="000000" w:themeColor="text1"/>
                <w:spacing w:val="-1"/>
              </w:rPr>
              <w:t xml:space="preserve"> </w:t>
            </w:r>
            <w:r w:rsidRPr="00C56257">
              <w:rPr>
                <w:color w:val="000000" w:themeColor="text1"/>
              </w:rPr>
              <w:t>herbacee</w:t>
            </w:r>
            <w:r w:rsidRPr="00C56257">
              <w:rPr>
                <w:color w:val="000000" w:themeColor="text1"/>
                <w:spacing w:val="-1"/>
              </w:rPr>
              <w:t xml:space="preserve"> </w:t>
            </w:r>
            <w:r w:rsidRPr="00C56257">
              <w:rPr>
                <w:color w:val="000000" w:themeColor="text1"/>
              </w:rPr>
              <w:t>perenă (dune</w:t>
            </w:r>
            <w:r w:rsidRPr="00C56257">
              <w:rPr>
                <w:color w:val="000000" w:themeColor="text1"/>
                <w:spacing w:val="-1"/>
              </w:rPr>
              <w:t xml:space="preserve"> </w:t>
            </w:r>
            <w:r w:rsidRPr="00C56257">
              <w:rPr>
                <w:color w:val="000000" w:themeColor="text1"/>
              </w:rPr>
              <w:t>gri)</w:t>
            </w:r>
          </w:p>
        </w:tc>
        <w:tc>
          <w:tcPr>
            <w:tcW w:w="1535" w:type="dxa"/>
          </w:tcPr>
          <w:p w14:paraId="5F36F3B7" w14:textId="77777777" w:rsidR="00D20919" w:rsidRPr="00C56257" w:rsidRDefault="00D20919" w:rsidP="00993B86">
            <w:pPr>
              <w:widowControl w:val="0"/>
              <w:autoSpaceDE w:val="0"/>
              <w:autoSpaceDN w:val="0"/>
              <w:spacing w:line="234" w:lineRule="exact"/>
              <w:ind w:right="222"/>
              <w:jc w:val="both"/>
              <w:rPr>
                <w:color w:val="000000" w:themeColor="text1"/>
              </w:rPr>
            </w:pPr>
            <w:r w:rsidRPr="00C56257">
              <w:rPr>
                <w:color w:val="000000" w:themeColor="text1"/>
              </w:rPr>
              <w:t>ROSCI0065</w:t>
            </w:r>
          </w:p>
        </w:tc>
        <w:tc>
          <w:tcPr>
            <w:tcW w:w="3629" w:type="dxa"/>
          </w:tcPr>
          <w:p w14:paraId="5A309808" w14:textId="77777777" w:rsidR="00D20919" w:rsidRPr="00C56257" w:rsidRDefault="00D20919" w:rsidP="00993B86">
            <w:pPr>
              <w:widowControl w:val="0"/>
              <w:autoSpaceDE w:val="0"/>
              <w:autoSpaceDN w:val="0"/>
              <w:spacing w:line="234" w:lineRule="exact"/>
              <w:ind w:right="530"/>
              <w:jc w:val="both"/>
              <w:rPr>
                <w:color w:val="000000" w:themeColor="text1"/>
              </w:rPr>
            </w:pPr>
            <w:r w:rsidRPr="006A019A">
              <w:rPr>
                <w:color w:val="000000" w:themeColor="text1"/>
              </w:rPr>
              <w:t>Delta Dunării</w:t>
            </w:r>
          </w:p>
        </w:tc>
      </w:tr>
      <w:tr w:rsidR="00D20919" w:rsidRPr="00C56257" w14:paraId="54F2618A" w14:textId="77777777" w:rsidTr="00D56D53">
        <w:trPr>
          <w:trHeight w:val="251"/>
        </w:trPr>
        <w:tc>
          <w:tcPr>
            <w:tcW w:w="4210" w:type="dxa"/>
            <w:vMerge/>
            <w:tcBorders>
              <w:top w:val="nil"/>
            </w:tcBorders>
          </w:tcPr>
          <w:p w14:paraId="21CC32A0" w14:textId="77777777" w:rsidR="00D20919" w:rsidRPr="00C56257" w:rsidRDefault="00D20919" w:rsidP="00993B86">
            <w:pPr>
              <w:widowControl w:val="0"/>
              <w:autoSpaceDE w:val="0"/>
              <w:autoSpaceDN w:val="0"/>
              <w:jc w:val="both"/>
              <w:rPr>
                <w:color w:val="000000" w:themeColor="text1"/>
              </w:rPr>
            </w:pPr>
          </w:p>
        </w:tc>
        <w:tc>
          <w:tcPr>
            <w:tcW w:w="1535" w:type="dxa"/>
          </w:tcPr>
          <w:p w14:paraId="31BEDB33" w14:textId="77777777" w:rsidR="00D20919" w:rsidRPr="00C56257" w:rsidRDefault="00D56D53" w:rsidP="00993B86">
            <w:pPr>
              <w:widowControl w:val="0"/>
              <w:autoSpaceDE w:val="0"/>
              <w:autoSpaceDN w:val="0"/>
              <w:spacing w:line="232" w:lineRule="exact"/>
              <w:ind w:right="222"/>
              <w:jc w:val="both"/>
              <w:rPr>
                <w:color w:val="000000" w:themeColor="text1"/>
              </w:rPr>
            </w:pPr>
            <w:r>
              <w:rPr>
                <w:color w:val="000000" w:themeColor="text1"/>
              </w:rPr>
              <w:t>ROSAC</w:t>
            </w:r>
            <w:r w:rsidR="00D20919" w:rsidRPr="00C56257">
              <w:rPr>
                <w:color w:val="000000" w:themeColor="text1"/>
              </w:rPr>
              <w:t>0073</w:t>
            </w:r>
          </w:p>
        </w:tc>
        <w:tc>
          <w:tcPr>
            <w:tcW w:w="3629" w:type="dxa"/>
          </w:tcPr>
          <w:p w14:paraId="01EBFA6A" w14:textId="77777777" w:rsidR="00D20919" w:rsidRPr="00C56257" w:rsidRDefault="00D20919" w:rsidP="00993B86">
            <w:pPr>
              <w:widowControl w:val="0"/>
              <w:autoSpaceDE w:val="0"/>
              <w:autoSpaceDN w:val="0"/>
              <w:spacing w:line="232" w:lineRule="exact"/>
              <w:ind w:right="680"/>
              <w:jc w:val="both"/>
              <w:rPr>
                <w:color w:val="000000" w:themeColor="text1"/>
              </w:rPr>
            </w:pPr>
            <w:r w:rsidRPr="005648A3">
              <w:rPr>
                <w:color w:val="000000" w:themeColor="text1"/>
              </w:rPr>
              <w:t>Dunele marine de la Agigea</w:t>
            </w:r>
          </w:p>
        </w:tc>
      </w:tr>
      <w:tr w:rsidR="00D20919" w:rsidRPr="00C56257" w14:paraId="23FFF9F3" w14:textId="77777777" w:rsidTr="00D56D53">
        <w:trPr>
          <w:trHeight w:val="254"/>
        </w:trPr>
        <w:tc>
          <w:tcPr>
            <w:tcW w:w="4210" w:type="dxa"/>
            <w:vMerge w:val="restart"/>
          </w:tcPr>
          <w:p w14:paraId="7194CB57" w14:textId="77777777" w:rsidR="00D20919" w:rsidRPr="00C56257" w:rsidRDefault="00D20919" w:rsidP="00993B86">
            <w:pPr>
              <w:widowControl w:val="0"/>
              <w:autoSpaceDE w:val="0"/>
              <w:autoSpaceDN w:val="0"/>
              <w:spacing w:before="125"/>
              <w:jc w:val="both"/>
              <w:rPr>
                <w:i/>
                <w:color w:val="000000" w:themeColor="text1"/>
              </w:rPr>
            </w:pPr>
            <w:r w:rsidRPr="00C56257">
              <w:rPr>
                <w:color w:val="000000" w:themeColor="text1"/>
              </w:rPr>
              <w:t>2160 -</w:t>
            </w:r>
            <w:r w:rsidRPr="00C56257">
              <w:rPr>
                <w:color w:val="000000" w:themeColor="text1"/>
                <w:spacing w:val="-4"/>
              </w:rPr>
              <w:t xml:space="preserve"> </w:t>
            </w:r>
            <w:r w:rsidRPr="00C56257">
              <w:rPr>
                <w:color w:val="000000" w:themeColor="text1"/>
              </w:rPr>
              <w:t>Dune</w:t>
            </w:r>
            <w:r w:rsidRPr="00C56257">
              <w:rPr>
                <w:color w:val="000000" w:themeColor="text1"/>
                <w:spacing w:val="1"/>
              </w:rPr>
              <w:t xml:space="preserve"> </w:t>
            </w:r>
            <w:r w:rsidRPr="00C56257">
              <w:rPr>
                <w:color w:val="000000" w:themeColor="text1"/>
              </w:rPr>
              <w:t xml:space="preserve">cu </w:t>
            </w:r>
            <w:r w:rsidRPr="00C56257">
              <w:rPr>
                <w:i/>
                <w:color w:val="000000" w:themeColor="text1"/>
              </w:rPr>
              <w:t>Hippophae</w:t>
            </w:r>
            <w:r w:rsidRPr="00C56257">
              <w:rPr>
                <w:i/>
                <w:color w:val="000000" w:themeColor="text1"/>
                <w:spacing w:val="-2"/>
              </w:rPr>
              <w:t xml:space="preserve"> </w:t>
            </w:r>
            <w:r w:rsidRPr="00C56257">
              <w:rPr>
                <w:i/>
                <w:color w:val="000000" w:themeColor="text1"/>
              </w:rPr>
              <w:t>rhamnoides</w:t>
            </w:r>
          </w:p>
        </w:tc>
        <w:tc>
          <w:tcPr>
            <w:tcW w:w="1535" w:type="dxa"/>
          </w:tcPr>
          <w:p w14:paraId="7449C223" w14:textId="77777777" w:rsidR="00D20919" w:rsidRPr="00C56257" w:rsidRDefault="00D20919" w:rsidP="00993B86">
            <w:pPr>
              <w:widowControl w:val="0"/>
              <w:autoSpaceDE w:val="0"/>
              <w:autoSpaceDN w:val="0"/>
              <w:spacing w:line="234" w:lineRule="exact"/>
              <w:ind w:right="222"/>
              <w:jc w:val="both"/>
              <w:rPr>
                <w:color w:val="000000" w:themeColor="text1"/>
              </w:rPr>
            </w:pPr>
            <w:r w:rsidRPr="006A019A">
              <w:rPr>
                <w:color w:val="000000" w:themeColor="text1"/>
              </w:rPr>
              <w:t>ROSCI0065</w:t>
            </w:r>
          </w:p>
        </w:tc>
        <w:tc>
          <w:tcPr>
            <w:tcW w:w="3629" w:type="dxa"/>
          </w:tcPr>
          <w:p w14:paraId="4CA9AA88" w14:textId="77777777" w:rsidR="00D20919" w:rsidRPr="00C56257" w:rsidRDefault="00D20919" w:rsidP="00993B86">
            <w:pPr>
              <w:widowControl w:val="0"/>
              <w:autoSpaceDE w:val="0"/>
              <w:autoSpaceDN w:val="0"/>
              <w:spacing w:line="234" w:lineRule="exact"/>
              <w:ind w:right="680"/>
              <w:jc w:val="both"/>
              <w:rPr>
                <w:color w:val="000000" w:themeColor="text1"/>
              </w:rPr>
            </w:pPr>
            <w:r w:rsidRPr="006A019A">
              <w:rPr>
                <w:color w:val="000000" w:themeColor="text1"/>
              </w:rPr>
              <w:t>Delta Dunării</w:t>
            </w:r>
          </w:p>
        </w:tc>
      </w:tr>
      <w:tr w:rsidR="00D20919" w:rsidRPr="00C56257" w14:paraId="0EF163E6" w14:textId="77777777" w:rsidTr="00D56D53">
        <w:trPr>
          <w:trHeight w:val="251"/>
        </w:trPr>
        <w:tc>
          <w:tcPr>
            <w:tcW w:w="4210" w:type="dxa"/>
            <w:vMerge/>
            <w:tcBorders>
              <w:top w:val="nil"/>
            </w:tcBorders>
          </w:tcPr>
          <w:p w14:paraId="2E24B140" w14:textId="77777777" w:rsidR="00D20919" w:rsidRPr="00C56257" w:rsidRDefault="00D20919" w:rsidP="00993B86">
            <w:pPr>
              <w:widowControl w:val="0"/>
              <w:autoSpaceDE w:val="0"/>
              <w:autoSpaceDN w:val="0"/>
              <w:jc w:val="both"/>
              <w:rPr>
                <w:color w:val="000000" w:themeColor="text1"/>
              </w:rPr>
            </w:pPr>
          </w:p>
        </w:tc>
        <w:tc>
          <w:tcPr>
            <w:tcW w:w="1535" w:type="dxa"/>
          </w:tcPr>
          <w:p w14:paraId="50B0B326" w14:textId="77777777" w:rsidR="00D20919" w:rsidRPr="00C56257" w:rsidRDefault="00D56D53" w:rsidP="00993B86">
            <w:pPr>
              <w:widowControl w:val="0"/>
              <w:autoSpaceDE w:val="0"/>
              <w:autoSpaceDN w:val="0"/>
              <w:spacing w:line="232" w:lineRule="exact"/>
              <w:ind w:right="222"/>
              <w:jc w:val="both"/>
              <w:rPr>
                <w:color w:val="000000" w:themeColor="text1"/>
              </w:rPr>
            </w:pPr>
            <w:r>
              <w:rPr>
                <w:color w:val="000000" w:themeColor="text1"/>
              </w:rPr>
              <w:t>ROSAC</w:t>
            </w:r>
            <w:r w:rsidR="00D20919" w:rsidRPr="00C56257">
              <w:rPr>
                <w:color w:val="000000" w:themeColor="text1"/>
              </w:rPr>
              <w:t>0039</w:t>
            </w:r>
          </w:p>
        </w:tc>
        <w:tc>
          <w:tcPr>
            <w:tcW w:w="3629" w:type="dxa"/>
          </w:tcPr>
          <w:p w14:paraId="25D59CE9" w14:textId="77777777" w:rsidR="00D20919" w:rsidRPr="00C56257" w:rsidRDefault="00D20919" w:rsidP="00993B86">
            <w:pPr>
              <w:widowControl w:val="0"/>
              <w:autoSpaceDE w:val="0"/>
              <w:autoSpaceDN w:val="0"/>
              <w:spacing w:line="232" w:lineRule="exact"/>
              <w:ind w:right="530"/>
              <w:jc w:val="both"/>
              <w:rPr>
                <w:color w:val="000000" w:themeColor="text1"/>
              </w:rPr>
            </w:pPr>
            <w:r w:rsidRPr="00A84313">
              <w:rPr>
                <w:color w:val="000000" w:themeColor="text1"/>
              </w:rPr>
              <w:t xml:space="preserve">Ciuperceni </w:t>
            </w:r>
            <w:r>
              <w:rPr>
                <w:color w:val="000000" w:themeColor="text1"/>
              </w:rPr>
              <w:t>–</w:t>
            </w:r>
            <w:r w:rsidRPr="00A84313">
              <w:rPr>
                <w:color w:val="000000" w:themeColor="text1"/>
              </w:rPr>
              <w:t xml:space="preserve"> Desa</w:t>
            </w:r>
          </w:p>
        </w:tc>
      </w:tr>
      <w:tr w:rsidR="00D20919" w:rsidRPr="00C56257" w14:paraId="0BA5B1F2" w14:textId="77777777" w:rsidTr="00D56D53">
        <w:trPr>
          <w:trHeight w:val="253"/>
        </w:trPr>
        <w:tc>
          <w:tcPr>
            <w:tcW w:w="4210" w:type="dxa"/>
            <w:vMerge w:val="restart"/>
          </w:tcPr>
          <w:p w14:paraId="5D922C72" w14:textId="77777777" w:rsidR="00D20919" w:rsidRPr="00C56257" w:rsidRDefault="00D20919" w:rsidP="00993B86">
            <w:pPr>
              <w:widowControl w:val="0"/>
              <w:autoSpaceDE w:val="0"/>
              <w:autoSpaceDN w:val="0"/>
              <w:spacing w:line="234" w:lineRule="exact"/>
              <w:jc w:val="both"/>
              <w:rPr>
                <w:color w:val="000000" w:themeColor="text1"/>
              </w:rPr>
            </w:pPr>
            <w:r w:rsidRPr="00C56257">
              <w:rPr>
                <w:color w:val="000000" w:themeColor="text1"/>
              </w:rPr>
              <w:t>2190</w:t>
            </w:r>
            <w:r w:rsidRPr="00C56257">
              <w:rPr>
                <w:color w:val="000000" w:themeColor="text1"/>
                <w:spacing w:val="-2"/>
              </w:rPr>
              <w:t xml:space="preserve"> </w:t>
            </w:r>
            <w:r w:rsidRPr="00C56257">
              <w:rPr>
                <w:color w:val="000000" w:themeColor="text1"/>
              </w:rPr>
              <w:t>-</w:t>
            </w:r>
            <w:r w:rsidRPr="00C56257">
              <w:rPr>
                <w:color w:val="000000" w:themeColor="text1"/>
                <w:spacing w:val="-5"/>
              </w:rPr>
              <w:t xml:space="preserve"> </w:t>
            </w:r>
            <w:r w:rsidRPr="00C56257">
              <w:rPr>
                <w:color w:val="000000" w:themeColor="text1"/>
              </w:rPr>
              <w:t>Depresiuni umede</w:t>
            </w:r>
            <w:r w:rsidRPr="00C56257">
              <w:rPr>
                <w:color w:val="000000" w:themeColor="text1"/>
                <w:spacing w:val="-1"/>
              </w:rPr>
              <w:t xml:space="preserve"> </w:t>
            </w:r>
            <w:r w:rsidRPr="00C56257">
              <w:rPr>
                <w:color w:val="000000" w:themeColor="text1"/>
              </w:rPr>
              <w:t>interdunale</w:t>
            </w:r>
          </w:p>
        </w:tc>
        <w:tc>
          <w:tcPr>
            <w:tcW w:w="1535" w:type="dxa"/>
          </w:tcPr>
          <w:p w14:paraId="4BBFEC9A" w14:textId="77777777" w:rsidR="00D20919" w:rsidRPr="00C56257" w:rsidRDefault="00D20919" w:rsidP="00993B86">
            <w:pPr>
              <w:widowControl w:val="0"/>
              <w:autoSpaceDE w:val="0"/>
              <w:autoSpaceDN w:val="0"/>
              <w:spacing w:line="234" w:lineRule="exact"/>
              <w:ind w:right="222"/>
              <w:jc w:val="both"/>
              <w:rPr>
                <w:color w:val="000000" w:themeColor="text1"/>
              </w:rPr>
            </w:pPr>
            <w:r w:rsidRPr="00C56257">
              <w:rPr>
                <w:color w:val="000000" w:themeColor="text1"/>
              </w:rPr>
              <w:t>ROSCI0065</w:t>
            </w:r>
          </w:p>
        </w:tc>
        <w:tc>
          <w:tcPr>
            <w:tcW w:w="3629" w:type="dxa"/>
          </w:tcPr>
          <w:p w14:paraId="1CE4ABF6" w14:textId="77777777" w:rsidR="00D20919" w:rsidRPr="00C56257" w:rsidRDefault="00D20919" w:rsidP="00993B86">
            <w:pPr>
              <w:widowControl w:val="0"/>
              <w:autoSpaceDE w:val="0"/>
              <w:autoSpaceDN w:val="0"/>
              <w:spacing w:line="234" w:lineRule="exact"/>
              <w:ind w:right="530"/>
              <w:jc w:val="both"/>
              <w:rPr>
                <w:color w:val="000000" w:themeColor="text1"/>
              </w:rPr>
            </w:pPr>
            <w:r w:rsidRPr="006A019A">
              <w:rPr>
                <w:color w:val="000000" w:themeColor="text1"/>
              </w:rPr>
              <w:t>Delta Dunării</w:t>
            </w:r>
          </w:p>
        </w:tc>
      </w:tr>
      <w:tr w:rsidR="00D20919" w:rsidRPr="00C56257" w14:paraId="2CF3343F" w14:textId="77777777" w:rsidTr="00D56D53">
        <w:trPr>
          <w:trHeight w:val="253"/>
        </w:trPr>
        <w:tc>
          <w:tcPr>
            <w:tcW w:w="4210" w:type="dxa"/>
            <w:vMerge/>
          </w:tcPr>
          <w:p w14:paraId="6EA83F84" w14:textId="77777777" w:rsidR="00D20919" w:rsidRPr="00C56257" w:rsidRDefault="00D20919" w:rsidP="00993B86">
            <w:pPr>
              <w:widowControl w:val="0"/>
              <w:autoSpaceDE w:val="0"/>
              <w:autoSpaceDN w:val="0"/>
              <w:spacing w:line="234" w:lineRule="exact"/>
              <w:jc w:val="both"/>
              <w:rPr>
                <w:color w:val="000000" w:themeColor="text1"/>
              </w:rPr>
            </w:pPr>
          </w:p>
        </w:tc>
        <w:tc>
          <w:tcPr>
            <w:tcW w:w="1535" w:type="dxa"/>
          </w:tcPr>
          <w:p w14:paraId="4799AA68" w14:textId="77777777" w:rsidR="00D20919" w:rsidRPr="00C56257" w:rsidRDefault="00D56D53" w:rsidP="00993B86">
            <w:pPr>
              <w:widowControl w:val="0"/>
              <w:autoSpaceDE w:val="0"/>
              <w:autoSpaceDN w:val="0"/>
              <w:spacing w:line="234" w:lineRule="exact"/>
              <w:ind w:right="222"/>
              <w:jc w:val="both"/>
              <w:rPr>
                <w:color w:val="000000" w:themeColor="text1"/>
              </w:rPr>
            </w:pPr>
            <w:r>
              <w:rPr>
                <w:color w:val="000000" w:themeColor="text1"/>
              </w:rPr>
              <w:t>ROSAC</w:t>
            </w:r>
            <w:r w:rsidR="00D20919" w:rsidRPr="00C56257">
              <w:rPr>
                <w:color w:val="000000" w:themeColor="text1"/>
              </w:rPr>
              <w:t>0039</w:t>
            </w:r>
          </w:p>
        </w:tc>
        <w:tc>
          <w:tcPr>
            <w:tcW w:w="3629" w:type="dxa"/>
          </w:tcPr>
          <w:p w14:paraId="6D2B3092" w14:textId="77777777" w:rsidR="00D20919" w:rsidRPr="006A019A" w:rsidRDefault="00D20919" w:rsidP="00993B86">
            <w:pPr>
              <w:widowControl w:val="0"/>
              <w:autoSpaceDE w:val="0"/>
              <w:autoSpaceDN w:val="0"/>
              <w:spacing w:line="234" w:lineRule="exact"/>
              <w:ind w:right="530"/>
              <w:jc w:val="both"/>
              <w:rPr>
                <w:color w:val="000000" w:themeColor="text1"/>
              </w:rPr>
            </w:pPr>
            <w:r w:rsidRPr="00A84313">
              <w:rPr>
                <w:color w:val="000000" w:themeColor="text1"/>
              </w:rPr>
              <w:t xml:space="preserve">Ciuperceni </w:t>
            </w:r>
            <w:r>
              <w:rPr>
                <w:color w:val="000000" w:themeColor="text1"/>
              </w:rPr>
              <w:t>–</w:t>
            </w:r>
            <w:r w:rsidRPr="00A84313">
              <w:rPr>
                <w:color w:val="000000" w:themeColor="text1"/>
              </w:rPr>
              <w:t xml:space="preserve"> Desa</w:t>
            </w:r>
          </w:p>
        </w:tc>
      </w:tr>
      <w:tr w:rsidR="00D20919" w:rsidRPr="00C56257" w14:paraId="4A440083" w14:textId="77777777" w:rsidTr="00D56D53">
        <w:trPr>
          <w:trHeight w:val="253"/>
        </w:trPr>
        <w:tc>
          <w:tcPr>
            <w:tcW w:w="4210" w:type="dxa"/>
            <w:vMerge/>
          </w:tcPr>
          <w:p w14:paraId="09281B40" w14:textId="77777777" w:rsidR="00D20919" w:rsidRPr="00C56257" w:rsidRDefault="00D20919" w:rsidP="00993B86">
            <w:pPr>
              <w:widowControl w:val="0"/>
              <w:autoSpaceDE w:val="0"/>
              <w:autoSpaceDN w:val="0"/>
              <w:spacing w:line="234" w:lineRule="exact"/>
              <w:jc w:val="both"/>
              <w:rPr>
                <w:color w:val="000000" w:themeColor="text1"/>
              </w:rPr>
            </w:pPr>
          </w:p>
        </w:tc>
        <w:tc>
          <w:tcPr>
            <w:tcW w:w="1535" w:type="dxa"/>
          </w:tcPr>
          <w:p w14:paraId="62AA08DD" w14:textId="77777777" w:rsidR="00D20919" w:rsidRPr="00C56257" w:rsidRDefault="00D56D53" w:rsidP="00993B86">
            <w:pPr>
              <w:widowControl w:val="0"/>
              <w:autoSpaceDE w:val="0"/>
              <w:autoSpaceDN w:val="0"/>
              <w:spacing w:line="234" w:lineRule="exact"/>
              <w:ind w:right="222"/>
              <w:rPr>
                <w:color w:val="000000" w:themeColor="text1"/>
              </w:rPr>
            </w:pPr>
            <w:r>
              <w:rPr>
                <w:color w:val="000000" w:themeColor="text1"/>
              </w:rPr>
              <w:t>ROSAC</w:t>
            </w:r>
            <w:r w:rsidR="00D20919" w:rsidRPr="00A7682F">
              <w:rPr>
                <w:color w:val="000000" w:themeColor="text1"/>
              </w:rPr>
              <w:t>0072</w:t>
            </w:r>
          </w:p>
        </w:tc>
        <w:tc>
          <w:tcPr>
            <w:tcW w:w="3629" w:type="dxa"/>
          </w:tcPr>
          <w:p w14:paraId="30230357" w14:textId="77777777" w:rsidR="00D20919" w:rsidRPr="006A019A" w:rsidRDefault="00D56D53" w:rsidP="00D56D53">
            <w:pPr>
              <w:widowControl w:val="0"/>
              <w:autoSpaceDE w:val="0"/>
              <w:autoSpaceDN w:val="0"/>
              <w:spacing w:line="234" w:lineRule="exact"/>
              <w:ind w:right="29"/>
              <w:rPr>
                <w:color w:val="000000" w:themeColor="text1"/>
              </w:rPr>
            </w:pPr>
            <w:r>
              <w:rPr>
                <w:color w:val="000000" w:themeColor="text1"/>
              </w:rPr>
              <w:t xml:space="preserve">Dunele de nisip de la Hanul </w:t>
            </w:r>
            <w:r w:rsidR="00D20919" w:rsidRPr="00A7682F">
              <w:rPr>
                <w:color w:val="000000" w:themeColor="text1"/>
              </w:rPr>
              <w:t>Conachi</w:t>
            </w:r>
          </w:p>
        </w:tc>
      </w:tr>
      <w:tr w:rsidR="00D20919" w:rsidRPr="00C56257" w14:paraId="6BBBC8A8" w14:textId="77777777" w:rsidTr="00D56D53">
        <w:trPr>
          <w:trHeight w:val="254"/>
        </w:trPr>
        <w:tc>
          <w:tcPr>
            <w:tcW w:w="4210" w:type="dxa"/>
          </w:tcPr>
          <w:p w14:paraId="2DD48E9D" w14:textId="77777777" w:rsidR="00D20919" w:rsidRPr="00C56257" w:rsidRDefault="00D20919" w:rsidP="00993B86">
            <w:pPr>
              <w:widowControl w:val="0"/>
              <w:autoSpaceDE w:val="0"/>
              <w:autoSpaceDN w:val="0"/>
              <w:spacing w:line="234" w:lineRule="exact"/>
              <w:jc w:val="both"/>
              <w:rPr>
                <w:color w:val="000000" w:themeColor="text1"/>
              </w:rPr>
            </w:pPr>
            <w:r w:rsidRPr="00C56257">
              <w:rPr>
                <w:color w:val="000000" w:themeColor="text1"/>
              </w:rPr>
              <w:t>2340* -</w:t>
            </w:r>
            <w:r w:rsidRPr="00C56257">
              <w:rPr>
                <w:color w:val="000000" w:themeColor="text1"/>
                <w:spacing w:val="-3"/>
              </w:rPr>
              <w:t xml:space="preserve"> </w:t>
            </w:r>
            <w:r w:rsidRPr="00C56257">
              <w:rPr>
                <w:color w:val="000000" w:themeColor="text1"/>
              </w:rPr>
              <w:t>Dune panonice</w:t>
            </w:r>
          </w:p>
        </w:tc>
        <w:tc>
          <w:tcPr>
            <w:tcW w:w="1535" w:type="dxa"/>
          </w:tcPr>
          <w:p w14:paraId="4E6FDB86" w14:textId="77777777" w:rsidR="00D20919" w:rsidRPr="00C56257" w:rsidRDefault="00D20919" w:rsidP="00993B86">
            <w:pPr>
              <w:widowControl w:val="0"/>
              <w:autoSpaceDE w:val="0"/>
              <w:autoSpaceDN w:val="0"/>
              <w:spacing w:line="234" w:lineRule="exact"/>
              <w:ind w:right="222"/>
              <w:jc w:val="both"/>
              <w:rPr>
                <w:color w:val="000000" w:themeColor="text1"/>
              </w:rPr>
            </w:pPr>
            <w:r w:rsidRPr="00C56257">
              <w:rPr>
                <w:color w:val="000000" w:themeColor="text1"/>
              </w:rPr>
              <w:t>ROSCI00</w:t>
            </w:r>
            <w:r>
              <w:rPr>
                <w:color w:val="000000" w:themeColor="text1"/>
              </w:rPr>
              <w:t>2</w:t>
            </w:r>
            <w:r w:rsidRPr="00C56257">
              <w:rPr>
                <w:color w:val="000000" w:themeColor="text1"/>
              </w:rPr>
              <w:t>0</w:t>
            </w:r>
          </w:p>
        </w:tc>
        <w:tc>
          <w:tcPr>
            <w:tcW w:w="3629" w:type="dxa"/>
          </w:tcPr>
          <w:p w14:paraId="34459040" w14:textId="77777777" w:rsidR="00D20919" w:rsidRPr="00C56257" w:rsidRDefault="00D20919" w:rsidP="00993B86">
            <w:pPr>
              <w:widowControl w:val="0"/>
              <w:autoSpaceDE w:val="0"/>
              <w:autoSpaceDN w:val="0"/>
              <w:spacing w:line="234" w:lineRule="exact"/>
              <w:ind w:right="493"/>
              <w:jc w:val="both"/>
              <w:rPr>
                <w:color w:val="000000" w:themeColor="text1"/>
              </w:rPr>
            </w:pPr>
            <w:r w:rsidRPr="002F2461">
              <w:rPr>
                <w:color w:val="000000" w:themeColor="text1"/>
              </w:rPr>
              <w:t>Câmpia Careiului</w:t>
            </w:r>
          </w:p>
        </w:tc>
      </w:tr>
    </w:tbl>
    <w:p w14:paraId="1E0DB3F8" w14:textId="77777777" w:rsidR="00D20919" w:rsidRPr="00C56257" w:rsidRDefault="00D20919" w:rsidP="00D20919">
      <w:pPr>
        <w:widowControl w:val="0"/>
        <w:autoSpaceDE w:val="0"/>
        <w:autoSpaceDN w:val="0"/>
        <w:spacing w:before="68" w:line="274" w:lineRule="exact"/>
        <w:jc w:val="both"/>
        <w:outlineLvl w:val="1"/>
        <w:rPr>
          <w:rFonts w:eastAsia="Cambria"/>
          <w:b/>
          <w:bCs/>
          <w:color w:val="000000" w:themeColor="text1"/>
        </w:rPr>
      </w:pPr>
      <w:r w:rsidRPr="00C56257">
        <w:rPr>
          <w:rFonts w:eastAsia="Cambria"/>
          <w:b/>
          <w:bCs/>
          <w:color w:val="000000" w:themeColor="text1"/>
        </w:rPr>
        <w:t>Mențiune</w:t>
      </w:r>
    </w:p>
    <w:p w14:paraId="0EBDE9F8" w14:textId="77777777" w:rsidR="00D20919" w:rsidRPr="00C56257" w:rsidRDefault="00D20919" w:rsidP="002236E9">
      <w:pPr>
        <w:widowControl w:val="0"/>
        <w:autoSpaceDE w:val="0"/>
        <w:autoSpaceDN w:val="0"/>
        <w:ind w:right="27"/>
        <w:jc w:val="both"/>
        <w:rPr>
          <w:color w:val="000000" w:themeColor="text1"/>
        </w:rPr>
      </w:pPr>
      <w:r w:rsidRPr="00C56257">
        <w:rPr>
          <w:color w:val="000000" w:themeColor="text1"/>
        </w:rPr>
        <w:t xml:space="preserve">Pentru habitatele de dune continentale există </w:t>
      </w:r>
      <w:r w:rsidR="002236E9">
        <w:rPr>
          <w:color w:val="000000" w:themeColor="text1"/>
        </w:rPr>
        <w:t xml:space="preserve">unele </w:t>
      </w:r>
      <w:r w:rsidRPr="00C56257">
        <w:rPr>
          <w:color w:val="000000" w:themeColor="text1"/>
        </w:rPr>
        <w:t>inconsistențe sesizate în Formularele Standard Natura</w:t>
      </w:r>
      <w:r w:rsidRPr="00C56257">
        <w:rPr>
          <w:color w:val="000000" w:themeColor="text1"/>
          <w:spacing w:val="1"/>
        </w:rPr>
        <w:t xml:space="preserve"> </w:t>
      </w:r>
      <w:r w:rsidRPr="00C56257">
        <w:rPr>
          <w:color w:val="000000" w:themeColor="text1"/>
        </w:rPr>
        <w:t>2000,</w:t>
      </w:r>
      <w:r w:rsidRPr="00C56257">
        <w:rPr>
          <w:color w:val="000000" w:themeColor="text1"/>
          <w:spacing w:val="1"/>
        </w:rPr>
        <w:t xml:space="preserve"> </w:t>
      </w:r>
      <w:r w:rsidRPr="00C56257">
        <w:rPr>
          <w:color w:val="000000" w:themeColor="text1"/>
        </w:rPr>
        <w:t>respectiv</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bioregiunea</w:t>
      </w:r>
      <w:r w:rsidRPr="00C56257">
        <w:rPr>
          <w:color w:val="000000" w:themeColor="text1"/>
          <w:spacing w:val="1"/>
        </w:rPr>
        <w:t xml:space="preserve"> </w:t>
      </w:r>
      <w:r w:rsidRPr="00C56257">
        <w:rPr>
          <w:color w:val="000000" w:themeColor="text1"/>
        </w:rPr>
        <w:t>CON,</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ROSCI0039</w:t>
      </w:r>
      <w:r w:rsidRPr="00C56257">
        <w:rPr>
          <w:color w:val="000000" w:themeColor="text1"/>
          <w:spacing w:val="1"/>
        </w:rPr>
        <w:t xml:space="preserve"> </w:t>
      </w:r>
      <w:r w:rsidRPr="00C56257">
        <w:rPr>
          <w:color w:val="000000" w:themeColor="text1"/>
        </w:rPr>
        <w:t>sunt</w:t>
      </w:r>
      <w:r w:rsidRPr="00C56257">
        <w:rPr>
          <w:color w:val="000000" w:themeColor="text1"/>
          <w:spacing w:val="1"/>
        </w:rPr>
        <w:t xml:space="preserve"> </w:t>
      </w:r>
      <w:r w:rsidRPr="00C56257">
        <w:rPr>
          <w:color w:val="000000" w:themeColor="text1"/>
        </w:rPr>
        <w:t>menționate habitatele 2160 și 2190, iar în bioregiunea STE, în ROSCI0072, nu sunt prezente dune. Acestea</w:t>
      </w:r>
      <w:r w:rsidRPr="00C56257">
        <w:rPr>
          <w:color w:val="000000" w:themeColor="text1"/>
          <w:spacing w:val="1"/>
        </w:rPr>
        <w:t xml:space="preserve"> </w:t>
      </w:r>
      <w:r w:rsidRPr="00C56257">
        <w:rPr>
          <w:color w:val="000000" w:themeColor="text1"/>
        </w:rPr>
        <w:t>contravin</w:t>
      </w:r>
      <w:r w:rsidRPr="00C56257">
        <w:rPr>
          <w:color w:val="000000" w:themeColor="text1"/>
          <w:spacing w:val="-1"/>
        </w:rPr>
        <w:t xml:space="preserve"> </w:t>
      </w:r>
      <w:r w:rsidRPr="00C56257">
        <w:rPr>
          <w:color w:val="000000" w:themeColor="text1"/>
        </w:rPr>
        <w:t>cu</w:t>
      </w:r>
      <w:r w:rsidRPr="00C56257">
        <w:rPr>
          <w:color w:val="000000" w:themeColor="text1"/>
          <w:spacing w:val="-2"/>
        </w:rPr>
        <w:t xml:space="preserve"> </w:t>
      </w:r>
      <w:r w:rsidRPr="00C56257">
        <w:rPr>
          <w:color w:val="000000" w:themeColor="text1"/>
        </w:rPr>
        <w:t>documentele din portalul</w:t>
      </w:r>
      <w:r w:rsidRPr="00C56257">
        <w:rPr>
          <w:color w:val="000000" w:themeColor="text1"/>
          <w:spacing w:val="1"/>
        </w:rPr>
        <w:t xml:space="preserve"> </w:t>
      </w:r>
      <w:r w:rsidRPr="00C56257">
        <w:rPr>
          <w:color w:val="000000" w:themeColor="text1"/>
        </w:rPr>
        <w:t>de</w:t>
      </w:r>
      <w:r w:rsidRPr="00C56257">
        <w:rPr>
          <w:color w:val="000000" w:themeColor="text1"/>
          <w:spacing w:val="-3"/>
        </w:rPr>
        <w:t xml:space="preserve"> </w:t>
      </w:r>
      <w:r w:rsidRPr="00C56257">
        <w:rPr>
          <w:color w:val="000000" w:themeColor="text1"/>
        </w:rPr>
        <w:t>raportare</w:t>
      </w:r>
      <w:r w:rsidRPr="00C56257">
        <w:rPr>
          <w:color w:val="000000" w:themeColor="text1"/>
          <w:spacing w:val="-2"/>
        </w:rPr>
        <w:t xml:space="preserve"> </w:t>
      </w:r>
      <w:r w:rsidRPr="00C56257">
        <w:rPr>
          <w:color w:val="000000" w:themeColor="text1"/>
        </w:rPr>
        <w:t>(checklist</w:t>
      </w:r>
      <w:r w:rsidRPr="00C56257">
        <w:rPr>
          <w:color w:val="000000" w:themeColor="text1"/>
          <w:spacing w:val="-1"/>
        </w:rPr>
        <w:t xml:space="preserve"> </w:t>
      </w:r>
      <w:r w:rsidRPr="00C56257">
        <w:rPr>
          <w:color w:val="000000" w:themeColor="text1"/>
        </w:rPr>
        <w:t>pentru RO).</w:t>
      </w:r>
    </w:p>
    <w:p w14:paraId="26C57D67" w14:textId="77777777" w:rsidR="00804D0E" w:rsidRPr="00C56257" w:rsidRDefault="00804D0E" w:rsidP="002236E9">
      <w:pPr>
        <w:spacing w:after="160" w:line="259" w:lineRule="auto"/>
        <w:ind w:right="27"/>
        <w:jc w:val="both"/>
        <w:rPr>
          <w:bCs/>
          <w:color w:val="000000" w:themeColor="text1"/>
        </w:rPr>
      </w:pPr>
    </w:p>
    <w:p w14:paraId="016895A3" w14:textId="77777777" w:rsidR="00804D0E" w:rsidRPr="0052296C" w:rsidRDefault="00FC5610" w:rsidP="002236E9">
      <w:pPr>
        <w:ind w:right="27"/>
        <w:jc w:val="both"/>
        <w:rPr>
          <w:color w:val="000000" w:themeColor="text1"/>
        </w:rPr>
      </w:pPr>
      <w:r>
        <w:rPr>
          <w:b/>
          <w:bCs/>
          <w:color w:val="000000" w:themeColor="text1"/>
        </w:rPr>
        <w:t>3.4</w:t>
      </w:r>
      <w:r w:rsidR="00BC7A24" w:rsidRPr="00C56257">
        <w:rPr>
          <w:b/>
          <w:bCs/>
          <w:color w:val="000000" w:themeColor="text1"/>
        </w:rPr>
        <w:t>. Lista cu presiunile și a</w:t>
      </w:r>
      <w:r w:rsidR="00804D0E" w:rsidRPr="00C56257">
        <w:rPr>
          <w:b/>
          <w:bCs/>
          <w:color w:val="000000" w:themeColor="text1"/>
        </w:rPr>
        <w:t>menințările ce acționează asupra habitatelor de  dune continentale</w:t>
      </w:r>
      <w:r w:rsidR="00D270C7" w:rsidRPr="00D270C7">
        <w:t xml:space="preserve"> </w:t>
      </w:r>
      <w:bookmarkStart w:id="28" w:name="_Hlk140131298"/>
      <w:r w:rsidR="00D270C7" w:rsidRPr="0052296C">
        <w:rPr>
          <w:color w:val="000000" w:themeColor="text1"/>
        </w:rPr>
        <w:t xml:space="preserve">poate fi selectată de la următoarea adresa web: </w:t>
      </w:r>
      <w:r>
        <w:fldChar w:fldCharType="begin"/>
      </w:r>
      <w:r>
        <w:instrText>HYPERLINK "https://cdr.eionet.europa.eu/help/habitats_art17"</w:instrText>
      </w:r>
      <w:r>
        <w:fldChar w:fldCharType="separate"/>
      </w:r>
      <w:r w:rsidR="00E12F5B" w:rsidRPr="007A20AE">
        <w:rPr>
          <w:rStyle w:val="Hyperlink"/>
        </w:rPr>
        <w:t>https://cdr.eionet.europa.eu/help/habitats_art17</w:t>
      </w:r>
      <w:r>
        <w:rPr>
          <w:rStyle w:val="Hyperlink"/>
        </w:rPr>
        <w:fldChar w:fldCharType="end"/>
      </w:r>
      <w:r w:rsidR="00E12F5B">
        <w:rPr>
          <w:color w:val="000000" w:themeColor="text1"/>
        </w:rPr>
        <w:t xml:space="preserve"> </w:t>
      </w:r>
      <w:r w:rsidR="00D270C7" w:rsidRPr="0052296C">
        <w:rPr>
          <w:color w:val="000000" w:themeColor="text1"/>
        </w:rPr>
        <w:t>.</w:t>
      </w:r>
    </w:p>
    <w:bookmarkEnd w:id="28"/>
    <w:p w14:paraId="2441510E" w14:textId="77777777" w:rsidR="00D20919" w:rsidRPr="0052296C" w:rsidRDefault="00D20919" w:rsidP="00FC5610">
      <w:pPr>
        <w:jc w:val="both"/>
        <w:rPr>
          <w:color w:val="000000" w:themeColor="text1"/>
        </w:rPr>
      </w:pPr>
    </w:p>
    <w:p w14:paraId="78CF3A75" w14:textId="77777777" w:rsidR="0021774E" w:rsidRPr="0052296C" w:rsidRDefault="0021774E" w:rsidP="008E33FD">
      <w:pPr>
        <w:spacing w:after="160" w:line="259" w:lineRule="auto"/>
        <w:jc w:val="both"/>
        <w:rPr>
          <w:color w:val="000000" w:themeColor="text1"/>
        </w:rPr>
      </w:pPr>
    </w:p>
    <w:p w14:paraId="4102A4EF" w14:textId="77777777" w:rsidR="0021774E" w:rsidRPr="00C56257" w:rsidRDefault="0021774E" w:rsidP="008E33FD">
      <w:pPr>
        <w:spacing w:after="160" w:line="259" w:lineRule="auto"/>
        <w:jc w:val="both"/>
        <w:rPr>
          <w:bCs/>
          <w:color w:val="000000" w:themeColor="text1"/>
        </w:rPr>
      </w:pPr>
      <w:r w:rsidRPr="00C56257">
        <w:rPr>
          <w:bCs/>
          <w:color w:val="000000" w:themeColor="text1"/>
        </w:rPr>
        <w:br w:type="page"/>
      </w:r>
    </w:p>
    <w:p w14:paraId="1D7E41D0" w14:textId="77777777" w:rsidR="00804D0E" w:rsidRPr="00C56257" w:rsidRDefault="0004515E" w:rsidP="002236E9">
      <w:pPr>
        <w:spacing w:after="160" w:line="259" w:lineRule="auto"/>
        <w:ind w:right="27"/>
        <w:jc w:val="both"/>
        <w:rPr>
          <w:b/>
          <w:bCs/>
          <w:color w:val="000000" w:themeColor="text1"/>
        </w:rPr>
      </w:pPr>
      <w:r>
        <w:rPr>
          <w:b/>
          <w:bCs/>
          <w:color w:val="000000" w:themeColor="text1"/>
        </w:rPr>
        <w:lastRenderedPageBreak/>
        <w:t>3.5</w:t>
      </w:r>
      <w:r w:rsidR="00BC7A24" w:rsidRPr="00C56257">
        <w:rPr>
          <w:b/>
          <w:bCs/>
          <w:color w:val="000000" w:themeColor="text1"/>
        </w:rPr>
        <w:t>.  Lista cu m</w:t>
      </w:r>
      <w:r w:rsidR="00804D0E" w:rsidRPr="00C56257">
        <w:rPr>
          <w:b/>
          <w:bCs/>
          <w:color w:val="000000" w:themeColor="text1"/>
        </w:rPr>
        <w:t>ăsurile de conservare ce se pot aplica habitatelor de  dune continentale</w:t>
      </w:r>
    </w:p>
    <w:p w14:paraId="0FAF8C00" w14:textId="77777777" w:rsidR="009E6E8E" w:rsidRPr="00C56257" w:rsidRDefault="009E6E8E" w:rsidP="002236E9">
      <w:pPr>
        <w:pStyle w:val="BodyText"/>
        <w:ind w:left="0" w:right="27"/>
        <w:jc w:val="both"/>
        <w:rPr>
          <w:color w:val="000000" w:themeColor="text1"/>
          <w:sz w:val="24"/>
          <w:szCs w:val="24"/>
          <w:lang w:val="fr-FR"/>
        </w:rPr>
      </w:pPr>
      <w:proofErr w:type="spellStart"/>
      <w:r w:rsidRPr="00C56257">
        <w:rPr>
          <w:color w:val="000000" w:themeColor="text1"/>
          <w:sz w:val="24"/>
          <w:szCs w:val="24"/>
          <w:lang w:val="fr-FR"/>
        </w:rPr>
        <w:t>Principalul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scop</w:t>
      </w:r>
      <w:proofErr w:type="spellEnd"/>
      <w:r w:rsidRPr="00C56257">
        <w:rPr>
          <w:color w:val="000000" w:themeColor="text1"/>
          <w:sz w:val="24"/>
          <w:szCs w:val="24"/>
          <w:lang w:val="fr-FR"/>
        </w:rPr>
        <w:t xml:space="preserve"> al </w:t>
      </w:r>
      <w:proofErr w:type="spellStart"/>
      <w:r w:rsidRPr="00C56257">
        <w:rPr>
          <w:color w:val="000000" w:themeColor="text1"/>
          <w:sz w:val="24"/>
          <w:szCs w:val="24"/>
          <w:lang w:val="fr-FR"/>
        </w:rPr>
        <w:t>implementării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acestor</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măsuri</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 xml:space="preserve"> are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vedere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menținerea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arealului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actual</w:t>
      </w:r>
      <w:proofErr w:type="spellEnd"/>
      <w:r w:rsidRPr="00C56257">
        <w:rPr>
          <w:color w:val="000000" w:themeColor="text1"/>
          <w:sz w:val="24"/>
          <w:szCs w:val="24"/>
          <w:lang w:val="fr-FR"/>
        </w:rPr>
        <w:t xml:space="preserve"> al </w:t>
      </w:r>
      <w:proofErr w:type="spellStart"/>
      <w:r w:rsidRPr="00C56257">
        <w:rPr>
          <w:color w:val="000000" w:themeColor="text1"/>
          <w:sz w:val="24"/>
          <w:szCs w:val="24"/>
          <w:lang w:val="fr-FR"/>
        </w:rPr>
        <w:t>habitatului</w:t>
      </w:r>
      <w:proofErr w:type="spellEnd"/>
      <w:r w:rsidRPr="00C56257">
        <w:rPr>
          <w:color w:val="000000" w:themeColor="text1"/>
          <w:sz w:val="24"/>
          <w:szCs w:val="24"/>
          <w:lang w:val="fr-FR"/>
        </w:rPr>
        <w:t xml:space="preserve">. Aceste </w:t>
      </w:r>
      <w:proofErr w:type="spellStart"/>
      <w:r w:rsidRPr="00C56257">
        <w:rPr>
          <w:color w:val="000000" w:themeColor="text1"/>
          <w:sz w:val="24"/>
          <w:szCs w:val="24"/>
          <w:lang w:val="fr-FR"/>
        </w:rPr>
        <w:t>informații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despre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măsurile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z w:val="24"/>
          <w:szCs w:val="24"/>
          <w:lang w:val="fr-FR"/>
        </w:rPr>
        <w:t xml:space="preserve"> utile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inclusiv</w:t>
      </w:r>
      <w:proofErr w:type="spellEnd"/>
      <w:r w:rsidRPr="00C56257">
        <w:rPr>
          <w:color w:val="000000" w:themeColor="text1"/>
          <w:sz w:val="24"/>
          <w:szCs w:val="24"/>
          <w:lang w:val="fr-FR"/>
        </w:rPr>
        <w:t xml:space="preserve"> la </w:t>
      </w:r>
      <w:proofErr w:type="spellStart"/>
      <w:r w:rsidRPr="00C56257">
        <w:rPr>
          <w:color w:val="000000" w:themeColor="text1"/>
          <w:sz w:val="24"/>
          <w:szCs w:val="24"/>
          <w:lang w:val="fr-FR"/>
        </w:rPr>
        <w:t>planurile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gestionare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luate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pentru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întreținerea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sau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restabilirea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habitatelor</w:t>
      </w:r>
      <w:proofErr w:type="spellEnd"/>
      <w:r w:rsidRPr="00C56257">
        <w:rPr>
          <w:color w:val="000000" w:themeColor="text1"/>
          <w:sz w:val="24"/>
          <w:szCs w:val="24"/>
          <w:lang w:val="fr-FR"/>
        </w:rPr>
        <w:t xml:space="preserve"> la</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starea</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conservare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favorabilă</w:t>
      </w:r>
      <w:proofErr w:type="spellEnd"/>
      <w:r w:rsidRPr="00C56257">
        <w:rPr>
          <w:color w:val="000000" w:themeColor="text1"/>
          <w:sz w:val="24"/>
          <w:szCs w:val="24"/>
          <w:lang w:val="fr-FR"/>
        </w:rPr>
        <w:t>.</w:t>
      </w:r>
    </w:p>
    <w:p w14:paraId="5C9AA1C2" w14:textId="77777777" w:rsidR="009E6E8E" w:rsidRPr="00C56257" w:rsidRDefault="009E6E8E" w:rsidP="002236E9">
      <w:pPr>
        <w:pStyle w:val="BodyText"/>
        <w:ind w:left="0" w:right="27"/>
        <w:jc w:val="both"/>
        <w:rPr>
          <w:color w:val="000000" w:themeColor="text1"/>
          <w:sz w:val="24"/>
          <w:szCs w:val="24"/>
          <w:lang w:val="fr-FR"/>
        </w:rPr>
      </w:pPr>
    </w:p>
    <w:p w14:paraId="333C6D70" w14:textId="77777777" w:rsidR="009E6E8E" w:rsidRPr="00C56257" w:rsidRDefault="009E6E8E" w:rsidP="002236E9">
      <w:pPr>
        <w:pStyle w:val="BodyText"/>
        <w:ind w:left="0" w:right="27"/>
        <w:jc w:val="both"/>
        <w:rPr>
          <w:color w:val="000000" w:themeColor="text1"/>
          <w:sz w:val="24"/>
          <w:szCs w:val="24"/>
          <w:lang w:val="fr-FR"/>
        </w:rPr>
      </w:pP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urma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identificării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categoriilor</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presiuni</w:t>
      </w:r>
      <w:proofErr w:type="spellEnd"/>
      <w:r w:rsidRPr="00C56257">
        <w:rPr>
          <w:color w:val="000000" w:themeColor="text1"/>
          <w:sz w:val="24"/>
          <w:szCs w:val="24"/>
          <w:lang w:val="fr-FR"/>
        </w:rPr>
        <w:t xml:space="preserve">, se </w:t>
      </w:r>
      <w:proofErr w:type="spellStart"/>
      <w:r w:rsidRPr="00C56257">
        <w:rPr>
          <w:color w:val="000000" w:themeColor="text1"/>
          <w:sz w:val="24"/>
          <w:szCs w:val="24"/>
          <w:lang w:val="fr-FR"/>
        </w:rPr>
        <w:t>propune</w:t>
      </w:r>
      <w:proofErr w:type="spellEnd"/>
      <w:r w:rsidRPr="00C56257">
        <w:rPr>
          <w:color w:val="000000" w:themeColor="text1"/>
          <w:sz w:val="24"/>
          <w:szCs w:val="24"/>
          <w:lang w:val="fr-FR"/>
        </w:rPr>
        <w:t xml:space="preserve"> un set de </w:t>
      </w:r>
      <w:proofErr w:type="spellStart"/>
      <w:r w:rsidRPr="00C56257">
        <w:rPr>
          <w:color w:val="000000" w:themeColor="text1"/>
          <w:sz w:val="24"/>
          <w:szCs w:val="24"/>
          <w:lang w:val="fr-FR"/>
        </w:rPr>
        <w:t>măsuri</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w:t>
      </w:r>
      <w:proofErr w:type="spellStart"/>
      <w:r w:rsidRPr="00C56257">
        <w:rPr>
          <w:color w:val="000000" w:themeColor="text1"/>
          <w:sz w:val="24"/>
          <w:szCs w:val="24"/>
          <w:lang w:val="fr-FR"/>
        </w:rPr>
        <w:t>generale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particulare</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adaptate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grupului</w:t>
      </w:r>
      <w:proofErr w:type="spellEnd"/>
      <w:r w:rsidRPr="00C56257">
        <w:rPr>
          <w:color w:val="000000" w:themeColor="text1"/>
          <w:sz w:val="24"/>
          <w:szCs w:val="24"/>
          <w:lang w:val="fr-FR"/>
        </w:rPr>
        <w:t xml:space="preserve"> 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habitate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w:t>
      </w:r>
      <w:proofErr w:type="spellStart"/>
      <w:r w:rsidRPr="00C56257">
        <w:rPr>
          <w:color w:val="000000" w:themeColor="text1"/>
          <w:sz w:val="24"/>
          <w:szCs w:val="24"/>
          <w:lang w:val="fr-FR"/>
        </w:rPr>
        <w:t>vezi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tabelul</w:t>
      </w:r>
      <w:proofErr w:type="spellEnd"/>
      <w:r w:rsidRPr="00C56257">
        <w:rPr>
          <w:color w:val="000000" w:themeColor="text1"/>
          <w:sz w:val="24"/>
          <w:szCs w:val="24"/>
          <w:lang w:val="fr-FR"/>
        </w:rPr>
        <w:t xml:space="preserve"> de</w:t>
      </w:r>
      <w:r w:rsidRPr="00C56257">
        <w:rPr>
          <w:color w:val="000000" w:themeColor="text1"/>
          <w:spacing w:val="-1"/>
          <w:sz w:val="24"/>
          <w:szCs w:val="24"/>
          <w:lang w:val="fr-FR"/>
        </w:rPr>
        <w:t xml:space="preserve"> </w:t>
      </w:r>
      <w:r w:rsidRPr="00C56257">
        <w:rPr>
          <w:color w:val="000000" w:themeColor="text1"/>
          <w:sz w:val="24"/>
          <w:szCs w:val="24"/>
          <w:lang w:val="fr-FR"/>
        </w:rPr>
        <w:t>mai</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jos</w:t>
      </w:r>
      <w:proofErr w:type="spellEnd"/>
      <w:r w:rsidRPr="00C56257">
        <w:rPr>
          <w:color w:val="000000" w:themeColor="text1"/>
          <w:sz w:val="24"/>
          <w:szCs w:val="24"/>
          <w:lang w:val="fr-FR"/>
        </w:rPr>
        <w:t>).</w:t>
      </w:r>
    </w:p>
    <w:p w14:paraId="303F32FC" w14:textId="77777777" w:rsidR="009E6E8E" w:rsidRPr="00C56257" w:rsidRDefault="009E6E8E" w:rsidP="008E33FD">
      <w:pPr>
        <w:pStyle w:val="BodyText"/>
        <w:spacing w:before="4"/>
        <w:jc w:val="both"/>
        <w:rPr>
          <w:color w:val="000000" w:themeColor="text1"/>
          <w:sz w:val="24"/>
          <w:szCs w:val="24"/>
          <w:lang w:val="fr-FR"/>
        </w:rPr>
      </w:pPr>
    </w:p>
    <w:tbl>
      <w:tblPr>
        <w:tblW w:w="101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1"/>
        <w:gridCol w:w="769"/>
        <w:gridCol w:w="2095"/>
        <w:gridCol w:w="4745"/>
        <w:gridCol w:w="1710"/>
      </w:tblGrid>
      <w:tr w:rsidR="0004515E" w:rsidRPr="00C56257" w14:paraId="7442F6D1" w14:textId="77777777" w:rsidTr="0004515E">
        <w:trPr>
          <w:trHeight w:val="676"/>
        </w:trPr>
        <w:tc>
          <w:tcPr>
            <w:tcW w:w="851" w:type="dxa"/>
            <w:shd w:val="clear" w:color="auto" w:fill="8DB4E2"/>
          </w:tcPr>
          <w:p w14:paraId="0393CA76" w14:textId="77777777" w:rsidR="0004515E" w:rsidRPr="00C56257" w:rsidRDefault="0004515E" w:rsidP="008E33FD">
            <w:pPr>
              <w:pStyle w:val="TableParagraph"/>
              <w:ind w:left="177" w:right="147" w:firstLine="36"/>
              <w:jc w:val="both"/>
              <w:rPr>
                <w:b/>
                <w:color w:val="000000" w:themeColor="text1"/>
                <w:sz w:val="24"/>
                <w:szCs w:val="24"/>
              </w:rPr>
            </w:pPr>
            <w:r w:rsidRPr="00F100E1">
              <w:rPr>
                <w:b/>
                <w:color w:val="000000" w:themeColor="text1"/>
                <w:sz w:val="24"/>
                <w:szCs w:val="24"/>
              </w:rPr>
              <w:t>Nr.</w:t>
            </w:r>
            <w:r w:rsidRPr="00F100E1">
              <w:rPr>
                <w:b/>
                <w:color w:val="000000" w:themeColor="text1"/>
                <w:spacing w:val="-52"/>
                <w:sz w:val="24"/>
                <w:szCs w:val="24"/>
              </w:rPr>
              <w:t xml:space="preserve"> </w:t>
            </w:r>
            <w:r w:rsidRPr="00F100E1">
              <w:rPr>
                <w:b/>
                <w:color w:val="000000" w:themeColor="text1"/>
                <w:sz w:val="24"/>
                <w:szCs w:val="24"/>
              </w:rPr>
              <w:t>Crt</w:t>
            </w:r>
            <w:r w:rsidRPr="00C56257">
              <w:rPr>
                <w:b/>
                <w:color w:val="000000" w:themeColor="text1"/>
                <w:sz w:val="24"/>
                <w:szCs w:val="24"/>
              </w:rPr>
              <w:t>.</w:t>
            </w:r>
          </w:p>
        </w:tc>
        <w:tc>
          <w:tcPr>
            <w:tcW w:w="769" w:type="dxa"/>
            <w:shd w:val="clear" w:color="auto" w:fill="8DB4E2"/>
          </w:tcPr>
          <w:p w14:paraId="57CACD55" w14:textId="77777777" w:rsidR="0004515E" w:rsidRPr="00C56257" w:rsidRDefault="0004515E" w:rsidP="008E33FD">
            <w:pPr>
              <w:pStyle w:val="TableParagraph"/>
              <w:spacing w:before="209"/>
              <w:ind w:left="87" w:right="77"/>
              <w:jc w:val="both"/>
              <w:rPr>
                <w:b/>
                <w:color w:val="000000" w:themeColor="text1"/>
                <w:sz w:val="24"/>
                <w:szCs w:val="24"/>
              </w:rPr>
            </w:pPr>
            <w:r w:rsidRPr="00C56257">
              <w:rPr>
                <w:b/>
                <w:color w:val="000000" w:themeColor="text1"/>
                <w:sz w:val="24"/>
                <w:szCs w:val="24"/>
              </w:rPr>
              <w:t>Cod</w:t>
            </w:r>
          </w:p>
        </w:tc>
        <w:tc>
          <w:tcPr>
            <w:tcW w:w="2095" w:type="dxa"/>
            <w:shd w:val="clear" w:color="auto" w:fill="8DB4E2"/>
          </w:tcPr>
          <w:p w14:paraId="1A342620" w14:textId="77777777" w:rsidR="0004515E" w:rsidRPr="00C56257" w:rsidRDefault="0004515E" w:rsidP="00FC5610">
            <w:pPr>
              <w:pStyle w:val="TableParagraph"/>
              <w:spacing w:before="85"/>
              <w:ind w:left="270" w:right="505"/>
              <w:jc w:val="both"/>
              <w:rPr>
                <w:b/>
                <w:color w:val="000000" w:themeColor="text1"/>
                <w:sz w:val="24"/>
                <w:szCs w:val="24"/>
              </w:rPr>
            </w:pPr>
            <w:r w:rsidRPr="00C56257">
              <w:rPr>
                <w:b/>
                <w:color w:val="000000" w:themeColor="text1"/>
                <w:sz w:val="24"/>
                <w:szCs w:val="24"/>
              </w:rPr>
              <w:t>Măsuri de</w:t>
            </w:r>
            <w:r w:rsidRPr="00C56257">
              <w:rPr>
                <w:b/>
                <w:color w:val="000000" w:themeColor="text1"/>
                <w:spacing w:val="-52"/>
                <w:sz w:val="24"/>
                <w:szCs w:val="24"/>
              </w:rPr>
              <w:t xml:space="preserve"> </w:t>
            </w:r>
            <w:r w:rsidRPr="00C56257">
              <w:rPr>
                <w:b/>
                <w:color w:val="000000" w:themeColor="text1"/>
                <w:sz w:val="24"/>
                <w:szCs w:val="24"/>
              </w:rPr>
              <w:t>conservare</w:t>
            </w:r>
          </w:p>
        </w:tc>
        <w:tc>
          <w:tcPr>
            <w:tcW w:w="4745" w:type="dxa"/>
            <w:shd w:val="clear" w:color="auto" w:fill="8DB4E2"/>
          </w:tcPr>
          <w:p w14:paraId="5DA750D8" w14:textId="77777777" w:rsidR="0004515E" w:rsidRPr="00C56257" w:rsidRDefault="0004515E" w:rsidP="00FC5610">
            <w:pPr>
              <w:pStyle w:val="TableParagraph"/>
              <w:spacing w:before="209"/>
              <w:ind w:left="1200" w:right="291"/>
              <w:jc w:val="both"/>
              <w:rPr>
                <w:b/>
                <w:color w:val="000000" w:themeColor="text1"/>
                <w:sz w:val="24"/>
                <w:szCs w:val="24"/>
              </w:rPr>
            </w:pPr>
            <w:r w:rsidRPr="00C56257">
              <w:rPr>
                <w:b/>
                <w:color w:val="000000" w:themeColor="text1"/>
                <w:sz w:val="24"/>
                <w:szCs w:val="24"/>
              </w:rPr>
              <w:t>Descriere</w:t>
            </w:r>
          </w:p>
        </w:tc>
        <w:tc>
          <w:tcPr>
            <w:tcW w:w="1710" w:type="dxa"/>
            <w:shd w:val="clear" w:color="auto" w:fill="8DB4E2"/>
          </w:tcPr>
          <w:p w14:paraId="76D569A6" w14:textId="77777777" w:rsidR="0004515E" w:rsidRPr="00C56257" w:rsidRDefault="0004515E" w:rsidP="00FC5610">
            <w:pPr>
              <w:pStyle w:val="TableParagraph"/>
              <w:spacing w:before="85"/>
              <w:ind w:left="158" w:right="135"/>
              <w:jc w:val="both"/>
              <w:rPr>
                <w:b/>
                <w:color w:val="000000" w:themeColor="text1"/>
                <w:sz w:val="24"/>
                <w:szCs w:val="24"/>
              </w:rPr>
            </w:pPr>
            <w:r w:rsidRPr="00C56257">
              <w:rPr>
                <w:b/>
                <w:color w:val="000000" w:themeColor="text1"/>
                <w:sz w:val="24"/>
                <w:szCs w:val="24"/>
              </w:rPr>
              <w:t>Principalele</w:t>
            </w:r>
            <w:r w:rsidRPr="00C56257">
              <w:rPr>
                <w:b/>
                <w:color w:val="000000" w:themeColor="text1"/>
                <w:spacing w:val="1"/>
                <w:sz w:val="24"/>
                <w:szCs w:val="24"/>
              </w:rPr>
              <w:t xml:space="preserve"> </w:t>
            </w:r>
            <w:r w:rsidRPr="00C56257">
              <w:rPr>
                <w:b/>
                <w:color w:val="000000" w:themeColor="text1"/>
                <w:sz w:val="24"/>
                <w:szCs w:val="24"/>
              </w:rPr>
              <w:t>presiuni</w:t>
            </w:r>
            <w:r w:rsidRPr="00C56257">
              <w:rPr>
                <w:b/>
                <w:color w:val="000000" w:themeColor="text1"/>
                <w:spacing w:val="-12"/>
                <w:sz w:val="24"/>
                <w:szCs w:val="24"/>
              </w:rPr>
              <w:t xml:space="preserve"> </w:t>
            </w:r>
            <w:r w:rsidRPr="00C56257">
              <w:rPr>
                <w:b/>
                <w:color w:val="000000" w:themeColor="text1"/>
                <w:sz w:val="24"/>
                <w:szCs w:val="24"/>
              </w:rPr>
              <w:t>abordate</w:t>
            </w:r>
          </w:p>
        </w:tc>
      </w:tr>
      <w:tr w:rsidR="0004515E" w:rsidRPr="00C56257" w14:paraId="623703D4" w14:textId="77777777" w:rsidTr="0004515E">
        <w:trPr>
          <w:trHeight w:val="4853"/>
        </w:trPr>
        <w:tc>
          <w:tcPr>
            <w:tcW w:w="851" w:type="dxa"/>
          </w:tcPr>
          <w:p w14:paraId="4803B752" w14:textId="77777777" w:rsidR="0004515E" w:rsidRPr="00C56257" w:rsidRDefault="0004515E" w:rsidP="008E33FD">
            <w:pPr>
              <w:pStyle w:val="TableParagraph"/>
              <w:spacing w:line="247" w:lineRule="exact"/>
              <w:ind w:right="93"/>
              <w:jc w:val="both"/>
              <w:rPr>
                <w:color w:val="000000" w:themeColor="text1"/>
                <w:sz w:val="24"/>
                <w:szCs w:val="24"/>
              </w:rPr>
            </w:pPr>
            <w:r w:rsidRPr="00C56257">
              <w:rPr>
                <w:color w:val="000000" w:themeColor="text1"/>
                <w:sz w:val="24"/>
                <w:szCs w:val="24"/>
              </w:rPr>
              <w:t>1.</w:t>
            </w:r>
          </w:p>
        </w:tc>
        <w:tc>
          <w:tcPr>
            <w:tcW w:w="769" w:type="dxa"/>
          </w:tcPr>
          <w:p w14:paraId="519CA752" w14:textId="77777777" w:rsidR="0004515E" w:rsidRPr="00C56257" w:rsidRDefault="0004515E" w:rsidP="008E33FD">
            <w:pPr>
              <w:pStyle w:val="TableParagraph"/>
              <w:jc w:val="both"/>
              <w:rPr>
                <w:color w:val="000000" w:themeColor="text1"/>
                <w:sz w:val="24"/>
                <w:szCs w:val="24"/>
              </w:rPr>
            </w:pPr>
          </w:p>
          <w:p w14:paraId="01CBC92A" w14:textId="77777777" w:rsidR="0004515E" w:rsidRPr="00C56257" w:rsidRDefault="0004515E" w:rsidP="008E33FD">
            <w:pPr>
              <w:pStyle w:val="TableParagraph"/>
              <w:jc w:val="both"/>
              <w:rPr>
                <w:color w:val="000000" w:themeColor="text1"/>
                <w:sz w:val="24"/>
                <w:szCs w:val="24"/>
              </w:rPr>
            </w:pPr>
          </w:p>
          <w:p w14:paraId="01F0F19B" w14:textId="77777777" w:rsidR="0004515E" w:rsidRPr="00C56257" w:rsidRDefault="0004515E" w:rsidP="008E33FD">
            <w:pPr>
              <w:pStyle w:val="TableParagraph"/>
              <w:jc w:val="both"/>
              <w:rPr>
                <w:color w:val="000000" w:themeColor="text1"/>
                <w:sz w:val="24"/>
                <w:szCs w:val="24"/>
              </w:rPr>
            </w:pPr>
          </w:p>
          <w:p w14:paraId="13717445" w14:textId="77777777" w:rsidR="0004515E" w:rsidRPr="00C56257" w:rsidRDefault="0004515E" w:rsidP="008E33FD">
            <w:pPr>
              <w:pStyle w:val="TableParagraph"/>
              <w:jc w:val="both"/>
              <w:rPr>
                <w:color w:val="000000" w:themeColor="text1"/>
                <w:sz w:val="24"/>
                <w:szCs w:val="24"/>
              </w:rPr>
            </w:pPr>
          </w:p>
          <w:p w14:paraId="028644F2" w14:textId="77777777" w:rsidR="0004515E" w:rsidRPr="00C56257" w:rsidRDefault="0004515E" w:rsidP="008E33FD">
            <w:pPr>
              <w:pStyle w:val="TableParagraph"/>
              <w:jc w:val="both"/>
              <w:rPr>
                <w:color w:val="000000" w:themeColor="text1"/>
                <w:sz w:val="24"/>
                <w:szCs w:val="24"/>
              </w:rPr>
            </w:pPr>
          </w:p>
          <w:p w14:paraId="740FA782" w14:textId="77777777" w:rsidR="0004515E" w:rsidRPr="00C56257" w:rsidRDefault="0004515E" w:rsidP="008E33FD">
            <w:pPr>
              <w:pStyle w:val="TableParagraph"/>
              <w:jc w:val="both"/>
              <w:rPr>
                <w:color w:val="000000" w:themeColor="text1"/>
                <w:sz w:val="24"/>
                <w:szCs w:val="24"/>
              </w:rPr>
            </w:pPr>
          </w:p>
          <w:p w14:paraId="179A2BB3" w14:textId="77777777" w:rsidR="0004515E" w:rsidRPr="00C56257" w:rsidRDefault="0004515E" w:rsidP="008E33FD">
            <w:pPr>
              <w:pStyle w:val="TableParagraph"/>
              <w:jc w:val="both"/>
              <w:rPr>
                <w:color w:val="000000" w:themeColor="text1"/>
                <w:sz w:val="24"/>
                <w:szCs w:val="24"/>
              </w:rPr>
            </w:pPr>
          </w:p>
          <w:p w14:paraId="108B219C" w14:textId="77777777" w:rsidR="0004515E" w:rsidRPr="00C56257" w:rsidRDefault="0004515E" w:rsidP="008E33FD">
            <w:pPr>
              <w:pStyle w:val="TableParagraph"/>
              <w:jc w:val="both"/>
              <w:rPr>
                <w:color w:val="000000" w:themeColor="text1"/>
                <w:sz w:val="24"/>
                <w:szCs w:val="24"/>
              </w:rPr>
            </w:pPr>
          </w:p>
          <w:p w14:paraId="44951E43" w14:textId="77777777" w:rsidR="0004515E" w:rsidRPr="00C56257" w:rsidRDefault="0004515E" w:rsidP="008E33FD">
            <w:pPr>
              <w:pStyle w:val="TableParagraph"/>
              <w:jc w:val="both"/>
              <w:rPr>
                <w:color w:val="000000" w:themeColor="text1"/>
                <w:sz w:val="24"/>
                <w:szCs w:val="24"/>
              </w:rPr>
            </w:pPr>
          </w:p>
          <w:p w14:paraId="27B6B9D9" w14:textId="77777777" w:rsidR="0004515E" w:rsidRPr="00C56257" w:rsidRDefault="0004515E" w:rsidP="008E33FD">
            <w:pPr>
              <w:pStyle w:val="TableParagraph"/>
              <w:jc w:val="both"/>
              <w:rPr>
                <w:color w:val="000000" w:themeColor="text1"/>
                <w:sz w:val="24"/>
                <w:szCs w:val="24"/>
              </w:rPr>
            </w:pPr>
          </w:p>
          <w:p w14:paraId="28047494" w14:textId="77777777" w:rsidR="0004515E" w:rsidRPr="00C56257" w:rsidRDefault="0004515E" w:rsidP="008E33FD">
            <w:pPr>
              <w:pStyle w:val="TableParagraph"/>
              <w:spacing w:before="143"/>
              <w:ind w:left="87" w:right="77"/>
              <w:jc w:val="both"/>
              <w:rPr>
                <w:color w:val="000000" w:themeColor="text1"/>
                <w:sz w:val="24"/>
                <w:szCs w:val="24"/>
              </w:rPr>
            </w:pPr>
            <w:r w:rsidRPr="00C56257">
              <w:rPr>
                <w:color w:val="000000" w:themeColor="text1"/>
                <w:sz w:val="24"/>
                <w:szCs w:val="24"/>
              </w:rPr>
              <w:t>CA09</w:t>
            </w:r>
          </w:p>
        </w:tc>
        <w:tc>
          <w:tcPr>
            <w:tcW w:w="2095" w:type="dxa"/>
          </w:tcPr>
          <w:p w14:paraId="4DF914D3" w14:textId="77777777" w:rsidR="0004515E" w:rsidRPr="00C56257" w:rsidRDefault="0004515E" w:rsidP="008E33FD">
            <w:pPr>
              <w:pStyle w:val="TableParagraph"/>
              <w:jc w:val="both"/>
              <w:rPr>
                <w:color w:val="000000" w:themeColor="text1"/>
                <w:sz w:val="24"/>
                <w:szCs w:val="24"/>
              </w:rPr>
            </w:pPr>
          </w:p>
          <w:p w14:paraId="67A0D24B" w14:textId="77777777" w:rsidR="0004515E" w:rsidRPr="00C56257" w:rsidRDefault="0004515E" w:rsidP="008E33FD">
            <w:pPr>
              <w:pStyle w:val="TableParagraph"/>
              <w:jc w:val="both"/>
              <w:rPr>
                <w:color w:val="000000" w:themeColor="text1"/>
                <w:sz w:val="24"/>
                <w:szCs w:val="24"/>
              </w:rPr>
            </w:pPr>
          </w:p>
          <w:p w14:paraId="1FB079D0" w14:textId="77777777" w:rsidR="0004515E" w:rsidRPr="00C56257" w:rsidRDefault="0004515E" w:rsidP="008E33FD">
            <w:pPr>
              <w:pStyle w:val="TableParagraph"/>
              <w:jc w:val="both"/>
              <w:rPr>
                <w:color w:val="000000" w:themeColor="text1"/>
                <w:sz w:val="24"/>
                <w:szCs w:val="24"/>
              </w:rPr>
            </w:pPr>
          </w:p>
          <w:p w14:paraId="503DEFFC" w14:textId="77777777" w:rsidR="0004515E" w:rsidRPr="00C56257" w:rsidRDefault="0004515E" w:rsidP="008E33FD">
            <w:pPr>
              <w:pStyle w:val="TableParagraph"/>
              <w:jc w:val="both"/>
              <w:rPr>
                <w:color w:val="000000" w:themeColor="text1"/>
                <w:sz w:val="24"/>
                <w:szCs w:val="24"/>
              </w:rPr>
            </w:pPr>
          </w:p>
          <w:p w14:paraId="732C8510" w14:textId="77777777" w:rsidR="0004515E" w:rsidRPr="00C56257" w:rsidRDefault="0004515E" w:rsidP="008E33FD">
            <w:pPr>
              <w:pStyle w:val="TableParagraph"/>
              <w:jc w:val="both"/>
              <w:rPr>
                <w:color w:val="000000" w:themeColor="text1"/>
                <w:sz w:val="24"/>
                <w:szCs w:val="24"/>
              </w:rPr>
            </w:pPr>
          </w:p>
          <w:p w14:paraId="0DF9B3F2" w14:textId="77777777" w:rsidR="0004515E" w:rsidRPr="00C56257" w:rsidRDefault="0004515E" w:rsidP="008E33FD">
            <w:pPr>
              <w:pStyle w:val="TableParagraph"/>
              <w:jc w:val="both"/>
              <w:rPr>
                <w:color w:val="000000" w:themeColor="text1"/>
                <w:sz w:val="24"/>
                <w:szCs w:val="24"/>
              </w:rPr>
            </w:pPr>
          </w:p>
          <w:p w14:paraId="3F790B94" w14:textId="77777777" w:rsidR="0004515E" w:rsidRPr="00C56257" w:rsidRDefault="0004515E" w:rsidP="008E33FD">
            <w:pPr>
              <w:pStyle w:val="TableParagraph"/>
              <w:jc w:val="both"/>
              <w:rPr>
                <w:color w:val="000000" w:themeColor="text1"/>
                <w:sz w:val="24"/>
                <w:szCs w:val="24"/>
              </w:rPr>
            </w:pPr>
          </w:p>
          <w:p w14:paraId="21BDFD3E" w14:textId="77777777" w:rsidR="0004515E" w:rsidRPr="00C56257" w:rsidRDefault="0004515E" w:rsidP="008E33FD">
            <w:pPr>
              <w:pStyle w:val="TableParagraph"/>
              <w:jc w:val="both"/>
              <w:rPr>
                <w:color w:val="000000" w:themeColor="text1"/>
                <w:sz w:val="24"/>
                <w:szCs w:val="24"/>
              </w:rPr>
            </w:pPr>
          </w:p>
          <w:p w14:paraId="10A8EA26" w14:textId="77777777" w:rsidR="0004515E" w:rsidRPr="00C56257" w:rsidRDefault="0004515E" w:rsidP="008E33FD">
            <w:pPr>
              <w:pStyle w:val="TableParagraph"/>
              <w:spacing w:before="188"/>
              <w:ind w:left="108" w:right="136"/>
              <w:jc w:val="both"/>
              <w:rPr>
                <w:color w:val="000000" w:themeColor="text1"/>
                <w:sz w:val="24"/>
                <w:szCs w:val="24"/>
              </w:rPr>
            </w:pPr>
            <w:r w:rsidRPr="00C56257">
              <w:rPr>
                <w:color w:val="000000" w:themeColor="text1"/>
                <w:sz w:val="24"/>
                <w:szCs w:val="24"/>
              </w:rPr>
              <w:t>Gestionarea folosirii</w:t>
            </w:r>
            <w:r w:rsidRPr="00C56257">
              <w:rPr>
                <w:color w:val="000000" w:themeColor="text1"/>
                <w:spacing w:val="-52"/>
                <w:sz w:val="24"/>
                <w:szCs w:val="24"/>
              </w:rPr>
              <w:t xml:space="preserve"> </w:t>
            </w:r>
            <w:r w:rsidRPr="00C56257">
              <w:rPr>
                <w:color w:val="000000" w:themeColor="text1"/>
                <w:sz w:val="24"/>
                <w:szCs w:val="24"/>
              </w:rPr>
              <w:t>îngrășămintelor</w:t>
            </w:r>
            <w:r w:rsidRPr="00C56257">
              <w:rPr>
                <w:color w:val="000000" w:themeColor="text1"/>
                <w:spacing w:val="1"/>
                <w:sz w:val="24"/>
                <w:szCs w:val="24"/>
              </w:rPr>
              <w:t xml:space="preserve"> </w:t>
            </w:r>
            <w:r w:rsidRPr="00C56257">
              <w:rPr>
                <w:color w:val="000000" w:themeColor="text1"/>
                <w:sz w:val="24"/>
                <w:szCs w:val="24"/>
              </w:rPr>
              <w:t>naturale</w:t>
            </w:r>
            <w:r w:rsidRPr="00C56257">
              <w:rPr>
                <w:color w:val="000000" w:themeColor="text1"/>
                <w:spacing w:val="-1"/>
                <w:sz w:val="24"/>
                <w:szCs w:val="24"/>
              </w:rPr>
              <w:t xml:space="preserve"> </w:t>
            </w:r>
            <w:r w:rsidRPr="00C56257">
              <w:rPr>
                <w:color w:val="000000" w:themeColor="text1"/>
                <w:sz w:val="24"/>
                <w:szCs w:val="24"/>
              </w:rPr>
              <w:t>și</w:t>
            </w:r>
            <w:r w:rsidRPr="00C56257">
              <w:rPr>
                <w:color w:val="000000" w:themeColor="text1"/>
                <w:spacing w:val="1"/>
                <w:sz w:val="24"/>
                <w:szCs w:val="24"/>
              </w:rPr>
              <w:t xml:space="preserve"> </w:t>
            </w:r>
            <w:r w:rsidRPr="00C56257">
              <w:rPr>
                <w:color w:val="000000" w:themeColor="text1"/>
                <w:sz w:val="24"/>
                <w:szCs w:val="24"/>
              </w:rPr>
              <w:t>a</w:t>
            </w:r>
            <w:r w:rsidRPr="00C56257">
              <w:rPr>
                <w:color w:val="000000" w:themeColor="text1"/>
                <w:spacing w:val="1"/>
                <w:sz w:val="24"/>
                <w:szCs w:val="24"/>
              </w:rPr>
              <w:t xml:space="preserve"> </w:t>
            </w:r>
            <w:r w:rsidRPr="00C56257">
              <w:rPr>
                <w:color w:val="000000" w:themeColor="text1"/>
                <w:sz w:val="24"/>
                <w:szCs w:val="24"/>
              </w:rPr>
              <w:t>substanțelor chimice</w:t>
            </w:r>
            <w:r w:rsidRPr="00C56257">
              <w:rPr>
                <w:color w:val="000000" w:themeColor="text1"/>
                <w:spacing w:val="-52"/>
                <w:sz w:val="24"/>
                <w:szCs w:val="24"/>
              </w:rPr>
              <w:t xml:space="preserve"> </w:t>
            </w:r>
            <w:r w:rsidRPr="00C56257">
              <w:rPr>
                <w:color w:val="000000" w:themeColor="text1"/>
                <w:sz w:val="24"/>
                <w:szCs w:val="24"/>
              </w:rPr>
              <w:t>în producția agricolă</w:t>
            </w:r>
            <w:r w:rsidRPr="00C56257">
              <w:rPr>
                <w:color w:val="000000" w:themeColor="text1"/>
                <w:spacing w:val="-52"/>
                <w:sz w:val="24"/>
                <w:szCs w:val="24"/>
              </w:rPr>
              <w:t xml:space="preserve"> </w:t>
            </w:r>
            <w:r w:rsidRPr="00C56257">
              <w:rPr>
                <w:color w:val="000000" w:themeColor="text1"/>
                <w:sz w:val="24"/>
                <w:szCs w:val="24"/>
              </w:rPr>
              <w:t>(vegetală</w:t>
            </w:r>
            <w:r w:rsidRPr="00C56257">
              <w:rPr>
                <w:color w:val="000000" w:themeColor="text1"/>
                <w:spacing w:val="-8"/>
                <w:sz w:val="24"/>
                <w:szCs w:val="24"/>
              </w:rPr>
              <w:t xml:space="preserve"> </w:t>
            </w:r>
            <w:r w:rsidRPr="00C56257">
              <w:rPr>
                <w:color w:val="000000" w:themeColor="text1"/>
                <w:sz w:val="24"/>
                <w:szCs w:val="24"/>
              </w:rPr>
              <w:t>și</w:t>
            </w:r>
            <w:r w:rsidRPr="00C56257">
              <w:rPr>
                <w:color w:val="000000" w:themeColor="text1"/>
                <w:spacing w:val="-6"/>
                <w:sz w:val="24"/>
                <w:szCs w:val="24"/>
              </w:rPr>
              <w:t xml:space="preserve"> </w:t>
            </w:r>
            <w:r w:rsidRPr="00C56257">
              <w:rPr>
                <w:color w:val="000000" w:themeColor="text1"/>
                <w:sz w:val="24"/>
                <w:szCs w:val="24"/>
              </w:rPr>
              <w:t>animală)</w:t>
            </w:r>
          </w:p>
        </w:tc>
        <w:tc>
          <w:tcPr>
            <w:tcW w:w="4745" w:type="dxa"/>
          </w:tcPr>
          <w:p w14:paraId="3B2B773E" w14:textId="77777777" w:rsidR="0004515E" w:rsidRPr="00C56257" w:rsidRDefault="0004515E" w:rsidP="008E33FD">
            <w:pPr>
              <w:pStyle w:val="TableParagraph"/>
              <w:ind w:left="109" w:right="805"/>
              <w:jc w:val="both"/>
              <w:rPr>
                <w:color w:val="000000" w:themeColor="text1"/>
                <w:sz w:val="24"/>
                <w:szCs w:val="24"/>
              </w:rPr>
            </w:pPr>
            <w:r w:rsidRPr="00C56257">
              <w:rPr>
                <w:color w:val="000000" w:themeColor="text1"/>
                <w:sz w:val="24"/>
                <w:szCs w:val="24"/>
              </w:rPr>
              <w:t>Gestionarea (reducerea sau</w:t>
            </w:r>
            <w:r w:rsidRPr="00C56257">
              <w:rPr>
                <w:color w:val="000000" w:themeColor="text1"/>
                <w:spacing w:val="-52"/>
                <w:sz w:val="24"/>
                <w:szCs w:val="24"/>
              </w:rPr>
              <w:t xml:space="preserve"> </w:t>
            </w:r>
            <w:r w:rsidRPr="00C56257">
              <w:rPr>
                <w:color w:val="000000" w:themeColor="text1"/>
                <w:sz w:val="24"/>
                <w:szCs w:val="24"/>
              </w:rPr>
              <w:t>eliminarea)</w:t>
            </w:r>
            <w:r w:rsidRPr="00C56257">
              <w:rPr>
                <w:color w:val="000000" w:themeColor="text1"/>
                <w:spacing w:val="-1"/>
                <w:sz w:val="24"/>
                <w:szCs w:val="24"/>
              </w:rPr>
              <w:t xml:space="preserve"> </w:t>
            </w:r>
            <w:r w:rsidRPr="00C56257">
              <w:rPr>
                <w:color w:val="000000" w:themeColor="text1"/>
                <w:sz w:val="24"/>
                <w:szCs w:val="24"/>
              </w:rPr>
              <w:t>utilizării:</w:t>
            </w:r>
          </w:p>
          <w:p w14:paraId="0D8A4B49" w14:textId="77777777" w:rsidR="0004515E" w:rsidRPr="00C56257" w:rsidRDefault="0004515E" w:rsidP="009E63E5">
            <w:pPr>
              <w:pStyle w:val="TableParagraph"/>
              <w:numPr>
                <w:ilvl w:val="0"/>
                <w:numId w:val="81"/>
              </w:numPr>
              <w:tabs>
                <w:tab w:val="left" w:pos="235"/>
              </w:tabs>
              <w:ind w:right="281" w:firstLine="0"/>
              <w:jc w:val="both"/>
              <w:rPr>
                <w:color w:val="000000" w:themeColor="text1"/>
                <w:sz w:val="24"/>
                <w:szCs w:val="24"/>
              </w:rPr>
            </w:pPr>
            <w:r w:rsidRPr="00C56257">
              <w:rPr>
                <w:color w:val="000000" w:themeColor="text1"/>
                <w:sz w:val="24"/>
                <w:szCs w:val="24"/>
              </w:rPr>
              <w:t>îngrășămintelor (de exemplu:</w:t>
            </w:r>
            <w:r w:rsidRPr="00C56257">
              <w:rPr>
                <w:color w:val="000000" w:themeColor="text1"/>
                <w:spacing w:val="1"/>
                <w:sz w:val="24"/>
                <w:szCs w:val="24"/>
              </w:rPr>
              <w:t xml:space="preserve"> </w:t>
            </w:r>
            <w:r w:rsidRPr="00C56257">
              <w:rPr>
                <w:color w:val="000000" w:themeColor="text1"/>
                <w:sz w:val="24"/>
                <w:szCs w:val="24"/>
              </w:rPr>
              <w:t>amendamente minerale, gunoi de</w:t>
            </w:r>
            <w:r w:rsidRPr="00C56257">
              <w:rPr>
                <w:color w:val="000000" w:themeColor="text1"/>
                <w:spacing w:val="-52"/>
                <w:sz w:val="24"/>
                <w:szCs w:val="24"/>
              </w:rPr>
              <w:t xml:space="preserve"> </w:t>
            </w:r>
            <w:r w:rsidRPr="00C56257">
              <w:rPr>
                <w:color w:val="000000" w:themeColor="text1"/>
                <w:sz w:val="24"/>
                <w:szCs w:val="24"/>
              </w:rPr>
              <w:t>grajd,</w:t>
            </w:r>
            <w:r w:rsidRPr="00C56257">
              <w:rPr>
                <w:color w:val="000000" w:themeColor="text1"/>
                <w:spacing w:val="-1"/>
                <w:sz w:val="24"/>
                <w:szCs w:val="24"/>
              </w:rPr>
              <w:t xml:space="preserve"> </w:t>
            </w:r>
            <w:r w:rsidRPr="00C56257">
              <w:rPr>
                <w:color w:val="000000" w:themeColor="text1"/>
                <w:sz w:val="24"/>
                <w:szCs w:val="24"/>
              </w:rPr>
              <w:t>nămol</w:t>
            </w:r>
            <w:r w:rsidRPr="00C56257">
              <w:rPr>
                <w:color w:val="000000" w:themeColor="text1"/>
                <w:spacing w:val="1"/>
                <w:sz w:val="24"/>
                <w:szCs w:val="24"/>
              </w:rPr>
              <w:t xml:space="preserve"> </w:t>
            </w:r>
            <w:r w:rsidRPr="00C56257">
              <w:rPr>
                <w:color w:val="000000" w:themeColor="text1"/>
                <w:sz w:val="24"/>
                <w:szCs w:val="24"/>
              </w:rPr>
              <w:t>biologic);</w:t>
            </w:r>
          </w:p>
          <w:p w14:paraId="0D76E71F" w14:textId="77777777" w:rsidR="0004515E" w:rsidRPr="00C56257" w:rsidRDefault="0004515E" w:rsidP="009E63E5">
            <w:pPr>
              <w:pStyle w:val="TableParagraph"/>
              <w:numPr>
                <w:ilvl w:val="0"/>
                <w:numId w:val="81"/>
              </w:numPr>
              <w:tabs>
                <w:tab w:val="left" w:pos="235"/>
              </w:tabs>
              <w:ind w:right="140" w:firstLine="0"/>
              <w:jc w:val="both"/>
              <w:rPr>
                <w:color w:val="000000" w:themeColor="text1"/>
                <w:sz w:val="24"/>
                <w:szCs w:val="24"/>
              </w:rPr>
            </w:pPr>
            <w:r w:rsidRPr="00C56257">
              <w:rPr>
                <w:color w:val="000000" w:themeColor="text1"/>
                <w:sz w:val="24"/>
                <w:szCs w:val="24"/>
              </w:rPr>
              <w:t>pesticidelor,fungicidelor,</w:t>
            </w:r>
            <w:r w:rsidRPr="00C56257">
              <w:rPr>
                <w:color w:val="000000" w:themeColor="text1"/>
                <w:spacing w:val="1"/>
                <w:sz w:val="24"/>
                <w:szCs w:val="24"/>
              </w:rPr>
              <w:t xml:space="preserve"> </w:t>
            </w:r>
            <w:r w:rsidRPr="00C56257">
              <w:rPr>
                <w:color w:val="000000" w:themeColor="text1"/>
                <w:sz w:val="24"/>
                <w:szCs w:val="24"/>
              </w:rPr>
              <w:t>substanțelor de tratare</w:t>
            </w:r>
            <w:r w:rsidRPr="00C56257">
              <w:rPr>
                <w:color w:val="000000" w:themeColor="text1"/>
                <w:spacing w:val="1"/>
                <w:sz w:val="24"/>
                <w:szCs w:val="24"/>
              </w:rPr>
              <w:t xml:space="preserve"> </w:t>
            </w:r>
            <w:r w:rsidRPr="00C56257">
              <w:rPr>
                <w:color w:val="000000" w:themeColor="text1"/>
                <w:sz w:val="24"/>
                <w:szCs w:val="24"/>
              </w:rPr>
              <w:t>a</w:t>
            </w:r>
            <w:r w:rsidRPr="00C56257">
              <w:rPr>
                <w:color w:val="000000" w:themeColor="text1"/>
                <w:spacing w:val="1"/>
                <w:sz w:val="24"/>
                <w:szCs w:val="24"/>
              </w:rPr>
              <w:t xml:space="preserve"> </w:t>
            </w:r>
            <w:r w:rsidRPr="00C56257">
              <w:rPr>
                <w:color w:val="000000" w:themeColor="text1"/>
                <w:sz w:val="24"/>
                <w:szCs w:val="24"/>
              </w:rPr>
              <w:t>semințelor, a erbicidelor, agenților</w:t>
            </w:r>
            <w:r w:rsidRPr="00C56257">
              <w:rPr>
                <w:color w:val="000000" w:themeColor="text1"/>
                <w:spacing w:val="-52"/>
                <w:sz w:val="24"/>
                <w:szCs w:val="24"/>
              </w:rPr>
              <w:t xml:space="preserve"> </w:t>
            </w:r>
            <w:r w:rsidRPr="00C56257">
              <w:rPr>
                <w:color w:val="000000" w:themeColor="text1"/>
                <w:sz w:val="24"/>
                <w:szCs w:val="24"/>
              </w:rPr>
              <w:t>de</w:t>
            </w:r>
            <w:r w:rsidRPr="00C56257">
              <w:rPr>
                <w:color w:val="000000" w:themeColor="text1"/>
                <w:spacing w:val="-3"/>
                <w:sz w:val="24"/>
                <w:szCs w:val="24"/>
              </w:rPr>
              <w:t xml:space="preserve"> </w:t>
            </w:r>
            <w:r w:rsidRPr="00C56257">
              <w:rPr>
                <w:color w:val="000000" w:themeColor="text1"/>
                <w:sz w:val="24"/>
                <w:szCs w:val="24"/>
              </w:rPr>
              <w:t>întârziere</w:t>
            </w:r>
            <w:r w:rsidRPr="00C56257">
              <w:rPr>
                <w:color w:val="000000" w:themeColor="text1"/>
                <w:spacing w:val="-5"/>
                <w:sz w:val="24"/>
                <w:szCs w:val="24"/>
              </w:rPr>
              <w:t xml:space="preserve"> </w:t>
            </w:r>
            <w:r w:rsidRPr="00C56257">
              <w:rPr>
                <w:color w:val="000000" w:themeColor="text1"/>
                <w:sz w:val="24"/>
                <w:szCs w:val="24"/>
              </w:rPr>
              <w:t>a</w:t>
            </w:r>
            <w:r w:rsidRPr="00C56257">
              <w:rPr>
                <w:color w:val="000000" w:themeColor="text1"/>
                <w:spacing w:val="-2"/>
                <w:sz w:val="24"/>
                <w:szCs w:val="24"/>
              </w:rPr>
              <w:t xml:space="preserve"> </w:t>
            </w:r>
            <w:r w:rsidRPr="00C56257">
              <w:rPr>
                <w:color w:val="000000" w:themeColor="text1"/>
                <w:sz w:val="24"/>
                <w:szCs w:val="24"/>
              </w:rPr>
              <w:t>creșterii,</w:t>
            </w:r>
            <w:r w:rsidRPr="00C56257">
              <w:rPr>
                <w:color w:val="000000" w:themeColor="text1"/>
                <w:spacing w:val="-3"/>
                <w:sz w:val="24"/>
                <w:szCs w:val="24"/>
              </w:rPr>
              <w:t xml:space="preserve"> </w:t>
            </w:r>
            <w:r w:rsidRPr="00C56257">
              <w:rPr>
                <w:color w:val="000000" w:themeColor="text1"/>
                <w:sz w:val="24"/>
                <w:szCs w:val="24"/>
              </w:rPr>
              <w:t>hormoni</w:t>
            </w:r>
            <w:r w:rsidRPr="00C56257">
              <w:rPr>
                <w:color w:val="000000" w:themeColor="text1"/>
                <w:spacing w:val="-2"/>
                <w:sz w:val="24"/>
                <w:szCs w:val="24"/>
              </w:rPr>
              <w:t xml:space="preserve"> </w:t>
            </w:r>
            <w:r w:rsidRPr="00C56257">
              <w:rPr>
                <w:color w:val="000000" w:themeColor="text1"/>
                <w:sz w:val="24"/>
                <w:szCs w:val="24"/>
              </w:rPr>
              <w:t>și</w:t>
            </w:r>
            <w:r w:rsidRPr="00C56257">
              <w:rPr>
                <w:color w:val="000000" w:themeColor="text1"/>
                <w:spacing w:val="-52"/>
                <w:sz w:val="24"/>
                <w:szCs w:val="24"/>
              </w:rPr>
              <w:t xml:space="preserve"> </w:t>
            </w:r>
            <w:r w:rsidRPr="00C56257">
              <w:rPr>
                <w:color w:val="000000" w:themeColor="text1"/>
                <w:sz w:val="24"/>
                <w:szCs w:val="24"/>
              </w:rPr>
              <w:t>alte substanțe chimice utilizate în</w:t>
            </w:r>
            <w:r w:rsidRPr="00C56257">
              <w:rPr>
                <w:color w:val="000000" w:themeColor="text1"/>
                <w:spacing w:val="1"/>
                <w:sz w:val="24"/>
                <w:szCs w:val="24"/>
              </w:rPr>
              <w:t xml:space="preserve"> </w:t>
            </w:r>
            <w:r w:rsidRPr="00C56257">
              <w:rPr>
                <w:color w:val="000000" w:themeColor="text1"/>
                <w:sz w:val="24"/>
                <w:szCs w:val="24"/>
              </w:rPr>
              <w:t>producția</w:t>
            </w:r>
            <w:r w:rsidRPr="00C56257">
              <w:rPr>
                <w:color w:val="000000" w:themeColor="text1"/>
                <w:spacing w:val="-1"/>
                <w:sz w:val="24"/>
                <w:szCs w:val="24"/>
              </w:rPr>
              <w:t xml:space="preserve"> </w:t>
            </w:r>
            <w:r w:rsidRPr="00C56257">
              <w:rPr>
                <w:color w:val="000000" w:themeColor="text1"/>
                <w:sz w:val="24"/>
                <w:szCs w:val="24"/>
              </w:rPr>
              <w:t>de</w:t>
            </w:r>
            <w:r w:rsidRPr="00C56257">
              <w:rPr>
                <w:color w:val="000000" w:themeColor="text1"/>
                <w:spacing w:val="-2"/>
                <w:sz w:val="24"/>
                <w:szCs w:val="24"/>
              </w:rPr>
              <w:t xml:space="preserve"> </w:t>
            </w:r>
            <w:r w:rsidRPr="00C56257">
              <w:rPr>
                <w:color w:val="000000" w:themeColor="text1"/>
                <w:sz w:val="24"/>
                <w:szCs w:val="24"/>
              </w:rPr>
              <w:t>plante;</w:t>
            </w:r>
          </w:p>
          <w:p w14:paraId="258D3B33" w14:textId="77777777" w:rsidR="0004515E" w:rsidRPr="00C56257" w:rsidRDefault="0004515E" w:rsidP="009E63E5">
            <w:pPr>
              <w:pStyle w:val="TableParagraph"/>
              <w:numPr>
                <w:ilvl w:val="0"/>
                <w:numId w:val="81"/>
              </w:numPr>
              <w:tabs>
                <w:tab w:val="left" w:pos="235"/>
              </w:tabs>
              <w:ind w:right="137" w:firstLine="0"/>
              <w:jc w:val="both"/>
              <w:rPr>
                <w:color w:val="000000" w:themeColor="text1"/>
                <w:sz w:val="24"/>
                <w:szCs w:val="24"/>
              </w:rPr>
            </w:pPr>
            <w:r w:rsidRPr="00C56257">
              <w:rPr>
                <w:color w:val="000000" w:themeColor="text1"/>
                <w:sz w:val="24"/>
                <w:szCs w:val="24"/>
              </w:rPr>
              <w:t>rodenticidelor și a altor produse</w:t>
            </w:r>
            <w:r w:rsidRPr="00C56257">
              <w:rPr>
                <w:color w:val="000000" w:themeColor="text1"/>
                <w:spacing w:val="1"/>
                <w:sz w:val="24"/>
                <w:szCs w:val="24"/>
              </w:rPr>
              <w:t xml:space="preserve"> </w:t>
            </w:r>
            <w:r w:rsidRPr="00C56257">
              <w:rPr>
                <w:color w:val="000000" w:themeColor="text1"/>
                <w:sz w:val="24"/>
                <w:szCs w:val="24"/>
              </w:rPr>
              <w:t>pentru controlul dăunătorilor;</w:t>
            </w:r>
            <w:r w:rsidRPr="00C56257">
              <w:rPr>
                <w:color w:val="000000" w:themeColor="text1"/>
                <w:spacing w:val="1"/>
                <w:sz w:val="24"/>
                <w:szCs w:val="24"/>
              </w:rPr>
              <w:t xml:space="preserve"> </w:t>
            </w:r>
            <w:r w:rsidRPr="00C56257">
              <w:rPr>
                <w:color w:val="000000" w:themeColor="text1"/>
                <w:sz w:val="24"/>
                <w:szCs w:val="24"/>
              </w:rPr>
              <w:t>viermicidelor și a altor produse</w:t>
            </w:r>
            <w:r w:rsidRPr="00C56257">
              <w:rPr>
                <w:color w:val="000000" w:themeColor="text1"/>
                <w:spacing w:val="1"/>
                <w:sz w:val="24"/>
                <w:szCs w:val="24"/>
              </w:rPr>
              <w:t xml:space="preserve"> </w:t>
            </w:r>
            <w:r w:rsidRPr="00C56257">
              <w:rPr>
                <w:color w:val="000000" w:themeColor="text1"/>
                <w:sz w:val="24"/>
                <w:szCs w:val="24"/>
              </w:rPr>
              <w:t>veterinare folosite în producția</w:t>
            </w:r>
            <w:r w:rsidRPr="00C56257">
              <w:rPr>
                <w:color w:val="000000" w:themeColor="text1"/>
                <w:spacing w:val="1"/>
                <w:sz w:val="24"/>
                <w:szCs w:val="24"/>
              </w:rPr>
              <w:t xml:space="preserve"> </w:t>
            </w:r>
            <w:r w:rsidRPr="00C56257">
              <w:rPr>
                <w:color w:val="000000" w:themeColor="text1"/>
                <w:sz w:val="24"/>
                <w:szCs w:val="24"/>
              </w:rPr>
              <w:t>animală (ca de exemplu diclofenac</w:t>
            </w:r>
            <w:r w:rsidRPr="00C56257">
              <w:rPr>
                <w:color w:val="000000" w:themeColor="text1"/>
                <w:spacing w:val="-52"/>
                <w:sz w:val="24"/>
                <w:szCs w:val="24"/>
              </w:rPr>
              <w:t xml:space="preserve"> </w:t>
            </w:r>
            <w:r w:rsidRPr="00C56257">
              <w:rPr>
                <w:color w:val="000000" w:themeColor="text1"/>
                <w:sz w:val="24"/>
                <w:szCs w:val="24"/>
              </w:rPr>
              <w:t>și / sau alte produse veterinare</w:t>
            </w:r>
            <w:r w:rsidRPr="00C56257">
              <w:rPr>
                <w:color w:val="000000" w:themeColor="text1"/>
                <w:spacing w:val="1"/>
                <w:sz w:val="24"/>
                <w:szCs w:val="24"/>
              </w:rPr>
              <w:t xml:space="preserve"> </w:t>
            </w:r>
            <w:r w:rsidRPr="00C56257">
              <w:rPr>
                <w:color w:val="000000" w:themeColor="text1"/>
                <w:sz w:val="24"/>
                <w:szCs w:val="24"/>
              </w:rPr>
              <w:t>similare).</w:t>
            </w:r>
          </w:p>
          <w:p w14:paraId="3624CA13" w14:textId="77777777" w:rsidR="0004515E" w:rsidRPr="00C56257" w:rsidRDefault="0004515E" w:rsidP="008E33FD">
            <w:pPr>
              <w:pStyle w:val="TableParagraph"/>
              <w:ind w:left="109" w:right="236"/>
              <w:jc w:val="both"/>
              <w:rPr>
                <w:color w:val="000000" w:themeColor="text1"/>
                <w:sz w:val="24"/>
                <w:szCs w:val="24"/>
              </w:rPr>
            </w:pPr>
            <w:r w:rsidRPr="00C56257">
              <w:rPr>
                <w:color w:val="000000" w:themeColor="text1"/>
                <w:sz w:val="24"/>
                <w:szCs w:val="24"/>
              </w:rPr>
              <w:t>De asemenea, această măsură</w:t>
            </w:r>
            <w:r w:rsidRPr="00C56257">
              <w:rPr>
                <w:color w:val="000000" w:themeColor="text1"/>
                <w:spacing w:val="1"/>
                <w:sz w:val="24"/>
                <w:szCs w:val="24"/>
              </w:rPr>
              <w:t xml:space="preserve"> </w:t>
            </w:r>
            <w:r w:rsidRPr="00C56257">
              <w:rPr>
                <w:color w:val="000000" w:themeColor="text1"/>
                <w:sz w:val="24"/>
                <w:szCs w:val="24"/>
              </w:rPr>
              <w:t>include dezvoltarea și menținerea</w:t>
            </w:r>
            <w:r w:rsidRPr="00C56257">
              <w:rPr>
                <w:color w:val="000000" w:themeColor="text1"/>
                <w:spacing w:val="-53"/>
                <w:sz w:val="24"/>
                <w:szCs w:val="24"/>
              </w:rPr>
              <w:t xml:space="preserve"> </w:t>
            </w:r>
            <w:r w:rsidRPr="00C56257">
              <w:rPr>
                <w:color w:val="000000" w:themeColor="text1"/>
                <w:sz w:val="24"/>
                <w:szCs w:val="24"/>
              </w:rPr>
              <w:t>măsurilor de conservare a</w:t>
            </w:r>
            <w:r w:rsidRPr="00C56257">
              <w:rPr>
                <w:color w:val="000000" w:themeColor="text1"/>
                <w:spacing w:val="1"/>
                <w:sz w:val="24"/>
                <w:szCs w:val="24"/>
              </w:rPr>
              <w:t xml:space="preserve"> </w:t>
            </w:r>
            <w:r w:rsidRPr="00C56257">
              <w:rPr>
                <w:color w:val="000000" w:themeColor="text1"/>
                <w:sz w:val="24"/>
                <w:szCs w:val="24"/>
              </w:rPr>
              <w:t>promontorilor</w:t>
            </w:r>
            <w:r w:rsidRPr="00C56257">
              <w:rPr>
                <w:color w:val="000000" w:themeColor="text1"/>
                <w:spacing w:val="-5"/>
                <w:sz w:val="24"/>
                <w:szCs w:val="24"/>
              </w:rPr>
              <w:t xml:space="preserve"> </w:t>
            </w:r>
            <w:r w:rsidRPr="00C56257">
              <w:rPr>
                <w:color w:val="000000" w:themeColor="text1"/>
                <w:sz w:val="24"/>
                <w:szCs w:val="24"/>
              </w:rPr>
              <w:t>(capurilor,</w:t>
            </w:r>
            <w:r w:rsidRPr="00C56257">
              <w:rPr>
                <w:color w:val="000000" w:themeColor="text1"/>
                <w:spacing w:val="-6"/>
                <w:sz w:val="24"/>
                <w:szCs w:val="24"/>
              </w:rPr>
              <w:t xml:space="preserve"> </w:t>
            </w:r>
            <w:r w:rsidRPr="00C56257">
              <w:rPr>
                <w:color w:val="000000" w:themeColor="text1"/>
                <w:sz w:val="24"/>
                <w:szCs w:val="24"/>
              </w:rPr>
              <w:t>micilor</w:t>
            </w:r>
          </w:p>
          <w:p w14:paraId="3C691DBC" w14:textId="77777777" w:rsidR="0004515E" w:rsidRPr="00C56257" w:rsidRDefault="0004515E" w:rsidP="008E33FD">
            <w:pPr>
              <w:pStyle w:val="TableParagraph"/>
              <w:spacing w:line="252" w:lineRule="exact"/>
              <w:ind w:left="109" w:right="523"/>
              <w:jc w:val="both"/>
              <w:rPr>
                <w:color w:val="000000" w:themeColor="text1"/>
                <w:sz w:val="24"/>
                <w:szCs w:val="24"/>
              </w:rPr>
            </w:pPr>
            <w:r w:rsidRPr="00C56257">
              <w:rPr>
                <w:color w:val="000000" w:themeColor="text1"/>
                <w:sz w:val="24"/>
                <w:szCs w:val="24"/>
              </w:rPr>
              <w:t>peninsule) sau a marginilor de</w:t>
            </w:r>
            <w:r w:rsidRPr="00C56257">
              <w:rPr>
                <w:color w:val="000000" w:themeColor="text1"/>
                <w:spacing w:val="-53"/>
                <w:sz w:val="24"/>
                <w:szCs w:val="24"/>
              </w:rPr>
              <w:t xml:space="preserve"> </w:t>
            </w:r>
            <w:r w:rsidRPr="00C56257">
              <w:rPr>
                <w:color w:val="000000" w:themeColor="text1"/>
                <w:sz w:val="24"/>
                <w:szCs w:val="24"/>
              </w:rPr>
              <w:t>ogoare</w:t>
            </w:r>
            <w:r w:rsidRPr="00C56257">
              <w:rPr>
                <w:color w:val="000000" w:themeColor="text1"/>
                <w:spacing w:val="-1"/>
                <w:sz w:val="24"/>
                <w:szCs w:val="24"/>
              </w:rPr>
              <w:t xml:space="preserve"> </w:t>
            </w:r>
            <w:r w:rsidRPr="00C56257">
              <w:rPr>
                <w:color w:val="000000" w:themeColor="text1"/>
                <w:sz w:val="24"/>
                <w:szCs w:val="24"/>
              </w:rPr>
              <w:t>(a</w:t>
            </w:r>
            <w:r w:rsidRPr="00C56257">
              <w:rPr>
                <w:color w:val="000000" w:themeColor="text1"/>
                <w:spacing w:val="-2"/>
                <w:sz w:val="24"/>
                <w:szCs w:val="24"/>
              </w:rPr>
              <w:t xml:space="preserve"> </w:t>
            </w:r>
            <w:r w:rsidRPr="00C56257">
              <w:rPr>
                <w:color w:val="000000" w:themeColor="text1"/>
                <w:sz w:val="24"/>
                <w:szCs w:val="24"/>
              </w:rPr>
              <w:t>haturilor).</w:t>
            </w:r>
          </w:p>
        </w:tc>
        <w:tc>
          <w:tcPr>
            <w:tcW w:w="1710" w:type="dxa"/>
          </w:tcPr>
          <w:p w14:paraId="27A67F2E" w14:textId="77777777" w:rsidR="0004515E" w:rsidRPr="00C56257" w:rsidRDefault="0004515E" w:rsidP="008E33FD">
            <w:pPr>
              <w:pStyle w:val="TableParagraph"/>
              <w:jc w:val="both"/>
              <w:rPr>
                <w:color w:val="000000" w:themeColor="text1"/>
                <w:sz w:val="24"/>
                <w:szCs w:val="24"/>
              </w:rPr>
            </w:pPr>
          </w:p>
          <w:p w14:paraId="3969BEEF" w14:textId="77777777" w:rsidR="0004515E" w:rsidRPr="00C56257" w:rsidRDefault="0004515E" w:rsidP="008E33FD">
            <w:pPr>
              <w:pStyle w:val="TableParagraph"/>
              <w:jc w:val="both"/>
              <w:rPr>
                <w:color w:val="000000" w:themeColor="text1"/>
                <w:sz w:val="24"/>
                <w:szCs w:val="24"/>
              </w:rPr>
            </w:pPr>
          </w:p>
          <w:p w14:paraId="28CEABA5" w14:textId="77777777" w:rsidR="0004515E" w:rsidRPr="00C56257" w:rsidRDefault="0004515E" w:rsidP="008E33FD">
            <w:pPr>
              <w:pStyle w:val="TableParagraph"/>
              <w:jc w:val="both"/>
              <w:rPr>
                <w:color w:val="000000" w:themeColor="text1"/>
                <w:sz w:val="24"/>
                <w:szCs w:val="24"/>
              </w:rPr>
            </w:pPr>
          </w:p>
          <w:p w14:paraId="1B9BA419" w14:textId="77777777" w:rsidR="0004515E" w:rsidRPr="00C56257" w:rsidRDefault="0004515E" w:rsidP="008E33FD">
            <w:pPr>
              <w:pStyle w:val="TableParagraph"/>
              <w:jc w:val="both"/>
              <w:rPr>
                <w:color w:val="000000" w:themeColor="text1"/>
                <w:sz w:val="24"/>
                <w:szCs w:val="24"/>
              </w:rPr>
            </w:pPr>
          </w:p>
          <w:p w14:paraId="3CF30DAD" w14:textId="77777777" w:rsidR="0004515E" w:rsidRPr="00C56257" w:rsidRDefault="0004515E" w:rsidP="008E33FD">
            <w:pPr>
              <w:pStyle w:val="TableParagraph"/>
              <w:jc w:val="both"/>
              <w:rPr>
                <w:color w:val="000000" w:themeColor="text1"/>
                <w:sz w:val="24"/>
                <w:szCs w:val="24"/>
              </w:rPr>
            </w:pPr>
          </w:p>
          <w:p w14:paraId="53608156" w14:textId="77777777" w:rsidR="0004515E" w:rsidRPr="00C56257" w:rsidRDefault="0004515E" w:rsidP="008E33FD">
            <w:pPr>
              <w:pStyle w:val="TableParagraph"/>
              <w:jc w:val="both"/>
              <w:rPr>
                <w:color w:val="000000" w:themeColor="text1"/>
                <w:sz w:val="24"/>
                <w:szCs w:val="24"/>
              </w:rPr>
            </w:pPr>
          </w:p>
          <w:p w14:paraId="384E91C4" w14:textId="77777777" w:rsidR="0004515E" w:rsidRPr="00C56257" w:rsidRDefault="0004515E" w:rsidP="008E33FD">
            <w:pPr>
              <w:pStyle w:val="TableParagraph"/>
              <w:jc w:val="both"/>
              <w:rPr>
                <w:color w:val="000000" w:themeColor="text1"/>
                <w:sz w:val="24"/>
                <w:szCs w:val="24"/>
              </w:rPr>
            </w:pPr>
          </w:p>
          <w:p w14:paraId="393AD7A8" w14:textId="77777777" w:rsidR="0004515E" w:rsidRPr="00C56257" w:rsidRDefault="0004515E" w:rsidP="008E33FD">
            <w:pPr>
              <w:pStyle w:val="TableParagraph"/>
              <w:jc w:val="both"/>
              <w:rPr>
                <w:color w:val="000000" w:themeColor="text1"/>
                <w:sz w:val="24"/>
                <w:szCs w:val="24"/>
              </w:rPr>
            </w:pPr>
          </w:p>
          <w:p w14:paraId="21701E80" w14:textId="77777777" w:rsidR="0004515E" w:rsidRPr="00C56257" w:rsidRDefault="0004515E" w:rsidP="008E33FD">
            <w:pPr>
              <w:pStyle w:val="TableParagraph"/>
              <w:jc w:val="both"/>
              <w:rPr>
                <w:color w:val="000000" w:themeColor="text1"/>
                <w:sz w:val="24"/>
                <w:szCs w:val="24"/>
              </w:rPr>
            </w:pPr>
          </w:p>
          <w:p w14:paraId="654EDF80" w14:textId="77777777" w:rsidR="0004515E" w:rsidRPr="00C56257" w:rsidRDefault="0004515E" w:rsidP="008E33FD">
            <w:pPr>
              <w:pStyle w:val="TableParagraph"/>
              <w:spacing w:before="4"/>
              <w:jc w:val="both"/>
              <w:rPr>
                <w:color w:val="000000" w:themeColor="text1"/>
                <w:sz w:val="24"/>
                <w:szCs w:val="24"/>
              </w:rPr>
            </w:pPr>
          </w:p>
          <w:p w14:paraId="1DE12AE3" w14:textId="77777777" w:rsidR="0004515E" w:rsidRPr="00C56257" w:rsidRDefault="0004515E" w:rsidP="008E33FD">
            <w:pPr>
              <w:pStyle w:val="TableParagraph"/>
              <w:ind w:left="110" w:right="300"/>
              <w:jc w:val="both"/>
              <w:rPr>
                <w:color w:val="000000" w:themeColor="text1"/>
                <w:sz w:val="24"/>
                <w:szCs w:val="24"/>
              </w:rPr>
            </w:pPr>
            <w:r w:rsidRPr="00C56257">
              <w:rPr>
                <w:color w:val="000000" w:themeColor="text1"/>
                <w:sz w:val="24"/>
                <w:szCs w:val="24"/>
              </w:rPr>
              <w:t>A14 parțial, A19,</w:t>
            </w:r>
            <w:r w:rsidRPr="00C56257">
              <w:rPr>
                <w:color w:val="000000" w:themeColor="text1"/>
                <w:spacing w:val="-52"/>
                <w:sz w:val="24"/>
                <w:szCs w:val="24"/>
              </w:rPr>
              <w:t xml:space="preserve"> </w:t>
            </w:r>
            <w:r w:rsidRPr="00C56257">
              <w:rPr>
                <w:color w:val="000000" w:themeColor="text1"/>
                <w:sz w:val="24"/>
                <w:szCs w:val="24"/>
              </w:rPr>
              <w:t>A20,</w:t>
            </w:r>
            <w:r w:rsidRPr="00C56257">
              <w:rPr>
                <w:color w:val="000000" w:themeColor="text1"/>
                <w:spacing w:val="-1"/>
                <w:sz w:val="24"/>
                <w:szCs w:val="24"/>
              </w:rPr>
              <w:t xml:space="preserve"> </w:t>
            </w:r>
            <w:r w:rsidRPr="00C56257">
              <w:rPr>
                <w:color w:val="000000" w:themeColor="text1"/>
                <w:sz w:val="24"/>
                <w:szCs w:val="24"/>
              </w:rPr>
              <w:t>A21</w:t>
            </w:r>
          </w:p>
        </w:tc>
      </w:tr>
      <w:tr w:rsidR="0004515E" w:rsidRPr="00C56257" w14:paraId="206CA207" w14:textId="77777777" w:rsidTr="0004515E">
        <w:trPr>
          <w:trHeight w:val="550"/>
        </w:trPr>
        <w:tc>
          <w:tcPr>
            <w:tcW w:w="851" w:type="dxa"/>
          </w:tcPr>
          <w:p w14:paraId="739AD326" w14:textId="77777777" w:rsidR="0004515E" w:rsidRPr="00C56257" w:rsidRDefault="0004515E" w:rsidP="008E33FD">
            <w:pPr>
              <w:pStyle w:val="TableParagraph"/>
              <w:spacing w:line="247" w:lineRule="exact"/>
              <w:ind w:right="93"/>
              <w:jc w:val="both"/>
              <w:rPr>
                <w:color w:val="000000" w:themeColor="text1"/>
                <w:sz w:val="24"/>
                <w:szCs w:val="24"/>
              </w:rPr>
            </w:pPr>
            <w:r w:rsidRPr="00C56257">
              <w:rPr>
                <w:color w:val="000000" w:themeColor="text1"/>
                <w:sz w:val="24"/>
                <w:szCs w:val="24"/>
              </w:rPr>
              <w:t>2.</w:t>
            </w:r>
          </w:p>
        </w:tc>
        <w:tc>
          <w:tcPr>
            <w:tcW w:w="769" w:type="dxa"/>
          </w:tcPr>
          <w:p w14:paraId="15A351AB" w14:textId="77777777" w:rsidR="0004515E" w:rsidRPr="00C56257" w:rsidRDefault="0004515E" w:rsidP="008E33FD">
            <w:pPr>
              <w:pStyle w:val="TableParagraph"/>
              <w:jc w:val="both"/>
              <w:rPr>
                <w:color w:val="000000" w:themeColor="text1"/>
                <w:sz w:val="24"/>
                <w:szCs w:val="24"/>
              </w:rPr>
            </w:pPr>
          </w:p>
          <w:p w14:paraId="3580C026" w14:textId="77777777" w:rsidR="0004515E" w:rsidRPr="00C56257" w:rsidRDefault="0004515E" w:rsidP="008E33FD">
            <w:pPr>
              <w:pStyle w:val="TableParagraph"/>
              <w:jc w:val="both"/>
              <w:rPr>
                <w:color w:val="000000" w:themeColor="text1"/>
                <w:sz w:val="24"/>
                <w:szCs w:val="24"/>
              </w:rPr>
            </w:pPr>
          </w:p>
          <w:p w14:paraId="27584008" w14:textId="77777777" w:rsidR="0004515E" w:rsidRPr="00C56257" w:rsidRDefault="0004515E" w:rsidP="008E33FD">
            <w:pPr>
              <w:pStyle w:val="TableParagraph"/>
              <w:spacing w:before="5"/>
              <w:jc w:val="both"/>
              <w:rPr>
                <w:color w:val="000000" w:themeColor="text1"/>
                <w:sz w:val="24"/>
                <w:szCs w:val="24"/>
              </w:rPr>
            </w:pPr>
          </w:p>
          <w:p w14:paraId="7F9D3EA8" w14:textId="77777777" w:rsidR="0004515E" w:rsidRPr="00C56257" w:rsidRDefault="0004515E" w:rsidP="008E33FD">
            <w:pPr>
              <w:pStyle w:val="TableParagraph"/>
              <w:ind w:left="87" w:right="77"/>
              <w:jc w:val="both"/>
              <w:rPr>
                <w:color w:val="000000" w:themeColor="text1"/>
                <w:sz w:val="24"/>
                <w:szCs w:val="24"/>
              </w:rPr>
            </w:pPr>
            <w:r w:rsidRPr="00C56257">
              <w:rPr>
                <w:color w:val="000000" w:themeColor="text1"/>
                <w:sz w:val="24"/>
                <w:szCs w:val="24"/>
              </w:rPr>
              <w:t>CA16</w:t>
            </w:r>
          </w:p>
        </w:tc>
        <w:tc>
          <w:tcPr>
            <w:tcW w:w="2095" w:type="dxa"/>
          </w:tcPr>
          <w:p w14:paraId="4E79A55F" w14:textId="77777777" w:rsidR="0004515E" w:rsidRPr="00C56257" w:rsidRDefault="0004515E" w:rsidP="008E33FD">
            <w:pPr>
              <w:pStyle w:val="TableParagraph"/>
              <w:jc w:val="both"/>
              <w:rPr>
                <w:color w:val="000000" w:themeColor="text1"/>
                <w:sz w:val="24"/>
                <w:szCs w:val="24"/>
              </w:rPr>
            </w:pPr>
          </w:p>
          <w:p w14:paraId="2BCA0E8C" w14:textId="77777777" w:rsidR="0004515E" w:rsidRPr="00C56257" w:rsidRDefault="0004515E" w:rsidP="008E33FD">
            <w:pPr>
              <w:pStyle w:val="TableParagraph"/>
              <w:jc w:val="both"/>
              <w:rPr>
                <w:color w:val="000000" w:themeColor="text1"/>
                <w:sz w:val="24"/>
                <w:szCs w:val="24"/>
              </w:rPr>
            </w:pPr>
          </w:p>
          <w:p w14:paraId="019CCCF5" w14:textId="77777777" w:rsidR="0004515E" w:rsidRPr="00C56257" w:rsidRDefault="0004515E" w:rsidP="008E33FD">
            <w:pPr>
              <w:pStyle w:val="TableParagraph"/>
              <w:spacing w:before="200"/>
              <w:ind w:left="108" w:right="81"/>
              <w:jc w:val="both"/>
              <w:rPr>
                <w:color w:val="000000" w:themeColor="text1"/>
                <w:sz w:val="24"/>
                <w:szCs w:val="24"/>
              </w:rPr>
            </w:pPr>
            <w:r w:rsidRPr="00C56257">
              <w:rPr>
                <w:color w:val="000000" w:themeColor="text1"/>
                <w:sz w:val="24"/>
                <w:szCs w:val="24"/>
              </w:rPr>
              <w:t>Alte măsuri legate de</w:t>
            </w:r>
            <w:r w:rsidRPr="00C56257">
              <w:rPr>
                <w:color w:val="000000" w:themeColor="text1"/>
                <w:spacing w:val="-52"/>
                <w:sz w:val="24"/>
                <w:szCs w:val="24"/>
              </w:rPr>
              <w:t xml:space="preserve"> </w:t>
            </w:r>
            <w:r w:rsidRPr="00C56257">
              <w:rPr>
                <w:color w:val="000000" w:themeColor="text1"/>
                <w:sz w:val="24"/>
                <w:szCs w:val="24"/>
              </w:rPr>
              <w:t>practicile</w:t>
            </w:r>
            <w:r w:rsidRPr="00C56257">
              <w:rPr>
                <w:color w:val="000000" w:themeColor="text1"/>
                <w:spacing w:val="-2"/>
                <w:sz w:val="24"/>
                <w:szCs w:val="24"/>
              </w:rPr>
              <w:t xml:space="preserve"> </w:t>
            </w:r>
            <w:r w:rsidRPr="00C56257">
              <w:rPr>
                <w:color w:val="000000" w:themeColor="text1"/>
                <w:sz w:val="24"/>
                <w:szCs w:val="24"/>
              </w:rPr>
              <w:t>agricole</w:t>
            </w:r>
          </w:p>
        </w:tc>
        <w:tc>
          <w:tcPr>
            <w:tcW w:w="4745" w:type="dxa"/>
          </w:tcPr>
          <w:p w14:paraId="776F7A0A" w14:textId="77777777" w:rsidR="0004515E" w:rsidRPr="00C56257" w:rsidRDefault="0004515E" w:rsidP="008E33FD">
            <w:pPr>
              <w:pStyle w:val="TableParagraph"/>
              <w:ind w:left="109" w:right="114"/>
              <w:jc w:val="both"/>
              <w:rPr>
                <w:color w:val="000000" w:themeColor="text1"/>
                <w:sz w:val="24"/>
                <w:szCs w:val="24"/>
              </w:rPr>
            </w:pPr>
            <w:r w:rsidRPr="00C56257">
              <w:rPr>
                <w:color w:val="000000" w:themeColor="text1"/>
                <w:sz w:val="24"/>
                <w:szCs w:val="24"/>
              </w:rPr>
              <w:t>Alte măsuri legate de practicile</w:t>
            </w:r>
            <w:r w:rsidRPr="00C56257">
              <w:rPr>
                <w:color w:val="000000" w:themeColor="text1"/>
                <w:spacing w:val="1"/>
                <w:sz w:val="24"/>
                <w:szCs w:val="24"/>
              </w:rPr>
              <w:t xml:space="preserve"> </w:t>
            </w:r>
            <w:r w:rsidRPr="00C56257">
              <w:rPr>
                <w:color w:val="000000" w:themeColor="text1"/>
                <w:sz w:val="24"/>
                <w:szCs w:val="24"/>
              </w:rPr>
              <w:t>agricole sau de habitate legate</w:t>
            </w:r>
            <w:r w:rsidRPr="00C56257">
              <w:rPr>
                <w:color w:val="000000" w:themeColor="text1"/>
                <w:spacing w:val="1"/>
                <w:sz w:val="24"/>
                <w:szCs w:val="24"/>
              </w:rPr>
              <w:t xml:space="preserve"> </w:t>
            </w:r>
            <w:r w:rsidRPr="00C56257">
              <w:rPr>
                <w:color w:val="000000" w:themeColor="text1"/>
                <w:sz w:val="24"/>
                <w:szCs w:val="24"/>
              </w:rPr>
              <w:t>activitățile agricole și care nu sunt</w:t>
            </w:r>
            <w:r w:rsidRPr="00C56257">
              <w:rPr>
                <w:color w:val="000000" w:themeColor="text1"/>
                <w:spacing w:val="1"/>
                <w:sz w:val="24"/>
                <w:szCs w:val="24"/>
              </w:rPr>
              <w:t xml:space="preserve"> </w:t>
            </w:r>
            <w:r w:rsidRPr="00C56257">
              <w:rPr>
                <w:color w:val="000000" w:themeColor="text1"/>
                <w:sz w:val="24"/>
                <w:szCs w:val="24"/>
              </w:rPr>
              <w:t>acoperite de celelalte măsuri CA;</w:t>
            </w:r>
            <w:r w:rsidRPr="00C56257">
              <w:rPr>
                <w:color w:val="000000" w:themeColor="text1"/>
                <w:spacing w:val="1"/>
                <w:sz w:val="24"/>
                <w:szCs w:val="24"/>
              </w:rPr>
              <w:t xml:space="preserve"> </w:t>
            </w:r>
            <w:r w:rsidRPr="00C56257">
              <w:rPr>
                <w:color w:val="000000" w:themeColor="text1"/>
                <w:sz w:val="24"/>
                <w:szCs w:val="24"/>
              </w:rPr>
              <w:t>de ex. adaptarea metodelor și / sau</w:t>
            </w:r>
            <w:r w:rsidRPr="00C56257">
              <w:rPr>
                <w:color w:val="000000" w:themeColor="text1"/>
                <w:spacing w:val="-52"/>
                <w:sz w:val="24"/>
                <w:szCs w:val="24"/>
              </w:rPr>
              <w:t xml:space="preserve"> </w:t>
            </w:r>
            <w:r w:rsidRPr="00C56257">
              <w:rPr>
                <w:color w:val="000000" w:themeColor="text1"/>
                <w:sz w:val="24"/>
                <w:szCs w:val="24"/>
              </w:rPr>
              <w:t>a momentului de recoltare pentru a</w:t>
            </w:r>
            <w:r w:rsidRPr="00C56257">
              <w:rPr>
                <w:color w:val="000000" w:themeColor="text1"/>
                <w:spacing w:val="-52"/>
                <w:sz w:val="24"/>
                <w:szCs w:val="24"/>
              </w:rPr>
              <w:t xml:space="preserve"> </w:t>
            </w:r>
            <w:r w:rsidRPr="00C56257">
              <w:rPr>
                <w:color w:val="000000" w:themeColor="text1"/>
                <w:sz w:val="24"/>
                <w:szCs w:val="24"/>
              </w:rPr>
              <w:t>evita</w:t>
            </w:r>
            <w:r w:rsidRPr="00C56257">
              <w:rPr>
                <w:color w:val="000000" w:themeColor="text1"/>
                <w:spacing w:val="-1"/>
                <w:sz w:val="24"/>
                <w:szCs w:val="24"/>
              </w:rPr>
              <w:t xml:space="preserve"> </w:t>
            </w:r>
            <w:r w:rsidRPr="00C56257">
              <w:rPr>
                <w:color w:val="000000" w:themeColor="text1"/>
                <w:sz w:val="24"/>
                <w:szCs w:val="24"/>
              </w:rPr>
              <w:t>perturbarea</w:t>
            </w:r>
            <w:r w:rsidRPr="00C56257">
              <w:rPr>
                <w:color w:val="000000" w:themeColor="text1"/>
                <w:spacing w:val="-1"/>
                <w:sz w:val="24"/>
                <w:szCs w:val="24"/>
              </w:rPr>
              <w:t xml:space="preserve"> </w:t>
            </w:r>
            <w:r w:rsidRPr="00C56257">
              <w:rPr>
                <w:color w:val="000000" w:themeColor="text1"/>
                <w:sz w:val="24"/>
                <w:szCs w:val="24"/>
              </w:rPr>
              <w:t>păsărilor</w:t>
            </w:r>
          </w:p>
          <w:p w14:paraId="0AA9C3D4" w14:textId="77777777" w:rsidR="0004515E" w:rsidRPr="00C56257" w:rsidRDefault="0004515E" w:rsidP="008E33FD">
            <w:pPr>
              <w:pStyle w:val="TableParagraph"/>
              <w:spacing w:line="238" w:lineRule="exact"/>
              <w:ind w:left="109"/>
              <w:jc w:val="both"/>
              <w:rPr>
                <w:color w:val="000000" w:themeColor="text1"/>
                <w:sz w:val="24"/>
                <w:szCs w:val="24"/>
              </w:rPr>
            </w:pPr>
            <w:r w:rsidRPr="00C56257">
              <w:rPr>
                <w:color w:val="000000" w:themeColor="text1"/>
                <w:sz w:val="24"/>
                <w:szCs w:val="24"/>
              </w:rPr>
              <w:t>cuibăritoare.</w:t>
            </w:r>
          </w:p>
        </w:tc>
        <w:tc>
          <w:tcPr>
            <w:tcW w:w="1710" w:type="dxa"/>
          </w:tcPr>
          <w:p w14:paraId="2DCA5423" w14:textId="77777777" w:rsidR="0004515E" w:rsidRPr="00C56257" w:rsidRDefault="0004515E" w:rsidP="008E33FD">
            <w:pPr>
              <w:pStyle w:val="TableParagraph"/>
              <w:spacing w:before="3"/>
              <w:jc w:val="both"/>
              <w:rPr>
                <w:color w:val="000000" w:themeColor="text1"/>
                <w:sz w:val="24"/>
                <w:szCs w:val="24"/>
              </w:rPr>
            </w:pPr>
          </w:p>
          <w:p w14:paraId="460A9E6D" w14:textId="77777777" w:rsidR="0004515E" w:rsidRPr="00C56257" w:rsidRDefault="0004515E" w:rsidP="008E33FD">
            <w:pPr>
              <w:pStyle w:val="TableParagraph"/>
              <w:spacing w:before="1"/>
              <w:ind w:left="110" w:right="444"/>
              <w:jc w:val="both"/>
              <w:rPr>
                <w:color w:val="000000" w:themeColor="text1"/>
                <w:sz w:val="24"/>
                <w:szCs w:val="24"/>
              </w:rPr>
            </w:pPr>
            <w:r w:rsidRPr="00C56257">
              <w:rPr>
                <w:color w:val="000000" w:themeColor="text1"/>
                <w:sz w:val="24"/>
                <w:szCs w:val="24"/>
              </w:rPr>
              <w:t>A04, A17, A22,</w:t>
            </w:r>
            <w:r w:rsidRPr="00C56257">
              <w:rPr>
                <w:color w:val="000000" w:themeColor="text1"/>
                <w:spacing w:val="-52"/>
                <w:sz w:val="24"/>
                <w:szCs w:val="24"/>
              </w:rPr>
              <w:t xml:space="preserve"> </w:t>
            </w:r>
            <w:r w:rsidRPr="00C56257">
              <w:rPr>
                <w:color w:val="000000" w:themeColor="text1"/>
                <w:sz w:val="24"/>
                <w:szCs w:val="24"/>
              </w:rPr>
              <w:t>A23, A24, A34,</w:t>
            </w:r>
            <w:r w:rsidRPr="00C56257">
              <w:rPr>
                <w:color w:val="000000" w:themeColor="text1"/>
                <w:spacing w:val="-52"/>
                <w:sz w:val="24"/>
                <w:szCs w:val="24"/>
              </w:rPr>
              <w:t xml:space="preserve"> </w:t>
            </w:r>
            <w:r w:rsidRPr="00C56257">
              <w:rPr>
                <w:color w:val="000000" w:themeColor="text1"/>
                <w:sz w:val="24"/>
                <w:szCs w:val="24"/>
              </w:rPr>
              <w:t>A35</w:t>
            </w:r>
          </w:p>
        </w:tc>
      </w:tr>
      <w:tr w:rsidR="0004515E" w:rsidRPr="00C56257" w14:paraId="60CC8BD1" w14:textId="77777777" w:rsidTr="0004515E">
        <w:trPr>
          <w:trHeight w:val="1264"/>
        </w:trPr>
        <w:tc>
          <w:tcPr>
            <w:tcW w:w="851" w:type="dxa"/>
          </w:tcPr>
          <w:p w14:paraId="0290A5A3" w14:textId="77777777" w:rsidR="0004515E" w:rsidRPr="00C56257" w:rsidRDefault="0004515E" w:rsidP="008E33FD">
            <w:pPr>
              <w:pStyle w:val="TableParagraph"/>
              <w:spacing w:line="247" w:lineRule="exact"/>
              <w:ind w:right="93"/>
              <w:jc w:val="both"/>
              <w:rPr>
                <w:color w:val="000000" w:themeColor="text1"/>
                <w:sz w:val="24"/>
                <w:szCs w:val="24"/>
              </w:rPr>
            </w:pPr>
            <w:r w:rsidRPr="00C56257">
              <w:rPr>
                <w:color w:val="000000" w:themeColor="text1"/>
                <w:sz w:val="24"/>
                <w:szCs w:val="24"/>
              </w:rPr>
              <w:t>3.</w:t>
            </w:r>
          </w:p>
        </w:tc>
        <w:tc>
          <w:tcPr>
            <w:tcW w:w="769" w:type="dxa"/>
          </w:tcPr>
          <w:p w14:paraId="022F0F72" w14:textId="77777777" w:rsidR="0004515E" w:rsidRPr="00C56257" w:rsidRDefault="0004515E" w:rsidP="008E33FD">
            <w:pPr>
              <w:pStyle w:val="TableParagraph"/>
              <w:jc w:val="both"/>
              <w:rPr>
                <w:color w:val="000000" w:themeColor="text1"/>
                <w:sz w:val="24"/>
                <w:szCs w:val="24"/>
              </w:rPr>
            </w:pPr>
          </w:p>
          <w:p w14:paraId="627048DA" w14:textId="77777777" w:rsidR="0004515E" w:rsidRPr="00C56257" w:rsidRDefault="0004515E" w:rsidP="008E33FD">
            <w:pPr>
              <w:pStyle w:val="TableParagraph"/>
              <w:spacing w:before="5"/>
              <w:jc w:val="both"/>
              <w:rPr>
                <w:color w:val="000000" w:themeColor="text1"/>
                <w:sz w:val="24"/>
                <w:szCs w:val="24"/>
              </w:rPr>
            </w:pPr>
          </w:p>
          <w:p w14:paraId="08A7CC21" w14:textId="77777777" w:rsidR="0004515E" w:rsidRPr="00C56257" w:rsidRDefault="0004515E" w:rsidP="008E33FD">
            <w:pPr>
              <w:pStyle w:val="TableParagraph"/>
              <w:ind w:left="76" w:right="77"/>
              <w:jc w:val="both"/>
              <w:rPr>
                <w:color w:val="000000" w:themeColor="text1"/>
                <w:sz w:val="24"/>
                <w:szCs w:val="24"/>
              </w:rPr>
            </w:pPr>
            <w:r w:rsidRPr="00C56257">
              <w:rPr>
                <w:color w:val="000000" w:themeColor="text1"/>
                <w:sz w:val="24"/>
                <w:szCs w:val="24"/>
              </w:rPr>
              <w:t>CB04</w:t>
            </w:r>
          </w:p>
        </w:tc>
        <w:tc>
          <w:tcPr>
            <w:tcW w:w="2095" w:type="dxa"/>
          </w:tcPr>
          <w:p w14:paraId="284EC044" w14:textId="77777777" w:rsidR="0004515E" w:rsidRPr="00C56257" w:rsidRDefault="0004515E" w:rsidP="008E33FD">
            <w:pPr>
              <w:pStyle w:val="TableParagraph"/>
              <w:ind w:left="108" w:right="87"/>
              <w:jc w:val="both"/>
              <w:rPr>
                <w:color w:val="000000" w:themeColor="text1"/>
                <w:sz w:val="24"/>
                <w:szCs w:val="24"/>
              </w:rPr>
            </w:pPr>
            <w:r w:rsidRPr="00C56257">
              <w:rPr>
                <w:color w:val="000000" w:themeColor="text1"/>
                <w:sz w:val="24"/>
                <w:szCs w:val="24"/>
              </w:rPr>
              <w:t>Adaptarea/gestionare</w:t>
            </w:r>
            <w:r w:rsidRPr="00C56257">
              <w:rPr>
                <w:color w:val="000000" w:themeColor="text1"/>
                <w:spacing w:val="-52"/>
                <w:sz w:val="24"/>
                <w:szCs w:val="24"/>
              </w:rPr>
              <w:t xml:space="preserve"> </w:t>
            </w:r>
            <w:r w:rsidRPr="00C56257">
              <w:rPr>
                <w:color w:val="000000" w:themeColor="text1"/>
                <w:sz w:val="24"/>
                <w:szCs w:val="24"/>
              </w:rPr>
              <w:t>a reîmpăduririi și a</w:t>
            </w:r>
            <w:r w:rsidRPr="00C56257">
              <w:rPr>
                <w:color w:val="000000" w:themeColor="text1"/>
                <w:spacing w:val="1"/>
                <w:sz w:val="24"/>
                <w:szCs w:val="24"/>
              </w:rPr>
              <w:t xml:space="preserve"> </w:t>
            </w:r>
            <w:r w:rsidRPr="00C56257">
              <w:rPr>
                <w:color w:val="000000" w:themeColor="text1"/>
                <w:sz w:val="24"/>
                <w:szCs w:val="24"/>
              </w:rPr>
              <w:t>regenerării</w:t>
            </w:r>
            <w:r w:rsidRPr="00C56257">
              <w:rPr>
                <w:color w:val="000000" w:themeColor="text1"/>
                <w:spacing w:val="-2"/>
                <w:sz w:val="24"/>
                <w:szCs w:val="24"/>
              </w:rPr>
              <w:t xml:space="preserve"> </w:t>
            </w:r>
            <w:r w:rsidRPr="00C56257">
              <w:rPr>
                <w:color w:val="000000" w:themeColor="text1"/>
                <w:sz w:val="24"/>
                <w:szCs w:val="24"/>
              </w:rPr>
              <w:t>pădurilor</w:t>
            </w:r>
          </w:p>
        </w:tc>
        <w:tc>
          <w:tcPr>
            <w:tcW w:w="4745" w:type="dxa"/>
          </w:tcPr>
          <w:p w14:paraId="7032C5F8" w14:textId="77777777" w:rsidR="0004515E" w:rsidRPr="00C56257" w:rsidRDefault="0004515E" w:rsidP="008E33FD">
            <w:pPr>
              <w:pStyle w:val="TableParagraph"/>
              <w:ind w:left="109" w:right="120"/>
              <w:jc w:val="both"/>
              <w:rPr>
                <w:color w:val="000000" w:themeColor="text1"/>
                <w:sz w:val="24"/>
                <w:szCs w:val="24"/>
              </w:rPr>
            </w:pPr>
            <w:r w:rsidRPr="00C56257">
              <w:rPr>
                <w:color w:val="000000" w:themeColor="text1"/>
                <w:sz w:val="24"/>
                <w:szCs w:val="24"/>
              </w:rPr>
              <w:t>Adaptarea sau gestionarea</w:t>
            </w:r>
            <w:r w:rsidRPr="00C56257">
              <w:rPr>
                <w:color w:val="000000" w:themeColor="text1"/>
                <w:spacing w:val="1"/>
                <w:sz w:val="24"/>
                <w:szCs w:val="24"/>
              </w:rPr>
              <w:t xml:space="preserve"> </w:t>
            </w:r>
            <w:r w:rsidRPr="00C56257">
              <w:rPr>
                <w:color w:val="000000" w:themeColor="text1"/>
                <w:sz w:val="24"/>
                <w:szCs w:val="24"/>
              </w:rPr>
              <w:t>acțiunilor de reîmpădurire pentru a</w:t>
            </w:r>
            <w:r w:rsidRPr="00C56257">
              <w:rPr>
                <w:color w:val="000000" w:themeColor="text1"/>
                <w:spacing w:val="-52"/>
                <w:sz w:val="24"/>
                <w:szCs w:val="24"/>
              </w:rPr>
              <w:t xml:space="preserve"> </w:t>
            </w:r>
            <w:r w:rsidRPr="00C56257">
              <w:rPr>
                <w:color w:val="000000" w:themeColor="text1"/>
                <w:sz w:val="24"/>
                <w:szCs w:val="24"/>
              </w:rPr>
              <w:t>reface habitatele forestiere și</w:t>
            </w:r>
            <w:r w:rsidRPr="00C56257">
              <w:rPr>
                <w:color w:val="000000" w:themeColor="text1"/>
                <w:spacing w:val="1"/>
                <w:sz w:val="24"/>
                <w:szCs w:val="24"/>
              </w:rPr>
              <w:t xml:space="preserve"> </w:t>
            </w:r>
            <w:r w:rsidRPr="00C56257">
              <w:rPr>
                <w:color w:val="000000" w:themeColor="text1"/>
                <w:sz w:val="24"/>
                <w:szCs w:val="24"/>
              </w:rPr>
              <w:t>habitatele</w:t>
            </w:r>
            <w:r w:rsidRPr="00C56257">
              <w:rPr>
                <w:color w:val="000000" w:themeColor="text1"/>
                <w:spacing w:val="-1"/>
                <w:sz w:val="24"/>
                <w:szCs w:val="24"/>
              </w:rPr>
              <w:t xml:space="preserve"> </w:t>
            </w:r>
            <w:r w:rsidRPr="00C56257">
              <w:rPr>
                <w:color w:val="000000" w:themeColor="text1"/>
                <w:sz w:val="24"/>
                <w:szCs w:val="24"/>
              </w:rPr>
              <w:t>speciilor</w:t>
            </w:r>
            <w:r w:rsidRPr="00C56257">
              <w:rPr>
                <w:color w:val="000000" w:themeColor="text1"/>
                <w:spacing w:val="-3"/>
                <w:sz w:val="24"/>
                <w:szCs w:val="24"/>
              </w:rPr>
              <w:t xml:space="preserve"> </w:t>
            </w:r>
            <w:r w:rsidRPr="00C56257">
              <w:rPr>
                <w:color w:val="000000" w:themeColor="text1"/>
                <w:sz w:val="24"/>
                <w:szCs w:val="24"/>
              </w:rPr>
              <w:t>tipice</w:t>
            </w:r>
            <w:r w:rsidRPr="00C56257">
              <w:rPr>
                <w:color w:val="000000" w:themeColor="text1"/>
                <w:spacing w:val="-1"/>
                <w:sz w:val="24"/>
                <w:szCs w:val="24"/>
              </w:rPr>
              <w:t xml:space="preserve"> </w:t>
            </w:r>
            <w:r w:rsidRPr="00C56257">
              <w:rPr>
                <w:color w:val="000000" w:themeColor="text1"/>
                <w:sz w:val="24"/>
                <w:szCs w:val="24"/>
              </w:rPr>
              <w:t>de</w:t>
            </w:r>
          </w:p>
          <w:p w14:paraId="66E1B00E" w14:textId="77777777" w:rsidR="0004515E" w:rsidRPr="00C56257" w:rsidRDefault="0004515E" w:rsidP="002236E9">
            <w:pPr>
              <w:pStyle w:val="TableParagraph"/>
              <w:ind w:left="109" w:right="113"/>
              <w:jc w:val="both"/>
              <w:rPr>
                <w:color w:val="000000" w:themeColor="text1"/>
                <w:sz w:val="24"/>
                <w:szCs w:val="24"/>
              </w:rPr>
            </w:pPr>
            <w:r w:rsidRPr="00C56257">
              <w:rPr>
                <w:color w:val="000000" w:themeColor="text1"/>
                <w:sz w:val="24"/>
                <w:szCs w:val="24"/>
              </w:rPr>
              <w:t>pădure,</w:t>
            </w:r>
            <w:r w:rsidRPr="00C56257">
              <w:rPr>
                <w:color w:val="000000" w:themeColor="text1"/>
                <w:spacing w:val="-1"/>
                <w:sz w:val="24"/>
                <w:szCs w:val="24"/>
              </w:rPr>
              <w:t xml:space="preserve"> </w:t>
            </w:r>
            <w:r w:rsidRPr="00C56257">
              <w:rPr>
                <w:color w:val="000000" w:themeColor="text1"/>
                <w:sz w:val="24"/>
                <w:szCs w:val="24"/>
              </w:rPr>
              <w:t>incluzând,</w:t>
            </w:r>
            <w:r w:rsidRPr="00C56257">
              <w:rPr>
                <w:color w:val="000000" w:themeColor="text1"/>
                <w:spacing w:val="-2"/>
                <w:sz w:val="24"/>
                <w:szCs w:val="24"/>
              </w:rPr>
              <w:t xml:space="preserve"> </w:t>
            </w:r>
            <w:r w:rsidRPr="00C56257">
              <w:rPr>
                <w:color w:val="000000" w:themeColor="text1"/>
                <w:sz w:val="24"/>
                <w:szCs w:val="24"/>
              </w:rPr>
              <w:t>de</w:t>
            </w:r>
            <w:r w:rsidRPr="00C56257">
              <w:rPr>
                <w:color w:val="000000" w:themeColor="text1"/>
                <w:spacing w:val="-1"/>
                <w:sz w:val="24"/>
                <w:szCs w:val="24"/>
              </w:rPr>
              <w:t xml:space="preserve"> </w:t>
            </w:r>
            <w:r w:rsidRPr="00C56257">
              <w:rPr>
                <w:color w:val="000000" w:themeColor="text1"/>
                <w:sz w:val="24"/>
                <w:szCs w:val="24"/>
              </w:rPr>
              <w:t>exemplu,</w:t>
            </w:r>
            <w:r w:rsidR="002236E9" w:rsidRPr="00C56257">
              <w:rPr>
                <w:color w:val="000000" w:themeColor="text1"/>
                <w:sz w:val="24"/>
                <w:szCs w:val="24"/>
              </w:rPr>
              <w:t xml:space="preserve"> conversia, pe termen lung,</w:t>
            </w:r>
            <w:r w:rsidR="002236E9" w:rsidRPr="00C56257">
              <w:rPr>
                <w:color w:val="000000" w:themeColor="text1"/>
                <w:spacing w:val="1"/>
                <w:sz w:val="24"/>
                <w:szCs w:val="24"/>
              </w:rPr>
              <w:t xml:space="preserve"> </w:t>
            </w:r>
            <w:r w:rsidR="002236E9" w:rsidRPr="00C56257">
              <w:rPr>
                <w:color w:val="000000" w:themeColor="text1"/>
                <w:sz w:val="24"/>
                <w:szCs w:val="24"/>
              </w:rPr>
              <w:t>plantațiilor cu aliniamente în</w:t>
            </w:r>
            <w:r w:rsidR="002236E9" w:rsidRPr="00C56257">
              <w:rPr>
                <w:color w:val="000000" w:themeColor="text1"/>
                <w:spacing w:val="1"/>
                <w:sz w:val="24"/>
                <w:szCs w:val="24"/>
              </w:rPr>
              <w:t xml:space="preserve"> </w:t>
            </w:r>
            <w:r w:rsidR="002236E9" w:rsidRPr="00C56257">
              <w:rPr>
                <w:color w:val="000000" w:themeColor="text1"/>
                <w:sz w:val="24"/>
                <w:szCs w:val="24"/>
              </w:rPr>
              <w:t>păduri autohtone, sau adaptarea</w:t>
            </w:r>
            <w:r w:rsidR="002236E9" w:rsidRPr="00C56257">
              <w:rPr>
                <w:color w:val="000000" w:themeColor="text1"/>
                <w:spacing w:val="1"/>
                <w:sz w:val="24"/>
                <w:szCs w:val="24"/>
              </w:rPr>
              <w:t xml:space="preserve"> </w:t>
            </w:r>
            <w:r w:rsidR="002236E9" w:rsidRPr="00C56257">
              <w:rPr>
                <w:color w:val="000000" w:themeColor="text1"/>
                <w:sz w:val="24"/>
                <w:szCs w:val="24"/>
              </w:rPr>
              <w:t>tehnicilor</w:t>
            </w:r>
            <w:r w:rsidR="002236E9" w:rsidRPr="00C56257">
              <w:rPr>
                <w:color w:val="000000" w:themeColor="text1"/>
                <w:spacing w:val="-1"/>
                <w:sz w:val="24"/>
                <w:szCs w:val="24"/>
              </w:rPr>
              <w:t xml:space="preserve"> </w:t>
            </w:r>
            <w:r w:rsidR="002236E9" w:rsidRPr="00C56257">
              <w:rPr>
                <w:color w:val="000000" w:themeColor="text1"/>
                <w:sz w:val="24"/>
                <w:szCs w:val="24"/>
              </w:rPr>
              <w:t>de</w:t>
            </w:r>
            <w:r w:rsidR="002236E9" w:rsidRPr="00C56257">
              <w:rPr>
                <w:color w:val="000000" w:themeColor="text1"/>
                <w:spacing w:val="-3"/>
                <w:sz w:val="24"/>
                <w:szCs w:val="24"/>
              </w:rPr>
              <w:t xml:space="preserve"> </w:t>
            </w:r>
            <w:r w:rsidR="002236E9" w:rsidRPr="00C56257">
              <w:rPr>
                <w:color w:val="000000" w:themeColor="text1"/>
                <w:sz w:val="24"/>
                <w:szCs w:val="24"/>
              </w:rPr>
              <w:t>reîmpădurire,</w:t>
            </w:r>
            <w:r w:rsidR="002236E9" w:rsidRPr="00C56257">
              <w:rPr>
                <w:color w:val="000000" w:themeColor="text1"/>
                <w:spacing w:val="-3"/>
                <w:sz w:val="24"/>
                <w:szCs w:val="24"/>
              </w:rPr>
              <w:t xml:space="preserve"> </w:t>
            </w:r>
            <w:r w:rsidR="002236E9" w:rsidRPr="00C56257">
              <w:rPr>
                <w:color w:val="000000" w:themeColor="text1"/>
                <w:sz w:val="24"/>
                <w:szCs w:val="24"/>
              </w:rPr>
              <w:t>precum</w:t>
            </w:r>
            <w:r w:rsidR="002236E9">
              <w:rPr>
                <w:color w:val="000000" w:themeColor="text1"/>
                <w:sz w:val="24"/>
                <w:szCs w:val="24"/>
              </w:rPr>
              <w:t xml:space="preserve"> </w:t>
            </w:r>
            <w:r w:rsidR="002236E9" w:rsidRPr="00C56257">
              <w:rPr>
                <w:color w:val="000000" w:themeColor="text1"/>
                <w:sz w:val="24"/>
                <w:szCs w:val="24"/>
              </w:rPr>
              <w:t>utilizarea regenerării naturale sau a</w:t>
            </w:r>
            <w:r w:rsidR="002236E9" w:rsidRPr="00C56257">
              <w:rPr>
                <w:color w:val="000000" w:themeColor="text1"/>
                <w:spacing w:val="-52"/>
                <w:sz w:val="24"/>
                <w:szCs w:val="24"/>
              </w:rPr>
              <w:t xml:space="preserve"> </w:t>
            </w:r>
            <w:r w:rsidR="002236E9" w:rsidRPr="00C56257">
              <w:rPr>
                <w:color w:val="000000" w:themeColor="text1"/>
                <w:sz w:val="24"/>
                <w:szCs w:val="24"/>
              </w:rPr>
              <w:t>focului.</w:t>
            </w:r>
          </w:p>
        </w:tc>
        <w:tc>
          <w:tcPr>
            <w:tcW w:w="1710" w:type="dxa"/>
          </w:tcPr>
          <w:p w14:paraId="7B2BF7C0" w14:textId="77777777" w:rsidR="0004515E" w:rsidRPr="00C56257" w:rsidRDefault="0004515E" w:rsidP="008E33FD">
            <w:pPr>
              <w:pStyle w:val="TableParagraph"/>
              <w:spacing w:before="1"/>
              <w:ind w:left="110" w:right="324"/>
              <w:jc w:val="both"/>
              <w:rPr>
                <w:color w:val="000000" w:themeColor="text1"/>
                <w:sz w:val="24"/>
                <w:szCs w:val="24"/>
              </w:rPr>
            </w:pPr>
            <w:r w:rsidRPr="00C56257">
              <w:rPr>
                <w:color w:val="000000" w:themeColor="text1"/>
                <w:sz w:val="24"/>
                <w:szCs w:val="24"/>
              </w:rPr>
              <w:t>B02 parțial, B03,</w:t>
            </w:r>
            <w:r w:rsidRPr="00C56257">
              <w:rPr>
                <w:color w:val="000000" w:themeColor="text1"/>
                <w:spacing w:val="-52"/>
                <w:sz w:val="24"/>
                <w:szCs w:val="24"/>
              </w:rPr>
              <w:t xml:space="preserve"> </w:t>
            </w:r>
            <w:r w:rsidRPr="00C56257">
              <w:rPr>
                <w:color w:val="000000" w:themeColor="text1"/>
                <w:sz w:val="24"/>
                <w:szCs w:val="24"/>
              </w:rPr>
              <w:t>B05,</w:t>
            </w:r>
            <w:r w:rsidRPr="00C56257">
              <w:rPr>
                <w:color w:val="000000" w:themeColor="text1"/>
                <w:spacing w:val="-1"/>
                <w:sz w:val="24"/>
                <w:szCs w:val="24"/>
              </w:rPr>
              <w:t xml:space="preserve"> </w:t>
            </w:r>
            <w:r w:rsidRPr="00C56257">
              <w:rPr>
                <w:color w:val="000000" w:themeColor="text1"/>
                <w:sz w:val="24"/>
                <w:szCs w:val="24"/>
              </w:rPr>
              <w:t>B17 parțial</w:t>
            </w:r>
          </w:p>
        </w:tc>
      </w:tr>
      <w:tr w:rsidR="0004515E" w:rsidRPr="00C56257" w14:paraId="6AEFF989" w14:textId="77777777" w:rsidTr="0004515E">
        <w:trPr>
          <w:trHeight w:val="3053"/>
        </w:trPr>
        <w:tc>
          <w:tcPr>
            <w:tcW w:w="851" w:type="dxa"/>
          </w:tcPr>
          <w:p w14:paraId="221CAF90" w14:textId="77777777" w:rsidR="0004515E" w:rsidRPr="00C56257" w:rsidRDefault="0004515E" w:rsidP="008E33FD">
            <w:pPr>
              <w:pStyle w:val="TableParagraph"/>
              <w:spacing w:line="247" w:lineRule="exact"/>
              <w:ind w:right="93"/>
              <w:jc w:val="both"/>
              <w:rPr>
                <w:color w:val="000000" w:themeColor="text1"/>
                <w:sz w:val="24"/>
                <w:szCs w:val="24"/>
              </w:rPr>
            </w:pPr>
            <w:r w:rsidRPr="00C56257">
              <w:rPr>
                <w:color w:val="000000" w:themeColor="text1"/>
                <w:sz w:val="24"/>
                <w:szCs w:val="24"/>
              </w:rPr>
              <w:lastRenderedPageBreak/>
              <w:t>4.</w:t>
            </w:r>
          </w:p>
        </w:tc>
        <w:tc>
          <w:tcPr>
            <w:tcW w:w="769" w:type="dxa"/>
          </w:tcPr>
          <w:p w14:paraId="4187EA99" w14:textId="77777777" w:rsidR="0004515E" w:rsidRPr="00C56257" w:rsidRDefault="0004515E" w:rsidP="008E33FD">
            <w:pPr>
              <w:pStyle w:val="TableParagraph"/>
              <w:jc w:val="both"/>
              <w:rPr>
                <w:color w:val="000000" w:themeColor="text1"/>
                <w:sz w:val="24"/>
                <w:szCs w:val="24"/>
              </w:rPr>
            </w:pPr>
          </w:p>
          <w:p w14:paraId="163FCDC5" w14:textId="77777777" w:rsidR="0004515E" w:rsidRPr="00C56257" w:rsidRDefault="0004515E" w:rsidP="008E33FD">
            <w:pPr>
              <w:pStyle w:val="TableParagraph"/>
              <w:jc w:val="both"/>
              <w:rPr>
                <w:color w:val="000000" w:themeColor="text1"/>
                <w:sz w:val="24"/>
                <w:szCs w:val="24"/>
              </w:rPr>
            </w:pPr>
          </w:p>
          <w:p w14:paraId="28C5BE68" w14:textId="77777777" w:rsidR="0004515E" w:rsidRPr="00C56257" w:rsidRDefault="0004515E" w:rsidP="008E33FD">
            <w:pPr>
              <w:pStyle w:val="TableParagraph"/>
              <w:jc w:val="both"/>
              <w:rPr>
                <w:color w:val="000000" w:themeColor="text1"/>
                <w:sz w:val="24"/>
                <w:szCs w:val="24"/>
              </w:rPr>
            </w:pPr>
          </w:p>
          <w:p w14:paraId="45266C54" w14:textId="77777777" w:rsidR="0004515E" w:rsidRPr="00C56257" w:rsidRDefault="0004515E" w:rsidP="008E33FD">
            <w:pPr>
              <w:pStyle w:val="TableParagraph"/>
              <w:jc w:val="both"/>
              <w:rPr>
                <w:color w:val="000000" w:themeColor="text1"/>
                <w:sz w:val="24"/>
                <w:szCs w:val="24"/>
              </w:rPr>
            </w:pPr>
          </w:p>
          <w:p w14:paraId="6E16B678" w14:textId="77777777" w:rsidR="0004515E" w:rsidRPr="00C56257" w:rsidRDefault="0004515E" w:rsidP="008E33FD">
            <w:pPr>
              <w:pStyle w:val="TableParagraph"/>
              <w:jc w:val="both"/>
              <w:rPr>
                <w:color w:val="000000" w:themeColor="text1"/>
                <w:sz w:val="24"/>
                <w:szCs w:val="24"/>
              </w:rPr>
            </w:pPr>
          </w:p>
          <w:p w14:paraId="7862FF45" w14:textId="77777777" w:rsidR="0004515E" w:rsidRPr="00C56257" w:rsidRDefault="0004515E" w:rsidP="008E33FD">
            <w:pPr>
              <w:pStyle w:val="TableParagraph"/>
              <w:spacing w:before="5"/>
              <w:jc w:val="both"/>
              <w:rPr>
                <w:color w:val="000000" w:themeColor="text1"/>
                <w:sz w:val="24"/>
                <w:szCs w:val="24"/>
              </w:rPr>
            </w:pPr>
          </w:p>
          <w:p w14:paraId="08E7E6A4" w14:textId="77777777" w:rsidR="0004515E" w:rsidRPr="00C56257" w:rsidRDefault="0004515E" w:rsidP="008E33FD">
            <w:pPr>
              <w:pStyle w:val="TableParagraph"/>
              <w:ind w:left="87" w:right="77"/>
              <w:jc w:val="both"/>
              <w:rPr>
                <w:color w:val="000000" w:themeColor="text1"/>
                <w:sz w:val="24"/>
                <w:szCs w:val="24"/>
              </w:rPr>
            </w:pPr>
            <w:r w:rsidRPr="00C56257">
              <w:rPr>
                <w:color w:val="000000" w:themeColor="text1"/>
                <w:sz w:val="24"/>
                <w:szCs w:val="24"/>
              </w:rPr>
              <w:t>CA07</w:t>
            </w:r>
          </w:p>
        </w:tc>
        <w:tc>
          <w:tcPr>
            <w:tcW w:w="2095" w:type="dxa"/>
          </w:tcPr>
          <w:p w14:paraId="4387DCB2" w14:textId="77777777" w:rsidR="0004515E" w:rsidRPr="00C56257" w:rsidRDefault="0004515E" w:rsidP="008E33FD">
            <w:pPr>
              <w:pStyle w:val="TableParagraph"/>
              <w:jc w:val="both"/>
              <w:rPr>
                <w:color w:val="000000" w:themeColor="text1"/>
                <w:sz w:val="24"/>
                <w:szCs w:val="24"/>
              </w:rPr>
            </w:pPr>
          </w:p>
          <w:p w14:paraId="4E2A7E91" w14:textId="77777777" w:rsidR="0004515E" w:rsidRPr="00C56257" w:rsidRDefault="0004515E" w:rsidP="008E33FD">
            <w:pPr>
              <w:pStyle w:val="TableParagraph"/>
              <w:jc w:val="both"/>
              <w:rPr>
                <w:color w:val="000000" w:themeColor="text1"/>
                <w:sz w:val="24"/>
                <w:szCs w:val="24"/>
              </w:rPr>
            </w:pPr>
          </w:p>
          <w:p w14:paraId="4F465BB7" w14:textId="77777777" w:rsidR="0004515E" w:rsidRPr="00C56257" w:rsidRDefault="0004515E" w:rsidP="008E33FD">
            <w:pPr>
              <w:pStyle w:val="TableParagraph"/>
              <w:jc w:val="both"/>
              <w:rPr>
                <w:color w:val="000000" w:themeColor="text1"/>
                <w:sz w:val="24"/>
                <w:szCs w:val="24"/>
              </w:rPr>
            </w:pPr>
          </w:p>
          <w:p w14:paraId="5939498E" w14:textId="77777777" w:rsidR="0004515E" w:rsidRPr="00C56257" w:rsidRDefault="0004515E" w:rsidP="008E33FD">
            <w:pPr>
              <w:pStyle w:val="TableParagraph"/>
              <w:jc w:val="both"/>
              <w:rPr>
                <w:color w:val="000000" w:themeColor="text1"/>
                <w:sz w:val="24"/>
                <w:szCs w:val="24"/>
              </w:rPr>
            </w:pPr>
          </w:p>
          <w:p w14:paraId="05C7B0C5" w14:textId="77777777" w:rsidR="0004515E" w:rsidRPr="00C56257" w:rsidRDefault="0004515E" w:rsidP="008E33FD">
            <w:pPr>
              <w:pStyle w:val="TableParagraph"/>
              <w:spacing w:before="4"/>
              <w:jc w:val="both"/>
              <w:rPr>
                <w:color w:val="000000" w:themeColor="text1"/>
                <w:sz w:val="24"/>
                <w:szCs w:val="24"/>
              </w:rPr>
            </w:pPr>
          </w:p>
          <w:p w14:paraId="58D5236C" w14:textId="77777777" w:rsidR="0004515E" w:rsidRPr="00C56257" w:rsidRDefault="0004515E" w:rsidP="008E33FD">
            <w:pPr>
              <w:pStyle w:val="TableParagraph"/>
              <w:spacing w:line="242" w:lineRule="auto"/>
              <w:ind w:left="108" w:right="82"/>
              <w:jc w:val="both"/>
              <w:rPr>
                <w:color w:val="000000" w:themeColor="text1"/>
                <w:sz w:val="24"/>
                <w:szCs w:val="24"/>
              </w:rPr>
            </w:pPr>
            <w:r w:rsidRPr="00C56257">
              <w:rPr>
                <w:color w:val="000000" w:themeColor="text1"/>
                <w:sz w:val="24"/>
                <w:szCs w:val="24"/>
              </w:rPr>
              <w:t>Recrearea habitatelor</w:t>
            </w:r>
            <w:r w:rsidRPr="00C56257">
              <w:rPr>
                <w:color w:val="000000" w:themeColor="text1"/>
                <w:spacing w:val="-53"/>
                <w:sz w:val="24"/>
                <w:szCs w:val="24"/>
              </w:rPr>
              <w:t xml:space="preserve"> </w:t>
            </w:r>
            <w:r w:rsidRPr="00C56257">
              <w:rPr>
                <w:color w:val="000000" w:themeColor="text1"/>
                <w:sz w:val="24"/>
                <w:szCs w:val="24"/>
              </w:rPr>
              <w:t>agricole</w:t>
            </w:r>
            <w:r w:rsidRPr="00C56257">
              <w:rPr>
                <w:color w:val="000000" w:themeColor="text1"/>
                <w:spacing w:val="-1"/>
                <w:sz w:val="24"/>
                <w:szCs w:val="24"/>
              </w:rPr>
              <w:t xml:space="preserve"> </w:t>
            </w:r>
            <w:r w:rsidRPr="00C56257">
              <w:rPr>
                <w:color w:val="000000" w:themeColor="text1"/>
                <w:sz w:val="24"/>
                <w:szCs w:val="24"/>
              </w:rPr>
              <w:t>din</w:t>
            </w:r>
            <w:r w:rsidRPr="00C56257">
              <w:rPr>
                <w:color w:val="000000" w:themeColor="text1"/>
                <w:spacing w:val="-1"/>
                <w:sz w:val="24"/>
                <w:szCs w:val="24"/>
              </w:rPr>
              <w:t xml:space="preserve"> </w:t>
            </w:r>
            <w:r w:rsidRPr="00C56257">
              <w:rPr>
                <w:color w:val="000000" w:themeColor="text1"/>
                <w:sz w:val="24"/>
                <w:szCs w:val="24"/>
              </w:rPr>
              <w:t>Anexa</w:t>
            </w:r>
            <w:r w:rsidRPr="00C56257">
              <w:rPr>
                <w:color w:val="000000" w:themeColor="text1"/>
                <w:spacing w:val="-1"/>
                <w:sz w:val="24"/>
                <w:szCs w:val="24"/>
              </w:rPr>
              <w:t xml:space="preserve"> </w:t>
            </w:r>
            <w:r w:rsidRPr="00C56257">
              <w:rPr>
                <w:color w:val="000000" w:themeColor="text1"/>
                <w:sz w:val="24"/>
                <w:szCs w:val="24"/>
              </w:rPr>
              <w:t>I</w:t>
            </w:r>
          </w:p>
        </w:tc>
        <w:tc>
          <w:tcPr>
            <w:tcW w:w="4745" w:type="dxa"/>
          </w:tcPr>
          <w:p w14:paraId="03BCC65F" w14:textId="77777777" w:rsidR="0004515E" w:rsidRPr="00C56257" w:rsidRDefault="0004515E" w:rsidP="008E33FD">
            <w:pPr>
              <w:pStyle w:val="TableParagraph"/>
              <w:ind w:left="109" w:right="77"/>
              <w:jc w:val="both"/>
              <w:rPr>
                <w:color w:val="000000" w:themeColor="text1"/>
                <w:sz w:val="24"/>
                <w:szCs w:val="24"/>
              </w:rPr>
            </w:pPr>
            <w:r w:rsidRPr="00C56257">
              <w:rPr>
                <w:color w:val="000000" w:themeColor="text1"/>
                <w:sz w:val="24"/>
                <w:szCs w:val="24"/>
              </w:rPr>
              <w:t>Terenul care a fost folosit anterior</w:t>
            </w:r>
            <w:r w:rsidRPr="00C56257">
              <w:rPr>
                <w:color w:val="000000" w:themeColor="text1"/>
                <w:spacing w:val="1"/>
                <w:sz w:val="24"/>
                <w:szCs w:val="24"/>
              </w:rPr>
              <w:t xml:space="preserve"> </w:t>
            </w:r>
            <w:r w:rsidRPr="00C56257">
              <w:rPr>
                <w:color w:val="000000" w:themeColor="text1"/>
                <w:sz w:val="24"/>
                <w:szCs w:val="24"/>
              </w:rPr>
              <w:t>pentru agricultură (de ex. teren</w:t>
            </w:r>
            <w:r w:rsidRPr="00C56257">
              <w:rPr>
                <w:color w:val="000000" w:themeColor="text1"/>
                <w:spacing w:val="1"/>
                <w:sz w:val="24"/>
                <w:szCs w:val="24"/>
              </w:rPr>
              <w:t xml:space="preserve"> </w:t>
            </w:r>
            <w:r w:rsidRPr="00C56257">
              <w:rPr>
                <w:color w:val="000000" w:themeColor="text1"/>
                <w:sz w:val="24"/>
                <w:szCs w:val="24"/>
              </w:rPr>
              <w:t>arabil) ori pentru silvicultură (de</w:t>
            </w:r>
            <w:r w:rsidRPr="00C56257">
              <w:rPr>
                <w:color w:val="000000" w:themeColor="text1"/>
                <w:spacing w:val="1"/>
                <w:sz w:val="24"/>
                <w:szCs w:val="24"/>
              </w:rPr>
              <w:t xml:space="preserve"> </w:t>
            </w:r>
            <w:r w:rsidRPr="00C56257">
              <w:rPr>
                <w:color w:val="000000" w:themeColor="text1"/>
                <w:sz w:val="24"/>
                <w:szCs w:val="24"/>
              </w:rPr>
              <w:t>exemplu, plantație</w:t>
            </w:r>
            <w:r w:rsidRPr="00C56257">
              <w:rPr>
                <w:color w:val="000000" w:themeColor="text1"/>
                <w:spacing w:val="1"/>
                <w:sz w:val="24"/>
                <w:szCs w:val="24"/>
              </w:rPr>
              <w:t xml:space="preserve"> </w:t>
            </w:r>
            <w:r w:rsidRPr="00C56257">
              <w:rPr>
                <w:color w:val="000000" w:themeColor="text1"/>
                <w:sz w:val="24"/>
                <w:szCs w:val="24"/>
              </w:rPr>
              <w:t>populară/industrială) să fie destinat</w:t>
            </w:r>
            <w:r w:rsidRPr="00C56257">
              <w:rPr>
                <w:color w:val="000000" w:themeColor="text1"/>
                <w:spacing w:val="-52"/>
                <w:sz w:val="24"/>
                <w:szCs w:val="24"/>
              </w:rPr>
              <w:t xml:space="preserve"> </w:t>
            </w:r>
            <w:r w:rsidRPr="00C56257">
              <w:rPr>
                <w:color w:val="000000" w:themeColor="text1"/>
                <w:sz w:val="24"/>
                <w:szCs w:val="24"/>
              </w:rPr>
              <w:t>unei alte utilizări; (re) crearea /</w:t>
            </w:r>
            <w:r w:rsidRPr="00C56257">
              <w:rPr>
                <w:color w:val="000000" w:themeColor="text1"/>
                <w:spacing w:val="1"/>
                <w:sz w:val="24"/>
                <w:szCs w:val="24"/>
              </w:rPr>
              <w:t xml:space="preserve"> </w:t>
            </w:r>
            <w:r w:rsidRPr="00C56257">
              <w:rPr>
                <w:color w:val="000000" w:themeColor="text1"/>
                <w:sz w:val="24"/>
                <w:szCs w:val="24"/>
              </w:rPr>
              <w:t>restaurarea ca tip de habitat agricol</w:t>
            </w:r>
            <w:r w:rsidRPr="00C56257">
              <w:rPr>
                <w:color w:val="000000" w:themeColor="text1"/>
                <w:spacing w:val="-52"/>
                <w:sz w:val="24"/>
                <w:szCs w:val="24"/>
              </w:rPr>
              <w:t xml:space="preserve"> </w:t>
            </w:r>
            <w:r w:rsidRPr="00C56257">
              <w:rPr>
                <w:color w:val="000000" w:themeColor="text1"/>
                <w:sz w:val="24"/>
                <w:szCs w:val="24"/>
              </w:rPr>
              <w:t>din Anexa I. Măsura include, de</w:t>
            </w:r>
            <w:r w:rsidRPr="00C56257">
              <w:rPr>
                <w:color w:val="000000" w:themeColor="text1"/>
                <w:spacing w:val="1"/>
                <w:sz w:val="24"/>
                <w:szCs w:val="24"/>
              </w:rPr>
              <w:t xml:space="preserve"> </w:t>
            </w:r>
            <w:r w:rsidRPr="00C56257">
              <w:rPr>
                <w:color w:val="000000" w:themeColor="text1"/>
                <w:sz w:val="24"/>
                <w:szCs w:val="24"/>
              </w:rPr>
              <w:t>exemplu, recrearea unei pajiști din</w:t>
            </w:r>
            <w:r w:rsidRPr="00C56257">
              <w:rPr>
                <w:color w:val="000000" w:themeColor="text1"/>
                <w:spacing w:val="1"/>
                <w:sz w:val="24"/>
                <w:szCs w:val="24"/>
              </w:rPr>
              <w:t xml:space="preserve"> </w:t>
            </w:r>
            <w:r w:rsidRPr="00C56257">
              <w:rPr>
                <w:color w:val="000000" w:themeColor="text1"/>
                <w:sz w:val="24"/>
                <w:szCs w:val="24"/>
              </w:rPr>
              <w:t>Anexa I dintr-o plantație forestieră.</w:t>
            </w:r>
            <w:r w:rsidRPr="00C56257">
              <w:rPr>
                <w:color w:val="000000" w:themeColor="text1"/>
                <w:spacing w:val="-52"/>
                <w:sz w:val="24"/>
                <w:szCs w:val="24"/>
              </w:rPr>
              <w:t xml:space="preserve"> </w:t>
            </w:r>
            <w:r w:rsidRPr="00C56257">
              <w:rPr>
                <w:color w:val="000000" w:themeColor="text1"/>
                <w:sz w:val="24"/>
                <w:szCs w:val="24"/>
              </w:rPr>
              <w:t>Acesta este un proces care ar putea</w:t>
            </w:r>
            <w:r w:rsidRPr="00C56257">
              <w:rPr>
                <w:color w:val="000000" w:themeColor="text1"/>
                <w:spacing w:val="-52"/>
                <w:sz w:val="24"/>
                <w:szCs w:val="24"/>
              </w:rPr>
              <w:t xml:space="preserve"> </w:t>
            </w:r>
            <w:r w:rsidRPr="00C56257">
              <w:rPr>
                <w:color w:val="000000" w:themeColor="text1"/>
                <w:sz w:val="24"/>
                <w:szCs w:val="24"/>
              </w:rPr>
              <w:t>dura mult timp pentru a fi</w:t>
            </w:r>
            <w:r w:rsidRPr="00C56257">
              <w:rPr>
                <w:color w:val="000000" w:themeColor="text1"/>
                <w:spacing w:val="1"/>
                <w:sz w:val="24"/>
                <w:szCs w:val="24"/>
              </w:rPr>
              <w:t xml:space="preserve"> </w:t>
            </w:r>
            <w:r w:rsidRPr="00C56257">
              <w:rPr>
                <w:color w:val="000000" w:themeColor="text1"/>
                <w:sz w:val="24"/>
                <w:szCs w:val="24"/>
              </w:rPr>
              <w:t>restabilite</w:t>
            </w:r>
            <w:r w:rsidRPr="00C56257">
              <w:rPr>
                <w:color w:val="000000" w:themeColor="text1"/>
                <w:spacing w:val="-2"/>
                <w:sz w:val="24"/>
                <w:szCs w:val="24"/>
              </w:rPr>
              <w:t xml:space="preserve"> </w:t>
            </w:r>
            <w:r w:rsidRPr="00C56257">
              <w:rPr>
                <w:color w:val="000000" w:themeColor="text1"/>
                <w:sz w:val="24"/>
                <w:szCs w:val="24"/>
              </w:rPr>
              <w:t>pe</w:t>
            </w:r>
            <w:r w:rsidRPr="00C56257">
              <w:rPr>
                <w:color w:val="000000" w:themeColor="text1"/>
                <w:spacing w:val="-1"/>
                <w:sz w:val="24"/>
                <w:szCs w:val="24"/>
              </w:rPr>
              <w:t xml:space="preserve"> </w:t>
            </w:r>
            <w:r w:rsidRPr="00C56257">
              <w:rPr>
                <w:color w:val="000000" w:themeColor="text1"/>
                <w:sz w:val="24"/>
                <w:szCs w:val="24"/>
              </w:rPr>
              <w:t>deplin</w:t>
            </w:r>
            <w:r w:rsidRPr="00C56257">
              <w:rPr>
                <w:color w:val="000000" w:themeColor="text1"/>
                <w:spacing w:val="-2"/>
                <w:sz w:val="24"/>
                <w:szCs w:val="24"/>
              </w:rPr>
              <w:t xml:space="preserve"> </w:t>
            </w:r>
            <w:r w:rsidRPr="00C56257">
              <w:rPr>
                <w:color w:val="000000" w:themeColor="text1"/>
                <w:sz w:val="24"/>
                <w:szCs w:val="24"/>
              </w:rPr>
              <w:t>structura</w:t>
            </w:r>
            <w:r w:rsidRPr="00C56257">
              <w:rPr>
                <w:color w:val="000000" w:themeColor="text1"/>
                <w:spacing w:val="-1"/>
                <w:sz w:val="24"/>
                <w:szCs w:val="24"/>
              </w:rPr>
              <w:t xml:space="preserve"> </w:t>
            </w:r>
            <w:r w:rsidRPr="00C56257">
              <w:rPr>
                <w:color w:val="000000" w:themeColor="text1"/>
                <w:sz w:val="24"/>
                <w:szCs w:val="24"/>
              </w:rPr>
              <w:t>și</w:t>
            </w:r>
          </w:p>
          <w:p w14:paraId="7C12DFB5" w14:textId="77777777" w:rsidR="0004515E" w:rsidRPr="00C56257" w:rsidRDefault="0004515E" w:rsidP="008E33FD">
            <w:pPr>
              <w:pStyle w:val="TableParagraph"/>
              <w:spacing w:line="238" w:lineRule="exact"/>
              <w:ind w:left="109"/>
              <w:jc w:val="both"/>
              <w:rPr>
                <w:color w:val="000000" w:themeColor="text1"/>
                <w:sz w:val="24"/>
                <w:szCs w:val="24"/>
              </w:rPr>
            </w:pPr>
            <w:r w:rsidRPr="00C56257">
              <w:rPr>
                <w:color w:val="000000" w:themeColor="text1"/>
                <w:sz w:val="24"/>
                <w:szCs w:val="24"/>
              </w:rPr>
              <w:t>funcțiile</w:t>
            </w:r>
            <w:r w:rsidRPr="00C56257">
              <w:rPr>
                <w:color w:val="000000" w:themeColor="text1"/>
                <w:spacing w:val="-4"/>
                <w:sz w:val="24"/>
                <w:szCs w:val="24"/>
              </w:rPr>
              <w:t xml:space="preserve"> </w:t>
            </w:r>
            <w:r w:rsidRPr="00C56257">
              <w:rPr>
                <w:color w:val="000000" w:themeColor="text1"/>
                <w:sz w:val="24"/>
                <w:szCs w:val="24"/>
              </w:rPr>
              <w:t>habitatelor.</w:t>
            </w:r>
          </w:p>
        </w:tc>
        <w:tc>
          <w:tcPr>
            <w:tcW w:w="1710" w:type="dxa"/>
          </w:tcPr>
          <w:p w14:paraId="7B1D219B" w14:textId="77777777" w:rsidR="0004515E" w:rsidRPr="00C56257" w:rsidRDefault="0004515E" w:rsidP="008E33FD">
            <w:pPr>
              <w:pStyle w:val="TableParagraph"/>
              <w:jc w:val="both"/>
              <w:rPr>
                <w:color w:val="000000" w:themeColor="text1"/>
                <w:sz w:val="24"/>
                <w:szCs w:val="24"/>
              </w:rPr>
            </w:pPr>
          </w:p>
          <w:p w14:paraId="279F2515" w14:textId="77777777" w:rsidR="0004515E" w:rsidRPr="00C56257" w:rsidRDefault="0004515E" w:rsidP="008E33FD">
            <w:pPr>
              <w:pStyle w:val="TableParagraph"/>
              <w:jc w:val="both"/>
              <w:rPr>
                <w:color w:val="000000" w:themeColor="text1"/>
                <w:sz w:val="24"/>
                <w:szCs w:val="24"/>
              </w:rPr>
            </w:pPr>
          </w:p>
          <w:p w14:paraId="1F5E4E27" w14:textId="77777777" w:rsidR="0004515E" w:rsidRPr="00C56257" w:rsidRDefault="0004515E" w:rsidP="008E33FD">
            <w:pPr>
              <w:pStyle w:val="TableParagraph"/>
              <w:jc w:val="both"/>
              <w:rPr>
                <w:color w:val="000000" w:themeColor="text1"/>
                <w:sz w:val="24"/>
                <w:szCs w:val="24"/>
              </w:rPr>
            </w:pPr>
          </w:p>
          <w:p w14:paraId="7FE8F87E" w14:textId="77777777" w:rsidR="0004515E" w:rsidRPr="00C56257" w:rsidRDefault="0004515E" w:rsidP="008E33FD">
            <w:pPr>
              <w:pStyle w:val="TableParagraph"/>
              <w:jc w:val="both"/>
              <w:rPr>
                <w:color w:val="000000" w:themeColor="text1"/>
                <w:sz w:val="24"/>
                <w:szCs w:val="24"/>
              </w:rPr>
            </w:pPr>
          </w:p>
          <w:p w14:paraId="2792012C" w14:textId="77777777" w:rsidR="0004515E" w:rsidRPr="00C56257" w:rsidRDefault="0004515E" w:rsidP="008E33FD">
            <w:pPr>
              <w:pStyle w:val="TableParagraph"/>
              <w:spacing w:before="5"/>
              <w:jc w:val="both"/>
              <w:rPr>
                <w:color w:val="000000" w:themeColor="text1"/>
                <w:sz w:val="24"/>
                <w:szCs w:val="24"/>
              </w:rPr>
            </w:pPr>
          </w:p>
          <w:p w14:paraId="2743B127" w14:textId="77777777" w:rsidR="0004515E" w:rsidRPr="00C56257" w:rsidRDefault="0004515E" w:rsidP="008E33FD">
            <w:pPr>
              <w:pStyle w:val="TableParagraph"/>
              <w:ind w:left="110" w:right="468"/>
              <w:jc w:val="both"/>
              <w:rPr>
                <w:color w:val="000000" w:themeColor="text1"/>
                <w:sz w:val="24"/>
                <w:szCs w:val="24"/>
              </w:rPr>
            </w:pPr>
            <w:r w:rsidRPr="00C56257">
              <w:rPr>
                <w:color w:val="000000" w:themeColor="text1"/>
                <w:sz w:val="24"/>
                <w:szCs w:val="24"/>
              </w:rPr>
              <w:t>A02, B01, C05,</w:t>
            </w:r>
            <w:r w:rsidRPr="00C56257">
              <w:rPr>
                <w:color w:val="000000" w:themeColor="text1"/>
                <w:spacing w:val="-52"/>
                <w:sz w:val="24"/>
                <w:szCs w:val="24"/>
              </w:rPr>
              <w:t xml:space="preserve"> </w:t>
            </w:r>
            <w:r w:rsidRPr="00C56257">
              <w:rPr>
                <w:color w:val="000000" w:themeColor="text1"/>
                <w:sz w:val="24"/>
                <w:szCs w:val="24"/>
              </w:rPr>
              <w:t>D01, D03, F01,</w:t>
            </w:r>
            <w:r w:rsidRPr="00C56257">
              <w:rPr>
                <w:color w:val="000000" w:themeColor="text1"/>
                <w:spacing w:val="-52"/>
                <w:sz w:val="24"/>
                <w:szCs w:val="24"/>
              </w:rPr>
              <w:t xml:space="preserve"> </w:t>
            </w:r>
            <w:r w:rsidRPr="00C56257">
              <w:rPr>
                <w:color w:val="000000" w:themeColor="text1"/>
                <w:sz w:val="24"/>
                <w:szCs w:val="24"/>
              </w:rPr>
              <w:t>F03, F05</w:t>
            </w:r>
          </w:p>
        </w:tc>
      </w:tr>
      <w:tr w:rsidR="0004515E" w:rsidRPr="00C56257" w14:paraId="7475278A" w14:textId="77777777" w:rsidTr="0004515E">
        <w:trPr>
          <w:trHeight w:val="613"/>
        </w:trPr>
        <w:tc>
          <w:tcPr>
            <w:tcW w:w="851" w:type="dxa"/>
          </w:tcPr>
          <w:p w14:paraId="1344EAD8" w14:textId="77777777" w:rsidR="0004515E" w:rsidRPr="00C56257" w:rsidRDefault="0004515E" w:rsidP="008E33FD">
            <w:pPr>
              <w:pStyle w:val="TableParagraph"/>
              <w:spacing w:line="249" w:lineRule="exact"/>
              <w:ind w:right="93"/>
              <w:jc w:val="both"/>
              <w:rPr>
                <w:color w:val="000000" w:themeColor="text1"/>
                <w:sz w:val="24"/>
                <w:szCs w:val="24"/>
              </w:rPr>
            </w:pPr>
            <w:r w:rsidRPr="00C56257">
              <w:rPr>
                <w:color w:val="000000" w:themeColor="text1"/>
                <w:sz w:val="24"/>
                <w:szCs w:val="24"/>
              </w:rPr>
              <w:t>5.</w:t>
            </w:r>
          </w:p>
        </w:tc>
        <w:tc>
          <w:tcPr>
            <w:tcW w:w="769" w:type="dxa"/>
          </w:tcPr>
          <w:p w14:paraId="55F20D80" w14:textId="77777777" w:rsidR="0004515E" w:rsidRPr="00C56257" w:rsidRDefault="0004515E" w:rsidP="008E33FD">
            <w:pPr>
              <w:pStyle w:val="TableParagraph"/>
              <w:jc w:val="both"/>
              <w:rPr>
                <w:color w:val="000000" w:themeColor="text1"/>
                <w:sz w:val="24"/>
                <w:szCs w:val="24"/>
              </w:rPr>
            </w:pPr>
          </w:p>
          <w:p w14:paraId="41FCC7B5" w14:textId="77777777" w:rsidR="0004515E" w:rsidRPr="00C56257" w:rsidRDefault="0004515E" w:rsidP="008E33FD">
            <w:pPr>
              <w:pStyle w:val="TableParagraph"/>
              <w:jc w:val="both"/>
              <w:rPr>
                <w:color w:val="000000" w:themeColor="text1"/>
                <w:sz w:val="24"/>
                <w:szCs w:val="24"/>
              </w:rPr>
            </w:pPr>
          </w:p>
          <w:p w14:paraId="19864D4A" w14:textId="77777777" w:rsidR="0004515E" w:rsidRPr="00C56257" w:rsidRDefault="0004515E" w:rsidP="008E33FD">
            <w:pPr>
              <w:pStyle w:val="TableParagraph"/>
              <w:jc w:val="both"/>
              <w:rPr>
                <w:color w:val="000000" w:themeColor="text1"/>
                <w:sz w:val="24"/>
                <w:szCs w:val="24"/>
              </w:rPr>
            </w:pPr>
          </w:p>
          <w:p w14:paraId="504FBDE3" w14:textId="77777777" w:rsidR="0004515E" w:rsidRPr="00C56257" w:rsidRDefault="0004515E" w:rsidP="008E33FD">
            <w:pPr>
              <w:pStyle w:val="TableParagraph"/>
              <w:jc w:val="both"/>
              <w:rPr>
                <w:color w:val="000000" w:themeColor="text1"/>
                <w:sz w:val="24"/>
                <w:szCs w:val="24"/>
              </w:rPr>
            </w:pPr>
          </w:p>
          <w:p w14:paraId="1E349B89" w14:textId="77777777" w:rsidR="0004515E" w:rsidRPr="00C56257" w:rsidRDefault="0004515E" w:rsidP="008E33FD">
            <w:pPr>
              <w:pStyle w:val="TableParagraph"/>
              <w:jc w:val="both"/>
              <w:rPr>
                <w:color w:val="000000" w:themeColor="text1"/>
                <w:sz w:val="24"/>
                <w:szCs w:val="24"/>
              </w:rPr>
            </w:pPr>
          </w:p>
          <w:p w14:paraId="633FAA17" w14:textId="77777777" w:rsidR="0004515E" w:rsidRPr="00C56257" w:rsidRDefault="0004515E" w:rsidP="008E33FD">
            <w:pPr>
              <w:pStyle w:val="TableParagraph"/>
              <w:jc w:val="both"/>
              <w:rPr>
                <w:color w:val="000000" w:themeColor="text1"/>
                <w:sz w:val="24"/>
                <w:szCs w:val="24"/>
              </w:rPr>
            </w:pPr>
          </w:p>
          <w:p w14:paraId="1C6D0D99" w14:textId="77777777" w:rsidR="0004515E" w:rsidRPr="00C56257" w:rsidRDefault="0004515E" w:rsidP="008E33FD">
            <w:pPr>
              <w:pStyle w:val="TableParagraph"/>
              <w:spacing w:before="4"/>
              <w:jc w:val="both"/>
              <w:rPr>
                <w:color w:val="000000" w:themeColor="text1"/>
                <w:sz w:val="24"/>
                <w:szCs w:val="24"/>
              </w:rPr>
            </w:pPr>
          </w:p>
          <w:p w14:paraId="1EAF66DF" w14:textId="77777777" w:rsidR="0004515E" w:rsidRPr="00C56257" w:rsidRDefault="0004515E" w:rsidP="008E33FD">
            <w:pPr>
              <w:pStyle w:val="TableParagraph"/>
              <w:ind w:left="76" w:right="77"/>
              <w:jc w:val="both"/>
              <w:rPr>
                <w:color w:val="000000" w:themeColor="text1"/>
                <w:sz w:val="24"/>
                <w:szCs w:val="24"/>
              </w:rPr>
            </w:pPr>
            <w:r w:rsidRPr="00C56257">
              <w:rPr>
                <w:color w:val="000000" w:themeColor="text1"/>
                <w:sz w:val="24"/>
                <w:szCs w:val="24"/>
              </w:rPr>
              <w:t>CC03</w:t>
            </w:r>
          </w:p>
        </w:tc>
        <w:tc>
          <w:tcPr>
            <w:tcW w:w="2095" w:type="dxa"/>
          </w:tcPr>
          <w:p w14:paraId="4A0A4D02" w14:textId="77777777" w:rsidR="0004515E" w:rsidRPr="00C56257" w:rsidRDefault="0004515E" w:rsidP="008E33FD">
            <w:pPr>
              <w:pStyle w:val="TableParagraph"/>
              <w:jc w:val="both"/>
              <w:rPr>
                <w:color w:val="000000" w:themeColor="text1"/>
                <w:sz w:val="24"/>
                <w:szCs w:val="24"/>
              </w:rPr>
            </w:pPr>
          </w:p>
          <w:p w14:paraId="083910F5" w14:textId="77777777" w:rsidR="0004515E" w:rsidRPr="00C56257" w:rsidRDefault="0004515E" w:rsidP="008E33FD">
            <w:pPr>
              <w:pStyle w:val="TableParagraph"/>
              <w:jc w:val="both"/>
              <w:rPr>
                <w:color w:val="000000" w:themeColor="text1"/>
                <w:sz w:val="24"/>
                <w:szCs w:val="24"/>
              </w:rPr>
            </w:pPr>
          </w:p>
          <w:p w14:paraId="104C4892" w14:textId="77777777" w:rsidR="0004515E" w:rsidRPr="00C56257" w:rsidRDefault="0004515E" w:rsidP="008E33FD">
            <w:pPr>
              <w:pStyle w:val="TableParagraph"/>
              <w:jc w:val="both"/>
              <w:rPr>
                <w:color w:val="000000" w:themeColor="text1"/>
                <w:sz w:val="24"/>
                <w:szCs w:val="24"/>
              </w:rPr>
            </w:pPr>
          </w:p>
          <w:p w14:paraId="5988BA0A" w14:textId="77777777" w:rsidR="0004515E" w:rsidRPr="00C56257" w:rsidRDefault="0004515E" w:rsidP="008E33FD">
            <w:pPr>
              <w:pStyle w:val="TableParagraph"/>
              <w:jc w:val="both"/>
              <w:rPr>
                <w:color w:val="000000" w:themeColor="text1"/>
                <w:sz w:val="24"/>
                <w:szCs w:val="24"/>
              </w:rPr>
            </w:pPr>
          </w:p>
          <w:p w14:paraId="6D5609E4" w14:textId="77777777" w:rsidR="0004515E" w:rsidRPr="00C56257" w:rsidRDefault="0004515E" w:rsidP="008E33FD">
            <w:pPr>
              <w:pStyle w:val="TableParagraph"/>
              <w:spacing w:before="142"/>
              <w:ind w:left="108" w:right="87"/>
              <w:jc w:val="both"/>
              <w:rPr>
                <w:color w:val="000000" w:themeColor="text1"/>
                <w:sz w:val="24"/>
                <w:szCs w:val="24"/>
              </w:rPr>
            </w:pPr>
            <w:r w:rsidRPr="00C56257">
              <w:rPr>
                <w:color w:val="000000" w:themeColor="text1"/>
                <w:sz w:val="24"/>
                <w:szCs w:val="24"/>
              </w:rPr>
              <w:t>Adaptarea/gestionare</w:t>
            </w:r>
            <w:r w:rsidRPr="00C56257">
              <w:rPr>
                <w:color w:val="000000" w:themeColor="text1"/>
                <w:spacing w:val="-52"/>
                <w:sz w:val="24"/>
                <w:szCs w:val="24"/>
              </w:rPr>
              <w:t xml:space="preserve"> </w:t>
            </w:r>
            <w:r w:rsidRPr="00C56257">
              <w:rPr>
                <w:color w:val="000000" w:themeColor="text1"/>
                <w:sz w:val="24"/>
                <w:szCs w:val="24"/>
              </w:rPr>
              <w:t>a</w:t>
            </w:r>
            <w:r w:rsidRPr="00C56257">
              <w:rPr>
                <w:color w:val="000000" w:themeColor="text1"/>
                <w:spacing w:val="-1"/>
                <w:sz w:val="24"/>
                <w:szCs w:val="24"/>
              </w:rPr>
              <w:t xml:space="preserve"> </w:t>
            </w:r>
            <w:r w:rsidRPr="00C56257">
              <w:rPr>
                <w:color w:val="000000" w:themeColor="text1"/>
                <w:sz w:val="24"/>
                <w:szCs w:val="24"/>
              </w:rPr>
              <w:t>producerii</w:t>
            </w:r>
            <w:r w:rsidRPr="00C56257">
              <w:rPr>
                <w:color w:val="000000" w:themeColor="text1"/>
                <w:spacing w:val="1"/>
                <w:sz w:val="24"/>
                <w:szCs w:val="24"/>
              </w:rPr>
              <w:t xml:space="preserve"> </w:t>
            </w:r>
            <w:r w:rsidRPr="00C56257">
              <w:rPr>
                <w:color w:val="000000" w:themeColor="text1"/>
                <w:sz w:val="24"/>
                <w:szCs w:val="24"/>
              </w:rPr>
              <w:t>de</w:t>
            </w:r>
            <w:r w:rsidRPr="00C56257">
              <w:rPr>
                <w:color w:val="000000" w:themeColor="text1"/>
                <w:spacing w:val="1"/>
                <w:sz w:val="24"/>
                <w:szCs w:val="24"/>
              </w:rPr>
              <w:t xml:space="preserve"> </w:t>
            </w:r>
            <w:r w:rsidRPr="00C56257">
              <w:rPr>
                <w:color w:val="000000" w:themeColor="text1"/>
                <w:sz w:val="24"/>
                <w:szCs w:val="24"/>
              </w:rPr>
              <w:t>energie regenerabilă,</w:t>
            </w:r>
            <w:r w:rsidRPr="00C56257">
              <w:rPr>
                <w:color w:val="000000" w:themeColor="text1"/>
                <w:spacing w:val="-52"/>
                <w:sz w:val="24"/>
                <w:szCs w:val="24"/>
              </w:rPr>
              <w:t xml:space="preserve"> </w:t>
            </w:r>
            <w:r w:rsidRPr="00C56257">
              <w:rPr>
                <w:color w:val="000000" w:themeColor="text1"/>
                <w:sz w:val="24"/>
                <w:szCs w:val="24"/>
              </w:rPr>
              <w:t>a instalațiilor și</w:t>
            </w:r>
            <w:r w:rsidRPr="00C56257">
              <w:rPr>
                <w:color w:val="000000" w:themeColor="text1"/>
                <w:spacing w:val="1"/>
                <w:sz w:val="24"/>
                <w:szCs w:val="24"/>
              </w:rPr>
              <w:t xml:space="preserve"> </w:t>
            </w:r>
            <w:r w:rsidRPr="00C56257">
              <w:rPr>
                <w:color w:val="000000" w:themeColor="text1"/>
                <w:sz w:val="24"/>
                <w:szCs w:val="24"/>
              </w:rPr>
              <w:t>sistemului de</w:t>
            </w:r>
            <w:r w:rsidRPr="00C56257">
              <w:rPr>
                <w:color w:val="000000" w:themeColor="text1"/>
                <w:spacing w:val="1"/>
                <w:sz w:val="24"/>
                <w:szCs w:val="24"/>
              </w:rPr>
              <w:t xml:space="preserve"> </w:t>
            </w:r>
            <w:r w:rsidRPr="00C56257">
              <w:rPr>
                <w:color w:val="000000" w:themeColor="text1"/>
                <w:sz w:val="24"/>
                <w:szCs w:val="24"/>
              </w:rPr>
              <w:t>funcționare a acestor</w:t>
            </w:r>
            <w:r w:rsidRPr="00C56257">
              <w:rPr>
                <w:color w:val="000000" w:themeColor="text1"/>
                <w:spacing w:val="-52"/>
                <w:sz w:val="24"/>
                <w:szCs w:val="24"/>
              </w:rPr>
              <w:t xml:space="preserve"> </w:t>
            </w:r>
            <w:r w:rsidRPr="00C56257">
              <w:rPr>
                <w:color w:val="000000" w:themeColor="text1"/>
                <w:sz w:val="24"/>
                <w:szCs w:val="24"/>
              </w:rPr>
              <w:t>instalații.</w:t>
            </w:r>
          </w:p>
        </w:tc>
        <w:tc>
          <w:tcPr>
            <w:tcW w:w="4745" w:type="dxa"/>
          </w:tcPr>
          <w:p w14:paraId="18C65E20" w14:textId="77777777" w:rsidR="0004515E" w:rsidRPr="00C56257" w:rsidRDefault="0004515E" w:rsidP="008E33FD">
            <w:pPr>
              <w:pStyle w:val="TableParagraph"/>
              <w:spacing w:before="109"/>
              <w:ind w:left="109" w:right="199"/>
              <w:jc w:val="both"/>
              <w:rPr>
                <w:color w:val="000000" w:themeColor="text1"/>
                <w:sz w:val="24"/>
                <w:szCs w:val="24"/>
              </w:rPr>
            </w:pPr>
            <w:r w:rsidRPr="00C56257">
              <w:rPr>
                <w:color w:val="000000" w:themeColor="text1"/>
                <w:sz w:val="24"/>
                <w:szCs w:val="24"/>
              </w:rPr>
              <w:t>Adaptarea și gestionarea (inclusiv</w:t>
            </w:r>
            <w:r w:rsidRPr="00C56257">
              <w:rPr>
                <w:color w:val="000000" w:themeColor="text1"/>
                <w:spacing w:val="-52"/>
                <w:sz w:val="24"/>
                <w:szCs w:val="24"/>
              </w:rPr>
              <w:t xml:space="preserve"> </w:t>
            </w:r>
            <w:r w:rsidRPr="00C56257">
              <w:rPr>
                <w:color w:val="000000" w:themeColor="text1"/>
                <w:sz w:val="24"/>
                <w:szCs w:val="24"/>
              </w:rPr>
              <w:t>oprirea și evitarea) instalării și</w:t>
            </w:r>
            <w:r w:rsidRPr="00C56257">
              <w:rPr>
                <w:color w:val="000000" w:themeColor="text1"/>
                <w:spacing w:val="1"/>
                <w:sz w:val="24"/>
                <w:szCs w:val="24"/>
              </w:rPr>
              <w:t xml:space="preserve"> </w:t>
            </w:r>
            <w:r w:rsidRPr="00C56257">
              <w:rPr>
                <w:color w:val="000000" w:themeColor="text1"/>
                <w:sz w:val="24"/>
                <w:szCs w:val="24"/>
              </w:rPr>
              <w:t>funcționării infrastructurilor de</w:t>
            </w:r>
            <w:r w:rsidRPr="00C56257">
              <w:rPr>
                <w:color w:val="000000" w:themeColor="text1"/>
                <w:spacing w:val="1"/>
                <w:sz w:val="24"/>
                <w:szCs w:val="24"/>
              </w:rPr>
              <w:t xml:space="preserve"> </w:t>
            </w:r>
            <w:r w:rsidRPr="00C56257">
              <w:rPr>
                <w:color w:val="000000" w:themeColor="text1"/>
                <w:sz w:val="24"/>
                <w:szCs w:val="24"/>
              </w:rPr>
              <w:t>producere a energiei regenerabilă</w:t>
            </w:r>
            <w:r w:rsidRPr="00C56257">
              <w:rPr>
                <w:color w:val="000000" w:themeColor="text1"/>
                <w:spacing w:val="-52"/>
                <w:sz w:val="24"/>
                <w:szCs w:val="24"/>
              </w:rPr>
              <w:t xml:space="preserve"> </w:t>
            </w:r>
            <w:r w:rsidRPr="00C56257">
              <w:rPr>
                <w:color w:val="000000" w:themeColor="text1"/>
                <w:sz w:val="24"/>
                <w:szCs w:val="24"/>
              </w:rPr>
              <w:t>(cu</w:t>
            </w:r>
            <w:r w:rsidRPr="00C56257">
              <w:rPr>
                <w:color w:val="000000" w:themeColor="text1"/>
                <w:spacing w:val="-1"/>
                <w:sz w:val="24"/>
                <w:szCs w:val="24"/>
              </w:rPr>
              <w:t xml:space="preserve"> </w:t>
            </w:r>
            <w:r w:rsidRPr="00C56257">
              <w:rPr>
                <w:color w:val="000000" w:themeColor="text1"/>
                <w:sz w:val="24"/>
                <w:szCs w:val="24"/>
              </w:rPr>
              <w:t>excepția</w:t>
            </w:r>
            <w:r w:rsidRPr="00C56257">
              <w:rPr>
                <w:color w:val="000000" w:themeColor="text1"/>
                <w:spacing w:val="-1"/>
                <w:sz w:val="24"/>
                <w:szCs w:val="24"/>
              </w:rPr>
              <w:t xml:space="preserve"> </w:t>
            </w:r>
            <w:r w:rsidRPr="00C56257">
              <w:rPr>
                <w:color w:val="000000" w:themeColor="text1"/>
                <w:sz w:val="24"/>
                <w:szCs w:val="24"/>
              </w:rPr>
              <w:t>hidro-energiei).</w:t>
            </w:r>
          </w:p>
          <w:p w14:paraId="0D15B37E" w14:textId="77777777" w:rsidR="0004515E" w:rsidRPr="00C56257" w:rsidRDefault="0004515E" w:rsidP="008E33FD">
            <w:pPr>
              <w:pStyle w:val="TableParagraph"/>
              <w:ind w:left="109" w:right="248"/>
              <w:jc w:val="both"/>
              <w:rPr>
                <w:color w:val="000000" w:themeColor="text1"/>
                <w:sz w:val="24"/>
                <w:szCs w:val="24"/>
              </w:rPr>
            </w:pPr>
            <w:r w:rsidRPr="00C56257">
              <w:rPr>
                <w:color w:val="000000" w:themeColor="text1"/>
                <w:sz w:val="24"/>
                <w:szCs w:val="24"/>
              </w:rPr>
              <w:t>Aceasta include, de asemenea,</w:t>
            </w:r>
            <w:r w:rsidRPr="00C56257">
              <w:rPr>
                <w:color w:val="000000" w:themeColor="text1"/>
                <w:spacing w:val="1"/>
                <w:sz w:val="24"/>
                <w:szCs w:val="24"/>
              </w:rPr>
              <w:t xml:space="preserve"> </w:t>
            </w:r>
            <w:r w:rsidRPr="00C56257">
              <w:rPr>
                <w:color w:val="000000" w:themeColor="text1"/>
                <w:sz w:val="24"/>
                <w:szCs w:val="24"/>
              </w:rPr>
              <w:t>măsuri pentru a atenua impactul</w:t>
            </w:r>
            <w:r w:rsidRPr="00C56257">
              <w:rPr>
                <w:color w:val="000000" w:themeColor="text1"/>
                <w:spacing w:val="1"/>
                <w:sz w:val="24"/>
                <w:szCs w:val="24"/>
              </w:rPr>
              <w:t xml:space="preserve"> </w:t>
            </w:r>
            <w:r w:rsidRPr="00C56257">
              <w:rPr>
                <w:color w:val="000000" w:themeColor="text1"/>
                <w:sz w:val="24"/>
                <w:szCs w:val="24"/>
              </w:rPr>
              <w:t>parcurilor eoliene, cum ar fi</w:t>
            </w:r>
            <w:r w:rsidRPr="00C56257">
              <w:rPr>
                <w:color w:val="000000" w:themeColor="text1"/>
                <w:spacing w:val="1"/>
                <w:sz w:val="24"/>
                <w:szCs w:val="24"/>
              </w:rPr>
              <w:t xml:space="preserve"> </w:t>
            </w:r>
            <w:r w:rsidRPr="00C56257">
              <w:rPr>
                <w:color w:val="000000" w:themeColor="text1"/>
                <w:sz w:val="24"/>
                <w:szCs w:val="24"/>
              </w:rPr>
              <w:t>evitarea construirii de turbine în</w:t>
            </w:r>
            <w:r w:rsidRPr="00C56257">
              <w:rPr>
                <w:color w:val="000000" w:themeColor="text1"/>
                <w:spacing w:val="1"/>
                <w:sz w:val="24"/>
                <w:szCs w:val="24"/>
              </w:rPr>
              <w:t xml:space="preserve"> </w:t>
            </w:r>
            <w:r w:rsidRPr="00C56257">
              <w:rPr>
                <w:color w:val="000000" w:themeColor="text1"/>
                <w:sz w:val="24"/>
                <w:szCs w:val="24"/>
              </w:rPr>
              <w:t>locuri sensibile (de exemplu,</w:t>
            </w:r>
            <w:r w:rsidRPr="00C56257">
              <w:rPr>
                <w:color w:val="000000" w:themeColor="text1"/>
                <w:spacing w:val="1"/>
                <w:sz w:val="24"/>
                <w:szCs w:val="24"/>
              </w:rPr>
              <w:t xml:space="preserve"> </w:t>
            </w:r>
            <w:r w:rsidRPr="00C56257">
              <w:rPr>
                <w:color w:val="000000" w:themeColor="text1"/>
                <w:sz w:val="24"/>
                <w:szCs w:val="24"/>
              </w:rPr>
              <w:t>blocaje de migrație a păsărilor),</w:t>
            </w:r>
            <w:r w:rsidRPr="00C56257">
              <w:rPr>
                <w:color w:val="000000" w:themeColor="text1"/>
                <w:spacing w:val="1"/>
                <w:sz w:val="24"/>
                <w:szCs w:val="24"/>
              </w:rPr>
              <w:t xml:space="preserve"> </w:t>
            </w:r>
            <w:r w:rsidRPr="00C56257">
              <w:rPr>
                <w:color w:val="000000" w:themeColor="text1"/>
                <w:sz w:val="24"/>
                <w:szCs w:val="24"/>
              </w:rPr>
              <w:t>oprirea turbinelor în anumite</w:t>
            </w:r>
            <w:r w:rsidRPr="00C56257">
              <w:rPr>
                <w:color w:val="000000" w:themeColor="text1"/>
                <w:spacing w:val="1"/>
                <w:sz w:val="24"/>
                <w:szCs w:val="24"/>
              </w:rPr>
              <w:t xml:space="preserve"> </w:t>
            </w:r>
            <w:r w:rsidRPr="00C56257">
              <w:rPr>
                <w:color w:val="000000" w:themeColor="text1"/>
                <w:sz w:val="24"/>
                <w:szCs w:val="24"/>
              </w:rPr>
              <w:t>condiții și / sau perioade deosebit</w:t>
            </w:r>
            <w:r w:rsidRPr="00C56257">
              <w:rPr>
                <w:color w:val="000000" w:themeColor="text1"/>
                <w:spacing w:val="-52"/>
                <w:sz w:val="24"/>
                <w:szCs w:val="24"/>
              </w:rPr>
              <w:t xml:space="preserve"> </w:t>
            </w:r>
            <w:r w:rsidRPr="00C56257">
              <w:rPr>
                <w:color w:val="000000" w:themeColor="text1"/>
                <w:sz w:val="24"/>
                <w:szCs w:val="24"/>
              </w:rPr>
              <w:t>de problematice ale anului</w:t>
            </w:r>
            <w:r w:rsidRPr="00C56257">
              <w:rPr>
                <w:color w:val="000000" w:themeColor="text1"/>
                <w:spacing w:val="1"/>
                <w:sz w:val="24"/>
                <w:szCs w:val="24"/>
              </w:rPr>
              <w:t xml:space="preserve"> </w:t>
            </w:r>
            <w:r w:rsidRPr="00C56257">
              <w:rPr>
                <w:color w:val="000000" w:themeColor="text1"/>
                <w:sz w:val="24"/>
                <w:szCs w:val="24"/>
              </w:rPr>
              <w:t>(precum momentul migrației</w:t>
            </w:r>
            <w:r w:rsidRPr="00C56257">
              <w:rPr>
                <w:color w:val="000000" w:themeColor="text1"/>
                <w:spacing w:val="1"/>
                <w:sz w:val="24"/>
                <w:szCs w:val="24"/>
              </w:rPr>
              <w:t xml:space="preserve"> </w:t>
            </w:r>
            <w:r w:rsidRPr="00C56257">
              <w:rPr>
                <w:color w:val="000000" w:themeColor="text1"/>
                <w:sz w:val="24"/>
                <w:szCs w:val="24"/>
              </w:rPr>
              <w:t>maxime).</w:t>
            </w:r>
          </w:p>
        </w:tc>
        <w:tc>
          <w:tcPr>
            <w:tcW w:w="1710" w:type="dxa"/>
          </w:tcPr>
          <w:p w14:paraId="14938F4A" w14:textId="77777777" w:rsidR="0004515E" w:rsidRPr="00C56257" w:rsidRDefault="0004515E" w:rsidP="008E33FD">
            <w:pPr>
              <w:pStyle w:val="TableParagraph"/>
              <w:jc w:val="both"/>
              <w:rPr>
                <w:color w:val="000000" w:themeColor="text1"/>
                <w:sz w:val="24"/>
                <w:szCs w:val="24"/>
              </w:rPr>
            </w:pPr>
          </w:p>
          <w:p w14:paraId="7BECCB4B" w14:textId="77777777" w:rsidR="0004515E" w:rsidRPr="00C56257" w:rsidRDefault="0004515E" w:rsidP="008E33FD">
            <w:pPr>
              <w:pStyle w:val="TableParagraph"/>
              <w:jc w:val="both"/>
              <w:rPr>
                <w:color w:val="000000" w:themeColor="text1"/>
                <w:sz w:val="24"/>
                <w:szCs w:val="24"/>
              </w:rPr>
            </w:pPr>
          </w:p>
          <w:p w14:paraId="463FEC0A" w14:textId="77777777" w:rsidR="0004515E" w:rsidRPr="00C56257" w:rsidRDefault="0004515E" w:rsidP="008E33FD">
            <w:pPr>
              <w:pStyle w:val="TableParagraph"/>
              <w:jc w:val="both"/>
              <w:rPr>
                <w:color w:val="000000" w:themeColor="text1"/>
                <w:sz w:val="24"/>
                <w:szCs w:val="24"/>
              </w:rPr>
            </w:pPr>
          </w:p>
          <w:p w14:paraId="1D4F15C6" w14:textId="77777777" w:rsidR="0004515E" w:rsidRPr="00C56257" w:rsidRDefault="0004515E" w:rsidP="008E33FD">
            <w:pPr>
              <w:pStyle w:val="TableParagraph"/>
              <w:jc w:val="both"/>
              <w:rPr>
                <w:color w:val="000000" w:themeColor="text1"/>
                <w:sz w:val="24"/>
                <w:szCs w:val="24"/>
              </w:rPr>
            </w:pPr>
          </w:p>
          <w:p w14:paraId="7E03141C" w14:textId="77777777" w:rsidR="0004515E" w:rsidRPr="00C56257" w:rsidRDefault="0004515E" w:rsidP="008E33FD">
            <w:pPr>
              <w:pStyle w:val="TableParagraph"/>
              <w:jc w:val="both"/>
              <w:rPr>
                <w:color w:val="000000" w:themeColor="text1"/>
                <w:sz w:val="24"/>
                <w:szCs w:val="24"/>
              </w:rPr>
            </w:pPr>
          </w:p>
          <w:p w14:paraId="57276570" w14:textId="77777777" w:rsidR="0004515E" w:rsidRPr="00C56257" w:rsidRDefault="0004515E" w:rsidP="008E33FD">
            <w:pPr>
              <w:pStyle w:val="TableParagraph"/>
              <w:jc w:val="both"/>
              <w:rPr>
                <w:color w:val="000000" w:themeColor="text1"/>
                <w:sz w:val="24"/>
                <w:szCs w:val="24"/>
              </w:rPr>
            </w:pPr>
          </w:p>
          <w:p w14:paraId="1D6B6FDA" w14:textId="77777777" w:rsidR="0004515E" w:rsidRPr="00C56257" w:rsidRDefault="0004515E" w:rsidP="008E33FD">
            <w:pPr>
              <w:pStyle w:val="TableParagraph"/>
              <w:spacing w:before="6"/>
              <w:jc w:val="both"/>
              <w:rPr>
                <w:color w:val="000000" w:themeColor="text1"/>
                <w:sz w:val="24"/>
                <w:szCs w:val="24"/>
              </w:rPr>
            </w:pPr>
          </w:p>
          <w:p w14:paraId="3DAEC2D5" w14:textId="77777777" w:rsidR="0004515E" w:rsidRPr="00C56257" w:rsidRDefault="0004515E" w:rsidP="008E33FD">
            <w:pPr>
              <w:pStyle w:val="TableParagraph"/>
              <w:ind w:left="110" w:right="428"/>
              <w:jc w:val="both"/>
              <w:rPr>
                <w:color w:val="000000" w:themeColor="text1"/>
                <w:sz w:val="24"/>
                <w:szCs w:val="24"/>
              </w:rPr>
            </w:pPr>
            <w:r w:rsidRPr="00C56257">
              <w:rPr>
                <w:color w:val="000000" w:themeColor="text1"/>
                <w:sz w:val="24"/>
                <w:szCs w:val="24"/>
              </w:rPr>
              <w:t>D01, D03, D04,</w:t>
            </w:r>
            <w:r w:rsidRPr="00C56257">
              <w:rPr>
                <w:color w:val="000000" w:themeColor="text1"/>
                <w:spacing w:val="-52"/>
                <w:sz w:val="24"/>
                <w:szCs w:val="24"/>
              </w:rPr>
              <w:t xml:space="preserve"> </w:t>
            </w:r>
            <w:r w:rsidRPr="00C56257">
              <w:rPr>
                <w:color w:val="000000" w:themeColor="text1"/>
                <w:sz w:val="24"/>
                <w:szCs w:val="24"/>
              </w:rPr>
              <w:t>D05</w:t>
            </w:r>
          </w:p>
        </w:tc>
      </w:tr>
      <w:tr w:rsidR="0004515E" w:rsidRPr="00C56257" w14:paraId="0479AAA7" w14:textId="77777777" w:rsidTr="0004515E">
        <w:trPr>
          <w:trHeight w:val="4049"/>
        </w:trPr>
        <w:tc>
          <w:tcPr>
            <w:tcW w:w="851" w:type="dxa"/>
          </w:tcPr>
          <w:p w14:paraId="4D7AC1E2" w14:textId="77777777" w:rsidR="0004515E" w:rsidRPr="00C56257" w:rsidRDefault="0004515E" w:rsidP="008E33FD">
            <w:pPr>
              <w:pStyle w:val="TableParagraph"/>
              <w:spacing w:line="249" w:lineRule="exact"/>
              <w:ind w:right="93"/>
              <w:jc w:val="both"/>
              <w:rPr>
                <w:color w:val="000000" w:themeColor="text1"/>
                <w:sz w:val="24"/>
                <w:szCs w:val="24"/>
              </w:rPr>
            </w:pPr>
            <w:r w:rsidRPr="00C56257">
              <w:rPr>
                <w:color w:val="000000" w:themeColor="text1"/>
                <w:sz w:val="24"/>
                <w:szCs w:val="24"/>
              </w:rPr>
              <w:t>6.</w:t>
            </w:r>
          </w:p>
        </w:tc>
        <w:tc>
          <w:tcPr>
            <w:tcW w:w="769" w:type="dxa"/>
          </w:tcPr>
          <w:p w14:paraId="796CD28A" w14:textId="77777777" w:rsidR="0004515E" w:rsidRPr="00C56257" w:rsidRDefault="0004515E" w:rsidP="008E33FD">
            <w:pPr>
              <w:pStyle w:val="TableParagraph"/>
              <w:jc w:val="both"/>
              <w:rPr>
                <w:color w:val="000000" w:themeColor="text1"/>
                <w:sz w:val="24"/>
                <w:szCs w:val="24"/>
              </w:rPr>
            </w:pPr>
          </w:p>
          <w:p w14:paraId="5ED5F75C" w14:textId="77777777" w:rsidR="0004515E" w:rsidRPr="00C56257" w:rsidRDefault="0004515E" w:rsidP="008E33FD">
            <w:pPr>
              <w:pStyle w:val="TableParagraph"/>
              <w:jc w:val="both"/>
              <w:rPr>
                <w:color w:val="000000" w:themeColor="text1"/>
                <w:sz w:val="24"/>
                <w:szCs w:val="24"/>
              </w:rPr>
            </w:pPr>
          </w:p>
          <w:p w14:paraId="517F6EBF" w14:textId="77777777" w:rsidR="0004515E" w:rsidRPr="00C56257" w:rsidRDefault="0004515E" w:rsidP="008E33FD">
            <w:pPr>
              <w:pStyle w:val="TableParagraph"/>
              <w:jc w:val="both"/>
              <w:rPr>
                <w:color w:val="000000" w:themeColor="text1"/>
                <w:sz w:val="24"/>
                <w:szCs w:val="24"/>
              </w:rPr>
            </w:pPr>
          </w:p>
          <w:p w14:paraId="20C86590" w14:textId="77777777" w:rsidR="0004515E" w:rsidRPr="00C56257" w:rsidRDefault="0004515E" w:rsidP="008E33FD">
            <w:pPr>
              <w:pStyle w:val="TableParagraph"/>
              <w:jc w:val="both"/>
              <w:rPr>
                <w:color w:val="000000" w:themeColor="text1"/>
                <w:sz w:val="24"/>
                <w:szCs w:val="24"/>
              </w:rPr>
            </w:pPr>
          </w:p>
          <w:p w14:paraId="42ED066D" w14:textId="77777777" w:rsidR="0004515E" w:rsidRPr="00C56257" w:rsidRDefault="0004515E" w:rsidP="008E33FD">
            <w:pPr>
              <w:pStyle w:val="TableParagraph"/>
              <w:jc w:val="both"/>
              <w:rPr>
                <w:color w:val="000000" w:themeColor="text1"/>
                <w:sz w:val="24"/>
                <w:szCs w:val="24"/>
              </w:rPr>
            </w:pPr>
          </w:p>
          <w:p w14:paraId="1A1C5785" w14:textId="77777777" w:rsidR="0004515E" w:rsidRPr="00C56257" w:rsidRDefault="0004515E" w:rsidP="008E33FD">
            <w:pPr>
              <w:pStyle w:val="TableParagraph"/>
              <w:spacing w:before="4"/>
              <w:jc w:val="both"/>
              <w:rPr>
                <w:color w:val="000000" w:themeColor="text1"/>
                <w:sz w:val="24"/>
                <w:szCs w:val="24"/>
              </w:rPr>
            </w:pPr>
          </w:p>
          <w:p w14:paraId="4C564D93" w14:textId="77777777" w:rsidR="0004515E" w:rsidRPr="00C56257" w:rsidRDefault="0004515E" w:rsidP="008E33FD">
            <w:pPr>
              <w:pStyle w:val="TableParagraph"/>
              <w:ind w:left="66" w:right="77"/>
              <w:jc w:val="both"/>
              <w:rPr>
                <w:color w:val="000000" w:themeColor="text1"/>
                <w:sz w:val="24"/>
                <w:szCs w:val="24"/>
              </w:rPr>
            </w:pPr>
            <w:r w:rsidRPr="00C56257">
              <w:rPr>
                <w:color w:val="000000" w:themeColor="text1"/>
                <w:sz w:val="24"/>
                <w:szCs w:val="24"/>
              </w:rPr>
              <w:t>CE01</w:t>
            </w:r>
          </w:p>
        </w:tc>
        <w:tc>
          <w:tcPr>
            <w:tcW w:w="2095" w:type="dxa"/>
          </w:tcPr>
          <w:p w14:paraId="25EAEC73" w14:textId="77777777" w:rsidR="0004515E" w:rsidRPr="00C56257" w:rsidRDefault="0004515E" w:rsidP="008E33FD">
            <w:pPr>
              <w:pStyle w:val="TableParagraph"/>
              <w:jc w:val="both"/>
              <w:rPr>
                <w:color w:val="000000" w:themeColor="text1"/>
                <w:sz w:val="24"/>
                <w:szCs w:val="24"/>
              </w:rPr>
            </w:pPr>
          </w:p>
          <w:p w14:paraId="407DCEC5" w14:textId="77777777" w:rsidR="0004515E" w:rsidRPr="00C56257" w:rsidRDefault="0004515E" w:rsidP="008E33FD">
            <w:pPr>
              <w:pStyle w:val="TableParagraph"/>
              <w:jc w:val="both"/>
              <w:rPr>
                <w:color w:val="000000" w:themeColor="text1"/>
                <w:sz w:val="24"/>
                <w:szCs w:val="24"/>
              </w:rPr>
            </w:pPr>
          </w:p>
          <w:p w14:paraId="357230FC" w14:textId="77777777" w:rsidR="0004515E" w:rsidRPr="00C56257" w:rsidRDefault="0004515E" w:rsidP="008E33FD">
            <w:pPr>
              <w:pStyle w:val="TableParagraph"/>
              <w:spacing w:before="4"/>
              <w:jc w:val="both"/>
              <w:rPr>
                <w:color w:val="000000" w:themeColor="text1"/>
                <w:sz w:val="24"/>
                <w:szCs w:val="24"/>
              </w:rPr>
            </w:pPr>
          </w:p>
          <w:p w14:paraId="78CE1015" w14:textId="77777777" w:rsidR="0004515E" w:rsidRPr="00C56257" w:rsidRDefault="0004515E" w:rsidP="008E33FD">
            <w:pPr>
              <w:pStyle w:val="TableParagraph"/>
              <w:spacing w:line="276" w:lineRule="auto"/>
              <w:ind w:left="108" w:right="680"/>
              <w:jc w:val="both"/>
              <w:rPr>
                <w:color w:val="000000" w:themeColor="text1"/>
                <w:sz w:val="24"/>
                <w:szCs w:val="24"/>
              </w:rPr>
            </w:pPr>
            <w:r w:rsidRPr="00C56257">
              <w:rPr>
                <w:color w:val="000000" w:themeColor="text1"/>
                <w:sz w:val="24"/>
                <w:szCs w:val="24"/>
              </w:rPr>
              <w:t>Reducerea</w:t>
            </w:r>
            <w:r w:rsidRPr="00C56257">
              <w:rPr>
                <w:color w:val="000000" w:themeColor="text1"/>
                <w:spacing w:val="1"/>
                <w:sz w:val="24"/>
                <w:szCs w:val="24"/>
              </w:rPr>
              <w:t xml:space="preserve"> </w:t>
            </w:r>
            <w:r w:rsidRPr="00C56257">
              <w:rPr>
                <w:color w:val="000000" w:themeColor="text1"/>
                <w:sz w:val="24"/>
                <w:szCs w:val="24"/>
              </w:rPr>
              <w:t>impactului</w:t>
            </w:r>
            <w:r w:rsidRPr="00C56257">
              <w:rPr>
                <w:color w:val="000000" w:themeColor="text1"/>
                <w:spacing w:val="1"/>
                <w:sz w:val="24"/>
                <w:szCs w:val="24"/>
              </w:rPr>
              <w:t xml:space="preserve"> </w:t>
            </w:r>
            <w:r w:rsidRPr="00C56257">
              <w:rPr>
                <w:color w:val="000000" w:themeColor="text1"/>
                <w:sz w:val="24"/>
                <w:szCs w:val="24"/>
              </w:rPr>
              <w:t>activităților de</w:t>
            </w:r>
            <w:r w:rsidRPr="00C56257">
              <w:rPr>
                <w:color w:val="000000" w:themeColor="text1"/>
                <w:spacing w:val="-52"/>
                <w:sz w:val="24"/>
                <w:szCs w:val="24"/>
              </w:rPr>
              <w:t xml:space="preserve"> </w:t>
            </w:r>
            <w:r w:rsidRPr="00C56257">
              <w:rPr>
                <w:color w:val="000000" w:themeColor="text1"/>
                <w:sz w:val="24"/>
                <w:szCs w:val="24"/>
              </w:rPr>
              <w:t>transport și al</w:t>
            </w:r>
            <w:r w:rsidRPr="00C56257">
              <w:rPr>
                <w:color w:val="000000" w:themeColor="text1"/>
                <w:spacing w:val="1"/>
                <w:sz w:val="24"/>
                <w:szCs w:val="24"/>
              </w:rPr>
              <w:t xml:space="preserve"> </w:t>
            </w:r>
            <w:r w:rsidRPr="00C56257">
              <w:rPr>
                <w:color w:val="000000" w:themeColor="text1"/>
                <w:sz w:val="24"/>
                <w:szCs w:val="24"/>
              </w:rPr>
              <w:t>infrastructurii</w:t>
            </w:r>
          </w:p>
        </w:tc>
        <w:tc>
          <w:tcPr>
            <w:tcW w:w="4745" w:type="dxa"/>
          </w:tcPr>
          <w:p w14:paraId="144BDBFC" w14:textId="77777777" w:rsidR="0004515E" w:rsidRPr="00C56257" w:rsidRDefault="0004515E" w:rsidP="008E33FD">
            <w:pPr>
              <w:pStyle w:val="TableParagraph"/>
              <w:ind w:left="109" w:right="389"/>
              <w:jc w:val="both"/>
              <w:rPr>
                <w:color w:val="000000" w:themeColor="text1"/>
                <w:sz w:val="24"/>
                <w:szCs w:val="24"/>
              </w:rPr>
            </w:pPr>
            <w:r w:rsidRPr="00C56257">
              <w:rPr>
                <w:color w:val="000000" w:themeColor="text1"/>
                <w:sz w:val="24"/>
                <w:szCs w:val="24"/>
              </w:rPr>
              <w:t>Reducerea impactului</w:t>
            </w:r>
            <w:r w:rsidRPr="00C56257">
              <w:rPr>
                <w:color w:val="000000" w:themeColor="text1"/>
                <w:spacing w:val="1"/>
                <w:sz w:val="24"/>
                <w:szCs w:val="24"/>
              </w:rPr>
              <w:t xml:space="preserve"> </w:t>
            </w:r>
            <w:r w:rsidRPr="00C56257">
              <w:rPr>
                <w:color w:val="000000" w:themeColor="text1"/>
                <w:sz w:val="24"/>
                <w:szCs w:val="24"/>
              </w:rPr>
              <w:t>infrastructurilor de transport</w:t>
            </w:r>
            <w:r w:rsidRPr="00C56257">
              <w:rPr>
                <w:color w:val="000000" w:themeColor="text1"/>
                <w:spacing w:val="1"/>
                <w:sz w:val="24"/>
                <w:szCs w:val="24"/>
              </w:rPr>
              <w:t xml:space="preserve"> </w:t>
            </w:r>
            <w:r w:rsidRPr="00C56257">
              <w:rPr>
                <w:color w:val="000000" w:themeColor="text1"/>
                <w:sz w:val="24"/>
                <w:szCs w:val="24"/>
              </w:rPr>
              <w:t>(drumuri, căi ferate, poduri,</w:t>
            </w:r>
            <w:r w:rsidRPr="00C56257">
              <w:rPr>
                <w:color w:val="000000" w:themeColor="text1"/>
                <w:spacing w:val="1"/>
                <w:sz w:val="24"/>
                <w:szCs w:val="24"/>
              </w:rPr>
              <w:t xml:space="preserve"> </w:t>
            </w:r>
            <w:r w:rsidRPr="00C56257">
              <w:rPr>
                <w:color w:val="000000" w:themeColor="text1"/>
                <w:sz w:val="24"/>
                <w:szCs w:val="24"/>
              </w:rPr>
              <w:t>viaducte, tuneluri, coridoare și</w:t>
            </w:r>
            <w:r w:rsidRPr="00C56257">
              <w:rPr>
                <w:color w:val="000000" w:themeColor="text1"/>
                <w:spacing w:val="1"/>
                <w:sz w:val="24"/>
                <w:szCs w:val="24"/>
              </w:rPr>
              <w:t xml:space="preserve"> </w:t>
            </w:r>
            <w:r w:rsidRPr="00C56257">
              <w:rPr>
                <w:color w:val="000000" w:themeColor="text1"/>
                <w:sz w:val="24"/>
                <w:szCs w:val="24"/>
              </w:rPr>
              <w:t>canale de navigație, strâmtori,</w:t>
            </w:r>
            <w:r w:rsidRPr="00C56257">
              <w:rPr>
                <w:color w:val="000000" w:themeColor="text1"/>
                <w:spacing w:val="1"/>
                <w:sz w:val="24"/>
                <w:szCs w:val="24"/>
              </w:rPr>
              <w:t xml:space="preserve"> </w:t>
            </w:r>
            <w:r w:rsidRPr="00C56257">
              <w:rPr>
                <w:color w:val="000000" w:themeColor="text1"/>
                <w:sz w:val="24"/>
                <w:szCs w:val="24"/>
              </w:rPr>
              <w:t>porturi, aerodromuri) și</w:t>
            </w:r>
            <w:r w:rsidRPr="00C56257">
              <w:rPr>
                <w:color w:val="000000" w:themeColor="text1"/>
                <w:spacing w:val="1"/>
                <w:sz w:val="24"/>
                <w:szCs w:val="24"/>
              </w:rPr>
              <w:t xml:space="preserve"> </w:t>
            </w:r>
            <w:r w:rsidRPr="00C56257">
              <w:rPr>
                <w:color w:val="000000" w:themeColor="text1"/>
                <w:sz w:val="24"/>
                <w:szCs w:val="24"/>
              </w:rPr>
              <w:t>activităților de transport asupra</w:t>
            </w:r>
            <w:r w:rsidRPr="00C56257">
              <w:rPr>
                <w:color w:val="000000" w:themeColor="text1"/>
                <w:spacing w:val="1"/>
                <w:sz w:val="24"/>
                <w:szCs w:val="24"/>
              </w:rPr>
              <w:t xml:space="preserve"> </w:t>
            </w:r>
            <w:r w:rsidRPr="00C56257">
              <w:rPr>
                <w:color w:val="000000" w:themeColor="text1"/>
                <w:sz w:val="24"/>
                <w:szCs w:val="24"/>
              </w:rPr>
              <w:t>habitatelor și speciilor vizate de</w:t>
            </w:r>
            <w:r w:rsidRPr="00C56257">
              <w:rPr>
                <w:color w:val="000000" w:themeColor="text1"/>
                <w:spacing w:val="-52"/>
                <w:sz w:val="24"/>
                <w:szCs w:val="24"/>
              </w:rPr>
              <w:t xml:space="preserve"> </w:t>
            </w:r>
            <w:r w:rsidRPr="00C56257">
              <w:rPr>
                <w:color w:val="000000" w:themeColor="text1"/>
                <w:sz w:val="24"/>
                <w:szCs w:val="24"/>
              </w:rPr>
              <w:t>directivele privind conservarea</w:t>
            </w:r>
            <w:r w:rsidRPr="00C56257">
              <w:rPr>
                <w:color w:val="000000" w:themeColor="text1"/>
                <w:spacing w:val="1"/>
                <w:sz w:val="24"/>
                <w:szCs w:val="24"/>
              </w:rPr>
              <w:t xml:space="preserve"> </w:t>
            </w:r>
            <w:r w:rsidRPr="00C56257">
              <w:rPr>
                <w:color w:val="000000" w:themeColor="text1"/>
                <w:sz w:val="24"/>
                <w:szCs w:val="24"/>
              </w:rPr>
              <w:t>naturii.</w:t>
            </w:r>
          </w:p>
          <w:p w14:paraId="3D430AD2" w14:textId="77777777" w:rsidR="0004515E" w:rsidRPr="00C56257" w:rsidRDefault="0004515E" w:rsidP="008E33FD">
            <w:pPr>
              <w:pStyle w:val="TableParagraph"/>
              <w:ind w:left="109" w:right="115"/>
              <w:jc w:val="both"/>
              <w:rPr>
                <w:color w:val="000000" w:themeColor="text1"/>
                <w:sz w:val="24"/>
                <w:szCs w:val="24"/>
              </w:rPr>
            </w:pPr>
            <w:r w:rsidRPr="00C56257">
              <w:rPr>
                <w:color w:val="000000" w:themeColor="text1"/>
                <w:sz w:val="24"/>
                <w:szCs w:val="24"/>
              </w:rPr>
              <w:t>Aceasta include, de exemplu,</w:t>
            </w:r>
            <w:r w:rsidRPr="00C56257">
              <w:rPr>
                <w:color w:val="000000" w:themeColor="text1"/>
                <w:spacing w:val="1"/>
                <w:sz w:val="24"/>
                <w:szCs w:val="24"/>
              </w:rPr>
              <w:t xml:space="preserve"> </w:t>
            </w:r>
            <w:r w:rsidRPr="00C56257">
              <w:rPr>
                <w:color w:val="000000" w:themeColor="text1"/>
                <w:sz w:val="24"/>
                <w:szCs w:val="24"/>
              </w:rPr>
              <w:t>construirea</w:t>
            </w:r>
            <w:r w:rsidRPr="00C56257">
              <w:rPr>
                <w:color w:val="000000" w:themeColor="text1"/>
                <w:spacing w:val="-4"/>
                <w:sz w:val="24"/>
                <w:szCs w:val="24"/>
              </w:rPr>
              <w:t xml:space="preserve"> </w:t>
            </w:r>
            <w:r w:rsidRPr="00C56257">
              <w:rPr>
                <w:color w:val="000000" w:themeColor="text1"/>
                <w:sz w:val="24"/>
                <w:szCs w:val="24"/>
              </w:rPr>
              <w:t>și</w:t>
            </w:r>
            <w:r w:rsidRPr="00C56257">
              <w:rPr>
                <w:color w:val="000000" w:themeColor="text1"/>
                <w:spacing w:val="-3"/>
                <w:sz w:val="24"/>
                <w:szCs w:val="24"/>
              </w:rPr>
              <w:t xml:space="preserve"> </w:t>
            </w:r>
            <w:r w:rsidRPr="00C56257">
              <w:rPr>
                <w:color w:val="000000" w:themeColor="text1"/>
                <w:sz w:val="24"/>
                <w:szCs w:val="24"/>
              </w:rPr>
              <w:t>gestionarea</w:t>
            </w:r>
            <w:r w:rsidRPr="00C56257">
              <w:rPr>
                <w:color w:val="000000" w:themeColor="text1"/>
                <w:spacing w:val="-6"/>
                <w:sz w:val="24"/>
                <w:szCs w:val="24"/>
              </w:rPr>
              <w:t xml:space="preserve"> </w:t>
            </w:r>
            <w:r w:rsidRPr="00C56257">
              <w:rPr>
                <w:color w:val="000000" w:themeColor="text1"/>
                <w:sz w:val="24"/>
                <w:szCs w:val="24"/>
              </w:rPr>
              <w:t>pasajelor</w:t>
            </w:r>
            <w:r w:rsidRPr="00C56257">
              <w:rPr>
                <w:color w:val="000000" w:themeColor="text1"/>
                <w:spacing w:val="-52"/>
                <w:sz w:val="24"/>
                <w:szCs w:val="24"/>
              </w:rPr>
              <w:t xml:space="preserve"> </w:t>
            </w:r>
            <w:r w:rsidRPr="00C56257">
              <w:rPr>
                <w:color w:val="000000" w:themeColor="text1"/>
                <w:sz w:val="24"/>
                <w:szCs w:val="24"/>
              </w:rPr>
              <w:t>pentru animale, dezvoltarea</w:t>
            </w:r>
            <w:r w:rsidRPr="00C56257">
              <w:rPr>
                <w:color w:val="000000" w:themeColor="text1"/>
                <w:spacing w:val="1"/>
                <w:sz w:val="24"/>
                <w:szCs w:val="24"/>
              </w:rPr>
              <w:t xml:space="preserve"> </w:t>
            </w:r>
            <w:r w:rsidRPr="00C56257">
              <w:rPr>
                <w:color w:val="000000" w:themeColor="text1"/>
                <w:sz w:val="24"/>
                <w:szCs w:val="24"/>
              </w:rPr>
              <w:t>infrastructurii verzi / albastre,</w:t>
            </w:r>
            <w:r w:rsidRPr="00C56257">
              <w:rPr>
                <w:color w:val="000000" w:themeColor="text1"/>
                <w:spacing w:val="1"/>
                <w:sz w:val="24"/>
                <w:szCs w:val="24"/>
              </w:rPr>
              <w:t xml:space="preserve"> </w:t>
            </w:r>
            <w:r w:rsidRPr="00C56257">
              <w:rPr>
                <w:color w:val="000000" w:themeColor="text1"/>
                <w:sz w:val="24"/>
                <w:szCs w:val="24"/>
              </w:rPr>
              <w:t>gestionarea</w:t>
            </w:r>
            <w:r w:rsidRPr="00C56257">
              <w:rPr>
                <w:color w:val="000000" w:themeColor="text1"/>
                <w:spacing w:val="-1"/>
                <w:sz w:val="24"/>
                <w:szCs w:val="24"/>
              </w:rPr>
              <w:t xml:space="preserve"> </w:t>
            </w:r>
            <w:r w:rsidRPr="00C56257">
              <w:rPr>
                <w:color w:val="000000" w:themeColor="text1"/>
                <w:sz w:val="24"/>
                <w:szCs w:val="24"/>
              </w:rPr>
              <w:t>traficului și</w:t>
            </w:r>
            <w:r w:rsidRPr="00C56257">
              <w:rPr>
                <w:color w:val="000000" w:themeColor="text1"/>
                <w:spacing w:val="1"/>
                <w:sz w:val="24"/>
                <w:szCs w:val="24"/>
              </w:rPr>
              <w:t xml:space="preserve"> </w:t>
            </w:r>
            <w:r w:rsidRPr="00C56257">
              <w:rPr>
                <w:color w:val="000000" w:themeColor="text1"/>
                <w:sz w:val="24"/>
                <w:szCs w:val="24"/>
              </w:rPr>
              <w:t>a infrastructurii</w:t>
            </w:r>
            <w:r w:rsidRPr="00C56257">
              <w:rPr>
                <w:color w:val="000000" w:themeColor="text1"/>
                <w:spacing w:val="-3"/>
                <w:sz w:val="24"/>
                <w:szCs w:val="24"/>
              </w:rPr>
              <w:t xml:space="preserve"> </w:t>
            </w:r>
            <w:r w:rsidRPr="00C56257">
              <w:rPr>
                <w:color w:val="000000" w:themeColor="text1"/>
                <w:sz w:val="24"/>
                <w:szCs w:val="24"/>
              </w:rPr>
              <w:t>marine</w:t>
            </w:r>
            <w:r w:rsidRPr="00C56257">
              <w:rPr>
                <w:color w:val="000000" w:themeColor="text1"/>
                <w:spacing w:val="-3"/>
                <w:sz w:val="24"/>
                <w:szCs w:val="24"/>
              </w:rPr>
              <w:t xml:space="preserve"> </w:t>
            </w:r>
            <w:r w:rsidRPr="00C56257">
              <w:rPr>
                <w:color w:val="000000" w:themeColor="text1"/>
                <w:sz w:val="24"/>
                <w:szCs w:val="24"/>
              </w:rPr>
              <w:t>și</w:t>
            </w:r>
            <w:r w:rsidRPr="00C56257">
              <w:rPr>
                <w:color w:val="000000" w:themeColor="text1"/>
                <w:spacing w:val="-5"/>
                <w:sz w:val="24"/>
                <w:szCs w:val="24"/>
              </w:rPr>
              <w:t xml:space="preserve"> </w:t>
            </w:r>
            <w:r w:rsidRPr="00C56257">
              <w:rPr>
                <w:color w:val="000000" w:themeColor="text1"/>
                <w:sz w:val="24"/>
                <w:szCs w:val="24"/>
              </w:rPr>
              <w:t>fluviale pentru, de exemplu, reducerea eroziunii malurilor și descurajarea (de exemplu, lăsând iarba să crească mult timp sau folosind tactici active de ”speriat”) păsărilor în folosirea aeroporturilor/aerodromurilor.</w:t>
            </w:r>
          </w:p>
          <w:p w14:paraId="5002DD93" w14:textId="77777777" w:rsidR="0004515E" w:rsidRPr="00F100E1" w:rsidRDefault="0004515E" w:rsidP="00F100E1">
            <w:pPr>
              <w:pStyle w:val="TableParagraph"/>
              <w:ind w:right="115"/>
              <w:jc w:val="both"/>
              <w:rPr>
                <w:color w:val="000000" w:themeColor="text1"/>
                <w:sz w:val="24"/>
                <w:szCs w:val="24"/>
              </w:rPr>
            </w:pPr>
            <w:r w:rsidRPr="00F100E1">
              <w:rPr>
                <w:color w:val="000000" w:themeColor="text1"/>
                <w:sz w:val="24"/>
                <w:szCs w:val="24"/>
              </w:rPr>
              <w:t>De asemenea, include orice măsuri de reducere a poluării fonice și luminoase.</w:t>
            </w:r>
          </w:p>
          <w:p w14:paraId="18FB2E97" w14:textId="77777777" w:rsidR="0004515E" w:rsidRPr="00F100E1" w:rsidRDefault="0004515E" w:rsidP="00F100E1">
            <w:pPr>
              <w:pStyle w:val="TableParagraph"/>
              <w:ind w:right="115"/>
              <w:jc w:val="both"/>
              <w:rPr>
                <w:color w:val="000000" w:themeColor="text1"/>
                <w:sz w:val="24"/>
                <w:szCs w:val="24"/>
              </w:rPr>
            </w:pPr>
            <w:r w:rsidRPr="00F100E1">
              <w:rPr>
                <w:color w:val="000000" w:themeColor="text1"/>
                <w:sz w:val="24"/>
                <w:szCs w:val="24"/>
              </w:rPr>
              <w:t>Reglementarea traficului sau construcția infrastructurii de circulație pentru a reduce poluarea chimică /cu particule care ar trebui</w:t>
            </w:r>
          </w:p>
          <w:p w14:paraId="773716B1" w14:textId="77777777" w:rsidR="0004515E" w:rsidRPr="00C56257" w:rsidRDefault="0004515E" w:rsidP="008E33FD">
            <w:pPr>
              <w:pStyle w:val="TableParagraph"/>
              <w:ind w:left="109" w:right="115"/>
              <w:jc w:val="both"/>
              <w:rPr>
                <w:color w:val="000000" w:themeColor="text1"/>
                <w:sz w:val="24"/>
                <w:szCs w:val="24"/>
              </w:rPr>
            </w:pPr>
            <w:r w:rsidRPr="00C56257">
              <w:rPr>
                <w:color w:val="000000" w:themeColor="text1"/>
                <w:sz w:val="24"/>
                <w:szCs w:val="24"/>
              </w:rPr>
              <w:t>raportată sub codul CE03.</w:t>
            </w:r>
          </w:p>
        </w:tc>
        <w:tc>
          <w:tcPr>
            <w:tcW w:w="1710" w:type="dxa"/>
          </w:tcPr>
          <w:p w14:paraId="176E7B37" w14:textId="77777777" w:rsidR="0004515E" w:rsidRPr="00C56257" w:rsidRDefault="0004515E" w:rsidP="008E33FD">
            <w:pPr>
              <w:pStyle w:val="TableParagraph"/>
              <w:jc w:val="both"/>
              <w:rPr>
                <w:color w:val="000000" w:themeColor="text1"/>
                <w:sz w:val="24"/>
                <w:szCs w:val="24"/>
              </w:rPr>
            </w:pPr>
          </w:p>
        </w:tc>
      </w:tr>
      <w:tr w:rsidR="0004515E" w:rsidRPr="00C56257" w14:paraId="657530D9" w14:textId="77777777" w:rsidTr="0004515E">
        <w:trPr>
          <w:trHeight w:val="3035"/>
        </w:trPr>
        <w:tc>
          <w:tcPr>
            <w:tcW w:w="851" w:type="dxa"/>
          </w:tcPr>
          <w:p w14:paraId="4A946896" w14:textId="77777777" w:rsidR="0004515E" w:rsidRPr="00C56257" w:rsidRDefault="0004515E" w:rsidP="008E33FD">
            <w:pPr>
              <w:pStyle w:val="TableParagraph"/>
              <w:spacing w:line="247" w:lineRule="exact"/>
              <w:ind w:right="93"/>
              <w:jc w:val="both"/>
              <w:rPr>
                <w:color w:val="000000" w:themeColor="text1"/>
                <w:sz w:val="24"/>
                <w:szCs w:val="24"/>
              </w:rPr>
            </w:pPr>
            <w:r w:rsidRPr="00C56257">
              <w:rPr>
                <w:color w:val="000000" w:themeColor="text1"/>
                <w:sz w:val="24"/>
                <w:szCs w:val="24"/>
              </w:rPr>
              <w:lastRenderedPageBreak/>
              <w:t>7.</w:t>
            </w:r>
          </w:p>
        </w:tc>
        <w:tc>
          <w:tcPr>
            <w:tcW w:w="769" w:type="dxa"/>
          </w:tcPr>
          <w:p w14:paraId="3A7D2ADE" w14:textId="77777777" w:rsidR="0004515E" w:rsidRPr="00C56257" w:rsidRDefault="0004515E" w:rsidP="008E33FD">
            <w:pPr>
              <w:pStyle w:val="TableParagraph"/>
              <w:jc w:val="both"/>
              <w:rPr>
                <w:color w:val="000000" w:themeColor="text1"/>
                <w:sz w:val="24"/>
                <w:szCs w:val="24"/>
              </w:rPr>
            </w:pPr>
          </w:p>
          <w:p w14:paraId="6EE26176" w14:textId="77777777" w:rsidR="0004515E" w:rsidRPr="00C56257" w:rsidRDefault="0004515E" w:rsidP="008E33FD">
            <w:pPr>
              <w:pStyle w:val="TableParagraph"/>
              <w:jc w:val="both"/>
              <w:rPr>
                <w:color w:val="000000" w:themeColor="text1"/>
                <w:sz w:val="24"/>
                <w:szCs w:val="24"/>
              </w:rPr>
            </w:pPr>
          </w:p>
          <w:p w14:paraId="7DC1CB66" w14:textId="77777777" w:rsidR="0004515E" w:rsidRPr="00C56257" w:rsidRDefault="0004515E" w:rsidP="008E33FD">
            <w:pPr>
              <w:pStyle w:val="TableParagraph"/>
              <w:jc w:val="both"/>
              <w:rPr>
                <w:color w:val="000000" w:themeColor="text1"/>
                <w:sz w:val="24"/>
                <w:szCs w:val="24"/>
              </w:rPr>
            </w:pPr>
          </w:p>
          <w:p w14:paraId="0EA4F8AD" w14:textId="77777777" w:rsidR="0004515E" w:rsidRPr="00C56257" w:rsidRDefault="0004515E" w:rsidP="008E33FD">
            <w:pPr>
              <w:pStyle w:val="TableParagraph"/>
              <w:jc w:val="both"/>
              <w:rPr>
                <w:color w:val="000000" w:themeColor="text1"/>
                <w:sz w:val="24"/>
                <w:szCs w:val="24"/>
              </w:rPr>
            </w:pPr>
          </w:p>
          <w:p w14:paraId="69E4B89F" w14:textId="77777777" w:rsidR="0004515E" w:rsidRPr="00C56257" w:rsidRDefault="0004515E" w:rsidP="008E33FD">
            <w:pPr>
              <w:pStyle w:val="TableParagraph"/>
              <w:spacing w:before="5"/>
              <w:jc w:val="both"/>
              <w:rPr>
                <w:color w:val="000000" w:themeColor="text1"/>
                <w:sz w:val="24"/>
                <w:szCs w:val="24"/>
              </w:rPr>
            </w:pPr>
          </w:p>
          <w:p w14:paraId="068B9950" w14:textId="77777777" w:rsidR="0004515E" w:rsidRPr="00C56257" w:rsidRDefault="0004515E" w:rsidP="008E33FD">
            <w:pPr>
              <w:pStyle w:val="TableParagraph"/>
              <w:jc w:val="both"/>
              <w:rPr>
                <w:color w:val="000000" w:themeColor="text1"/>
                <w:sz w:val="24"/>
                <w:szCs w:val="24"/>
              </w:rPr>
            </w:pPr>
            <w:r w:rsidRPr="00C56257">
              <w:rPr>
                <w:color w:val="000000" w:themeColor="text1"/>
                <w:sz w:val="24"/>
                <w:szCs w:val="24"/>
              </w:rPr>
              <w:t>CI01</w:t>
            </w:r>
          </w:p>
        </w:tc>
        <w:tc>
          <w:tcPr>
            <w:tcW w:w="2095" w:type="dxa"/>
          </w:tcPr>
          <w:p w14:paraId="3485349B" w14:textId="77777777" w:rsidR="0004515E" w:rsidRPr="00C56257" w:rsidRDefault="0004515E" w:rsidP="008E33FD">
            <w:pPr>
              <w:pStyle w:val="TableParagraph"/>
              <w:jc w:val="both"/>
              <w:rPr>
                <w:color w:val="000000" w:themeColor="text1"/>
                <w:sz w:val="24"/>
                <w:szCs w:val="24"/>
              </w:rPr>
            </w:pPr>
          </w:p>
          <w:p w14:paraId="753FEE08" w14:textId="77777777" w:rsidR="0004515E" w:rsidRPr="00C56257" w:rsidRDefault="0004515E" w:rsidP="008E33FD">
            <w:pPr>
              <w:pStyle w:val="TableParagraph"/>
              <w:spacing w:before="6"/>
              <w:jc w:val="both"/>
              <w:rPr>
                <w:color w:val="000000" w:themeColor="text1"/>
                <w:sz w:val="24"/>
                <w:szCs w:val="24"/>
              </w:rPr>
            </w:pPr>
          </w:p>
          <w:p w14:paraId="309B8CF0" w14:textId="77777777" w:rsidR="0004515E" w:rsidRPr="00C56257" w:rsidRDefault="0004515E" w:rsidP="008E33FD">
            <w:pPr>
              <w:pStyle w:val="TableParagraph"/>
              <w:ind w:left="108" w:right="94"/>
              <w:jc w:val="both"/>
              <w:rPr>
                <w:color w:val="000000" w:themeColor="text1"/>
                <w:sz w:val="24"/>
                <w:szCs w:val="24"/>
              </w:rPr>
            </w:pPr>
            <w:r w:rsidRPr="00C56257">
              <w:rPr>
                <w:color w:val="000000" w:themeColor="text1"/>
                <w:sz w:val="24"/>
                <w:szCs w:val="24"/>
              </w:rPr>
              <w:t>Detectarea timpurie</w:t>
            </w:r>
            <w:r w:rsidRPr="00C56257">
              <w:rPr>
                <w:color w:val="000000" w:themeColor="text1"/>
                <w:spacing w:val="1"/>
                <w:sz w:val="24"/>
                <w:szCs w:val="24"/>
              </w:rPr>
              <w:t xml:space="preserve"> </w:t>
            </w:r>
            <w:r w:rsidRPr="00C56257">
              <w:rPr>
                <w:color w:val="000000" w:themeColor="text1"/>
                <w:sz w:val="24"/>
                <w:szCs w:val="24"/>
              </w:rPr>
              <w:t>și eradicarea rapidă a</w:t>
            </w:r>
            <w:r w:rsidRPr="00C56257">
              <w:rPr>
                <w:color w:val="000000" w:themeColor="text1"/>
                <w:spacing w:val="-52"/>
                <w:sz w:val="24"/>
                <w:szCs w:val="24"/>
              </w:rPr>
              <w:t xml:space="preserve"> </w:t>
            </w:r>
            <w:r w:rsidRPr="00C56257">
              <w:rPr>
                <w:color w:val="000000" w:themeColor="text1"/>
                <w:sz w:val="24"/>
                <w:szCs w:val="24"/>
              </w:rPr>
              <w:t>speciilor alohtone,</w:t>
            </w:r>
            <w:r w:rsidRPr="00C56257">
              <w:rPr>
                <w:color w:val="000000" w:themeColor="text1"/>
                <w:spacing w:val="1"/>
                <w:sz w:val="24"/>
                <w:szCs w:val="24"/>
              </w:rPr>
              <w:t xml:space="preserve"> </w:t>
            </w:r>
            <w:r w:rsidRPr="00C56257">
              <w:rPr>
                <w:color w:val="000000" w:themeColor="text1"/>
                <w:sz w:val="24"/>
                <w:szCs w:val="24"/>
              </w:rPr>
              <w:t>invazive considerate</w:t>
            </w:r>
            <w:r w:rsidRPr="00C56257">
              <w:rPr>
                <w:color w:val="000000" w:themeColor="text1"/>
                <w:spacing w:val="1"/>
                <w:sz w:val="24"/>
                <w:szCs w:val="24"/>
              </w:rPr>
              <w:t xml:space="preserve"> </w:t>
            </w:r>
            <w:r w:rsidRPr="00C56257">
              <w:rPr>
                <w:color w:val="000000" w:themeColor="text1"/>
                <w:sz w:val="24"/>
                <w:szCs w:val="24"/>
              </w:rPr>
              <w:t>de interes pentru</w:t>
            </w:r>
            <w:r w:rsidRPr="00C56257">
              <w:rPr>
                <w:color w:val="000000" w:themeColor="text1"/>
                <w:spacing w:val="1"/>
                <w:sz w:val="24"/>
                <w:szCs w:val="24"/>
              </w:rPr>
              <w:t xml:space="preserve"> </w:t>
            </w:r>
            <w:r w:rsidRPr="00C56257">
              <w:rPr>
                <w:color w:val="000000" w:themeColor="text1"/>
                <w:sz w:val="24"/>
                <w:szCs w:val="24"/>
              </w:rPr>
              <w:t>Uniunea</w:t>
            </w:r>
            <w:r w:rsidRPr="00C56257">
              <w:rPr>
                <w:color w:val="000000" w:themeColor="text1"/>
                <w:spacing w:val="-3"/>
                <w:sz w:val="24"/>
                <w:szCs w:val="24"/>
              </w:rPr>
              <w:t xml:space="preserve"> </w:t>
            </w:r>
            <w:r w:rsidRPr="00C56257">
              <w:rPr>
                <w:color w:val="000000" w:themeColor="text1"/>
                <w:sz w:val="24"/>
                <w:szCs w:val="24"/>
              </w:rPr>
              <w:t>Europeană</w:t>
            </w:r>
          </w:p>
        </w:tc>
        <w:tc>
          <w:tcPr>
            <w:tcW w:w="4745" w:type="dxa"/>
          </w:tcPr>
          <w:p w14:paraId="5A7A998B" w14:textId="77777777" w:rsidR="0004515E" w:rsidRPr="00C56257" w:rsidRDefault="0004515E" w:rsidP="008E33FD">
            <w:pPr>
              <w:pStyle w:val="TableParagraph"/>
              <w:ind w:left="109" w:right="247"/>
              <w:jc w:val="both"/>
              <w:rPr>
                <w:color w:val="000000" w:themeColor="text1"/>
                <w:sz w:val="24"/>
                <w:szCs w:val="24"/>
              </w:rPr>
            </w:pPr>
            <w:r w:rsidRPr="00C56257">
              <w:rPr>
                <w:color w:val="000000" w:themeColor="text1"/>
                <w:sz w:val="24"/>
                <w:szCs w:val="24"/>
              </w:rPr>
              <w:t>Stabilirea și aplicarea sistemului</w:t>
            </w:r>
            <w:r w:rsidRPr="00C56257">
              <w:rPr>
                <w:color w:val="000000" w:themeColor="text1"/>
                <w:spacing w:val="1"/>
                <w:sz w:val="24"/>
                <w:szCs w:val="24"/>
              </w:rPr>
              <w:t xml:space="preserve"> </w:t>
            </w:r>
            <w:r w:rsidRPr="00C56257">
              <w:rPr>
                <w:color w:val="000000" w:themeColor="text1"/>
                <w:sz w:val="24"/>
                <w:szCs w:val="24"/>
              </w:rPr>
              <w:t>de detectare timpurie și eradicare</w:t>
            </w:r>
            <w:r w:rsidRPr="00C56257">
              <w:rPr>
                <w:color w:val="000000" w:themeColor="text1"/>
                <w:spacing w:val="-52"/>
                <w:sz w:val="24"/>
                <w:szCs w:val="24"/>
              </w:rPr>
              <w:t xml:space="preserve"> </w:t>
            </w:r>
            <w:r w:rsidRPr="00C56257">
              <w:rPr>
                <w:color w:val="000000" w:themeColor="text1"/>
                <w:sz w:val="24"/>
                <w:szCs w:val="24"/>
              </w:rPr>
              <w:t>rapidă</w:t>
            </w:r>
            <w:r w:rsidRPr="00C56257">
              <w:rPr>
                <w:color w:val="000000" w:themeColor="text1"/>
                <w:spacing w:val="-4"/>
                <w:sz w:val="24"/>
                <w:szCs w:val="24"/>
              </w:rPr>
              <w:t xml:space="preserve"> </w:t>
            </w:r>
            <w:r w:rsidRPr="00C56257">
              <w:rPr>
                <w:color w:val="000000" w:themeColor="text1"/>
                <w:sz w:val="24"/>
                <w:szCs w:val="24"/>
              </w:rPr>
              <w:t>a</w:t>
            </w:r>
            <w:r w:rsidRPr="00C56257">
              <w:rPr>
                <w:color w:val="000000" w:themeColor="text1"/>
                <w:spacing w:val="-5"/>
                <w:sz w:val="24"/>
                <w:szCs w:val="24"/>
              </w:rPr>
              <w:t xml:space="preserve"> </w:t>
            </w:r>
            <w:r w:rsidRPr="00C56257">
              <w:rPr>
                <w:color w:val="000000" w:themeColor="text1"/>
                <w:sz w:val="24"/>
                <w:szCs w:val="24"/>
              </w:rPr>
              <w:t>speciilor</w:t>
            </w:r>
            <w:r w:rsidRPr="00C56257">
              <w:rPr>
                <w:color w:val="000000" w:themeColor="text1"/>
                <w:spacing w:val="-3"/>
                <w:sz w:val="24"/>
                <w:szCs w:val="24"/>
              </w:rPr>
              <w:t xml:space="preserve"> </w:t>
            </w:r>
            <w:r w:rsidRPr="00C56257">
              <w:rPr>
                <w:color w:val="000000" w:themeColor="text1"/>
                <w:sz w:val="24"/>
                <w:szCs w:val="24"/>
              </w:rPr>
              <w:t>străine</w:t>
            </w:r>
            <w:r w:rsidRPr="00C56257">
              <w:rPr>
                <w:color w:val="000000" w:themeColor="text1"/>
                <w:spacing w:val="-5"/>
                <w:sz w:val="24"/>
                <w:szCs w:val="24"/>
              </w:rPr>
              <w:t xml:space="preserve"> </w:t>
            </w:r>
            <w:r w:rsidRPr="00C56257">
              <w:rPr>
                <w:color w:val="000000" w:themeColor="text1"/>
                <w:sz w:val="24"/>
                <w:szCs w:val="24"/>
              </w:rPr>
              <w:t>invazive</w:t>
            </w:r>
            <w:r w:rsidRPr="00C56257">
              <w:rPr>
                <w:color w:val="000000" w:themeColor="text1"/>
                <w:spacing w:val="-52"/>
                <w:sz w:val="24"/>
                <w:szCs w:val="24"/>
              </w:rPr>
              <w:t xml:space="preserve"> </w:t>
            </w:r>
            <w:r w:rsidRPr="00C56257">
              <w:rPr>
                <w:color w:val="000000" w:themeColor="text1"/>
                <w:sz w:val="24"/>
                <w:szCs w:val="24"/>
              </w:rPr>
              <w:t>de interes pentru Uniunea</w:t>
            </w:r>
            <w:r w:rsidRPr="00C56257">
              <w:rPr>
                <w:color w:val="000000" w:themeColor="text1"/>
                <w:spacing w:val="1"/>
                <w:sz w:val="24"/>
                <w:szCs w:val="24"/>
              </w:rPr>
              <w:t xml:space="preserve"> </w:t>
            </w:r>
            <w:r w:rsidRPr="00C56257">
              <w:rPr>
                <w:color w:val="000000" w:themeColor="text1"/>
                <w:sz w:val="24"/>
                <w:szCs w:val="24"/>
              </w:rPr>
              <w:t>Europeană (în conformitate cu</w:t>
            </w:r>
            <w:r w:rsidRPr="00C56257">
              <w:rPr>
                <w:color w:val="000000" w:themeColor="text1"/>
                <w:spacing w:val="1"/>
                <w:sz w:val="24"/>
                <w:szCs w:val="24"/>
              </w:rPr>
              <w:t xml:space="preserve"> </w:t>
            </w:r>
            <w:r w:rsidRPr="00C56257">
              <w:rPr>
                <w:color w:val="000000" w:themeColor="text1"/>
                <w:sz w:val="24"/>
                <w:szCs w:val="24"/>
              </w:rPr>
              <w:t>Regulamentul (UE) nr.</w:t>
            </w:r>
          </w:p>
          <w:p w14:paraId="2C6158D7" w14:textId="77777777" w:rsidR="0004515E" w:rsidRPr="00C56257" w:rsidRDefault="0004515E" w:rsidP="008E33FD">
            <w:pPr>
              <w:pStyle w:val="TableParagraph"/>
              <w:spacing w:line="252" w:lineRule="exact"/>
              <w:ind w:left="109"/>
              <w:jc w:val="both"/>
              <w:rPr>
                <w:color w:val="000000" w:themeColor="text1"/>
                <w:sz w:val="24"/>
                <w:szCs w:val="24"/>
              </w:rPr>
            </w:pPr>
            <w:r w:rsidRPr="00C56257">
              <w:rPr>
                <w:color w:val="000000" w:themeColor="text1"/>
                <w:sz w:val="24"/>
                <w:szCs w:val="24"/>
              </w:rPr>
              <w:t>1143/2014).</w:t>
            </w:r>
          </w:p>
          <w:p w14:paraId="2D9A06CD" w14:textId="77777777" w:rsidR="0004515E" w:rsidRPr="00C56257" w:rsidRDefault="0004515E" w:rsidP="008E33FD">
            <w:pPr>
              <w:pStyle w:val="TableParagraph"/>
              <w:ind w:left="109" w:right="236"/>
              <w:jc w:val="both"/>
              <w:rPr>
                <w:color w:val="000000" w:themeColor="text1"/>
                <w:sz w:val="24"/>
                <w:szCs w:val="24"/>
              </w:rPr>
            </w:pPr>
            <w:r w:rsidRPr="00C56257">
              <w:rPr>
                <w:color w:val="000000" w:themeColor="text1"/>
                <w:sz w:val="24"/>
                <w:szCs w:val="24"/>
              </w:rPr>
              <w:t>Aceasta include, de asemenea,</w:t>
            </w:r>
            <w:r w:rsidRPr="00C56257">
              <w:rPr>
                <w:color w:val="000000" w:themeColor="text1"/>
                <w:spacing w:val="1"/>
                <w:sz w:val="24"/>
                <w:szCs w:val="24"/>
              </w:rPr>
              <w:t xml:space="preserve"> </w:t>
            </w:r>
            <w:r w:rsidRPr="00C56257">
              <w:rPr>
                <w:color w:val="000000" w:themeColor="text1"/>
                <w:sz w:val="24"/>
                <w:szCs w:val="24"/>
              </w:rPr>
              <w:t>măsuri pentru prevenirea sau</w:t>
            </w:r>
            <w:r w:rsidRPr="00C56257">
              <w:rPr>
                <w:color w:val="000000" w:themeColor="text1"/>
                <w:spacing w:val="1"/>
                <w:sz w:val="24"/>
                <w:szCs w:val="24"/>
              </w:rPr>
              <w:t xml:space="preserve"> </w:t>
            </w:r>
            <w:r w:rsidRPr="00C56257">
              <w:rPr>
                <w:color w:val="000000" w:themeColor="text1"/>
                <w:sz w:val="24"/>
                <w:szCs w:val="24"/>
              </w:rPr>
              <w:t>reducerea</w:t>
            </w:r>
            <w:r w:rsidRPr="00C56257">
              <w:rPr>
                <w:color w:val="000000" w:themeColor="text1"/>
                <w:spacing w:val="-1"/>
                <w:sz w:val="24"/>
                <w:szCs w:val="24"/>
              </w:rPr>
              <w:t xml:space="preserve"> </w:t>
            </w:r>
            <w:r w:rsidRPr="00C56257">
              <w:rPr>
                <w:color w:val="000000" w:themeColor="text1"/>
                <w:sz w:val="24"/>
                <w:szCs w:val="24"/>
              </w:rPr>
              <w:t>probabilității</w:t>
            </w:r>
          </w:p>
          <w:p w14:paraId="0903A005" w14:textId="77777777" w:rsidR="0004515E" w:rsidRPr="00C56257" w:rsidRDefault="0004515E" w:rsidP="008E33FD">
            <w:pPr>
              <w:pStyle w:val="TableParagraph"/>
              <w:spacing w:line="252" w:lineRule="exact"/>
              <w:ind w:left="109" w:right="187"/>
              <w:jc w:val="both"/>
              <w:rPr>
                <w:color w:val="000000" w:themeColor="text1"/>
                <w:sz w:val="24"/>
                <w:szCs w:val="24"/>
              </w:rPr>
            </w:pPr>
            <w:r w:rsidRPr="00C56257">
              <w:rPr>
                <w:color w:val="000000" w:themeColor="text1"/>
                <w:sz w:val="24"/>
                <w:szCs w:val="24"/>
              </w:rPr>
              <w:t>stabilirii/fixării și intrării speciilor</w:t>
            </w:r>
            <w:r w:rsidRPr="00C56257">
              <w:rPr>
                <w:color w:val="000000" w:themeColor="text1"/>
                <w:spacing w:val="-53"/>
                <w:sz w:val="24"/>
                <w:szCs w:val="24"/>
              </w:rPr>
              <w:t xml:space="preserve"> </w:t>
            </w:r>
            <w:r w:rsidRPr="00C56257">
              <w:rPr>
                <w:color w:val="000000" w:themeColor="text1"/>
                <w:sz w:val="24"/>
                <w:szCs w:val="24"/>
              </w:rPr>
              <w:t>alohtone</w:t>
            </w:r>
            <w:r w:rsidRPr="00C56257">
              <w:rPr>
                <w:color w:val="000000" w:themeColor="text1"/>
                <w:spacing w:val="-3"/>
                <w:sz w:val="24"/>
                <w:szCs w:val="24"/>
              </w:rPr>
              <w:t xml:space="preserve"> </w:t>
            </w:r>
            <w:r w:rsidRPr="00C56257">
              <w:rPr>
                <w:color w:val="000000" w:themeColor="text1"/>
                <w:sz w:val="24"/>
                <w:szCs w:val="24"/>
              </w:rPr>
              <w:t>invazive.</w:t>
            </w:r>
          </w:p>
        </w:tc>
        <w:tc>
          <w:tcPr>
            <w:tcW w:w="1710" w:type="dxa"/>
          </w:tcPr>
          <w:p w14:paraId="6B1EA679" w14:textId="77777777" w:rsidR="0004515E" w:rsidRPr="00C56257" w:rsidRDefault="0004515E" w:rsidP="008E33FD">
            <w:pPr>
              <w:pStyle w:val="TableParagraph"/>
              <w:jc w:val="both"/>
              <w:rPr>
                <w:color w:val="000000" w:themeColor="text1"/>
                <w:sz w:val="24"/>
                <w:szCs w:val="24"/>
              </w:rPr>
            </w:pPr>
          </w:p>
          <w:p w14:paraId="11E554D0" w14:textId="77777777" w:rsidR="0004515E" w:rsidRPr="00C56257" w:rsidRDefault="0004515E" w:rsidP="008E33FD">
            <w:pPr>
              <w:pStyle w:val="TableParagraph"/>
              <w:jc w:val="both"/>
              <w:rPr>
                <w:color w:val="000000" w:themeColor="text1"/>
                <w:sz w:val="24"/>
                <w:szCs w:val="24"/>
              </w:rPr>
            </w:pPr>
          </w:p>
          <w:p w14:paraId="25F375EC" w14:textId="77777777" w:rsidR="0004515E" w:rsidRPr="00C56257" w:rsidRDefault="0004515E" w:rsidP="008E33FD">
            <w:pPr>
              <w:pStyle w:val="TableParagraph"/>
              <w:jc w:val="both"/>
              <w:rPr>
                <w:color w:val="000000" w:themeColor="text1"/>
                <w:sz w:val="24"/>
                <w:szCs w:val="24"/>
              </w:rPr>
            </w:pPr>
          </w:p>
          <w:p w14:paraId="07FFA7B8" w14:textId="77777777" w:rsidR="0004515E" w:rsidRPr="00C56257" w:rsidRDefault="0004515E" w:rsidP="008E33FD">
            <w:pPr>
              <w:pStyle w:val="TableParagraph"/>
              <w:jc w:val="both"/>
              <w:rPr>
                <w:color w:val="000000" w:themeColor="text1"/>
                <w:sz w:val="24"/>
                <w:szCs w:val="24"/>
              </w:rPr>
            </w:pPr>
          </w:p>
          <w:p w14:paraId="75D1EE2B" w14:textId="77777777" w:rsidR="0004515E" w:rsidRPr="00C56257" w:rsidRDefault="0004515E" w:rsidP="008E33FD">
            <w:pPr>
              <w:pStyle w:val="TableParagraph"/>
              <w:spacing w:before="5"/>
              <w:jc w:val="both"/>
              <w:rPr>
                <w:color w:val="000000" w:themeColor="text1"/>
                <w:sz w:val="24"/>
                <w:szCs w:val="24"/>
              </w:rPr>
            </w:pPr>
          </w:p>
          <w:p w14:paraId="11AAEDE5" w14:textId="77777777" w:rsidR="0004515E" w:rsidRPr="00C56257" w:rsidRDefault="0004515E" w:rsidP="008E33FD">
            <w:pPr>
              <w:pStyle w:val="TableParagraph"/>
              <w:ind w:left="110"/>
              <w:jc w:val="both"/>
              <w:rPr>
                <w:color w:val="000000" w:themeColor="text1"/>
                <w:sz w:val="24"/>
                <w:szCs w:val="24"/>
              </w:rPr>
            </w:pPr>
            <w:r w:rsidRPr="00C56257">
              <w:rPr>
                <w:color w:val="000000" w:themeColor="text1"/>
                <w:sz w:val="24"/>
                <w:szCs w:val="24"/>
              </w:rPr>
              <w:t>I01</w:t>
            </w:r>
          </w:p>
        </w:tc>
      </w:tr>
      <w:tr w:rsidR="0004515E" w:rsidRPr="00C56257" w14:paraId="27D41099" w14:textId="77777777" w:rsidTr="0004515E">
        <w:trPr>
          <w:trHeight w:val="3332"/>
        </w:trPr>
        <w:tc>
          <w:tcPr>
            <w:tcW w:w="851" w:type="dxa"/>
          </w:tcPr>
          <w:p w14:paraId="5BDFD9AF" w14:textId="77777777" w:rsidR="0004515E" w:rsidRPr="00C56257" w:rsidRDefault="0004515E" w:rsidP="008E33FD">
            <w:pPr>
              <w:pStyle w:val="TableParagraph"/>
              <w:spacing w:line="249" w:lineRule="exact"/>
              <w:ind w:right="93"/>
              <w:jc w:val="both"/>
              <w:rPr>
                <w:color w:val="000000" w:themeColor="text1"/>
                <w:sz w:val="24"/>
                <w:szCs w:val="24"/>
              </w:rPr>
            </w:pPr>
            <w:r w:rsidRPr="00C56257">
              <w:rPr>
                <w:color w:val="000000" w:themeColor="text1"/>
                <w:sz w:val="24"/>
                <w:szCs w:val="24"/>
              </w:rPr>
              <w:t>8.</w:t>
            </w:r>
          </w:p>
        </w:tc>
        <w:tc>
          <w:tcPr>
            <w:tcW w:w="769" w:type="dxa"/>
          </w:tcPr>
          <w:p w14:paraId="35AEFB25" w14:textId="77777777" w:rsidR="0004515E" w:rsidRPr="00C56257" w:rsidRDefault="0004515E" w:rsidP="008E33FD">
            <w:pPr>
              <w:pStyle w:val="TableParagraph"/>
              <w:jc w:val="both"/>
              <w:rPr>
                <w:color w:val="000000" w:themeColor="text1"/>
                <w:sz w:val="24"/>
                <w:szCs w:val="24"/>
              </w:rPr>
            </w:pPr>
          </w:p>
          <w:p w14:paraId="14E59BDA" w14:textId="77777777" w:rsidR="0004515E" w:rsidRPr="00C56257" w:rsidRDefault="0004515E" w:rsidP="008E33FD">
            <w:pPr>
              <w:pStyle w:val="TableParagraph"/>
              <w:jc w:val="both"/>
              <w:rPr>
                <w:color w:val="000000" w:themeColor="text1"/>
                <w:sz w:val="24"/>
                <w:szCs w:val="24"/>
              </w:rPr>
            </w:pPr>
          </w:p>
          <w:p w14:paraId="4798B2C4" w14:textId="77777777" w:rsidR="0004515E" w:rsidRPr="00C56257" w:rsidRDefault="0004515E" w:rsidP="008E33FD">
            <w:pPr>
              <w:pStyle w:val="TableParagraph"/>
              <w:spacing w:before="6"/>
              <w:jc w:val="both"/>
              <w:rPr>
                <w:color w:val="000000" w:themeColor="text1"/>
                <w:sz w:val="24"/>
                <w:szCs w:val="24"/>
              </w:rPr>
            </w:pPr>
          </w:p>
          <w:p w14:paraId="480EE85D" w14:textId="77777777" w:rsidR="0004515E" w:rsidRPr="00C56257" w:rsidRDefault="0004515E" w:rsidP="008E33FD">
            <w:pPr>
              <w:pStyle w:val="TableParagraph"/>
              <w:jc w:val="both"/>
              <w:rPr>
                <w:color w:val="000000" w:themeColor="text1"/>
                <w:sz w:val="24"/>
                <w:szCs w:val="24"/>
              </w:rPr>
            </w:pPr>
            <w:r w:rsidRPr="00C56257">
              <w:rPr>
                <w:color w:val="000000" w:themeColor="text1"/>
                <w:sz w:val="24"/>
                <w:szCs w:val="24"/>
              </w:rPr>
              <w:t>CI03</w:t>
            </w:r>
          </w:p>
        </w:tc>
        <w:tc>
          <w:tcPr>
            <w:tcW w:w="2095" w:type="dxa"/>
          </w:tcPr>
          <w:p w14:paraId="7EF5057B" w14:textId="77777777" w:rsidR="0004515E" w:rsidRPr="00C56257" w:rsidRDefault="0004515E" w:rsidP="008E33FD">
            <w:pPr>
              <w:pStyle w:val="TableParagraph"/>
              <w:jc w:val="both"/>
              <w:rPr>
                <w:color w:val="000000" w:themeColor="text1"/>
                <w:sz w:val="24"/>
                <w:szCs w:val="24"/>
              </w:rPr>
            </w:pPr>
          </w:p>
          <w:p w14:paraId="18E04DC0" w14:textId="77777777" w:rsidR="0004515E" w:rsidRPr="00C56257" w:rsidRDefault="0004515E" w:rsidP="008E33FD">
            <w:pPr>
              <w:pStyle w:val="TableParagraph"/>
              <w:jc w:val="both"/>
              <w:rPr>
                <w:color w:val="000000" w:themeColor="text1"/>
                <w:sz w:val="24"/>
                <w:szCs w:val="24"/>
              </w:rPr>
            </w:pPr>
          </w:p>
          <w:p w14:paraId="70138135" w14:textId="77777777" w:rsidR="0004515E" w:rsidRPr="00C56257" w:rsidRDefault="0004515E" w:rsidP="008E33FD">
            <w:pPr>
              <w:pStyle w:val="TableParagraph"/>
              <w:spacing w:before="166"/>
              <w:ind w:left="108" w:right="582"/>
              <w:jc w:val="both"/>
              <w:rPr>
                <w:color w:val="000000" w:themeColor="text1"/>
                <w:sz w:val="24"/>
                <w:szCs w:val="24"/>
              </w:rPr>
            </w:pPr>
            <w:r w:rsidRPr="00C56257">
              <w:rPr>
                <w:color w:val="000000" w:themeColor="text1"/>
                <w:sz w:val="24"/>
                <w:szCs w:val="24"/>
              </w:rPr>
              <w:t>Managementul,</w:t>
            </w:r>
            <w:r w:rsidRPr="00C56257">
              <w:rPr>
                <w:color w:val="000000" w:themeColor="text1"/>
                <w:spacing w:val="-52"/>
                <w:sz w:val="24"/>
                <w:szCs w:val="24"/>
              </w:rPr>
              <w:t xml:space="preserve"> </w:t>
            </w:r>
            <w:r w:rsidRPr="00C56257">
              <w:rPr>
                <w:color w:val="000000" w:themeColor="text1"/>
                <w:sz w:val="24"/>
                <w:szCs w:val="24"/>
              </w:rPr>
              <w:t>controlul sau</w:t>
            </w:r>
            <w:r w:rsidRPr="00C56257">
              <w:rPr>
                <w:color w:val="000000" w:themeColor="text1"/>
                <w:spacing w:val="1"/>
                <w:sz w:val="24"/>
                <w:szCs w:val="24"/>
              </w:rPr>
              <w:t xml:space="preserve"> </w:t>
            </w:r>
            <w:r w:rsidRPr="00C56257">
              <w:rPr>
                <w:color w:val="000000" w:themeColor="text1"/>
                <w:sz w:val="24"/>
                <w:szCs w:val="24"/>
              </w:rPr>
              <w:t>eradicarea altor</w:t>
            </w:r>
            <w:r w:rsidRPr="00C56257">
              <w:rPr>
                <w:color w:val="000000" w:themeColor="text1"/>
                <w:spacing w:val="-52"/>
                <w:sz w:val="24"/>
                <w:szCs w:val="24"/>
              </w:rPr>
              <w:t xml:space="preserve"> </w:t>
            </w:r>
            <w:r w:rsidRPr="00C56257">
              <w:rPr>
                <w:color w:val="000000" w:themeColor="text1"/>
                <w:sz w:val="24"/>
                <w:szCs w:val="24"/>
              </w:rPr>
              <w:t>specii alohtone</w:t>
            </w:r>
            <w:r w:rsidRPr="00C56257">
              <w:rPr>
                <w:color w:val="000000" w:themeColor="text1"/>
                <w:spacing w:val="-52"/>
                <w:sz w:val="24"/>
                <w:szCs w:val="24"/>
              </w:rPr>
              <w:t xml:space="preserve"> </w:t>
            </w:r>
            <w:r w:rsidRPr="00C56257">
              <w:rPr>
                <w:color w:val="000000" w:themeColor="text1"/>
                <w:sz w:val="24"/>
                <w:szCs w:val="24"/>
              </w:rPr>
              <w:t>invazive</w:t>
            </w:r>
          </w:p>
        </w:tc>
        <w:tc>
          <w:tcPr>
            <w:tcW w:w="4745" w:type="dxa"/>
          </w:tcPr>
          <w:p w14:paraId="3750D2E1" w14:textId="77777777" w:rsidR="0004515E" w:rsidRPr="00C56257" w:rsidRDefault="0004515E" w:rsidP="008E33FD">
            <w:pPr>
              <w:pStyle w:val="TableParagraph"/>
              <w:spacing w:before="6"/>
              <w:jc w:val="both"/>
              <w:rPr>
                <w:color w:val="000000" w:themeColor="text1"/>
                <w:sz w:val="24"/>
                <w:szCs w:val="24"/>
              </w:rPr>
            </w:pPr>
          </w:p>
          <w:p w14:paraId="32B6C8B2" w14:textId="77777777" w:rsidR="0004515E" w:rsidRPr="00C56257" w:rsidRDefault="0004515E" w:rsidP="008E33FD">
            <w:pPr>
              <w:pStyle w:val="TableParagraph"/>
              <w:ind w:left="109" w:right="138"/>
              <w:jc w:val="both"/>
              <w:rPr>
                <w:color w:val="000000" w:themeColor="text1"/>
                <w:sz w:val="24"/>
                <w:szCs w:val="24"/>
              </w:rPr>
            </w:pPr>
            <w:r w:rsidRPr="00C56257">
              <w:rPr>
                <w:color w:val="000000" w:themeColor="text1"/>
                <w:sz w:val="24"/>
                <w:szCs w:val="24"/>
              </w:rPr>
              <w:t>Gestionarea, controlul răspândirii</w:t>
            </w:r>
            <w:r w:rsidRPr="00C56257">
              <w:rPr>
                <w:color w:val="000000" w:themeColor="text1"/>
                <w:spacing w:val="1"/>
                <w:sz w:val="24"/>
                <w:szCs w:val="24"/>
              </w:rPr>
              <w:t xml:space="preserve"> </w:t>
            </w:r>
            <w:r w:rsidRPr="00C56257">
              <w:rPr>
                <w:color w:val="000000" w:themeColor="text1"/>
                <w:sz w:val="24"/>
                <w:szCs w:val="24"/>
              </w:rPr>
              <w:t>altor specii non-native „invazive”</w:t>
            </w:r>
            <w:r w:rsidRPr="00C56257">
              <w:rPr>
                <w:color w:val="000000" w:themeColor="text1"/>
                <w:spacing w:val="1"/>
                <w:sz w:val="24"/>
                <w:szCs w:val="24"/>
              </w:rPr>
              <w:t xml:space="preserve"> </w:t>
            </w:r>
            <w:r w:rsidRPr="00C56257">
              <w:rPr>
                <w:color w:val="000000" w:themeColor="text1"/>
                <w:sz w:val="24"/>
                <w:szCs w:val="24"/>
              </w:rPr>
              <w:t>(adică orice specie introdusă în</w:t>
            </w:r>
            <w:r w:rsidRPr="00C56257">
              <w:rPr>
                <w:color w:val="000000" w:themeColor="text1"/>
                <w:spacing w:val="1"/>
                <w:sz w:val="24"/>
                <w:szCs w:val="24"/>
              </w:rPr>
              <w:t xml:space="preserve"> </w:t>
            </w:r>
            <w:r w:rsidRPr="00C56257">
              <w:rPr>
                <w:color w:val="000000" w:themeColor="text1"/>
                <w:sz w:val="24"/>
                <w:szCs w:val="24"/>
              </w:rPr>
              <w:t>perioada modernă care este</w:t>
            </w:r>
            <w:r w:rsidRPr="00C56257">
              <w:rPr>
                <w:color w:val="000000" w:themeColor="text1"/>
                <w:spacing w:val="1"/>
                <w:sz w:val="24"/>
                <w:szCs w:val="24"/>
              </w:rPr>
              <w:t xml:space="preserve"> </w:t>
            </w:r>
            <w:r w:rsidRPr="00C56257">
              <w:rPr>
                <w:color w:val="000000" w:themeColor="text1"/>
                <w:sz w:val="24"/>
                <w:szCs w:val="24"/>
              </w:rPr>
              <w:t>stabilită în sălbăticie în afara ariei</w:t>
            </w:r>
            <w:r w:rsidRPr="00C56257">
              <w:rPr>
                <w:color w:val="000000" w:themeColor="text1"/>
                <w:spacing w:val="1"/>
                <w:sz w:val="24"/>
                <w:szCs w:val="24"/>
              </w:rPr>
              <w:t xml:space="preserve"> </w:t>
            </w:r>
            <w:r w:rsidRPr="00C56257">
              <w:rPr>
                <w:color w:val="000000" w:themeColor="text1"/>
                <w:sz w:val="24"/>
                <w:szCs w:val="24"/>
              </w:rPr>
              <w:t>sale naturale și a cărei introducere</w:t>
            </w:r>
            <w:r w:rsidRPr="00C56257">
              <w:rPr>
                <w:color w:val="000000" w:themeColor="text1"/>
                <w:spacing w:val="-52"/>
                <w:sz w:val="24"/>
                <w:szCs w:val="24"/>
              </w:rPr>
              <w:t xml:space="preserve"> </w:t>
            </w:r>
            <w:r w:rsidRPr="00C56257">
              <w:rPr>
                <w:color w:val="000000" w:themeColor="text1"/>
                <w:sz w:val="24"/>
                <w:szCs w:val="24"/>
              </w:rPr>
              <w:t>și / sau răspândire reprezintă o</w:t>
            </w:r>
            <w:r w:rsidRPr="00C56257">
              <w:rPr>
                <w:color w:val="000000" w:themeColor="text1"/>
                <w:spacing w:val="1"/>
                <w:sz w:val="24"/>
                <w:szCs w:val="24"/>
              </w:rPr>
              <w:t xml:space="preserve"> </w:t>
            </w:r>
            <w:r w:rsidRPr="00C56257">
              <w:rPr>
                <w:color w:val="000000" w:themeColor="text1"/>
                <w:sz w:val="24"/>
                <w:szCs w:val="24"/>
              </w:rPr>
              <w:t>amenințare concretă sau potențială</w:t>
            </w:r>
            <w:r w:rsidRPr="00C56257">
              <w:rPr>
                <w:color w:val="000000" w:themeColor="text1"/>
                <w:spacing w:val="-52"/>
                <w:sz w:val="24"/>
                <w:szCs w:val="24"/>
              </w:rPr>
              <w:t xml:space="preserve"> </w:t>
            </w:r>
            <w:r w:rsidRPr="00C56257">
              <w:rPr>
                <w:color w:val="000000" w:themeColor="text1"/>
                <w:sz w:val="24"/>
                <w:szCs w:val="24"/>
              </w:rPr>
              <w:t>pentru habitate și specii, indiferent</w:t>
            </w:r>
            <w:r w:rsidRPr="00C56257">
              <w:rPr>
                <w:color w:val="000000" w:themeColor="text1"/>
                <w:spacing w:val="-53"/>
                <w:sz w:val="24"/>
                <w:szCs w:val="24"/>
              </w:rPr>
              <w:t xml:space="preserve"> </w:t>
            </w:r>
            <w:r w:rsidRPr="00C56257">
              <w:rPr>
                <w:color w:val="000000" w:themeColor="text1"/>
                <w:sz w:val="24"/>
                <w:szCs w:val="24"/>
              </w:rPr>
              <w:t>de dinamica populației invazive</w:t>
            </w:r>
            <w:r w:rsidRPr="00C56257">
              <w:rPr>
                <w:color w:val="000000" w:themeColor="text1"/>
                <w:spacing w:val="1"/>
                <w:sz w:val="24"/>
                <w:szCs w:val="24"/>
              </w:rPr>
              <w:t xml:space="preserve"> </w:t>
            </w:r>
            <w:r w:rsidRPr="00C56257">
              <w:rPr>
                <w:color w:val="000000" w:themeColor="text1"/>
                <w:sz w:val="24"/>
                <w:szCs w:val="24"/>
              </w:rPr>
              <w:t xml:space="preserve">(ex. controlul </w:t>
            </w:r>
            <w:r w:rsidRPr="00C56257">
              <w:rPr>
                <w:i/>
                <w:color w:val="000000" w:themeColor="text1"/>
                <w:sz w:val="24"/>
                <w:szCs w:val="24"/>
              </w:rPr>
              <w:t xml:space="preserve">Acacia </w:t>
            </w:r>
            <w:r w:rsidRPr="00C56257">
              <w:rPr>
                <w:color w:val="000000" w:themeColor="text1"/>
                <w:sz w:val="24"/>
                <w:szCs w:val="24"/>
              </w:rPr>
              <w:t>spp.) sau</w:t>
            </w:r>
            <w:r w:rsidRPr="00C56257">
              <w:rPr>
                <w:color w:val="000000" w:themeColor="text1"/>
                <w:spacing w:val="1"/>
                <w:sz w:val="24"/>
                <w:szCs w:val="24"/>
              </w:rPr>
              <w:t xml:space="preserve"> </w:t>
            </w:r>
            <w:r w:rsidRPr="00C56257">
              <w:rPr>
                <w:color w:val="000000" w:themeColor="text1"/>
                <w:sz w:val="24"/>
                <w:szCs w:val="24"/>
              </w:rPr>
              <w:t>eradicarea populațiilor stabilite ale</w:t>
            </w:r>
            <w:r w:rsidRPr="00C56257">
              <w:rPr>
                <w:color w:val="000000" w:themeColor="text1"/>
                <w:spacing w:val="-52"/>
                <w:sz w:val="24"/>
                <w:szCs w:val="24"/>
              </w:rPr>
              <w:t xml:space="preserve"> </w:t>
            </w:r>
            <w:r w:rsidRPr="00C56257">
              <w:rPr>
                <w:color w:val="000000" w:themeColor="text1"/>
                <w:sz w:val="24"/>
                <w:szCs w:val="24"/>
              </w:rPr>
              <w:t>altor</w:t>
            </w:r>
            <w:r w:rsidRPr="00C56257">
              <w:rPr>
                <w:color w:val="000000" w:themeColor="text1"/>
                <w:spacing w:val="-1"/>
                <w:sz w:val="24"/>
                <w:szCs w:val="24"/>
              </w:rPr>
              <w:t xml:space="preserve"> </w:t>
            </w:r>
            <w:r w:rsidRPr="00C56257">
              <w:rPr>
                <w:color w:val="000000" w:themeColor="text1"/>
                <w:sz w:val="24"/>
                <w:szCs w:val="24"/>
              </w:rPr>
              <w:t>specii</w:t>
            </w:r>
            <w:r w:rsidRPr="00C56257">
              <w:rPr>
                <w:color w:val="000000" w:themeColor="text1"/>
                <w:spacing w:val="-2"/>
                <w:sz w:val="24"/>
                <w:szCs w:val="24"/>
              </w:rPr>
              <w:t xml:space="preserve"> </w:t>
            </w:r>
            <w:r w:rsidRPr="00C56257">
              <w:rPr>
                <w:color w:val="000000" w:themeColor="text1"/>
                <w:sz w:val="24"/>
                <w:szCs w:val="24"/>
              </w:rPr>
              <w:t>străine.</w:t>
            </w:r>
          </w:p>
        </w:tc>
        <w:tc>
          <w:tcPr>
            <w:tcW w:w="1710" w:type="dxa"/>
          </w:tcPr>
          <w:p w14:paraId="293E2F08" w14:textId="77777777" w:rsidR="0004515E" w:rsidRPr="00C56257" w:rsidRDefault="0004515E" w:rsidP="008E33FD">
            <w:pPr>
              <w:pStyle w:val="TableParagraph"/>
              <w:jc w:val="both"/>
              <w:rPr>
                <w:color w:val="000000" w:themeColor="text1"/>
                <w:sz w:val="24"/>
                <w:szCs w:val="24"/>
              </w:rPr>
            </w:pPr>
          </w:p>
          <w:p w14:paraId="519EFBA1" w14:textId="77777777" w:rsidR="0004515E" w:rsidRPr="00C56257" w:rsidRDefault="0004515E" w:rsidP="008E33FD">
            <w:pPr>
              <w:pStyle w:val="TableParagraph"/>
              <w:jc w:val="both"/>
              <w:rPr>
                <w:color w:val="000000" w:themeColor="text1"/>
                <w:sz w:val="24"/>
                <w:szCs w:val="24"/>
              </w:rPr>
            </w:pPr>
          </w:p>
          <w:p w14:paraId="5B283264" w14:textId="77777777" w:rsidR="0004515E" w:rsidRPr="00C56257" w:rsidRDefault="0004515E" w:rsidP="008E33FD">
            <w:pPr>
              <w:pStyle w:val="TableParagraph"/>
              <w:spacing w:before="6"/>
              <w:jc w:val="both"/>
              <w:rPr>
                <w:color w:val="000000" w:themeColor="text1"/>
                <w:sz w:val="24"/>
                <w:szCs w:val="24"/>
              </w:rPr>
            </w:pPr>
          </w:p>
          <w:p w14:paraId="30221D8A" w14:textId="77777777" w:rsidR="0004515E" w:rsidRPr="00C56257" w:rsidRDefault="0004515E" w:rsidP="008E33FD">
            <w:pPr>
              <w:pStyle w:val="TableParagraph"/>
              <w:ind w:left="110"/>
              <w:jc w:val="both"/>
              <w:rPr>
                <w:color w:val="000000" w:themeColor="text1"/>
                <w:sz w:val="24"/>
                <w:szCs w:val="24"/>
              </w:rPr>
            </w:pPr>
            <w:r w:rsidRPr="00C56257">
              <w:rPr>
                <w:color w:val="000000" w:themeColor="text1"/>
                <w:sz w:val="24"/>
                <w:szCs w:val="24"/>
              </w:rPr>
              <w:t>I02</w:t>
            </w:r>
          </w:p>
        </w:tc>
      </w:tr>
      <w:tr w:rsidR="0004515E" w:rsidRPr="00C56257" w14:paraId="3DE67808" w14:textId="77777777" w:rsidTr="0004515E">
        <w:trPr>
          <w:trHeight w:val="2423"/>
        </w:trPr>
        <w:tc>
          <w:tcPr>
            <w:tcW w:w="851" w:type="dxa"/>
          </w:tcPr>
          <w:p w14:paraId="0D8D92C7" w14:textId="77777777" w:rsidR="0004515E" w:rsidRPr="00C56257" w:rsidRDefault="0004515E" w:rsidP="008E33FD">
            <w:pPr>
              <w:pStyle w:val="TableParagraph"/>
              <w:spacing w:line="249" w:lineRule="exact"/>
              <w:ind w:right="93"/>
              <w:jc w:val="both"/>
              <w:rPr>
                <w:color w:val="000000" w:themeColor="text1"/>
                <w:sz w:val="24"/>
                <w:szCs w:val="24"/>
              </w:rPr>
            </w:pPr>
            <w:r>
              <w:rPr>
                <w:color w:val="000000" w:themeColor="text1"/>
                <w:sz w:val="24"/>
                <w:szCs w:val="24"/>
              </w:rPr>
              <w:t>9</w:t>
            </w:r>
          </w:p>
        </w:tc>
        <w:tc>
          <w:tcPr>
            <w:tcW w:w="769" w:type="dxa"/>
          </w:tcPr>
          <w:p w14:paraId="0B44A3EE" w14:textId="77777777" w:rsidR="0004515E" w:rsidRDefault="0004515E" w:rsidP="008E33FD">
            <w:pPr>
              <w:pStyle w:val="TableParagraph"/>
              <w:jc w:val="both"/>
              <w:rPr>
                <w:color w:val="000000" w:themeColor="text1"/>
                <w:sz w:val="24"/>
                <w:szCs w:val="24"/>
              </w:rPr>
            </w:pPr>
          </w:p>
          <w:p w14:paraId="63518773" w14:textId="77777777" w:rsidR="0004515E" w:rsidRDefault="0004515E" w:rsidP="0004515E"/>
          <w:p w14:paraId="49C62423" w14:textId="77777777" w:rsidR="0004515E" w:rsidRPr="0004515E" w:rsidRDefault="0004515E" w:rsidP="0004515E">
            <w:r w:rsidRPr="00C56257">
              <w:rPr>
                <w:color w:val="000000" w:themeColor="text1"/>
              </w:rPr>
              <w:t>CJ02</w:t>
            </w:r>
          </w:p>
        </w:tc>
        <w:tc>
          <w:tcPr>
            <w:tcW w:w="2095" w:type="dxa"/>
          </w:tcPr>
          <w:p w14:paraId="516538FE" w14:textId="77777777" w:rsidR="0004515E" w:rsidRPr="00C56257" w:rsidRDefault="0004515E" w:rsidP="008E33FD">
            <w:pPr>
              <w:pStyle w:val="TableParagraph"/>
              <w:jc w:val="both"/>
              <w:rPr>
                <w:color w:val="000000" w:themeColor="text1"/>
                <w:sz w:val="24"/>
                <w:szCs w:val="24"/>
              </w:rPr>
            </w:pPr>
            <w:r w:rsidRPr="00C56257">
              <w:rPr>
                <w:color w:val="000000" w:themeColor="text1"/>
                <w:sz w:val="24"/>
                <w:szCs w:val="24"/>
              </w:rPr>
              <w:t>Reducerea impactul</w:t>
            </w:r>
            <w:r w:rsidRPr="00C56257">
              <w:rPr>
                <w:color w:val="000000" w:themeColor="text1"/>
                <w:spacing w:val="1"/>
                <w:sz w:val="24"/>
                <w:szCs w:val="24"/>
              </w:rPr>
              <w:t xml:space="preserve"> </w:t>
            </w:r>
            <w:r w:rsidRPr="00C56257">
              <w:rPr>
                <w:color w:val="000000" w:themeColor="text1"/>
                <w:sz w:val="24"/>
                <w:szCs w:val="24"/>
              </w:rPr>
              <w:t>indus de modificările</w:t>
            </w:r>
            <w:r w:rsidRPr="00C56257">
              <w:rPr>
                <w:color w:val="000000" w:themeColor="text1"/>
                <w:spacing w:val="-52"/>
                <w:sz w:val="24"/>
                <w:szCs w:val="24"/>
              </w:rPr>
              <w:t xml:space="preserve"> </w:t>
            </w:r>
            <w:r w:rsidRPr="00C56257">
              <w:rPr>
                <w:color w:val="000000" w:themeColor="text1"/>
                <w:sz w:val="24"/>
                <w:szCs w:val="24"/>
              </w:rPr>
              <w:t>hidrologice</w:t>
            </w:r>
            <w:r w:rsidRPr="00C56257">
              <w:rPr>
                <w:color w:val="000000" w:themeColor="text1"/>
                <w:spacing w:val="1"/>
                <w:sz w:val="24"/>
                <w:szCs w:val="24"/>
              </w:rPr>
              <w:t xml:space="preserve"> </w:t>
            </w:r>
            <w:r w:rsidRPr="00C56257">
              <w:rPr>
                <w:color w:val="000000" w:themeColor="text1"/>
                <w:sz w:val="24"/>
                <w:szCs w:val="24"/>
              </w:rPr>
              <w:t>multifuncționale</w:t>
            </w:r>
          </w:p>
        </w:tc>
        <w:tc>
          <w:tcPr>
            <w:tcW w:w="4745" w:type="dxa"/>
          </w:tcPr>
          <w:p w14:paraId="33483FCA" w14:textId="77777777" w:rsidR="0004515E" w:rsidRPr="00C56257" w:rsidRDefault="0004515E" w:rsidP="0004515E">
            <w:pPr>
              <w:pStyle w:val="TableParagraph"/>
              <w:ind w:left="109" w:right="127"/>
              <w:jc w:val="both"/>
              <w:rPr>
                <w:color w:val="000000" w:themeColor="text1"/>
                <w:sz w:val="24"/>
                <w:szCs w:val="24"/>
              </w:rPr>
            </w:pPr>
            <w:r w:rsidRPr="00C56257">
              <w:rPr>
                <w:color w:val="000000" w:themeColor="text1"/>
                <w:sz w:val="24"/>
                <w:szCs w:val="24"/>
              </w:rPr>
              <w:t>Reducerea impactului cauzat de</w:t>
            </w:r>
            <w:r w:rsidRPr="00C56257">
              <w:rPr>
                <w:color w:val="000000" w:themeColor="text1"/>
                <w:spacing w:val="1"/>
                <w:sz w:val="24"/>
                <w:szCs w:val="24"/>
              </w:rPr>
              <w:t xml:space="preserve"> </w:t>
            </w:r>
            <w:r w:rsidRPr="00C56257">
              <w:rPr>
                <w:color w:val="000000" w:themeColor="text1"/>
                <w:sz w:val="24"/>
                <w:szCs w:val="24"/>
              </w:rPr>
              <w:t>depozitarea deșeurilor,</w:t>
            </w:r>
            <w:r w:rsidRPr="00C56257">
              <w:rPr>
                <w:color w:val="000000" w:themeColor="text1"/>
                <w:spacing w:val="1"/>
                <w:sz w:val="24"/>
                <w:szCs w:val="24"/>
              </w:rPr>
              <w:t xml:space="preserve"> </w:t>
            </w:r>
            <w:r w:rsidRPr="00C56257">
              <w:rPr>
                <w:color w:val="000000" w:themeColor="text1"/>
                <w:sz w:val="24"/>
                <w:szCs w:val="24"/>
              </w:rPr>
              <w:t>îndepărtarea sedimentelor,</w:t>
            </w:r>
            <w:r w:rsidRPr="00C56257">
              <w:rPr>
                <w:color w:val="000000" w:themeColor="text1"/>
                <w:spacing w:val="1"/>
                <w:sz w:val="24"/>
                <w:szCs w:val="24"/>
              </w:rPr>
              <w:t xml:space="preserve"> </w:t>
            </w:r>
            <w:r w:rsidRPr="00C56257">
              <w:rPr>
                <w:color w:val="000000" w:themeColor="text1"/>
                <w:sz w:val="24"/>
                <w:szCs w:val="24"/>
              </w:rPr>
              <w:t>canalizarea, modificarea cursurilor</w:t>
            </w:r>
            <w:r w:rsidRPr="00C56257">
              <w:rPr>
                <w:color w:val="000000" w:themeColor="text1"/>
                <w:spacing w:val="-53"/>
                <w:sz w:val="24"/>
                <w:szCs w:val="24"/>
              </w:rPr>
              <w:t xml:space="preserve"> </w:t>
            </w:r>
            <w:r w:rsidRPr="00C56257">
              <w:rPr>
                <w:color w:val="000000" w:themeColor="text1"/>
                <w:sz w:val="24"/>
                <w:szCs w:val="24"/>
              </w:rPr>
              <w:t>de apă, modificarea regimului de</w:t>
            </w:r>
            <w:r w:rsidRPr="00C56257">
              <w:rPr>
                <w:color w:val="000000" w:themeColor="text1"/>
                <w:spacing w:val="1"/>
                <w:sz w:val="24"/>
                <w:szCs w:val="24"/>
              </w:rPr>
              <w:t xml:space="preserve"> </w:t>
            </w:r>
            <w:r w:rsidRPr="00C56257">
              <w:rPr>
                <w:color w:val="000000" w:themeColor="text1"/>
                <w:sz w:val="24"/>
                <w:szCs w:val="24"/>
              </w:rPr>
              <w:t>inundații și alte modificări ale</w:t>
            </w:r>
            <w:r w:rsidRPr="00C56257">
              <w:rPr>
                <w:color w:val="000000" w:themeColor="text1"/>
                <w:spacing w:val="1"/>
                <w:sz w:val="24"/>
                <w:szCs w:val="24"/>
              </w:rPr>
              <w:t xml:space="preserve"> </w:t>
            </w:r>
            <w:r w:rsidRPr="00C56257">
              <w:rPr>
                <w:color w:val="000000" w:themeColor="text1"/>
                <w:sz w:val="24"/>
                <w:szCs w:val="24"/>
              </w:rPr>
              <w:t>funcționării hidrologice sau ale</w:t>
            </w:r>
            <w:r w:rsidRPr="00C56257">
              <w:rPr>
                <w:color w:val="000000" w:themeColor="text1"/>
                <w:spacing w:val="1"/>
                <w:sz w:val="24"/>
                <w:szCs w:val="24"/>
              </w:rPr>
              <w:t xml:space="preserve"> </w:t>
            </w:r>
            <w:r w:rsidRPr="00C56257">
              <w:rPr>
                <w:color w:val="000000" w:themeColor="text1"/>
                <w:sz w:val="24"/>
                <w:szCs w:val="24"/>
              </w:rPr>
              <w:t>caracteristicilor fizice ale</w:t>
            </w:r>
            <w:r w:rsidRPr="00C56257">
              <w:rPr>
                <w:color w:val="000000" w:themeColor="text1"/>
                <w:spacing w:val="1"/>
                <w:sz w:val="24"/>
                <w:szCs w:val="24"/>
              </w:rPr>
              <w:t xml:space="preserve"> </w:t>
            </w:r>
            <w:r w:rsidRPr="00C56257">
              <w:rPr>
                <w:color w:val="000000" w:themeColor="text1"/>
                <w:sz w:val="24"/>
                <w:szCs w:val="24"/>
              </w:rPr>
              <w:t>corpurilor</w:t>
            </w:r>
            <w:r w:rsidRPr="00C56257">
              <w:rPr>
                <w:color w:val="000000" w:themeColor="text1"/>
                <w:spacing w:val="-3"/>
                <w:sz w:val="24"/>
                <w:szCs w:val="24"/>
              </w:rPr>
              <w:t xml:space="preserve"> </w:t>
            </w:r>
            <w:r w:rsidRPr="00C56257">
              <w:rPr>
                <w:color w:val="000000" w:themeColor="text1"/>
                <w:sz w:val="24"/>
                <w:szCs w:val="24"/>
              </w:rPr>
              <w:t>de apă, care</w:t>
            </w:r>
            <w:r w:rsidRPr="00C56257">
              <w:rPr>
                <w:color w:val="000000" w:themeColor="text1"/>
                <w:spacing w:val="-3"/>
                <w:sz w:val="24"/>
                <w:szCs w:val="24"/>
              </w:rPr>
              <w:t xml:space="preserve"> </w:t>
            </w:r>
            <w:r w:rsidRPr="00C56257">
              <w:rPr>
                <w:color w:val="000000" w:themeColor="text1"/>
                <w:sz w:val="24"/>
                <w:szCs w:val="24"/>
              </w:rPr>
              <w:t>nu pot</w:t>
            </w:r>
            <w:r w:rsidRPr="00C56257">
              <w:rPr>
                <w:color w:val="000000" w:themeColor="text1"/>
                <w:spacing w:val="1"/>
                <w:sz w:val="24"/>
                <w:szCs w:val="24"/>
              </w:rPr>
              <w:t xml:space="preserve"> </w:t>
            </w:r>
            <w:r w:rsidRPr="00C56257">
              <w:rPr>
                <w:color w:val="000000" w:themeColor="text1"/>
                <w:sz w:val="24"/>
                <w:szCs w:val="24"/>
              </w:rPr>
              <w:t>fi</w:t>
            </w:r>
          </w:p>
          <w:p w14:paraId="75C40837" w14:textId="77777777" w:rsidR="0004515E" w:rsidRPr="00C56257" w:rsidRDefault="0004515E" w:rsidP="0004515E">
            <w:pPr>
              <w:pStyle w:val="TableParagraph"/>
              <w:spacing w:before="6"/>
              <w:jc w:val="both"/>
              <w:rPr>
                <w:color w:val="000000" w:themeColor="text1"/>
                <w:sz w:val="24"/>
                <w:szCs w:val="24"/>
              </w:rPr>
            </w:pPr>
            <w:r w:rsidRPr="00C56257">
              <w:rPr>
                <w:color w:val="000000" w:themeColor="text1"/>
                <w:sz w:val="24"/>
                <w:szCs w:val="24"/>
              </w:rPr>
              <w:t>ușor asociate cu una dintre</w:t>
            </w:r>
            <w:r w:rsidRPr="00C56257">
              <w:rPr>
                <w:color w:val="000000" w:themeColor="text1"/>
                <w:spacing w:val="-52"/>
                <w:sz w:val="24"/>
                <w:szCs w:val="24"/>
              </w:rPr>
              <w:t xml:space="preserve"> </w:t>
            </w:r>
            <w:r w:rsidRPr="00C56257">
              <w:rPr>
                <w:color w:val="000000" w:themeColor="text1"/>
                <w:sz w:val="24"/>
                <w:szCs w:val="24"/>
              </w:rPr>
              <w:t>categoriile</w:t>
            </w:r>
            <w:r w:rsidRPr="00C56257">
              <w:rPr>
                <w:color w:val="000000" w:themeColor="text1"/>
                <w:spacing w:val="-1"/>
                <w:sz w:val="24"/>
                <w:szCs w:val="24"/>
              </w:rPr>
              <w:t xml:space="preserve"> </w:t>
            </w:r>
            <w:r w:rsidRPr="00C56257">
              <w:rPr>
                <w:color w:val="000000" w:themeColor="text1"/>
                <w:sz w:val="24"/>
                <w:szCs w:val="24"/>
              </w:rPr>
              <w:t>de</w:t>
            </w:r>
            <w:r w:rsidRPr="00C56257">
              <w:rPr>
                <w:color w:val="000000" w:themeColor="text1"/>
                <w:spacing w:val="-1"/>
                <w:sz w:val="24"/>
                <w:szCs w:val="24"/>
              </w:rPr>
              <w:t xml:space="preserve"> </w:t>
            </w:r>
            <w:r w:rsidRPr="00C56257">
              <w:rPr>
                <w:color w:val="000000" w:themeColor="text1"/>
                <w:sz w:val="24"/>
                <w:szCs w:val="24"/>
              </w:rPr>
              <w:t>mai</w:t>
            </w:r>
            <w:r w:rsidRPr="00C56257">
              <w:rPr>
                <w:color w:val="000000" w:themeColor="text1"/>
                <w:spacing w:val="1"/>
                <w:sz w:val="24"/>
                <w:szCs w:val="24"/>
              </w:rPr>
              <w:t xml:space="preserve"> </w:t>
            </w:r>
            <w:r w:rsidRPr="00C56257">
              <w:rPr>
                <w:color w:val="000000" w:themeColor="text1"/>
                <w:sz w:val="24"/>
                <w:szCs w:val="24"/>
              </w:rPr>
              <w:t>sus.</w:t>
            </w:r>
          </w:p>
        </w:tc>
        <w:tc>
          <w:tcPr>
            <w:tcW w:w="1710" w:type="dxa"/>
          </w:tcPr>
          <w:p w14:paraId="7C7C0C08" w14:textId="77777777" w:rsidR="0004515E" w:rsidRPr="00C56257" w:rsidRDefault="0004515E" w:rsidP="008E33FD">
            <w:pPr>
              <w:pStyle w:val="TableParagraph"/>
              <w:jc w:val="both"/>
              <w:rPr>
                <w:color w:val="000000" w:themeColor="text1"/>
                <w:sz w:val="24"/>
                <w:szCs w:val="24"/>
              </w:rPr>
            </w:pPr>
          </w:p>
        </w:tc>
      </w:tr>
      <w:tr w:rsidR="0004515E" w:rsidRPr="00C56257" w14:paraId="4A3C428B" w14:textId="77777777" w:rsidTr="0004515E">
        <w:trPr>
          <w:trHeight w:val="2423"/>
        </w:trPr>
        <w:tc>
          <w:tcPr>
            <w:tcW w:w="851" w:type="dxa"/>
          </w:tcPr>
          <w:p w14:paraId="4D979EC0" w14:textId="77777777" w:rsidR="0004515E" w:rsidRPr="00C56257" w:rsidRDefault="0004515E" w:rsidP="008E33FD">
            <w:pPr>
              <w:pStyle w:val="TableParagraph"/>
              <w:spacing w:line="249" w:lineRule="exact"/>
              <w:ind w:right="93"/>
              <w:jc w:val="both"/>
              <w:rPr>
                <w:color w:val="000000" w:themeColor="text1"/>
                <w:sz w:val="24"/>
                <w:szCs w:val="24"/>
              </w:rPr>
            </w:pPr>
            <w:r>
              <w:rPr>
                <w:color w:val="000000" w:themeColor="text1"/>
                <w:sz w:val="24"/>
                <w:szCs w:val="24"/>
              </w:rPr>
              <w:t>10</w:t>
            </w:r>
          </w:p>
        </w:tc>
        <w:tc>
          <w:tcPr>
            <w:tcW w:w="769" w:type="dxa"/>
          </w:tcPr>
          <w:p w14:paraId="4CB20F67" w14:textId="77777777" w:rsidR="0004515E" w:rsidRDefault="0004515E" w:rsidP="008E33FD">
            <w:pPr>
              <w:pStyle w:val="TableParagraph"/>
              <w:jc w:val="both"/>
              <w:rPr>
                <w:color w:val="000000" w:themeColor="text1"/>
                <w:sz w:val="24"/>
                <w:szCs w:val="24"/>
              </w:rPr>
            </w:pPr>
            <w:r w:rsidRPr="00C56257">
              <w:rPr>
                <w:color w:val="000000" w:themeColor="text1"/>
                <w:sz w:val="24"/>
                <w:szCs w:val="24"/>
              </w:rPr>
              <w:t>CC01</w:t>
            </w:r>
          </w:p>
        </w:tc>
        <w:tc>
          <w:tcPr>
            <w:tcW w:w="2095" w:type="dxa"/>
          </w:tcPr>
          <w:p w14:paraId="6605D295" w14:textId="77777777" w:rsidR="0004515E" w:rsidRPr="00C56257" w:rsidRDefault="0004515E" w:rsidP="008E33FD">
            <w:pPr>
              <w:pStyle w:val="TableParagraph"/>
              <w:jc w:val="both"/>
              <w:rPr>
                <w:color w:val="000000" w:themeColor="text1"/>
                <w:sz w:val="24"/>
                <w:szCs w:val="24"/>
              </w:rPr>
            </w:pPr>
            <w:r w:rsidRPr="00C56257">
              <w:rPr>
                <w:color w:val="000000" w:themeColor="text1"/>
                <w:spacing w:val="-1"/>
                <w:sz w:val="24"/>
                <w:szCs w:val="24"/>
              </w:rPr>
              <w:t>Adaptarea/managem</w:t>
            </w:r>
            <w:r w:rsidRPr="00C56257">
              <w:rPr>
                <w:color w:val="000000" w:themeColor="text1"/>
                <w:spacing w:val="-52"/>
                <w:sz w:val="24"/>
                <w:szCs w:val="24"/>
              </w:rPr>
              <w:t xml:space="preserve"> </w:t>
            </w:r>
            <w:r w:rsidRPr="00C56257">
              <w:rPr>
                <w:color w:val="000000" w:themeColor="text1"/>
                <w:sz w:val="24"/>
                <w:szCs w:val="24"/>
              </w:rPr>
              <w:t>entul extracției</w:t>
            </w:r>
            <w:r w:rsidRPr="00C56257">
              <w:rPr>
                <w:color w:val="000000" w:themeColor="text1"/>
                <w:spacing w:val="1"/>
                <w:sz w:val="24"/>
                <w:szCs w:val="24"/>
              </w:rPr>
              <w:t xml:space="preserve"> </w:t>
            </w:r>
            <w:r w:rsidRPr="00C56257">
              <w:rPr>
                <w:color w:val="000000" w:themeColor="text1"/>
                <w:sz w:val="24"/>
                <w:szCs w:val="24"/>
              </w:rPr>
              <w:t>resurselor</w:t>
            </w:r>
            <w:r w:rsidRPr="00C56257">
              <w:rPr>
                <w:color w:val="000000" w:themeColor="text1"/>
                <w:spacing w:val="1"/>
                <w:sz w:val="24"/>
                <w:szCs w:val="24"/>
              </w:rPr>
              <w:t xml:space="preserve"> </w:t>
            </w:r>
            <w:r w:rsidRPr="00C56257">
              <w:rPr>
                <w:color w:val="000000" w:themeColor="text1"/>
                <w:sz w:val="24"/>
                <w:szCs w:val="24"/>
              </w:rPr>
              <w:t>neenergetice</w:t>
            </w:r>
          </w:p>
        </w:tc>
        <w:tc>
          <w:tcPr>
            <w:tcW w:w="4745" w:type="dxa"/>
          </w:tcPr>
          <w:p w14:paraId="086C9B1D" w14:textId="77777777" w:rsidR="0004515E" w:rsidRPr="00C56257" w:rsidRDefault="0004515E" w:rsidP="0004515E">
            <w:pPr>
              <w:pStyle w:val="TableParagraph"/>
              <w:ind w:left="109" w:right="168"/>
              <w:jc w:val="both"/>
              <w:rPr>
                <w:color w:val="000000" w:themeColor="text1"/>
                <w:sz w:val="24"/>
                <w:szCs w:val="24"/>
              </w:rPr>
            </w:pPr>
            <w:r w:rsidRPr="00C56257">
              <w:rPr>
                <w:color w:val="000000" w:themeColor="text1"/>
                <w:sz w:val="24"/>
                <w:szCs w:val="24"/>
              </w:rPr>
              <w:t>Adaptarea și gestionarea (inclusiv</w:t>
            </w:r>
            <w:r w:rsidRPr="00C56257">
              <w:rPr>
                <w:color w:val="000000" w:themeColor="text1"/>
                <w:spacing w:val="-52"/>
                <w:sz w:val="24"/>
                <w:szCs w:val="24"/>
              </w:rPr>
              <w:t xml:space="preserve"> </w:t>
            </w:r>
            <w:r w:rsidRPr="00C56257">
              <w:rPr>
                <w:color w:val="000000" w:themeColor="text1"/>
                <w:sz w:val="24"/>
                <w:szCs w:val="24"/>
              </w:rPr>
              <w:t>oprirea și evitarea) extracției de</w:t>
            </w:r>
            <w:r w:rsidRPr="00C56257">
              <w:rPr>
                <w:color w:val="000000" w:themeColor="text1"/>
                <w:spacing w:val="1"/>
                <w:sz w:val="24"/>
                <w:szCs w:val="24"/>
              </w:rPr>
              <w:t xml:space="preserve"> </w:t>
            </w:r>
            <w:r w:rsidRPr="00C56257">
              <w:rPr>
                <w:color w:val="000000" w:themeColor="text1"/>
                <w:sz w:val="24"/>
                <w:szCs w:val="24"/>
              </w:rPr>
              <w:t>minerale și resurse neenergetice</w:t>
            </w:r>
            <w:r w:rsidRPr="00C56257">
              <w:rPr>
                <w:color w:val="000000" w:themeColor="text1"/>
                <w:spacing w:val="1"/>
                <w:sz w:val="24"/>
                <w:szCs w:val="24"/>
              </w:rPr>
              <w:t xml:space="preserve"> </w:t>
            </w:r>
            <w:r w:rsidRPr="00C56257">
              <w:rPr>
                <w:color w:val="000000" w:themeColor="text1"/>
                <w:sz w:val="24"/>
                <w:szCs w:val="24"/>
              </w:rPr>
              <w:t>(de exemplu: extracția nisipului,</w:t>
            </w:r>
            <w:r w:rsidRPr="00C56257">
              <w:rPr>
                <w:color w:val="000000" w:themeColor="text1"/>
                <w:spacing w:val="1"/>
                <w:sz w:val="24"/>
                <w:szCs w:val="24"/>
              </w:rPr>
              <w:t xml:space="preserve"> </w:t>
            </w:r>
            <w:r w:rsidRPr="00C56257">
              <w:rPr>
                <w:color w:val="000000" w:themeColor="text1"/>
                <w:sz w:val="24"/>
                <w:szCs w:val="24"/>
              </w:rPr>
              <w:t>pietrișului, lutului, argilei și turbei</w:t>
            </w:r>
            <w:r w:rsidRPr="00C56257">
              <w:rPr>
                <w:color w:val="000000" w:themeColor="text1"/>
                <w:spacing w:val="-53"/>
                <w:sz w:val="24"/>
                <w:szCs w:val="24"/>
              </w:rPr>
              <w:t xml:space="preserve"> </w:t>
            </w:r>
            <w:r w:rsidRPr="00C56257">
              <w:rPr>
                <w:color w:val="000000" w:themeColor="text1"/>
                <w:sz w:val="24"/>
                <w:szCs w:val="24"/>
              </w:rPr>
              <w:t>pentru producerea de compost</w:t>
            </w:r>
            <w:r w:rsidRPr="00C56257">
              <w:rPr>
                <w:color w:val="000000" w:themeColor="text1"/>
                <w:spacing w:val="1"/>
                <w:sz w:val="24"/>
                <w:szCs w:val="24"/>
              </w:rPr>
              <w:t xml:space="preserve"> </w:t>
            </w:r>
            <w:r w:rsidRPr="00C56257">
              <w:rPr>
                <w:color w:val="000000" w:themeColor="text1"/>
                <w:sz w:val="24"/>
                <w:szCs w:val="24"/>
              </w:rPr>
              <w:t>vegetal sau alte scopuri horticole)</w:t>
            </w:r>
            <w:r w:rsidRPr="00C56257">
              <w:rPr>
                <w:color w:val="000000" w:themeColor="text1"/>
                <w:spacing w:val="-52"/>
                <w:sz w:val="24"/>
                <w:szCs w:val="24"/>
              </w:rPr>
              <w:t xml:space="preserve"> </w:t>
            </w:r>
            <w:r w:rsidRPr="00C56257">
              <w:rPr>
                <w:color w:val="000000" w:themeColor="text1"/>
                <w:sz w:val="24"/>
                <w:szCs w:val="24"/>
              </w:rPr>
              <w:t>precum și adaptarea și gestionarea</w:t>
            </w:r>
            <w:r w:rsidRPr="00C56257">
              <w:rPr>
                <w:color w:val="000000" w:themeColor="text1"/>
                <w:spacing w:val="-52"/>
                <w:sz w:val="24"/>
                <w:szCs w:val="24"/>
              </w:rPr>
              <w:t xml:space="preserve"> </w:t>
            </w:r>
            <w:r w:rsidRPr="00C56257">
              <w:rPr>
                <w:color w:val="000000" w:themeColor="text1"/>
                <w:sz w:val="24"/>
                <w:szCs w:val="24"/>
              </w:rPr>
              <w:t>extracției sării. De asemenea,</w:t>
            </w:r>
            <w:r w:rsidRPr="00C56257">
              <w:rPr>
                <w:color w:val="000000" w:themeColor="text1"/>
                <w:spacing w:val="1"/>
                <w:sz w:val="24"/>
                <w:szCs w:val="24"/>
              </w:rPr>
              <w:t xml:space="preserve"> </w:t>
            </w:r>
            <w:r w:rsidRPr="00C56257">
              <w:rPr>
                <w:color w:val="000000" w:themeColor="text1"/>
                <w:sz w:val="24"/>
                <w:szCs w:val="24"/>
              </w:rPr>
              <w:t>măsura include reducerea</w:t>
            </w:r>
            <w:r w:rsidRPr="00C56257">
              <w:rPr>
                <w:color w:val="000000" w:themeColor="text1"/>
                <w:spacing w:val="1"/>
                <w:sz w:val="24"/>
                <w:szCs w:val="24"/>
              </w:rPr>
              <w:t xml:space="preserve"> </w:t>
            </w:r>
            <w:r w:rsidRPr="00C56257">
              <w:rPr>
                <w:color w:val="000000" w:themeColor="text1"/>
                <w:sz w:val="24"/>
                <w:szCs w:val="24"/>
              </w:rPr>
              <w:t>impactului rezultat</w:t>
            </w:r>
            <w:r w:rsidRPr="00C56257">
              <w:rPr>
                <w:color w:val="000000" w:themeColor="text1"/>
                <w:spacing w:val="1"/>
                <w:sz w:val="24"/>
                <w:szCs w:val="24"/>
              </w:rPr>
              <w:t xml:space="preserve"> </w:t>
            </w:r>
            <w:r w:rsidRPr="00C56257">
              <w:rPr>
                <w:color w:val="000000" w:themeColor="text1"/>
                <w:sz w:val="24"/>
                <w:szCs w:val="24"/>
              </w:rPr>
              <w:t>din</w:t>
            </w:r>
            <w:r w:rsidRPr="00C56257">
              <w:rPr>
                <w:color w:val="000000" w:themeColor="text1"/>
                <w:spacing w:val="1"/>
                <w:sz w:val="24"/>
                <w:szCs w:val="24"/>
              </w:rPr>
              <w:t xml:space="preserve"> </w:t>
            </w:r>
            <w:r w:rsidRPr="00C56257">
              <w:rPr>
                <w:color w:val="000000" w:themeColor="text1"/>
                <w:sz w:val="24"/>
                <w:szCs w:val="24"/>
              </w:rPr>
              <w:t>topografierea</w:t>
            </w:r>
            <w:r w:rsidRPr="00C56257">
              <w:rPr>
                <w:color w:val="000000" w:themeColor="text1"/>
                <w:spacing w:val="-1"/>
                <w:sz w:val="24"/>
                <w:szCs w:val="24"/>
              </w:rPr>
              <w:t xml:space="preserve"> </w:t>
            </w:r>
            <w:r w:rsidRPr="00C56257">
              <w:rPr>
                <w:color w:val="000000" w:themeColor="text1"/>
                <w:sz w:val="24"/>
                <w:szCs w:val="24"/>
              </w:rPr>
              <w:t>geotehnică</w:t>
            </w:r>
            <w:r w:rsidRPr="00C56257">
              <w:rPr>
                <w:color w:val="000000" w:themeColor="text1"/>
                <w:spacing w:val="-3"/>
                <w:sz w:val="24"/>
                <w:szCs w:val="24"/>
              </w:rPr>
              <w:t xml:space="preserve"> </w:t>
            </w:r>
            <w:r w:rsidRPr="00C56257">
              <w:rPr>
                <w:color w:val="000000" w:themeColor="text1"/>
                <w:sz w:val="24"/>
                <w:szCs w:val="24"/>
              </w:rPr>
              <w:t>și</w:t>
            </w:r>
            <w:r w:rsidRPr="00C56257">
              <w:rPr>
                <w:color w:val="000000" w:themeColor="text1"/>
                <w:spacing w:val="-2"/>
                <w:sz w:val="24"/>
                <w:szCs w:val="24"/>
              </w:rPr>
              <w:t xml:space="preserve"> </w:t>
            </w:r>
            <w:r w:rsidRPr="00C56257">
              <w:rPr>
                <w:color w:val="000000" w:themeColor="text1"/>
                <w:sz w:val="24"/>
                <w:szCs w:val="24"/>
              </w:rPr>
              <w:t>alte</w:t>
            </w:r>
          </w:p>
          <w:p w14:paraId="49875A1D" w14:textId="77777777" w:rsidR="0004515E" w:rsidRPr="00C56257" w:rsidRDefault="0004515E" w:rsidP="0004515E">
            <w:pPr>
              <w:pStyle w:val="TableParagraph"/>
              <w:ind w:left="109" w:right="127"/>
              <w:jc w:val="both"/>
              <w:rPr>
                <w:color w:val="000000" w:themeColor="text1"/>
                <w:sz w:val="24"/>
                <w:szCs w:val="24"/>
              </w:rPr>
            </w:pPr>
            <w:r w:rsidRPr="00C56257">
              <w:rPr>
                <w:color w:val="000000" w:themeColor="text1"/>
                <w:sz w:val="24"/>
                <w:szCs w:val="24"/>
              </w:rPr>
              <w:t>lucrări pregătitoare pentru minerit</w:t>
            </w:r>
            <w:r w:rsidRPr="00C56257">
              <w:rPr>
                <w:color w:val="000000" w:themeColor="text1"/>
                <w:spacing w:val="-52"/>
                <w:sz w:val="24"/>
                <w:szCs w:val="24"/>
              </w:rPr>
              <w:t xml:space="preserve"> </w:t>
            </w:r>
            <w:r w:rsidRPr="00C56257">
              <w:rPr>
                <w:color w:val="000000" w:themeColor="text1"/>
                <w:sz w:val="24"/>
                <w:szCs w:val="24"/>
              </w:rPr>
              <w:t>și extracție.</w:t>
            </w:r>
          </w:p>
        </w:tc>
        <w:tc>
          <w:tcPr>
            <w:tcW w:w="1710" w:type="dxa"/>
          </w:tcPr>
          <w:p w14:paraId="6898D550" w14:textId="77777777" w:rsidR="0004515E" w:rsidRPr="00C56257" w:rsidRDefault="0004515E" w:rsidP="008E33FD">
            <w:pPr>
              <w:pStyle w:val="TableParagraph"/>
              <w:jc w:val="both"/>
              <w:rPr>
                <w:color w:val="000000" w:themeColor="text1"/>
                <w:sz w:val="24"/>
                <w:szCs w:val="24"/>
              </w:rPr>
            </w:pPr>
          </w:p>
        </w:tc>
      </w:tr>
    </w:tbl>
    <w:p w14:paraId="04D1983B" w14:textId="77777777" w:rsidR="00804D0E" w:rsidRPr="00C56257" w:rsidRDefault="00804D0E" w:rsidP="00F100E1">
      <w:pPr>
        <w:spacing w:after="160" w:line="259" w:lineRule="auto"/>
        <w:ind w:right="1052"/>
        <w:jc w:val="both"/>
        <w:rPr>
          <w:b/>
          <w:bCs/>
          <w:color w:val="000000" w:themeColor="text1"/>
        </w:rPr>
      </w:pPr>
      <w:r w:rsidRPr="00C56257">
        <w:rPr>
          <w:b/>
          <w:bCs/>
          <w:color w:val="000000" w:themeColor="text1"/>
        </w:rPr>
        <w:br w:type="page"/>
      </w:r>
      <w:r w:rsidR="00F96E1B" w:rsidRPr="00C56257">
        <w:rPr>
          <w:b/>
          <w:bCs/>
          <w:color w:val="000000" w:themeColor="text1"/>
        </w:rPr>
        <w:lastRenderedPageBreak/>
        <w:t>Anexa nr. 4</w:t>
      </w:r>
      <w:r w:rsidRPr="00C56257">
        <w:rPr>
          <w:b/>
          <w:bCs/>
          <w:color w:val="000000" w:themeColor="text1"/>
        </w:rPr>
        <w:t xml:space="preserve"> la Ghidul habitate</w:t>
      </w:r>
    </w:p>
    <w:p w14:paraId="77C9B8B7" w14:textId="77777777" w:rsidR="00804D0E" w:rsidRDefault="00804D0E" w:rsidP="002236E9">
      <w:pPr>
        <w:spacing w:after="160" w:line="259" w:lineRule="auto"/>
        <w:ind w:right="27"/>
        <w:jc w:val="both"/>
        <w:rPr>
          <w:b/>
          <w:bCs/>
          <w:color w:val="000000" w:themeColor="text1"/>
        </w:rPr>
      </w:pPr>
      <w:r w:rsidRPr="00C56257">
        <w:rPr>
          <w:b/>
          <w:bCs/>
          <w:color w:val="000000" w:themeColor="text1"/>
        </w:rPr>
        <w:t xml:space="preserve">Ghidul cu  protocoalele de monitorizare si metodologiile unitare de monitorizare a starii de conservare a habitatelor </w:t>
      </w:r>
      <w:r w:rsidR="00F96E1B" w:rsidRPr="00C56257">
        <w:rPr>
          <w:b/>
          <w:bCs/>
          <w:color w:val="000000" w:themeColor="text1"/>
        </w:rPr>
        <w:t>de apă dulce</w:t>
      </w:r>
    </w:p>
    <w:p w14:paraId="10C047E8" w14:textId="77777777" w:rsidR="008A5A40" w:rsidRPr="00AA52CC" w:rsidRDefault="00914F99" w:rsidP="002236E9">
      <w:pPr>
        <w:pStyle w:val="BodyText"/>
        <w:spacing w:before="261"/>
        <w:ind w:left="0" w:right="27"/>
        <w:jc w:val="both"/>
        <w:rPr>
          <w:lang w:val="ro-RO"/>
        </w:rPr>
      </w:pPr>
      <w:r>
        <w:rPr>
          <w:lang w:val="ro-RO"/>
        </w:rPr>
        <w:t>Protocoalele de monitorizare și metodologiile de m</w:t>
      </w:r>
      <w:r w:rsidR="008A5A40" w:rsidRPr="00AA52CC">
        <w:rPr>
          <w:lang w:val="ro-RO"/>
        </w:rPr>
        <w:t>onitorizare</w:t>
      </w:r>
      <w:r>
        <w:rPr>
          <w:lang w:val="ro-RO"/>
        </w:rPr>
        <w:t xml:space="preserve"> </w:t>
      </w:r>
      <w:r w:rsidR="008A5A40" w:rsidRPr="00AA52CC">
        <w:rPr>
          <w:lang w:val="ro-RO"/>
        </w:rPr>
        <w:t>a habitatelor de ape dulci</w:t>
      </w:r>
      <w:r>
        <w:rPr>
          <w:lang w:val="ro-RO"/>
        </w:rPr>
        <w:t xml:space="preserve"> sunt</w:t>
      </w:r>
      <w:r w:rsidR="008A5A40" w:rsidRPr="00AA52CC">
        <w:rPr>
          <w:lang w:val="ro-RO"/>
        </w:rPr>
        <w:t xml:space="preserve"> aferent</w:t>
      </w:r>
      <w:r>
        <w:rPr>
          <w:lang w:val="ro-RO"/>
        </w:rPr>
        <w:t>e</w:t>
      </w:r>
      <w:r w:rsidR="008A5A40" w:rsidRPr="00AA52CC">
        <w:rPr>
          <w:lang w:val="ro-RO"/>
        </w:rPr>
        <w:t xml:space="preserve"> următoarelor tipuri de</w:t>
      </w:r>
      <w:r w:rsidR="008A5A40">
        <w:rPr>
          <w:lang w:val="ro-RO"/>
        </w:rPr>
        <w:t xml:space="preserve"> </w:t>
      </w:r>
      <w:r w:rsidR="008A5A40" w:rsidRPr="00AA52CC">
        <w:rPr>
          <w:lang w:val="ro-RO"/>
        </w:rPr>
        <w:t xml:space="preserve">habitate: 3130 Ape stătătoare oligotrofice până la mezotrofice cu vegetaţia din </w:t>
      </w:r>
      <w:r w:rsidR="008A5A40" w:rsidRPr="00AA52CC">
        <w:rPr>
          <w:i/>
          <w:lang w:val="ro-RO"/>
        </w:rPr>
        <w:t>Littorelletea uniflorae</w:t>
      </w:r>
      <w:r w:rsidR="008A5A40" w:rsidRPr="00AA52CC">
        <w:rPr>
          <w:lang w:val="ro-RO"/>
        </w:rPr>
        <w:t xml:space="preserve"> şi/sau </w:t>
      </w:r>
      <w:r w:rsidR="008A5A40" w:rsidRPr="00AA52CC">
        <w:rPr>
          <w:i/>
          <w:lang w:val="ro-RO"/>
        </w:rPr>
        <w:t>Isoeto - Nanojuncetea</w:t>
      </w:r>
      <w:r w:rsidR="008A5A40" w:rsidRPr="00AA52CC">
        <w:rPr>
          <w:lang w:val="ro-RO"/>
        </w:rPr>
        <w:t>; 3140 Ape puternic oligo-mezotrofice cu vegetaţie</w:t>
      </w:r>
      <w:r w:rsidR="008A5A40">
        <w:rPr>
          <w:lang w:val="ro-RO"/>
        </w:rPr>
        <w:t xml:space="preserve"> </w:t>
      </w:r>
      <w:r w:rsidR="008A5A40" w:rsidRPr="00AA52CC">
        <w:rPr>
          <w:lang w:val="ro-RO"/>
        </w:rPr>
        <w:t>bentonic</w:t>
      </w:r>
      <w:r w:rsidR="008A5A40">
        <w:rPr>
          <w:lang w:val="ro-RO"/>
        </w:rPr>
        <w:t xml:space="preserve">ă </w:t>
      </w:r>
      <w:r w:rsidR="008A5A40" w:rsidRPr="00AA52CC">
        <w:rPr>
          <w:lang w:val="ro-RO"/>
        </w:rPr>
        <w:t>de</w:t>
      </w:r>
      <w:r w:rsidR="008A5A40">
        <w:rPr>
          <w:lang w:val="ro-RO"/>
        </w:rPr>
        <w:t xml:space="preserve"> </w:t>
      </w:r>
      <w:r w:rsidR="008A5A40" w:rsidRPr="00AA52CC">
        <w:rPr>
          <w:lang w:val="ro-RO"/>
        </w:rPr>
        <w:t>specii</w:t>
      </w:r>
      <w:r w:rsidR="008A5A40">
        <w:rPr>
          <w:lang w:val="ro-RO"/>
        </w:rPr>
        <w:t xml:space="preserve"> </w:t>
      </w:r>
      <w:r w:rsidR="008A5A40" w:rsidRPr="00AA52CC">
        <w:rPr>
          <w:lang w:val="ro-RO"/>
        </w:rPr>
        <w:t>de</w:t>
      </w:r>
      <w:r w:rsidR="008A5A40">
        <w:rPr>
          <w:lang w:val="ro-RO"/>
        </w:rPr>
        <w:t xml:space="preserve"> </w:t>
      </w:r>
      <w:r w:rsidR="008A5A40" w:rsidRPr="00AA52CC">
        <w:rPr>
          <w:i/>
          <w:lang w:val="ro-RO"/>
        </w:rPr>
        <w:t>Chara</w:t>
      </w:r>
      <w:r w:rsidR="008A5A40">
        <w:rPr>
          <w:lang w:val="ro-RO"/>
        </w:rPr>
        <w:t xml:space="preserve"> </w:t>
      </w:r>
      <w:r w:rsidR="008A5A40" w:rsidRPr="00AA52CC">
        <w:rPr>
          <w:lang w:val="ro-RO"/>
        </w:rPr>
        <w:t>spp.;</w:t>
      </w:r>
      <w:r w:rsidR="008A5A40">
        <w:rPr>
          <w:lang w:val="ro-RO"/>
        </w:rPr>
        <w:t xml:space="preserve"> </w:t>
      </w:r>
      <w:r w:rsidR="008A5A40" w:rsidRPr="00AA52CC">
        <w:rPr>
          <w:lang w:val="ro-RO"/>
        </w:rPr>
        <w:t>3150</w:t>
      </w:r>
      <w:r w:rsidR="008A5A40">
        <w:rPr>
          <w:lang w:val="ro-RO"/>
        </w:rPr>
        <w:t xml:space="preserve"> </w:t>
      </w:r>
      <w:r w:rsidR="008A5A40" w:rsidRPr="00AA52CC">
        <w:rPr>
          <w:lang w:val="ro-RO"/>
        </w:rPr>
        <w:t>Lacuri</w:t>
      </w:r>
      <w:r w:rsidR="008A5A40">
        <w:rPr>
          <w:lang w:val="ro-RO"/>
        </w:rPr>
        <w:t xml:space="preserve"> </w:t>
      </w:r>
      <w:r w:rsidR="008A5A40" w:rsidRPr="00AA52CC">
        <w:rPr>
          <w:lang w:val="ro-RO"/>
        </w:rPr>
        <w:t>naturale</w:t>
      </w:r>
      <w:r w:rsidR="008A5A40">
        <w:rPr>
          <w:lang w:val="ro-RO"/>
        </w:rPr>
        <w:t xml:space="preserve"> </w:t>
      </w:r>
      <w:r w:rsidR="008A5A40" w:rsidRPr="00AA52CC">
        <w:rPr>
          <w:lang w:val="ro-RO"/>
        </w:rPr>
        <w:t>eutrofice</w:t>
      </w:r>
      <w:r w:rsidR="008A5A40">
        <w:rPr>
          <w:lang w:val="ro-RO"/>
        </w:rPr>
        <w:t xml:space="preserve"> </w:t>
      </w:r>
      <w:r w:rsidR="008A5A40" w:rsidRPr="00AA52CC">
        <w:rPr>
          <w:lang w:val="ro-RO"/>
        </w:rPr>
        <w:t>cu</w:t>
      </w:r>
      <w:r w:rsidR="008A5A40">
        <w:rPr>
          <w:lang w:val="ro-RO"/>
        </w:rPr>
        <w:t xml:space="preserve"> </w:t>
      </w:r>
      <w:r w:rsidR="008A5A40" w:rsidRPr="00AA52CC">
        <w:rPr>
          <w:lang w:val="ro-RO"/>
        </w:rPr>
        <w:t>vegetaţie</w:t>
      </w:r>
      <w:r w:rsidR="008A5A40">
        <w:rPr>
          <w:lang w:val="ro-RO"/>
        </w:rPr>
        <w:t xml:space="preserve"> </w:t>
      </w:r>
      <w:r w:rsidR="008A5A40" w:rsidRPr="00AA52CC">
        <w:rPr>
          <w:lang w:val="ro-RO"/>
        </w:rPr>
        <w:t>tip</w:t>
      </w:r>
      <w:r w:rsidR="008A5A40">
        <w:rPr>
          <w:lang w:val="ro-RO"/>
        </w:rPr>
        <w:t xml:space="preserve"> </w:t>
      </w:r>
      <w:r w:rsidR="008A5A40" w:rsidRPr="00AA52CC">
        <w:rPr>
          <w:i/>
          <w:lang w:val="ro-RO"/>
        </w:rPr>
        <w:t>Magnopotamion</w:t>
      </w:r>
      <w:r w:rsidR="008A5A40" w:rsidRPr="00AA52CC">
        <w:rPr>
          <w:lang w:val="ro-RO"/>
        </w:rPr>
        <w:t xml:space="preserve"> sau </w:t>
      </w:r>
      <w:r w:rsidR="008A5A40" w:rsidRPr="00AA52CC">
        <w:rPr>
          <w:i/>
          <w:lang w:val="ro-RO"/>
        </w:rPr>
        <w:t>Hydrocharition</w:t>
      </w:r>
      <w:r w:rsidR="008A5A40" w:rsidRPr="00AA52CC">
        <w:rPr>
          <w:lang w:val="ro-RO"/>
        </w:rPr>
        <w:t>; 3160 Lacuri distrofice şi iazuri; 31A0* Ape termale din</w:t>
      </w:r>
      <w:r w:rsidR="008A5A40">
        <w:rPr>
          <w:lang w:val="ro-RO"/>
        </w:rPr>
        <w:t xml:space="preserve"> </w:t>
      </w:r>
      <w:r w:rsidR="008A5A40" w:rsidRPr="00AA52CC">
        <w:rPr>
          <w:lang w:val="ro-RO"/>
        </w:rPr>
        <w:t>Transilvania</w:t>
      </w:r>
      <w:r w:rsidR="008A5A40">
        <w:rPr>
          <w:lang w:val="ro-RO"/>
        </w:rPr>
        <w:t xml:space="preserve"> </w:t>
      </w:r>
      <w:r w:rsidR="008A5A40" w:rsidRPr="00AA52CC">
        <w:rPr>
          <w:lang w:val="ro-RO"/>
        </w:rPr>
        <w:t>acoperite</w:t>
      </w:r>
      <w:r w:rsidR="008A5A40">
        <w:rPr>
          <w:lang w:val="ro-RO"/>
        </w:rPr>
        <w:t xml:space="preserve"> </w:t>
      </w:r>
      <w:r w:rsidR="008A5A40" w:rsidRPr="00AA52CC">
        <w:rPr>
          <w:lang w:val="ro-RO"/>
        </w:rPr>
        <w:t>cu</w:t>
      </w:r>
      <w:r w:rsidR="008A5A40">
        <w:rPr>
          <w:lang w:val="ro-RO"/>
        </w:rPr>
        <w:t xml:space="preserve"> </w:t>
      </w:r>
      <w:r w:rsidR="008A5A40" w:rsidRPr="00AA52CC">
        <w:rPr>
          <w:lang w:val="ro-RO"/>
        </w:rPr>
        <w:t>lotus</w:t>
      </w:r>
      <w:r w:rsidR="008A5A40">
        <w:rPr>
          <w:lang w:val="ro-RO"/>
        </w:rPr>
        <w:t xml:space="preserve"> </w:t>
      </w:r>
      <w:r w:rsidR="008A5A40" w:rsidRPr="00AA52CC">
        <w:rPr>
          <w:lang w:val="ro-RO"/>
        </w:rPr>
        <w:t>(dreţe);</w:t>
      </w:r>
      <w:r w:rsidR="008A5A40">
        <w:rPr>
          <w:lang w:val="ro-RO"/>
        </w:rPr>
        <w:t xml:space="preserve"> </w:t>
      </w:r>
      <w:r w:rsidR="008A5A40" w:rsidRPr="00AA52CC">
        <w:rPr>
          <w:lang w:val="ro-RO"/>
        </w:rPr>
        <w:t>3220</w:t>
      </w:r>
      <w:r w:rsidR="008A5A40">
        <w:rPr>
          <w:lang w:val="ro-RO"/>
        </w:rPr>
        <w:t xml:space="preserve"> </w:t>
      </w:r>
      <w:r w:rsidR="008A5A40" w:rsidRPr="00AA52CC">
        <w:rPr>
          <w:lang w:val="ro-RO"/>
        </w:rPr>
        <w:t>Vegetaţie</w:t>
      </w:r>
      <w:r w:rsidR="008A5A40">
        <w:rPr>
          <w:lang w:val="ro-RO"/>
        </w:rPr>
        <w:t xml:space="preserve"> </w:t>
      </w:r>
      <w:r w:rsidR="008A5A40" w:rsidRPr="00AA52CC">
        <w:rPr>
          <w:lang w:val="ro-RO"/>
        </w:rPr>
        <w:t>herbacee</w:t>
      </w:r>
      <w:r w:rsidR="008A5A40">
        <w:rPr>
          <w:lang w:val="ro-RO"/>
        </w:rPr>
        <w:t xml:space="preserve"> </w:t>
      </w:r>
      <w:r w:rsidR="008A5A40" w:rsidRPr="00AA52CC">
        <w:rPr>
          <w:lang w:val="ro-RO"/>
        </w:rPr>
        <w:t>de</w:t>
      </w:r>
      <w:r w:rsidR="008A5A40">
        <w:rPr>
          <w:lang w:val="ro-RO"/>
        </w:rPr>
        <w:t xml:space="preserve"> </w:t>
      </w:r>
      <w:r w:rsidR="008A5A40" w:rsidRPr="00AA52CC">
        <w:rPr>
          <w:lang w:val="ro-RO"/>
        </w:rPr>
        <w:t>pe</w:t>
      </w:r>
      <w:r w:rsidR="008A5A40">
        <w:rPr>
          <w:lang w:val="ro-RO"/>
        </w:rPr>
        <w:t xml:space="preserve"> </w:t>
      </w:r>
      <w:r w:rsidR="008A5A40" w:rsidRPr="00AA52CC">
        <w:rPr>
          <w:lang w:val="ro-RO"/>
        </w:rPr>
        <w:t>malurile</w:t>
      </w:r>
      <w:r w:rsidR="008A5A40">
        <w:rPr>
          <w:lang w:val="ro-RO"/>
        </w:rPr>
        <w:t xml:space="preserve"> </w:t>
      </w:r>
      <w:r w:rsidR="008A5A40" w:rsidRPr="00AA52CC">
        <w:rPr>
          <w:lang w:val="ro-RO"/>
        </w:rPr>
        <w:t>râurilor</w:t>
      </w:r>
      <w:r w:rsidR="008A5A40">
        <w:rPr>
          <w:lang w:val="ro-RO"/>
        </w:rPr>
        <w:t xml:space="preserve"> </w:t>
      </w:r>
      <w:r w:rsidR="008A5A40" w:rsidRPr="00AA52CC">
        <w:rPr>
          <w:lang w:val="ro-RO"/>
        </w:rPr>
        <w:t xml:space="preserve">montane; 3230 Vegetaţie lemnoasă cu </w:t>
      </w:r>
      <w:r w:rsidR="008A5A40" w:rsidRPr="00AA52CC">
        <w:rPr>
          <w:i/>
          <w:lang w:val="ro-RO"/>
        </w:rPr>
        <w:t>Myricaria germanica</w:t>
      </w:r>
      <w:r w:rsidR="008A5A40" w:rsidRPr="00AA52CC">
        <w:rPr>
          <w:lang w:val="ro-RO"/>
        </w:rPr>
        <w:t xml:space="preserve"> de-a lungul râurilor montane;</w:t>
      </w:r>
      <w:r w:rsidR="008A5A40">
        <w:rPr>
          <w:lang w:val="ro-RO"/>
        </w:rPr>
        <w:t xml:space="preserve"> </w:t>
      </w:r>
      <w:r w:rsidR="008A5A40" w:rsidRPr="00AA52CC">
        <w:rPr>
          <w:lang w:val="ro-RO"/>
        </w:rPr>
        <w:t xml:space="preserve">3240 Vegetaţie lemnoasă cu </w:t>
      </w:r>
      <w:r w:rsidR="008A5A40" w:rsidRPr="00AA52CC">
        <w:rPr>
          <w:i/>
          <w:lang w:val="ro-RO"/>
        </w:rPr>
        <w:t>Salix elaeagnos</w:t>
      </w:r>
      <w:r w:rsidR="008A5A40" w:rsidRPr="00AA52CC">
        <w:rPr>
          <w:lang w:val="ro-RO"/>
        </w:rPr>
        <w:t xml:space="preserve"> de-a lungul râurilor montane; 3260 Cursuri deapă din zona de câmpie până în etajul montan, cu vegetaţie din </w:t>
      </w:r>
      <w:r w:rsidR="008A5A40" w:rsidRPr="00AA52CC">
        <w:rPr>
          <w:i/>
          <w:lang w:val="ro-RO"/>
        </w:rPr>
        <w:t>Ranunculion fluitantis</w:t>
      </w:r>
      <w:r w:rsidR="008A5A40" w:rsidRPr="00AA52CC">
        <w:rPr>
          <w:lang w:val="ro-RO"/>
        </w:rPr>
        <w:t xml:space="preserve"> şi</w:t>
      </w:r>
      <w:r w:rsidR="008A5A40">
        <w:rPr>
          <w:lang w:val="ro-RO"/>
        </w:rPr>
        <w:t xml:space="preserve"> </w:t>
      </w:r>
      <w:r w:rsidR="008A5A40" w:rsidRPr="00AA52CC">
        <w:rPr>
          <w:i/>
          <w:lang w:val="ro-RO"/>
        </w:rPr>
        <w:t>Callitricho-Batrachion</w:t>
      </w:r>
      <w:r w:rsidR="008A5A40" w:rsidRPr="00AA52CC">
        <w:rPr>
          <w:lang w:val="ro-RO"/>
        </w:rPr>
        <w:t>;</w:t>
      </w:r>
      <w:r w:rsidR="008A5A40">
        <w:rPr>
          <w:lang w:val="ro-RO"/>
        </w:rPr>
        <w:t xml:space="preserve"> </w:t>
      </w:r>
      <w:r w:rsidR="008A5A40" w:rsidRPr="00AA52CC">
        <w:rPr>
          <w:lang w:val="ro-RO"/>
        </w:rPr>
        <w:t>3270</w:t>
      </w:r>
      <w:r w:rsidR="008A5A40">
        <w:rPr>
          <w:lang w:val="ro-RO"/>
        </w:rPr>
        <w:t xml:space="preserve"> </w:t>
      </w:r>
      <w:r w:rsidR="008A5A40" w:rsidRPr="00AA52CC">
        <w:rPr>
          <w:lang w:val="ro-RO"/>
        </w:rPr>
        <w:t>Râuri</w:t>
      </w:r>
      <w:r w:rsidR="008A5A40">
        <w:rPr>
          <w:lang w:val="ro-RO"/>
        </w:rPr>
        <w:t xml:space="preserve"> </w:t>
      </w:r>
      <w:r w:rsidR="008A5A40" w:rsidRPr="00AA52CC">
        <w:rPr>
          <w:lang w:val="ro-RO"/>
        </w:rPr>
        <w:t>cu</w:t>
      </w:r>
      <w:r w:rsidR="008A5A40">
        <w:rPr>
          <w:lang w:val="ro-RO"/>
        </w:rPr>
        <w:t xml:space="preserve"> </w:t>
      </w:r>
      <w:r w:rsidR="008A5A40" w:rsidRPr="00AA52CC">
        <w:rPr>
          <w:lang w:val="ro-RO"/>
        </w:rPr>
        <w:t>maluri</w:t>
      </w:r>
      <w:r w:rsidR="008A5A40">
        <w:rPr>
          <w:lang w:val="ro-RO"/>
        </w:rPr>
        <w:t xml:space="preserve"> </w:t>
      </w:r>
      <w:r w:rsidR="008A5A40" w:rsidRPr="00AA52CC">
        <w:rPr>
          <w:lang w:val="ro-RO"/>
        </w:rPr>
        <w:t>nămoloase</w:t>
      </w:r>
      <w:r w:rsidR="008A5A40">
        <w:rPr>
          <w:lang w:val="ro-RO"/>
        </w:rPr>
        <w:t xml:space="preserve"> </w:t>
      </w:r>
      <w:r w:rsidR="008A5A40" w:rsidRPr="00AA52CC">
        <w:rPr>
          <w:lang w:val="ro-RO"/>
        </w:rPr>
        <w:t>cu</w:t>
      </w:r>
      <w:r w:rsidR="008A5A40">
        <w:rPr>
          <w:lang w:val="ro-RO"/>
        </w:rPr>
        <w:t xml:space="preserve"> </w:t>
      </w:r>
      <w:r w:rsidR="008A5A40" w:rsidRPr="00AA52CC">
        <w:rPr>
          <w:lang w:val="ro-RO"/>
        </w:rPr>
        <w:t>vegetaţie</w:t>
      </w:r>
      <w:r w:rsidR="008A5A40">
        <w:rPr>
          <w:lang w:val="ro-RO"/>
        </w:rPr>
        <w:t xml:space="preserve"> </w:t>
      </w:r>
      <w:r w:rsidR="008A5A40" w:rsidRPr="00AA52CC">
        <w:rPr>
          <w:lang w:val="ro-RO"/>
        </w:rPr>
        <w:t>din</w:t>
      </w:r>
      <w:r w:rsidR="008A5A40">
        <w:rPr>
          <w:lang w:val="ro-RO"/>
        </w:rPr>
        <w:t xml:space="preserve"> </w:t>
      </w:r>
      <w:r w:rsidR="008A5A40" w:rsidRPr="00AA52CC">
        <w:rPr>
          <w:i/>
          <w:lang w:val="ro-RO"/>
        </w:rPr>
        <w:t>Chenopodion rubri</w:t>
      </w:r>
      <w:r w:rsidR="008A5A40" w:rsidRPr="00AA52CC">
        <w:rPr>
          <w:lang w:val="ro-RO"/>
        </w:rPr>
        <w:t xml:space="preserve"> </w:t>
      </w:r>
      <w:r w:rsidR="008A5A40" w:rsidRPr="00AA52CC">
        <w:rPr>
          <w:i/>
          <w:lang w:val="ro-RO"/>
        </w:rPr>
        <w:t>p.p</w:t>
      </w:r>
      <w:r w:rsidR="008A5A40" w:rsidRPr="00AA52CC">
        <w:rPr>
          <w:lang w:val="ro-RO"/>
        </w:rPr>
        <w:t>.şi</w:t>
      </w:r>
      <w:r w:rsidR="008A5A40">
        <w:rPr>
          <w:lang w:val="ro-RO"/>
        </w:rPr>
        <w:t xml:space="preserve"> </w:t>
      </w:r>
      <w:r w:rsidR="008A5A40" w:rsidRPr="00AA52CC">
        <w:rPr>
          <w:i/>
          <w:lang w:val="ro-RO"/>
        </w:rPr>
        <w:t>Bidention p.p</w:t>
      </w:r>
      <w:r w:rsidR="008A5A40" w:rsidRPr="00AA52CC">
        <w:rPr>
          <w:lang w:val="ro-RO"/>
        </w:rPr>
        <w:t>..</w:t>
      </w:r>
    </w:p>
    <w:p w14:paraId="3B9359D6" w14:textId="77777777" w:rsidR="008A5A40" w:rsidRPr="00C56257" w:rsidRDefault="008A5A40" w:rsidP="00F100E1">
      <w:pPr>
        <w:spacing w:after="160" w:line="259" w:lineRule="auto"/>
        <w:ind w:right="769"/>
        <w:jc w:val="both"/>
        <w:rPr>
          <w:b/>
          <w:bCs/>
          <w:color w:val="000000" w:themeColor="text1"/>
        </w:rPr>
      </w:pPr>
    </w:p>
    <w:p w14:paraId="1EEA3652" w14:textId="77777777" w:rsidR="00804D0E" w:rsidRPr="00C56257" w:rsidRDefault="007B325C" w:rsidP="00FA0AE6">
      <w:pPr>
        <w:spacing w:after="160" w:line="259" w:lineRule="auto"/>
        <w:jc w:val="both"/>
        <w:rPr>
          <w:b/>
          <w:bCs/>
          <w:color w:val="000000" w:themeColor="text1"/>
        </w:rPr>
      </w:pPr>
      <w:r>
        <w:rPr>
          <w:b/>
          <w:bCs/>
          <w:color w:val="000000" w:themeColor="text1"/>
        </w:rPr>
        <w:t>4.1</w:t>
      </w:r>
      <w:r w:rsidR="00C8397C" w:rsidRPr="00C56257">
        <w:rPr>
          <w:b/>
          <w:bCs/>
          <w:color w:val="000000" w:themeColor="text1"/>
        </w:rPr>
        <w:t xml:space="preserve"> Protocol de monitorizare a stării de conservare a habitatelor de apă dulce</w:t>
      </w:r>
    </w:p>
    <w:p w14:paraId="1A329785" w14:textId="77777777" w:rsidR="007D2E1E" w:rsidRPr="00C56257" w:rsidRDefault="007D2E1E" w:rsidP="00FA0AE6">
      <w:pPr>
        <w:widowControl w:val="0"/>
        <w:autoSpaceDE w:val="0"/>
        <w:autoSpaceDN w:val="0"/>
        <w:spacing w:before="68"/>
        <w:jc w:val="both"/>
        <w:outlineLvl w:val="1"/>
        <w:rPr>
          <w:rFonts w:eastAsia="Cambria"/>
          <w:b/>
          <w:bCs/>
          <w:color w:val="000000" w:themeColor="text1"/>
        </w:rPr>
      </w:pPr>
      <w:r w:rsidRPr="00C56257">
        <w:rPr>
          <w:rFonts w:eastAsia="Cambria"/>
          <w:b/>
          <w:bCs/>
          <w:color w:val="000000" w:themeColor="text1"/>
        </w:rPr>
        <w:t>Alegerea și distribuția ploturilor se va face în funcție de perioadele optime de culegere a</w:t>
      </w:r>
      <w:r w:rsidRPr="00C56257">
        <w:rPr>
          <w:rFonts w:eastAsia="Cambria"/>
          <w:b/>
          <w:bCs/>
          <w:color w:val="000000" w:themeColor="text1"/>
          <w:spacing w:val="1"/>
        </w:rPr>
        <w:t xml:space="preserve"> </w:t>
      </w:r>
      <w:r w:rsidRPr="00C56257">
        <w:rPr>
          <w:rFonts w:eastAsia="Cambria"/>
          <w:b/>
          <w:bCs/>
          <w:color w:val="000000" w:themeColor="text1"/>
        </w:rPr>
        <w:t>datelor.</w:t>
      </w:r>
    </w:p>
    <w:p w14:paraId="21EB97D8" w14:textId="77777777" w:rsidR="007D2E1E" w:rsidRPr="00C56257" w:rsidRDefault="00F52FE8" w:rsidP="00FA0AE6">
      <w:pPr>
        <w:widowControl w:val="0"/>
        <w:autoSpaceDE w:val="0"/>
        <w:autoSpaceDN w:val="0"/>
        <w:jc w:val="both"/>
        <w:rPr>
          <w:color w:val="000000" w:themeColor="text1"/>
        </w:rPr>
      </w:pPr>
      <w:r>
        <w:rPr>
          <w:color w:val="000000" w:themeColor="text1"/>
        </w:rPr>
        <w:t>M</w:t>
      </w:r>
      <w:r w:rsidR="007D2E1E" w:rsidRPr="00C56257">
        <w:rPr>
          <w:color w:val="000000" w:themeColor="text1"/>
        </w:rPr>
        <w:t>onitorizarea habitatelor de apă dulce</w:t>
      </w:r>
      <w:r w:rsidR="007D2E1E" w:rsidRPr="00C56257">
        <w:rPr>
          <w:color w:val="000000" w:themeColor="text1"/>
          <w:spacing w:val="1"/>
        </w:rPr>
        <w:t xml:space="preserve"> </w:t>
      </w:r>
      <w:r w:rsidR="007D2E1E" w:rsidRPr="00C56257">
        <w:rPr>
          <w:color w:val="000000" w:themeColor="text1"/>
        </w:rPr>
        <w:t>se realizează la nivel național, în</w:t>
      </w:r>
      <w:r w:rsidR="007D2E1E" w:rsidRPr="00C56257">
        <w:rPr>
          <w:color w:val="000000" w:themeColor="text1"/>
          <w:spacing w:val="1"/>
        </w:rPr>
        <w:t xml:space="preserve"> </w:t>
      </w:r>
      <w:r w:rsidR="007D2E1E" w:rsidRPr="00C56257">
        <w:rPr>
          <w:color w:val="000000" w:themeColor="text1"/>
        </w:rPr>
        <w:t>interiorul</w:t>
      </w:r>
      <w:r w:rsidR="007D2E1E" w:rsidRPr="00C56257">
        <w:rPr>
          <w:color w:val="000000" w:themeColor="text1"/>
          <w:spacing w:val="1"/>
        </w:rPr>
        <w:t xml:space="preserve"> </w:t>
      </w:r>
      <w:r w:rsidR="007D2E1E" w:rsidRPr="00C56257">
        <w:rPr>
          <w:color w:val="000000" w:themeColor="text1"/>
        </w:rPr>
        <w:t>și</w:t>
      </w:r>
      <w:r w:rsidR="007D2E1E" w:rsidRPr="00C56257">
        <w:rPr>
          <w:color w:val="000000" w:themeColor="text1"/>
          <w:spacing w:val="1"/>
        </w:rPr>
        <w:t xml:space="preserve"> </w:t>
      </w:r>
      <w:r w:rsidR="007D2E1E" w:rsidRPr="00C56257">
        <w:rPr>
          <w:color w:val="000000" w:themeColor="text1"/>
        </w:rPr>
        <w:t>în</w:t>
      </w:r>
      <w:r w:rsidR="007D2E1E" w:rsidRPr="00C56257">
        <w:rPr>
          <w:color w:val="000000" w:themeColor="text1"/>
          <w:spacing w:val="1"/>
        </w:rPr>
        <w:t xml:space="preserve"> </w:t>
      </w:r>
      <w:r w:rsidR="007D2E1E" w:rsidRPr="00C56257">
        <w:rPr>
          <w:color w:val="000000" w:themeColor="text1"/>
        </w:rPr>
        <w:t>exteriorul</w:t>
      </w:r>
      <w:r w:rsidR="007D2E1E" w:rsidRPr="00C56257">
        <w:rPr>
          <w:color w:val="000000" w:themeColor="text1"/>
          <w:spacing w:val="1"/>
        </w:rPr>
        <w:t xml:space="preserve"> </w:t>
      </w:r>
      <w:r w:rsidR="007D2E1E" w:rsidRPr="00C56257">
        <w:rPr>
          <w:color w:val="000000" w:themeColor="text1"/>
        </w:rPr>
        <w:t>rețelei</w:t>
      </w:r>
      <w:r w:rsidR="007D2E1E" w:rsidRPr="00C56257">
        <w:rPr>
          <w:color w:val="000000" w:themeColor="text1"/>
          <w:spacing w:val="1"/>
        </w:rPr>
        <w:t xml:space="preserve"> </w:t>
      </w:r>
      <w:r w:rsidR="007D2E1E" w:rsidRPr="00C56257">
        <w:rPr>
          <w:color w:val="000000" w:themeColor="text1"/>
        </w:rPr>
        <w:t>Natura</w:t>
      </w:r>
      <w:r w:rsidR="007D2E1E" w:rsidRPr="00C56257">
        <w:rPr>
          <w:color w:val="000000" w:themeColor="text1"/>
          <w:spacing w:val="1"/>
        </w:rPr>
        <w:t xml:space="preserve"> </w:t>
      </w:r>
      <w:r w:rsidR="007D2E1E" w:rsidRPr="00C56257">
        <w:rPr>
          <w:color w:val="000000" w:themeColor="text1"/>
        </w:rPr>
        <w:t>2000,</w:t>
      </w:r>
      <w:r w:rsidR="007D2E1E" w:rsidRPr="00C56257">
        <w:rPr>
          <w:color w:val="000000" w:themeColor="text1"/>
          <w:spacing w:val="1"/>
        </w:rPr>
        <w:t xml:space="preserve"> </w:t>
      </w:r>
      <w:r w:rsidR="007D2E1E" w:rsidRPr="00C56257">
        <w:rPr>
          <w:color w:val="000000" w:themeColor="text1"/>
        </w:rPr>
        <w:t>în</w:t>
      </w:r>
      <w:r w:rsidR="007D2E1E" w:rsidRPr="00C56257">
        <w:rPr>
          <w:color w:val="000000" w:themeColor="text1"/>
          <w:spacing w:val="1"/>
        </w:rPr>
        <w:t xml:space="preserve"> </w:t>
      </w:r>
      <w:r w:rsidR="007D2E1E" w:rsidRPr="00C56257">
        <w:rPr>
          <w:color w:val="000000" w:themeColor="text1"/>
        </w:rPr>
        <w:t>funcție</w:t>
      </w:r>
      <w:r w:rsidR="007D2E1E" w:rsidRPr="00C56257">
        <w:rPr>
          <w:color w:val="000000" w:themeColor="text1"/>
          <w:spacing w:val="1"/>
        </w:rPr>
        <w:t xml:space="preserve"> </w:t>
      </w:r>
      <w:r w:rsidR="007D2E1E" w:rsidRPr="00C56257">
        <w:rPr>
          <w:color w:val="000000" w:themeColor="text1"/>
        </w:rPr>
        <w:t>de</w:t>
      </w:r>
      <w:r w:rsidR="007D2E1E" w:rsidRPr="00C56257">
        <w:rPr>
          <w:color w:val="000000" w:themeColor="text1"/>
          <w:spacing w:val="1"/>
        </w:rPr>
        <w:t xml:space="preserve"> </w:t>
      </w:r>
      <w:r w:rsidR="007D2E1E" w:rsidRPr="00C56257">
        <w:rPr>
          <w:color w:val="000000" w:themeColor="text1"/>
        </w:rPr>
        <w:t>distribuția</w:t>
      </w:r>
      <w:r w:rsidR="007D2E1E" w:rsidRPr="00C56257">
        <w:rPr>
          <w:color w:val="000000" w:themeColor="text1"/>
          <w:spacing w:val="1"/>
        </w:rPr>
        <w:t xml:space="preserve"> </w:t>
      </w:r>
      <w:r w:rsidR="007D2E1E" w:rsidRPr="00C56257">
        <w:rPr>
          <w:color w:val="000000" w:themeColor="text1"/>
        </w:rPr>
        <w:t>habitatelor</w:t>
      </w:r>
      <w:r w:rsidR="007D2E1E" w:rsidRPr="00C56257">
        <w:rPr>
          <w:color w:val="000000" w:themeColor="text1"/>
          <w:spacing w:val="1"/>
        </w:rPr>
        <w:t xml:space="preserve"> </w:t>
      </w:r>
      <w:r w:rsidR="007D2E1E" w:rsidRPr="00C56257">
        <w:rPr>
          <w:color w:val="000000" w:themeColor="text1"/>
        </w:rPr>
        <w:t>pe</w:t>
      </w:r>
      <w:r w:rsidR="007D2E1E" w:rsidRPr="00C56257">
        <w:rPr>
          <w:color w:val="000000" w:themeColor="text1"/>
          <w:spacing w:val="1"/>
        </w:rPr>
        <w:t xml:space="preserve"> </w:t>
      </w:r>
      <w:r w:rsidR="007D2E1E" w:rsidRPr="00C56257">
        <w:rPr>
          <w:color w:val="000000" w:themeColor="text1"/>
        </w:rPr>
        <w:t>regiuni</w:t>
      </w:r>
      <w:r w:rsidR="007D2E1E" w:rsidRPr="00C56257">
        <w:rPr>
          <w:color w:val="000000" w:themeColor="text1"/>
          <w:spacing w:val="1"/>
        </w:rPr>
        <w:t xml:space="preserve"> </w:t>
      </w:r>
      <w:r w:rsidR="007D2E1E" w:rsidRPr="00C56257">
        <w:rPr>
          <w:color w:val="000000" w:themeColor="text1"/>
        </w:rPr>
        <w:t>biogeografice.</w:t>
      </w:r>
    </w:p>
    <w:p w14:paraId="662CFABB" w14:textId="77777777" w:rsidR="007D2E1E" w:rsidRPr="00C56257" w:rsidRDefault="007D2E1E" w:rsidP="00FA0AE6">
      <w:pPr>
        <w:widowControl w:val="0"/>
        <w:autoSpaceDE w:val="0"/>
        <w:autoSpaceDN w:val="0"/>
        <w:jc w:val="both"/>
        <w:rPr>
          <w:color w:val="000000" w:themeColor="text1"/>
        </w:rPr>
      </w:pPr>
      <w:r w:rsidRPr="00C56257">
        <w:rPr>
          <w:color w:val="000000" w:themeColor="text1"/>
        </w:rPr>
        <w:t>În tabelul de mai jos sunt redate habitatele de apă</w:t>
      </w:r>
      <w:r w:rsidRPr="00C56257">
        <w:rPr>
          <w:color w:val="000000" w:themeColor="text1"/>
          <w:spacing w:val="1"/>
        </w:rPr>
        <w:t xml:space="preserve"> </w:t>
      </w:r>
      <w:r w:rsidRPr="00C56257">
        <w:rPr>
          <w:color w:val="000000" w:themeColor="text1"/>
        </w:rPr>
        <w:t>dulce</w:t>
      </w:r>
      <w:r w:rsidRPr="00C56257">
        <w:rPr>
          <w:color w:val="000000" w:themeColor="text1"/>
          <w:spacing w:val="1"/>
        </w:rPr>
        <w:t xml:space="preserve"> </w:t>
      </w:r>
      <w:r w:rsidRPr="00C56257">
        <w:rPr>
          <w:color w:val="000000" w:themeColor="text1"/>
        </w:rPr>
        <w:t xml:space="preserve">de interes comunitar care fac </w:t>
      </w:r>
      <w:r w:rsidR="00101046">
        <w:rPr>
          <w:color w:val="000000" w:themeColor="text1"/>
        </w:rPr>
        <w:t>obiectul prezentei metodologii</w:t>
      </w:r>
      <w:r w:rsidRPr="00C56257">
        <w:rPr>
          <w:color w:val="000000" w:themeColor="text1"/>
        </w:rPr>
        <w:t>:</w:t>
      </w:r>
    </w:p>
    <w:p w14:paraId="669BB9CA" w14:textId="77777777" w:rsidR="007D2E1E" w:rsidRPr="00C56257" w:rsidRDefault="007D2E1E" w:rsidP="008E33FD">
      <w:pPr>
        <w:widowControl w:val="0"/>
        <w:autoSpaceDE w:val="0"/>
        <w:autoSpaceDN w:val="0"/>
        <w:spacing w:before="2"/>
        <w:jc w:val="both"/>
        <w:rPr>
          <w:color w:val="000000" w:themeColor="text1"/>
        </w:rPr>
      </w:pPr>
    </w:p>
    <w:tbl>
      <w:tblPr>
        <w:tblW w:w="946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07"/>
        <w:gridCol w:w="708"/>
        <w:gridCol w:w="709"/>
        <w:gridCol w:w="711"/>
        <w:gridCol w:w="766"/>
        <w:gridCol w:w="668"/>
      </w:tblGrid>
      <w:tr w:rsidR="007D2E1E" w:rsidRPr="00C56257" w14:paraId="2931EA2A" w14:textId="77777777" w:rsidTr="00F52FE8">
        <w:trPr>
          <w:trHeight w:val="254"/>
        </w:trPr>
        <w:tc>
          <w:tcPr>
            <w:tcW w:w="5907" w:type="dxa"/>
            <w:vMerge w:val="restart"/>
          </w:tcPr>
          <w:p w14:paraId="7F335CC3" w14:textId="77777777" w:rsidR="007D2E1E" w:rsidRPr="00C56257" w:rsidRDefault="007D2E1E" w:rsidP="008E33FD">
            <w:pPr>
              <w:widowControl w:val="0"/>
              <w:autoSpaceDE w:val="0"/>
              <w:autoSpaceDN w:val="0"/>
              <w:spacing w:before="130"/>
              <w:jc w:val="both"/>
              <w:rPr>
                <w:b/>
                <w:color w:val="000000" w:themeColor="text1"/>
              </w:rPr>
            </w:pPr>
            <w:r w:rsidRPr="00C56257">
              <w:rPr>
                <w:b/>
                <w:color w:val="000000" w:themeColor="text1"/>
              </w:rPr>
              <w:t>Denumirea</w:t>
            </w:r>
            <w:r w:rsidRPr="00C56257">
              <w:rPr>
                <w:b/>
                <w:color w:val="000000" w:themeColor="text1"/>
                <w:spacing w:val="-2"/>
              </w:rPr>
              <w:t xml:space="preserve"> </w:t>
            </w:r>
            <w:r w:rsidRPr="00C56257">
              <w:rPr>
                <w:b/>
                <w:color w:val="000000" w:themeColor="text1"/>
              </w:rPr>
              <w:t>şi codul</w:t>
            </w:r>
            <w:r w:rsidRPr="00C56257">
              <w:rPr>
                <w:b/>
                <w:color w:val="000000" w:themeColor="text1"/>
                <w:spacing w:val="-1"/>
              </w:rPr>
              <w:t xml:space="preserve"> </w:t>
            </w:r>
            <w:r w:rsidRPr="00C56257">
              <w:rPr>
                <w:b/>
                <w:color w:val="000000" w:themeColor="text1"/>
              </w:rPr>
              <w:t>Natura</w:t>
            </w:r>
            <w:r w:rsidRPr="00C56257">
              <w:rPr>
                <w:b/>
                <w:color w:val="000000" w:themeColor="text1"/>
                <w:spacing w:val="-1"/>
              </w:rPr>
              <w:t xml:space="preserve"> </w:t>
            </w:r>
            <w:r w:rsidRPr="00C56257">
              <w:rPr>
                <w:b/>
                <w:color w:val="000000" w:themeColor="text1"/>
              </w:rPr>
              <w:t>2000</w:t>
            </w:r>
          </w:p>
        </w:tc>
        <w:tc>
          <w:tcPr>
            <w:tcW w:w="3562" w:type="dxa"/>
            <w:gridSpan w:val="5"/>
          </w:tcPr>
          <w:p w14:paraId="707A91A2" w14:textId="77777777" w:rsidR="007D2E1E" w:rsidRPr="00C56257" w:rsidRDefault="007D2E1E" w:rsidP="008E33FD">
            <w:pPr>
              <w:widowControl w:val="0"/>
              <w:autoSpaceDE w:val="0"/>
              <w:autoSpaceDN w:val="0"/>
              <w:spacing w:line="234" w:lineRule="exact"/>
              <w:jc w:val="both"/>
              <w:rPr>
                <w:b/>
                <w:color w:val="000000" w:themeColor="text1"/>
              </w:rPr>
            </w:pPr>
            <w:r w:rsidRPr="00C56257">
              <w:rPr>
                <w:b/>
                <w:color w:val="000000" w:themeColor="text1"/>
              </w:rPr>
              <w:t>Prezenţa</w:t>
            </w:r>
            <w:r w:rsidRPr="00C56257">
              <w:rPr>
                <w:b/>
                <w:color w:val="000000" w:themeColor="text1"/>
                <w:spacing w:val="-5"/>
              </w:rPr>
              <w:t xml:space="preserve"> </w:t>
            </w:r>
            <w:r w:rsidRPr="00C56257">
              <w:rPr>
                <w:b/>
                <w:color w:val="000000" w:themeColor="text1"/>
              </w:rPr>
              <w:t>în</w:t>
            </w:r>
            <w:r w:rsidRPr="00C56257">
              <w:rPr>
                <w:b/>
                <w:color w:val="000000" w:themeColor="text1"/>
                <w:spacing w:val="-1"/>
              </w:rPr>
              <w:t xml:space="preserve"> </w:t>
            </w:r>
            <w:r w:rsidRPr="00C56257">
              <w:rPr>
                <w:b/>
                <w:color w:val="000000" w:themeColor="text1"/>
              </w:rPr>
              <w:t>regiunea</w:t>
            </w:r>
            <w:r w:rsidRPr="00C56257">
              <w:rPr>
                <w:b/>
                <w:color w:val="000000" w:themeColor="text1"/>
                <w:spacing w:val="-3"/>
              </w:rPr>
              <w:t xml:space="preserve"> </w:t>
            </w:r>
            <w:r w:rsidRPr="00C56257">
              <w:rPr>
                <w:b/>
                <w:color w:val="000000" w:themeColor="text1"/>
              </w:rPr>
              <w:t>biogeografică</w:t>
            </w:r>
          </w:p>
        </w:tc>
      </w:tr>
      <w:tr w:rsidR="007D2E1E" w:rsidRPr="00C56257" w14:paraId="3E9AC999" w14:textId="77777777" w:rsidTr="00F52FE8">
        <w:trPr>
          <w:trHeight w:val="251"/>
        </w:trPr>
        <w:tc>
          <w:tcPr>
            <w:tcW w:w="5907" w:type="dxa"/>
            <w:vMerge/>
            <w:tcBorders>
              <w:top w:val="nil"/>
            </w:tcBorders>
          </w:tcPr>
          <w:p w14:paraId="7AF11FE7" w14:textId="77777777" w:rsidR="007D2E1E" w:rsidRPr="00C56257" w:rsidRDefault="007D2E1E" w:rsidP="008E33FD">
            <w:pPr>
              <w:widowControl w:val="0"/>
              <w:autoSpaceDE w:val="0"/>
              <w:autoSpaceDN w:val="0"/>
              <w:jc w:val="both"/>
              <w:rPr>
                <w:color w:val="000000" w:themeColor="text1"/>
              </w:rPr>
            </w:pPr>
          </w:p>
        </w:tc>
        <w:tc>
          <w:tcPr>
            <w:tcW w:w="708" w:type="dxa"/>
          </w:tcPr>
          <w:p w14:paraId="0F61C82C" w14:textId="77777777" w:rsidR="007D2E1E" w:rsidRPr="00C56257" w:rsidRDefault="007D2E1E" w:rsidP="008E33FD">
            <w:pPr>
              <w:widowControl w:val="0"/>
              <w:autoSpaceDE w:val="0"/>
              <w:autoSpaceDN w:val="0"/>
              <w:spacing w:line="232" w:lineRule="exact"/>
              <w:jc w:val="both"/>
              <w:rPr>
                <w:b/>
                <w:color w:val="000000" w:themeColor="text1"/>
              </w:rPr>
            </w:pPr>
            <w:r w:rsidRPr="00C56257">
              <w:rPr>
                <w:b/>
                <w:color w:val="000000" w:themeColor="text1"/>
              </w:rPr>
              <w:t>PAN</w:t>
            </w:r>
          </w:p>
        </w:tc>
        <w:tc>
          <w:tcPr>
            <w:tcW w:w="709" w:type="dxa"/>
          </w:tcPr>
          <w:p w14:paraId="3548FF26" w14:textId="77777777" w:rsidR="007D2E1E" w:rsidRPr="00C56257" w:rsidRDefault="007D2E1E" w:rsidP="008E33FD">
            <w:pPr>
              <w:widowControl w:val="0"/>
              <w:autoSpaceDE w:val="0"/>
              <w:autoSpaceDN w:val="0"/>
              <w:spacing w:line="232" w:lineRule="exact"/>
              <w:ind w:right="115"/>
              <w:jc w:val="both"/>
              <w:rPr>
                <w:b/>
                <w:color w:val="000000" w:themeColor="text1"/>
              </w:rPr>
            </w:pPr>
            <w:r w:rsidRPr="00C56257">
              <w:rPr>
                <w:b/>
                <w:color w:val="000000" w:themeColor="text1"/>
              </w:rPr>
              <w:t>CON</w:t>
            </w:r>
          </w:p>
        </w:tc>
        <w:tc>
          <w:tcPr>
            <w:tcW w:w="711" w:type="dxa"/>
          </w:tcPr>
          <w:p w14:paraId="4C71335D" w14:textId="77777777" w:rsidR="007D2E1E" w:rsidRPr="00C56257" w:rsidRDefault="007D2E1E" w:rsidP="008E33FD">
            <w:pPr>
              <w:widowControl w:val="0"/>
              <w:autoSpaceDE w:val="0"/>
              <w:autoSpaceDN w:val="0"/>
              <w:spacing w:line="232" w:lineRule="exact"/>
              <w:ind w:right="105"/>
              <w:jc w:val="both"/>
              <w:rPr>
                <w:b/>
                <w:color w:val="000000" w:themeColor="text1"/>
              </w:rPr>
            </w:pPr>
            <w:r w:rsidRPr="00C56257">
              <w:rPr>
                <w:b/>
                <w:color w:val="000000" w:themeColor="text1"/>
              </w:rPr>
              <w:t>ALP</w:t>
            </w:r>
          </w:p>
        </w:tc>
        <w:tc>
          <w:tcPr>
            <w:tcW w:w="766" w:type="dxa"/>
          </w:tcPr>
          <w:p w14:paraId="2DCC5978" w14:textId="77777777" w:rsidR="007D2E1E" w:rsidRPr="00C56257" w:rsidRDefault="007D2E1E" w:rsidP="008E33FD">
            <w:pPr>
              <w:widowControl w:val="0"/>
              <w:autoSpaceDE w:val="0"/>
              <w:autoSpaceDN w:val="0"/>
              <w:spacing w:line="232" w:lineRule="exact"/>
              <w:ind w:right="143"/>
              <w:jc w:val="both"/>
              <w:rPr>
                <w:b/>
                <w:color w:val="000000" w:themeColor="text1"/>
              </w:rPr>
            </w:pPr>
            <w:r w:rsidRPr="00C56257">
              <w:rPr>
                <w:b/>
                <w:color w:val="000000" w:themeColor="text1"/>
              </w:rPr>
              <w:t>STE</w:t>
            </w:r>
          </w:p>
        </w:tc>
        <w:tc>
          <w:tcPr>
            <w:tcW w:w="668" w:type="dxa"/>
          </w:tcPr>
          <w:p w14:paraId="13910C8A" w14:textId="77777777" w:rsidR="007D2E1E" w:rsidRPr="00C56257" w:rsidRDefault="007D2E1E" w:rsidP="008E33FD">
            <w:pPr>
              <w:widowControl w:val="0"/>
              <w:autoSpaceDE w:val="0"/>
              <w:autoSpaceDN w:val="0"/>
              <w:spacing w:line="232" w:lineRule="exact"/>
              <w:ind w:right="111"/>
              <w:jc w:val="both"/>
              <w:rPr>
                <w:b/>
                <w:color w:val="000000" w:themeColor="text1"/>
              </w:rPr>
            </w:pPr>
            <w:r w:rsidRPr="00C56257">
              <w:rPr>
                <w:b/>
                <w:color w:val="000000" w:themeColor="text1"/>
              </w:rPr>
              <w:t>PON</w:t>
            </w:r>
          </w:p>
        </w:tc>
      </w:tr>
      <w:tr w:rsidR="007D2E1E" w:rsidRPr="00C56257" w14:paraId="64413DBB" w14:textId="77777777" w:rsidTr="00F52FE8">
        <w:trPr>
          <w:trHeight w:val="760"/>
        </w:trPr>
        <w:tc>
          <w:tcPr>
            <w:tcW w:w="5907" w:type="dxa"/>
          </w:tcPr>
          <w:p w14:paraId="5334C6A7" w14:textId="77777777" w:rsidR="007D2E1E" w:rsidRPr="00C56257" w:rsidRDefault="007D2E1E" w:rsidP="008E33FD">
            <w:pPr>
              <w:widowControl w:val="0"/>
              <w:autoSpaceDE w:val="0"/>
              <w:autoSpaceDN w:val="0"/>
              <w:spacing w:line="247" w:lineRule="exact"/>
              <w:jc w:val="both"/>
              <w:rPr>
                <w:color w:val="000000" w:themeColor="text1"/>
              </w:rPr>
            </w:pPr>
            <w:r w:rsidRPr="00C56257">
              <w:rPr>
                <w:color w:val="000000" w:themeColor="text1"/>
              </w:rPr>
              <w:t>3130</w:t>
            </w:r>
            <w:r w:rsidRPr="00C56257">
              <w:rPr>
                <w:color w:val="000000" w:themeColor="text1"/>
                <w:spacing w:val="-2"/>
              </w:rPr>
              <w:t xml:space="preserve"> </w:t>
            </w:r>
            <w:r w:rsidRPr="00C56257">
              <w:rPr>
                <w:color w:val="000000" w:themeColor="text1"/>
              </w:rPr>
              <w:t>-</w:t>
            </w:r>
            <w:r w:rsidRPr="00C56257">
              <w:rPr>
                <w:color w:val="000000" w:themeColor="text1"/>
                <w:spacing w:val="-4"/>
              </w:rPr>
              <w:t xml:space="preserve"> </w:t>
            </w:r>
            <w:r w:rsidRPr="00C56257">
              <w:rPr>
                <w:color w:val="000000" w:themeColor="text1"/>
              </w:rPr>
              <w:t>Ape</w:t>
            </w:r>
            <w:r w:rsidRPr="00C56257">
              <w:rPr>
                <w:color w:val="000000" w:themeColor="text1"/>
                <w:spacing w:val="-1"/>
              </w:rPr>
              <w:t xml:space="preserve"> </w:t>
            </w:r>
            <w:r w:rsidRPr="00C56257">
              <w:rPr>
                <w:color w:val="000000" w:themeColor="text1"/>
              </w:rPr>
              <w:t>stătătoare</w:t>
            </w:r>
            <w:r w:rsidRPr="00C56257">
              <w:rPr>
                <w:color w:val="000000" w:themeColor="text1"/>
                <w:spacing w:val="-3"/>
              </w:rPr>
              <w:t xml:space="preserve"> </w:t>
            </w:r>
            <w:r w:rsidRPr="00C56257">
              <w:rPr>
                <w:color w:val="000000" w:themeColor="text1"/>
              </w:rPr>
              <w:t>oligotrofice</w:t>
            </w:r>
            <w:r w:rsidRPr="00C56257">
              <w:rPr>
                <w:color w:val="000000" w:themeColor="text1"/>
                <w:spacing w:val="-3"/>
              </w:rPr>
              <w:t xml:space="preserve"> </w:t>
            </w:r>
            <w:r w:rsidRPr="00C56257">
              <w:rPr>
                <w:color w:val="000000" w:themeColor="text1"/>
              </w:rPr>
              <w:t>până</w:t>
            </w:r>
            <w:r w:rsidRPr="00C56257">
              <w:rPr>
                <w:color w:val="000000" w:themeColor="text1"/>
                <w:spacing w:val="-3"/>
              </w:rPr>
              <w:t xml:space="preserve"> </w:t>
            </w:r>
            <w:r w:rsidRPr="00C56257">
              <w:rPr>
                <w:color w:val="000000" w:themeColor="text1"/>
              </w:rPr>
              <w:t>la</w:t>
            </w:r>
            <w:r w:rsidRPr="00C56257">
              <w:rPr>
                <w:color w:val="000000" w:themeColor="text1"/>
                <w:spacing w:val="-1"/>
              </w:rPr>
              <w:t xml:space="preserve"> </w:t>
            </w:r>
            <w:r w:rsidRPr="00C56257">
              <w:rPr>
                <w:color w:val="000000" w:themeColor="text1"/>
              </w:rPr>
              <w:t>mezotrofice</w:t>
            </w:r>
            <w:r w:rsidRPr="00C56257">
              <w:rPr>
                <w:color w:val="000000" w:themeColor="text1"/>
                <w:spacing w:val="-1"/>
              </w:rPr>
              <w:t xml:space="preserve"> </w:t>
            </w:r>
            <w:r w:rsidRPr="00C56257">
              <w:rPr>
                <w:color w:val="000000" w:themeColor="text1"/>
              </w:rPr>
              <w:t>cu</w:t>
            </w:r>
          </w:p>
          <w:p w14:paraId="2AB5C6DE" w14:textId="77777777" w:rsidR="007D2E1E" w:rsidRPr="00C56257" w:rsidRDefault="007D2E1E" w:rsidP="008E33FD">
            <w:pPr>
              <w:widowControl w:val="0"/>
              <w:autoSpaceDE w:val="0"/>
              <w:autoSpaceDN w:val="0"/>
              <w:spacing w:line="252" w:lineRule="exact"/>
              <w:ind w:right="1319"/>
              <w:jc w:val="both"/>
              <w:rPr>
                <w:i/>
                <w:color w:val="000000" w:themeColor="text1"/>
              </w:rPr>
            </w:pPr>
            <w:r w:rsidRPr="00C56257">
              <w:rPr>
                <w:color w:val="000000" w:themeColor="text1"/>
              </w:rPr>
              <w:t xml:space="preserve">Vegetația din </w:t>
            </w:r>
            <w:r w:rsidRPr="00C56257">
              <w:rPr>
                <w:i/>
                <w:color w:val="000000" w:themeColor="text1"/>
              </w:rPr>
              <w:t xml:space="preserve">Littorelletea </w:t>
            </w:r>
            <w:r w:rsidRPr="003100FE">
              <w:rPr>
                <w:i/>
                <w:color w:val="000000" w:themeColor="text1"/>
              </w:rPr>
              <w:t>uniflorae</w:t>
            </w:r>
            <w:r w:rsidRPr="00C56257">
              <w:rPr>
                <w:color w:val="000000" w:themeColor="text1"/>
              </w:rPr>
              <w:t xml:space="preserve"> şi/sau </w:t>
            </w:r>
            <w:r w:rsidRPr="00C56257">
              <w:rPr>
                <w:i/>
                <w:color w:val="000000" w:themeColor="text1"/>
              </w:rPr>
              <w:t>Isoeto-</w:t>
            </w:r>
            <w:r w:rsidRPr="00C56257">
              <w:rPr>
                <w:i/>
                <w:color w:val="000000" w:themeColor="text1"/>
                <w:spacing w:val="-52"/>
              </w:rPr>
              <w:t xml:space="preserve"> </w:t>
            </w:r>
            <w:r w:rsidRPr="00C56257">
              <w:rPr>
                <w:i/>
                <w:color w:val="000000" w:themeColor="text1"/>
              </w:rPr>
              <w:t>Nanojuncetea</w:t>
            </w:r>
          </w:p>
        </w:tc>
        <w:tc>
          <w:tcPr>
            <w:tcW w:w="708" w:type="dxa"/>
            <w:shd w:val="clear" w:color="auto" w:fill="D9D9D9"/>
          </w:tcPr>
          <w:p w14:paraId="1A9AF018" w14:textId="77777777" w:rsidR="007D2E1E" w:rsidRPr="00C56257" w:rsidRDefault="007D2E1E" w:rsidP="008E33FD">
            <w:pPr>
              <w:widowControl w:val="0"/>
              <w:autoSpaceDE w:val="0"/>
              <w:autoSpaceDN w:val="0"/>
              <w:jc w:val="both"/>
              <w:rPr>
                <w:color w:val="000000" w:themeColor="text1"/>
              </w:rPr>
            </w:pPr>
          </w:p>
          <w:p w14:paraId="44F97A19" w14:textId="77777777" w:rsidR="007D2E1E" w:rsidRPr="00C56257" w:rsidRDefault="007D2E1E" w:rsidP="008E33FD">
            <w:pPr>
              <w:widowControl w:val="0"/>
              <w:autoSpaceDE w:val="0"/>
              <w:autoSpaceDN w:val="0"/>
              <w:jc w:val="both"/>
              <w:rPr>
                <w:b/>
                <w:color w:val="000000" w:themeColor="text1"/>
              </w:rPr>
            </w:pPr>
            <w:r w:rsidRPr="00C56257">
              <w:rPr>
                <w:b/>
                <w:color w:val="000000" w:themeColor="text1"/>
              </w:rPr>
              <w:t>√</w:t>
            </w:r>
          </w:p>
        </w:tc>
        <w:tc>
          <w:tcPr>
            <w:tcW w:w="709" w:type="dxa"/>
            <w:shd w:val="clear" w:color="auto" w:fill="D9D9D9"/>
          </w:tcPr>
          <w:p w14:paraId="31CDDF75" w14:textId="77777777" w:rsidR="007D2E1E" w:rsidRPr="00C56257" w:rsidRDefault="007D2E1E" w:rsidP="008E33FD">
            <w:pPr>
              <w:widowControl w:val="0"/>
              <w:autoSpaceDE w:val="0"/>
              <w:autoSpaceDN w:val="0"/>
              <w:jc w:val="both"/>
              <w:rPr>
                <w:color w:val="000000" w:themeColor="text1"/>
              </w:rPr>
            </w:pPr>
          </w:p>
          <w:p w14:paraId="42026531" w14:textId="77777777" w:rsidR="007D2E1E" w:rsidRPr="00C56257" w:rsidRDefault="007D2E1E" w:rsidP="008E33FD">
            <w:pPr>
              <w:widowControl w:val="0"/>
              <w:autoSpaceDE w:val="0"/>
              <w:autoSpaceDN w:val="0"/>
              <w:jc w:val="both"/>
              <w:rPr>
                <w:b/>
                <w:color w:val="000000" w:themeColor="text1"/>
              </w:rPr>
            </w:pPr>
            <w:r w:rsidRPr="00C56257">
              <w:rPr>
                <w:b/>
                <w:color w:val="000000" w:themeColor="text1"/>
              </w:rPr>
              <w:t>√</w:t>
            </w:r>
          </w:p>
        </w:tc>
        <w:tc>
          <w:tcPr>
            <w:tcW w:w="711" w:type="dxa"/>
          </w:tcPr>
          <w:p w14:paraId="70F0F2E6" w14:textId="77777777" w:rsidR="007D2E1E" w:rsidRPr="00C56257" w:rsidRDefault="007D2E1E" w:rsidP="008E33FD">
            <w:pPr>
              <w:widowControl w:val="0"/>
              <w:autoSpaceDE w:val="0"/>
              <w:autoSpaceDN w:val="0"/>
              <w:jc w:val="both"/>
              <w:rPr>
                <w:color w:val="000000" w:themeColor="text1"/>
              </w:rPr>
            </w:pPr>
          </w:p>
        </w:tc>
        <w:tc>
          <w:tcPr>
            <w:tcW w:w="766" w:type="dxa"/>
            <w:shd w:val="clear" w:color="auto" w:fill="D9D9D9"/>
          </w:tcPr>
          <w:p w14:paraId="66A3432F" w14:textId="77777777" w:rsidR="007D2E1E" w:rsidRPr="00C56257" w:rsidRDefault="007D2E1E" w:rsidP="008E33FD">
            <w:pPr>
              <w:widowControl w:val="0"/>
              <w:autoSpaceDE w:val="0"/>
              <w:autoSpaceDN w:val="0"/>
              <w:jc w:val="both"/>
              <w:rPr>
                <w:color w:val="000000" w:themeColor="text1"/>
              </w:rPr>
            </w:pPr>
          </w:p>
          <w:p w14:paraId="205555FE" w14:textId="77777777" w:rsidR="007D2E1E" w:rsidRPr="00C56257" w:rsidRDefault="007D2E1E" w:rsidP="008E33FD">
            <w:pPr>
              <w:widowControl w:val="0"/>
              <w:autoSpaceDE w:val="0"/>
              <w:autoSpaceDN w:val="0"/>
              <w:jc w:val="both"/>
              <w:rPr>
                <w:b/>
                <w:color w:val="000000" w:themeColor="text1"/>
              </w:rPr>
            </w:pPr>
            <w:r w:rsidRPr="00C56257">
              <w:rPr>
                <w:b/>
                <w:color w:val="000000" w:themeColor="text1"/>
              </w:rPr>
              <w:t>√</w:t>
            </w:r>
          </w:p>
        </w:tc>
        <w:tc>
          <w:tcPr>
            <w:tcW w:w="668" w:type="dxa"/>
            <w:shd w:val="clear" w:color="auto" w:fill="D9D9D9"/>
          </w:tcPr>
          <w:p w14:paraId="04D0A4AE" w14:textId="77777777" w:rsidR="007D2E1E" w:rsidRPr="00C56257" w:rsidRDefault="007D2E1E" w:rsidP="008E33FD">
            <w:pPr>
              <w:widowControl w:val="0"/>
              <w:autoSpaceDE w:val="0"/>
              <w:autoSpaceDN w:val="0"/>
              <w:jc w:val="both"/>
              <w:rPr>
                <w:color w:val="000000" w:themeColor="text1"/>
              </w:rPr>
            </w:pPr>
          </w:p>
          <w:p w14:paraId="534A4B8D" w14:textId="77777777" w:rsidR="007D2E1E" w:rsidRPr="00C56257" w:rsidRDefault="007D2E1E" w:rsidP="008E33FD">
            <w:pPr>
              <w:widowControl w:val="0"/>
              <w:autoSpaceDE w:val="0"/>
              <w:autoSpaceDN w:val="0"/>
              <w:jc w:val="both"/>
              <w:rPr>
                <w:b/>
                <w:color w:val="000000" w:themeColor="text1"/>
              </w:rPr>
            </w:pPr>
            <w:r w:rsidRPr="00C56257">
              <w:rPr>
                <w:b/>
                <w:color w:val="000000" w:themeColor="text1"/>
              </w:rPr>
              <w:t>√</w:t>
            </w:r>
          </w:p>
        </w:tc>
      </w:tr>
      <w:tr w:rsidR="007D2E1E" w:rsidRPr="00C56257" w14:paraId="5752EC27" w14:textId="77777777" w:rsidTr="00F52FE8">
        <w:trPr>
          <w:trHeight w:val="505"/>
        </w:trPr>
        <w:tc>
          <w:tcPr>
            <w:tcW w:w="5907" w:type="dxa"/>
          </w:tcPr>
          <w:p w14:paraId="35EA2326" w14:textId="77777777" w:rsidR="007D2E1E" w:rsidRPr="00C56257" w:rsidRDefault="007D2E1E" w:rsidP="008E33FD">
            <w:pPr>
              <w:widowControl w:val="0"/>
              <w:autoSpaceDE w:val="0"/>
              <w:autoSpaceDN w:val="0"/>
              <w:spacing w:line="246" w:lineRule="exact"/>
              <w:jc w:val="both"/>
              <w:rPr>
                <w:color w:val="000000" w:themeColor="text1"/>
              </w:rPr>
            </w:pPr>
            <w:r w:rsidRPr="00C56257">
              <w:rPr>
                <w:color w:val="000000" w:themeColor="text1"/>
              </w:rPr>
              <w:t>3140</w:t>
            </w:r>
            <w:r w:rsidRPr="00C56257">
              <w:rPr>
                <w:color w:val="000000" w:themeColor="text1"/>
                <w:spacing w:val="-1"/>
              </w:rPr>
              <w:t xml:space="preserve"> </w:t>
            </w:r>
            <w:r w:rsidRPr="00C56257">
              <w:rPr>
                <w:color w:val="000000" w:themeColor="text1"/>
              </w:rPr>
              <w:t>-</w:t>
            </w:r>
            <w:r w:rsidRPr="00C56257">
              <w:rPr>
                <w:color w:val="000000" w:themeColor="text1"/>
                <w:spacing w:val="-5"/>
              </w:rPr>
              <w:t xml:space="preserve"> </w:t>
            </w:r>
            <w:r w:rsidRPr="00C56257">
              <w:rPr>
                <w:color w:val="000000" w:themeColor="text1"/>
              </w:rPr>
              <w:t>Ape</w:t>
            </w:r>
            <w:r w:rsidRPr="00C56257">
              <w:rPr>
                <w:color w:val="000000" w:themeColor="text1"/>
                <w:spacing w:val="-1"/>
              </w:rPr>
              <w:t xml:space="preserve"> </w:t>
            </w:r>
            <w:r w:rsidRPr="00C56257">
              <w:rPr>
                <w:color w:val="000000" w:themeColor="text1"/>
              </w:rPr>
              <w:t>puternic</w:t>
            </w:r>
            <w:r w:rsidRPr="00C56257">
              <w:rPr>
                <w:color w:val="000000" w:themeColor="text1"/>
                <w:spacing w:val="-3"/>
              </w:rPr>
              <w:t xml:space="preserve"> </w:t>
            </w:r>
            <w:r w:rsidRPr="00C56257">
              <w:rPr>
                <w:color w:val="000000" w:themeColor="text1"/>
              </w:rPr>
              <w:t>oligo-mezotrofice</w:t>
            </w:r>
            <w:r w:rsidRPr="00C56257">
              <w:rPr>
                <w:color w:val="000000" w:themeColor="text1"/>
                <w:spacing w:val="-2"/>
              </w:rPr>
              <w:t xml:space="preserve"> </w:t>
            </w:r>
            <w:r w:rsidRPr="00C56257">
              <w:rPr>
                <w:color w:val="000000" w:themeColor="text1"/>
              </w:rPr>
              <w:t>cu</w:t>
            </w:r>
            <w:r w:rsidRPr="00C56257">
              <w:rPr>
                <w:color w:val="000000" w:themeColor="text1"/>
                <w:spacing w:val="-1"/>
              </w:rPr>
              <w:t xml:space="preserve"> </w:t>
            </w:r>
            <w:r w:rsidRPr="00C56257">
              <w:rPr>
                <w:color w:val="000000" w:themeColor="text1"/>
              </w:rPr>
              <w:t>vegetație</w:t>
            </w:r>
            <w:r w:rsidRPr="00C56257">
              <w:rPr>
                <w:color w:val="000000" w:themeColor="text1"/>
                <w:spacing w:val="-1"/>
              </w:rPr>
              <w:t xml:space="preserve"> </w:t>
            </w:r>
            <w:r w:rsidRPr="00C56257">
              <w:rPr>
                <w:color w:val="000000" w:themeColor="text1"/>
              </w:rPr>
              <w:t>bentonică</w:t>
            </w:r>
          </w:p>
          <w:p w14:paraId="72533813" w14:textId="77777777" w:rsidR="007D2E1E" w:rsidRPr="00C56257" w:rsidRDefault="007D2E1E" w:rsidP="008E33FD">
            <w:pPr>
              <w:widowControl w:val="0"/>
              <w:autoSpaceDE w:val="0"/>
              <w:autoSpaceDN w:val="0"/>
              <w:spacing w:line="240" w:lineRule="exact"/>
              <w:jc w:val="both"/>
              <w:rPr>
                <w:i/>
                <w:color w:val="000000" w:themeColor="text1"/>
              </w:rPr>
            </w:pPr>
            <w:r w:rsidRPr="00C56257">
              <w:rPr>
                <w:color w:val="000000" w:themeColor="text1"/>
              </w:rPr>
              <w:t>de</w:t>
            </w:r>
            <w:r w:rsidRPr="00C56257">
              <w:rPr>
                <w:color w:val="000000" w:themeColor="text1"/>
                <w:spacing w:val="-1"/>
              </w:rPr>
              <w:t xml:space="preserve"> </w:t>
            </w:r>
            <w:r w:rsidRPr="00C56257">
              <w:rPr>
                <w:color w:val="000000" w:themeColor="text1"/>
              </w:rPr>
              <w:t>specii de</w:t>
            </w:r>
            <w:r w:rsidRPr="00C56257">
              <w:rPr>
                <w:color w:val="000000" w:themeColor="text1"/>
                <w:spacing w:val="1"/>
              </w:rPr>
              <w:t xml:space="preserve"> </w:t>
            </w:r>
            <w:r w:rsidRPr="00C56257">
              <w:rPr>
                <w:i/>
                <w:color w:val="000000" w:themeColor="text1"/>
              </w:rPr>
              <w:t>Chara</w:t>
            </w:r>
            <w:r w:rsidRPr="00C56257">
              <w:rPr>
                <w:i/>
                <w:color w:val="000000" w:themeColor="text1"/>
                <w:spacing w:val="-1"/>
              </w:rPr>
              <w:t xml:space="preserve"> </w:t>
            </w:r>
            <w:r w:rsidRPr="00C56257">
              <w:rPr>
                <w:i/>
                <w:color w:val="000000" w:themeColor="text1"/>
              </w:rPr>
              <w:t>spp.</w:t>
            </w:r>
          </w:p>
        </w:tc>
        <w:tc>
          <w:tcPr>
            <w:tcW w:w="708" w:type="dxa"/>
          </w:tcPr>
          <w:p w14:paraId="7D9B37D8" w14:textId="77777777" w:rsidR="007D2E1E" w:rsidRPr="00C56257" w:rsidRDefault="007D2E1E" w:rsidP="008E33FD">
            <w:pPr>
              <w:widowControl w:val="0"/>
              <w:autoSpaceDE w:val="0"/>
              <w:autoSpaceDN w:val="0"/>
              <w:jc w:val="both"/>
              <w:rPr>
                <w:color w:val="000000" w:themeColor="text1"/>
              </w:rPr>
            </w:pPr>
          </w:p>
        </w:tc>
        <w:tc>
          <w:tcPr>
            <w:tcW w:w="709" w:type="dxa"/>
            <w:shd w:val="clear" w:color="auto" w:fill="D9D9D9"/>
          </w:tcPr>
          <w:p w14:paraId="46BA5EEA" w14:textId="77777777" w:rsidR="007D2E1E" w:rsidRPr="00C56257" w:rsidRDefault="007D2E1E" w:rsidP="008E33FD">
            <w:pPr>
              <w:widowControl w:val="0"/>
              <w:autoSpaceDE w:val="0"/>
              <w:autoSpaceDN w:val="0"/>
              <w:spacing w:before="123"/>
              <w:jc w:val="both"/>
              <w:rPr>
                <w:b/>
                <w:color w:val="000000" w:themeColor="text1"/>
              </w:rPr>
            </w:pPr>
            <w:r w:rsidRPr="00C56257">
              <w:rPr>
                <w:b/>
                <w:color w:val="000000" w:themeColor="text1"/>
              </w:rPr>
              <w:t>√</w:t>
            </w:r>
          </w:p>
        </w:tc>
        <w:tc>
          <w:tcPr>
            <w:tcW w:w="711" w:type="dxa"/>
          </w:tcPr>
          <w:p w14:paraId="76D8242D" w14:textId="77777777" w:rsidR="007D2E1E" w:rsidRPr="00C56257" w:rsidRDefault="007D2E1E" w:rsidP="008E33FD">
            <w:pPr>
              <w:widowControl w:val="0"/>
              <w:autoSpaceDE w:val="0"/>
              <w:autoSpaceDN w:val="0"/>
              <w:jc w:val="both"/>
              <w:rPr>
                <w:color w:val="000000" w:themeColor="text1"/>
              </w:rPr>
            </w:pPr>
          </w:p>
        </w:tc>
        <w:tc>
          <w:tcPr>
            <w:tcW w:w="766" w:type="dxa"/>
            <w:shd w:val="clear" w:color="auto" w:fill="D9D9D9"/>
          </w:tcPr>
          <w:p w14:paraId="5CF0C523" w14:textId="77777777" w:rsidR="007D2E1E" w:rsidRPr="00C56257" w:rsidRDefault="007D2E1E" w:rsidP="008E33FD">
            <w:pPr>
              <w:widowControl w:val="0"/>
              <w:autoSpaceDE w:val="0"/>
              <w:autoSpaceDN w:val="0"/>
              <w:spacing w:before="123"/>
              <w:jc w:val="both"/>
              <w:rPr>
                <w:b/>
                <w:color w:val="000000" w:themeColor="text1"/>
              </w:rPr>
            </w:pPr>
            <w:r w:rsidRPr="00C56257">
              <w:rPr>
                <w:b/>
                <w:color w:val="000000" w:themeColor="text1"/>
              </w:rPr>
              <w:t>√</w:t>
            </w:r>
          </w:p>
        </w:tc>
        <w:tc>
          <w:tcPr>
            <w:tcW w:w="668" w:type="dxa"/>
            <w:shd w:val="clear" w:color="auto" w:fill="D9D9D9"/>
          </w:tcPr>
          <w:p w14:paraId="1BC7B40C" w14:textId="77777777" w:rsidR="007D2E1E" w:rsidRPr="00C56257" w:rsidRDefault="007D2E1E" w:rsidP="008E33FD">
            <w:pPr>
              <w:widowControl w:val="0"/>
              <w:autoSpaceDE w:val="0"/>
              <w:autoSpaceDN w:val="0"/>
              <w:spacing w:before="123"/>
              <w:jc w:val="both"/>
              <w:rPr>
                <w:b/>
                <w:color w:val="000000" w:themeColor="text1"/>
              </w:rPr>
            </w:pPr>
            <w:r w:rsidRPr="00C56257">
              <w:rPr>
                <w:b/>
                <w:color w:val="000000" w:themeColor="text1"/>
              </w:rPr>
              <w:t>√</w:t>
            </w:r>
          </w:p>
        </w:tc>
      </w:tr>
      <w:tr w:rsidR="007D2E1E" w:rsidRPr="00C56257" w14:paraId="79164191" w14:textId="77777777" w:rsidTr="00F52FE8">
        <w:trPr>
          <w:trHeight w:val="506"/>
        </w:trPr>
        <w:tc>
          <w:tcPr>
            <w:tcW w:w="5907" w:type="dxa"/>
          </w:tcPr>
          <w:p w14:paraId="233A6C10" w14:textId="77777777" w:rsidR="007D2E1E" w:rsidRPr="00C56257" w:rsidRDefault="007D2E1E" w:rsidP="008E33FD">
            <w:pPr>
              <w:widowControl w:val="0"/>
              <w:autoSpaceDE w:val="0"/>
              <w:autoSpaceDN w:val="0"/>
              <w:spacing w:line="246" w:lineRule="exact"/>
              <w:jc w:val="both"/>
              <w:rPr>
                <w:color w:val="000000" w:themeColor="text1"/>
              </w:rPr>
            </w:pPr>
            <w:r w:rsidRPr="00C56257">
              <w:rPr>
                <w:color w:val="000000" w:themeColor="text1"/>
              </w:rPr>
              <w:t>3150</w:t>
            </w:r>
            <w:r w:rsidRPr="00C56257">
              <w:rPr>
                <w:color w:val="000000" w:themeColor="text1"/>
                <w:spacing w:val="-2"/>
              </w:rPr>
              <w:t xml:space="preserve"> </w:t>
            </w:r>
            <w:r w:rsidRPr="00C56257">
              <w:rPr>
                <w:color w:val="000000" w:themeColor="text1"/>
              </w:rPr>
              <w:t>-</w:t>
            </w:r>
            <w:r w:rsidRPr="00C56257">
              <w:rPr>
                <w:color w:val="000000" w:themeColor="text1"/>
                <w:spacing w:val="-5"/>
              </w:rPr>
              <w:t xml:space="preserve"> </w:t>
            </w:r>
            <w:r w:rsidRPr="00C56257">
              <w:rPr>
                <w:color w:val="000000" w:themeColor="text1"/>
              </w:rPr>
              <w:t>Lacuri naturale</w:t>
            </w:r>
            <w:r w:rsidRPr="00C56257">
              <w:rPr>
                <w:color w:val="000000" w:themeColor="text1"/>
                <w:spacing w:val="-2"/>
              </w:rPr>
              <w:t xml:space="preserve"> </w:t>
            </w:r>
            <w:r w:rsidRPr="00C56257">
              <w:rPr>
                <w:color w:val="000000" w:themeColor="text1"/>
              </w:rPr>
              <w:t>eutrofice</w:t>
            </w:r>
            <w:r w:rsidRPr="00C56257">
              <w:rPr>
                <w:color w:val="000000" w:themeColor="text1"/>
                <w:spacing w:val="-1"/>
              </w:rPr>
              <w:t xml:space="preserve"> </w:t>
            </w:r>
            <w:r w:rsidRPr="00C56257">
              <w:rPr>
                <w:color w:val="000000" w:themeColor="text1"/>
              </w:rPr>
              <w:t>cu</w:t>
            </w:r>
            <w:r w:rsidRPr="00C56257">
              <w:rPr>
                <w:color w:val="000000" w:themeColor="text1"/>
                <w:spacing w:val="-1"/>
              </w:rPr>
              <w:t xml:space="preserve"> </w:t>
            </w:r>
            <w:r w:rsidRPr="00C56257">
              <w:rPr>
                <w:color w:val="000000" w:themeColor="text1"/>
              </w:rPr>
              <w:t>vegetaţie</w:t>
            </w:r>
            <w:r w:rsidRPr="00C56257">
              <w:rPr>
                <w:color w:val="000000" w:themeColor="text1"/>
                <w:spacing w:val="-2"/>
              </w:rPr>
              <w:t xml:space="preserve"> </w:t>
            </w:r>
            <w:r w:rsidRPr="00C56257">
              <w:rPr>
                <w:color w:val="000000" w:themeColor="text1"/>
              </w:rPr>
              <w:t>tip</w:t>
            </w:r>
          </w:p>
          <w:p w14:paraId="135057C4" w14:textId="77777777" w:rsidR="007D2E1E" w:rsidRPr="00C56257" w:rsidRDefault="007D2E1E" w:rsidP="008E33FD">
            <w:pPr>
              <w:widowControl w:val="0"/>
              <w:autoSpaceDE w:val="0"/>
              <w:autoSpaceDN w:val="0"/>
              <w:spacing w:line="240" w:lineRule="exact"/>
              <w:jc w:val="both"/>
              <w:rPr>
                <w:i/>
                <w:color w:val="000000" w:themeColor="text1"/>
              </w:rPr>
            </w:pPr>
            <w:r w:rsidRPr="00C56257">
              <w:rPr>
                <w:i/>
                <w:color w:val="000000" w:themeColor="text1"/>
              </w:rPr>
              <w:t>Magnopotamion</w:t>
            </w:r>
            <w:r w:rsidRPr="00C56257">
              <w:rPr>
                <w:i/>
                <w:color w:val="000000" w:themeColor="text1"/>
                <w:spacing w:val="-3"/>
              </w:rPr>
              <w:t xml:space="preserve"> </w:t>
            </w:r>
            <w:r w:rsidRPr="00C56257">
              <w:rPr>
                <w:color w:val="000000" w:themeColor="text1"/>
              </w:rPr>
              <w:t>sau</w:t>
            </w:r>
            <w:r w:rsidRPr="00C56257">
              <w:rPr>
                <w:color w:val="000000" w:themeColor="text1"/>
                <w:spacing w:val="-2"/>
              </w:rPr>
              <w:t xml:space="preserve"> </w:t>
            </w:r>
            <w:r w:rsidRPr="00C56257">
              <w:rPr>
                <w:i/>
                <w:color w:val="000000" w:themeColor="text1"/>
              </w:rPr>
              <w:t>Hydrocharition</w:t>
            </w:r>
          </w:p>
        </w:tc>
        <w:tc>
          <w:tcPr>
            <w:tcW w:w="708" w:type="dxa"/>
            <w:shd w:val="clear" w:color="auto" w:fill="D9D9D9"/>
          </w:tcPr>
          <w:p w14:paraId="0C43A54A" w14:textId="77777777" w:rsidR="007D2E1E" w:rsidRPr="00C56257" w:rsidRDefault="007D2E1E" w:rsidP="008E33FD">
            <w:pPr>
              <w:widowControl w:val="0"/>
              <w:autoSpaceDE w:val="0"/>
              <w:autoSpaceDN w:val="0"/>
              <w:spacing w:before="123"/>
              <w:jc w:val="both"/>
              <w:rPr>
                <w:b/>
                <w:color w:val="000000" w:themeColor="text1"/>
              </w:rPr>
            </w:pPr>
            <w:r w:rsidRPr="00C56257">
              <w:rPr>
                <w:b/>
                <w:color w:val="000000" w:themeColor="text1"/>
              </w:rPr>
              <w:t>√</w:t>
            </w:r>
          </w:p>
        </w:tc>
        <w:tc>
          <w:tcPr>
            <w:tcW w:w="709" w:type="dxa"/>
            <w:shd w:val="clear" w:color="auto" w:fill="D9D9D9"/>
          </w:tcPr>
          <w:p w14:paraId="1A28CC5F" w14:textId="77777777" w:rsidR="007D2E1E" w:rsidRPr="00C56257" w:rsidRDefault="007D2E1E" w:rsidP="008E33FD">
            <w:pPr>
              <w:widowControl w:val="0"/>
              <w:autoSpaceDE w:val="0"/>
              <w:autoSpaceDN w:val="0"/>
              <w:spacing w:before="123"/>
              <w:jc w:val="both"/>
              <w:rPr>
                <w:b/>
                <w:color w:val="000000" w:themeColor="text1"/>
              </w:rPr>
            </w:pPr>
            <w:r w:rsidRPr="00C56257">
              <w:rPr>
                <w:b/>
                <w:color w:val="000000" w:themeColor="text1"/>
              </w:rPr>
              <w:t>√</w:t>
            </w:r>
          </w:p>
        </w:tc>
        <w:tc>
          <w:tcPr>
            <w:tcW w:w="711" w:type="dxa"/>
            <w:shd w:val="clear" w:color="auto" w:fill="D9D9D9"/>
          </w:tcPr>
          <w:p w14:paraId="2A350CBD" w14:textId="77777777" w:rsidR="007D2E1E" w:rsidRPr="00C56257" w:rsidRDefault="007D2E1E" w:rsidP="008E33FD">
            <w:pPr>
              <w:widowControl w:val="0"/>
              <w:autoSpaceDE w:val="0"/>
              <w:autoSpaceDN w:val="0"/>
              <w:spacing w:before="123"/>
              <w:jc w:val="both"/>
              <w:rPr>
                <w:b/>
                <w:color w:val="000000" w:themeColor="text1"/>
              </w:rPr>
            </w:pPr>
            <w:r w:rsidRPr="00C56257">
              <w:rPr>
                <w:b/>
                <w:color w:val="000000" w:themeColor="text1"/>
              </w:rPr>
              <w:t>√</w:t>
            </w:r>
          </w:p>
        </w:tc>
        <w:tc>
          <w:tcPr>
            <w:tcW w:w="766" w:type="dxa"/>
            <w:shd w:val="clear" w:color="auto" w:fill="D9D9D9"/>
          </w:tcPr>
          <w:p w14:paraId="5036794A" w14:textId="77777777" w:rsidR="007D2E1E" w:rsidRPr="00C56257" w:rsidRDefault="007D2E1E" w:rsidP="008E33FD">
            <w:pPr>
              <w:widowControl w:val="0"/>
              <w:autoSpaceDE w:val="0"/>
              <w:autoSpaceDN w:val="0"/>
              <w:spacing w:before="123"/>
              <w:jc w:val="both"/>
              <w:rPr>
                <w:b/>
                <w:color w:val="000000" w:themeColor="text1"/>
              </w:rPr>
            </w:pPr>
            <w:r w:rsidRPr="00C56257">
              <w:rPr>
                <w:b/>
                <w:color w:val="000000" w:themeColor="text1"/>
              </w:rPr>
              <w:t>√</w:t>
            </w:r>
          </w:p>
        </w:tc>
        <w:tc>
          <w:tcPr>
            <w:tcW w:w="668" w:type="dxa"/>
            <w:shd w:val="clear" w:color="auto" w:fill="D9D9D9"/>
          </w:tcPr>
          <w:p w14:paraId="54D7E26D" w14:textId="77777777" w:rsidR="007D2E1E" w:rsidRPr="00C56257" w:rsidRDefault="007D2E1E" w:rsidP="008E33FD">
            <w:pPr>
              <w:widowControl w:val="0"/>
              <w:autoSpaceDE w:val="0"/>
              <w:autoSpaceDN w:val="0"/>
              <w:spacing w:before="123"/>
              <w:jc w:val="both"/>
              <w:rPr>
                <w:b/>
                <w:color w:val="000000" w:themeColor="text1"/>
              </w:rPr>
            </w:pPr>
            <w:r w:rsidRPr="00C56257">
              <w:rPr>
                <w:b/>
                <w:color w:val="000000" w:themeColor="text1"/>
              </w:rPr>
              <w:t>√</w:t>
            </w:r>
          </w:p>
        </w:tc>
      </w:tr>
      <w:tr w:rsidR="007D2E1E" w:rsidRPr="00C56257" w14:paraId="50661993" w14:textId="77777777" w:rsidTr="00F52FE8">
        <w:trPr>
          <w:trHeight w:val="491"/>
        </w:trPr>
        <w:tc>
          <w:tcPr>
            <w:tcW w:w="5907" w:type="dxa"/>
          </w:tcPr>
          <w:p w14:paraId="65DE4CF0" w14:textId="77777777" w:rsidR="007D2E1E" w:rsidRPr="00C56257" w:rsidRDefault="007D2E1E" w:rsidP="008E33FD">
            <w:pPr>
              <w:widowControl w:val="0"/>
              <w:autoSpaceDE w:val="0"/>
              <w:autoSpaceDN w:val="0"/>
              <w:spacing w:before="113"/>
              <w:jc w:val="both"/>
              <w:rPr>
                <w:color w:val="000000" w:themeColor="text1"/>
              </w:rPr>
            </w:pPr>
            <w:r w:rsidRPr="00C56257">
              <w:rPr>
                <w:color w:val="000000" w:themeColor="text1"/>
              </w:rPr>
              <w:t>3160</w:t>
            </w:r>
            <w:r w:rsidRPr="00C56257">
              <w:rPr>
                <w:color w:val="000000" w:themeColor="text1"/>
                <w:spacing w:val="-2"/>
              </w:rPr>
              <w:t xml:space="preserve"> </w:t>
            </w:r>
            <w:r w:rsidRPr="00C56257">
              <w:rPr>
                <w:color w:val="000000" w:themeColor="text1"/>
              </w:rPr>
              <w:t>-</w:t>
            </w:r>
            <w:r w:rsidRPr="00C56257">
              <w:rPr>
                <w:color w:val="000000" w:themeColor="text1"/>
                <w:spacing w:val="-5"/>
              </w:rPr>
              <w:t xml:space="preserve"> </w:t>
            </w:r>
            <w:r w:rsidRPr="00C56257">
              <w:rPr>
                <w:color w:val="000000" w:themeColor="text1"/>
              </w:rPr>
              <w:t>Lacuri</w:t>
            </w:r>
            <w:r w:rsidRPr="00C56257">
              <w:rPr>
                <w:color w:val="000000" w:themeColor="text1"/>
                <w:spacing w:val="-1"/>
              </w:rPr>
              <w:t xml:space="preserve"> </w:t>
            </w:r>
            <w:r w:rsidRPr="00C56257">
              <w:rPr>
                <w:color w:val="000000" w:themeColor="text1"/>
              </w:rPr>
              <w:t>distrofice</w:t>
            </w:r>
            <w:r w:rsidRPr="00C56257">
              <w:rPr>
                <w:color w:val="000000" w:themeColor="text1"/>
                <w:spacing w:val="-1"/>
              </w:rPr>
              <w:t xml:space="preserve"> </w:t>
            </w:r>
            <w:r w:rsidRPr="00C56257">
              <w:rPr>
                <w:color w:val="000000" w:themeColor="text1"/>
              </w:rPr>
              <w:t>şi</w:t>
            </w:r>
            <w:r w:rsidRPr="00C56257">
              <w:rPr>
                <w:color w:val="000000" w:themeColor="text1"/>
                <w:spacing w:val="-3"/>
              </w:rPr>
              <w:t xml:space="preserve"> </w:t>
            </w:r>
            <w:r w:rsidRPr="00C56257">
              <w:rPr>
                <w:color w:val="000000" w:themeColor="text1"/>
              </w:rPr>
              <w:t>iazuri</w:t>
            </w:r>
          </w:p>
        </w:tc>
        <w:tc>
          <w:tcPr>
            <w:tcW w:w="708" w:type="dxa"/>
            <w:shd w:val="clear" w:color="auto" w:fill="D9D9D9"/>
          </w:tcPr>
          <w:p w14:paraId="1C3A775E" w14:textId="77777777" w:rsidR="007D2E1E" w:rsidRPr="00C56257" w:rsidRDefault="007D2E1E" w:rsidP="008E33FD">
            <w:pPr>
              <w:widowControl w:val="0"/>
              <w:autoSpaceDE w:val="0"/>
              <w:autoSpaceDN w:val="0"/>
              <w:spacing w:before="118"/>
              <w:jc w:val="both"/>
              <w:rPr>
                <w:b/>
                <w:color w:val="000000" w:themeColor="text1"/>
              </w:rPr>
            </w:pPr>
            <w:r w:rsidRPr="00C56257">
              <w:rPr>
                <w:b/>
                <w:color w:val="000000" w:themeColor="text1"/>
              </w:rPr>
              <w:t>√</w:t>
            </w:r>
          </w:p>
        </w:tc>
        <w:tc>
          <w:tcPr>
            <w:tcW w:w="709" w:type="dxa"/>
            <w:shd w:val="clear" w:color="auto" w:fill="D9D9D9"/>
          </w:tcPr>
          <w:p w14:paraId="0A02255F" w14:textId="77777777" w:rsidR="007D2E1E" w:rsidRPr="00C56257" w:rsidRDefault="007D2E1E" w:rsidP="008E33FD">
            <w:pPr>
              <w:widowControl w:val="0"/>
              <w:autoSpaceDE w:val="0"/>
              <w:autoSpaceDN w:val="0"/>
              <w:spacing w:before="118"/>
              <w:jc w:val="both"/>
              <w:rPr>
                <w:b/>
                <w:color w:val="000000" w:themeColor="text1"/>
              </w:rPr>
            </w:pPr>
            <w:r w:rsidRPr="00C56257">
              <w:rPr>
                <w:b/>
                <w:color w:val="000000" w:themeColor="text1"/>
              </w:rPr>
              <w:t>√</w:t>
            </w:r>
          </w:p>
        </w:tc>
        <w:tc>
          <w:tcPr>
            <w:tcW w:w="711" w:type="dxa"/>
          </w:tcPr>
          <w:p w14:paraId="0F606749" w14:textId="77777777" w:rsidR="007D2E1E" w:rsidRPr="00C56257" w:rsidRDefault="007D2E1E" w:rsidP="008E33FD">
            <w:pPr>
              <w:widowControl w:val="0"/>
              <w:autoSpaceDE w:val="0"/>
              <w:autoSpaceDN w:val="0"/>
              <w:jc w:val="both"/>
              <w:rPr>
                <w:color w:val="000000" w:themeColor="text1"/>
              </w:rPr>
            </w:pPr>
          </w:p>
        </w:tc>
        <w:tc>
          <w:tcPr>
            <w:tcW w:w="766" w:type="dxa"/>
            <w:shd w:val="clear" w:color="auto" w:fill="D9D9D9"/>
          </w:tcPr>
          <w:p w14:paraId="006710B9" w14:textId="77777777" w:rsidR="007D2E1E" w:rsidRPr="00C56257" w:rsidRDefault="007D2E1E" w:rsidP="008E33FD">
            <w:pPr>
              <w:widowControl w:val="0"/>
              <w:autoSpaceDE w:val="0"/>
              <w:autoSpaceDN w:val="0"/>
              <w:spacing w:before="118"/>
              <w:jc w:val="both"/>
              <w:rPr>
                <w:b/>
                <w:color w:val="000000" w:themeColor="text1"/>
              </w:rPr>
            </w:pPr>
            <w:r w:rsidRPr="00C56257">
              <w:rPr>
                <w:b/>
                <w:color w:val="000000" w:themeColor="text1"/>
              </w:rPr>
              <w:t>√</w:t>
            </w:r>
          </w:p>
        </w:tc>
        <w:tc>
          <w:tcPr>
            <w:tcW w:w="668" w:type="dxa"/>
          </w:tcPr>
          <w:p w14:paraId="0CF93B56" w14:textId="77777777" w:rsidR="007D2E1E" w:rsidRPr="00C56257" w:rsidRDefault="007D2E1E" w:rsidP="008E33FD">
            <w:pPr>
              <w:widowControl w:val="0"/>
              <w:autoSpaceDE w:val="0"/>
              <w:autoSpaceDN w:val="0"/>
              <w:jc w:val="both"/>
              <w:rPr>
                <w:color w:val="000000" w:themeColor="text1"/>
              </w:rPr>
            </w:pPr>
          </w:p>
        </w:tc>
      </w:tr>
      <w:tr w:rsidR="007D2E1E" w:rsidRPr="00C56257" w14:paraId="737460D5" w14:textId="77777777" w:rsidTr="00F52FE8">
        <w:trPr>
          <w:trHeight w:val="506"/>
        </w:trPr>
        <w:tc>
          <w:tcPr>
            <w:tcW w:w="5907" w:type="dxa"/>
          </w:tcPr>
          <w:p w14:paraId="77F0019E" w14:textId="77777777" w:rsidR="007D2E1E" w:rsidRPr="00C56257" w:rsidRDefault="007D2E1E" w:rsidP="008E33FD">
            <w:pPr>
              <w:widowControl w:val="0"/>
              <w:autoSpaceDE w:val="0"/>
              <w:autoSpaceDN w:val="0"/>
              <w:spacing w:line="247" w:lineRule="exact"/>
              <w:jc w:val="both"/>
              <w:rPr>
                <w:color w:val="000000" w:themeColor="text1"/>
              </w:rPr>
            </w:pPr>
            <w:r w:rsidRPr="00C56257">
              <w:rPr>
                <w:color w:val="000000" w:themeColor="text1"/>
              </w:rPr>
              <w:t>31A0*</w:t>
            </w:r>
            <w:r w:rsidRPr="00C56257">
              <w:rPr>
                <w:color w:val="000000" w:themeColor="text1"/>
                <w:spacing w:val="-2"/>
              </w:rPr>
              <w:t xml:space="preserve"> </w:t>
            </w:r>
            <w:r w:rsidRPr="00C56257">
              <w:rPr>
                <w:color w:val="000000" w:themeColor="text1"/>
              </w:rPr>
              <w:t>-</w:t>
            </w:r>
            <w:r w:rsidRPr="00C56257">
              <w:rPr>
                <w:color w:val="000000" w:themeColor="text1"/>
                <w:spacing w:val="-5"/>
              </w:rPr>
              <w:t xml:space="preserve"> </w:t>
            </w:r>
            <w:r w:rsidRPr="00C56257">
              <w:rPr>
                <w:color w:val="000000" w:themeColor="text1"/>
              </w:rPr>
              <w:t>Ape</w:t>
            </w:r>
            <w:r w:rsidRPr="00C56257">
              <w:rPr>
                <w:color w:val="000000" w:themeColor="text1"/>
                <w:spacing w:val="-1"/>
              </w:rPr>
              <w:t xml:space="preserve"> </w:t>
            </w:r>
            <w:r w:rsidRPr="00C56257">
              <w:rPr>
                <w:color w:val="000000" w:themeColor="text1"/>
              </w:rPr>
              <w:t>termale</w:t>
            </w:r>
            <w:r w:rsidRPr="00C56257">
              <w:rPr>
                <w:color w:val="000000" w:themeColor="text1"/>
                <w:spacing w:val="-1"/>
              </w:rPr>
              <w:t xml:space="preserve"> </w:t>
            </w:r>
            <w:r w:rsidRPr="00C56257">
              <w:rPr>
                <w:color w:val="000000" w:themeColor="text1"/>
              </w:rPr>
              <w:t>din</w:t>
            </w:r>
            <w:r w:rsidRPr="00C56257">
              <w:rPr>
                <w:color w:val="000000" w:themeColor="text1"/>
                <w:spacing w:val="-4"/>
              </w:rPr>
              <w:t xml:space="preserve"> </w:t>
            </w:r>
            <w:r w:rsidRPr="00C56257">
              <w:rPr>
                <w:color w:val="000000" w:themeColor="text1"/>
              </w:rPr>
              <w:t>Transilvania</w:t>
            </w:r>
            <w:r w:rsidRPr="00C56257">
              <w:rPr>
                <w:color w:val="000000" w:themeColor="text1"/>
                <w:spacing w:val="-1"/>
              </w:rPr>
              <w:t xml:space="preserve"> </w:t>
            </w:r>
            <w:r w:rsidRPr="00C56257">
              <w:rPr>
                <w:color w:val="000000" w:themeColor="text1"/>
              </w:rPr>
              <w:t>acoperite</w:t>
            </w:r>
            <w:r w:rsidRPr="00C56257">
              <w:rPr>
                <w:color w:val="000000" w:themeColor="text1"/>
                <w:spacing w:val="-1"/>
              </w:rPr>
              <w:t xml:space="preserve"> </w:t>
            </w:r>
            <w:r w:rsidRPr="00C56257">
              <w:rPr>
                <w:color w:val="000000" w:themeColor="text1"/>
              </w:rPr>
              <w:t>cu</w:t>
            </w:r>
            <w:r w:rsidRPr="00C56257">
              <w:rPr>
                <w:color w:val="000000" w:themeColor="text1"/>
                <w:spacing w:val="-2"/>
              </w:rPr>
              <w:t xml:space="preserve"> </w:t>
            </w:r>
            <w:r w:rsidRPr="00C56257">
              <w:rPr>
                <w:color w:val="000000" w:themeColor="text1"/>
              </w:rPr>
              <w:t>lotus</w:t>
            </w:r>
          </w:p>
          <w:p w14:paraId="4D7B0A86" w14:textId="77777777" w:rsidR="007D2E1E" w:rsidRPr="00C56257" w:rsidRDefault="007D2E1E" w:rsidP="008E33FD">
            <w:pPr>
              <w:widowControl w:val="0"/>
              <w:autoSpaceDE w:val="0"/>
              <w:autoSpaceDN w:val="0"/>
              <w:spacing w:before="1" w:line="238" w:lineRule="exact"/>
              <w:jc w:val="both"/>
              <w:rPr>
                <w:color w:val="000000" w:themeColor="text1"/>
              </w:rPr>
            </w:pPr>
            <w:r w:rsidRPr="00C56257">
              <w:rPr>
                <w:color w:val="000000" w:themeColor="text1"/>
              </w:rPr>
              <w:t>(dreţe)</w:t>
            </w:r>
          </w:p>
        </w:tc>
        <w:tc>
          <w:tcPr>
            <w:tcW w:w="708" w:type="dxa"/>
            <w:shd w:val="clear" w:color="auto" w:fill="D9D9D9"/>
          </w:tcPr>
          <w:p w14:paraId="044FA7E6" w14:textId="77777777" w:rsidR="007D2E1E" w:rsidRPr="00C56257" w:rsidRDefault="007D2E1E" w:rsidP="008E33FD">
            <w:pPr>
              <w:widowControl w:val="0"/>
              <w:autoSpaceDE w:val="0"/>
              <w:autoSpaceDN w:val="0"/>
              <w:spacing w:before="125"/>
              <w:jc w:val="both"/>
              <w:rPr>
                <w:b/>
                <w:color w:val="000000" w:themeColor="text1"/>
              </w:rPr>
            </w:pPr>
            <w:r w:rsidRPr="00C56257">
              <w:rPr>
                <w:b/>
                <w:color w:val="000000" w:themeColor="text1"/>
              </w:rPr>
              <w:t>√</w:t>
            </w:r>
          </w:p>
        </w:tc>
        <w:tc>
          <w:tcPr>
            <w:tcW w:w="709" w:type="dxa"/>
          </w:tcPr>
          <w:p w14:paraId="7EE8E7A3" w14:textId="77777777" w:rsidR="007D2E1E" w:rsidRPr="00C56257" w:rsidRDefault="007D2E1E" w:rsidP="008E33FD">
            <w:pPr>
              <w:widowControl w:val="0"/>
              <w:autoSpaceDE w:val="0"/>
              <w:autoSpaceDN w:val="0"/>
              <w:jc w:val="both"/>
              <w:rPr>
                <w:color w:val="000000" w:themeColor="text1"/>
              </w:rPr>
            </w:pPr>
          </w:p>
        </w:tc>
        <w:tc>
          <w:tcPr>
            <w:tcW w:w="711" w:type="dxa"/>
          </w:tcPr>
          <w:p w14:paraId="480B4430" w14:textId="77777777" w:rsidR="007D2E1E" w:rsidRPr="00C56257" w:rsidRDefault="007D2E1E" w:rsidP="008E33FD">
            <w:pPr>
              <w:widowControl w:val="0"/>
              <w:autoSpaceDE w:val="0"/>
              <w:autoSpaceDN w:val="0"/>
              <w:jc w:val="both"/>
              <w:rPr>
                <w:color w:val="000000" w:themeColor="text1"/>
              </w:rPr>
            </w:pPr>
          </w:p>
        </w:tc>
        <w:tc>
          <w:tcPr>
            <w:tcW w:w="766" w:type="dxa"/>
          </w:tcPr>
          <w:p w14:paraId="7343B588" w14:textId="77777777" w:rsidR="007D2E1E" w:rsidRPr="00C56257" w:rsidRDefault="007D2E1E" w:rsidP="008E33FD">
            <w:pPr>
              <w:widowControl w:val="0"/>
              <w:autoSpaceDE w:val="0"/>
              <w:autoSpaceDN w:val="0"/>
              <w:jc w:val="both"/>
              <w:rPr>
                <w:color w:val="000000" w:themeColor="text1"/>
              </w:rPr>
            </w:pPr>
          </w:p>
        </w:tc>
        <w:tc>
          <w:tcPr>
            <w:tcW w:w="668" w:type="dxa"/>
          </w:tcPr>
          <w:p w14:paraId="07982948" w14:textId="77777777" w:rsidR="007D2E1E" w:rsidRPr="00C56257" w:rsidRDefault="007D2E1E" w:rsidP="008E33FD">
            <w:pPr>
              <w:widowControl w:val="0"/>
              <w:autoSpaceDE w:val="0"/>
              <w:autoSpaceDN w:val="0"/>
              <w:jc w:val="both"/>
              <w:rPr>
                <w:color w:val="000000" w:themeColor="text1"/>
              </w:rPr>
            </w:pPr>
          </w:p>
        </w:tc>
      </w:tr>
      <w:tr w:rsidR="007D2E1E" w:rsidRPr="00C56257" w14:paraId="0740925B" w14:textId="77777777" w:rsidTr="00F52FE8">
        <w:trPr>
          <w:trHeight w:val="493"/>
        </w:trPr>
        <w:tc>
          <w:tcPr>
            <w:tcW w:w="5907" w:type="dxa"/>
          </w:tcPr>
          <w:p w14:paraId="52B3B5A0" w14:textId="77777777" w:rsidR="007D2E1E" w:rsidRPr="00C56257" w:rsidRDefault="007D2E1E" w:rsidP="008E33FD">
            <w:pPr>
              <w:widowControl w:val="0"/>
              <w:autoSpaceDE w:val="0"/>
              <w:autoSpaceDN w:val="0"/>
              <w:spacing w:before="113"/>
              <w:jc w:val="both"/>
              <w:rPr>
                <w:color w:val="000000" w:themeColor="text1"/>
              </w:rPr>
            </w:pPr>
            <w:r w:rsidRPr="00C56257">
              <w:rPr>
                <w:color w:val="000000" w:themeColor="text1"/>
              </w:rPr>
              <w:t>3220</w:t>
            </w:r>
            <w:r w:rsidRPr="00C56257">
              <w:rPr>
                <w:color w:val="000000" w:themeColor="text1"/>
                <w:spacing w:val="-1"/>
              </w:rPr>
              <w:t xml:space="preserve"> </w:t>
            </w:r>
            <w:r w:rsidRPr="00C56257">
              <w:rPr>
                <w:color w:val="000000" w:themeColor="text1"/>
              </w:rPr>
              <w:t>-</w:t>
            </w:r>
            <w:r w:rsidRPr="00C56257">
              <w:rPr>
                <w:color w:val="000000" w:themeColor="text1"/>
                <w:spacing w:val="-5"/>
              </w:rPr>
              <w:t xml:space="preserve"> </w:t>
            </w:r>
            <w:r w:rsidRPr="00C56257">
              <w:rPr>
                <w:color w:val="000000" w:themeColor="text1"/>
              </w:rPr>
              <w:t>Vegetație</w:t>
            </w:r>
            <w:r w:rsidRPr="00C56257">
              <w:rPr>
                <w:color w:val="000000" w:themeColor="text1"/>
                <w:spacing w:val="-1"/>
              </w:rPr>
              <w:t xml:space="preserve"> </w:t>
            </w:r>
            <w:r w:rsidRPr="00C56257">
              <w:rPr>
                <w:color w:val="000000" w:themeColor="text1"/>
              </w:rPr>
              <w:t>herbacee</w:t>
            </w:r>
            <w:r w:rsidRPr="00C56257">
              <w:rPr>
                <w:color w:val="000000" w:themeColor="text1"/>
                <w:spacing w:val="-3"/>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pe</w:t>
            </w:r>
            <w:r w:rsidRPr="00C56257">
              <w:rPr>
                <w:color w:val="000000" w:themeColor="text1"/>
                <w:spacing w:val="-1"/>
              </w:rPr>
              <w:t xml:space="preserve"> </w:t>
            </w:r>
            <w:r w:rsidRPr="00C56257">
              <w:rPr>
                <w:color w:val="000000" w:themeColor="text1"/>
              </w:rPr>
              <w:t>malurile</w:t>
            </w:r>
            <w:r w:rsidRPr="00C56257">
              <w:rPr>
                <w:color w:val="000000" w:themeColor="text1"/>
                <w:spacing w:val="-1"/>
              </w:rPr>
              <w:t xml:space="preserve"> </w:t>
            </w:r>
            <w:r w:rsidRPr="00C56257">
              <w:rPr>
                <w:color w:val="000000" w:themeColor="text1"/>
              </w:rPr>
              <w:t>râurilor</w:t>
            </w:r>
            <w:r w:rsidRPr="00C56257">
              <w:rPr>
                <w:color w:val="000000" w:themeColor="text1"/>
                <w:spacing w:val="-1"/>
              </w:rPr>
              <w:t xml:space="preserve"> </w:t>
            </w:r>
            <w:r w:rsidRPr="00C56257">
              <w:rPr>
                <w:color w:val="000000" w:themeColor="text1"/>
              </w:rPr>
              <w:t>montane</w:t>
            </w:r>
          </w:p>
        </w:tc>
        <w:tc>
          <w:tcPr>
            <w:tcW w:w="708" w:type="dxa"/>
          </w:tcPr>
          <w:p w14:paraId="534BAAD8" w14:textId="77777777" w:rsidR="007D2E1E" w:rsidRPr="00C56257" w:rsidRDefault="007D2E1E" w:rsidP="008E33FD">
            <w:pPr>
              <w:widowControl w:val="0"/>
              <w:autoSpaceDE w:val="0"/>
              <w:autoSpaceDN w:val="0"/>
              <w:jc w:val="both"/>
              <w:rPr>
                <w:color w:val="000000" w:themeColor="text1"/>
              </w:rPr>
            </w:pPr>
          </w:p>
        </w:tc>
        <w:tc>
          <w:tcPr>
            <w:tcW w:w="709" w:type="dxa"/>
            <w:shd w:val="clear" w:color="auto" w:fill="D9D9D9"/>
          </w:tcPr>
          <w:p w14:paraId="18E5F3A4" w14:textId="77777777" w:rsidR="007D2E1E" w:rsidRPr="00C56257" w:rsidRDefault="007D2E1E" w:rsidP="008E33FD">
            <w:pPr>
              <w:widowControl w:val="0"/>
              <w:autoSpaceDE w:val="0"/>
              <w:autoSpaceDN w:val="0"/>
              <w:spacing w:before="118"/>
              <w:jc w:val="both"/>
              <w:rPr>
                <w:b/>
                <w:color w:val="000000" w:themeColor="text1"/>
              </w:rPr>
            </w:pPr>
            <w:r w:rsidRPr="00C56257">
              <w:rPr>
                <w:b/>
                <w:color w:val="000000" w:themeColor="text1"/>
              </w:rPr>
              <w:t>√</w:t>
            </w:r>
          </w:p>
        </w:tc>
        <w:tc>
          <w:tcPr>
            <w:tcW w:w="711" w:type="dxa"/>
            <w:shd w:val="clear" w:color="auto" w:fill="D9D9D9"/>
          </w:tcPr>
          <w:p w14:paraId="48C0A5E1" w14:textId="77777777" w:rsidR="007D2E1E" w:rsidRPr="00C56257" w:rsidRDefault="007D2E1E" w:rsidP="008E33FD">
            <w:pPr>
              <w:widowControl w:val="0"/>
              <w:autoSpaceDE w:val="0"/>
              <w:autoSpaceDN w:val="0"/>
              <w:spacing w:before="118"/>
              <w:jc w:val="both"/>
              <w:rPr>
                <w:b/>
                <w:color w:val="000000" w:themeColor="text1"/>
              </w:rPr>
            </w:pPr>
            <w:r w:rsidRPr="00C56257">
              <w:rPr>
                <w:b/>
                <w:color w:val="000000" w:themeColor="text1"/>
              </w:rPr>
              <w:t>√</w:t>
            </w:r>
          </w:p>
        </w:tc>
        <w:tc>
          <w:tcPr>
            <w:tcW w:w="766" w:type="dxa"/>
          </w:tcPr>
          <w:p w14:paraId="21A897A2" w14:textId="77777777" w:rsidR="007D2E1E" w:rsidRPr="00C56257" w:rsidRDefault="007D2E1E" w:rsidP="008E33FD">
            <w:pPr>
              <w:widowControl w:val="0"/>
              <w:autoSpaceDE w:val="0"/>
              <w:autoSpaceDN w:val="0"/>
              <w:jc w:val="both"/>
              <w:rPr>
                <w:color w:val="000000" w:themeColor="text1"/>
              </w:rPr>
            </w:pPr>
          </w:p>
        </w:tc>
        <w:tc>
          <w:tcPr>
            <w:tcW w:w="668" w:type="dxa"/>
          </w:tcPr>
          <w:p w14:paraId="5BCDF518" w14:textId="77777777" w:rsidR="007D2E1E" w:rsidRPr="00C56257" w:rsidRDefault="007D2E1E" w:rsidP="008E33FD">
            <w:pPr>
              <w:widowControl w:val="0"/>
              <w:autoSpaceDE w:val="0"/>
              <w:autoSpaceDN w:val="0"/>
              <w:jc w:val="both"/>
              <w:rPr>
                <w:color w:val="000000" w:themeColor="text1"/>
              </w:rPr>
            </w:pPr>
          </w:p>
        </w:tc>
      </w:tr>
      <w:tr w:rsidR="007D2E1E" w:rsidRPr="00C56257" w14:paraId="79F00843" w14:textId="77777777" w:rsidTr="00F52FE8">
        <w:trPr>
          <w:trHeight w:val="506"/>
        </w:trPr>
        <w:tc>
          <w:tcPr>
            <w:tcW w:w="5907" w:type="dxa"/>
          </w:tcPr>
          <w:p w14:paraId="533B7178" w14:textId="77777777" w:rsidR="007D2E1E" w:rsidRPr="00C56257" w:rsidRDefault="007D2E1E" w:rsidP="008E33FD">
            <w:pPr>
              <w:widowControl w:val="0"/>
              <w:autoSpaceDE w:val="0"/>
              <w:autoSpaceDN w:val="0"/>
              <w:spacing w:line="246" w:lineRule="exact"/>
              <w:jc w:val="both"/>
              <w:rPr>
                <w:color w:val="000000" w:themeColor="text1"/>
              </w:rPr>
            </w:pPr>
            <w:r w:rsidRPr="00C56257">
              <w:rPr>
                <w:color w:val="000000" w:themeColor="text1"/>
              </w:rPr>
              <w:t>3230</w:t>
            </w:r>
            <w:r w:rsidRPr="00C56257">
              <w:rPr>
                <w:color w:val="000000" w:themeColor="text1"/>
                <w:spacing w:val="-1"/>
              </w:rPr>
              <w:t xml:space="preserve"> </w:t>
            </w:r>
            <w:r w:rsidRPr="00C56257">
              <w:rPr>
                <w:color w:val="000000" w:themeColor="text1"/>
              </w:rPr>
              <w:t>-</w:t>
            </w:r>
            <w:r w:rsidRPr="00C56257">
              <w:rPr>
                <w:color w:val="000000" w:themeColor="text1"/>
                <w:spacing w:val="-5"/>
              </w:rPr>
              <w:t xml:space="preserve"> </w:t>
            </w:r>
            <w:r w:rsidRPr="00C56257">
              <w:rPr>
                <w:color w:val="000000" w:themeColor="text1"/>
              </w:rPr>
              <w:t>Vegetaţie</w:t>
            </w:r>
            <w:r w:rsidRPr="00C56257">
              <w:rPr>
                <w:color w:val="000000" w:themeColor="text1"/>
                <w:spacing w:val="-2"/>
              </w:rPr>
              <w:t xml:space="preserve"> </w:t>
            </w:r>
            <w:r w:rsidRPr="00C56257">
              <w:rPr>
                <w:color w:val="000000" w:themeColor="text1"/>
              </w:rPr>
              <w:t>lemnoasă</w:t>
            </w:r>
            <w:r w:rsidRPr="00C56257">
              <w:rPr>
                <w:color w:val="000000" w:themeColor="text1"/>
                <w:spacing w:val="-3"/>
              </w:rPr>
              <w:t xml:space="preserve"> </w:t>
            </w:r>
            <w:r w:rsidRPr="00C56257">
              <w:rPr>
                <w:color w:val="000000" w:themeColor="text1"/>
              </w:rPr>
              <w:t xml:space="preserve">cu </w:t>
            </w:r>
            <w:r w:rsidRPr="00C56257">
              <w:rPr>
                <w:i/>
                <w:color w:val="000000" w:themeColor="text1"/>
              </w:rPr>
              <w:t xml:space="preserve">Myricaria germanica </w:t>
            </w:r>
            <w:r w:rsidRPr="00C56257">
              <w:rPr>
                <w:color w:val="000000" w:themeColor="text1"/>
              </w:rPr>
              <w:t>de-a</w:t>
            </w:r>
          </w:p>
          <w:p w14:paraId="2A7CDC37" w14:textId="77777777" w:rsidR="007D2E1E" w:rsidRPr="00C56257" w:rsidRDefault="007D2E1E" w:rsidP="008E33FD">
            <w:pPr>
              <w:widowControl w:val="0"/>
              <w:autoSpaceDE w:val="0"/>
              <w:autoSpaceDN w:val="0"/>
              <w:spacing w:line="240" w:lineRule="exact"/>
              <w:jc w:val="both"/>
              <w:rPr>
                <w:color w:val="000000" w:themeColor="text1"/>
              </w:rPr>
            </w:pPr>
            <w:r w:rsidRPr="00C56257">
              <w:rPr>
                <w:color w:val="000000" w:themeColor="text1"/>
              </w:rPr>
              <w:t>lungul</w:t>
            </w:r>
            <w:r w:rsidRPr="00C56257">
              <w:rPr>
                <w:color w:val="000000" w:themeColor="text1"/>
                <w:spacing w:val="-2"/>
              </w:rPr>
              <w:t xml:space="preserve"> </w:t>
            </w:r>
            <w:r w:rsidRPr="00C56257">
              <w:rPr>
                <w:color w:val="000000" w:themeColor="text1"/>
              </w:rPr>
              <w:t>râurilor</w:t>
            </w:r>
            <w:r w:rsidRPr="00C56257">
              <w:rPr>
                <w:color w:val="000000" w:themeColor="text1"/>
                <w:spacing w:val="-2"/>
              </w:rPr>
              <w:t xml:space="preserve"> </w:t>
            </w:r>
            <w:r w:rsidRPr="00C56257">
              <w:rPr>
                <w:color w:val="000000" w:themeColor="text1"/>
              </w:rPr>
              <w:t>montane</w:t>
            </w:r>
          </w:p>
        </w:tc>
        <w:tc>
          <w:tcPr>
            <w:tcW w:w="708" w:type="dxa"/>
          </w:tcPr>
          <w:p w14:paraId="1318F8BC" w14:textId="77777777" w:rsidR="007D2E1E" w:rsidRPr="00C56257" w:rsidRDefault="007D2E1E" w:rsidP="008E33FD">
            <w:pPr>
              <w:widowControl w:val="0"/>
              <w:autoSpaceDE w:val="0"/>
              <w:autoSpaceDN w:val="0"/>
              <w:jc w:val="both"/>
              <w:rPr>
                <w:color w:val="000000" w:themeColor="text1"/>
              </w:rPr>
            </w:pPr>
          </w:p>
        </w:tc>
        <w:tc>
          <w:tcPr>
            <w:tcW w:w="709" w:type="dxa"/>
          </w:tcPr>
          <w:p w14:paraId="400AF41A" w14:textId="77777777" w:rsidR="007D2E1E" w:rsidRPr="00C56257" w:rsidRDefault="007D2E1E" w:rsidP="008E33FD">
            <w:pPr>
              <w:widowControl w:val="0"/>
              <w:autoSpaceDE w:val="0"/>
              <w:autoSpaceDN w:val="0"/>
              <w:jc w:val="both"/>
              <w:rPr>
                <w:color w:val="000000" w:themeColor="text1"/>
              </w:rPr>
            </w:pPr>
          </w:p>
        </w:tc>
        <w:tc>
          <w:tcPr>
            <w:tcW w:w="711" w:type="dxa"/>
            <w:shd w:val="clear" w:color="auto" w:fill="D9D9D9"/>
          </w:tcPr>
          <w:p w14:paraId="7F435EEF" w14:textId="77777777" w:rsidR="007D2E1E" w:rsidRPr="00C56257" w:rsidRDefault="007D2E1E" w:rsidP="008E33FD">
            <w:pPr>
              <w:widowControl w:val="0"/>
              <w:autoSpaceDE w:val="0"/>
              <w:autoSpaceDN w:val="0"/>
              <w:spacing w:before="126"/>
              <w:jc w:val="both"/>
              <w:rPr>
                <w:b/>
                <w:color w:val="000000" w:themeColor="text1"/>
              </w:rPr>
            </w:pPr>
            <w:r w:rsidRPr="00C56257">
              <w:rPr>
                <w:b/>
                <w:color w:val="000000" w:themeColor="text1"/>
              </w:rPr>
              <w:t>√</w:t>
            </w:r>
          </w:p>
        </w:tc>
        <w:tc>
          <w:tcPr>
            <w:tcW w:w="766" w:type="dxa"/>
          </w:tcPr>
          <w:p w14:paraId="569E00B1" w14:textId="77777777" w:rsidR="007D2E1E" w:rsidRPr="00C56257" w:rsidRDefault="007D2E1E" w:rsidP="008E33FD">
            <w:pPr>
              <w:widowControl w:val="0"/>
              <w:autoSpaceDE w:val="0"/>
              <w:autoSpaceDN w:val="0"/>
              <w:jc w:val="both"/>
              <w:rPr>
                <w:color w:val="000000" w:themeColor="text1"/>
              </w:rPr>
            </w:pPr>
          </w:p>
        </w:tc>
        <w:tc>
          <w:tcPr>
            <w:tcW w:w="668" w:type="dxa"/>
          </w:tcPr>
          <w:p w14:paraId="068D6889" w14:textId="77777777" w:rsidR="007D2E1E" w:rsidRPr="00C56257" w:rsidRDefault="007D2E1E" w:rsidP="008E33FD">
            <w:pPr>
              <w:widowControl w:val="0"/>
              <w:autoSpaceDE w:val="0"/>
              <w:autoSpaceDN w:val="0"/>
              <w:jc w:val="both"/>
              <w:rPr>
                <w:color w:val="000000" w:themeColor="text1"/>
              </w:rPr>
            </w:pPr>
          </w:p>
        </w:tc>
      </w:tr>
      <w:tr w:rsidR="007D2E1E" w:rsidRPr="00C56257" w14:paraId="3E05DBA8" w14:textId="77777777" w:rsidTr="00F52FE8">
        <w:trPr>
          <w:trHeight w:val="505"/>
        </w:trPr>
        <w:tc>
          <w:tcPr>
            <w:tcW w:w="5907" w:type="dxa"/>
          </w:tcPr>
          <w:p w14:paraId="0879F0E6" w14:textId="77777777" w:rsidR="007D2E1E" w:rsidRPr="00C56257" w:rsidRDefault="007D2E1E" w:rsidP="008E33FD">
            <w:pPr>
              <w:widowControl w:val="0"/>
              <w:autoSpaceDE w:val="0"/>
              <w:autoSpaceDN w:val="0"/>
              <w:spacing w:line="246" w:lineRule="exact"/>
              <w:jc w:val="both"/>
              <w:rPr>
                <w:color w:val="000000" w:themeColor="text1"/>
              </w:rPr>
            </w:pPr>
            <w:r w:rsidRPr="00C56257">
              <w:rPr>
                <w:color w:val="000000" w:themeColor="text1"/>
              </w:rPr>
              <w:t>3240</w:t>
            </w:r>
            <w:r w:rsidRPr="00C56257">
              <w:rPr>
                <w:color w:val="000000" w:themeColor="text1"/>
                <w:spacing w:val="-1"/>
              </w:rPr>
              <w:t xml:space="preserve"> </w:t>
            </w:r>
            <w:r w:rsidRPr="00C56257">
              <w:rPr>
                <w:color w:val="000000" w:themeColor="text1"/>
              </w:rPr>
              <w:t>-</w:t>
            </w:r>
            <w:r w:rsidRPr="00C56257">
              <w:rPr>
                <w:color w:val="000000" w:themeColor="text1"/>
                <w:spacing w:val="-4"/>
              </w:rPr>
              <w:t xml:space="preserve"> </w:t>
            </w:r>
            <w:r w:rsidRPr="00C56257">
              <w:rPr>
                <w:color w:val="000000" w:themeColor="text1"/>
              </w:rPr>
              <w:t>Vegetație</w:t>
            </w:r>
            <w:r w:rsidRPr="00C56257">
              <w:rPr>
                <w:color w:val="000000" w:themeColor="text1"/>
                <w:spacing w:val="-3"/>
              </w:rPr>
              <w:t xml:space="preserve"> </w:t>
            </w:r>
            <w:r w:rsidRPr="00C56257">
              <w:rPr>
                <w:color w:val="000000" w:themeColor="text1"/>
              </w:rPr>
              <w:t>lemnoasă</w:t>
            </w:r>
            <w:r w:rsidRPr="00C56257">
              <w:rPr>
                <w:color w:val="000000" w:themeColor="text1"/>
                <w:spacing w:val="-2"/>
              </w:rPr>
              <w:t xml:space="preserve"> </w:t>
            </w:r>
            <w:r w:rsidRPr="00C56257">
              <w:rPr>
                <w:color w:val="000000" w:themeColor="text1"/>
              </w:rPr>
              <w:t xml:space="preserve">cu </w:t>
            </w:r>
            <w:r w:rsidRPr="00C56257">
              <w:rPr>
                <w:i/>
                <w:color w:val="000000" w:themeColor="text1"/>
              </w:rPr>
              <w:t>Salix</w:t>
            </w:r>
            <w:r w:rsidRPr="00C56257">
              <w:rPr>
                <w:i/>
                <w:color w:val="000000" w:themeColor="text1"/>
                <w:spacing w:val="-2"/>
              </w:rPr>
              <w:t xml:space="preserve"> </w:t>
            </w:r>
            <w:r w:rsidRPr="00C56257">
              <w:rPr>
                <w:i/>
                <w:color w:val="000000" w:themeColor="text1"/>
              </w:rPr>
              <w:t>elaeagnos</w:t>
            </w:r>
            <w:r w:rsidRPr="00C56257">
              <w:rPr>
                <w:i/>
                <w:color w:val="000000" w:themeColor="text1"/>
                <w:spacing w:val="-1"/>
              </w:rPr>
              <w:t xml:space="preserve"> </w:t>
            </w:r>
            <w:r w:rsidRPr="00C56257">
              <w:rPr>
                <w:color w:val="000000" w:themeColor="text1"/>
              </w:rPr>
              <w:t>de-a lungul</w:t>
            </w:r>
          </w:p>
          <w:p w14:paraId="491B5316" w14:textId="77777777" w:rsidR="007D2E1E" w:rsidRPr="00C56257" w:rsidRDefault="007D2E1E" w:rsidP="008E33FD">
            <w:pPr>
              <w:widowControl w:val="0"/>
              <w:autoSpaceDE w:val="0"/>
              <w:autoSpaceDN w:val="0"/>
              <w:spacing w:line="240" w:lineRule="exact"/>
              <w:jc w:val="both"/>
              <w:rPr>
                <w:color w:val="000000" w:themeColor="text1"/>
              </w:rPr>
            </w:pPr>
            <w:r w:rsidRPr="00C56257">
              <w:rPr>
                <w:color w:val="000000" w:themeColor="text1"/>
              </w:rPr>
              <w:t>râurilor</w:t>
            </w:r>
            <w:r w:rsidRPr="00C56257">
              <w:rPr>
                <w:color w:val="000000" w:themeColor="text1"/>
                <w:spacing w:val="-3"/>
              </w:rPr>
              <w:t xml:space="preserve"> </w:t>
            </w:r>
            <w:r w:rsidRPr="00C56257">
              <w:rPr>
                <w:color w:val="000000" w:themeColor="text1"/>
              </w:rPr>
              <w:t>montane</w:t>
            </w:r>
          </w:p>
        </w:tc>
        <w:tc>
          <w:tcPr>
            <w:tcW w:w="708" w:type="dxa"/>
          </w:tcPr>
          <w:p w14:paraId="384F614A" w14:textId="77777777" w:rsidR="007D2E1E" w:rsidRPr="00C56257" w:rsidRDefault="007D2E1E" w:rsidP="008E33FD">
            <w:pPr>
              <w:widowControl w:val="0"/>
              <w:autoSpaceDE w:val="0"/>
              <w:autoSpaceDN w:val="0"/>
              <w:jc w:val="both"/>
              <w:rPr>
                <w:color w:val="000000" w:themeColor="text1"/>
              </w:rPr>
            </w:pPr>
          </w:p>
        </w:tc>
        <w:tc>
          <w:tcPr>
            <w:tcW w:w="709" w:type="dxa"/>
            <w:shd w:val="clear" w:color="auto" w:fill="D9D9D9"/>
          </w:tcPr>
          <w:p w14:paraId="585415BE" w14:textId="77777777" w:rsidR="007D2E1E" w:rsidRPr="00C56257" w:rsidRDefault="007D2E1E" w:rsidP="008E33FD">
            <w:pPr>
              <w:widowControl w:val="0"/>
              <w:autoSpaceDE w:val="0"/>
              <w:autoSpaceDN w:val="0"/>
              <w:spacing w:before="125"/>
              <w:jc w:val="both"/>
              <w:rPr>
                <w:b/>
                <w:color w:val="000000" w:themeColor="text1"/>
              </w:rPr>
            </w:pPr>
            <w:r w:rsidRPr="00C56257">
              <w:rPr>
                <w:b/>
                <w:color w:val="000000" w:themeColor="text1"/>
              </w:rPr>
              <w:t>√</w:t>
            </w:r>
          </w:p>
        </w:tc>
        <w:tc>
          <w:tcPr>
            <w:tcW w:w="711" w:type="dxa"/>
            <w:shd w:val="clear" w:color="auto" w:fill="D9D9D9"/>
          </w:tcPr>
          <w:p w14:paraId="2CD30D44" w14:textId="77777777" w:rsidR="007D2E1E" w:rsidRPr="00C56257" w:rsidRDefault="007D2E1E" w:rsidP="008E33FD">
            <w:pPr>
              <w:widowControl w:val="0"/>
              <w:autoSpaceDE w:val="0"/>
              <w:autoSpaceDN w:val="0"/>
              <w:spacing w:before="125"/>
              <w:jc w:val="both"/>
              <w:rPr>
                <w:b/>
                <w:color w:val="000000" w:themeColor="text1"/>
              </w:rPr>
            </w:pPr>
            <w:r w:rsidRPr="00C56257">
              <w:rPr>
                <w:b/>
                <w:color w:val="000000" w:themeColor="text1"/>
              </w:rPr>
              <w:t>√</w:t>
            </w:r>
          </w:p>
        </w:tc>
        <w:tc>
          <w:tcPr>
            <w:tcW w:w="766" w:type="dxa"/>
          </w:tcPr>
          <w:p w14:paraId="37B0AB1E" w14:textId="77777777" w:rsidR="007D2E1E" w:rsidRPr="00C56257" w:rsidRDefault="007D2E1E" w:rsidP="008E33FD">
            <w:pPr>
              <w:widowControl w:val="0"/>
              <w:autoSpaceDE w:val="0"/>
              <w:autoSpaceDN w:val="0"/>
              <w:jc w:val="both"/>
              <w:rPr>
                <w:color w:val="000000" w:themeColor="text1"/>
              </w:rPr>
            </w:pPr>
          </w:p>
        </w:tc>
        <w:tc>
          <w:tcPr>
            <w:tcW w:w="668" w:type="dxa"/>
          </w:tcPr>
          <w:p w14:paraId="0FA16755" w14:textId="77777777" w:rsidR="007D2E1E" w:rsidRPr="00C56257" w:rsidRDefault="007D2E1E" w:rsidP="008E33FD">
            <w:pPr>
              <w:widowControl w:val="0"/>
              <w:autoSpaceDE w:val="0"/>
              <w:autoSpaceDN w:val="0"/>
              <w:jc w:val="both"/>
              <w:rPr>
                <w:color w:val="000000" w:themeColor="text1"/>
              </w:rPr>
            </w:pPr>
          </w:p>
        </w:tc>
      </w:tr>
      <w:tr w:rsidR="007D2E1E" w:rsidRPr="00C56257" w14:paraId="7EFBD7F1" w14:textId="77777777" w:rsidTr="003100FE">
        <w:trPr>
          <w:trHeight w:val="825"/>
        </w:trPr>
        <w:tc>
          <w:tcPr>
            <w:tcW w:w="5907" w:type="dxa"/>
          </w:tcPr>
          <w:p w14:paraId="01C88338" w14:textId="77777777" w:rsidR="007D2E1E" w:rsidRPr="00C56257" w:rsidRDefault="007D2E1E" w:rsidP="00E95F33">
            <w:pPr>
              <w:widowControl w:val="0"/>
              <w:autoSpaceDE w:val="0"/>
              <w:autoSpaceDN w:val="0"/>
              <w:spacing w:line="238" w:lineRule="exact"/>
              <w:jc w:val="both"/>
              <w:rPr>
                <w:i/>
                <w:color w:val="000000" w:themeColor="text1"/>
              </w:rPr>
            </w:pPr>
            <w:r w:rsidRPr="00C56257">
              <w:rPr>
                <w:color w:val="000000" w:themeColor="text1"/>
              </w:rPr>
              <w:t>3260 - Cursuri de apă din zona de câmpie până în etajul</w:t>
            </w:r>
            <w:r w:rsidRPr="00C56257">
              <w:rPr>
                <w:color w:val="000000" w:themeColor="text1"/>
                <w:spacing w:val="1"/>
              </w:rPr>
              <w:t xml:space="preserve"> </w:t>
            </w:r>
            <w:r w:rsidRPr="00C56257">
              <w:rPr>
                <w:color w:val="000000" w:themeColor="text1"/>
              </w:rPr>
              <w:t>montan,</w:t>
            </w:r>
            <w:r w:rsidRPr="00C56257">
              <w:rPr>
                <w:color w:val="000000" w:themeColor="text1"/>
                <w:spacing w:val="-3"/>
              </w:rPr>
              <w:t xml:space="preserve"> </w:t>
            </w:r>
            <w:r w:rsidRPr="00C56257">
              <w:rPr>
                <w:color w:val="000000" w:themeColor="text1"/>
              </w:rPr>
              <w:t>cu</w:t>
            </w:r>
            <w:r w:rsidRPr="00C56257">
              <w:rPr>
                <w:color w:val="000000" w:themeColor="text1"/>
                <w:spacing w:val="-3"/>
              </w:rPr>
              <w:t xml:space="preserve"> </w:t>
            </w:r>
            <w:r w:rsidRPr="00C56257">
              <w:rPr>
                <w:color w:val="000000" w:themeColor="text1"/>
              </w:rPr>
              <w:t>vegetaţie</w:t>
            </w:r>
            <w:r w:rsidRPr="00C56257">
              <w:rPr>
                <w:color w:val="000000" w:themeColor="text1"/>
                <w:spacing w:val="-3"/>
              </w:rPr>
              <w:t xml:space="preserve"> </w:t>
            </w:r>
            <w:r w:rsidRPr="00C56257">
              <w:rPr>
                <w:color w:val="000000" w:themeColor="text1"/>
              </w:rPr>
              <w:t>din</w:t>
            </w:r>
            <w:r w:rsidRPr="00C56257">
              <w:rPr>
                <w:color w:val="000000" w:themeColor="text1"/>
                <w:spacing w:val="-2"/>
              </w:rPr>
              <w:t xml:space="preserve"> </w:t>
            </w:r>
            <w:r w:rsidRPr="00C56257">
              <w:rPr>
                <w:i/>
                <w:color w:val="000000" w:themeColor="text1"/>
              </w:rPr>
              <w:t>Ranunculion</w:t>
            </w:r>
            <w:r w:rsidRPr="00C56257">
              <w:rPr>
                <w:i/>
                <w:color w:val="000000" w:themeColor="text1"/>
                <w:spacing w:val="-2"/>
              </w:rPr>
              <w:t xml:space="preserve"> </w:t>
            </w:r>
            <w:r w:rsidRPr="00C56257">
              <w:rPr>
                <w:i/>
                <w:color w:val="000000" w:themeColor="text1"/>
              </w:rPr>
              <w:t>fluitantis</w:t>
            </w:r>
            <w:r w:rsidRPr="00C56257">
              <w:rPr>
                <w:i/>
                <w:color w:val="000000" w:themeColor="text1"/>
                <w:spacing w:val="-3"/>
              </w:rPr>
              <w:t xml:space="preserve"> </w:t>
            </w:r>
            <w:r w:rsidRPr="003100FE">
              <w:rPr>
                <w:color w:val="000000" w:themeColor="text1"/>
              </w:rPr>
              <w:t>şi</w:t>
            </w:r>
            <w:r w:rsidRPr="00C56257">
              <w:rPr>
                <w:i/>
                <w:color w:val="000000" w:themeColor="text1"/>
                <w:spacing w:val="-2"/>
              </w:rPr>
              <w:t xml:space="preserve"> </w:t>
            </w:r>
            <w:r w:rsidRPr="00C56257">
              <w:rPr>
                <w:i/>
                <w:color w:val="000000" w:themeColor="text1"/>
              </w:rPr>
              <w:t>Callitricho</w:t>
            </w:r>
            <w:r w:rsidR="00E95F33">
              <w:rPr>
                <w:i/>
                <w:color w:val="000000" w:themeColor="text1"/>
              </w:rPr>
              <w:t>Batrachion</w:t>
            </w:r>
          </w:p>
        </w:tc>
        <w:tc>
          <w:tcPr>
            <w:tcW w:w="708" w:type="dxa"/>
            <w:shd w:val="clear" w:color="auto" w:fill="D9D9D9"/>
          </w:tcPr>
          <w:p w14:paraId="045E9DE4" w14:textId="77777777" w:rsidR="007D2E1E" w:rsidRPr="00C56257" w:rsidRDefault="007D2E1E" w:rsidP="008E33FD">
            <w:pPr>
              <w:widowControl w:val="0"/>
              <w:autoSpaceDE w:val="0"/>
              <w:autoSpaceDN w:val="0"/>
              <w:spacing w:before="8"/>
              <w:jc w:val="both"/>
              <w:rPr>
                <w:color w:val="000000" w:themeColor="text1"/>
              </w:rPr>
            </w:pPr>
          </w:p>
          <w:p w14:paraId="3CDBDD31" w14:textId="77777777" w:rsidR="007D2E1E" w:rsidRPr="00C56257" w:rsidRDefault="007D2E1E" w:rsidP="008E33FD">
            <w:pPr>
              <w:widowControl w:val="0"/>
              <w:autoSpaceDE w:val="0"/>
              <w:autoSpaceDN w:val="0"/>
              <w:spacing w:before="1"/>
              <w:jc w:val="both"/>
              <w:rPr>
                <w:b/>
                <w:color w:val="000000" w:themeColor="text1"/>
              </w:rPr>
            </w:pPr>
            <w:r w:rsidRPr="00C56257">
              <w:rPr>
                <w:b/>
                <w:color w:val="000000" w:themeColor="text1"/>
              </w:rPr>
              <w:t>√</w:t>
            </w:r>
          </w:p>
        </w:tc>
        <w:tc>
          <w:tcPr>
            <w:tcW w:w="709" w:type="dxa"/>
            <w:shd w:val="clear" w:color="auto" w:fill="D9D9D9"/>
          </w:tcPr>
          <w:p w14:paraId="59C17576" w14:textId="77777777" w:rsidR="007D2E1E" w:rsidRPr="00C56257" w:rsidRDefault="007D2E1E" w:rsidP="008E33FD">
            <w:pPr>
              <w:widowControl w:val="0"/>
              <w:autoSpaceDE w:val="0"/>
              <w:autoSpaceDN w:val="0"/>
              <w:spacing w:before="8"/>
              <w:jc w:val="both"/>
              <w:rPr>
                <w:color w:val="000000" w:themeColor="text1"/>
              </w:rPr>
            </w:pPr>
          </w:p>
          <w:p w14:paraId="6DC40429" w14:textId="77777777" w:rsidR="007D2E1E" w:rsidRPr="00C56257" w:rsidRDefault="007D2E1E" w:rsidP="008E33FD">
            <w:pPr>
              <w:widowControl w:val="0"/>
              <w:autoSpaceDE w:val="0"/>
              <w:autoSpaceDN w:val="0"/>
              <w:spacing w:before="1"/>
              <w:jc w:val="both"/>
              <w:rPr>
                <w:b/>
                <w:color w:val="000000" w:themeColor="text1"/>
              </w:rPr>
            </w:pPr>
            <w:r w:rsidRPr="00C56257">
              <w:rPr>
                <w:b/>
                <w:color w:val="000000" w:themeColor="text1"/>
              </w:rPr>
              <w:t>√</w:t>
            </w:r>
          </w:p>
        </w:tc>
        <w:tc>
          <w:tcPr>
            <w:tcW w:w="711" w:type="dxa"/>
            <w:shd w:val="clear" w:color="auto" w:fill="D9D9D9"/>
          </w:tcPr>
          <w:p w14:paraId="13E08000" w14:textId="77777777" w:rsidR="007D2E1E" w:rsidRPr="00C56257" w:rsidRDefault="007D2E1E" w:rsidP="008E33FD">
            <w:pPr>
              <w:widowControl w:val="0"/>
              <w:autoSpaceDE w:val="0"/>
              <w:autoSpaceDN w:val="0"/>
              <w:spacing w:before="8"/>
              <w:jc w:val="both"/>
              <w:rPr>
                <w:color w:val="000000" w:themeColor="text1"/>
              </w:rPr>
            </w:pPr>
          </w:p>
          <w:p w14:paraId="269B3114" w14:textId="77777777" w:rsidR="007D2E1E" w:rsidRPr="00C56257" w:rsidRDefault="007D2E1E" w:rsidP="008E33FD">
            <w:pPr>
              <w:widowControl w:val="0"/>
              <w:autoSpaceDE w:val="0"/>
              <w:autoSpaceDN w:val="0"/>
              <w:spacing w:before="1"/>
              <w:jc w:val="both"/>
              <w:rPr>
                <w:b/>
                <w:color w:val="000000" w:themeColor="text1"/>
              </w:rPr>
            </w:pPr>
            <w:r w:rsidRPr="00C56257">
              <w:rPr>
                <w:b/>
                <w:color w:val="000000" w:themeColor="text1"/>
              </w:rPr>
              <w:t>√</w:t>
            </w:r>
          </w:p>
        </w:tc>
        <w:tc>
          <w:tcPr>
            <w:tcW w:w="766" w:type="dxa"/>
            <w:shd w:val="clear" w:color="auto" w:fill="D9D9D9"/>
          </w:tcPr>
          <w:p w14:paraId="2AB6A522" w14:textId="77777777" w:rsidR="007D2E1E" w:rsidRPr="00C56257" w:rsidRDefault="007D2E1E" w:rsidP="008E33FD">
            <w:pPr>
              <w:widowControl w:val="0"/>
              <w:autoSpaceDE w:val="0"/>
              <w:autoSpaceDN w:val="0"/>
              <w:spacing w:before="8"/>
              <w:jc w:val="both"/>
              <w:rPr>
                <w:color w:val="000000" w:themeColor="text1"/>
              </w:rPr>
            </w:pPr>
          </w:p>
          <w:p w14:paraId="3BE9CD2A" w14:textId="77777777" w:rsidR="007D2E1E" w:rsidRPr="00C56257" w:rsidRDefault="007D2E1E" w:rsidP="008E33FD">
            <w:pPr>
              <w:widowControl w:val="0"/>
              <w:autoSpaceDE w:val="0"/>
              <w:autoSpaceDN w:val="0"/>
              <w:spacing w:before="1"/>
              <w:jc w:val="both"/>
              <w:rPr>
                <w:b/>
                <w:color w:val="000000" w:themeColor="text1"/>
              </w:rPr>
            </w:pPr>
            <w:r w:rsidRPr="00C56257">
              <w:rPr>
                <w:b/>
                <w:color w:val="000000" w:themeColor="text1"/>
              </w:rPr>
              <w:t>√</w:t>
            </w:r>
          </w:p>
        </w:tc>
        <w:tc>
          <w:tcPr>
            <w:tcW w:w="668" w:type="dxa"/>
            <w:shd w:val="clear" w:color="auto" w:fill="D9D9D9"/>
          </w:tcPr>
          <w:p w14:paraId="1370867F" w14:textId="77777777" w:rsidR="007D2E1E" w:rsidRPr="00C56257" w:rsidRDefault="007D2E1E" w:rsidP="008E33FD">
            <w:pPr>
              <w:widowControl w:val="0"/>
              <w:autoSpaceDE w:val="0"/>
              <w:autoSpaceDN w:val="0"/>
              <w:spacing w:before="8"/>
              <w:jc w:val="both"/>
              <w:rPr>
                <w:color w:val="000000" w:themeColor="text1"/>
              </w:rPr>
            </w:pPr>
          </w:p>
          <w:p w14:paraId="5EE47F7D" w14:textId="77777777" w:rsidR="007D2E1E" w:rsidRPr="00C56257" w:rsidRDefault="007D2E1E" w:rsidP="008E33FD">
            <w:pPr>
              <w:widowControl w:val="0"/>
              <w:autoSpaceDE w:val="0"/>
              <w:autoSpaceDN w:val="0"/>
              <w:spacing w:before="1"/>
              <w:jc w:val="both"/>
              <w:rPr>
                <w:b/>
                <w:color w:val="000000" w:themeColor="text1"/>
              </w:rPr>
            </w:pPr>
            <w:r w:rsidRPr="00C56257">
              <w:rPr>
                <w:b/>
                <w:color w:val="000000" w:themeColor="text1"/>
              </w:rPr>
              <w:t>√</w:t>
            </w:r>
          </w:p>
        </w:tc>
      </w:tr>
      <w:tr w:rsidR="007D2E1E" w:rsidRPr="00C56257" w14:paraId="38A41950" w14:textId="77777777" w:rsidTr="00F52FE8">
        <w:trPr>
          <w:trHeight w:val="505"/>
        </w:trPr>
        <w:tc>
          <w:tcPr>
            <w:tcW w:w="5907" w:type="dxa"/>
          </w:tcPr>
          <w:p w14:paraId="1E982A38" w14:textId="77777777" w:rsidR="007D2E1E" w:rsidRPr="00C56257" w:rsidRDefault="007D2E1E" w:rsidP="008E33FD">
            <w:pPr>
              <w:widowControl w:val="0"/>
              <w:autoSpaceDE w:val="0"/>
              <w:autoSpaceDN w:val="0"/>
              <w:spacing w:line="247" w:lineRule="exact"/>
              <w:jc w:val="both"/>
              <w:rPr>
                <w:color w:val="000000" w:themeColor="text1"/>
              </w:rPr>
            </w:pPr>
            <w:r w:rsidRPr="00C56257">
              <w:rPr>
                <w:color w:val="000000" w:themeColor="text1"/>
              </w:rPr>
              <w:t>3270</w:t>
            </w:r>
            <w:r w:rsidRPr="00C56257">
              <w:rPr>
                <w:color w:val="000000" w:themeColor="text1"/>
                <w:spacing w:val="-1"/>
              </w:rPr>
              <w:t xml:space="preserve"> </w:t>
            </w:r>
            <w:r w:rsidRPr="00C56257">
              <w:rPr>
                <w:color w:val="000000" w:themeColor="text1"/>
              </w:rPr>
              <w:t>-</w:t>
            </w:r>
            <w:r w:rsidRPr="00C56257">
              <w:rPr>
                <w:color w:val="000000" w:themeColor="text1"/>
                <w:spacing w:val="-5"/>
              </w:rPr>
              <w:t xml:space="preserve"> </w:t>
            </w:r>
            <w:r w:rsidRPr="00C56257">
              <w:rPr>
                <w:color w:val="000000" w:themeColor="text1"/>
              </w:rPr>
              <w:t>Râuri cu</w:t>
            </w:r>
            <w:r w:rsidRPr="00C56257">
              <w:rPr>
                <w:color w:val="000000" w:themeColor="text1"/>
                <w:spacing w:val="-1"/>
              </w:rPr>
              <w:t xml:space="preserve"> </w:t>
            </w:r>
            <w:r w:rsidRPr="00C56257">
              <w:rPr>
                <w:color w:val="000000" w:themeColor="text1"/>
              </w:rPr>
              <w:t>maluri</w:t>
            </w:r>
            <w:r w:rsidRPr="00C56257">
              <w:rPr>
                <w:color w:val="000000" w:themeColor="text1"/>
                <w:spacing w:val="1"/>
              </w:rPr>
              <w:t xml:space="preserve"> </w:t>
            </w:r>
            <w:r w:rsidRPr="00C56257">
              <w:rPr>
                <w:color w:val="000000" w:themeColor="text1"/>
              </w:rPr>
              <w:t>nămoloase</w:t>
            </w:r>
            <w:r w:rsidRPr="00C56257">
              <w:rPr>
                <w:color w:val="000000" w:themeColor="text1"/>
                <w:spacing w:val="-1"/>
              </w:rPr>
              <w:t xml:space="preserve"> </w:t>
            </w:r>
            <w:r w:rsidRPr="00C56257">
              <w:rPr>
                <w:color w:val="000000" w:themeColor="text1"/>
              </w:rPr>
              <w:t>cu</w:t>
            </w:r>
            <w:r w:rsidRPr="00C56257">
              <w:rPr>
                <w:color w:val="000000" w:themeColor="text1"/>
                <w:spacing w:val="-1"/>
              </w:rPr>
              <w:t xml:space="preserve"> </w:t>
            </w:r>
            <w:r w:rsidRPr="00C56257">
              <w:rPr>
                <w:color w:val="000000" w:themeColor="text1"/>
              </w:rPr>
              <w:t>vegetație</w:t>
            </w:r>
            <w:r w:rsidRPr="00C56257">
              <w:rPr>
                <w:color w:val="000000" w:themeColor="text1"/>
                <w:spacing w:val="-1"/>
              </w:rPr>
              <w:t xml:space="preserve"> </w:t>
            </w:r>
            <w:r w:rsidRPr="00C56257">
              <w:rPr>
                <w:color w:val="000000" w:themeColor="text1"/>
              </w:rPr>
              <w:t>din</w:t>
            </w:r>
          </w:p>
          <w:p w14:paraId="4E986EF3" w14:textId="77777777" w:rsidR="007D2E1E" w:rsidRPr="00C56257" w:rsidRDefault="007D2E1E" w:rsidP="008E33FD">
            <w:pPr>
              <w:widowControl w:val="0"/>
              <w:autoSpaceDE w:val="0"/>
              <w:autoSpaceDN w:val="0"/>
              <w:spacing w:before="1" w:line="238" w:lineRule="exact"/>
              <w:jc w:val="both"/>
              <w:rPr>
                <w:color w:val="000000" w:themeColor="text1"/>
              </w:rPr>
            </w:pPr>
            <w:r w:rsidRPr="00C56257">
              <w:rPr>
                <w:i/>
                <w:color w:val="000000" w:themeColor="text1"/>
              </w:rPr>
              <w:t>Chenopodion</w:t>
            </w:r>
            <w:r w:rsidRPr="00C56257">
              <w:rPr>
                <w:i/>
                <w:color w:val="000000" w:themeColor="text1"/>
                <w:spacing w:val="-1"/>
              </w:rPr>
              <w:t xml:space="preserve"> </w:t>
            </w:r>
            <w:r w:rsidRPr="00C56257">
              <w:rPr>
                <w:i/>
                <w:color w:val="000000" w:themeColor="text1"/>
              </w:rPr>
              <w:t>rubri</w:t>
            </w:r>
            <w:r w:rsidRPr="00C56257">
              <w:rPr>
                <w:i/>
                <w:color w:val="000000" w:themeColor="text1"/>
                <w:spacing w:val="1"/>
              </w:rPr>
              <w:t xml:space="preserve"> </w:t>
            </w:r>
            <w:r w:rsidRPr="00C56257">
              <w:rPr>
                <w:i/>
                <w:color w:val="000000" w:themeColor="text1"/>
              </w:rPr>
              <w:t>p.p.</w:t>
            </w:r>
            <w:r w:rsidRPr="00C56257">
              <w:rPr>
                <w:i/>
                <w:color w:val="000000" w:themeColor="text1"/>
                <w:spacing w:val="-3"/>
              </w:rPr>
              <w:t xml:space="preserve"> </w:t>
            </w:r>
            <w:r w:rsidRPr="00C56257">
              <w:rPr>
                <w:i/>
                <w:color w:val="000000" w:themeColor="text1"/>
              </w:rPr>
              <w:t>şi</w:t>
            </w:r>
            <w:r w:rsidRPr="00C56257">
              <w:rPr>
                <w:i/>
                <w:color w:val="000000" w:themeColor="text1"/>
                <w:spacing w:val="-1"/>
              </w:rPr>
              <w:t xml:space="preserve"> </w:t>
            </w:r>
            <w:r w:rsidRPr="00C56257">
              <w:rPr>
                <w:i/>
                <w:color w:val="000000" w:themeColor="text1"/>
              </w:rPr>
              <w:t>Bidention p.p</w:t>
            </w:r>
            <w:r w:rsidRPr="00C56257">
              <w:rPr>
                <w:color w:val="000000" w:themeColor="text1"/>
              </w:rPr>
              <w:t>.</w:t>
            </w:r>
          </w:p>
        </w:tc>
        <w:tc>
          <w:tcPr>
            <w:tcW w:w="708" w:type="dxa"/>
            <w:shd w:val="clear" w:color="auto" w:fill="D9D9D9"/>
          </w:tcPr>
          <w:p w14:paraId="48E53A7E" w14:textId="77777777" w:rsidR="007D2E1E" w:rsidRPr="00C56257" w:rsidRDefault="007D2E1E" w:rsidP="008E33FD">
            <w:pPr>
              <w:widowControl w:val="0"/>
              <w:autoSpaceDE w:val="0"/>
              <w:autoSpaceDN w:val="0"/>
              <w:spacing w:before="125"/>
              <w:jc w:val="both"/>
              <w:rPr>
                <w:b/>
                <w:color w:val="000000" w:themeColor="text1"/>
              </w:rPr>
            </w:pPr>
            <w:r w:rsidRPr="00C56257">
              <w:rPr>
                <w:b/>
                <w:color w:val="000000" w:themeColor="text1"/>
              </w:rPr>
              <w:t>√</w:t>
            </w:r>
          </w:p>
        </w:tc>
        <w:tc>
          <w:tcPr>
            <w:tcW w:w="709" w:type="dxa"/>
            <w:shd w:val="clear" w:color="auto" w:fill="D9D9D9"/>
          </w:tcPr>
          <w:p w14:paraId="1D01C1ED" w14:textId="77777777" w:rsidR="007D2E1E" w:rsidRPr="00C56257" w:rsidRDefault="007D2E1E" w:rsidP="008E33FD">
            <w:pPr>
              <w:widowControl w:val="0"/>
              <w:autoSpaceDE w:val="0"/>
              <w:autoSpaceDN w:val="0"/>
              <w:spacing w:before="125"/>
              <w:jc w:val="both"/>
              <w:rPr>
                <w:b/>
                <w:color w:val="000000" w:themeColor="text1"/>
              </w:rPr>
            </w:pPr>
            <w:r w:rsidRPr="00C56257">
              <w:rPr>
                <w:b/>
                <w:color w:val="000000" w:themeColor="text1"/>
              </w:rPr>
              <w:t>√</w:t>
            </w:r>
          </w:p>
        </w:tc>
        <w:tc>
          <w:tcPr>
            <w:tcW w:w="711" w:type="dxa"/>
          </w:tcPr>
          <w:p w14:paraId="677965E1" w14:textId="77777777" w:rsidR="007D2E1E" w:rsidRPr="00C56257" w:rsidRDefault="007D2E1E" w:rsidP="008E33FD">
            <w:pPr>
              <w:widowControl w:val="0"/>
              <w:autoSpaceDE w:val="0"/>
              <w:autoSpaceDN w:val="0"/>
              <w:jc w:val="both"/>
              <w:rPr>
                <w:color w:val="000000" w:themeColor="text1"/>
              </w:rPr>
            </w:pPr>
          </w:p>
        </w:tc>
        <w:tc>
          <w:tcPr>
            <w:tcW w:w="766" w:type="dxa"/>
            <w:shd w:val="clear" w:color="auto" w:fill="D9D9D9"/>
          </w:tcPr>
          <w:p w14:paraId="37465F33" w14:textId="77777777" w:rsidR="007D2E1E" w:rsidRPr="00C56257" w:rsidRDefault="007D2E1E" w:rsidP="008E33FD">
            <w:pPr>
              <w:widowControl w:val="0"/>
              <w:autoSpaceDE w:val="0"/>
              <w:autoSpaceDN w:val="0"/>
              <w:spacing w:before="125"/>
              <w:jc w:val="both"/>
              <w:rPr>
                <w:b/>
                <w:color w:val="000000" w:themeColor="text1"/>
              </w:rPr>
            </w:pPr>
            <w:r w:rsidRPr="00C56257">
              <w:rPr>
                <w:b/>
                <w:color w:val="000000" w:themeColor="text1"/>
              </w:rPr>
              <w:t>√</w:t>
            </w:r>
          </w:p>
        </w:tc>
        <w:tc>
          <w:tcPr>
            <w:tcW w:w="668" w:type="dxa"/>
            <w:shd w:val="clear" w:color="auto" w:fill="D9D9D9"/>
          </w:tcPr>
          <w:p w14:paraId="21BF080A" w14:textId="77777777" w:rsidR="007D2E1E" w:rsidRPr="00C56257" w:rsidRDefault="007D2E1E" w:rsidP="008E33FD">
            <w:pPr>
              <w:widowControl w:val="0"/>
              <w:autoSpaceDE w:val="0"/>
              <w:autoSpaceDN w:val="0"/>
              <w:spacing w:before="125"/>
              <w:jc w:val="both"/>
              <w:rPr>
                <w:b/>
                <w:color w:val="000000" w:themeColor="text1"/>
              </w:rPr>
            </w:pPr>
            <w:r w:rsidRPr="00C56257">
              <w:rPr>
                <w:b/>
                <w:color w:val="000000" w:themeColor="text1"/>
              </w:rPr>
              <w:t>√</w:t>
            </w:r>
          </w:p>
        </w:tc>
      </w:tr>
    </w:tbl>
    <w:p w14:paraId="0A6BD5F3" w14:textId="77777777" w:rsidR="007D2E1E" w:rsidRPr="00C56257" w:rsidRDefault="007D2E1E" w:rsidP="008E33FD">
      <w:pPr>
        <w:widowControl w:val="0"/>
        <w:autoSpaceDE w:val="0"/>
        <w:autoSpaceDN w:val="0"/>
        <w:jc w:val="both"/>
        <w:rPr>
          <w:color w:val="000000" w:themeColor="text1"/>
        </w:rPr>
      </w:pPr>
    </w:p>
    <w:p w14:paraId="65FB947B" w14:textId="77777777" w:rsidR="007D2E1E" w:rsidRPr="00C56257" w:rsidRDefault="007D2E1E" w:rsidP="008E33FD">
      <w:pPr>
        <w:widowControl w:val="0"/>
        <w:autoSpaceDE w:val="0"/>
        <w:autoSpaceDN w:val="0"/>
        <w:spacing w:before="223"/>
        <w:jc w:val="both"/>
        <w:rPr>
          <w:color w:val="000000" w:themeColor="text1"/>
        </w:rPr>
      </w:pPr>
      <w:r w:rsidRPr="00C56257">
        <w:rPr>
          <w:color w:val="000000" w:themeColor="text1"/>
        </w:rPr>
        <w:t>În</w:t>
      </w:r>
      <w:r w:rsidRPr="00C56257">
        <w:rPr>
          <w:color w:val="000000" w:themeColor="text1"/>
          <w:spacing w:val="-1"/>
        </w:rPr>
        <w:t xml:space="preserve"> </w:t>
      </w:r>
      <w:r w:rsidRPr="00C56257">
        <w:rPr>
          <w:color w:val="000000" w:themeColor="text1"/>
        </w:rPr>
        <w:t>tabelul</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mai jos</w:t>
      </w:r>
      <w:r w:rsidRPr="00C56257">
        <w:rPr>
          <w:color w:val="000000" w:themeColor="text1"/>
          <w:spacing w:val="-1"/>
        </w:rPr>
        <w:t xml:space="preserve"> </w:t>
      </w:r>
      <w:r w:rsidRPr="00C56257">
        <w:rPr>
          <w:color w:val="000000" w:themeColor="text1"/>
        </w:rPr>
        <w:t>sunt</w:t>
      </w:r>
      <w:r w:rsidRPr="00C56257">
        <w:rPr>
          <w:color w:val="000000" w:themeColor="text1"/>
          <w:spacing w:val="-1"/>
        </w:rPr>
        <w:t xml:space="preserve"> </w:t>
      </w:r>
      <w:r w:rsidRPr="00C56257">
        <w:rPr>
          <w:color w:val="000000" w:themeColor="text1"/>
        </w:rPr>
        <w:t>redate perioadele</w:t>
      </w:r>
      <w:r w:rsidRPr="00C56257">
        <w:rPr>
          <w:color w:val="000000" w:themeColor="text1"/>
          <w:spacing w:val="-2"/>
        </w:rPr>
        <w:t xml:space="preserve"> </w:t>
      </w:r>
      <w:r w:rsidRPr="00C56257">
        <w:rPr>
          <w:color w:val="000000" w:themeColor="text1"/>
        </w:rPr>
        <w:t>optime</w:t>
      </w:r>
      <w:r w:rsidRPr="00C56257">
        <w:rPr>
          <w:color w:val="000000" w:themeColor="text1"/>
          <w:spacing w:val="-1"/>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culegere</w:t>
      </w:r>
      <w:r w:rsidRPr="00C56257">
        <w:rPr>
          <w:color w:val="000000" w:themeColor="text1"/>
          <w:spacing w:val="-3"/>
        </w:rPr>
        <w:t xml:space="preserve"> </w:t>
      </w:r>
      <w:r w:rsidRPr="00C56257">
        <w:rPr>
          <w:color w:val="000000" w:themeColor="text1"/>
        </w:rPr>
        <w:t>a</w:t>
      </w:r>
      <w:r w:rsidRPr="00C56257">
        <w:rPr>
          <w:color w:val="000000" w:themeColor="text1"/>
          <w:spacing w:val="-2"/>
        </w:rPr>
        <w:t xml:space="preserve"> </w:t>
      </w:r>
      <w:r w:rsidRPr="00C56257">
        <w:rPr>
          <w:color w:val="000000" w:themeColor="text1"/>
        </w:rPr>
        <w:t>datelor</w:t>
      </w:r>
      <w:r w:rsidRPr="00C56257">
        <w:rPr>
          <w:color w:val="000000" w:themeColor="text1"/>
          <w:spacing w:val="-2"/>
        </w:rPr>
        <w:t xml:space="preserve"> </w:t>
      </w:r>
      <w:r w:rsidRPr="00C56257">
        <w:rPr>
          <w:color w:val="000000" w:themeColor="text1"/>
        </w:rPr>
        <w:t>în</w:t>
      </w:r>
      <w:r w:rsidRPr="00C56257">
        <w:rPr>
          <w:color w:val="000000" w:themeColor="text1"/>
          <w:spacing w:val="2"/>
        </w:rPr>
        <w:t xml:space="preserve"> </w:t>
      </w:r>
      <w:r w:rsidRPr="00C56257">
        <w:rPr>
          <w:color w:val="000000" w:themeColor="text1"/>
        </w:rPr>
        <w:t>cadrul</w:t>
      </w:r>
      <w:r w:rsidRPr="00C56257">
        <w:rPr>
          <w:color w:val="000000" w:themeColor="text1"/>
          <w:spacing w:val="-1"/>
        </w:rPr>
        <w:t xml:space="preserve"> </w:t>
      </w:r>
      <w:r w:rsidRPr="00C56257">
        <w:rPr>
          <w:color w:val="000000" w:themeColor="text1"/>
        </w:rPr>
        <w:t>habitatelor</w:t>
      </w:r>
      <w:r w:rsidRPr="00C56257">
        <w:rPr>
          <w:color w:val="000000" w:themeColor="text1"/>
          <w:spacing w:val="-1"/>
        </w:rPr>
        <w:t xml:space="preserve"> </w:t>
      </w:r>
      <w:r w:rsidRPr="00C56257">
        <w:rPr>
          <w:color w:val="000000" w:themeColor="text1"/>
        </w:rPr>
        <w:t>țintă</w:t>
      </w:r>
    </w:p>
    <w:p w14:paraId="7F7C1E47" w14:textId="77777777" w:rsidR="007D2E1E" w:rsidRPr="00C56257" w:rsidRDefault="007D2E1E" w:rsidP="008E33FD">
      <w:pPr>
        <w:widowControl w:val="0"/>
        <w:autoSpaceDE w:val="0"/>
        <w:autoSpaceDN w:val="0"/>
        <w:spacing w:before="9"/>
        <w:jc w:val="both"/>
        <w:rPr>
          <w:color w:val="000000" w:themeColor="text1"/>
        </w:rPr>
      </w:pPr>
    </w:p>
    <w:tbl>
      <w:tblPr>
        <w:tblW w:w="954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86"/>
        <w:gridCol w:w="2657"/>
        <w:gridCol w:w="2050"/>
        <w:gridCol w:w="2047"/>
      </w:tblGrid>
      <w:tr w:rsidR="007D2E1E" w:rsidRPr="00C56257" w14:paraId="0F723618" w14:textId="77777777" w:rsidTr="00F52FE8">
        <w:trPr>
          <w:trHeight w:val="251"/>
        </w:trPr>
        <w:tc>
          <w:tcPr>
            <w:tcW w:w="2786" w:type="dxa"/>
          </w:tcPr>
          <w:p w14:paraId="57A283B3" w14:textId="77777777" w:rsidR="007D2E1E" w:rsidRPr="00C56257" w:rsidRDefault="007D2E1E" w:rsidP="008E33FD">
            <w:pPr>
              <w:widowControl w:val="0"/>
              <w:autoSpaceDE w:val="0"/>
              <w:autoSpaceDN w:val="0"/>
              <w:spacing w:line="232" w:lineRule="exact"/>
              <w:jc w:val="both"/>
              <w:rPr>
                <w:b/>
                <w:color w:val="000000" w:themeColor="text1"/>
              </w:rPr>
            </w:pPr>
            <w:r w:rsidRPr="00C56257">
              <w:rPr>
                <w:b/>
                <w:color w:val="000000" w:themeColor="text1"/>
              </w:rPr>
              <w:lastRenderedPageBreak/>
              <w:t>Tip</w:t>
            </w:r>
            <w:r w:rsidRPr="00C56257">
              <w:rPr>
                <w:b/>
                <w:color w:val="000000" w:themeColor="text1"/>
                <w:spacing w:val="-1"/>
              </w:rPr>
              <w:t xml:space="preserve"> </w:t>
            </w:r>
            <w:r w:rsidRPr="00C56257">
              <w:rPr>
                <w:b/>
                <w:color w:val="000000" w:themeColor="text1"/>
              </w:rPr>
              <w:t>habitat</w:t>
            </w:r>
          </w:p>
        </w:tc>
        <w:tc>
          <w:tcPr>
            <w:tcW w:w="2657" w:type="dxa"/>
          </w:tcPr>
          <w:p w14:paraId="10A35840" w14:textId="77777777" w:rsidR="007D2E1E" w:rsidRPr="00C56257" w:rsidRDefault="007D2E1E" w:rsidP="008E33FD">
            <w:pPr>
              <w:widowControl w:val="0"/>
              <w:autoSpaceDE w:val="0"/>
              <w:autoSpaceDN w:val="0"/>
              <w:spacing w:line="232" w:lineRule="exact"/>
              <w:jc w:val="both"/>
              <w:rPr>
                <w:b/>
                <w:color w:val="000000" w:themeColor="text1"/>
              </w:rPr>
            </w:pPr>
            <w:r w:rsidRPr="00C56257">
              <w:rPr>
                <w:b/>
                <w:color w:val="000000" w:themeColor="text1"/>
              </w:rPr>
              <w:t>Tipul</w:t>
            </w:r>
            <w:r w:rsidRPr="00C56257">
              <w:rPr>
                <w:b/>
                <w:color w:val="000000" w:themeColor="text1"/>
                <w:spacing w:val="-1"/>
              </w:rPr>
              <w:t xml:space="preserve"> </w:t>
            </w:r>
            <w:r w:rsidRPr="00C56257">
              <w:rPr>
                <w:b/>
                <w:color w:val="000000" w:themeColor="text1"/>
              </w:rPr>
              <w:t>de</w:t>
            </w:r>
            <w:r w:rsidRPr="00C56257">
              <w:rPr>
                <w:b/>
                <w:color w:val="000000" w:themeColor="text1"/>
                <w:spacing w:val="-4"/>
              </w:rPr>
              <w:t xml:space="preserve"> </w:t>
            </w:r>
            <w:r w:rsidRPr="00C56257">
              <w:rPr>
                <w:b/>
                <w:color w:val="000000" w:themeColor="text1"/>
              </w:rPr>
              <w:t>fitocenoză</w:t>
            </w:r>
          </w:p>
        </w:tc>
        <w:tc>
          <w:tcPr>
            <w:tcW w:w="2050" w:type="dxa"/>
          </w:tcPr>
          <w:p w14:paraId="657D4A24" w14:textId="77777777" w:rsidR="007D2E1E" w:rsidRPr="00C56257" w:rsidRDefault="007D2E1E" w:rsidP="008E33FD">
            <w:pPr>
              <w:widowControl w:val="0"/>
              <w:autoSpaceDE w:val="0"/>
              <w:autoSpaceDN w:val="0"/>
              <w:spacing w:line="232" w:lineRule="exact"/>
              <w:ind w:right="162"/>
              <w:jc w:val="both"/>
              <w:rPr>
                <w:b/>
                <w:color w:val="000000" w:themeColor="text1"/>
              </w:rPr>
            </w:pPr>
            <w:r w:rsidRPr="00C56257">
              <w:rPr>
                <w:b/>
                <w:color w:val="000000" w:themeColor="text1"/>
              </w:rPr>
              <w:t>Aspectul</w:t>
            </w:r>
            <w:r w:rsidRPr="00C56257">
              <w:rPr>
                <w:b/>
                <w:color w:val="000000" w:themeColor="text1"/>
                <w:spacing w:val="-1"/>
              </w:rPr>
              <w:t xml:space="preserve"> </w:t>
            </w:r>
            <w:r w:rsidRPr="00C56257">
              <w:rPr>
                <w:b/>
                <w:color w:val="000000" w:themeColor="text1"/>
              </w:rPr>
              <w:t>surprins</w:t>
            </w:r>
          </w:p>
        </w:tc>
        <w:tc>
          <w:tcPr>
            <w:tcW w:w="2047" w:type="dxa"/>
          </w:tcPr>
          <w:p w14:paraId="12923E71" w14:textId="77777777" w:rsidR="007D2E1E" w:rsidRPr="00C56257" w:rsidRDefault="007D2E1E" w:rsidP="008E33FD">
            <w:pPr>
              <w:widowControl w:val="0"/>
              <w:autoSpaceDE w:val="0"/>
              <w:autoSpaceDN w:val="0"/>
              <w:spacing w:line="232" w:lineRule="exact"/>
              <w:ind w:right="329"/>
              <w:jc w:val="both"/>
              <w:rPr>
                <w:b/>
                <w:color w:val="000000" w:themeColor="text1"/>
              </w:rPr>
            </w:pPr>
            <w:r w:rsidRPr="00C56257">
              <w:rPr>
                <w:b/>
                <w:color w:val="000000" w:themeColor="text1"/>
              </w:rPr>
              <w:t>Perioada</w:t>
            </w:r>
            <w:r w:rsidRPr="00C56257">
              <w:rPr>
                <w:b/>
                <w:color w:val="000000" w:themeColor="text1"/>
                <w:spacing w:val="-1"/>
              </w:rPr>
              <w:t xml:space="preserve"> </w:t>
            </w:r>
            <w:r w:rsidRPr="00C56257">
              <w:rPr>
                <w:b/>
                <w:color w:val="000000" w:themeColor="text1"/>
              </w:rPr>
              <w:t>optimă</w:t>
            </w:r>
          </w:p>
        </w:tc>
      </w:tr>
      <w:tr w:rsidR="007D2E1E" w:rsidRPr="00C56257" w14:paraId="4D646C90" w14:textId="77777777" w:rsidTr="00F52FE8">
        <w:trPr>
          <w:trHeight w:val="253"/>
        </w:trPr>
        <w:tc>
          <w:tcPr>
            <w:tcW w:w="2786" w:type="dxa"/>
            <w:vMerge w:val="restart"/>
          </w:tcPr>
          <w:p w14:paraId="2B91DD4F" w14:textId="77777777" w:rsidR="007D2E1E" w:rsidRPr="00C56257" w:rsidRDefault="007D2E1E" w:rsidP="008E33FD">
            <w:pPr>
              <w:widowControl w:val="0"/>
              <w:autoSpaceDE w:val="0"/>
              <w:autoSpaceDN w:val="0"/>
              <w:spacing w:before="11"/>
              <w:jc w:val="both"/>
              <w:rPr>
                <w:color w:val="000000" w:themeColor="text1"/>
              </w:rPr>
            </w:pPr>
          </w:p>
          <w:p w14:paraId="15E3E815" w14:textId="77777777" w:rsidR="007D2E1E" w:rsidRPr="00C56257" w:rsidRDefault="007D2E1E" w:rsidP="008E33FD">
            <w:pPr>
              <w:widowControl w:val="0"/>
              <w:autoSpaceDE w:val="0"/>
              <w:autoSpaceDN w:val="0"/>
              <w:ind w:right="284"/>
              <w:jc w:val="both"/>
              <w:rPr>
                <w:b/>
                <w:color w:val="000000" w:themeColor="text1"/>
              </w:rPr>
            </w:pPr>
            <w:r w:rsidRPr="00C56257">
              <w:rPr>
                <w:b/>
                <w:color w:val="000000" w:themeColor="text1"/>
              </w:rPr>
              <w:t>HABITATE DE</w:t>
            </w:r>
            <w:r w:rsidRPr="00C56257">
              <w:rPr>
                <w:b/>
                <w:color w:val="000000" w:themeColor="text1"/>
                <w:spacing w:val="-53"/>
              </w:rPr>
              <w:t xml:space="preserve"> </w:t>
            </w:r>
            <w:r w:rsidRPr="00C56257">
              <w:rPr>
                <w:b/>
                <w:color w:val="000000" w:themeColor="text1"/>
              </w:rPr>
              <w:t>APĂ</w:t>
            </w:r>
            <w:r w:rsidRPr="00C56257">
              <w:rPr>
                <w:b/>
                <w:color w:val="000000" w:themeColor="text1"/>
                <w:spacing w:val="50"/>
              </w:rPr>
              <w:t xml:space="preserve"> </w:t>
            </w:r>
            <w:r w:rsidRPr="00C56257">
              <w:rPr>
                <w:b/>
                <w:color w:val="000000" w:themeColor="text1"/>
              </w:rPr>
              <w:t>DULCE</w:t>
            </w:r>
          </w:p>
        </w:tc>
        <w:tc>
          <w:tcPr>
            <w:tcW w:w="2657" w:type="dxa"/>
            <w:vMerge w:val="restart"/>
          </w:tcPr>
          <w:p w14:paraId="634B32F0" w14:textId="77777777" w:rsidR="007D2E1E" w:rsidRPr="00C56257" w:rsidRDefault="007D2E1E" w:rsidP="008E33FD">
            <w:pPr>
              <w:widowControl w:val="0"/>
              <w:autoSpaceDE w:val="0"/>
              <w:autoSpaceDN w:val="0"/>
              <w:ind w:right="1649"/>
              <w:jc w:val="both"/>
              <w:rPr>
                <w:color w:val="000000" w:themeColor="text1"/>
              </w:rPr>
            </w:pPr>
            <w:r w:rsidRPr="00C56257">
              <w:rPr>
                <w:color w:val="000000" w:themeColor="text1"/>
              </w:rPr>
              <w:t>oligotrofe</w:t>
            </w:r>
            <w:r w:rsidRPr="00C56257">
              <w:rPr>
                <w:color w:val="000000" w:themeColor="text1"/>
                <w:spacing w:val="-52"/>
              </w:rPr>
              <w:t xml:space="preserve"> </w:t>
            </w:r>
            <w:r w:rsidRPr="00C56257">
              <w:rPr>
                <w:color w:val="000000" w:themeColor="text1"/>
              </w:rPr>
              <w:t>eutrofe</w:t>
            </w:r>
            <w:r w:rsidRPr="00C56257">
              <w:rPr>
                <w:color w:val="000000" w:themeColor="text1"/>
                <w:spacing w:val="1"/>
              </w:rPr>
              <w:t xml:space="preserve"> </w:t>
            </w:r>
            <w:r w:rsidRPr="00C56257">
              <w:rPr>
                <w:color w:val="000000" w:themeColor="text1"/>
              </w:rPr>
              <w:t>palustre</w:t>
            </w:r>
          </w:p>
          <w:p w14:paraId="56EDFBB3" w14:textId="77777777" w:rsidR="007D2E1E" w:rsidRPr="00C56257" w:rsidRDefault="007D2E1E" w:rsidP="008E33FD">
            <w:pPr>
              <w:widowControl w:val="0"/>
              <w:autoSpaceDE w:val="0"/>
              <w:autoSpaceDN w:val="0"/>
              <w:spacing w:line="238" w:lineRule="exact"/>
              <w:jc w:val="both"/>
              <w:rPr>
                <w:color w:val="000000" w:themeColor="text1"/>
              </w:rPr>
            </w:pPr>
            <w:r w:rsidRPr="00C56257">
              <w:rPr>
                <w:color w:val="000000" w:themeColor="text1"/>
              </w:rPr>
              <w:t>acvatice</w:t>
            </w:r>
          </w:p>
        </w:tc>
        <w:tc>
          <w:tcPr>
            <w:tcW w:w="2050" w:type="dxa"/>
          </w:tcPr>
          <w:p w14:paraId="02DDEC0E" w14:textId="77777777" w:rsidR="007D2E1E" w:rsidRPr="00C56257" w:rsidRDefault="007D2E1E" w:rsidP="008E33FD">
            <w:pPr>
              <w:widowControl w:val="0"/>
              <w:autoSpaceDE w:val="0"/>
              <w:autoSpaceDN w:val="0"/>
              <w:spacing w:line="234" w:lineRule="exact"/>
              <w:ind w:right="162"/>
              <w:jc w:val="both"/>
              <w:rPr>
                <w:color w:val="000000" w:themeColor="text1"/>
              </w:rPr>
            </w:pPr>
            <w:r w:rsidRPr="00C56257">
              <w:rPr>
                <w:color w:val="000000" w:themeColor="text1"/>
              </w:rPr>
              <w:t>Vernal</w:t>
            </w:r>
          </w:p>
        </w:tc>
        <w:tc>
          <w:tcPr>
            <w:tcW w:w="2047" w:type="dxa"/>
          </w:tcPr>
          <w:p w14:paraId="16B58964" w14:textId="77777777" w:rsidR="007D2E1E" w:rsidRPr="00C56257" w:rsidRDefault="007D2E1E" w:rsidP="008E33FD">
            <w:pPr>
              <w:widowControl w:val="0"/>
              <w:autoSpaceDE w:val="0"/>
              <w:autoSpaceDN w:val="0"/>
              <w:spacing w:line="234" w:lineRule="exact"/>
              <w:ind w:right="329"/>
              <w:jc w:val="both"/>
              <w:rPr>
                <w:color w:val="000000" w:themeColor="text1"/>
              </w:rPr>
            </w:pPr>
            <w:r w:rsidRPr="00C56257">
              <w:rPr>
                <w:color w:val="000000" w:themeColor="text1"/>
              </w:rPr>
              <w:t>III-V</w:t>
            </w:r>
          </w:p>
        </w:tc>
      </w:tr>
      <w:tr w:rsidR="007D2E1E" w:rsidRPr="00C56257" w14:paraId="5218E64A" w14:textId="77777777" w:rsidTr="00F52FE8">
        <w:trPr>
          <w:trHeight w:val="251"/>
        </w:trPr>
        <w:tc>
          <w:tcPr>
            <w:tcW w:w="2786" w:type="dxa"/>
            <w:vMerge/>
            <w:tcBorders>
              <w:top w:val="nil"/>
            </w:tcBorders>
          </w:tcPr>
          <w:p w14:paraId="20A5B9BD" w14:textId="77777777" w:rsidR="007D2E1E" w:rsidRPr="00C56257" w:rsidRDefault="007D2E1E" w:rsidP="008E33FD">
            <w:pPr>
              <w:widowControl w:val="0"/>
              <w:autoSpaceDE w:val="0"/>
              <w:autoSpaceDN w:val="0"/>
              <w:jc w:val="both"/>
              <w:rPr>
                <w:color w:val="000000" w:themeColor="text1"/>
              </w:rPr>
            </w:pPr>
          </w:p>
        </w:tc>
        <w:tc>
          <w:tcPr>
            <w:tcW w:w="2657" w:type="dxa"/>
            <w:vMerge/>
            <w:tcBorders>
              <w:top w:val="nil"/>
            </w:tcBorders>
          </w:tcPr>
          <w:p w14:paraId="10D350F1" w14:textId="77777777" w:rsidR="007D2E1E" w:rsidRPr="00C56257" w:rsidRDefault="007D2E1E" w:rsidP="008E33FD">
            <w:pPr>
              <w:widowControl w:val="0"/>
              <w:autoSpaceDE w:val="0"/>
              <w:autoSpaceDN w:val="0"/>
              <w:jc w:val="both"/>
              <w:rPr>
                <w:color w:val="000000" w:themeColor="text1"/>
              </w:rPr>
            </w:pPr>
          </w:p>
        </w:tc>
        <w:tc>
          <w:tcPr>
            <w:tcW w:w="2050" w:type="dxa"/>
          </w:tcPr>
          <w:p w14:paraId="15D4F9C1" w14:textId="77777777" w:rsidR="007D2E1E" w:rsidRPr="00C56257" w:rsidRDefault="007D2E1E" w:rsidP="008E33FD">
            <w:pPr>
              <w:widowControl w:val="0"/>
              <w:autoSpaceDE w:val="0"/>
              <w:autoSpaceDN w:val="0"/>
              <w:spacing w:line="232" w:lineRule="exact"/>
              <w:ind w:right="162"/>
              <w:jc w:val="both"/>
              <w:rPr>
                <w:color w:val="000000" w:themeColor="text1"/>
              </w:rPr>
            </w:pPr>
            <w:r w:rsidRPr="00C56257">
              <w:rPr>
                <w:color w:val="000000" w:themeColor="text1"/>
              </w:rPr>
              <w:t>Estival</w:t>
            </w:r>
          </w:p>
        </w:tc>
        <w:tc>
          <w:tcPr>
            <w:tcW w:w="2047" w:type="dxa"/>
          </w:tcPr>
          <w:p w14:paraId="267E308A" w14:textId="77777777" w:rsidR="007D2E1E" w:rsidRPr="00C56257" w:rsidRDefault="007D2E1E" w:rsidP="008E33FD">
            <w:pPr>
              <w:widowControl w:val="0"/>
              <w:autoSpaceDE w:val="0"/>
              <w:autoSpaceDN w:val="0"/>
              <w:spacing w:line="232" w:lineRule="exact"/>
              <w:ind w:right="329"/>
              <w:jc w:val="both"/>
              <w:rPr>
                <w:color w:val="000000" w:themeColor="text1"/>
              </w:rPr>
            </w:pPr>
            <w:r w:rsidRPr="00C56257">
              <w:rPr>
                <w:color w:val="000000" w:themeColor="text1"/>
              </w:rPr>
              <w:t>VI-VIII</w:t>
            </w:r>
          </w:p>
        </w:tc>
      </w:tr>
      <w:tr w:rsidR="007D2E1E" w:rsidRPr="00C56257" w14:paraId="3A8CB4AE" w14:textId="77777777" w:rsidTr="00F52FE8">
        <w:trPr>
          <w:trHeight w:val="486"/>
        </w:trPr>
        <w:tc>
          <w:tcPr>
            <w:tcW w:w="2786" w:type="dxa"/>
            <w:vMerge/>
            <w:tcBorders>
              <w:top w:val="nil"/>
            </w:tcBorders>
          </w:tcPr>
          <w:p w14:paraId="20477BA7" w14:textId="77777777" w:rsidR="007D2E1E" w:rsidRPr="00C56257" w:rsidRDefault="007D2E1E" w:rsidP="008E33FD">
            <w:pPr>
              <w:widowControl w:val="0"/>
              <w:autoSpaceDE w:val="0"/>
              <w:autoSpaceDN w:val="0"/>
              <w:jc w:val="both"/>
              <w:rPr>
                <w:color w:val="000000" w:themeColor="text1"/>
              </w:rPr>
            </w:pPr>
          </w:p>
        </w:tc>
        <w:tc>
          <w:tcPr>
            <w:tcW w:w="2657" w:type="dxa"/>
            <w:vMerge/>
            <w:tcBorders>
              <w:top w:val="nil"/>
            </w:tcBorders>
          </w:tcPr>
          <w:p w14:paraId="715F762E" w14:textId="77777777" w:rsidR="007D2E1E" w:rsidRPr="00C56257" w:rsidRDefault="007D2E1E" w:rsidP="008E33FD">
            <w:pPr>
              <w:widowControl w:val="0"/>
              <w:autoSpaceDE w:val="0"/>
              <w:autoSpaceDN w:val="0"/>
              <w:jc w:val="both"/>
              <w:rPr>
                <w:color w:val="000000" w:themeColor="text1"/>
              </w:rPr>
            </w:pPr>
          </w:p>
        </w:tc>
        <w:tc>
          <w:tcPr>
            <w:tcW w:w="2050" w:type="dxa"/>
          </w:tcPr>
          <w:p w14:paraId="7645AB9C" w14:textId="77777777" w:rsidR="007D2E1E" w:rsidRPr="00C56257" w:rsidRDefault="007D2E1E" w:rsidP="008E33FD">
            <w:pPr>
              <w:widowControl w:val="0"/>
              <w:autoSpaceDE w:val="0"/>
              <w:autoSpaceDN w:val="0"/>
              <w:spacing w:before="111"/>
              <w:ind w:right="162"/>
              <w:jc w:val="both"/>
              <w:rPr>
                <w:color w:val="000000" w:themeColor="text1"/>
              </w:rPr>
            </w:pPr>
            <w:r w:rsidRPr="00C56257">
              <w:rPr>
                <w:color w:val="000000" w:themeColor="text1"/>
              </w:rPr>
              <w:t>Autumnal</w:t>
            </w:r>
          </w:p>
        </w:tc>
        <w:tc>
          <w:tcPr>
            <w:tcW w:w="2047" w:type="dxa"/>
          </w:tcPr>
          <w:p w14:paraId="69D564E6" w14:textId="77777777" w:rsidR="007D2E1E" w:rsidRPr="00C56257" w:rsidRDefault="007D2E1E" w:rsidP="008E33FD">
            <w:pPr>
              <w:widowControl w:val="0"/>
              <w:autoSpaceDE w:val="0"/>
              <w:autoSpaceDN w:val="0"/>
              <w:spacing w:before="111"/>
              <w:ind w:right="323"/>
              <w:jc w:val="both"/>
              <w:rPr>
                <w:color w:val="000000" w:themeColor="text1"/>
              </w:rPr>
            </w:pPr>
            <w:r w:rsidRPr="00C56257">
              <w:rPr>
                <w:color w:val="000000" w:themeColor="text1"/>
              </w:rPr>
              <w:t>IX-XI</w:t>
            </w:r>
          </w:p>
        </w:tc>
      </w:tr>
    </w:tbl>
    <w:p w14:paraId="42FC4AFB" w14:textId="77777777" w:rsidR="007D2E1E" w:rsidRPr="00C56257" w:rsidRDefault="007D2E1E" w:rsidP="008E33FD">
      <w:pPr>
        <w:widowControl w:val="0"/>
        <w:autoSpaceDE w:val="0"/>
        <w:autoSpaceDN w:val="0"/>
        <w:jc w:val="both"/>
        <w:rPr>
          <w:color w:val="000000" w:themeColor="text1"/>
        </w:rPr>
      </w:pPr>
    </w:p>
    <w:p w14:paraId="63D55BDE" w14:textId="77777777" w:rsidR="007D2E1E" w:rsidRPr="00C56257" w:rsidRDefault="007D2E1E" w:rsidP="008E33FD">
      <w:pPr>
        <w:widowControl w:val="0"/>
        <w:autoSpaceDE w:val="0"/>
        <w:autoSpaceDN w:val="0"/>
        <w:spacing w:before="10"/>
        <w:jc w:val="both"/>
        <w:rPr>
          <w:color w:val="000000" w:themeColor="text1"/>
        </w:rPr>
      </w:pPr>
    </w:p>
    <w:p w14:paraId="0B3247F1" w14:textId="77777777" w:rsidR="007D2E1E" w:rsidRPr="00C56257" w:rsidRDefault="007D2E1E" w:rsidP="008E33FD">
      <w:pPr>
        <w:widowControl w:val="0"/>
        <w:tabs>
          <w:tab w:val="left" w:pos="1195"/>
        </w:tabs>
        <w:autoSpaceDE w:val="0"/>
        <w:autoSpaceDN w:val="0"/>
        <w:spacing w:before="1"/>
        <w:jc w:val="both"/>
        <w:outlineLvl w:val="1"/>
        <w:rPr>
          <w:rFonts w:eastAsia="Cambria"/>
          <w:b/>
          <w:bCs/>
          <w:color w:val="000000" w:themeColor="text1"/>
        </w:rPr>
      </w:pPr>
      <w:r w:rsidRPr="00C56257">
        <w:rPr>
          <w:rFonts w:eastAsia="Cambria"/>
          <w:b/>
          <w:bCs/>
          <w:color w:val="000000" w:themeColor="text1"/>
        </w:rPr>
        <w:t>Utilizarea</w:t>
      </w:r>
      <w:r w:rsidRPr="00C56257">
        <w:rPr>
          <w:rFonts w:eastAsia="Cambria"/>
          <w:b/>
          <w:bCs/>
          <w:color w:val="000000" w:themeColor="text1"/>
          <w:spacing w:val="-6"/>
        </w:rPr>
        <w:t xml:space="preserve"> </w:t>
      </w:r>
      <w:r w:rsidRPr="00C56257">
        <w:rPr>
          <w:rFonts w:eastAsia="Cambria"/>
          <w:b/>
          <w:bCs/>
          <w:color w:val="000000" w:themeColor="text1"/>
        </w:rPr>
        <w:t>hărților</w:t>
      </w:r>
    </w:p>
    <w:p w14:paraId="22FE986F" w14:textId="77777777" w:rsidR="007D2E1E" w:rsidRPr="00C56257" w:rsidRDefault="007D2E1E" w:rsidP="00FA0AE6">
      <w:pPr>
        <w:widowControl w:val="0"/>
        <w:autoSpaceDE w:val="0"/>
        <w:autoSpaceDN w:val="0"/>
        <w:spacing w:before="154"/>
        <w:ind w:right="27"/>
        <w:jc w:val="both"/>
        <w:rPr>
          <w:color w:val="000000" w:themeColor="text1"/>
        </w:rPr>
      </w:pPr>
      <w:r w:rsidRPr="00C56257">
        <w:rPr>
          <w:color w:val="000000" w:themeColor="text1"/>
        </w:rPr>
        <w:t>Obiectivele specifice propuse în cadrul programului de monitorizare nu pot fi atinse fără o alegere</w:t>
      </w:r>
      <w:r w:rsidRPr="00C56257">
        <w:rPr>
          <w:color w:val="000000" w:themeColor="text1"/>
          <w:spacing w:val="1"/>
        </w:rPr>
        <w:t xml:space="preserve"> </w:t>
      </w:r>
      <w:r w:rsidRPr="00C56257">
        <w:rPr>
          <w:color w:val="000000" w:themeColor="text1"/>
        </w:rPr>
        <w:t>riguroasă a atributelor care trebuie măsurate, a tipului de date colectate şi a metodelor utilizate</w:t>
      </w:r>
      <w:r w:rsidRPr="00C56257">
        <w:rPr>
          <w:color w:val="000000" w:themeColor="text1"/>
          <w:spacing w:val="1"/>
        </w:rPr>
        <w:t xml:space="preserve"> </w:t>
      </w:r>
      <w:r w:rsidRPr="00C56257">
        <w:rPr>
          <w:color w:val="000000" w:themeColor="text1"/>
        </w:rPr>
        <w:t>pentru colectarea acestora. Alegerea variabilelor care vor fi monitorizate şi a metodelor de lucru se</w:t>
      </w:r>
      <w:r w:rsidRPr="00C56257">
        <w:rPr>
          <w:color w:val="000000" w:themeColor="text1"/>
          <w:spacing w:val="1"/>
        </w:rPr>
        <w:t xml:space="preserve"> </w:t>
      </w:r>
      <w:r w:rsidRPr="00C56257">
        <w:rPr>
          <w:color w:val="000000" w:themeColor="text1"/>
        </w:rPr>
        <w:t>va face în același timp cu definirea obiectivelor principale ale ghidului sintetic, cele două procese</w:t>
      </w:r>
      <w:r w:rsidRPr="00C56257">
        <w:rPr>
          <w:color w:val="000000" w:themeColor="text1"/>
          <w:spacing w:val="1"/>
        </w:rPr>
        <w:t xml:space="preserve"> </w:t>
      </w:r>
      <w:r w:rsidRPr="00C56257">
        <w:rPr>
          <w:color w:val="000000" w:themeColor="text1"/>
        </w:rPr>
        <w:t>fiind</w:t>
      </w:r>
      <w:r w:rsidRPr="00C56257">
        <w:rPr>
          <w:color w:val="000000" w:themeColor="text1"/>
          <w:spacing w:val="-1"/>
        </w:rPr>
        <w:t xml:space="preserve"> </w:t>
      </w:r>
      <w:r w:rsidRPr="00C56257">
        <w:rPr>
          <w:color w:val="000000" w:themeColor="text1"/>
        </w:rPr>
        <w:t>strâns corelate</w:t>
      </w:r>
      <w:r w:rsidRPr="00C56257">
        <w:rPr>
          <w:color w:val="000000" w:themeColor="text1"/>
          <w:spacing w:val="-1"/>
        </w:rPr>
        <w:t xml:space="preserve"> </w:t>
      </w:r>
      <w:r w:rsidRPr="00C56257">
        <w:rPr>
          <w:color w:val="000000" w:themeColor="text1"/>
        </w:rPr>
        <w:t>între</w:t>
      </w:r>
      <w:r w:rsidRPr="00C56257">
        <w:rPr>
          <w:color w:val="000000" w:themeColor="text1"/>
          <w:spacing w:val="1"/>
        </w:rPr>
        <w:t xml:space="preserve"> </w:t>
      </w:r>
      <w:r w:rsidRPr="00C56257">
        <w:rPr>
          <w:color w:val="000000" w:themeColor="text1"/>
        </w:rPr>
        <w:t>ele.</w:t>
      </w:r>
    </w:p>
    <w:p w14:paraId="1C2A906D" w14:textId="77777777" w:rsidR="007D2E1E" w:rsidRPr="00C56257" w:rsidRDefault="007D2E1E" w:rsidP="00FA0AE6">
      <w:pPr>
        <w:widowControl w:val="0"/>
        <w:autoSpaceDE w:val="0"/>
        <w:autoSpaceDN w:val="0"/>
        <w:spacing w:before="64" w:line="242" w:lineRule="auto"/>
        <w:ind w:right="27"/>
        <w:jc w:val="both"/>
        <w:rPr>
          <w:color w:val="000000" w:themeColor="text1"/>
        </w:rPr>
      </w:pPr>
      <w:r w:rsidRPr="00C56257">
        <w:rPr>
          <w:color w:val="000000" w:themeColor="text1"/>
        </w:rPr>
        <w:t>Exemplu: Harta de distribuție pentru habitatul de apă</w:t>
      </w:r>
      <w:r w:rsidRPr="00C56257">
        <w:rPr>
          <w:color w:val="000000" w:themeColor="text1"/>
          <w:spacing w:val="1"/>
        </w:rPr>
        <w:t xml:space="preserve"> </w:t>
      </w:r>
      <w:r w:rsidRPr="00C56257">
        <w:rPr>
          <w:color w:val="000000" w:themeColor="text1"/>
        </w:rPr>
        <w:t>dulce</w:t>
      </w:r>
      <w:r w:rsidRPr="00C56257">
        <w:rPr>
          <w:color w:val="000000" w:themeColor="text1"/>
          <w:spacing w:val="1"/>
        </w:rPr>
        <w:t xml:space="preserve"> </w:t>
      </w:r>
      <w:r w:rsidRPr="00C56257">
        <w:rPr>
          <w:i/>
          <w:color w:val="000000" w:themeColor="text1"/>
        </w:rPr>
        <w:t>3230 Vegetaţie lemnoasă cu Myricaria</w:t>
      </w:r>
      <w:r w:rsidRPr="00C56257">
        <w:rPr>
          <w:i/>
          <w:color w:val="000000" w:themeColor="text1"/>
          <w:spacing w:val="1"/>
        </w:rPr>
        <w:t xml:space="preserve"> </w:t>
      </w:r>
      <w:r w:rsidRPr="00C56257">
        <w:rPr>
          <w:i/>
          <w:color w:val="000000" w:themeColor="text1"/>
        </w:rPr>
        <w:t>germanica</w:t>
      </w:r>
      <w:r w:rsidRPr="00C56257">
        <w:rPr>
          <w:i/>
          <w:color w:val="000000" w:themeColor="text1"/>
          <w:spacing w:val="-1"/>
        </w:rPr>
        <w:t xml:space="preserve"> </w:t>
      </w:r>
      <w:r w:rsidRPr="00C56257">
        <w:rPr>
          <w:i/>
          <w:color w:val="000000" w:themeColor="text1"/>
        </w:rPr>
        <w:t>de-a</w:t>
      </w:r>
      <w:r w:rsidRPr="00C56257">
        <w:rPr>
          <w:i/>
          <w:color w:val="000000" w:themeColor="text1"/>
          <w:spacing w:val="-3"/>
        </w:rPr>
        <w:t xml:space="preserve"> </w:t>
      </w:r>
      <w:r w:rsidRPr="00C56257">
        <w:rPr>
          <w:i/>
          <w:color w:val="000000" w:themeColor="text1"/>
        </w:rPr>
        <w:t>lungul</w:t>
      </w:r>
      <w:r w:rsidRPr="00C56257">
        <w:rPr>
          <w:i/>
          <w:color w:val="000000" w:themeColor="text1"/>
          <w:spacing w:val="1"/>
        </w:rPr>
        <w:t xml:space="preserve"> </w:t>
      </w:r>
      <w:r w:rsidRPr="00C56257">
        <w:rPr>
          <w:i/>
          <w:color w:val="000000" w:themeColor="text1"/>
        </w:rPr>
        <w:t>râurilor montane</w:t>
      </w:r>
      <w:r w:rsidRPr="00C56257">
        <w:rPr>
          <w:color w:val="000000" w:themeColor="text1"/>
        </w:rPr>
        <w:t>.</w:t>
      </w:r>
    </w:p>
    <w:p w14:paraId="27F35E9F" w14:textId="77777777" w:rsidR="007D2E1E" w:rsidRPr="00C56257" w:rsidRDefault="007D2E1E" w:rsidP="008E33FD">
      <w:pPr>
        <w:widowControl w:val="0"/>
        <w:autoSpaceDE w:val="0"/>
        <w:autoSpaceDN w:val="0"/>
        <w:spacing w:before="10"/>
        <w:jc w:val="both"/>
        <w:rPr>
          <w:color w:val="000000" w:themeColor="text1"/>
        </w:rPr>
      </w:pPr>
      <w:r w:rsidRPr="00C56257">
        <w:rPr>
          <w:noProof/>
          <w:color w:val="000000" w:themeColor="text1"/>
          <w:lang w:val="en-US"/>
        </w:rPr>
        <w:drawing>
          <wp:anchor distT="0" distB="0" distL="0" distR="0" simplePos="0" relativeHeight="251655168" behindDoc="0" locked="0" layoutInCell="1" allowOverlap="1" wp14:anchorId="597187AC" wp14:editId="736EC373">
            <wp:simplePos x="0" y="0"/>
            <wp:positionH relativeFrom="page">
              <wp:posOffset>877569</wp:posOffset>
            </wp:positionH>
            <wp:positionV relativeFrom="paragraph">
              <wp:posOffset>177771</wp:posOffset>
            </wp:positionV>
            <wp:extent cx="5781228" cy="3643312"/>
            <wp:effectExtent l="0" t="0" r="0" b="0"/>
            <wp:wrapTopAndBottom/>
            <wp:docPr id="2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0.jpeg"/>
                    <pic:cNvPicPr/>
                  </pic:nvPicPr>
                  <pic:blipFill>
                    <a:blip r:embed="rId56" cstate="print"/>
                    <a:stretch>
                      <a:fillRect/>
                    </a:stretch>
                  </pic:blipFill>
                  <pic:spPr>
                    <a:xfrm>
                      <a:off x="0" y="0"/>
                      <a:ext cx="5781228" cy="3643312"/>
                    </a:xfrm>
                    <a:prstGeom prst="rect">
                      <a:avLst/>
                    </a:prstGeom>
                  </pic:spPr>
                </pic:pic>
              </a:graphicData>
            </a:graphic>
          </wp:anchor>
        </w:drawing>
      </w:r>
    </w:p>
    <w:p w14:paraId="3E81B601" w14:textId="77777777" w:rsidR="007D2E1E" w:rsidRPr="00C56257" w:rsidRDefault="007D2E1E" w:rsidP="008E33FD">
      <w:pPr>
        <w:widowControl w:val="0"/>
        <w:autoSpaceDE w:val="0"/>
        <w:autoSpaceDN w:val="0"/>
        <w:spacing w:before="10"/>
        <w:jc w:val="both"/>
        <w:rPr>
          <w:color w:val="000000" w:themeColor="text1"/>
        </w:rPr>
      </w:pPr>
    </w:p>
    <w:p w14:paraId="11301FB4" w14:textId="77777777" w:rsidR="007D2E1E" w:rsidRPr="00C56257" w:rsidRDefault="007D2E1E" w:rsidP="00FA0AE6">
      <w:pPr>
        <w:widowControl w:val="0"/>
        <w:autoSpaceDE w:val="0"/>
        <w:autoSpaceDN w:val="0"/>
        <w:ind w:right="27"/>
        <w:jc w:val="both"/>
        <w:rPr>
          <w:color w:val="000000" w:themeColor="text1"/>
        </w:rPr>
      </w:pPr>
      <w:r w:rsidRPr="00C56257">
        <w:rPr>
          <w:color w:val="000000" w:themeColor="text1"/>
        </w:rPr>
        <w:t>Pentru fiecare obiectiv principal propus, la nivelul fiecărui habitat țintă, se vor identifica acele</w:t>
      </w:r>
      <w:r w:rsidRPr="00C56257">
        <w:rPr>
          <w:color w:val="000000" w:themeColor="text1"/>
          <w:spacing w:val="1"/>
        </w:rPr>
        <w:t xml:space="preserve"> </w:t>
      </w:r>
      <w:r w:rsidRPr="00C56257">
        <w:rPr>
          <w:color w:val="000000" w:themeColor="text1"/>
        </w:rPr>
        <w:t>caracteristici</w:t>
      </w:r>
      <w:r w:rsidRPr="00C56257">
        <w:rPr>
          <w:color w:val="000000" w:themeColor="text1"/>
          <w:spacing w:val="1"/>
        </w:rPr>
        <w:t xml:space="preserve"> </w:t>
      </w:r>
      <w:r w:rsidRPr="00C56257">
        <w:rPr>
          <w:color w:val="000000" w:themeColor="text1"/>
        </w:rPr>
        <w:t>(atribute)</w:t>
      </w:r>
      <w:r w:rsidRPr="00C56257">
        <w:rPr>
          <w:color w:val="000000" w:themeColor="text1"/>
          <w:spacing w:val="1"/>
        </w:rPr>
        <w:t xml:space="preserve"> </w:t>
      </w:r>
      <w:r w:rsidRPr="00C56257">
        <w:rPr>
          <w:color w:val="000000" w:themeColor="text1"/>
        </w:rPr>
        <w:t>ale</w:t>
      </w:r>
      <w:r w:rsidRPr="00C56257">
        <w:rPr>
          <w:color w:val="000000" w:themeColor="text1"/>
          <w:spacing w:val="1"/>
        </w:rPr>
        <w:t xml:space="preserve"> </w:t>
      </w:r>
      <w:r w:rsidRPr="00C56257">
        <w:rPr>
          <w:color w:val="000000" w:themeColor="text1"/>
        </w:rPr>
        <w:t>habitatului</w:t>
      </w:r>
      <w:r w:rsidRPr="00C56257">
        <w:rPr>
          <w:color w:val="000000" w:themeColor="text1"/>
          <w:spacing w:val="1"/>
        </w:rPr>
        <w:t xml:space="preserve"> </w:t>
      </w:r>
      <w:r w:rsidRPr="00C56257">
        <w:rPr>
          <w:color w:val="000000" w:themeColor="text1"/>
        </w:rPr>
        <w:t>care</w:t>
      </w:r>
      <w:r w:rsidRPr="00C56257">
        <w:rPr>
          <w:color w:val="000000" w:themeColor="text1"/>
          <w:spacing w:val="1"/>
        </w:rPr>
        <w:t xml:space="preserve"> </w:t>
      </w:r>
      <w:r w:rsidRPr="00C56257">
        <w:rPr>
          <w:color w:val="000000" w:themeColor="text1"/>
        </w:rPr>
        <w:t>reflectă</w:t>
      </w:r>
      <w:r w:rsidRPr="00C56257">
        <w:rPr>
          <w:color w:val="000000" w:themeColor="text1"/>
          <w:spacing w:val="1"/>
        </w:rPr>
        <w:t xml:space="preserve"> </w:t>
      </w:r>
      <w:r w:rsidRPr="00C56257">
        <w:rPr>
          <w:color w:val="000000" w:themeColor="text1"/>
        </w:rPr>
        <w:t>proprietățile</w:t>
      </w:r>
      <w:r w:rsidRPr="00C56257">
        <w:rPr>
          <w:color w:val="000000" w:themeColor="text1"/>
          <w:spacing w:val="1"/>
        </w:rPr>
        <w:t xml:space="preserve"> </w:t>
      </w:r>
      <w:r w:rsidRPr="00C56257">
        <w:rPr>
          <w:color w:val="000000" w:themeColor="text1"/>
        </w:rPr>
        <w:t>acestuia</w:t>
      </w:r>
      <w:r w:rsidRPr="00C56257">
        <w:rPr>
          <w:color w:val="000000" w:themeColor="text1"/>
          <w:spacing w:val="1"/>
        </w:rPr>
        <w:t xml:space="preserve"> </w:t>
      </w:r>
      <w:r w:rsidRPr="00C56257">
        <w:rPr>
          <w:color w:val="000000" w:themeColor="text1"/>
        </w:rPr>
        <w:t>și</w:t>
      </w:r>
      <w:r w:rsidRPr="00C56257">
        <w:rPr>
          <w:color w:val="000000" w:themeColor="text1"/>
          <w:spacing w:val="1"/>
        </w:rPr>
        <w:t xml:space="preserve"> </w:t>
      </w:r>
      <w:r w:rsidRPr="00C56257">
        <w:rPr>
          <w:color w:val="000000" w:themeColor="text1"/>
        </w:rPr>
        <w:t>pot</w:t>
      </w:r>
      <w:r w:rsidRPr="00C56257">
        <w:rPr>
          <w:color w:val="000000" w:themeColor="text1"/>
          <w:spacing w:val="1"/>
        </w:rPr>
        <w:t xml:space="preserve"> </w:t>
      </w:r>
      <w:r w:rsidRPr="00C56257">
        <w:rPr>
          <w:color w:val="000000" w:themeColor="text1"/>
        </w:rPr>
        <w:t>fi</w:t>
      </w:r>
      <w:r w:rsidRPr="00C56257">
        <w:rPr>
          <w:color w:val="000000" w:themeColor="text1"/>
          <w:spacing w:val="1"/>
        </w:rPr>
        <w:t xml:space="preserve"> </w:t>
      </w:r>
      <w:r w:rsidRPr="00C56257">
        <w:rPr>
          <w:color w:val="000000" w:themeColor="text1"/>
        </w:rPr>
        <w:t>cuantificate.</w:t>
      </w:r>
      <w:r w:rsidRPr="00C56257">
        <w:rPr>
          <w:color w:val="000000" w:themeColor="text1"/>
          <w:spacing w:val="-57"/>
        </w:rPr>
        <w:t xml:space="preserve"> </w:t>
      </w:r>
      <w:r w:rsidRPr="00C56257">
        <w:rPr>
          <w:color w:val="000000" w:themeColor="text1"/>
        </w:rPr>
        <w:t>Fiecărui atribut, acolo unde informațiile existente permit acest lucru, i se va defini un interval de</w:t>
      </w:r>
      <w:r w:rsidRPr="00C56257">
        <w:rPr>
          <w:color w:val="000000" w:themeColor="text1"/>
          <w:spacing w:val="1"/>
        </w:rPr>
        <w:t xml:space="preserve"> </w:t>
      </w:r>
      <w:r w:rsidRPr="00C56257">
        <w:rPr>
          <w:color w:val="000000" w:themeColor="text1"/>
        </w:rPr>
        <w:t>valori pe care le poate lua, fără ca proprietățile habitatului analizat să fie alterate, uşurându-se astfel</w:t>
      </w:r>
      <w:r w:rsidRPr="00C56257">
        <w:rPr>
          <w:color w:val="000000" w:themeColor="text1"/>
          <w:spacing w:val="1"/>
        </w:rPr>
        <w:t xml:space="preserve"> </w:t>
      </w:r>
      <w:r w:rsidRPr="00C56257">
        <w:rPr>
          <w:color w:val="000000" w:themeColor="text1"/>
        </w:rPr>
        <w:t>interpretarea rezultatelor.</w:t>
      </w:r>
    </w:p>
    <w:p w14:paraId="7E3CFFF9" w14:textId="77777777" w:rsidR="007D2E1E" w:rsidRPr="00C56257" w:rsidRDefault="007D2E1E" w:rsidP="00F52FE8">
      <w:pPr>
        <w:widowControl w:val="0"/>
        <w:autoSpaceDE w:val="0"/>
        <w:autoSpaceDN w:val="0"/>
        <w:ind w:right="-549"/>
        <w:jc w:val="both"/>
        <w:rPr>
          <w:color w:val="000000" w:themeColor="text1"/>
        </w:rPr>
      </w:pPr>
      <w:r w:rsidRPr="00C56257">
        <w:rPr>
          <w:color w:val="000000" w:themeColor="text1"/>
        </w:rPr>
        <w:t>În</w:t>
      </w:r>
      <w:r w:rsidRPr="00C56257">
        <w:rPr>
          <w:color w:val="000000" w:themeColor="text1"/>
          <w:spacing w:val="-1"/>
        </w:rPr>
        <w:t xml:space="preserve"> </w:t>
      </w:r>
      <w:r w:rsidRPr="00C56257">
        <w:rPr>
          <w:color w:val="000000" w:themeColor="text1"/>
        </w:rPr>
        <w:t>tabelul</w:t>
      </w:r>
      <w:r w:rsidRPr="00C56257">
        <w:rPr>
          <w:color w:val="000000" w:themeColor="text1"/>
          <w:spacing w:val="-1"/>
        </w:rPr>
        <w:t xml:space="preserve"> </w:t>
      </w:r>
      <w:r w:rsidRPr="00C56257">
        <w:rPr>
          <w:color w:val="000000" w:themeColor="text1"/>
        </w:rPr>
        <w:t>care</w:t>
      </w:r>
      <w:r w:rsidRPr="00C56257">
        <w:rPr>
          <w:color w:val="000000" w:themeColor="text1"/>
          <w:spacing w:val="-3"/>
        </w:rPr>
        <w:t xml:space="preserve"> </w:t>
      </w:r>
      <w:r w:rsidRPr="00C56257">
        <w:rPr>
          <w:color w:val="000000" w:themeColor="text1"/>
        </w:rPr>
        <w:t>urmează</w:t>
      </w:r>
      <w:r w:rsidRPr="00C56257">
        <w:rPr>
          <w:color w:val="000000" w:themeColor="text1"/>
          <w:spacing w:val="-2"/>
        </w:rPr>
        <w:t xml:space="preserve"> </w:t>
      </w:r>
      <w:r w:rsidRPr="00C56257">
        <w:rPr>
          <w:color w:val="000000" w:themeColor="text1"/>
        </w:rPr>
        <w:t>se</w:t>
      </w:r>
      <w:r w:rsidRPr="00C56257">
        <w:rPr>
          <w:color w:val="000000" w:themeColor="text1"/>
          <w:spacing w:val="-2"/>
        </w:rPr>
        <w:t xml:space="preserve"> </w:t>
      </w:r>
      <w:r w:rsidRPr="00C56257">
        <w:rPr>
          <w:color w:val="000000" w:themeColor="text1"/>
        </w:rPr>
        <w:t>regăsesc indicatorii</w:t>
      </w:r>
      <w:r w:rsidRPr="00C56257">
        <w:rPr>
          <w:color w:val="000000" w:themeColor="text1"/>
          <w:spacing w:val="-1"/>
        </w:rPr>
        <w:t xml:space="preserve"> </w:t>
      </w:r>
      <w:r w:rsidRPr="00C56257">
        <w:rPr>
          <w:color w:val="000000" w:themeColor="text1"/>
        </w:rPr>
        <w:t>generali</w:t>
      </w:r>
      <w:r w:rsidRPr="00C56257">
        <w:rPr>
          <w:color w:val="000000" w:themeColor="text1"/>
          <w:spacing w:val="-1"/>
        </w:rPr>
        <w:t xml:space="preserve"> </w:t>
      </w:r>
      <w:r w:rsidRPr="00C56257">
        <w:rPr>
          <w:color w:val="000000" w:themeColor="text1"/>
        </w:rPr>
        <w:t>din</w:t>
      </w:r>
      <w:r w:rsidRPr="00C56257">
        <w:rPr>
          <w:color w:val="000000" w:themeColor="text1"/>
          <w:spacing w:val="-1"/>
        </w:rPr>
        <w:t xml:space="preserve"> </w:t>
      </w:r>
      <w:r w:rsidRPr="00C56257">
        <w:rPr>
          <w:color w:val="000000" w:themeColor="text1"/>
        </w:rPr>
        <w:t>cadrul</w:t>
      </w:r>
      <w:r w:rsidRPr="00C56257">
        <w:rPr>
          <w:color w:val="000000" w:themeColor="text1"/>
          <w:spacing w:val="-1"/>
        </w:rPr>
        <w:t xml:space="preserve"> </w:t>
      </w:r>
      <w:r w:rsidRPr="00C56257">
        <w:rPr>
          <w:color w:val="000000" w:themeColor="text1"/>
        </w:rPr>
        <w:t>planului</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monitorizare</w:t>
      </w:r>
    </w:p>
    <w:p w14:paraId="0534ED85" w14:textId="77777777" w:rsidR="007D2E1E" w:rsidRPr="00C56257" w:rsidRDefault="007D2E1E" w:rsidP="008E33FD">
      <w:pPr>
        <w:widowControl w:val="0"/>
        <w:autoSpaceDE w:val="0"/>
        <w:autoSpaceDN w:val="0"/>
        <w:spacing w:before="8"/>
        <w:jc w:val="both"/>
        <w:rPr>
          <w:color w:val="000000" w:themeColor="text1"/>
        </w:rPr>
      </w:pPr>
    </w:p>
    <w:tbl>
      <w:tblPr>
        <w:tblW w:w="101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55"/>
        <w:gridCol w:w="7415"/>
      </w:tblGrid>
      <w:tr w:rsidR="007D2E1E" w:rsidRPr="00C56257" w14:paraId="6EB1BF2A" w14:textId="77777777" w:rsidTr="00FA0AE6">
        <w:trPr>
          <w:trHeight w:val="421"/>
        </w:trPr>
        <w:tc>
          <w:tcPr>
            <w:tcW w:w="2755" w:type="dxa"/>
            <w:shd w:val="clear" w:color="auto" w:fill="D9D9D9"/>
          </w:tcPr>
          <w:p w14:paraId="5A88B6BF" w14:textId="77777777" w:rsidR="007D2E1E" w:rsidRPr="00C56257" w:rsidRDefault="007D2E1E" w:rsidP="008E33FD">
            <w:pPr>
              <w:widowControl w:val="0"/>
              <w:autoSpaceDE w:val="0"/>
              <w:autoSpaceDN w:val="0"/>
              <w:spacing w:before="68"/>
              <w:jc w:val="both"/>
              <w:rPr>
                <w:b/>
                <w:color w:val="000000" w:themeColor="text1"/>
              </w:rPr>
            </w:pPr>
            <w:r w:rsidRPr="00C56257">
              <w:rPr>
                <w:b/>
                <w:color w:val="000000" w:themeColor="text1"/>
              </w:rPr>
              <w:t>Indicatori</w:t>
            </w:r>
          </w:p>
        </w:tc>
        <w:tc>
          <w:tcPr>
            <w:tcW w:w="7415" w:type="dxa"/>
            <w:shd w:val="clear" w:color="auto" w:fill="D9D9D9"/>
          </w:tcPr>
          <w:p w14:paraId="49D79667" w14:textId="77777777" w:rsidR="007D2E1E" w:rsidRPr="00C56257" w:rsidRDefault="007D2E1E" w:rsidP="008E33FD">
            <w:pPr>
              <w:widowControl w:val="0"/>
              <w:autoSpaceDE w:val="0"/>
              <w:autoSpaceDN w:val="0"/>
              <w:spacing w:before="68"/>
              <w:jc w:val="both"/>
              <w:rPr>
                <w:b/>
                <w:color w:val="000000" w:themeColor="text1"/>
              </w:rPr>
            </w:pPr>
            <w:r w:rsidRPr="00C56257">
              <w:rPr>
                <w:b/>
                <w:color w:val="000000" w:themeColor="text1"/>
              </w:rPr>
              <w:t>Compoziție</w:t>
            </w:r>
          </w:p>
        </w:tc>
      </w:tr>
      <w:tr w:rsidR="007D2E1E" w:rsidRPr="00C56257" w14:paraId="129C0B5C" w14:textId="77777777" w:rsidTr="00FA0AE6">
        <w:trPr>
          <w:trHeight w:val="828"/>
        </w:trPr>
        <w:tc>
          <w:tcPr>
            <w:tcW w:w="2755" w:type="dxa"/>
          </w:tcPr>
          <w:p w14:paraId="33FF8E9E" w14:textId="77777777" w:rsidR="007D2E1E" w:rsidRPr="00C56257" w:rsidRDefault="007D2E1E" w:rsidP="008E33FD">
            <w:pPr>
              <w:widowControl w:val="0"/>
              <w:autoSpaceDE w:val="0"/>
              <w:autoSpaceDN w:val="0"/>
              <w:spacing w:before="131"/>
              <w:ind w:right="715"/>
              <w:jc w:val="both"/>
              <w:rPr>
                <w:color w:val="000000" w:themeColor="text1"/>
              </w:rPr>
            </w:pPr>
            <w:r w:rsidRPr="00C56257">
              <w:rPr>
                <w:color w:val="000000" w:themeColor="text1"/>
              </w:rPr>
              <w:t>La</w:t>
            </w:r>
            <w:r w:rsidRPr="00C56257">
              <w:rPr>
                <w:color w:val="000000" w:themeColor="text1"/>
                <w:spacing w:val="-9"/>
              </w:rPr>
              <w:t xml:space="preserve"> </w:t>
            </w:r>
            <w:r w:rsidRPr="00C56257">
              <w:rPr>
                <w:color w:val="000000" w:themeColor="text1"/>
              </w:rPr>
              <w:t>nivel</w:t>
            </w:r>
            <w:r w:rsidRPr="00C56257">
              <w:rPr>
                <w:color w:val="000000" w:themeColor="text1"/>
                <w:spacing w:val="-7"/>
              </w:rPr>
              <w:t xml:space="preserve"> </w:t>
            </w:r>
            <w:r w:rsidRPr="00C56257">
              <w:rPr>
                <w:color w:val="000000" w:themeColor="text1"/>
              </w:rPr>
              <w:t>de</w:t>
            </w:r>
            <w:r w:rsidRPr="00C56257">
              <w:rPr>
                <w:color w:val="000000" w:themeColor="text1"/>
                <w:spacing w:val="-57"/>
              </w:rPr>
              <w:t xml:space="preserve"> </w:t>
            </w:r>
            <w:r w:rsidRPr="00C56257">
              <w:rPr>
                <w:color w:val="000000" w:themeColor="text1"/>
              </w:rPr>
              <w:t>habitat</w:t>
            </w:r>
          </w:p>
        </w:tc>
        <w:tc>
          <w:tcPr>
            <w:tcW w:w="7415" w:type="dxa"/>
          </w:tcPr>
          <w:p w14:paraId="6E0F0DA6" w14:textId="77777777" w:rsidR="007D2E1E" w:rsidRPr="00C56257" w:rsidRDefault="007D2E1E" w:rsidP="009E63E5">
            <w:pPr>
              <w:widowControl w:val="0"/>
              <w:numPr>
                <w:ilvl w:val="0"/>
                <w:numId w:val="43"/>
              </w:numPr>
              <w:tabs>
                <w:tab w:val="left" w:pos="367"/>
              </w:tabs>
              <w:autoSpaceDE w:val="0"/>
              <w:autoSpaceDN w:val="0"/>
              <w:spacing w:line="268" w:lineRule="exact"/>
              <w:jc w:val="both"/>
              <w:rPr>
                <w:color w:val="000000" w:themeColor="text1"/>
              </w:rPr>
            </w:pPr>
            <w:r w:rsidRPr="00C56257">
              <w:rPr>
                <w:color w:val="000000" w:themeColor="text1"/>
              </w:rPr>
              <w:t>proporția</w:t>
            </w:r>
            <w:r w:rsidRPr="00C56257">
              <w:rPr>
                <w:color w:val="000000" w:themeColor="text1"/>
                <w:spacing w:val="-2"/>
              </w:rPr>
              <w:t xml:space="preserve"> </w:t>
            </w:r>
            <w:r w:rsidRPr="00C56257">
              <w:rPr>
                <w:color w:val="000000" w:themeColor="text1"/>
              </w:rPr>
              <w:t>habitatului</w:t>
            </w:r>
            <w:r w:rsidRPr="00C56257">
              <w:rPr>
                <w:color w:val="000000" w:themeColor="text1"/>
                <w:spacing w:val="-1"/>
              </w:rPr>
              <w:t xml:space="preserve"> </w:t>
            </w:r>
            <w:r w:rsidRPr="00C56257">
              <w:rPr>
                <w:color w:val="000000" w:themeColor="text1"/>
              </w:rPr>
              <w:t>în</w:t>
            </w:r>
            <w:r w:rsidRPr="00C56257">
              <w:rPr>
                <w:color w:val="000000" w:themeColor="text1"/>
                <w:spacing w:val="-2"/>
              </w:rPr>
              <w:t xml:space="preserve"> </w:t>
            </w:r>
            <w:r w:rsidRPr="00C56257">
              <w:rPr>
                <w:color w:val="000000" w:themeColor="text1"/>
              </w:rPr>
              <w:t>cadrul</w:t>
            </w:r>
            <w:r w:rsidRPr="00C56257">
              <w:rPr>
                <w:color w:val="000000" w:themeColor="text1"/>
                <w:spacing w:val="-1"/>
              </w:rPr>
              <w:t xml:space="preserve"> </w:t>
            </w:r>
            <w:r w:rsidRPr="00C56257">
              <w:rPr>
                <w:color w:val="000000" w:themeColor="text1"/>
              </w:rPr>
              <w:t>arealului</w:t>
            </w:r>
            <w:r w:rsidRPr="00C56257">
              <w:rPr>
                <w:color w:val="000000" w:themeColor="text1"/>
                <w:spacing w:val="-2"/>
              </w:rPr>
              <w:t xml:space="preserve"> </w:t>
            </w:r>
            <w:r w:rsidRPr="00C56257">
              <w:rPr>
                <w:color w:val="000000" w:themeColor="text1"/>
              </w:rPr>
              <w:t>analizat</w:t>
            </w:r>
          </w:p>
          <w:p w14:paraId="528B99BB" w14:textId="77777777" w:rsidR="007D2E1E" w:rsidRPr="00C56257" w:rsidRDefault="007D2E1E" w:rsidP="009E63E5">
            <w:pPr>
              <w:widowControl w:val="0"/>
              <w:numPr>
                <w:ilvl w:val="0"/>
                <w:numId w:val="43"/>
              </w:numPr>
              <w:tabs>
                <w:tab w:val="left" w:pos="367"/>
              </w:tabs>
              <w:autoSpaceDE w:val="0"/>
              <w:autoSpaceDN w:val="0"/>
              <w:jc w:val="both"/>
              <w:rPr>
                <w:color w:val="000000" w:themeColor="text1"/>
              </w:rPr>
            </w:pPr>
            <w:r w:rsidRPr="00C56257">
              <w:rPr>
                <w:color w:val="000000" w:themeColor="text1"/>
              </w:rPr>
              <w:t>tipuri</w:t>
            </w:r>
            <w:r w:rsidRPr="00C56257">
              <w:rPr>
                <w:color w:val="000000" w:themeColor="text1"/>
                <w:spacing w:val="-3"/>
              </w:rPr>
              <w:t xml:space="preserve"> </w:t>
            </w:r>
            <w:r w:rsidRPr="00C56257">
              <w:rPr>
                <w:color w:val="000000" w:themeColor="text1"/>
              </w:rPr>
              <w:t>de</w:t>
            </w:r>
            <w:r w:rsidRPr="00C56257">
              <w:rPr>
                <w:color w:val="000000" w:themeColor="text1"/>
                <w:spacing w:val="-4"/>
              </w:rPr>
              <w:t xml:space="preserve"> </w:t>
            </w:r>
            <w:r w:rsidRPr="00C56257">
              <w:rPr>
                <w:color w:val="000000" w:themeColor="text1"/>
              </w:rPr>
              <w:t>asociații</w:t>
            </w:r>
            <w:r w:rsidRPr="00C56257">
              <w:rPr>
                <w:color w:val="000000" w:themeColor="text1"/>
                <w:spacing w:val="-2"/>
              </w:rPr>
              <w:t xml:space="preserve"> </w:t>
            </w:r>
            <w:r w:rsidRPr="00C56257">
              <w:rPr>
                <w:color w:val="000000" w:themeColor="text1"/>
              </w:rPr>
              <w:t>vegetale</w:t>
            </w:r>
            <w:r w:rsidRPr="00C56257">
              <w:rPr>
                <w:color w:val="000000" w:themeColor="text1"/>
                <w:spacing w:val="-2"/>
              </w:rPr>
              <w:t xml:space="preserve"> </w:t>
            </w:r>
            <w:r w:rsidRPr="00C56257">
              <w:rPr>
                <w:color w:val="000000" w:themeColor="text1"/>
              </w:rPr>
              <w:t>componente</w:t>
            </w:r>
          </w:p>
          <w:p w14:paraId="509581A9" w14:textId="77777777" w:rsidR="007D2E1E" w:rsidRPr="00C56257" w:rsidRDefault="007D2E1E" w:rsidP="009E63E5">
            <w:pPr>
              <w:widowControl w:val="0"/>
              <w:numPr>
                <w:ilvl w:val="0"/>
                <w:numId w:val="43"/>
              </w:numPr>
              <w:tabs>
                <w:tab w:val="left" w:pos="367"/>
              </w:tabs>
              <w:autoSpaceDE w:val="0"/>
              <w:autoSpaceDN w:val="0"/>
              <w:spacing w:line="264" w:lineRule="exact"/>
              <w:jc w:val="both"/>
              <w:rPr>
                <w:color w:val="000000" w:themeColor="text1"/>
              </w:rPr>
            </w:pPr>
            <w:r w:rsidRPr="00C56257">
              <w:rPr>
                <w:color w:val="000000" w:themeColor="text1"/>
              </w:rPr>
              <w:t>identificare,</w:t>
            </w:r>
            <w:r w:rsidRPr="00C56257">
              <w:rPr>
                <w:color w:val="000000" w:themeColor="text1"/>
                <w:spacing w:val="-3"/>
              </w:rPr>
              <w:t xml:space="preserve"> </w:t>
            </w:r>
            <w:r w:rsidRPr="00C56257">
              <w:rPr>
                <w:color w:val="000000" w:themeColor="text1"/>
              </w:rPr>
              <w:t>distribuție,</w:t>
            </w:r>
            <w:r w:rsidRPr="00C56257">
              <w:rPr>
                <w:color w:val="000000" w:themeColor="text1"/>
                <w:spacing w:val="-2"/>
              </w:rPr>
              <w:t xml:space="preserve"> </w:t>
            </w:r>
            <w:r w:rsidRPr="00C56257">
              <w:rPr>
                <w:color w:val="000000" w:themeColor="text1"/>
              </w:rPr>
              <w:t>diversitate,</w:t>
            </w:r>
            <w:r w:rsidRPr="00C56257">
              <w:rPr>
                <w:color w:val="000000" w:themeColor="text1"/>
                <w:spacing w:val="-2"/>
              </w:rPr>
              <w:t xml:space="preserve"> </w:t>
            </w:r>
            <w:r w:rsidRPr="00C56257">
              <w:rPr>
                <w:color w:val="000000" w:themeColor="text1"/>
              </w:rPr>
              <w:t>abundență</w:t>
            </w:r>
          </w:p>
        </w:tc>
      </w:tr>
      <w:tr w:rsidR="007D2E1E" w:rsidRPr="00C56257" w14:paraId="1E1E4A05" w14:textId="77777777" w:rsidTr="00FA0AE6">
        <w:trPr>
          <w:trHeight w:val="1103"/>
        </w:trPr>
        <w:tc>
          <w:tcPr>
            <w:tcW w:w="2755" w:type="dxa"/>
          </w:tcPr>
          <w:p w14:paraId="076C8F88" w14:textId="77777777" w:rsidR="007D2E1E" w:rsidRPr="00C56257" w:rsidRDefault="007D2E1E" w:rsidP="008E33FD">
            <w:pPr>
              <w:widowControl w:val="0"/>
              <w:autoSpaceDE w:val="0"/>
              <w:autoSpaceDN w:val="0"/>
              <w:spacing w:before="3"/>
              <w:jc w:val="both"/>
              <w:rPr>
                <w:color w:val="000000" w:themeColor="text1"/>
              </w:rPr>
            </w:pPr>
          </w:p>
          <w:p w14:paraId="6ACB1657" w14:textId="77777777" w:rsidR="007D2E1E" w:rsidRPr="00C56257" w:rsidRDefault="007D2E1E" w:rsidP="008E33FD">
            <w:pPr>
              <w:widowControl w:val="0"/>
              <w:autoSpaceDE w:val="0"/>
              <w:autoSpaceDN w:val="0"/>
              <w:ind w:right="479"/>
              <w:jc w:val="both"/>
              <w:rPr>
                <w:color w:val="000000" w:themeColor="text1"/>
              </w:rPr>
            </w:pPr>
            <w:r w:rsidRPr="00C56257">
              <w:rPr>
                <w:color w:val="000000" w:themeColor="text1"/>
              </w:rPr>
              <w:t>Comunitate –</w:t>
            </w:r>
            <w:r w:rsidRPr="00C56257">
              <w:rPr>
                <w:color w:val="000000" w:themeColor="text1"/>
                <w:spacing w:val="-57"/>
              </w:rPr>
              <w:t xml:space="preserve"> </w:t>
            </w:r>
            <w:r w:rsidRPr="00C56257">
              <w:rPr>
                <w:color w:val="000000" w:themeColor="text1"/>
              </w:rPr>
              <w:t>ecosistem</w:t>
            </w:r>
          </w:p>
        </w:tc>
        <w:tc>
          <w:tcPr>
            <w:tcW w:w="7415" w:type="dxa"/>
          </w:tcPr>
          <w:p w14:paraId="0C2501D1" w14:textId="77777777" w:rsidR="007D2E1E" w:rsidRPr="00C25BA2" w:rsidRDefault="007D2E1E" w:rsidP="009E63E5">
            <w:pPr>
              <w:widowControl w:val="0"/>
              <w:numPr>
                <w:ilvl w:val="0"/>
                <w:numId w:val="42"/>
              </w:numPr>
              <w:tabs>
                <w:tab w:val="left" w:pos="367"/>
              </w:tabs>
              <w:autoSpaceDE w:val="0"/>
              <w:autoSpaceDN w:val="0"/>
              <w:spacing w:line="268" w:lineRule="exact"/>
              <w:ind w:right="219"/>
              <w:jc w:val="both"/>
              <w:rPr>
                <w:color w:val="000000" w:themeColor="text1"/>
              </w:rPr>
            </w:pPr>
            <w:r w:rsidRPr="00C25BA2">
              <w:rPr>
                <w:color w:val="000000" w:themeColor="text1"/>
              </w:rPr>
              <w:t>identificarea</w:t>
            </w:r>
            <w:r w:rsidRPr="00C25BA2">
              <w:rPr>
                <w:color w:val="000000" w:themeColor="text1"/>
                <w:spacing w:val="-3"/>
              </w:rPr>
              <w:t xml:space="preserve"> </w:t>
            </w:r>
            <w:r w:rsidRPr="00945F51">
              <w:rPr>
                <w:color w:val="000000" w:themeColor="text1"/>
              </w:rPr>
              <w:t>de</w:t>
            </w:r>
            <w:r w:rsidRPr="00A709D8">
              <w:rPr>
                <w:color w:val="000000" w:themeColor="text1"/>
                <w:spacing w:val="-2"/>
              </w:rPr>
              <w:t xml:space="preserve"> </w:t>
            </w:r>
            <w:r w:rsidRPr="00A709D8">
              <w:rPr>
                <w:color w:val="000000" w:themeColor="text1"/>
              </w:rPr>
              <w:t>speciişi</w:t>
            </w:r>
            <w:r w:rsidRPr="00A709D8">
              <w:rPr>
                <w:color w:val="000000" w:themeColor="text1"/>
                <w:spacing w:val="-2"/>
              </w:rPr>
              <w:t xml:space="preserve"> </w:t>
            </w:r>
            <w:r w:rsidRPr="00414577">
              <w:rPr>
                <w:color w:val="000000" w:themeColor="text1"/>
              </w:rPr>
              <w:t>abundența</w:t>
            </w:r>
            <w:r w:rsidRPr="00992275">
              <w:rPr>
                <w:color w:val="000000" w:themeColor="text1"/>
                <w:spacing w:val="-2"/>
              </w:rPr>
              <w:t xml:space="preserve"> </w:t>
            </w:r>
            <w:r w:rsidRPr="00BB58A0">
              <w:rPr>
                <w:color w:val="000000" w:themeColor="text1"/>
              </w:rPr>
              <w:t>relativă</w:t>
            </w:r>
            <w:r w:rsidRPr="00C25BA2">
              <w:rPr>
                <w:color w:val="000000" w:themeColor="text1"/>
              </w:rPr>
              <w:t>frecvență, abundență, diversitatea în specii a comunității, proporțiile</w:t>
            </w:r>
            <w:r w:rsidRPr="00945F51">
              <w:rPr>
                <w:color w:val="000000" w:themeColor="text1"/>
                <w:spacing w:val="-58"/>
              </w:rPr>
              <w:t xml:space="preserve"> </w:t>
            </w:r>
            <w:r w:rsidRPr="00A709D8">
              <w:rPr>
                <w:color w:val="000000" w:themeColor="text1"/>
              </w:rPr>
              <w:t>de</w:t>
            </w:r>
            <w:r w:rsidRPr="00A709D8">
              <w:rPr>
                <w:color w:val="000000" w:themeColor="text1"/>
                <w:spacing w:val="-2"/>
              </w:rPr>
              <w:t xml:space="preserve"> </w:t>
            </w:r>
            <w:r w:rsidRPr="00A709D8">
              <w:rPr>
                <w:color w:val="000000" w:themeColor="text1"/>
              </w:rPr>
              <w:t>specii endemice</w:t>
            </w:r>
            <w:r w:rsidRPr="00414577">
              <w:rPr>
                <w:color w:val="000000" w:themeColor="text1"/>
                <w:spacing w:val="-2"/>
              </w:rPr>
              <w:t xml:space="preserve"> </w:t>
            </w:r>
            <w:r w:rsidRPr="00992275">
              <w:rPr>
                <w:color w:val="000000" w:themeColor="text1"/>
              </w:rPr>
              <w:t>amenințate şi</w:t>
            </w:r>
            <w:r w:rsidRPr="00BB58A0">
              <w:rPr>
                <w:color w:val="000000" w:themeColor="text1"/>
                <w:spacing w:val="-2"/>
              </w:rPr>
              <w:t xml:space="preserve"> </w:t>
            </w:r>
            <w:r w:rsidRPr="00BB58A0">
              <w:rPr>
                <w:color w:val="000000" w:themeColor="text1"/>
              </w:rPr>
              <w:t>specii</w:t>
            </w:r>
            <w:r w:rsidRPr="003342C2">
              <w:rPr>
                <w:color w:val="000000" w:themeColor="text1"/>
                <w:spacing w:val="-1"/>
              </w:rPr>
              <w:t xml:space="preserve"> </w:t>
            </w:r>
            <w:r w:rsidRPr="00BC2B46">
              <w:rPr>
                <w:color w:val="000000" w:themeColor="text1"/>
              </w:rPr>
              <w:t>pe</w:t>
            </w:r>
            <w:r w:rsidRPr="008A5A40">
              <w:rPr>
                <w:color w:val="000000" w:themeColor="text1"/>
                <w:spacing w:val="-1"/>
              </w:rPr>
              <w:t xml:space="preserve"> </w:t>
            </w:r>
            <w:r w:rsidRPr="008A5A40">
              <w:rPr>
                <w:color w:val="000000" w:themeColor="text1"/>
              </w:rPr>
              <w:t>cale</w:t>
            </w:r>
            <w:r w:rsidRPr="008A5A40">
              <w:rPr>
                <w:color w:val="000000" w:themeColor="text1"/>
                <w:spacing w:val="-1"/>
              </w:rPr>
              <w:t xml:space="preserve"> </w:t>
            </w:r>
            <w:r w:rsidRPr="008A5A40">
              <w:rPr>
                <w:color w:val="000000" w:themeColor="text1"/>
              </w:rPr>
              <w:t>de</w:t>
            </w:r>
            <w:r w:rsidRPr="008A5A40">
              <w:rPr>
                <w:color w:val="000000" w:themeColor="text1"/>
                <w:spacing w:val="1"/>
              </w:rPr>
              <w:t xml:space="preserve"> </w:t>
            </w:r>
            <w:r w:rsidRPr="00C25BA2">
              <w:rPr>
                <w:color w:val="000000" w:themeColor="text1"/>
              </w:rPr>
              <w:t>dispariție</w:t>
            </w:r>
          </w:p>
          <w:p w14:paraId="02C36C4C" w14:textId="77777777" w:rsidR="007D2E1E" w:rsidRPr="00C56257" w:rsidRDefault="007D2E1E" w:rsidP="009E63E5">
            <w:pPr>
              <w:widowControl w:val="0"/>
              <w:numPr>
                <w:ilvl w:val="0"/>
                <w:numId w:val="42"/>
              </w:numPr>
              <w:tabs>
                <w:tab w:val="left" w:pos="367"/>
              </w:tabs>
              <w:autoSpaceDE w:val="0"/>
              <w:autoSpaceDN w:val="0"/>
              <w:spacing w:line="264" w:lineRule="exact"/>
              <w:jc w:val="both"/>
              <w:rPr>
                <w:color w:val="000000" w:themeColor="text1"/>
              </w:rPr>
            </w:pPr>
            <w:r w:rsidRPr="00C56257">
              <w:rPr>
                <w:color w:val="000000" w:themeColor="text1"/>
              </w:rPr>
              <w:t>dominanța</w:t>
            </w:r>
            <w:r w:rsidRPr="00C56257">
              <w:rPr>
                <w:color w:val="000000" w:themeColor="text1"/>
                <w:spacing w:val="-3"/>
              </w:rPr>
              <w:t xml:space="preserve"> </w:t>
            </w:r>
            <w:r w:rsidRPr="00C56257">
              <w:rPr>
                <w:color w:val="000000" w:themeColor="text1"/>
              </w:rPr>
              <w:t>–</w:t>
            </w:r>
            <w:r w:rsidRPr="00C56257">
              <w:rPr>
                <w:color w:val="000000" w:themeColor="text1"/>
                <w:spacing w:val="-2"/>
              </w:rPr>
              <w:t xml:space="preserve"> </w:t>
            </w:r>
            <w:r w:rsidRPr="00C56257">
              <w:rPr>
                <w:color w:val="000000" w:themeColor="text1"/>
              </w:rPr>
              <w:t>diversitate,</w:t>
            </w:r>
            <w:r w:rsidRPr="00C56257">
              <w:rPr>
                <w:color w:val="000000" w:themeColor="text1"/>
                <w:spacing w:val="-1"/>
              </w:rPr>
              <w:t xml:space="preserve"> </w:t>
            </w:r>
            <w:r w:rsidRPr="00C56257">
              <w:rPr>
                <w:color w:val="000000" w:themeColor="text1"/>
              </w:rPr>
              <w:t>proporții</w:t>
            </w:r>
          </w:p>
        </w:tc>
      </w:tr>
      <w:tr w:rsidR="007D2E1E" w:rsidRPr="00C56257" w14:paraId="04AF2E73" w14:textId="77777777" w:rsidTr="00FA0AE6">
        <w:trPr>
          <w:trHeight w:val="553"/>
        </w:trPr>
        <w:tc>
          <w:tcPr>
            <w:tcW w:w="2755" w:type="dxa"/>
          </w:tcPr>
          <w:p w14:paraId="0B0A7451" w14:textId="77777777" w:rsidR="007D2E1E" w:rsidRPr="00C56257" w:rsidRDefault="007D2E1E" w:rsidP="008E33FD">
            <w:pPr>
              <w:widowControl w:val="0"/>
              <w:autoSpaceDE w:val="0"/>
              <w:autoSpaceDN w:val="0"/>
              <w:spacing w:before="131"/>
              <w:jc w:val="both"/>
              <w:rPr>
                <w:color w:val="000000" w:themeColor="text1"/>
              </w:rPr>
            </w:pPr>
            <w:r w:rsidRPr="00C56257">
              <w:rPr>
                <w:color w:val="000000" w:themeColor="text1"/>
              </w:rPr>
              <w:t>Populație</w:t>
            </w:r>
            <w:r w:rsidRPr="00C56257">
              <w:rPr>
                <w:color w:val="000000" w:themeColor="text1"/>
                <w:spacing w:val="-2"/>
              </w:rPr>
              <w:t xml:space="preserve"> </w:t>
            </w:r>
            <w:r w:rsidRPr="00C56257">
              <w:rPr>
                <w:color w:val="000000" w:themeColor="text1"/>
              </w:rPr>
              <w:t>-</w:t>
            </w:r>
            <w:r w:rsidRPr="00C56257">
              <w:rPr>
                <w:color w:val="000000" w:themeColor="text1"/>
                <w:spacing w:val="-2"/>
              </w:rPr>
              <w:t xml:space="preserve"> </w:t>
            </w:r>
            <w:r w:rsidRPr="00C56257">
              <w:rPr>
                <w:color w:val="000000" w:themeColor="text1"/>
              </w:rPr>
              <w:t>specii</w:t>
            </w:r>
          </w:p>
        </w:tc>
        <w:tc>
          <w:tcPr>
            <w:tcW w:w="7415" w:type="dxa"/>
          </w:tcPr>
          <w:p w14:paraId="2B1D1162" w14:textId="77777777" w:rsidR="007D2E1E" w:rsidRPr="00C56257" w:rsidRDefault="007D2E1E" w:rsidP="009E63E5">
            <w:pPr>
              <w:widowControl w:val="0"/>
              <w:numPr>
                <w:ilvl w:val="0"/>
                <w:numId w:val="41"/>
              </w:numPr>
              <w:tabs>
                <w:tab w:val="left" w:pos="535"/>
              </w:tabs>
              <w:autoSpaceDE w:val="0"/>
              <w:autoSpaceDN w:val="0"/>
              <w:spacing w:line="268" w:lineRule="exact"/>
              <w:jc w:val="both"/>
              <w:rPr>
                <w:color w:val="000000" w:themeColor="text1"/>
              </w:rPr>
            </w:pPr>
            <w:r w:rsidRPr="00C56257">
              <w:rPr>
                <w:color w:val="000000" w:themeColor="text1"/>
              </w:rPr>
              <w:t>abundența</w:t>
            </w:r>
            <w:r w:rsidRPr="00C56257">
              <w:rPr>
                <w:color w:val="000000" w:themeColor="text1"/>
                <w:spacing w:val="-1"/>
              </w:rPr>
              <w:t xml:space="preserve"> </w:t>
            </w:r>
            <w:r w:rsidRPr="00C56257">
              <w:rPr>
                <w:color w:val="000000" w:themeColor="text1"/>
              </w:rPr>
              <w:t>relativă</w:t>
            </w:r>
            <w:r w:rsidRPr="00C56257">
              <w:rPr>
                <w:color w:val="000000" w:themeColor="text1"/>
                <w:spacing w:val="-2"/>
              </w:rPr>
              <w:t xml:space="preserve"> </w:t>
            </w:r>
            <w:r w:rsidRPr="00C56257">
              <w:rPr>
                <w:color w:val="000000" w:themeColor="text1"/>
              </w:rPr>
              <w:t>şi</w:t>
            </w:r>
            <w:r w:rsidRPr="00C56257">
              <w:rPr>
                <w:color w:val="000000" w:themeColor="text1"/>
                <w:spacing w:val="-3"/>
              </w:rPr>
              <w:t xml:space="preserve"> </w:t>
            </w:r>
            <w:r w:rsidRPr="00C56257">
              <w:rPr>
                <w:color w:val="000000" w:themeColor="text1"/>
              </w:rPr>
              <w:t>absolută</w:t>
            </w:r>
          </w:p>
          <w:p w14:paraId="15309ACC" w14:textId="77777777" w:rsidR="007D2E1E" w:rsidRPr="00C56257" w:rsidRDefault="007D2E1E" w:rsidP="009E63E5">
            <w:pPr>
              <w:widowControl w:val="0"/>
              <w:numPr>
                <w:ilvl w:val="0"/>
                <w:numId w:val="41"/>
              </w:numPr>
              <w:tabs>
                <w:tab w:val="left" w:pos="535"/>
              </w:tabs>
              <w:autoSpaceDE w:val="0"/>
              <w:autoSpaceDN w:val="0"/>
              <w:spacing w:line="266" w:lineRule="exact"/>
              <w:jc w:val="both"/>
              <w:rPr>
                <w:color w:val="000000" w:themeColor="text1"/>
              </w:rPr>
            </w:pPr>
            <w:r w:rsidRPr="00C56257">
              <w:rPr>
                <w:color w:val="000000" w:themeColor="text1"/>
              </w:rPr>
              <w:t>densitate</w:t>
            </w:r>
          </w:p>
        </w:tc>
      </w:tr>
    </w:tbl>
    <w:p w14:paraId="4F9596F1" w14:textId="77777777" w:rsidR="007D2E1E" w:rsidRPr="00C56257" w:rsidRDefault="007D2E1E" w:rsidP="008E33FD">
      <w:pPr>
        <w:widowControl w:val="0"/>
        <w:autoSpaceDE w:val="0"/>
        <w:autoSpaceDN w:val="0"/>
        <w:spacing w:before="8"/>
        <w:jc w:val="both"/>
        <w:rPr>
          <w:color w:val="000000" w:themeColor="text1"/>
        </w:rPr>
      </w:pPr>
    </w:p>
    <w:p w14:paraId="38CC78FD" w14:textId="77777777" w:rsidR="007D2E1E" w:rsidRPr="00C56257" w:rsidRDefault="007D2E1E" w:rsidP="008E33FD">
      <w:pPr>
        <w:widowControl w:val="0"/>
        <w:tabs>
          <w:tab w:val="left" w:pos="1195"/>
        </w:tabs>
        <w:autoSpaceDE w:val="0"/>
        <w:autoSpaceDN w:val="0"/>
        <w:spacing w:before="1"/>
        <w:jc w:val="both"/>
        <w:outlineLvl w:val="1"/>
        <w:rPr>
          <w:b/>
          <w:color w:val="000000" w:themeColor="text1"/>
        </w:rPr>
      </w:pPr>
      <w:r w:rsidRPr="00C56257">
        <w:rPr>
          <w:rFonts w:eastAsia="Cambria"/>
          <w:b/>
          <w:bCs/>
          <w:color w:val="000000" w:themeColor="text1"/>
        </w:rPr>
        <w:t>Metoda</w:t>
      </w:r>
      <w:r w:rsidRPr="00C56257">
        <w:rPr>
          <w:rFonts w:eastAsia="Cambria"/>
          <w:b/>
          <w:bCs/>
          <w:color w:val="000000" w:themeColor="text1"/>
          <w:spacing w:val="-4"/>
        </w:rPr>
        <w:t xml:space="preserve"> </w:t>
      </w:r>
      <w:r w:rsidRPr="00C56257">
        <w:rPr>
          <w:rFonts w:eastAsia="Cambria"/>
          <w:b/>
          <w:bCs/>
          <w:color w:val="000000" w:themeColor="text1"/>
        </w:rPr>
        <w:t>de</w:t>
      </w:r>
      <w:r w:rsidRPr="00C56257">
        <w:rPr>
          <w:rFonts w:eastAsia="Cambria"/>
          <w:b/>
          <w:bCs/>
          <w:color w:val="000000" w:themeColor="text1"/>
          <w:spacing w:val="-4"/>
        </w:rPr>
        <w:t xml:space="preserve"> </w:t>
      </w:r>
      <w:r w:rsidRPr="00C56257">
        <w:rPr>
          <w:rFonts w:eastAsia="Cambria"/>
          <w:b/>
          <w:bCs/>
          <w:color w:val="000000" w:themeColor="text1"/>
        </w:rPr>
        <w:t>evaluare</w:t>
      </w:r>
      <w:r w:rsidRPr="00C56257">
        <w:rPr>
          <w:rFonts w:eastAsia="Cambria"/>
          <w:b/>
          <w:bCs/>
          <w:color w:val="000000" w:themeColor="text1"/>
          <w:spacing w:val="-4"/>
        </w:rPr>
        <w:t xml:space="preserve"> </w:t>
      </w:r>
      <w:r w:rsidRPr="00C56257">
        <w:rPr>
          <w:rFonts w:eastAsia="Cambria"/>
          <w:b/>
          <w:bCs/>
          <w:color w:val="000000" w:themeColor="text1"/>
        </w:rPr>
        <w:t>pe</w:t>
      </w:r>
      <w:r w:rsidRPr="00C56257">
        <w:rPr>
          <w:rFonts w:eastAsia="Cambria"/>
          <w:b/>
          <w:bCs/>
          <w:color w:val="000000" w:themeColor="text1"/>
          <w:spacing w:val="-3"/>
        </w:rPr>
        <w:t xml:space="preserve"> </w:t>
      </w:r>
      <w:r w:rsidRPr="00C56257">
        <w:rPr>
          <w:rFonts w:eastAsia="Cambria"/>
          <w:b/>
          <w:bCs/>
          <w:color w:val="000000" w:themeColor="text1"/>
        </w:rPr>
        <w:t>plot</w:t>
      </w:r>
      <w:r w:rsidRPr="00C56257">
        <w:rPr>
          <w:rFonts w:eastAsia="Cambria"/>
          <w:b/>
          <w:bCs/>
          <w:color w:val="000000" w:themeColor="text1"/>
          <w:spacing w:val="-2"/>
        </w:rPr>
        <w:t xml:space="preserve"> </w:t>
      </w:r>
      <w:r w:rsidRPr="00C56257">
        <w:rPr>
          <w:rFonts w:eastAsia="Cambria"/>
          <w:b/>
          <w:bCs/>
          <w:color w:val="000000" w:themeColor="text1"/>
        </w:rPr>
        <w:t>de</w:t>
      </w:r>
      <w:r w:rsidRPr="00C56257">
        <w:rPr>
          <w:rFonts w:eastAsia="Cambria"/>
          <w:b/>
          <w:bCs/>
          <w:color w:val="000000" w:themeColor="text1"/>
          <w:spacing w:val="-4"/>
        </w:rPr>
        <w:t xml:space="preserve"> </w:t>
      </w:r>
      <w:r w:rsidRPr="00C56257">
        <w:rPr>
          <w:rFonts w:eastAsia="Cambria"/>
          <w:b/>
          <w:bCs/>
          <w:color w:val="000000" w:themeColor="text1"/>
        </w:rPr>
        <w:t>monitorizare</w:t>
      </w:r>
    </w:p>
    <w:p w14:paraId="174A48CC" w14:textId="77777777" w:rsidR="007D2E1E" w:rsidRPr="00C56257" w:rsidRDefault="007D2E1E" w:rsidP="008E33FD">
      <w:pPr>
        <w:widowControl w:val="0"/>
        <w:autoSpaceDE w:val="0"/>
        <w:autoSpaceDN w:val="0"/>
        <w:spacing w:before="10"/>
        <w:jc w:val="both"/>
        <w:rPr>
          <w:b/>
          <w:color w:val="000000" w:themeColor="text1"/>
        </w:rPr>
      </w:pPr>
    </w:p>
    <w:p w14:paraId="17D76725" w14:textId="77777777" w:rsidR="007D2E1E" w:rsidRPr="00C56257" w:rsidRDefault="007D2E1E" w:rsidP="00FA0AE6">
      <w:pPr>
        <w:widowControl w:val="0"/>
        <w:autoSpaceDE w:val="0"/>
        <w:autoSpaceDN w:val="0"/>
        <w:spacing w:line="276" w:lineRule="auto"/>
        <w:ind w:right="27"/>
        <w:jc w:val="both"/>
        <w:rPr>
          <w:color w:val="000000" w:themeColor="text1"/>
        </w:rPr>
      </w:pPr>
      <w:r w:rsidRPr="00C56257">
        <w:rPr>
          <w:color w:val="000000" w:themeColor="text1"/>
        </w:rPr>
        <w:t>Hărțile de distribuție și ale arealului fiecărui tip de habitat se vor realiza în formatul standard 10x10</w:t>
      </w:r>
      <w:r w:rsidRPr="00C56257">
        <w:rPr>
          <w:color w:val="000000" w:themeColor="text1"/>
          <w:spacing w:val="1"/>
        </w:rPr>
        <w:t xml:space="preserve"> </w:t>
      </w:r>
      <w:r w:rsidRPr="00C56257">
        <w:rPr>
          <w:color w:val="000000" w:themeColor="text1"/>
        </w:rPr>
        <w:t>km ETRS, proiecţie ETRS 5210. Conform instrucțiunilor CE nu este permisa utilizarea de date</w:t>
      </w:r>
      <w:r w:rsidRPr="00C56257">
        <w:rPr>
          <w:color w:val="000000" w:themeColor="text1"/>
          <w:spacing w:val="1"/>
        </w:rPr>
        <w:t xml:space="preserve"> </w:t>
      </w:r>
      <w:r w:rsidRPr="00C56257">
        <w:rPr>
          <w:color w:val="000000" w:themeColor="text1"/>
        </w:rPr>
        <w:t>atribut pentru indicarea prezenței unui habitat într-o celula din grid. Hărțile de distribuție vor fi</w:t>
      </w:r>
      <w:r w:rsidRPr="00C56257">
        <w:rPr>
          <w:color w:val="000000" w:themeColor="text1"/>
          <w:spacing w:val="1"/>
        </w:rPr>
        <w:t xml:space="preserve"> </w:t>
      </w:r>
      <w:r w:rsidRPr="00C56257">
        <w:rPr>
          <w:color w:val="000000" w:themeColor="text1"/>
        </w:rPr>
        <w:t>completate cu metadatele necesare, conform cu cerințele CE, și în concordanță cu specificațiile</w:t>
      </w:r>
      <w:r w:rsidRPr="00C56257">
        <w:rPr>
          <w:color w:val="000000" w:themeColor="text1"/>
          <w:spacing w:val="1"/>
        </w:rPr>
        <w:t xml:space="preserve"> </w:t>
      </w:r>
      <w:r w:rsidRPr="00C56257">
        <w:rPr>
          <w:color w:val="000000" w:themeColor="text1"/>
        </w:rPr>
        <w:t>INSPIRE, atunci când acestea vor fi disponibile pentru aceste tipuri de date. Metadatele vor conține</w:t>
      </w:r>
      <w:r w:rsidRPr="00C56257">
        <w:rPr>
          <w:color w:val="000000" w:themeColor="text1"/>
          <w:spacing w:val="1"/>
        </w:rPr>
        <w:t xml:space="preserve"> </w:t>
      </w:r>
      <w:r w:rsidRPr="00C56257">
        <w:rPr>
          <w:color w:val="000000" w:themeColor="text1"/>
        </w:rPr>
        <w:t>între</w:t>
      </w:r>
      <w:r w:rsidRPr="00C56257">
        <w:rPr>
          <w:color w:val="000000" w:themeColor="text1"/>
          <w:spacing w:val="-3"/>
        </w:rPr>
        <w:t xml:space="preserve"> </w:t>
      </w:r>
      <w:r w:rsidRPr="00C56257">
        <w:rPr>
          <w:color w:val="000000" w:themeColor="text1"/>
        </w:rPr>
        <w:t>altele perioada</w:t>
      </w:r>
      <w:r w:rsidRPr="00C56257">
        <w:rPr>
          <w:color w:val="000000" w:themeColor="text1"/>
          <w:spacing w:val="-2"/>
        </w:rPr>
        <w:t xml:space="preserve"> </w:t>
      </w:r>
      <w:r w:rsidRPr="00C56257">
        <w:rPr>
          <w:color w:val="000000" w:themeColor="text1"/>
        </w:rPr>
        <w:t>în care</w:t>
      </w:r>
      <w:r w:rsidRPr="00C56257">
        <w:rPr>
          <w:color w:val="000000" w:themeColor="text1"/>
          <w:spacing w:val="-2"/>
        </w:rPr>
        <w:t xml:space="preserve"> </w:t>
      </w:r>
      <w:r w:rsidRPr="00C56257">
        <w:rPr>
          <w:color w:val="000000" w:themeColor="text1"/>
        </w:rPr>
        <w:t>au</w:t>
      </w:r>
      <w:r w:rsidRPr="00C56257">
        <w:rPr>
          <w:color w:val="000000" w:themeColor="text1"/>
          <w:spacing w:val="-1"/>
        </w:rPr>
        <w:t xml:space="preserve"> </w:t>
      </w:r>
      <w:r w:rsidRPr="00C56257">
        <w:rPr>
          <w:color w:val="000000" w:themeColor="text1"/>
        </w:rPr>
        <w:t>fost culese</w:t>
      </w:r>
      <w:r w:rsidRPr="00C56257">
        <w:rPr>
          <w:color w:val="000000" w:themeColor="text1"/>
          <w:spacing w:val="-1"/>
        </w:rPr>
        <w:t xml:space="preserve"> </w:t>
      </w:r>
      <w:r w:rsidRPr="00C56257">
        <w:rPr>
          <w:color w:val="000000" w:themeColor="text1"/>
        </w:rPr>
        <w:t>datele</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distribuție, sistemul</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proiecție, data,</w:t>
      </w:r>
      <w:r w:rsidRPr="00C56257">
        <w:rPr>
          <w:color w:val="000000" w:themeColor="text1"/>
          <w:spacing w:val="1"/>
        </w:rPr>
        <w:t xml:space="preserve"> </w:t>
      </w:r>
      <w:r w:rsidRPr="00C56257">
        <w:rPr>
          <w:color w:val="000000" w:themeColor="text1"/>
        </w:rPr>
        <w:t>etc.</w:t>
      </w:r>
      <w:r w:rsidRPr="00C56257">
        <w:rPr>
          <w:noProof/>
          <w:color w:val="000000" w:themeColor="text1"/>
          <w:lang w:val="en-US"/>
        </w:rPr>
        <w:drawing>
          <wp:inline distT="0" distB="0" distL="0" distR="0" wp14:anchorId="7B4CF72E" wp14:editId="52B388D6">
            <wp:extent cx="5282307" cy="3675888"/>
            <wp:effectExtent l="0" t="0" r="0" b="0"/>
            <wp:docPr id="3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4.jpeg"/>
                    <pic:cNvPicPr/>
                  </pic:nvPicPr>
                  <pic:blipFill>
                    <a:blip r:embed="rId57" cstate="print"/>
                    <a:stretch>
                      <a:fillRect/>
                    </a:stretch>
                  </pic:blipFill>
                  <pic:spPr>
                    <a:xfrm>
                      <a:off x="0" y="0"/>
                      <a:ext cx="5282307" cy="3675888"/>
                    </a:xfrm>
                    <a:prstGeom prst="rect">
                      <a:avLst/>
                    </a:prstGeom>
                  </pic:spPr>
                </pic:pic>
              </a:graphicData>
            </a:graphic>
          </wp:inline>
        </w:drawing>
      </w:r>
    </w:p>
    <w:p w14:paraId="3D9CB049" w14:textId="77777777" w:rsidR="007D2E1E" w:rsidRPr="00C56257" w:rsidRDefault="007D2E1E" w:rsidP="008E33FD">
      <w:pPr>
        <w:widowControl w:val="0"/>
        <w:tabs>
          <w:tab w:val="left" w:pos="1195"/>
        </w:tabs>
        <w:autoSpaceDE w:val="0"/>
        <w:autoSpaceDN w:val="0"/>
        <w:spacing w:before="100"/>
        <w:jc w:val="both"/>
        <w:outlineLvl w:val="1"/>
        <w:rPr>
          <w:rFonts w:eastAsia="Cambria"/>
          <w:b/>
          <w:bCs/>
          <w:color w:val="000000" w:themeColor="text1"/>
        </w:rPr>
      </w:pPr>
      <w:r w:rsidRPr="00C56257">
        <w:rPr>
          <w:rFonts w:eastAsia="Cambria"/>
          <w:b/>
          <w:bCs/>
          <w:color w:val="000000" w:themeColor="text1"/>
        </w:rPr>
        <w:t>Agregarea</w:t>
      </w:r>
      <w:r w:rsidRPr="00C56257">
        <w:rPr>
          <w:rFonts w:eastAsia="Cambria"/>
          <w:b/>
          <w:bCs/>
          <w:color w:val="000000" w:themeColor="text1"/>
          <w:spacing w:val="-5"/>
        </w:rPr>
        <w:t xml:space="preserve"> </w:t>
      </w:r>
      <w:r w:rsidRPr="00C56257">
        <w:rPr>
          <w:rFonts w:eastAsia="Cambria"/>
          <w:b/>
          <w:bCs/>
          <w:color w:val="000000" w:themeColor="text1"/>
        </w:rPr>
        <w:t>informației</w:t>
      </w:r>
      <w:r w:rsidRPr="00C56257">
        <w:rPr>
          <w:rFonts w:eastAsia="Cambria"/>
          <w:b/>
          <w:bCs/>
          <w:color w:val="000000" w:themeColor="text1"/>
          <w:spacing w:val="-5"/>
        </w:rPr>
        <w:t xml:space="preserve"> </w:t>
      </w:r>
      <w:r w:rsidRPr="00C56257">
        <w:rPr>
          <w:rFonts w:eastAsia="Cambria"/>
          <w:b/>
          <w:bCs/>
          <w:color w:val="000000" w:themeColor="text1"/>
        </w:rPr>
        <w:t>pe</w:t>
      </w:r>
      <w:r w:rsidRPr="00C56257">
        <w:rPr>
          <w:rFonts w:eastAsia="Cambria"/>
          <w:b/>
          <w:bCs/>
          <w:color w:val="000000" w:themeColor="text1"/>
          <w:spacing w:val="-5"/>
        </w:rPr>
        <w:t xml:space="preserve"> </w:t>
      </w:r>
      <w:r w:rsidRPr="00C56257">
        <w:rPr>
          <w:rFonts w:eastAsia="Cambria"/>
          <w:b/>
          <w:bCs/>
          <w:color w:val="000000" w:themeColor="text1"/>
        </w:rPr>
        <w:t>plot</w:t>
      </w:r>
      <w:r w:rsidRPr="00C56257">
        <w:rPr>
          <w:rFonts w:eastAsia="Cambria"/>
          <w:b/>
          <w:bCs/>
          <w:color w:val="000000" w:themeColor="text1"/>
          <w:spacing w:val="-4"/>
        </w:rPr>
        <w:t xml:space="preserve"> </w:t>
      </w:r>
      <w:r w:rsidRPr="00C56257">
        <w:rPr>
          <w:rFonts w:eastAsia="Cambria"/>
          <w:b/>
          <w:bCs/>
          <w:color w:val="000000" w:themeColor="text1"/>
        </w:rPr>
        <w:t>de</w:t>
      </w:r>
      <w:r w:rsidRPr="00C56257">
        <w:rPr>
          <w:rFonts w:eastAsia="Cambria"/>
          <w:b/>
          <w:bCs/>
          <w:color w:val="000000" w:themeColor="text1"/>
          <w:spacing w:val="-5"/>
        </w:rPr>
        <w:t xml:space="preserve"> </w:t>
      </w:r>
      <w:r w:rsidRPr="00C56257">
        <w:rPr>
          <w:rFonts w:eastAsia="Cambria"/>
          <w:b/>
          <w:bCs/>
          <w:color w:val="000000" w:themeColor="text1"/>
        </w:rPr>
        <w:t>monitorizare</w:t>
      </w:r>
    </w:p>
    <w:p w14:paraId="3F23C30D" w14:textId="77777777" w:rsidR="007D2E1E" w:rsidRPr="00C56257" w:rsidRDefault="007D2E1E" w:rsidP="008E33FD">
      <w:pPr>
        <w:widowControl w:val="0"/>
        <w:autoSpaceDE w:val="0"/>
        <w:autoSpaceDN w:val="0"/>
        <w:spacing w:before="157"/>
        <w:jc w:val="both"/>
        <w:rPr>
          <w:color w:val="000000" w:themeColor="text1"/>
        </w:rPr>
      </w:pPr>
      <w:r w:rsidRPr="00C56257">
        <w:rPr>
          <w:color w:val="000000" w:themeColor="text1"/>
        </w:rPr>
        <w:t>Modul</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agregare a</w:t>
      </w:r>
      <w:r w:rsidRPr="00C56257">
        <w:rPr>
          <w:color w:val="000000" w:themeColor="text1"/>
          <w:spacing w:val="-1"/>
        </w:rPr>
        <w:t xml:space="preserve"> </w:t>
      </w:r>
      <w:r w:rsidRPr="00C56257">
        <w:rPr>
          <w:color w:val="000000" w:themeColor="text1"/>
        </w:rPr>
        <w:t>datelor</w:t>
      </w:r>
      <w:r w:rsidRPr="00C56257">
        <w:rPr>
          <w:color w:val="000000" w:themeColor="text1"/>
          <w:spacing w:val="-1"/>
        </w:rPr>
        <w:t xml:space="preserve"> </w:t>
      </w:r>
      <w:r w:rsidRPr="00C56257">
        <w:rPr>
          <w:color w:val="000000" w:themeColor="text1"/>
        </w:rPr>
        <w:t>se</w:t>
      </w:r>
      <w:r w:rsidRPr="00C56257">
        <w:rPr>
          <w:color w:val="000000" w:themeColor="text1"/>
          <w:spacing w:val="-1"/>
        </w:rPr>
        <w:t xml:space="preserve"> </w:t>
      </w:r>
      <w:r w:rsidRPr="00C56257">
        <w:rPr>
          <w:color w:val="000000" w:themeColor="text1"/>
        </w:rPr>
        <w:t>face</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două</w:t>
      </w:r>
      <w:r w:rsidRPr="00C56257">
        <w:rPr>
          <w:color w:val="000000" w:themeColor="text1"/>
          <w:spacing w:val="-1"/>
        </w:rPr>
        <w:t xml:space="preserve"> </w:t>
      </w:r>
      <w:r w:rsidRPr="00C56257">
        <w:rPr>
          <w:color w:val="000000" w:themeColor="text1"/>
        </w:rPr>
        <w:t>etape:</w:t>
      </w:r>
    </w:p>
    <w:p w14:paraId="59FE9E17" w14:textId="77777777" w:rsidR="007D2E1E" w:rsidRPr="00C56257" w:rsidRDefault="007D2E1E" w:rsidP="009E63E5">
      <w:pPr>
        <w:widowControl w:val="0"/>
        <w:numPr>
          <w:ilvl w:val="0"/>
          <w:numId w:val="40"/>
        </w:numPr>
        <w:tabs>
          <w:tab w:val="left" w:pos="793"/>
          <w:tab w:val="left" w:pos="794"/>
        </w:tabs>
        <w:autoSpaceDE w:val="0"/>
        <w:autoSpaceDN w:val="0"/>
        <w:spacing w:before="9" w:line="230" w:lineRule="auto"/>
        <w:ind w:right="412"/>
        <w:jc w:val="both"/>
        <w:rPr>
          <w:color w:val="000000" w:themeColor="text1"/>
        </w:rPr>
      </w:pPr>
      <w:r w:rsidRPr="00C56257">
        <w:rPr>
          <w:color w:val="000000" w:themeColor="text1"/>
        </w:rPr>
        <w:t>Agregarea</w:t>
      </w:r>
      <w:r w:rsidRPr="00C56257">
        <w:rPr>
          <w:color w:val="000000" w:themeColor="text1"/>
          <w:spacing w:val="14"/>
        </w:rPr>
        <w:t xml:space="preserve"> </w:t>
      </w:r>
      <w:r w:rsidRPr="00C56257">
        <w:rPr>
          <w:color w:val="000000" w:themeColor="text1"/>
        </w:rPr>
        <w:t>spațială,</w:t>
      </w:r>
      <w:r w:rsidRPr="00C56257">
        <w:rPr>
          <w:color w:val="000000" w:themeColor="text1"/>
          <w:spacing w:val="15"/>
        </w:rPr>
        <w:t xml:space="preserve"> </w:t>
      </w:r>
      <w:r w:rsidRPr="00C56257">
        <w:rPr>
          <w:color w:val="000000" w:themeColor="text1"/>
        </w:rPr>
        <w:t>respectiv</w:t>
      </w:r>
      <w:r w:rsidRPr="00C56257">
        <w:rPr>
          <w:color w:val="000000" w:themeColor="text1"/>
          <w:spacing w:val="17"/>
        </w:rPr>
        <w:t xml:space="preserve"> </w:t>
      </w:r>
      <w:r w:rsidRPr="00C56257">
        <w:rPr>
          <w:color w:val="000000" w:themeColor="text1"/>
        </w:rPr>
        <w:t>generarea</w:t>
      </w:r>
      <w:r w:rsidRPr="00C56257">
        <w:rPr>
          <w:color w:val="000000" w:themeColor="text1"/>
          <w:spacing w:val="14"/>
        </w:rPr>
        <w:t xml:space="preserve"> </w:t>
      </w:r>
      <w:r w:rsidRPr="00C56257">
        <w:rPr>
          <w:color w:val="000000" w:themeColor="text1"/>
        </w:rPr>
        <w:t>hărților</w:t>
      </w:r>
      <w:r w:rsidRPr="00C56257">
        <w:rPr>
          <w:color w:val="000000" w:themeColor="text1"/>
          <w:spacing w:val="15"/>
        </w:rPr>
        <w:t xml:space="preserve"> </w:t>
      </w:r>
      <w:r w:rsidRPr="00C56257">
        <w:rPr>
          <w:color w:val="000000" w:themeColor="text1"/>
        </w:rPr>
        <w:t>în</w:t>
      </w:r>
      <w:r w:rsidRPr="00C56257">
        <w:rPr>
          <w:color w:val="000000" w:themeColor="text1"/>
          <w:spacing w:val="15"/>
        </w:rPr>
        <w:t xml:space="preserve"> </w:t>
      </w:r>
      <w:r w:rsidRPr="00C56257">
        <w:rPr>
          <w:color w:val="000000" w:themeColor="text1"/>
        </w:rPr>
        <w:t>conformitate</w:t>
      </w:r>
      <w:r w:rsidRPr="00C56257">
        <w:rPr>
          <w:color w:val="000000" w:themeColor="text1"/>
          <w:spacing w:val="14"/>
        </w:rPr>
        <w:t xml:space="preserve"> </w:t>
      </w:r>
      <w:r w:rsidRPr="00C56257">
        <w:rPr>
          <w:color w:val="000000" w:themeColor="text1"/>
        </w:rPr>
        <w:t>cu</w:t>
      </w:r>
      <w:r w:rsidRPr="00C56257">
        <w:rPr>
          <w:color w:val="000000" w:themeColor="text1"/>
          <w:spacing w:val="15"/>
        </w:rPr>
        <w:t xml:space="preserve"> </w:t>
      </w:r>
      <w:r w:rsidRPr="00C56257">
        <w:rPr>
          <w:color w:val="000000" w:themeColor="text1"/>
        </w:rPr>
        <w:t>formatul</w:t>
      </w:r>
      <w:r w:rsidRPr="00C56257">
        <w:rPr>
          <w:color w:val="000000" w:themeColor="text1"/>
          <w:spacing w:val="16"/>
        </w:rPr>
        <w:t xml:space="preserve"> </w:t>
      </w:r>
      <w:r w:rsidRPr="00C56257">
        <w:rPr>
          <w:color w:val="000000" w:themeColor="text1"/>
        </w:rPr>
        <w:t>de</w:t>
      </w:r>
      <w:r w:rsidRPr="00C56257">
        <w:rPr>
          <w:color w:val="000000" w:themeColor="text1"/>
          <w:spacing w:val="14"/>
        </w:rPr>
        <w:t xml:space="preserve"> </w:t>
      </w:r>
      <w:r w:rsidRPr="00C56257">
        <w:rPr>
          <w:color w:val="000000" w:themeColor="text1"/>
        </w:rPr>
        <w:t>raportare</w:t>
      </w:r>
      <w:r w:rsidRPr="00C56257">
        <w:rPr>
          <w:color w:val="000000" w:themeColor="text1"/>
          <w:spacing w:val="-57"/>
        </w:rPr>
        <w:t xml:space="preserve"> </w:t>
      </w:r>
      <w:r w:rsidRPr="00C56257">
        <w:rPr>
          <w:color w:val="000000" w:themeColor="text1"/>
        </w:rPr>
        <w:t>pornind</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la datele</w:t>
      </w:r>
      <w:r w:rsidRPr="00C56257">
        <w:rPr>
          <w:color w:val="000000" w:themeColor="text1"/>
          <w:spacing w:val="-1"/>
        </w:rPr>
        <w:t xml:space="preserve"> </w:t>
      </w:r>
      <w:r w:rsidRPr="00C56257">
        <w:rPr>
          <w:color w:val="000000" w:themeColor="text1"/>
        </w:rPr>
        <w:t>primare/datele</w:t>
      </w:r>
      <w:r w:rsidRPr="00C56257">
        <w:rPr>
          <w:color w:val="000000" w:themeColor="text1"/>
          <w:spacing w:val="-1"/>
        </w:rPr>
        <w:t xml:space="preserve"> </w:t>
      </w:r>
      <w:r w:rsidRPr="00C56257">
        <w:rPr>
          <w:color w:val="000000" w:themeColor="text1"/>
        </w:rPr>
        <w:t>din teren.</w:t>
      </w:r>
    </w:p>
    <w:p w14:paraId="1803C66E" w14:textId="77777777" w:rsidR="007D2E1E" w:rsidRPr="00C56257" w:rsidRDefault="007D2E1E" w:rsidP="009E63E5">
      <w:pPr>
        <w:widowControl w:val="0"/>
        <w:numPr>
          <w:ilvl w:val="0"/>
          <w:numId w:val="40"/>
        </w:numPr>
        <w:tabs>
          <w:tab w:val="left" w:pos="793"/>
          <w:tab w:val="left" w:pos="794"/>
        </w:tabs>
        <w:autoSpaceDE w:val="0"/>
        <w:autoSpaceDN w:val="0"/>
        <w:spacing w:before="13" w:line="228" w:lineRule="auto"/>
        <w:ind w:right="409"/>
        <w:jc w:val="both"/>
        <w:rPr>
          <w:color w:val="000000" w:themeColor="text1"/>
        </w:rPr>
      </w:pPr>
      <w:r w:rsidRPr="00C56257">
        <w:rPr>
          <w:color w:val="000000" w:themeColor="text1"/>
        </w:rPr>
        <w:t>Agregarea</w:t>
      </w:r>
      <w:r w:rsidRPr="00C56257">
        <w:rPr>
          <w:color w:val="000000" w:themeColor="text1"/>
          <w:spacing w:val="23"/>
        </w:rPr>
        <w:t xml:space="preserve"> </w:t>
      </w:r>
      <w:r w:rsidRPr="00C56257">
        <w:rPr>
          <w:color w:val="000000" w:themeColor="text1"/>
        </w:rPr>
        <w:t>non-spațială</w:t>
      </w:r>
      <w:r w:rsidRPr="00C56257">
        <w:rPr>
          <w:color w:val="000000" w:themeColor="text1"/>
          <w:spacing w:val="25"/>
        </w:rPr>
        <w:t xml:space="preserve"> </w:t>
      </w:r>
      <w:r w:rsidRPr="00C56257">
        <w:rPr>
          <w:color w:val="000000" w:themeColor="text1"/>
        </w:rPr>
        <w:t>care</w:t>
      </w:r>
      <w:r w:rsidRPr="00C56257">
        <w:rPr>
          <w:color w:val="000000" w:themeColor="text1"/>
          <w:spacing w:val="22"/>
        </w:rPr>
        <w:t xml:space="preserve"> </w:t>
      </w:r>
      <w:r w:rsidRPr="00C56257">
        <w:rPr>
          <w:color w:val="000000" w:themeColor="text1"/>
        </w:rPr>
        <w:t>presupune</w:t>
      </w:r>
      <w:r w:rsidRPr="00C56257">
        <w:rPr>
          <w:color w:val="000000" w:themeColor="text1"/>
          <w:spacing w:val="25"/>
        </w:rPr>
        <w:t xml:space="preserve"> </w:t>
      </w:r>
      <w:r w:rsidRPr="00C56257">
        <w:rPr>
          <w:color w:val="000000" w:themeColor="text1"/>
        </w:rPr>
        <w:t>generarea</w:t>
      </w:r>
      <w:r w:rsidRPr="00C56257">
        <w:rPr>
          <w:color w:val="000000" w:themeColor="text1"/>
          <w:spacing w:val="23"/>
        </w:rPr>
        <w:t xml:space="preserve"> </w:t>
      </w:r>
      <w:r w:rsidRPr="00C56257">
        <w:rPr>
          <w:color w:val="000000" w:themeColor="text1"/>
        </w:rPr>
        <w:t>fișierelor</w:t>
      </w:r>
      <w:r w:rsidRPr="00C56257">
        <w:rPr>
          <w:color w:val="000000" w:themeColor="text1"/>
          <w:spacing w:val="24"/>
        </w:rPr>
        <w:t xml:space="preserve"> </w:t>
      </w:r>
      <w:r w:rsidRPr="00C56257">
        <w:rPr>
          <w:color w:val="000000" w:themeColor="text1"/>
        </w:rPr>
        <w:t>specifice,</w:t>
      </w:r>
      <w:r w:rsidRPr="00C56257">
        <w:rPr>
          <w:color w:val="000000" w:themeColor="text1"/>
          <w:spacing w:val="24"/>
        </w:rPr>
        <w:t xml:space="preserve"> </w:t>
      </w:r>
      <w:r w:rsidRPr="00C56257">
        <w:rPr>
          <w:color w:val="000000" w:themeColor="text1"/>
        </w:rPr>
        <w:t>în</w:t>
      </w:r>
      <w:r w:rsidRPr="00C56257">
        <w:rPr>
          <w:color w:val="000000" w:themeColor="text1"/>
          <w:spacing w:val="26"/>
        </w:rPr>
        <w:t xml:space="preserve"> </w:t>
      </w:r>
      <w:r w:rsidRPr="00C56257">
        <w:rPr>
          <w:color w:val="000000" w:themeColor="text1"/>
        </w:rPr>
        <w:t>conformitate</w:t>
      </w:r>
      <w:r w:rsidRPr="00C56257">
        <w:rPr>
          <w:color w:val="000000" w:themeColor="text1"/>
          <w:spacing w:val="23"/>
        </w:rPr>
        <w:t xml:space="preserve"> </w:t>
      </w:r>
      <w:r w:rsidRPr="00C56257">
        <w:rPr>
          <w:color w:val="000000" w:themeColor="text1"/>
        </w:rPr>
        <w:t>cu</w:t>
      </w:r>
      <w:r w:rsidRPr="00C56257">
        <w:rPr>
          <w:color w:val="000000" w:themeColor="text1"/>
          <w:spacing w:val="-57"/>
        </w:rPr>
        <w:t xml:space="preserve"> </w:t>
      </w:r>
      <w:r w:rsidRPr="00C56257">
        <w:rPr>
          <w:color w:val="000000" w:themeColor="text1"/>
        </w:rPr>
        <w:t>formatul</w:t>
      </w:r>
      <w:r w:rsidRPr="00C56257">
        <w:rPr>
          <w:color w:val="000000" w:themeColor="text1"/>
          <w:spacing w:val="-1"/>
        </w:rPr>
        <w:t xml:space="preserve"> </w:t>
      </w:r>
      <w:r w:rsidRPr="00C56257">
        <w:rPr>
          <w:color w:val="000000" w:themeColor="text1"/>
        </w:rPr>
        <w:t>de raportare, pornind de</w:t>
      </w:r>
      <w:r w:rsidRPr="00C56257">
        <w:rPr>
          <w:color w:val="000000" w:themeColor="text1"/>
          <w:spacing w:val="-2"/>
        </w:rPr>
        <w:t xml:space="preserve"> </w:t>
      </w:r>
      <w:r w:rsidRPr="00C56257">
        <w:rPr>
          <w:color w:val="000000" w:themeColor="text1"/>
        </w:rPr>
        <w:t>la datele</w:t>
      </w:r>
      <w:r w:rsidRPr="00C56257">
        <w:rPr>
          <w:color w:val="000000" w:themeColor="text1"/>
          <w:spacing w:val="-1"/>
        </w:rPr>
        <w:t xml:space="preserve"> </w:t>
      </w:r>
      <w:r w:rsidRPr="00C56257">
        <w:rPr>
          <w:color w:val="000000" w:themeColor="text1"/>
        </w:rPr>
        <w:t>primare.</w:t>
      </w:r>
    </w:p>
    <w:p w14:paraId="63E016EB" w14:textId="77777777" w:rsidR="00FB57A1" w:rsidRPr="00C56257" w:rsidRDefault="00FB57A1" w:rsidP="008E33FD">
      <w:pPr>
        <w:widowControl w:val="0"/>
        <w:tabs>
          <w:tab w:val="left" w:pos="1195"/>
        </w:tabs>
        <w:autoSpaceDE w:val="0"/>
        <w:autoSpaceDN w:val="0"/>
        <w:spacing w:before="90"/>
        <w:jc w:val="both"/>
        <w:outlineLvl w:val="0"/>
        <w:rPr>
          <w:rFonts w:eastAsia="Cambria"/>
          <w:b/>
          <w:bCs/>
          <w:color w:val="000000" w:themeColor="text1"/>
        </w:rPr>
      </w:pPr>
    </w:p>
    <w:p w14:paraId="26DC0E9D" w14:textId="77777777" w:rsidR="007D2E1E" w:rsidRPr="00C56257" w:rsidRDefault="007D2E1E" w:rsidP="008E33FD">
      <w:pPr>
        <w:widowControl w:val="0"/>
        <w:tabs>
          <w:tab w:val="left" w:pos="1195"/>
        </w:tabs>
        <w:autoSpaceDE w:val="0"/>
        <w:autoSpaceDN w:val="0"/>
        <w:spacing w:before="90"/>
        <w:jc w:val="both"/>
        <w:outlineLvl w:val="0"/>
        <w:rPr>
          <w:rFonts w:eastAsia="Cambria"/>
          <w:b/>
          <w:bCs/>
          <w:color w:val="000000" w:themeColor="text1"/>
        </w:rPr>
      </w:pPr>
      <w:r w:rsidRPr="00C56257">
        <w:rPr>
          <w:rFonts w:eastAsia="Cambria"/>
          <w:b/>
          <w:bCs/>
          <w:color w:val="000000" w:themeColor="text1"/>
        </w:rPr>
        <w:t>S</w:t>
      </w:r>
      <w:r w:rsidR="00C8397C" w:rsidRPr="00C56257">
        <w:rPr>
          <w:rFonts w:eastAsia="Cambria"/>
          <w:b/>
          <w:bCs/>
          <w:color w:val="000000" w:themeColor="text1"/>
        </w:rPr>
        <w:t>tructura</w:t>
      </w:r>
      <w:r w:rsidR="00C8397C" w:rsidRPr="00C56257">
        <w:rPr>
          <w:rFonts w:eastAsia="Cambria"/>
          <w:b/>
          <w:bCs/>
          <w:color w:val="000000" w:themeColor="text1"/>
          <w:spacing w:val="-3"/>
        </w:rPr>
        <w:t xml:space="preserve"> </w:t>
      </w:r>
      <w:r w:rsidR="00C8397C" w:rsidRPr="00C56257">
        <w:rPr>
          <w:rFonts w:eastAsia="Cambria"/>
          <w:b/>
          <w:bCs/>
          <w:color w:val="000000" w:themeColor="text1"/>
        </w:rPr>
        <w:t>și</w:t>
      </w:r>
      <w:r w:rsidR="00C8397C" w:rsidRPr="00C56257">
        <w:rPr>
          <w:rFonts w:eastAsia="Cambria"/>
          <w:b/>
          <w:bCs/>
          <w:color w:val="000000" w:themeColor="text1"/>
          <w:spacing w:val="-4"/>
        </w:rPr>
        <w:t xml:space="preserve"> </w:t>
      </w:r>
      <w:r w:rsidR="00C8397C" w:rsidRPr="00C56257">
        <w:rPr>
          <w:rFonts w:eastAsia="Cambria"/>
          <w:b/>
          <w:bCs/>
          <w:color w:val="000000" w:themeColor="text1"/>
        </w:rPr>
        <w:t>funcțiile</w:t>
      </w:r>
      <w:r w:rsidR="00C8397C" w:rsidRPr="00C56257">
        <w:rPr>
          <w:rFonts w:eastAsia="Cambria"/>
          <w:b/>
          <w:bCs/>
          <w:color w:val="000000" w:themeColor="text1"/>
          <w:spacing w:val="-4"/>
        </w:rPr>
        <w:t xml:space="preserve"> </w:t>
      </w:r>
      <w:r w:rsidR="00C8397C" w:rsidRPr="00C56257">
        <w:rPr>
          <w:rFonts w:eastAsia="Cambria"/>
          <w:b/>
          <w:bCs/>
          <w:color w:val="000000" w:themeColor="text1"/>
        </w:rPr>
        <w:t>habitatelor</w:t>
      </w:r>
      <w:r w:rsidR="00C8397C" w:rsidRPr="00C56257">
        <w:rPr>
          <w:rFonts w:eastAsia="Cambria"/>
          <w:b/>
          <w:bCs/>
          <w:color w:val="000000" w:themeColor="text1"/>
          <w:spacing w:val="-4"/>
        </w:rPr>
        <w:t xml:space="preserve"> </w:t>
      </w:r>
      <w:r w:rsidR="00C8397C" w:rsidRPr="00C56257">
        <w:rPr>
          <w:rFonts w:eastAsia="Cambria"/>
          <w:b/>
          <w:bCs/>
          <w:color w:val="000000" w:themeColor="text1"/>
        </w:rPr>
        <w:t>de</w:t>
      </w:r>
      <w:r w:rsidR="00C8397C" w:rsidRPr="00C56257">
        <w:rPr>
          <w:rFonts w:eastAsia="Cambria"/>
          <w:b/>
          <w:bCs/>
          <w:color w:val="000000" w:themeColor="text1"/>
          <w:spacing w:val="1"/>
        </w:rPr>
        <w:t xml:space="preserve"> </w:t>
      </w:r>
      <w:r w:rsidR="00C8397C" w:rsidRPr="00C56257">
        <w:rPr>
          <w:rFonts w:eastAsia="Cambria"/>
          <w:b/>
          <w:bCs/>
          <w:color w:val="000000" w:themeColor="text1"/>
        </w:rPr>
        <w:t>apă</w:t>
      </w:r>
      <w:r w:rsidR="00C8397C" w:rsidRPr="00C56257">
        <w:rPr>
          <w:rFonts w:eastAsia="Cambria"/>
          <w:b/>
          <w:bCs/>
          <w:color w:val="000000" w:themeColor="text1"/>
          <w:spacing w:val="64"/>
        </w:rPr>
        <w:t xml:space="preserve"> </w:t>
      </w:r>
      <w:r w:rsidR="00C8397C" w:rsidRPr="00C56257">
        <w:rPr>
          <w:rFonts w:eastAsia="Cambria"/>
          <w:b/>
          <w:bCs/>
          <w:color w:val="000000" w:themeColor="text1"/>
        </w:rPr>
        <w:t>dulce</w:t>
      </w:r>
    </w:p>
    <w:p w14:paraId="63295D52" w14:textId="77777777" w:rsidR="007D2E1E" w:rsidRPr="00C56257" w:rsidRDefault="007D2E1E" w:rsidP="008E33FD">
      <w:pPr>
        <w:widowControl w:val="0"/>
        <w:autoSpaceDE w:val="0"/>
        <w:autoSpaceDN w:val="0"/>
        <w:spacing w:before="10"/>
        <w:jc w:val="both"/>
        <w:rPr>
          <w:b/>
          <w:color w:val="000000" w:themeColor="text1"/>
        </w:rPr>
      </w:pPr>
    </w:p>
    <w:p w14:paraId="44EE0D26" w14:textId="77777777" w:rsidR="007D2E1E" w:rsidRPr="00C56257" w:rsidRDefault="007D2E1E" w:rsidP="00FA0AE6">
      <w:pPr>
        <w:widowControl w:val="0"/>
        <w:autoSpaceDE w:val="0"/>
        <w:autoSpaceDN w:val="0"/>
        <w:ind w:right="27"/>
        <w:jc w:val="both"/>
        <w:rPr>
          <w:color w:val="000000" w:themeColor="text1"/>
        </w:rPr>
      </w:pPr>
      <w:r w:rsidRPr="00C56257">
        <w:rPr>
          <w:color w:val="000000" w:themeColor="text1"/>
        </w:rPr>
        <w:t>Inventarierea habitatelor se va realizape baza Manualului de Interpretare a Habitatelor Naturale din</w:t>
      </w:r>
      <w:r w:rsidRPr="00C56257">
        <w:rPr>
          <w:color w:val="000000" w:themeColor="text1"/>
          <w:spacing w:val="1"/>
        </w:rPr>
        <w:t xml:space="preserve"> </w:t>
      </w:r>
      <w:r w:rsidRPr="00C56257">
        <w:rPr>
          <w:color w:val="000000" w:themeColor="text1"/>
        </w:rPr>
        <w:t>Uniunea</w:t>
      </w:r>
      <w:r w:rsidRPr="00C56257">
        <w:rPr>
          <w:color w:val="000000" w:themeColor="text1"/>
          <w:spacing w:val="1"/>
        </w:rPr>
        <w:t xml:space="preserve"> </w:t>
      </w:r>
      <w:r w:rsidRPr="00C56257">
        <w:rPr>
          <w:color w:val="000000" w:themeColor="text1"/>
        </w:rPr>
        <w:t>Europeană</w:t>
      </w:r>
      <w:r w:rsidRPr="00C56257">
        <w:rPr>
          <w:color w:val="000000" w:themeColor="text1"/>
          <w:spacing w:val="1"/>
        </w:rPr>
        <w:t xml:space="preserve"> </w:t>
      </w:r>
      <w:r w:rsidRPr="00C56257">
        <w:rPr>
          <w:color w:val="000000" w:themeColor="text1"/>
        </w:rPr>
        <w:t>(EUR</w:t>
      </w:r>
      <w:r w:rsidRPr="00C56257">
        <w:rPr>
          <w:color w:val="000000" w:themeColor="text1"/>
          <w:spacing w:val="1"/>
        </w:rPr>
        <w:t xml:space="preserve"> </w:t>
      </w:r>
      <w:r w:rsidRPr="00C56257">
        <w:rPr>
          <w:color w:val="000000" w:themeColor="text1"/>
        </w:rPr>
        <w:t>28)</w:t>
      </w:r>
      <w:r w:rsidRPr="00C56257">
        <w:rPr>
          <w:color w:val="000000" w:themeColor="text1"/>
          <w:spacing w:val="1"/>
        </w:rPr>
        <w:t xml:space="preserve"> </w:t>
      </w:r>
      <w:r w:rsidRPr="00C56257">
        <w:rPr>
          <w:color w:val="000000" w:themeColor="text1"/>
        </w:rPr>
        <w:t>și</w:t>
      </w:r>
      <w:r w:rsidRPr="00C56257">
        <w:rPr>
          <w:color w:val="000000" w:themeColor="text1"/>
          <w:spacing w:val="1"/>
        </w:rPr>
        <w:t xml:space="preserve"> </w:t>
      </w:r>
      <w:r w:rsidRPr="00C56257">
        <w:rPr>
          <w:color w:val="000000" w:themeColor="text1"/>
        </w:rPr>
        <w:t>după</w:t>
      </w:r>
      <w:r w:rsidRPr="00C56257">
        <w:rPr>
          <w:color w:val="000000" w:themeColor="text1"/>
          <w:spacing w:val="1"/>
        </w:rPr>
        <w:t xml:space="preserve"> </w:t>
      </w:r>
      <w:r w:rsidRPr="00C56257">
        <w:rPr>
          <w:color w:val="000000" w:themeColor="text1"/>
        </w:rPr>
        <w:t>Şcoala</w:t>
      </w:r>
      <w:r w:rsidRPr="00C56257">
        <w:rPr>
          <w:color w:val="000000" w:themeColor="text1"/>
          <w:spacing w:val="1"/>
        </w:rPr>
        <w:t xml:space="preserve"> </w:t>
      </w:r>
      <w:r w:rsidRPr="00C56257">
        <w:rPr>
          <w:color w:val="000000" w:themeColor="text1"/>
        </w:rPr>
        <w:t>Floristică</w:t>
      </w:r>
      <w:r w:rsidRPr="00C56257">
        <w:rPr>
          <w:color w:val="000000" w:themeColor="text1"/>
          <w:spacing w:val="1"/>
        </w:rPr>
        <w:t xml:space="preserve"> </w:t>
      </w:r>
      <w:r w:rsidRPr="00C56257">
        <w:rPr>
          <w:color w:val="000000" w:themeColor="text1"/>
        </w:rPr>
        <w:t>Central</w:t>
      </w:r>
      <w:r w:rsidRPr="00C56257">
        <w:rPr>
          <w:color w:val="000000" w:themeColor="text1"/>
          <w:spacing w:val="1"/>
        </w:rPr>
        <w:t xml:space="preserve"> </w:t>
      </w:r>
      <w:r w:rsidRPr="00C56257">
        <w:rPr>
          <w:color w:val="000000" w:themeColor="text1"/>
        </w:rPr>
        <w:t>Europeană</w:t>
      </w:r>
      <w:r w:rsidRPr="00C56257">
        <w:rPr>
          <w:color w:val="000000" w:themeColor="text1"/>
          <w:spacing w:val="1"/>
        </w:rPr>
        <w:t xml:space="preserve"> </w:t>
      </w:r>
      <w:r w:rsidRPr="00C56257">
        <w:rPr>
          <w:color w:val="000000" w:themeColor="text1"/>
        </w:rPr>
        <w:t>(Braun–Blanquet),</w:t>
      </w:r>
      <w:r w:rsidRPr="00C56257">
        <w:rPr>
          <w:color w:val="000000" w:themeColor="text1"/>
          <w:spacing w:val="-57"/>
        </w:rPr>
        <w:t xml:space="preserve"> </w:t>
      </w:r>
      <w:r w:rsidRPr="00C56257">
        <w:rPr>
          <w:color w:val="000000" w:themeColor="text1"/>
        </w:rPr>
        <w:t xml:space="preserve">situație în care se vor face investigaţii după „itinerar” şi în „staţionar”, în </w:t>
      </w:r>
      <w:r w:rsidR="00F83FA6">
        <w:rPr>
          <w:color w:val="000000" w:themeColor="text1"/>
        </w:rPr>
        <w:t>două</w:t>
      </w:r>
      <w:r w:rsidRPr="00C56257">
        <w:rPr>
          <w:color w:val="000000" w:themeColor="text1"/>
        </w:rPr>
        <w:t xml:space="preserve"> etape</w:t>
      </w:r>
      <w:r w:rsidRPr="00C56257">
        <w:rPr>
          <w:i/>
          <w:color w:val="000000" w:themeColor="text1"/>
        </w:rPr>
        <w:t>:</w:t>
      </w:r>
      <w:r w:rsidRPr="00C56257">
        <w:rPr>
          <w:i/>
          <w:color w:val="000000" w:themeColor="text1"/>
          <w:spacing w:val="1"/>
        </w:rPr>
        <w:t xml:space="preserve"> </w:t>
      </w:r>
      <w:r w:rsidRPr="00C56257">
        <w:rPr>
          <w:color w:val="000000" w:themeColor="text1"/>
        </w:rPr>
        <w:t>etapa analitică şi</w:t>
      </w:r>
      <w:r w:rsidRPr="00C56257">
        <w:rPr>
          <w:color w:val="000000" w:themeColor="text1"/>
          <w:spacing w:val="1"/>
        </w:rPr>
        <w:t xml:space="preserve"> </w:t>
      </w:r>
      <w:r w:rsidRPr="00C56257">
        <w:rPr>
          <w:color w:val="000000" w:themeColor="text1"/>
        </w:rPr>
        <w:t>etapa</w:t>
      </w:r>
      <w:r w:rsidRPr="00C56257">
        <w:rPr>
          <w:color w:val="000000" w:themeColor="text1"/>
          <w:spacing w:val="-3"/>
        </w:rPr>
        <w:t xml:space="preserve"> </w:t>
      </w:r>
      <w:r w:rsidRPr="00C56257">
        <w:rPr>
          <w:color w:val="000000" w:themeColor="text1"/>
        </w:rPr>
        <w:t>sintetică.</w:t>
      </w:r>
    </w:p>
    <w:p w14:paraId="7B7B3608" w14:textId="77777777" w:rsidR="007D2E1E" w:rsidRPr="00C56257" w:rsidRDefault="007D2E1E" w:rsidP="00FA0AE6">
      <w:pPr>
        <w:widowControl w:val="0"/>
        <w:autoSpaceDE w:val="0"/>
        <w:autoSpaceDN w:val="0"/>
        <w:ind w:right="27"/>
        <w:jc w:val="both"/>
        <w:rPr>
          <w:color w:val="000000" w:themeColor="text1"/>
        </w:rPr>
      </w:pPr>
      <w:r w:rsidRPr="00C56257">
        <w:rPr>
          <w:color w:val="000000" w:themeColor="text1"/>
        </w:rPr>
        <w:lastRenderedPageBreak/>
        <w:t>Prin identificarea speciilor cheie (edificatoare/caracteristice) a habitatelor de interes comunitar se</w:t>
      </w:r>
      <w:r w:rsidRPr="00C56257">
        <w:rPr>
          <w:color w:val="000000" w:themeColor="text1"/>
          <w:spacing w:val="1"/>
        </w:rPr>
        <w:t xml:space="preserve"> </w:t>
      </w:r>
      <w:r w:rsidRPr="00C56257">
        <w:rPr>
          <w:color w:val="000000" w:themeColor="text1"/>
        </w:rPr>
        <w:t>vor</w:t>
      </w:r>
      <w:r w:rsidRPr="00C56257">
        <w:rPr>
          <w:color w:val="000000" w:themeColor="text1"/>
          <w:spacing w:val="1"/>
        </w:rPr>
        <w:t xml:space="preserve"> </w:t>
      </w:r>
      <w:r w:rsidRPr="00C56257">
        <w:rPr>
          <w:color w:val="000000" w:themeColor="text1"/>
        </w:rPr>
        <w:t>efectua</w:t>
      </w:r>
      <w:r w:rsidRPr="00C56257">
        <w:rPr>
          <w:color w:val="000000" w:themeColor="text1"/>
          <w:spacing w:val="1"/>
        </w:rPr>
        <w:t xml:space="preserve"> </w:t>
      </w:r>
      <w:r w:rsidRPr="00C56257">
        <w:rPr>
          <w:color w:val="000000" w:themeColor="text1"/>
        </w:rPr>
        <w:t>determinări</w:t>
      </w:r>
      <w:r w:rsidRPr="00C56257">
        <w:rPr>
          <w:color w:val="000000" w:themeColor="text1"/>
          <w:spacing w:val="1"/>
        </w:rPr>
        <w:t xml:space="preserve"> </w:t>
      </w:r>
      <w:r w:rsidRPr="00C56257">
        <w:rPr>
          <w:color w:val="000000" w:themeColor="text1"/>
        </w:rPr>
        <w:t>folosind</w:t>
      </w:r>
      <w:r w:rsidRPr="00C56257">
        <w:rPr>
          <w:color w:val="000000" w:themeColor="text1"/>
          <w:spacing w:val="1"/>
        </w:rPr>
        <w:t xml:space="preserve"> </w:t>
      </w:r>
      <w:r w:rsidRPr="00C56257">
        <w:rPr>
          <w:color w:val="000000" w:themeColor="text1"/>
        </w:rPr>
        <w:t>variabile</w:t>
      </w:r>
      <w:r w:rsidRPr="00C56257">
        <w:rPr>
          <w:color w:val="000000" w:themeColor="text1"/>
          <w:spacing w:val="1"/>
        </w:rPr>
        <w:t xml:space="preserve"> </w:t>
      </w:r>
      <w:r w:rsidRPr="00C56257">
        <w:rPr>
          <w:color w:val="000000" w:themeColor="text1"/>
        </w:rPr>
        <w:t>legate</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funcţiile</w:t>
      </w:r>
      <w:r w:rsidRPr="00C56257">
        <w:rPr>
          <w:color w:val="000000" w:themeColor="text1"/>
          <w:spacing w:val="1"/>
        </w:rPr>
        <w:t xml:space="preserve"> </w:t>
      </w:r>
      <w:r w:rsidRPr="00C56257">
        <w:rPr>
          <w:color w:val="000000" w:themeColor="text1"/>
        </w:rPr>
        <w:t>ecosistemului,</w:t>
      </w:r>
      <w:r w:rsidRPr="00C56257">
        <w:rPr>
          <w:color w:val="000000" w:themeColor="text1"/>
          <w:spacing w:val="1"/>
        </w:rPr>
        <w:t xml:space="preserve"> </w:t>
      </w:r>
      <w:r w:rsidRPr="00C56257">
        <w:rPr>
          <w:color w:val="000000" w:themeColor="text1"/>
        </w:rPr>
        <w:t>precum:</w:t>
      </w:r>
      <w:r w:rsidRPr="00C56257">
        <w:rPr>
          <w:color w:val="000000" w:themeColor="text1"/>
          <w:spacing w:val="60"/>
        </w:rPr>
        <w:t xml:space="preserve"> </w:t>
      </w:r>
      <w:r w:rsidRPr="00C56257">
        <w:rPr>
          <w:color w:val="000000" w:themeColor="text1"/>
        </w:rPr>
        <w:t>perioada</w:t>
      </w:r>
      <w:r w:rsidRPr="00C56257">
        <w:rPr>
          <w:color w:val="000000" w:themeColor="text1"/>
          <w:spacing w:val="1"/>
        </w:rPr>
        <w:t xml:space="preserve"> </w:t>
      </w:r>
      <w:r w:rsidRPr="00C56257">
        <w:rPr>
          <w:color w:val="000000" w:themeColor="text1"/>
        </w:rPr>
        <w:t>optimă de monitorizare, structura calitativă şi cantitativă a habitatului identificat şi a speciilor de</w:t>
      </w:r>
      <w:r w:rsidRPr="00C56257">
        <w:rPr>
          <w:color w:val="000000" w:themeColor="text1"/>
          <w:spacing w:val="1"/>
        </w:rPr>
        <w:t xml:space="preserve"> </w:t>
      </w:r>
      <w:r w:rsidRPr="00C56257">
        <w:rPr>
          <w:color w:val="000000" w:themeColor="text1"/>
        </w:rPr>
        <w:t>floră</w:t>
      </w:r>
      <w:r w:rsidRPr="00C56257">
        <w:rPr>
          <w:color w:val="000000" w:themeColor="text1"/>
          <w:spacing w:val="-2"/>
        </w:rPr>
        <w:t xml:space="preserve"> </w:t>
      </w:r>
      <w:r w:rsidRPr="00C56257">
        <w:rPr>
          <w:color w:val="000000" w:themeColor="text1"/>
        </w:rPr>
        <w:t>identificate. Datele</w:t>
      </w:r>
      <w:r w:rsidRPr="00C56257">
        <w:rPr>
          <w:color w:val="000000" w:themeColor="text1"/>
          <w:spacing w:val="1"/>
        </w:rPr>
        <w:t xml:space="preserve"> </w:t>
      </w:r>
      <w:r w:rsidRPr="00C56257">
        <w:rPr>
          <w:color w:val="000000" w:themeColor="text1"/>
        </w:rPr>
        <w:t>culese</w:t>
      </w:r>
      <w:r w:rsidRPr="00C56257">
        <w:rPr>
          <w:color w:val="000000" w:themeColor="text1"/>
          <w:spacing w:val="-2"/>
        </w:rPr>
        <w:t xml:space="preserve"> </w:t>
      </w:r>
      <w:r w:rsidRPr="00C56257">
        <w:rPr>
          <w:color w:val="000000" w:themeColor="text1"/>
        </w:rPr>
        <w:t>din teren vor</w:t>
      </w:r>
      <w:r w:rsidRPr="00C56257">
        <w:rPr>
          <w:color w:val="000000" w:themeColor="text1"/>
          <w:spacing w:val="-1"/>
        </w:rPr>
        <w:t xml:space="preserve"> </w:t>
      </w:r>
      <w:r w:rsidRPr="00C56257">
        <w:rPr>
          <w:color w:val="000000" w:themeColor="text1"/>
        </w:rPr>
        <w:t>fi</w:t>
      </w:r>
      <w:r w:rsidRPr="00C56257">
        <w:rPr>
          <w:color w:val="000000" w:themeColor="text1"/>
          <w:spacing w:val="-1"/>
        </w:rPr>
        <w:t xml:space="preserve"> </w:t>
      </w:r>
      <w:r w:rsidRPr="00C56257">
        <w:rPr>
          <w:color w:val="000000" w:themeColor="text1"/>
        </w:rPr>
        <w:t>trecute în fişele</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monitorizare.</w:t>
      </w:r>
    </w:p>
    <w:p w14:paraId="40D4B8D5" w14:textId="77777777" w:rsidR="007D2E1E" w:rsidRPr="00C56257" w:rsidRDefault="007D2E1E" w:rsidP="00FA0AE6">
      <w:pPr>
        <w:widowControl w:val="0"/>
        <w:autoSpaceDE w:val="0"/>
        <w:autoSpaceDN w:val="0"/>
        <w:spacing w:before="1"/>
        <w:ind w:right="27"/>
        <w:jc w:val="both"/>
        <w:rPr>
          <w:color w:val="000000" w:themeColor="text1"/>
        </w:rPr>
      </w:pPr>
      <w:r w:rsidRPr="00C56257">
        <w:rPr>
          <w:color w:val="000000" w:themeColor="text1"/>
        </w:rPr>
        <w:t>Corelat cu formatul de raportare, structura și funcțiile oferă rezultatul evaluării stării habitatului</w:t>
      </w:r>
      <w:r w:rsidRPr="00C56257">
        <w:rPr>
          <w:color w:val="000000" w:themeColor="text1"/>
          <w:spacing w:val="1"/>
        </w:rPr>
        <w:t xml:space="preserve"> </w:t>
      </w:r>
      <w:r w:rsidRPr="00C56257">
        <w:rPr>
          <w:color w:val="000000" w:themeColor="text1"/>
        </w:rPr>
        <w:t>pentru specii folosind cele patru categorii disponibile: „</w:t>
      </w:r>
      <w:r w:rsidRPr="00C56257">
        <w:rPr>
          <w:b/>
          <w:color w:val="000000" w:themeColor="text1"/>
        </w:rPr>
        <w:t>favorabil</w:t>
      </w:r>
      <w:r w:rsidRPr="00C56257">
        <w:rPr>
          <w:color w:val="000000" w:themeColor="text1"/>
        </w:rPr>
        <w:t>” (FV), „</w:t>
      </w:r>
      <w:r w:rsidRPr="00C56257">
        <w:rPr>
          <w:b/>
          <w:color w:val="000000" w:themeColor="text1"/>
        </w:rPr>
        <w:t>nefavorabil-inadecvat</w:t>
      </w:r>
      <w:r w:rsidRPr="00C56257">
        <w:rPr>
          <w:color w:val="000000" w:themeColor="text1"/>
        </w:rPr>
        <w:t>”</w:t>
      </w:r>
      <w:r w:rsidRPr="00C56257">
        <w:rPr>
          <w:color w:val="000000" w:themeColor="text1"/>
          <w:spacing w:val="1"/>
        </w:rPr>
        <w:t xml:space="preserve"> </w:t>
      </w:r>
      <w:r w:rsidRPr="00C56257">
        <w:rPr>
          <w:color w:val="000000" w:themeColor="text1"/>
        </w:rPr>
        <w:t>(U1),</w:t>
      </w:r>
      <w:r w:rsidRPr="00C56257">
        <w:rPr>
          <w:color w:val="000000" w:themeColor="text1"/>
          <w:spacing w:val="-1"/>
        </w:rPr>
        <w:t xml:space="preserve"> </w:t>
      </w:r>
      <w:r w:rsidRPr="00C56257">
        <w:rPr>
          <w:color w:val="000000" w:themeColor="text1"/>
        </w:rPr>
        <w:t>„</w:t>
      </w:r>
      <w:r w:rsidRPr="00C56257">
        <w:rPr>
          <w:b/>
          <w:color w:val="000000" w:themeColor="text1"/>
        </w:rPr>
        <w:t>nefavorabil-rău</w:t>
      </w:r>
      <w:r w:rsidRPr="00C56257">
        <w:rPr>
          <w:color w:val="000000" w:themeColor="text1"/>
        </w:rPr>
        <w:t>”</w:t>
      </w:r>
      <w:r w:rsidRPr="00C56257">
        <w:rPr>
          <w:color w:val="000000" w:themeColor="text1"/>
          <w:spacing w:val="-1"/>
        </w:rPr>
        <w:t xml:space="preserve"> </w:t>
      </w:r>
      <w:r w:rsidRPr="00C56257">
        <w:rPr>
          <w:color w:val="000000" w:themeColor="text1"/>
        </w:rPr>
        <w:t>(U2)</w:t>
      </w:r>
      <w:r w:rsidRPr="00C56257">
        <w:rPr>
          <w:color w:val="000000" w:themeColor="text1"/>
          <w:spacing w:val="-3"/>
        </w:rPr>
        <w:t xml:space="preserve"> </w:t>
      </w:r>
      <w:r w:rsidRPr="00C56257">
        <w:rPr>
          <w:color w:val="000000" w:themeColor="text1"/>
        </w:rPr>
        <w:t>și</w:t>
      </w:r>
      <w:r w:rsidRPr="00C56257">
        <w:rPr>
          <w:color w:val="000000" w:themeColor="text1"/>
          <w:spacing w:val="-1"/>
        </w:rPr>
        <w:t xml:space="preserve"> </w:t>
      </w:r>
      <w:r w:rsidRPr="00C56257">
        <w:rPr>
          <w:color w:val="000000" w:themeColor="text1"/>
        </w:rPr>
        <w:t>„</w:t>
      </w:r>
      <w:r w:rsidRPr="00C56257">
        <w:rPr>
          <w:b/>
          <w:color w:val="000000" w:themeColor="text1"/>
        </w:rPr>
        <w:t>necunoscut</w:t>
      </w:r>
      <w:r w:rsidRPr="00C56257">
        <w:rPr>
          <w:color w:val="000000" w:themeColor="text1"/>
        </w:rPr>
        <w:t>”</w:t>
      </w:r>
      <w:r w:rsidRPr="00C56257">
        <w:rPr>
          <w:color w:val="000000" w:themeColor="text1"/>
          <w:spacing w:val="-1"/>
        </w:rPr>
        <w:t xml:space="preserve"> </w:t>
      </w:r>
      <w:r w:rsidRPr="00C56257">
        <w:rPr>
          <w:color w:val="000000" w:themeColor="text1"/>
        </w:rPr>
        <w:t>(XX),</w:t>
      </w:r>
      <w:r w:rsidRPr="00C56257">
        <w:rPr>
          <w:color w:val="000000" w:themeColor="text1"/>
          <w:spacing w:val="-1"/>
        </w:rPr>
        <w:t xml:space="preserve"> </w:t>
      </w:r>
      <w:r w:rsidRPr="00C56257">
        <w:rPr>
          <w:color w:val="000000" w:themeColor="text1"/>
        </w:rPr>
        <w:t>redate în tabelul</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mai jos:</w:t>
      </w:r>
    </w:p>
    <w:p w14:paraId="3BC39AD2" w14:textId="77777777" w:rsidR="00861C79" w:rsidRPr="00C56257" w:rsidRDefault="00861C79" w:rsidP="00F100E1">
      <w:pPr>
        <w:jc w:val="both"/>
      </w:pPr>
    </w:p>
    <w:p w14:paraId="5A174327" w14:textId="77777777" w:rsidR="00861C79" w:rsidRPr="00C56257" w:rsidRDefault="00861C79" w:rsidP="00F100E1">
      <w:pPr>
        <w:jc w:val="both"/>
      </w:pPr>
    </w:p>
    <w:tbl>
      <w:tblPr>
        <w:tblStyle w:val="TableGrid"/>
        <w:tblW w:w="0" w:type="auto"/>
        <w:tblLook w:val="04A0" w:firstRow="1" w:lastRow="0" w:firstColumn="1" w:lastColumn="0" w:noHBand="0" w:noVBand="1"/>
      </w:tblPr>
      <w:tblGrid>
        <w:gridCol w:w="1975"/>
        <w:gridCol w:w="7375"/>
      </w:tblGrid>
      <w:tr w:rsidR="00861C79" w:rsidRPr="00C56257" w14:paraId="603144D7" w14:textId="77777777" w:rsidTr="00861C79">
        <w:tc>
          <w:tcPr>
            <w:tcW w:w="1975" w:type="dxa"/>
            <w:shd w:val="clear" w:color="auto" w:fill="DBE4F0"/>
          </w:tcPr>
          <w:p w14:paraId="49781957" w14:textId="77777777" w:rsidR="00861C79" w:rsidRPr="00C56257" w:rsidRDefault="00861C79" w:rsidP="00F100E1">
            <w:pPr>
              <w:pStyle w:val="TableParagraph"/>
              <w:tabs>
                <w:tab w:val="left" w:pos="1458"/>
              </w:tabs>
              <w:spacing w:line="273" w:lineRule="exact"/>
              <w:ind w:left="108"/>
              <w:jc w:val="both"/>
              <w:rPr>
                <w:b/>
                <w:sz w:val="24"/>
                <w:szCs w:val="24"/>
              </w:rPr>
            </w:pPr>
            <w:r w:rsidRPr="00C56257">
              <w:rPr>
                <w:b/>
                <w:sz w:val="24"/>
                <w:szCs w:val="24"/>
              </w:rPr>
              <w:t>Starea</w:t>
            </w:r>
            <w:r w:rsidRPr="00C56257">
              <w:rPr>
                <w:b/>
                <w:sz w:val="24"/>
                <w:szCs w:val="24"/>
              </w:rPr>
              <w:tab/>
              <w:t>de</w:t>
            </w:r>
          </w:p>
          <w:p w14:paraId="1F710735" w14:textId="77777777" w:rsidR="00861C79" w:rsidRPr="00C56257" w:rsidRDefault="00861C79" w:rsidP="00F100E1">
            <w:pPr>
              <w:pStyle w:val="TableParagraph"/>
              <w:spacing w:line="259" w:lineRule="exact"/>
              <w:ind w:left="108"/>
              <w:jc w:val="both"/>
              <w:rPr>
                <w:b/>
                <w:sz w:val="24"/>
                <w:szCs w:val="24"/>
              </w:rPr>
            </w:pPr>
            <w:r w:rsidRPr="00C56257">
              <w:rPr>
                <w:b/>
                <w:sz w:val="24"/>
                <w:szCs w:val="24"/>
              </w:rPr>
              <w:t>conservare</w:t>
            </w:r>
          </w:p>
        </w:tc>
        <w:tc>
          <w:tcPr>
            <w:tcW w:w="7375" w:type="dxa"/>
            <w:shd w:val="clear" w:color="auto" w:fill="DBE4F0"/>
          </w:tcPr>
          <w:p w14:paraId="4E2E459C" w14:textId="77777777" w:rsidR="00861C79" w:rsidRPr="00C56257" w:rsidRDefault="00861C79" w:rsidP="00F100E1">
            <w:pPr>
              <w:pStyle w:val="TableParagraph"/>
              <w:spacing w:before="135"/>
              <w:ind w:left="107"/>
              <w:jc w:val="both"/>
              <w:rPr>
                <w:b/>
                <w:sz w:val="24"/>
                <w:szCs w:val="24"/>
              </w:rPr>
            </w:pPr>
            <w:r w:rsidRPr="00C56257">
              <w:rPr>
                <w:b/>
                <w:sz w:val="24"/>
                <w:szCs w:val="24"/>
              </w:rPr>
              <w:t>Criterii</w:t>
            </w:r>
            <w:r w:rsidRPr="00C56257">
              <w:rPr>
                <w:b/>
                <w:spacing w:val="-2"/>
                <w:sz w:val="24"/>
                <w:szCs w:val="24"/>
              </w:rPr>
              <w:t xml:space="preserve"> </w:t>
            </w:r>
            <w:r w:rsidRPr="00C56257">
              <w:rPr>
                <w:b/>
                <w:sz w:val="24"/>
                <w:szCs w:val="24"/>
              </w:rPr>
              <w:t>de</w:t>
            </w:r>
            <w:r w:rsidRPr="00C56257">
              <w:rPr>
                <w:b/>
                <w:spacing w:val="-2"/>
                <w:sz w:val="24"/>
                <w:szCs w:val="24"/>
              </w:rPr>
              <w:t xml:space="preserve"> </w:t>
            </w:r>
            <w:r w:rsidRPr="00C56257">
              <w:rPr>
                <w:b/>
                <w:sz w:val="24"/>
                <w:szCs w:val="24"/>
              </w:rPr>
              <w:t>evaluare</w:t>
            </w:r>
          </w:p>
        </w:tc>
      </w:tr>
      <w:tr w:rsidR="00861C79" w:rsidRPr="00C56257" w14:paraId="3AC6AA47" w14:textId="77777777" w:rsidTr="00861C79">
        <w:tc>
          <w:tcPr>
            <w:tcW w:w="1975" w:type="dxa"/>
          </w:tcPr>
          <w:p w14:paraId="5D2ADDC5" w14:textId="77777777" w:rsidR="00861C79" w:rsidRPr="00C56257" w:rsidRDefault="00861C79" w:rsidP="00F100E1">
            <w:pPr>
              <w:jc w:val="both"/>
            </w:pPr>
            <w:r w:rsidRPr="00C56257">
              <w:t>Favorabil</w:t>
            </w:r>
            <w:r w:rsidRPr="00C56257">
              <w:rPr>
                <w:spacing w:val="-2"/>
              </w:rPr>
              <w:t xml:space="preserve"> </w:t>
            </w:r>
            <w:r w:rsidRPr="00C56257">
              <w:t>(FV)</w:t>
            </w:r>
          </w:p>
        </w:tc>
        <w:tc>
          <w:tcPr>
            <w:tcW w:w="7375" w:type="dxa"/>
          </w:tcPr>
          <w:p w14:paraId="508ABD76" w14:textId="77777777" w:rsidR="00861C79" w:rsidRPr="00C56257" w:rsidRDefault="00861C79" w:rsidP="00F100E1">
            <w:pPr>
              <w:jc w:val="both"/>
            </w:pPr>
            <w:r w:rsidRPr="00C56257">
              <w:t>În conformitate cu matricea de evaluare (anexa E), starea și funcțiile sunt</w:t>
            </w:r>
          </w:p>
          <w:p w14:paraId="75932B1C" w14:textId="77777777" w:rsidR="00861C79" w:rsidRPr="00C56257" w:rsidRDefault="00861C79" w:rsidP="00F100E1">
            <w:pPr>
              <w:jc w:val="both"/>
            </w:pPr>
            <w:r w:rsidRPr="00C56257">
              <w:t>„favorabile” dacă:</w:t>
            </w:r>
          </w:p>
          <w:p w14:paraId="29E9C9CF" w14:textId="77777777" w:rsidR="00861C79" w:rsidRPr="00C56257" w:rsidRDefault="00861C79" w:rsidP="009E63E5">
            <w:pPr>
              <w:numPr>
                <w:ilvl w:val="0"/>
                <w:numId w:val="163"/>
              </w:numPr>
              <w:jc w:val="both"/>
            </w:pPr>
            <w:r w:rsidRPr="00C56257">
              <w:t>structura și funcțiile (inclusiv speciile tipice) sunt în stare bună; și</w:t>
            </w:r>
          </w:p>
          <w:p w14:paraId="08EFCEC3" w14:textId="77777777" w:rsidR="00861C79" w:rsidRPr="00C56257" w:rsidRDefault="00861C79" w:rsidP="009E63E5">
            <w:pPr>
              <w:numPr>
                <w:ilvl w:val="0"/>
                <w:numId w:val="163"/>
              </w:numPr>
              <w:jc w:val="both"/>
            </w:pPr>
            <w:r w:rsidRPr="00C56257">
              <w:t>și nu există deteriorări / presiuni semnificative. Informații suplimentare:</w:t>
            </w:r>
          </w:p>
          <w:p w14:paraId="72DBCA08" w14:textId="77777777" w:rsidR="00861C79" w:rsidRPr="00C56257" w:rsidRDefault="00861C79" w:rsidP="009E63E5">
            <w:pPr>
              <w:numPr>
                <w:ilvl w:val="0"/>
                <w:numId w:val="162"/>
              </w:numPr>
              <w:jc w:val="both"/>
            </w:pPr>
            <w:r w:rsidRPr="00C56257">
              <w:t>Matricea de evaluare afirmă că, dacă mai mult de 25% din suprafața de tip habitat din regiunea evaluată este considerată</w:t>
            </w:r>
          </w:p>
          <w:p w14:paraId="74E281C6" w14:textId="77777777" w:rsidR="00861C79" w:rsidRPr="00C56257" w:rsidRDefault="00861C79" w:rsidP="00F100E1">
            <w:pPr>
              <w:jc w:val="both"/>
            </w:pPr>
            <w:r w:rsidRPr="00C56257">
              <w:t>„defavorabilă” (adică nu este în stare bună), atunci statutul și funcțiile sunt „nefavorabile-rele”. Cu toate acestea, nu oferă criterii numerice pentru „favorabile” sau „nefavorabile-inadecvate”. Se pare că, în rapoartele anterioare, statele membre au utilizat praguri foarte diferite ale proporției de suprafață a habitatului care trebuie să fie în stare bună pentru a justifica evaluarea structurii și funcțiilor ca fiind „favorabile”. În mod ideal, întreaga suprafață a unui tip de habitat ar trebui să fie în stare bună pentru ca structura și funcțiile să fie considerate „favorabile”. Cu toate acestea, acest lucru este practic realizabil și ar putea fi acceptat să existe o parte din tipul de habitat în condiții „nu bune”, dar totuși considerăm că structura și funcțiile sunt considerate „favorabile”.</w:t>
            </w:r>
          </w:p>
          <w:p w14:paraId="30998649" w14:textId="77777777" w:rsidR="00861C79" w:rsidRPr="00C56257" w:rsidRDefault="00861C79" w:rsidP="00F100E1">
            <w:pPr>
              <w:jc w:val="both"/>
            </w:pPr>
            <w:r w:rsidRPr="00C56257">
              <w:t>Se recomandă utilizarea unei valori indicative de 90% din suprafața de tip habitat (câmpul 6.1) în condiții „bune” ca prag pentru a încheia structura și funcțiile „favorabile”. Dacă statul membru folosește o valoare diferită, aceasta trebuie notată și explicată în câmpul 10.8 Informații suplimentare ”. Această valoare indicativă ar putea fi, de exemplu, adaptată în funcție de raritatea / abundența tipului de habitat (pentru mai multe informații, a se vedea secțiunea „Starea tipului de habitat” (în „6 Structura și funcțiile (inclusiv speciile tipice)” capitolul din „Definiții și metode pentru raportarea habitatului 'parte).</w:t>
            </w:r>
          </w:p>
          <w:p w14:paraId="0CC17404" w14:textId="77777777" w:rsidR="00861C79" w:rsidRPr="00C56257" w:rsidRDefault="00861C79" w:rsidP="00F100E1">
            <w:pPr>
              <w:jc w:val="both"/>
            </w:pPr>
            <w:r w:rsidRPr="00C56257">
              <w:t>Deși nu este specificat clar în matricea de evaluare, tendința (tendința în zonă în stare bună (câmpul 6.4)) trebuie să fie stabilă sau în creștere pentru ca structura și funcțiile să fie considerate „favorabile”.</w:t>
            </w:r>
          </w:p>
          <w:p w14:paraId="748C7A97" w14:textId="77777777" w:rsidR="00861C79" w:rsidRPr="00C56257" w:rsidRDefault="00861C79" w:rsidP="009E63E5">
            <w:pPr>
              <w:numPr>
                <w:ilvl w:val="0"/>
                <w:numId w:val="164"/>
              </w:numPr>
              <w:jc w:val="both"/>
            </w:pPr>
            <w:r w:rsidRPr="00C56257">
              <w:t>Deși nu este necesară o evaluare completă a stării de conservare a fiecărei specii tipice, specia generală ar trebui să fie „favorabilă” (nu amenințată), cel puțin în acest habitat, deoarece speciile pot fi tipice mai multor habitat.</w:t>
            </w:r>
          </w:p>
          <w:p w14:paraId="4C47FB73" w14:textId="77777777" w:rsidR="00861C79" w:rsidRPr="00C56257" w:rsidRDefault="00861C79" w:rsidP="009E63E5">
            <w:pPr>
              <w:numPr>
                <w:ilvl w:val="0"/>
                <w:numId w:val="164"/>
              </w:numPr>
              <w:jc w:val="both"/>
            </w:pPr>
            <w:r w:rsidRPr="00C56257">
              <w:t>Pentru ca un habitat să fie considerat „favorabil”, fragmentarea sau alte condiții nu au un impact semnificativ asupra proceselor ecologice.</w:t>
            </w:r>
          </w:p>
          <w:p w14:paraId="008649B7" w14:textId="77777777" w:rsidR="00861C79" w:rsidRPr="00C56257" w:rsidRDefault="00861C79" w:rsidP="009E63E5">
            <w:pPr>
              <w:numPr>
                <w:ilvl w:val="0"/>
                <w:numId w:val="164"/>
              </w:numPr>
              <w:jc w:val="both"/>
            </w:pPr>
            <w:r w:rsidRPr="00C56257">
              <w:t xml:space="preserve">Este posibil ca restaurarea să crească suprafața habitatului, dar a scăzut proporția de habitat în condiții „nu bune”, întrucât zona restaurată nu este încă în stare „bună”. În astfel de cazuri, dacă </w:t>
            </w:r>
            <w:r w:rsidRPr="00C56257">
              <w:lastRenderedPageBreak/>
              <w:t>zona în stare „bună” este mai mică de 90% din suprafața habitatului, habitatul nu ar trebui să fie „favorabil” pentru parametrul Structura și funcțiile (a se vedea mai sus, punctul 1). Astfel de cazuri apar cel mai probabil în cazul în care zona habitatului este mai mică decât valoarea de referință și starea  generală de  conservare ar  fi fost „defavorabilă” indiferent de structură și funcții.</w:t>
            </w:r>
          </w:p>
        </w:tc>
      </w:tr>
      <w:tr w:rsidR="00861C79" w:rsidRPr="00C56257" w14:paraId="544AFB3B" w14:textId="77777777" w:rsidTr="00861C79">
        <w:tc>
          <w:tcPr>
            <w:tcW w:w="1975" w:type="dxa"/>
          </w:tcPr>
          <w:p w14:paraId="727F337E" w14:textId="77777777" w:rsidR="00861C79" w:rsidRPr="00C56257" w:rsidRDefault="00861C79" w:rsidP="00F100E1">
            <w:pPr>
              <w:jc w:val="both"/>
            </w:pPr>
            <w:proofErr w:type="spellStart"/>
            <w:r w:rsidRPr="00C56257">
              <w:rPr>
                <w:lang w:val="en-US"/>
              </w:rPr>
              <w:t>Nefavorabil</w:t>
            </w:r>
            <w:proofErr w:type="spellEnd"/>
            <w:r w:rsidRPr="00C56257">
              <w:rPr>
                <w:lang w:val="en-US"/>
              </w:rPr>
              <w:t xml:space="preserve">- </w:t>
            </w:r>
            <w:proofErr w:type="spellStart"/>
            <w:r w:rsidRPr="00C56257">
              <w:rPr>
                <w:lang w:val="en-US"/>
              </w:rPr>
              <w:t>inadecvat</w:t>
            </w:r>
            <w:proofErr w:type="spellEnd"/>
            <w:r w:rsidRPr="00C56257">
              <w:rPr>
                <w:lang w:val="en-US"/>
              </w:rPr>
              <w:t xml:space="preserve"> (U1)</w:t>
            </w:r>
          </w:p>
        </w:tc>
        <w:tc>
          <w:tcPr>
            <w:tcW w:w="7375" w:type="dxa"/>
          </w:tcPr>
          <w:p w14:paraId="14E75BF1" w14:textId="77777777" w:rsidR="00861C79" w:rsidRPr="00A709D8" w:rsidRDefault="00861C79" w:rsidP="00F100E1">
            <w:pPr>
              <w:jc w:val="both"/>
            </w:pPr>
            <w:r w:rsidRPr="00A709D8">
              <w:t>Conform matricei   de   evaluare   (anexa   E),   starea   și   funcțiile   sunt</w:t>
            </w:r>
            <w:r w:rsidR="00A709D8" w:rsidRPr="00A709D8">
              <w:t xml:space="preserve"> </w:t>
            </w:r>
            <w:r w:rsidRPr="00A709D8">
              <w:t>„nefavorabile-inadecvate” dacă: orice altă combinație (o altă combinație de criterii decât pentru „favorabil” sau „nefavorabil-rău”).</w:t>
            </w:r>
          </w:p>
          <w:p w14:paraId="0ABEE713" w14:textId="77777777" w:rsidR="00861C79" w:rsidRPr="00A709D8" w:rsidRDefault="00861C79" w:rsidP="00F100E1">
            <w:pPr>
              <w:pStyle w:val="TableParagraph"/>
              <w:ind w:left="107"/>
              <w:jc w:val="both"/>
              <w:rPr>
                <w:sz w:val="24"/>
                <w:szCs w:val="24"/>
              </w:rPr>
            </w:pPr>
            <w:r w:rsidRPr="00A709D8">
              <w:rPr>
                <w:sz w:val="24"/>
                <w:szCs w:val="24"/>
              </w:rPr>
              <w:t>Informații suplimentare:</w:t>
            </w:r>
          </w:p>
          <w:p w14:paraId="58B3720F" w14:textId="77777777" w:rsidR="00861C79" w:rsidRPr="00A709D8" w:rsidRDefault="00861C79" w:rsidP="009E63E5">
            <w:pPr>
              <w:pStyle w:val="TableParagraph"/>
              <w:numPr>
                <w:ilvl w:val="0"/>
                <w:numId w:val="165"/>
              </w:numPr>
              <w:tabs>
                <w:tab w:val="left" w:pos="829"/>
              </w:tabs>
              <w:spacing w:line="287" w:lineRule="exact"/>
              <w:ind w:hanging="362"/>
              <w:jc w:val="both"/>
              <w:rPr>
                <w:sz w:val="24"/>
                <w:szCs w:val="24"/>
              </w:rPr>
            </w:pPr>
            <w:r w:rsidRPr="00A709D8">
              <w:rPr>
                <w:sz w:val="24"/>
                <w:szCs w:val="24"/>
              </w:rPr>
              <w:t>Matricea</w:t>
            </w:r>
            <w:r w:rsidRPr="00A709D8">
              <w:rPr>
                <w:spacing w:val="53"/>
                <w:sz w:val="24"/>
                <w:szCs w:val="24"/>
              </w:rPr>
              <w:t xml:space="preserve"> </w:t>
            </w:r>
            <w:r w:rsidRPr="00A709D8">
              <w:rPr>
                <w:sz w:val="24"/>
                <w:szCs w:val="24"/>
              </w:rPr>
              <w:t>de</w:t>
            </w:r>
            <w:r w:rsidRPr="00A709D8">
              <w:rPr>
                <w:spacing w:val="54"/>
                <w:sz w:val="24"/>
                <w:szCs w:val="24"/>
              </w:rPr>
              <w:t xml:space="preserve"> </w:t>
            </w:r>
            <w:r w:rsidRPr="00A709D8">
              <w:rPr>
                <w:sz w:val="24"/>
                <w:szCs w:val="24"/>
              </w:rPr>
              <w:t>evaluare</w:t>
            </w:r>
            <w:r w:rsidRPr="00A709D8">
              <w:rPr>
                <w:spacing w:val="52"/>
                <w:sz w:val="24"/>
                <w:szCs w:val="24"/>
              </w:rPr>
              <w:t xml:space="preserve"> </w:t>
            </w:r>
            <w:r w:rsidRPr="00A709D8">
              <w:rPr>
                <w:sz w:val="24"/>
                <w:szCs w:val="24"/>
              </w:rPr>
              <w:t>nu</w:t>
            </w:r>
            <w:r w:rsidRPr="00A709D8">
              <w:rPr>
                <w:spacing w:val="54"/>
                <w:sz w:val="24"/>
                <w:szCs w:val="24"/>
              </w:rPr>
              <w:t xml:space="preserve"> </w:t>
            </w:r>
            <w:r w:rsidRPr="00A709D8">
              <w:rPr>
                <w:sz w:val="24"/>
                <w:szCs w:val="24"/>
              </w:rPr>
              <w:t>include</w:t>
            </w:r>
            <w:r w:rsidRPr="00A709D8">
              <w:rPr>
                <w:spacing w:val="53"/>
                <w:sz w:val="24"/>
                <w:szCs w:val="24"/>
              </w:rPr>
              <w:t xml:space="preserve"> </w:t>
            </w:r>
            <w:r w:rsidRPr="00A709D8">
              <w:rPr>
                <w:sz w:val="24"/>
                <w:szCs w:val="24"/>
              </w:rPr>
              <w:t>criterii</w:t>
            </w:r>
            <w:r w:rsidRPr="00A709D8">
              <w:rPr>
                <w:spacing w:val="55"/>
                <w:sz w:val="24"/>
                <w:szCs w:val="24"/>
              </w:rPr>
              <w:t xml:space="preserve"> </w:t>
            </w:r>
            <w:r w:rsidRPr="00A709D8">
              <w:rPr>
                <w:sz w:val="24"/>
                <w:szCs w:val="24"/>
              </w:rPr>
              <w:t>explicite</w:t>
            </w:r>
            <w:r w:rsidRPr="00A709D8">
              <w:rPr>
                <w:spacing w:val="53"/>
                <w:sz w:val="24"/>
                <w:szCs w:val="24"/>
              </w:rPr>
              <w:t xml:space="preserve"> </w:t>
            </w:r>
            <w:r w:rsidRPr="00A709D8">
              <w:rPr>
                <w:sz w:val="24"/>
                <w:szCs w:val="24"/>
              </w:rPr>
              <w:t>pentru</w:t>
            </w:r>
            <w:r w:rsidRPr="00A709D8">
              <w:rPr>
                <w:spacing w:val="54"/>
                <w:sz w:val="24"/>
                <w:szCs w:val="24"/>
              </w:rPr>
              <w:t xml:space="preserve"> </w:t>
            </w:r>
            <w:r w:rsidRPr="00A709D8">
              <w:rPr>
                <w:sz w:val="24"/>
                <w:szCs w:val="24"/>
              </w:rPr>
              <w:t>statutul</w:t>
            </w:r>
          </w:p>
          <w:p w14:paraId="772B7F17" w14:textId="77777777" w:rsidR="00861C79" w:rsidRPr="00A709D8" w:rsidRDefault="00861C79" w:rsidP="008E33FD">
            <w:pPr>
              <w:pStyle w:val="TableParagraph"/>
              <w:ind w:left="828" w:right="95"/>
              <w:jc w:val="both"/>
              <w:rPr>
                <w:sz w:val="24"/>
                <w:szCs w:val="24"/>
              </w:rPr>
            </w:pPr>
            <w:r w:rsidRPr="00A709D8">
              <w:rPr>
                <w:sz w:val="24"/>
                <w:szCs w:val="24"/>
              </w:rPr>
              <w:t>„nefavorabil-inadecvat” al structurii și funcțiilor. Cu toate acestea,</w:t>
            </w:r>
            <w:r w:rsidRPr="00A709D8">
              <w:rPr>
                <w:spacing w:val="1"/>
                <w:sz w:val="24"/>
                <w:szCs w:val="24"/>
              </w:rPr>
              <w:t xml:space="preserve"> </w:t>
            </w:r>
            <w:r w:rsidRPr="00A709D8">
              <w:rPr>
                <w:sz w:val="24"/>
                <w:szCs w:val="24"/>
              </w:rPr>
              <w:t>luând în considerare criteriile pentru „favorabile” și „nefavorabile-</w:t>
            </w:r>
            <w:r w:rsidRPr="00A709D8">
              <w:rPr>
                <w:spacing w:val="1"/>
                <w:sz w:val="24"/>
                <w:szCs w:val="24"/>
              </w:rPr>
              <w:t xml:space="preserve"> </w:t>
            </w:r>
            <w:r w:rsidRPr="00A709D8">
              <w:rPr>
                <w:sz w:val="24"/>
                <w:szCs w:val="24"/>
              </w:rPr>
              <w:t>rele” și criterii complementare pentru statutul „favorabil”, statutul</w:t>
            </w:r>
            <w:r w:rsidRPr="00A709D8">
              <w:rPr>
                <w:spacing w:val="1"/>
                <w:sz w:val="24"/>
                <w:szCs w:val="24"/>
              </w:rPr>
              <w:t xml:space="preserve"> </w:t>
            </w:r>
            <w:r w:rsidRPr="00A709D8">
              <w:rPr>
                <w:sz w:val="24"/>
                <w:szCs w:val="24"/>
              </w:rPr>
              <w:t>de</w:t>
            </w:r>
            <w:r w:rsidRPr="00A709D8">
              <w:rPr>
                <w:spacing w:val="57"/>
                <w:sz w:val="24"/>
                <w:szCs w:val="24"/>
              </w:rPr>
              <w:t xml:space="preserve"> </w:t>
            </w:r>
            <w:r w:rsidRPr="00A709D8">
              <w:rPr>
                <w:sz w:val="24"/>
                <w:szCs w:val="24"/>
              </w:rPr>
              <w:t>Structura</w:t>
            </w:r>
            <w:r w:rsidRPr="00A709D8">
              <w:rPr>
                <w:spacing w:val="57"/>
                <w:sz w:val="24"/>
                <w:szCs w:val="24"/>
              </w:rPr>
              <w:t xml:space="preserve"> </w:t>
            </w:r>
            <w:r w:rsidRPr="00A709D8">
              <w:rPr>
                <w:sz w:val="24"/>
                <w:szCs w:val="24"/>
              </w:rPr>
              <w:t>și</w:t>
            </w:r>
            <w:r w:rsidRPr="00A709D8">
              <w:rPr>
                <w:spacing w:val="59"/>
                <w:sz w:val="24"/>
                <w:szCs w:val="24"/>
              </w:rPr>
              <w:t xml:space="preserve"> </w:t>
            </w:r>
            <w:r w:rsidRPr="00A709D8">
              <w:rPr>
                <w:sz w:val="24"/>
                <w:szCs w:val="24"/>
              </w:rPr>
              <w:t>funcțiile</w:t>
            </w:r>
            <w:r w:rsidRPr="00A709D8">
              <w:rPr>
                <w:spacing w:val="58"/>
                <w:sz w:val="24"/>
                <w:szCs w:val="24"/>
              </w:rPr>
              <w:t xml:space="preserve"> </w:t>
            </w:r>
            <w:r w:rsidRPr="00A709D8">
              <w:rPr>
                <w:sz w:val="24"/>
                <w:szCs w:val="24"/>
              </w:rPr>
              <w:t>ar</w:t>
            </w:r>
            <w:r w:rsidRPr="00A709D8">
              <w:rPr>
                <w:spacing w:val="58"/>
                <w:sz w:val="24"/>
                <w:szCs w:val="24"/>
              </w:rPr>
              <w:t xml:space="preserve"> </w:t>
            </w:r>
            <w:r w:rsidRPr="00A709D8">
              <w:rPr>
                <w:sz w:val="24"/>
                <w:szCs w:val="24"/>
              </w:rPr>
              <w:t>trebui</w:t>
            </w:r>
            <w:r w:rsidRPr="00A709D8">
              <w:rPr>
                <w:spacing w:val="59"/>
                <w:sz w:val="24"/>
                <w:szCs w:val="24"/>
              </w:rPr>
              <w:t xml:space="preserve"> </w:t>
            </w:r>
            <w:r w:rsidRPr="00A709D8">
              <w:rPr>
                <w:sz w:val="24"/>
                <w:szCs w:val="24"/>
              </w:rPr>
              <w:t>considerate</w:t>
            </w:r>
            <w:r w:rsidRPr="00A709D8">
              <w:rPr>
                <w:spacing w:val="57"/>
                <w:sz w:val="24"/>
                <w:szCs w:val="24"/>
              </w:rPr>
              <w:t xml:space="preserve"> </w:t>
            </w:r>
            <w:r w:rsidRPr="00A709D8">
              <w:rPr>
                <w:sz w:val="24"/>
                <w:szCs w:val="24"/>
              </w:rPr>
              <w:t>„nefavorabile-</w:t>
            </w:r>
            <w:r w:rsidRPr="00A709D8">
              <w:rPr>
                <w:spacing w:val="-58"/>
                <w:sz w:val="24"/>
                <w:szCs w:val="24"/>
              </w:rPr>
              <w:t xml:space="preserve"> </w:t>
            </w:r>
            <w:r w:rsidRPr="00A709D8">
              <w:rPr>
                <w:sz w:val="24"/>
                <w:szCs w:val="24"/>
              </w:rPr>
              <w:t>inadecvate”</w:t>
            </w:r>
            <w:r w:rsidRPr="00A709D8">
              <w:rPr>
                <w:spacing w:val="-2"/>
                <w:sz w:val="24"/>
                <w:szCs w:val="24"/>
              </w:rPr>
              <w:t xml:space="preserve"> </w:t>
            </w:r>
            <w:r w:rsidRPr="00A709D8">
              <w:rPr>
                <w:sz w:val="24"/>
                <w:szCs w:val="24"/>
              </w:rPr>
              <w:t>dacă:</w:t>
            </w:r>
          </w:p>
          <w:p w14:paraId="5AB786CC" w14:textId="77777777" w:rsidR="00861C79" w:rsidRPr="00A709D8" w:rsidRDefault="00861C79" w:rsidP="009E63E5">
            <w:pPr>
              <w:pStyle w:val="TableParagraph"/>
              <w:numPr>
                <w:ilvl w:val="0"/>
                <w:numId w:val="165"/>
              </w:numPr>
              <w:tabs>
                <w:tab w:val="left" w:pos="828"/>
                <w:tab w:val="left" w:pos="829"/>
              </w:tabs>
              <w:spacing w:before="4" w:line="230" w:lineRule="auto"/>
              <w:ind w:right="98"/>
              <w:jc w:val="both"/>
              <w:rPr>
                <w:sz w:val="24"/>
                <w:szCs w:val="24"/>
              </w:rPr>
            </w:pPr>
            <w:r w:rsidRPr="00A709D8">
              <w:rPr>
                <w:sz w:val="24"/>
                <w:szCs w:val="24"/>
              </w:rPr>
              <w:t>suprafața</w:t>
            </w:r>
            <w:r w:rsidRPr="00A709D8">
              <w:rPr>
                <w:spacing w:val="2"/>
                <w:sz w:val="24"/>
                <w:szCs w:val="24"/>
              </w:rPr>
              <w:t xml:space="preserve"> </w:t>
            </w:r>
            <w:r w:rsidRPr="00A709D8">
              <w:rPr>
                <w:sz w:val="24"/>
                <w:szCs w:val="24"/>
              </w:rPr>
              <w:t>habitatului</w:t>
            </w:r>
            <w:r w:rsidRPr="00A709D8">
              <w:rPr>
                <w:spacing w:val="2"/>
                <w:sz w:val="24"/>
                <w:szCs w:val="24"/>
              </w:rPr>
              <w:t xml:space="preserve"> </w:t>
            </w:r>
            <w:r w:rsidRPr="00A709D8">
              <w:rPr>
                <w:sz w:val="24"/>
                <w:szCs w:val="24"/>
              </w:rPr>
              <w:t>cu</w:t>
            </w:r>
            <w:r w:rsidRPr="00A709D8">
              <w:rPr>
                <w:spacing w:val="3"/>
                <w:sz w:val="24"/>
                <w:szCs w:val="24"/>
              </w:rPr>
              <w:t xml:space="preserve"> </w:t>
            </w:r>
            <w:r w:rsidRPr="00A709D8">
              <w:rPr>
                <w:sz w:val="24"/>
                <w:szCs w:val="24"/>
              </w:rPr>
              <w:t>condiții</w:t>
            </w:r>
            <w:r w:rsidRPr="00A709D8">
              <w:rPr>
                <w:spacing w:val="58"/>
                <w:sz w:val="24"/>
                <w:szCs w:val="24"/>
              </w:rPr>
              <w:t xml:space="preserve"> </w:t>
            </w:r>
            <w:r w:rsidRPr="00A709D8">
              <w:rPr>
                <w:sz w:val="24"/>
                <w:szCs w:val="24"/>
              </w:rPr>
              <w:t>„nefavorabile”</w:t>
            </w:r>
            <w:r w:rsidRPr="00A709D8">
              <w:rPr>
                <w:spacing w:val="2"/>
                <w:sz w:val="24"/>
                <w:szCs w:val="24"/>
              </w:rPr>
              <w:t xml:space="preserve"> </w:t>
            </w:r>
            <w:r w:rsidRPr="00A709D8">
              <w:rPr>
                <w:sz w:val="24"/>
                <w:szCs w:val="24"/>
              </w:rPr>
              <w:t>(„nu</w:t>
            </w:r>
            <w:r w:rsidRPr="00A709D8">
              <w:rPr>
                <w:spacing w:val="1"/>
                <w:sz w:val="24"/>
                <w:szCs w:val="24"/>
              </w:rPr>
              <w:t xml:space="preserve"> </w:t>
            </w:r>
            <w:r w:rsidRPr="00A709D8">
              <w:rPr>
                <w:sz w:val="24"/>
                <w:szCs w:val="24"/>
              </w:rPr>
              <w:t>este</w:t>
            </w:r>
            <w:r w:rsidRPr="00A709D8">
              <w:rPr>
                <w:spacing w:val="1"/>
                <w:sz w:val="24"/>
                <w:szCs w:val="24"/>
              </w:rPr>
              <w:t xml:space="preserve"> </w:t>
            </w:r>
            <w:r w:rsidRPr="00A709D8">
              <w:rPr>
                <w:sz w:val="24"/>
                <w:szCs w:val="24"/>
              </w:rPr>
              <w:t>bine”)</w:t>
            </w:r>
            <w:r w:rsidRPr="00A709D8">
              <w:rPr>
                <w:spacing w:val="-57"/>
                <w:sz w:val="24"/>
                <w:szCs w:val="24"/>
              </w:rPr>
              <w:t xml:space="preserve"> </w:t>
            </w:r>
            <w:r w:rsidRPr="00A709D8">
              <w:rPr>
                <w:sz w:val="24"/>
                <w:szCs w:val="24"/>
              </w:rPr>
              <w:t>(câmpul</w:t>
            </w:r>
            <w:r w:rsidRPr="00A709D8">
              <w:rPr>
                <w:spacing w:val="-1"/>
                <w:sz w:val="24"/>
                <w:szCs w:val="24"/>
              </w:rPr>
              <w:t xml:space="preserve"> </w:t>
            </w:r>
            <w:r w:rsidRPr="00A709D8">
              <w:rPr>
                <w:sz w:val="24"/>
                <w:szCs w:val="24"/>
              </w:rPr>
              <w:t>6.1)</w:t>
            </w:r>
            <w:r w:rsidRPr="00A709D8">
              <w:rPr>
                <w:spacing w:val="-1"/>
                <w:sz w:val="24"/>
                <w:szCs w:val="24"/>
              </w:rPr>
              <w:t xml:space="preserve"> </w:t>
            </w:r>
            <w:r w:rsidRPr="00A709D8">
              <w:rPr>
                <w:sz w:val="24"/>
                <w:szCs w:val="24"/>
              </w:rPr>
              <w:t>este</w:t>
            </w:r>
            <w:r w:rsidRPr="00A709D8">
              <w:rPr>
                <w:spacing w:val="-1"/>
                <w:sz w:val="24"/>
                <w:szCs w:val="24"/>
              </w:rPr>
              <w:t xml:space="preserve"> </w:t>
            </w:r>
            <w:r w:rsidRPr="00A709D8">
              <w:rPr>
                <w:sz w:val="24"/>
                <w:szCs w:val="24"/>
              </w:rPr>
              <w:t>mai mică</w:t>
            </w:r>
            <w:r w:rsidRPr="00A709D8">
              <w:rPr>
                <w:spacing w:val="-2"/>
                <w:sz w:val="24"/>
                <w:szCs w:val="24"/>
              </w:rPr>
              <w:t xml:space="preserve"> </w:t>
            </w:r>
            <w:r w:rsidRPr="00A709D8">
              <w:rPr>
                <w:sz w:val="24"/>
                <w:szCs w:val="24"/>
              </w:rPr>
              <w:t>de</w:t>
            </w:r>
            <w:r w:rsidRPr="00A709D8">
              <w:rPr>
                <w:spacing w:val="-1"/>
                <w:sz w:val="24"/>
                <w:szCs w:val="24"/>
              </w:rPr>
              <w:t xml:space="preserve"> </w:t>
            </w:r>
            <w:r w:rsidRPr="00A709D8">
              <w:rPr>
                <w:sz w:val="24"/>
                <w:szCs w:val="24"/>
              </w:rPr>
              <w:t>25%; și</w:t>
            </w:r>
          </w:p>
          <w:p w14:paraId="4DBB1A3F" w14:textId="77777777" w:rsidR="00861C79" w:rsidRPr="00A709D8" w:rsidRDefault="00861C79" w:rsidP="009E63E5">
            <w:pPr>
              <w:pStyle w:val="TableParagraph"/>
              <w:numPr>
                <w:ilvl w:val="0"/>
                <w:numId w:val="165"/>
              </w:numPr>
              <w:tabs>
                <w:tab w:val="left" w:pos="828"/>
                <w:tab w:val="left" w:pos="829"/>
              </w:tabs>
              <w:spacing w:before="11" w:line="230" w:lineRule="auto"/>
              <w:ind w:right="101"/>
              <w:jc w:val="both"/>
              <w:rPr>
                <w:sz w:val="24"/>
                <w:szCs w:val="24"/>
              </w:rPr>
            </w:pPr>
            <w:r w:rsidRPr="00A709D8">
              <w:rPr>
                <w:sz w:val="24"/>
                <w:szCs w:val="24"/>
              </w:rPr>
              <w:t>suprafața</w:t>
            </w:r>
            <w:r w:rsidRPr="00A709D8">
              <w:rPr>
                <w:spacing w:val="9"/>
                <w:sz w:val="24"/>
                <w:szCs w:val="24"/>
              </w:rPr>
              <w:t xml:space="preserve"> </w:t>
            </w:r>
            <w:r w:rsidRPr="00A709D8">
              <w:rPr>
                <w:sz w:val="24"/>
                <w:szCs w:val="24"/>
              </w:rPr>
              <w:t>habitatului</w:t>
            </w:r>
            <w:r w:rsidRPr="00A709D8">
              <w:rPr>
                <w:spacing w:val="7"/>
                <w:sz w:val="24"/>
                <w:szCs w:val="24"/>
              </w:rPr>
              <w:t xml:space="preserve"> </w:t>
            </w:r>
            <w:r w:rsidRPr="00A709D8">
              <w:rPr>
                <w:sz w:val="24"/>
                <w:szCs w:val="24"/>
              </w:rPr>
              <w:t>cu</w:t>
            </w:r>
            <w:r w:rsidRPr="00A709D8">
              <w:rPr>
                <w:spacing w:val="10"/>
                <w:sz w:val="24"/>
                <w:szCs w:val="24"/>
              </w:rPr>
              <w:t xml:space="preserve"> </w:t>
            </w:r>
            <w:r w:rsidRPr="00A709D8">
              <w:rPr>
                <w:sz w:val="24"/>
                <w:szCs w:val="24"/>
              </w:rPr>
              <w:t>condiții</w:t>
            </w:r>
            <w:r w:rsidRPr="00A709D8">
              <w:rPr>
                <w:spacing w:val="8"/>
                <w:sz w:val="24"/>
                <w:szCs w:val="24"/>
              </w:rPr>
              <w:t xml:space="preserve"> </w:t>
            </w:r>
            <w:r w:rsidRPr="00A709D8">
              <w:rPr>
                <w:sz w:val="24"/>
                <w:szCs w:val="24"/>
              </w:rPr>
              <w:t>„bune”</w:t>
            </w:r>
            <w:r w:rsidRPr="00A709D8">
              <w:rPr>
                <w:spacing w:val="6"/>
                <w:sz w:val="24"/>
                <w:szCs w:val="24"/>
              </w:rPr>
              <w:t xml:space="preserve"> </w:t>
            </w:r>
            <w:r w:rsidRPr="00A709D8">
              <w:rPr>
                <w:sz w:val="24"/>
                <w:szCs w:val="24"/>
              </w:rPr>
              <w:t>(câmpul</w:t>
            </w:r>
            <w:r w:rsidRPr="00A709D8">
              <w:rPr>
                <w:spacing w:val="9"/>
                <w:sz w:val="24"/>
                <w:szCs w:val="24"/>
              </w:rPr>
              <w:t xml:space="preserve"> </w:t>
            </w:r>
            <w:r w:rsidRPr="00A709D8">
              <w:rPr>
                <w:sz w:val="24"/>
                <w:szCs w:val="24"/>
              </w:rPr>
              <w:t>6.1)</w:t>
            </w:r>
            <w:r w:rsidRPr="00A709D8">
              <w:rPr>
                <w:spacing w:val="6"/>
                <w:sz w:val="24"/>
                <w:szCs w:val="24"/>
              </w:rPr>
              <w:t xml:space="preserve"> </w:t>
            </w:r>
            <w:r w:rsidRPr="00A709D8">
              <w:rPr>
                <w:sz w:val="24"/>
                <w:szCs w:val="24"/>
              </w:rPr>
              <w:t>este</w:t>
            </w:r>
            <w:r w:rsidRPr="00A709D8">
              <w:rPr>
                <w:spacing w:val="8"/>
                <w:sz w:val="24"/>
                <w:szCs w:val="24"/>
              </w:rPr>
              <w:t xml:space="preserve"> </w:t>
            </w:r>
            <w:r w:rsidRPr="00A709D8">
              <w:rPr>
                <w:sz w:val="24"/>
                <w:szCs w:val="24"/>
              </w:rPr>
              <w:t>mai</w:t>
            </w:r>
            <w:r w:rsidRPr="00A709D8">
              <w:rPr>
                <w:spacing w:val="9"/>
                <w:sz w:val="24"/>
                <w:szCs w:val="24"/>
              </w:rPr>
              <w:t xml:space="preserve"> </w:t>
            </w:r>
            <w:r w:rsidRPr="00A709D8">
              <w:rPr>
                <w:sz w:val="24"/>
                <w:szCs w:val="24"/>
              </w:rPr>
              <w:t>mică</w:t>
            </w:r>
            <w:r w:rsidRPr="00A709D8">
              <w:rPr>
                <w:spacing w:val="-57"/>
                <w:sz w:val="24"/>
                <w:szCs w:val="24"/>
              </w:rPr>
              <w:t xml:space="preserve"> </w:t>
            </w:r>
            <w:r w:rsidRPr="00A709D8">
              <w:rPr>
                <w:sz w:val="24"/>
                <w:szCs w:val="24"/>
              </w:rPr>
              <w:t>de</w:t>
            </w:r>
            <w:r w:rsidRPr="00A709D8">
              <w:rPr>
                <w:spacing w:val="-2"/>
                <w:sz w:val="24"/>
                <w:szCs w:val="24"/>
              </w:rPr>
              <w:t xml:space="preserve"> </w:t>
            </w:r>
            <w:r w:rsidRPr="00A709D8">
              <w:rPr>
                <w:sz w:val="24"/>
                <w:szCs w:val="24"/>
              </w:rPr>
              <w:t xml:space="preserve">90%; și </w:t>
            </w:r>
          </w:p>
          <w:p w14:paraId="1DEAD06F" w14:textId="77777777" w:rsidR="00861C79" w:rsidRPr="00C56257" w:rsidRDefault="00861C79" w:rsidP="009E63E5">
            <w:pPr>
              <w:pStyle w:val="TableParagraph"/>
              <w:numPr>
                <w:ilvl w:val="0"/>
                <w:numId w:val="165"/>
              </w:numPr>
              <w:tabs>
                <w:tab w:val="left" w:pos="828"/>
                <w:tab w:val="left" w:pos="829"/>
              </w:tabs>
              <w:spacing w:before="11" w:line="230" w:lineRule="auto"/>
              <w:ind w:right="101"/>
              <w:jc w:val="both"/>
              <w:rPr>
                <w:sz w:val="24"/>
                <w:szCs w:val="24"/>
              </w:rPr>
            </w:pPr>
            <w:proofErr w:type="spellStart"/>
            <w:r w:rsidRPr="00A709D8">
              <w:rPr>
                <w:sz w:val="24"/>
                <w:szCs w:val="24"/>
                <w:lang w:val="fr-FR"/>
              </w:rPr>
              <w:t>suprafața</w:t>
            </w:r>
            <w:proofErr w:type="spellEnd"/>
            <w:r w:rsidRPr="00A709D8">
              <w:rPr>
                <w:sz w:val="24"/>
                <w:szCs w:val="24"/>
                <w:lang w:val="fr-FR"/>
              </w:rPr>
              <w:t xml:space="preserve"> </w:t>
            </w:r>
            <w:proofErr w:type="spellStart"/>
            <w:r w:rsidRPr="00A709D8">
              <w:rPr>
                <w:sz w:val="24"/>
                <w:szCs w:val="24"/>
                <w:lang w:val="fr-FR"/>
              </w:rPr>
              <w:t>habitatului</w:t>
            </w:r>
            <w:proofErr w:type="spellEnd"/>
            <w:r w:rsidRPr="00A709D8">
              <w:rPr>
                <w:sz w:val="24"/>
                <w:szCs w:val="24"/>
                <w:lang w:val="fr-FR"/>
              </w:rPr>
              <w:t xml:space="preserve"> </w:t>
            </w:r>
            <w:proofErr w:type="spellStart"/>
            <w:r w:rsidRPr="00A709D8">
              <w:rPr>
                <w:sz w:val="24"/>
                <w:szCs w:val="24"/>
                <w:lang w:val="fr-FR"/>
              </w:rPr>
              <w:t>cu</w:t>
            </w:r>
            <w:proofErr w:type="spellEnd"/>
            <w:r w:rsidRPr="00A709D8">
              <w:rPr>
                <w:sz w:val="24"/>
                <w:szCs w:val="24"/>
                <w:lang w:val="fr-FR"/>
              </w:rPr>
              <w:t xml:space="preserve"> </w:t>
            </w:r>
            <w:proofErr w:type="spellStart"/>
            <w:r w:rsidRPr="00A709D8">
              <w:rPr>
                <w:sz w:val="24"/>
                <w:szCs w:val="24"/>
                <w:lang w:val="fr-FR"/>
              </w:rPr>
              <w:t>condiție</w:t>
            </w:r>
            <w:proofErr w:type="spellEnd"/>
            <w:r w:rsidRPr="00A709D8">
              <w:rPr>
                <w:sz w:val="24"/>
                <w:szCs w:val="24"/>
                <w:lang w:val="fr-FR"/>
              </w:rPr>
              <w:t xml:space="preserve"> „</w:t>
            </w:r>
            <w:proofErr w:type="spellStart"/>
            <w:r w:rsidRPr="00A709D8">
              <w:rPr>
                <w:sz w:val="24"/>
                <w:szCs w:val="24"/>
                <w:lang w:val="fr-FR"/>
              </w:rPr>
              <w:t>necunoscută</w:t>
            </w:r>
            <w:proofErr w:type="spellEnd"/>
            <w:r w:rsidRPr="00A709D8">
              <w:rPr>
                <w:sz w:val="24"/>
                <w:szCs w:val="24"/>
                <w:lang w:val="fr-FR"/>
              </w:rPr>
              <w:t>” (</w:t>
            </w:r>
            <w:proofErr w:type="spellStart"/>
            <w:r w:rsidRPr="00A709D8">
              <w:rPr>
                <w:sz w:val="24"/>
                <w:szCs w:val="24"/>
                <w:lang w:val="fr-FR"/>
              </w:rPr>
              <w:t>câmpul</w:t>
            </w:r>
            <w:proofErr w:type="spellEnd"/>
            <w:r w:rsidRPr="00A709D8">
              <w:rPr>
                <w:sz w:val="24"/>
                <w:szCs w:val="24"/>
                <w:lang w:val="fr-FR"/>
              </w:rPr>
              <w:t xml:space="preserve"> 6.1) este mai </w:t>
            </w:r>
            <w:proofErr w:type="spellStart"/>
            <w:r w:rsidRPr="00A709D8">
              <w:rPr>
                <w:sz w:val="24"/>
                <w:szCs w:val="24"/>
                <w:lang w:val="fr-FR"/>
              </w:rPr>
              <w:t>mică</w:t>
            </w:r>
            <w:proofErr w:type="spellEnd"/>
            <w:r w:rsidRPr="00A709D8">
              <w:rPr>
                <w:sz w:val="24"/>
                <w:szCs w:val="24"/>
                <w:lang w:val="fr-FR"/>
              </w:rPr>
              <w:t xml:space="preserve"> de 75%.</w:t>
            </w:r>
          </w:p>
        </w:tc>
      </w:tr>
      <w:tr w:rsidR="00861C79" w:rsidRPr="00C56257" w14:paraId="32647A99" w14:textId="77777777" w:rsidTr="00861C79">
        <w:tc>
          <w:tcPr>
            <w:tcW w:w="1975" w:type="dxa"/>
          </w:tcPr>
          <w:p w14:paraId="5B94D628" w14:textId="77777777" w:rsidR="00861C79" w:rsidRPr="00C56257" w:rsidRDefault="00861C79" w:rsidP="00F100E1">
            <w:pPr>
              <w:jc w:val="both"/>
            </w:pPr>
            <w:r w:rsidRPr="00C56257">
              <w:rPr>
                <w:spacing w:val="-1"/>
              </w:rPr>
              <w:t>Nefavorabil-rău</w:t>
            </w:r>
            <w:r w:rsidRPr="00C56257">
              <w:rPr>
                <w:spacing w:val="-57"/>
              </w:rPr>
              <w:t xml:space="preserve"> </w:t>
            </w:r>
            <w:r w:rsidRPr="00C56257">
              <w:t>(U2)</w:t>
            </w:r>
          </w:p>
        </w:tc>
        <w:tc>
          <w:tcPr>
            <w:tcW w:w="7375" w:type="dxa"/>
          </w:tcPr>
          <w:p w14:paraId="77E8A08F" w14:textId="77777777" w:rsidR="00861C79" w:rsidRPr="00C56257" w:rsidRDefault="00861C79" w:rsidP="003100FE">
            <w:pPr>
              <w:pStyle w:val="TableParagraph"/>
              <w:ind w:left="107"/>
              <w:rPr>
                <w:sz w:val="24"/>
                <w:szCs w:val="24"/>
              </w:rPr>
            </w:pPr>
            <w:r w:rsidRPr="00C56257">
              <w:rPr>
                <w:sz w:val="24"/>
                <w:szCs w:val="24"/>
              </w:rPr>
              <w:t>Conform</w:t>
            </w:r>
            <w:r w:rsidRPr="00C56257">
              <w:rPr>
                <w:spacing w:val="71"/>
                <w:sz w:val="24"/>
                <w:szCs w:val="24"/>
              </w:rPr>
              <w:t xml:space="preserve"> </w:t>
            </w:r>
            <w:r w:rsidRPr="00C56257">
              <w:rPr>
                <w:sz w:val="24"/>
                <w:szCs w:val="24"/>
              </w:rPr>
              <w:t xml:space="preserve">matricei  </w:t>
            </w:r>
            <w:r w:rsidRPr="00C56257">
              <w:rPr>
                <w:spacing w:val="10"/>
                <w:sz w:val="24"/>
                <w:szCs w:val="24"/>
              </w:rPr>
              <w:t xml:space="preserve"> </w:t>
            </w:r>
            <w:r w:rsidRPr="00C56257">
              <w:rPr>
                <w:sz w:val="24"/>
                <w:szCs w:val="24"/>
              </w:rPr>
              <w:t xml:space="preserve">de  </w:t>
            </w:r>
            <w:r w:rsidRPr="00C56257">
              <w:rPr>
                <w:spacing w:val="11"/>
                <w:sz w:val="24"/>
                <w:szCs w:val="24"/>
              </w:rPr>
              <w:t xml:space="preserve"> </w:t>
            </w:r>
            <w:r w:rsidRPr="00C56257">
              <w:rPr>
                <w:sz w:val="24"/>
                <w:szCs w:val="24"/>
              </w:rPr>
              <w:t xml:space="preserve">evaluare  </w:t>
            </w:r>
            <w:r w:rsidRPr="00C56257">
              <w:rPr>
                <w:spacing w:val="8"/>
                <w:sz w:val="24"/>
                <w:szCs w:val="24"/>
              </w:rPr>
              <w:t xml:space="preserve"> </w:t>
            </w:r>
            <w:r w:rsidRPr="00C56257">
              <w:rPr>
                <w:sz w:val="24"/>
                <w:szCs w:val="24"/>
              </w:rPr>
              <w:t xml:space="preserve">(anexa  </w:t>
            </w:r>
            <w:r w:rsidRPr="00C56257">
              <w:rPr>
                <w:spacing w:val="8"/>
                <w:sz w:val="24"/>
                <w:szCs w:val="24"/>
              </w:rPr>
              <w:t xml:space="preserve"> </w:t>
            </w:r>
            <w:r w:rsidRPr="00C56257">
              <w:rPr>
                <w:sz w:val="24"/>
                <w:szCs w:val="24"/>
              </w:rPr>
              <w:t xml:space="preserve">E),  </w:t>
            </w:r>
            <w:r w:rsidRPr="00C56257">
              <w:rPr>
                <w:spacing w:val="9"/>
                <w:sz w:val="24"/>
                <w:szCs w:val="24"/>
              </w:rPr>
              <w:t xml:space="preserve"> </w:t>
            </w:r>
            <w:r w:rsidRPr="00C56257">
              <w:rPr>
                <w:sz w:val="24"/>
                <w:szCs w:val="24"/>
              </w:rPr>
              <w:t xml:space="preserve">starea  </w:t>
            </w:r>
            <w:r w:rsidRPr="00C56257">
              <w:rPr>
                <w:spacing w:val="8"/>
                <w:sz w:val="24"/>
                <w:szCs w:val="24"/>
              </w:rPr>
              <w:t xml:space="preserve"> </w:t>
            </w:r>
            <w:r w:rsidRPr="00C56257">
              <w:rPr>
                <w:sz w:val="24"/>
                <w:szCs w:val="24"/>
              </w:rPr>
              <w:t xml:space="preserve">și  </w:t>
            </w:r>
            <w:r w:rsidRPr="00C56257">
              <w:rPr>
                <w:spacing w:val="10"/>
                <w:sz w:val="24"/>
                <w:szCs w:val="24"/>
              </w:rPr>
              <w:t xml:space="preserve"> </w:t>
            </w:r>
            <w:r w:rsidRPr="00C56257">
              <w:rPr>
                <w:sz w:val="24"/>
                <w:szCs w:val="24"/>
              </w:rPr>
              <w:t xml:space="preserve">funcțiile  </w:t>
            </w:r>
            <w:r w:rsidRPr="00C56257">
              <w:rPr>
                <w:spacing w:val="8"/>
                <w:sz w:val="24"/>
                <w:szCs w:val="24"/>
              </w:rPr>
              <w:t xml:space="preserve"> </w:t>
            </w:r>
            <w:r w:rsidRPr="00C56257">
              <w:rPr>
                <w:sz w:val="24"/>
                <w:szCs w:val="24"/>
              </w:rPr>
              <w:t>sunt„nefavorabile-rele”</w:t>
            </w:r>
            <w:r w:rsidRPr="00C56257">
              <w:rPr>
                <w:spacing w:val="-4"/>
                <w:sz w:val="24"/>
                <w:szCs w:val="24"/>
              </w:rPr>
              <w:t xml:space="preserve"> </w:t>
            </w:r>
            <w:r w:rsidRPr="00C56257">
              <w:rPr>
                <w:sz w:val="24"/>
                <w:szCs w:val="24"/>
              </w:rPr>
              <w:t>dacă:                                                                                       - mai mult de 25% din suprafață este defavorabilă („nu este bine” în câmpul 6.1) în ceea ce privește structura și funcțiile sale specifice (inclusiv speciile tipice).</w:t>
            </w:r>
          </w:p>
        </w:tc>
      </w:tr>
    </w:tbl>
    <w:p w14:paraId="53C001BE" w14:textId="77777777" w:rsidR="00861C79" w:rsidRPr="00C56257" w:rsidRDefault="00861C79" w:rsidP="008E33FD">
      <w:pPr>
        <w:widowControl w:val="0"/>
        <w:autoSpaceDE w:val="0"/>
        <w:autoSpaceDN w:val="0"/>
        <w:spacing w:before="1"/>
        <w:ind w:right="409"/>
        <w:jc w:val="both"/>
        <w:rPr>
          <w:color w:val="000000" w:themeColor="text1"/>
        </w:rPr>
      </w:pPr>
    </w:p>
    <w:p w14:paraId="080FBEC7" w14:textId="77777777" w:rsidR="007D2E1E" w:rsidRPr="00C56257" w:rsidRDefault="007D2E1E" w:rsidP="008E33FD">
      <w:pPr>
        <w:widowControl w:val="0"/>
        <w:tabs>
          <w:tab w:val="left" w:pos="1266"/>
        </w:tabs>
        <w:autoSpaceDE w:val="0"/>
        <w:autoSpaceDN w:val="0"/>
        <w:spacing w:before="71"/>
        <w:jc w:val="both"/>
        <w:outlineLvl w:val="1"/>
        <w:rPr>
          <w:rFonts w:eastAsia="Cambria"/>
          <w:b/>
          <w:bCs/>
          <w:color w:val="000000" w:themeColor="text1"/>
        </w:rPr>
      </w:pPr>
      <w:r w:rsidRPr="00C56257">
        <w:rPr>
          <w:rFonts w:eastAsia="Cambria"/>
          <w:b/>
          <w:bCs/>
          <w:color w:val="000000" w:themeColor="text1"/>
        </w:rPr>
        <w:t>Principalele</w:t>
      </w:r>
      <w:r w:rsidRPr="00C56257">
        <w:rPr>
          <w:rFonts w:eastAsia="Cambria"/>
          <w:b/>
          <w:bCs/>
          <w:color w:val="000000" w:themeColor="text1"/>
          <w:spacing w:val="-5"/>
        </w:rPr>
        <w:t xml:space="preserve"> </w:t>
      </w:r>
      <w:r w:rsidRPr="00C56257">
        <w:rPr>
          <w:rFonts w:eastAsia="Cambria"/>
          <w:b/>
          <w:bCs/>
          <w:color w:val="000000" w:themeColor="text1"/>
        </w:rPr>
        <w:t>presiuni</w:t>
      </w:r>
      <w:r w:rsidRPr="00C56257">
        <w:rPr>
          <w:rFonts w:eastAsia="Cambria"/>
          <w:b/>
          <w:bCs/>
          <w:color w:val="000000" w:themeColor="text1"/>
          <w:spacing w:val="-5"/>
        </w:rPr>
        <w:t xml:space="preserve"> </w:t>
      </w:r>
      <w:r w:rsidRPr="00C56257">
        <w:rPr>
          <w:rFonts w:eastAsia="Cambria"/>
          <w:b/>
          <w:bCs/>
          <w:color w:val="000000" w:themeColor="text1"/>
        </w:rPr>
        <w:t>și</w:t>
      </w:r>
      <w:r w:rsidRPr="00C56257">
        <w:rPr>
          <w:rFonts w:eastAsia="Cambria"/>
          <w:b/>
          <w:bCs/>
          <w:color w:val="000000" w:themeColor="text1"/>
          <w:spacing w:val="-5"/>
        </w:rPr>
        <w:t xml:space="preserve"> </w:t>
      </w:r>
      <w:r w:rsidRPr="00C56257">
        <w:rPr>
          <w:rFonts w:eastAsia="Cambria"/>
          <w:b/>
          <w:bCs/>
          <w:color w:val="000000" w:themeColor="text1"/>
        </w:rPr>
        <w:t>amenințări</w:t>
      </w:r>
    </w:p>
    <w:p w14:paraId="5F168938" w14:textId="77777777" w:rsidR="007D2E1E" w:rsidRPr="00C56257" w:rsidRDefault="007D2E1E" w:rsidP="008E33FD">
      <w:pPr>
        <w:widowControl w:val="0"/>
        <w:autoSpaceDE w:val="0"/>
        <w:autoSpaceDN w:val="0"/>
        <w:jc w:val="both"/>
        <w:rPr>
          <w:b/>
          <w:color w:val="000000" w:themeColor="text1"/>
        </w:rPr>
      </w:pPr>
    </w:p>
    <w:p w14:paraId="7E9B1AA2" w14:textId="77777777" w:rsidR="007D2E1E" w:rsidRPr="00C56257" w:rsidRDefault="007D2E1E" w:rsidP="00FA0AE6">
      <w:pPr>
        <w:widowControl w:val="0"/>
        <w:autoSpaceDE w:val="0"/>
        <w:autoSpaceDN w:val="0"/>
        <w:spacing w:before="225"/>
        <w:ind w:right="27"/>
        <w:jc w:val="both"/>
        <w:rPr>
          <w:color w:val="000000" w:themeColor="text1"/>
        </w:rPr>
      </w:pPr>
      <w:r w:rsidRPr="00C56257">
        <w:rPr>
          <w:color w:val="000000" w:themeColor="text1"/>
        </w:rPr>
        <w:t>Din punct de vedere al identificării în timp a formelor de impact acestea trebuie clasificate în două</w:t>
      </w:r>
      <w:r w:rsidRPr="00C56257">
        <w:rPr>
          <w:color w:val="000000" w:themeColor="text1"/>
          <w:spacing w:val="1"/>
        </w:rPr>
        <w:t xml:space="preserve"> </w:t>
      </w:r>
      <w:r w:rsidRPr="00C56257">
        <w:rPr>
          <w:color w:val="000000" w:themeColor="text1"/>
        </w:rPr>
        <w:t xml:space="preserve">categorii: </w:t>
      </w:r>
      <w:r w:rsidRPr="00C56257">
        <w:rPr>
          <w:b/>
          <w:color w:val="000000" w:themeColor="text1"/>
        </w:rPr>
        <w:t>presiuni</w:t>
      </w:r>
      <w:r w:rsidRPr="00C56257">
        <w:rPr>
          <w:b/>
          <w:color w:val="000000" w:themeColor="text1"/>
          <w:spacing w:val="1"/>
        </w:rPr>
        <w:t xml:space="preserve"> </w:t>
      </w:r>
      <w:r w:rsidRPr="00C56257">
        <w:rPr>
          <w:color w:val="000000" w:themeColor="text1"/>
        </w:rPr>
        <w:t xml:space="preserve">şi </w:t>
      </w:r>
      <w:r w:rsidRPr="00C56257">
        <w:rPr>
          <w:b/>
          <w:color w:val="000000" w:themeColor="text1"/>
        </w:rPr>
        <w:t>ameninţări</w:t>
      </w:r>
      <w:r w:rsidRPr="00C56257">
        <w:rPr>
          <w:color w:val="000000" w:themeColor="text1"/>
        </w:rPr>
        <w:t>:</w:t>
      </w:r>
    </w:p>
    <w:p w14:paraId="1F59AB45" w14:textId="77777777" w:rsidR="007D2E1E" w:rsidRPr="00C56257" w:rsidRDefault="007D2E1E" w:rsidP="00FA0AE6">
      <w:pPr>
        <w:widowControl w:val="0"/>
        <w:autoSpaceDE w:val="0"/>
        <w:autoSpaceDN w:val="0"/>
        <w:ind w:right="27"/>
        <w:jc w:val="both"/>
        <w:rPr>
          <w:color w:val="000000" w:themeColor="text1"/>
        </w:rPr>
      </w:pPr>
      <w:r w:rsidRPr="00C56257">
        <w:rPr>
          <w:b/>
          <w:color w:val="000000" w:themeColor="text1"/>
        </w:rPr>
        <w:t xml:space="preserve">Presiunea </w:t>
      </w:r>
      <w:r w:rsidRPr="00C56257">
        <w:rPr>
          <w:color w:val="000000" w:themeColor="text1"/>
        </w:rPr>
        <w:t>(P) reprezintă acea activitate cu potenţial impact negativ asupra stării de conservare a</w:t>
      </w:r>
      <w:r w:rsidRPr="00C56257">
        <w:rPr>
          <w:color w:val="000000" w:themeColor="text1"/>
          <w:spacing w:val="1"/>
        </w:rPr>
        <w:t xml:space="preserve"> </w:t>
      </w:r>
      <w:r w:rsidRPr="00C56257">
        <w:rPr>
          <w:color w:val="000000" w:themeColor="text1"/>
        </w:rPr>
        <w:t>tipurilor de habitate de interes comunitar, care se desfăşoară în prezent sau care s-a derulat în trecut,</w:t>
      </w:r>
      <w:r w:rsidRPr="00C56257">
        <w:rPr>
          <w:color w:val="000000" w:themeColor="text1"/>
          <w:spacing w:val="-57"/>
        </w:rPr>
        <w:t xml:space="preserve"> </w:t>
      </w:r>
      <w:r w:rsidRPr="00C56257">
        <w:rPr>
          <w:color w:val="000000" w:themeColor="text1"/>
        </w:rPr>
        <w:t>dar</w:t>
      </w:r>
      <w:r w:rsidRPr="00C56257">
        <w:rPr>
          <w:color w:val="000000" w:themeColor="text1"/>
          <w:spacing w:val="-1"/>
        </w:rPr>
        <w:t xml:space="preserve"> </w:t>
      </w:r>
      <w:r w:rsidRPr="00C56257">
        <w:rPr>
          <w:color w:val="000000" w:themeColor="text1"/>
        </w:rPr>
        <w:t>ale</w:t>
      </w:r>
      <w:r w:rsidRPr="00C56257">
        <w:rPr>
          <w:color w:val="000000" w:themeColor="text1"/>
          <w:spacing w:val="1"/>
        </w:rPr>
        <w:t xml:space="preserve"> </w:t>
      </w:r>
      <w:r w:rsidRPr="00C56257">
        <w:rPr>
          <w:color w:val="000000" w:themeColor="text1"/>
        </w:rPr>
        <w:t>cărui</w:t>
      </w:r>
      <w:r w:rsidRPr="00C56257">
        <w:rPr>
          <w:color w:val="000000" w:themeColor="text1"/>
          <w:spacing w:val="2"/>
        </w:rPr>
        <w:t xml:space="preserve"> </w:t>
      </w:r>
      <w:r w:rsidRPr="00C56257">
        <w:rPr>
          <w:color w:val="000000" w:themeColor="text1"/>
        </w:rPr>
        <w:t>efectele</w:t>
      </w:r>
      <w:r w:rsidRPr="00C56257">
        <w:rPr>
          <w:color w:val="000000" w:themeColor="text1"/>
          <w:spacing w:val="-1"/>
        </w:rPr>
        <w:t xml:space="preserve"> </w:t>
      </w:r>
      <w:r w:rsidRPr="00C56257">
        <w:rPr>
          <w:color w:val="000000" w:themeColor="text1"/>
        </w:rPr>
        <w:t>negative</w:t>
      </w:r>
      <w:r w:rsidRPr="00C56257">
        <w:rPr>
          <w:color w:val="000000" w:themeColor="text1"/>
          <w:spacing w:val="-1"/>
        </w:rPr>
        <w:t xml:space="preserve"> </w:t>
      </w:r>
      <w:r w:rsidRPr="00C56257">
        <w:rPr>
          <w:color w:val="000000" w:themeColor="text1"/>
        </w:rPr>
        <w:t>încă</w:t>
      </w:r>
      <w:r w:rsidRPr="00C56257">
        <w:rPr>
          <w:color w:val="000000" w:themeColor="text1"/>
          <w:spacing w:val="-2"/>
        </w:rPr>
        <w:t xml:space="preserve"> </w:t>
      </w:r>
      <w:r w:rsidRPr="00C56257">
        <w:rPr>
          <w:color w:val="000000" w:themeColor="text1"/>
        </w:rPr>
        <w:t>persistă.</w:t>
      </w:r>
    </w:p>
    <w:p w14:paraId="4E0C37A1" w14:textId="77777777" w:rsidR="007D2E1E" w:rsidRPr="00C56257" w:rsidRDefault="007D2E1E" w:rsidP="00FA0AE6">
      <w:pPr>
        <w:widowControl w:val="0"/>
        <w:autoSpaceDE w:val="0"/>
        <w:autoSpaceDN w:val="0"/>
        <w:ind w:right="27"/>
        <w:jc w:val="both"/>
        <w:rPr>
          <w:color w:val="000000" w:themeColor="text1"/>
        </w:rPr>
      </w:pPr>
      <w:r w:rsidRPr="00C56257">
        <w:rPr>
          <w:b/>
          <w:color w:val="000000" w:themeColor="text1"/>
        </w:rPr>
        <w:t xml:space="preserve">Ameninţarea </w:t>
      </w:r>
      <w:r w:rsidRPr="00C56257">
        <w:rPr>
          <w:color w:val="000000" w:themeColor="text1"/>
        </w:rPr>
        <w:t>(A) reprezintă acea activitate cu potenţial impact negativ asupra stării de conservare a</w:t>
      </w:r>
      <w:r w:rsidRPr="00C56257">
        <w:rPr>
          <w:color w:val="000000" w:themeColor="text1"/>
          <w:spacing w:val="-57"/>
        </w:rPr>
        <w:t xml:space="preserve"> </w:t>
      </w:r>
      <w:r w:rsidRPr="00C56257">
        <w:rPr>
          <w:color w:val="000000" w:themeColor="text1"/>
        </w:rPr>
        <w:t>tipurilor de habitate de interes comunitar, care este preconizată să se deruleze în viitor. O presiune</w:t>
      </w:r>
      <w:r w:rsidRPr="00C56257">
        <w:rPr>
          <w:color w:val="000000" w:themeColor="text1"/>
          <w:spacing w:val="1"/>
        </w:rPr>
        <w:t xml:space="preserve"> </w:t>
      </w:r>
      <w:r w:rsidRPr="00C56257">
        <w:rPr>
          <w:color w:val="000000" w:themeColor="text1"/>
        </w:rPr>
        <w:t>poate fi considerată ameninţare dacă se preconizează o creştere semnificativă a intensităţii acesteia</w:t>
      </w:r>
      <w:r w:rsidRPr="00C56257">
        <w:rPr>
          <w:color w:val="000000" w:themeColor="text1"/>
          <w:spacing w:val="1"/>
        </w:rPr>
        <w:t xml:space="preserve"> </w:t>
      </w:r>
      <w:r w:rsidRPr="00C56257">
        <w:rPr>
          <w:color w:val="000000" w:themeColor="text1"/>
        </w:rPr>
        <w:t>sau</w:t>
      </w:r>
      <w:r w:rsidRPr="00C56257">
        <w:rPr>
          <w:color w:val="000000" w:themeColor="text1"/>
          <w:spacing w:val="-1"/>
        </w:rPr>
        <w:t xml:space="preserve"> </w:t>
      </w:r>
      <w:r w:rsidRPr="00C56257">
        <w:rPr>
          <w:color w:val="000000" w:themeColor="text1"/>
        </w:rPr>
        <w:t>o schimbare a</w:t>
      </w:r>
      <w:r w:rsidRPr="00C56257">
        <w:rPr>
          <w:color w:val="000000" w:themeColor="text1"/>
          <w:spacing w:val="-1"/>
        </w:rPr>
        <w:t xml:space="preserve"> </w:t>
      </w:r>
      <w:r w:rsidRPr="00C56257">
        <w:rPr>
          <w:color w:val="000000" w:themeColor="text1"/>
        </w:rPr>
        <w:t>localizării</w:t>
      </w:r>
      <w:r w:rsidRPr="00C56257">
        <w:rPr>
          <w:color w:val="000000" w:themeColor="text1"/>
          <w:spacing w:val="2"/>
        </w:rPr>
        <w:t xml:space="preserve"> </w:t>
      </w:r>
      <w:r w:rsidRPr="00C56257">
        <w:rPr>
          <w:color w:val="000000" w:themeColor="text1"/>
        </w:rPr>
        <w:t>respectivei</w:t>
      </w:r>
      <w:r w:rsidRPr="00C56257">
        <w:rPr>
          <w:color w:val="000000" w:themeColor="text1"/>
          <w:spacing w:val="1"/>
        </w:rPr>
        <w:t xml:space="preserve"> </w:t>
      </w:r>
      <w:r w:rsidRPr="00C56257">
        <w:rPr>
          <w:color w:val="000000" w:themeColor="text1"/>
        </w:rPr>
        <w:t>presiuni.</w:t>
      </w:r>
    </w:p>
    <w:p w14:paraId="45BEF2DB" w14:textId="77777777" w:rsidR="007D2E1E" w:rsidRPr="00C56257" w:rsidRDefault="007D2E1E" w:rsidP="00FA0AE6">
      <w:pPr>
        <w:widowControl w:val="0"/>
        <w:autoSpaceDE w:val="0"/>
        <w:autoSpaceDN w:val="0"/>
        <w:spacing w:before="1"/>
        <w:ind w:right="27"/>
        <w:jc w:val="both"/>
        <w:rPr>
          <w:color w:val="000000" w:themeColor="text1"/>
        </w:rPr>
      </w:pPr>
      <w:r w:rsidRPr="00C56257">
        <w:rPr>
          <w:color w:val="000000" w:themeColor="text1"/>
        </w:rPr>
        <w:t>Este recomandat ca durata de timp pentru cuantificarea presiunilor să fie o perioadă de raportare,</w:t>
      </w:r>
      <w:r w:rsidRPr="00C56257">
        <w:rPr>
          <w:color w:val="000000" w:themeColor="text1"/>
          <w:spacing w:val="1"/>
        </w:rPr>
        <w:t xml:space="preserve"> </w:t>
      </w:r>
      <w:r w:rsidRPr="00C56257">
        <w:rPr>
          <w:color w:val="000000" w:themeColor="text1"/>
        </w:rPr>
        <w:t>respectiv șase ani, în timp ce pentru amenințări aceasta să acopere două</w:t>
      </w:r>
      <w:r w:rsidRPr="00C56257">
        <w:rPr>
          <w:color w:val="000000" w:themeColor="text1"/>
          <w:spacing w:val="1"/>
        </w:rPr>
        <w:t xml:space="preserve"> </w:t>
      </w:r>
      <w:r w:rsidRPr="00C56257">
        <w:rPr>
          <w:color w:val="000000" w:themeColor="text1"/>
        </w:rPr>
        <w:t>perioade viitoare de</w:t>
      </w:r>
      <w:r w:rsidRPr="00C56257">
        <w:rPr>
          <w:color w:val="000000" w:themeColor="text1"/>
          <w:spacing w:val="1"/>
        </w:rPr>
        <w:t xml:space="preserve"> </w:t>
      </w:r>
      <w:r w:rsidRPr="00C56257">
        <w:rPr>
          <w:color w:val="000000" w:themeColor="text1"/>
        </w:rPr>
        <w:t>raportare, respectiv 12 ani. Importanța relativă a amenințărilor și presiunilor trebuie să se încadreze</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una din cele trei</w:t>
      </w:r>
      <w:r w:rsidRPr="00C56257">
        <w:rPr>
          <w:color w:val="000000" w:themeColor="text1"/>
          <w:spacing w:val="2"/>
        </w:rPr>
        <w:t xml:space="preserve"> </w:t>
      </w:r>
      <w:r w:rsidRPr="00C56257">
        <w:rPr>
          <w:color w:val="000000" w:themeColor="text1"/>
        </w:rPr>
        <w:t>categorii:</w:t>
      </w:r>
    </w:p>
    <w:p w14:paraId="49778D74" w14:textId="77777777" w:rsidR="007D2E1E" w:rsidRPr="00C56257" w:rsidRDefault="007D2E1E" w:rsidP="008E33FD">
      <w:pPr>
        <w:widowControl w:val="0"/>
        <w:autoSpaceDE w:val="0"/>
        <w:autoSpaceDN w:val="0"/>
        <w:spacing w:before="8"/>
        <w:jc w:val="both"/>
        <w:rPr>
          <w:color w:val="000000" w:themeColor="text1"/>
        </w:rPr>
      </w:pPr>
    </w:p>
    <w:tbl>
      <w:tblPr>
        <w:tblW w:w="101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22"/>
        <w:gridCol w:w="3097"/>
        <w:gridCol w:w="5051"/>
      </w:tblGrid>
      <w:tr w:rsidR="007D2E1E" w:rsidRPr="00C56257" w14:paraId="693823DB" w14:textId="77777777" w:rsidTr="00C3382C">
        <w:trPr>
          <w:trHeight w:val="275"/>
        </w:trPr>
        <w:tc>
          <w:tcPr>
            <w:tcW w:w="2022" w:type="dxa"/>
          </w:tcPr>
          <w:p w14:paraId="0A7A8970" w14:textId="77777777" w:rsidR="007D2E1E" w:rsidRPr="00C56257" w:rsidRDefault="007D2E1E" w:rsidP="008E33FD">
            <w:pPr>
              <w:widowControl w:val="0"/>
              <w:autoSpaceDE w:val="0"/>
              <w:autoSpaceDN w:val="0"/>
              <w:spacing w:line="256" w:lineRule="exact"/>
              <w:jc w:val="both"/>
              <w:rPr>
                <w:b/>
                <w:color w:val="000000" w:themeColor="text1"/>
              </w:rPr>
            </w:pPr>
            <w:r w:rsidRPr="00C56257">
              <w:rPr>
                <w:b/>
                <w:color w:val="000000" w:themeColor="text1"/>
              </w:rPr>
              <w:t>Codul</w:t>
            </w:r>
          </w:p>
        </w:tc>
        <w:tc>
          <w:tcPr>
            <w:tcW w:w="3097" w:type="dxa"/>
          </w:tcPr>
          <w:p w14:paraId="19F74F8D" w14:textId="77777777" w:rsidR="007D2E1E" w:rsidRPr="00C56257" w:rsidRDefault="007D2E1E" w:rsidP="008E33FD">
            <w:pPr>
              <w:widowControl w:val="0"/>
              <w:autoSpaceDE w:val="0"/>
              <w:autoSpaceDN w:val="0"/>
              <w:spacing w:line="256" w:lineRule="exact"/>
              <w:jc w:val="both"/>
              <w:rPr>
                <w:b/>
                <w:color w:val="000000" w:themeColor="text1"/>
              </w:rPr>
            </w:pPr>
            <w:r w:rsidRPr="00C56257">
              <w:rPr>
                <w:b/>
                <w:color w:val="000000" w:themeColor="text1"/>
              </w:rPr>
              <w:t>Semnificația</w:t>
            </w:r>
          </w:p>
        </w:tc>
        <w:tc>
          <w:tcPr>
            <w:tcW w:w="5051" w:type="dxa"/>
          </w:tcPr>
          <w:p w14:paraId="3FB3A119" w14:textId="77777777" w:rsidR="007D2E1E" w:rsidRPr="00C56257" w:rsidRDefault="007D2E1E" w:rsidP="008E33FD">
            <w:pPr>
              <w:widowControl w:val="0"/>
              <w:autoSpaceDE w:val="0"/>
              <w:autoSpaceDN w:val="0"/>
              <w:spacing w:line="256" w:lineRule="exact"/>
              <w:jc w:val="both"/>
              <w:rPr>
                <w:b/>
                <w:color w:val="000000" w:themeColor="text1"/>
              </w:rPr>
            </w:pPr>
            <w:r w:rsidRPr="00C56257">
              <w:rPr>
                <w:b/>
                <w:color w:val="000000" w:themeColor="text1"/>
              </w:rPr>
              <w:t>Observații</w:t>
            </w:r>
          </w:p>
        </w:tc>
      </w:tr>
      <w:tr w:rsidR="007D2E1E" w:rsidRPr="00C56257" w14:paraId="631BECD4" w14:textId="77777777" w:rsidTr="00C3382C">
        <w:trPr>
          <w:trHeight w:val="830"/>
        </w:trPr>
        <w:tc>
          <w:tcPr>
            <w:tcW w:w="2022" w:type="dxa"/>
          </w:tcPr>
          <w:p w14:paraId="29C4785A" w14:textId="77777777" w:rsidR="007D2E1E" w:rsidRPr="00C56257" w:rsidRDefault="007D2E1E" w:rsidP="008E33FD">
            <w:pPr>
              <w:widowControl w:val="0"/>
              <w:autoSpaceDE w:val="0"/>
              <w:autoSpaceDN w:val="0"/>
              <w:spacing w:line="270" w:lineRule="exact"/>
              <w:jc w:val="both"/>
              <w:rPr>
                <w:color w:val="000000" w:themeColor="text1"/>
              </w:rPr>
            </w:pPr>
            <w:r w:rsidRPr="00C56257">
              <w:rPr>
                <w:color w:val="000000" w:themeColor="text1"/>
                <w:w w:val="99"/>
              </w:rPr>
              <w:t>H</w:t>
            </w:r>
          </w:p>
        </w:tc>
        <w:tc>
          <w:tcPr>
            <w:tcW w:w="3097" w:type="dxa"/>
          </w:tcPr>
          <w:p w14:paraId="7149EED5" w14:textId="77777777" w:rsidR="007D2E1E" w:rsidRPr="00C56257" w:rsidRDefault="007D2E1E" w:rsidP="008E33FD">
            <w:pPr>
              <w:widowControl w:val="0"/>
              <w:autoSpaceDE w:val="0"/>
              <w:autoSpaceDN w:val="0"/>
              <w:spacing w:line="270" w:lineRule="exact"/>
              <w:jc w:val="both"/>
              <w:rPr>
                <w:color w:val="000000" w:themeColor="text1"/>
              </w:rPr>
            </w:pPr>
            <w:r w:rsidRPr="00C56257">
              <w:rPr>
                <w:color w:val="000000" w:themeColor="text1"/>
              </w:rPr>
              <w:t>Importanță/impact</w:t>
            </w:r>
            <w:r w:rsidRPr="00C56257">
              <w:rPr>
                <w:color w:val="000000" w:themeColor="text1"/>
                <w:spacing w:val="-3"/>
              </w:rPr>
              <w:t xml:space="preserve"> </w:t>
            </w:r>
            <w:r w:rsidRPr="00C56257">
              <w:rPr>
                <w:color w:val="000000" w:themeColor="text1"/>
              </w:rPr>
              <w:t>mare</w:t>
            </w:r>
          </w:p>
        </w:tc>
        <w:tc>
          <w:tcPr>
            <w:tcW w:w="5051" w:type="dxa"/>
          </w:tcPr>
          <w:p w14:paraId="3C5C4EED" w14:textId="77777777" w:rsidR="007D2E1E" w:rsidRPr="00C56257" w:rsidRDefault="007D2E1E" w:rsidP="008E33FD">
            <w:pPr>
              <w:widowControl w:val="0"/>
              <w:tabs>
                <w:tab w:val="left" w:pos="1407"/>
                <w:tab w:val="left" w:pos="2496"/>
                <w:tab w:val="left" w:pos="3252"/>
              </w:tabs>
              <w:autoSpaceDE w:val="0"/>
              <w:autoSpaceDN w:val="0"/>
              <w:spacing w:line="270" w:lineRule="exact"/>
              <w:jc w:val="both"/>
              <w:rPr>
                <w:color w:val="000000" w:themeColor="text1"/>
              </w:rPr>
            </w:pPr>
            <w:r w:rsidRPr="00C56257">
              <w:rPr>
                <w:color w:val="000000" w:themeColor="text1"/>
              </w:rPr>
              <w:t>Influență</w:t>
            </w:r>
            <w:r w:rsidRPr="00C56257">
              <w:rPr>
                <w:color w:val="000000" w:themeColor="text1"/>
              </w:rPr>
              <w:tab/>
              <w:t>directă</w:t>
            </w:r>
            <w:r w:rsidRPr="00C56257">
              <w:rPr>
                <w:color w:val="000000" w:themeColor="text1"/>
              </w:rPr>
              <w:tab/>
              <w:t>sau</w:t>
            </w:r>
            <w:r w:rsidRPr="00C56257">
              <w:rPr>
                <w:color w:val="000000" w:themeColor="text1"/>
              </w:rPr>
              <w:tab/>
              <w:t>imediată</w:t>
            </w:r>
          </w:p>
          <w:p w14:paraId="3C4CA327" w14:textId="77777777" w:rsidR="007D2E1E" w:rsidRPr="00C56257" w:rsidRDefault="007D2E1E" w:rsidP="00C3382C">
            <w:pPr>
              <w:widowControl w:val="0"/>
              <w:autoSpaceDE w:val="0"/>
              <w:autoSpaceDN w:val="0"/>
              <w:spacing w:line="270" w:lineRule="atLeast"/>
              <w:ind w:right="98"/>
              <w:jc w:val="both"/>
              <w:rPr>
                <w:color w:val="000000" w:themeColor="text1"/>
              </w:rPr>
            </w:pPr>
            <w:r w:rsidRPr="00C56257">
              <w:rPr>
                <w:color w:val="000000" w:themeColor="text1"/>
              </w:rPr>
              <w:t>semnificativă</w:t>
            </w:r>
            <w:r w:rsidRPr="00C56257">
              <w:rPr>
                <w:color w:val="000000" w:themeColor="text1"/>
                <w:spacing w:val="18"/>
              </w:rPr>
              <w:t xml:space="preserve"> </w:t>
            </w:r>
            <w:r w:rsidRPr="00C56257">
              <w:rPr>
                <w:color w:val="000000" w:themeColor="text1"/>
              </w:rPr>
              <w:t>și/sau</w:t>
            </w:r>
            <w:r w:rsidRPr="00C56257">
              <w:rPr>
                <w:color w:val="000000" w:themeColor="text1"/>
                <w:spacing w:val="20"/>
              </w:rPr>
              <w:t xml:space="preserve"> </w:t>
            </w:r>
            <w:r w:rsidRPr="00C56257">
              <w:rPr>
                <w:color w:val="000000" w:themeColor="text1"/>
              </w:rPr>
              <w:t>acţiune</w:t>
            </w:r>
            <w:r w:rsidRPr="00C56257">
              <w:rPr>
                <w:color w:val="000000" w:themeColor="text1"/>
                <w:spacing w:val="19"/>
              </w:rPr>
              <w:t xml:space="preserve"> </w:t>
            </w:r>
            <w:r w:rsidRPr="00C56257">
              <w:rPr>
                <w:color w:val="000000" w:themeColor="text1"/>
              </w:rPr>
              <w:t>pe</w:t>
            </w:r>
            <w:r w:rsidRPr="00C56257">
              <w:rPr>
                <w:color w:val="000000" w:themeColor="text1"/>
                <w:spacing w:val="18"/>
              </w:rPr>
              <w:t xml:space="preserve"> </w:t>
            </w:r>
            <w:r w:rsidR="00C3382C">
              <w:rPr>
                <w:color w:val="000000" w:themeColor="text1"/>
                <w:spacing w:val="18"/>
              </w:rPr>
              <w:t xml:space="preserve">suprafețe </w:t>
            </w:r>
            <w:r w:rsidRPr="00C56257">
              <w:rPr>
                <w:color w:val="000000" w:themeColor="text1"/>
                <w:spacing w:val="-57"/>
              </w:rPr>
              <w:t xml:space="preserve"> </w:t>
            </w:r>
            <w:r w:rsidR="00C3382C">
              <w:rPr>
                <w:color w:val="000000" w:themeColor="text1"/>
                <w:spacing w:val="-57"/>
              </w:rPr>
              <w:t xml:space="preserve">   </w:t>
            </w:r>
            <w:r w:rsidRPr="00C56257">
              <w:rPr>
                <w:color w:val="000000" w:themeColor="text1"/>
              </w:rPr>
              <w:t>mari</w:t>
            </w:r>
          </w:p>
        </w:tc>
      </w:tr>
      <w:tr w:rsidR="007D2E1E" w:rsidRPr="00C56257" w14:paraId="6B0B7815" w14:textId="77777777" w:rsidTr="00C3382C">
        <w:trPr>
          <w:trHeight w:val="1103"/>
        </w:trPr>
        <w:tc>
          <w:tcPr>
            <w:tcW w:w="2022" w:type="dxa"/>
          </w:tcPr>
          <w:p w14:paraId="41595CCE" w14:textId="77777777" w:rsidR="007D2E1E" w:rsidRPr="00C56257" w:rsidRDefault="007D2E1E" w:rsidP="008E33FD">
            <w:pPr>
              <w:widowControl w:val="0"/>
              <w:autoSpaceDE w:val="0"/>
              <w:autoSpaceDN w:val="0"/>
              <w:spacing w:line="268" w:lineRule="exact"/>
              <w:jc w:val="both"/>
              <w:rPr>
                <w:color w:val="000000" w:themeColor="text1"/>
              </w:rPr>
            </w:pPr>
            <w:r w:rsidRPr="00C56257">
              <w:rPr>
                <w:color w:val="000000" w:themeColor="text1"/>
                <w:w w:val="99"/>
              </w:rPr>
              <w:lastRenderedPageBreak/>
              <w:t>M</w:t>
            </w:r>
          </w:p>
        </w:tc>
        <w:tc>
          <w:tcPr>
            <w:tcW w:w="3097" w:type="dxa"/>
          </w:tcPr>
          <w:p w14:paraId="1C4A11DF" w14:textId="77777777" w:rsidR="007D2E1E" w:rsidRPr="00C56257" w:rsidRDefault="007D2E1E" w:rsidP="008E33FD">
            <w:pPr>
              <w:widowControl w:val="0"/>
              <w:autoSpaceDE w:val="0"/>
              <w:autoSpaceDN w:val="0"/>
              <w:spacing w:line="268" w:lineRule="exact"/>
              <w:jc w:val="both"/>
              <w:rPr>
                <w:color w:val="000000" w:themeColor="text1"/>
              </w:rPr>
            </w:pPr>
            <w:r w:rsidRPr="00C56257">
              <w:rPr>
                <w:color w:val="000000" w:themeColor="text1"/>
              </w:rPr>
              <w:t>Importanță/impact</w:t>
            </w:r>
            <w:r w:rsidRPr="00C56257">
              <w:rPr>
                <w:color w:val="000000" w:themeColor="text1"/>
                <w:spacing w:val="-3"/>
              </w:rPr>
              <w:t xml:space="preserve"> </w:t>
            </w:r>
            <w:r w:rsidRPr="00C56257">
              <w:rPr>
                <w:color w:val="000000" w:themeColor="text1"/>
              </w:rPr>
              <w:t>mediu</w:t>
            </w:r>
          </w:p>
        </w:tc>
        <w:tc>
          <w:tcPr>
            <w:tcW w:w="5051" w:type="dxa"/>
          </w:tcPr>
          <w:p w14:paraId="609C52FB" w14:textId="77777777" w:rsidR="007D2E1E" w:rsidRPr="00C56257" w:rsidRDefault="007D2E1E" w:rsidP="008E33FD">
            <w:pPr>
              <w:widowControl w:val="0"/>
              <w:tabs>
                <w:tab w:val="left" w:pos="1252"/>
                <w:tab w:val="left" w:pos="2399"/>
                <w:tab w:val="left" w:pos="3529"/>
              </w:tabs>
              <w:autoSpaceDE w:val="0"/>
              <w:autoSpaceDN w:val="0"/>
              <w:ind w:right="97"/>
              <w:jc w:val="both"/>
              <w:rPr>
                <w:color w:val="000000" w:themeColor="text1"/>
              </w:rPr>
            </w:pPr>
            <w:r w:rsidRPr="00C56257">
              <w:rPr>
                <w:color w:val="000000" w:themeColor="text1"/>
              </w:rPr>
              <w:t>Influență</w:t>
            </w:r>
            <w:r w:rsidRPr="00C56257">
              <w:rPr>
                <w:color w:val="000000" w:themeColor="text1"/>
                <w:spacing w:val="33"/>
              </w:rPr>
              <w:t xml:space="preserve"> </w:t>
            </w:r>
            <w:r w:rsidRPr="00C56257">
              <w:rPr>
                <w:color w:val="000000" w:themeColor="text1"/>
              </w:rPr>
              <w:t>directă</w:t>
            </w:r>
            <w:r w:rsidRPr="00C56257">
              <w:rPr>
                <w:color w:val="000000" w:themeColor="text1"/>
                <w:spacing w:val="32"/>
              </w:rPr>
              <w:t xml:space="preserve"> </w:t>
            </w:r>
            <w:r w:rsidRPr="00C56257">
              <w:rPr>
                <w:color w:val="000000" w:themeColor="text1"/>
              </w:rPr>
              <w:t>sau</w:t>
            </w:r>
            <w:r w:rsidRPr="00C56257">
              <w:rPr>
                <w:color w:val="000000" w:themeColor="text1"/>
                <w:spacing w:val="33"/>
              </w:rPr>
              <w:t xml:space="preserve"> </w:t>
            </w:r>
            <w:r w:rsidRPr="00C56257">
              <w:rPr>
                <w:color w:val="000000" w:themeColor="text1"/>
              </w:rPr>
              <w:t>imediată</w:t>
            </w:r>
            <w:r w:rsidRPr="00C56257">
              <w:rPr>
                <w:color w:val="000000" w:themeColor="text1"/>
                <w:spacing w:val="33"/>
              </w:rPr>
              <w:t xml:space="preserve"> </w:t>
            </w:r>
            <w:r w:rsidRPr="00C56257">
              <w:rPr>
                <w:color w:val="000000" w:themeColor="text1"/>
              </w:rPr>
              <w:t>medie,</w:t>
            </w:r>
            <w:r w:rsidRPr="00C56257">
              <w:rPr>
                <w:color w:val="000000" w:themeColor="text1"/>
                <w:spacing w:val="33"/>
              </w:rPr>
              <w:t xml:space="preserve"> </w:t>
            </w:r>
            <w:r w:rsidRPr="00C56257">
              <w:rPr>
                <w:color w:val="000000" w:themeColor="text1"/>
              </w:rPr>
              <w:t>în</w:t>
            </w:r>
            <w:r w:rsidRPr="00C56257">
              <w:rPr>
                <w:color w:val="000000" w:themeColor="text1"/>
                <w:spacing w:val="-57"/>
              </w:rPr>
              <w:t xml:space="preserve"> </w:t>
            </w:r>
            <w:r w:rsidRPr="00C56257">
              <w:rPr>
                <w:color w:val="000000" w:themeColor="text1"/>
              </w:rPr>
              <w:t>principal</w:t>
            </w:r>
            <w:r w:rsidRPr="00C56257">
              <w:rPr>
                <w:color w:val="000000" w:themeColor="text1"/>
              </w:rPr>
              <w:tab/>
              <w:t>influență</w:t>
            </w:r>
            <w:r w:rsidRPr="00C56257">
              <w:rPr>
                <w:color w:val="000000" w:themeColor="text1"/>
              </w:rPr>
              <w:tab/>
              <w:t>indirectă</w:t>
            </w:r>
            <w:r w:rsidRPr="00C56257">
              <w:rPr>
                <w:color w:val="000000" w:themeColor="text1"/>
              </w:rPr>
              <w:tab/>
              <w:t>și/sau</w:t>
            </w:r>
          </w:p>
          <w:p w14:paraId="68283F26" w14:textId="77777777" w:rsidR="007D2E1E" w:rsidRPr="00C56257" w:rsidRDefault="007D2E1E" w:rsidP="008E33FD">
            <w:pPr>
              <w:widowControl w:val="0"/>
              <w:autoSpaceDE w:val="0"/>
              <w:autoSpaceDN w:val="0"/>
              <w:spacing w:line="270" w:lineRule="atLeast"/>
              <w:jc w:val="both"/>
              <w:rPr>
                <w:color w:val="000000" w:themeColor="text1"/>
              </w:rPr>
            </w:pPr>
            <w:r w:rsidRPr="00C56257">
              <w:rPr>
                <w:color w:val="000000" w:themeColor="text1"/>
              </w:rPr>
              <w:t>acțiune</w:t>
            </w:r>
            <w:r w:rsidRPr="00C56257">
              <w:rPr>
                <w:color w:val="000000" w:themeColor="text1"/>
                <w:spacing w:val="8"/>
              </w:rPr>
              <w:t xml:space="preserve"> </w:t>
            </w:r>
            <w:r w:rsidRPr="00C56257">
              <w:rPr>
                <w:color w:val="000000" w:themeColor="text1"/>
              </w:rPr>
              <w:t>asupra</w:t>
            </w:r>
            <w:r w:rsidRPr="00C56257">
              <w:rPr>
                <w:color w:val="000000" w:themeColor="text1"/>
                <w:spacing w:val="8"/>
              </w:rPr>
              <w:t xml:space="preserve"> </w:t>
            </w:r>
            <w:r w:rsidRPr="00C56257">
              <w:rPr>
                <w:color w:val="000000" w:themeColor="text1"/>
              </w:rPr>
              <w:t>unei</w:t>
            </w:r>
            <w:r w:rsidRPr="00C56257">
              <w:rPr>
                <w:color w:val="000000" w:themeColor="text1"/>
                <w:spacing w:val="9"/>
              </w:rPr>
              <w:t xml:space="preserve"> </w:t>
            </w:r>
            <w:r w:rsidRPr="00C56257">
              <w:rPr>
                <w:color w:val="000000" w:themeColor="text1"/>
              </w:rPr>
              <w:t>părți</w:t>
            </w:r>
            <w:r w:rsidRPr="00C56257">
              <w:rPr>
                <w:color w:val="000000" w:themeColor="text1"/>
                <w:spacing w:val="9"/>
              </w:rPr>
              <w:t xml:space="preserve"> </w:t>
            </w:r>
            <w:r w:rsidRPr="00C56257">
              <w:rPr>
                <w:color w:val="000000" w:themeColor="text1"/>
              </w:rPr>
              <w:t>medii</w:t>
            </w:r>
            <w:r w:rsidRPr="00C56257">
              <w:rPr>
                <w:color w:val="000000" w:themeColor="text1"/>
                <w:spacing w:val="9"/>
              </w:rPr>
              <w:t xml:space="preserve"> </w:t>
            </w:r>
            <w:r w:rsidRPr="00C56257">
              <w:rPr>
                <w:color w:val="000000" w:themeColor="text1"/>
              </w:rPr>
              <w:t>din</w:t>
            </w:r>
            <w:r w:rsidRPr="00C56257">
              <w:rPr>
                <w:color w:val="000000" w:themeColor="text1"/>
                <w:spacing w:val="-57"/>
              </w:rPr>
              <w:t xml:space="preserve"> </w:t>
            </w:r>
            <w:r w:rsidRPr="00C56257">
              <w:rPr>
                <w:color w:val="000000" w:themeColor="text1"/>
              </w:rPr>
              <w:t>suprafață/doar</w:t>
            </w:r>
            <w:r w:rsidRPr="00C56257">
              <w:rPr>
                <w:color w:val="000000" w:themeColor="text1"/>
                <w:spacing w:val="-1"/>
              </w:rPr>
              <w:t xml:space="preserve"> </w:t>
            </w:r>
            <w:r w:rsidRPr="00C56257">
              <w:rPr>
                <w:color w:val="000000" w:themeColor="text1"/>
              </w:rPr>
              <w:t>la</w:t>
            </w:r>
            <w:r w:rsidRPr="00C56257">
              <w:rPr>
                <w:color w:val="000000" w:themeColor="text1"/>
                <w:spacing w:val="-2"/>
              </w:rPr>
              <w:t xml:space="preserve"> </w:t>
            </w:r>
            <w:r w:rsidRPr="00C56257">
              <w:rPr>
                <w:color w:val="000000" w:themeColor="text1"/>
              </w:rPr>
              <w:t>nivel regional</w:t>
            </w:r>
          </w:p>
        </w:tc>
      </w:tr>
      <w:tr w:rsidR="007D2E1E" w:rsidRPr="00C56257" w14:paraId="007806E7" w14:textId="77777777" w:rsidTr="00E12F5B">
        <w:trPr>
          <w:trHeight w:val="931"/>
        </w:trPr>
        <w:tc>
          <w:tcPr>
            <w:tcW w:w="2022" w:type="dxa"/>
          </w:tcPr>
          <w:p w14:paraId="320AB152" w14:textId="77777777" w:rsidR="007D2E1E" w:rsidRPr="00C56257" w:rsidRDefault="007D2E1E" w:rsidP="008E33FD">
            <w:pPr>
              <w:widowControl w:val="0"/>
              <w:autoSpaceDE w:val="0"/>
              <w:autoSpaceDN w:val="0"/>
              <w:spacing w:line="268" w:lineRule="exact"/>
              <w:jc w:val="both"/>
              <w:rPr>
                <w:color w:val="000000" w:themeColor="text1"/>
              </w:rPr>
            </w:pPr>
            <w:r w:rsidRPr="00C56257">
              <w:rPr>
                <w:color w:val="000000" w:themeColor="text1"/>
              </w:rPr>
              <w:t>L</w:t>
            </w:r>
          </w:p>
        </w:tc>
        <w:tc>
          <w:tcPr>
            <w:tcW w:w="3097" w:type="dxa"/>
          </w:tcPr>
          <w:p w14:paraId="5F415BA6" w14:textId="77777777" w:rsidR="007D2E1E" w:rsidRPr="00C56257" w:rsidRDefault="007D2E1E" w:rsidP="008E33FD">
            <w:pPr>
              <w:widowControl w:val="0"/>
              <w:autoSpaceDE w:val="0"/>
              <w:autoSpaceDN w:val="0"/>
              <w:spacing w:line="268" w:lineRule="exact"/>
              <w:jc w:val="both"/>
              <w:rPr>
                <w:color w:val="000000" w:themeColor="text1"/>
              </w:rPr>
            </w:pPr>
            <w:r w:rsidRPr="00C56257">
              <w:rPr>
                <w:color w:val="000000" w:themeColor="text1"/>
              </w:rPr>
              <w:t>Importanță/impact</w:t>
            </w:r>
            <w:r w:rsidRPr="00C56257">
              <w:rPr>
                <w:color w:val="000000" w:themeColor="text1"/>
                <w:spacing w:val="-3"/>
              </w:rPr>
              <w:t xml:space="preserve"> </w:t>
            </w:r>
            <w:r w:rsidRPr="00C56257">
              <w:rPr>
                <w:color w:val="000000" w:themeColor="text1"/>
              </w:rPr>
              <w:t>redus</w:t>
            </w:r>
          </w:p>
        </w:tc>
        <w:tc>
          <w:tcPr>
            <w:tcW w:w="5051" w:type="dxa"/>
          </w:tcPr>
          <w:p w14:paraId="6965C65F" w14:textId="77777777" w:rsidR="007D2E1E" w:rsidRPr="00C56257" w:rsidRDefault="007D2E1E" w:rsidP="00E12F5B">
            <w:pPr>
              <w:widowControl w:val="0"/>
              <w:autoSpaceDE w:val="0"/>
              <w:autoSpaceDN w:val="0"/>
              <w:ind w:right="97"/>
              <w:jc w:val="both"/>
              <w:rPr>
                <w:color w:val="000000" w:themeColor="text1"/>
              </w:rPr>
            </w:pPr>
            <w:r w:rsidRPr="00C56257">
              <w:rPr>
                <w:color w:val="000000" w:themeColor="text1"/>
              </w:rPr>
              <w:t>Influență</w:t>
            </w:r>
            <w:r w:rsidRPr="00C56257">
              <w:rPr>
                <w:color w:val="000000" w:themeColor="text1"/>
                <w:spacing w:val="1"/>
              </w:rPr>
              <w:t xml:space="preserve"> </w:t>
            </w:r>
            <w:r w:rsidRPr="00C56257">
              <w:rPr>
                <w:color w:val="000000" w:themeColor="text1"/>
              </w:rPr>
              <w:t>directă</w:t>
            </w:r>
            <w:r w:rsidRPr="00C56257">
              <w:rPr>
                <w:color w:val="000000" w:themeColor="text1"/>
                <w:spacing w:val="1"/>
              </w:rPr>
              <w:t xml:space="preserve"> </w:t>
            </w:r>
            <w:r w:rsidRPr="00C56257">
              <w:rPr>
                <w:color w:val="000000" w:themeColor="text1"/>
              </w:rPr>
              <w:t>sau</w:t>
            </w:r>
            <w:r w:rsidRPr="00C56257">
              <w:rPr>
                <w:color w:val="000000" w:themeColor="text1"/>
                <w:spacing w:val="1"/>
              </w:rPr>
              <w:t xml:space="preserve"> </w:t>
            </w:r>
            <w:r w:rsidRPr="00C56257">
              <w:rPr>
                <w:color w:val="000000" w:themeColor="text1"/>
              </w:rPr>
              <w:t>imediată</w:t>
            </w:r>
            <w:r w:rsidRPr="00C56257">
              <w:rPr>
                <w:color w:val="000000" w:themeColor="text1"/>
                <w:spacing w:val="1"/>
              </w:rPr>
              <w:t xml:space="preserve"> </w:t>
            </w:r>
            <w:r w:rsidRPr="00C56257">
              <w:rPr>
                <w:color w:val="000000" w:themeColor="text1"/>
              </w:rPr>
              <w:t>redusă,</w:t>
            </w:r>
            <w:r w:rsidRPr="00C56257">
              <w:rPr>
                <w:color w:val="000000" w:themeColor="text1"/>
                <w:spacing w:val="1"/>
              </w:rPr>
              <w:t xml:space="preserve"> </w:t>
            </w:r>
            <w:r w:rsidRPr="00C56257">
              <w:rPr>
                <w:color w:val="000000" w:themeColor="text1"/>
              </w:rPr>
              <w:t>influență</w:t>
            </w:r>
            <w:r w:rsidRPr="00C56257">
              <w:rPr>
                <w:color w:val="000000" w:themeColor="text1"/>
                <w:spacing w:val="1"/>
              </w:rPr>
              <w:t xml:space="preserve"> </w:t>
            </w:r>
            <w:r w:rsidRPr="00C56257">
              <w:rPr>
                <w:color w:val="000000" w:themeColor="text1"/>
              </w:rPr>
              <w:t>directă</w:t>
            </w:r>
            <w:r w:rsidRPr="00C56257">
              <w:rPr>
                <w:color w:val="000000" w:themeColor="text1"/>
                <w:spacing w:val="1"/>
              </w:rPr>
              <w:t xml:space="preserve"> </w:t>
            </w:r>
            <w:r w:rsidRPr="00C56257">
              <w:rPr>
                <w:color w:val="000000" w:themeColor="text1"/>
              </w:rPr>
              <w:t>și/sau</w:t>
            </w:r>
            <w:r w:rsidRPr="00C56257">
              <w:rPr>
                <w:color w:val="000000" w:themeColor="text1"/>
                <w:spacing w:val="1"/>
              </w:rPr>
              <w:t xml:space="preserve"> </w:t>
            </w:r>
            <w:r w:rsidRPr="00C56257">
              <w:rPr>
                <w:color w:val="000000" w:themeColor="text1"/>
              </w:rPr>
              <w:t>acțiune</w:t>
            </w:r>
            <w:r w:rsidRPr="00C56257">
              <w:rPr>
                <w:color w:val="000000" w:themeColor="text1"/>
                <w:spacing w:val="1"/>
              </w:rPr>
              <w:t xml:space="preserve"> </w:t>
            </w:r>
            <w:r w:rsidRPr="00C56257">
              <w:rPr>
                <w:color w:val="000000" w:themeColor="text1"/>
              </w:rPr>
              <w:t>asupra</w:t>
            </w:r>
            <w:r w:rsidRPr="00C56257">
              <w:rPr>
                <w:color w:val="000000" w:themeColor="text1"/>
                <w:spacing w:val="1"/>
              </w:rPr>
              <w:t xml:space="preserve"> </w:t>
            </w:r>
            <w:r w:rsidRPr="00C56257">
              <w:rPr>
                <w:color w:val="000000" w:themeColor="text1"/>
              </w:rPr>
              <w:t>unei</w:t>
            </w:r>
            <w:r w:rsidRPr="00C56257">
              <w:rPr>
                <w:color w:val="000000" w:themeColor="text1"/>
                <w:spacing w:val="19"/>
              </w:rPr>
              <w:t xml:space="preserve"> </w:t>
            </w:r>
            <w:r w:rsidRPr="00C56257">
              <w:rPr>
                <w:color w:val="000000" w:themeColor="text1"/>
              </w:rPr>
              <w:t>mici</w:t>
            </w:r>
            <w:r w:rsidRPr="00C56257">
              <w:rPr>
                <w:color w:val="000000" w:themeColor="text1"/>
                <w:spacing w:val="19"/>
              </w:rPr>
              <w:t xml:space="preserve"> </w:t>
            </w:r>
            <w:r w:rsidRPr="00C56257">
              <w:rPr>
                <w:color w:val="000000" w:themeColor="text1"/>
              </w:rPr>
              <w:t>părți</w:t>
            </w:r>
            <w:r w:rsidRPr="00C56257">
              <w:rPr>
                <w:color w:val="000000" w:themeColor="text1"/>
                <w:spacing w:val="19"/>
              </w:rPr>
              <w:t xml:space="preserve"> </w:t>
            </w:r>
            <w:r w:rsidRPr="00C56257">
              <w:rPr>
                <w:color w:val="000000" w:themeColor="text1"/>
              </w:rPr>
              <w:t>din</w:t>
            </w:r>
            <w:r w:rsidRPr="00C56257">
              <w:rPr>
                <w:color w:val="000000" w:themeColor="text1"/>
                <w:spacing w:val="21"/>
              </w:rPr>
              <w:t xml:space="preserve"> </w:t>
            </w:r>
            <w:r w:rsidRPr="00C56257">
              <w:rPr>
                <w:color w:val="000000" w:themeColor="text1"/>
              </w:rPr>
              <w:t>suprafață/</w:t>
            </w:r>
            <w:r w:rsidRPr="00C56257">
              <w:rPr>
                <w:color w:val="000000" w:themeColor="text1"/>
                <w:spacing w:val="19"/>
              </w:rPr>
              <w:t xml:space="preserve"> </w:t>
            </w:r>
            <w:r w:rsidRPr="00C56257">
              <w:rPr>
                <w:color w:val="000000" w:themeColor="text1"/>
              </w:rPr>
              <w:t>doar</w:t>
            </w:r>
            <w:r w:rsidRPr="00C56257">
              <w:rPr>
                <w:color w:val="000000" w:themeColor="text1"/>
                <w:spacing w:val="20"/>
              </w:rPr>
              <w:t xml:space="preserve"> </w:t>
            </w:r>
            <w:r w:rsidRPr="00C56257">
              <w:rPr>
                <w:color w:val="000000" w:themeColor="text1"/>
              </w:rPr>
              <w:t>la</w:t>
            </w:r>
            <w:r w:rsidR="00E12F5B">
              <w:rPr>
                <w:color w:val="000000" w:themeColor="text1"/>
              </w:rPr>
              <w:t xml:space="preserve"> </w:t>
            </w:r>
            <w:r w:rsidRPr="00C56257">
              <w:rPr>
                <w:color w:val="000000" w:themeColor="text1"/>
              </w:rPr>
              <w:t>nivel</w:t>
            </w:r>
            <w:r w:rsidRPr="00C56257">
              <w:rPr>
                <w:color w:val="000000" w:themeColor="text1"/>
                <w:spacing w:val="-2"/>
              </w:rPr>
              <w:t xml:space="preserve"> </w:t>
            </w:r>
            <w:r w:rsidRPr="00C56257">
              <w:rPr>
                <w:color w:val="000000" w:themeColor="text1"/>
              </w:rPr>
              <w:t>regional</w:t>
            </w:r>
          </w:p>
        </w:tc>
      </w:tr>
    </w:tbl>
    <w:p w14:paraId="17AD7DF9" w14:textId="77777777" w:rsidR="007D2E1E" w:rsidRPr="00C56257" w:rsidRDefault="007D2E1E" w:rsidP="008E33FD">
      <w:pPr>
        <w:widowControl w:val="0"/>
        <w:autoSpaceDE w:val="0"/>
        <w:autoSpaceDN w:val="0"/>
        <w:jc w:val="both"/>
        <w:rPr>
          <w:color w:val="000000" w:themeColor="text1"/>
        </w:rPr>
      </w:pPr>
    </w:p>
    <w:p w14:paraId="75C679D2" w14:textId="77777777" w:rsidR="007D2E1E" w:rsidRPr="00C56257" w:rsidRDefault="007D2E1E" w:rsidP="008E33FD">
      <w:pPr>
        <w:widowControl w:val="0"/>
        <w:autoSpaceDE w:val="0"/>
        <w:autoSpaceDN w:val="0"/>
        <w:spacing w:before="195"/>
        <w:jc w:val="both"/>
        <w:outlineLvl w:val="1"/>
        <w:rPr>
          <w:rFonts w:eastAsia="Cambria"/>
          <w:b/>
          <w:bCs/>
          <w:color w:val="000000" w:themeColor="text1"/>
        </w:rPr>
      </w:pPr>
      <w:r w:rsidRPr="00C56257">
        <w:rPr>
          <w:rFonts w:eastAsia="Cambria"/>
          <w:b/>
          <w:bCs/>
          <w:color w:val="000000" w:themeColor="text1"/>
        </w:rPr>
        <w:t>Reprezentativitatea</w:t>
      </w:r>
      <w:r w:rsidRPr="00C56257">
        <w:rPr>
          <w:rFonts w:eastAsia="Cambria"/>
          <w:b/>
          <w:bCs/>
          <w:color w:val="000000" w:themeColor="text1"/>
          <w:spacing w:val="-2"/>
        </w:rPr>
        <w:t xml:space="preserve"> </w:t>
      </w:r>
      <w:r w:rsidRPr="00C56257">
        <w:rPr>
          <w:rFonts w:eastAsia="Cambria"/>
          <w:b/>
          <w:bCs/>
          <w:color w:val="000000" w:themeColor="text1"/>
        </w:rPr>
        <w:t>habitatelor</w:t>
      </w:r>
      <w:r w:rsidRPr="00C56257">
        <w:rPr>
          <w:rFonts w:eastAsia="Cambria"/>
          <w:b/>
          <w:bCs/>
          <w:color w:val="000000" w:themeColor="text1"/>
          <w:spacing w:val="-2"/>
        </w:rPr>
        <w:t xml:space="preserve"> </w:t>
      </w:r>
      <w:r w:rsidRPr="00C56257">
        <w:rPr>
          <w:rFonts w:eastAsia="Cambria"/>
          <w:b/>
          <w:bCs/>
          <w:color w:val="000000" w:themeColor="text1"/>
        </w:rPr>
        <w:t>de</w:t>
      </w:r>
      <w:r w:rsidRPr="00C56257">
        <w:rPr>
          <w:rFonts w:eastAsia="Cambria"/>
          <w:b/>
          <w:bCs/>
          <w:color w:val="000000" w:themeColor="text1"/>
          <w:spacing w:val="-1"/>
        </w:rPr>
        <w:t xml:space="preserve"> </w:t>
      </w:r>
      <w:r w:rsidR="001A39A9" w:rsidRPr="00C56257">
        <w:rPr>
          <w:rFonts w:eastAsia="Cambria"/>
          <w:b/>
          <w:bCs/>
          <w:color w:val="000000" w:themeColor="text1"/>
        </w:rPr>
        <w:t>apă</w:t>
      </w:r>
      <w:r w:rsidRPr="00C56257">
        <w:rPr>
          <w:rFonts w:eastAsia="Cambria"/>
          <w:b/>
          <w:bCs/>
          <w:color w:val="000000" w:themeColor="text1"/>
          <w:spacing w:val="-2"/>
        </w:rPr>
        <w:t xml:space="preserve"> </w:t>
      </w:r>
      <w:r w:rsidRPr="00C56257">
        <w:rPr>
          <w:rFonts w:eastAsia="Cambria"/>
          <w:b/>
          <w:bCs/>
          <w:color w:val="000000" w:themeColor="text1"/>
        </w:rPr>
        <w:t>dulce</w:t>
      </w:r>
      <w:r w:rsidRPr="00C56257">
        <w:rPr>
          <w:rFonts w:eastAsia="Cambria"/>
          <w:b/>
          <w:bCs/>
          <w:color w:val="000000" w:themeColor="text1"/>
          <w:spacing w:val="56"/>
        </w:rPr>
        <w:t xml:space="preserve"> </w:t>
      </w:r>
      <w:r w:rsidRPr="00C56257">
        <w:rPr>
          <w:rFonts w:eastAsia="Cambria"/>
          <w:b/>
          <w:bCs/>
          <w:color w:val="000000" w:themeColor="text1"/>
        </w:rPr>
        <w:t>pe</w:t>
      </w:r>
      <w:r w:rsidRPr="00C56257">
        <w:rPr>
          <w:rFonts w:eastAsia="Cambria"/>
          <w:b/>
          <w:bCs/>
          <w:color w:val="000000" w:themeColor="text1"/>
          <w:spacing w:val="-3"/>
        </w:rPr>
        <w:t xml:space="preserve"> </w:t>
      </w:r>
      <w:r w:rsidRPr="00C56257">
        <w:rPr>
          <w:rFonts w:eastAsia="Cambria"/>
          <w:b/>
          <w:bCs/>
          <w:color w:val="000000" w:themeColor="text1"/>
        </w:rPr>
        <w:t>teritoriul</w:t>
      </w:r>
      <w:r w:rsidRPr="00C56257">
        <w:rPr>
          <w:rFonts w:eastAsia="Cambria"/>
          <w:b/>
          <w:bCs/>
          <w:color w:val="000000" w:themeColor="text1"/>
          <w:spacing w:val="-2"/>
        </w:rPr>
        <w:t xml:space="preserve"> </w:t>
      </w:r>
      <w:r w:rsidRPr="00C56257">
        <w:rPr>
          <w:rFonts w:eastAsia="Cambria"/>
          <w:b/>
          <w:bCs/>
          <w:color w:val="000000" w:themeColor="text1"/>
        </w:rPr>
        <w:t>României</w:t>
      </w:r>
    </w:p>
    <w:p w14:paraId="5A3C53C1" w14:textId="77777777" w:rsidR="007D2E1E" w:rsidRPr="00C56257" w:rsidRDefault="007D2E1E" w:rsidP="008E33FD">
      <w:pPr>
        <w:widowControl w:val="0"/>
        <w:autoSpaceDE w:val="0"/>
        <w:autoSpaceDN w:val="0"/>
        <w:spacing w:before="4"/>
        <w:jc w:val="both"/>
        <w:rPr>
          <w:b/>
          <w:color w:val="000000" w:themeColor="text1"/>
        </w:rPr>
      </w:pPr>
    </w:p>
    <w:p w14:paraId="5765E8E8" w14:textId="77777777" w:rsidR="007D2E1E" w:rsidRPr="00C56257" w:rsidRDefault="007D2E1E" w:rsidP="0012128F">
      <w:pPr>
        <w:widowControl w:val="0"/>
        <w:tabs>
          <w:tab w:val="left" w:pos="8460"/>
        </w:tabs>
        <w:autoSpaceDE w:val="0"/>
        <w:autoSpaceDN w:val="0"/>
        <w:ind w:right="-9"/>
        <w:jc w:val="both"/>
        <w:rPr>
          <w:color w:val="000000" w:themeColor="text1"/>
        </w:rPr>
      </w:pPr>
      <w:r w:rsidRPr="00C56257">
        <w:rPr>
          <w:color w:val="000000" w:themeColor="text1"/>
        </w:rPr>
        <w:t>Habitatele</w:t>
      </w:r>
      <w:r w:rsidRPr="00C56257">
        <w:rPr>
          <w:color w:val="000000" w:themeColor="text1"/>
          <w:spacing w:val="49"/>
        </w:rPr>
        <w:t xml:space="preserve"> </w:t>
      </w:r>
      <w:r w:rsidRPr="00C56257">
        <w:rPr>
          <w:color w:val="000000" w:themeColor="text1"/>
        </w:rPr>
        <w:t>de</w:t>
      </w:r>
      <w:r w:rsidRPr="00C56257">
        <w:rPr>
          <w:color w:val="000000" w:themeColor="text1"/>
          <w:spacing w:val="53"/>
        </w:rPr>
        <w:t xml:space="preserve"> </w:t>
      </w:r>
      <w:r w:rsidRPr="00C56257">
        <w:rPr>
          <w:color w:val="000000" w:themeColor="text1"/>
        </w:rPr>
        <w:t>apă</w:t>
      </w:r>
      <w:r w:rsidRPr="00C56257">
        <w:rPr>
          <w:color w:val="000000" w:themeColor="text1"/>
          <w:spacing w:val="49"/>
        </w:rPr>
        <w:t xml:space="preserve"> </w:t>
      </w:r>
      <w:r w:rsidRPr="00C56257">
        <w:rPr>
          <w:color w:val="000000" w:themeColor="text1"/>
        </w:rPr>
        <w:t>dulce</w:t>
      </w:r>
      <w:r w:rsidRPr="00C56257">
        <w:rPr>
          <w:color w:val="000000" w:themeColor="text1"/>
          <w:spacing w:val="52"/>
        </w:rPr>
        <w:t xml:space="preserve"> </w:t>
      </w:r>
      <w:r w:rsidRPr="00C56257">
        <w:rPr>
          <w:color w:val="000000" w:themeColor="text1"/>
        </w:rPr>
        <w:t>reunesc</w:t>
      </w:r>
      <w:r w:rsidRPr="00C56257">
        <w:rPr>
          <w:color w:val="000000" w:themeColor="text1"/>
          <w:spacing w:val="49"/>
        </w:rPr>
        <w:t xml:space="preserve"> </w:t>
      </w:r>
      <w:r w:rsidRPr="00C56257">
        <w:rPr>
          <w:color w:val="000000" w:themeColor="text1"/>
        </w:rPr>
        <w:t>zone</w:t>
      </w:r>
      <w:r w:rsidRPr="00C56257">
        <w:rPr>
          <w:color w:val="000000" w:themeColor="text1"/>
          <w:spacing w:val="50"/>
        </w:rPr>
        <w:t xml:space="preserve"> </w:t>
      </w:r>
      <w:r w:rsidRPr="00C56257">
        <w:rPr>
          <w:color w:val="000000" w:themeColor="text1"/>
        </w:rPr>
        <w:t>continentale</w:t>
      </w:r>
      <w:r w:rsidRPr="00C56257">
        <w:rPr>
          <w:color w:val="000000" w:themeColor="text1"/>
          <w:spacing w:val="50"/>
        </w:rPr>
        <w:t xml:space="preserve"> </w:t>
      </w:r>
      <w:r w:rsidRPr="00C56257">
        <w:rPr>
          <w:color w:val="000000" w:themeColor="text1"/>
        </w:rPr>
        <w:t>de</w:t>
      </w:r>
      <w:r w:rsidRPr="00C56257">
        <w:rPr>
          <w:color w:val="000000" w:themeColor="text1"/>
          <w:spacing w:val="50"/>
        </w:rPr>
        <w:t xml:space="preserve"> </w:t>
      </w:r>
      <w:r w:rsidRPr="00C56257">
        <w:rPr>
          <w:color w:val="000000" w:themeColor="text1"/>
        </w:rPr>
        <w:t>apă</w:t>
      </w:r>
      <w:r w:rsidRPr="00C56257">
        <w:rPr>
          <w:color w:val="000000" w:themeColor="text1"/>
          <w:spacing w:val="50"/>
        </w:rPr>
        <w:t xml:space="preserve"> </w:t>
      </w:r>
      <w:r w:rsidRPr="00C56257">
        <w:rPr>
          <w:color w:val="000000" w:themeColor="text1"/>
        </w:rPr>
        <w:t>stătătoare</w:t>
      </w:r>
      <w:r w:rsidRPr="00C56257">
        <w:rPr>
          <w:color w:val="000000" w:themeColor="text1"/>
          <w:spacing w:val="49"/>
        </w:rPr>
        <w:t xml:space="preserve"> </w:t>
      </w:r>
      <w:r w:rsidRPr="00C56257">
        <w:rPr>
          <w:color w:val="000000" w:themeColor="text1"/>
        </w:rPr>
        <w:t>sau</w:t>
      </w:r>
      <w:r w:rsidRPr="00C56257">
        <w:rPr>
          <w:color w:val="000000" w:themeColor="text1"/>
          <w:spacing w:val="51"/>
        </w:rPr>
        <w:t xml:space="preserve"> </w:t>
      </w:r>
      <w:r w:rsidRPr="00C56257">
        <w:rPr>
          <w:color w:val="000000" w:themeColor="text1"/>
        </w:rPr>
        <w:t>curgătoare,</w:t>
      </w:r>
      <w:r w:rsidRPr="00C56257">
        <w:rPr>
          <w:color w:val="000000" w:themeColor="text1"/>
          <w:spacing w:val="50"/>
        </w:rPr>
        <w:t xml:space="preserve"> </w:t>
      </w:r>
      <w:r w:rsidRPr="00C56257">
        <w:rPr>
          <w:color w:val="000000" w:themeColor="text1"/>
        </w:rPr>
        <w:t>precum</w:t>
      </w:r>
      <w:r w:rsidRPr="00C56257">
        <w:rPr>
          <w:color w:val="000000" w:themeColor="text1"/>
          <w:spacing w:val="52"/>
        </w:rPr>
        <w:t xml:space="preserve"> </w:t>
      </w:r>
      <w:r w:rsidRPr="00C56257">
        <w:rPr>
          <w:color w:val="000000" w:themeColor="text1"/>
        </w:rPr>
        <w:t>şi</w:t>
      </w:r>
      <w:r w:rsidRPr="00C56257">
        <w:rPr>
          <w:color w:val="000000" w:themeColor="text1"/>
          <w:spacing w:val="-58"/>
        </w:rPr>
        <w:t xml:space="preserve"> </w:t>
      </w:r>
      <w:r w:rsidRPr="00C56257">
        <w:rPr>
          <w:color w:val="000000" w:themeColor="text1"/>
        </w:rPr>
        <w:t>zonele umede asociate acestora cum ar fi zone marginale cursurilor de apă sau zonele</w:t>
      </w:r>
      <w:r w:rsidRPr="00C56257">
        <w:rPr>
          <w:color w:val="000000" w:themeColor="text1"/>
          <w:spacing w:val="1"/>
        </w:rPr>
        <w:t xml:space="preserve"> </w:t>
      </w:r>
      <w:r w:rsidRPr="00C56257">
        <w:rPr>
          <w:color w:val="000000" w:themeColor="text1"/>
        </w:rPr>
        <w:t>inundabile,</w:t>
      </w:r>
      <w:r w:rsidRPr="00C56257">
        <w:rPr>
          <w:color w:val="000000" w:themeColor="text1"/>
          <w:spacing w:val="1"/>
        </w:rPr>
        <w:t xml:space="preserve"> </w:t>
      </w:r>
      <w:r w:rsidRPr="00C56257">
        <w:rPr>
          <w:color w:val="000000" w:themeColor="text1"/>
        </w:rPr>
        <w:t>mlaştiniri, turbării. Ca origine, aceste zone pot fi naturale, semi-naturale sau pot fi create ca rezultat</w:t>
      </w:r>
      <w:r w:rsidRPr="00C56257">
        <w:rPr>
          <w:color w:val="000000" w:themeColor="text1"/>
          <w:spacing w:val="1"/>
        </w:rPr>
        <w:t xml:space="preserve"> </w:t>
      </w:r>
      <w:r w:rsidRPr="00C56257">
        <w:rPr>
          <w:color w:val="000000" w:themeColor="text1"/>
        </w:rPr>
        <w:t>al</w:t>
      </w:r>
      <w:r w:rsidRPr="00C56257">
        <w:rPr>
          <w:color w:val="000000" w:themeColor="text1"/>
          <w:spacing w:val="-1"/>
        </w:rPr>
        <w:t xml:space="preserve"> </w:t>
      </w:r>
      <w:r w:rsidRPr="00C56257">
        <w:rPr>
          <w:color w:val="000000" w:themeColor="text1"/>
        </w:rPr>
        <w:t>activităților umane.</w:t>
      </w:r>
    </w:p>
    <w:p w14:paraId="7BA4E54B" w14:textId="77777777" w:rsidR="007D2E1E" w:rsidRPr="00C56257" w:rsidRDefault="007D2E1E" w:rsidP="0012128F">
      <w:pPr>
        <w:widowControl w:val="0"/>
        <w:tabs>
          <w:tab w:val="left" w:pos="8460"/>
        </w:tabs>
        <w:autoSpaceDE w:val="0"/>
        <w:autoSpaceDN w:val="0"/>
        <w:ind w:right="-9"/>
        <w:jc w:val="both"/>
        <w:rPr>
          <w:color w:val="000000" w:themeColor="text1"/>
        </w:rPr>
      </w:pPr>
      <w:r w:rsidRPr="00C56257">
        <w:rPr>
          <w:color w:val="000000" w:themeColor="text1"/>
        </w:rPr>
        <w:t>Această categorie de habitate este formată în principal din corpuri de apă naturale (stătătoare şi</w:t>
      </w:r>
      <w:r w:rsidRPr="00C56257">
        <w:rPr>
          <w:color w:val="000000" w:themeColor="text1"/>
          <w:spacing w:val="1"/>
        </w:rPr>
        <w:t xml:space="preserve"> </w:t>
      </w:r>
      <w:r w:rsidRPr="00C56257">
        <w:rPr>
          <w:color w:val="000000" w:themeColor="text1"/>
        </w:rPr>
        <w:t>curgătoare) care</w:t>
      </w:r>
      <w:r w:rsidRPr="00C56257">
        <w:rPr>
          <w:color w:val="000000" w:themeColor="text1"/>
          <w:spacing w:val="-1"/>
        </w:rPr>
        <w:t xml:space="preserve"> </w:t>
      </w:r>
      <w:r w:rsidRPr="00C56257">
        <w:rPr>
          <w:color w:val="000000" w:themeColor="text1"/>
        </w:rPr>
        <w:t>au un regim intrinsec</w:t>
      </w:r>
      <w:r w:rsidRPr="00C56257">
        <w:rPr>
          <w:color w:val="000000" w:themeColor="text1"/>
          <w:spacing w:val="-2"/>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fluctuație</w:t>
      </w:r>
      <w:r w:rsidRPr="00C56257">
        <w:rPr>
          <w:color w:val="000000" w:themeColor="text1"/>
          <w:spacing w:val="-1"/>
        </w:rPr>
        <w:t xml:space="preserve"> </w:t>
      </w:r>
      <w:r w:rsidRPr="00C56257">
        <w:rPr>
          <w:color w:val="000000" w:themeColor="text1"/>
        </w:rPr>
        <w:t>a</w:t>
      </w:r>
      <w:r w:rsidRPr="00C56257">
        <w:rPr>
          <w:color w:val="000000" w:themeColor="text1"/>
          <w:spacing w:val="59"/>
        </w:rPr>
        <w:t xml:space="preserve"> </w:t>
      </w:r>
      <w:r w:rsidRPr="00C56257">
        <w:rPr>
          <w:color w:val="000000" w:themeColor="text1"/>
        </w:rPr>
        <w:t>nivelului,</w:t>
      </w:r>
      <w:r w:rsidRPr="00C56257">
        <w:rPr>
          <w:color w:val="000000" w:themeColor="text1"/>
          <w:spacing w:val="-1"/>
        </w:rPr>
        <w:t xml:space="preserve"> </w:t>
      </w:r>
      <w:r w:rsidRPr="00C56257">
        <w:rPr>
          <w:color w:val="000000" w:themeColor="text1"/>
        </w:rPr>
        <w:t>ca</w:t>
      </w:r>
      <w:r w:rsidRPr="00C56257">
        <w:rPr>
          <w:color w:val="000000" w:themeColor="text1"/>
          <w:spacing w:val="-1"/>
        </w:rPr>
        <w:t xml:space="preserve"> </w:t>
      </w:r>
      <w:r w:rsidRPr="00C56257">
        <w:rPr>
          <w:color w:val="000000" w:themeColor="text1"/>
        </w:rPr>
        <w:t>parte</w:t>
      </w:r>
      <w:r w:rsidRPr="00C56257">
        <w:rPr>
          <w:color w:val="000000" w:themeColor="text1"/>
          <w:spacing w:val="-2"/>
        </w:rPr>
        <w:t xml:space="preserve"> </w:t>
      </w:r>
      <w:r w:rsidRPr="00C56257">
        <w:rPr>
          <w:color w:val="000000" w:themeColor="text1"/>
        </w:rPr>
        <w:t>a</w:t>
      </w:r>
      <w:r w:rsidRPr="00C56257">
        <w:rPr>
          <w:color w:val="000000" w:themeColor="text1"/>
          <w:spacing w:val="1"/>
        </w:rPr>
        <w:t xml:space="preserve"> </w:t>
      </w:r>
      <w:r w:rsidRPr="00C56257">
        <w:rPr>
          <w:color w:val="000000" w:themeColor="text1"/>
        </w:rPr>
        <w:t>ciclului natural.</w:t>
      </w:r>
    </w:p>
    <w:p w14:paraId="7FFD665A" w14:textId="77777777" w:rsidR="007D2E1E" w:rsidRPr="00C56257" w:rsidRDefault="007D2E1E" w:rsidP="0012128F">
      <w:pPr>
        <w:widowControl w:val="0"/>
        <w:tabs>
          <w:tab w:val="left" w:pos="8460"/>
        </w:tabs>
        <w:autoSpaceDE w:val="0"/>
        <w:autoSpaceDN w:val="0"/>
        <w:spacing w:before="2"/>
        <w:ind w:right="-9"/>
        <w:jc w:val="both"/>
        <w:rPr>
          <w:color w:val="000000" w:themeColor="text1"/>
        </w:rPr>
      </w:pPr>
      <w:r w:rsidRPr="00C56257">
        <w:rPr>
          <w:color w:val="000000" w:themeColor="text1"/>
        </w:rPr>
        <w:t>Habitatele de apă dulce sunt</w:t>
      </w:r>
      <w:r w:rsidRPr="00C56257">
        <w:rPr>
          <w:color w:val="000000" w:themeColor="text1"/>
          <w:spacing w:val="55"/>
        </w:rPr>
        <w:t xml:space="preserve"> </w:t>
      </w:r>
      <w:r w:rsidRPr="00C56257">
        <w:rPr>
          <w:color w:val="000000" w:themeColor="text1"/>
        </w:rPr>
        <w:t>prezente în cele 5 bioregiuni ale României:</w:t>
      </w:r>
      <w:r w:rsidRPr="00C56257">
        <w:rPr>
          <w:color w:val="000000" w:themeColor="text1"/>
          <w:spacing w:val="55"/>
        </w:rPr>
        <w:t xml:space="preserve"> </w:t>
      </w:r>
      <w:r w:rsidRPr="00C56257">
        <w:rPr>
          <w:color w:val="000000" w:themeColor="text1"/>
        </w:rPr>
        <w:t>ALP, PON, CON, STE și PAN,</w:t>
      </w:r>
      <w:r w:rsidRPr="00C56257">
        <w:rPr>
          <w:color w:val="000000" w:themeColor="text1"/>
          <w:spacing w:val="1"/>
        </w:rPr>
        <w:t xml:space="preserve"> </w:t>
      </w:r>
      <w:r w:rsidRPr="00C56257">
        <w:rPr>
          <w:color w:val="000000" w:themeColor="text1"/>
        </w:rPr>
        <w:t>fiind răspândite în Transilvania, Banat, Crișana, Maramureș, Moldova, Bucovina,</w:t>
      </w:r>
      <w:r w:rsidRPr="00C56257">
        <w:rPr>
          <w:color w:val="000000" w:themeColor="text1"/>
          <w:spacing w:val="1"/>
        </w:rPr>
        <w:t xml:space="preserve"> </w:t>
      </w:r>
      <w:r w:rsidRPr="00C56257">
        <w:rPr>
          <w:color w:val="000000" w:themeColor="text1"/>
        </w:rPr>
        <w:t>Muntenia, Oltenia și</w:t>
      </w:r>
      <w:r w:rsidRPr="00C56257">
        <w:rPr>
          <w:color w:val="000000" w:themeColor="text1"/>
          <w:spacing w:val="1"/>
        </w:rPr>
        <w:t xml:space="preserve"> </w:t>
      </w:r>
      <w:r w:rsidRPr="00C56257">
        <w:rPr>
          <w:color w:val="000000" w:themeColor="text1"/>
        </w:rPr>
        <w:t>Dobrogea</w:t>
      </w:r>
      <w:r w:rsidRPr="00C56257">
        <w:rPr>
          <w:color w:val="000000" w:themeColor="text1"/>
          <w:spacing w:val="-1"/>
        </w:rPr>
        <w:t xml:space="preserve"> </w:t>
      </w:r>
      <w:r w:rsidRPr="00C56257">
        <w:rPr>
          <w:color w:val="000000" w:themeColor="text1"/>
        </w:rPr>
        <w:t>(inclusiv</w:t>
      </w:r>
      <w:r w:rsidRPr="00C56257">
        <w:rPr>
          <w:color w:val="000000" w:themeColor="text1"/>
          <w:spacing w:val="-2"/>
        </w:rPr>
        <w:t xml:space="preserve"> </w:t>
      </w:r>
      <w:r w:rsidRPr="00C56257">
        <w:rPr>
          <w:color w:val="000000" w:themeColor="text1"/>
        </w:rPr>
        <w:t>Delta Dunării).</w:t>
      </w:r>
    </w:p>
    <w:p w14:paraId="374C917E" w14:textId="77777777" w:rsidR="007D2E1E" w:rsidRPr="00C56257" w:rsidRDefault="007D2E1E" w:rsidP="008E33FD">
      <w:pPr>
        <w:widowControl w:val="0"/>
        <w:autoSpaceDE w:val="0"/>
        <w:autoSpaceDN w:val="0"/>
        <w:spacing w:line="252" w:lineRule="exact"/>
        <w:jc w:val="both"/>
        <w:rPr>
          <w:color w:val="000000" w:themeColor="text1"/>
        </w:rPr>
      </w:pPr>
      <w:r w:rsidRPr="00C56257">
        <w:rPr>
          <w:color w:val="000000" w:themeColor="text1"/>
        </w:rPr>
        <w:t xml:space="preserve">Habitatele  </w:t>
      </w:r>
      <w:r w:rsidRPr="00C56257">
        <w:rPr>
          <w:color w:val="000000" w:themeColor="text1"/>
          <w:spacing w:val="4"/>
        </w:rPr>
        <w:t xml:space="preserve"> </w:t>
      </w:r>
      <w:r w:rsidRPr="00C56257">
        <w:rPr>
          <w:color w:val="000000" w:themeColor="text1"/>
        </w:rPr>
        <w:t xml:space="preserve">de   </w:t>
      </w:r>
      <w:r w:rsidRPr="00C56257">
        <w:rPr>
          <w:color w:val="000000" w:themeColor="text1"/>
          <w:spacing w:val="6"/>
        </w:rPr>
        <w:t xml:space="preserve"> </w:t>
      </w:r>
      <w:r w:rsidRPr="00C56257">
        <w:rPr>
          <w:color w:val="000000" w:themeColor="text1"/>
        </w:rPr>
        <w:t xml:space="preserve">apă   </w:t>
      </w:r>
      <w:r w:rsidRPr="00C56257">
        <w:rPr>
          <w:color w:val="000000" w:themeColor="text1"/>
          <w:spacing w:val="7"/>
        </w:rPr>
        <w:t xml:space="preserve"> </w:t>
      </w:r>
      <w:r w:rsidRPr="00C56257">
        <w:rPr>
          <w:color w:val="000000" w:themeColor="text1"/>
        </w:rPr>
        <w:t xml:space="preserve">dulce   </w:t>
      </w:r>
      <w:r w:rsidRPr="00C56257">
        <w:rPr>
          <w:color w:val="000000" w:themeColor="text1"/>
          <w:spacing w:val="7"/>
        </w:rPr>
        <w:t xml:space="preserve"> </w:t>
      </w:r>
      <w:r w:rsidRPr="00C56257">
        <w:rPr>
          <w:color w:val="000000" w:themeColor="text1"/>
        </w:rPr>
        <w:t xml:space="preserve">se   </w:t>
      </w:r>
      <w:r w:rsidRPr="00C56257">
        <w:rPr>
          <w:color w:val="000000" w:themeColor="text1"/>
          <w:spacing w:val="5"/>
        </w:rPr>
        <w:t xml:space="preserve"> </w:t>
      </w:r>
      <w:r w:rsidRPr="00C56257">
        <w:rPr>
          <w:color w:val="000000" w:themeColor="text1"/>
        </w:rPr>
        <w:t xml:space="preserve">regăsesc   </w:t>
      </w:r>
      <w:r w:rsidRPr="00C56257">
        <w:rPr>
          <w:color w:val="000000" w:themeColor="text1"/>
          <w:spacing w:val="6"/>
        </w:rPr>
        <w:t xml:space="preserve"> </w:t>
      </w:r>
      <w:r w:rsidRPr="00C56257">
        <w:rPr>
          <w:color w:val="000000" w:themeColor="text1"/>
        </w:rPr>
        <w:t xml:space="preserve">de   </w:t>
      </w:r>
      <w:r w:rsidRPr="00C56257">
        <w:rPr>
          <w:color w:val="000000" w:themeColor="text1"/>
          <w:spacing w:val="7"/>
        </w:rPr>
        <w:t xml:space="preserve"> </w:t>
      </w:r>
      <w:r w:rsidRPr="00C56257">
        <w:rPr>
          <w:color w:val="000000" w:themeColor="text1"/>
        </w:rPr>
        <w:t xml:space="preserve">la   </w:t>
      </w:r>
      <w:r w:rsidRPr="00C56257">
        <w:rPr>
          <w:color w:val="000000" w:themeColor="text1"/>
          <w:spacing w:val="4"/>
        </w:rPr>
        <w:t xml:space="preserve"> </w:t>
      </w:r>
      <w:r w:rsidRPr="00C56257">
        <w:rPr>
          <w:color w:val="000000" w:themeColor="text1"/>
        </w:rPr>
        <w:t xml:space="preserve">nivelul   </w:t>
      </w:r>
      <w:r w:rsidRPr="00C56257">
        <w:rPr>
          <w:color w:val="000000" w:themeColor="text1"/>
          <w:spacing w:val="5"/>
        </w:rPr>
        <w:t xml:space="preserve"> </w:t>
      </w:r>
      <w:r w:rsidRPr="00C56257">
        <w:rPr>
          <w:color w:val="000000" w:themeColor="text1"/>
        </w:rPr>
        <w:t xml:space="preserve">Mării   </w:t>
      </w:r>
      <w:r w:rsidRPr="00C56257">
        <w:rPr>
          <w:color w:val="000000" w:themeColor="text1"/>
          <w:spacing w:val="6"/>
        </w:rPr>
        <w:t xml:space="preserve"> </w:t>
      </w:r>
      <w:r w:rsidRPr="00C56257">
        <w:rPr>
          <w:color w:val="000000" w:themeColor="text1"/>
        </w:rPr>
        <w:t xml:space="preserve">Negre,   </w:t>
      </w:r>
      <w:r w:rsidRPr="00C56257">
        <w:rPr>
          <w:color w:val="000000" w:themeColor="text1"/>
          <w:spacing w:val="4"/>
        </w:rPr>
        <w:t xml:space="preserve"> </w:t>
      </w:r>
      <w:r w:rsidRPr="00C56257">
        <w:rPr>
          <w:color w:val="000000" w:themeColor="text1"/>
        </w:rPr>
        <w:t xml:space="preserve">până   </w:t>
      </w:r>
      <w:r w:rsidRPr="00C56257">
        <w:rPr>
          <w:color w:val="000000" w:themeColor="text1"/>
          <w:spacing w:val="4"/>
        </w:rPr>
        <w:t xml:space="preserve"> </w:t>
      </w:r>
      <w:r w:rsidRPr="00C56257">
        <w:rPr>
          <w:color w:val="000000" w:themeColor="text1"/>
        </w:rPr>
        <w:t xml:space="preserve">în   </w:t>
      </w:r>
      <w:r w:rsidRPr="00C56257">
        <w:rPr>
          <w:color w:val="000000" w:themeColor="text1"/>
          <w:spacing w:val="6"/>
        </w:rPr>
        <w:t xml:space="preserve"> </w:t>
      </w:r>
      <w:r w:rsidRPr="00C56257">
        <w:rPr>
          <w:color w:val="000000" w:themeColor="text1"/>
        </w:rPr>
        <w:t xml:space="preserve">etajul   </w:t>
      </w:r>
      <w:r w:rsidRPr="00C56257">
        <w:rPr>
          <w:color w:val="000000" w:themeColor="text1"/>
          <w:spacing w:val="5"/>
        </w:rPr>
        <w:t xml:space="preserve"> </w:t>
      </w:r>
      <w:r w:rsidRPr="00C56257">
        <w:rPr>
          <w:color w:val="000000" w:themeColor="text1"/>
        </w:rPr>
        <w:t>alpin.</w:t>
      </w:r>
    </w:p>
    <w:p w14:paraId="0F765FED" w14:textId="77777777" w:rsidR="00861C79" w:rsidRPr="00C56257" w:rsidRDefault="00861C79" w:rsidP="008E33FD">
      <w:pPr>
        <w:widowControl w:val="0"/>
        <w:autoSpaceDE w:val="0"/>
        <w:autoSpaceDN w:val="0"/>
        <w:spacing w:line="252" w:lineRule="exact"/>
        <w:jc w:val="both"/>
        <w:rPr>
          <w:color w:val="000000" w:themeColor="text1"/>
        </w:rPr>
      </w:pPr>
    </w:p>
    <w:p w14:paraId="4B4AAFB5" w14:textId="77777777" w:rsidR="00861C79" w:rsidRPr="00C56257" w:rsidRDefault="00861C79" w:rsidP="008E33FD">
      <w:pPr>
        <w:widowControl w:val="0"/>
        <w:autoSpaceDE w:val="0"/>
        <w:autoSpaceDN w:val="0"/>
        <w:spacing w:line="252" w:lineRule="exact"/>
        <w:jc w:val="both"/>
        <w:rPr>
          <w:color w:val="000000" w:themeColor="text1"/>
        </w:rPr>
      </w:pPr>
    </w:p>
    <w:p w14:paraId="0B439DD4" w14:textId="77777777" w:rsidR="007D2E1E" w:rsidRPr="00C56257" w:rsidRDefault="007D2E1E" w:rsidP="008E33FD">
      <w:pPr>
        <w:widowControl w:val="0"/>
        <w:tabs>
          <w:tab w:val="left" w:pos="1271"/>
        </w:tabs>
        <w:autoSpaceDE w:val="0"/>
        <w:autoSpaceDN w:val="0"/>
        <w:spacing w:before="89"/>
        <w:jc w:val="both"/>
        <w:outlineLvl w:val="1"/>
        <w:rPr>
          <w:rFonts w:eastAsia="Cambria"/>
          <w:b/>
          <w:bCs/>
          <w:color w:val="000000" w:themeColor="text1"/>
        </w:rPr>
      </w:pPr>
      <w:r w:rsidRPr="00C56257">
        <w:rPr>
          <w:rFonts w:eastAsia="Cambria"/>
          <w:b/>
          <w:bCs/>
          <w:color w:val="000000" w:themeColor="text1"/>
        </w:rPr>
        <w:t>Măsuri</w:t>
      </w:r>
      <w:r w:rsidRPr="00C56257">
        <w:rPr>
          <w:rFonts w:eastAsia="Cambria"/>
          <w:b/>
          <w:bCs/>
          <w:color w:val="000000" w:themeColor="text1"/>
          <w:spacing w:val="-4"/>
        </w:rPr>
        <w:t xml:space="preserve"> </w:t>
      </w:r>
      <w:r w:rsidRPr="00C56257">
        <w:rPr>
          <w:rFonts w:eastAsia="Cambria"/>
          <w:b/>
          <w:bCs/>
          <w:color w:val="000000" w:themeColor="text1"/>
        </w:rPr>
        <w:t>de</w:t>
      </w:r>
      <w:r w:rsidRPr="00C56257">
        <w:rPr>
          <w:rFonts w:eastAsia="Cambria"/>
          <w:b/>
          <w:bCs/>
          <w:color w:val="000000" w:themeColor="text1"/>
          <w:spacing w:val="-2"/>
        </w:rPr>
        <w:t xml:space="preserve"> </w:t>
      </w:r>
      <w:r w:rsidRPr="00C56257">
        <w:rPr>
          <w:rFonts w:eastAsia="Cambria"/>
          <w:b/>
          <w:bCs/>
          <w:color w:val="000000" w:themeColor="text1"/>
        </w:rPr>
        <w:t>conservare</w:t>
      </w:r>
    </w:p>
    <w:p w14:paraId="3C0A9725" w14:textId="77777777" w:rsidR="007D2E1E" w:rsidRPr="00C56257" w:rsidRDefault="007D2E1E" w:rsidP="00C3382C">
      <w:pPr>
        <w:widowControl w:val="0"/>
        <w:autoSpaceDE w:val="0"/>
        <w:autoSpaceDN w:val="0"/>
        <w:spacing w:before="160" w:line="276" w:lineRule="auto"/>
        <w:ind w:right="27"/>
        <w:jc w:val="both"/>
        <w:rPr>
          <w:color w:val="000000" w:themeColor="text1"/>
        </w:rPr>
      </w:pPr>
      <w:r w:rsidRPr="0004515E">
        <w:rPr>
          <w:color w:val="000000" w:themeColor="text1"/>
        </w:rPr>
        <w:t>Lista măsurilor</w:t>
      </w:r>
      <w:r w:rsidRPr="0004515E">
        <w:rPr>
          <w:color w:val="000000" w:themeColor="text1"/>
          <w:spacing w:val="-57"/>
        </w:rPr>
        <w:t xml:space="preserve"> </w:t>
      </w:r>
      <w:r w:rsidRPr="0004515E">
        <w:rPr>
          <w:color w:val="000000" w:themeColor="text1"/>
        </w:rPr>
        <w:t>de</w:t>
      </w:r>
      <w:r w:rsidRPr="0004515E">
        <w:rPr>
          <w:color w:val="000000" w:themeColor="text1"/>
          <w:spacing w:val="-2"/>
        </w:rPr>
        <w:t xml:space="preserve"> </w:t>
      </w:r>
      <w:r w:rsidRPr="0004515E">
        <w:rPr>
          <w:color w:val="000000" w:themeColor="text1"/>
        </w:rPr>
        <w:t>conservare</w:t>
      </w:r>
      <w:r w:rsidRPr="0004515E">
        <w:rPr>
          <w:color w:val="000000" w:themeColor="text1"/>
          <w:spacing w:val="-2"/>
        </w:rPr>
        <w:t xml:space="preserve"> </w:t>
      </w:r>
      <w:r w:rsidRPr="0004515E">
        <w:rPr>
          <w:color w:val="000000" w:themeColor="text1"/>
        </w:rPr>
        <w:t>se</w:t>
      </w:r>
      <w:r w:rsidRPr="0004515E">
        <w:rPr>
          <w:color w:val="000000" w:themeColor="text1"/>
          <w:spacing w:val="-2"/>
        </w:rPr>
        <w:t xml:space="preserve"> </w:t>
      </w:r>
      <w:r w:rsidRPr="0004515E">
        <w:rPr>
          <w:color w:val="000000" w:themeColor="text1"/>
        </w:rPr>
        <w:t>regăsește</w:t>
      </w:r>
      <w:r w:rsidRPr="0004515E">
        <w:rPr>
          <w:color w:val="000000" w:themeColor="text1"/>
          <w:spacing w:val="-1"/>
        </w:rPr>
        <w:t xml:space="preserve"> </w:t>
      </w:r>
      <w:r w:rsidRPr="0004515E">
        <w:rPr>
          <w:color w:val="000000" w:themeColor="text1"/>
        </w:rPr>
        <w:t>pe</w:t>
      </w:r>
      <w:r w:rsidRPr="0004515E">
        <w:rPr>
          <w:color w:val="000000" w:themeColor="text1"/>
          <w:spacing w:val="-1"/>
        </w:rPr>
        <w:t xml:space="preserve"> </w:t>
      </w:r>
      <w:r w:rsidRPr="0004515E">
        <w:rPr>
          <w:color w:val="000000" w:themeColor="text1"/>
        </w:rPr>
        <w:t>portalul</w:t>
      </w:r>
      <w:r w:rsidRPr="0004515E">
        <w:rPr>
          <w:color w:val="000000" w:themeColor="text1"/>
          <w:spacing w:val="-1"/>
        </w:rPr>
        <w:t xml:space="preserve"> </w:t>
      </w:r>
      <w:r w:rsidRPr="0004515E">
        <w:rPr>
          <w:color w:val="000000" w:themeColor="text1"/>
        </w:rPr>
        <w:t>de</w:t>
      </w:r>
      <w:r w:rsidRPr="0004515E">
        <w:rPr>
          <w:color w:val="000000" w:themeColor="text1"/>
          <w:spacing w:val="1"/>
        </w:rPr>
        <w:t xml:space="preserve"> </w:t>
      </w:r>
      <w:r w:rsidRPr="0004515E">
        <w:rPr>
          <w:color w:val="000000" w:themeColor="text1"/>
        </w:rPr>
        <w:t>raportare al</w:t>
      </w:r>
      <w:r w:rsidRPr="0004515E">
        <w:rPr>
          <w:color w:val="000000" w:themeColor="text1"/>
          <w:spacing w:val="-1"/>
        </w:rPr>
        <w:t xml:space="preserve"> </w:t>
      </w:r>
      <w:r w:rsidRPr="0004515E">
        <w:rPr>
          <w:color w:val="000000" w:themeColor="text1"/>
        </w:rPr>
        <w:t>CE și</w:t>
      </w:r>
      <w:r w:rsidRPr="0004515E">
        <w:rPr>
          <w:color w:val="000000" w:themeColor="text1"/>
          <w:spacing w:val="-1"/>
        </w:rPr>
        <w:t xml:space="preserve"> </w:t>
      </w:r>
      <w:r w:rsidR="00166DF1" w:rsidRPr="0004515E">
        <w:rPr>
          <w:color w:val="000000" w:themeColor="text1"/>
        </w:rPr>
        <w:t xml:space="preserve">la punctul </w:t>
      </w:r>
      <w:r w:rsidR="0004515E" w:rsidRPr="0004515E">
        <w:rPr>
          <w:color w:val="000000" w:themeColor="text1"/>
        </w:rPr>
        <w:t>4.5</w:t>
      </w:r>
      <w:r w:rsidR="00166DF1" w:rsidRPr="0004515E">
        <w:rPr>
          <w:color w:val="000000" w:themeColor="text1"/>
        </w:rPr>
        <w:t xml:space="preserve"> din</w:t>
      </w:r>
      <w:r w:rsidRPr="0004515E">
        <w:rPr>
          <w:color w:val="000000" w:themeColor="text1"/>
          <w:spacing w:val="-2"/>
        </w:rPr>
        <w:t xml:space="preserve"> </w:t>
      </w:r>
      <w:r w:rsidR="00166DF1" w:rsidRPr="0004515E">
        <w:rPr>
          <w:color w:val="000000" w:themeColor="text1"/>
        </w:rPr>
        <w:t>prezentul</w:t>
      </w:r>
      <w:r w:rsidRPr="0004515E">
        <w:rPr>
          <w:color w:val="000000" w:themeColor="text1"/>
        </w:rPr>
        <w:t xml:space="preserve"> document.</w:t>
      </w:r>
    </w:p>
    <w:p w14:paraId="7D554B11" w14:textId="77777777" w:rsidR="007D2E1E" w:rsidRPr="00C56257" w:rsidRDefault="007D2E1E" w:rsidP="008E33FD">
      <w:pPr>
        <w:widowControl w:val="0"/>
        <w:autoSpaceDE w:val="0"/>
        <w:autoSpaceDN w:val="0"/>
        <w:spacing w:before="11"/>
        <w:jc w:val="both"/>
        <w:rPr>
          <w:color w:val="000000" w:themeColor="text1"/>
        </w:rPr>
      </w:pPr>
    </w:p>
    <w:p w14:paraId="4C2DC934" w14:textId="77777777" w:rsidR="007D2E1E" w:rsidRPr="00C56257" w:rsidRDefault="007D2E1E" w:rsidP="008E33FD">
      <w:pPr>
        <w:widowControl w:val="0"/>
        <w:tabs>
          <w:tab w:val="left" w:pos="1271"/>
        </w:tabs>
        <w:autoSpaceDE w:val="0"/>
        <w:autoSpaceDN w:val="0"/>
        <w:jc w:val="both"/>
        <w:outlineLvl w:val="1"/>
        <w:rPr>
          <w:rFonts w:eastAsia="Cambria"/>
          <w:b/>
          <w:bCs/>
          <w:color w:val="000000" w:themeColor="text1"/>
        </w:rPr>
      </w:pPr>
      <w:r w:rsidRPr="00C56257">
        <w:rPr>
          <w:rFonts w:eastAsia="Cambria"/>
          <w:b/>
          <w:bCs/>
          <w:color w:val="000000" w:themeColor="text1"/>
        </w:rPr>
        <w:t>Perspective</w:t>
      </w:r>
    </w:p>
    <w:p w14:paraId="138CBDD0" w14:textId="77777777" w:rsidR="007D2E1E" w:rsidRPr="00C56257" w:rsidRDefault="007D2E1E" w:rsidP="00896C2C">
      <w:pPr>
        <w:widowControl w:val="0"/>
        <w:tabs>
          <w:tab w:val="left" w:pos="8460"/>
        </w:tabs>
        <w:autoSpaceDE w:val="0"/>
        <w:autoSpaceDN w:val="0"/>
        <w:spacing w:before="157"/>
        <w:ind w:right="27"/>
        <w:jc w:val="both"/>
        <w:rPr>
          <w:color w:val="000000" w:themeColor="text1"/>
        </w:rPr>
      </w:pPr>
      <w:r w:rsidRPr="00C56257">
        <w:rPr>
          <w:color w:val="000000" w:themeColor="text1"/>
        </w:rPr>
        <w:t>Corelat cu formatul de raportare, rezultatul evaluării stării perspectivelor se face folosind cele patru</w:t>
      </w:r>
      <w:r w:rsidRPr="00C56257">
        <w:rPr>
          <w:color w:val="000000" w:themeColor="text1"/>
          <w:spacing w:val="1"/>
        </w:rPr>
        <w:t xml:space="preserve"> </w:t>
      </w:r>
      <w:r w:rsidRPr="00C56257">
        <w:rPr>
          <w:color w:val="000000" w:themeColor="text1"/>
        </w:rPr>
        <w:t>categorii</w:t>
      </w:r>
      <w:r w:rsidRPr="00C56257">
        <w:rPr>
          <w:color w:val="000000" w:themeColor="text1"/>
          <w:spacing w:val="11"/>
        </w:rPr>
        <w:t xml:space="preserve"> </w:t>
      </w:r>
      <w:r w:rsidRPr="00C56257">
        <w:rPr>
          <w:color w:val="000000" w:themeColor="text1"/>
        </w:rPr>
        <w:t>disponibile:</w:t>
      </w:r>
      <w:r w:rsidRPr="00C56257">
        <w:rPr>
          <w:color w:val="000000" w:themeColor="text1"/>
          <w:spacing w:val="11"/>
        </w:rPr>
        <w:t xml:space="preserve"> </w:t>
      </w:r>
      <w:r w:rsidRPr="00C56257">
        <w:rPr>
          <w:color w:val="000000" w:themeColor="text1"/>
        </w:rPr>
        <w:t>„</w:t>
      </w:r>
      <w:r w:rsidRPr="00C56257">
        <w:rPr>
          <w:b/>
          <w:color w:val="000000" w:themeColor="text1"/>
        </w:rPr>
        <w:t>favorabil</w:t>
      </w:r>
      <w:r w:rsidRPr="00C56257">
        <w:rPr>
          <w:color w:val="000000" w:themeColor="text1"/>
        </w:rPr>
        <w:t>”</w:t>
      </w:r>
      <w:r w:rsidRPr="00C56257">
        <w:rPr>
          <w:color w:val="000000" w:themeColor="text1"/>
          <w:spacing w:val="10"/>
        </w:rPr>
        <w:t xml:space="preserve"> </w:t>
      </w:r>
      <w:r w:rsidRPr="00C56257">
        <w:rPr>
          <w:color w:val="000000" w:themeColor="text1"/>
        </w:rPr>
        <w:t>(FV),</w:t>
      </w:r>
      <w:r w:rsidRPr="00C56257">
        <w:rPr>
          <w:color w:val="000000" w:themeColor="text1"/>
          <w:spacing w:val="11"/>
        </w:rPr>
        <w:t xml:space="preserve"> </w:t>
      </w:r>
      <w:r w:rsidRPr="00C56257">
        <w:rPr>
          <w:color w:val="000000" w:themeColor="text1"/>
        </w:rPr>
        <w:t>„</w:t>
      </w:r>
      <w:r w:rsidRPr="00C56257">
        <w:rPr>
          <w:b/>
          <w:color w:val="000000" w:themeColor="text1"/>
        </w:rPr>
        <w:t>nefavorabil-inadecvat</w:t>
      </w:r>
      <w:r w:rsidRPr="00C56257">
        <w:rPr>
          <w:color w:val="000000" w:themeColor="text1"/>
        </w:rPr>
        <w:t>”</w:t>
      </w:r>
      <w:r w:rsidRPr="00C56257">
        <w:rPr>
          <w:color w:val="000000" w:themeColor="text1"/>
          <w:spacing w:val="11"/>
        </w:rPr>
        <w:t xml:space="preserve"> </w:t>
      </w:r>
      <w:r w:rsidRPr="00C56257">
        <w:rPr>
          <w:color w:val="000000" w:themeColor="text1"/>
        </w:rPr>
        <w:t>(U1),</w:t>
      </w:r>
      <w:r w:rsidRPr="00C56257">
        <w:rPr>
          <w:color w:val="000000" w:themeColor="text1"/>
          <w:spacing w:val="11"/>
        </w:rPr>
        <w:t xml:space="preserve"> </w:t>
      </w:r>
      <w:r w:rsidRPr="00C56257">
        <w:rPr>
          <w:color w:val="000000" w:themeColor="text1"/>
        </w:rPr>
        <w:t>„</w:t>
      </w:r>
      <w:r w:rsidRPr="00C56257">
        <w:rPr>
          <w:b/>
          <w:color w:val="000000" w:themeColor="text1"/>
        </w:rPr>
        <w:t>nefavorabil-rău</w:t>
      </w:r>
      <w:r w:rsidRPr="00C56257">
        <w:rPr>
          <w:color w:val="000000" w:themeColor="text1"/>
        </w:rPr>
        <w:t>”</w:t>
      </w:r>
      <w:r w:rsidRPr="00C56257">
        <w:rPr>
          <w:color w:val="000000" w:themeColor="text1"/>
          <w:spacing w:val="10"/>
        </w:rPr>
        <w:t xml:space="preserve"> </w:t>
      </w:r>
      <w:r w:rsidRPr="00C56257">
        <w:rPr>
          <w:color w:val="000000" w:themeColor="text1"/>
        </w:rPr>
        <w:t>(U2)</w:t>
      </w:r>
      <w:r w:rsidRPr="00C56257">
        <w:rPr>
          <w:color w:val="000000" w:themeColor="text1"/>
          <w:spacing w:val="10"/>
        </w:rPr>
        <w:t xml:space="preserve"> </w:t>
      </w:r>
      <w:r w:rsidRPr="00C56257">
        <w:rPr>
          <w:color w:val="000000" w:themeColor="text1"/>
        </w:rPr>
        <w:t>și</w:t>
      </w:r>
      <w:r w:rsidR="0012128F">
        <w:rPr>
          <w:color w:val="000000" w:themeColor="text1"/>
        </w:rPr>
        <w:t xml:space="preserve"> </w:t>
      </w:r>
      <w:r w:rsidRPr="00C56257">
        <w:rPr>
          <w:color w:val="000000" w:themeColor="text1"/>
        </w:rPr>
        <w:t>„</w:t>
      </w:r>
      <w:r w:rsidRPr="00C56257">
        <w:rPr>
          <w:b/>
          <w:color w:val="000000" w:themeColor="text1"/>
        </w:rPr>
        <w:t>necunoscut</w:t>
      </w:r>
      <w:r w:rsidRPr="00C56257">
        <w:rPr>
          <w:color w:val="000000" w:themeColor="text1"/>
        </w:rPr>
        <w:t>”</w:t>
      </w:r>
      <w:r w:rsidRPr="00C56257">
        <w:rPr>
          <w:color w:val="000000" w:themeColor="text1"/>
          <w:spacing w:val="-3"/>
        </w:rPr>
        <w:t xml:space="preserve"> </w:t>
      </w:r>
      <w:r w:rsidRPr="00C56257">
        <w:rPr>
          <w:color w:val="000000" w:themeColor="text1"/>
        </w:rPr>
        <w:t>(XX)</w:t>
      </w:r>
      <w:r w:rsidRPr="00C56257">
        <w:rPr>
          <w:color w:val="000000" w:themeColor="text1"/>
          <w:spacing w:val="-1"/>
        </w:rPr>
        <w:t xml:space="preserve"> </w:t>
      </w:r>
      <w:r w:rsidRPr="00C56257">
        <w:rPr>
          <w:color w:val="000000" w:themeColor="text1"/>
        </w:rPr>
        <w:t>este</w:t>
      </w:r>
      <w:r w:rsidRPr="00C56257">
        <w:rPr>
          <w:color w:val="000000" w:themeColor="text1"/>
          <w:spacing w:val="-1"/>
        </w:rPr>
        <w:t xml:space="preserve"> </w:t>
      </w:r>
      <w:r w:rsidRPr="00C56257">
        <w:rPr>
          <w:color w:val="000000" w:themeColor="text1"/>
        </w:rPr>
        <w:t>redat</w:t>
      </w:r>
      <w:r w:rsidRPr="00C56257">
        <w:rPr>
          <w:color w:val="000000" w:themeColor="text1"/>
          <w:spacing w:val="-1"/>
        </w:rPr>
        <w:t xml:space="preserve"> </w:t>
      </w:r>
      <w:r w:rsidRPr="00C56257">
        <w:rPr>
          <w:color w:val="000000" w:themeColor="text1"/>
        </w:rPr>
        <w:t>în</w:t>
      </w:r>
      <w:r w:rsidRPr="00C56257">
        <w:rPr>
          <w:color w:val="000000" w:themeColor="text1"/>
          <w:spacing w:val="-2"/>
        </w:rPr>
        <w:t xml:space="preserve"> </w:t>
      </w:r>
      <w:r w:rsidRPr="00C56257">
        <w:rPr>
          <w:color w:val="000000" w:themeColor="text1"/>
        </w:rPr>
        <w:t>tabelul</w:t>
      </w:r>
      <w:r w:rsidRPr="00C56257">
        <w:rPr>
          <w:color w:val="000000" w:themeColor="text1"/>
          <w:spacing w:val="-1"/>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mai</w:t>
      </w:r>
      <w:r w:rsidRPr="00C56257">
        <w:rPr>
          <w:color w:val="000000" w:themeColor="text1"/>
          <w:spacing w:val="-2"/>
        </w:rPr>
        <w:t xml:space="preserve"> </w:t>
      </w:r>
      <w:r w:rsidRPr="00C56257">
        <w:rPr>
          <w:color w:val="000000" w:themeColor="text1"/>
        </w:rPr>
        <w:t>jos:</w:t>
      </w:r>
    </w:p>
    <w:p w14:paraId="195A99F3" w14:textId="77777777" w:rsidR="007D2E1E" w:rsidRPr="00C56257" w:rsidRDefault="007D2E1E" w:rsidP="008E33FD">
      <w:pPr>
        <w:widowControl w:val="0"/>
        <w:autoSpaceDE w:val="0"/>
        <w:autoSpaceDN w:val="0"/>
        <w:spacing w:before="8"/>
        <w:jc w:val="both"/>
        <w:rPr>
          <w:color w:val="000000" w:themeColor="text1"/>
        </w:rPr>
      </w:pPr>
    </w:p>
    <w:tbl>
      <w:tblPr>
        <w:tblW w:w="10080" w:type="dxa"/>
        <w:tblInd w:w="8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995"/>
        <w:gridCol w:w="8085"/>
      </w:tblGrid>
      <w:tr w:rsidR="007D2E1E" w:rsidRPr="00C56257" w14:paraId="6662760D" w14:textId="77777777" w:rsidTr="00896C2C">
        <w:trPr>
          <w:trHeight w:val="549"/>
        </w:trPr>
        <w:tc>
          <w:tcPr>
            <w:tcW w:w="1995" w:type="dxa"/>
            <w:tcBorders>
              <w:left w:val="single" w:sz="4" w:space="0" w:color="000000"/>
              <w:bottom w:val="single" w:sz="4" w:space="0" w:color="000000"/>
              <w:right w:val="single" w:sz="4" w:space="0" w:color="000000"/>
            </w:tcBorders>
            <w:shd w:val="clear" w:color="auto" w:fill="DBE4F0"/>
          </w:tcPr>
          <w:p w14:paraId="43D0BA65" w14:textId="77777777" w:rsidR="007D2E1E" w:rsidRPr="00C56257" w:rsidRDefault="007D2E1E" w:rsidP="008E33FD">
            <w:pPr>
              <w:widowControl w:val="0"/>
              <w:tabs>
                <w:tab w:val="left" w:pos="1458"/>
              </w:tabs>
              <w:autoSpaceDE w:val="0"/>
              <w:autoSpaceDN w:val="0"/>
              <w:spacing w:line="270" w:lineRule="exact"/>
              <w:jc w:val="both"/>
              <w:rPr>
                <w:b/>
                <w:color w:val="000000" w:themeColor="text1"/>
              </w:rPr>
            </w:pPr>
            <w:r w:rsidRPr="00C56257">
              <w:rPr>
                <w:b/>
                <w:color w:val="000000" w:themeColor="text1"/>
              </w:rPr>
              <w:t>Starea</w:t>
            </w:r>
            <w:r w:rsidRPr="00C56257">
              <w:rPr>
                <w:b/>
                <w:color w:val="000000" w:themeColor="text1"/>
              </w:rPr>
              <w:tab/>
              <w:t>de</w:t>
            </w:r>
          </w:p>
          <w:p w14:paraId="398B9A98" w14:textId="77777777" w:rsidR="007D2E1E" w:rsidRPr="00C56257" w:rsidRDefault="007D2E1E" w:rsidP="008E33FD">
            <w:pPr>
              <w:widowControl w:val="0"/>
              <w:autoSpaceDE w:val="0"/>
              <w:autoSpaceDN w:val="0"/>
              <w:spacing w:line="259" w:lineRule="exact"/>
              <w:jc w:val="both"/>
              <w:rPr>
                <w:b/>
                <w:color w:val="000000" w:themeColor="text1"/>
              </w:rPr>
            </w:pPr>
            <w:r w:rsidRPr="00C56257">
              <w:rPr>
                <w:b/>
                <w:color w:val="000000" w:themeColor="text1"/>
              </w:rPr>
              <w:t>conservare</w:t>
            </w:r>
          </w:p>
        </w:tc>
        <w:tc>
          <w:tcPr>
            <w:tcW w:w="8085" w:type="dxa"/>
            <w:tcBorders>
              <w:left w:val="single" w:sz="4" w:space="0" w:color="000000"/>
              <w:bottom w:val="single" w:sz="4" w:space="0" w:color="000000"/>
              <w:right w:val="single" w:sz="4" w:space="0" w:color="000000"/>
            </w:tcBorders>
            <w:shd w:val="clear" w:color="auto" w:fill="DBE4F0"/>
          </w:tcPr>
          <w:p w14:paraId="3BB69442" w14:textId="77777777" w:rsidR="007D2E1E" w:rsidRPr="00C56257" w:rsidRDefault="007D2E1E" w:rsidP="008E33FD">
            <w:pPr>
              <w:widowControl w:val="0"/>
              <w:autoSpaceDE w:val="0"/>
              <w:autoSpaceDN w:val="0"/>
              <w:spacing w:before="131"/>
              <w:jc w:val="both"/>
              <w:rPr>
                <w:b/>
                <w:color w:val="000000" w:themeColor="text1"/>
              </w:rPr>
            </w:pPr>
            <w:r w:rsidRPr="00C56257">
              <w:rPr>
                <w:b/>
                <w:color w:val="000000" w:themeColor="text1"/>
              </w:rPr>
              <w:t>Criterii</w:t>
            </w:r>
            <w:r w:rsidRPr="00C56257">
              <w:rPr>
                <w:b/>
                <w:color w:val="000000" w:themeColor="text1"/>
                <w:spacing w:val="-2"/>
              </w:rPr>
              <w:t xml:space="preserve"> </w:t>
            </w:r>
            <w:r w:rsidRPr="00C56257">
              <w:rPr>
                <w:b/>
                <w:color w:val="000000" w:themeColor="text1"/>
              </w:rPr>
              <w:t>de</w:t>
            </w:r>
            <w:r w:rsidRPr="00C56257">
              <w:rPr>
                <w:b/>
                <w:color w:val="000000" w:themeColor="text1"/>
                <w:spacing w:val="-2"/>
              </w:rPr>
              <w:t xml:space="preserve"> </w:t>
            </w:r>
            <w:r w:rsidRPr="00C56257">
              <w:rPr>
                <w:b/>
                <w:color w:val="000000" w:themeColor="text1"/>
              </w:rPr>
              <w:t>evaluare</w:t>
            </w:r>
          </w:p>
        </w:tc>
      </w:tr>
      <w:tr w:rsidR="007D2E1E" w:rsidRPr="00C56257" w14:paraId="63AB6598" w14:textId="77777777" w:rsidTr="00896C2C">
        <w:trPr>
          <w:trHeight w:val="2212"/>
        </w:trPr>
        <w:tc>
          <w:tcPr>
            <w:tcW w:w="1995" w:type="dxa"/>
            <w:tcBorders>
              <w:top w:val="single" w:sz="4" w:space="0" w:color="000000"/>
              <w:left w:val="single" w:sz="4" w:space="0" w:color="000000"/>
              <w:bottom w:val="single" w:sz="4" w:space="0" w:color="000000"/>
              <w:right w:val="single" w:sz="4" w:space="0" w:color="000000"/>
            </w:tcBorders>
          </w:tcPr>
          <w:p w14:paraId="6A57B4E6" w14:textId="77777777" w:rsidR="007D2E1E" w:rsidRPr="00C56257" w:rsidRDefault="007D2E1E" w:rsidP="008E33FD">
            <w:pPr>
              <w:widowControl w:val="0"/>
              <w:autoSpaceDE w:val="0"/>
              <w:autoSpaceDN w:val="0"/>
              <w:jc w:val="both"/>
              <w:rPr>
                <w:color w:val="000000" w:themeColor="text1"/>
              </w:rPr>
            </w:pPr>
          </w:p>
          <w:p w14:paraId="41C3D623" w14:textId="77777777" w:rsidR="007D2E1E" w:rsidRPr="00C56257" w:rsidRDefault="007D2E1E" w:rsidP="008E33FD">
            <w:pPr>
              <w:widowControl w:val="0"/>
              <w:autoSpaceDE w:val="0"/>
              <w:autoSpaceDN w:val="0"/>
              <w:jc w:val="both"/>
              <w:rPr>
                <w:color w:val="000000" w:themeColor="text1"/>
              </w:rPr>
            </w:pPr>
          </w:p>
          <w:p w14:paraId="10FADCDA" w14:textId="77777777" w:rsidR="007D2E1E" w:rsidRPr="00C56257" w:rsidRDefault="007D2E1E" w:rsidP="008E33FD">
            <w:pPr>
              <w:widowControl w:val="0"/>
              <w:autoSpaceDE w:val="0"/>
              <w:autoSpaceDN w:val="0"/>
              <w:spacing w:before="4"/>
              <w:jc w:val="both"/>
              <w:rPr>
                <w:color w:val="000000" w:themeColor="text1"/>
              </w:rPr>
            </w:pPr>
          </w:p>
          <w:p w14:paraId="02F74C66" w14:textId="77777777" w:rsidR="007D2E1E" w:rsidRPr="00C56257" w:rsidRDefault="007D2E1E" w:rsidP="008E33FD">
            <w:pPr>
              <w:widowControl w:val="0"/>
              <w:autoSpaceDE w:val="0"/>
              <w:autoSpaceDN w:val="0"/>
              <w:jc w:val="both"/>
              <w:rPr>
                <w:color w:val="000000" w:themeColor="text1"/>
              </w:rPr>
            </w:pPr>
            <w:r w:rsidRPr="00C56257">
              <w:rPr>
                <w:color w:val="000000" w:themeColor="text1"/>
              </w:rPr>
              <w:t>Favorabil</w:t>
            </w:r>
            <w:r w:rsidRPr="00C56257">
              <w:rPr>
                <w:color w:val="000000" w:themeColor="text1"/>
                <w:spacing w:val="-3"/>
              </w:rPr>
              <w:t xml:space="preserve"> </w:t>
            </w:r>
            <w:r w:rsidRPr="00C56257">
              <w:rPr>
                <w:color w:val="000000" w:themeColor="text1"/>
              </w:rPr>
              <w:t>(FV)</w:t>
            </w:r>
          </w:p>
        </w:tc>
        <w:tc>
          <w:tcPr>
            <w:tcW w:w="8085" w:type="dxa"/>
            <w:tcBorders>
              <w:top w:val="single" w:sz="4" w:space="0" w:color="000000"/>
              <w:left w:val="single" w:sz="4" w:space="0" w:color="000000"/>
              <w:bottom w:val="single" w:sz="4" w:space="0" w:color="000000"/>
              <w:right w:val="single" w:sz="4" w:space="0" w:color="000000"/>
            </w:tcBorders>
          </w:tcPr>
          <w:p w14:paraId="643A972E" w14:textId="77777777" w:rsidR="007D2E1E" w:rsidRPr="00C56257" w:rsidRDefault="007D2E1E" w:rsidP="008E33FD">
            <w:pPr>
              <w:widowControl w:val="0"/>
              <w:autoSpaceDE w:val="0"/>
              <w:autoSpaceDN w:val="0"/>
              <w:ind w:right="92"/>
              <w:jc w:val="both"/>
              <w:rPr>
                <w:color w:val="000000" w:themeColor="text1"/>
              </w:rPr>
            </w:pPr>
            <w:r w:rsidRPr="00C56257">
              <w:rPr>
                <w:color w:val="000000" w:themeColor="text1"/>
              </w:rPr>
              <w:t>Conform</w:t>
            </w:r>
            <w:r w:rsidRPr="00C56257">
              <w:rPr>
                <w:color w:val="000000" w:themeColor="text1"/>
                <w:spacing w:val="47"/>
              </w:rPr>
              <w:t xml:space="preserve"> </w:t>
            </w:r>
            <w:r w:rsidRPr="00C56257">
              <w:rPr>
                <w:color w:val="000000" w:themeColor="text1"/>
              </w:rPr>
              <w:t>matricei</w:t>
            </w:r>
            <w:r w:rsidRPr="00C56257">
              <w:rPr>
                <w:color w:val="000000" w:themeColor="text1"/>
                <w:spacing w:val="47"/>
              </w:rPr>
              <w:t xml:space="preserve"> </w:t>
            </w:r>
            <w:r w:rsidRPr="00C56257">
              <w:rPr>
                <w:color w:val="000000" w:themeColor="text1"/>
              </w:rPr>
              <w:t>de</w:t>
            </w:r>
            <w:r w:rsidRPr="00C56257">
              <w:rPr>
                <w:color w:val="000000" w:themeColor="text1"/>
                <w:spacing w:val="45"/>
              </w:rPr>
              <w:t xml:space="preserve"> </w:t>
            </w:r>
            <w:r w:rsidRPr="00C56257">
              <w:rPr>
                <w:color w:val="000000" w:themeColor="text1"/>
              </w:rPr>
              <w:t>evaluare</w:t>
            </w:r>
            <w:r w:rsidRPr="00C56257">
              <w:rPr>
                <w:color w:val="000000" w:themeColor="text1"/>
                <w:spacing w:val="45"/>
              </w:rPr>
              <w:t xml:space="preserve"> </w:t>
            </w:r>
            <w:r w:rsidRPr="00C56257">
              <w:rPr>
                <w:color w:val="000000" w:themeColor="text1"/>
              </w:rPr>
              <w:t>(anexa</w:t>
            </w:r>
            <w:r w:rsidRPr="00C56257">
              <w:rPr>
                <w:color w:val="000000" w:themeColor="text1"/>
                <w:spacing w:val="45"/>
              </w:rPr>
              <w:t xml:space="preserve"> </w:t>
            </w:r>
            <w:r w:rsidRPr="00C56257">
              <w:rPr>
                <w:color w:val="000000" w:themeColor="text1"/>
              </w:rPr>
              <w:t>E),</w:t>
            </w:r>
            <w:r w:rsidRPr="00C56257">
              <w:rPr>
                <w:color w:val="000000" w:themeColor="text1"/>
                <w:spacing w:val="46"/>
              </w:rPr>
              <w:t xml:space="preserve"> </w:t>
            </w:r>
            <w:r w:rsidRPr="00C56257">
              <w:rPr>
                <w:color w:val="000000" w:themeColor="text1"/>
              </w:rPr>
              <w:t>situația</w:t>
            </w:r>
            <w:r w:rsidRPr="00C56257">
              <w:rPr>
                <w:color w:val="000000" w:themeColor="text1"/>
                <w:spacing w:val="46"/>
              </w:rPr>
              <w:t xml:space="preserve"> </w:t>
            </w:r>
            <w:r w:rsidRPr="00C56257">
              <w:rPr>
                <w:color w:val="000000" w:themeColor="text1"/>
              </w:rPr>
              <w:t>perspectivelor</w:t>
            </w:r>
            <w:r w:rsidRPr="00C56257">
              <w:rPr>
                <w:color w:val="000000" w:themeColor="text1"/>
                <w:spacing w:val="46"/>
              </w:rPr>
              <w:t xml:space="preserve"> </w:t>
            </w:r>
            <w:r w:rsidRPr="00C56257">
              <w:rPr>
                <w:color w:val="000000" w:themeColor="text1"/>
              </w:rPr>
              <w:t>viitoare</w:t>
            </w:r>
            <w:r w:rsidRPr="00C56257">
              <w:rPr>
                <w:color w:val="000000" w:themeColor="text1"/>
                <w:spacing w:val="-57"/>
              </w:rPr>
              <w:t xml:space="preserve"> </w:t>
            </w:r>
            <w:r w:rsidRPr="00C56257">
              <w:rPr>
                <w:color w:val="000000" w:themeColor="text1"/>
              </w:rPr>
              <w:t>este</w:t>
            </w:r>
            <w:r w:rsidRPr="00C56257">
              <w:rPr>
                <w:color w:val="000000" w:themeColor="text1"/>
                <w:spacing w:val="-2"/>
              </w:rPr>
              <w:t xml:space="preserve"> </w:t>
            </w:r>
            <w:r w:rsidRPr="00C56257">
              <w:rPr>
                <w:color w:val="000000" w:themeColor="text1"/>
              </w:rPr>
              <w:t>„favorabilă”</w:t>
            </w:r>
            <w:r w:rsidRPr="00C56257">
              <w:rPr>
                <w:color w:val="000000" w:themeColor="text1"/>
                <w:spacing w:val="-1"/>
              </w:rPr>
              <w:t xml:space="preserve"> </w:t>
            </w:r>
            <w:r w:rsidRPr="00C56257">
              <w:rPr>
                <w:color w:val="000000" w:themeColor="text1"/>
              </w:rPr>
              <w:t>dacă:</w:t>
            </w:r>
          </w:p>
          <w:p w14:paraId="36C6AD69" w14:textId="77777777" w:rsidR="007D2E1E" w:rsidRPr="00C56257" w:rsidRDefault="007D2E1E" w:rsidP="008E33FD">
            <w:pPr>
              <w:widowControl w:val="0"/>
              <w:tabs>
                <w:tab w:val="left" w:pos="828"/>
              </w:tabs>
              <w:autoSpaceDE w:val="0"/>
              <w:autoSpaceDN w:val="0"/>
              <w:spacing w:before="1" w:line="230" w:lineRule="auto"/>
              <w:ind w:right="103"/>
              <w:jc w:val="both"/>
              <w:rPr>
                <w:color w:val="000000" w:themeColor="text1"/>
              </w:rPr>
            </w:pPr>
            <w:r w:rsidRPr="00C56257">
              <w:rPr>
                <w:color w:val="000000" w:themeColor="text1"/>
              </w:rPr>
              <w:t>-</w:t>
            </w:r>
            <w:r w:rsidRPr="00C56257">
              <w:rPr>
                <w:color w:val="000000" w:themeColor="text1"/>
              </w:rPr>
              <w:tab/>
              <w:t>nu se</w:t>
            </w:r>
            <w:r w:rsidRPr="00C56257">
              <w:rPr>
                <w:color w:val="000000" w:themeColor="text1"/>
                <w:spacing w:val="2"/>
              </w:rPr>
              <w:t xml:space="preserve"> </w:t>
            </w:r>
            <w:r w:rsidRPr="00C56257">
              <w:rPr>
                <w:color w:val="000000" w:themeColor="text1"/>
              </w:rPr>
              <w:t>așteaptă</w:t>
            </w:r>
            <w:r w:rsidRPr="00C56257">
              <w:rPr>
                <w:color w:val="000000" w:themeColor="text1"/>
                <w:spacing w:val="2"/>
              </w:rPr>
              <w:t xml:space="preserve"> </w:t>
            </w:r>
            <w:r w:rsidRPr="00C56257">
              <w:rPr>
                <w:color w:val="000000" w:themeColor="text1"/>
              </w:rPr>
              <w:t>niciun</w:t>
            </w:r>
            <w:r w:rsidRPr="00C56257">
              <w:rPr>
                <w:color w:val="000000" w:themeColor="text1"/>
                <w:spacing w:val="1"/>
              </w:rPr>
              <w:t xml:space="preserve"> </w:t>
            </w:r>
            <w:r w:rsidRPr="00C56257">
              <w:rPr>
                <w:color w:val="000000" w:themeColor="text1"/>
              </w:rPr>
              <w:t>impact</w:t>
            </w:r>
            <w:r w:rsidRPr="00C56257">
              <w:rPr>
                <w:color w:val="000000" w:themeColor="text1"/>
                <w:spacing w:val="1"/>
              </w:rPr>
              <w:t xml:space="preserve"> </w:t>
            </w:r>
            <w:r w:rsidRPr="00C56257">
              <w:rPr>
                <w:color w:val="000000" w:themeColor="text1"/>
              </w:rPr>
              <w:t>semnificativ din</w:t>
            </w:r>
            <w:r w:rsidRPr="00C56257">
              <w:rPr>
                <w:color w:val="000000" w:themeColor="text1"/>
                <w:spacing w:val="4"/>
              </w:rPr>
              <w:t xml:space="preserve"> </w:t>
            </w:r>
            <w:r w:rsidRPr="00C56257">
              <w:rPr>
                <w:color w:val="000000" w:themeColor="text1"/>
              </w:rPr>
              <w:t>cauza amenințărilor la</w:t>
            </w:r>
            <w:r w:rsidRPr="00C56257">
              <w:rPr>
                <w:color w:val="000000" w:themeColor="text1"/>
                <w:spacing w:val="-57"/>
              </w:rPr>
              <w:t xml:space="preserve"> </w:t>
            </w:r>
            <w:r w:rsidRPr="00C56257">
              <w:rPr>
                <w:color w:val="000000" w:themeColor="text1"/>
              </w:rPr>
              <w:t>habitat</w:t>
            </w:r>
            <w:r w:rsidRPr="00C56257">
              <w:rPr>
                <w:color w:val="000000" w:themeColor="text1"/>
                <w:spacing w:val="-1"/>
              </w:rPr>
              <w:t xml:space="preserve"> </w:t>
            </w:r>
            <w:r w:rsidRPr="00C56257">
              <w:rPr>
                <w:color w:val="000000" w:themeColor="text1"/>
              </w:rPr>
              <w:t>și</w:t>
            </w:r>
            <w:r w:rsidRPr="00C56257">
              <w:rPr>
                <w:color w:val="000000" w:themeColor="text1"/>
                <w:spacing w:val="-1"/>
              </w:rPr>
              <w:t xml:space="preserve"> </w:t>
            </w:r>
            <w:r w:rsidRPr="00C56257">
              <w:rPr>
                <w:color w:val="000000" w:themeColor="text1"/>
              </w:rPr>
              <w:t>viabilitatea</w:t>
            </w:r>
            <w:r w:rsidRPr="00C56257">
              <w:rPr>
                <w:color w:val="000000" w:themeColor="text1"/>
                <w:spacing w:val="-2"/>
              </w:rPr>
              <w:t xml:space="preserve"> </w:t>
            </w:r>
            <w:r w:rsidRPr="00C56257">
              <w:rPr>
                <w:color w:val="000000" w:themeColor="text1"/>
              </w:rPr>
              <w:t>acestuia</w:t>
            </w:r>
            <w:r w:rsidRPr="00C56257">
              <w:rPr>
                <w:color w:val="000000" w:themeColor="text1"/>
                <w:spacing w:val="-1"/>
              </w:rPr>
              <w:t xml:space="preserve"> </w:t>
            </w:r>
            <w:r w:rsidRPr="00C56257">
              <w:rPr>
                <w:color w:val="000000" w:themeColor="text1"/>
              </w:rPr>
              <w:t>pe</w:t>
            </w:r>
            <w:r w:rsidRPr="00C56257">
              <w:rPr>
                <w:color w:val="000000" w:themeColor="text1"/>
                <w:spacing w:val="-2"/>
              </w:rPr>
              <w:t xml:space="preserve"> </w:t>
            </w:r>
            <w:r w:rsidRPr="00C56257">
              <w:rPr>
                <w:color w:val="000000" w:themeColor="text1"/>
              </w:rPr>
              <w:t>termen</w:t>
            </w:r>
            <w:r w:rsidRPr="00C56257">
              <w:rPr>
                <w:color w:val="000000" w:themeColor="text1"/>
                <w:spacing w:val="-1"/>
              </w:rPr>
              <w:t xml:space="preserve"> </w:t>
            </w:r>
            <w:r w:rsidRPr="00C56257">
              <w:rPr>
                <w:color w:val="000000" w:themeColor="text1"/>
              </w:rPr>
              <w:t>lung</w:t>
            </w:r>
            <w:r w:rsidRPr="00C56257">
              <w:rPr>
                <w:color w:val="000000" w:themeColor="text1"/>
                <w:spacing w:val="-4"/>
              </w:rPr>
              <w:t xml:space="preserve"> </w:t>
            </w:r>
            <w:r w:rsidRPr="00C56257">
              <w:rPr>
                <w:color w:val="000000" w:themeColor="text1"/>
              </w:rPr>
              <w:t>este</w:t>
            </w:r>
            <w:r w:rsidRPr="00C56257">
              <w:rPr>
                <w:color w:val="000000" w:themeColor="text1"/>
                <w:spacing w:val="1"/>
              </w:rPr>
              <w:t xml:space="preserve"> </w:t>
            </w:r>
            <w:r w:rsidRPr="00C56257">
              <w:rPr>
                <w:color w:val="000000" w:themeColor="text1"/>
              </w:rPr>
              <w:t>asigurată.</w:t>
            </w:r>
          </w:p>
          <w:p w14:paraId="7EF75C9F" w14:textId="77777777" w:rsidR="007D2E1E" w:rsidRPr="00C56257" w:rsidRDefault="007D2E1E" w:rsidP="008E33FD">
            <w:pPr>
              <w:widowControl w:val="0"/>
              <w:autoSpaceDE w:val="0"/>
              <w:autoSpaceDN w:val="0"/>
              <w:spacing w:before="1"/>
              <w:jc w:val="both"/>
              <w:rPr>
                <w:color w:val="000000" w:themeColor="text1"/>
              </w:rPr>
            </w:pPr>
            <w:r w:rsidRPr="00C56257">
              <w:rPr>
                <w:color w:val="000000" w:themeColor="text1"/>
              </w:rPr>
              <w:t>Informații</w:t>
            </w:r>
            <w:r w:rsidR="00A709D8">
              <w:rPr>
                <w:color w:val="000000" w:themeColor="text1"/>
              </w:rPr>
              <w:t xml:space="preserve"> </w:t>
            </w:r>
            <w:r w:rsidRPr="00C56257">
              <w:rPr>
                <w:color w:val="000000" w:themeColor="text1"/>
              </w:rPr>
              <w:t>suplimentare:</w:t>
            </w:r>
          </w:p>
          <w:p w14:paraId="72A94AE7" w14:textId="77777777" w:rsidR="007D2E1E" w:rsidRPr="00C56257" w:rsidRDefault="007D2E1E" w:rsidP="008E33FD">
            <w:pPr>
              <w:widowControl w:val="0"/>
              <w:autoSpaceDE w:val="0"/>
              <w:autoSpaceDN w:val="0"/>
              <w:spacing w:line="270" w:lineRule="atLeast"/>
              <w:ind w:right="97"/>
              <w:jc w:val="both"/>
              <w:rPr>
                <w:color w:val="000000" w:themeColor="text1"/>
              </w:rPr>
            </w:pPr>
            <w:r w:rsidRPr="00C56257">
              <w:rPr>
                <w:color w:val="000000" w:themeColor="text1"/>
              </w:rPr>
              <w:t>Perspectivele de viitor ar trebui evaluate „favorabile” dacă toți parametrii</w:t>
            </w:r>
            <w:r w:rsidRPr="00C56257">
              <w:rPr>
                <w:color w:val="000000" w:themeColor="text1"/>
                <w:spacing w:val="1"/>
              </w:rPr>
              <w:t xml:space="preserve"> </w:t>
            </w:r>
            <w:r w:rsidRPr="00C56257">
              <w:rPr>
                <w:color w:val="000000" w:themeColor="text1"/>
              </w:rPr>
              <w:t>au perspective bune (câmpul 9.1) sau dacă perspectivele unui parametru</w:t>
            </w:r>
            <w:r w:rsidRPr="00C56257">
              <w:rPr>
                <w:color w:val="000000" w:themeColor="text1"/>
                <w:spacing w:val="1"/>
              </w:rPr>
              <w:t xml:space="preserve"> </w:t>
            </w:r>
            <w:r w:rsidRPr="00C56257">
              <w:rPr>
                <w:color w:val="000000" w:themeColor="text1"/>
              </w:rPr>
              <w:t>sunt</w:t>
            </w:r>
            <w:r w:rsidRPr="00C56257">
              <w:rPr>
                <w:color w:val="000000" w:themeColor="text1"/>
                <w:spacing w:val="-1"/>
              </w:rPr>
              <w:t xml:space="preserve"> </w:t>
            </w:r>
            <w:r w:rsidRPr="00C56257">
              <w:rPr>
                <w:color w:val="000000" w:themeColor="text1"/>
              </w:rPr>
              <w:t>„necunoscute”,</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timp ce</w:t>
            </w:r>
            <w:r w:rsidRPr="00C56257">
              <w:rPr>
                <w:color w:val="000000" w:themeColor="text1"/>
                <w:spacing w:val="-2"/>
              </w:rPr>
              <w:t xml:space="preserve"> </w:t>
            </w:r>
            <w:r w:rsidRPr="00C56257">
              <w:rPr>
                <w:color w:val="000000" w:themeColor="text1"/>
              </w:rPr>
              <w:t>ceilalți</w:t>
            </w:r>
            <w:r w:rsidRPr="00C56257">
              <w:rPr>
                <w:color w:val="000000" w:themeColor="text1"/>
                <w:spacing w:val="-1"/>
              </w:rPr>
              <w:t xml:space="preserve"> </w:t>
            </w:r>
            <w:r w:rsidRPr="00C56257">
              <w:rPr>
                <w:color w:val="000000" w:themeColor="text1"/>
              </w:rPr>
              <w:t>parametri</w:t>
            </w:r>
            <w:r w:rsidRPr="00C56257">
              <w:rPr>
                <w:color w:val="000000" w:themeColor="text1"/>
                <w:spacing w:val="-1"/>
              </w:rPr>
              <w:t xml:space="preserve"> </w:t>
            </w:r>
            <w:r w:rsidRPr="00C56257">
              <w:rPr>
                <w:color w:val="000000" w:themeColor="text1"/>
              </w:rPr>
              <w:t>au perspective</w:t>
            </w:r>
            <w:r w:rsidRPr="00C56257">
              <w:rPr>
                <w:color w:val="000000" w:themeColor="text1"/>
                <w:spacing w:val="-2"/>
              </w:rPr>
              <w:t xml:space="preserve"> </w:t>
            </w:r>
            <w:r w:rsidRPr="00C56257">
              <w:rPr>
                <w:color w:val="000000" w:themeColor="text1"/>
              </w:rPr>
              <w:t>bune.</w:t>
            </w:r>
          </w:p>
        </w:tc>
      </w:tr>
      <w:tr w:rsidR="007D2E1E" w:rsidRPr="00C56257" w14:paraId="4C297AA2" w14:textId="77777777" w:rsidTr="00896C2C">
        <w:trPr>
          <w:trHeight w:val="3317"/>
        </w:trPr>
        <w:tc>
          <w:tcPr>
            <w:tcW w:w="1995" w:type="dxa"/>
            <w:tcBorders>
              <w:top w:val="single" w:sz="4" w:space="0" w:color="000000"/>
              <w:left w:val="single" w:sz="4" w:space="0" w:color="000000"/>
              <w:bottom w:val="single" w:sz="4" w:space="0" w:color="000000"/>
              <w:right w:val="single" w:sz="4" w:space="0" w:color="000000"/>
            </w:tcBorders>
          </w:tcPr>
          <w:p w14:paraId="416564CA" w14:textId="77777777" w:rsidR="007D2E1E" w:rsidRPr="00C56257" w:rsidRDefault="007D2E1E" w:rsidP="008E33FD">
            <w:pPr>
              <w:widowControl w:val="0"/>
              <w:autoSpaceDE w:val="0"/>
              <w:autoSpaceDN w:val="0"/>
              <w:jc w:val="both"/>
              <w:rPr>
                <w:color w:val="000000" w:themeColor="text1"/>
              </w:rPr>
            </w:pPr>
          </w:p>
          <w:p w14:paraId="69D87ACA" w14:textId="77777777" w:rsidR="007D2E1E" w:rsidRPr="00C56257" w:rsidRDefault="007D2E1E" w:rsidP="008E33FD">
            <w:pPr>
              <w:widowControl w:val="0"/>
              <w:autoSpaceDE w:val="0"/>
              <w:autoSpaceDN w:val="0"/>
              <w:jc w:val="both"/>
              <w:rPr>
                <w:color w:val="000000" w:themeColor="text1"/>
              </w:rPr>
            </w:pPr>
          </w:p>
          <w:p w14:paraId="30EB7651" w14:textId="77777777" w:rsidR="007D2E1E" w:rsidRPr="00C56257" w:rsidRDefault="007D2E1E" w:rsidP="008E33FD">
            <w:pPr>
              <w:widowControl w:val="0"/>
              <w:autoSpaceDE w:val="0"/>
              <w:autoSpaceDN w:val="0"/>
              <w:jc w:val="both"/>
              <w:rPr>
                <w:color w:val="000000" w:themeColor="text1"/>
              </w:rPr>
            </w:pPr>
          </w:p>
          <w:p w14:paraId="5426E095" w14:textId="77777777" w:rsidR="007D2E1E" w:rsidRPr="00C56257" w:rsidRDefault="007D2E1E" w:rsidP="008E33FD">
            <w:pPr>
              <w:widowControl w:val="0"/>
              <w:autoSpaceDE w:val="0"/>
              <w:autoSpaceDN w:val="0"/>
              <w:jc w:val="both"/>
              <w:rPr>
                <w:color w:val="000000" w:themeColor="text1"/>
              </w:rPr>
            </w:pPr>
          </w:p>
          <w:p w14:paraId="7282A831" w14:textId="77777777" w:rsidR="007D2E1E" w:rsidRPr="00C56257" w:rsidRDefault="007D2E1E" w:rsidP="008E33FD">
            <w:pPr>
              <w:widowControl w:val="0"/>
              <w:autoSpaceDE w:val="0"/>
              <w:autoSpaceDN w:val="0"/>
              <w:spacing w:before="178"/>
              <w:ind w:right="253"/>
              <w:jc w:val="both"/>
              <w:rPr>
                <w:color w:val="000000" w:themeColor="text1"/>
              </w:rPr>
            </w:pPr>
            <w:r w:rsidRPr="00C56257">
              <w:rPr>
                <w:color w:val="000000" w:themeColor="text1"/>
              </w:rPr>
              <w:t>Nefavorabil-</w:t>
            </w:r>
            <w:r w:rsidRPr="00C56257">
              <w:rPr>
                <w:color w:val="000000" w:themeColor="text1"/>
                <w:spacing w:val="1"/>
              </w:rPr>
              <w:t xml:space="preserve"> </w:t>
            </w:r>
            <w:r w:rsidRPr="00C56257">
              <w:rPr>
                <w:color w:val="000000" w:themeColor="text1"/>
              </w:rPr>
              <w:t>inadecvat</w:t>
            </w:r>
            <w:r w:rsidRPr="00C56257">
              <w:rPr>
                <w:color w:val="000000" w:themeColor="text1"/>
                <w:spacing w:val="-14"/>
              </w:rPr>
              <w:t xml:space="preserve"> </w:t>
            </w:r>
            <w:r w:rsidRPr="00C56257">
              <w:rPr>
                <w:color w:val="000000" w:themeColor="text1"/>
              </w:rPr>
              <w:t>(U1)</w:t>
            </w:r>
          </w:p>
        </w:tc>
        <w:tc>
          <w:tcPr>
            <w:tcW w:w="8085" w:type="dxa"/>
            <w:tcBorders>
              <w:top w:val="single" w:sz="4" w:space="0" w:color="000000"/>
              <w:left w:val="single" w:sz="4" w:space="0" w:color="000000"/>
              <w:bottom w:val="single" w:sz="4" w:space="0" w:color="000000"/>
              <w:right w:val="single" w:sz="4" w:space="0" w:color="000000"/>
            </w:tcBorders>
          </w:tcPr>
          <w:p w14:paraId="197B4781" w14:textId="77777777" w:rsidR="007D2E1E" w:rsidRPr="00C56257" w:rsidRDefault="007D2E1E" w:rsidP="008E33FD">
            <w:pPr>
              <w:widowControl w:val="0"/>
              <w:autoSpaceDE w:val="0"/>
              <w:autoSpaceDN w:val="0"/>
              <w:ind w:right="91"/>
              <w:jc w:val="both"/>
              <w:rPr>
                <w:color w:val="000000" w:themeColor="text1"/>
              </w:rPr>
            </w:pPr>
            <w:r w:rsidRPr="00C56257">
              <w:rPr>
                <w:color w:val="000000" w:themeColor="text1"/>
              </w:rPr>
              <w:t>Conform</w:t>
            </w:r>
            <w:r w:rsidRPr="00C56257">
              <w:rPr>
                <w:color w:val="000000" w:themeColor="text1"/>
                <w:spacing w:val="44"/>
              </w:rPr>
              <w:t xml:space="preserve"> </w:t>
            </w:r>
            <w:r w:rsidRPr="00C56257">
              <w:rPr>
                <w:color w:val="000000" w:themeColor="text1"/>
              </w:rPr>
              <w:t>matricei</w:t>
            </w:r>
            <w:r w:rsidRPr="00C56257">
              <w:rPr>
                <w:color w:val="000000" w:themeColor="text1"/>
                <w:spacing w:val="44"/>
              </w:rPr>
              <w:t xml:space="preserve"> </w:t>
            </w:r>
            <w:r w:rsidRPr="00C56257">
              <w:rPr>
                <w:color w:val="000000" w:themeColor="text1"/>
              </w:rPr>
              <w:t>de</w:t>
            </w:r>
            <w:r w:rsidRPr="00C56257">
              <w:rPr>
                <w:color w:val="000000" w:themeColor="text1"/>
                <w:spacing w:val="45"/>
              </w:rPr>
              <w:t xml:space="preserve"> </w:t>
            </w:r>
            <w:r w:rsidRPr="00C56257">
              <w:rPr>
                <w:color w:val="000000" w:themeColor="text1"/>
              </w:rPr>
              <w:t>evaluare</w:t>
            </w:r>
            <w:r w:rsidRPr="00C56257">
              <w:rPr>
                <w:color w:val="000000" w:themeColor="text1"/>
                <w:spacing w:val="45"/>
              </w:rPr>
              <w:t xml:space="preserve"> </w:t>
            </w:r>
            <w:r w:rsidRPr="00C56257">
              <w:rPr>
                <w:color w:val="000000" w:themeColor="text1"/>
              </w:rPr>
              <w:t>(anexa</w:t>
            </w:r>
            <w:r w:rsidRPr="00C56257">
              <w:rPr>
                <w:color w:val="000000" w:themeColor="text1"/>
                <w:spacing w:val="43"/>
              </w:rPr>
              <w:t xml:space="preserve"> </w:t>
            </w:r>
            <w:r w:rsidRPr="00C56257">
              <w:rPr>
                <w:color w:val="000000" w:themeColor="text1"/>
              </w:rPr>
              <w:t>E),</w:t>
            </w:r>
            <w:r w:rsidRPr="00C56257">
              <w:rPr>
                <w:color w:val="000000" w:themeColor="text1"/>
                <w:spacing w:val="44"/>
              </w:rPr>
              <w:t xml:space="preserve"> </w:t>
            </w:r>
            <w:r w:rsidRPr="00C56257">
              <w:rPr>
                <w:color w:val="000000" w:themeColor="text1"/>
              </w:rPr>
              <w:t>statutul</w:t>
            </w:r>
            <w:r w:rsidRPr="00C56257">
              <w:rPr>
                <w:color w:val="000000" w:themeColor="text1"/>
                <w:spacing w:val="44"/>
              </w:rPr>
              <w:t xml:space="preserve"> </w:t>
            </w:r>
            <w:r w:rsidRPr="00C56257">
              <w:rPr>
                <w:color w:val="000000" w:themeColor="text1"/>
              </w:rPr>
              <w:t>perspectivelor</w:t>
            </w:r>
            <w:r w:rsidRPr="00C56257">
              <w:rPr>
                <w:color w:val="000000" w:themeColor="text1"/>
                <w:spacing w:val="45"/>
              </w:rPr>
              <w:t xml:space="preserve"> </w:t>
            </w:r>
            <w:r w:rsidRPr="00C56257">
              <w:rPr>
                <w:color w:val="000000" w:themeColor="text1"/>
              </w:rPr>
              <w:t>viitoare</w:t>
            </w:r>
            <w:r w:rsidRPr="00C56257">
              <w:rPr>
                <w:color w:val="000000" w:themeColor="text1"/>
                <w:spacing w:val="-57"/>
              </w:rPr>
              <w:t xml:space="preserve"> </w:t>
            </w:r>
            <w:r w:rsidRPr="00C56257">
              <w:rPr>
                <w:color w:val="000000" w:themeColor="text1"/>
              </w:rPr>
              <w:t>este</w:t>
            </w:r>
            <w:r w:rsidRPr="00C56257">
              <w:rPr>
                <w:color w:val="000000" w:themeColor="text1"/>
                <w:spacing w:val="-2"/>
              </w:rPr>
              <w:t xml:space="preserve"> </w:t>
            </w:r>
            <w:r w:rsidRPr="00C56257">
              <w:rPr>
                <w:color w:val="000000" w:themeColor="text1"/>
              </w:rPr>
              <w:t>„nefavorabil-inadecvat” dacă:</w:t>
            </w:r>
          </w:p>
          <w:p w14:paraId="2972E254" w14:textId="77777777" w:rsidR="007D2E1E" w:rsidRPr="00C56257" w:rsidRDefault="007D2E1E" w:rsidP="008E33FD">
            <w:pPr>
              <w:widowControl w:val="0"/>
              <w:tabs>
                <w:tab w:val="left" w:pos="828"/>
              </w:tabs>
              <w:autoSpaceDE w:val="0"/>
              <w:autoSpaceDN w:val="0"/>
              <w:spacing w:line="287" w:lineRule="exact"/>
              <w:jc w:val="both"/>
              <w:rPr>
                <w:color w:val="000000" w:themeColor="text1"/>
              </w:rPr>
            </w:pPr>
            <w:r w:rsidRPr="00C56257">
              <w:rPr>
                <w:color w:val="000000" w:themeColor="text1"/>
              </w:rPr>
              <w:t>-</w:t>
            </w:r>
            <w:r w:rsidRPr="00C56257">
              <w:rPr>
                <w:color w:val="000000" w:themeColor="text1"/>
              </w:rPr>
              <w:tab/>
              <w:t>orice</w:t>
            </w:r>
            <w:r w:rsidRPr="00C56257">
              <w:rPr>
                <w:color w:val="000000" w:themeColor="text1"/>
                <w:spacing w:val="53"/>
              </w:rPr>
              <w:t xml:space="preserve"> </w:t>
            </w:r>
            <w:r w:rsidRPr="00C56257">
              <w:rPr>
                <w:color w:val="000000" w:themeColor="text1"/>
              </w:rPr>
              <w:t>altă</w:t>
            </w:r>
            <w:r w:rsidRPr="00C56257">
              <w:rPr>
                <w:color w:val="000000" w:themeColor="text1"/>
                <w:spacing w:val="55"/>
              </w:rPr>
              <w:t xml:space="preserve"> </w:t>
            </w:r>
            <w:r w:rsidRPr="00C56257">
              <w:rPr>
                <w:color w:val="000000" w:themeColor="text1"/>
              </w:rPr>
              <w:t>combinație</w:t>
            </w:r>
            <w:r w:rsidRPr="00C56257">
              <w:rPr>
                <w:color w:val="000000" w:themeColor="text1"/>
                <w:spacing w:val="54"/>
              </w:rPr>
              <w:t xml:space="preserve"> </w:t>
            </w:r>
            <w:r w:rsidRPr="00C56257">
              <w:rPr>
                <w:color w:val="000000" w:themeColor="text1"/>
              </w:rPr>
              <w:t>(o</w:t>
            </w:r>
            <w:r w:rsidRPr="00C56257">
              <w:rPr>
                <w:color w:val="000000" w:themeColor="text1"/>
                <w:spacing w:val="57"/>
              </w:rPr>
              <w:t xml:space="preserve"> </w:t>
            </w:r>
            <w:r w:rsidRPr="00C56257">
              <w:rPr>
                <w:color w:val="000000" w:themeColor="text1"/>
              </w:rPr>
              <w:t>altă</w:t>
            </w:r>
            <w:r w:rsidRPr="00C56257">
              <w:rPr>
                <w:color w:val="000000" w:themeColor="text1"/>
                <w:spacing w:val="54"/>
              </w:rPr>
              <w:t xml:space="preserve"> </w:t>
            </w:r>
            <w:r w:rsidRPr="00C56257">
              <w:rPr>
                <w:color w:val="000000" w:themeColor="text1"/>
              </w:rPr>
              <w:t>combinație</w:t>
            </w:r>
            <w:r w:rsidRPr="00C56257">
              <w:rPr>
                <w:color w:val="000000" w:themeColor="text1"/>
                <w:spacing w:val="55"/>
              </w:rPr>
              <w:t xml:space="preserve"> </w:t>
            </w:r>
            <w:r w:rsidRPr="00C56257">
              <w:rPr>
                <w:color w:val="000000" w:themeColor="text1"/>
              </w:rPr>
              <w:t>de</w:t>
            </w:r>
            <w:r w:rsidRPr="00C56257">
              <w:rPr>
                <w:color w:val="000000" w:themeColor="text1"/>
                <w:spacing w:val="54"/>
              </w:rPr>
              <w:t xml:space="preserve"> </w:t>
            </w:r>
            <w:r w:rsidRPr="00C56257">
              <w:rPr>
                <w:color w:val="000000" w:themeColor="text1"/>
              </w:rPr>
              <w:t>criterii</w:t>
            </w:r>
            <w:r w:rsidRPr="00C56257">
              <w:rPr>
                <w:color w:val="000000" w:themeColor="text1"/>
                <w:spacing w:val="57"/>
              </w:rPr>
              <w:t xml:space="preserve"> </w:t>
            </w:r>
            <w:r w:rsidRPr="00C56257">
              <w:rPr>
                <w:color w:val="000000" w:themeColor="text1"/>
              </w:rPr>
              <w:t>decât</w:t>
            </w:r>
            <w:r w:rsidRPr="00C56257">
              <w:rPr>
                <w:color w:val="000000" w:themeColor="text1"/>
                <w:spacing w:val="56"/>
              </w:rPr>
              <w:t xml:space="preserve"> </w:t>
            </w:r>
            <w:r w:rsidRPr="00C56257">
              <w:rPr>
                <w:color w:val="000000" w:themeColor="text1"/>
              </w:rPr>
              <w:t>pentru</w:t>
            </w:r>
          </w:p>
          <w:p w14:paraId="3761686A" w14:textId="77777777" w:rsidR="007D2E1E" w:rsidRPr="00C56257" w:rsidRDefault="007D2E1E" w:rsidP="008E33FD">
            <w:pPr>
              <w:widowControl w:val="0"/>
              <w:autoSpaceDE w:val="0"/>
              <w:autoSpaceDN w:val="0"/>
              <w:spacing w:line="270" w:lineRule="exact"/>
              <w:jc w:val="both"/>
              <w:rPr>
                <w:color w:val="000000" w:themeColor="text1"/>
              </w:rPr>
            </w:pPr>
            <w:r w:rsidRPr="00C56257">
              <w:rPr>
                <w:color w:val="000000" w:themeColor="text1"/>
              </w:rPr>
              <w:t>„favorabil”</w:t>
            </w:r>
            <w:r w:rsidRPr="00C56257">
              <w:rPr>
                <w:color w:val="000000" w:themeColor="text1"/>
                <w:spacing w:val="-3"/>
              </w:rPr>
              <w:t xml:space="preserve"> </w:t>
            </w:r>
            <w:r w:rsidRPr="00C56257">
              <w:rPr>
                <w:color w:val="000000" w:themeColor="text1"/>
              </w:rPr>
              <w:t>sau</w:t>
            </w:r>
            <w:r w:rsidRPr="00C56257">
              <w:rPr>
                <w:color w:val="000000" w:themeColor="text1"/>
                <w:spacing w:val="-2"/>
              </w:rPr>
              <w:t xml:space="preserve"> </w:t>
            </w:r>
            <w:r w:rsidRPr="00C56257">
              <w:rPr>
                <w:color w:val="000000" w:themeColor="text1"/>
              </w:rPr>
              <w:t>„nefavorabil-rău”).</w:t>
            </w:r>
          </w:p>
          <w:p w14:paraId="2EEF7151" w14:textId="77777777" w:rsidR="007D2E1E" w:rsidRPr="00C56257" w:rsidRDefault="007D2E1E" w:rsidP="008E33FD">
            <w:pPr>
              <w:widowControl w:val="0"/>
              <w:autoSpaceDE w:val="0"/>
              <w:autoSpaceDN w:val="0"/>
              <w:jc w:val="both"/>
              <w:rPr>
                <w:color w:val="000000" w:themeColor="text1"/>
              </w:rPr>
            </w:pPr>
            <w:r w:rsidRPr="00C56257">
              <w:rPr>
                <w:color w:val="000000" w:themeColor="text1"/>
              </w:rPr>
              <w:t>Informații</w:t>
            </w:r>
            <w:r w:rsidR="00A709D8">
              <w:rPr>
                <w:color w:val="000000" w:themeColor="text1"/>
              </w:rPr>
              <w:t xml:space="preserve"> </w:t>
            </w:r>
            <w:r w:rsidRPr="00C56257">
              <w:rPr>
                <w:color w:val="000000" w:themeColor="text1"/>
              </w:rPr>
              <w:t>suplimentare:</w:t>
            </w:r>
          </w:p>
          <w:p w14:paraId="32DAFCDB" w14:textId="77777777" w:rsidR="007D2E1E" w:rsidRPr="00C56257" w:rsidRDefault="007D2E1E" w:rsidP="008E33FD">
            <w:pPr>
              <w:widowControl w:val="0"/>
              <w:tabs>
                <w:tab w:val="left" w:pos="1163"/>
                <w:tab w:val="left" w:pos="1594"/>
                <w:tab w:val="left" w:pos="2611"/>
                <w:tab w:val="left" w:pos="3055"/>
                <w:tab w:val="left" w:pos="3967"/>
                <w:tab w:val="left" w:pos="4811"/>
                <w:tab w:val="left" w:pos="5842"/>
                <w:tab w:val="left" w:pos="6657"/>
              </w:tabs>
              <w:autoSpaceDE w:val="0"/>
              <w:autoSpaceDN w:val="0"/>
              <w:jc w:val="both"/>
              <w:rPr>
                <w:color w:val="000000" w:themeColor="text1"/>
              </w:rPr>
            </w:pPr>
            <w:r w:rsidRPr="00C56257">
              <w:rPr>
                <w:color w:val="000000" w:themeColor="text1"/>
              </w:rPr>
              <w:t>Matricea</w:t>
            </w:r>
            <w:r w:rsidRPr="00C56257">
              <w:rPr>
                <w:color w:val="000000" w:themeColor="text1"/>
              </w:rPr>
              <w:tab/>
              <w:t>de</w:t>
            </w:r>
            <w:r w:rsidRPr="00C56257">
              <w:rPr>
                <w:color w:val="000000" w:themeColor="text1"/>
              </w:rPr>
              <w:tab/>
              <w:t>evaluare</w:t>
            </w:r>
            <w:r w:rsidRPr="00C56257">
              <w:rPr>
                <w:color w:val="000000" w:themeColor="text1"/>
              </w:rPr>
              <w:tab/>
              <w:t>nu</w:t>
            </w:r>
            <w:r w:rsidRPr="00C56257">
              <w:rPr>
                <w:color w:val="000000" w:themeColor="text1"/>
              </w:rPr>
              <w:tab/>
              <w:t>include</w:t>
            </w:r>
            <w:r w:rsidRPr="00C56257">
              <w:rPr>
                <w:color w:val="000000" w:themeColor="text1"/>
              </w:rPr>
              <w:tab/>
              <w:t>criterii</w:t>
            </w:r>
            <w:r w:rsidRPr="00C56257">
              <w:rPr>
                <w:color w:val="000000" w:themeColor="text1"/>
              </w:rPr>
              <w:tab/>
              <w:t>explicite</w:t>
            </w:r>
            <w:r w:rsidRPr="00C56257">
              <w:rPr>
                <w:color w:val="000000" w:themeColor="text1"/>
              </w:rPr>
              <w:tab/>
              <w:t>pentru</w:t>
            </w:r>
            <w:r w:rsidRPr="00C56257">
              <w:rPr>
                <w:color w:val="000000" w:themeColor="text1"/>
              </w:rPr>
              <w:tab/>
              <w:t>statutul</w:t>
            </w:r>
          </w:p>
          <w:p w14:paraId="16231B87" w14:textId="77777777" w:rsidR="007D2E1E" w:rsidRPr="00C56257" w:rsidRDefault="007D2E1E" w:rsidP="008E33FD">
            <w:pPr>
              <w:widowControl w:val="0"/>
              <w:autoSpaceDE w:val="0"/>
              <w:autoSpaceDN w:val="0"/>
              <w:ind w:right="97"/>
              <w:jc w:val="both"/>
              <w:rPr>
                <w:color w:val="000000" w:themeColor="text1"/>
              </w:rPr>
            </w:pPr>
            <w:r w:rsidRPr="00C56257">
              <w:rPr>
                <w:color w:val="000000" w:themeColor="text1"/>
              </w:rPr>
              <w:t>„nefavorabil-inadecvat” al perspectivelor viitoare. Cu toate acestea, ținând</w:t>
            </w:r>
            <w:r w:rsidRPr="00C56257">
              <w:rPr>
                <w:color w:val="000000" w:themeColor="text1"/>
                <w:spacing w:val="1"/>
              </w:rPr>
              <w:t xml:space="preserve"> </w:t>
            </w:r>
            <w:r w:rsidRPr="00C56257">
              <w:rPr>
                <w:color w:val="000000" w:themeColor="text1"/>
              </w:rPr>
              <w:t>cont de metoda de evaluare a perspectivelor de viitor propuse în aceste</w:t>
            </w:r>
            <w:r w:rsidRPr="00C56257">
              <w:rPr>
                <w:color w:val="000000" w:themeColor="text1"/>
                <w:spacing w:val="1"/>
              </w:rPr>
              <w:t xml:space="preserve"> </w:t>
            </w:r>
            <w:r w:rsidRPr="00C56257">
              <w:rPr>
                <w:color w:val="000000" w:themeColor="text1"/>
              </w:rPr>
              <w:t>orientări,</w:t>
            </w:r>
            <w:r w:rsidRPr="00C56257">
              <w:rPr>
                <w:color w:val="000000" w:themeColor="text1"/>
                <w:spacing w:val="1"/>
              </w:rPr>
              <w:t xml:space="preserve"> </w:t>
            </w:r>
            <w:r w:rsidRPr="00C56257">
              <w:rPr>
                <w:color w:val="000000" w:themeColor="text1"/>
              </w:rPr>
              <w:t>statutul</w:t>
            </w:r>
            <w:r w:rsidRPr="00C56257">
              <w:rPr>
                <w:color w:val="000000" w:themeColor="text1"/>
                <w:spacing w:val="1"/>
              </w:rPr>
              <w:t xml:space="preserve"> </w:t>
            </w:r>
            <w:r w:rsidRPr="00C56257">
              <w:rPr>
                <w:color w:val="000000" w:themeColor="text1"/>
              </w:rPr>
              <w:t>ar</w:t>
            </w:r>
            <w:r w:rsidRPr="00C56257">
              <w:rPr>
                <w:color w:val="000000" w:themeColor="text1"/>
                <w:spacing w:val="1"/>
              </w:rPr>
              <w:t xml:space="preserve"> </w:t>
            </w:r>
            <w:r w:rsidRPr="00C56257">
              <w:rPr>
                <w:color w:val="000000" w:themeColor="text1"/>
              </w:rPr>
              <w:t>trebui</w:t>
            </w:r>
            <w:r w:rsidRPr="00C56257">
              <w:rPr>
                <w:color w:val="000000" w:themeColor="text1"/>
                <w:spacing w:val="1"/>
              </w:rPr>
              <w:t xml:space="preserve"> </w:t>
            </w:r>
            <w:r w:rsidRPr="00C56257">
              <w:rPr>
                <w:color w:val="000000" w:themeColor="text1"/>
              </w:rPr>
              <w:t>considerat</w:t>
            </w:r>
            <w:r w:rsidRPr="00C56257">
              <w:rPr>
                <w:color w:val="000000" w:themeColor="text1"/>
                <w:spacing w:val="1"/>
              </w:rPr>
              <w:t xml:space="preserve"> </w:t>
            </w:r>
            <w:r w:rsidRPr="00C56257">
              <w:rPr>
                <w:color w:val="000000" w:themeColor="text1"/>
              </w:rPr>
              <w:t>„nefavorabil-inadecvat”</w:t>
            </w:r>
            <w:r w:rsidRPr="00C56257">
              <w:rPr>
                <w:color w:val="000000" w:themeColor="text1"/>
                <w:spacing w:val="1"/>
              </w:rPr>
              <w:t xml:space="preserve"> </w:t>
            </w:r>
            <w:r w:rsidRPr="00C56257">
              <w:rPr>
                <w:color w:val="000000" w:themeColor="text1"/>
              </w:rPr>
              <w:t>dacă</w:t>
            </w:r>
            <w:r w:rsidRPr="00C56257">
              <w:rPr>
                <w:color w:val="000000" w:themeColor="text1"/>
                <w:spacing w:val="1"/>
              </w:rPr>
              <w:t xml:space="preserve"> </w:t>
            </w:r>
            <w:r w:rsidRPr="00C56257">
              <w:rPr>
                <w:color w:val="000000" w:themeColor="text1"/>
              </w:rPr>
              <w:t>perspectivele unuia sau mai multor parametri (câmpul 9.1) sunt „sărace”,</w:t>
            </w:r>
            <w:r w:rsidRPr="00C56257">
              <w:rPr>
                <w:color w:val="000000" w:themeColor="text1"/>
                <w:spacing w:val="1"/>
              </w:rPr>
              <w:t xml:space="preserve"> </w:t>
            </w:r>
            <w:r w:rsidRPr="00C56257">
              <w:rPr>
                <w:color w:val="000000" w:themeColor="text1"/>
              </w:rPr>
              <w:t>niciunul</w:t>
            </w:r>
            <w:r w:rsidRPr="00C56257">
              <w:rPr>
                <w:color w:val="000000" w:themeColor="text1"/>
                <w:spacing w:val="25"/>
              </w:rPr>
              <w:t xml:space="preserve"> </w:t>
            </w:r>
            <w:r w:rsidRPr="00C56257">
              <w:rPr>
                <w:color w:val="000000" w:themeColor="text1"/>
              </w:rPr>
              <w:t>nu</w:t>
            </w:r>
            <w:r w:rsidRPr="00C56257">
              <w:rPr>
                <w:color w:val="000000" w:themeColor="text1"/>
                <w:spacing w:val="25"/>
              </w:rPr>
              <w:t xml:space="preserve"> </w:t>
            </w:r>
            <w:r w:rsidRPr="00C56257">
              <w:rPr>
                <w:color w:val="000000" w:themeColor="text1"/>
              </w:rPr>
              <w:t>are</w:t>
            </w:r>
            <w:r w:rsidRPr="00C56257">
              <w:rPr>
                <w:color w:val="000000" w:themeColor="text1"/>
                <w:spacing w:val="23"/>
              </w:rPr>
              <w:t xml:space="preserve"> </w:t>
            </w:r>
            <w:r w:rsidRPr="00C56257">
              <w:rPr>
                <w:color w:val="000000" w:themeColor="text1"/>
              </w:rPr>
              <w:t>perspective</w:t>
            </w:r>
            <w:r w:rsidRPr="00C56257">
              <w:rPr>
                <w:color w:val="000000" w:themeColor="text1"/>
                <w:spacing w:val="24"/>
              </w:rPr>
              <w:t xml:space="preserve"> </w:t>
            </w:r>
            <w:r w:rsidRPr="00C56257">
              <w:rPr>
                <w:color w:val="000000" w:themeColor="text1"/>
              </w:rPr>
              <w:t>„proaste”.</w:t>
            </w:r>
            <w:r w:rsidRPr="00C56257">
              <w:rPr>
                <w:color w:val="000000" w:themeColor="text1"/>
                <w:spacing w:val="25"/>
              </w:rPr>
              <w:t xml:space="preserve"> </w:t>
            </w:r>
            <w:r w:rsidRPr="00C56257">
              <w:rPr>
                <w:color w:val="000000" w:themeColor="text1"/>
              </w:rPr>
              <w:t>și</w:t>
            </w:r>
            <w:r w:rsidRPr="00C56257">
              <w:rPr>
                <w:color w:val="000000" w:themeColor="text1"/>
                <w:spacing w:val="26"/>
              </w:rPr>
              <w:t xml:space="preserve"> </w:t>
            </w:r>
            <w:r w:rsidRPr="00C56257">
              <w:rPr>
                <w:color w:val="000000" w:themeColor="text1"/>
              </w:rPr>
              <w:t>există</w:t>
            </w:r>
            <w:r w:rsidRPr="00C56257">
              <w:rPr>
                <w:color w:val="000000" w:themeColor="text1"/>
                <w:spacing w:val="24"/>
              </w:rPr>
              <w:t xml:space="preserve"> </w:t>
            </w:r>
            <w:r w:rsidRPr="00C56257">
              <w:rPr>
                <w:color w:val="000000" w:themeColor="text1"/>
              </w:rPr>
              <w:t>cel</w:t>
            </w:r>
            <w:r w:rsidRPr="00C56257">
              <w:rPr>
                <w:color w:val="000000" w:themeColor="text1"/>
                <w:spacing w:val="25"/>
              </w:rPr>
              <w:t xml:space="preserve"> </w:t>
            </w:r>
            <w:r w:rsidRPr="00C56257">
              <w:rPr>
                <w:color w:val="000000" w:themeColor="text1"/>
              </w:rPr>
              <w:t>puțin</w:t>
            </w:r>
            <w:r w:rsidRPr="00C56257">
              <w:rPr>
                <w:color w:val="000000" w:themeColor="text1"/>
                <w:spacing w:val="25"/>
              </w:rPr>
              <w:t xml:space="preserve"> </w:t>
            </w:r>
            <w:r w:rsidRPr="00C56257">
              <w:rPr>
                <w:color w:val="000000" w:themeColor="text1"/>
              </w:rPr>
              <w:t>un</w:t>
            </w:r>
            <w:r w:rsidRPr="00C56257">
              <w:rPr>
                <w:color w:val="000000" w:themeColor="text1"/>
                <w:spacing w:val="25"/>
              </w:rPr>
              <w:t xml:space="preserve"> </w:t>
            </w:r>
            <w:r w:rsidRPr="00C56257">
              <w:rPr>
                <w:color w:val="000000" w:themeColor="text1"/>
              </w:rPr>
              <w:t>parametru</w:t>
            </w:r>
            <w:r w:rsidRPr="00C56257">
              <w:rPr>
                <w:color w:val="000000" w:themeColor="text1"/>
                <w:spacing w:val="27"/>
              </w:rPr>
              <w:t xml:space="preserve"> </w:t>
            </w:r>
            <w:r w:rsidRPr="00C56257">
              <w:rPr>
                <w:color w:val="000000" w:themeColor="text1"/>
              </w:rPr>
              <w:t>cu</w:t>
            </w:r>
          </w:p>
          <w:p w14:paraId="5BE3C5D6" w14:textId="77777777" w:rsidR="007D2E1E" w:rsidRPr="00C56257" w:rsidRDefault="007D2E1E" w:rsidP="008E33FD">
            <w:pPr>
              <w:widowControl w:val="0"/>
              <w:autoSpaceDE w:val="0"/>
              <w:autoSpaceDN w:val="0"/>
              <w:spacing w:line="264" w:lineRule="exact"/>
              <w:jc w:val="both"/>
              <w:rPr>
                <w:color w:val="000000" w:themeColor="text1"/>
              </w:rPr>
            </w:pPr>
            <w:r w:rsidRPr="00C56257">
              <w:rPr>
                <w:color w:val="000000" w:themeColor="text1"/>
              </w:rPr>
              <w:t>perspective</w:t>
            </w:r>
            <w:r w:rsidRPr="00C56257">
              <w:rPr>
                <w:color w:val="000000" w:themeColor="text1"/>
                <w:spacing w:val="-3"/>
              </w:rPr>
              <w:t xml:space="preserve"> </w:t>
            </w:r>
            <w:r w:rsidRPr="00C56257">
              <w:rPr>
                <w:color w:val="000000" w:themeColor="text1"/>
              </w:rPr>
              <w:t>„necunoscute”.</w:t>
            </w:r>
          </w:p>
        </w:tc>
      </w:tr>
      <w:tr w:rsidR="007D2E1E" w:rsidRPr="00C56257" w14:paraId="05A7798A" w14:textId="77777777" w:rsidTr="00896C2C">
        <w:trPr>
          <w:trHeight w:val="2212"/>
        </w:trPr>
        <w:tc>
          <w:tcPr>
            <w:tcW w:w="1995" w:type="dxa"/>
            <w:tcBorders>
              <w:top w:val="single" w:sz="4" w:space="0" w:color="000000"/>
              <w:left w:val="single" w:sz="4" w:space="0" w:color="000000"/>
              <w:bottom w:val="single" w:sz="4" w:space="0" w:color="000000"/>
              <w:right w:val="single" w:sz="4" w:space="0" w:color="000000"/>
            </w:tcBorders>
          </w:tcPr>
          <w:p w14:paraId="6E527529" w14:textId="77777777" w:rsidR="007D2E1E" w:rsidRPr="00C56257" w:rsidRDefault="007D2E1E" w:rsidP="008E33FD">
            <w:pPr>
              <w:widowControl w:val="0"/>
              <w:autoSpaceDE w:val="0"/>
              <w:autoSpaceDN w:val="0"/>
              <w:jc w:val="both"/>
              <w:rPr>
                <w:color w:val="000000" w:themeColor="text1"/>
              </w:rPr>
            </w:pPr>
          </w:p>
          <w:p w14:paraId="6C659DB4" w14:textId="77777777" w:rsidR="007D2E1E" w:rsidRPr="00C56257" w:rsidRDefault="007D2E1E" w:rsidP="008E33FD">
            <w:pPr>
              <w:widowControl w:val="0"/>
              <w:autoSpaceDE w:val="0"/>
              <w:autoSpaceDN w:val="0"/>
              <w:jc w:val="both"/>
              <w:rPr>
                <w:color w:val="000000" w:themeColor="text1"/>
              </w:rPr>
            </w:pPr>
          </w:p>
          <w:p w14:paraId="115FED51" w14:textId="77777777" w:rsidR="007D2E1E" w:rsidRPr="00C56257" w:rsidRDefault="007D2E1E" w:rsidP="008E33FD">
            <w:pPr>
              <w:widowControl w:val="0"/>
              <w:autoSpaceDE w:val="0"/>
              <w:autoSpaceDN w:val="0"/>
              <w:spacing w:before="224"/>
              <w:ind w:right="154"/>
              <w:jc w:val="both"/>
              <w:rPr>
                <w:color w:val="000000" w:themeColor="text1"/>
              </w:rPr>
            </w:pPr>
            <w:r w:rsidRPr="00C56257">
              <w:rPr>
                <w:color w:val="000000" w:themeColor="text1"/>
                <w:spacing w:val="-1"/>
              </w:rPr>
              <w:t>Nefavorabil-rău</w:t>
            </w:r>
            <w:r w:rsidRPr="00C56257">
              <w:rPr>
                <w:color w:val="000000" w:themeColor="text1"/>
                <w:spacing w:val="-57"/>
              </w:rPr>
              <w:t xml:space="preserve"> </w:t>
            </w:r>
            <w:r w:rsidRPr="00C56257">
              <w:rPr>
                <w:color w:val="000000" w:themeColor="text1"/>
              </w:rPr>
              <w:t>(U2)</w:t>
            </w:r>
          </w:p>
        </w:tc>
        <w:tc>
          <w:tcPr>
            <w:tcW w:w="8085" w:type="dxa"/>
            <w:tcBorders>
              <w:top w:val="single" w:sz="4" w:space="0" w:color="000000"/>
              <w:left w:val="single" w:sz="4" w:space="0" w:color="000000"/>
              <w:bottom w:val="single" w:sz="4" w:space="0" w:color="000000"/>
              <w:right w:val="single" w:sz="4" w:space="0" w:color="000000"/>
            </w:tcBorders>
          </w:tcPr>
          <w:p w14:paraId="281FF7B2" w14:textId="77777777" w:rsidR="007D2E1E" w:rsidRPr="00C56257" w:rsidRDefault="007D2E1E" w:rsidP="008E33FD">
            <w:pPr>
              <w:widowControl w:val="0"/>
              <w:autoSpaceDE w:val="0"/>
              <w:autoSpaceDN w:val="0"/>
              <w:ind w:right="101"/>
              <w:jc w:val="both"/>
              <w:rPr>
                <w:color w:val="000000" w:themeColor="text1"/>
              </w:rPr>
            </w:pPr>
            <w:r w:rsidRPr="00C56257">
              <w:rPr>
                <w:color w:val="000000" w:themeColor="text1"/>
              </w:rPr>
              <w:t>Conform matricei de evaluare (anexa E), statutul perspectivelor de viitor</w:t>
            </w:r>
            <w:r w:rsidRPr="00C56257">
              <w:rPr>
                <w:color w:val="000000" w:themeColor="text1"/>
                <w:spacing w:val="1"/>
              </w:rPr>
              <w:t xml:space="preserve"> </w:t>
            </w:r>
            <w:r w:rsidRPr="00C56257">
              <w:rPr>
                <w:color w:val="000000" w:themeColor="text1"/>
              </w:rPr>
              <w:t>este</w:t>
            </w:r>
            <w:r w:rsidRPr="00C56257">
              <w:rPr>
                <w:color w:val="000000" w:themeColor="text1"/>
                <w:spacing w:val="-2"/>
              </w:rPr>
              <w:t xml:space="preserve"> </w:t>
            </w:r>
            <w:r w:rsidRPr="00C56257">
              <w:rPr>
                <w:color w:val="000000" w:themeColor="text1"/>
              </w:rPr>
              <w:t>„nefavorabil-rău”</w:t>
            </w:r>
            <w:r w:rsidRPr="00C56257">
              <w:rPr>
                <w:color w:val="000000" w:themeColor="text1"/>
                <w:spacing w:val="-1"/>
              </w:rPr>
              <w:t xml:space="preserve"> </w:t>
            </w:r>
            <w:r w:rsidRPr="00C56257">
              <w:rPr>
                <w:color w:val="000000" w:themeColor="text1"/>
              </w:rPr>
              <w:t>dacă:</w:t>
            </w:r>
          </w:p>
          <w:p w14:paraId="6D6E3523" w14:textId="77777777" w:rsidR="007D2E1E" w:rsidRPr="00C56257" w:rsidRDefault="007D2E1E" w:rsidP="008E33FD">
            <w:pPr>
              <w:widowControl w:val="0"/>
              <w:autoSpaceDE w:val="0"/>
              <w:autoSpaceDN w:val="0"/>
              <w:spacing w:line="235" w:lineRule="auto"/>
              <w:ind w:right="99"/>
              <w:jc w:val="both"/>
              <w:rPr>
                <w:color w:val="000000" w:themeColor="text1"/>
              </w:rPr>
            </w:pPr>
            <w:r w:rsidRPr="00C56257">
              <w:rPr>
                <w:color w:val="000000" w:themeColor="text1"/>
              </w:rPr>
              <w:t>-</w:t>
            </w:r>
            <w:r w:rsidRPr="00C56257">
              <w:rPr>
                <w:color w:val="000000" w:themeColor="text1"/>
                <w:spacing w:val="1"/>
              </w:rPr>
              <w:t xml:space="preserve"> </w:t>
            </w:r>
            <w:r w:rsidRPr="00C56257">
              <w:rPr>
                <w:color w:val="000000" w:themeColor="text1"/>
              </w:rPr>
              <w:t>Se așteaptă impacturi severe din cauza presiunilor și amenințărilor</w:t>
            </w:r>
            <w:r w:rsidRPr="00C56257">
              <w:rPr>
                <w:color w:val="000000" w:themeColor="text1"/>
                <w:spacing w:val="1"/>
              </w:rPr>
              <w:t xml:space="preserve"> </w:t>
            </w:r>
            <w:r w:rsidRPr="00C56257">
              <w:rPr>
                <w:color w:val="000000" w:themeColor="text1"/>
              </w:rPr>
              <w:t>asupra habitatului, perspectivele viitorului său sunt „proaste”, iar</w:t>
            </w:r>
            <w:r w:rsidRPr="00C56257">
              <w:rPr>
                <w:color w:val="000000" w:themeColor="text1"/>
                <w:spacing w:val="1"/>
              </w:rPr>
              <w:t xml:space="preserve"> </w:t>
            </w:r>
            <w:r w:rsidRPr="00C56257">
              <w:rPr>
                <w:color w:val="000000" w:themeColor="text1"/>
              </w:rPr>
              <w:t>viabilitatea</w:t>
            </w:r>
            <w:r w:rsidRPr="00C56257">
              <w:rPr>
                <w:color w:val="000000" w:themeColor="text1"/>
                <w:spacing w:val="-2"/>
              </w:rPr>
              <w:t xml:space="preserve"> </w:t>
            </w:r>
            <w:r w:rsidRPr="00C56257">
              <w:rPr>
                <w:color w:val="000000" w:themeColor="text1"/>
              </w:rPr>
              <w:t>pe</w:t>
            </w:r>
            <w:r w:rsidRPr="00C56257">
              <w:rPr>
                <w:color w:val="000000" w:themeColor="text1"/>
                <w:spacing w:val="-1"/>
              </w:rPr>
              <w:t xml:space="preserve"> </w:t>
            </w:r>
            <w:r w:rsidRPr="00C56257">
              <w:rPr>
                <w:color w:val="000000" w:themeColor="text1"/>
              </w:rPr>
              <w:t>termen lung</w:t>
            </w:r>
            <w:r w:rsidRPr="00C56257">
              <w:rPr>
                <w:color w:val="000000" w:themeColor="text1"/>
                <w:spacing w:val="-3"/>
              </w:rPr>
              <w:t xml:space="preserve"> </w:t>
            </w:r>
            <w:r w:rsidRPr="00C56257">
              <w:rPr>
                <w:color w:val="000000" w:themeColor="text1"/>
              </w:rPr>
              <w:t>nu</w:t>
            </w:r>
            <w:r w:rsidRPr="00C56257">
              <w:rPr>
                <w:color w:val="000000" w:themeColor="text1"/>
                <w:spacing w:val="-1"/>
              </w:rPr>
              <w:t xml:space="preserve"> </w:t>
            </w:r>
            <w:r w:rsidRPr="00C56257">
              <w:rPr>
                <w:color w:val="000000" w:themeColor="text1"/>
              </w:rPr>
              <w:t>este</w:t>
            </w:r>
            <w:r w:rsidRPr="00C56257">
              <w:rPr>
                <w:color w:val="000000" w:themeColor="text1"/>
                <w:spacing w:val="1"/>
              </w:rPr>
              <w:t xml:space="preserve"> </w:t>
            </w:r>
            <w:r w:rsidRPr="00C56257">
              <w:rPr>
                <w:color w:val="000000" w:themeColor="text1"/>
              </w:rPr>
              <w:t>asigurată.</w:t>
            </w:r>
          </w:p>
          <w:p w14:paraId="37F978E0" w14:textId="77777777" w:rsidR="007D2E1E" w:rsidRPr="00C56257" w:rsidRDefault="007D2E1E" w:rsidP="008E33FD">
            <w:pPr>
              <w:widowControl w:val="0"/>
              <w:autoSpaceDE w:val="0"/>
              <w:autoSpaceDN w:val="0"/>
              <w:jc w:val="both"/>
              <w:rPr>
                <w:color w:val="000000" w:themeColor="text1"/>
              </w:rPr>
            </w:pPr>
            <w:r w:rsidRPr="00C56257">
              <w:rPr>
                <w:color w:val="000000" w:themeColor="text1"/>
              </w:rPr>
              <w:t>Informații</w:t>
            </w:r>
            <w:r w:rsidR="00A709D8">
              <w:rPr>
                <w:color w:val="000000" w:themeColor="text1"/>
              </w:rPr>
              <w:t xml:space="preserve"> </w:t>
            </w:r>
            <w:r w:rsidRPr="00C56257">
              <w:rPr>
                <w:color w:val="000000" w:themeColor="text1"/>
              </w:rPr>
              <w:t>suplimentare:</w:t>
            </w:r>
          </w:p>
          <w:p w14:paraId="789EF845" w14:textId="77777777" w:rsidR="007D2E1E" w:rsidRPr="00C56257" w:rsidRDefault="007D2E1E" w:rsidP="008E33FD">
            <w:pPr>
              <w:widowControl w:val="0"/>
              <w:autoSpaceDE w:val="0"/>
              <w:autoSpaceDN w:val="0"/>
              <w:spacing w:line="270" w:lineRule="atLeast"/>
              <w:ind w:right="95"/>
              <w:jc w:val="both"/>
              <w:rPr>
                <w:color w:val="000000" w:themeColor="text1"/>
              </w:rPr>
            </w:pPr>
            <w:r w:rsidRPr="00C56257">
              <w:rPr>
                <w:color w:val="000000" w:themeColor="text1"/>
              </w:rPr>
              <w:t>Perspectivele</w:t>
            </w:r>
            <w:r w:rsidRPr="00C56257">
              <w:rPr>
                <w:color w:val="000000" w:themeColor="text1"/>
                <w:spacing w:val="22"/>
              </w:rPr>
              <w:t xml:space="preserve"> </w:t>
            </w:r>
            <w:r w:rsidRPr="00C56257">
              <w:rPr>
                <w:color w:val="000000" w:themeColor="text1"/>
              </w:rPr>
              <w:t>de</w:t>
            </w:r>
            <w:r w:rsidRPr="00C56257">
              <w:rPr>
                <w:color w:val="000000" w:themeColor="text1"/>
                <w:spacing w:val="22"/>
              </w:rPr>
              <w:t xml:space="preserve"> </w:t>
            </w:r>
            <w:r w:rsidRPr="00C56257">
              <w:rPr>
                <w:color w:val="000000" w:themeColor="text1"/>
              </w:rPr>
              <w:t>viitor</w:t>
            </w:r>
            <w:r w:rsidRPr="00C56257">
              <w:rPr>
                <w:color w:val="000000" w:themeColor="text1"/>
                <w:spacing w:val="23"/>
              </w:rPr>
              <w:t xml:space="preserve"> </w:t>
            </w:r>
            <w:r w:rsidRPr="00C56257">
              <w:rPr>
                <w:color w:val="000000" w:themeColor="text1"/>
              </w:rPr>
              <w:t>ar</w:t>
            </w:r>
            <w:r w:rsidRPr="00C56257">
              <w:rPr>
                <w:color w:val="000000" w:themeColor="text1"/>
                <w:spacing w:val="23"/>
              </w:rPr>
              <w:t xml:space="preserve"> </w:t>
            </w:r>
            <w:r w:rsidRPr="00C56257">
              <w:rPr>
                <w:color w:val="000000" w:themeColor="text1"/>
              </w:rPr>
              <w:t>trebui</w:t>
            </w:r>
            <w:r w:rsidRPr="00C56257">
              <w:rPr>
                <w:color w:val="000000" w:themeColor="text1"/>
                <w:spacing w:val="24"/>
              </w:rPr>
              <w:t xml:space="preserve"> </w:t>
            </w:r>
            <w:r w:rsidRPr="00C56257">
              <w:rPr>
                <w:color w:val="000000" w:themeColor="text1"/>
              </w:rPr>
              <w:t>evaluate</w:t>
            </w:r>
            <w:r w:rsidRPr="00C56257">
              <w:rPr>
                <w:color w:val="000000" w:themeColor="text1"/>
                <w:spacing w:val="25"/>
              </w:rPr>
              <w:t xml:space="preserve"> </w:t>
            </w:r>
            <w:r w:rsidRPr="00C56257">
              <w:rPr>
                <w:color w:val="000000" w:themeColor="text1"/>
              </w:rPr>
              <w:t>ca</w:t>
            </w:r>
            <w:r w:rsidRPr="00C56257">
              <w:rPr>
                <w:color w:val="000000" w:themeColor="text1"/>
                <w:spacing w:val="22"/>
              </w:rPr>
              <w:t xml:space="preserve"> </w:t>
            </w:r>
            <w:r w:rsidRPr="00C56257">
              <w:rPr>
                <w:color w:val="000000" w:themeColor="text1"/>
              </w:rPr>
              <w:t>„nefavorabile-rele”</w:t>
            </w:r>
            <w:r w:rsidRPr="00C56257">
              <w:rPr>
                <w:color w:val="000000" w:themeColor="text1"/>
                <w:spacing w:val="22"/>
              </w:rPr>
              <w:t xml:space="preserve"> </w:t>
            </w:r>
            <w:r w:rsidRPr="00C56257">
              <w:rPr>
                <w:color w:val="000000" w:themeColor="text1"/>
              </w:rPr>
              <w:t>dacă</w:t>
            </w:r>
            <w:r w:rsidRPr="00C56257">
              <w:rPr>
                <w:color w:val="000000" w:themeColor="text1"/>
                <w:spacing w:val="22"/>
              </w:rPr>
              <w:t xml:space="preserve"> </w:t>
            </w:r>
            <w:r w:rsidRPr="00C56257">
              <w:rPr>
                <w:color w:val="000000" w:themeColor="text1"/>
              </w:rPr>
              <w:t>unul</w:t>
            </w:r>
            <w:r w:rsidRPr="00C56257">
              <w:rPr>
                <w:color w:val="000000" w:themeColor="text1"/>
                <w:spacing w:val="-57"/>
              </w:rPr>
              <w:t xml:space="preserve"> </w:t>
            </w:r>
            <w:r w:rsidRPr="00C56257">
              <w:rPr>
                <w:color w:val="000000" w:themeColor="text1"/>
              </w:rPr>
              <w:t>sau</w:t>
            </w:r>
            <w:r w:rsidRPr="00C56257">
              <w:rPr>
                <w:color w:val="000000" w:themeColor="text1"/>
                <w:spacing w:val="-1"/>
              </w:rPr>
              <w:t xml:space="preserve"> </w:t>
            </w:r>
            <w:r w:rsidRPr="00C56257">
              <w:rPr>
                <w:color w:val="000000" w:themeColor="text1"/>
              </w:rPr>
              <w:t>mai mulți</w:t>
            </w:r>
            <w:r w:rsidRPr="00C56257">
              <w:rPr>
                <w:color w:val="000000" w:themeColor="text1"/>
                <w:spacing w:val="-1"/>
              </w:rPr>
              <w:t xml:space="preserve"> </w:t>
            </w:r>
            <w:r w:rsidRPr="00C56257">
              <w:rPr>
                <w:color w:val="000000" w:themeColor="text1"/>
              </w:rPr>
              <w:t>parametri au perspective</w:t>
            </w:r>
            <w:r w:rsidRPr="00C56257">
              <w:rPr>
                <w:color w:val="000000" w:themeColor="text1"/>
                <w:spacing w:val="-2"/>
              </w:rPr>
              <w:t xml:space="preserve"> </w:t>
            </w:r>
            <w:r w:rsidRPr="00C56257">
              <w:rPr>
                <w:color w:val="000000" w:themeColor="text1"/>
              </w:rPr>
              <w:t>„proaste”</w:t>
            </w:r>
            <w:r w:rsidRPr="00C56257">
              <w:rPr>
                <w:color w:val="000000" w:themeColor="text1"/>
                <w:spacing w:val="-1"/>
              </w:rPr>
              <w:t xml:space="preserve"> </w:t>
            </w:r>
            <w:r w:rsidRPr="00C56257">
              <w:rPr>
                <w:color w:val="000000" w:themeColor="text1"/>
              </w:rPr>
              <w:t>(câmpul 9.1).</w:t>
            </w:r>
          </w:p>
        </w:tc>
      </w:tr>
      <w:tr w:rsidR="007D2E1E" w:rsidRPr="00C56257" w14:paraId="56E623AE" w14:textId="77777777" w:rsidTr="00896C2C">
        <w:trPr>
          <w:trHeight w:val="1936"/>
        </w:trPr>
        <w:tc>
          <w:tcPr>
            <w:tcW w:w="1995" w:type="dxa"/>
            <w:tcBorders>
              <w:top w:val="single" w:sz="4" w:space="0" w:color="000000"/>
              <w:left w:val="single" w:sz="4" w:space="0" w:color="000000"/>
              <w:bottom w:val="single" w:sz="4" w:space="0" w:color="000000"/>
              <w:right w:val="single" w:sz="4" w:space="0" w:color="000000"/>
            </w:tcBorders>
          </w:tcPr>
          <w:p w14:paraId="04EE4A06" w14:textId="77777777" w:rsidR="007D2E1E" w:rsidRPr="00C56257" w:rsidRDefault="007D2E1E" w:rsidP="008E33FD">
            <w:pPr>
              <w:widowControl w:val="0"/>
              <w:autoSpaceDE w:val="0"/>
              <w:autoSpaceDN w:val="0"/>
              <w:jc w:val="both"/>
              <w:rPr>
                <w:color w:val="000000" w:themeColor="text1"/>
              </w:rPr>
            </w:pPr>
          </w:p>
          <w:p w14:paraId="449A8612" w14:textId="77777777" w:rsidR="007D2E1E" w:rsidRPr="00C56257" w:rsidRDefault="007D2E1E" w:rsidP="008E33FD">
            <w:pPr>
              <w:widowControl w:val="0"/>
              <w:autoSpaceDE w:val="0"/>
              <w:autoSpaceDN w:val="0"/>
              <w:spacing w:before="4"/>
              <w:jc w:val="both"/>
              <w:rPr>
                <w:color w:val="000000" w:themeColor="text1"/>
              </w:rPr>
            </w:pPr>
          </w:p>
          <w:p w14:paraId="77163BB9" w14:textId="77777777" w:rsidR="007D2E1E" w:rsidRPr="00C56257" w:rsidRDefault="007D2E1E" w:rsidP="008E33FD">
            <w:pPr>
              <w:widowControl w:val="0"/>
              <w:autoSpaceDE w:val="0"/>
              <w:autoSpaceDN w:val="0"/>
              <w:spacing w:before="1"/>
              <w:ind w:right="549"/>
              <w:jc w:val="both"/>
              <w:rPr>
                <w:color w:val="000000" w:themeColor="text1"/>
              </w:rPr>
            </w:pPr>
            <w:r w:rsidRPr="00C56257">
              <w:rPr>
                <w:color w:val="000000" w:themeColor="text1"/>
                <w:spacing w:val="-1"/>
              </w:rPr>
              <w:t>Necunoscut</w:t>
            </w:r>
            <w:r w:rsidRPr="00C56257">
              <w:rPr>
                <w:color w:val="000000" w:themeColor="text1"/>
                <w:spacing w:val="-57"/>
              </w:rPr>
              <w:t xml:space="preserve"> </w:t>
            </w:r>
            <w:r w:rsidRPr="00C56257">
              <w:rPr>
                <w:color w:val="000000" w:themeColor="text1"/>
              </w:rPr>
              <w:t>(XX)</w:t>
            </w:r>
          </w:p>
        </w:tc>
        <w:tc>
          <w:tcPr>
            <w:tcW w:w="8085" w:type="dxa"/>
            <w:tcBorders>
              <w:top w:val="single" w:sz="4" w:space="0" w:color="000000"/>
              <w:left w:val="single" w:sz="4" w:space="0" w:color="000000"/>
              <w:bottom w:val="single" w:sz="4" w:space="0" w:color="000000"/>
              <w:right w:val="single" w:sz="4" w:space="0" w:color="000000"/>
            </w:tcBorders>
          </w:tcPr>
          <w:p w14:paraId="2AFE2A95" w14:textId="77777777" w:rsidR="007D2E1E" w:rsidRPr="00C56257" w:rsidRDefault="007D2E1E" w:rsidP="008E33FD">
            <w:pPr>
              <w:widowControl w:val="0"/>
              <w:autoSpaceDE w:val="0"/>
              <w:autoSpaceDN w:val="0"/>
              <w:ind w:right="100"/>
              <w:jc w:val="both"/>
              <w:rPr>
                <w:color w:val="000000" w:themeColor="text1"/>
              </w:rPr>
            </w:pPr>
            <w:r w:rsidRPr="00C56257">
              <w:rPr>
                <w:color w:val="000000" w:themeColor="text1"/>
              </w:rPr>
              <w:t>Conform</w:t>
            </w:r>
            <w:r w:rsidRPr="00C56257">
              <w:rPr>
                <w:color w:val="000000" w:themeColor="text1"/>
                <w:spacing w:val="46"/>
              </w:rPr>
              <w:t xml:space="preserve"> </w:t>
            </w:r>
            <w:r w:rsidRPr="00C56257">
              <w:rPr>
                <w:color w:val="000000" w:themeColor="text1"/>
              </w:rPr>
              <w:t>matricei</w:t>
            </w:r>
            <w:r w:rsidRPr="00C56257">
              <w:rPr>
                <w:color w:val="000000" w:themeColor="text1"/>
                <w:spacing w:val="46"/>
              </w:rPr>
              <w:t xml:space="preserve"> </w:t>
            </w:r>
            <w:r w:rsidRPr="00C56257">
              <w:rPr>
                <w:color w:val="000000" w:themeColor="text1"/>
              </w:rPr>
              <w:t>de</w:t>
            </w:r>
            <w:r w:rsidRPr="00C56257">
              <w:rPr>
                <w:color w:val="000000" w:themeColor="text1"/>
                <w:spacing w:val="44"/>
              </w:rPr>
              <w:t xml:space="preserve"> </w:t>
            </w:r>
            <w:r w:rsidRPr="00C56257">
              <w:rPr>
                <w:color w:val="000000" w:themeColor="text1"/>
              </w:rPr>
              <w:t>evaluare</w:t>
            </w:r>
            <w:r w:rsidRPr="00C56257">
              <w:rPr>
                <w:color w:val="000000" w:themeColor="text1"/>
                <w:spacing w:val="44"/>
              </w:rPr>
              <w:t xml:space="preserve"> </w:t>
            </w:r>
            <w:r w:rsidRPr="00C56257">
              <w:rPr>
                <w:color w:val="000000" w:themeColor="text1"/>
              </w:rPr>
              <w:t>(anexa</w:t>
            </w:r>
            <w:r w:rsidRPr="00C56257">
              <w:rPr>
                <w:color w:val="000000" w:themeColor="text1"/>
                <w:spacing w:val="44"/>
              </w:rPr>
              <w:t xml:space="preserve"> </w:t>
            </w:r>
            <w:r w:rsidRPr="00C56257">
              <w:rPr>
                <w:color w:val="000000" w:themeColor="text1"/>
              </w:rPr>
              <w:t>E),</w:t>
            </w:r>
            <w:r w:rsidRPr="00C56257">
              <w:rPr>
                <w:color w:val="000000" w:themeColor="text1"/>
                <w:spacing w:val="46"/>
              </w:rPr>
              <w:t xml:space="preserve"> </w:t>
            </w:r>
            <w:r w:rsidRPr="00C56257">
              <w:rPr>
                <w:color w:val="000000" w:themeColor="text1"/>
              </w:rPr>
              <w:t>situația</w:t>
            </w:r>
            <w:r w:rsidRPr="00C56257">
              <w:rPr>
                <w:color w:val="000000" w:themeColor="text1"/>
                <w:spacing w:val="44"/>
              </w:rPr>
              <w:t xml:space="preserve"> </w:t>
            </w:r>
            <w:r w:rsidRPr="00C56257">
              <w:rPr>
                <w:color w:val="000000" w:themeColor="text1"/>
              </w:rPr>
              <w:t>perspectivelor</w:t>
            </w:r>
            <w:r w:rsidRPr="00C56257">
              <w:rPr>
                <w:color w:val="000000" w:themeColor="text1"/>
                <w:spacing w:val="45"/>
              </w:rPr>
              <w:t xml:space="preserve"> </w:t>
            </w:r>
            <w:r w:rsidRPr="00C56257">
              <w:rPr>
                <w:color w:val="000000" w:themeColor="text1"/>
              </w:rPr>
              <w:t>viitoare</w:t>
            </w:r>
            <w:r w:rsidRPr="00C56257">
              <w:rPr>
                <w:color w:val="000000" w:themeColor="text1"/>
                <w:spacing w:val="-58"/>
              </w:rPr>
              <w:t xml:space="preserve"> </w:t>
            </w:r>
            <w:r w:rsidRPr="00C56257">
              <w:rPr>
                <w:color w:val="000000" w:themeColor="text1"/>
              </w:rPr>
              <w:t>este</w:t>
            </w:r>
            <w:r w:rsidRPr="00C56257">
              <w:rPr>
                <w:color w:val="000000" w:themeColor="text1"/>
                <w:spacing w:val="-2"/>
              </w:rPr>
              <w:t xml:space="preserve"> </w:t>
            </w:r>
            <w:r w:rsidRPr="00C56257">
              <w:rPr>
                <w:color w:val="000000" w:themeColor="text1"/>
              </w:rPr>
              <w:t>„necunoscută”</w:t>
            </w:r>
            <w:r w:rsidRPr="00C56257">
              <w:rPr>
                <w:color w:val="000000" w:themeColor="text1"/>
                <w:spacing w:val="-1"/>
              </w:rPr>
              <w:t xml:space="preserve"> </w:t>
            </w:r>
            <w:r w:rsidRPr="00C56257">
              <w:rPr>
                <w:color w:val="000000" w:themeColor="text1"/>
              </w:rPr>
              <w:t>dacă:</w:t>
            </w:r>
          </w:p>
          <w:p w14:paraId="73B47210" w14:textId="77777777" w:rsidR="007D2E1E" w:rsidRPr="00C56257" w:rsidRDefault="007D2E1E" w:rsidP="008E33FD">
            <w:pPr>
              <w:widowControl w:val="0"/>
              <w:autoSpaceDE w:val="0"/>
              <w:autoSpaceDN w:val="0"/>
              <w:spacing w:before="1" w:line="230" w:lineRule="auto"/>
              <w:ind w:right="1340"/>
              <w:jc w:val="both"/>
              <w:rPr>
                <w:color w:val="000000" w:themeColor="text1"/>
              </w:rPr>
            </w:pPr>
            <w:r w:rsidRPr="00C56257">
              <w:rPr>
                <w:color w:val="000000" w:themeColor="text1"/>
              </w:rPr>
              <w:t>-</w:t>
            </w:r>
            <w:r w:rsidRPr="00C56257">
              <w:rPr>
                <w:color w:val="000000" w:themeColor="text1"/>
                <w:spacing w:val="1"/>
              </w:rPr>
              <w:t xml:space="preserve"> </w:t>
            </w:r>
            <w:r w:rsidRPr="00C56257">
              <w:rPr>
                <w:color w:val="000000" w:themeColor="text1"/>
              </w:rPr>
              <w:t>nu există informații fiabile sau insuficiente disponibile.</w:t>
            </w:r>
            <w:r w:rsidRPr="00C56257">
              <w:rPr>
                <w:color w:val="000000" w:themeColor="text1"/>
                <w:spacing w:val="-57"/>
              </w:rPr>
              <w:t xml:space="preserve"> </w:t>
            </w:r>
            <w:r w:rsidRPr="00C56257">
              <w:rPr>
                <w:color w:val="000000" w:themeColor="text1"/>
              </w:rPr>
              <w:t>Observații</w:t>
            </w:r>
            <w:r w:rsidRPr="00C56257">
              <w:rPr>
                <w:color w:val="000000" w:themeColor="text1"/>
                <w:spacing w:val="-1"/>
              </w:rPr>
              <w:t xml:space="preserve"> </w:t>
            </w:r>
            <w:r w:rsidRPr="00C56257">
              <w:rPr>
                <w:color w:val="000000" w:themeColor="text1"/>
              </w:rPr>
              <w:t>complementare:</w:t>
            </w:r>
          </w:p>
          <w:p w14:paraId="6C88CB24" w14:textId="77777777" w:rsidR="007D2E1E" w:rsidRPr="00C56257" w:rsidRDefault="007D2E1E" w:rsidP="008E33FD">
            <w:pPr>
              <w:widowControl w:val="0"/>
              <w:autoSpaceDE w:val="0"/>
              <w:autoSpaceDN w:val="0"/>
              <w:spacing w:line="270" w:lineRule="atLeast"/>
              <w:ind w:right="100"/>
              <w:jc w:val="both"/>
              <w:rPr>
                <w:color w:val="000000" w:themeColor="text1"/>
              </w:rPr>
            </w:pPr>
            <w:r w:rsidRPr="00C56257">
              <w:rPr>
                <w:color w:val="000000" w:themeColor="text1"/>
              </w:rPr>
              <w:t>Perspectivele</w:t>
            </w:r>
            <w:r w:rsidRPr="00C56257">
              <w:rPr>
                <w:color w:val="000000" w:themeColor="text1"/>
                <w:spacing w:val="36"/>
              </w:rPr>
              <w:t xml:space="preserve"> </w:t>
            </w:r>
            <w:r w:rsidRPr="00C56257">
              <w:rPr>
                <w:color w:val="000000" w:themeColor="text1"/>
              </w:rPr>
              <w:t>de</w:t>
            </w:r>
            <w:r w:rsidRPr="00C56257">
              <w:rPr>
                <w:color w:val="000000" w:themeColor="text1"/>
                <w:spacing w:val="37"/>
              </w:rPr>
              <w:t xml:space="preserve"> </w:t>
            </w:r>
            <w:r w:rsidRPr="00C56257">
              <w:rPr>
                <w:color w:val="000000" w:themeColor="text1"/>
              </w:rPr>
              <w:t>viitor</w:t>
            </w:r>
            <w:r w:rsidRPr="00C56257">
              <w:rPr>
                <w:color w:val="000000" w:themeColor="text1"/>
                <w:spacing w:val="37"/>
              </w:rPr>
              <w:t xml:space="preserve"> </w:t>
            </w:r>
            <w:r w:rsidRPr="00C56257">
              <w:rPr>
                <w:color w:val="000000" w:themeColor="text1"/>
              </w:rPr>
              <w:t>ar</w:t>
            </w:r>
            <w:r w:rsidRPr="00C56257">
              <w:rPr>
                <w:color w:val="000000" w:themeColor="text1"/>
                <w:spacing w:val="37"/>
              </w:rPr>
              <w:t xml:space="preserve"> </w:t>
            </w:r>
            <w:r w:rsidRPr="00C56257">
              <w:rPr>
                <w:color w:val="000000" w:themeColor="text1"/>
              </w:rPr>
              <w:t>trebui</w:t>
            </w:r>
            <w:r w:rsidRPr="00C56257">
              <w:rPr>
                <w:color w:val="000000" w:themeColor="text1"/>
                <w:spacing w:val="37"/>
              </w:rPr>
              <w:t xml:space="preserve"> </w:t>
            </w:r>
            <w:r w:rsidRPr="00C56257">
              <w:rPr>
                <w:color w:val="000000" w:themeColor="text1"/>
              </w:rPr>
              <w:t>evaluate</w:t>
            </w:r>
            <w:r w:rsidRPr="00C56257">
              <w:rPr>
                <w:color w:val="000000" w:themeColor="text1"/>
                <w:spacing w:val="39"/>
              </w:rPr>
              <w:t xml:space="preserve"> </w:t>
            </w:r>
            <w:r w:rsidRPr="00C56257">
              <w:rPr>
                <w:color w:val="000000" w:themeColor="text1"/>
              </w:rPr>
              <w:t>ca</w:t>
            </w:r>
            <w:r w:rsidRPr="00C56257">
              <w:rPr>
                <w:color w:val="000000" w:themeColor="text1"/>
                <w:spacing w:val="36"/>
              </w:rPr>
              <w:t xml:space="preserve"> </w:t>
            </w:r>
            <w:r w:rsidRPr="00C56257">
              <w:rPr>
                <w:color w:val="000000" w:themeColor="text1"/>
              </w:rPr>
              <w:t>„necunoscute”</w:t>
            </w:r>
            <w:r w:rsidRPr="00C56257">
              <w:rPr>
                <w:color w:val="000000" w:themeColor="text1"/>
                <w:spacing w:val="36"/>
              </w:rPr>
              <w:t xml:space="preserve"> </w:t>
            </w:r>
            <w:r w:rsidRPr="00C56257">
              <w:rPr>
                <w:color w:val="000000" w:themeColor="text1"/>
              </w:rPr>
              <w:t>dacă</w:t>
            </w:r>
            <w:r w:rsidRPr="00C56257">
              <w:rPr>
                <w:color w:val="000000" w:themeColor="text1"/>
                <w:spacing w:val="36"/>
              </w:rPr>
              <w:t xml:space="preserve"> </w:t>
            </w:r>
            <w:r w:rsidRPr="00C56257">
              <w:rPr>
                <w:color w:val="000000" w:themeColor="text1"/>
              </w:rPr>
              <w:t>doi</w:t>
            </w:r>
            <w:r w:rsidRPr="00C56257">
              <w:rPr>
                <w:color w:val="000000" w:themeColor="text1"/>
                <w:spacing w:val="38"/>
              </w:rPr>
              <w:t xml:space="preserve"> </w:t>
            </w:r>
            <w:r w:rsidRPr="00C56257">
              <w:rPr>
                <w:color w:val="000000" w:themeColor="text1"/>
              </w:rPr>
              <w:t>sau</w:t>
            </w:r>
            <w:r w:rsidRPr="00C56257">
              <w:rPr>
                <w:color w:val="000000" w:themeColor="text1"/>
                <w:spacing w:val="-58"/>
              </w:rPr>
              <w:t xml:space="preserve"> </w:t>
            </w:r>
            <w:r w:rsidRPr="00C56257">
              <w:rPr>
                <w:color w:val="000000" w:themeColor="text1"/>
              </w:rPr>
              <w:t>mai mulți parametri au perspective „necunoscute” și dacă niciun parametru</w:t>
            </w:r>
            <w:r w:rsidRPr="00C56257">
              <w:rPr>
                <w:color w:val="000000" w:themeColor="text1"/>
                <w:spacing w:val="-57"/>
              </w:rPr>
              <w:t xml:space="preserve"> </w:t>
            </w:r>
            <w:r w:rsidRPr="00C56257">
              <w:rPr>
                <w:color w:val="000000" w:themeColor="text1"/>
              </w:rPr>
              <w:t>nu</w:t>
            </w:r>
            <w:r w:rsidRPr="00C56257">
              <w:rPr>
                <w:color w:val="000000" w:themeColor="text1"/>
                <w:spacing w:val="-1"/>
              </w:rPr>
              <w:t xml:space="preserve"> </w:t>
            </w:r>
            <w:r w:rsidRPr="00C56257">
              <w:rPr>
                <w:color w:val="000000" w:themeColor="text1"/>
              </w:rPr>
              <w:t>are</w:t>
            </w:r>
            <w:r w:rsidRPr="00C56257">
              <w:rPr>
                <w:color w:val="000000" w:themeColor="text1"/>
                <w:spacing w:val="-2"/>
              </w:rPr>
              <w:t xml:space="preserve"> </w:t>
            </w:r>
            <w:r w:rsidRPr="00C56257">
              <w:rPr>
                <w:color w:val="000000" w:themeColor="text1"/>
              </w:rPr>
              <w:t>perspective</w:t>
            </w:r>
            <w:r w:rsidRPr="00C56257">
              <w:rPr>
                <w:color w:val="000000" w:themeColor="text1"/>
                <w:spacing w:val="-1"/>
              </w:rPr>
              <w:t xml:space="preserve"> </w:t>
            </w:r>
            <w:r w:rsidRPr="00C56257">
              <w:rPr>
                <w:color w:val="000000" w:themeColor="text1"/>
              </w:rPr>
              <w:t>„proaste”</w:t>
            </w:r>
            <w:r w:rsidRPr="00C56257">
              <w:rPr>
                <w:color w:val="000000" w:themeColor="text1"/>
                <w:spacing w:val="-2"/>
              </w:rPr>
              <w:t xml:space="preserve"> </w:t>
            </w:r>
            <w:r w:rsidRPr="00C56257">
              <w:rPr>
                <w:color w:val="000000" w:themeColor="text1"/>
              </w:rPr>
              <w:t>(câmpul 9.1).</w:t>
            </w:r>
          </w:p>
        </w:tc>
      </w:tr>
    </w:tbl>
    <w:p w14:paraId="55F3B0F0" w14:textId="77777777" w:rsidR="007D2E1E" w:rsidRPr="00C56257" w:rsidRDefault="007D2E1E" w:rsidP="008E33FD">
      <w:pPr>
        <w:widowControl w:val="0"/>
        <w:autoSpaceDE w:val="0"/>
        <w:autoSpaceDN w:val="0"/>
        <w:spacing w:before="6"/>
        <w:jc w:val="both"/>
        <w:rPr>
          <w:b/>
          <w:color w:val="000000" w:themeColor="text1"/>
        </w:rPr>
      </w:pPr>
    </w:p>
    <w:p w14:paraId="00D7C228" w14:textId="77777777" w:rsidR="0064368D" w:rsidRPr="00C56257" w:rsidRDefault="00CF4622" w:rsidP="00CF4622">
      <w:pPr>
        <w:tabs>
          <w:tab w:val="left" w:pos="1274"/>
        </w:tabs>
        <w:jc w:val="both"/>
        <w:outlineLvl w:val="1"/>
        <w:rPr>
          <w:rFonts w:eastAsia="Cambria"/>
          <w:b/>
          <w:bCs/>
          <w:color w:val="000000" w:themeColor="text1"/>
        </w:rPr>
      </w:pPr>
      <w:r w:rsidRPr="00C56257">
        <w:rPr>
          <w:rFonts w:eastAsia="Cambria"/>
          <w:b/>
          <w:bCs/>
          <w:color w:val="000000" w:themeColor="text1"/>
        </w:rPr>
        <w:t xml:space="preserve">Siturile </w:t>
      </w:r>
      <w:r w:rsidR="00D82FA7">
        <w:rPr>
          <w:rFonts w:eastAsia="Cambria"/>
          <w:b/>
          <w:bCs/>
          <w:color w:val="000000" w:themeColor="text1"/>
        </w:rPr>
        <w:t>N</w:t>
      </w:r>
      <w:r w:rsidRPr="00C56257">
        <w:rPr>
          <w:rFonts w:eastAsia="Cambria"/>
          <w:b/>
          <w:bCs/>
          <w:color w:val="000000" w:themeColor="text1"/>
        </w:rPr>
        <w:t>atura 2000 (pSCI, SCI) pentru tipurile de h</w:t>
      </w:r>
      <w:r>
        <w:rPr>
          <w:rFonts w:eastAsia="Cambria"/>
          <w:b/>
          <w:bCs/>
          <w:color w:val="000000" w:themeColor="text1"/>
        </w:rPr>
        <w:t>abitate de apă dulce din anexa I a Directivei H</w:t>
      </w:r>
      <w:r w:rsidRPr="00C56257">
        <w:rPr>
          <w:rFonts w:eastAsia="Cambria"/>
          <w:b/>
          <w:bCs/>
          <w:color w:val="000000" w:themeColor="text1"/>
        </w:rPr>
        <w:t>abitate</w:t>
      </w:r>
    </w:p>
    <w:p w14:paraId="70401946" w14:textId="77777777" w:rsidR="0064368D" w:rsidRPr="00F100E1" w:rsidRDefault="0064368D" w:rsidP="008E33FD">
      <w:pPr>
        <w:pStyle w:val="ListParagraph"/>
        <w:widowControl w:val="0"/>
        <w:tabs>
          <w:tab w:val="left" w:pos="1274"/>
        </w:tabs>
        <w:autoSpaceDE w:val="0"/>
        <w:autoSpaceDN w:val="0"/>
        <w:ind w:left="828"/>
        <w:jc w:val="both"/>
        <w:outlineLvl w:val="1"/>
        <w:rPr>
          <w:rFonts w:ascii="Times New Roman" w:eastAsia="Cambria" w:hAnsi="Times New Roman" w:cs="Times New Roman"/>
          <w:b/>
          <w:bCs/>
          <w:color w:val="000000" w:themeColor="text1"/>
          <w:sz w:val="24"/>
          <w:szCs w:val="24"/>
          <w:lang w:val="ro-RO"/>
        </w:rPr>
      </w:pPr>
    </w:p>
    <w:p w14:paraId="66167ABB" w14:textId="77777777" w:rsidR="007D2E1E" w:rsidRPr="00C56257" w:rsidRDefault="00A94BD8" w:rsidP="00896C2C">
      <w:pPr>
        <w:widowControl w:val="0"/>
        <w:autoSpaceDE w:val="0"/>
        <w:autoSpaceDN w:val="0"/>
        <w:spacing w:before="1"/>
        <w:ind w:right="27"/>
        <w:jc w:val="both"/>
        <w:rPr>
          <w:color w:val="000000" w:themeColor="text1"/>
        </w:rPr>
      </w:pPr>
      <w:r>
        <w:rPr>
          <w:color w:val="000000" w:themeColor="text1"/>
        </w:rPr>
        <w:t>Î</w:t>
      </w:r>
      <w:r w:rsidR="007D2E1E" w:rsidRPr="00C56257">
        <w:rPr>
          <w:color w:val="000000" w:themeColor="text1"/>
        </w:rPr>
        <w:t>n</w:t>
      </w:r>
      <w:r w:rsidR="007D2E1E" w:rsidRPr="00C56257">
        <w:rPr>
          <w:color w:val="000000" w:themeColor="text1"/>
          <w:spacing w:val="1"/>
        </w:rPr>
        <w:t xml:space="preserve"> </w:t>
      </w:r>
      <w:r w:rsidR="007D2E1E" w:rsidRPr="00C56257">
        <w:rPr>
          <w:color w:val="000000" w:themeColor="text1"/>
        </w:rPr>
        <w:t>vederea</w:t>
      </w:r>
      <w:r w:rsidR="007D2E1E" w:rsidRPr="00C56257">
        <w:rPr>
          <w:color w:val="000000" w:themeColor="text1"/>
          <w:spacing w:val="1"/>
        </w:rPr>
        <w:t xml:space="preserve"> </w:t>
      </w:r>
      <w:r w:rsidR="007D2E1E" w:rsidRPr="00C56257">
        <w:rPr>
          <w:color w:val="000000" w:themeColor="text1"/>
        </w:rPr>
        <w:t>stabilirii</w:t>
      </w:r>
      <w:r w:rsidR="007D2E1E" w:rsidRPr="00C56257">
        <w:rPr>
          <w:color w:val="000000" w:themeColor="text1"/>
          <w:spacing w:val="1"/>
        </w:rPr>
        <w:t xml:space="preserve"> </w:t>
      </w:r>
      <w:r w:rsidR="007D2E1E" w:rsidRPr="00C56257">
        <w:rPr>
          <w:color w:val="000000" w:themeColor="text1"/>
        </w:rPr>
        <w:t>măsurilor</w:t>
      </w:r>
      <w:r w:rsidR="007D2E1E" w:rsidRPr="00C56257">
        <w:rPr>
          <w:color w:val="000000" w:themeColor="text1"/>
          <w:spacing w:val="1"/>
        </w:rPr>
        <w:t xml:space="preserve"> </w:t>
      </w:r>
      <w:r w:rsidR="007D2E1E" w:rsidRPr="00C56257">
        <w:rPr>
          <w:color w:val="000000" w:themeColor="text1"/>
        </w:rPr>
        <w:t>specifice/măsurilor</w:t>
      </w:r>
      <w:r w:rsidR="007D2E1E" w:rsidRPr="00C56257">
        <w:rPr>
          <w:color w:val="000000" w:themeColor="text1"/>
          <w:spacing w:val="1"/>
        </w:rPr>
        <w:t xml:space="preserve"> </w:t>
      </w:r>
      <w:r w:rsidR="007D2E1E" w:rsidRPr="00C56257">
        <w:rPr>
          <w:color w:val="000000" w:themeColor="text1"/>
        </w:rPr>
        <w:t>de</w:t>
      </w:r>
      <w:r w:rsidR="007D2E1E" w:rsidRPr="00C56257">
        <w:rPr>
          <w:color w:val="000000" w:themeColor="text1"/>
          <w:spacing w:val="1"/>
        </w:rPr>
        <w:t xml:space="preserve"> </w:t>
      </w:r>
      <w:r w:rsidR="007D2E1E" w:rsidRPr="00C56257">
        <w:rPr>
          <w:color w:val="000000" w:themeColor="text1"/>
        </w:rPr>
        <w:t>management,</w:t>
      </w:r>
      <w:r w:rsidR="007D2E1E" w:rsidRPr="00C56257">
        <w:rPr>
          <w:color w:val="000000" w:themeColor="text1"/>
          <w:spacing w:val="1"/>
        </w:rPr>
        <w:t xml:space="preserve"> </w:t>
      </w:r>
      <w:r w:rsidR="007D2E1E" w:rsidRPr="00C56257">
        <w:rPr>
          <w:color w:val="000000" w:themeColor="text1"/>
        </w:rPr>
        <w:t>trebuie</w:t>
      </w:r>
      <w:r w:rsidR="007D2E1E" w:rsidRPr="00C56257">
        <w:rPr>
          <w:color w:val="000000" w:themeColor="text1"/>
          <w:spacing w:val="1"/>
        </w:rPr>
        <w:t xml:space="preserve"> </w:t>
      </w:r>
      <w:r w:rsidR="007D2E1E" w:rsidRPr="00C56257">
        <w:rPr>
          <w:color w:val="000000" w:themeColor="text1"/>
        </w:rPr>
        <w:t>furnizate</w:t>
      </w:r>
      <w:r w:rsidR="007D2E1E" w:rsidRPr="00C56257">
        <w:rPr>
          <w:color w:val="000000" w:themeColor="text1"/>
          <w:spacing w:val="1"/>
        </w:rPr>
        <w:t xml:space="preserve"> </w:t>
      </w:r>
      <w:r w:rsidR="007D2E1E" w:rsidRPr="00C56257">
        <w:rPr>
          <w:color w:val="000000" w:themeColor="text1"/>
        </w:rPr>
        <w:t>informaţii</w:t>
      </w:r>
      <w:r w:rsidR="007D2E1E" w:rsidRPr="00C56257">
        <w:rPr>
          <w:color w:val="000000" w:themeColor="text1"/>
          <w:spacing w:val="1"/>
        </w:rPr>
        <w:t xml:space="preserve"> </w:t>
      </w:r>
      <w:r w:rsidR="007D2E1E" w:rsidRPr="00C56257">
        <w:rPr>
          <w:color w:val="000000" w:themeColor="text1"/>
        </w:rPr>
        <w:t>suplimentare</w:t>
      </w:r>
      <w:r w:rsidR="007D2E1E" w:rsidRPr="00C56257">
        <w:rPr>
          <w:color w:val="000000" w:themeColor="text1"/>
          <w:spacing w:val="1"/>
        </w:rPr>
        <w:t xml:space="preserve"> </w:t>
      </w:r>
      <w:r w:rsidR="007D2E1E" w:rsidRPr="00C56257">
        <w:rPr>
          <w:color w:val="000000" w:themeColor="text1"/>
        </w:rPr>
        <w:t>privind</w:t>
      </w:r>
      <w:r w:rsidR="007D2E1E" w:rsidRPr="00C56257">
        <w:rPr>
          <w:color w:val="000000" w:themeColor="text1"/>
          <w:spacing w:val="1"/>
        </w:rPr>
        <w:t xml:space="preserve"> </w:t>
      </w:r>
      <w:r w:rsidR="007D2E1E" w:rsidRPr="00C56257">
        <w:rPr>
          <w:color w:val="000000" w:themeColor="text1"/>
        </w:rPr>
        <w:t>indicarea</w:t>
      </w:r>
      <w:r w:rsidR="007D2E1E" w:rsidRPr="00C56257">
        <w:rPr>
          <w:color w:val="000000" w:themeColor="text1"/>
          <w:spacing w:val="-57"/>
        </w:rPr>
        <w:t xml:space="preserve"> </w:t>
      </w:r>
      <w:r w:rsidR="00E6723E">
        <w:rPr>
          <w:color w:val="000000" w:themeColor="text1"/>
          <w:spacing w:val="-57"/>
        </w:rPr>
        <w:t xml:space="preserve">   </w:t>
      </w:r>
      <w:r w:rsidR="007D2E1E" w:rsidRPr="00C56257">
        <w:rPr>
          <w:color w:val="000000" w:themeColor="text1"/>
        </w:rPr>
        <w:t xml:space="preserve"> </w:t>
      </w:r>
      <w:r w:rsidR="00E6723E">
        <w:rPr>
          <w:color w:val="000000" w:themeColor="text1"/>
        </w:rPr>
        <w:t xml:space="preserve">pentru </w:t>
      </w:r>
      <w:r w:rsidR="007D2E1E" w:rsidRPr="00C56257">
        <w:rPr>
          <w:color w:val="000000" w:themeColor="text1"/>
        </w:rPr>
        <w:t>fiecare activitate cu impact asupra speciilor şi tipurilor de habitate impactate, inclusiv a</w:t>
      </w:r>
      <w:r w:rsidR="007D2E1E" w:rsidRPr="00C56257">
        <w:rPr>
          <w:color w:val="000000" w:themeColor="text1"/>
          <w:spacing w:val="1"/>
        </w:rPr>
        <w:t xml:space="preserve"> </w:t>
      </w:r>
      <w:r w:rsidR="007D2E1E" w:rsidRPr="00C56257">
        <w:rPr>
          <w:color w:val="000000" w:themeColor="text1"/>
        </w:rPr>
        <w:t>intensităţii</w:t>
      </w:r>
      <w:r w:rsidR="007D2E1E" w:rsidRPr="00C56257">
        <w:rPr>
          <w:color w:val="000000" w:themeColor="text1"/>
          <w:spacing w:val="-1"/>
        </w:rPr>
        <w:t xml:space="preserve"> </w:t>
      </w:r>
      <w:r w:rsidR="007D2E1E" w:rsidRPr="00C56257">
        <w:rPr>
          <w:color w:val="000000" w:themeColor="text1"/>
        </w:rPr>
        <w:t xml:space="preserve">impactului </w:t>
      </w:r>
      <w:r w:rsidR="00E6723E">
        <w:rPr>
          <w:color w:val="000000" w:themeColor="text1"/>
        </w:rPr>
        <w:t xml:space="preserve">în </w:t>
      </w:r>
      <w:r w:rsidR="007D2E1E" w:rsidRPr="00C56257">
        <w:rPr>
          <w:color w:val="000000" w:themeColor="text1"/>
        </w:rPr>
        <w:t>funcţie</w:t>
      </w:r>
      <w:r w:rsidR="007D2E1E" w:rsidRPr="00C56257">
        <w:rPr>
          <w:color w:val="000000" w:themeColor="text1"/>
          <w:spacing w:val="-1"/>
        </w:rPr>
        <w:t xml:space="preserve"> </w:t>
      </w:r>
      <w:r w:rsidR="007D2E1E" w:rsidRPr="00C56257">
        <w:rPr>
          <w:color w:val="000000" w:themeColor="text1"/>
        </w:rPr>
        <w:t>de</w:t>
      </w:r>
      <w:r w:rsidR="007D2E1E" w:rsidRPr="00C56257">
        <w:rPr>
          <w:color w:val="000000" w:themeColor="text1"/>
          <w:spacing w:val="-1"/>
        </w:rPr>
        <w:t xml:space="preserve"> </w:t>
      </w:r>
      <w:r w:rsidR="007D2E1E" w:rsidRPr="00C56257">
        <w:rPr>
          <w:color w:val="000000" w:themeColor="text1"/>
        </w:rPr>
        <w:t>localizare.</w:t>
      </w:r>
    </w:p>
    <w:p w14:paraId="076F3752" w14:textId="77777777" w:rsidR="007D2E1E" w:rsidRPr="00C56257" w:rsidRDefault="007D2E1E" w:rsidP="00896C2C">
      <w:pPr>
        <w:widowControl w:val="0"/>
        <w:autoSpaceDE w:val="0"/>
        <w:autoSpaceDN w:val="0"/>
        <w:spacing w:before="1"/>
        <w:ind w:right="27"/>
        <w:jc w:val="both"/>
        <w:rPr>
          <w:color w:val="000000" w:themeColor="text1"/>
        </w:rPr>
      </w:pPr>
      <w:r w:rsidRPr="00C56257">
        <w:rPr>
          <w:color w:val="000000" w:themeColor="text1"/>
        </w:rPr>
        <w:t>În acest</w:t>
      </w:r>
      <w:r w:rsidRPr="00C56257">
        <w:rPr>
          <w:color w:val="000000" w:themeColor="text1"/>
          <w:spacing w:val="-3"/>
        </w:rPr>
        <w:t xml:space="preserve"> </w:t>
      </w:r>
      <w:r w:rsidRPr="00C56257">
        <w:rPr>
          <w:color w:val="000000" w:themeColor="text1"/>
        </w:rPr>
        <w:t>sens,</w:t>
      </w:r>
      <w:r w:rsidRPr="00C56257">
        <w:rPr>
          <w:color w:val="000000" w:themeColor="text1"/>
          <w:spacing w:val="-1"/>
        </w:rPr>
        <w:t xml:space="preserve"> </w:t>
      </w:r>
      <w:r w:rsidRPr="00C56257">
        <w:rPr>
          <w:color w:val="000000" w:themeColor="text1"/>
        </w:rPr>
        <w:t>pentru</w:t>
      </w:r>
      <w:r w:rsidRPr="00C56257">
        <w:rPr>
          <w:color w:val="000000" w:themeColor="text1"/>
          <w:spacing w:val="-2"/>
        </w:rPr>
        <w:t xml:space="preserve"> </w:t>
      </w:r>
      <w:r w:rsidRPr="00C56257">
        <w:rPr>
          <w:color w:val="000000" w:themeColor="text1"/>
        </w:rPr>
        <w:t>evaluarea</w:t>
      </w:r>
      <w:r w:rsidRPr="00C56257">
        <w:rPr>
          <w:color w:val="000000" w:themeColor="text1"/>
          <w:spacing w:val="-2"/>
        </w:rPr>
        <w:t xml:space="preserve"> </w:t>
      </w:r>
      <w:r w:rsidRPr="00C56257">
        <w:rPr>
          <w:color w:val="000000" w:themeColor="text1"/>
        </w:rPr>
        <w:t>impacturilor</w:t>
      </w:r>
      <w:r w:rsidRPr="00C56257">
        <w:rPr>
          <w:color w:val="000000" w:themeColor="text1"/>
          <w:spacing w:val="-2"/>
        </w:rPr>
        <w:t xml:space="preserve"> </w:t>
      </w:r>
      <w:r w:rsidRPr="00C56257">
        <w:rPr>
          <w:color w:val="000000" w:themeColor="text1"/>
        </w:rPr>
        <w:t>trebuie</w:t>
      </w:r>
      <w:r w:rsidRPr="00C56257">
        <w:rPr>
          <w:color w:val="000000" w:themeColor="text1"/>
          <w:spacing w:val="-2"/>
        </w:rPr>
        <w:t xml:space="preserve"> </w:t>
      </w:r>
      <w:r w:rsidRPr="00C56257">
        <w:rPr>
          <w:color w:val="000000" w:themeColor="text1"/>
        </w:rPr>
        <w:t>furnizate</w:t>
      </w:r>
      <w:r w:rsidRPr="00C56257">
        <w:rPr>
          <w:color w:val="000000" w:themeColor="text1"/>
          <w:spacing w:val="-2"/>
        </w:rPr>
        <w:t xml:space="preserve"> </w:t>
      </w:r>
      <w:r w:rsidRPr="00C56257">
        <w:rPr>
          <w:color w:val="000000" w:themeColor="text1"/>
        </w:rPr>
        <w:t>informaţiile</w:t>
      </w:r>
      <w:r w:rsidRPr="00C56257">
        <w:rPr>
          <w:color w:val="000000" w:themeColor="text1"/>
          <w:spacing w:val="-1"/>
        </w:rPr>
        <w:t xml:space="preserve"> </w:t>
      </w:r>
      <w:r w:rsidRPr="00C56257">
        <w:rPr>
          <w:color w:val="000000" w:themeColor="text1"/>
        </w:rPr>
        <w:t>necesare</w:t>
      </w:r>
      <w:r w:rsidRPr="00C56257">
        <w:rPr>
          <w:color w:val="000000" w:themeColor="text1"/>
          <w:spacing w:val="-3"/>
        </w:rPr>
        <w:t xml:space="preserve"> </w:t>
      </w:r>
      <w:r w:rsidRPr="00C56257">
        <w:rPr>
          <w:color w:val="000000" w:themeColor="text1"/>
        </w:rPr>
        <w:t>pentru:</w:t>
      </w:r>
    </w:p>
    <w:p w14:paraId="50AA0108" w14:textId="77777777" w:rsidR="007D2E1E" w:rsidRPr="00C56257" w:rsidRDefault="007D2E1E" w:rsidP="009E63E5">
      <w:pPr>
        <w:widowControl w:val="0"/>
        <w:numPr>
          <w:ilvl w:val="0"/>
          <w:numId w:val="28"/>
        </w:numPr>
        <w:tabs>
          <w:tab w:val="left" w:pos="1813"/>
          <w:tab w:val="left" w:pos="1814"/>
        </w:tabs>
        <w:autoSpaceDE w:val="0"/>
        <w:autoSpaceDN w:val="0"/>
        <w:spacing w:before="86"/>
        <w:ind w:right="27" w:hanging="361"/>
        <w:jc w:val="both"/>
        <w:rPr>
          <w:color w:val="000000" w:themeColor="text1"/>
        </w:rPr>
      </w:pPr>
      <w:r w:rsidRPr="00C56257">
        <w:rPr>
          <w:color w:val="000000" w:themeColor="text1"/>
        </w:rPr>
        <w:t>Evaluarea</w:t>
      </w:r>
      <w:r w:rsidRPr="00C56257">
        <w:rPr>
          <w:color w:val="000000" w:themeColor="text1"/>
          <w:spacing w:val="-3"/>
        </w:rPr>
        <w:t xml:space="preserve"> </w:t>
      </w:r>
      <w:r w:rsidRPr="00C56257">
        <w:rPr>
          <w:color w:val="000000" w:themeColor="text1"/>
        </w:rPr>
        <w:t>activităţilor</w:t>
      </w:r>
      <w:r w:rsidRPr="00C56257">
        <w:rPr>
          <w:color w:val="000000" w:themeColor="text1"/>
          <w:spacing w:val="-2"/>
        </w:rPr>
        <w:t xml:space="preserve"> </w:t>
      </w:r>
      <w:r w:rsidRPr="00C56257">
        <w:rPr>
          <w:color w:val="000000" w:themeColor="text1"/>
        </w:rPr>
        <w:t>cu</w:t>
      </w:r>
      <w:r w:rsidRPr="00C56257">
        <w:rPr>
          <w:color w:val="000000" w:themeColor="text1"/>
          <w:spacing w:val="-1"/>
        </w:rPr>
        <w:t xml:space="preserve"> </w:t>
      </w:r>
      <w:r w:rsidRPr="00C56257">
        <w:rPr>
          <w:color w:val="000000" w:themeColor="text1"/>
        </w:rPr>
        <w:t>impact</w:t>
      </w:r>
      <w:r w:rsidRPr="00C56257">
        <w:rPr>
          <w:color w:val="000000" w:themeColor="text1"/>
          <w:spacing w:val="-2"/>
        </w:rPr>
        <w:t xml:space="preserve"> </w:t>
      </w:r>
      <w:r w:rsidRPr="00C56257">
        <w:rPr>
          <w:color w:val="000000" w:themeColor="text1"/>
        </w:rPr>
        <w:t>asupra</w:t>
      </w:r>
      <w:r w:rsidRPr="00C56257">
        <w:rPr>
          <w:color w:val="000000" w:themeColor="text1"/>
          <w:spacing w:val="1"/>
        </w:rPr>
        <w:t xml:space="preserve"> </w:t>
      </w:r>
      <w:r w:rsidRPr="00C56257">
        <w:rPr>
          <w:color w:val="000000" w:themeColor="text1"/>
        </w:rPr>
        <w:t>ariei</w:t>
      </w:r>
      <w:r w:rsidRPr="00C56257">
        <w:rPr>
          <w:color w:val="000000" w:themeColor="text1"/>
          <w:spacing w:val="-1"/>
        </w:rPr>
        <w:t xml:space="preserve"> </w:t>
      </w:r>
      <w:r w:rsidRPr="00C56257">
        <w:rPr>
          <w:color w:val="000000" w:themeColor="text1"/>
        </w:rPr>
        <w:t>naturale</w:t>
      </w:r>
      <w:r w:rsidRPr="00C56257">
        <w:rPr>
          <w:color w:val="000000" w:themeColor="text1"/>
          <w:spacing w:val="-2"/>
        </w:rPr>
        <w:t xml:space="preserve"> </w:t>
      </w:r>
      <w:r w:rsidRPr="00C56257">
        <w:rPr>
          <w:color w:val="000000" w:themeColor="text1"/>
        </w:rPr>
        <w:t>protejate,</w:t>
      </w:r>
      <w:r w:rsidRPr="00C56257">
        <w:rPr>
          <w:color w:val="000000" w:themeColor="text1"/>
          <w:spacing w:val="-2"/>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general</w:t>
      </w:r>
    </w:p>
    <w:p w14:paraId="24F66B3F" w14:textId="77777777" w:rsidR="007D2E1E" w:rsidRPr="00C56257" w:rsidRDefault="007D2E1E" w:rsidP="009E63E5">
      <w:pPr>
        <w:widowControl w:val="0"/>
        <w:numPr>
          <w:ilvl w:val="0"/>
          <w:numId w:val="28"/>
        </w:numPr>
        <w:tabs>
          <w:tab w:val="left" w:pos="1813"/>
          <w:tab w:val="left" w:pos="1814"/>
        </w:tabs>
        <w:autoSpaceDE w:val="0"/>
        <w:autoSpaceDN w:val="0"/>
        <w:spacing w:before="1" w:line="293" w:lineRule="exact"/>
        <w:ind w:right="27" w:hanging="361"/>
        <w:jc w:val="both"/>
        <w:rPr>
          <w:color w:val="000000" w:themeColor="text1"/>
        </w:rPr>
      </w:pPr>
      <w:r w:rsidRPr="00C56257">
        <w:rPr>
          <w:color w:val="000000" w:themeColor="text1"/>
        </w:rPr>
        <w:t>Evaluarea</w:t>
      </w:r>
      <w:r w:rsidRPr="00C56257">
        <w:rPr>
          <w:color w:val="000000" w:themeColor="text1"/>
          <w:spacing w:val="-3"/>
        </w:rPr>
        <w:t xml:space="preserve"> </w:t>
      </w:r>
      <w:r w:rsidRPr="00C56257">
        <w:rPr>
          <w:color w:val="000000" w:themeColor="text1"/>
        </w:rPr>
        <w:t>activităţilor</w:t>
      </w:r>
      <w:r w:rsidRPr="00C56257">
        <w:rPr>
          <w:color w:val="000000" w:themeColor="text1"/>
          <w:spacing w:val="-2"/>
        </w:rPr>
        <w:t xml:space="preserve"> </w:t>
      </w:r>
      <w:r w:rsidRPr="00C56257">
        <w:rPr>
          <w:color w:val="000000" w:themeColor="text1"/>
        </w:rPr>
        <w:t>cu</w:t>
      </w:r>
      <w:r w:rsidRPr="00C56257">
        <w:rPr>
          <w:color w:val="000000" w:themeColor="text1"/>
          <w:spacing w:val="-2"/>
        </w:rPr>
        <w:t xml:space="preserve"> </w:t>
      </w:r>
      <w:r w:rsidRPr="00C56257">
        <w:rPr>
          <w:color w:val="000000" w:themeColor="text1"/>
        </w:rPr>
        <w:t>impact</w:t>
      </w:r>
      <w:r w:rsidRPr="00C56257">
        <w:rPr>
          <w:color w:val="000000" w:themeColor="text1"/>
          <w:spacing w:val="-1"/>
        </w:rPr>
        <w:t xml:space="preserve"> </w:t>
      </w:r>
      <w:r w:rsidRPr="00C56257">
        <w:rPr>
          <w:color w:val="000000" w:themeColor="text1"/>
        </w:rPr>
        <w:t>asupra</w:t>
      </w:r>
      <w:r w:rsidRPr="00C56257">
        <w:rPr>
          <w:color w:val="000000" w:themeColor="text1"/>
          <w:spacing w:val="-3"/>
        </w:rPr>
        <w:t xml:space="preserve"> </w:t>
      </w:r>
      <w:r w:rsidRPr="00C56257">
        <w:rPr>
          <w:color w:val="000000" w:themeColor="text1"/>
        </w:rPr>
        <w:t>speciilor de</w:t>
      </w:r>
      <w:r w:rsidRPr="00C56257">
        <w:rPr>
          <w:color w:val="000000" w:themeColor="text1"/>
          <w:spacing w:val="-3"/>
        </w:rPr>
        <w:t xml:space="preserve"> </w:t>
      </w:r>
      <w:r w:rsidRPr="00C56257">
        <w:rPr>
          <w:color w:val="000000" w:themeColor="text1"/>
        </w:rPr>
        <w:t>interes</w:t>
      </w:r>
      <w:r w:rsidRPr="00C56257">
        <w:rPr>
          <w:color w:val="000000" w:themeColor="text1"/>
          <w:spacing w:val="-2"/>
        </w:rPr>
        <w:t xml:space="preserve"> </w:t>
      </w:r>
      <w:r w:rsidRPr="00C56257">
        <w:rPr>
          <w:color w:val="000000" w:themeColor="text1"/>
        </w:rPr>
        <w:t>conservativ</w:t>
      </w:r>
    </w:p>
    <w:p w14:paraId="1C7D1379" w14:textId="77777777" w:rsidR="007D2E1E" w:rsidRPr="00C56257" w:rsidRDefault="007D2E1E" w:rsidP="009E63E5">
      <w:pPr>
        <w:widowControl w:val="0"/>
        <w:numPr>
          <w:ilvl w:val="0"/>
          <w:numId w:val="28"/>
        </w:numPr>
        <w:tabs>
          <w:tab w:val="left" w:pos="1813"/>
          <w:tab w:val="left" w:pos="1814"/>
        </w:tabs>
        <w:autoSpaceDE w:val="0"/>
        <w:autoSpaceDN w:val="0"/>
        <w:spacing w:line="293" w:lineRule="exact"/>
        <w:ind w:right="27" w:hanging="361"/>
        <w:jc w:val="both"/>
        <w:rPr>
          <w:color w:val="000000" w:themeColor="text1"/>
        </w:rPr>
      </w:pPr>
      <w:r w:rsidRPr="00C56257">
        <w:rPr>
          <w:color w:val="000000" w:themeColor="text1"/>
        </w:rPr>
        <w:t>Evaluarea</w:t>
      </w:r>
      <w:r w:rsidRPr="00C56257">
        <w:rPr>
          <w:color w:val="000000" w:themeColor="text1"/>
          <w:spacing w:val="-3"/>
        </w:rPr>
        <w:t xml:space="preserve"> </w:t>
      </w:r>
      <w:r w:rsidRPr="00C56257">
        <w:rPr>
          <w:color w:val="000000" w:themeColor="text1"/>
        </w:rPr>
        <w:t>activităţilor</w:t>
      </w:r>
      <w:r w:rsidRPr="00C56257">
        <w:rPr>
          <w:color w:val="000000" w:themeColor="text1"/>
          <w:spacing w:val="-1"/>
        </w:rPr>
        <w:t xml:space="preserve"> </w:t>
      </w:r>
      <w:r w:rsidRPr="00C56257">
        <w:rPr>
          <w:color w:val="000000" w:themeColor="text1"/>
        </w:rPr>
        <w:t>cu</w:t>
      </w:r>
      <w:r w:rsidRPr="00C56257">
        <w:rPr>
          <w:color w:val="000000" w:themeColor="text1"/>
          <w:spacing w:val="-1"/>
        </w:rPr>
        <w:t xml:space="preserve"> </w:t>
      </w:r>
      <w:r w:rsidRPr="00C56257">
        <w:rPr>
          <w:color w:val="000000" w:themeColor="text1"/>
        </w:rPr>
        <w:t>impact</w:t>
      </w:r>
      <w:r w:rsidRPr="00C56257">
        <w:rPr>
          <w:color w:val="000000" w:themeColor="text1"/>
          <w:spacing w:val="-1"/>
        </w:rPr>
        <w:t xml:space="preserve"> </w:t>
      </w:r>
      <w:r w:rsidRPr="00C56257">
        <w:rPr>
          <w:color w:val="000000" w:themeColor="text1"/>
        </w:rPr>
        <w:t>asupra</w:t>
      </w:r>
      <w:r w:rsidRPr="00C56257">
        <w:rPr>
          <w:color w:val="000000" w:themeColor="text1"/>
          <w:spacing w:val="-2"/>
        </w:rPr>
        <w:t xml:space="preserve"> </w:t>
      </w:r>
      <w:r w:rsidRPr="00C56257">
        <w:rPr>
          <w:color w:val="000000" w:themeColor="text1"/>
        </w:rPr>
        <w:t>tipurilor</w:t>
      </w:r>
      <w:r w:rsidRPr="00C56257">
        <w:rPr>
          <w:color w:val="000000" w:themeColor="text1"/>
          <w:spacing w:val="-1"/>
        </w:rPr>
        <w:t xml:space="preserve"> </w:t>
      </w:r>
      <w:r w:rsidRPr="00C56257">
        <w:rPr>
          <w:color w:val="000000" w:themeColor="text1"/>
        </w:rPr>
        <w:t>de</w:t>
      </w:r>
      <w:r w:rsidRPr="00C56257">
        <w:rPr>
          <w:color w:val="000000" w:themeColor="text1"/>
          <w:spacing w:val="-3"/>
        </w:rPr>
        <w:t xml:space="preserve"> </w:t>
      </w:r>
      <w:r w:rsidRPr="00C56257">
        <w:rPr>
          <w:color w:val="000000" w:themeColor="text1"/>
        </w:rPr>
        <w:t>habitate</w:t>
      </w:r>
      <w:r w:rsidRPr="00C56257">
        <w:rPr>
          <w:color w:val="000000" w:themeColor="text1"/>
          <w:spacing w:val="-1"/>
        </w:rPr>
        <w:t xml:space="preserve"> </w:t>
      </w:r>
      <w:r w:rsidRPr="00C56257">
        <w:rPr>
          <w:color w:val="000000" w:themeColor="text1"/>
        </w:rPr>
        <w:t>de</w:t>
      </w:r>
      <w:r w:rsidRPr="00C56257">
        <w:rPr>
          <w:color w:val="000000" w:themeColor="text1"/>
          <w:spacing w:val="-3"/>
        </w:rPr>
        <w:t xml:space="preserve"> </w:t>
      </w:r>
      <w:r w:rsidRPr="00C56257">
        <w:rPr>
          <w:color w:val="000000" w:themeColor="text1"/>
        </w:rPr>
        <w:t>interes</w:t>
      </w:r>
      <w:r w:rsidRPr="00C56257">
        <w:rPr>
          <w:color w:val="000000" w:themeColor="text1"/>
          <w:spacing w:val="-2"/>
        </w:rPr>
        <w:t xml:space="preserve"> </w:t>
      </w:r>
      <w:r w:rsidRPr="00C56257">
        <w:rPr>
          <w:color w:val="000000" w:themeColor="text1"/>
        </w:rPr>
        <w:t>conservativ.</w:t>
      </w:r>
    </w:p>
    <w:p w14:paraId="0560DCA8" w14:textId="77777777" w:rsidR="007D2E1E" w:rsidRPr="00C56257" w:rsidRDefault="007D2E1E" w:rsidP="008E33FD">
      <w:pPr>
        <w:widowControl w:val="0"/>
        <w:tabs>
          <w:tab w:val="left" w:pos="1274"/>
        </w:tabs>
        <w:autoSpaceDE w:val="0"/>
        <w:autoSpaceDN w:val="0"/>
        <w:spacing w:before="245"/>
        <w:jc w:val="both"/>
        <w:outlineLvl w:val="1"/>
        <w:rPr>
          <w:rFonts w:eastAsia="Cambria"/>
          <w:b/>
          <w:bCs/>
          <w:color w:val="000000" w:themeColor="text1"/>
        </w:rPr>
      </w:pPr>
      <w:r w:rsidRPr="00C56257">
        <w:rPr>
          <w:rFonts w:eastAsia="Cambria"/>
          <w:b/>
          <w:bCs/>
          <w:color w:val="000000" w:themeColor="text1"/>
        </w:rPr>
        <w:t>Relația</w:t>
      </w:r>
      <w:r w:rsidRPr="00C56257">
        <w:rPr>
          <w:rFonts w:eastAsia="Cambria"/>
          <w:b/>
          <w:bCs/>
          <w:color w:val="000000" w:themeColor="text1"/>
          <w:spacing w:val="-5"/>
        </w:rPr>
        <w:t xml:space="preserve"> </w:t>
      </w:r>
      <w:r w:rsidRPr="00C56257">
        <w:rPr>
          <w:rFonts w:eastAsia="Cambria"/>
          <w:b/>
          <w:bCs/>
          <w:color w:val="000000" w:themeColor="text1"/>
        </w:rPr>
        <w:t>plot</w:t>
      </w:r>
      <w:r w:rsidRPr="00C56257">
        <w:rPr>
          <w:rFonts w:eastAsia="Cambria"/>
          <w:b/>
          <w:bCs/>
          <w:color w:val="000000" w:themeColor="text1"/>
          <w:spacing w:val="-5"/>
        </w:rPr>
        <w:t xml:space="preserve"> </w:t>
      </w:r>
      <w:r w:rsidRPr="00C56257">
        <w:rPr>
          <w:rFonts w:eastAsia="Cambria"/>
          <w:b/>
          <w:bCs/>
          <w:color w:val="000000" w:themeColor="text1"/>
        </w:rPr>
        <w:t>de</w:t>
      </w:r>
      <w:r w:rsidRPr="00C56257">
        <w:rPr>
          <w:rFonts w:eastAsia="Cambria"/>
          <w:b/>
          <w:bCs/>
          <w:color w:val="000000" w:themeColor="text1"/>
          <w:spacing w:val="-6"/>
        </w:rPr>
        <w:t xml:space="preserve"> </w:t>
      </w:r>
      <w:r w:rsidRPr="00C56257">
        <w:rPr>
          <w:rFonts w:eastAsia="Cambria"/>
          <w:b/>
          <w:bCs/>
          <w:color w:val="000000" w:themeColor="text1"/>
        </w:rPr>
        <w:t>monitorizare/rețea</w:t>
      </w:r>
      <w:r w:rsidRPr="00C56257">
        <w:rPr>
          <w:rFonts w:eastAsia="Cambria"/>
          <w:b/>
          <w:bCs/>
          <w:color w:val="000000" w:themeColor="text1"/>
          <w:spacing w:val="-5"/>
        </w:rPr>
        <w:t xml:space="preserve"> </w:t>
      </w:r>
      <w:r w:rsidRPr="00C56257">
        <w:rPr>
          <w:rFonts w:eastAsia="Cambria"/>
          <w:b/>
          <w:bCs/>
          <w:color w:val="000000" w:themeColor="text1"/>
        </w:rPr>
        <w:t>Natura</w:t>
      </w:r>
      <w:r w:rsidRPr="00C56257">
        <w:rPr>
          <w:rFonts w:eastAsia="Cambria"/>
          <w:b/>
          <w:bCs/>
          <w:color w:val="000000" w:themeColor="text1"/>
          <w:spacing w:val="-4"/>
        </w:rPr>
        <w:t xml:space="preserve"> </w:t>
      </w:r>
      <w:r w:rsidRPr="00C56257">
        <w:rPr>
          <w:rFonts w:eastAsia="Cambria"/>
          <w:b/>
          <w:bCs/>
          <w:color w:val="000000" w:themeColor="text1"/>
        </w:rPr>
        <w:t>2000</w:t>
      </w:r>
    </w:p>
    <w:p w14:paraId="6FFDC862" w14:textId="77777777" w:rsidR="007D2E1E" w:rsidRPr="00C56257" w:rsidRDefault="007D2E1E" w:rsidP="00896C2C">
      <w:pPr>
        <w:widowControl w:val="0"/>
        <w:autoSpaceDE w:val="0"/>
        <w:autoSpaceDN w:val="0"/>
        <w:spacing w:before="157"/>
        <w:ind w:right="27"/>
        <w:jc w:val="both"/>
        <w:rPr>
          <w:i/>
          <w:color w:val="000000" w:themeColor="text1"/>
        </w:rPr>
      </w:pPr>
      <w:r w:rsidRPr="00C56257">
        <w:rPr>
          <w:i/>
          <w:color w:val="000000" w:themeColor="text1"/>
        </w:rPr>
        <w:t>Acoperirea</w:t>
      </w:r>
      <w:r w:rsidRPr="00C56257">
        <w:rPr>
          <w:i/>
          <w:color w:val="000000" w:themeColor="text1"/>
          <w:spacing w:val="-1"/>
        </w:rPr>
        <w:t xml:space="preserve"> </w:t>
      </w:r>
      <w:r w:rsidRPr="00C56257">
        <w:rPr>
          <w:i/>
          <w:color w:val="000000" w:themeColor="text1"/>
        </w:rPr>
        <w:t>NATURA</w:t>
      </w:r>
      <w:r w:rsidRPr="00C56257">
        <w:rPr>
          <w:i/>
          <w:color w:val="000000" w:themeColor="text1"/>
          <w:spacing w:val="-2"/>
        </w:rPr>
        <w:t xml:space="preserve"> </w:t>
      </w:r>
      <w:r w:rsidRPr="00C56257">
        <w:rPr>
          <w:i/>
          <w:color w:val="000000" w:themeColor="text1"/>
        </w:rPr>
        <w:t>2000</w:t>
      </w:r>
      <w:r w:rsidRPr="00C56257">
        <w:rPr>
          <w:i/>
          <w:color w:val="000000" w:themeColor="text1"/>
          <w:spacing w:val="-1"/>
        </w:rPr>
        <w:t xml:space="preserve"> </w:t>
      </w:r>
      <w:r w:rsidRPr="00C56257">
        <w:rPr>
          <w:i/>
          <w:color w:val="000000" w:themeColor="text1"/>
        </w:rPr>
        <w:t>(pSCIs, SCI</w:t>
      </w:r>
      <w:r w:rsidRPr="00C56257">
        <w:rPr>
          <w:i/>
          <w:color w:val="000000" w:themeColor="text1"/>
          <w:spacing w:val="-1"/>
        </w:rPr>
        <w:t xml:space="preserve"> </w:t>
      </w:r>
      <w:r w:rsidRPr="00C56257">
        <w:rPr>
          <w:i/>
          <w:color w:val="000000" w:themeColor="text1"/>
        </w:rPr>
        <w:t>și</w:t>
      </w:r>
      <w:r w:rsidRPr="00C56257">
        <w:rPr>
          <w:i/>
          <w:color w:val="000000" w:themeColor="text1"/>
          <w:spacing w:val="-2"/>
        </w:rPr>
        <w:t xml:space="preserve"> </w:t>
      </w:r>
      <w:r w:rsidRPr="00C56257">
        <w:rPr>
          <w:i/>
          <w:color w:val="000000" w:themeColor="text1"/>
        </w:rPr>
        <w:t>SACs)</w:t>
      </w:r>
      <w:r w:rsidRPr="00C56257">
        <w:rPr>
          <w:i/>
          <w:color w:val="000000" w:themeColor="text1"/>
          <w:spacing w:val="-2"/>
        </w:rPr>
        <w:t xml:space="preserve"> </w:t>
      </w:r>
      <w:r w:rsidRPr="00C56257">
        <w:rPr>
          <w:i/>
          <w:color w:val="000000" w:themeColor="text1"/>
        </w:rPr>
        <w:t>pentru habitatele</w:t>
      </w:r>
      <w:r w:rsidRPr="00C56257">
        <w:rPr>
          <w:i/>
          <w:color w:val="000000" w:themeColor="text1"/>
          <w:spacing w:val="-2"/>
        </w:rPr>
        <w:t xml:space="preserve"> </w:t>
      </w:r>
      <w:r w:rsidRPr="00C56257">
        <w:rPr>
          <w:i/>
          <w:color w:val="000000" w:themeColor="text1"/>
        </w:rPr>
        <w:t>din</w:t>
      </w:r>
      <w:r w:rsidRPr="00C56257">
        <w:rPr>
          <w:i/>
          <w:color w:val="000000" w:themeColor="text1"/>
          <w:spacing w:val="-1"/>
        </w:rPr>
        <w:t xml:space="preserve"> </w:t>
      </w:r>
      <w:r w:rsidRPr="00C56257">
        <w:rPr>
          <w:i/>
          <w:color w:val="000000" w:themeColor="text1"/>
        </w:rPr>
        <w:t>anexa</w:t>
      </w:r>
      <w:r w:rsidRPr="00C56257">
        <w:rPr>
          <w:i/>
          <w:color w:val="000000" w:themeColor="text1"/>
          <w:spacing w:val="-1"/>
        </w:rPr>
        <w:t xml:space="preserve"> </w:t>
      </w:r>
      <w:r w:rsidRPr="00C56257">
        <w:rPr>
          <w:i/>
          <w:color w:val="000000" w:themeColor="text1"/>
        </w:rPr>
        <w:t>I</w:t>
      </w:r>
    </w:p>
    <w:p w14:paraId="75FD5002" w14:textId="77777777" w:rsidR="007D2E1E" w:rsidRPr="00C56257" w:rsidRDefault="007D2E1E" w:rsidP="00896C2C">
      <w:pPr>
        <w:widowControl w:val="0"/>
        <w:autoSpaceDE w:val="0"/>
        <w:autoSpaceDN w:val="0"/>
        <w:ind w:right="27"/>
        <w:jc w:val="both"/>
        <w:rPr>
          <w:color w:val="000000" w:themeColor="text1"/>
        </w:rPr>
      </w:pPr>
      <w:r w:rsidRPr="00C56257">
        <w:rPr>
          <w:color w:val="000000" w:themeColor="text1"/>
        </w:rPr>
        <w:t>Această secțiune oferă informații despre suprafața habitatului și tendința suprafeței în stare bună în</w:t>
      </w:r>
      <w:r w:rsidRPr="00C56257">
        <w:rPr>
          <w:color w:val="000000" w:themeColor="text1"/>
          <w:spacing w:val="1"/>
        </w:rPr>
        <w:t xml:space="preserve"> </w:t>
      </w:r>
      <w:r w:rsidRPr="00C56257">
        <w:rPr>
          <w:color w:val="000000" w:themeColor="text1"/>
        </w:rPr>
        <w:t>rețeaua Natura 2000. Informațiile solicitate ar trebui să acopere siturile de importanță comunitară</w:t>
      </w:r>
      <w:r w:rsidRPr="00C56257">
        <w:rPr>
          <w:color w:val="000000" w:themeColor="text1"/>
          <w:spacing w:val="1"/>
        </w:rPr>
        <w:t xml:space="preserve"> </w:t>
      </w:r>
      <w:r w:rsidRPr="00C56257">
        <w:rPr>
          <w:color w:val="000000" w:themeColor="text1"/>
        </w:rPr>
        <w:t>propuse (pSCI), siturile de importanță comunitară (SCI) și zonele speciale de conservare (SAC) ale</w:t>
      </w:r>
      <w:r w:rsidRPr="00C56257">
        <w:rPr>
          <w:color w:val="000000" w:themeColor="text1"/>
          <w:spacing w:val="1"/>
        </w:rPr>
        <w:t xml:space="preserve"> </w:t>
      </w:r>
      <w:r w:rsidRPr="00C56257">
        <w:rPr>
          <w:color w:val="000000" w:themeColor="text1"/>
        </w:rPr>
        <w:t>rețelei</w:t>
      </w:r>
      <w:r w:rsidRPr="00C56257">
        <w:rPr>
          <w:color w:val="000000" w:themeColor="text1"/>
          <w:spacing w:val="-1"/>
        </w:rPr>
        <w:t xml:space="preserve"> </w:t>
      </w:r>
      <w:r w:rsidRPr="00C56257">
        <w:rPr>
          <w:color w:val="000000" w:themeColor="text1"/>
        </w:rPr>
        <w:t>Natura</w:t>
      </w:r>
      <w:r w:rsidRPr="00C56257">
        <w:rPr>
          <w:color w:val="000000" w:themeColor="text1"/>
          <w:spacing w:val="-2"/>
        </w:rPr>
        <w:t xml:space="preserve"> </w:t>
      </w:r>
      <w:r w:rsidRPr="00C56257">
        <w:rPr>
          <w:color w:val="000000" w:themeColor="text1"/>
        </w:rPr>
        <w:t>2000 din regiunea</w:t>
      </w:r>
      <w:r w:rsidRPr="00C56257">
        <w:rPr>
          <w:color w:val="000000" w:themeColor="text1"/>
          <w:spacing w:val="-1"/>
        </w:rPr>
        <w:t xml:space="preserve"> </w:t>
      </w:r>
      <w:r w:rsidRPr="00C56257">
        <w:rPr>
          <w:color w:val="000000" w:themeColor="text1"/>
        </w:rPr>
        <w:t>biogeografică</w:t>
      </w:r>
      <w:r w:rsidRPr="00C56257">
        <w:rPr>
          <w:color w:val="000000" w:themeColor="text1"/>
          <w:spacing w:val="-2"/>
        </w:rPr>
        <w:t xml:space="preserve"> </w:t>
      </w:r>
      <w:r w:rsidRPr="00C56257">
        <w:rPr>
          <w:color w:val="000000" w:themeColor="text1"/>
        </w:rPr>
        <w:t>/</w:t>
      </w:r>
      <w:r w:rsidRPr="00C56257">
        <w:rPr>
          <w:color w:val="000000" w:themeColor="text1"/>
          <w:spacing w:val="2"/>
        </w:rPr>
        <w:t xml:space="preserve"> </w:t>
      </w:r>
      <w:r w:rsidRPr="00C56257">
        <w:rPr>
          <w:color w:val="000000" w:themeColor="text1"/>
        </w:rPr>
        <w:t>marină în cauză.</w:t>
      </w:r>
    </w:p>
    <w:p w14:paraId="11F35909" w14:textId="77777777" w:rsidR="007D2E1E" w:rsidRPr="00C56257" w:rsidRDefault="007D2E1E" w:rsidP="00896C2C">
      <w:pPr>
        <w:widowControl w:val="0"/>
        <w:autoSpaceDE w:val="0"/>
        <w:autoSpaceDN w:val="0"/>
        <w:ind w:right="27"/>
        <w:jc w:val="both"/>
        <w:rPr>
          <w:color w:val="000000" w:themeColor="text1"/>
        </w:rPr>
      </w:pPr>
      <w:r w:rsidRPr="00C56257">
        <w:rPr>
          <w:color w:val="000000" w:themeColor="text1"/>
        </w:rPr>
        <w:t>Informațiile se referă la toate pSCI-urile / SCI-urile / SAC-urile în care habitatele din anexa I sunt</w:t>
      </w:r>
      <w:r w:rsidRPr="00C56257">
        <w:rPr>
          <w:color w:val="000000" w:themeColor="text1"/>
          <w:spacing w:val="1"/>
        </w:rPr>
        <w:t xml:space="preserve"> </w:t>
      </w:r>
      <w:r w:rsidRPr="00C56257">
        <w:rPr>
          <w:color w:val="000000" w:themeColor="text1"/>
        </w:rPr>
        <w:t>prezente,</w:t>
      </w:r>
      <w:r w:rsidRPr="00C56257">
        <w:rPr>
          <w:color w:val="000000" w:themeColor="text1"/>
          <w:spacing w:val="-1"/>
        </w:rPr>
        <w:t xml:space="preserve"> </w:t>
      </w:r>
      <w:r w:rsidRPr="00C56257">
        <w:rPr>
          <w:color w:val="000000" w:themeColor="text1"/>
        </w:rPr>
        <w:t>nu numai</w:t>
      </w:r>
      <w:r w:rsidRPr="00C56257">
        <w:rPr>
          <w:color w:val="000000" w:themeColor="text1"/>
          <w:spacing w:val="-1"/>
        </w:rPr>
        <w:t xml:space="preserve"> </w:t>
      </w:r>
      <w:r w:rsidRPr="00C56257">
        <w:rPr>
          <w:color w:val="000000" w:themeColor="text1"/>
        </w:rPr>
        <w:t>acele</w:t>
      </w:r>
      <w:r w:rsidRPr="00C56257">
        <w:rPr>
          <w:color w:val="000000" w:themeColor="text1"/>
          <w:spacing w:val="1"/>
        </w:rPr>
        <w:t xml:space="preserve"> </w:t>
      </w:r>
      <w:r w:rsidRPr="00C56257">
        <w:rPr>
          <w:color w:val="000000" w:themeColor="text1"/>
        </w:rPr>
        <w:t>sit-uri</w:t>
      </w:r>
      <w:r w:rsidRPr="00C56257">
        <w:rPr>
          <w:color w:val="000000" w:themeColor="text1"/>
          <w:spacing w:val="-1"/>
        </w:rPr>
        <w:t xml:space="preserve"> </w:t>
      </w:r>
      <w:r w:rsidRPr="00C56257">
        <w:rPr>
          <w:color w:val="000000" w:themeColor="text1"/>
        </w:rPr>
        <w:t>în care</w:t>
      </w:r>
      <w:r w:rsidRPr="00C56257">
        <w:rPr>
          <w:color w:val="000000" w:themeColor="text1"/>
          <w:spacing w:val="-2"/>
        </w:rPr>
        <w:t xml:space="preserve"> </w:t>
      </w:r>
      <w:r w:rsidRPr="00C56257">
        <w:rPr>
          <w:color w:val="000000" w:themeColor="text1"/>
        </w:rPr>
        <w:t>habitatul</w:t>
      </w:r>
      <w:r w:rsidRPr="00C56257">
        <w:rPr>
          <w:color w:val="000000" w:themeColor="text1"/>
          <w:spacing w:val="1"/>
        </w:rPr>
        <w:t xml:space="preserve"> </w:t>
      </w:r>
      <w:r w:rsidRPr="00C56257">
        <w:rPr>
          <w:color w:val="000000" w:themeColor="text1"/>
        </w:rPr>
        <w:t>este declarat</w:t>
      </w:r>
      <w:r w:rsidRPr="00C56257">
        <w:rPr>
          <w:color w:val="000000" w:themeColor="text1"/>
          <w:spacing w:val="-1"/>
        </w:rPr>
        <w:t xml:space="preserve"> </w:t>
      </w:r>
      <w:r w:rsidRPr="00C56257">
        <w:rPr>
          <w:color w:val="000000" w:themeColor="text1"/>
        </w:rPr>
        <w:t>obiectiv de</w:t>
      </w:r>
      <w:r w:rsidRPr="00C56257">
        <w:rPr>
          <w:color w:val="000000" w:themeColor="text1"/>
          <w:spacing w:val="1"/>
        </w:rPr>
        <w:t xml:space="preserve"> </w:t>
      </w:r>
      <w:r w:rsidRPr="00C56257">
        <w:rPr>
          <w:color w:val="000000" w:themeColor="text1"/>
        </w:rPr>
        <w:t>conservare.</w:t>
      </w:r>
    </w:p>
    <w:p w14:paraId="3FAB6EEF" w14:textId="77777777" w:rsidR="007D2E1E" w:rsidRPr="00C56257" w:rsidRDefault="007D2E1E" w:rsidP="00896C2C">
      <w:pPr>
        <w:widowControl w:val="0"/>
        <w:autoSpaceDE w:val="0"/>
        <w:autoSpaceDN w:val="0"/>
        <w:ind w:right="27"/>
        <w:jc w:val="both"/>
        <w:rPr>
          <w:i/>
          <w:color w:val="000000" w:themeColor="text1"/>
        </w:rPr>
      </w:pPr>
      <w:r w:rsidRPr="00C56257">
        <w:rPr>
          <w:i/>
          <w:color w:val="000000" w:themeColor="text1"/>
        </w:rPr>
        <w:t>Suprafața</w:t>
      </w:r>
      <w:r w:rsidRPr="00C56257">
        <w:rPr>
          <w:i/>
          <w:color w:val="000000" w:themeColor="text1"/>
          <w:spacing w:val="-1"/>
        </w:rPr>
        <w:t xml:space="preserve"> </w:t>
      </w:r>
      <w:r w:rsidRPr="00C56257">
        <w:rPr>
          <w:i/>
          <w:color w:val="000000" w:themeColor="text1"/>
        </w:rPr>
        <w:t>tipului de</w:t>
      </w:r>
      <w:r w:rsidRPr="00C56257">
        <w:rPr>
          <w:i/>
          <w:color w:val="000000" w:themeColor="text1"/>
          <w:spacing w:val="-1"/>
        </w:rPr>
        <w:t xml:space="preserve"> </w:t>
      </w:r>
      <w:r w:rsidRPr="00C56257">
        <w:rPr>
          <w:i/>
          <w:color w:val="000000" w:themeColor="text1"/>
        </w:rPr>
        <w:t>habitat din</w:t>
      </w:r>
      <w:r w:rsidRPr="00C56257">
        <w:rPr>
          <w:i/>
          <w:color w:val="000000" w:themeColor="text1"/>
          <w:spacing w:val="-1"/>
        </w:rPr>
        <w:t xml:space="preserve"> </w:t>
      </w:r>
      <w:r w:rsidRPr="00C56257">
        <w:rPr>
          <w:i/>
          <w:color w:val="000000" w:themeColor="text1"/>
        </w:rPr>
        <w:t>rețeaua pSCI,</w:t>
      </w:r>
      <w:r w:rsidRPr="00C56257">
        <w:rPr>
          <w:i/>
          <w:color w:val="000000" w:themeColor="text1"/>
          <w:spacing w:val="-1"/>
        </w:rPr>
        <w:t xml:space="preserve"> </w:t>
      </w:r>
      <w:r w:rsidRPr="00C56257">
        <w:rPr>
          <w:i/>
          <w:color w:val="000000" w:themeColor="text1"/>
        </w:rPr>
        <w:t>SCI și</w:t>
      </w:r>
      <w:r w:rsidRPr="00C56257">
        <w:rPr>
          <w:i/>
          <w:color w:val="000000" w:themeColor="text1"/>
          <w:spacing w:val="-2"/>
        </w:rPr>
        <w:t xml:space="preserve"> </w:t>
      </w:r>
      <w:r w:rsidRPr="00C56257">
        <w:rPr>
          <w:i/>
          <w:color w:val="000000" w:themeColor="text1"/>
        </w:rPr>
        <w:t>SAC</w:t>
      </w:r>
    </w:p>
    <w:p w14:paraId="2ECB974C" w14:textId="77777777" w:rsidR="007D2E1E" w:rsidRPr="00C56257" w:rsidRDefault="007D2E1E" w:rsidP="00896C2C">
      <w:pPr>
        <w:widowControl w:val="0"/>
        <w:autoSpaceDE w:val="0"/>
        <w:autoSpaceDN w:val="0"/>
        <w:ind w:right="27"/>
        <w:jc w:val="both"/>
        <w:rPr>
          <w:color w:val="000000" w:themeColor="text1"/>
        </w:rPr>
      </w:pPr>
      <w:r w:rsidRPr="00C56257">
        <w:rPr>
          <w:color w:val="000000" w:themeColor="text1"/>
        </w:rPr>
        <w:t>Se indică suprafața tipului de habitat din rețea, din regiunea biogeografică sau marină în cauză,</w:t>
      </w:r>
      <w:r w:rsidRPr="00C56257">
        <w:rPr>
          <w:color w:val="000000" w:themeColor="text1"/>
          <w:spacing w:val="1"/>
        </w:rPr>
        <w:t xml:space="preserve"> </w:t>
      </w:r>
      <w:r w:rsidRPr="00C56257">
        <w:rPr>
          <w:color w:val="000000" w:themeColor="text1"/>
        </w:rPr>
        <w:t xml:space="preserve">inclusiv </w:t>
      </w:r>
      <w:r w:rsidRPr="00C56257">
        <w:rPr>
          <w:color w:val="000000" w:themeColor="text1"/>
        </w:rPr>
        <w:lastRenderedPageBreak/>
        <w:t>toate siturile în care este prezent tipul de habitat. Se urmăresc aceleași recomandări ca și</w:t>
      </w:r>
      <w:r w:rsidRPr="00C56257">
        <w:rPr>
          <w:color w:val="000000" w:themeColor="text1"/>
          <w:spacing w:val="1"/>
        </w:rPr>
        <w:t xml:space="preserve"> </w:t>
      </w:r>
      <w:r w:rsidRPr="00C56257">
        <w:rPr>
          <w:color w:val="000000" w:themeColor="text1"/>
        </w:rPr>
        <w:t>pentru</w:t>
      </w:r>
      <w:r w:rsidRPr="00C56257">
        <w:rPr>
          <w:color w:val="000000" w:themeColor="text1"/>
          <w:spacing w:val="-1"/>
        </w:rPr>
        <w:t xml:space="preserve"> </w:t>
      </w:r>
      <w:r w:rsidRPr="00C56257">
        <w:rPr>
          <w:color w:val="000000" w:themeColor="text1"/>
        </w:rPr>
        <w:t>suprafața habitatului.</w:t>
      </w:r>
    </w:p>
    <w:p w14:paraId="53781B98" w14:textId="77777777" w:rsidR="007D2E1E" w:rsidRPr="00C56257" w:rsidRDefault="007D2E1E" w:rsidP="008E33FD">
      <w:pPr>
        <w:widowControl w:val="0"/>
        <w:autoSpaceDE w:val="0"/>
        <w:autoSpaceDN w:val="0"/>
        <w:spacing w:before="8" w:after="1"/>
        <w:jc w:val="both"/>
        <w:rPr>
          <w:color w:val="000000" w:themeColor="text1"/>
        </w:rPr>
      </w:pPr>
    </w:p>
    <w:tbl>
      <w:tblPr>
        <w:tblW w:w="8977" w:type="dxa"/>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706"/>
        <w:gridCol w:w="707"/>
        <w:gridCol w:w="706"/>
        <w:gridCol w:w="706"/>
        <w:gridCol w:w="706"/>
        <w:gridCol w:w="706"/>
        <w:gridCol w:w="1422"/>
        <w:gridCol w:w="1933"/>
      </w:tblGrid>
      <w:tr w:rsidR="007D2E1E" w:rsidRPr="00C56257" w14:paraId="6CB37A29" w14:textId="77777777" w:rsidTr="00A94BD8">
        <w:trPr>
          <w:trHeight w:val="506"/>
        </w:trPr>
        <w:tc>
          <w:tcPr>
            <w:tcW w:w="1385" w:type="dxa"/>
          </w:tcPr>
          <w:p w14:paraId="41C78005" w14:textId="77777777" w:rsidR="007D2E1E" w:rsidRPr="00C56257" w:rsidRDefault="007D2E1E" w:rsidP="008E33FD">
            <w:pPr>
              <w:widowControl w:val="0"/>
              <w:autoSpaceDE w:val="0"/>
              <w:autoSpaceDN w:val="0"/>
              <w:spacing w:before="8"/>
              <w:jc w:val="both"/>
              <w:rPr>
                <w:color w:val="000000" w:themeColor="text1"/>
              </w:rPr>
            </w:pPr>
          </w:p>
          <w:p w14:paraId="1D870594" w14:textId="77777777" w:rsidR="007D2E1E" w:rsidRPr="00C56257" w:rsidRDefault="007D2E1E" w:rsidP="008E33FD">
            <w:pPr>
              <w:widowControl w:val="0"/>
              <w:autoSpaceDE w:val="0"/>
              <w:autoSpaceDN w:val="0"/>
              <w:spacing w:before="1" w:line="236" w:lineRule="exact"/>
              <w:ind w:right="80"/>
              <w:jc w:val="both"/>
              <w:rPr>
                <w:b/>
                <w:color w:val="000000" w:themeColor="text1"/>
              </w:rPr>
            </w:pPr>
            <w:r w:rsidRPr="00C56257">
              <w:rPr>
                <w:b/>
                <w:color w:val="000000" w:themeColor="text1"/>
              </w:rPr>
              <w:t>Cod</w:t>
            </w:r>
            <w:r w:rsidRPr="00C56257">
              <w:rPr>
                <w:b/>
                <w:color w:val="000000" w:themeColor="text1"/>
                <w:spacing w:val="-2"/>
              </w:rPr>
              <w:t xml:space="preserve"> </w:t>
            </w:r>
            <w:r w:rsidRPr="00C56257">
              <w:rPr>
                <w:b/>
                <w:color w:val="000000" w:themeColor="text1"/>
              </w:rPr>
              <w:t>Habitat</w:t>
            </w:r>
          </w:p>
        </w:tc>
        <w:tc>
          <w:tcPr>
            <w:tcW w:w="706" w:type="dxa"/>
          </w:tcPr>
          <w:p w14:paraId="5FEDB65C" w14:textId="77777777" w:rsidR="007D2E1E" w:rsidRPr="00C56257" w:rsidRDefault="007D2E1E" w:rsidP="008E33FD">
            <w:pPr>
              <w:widowControl w:val="0"/>
              <w:autoSpaceDE w:val="0"/>
              <w:autoSpaceDN w:val="0"/>
              <w:spacing w:before="8"/>
              <w:jc w:val="both"/>
              <w:rPr>
                <w:color w:val="000000" w:themeColor="text1"/>
              </w:rPr>
            </w:pPr>
          </w:p>
          <w:p w14:paraId="3D79DF15" w14:textId="77777777" w:rsidR="007D2E1E" w:rsidRPr="00C56257" w:rsidRDefault="007D2E1E" w:rsidP="008E33FD">
            <w:pPr>
              <w:widowControl w:val="0"/>
              <w:autoSpaceDE w:val="0"/>
              <w:autoSpaceDN w:val="0"/>
              <w:spacing w:before="1" w:line="236" w:lineRule="exact"/>
              <w:ind w:right="85"/>
              <w:jc w:val="both"/>
              <w:rPr>
                <w:b/>
                <w:color w:val="000000" w:themeColor="text1"/>
              </w:rPr>
            </w:pPr>
            <w:r w:rsidRPr="00C56257">
              <w:rPr>
                <w:b/>
                <w:color w:val="000000" w:themeColor="text1"/>
              </w:rPr>
              <w:t>ALP</w:t>
            </w:r>
          </w:p>
        </w:tc>
        <w:tc>
          <w:tcPr>
            <w:tcW w:w="707" w:type="dxa"/>
          </w:tcPr>
          <w:p w14:paraId="0770058B" w14:textId="77777777" w:rsidR="007D2E1E" w:rsidRPr="00C56257" w:rsidRDefault="007D2E1E" w:rsidP="008E33FD">
            <w:pPr>
              <w:widowControl w:val="0"/>
              <w:autoSpaceDE w:val="0"/>
              <w:autoSpaceDN w:val="0"/>
              <w:spacing w:before="8"/>
              <w:jc w:val="both"/>
              <w:rPr>
                <w:color w:val="000000" w:themeColor="text1"/>
              </w:rPr>
            </w:pPr>
          </w:p>
          <w:p w14:paraId="6F9161F6" w14:textId="77777777" w:rsidR="007D2E1E" w:rsidRPr="00C56257" w:rsidRDefault="007D2E1E" w:rsidP="008E33FD">
            <w:pPr>
              <w:widowControl w:val="0"/>
              <w:autoSpaceDE w:val="0"/>
              <w:autoSpaceDN w:val="0"/>
              <w:spacing w:before="1" w:line="236" w:lineRule="exact"/>
              <w:ind w:right="80"/>
              <w:jc w:val="both"/>
              <w:rPr>
                <w:b/>
                <w:color w:val="000000" w:themeColor="text1"/>
              </w:rPr>
            </w:pPr>
            <w:r w:rsidRPr="00C56257">
              <w:rPr>
                <w:b/>
                <w:color w:val="000000" w:themeColor="text1"/>
              </w:rPr>
              <w:t>CON</w:t>
            </w:r>
          </w:p>
        </w:tc>
        <w:tc>
          <w:tcPr>
            <w:tcW w:w="706" w:type="dxa"/>
          </w:tcPr>
          <w:p w14:paraId="37680A9C" w14:textId="77777777" w:rsidR="007D2E1E" w:rsidRPr="00C56257" w:rsidRDefault="007D2E1E" w:rsidP="008E33FD">
            <w:pPr>
              <w:widowControl w:val="0"/>
              <w:autoSpaceDE w:val="0"/>
              <w:autoSpaceDN w:val="0"/>
              <w:spacing w:before="8"/>
              <w:jc w:val="both"/>
              <w:rPr>
                <w:color w:val="000000" w:themeColor="text1"/>
              </w:rPr>
            </w:pPr>
          </w:p>
          <w:p w14:paraId="2D6BE069" w14:textId="77777777" w:rsidR="007D2E1E" w:rsidRPr="00C56257" w:rsidRDefault="007D2E1E" w:rsidP="008E33FD">
            <w:pPr>
              <w:widowControl w:val="0"/>
              <w:autoSpaceDE w:val="0"/>
              <w:autoSpaceDN w:val="0"/>
              <w:spacing w:before="1" w:line="236" w:lineRule="exact"/>
              <w:ind w:right="85"/>
              <w:jc w:val="both"/>
              <w:rPr>
                <w:b/>
                <w:color w:val="000000" w:themeColor="text1"/>
              </w:rPr>
            </w:pPr>
            <w:r w:rsidRPr="00C56257">
              <w:rPr>
                <w:b/>
                <w:color w:val="000000" w:themeColor="text1"/>
              </w:rPr>
              <w:t>PAN</w:t>
            </w:r>
          </w:p>
        </w:tc>
        <w:tc>
          <w:tcPr>
            <w:tcW w:w="706" w:type="dxa"/>
          </w:tcPr>
          <w:p w14:paraId="1E8CD88A" w14:textId="77777777" w:rsidR="007D2E1E" w:rsidRPr="00C56257" w:rsidRDefault="007D2E1E" w:rsidP="008E33FD">
            <w:pPr>
              <w:widowControl w:val="0"/>
              <w:autoSpaceDE w:val="0"/>
              <w:autoSpaceDN w:val="0"/>
              <w:spacing w:before="8"/>
              <w:jc w:val="both"/>
              <w:rPr>
                <w:color w:val="000000" w:themeColor="text1"/>
              </w:rPr>
            </w:pPr>
          </w:p>
          <w:p w14:paraId="1C5BE90C" w14:textId="77777777" w:rsidR="007D2E1E" w:rsidRPr="00C56257" w:rsidRDefault="007D2E1E" w:rsidP="008E33FD">
            <w:pPr>
              <w:widowControl w:val="0"/>
              <w:autoSpaceDE w:val="0"/>
              <w:autoSpaceDN w:val="0"/>
              <w:spacing w:before="1" w:line="236" w:lineRule="exact"/>
              <w:ind w:right="85"/>
              <w:jc w:val="both"/>
              <w:rPr>
                <w:b/>
                <w:color w:val="000000" w:themeColor="text1"/>
              </w:rPr>
            </w:pPr>
            <w:r w:rsidRPr="00C56257">
              <w:rPr>
                <w:b/>
                <w:color w:val="000000" w:themeColor="text1"/>
              </w:rPr>
              <w:t>STE</w:t>
            </w:r>
          </w:p>
        </w:tc>
        <w:tc>
          <w:tcPr>
            <w:tcW w:w="706" w:type="dxa"/>
          </w:tcPr>
          <w:p w14:paraId="0D082CB5" w14:textId="77777777" w:rsidR="007D2E1E" w:rsidRPr="00C56257" w:rsidRDefault="007D2E1E" w:rsidP="008E33FD">
            <w:pPr>
              <w:widowControl w:val="0"/>
              <w:autoSpaceDE w:val="0"/>
              <w:autoSpaceDN w:val="0"/>
              <w:spacing w:before="8"/>
              <w:jc w:val="both"/>
              <w:rPr>
                <w:color w:val="000000" w:themeColor="text1"/>
              </w:rPr>
            </w:pPr>
          </w:p>
          <w:p w14:paraId="0DA7C9D7" w14:textId="77777777" w:rsidR="007D2E1E" w:rsidRPr="00C56257" w:rsidRDefault="007D2E1E" w:rsidP="008E33FD">
            <w:pPr>
              <w:widowControl w:val="0"/>
              <w:autoSpaceDE w:val="0"/>
              <w:autoSpaceDN w:val="0"/>
              <w:spacing w:before="1" w:line="236" w:lineRule="exact"/>
              <w:ind w:right="85"/>
              <w:jc w:val="both"/>
              <w:rPr>
                <w:b/>
                <w:color w:val="000000" w:themeColor="text1"/>
              </w:rPr>
            </w:pPr>
            <w:r w:rsidRPr="00C56257">
              <w:rPr>
                <w:b/>
                <w:color w:val="000000" w:themeColor="text1"/>
              </w:rPr>
              <w:t>BLS</w:t>
            </w:r>
          </w:p>
        </w:tc>
        <w:tc>
          <w:tcPr>
            <w:tcW w:w="706" w:type="dxa"/>
          </w:tcPr>
          <w:p w14:paraId="78F6E56A" w14:textId="77777777" w:rsidR="007D2E1E" w:rsidRPr="00C56257" w:rsidRDefault="007D2E1E" w:rsidP="008E33FD">
            <w:pPr>
              <w:widowControl w:val="0"/>
              <w:autoSpaceDE w:val="0"/>
              <w:autoSpaceDN w:val="0"/>
              <w:spacing w:before="8"/>
              <w:jc w:val="both"/>
              <w:rPr>
                <w:color w:val="000000" w:themeColor="text1"/>
              </w:rPr>
            </w:pPr>
          </w:p>
          <w:p w14:paraId="32CC0912" w14:textId="77777777" w:rsidR="007D2E1E" w:rsidRPr="00C56257" w:rsidRDefault="007D2E1E" w:rsidP="008E33FD">
            <w:pPr>
              <w:widowControl w:val="0"/>
              <w:autoSpaceDE w:val="0"/>
              <w:autoSpaceDN w:val="0"/>
              <w:spacing w:before="1" w:line="236" w:lineRule="exact"/>
              <w:ind w:right="85"/>
              <w:jc w:val="both"/>
              <w:rPr>
                <w:b/>
                <w:color w:val="000000" w:themeColor="text1"/>
              </w:rPr>
            </w:pPr>
            <w:r w:rsidRPr="00C56257">
              <w:rPr>
                <w:b/>
                <w:color w:val="000000" w:themeColor="text1"/>
              </w:rPr>
              <w:t>MBS</w:t>
            </w:r>
          </w:p>
        </w:tc>
        <w:tc>
          <w:tcPr>
            <w:tcW w:w="1422" w:type="dxa"/>
          </w:tcPr>
          <w:p w14:paraId="5884D13A" w14:textId="77777777" w:rsidR="007D2E1E" w:rsidRPr="00C56257" w:rsidRDefault="007D2E1E" w:rsidP="008E33FD">
            <w:pPr>
              <w:widowControl w:val="0"/>
              <w:autoSpaceDE w:val="0"/>
              <w:autoSpaceDN w:val="0"/>
              <w:spacing w:before="8"/>
              <w:jc w:val="both"/>
              <w:rPr>
                <w:color w:val="000000" w:themeColor="text1"/>
              </w:rPr>
            </w:pPr>
          </w:p>
          <w:p w14:paraId="7A5B882A" w14:textId="77777777" w:rsidR="007D2E1E" w:rsidRPr="00C56257" w:rsidRDefault="007D2E1E" w:rsidP="008E33FD">
            <w:pPr>
              <w:widowControl w:val="0"/>
              <w:autoSpaceDE w:val="0"/>
              <w:autoSpaceDN w:val="0"/>
              <w:spacing w:before="1" w:line="236" w:lineRule="exact"/>
              <w:ind w:right="81"/>
              <w:jc w:val="both"/>
              <w:rPr>
                <w:b/>
                <w:color w:val="000000" w:themeColor="text1"/>
              </w:rPr>
            </w:pPr>
            <w:r w:rsidRPr="00C56257">
              <w:rPr>
                <w:b/>
                <w:color w:val="000000" w:themeColor="text1"/>
              </w:rPr>
              <w:t>Total</w:t>
            </w:r>
            <w:r w:rsidRPr="00C56257">
              <w:rPr>
                <w:b/>
                <w:color w:val="000000" w:themeColor="text1"/>
                <w:spacing w:val="-1"/>
              </w:rPr>
              <w:t xml:space="preserve"> </w:t>
            </w:r>
            <w:r w:rsidRPr="00C56257">
              <w:rPr>
                <w:b/>
                <w:color w:val="000000" w:themeColor="text1"/>
              </w:rPr>
              <w:t>ploturi</w:t>
            </w:r>
          </w:p>
        </w:tc>
        <w:tc>
          <w:tcPr>
            <w:tcW w:w="1933" w:type="dxa"/>
          </w:tcPr>
          <w:p w14:paraId="2483BB41" w14:textId="77777777" w:rsidR="007D2E1E" w:rsidRPr="00C56257" w:rsidRDefault="007D2E1E" w:rsidP="008E33FD">
            <w:pPr>
              <w:widowControl w:val="0"/>
              <w:autoSpaceDE w:val="0"/>
              <w:autoSpaceDN w:val="0"/>
              <w:spacing w:line="252" w:lineRule="exact"/>
              <w:ind w:right="433"/>
              <w:jc w:val="both"/>
              <w:rPr>
                <w:b/>
                <w:color w:val="000000" w:themeColor="text1"/>
              </w:rPr>
            </w:pPr>
            <w:r w:rsidRPr="00C56257">
              <w:rPr>
                <w:b/>
                <w:color w:val="000000" w:themeColor="text1"/>
              </w:rPr>
              <w:t>Ploturi in doua</w:t>
            </w:r>
            <w:r w:rsidRPr="00C56257">
              <w:rPr>
                <w:b/>
                <w:color w:val="000000" w:themeColor="text1"/>
                <w:spacing w:val="1"/>
              </w:rPr>
              <w:t xml:space="preserve"> </w:t>
            </w:r>
            <w:r w:rsidRPr="00C56257">
              <w:rPr>
                <w:b/>
                <w:color w:val="000000" w:themeColor="text1"/>
              </w:rPr>
              <w:t>bioregiuni</w:t>
            </w:r>
            <w:r w:rsidRPr="00C56257">
              <w:rPr>
                <w:b/>
                <w:color w:val="000000" w:themeColor="text1"/>
                <w:spacing w:val="-13"/>
              </w:rPr>
              <w:t xml:space="preserve"> </w:t>
            </w:r>
            <w:r w:rsidRPr="00C56257">
              <w:rPr>
                <w:b/>
                <w:color w:val="000000" w:themeColor="text1"/>
              </w:rPr>
              <w:t>diferite</w:t>
            </w:r>
          </w:p>
        </w:tc>
      </w:tr>
      <w:tr w:rsidR="007D2E1E" w:rsidRPr="00C56257" w14:paraId="2F9D32E0" w14:textId="77777777" w:rsidTr="00A94BD8">
        <w:trPr>
          <w:trHeight w:val="299"/>
        </w:trPr>
        <w:tc>
          <w:tcPr>
            <w:tcW w:w="1385" w:type="dxa"/>
          </w:tcPr>
          <w:p w14:paraId="3C627706" w14:textId="77777777" w:rsidR="007D2E1E" w:rsidRPr="00C56257" w:rsidRDefault="007D2E1E" w:rsidP="008E33FD">
            <w:pPr>
              <w:widowControl w:val="0"/>
              <w:autoSpaceDE w:val="0"/>
              <w:autoSpaceDN w:val="0"/>
              <w:spacing w:before="20" w:line="259" w:lineRule="exact"/>
              <w:ind w:right="80"/>
              <w:jc w:val="both"/>
              <w:rPr>
                <w:b/>
                <w:color w:val="000000" w:themeColor="text1"/>
              </w:rPr>
            </w:pPr>
            <w:r w:rsidRPr="00C56257">
              <w:rPr>
                <w:b/>
                <w:color w:val="000000" w:themeColor="text1"/>
              </w:rPr>
              <w:t>3130</w:t>
            </w:r>
          </w:p>
        </w:tc>
        <w:tc>
          <w:tcPr>
            <w:tcW w:w="706" w:type="dxa"/>
          </w:tcPr>
          <w:p w14:paraId="287CEC09"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707" w:type="dxa"/>
          </w:tcPr>
          <w:p w14:paraId="5B77DA5A" w14:textId="77777777" w:rsidR="007D2E1E" w:rsidRPr="00C56257" w:rsidRDefault="007D2E1E" w:rsidP="008E33FD">
            <w:pPr>
              <w:widowControl w:val="0"/>
              <w:autoSpaceDE w:val="0"/>
              <w:autoSpaceDN w:val="0"/>
              <w:spacing w:before="15" w:line="264" w:lineRule="exact"/>
              <w:ind w:right="79"/>
              <w:jc w:val="both"/>
              <w:rPr>
                <w:color w:val="000000" w:themeColor="text1"/>
              </w:rPr>
            </w:pPr>
            <w:r w:rsidRPr="00C56257">
              <w:rPr>
                <w:color w:val="000000" w:themeColor="text1"/>
              </w:rPr>
              <w:t>15</w:t>
            </w:r>
          </w:p>
        </w:tc>
        <w:tc>
          <w:tcPr>
            <w:tcW w:w="706" w:type="dxa"/>
          </w:tcPr>
          <w:p w14:paraId="20009AAB" w14:textId="77777777" w:rsidR="007D2E1E" w:rsidRPr="00C56257" w:rsidRDefault="007D2E1E" w:rsidP="008E33FD">
            <w:pPr>
              <w:widowControl w:val="0"/>
              <w:autoSpaceDE w:val="0"/>
              <w:autoSpaceDN w:val="0"/>
              <w:spacing w:before="15" w:line="264" w:lineRule="exact"/>
              <w:ind w:right="85"/>
              <w:jc w:val="both"/>
              <w:rPr>
                <w:color w:val="000000" w:themeColor="text1"/>
              </w:rPr>
            </w:pPr>
            <w:r w:rsidRPr="00C56257">
              <w:rPr>
                <w:color w:val="000000" w:themeColor="text1"/>
              </w:rPr>
              <w:t>12</w:t>
            </w:r>
          </w:p>
        </w:tc>
        <w:tc>
          <w:tcPr>
            <w:tcW w:w="706" w:type="dxa"/>
          </w:tcPr>
          <w:p w14:paraId="523A6225" w14:textId="77777777" w:rsidR="007D2E1E" w:rsidRPr="00C56257" w:rsidRDefault="007D2E1E" w:rsidP="008E33FD">
            <w:pPr>
              <w:widowControl w:val="0"/>
              <w:autoSpaceDE w:val="0"/>
              <w:autoSpaceDN w:val="0"/>
              <w:spacing w:before="15" w:line="264" w:lineRule="exact"/>
              <w:ind w:right="85"/>
              <w:jc w:val="both"/>
              <w:rPr>
                <w:color w:val="000000" w:themeColor="text1"/>
              </w:rPr>
            </w:pPr>
            <w:r w:rsidRPr="00C56257">
              <w:rPr>
                <w:color w:val="000000" w:themeColor="text1"/>
              </w:rPr>
              <w:t>17</w:t>
            </w:r>
          </w:p>
        </w:tc>
        <w:tc>
          <w:tcPr>
            <w:tcW w:w="706" w:type="dxa"/>
          </w:tcPr>
          <w:p w14:paraId="24D3FEFC"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8</w:t>
            </w:r>
          </w:p>
        </w:tc>
        <w:tc>
          <w:tcPr>
            <w:tcW w:w="706" w:type="dxa"/>
          </w:tcPr>
          <w:p w14:paraId="73E9BF58"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1422" w:type="dxa"/>
          </w:tcPr>
          <w:p w14:paraId="695E7CD7" w14:textId="77777777" w:rsidR="007D2E1E" w:rsidRPr="00C56257" w:rsidRDefault="007D2E1E" w:rsidP="008E33FD">
            <w:pPr>
              <w:widowControl w:val="0"/>
              <w:autoSpaceDE w:val="0"/>
              <w:autoSpaceDN w:val="0"/>
              <w:spacing w:before="15" w:line="264" w:lineRule="exact"/>
              <w:ind w:right="81"/>
              <w:jc w:val="both"/>
              <w:rPr>
                <w:color w:val="000000" w:themeColor="text1"/>
              </w:rPr>
            </w:pPr>
            <w:r w:rsidRPr="00C56257">
              <w:rPr>
                <w:color w:val="000000" w:themeColor="text1"/>
              </w:rPr>
              <w:t>44</w:t>
            </w:r>
          </w:p>
        </w:tc>
        <w:tc>
          <w:tcPr>
            <w:tcW w:w="1933" w:type="dxa"/>
          </w:tcPr>
          <w:p w14:paraId="68E83745" w14:textId="77777777" w:rsidR="007D2E1E" w:rsidRPr="00C56257" w:rsidRDefault="007D2E1E" w:rsidP="008E33FD">
            <w:pPr>
              <w:widowControl w:val="0"/>
              <w:autoSpaceDE w:val="0"/>
              <w:autoSpaceDN w:val="0"/>
              <w:spacing w:before="15" w:line="264" w:lineRule="exact"/>
              <w:ind w:right="1230"/>
              <w:jc w:val="both"/>
              <w:rPr>
                <w:color w:val="000000" w:themeColor="text1"/>
              </w:rPr>
            </w:pPr>
            <w:r w:rsidRPr="00C56257">
              <w:rPr>
                <w:color w:val="000000" w:themeColor="text1"/>
              </w:rPr>
              <w:t>7</w:t>
            </w:r>
          </w:p>
        </w:tc>
      </w:tr>
      <w:tr w:rsidR="007D2E1E" w:rsidRPr="00C56257" w14:paraId="310DE4DD" w14:textId="77777777" w:rsidTr="00A94BD8">
        <w:trPr>
          <w:trHeight w:val="299"/>
        </w:trPr>
        <w:tc>
          <w:tcPr>
            <w:tcW w:w="1385" w:type="dxa"/>
          </w:tcPr>
          <w:p w14:paraId="3CB588ED" w14:textId="77777777" w:rsidR="007D2E1E" w:rsidRPr="00C56257" w:rsidRDefault="007D2E1E" w:rsidP="008E33FD">
            <w:pPr>
              <w:widowControl w:val="0"/>
              <w:autoSpaceDE w:val="0"/>
              <w:autoSpaceDN w:val="0"/>
              <w:spacing w:before="20" w:line="259" w:lineRule="exact"/>
              <w:ind w:right="80"/>
              <w:jc w:val="both"/>
              <w:rPr>
                <w:b/>
                <w:color w:val="000000" w:themeColor="text1"/>
              </w:rPr>
            </w:pPr>
            <w:r w:rsidRPr="00C56257">
              <w:rPr>
                <w:b/>
                <w:color w:val="000000" w:themeColor="text1"/>
              </w:rPr>
              <w:t>3140</w:t>
            </w:r>
          </w:p>
        </w:tc>
        <w:tc>
          <w:tcPr>
            <w:tcW w:w="706" w:type="dxa"/>
          </w:tcPr>
          <w:p w14:paraId="1B52C5DD"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707" w:type="dxa"/>
          </w:tcPr>
          <w:p w14:paraId="517D79FD"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8</w:t>
            </w:r>
          </w:p>
        </w:tc>
        <w:tc>
          <w:tcPr>
            <w:tcW w:w="706" w:type="dxa"/>
          </w:tcPr>
          <w:p w14:paraId="55BDBC6B"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706" w:type="dxa"/>
          </w:tcPr>
          <w:p w14:paraId="6AF24915" w14:textId="77777777" w:rsidR="007D2E1E" w:rsidRPr="00C56257" w:rsidRDefault="007D2E1E" w:rsidP="008E33FD">
            <w:pPr>
              <w:widowControl w:val="0"/>
              <w:autoSpaceDE w:val="0"/>
              <w:autoSpaceDN w:val="0"/>
              <w:spacing w:before="15" w:line="264" w:lineRule="exact"/>
              <w:ind w:right="85"/>
              <w:jc w:val="both"/>
              <w:rPr>
                <w:color w:val="000000" w:themeColor="text1"/>
              </w:rPr>
            </w:pPr>
            <w:r w:rsidRPr="00C56257">
              <w:rPr>
                <w:color w:val="000000" w:themeColor="text1"/>
              </w:rPr>
              <w:t>10</w:t>
            </w:r>
          </w:p>
        </w:tc>
        <w:tc>
          <w:tcPr>
            <w:tcW w:w="706" w:type="dxa"/>
          </w:tcPr>
          <w:p w14:paraId="6BEAA044"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4</w:t>
            </w:r>
          </w:p>
        </w:tc>
        <w:tc>
          <w:tcPr>
            <w:tcW w:w="706" w:type="dxa"/>
          </w:tcPr>
          <w:p w14:paraId="23133170"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1422" w:type="dxa"/>
          </w:tcPr>
          <w:p w14:paraId="325C5C59" w14:textId="77777777" w:rsidR="007D2E1E" w:rsidRPr="00C56257" w:rsidRDefault="007D2E1E" w:rsidP="008E33FD">
            <w:pPr>
              <w:widowControl w:val="0"/>
              <w:autoSpaceDE w:val="0"/>
              <w:autoSpaceDN w:val="0"/>
              <w:spacing w:before="15" w:line="264" w:lineRule="exact"/>
              <w:ind w:right="81"/>
              <w:jc w:val="both"/>
              <w:rPr>
                <w:color w:val="000000" w:themeColor="text1"/>
              </w:rPr>
            </w:pPr>
            <w:r w:rsidRPr="00C56257">
              <w:rPr>
                <w:color w:val="000000" w:themeColor="text1"/>
              </w:rPr>
              <w:t>20</w:t>
            </w:r>
          </w:p>
        </w:tc>
        <w:tc>
          <w:tcPr>
            <w:tcW w:w="1933" w:type="dxa"/>
          </w:tcPr>
          <w:p w14:paraId="1C4F80D3" w14:textId="77777777" w:rsidR="007D2E1E" w:rsidRPr="00C56257" w:rsidRDefault="007D2E1E" w:rsidP="008E33FD">
            <w:pPr>
              <w:widowControl w:val="0"/>
              <w:autoSpaceDE w:val="0"/>
              <w:autoSpaceDN w:val="0"/>
              <w:spacing w:before="15" w:line="264" w:lineRule="exact"/>
              <w:ind w:right="1230"/>
              <w:jc w:val="both"/>
              <w:rPr>
                <w:color w:val="000000" w:themeColor="text1"/>
              </w:rPr>
            </w:pPr>
            <w:r w:rsidRPr="00C56257">
              <w:rPr>
                <w:color w:val="000000" w:themeColor="text1"/>
              </w:rPr>
              <w:t>2</w:t>
            </w:r>
          </w:p>
        </w:tc>
      </w:tr>
      <w:tr w:rsidR="007D2E1E" w:rsidRPr="00C56257" w14:paraId="079065D5" w14:textId="77777777" w:rsidTr="00A94BD8">
        <w:trPr>
          <w:trHeight w:val="300"/>
        </w:trPr>
        <w:tc>
          <w:tcPr>
            <w:tcW w:w="1385" w:type="dxa"/>
          </w:tcPr>
          <w:p w14:paraId="7D11AD53" w14:textId="77777777" w:rsidR="007D2E1E" w:rsidRPr="00C56257" w:rsidRDefault="007D2E1E" w:rsidP="008E33FD">
            <w:pPr>
              <w:widowControl w:val="0"/>
              <w:autoSpaceDE w:val="0"/>
              <w:autoSpaceDN w:val="0"/>
              <w:spacing w:before="21" w:line="259" w:lineRule="exact"/>
              <w:ind w:right="80"/>
              <w:jc w:val="both"/>
              <w:rPr>
                <w:b/>
                <w:color w:val="000000" w:themeColor="text1"/>
              </w:rPr>
            </w:pPr>
            <w:r w:rsidRPr="00C56257">
              <w:rPr>
                <w:b/>
                <w:color w:val="000000" w:themeColor="text1"/>
              </w:rPr>
              <w:t>3150</w:t>
            </w:r>
          </w:p>
        </w:tc>
        <w:tc>
          <w:tcPr>
            <w:tcW w:w="706" w:type="dxa"/>
          </w:tcPr>
          <w:p w14:paraId="2A334E74" w14:textId="77777777" w:rsidR="007D2E1E" w:rsidRPr="00C56257" w:rsidRDefault="007D2E1E" w:rsidP="008E33FD">
            <w:pPr>
              <w:widowControl w:val="0"/>
              <w:autoSpaceDE w:val="0"/>
              <w:autoSpaceDN w:val="0"/>
              <w:spacing w:before="16" w:line="264" w:lineRule="exact"/>
              <w:jc w:val="both"/>
              <w:rPr>
                <w:color w:val="000000" w:themeColor="text1"/>
              </w:rPr>
            </w:pPr>
            <w:r w:rsidRPr="00C56257">
              <w:rPr>
                <w:color w:val="000000" w:themeColor="text1"/>
              </w:rPr>
              <w:t>5</w:t>
            </w:r>
          </w:p>
        </w:tc>
        <w:tc>
          <w:tcPr>
            <w:tcW w:w="707" w:type="dxa"/>
          </w:tcPr>
          <w:p w14:paraId="0D557104" w14:textId="77777777" w:rsidR="007D2E1E" w:rsidRPr="00C56257" w:rsidRDefault="007D2E1E" w:rsidP="008E33FD">
            <w:pPr>
              <w:widowControl w:val="0"/>
              <w:autoSpaceDE w:val="0"/>
              <w:autoSpaceDN w:val="0"/>
              <w:spacing w:before="16" w:line="264" w:lineRule="exact"/>
              <w:ind w:right="79"/>
              <w:jc w:val="both"/>
              <w:rPr>
                <w:color w:val="000000" w:themeColor="text1"/>
              </w:rPr>
            </w:pPr>
            <w:r w:rsidRPr="00C56257">
              <w:rPr>
                <w:color w:val="000000" w:themeColor="text1"/>
              </w:rPr>
              <w:t>35</w:t>
            </w:r>
          </w:p>
        </w:tc>
        <w:tc>
          <w:tcPr>
            <w:tcW w:w="706" w:type="dxa"/>
          </w:tcPr>
          <w:p w14:paraId="21DD54C3" w14:textId="77777777" w:rsidR="007D2E1E" w:rsidRPr="00C56257" w:rsidRDefault="007D2E1E" w:rsidP="008E33FD">
            <w:pPr>
              <w:widowControl w:val="0"/>
              <w:autoSpaceDE w:val="0"/>
              <w:autoSpaceDN w:val="0"/>
              <w:spacing w:before="16" w:line="264" w:lineRule="exact"/>
              <w:ind w:right="85"/>
              <w:jc w:val="both"/>
              <w:rPr>
                <w:color w:val="000000" w:themeColor="text1"/>
              </w:rPr>
            </w:pPr>
            <w:r w:rsidRPr="00C56257">
              <w:rPr>
                <w:color w:val="000000" w:themeColor="text1"/>
              </w:rPr>
              <w:t>20</w:t>
            </w:r>
          </w:p>
        </w:tc>
        <w:tc>
          <w:tcPr>
            <w:tcW w:w="706" w:type="dxa"/>
          </w:tcPr>
          <w:p w14:paraId="43097A0E" w14:textId="77777777" w:rsidR="007D2E1E" w:rsidRPr="00C56257" w:rsidRDefault="007D2E1E" w:rsidP="008E33FD">
            <w:pPr>
              <w:widowControl w:val="0"/>
              <w:autoSpaceDE w:val="0"/>
              <w:autoSpaceDN w:val="0"/>
              <w:spacing w:before="16" w:line="264" w:lineRule="exact"/>
              <w:ind w:right="85"/>
              <w:jc w:val="both"/>
              <w:rPr>
                <w:color w:val="000000" w:themeColor="text1"/>
              </w:rPr>
            </w:pPr>
            <w:r w:rsidRPr="00C56257">
              <w:rPr>
                <w:color w:val="000000" w:themeColor="text1"/>
              </w:rPr>
              <w:t>25</w:t>
            </w:r>
          </w:p>
        </w:tc>
        <w:tc>
          <w:tcPr>
            <w:tcW w:w="706" w:type="dxa"/>
          </w:tcPr>
          <w:p w14:paraId="5D9C5449" w14:textId="77777777" w:rsidR="007D2E1E" w:rsidRPr="00C56257" w:rsidRDefault="007D2E1E" w:rsidP="008E33FD">
            <w:pPr>
              <w:widowControl w:val="0"/>
              <w:autoSpaceDE w:val="0"/>
              <w:autoSpaceDN w:val="0"/>
              <w:spacing w:before="16" w:line="264" w:lineRule="exact"/>
              <w:jc w:val="both"/>
              <w:rPr>
                <w:color w:val="000000" w:themeColor="text1"/>
              </w:rPr>
            </w:pPr>
            <w:r w:rsidRPr="00C56257">
              <w:rPr>
                <w:color w:val="000000" w:themeColor="text1"/>
              </w:rPr>
              <w:t>7</w:t>
            </w:r>
          </w:p>
        </w:tc>
        <w:tc>
          <w:tcPr>
            <w:tcW w:w="706" w:type="dxa"/>
          </w:tcPr>
          <w:p w14:paraId="515A4F42" w14:textId="77777777" w:rsidR="007D2E1E" w:rsidRPr="00C56257" w:rsidRDefault="007D2E1E" w:rsidP="008E33FD">
            <w:pPr>
              <w:widowControl w:val="0"/>
              <w:autoSpaceDE w:val="0"/>
              <w:autoSpaceDN w:val="0"/>
              <w:spacing w:before="16" w:line="264" w:lineRule="exact"/>
              <w:jc w:val="both"/>
              <w:rPr>
                <w:color w:val="000000" w:themeColor="text1"/>
              </w:rPr>
            </w:pPr>
            <w:r w:rsidRPr="00C56257">
              <w:rPr>
                <w:color w:val="000000" w:themeColor="text1"/>
              </w:rPr>
              <w:t>0</w:t>
            </w:r>
          </w:p>
        </w:tc>
        <w:tc>
          <w:tcPr>
            <w:tcW w:w="1422" w:type="dxa"/>
          </w:tcPr>
          <w:p w14:paraId="109F6F8C" w14:textId="77777777" w:rsidR="007D2E1E" w:rsidRPr="00C56257" w:rsidRDefault="007D2E1E" w:rsidP="008E33FD">
            <w:pPr>
              <w:widowControl w:val="0"/>
              <w:autoSpaceDE w:val="0"/>
              <w:autoSpaceDN w:val="0"/>
              <w:spacing w:before="16" w:line="264" w:lineRule="exact"/>
              <w:ind w:right="81"/>
              <w:jc w:val="both"/>
              <w:rPr>
                <w:color w:val="000000" w:themeColor="text1"/>
              </w:rPr>
            </w:pPr>
            <w:r w:rsidRPr="00C56257">
              <w:rPr>
                <w:color w:val="000000" w:themeColor="text1"/>
              </w:rPr>
              <w:t>79</w:t>
            </w:r>
          </w:p>
        </w:tc>
        <w:tc>
          <w:tcPr>
            <w:tcW w:w="1933" w:type="dxa"/>
          </w:tcPr>
          <w:p w14:paraId="4F86F5CC" w14:textId="77777777" w:rsidR="007D2E1E" w:rsidRPr="00C56257" w:rsidRDefault="007D2E1E" w:rsidP="008E33FD">
            <w:pPr>
              <w:widowControl w:val="0"/>
              <w:autoSpaceDE w:val="0"/>
              <w:autoSpaceDN w:val="0"/>
              <w:spacing w:before="16" w:line="264" w:lineRule="exact"/>
              <w:ind w:right="1170"/>
              <w:jc w:val="both"/>
              <w:rPr>
                <w:color w:val="000000" w:themeColor="text1"/>
              </w:rPr>
            </w:pPr>
            <w:r w:rsidRPr="00C56257">
              <w:rPr>
                <w:color w:val="000000" w:themeColor="text1"/>
              </w:rPr>
              <w:t>13</w:t>
            </w:r>
          </w:p>
        </w:tc>
      </w:tr>
      <w:tr w:rsidR="007D2E1E" w:rsidRPr="00C56257" w14:paraId="3A26D833" w14:textId="77777777" w:rsidTr="00A94BD8">
        <w:trPr>
          <w:trHeight w:val="299"/>
        </w:trPr>
        <w:tc>
          <w:tcPr>
            <w:tcW w:w="1385" w:type="dxa"/>
          </w:tcPr>
          <w:p w14:paraId="499F643C" w14:textId="77777777" w:rsidR="007D2E1E" w:rsidRPr="00C56257" w:rsidRDefault="007D2E1E" w:rsidP="008E33FD">
            <w:pPr>
              <w:widowControl w:val="0"/>
              <w:autoSpaceDE w:val="0"/>
              <w:autoSpaceDN w:val="0"/>
              <w:spacing w:before="20" w:line="259" w:lineRule="exact"/>
              <w:ind w:right="80"/>
              <w:jc w:val="both"/>
              <w:rPr>
                <w:b/>
                <w:color w:val="000000" w:themeColor="text1"/>
              </w:rPr>
            </w:pPr>
            <w:r w:rsidRPr="00C56257">
              <w:rPr>
                <w:b/>
                <w:color w:val="000000" w:themeColor="text1"/>
              </w:rPr>
              <w:t>3160</w:t>
            </w:r>
          </w:p>
        </w:tc>
        <w:tc>
          <w:tcPr>
            <w:tcW w:w="706" w:type="dxa"/>
          </w:tcPr>
          <w:p w14:paraId="02D5330F"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707" w:type="dxa"/>
          </w:tcPr>
          <w:p w14:paraId="48147115" w14:textId="77777777" w:rsidR="007D2E1E" w:rsidRPr="00C56257" w:rsidRDefault="007D2E1E" w:rsidP="008E33FD">
            <w:pPr>
              <w:widowControl w:val="0"/>
              <w:autoSpaceDE w:val="0"/>
              <w:autoSpaceDN w:val="0"/>
              <w:spacing w:before="15" w:line="264" w:lineRule="exact"/>
              <w:ind w:right="79"/>
              <w:jc w:val="both"/>
              <w:rPr>
                <w:color w:val="000000" w:themeColor="text1"/>
              </w:rPr>
            </w:pPr>
            <w:r w:rsidRPr="00C56257">
              <w:rPr>
                <w:color w:val="000000" w:themeColor="text1"/>
              </w:rPr>
              <w:t>12</w:t>
            </w:r>
          </w:p>
        </w:tc>
        <w:tc>
          <w:tcPr>
            <w:tcW w:w="706" w:type="dxa"/>
          </w:tcPr>
          <w:p w14:paraId="53431A08"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6</w:t>
            </w:r>
          </w:p>
        </w:tc>
        <w:tc>
          <w:tcPr>
            <w:tcW w:w="706" w:type="dxa"/>
          </w:tcPr>
          <w:p w14:paraId="504A88DC"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9</w:t>
            </w:r>
          </w:p>
        </w:tc>
        <w:tc>
          <w:tcPr>
            <w:tcW w:w="706" w:type="dxa"/>
          </w:tcPr>
          <w:p w14:paraId="56714599"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706" w:type="dxa"/>
          </w:tcPr>
          <w:p w14:paraId="5287EB14"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1422" w:type="dxa"/>
          </w:tcPr>
          <w:p w14:paraId="435238B4" w14:textId="77777777" w:rsidR="007D2E1E" w:rsidRPr="00C56257" w:rsidRDefault="007D2E1E" w:rsidP="008E33FD">
            <w:pPr>
              <w:widowControl w:val="0"/>
              <w:autoSpaceDE w:val="0"/>
              <w:autoSpaceDN w:val="0"/>
              <w:spacing w:before="15" w:line="264" w:lineRule="exact"/>
              <w:ind w:right="81"/>
              <w:jc w:val="both"/>
              <w:rPr>
                <w:color w:val="000000" w:themeColor="text1"/>
              </w:rPr>
            </w:pPr>
            <w:r w:rsidRPr="00C56257">
              <w:rPr>
                <w:color w:val="000000" w:themeColor="text1"/>
              </w:rPr>
              <w:t>25</w:t>
            </w:r>
          </w:p>
        </w:tc>
        <w:tc>
          <w:tcPr>
            <w:tcW w:w="1933" w:type="dxa"/>
          </w:tcPr>
          <w:p w14:paraId="44563472" w14:textId="77777777" w:rsidR="007D2E1E" w:rsidRPr="00C56257" w:rsidRDefault="007D2E1E" w:rsidP="008E33FD">
            <w:pPr>
              <w:widowControl w:val="0"/>
              <w:autoSpaceDE w:val="0"/>
              <w:autoSpaceDN w:val="0"/>
              <w:spacing w:before="15" w:line="264" w:lineRule="exact"/>
              <w:ind w:right="1230"/>
              <w:jc w:val="both"/>
              <w:rPr>
                <w:color w:val="000000" w:themeColor="text1"/>
              </w:rPr>
            </w:pPr>
            <w:r w:rsidRPr="00C56257">
              <w:rPr>
                <w:color w:val="000000" w:themeColor="text1"/>
              </w:rPr>
              <w:t>2</w:t>
            </w:r>
          </w:p>
        </w:tc>
      </w:tr>
      <w:tr w:rsidR="007D2E1E" w:rsidRPr="00C56257" w14:paraId="581002FA" w14:textId="77777777" w:rsidTr="00A94BD8">
        <w:trPr>
          <w:trHeight w:val="299"/>
        </w:trPr>
        <w:tc>
          <w:tcPr>
            <w:tcW w:w="1385" w:type="dxa"/>
          </w:tcPr>
          <w:p w14:paraId="7F40EDBF" w14:textId="77777777" w:rsidR="007D2E1E" w:rsidRPr="00C56257" w:rsidRDefault="007D2E1E" w:rsidP="008E33FD">
            <w:pPr>
              <w:widowControl w:val="0"/>
              <w:autoSpaceDE w:val="0"/>
              <w:autoSpaceDN w:val="0"/>
              <w:spacing w:before="20" w:line="259" w:lineRule="exact"/>
              <w:ind w:right="80"/>
              <w:jc w:val="both"/>
              <w:rPr>
                <w:b/>
                <w:color w:val="000000" w:themeColor="text1"/>
              </w:rPr>
            </w:pPr>
            <w:r w:rsidRPr="00C56257">
              <w:rPr>
                <w:b/>
                <w:color w:val="000000" w:themeColor="text1"/>
              </w:rPr>
              <w:t>31A0*</w:t>
            </w:r>
          </w:p>
        </w:tc>
        <w:tc>
          <w:tcPr>
            <w:tcW w:w="706" w:type="dxa"/>
          </w:tcPr>
          <w:p w14:paraId="78EDB4B1"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707" w:type="dxa"/>
          </w:tcPr>
          <w:p w14:paraId="5239D154"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706" w:type="dxa"/>
          </w:tcPr>
          <w:p w14:paraId="0F205411" w14:textId="77777777" w:rsidR="007D2E1E" w:rsidRPr="00C56257" w:rsidRDefault="007D2E1E" w:rsidP="008E33FD">
            <w:pPr>
              <w:widowControl w:val="0"/>
              <w:autoSpaceDE w:val="0"/>
              <w:autoSpaceDN w:val="0"/>
              <w:spacing w:before="15" w:line="264" w:lineRule="exact"/>
              <w:ind w:right="85"/>
              <w:jc w:val="both"/>
              <w:rPr>
                <w:color w:val="000000" w:themeColor="text1"/>
              </w:rPr>
            </w:pPr>
            <w:r w:rsidRPr="00C56257">
              <w:rPr>
                <w:color w:val="000000" w:themeColor="text1"/>
              </w:rPr>
              <w:t>10</w:t>
            </w:r>
          </w:p>
        </w:tc>
        <w:tc>
          <w:tcPr>
            <w:tcW w:w="706" w:type="dxa"/>
          </w:tcPr>
          <w:p w14:paraId="6645CDC4"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706" w:type="dxa"/>
          </w:tcPr>
          <w:p w14:paraId="1EF3BDE2"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706" w:type="dxa"/>
          </w:tcPr>
          <w:p w14:paraId="07C84D3D"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1422" w:type="dxa"/>
          </w:tcPr>
          <w:p w14:paraId="2A47D13D" w14:textId="77777777" w:rsidR="007D2E1E" w:rsidRPr="00C56257" w:rsidRDefault="007D2E1E" w:rsidP="008E33FD">
            <w:pPr>
              <w:widowControl w:val="0"/>
              <w:autoSpaceDE w:val="0"/>
              <w:autoSpaceDN w:val="0"/>
              <w:spacing w:before="15" w:line="264" w:lineRule="exact"/>
              <w:ind w:right="81"/>
              <w:jc w:val="both"/>
              <w:rPr>
                <w:color w:val="000000" w:themeColor="text1"/>
              </w:rPr>
            </w:pPr>
            <w:r w:rsidRPr="00C56257">
              <w:rPr>
                <w:color w:val="000000" w:themeColor="text1"/>
              </w:rPr>
              <w:t>10</w:t>
            </w:r>
          </w:p>
        </w:tc>
        <w:tc>
          <w:tcPr>
            <w:tcW w:w="1933" w:type="dxa"/>
          </w:tcPr>
          <w:p w14:paraId="2032CDDB" w14:textId="77777777" w:rsidR="007D2E1E" w:rsidRPr="00C56257" w:rsidRDefault="007D2E1E" w:rsidP="008E33FD">
            <w:pPr>
              <w:widowControl w:val="0"/>
              <w:autoSpaceDE w:val="0"/>
              <w:autoSpaceDN w:val="0"/>
              <w:spacing w:before="15" w:line="264" w:lineRule="exact"/>
              <w:ind w:right="1230"/>
              <w:jc w:val="both"/>
              <w:rPr>
                <w:color w:val="000000" w:themeColor="text1"/>
              </w:rPr>
            </w:pPr>
            <w:r w:rsidRPr="00C56257">
              <w:rPr>
                <w:color w:val="000000" w:themeColor="text1"/>
              </w:rPr>
              <w:t>0</w:t>
            </w:r>
          </w:p>
        </w:tc>
      </w:tr>
      <w:tr w:rsidR="007D2E1E" w:rsidRPr="00C56257" w14:paraId="4F0E6703" w14:textId="77777777" w:rsidTr="00A94BD8">
        <w:trPr>
          <w:trHeight w:val="302"/>
        </w:trPr>
        <w:tc>
          <w:tcPr>
            <w:tcW w:w="1385" w:type="dxa"/>
          </w:tcPr>
          <w:p w14:paraId="794F2867" w14:textId="77777777" w:rsidR="007D2E1E" w:rsidRPr="00C56257" w:rsidRDefault="007D2E1E" w:rsidP="008E33FD">
            <w:pPr>
              <w:widowControl w:val="0"/>
              <w:autoSpaceDE w:val="0"/>
              <w:autoSpaceDN w:val="0"/>
              <w:spacing w:before="23" w:line="259" w:lineRule="exact"/>
              <w:ind w:right="80"/>
              <w:jc w:val="both"/>
              <w:rPr>
                <w:b/>
                <w:color w:val="000000" w:themeColor="text1"/>
              </w:rPr>
            </w:pPr>
            <w:r w:rsidRPr="00C56257">
              <w:rPr>
                <w:b/>
                <w:color w:val="000000" w:themeColor="text1"/>
              </w:rPr>
              <w:t>3220</w:t>
            </w:r>
          </w:p>
        </w:tc>
        <w:tc>
          <w:tcPr>
            <w:tcW w:w="706" w:type="dxa"/>
          </w:tcPr>
          <w:p w14:paraId="6CCDF3B9" w14:textId="77777777" w:rsidR="007D2E1E" w:rsidRPr="00C56257" w:rsidRDefault="007D2E1E" w:rsidP="008E33FD">
            <w:pPr>
              <w:widowControl w:val="0"/>
              <w:autoSpaceDE w:val="0"/>
              <w:autoSpaceDN w:val="0"/>
              <w:spacing w:before="18" w:line="264" w:lineRule="exact"/>
              <w:ind w:right="85"/>
              <w:jc w:val="both"/>
              <w:rPr>
                <w:color w:val="000000" w:themeColor="text1"/>
              </w:rPr>
            </w:pPr>
            <w:r w:rsidRPr="00C56257">
              <w:rPr>
                <w:color w:val="000000" w:themeColor="text1"/>
              </w:rPr>
              <w:t>95</w:t>
            </w:r>
          </w:p>
        </w:tc>
        <w:tc>
          <w:tcPr>
            <w:tcW w:w="707" w:type="dxa"/>
          </w:tcPr>
          <w:p w14:paraId="340BE73C" w14:textId="77777777" w:rsidR="007D2E1E" w:rsidRPr="00C56257" w:rsidRDefault="007D2E1E" w:rsidP="008E33FD">
            <w:pPr>
              <w:widowControl w:val="0"/>
              <w:autoSpaceDE w:val="0"/>
              <w:autoSpaceDN w:val="0"/>
              <w:spacing w:before="18" w:line="264" w:lineRule="exact"/>
              <w:ind w:right="79"/>
              <w:jc w:val="both"/>
              <w:rPr>
                <w:color w:val="000000" w:themeColor="text1"/>
              </w:rPr>
            </w:pPr>
            <w:r w:rsidRPr="00C56257">
              <w:rPr>
                <w:color w:val="000000" w:themeColor="text1"/>
              </w:rPr>
              <w:t>37</w:t>
            </w:r>
          </w:p>
        </w:tc>
        <w:tc>
          <w:tcPr>
            <w:tcW w:w="706" w:type="dxa"/>
          </w:tcPr>
          <w:p w14:paraId="47B2B958" w14:textId="77777777" w:rsidR="007D2E1E" w:rsidRPr="00C56257" w:rsidRDefault="007D2E1E" w:rsidP="008E33FD">
            <w:pPr>
              <w:widowControl w:val="0"/>
              <w:autoSpaceDE w:val="0"/>
              <w:autoSpaceDN w:val="0"/>
              <w:spacing w:before="18" w:line="264" w:lineRule="exact"/>
              <w:jc w:val="both"/>
              <w:rPr>
                <w:color w:val="000000" w:themeColor="text1"/>
              </w:rPr>
            </w:pPr>
            <w:r w:rsidRPr="00C56257">
              <w:rPr>
                <w:color w:val="000000" w:themeColor="text1"/>
              </w:rPr>
              <w:t>0</w:t>
            </w:r>
          </w:p>
        </w:tc>
        <w:tc>
          <w:tcPr>
            <w:tcW w:w="706" w:type="dxa"/>
          </w:tcPr>
          <w:p w14:paraId="2E7D48ED" w14:textId="77777777" w:rsidR="007D2E1E" w:rsidRPr="00C56257" w:rsidRDefault="007D2E1E" w:rsidP="008E33FD">
            <w:pPr>
              <w:widowControl w:val="0"/>
              <w:autoSpaceDE w:val="0"/>
              <w:autoSpaceDN w:val="0"/>
              <w:spacing w:before="18" w:line="264" w:lineRule="exact"/>
              <w:jc w:val="both"/>
              <w:rPr>
                <w:color w:val="000000" w:themeColor="text1"/>
              </w:rPr>
            </w:pPr>
            <w:r w:rsidRPr="00C56257">
              <w:rPr>
                <w:color w:val="000000" w:themeColor="text1"/>
              </w:rPr>
              <w:t>0</w:t>
            </w:r>
          </w:p>
        </w:tc>
        <w:tc>
          <w:tcPr>
            <w:tcW w:w="706" w:type="dxa"/>
          </w:tcPr>
          <w:p w14:paraId="17636B6A" w14:textId="77777777" w:rsidR="007D2E1E" w:rsidRPr="00C56257" w:rsidRDefault="007D2E1E" w:rsidP="008E33FD">
            <w:pPr>
              <w:widowControl w:val="0"/>
              <w:autoSpaceDE w:val="0"/>
              <w:autoSpaceDN w:val="0"/>
              <w:spacing w:before="18" w:line="264" w:lineRule="exact"/>
              <w:jc w:val="both"/>
              <w:rPr>
                <w:color w:val="000000" w:themeColor="text1"/>
              </w:rPr>
            </w:pPr>
            <w:r w:rsidRPr="00C56257">
              <w:rPr>
                <w:color w:val="000000" w:themeColor="text1"/>
              </w:rPr>
              <w:t>0</w:t>
            </w:r>
          </w:p>
        </w:tc>
        <w:tc>
          <w:tcPr>
            <w:tcW w:w="706" w:type="dxa"/>
          </w:tcPr>
          <w:p w14:paraId="5C1C87A4" w14:textId="77777777" w:rsidR="007D2E1E" w:rsidRPr="00C56257" w:rsidRDefault="007D2E1E" w:rsidP="008E33FD">
            <w:pPr>
              <w:widowControl w:val="0"/>
              <w:autoSpaceDE w:val="0"/>
              <w:autoSpaceDN w:val="0"/>
              <w:spacing w:before="18" w:line="264" w:lineRule="exact"/>
              <w:jc w:val="both"/>
              <w:rPr>
                <w:color w:val="000000" w:themeColor="text1"/>
              </w:rPr>
            </w:pPr>
            <w:r w:rsidRPr="00C56257">
              <w:rPr>
                <w:color w:val="000000" w:themeColor="text1"/>
              </w:rPr>
              <w:t>0</w:t>
            </w:r>
          </w:p>
        </w:tc>
        <w:tc>
          <w:tcPr>
            <w:tcW w:w="1422" w:type="dxa"/>
          </w:tcPr>
          <w:p w14:paraId="4D8C7904" w14:textId="77777777" w:rsidR="007D2E1E" w:rsidRPr="00C56257" w:rsidRDefault="007D2E1E" w:rsidP="008E33FD">
            <w:pPr>
              <w:widowControl w:val="0"/>
              <w:autoSpaceDE w:val="0"/>
              <w:autoSpaceDN w:val="0"/>
              <w:spacing w:before="18" w:line="264" w:lineRule="exact"/>
              <w:ind w:right="81"/>
              <w:jc w:val="both"/>
              <w:rPr>
                <w:color w:val="000000" w:themeColor="text1"/>
              </w:rPr>
            </w:pPr>
            <w:r w:rsidRPr="00C56257">
              <w:rPr>
                <w:color w:val="000000" w:themeColor="text1"/>
              </w:rPr>
              <w:t>106</w:t>
            </w:r>
          </w:p>
        </w:tc>
        <w:tc>
          <w:tcPr>
            <w:tcW w:w="1933" w:type="dxa"/>
          </w:tcPr>
          <w:p w14:paraId="210B7183" w14:textId="77777777" w:rsidR="007D2E1E" w:rsidRPr="00C56257" w:rsidRDefault="007D2E1E" w:rsidP="008E33FD">
            <w:pPr>
              <w:widowControl w:val="0"/>
              <w:autoSpaceDE w:val="0"/>
              <w:autoSpaceDN w:val="0"/>
              <w:spacing w:before="18" w:line="264" w:lineRule="exact"/>
              <w:ind w:right="1170"/>
              <w:jc w:val="both"/>
              <w:rPr>
                <w:color w:val="000000" w:themeColor="text1"/>
              </w:rPr>
            </w:pPr>
            <w:r w:rsidRPr="00C56257">
              <w:rPr>
                <w:color w:val="000000" w:themeColor="text1"/>
              </w:rPr>
              <w:t>26</w:t>
            </w:r>
          </w:p>
        </w:tc>
      </w:tr>
      <w:tr w:rsidR="007D2E1E" w:rsidRPr="00C56257" w14:paraId="331BE62A" w14:textId="77777777" w:rsidTr="00A94BD8">
        <w:trPr>
          <w:trHeight w:val="299"/>
        </w:trPr>
        <w:tc>
          <w:tcPr>
            <w:tcW w:w="1385" w:type="dxa"/>
          </w:tcPr>
          <w:p w14:paraId="7692AF4F" w14:textId="77777777" w:rsidR="007D2E1E" w:rsidRPr="00C56257" w:rsidRDefault="007D2E1E" w:rsidP="008E33FD">
            <w:pPr>
              <w:widowControl w:val="0"/>
              <w:autoSpaceDE w:val="0"/>
              <w:autoSpaceDN w:val="0"/>
              <w:spacing w:before="20" w:line="259" w:lineRule="exact"/>
              <w:ind w:right="80"/>
              <w:jc w:val="both"/>
              <w:rPr>
                <w:b/>
                <w:color w:val="000000" w:themeColor="text1"/>
              </w:rPr>
            </w:pPr>
            <w:r w:rsidRPr="00C56257">
              <w:rPr>
                <w:b/>
                <w:color w:val="000000" w:themeColor="text1"/>
              </w:rPr>
              <w:t>3230</w:t>
            </w:r>
          </w:p>
        </w:tc>
        <w:tc>
          <w:tcPr>
            <w:tcW w:w="706" w:type="dxa"/>
          </w:tcPr>
          <w:p w14:paraId="745C6601" w14:textId="77777777" w:rsidR="007D2E1E" w:rsidRPr="00C56257" w:rsidRDefault="007D2E1E" w:rsidP="008E33FD">
            <w:pPr>
              <w:widowControl w:val="0"/>
              <w:autoSpaceDE w:val="0"/>
              <w:autoSpaceDN w:val="0"/>
              <w:spacing w:before="15" w:line="264" w:lineRule="exact"/>
              <w:ind w:right="85"/>
              <w:jc w:val="both"/>
              <w:rPr>
                <w:color w:val="000000" w:themeColor="text1"/>
              </w:rPr>
            </w:pPr>
            <w:r w:rsidRPr="00C56257">
              <w:rPr>
                <w:color w:val="000000" w:themeColor="text1"/>
              </w:rPr>
              <w:t>60</w:t>
            </w:r>
          </w:p>
        </w:tc>
        <w:tc>
          <w:tcPr>
            <w:tcW w:w="707" w:type="dxa"/>
          </w:tcPr>
          <w:p w14:paraId="17C21B64"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706" w:type="dxa"/>
          </w:tcPr>
          <w:p w14:paraId="0CA19BE1"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706" w:type="dxa"/>
          </w:tcPr>
          <w:p w14:paraId="2EE5C455"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706" w:type="dxa"/>
          </w:tcPr>
          <w:p w14:paraId="3FA9B032"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706" w:type="dxa"/>
          </w:tcPr>
          <w:p w14:paraId="6BD9344B"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1422" w:type="dxa"/>
          </w:tcPr>
          <w:p w14:paraId="06B8220D" w14:textId="77777777" w:rsidR="007D2E1E" w:rsidRPr="00C56257" w:rsidRDefault="007D2E1E" w:rsidP="008E33FD">
            <w:pPr>
              <w:widowControl w:val="0"/>
              <w:autoSpaceDE w:val="0"/>
              <w:autoSpaceDN w:val="0"/>
              <w:spacing w:before="15" w:line="264" w:lineRule="exact"/>
              <w:ind w:right="81"/>
              <w:jc w:val="both"/>
              <w:rPr>
                <w:color w:val="000000" w:themeColor="text1"/>
              </w:rPr>
            </w:pPr>
            <w:r w:rsidRPr="00C56257">
              <w:rPr>
                <w:color w:val="000000" w:themeColor="text1"/>
              </w:rPr>
              <w:t>60</w:t>
            </w:r>
          </w:p>
        </w:tc>
        <w:tc>
          <w:tcPr>
            <w:tcW w:w="1933" w:type="dxa"/>
          </w:tcPr>
          <w:p w14:paraId="60FF097D" w14:textId="77777777" w:rsidR="007D2E1E" w:rsidRPr="00C56257" w:rsidRDefault="007D2E1E" w:rsidP="008E33FD">
            <w:pPr>
              <w:widowControl w:val="0"/>
              <w:autoSpaceDE w:val="0"/>
              <w:autoSpaceDN w:val="0"/>
              <w:spacing w:before="15" w:line="264" w:lineRule="exact"/>
              <w:ind w:right="1230"/>
              <w:jc w:val="both"/>
              <w:rPr>
                <w:color w:val="000000" w:themeColor="text1"/>
              </w:rPr>
            </w:pPr>
            <w:r w:rsidRPr="00C56257">
              <w:rPr>
                <w:color w:val="000000" w:themeColor="text1"/>
              </w:rPr>
              <w:t>0</w:t>
            </w:r>
          </w:p>
        </w:tc>
      </w:tr>
      <w:tr w:rsidR="007D2E1E" w:rsidRPr="00C56257" w14:paraId="721ED70F" w14:textId="77777777" w:rsidTr="00A94BD8">
        <w:trPr>
          <w:trHeight w:val="299"/>
        </w:trPr>
        <w:tc>
          <w:tcPr>
            <w:tcW w:w="1385" w:type="dxa"/>
          </w:tcPr>
          <w:p w14:paraId="5059A65C" w14:textId="77777777" w:rsidR="007D2E1E" w:rsidRPr="00C56257" w:rsidRDefault="007D2E1E" w:rsidP="008E33FD">
            <w:pPr>
              <w:widowControl w:val="0"/>
              <w:autoSpaceDE w:val="0"/>
              <w:autoSpaceDN w:val="0"/>
              <w:spacing w:before="20" w:line="259" w:lineRule="exact"/>
              <w:ind w:right="80"/>
              <w:jc w:val="both"/>
              <w:rPr>
                <w:b/>
                <w:color w:val="000000" w:themeColor="text1"/>
              </w:rPr>
            </w:pPr>
            <w:r w:rsidRPr="00C56257">
              <w:rPr>
                <w:b/>
                <w:color w:val="000000" w:themeColor="text1"/>
              </w:rPr>
              <w:t>3240</w:t>
            </w:r>
          </w:p>
        </w:tc>
        <w:tc>
          <w:tcPr>
            <w:tcW w:w="706" w:type="dxa"/>
          </w:tcPr>
          <w:p w14:paraId="1A4FEDBE" w14:textId="77777777" w:rsidR="007D2E1E" w:rsidRPr="00C56257" w:rsidRDefault="007D2E1E" w:rsidP="008E33FD">
            <w:pPr>
              <w:widowControl w:val="0"/>
              <w:autoSpaceDE w:val="0"/>
              <w:autoSpaceDN w:val="0"/>
              <w:spacing w:before="15" w:line="264" w:lineRule="exact"/>
              <w:ind w:right="85"/>
              <w:jc w:val="both"/>
              <w:rPr>
                <w:color w:val="000000" w:themeColor="text1"/>
              </w:rPr>
            </w:pPr>
            <w:r w:rsidRPr="00C56257">
              <w:rPr>
                <w:color w:val="000000" w:themeColor="text1"/>
              </w:rPr>
              <w:t>38</w:t>
            </w:r>
          </w:p>
        </w:tc>
        <w:tc>
          <w:tcPr>
            <w:tcW w:w="707" w:type="dxa"/>
          </w:tcPr>
          <w:p w14:paraId="07604F18" w14:textId="77777777" w:rsidR="007D2E1E" w:rsidRPr="00C56257" w:rsidRDefault="007D2E1E" w:rsidP="008E33FD">
            <w:pPr>
              <w:widowControl w:val="0"/>
              <w:autoSpaceDE w:val="0"/>
              <w:autoSpaceDN w:val="0"/>
              <w:spacing w:before="15" w:line="264" w:lineRule="exact"/>
              <w:ind w:right="79"/>
              <w:jc w:val="both"/>
              <w:rPr>
                <w:color w:val="000000" w:themeColor="text1"/>
              </w:rPr>
            </w:pPr>
            <w:r w:rsidRPr="00C56257">
              <w:rPr>
                <w:color w:val="000000" w:themeColor="text1"/>
              </w:rPr>
              <w:t>34</w:t>
            </w:r>
          </w:p>
        </w:tc>
        <w:tc>
          <w:tcPr>
            <w:tcW w:w="706" w:type="dxa"/>
          </w:tcPr>
          <w:p w14:paraId="14C7009F"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706" w:type="dxa"/>
          </w:tcPr>
          <w:p w14:paraId="316F9061"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706" w:type="dxa"/>
          </w:tcPr>
          <w:p w14:paraId="2002B10E"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706" w:type="dxa"/>
          </w:tcPr>
          <w:p w14:paraId="224F3B6E"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1422" w:type="dxa"/>
          </w:tcPr>
          <w:p w14:paraId="54A7C087" w14:textId="77777777" w:rsidR="007D2E1E" w:rsidRPr="00C56257" w:rsidRDefault="007D2E1E" w:rsidP="008E33FD">
            <w:pPr>
              <w:widowControl w:val="0"/>
              <w:autoSpaceDE w:val="0"/>
              <w:autoSpaceDN w:val="0"/>
              <w:spacing w:before="15" w:line="264" w:lineRule="exact"/>
              <w:ind w:right="81"/>
              <w:jc w:val="both"/>
              <w:rPr>
                <w:color w:val="000000" w:themeColor="text1"/>
              </w:rPr>
            </w:pPr>
            <w:r w:rsidRPr="00C56257">
              <w:rPr>
                <w:color w:val="000000" w:themeColor="text1"/>
              </w:rPr>
              <w:t>52</w:t>
            </w:r>
          </w:p>
        </w:tc>
        <w:tc>
          <w:tcPr>
            <w:tcW w:w="1933" w:type="dxa"/>
          </w:tcPr>
          <w:p w14:paraId="4291E584" w14:textId="77777777" w:rsidR="007D2E1E" w:rsidRPr="00C56257" w:rsidRDefault="007D2E1E" w:rsidP="008E33FD">
            <w:pPr>
              <w:widowControl w:val="0"/>
              <w:autoSpaceDE w:val="0"/>
              <w:autoSpaceDN w:val="0"/>
              <w:spacing w:before="15" w:line="264" w:lineRule="exact"/>
              <w:ind w:right="1170"/>
              <w:jc w:val="both"/>
              <w:rPr>
                <w:color w:val="000000" w:themeColor="text1"/>
              </w:rPr>
            </w:pPr>
            <w:r w:rsidRPr="00C56257">
              <w:rPr>
                <w:color w:val="000000" w:themeColor="text1"/>
              </w:rPr>
              <w:t>20</w:t>
            </w:r>
          </w:p>
        </w:tc>
      </w:tr>
      <w:tr w:rsidR="007D2E1E" w:rsidRPr="00C56257" w14:paraId="7BDBA88D" w14:textId="77777777" w:rsidTr="00A94BD8">
        <w:trPr>
          <w:trHeight w:val="299"/>
        </w:trPr>
        <w:tc>
          <w:tcPr>
            <w:tcW w:w="1385" w:type="dxa"/>
          </w:tcPr>
          <w:p w14:paraId="242D600C" w14:textId="77777777" w:rsidR="007D2E1E" w:rsidRPr="00C56257" w:rsidRDefault="007D2E1E" w:rsidP="008E33FD">
            <w:pPr>
              <w:widowControl w:val="0"/>
              <w:autoSpaceDE w:val="0"/>
              <w:autoSpaceDN w:val="0"/>
              <w:spacing w:before="20" w:line="259" w:lineRule="exact"/>
              <w:ind w:right="80"/>
              <w:jc w:val="both"/>
              <w:rPr>
                <w:b/>
                <w:color w:val="000000" w:themeColor="text1"/>
              </w:rPr>
            </w:pPr>
            <w:r w:rsidRPr="00C56257">
              <w:rPr>
                <w:b/>
                <w:color w:val="000000" w:themeColor="text1"/>
              </w:rPr>
              <w:t>3260</w:t>
            </w:r>
          </w:p>
        </w:tc>
        <w:tc>
          <w:tcPr>
            <w:tcW w:w="706" w:type="dxa"/>
          </w:tcPr>
          <w:p w14:paraId="7BCA811A" w14:textId="77777777" w:rsidR="007D2E1E" w:rsidRPr="00C56257" w:rsidRDefault="007D2E1E" w:rsidP="008E33FD">
            <w:pPr>
              <w:widowControl w:val="0"/>
              <w:autoSpaceDE w:val="0"/>
              <w:autoSpaceDN w:val="0"/>
              <w:spacing w:before="15" w:line="264" w:lineRule="exact"/>
              <w:ind w:right="85"/>
              <w:jc w:val="both"/>
              <w:rPr>
                <w:color w:val="000000" w:themeColor="text1"/>
              </w:rPr>
            </w:pPr>
            <w:r w:rsidRPr="00C56257">
              <w:rPr>
                <w:color w:val="000000" w:themeColor="text1"/>
              </w:rPr>
              <w:t>13</w:t>
            </w:r>
          </w:p>
        </w:tc>
        <w:tc>
          <w:tcPr>
            <w:tcW w:w="707" w:type="dxa"/>
          </w:tcPr>
          <w:p w14:paraId="22C7ACFF" w14:textId="77777777" w:rsidR="007D2E1E" w:rsidRPr="00C56257" w:rsidRDefault="007D2E1E" w:rsidP="008E33FD">
            <w:pPr>
              <w:widowControl w:val="0"/>
              <w:autoSpaceDE w:val="0"/>
              <w:autoSpaceDN w:val="0"/>
              <w:spacing w:before="15" w:line="264" w:lineRule="exact"/>
              <w:ind w:right="79"/>
              <w:jc w:val="both"/>
              <w:rPr>
                <w:color w:val="000000" w:themeColor="text1"/>
              </w:rPr>
            </w:pPr>
            <w:r w:rsidRPr="00C56257">
              <w:rPr>
                <w:color w:val="000000" w:themeColor="text1"/>
              </w:rPr>
              <w:t>26</w:t>
            </w:r>
          </w:p>
        </w:tc>
        <w:tc>
          <w:tcPr>
            <w:tcW w:w="706" w:type="dxa"/>
          </w:tcPr>
          <w:p w14:paraId="61447180"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9</w:t>
            </w:r>
          </w:p>
        </w:tc>
        <w:tc>
          <w:tcPr>
            <w:tcW w:w="706" w:type="dxa"/>
          </w:tcPr>
          <w:p w14:paraId="19C3248D" w14:textId="77777777" w:rsidR="007D2E1E" w:rsidRPr="00C56257" w:rsidRDefault="007D2E1E" w:rsidP="008E33FD">
            <w:pPr>
              <w:widowControl w:val="0"/>
              <w:autoSpaceDE w:val="0"/>
              <w:autoSpaceDN w:val="0"/>
              <w:spacing w:before="15" w:line="264" w:lineRule="exact"/>
              <w:ind w:right="85"/>
              <w:jc w:val="both"/>
              <w:rPr>
                <w:color w:val="000000" w:themeColor="text1"/>
              </w:rPr>
            </w:pPr>
            <w:r w:rsidRPr="00C56257">
              <w:rPr>
                <w:color w:val="000000" w:themeColor="text1"/>
              </w:rPr>
              <w:t>10</w:t>
            </w:r>
          </w:p>
        </w:tc>
        <w:tc>
          <w:tcPr>
            <w:tcW w:w="706" w:type="dxa"/>
          </w:tcPr>
          <w:p w14:paraId="6E5E0206"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3</w:t>
            </w:r>
          </w:p>
        </w:tc>
        <w:tc>
          <w:tcPr>
            <w:tcW w:w="706" w:type="dxa"/>
          </w:tcPr>
          <w:p w14:paraId="278080FD"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1422" w:type="dxa"/>
          </w:tcPr>
          <w:p w14:paraId="07E13777" w14:textId="77777777" w:rsidR="007D2E1E" w:rsidRPr="00C56257" w:rsidRDefault="007D2E1E" w:rsidP="008E33FD">
            <w:pPr>
              <w:widowControl w:val="0"/>
              <w:autoSpaceDE w:val="0"/>
              <w:autoSpaceDN w:val="0"/>
              <w:spacing w:before="15" w:line="264" w:lineRule="exact"/>
              <w:ind w:right="81"/>
              <w:jc w:val="both"/>
              <w:rPr>
                <w:color w:val="000000" w:themeColor="text1"/>
              </w:rPr>
            </w:pPr>
            <w:r w:rsidRPr="00C56257">
              <w:rPr>
                <w:color w:val="000000" w:themeColor="text1"/>
              </w:rPr>
              <w:t>53</w:t>
            </w:r>
          </w:p>
        </w:tc>
        <w:tc>
          <w:tcPr>
            <w:tcW w:w="1933" w:type="dxa"/>
          </w:tcPr>
          <w:p w14:paraId="661983A1" w14:textId="77777777" w:rsidR="007D2E1E" w:rsidRPr="00C56257" w:rsidRDefault="007D2E1E" w:rsidP="008E33FD">
            <w:pPr>
              <w:widowControl w:val="0"/>
              <w:autoSpaceDE w:val="0"/>
              <w:autoSpaceDN w:val="0"/>
              <w:spacing w:before="15" w:line="264" w:lineRule="exact"/>
              <w:ind w:right="1230"/>
              <w:jc w:val="both"/>
              <w:rPr>
                <w:color w:val="000000" w:themeColor="text1"/>
              </w:rPr>
            </w:pPr>
            <w:r w:rsidRPr="00C56257">
              <w:rPr>
                <w:color w:val="000000" w:themeColor="text1"/>
              </w:rPr>
              <w:t>8</w:t>
            </w:r>
          </w:p>
        </w:tc>
      </w:tr>
      <w:tr w:rsidR="007D2E1E" w:rsidRPr="00C56257" w14:paraId="58D321A6" w14:textId="77777777" w:rsidTr="00A94BD8">
        <w:trPr>
          <w:trHeight w:val="299"/>
        </w:trPr>
        <w:tc>
          <w:tcPr>
            <w:tcW w:w="1385" w:type="dxa"/>
          </w:tcPr>
          <w:p w14:paraId="34DE2D19" w14:textId="77777777" w:rsidR="007D2E1E" w:rsidRPr="00C56257" w:rsidRDefault="007D2E1E" w:rsidP="008E33FD">
            <w:pPr>
              <w:widowControl w:val="0"/>
              <w:autoSpaceDE w:val="0"/>
              <w:autoSpaceDN w:val="0"/>
              <w:spacing w:before="20" w:line="259" w:lineRule="exact"/>
              <w:ind w:right="80"/>
              <w:jc w:val="both"/>
              <w:rPr>
                <w:b/>
                <w:color w:val="000000" w:themeColor="text1"/>
              </w:rPr>
            </w:pPr>
            <w:r w:rsidRPr="00C56257">
              <w:rPr>
                <w:b/>
                <w:color w:val="000000" w:themeColor="text1"/>
              </w:rPr>
              <w:t>3270</w:t>
            </w:r>
          </w:p>
        </w:tc>
        <w:tc>
          <w:tcPr>
            <w:tcW w:w="706" w:type="dxa"/>
          </w:tcPr>
          <w:p w14:paraId="4A74E5EF"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707" w:type="dxa"/>
          </w:tcPr>
          <w:p w14:paraId="01A5D11A" w14:textId="77777777" w:rsidR="007D2E1E" w:rsidRPr="00C56257" w:rsidRDefault="007D2E1E" w:rsidP="008E33FD">
            <w:pPr>
              <w:widowControl w:val="0"/>
              <w:autoSpaceDE w:val="0"/>
              <w:autoSpaceDN w:val="0"/>
              <w:spacing w:before="15" w:line="264" w:lineRule="exact"/>
              <w:ind w:right="79"/>
              <w:jc w:val="both"/>
              <w:rPr>
                <w:color w:val="000000" w:themeColor="text1"/>
              </w:rPr>
            </w:pPr>
            <w:r w:rsidRPr="00C56257">
              <w:rPr>
                <w:color w:val="000000" w:themeColor="text1"/>
              </w:rPr>
              <w:t>29</w:t>
            </w:r>
          </w:p>
        </w:tc>
        <w:tc>
          <w:tcPr>
            <w:tcW w:w="706" w:type="dxa"/>
          </w:tcPr>
          <w:p w14:paraId="51538CAA" w14:textId="77777777" w:rsidR="007D2E1E" w:rsidRPr="00C56257" w:rsidRDefault="007D2E1E" w:rsidP="008E33FD">
            <w:pPr>
              <w:widowControl w:val="0"/>
              <w:autoSpaceDE w:val="0"/>
              <w:autoSpaceDN w:val="0"/>
              <w:spacing w:before="15" w:line="264" w:lineRule="exact"/>
              <w:ind w:right="85"/>
              <w:jc w:val="both"/>
              <w:rPr>
                <w:color w:val="000000" w:themeColor="text1"/>
              </w:rPr>
            </w:pPr>
            <w:r w:rsidRPr="00C56257">
              <w:rPr>
                <w:color w:val="000000" w:themeColor="text1"/>
              </w:rPr>
              <w:t>23</w:t>
            </w:r>
          </w:p>
        </w:tc>
        <w:tc>
          <w:tcPr>
            <w:tcW w:w="706" w:type="dxa"/>
          </w:tcPr>
          <w:p w14:paraId="0D4834C5" w14:textId="77777777" w:rsidR="007D2E1E" w:rsidRPr="00C56257" w:rsidRDefault="007D2E1E" w:rsidP="008E33FD">
            <w:pPr>
              <w:widowControl w:val="0"/>
              <w:autoSpaceDE w:val="0"/>
              <w:autoSpaceDN w:val="0"/>
              <w:spacing w:before="15" w:line="264" w:lineRule="exact"/>
              <w:ind w:right="85"/>
              <w:jc w:val="both"/>
              <w:rPr>
                <w:color w:val="000000" w:themeColor="text1"/>
              </w:rPr>
            </w:pPr>
            <w:r w:rsidRPr="00C56257">
              <w:rPr>
                <w:color w:val="000000" w:themeColor="text1"/>
              </w:rPr>
              <w:t>24</w:t>
            </w:r>
          </w:p>
        </w:tc>
        <w:tc>
          <w:tcPr>
            <w:tcW w:w="706" w:type="dxa"/>
          </w:tcPr>
          <w:p w14:paraId="261D34CC"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3</w:t>
            </w:r>
          </w:p>
        </w:tc>
        <w:tc>
          <w:tcPr>
            <w:tcW w:w="706" w:type="dxa"/>
          </w:tcPr>
          <w:p w14:paraId="497F37AC" w14:textId="77777777" w:rsidR="007D2E1E" w:rsidRPr="00C56257" w:rsidRDefault="007D2E1E" w:rsidP="008E33FD">
            <w:pPr>
              <w:widowControl w:val="0"/>
              <w:autoSpaceDE w:val="0"/>
              <w:autoSpaceDN w:val="0"/>
              <w:spacing w:before="15" w:line="264" w:lineRule="exact"/>
              <w:jc w:val="both"/>
              <w:rPr>
                <w:color w:val="000000" w:themeColor="text1"/>
              </w:rPr>
            </w:pPr>
            <w:r w:rsidRPr="00C56257">
              <w:rPr>
                <w:color w:val="000000" w:themeColor="text1"/>
              </w:rPr>
              <w:t>0</w:t>
            </w:r>
          </w:p>
        </w:tc>
        <w:tc>
          <w:tcPr>
            <w:tcW w:w="1422" w:type="dxa"/>
          </w:tcPr>
          <w:p w14:paraId="308798DA" w14:textId="77777777" w:rsidR="007D2E1E" w:rsidRPr="00C56257" w:rsidRDefault="007D2E1E" w:rsidP="008E33FD">
            <w:pPr>
              <w:widowControl w:val="0"/>
              <w:autoSpaceDE w:val="0"/>
              <w:autoSpaceDN w:val="0"/>
              <w:spacing w:before="15" w:line="264" w:lineRule="exact"/>
              <w:ind w:right="81"/>
              <w:jc w:val="both"/>
              <w:rPr>
                <w:color w:val="000000" w:themeColor="text1"/>
              </w:rPr>
            </w:pPr>
            <w:r w:rsidRPr="00C56257">
              <w:rPr>
                <w:color w:val="000000" w:themeColor="text1"/>
              </w:rPr>
              <w:t>69</w:t>
            </w:r>
          </w:p>
        </w:tc>
        <w:tc>
          <w:tcPr>
            <w:tcW w:w="1933" w:type="dxa"/>
          </w:tcPr>
          <w:p w14:paraId="5CFFB517" w14:textId="77777777" w:rsidR="007D2E1E" w:rsidRPr="00C56257" w:rsidRDefault="007D2E1E" w:rsidP="008E33FD">
            <w:pPr>
              <w:widowControl w:val="0"/>
              <w:autoSpaceDE w:val="0"/>
              <w:autoSpaceDN w:val="0"/>
              <w:spacing w:before="15" w:line="264" w:lineRule="exact"/>
              <w:ind w:right="1170"/>
              <w:jc w:val="both"/>
              <w:rPr>
                <w:color w:val="000000" w:themeColor="text1"/>
              </w:rPr>
            </w:pPr>
            <w:r w:rsidRPr="00C56257">
              <w:rPr>
                <w:color w:val="000000" w:themeColor="text1"/>
              </w:rPr>
              <w:t>10</w:t>
            </w:r>
          </w:p>
        </w:tc>
      </w:tr>
    </w:tbl>
    <w:p w14:paraId="36BEC588" w14:textId="77777777" w:rsidR="007D2E1E" w:rsidRPr="00C56257" w:rsidRDefault="007D2E1E" w:rsidP="008E33FD">
      <w:pPr>
        <w:widowControl w:val="0"/>
        <w:autoSpaceDE w:val="0"/>
        <w:autoSpaceDN w:val="0"/>
        <w:jc w:val="both"/>
        <w:rPr>
          <w:color w:val="000000" w:themeColor="text1"/>
        </w:rPr>
      </w:pPr>
    </w:p>
    <w:p w14:paraId="4FACBF48" w14:textId="77777777" w:rsidR="007D2E1E" w:rsidRPr="00C56257" w:rsidRDefault="007D2E1E" w:rsidP="008E33FD">
      <w:pPr>
        <w:widowControl w:val="0"/>
        <w:tabs>
          <w:tab w:val="left" w:pos="1274"/>
        </w:tabs>
        <w:autoSpaceDE w:val="0"/>
        <w:autoSpaceDN w:val="0"/>
        <w:jc w:val="both"/>
        <w:outlineLvl w:val="1"/>
        <w:rPr>
          <w:rFonts w:eastAsia="Cambria"/>
          <w:b/>
          <w:bCs/>
          <w:color w:val="000000" w:themeColor="text1"/>
        </w:rPr>
      </w:pPr>
      <w:r w:rsidRPr="00C56257">
        <w:rPr>
          <w:rFonts w:eastAsia="Cambria"/>
          <w:b/>
          <w:bCs/>
          <w:color w:val="000000" w:themeColor="text1"/>
        </w:rPr>
        <w:t>Ploturi</w:t>
      </w:r>
      <w:r w:rsidRPr="00C56257">
        <w:rPr>
          <w:rFonts w:eastAsia="Cambria"/>
          <w:b/>
          <w:bCs/>
          <w:color w:val="000000" w:themeColor="text1"/>
          <w:spacing w:val="-5"/>
        </w:rPr>
        <w:t xml:space="preserve"> </w:t>
      </w:r>
      <w:r w:rsidRPr="00C56257">
        <w:rPr>
          <w:rFonts w:eastAsia="Cambria"/>
          <w:b/>
          <w:bCs/>
          <w:color w:val="000000" w:themeColor="text1"/>
        </w:rPr>
        <w:t>de</w:t>
      </w:r>
      <w:r w:rsidRPr="00C56257">
        <w:rPr>
          <w:rFonts w:eastAsia="Cambria"/>
          <w:b/>
          <w:bCs/>
          <w:color w:val="000000" w:themeColor="text1"/>
          <w:spacing w:val="-5"/>
        </w:rPr>
        <w:t xml:space="preserve"> </w:t>
      </w:r>
      <w:r w:rsidRPr="00C56257">
        <w:rPr>
          <w:rFonts w:eastAsia="Cambria"/>
          <w:b/>
          <w:bCs/>
          <w:color w:val="000000" w:themeColor="text1"/>
        </w:rPr>
        <w:t>monitorizare</w:t>
      </w:r>
      <w:r w:rsidRPr="00C56257">
        <w:rPr>
          <w:rFonts w:eastAsia="Cambria"/>
          <w:b/>
          <w:bCs/>
          <w:color w:val="000000" w:themeColor="text1"/>
          <w:spacing w:val="-5"/>
        </w:rPr>
        <w:t xml:space="preserve"> </w:t>
      </w:r>
      <w:r w:rsidRPr="00C56257">
        <w:rPr>
          <w:rFonts w:eastAsia="Cambria"/>
          <w:b/>
          <w:bCs/>
          <w:color w:val="000000" w:themeColor="text1"/>
        </w:rPr>
        <w:t>din</w:t>
      </w:r>
      <w:r w:rsidRPr="00C56257">
        <w:rPr>
          <w:rFonts w:eastAsia="Cambria"/>
          <w:b/>
          <w:bCs/>
          <w:color w:val="000000" w:themeColor="text1"/>
          <w:spacing w:val="-4"/>
        </w:rPr>
        <w:t xml:space="preserve"> </w:t>
      </w:r>
      <w:r w:rsidRPr="00C56257">
        <w:rPr>
          <w:rFonts w:eastAsia="Cambria"/>
          <w:b/>
          <w:bCs/>
          <w:color w:val="000000" w:themeColor="text1"/>
        </w:rPr>
        <w:t>rețeaua</w:t>
      </w:r>
      <w:r w:rsidRPr="00C56257">
        <w:rPr>
          <w:rFonts w:eastAsia="Cambria"/>
          <w:b/>
          <w:bCs/>
          <w:color w:val="000000" w:themeColor="text1"/>
          <w:spacing w:val="-3"/>
        </w:rPr>
        <w:t xml:space="preserve"> </w:t>
      </w:r>
      <w:r w:rsidRPr="00C56257">
        <w:rPr>
          <w:rFonts w:eastAsia="Cambria"/>
          <w:b/>
          <w:bCs/>
          <w:color w:val="000000" w:themeColor="text1"/>
        </w:rPr>
        <w:t>Natura</w:t>
      </w:r>
      <w:r w:rsidRPr="00C56257">
        <w:rPr>
          <w:rFonts w:eastAsia="Cambria"/>
          <w:b/>
          <w:bCs/>
          <w:color w:val="000000" w:themeColor="text1"/>
          <w:spacing w:val="-6"/>
        </w:rPr>
        <w:t xml:space="preserve"> </w:t>
      </w:r>
      <w:r w:rsidRPr="00C56257">
        <w:rPr>
          <w:rFonts w:eastAsia="Cambria"/>
          <w:b/>
          <w:bCs/>
          <w:color w:val="000000" w:themeColor="text1"/>
        </w:rPr>
        <w:t>2000</w:t>
      </w:r>
    </w:p>
    <w:p w14:paraId="313314EF" w14:textId="77777777" w:rsidR="007D2E1E" w:rsidRPr="00C56257" w:rsidRDefault="007D2E1E" w:rsidP="008E33FD">
      <w:pPr>
        <w:widowControl w:val="0"/>
        <w:autoSpaceDE w:val="0"/>
        <w:autoSpaceDN w:val="0"/>
        <w:spacing w:before="157"/>
        <w:jc w:val="both"/>
        <w:rPr>
          <w:color w:val="000000" w:themeColor="text1"/>
        </w:rPr>
      </w:pPr>
      <w:r w:rsidRPr="00C56257">
        <w:rPr>
          <w:color w:val="000000" w:themeColor="text1"/>
        </w:rPr>
        <w:t>Ploturile</w:t>
      </w:r>
      <w:r w:rsidRPr="00C56257">
        <w:rPr>
          <w:color w:val="000000" w:themeColor="text1"/>
          <w:spacing w:val="-2"/>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monitorizare</w:t>
      </w:r>
      <w:r w:rsidRPr="00C56257">
        <w:rPr>
          <w:color w:val="000000" w:themeColor="text1"/>
          <w:spacing w:val="-3"/>
        </w:rPr>
        <w:t xml:space="preserve"> </w:t>
      </w:r>
      <w:r w:rsidRPr="00C56257">
        <w:rPr>
          <w:color w:val="000000" w:themeColor="text1"/>
        </w:rPr>
        <w:t>se</w:t>
      </w:r>
      <w:r w:rsidRPr="00C56257">
        <w:rPr>
          <w:color w:val="000000" w:themeColor="text1"/>
          <w:spacing w:val="-2"/>
        </w:rPr>
        <w:t xml:space="preserve"> </w:t>
      </w:r>
      <w:r w:rsidRPr="00C56257">
        <w:rPr>
          <w:color w:val="000000" w:themeColor="text1"/>
        </w:rPr>
        <w:t>stabilesc</w:t>
      </w:r>
      <w:r w:rsidRPr="00C56257">
        <w:rPr>
          <w:color w:val="000000" w:themeColor="text1"/>
          <w:spacing w:val="-2"/>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corelație cu:</w:t>
      </w:r>
    </w:p>
    <w:p w14:paraId="0FB6DE42" w14:textId="77777777" w:rsidR="007D2E1E" w:rsidRPr="00C56257" w:rsidRDefault="007D2E1E" w:rsidP="003100FE">
      <w:pPr>
        <w:widowControl w:val="0"/>
        <w:autoSpaceDE w:val="0"/>
        <w:autoSpaceDN w:val="0"/>
        <w:jc w:val="both"/>
        <w:rPr>
          <w:color w:val="000000" w:themeColor="text1"/>
        </w:rPr>
      </w:pPr>
      <w:r w:rsidRPr="00C56257">
        <w:rPr>
          <w:color w:val="000000" w:themeColor="text1"/>
        </w:rPr>
        <w:t>arealul</w:t>
      </w:r>
      <w:r w:rsidRPr="00C56257">
        <w:rPr>
          <w:color w:val="000000" w:themeColor="text1"/>
          <w:spacing w:val="-2"/>
        </w:rPr>
        <w:t xml:space="preserve"> </w:t>
      </w:r>
      <w:r w:rsidRPr="00C56257">
        <w:rPr>
          <w:color w:val="000000" w:themeColor="text1"/>
        </w:rPr>
        <w:t>tipului</w:t>
      </w:r>
      <w:r w:rsidRPr="00C56257">
        <w:rPr>
          <w:color w:val="000000" w:themeColor="text1"/>
          <w:spacing w:val="-1"/>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habitat</w:t>
      </w:r>
      <w:r w:rsidRPr="00C56257">
        <w:rPr>
          <w:color w:val="000000" w:themeColor="text1"/>
          <w:spacing w:val="-1"/>
        </w:rPr>
        <w:t xml:space="preserve"> </w:t>
      </w:r>
      <w:r w:rsidRPr="00C56257">
        <w:rPr>
          <w:color w:val="000000" w:themeColor="text1"/>
        </w:rPr>
        <w:t>din</w:t>
      </w:r>
      <w:r w:rsidRPr="00C56257">
        <w:rPr>
          <w:color w:val="000000" w:themeColor="text1"/>
          <w:spacing w:val="-1"/>
        </w:rPr>
        <w:t xml:space="preserve"> </w:t>
      </w:r>
      <w:r w:rsidRPr="00C56257">
        <w:rPr>
          <w:color w:val="000000" w:themeColor="text1"/>
        </w:rPr>
        <w:t>interiorul</w:t>
      </w:r>
      <w:r w:rsidRPr="00C56257">
        <w:rPr>
          <w:color w:val="000000" w:themeColor="text1"/>
          <w:spacing w:val="-1"/>
        </w:rPr>
        <w:t xml:space="preserve"> </w:t>
      </w:r>
      <w:r w:rsidRPr="00C56257">
        <w:rPr>
          <w:color w:val="000000" w:themeColor="text1"/>
        </w:rPr>
        <w:t>rețelei</w:t>
      </w:r>
      <w:r w:rsidRPr="00C56257">
        <w:rPr>
          <w:color w:val="000000" w:themeColor="text1"/>
          <w:spacing w:val="-2"/>
        </w:rPr>
        <w:t xml:space="preserve"> </w:t>
      </w:r>
      <w:r w:rsidRPr="00C56257">
        <w:rPr>
          <w:color w:val="000000" w:themeColor="text1"/>
        </w:rPr>
        <w:t>pSCI,</w:t>
      </w:r>
      <w:r w:rsidRPr="00C56257">
        <w:rPr>
          <w:color w:val="000000" w:themeColor="text1"/>
          <w:spacing w:val="-1"/>
        </w:rPr>
        <w:t xml:space="preserve"> </w:t>
      </w:r>
      <w:r w:rsidRPr="00C56257">
        <w:rPr>
          <w:color w:val="000000" w:themeColor="text1"/>
        </w:rPr>
        <w:t>SCI</w:t>
      </w:r>
      <w:r w:rsidRPr="00C56257">
        <w:rPr>
          <w:color w:val="000000" w:themeColor="text1"/>
          <w:spacing w:val="-5"/>
        </w:rPr>
        <w:t xml:space="preserve"> </w:t>
      </w:r>
      <w:r w:rsidRPr="00C56257">
        <w:rPr>
          <w:color w:val="000000" w:themeColor="text1"/>
        </w:rPr>
        <w:t>și</w:t>
      </w:r>
      <w:r w:rsidRPr="00C56257">
        <w:rPr>
          <w:color w:val="000000" w:themeColor="text1"/>
          <w:spacing w:val="-2"/>
        </w:rPr>
        <w:t xml:space="preserve"> </w:t>
      </w:r>
      <w:r w:rsidRPr="00C56257">
        <w:rPr>
          <w:color w:val="000000" w:themeColor="text1"/>
        </w:rPr>
        <w:t>SAC,</w:t>
      </w:r>
    </w:p>
    <w:p w14:paraId="75793DC0" w14:textId="77777777" w:rsidR="007D2E1E" w:rsidRPr="00C56257" w:rsidRDefault="007D2E1E" w:rsidP="008E33FD">
      <w:pPr>
        <w:widowControl w:val="0"/>
        <w:autoSpaceDE w:val="0"/>
        <w:autoSpaceDN w:val="0"/>
        <w:jc w:val="both"/>
        <w:rPr>
          <w:color w:val="000000" w:themeColor="text1"/>
        </w:rPr>
      </w:pPr>
      <w:r w:rsidRPr="00C56257">
        <w:rPr>
          <w:color w:val="000000" w:themeColor="text1"/>
        </w:rPr>
        <w:t>-modul</w:t>
      </w:r>
      <w:r w:rsidRPr="00C56257">
        <w:rPr>
          <w:color w:val="000000" w:themeColor="text1"/>
          <w:spacing w:val="-2"/>
        </w:rPr>
        <w:t xml:space="preserve"> </w:t>
      </w:r>
      <w:r w:rsidRPr="00C56257">
        <w:rPr>
          <w:color w:val="000000" w:themeColor="text1"/>
        </w:rPr>
        <w:t>de</w:t>
      </w:r>
      <w:r w:rsidRPr="00C56257">
        <w:rPr>
          <w:color w:val="000000" w:themeColor="text1"/>
          <w:spacing w:val="-3"/>
        </w:rPr>
        <w:t xml:space="preserve"> </w:t>
      </w:r>
      <w:r w:rsidRPr="00C56257">
        <w:rPr>
          <w:color w:val="000000" w:themeColor="text1"/>
        </w:rPr>
        <w:t>estimare,</w:t>
      </w:r>
    </w:p>
    <w:p w14:paraId="4742DC4C" w14:textId="77777777" w:rsidR="007D2E1E" w:rsidRPr="00C56257" w:rsidRDefault="007D2E1E" w:rsidP="008E33FD">
      <w:pPr>
        <w:widowControl w:val="0"/>
        <w:autoSpaceDE w:val="0"/>
        <w:autoSpaceDN w:val="0"/>
        <w:jc w:val="both"/>
        <w:rPr>
          <w:color w:val="000000" w:themeColor="text1"/>
        </w:rPr>
      </w:pPr>
      <w:r w:rsidRPr="00C56257">
        <w:rPr>
          <w:color w:val="000000" w:themeColor="text1"/>
        </w:rPr>
        <w:t>-suprafața</w:t>
      </w:r>
      <w:r w:rsidRPr="00C56257">
        <w:rPr>
          <w:color w:val="000000" w:themeColor="text1"/>
          <w:spacing w:val="-2"/>
        </w:rPr>
        <w:t xml:space="preserve"> </w:t>
      </w:r>
      <w:r w:rsidRPr="00C56257">
        <w:rPr>
          <w:color w:val="000000" w:themeColor="text1"/>
        </w:rPr>
        <w:t>tipului</w:t>
      </w:r>
      <w:r w:rsidRPr="00C56257">
        <w:rPr>
          <w:color w:val="000000" w:themeColor="text1"/>
          <w:spacing w:val="-2"/>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habitat</w:t>
      </w:r>
      <w:r w:rsidRPr="00C56257">
        <w:rPr>
          <w:color w:val="000000" w:themeColor="text1"/>
          <w:spacing w:val="-2"/>
        </w:rPr>
        <w:t xml:space="preserve"> </w:t>
      </w:r>
      <w:r w:rsidRPr="00C56257">
        <w:rPr>
          <w:color w:val="000000" w:themeColor="text1"/>
        </w:rPr>
        <w:t>din</w:t>
      </w:r>
      <w:r w:rsidRPr="00C56257">
        <w:rPr>
          <w:color w:val="000000" w:themeColor="text1"/>
          <w:spacing w:val="-2"/>
        </w:rPr>
        <w:t xml:space="preserve"> </w:t>
      </w:r>
      <w:r w:rsidRPr="00C56257">
        <w:rPr>
          <w:color w:val="000000" w:themeColor="text1"/>
        </w:rPr>
        <w:t>interiorul</w:t>
      </w:r>
      <w:r w:rsidRPr="00C56257">
        <w:rPr>
          <w:color w:val="000000" w:themeColor="text1"/>
          <w:spacing w:val="-1"/>
        </w:rPr>
        <w:t xml:space="preserve"> </w:t>
      </w:r>
      <w:r w:rsidRPr="00C56257">
        <w:rPr>
          <w:color w:val="000000" w:themeColor="text1"/>
        </w:rPr>
        <w:t>rețelei,</w:t>
      </w:r>
    </w:p>
    <w:p w14:paraId="6B0A18AA" w14:textId="77777777" w:rsidR="007D2E1E" w:rsidRPr="00C56257" w:rsidRDefault="007D2E1E" w:rsidP="008E33FD">
      <w:pPr>
        <w:widowControl w:val="0"/>
        <w:autoSpaceDE w:val="0"/>
        <w:autoSpaceDN w:val="0"/>
        <w:jc w:val="both"/>
        <w:rPr>
          <w:color w:val="000000" w:themeColor="text1"/>
        </w:rPr>
      </w:pPr>
      <w:r w:rsidRPr="00C56257">
        <w:rPr>
          <w:color w:val="000000" w:themeColor="text1"/>
        </w:rPr>
        <w:t>-metoda</w:t>
      </w:r>
      <w:r w:rsidRPr="00C56257">
        <w:rPr>
          <w:color w:val="000000" w:themeColor="text1"/>
          <w:spacing w:val="-2"/>
        </w:rPr>
        <w:t xml:space="preserve"> </w:t>
      </w:r>
      <w:r w:rsidRPr="00C56257">
        <w:rPr>
          <w:color w:val="000000" w:themeColor="text1"/>
        </w:rPr>
        <w:t>folosită,</w:t>
      </w:r>
    </w:p>
    <w:p w14:paraId="7D610F6A" w14:textId="77777777" w:rsidR="007D2E1E" w:rsidRPr="00C56257" w:rsidRDefault="007D2E1E" w:rsidP="008E33FD">
      <w:pPr>
        <w:widowControl w:val="0"/>
        <w:autoSpaceDE w:val="0"/>
        <w:autoSpaceDN w:val="0"/>
        <w:jc w:val="both"/>
        <w:rPr>
          <w:color w:val="000000" w:themeColor="text1"/>
        </w:rPr>
      </w:pPr>
      <w:r w:rsidRPr="00C56257">
        <w:rPr>
          <w:color w:val="000000" w:themeColor="text1"/>
        </w:rPr>
        <w:t>-tendința</w:t>
      </w:r>
      <w:r w:rsidRPr="00C56257">
        <w:rPr>
          <w:color w:val="000000" w:themeColor="text1"/>
          <w:spacing w:val="-1"/>
        </w:rPr>
        <w:t xml:space="preserve"> </w:t>
      </w:r>
      <w:r w:rsidRPr="00C56257">
        <w:rPr>
          <w:color w:val="000000" w:themeColor="text1"/>
        </w:rPr>
        <w:t>pe</w:t>
      </w:r>
      <w:r w:rsidRPr="00C56257">
        <w:rPr>
          <w:color w:val="000000" w:themeColor="text1"/>
          <w:spacing w:val="-3"/>
        </w:rPr>
        <w:t xml:space="preserve"> </w:t>
      </w:r>
      <w:r w:rsidRPr="00C56257">
        <w:rPr>
          <w:color w:val="000000" w:themeColor="text1"/>
        </w:rPr>
        <w:t>termen</w:t>
      </w:r>
      <w:r w:rsidRPr="00C56257">
        <w:rPr>
          <w:color w:val="000000" w:themeColor="text1"/>
          <w:spacing w:val="-1"/>
        </w:rPr>
        <w:t xml:space="preserve"> </w:t>
      </w:r>
      <w:r w:rsidRPr="00C56257">
        <w:rPr>
          <w:color w:val="000000" w:themeColor="text1"/>
        </w:rPr>
        <w:t>scurt a</w:t>
      </w:r>
      <w:r w:rsidRPr="00C56257">
        <w:rPr>
          <w:color w:val="000000" w:themeColor="text1"/>
          <w:spacing w:val="-2"/>
        </w:rPr>
        <w:t xml:space="preserve"> </w:t>
      </w:r>
      <w:r w:rsidRPr="00C56257">
        <w:rPr>
          <w:color w:val="000000" w:themeColor="text1"/>
        </w:rPr>
        <w:t>habitatului în</w:t>
      </w:r>
      <w:r w:rsidRPr="00C56257">
        <w:rPr>
          <w:color w:val="000000" w:themeColor="text1"/>
          <w:spacing w:val="-1"/>
        </w:rPr>
        <w:t xml:space="preserve"> </w:t>
      </w:r>
      <w:r w:rsidRPr="00C56257">
        <w:rPr>
          <w:color w:val="000000" w:themeColor="text1"/>
        </w:rPr>
        <w:t>stare</w:t>
      </w:r>
      <w:r w:rsidRPr="00C56257">
        <w:rPr>
          <w:color w:val="000000" w:themeColor="text1"/>
          <w:spacing w:val="-3"/>
        </w:rPr>
        <w:t xml:space="preserve"> </w:t>
      </w:r>
      <w:r w:rsidRPr="00C56257">
        <w:rPr>
          <w:color w:val="000000" w:themeColor="text1"/>
        </w:rPr>
        <w:t>bună</w:t>
      </w:r>
      <w:r w:rsidRPr="00C56257">
        <w:rPr>
          <w:color w:val="000000" w:themeColor="text1"/>
          <w:spacing w:val="-2"/>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cadrul</w:t>
      </w:r>
      <w:r w:rsidRPr="00C56257">
        <w:rPr>
          <w:color w:val="000000" w:themeColor="text1"/>
          <w:spacing w:val="-1"/>
        </w:rPr>
        <w:t xml:space="preserve"> </w:t>
      </w:r>
      <w:r w:rsidRPr="00C56257">
        <w:rPr>
          <w:color w:val="000000" w:themeColor="text1"/>
        </w:rPr>
        <w:t>rețelei</w:t>
      </w:r>
      <w:r w:rsidRPr="00C56257">
        <w:rPr>
          <w:color w:val="000000" w:themeColor="text1"/>
          <w:spacing w:val="2"/>
        </w:rPr>
        <w:t xml:space="preserve"> </w:t>
      </w:r>
      <w:r w:rsidRPr="00C56257">
        <w:rPr>
          <w:color w:val="000000" w:themeColor="text1"/>
        </w:rPr>
        <w:t>(direcţia),</w:t>
      </w:r>
    </w:p>
    <w:p w14:paraId="0F9957D0" w14:textId="77777777" w:rsidR="007D2E1E" w:rsidRPr="00C56257" w:rsidRDefault="007D2E1E" w:rsidP="008E33FD">
      <w:pPr>
        <w:widowControl w:val="0"/>
        <w:autoSpaceDE w:val="0"/>
        <w:autoSpaceDN w:val="0"/>
        <w:jc w:val="both"/>
        <w:rPr>
          <w:color w:val="000000" w:themeColor="text1"/>
        </w:rPr>
      </w:pPr>
      <w:r w:rsidRPr="00C56257">
        <w:rPr>
          <w:color w:val="000000" w:themeColor="text1"/>
        </w:rPr>
        <w:t>-tendința</w:t>
      </w:r>
      <w:r w:rsidRPr="00C56257">
        <w:rPr>
          <w:color w:val="000000" w:themeColor="text1"/>
          <w:spacing w:val="-1"/>
        </w:rPr>
        <w:t xml:space="preserve"> </w:t>
      </w:r>
      <w:r w:rsidRPr="00C56257">
        <w:rPr>
          <w:color w:val="000000" w:themeColor="text1"/>
        </w:rPr>
        <w:t>pe</w:t>
      </w:r>
      <w:r w:rsidRPr="00C56257">
        <w:rPr>
          <w:color w:val="000000" w:themeColor="text1"/>
          <w:spacing w:val="-3"/>
        </w:rPr>
        <w:t xml:space="preserve"> </w:t>
      </w:r>
      <w:r w:rsidRPr="00C56257">
        <w:rPr>
          <w:color w:val="000000" w:themeColor="text1"/>
        </w:rPr>
        <w:t>termen</w:t>
      </w:r>
      <w:r w:rsidRPr="00C56257">
        <w:rPr>
          <w:color w:val="000000" w:themeColor="text1"/>
          <w:spacing w:val="-1"/>
        </w:rPr>
        <w:t xml:space="preserve"> </w:t>
      </w:r>
      <w:r w:rsidRPr="00C56257">
        <w:rPr>
          <w:color w:val="000000" w:themeColor="text1"/>
        </w:rPr>
        <w:t>scurt a</w:t>
      </w:r>
      <w:r w:rsidRPr="00C56257">
        <w:rPr>
          <w:color w:val="000000" w:themeColor="text1"/>
          <w:spacing w:val="-2"/>
        </w:rPr>
        <w:t xml:space="preserve"> </w:t>
      </w:r>
      <w:r w:rsidRPr="00C56257">
        <w:rPr>
          <w:color w:val="000000" w:themeColor="text1"/>
        </w:rPr>
        <w:t>habitatului</w:t>
      </w:r>
      <w:r w:rsidRPr="00C56257">
        <w:rPr>
          <w:color w:val="000000" w:themeColor="text1"/>
          <w:spacing w:val="-1"/>
        </w:rPr>
        <w:t xml:space="preserve"> </w:t>
      </w:r>
      <w:r w:rsidRPr="00C56257">
        <w:rPr>
          <w:color w:val="000000" w:themeColor="text1"/>
        </w:rPr>
        <w:t>în stare</w:t>
      </w:r>
      <w:r w:rsidRPr="00C56257">
        <w:rPr>
          <w:color w:val="000000" w:themeColor="text1"/>
          <w:spacing w:val="-3"/>
        </w:rPr>
        <w:t xml:space="preserve"> </w:t>
      </w:r>
      <w:r w:rsidRPr="00C56257">
        <w:rPr>
          <w:color w:val="000000" w:themeColor="text1"/>
        </w:rPr>
        <w:t>bună</w:t>
      </w:r>
      <w:r w:rsidRPr="00C56257">
        <w:rPr>
          <w:color w:val="000000" w:themeColor="text1"/>
          <w:spacing w:val="-2"/>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cadrul</w:t>
      </w:r>
      <w:r w:rsidRPr="00C56257">
        <w:rPr>
          <w:color w:val="000000" w:themeColor="text1"/>
          <w:spacing w:val="-1"/>
        </w:rPr>
        <w:t xml:space="preserve"> </w:t>
      </w:r>
      <w:r w:rsidRPr="00C56257">
        <w:rPr>
          <w:color w:val="000000" w:themeColor="text1"/>
        </w:rPr>
        <w:t>rețelei</w:t>
      </w:r>
      <w:r w:rsidRPr="00C56257">
        <w:rPr>
          <w:color w:val="000000" w:themeColor="text1"/>
          <w:spacing w:val="2"/>
        </w:rPr>
        <w:t xml:space="preserve"> </w:t>
      </w:r>
      <w:r w:rsidRPr="00C56257">
        <w:rPr>
          <w:color w:val="000000" w:themeColor="text1"/>
        </w:rPr>
        <w:t>(metoda</w:t>
      </w:r>
      <w:r w:rsidRPr="00C56257">
        <w:rPr>
          <w:color w:val="000000" w:themeColor="text1"/>
          <w:spacing w:val="-2"/>
        </w:rPr>
        <w:t xml:space="preserve"> </w:t>
      </w:r>
      <w:r w:rsidRPr="00C56257">
        <w:rPr>
          <w:color w:val="000000" w:themeColor="text1"/>
        </w:rPr>
        <w:t>folosită).</w:t>
      </w:r>
    </w:p>
    <w:p w14:paraId="08CA753F" w14:textId="77777777" w:rsidR="00C42CF8" w:rsidRPr="00C56257" w:rsidRDefault="00C42CF8" w:rsidP="008E33FD">
      <w:pPr>
        <w:widowControl w:val="0"/>
        <w:autoSpaceDE w:val="0"/>
        <w:autoSpaceDN w:val="0"/>
        <w:jc w:val="both"/>
        <w:rPr>
          <w:color w:val="000000" w:themeColor="text1"/>
        </w:rPr>
      </w:pPr>
    </w:p>
    <w:p w14:paraId="5A00AB95" w14:textId="77777777" w:rsidR="007D2E1E" w:rsidRPr="00C56257" w:rsidRDefault="007D2E1E" w:rsidP="008E33FD">
      <w:pPr>
        <w:widowControl w:val="0"/>
        <w:tabs>
          <w:tab w:val="left" w:pos="1274"/>
        </w:tabs>
        <w:autoSpaceDE w:val="0"/>
        <w:autoSpaceDN w:val="0"/>
        <w:spacing w:before="100"/>
        <w:jc w:val="both"/>
        <w:outlineLvl w:val="1"/>
        <w:rPr>
          <w:rFonts w:eastAsia="Cambria"/>
          <w:b/>
          <w:bCs/>
          <w:color w:val="000000" w:themeColor="text1"/>
        </w:rPr>
      </w:pPr>
      <w:r w:rsidRPr="00C56257">
        <w:rPr>
          <w:rFonts w:eastAsia="Cambria"/>
          <w:b/>
          <w:bCs/>
          <w:color w:val="000000" w:themeColor="text1"/>
        </w:rPr>
        <w:t>Ploturi</w:t>
      </w:r>
      <w:r w:rsidRPr="00C56257">
        <w:rPr>
          <w:rFonts w:eastAsia="Cambria"/>
          <w:b/>
          <w:bCs/>
          <w:color w:val="000000" w:themeColor="text1"/>
          <w:spacing w:val="-5"/>
        </w:rPr>
        <w:t xml:space="preserve"> </w:t>
      </w:r>
      <w:r w:rsidRPr="00C56257">
        <w:rPr>
          <w:rFonts w:eastAsia="Cambria"/>
          <w:b/>
          <w:bCs/>
          <w:color w:val="000000" w:themeColor="text1"/>
        </w:rPr>
        <w:t>de</w:t>
      </w:r>
      <w:r w:rsidRPr="00C56257">
        <w:rPr>
          <w:rFonts w:eastAsia="Cambria"/>
          <w:b/>
          <w:bCs/>
          <w:color w:val="000000" w:themeColor="text1"/>
          <w:spacing w:val="-4"/>
        </w:rPr>
        <w:t xml:space="preserve"> </w:t>
      </w:r>
      <w:r w:rsidRPr="00C56257">
        <w:rPr>
          <w:rFonts w:eastAsia="Cambria"/>
          <w:b/>
          <w:bCs/>
          <w:color w:val="000000" w:themeColor="text1"/>
        </w:rPr>
        <w:t>monitorizare</w:t>
      </w:r>
      <w:r w:rsidRPr="00C56257">
        <w:rPr>
          <w:rFonts w:eastAsia="Cambria"/>
          <w:b/>
          <w:bCs/>
          <w:color w:val="000000" w:themeColor="text1"/>
          <w:spacing w:val="-4"/>
        </w:rPr>
        <w:t xml:space="preserve"> </w:t>
      </w:r>
      <w:r w:rsidRPr="00C56257">
        <w:rPr>
          <w:rFonts w:eastAsia="Cambria"/>
          <w:b/>
          <w:bCs/>
          <w:color w:val="000000" w:themeColor="text1"/>
        </w:rPr>
        <w:t>în</w:t>
      </w:r>
      <w:r w:rsidRPr="00C56257">
        <w:rPr>
          <w:rFonts w:eastAsia="Cambria"/>
          <w:b/>
          <w:bCs/>
          <w:color w:val="000000" w:themeColor="text1"/>
          <w:spacing w:val="-5"/>
        </w:rPr>
        <w:t xml:space="preserve"> </w:t>
      </w:r>
      <w:r w:rsidRPr="00C56257">
        <w:rPr>
          <w:rFonts w:eastAsia="Cambria"/>
          <w:b/>
          <w:bCs/>
          <w:color w:val="000000" w:themeColor="text1"/>
        </w:rPr>
        <w:t>afara</w:t>
      </w:r>
      <w:r w:rsidRPr="00C56257">
        <w:rPr>
          <w:rFonts w:eastAsia="Cambria"/>
          <w:b/>
          <w:bCs/>
          <w:color w:val="000000" w:themeColor="text1"/>
          <w:spacing w:val="-3"/>
        </w:rPr>
        <w:t xml:space="preserve"> </w:t>
      </w:r>
      <w:r w:rsidRPr="00C56257">
        <w:rPr>
          <w:rFonts w:eastAsia="Cambria"/>
          <w:b/>
          <w:bCs/>
          <w:color w:val="000000" w:themeColor="text1"/>
        </w:rPr>
        <w:t>rețelei</w:t>
      </w:r>
      <w:r w:rsidRPr="00C56257">
        <w:rPr>
          <w:rFonts w:eastAsia="Cambria"/>
          <w:b/>
          <w:bCs/>
          <w:color w:val="000000" w:themeColor="text1"/>
          <w:spacing w:val="-4"/>
        </w:rPr>
        <w:t xml:space="preserve"> </w:t>
      </w:r>
      <w:r w:rsidRPr="00C56257">
        <w:rPr>
          <w:rFonts w:eastAsia="Cambria"/>
          <w:b/>
          <w:bCs/>
          <w:color w:val="000000" w:themeColor="text1"/>
        </w:rPr>
        <w:t>Natura</w:t>
      </w:r>
      <w:r w:rsidRPr="00C56257">
        <w:rPr>
          <w:rFonts w:eastAsia="Cambria"/>
          <w:b/>
          <w:bCs/>
          <w:color w:val="000000" w:themeColor="text1"/>
          <w:spacing w:val="-2"/>
        </w:rPr>
        <w:t xml:space="preserve"> </w:t>
      </w:r>
      <w:r w:rsidRPr="00C56257">
        <w:rPr>
          <w:rFonts w:eastAsia="Cambria"/>
          <w:b/>
          <w:bCs/>
          <w:color w:val="000000" w:themeColor="text1"/>
        </w:rPr>
        <w:t>2000</w:t>
      </w:r>
    </w:p>
    <w:p w14:paraId="66C347B9" w14:textId="77777777" w:rsidR="007D2E1E" w:rsidRPr="00C56257" w:rsidRDefault="007D2E1E" w:rsidP="00896C2C">
      <w:pPr>
        <w:widowControl w:val="0"/>
        <w:autoSpaceDE w:val="0"/>
        <w:autoSpaceDN w:val="0"/>
        <w:spacing w:before="157"/>
        <w:ind w:right="27"/>
        <w:jc w:val="both"/>
        <w:rPr>
          <w:color w:val="000000" w:themeColor="text1"/>
        </w:rPr>
      </w:pPr>
      <w:r w:rsidRPr="00C56257">
        <w:rPr>
          <w:color w:val="000000" w:themeColor="text1"/>
        </w:rPr>
        <w:t>Monitorizarea</w:t>
      </w:r>
      <w:r w:rsidRPr="00C56257">
        <w:rPr>
          <w:color w:val="000000" w:themeColor="text1"/>
          <w:spacing w:val="14"/>
        </w:rPr>
        <w:t xml:space="preserve"> </w:t>
      </w:r>
      <w:r w:rsidRPr="00C56257">
        <w:rPr>
          <w:color w:val="000000" w:themeColor="text1"/>
        </w:rPr>
        <w:t>habitatelor</w:t>
      </w:r>
      <w:r w:rsidRPr="00C56257">
        <w:rPr>
          <w:color w:val="000000" w:themeColor="text1"/>
          <w:spacing w:val="14"/>
        </w:rPr>
        <w:t xml:space="preserve"> </w:t>
      </w:r>
      <w:r w:rsidRPr="00C56257">
        <w:rPr>
          <w:color w:val="000000" w:themeColor="text1"/>
        </w:rPr>
        <w:t>de</w:t>
      </w:r>
      <w:r w:rsidRPr="00C56257">
        <w:rPr>
          <w:color w:val="000000" w:themeColor="text1"/>
          <w:spacing w:val="14"/>
        </w:rPr>
        <w:t xml:space="preserve"> </w:t>
      </w:r>
      <w:r w:rsidRPr="00C56257">
        <w:rPr>
          <w:color w:val="000000" w:themeColor="text1"/>
        </w:rPr>
        <w:t>interes</w:t>
      </w:r>
      <w:r w:rsidRPr="00C56257">
        <w:rPr>
          <w:color w:val="000000" w:themeColor="text1"/>
          <w:spacing w:val="18"/>
        </w:rPr>
        <w:t xml:space="preserve"> </w:t>
      </w:r>
      <w:r w:rsidRPr="00C56257">
        <w:rPr>
          <w:color w:val="000000" w:themeColor="text1"/>
        </w:rPr>
        <w:t>comunitar</w:t>
      </w:r>
      <w:r w:rsidRPr="00C56257">
        <w:rPr>
          <w:color w:val="000000" w:themeColor="text1"/>
          <w:spacing w:val="14"/>
        </w:rPr>
        <w:t xml:space="preserve"> </w:t>
      </w:r>
      <w:r w:rsidRPr="00C56257">
        <w:rPr>
          <w:color w:val="000000" w:themeColor="text1"/>
        </w:rPr>
        <w:t>se</w:t>
      </w:r>
      <w:r w:rsidRPr="00C56257">
        <w:rPr>
          <w:color w:val="000000" w:themeColor="text1"/>
          <w:spacing w:val="16"/>
        </w:rPr>
        <w:t xml:space="preserve"> </w:t>
      </w:r>
      <w:r w:rsidRPr="00C56257">
        <w:rPr>
          <w:color w:val="000000" w:themeColor="text1"/>
        </w:rPr>
        <w:t>face</w:t>
      </w:r>
      <w:r w:rsidRPr="00C56257">
        <w:rPr>
          <w:color w:val="000000" w:themeColor="text1"/>
          <w:spacing w:val="16"/>
        </w:rPr>
        <w:t xml:space="preserve"> </w:t>
      </w:r>
      <w:r w:rsidRPr="00C56257">
        <w:rPr>
          <w:color w:val="000000" w:themeColor="text1"/>
        </w:rPr>
        <w:t>atât</w:t>
      </w:r>
      <w:r w:rsidRPr="00C56257">
        <w:rPr>
          <w:color w:val="000000" w:themeColor="text1"/>
          <w:spacing w:val="15"/>
        </w:rPr>
        <w:t xml:space="preserve"> </w:t>
      </w:r>
      <w:r w:rsidRPr="00C56257">
        <w:rPr>
          <w:color w:val="000000" w:themeColor="text1"/>
        </w:rPr>
        <w:t>în</w:t>
      </w:r>
      <w:r w:rsidRPr="00C56257">
        <w:rPr>
          <w:color w:val="000000" w:themeColor="text1"/>
          <w:spacing w:val="16"/>
        </w:rPr>
        <w:t xml:space="preserve"> </w:t>
      </w:r>
      <w:r w:rsidRPr="00C56257">
        <w:rPr>
          <w:color w:val="000000" w:themeColor="text1"/>
        </w:rPr>
        <w:t>interiorul</w:t>
      </w:r>
      <w:r w:rsidRPr="00C56257">
        <w:rPr>
          <w:color w:val="000000" w:themeColor="text1"/>
          <w:spacing w:val="16"/>
        </w:rPr>
        <w:t xml:space="preserve"> </w:t>
      </w:r>
      <w:r w:rsidRPr="00C56257">
        <w:rPr>
          <w:color w:val="000000" w:themeColor="text1"/>
        </w:rPr>
        <w:t>Rețelei</w:t>
      </w:r>
      <w:r w:rsidRPr="00C56257">
        <w:rPr>
          <w:color w:val="000000" w:themeColor="text1"/>
          <w:spacing w:val="15"/>
        </w:rPr>
        <w:t xml:space="preserve"> </w:t>
      </w:r>
      <w:r w:rsidRPr="00C56257">
        <w:rPr>
          <w:color w:val="000000" w:themeColor="text1"/>
        </w:rPr>
        <w:t>Natura</w:t>
      </w:r>
      <w:r w:rsidRPr="00C56257">
        <w:rPr>
          <w:color w:val="000000" w:themeColor="text1"/>
          <w:spacing w:val="14"/>
        </w:rPr>
        <w:t xml:space="preserve"> </w:t>
      </w:r>
      <w:r w:rsidRPr="00C56257">
        <w:rPr>
          <w:color w:val="000000" w:themeColor="text1"/>
        </w:rPr>
        <w:t>2000,</w:t>
      </w:r>
      <w:r w:rsidRPr="00C56257">
        <w:rPr>
          <w:color w:val="000000" w:themeColor="text1"/>
          <w:spacing w:val="15"/>
        </w:rPr>
        <w:t xml:space="preserve"> </w:t>
      </w:r>
      <w:r w:rsidRPr="00C56257">
        <w:rPr>
          <w:color w:val="000000" w:themeColor="text1"/>
        </w:rPr>
        <w:t>cât</w:t>
      </w:r>
      <w:r w:rsidRPr="00C56257">
        <w:rPr>
          <w:color w:val="000000" w:themeColor="text1"/>
          <w:spacing w:val="16"/>
        </w:rPr>
        <w:t xml:space="preserve"> </w:t>
      </w:r>
      <w:r w:rsidRPr="00C56257">
        <w:rPr>
          <w:color w:val="000000" w:themeColor="text1"/>
        </w:rPr>
        <w:t>și</w:t>
      </w:r>
      <w:r w:rsidR="00896C2C">
        <w:rPr>
          <w:color w:val="000000" w:themeColor="text1"/>
        </w:rPr>
        <w:t xml:space="preserve"> </w:t>
      </w:r>
      <w:r w:rsidRPr="00C56257">
        <w:rPr>
          <w:color w:val="000000" w:themeColor="text1"/>
          <w:spacing w:val="-57"/>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afara</w:t>
      </w:r>
      <w:r w:rsidRPr="00C56257">
        <w:rPr>
          <w:color w:val="000000" w:themeColor="text1"/>
          <w:spacing w:val="-1"/>
        </w:rPr>
        <w:t xml:space="preserve"> </w:t>
      </w:r>
      <w:r w:rsidRPr="00C56257">
        <w:rPr>
          <w:color w:val="000000" w:themeColor="text1"/>
        </w:rPr>
        <w:t>rețelei Natura</w:t>
      </w:r>
      <w:r w:rsidRPr="00C56257">
        <w:rPr>
          <w:color w:val="000000" w:themeColor="text1"/>
          <w:spacing w:val="-2"/>
        </w:rPr>
        <w:t xml:space="preserve"> </w:t>
      </w:r>
      <w:r w:rsidRPr="00C56257">
        <w:rPr>
          <w:color w:val="000000" w:themeColor="text1"/>
        </w:rPr>
        <w:t>2000,</w:t>
      </w:r>
      <w:r w:rsidRPr="00C56257">
        <w:rPr>
          <w:color w:val="000000" w:themeColor="text1"/>
          <w:spacing w:val="-1"/>
        </w:rPr>
        <w:t xml:space="preserve"> </w:t>
      </w:r>
      <w:r w:rsidRPr="00C56257">
        <w:rPr>
          <w:color w:val="000000" w:themeColor="text1"/>
        </w:rPr>
        <w:t>în scopul evaluării în</w:t>
      </w:r>
      <w:r w:rsidRPr="00C56257">
        <w:rPr>
          <w:color w:val="000000" w:themeColor="text1"/>
          <w:spacing w:val="2"/>
        </w:rPr>
        <w:t xml:space="preserve"> </w:t>
      </w:r>
      <w:r w:rsidRPr="00C56257">
        <w:rPr>
          <w:color w:val="000000" w:themeColor="text1"/>
        </w:rPr>
        <w:t>vederea</w:t>
      </w:r>
      <w:r w:rsidRPr="00C56257">
        <w:rPr>
          <w:color w:val="000000" w:themeColor="text1"/>
          <w:spacing w:val="-2"/>
        </w:rPr>
        <w:t xml:space="preserve"> </w:t>
      </w:r>
      <w:r w:rsidRPr="00C56257">
        <w:rPr>
          <w:color w:val="000000" w:themeColor="text1"/>
        </w:rPr>
        <w:t>raportării către</w:t>
      </w:r>
      <w:r w:rsidRPr="00C56257">
        <w:rPr>
          <w:color w:val="000000" w:themeColor="text1"/>
          <w:spacing w:val="-2"/>
        </w:rPr>
        <w:t xml:space="preserve"> </w:t>
      </w:r>
      <w:r w:rsidRPr="00C56257">
        <w:rPr>
          <w:color w:val="000000" w:themeColor="text1"/>
        </w:rPr>
        <w:t>CE.</w:t>
      </w:r>
    </w:p>
    <w:p w14:paraId="6CA360D1" w14:textId="77777777" w:rsidR="007D2E1E" w:rsidRPr="00C56257" w:rsidRDefault="007D2E1E" w:rsidP="00896C2C">
      <w:pPr>
        <w:widowControl w:val="0"/>
        <w:autoSpaceDE w:val="0"/>
        <w:autoSpaceDN w:val="0"/>
        <w:spacing w:before="1"/>
        <w:ind w:right="27"/>
        <w:jc w:val="both"/>
        <w:rPr>
          <w:color w:val="000000" w:themeColor="text1"/>
        </w:rPr>
      </w:pPr>
      <w:r w:rsidRPr="00C56257">
        <w:rPr>
          <w:color w:val="000000" w:themeColor="text1"/>
        </w:rPr>
        <w:t>În esență,</w:t>
      </w:r>
      <w:r w:rsidRPr="00C56257">
        <w:rPr>
          <w:color w:val="000000" w:themeColor="text1"/>
          <w:spacing w:val="-1"/>
        </w:rPr>
        <w:t xml:space="preserve"> </w:t>
      </w:r>
      <w:r w:rsidRPr="00C56257">
        <w:rPr>
          <w:color w:val="000000" w:themeColor="text1"/>
        </w:rPr>
        <w:t>acest</w:t>
      </w:r>
      <w:r w:rsidRPr="00C56257">
        <w:rPr>
          <w:color w:val="000000" w:themeColor="text1"/>
          <w:spacing w:val="-2"/>
        </w:rPr>
        <w:t xml:space="preserve"> </w:t>
      </w:r>
      <w:r w:rsidRPr="00C56257">
        <w:rPr>
          <w:color w:val="000000" w:themeColor="text1"/>
        </w:rPr>
        <w:t>fapt</w:t>
      </w:r>
      <w:r w:rsidRPr="00C56257">
        <w:rPr>
          <w:color w:val="000000" w:themeColor="text1"/>
          <w:spacing w:val="-2"/>
        </w:rPr>
        <w:t xml:space="preserve"> </w:t>
      </w:r>
      <w:r w:rsidRPr="00C56257">
        <w:rPr>
          <w:color w:val="000000" w:themeColor="text1"/>
        </w:rPr>
        <w:t>se</w:t>
      </w:r>
      <w:r w:rsidRPr="00C56257">
        <w:rPr>
          <w:color w:val="000000" w:themeColor="text1"/>
          <w:spacing w:val="-1"/>
        </w:rPr>
        <w:t xml:space="preserve"> </w:t>
      </w:r>
      <w:r w:rsidRPr="00C56257">
        <w:rPr>
          <w:color w:val="000000" w:themeColor="text1"/>
        </w:rPr>
        <w:t>transpune</w:t>
      </w:r>
      <w:r w:rsidRPr="00C56257">
        <w:rPr>
          <w:color w:val="000000" w:themeColor="text1"/>
          <w:spacing w:val="-3"/>
        </w:rPr>
        <w:t xml:space="preserve"> </w:t>
      </w:r>
      <w:r w:rsidRPr="00C56257">
        <w:rPr>
          <w:color w:val="000000" w:themeColor="text1"/>
        </w:rPr>
        <w:t>astfel:</w:t>
      </w:r>
    </w:p>
    <w:p w14:paraId="52C61F3F" w14:textId="77777777" w:rsidR="007D2E1E" w:rsidRPr="00C56257" w:rsidRDefault="007D2E1E" w:rsidP="009E63E5">
      <w:pPr>
        <w:widowControl w:val="0"/>
        <w:numPr>
          <w:ilvl w:val="0"/>
          <w:numId w:val="39"/>
        </w:numPr>
        <w:tabs>
          <w:tab w:val="left" w:pos="1094"/>
        </w:tabs>
        <w:autoSpaceDE w:val="0"/>
        <w:autoSpaceDN w:val="0"/>
        <w:ind w:right="27" w:hanging="361"/>
        <w:jc w:val="both"/>
        <w:rPr>
          <w:color w:val="000000" w:themeColor="text1"/>
        </w:rPr>
      </w:pPr>
      <w:r w:rsidRPr="00C56257">
        <w:rPr>
          <w:color w:val="000000" w:themeColor="text1"/>
        </w:rPr>
        <w:t>Monitorizare</w:t>
      </w:r>
      <w:r w:rsidRPr="00C56257">
        <w:rPr>
          <w:color w:val="000000" w:themeColor="text1"/>
          <w:spacing w:val="-3"/>
        </w:rPr>
        <w:t xml:space="preserve"> </w:t>
      </w:r>
      <w:r w:rsidRPr="00C56257">
        <w:rPr>
          <w:color w:val="000000" w:themeColor="text1"/>
        </w:rPr>
        <w:t>în ploturi numai în</w:t>
      </w:r>
      <w:r w:rsidRPr="00C56257">
        <w:rPr>
          <w:color w:val="000000" w:themeColor="text1"/>
          <w:spacing w:val="-1"/>
        </w:rPr>
        <w:t xml:space="preserve"> </w:t>
      </w:r>
      <w:r w:rsidRPr="00C56257">
        <w:rPr>
          <w:color w:val="000000" w:themeColor="text1"/>
        </w:rPr>
        <w:t>interiorul Natura</w:t>
      </w:r>
      <w:r w:rsidRPr="00C56257">
        <w:rPr>
          <w:color w:val="000000" w:themeColor="text1"/>
          <w:spacing w:val="-1"/>
        </w:rPr>
        <w:t xml:space="preserve"> </w:t>
      </w:r>
      <w:r w:rsidRPr="00C56257">
        <w:rPr>
          <w:color w:val="000000" w:themeColor="text1"/>
        </w:rPr>
        <w:t>2000;</w:t>
      </w:r>
    </w:p>
    <w:p w14:paraId="15A98E54" w14:textId="77777777" w:rsidR="007D2E1E" w:rsidRPr="00C56257" w:rsidRDefault="007D2E1E" w:rsidP="009E63E5">
      <w:pPr>
        <w:widowControl w:val="0"/>
        <w:numPr>
          <w:ilvl w:val="0"/>
          <w:numId w:val="39"/>
        </w:numPr>
        <w:tabs>
          <w:tab w:val="left" w:pos="1094"/>
        </w:tabs>
        <w:autoSpaceDE w:val="0"/>
        <w:autoSpaceDN w:val="0"/>
        <w:ind w:right="27" w:hanging="361"/>
        <w:jc w:val="both"/>
        <w:rPr>
          <w:color w:val="000000" w:themeColor="text1"/>
        </w:rPr>
      </w:pPr>
      <w:r w:rsidRPr="00C56257">
        <w:rPr>
          <w:color w:val="000000" w:themeColor="text1"/>
        </w:rPr>
        <w:t>Monitorizare</w:t>
      </w:r>
      <w:r w:rsidRPr="00C56257">
        <w:rPr>
          <w:color w:val="000000" w:themeColor="text1"/>
          <w:spacing w:val="-3"/>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ploturi atât</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interiorul, cât</w:t>
      </w:r>
      <w:r w:rsidRPr="00C56257">
        <w:rPr>
          <w:color w:val="000000" w:themeColor="text1"/>
          <w:spacing w:val="-1"/>
        </w:rPr>
        <w:t xml:space="preserve"> </w:t>
      </w:r>
      <w:r w:rsidRPr="00C56257">
        <w:rPr>
          <w:color w:val="000000" w:themeColor="text1"/>
        </w:rPr>
        <w:t>și</w:t>
      </w:r>
      <w:r w:rsidRPr="00C56257">
        <w:rPr>
          <w:color w:val="000000" w:themeColor="text1"/>
          <w:spacing w:val="-1"/>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afara</w:t>
      </w:r>
      <w:r w:rsidRPr="00C56257">
        <w:rPr>
          <w:color w:val="000000" w:themeColor="text1"/>
          <w:spacing w:val="-1"/>
        </w:rPr>
        <w:t xml:space="preserve"> </w:t>
      </w:r>
      <w:r w:rsidRPr="00C56257">
        <w:rPr>
          <w:color w:val="000000" w:themeColor="text1"/>
        </w:rPr>
        <w:t>Natura</w:t>
      </w:r>
      <w:r w:rsidRPr="00C56257">
        <w:rPr>
          <w:color w:val="000000" w:themeColor="text1"/>
          <w:spacing w:val="-2"/>
        </w:rPr>
        <w:t xml:space="preserve"> </w:t>
      </w:r>
      <w:r w:rsidRPr="00C56257">
        <w:rPr>
          <w:color w:val="000000" w:themeColor="text1"/>
        </w:rPr>
        <w:t>2000;</w:t>
      </w:r>
    </w:p>
    <w:p w14:paraId="24C5E936" w14:textId="77777777" w:rsidR="007D2E1E" w:rsidRPr="00C56257" w:rsidRDefault="007D2E1E" w:rsidP="009E63E5">
      <w:pPr>
        <w:widowControl w:val="0"/>
        <w:numPr>
          <w:ilvl w:val="0"/>
          <w:numId w:val="39"/>
        </w:numPr>
        <w:tabs>
          <w:tab w:val="left" w:pos="1094"/>
        </w:tabs>
        <w:autoSpaceDE w:val="0"/>
        <w:autoSpaceDN w:val="0"/>
        <w:ind w:right="27" w:hanging="361"/>
        <w:jc w:val="both"/>
        <w:rPr>
          <w:color w:val="000000" w:themeColor="text1"/>
        </w:rPr>
      </w:pPr>
      <w:r w:rsidRPr="00C56257">
        <w:rPr>
          <w:color w:val="000000" w:themeColor="text1"/>
        </w:rPr>
        <w:t>Monitorizare</w:t>
      </w:r>
      <w:r w:rsidRPr="00C56257">
        <w:rPr>
          <w:color w:val="000000" w:themeColor="text1"/>
          <w:spacing w:val="-3"/>
        </w:rPr>
        <w:t xml:space="preserve"> </w:t>
      </w:r>
      <w:r w:rsidRPr="00C56257">
        <w:rPr>
          <w:color w:val="000000" w:themeColor="text1"/>
        </w:rPr>
        <w:t>în ploturi</w:t>
      </w:r>
      <w:r w:rsidRPr="00C56257">
        <w:rPr>
          <w:color w:val="000000" w:themeColor="text1"/>
          <w:spacing w:val="1"/>
        </w:rPr>
        <w:t xml:space="preserve"> </w:t>
      </w:r>
      <w:r w:rsidRPr="00C56257">
        <w:rPr>
          <w:color w:val="000000" w:themeColor="text1"/>
        </w:rPr>
        <w:t>numai în afara</w:t>
      </w:r>
      <w:r w:rsidRPr="00C56257">
        <w:rPr>
          <w:color w:val="000000" w:themeColor="text1"/>
          <w:spacing w:val="-1"/>
        </w:rPr>
        <w:t xml:space="preserve"> </w:t>
      </w:r>
      <w:r w:rsidRPr="00C56257">
        <w:rPr>
          <w:color w:val="000000" w:themeColor="text1"/>
        </w:rPr>
        <w:t>Natura</w:t>
      </w:r>
      <w:r w:rsidRPr="00C56257">
        <w:rPr>
          <w:color w:val="000000" w:themeColor="text1"/>
          <w:spacing w:val="-1"/>
        </w:rPr>
        <w:t xml:space="preserve"> </w:t>
      </w:r>
      <w:r w:rsidRPr="00C56257">
        <w:rPr>
          <w:color w:val="000000" w:themeColor="text1"/>
        </w:rPr>
        <w:t>2000.</w:t>
      </w:r>
    </w:p>
    <w:p w14:paraId="57907509" w14:textId="77777777" w:rsidR="007D2E1E" w:rsidRPr="00C56257" w:rsidRDefault="007D2E1E" w:rsidP="00896C2C">
      <w:pPr>
        <w:widowControl w:val="0"/>
        <w:autoSpaceDE w:val="0"/>
        <w:autoSpaceDN w:val="0"/>
        <w:ind w:right="27"/>
        <w:jc w:val="both"/>
        <w:rPr>
          <w:color w:val="000000" w:themeColor="text1"/>
        </w:rPr>
      </w:pPr>
      <w:r w:rsidRPr="00C56257">
        <w:rPr>
          <w:color w:val="000000" w:themeColor="text1"/>
        </w:rPr>
        <w:t>Datele rezultate în urma monitorizării trebuie să surprindă unde are loc principalul obiectiv al</w:t>
      </w:r>
      <w:r w:rsidRPr="00C56257">
        <w:rPr>
          <w:color w:val="000000" w:themeColor="text1"/>
          <w:spacing w:val="1"/>
        </w:rPr>
        <w:t xml:space="preserve"> </w:t>
      </w:r>
      <w:r w:rsidRPr="00C56257">
        <w:rPr>
          <w:color w:val="000000" w:themeColor="text1"/>
        </w:rPr>
        <w:t>acțiunii de conservare. Prin urmare, în corelare cu formatul de raportare, se alege opțiunea (a) dacă</w:t>
      </w:r>
      <w:r w:rsidRPr="00C56257">
        <w:rPr>
          <w:color w:val="000000" w:themeColor="text1"/>
          <w:spacing w:val="1"/>
        </w:rPr>
        <w:t xml:space="preserve"> </w:t>
      </w:r>
      <w:r w:rsidRPr="00C56257">
        <w:rPr>
          <w:color w:val="000000" w:themeColor="text1"/>
        </w:rPr>
        <w:t>toate, sau marea majoritate, dintre măsurile de conservare sunt limitate la Natura 2000, opțiunea (b)</w:t>
      </w:r>
      <w:r w:rsidRPr="00C56257">
        <w:rPr>
          <w:color w:val="000000" w:themeColor="text1"/>
          <w:spacing w:val="1"/>
        </w:rPr>
        <w:t xml:space="preserve"> </w:t>
      </w:r>
      <w:r w:rsidRPr="00C56257">
        <w:rPr>
          <w:color w:val="000000" w:themeColor="text1"/>
        </w:rPr>
        <w:t>dacă există o investiție proporțională în punerea în aplicare a măsurilor în interiorul și în afara</w:t>
      </w:r>
      <w:r w:rsidRPr="00C56257">
        <w:rPr>
          <w:color w:val="000000" w:themeColor="text1"/>
          <w:spacing w:val="1"/>
        </w:rPr>
        <w:t xml:space="preserve"> </w:t>
      </w:r>
      <w:r w:rsidRPr="00C56257">
        <w:rPr>
          <w:color w:val="000000" w:themeColor="text1"/>
        </w:rPr>
        <w:t>Natura 2000 și opțiunea (c ) dacă toate, sau marea majoritate, dintre măsuri sunt luate în afara</w:t>
      </w:r>
      <w:r w:rsidRPr="00C56257">
        <w:rPr>
          <w:color w:val="000000" w:themeColor="text1"/>
          <w:spacing w:val="1"/>
        </w:rPr>
        <w:t xml:space="preserve"> </w:t>
      </w:r>
      <w:r w:rsidRPr="00C56257">
        <w:rPr>
          <w:color w:val="000000" w:themeColor="text1"/>
        </w:rPr>
        <w:t>Natura</w:t>
      </w:r>
      <w:r w:rsidRPr="00C56257">
        <w:rPr>
          <w:color w:val="000000" w:themeColor="text1"/>
          <w:spacing w:val="-3"/>
        </w:rPr>
        <w:t xml:space="preserve"> </w:t>
      </w:r>
      <w:r w:rsidRPr="00C56257">
        <w:rPr>
          <w:color w:val="000000" w:themeColor="text1"/>
        </w:rPr>
        <w:t>2000.</w:t>
      </w:r>
    </w:p>
    <w:p w14:paraId="5BE6D1DB" w14:textId="77777777" w:rsidR="00C263E5" w:rsidRPr="00C56257" w:rsidRDefault="007D2E1E" w:rsidP="00896C2C">
      <w:pPr>
        <w:widowControl w:val="0"/>
        <w:autoSpaceDE w:val="0"/>
        <w:autoSpaceDN w:val="0"/>
        <w:ind w:right="27"/>
        <w:jc w:val="both"/>
        <w:rPr>
          <w:color w:val="000000" w:themeColor="text1"/>
        </w:rPr>
      </w:pPr>
      <w:r w:rsidRPr="00C56257">
        <w:rPr>
          <w:color w:val="000000" w:themeColor="text1"/>
        </w:rPr>
        <w:t>În stadiul actual, majoritatea habitatelor care nu sunt în rețeaua Natura 2000, nu sunt cartate nici la</w:t>
      </w:r>
      <w:r w:rsidRPr="00C56257">
        <w:rPr>
          <w:color w:val="000000" w:themeColor="text1"/>
          <w:spacing w:val="1"/>
        </w:rPr>
        <w:t xml:space="preserve"> </w:t>
      </w:r>
      <w:r w:rsidRPr="00C56257">
        <w:rPr>
          <w:color w:val="000000" w:themeColor="text1"/>
        </w:rPr>
        <w:t>nivel</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bioregiune și</w:t>
      </w:r>
      <w:r w:rsidRPr="00C56257">
        <w:rPr>
          <w:color w:val="000000" w:themeColor="text1"/>
          <w:spacing w:val="-1"/>
        </w:rPr>
        <w:t xml:space="preserve"> </w:t>
      </w:r>
      <w:r w:rsidRPr="00C56257">
        <w:rPr>
          <w:color w:val="000000" w:themeColor="text1"/>
        </w:rPr>
        <w:t>nici la</w:t>
      </w:r>
      <w:r w:rsidRPr="00C56257">
        <w:rPr>
          <w:color w:val="000000" w:themeColor="text1"/>
          <w:spacing w:val="-1"/>
        </w:rPr>
        <w:t xml:space="preserve"> </w:t>
      </w:r>
      <w:r w:rsidRPr="00C56257">
        <w:rPr>
          <w:color w:val="000000" w:themeColor="text1"/>
        </w:rPr>
        <w:t>nivel național.</w:t>
      </w:r>
    </w:p>
    <w:p w14:paraId="410D9480" w14:textId="77777777" w:rsidR="00C263E5" w:rsidRPr="00C56257" w:rsidRDefault="00C263E5" w:rsidP="008E33FD">
      <w:pPr>
        <w:widowControl w:val="0"/>
        <w:autoSpaceDE w:val="0"/>
        <w:autoSpaceDN w:val="0"/>
        <w:ind w:right="414"/>
        <w:jc w:val="both"/>
        <w:rPr>
          <w:color w:val="000000" w:themeColor="text1"/>
        </w:rPr>
      </w:pPr>
    </w:p>
    <w:p w14:paraId="4106D974" w14:textId="77777777" w:rsidR="008E2181" w:rsidRPr="00C56257" w:rsidRDefault="007D2E1E" w:rsidP="008470D7">
      <w:pPr>
        <w:spacing w:after="160" w:line="259" w:lineRule="auto"/>
        <w:jc w:val="both"/>
        <w:rPr>
          <w:rFonts w:eastAsia="Cambria"/>
          <w:b/>
          <w:bCs/>
          <w:color w:val="000000" w:themeColor="text1"/>
        </w:rPr>
      </w:pPr>
      <w:r w:rsidRPr="00C56257">
        <w:rPr>
          <w:rFonts w:eastAsia="Cambria"/>
          <w:b/>
          <w:bCs/>
          <w:color w:val="000000" w:themeColor="text1"/>
        </w:rPr>
        <w:t>E</w:t>
      </w:r>
      <w:r w:rsidR="008E2181" w:rsidRPr="00C56257">
        <w:rPr>
          <w:rFonts w:eastAsia="Cambria"/>
          <w:b/>
          <w:bCs/>
          <w:color w:val="000000" w:themeColor="text1"/>
        </w:rPr>
        <w:t xml:space="preserve">valuarea stării de conservare a habitatelor </w:t>
      </w:r>
      <w:r w:rsidR="008E60F1">
        <w:rPr>
          <w:rFonts w:eastAsia="Cambria"/>
          <w:b/>
          <w:bCs/>
          <w:color w:val="000000" w:themeColor="text1"/>
        </w:rPr>
        <w:t>de apă</w:t>
      </w:r>
      <w:r w:rsidR="008E2181" w:rsidRPr="00C56257">
        <w:rPr>
          <w:rFonts w:eastAsia="Cambria"/>
          <w:b/>
          <w:bCs/>
          <w:color w:val="000000" w:themeColor="text1"/>
          <w:spacing w:val="68"/>
        </w:rPr>
        <w:t xml:space="preserve"> </w:t>
      </w:r>
      <w:r w:rsidR="008E2181" w:rsidRPr="00C56257">
        <w:rPr>
          <w:rFonts w:eastAsia="Cambria"/>
          <w:b/>
          <w:bCs/>
          <w:color w:val="000000" w:themeColor="text1"/>
        </w:rPr>
        <w:t>dulce</w:t>
      </w:r>
    </w:p>
    <w:p w14:paraId="3ED100A5" w14:textId="77777777" w:rsidR="008E2181" w:rsidRPr="00C56257" w:rsidRDefault="008E2181" w:rsidP="008E33FD">
      <w:pPr>
        <w:widowControl w:val="0"/>
        <w:autoSpaceDE w:val="0"/>
        <w:autoSpaceDN w:val="0"/>
        <w:ind w:right="414"/>
        <w:jc w:val="both"/>
        <w:rPr>
          <w:rFonts w:eastAsia="Cambria"/>
          <w:b/>
          <w:bCs/>
          <w:color w:val="000000" w:themeColor="text1"/>
        </w:rPr>
      </w:pPr>
    </w:p>
    <w:p w14:paraId="73129B0C" w14:textId="77777777" w:rsidR="007D2E1E" w:rsidRPr="00E12F5B" w:rsidRDefault="007D2E1E" w:rsidP="00896C2C">
      <w:pPr>
        <w:widowControl w:val="0"/>
        <w:autoSpaceDE w:val="0"/>
        <w:autoSpaceDN w:val="0"/>
        <w:ind w:right="27"/>
        <w:jc w:val="both"/>
        <w:rPr>
          <w:rFonts w:eastAsia="Cambria"/>
          <w:b/>
          <w:bCs/>
          <w:color w:val="000000" w:themeColor="text1"/>
        </w:rPr>
      </w:pPr>
      <w:r w:rsidRPr="00E12F5B">
        <w:rPr>
          <w:rFonts w:eastAsia="Cambria"/>
          <w:b/>
          <w:bCs/>
          <w:color w:val="000000" w:themeColor="text1"/>
        </w:rPr>
        <w:t>Metodologia</w:t>
      </w:r>
      <w:r w:rsidRPr="00E12F5B">
        <w:rPr>
          <w:rFonts w:eastAsia="Cambria"/>
          <w:b/>
          <w:bCs/>
          <w:color w:val="000000" w:themeColor="text1"/>
          <w:spacing w:val="-3"/>
        </w:rPr>
        <w:t xml:space="preserve"> </w:t>
      </w:r>
      <w:r w:rsidRPr="00E12F5B">
        <w:rPr>
          <w:rFonts w:eastAsia="Cambria"/>
          <w:b/>
          <w:bCs/>
          <w:color w:val="000000" w:themeColor="text1"/>
        </w:rPr>
        <w:t>de</w:t>
      </w:r>
      <w:r w:rsidRPr="00E12F5B">
        <w:rPr>
          <w:rFonts w:eastAsia="Cambria"/>
          <w:b/>
          <w:bCs/>
          <w:color w:val="000000" w:themeColor="text1"/>
          <w:spacing w:val="-4"/>
        </w:rPr>
        <w:t xml:space="preserve"> </w:t>
      </w:r>
      <w:r w:rsidRPr="00E12F5B">
        <w:rPr>
          <w:rFonts w:eastAsia="Cambria"/>
          <w:b/>
          <w:bCs/>
          <w:color w:val="000000" w:themeColor="text1"/>
        </w:rPr>
        <w:t>agregare</w:t>
      </w:r>
      <w:r w:rsidRPr="00E12F5B">
        <w:rPr>
          <w:rFonts w:eastAsia="Cambria"/>
          <w:b/>
          <w:bCs/>
          <w:color w:val="000000" w:themeColor="text1"/>
          <w:spacing w:val="-3"/>
        </w:rPr>
        <w:t xml:space="preserve"> </w:t>
      </w:r>
      <w:r w:rsidRPr="00E12F5B">
        <w:rPr>
          <w:rFonts w:eastAsia="Cambria"/>
          <w:b/>
          <w:bCs/>
          <w:color w:val="000000" w:themeColor="text1"/>
        </w:rPr>
        <w:t>a</w:t>
      </w:r>
      <w:r w:rsidRPr="00E12F5B">
        <w:rPr>
          <w:rFonts w:eastAsia="Cambria"/>
          <w:b/>
          <w:bCs/>
          <w:color w:val="000000" w:themeColor="text1"/>
          <w:spacing w:val="-3"/>
        </w:rPr>
        <w:t xml:space="preserve"> </w:t>
      </w:r>
      <w:r w:rsidRPr="00E12F5B">
        <w:rPr>
          <w:rFonts w:eastAsia="Cambria"/>
          <w:b/>
          <w:bCs/>
          <w:color w:val="000000" w:themeColor="text1"/>
        </w:rPr>
        <w:t>datelor</w:t>
      </w:r>
    </w:p>
    <w:p w14:paraId="2BD304C9" w14:textId="77777777" w:rsidR="007D2E1E" w:rsidRPr="00E12F5B" w:rsidRDefault="007D2E1E" w:rsidP="00896C2C">
      <w:pPr>
        <w:widowControl w:val="0"/>
        <w:autoSpaceDE w:val="0"/>
        <w:autoSpaceDN w:val="0"/>
        <w:spacing w:before="157"/>
        <w:ind w:right="27"/>
        <w:jc w:val="both"/>
        <w:rPr>
          <w:color w:val="000000" w:themeColor="text1"/>
        </w:rPr>
      </w:pPr>
      <w:r w:rsidRPr="00E12F5B">
        <w:rPr>
          <w:color w:val="000000" w:themeColor="text1"/>
        </w:rPr>
        <w:t>Observațiile directe evaluate de către experții în biodiversitate, selectați pentru evaluarea habitatelor</w:t>
      </w:r>
      <w:r w:rsidRPr="00E12F5B">
        <w:rPr>
          <w:color w:val="000000" w:themeColor="text1"/>
          <w:spacing w:val="-57"/>
        </w:rPr>
        <w:t xml:space="preserve"> </w:t>
      </w:r>
      <w:r w:rsidRPr="00E12F5B">
        <w:rPr>
          <w:color w:val="000000" w:themeColor="text1"/>
        </w:rPr>
        <w:t>țintă, utilizează tehnologiile de ultimă generație atât în ceea ce privește unități GPS și aplicații</w:t>
      </w:r>
      <w:r w:rsidRPr="00E12F5B">
        <w:rPr>
          <w:color w:val="000000" w:themeColor="text1"/>
          <w:spacing w:val="1"/>
        </w:rPr>
        <w:t xml:space="preserve"> </w:t>
      </w:r>
      <w:r w:rsidRPr="00E12F5B">
        <w:rPr>
          <w:color w:val="000000" w:themeColor="text1"/>
        </w:rPr>
        <w:t>mobile</w:t>
      </w:r>
      <w:r w:rsidRPr="00E12F5B">
        <w:rPr>
          <w:color w:val="000000" w:themeColor="text1"/>
          <w:spacing w:val="14"/>
        </w:rPr>
        <w:t xml:space="preserve"> </w:t>
      </w:r>
      <w:r w:rsidRPr="00E12F5B">
        <w:rPr>
          <w:color w:val="000000" w:themeColor="text1"/>
        </w:rPr>
        <w:t>de</w:t>
      </w:r>
      <w:r w:rsidRPr="00E12F5B">
        <w:rPr>
          <w:color w:val="000000" w:themeColor="text1"/>
          <w:spacing w:val="14"/>
        </w:rPr>
        <w:t xml:space="preserve"> </w:t>
      </w:r>
      <w:r w:rsidRPr="00E12F5B">
        <w:rPr>
          <w:color w:val="000000" w:themeColor="text1"/>
        </w:rPr>
        <w:lastRenderedPageBreak/>
        <w:t>colectare</w:t>
      </w:r>
      <w:r w:rsidRPr="00E12F5B">
        <w:rPr>
          <w:color w:val="000000" w:themeColor="text1"/>
          <w:spacing w:val="14"/>
        </w:rPr>
        <w:t xml:space="preserve"> </w:t>
      </w:r>
      <w:r w:rsidRPr="00E12F5B">
        <w:rPr>
          <w:color w:val="000000" w:themeColor="text1"/>
        </w:rPr>
        <w:t>a</w:t>
      </w:r>
      <w:r w:rsidRPr="00E12F5B">
        <w:rPr>
          <w:color w:val="000000" w:themeColor="text1"/>
          <w:spacing w:val="14"/>
        </w:rPr>
        <w:t xml:space="preserve"> </w:t>
      </w:r>
      <w:r w:rsidRPr="00E12F5B">
        <w:rPr>
          <w:color w:val="000000" w:themeColor="text1"/>
        </w:rPr>
        <w:t>datelor</w:t>
      </w:r>
      <w:r w:rsidRPr="00E12F5B">
        <w:rPr>
          <w:color w:val="000000" w:themeColor="text1"/>
          <w:spacing w:val="14"/>
        </w:rPr>
        <w:t xml:space="preserve"> </w:t>
      </w:r>
      <w:r w:rsidRPr="00E12F5B">
        <w:rPr>
          <w:color w:val="000000" w:themeColor="text1"/>
        </w:rPr>
        <w:t>din</w:t>
      </w:r>
      <w:r w:rsidRPr="00E12F5B">
        <w:rPr>
          <w:color w:val="000000" w:themeColor="text1"/>
          <w:spacing w:val="16"/>
        </w:rPr>
        <w:t xml:space="preserve"> </w:t>
      </w:r>
      <w:r w:rsidRPr="00E12F5B">
        <w:rPr>
          <w:color w:val="000000" w:themeColor="text1"/>
        </w:rPr>
        <w:t>teren.</w:t>
      </w:r>
      <w:r w:rsidRPr="00E12F5B">
        <w:rPr>
          <w:color w:val="000000" w:themeColor="text1"/>
          <w:spacing w:val="15"/>
        </w:rPr>
        <w:t xml:space="preserve"> </w:t>
      </w:r>
      <w:r w:rsidRPr="00E12F5B">
        <w:rPr>
          <w:color w:val="000000" w:themeColor="text1"/>
        </w:rPr>
        <w:t>Fișele</w:t>
      </w:r>
      <w:r w:rsidRPr="00E12F5B">
        <w:rPr>
          <w:color w:val="000000" w:themeColor="text1"/>
          <w:spacing w:val="15"/>
        </w:rPr>
        <w:t xml:space="preserve"> </w:t>
      </w:r>
      <w:r w:rsidRPr="00E12F5B">
        <w:rPr>
          <w:color w:val="000000" w:themeColor="text1"/>
        </w:rPr>
        <w:t>de</w:t>
      </w:r>
      <w:r w:rsidRPr="00E12F5B">
        <w:rPr>
          <w:color w:val="000000" w:themeColor="text1"/>
          <w:spacing w:val="16"/>
        </w:rPr>
        <w:t xml:space="preserve"> </w:t>
      </w:r>
      <w:r w:rsidRPr="00E12F5B">
        <w:rPr>
          <w:color w:val="000000" w:themeColor="text1"/>
        </w:rPr>
        <w:t>teren</w:t>
      </w:r>
      <w:r w:rsidRPr="00E12F5B">
        <w:rPr>
          <w:color w:val="000000" w:themeColor="text1"/>
          <w:spacing w:val="15"/>
        </w:rPr>
        <w:t xml:space="preserve"> </w:t>
      </w:r>
      <w:r w:rsidRPr="00E12F5B">
        <w:rPr>
          <w:color w:val="000000" w:themeColor="text1"/>
        </w:rPr>
        <w:t>completate</w:t>
      </w:r>
      <w:r w:rsidRPr="00E12F5B">
        <w:rPr>
          <w:color w:val="000000" w:themeColor="text1"/>
          <w:spacing w:val="14"/>
        </w:rPr>
        <w:t xml:space="preserve"> </w:t>
      </w:r>
      <w:r w:rsidRPr="00E12F5B">
        <w:rPr>
          <w:color w:val="000000" w:themeColor="text1"/>
        </w:rPr>
        <w:t>descriu</w:t>
      </w:r>
      <w:r w:rsidRPr="00E12F5B">
        <w:rPr>
          <w:color w:val="000000" w:themeColor="text1"/>
          <w:spacing w:val="17"/>
        </w:rPr>
        <w:t xml:space="preserve"> </w:t>
      </w:r>
      <w:r w:rsidRPr="00E12F5B">
        <w:rPr>
          <w:color w:val="000000" w:themeColor="text1"/>
        </w:rPr>
        <w:t>caracteristici</w:t>
      </w:r>
      <w:r w:rsidRPr="00E12F5B">
        <w:rPr>
          <w:color w:val="000000" w:themeColor="text1"/>
          <w:spacing w:val="22"/>
        </w:rPr>
        <w:t xml:space="preserve"> </w:t>
      </w:r>
      <w:r w:rsidRPr="00E12F5B">
        <w:rPr>
          <w:color w:val="000000" w:themeColor="text1"/>
        </w:rPr>
        <w:t>structurale</w:t>
      </w:r>
      <w:r w:rsidRPr="00E12F5B">
        <w:rPr>
          <w:color w:val="000000" w:themeColor="text1"/>
          <w:spacing w:val="-58"/>
        </w:rPr>
        <w:t xml:space="preserve"> </w:t>
      </w:r>
      <w:r w:rsidRPr="00E12F5B">
        <w:rPr>
          <w:color w:val="000000" w:themeColor="text1"/>
        </w:rPr>
        <w:t>și funcționale ale habitatelor, precum și presiuni identificate, informațiile astfel colectate intră într-</w:t>
      </w:r>
      <w:r w:rsidRPr="00E12F5B">
        <w:rPr>
          <w:color w:val="000000" w:themeColor="text1"/>
          <w:spacing w:val="1"/>
        </w:rPr>
        <w:t xml:space="preserve"> </w:t>
      </w:r>
      <w:r w:rsidRPr="00E12F5B">
        <w:rPr>
          <w:color w:val="000000" w:themeColor="text1"/>
        </w:rPr>
        <w:t>un prim proces de agregare (primul nivel) în care fiecare fișă are asociat o localizare stațială cu</w:t>
      </w:r>
      <w:r w:rsidRPr="00E12F5B">
        <w:rPr>
          <w:color w:val="000000" w:themeColor="text1"/>
          <w:spacing w:val="1"/>
        </w:rPr>
        <w:t xml:space="preserve"> </w:t>
      </w:r>
      <w:r w:rsidRPr="00E12F5B">
        <w:rPr>
          <w:color w:val="000000" w:themeColor="text1"/>
        </w:rPr>
        <w:t>precizie</w:t>
      </w:r>
      <w:r w:rsidRPr="00E12F5B">
        <w:rPr>
          <w:color w:val="000000" w:themeColor="text1"/>
          <w:spacing w:val="1"/>
        </w:rPr>
        <w:t xml:space="preserve"> </w:t>
      </w:r>
      <w:r w:rsidRPr="00E12F5B">
        <w:rPr>
          <w:color w:val="000000" w:themeColor="text1"/>
        </w:rPr>
        <w:t>metrică</w:t>
      </w:r>
      <w:r w:rsidRPr="00E12F5B">
        <w:rPr>
          <w:color w:val="000000" w:themeColor="text1"/>
          <w:spacing w:val="1"/>
        </w:rPr>
        <w:t xml:space="preserve"> </w:t>
      </w:r>
      <w:r w:rsidRPr="00E12F5B">
        <w:rPr>
          <w:color w:val="000000" w:themeColor="text1"/>
        </w:rPr>
        <w:t>(1-3</w:t>
      </w:r>
      <w:r w:rsidRPr="00E12F5B">
        <w:rPr>
          <w:color w:val="000000" w:themeColor="text1"/>
          <w:spacing w:val="1"/>
        </w:rPr>
        <w:t xml:space="preserve"> </w:t>
      </w:r>
      <w:r w:rsidRPr="00E12F5B">
        <w:rPr>
          <w:color w:val="000000" w:themeColor="text1"/>
        </w:rPr>
        <w:t>m)</w:t>
      </w:r>
      <w:r w:rsidRPr="00E12F5B">
        <w:rPr>
          <w:color w:val="000000" w:themeColor="text1"/>
          <w:spacing w:val="1"/>
        </w:rPr>
        <w:t xml:space="preserve"> </w:t>
      </w:r>
      <w:r w:rsidRPr="00E12F5B">
        <w:rPr>
          <w:color w:val="000000" w:themeColor="text1"/>
        </w:rPr>
        <w:t>se</w:t>
      </w:r>
      <w:r w:rsidRPr="00E12F5B">
        <w:rPr>
          <w:color w:val="000000" w:themeColor="text1"/>
          <w:spacing w:val="1"/>
        </w:rPr>
        <w:t xml:space="preserve"> </w:t>
      </w:r>
      <w:r w:rsidRPr="00E12F5B">
        <w:rPr>
          <w:color w:val="000000" w:themeColor="text1"/>
        </w:rPr>
        <w:t>agregă</w:t>
      </w:r>
      <w:r w:rsidRPr="00E12F5B">
        <w:rPr>
          <w:color w:val="000000" w:themeColor="text1"/>
          <w:spacing w:val="1"/>
        </w:rPr>
        <w:t xml:space="preserve"> </w:t>
      </w:r>
      <w:r w:rsidRPr="00E12F5B">
        <w:rPr>
          <w:color w:val="000000" w:themeColor="text1"/>
        </w:rPr>
        <w:t>într-un</w:t>
      </w:r>
      <w:r w:rsidRPr="00E12F5B">
        <w:rPr>
          <w:color w:val="000000" w:themeColor="text1"/>
          <w:spacing w:val="1"/>
        </w:rPr>
        <w:t xml:space="preserve"> </w:t>
      </w:r>
      <w:r w:rsidRPr="00E12F5B">
        <w:rPr>
          <w:color w:val="000000" w:themeColor="text1"/>
        </w:rPr>
        <w:t>plot</w:t>
      </w:r>
      <w:r w:rsidRPr="00E12F5B">
        <w:rPr>
          <w:color w:val="000000" w:themeColor="text1"/>
          <w:spacing w:val="1"/>
        </w:rPr>
        <w:t xml:space="preserve"> </w:t>
      </w:r>
      <w:r w:rsidRPr="00E12F5B">
        <w:rPr>
          <w:color w:val="000000" w:themeColor="text1"/>
        </w:rPr>
        <w:t>de</w:t>
      </w:r>
      <w:r w:rsidRPr="00E12F5B">
        <w:rPr>
          <w:color w:val="000000" w:themeColor="text1"/>
          <w:spacing w:val="1"/>
        </w:rPr>
        <w:t xml:space="preserve"> </w:t>
      </w:r>
      <w:r w:rsidRPr="00E12F5B">
        <w:rPr>
          <w:color w:val="000000" w:themeColor="text1"/>
        </w:rPr>
        <w:t>10</w:t>
      </w:r>
      <w:r w:rsidRPr="00E12F5B">
        <w:rPr>
          <w:color w:val="000000" w:themeColor="text1"/>
          <w:spacing w:val="1"/>
        </w:rPr>
        <w:t xml:space="preserve"> </w:t>
      </w:r>
      <w:r w:rsidRPr="00E12F5B">
        <w:rPr>
          <w:color w:val="000000" w:themeColor="text1"/>
        </w:rPr>
        <w:t>x</w:t>
      </w:r>
      <w:r w:rsidRPr="00E12F5B">
        <w:rPr>
          <w:color w:val="000000" w:themeColor="text1"/>
          <w:spacing w:val="1"/>
        </w:rPr>
        <w:t xml:space="preserve"> </w:t>
      </w:r>
      <w:r w:rsidRPr="00E12F5B">
        <w:rPr>
          <w:color w:val="000000" w:themeColor="text1"/>
        </w:rPr>
        <w:t>10</w:t>
      </w:r>
      <w:r w:rsidRPr="00E12F5B">
        <w:rPr>
          <w:color w:val="000000" w:themeColor="text1"/>
          <w:spacing w:val="1"/>
        </w:rPr>
        <w:t xml:space="preserve"> </w:t>
      </w:r>
      <w:r w:rsidRPr="00E12F5B">
        <w:rPr>
          <w:color w:val="000000" w:themeColor="text1"/>
        </w:rPr>
        <w:t>km.</w:t>
      </w:r>
      <w:r w:rsidRPr="00E12F5B">
        <w:rPr>
          <w:color w:val="000000" w:themeColor="text1"/>
          <w:spacing w:val="1"/>
        </w:rPr>
        <w:t xml:space="preserve"> </w:t>
      </w:r>
      <w:r w:rsidRPr="00E12F5B">
        <w:rPr>
          <w:color w:val="000000" w:themeColor="text1"/>
        </w:rPr>
        <w:t>Această</w:t>
      </w:r>
      <w:r w:rsidRPr="00E12F5B">
        <w:rPr>
          <w:color w:val="000000" w:themeColor="text1"/>
          <w:spacing w:val="1"/>
        </w:rPr>
        <w:t xml:space="preserve"> </w:t>
      </w:r>
      <w:r w:rsidRPr="00E12F5B">
        <w:rPr>
          <w:color w:val="000000" w:themeColor="text1"/>
        </w:rPr>
        <w:t>agregare</w:t>
      </w:r>
      <w:r w:rsidRPr="00E12F5B">
        <w:rPr>
          <w:color w:val="000000" w:themeColor="text1"/>
          <w:spacing w:val="1"/>
        </w:rPr>
        <w:t xml:space="preserve"> </w:t>
      </w:r>
      <w:r w:rsidRPr="00E12F5B">
        <w:rPr>
          <w:color w:val="000000" w:themeColor="text1"/>
        </w:rPr>
        <w:t>permite</w:t>
      </w:r>
      <w:r w:rsidRPr="00E12F5B">
        <w:rPr>
          <w:color w:val="000000" w:themeColor="text1"/>
          <w:spacing w:val="1"/>
        </w:rPr>
        <w:t xml:space="preserve"> </w:t>
      </w:r>
      <w:r w:rsidRPr="00E12F5B">
        <w:rPr>
          <w:color w:val="000000" w:themeColor="text1"/>
        </w:rPr>
        <w:t>caracterizarea variabilității interne a habitatului țintă la nivelul unui plot. Plotul reprezintă unitatea</w:t>
      </w:r>
      <w:r w:rsidRPr="00E12F5B">
        <w:rPr>
          <w:color w:val="000000" w:themeColor="text1"/>
          <w:spacing w:val="1"/>
        </w:rPr>
        <w:t xml:space="preserve"> </w:t>
      </w:r>
      <w:r w:rsidRPr="00E12F5B">
        <w:rPr>
          <w:color w:val="000000" w:themeColor="text1"/>
        </w:rPr>
        <w:t>de</w:t>
      </w:r>
      <w:r w:rsidRPr="00E12F5B">
        <w:rPr>
          <w:color w:val="000000" w:themeColor="text1"/>
          <w:spacing w:val="1"/>
        </w:rPr>
        <w:t xml:space="preserve"> </w:t>
      </w:r>
      <w:r w:rsidRPr="00E12F5B">
        <w:rPr>
          <w:color w:val="000000" w:themeColor="text1"/>
        </w:rPr>
        <w:t>bază</w:t>
      </w:r>
      <w:r w:rsidRPr="00E12F5B">
        <w:rPr>
          <w:color w:val="000000" w:themeColor="text1"/>
          <w:spacing w:val="1"/>
        </w:rPr>
        <w:t xml:space="preserve"> </w:t>
      </w:r>
      <w:r w:rsidRPr="00E12F5B">
        <w:rPr>
          <w:color w:val="000000" w:themeColor="text1"/>
        </w:rPr>
        <w:t>pentru</w:t>
      </w:r>
      <w:r w:rsidRPr="00E12F5B">
        <w:rPr>
          <w:color w:val="000000" w:themeColor="text1"/>
          <w:spacing w:val="1"/>
        </w:rPr>
        <w:t xml:space="preserve"> </w:t>
      </w:r>
      <w:r w:rsidRPr="00E12F5B">
        <w:rPr>
          <w:color w:val="000000" w:themeColor="text1"/>
        </w:rPr>
        <w:t>evaluare.</w:t>
      </w:r>
      <w:r w:rsidRPr="00E12F5B">
        <w:rPr>
          <w:color w:val="000000" w:themeColor="text1"/>
          <w:spacing w:val="1"/>
        </w:rPr>
        <w:t xml:space="preserve"> </w:t>
      </w:r>
      <w:r w:rsidRPr="00E12F5B">
        <w:rPr>
          <w:color w:val="000000" w:themeColor="text1"/>
        </w:rPr>
        <w:t>Metodele</w:t>
      </w:r>
      <w:r w:rsidRPr="00E12F5B">
        <w:rPr>
          <w:color w:val="000000" w:themeColor="text1"/>
          <w:spacing w:val="1"/>
        </w:rPr>
        <w:t xml:space="preserve"> </w:t>
      </w:r>
      <w:r w:rsidRPr="00E12F5B">
        <w:rPr>
          <w:color w:val="000000" w:themeColor="text1"/>
        </w:rPr>
        <w:t>de</w:t>
      </w:r>
      <w:r w:rsidRPr="00E12F5B">
        <w:rPr>
          <w:color w:val="000000" w:themeColor="text1"/>
          <w:spacing w:val="1"/>
        </w:rPr>
        <w:t xml:space="preserve"> </w:t>
      </w:r>
      <w:r w:rsidRPr="00E12F5B">
        <w:rPr>
          <w:color w:val="000000" w:themeColor="text1"/>
        </w:rPr>
        <w:t>evaluare</w:t>
      </w:r>
      <w:r w:rsidRPr="00E12F5B">
        <w:rPr>
          <w:color w:val="000000" w:themeColor="text1"/>
          <w:spacing w:val="1"/>
        </w:rPr>
        <w:t xml:space="preserve"> </w:t>
      </w:r>
      <w:r w:rsidRPr="00E12F5B">
        <w:rPr>
          <w:color w:val="000000" w:themeColor="text1"/>
        </w:rPr>
        <w:t>se</w:t>
      </w:r>
      <w:r w:rsidRPr="00E12F5B">
        <w:rPr>
          <w:color w:val="000000" w:themeColor="text1"/>
          <w:spacing w:val="1"/>
        </w:rPr>
        <w:t xml:space="preserve"> </w:t>
      </w:r>
      <w:r w:rsidRPr="00E12F5B">
        <w:rPr>
          <w:color w:val="000000" w:themeColor="text1"/>
        </w:rPr>
        <w:t>realizează</w:t>
      </w:r>
      <w:r w:rsidRPr="00E12F5B">
        <w:rPr>
          <w:color w:val="000000" w:themeColor="text1"/>
          <w:spacing w:val="1"/>
        </w:rPr>
        <w:t xml:space="preserve"> </w:t>
      </w:r>
      <w:r w:rsidRPr="00E12F5B">
        <w:rPr>
          <w:color w:val="000000" w:themeColor="text1"/>
        </w:rPr>
        <w:t>fie</w:t>
      </w:r>
      <w:r w:rsidRPr="00E12F5B">
        <w:rPr>
          <w:color w:val="000000" w:themeColor="text1"/>
          <w:spacing w:val="1"/>
        </w:rPr>
        <w:t xml:space="preserve"> </w:t>
      </w:r>
      <w:r w:rsidRPr="00E12F5B">
        <w:rPr>
          <w:color w:val="000000" w:themeColor="text1"/>
        </w:rPr>
        <w:t>prin</w:t>
      </w:r>
      <w:r w:rsidRPr="00E12F5B">
        <w:rPr>
          <w:color w:val="000000" w:themeColor="text1"/>
          <w:spacing w:val="1"/>
        </w:rPr>
        <w:t xml:space="preserve"> </w:t>
      </w:r>
      <w:r w:rsidRPr="00E12F5B">
        <w:rPr>
          <w:color w:val="000000" w:themeColor="text1"/>
        </w:rPr>
        <w:t>evaluarea</w:t>
      </w:r>
      <w:r w:rsidRPr="00E12F5B">
        <w:rPr>
          <w:color w:val="000000" w:themeColor="text1"/>
          <w:spacing w:val="1"/>
        </w:rPr>
        <w:t xml:space="preserve"> </w:t>
      </w:r>
      <w:r w:rsidRPr="00E12F5B">
        <w:rPr>
          <w:color w:val="000000" w:themeColor="text1"/>
        </w:rPr>
        <w:t>completă</w:t>
      </w:r>
      <w:r w:rsidRPr="00E12F5B">
        <w:rPr>
          <w:color w:val="000000" w:themeColor="text1"/>
          <w:spacing w:val="60"/>
        </w:rPr>
        <w:t xml:space="preserve"> </w:t>
      </w:r>
      <w:r w:rsidRPr="00E12F5B">
        <w:rPr>
          <w:color w:val="000000" w:themeColor="text1"/>
        </w:rPr>
        <w:t>a</w:t>
      </w:r>
      <w:r w:rsidRPr="00E12F5B">
        <w:rPr>
          <w:color w:val="000000" w:themeColor="text1"/>
          <w:spacing w:val="1"/>
        </w:rPr>
        <w:t xml:space="preserve"> </w:t>
      </w:r>
      <w:r w:rsidRPr="00E12F5B">
        <w:rPr>
          <w:color w:val="000000" w:themeColor="text1"/>
        </w:rPr>
        <w:t>habitatului</w:t>
      </w:r>
      <w:r w:rsidRPr="00E12F5B">
        <w:rPr>
          <w:color w:val="000000" w:themeColor="text1"/>
          <w:spacing w:val="44"/>
        </w:rPr>
        <w:t xml:space="preserve"> </w:t>
      </w:r>
      <w:r w:rsidRPr="00E12F5B">
        <w:rPr>
          <w:color w:val="000000" w:themeColor="text1"/>
        </w:rPr>
        <w:t>țintă</w:t>
      </w:r>
      <w:r w:rsidRPr="00E12F5B">
        <w:rPr>
          <w:color w:val="000000" w:themeColor="text1"/>
          <w:spacing w:val="45"/>
        </w:rPr>
        <w:t xml:space="preserve"> </w:t>
      </w:r>
      <w:r w:rsidRPr="00E12F5B">
        <w:rPr>
          <w:color w:val="000000" w:themeColor="text1"/>
        </w:rPr>
        <w:t>(3</w:t>
      </w:r>
      <w:r w:rsidRPr="00E12F5B">
        <w:rPr>
          <w:color w:val="000000" w:themeColor="text1"/>
          <w:spacing w:val="43"/>
        </w:rPr>
        <w:t xml:space="preserve"> </w:t>
      </w:r>
      <w:r w:rsidRPr="00E12F5B">
        <w:rPr>
          <w:color w:val="000000" w:themeColor="text1"/>
        </w:rPr>
        <w:t>=</w:t>
      </w:r>
      <w:r w:rsidRPr="00E12F5B">
        <w:rPr>
          <w:color w:val="000000" w:themeColor="text1"/>
          <w:spacing w:val="46"/>
        </w:rPr>
        <w:t xml:space="preserve"> </w:t>
      </w:r>
      <w:r w:rsidRPr="00E12F5B">
        <w:rPr>
          <w:color w:val="000000" w:themeColor="text1"/>
        </w:rPr>
        <w:t>Complete</w:t>
      </w:r>
      <w:r w:rsidRPr="00E12F5B">
        <w:rPr>
          <w:color w:val="000000" w:themeColor="text1"/>
          <w:spacing w:val="43"/>
        </w:rPr>
        <w:t xml:space="preserve"> </w:t>
      </w:r>
      <w:r w:rsidRPr="00E12F5B">
        <w:rPr>
          <w:color w:val="000000" w:themeColor="text1"/>
        </w:rPr>
        <w:t>survey</w:t>
      </w:r>
      <w:r w:rsidRPr="00E12F5B">
        <w:rPr>
          <w:color w:val="000000" w:themeColor="text1"/>
          <w:spacing w:val="41"/>
        </w:rPr>
        <w:t xml:space="preserve"> </w:t>
      </w:r>
      <w:r w:rsidRPr="00E12F5B">
        <w:rPr>
          <w:color w:val="000000" w:themeColor="text1"/>
        </w:rPr>
        <w:t>or</w:t>
      </w:r>
      <w:r w:rsidRPr="00E12F5B">
        <w:rPr>
          <w:color w:val="000000" w:themeColor="text1"/>
          <w:spacing w:val="47"/>
        </w:rPr>
        <w:t xml:space="preserve"> </w:t>
      </w:r>
      <w:r w:rsidRPr="00E12F5B">
        <w:rPr>
          <w:color w:val="000000" w:themeColor="text1"/>
        </w:rPr>
        <w:t>a</w:t>
      </w:r>
      <w:r w:rsidRPr="00E12F5B">
        <w:rPr>
          <w:color w:val="000000" w:themeColor="text1"/>
          <w:spacing w:val="43"/>
        </w:rPr>
        <w:t xml:space="preserve"> </w:t>
      </w:r>
      <w:r w:rsidRPr="00E12F5B">
        <w:rPr>
          <w:color w:val="000000" w:themeColor="text1"/>
        </w:rPr>
        <w:t>statistically</w:t>
      </w:r>
      <w:r w:rsidRPr="00E12F5B">
        <w:rPr>
          <w:color w:val="000000" w:themeColor="text1"/>
          <w:spacing w:val="39"/>
        </w:rPr>
        <w:t xml:space="preserve"> </w:t>
      </w:r>
      <w:r w:rsidRPr="00E12F5B">
        <w:rPr>
          <w:color w:val="000000" w:themeColor="text1"/>
        </w:rPr>
        <w:t>robust</w:t>
      </w:r>
      <w:r w:rsidRPr="00E12F5B">
        <w:rPr>
          <w:color w:val="000000" w:themeColor="text1"/>
          <w:spacing w:val="47"/>
        </w:rPr>
        <w:t xml:space="preserve"> </w:t>
      </w:r>
      <w:r w:rsidRPr="00E12F5B">
        <w:rPr>
          <w:color w:val="000000" w:themeColor="text1"/>
        </w:rPr>
        <w:t>estimate);</w:t>
      </w:r>
      <w:r w:rsidRPr="00E12F5B">
        <w:rPr>
          <w:color w:val="000000" w:themeColor="text1"/>
          <w:spacing w:val="44"/>
        </w:rPr>
        <w:t xml:space="preserve"> </w:t>
      </w:r>
      <w:r w:rsidRPr="00E12F5B">
        <w:rPr>
          <w:color w:val="000000" w:themeColor="text1"/>
        </w:rPr>
        <w:t>când</w:t>
      </w:r>
      <w:r w:rsidRPr="00E12F5B">
        <w:rPr>
          <w:color w:val="000000" w:themeColor="text1"/>
          <w:spacing w:val="46"/>
        </w:rPr>
        <w:t xml:space="preserve"> </w:t>
      </w:r>
      <w:r w:rsidRPr="00E12F5B">
        <w:rPr>
          <w:color w:val="000000" w:themeColor="text1"/>
        </w:rPr>
        <w:t>se</w:t>
      </w:r>
      <w:r w:rsidRPr="00E12F5B">
        <w:rPr>
          <w:color w:val="000000" w:themeColor="text1"/>
          <w:spacing w:val="46"/>
        </w:rPr>
        <w:t xml:space="preserve"> </w:t>
      </w:r>
      <w:r w:rsidRPr="00E12F5B">
        <w:rPr>
          <w:color w:val="000000" w:themeColor="text1"/>
        </w:rPr>
        <w:t>evaluează</w:t>
      </w:r>
      <w:r w:rsidRPr="00E12F5B">
        <w:rPr>
          <w:color w:val="000000" w:themeColor="text1"/>
          <w:spacing w:val="44"/>
        </w:rPr>
        <w:t xml:space="preserve"> </w:t>
      </w:r>
      <w:r w:rsidRPr="00E12F5B">
        <w:rPr>
          <w:color w:val="000000" w:themeColor="text1"/>
        </w:rPr>
        <w:t>un</w:t>
      </w:r>
      <w:r w:rsidRPr="00E12F5B">
        <w:rPr>
          <w:color w:val="000000" w:themeColor="text1"/>
          <w:spacing w:val="-58"/>
        </w:rPr>
        <w:t xml:space="preserve"> </w:t>
      </w:r>
      <w:r w:rsidRPr="00E12F5B">
        <w:rPr>
          <w:color w:val="000000" w:themeColor="text1"/>
        </w:rPr>
        <w:t>număr de ploturi mai mic decât numărul total în care avem habitatul confirmat (2= Estimate based</w:t>
      </w:r>
      <w:r w:rsidRPr="00E12F5B">
        <w:rPr>
          <w:color w:val="000000" w:themeColor="text1"/>
          <w:spacing w:val="1"/>
        </w:rPr>
        <w:t xml:space="preserve"> </w:t>
      </w:r>
      <w:r w:rsidRPr="00E12F5B">
        <w:rPr>
          <w:color w:val="000000" w:themeColor="text1"/>
        </w:rPr>
        <w:t>on partial data with some extrapolation and/or modelling); când se evaluează un număr foarte redus</w:t>
      </w:r>
      <w:r w:rsidRPr="00E12F5B">
        <w:rPr>
          <w:color w:val="000000" w:themeColor="text1"/>
          <w:spacing w:val="1"/>
        </w:rPr>
        <w:t xml:space="preserve"> </w:t>
      </w:r>
      <w:r w:rsidRPr="00E12F5B">
        <w:rPr>
          <w:color w:val="000000" w:themeColor="text1"/>
        </w:rPr>
        <w:t>de ploturi și se utilizează părerea expertului (1 = Estimate based on expert opinion with no or</w:t>
      </w:r>
      <w:r w:rsidRPr="00E12F5B">
        <w:rPr>
          <w:color w:val="000000" w:themeColor="text1"/>
          <w:spacing w:val="1"/>
        </w:rPr>
        <w:t xml:space="preserve"> </w:t>
      </w:r>
      <w:r w:rsidRPr="00E12F5B">
        <w:rPr>
          <w:color w:val="000000" w:themeColor="text1"/>
        </w:rPr>
        <w:t>minimal</w:t>
      </w:r>
      <w:r w:rsidRPr="00E12F5B">
        <w:rPr>
          <w:color w:val="000000" w:themeColor="text1"/>
          <w:spacing w:val="1"/>
        </w:rPr>
        <w:t xml:space="preserve"> </w:t>
      </w:r>
      <w:r w:rsidRPr="00E12F5B">
        <w:rPr>
          <w:color w:val="000000" w:themeColor="text1"/>
        </w:rPr>
        <w:t>sampling);</w:t>
      </w:r>
      <w:r w:rsidRPr="00E12F5B">
        <w:rPr>
          <w:color w:val="000000" w:themeColor="text1"/>
          <w:spacing w:val="1"/>
        </w:rPr>
        <w:t xml:space="preserve"> </w:t>
      </w:r>
      <w:r w:rsidRPr="00E12F5B">
        <w:rPr>
          <w:color w:val="000000" w:themeColor="text1"/>
        </w:rPr>
        <w:t>atunci</w:t>
      </w:r>
      <w:r w:rsidRPr="00E12F5B">
        <w:rPr>
          <w:color w:val="000000" w:themeColor="text1"/>
          <w:spacing w:val="1"/>
        </w:rPr>
        <w:t xml:space="preserve"> </w:t>
      </w:r>
      <w:r w:rsidRPr="00E12F5B">
        <w:rPr>
          <w:color w:val="000000" w:themeColor="text1"/>
        </w:rPr>
        <w:t>când</w:t>
      </w:r>
      <w:r w:rsidRPr="00E12F5B">
        <w:rPr>
          <w:color w:val="000000" w:themeColor="text1"/>
          <w:spacing w:val="1"/>
        </w:rPr>
        <w:t xml:space="preserve"> </w:t>
      </w:r>
      <w:r w:rsidRPr="00E12F5B">
        <w:rPr>
          <w:color w:val="000000" w:themeColor="text1"/>
        </w:rPr>
        <w:t>nu</w:t>
      </w:r>
      <w:r w:rsidRPr="00E12F5B">
        <w:rPr>
          <w:color w:val="000000" w:themeColor="text1"/>
          <w:spacing w:val="1"/>
        </w:rPr>
        <w:t xml:space="preserve"> </w:t>
      </w:r>
      <w:r w:rsidRPr="00E12F5B">
        <w:rPr>
          <w:color w:val="000000" w:themeColor="text1"/>
        </w:rPr>
        <w:t>se</w:t>
      </w:r>
      <w:r w:rsidRPr="00E12F5B">
        <w:rPr>
          <w:color w:val="000000" w:themeColor="text1"/>
          <w:spacing w:val="1"/>
        </w:rPr>
        <w:t xml:space="preserve"> </w:t>
      </w:r>
      <w:r w:rsidRPr="00E12F5B">
        <w:rPr>
          <w:color w:val="000000" w:themeColor="text1"/>
        </w:rPr>
        <w:t>evaluează</w:t>
      </w:r>
      <w:r w:rsidRPr="00E12F5B">
        <w:rPr>
          <w:color w:val="000000" w:themeColor="text1"/>
          <w:spacing w:val="1"/>
        </w:rPr>
        <w:t xml:space="preserve"> </w:t>
      </w:r>
      <w:r w:rsidRPr="00E12F5B">
        <w:rPr>
          <w:color w:val="000000" w:themeColor="text1"/>
        </w:rPr>
        <w:t>nici</w:t>
      </w:r>
      <w:r w:rsidRPr="00E12F5B">
        <w:rPr>
          <w:color w:val="000000" w:themeColor="text1"/>
          <w:spacing w:val="1"/>
        </w:rPr>
        <w:t xml:space="preserve"> </w:t>
      </w:r>
      <w:r w:rsidRPr="00E12F5B">
        <w:rPr>
          <w:color w:val="000000" w:themeColor="text1"/>
        </w:rPr>
        <w:t>un</w:t>
      </w:r>
      <w:r w:rsidRPr="00E12F5B">
        <w:rPr>
          <w:color w:val="000000" w:themeColor="text1"/>
          <w:spacing w:val="1"/>
        </w:rPr>
        <w:t xml:space="preserve"> </w:t>
      </w:r>
      <w:r w:rsidRPr="00E12F5B">
        <w:rPr>
          <w:color w:val="000000" w:themeColor="text1"/>
        </w:rPr>
        <w:t>plot</w:t>
      </w:r>
      <w:r w:rsidRPr="00E12F5B">
        <w:rPr>
          <w:color w:val="000000" w:themeColor="text1"/>
          <w:spacing w:val="1"/>
        </w:rPr>
        <w:t xml:space="preserve"> </w:t>
      </w:r>
      <w:r w:rsidRPr="00E12F5B">
        <w:rPr>
          <w:color w:val="000000" w:themeColor="text1"/>
        </w:rPr>
        <w:t>în</w:t>
      </w:r>
      <w:r w:rsidRPr="00E12F5B">
        <w:rPr>
          <w:color w:val="000000" w:themeColor="text1"/>
          <w:spacing w:val="1"/>
        </w:rPr>
        <w:t xml:space="preserve"> </w:t>
      </w:r>
      <w:r w:rsidRPr="00E12F5B">
        <w:rPr>
          <w:color w:val="000000" w:themeColor="text1"/>
        </w:rPr>
        <w:t>raport</w:t>
      </w:r>
      <w:r w:rsidRPr="00E12F5B">
        <w:rPr>
          <w:color w:val="000000" w:themeColor="text1"/>
          <w:spacing w:val="1"/>
        </w:rPr>
        <w:t xml:space="preserve"> </w:t>
      </w:r>
      <w:r w:rsidRPr="00E12F5B">
        <w:rPr>
          <w:color w:val="000000" w:themeColor="text1"/>
        </w:rPr>
        <w:t>se</w:t>
      </w:r>
      <w:r w:rsidRPr="00E12F5B">
        <w:rPr>
          <w:color w:val="000000" w:themeColor="text1"/>
          <w:spacing w:val="1"/>
        </w:rPr>
        <w:t xml:space="preserve"> </w:t>
      </w:r>
      <w:r w:rsidRPr="00E12F5B">
        <w:rPr>
          <w:color w:val="000000" w:themeColor="text1"/>
        </w:rPr>
        <w:t>va</w:t>
      </w:r>
      <w:r w:rsidRPr="00E12F5B">
        <w:rPr>
          <w:color w:val="000000" w:themeColor="text1"/>
          <w:spacing w:val="1"/>
        </w:rPr>
        <w:t xml:space="preserve"> </w:t>
      </w:r>
      <w:r w:rsidRPr="00E12F5B">
        <w:rPr>
          <w:color w:val="000000" w:themeColor="text1"/>
        </w:rPr>
        <w:t>menționa</w:t>
      </w:r>
      <w:r w:rsidRPr="00E12F5B">
        <w:rPr>
          <w:color w:val="000000" w:themeColor="text1"/>
          <w:spacing w:val="1"/>
        </w:rPr>
        <w:t xml:space="preserve"> </w:t>
      </w:r>
      <w:r w:rsidRPr="00E12F5B">
        <w:rPr>
          <w:color w:val="000000" w:themeColor="text1"/>
        </w:rPr>
        <w:t>„date</w:t>
      </w:r>
      <w:r w:rsidRPr="00E12F5B">
        <w:rPr>
          <w:color w:val="000000" w:themeColor="text1"/>
          <w:spacing w:val="-57"/>
        </w:rPr>
        <w:t xml:space="preserve"> </w:t>
      </w:r>
      <w:r w:rsidRPr="00E12F5B">
        <w:rPr>
          <w:color w:val="000000" w:themeColor="text1"/>
        </w:rPr>
        <w:t>inexistente”</w:t>
      </w:r>
      <w:r w:rsidRPr="00E12F5B">
        <w:rPr>
          <w:color w:val="000000" w:themeColor="text1"/>
          <w:spacing w:val="-3"/>
        </w:rPr>
        <w:t xml:space="preserve"> </w:t>
      </w:r>
      <w:r w:rsidRPr="00E12F5B">
        <w:rPr>
          <w:color w:val="000000" w:themeColor="text1"/>
        </w:rPr>
        <w:t>(0 =</w:t>
      </w:r>
      <w:r w:rsidRPr="00E12F5B">
        <w:rPr>
          <w:color w:val="000000" w:themeColor="text1"/>
          <w:spacing w:val="-1"/>
        </w:rPr>
        <w:t xml:space="preserve"> </w:t>
      </w:r>
      <w:r w:rsidRPr="00E12F5B">
        <w:rPr>
          <w:color w:val="000000" w:themeColor="text1"/>
        </w:rPr>
        <w:t>Absent</w:t>
      </w:r>
      <w:r w:rsidRPr="00E12F5B">
        <w:rPr>
          <w:color w:val="000000" w:themeColor="text1"/>
          <w:spacing w:val="2"/>
        </w:rPr>
        <w:t xml:space="preserve"> </w:t>
      </w:r>
      <w:r w:rsidRPr="00E12F5B">
        <w:rPr>
          <w:color w:val="000000" w:themeColor="text1"/>
        </w:rPr>
        <w:t>data).</w:t>
      </w:r>
    </w:p>
    <w:p w14:paraId="596B5C60" w14:textId="77777777" w:rsidR="007D2E1E" w:rsidRPr="00E12F5B" w:rsidRDefault="007D2E1E" w:rsidP="00896C2C">
      <w:pPr>
        <w:widowControl w:val="0"/>
        <w:autoSpaceDE w:val="0"/>
        <w:autoSpaceDN w:val="0"/>
        <w:ind w:right="27"/>
        <w:jc w:val="both"/>
        <w:rPr>
          <w:color w:val="000000" w:themeColor="text1"/>
        </w:rPr>
      </w:pPr>
    </w:p>
    <w:p w14:paraId="06C3A20D" w14:textId="77777777" w:rsidR="007D2E1E" w:rsidRPr="00E12F5B" w:rsidRDefault="007D2E1E" w:rsidP="00896C2C">
      <w:pPr>
        <w:widowControl w:val="0"/>
        <w:tabs>
          <w:tab w:val="left" w:pos="1312"/>
        </w:tabs>
        <w:autoSpaceDE w:val="0"/>
        <w:autoSpaceDN w:val="0"/>
        <w:ind w:right="27"/>
        <w:jc w:val="both"/>
        <w:outlineLvl w:val="1"/>
        <w:rPr>
          <w:rFonts w:eastAsia="Cambria"/>
          <w:b/>
          <w:bCs/>
          <w:color w:val="000000" w:themeColor="text1"/>
        </w:rPr>
      </w:pPr>
      <w:r w:rsidRPr="00E12F5B">
        <w:rPr>
          <w:rFonts w:eastAsia="Cambria"/>
          <w:b/>
          <w:bCs/>
          <w:color w:val="000000" w:themeColor="text1"/>
        </w:rPr>
        <w:t>Evaluarea</w:t>
      </w:r>
      <w:r w:rsidRPr="00E12F5B">
        <w:rPr>
          <w:rFonts w:eastAsia="Cambria"/>
          <w:b/>
          <w:bCs/>
          <w:color w:val="000000" w:themeColor="text1"/>
          <w:spacing w:val="-3"/>
        </w:rPr>
        <w:t xml:space="preserve"> </w:t>
      </w:r>
      <w:r w:rsidRPr="00E12F5B">
        <w:rPr>
          <w:rFonts w:eastAsia="Cambria"/>
          <w:b/>
          <w:bCs/>
          <w:color w:val="000000" w:themeColor="text1"/>
        </w:rPr>
        <w:t>stării</w:t>
      </w:r>
      <w:r w:rsidRPr="00E12F5B">
        <w:rPr>
          <w:rFonts w:eastAsia="Cambria"/>
          <w:b/>
          <w:bCs/>
          <w:color w:val="000000" w:themeColor="text1"/>
          <w:spacing w:val="-5"/>
        </w:rPr>
        <w:t xml:space="preserve"> </w:t>
      </w:r>
      <w:r w:rsidRPr="00E12F5B">
        <w:rPr>
          <w:rFonts w:eastAsia="Cambria"/>
          <w:b/>
          <w:bCs/>
          <w:color w:val="000000" w:themeColor="text1"/>
        </w:rPr>
        <w:t>de</w:t>
      </w:r>
      <w:r w:rsidRPr="00E12F5B">
        <w:rPr>
          <w:rFonts w:eastAsia="Cambria"/>
          <w:b/>
          <w:bCs/>
          <w:color w:val="000000" w:themeColor="text1"/>
          <w:spacing w:val="-3"/>
        </w:rPr>
        <w:t xml:space="preserve"> </w:t>
      </w:r>
      <w:r w:rsidRPr="00E12F5B">
        <w:rPr>
          <w:rFonts w:eastAsia="Cambria"/>
          <w:b/>
          <w:bCs/>
          <w:color w:val="000000" w:themeColor="text1"/>
        </w:rPr>
        <w:t>conservare</w:t>
      </w:r>
      <w:r w:rsidRPr="00E12F5B">
        <w:rPr>
          <w:rFonts w:eastAsia="Cambria"/>
          <w:b/>
          <w:bCs/>
          <w:color w:val="000000" w:themeColor="text1"/>
          <w:spacing w:val="-4"/>
        </w:rPr>
        <w:t xml:space="preserve"> </w:t>
      </w:r>
      <w:r w:rsidRPr="00E12F5B">
        <w:rPr>
          <w:rFonts w:eastAsia="Cambria"/>
          <w:b/>
          <w:bCs/>
          <w:color w:val="000000" w:themeColor="text1"/>
        </w:rPr>
        <w:t>pe</w:t>
      </w:r>
      <w:r w:rsidRPr="00E12F5B">
        <w:rPr>
          <w:rFonts w:eastAsia="Cambria"/>
          <w:b/>
          <w:bCs/>
          <w:color w:val="000000" w:themeColor="text1"/>
          <w:spacing w:val="-3"/>
        </w:rPr>
        <w:t xml:space="preserve"> </w:t>
      </w:r>
      <w:r w:rsidRPr="00E12F5B">
        <w:rPr>
          <w:rFonts w:eastAsia="Cambria"/>
          <w:b/>
          <w:bCs/>
          <w:color w:val="000000" w:themeColor="text1"/>
        </w:rPr>
        <w:t>bioregiune</w:t>
      </w:r>
    </w:p>
    <w:p w14:paraId="1A2C71AA" w14:textId="77777777" w:rsidR="007D2E1E" w:rsidRPr="00E12F5B" w:rsidRDefault="007D2E1E" w:rsidP="00896C2C">
      <w:pPr>
        <w:widowControl w:val="0"/>
        <w:autoSpaceDE w:val="0"/>
        <w:autoSpaceDN w:val="0"/>
        <w:spacing w:before="157"/>
        <w:ind w:right="27"/>
        <w:jc w:val="both"/>
        <w:rPr>
          <w:color w:val="000000" w:themeColor="text1"/>
        </w:rPr>
      </w:pPr>
      <w:r w:rsidRPr="00E12F5B">
        <w:rPr>
          <w:color w:val="000000" w:themeColor="text1"/>
        </w:rPr>
        <w:t>Evaluarea stării de conservare se realizează într-un mod gregar pentru fiecare tip de habitat care a</w:t>
      </w:r>
      <w:r w:rsidRPr="00E12F5B">
        <w:rPr>
          <w:color w:val="000000" w:themeColor="text1"/>
          <w:spacing w:val="1"/>
        </w:rPr>
        <w:t xml:space="preserve"> </w:t>
      </w:r>
      <w:r w:rsidRPr="00E12F5B">
        <w:rPr>
          <w:color w:val="000000" w:themeColor="text1"/>
        </w:rPr>
        <w:t>fost inclus în checklist, raportarea realizându-se pentru habitatele prezente la nivel național în cele 5</w:t>
      </w:r>
      <w:r w:rsidRPr="00E12F5B">
        <w:rPr>
          <w:color w:val="000000" w:themeColor="text1"/>
          <w:spacing w:val="-57"/>
        </w:rPr>
        <w:t xml:space="preserve"> </w:t>
      </w:r>
      <w:r w:rsidRPr="00E12F5B">
        <w:rPr>
          <w:color w:val="000000" w:themeColor="text1"/>
        </w:rPr>
        <w:t>bioregiuni</w:t>
      </w:r>
      <w:r w:rsidRPr="00E12F5B">
        <w:rPr>
          <w:color w:val="000000" w:themeColor="text1"/>
          <w:spacing w:val="-1"/>
        </w:rPr>
        <w:t xml:space="preserve"> </w:t>
      </w:r>
      <w:r w:rsidRPr="00E12F5B">
        <w:rPr>
          <w:color w:val="000000" w:themeColor="text1"/>
        </w:rPr>
        <w:t>terestre</w:t>
      </w:r>
      <w:r w:rsidRPr="00E12F5B">
        <w:rPr>
          <w:color w:val="000000" w:themeColor="text1"/>
          <w:spacing w:val="-2"/>
        </w:rPr>
        <w:t xml:space="preserve"> </w:t>
      </w:r>
      <w:r w:rsidRPr="00E12F5B">
        <w:rPr>
          <w:color w:val="000000" w:themeColor="text1"/>
        </w:rPr>
        <w:t>și</w:t>
      </w:r>
      <w:r w:rsidRPr="00E12F5B">
        <w:rPr>
          <w:color w:val="000000" w:themeColor="text1"/>
          <w:spacing w:val="-1"/>
        </w:rPr>
        <w:t xml:space="preserve"> </w:t>
      </w:r>
      <w:r w:rsidRPr="00E12F5B">
        <w:rPr>
          <w:color w:val="000000" w:themeColor="text1"/>
        </w:rPr>
        <w:t>Regiunea</w:t>
      </w:r>
      <w:r w:rsidRPr="00E12F5B">
        <w:rPr>
          <w:color w:val="000000" w:themeColor="text1"/>
          <w:spacing w:val="-2"/>
        </w:rPr>
        <w:t xml:space="preserve"> </w:t>
      </w:r>
      <w:r w:rsidRPr="00E12F5B">
        <w:rPr>
          <w:color w:val="000000" w:themeColor="text1"/>
        </w:rPr>
        <w:t>marină Marea</w:t>
      </w:r>
      <w:r w:rsidRPr="00E12F5B">
        <w:rPr>
          <w:color w:val="000000" w:themeColor="text1"/>
          <w:spacing w:val="-1"/>
        </w:rPr>
        <w:t xml:space="preserve"> </w:t>
      </w:r>
      <w:r w:rsidRPr="00E12F5B">
        <w:rPr>
          <w:color w:val="000000" w:themeColor="text1"/>
        </w:rPr>
        <w:t>Neagră.</w:t>
      </w:r>
    </w:p>
    <w:p w14:paraId="36114F4A" w14:textId="77777777" w:rsidR="007D2E1E" w:rsidRPr="00E12F5B" w:rsidRDefault="007D2E1E" w:rsidP="00896C2C">
      <w:pPr>
        <w:widowControl w:val="0"/>
        <w:autoSpaceDE w:val="0"/>
        <w:autoSpaceDN w:val="0"/>
        <w:ind w:right="27"/>
        <w:jc w:val="both"/>
        <w:rPr>
          <w:color w:val="000000" w:themeColor="text1"/>
        </w:rPr>
      </w:pPr>
      <w:r w:rsidRPr="00E12F5B">
        <w:rPr>
          <w:color w:val="000000" w:themeColor="text1"/>
        </w:rPr>
        <w:t>Simplificat, starea de conservare favorabilă poate fi descrisă ca situaţia în care un</w:t>
      </w:r>
      <w:r w:rsidRPr="00E12F5B">
        <w:rPr>
          <w:color w:val="000000" w:themeColor="text1"/>
          <w:spacing w:val="60"/>
        </w:rPr>
        <w:t xml:space="preserve"> </w:t>
      </w:r>
      <w:r w:rsidRPr="00E12F5B">
        <w:rPr>
          <w:color w:val="000000" w:themeColor="text1"/>
        </w:rPr>
        <w:t>tip de habitat sau</w:t>
      </w:r>
      <w:r w:rsidRPr="00E12F5B">
        <w:rPr>
          <w:color w:val="000000" w:themeColor="text1"/>
          <w:spacing w:val="1"/>
        </w:rPr>
        <w:t xml:space="preserve"> </w:t>
      </w:r>
      <w:r w:rsidRPr="00E12F5B">
        <w:rPr>
          <w:color w:val="000000" w:themeColor="text1"/>
        </w:rPr>
        <w:t>o specie prosperă (atât în ceea ce priveşte suprafaţa şi mărimea populaţiei, cât şi în ceea ce priveşte</w:t>
      </w:r>
      <w:r w:rsidRPr="00E12F5B">
        <w:rPr>
          <w:color w:val="000000" w:themeColor="text1"/>
          <w:spacing w:val="1"/>
        </w:rPr>
        <w:t xml:space="preserve"> </w:t>
      </w:r>
      <w:r w:rsidRPr="00E12F5B">
        <w:rPr>
          <w:color w:val="000000" w:themeColor="text1"/>
        </w:rPr>
        <w:t>calitatea populaţiei, inclusiv în sensul capacităţii de reproducere, structurii pe vârste, mortalităţii) şi</w:t>
      </w:r>
      <w:r w:rsidRPr="00E12F5B">
        <w:rPr>
          <w:color w:val="000000" w:themeColor="text1"/>
          <w:spacing w:val="1"/>
        </w:rPr>
        <w:t xml:space="preserve"> </w:t>
      </w:r>
      <w:r w:rsidRPr="00E12F5B">
        <w:rPr>
          <w:color w:val="000000" w:themeColor="text1"/>
        </w:rPr>
        <w:t>există perspectivele să prospere de asemenea şi în viitor fără modificări semnificative în politicile şi</w:t>
      </w:r>
      <w:r w:rsidRPr="00E12F5B">
        <w:rPr>
          <w:color w:val="000000" w:themeColor="text1"/>
          <w:spacing w:val="1"/>
        </w:rPr>
        <w:t xml:space="preserve"> </w:t>
      </w:r>
      <w:r w:rsidRPr="00E12F5B">
        <w:rPr>
          <w:color w:val="000000" w:themeColor="text1"/>
        </w:rPr>
        <w:t>managementul existent. Faptul că un tip de habitat sau o specie nu</w:t>
      </w:r>
      <w:r w:rsidRPr="00E12F5B">
        <w:rPr>
          <w:color w:val="000000" w:themeColor="text1"/>
          <w:spacing w:val="1"/>
        </w:rPr>
        <w:t xml:space="preserve"> </w:t>
      </w:r>
      <w:r w:rsidRPr="00E12F5B">
        <w:rPr>
          <w:color w:val="000000" w:themeColor="text1"/>
        </w:rPr>
        <w:t>sunt ameninţate (ex: nu există</w:t>
      </w:r>
      <w:r w:rsidRPr="00E12F5B">
        <w:rPr>
          <w:color w:val="000000" w:themeColor="text1"/>
          <w:spacing w:val="1"/>
        </w:rPr>
        <w:t xml:space="preserve"> </w:t>
      </w:r>
      <w:r w:rsidRPr="00E12F5B">
        <w:rPr>
          <w:color w:val="000000" w:themeColor="text1"/>
        </w:rPr>
        <w:t>nici un risc direct să devină extincte) nu înseamnă că acestea sunt în stare de conservare favorabilă.</w:t>
      </w:r>
      <w:r w:rsidRPr="00E12F5B">
        <w:rPr>
          <w:color w:val="000000" w:themeColor="text1"/>
          <w:spacing w:val="1"/>
        </w:rPr>
        <w:t xml:space="preserve"> </w:t>
      </w:r>
      <w:r w:rsidRPr="00E12F5B">
        <w:rPr>
          <w:color w:val="000000" w:themeColor="text1"/>
        </w:rPr>
        <w:t>Obiectivul</w:t>
      </w:r>
      <w:r w:rsidRPr="00E12F5B">
        <w:rPr>
          <w:color w:val="000000" w:themeColor="text1"/>
          <w:spacing w:val="16"/>
        </w:rPr>
        <w:t xml:space="preserve"> </w:t>
      </w:r>
      <w:r w:rsidRPr="00E12F5B">
        <w:rPr>
          <w:color w:val="000000" w:themeColor="text1"/>
        </w:rPr>
        <w:t>directivei</w:t>
      </w:r>
      <w:r w:rsidRPr="00E12F5B">
        <w:rPr>
          <w:color w:val="000000" w:themeColor="text1"/>
          <w:spacing w:val="17"/>
        </w:rPr>
        <w:t xml:space="preserve"> </w:t>
      </w:r>
      <w:r w:rsidRPr="00E12F5B">
        <w:rPr>
          <w:color w:val="000000" w:themeColor="text1"/>
        </w:rPr>
        <w:t>este</w:t>
      </w:r>
      <w:r w:rsidRPr="00E12F5B">
        <w:rPr>
          <w:color w:val="000000" w:themeColor="text1"/>
          <w:spacing w:val="17"/>
        </w:rPr>
        <w:t xml:space="preserve"> </w:t>
      </w:r>
      <w:r w:rsidRPr="00E12F5B">
        <w:rPr>
          <w:color w:val="000000" w:themeColor="text1"/>
        </w:rPr>
        <w:t>definit</w:t>
      </w:r>
      <w:r w:rsidRPr="00E12F5B">
        <w:rPr>
          <w:color w:val="000000" w:themeColor="text1"/>
          <w:spacing w:val="17"/>
        </w:rPr>
        <w:t xml:space="preserve"> </w:t>
      </w:r>
      <w:r w:rsidRPr="00E12F5B">
        <w:rPr>
          <w:color w:val="000000" w:themeColor="text1"/>
        </w:rPr>
        <w:t>în</w:t>
      </w:r>
      <w:r w:rsidRPr="00E12F5B">
        <w:rPr>
          <w:color w:val="000000" w:themeColor="text1"/>
          <w:spacing w:val="16"/>
        </w:rPr>
        <w:t xml:space="preserve"> </w:t>
      </w:r>
      <w:r w:rsidRPr="00E12F5B">
        <w:rPr>
          <w:color w:val="000000" w:themeColor="text1"/>
        </w:rPr>
        <w:t>termeni</w:t>
      </w:r>
      <w:r w:rsidRPr="00E12F5B">
        <w:rPr>
          <w:color w:val="000000" w:themeColor="text1"/>
          <w:spacing w:val="17"/>
        </w:rPr>
        <w:t xml:space="preserve"> </w:t>
      </w:r>
      <w:r w:rsidRPr="00E12F5B">
        <w:rPr>
          <w:color w:val="000000" w:themeColor="text1"/>
        </w:rPr>
        <w:t>pozitivi,</w:t>
      </w:r>
      <w:r w:rsidRPr="00E12F5B">
        <w:rPr>
          <w:color w:val="000000" w:themeColor="text1"/>
          <w:spacing w:val="16"/>
        </w:rPr>
        <w:t xml:space="preserve"> </w:t>
      </w:r>
      <w:r w:rsidRPr="00E12F5B">
        <w:rPr>
          <w:color w:val="000000" w:themeColor="text1"/>
        </w:rPr>
        <w:t>orientat</w:t>
      </w:r>
      <w:r w:rsidRPr="00E12F5B">
        <w:rPr>
          <w:color w:val="000000" w:themeColor="text1"/>
          <w:spacing w:val="17"/>
        </w:rPr>
        <w:t xml:space="preserve"> </w:t>
      </w:r>
      <w:r w:rsidRPr="00E12F5B">
        <w:rPr>
          <w:color w:val="000000" w:themeColor="text1"/>
        </w:rPr>
        <w:t>spre</w:t>
      </w:r>
      <w:r w:rsidRPr="00E12F5B">
        <w:rPr>
          <w:color w:val="000000" w:themeColor="text1"/>
          <w:spacing w:val="14"/>
        </w:rPr>
        <w:t xml:space="preserve"> </w:t>
      </w:r>
      <w:r w:rsidRPr="00E12F5B">
        <w:rPr>
          <w:color w:val="000000" w:themeColor="text1"/>
        </w:rPr>
        <w:t>o</w:t>
      </w:r>
      <w:r w:rsidRPr="00E12F5B">
        <w:rPr>
          <w:color w:val="000000" w:themeColor="text1"/>
          <w:spacing w:val="16"/>
        </w:rPr>
        <w:t xml:space="preserve"> </w:t>
      </w:r>
      <w:r w:rsidRPr="00E12F5B">
        <w:rPr>
          <w:color w:val="000000" w:themeColor="text1"/>
        </w:rPr>
        <w:t>situaţie</w:t>
      </w:r>
      <w:r w:rsidRPr="00E12F5B">
        <w:rPr>
          <w:color w:val="000000" w:themeColor="text1"/>
          <w:spacing w:val="16"/>
        </w:rPr>
        <w:t xml:space="preserve"> </w:t>
      </w:r>
      <w:r w:rsidRPr="00E12F5B">
        <w:rPr>
          <w:color w:val="000000" w:themeColor="text1"/>
        </w:rPr>
        <w:t>favorabilă</w:t>
      </w:r>
      <w:r w:rsidRPr="00E12F5B">
        <w:rPr>
          <w:color w:val="000000" w:themeColor="text1"/>
          <w:spacing w:val="15"/>
        </w:rPr>
        <w:t xml:space="preserve"> </w:t>
      </w:r>
      <w:r w:rsidRPr="00E12F5B">
        <w:rPr>
          <w:color w:val="000000" w:themeColor="text1"/>
        </w:rPr>
        <w:t>care</w:t>
      </w:r>
      <w:r w:rsidRPr="00E12F5B">
        <w:rPr>
          <w:color w:val="000000" w:themeColor="text1"/>
          <w:spacing w:val="16"/>
        </w:rPr>
        <w:t xml:space="preserve"> </w:t>
      </w:r>
      <w:r w:rsidRPr="00E12F5B">
        <w:rPr>
          <w:color w:val="000000" w:themeColor="text1"/>
        </w:rPr>
        <w:t>trebuie</w:t>
      </w:r>
      <w:r w:rsidRPr="00E12F5B">
        <w:rPr>
          <w:color w:val="000000" w:themeColor="text1"/>
          <w:spacing w:val="-58"/>
        </w:rPr>
        <w:t xml:space="preserve"> </w:t>
      </w:r>
      <w:r w:rsidRPr="00E12F5B">
        <w:rPr>
          <w:color w:val="000000" w:themeColor="text1"/>
        </w:rPr>
        <w:t>să fie definită, atinsă și/sau menţinută. Prin urmare, obiectivul Directivei Habitate urmărește mai</w:t>
      </w:r>
      <w:r w:rsidRPr="00E12F5B">
        <w:rPr>
          <w:color w:val="000000" w:themeColor="text1"/>
          <w:spacing w:val="1"/>
        </w:rPr>
        <w:t xml:space="preserve"> </w:t>
      </w:r>
      <w:r w:rsidRPr="00E12F5B">
        <w:rPr>
          <w:color w:val="000000" w:themeColor="text1"/>
        </w:rPr>
        <w:t>mult</w:t>
      </w:r>
      <w:r w:rsidRPr="00E12F5B">
        <w:rPr>
          <w:color w:val="000000" w:themeColor="text1"/>
          <w:spacing w:val="-1"/>
        </w:rPr>
        <w:t xml:space="preserve"> </w:t>
      </w:r>
      <w:r w:rsidRPr="00E12F5B">
        <w:rPr>
          <w:color w:val="000000" w:themeColor="text1"/>
        </w:rPr>
        <w:t>decât evitarea</w:t>
      </w:r>
      <w:r w:rsidRPr="00E12F5B">
        <w:rPr>
          <w:color w:val="000000" w:themeColor="text1"/>
          <w:spacing w:val="-1"/>
        </w:rPr>
        <w:t xml:space="preserve"> </w:t>
      </w:r>
      <w:r w:rsidRPr="00E12F5B">
        <w:rPr>
          <w:color w:val="000000" w:themeColor="text1"/>
        </w:rPr>
        <w:t>dispariţiei tipurilor</w:t>
      </w:r>
      <w:r w:rsidRPr="00E12F5B">
        <w:rPr>
          <w:color w:val="000000" w:themeColor="text1"/>
          <w:spacing w:val="-1"/>
        </w:rPr>
        <w:t xml:space="preserve"> </w:t>
      </w:r>
      <w:r w:rsidRPr="00E12F5B">
        <w:rPr>
          <w:color w:val="000000" w:themeColor="text1"/>
        </w:rPr>
        <w:t>de</w:t>
      </w:r>
      <w:r w:rsidRPr="00E12F5B">
        <w:rPr>
          <w:color w:val="000000" w:themeColor="text1"/>
          <w:spacing w:val="-2"/>
        </w:rPr>
        <w:t xml:space="preserve"> </w:t>
      </w:r>
      <w:r w:rsidRPr="00E12F5B">
        <w:rPr>
          <w:color w:val="000000" w:themeColor="text1"/>
        </w:rPr>
        <w:t>habitate</w:t>
      </w:r>
      <w:r w:rsidRPr="00E12F5B">
        <w:rPr>
          <w:color w:val="000000" w:themeColor="text1"/>
          <w:spacing w:val="1"/>
        </w:rPr>
        <w:t xml:space="preserve"> </w:t>
      </w:r>
      <w:r w:rsidRPr="00E12F5B">
        <w:rPr>
          <w:color w:val="000000" w:themeColor="text1"/>
        </w:rPr>
        <w:t>sau</w:t>
      </w:r>
      <w:r w:rsidRPr="00E12F5B">
        <w:rPr>
          <w:color w:val="000000" w:themeColor="text1"/>
          <w:spacing w:val="-1"/>
        </w:rPr>
        <w:t xml:space="preserve"> </w:t>
      </w:r>
      <w:r w:rsidRPr="00E12F5B">
        <w:rPr>
          <w:color w:val="000000" w:themeColor="text1"/>
        </w:rPr>
        <w:t>speciilor.</w:t>
      </w:r>
    </w:p>
    <w:p w14:paraId="511B9D21" w14:textId="77777777" w:rsidR="007D2E1E" w:rsidRPr="00E12F5B" w:rsidRDefault="007D2E1E" w:rsidP="00896C2C">
      <w:pPr>
        <w:widowControl w:val="0"/>
        <w:autoSpaceDE w:val="0"/>
        <w:autoSpaceDN w:val="0"/>
        <w:spacing w:before="1"/>
        <w:ind w:right="27"/>
        <w:jc w:val="both"/>
        <w:rPr>
          <w:color w:val="000000" w:themeColor="text1"/>
        </w:rPr>
      </w:pPr>
      <w:r w:rsidRPr="00E12F5B">
        <w:rPr>
          <w:color w:val="000000" w:themeColor="text1"/>
        </w:rPr>
        <w:t>Starea</w:t>
      </w:r>
      <w:r w:rsidRPr="00E12F5B">
        <w:rPr>
          <w:color w:val="000000" w:themeColor="text1"/>
          <w:spacing w:val="-3"/>
        </w:rPr>
        <w:t xml:space="preserve"> </w:t>
      </w:r>
      <w:r w:rsidRPr="00E12F5B">
        <w:rPr>
          <w:color w:val="000000" w:themeColor="text1"/>
        </w:rPr>
        <w:t>de conservare</w:t>
      </w:r>
      <w:r w:rsidRPr="00E12F5B">
        <w:rPr>
          <w:color w:val="000000" w:themeColor="text1"/>
          <w:spacing w:val="-3"/>
        </w:rPr>
        <w:t xml:space="preserve"> </w:t>
      </w:r>
      <w:r w:rsidRPr="00E12F5B">
        <w:rPr>
          <w:color w:val="000000" w:themeColor="text1"/>
        </w:rPr>
        <w:t>nefavorabilă</w:t>
      </w:r>
      <w:r w:rsidRPr="00E12F5B">
        <w:rPr>
          <w:color w:val="000000" w:themeColor="text1"/>
          <w:spacing w:val="-2"/>
        </w:rPr>
        <w:t xml:space="preserve"> </w:t>
      </w:r>
      <w:r w:rsidRPr="00E12F5B">
        <w:rPr>
          <w:color w:val="000000" w:themeColor="text1"/>
        </w:rPr>
        <w:t>este</w:t>
      </w:r>
      <w:r w:rsidRPr="00E12F5B">
        <w:rPr>
          <w:color w:val="000000" w:themeColor="text1"/>
          <w:spacing w:val="-2"/>
        </w:rPr>
        <w:t xml:space="preserve"> </w:t>
      </w:r>
      <w:r w:rsidRPr="00E12F5B">
        <w:rPr>
          <w:color w:val="000000" w:themeColor="text1"/>
        </w:rPr>
        <w:t>împărţită</w:t>
      </w:r>
      <w:r w:rsidRPr="00E12F5B">
        <w:rPr>
          <w:color w:val="000000" w:themeColor="text1"/>
          <w:spacing w:val="-2"/>
        </w:rPr>
        <w:t xml:space="preserve"> </w:t>
      </w:r>
      <w:r w:rsidRPr="00E12F5B">
        <w:rPr>
          <w:color w:val="000000" w:themeColor="text1"/>
        </w:rPr>
        <w:t>în</w:t>
      </w:r>
      <w:r w:rsidRPr="00E12F5B">
        <w:rPr>
          <w:color w:val="000000" w:themeColor="text1"/>
          <w:spacing w:val="-1"/>
        </w:rPr>
        <w:t xml:space="preserve"> </w:t>
      </w:r>
      <w:r w:rsidRPr="00E12F5B">
        <w:rPr>
          <w:color w:val="000000" w:themeColor="text1"/>
        </w:rPr>
        <w:t>două</w:t>
      </w:r>
      <w:r w:rsidRPr="00E12F5B">
        <w:rPr>
          <w:color w:val="000000" w:themeColor="text1"/>
          <w:spacing w:val="-1"/>
        </w:rPr>
        <w:t xml:space="preserve"> </w:t>
      </w:r>
      <w:r w:rsidRPr="00E12F5B">
        <w:rPr>
          <w:color w:val="000000" w:themeColor="text1"/>
        </w:rPr>
        <w:t>clase:</w:t>
      </w:r>
    </w:p>
    <w:p w14:paraId="2B67CD43" w14:textId="77777777" w:rsidR="007D2E1E" w:rsidRPr="00E12F5B" w:rsidRDefault="007D2E1E" w:rsidP="00896C2C">
      <w:pPr>
        <w:widowControl w:val="0"/>
        <w:autoSpaceDE w:val="0"/>
        <w:autoSpaceDN w:val="0"/>
        <w:ind w:right="27"/>
        <w:jc w:val="both"/>
        <w:rPr>
          <w:color w:val="000000" w:themeColor="text1"/>
        </w:rPr>
      </w:pPr>
      <w:r w:rsidRPr="00E12F5B">
        <w:rPr>
          <w:color w:val="000000" w:themeColor="text1"/>
        </w:rPr>
        <w:t>„nefavorabil-inadecvat”</w:t>
      </w:r>
      <w:r w:rsidRPr="00E12F5B">
        <w:rPr>
          <w:color w:val="000000" w:themeColor="text1"/>
          <w:spacing w:val="1"/>
        </w:rPr>
        <w:t xml:space="preserve"> </w:t>
      </w:r>
      <w:r w:rsidRPr="00E12F5B">
        <w:rPr>
          <w:color w:val="000000" w:themeColor="text1"/>
        </w:rPr>
        <w:t>pentru</w:t>
      </w:r>
      <w:r w:rsidRPr="00E12F5B">
        <w:rPr>
          <w:color w:val="000000" w:themeColor="text1"/>
          <w:spacing w:val="1"/>
        </w:rPr>
        <w:t xml:space="preserve"> </w:t>
      </w:r>
      <w:r w:rsidRPr="00E12F5B">
        <w:rPr>
          <w:color w:val="000000" w:themeColor="text1"/>
        </w:rPr>
        <w:t>situaţiile</w:t>
      </w:r>
      <w:r w:rsidRPr="00E12F5B">
        <w:rPr>
          <w:color w:val="000000" w:themeColor="text1"/>
          <w:spacing w:val="1"/>
        </w:rPr>
        <w:t xml:space="preserve"> </w:t>
      </w:r>
      <w:r w:rsidRPr="00E12F5B">
        <w:rPr>
          <w:color w:val="000000" w:themeColor="text1"/>
        </w:rPr>
        <w:t>în</w:t>
      </w:r>
      <w:r w:rsidRPr="00E12F5B">
        <w:rPr>
          <w:color w:val="000000" w:themeColor="text1"/>
          <w:spacing w:val="1"/>
        </w:rPr>
        <w:t xml:space="preserve"> </w:t>
      </w:r>
      <w:r w:rsidRPr="00E12F5B">
        <w:rPr>
          <w:color w:val="000000" w:themeColor="text1"/>
        </w:rPr>
        <w:t>care</w:t>
      </w:r>
      <w:r w:rsidRPr="00E12F5B">
        <w:rPr>
          <w:color w:val="000000" w:themeColor="text1"/>
          <w:spacing w:val="1"/>
        </w:rPr>
        <w:t xml:space="preserve"> </w:t>
      </w:r>
      <w:r w:rsidRPr="00E12F5B">
        <w:rPr>
          <w:color w:val="000000" w:themeColor="text1"/>
        </w:rPr>
        <w:t>este</w:t>
      </w:r>
      <w:r w:rsidRPr="00E12F5B">
        <w:rPr>
          <w:color w:val="000000" w:themeColor="text1"/>
          <w:spacing w:val="1"/>
        </w:rPr>
        <w:t xml:space="preserve"> </w:t>
      </w:r>
      <w:r w:rsidRPr="00E12F5B">
        <w:rPr>
          <w:color w:val="000000" w:themeColor="text1"/>
        </w:rPr>
        <w:t>necesară</w:t>
      </w:r>
      <w:r w:rsidRPr="00E12F5B">
        <w:rPr>
          <w:color w:val="000000" w:themeColor="text1"/>
          <w:spacing w:val="1"/>
        </w:rPr>
        <w:t xml:space="preserve"> </w:t>
      </w:r>
      <w:r w:rsidRPr="00E12F5B">
        <w:rPr>
          <w:color w:val="000000" w:themeColor="text1"/>
        </w:rPr>
        <w:t>o</w:t>
      </w:r>
      <w:r w:rsidRPr="00E12F5B">
        <w:rPr>
          <w:color w:val="000000" w:themeColor="text1"/>
          <w:spacing w:val="1"/>
        </w:rPr>
        <w:t xml:space="preserve"> </w:t>
      </w:r>
      <w:r w:rsidRPr="00E12F5B">
        <w:rPr>
          <w:color w:val="000000" w:themeColor="text1"/>
        </w:rPr>
        <w:t>schimbare</w:t>
      </w:r>
      <w:r w:rsidRPr="00E12F5B">
        <w:rPr>
          <w:color w:val="000000" w:themeColor="text1"/>
          <w:spacing w:val="1"/>
        </w:rPr>
        <w:t xml:space="preserve"> </w:t>
      </w:r>
      <w:r w:rsidRPr="00E12F5B">
        <w:rPr>
          <w:color w:val="000000" w:themeColor="text1"/>
        </w:rPr>
        <w:t>a</w:t>
      </w:r>
      <w:r w:rsidRPr="00E12F5B">
        <w:rPr>
          <w:color w:val="000000" w:themeColor="text1"/>
          <w:spacing w:val="1"/>
        </w:rPr>
        <w:t xml:space="preserve"> </w:t>
      </w:r>
      <w:r w:rsidRPr="00E12F5B">
        <w:rPr>
          <w:color w:val="000000" w:themeColor="text1"/>
        </w:rPr>
        <w:t>politicilor</w:t>
      </w:r>
      <w:r w:rsidRPr="00E12F5B">
        <w:rPr>
          <w:color w:val="000000" w:themeColor="text1"/>
          <w:spacing w:val="1"/>
        </w:rPr>
        <w:t xml:space="preserve"> </w:t>
      </w:r>
      <w:r w:rsidRPr="00E12F5B">
        <w:rPr>
          <w:color w:val="000000" w:themeColor="text1"/>
        </w:rPr>
        <w:t>sau</w:t>
      </w:r>
      <w:r w:rsidRPr="00E12F5B">
        <w:rPr>
          <w:color w:val="000000" w:themeColor="text1"/>
          <w:spacing w:val="1"/>
        </w:rPr>
        <w:t xml:space="preserve"> </w:t>
      </w:r>
      <w:r w:rsidRPr="00E12F5B">
        <w:rPr>
          <w:color w:val="000000" w:themeColor="text1"/>
        </w:rPr>
        <w:t>managementului pentru a aduce tipul de habitat sau specia în stare de conservare favorabilă, dar nu</w:t>
      </w:r>
      <w:r w:rsidRPr="00E12F5B">
        <w:rPr>
          <w:color w:val="000000" w:themeColor="text1"/>
          <w:spacing w:val="1"/>
        </w:rPr>
        <w:t xml:space="preserve"> </w:t>
      </w:r>
      <w:r w:rsidRPr="00E12F5B">
        <w:rPr>
          <w:color w:val="000000" w:themeColor="text1"/>
        </w:rPr>
        <w:t>există</w:t>
      </w:r>
      <w:r w:rsidRPr="00E12F5B">
        <w:rPr>
          <w:color w:val="000000" w:themeColor="text1"/>
          <w:spacing w:val="-2"/>
        </w:rPr>
        <w:t xml:space="preserve"> </w:t>
      </w:r>
      <w:r w:rsidRPr="00E12F5B">
        <w:rPr>
          <w:color w:val="000000" w:themeColor="text1"/>
        </w:rPr>
        <w:t>nici un pericol de dispariţie în viitorul previzibil (ex: 50-100</w:t>
      </w:r>
      <w:r w:rsidRPr="00E12F5B">
        <w:rPr>
          <w:color w:val="000000" w:themeColor="text1"/>
          <w:spacing w:val="-1"/>
        </w:rPr>
        <w:t xml:space="preserve"> </w:t>
      </w:r>
      <w:r w:rsidRPr="00E12F5B">
        <w:rPr>
          <w:color w:val="000000" w:themeColor="text1"/>
        </w:rPr>
        <w:t>de</w:t>
      </w:r>
      <w:r w:rsidRPr="00E12F5B">
        <w:rPr>
          <w:color w:val="000000" w:themeColor="text1"/>
          <w:spacing w:val="-1"/>
        </w:rPr>
        <w:t xml:space="preserve"> </w:t>
      </w:r>
      <w:r w:rsidRPr="00E12F5B">
        <w:rPr>
          <w:color w:val="000000" w:themeColor="text1"/>
        </w:rPr>
        <w:t>ani);</w:t>
      </w:r>
    </w:p>
    <w:p w14:paraId="483A47C0" w14:textId="77777777" w:rsidR="007D2E1E" w:rsidRPr="00E12F5B" w:rsidRDefault="007D2E1E" w:rsidP="00896C2C">
      <w:pPr>
        <w:widowControl w:val="0"/>
        <w:autoSpaceDE w:val="0"/>
        <w:autoSpaceDN w:val="0"/>
        <w:ind w:right="27"/>
        <w:jc w:val="both"/>
        <w:rPr>
          <w:color w:val="000000" w:themeColor="text1"/>
        </w:rPr>
      </w:pPr>
      <w:r w:rsidRPr="00E12F5B">
        <w:rPr>
          <w:color w:val="000000" w:themeColor="text1"/>
        </w:rPr>
        <w:t>„nefavorabil-rău” pentru situaţiile în care tipul de habitat sau specia este în pericol de a dispare în</w:t>
      </w:r>
      <w:r w:rsidRPr="00E12F5B">
        <w:rPr>
          <w:color w:val="000000" w:themeColor="text1"/>
          <w:spacing w:val="1"/>
        </w:rPr>
        <w:t xml:space="preserve"> </w:t>
      </w:r>
      <w:r w:rsidRPr="00E12F5B">
        <w:rPr>
          <w:color w:val="000000" w:themeColor="text1"/>
        </w:rPr>
        <w:t>viitorul</w:t>
      </w:r>
      <w:r w:rsidRPr="00E12F5B">
        <w:rPr>
          <w:color w:val="000000" w:themeColor="text1"/>
          <w:spacing w:val="-1"/>
        </w:rPr>
        <w:t xml:space="preserve"> </w:t>
      </w:r>
      <w:r w:rsidRPr="00E12F5B">
        <w:rPr>
          <w:color w:val="000000" w:themeColor="text1"/>
        </w:rPr>
        <w:t>previzibil (ex: 50-100 de</w:t>
      </w:r>
      <w:r w:rsidRPr="00E12F5B">
        <w:rPr>
          <w:color w:val="000000" w:themeColor="text1"/>
          <w:spacing w:val="-1"/>
        </w:rPr>
        <w:t xml:space="preserve"> </w:t>
      </w:r>
      <w:r w:rsidRPr="00E12F5B">
        <w:rPr>
          <w:color w:val="000000" w:themeColor="text1"/>
        </w:rPr>
        <w:t>ani).</w:t>
      </w:r>
    </w:p>
    <w:p w14:paraId="7EDF645E" w14:textId="77777777" w:rsidR="007D2E1E" w:rsidRPr="00E12F5B" w:rsidRDefault="007D2E1E" w:rsidP="00896C2C">
      <w:pPr>
        <w:widowControl w:val="0"/>
        <w:autoSpaceDE w:val="0"/>
        <w:autoSpaceDN w:val="0"/>
        <w:ind w:right="27"/>
        <w:jc w:val="both"/>
        <w:rPr>
          <w:color w:val="000000" w:themeColor="text1"/>
        </w:rPr>
      </w:pPr>
      <w:r w:rsidRPr="00E12F5B">
        <w:rPr>
          <w:color w:val="000000" w:themeColor="text1"/>
        </w:rPr>
        <w:t>Pentru</w:t>
      </w:r>
      <w:r w:rsidRPr="00E12F5B">
        <w:rPr>
          <w:color w:val="000000" w:themeColor="text1"/>
          <w:spacing w:val="1"/>
        </w:rPr>
        <w:t xml:space="preserve"> </w:t>
      </w:r>
      <w:r w:rsidRPr="00E12F5B">
        <w:rPr>
          <w:color w:val="000000" w:themeColor="text1"/>
        </w:rPr>
        <w:t>toate</w:t>
      </w:r>
      <w:r w:rsidRPr="00E12F5B">
        <w:rPr>
          <w:color w:val="000000" w:themeColor="text1"/>
          <w:spacing w:val="1"/>
        </w:rPr>
        <w:t xml:space="preserve"> </w:t>
      </w:r>
      <w:r w:rsidRPr="00E12F5B">
        <w:rPr>
          <w:color w:val="000000" w:themeColor="text1"/>
        </w:rPr>
        <w:t>situaţiile</w:t>
      </w:r>
      <w:r w:rsidRPr="00E12F5B">
        <w:rPr>
          <w:color w:val="000000" w:themeColor="text1"/>
          <w:spacing w:val="1"/>
        </w:rPr>
        <w:t xml:space="preserve"> </w:t>
      </w:r>
      <w:r w:rsidRPr="00E12F5B">
        <w:rPr>
          <w:color w:val="000000" w:themeColor="text1"/>
        </w:rPr>
        <w:t>în</w:t>
      </w:r>
      <w:r w:rsidRPr="00E12F5B">
        <w:rPr>
          <w:color w:val="000000" w:themeColor="text1"/>
          <w:spacing w:val="1"/>
        </w:rPr>
        <w:t xml:space="preserve"> </w:t>
      </w:r>
      <w:r w:rsidRPr="00E12F5B">
        <w:rPr>
          <w:color w:val="000000" w:themeColor="text1"/>
        </w:rPr>
        <w:t>care</w:t>
      </w:r>
      <w:r w:rsidRPr="00E12F5B">
        <w:rPr>
          <w:color w:val="000000" w:themeColor="text1"/>
          <w:spacing w:val="1"/>
        </w:rPr>
        <w:t xml:space="preserve"> </w:t>
      </w:r>
      <w:r w:rsidRPr="00E12F5B">
        <w:rPr>
          <w:color w:val="000000" w:themeColor="text1"/>
        </w:rPr>
        <w:t>nu</w:t>
      </w:r>
      <w:r w:rsidRPr="00E12F5B">
        <w:rPr>
          <w:color w:val="000000" w:themeColor="text1"/>
          <w:spacing w:val="1"/>
        </w:rPr>
        <w:t xml:space="preserve"> </w:t>
      </w:r>
      <w:r w:rsidRPr="00E12F5B">
        <w:rPr>
          <w:color w:val="000000" w:themeColor="text1"/>
        </w:rPr>
        <w:t>există</w:t>
      </w:r>
      <w:r w:rsidRPr="00E12F5B">
        <w:rPr>
          <w:color w:val="000000" w:themeColor="text1"/>
          <w:spacing w:val="1"/>
        </w:rPr>
        <w:t xml:space="preserve"> </w:t>
      </w:r>
      <w:r w:rsidRPr="00E12F5B">
        <w:rPr>
          <w:color w:val="000000" w:themeColor="text1"/>
        </w:rPr>
        <w:t>suficiente</w:t>
      </w:r>
      <w:r w:rsidRPr="00E12F5B">
        <w:rPr>
          <w:color w:val="000000" w:themeColor="text1"/>
          <w:spacing w:val="1"/>
        </w:rPr>
        <w:t xml:space="preserve"> </w:t>
      </w:r>
      <w:r w:rsidRPr="00E12F5B">
        <w:rPr>
          <w:color w:val="000000" w:themeColor="text1"/>
        </w:rPr>
        <w:t>informaţii</w:t>
      </w:r>
      <w:r w:rsidRPr="00E12F5B">
        <w:rPr>
          <w:color w:val="000000" w:themeColor="text1"/>
          <w:spacing w:val="1"/>
        </w:rPr>
        <w:t xml:space="preserve"> </w:t>
      </w:r>
      <w:r w:rsidRPr="00E12F5B">
        <w:rPr>
          <w:color w:val="000000" w:themeColor="text1"/>
        </w:rPr>
        <w:t>pentru</w:t>
      </w:r>
      <w:r w:rsidRPr="00E12F5B">
        <w:rPr>
          <w:color w:val="000000" w:themeColor="text1"/>
          <w:spacing w:val="1"/>
        </w:rPr>
        <w:t xml:space="preserve"> </w:t>
      </w:r>
      <w:r w:rsidRPr="00E12F5B">
        <w:rPr>
          <w:color w:val="000000" w:themeColor="text1"/>
        </w:rPr>
        <w:t>a</w:t>
      </w:r>
      <w:r w:rsidRPr="00E12F5B">
        <w:rPr>
          <w:color w:val="000000" w:themeColor="text1"/>
          <w:spacing w:val="1"/>
        </w:rPr>
        <w:t xml:space="preserve"> </w:t>
      </w:r>
      <w:r w:rsidRPr="00E12F5B">
        <w:rPr>
          <w:color w:val="000000" w:themeColor="text1"/>
        </w:rPr>
        <w:t>realiza</w:t>
      </w:r>
      <w:r w:rsidRPr="00E12F5B">
        <w:rPr>
          <w:color w:val="000000" w:themeColor="text1"/>
          <w:spacing w:val="1"/>
        </w:rPr>
        <w:t xml:space="preserve"> </w:t>
      </w:r>
      <w:r w:rsidRPr="00E12F5B">
        <w:rPr>
          <w:color w:val="000000" w:themeColor="text1"/>
        </w:rPr>
        <w:t>o</w:t>
      </w:r>
      <w:r w:rsidRPr="00E12F5B">
        <w:rPr>
          <w:color w:val="000000" w:themeColor="text1"/>
          <w:spacing w:val="1"/>
        </w:rPr>
        <w:t xml:space="preserve"> </w:t>
      </w:r>
      <w:r w:rsidRPr="00E12F5B">
        <w:rPr>
          <w:color w:val="000000" w:themeColor="text1"/>
        </w:rPr>
        <w:t>evaluare</w:t>
      </w:r>
      <w:r w:rsidRPr="00E12F5B">
        <w:rPr>
          <w:color w:val="000000" w:themeColor="text1"/>
          <w:spacing w:val="1"/>
        </w:rPr>
        <w:t xml:space="preserve"> </w:t>
      </w:r>
      <w:r w:rsidRPr="00E12F5B">
        <w:rPr>
          <w:color w:val="000000" w:themeColor="text1"/>
        </w:rPr>
        <w:t>corespunzătoare,</w:t>
      </w:r>
      <w:r w:rsidRPr="00E12F5B">
        <w:rPr>
          <w:color w:val="000000" w:themeColor="text1"/>
          <w:spacing w:val="-1"/>
        </w:rPr>
        <w:t xml:space="preserve"> </w:t>
      </w:r>
      <w:r w:rsidRPr="00E12F5B">
        <w:rPr>
          <w:color w:val="000000" w:themeColor="text1"/>
        </w:rPr>
        <w:t>starea de</w:t>
      </w:r>
      <w:r w:rsidRPr="00E12F5B">
        <w:rPr>
          <w:color w:val="000000" w:themeColor="text1"/>
          <w:spacing w:val="-2"/>
        </w:rPr>
        <w:t xml:space="preserve"> </w:t>
      </w:r>
      <w:r w:rsidRPr="00E12F5B">
        <w:rPr>
          <w:color w:val="000000" w:themeColor="text1"/>
        </w:rPr>
        <w:t>conservare este</w:t>
      </w:r>
      <w:r w:rsidRPr="00E12F5B">
        <w:rPr>
          <w:color w:val="000000" w:themeColor="text1"/>
          <w:spacing w:val="-1"/>
        </w:rPr>
        <w:t xml:space="preserve"> </w:t>
      </w:r>
      <w:r w:rsidRPr="00E12F5B">
        <w:rPr>
          <w:color w:val="000000" w:themeColor="text1"/>
        </w:rPr>
        <w:t>considerată</w:t>
      </w:r>
      <w:r w:rsidRPr="00E12F5B">
        <w:rPr>
          <w:color w:val="000000" w:themeColor="text1"/>
          <w:spacing w:val="-1"/>
        </w:rPr>
        <w:t xml:space="preserve"> </w:t>
      </w:r>
      <w:r w:rsidRPr="00E12F5B">
        <w:rPr>
          <w:color w:val="000000" w:themeColor="text1"/>
        </w:rPr>
        <w:t>„necunoscută”.</w:t>
      </w:r>
    </w:p>
    <w:p w14:paraId="5B1A5F43" w14:textId="77777777" w:rsidR="007D2E1E" w:rsidRPr="00E12F5B" w:rsidRDefault="007D2E1E" w:rsidP="00896C2C">
      <w:pPr>
        <w:widowControl w:val="0"/>
        <w:autoSpaceDE w:val="0"/>
        <w:autoSpaceDN w:val="0"/>
        <w:ind w:right="27"/>
        <w:jc w:val="both"/>
        <w:rPr>
          <w:color w:val="000000" w:themeColor="text1"/>
        </w:rPr>
      </w:pPr>
      <w:r w:rsidRPr="00E12F5B">
        <w:rPr>
          <w:color w:val="000000" w:themeColor="text1"/>
        </w:rPr>
        <w:t>Pentru o reprezentare grafică a celor patru stări de conservare, a fost adoptat un sistem de codificare</w:t>
      </w:r>
      <w:r w:rsidRPr="00E12F5B">
        <w:rPr>
          <w:color w:val="000000" w:themeColor="text1"/>
          <w:spacing w:val="-57"/>
        </w:rPr>
        <w:t xml:space="preserve"> </w:t>
      </w:r>
      <w:r w:rsidRPr="00E12F5B">
        <w:rPr>
          <w:color w:val="000000" w:themeColor="text1"/>
        </w:rPr>
        <w:t>pe culori (prin intermediul îndrumarului Comisiei Europene: Evaluarea și raportarea în conformitate</w:t>
      </w:r>
      <w:r w:rsidRPr="00E12F5B">
        <w:rPr>
          <w:color w:val="000000" w:themeColor="text1"/>
          <w:spacing w:val="-57"/>
        </w:rPr>
        <w:t xml:space="preserve"> </w:t>
      </w:r>
      <w:r w:rsidRPr="00E12F5B">
        <w:rPr>
          <w:color w:val="000000" w:themeColor="text1"/>
        </w:rPr>
        <w:t>cu</w:t>
      </w:r>
      <w:r w:rsidRPr="00E12F5B">
        <w:rPr>
          <w:color w:val="000000" w:themeColor="text1"/>
          <w:spacing w:val="-1"/>
        </w:rPr>
        <w:t xml:space="preserve"> </w:t>
      </w:r>
      <w:r w:rsidRPr="00E12F5B">
        <w:rPr>
          <w:color w:val="000000" w:themeColor="text1"/>
        </w:rPr>
        <w:t>Articolul 17</w:t>
      </w:r>
      <w:r w:rsidRPr="00E12F5B">
        <w:rPr>
          <w:color w:val="000000" w:themeColor="text1"/>
          <w:spacing w:val="-1"/>
        </w:rPr>
        <w:t xml:space="preserve"> </w:t>
      </w:r>
      <w:r w:rsidRPr="00E12F5B">
        <w:rPr>
          <w:color w:val="000000" w:themeColor="text1"/>
        </w:rPr>
        <w:t>al Directivei Habitate:</w:t>
      </w:r>
      <w:r w:rsidRPr="00E12F5B">
        <w:rPr>
          <w:color w:val="000000" w:themeColor="text1"/>
          <w:spacing w:val="-1"/>
        </w:rPr>
        <w:t xml:space="preserve"> </w:t>
      </w:r>
      <w:r w:rsidRPr="00E12F5B">
        <w:rPr>
          <w:color w:val="000000" w:themeColor="text1"/>
        </w:rPr>
        <w:t>Formate de raportare</w:t>
      </w:r>
      <w:r w:rsidRPr="00E12F5B">
        <w:rPr>
          <w:color w:val="000000" w:themeColor="text1"/>
          <w:spacing w:val="-2"/>
        </w:rPr>
        <w:t xml:space="preserve"> </w:t>
      </w:r>
      <w:r w:rsidRPr="00E12F5B">
        <w:rPr>
          <w:color w:val="000000" w:themeColor="text1"/>
        </w:rPr>
        <w:t>pentru Perioada</w:t>
      </w:r>
      <w:r w:rsidRPr="00E12F5B">
        <w:rPr>
          <w:color w:val="000000" w:themeColor="text1"/>
          <w:spacing w:val="1"/>
        </w:rPr>
        <w:t xml:space="preserve"> </w:t>
      </w:r>
      <w:r w:rsidRPr="00E12F5B">
        <w:rPr>
          <w:color w:val="000000" w:themeColor="text1"/>
        </w:rPr>
        <w:t>2012)</w:t>
      </w:r>
      <w:r w:rsidRPr="00E12F5B">
        <w:rPr>
          <w:color w:val="000000" w:themeColor="text1"/>
          <w:spacing w:val="58"/>
        </w:rPr>
        <w:t xml:space="preserve"> </w:t>
      </w:r>
      <w:r w:rsidRPr="00E12F5B">
        <w:rPr>
          <w:color w:val="000000" w:themeColor="text1"/>
        </w:rPr>
        <w:t>:</w:t>
      </w:r>
    </w:p>
    <w:p w14:paraId="1DC56396" w14:textId="77777777" w:rsidR="007D2E1E" w:rsidRPr="00E12F5B" w:rsidRDefault="007D2E1E" w:rsidP="009E63E5">
      <w:pPr>
        <w:widowControl w:val="0"/>
        <w:numPr>
          <w:ilvl w:val="0"/>
          <w:numId w:val="38"/>
        </w:numPr>
        <w:tabs>
          <w:tab w:val="left" w:pos="1814"/>
        </w:tabs>
        <w:autoSpaceDE w:val="0"/>
        <w:autoSpaceDN w:val="0"/>
        <w:spacing w:before="86"/>
        <w:ind w:right="27" w:hanging="361"/>
        <w:jc w:val="both"/>
        <w:rPr>
          <w:color w:val="000000" w:themeColor="text1"/>
        </w:rPr>
      </w:pPr>
      <w:r w:rsidRPr="00E12F5B">
        <w:rPr>
          <w:color w:val="000000" w:themeColor="text1"/>
        </w:rPr>
        <w:t>roşu</w:t>
      </w:r>
      <w:r w:rsidRPr="00E12F5B">
        <w:rPr>
          <w:color w:val="000000" w:themeColor="text1"/>
          <w:spacing w:val="-2"/>
        </w:rPr>
        <w:t xml:space="preserve"> </w:t>
      </w:r>
      <w:r w:rsidRPr="00E12F5B">
        <w:rPr>
          <w:color w:val="000000" w:themeColor="text1"/>
        </w:rPr>
        <w:t>pentru</w:t>
      </w:r>
      <w:r w:rsidRPr="00E12F5B">
        <w:rPr>
          <w:color w:val="000000" w:themeColor="text1"/>
          <w:spacing w:val="-1"/>
        </w:rPr>
        <w:t xml:space="preserve"> </w:t>
      </w:r>
      <w:r w:rsidRPr="00E12F5B">
        <w:rPr>
          <w:color w:val="000000" w:themeColor="text1"/>
        </w:rPr>
        <w:t>„nefavorabil-rău”;</w:t>
      </w:r>
    </w:p>
    <w:p w14:paraId="388A2797" w14:textId="77777777" w:rsidR="007D2E1E" w:rsidRPr="00E12F5B" w:rsidRDefault="007D2E1E" w:rsidP="009E63E5">
      <w:pPr>
        <w:widowControl w:val="0"/>
        <w:numPr>
          <w:ilvl w:val="0"/>
          <w:numId w:val="38"/>
        </w:numPr>
        <w:tabs>
          <w:tab w:val="left" w:pos="1814"/>
        </w:tabs>
        <w:autoSpaceDE w:val="0"/>
        <w:autoSpaceDN w:val="0"/>
        <w:spacing w:before="86"/>
        <w:ind w:right="27" w:hanging="361"/>
        <w:jc w:val="both"/>
        <w:rPr>
          <w:color w:val="000000" w:themeColor="text1"/>
        </w:rPr>
      </w:pPr>
      <w:r w:rsidRPr="00E12F5B">
        <w:rPr>
          <w:color w:val="000000" w:themeColor="text1"/>
        </w:rPr>
        <w:t>portocaliu</w:t>
      </w:r>
      <w:r w:rsidRPr="00E12F5B">
        <w:rPr>
          <w:color w:val="000000" w:themeColor="text1"/>
          <w:spacing w:val="-3"/>
        </w:rPr>
        <w:t xml:space="preserve"> </w:t>
      </w:r>
      <w:r w:rsidRPr="00E12F5B">
        <w:rPr>
          <w:color w:val="000000" w:themeColor="text1"/>
        </w:rPr>
        <w:t>pentru</w:t>
      </w:r>
      <w:r w:rsidRPr="00E12F5B">
        <w:rPr>
          <w:color w:val="000000" w:themeColor="text1"/>
          <w:spacing w:val="-2"/>
        </w:rPr>
        <w:t xml:space="preserve"> </w:t>
      </w:r>
      <w:r w:rsidRPr="00E12F5B">
        <w:rPr>
          <w:color w:val="000000" w:themeColor="text1"/>
        </w:rPr>
        <w:t>„nefavorabil-inadecvat”;</w:t>
      </w:r>
    </w:p>
    <w:p w14:paraId="271DAB3E" w14:textId="77777777" w:rsidR="00C263E5" w:rsidRPr="00E12F5B" w:rsidRDefault="007D2E1E" w:rsidP="009E63E5">
      <w:pPr>
        <w:widowControl w:val="0"/>
        <w:numPr>
          <w:ilvl w:val="0"/>
          <w:numId w:val="38"/>
        </w:numPr>
        <w:tabs>
          <w:tab w:val="left" w:pos="1814"/>
        </w:tabs>
        <w:autoSpaceDE w:val="0"/>
        <w:autoSpaceDN w:val="0"/>
        <w:spacing w:before="86"/>
        <w:ind w:right="27" w:hanging="361"/>
        <w:jc w:val="both"/>
        <w:rPr>
          <w:color w:val="000000" w:themeColor="text1"/>
        </w:rPr>
      </w:pPr>
      <w:r w:rsidRPr="00E12F5B">
        <w:rPr>
          <w:color w:val="000000" w:themeColor="text1"/>
        </w:rPr>
        <w:t>verde</w:t>
      </w:r>
      <w:r w:rsidRPr="00E12F5B">
        <w:rPr>
          <w:color w:val="000000" w:themeColor="text1"/>
          <w:spacing w:val="-4"/>
        </w:rPr>
        <w:t xml:space="preserve"> </w:t>
      </w:r>
      <w:r w:rsidRPr="00E12F5B">
        <w:rPr>
          <w:color w:val="000000" w:themeColor="text1"/>
        </w:rPr>
        <w:t>pentru</w:t>
      </w:r>
      <w:r w:rsidRPr="00E12F5B">
        <w:rPr>
          <w:color w:val="000000" w:themeColor="text1"/>
          <w:spacing w:val="-1"/>
        </w:rPr>
        <w:t xml:space="preserve"> </w:t>
      </w:r>
      <w:r w:rsidRPr="00E12F5B">
        <w:rPr>
          <w:color w:val="000000" w:themeColor="text1"/>
        </w:rPr>
        <w:t>„favorabil”;</w:t>
      </w:r>
    </w:p>
    <w:p w14:paraId="383F25C4" w14:textId="77777777" w:rsidR="007D2E1E" w:rsidRPr="00E12F5B" w:rsidRDefault="007D2E1E" w:rsidP="009E63E5">
      <w:pPr>
        <w:widowControl w:val="0"/>
        <w:numPr>
          <w:ilvl w:val="0"/>
          <w:numId w:val="38"/>
        </w:numPr>
        <w:tabs>
          <w:tab w:val="left" w:pos="1814"/>
        </w:tabs>
        <w:autoSpaceDE w:val="0"/>
        <w:autoSpaceDN w:val="0"/>
        <w:spacing w:before="86"/>
        <w:ind w:right="27" w:hanging="361"/>
        <w:jc w:val="both"/>
        <w:rPr>
          <w:color w:val="000000" w:themeColor="text1"/>
        </w:rPr>
      </w:pPr>
      <w:r w:rsidRPr="00E12F5B">
        <w:rPr>
          <w:color w:val="000000" w:themeColor="text1"/>
        </w:rPr>
        <w:t>gri</w:t>
      </w:r>
      <w:r w:rsidRPr="00E12F5B">
        <w:rPr>
          <w:color w:val="000000" w:themeColor="text1"/>
          <w:spacing w:val="-2"/>
        </w:rPr>
        <w:t xml:space="preserve"> </w:t>
      </w:r>
      <w:r w:rsidRPr="00E12F5B">
        <w:rPr>
          <w:color w:val="000000" w:themeColor="text1"/>
        </w:rPr>
        <w:t>pentru</w:t>
      </w:r>
      <w:r w:rsidRPr="00E12F5B">
        <w:rPr>
          <w:color w:val="000000" w:themeColor="text1"/>
          <w:spacing w:val="-2"/>
        </w:rPr>
        <w:t xml:space="preserve"> </w:t>
      </w:r>
      <w:r w:rsidRPr="00E12F5B">
        <w:rPr>
          <w:color w:val="000000" w:themeColor="text1"/>
        </w:rPr>
        <w:t>„necunoscut”.</w:t>
      </w:r>
    </w:p>
    <w:p w14:paraId="6998AB8A" w14:textId="77777777" w:rsidR="007D2E1E" w:rsidRPr="00E12F5B" w:rsidRDefault="007D2E1E" w:rsidP="00896C2C">
      <w:pPr>
        <w:widowControl w:val="0"/>
        <w:autoSpaceDE w:val="0"/>
        <w:autoSpaceDN w:val="0"/>
        <w:spacing w:before="40"/>
        <w:ind w:right="27"/>
        <w:jc w:val="both"/>
        <w:rPr>
          <w:color w:val="000000" w:themeColor="text1"/>
        </w:rPr>
      </w:pPr>
      <w:r w:rsidRPr="00E12F5B">
        <w:rPr>
          <w:color w:val="000000" w:themeColor="text1"/>
        </w:rPr>
        <w:t>Având</w:t>
      </w:r>
      <w:r w:rsidRPr="00E12F5B">
        <w:rPr>
          <w:color w:val="000000" w:themeColor="text1"/>
          <w:spacing w:val="1"/>
        </w:rPr>
        <w:t xml:space="preserve"> </w:t>
      </w:r>
      <w:r w:rsidRPr="00E12F5B">
        <w:rPr>
          <w:color w:val="000000" w:themeColor="text1"/>
        </w:rPr>
        <w:t>în</w:t>
      </w:r>
      <w:r w:rsidRPr="00E12F5B">
        <w:rPr>
          <w:color w:val="000000" w:themeColor="text1"/>
          <w:spacing w:val="1"/>
        </w:rPr>
        <w:t xml:space="preserve"> </w:t>
      </w:r>
      <w:r w:rsidRPr="00E12F5B">
        <w:rPr>
          <w:color w:val="000000" w:themeColor="text1"/>
        </w:rPr>
        <w:t>vedere</w:t>
      </w:r>
      <w:r w:rsidRPr="00E12F5B">
        <w:rPr>
          <w:color w:val="000000" w:themeColor="text1"/>
          <w:spacing w:val="1"/>
        </w:rPr>
        <w:t xml:space="preserve"> </w:t>
      </w:r>
      <w:r w:rsidRPr="00E12F5B">
        <w:rPr>
          <w:color w:val="000000" w:themeColor="text1"/>
        </w:rPr>
        <w:t>că speciile</w:t>
      </w:r>
      <w:r w:rsidRPr="00E12F5B">
        <w:rPr>
          <w:color w:val="000000" w:themeColor="text1"/>
          <w:spacing w:val="1"/>
        </w:rPr>
        <w:t xml:space="preserve"> </w:t>
      </w:r>
      <w:r w:rsidRPr="00E12F5B">
        <w:rPr>
          <w:color w:val="000000" w:themeColor="text1"/>
        </w:rPr>
        <w:t>şi</w:t>
      </w:r>
      <w:r w:rsidRPr="00E12F5B">
        <w:rPr>
          <w:color w:val="000000" w:themeColor="text1"/>
          <w:spacing w:val="1"/>
        </w:rPr>
        <w:t xml:space="preserve"> </w:t>
      </w:r>
      <w:r w:rsidRPr="00E12F5B">
        <w:rPr>
          <w:color w:val="000000" w:themeColor="text1"/>
        </w:rPr>
        <w:t>tipurile de habitatele</w:t>
      </w:r>
      <w:r w:rsidRPr="00E12F5B">
        <w:rPr>
          <w:color w:val="000000" w:themeColor="text1"/>
          <w:spacing w:val="1"/>
        </w:rPr>
        <w:t xml:space="preserve"> </w:t>
      </w:r>
      <w:r w:rsidRPr="00E12F5B">
        <w:rPr>
          <w:color w:val="000000" w:themeColor="text1"/>
        </w:rPr>
        <w:t>de</w:t>
      </w:r>
      <w:r w:rsidRPr="00E12F5B">
        <w:rPr>
          <w:color w:val="000000" w:themeColor="text1"/>
          <w:spacing w:val="1"/>
        </w:rPr>
        <w:t xml:space="preserve"> </w:t>
      </w:r>
      <w:r w:rsidRPr="00E12F5B">
        <w:rPr>
          <w:color w:val="000000" w:themeColor="text1"/>
        </w:rPr>
        <w:t>importanţă</w:t>
      </w:r>
      <w:r w:rsidRPr="00E12F5B">
        <w:rPr>
          <w:color w:val="000000" w:themeColor="text1"/>
          <w:spacing w:val="1"/>
        </w:rPr>
        <w:t xml:space="preserve"> </w:t>
      </w:r>
      <w:r w:rsidRPr="00E12F5B">
        <w:rPr>
          <w:color w:val="000000" w:themeColor="text1"/>
        </w:rPr>
        <w:t>comunitară au</w:t>
      </w:r>
      <w:r w:rsidRPr="00E12F5B">
        <w:rPr>
          <w:color w:val="000000" w:themeColor="text1"/>
          <w:spacing w:val="1"/>
        </w:rPr>
        <w:t xml:space="preserve"> </w:t>
      </w:r>
      <w:r w:rsidRPr="00E12F5B">
        <w:rPr>
          <w:color w:val="000000" w:themeColor="text1"/>
        </w:rPr>
        <w:t>fost</w:t>
      </w:r>
      <w:r w:rsidRPr="00E12F5B">
        <w:rPr>
          <w:color w:val="000000" w:themeColor="text1"/>
          <w:spacing w:val="60"/>
        </w:rPr>
        <w:t xml:space="preserve"> </w:t>
      </w:r>
      <w:r w:rsidRPr="00E12F5B">
        <w:rPr>
          <w:color w:val="000000" w:themeColor="text1"/>
        </w:rPr>
        <w:t>listate în</w:t>
      </w:r>
      <w:r w:rsidRPr="00E12F5B">
        <w:rPr>
          <w:color w:val="000000" w:themeColor="text1"/>
          <w:spacing w:val="-57"/>
        </w:rPr>
        <w:t xml:space="preserve"> </w:t>
      </w:r>
      <w:r w:rsidRPr="00E12F5B">
        <w:rPr>
          <w:color w:val="000000" w:themeColor="text1"/>
        </w:rPr>
        <w:t>cadrul anexelor Directivei în urma unor studii și aprecieri prin care s-a constatat că sunt ameninţate,</w:t>
      </w:r>
      <w:r w:rsidRPr="00E12F5B">
        <w:rPr>
          <w:color w:val="000000" w:themeColor="text1"/>
          <w:spacing w:val="1"/>
        </w:rPr>
        <w:t xml:space="preserve"> </w:t>
      </w:r>
      <w:r w:rsidRPr="00E12F5B">
        <w:rPr>
          <w:color w:val="000000" w:themeColor="text1"/>
        </w:rPr>
        <w:t>rare sau endemice, nu ar trebui să surprindă pe nimeni faptul că majoritatea dintre acestea se</w:t>
      </w:r>
      <w:r w:rsidRPr="00E12F5B">
        <w:rPr>
          <w:color w:val="000000" w:themeColor="text1"/>
          <w:spacing w:val="1"/>
        </w:rPr>
        <w:t xml:space="preserve"> </w:t>
      </w:r>
      <w:r w:rsidRPr="00E12F5B">
        <w:rPr>
          <w:color w:val="000000" w:themeColor="text1"/>
        </w:rPr>
        <w:t>încadrează în categoriile   „nefavorabil-inadecvat” (portocoliu) sau „nefavorabil-rău”(roșu) în ceea</w:t>
      </w:r>
      <w:r w:rsidRPr="00E12F5B">
        <w:rPr>
          <w:color w:val="000000" w:themeColor="text1"/>
          <w:spacing w:val="1"/>
        </w:rPr>
        <w:t xml:space="preserve"> </w:t>
      </w:r>
      <w:r w:rsidRPr="00E12F5B">
        <w:rPr>
          <w:color w:val="000000" w:themeColor="text1"/>
        </w:rPr>
        <w:t>ce privește starea lor de conservare. Deasemenea, ţinând cont de faptul că este necesară</w:t>
      </w:r>
      <w:r w:rsidRPr="00E12F5B">
        <w:rPr>
          <w:color w:val="000000" w:themeColor="text1"/>
          <w:spacing w:val="1"/>
        </w:rPr>
        <w:t xml:space="preserve"> </w:t>
      </w:r>
      <w:r w:rsidRPr="00E12F5B">
        <w:rPr>
          <w:color w:val="000000" w:themeColor="text1"/>
        </w:rPr>
        <w:t>o lungă</w:t>
      </w:r>
      <w:r w:rsidRPr="00E12F5B">
        <w:rPr>
          <w:color w:val="000000" w:themeColor="text1"/>
          <w:spacing w:val="1"/>
        </w:rPr>
        <w:t xml:space="preserve"> </w:t>
      </w:r>
      <w:r w:rsidRPr="00E12F5B">
        <w:rPr>
          <w:color w:val="000000" w:themeColor="text1"/>
        </w:rPr>
        <w:t>perioadă de timp pentru ca o specie sau un tip de habitat să ajungă într-o stare de conservare</w:t>
      </w:r>
      <w:r w:rsidRPr="00E12F5B">
        <w:rPr>
          <w:color w:val="000000" w:themeColor="text1"/>
          <w:spacing w:val="1"/>
        </w:rPr>
        <w:t xml:space="preserve"> </w:t>
      </w:r>
      <w:r w:rsidRPr="00E12F5B">
        <w:rPr>
          <w:color w:val="000000" w:themeColor="text1"/>
        </w:rPr>
        <w:t>favorabilă, nu ar trebui să fie surprinzător faptul că respectiva specie sau respectivul tip de habitat</w:t>
      </w:r>
      <w:r w:rsidRPr="00E12F5B">
        <w:rPr>
          <w:color w:val="000000" w:themeColor="text1"/>
          <w:spacing w:val="1"/>
        </w:rPr>
        <w:t xml:space="preserve"> </w:t>
      </w:r>
      <w:r w:rsidRPr="00E12F5B">
        <w:rPr>
          <w:color w:val="000000" w:themeColor="text1"/>
        </w:rPr>
        <w:t>rămâne în starea de conservare nefavorabilă un timp îndelungat, chiar dacă la nivelul ariei naturale</w:t>
      </w:r>
      <w:r w:rsidRPr="00E12F5B">
        <w:rPr>
          <w:color w:val="000000" w:themeColor="text1"/>
          <w:spacing w:val="1"/>
        </w:rPr>
        <w:t xml:space="preserve"> </w:t>
      </w:r>
      <w:r w:rsidRPr="00E12F5B">
        <w:rPr>
          <w:color w:val="000000" w:themeColor="text1"/>
        </w:rPr>
        <w:t>protejate</w:t>
      </w:r>
      <w:r w:rsidRPr="00E12F5B">
        <w:rPr>
          <w:color w:val="000000" w:themeColor="text1"/>
          <w:spacing w:val="-1"/>
        </w:rPr>
        <w:t xml:space="preserve"> </w:t>
      </w:r>
      <w:r w:rsidRPr="00E12F5B">
        <w:rPr>
          <w:color w:val="000000" w:themeColor="text1"/>
        </w:rPr>
        <w:t>respective</w:t>
      </w:r>
      <w:r w:rsidRPr="00E12F5B">
        <w:rPr>
          <w:color w:val="000000" w:themeColor="text1"/>
          <w:spacing w:val="-1"/>
        </w:rPr>
        <w:t xml:space="preserve"> </w:t>
      </w:r>
      <w:r w:rsidRPr="00E12F5B">
        <w:rPr>
          <w:color w:val="000000" w:themeColor="text1"/>
        </w:rPr>
        <w:t>sunt</w:t>
      </w:r>
      <w:r w:rsidRPr="00E12F5B">
        <w:rPr>
          <w:color w:val="000000" w:themeColor="text1"/>
          <w:spacing w:val="2"/>
        </w:rPr>
        <w:t xml:space="preserve"> </w:t>
      </w:r>
      <w:r w:rsidRPr="00E12F5B">
        <w:rPr>
          <w:color w:val="000000" w:themeColor="text1"/>
        </w:rPr>
        <w:t>luate</w:t>
      </w:r>
      <w:r w:rsidRPr="00E12F5B">
        <w:rPr>
          <w:color w:val="000000" w:themeColor="text1"/>
          <w:spacing w:val="-1"/>
        </w:rPr>
        <w:t xml:space="preserve"> </w:t>
      </w:r>
      <w:r w:rsidRPr="00E12F5B">
        <w:rPr>
          <w:color w:val="000000" w:themeColor="text1"/>
        </w:rPr>
        <w:t>măsuri corespunzătoare.</w:t>
      </w:r>
    </w:p>
    <w:p w14:paraId="20F9B715" w14:textId="77777777" w:rsidR="008E2181" w:rsidRPr="00E12F5B" w:rsidRDefault="008E2181" w:rsidP="00896C2C">
      <w:pPr>
        <w:widowControl w:val="0"/>
        <w:tabs>
          <w:tab w:val="left" w:pos="1312"/>
        </w:tabs>
        <w:autoSpaceDE w:val="0"/>
        <w:autoSpaceDN w:val="0"/>
        <w:ind w:left="1311" w:right="27"/>
        <w:jc w:val="both"/>
        <w:outlineLvl w:val="1"/>
        <w:rPr>
          <w:color w:val="000000" w:themeColor="text1"/>
        </w:rPr>
      </w:pPr>
    </w:p>
    <w:p w14:paraId="26F17453" w14:textId="77777777" w:rsidR="007D2E1E" w:rsidRPr="00E12F5B" w:rsidRDefault="007D2E1E" w:rsidP="00896C2C">
      <w:pPr>
        <w:widowControl w:val="0"/>
        <w:tabs>
          <w:tab w:val="left" w:pos="1312"/>
        </w:tabs>
        <w:autoSpaceDE w:val="0"/>
        <w:autoSpaceDN w:val="0"/>
        <w:ind w:right="27"/>
        <w:jc w:val="both"/>
        <w:outlineLvl w:val="1"/>
        <w:rPr>
          <w:rFonts w:eastAsia="Cambria"/>
          <w:b/>
          <w:bCs/>
          <w:color w:val="000000" w:themeColor="text1"/>
        </w:rPr>
      </w:pPr>
      <w:r w:rsidRPr="00E12F5B">
        <w:rPr>
          <w:rFonts w:eastAsia="Cambria"/>
          <w:b/>
          <w:bCs/>
          <w:color w:val="000000" w:themeColor="text1"/>
        </w:rPr>
        <w:t>Evaluarea</w:t>
      </w:r>
      <w:r w:rsidRPr="00E12F5B">
        <w:rPr>
          <w:rFonts w:eastAsia="Cambria"/>
          <w:b/>
          <w:bCs/>
          <w:color w:val="000000" w:themeColor="text1"/>
          <w:spacing w:val="-5"/>
        </w:rPr>
        <w:t xml:space="preserve"> </w:t>
      </w:r>
      <w:r w:rsidRPr="00E12F5B">
        <w:rPr>
          <w:rFonts w:eastAsia="Cambria"/>
          <w:b/>
          <w:bCs/>
          <w:color w:val="000000" w:themeColor="text1"/>
        </w:rPr>
        <w:t>tendințelor</w:t>
      </w:r>
      <w:r w:rsidRPr="00E12F5B">
        <w:rPr>
          <w:rFonts w:eastAsia="Cambria"/>
          <w:b/>
          <w:bCs/>
          <w:color w:val="000000" w:themeColor="text1"/>
          <w:spacing w:val="-2"/>
        </w:rPr>
        <w:t xml:space="preserve"> </w:t>
      </w:r>
      <w:r w:rsidRPr="00E12F5B">
        <w:rPr>
          <w:rFonts w:eastAsia="Cambria"/>
          <w:b/>
          <w:bCs/>
          <w:color w:val="000000" w:themeColor="text1"/>
        </w:rPr>
        <w:t>pe</w:t>
      </w:r>
      <w:r w:rsidRPr="00E12F5B">
        <w:rPr>
          <w:rFonts w:eastAsia="Cambria"/>
          <w:b/>
          <w:bCs/>
          <w:color w:val="000000" w:themeColor="text1"/>
          <w:spacing w:val="-2"/>
        </w:rPr>
        <w:t xml:space="preserve"> </w:t>
      </w:r>
      <w:r w:rsidRPr="00E12F5B">
        <w:rPr>
          <w:rFonts w:eastAsia="Cambria"/>
          <w:b/>
          <w:bCs/>
          <w:color w:val="000000" w:themeColor="text1"/>
        </w:rPr>
        <w:t>termen</w:t>
      </w:r>
      <w:r w:rsidRPr="00E12F5B">
        <w:rPr>
          <w:rFonts w:eastAsia="Cambria"/>
          <w:b/>
          <w:bCs/>
          <w:color w:val="000000" w:themeColor="text1"/>
          <w:spacing w:val="-3"/>
        </w:rPr>
        <w:t xml:space="preserve"> </w:t>
      </w:r>
      <w:r w:rsidRPr="00E12F5B">
        <w:rPr>
          <w:rFonts w:eastAsia="Cambria"/>
          <w:b/>
          <w:bCs/>
          <w:color w:val="000000" w:themeColor="text1"/>
        </w:rPr>
        <w:t>scurt</w:t>
      </w:r>
    </w:p>
    <w:p w14:paraId="180869E0" w14:textId="77777777" w:rsidR="007D2E1E" w:rsidRPr="00E12F5B" w:rsidRDefault="007D2E1E" w:rsidP="00896C2C">
      <w:pPr>
        <w:widowControl w:val="0"/>
        <w:autoSpaceDE w:val="0"/>
        <w:autoSpaceDN w:val="0"/>
        <w:spacing w:before="155"/>
        <w:ind w:right="27"/>
        <w:jc w:val="both"/>
        <w:rPr>
          <w:color w:val="000000" w:themeColor="text1"/>
        </w:rPr>
      </w:pPr>
      <w:r w:rsidRPr="00E12F5B">
        <w:rPr>
          <w:color w:val="000000" w:themeColor="text1"/>
        </w:rPr>
        <w:t>Având în vedere că România este la a doua raportare în baza art. 17 al Directivei Habitate, prima</w:t>
      </w:r>
      <w:r w:rsidRPr="00E12F5B">
        <w:rPr>
          <w:color w:val="000000" w:themeColor="text1"/>
          <w:spacing w:val="1"/>
        </w:rPr>
        <w:t xml:space="preserve"> </w:t>
      </w:r>
      <w:r w:rsidRPr="00E12F5B">
        <w:rPr>
          <w:color w:val="000000" w:themeColor="text1"/>
        </w:rPr>
        <w:t>raportare rămânând de referință pentru următoarele rapoarte, s-a realizat evaluarea tendințelor pe</w:t>
      </w:r>
      <w:r w:rsidRPr="00E12F5B">
        <w:rPr>
          <w:color w:val="000000" w:themeColor="text1"/>
          <w:spacing w:val="1"/>
        </w:rPr>
        <w:t xml:space="preserve"> </w:t>
      </w:r>
      <w:r w:rsidRPr="00E12F5B">
        <w:rPr>
          <w:color w:val="000000" w:themeColor="text1"/>
        </w:rPr>
        <w:t>termen scurt a stării de conservare cu utilizarea doar a unui ciclu de raportare, spre deosebire de</w:t>
      </w:r>
      <w:r w:rsidRPr="00E12F5B">
        <w:rPr>
          <w:color w:val="000000" w:themeColor="text1"/>
          <w:spacing w:val="1"/>
        </w:rPr>
        <w:t xml:space="preserve"> </w:t>
      </w:r>
      <w:r w:rsidRPr="00E12F5B">
        <w:rPr>
          <w:color w:val="000000" w:themeColor="text1"/>
        </w:rPr>
        <w:t>metoda</w:t>
      </w:r>
      <w:r w:rsidRPr="00E12F5B">
        <w:rPr>
          <w:color w:val="000000" w:themeColor="text1"/>
          <w:spacing w:val="-2"/>
        </w:rPr>
        <w:t xml:space="preserve"> </w:t>
      </w:r>
      <w:r w:rsidRPr="00E12F5B">
        <w:rPr>
          <w:color w:val="000000" w:themeColor="text1"/>
        </w:rPr>
        <w:t>recomandată.</w:t>
      </w:r>
    </w:p>
    <w:p w14:paraId="15D26210" w14:textId="77777777" w:rsidR="007D2E1E" w:rsidRPr="00E12F5B" w:rsidRDefault="007D2E1E" w:rsidP="00896C2C">
      <w:pPr>
        <w:widowControl w:val="0"/>
        <w:autoSpaceDE w:val="0"/>
        <w:autoSpaceDN w:val="0"/>
        <w:ind w:right="27"/>
        <w:jc w:val="both"/>
        <w:rPr>
          <w:color w:val="000000" w:themeColor="text1"/>
        </w:rPr>
      </w:pPr>
      <w:r w:rsidRPr="00E12F5B">
        <w:rPr>
          <w:color w:val="000000" w:themeColor="text1"/>
        </w:rPr>
        <w:t>Metoda de evaluare a tendințelor de evoluție pe termen scurt utilizează tendința observată pentru</w:t>
      </w:r>
      <w:r w:rsidRPr="00E12F5B">
        <w:rPr>
          <w:color w:val="000000" w:themeColor="text1"/>
          <w:spacing w:val="1"/>
        </w:rPr>
        <w:t xml:space="preserve"> </w:t>
      </w:r>
      <w:r w:rsidRPr="00E12F5B">
        <w:rPr>
          <w:color w:val="000000" w:themeColor="text1"/>
        </w:rPr>
        <w:t>parametrii de stare precum areal de distribuție și structură și funcții raportate în urmă cu 2 cicluri de</w:t>
      </w:r>
      <w:r w:rsidRPr="00E12F5B">
        <w:rPr>
          <w:color w:val="000000" w:themeColor="text1"/>
          <w:spacing w:val="1"/>
        </w:rPr>
        <w:t xml:space="preserve"> </w:t>
      </w:r>
      <w:r w:rsidRPr="00E12F5B">
        <w:rPr>
          <w:color w:val="000000" w:themeColor="text1"/>
        </w:rPr>
        <w:t>raportare</w:t>
      </w:r>
      <w:r w:rsidRPr="00E12F5B">
        <w:rPr>
          <w:color w:val="000000" w:themeColor="text1"/>
          <w:spacing w:val="1"/>
        </w:rPr>
        <w:t xml:space="preserve"> </w:t>
      </w:r>
      <w:r w:rsidRPr="00E12F5B">
        <w:rPr>
          <w:color w:val="000000" w:themeColor="text1"/>
        </w:rPr>
        <w:t>(de</w:t>
      </w:r>
      <w:r w:rsidRPr="00E12F5B">
        <w:rPr>
          <w:color w:val="000000" w:themeColor="text1"/>
          <w:spacing w:val="1"/>
        </w:rPr>
        <w:t xml:space="preserve"> </w:t>
      </w:r>
      <w:r w:rsidRPr="00E12F5B">
        <w:rPr>
          <w:color w:val="000000" w:themeColor="text1"/>
        </w:rPr>
        <w:t>6</w:t>
      </w:r>
      <w:r w:rsidRPr="00E12F5B">
        <w:rPr>
          <w:color w:val="000000" w:themeColor="text1"/>
          <w:spacing w:val="1"/>
        </w:rPr>
        <w:t xml:space="preserve"> </w:t>
      </w:r>
      <w:r w:rsidRPr="00E12F5B">
        <w:rPr>
          <w:color w:val="000000" w:themeColor="text1"/>
        </w:rPr>
        <w:t>ani).</w:t>
      </w:r>
      <w:r w:rsidRPr="00E12F5B">
        <w:rPr>
          <w:color w:val="000000" w:themeColor="text1"/>
          <w:spacing w:val="1"/>
        </w:rPr>
        <w:t xml:space="preserve"> </w:t>
      </w:r>
      <w:r w:rsidRPr="00E12F5B">
        <w:rPr>
          <w:color w:val="000000" w:themeColor="text1"/>
        </w:rPr>
        <w:t>Tendința</w:t>
      </w:r>
      <w:r w:rsidRPr="00E12F5B">
        <w:rPr>
          <w:color w:val="000000" w:themeColor="text1"/>
          <w:spacing w:val="1"/>
        </w:rPr>
        <w:t xml:space="preserve"> </w:t>
      </w:r>
      <w:r w:rsidRPr="00E12F5B">
        <w:rPr>
          <w:color w:val="000000" w:themeColor="text1"/>
        </w:rPr>
        <w:t>fiind</w:t>
      </w:r>
      <w:r w:rsidRPr="00E12F5B">
        <w:rPr>
          <w:color w:val="000000" w:themeColor="text1"/>
          <w:spacing w:val="1"/>
        </w:rPr>
        <w:t xml:space="preserve"> </w:t>
      </w:r>
      <w:r w:rsidRPr="00E12F5B">
        <w:rPr>
          <w:color w:val="000000" w:themeColor="text1"/>
        </w:rPr>
        <w:t>evaluată</w:t>
      </w:r>
      <w:r w:rsidRPr="00E12F5B">
        <w:rPr>
          <w:color w:val="000000" w:themeColor="text1"/>
          <w:spacing w:val="1"/>
        </w:rPr>
        <w:t xml:space="preserve"> </w:t>
      </w:r>
      <w:r w:rsidRPr="00E12F5B">
        <w:rPr>
          <w:color w:val="000000" w:themeColor="text1"/>
        </w:rPr>
        <w:t>utilizând</w:t>
      </w:r>
      <w:r w:rsidRPr="00E12F5B">
        <w:rPr>
          <w:color w:val="000000" w:themeColor="text1"/>
          <w:spacing w:val="1"/>
        </w:rPr>
        <w:t xml:space="preserve"> </w:t>
      </w:r>
      <w:r w:rsidRPr="00E12F5B">
        <w:rPr>
          <w:color w:val="000000" w:themeColor="text1"/>
        </w:rPr>
        <w:t>indicatori</w:t>
      </w:r>
      <w:r w:rsidRPr="00E12F5B">
        <w:rPr>
          <w:color w:val="000000" w:themeColor="text1"/>
          <w:spacing w:val="1"/>
        </w:rPr>
        <w:t xml:space="preserve"> </w:t>
      </w:r>
      <w:r w:rsidRPr="00E12F5B">
        <w:rPr>
          <w:color w:val="000000" w:themeColor="text1"/>
        </w:rPr>
        <w:t>calitativi</w:t>
      </w:r>
      <w:r w:rsidRPr="00E12F5B">
        <w:rPr>
          <w:color w:val="000000" w:themeColor="text1"/>
          <w:spacing w:val="1"/>
        </w:rPr>
        <w:t xml:space="preserve"> </w:t>
      </w:r>
      <w:r w:rsidRPr="00E12F5B">
        <w:rPr>
          <w:color w:val="000000" w:themeColor="text1"/>
        </w:rPr>
        <w:t>precum:</w:t>
      </w:r>
      <w:r w:rsidRPr="00E12F5B">
        <w:rPr>
          <w:color w:val="000000" w:themeColor="text1"/>
          <w:spacing w:val="1"/>
        </w:rPr>
        <w:t xml:space="preserve"> </w:t>
      </w:r>
      <w:r w:rsidRPr="00E12F5B">
        <w:rPr>
          <w:color w:val="000000" w:themeColor="text1"/>
        </w:rPr>
        <w:t>stabilă,</w:t>
      </w:r>
      <w:r w:rsidRPr="00E12F5B">
        <w:rPr>
          <w:color w:val="000000" w:themeColor="text1"/>
          <w:spacing w:val="1"/>
        </w:rPr>
        <w:t xml:space="preserve"> </w:t>
      </w:r>
      <w:r w:rsidRPr="00E12F5B">
        <w:rPr>
          <w:color w:val="000000" w:themeColor="text1"/>
        </w:rPr>
        <w:t>în</w:t>
      </w:r>
      <w:r w:rsidRPr="00E12F5B">
        <w:rPr>
          <w:color w:val="000000" w:themeColor="text1"/>
          <w:spacing w:val="1"/>
        </w:rPr>
        <w:t xml:space="preserve"> </w:t>
      </w:r>
      <w:r w:rsidRPr="00E12F5B">
        <w:rPr>
          <w:color w:val="000000" w:themeColor="text1"/>
        </w:rPr>
        <w:t>refacere,</w:t>
      </w:r>
      <w:r w:rsidRPr="00E12F5B">
        <w:rPr>
          <w:color w:val="000000" w:themeColor="text1"/>
          <w:spacing w:val="-1"/>
        </w:rPr>
        <w:t xml:space="preserve"> </w:t>
      </w:r>
      <w:r w:rsidRPr="00E12F5B">
        <w:rPr>
          <w:color w:val="000000" w:themeColor="text1"/>
        </w:rPr>
        <w:t>în declin și necunoscut.</w:t>
      </w:r>
    </w:p>
    <w:p w14:paraId="4308AF51" w14:textId="77777777" w:rsidR="007D2E1E" w:rsidRPr="00E12F5B" w:rsidRDefault="007D2E1E" w:rsidP="00896C2C">
      <w:pPr>
        <w:widowControl w:val="0"/>
        <w:autoSpaceDE w:val="0"/>
        <w:autoSpaceDN w:val="0"/>
        <w:ind w:right="27"/>
        <w:jc w:val="both"/>
        <w:rPr>
          <w:color w:val="000000" w:themeColor="text1"/>
        </w:rPr>
      </w:pPr>
      <w:r w:rsidRPr="00E12F5B">
        <w:rPr>
          <w:color w:val="000000" w:themeColor="text1"/>
        </w:rPr>
        <w:t>Evaluarea tendințelor pe termen scurt</w:t>
      </w:r>
      <w:r w:rsidRPr="00E12F5B">
        <w:rPr>
          <w:color w:val="000000" w:themeColor="text1"/>
          <w:spacing w:val="1"/>
        </w:rPr>
        <w:t xml:space="preserve"> </w:t>
      </w:r>
      <w:r w:rsidRPr="00E12F5B">
        <w:rPr>
          <w:color w:val="000000" w:themeColor="text1"/>
        </w:rPr>
        <w:t>reprezintă de asemenea cheie de control pentru analiza de</w:t>
      </w:r>
      <w:r w:rsidRPr="00E12F5B">
        <w:rPr>
          <w:color w:val="000000" w:themeColor="text1"/>
          <w:spacing w:val="1"/>
        </w:rPr>
        <w:t xml:space="preserve"> </w:t>
      </w:r>
      <w:r w:rsidRPr="00E12F5B">
        <w:rPr>
          <w:color w:val="000000" w:themeColor="text1"/>
        </w:rPr>
        <w:t>calitate</w:t>
      </w:r>
      <w:r w:rsidRPr="00E12F5B">
        <w:rPr>
          <w:color w:val="000000" w:themeColor="text1"/>
          <w:spacing w:val="-2"/>
        </w:rPr>
        <w:t xml:space="preserve"> </w:t>
      </w:r>
      <w:r w:rsidRPr="00E12F5B">
        <w:rPr>
          <w:color w:val="000000" w:themeColor="text1"/>
        </w:rPr>
        <w:t>a</w:t>
      </w:r>
      <w:r w:rsidRPr="00E12F5B">
        <w:rPr>
          <w:color w:val="000000" w:themeColor="text1"/>
          <w:spacing w:val="-1"/>
        </w:rPr>
        <w:t xml:space="preserve"> </w:t>
      </w:r>
      <w:r w:rsidRPr="00E12F5B">
        <w:rPr>
          <w:color w:val="000000" w:themeColor="text1"/>
        </w:rPr>
        <w:t>rezultatelor</w:t>
      </w:r>
      <w:r w:rsidRPr="00E12F5B">
        <w:rPr>
          <w:color w:val="000000" w:themeColor="text1"/>
          <w:spacing w:val="-1"/>
        </w:rPr>
        <w:t xml:space="preserve"> </w:t>
      </w:r>
      <w:r w:rsidRPr="00E12F5B">
        <w:rPr>
          <w:color w:val="000000" w:themeColor="text1"/>
        </w:rPr>
        <w:t>raportării succesive.</w:t>
      </w:r>
    </w:p>
    <w:p w14:paraId="3F3A9669" w14:textId="77777777" w:rsidR="007D2E1E" w:rsidRPr="00E12F5B" w:rsidRDefault="007D2E1E" w:rsidP="00896C2C">
      <w:pPr>
        <w:widowControl w:val="0"/>
        <w:autoSpaceDE w:val="0"/>
        <w:autoSpaceDN w:val="0"/>
        <w:spacing w:before="6"/>
        <w:ind w:right="27"/>
        <w:jc w:val="both"/>
        <w:rPr>
          <w:color w:val="000000" w:themeColor="text1"/>
        </w:rPr>
      </w:pPr>
    </w:p>
    <w:p w14:paraId="45A907C5" w14:textId="77777777" w:rsidR="007D2E1E" w:rsidRPr="00E12F5B" w:rsidRDefault="007D2E1E" w:rsidP="00896C2C">
      <w:pPr>
        <w:widowControl w:val="0"/>
        <w:tabs>
          <w:tab w:val="left" w:pos="1312"/>
        </w:tabs>
        <w:autoSpaceDE w:val="0"/>
        <w:autoSpaceDN w:val="0"/>
        <w:ind w:right="27"/>
        <w:jc w:val="both"/>
        <w:outlineLvl w:val="1"/>
        <w:rPr>
          <w:rFonts w:eastAsia="Cambria"/>
          <w:b/>
          <w:bCs/>
          <w:color w:val="000000" w:themeColor="text1"/>
        </w:rPr>
      </w:pPr>
      <w:r w:rsidRPr="00E12F5B">
        <w:rPr>
          <w:rFonts w:eastAsia="Cambria"/>
          <w:b/>
          <w:bCs/>
          <w:color w:val="000000" w:themeColor="text1"/>
        </w:rPr>
        <w:t>Evaluarea</w:t>
      </w:r>
      <w:r w:rsidRPr="00E12F5B">
        <w:rPr>
          <w:rFonts w:eastAsia="Cambria"/>
          <w:b/>
          <w:bCs/>
          <w:color w:val="000000" w:themeColor="text1"/>
          <w:spacing w:val="-5"/>
        </w:rPr>
        <w:t xml:space="preserve"> </w:t>
      </w:r>
      <w:r w:rsidRPr="00E12F5B">
        <w:rPr>
          <w:rFonts w:eastAsia="Cambria"/>
          <w:b/>
          <w:bCs/>
          <w:color w:val="000000" w:themeColor="text1"/>
        </w:rPr>
        <w:t>tendințelor</w:t>
      </w:r>
      <w:r w:rsidRPr="00E12F5B">
        <w:rPr>
          <w:rFonts w:eastAsia="Cambria"/>
          <w:b/>
          <w:bCs/>
          <w:color w:val="000000" w:themeColor="text1"/>
          <w:spacing w:val="-2"/>
        </w:rPr>
        <w:t xml:space="preserve"> </w:t>
      </w:r>
      <w:r w:rsidRPr="00E12F5B">
        <w:rPr>
          <w:rFonts w:eastAsia="Cambria"/>
          <w:b/>
          <w:bCs/>
          <w:color w:val="000000" w:themeColor="text1"/>
        </w:rPr>
        <w:t>pe</w:t>
      </w:r>
      <w:r w:rsidRPr="00E12F5B">
        <w:rPr>
          <w:rFonts w:eastAsia="Cambria"/>
          <w:b/>
          <w:bCs/>
          <w:color w:val="000000" w:themeColor="text1"/>
          <w:spacing w:val="-2"/>
        </w:rPr>
        <w:t xml:space="preserve"> </w:t>
      </w:r>
      <w:r w:rsidRPr="00E12F5B">
        <w:rPr>
          <w:rFonts w:eastAsia="Cambria"/>
          <w:b/>
          <w:bCs/>
          <w:color w:val="000000" w:themeColor="text1"/>
        </w:rPr>
        <w:t>termen</w:t>
      </w:r>
      <w:r w:rsidRPr="00E12F5B">
        <w:rPr>
          <w:rFonts w:eastAsia="Cambria"/>
          <w:b/>
          <w:bCs/>
          <w:color w:val="000000" w:themeColor="text1"/>
          <w:spacing w:val="-3"/>
        </w:rPr>
        <w:t xml:space="preserve"> </w:t>
      </w:r>
      <w:r w:rsidRPr="00E12F5B">
        <w:rPr>
          <w:rFonts w:eastAsia="Cambria"/>
          <w:b/>
          <w:bCs/>
          <w:color w:val="000000" w:themeColor="text1"/>
        </w:rPr>
        <w:t>lung</w:t>
      </w:r>
    </w:p>
    <w:p w14:paraId="009BF14E" w14:textId="77777777" w:rsidR="007D2E1E" w:rsidRPr="00E12F5B" w:rsidRDefault="007D2E1E" w:rsidP="00896C2C">
      <w:pPr>
        <w:widowControl w:val="0"/>
        <w:autoSpaceDE w:val="0"/>
        <w:autoSpaceDN w:val="0"/>
        <w:spacing w:before="157"/>
        <w:ind w:right="27"/>
        <w:jc w:val="both"/>
        <w:rPr>
          <w:color w:val="000000" w:themeColor="text1"/>
        </w:rPr>
      </w:pPr>
      <w:r w:rsidRPr="00E12F5B">
        <w:rPr>
          <w:color w:val="000000" w:themeColor="text1"/>
        </w:rPr>
        <w:t>Având în vedere că România este la a doua raportare în baza art. 17 al Directivei Habitate, prima</w:t>
      </w:r>
      <w:r w:rsidRPr="00E12F5B">
        <w:rPr>
          <w:color w:val="000000" w:themeColor="text1"/>
          <w:spacing w:val="1"/>
        </w:rPr>
        <w:t xml:space="preserve"> </w:t>
      </w:r>
      <w:r w:rsidRPr="00E12F5B">
        <w:rPr>
          <w:color w:val="000000" w:themeColor="text1"/>
        </w:rPr>
        <w:t>raportare rămânând de referință pentru următoarele rapoarte, s-a realizat evaluarea tendințelor pe</w:t>
      </w:r>
      <w:r w:rsidRPr="00E12F5B">
        <w:rPr>
          <w:color w:val="000000" w:themeColor="text1"/>
          <w:spacing w:val="1"/>
        </w:rPr>
        <w:t xml:space="preserve"> </w:t>
      </w:r>
      <w:r w:rsidRPr="00E12F5B">
        <w:rPr>
          <w:color w:val="000000" w:themeColor="text1"/>
        </w:rPr>
        <w:t>termen lung</w:t>
      </w:r>
      <w:r w:rsidRPr="00E12F5B">
        <w:rPr>
          <w:color w:val="000000" w:themeColor="text1"/>
          <w:spacing w:val="1"/>
        </w:rPr>
        <w:t xml:space="preserve"> </w:t>
      </w:r>
      <w:r w:rsidRPr="00E12F5B">
        <w:rPr>
          <w:color w:val="000000" w:themeColor="text1"/>
        </w:rPr>
        <w:t>a stării de conservare cu utilizarea doar a unui ciclu de raportare, spre deosebire de</w:t>
      </w:r>
      <w:r w:rsidRPr="00E12F5B">
        <w:rPr>
          <w:color w:val="000000" w:themeColor="text1"/>
          <w:spacing w:val="1"/>
        </w:rPr>
        <w:t xml:space="preserve"> </w:t>
      </w:r>
      <w:r w:rsidRPr="00E12F5B">
        <w:rPr>
          <w:color w:val="000000" w:themeColor="text1"/>
        </w:rPr>
        <w:t>metoda</w:t>
      </w:r>
      <w:r w:rsidRPr="00E12F5B">
        <w:rPr>
          <w:color w:val="000000" w:themeColor="text1"/>
          <w:spacing w:val="-2"/>
        </w:rPr>
        <w:t xml:space="preserve"> </w:t>
      </w:r>
      <w:r w:rsidRPr="00E12F5B">
        <w:rPr>
          <w:color w:val="000000" w:themeColor="text1"/>
        </w:rPr>
        <w:t>recomandată.</w:t>
      </w:r>
    </w:p>
    <w:p w14:paraId="7984DD8D" w14:textId="77777777" w:rsidR="007D2E1E" w:rsidRPr="00E12F5B" w:rsidRDefault="007D2E1E" w:rsidP="00896C2C">
      <w:pPr>
        <w:widowControl w:val="0"/>
        <w:autoSpaceDE w:val="0"/>
        <w:autoSpaceDN w:val="0"/>
        <w:spacing w:before="1"/>
        <w:ind w:right="27"/>
        <w:jc w:val="both"/>
        <w:rPr>
          <w:color w:val="000000" w:themeColor="text1"/>
        </w:rPr>
      </w:pPr>
      <w:r w:rsidRPr="00E12F5B">
        <w:rPr>
          <w:color w:val="000000" w:themeColor="text1"/>
        </w:rPr>
        <w:t>Metoda de evaluare a tendințelor de evoluție pe termen lung utilizează tendința observată pentru</w:t>
      </w:r>
      <w:r w:rsidRPr="00E12F5B">
        <w:rPr>
          <w:color w:val="000000" w:themeColor="text1"/>
          <w:spacing w:val="1"/>
        </w:rPr>
        <w:t xml:space="preserve"> </w:t>
      </w:r>
      <w:r w:rsidRPr="00E12F5B">
        <w:rPr>
          <w:color w:val="000000" w:themeColor="text1"/>
        </w:rPr>
        <w:t>parametrii de stare precum areal de distribuție și structură și funcții raportate în urmă cu 4 cicluri de</w:t>
      </w:r>
      <w:r w:rsidRPr="00E12F5B">
        <w:rPr>
          <w:color w:val="000000" w:themeColor="text1"/>
          <w:spacing w:val="1"/>
        </w:rPr>
        <w:t xml:space="preserve"> </w:t>
      </w:r>
      <w:r w:rsidRPr="00E12F5B">
        <w:rPr>
          <w:color w:val="000000" w:themeColor="text1"/>
        </w:rPr>
        <w:t>raportare</w:t>
      </w:r>
      <w:r w:rsidRPr="00E12F5B">
        <w:rPr>
          <w:color w:val="000000" w:themeColor="text1"/>
          <w:spacing w:val="1"/>
        </w:rPr>
        <w:t xml:space="preserve"> </w:t>
      </w:r>
      <w:r w:rsidRPr="00E12F5B">
        <w:rPr>
          <w:color w:val="000000" w:themeColor="text1"/>
        </w:rPr>
        <w:t>(de</w:t>
      </w:r>
      <w:r w:rsidRPr="00E12F5B">
        <w:rPr>
          <w:color w:val="000000" w:themeColor="text1"/>
          <w:spacing w:val="1"/>
        </w:rPr>
        <w:t xml:space="preserve"> </w:t>
      </w:r>
      <w:r w:rsidRPr="00E12F5B">
        <w:rPr>
          <w:color w:val="000000" w:themeColor="text1"/>
        </w:rPr>
        <w:t>6</w:t>
      </w:r>
      <w:r w:rsidRPr="00E12F5B">
        <w:rPr>
          <w:color w:val="000000" w:themeColor="text1"/>
          <w:spacing w:val="1"/>
        </w:rPr>
        <w:t xml:space="preserve"> </w:t>
      </w:r>
      <w:r w:rsidRPr="00E12F5B">
        <w:rPr>
          <w:color w:val="000000" w:themeColor="text1"/>
        </w:rPr>
        <w:t>ani).</w:t>
      </w:r>
      <w:r w:rsidRPr="00E12F5B">
        <w:rPr>
          <w:color w:val="000000" w:themeColor="text1"/>
          <w:spacing w:val="1"/>
        </w:rPr>
        <w:t xml:space="preserve"> </w:t>
      </w:r>
      <w:r w:rsidRPr="00E12F5B">
        <w:rPr>
          <w:color w:val="000000" w:themeColor="text1"/>
        </w:rPr>
        <w:t>Tendința</w:t>
      </w:r>
      <w:r w:rsidRPr="00E12F5B">
        <w:rPr>
          <w:color w:val="000000" w:themeColor="text1"/>
          <w:spacing w:val="1"/>
        </w:rPr>
        <w:t xml:space="preserve"> </w:t>
      </w:r>
      <w:r w:rsidRPr="00E12F5B">
        <w:rPr>
          <w:color w:val="000000" w:themeColor="text1"/>
        </w:rPr>
        <w:t>fiind</w:t>
      </w:r>
      <w:r w:rsidRPr="00E12F5B">
        <w:rPr>
          <w:color w:val="000000" w:themeColor="text1"/>
          <w:spacing w:val="1"/>
        </w:rPr>
        <w:t xml:space="preserve"> </w:t>
      </w:r>
      <w:r w:rsidRPr="00E12F5B">
        <w:rPr>
          <w:color w:val="000000" w:themeColor="text1"/>
        </w:rPr>
        <w:t>evaluată</w:t>
      </w:r>
      <w:r w:rsidRPr="00E12F5B">
        <w:rPr>
          <w:color w:val="000000" w:themeColor="text1"/>
          <w:spacing w:val="1"/>
        </w:rPr>
        <w:t xml:space="preserve"> </w:t>
      </w:r>
      <w:r w:rsidRPr="00E12F5B">
        <w:rPr>
          <w:color w:val="000000" w:themeColor="text1"/>
        </w:rPr>
        <w:t>utilizând</w:t>
      </w:r>
      <w:r w:rsidRPr="00E12F5B">
        <w:rPr>
          <w:color w:val="000000" w:themeColor="text1"/>
          <w:spacing w:val="1"/>
        </w:rPr>
        <w:t xml:space="preserve"> </w:t>
      </w:r>
      <w:r w:rsidRPr="00E12F5B">
        <w:rPr>
          <w:color w:val="000000" w:themeColor="text1"/>
        </w:rPr>
        <w:t>indicatori</w:t>
      </w:r>
      <w:r w:rsidRPr="00E12F5B">
        <w:rPr>
          <w:color w:val="000000" w:themeColor="text1"/>
          <w:spacing w:val="1"/>
        </w:rPr>
        <w:t xml:space="preserve"> </w:t>
      </w:r>
      <w:r w:rsidRPr="00E12F5B">
        <w:rPr>
          <w:color w:val="000000" w:themeColor="text1"/>
        </w:rPr>
        <w:t>calitativi</w:t>
      </w:r>
      <w:r w:rsidRPr="00E12F5B">
        <w:rPr>
          <w:color w:val="000000" w:themeColor="text1"/>
          <w:spacing w:val="1"/>
        </w:rPr>
        <w:t xml:space="preserve"> </w:t>
      </w:r>
      <w:r w:rsidRPr="00E12F5B">
        <w:rPr>
          <w:color w:val="000000" w:themeColor="text1"/>
        </w:rPr>
        <w:t>precum:</w:t>
      </w:r>
      <w:r w:rsidRPr="00E12F5B">
        <w:rPr>
          <w:color w:val="000000" w:themeColor="text1"/>
          <w:spacing w:val="1"/>
        </w:rPr>
        <w:t xml:space="preserve"> </w:t>
      </w:r>
      <w:r w:rsidRPr="00E12F5B">
        <w:rPr>
          <w:color w:val="000000" w:themeColor="text1"/>
        </w:rPr>
        <w:t>stabilă,</w:t>
      </w:r>
      <w:r w:rsidRPr="00E12F5B">
        <w:rPr>
          <w:color w:val="000000" w:themeColor="text1"/>
          <w:spacing w:val="1"/>
        </w:rPr>
        <w:t xml:space="preserve"> </w:t>
      </w:r>
      <w:r w:rsidRPr="00E12F5B">
        <w:rPr>
          <w:color w:val="000000" w:themeColor="text1"/>
        </w:rPr>
        <w:t>în</w:t>
      </w:r>
      <w:r w:rsidRPr="00E12F5B">
        <w:rPr>
          <w:color w:val="000000" w:themeColor="text1"/>
          <w:spacing w:val="1"/>
        </w:rPr>
        <w:t xml:space="preserve"> </w:t>
      </w:r>
      <w:r w:rsidRPr="00E12F5B">
        <w:rPr>
          <w:color w:val="000000" w:themeColor="text1"/>
        </w:rPr>
        <w:t>refacere,</w:t>
      </w:r>
      <w:r w:rsidRPr="00E12F5B">
        <w:rPr>
          <w:color w:val="000000" w:themeColor="text1"/>
          <w:spacing w:val="-1"/>
        </w:rPr>
        <w:t xml:space="preserve"> </w:t>
      </w:r>
      <w:r w:rsidRPr="00E12F5B">
        <w:rPr>
          <w:color w:val="000000" w:themeColor="text1"/>
        </w:rPr>
        <w:t>în declin și necunoscut.</w:t>
      </w:r>
    </w:p>
    <w:p w14:paraId="79346E78" w14:textId="77777777" w:rsidR="007D2E1E" w:rsidRPr="00E12F5B" w:rsidRDefault="007D2E1E" w:rsidP="00896C2C">
      <w:pPr>
        <w:widowControl w:val="0"/>
        <w:autoSpaceDE w:val="0"/>
        <w:autoSpaceDN w:val="0"/>
        <w:ind w:right="27"/>
        <w:jc w:val="both"/>
        <w:rPr>
          <w:color w:val="000000" w:themeColor="text1"/>
        </w:rPr>
      </w:pPr>
      <w:r w:rsidRPr="00E12F5B">
        <w:rPr>
          <w:color w:val="000000" w:themeColor="text1"/>
        </w:rPr>
        <w:t>Evaluarea tendințelor pe termen lung</w:t>
      </w:r>
      <w:r w:rsidRPr="00E12F5B">
        <w:rPr>
          <w:color w:val="000000" w:themeColor="text1"/>
          <w:spacing w:val="1"/>
        </w:rPr>
        <w:t xml:space="preserve"> </w:t>
      </w:r>
      <w:r w:rsidRPr="00E12F5B">
        <w:rPr>
          <w:color w:val="000000" w:themeColor="text1"/>
        </w:rPr>
        <w:t>reprezintă de asemenea cheie de control pentru analiza de</w:t>
      </w:r>
      <w:r w:rsidRPr="00E12F5B">
        <w:rPr>
          <w:color w:val="000000" w:themeColor="text1"/>
          <w:spacing w:val="1"/>
        </w:rPr>
        <w:t xml:space="preserve"> </w:t>
      </w:r>
      <w:r w:rsidRPr="00E12F5B">
        <w:rPr>
          <w:color w:val="000000" w:themeColor="text1"/>
        </w:rPr>
        <w:t>calitate</w:t>
      </w:r>
      <w:r w:rsidRPr="00E12F5B">
        <w:rPr>
          <w:color w:val="000000" w:themeColor="text1"/>
          <w:spacing w:val="-2"/>
        </w:rPr>
        <w:t xml:space="preserve"> </w:t>
      </w:r>
      <w:r w:rsidRPr="00E12F5B">
        <w:rPr>
          <w:color w:val="000000" w:themeColor="text1"/>
        </w:rPr>
        <w:t>a</w:t>
      </w:r>
      <w:r w:rsidRPr="00E12F5B">
        <w:rPr>
          <w:color w:val="000000" w:themeColor="text1"/>
          <w:spacing w:val="-1"/>
        </w:rPr>
        <w:t xml:space="preserve"> </w:t>
      </w:r>
      <w:r w:rsidRPr="00E12F5B">
        <w:rPr>
          <w:color w:val="000000" w:themeColor="text1"/>
        </w:rPr>
        <w:t>rezultatelor</w:t>
      </w:r>
      <w:r w:rsidRPr="00E12F5B">
        <w:rPr>
          <w:color w:val="000000" w:themeColor="text1"/>
          <w:spacing w:val="-1"/>
        </w:rPr>
        <w:t xml:space="preserve"> </w:t>
      </w:r>
      <w:r w:rsidRPr="00E12F5B">
        <w:rPr>
          <w:color w:val="000000" w:themeColor="text1"/>
        </w:rPr>
        <w:t>raportării succesive.</w:t>
      </w:r>
    </w:p>
    <w:p w14:paraId="6B7EEDE6" w14:textId="77777777" w:rsidR="007D2E1E" w:rsidRPr="00E12F5B" w:rsidRDefault="007D2E1E" w:rsidP="00896C2C">
      <w:pPr>
        <w:widowControl w:val="0"/>
        <w:autoSpaceDE w:val="0"/>
        <w:autoSpaceDN w:val="0"/>
        <w:spacing w:before="6"/>
        <w:ind w:right="27"/>
        <w:jc w:val="both"/>
        <w:rPr>
          <w:color w:val="000000" w:themeColor="text1"/>
        </w:rPr>
      </w:pPr>
    </w:p>
    <w:p w14:paraId="7F797794" w14:textId="77777777" w:rsidR="007D2E1E" w:rsidRPr="00E12F5B" w:rsidRDefault="007D2E1E" w:rsidP="00896C2C">
      <w:pPr>
        <w:widowControl w:val="0"/>
        <w:tabs>
          <w:tab w:val="left" w:pos="1312"/>
        </w:tabs>
        <w:autoSpaceDE w:val="0"/>
        <w:autoSpaceDN w:val="0"/>
        <w:ind w:right="27"/>
        <w:jc w:val="both"/>
        <w:outlineLvl w:val="1"/>
        <w:rPr>
          <w:rFonts w:eastAsia="Cambria"/>
          <w:b/>
          <w:bCs/>
          <w:color w:val="000000" w:themeColor="text1"/>
        </w:rPr>
      </w:pPr>
      <w:r w:rsidRPr="00E12F5B">
        <w:rPr>
          <w:rFonts w:eastAsia="Cambria"/>
          <w:b/>
          <w:bCs/>
          <w:color w:val="000000" w:themeColor="text1"/>
        </w:rPr>
        <w:t>Evaluarea</w:t>
      </w:r>
      <w:r w:rsidRPr="00E12F5B">
        <w:rPr>
          <w:rFonts w:eastAsia="Cambria"/>
          <w:b/>
          <w:bCs/>
          <w:color w:val="000000" w:themeColor="text1"/>
          <w:spacing w:val="-6"/>
        </w:rPr>
        <w:t xml:space="preserve"> </w:t>
      </w:r>
      <w:r w:rsidRPr="00E12F5B">
        <w:rPr>
          <w:rFonts w:eastAsia="Cambria"/>
          <w:b/>
          <w:bCs/>
          <w:color w:val="000000" w:themeColor="text1"/>
        </w:rPr>
        <w:t>presiunilor</w:t>
      </w:r>
      <w:r w:rsidRPr="00E12F5B">
        <w:rPr>
          <w:rFonts w:eastAsia="Cambria"/>
          <w:b/>
          <w:bCs/>
          <w:color w:val="000000" w:themeColor="text1"/>
          <w:spacing w:val="-6"/>
        </w:rPr>
        <w:t xml:space="preserve"> </w:t>
      </w:r>
      <w:r w:rsidRPr="00E12F5B">
        <w:rPr>
          <w:rFonts w:eastAsia="Cambria"/>
          <w:b/>
          <w:bCs/>
          <w:color w:val="000000" w:themeColor="text1"/>
        </w:rPr>
        <w:t>si</w:t>
      </w:r>
      <w:r w:rsidRPr="00E12F5B">
        <w:rPr>
          <w:rFonts w:eastAsia="Cambria"/>
          <w:b/>
          <w:bCs/>
          <w:color w:val="000000" w:themeColor="text1"/>
          <w:spacing w:val="-6"/>
        </w:rPr>
        <w:t xml:space="preserve"> </w:t>
      </w:r>
      <w:r w:rsidRPr="00E12F5B">
        <w:rPr>
          <w:rFonts w:eastAsia="Cambria"/>
          <w:b/>
          <w:bCs/>
          <w:color w:val="000000" w:themeColor="text1"/>
        </w:rPr>
        <w:t>amenințărilor</w:t>
      </w:r>
    </w:p>
    <w:p w14:paraId="71ED5FAD" w14:textId="77777777" w:rsidR="007D2E1E" w:rsidRPr="00E12F5B" w:rsidRDefault="007D2E1E" w:rsidP="00896C2C">
      <w:pPr>
        <w:widowControl w:val="0"/>
        <w:autoSpaceDE w:val="0"/>
        <w:autoSpaceDN w:val="0"/>
        <w:spacing w:before="157"/>
        <w:ind w:right="27"/>
        <w:jc w:val="both"/>
        <w:rPr>
          <w:color w:val="000000" w:themeColor="text1"/>
        </w:rPr>
      </w:pPr>
      <w:r w:rsidRPr="00E12F5B">
        <w:rPr>
          <w:color w:val="000000" w:themeColor="text1"/>
        </w:rPr>
        <w:t>Se utilizează nomenclatorul de presiuni și amenințări agreat la nivel european, atașat prezentului</w:t>
      </w:r>
      <w:r w:rsidRPr="00E12F5B">
        <w:rPr>
          <w:color w:val="000000" w:themeColor="text1"/>
          <w:spacing w:val="1"/>
        </w:rPr>
        <w:t xml:space="preserve"> </w:t>
      </w:r>
      <w:r w:rsidRPr="00E12F5B">
        <w:rPr>
          <w:color w:val="000000" w:themeColor="text1"/>
        </w:rPr>
        <w:t>document.</w:t>
      </w:r>
    </w:p>
    <w:p w14:paraId="3A7C53E1" w14:textId="77777777" w:rsidR="007D2E1E" w:rsidRPr="00E12F5B" w:rsidRDefault="007D2E1E" w:rsidP="00896C2C">
      <w:pPr>
        <w:widowControl w:val="0"/>
        <w:autoSpaceDE w:val="0"/>
        <w:autoSpaceDN w:val="0"/>
        <w:ind w:right="27"/>
        <w:jc w:val="both"/>
        <w:rPr>
          <w:color w:val="000000" w:themeColor="text1"/>
        </w:rPr>
      </w:pPr>
      <w:r w:rsidRPr="00E12F5B">
        <w:rPr>
          <w:color w:val="000000" w:themeColor="text1"/>
        </w:rPr>
        <w:t>Presiunile observate în studiul de teren sunt evaluate stabilindu-se intensitatea specifică a fiecăreia</w:t>
      </w:r>
      <w:r w:rsidRPr="00E12F5B">
        <w:rPr>
          <w:color w:val="000000" w:themeColor="text1"/>
          <w:spacing w:val="1"/>
        </w:rPr>
        <w:t xml:space="preserve"> </w:t>
      </w:r>
      <w:r w:rsidRPr="00E12F5B">
        <w:rPr>
          <w:color w:val="000000" w:themeColor="text1"/>
        </w:rPr>
        <w:t>ce se exercită asupra habitatului țintă. Categoriile de evaluare a intensității</w:t>
      </w:r>
      <w:r w:rsidRPr="00E12F5B">
        <w:rPr>
          <w:color w:val="000000" w:themeColor="text1"/>
          <w:spacing w:val="1"/>
        </w:rPr>
        <w:t xml:space="preserve"> </w:t>
      </w:r>
      <w:r w:rsidRPr="00E12F5B">
        <w:rPr>
          <w:color w:val="000000" w:themeColor="text1"/>
        </w:rPr>
        <w:t>sunt de asemenea de</w:t>
      </w:r>
      <w:r w:rsidRPr="00E12F5B">
        <w:rPr>
          <w:color w:val="000000" w:themeColor="text1"/>
          <w:spacing w:val="1"/>
        </w:rPr>
        <w:t xml:space="preserve"> </w:t>
      </w:r>
      <w:r w:rsidRPr="00E12F5B">
        <w:rPr>
          <w:color w:val="000000" w:themeColor="text1"/>
        </w:rPr>
        <w:t>nivel</w:t>
      </w:r>
      <w:r w:rsidRPr="00E12F5B">
        <w:rPr>
          <w:color w:val="000000" w:themeColor="text1"/>
          <w:spacing w:val="1"/>
        </w:rPr>
        <w:t xml:space="preserve"> </w:t>
      </w:r>
      <w:r w:rsidRPr="00E12F5B">
        <w:rPr>
          <w:color w:val="000000" w:themeColor="text1"/>
        </w:rPr>
        <w:t>calitativ,</w:t>
      </w:r>
      <w:r w:rsidRPr="00E12F5B">
        <w:rPr>
          <w:color w:val="000000" w:themeColor="text1"/>
          <w:spacing w:val="1"/>
        </w:rPr>
        <w:t xml:space="preserve"> </w:t>
      </w:r>
      <w:r w:rsidRPr="00E12F5B">
        <w:rPr>
          <w:color w:val="000000" w:themeColor="text1"/>
        </w:rPr>
        <w:t>respectiv:</w:t>
      </w:r>
      <w:r w:rsidRPr="00E12F5B">
        <w:rPr>
          <w:color w:val="000000" w:themeColor="text1"/>
          <w:spacing w:val="1"/>
        </w:rPr>
        <w:t xml:space="preserve"> </w:t>
      </w:r>
      <w:r w:rsidRPr="00E12F5B">
        <w:rPr>
          <w:color w:val="000000" w:themeColor="text1"/>
        </w:rPr>
        <w:t>intensitate</w:t>
      </w:r>
      <w:r w:rsidRPr="00E12F5B">
        <w:rPr>
          <w:color w:val="000000" w:themeColor="text1"/>
          <w:spacing w:val="1"/>
        </w:rPr>
        <w:t xml:space="preserve"> </w:t>
      </w:r>
      <w:r w:rsidRPr="00E12F5B">
        <w:rPr>
          <w:color w:val="000000" w:themeColor="text1"/>
        </w:rPr>
        <w:t>mică,</w:t>
      </w:r>
      <w:r w:rsidRPr="00E12F5B">
        <w:rPr>
          <w:color w:val="000000" w:themeColor="text1"/>
          <w:spacing w:val="1"/>
        </w:rPr>
        <w:t xml:space="preserve"> </w:t>
      </w:r>
      <w:r w:rsidRPr="00E12F5B">
        <w:rPr>
          <w:color w:val="000000" w:themeColor="text1"/>
        </w:rPr>
        <w:t>intensitate</w:t>
      </w:r>
      <w:r w:rsidRPr="00E12F5B">
        <w:rPr>
          <w:color w:val="000000" w:themeColor="text1"/>
          <w:spacing w:val="1"/>
        </w:rPr>
        <w:t xml:space="preserve"> </w:t>
      </w:r>
      <w:r w:rsidRPr="00E12F5B">
        <w:rPr>
          <w:color w:val="000000" w:themeColor="text1"/>
        </w:rPr>
        <w:t>medie,</w:t>
      </w:r>
      <w:r w:rsidRPr="00E12F5B">
        <w:rPr>
          <w:color w:val="000000" w:themeColor="text1"/>
          <w:spacing w:val="1"/>
        </w:rPr>
        <w:t xml:space="preserve"> </w:t>
      </w:r>
      <w:r w:rsidRPr="00E12F5B">
        <w:rPr>
          <w:color w:val="000000" w:themeColor="text1"/>
        </w:rPr>
        <w:t>intensitate</w:t>
      </w:r>
      <w:r w:rsidRPr="00E12F5B">
        <w:rPr>
          <w:color w:val="000000" w:themeColor="text1"/>
          <w:spacing w:val="1"/>
        </w:rPr>
        <w:t xml:space="preserve"> </w:t>
      </w:r>
      <w:r w:rsidRPr="00E12F5B">
        <w:rPr>
          <w:color w:val="000000" w:themeColor="text1"/>
        </w:rPr>
        <w:t>mare,</w:t>
      </w:r>
      <w:r w:rsidRPr="00E12F5B">
        <w:rPr>
          <w:color w:val="000000" w:themeColor="text1"/>
          <w:spacing w:val="1"/>
        </w:rPr>
        <w:t xml:space="preserve"> </w:t>
      </w:r>
      <w:r w:rsidRPr="00E12F5B">
        <w:rPr>
          <w:color w:val="000000" w:themeColor="text1"/>
        </w:rPr>
        <w:t>intensitate</w:t>
      </w:r>
      <w:r w:rsidRPr="00E12F5B">
        <w:rPr>
          <w:color w:val="000000" w:themeColor="text1"/>
          <w:spacing w:val="1"/>
        </w:rPr>
        <w:t xml:space="preserve"> </w:t>
      </w:r>
      <w:r w:rsidRPr="00E12F5B">
        <w:rPr>
          <w:color w:val="000000" w:themeColor="text1"/>
        </w:rPr>
        <w:t>necunoscută.</w:t>
      </w:r>
    </w:p>
    <w:p w14:paraId="4EAAA518" w14:textId="77777777" w:rsidR="007D2E1E" w:rsidRPr="00C56257" w:rsidRDefault="007D2E1E" w:rsidP="00896C2C">
      <w:pPr>
        <w:widowControl w:val="0"/>
        <w:autoSpaceDE w:val="0"/>
        <w:autoSpaceDN w:val="0"/>
        <w:spacing w:before="1"/>
        <w:ind w:right="27"/>
        <w:jc w:val="both"/>
        <w:rPr>
          <w:color w:val="000000" w:themeColor="text1"/>
        </w:rPr>
      </w:pPr>
      <w:r w:rsidRPr="00E12F5B">
        <w:rPr>
          <w:color w:val="000000" w:themeColor="text1"/>
        </w:rPr>
        <w:t>Amenințările</w:t>
      </w:r>
      <w:r w:rsidRPr="00E12F5B">
        <w:rPr>
          <w:color w:val="000000" w:themeColor="text1"/>
          <w:spacing w:val="1"/>
        </w:rPr>
        <w:t xml:space="preserve"> </w:t>
      </w:r>
      <w:r w:rsidRPr="00E12F5B">
        <w:rPr>
          <w:color w:val="000000" w:themeColor="text1"/>
        </w:rPr>
        <w:t>estimate,</w:t>
      </w:r>
      <w:r w:rsidRPr="00E12F5B">
        <w:rPr>
          <w:color w:val="000000" w:themeColor="text1"/>
          <w:spacing w:val="1"/>
        </w:rPr>
        <w:t xml:space="preserve"> </w:t>
      </w:r>
      <w:r w:rsidRPr="00E12F5B">
        <w:rPr>
          <w:color w:val="000000" w:themeColor="text1"/>
        </w:rPr>
        <w:t>în</w:t>
      </w:r>
      <w:r w:rsidRPr="00E12F5B">
        <w:rPr>
          <w:color w:val="000000" w:themeColor="text1"/>
          <w:spacing w:val="1"/>
        </w:rPr>
        <w:t xml:space="preserve"> </w:t>
      </w:r>
      <w:r w:rsidRPr="00E12F5B">
        <w:rPr>
          <w:color w:val="000000" w:themeColor="text1"/>
        </w:rPr>
        <w:t>urma</w:t>
      </w:r>
      <w:r w:rsidRPr="00E12F5B">
        <w:rPr>
          <w:color w:val="000000" w:themeColor="text1"/>
          <w:spacing w:val="1"/>
        </w:rPr>
        <w:t xml:space="preserve"> </w:t>
      </w:r>
      <w:r w:rsidRPr="00E12F5B">
        <w:rPr>
          <w:color w:val="000000" w:themeColor="text1"/>
        </w:rPr>
        <w:t>analizei</w:t>
      </w:r>
      <w:r w:rsidRPr="00E12F5B">
        <w:rPr>
          <w:color w:val="000000" w:themeColor="text1"/>
          <w:spacing w:val="1"/>
        </w:rPr>
        <w:t xml:space="preserve"> </w:t>
      </w:r>
      <w:r w:rsidRPr="00E12F5B">
        <w:rPr>
          <w:color w:val="000000" w:themeColor="text1"/>
        </w:rPr>
        <w:t>presiunilor</w:t>
      </w:r>
      <w:r w:rsidRPr="00E12F5B">
        <w:rPr>
          <w:color w:val="000000" w:themeColor="text1"/>
          <w:spacing w:val="1"/>
        </w:rPr>
        <w:t xml:space="preserve"> </w:t>
      </w:r>
      <w:r w:rsidRPr="00E12F5B">
        <w:rPr>
          <w:color w:val="000000" w:themeColor="text1"/>
        </w:rPr>
        <w:t>existente</w:t>
      </w:r>
      <w:r w:rsidRPr="00E12F5B">
        <w:rPr>
          <w:color w:val="000000" w:themeColor="text1"/>
          <w:spacing w:val="1"/>
        </w:rPr>
        <w:t xml:space="preserve"> </w:t>
      </w:r>
      <w:r w:rsidRPr="00E12F5B">
        <w:rPr>
          <w:color w:val="000000" w:themeColor="text1"/>
        </w:rPr>
        <w:t>observate</w:t>
      </w:r>
      <w:r w:rsidRPr="00E12F5B">
        <w:rPr>
          <w:color w:val="000000" w:themeColor="text1"/>
          <w:spacing w:val="1"/>
        </w:rPr>
        <w:t xml:space="preserve"> </w:t>
      </w:r>
      <w:r w:rsidRPr="00E12F5B">
        <w:rPr>
          <w:color w:val="000000" w:themeColor="text1"/>
        </w:rPr>
        <w:t>în</w:t>
      </w:r>
      <w:r w:rsidRPr="00E12F5B">
        <w:rPr>
          <w:color w:val="000000" w:themeColor="text1"/>
          <w:spacing w:val="1"/>
        </w:rPr>
        <w:t xml:space="preserve"> </w:t>
      </w:r>
      <w:r w:rsidRPr="00E12F5B">
        <w:rPr>
          <w:color w:val="000000" w:themeColor="text1"/>
        </w:rPr>
        <w:t>teren</w:t>
      </w:r>
      <w:r w:rsidRPr="00E12F5B">
        <w:rPr>
          <w:color w:val="000000" w:themeColor="text1"/>
          <w:spacing w:val="1"/>
        </w:rPr>
        <w:t xml:space="preserve"> </w:t>
      </w:r>
      <w:r w:rsidRPr="00E12F5B">
        <w:rPr>
          <w:color w:val="000000" w:themeColor="text1"/>
        </w:rPr>
        <w:t>sunt</w:t>
      </w:r>
      <w:r w:rsidRPr="00E12F5B">
        <w:rPr>
          <w:color w:val="000000" w:themeColor="text1"/>
          <w:spacing w:val="1"/>
        </w:rPr>
        <w:t xml:space="preserve"> </w:t>
      </w:r>
      <w:r w:rsidRPr="00E12F5B">
        <w:rPr>
          <w:color w:val="000000" w:themeColor="text1"/>
        </w:rPr>
        <w:t>evaluate,</w:t>
      </w:r>
      <w:r w:rsidRPr="00E12F5B">
        <w:rPr>
          <w:color w:val="000000" w:themeColor="text1"/>
          <w:spacing w:val="-57"/>
        </w:rPr>
        <w:t xml:space="preserve"> </w:t>
      </w:r>
      <w:r w:rsidRPr="00E12F5B">
        <w:rPr>
          <w:color w:val="000000" w:themeColor="text1"/>
        </w:rPr>
        <w:t>stabilindu-se</w:t>
      </w:r>
      <w:r w:rsidRPr="00E12F5B">
        <w:rPr>
          <w:color w:val="000000" w:themeColor="text1"/>
          <w:spacing w:val="13"/>
        </w:rPr>
        <w:t xml:space="preserve"> </w:t>
      </w:r>
      <w:r w:rsidRPr="00E12F5B">
        <w:rPr>
          <w:color w:val="000000" w:themeColor="text1"/>
        </w:rPr>
        <w:t>intensitatea</w:t>
      </w:r>
      <w:r w:rsidRPr="00E12F5B">
        <w:rPr>
          <w:color w:val="000000" w:themeColor="text1"/>
          <w:spacing w:val="16"/>
        </w:rPr>
        <w:t xml:space="preserve"> </w:t>
      </w:r>
      <w:r w:rsidRPr="00E12F5B">
        <w:rPr>
          <w:color w:val="000000" w:themeColor="text1"/>
        </w:rPr>
        <w:t>specifică</w:t>
      </w:r>
      <w:r w:rsidRPr="00E12F5B">
        <w:rPr>
          <w:color w:val="000000" w:themeColor="text1"/>
          <w:spacing w:val="14"/>
        </w:rPr>
        <w:t xml:space="preserve"> </w:t>
      </w:r>
      <w:r w:rsidRPr="00E12F5B">
        <w:rPr>
          <w:color w:val="000000" w:themeColor="text1"/>
        </w:rPr>
        <w:t>a</w:t>
      </w:r>
      <w:r w:rsidRPr="00E12F5B">
        <w:rPr>
          <w:color w:val="000000" w:themeColor="text1"/>
          <w:spacing w:val="16"/>
        </w:rPr>
        <w:t xml:space="preserve"> </w:t>
      </w:r>
      <w:r w:rsidRPr="00E12F5B">
        <w:rPr>
          <w:color w:val="000000" w:themeColor="text1"/>
        </w:rPr>
        <w:t>fiecăreia</w:t>
      </w:r>
      <w:r w:rsidRPr="00E12F5B">
        <w:rPr>
          <w:color w:val="000000" w:themeColor="text1"/>
          <w:spacing w:val="15"/>
        </w:rPr>
        <w:t xml:space="preserve"> </w:t>
      </w:r>
      <w:r w:rsidRPr="00E12F5B">
        <w:rPr>
          <w:color w:val="000000" w:themeColor="text1"/>
        </w:rPr>
        <w:t>ce</w:t>
      </w:r>
      <w:r w:rsidRPr="00E12F5B">
        <w:rPr>
          <w:color w:val="000000" w:themeColor="text1"/>
          <w:spacing w:val="17"/>
        </w:rPr>
        <w:t xml:space="preserve"> </w:t>
      </w:r>
      <w:r w:rsidRPr="00E12F5B">
        <w:rPr>
          <w:color w:val="000000" w:themeColor="text1"/>
        </w:rPr>
        <w:t>se</w:t>
      </w:r>
      <w:r w:rsidRPr="00E12F5B">
        <w:rPr>
          <w:color w:val="000000" w:themeColor="text1"/>
          <w:spacing w:val="14"/>
        </w:rPr>
        <w:t xml:space="preserve"> </w:t>
      </w:r>
      <w:r w:rsidRPr="00E12F5B">
        <w:rPr>
          <w:color w:val="000000" w:themeColor="text1"/>
        </w:rPr>
        <w:t>exercită</w:t>
      </w:r>
      <w:r w:rsidRPr="00E12F5B">
        <w:rPr>
          <w:color w:val="000000" w:themeColor="text1"/>
          <w:spacing w:val="16"/>
        </w:rPr>
        <w:t xml:space="preserve"> </w:t>
      </w:r>
      <w:r w:rsidRPr="00E12F5B">
        <w:rPr>
          <w:color w:val="000000" w:themeColor="text1"/>
        </w:rPr>
        <w:t>asupra</w:t>
      </w:r>
      <w:r w:rsidRPr="00E12F5B">
        <w:rPr>
          <w:color w:val="000000" w:themeColor="text1"/>
          <w:spacing w:val="16"/>
        </w:rPr>
        <w:t xml:space="preserve"> </w:t>
      </w:r>
      <w:r w:rsidRPr="00E12F5B">
        <w:rPr>
          <w:color w:val="000000" w:themeColor="text1"/>
        </w:rPr>
        <w:t>habitatului</w:t>
      </w:r>
      <w:r w:rsidRPr="00E12F5B">
        <w:rPr>
          <w:color w:val="000000" w:themeColor="text1"/>
          <w:spacing w:val="16"/>
        </w:rPr>
        <w:t xml:space="preserve"> </w:t>
      </w:r>
      <w:r w:rsidRPr="00E12F5B">
        <w:rPr>
          <w:color w:val="000000" w:themeColor="text1"/>
        </w:rPr>
        <w:t>țintă.</w:t>
      </w:r>
      <w:r w:rsidRPr="00E12F5B">
        <w:rPr>
          <w:color w:val="000000" w:themeColor="text1"/>
          <w:spacing w:val="15"/>
        </w:rPr>
        <w:t xml:space="preserve"> </w:t>
      </w:r>
      <w:r w:rsidRPr="00E12F5B">
        <w:rPr>
          <w:color w:val="000000" w:themeColor="text1"/>
        </w:rPr>
        <w:t>Categoriile</w:t>
      </w:r>
      <w:r w:rsidRPr="00E12F5B">
        <w:rPr>
          <w:color w:val="000000" w:themeColor="text1"/>
          <w:spacing w:val="15"/>
        </w:rPr>
        <w:t xml:space="preserve"> </w:t>
      </w:r>
      <w:r w:rsidRPr="00E12F5B">
        <w:rPr>
          <w:color w:val="000000" w:themeColor="text1"/>
        </w:rPr>
        <w:t>de</w:t>
      </w:r>
      <w:r w:rsidR="00C263E5" w:rsidRPr="00E12F5B">
        <w:rPr>
          <w:color w:val="000000" w:themeColor="text1"/>
        </w:rPr>
        <w:t xml:space="preserve"> </w:t>
      </w:r>
      <w:r w:rsidRPr="00E12F5B">
        <w:rPr>
          <w:color w:val="000000" w:themeColor="text1"/>
        </w:rPr>
        <w:t>evaluare</w:t>
      </w:r>
      <w:r w:rsidRPr="00E12F5B">
        <w:rPr>
          <w:color w:val="000000" w:themeColor="text1"/>
          <w:spacing w:val="35"/>
        </w:rPr>
        <w:t xml:space="preserve"> </w:t>
      </w:r>
      <w:r w:rsidRPr="00E12F5B">
        <w:rPr>
          <w:color w:val="000000" w:themeColor="text1"/>
        </w:rPr>
        <w:t>a</w:t>
      </w:r>
      <w:r w:rsidRPr="00E12F5B">
        <w:rPr>
          <w:color w:val="000000" w:themeColor="text1"/>
          <w:spacing w:val="36"/>
        </w:rPr>
        <w:t xml:space="preserve"> </w:t>
      </w:r>
      <w:r w:rsidRPr="00E12F5B">
        <w:rPr>
          <w:color w:val="000000" w:themeColor="text1"/>
        </w:rPr>
        <w:t>intensității</w:t>
      </w:r>
      <w:r w:rsidRPr="00E12F5B">
        <w:rPr>
          <w:color w:val="000000" w:themeColor="text1"/>
          <w:spacing w:val="36"/>
        </w:rPr>
        <w:t xml:space="preserve"> </w:t>
      </w:r>
      <w:r w:rsidRPr="00E12F5B">
        <w:rPr>
          <w:color w:val="000000" w:themeColor="text1"/>
        </w:rPr>
        <w:t>sunt</w:t>
      </w:r>
      <w:r w:rsidRPr="00E12F5B">
        <w:rPr>
          <w:color w:val="000000" w:themeColor="text1"/>
          <w:spacing w:val="37"/>
        </w:rPr>
        <w:t xml:space="preserve"> </w:t>
      </w:r>
      <w:r w:rsidRPr="00E12F5B">
        <w:rPr>
          <w:color w:val="000000" w:themeColor="text1"/>
        </w:rPr>
        <w:t>de</w:t>
      </w:r>
      <w:r w:rsidRPr="00E12F5B">
        <w:rPr>
          <w:color w:val="000000" w:themeColor="text1"/>
          <w:spacing w:val="36"/>
        </w:rPr>
        <w:t xml:space="preserve"> </w:t>
      </w:r>
      <w:r w:rsidRPr="00E12F5B">
        <w:rPr>
          <w:color w:val="000000" w:themeColor="text1"/>
        </w:rPr>
        <w:t>asemenea</w:t>
      </w:r>
      <w:r w:rsidRPr="00E12F5B">
        <w:rPr>
          <w:color w:val="000000" w:themeColor="text1"/>
          <w:spacing w:val="35"/>
        </w:rPr>
        <w:t xml:space="preserve"> </w:t>
      </w:r>
      <w:r w:rsidRPr="00E12F5B">
        <w:rPr>
          <w:color w:val="000000" w:themeColor="text1"/>
        </w:rPr>
        <w:t>de</w:t>
      </w:r>
      <w:r w:rsidRPr="00E12F5B">
        <w:rPr>
          <w:color w:val="000000" w:themeColor="text1"/>
          <w:spacing w:val="36"/>
        </w:rPr>
        <w:t xml:space="preserve"> </w:t>
      </w:r>
      <w:r w:rsidRPr="00E12F5B">
        <w:rPr>
          <w:color w:val="000000" w:themeColor="text1"/>
        </w:rPr>
        <w:t>nivel</w:t>
      </w:r>
      <w:r w:rsidRPr="00E12F5B">
        <w:rPr>
          <w:color w:val="000000" w:themeColor="text1"/>
          <w:spacing w:val="38"/>
        </w:rPr>
        <w:t xml:space="preserve"> </w:t>
      </w:r>
      <w:r w:rsidRPr="00E12F5B">
        <w:rPr>
          <w:color w:val="000000" w:themeColor="text1"/>
        </w:rPr>
        <w:t>calitativ,</w:t>
      </w:r>
      <w:r w:rsidRPr="00E12F5B">
        <w:rPr>
          <w:color w:val="000000" w:themeColor="text1"/>
          <w:spacing w:val="37"/>
        </w:rPr>
        <w:t xml:space="preserve"> </w:t>
      </w:r>
      <w:r w:rsidRPr="00E12F5B">
        <w:rPr>
          <w:color w:val="000000" w:themeColor="text1"/>
        </w:rPr>
        <w:t>respectiv:</w:t>
      </w:r>
      <w:r w:rsidRPr="00E12F5B">
        <w:rPr>
          <w:color w:val="000000" w:themeColor="text1"/>
          <w:spacing w:val="37"/>
        </w:rPr>
        <w:t xml:space="preserve"> </w:t>
      </w:r>
      <w:r w:rsidRPr="00E12F5B">
        <w:rPr>
          <w:color w:val="000000" w:themeColor="text1"/>
        </w:rPr>
        <w:t>intensitate</w:t>
      </w:r>
      <w:r w:rsidRPr="00E12F5B">
        <w:rPr>
          <w:color w:val="000000" w:themeColor="text1"/>
          <w:spacing w:val="35"/>
        </w:rPr>
        <w:t xml:space="preserve"> </w:t>
      </w:r>
      <w:r w:rsidRPr="00E12F5B">
        <w:rPr>
          <w:color w:val="000000" w:themeColor="text1"/>
        </w:rPr>
        <w:t>mică,</w:t>
      </w:r>
      <w:r w:rsidRPr="00E12F5B">
        <w:rPr>
          <w:color w:val="000000" w:themeColor="text1"/>
          <w:spacing w:val="37"/>
        </w:rPr>
        <w:t xml:space="preserve"> </w:t>
      </w:r>
      <w:r w:rsidRPr="00E12F5B">
        <w:rPr>
          <w:color w:val="000000" w:themeColor="text1"/>
        </w:rPr>
        <w:t>intensitate</w:t>
      </w:r>
      <w:r w:rsidRPr="00E12F5B">
        <w:rPr>
          <w:color w:val="000000" w:themeColor="text1"/>
          <w:spacing w:val="-57"/>
        </w:rPr>
        <w:t xml:space="preserve"> </w:t>
      </w:r>
      <w:r w:rsidRPr="00E12F5B">
        <w:rPr>
          <w:color w:val="000000" w:themeColor="text1"/>
        </w:rPr>
        <w:t>medie,</w:t>
      </w:r>
      <w:r w:rsidRPr="00E12F5B">
        <w:rPr>
          <w:color w:val="000000" w:themeColor="text1"/>
          <w:spacing w:val="-1"/>
        </w:rPr>
        <w:t xml:space="preserve"> </w:t>
      </w:r>
      <w:r w:rsidRPr="00E12F5B">
        <w:rPr>
          <w:color w:val="000000" w:themeColor="text1"/>
        </w:rPr>
        <w:t>intensitate mare, intensitate necunoscută.</w:t>
      </w:r>
    </w:p>
    <w:p w14:paraId="038C7911" w14:textId="77777777" w:rsidR="007D2E1E" w:rsidRPr="00C56257" w:rsidRDefault="007D2E1E" w:rsidP="008E33FD">
      <w:pPr>
        <w:widowControl w:val="0"/>
        <w:autoSpaceDE w:val="0"/>
        <w:autoSpaceDN w:val="0"/>
        <w:spacing w:before="6"/>
        <w:jc w:val="both"/>
        <w:rPr>
          <w:color w:val="000000" w:themeColor="text1"/>
        </w:rPr>
      </w:pPr>
    </w:p>
    <w:p w14:paraId="3F0D3181" w14:textId="77777777" w:rsidR="007D2E1E" w:rsidRPr="00C56257" w:rsidRDefault="007D2E1E" w:rsidP="008E33FD">
      <w:pPr>
        <w:widowControl w:val="0"/>
        <w:tabs>
          <w:tab w:val="left" w:pos="1312"/>
        </w:tabs>
        <w:autoSpaceDE w:val="0"/>
        <w:autoSpaceDN w:val="0"/>
        <w:jc w:val="both"/>
        <w:outlineLvl w:val="1"/>
        <w:rPr>
          <w:rFonts w:eastAsia="Cambria"/>
          <w:b/>
          <w:bCs/>
          <w:color w:val="000000" w:themeColor="text1"/>
        </w:rPr>
      </w:pPr>
      <w:r w:rsidRPr="00C56257">
        <w:rPr>
          <w:rFonts w:eastAsia="Cambria"/>
          <w:b/>
          <w:bCs/>
          <w:color w:val="000000" w:themeColor="text1"/>
        </w:rPr>
        <w:t>Agregarea</w:t>
      </w:r>
      <w:r w:rsidRPr="00C56257">
        <w:rPr>
          <w:rFonts w:eastAsia="Cambria"/>
          <w:b/>
          <w:bCs/>
          <w:color w:val="000000" w:themeColor="text1"/>
          <w:spacing w:val="-4"/>
        </w:rPr>
        <w:t xml:space="preserve"> </w:t>
      </w:r>
      <w:r w:rsidRPr="00C56257">
        <w:rPr>
          <w:rFonts w:eastAsia="Cambria"/>
          <w:b/>
          <w:bCs/>
          <w:color w:val="000000" w:themeColor="text1"/>
        </w:rPr>
        <w:t>informației</w:t>
      </w:r>
      <w:r w:rsidRPr="00C56257">
        <w:rPr>
          <w:rFonts w:eastAsia="Cambria"/>
          <w:b/>
          <w:bCs/>
          <w:color w:val="000000" w:themeColor="text1"/>
          <w:spacing w:val="-6"/>
        </w:rPr>
        <w:t xml:space="preserve"> </w:t>
      </w:r>
      <w:r w:rsidRPr="00C56257">
        <w:rPr>
          <w:rFonts w:eastAsia="Cambria"/>
          <w:b/>
          <w:bCs/>
          <w:color w:val="000000" w:themeColor="text1"/>
        </w:rPr>
        <w:t>din</w:t>
      </w:r>
      <w:r w:rsidRPr="00C56257">
        <w:rPr>
          <w:rFonts w:eastAsia="Cambria"/>
          <w:b/>
          <w:bCs/>
          <w:color w:val="000000" w:themeColor="text1"/>
          <w:spacing w:val="-4"/>
        </w:rPr>
        <w:t xml:space="preserve"> </w:t>
      </w:r>
      <w:r w:rsidRPr="00C56257">
        <w:rPr>
          <w:rFonts w:eastAsia="Cambria"/>
          <w:b/>
          <w:bCs/>
          <w:color w:val="000000" w:themeColor="text1"/>
        </w:rPr>
        <w:t>ploturi</w:t>
      </w:r>
      <w:r w:rsidRPr="00C56257">
        <w:rPr>
          <w:rFonts w:eastAsia="Cambria"/>
          <w:b/>
          <w:bCs/>
          <w:color w:val="000000" w:themeColor="text1"/>
          <w:spacing w:val="-5"/>
        </w:rPr>
        <w:t xml:space="preserve"> </w:t>
      </w:r>
      <w:r w:rsidRPr="00C56257">
        <w:rPr>
          <w:rFonts w:eastAsia="Cambria"/>
          <w:b/>
          <w:bCs/>
          <w:color w:val="000000" w:themeColor="text1"/>
        </w:rPr>
        <w:t>pe</w:t>
      </w:r>
      <w:r w:rsidRPr="00C56257">
        <w:rPr>
          <w:rFonts w:eastAsia="Cambria"/>
          <w:b/>
          <w:bCs/>
          <w:color w:val="000000" w:themeColor="text1"/>
          <w:spacing w:val="-5"/>
        </w:rPr>
        <w:t xml:space="preserve"> </w:t>
      </w:r>
      <w:r w:rsidRPr="00C56257">
        <w:rPr>
          <w:rFonts w:eastAsia="Cambria"/>
          <w:b/>
          <w:bCs/>
          <w:color w:val="000000" w:themeColor="text1"/>
        </w:rPr>
        <w:t>bioregiune</w:t>
      </w:r>
    </w:p>
    <w:p w14:paraId="783101C5" w14:textId="77777777" w:rsidR="007D2E1E" w:rsidRPr="00C56257" w:rsidRDefault="007D2E1E" w:rsidP="008E33FD">
      <w:pPr>
        <w:widowControl w:val="0"/>
        <w:autoSpaceDE w:val="0"/>
        <w:autoSpaceDN w:val="0"/>
        <w:spacing w:before="157"/>
        <w:jc w:val="both"/>
        <w:rPr>
          <w:color w:val="000000" w:themeColor="text1"/>
        </w:rPr>
      </w:pPr>
      <w:r w:rsidRPr="00C56257">
        <w:rPr>
          <w:color w:val="000000" w:themeColor="text1"/>
        </w:rPr>
        <w:t>Modul</w:t>
      </w:r>
      <w:r w:rsidRPr="00C56257">
        <w:rPr>
          <w:color w:val="000000" w:themeColor="text1"/>
          <w:spacing w:val="-2"/>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agregare</w:t>
      </w:r>
      <w:r w:rsidRPr="00C56257">
        <w:rPr>
          <w:color w:val="000000" w:themeColor="text1"/>
          <w:spacing w:val="-1"/>
        </w:rPr>
        <w:t xml:space="preserve"> </w:t>
      </w:r>
      <w:r w:rsidRPr="00C56257">
        <w:rPr>
          <w:color w:val="000000" w:themeColor="text1"/>
        </w:rPr>
        <w:t>a</w:t>
      </w:r>
      <w:r w:rsidRPr="00C56257">
        <w:rPr>
          <w:color w:val="000000" w:themeColor="text1"/>
          <w:spacing w:val="-2"/>
        </w:rPr>
        <w:t xml:space="preserve"> </w:t>
      </w:r>
      <w:r w:rsidRPr="00C56257">
        <w:rPr>
          <w:color w:val="000000" w:themeColor="text1"/>
        </w:rPr>
        <w:t>datelor</w:t>
      </w:r>
      <w:r w:rsidRPr="00C56257">
        <w:rPr>
          <w:color w:val="000000" w:themeColor="text1"/>
          <w:spacing w:val="-1"/>
        </w:rPr>
        <w:t xml:space="preserve"> </w:t>
      </w:r>
      <w:r w:rsidRPr="00C56257">
        <w:rPr>
          <w:color w:val="000000" w:themeColor="text1"/>
        </w:rPr>
        <w:t>se</w:t>
      </w:r>
      <w:r w:rsidRPr="00C56257">
        <w:rPr>
          <w:color w:val="000000" w:themeColor="text1"/>
          <w:spacing w:val="-2"/>
        </w:rPr>
        <w:t xml:space="preserve"> </w:t>
      </w:r>
      <w:r w:rsidRPr="00C56257">
        <w:rPr>
          <w:color w:val="000000" w:themeColor="text1"/>
        </w:rPr>
        <w:t>face</w:t>
      </w:r>
      <w:r w:rsidRPr="00C56257">
        <w:rPr>
          <w:color w:val="000000" w:themeColor="text1"/>
          <w:spacing w:val="-2"/>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două</w:t>
      </w:r>
      <w:r w:rsidRPr="00C56257">
        <w:rPr>
          <w:color w:val="000000" w:themeColor="text1"/>
          <w:spacing w:val="-1"/>
        </w:rPr>
        <w:t xml:space="preserve"> </w:t>
      </w:r>
      <w:r w:rsidRPr="00C56257">
        <w:rPr>
          <w:color w:val="000000" w:themeColor="text1"/>
        </w:rPr>
        <w:t>etape:</w:t>
      </w:r>
    </w:p>
    <w:p w14:paraId="0B1DCF97" w14:textId="77777777" w:rsidR="007D2E1E" w:rsidRPr="00C56257" w:rsidRDefault="007D2E1E" w:rsidP="00896C2C">
      <w:pPr>
        <w:widowControl w:val="0"/>
        <w:autoSpaceDE w:val="0"/>
        <w:autoSpaceDN w:val="0"/>
        <w:ind w:right="27"/>
        <w:jc w:val="both"/>
        <w:rPr>
          <w:color w:val="000000" w:themeColor="text1"/>
        </w:rPr>
      </w:pPr>
      <w:r w:rsidRPr="00C56257">
        <w:rPr>
          <w:color w:val="000000" w:themeColor="text1"/>
        </w:rPr>
        <w:t>Agregarea</w:t>
      </w:r>
      <w:r w:rsidRPr="00C56257">
        <w:rPr>
          <w:color w:val="000000" w:themeColor="text1"/>
          <w:spacing w:val="5"/>
        </w:rPr>
        <w:t xml:space="preserve"> </w:t>
      </w:r>
      <w:r w:rsidRPr="00C56257">
        <w:rPr>
          <w:color w:val="000000" w:themeColor="text1"/>
        </w:rPr>
        <w:t>spațială,</w:t>
      </w:r>
      <w:r w:rsidRPr="00C56257">
        <w:rPr>
          <w:color w:val="000000" w:themeColor="text1"/>
          <w:spacing w:val="4"/>
        </w:rPr>
        <w:t xml:space="preserve"> </w:t>
      </w:r>
      <w:r w:rsidRPr="00C56257">
        <w:rPr>
          <w:color w:val="000000" w:themeColor="text1"/>
        </w:rPr>
        <w:t>respectiv</w:t>
      </w:r>
      <w:r w:rsidRPr="00C56257">
        <w:rPr>
          <w:color w:val="000000" w:themeColor="text1"/>
          <w:spacing w:val="4"/>
        </w:rPr>
        <w:t xml:space="preserve"> </w:t>
      </w:r>
      <w:r w:rsidRPr="00C56257">
        <w:rPr>
          <w:color w:val="000000" w:themeColor="text1"/>
        </w:rPr>
        <w:t>generarea</w:t>
      </w:r>
      <w:r w:rsidRPr="00C56257">
        <w:rPr>
          <w:color w:val="000000" w:themeColor="text1"/>
          <w:spacing w:val="4"/>
        </w:rPr>
        <w:t xml:space="preserve"> </w:t>
      </w:r>
      <w:r w:rsidRPr="00C56257">
        <w:rPr>
          <w:color w:val="000000" w:themeColor="text1"/>
        </w:rPr>
        <w:t>hărților</w:t>
      </w:r>
      <w:r w:rsidRPr="00C56257">
        <w:rPr>
          <w:color w:val="000000" w:themeColor="text1"/>
          <w:spacing w:val="4"/>
        </w:rPr>
        <w:t xml:space="preserve"> </w:t>
      </w:r>
      <w:r w:rsidRPr="00C56257">
        <w:rPr>
          <w:color w:val="000000" w:themeColor="text1"/>
        </w:rPr>
        <w:t>în</w:t>
      </w:r>
      <w:r w:rsidRPr="00C56257">
        <w:rPr>
          <w:color w:val="000000" w:themeColor="text1"/>
          <w:spacing w:val="7"/>
        </w:rPr>
        <w:t xml:space="preserve"> </w:t>
      </w:r>
      <w:r w:rsidRPr="00C56257">
        <w:rPr>
          <w:color w:val="000000" w:themeColor="text1"/>
        </w:rPr>
        <w:t>conformitate</w:t>
      </w:r>
      <w:r w:rsidRPr="00C56257">
        <w:rPr>
          <w:color w:val="000000" w:themeColor="text1"/>
          <w:spacing w:val="4"/>
        </w:rPr>
        <w:t xml:space="preserve"> </w:t>
      </w:r>
      <w:r w:rsidRPr="00C56257">
        <w:rPr>
          <w:color w:val="000000" w:themeColor="text1"/>
        </w:rPr>
        <w:t>cu</w:t>
      </w:r>
      <w:r w:rsidRPr="00C56257">
        <w:rPr>
          <w:color w:val="000000" w:themeColor="text1"/>
          <w:spacing w:val="7"/>
        </w:rPr>
        <w:t xml:space="preserve"> </w:t>
      </w:r>
      <w:r w:rsidRPr="00C56257">
        <w:rPr>
          <w:color w:val="000000" w:themeColor="text1"/>
        </w:rPr>
        <w:t>formatul</w:t>
      </w:r>
      <w:r w:rsidRPr="00C56257">
        <w:rPr>
          <w:color w:val="000000" w:themeColor="text1"/>
          <w:spacing w:val="7"/>
        </w:rPr>
        <w:t xml:space="preserve"> </w:t>
      </w:r>
      <w:r w:rsidRPr="00C56257">
        <w:rPr>
          <w:color w:val="000000" w:themeColor="text1"/>
        </w:rPr>
        <w:t>de</w:t>
      </w:r>
      <w:r w:rsidRPr="00C56257">
        <w:rPr>
          <w:color w:val="000000" w:themeColor="text1"/>
          <w:spacing w:val="4"/>
        </w:rPr>
        <w:t xml:space="preserve"> </w:t>
      </w:r>
      <w:r w:rsidRPr="00C56257">
        <w:rPr>
          <w:color w:val="000000" w:themeColor="text1"/>
        </w:rPr>
        <w:t>raportare</w:t>
      </w:r>
      <w:r w:rsidRPr="00C56257">
        <w:rPr>
          <w:color w:val="000000" w:themeColor="text1"/>
          <w:spacing w:val="4"/>
        </w:rPr>
        <w:t xml:space="preserve"> </w:t>
      </w:r>
      <w:r w:rsidRPr="00C56257">
        <w:rPr>
          <w:color w:val="000000" w:themeColor="text1"/>
        </w:rPr>
        <w:t>pornind</w:t>
      </w:r>
      <w:r w:rsidRPr="00C56257">
        <w:rPr>
          <w:color w:val="000000" w:themeColor="text1"/>
          <w:spacing w:val="4"/>
        </w:rPr>
        <w:t xml:space="preserve"> </w:t>
      </w:r>
      <w:r w:rsidRPr="00C56257">
        <w:rPr>
          <w:color w:val="000000" w:themeColor="text1"/>
        </w:rPr>
        <w:t>de</w:t>
      </w:r>
      <w:r w:rsidRPr="00C56257">
        <w:rPr>
          <w:color w:val="000000" w:themeColor="text1"/>
          <w:spacing w:val="-57"/>
        </w:rPr>
        <w:t xml:space="preserve"> </w:t>
      </w:r>
      <w:r w:rsidRPr="00C56257">
        <w:rPr>
          <w:color w:val="000000" w:themeColor="text1"/>
        </w:rPr>
        <w:t>la ploturile evaluate (și estimate) sintetizându-se la nivel de bioregiune și respectiv la nivel național.</w:t>
      </w:r>
      <w:r w:rsidRPr="00C56257">
        <w:rPr>
          <w:color w:val="000000" w:themeColor="text1"/>
          <w:spacing w:val="-57"/>
        </w:rPr>
        <w:t xml:space="preserve"> </w:t>
      </w:r>
      <w:r w:rsidRPr="00C56257">
        <w:rPr>
          <w:color w:val="000000" w:themeColor="text1"/>
        </w:rPr>
        <w:t>Agregarea non-spațială care presupune generarea fișierelor specifice, în conformitate cu formatul de</w:t>
      </w:r>
      <w:r w:rsidRPr="00C56257">
        <w:rPr>
          <w:color w:val="000000" w:themeColor="text1"/>
          <w:spacing w:val="-57"/>
        </w:rPr>
        <w:t xml:space="preserve"> </w:t>
      </w:r>
      <w:r w:rsidRPr="00C56257">
        <w:rPr>
          <w:color w:val="000000" w:themeColor="text1"/>
        </w:rPr>
        <w:t>raportare, pornind de la datele agregate primar, prima agregare fiind prezentată în subcapitolul 4.1.</w:t>
      </w:r>
      <w:r w:rsidRPr="00C56257">
        <w:rPr>
          <w:color w:val="000000" w:themeColor="text1"/>
          <w:spacing w:val="1"/>
        </w:rPr>
        <w:t xml:space="preserve"> </w:t>
      </w:r>
      <w:r w:rsidRPr="00C56257">
        <w:rPr>
          <w:color w:val="000000" w:themeColor="text1"/>
        </w:rPr>
        <w:t>Al</w:t>
      </w:r>
      <w:r w:rsidRPr="00C56257">
        <w:rPr>
          <w:color w:val="000000" w:themeColor="text1"/>
          <w:spacing w:val="37"/>
        </w:rPr>
        <w:t xml:space="preserve"> </w:t>
      </w:r>
      <w:r w:rsidRPr="00C56257">
        <w:rPr>
          <w:color w:val="000000" w:themeColor="text1"/>
        </w:rPr>
        <w:t>doilea</w:t>
      </w:r>
      <w:r w:rsidRPr="00C56257">
        <w:rPr>
          <w:color w:val="000000" w:themeColor="text1"/>
          <w:spacing w:val="36"/>
        </w:rPr>
        <w:t xml:space="preserve"> </w:t>
      </w:r>
      <w:r w:rsidRPr="00C56257">
        <w:rPr>
          <w:color w:val="000000" w:themeColor="text1"/>
        </w:rPr>
        <w:t>nivel</w:t>
      </w:r>
      <w:r w:rsidRPr="00C56257">
        <w:rPr>
          <w:color w:val="000000" w:themeColor="text1"/>
          <w:spacing w:val="38"/>
        </w:rPr>
        <w:t xml:space="preserve"> </w:t>
      </w:r>
      <w:r w:rsidRPr="00C56257">
        <w:rPr>
          <w:color w:val="000000" w:themeColor="text1"/>
        </w:rPr>
        <w:t>de</w:t>
      </w:r>
      <w:r w:rsidRPr="00C56257">
        <w:rPr>
          <w:color w:val="000000" w:themeColor="text1"/>
          <w:spacing w:val="36"/>
        </w:rPr>
        <w:t xml:space="preserve"> </w:t>
      </w:r>
      <w:r w:rsidRPr="00C56257">
        <w:rPr>
          <w:color w:val="000000" w:themeColor="text1"/>
        </w:rPr>
        <w:t>agregare</w:t>
      </w:r>
      <w:r w:rsidRPr="00C56257">
        <w:rPr>
          <w:color w:val="000000" w:themeColor="text1"/>
          <w:spacing w:val="35"/>
        </w:rPr>
        <w:t xml:space="preserve"> </w:t>
      </w:r>
      <w:r w:rsidRPr="00C56257">
        <w:rPr>
          <w:color w:val="000000" w:themeColor="text1"/>
        </w:rPr>
        <w:t>este</w:t>
      </w:r>
      <w:r w:rsidRPr="00C56257">
        <w:rPr>
          <w:color w:val="000000" w:themeColor="text1"/>
          <w:spacing w:val="37"/>
        </w:rPr>
        <w:t xml:space="preserve"> </w:t>
      </w:r>
      <w:r w:rsidRPr="00C56257">
        <w:rPr>
          <w:color w:val="000000" w:themeColor="text1"/>
        </w:rPr>
        <w:t>al</w:t>
      </w:r>
      <w:r w:rsidRPr="00C56257">
        <w:rPr>
          <w:color w:val="000000" w:themeColor="text1"/>
          <w:spacing w:val="37"/>
        </w:rPr>
        <w:t xml:space="preserve"> </w:t>
      </w:r>
      <w:r w:rsidRPr="00C56257">
        <w:rPr>
          <w:color w:val="000000" w:themeColor="text1"/>
        </w:rPr>
        <w:t>atributelor</w:t>
      </w:r>
      <w:r w:rsidRPr="00C56257">
        <w:rPr>
          <w:color w:val="000000" w:themeColor="text1"/>
          <w:spacing w:val="39"/>
        </w:rPr>
        <w:t xml:space="preserve"> </w:t>
      </w:r>
      <w:r w:rsidRPr="00C56257">
        <w:rPr>
          <w:color w:val="000000" w:themeColor="text1"/>
        </w:rPr>
        <w:t>specifice</w:t>
      </w:r>
      <w:r w:rsidRPr="00C56257">
        <w:rPr>
          <w:color w:val="000000" w:themeColor="text1"/>
          <w:spacing w:val="35"/>
        </w:rPr>
        <w:t xml:space="preserve"> </w:t>
      </w:r>
      <w:r w:rsidRPr="00C56257">
        <w:rPr>
          <w:color w:val="000000" w:themeColor="text1"/>
        </w:rPr>
        <w:t>habitatelor</w:t>
      </w:r>
      <w:r w:rsidRPr="00C56257">
        <w:rPr>
          <w:color w:val="000000" w:themeColor="text1"/>
          <w:spacing w:val="36"/>
        </w:rPr>
        <w:t xml:space="preserve"> </w:t>
      </w:r>
      <w:r w:rsidRPr="00C56257">
        <w:rPr>
          <w:color w:val="000000" w:themeColor="text1"/>
        </w:rPr>
        <w:t>țintă</w:t>
      </w:r>
      <w:r w:rsidRPr="00C56257">
        <w:rPr>
          <w:color w:val="000000" w:themeColor="text1"/>
          <w:spacing w:val="37"/>
        </w:rPr>
        <w:t xml:space="preserve"> </w:t>
      </w:r>
      <w:r w:rsidRPr="00C56257">
        <w:rPr>
          <w:color w:val="000000" w:themeColor="text1"/>
        </w:rPr>
        <w:t>la</w:t>
      </w:r>
      <w:r w:rsidRPr="00C56257">
        <w:rPr>
          <w:color w:val="000000" w:themeColor="text1"/>
          <w:spacing w:val="39"/>
        </w:rPr>
        <w:t xml:space="preserve"> </w:t>
      </w:r>
      <w:r w:rsidRPr="00C56257">
        <w:rPr>
          <w:color w:val="000000" w:themeColor="text1"/>
        </w:rPr>
        <w:t>nivel</w:t>
      </w:r>
      <w:r w:rsidRPr="00C56257">
        <w:rPr>
          <w:color w:val="000000" w:themeColor="text1"/>
          <w:spacing w:val="37"/>
        </w:rPr>
        <w:t xml:space="preserve"> </w:t>
      </w:r>
      <w:r w:rsidRPr="00C56257">
        <w:rPr>
          <w:color w:val="000000" w:themeColor="text1"/>
        </w:rPr>
        <w:t>de</w:t>
      </w:r>
      <w:r w:rsidRPr="00C56257">
        <w:rPr>
          <w:color w:val="000000" w:themeColor="text1"/>
          <w:spacing w:val="37"/>
        </w:rPr>
        <w:t xml:space="preserve"> </w:t>
      </w:r>
      <w:r w:rsidRPr="00C56257">
        <w:rPr>
          <w:color w:val="000000" w:themeColor="text1"/>
        </w:rPr>
        <w:t>plot</w:t>
      </w:r>
      <w:r w:rsidRPr="00C56257">
        <w:rPr>
          <w:color w:val="000000" w:themeColor="text1"/>
          <w:spacing w:val="37"/>
        </w:rPr>
        <w:t xml:space="preserve"> </w:t>
      </w:r>
      <w:r w:rsidRPr="00C56257">
        <w:rPr>
          <w:color w:val="000000" w:themeColor="text1"/>
        </w:rPr>
        <w:t>ce</w:t>
      </w:r>
      <w:r w:rsidRPr="00C56257">
        <w:rPr>
          <w:color w:val="000000" w:themeColor="text1"/>
          <w:spacing w:val="37"/>
        </w:rPr>
        <w:t xml:space="preserve"> </w:t>
      </w:r>
      <w:r w:rsidRPr="00C56257">
        <w:rPr>
          <w:color w:val="000000" w:themeColor="text1"/>
        </w:rPr>
        <w:t>sunt</w:t>
      </w:r>
      <w:r w:rsidRPr="00C56257">
        <w:rPr>
          <w:color w:val="000000" w:themeColor="text1"/>
          <w:spacing w:val="-57"/>
        </w:rPr>
        <w:t xml:space="preserve"> </w:t>
      </w:r>
      <w:r w:rsidRPr="00C56257">
        <w:rPr>
          <w:color w:val="000000" w:themeColor="text1"/>
        </w:rPr>
        <w:t>ulterior</w:t>
      </w:r>
      <w:r w:rsidRPr="00C56257">
        <w:rPr>
          <w:color w:val="000000" w:themeColor="text1"/>
          <w:spacing w:val="-2"/>
        </w:rPr>
        <w:t xml:space="preserve"> </w:t>
      </w:r>
      <w:r w:rsidRPr="00C56257">
        <w:rPr>
          <w:color w:val="000000" w:themeColor="text1"/>
        </w:rPr>
        <w:t>corelate la</w:t>
      </w:r>
      <w:r w:rsidRPr="00C56257">
        <w:rPr>
          <w:color w:val="000000" w:themeColor="text1"/>
          <w:spacing w:val="-1"/>
        </w:rPr>
        <w:t xml:space="preserve"> </w:t>
      </w:r>
      <w:r w:rsidRPr="00C56257">
        <w:rPr>
          <w:color w:val="000000" w:themeColor="text1"/>
        </w:rPr>
        <w:t>nivel</w:t>
      </w:r>
      <w:r w:rsidRPr="00C56257">
        <w:rPr>
          <w:color w:val="000000" w:themeColor="text1"/>
          <w:spacing w:val="2"/>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bioregiune în vederea raportării.</w:t>
      </w:r>
    </w:p>
    <w:p w14:paraId="11B1926C" w14:textId="77777777" w:rsidR="007D2E1E" w:rsidRPr="00C56257" w:rsidRDefault="007D2E1E" w:rsidP="00896C2C">
      <w:pPr>
        <w:widowControl w:val="0"/>
        <w:autoSpaceDE w:val="0"/>
        <w:autoSpaceDN w:val="0"/>
        <w:spacing w:before="1"/>
        <w:ind w:right="27"/>
        <w:jc w:val="both"/>
        <w:rPr>
          <w:color w:val="000000" w:themeColor="text1"/>
        </w:rPr>
      </w:pPr>
      <w:r w:rsidRPr="00C56257">
        <w:rPr>
          <w:color w:val="000000" w:themeColor="text1"/>
        </w:rPr>
        <w:t>Informațiile din gridurile de 10 x 10 km (ploturi) la nivel de bioregiune se mediază pentru fiecare</w:t>
      </w:r>
      <w:r w:rsidRPr="00C56257">
        <w:rPr>
          <w:color w:val="000000" w:themeColor="text1"/>
          <w:spacing w:val="1"/>
        </w:rPr>
        <w:t xml:space="preserve"> </w:t>
      </w:r>
      <w:r w:rsidRPr="00C56257">
        <w:rPr>
          <w:color w:val="000000" w:themeColor="text1"/>
        </w:rPr>
        <w:t>categorie dintre parametrii de stare utilizându-se o medie ponderată pentru asumarea deciziei finale.</w:t>
      </w:r>
      <w:r w:rsidRPr="00C56257">
        <w:rPr>
          <w:color w:val="000000" w:themeColor="text1"/>
          <w:spacing w:val="-57"/>
        </w:rPr>
        <w:t xml:space="preserve"> </w:t>
      </w:r>
      <w:r w:rsidRPr="00C56257">
        <w:rPr>
          <w:color w:val="000000" w:themeColor="text1"/>
        </w:rPr>
        <w:t>Spre</w:t>
      </w:r>
      <w:r w:rsidRPr="00C56257">
        <w:rPr>
          <w:color w:val="000000" w:themeColor="text1"/>
          <w:spacing w:val="1"/>
        </w:rPr>
        <w:t xml:space="preserve"> </w:t>
      </w:r>
      <w:r w:rsidRPr="00C56257">
        <w:rPr>
          <w:color w:val="000000" w:themeColor="text1"/>
        </w:rPr>
        <w:t>exemplificare,</w:t>
      </w:r>
      <w:r w:rsidRPr="00C56257">
        <w:rPr>
          <w:color w:val="000000" w:themeColor="text1"/>
          <w:spacing w:val="1"/>
        </w:rPr>
        <w:t xml:space="preserve"> </w:t>
      </w:r>
      <w:r w:rsidRPr="00C56257">
        <w:rPr>
          <w:color w:val="000000" w:themeColor="text1"/>
        </w:rPr>
        <w:t>compoziția</w:t>
      </w:r>
      <w:r w:rsidRPr="00C56257">
        <w:rPr>
          <w:color w:val="000000" w:themeColor="text1"/>
          <w:spacing w:val="1"/>
        </w:rPr>
        <w:t xml:space="preserve"> </w:t>
      </w:r>
      <w:r w:rsidRPr="00C56257">
        <w:rPr>
          <w:color w:val="000000" w:themeColor="text1"/>
        </w:rPr>
        <w:t>specifică</w:t>
      </w:r>
      <w:r w:rsidRPr="00C56257">
        <w:rPr>
          <w:color w:val="000000" w:themeColor="text1"/>
          <w:spacing w:val="1"/>
        </w:rPr>
        <w:t xml:space="preserve"> </w:t>
      </w:r>
      <w:r w:rsidRPr="00C56257">
        <w:rPr>
          <w:color w:val="000000" w:themeColor="text1"/>
        </w:rPr>
        <w:t>ceea</w:t>
      </w:r>
      <w:r w:rsidRPr="00C56257">
        <w:rPr>
          <w:color w:val="000000" w:themeColor="text1"/>
          <w:spacing w:val="1"/>
        </w:rPr>
        <w:t xml:space="preserve"> </w:t>
      </w:r>
      <w:r w:rsidRPr="00C56257">
        <w:rPr>
          <w:color w:val="000000" w:themeColor="text1"/>
        </w:rPr>
        <w:t>ce</w:t>
      </w:r>
      <w:r w:rsidRPr="00C56257">
        <w:rPr>
          <w:color w:val="000000" w:themeColor="text1"/>
          <w:spacing w:val="1"/>
        </w:rPr>
        <w:t xml:space="preserve"> </w:t>
      </w:r>
      <w:r w:rsidRPr="00C56257">
        <w:rPr>
          <w:color w:val="000000" w:themeColor="text1"/>
        </w:rPr>
        <w:t>reprezintă</w:t>
      </w:r>
      <w:r w:rsidRPr="00C56257">
        <w:rPr>
          <w:color w:val="000000" w:themeColor="text1"/>
          <w:spacing w:val="1"/>
        </w:rPr>
        <w:t xml:space="preserve"> </w:t>
      </w:r>
      <w:r w:rsidRPr="00C56257">
        <w:rPr>
          <w:color w:val="000000" w:themeColor="text1"/>
        </w:rPr>
        <w:t>unul</w:t>
      </w:r>
      <w:r w:rsidRPr="00C56257">
        <w:rPr>
          <w:color w:val="000000" w:themeColor="text1"/>
          <w:spacing w:val="1"/>
        </w:rPr>
        <w:t xml:space="preserve"> </w:t>
      </w:r>
      <w:r w:rsidRPr="00C56257">
        <w:rPr>
          <w:color w:val="000000" w:themeColor="text1"/>
        </w:rPr>
        <w:t>dintre</w:t>
      </w:r>
      <w:r w:rsidRPr="00C56257">
        <w:rPr>
          <w:color w:val="000000" w:themeColor="text1"/>
          <w:spacing w:val="1"/>
        </w:rPr>
        <w:t xml:space="preserve"> </w:t>
      </w:r>
      <w:r w:rsidRPr="00C56257">
        <w:rPr>
          <w:color w:val="000000" w:themeColor="text1"/>
        </w:rPr>
        <w:t>parametrii</w:t>
      </w:r>
      <w:r w:rsidRPr="00C56257">
        <w:rPr>
          <w:color w:val="000000" w:themeColor="text1"/>
          <w:spacing w:val="1"/>
        </w:rPr>
        <w:t xml:space="preserve"> </w:t>
      </w:r>
      <w:r w:rsidRPr="00C56257">
        <w:rPr>
          <w:color w:val="000000" w:themeColor="text1"/>
        </w:rPr>
        <w:t>esențiali</w:t>
      </w:r>
      <w:r w:rsidRPr="00C56257">
        <w:rPr>
          <w:color w:val="000000" w:themeColor="text1"/>
          <w:spacing w:val="1"/>
        </w:rPr>
        <w:t xml:space="preserve"> </w:t>
      </w:r>
      <w:r w:rsidRPr="00C56257">
        <w:rPr>
          <w:color w:val="000000" w:themeColor="text1"/>
        </w:rPr>
        <w:t>în</w:t>
      </w:r>
      <w:r w:rsidRPr="00C56257">
        <w:rPr>
          <w:color w:val="000000" w:themeColor="text1"/>
          <w:spacing w:val="-57"/>
        </w:rPr>
        <w:t xml:space="preserve"> </w:t>
      </w:r>
      <w:r w:rsidRPr="00C56257">
        <w:rPr>
          <w:color w:val="000000" w:themeColor="text1"/>
        </w:rPr>
        <w:t>evaluarea structurii habitatelor va avea valori diferite de la un plot la altul, ceea ce impune ca din</w:t>
      </w:r>
      <w:r w:rsidRPr="00C56257">
        <w:rPr>
          <w:color w:val="000000" w:themeColor="text1"/>
          <w:spacing w:val="1"/>
        </w:rPr>
        <w:t xml:space="preserve"> </w:t>
      </w:r>
      <w:r w:rsidRPr="00C56257">
        <w:rPr>
          <w:color w:val="000000" w:themeColor="text1"/>
        </w:rPr>
        <w:t>punct de vedere sistematic să fie grupate pe clase de bogăție de specii diferită (mare, medie, mică);</w:t>
      </w:r>
      <w:r w:rsidRPr="00C56257">
        <w:rPr>
          <w:color w:val="000000" w:themeColor="text1"/>
          <w:spacing w:val="1"/>
        </w:rPr>
        <w:t xml:space="preserve"> </w:t>
      </w:r>
      <w:r w:rsidRPr="00C56257">
        <w:rPr>
          <w:color w:val="000000" w:themeColor="text1"/>
        </w:rPr>
        <w:t>ponderea fiecărei clase fiind cea care va duce la decizia specifică fiecărei bioregiuni. Astfel dacă la</w:t>
      </w:r>
      <w:r w:rsidRPr="00C56257">
        <w:rPr>
          <w:color w:val="000000" w:themeColor="text1"/>
          <w:spacing w:val="1"/>
        </w:rPr>
        <w:t xml:space="preserve"> </w:t>
      </w:r>
      <w:r w:rsidRPr="00C56257">
        <w:rPr>
          <w:color w:val="000000" w:themeColor="text1"/>
        </w:rPr>
        <w:t>habitatul 3230 vom obține peste 100 de ploturi care se încadrează în clasa de compoziție specifică</w:t>
      </w:r>
      <w:r w:rsidRPr="00C56257">
        <w:rPr>
          <w:color w:val="000000" w:themeColor="text1"/>
          <w:spacing w:val="1"/>
        </w:rPr>
        <w:t xml:space="preserve"> </w:t>
      </w:r>
      <w:r w:rsidRPr="00C56257">
        <w:rPr>
          <w:color w:val="000000" w:themeColor="text1"/>
        </w:rPr>
        <w:t>mare</w:t>
      </w:r>
      <w:r w:rsidRPr="00C56257">
        <w:rPr>
          <w:color w:val="000000" w:themeColor="text1"/>
          <w:spacing w:val="16"/>
        </w:rPr>
        <w:t xml:space="preserve"> </w:t>
      </w:r>
      <w:r w:rsidRPr="00C56257">
        <w:rPr>
          <w:color w:val="000000" w:themeColor="text1"/>
        </w:rPr>
        <w:t>(12</w:t>
      </w:r>
      <w:r w:rsidRPr="00C56257">
        <w:rPr>
          <w:color w:val="000000" w:themeColor="text1"/>
          <w:spacing w:val="17"/>
        </w:rPr>
        <w:t xml:space="preserve"> </w:t>
      </w:r>
      <w:r w:rsidRPr="00C56257">
        <w:rPr>
          <w:color w:val="000000" w:themeColor="text1"/>
        </w:rPr>
        <w:t>specii</w:t>
      </w:r>
      <w:r w:rsidRPr="00C56257">
        <w:rPr>
          <w:color w:val="000000" w:themeColor="text1"/>
          <w:spacing w:val="18"/>
        </w:rPr>
        <w:t xml:space="preserve"> </w:t>
      </w:r>
      <w:r w:rsidRPr="00C56257">
        <w:rPr>
          <w:color w:val="000000" w:themeColor="text1"/>
        </w:rPr>
        <w:t>caracteristice),</w:t>
      </w:r>
      <w:r w:rsidRPr="00C56257">
        <w:rPr>
          <w:color w:val="000000" w:themeColor="text1"/>
          <w:spacing w:val="16"/>
        </w:rPr>
        <w:t xml:space="preserve"> </w:t>
      </w:r>
      <w:r w:rsidRPr="00C56257">
        <w:rPr>
          <w:color w:val="000000" w:themeColor="text1"/>
        </w:rPr>
        <w:t>iar</w:t>
      </w:r>
      <w:r w:rsidRPr="00C56257">
        <w:rPr>
          <w:color w:val="000000" w:themeColor="text1"/>
          <w:spacing w:val="16"/>
        </w:rPr>
        <w:t xml:space="preserve"> </w:t>
      </w:r>
      <w:r w:rsidRPr="00C56257">
        <w:rPr>
          <w:color w:val="000000" w:themeColor="text1"/>
        </w:rPr>
        <w:t>în</w:t>
      </w:r>
      <w:r w:rsidRPr="00C56257">
        <w:rPr>
          <w:color w:val="000000" w:themeColor="text1"/>
          <w:spacing w:val="18"/>
        </w:rPr>
        <w:t xml:space="preserve"> </w:t>
      </w:r>
      <w:r w:rsidRPr="00C56257">
        <w:rPr>
          <w:color w:val="000000" w:themeColor="text1"/>
        </w:rPr>
        <w:t>clasa</w:t>
      </w:r>
      <w:r w:rsidRPr="00C56257">
        <w:rPr>
          <w:color w:val="000000" w:themeColor="text1"/>
          <w:spacing w:val="15"/>
        </w:rPr>
        <w:t xml:space="preserve"> </w:t>
      </w:r>
      <w:r w:rsidRPr="00C56257">
        <w:rPr>
          <w:color w:val="000000" w:themeColor="text1"/>
        </w:rPr>
        <w:t>de</w:t>
      </w:r>
      <w:r w:rsidRPr="00C56257">
        <w:rPr>
          <w:color w:val="000000" w:themeColor="text1"/>
          <w:spacing w:val="17"/>
        </w:rPr>
        <w:t xml:space="preserve"> </w:t>
      </w:r>
      <w:r w:rsidRPr="00C56257">
        <w:rPr>
          <w:color w:val="000000" w:themeColor="text1"/>
        </w:rPr>
        <w:lastRenderedPageBreak/>
        <w:t>compoziție</w:t>
      </w:r>
      <w:r w:rsidRPr="00C56257">
        <w:rPr>
          <w:color w:val="000000" w:themeColor="text1"/>
          <w:spacing w:val="17"/>
        </w:rPr>
        <w:t xml:space="preserve"> </w:t>
      </w:r>
      <w:r w:rsidRPr="00C56257">
        <w:rPr>
          <w:color w:val="000000" w:themeColor="text1"/>
        </w:rPr>
        <w:t>medie</w:t>
      </w:r>
      <w:r w:rsidRPr="00C56257">
        <w:rPr>
          <w:color w:val="000000" w:themeColor="text1"/>
          <w:spacing w:val="16"/>
        </w:rPr>
        <w:t xml:space="preserve"> </w:t>
      </w:r>
      <w:r w:rsidRPr="00C56257">
        <w:rPr>
          <w:color w:val="000000" w:themeColor="text1"/>
        </w:rPr>
        <w:t>(7</w:t>
      </w:r>
      <w:r w:rsidRPr="00C56257">
        <w:rPr>
          <w:color w:val="000000" w:themeColor="text1"/>
          <w:spacing w:val="17"/>
        </w:rPr>
        <w:t xml:space="preserve"> </w:t>
      </w:r>
      <w:r w:rsidRPr="00C56257">
        <w:rPr>
          <w:color w:val="000000" w:themeColor="text1"/>
        </w:rPr>
        <w:t>specii</w:t>
      </w:r>
      <w:r w:rsidRPr="00C56257">
        <w:rPr>
          <w:color w:val="000000" w:themeColor="text1"/>
          <w:spacing w:val="16"/>
        </w:rPr>
        <w:t xml:space="preserve"> </w:t>
      </w:r>
      <w:r w:rsidRPr="00C56257">
        <w:rPr>
          <w:color w:val="000000" w:themeColor="text1"/>
        </w:rPr>
        <w:t>caracteristice)</w:t>
      </w:r>
      <w:r w:rsidRPr="00C56257">
        <w:rPr>
          <w:color w:val="000000" w:themeColor="text1"/>
          <w:spacing w:val="16"/>
        </w:rPr>
        <w:t xml:space="preserve"> </w:t>
      </w:r>
      <w:r w:rsidRPr="00C56257">
        <w:rPr>
          <w:color w:val="000000" w:themeColor="text1"/>
        </w:rPr>
        <w:t>vom</w:t>
      </w:r>
      <w:r w:rsidRPr="00C56257">
        <w:rPr>
          <w:color w:val="000000" w:themeColor="text1"/>
          <w:spacing w:val="18"/>
        </w:rPr>
        <w:t xml:space="preserve"> </w:t>
      </w:r>
      <w:r w:rsidRPr="00C56257">
        <w:rPr>
          <w:color w:val="000000" w:themeColor="text1"/>
        </w:rPr>
        <w:t>avea</w:t>
      </w:r>
      <w:r w:rsidRPr="00C56257">
        <w:rPr>
          <w:color w:val="000000" w:themeColor="text1"/>
          <w:spacing w:val="-58"/>
        </w:rPr>
        <w:t xml:space="preserve"> </w:t>
      </w:r>
      <w:r w:rsidR="008470D7">
        <w:rPr>
          <w:color w:val="000000" w:themeColor="text1"/>
          <w:spacing w:val="-58"/>
        </w:rPr>
        <w:t xml:space="preserve"> </w:t>
      </w:r>
      <w:r w:rsidR="00896C2C">
        <w:rPr>
          <w:color w:val="000000" w:themeColor="text1"/>
          <w:spacing w:val="-58"/>
        </w:rPr>
        <w:t xml:space="preserve">  </w:t>
      </w:r>
      <w:r w:rsidR="00896C2C">
        <w:rPr>
          <w:color w:val="000000" w:themeColor="text1"/>
        </w:rPr>
        <w:t xml:space="preserve"> 66 de </w:t>
      </w:r>
      <w:r w:rsidRPr="00C56257">
        <w:rPr>
          <w:color w:val="000000" w:themeColor="text1"/>
        </w:rPr>
        <w:t>ploturi care se încadrează în aceasta, apoi în clasa de compoziție mică (3 specii caracteristice),</w:t>
      </w:r>
      <w:r w:rsidRPr="00C56257">
        <w:rPr>
          <w:color w:val="000000" w:themeColor="text1"/>
          <w:spacing w:val="1"/>
        </w:rPr>
        <w:t xml:space="preserve"> </w:t>
      </w:r>
      <w:r w:rsidRPr="00C56257">
        <w:rPr>
          <w:color w:val="000000" w:themeColor="text1"/>
        </w:rPr>
        <w:t>putem deduce că raportul pe bioregiunea țintă este considerat în stare favorabilă în ceea ce privește</w:t>
      </w:r>
      <w:r w:rsidRPr="00C56257">
        <w:rPr>
          <w:color w:val="000000" w:themeColor="text1"/>
          <w:spacing w:val="1"/>
        </w:rPr>
        <w:t xml:space="preserve"> </w:t>
      </w:r>
      <w:r w:rsidRPr="00C56257">
        <w:rPr>
          <w:color w:val="000000" w:themeColor="text1"/>
        </w:rPr>
        <w:t>evaluarea</w:t>
      </w:r>
      <w:r w:rsidRPr="00C56257">
        <w:rPr>
          <w:color w:val="000000" w:themeColor="text1"/>
          <w:spacing w:val="-2"/>
        </w:rPr>
        <w:t xml:space="preserve"> </w:t>
      </w:r>
      <w:r w:rsidRPr="00C56257">
        <w:rPr>
          <w:color w:val="000000" w:themeColor="text1"/>
        </w:rPr>
        <w:t>structurii.</w:t>
      </w:r>
    </w:p>
    <w:p w14:paraId="644B0669" w14:textId="77777777" w:rsidR="007D2E1E" w:rsidRPr="00C56257" w:rsidRDefault="007D2E1E" w:rsidP="00896C2C">
      <w:pPr>
        <w:widowControl w:val="0"/>
        <w:autoSpaceDE w:val="0"/>
        <w:autoSpaceDN w:val="0"/>
        <w:spacing w:before="1"/>
        <w:ind w:right="27"/>
        <w:jc w:val="both"/>
        <w:rPr>
          <w:color w:val="000000" w:themeColor="text1"/>
        </w:rPr>
      </w:pPr>
      <w:r w:rsidRPr="00C56257">
        <w:rPr>
          <w:color w:val="000000" w:themeColor="text1"/>
        </w:rPr>
        <w:t>Al</w:t>
      </w:r>
      <w:r w:rsidRPr="00C56257">
        <w:rPr>
          <w:color w:val="000000" w:themeColor="text1"/>
          <w:spacing w:val="31"/>
        </w:rPr>
        <w:t xml:space="preserve"> </w:t>
      </w:r>
      <w:r w:rsidRPr="00C56257">
        <w:rPr>
          <w:color w:val="000000" w:themeColor="text1"/>
        </w:rPr>
        <w:t>treilea</w:t>
      </w:r>
      <w:r w:rsidRPr="00C56257">
        <w:rPr>
          <w:color w:val="000000" w:themeColor="text1"/>
          <w:spacing w:val="30"/>
        </w:rPr>
        <w:t xml:space="preserve"> </w:t>
      </w:r>
      <w:r w:rsidRPr="00C56257">
        <w:rPr>
          <w:color w:val="000000" w:themeColor="text1"/>
        </w:rPr>
        <w:t>nivel</w:t>
      </w:r>
      <w:r w:rsidRPr="00C56257">
        <w:rPr>
          <w:color w:val="000000" w:themeColor="text1"/>
          <w:spacing w:val="32"/>
        </w:rPr>
        <w:t xml:space="preserve"> </w:t>
      </w:r>
      <w:r w:rsidRPr="00C56257">
        <w:rPr>
          <w:color w:val="000000" w:themeColor="text1"/>
        </w:rPr>
        <w:t>de</w:t>
      </w:r>
      <w:r w:rsidRPr="00C56257">
        <w:rPr>
          <w:color w:val="000000" w:themeColor="text1"/>
          <w:spacing w:val="30"/>
        </w:rPr>
        <w:t xml:space="preserve"> </w:t>
      </w:r>
      <w:r w:rsidRPr="00C56257">
        <w:rPr>
          <w:color w:val="000000" w:themeColor="text1"/>
        </w:rPr>
        <w:t>agregare</w:t>
      </w:r>
      <w:r w:rsidRPr="00C56257">
        <w:rPr>
          <w:color w:val="000000" w:themeColor="text1"/>
          <w:spacing w:val="30"/>
        </w:rPr>
        <w:t xml:space="preserve"> </w:t>
      </w:r>
      <w:r w:rsidRPr="00C56257">
        <w:rPr>
          <w:color w:val="000000" w:themeColor="text1"/>
        </w:rPr>
        <w:t>este</w:t>
      </w:r>
      <w:r w:rsidRPr="00C56257">
        <w:rPr>
          <w:color w:val="000000" w:themeColor="text1"/>
          <w:spacing w:val="31"/>
        </w:rPr>
        <w:t xml:space="preserve"> </w:t>
      </w:r>
      <w:r w:rsidRPr="00C56257">
        <w:rPr>
          <w:color w:val="000000" w:themeColor="text1"/>
        </w:rPr>
        <w:t>al</w:t>
      </w:r>
      <w:r w:rsidRPr="00C56257">
        <w:rPr>
          <w:color w:val="000000" w:themeColor="text1"/>
          <w:spacing w:val="32"/>
        </w:rPr>
        <w:t xml:space="preserve"> </w:t>
      </w:r>
      <w:r w:rsidRPr="00C56257">
        <w:rPr>
          <w:color w:val="000000" w:themeColor="text1"/>
        </w:rPr>
        <w:t>atributelor</w:t>
      </w:r>
      <w:r w:rsidRPr="00C56257">
        <w:rPr>
          <w:color w:val="000000" w:themeColor="text1"/>
          <w:spacing w:val="31"/>
        </w:rPr>
        <w:t xml:space="preserve"> </w:t>
      </w:r>
      <w:r w:rsidRPr="00C56257">
        <w:rPr>
          <w:color w:val="000000" w:themeColor="text1"/>
        </w:rPr>
        <w:t>la</w:t>
      </w:r>
      <w:r w:rsidRPr="00C56257">
        <w:rPr>
          <w:color w:val="000000" w:themeColor="text1"/>
          <w:spacing w:val="34"/>
        </w:rPr>
        <w:t xml:space="preserve"> </w:t>
      </w:r>
      <w:r w:rsidRPr="00C56257">
        <w:rPr>
          <w:color w:val="000000" w:themeColor="text1"/>
        </w:rPr>
        <w:t>nivel</w:t>
      </w:r>
      <w:r w:rsidRPr="00C56257">
        <w:rPr>
          <w:color w:val="000000" w:themeColor="text1"/>
          <w:spacing w:val="31"/>
        </w:rPr>
        <w:t xml:space="preserve"> </w:t>
      </w:r>
      <w:r w:rsidRPr="00C56257">
        <w:rPr>
          <w:color w:val="000000" w:themeColor="text1"/>
        </w:rPr>
        <w:t>național</w:t>
      </w:r>
      <w:r w:rsidRPr="00C56257">
        <w:rPr>
          <w:color w:val="000000" w:themeColor="text1"/>
          <w:spacing w:val="32"/>
        </w:rPr>
        <w:t xml:space="preserve"> </w:t>
      </w:r>
      <w:r w:rsidRPr="00C56257">
        <w:rPr>
          <w:color w:val="000000" w:themeColor="text1"/>
        </w:rPr>
        <w:t>rezultate</w:t>
      </w:r>
      <w:r w:rsidRPr="00C56257">
        <w:rPr>
          <w:color w:val="000000" w:themeColor="text1"/>
          <w:spacing w:val="28"/>
        </w:rPr>
        <w:t xml:space="preserve"> </w:t>
      </w:r>
      <w:r w:rsidRPr="00C56257">
        <w:rPr>
          <w:color w:val="000000" w:themeColor="text1"/>
        </w:rPr>
        <w:t>din</w:t>
      </w:r>
      <w:r w:rsidRPr="00C56257">
        <w:rPr>
          <w:color w:val="000000" w:themeColor="text1"/>
          <w:spacing w:val="32"/>
        </w:rPr>
        <w:t xml:space="preserve"> </w:t>
      </w:r>
      <w:r w:rsidRPr="00C56257">
        <w:rPr>
          <w:color w:val="000000" w:themeColor="text1"/>
        </w:rPr>
        <w:t>agregarea</w:t>
      </w:r>
      <w:r w:rsidRPr="00C56257">
        <w:rPr>
          <w:color w:val="000000" w:themeColor="text1"/>
          <w:spacing w:val="30"/>
        </w:rPr>
        <w:t xml:space="preserve"> </w:t>
      </w:r>
      <w:r w:rsidRPr="00C56257">
        <w:rPr>
          <w:color w:val="000000" w:themeColor="text1"/>
        </w:rPr>
        <w:t>datelor</w:t>
      </w:r>
      <w:r w:rsidRPr="00C56257">
        <w:rPr>
          <w:color w:val="000000" w:themeColor="text1"/>
          <w:spacing w:val="31"/>
        </w:rPr>
        <w:t xml:space="preserve"> </w:t>
      </w:r>
      <w:r w:rsidRPr="00C56257">
        <w:rPr>
          <w:color w:val="000000" w:themeColor="text1"/>
        </w:rPr>
        <w:t>la</w:t>
      </w:r>
      <w:r w:rsidRPr="00C56257">
        <w:rPr>
          <w:color w:val="000000" w:themeColor="text1"/>
          <w:spacing w:val="-58"/>
        </w:rPr>
        <w:t xml:space="preserve"> </w:t>
      </w:r>
      <w:r w:rsidRPr="00C56257">
        <w:rPr>
          <w:color w:val="000000" w:themeColor="text1"/>
        </w:rPr>
        <w:t>nivel</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bioregiune.</w:t>
      </w:r>
    </w:p>
    <w:p w14:paraId="2D41C76F" w14:textId="77777777" w:rsidR="007D2E1E" w:rsidRPr="00C56257" w:rsidRDefault="007D2E1E" w:rsidP="00896C2C">
      <w:pPr>
        <w:widowControl w:val="0"/>
        <w:autoSpaceDE w:val="0"/>
        <w:autoSpaceDN w:val="0"/>
        <w:spacing w:before="6"/>
        <w:ind w:right="27"/>
        <w:jc w:val="both"/>
        <w:rPr>
          <w:color w:val="000000" w:themeColor="text1"/>
        </w:rPr>
      </w:pPr>
    </w:p>
    <w:p w14:paraId="4F8CA645" w14:textId="77777777" w:rsidR="009C3F22" w:rsidRPr="00C56257" w:rsidRDefault="009C3F22" w:rsidP="00896C2C">
      <w:pPr>
        <w:widowControl w:val="0"/>
        <w:autoSpaceDE w:val="0"/>
        <w:autoSpaceDN w:val="0"/>
        <w:ind w:right="27"/>
        <w:jc w:val="both"/>
        <w:rPr>
          <w:color w:val="000000" w:themeColor="text1"/>
        </w:rPr>
      </w:pPr>
      <w:bookmarkStart w:id="29" w:name="_TOC_250003"/>
    </w:p>
    <w:bookmarkEnd w:id="29"/>
    <w:p w14:paraId="61D380B4" w14:textId="77777777" w:rsidR="007D2E1E" w:rsidRPr="008470D7" w:rsidRDefault="008470D7" w:rsidP="00896C2C">
      <w:pPr>
        <w:widowControl w:val="0"/>
        <w:autoSpaceDE w:val="0"/>
        <w:autoSpaceDN w:val="0"/>
        <w:ind w:right="27"/>
        <w:jc w:val="both"/>
        <w:rPr>
          <w:b/>
          <w:color w:val="000000" w:themeColor="text1"/>
        </w:rPr>
      </w:pPr>
      <w:r>
        <w:rPr>
          <w:b/>
          <w:color w:val="000000" w:themeColor="text1"/>
        </w:rPr>
        <w:t>P</w:t>
      </w:r>
      <w:r w:rsidR="007D2E1E" w:rsidRPr="008470D7">
        <w:rPr>
          <w:b/>
          <w:color w:val="000000" w:themeColor="text1"/>
        </w:rPr>
        <w:t>lanul de monitorizare a habitatelor de apă dulce este parte a metodologiei de monitorizare și sunt</w:t>
      </w:r>
      <w:r w:rsidR="007D2E1E" w:rsidRPr="008470D7">
        <w:rPr>
          <w:b/>
          <w:color w:val="000000" w:themeColor="text1"/>
          <w:spacing w:val="1"/>
        </w:rPr>
        <w:t xml:space="preserve"> </w:t>
      </w:r>
      <w:r w:rsidR="007D2E1E" w:rsidRPr="008470D7">
        <w:rPr>
          <w:b/>
          <w:color w:val="000000" w:themeColor="text1"/>
        </w:rPr>
        <w:t>redate următoarele elemente: codul Natura 2000 și denumirea habitatului, perioadele optime de</w:t>
      </w:r>
      <w:r w:rsidR="007D2E1E" w:rsidRPr="008470D7">
        <w:rPr>
          <w:b/>
          <w:color w:val="000000" w:themeColor="text1"/>
          <w:spacing w:val="1"/>
        </w:rPr>
        <w:t xml:space="preserve"> </w:t>
      </w:r>
      <w:r w:rsidR="007D2E1E" w:rsidRPr="008470D7">
        <w:rPr>
          <w:b/>
          <w:color w:val="000000" w:themeColor="text1"/>
        </w:rPr>
        <w:t>monitorizare,</w:t>
      </w:r>
      <w:r w:rsidR="007D2E1E" w:rsidRPr="008470D7">
        <w:rPr>
          <w:b/>
          <w:color w:val="000000" w:themeColor="text1"/>
          <w:spacing w:val="-1"/>
        </w:rPr>
        <w:t xml:space="preserve"> </w:t>
      </w:r>
      <w:r w:rsidR="007D2E1E" w:rsidRPr="008470D7">
        <w:rPr>
          <w:b/>
          <w:color w:val="000000" w:themeColor="text1"/>
        </w:rPr>
        <w:t>metoda</w:t>
      </w:r>
      <w:r w:rsidR="007D2E1E" w:rsidRPr="008470D7">
        <w:rPr>
          <w:b/>
          <w:color w:val="000000" w:themeColor="text1"/>
          <w:spacing w:val="-1"/>
        </w:rPr>
        <w:t xml:space="preserve"> </w:t>
      </w:r>
      <w:r w:rsidR="007D2E1E" w:rsidRPr="008470D7">
        <w:rPr>
          <w:b/>
          <w:color w:val="000000" w:themeColor="text1"/>
        </w:rPr>
        <w:t>utilizată și</w:t>
      </w:r>
      <w:r w:rsidR="007D2E1E" w:rsidRPr="008470D7">
        <w:rPr>
          <w:b/>
          <w:color w:val="000000" w:themeColor="text1"/>
          <w:spacing w:val="-1"/>
        </w:rPr>
        <w:t xml:space="preserve"> </w:t>
      </w:r>
      <w:r w:rsidR="007D2E1E" w:rsidRPr="008470D7">
        <w:rPr>
          <w:b/>
          <w:color w:val="000000" w:themeColor="text1"/>
        </w:rPr>
        <w:t>anumite observații</w:t>
      </w:r>
      <w:r w:rsidR="007D2E1E" w:rsidRPr="008470D7">
        <w:rPr>
          <w:b/>
          <w:color w:val="000000" w:themeColor="text1"/>
          <w:spacing w:val="-1"/>
        </w:rPr>
        <w:t xml:space="preserve"> </w:t>
      </w:r>
      <w:r w:rsidR="007D2E1E" w:rsidRPr="008470D7">
        <w:rPr>
          <w:b/>
          <w:color w:val="000000" w:themeColor="text1"/>
        </w:rPr>
        <w:t>(de</w:t>
      </w:r>
      <w:r w:rsidR="007D2E1E" w:rsidRPr="008470D7">
        <w:rPr>
          <w:b/>
          <w:color w:val="000000" w:themeColor="text1"/>
          <w:spacing w:val="-2"/>
        </w:rPr>
        <w:t xml:space="preserve"> </w:t>
      </w:r>
      <w:r w:rsidR="007D2E1E" w:rsidRPr="008470D7">
        <w:rPr>
          <w:b/>
          <w:color w:val="000000" w:themeColor="text1"/>
        </w:rPr>
        <w:t>la caz</w:t>
      </w:r>
      <w:r w:rsidR="007D2E1E" w:rsidRPr="008470D7">
        <w:rPr>
          <w:b/>
          <w:color w:val="000000" w:themeColor="text1"/>
          <w:spacing w:val="1"/>
        </w:rPr>
        <w:t xml:space="preserve"> </w:t>
      </w:r>
      <w:r w:rsidR="007D2E1E" w:rsidRPr="008470D7">
        <w:rPr>
          <w:b/>
          <w:color w:val="000000" w:themeColor="text1"/>
        </w:rPr>
        <w:t>la caz).</w:t>
      </w:r>
    </w:p>
    <w:p w14:paraId="09FD58DA" w14:textId="77777777" w:rsidR="005D50D2" w:rsidRDefault="005D50D2" w:rsidP="00896C2C">
      <w:pPr>
        <w:widowControl w:val="0"/>
        <w:autoSpaceDE w:val="0"/>
        <w:autoSpaceDN w:val="0"/>
        <w:ind w:right="27"/>
        <w:jc w:val="both"/>
        <w:rPr>
          <w:color w:val="000000" w:themeColor="text1"/>
        </w:rPr>
      </w:pPr>
    </w:p>
    <w:p w14:paraId="57466668" w14:textId="77777777" w:rsidR="005D50D2" w:rsidRDefault="005D50D2" w:rsidP="00896C2C">
      <w:pPr>
        <w:widowControl w:val="0"/>
        <w:autoSpaceDE w:val="0"/>
        <w:autoSpaceDN w:val="0"/>
        <w:ind w:right="27"/>
        <w:jc w:val="both"/>
        <w:rPr>
          <w:color w:val="000000" w:themeColor="text1"/>
          <w:spacing w:val="1"/>
        </w:rPr>
        <w:sectPr w:rsidR="005D50D2" w:rsidSect="002236E9">
          <w:headerReference w:type="even" r:id="rId58"/>
          <w:headerReference w:type="default" r:id="rId59"/>
          <w:footerReference w:type="default" r:id="rId60"/>
          <w:headerReference w:type="first" r:id="rId61"/>
          <w:pgSz w:w="11910" w:h="16840"/>
          <w:pgMar w:top="1066" w:right="878" w:bottom="1685" w:left="835" w:header="0" w:footer="1411" w:gutter="0"/>
          <w:cols w:space="708"/>
        </w:sectPr>
      </w:pPr>
    </w:p>
    <w:tbl>
      <w:tblPr>
        <w:tblW w:w="1360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521"/>
        <w:gridCol w:w="9"/>
        <w:gridCol w:w="548"/>
        <w:gridCol w:w="9"/>
        <w:gridCol w:w="562"/>
        <w:gridCol w:w="9"/>
        <w:gridCol w:w="557"/>
        <w:gridCol w:w="9"/>
        <w:gridCol w:w="559"/>
        <w:gridCol w:w="9"/>
        <w:gridCol w:w="559"/>
        <w:gridCol w:w="9"/>
        <w:gridCol w:w="507"/>
        <w:gridCol w:w="9"/>
        <w:gridCol w:w="557"/>
        <w:gridCol w:w="9"/>
        <w:gridCol w:w="559"/>
        <w:gridCol w:w="9"/>
        <w:gridCol w:w="557"/>
        <w:gridCol w:w="9"/>
        <w:gridCol w:w="557"/>
        <w:gridCol w:w="9"/>
        <w:gridCol w:w="521"/>
        <w:gridCol w:w="9"/>
        <w:gridCol w:w="2542"/>
        <w:gridCol w:w="31"/>
        <w:gridCol w:w="1811"/>
      </w:tblGrid>
      <w:tr w:rsidR="00AD4B7E" w:rsidRPr="00C56257" w14:paraId="462272F6" w14:textId="77777777" w:rsidTr="00AD4B7E">
        <w:trPr>
          <w:trHeight w:val="527"/>
        </w:trPr>
        <w:tc>
          <w:tcPr>
            <w:tcW w:w="13608" w:type="dxa"/>
            <w:gridSpan w:val="28"/>
            <w:shd w:val="clear" w:color="auto" w:fill="D9D9D9"/>
          </w:tcPr>
          <w:p w14:paraId="42D37AFF" w14:textId="77777777" w:rsidR="001D1514" w:rsidRPr="00C56257" w:rsidRDefault="00AD4B7E" w:rsidP="008E33FD">
            <w:pPr>
              <w:widowControl w:val="0"/>
              <w:autoSpaceDE w:val="0"/>
              <w:autoSpaceDN w:val="0"/>
              <w:spacing w:before="2"/>
              <w:jc w:val="both"/>
              <w:rPr>
                <w:b/>
                <w:color w:val="000000" w:themeColor="text1"/>
              </w:rPr>
            </w:pPr>
            <w:r w:rsidRPr="00C56257">
              <w:rPr>
                <w:b/>
                <w:color w:val="000000" w:themeColor="text1"/>
              </w:rPr>
              <w:lastRenderedPageBreak/>
              <w:t>Planul de monitorizare a habitatelor de apă  dulce</w:t>
            </w:r>
          </w:p>
        </w:tc>
      </w:tr>
      <w:tr w:rsidR="00AD4B7E" w:rsidRPr="00C56257" w14:paraId="7F011EAB" w14:textId="77777777" w:rsidTr="00AD4B7E">
        <w:trPr>
          <w:trHeight w:val="527"/>
        </w:trPr>
        <w:tc>
          <w:tcPr>
            <w:tcW w:w="2552" w:type="dxa"/>
            <w:vMerge w:val="restart"/>
            <w:shd w:val="clear" w:color="auto" w:fill="D9D9D9"/>
          </w:tcPr>
          <w:p w14:paraId="32A1178B" w14:textId="77777777" w:rsidR="001D1514" w:rsidRPr="00C56257" w:rsidRDefault="001D1514" w:rsidP="008E33FD">
            <w:pPr>
              <w:widowControl w:val="0"/>
              <w:autoSpaceDE w:val="0"/>
              <w:autoSpaceDN w:val="0"/>
              <w:spacing w:before="2"/>
              <w:jc w:val="both"/>
              <w:rPr>
                <w:b/>
                <w:color w:val="000000" w:themeColor="text1"/>
              </w:rPr>
            </w:pPr>
          </w:p>
          <w:p w14:paraId="6910F09B" w14:textId="77777777" w:rsidR="001D1514" w:rsidRPr="00C56257" w:rsidRDefault="001D1514" w:rsidP="008E33FD">
            <w:pPr>
              <w:widowControl w:val="0"/>
              <w:autoSpaceDE w:val="0"/>
              <w:autoSpaceDN w:val="0"/>
              <w:jc w:val="both"/>
              <w:rPr>
                <w:b/>
                <w:color w:val="000000" w:themeColor="text1"/>
              </w:rPr>
            </w:pPr>
            <w:r w:rsidRPr="00C56257">
              <w:rPr>
                <w:b/>
                <w:color w:val="000000" w:themeColor="text1"/>
              </w:rPr>
              <w:t>Denumirea</w:t>
            </w:r>
            <w:r w:rsidRPr="00C56257">
              <w:rPr>
                <w:b/>
                <w:color w:val="000000" w:themeColor="text1"/>
                <w:spacing w:val="-1"/>
              </w:rPr>
              <w:t xml:space="preserve"> </w:t>
            </w:r>
            <w:r w:rsidRPr="00C56257">
              <w:rPr>
                <w:b/>
                <w:color w:val="000000" w:themeColor="text1"/>
              </w:rPr>
              <w:t>şi codul Natura</w:t>
            </w:r>
            <w:r w:rsidRPr="00C56257">
              <w:rPr>
                <w:b/>
                <w:color w:val="000000" w:themeColor="text1"/>
                <w:spacing w:val="-1"/>
              </w:rPr>
              <w:t xml:space="preserve"> </w:t>
            </w:r>
            <w:r w:rsidRPr="00C56257">
              <w:rPr>
                <w:b/>
                <w:color w:val="000000" w:themeColor="text1"/>
              </w:rPr>
              <w:t>2000</w:t>
            </w:r>
          </w:p>
        </w:tc>
        <w:tc>
          <w:tcPr>
            <w:tcW w:w="6672" w:type="dxa"/>
            <w:gridSpan w:val="24"/>
            <w:shd w:val="clear" w:color="auto" w:fill="D9D9D9"/>
          </w:tcPr>
          <w:p w14:paraId="49EB6497" w14:textId="77777777" w:rsidR="001D1514" w:rsidRPr="00C56257" w:rsidRDefault="001D1514" w:rsidP="008E33FD">
            <w:pPr>
              <w:widowControl w:val="0"/>
              <w:autoSpaceDE w:val="0"/>
              <w:autoSpaceDN w:val="0"/>
              <w:spacing w:before="135"/>
              <w:jc w:val="both"/>
              <w:rPr>
                <w:b/>
                <w:color w:val="000000" w:themeColor="text1"/>
              </w:rPr>
            </w:pPr>
            <w:r w:rsidRPr="00C56257">
              <w:rPr>
                <w:b/>
                <w:color w:val="000000" w:themeColor="text1"/>
              </w:rPr>
              <w:t>Perioade</w:t>
            </w:r>
            <w:r w:rsidRPr="00C56257">
              <w:rPr>
                <w:b/>
                <w:color w:val="000000" w:themeColor="text1"/>
                <w:spacing w:val="-1"/>
              </w:rPr>
              <w:t xml:space="preserve"> </w:t>
            </w:r>
            <w:r w:rsidRPr="00C56257">
              <w:rPr>
                <w:b/>
                <w:color w:val="000000" w:themeColor="text1"/>
              </w:rPr>
              <w:t>optime</w:t>
            </w:r>
            <w:r w:rsidRPr="00C56257">
              <w:rPr>
                <w:b/>
                <w:color w:val="000000" w:themeColor="text1"/>
                <w:spacing w:val="-1"/>
              </w:rPr>
              <w:t xml:space="preserve"> </w:t>
            </w:r>
            <w:r w:rsidRPr="00C56257">
              <w:rPr>
                <w:b/>
                <w:color w:val="000000" w:themeColor="text1"/>
              </w:rPr>
              <w:t>de</w:t>
            </w:r>
            <w:r w:rsidRPr="00C56257">
              <w:rPr>
                <w:b/>
                <w:color w:val="000000" w:themeColor="text1"/>
                <w:spacing w:val="-3"/>
              </w:rPr>
              <w:t xml:space="preserve"> </w:t>
            </w:r>
            <w:r w:rsidRPr="00C56257">
              <w:rPr>
                <w:b/>
                <w:color w:val="000000" w:themeColor="text1"/>
              </w:rPr>
              <w:t>monitorizare</w:t>
            </w:r>
          </w:p>
        </w:tc>
        <w:tc>
          <w:tcPr>
            <w:tcW w:w="2573" w:type="dxa"/>
            <w:gridSpan w:val="2"/>
            <w:vMerge w:val="restart"/>
            <w:shd w:val="clear" w:color="auto" w:fill="D9D9D9"/>
          </w:tcPr>
          <w:p w14:paraId="667EDF7A" w14:textId="77777777" w:rsidR="001D1514" w:rsidRPr="00C56257" w:rsidRDefault="001D1514" w:rsidP="008E33FD">
            <w:pPr>
              <w:widowControl w:val="0"/>
              <w:autoSpaceDE w:val="0"/>
              <w:autoSpaceDN w:val="0"/>
              <w:spacing w:before="2"/>
              <w:jc w:val="both"/>
              <w:rPr>
                <w:b/>
                <w:color w:val="000000" w:themeColor="text1"/>
              </w:rPr>
            </w:pPr>
          </w:p>
          <w:p w14:paraId="2C50375E" w14:textId="77777777" w:rsidR="001D1514" w:rsidRPr="00C56257" w:rsidRDefault="001D1514" w:rsidP="008E33FD">
            <w:pPr>
              <w:widowControl w:val="0"/>
              <w:autoSpaceDE w:val="0"/>
              <w:autoSpaceDN w:val="0"/>
              <w:jc w:val="both"/>
              <w:rPr>
                <w:b/>
                <w:color w:val="000000" w:themeColor="text1"/>
              </w:rPr>
            </w:pPr>
            <w:r w:rsidRPr="00C56257">
              <w:rPr>
                <w:b/>
                <w:color w:val="000000" w:themeColor="text1"/>
              </w:rPr>
              <w:t>Metoda</w:t>
            </w:r>
            <w:r w:rsidRPr="00C56257">
              <w:rPr>
                <w:b/>
                <w:color w:val="000000" w:themeColor="text1"/>
                <w:spacing w:val="-3"/>
              </w:rPr>
              <w:t xml:space="preserve"> </w:t>
            </w:r>
            <w:r w:rsidRPr="00C56257">
              <w:rPr>
                <w:b/>
                <w:color w:val="000000" w:themeColor="text1"/>
              </w:rPr>
              <w:t>utilizată</w:t>
            </w:r>
          </w:p>
        </w:tc>
        <w:tc>
          <w:tcPr>
            <w:tcW w:w="1811" w:type="dxa"/>
            <w:vMerge w:val="restart"/>
            <w:shd w:val="clear" w:color="auto" w:fill="D9D9D9"/>
          </w:tcPr>
          <w:p w14:paraId="1C68E825" w14:textId="77777777" w:rsidR="001D1514" w:rsidRPr="00C56257" w:rsidRDefault="001D1514" w:rsidP="008E33FD">
            <w:pPr>
              <w:widowControl w:val="0"/>
              <w:autoSpaceDE w:val="0"/>
              <w:autoSpaceDN w:val="0"/>
              <w:spacing w:before="2"/>
              <w:jc w:val="both"/>
              <w:rPr>
                <w:b/>
                <w:color w:val="000000" w:themeColor="text1"/>
              </w:rPr>
            </w:pPr>
          </w:p>
          <w:p w14:paraId="7F9E827E" w14:textId="77777777" w:rsidR="001D1514" w:rsidRPr="00C56257" w:rsidRDefault="001D1514" w:rsidP="008E33FD">
            <w:pPr>
              <w:widowControl w:val="0"/>
              <w:autoSpaceDE w:val="0"/>
              <w:autoSpaceDN w:val="0"/>
              <w:ind w:right="811"/>
              <w:jc w:val="both"/>
              <w:rPr>
                <w:b/>
                <w:color w:val="000000" w:themeColor="text1"/>
              </w:rPr>
            </w:pPr>
            <w:r w:rsidRPr="00C56257">
              <w:rPr>
                <w:b/>
                <w:color w:val="000000" w:themeColor="text1"/>
              </w:rPr>
              <w:t>Obs.</w:t>
            </w:r>
          </w:p>
        </w:tc>
      </w:tr>
      <w:tr w:rsidR="00AD4B7E" w:rsidRPr="00C56257" w14:paraId="5607D8E6" w14:textId="77777777" w:rsidTr="00AD4B7E">
        <w:trPr>
          <w:trHeight w:val="251"/>
        </w:trPr>
        <w:tc>
          <w:tcPr>
            <w:tcW w:w="2552" w:type="dxa"/>
            <w:vMerge/>
            <w:tcBorders>
              <w:top w:val="nil"/>
            </w:tcBorders>
            <w:shd w:val="clear" w:color="auto" w:fill="D9D9D9"/>
          </w:tcPr>
          <w:p w14:paraId="690292E9" w14:textId="77777777" w:rsidR="001D1514" w:rsidRPr="00C56257" w:rsidRDefault="001D1514" w:rsidP="008E33FD">
            <w:pPr>
              <w:widowControl w:val="0"/>
              <w:autoSpaceDE w:val="0"/>
              <w:autoSpaceDN w:val="0"/>
              <w:jc w:val="both"/>
              <w:rPr>
                <w:color w:val="000000" w:themeColor="text1"/>
              </w:rPr>
            </w:pPr>
          </w:p>
        </w:tc>
        <w:tc>
          <w:tcPr>
            <w:tcW w:w="530" w:type="dxa"/>
            <w:gridSpan w:val="2"/>
            <w:shd w:val="clear" w:color="auto" w:fill="D9D9D9"/>
          </w:tcPr>
          <w:p w14:paraId="22CADA2D" w14:textId="77777777" w:rsidR="001D1514" w:rsidRPr="00C56257" w:rsidRDefault="001D1514" w:rsidP="008E33FD">
            <w:pPr>
              <w:widowControl w:val="0"/>
              <w:autoSpaceDE w:val="0"/>
              <w:autoSpaceDN w:val="0"/>
              <w:spacing w:line="232" w:lineRule="exact"/>
              <w:jc w:val="both"/>
              <w:rPr>
                <w:color w:val="000000" w:themeColor="text1"/>
              </w:rPr>
            </w:pPr>
            <w:r w:rsidRPr="00C56257">
              <w:rPr>
                <w:color w:val="000000" w:themeColor="text1"/>
              </w:rPr>
              <w:t>I</w:t>
            </w:r>
          </w:p>
        </w:tc>
        <w:tc>
          <w:tcPr>
            <w:tcW w:w="557" w:type="dxa"/>
            <w:gridSpan w:val="2"/>
            <w:shd w:val="clear" w:color="auto" w:fill="D9D9D9"/>
          </w:tcPr>
          <w:p w14:paraId="5B20A88B" w14:textId="77777777" w:rsidR="001D1514" w:rsidRPr="00C56257" w:rsidRDefault="001D1514" w:rsidP="008E33FD">
            <w:pPr>
              <w:widowControl w:val="0"/>
              <w:autoSpaceDE w:val="0"/>
              <w:autoSpaceDN w:val="0"/>
              <w:spacing w:line="232" w:lineRule="exact"/>
              <w:jc w:val="both"/>
              <w:rPr>
                <w:color w:val="000000" w:themeColor="text1"/>
              </w:rPr>
            </w:pPr>
            <w:r w:rsidRPr="00C56257">
              <w:rPr>
                <w:color w:val="000000" w:themeColor="text1"/>
              </w:rPr>
              <w:t>II</w:t>
            </w:r>
          </w:p>
        </w:tc>
        <w:tc>
          <w:tcPr>
            <w:tcW w:w="571" w:type="dxa"/>
            <w:gridSpan w:val="2"/>
            <w:shd w:val="clear" w:color="auto" w:fill="D9D9D9"/>
          </w:tcPr>
          <w:p w14:paraId="0EEEBF2E" w14:textId="77777777" w:rsidR="001D1514" w:rsidRPr="00C56257" w:rsidRDefault="001D1514" w:rsidP="008E33FD">
            <w:pPr>
              <w:widowControl w:val="0"/>
              <w:autoSpaceDE w:val="0"/>
              <w:autoSpaceDN w:val="0"/>
              <w:spacing w:line="232" w:lineRule="exact"/>
              <w:jc w:val="both"/>
              <w:rPr>
                <w:color w:val="000000" w:themeColor="text1"/>
              </w:rPr>
            </w:pPr>
            <w:r w:rsidRPr="00C56257">
              <w:rPr>
                <w:color w:val="000000" w:themeColor="text1"/>
              </w:rPr>
              <w:t>III</w:t>
            </w:r>
          </w:p>
        </w:tc>
        <w:tc>
          <w:tcPr>
            <w:tcW w:w="566" w:type="dxa"/>
            <w:gridSpan w:val="2"/>
            <w:shd w:val="clear" w:color="auto" w:fill="D9D9D9"/>
          </w:tcPr>
          <w:p w14:paraId="782903A7" w14:textId="77777777" w:rsidR="001D1514" w:rsidRPr="00C56257" w:rsidRDefault="001D1514" w:rsidP="008E33FD">
            <w:pPr>
              <w:widowControl w:val="0"/>
              <w:autoSpaceDE w:val="0"/>
              <w:autoSpaceDN w:val="0"/>
              <w:spacing w:line="232" w:lineRule="exact"/>
              <w:jc w:val="both"/>
              <w:rPr>
                <w:color w:val="000000" w:themeColor="text1"/>
              </w:rPr>
            </w:pPr>
            <w:r w:rsidRPr="00C56257">
              <w:rPr>
                <w:color w:val="000000" w:themeColor="text1"/>
              </w:rPr>
              <w:t>IV</w:t>
            </w:r>
          </w:p>
        </w:tc>
        <w:tc>
          <w:tcPr>
            <w:tcW w:w="568" w:type="dxa"/>
            <w:gridSpan w:val="2"/>
            <w:shd w:val="clear" w:color="auto" w:fill="D9D9D9"/>
          </w:tcPr>
          <w:p w14:paraId="587E037F" w14:textId="77777777" w:rsidR="001D1514" w:rsidRPr="00C56257" w:rsidRDefault="001D1514" w:rsidP="008E33FD">
            <w:pPr>
              <w:widowControl w:val="0"/>
              <w:autoSpaceDE w:val="0"/>
              <w:autoSpaceDN w:val="0"/>
              <w:spacing w:line="232" w:lineRule="exact"/>
              <w:jc w:val="both"/>
              <w:rPr>
                <w:color w:val="000000" w:themeColor="text1"/>
              </w:rPr>
            </w:pPr>
            <w:r w:rsidRPr="00C56257">
              <w:rPr>
                <w:color w:val="000000" w:themeColor="text1"/>
              </w:rPr>
              <w:t>V</w:t>
            </w:r>
          </w:p>
        </w:tc>
        <w:tc>
          <w:tcPr>
            <w:tcW w:w="568" w:type="dxa"/>
            <w:gridSpan w:val="2"/>
            <w:shd w:val="clear" w:color="auto" w:fill="D9D9D9"/>
          </w:tcPr>
          <w:p w14:paraId="7558F347" w14:textId="77777777" w:rsidR="001D1514" w:rsidRPr="00C56257" w:rsidRDefault="001D1514" w:rsidP="008E33FD">
            <w:pPr>
              <w:widowControl w:val="0"/>
              <w:autoSpaceDE w:val="0"/>
              <w:autoSpaceDN w:val="0"/>
              <w:spacing w:line="232" w:lineRule="exact"/>
              <w:jc w:val="both"/>
              <w:rPr>
                <w:color w:val="000000" w:themeColor="text1"/>
              </w:rPr>
            </w:pPr>
            <w:r w:rsidRPr="00C56257">
              <w:rPr>
                <w:color w:val="000000" w:themeColor="text1"/>
              </w:rPr>
              <w:t>VI</w:t>
            </w:r>
          </w:p>
        </w:tc>
        <w:tc>
          <w:tcPr>
            <w:tcW w:w="516" w:type="dxa"/>
            <w:gridSpan w:val="2"/>
            <w:shd w:val="clear" w:color="auto" w:fill="D9D9D9"/>
          </w:tcPr>
          <w:p w14:paraId="7079EA51" w14:textId="77777777" w:rsidR="001D1514" w:rsidRPr="00C56257" w:rsidRDefault="001D1514" w:rsidP="008E33FD">
            <w:pPr>
              <w:widowControl w:val="0"/>
              <w:autoSpaceDE w:val="0"/>
              <w:autoSpaceDN w:val="0"/>
              <w:spacing w:line="232" w:lineRule="exact"/>
              <w:jc w:val="both"/>
              <w:rPr>
                <w:color w:val="000000" w:themeColor="text1"/>
              </w:rPr>
            </w:pPr>
            <w:r w:rsidRPr="00C56257">
              <w:rPr>
                <w:color w:val="000000" w:themeColor="text1"/>
              </w:rPr>
              <w:t>VII</w:t>
            </w:r>
          </w:p>
        </w:tc>
        <w:tc>
          <w:tcPr>
            <w:tcW w:w="566" w:type="dxa"/>
            <w:gridSpan w:val="2"/>
            <w:shd w:val="clear" w:color="auto" w:fill="D9D9D9"/>
          </w:tcPr>
          <w:p w14:paraId="101F2BA0" w14:textId="77777777" w:rsidR="001D1514" w:rsidRPr="00C56257" w:rsidRDefault="001D1514" w:rsidP="008E33FD">
            <w:pPr>
              <w:widowControl w:val="0"/>
              <w:autoSpaceDE w:val="0"/>
              <w:autoSpaceDN w:val="0"/>
              <w:spacing w:line="232" w:lineRule="exact"/>
              <w:jc w:val="both"/>
              <w:rPr>
                <w:color w:val="000000" w:themeColor="text1"/>
              </w:rPr>
            </w:pPr>
            <w:r w:rsidRPr="00C56257">
              <w:rPr>
                <w:color w:val="000000" w:themeColor="text1"/>
              </w:rPr>
              <w:t>VIII</w:t>
            </w:r>
          </w:p>
        </w:tc>
        <w:tc>
          <w:tcPr>
            <w:tcW w:w="568" w:type="dxa"/>
            <w:gridSpan w:val="2"/>
            <w:shd w:val="clear" w:color="auto" w:fill="D9D9D9"/>
          </w:tcPr>
          <w:p w14:paraId="16D958E4" w14:textId="77777777" w:rsidR="001D1514" w:rsidRPr="00C56257" w:rsidRDefault="001D1514" w:rsidP="008E33FD">
            <w:pPr>
              <w:widowControl w:val="0"/>
              <w:autoSpaceDE w:val="0"/>
              <w:autoSpaceDN w:val="0"/>
              <w:spacing w:line="232" w:lineRule="exact"/>
              <w:jc w:val="both"/>
              <w:rPr>
                <w:color w:val="000000" w:themeColor="text1"/>
              </w:rPr>
            </w:pPr>
            <w:r w:rsidRPr="00C56257">
              <w:rPr>
                <w:color w:val="000000" w:themeColor="text1"/>
              </w:rPr>
              <w:t>IX</w:t>
            </w:r>
          </w:p>
        </w:tc>
        <w:tc>
          <w:tcPr>
            <w:tcW w:w="566" w:type="dxa"/>
            <w:gridSpan w:val="2"/>
            <w:shd w:val="clear" w:color="auto" w:fill="D9D9D9"/>
          </w:tcPr>
          <w:p w14:paraId="2B33EC69" w14:textId="77777777" w:rsidR="001D1514" w:rsidRPr="00C56257" w:rsidRDefault="001D1514" w:rsidP="008E33FD">
            <w:pPr>
              <w:widowControl w:val="0"/>
              <w:autoSpaceDE w:val="0"/>
              <w:autoSpaceDN w:val="0"/>
              <w:spacing w:line="232" w:lineRule="exact"/>
              <w:jc w:val="both"/>
              <w:rPr>
                <w:color w:val="000000" w:themeColor="text1"/>
              </w:rPr>
            </w:pPr>
            <w:r w:rsidRPr="00C56257">
              <w:rPr>
                <w:color w:val="000000" w:themeColor="text1"/>
              </w:rPr>
              <w:t>X</w:t>
            </w:r>
          </w:p>
        </w:tc>
        <w:tc>
          <w:tcPr>
            <w:tcW w:w="566" w:type="dxa"/>
            <w:gridSpan w:val="2"/>
            <w:shd w:val="clear" w:color="auto" w:fill="D9D9D9"/>
          </w:tcPr>
          <w:p w14:paraId="020139DC" w14:textId="77777777" w:rsidR="001D1514" w:rsidRPr="00C56257" w:rsidRDefault="001D1514" w:rsidP="008E33FD">
            <w:pPr>
              <w:widowControl w:val="0"/>
              <w:autoSpaceDE w:val="0"/>
              <w:autoSpaceDN w:val="0"/>
              <w:spacing w:line="232" w:lineRule="exact"/>
              <w:jc w:val="both"/>
              <w:rPr>
                <w:color w:val="000000" w:themeColor="text1"/>
              </w:rPr>
            </w:pPr>
            <w:r w:rsidRPr="00C56257">
              <w:rPr>
                <w:color w:val="000000" w:themeColor="text1"/>
              </w:rPr>
              <w:t>XI</w:t>
            </w:r>
          </w:p>
        </w:tc>
        <w:tc>
          <w:tcPr>
            <w:tcW w:w="530" w:type="dxa"/>
            <w:gridSpan w:val="2"/>
            <w:shd w:val="clear" w:color="auto" w:fill="D9D9D9"/>
          </w:tcPr>
          <w:p w14:paraId="04156BDE" w14:textId="77777777" w:rsidR="001D1514" w:rsidRPr="00C56257" w:rsidRDefault="001D1514" w:rsidP="008E33FD">
            <w:pPr>
              <w:widowControl w:val="0"/>
              <w:autoSpaceDE w:val="0"/>
              <w:autoSpaceDN w:val="0"/>
              <w:spacing w:line="232" w:lineRule="exact"/>
              <w:jc w:val="both"/>
              <w:rPr>
                <w:color w:val="000000" w:themeColor="text1"/>
              </w:rPr>
            </w:pPr>
            <w:r w:rsidRPr="00C56257">
              <w:rPr>
                <w:color w:val="000000" w:themeColor="text1"/>
              </w:rPr>
              <w:t>XII</w:t>
            </w:r>
          </w:p>
        </w:tc>
        <w:tc>
          <w:tcPr>
            <w:tcW w:w="2573" w:type="dxa"/>
            <w:gridSpan w:val="2"/>
            <w:vMerge/>
            <w:tcBorders>
              <w:top w:val="nil"/>
            </w:tcBorders>
            <w:shd w:val="clear" w:color="auto" w:fill="D9D9D9"/>
          </w:tcPr>
          <w:p w14:paraId="44D7C6F1" w14:textId="77777777" w:rsidR="001D1514" w:rsidRPr="00C56257" w:rsidRDefault="001D1514" w:rsidP="008E33FD">
            <w:pPr>
              <w:widowControl w:val="0"/>
              <w:autoSpaceDE w:val="0"/>
              <w:autoSpaceDN w:val="0"/>
              <w:jc w:val="both"/>
              <w:rPr>
                <w:color w:val="000000" w:themeColor="text1"/>
              </w:rPr>
            </w:pPr>
          </w:p>
        </w:tc>
        <w:tc>
          <w:tcPr>
            <w:tcW w:w="1811" w:type="dxa"/>
            <w:vMerge/>
            <w:tcBorders>
              <w:top w:val="nil"/>
            </w:tcBorders>
            <w:shd w:val="clear" w:color="auto" w:fill="D9D9D9"/>
          </w:tcPr>
          <w:p w14:paraId="24F7EB3A" w14:textId="77777777" w:rsidR="001D1514" w:rsidRPr="00C56257" w:rsidRDefault="001D1514" w:rsidP="008E33FD">
            <w:pPr>
              <w:widowControl w:val="0"/>
              <w:autoSpaceDE w:val="0"/>
              <w:autoSpaceDN w:val="0"/>
              <w:jc w:val="both"/>
              <w:rPr>
                <w:color w:val="000000" w:themeColor="text1"/>
              </w:rPr>
            </w:pPr>
          </w:p>
        </w:tc>
      </w:tr>
      <w:tr w:rsidR="00AD4B7E" w:rsidRPr="00C56257" w14:paraId="657F8DEB" w14:textId="77777777" w:rsidTr="00AD4B7E">
        <w:trPr>
          <w:trHeight w:val="1771"/>
        </w:trPr>
        <w:tc>
          <w:tcPr>
            <w:tcW w:w="2552" w:type="dxa"/>
          </w:tcPr>
          <w:p w14:paraId="0618DEAD" w14:textId="77777777" w:rsidR="001D1514" w:rsidRPr="00C56257" w:rsidRDefault="001D1514" w:rsidP="008E33FD">
            <w:pPr>
              <w:widowControl w:val="0"/>
              <w:autoSpaceDE w:val="0"/>
              <w:autoSpaceDN w:val="0"/>
              <w:spacing w:before="7"/>
              <w:jc w:val="both"/>
              <w:rPr>
                <w:b/>
                <w:color w:val="000000" w:themeColor="text1"/>
              </w:rPr>
            </w:pPr>
          </w:p>
          <w:p w14:paraId="032354A4" w14:textId="77777777" w:rsidR="001D1514" w:rsidRPr="00C56257" w:rsidRDefault="001D1514" w:rsidP="008E33FD">
            <w:pPr>
              <w:widowControl w:val="0"/>
              <w:autoSpaceDE w:val="0"/>
              <w:autoSpaceDN w:val="0"/>
              <w:spacing w:before="1"/>
              <w:ind w:right="15"/>
              <w:jc w:val="both"/>
              <w:rPr>
                <w:i/>
                <w:color w:val="000000" w:themeColor="text1"/>
              </w:rPr>
            </w:pPr>
            <w:r w:rsidRPr="00C56257">
              <w:rPr>
                <w:color w:val="000000" w:themeColor="text1"/>
              </w:rPr>
              <w:t>3130</w:t>
            </w:r>
            <w:r w:rsidRPr="00C56257">
              <w:rPr>
                <w:color w:val="000000" w:themeColor="text1"/>
                <w:spacing w:val="1"/>
              </w:rPr>
              <w:t xml:space="preserve"> </w:t>
            </w:r>
            <w:r w:rsidRPr="00C56257">
              <w:rPr>
                <w:color w:val="000000" w:themeColor="text1"/>
              </w:rPr>
              <w:t>-</w:t>
            </w:r>
            <w:r w:rsidRPr="00C56257">
              <w:rPr>
                <w:color w:val="000000" w:themeColor="text1"/>
                <w:spacing w:val="1"/>
              </w:rPr>
              <w:t xml:space="preserve"> </w:t>
            </w:r>
            <w:r w:rsidRPr="00C56257">
              <w:rPr>
                <w:color w:val="000000" w:themeColor="text1"/>
              </w:rPr>
              <w:t>Ape</w:t>
            </w:r>
            <w:r w:rsidRPr="00C56257">
              <w:rPr>
                <w:color w:val="000000" w:themeColor="text1"/>
                <w:spacing w:val="1"/>
              </w:rPr>
              <w:t xml:space="preserve"> </w:t>
            </w:r>
            <w:r w:rsidRPr="00C56257">
              <w:rPr>
                <w:color w:val="000000" w:themeColor="text1"/>
              </w:rPr>
              <w:t>stătătoare</w:t>
            </w:r>
            <w:r w:rsidRPr="00C56257">
              <w:rPr>
                <w:color w:val="000000" w:themeColor="text1"/>
                <w:spacing w:val="1"/>
              </w:rPr>
              <w:t xml:space="preserve"> </w:t>
            </w:r>
            <w:r w:rsidRPr="00C56257">
              <w:rPr>
                <w:color w:val="000000" w:themeColor="text1"/>
              </w:rPr>
              <w:t>oligotrofice</w:t>
            </w:r>
            <w:r w:rsidRPr="00C56257">
              <w:rPr>
                <w:color w:val="000000" w:themeColor="text1"/>
                <w:spacing w:val="-52"/>
              </w:rPr>
              <w:t xml:space="preserve"> </w:t>
            </w:r>
            <w:r w:rsidRPr="00C56257">
              <w:rPr>
                <w:color w:val="000000" w:themeColor="text1"/>
              </w:rPr>
              <w:t>până la mezotrofice cu vegetaţia din</w:t>
            </w:r>
            <w:r w:rsidRPr="00C56257">
              <w:rPr>
                <w:color w:val="000000" w:themeColor="text1"/>
                <w:spacing w:val="-52"/>
              </w:rPr>
              <w:t xml:space="preserve"> </w:t>
            </w:r>
            <w:r w:rsidRPr="00C56257">
              <w:rPr>
                <w:i/>
                <w:color w:val="000000" w:themeColor="text1"/>
              </w:rPr>
              <w:t>Littorelletea uniflorae</w:t>
            </w:r>
            <w:r w:rsidRPr="00C56257">
              <w:rPr>
                <w:color w:val="000000" w:themeColor="text1"/>
              </w:rPr>
              <w:t xml:space="preserve">şi/sau </w:t>
            </w:r>
            <w:r w:rsidRPr="00C56257">
              <w:rPr>
                <w:i/>
                <w:color w:val="000000" w:themeColor="text1"/>
              </w:rPr>
              <w:t>Isoeto-</w:t>
            </w:r>
            <w:r w:rsidRPr="00C56257">
              <w:rPr>
                <w:i/>
                <w:color w:val="000000" w:themeColor="text1"/>
                <w:spacing w:val="1"/>
              </w:rPr>
              <w:t xml:space="preserve"> </w:t>
            </w:r>
            <w:r w:rsidRPr="00C56257">
              <w:rPr>
                <w:i/>
                <w:color w:val="000000" w:themeColor="text1"/>
              </w:rPr>
              <w:t>Nanojuncetea</w:t>
            </w:r>
          </w:p>
        </w:tc>
        <w:tc>
          <w:tcPr>
            <w:tcW w:w="530" w:type="dxa"/>
            <w:gridSpan w:val="2"/>
          </w:tcPr>
          <w:p w14:paraId="7D72B71F" w14:textId="77777777" w:rsidR="001D1514" w:rsidRPr="00C56257" w:rsidRDefault="001D1514" w:rsidP="008E33FD">
            <w:pPr>
              <w:widowControl w:val="0"/>
              <w:autoSpaceDE w:val="0"/>
              <w:autoSpaceDN w:val="0"/>
              <w:jc w:val="both"/>
              <w:rPr>
                <w:color w:val="000000" w:themeColor="text1"/>
              </w:rPr>
            </w:pPr>
          </w:p>
        </w:tc>
        <w:tc>
          <w:tcPr>
            <w:tcW w:w="557" w:type="dxa"/>
            <w:gridSpan w:val="2"/>
          </w:tcPr>
          <w:p w14:paraId="34E80C29" w14:textId="77777777" w:rsidR="001D1514" w:rsidRPr="00C56257" w:rsidRDefault="001D1514" w:rsidP="008E33FD">
            <w:pPr>
              <w:widowControl w:val="0"/>
              <w:autoSpaceDE w:val="0"/>
              <w:autoSpaceDN w:val="0"/>
              <w:jc w:val="both"/>
              <w:rPr>
                <w:color w:val="000000" w:themeColor="text1"/>
              </w:rPr>
            </w:pPr>
          </w:p>
        </w:tc>
        <w:tc>
          <w:tcPr>
            <w:tcW w:w="571" w:type="dxa"/>
            <w:gridSpan w:val="2"/>
            <w:shd w:val="clear" w:color="auto" w:fill="BEBEBE"/>
          </w:tcPr>
          <w:p w14:paraId="45276107" w14:textId="77777777" w:rsidR="001D1514" w:rsidRPr="00C56257" w:rsidRDefault="001D1514" w:rsidP="008E33FD">
            <w:pPr>
              <w:widowControl w:val="0"/>
              <w:autoSpaceDE w:val="0"/>
              <w:autoSpaceDN w:val="0"/>
              <w:jc w:val="both"/>
              <w:rPr>
                <w:color w:val="000000" w:themeColor="text1"/>
              </w:rPr>
            </w:pPr>
          </w:p>
        </w:tc>
        <w:tc>
          <w:tcPr>
            <w:tcW w:w="566" w:type="dxa"/>
            <w:gridSpan w:val="2"/>
            <w:shd w:val="clear" w:color="auto" w:fill="BEBEBE"/>
          </w:tcPr>
          <w:p w14:paraId="12C2251C" w14:textId="77777777" w:rsidR="001D1514" w:rsidRPr="00C56257" w:rsidRDefault="001D1514" w:rsidP="008E33FD">
            <w:pPr>
              <w:widowControl w:val="0"/>
              <w:autoSpaceDE w:val="0"/>
              <w:autoSpaceDN w:val="0"/>
              <w:jc w:val="both"/>
              <w:rPr>
                <w:color w:val="000000" w:themeColor="text1"/>
              </w:rPr>
            </w:pPr>
          </w:p>
        </w:tc>
        <w:tc>
          <w:tcPr>
            <w:tcW w:w="568" w:type="dxa"/>
            <w:gridSpan w:val="2"/>
            <w:shd w:val="clear" w:color="auto" w:fill="BEBEBE"/>
          </w:tcPr>
          <w:p w14:paraId="3D16554D" w14:textId="77777777" w:rsidR="001D1514" w:rsidRPr="00C56257" w:rsidRDefault="001D1514" w:rsidP="008E33FD">
            <w:pPr>
              <w:widowControl w:val="0"/>
              <w:autoSpaceDE w:val="0"/>
              <w:autoSpaceDN w:val="0"/>
              <w:jc w:val="both"/>
              <w:rPr>
                <w:color w:val="000000" w:themeColor="text1"/>
              </w:rPr>
            </w:pPr>
          </w:p>
        </w:tc>
        <w:tc>
          <w:tcPr>
            <w:tcW w:w="568" w:type="dxa"/>
            <w:gridSpan w:val="2"/>
            <w:shd w:val="clear" w:color="auto" w:fill="BEBEBE"/>
          </w:tcPr>
          <w:p w14:paraId="1CD3324F" w14:textId="77777777" w:rsidR="001D1514" w:rsidRPr="00C56257" w:rsidRDefault="001D1514" w:rsidP="008E33FD">
            <w:pPr>
              <w:widowControl w:val="0"/>
              <w:autoSpaceDE w:val="0"/>
              <w:autoSpaceDN w:val="0"/>
              <w:jc w:val="both"/>
              <w:rPr>
                <w:color w:val="000000" w:themeColor="text1"/>
              </w:rPr>
            </w:pPr>
          </w:p>
        </w:tc>
        <w:tc>
          <w:tcPr>
            <w:tcW w:w="516" w:type="dxa"/>
            <w:gridSpan w:val="2"/>
            <w:shd w:val="clear" w:color="auto" w:fill="BEBEBE"/>
          </w:tcPr>
          <w:p w14:paraId="6D3DB12D" w14:textId="77777777" w:rsidR="001D1514" w:rsidRPr="00C56257" w:rsidRDefault="001D1514" w:rsidP="008E33FD">
            <w:pPr>
              <w:widowControl w:val="0"/>
              <w:autoSpaceDE w:val="0"/>
              <w:autoSpaceDN w:val="0"/>
              <w:jc w:val="both"/>
              <w:rPr>
                <w:color w:val="000000" w:themeColor="text1"/>
              </w:rPr>
            </w:pPr>
          </w:p>
        </w:tc>
        <w:tc>
          <w:tcPr>
            <w:tcW w:w="566" w:type="dxa"/>
            <w:gridSpan w:val="2"/>
            <w:shd w:val="clear" w:color="auto" w:fill="BEBEBE"/>
          </w:tcPr>
          <w:p w14:paraId="72C2F931" w14:textId="77777777" w:rsidR="001D1514" w:rsidRPr="00C56257" w:rsidRDefault="001D1514" w:rsidP="008E33FD">
            <w:pPr>
              <w:widowControl w:val="0"/>
              <w:autoSpaceDE w:val="0"/>
              <w:autoSpaceDN w:val="0"/>
              <w:jc w:val="both"/>
              <w:rPr>
                <w:color w:val="000000" w:themeColor="text1"/>
              </w:rPr>
            </w:pPr>
          </w:p>
        </w:tc>
        <w:tc>
          <w:tcPr>
            <w:tcW w:w="568" w:type="dxa"/>
            <w:gridSpan w:val="2"/>
            <w:shd w:val="clear" w:color="auto" w:fill="BEBEBE"/>
          </w:tcPr>
          <w:p w14:paraId="3CDEB1BB" w14:textId="77777777" w:rsidR="001D1514" w:rsidRPr="00C56257" w:rsidRDefault="001D1514" w:rsidP="008E33FD">
            <w:pPr>
              <w:widowControl w:val="0"/>
              <w:autoSpaceDE w:val="0"/>
              <w:autoSpaceDN w:val="0"/>
              <w:jc w:val="both"/>
              <w:rPr>
                <w:color w:val="000000" w:themeColor="text1"/>
              </w:rPr>
            </w:pPr>
          </w:p>
        </w:tc>
        <w:tc>
          <w:tcPr>
            <w:tcW w:w="566" w:type="dxa"/>
            <w:gridSpan w:val="2"/>
            <w:shd w:val="clear" w:color="auto" w:fill="BEBEBE"/>
          </w:tcPr>
          <w:p w14:paraId="4655202F" w14:textId="77777777" w:rsidR="001D1514" w:rsidRPr="00C56257" w:rsidRDefault="001D1514" w:rsidP="008E33FD">
            <w:pPr>
              <w:widowControl w:val="0"/>
              <w:autoSpaceDE w:val="0"/>
              <w:autoSpaceDN w:val="0"/>
              <w:jc w:val="both"/>
              <w:rPr>
                <w:color w:val="000000" w:themeColor="text1"/>
              </w:rPr>
            </w:pPr>
          </w:p>
        </w:tc>
        <w:tc>
          <w:tcPr>
            <w:tcW w:w="566" w:type="dxa"/>
            <w:gridSpan w:val="2"/>
          </w:tcPr>
          <w:p w14:paraId="4AC08F54" w14:textId="77777777" w:rsidR="001D1514" w:rsidRPr="00C56257" w:rsidRDefault="001D1514" w:rsidP="008E33FD">
            <w:pPr>
              <w:widowControl w:val="0"/>
              <w:autoSpaceDE w:val="0"/>
              <w:autoSpaceDN w:val="0"/>
              <w:jc w:val="both"/>
              <w:rPr>
                <w:color w:val="000000" w:themeColor="text1"/>
              </w:rPr>
            </w:pPr>
          </w:p>
        </w:tc>
        <w:tc>
          <w:tcPr>
            <w:tcW w:w="530" w:type="dxa"/>
            <w:gridSpan w:val="2"/>
          </w:tcPr>
          <w:p w14:paraId="584764B4" w14:textId="77777777" w:rsidR="001D1514" w:rsidRPr="00C56257" w:rsidRDefault="001D1514" w:rsidP="008E33FD">
            <w:pPr>
              <w:widowControl w:val="0"/>
              <w:autoSpaceDE w:val="0"/>
              <w:autoSpaceDN w:val="0"/>
              <w:jc w:val="both"/>
              <w:rPr>
                <w:color w:val="000000" w:themeColor="text1"/>
              </w:rPr>
            </w:pPr>
          </w:p>
        </w:tc>
        <w:tc>
          <w:tcPr>
            <w:tcW w:w="2573" w:type="dxa"/>
            <w:gridSpan w:val="2"/>
          </w:tcPr>
          <w:p w14:paraId="45EF2967" w14:textId="77777777" w:rsidR="001D1514" w:rsidRPr="00C56257" w:rsidRDefault="001D1514" w:rsidP="008E33FD">
            <w:pPr>
              <w:widowControl w:val="0"/>
              <w:autoSpaceDE w:val="0"/>
              <w:autoSpaceDN w:val="0"/>
              <w:spacing w:before="7"/>
              <w:jc w:val="both"/>
              <w:rPr>
                <w:b/>
                <w:color w:val="000000" w:themeColor="text1"/>
              </w:rPr>
            </w:pPr>
          </w:p>
          <w:p w14:paraId="0314305C" w14:textId="77777777" w:rsidR="001D1514" w:rsidRPr="00C56257" w:rsidRDefault="001D1514" w:rsidP="008E33FD">
            <w:pPr>
              <w:widowControl w:val="0"/>
              <w:autoSpaceDE w:val="0"/>
              <w:autoSpaceDN w:val="0"/>
              <w:spacing w:before="1" w:line="252"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388FE807" w14:textId="77777777" w:rsidR="001D1514" w:rsidRPr="00C56257" w:rsidRDefault="001D1514" w:rsidP="009E63E5">
            <w:pPr>
              <w:widowControl w:val="0"/>
              <w:numPr>
                <w:ilvl w:val="0"/>
                <w:numId w:val="37"/>
              </w:numPr>
              <w:tabs>
                <w:tab w:val="left" w:pos="239"/>
              </w:tabs>
              <w:autoSpaceDE w:val="0"/>
              <w:autoSpaceDN w:val="0"/>
              <w:ind w:right="14" w:firstLine="0"/>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releveelor</w:t>
            </w:r>
            <w:r w:rsidRPr="00C56257">
              <w:rPr>
                <w:color w:val="000000" w:themeColor="text1"/>
                <w:spacing w:val="1"/>
              </w:rPr>
              <w:t xml:space="preserve"> </w:t>
            </w:r>
            <w:r w:rsidRPr="00C56257">
              <w:rPr>
                <w:color w:val="000000" w:themeColor="text1"/>
              </w:rPr>
              <w:t>sau</w:t>
            </w:r>
            <w:r w:rsidRPr="00C56257">
              <w:rPr>
                <w:color w:val="000000" w:themeColor="text1"/>
                <w:spacing w:val="1"/>
              </w:rPr>
              <w:t xml:space="preserve"> </w:t>
            </w:r>
            <w:r w:rsidRPr="00C56257">
              <w:rPr>
                <w:color w:val="000000" w:themeColor="text1"/>
              </w:rPr>
              <w:t>a</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03C52DA4" w14:textId="77777777" w:rsidR="001D1514" w:rsidRPr="00C56257" w:rsidRDefault="001D1514" w:rsidP="009E63E5">
            <w:pPr>
              <w:widowControl w:val="0"/>
              <w:numPr>
                <w:ilvl w:val="0"/>
                <w:numId w:val="37"/>
              </w:numPr>
              <w:tabs>
                <w:tab w:val="left" w:pos="272"/>
              </w:tabs>
              <w:autoSpaceDE w:val="0"/>
              <w:autoSpaceDN w:val="0"/>
              <w:ind w:left="271" w:hanging="238"/>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1811" w:type="dxa"/>
          </w:tcPr>
          <w:p w14:paraId="3E748F92" w14:textId="77777777" w:rsidR="001D1514" w:rsidRPr="00C56257" w:rsidRDefault="001D1514" w:rsidP="008E33FD">
            <w:pPr>
              <w:widowControl w:val="0"/>
              <w:autoSpaceDE w:val="0"/>
              <w:autoSpaceDN w:val="0"/>
              <w:ind w:right="109"/>
              <w:jc w:val="both"/>
              <w:rPr>
                <w:color w:val="000000" w:themeColor="text1"/>
              </w:rPr>
            </w:pPr>
            <w:r w:rsidRPr="00C56257">
              <w:rPr>
                <w:color w:val="000000" w:themeColor="text1"/>
              </w:rPr>
              <w:t>Min 6 relevee/</w:t>
            </w:r>
            <w:r w:rsidRPr="00C56257">
              <w:rPr>
                <w:color w:val="000000" w:themeColor="text1"/>
                <w:spacing w:val="1"/>
              </w:rPr>
              <w:t xml:space="preserve"> </w:t>
            </w:r>
            <w:r w:rsidRPr="00C56257">
              <w:rPr>
                <w:color w:val="000000" w:themeColor="text1"/>
              </w:rPr>
              <w:t>transecte de</w:t>
            </w:r>
            <w:r w:rsidRPr="00C56257">
              <w:rPr>
                <w:color w:val="000000" w:themeColor="text1"/>
                <w:spacing w:val="1"/>
              </w:rPr>
              <w:t xml:space="preserve"> </w:t>
            </w:r>
            <w:r w:rsidRPr="00C56257">
              <w:rPr>
                <w:color w:val="000000" w:themeColor="text1"/>
              </w:rPr>
              <w:t>monitorizare în cadrul</w:t>
            </w:r>
            <w:r w:rsidRPr="00C56257">
              <w:rPr>
                <w:color w:val="000000" w:themeColor="text1"/>
                <w:spacing w:val="-52"/>
              </w:rPr>
              <w:t xml:space="preserve"> </w:t>
            </w:r>
            <w:r w:rsidRPr="00C56257">
              <w:rPr>
                <w:color w:val="000000" w:themeColor="text1"/>
              </w:rPr>
              <w:t>ariilor naturale țintă şi</w:t>
            </w:r>
            <w:r w:rsidRPr="00C56257">
              <w:rPr>
                <w:color w:val="000000" w:themeColor="text1"/>
                <w:spacing w:val="-52"/>
              </w:rPr>
              <w:t xml:space="preserve"> </w:t>
            </w:r>
            <w:r w:rsidRPr="00C56257">
              <w:rPr>
                <w:color w:val="000000" w:themeColor="text1"/>
              </w:rPr>
              <w:t>în afara acestora în</w:t>
            </w:r>
            <w:r w:rsidRPr="00C56257">
              <w:rPr>
                <w:color w:val="000000" w:themeColor="text1"/>
                <w:spacing w:val="1"/>
              </w:rPr>
              <w:t xml:space="preserve"> </w:t>
            </w:r>
            <w:r w:rsidRPr="00C56257">
              <w:rPr>
                <w:color w:val="000000" w:themeColor="text1"/>
              </w:rPr>
              <w:t>situația</w:t>
            </w:r>
            <w:r w:rsidRPr="00C56257">
              <w:rPr>
                <w:color w:val="000000" w:themeColor="text1"/>
                <w:spacing w:val="-1"/>
              </w:rPr>
              <w:t xml:space="preserve"> </w:t>
            </w:r>
            <w:r w:rsidRPr="00C56257">
              <w:rPr>
                <w:color w:val="000000" w:themeColor="text1"/>
              </w:rPr>
              <w:t>prezenței</w:t>
            </w:r>
          </w:p>
          <w:p w14:paraId="18B4A736" w14:textId="77777777" w:rsidR="001D1514" w:rsidRPr="00C56257" w:rsidRDefault="001D1514" w:rsidP="008E33FD">
            <w:pPr>
              <w:widowControl w:val="0"/>
              <w:autoSpaceDE w:val="0"/>
              <w:autoSpaceDN w:val="0"/>
              <w:spacing w:line="238" w:lineRule="exact"/>
              <w:jc w:val="both"/>
              <w:rPr>
                <w:color w:val="000000" w:themeColor="text1"/>
              </w:rPr>
            </w:pPr>
            <w:r w:rsidRPr="00C56257">
              <w:rPr>
                <w:color w:val="000000" w:themeColor="text1"/>
              </w:rPr>
              <w:t>habitatului.</w:t>
            </w:r>
          </w:p>
        </w:tc>
      </w:tr>
      <w:tr w:rsidR="00AD4B7E" w:rsidRPr="00C56257" w14:paraId="6A4C0953" w14:textId="77777777" w:rsidTr="00AD4B7E">
        <w:trPr>
          <w:trHeight w:val="1771"/>
        </w:trPr>
        <w:tc>
          <w:tcPr>
            <w:tcW w:w="2552" w:type="dxa"/>
          </w:tcPr>
          <w:p w14:paraId="69745F43" w14:textId="77777777" w:rsidR="001D1514" w:rsidRPr="00C56257" w:rsidRDefault="001D1514" w:rsidP="008E33FD">
            <w:pPr>
              <w:widowControl w:val="0"/>
              <w:autoSpaceDE w:val="0"/>
              <w:autoSpaceDN w:val="0"/>
              <w:jc w:val="both"/>
              <w:rPr>
                <w:b/>
                <w:color w:val="000000" w:themeColor="text1"/>
              </w:rPr>
            </w:pPr>
          </w:p>
          <w:p w14:paraId="307786F3" w14:textId="77777777" w:rsidR="001D1514" w:rsidRPr="00C56257" w:rsidRDefault="001D1514" w:rsidP="008E33FD">
            <w:pPr>
              <w:widowControl w:val="0"/>
              <w:autoSpaceDE w:val="0"/>
              <w:autoSpaceDN w:val="0"/>
              <w:spacing w:before="5"/>
              <w:jc w:val="both"/>
              <w:rPr>
                <w:b/>
                <w:color w:val="000000" w:themeColor="text1"/>
              </w:rPr>
            </w:pPr>
          </w:p>
          <w:p w14:paraId="7480EA8C" w14:textId="77777777" w:rsidR="001D1514" w:rsidRPr="00C56257" w:rsidRDefault="001D1514" w:rsidP="008E33FD">
            <w:pPr>
              <w:widowControl w:val="0"/>
              <w:autoSpaceDE w:val="0"/>
              <w:autoSpaceDN w:val="0"/>
              <w:spacing w:before="1"/>
              <w:ind w:right="17"/>
              <w:jc w:val="both"/>
              <w:rPr>
                <w:color w:val="000000" w:themeColor="text1"/>
              </w:rPr>
            </w:pPr>
            <w:r w:rsidRPr="00C56257">
              <w:rPr>
                <w:color w:val="000000" w:themeColor="text1"/>
              </w:rPr>
              <w:t>3140</w:t>
            </w:r>
            <w:r w:rsidRPr="00C56257">
              <w:rPr>
                <w:color w:val="000000" w:themeColor="text1"/>
                <w:spacing w:val="1"/>
              </w:rPr>
              <w:t xml:space="preserve"> </w:t>
            </w:r>
            <w:r w:rsidRPr="00C56257">
              <w:rPr>
                <w:color w:val="000000" w:themeColor="text1"/>
              </w:rPr>
              <w:t>-</w:t>
            </w:r>
            <w:r w:rsidRPr="00C56257">
              <w:rPr>
                <w:color w:val="000000" w:themeColor="text1"/>
                <w:spacing w:val="1"/>
              </w:rPr>
              <w:t xml:space="preserve"> </w:t>
            </w:r>
            <w:r w:rsidRPr="00C56257">
              <w:rPr>
                <w:color w:val="000000" w:themeColor="text1"/>
              </w:rPr>
              <w:t>Ape</w:t>
            </w:r>
            <w:r w:rsidRPr="00C56257">
              <w:rPr>
                <w:color w:val="000000" w:themeColor="text1"/>
                <w:spacing w:val="1"/>
              </w:rPr>
              <w:t xml:space="preserve"> </w:t>
            </w:r>
            <w:r w:rsidRPr="00C56257">
              <w:rPr>
                <w:color w:val="000000" w:themeColor="text1"/>
              </w:rPr>
              <w:t>puternic</w:t>
            </w:r>
            <w:r w:rsidRPr="00C56257">
              <w:rPr>
                <w:color w:val="000000" w:themeColor="text1"/>
                <w:spacing w:val="1"/>
              </w:rPr>
              <w:t xml:space="preserve"> </w:t>
            </w:r>
            <w:r w:rsidRPr="00C56257">
              <w:rPr>
                <w:color w:val="000000" w:themeColor="text1"/>
              </w:rPr>
              <w:t>oligo-</w:t>
            </w:r>
            <w:r w:rsidRPr="00C56257">
              <w:rPr>
                <w:color w:val="000000" w:themeColor="text1"/>
                <w:spacing w:val="1"/>
              </w:rPr>
              <w:t xml:space="preserve"> </w:t>
            </w:r>
            <w:r w:rsidRPr="00C56257">
              <w:rPr>
                <w:color w:val="000000" w:themeColor="text1"/>
              </w:rPr>
              <w:t>mezotrofice cu vegetație bentonică</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specii</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i/>
                <w:color w:val="000000" w:themeColor="text1"/>
              </w:rPr>
              <w:t>Chara spp</w:t>
            </w:r>
            <w:r w:rsidRPr="00C56257">
              <w:rPr>
                <w:color w:val="000000" w:themeColor="text1"/>
              </w:rPr>
              <w:t>.</w:t>
            </w:r>
          </w:p>
        </w:tc>
        <w:tc>
          <w:tcPr>
            <w:tcW w:w="530" w:type="dxa"/>
            <w:gridSpan w:val="2"/>
          </w:tcPr>
          <w:p w14:paraId="10B2E7A3" w14:textId="77777777" w:rsidR="001D1514" w:rsidRPr="00C56257" w:rsidRDefault="001D1514" w:rsidP="008E33FD">
            <w:pPr>
              <w:widowControl w:val="0"/>
              <w:autoSpaceDE w:val="0"/>
              <w:autoSpaceDN w:val="0"/>
              <w:jc w:val="both"/>
              <w:rPr>
                <w:color w:val="000000" w:themeColor="text1"/>
              </w:rPr>
            </w:pPr>
          </w:p>
        </w:tc>
        <w:tc>
          <w:tcPr>
            <w:tcW w:w="557" w:type="dxa"/>
            <w:gridSpan w:val="2"/>
          </w:tcPr>
          <w:p w14:paraId="3A6D058C" w14:textId="77777777" w:rsidR="001D1514" w:rsidRPr="00C56257" w:rsidRDefault="001D1514" w:rsidP="008E33FD">
            <w:pPr>
              <w:widowControl w:val="0"/>
              <w:autoSpaceDE w:val="0"/>
              <w:autoSpaceDN w:val="0"/>
              <w:jc w:val="both"/>
              <w:rPr>
                <w:color w:val="000000" w:themeColor="text1"/>
              </w:rPr>
            </w:pPr>
          </w:p>
        </w:tc>
        <w:tc>
          <w:tcPr>
            <w:tcW w:w="571" w:type="dxa"/>
            <w:gridSpan w:val="2"/>
            <w:shd w:val="clear" w:color="auto" w:fill="BEBEBE"/>
          </w:tcPr>
          <w:p w14:paraId="037AA195" w14:textId="77777777" w:rsidR="001D1514" w:rsidRPr="00C56257" w:rsidRDefault="001D1514" w:rsidP="008E33FD">
            <w:pPr>
              <w:widowControl w:val="0"/>
              <w:autoSpaceDE w:val="0"/>
              <w:autoSpaceDN w:val="0"/>
              <w:jc w:val="both"/>
              <w:rPr>
                <w:color w:val="000000" w:themeColor="text1"/>
              </w:rPr>
            </w:pPr>
          </w:p>
        </w:tc>
        <w:tc>
          <w:tcPr>
            <w:tcW w:w="566" w:type="dxa"/>
            <w:gridSpan w:val="2"/>
            <w:shd w:val="clear" w:color="auto" w:fill="BEBEBE"/>
          </w:tcPr>
          <w:p w14:paraId="12957CD1" w14:textId="77777777" w:rsidR="001D1514" w:rsidRPr="00C56257" w:rsidRDefault="001D1514" w:rsidP="008E33FD">
            <w:pPr>
              <w:widowControl w:val="0"/>
              <w:autoSpaceDE w:val="0"/>
              <w:autoSpaceDN w:val="0"/>
              <w:jc w:val="both"/>
              <w:rPr>
                <w:color w:val="000000" w:themeColor="text1"/>
              </w:rPr>
            </w:pPr>
          </w:p>
        </w:tc>
        <w:tc>
          <w:tcPr>
            <w:tcW w:w="568" w:type="dxa"/>
            <w:gridSpan w:val="2"/>
            <w:shd w:val="clear" w:color="auto" w:fill="BEBEBE"/>
          </w:tcPr>
          <w:p w14:paraId="0BE20D6F" w14:textId="77777777" w:rsidR="001D1514" w:rsidRPr="00C56257" w:rsidRDefault="001D1514" w:rsidP="008E33FD">
            <w:pPr>
              <w:widowControl w:val="0"/>
              <w:autoSpaceDE w:val="0"/>
              <w:autoSpaceDN w:val="0"/>
              <w:jc w:val="both"/>
              <w:rPr>
                <w:color w:val="000000" w:themeColor="text1"/>
              </w:rPr>
            </w:pPr>
          </w:p>
        </w:tc>
        <w:tc>
          <w:tcPr>
            <w:tcW w:w="568" w:type="dxa"/>
            <w:gridSpan w:val="2"/>
            <w:shd w:val="clear" w:color="auto" w:fill="BEBEBE"/>
          </w:tcPr>
          <w:p w14:paraId="7A2A14F1" w14:textId="77777777" w:rsidR="001D1514" w:rsidRPr="00C56257" w:rsidRDefault="001D1514" w:rsidP="008E33FD">
            <w:pPr>
              <w:widowControl w:val="0"/>
              <w:autoSpaceDE w:val="0"/>
              <w:autoSpaceDN w:val="0"/>
              <w:jc w:val="both"/>
              <w:rPr>
                <w:color w:val="000000" w:themeColor="text1"/>
              </w:rPr>
            </w:pPr>
          </w:p>
        </w:tc>
        <w:tc>
          <w:tcPr>
            <w:tcW w:w="516" w:type="dxa"/>
            <w:gridSpan w:val="2"/>
            <w:shd w:val="clear" w:color="auto" w:fill="BEBEBE"/>
          </w:tcPr>
          <w:p w14:paraId="3B72558A" w14:textId="77777777" w:rsidR="001D1514" w:rsidRPr="00C56257" w:rsidRDefault="001D1514" w:rsidP="008E33FD">
            <w:pPr>
              <w:widowControl w:val="0"/>
              <w:autoSpaceDE w:val="0"/>
              <w:autoSpaceDN w:val="0"/>
              <w:jc w:val="both"/>
              <w:rPr>
                <w:color w:val="000000" w:themeColor="text1"/>
              </w:rPr>
            </w:pPr>
          </w:p>
        </w:tc>
        <w:tc>
          <w:tcPr>
            <w:tcW w:w="566" w:type="dxa"/>
            <w:gridSpan w:val="2"/>
            <w:shd w:val="clear" w:color="auto" w:fill="BEBEBE"/>
          </w:tcPr>
          <w:p w14:paraId="2C486FDE" w14:textId="77777777" w:rsidR="001D1514" w:rsidRPr="00C56257" w:rsidRDefault="001D1514" w:rsidP="008E33FD">
            <w:pPr>
              <w:widowControl w:val="0"/>
              <w:autoSpaceDE w:val="0"/>
              <w:autoSpaceDN w:val="0"/>
              <w:jc w:val="both"/>
              <w:rPr>
                <w:color w:val="000000" w:themeColor="text1"/>
              </w:rPr>
            </w:pPr>
          </w:p>
        </w:tc>
        <w:tc>
          <w:tcPr>
            <w:tcW w:w="568" w:type="dxa"/>
            <w:gridSpan w:val="2"/>
            <w:shd w:val="clear" w:color="auto" w:fill="BEBEBE"/>
          </w:tcPr>
          <w:p w14:paraId="71F85E3A" w14:textId="77777777" w:rsidR="001D1514" w:rsidRPr="00C56257" w:rsidRDefault="001D1514" w:rsidP="008E33FD">
            <w:pPr>
              <w:widowControl w:val="0"/>
              <w:autoSpaceDE w:val="0"/>
              <w:autoSpaceDN w:val="0"/>
              <w:jc w:val="both"/>
              <w:rPr>
                <w:color w:val="000000" w:themeColor="text1"/>
              </w:rPr>
            </w:pPr>
          </w:p>
        </w:tc>
        <w:tc>
          <w:tcPr>
            <w:tcW w:w="566" w:type="dxa"/>
            <w:gridSpan w:val="2"/>
            <w:shd w:val="clear" w:color="auto" w:fill="BEBEBE"/>
          </w:tcPr>
          <w:p w14:paraId="6043DB51" w14:textId="77777777" w:rsidR="001D1514" w:rsidRPr="00C56257" w:rsidRDefault="001D1514" w:rsidP="008E33FD">
            <w:pPr>
              <w:widowControl w:val="0"/>
              <w:autoSpaceDE w:val="0"/>
              <w:autoSpaceDN w:val="0"/>
              <w:jc w:val="both"/>
              <w:rPr>
                <w:color w:val="000000" w:themeColor="text1"/>
              </w:rPr>
            </w:pPr>
          </w:p>
        </w:tc>
        <w:tc>
          <w:tcPr>
            <w:tcW w:w="566" w:type="dxa"/>
            <w:gridSpan w:val="2"/>
          </w:tcPr>
          <w:p w14:paraId="2641A332" w14:textId="77777777" w:rsidR="001D1514" w:rsidRPr="00C56257" w:rsidRDefault="001D1514" w:rsidP="008E33FD">
            <w:pPr>
              <w:widowControl w:val="0"/>
              <w:autoSpaceDE w:val="0"/>
              <w:autoSpaceDN w:val="0"/>
              <w:jc w:val="both"/>
              <w:rPr>
                <w:color w:val="000000" w:themeColor="text1"/>
              </w:rPr>
            </w:pPr>
          </w:p>
        </w:tc>
        <w:tc>
          <w:tcPr>
            <w:tcW w:w="530" w:type="dxa"/>
            <w:gridSpan w:val="2"/>
          </w:tcPr>
          <w:p w14:paraId="3F1E76CD" w14:textId="77777777" w:rsidR="001D1514" w:rsidRPr="00C56257" w:rsidRDefault="001D1514" w:rsidP="008E33FD">
            <w:pPr>
              <w:widowControl w:val="0"/>
              <w:autoSpaceDE w:val="0"/>
              <w:autoSpaceDN w:val="0"/>
              <w:jc w:val="both"/>
              <w:rPr>
                <w:color w:val="000000" w:themeColor="text1"/>
              </w:rPr>
            </w:pPr>
          </w:p>
        </w:tc>
        <w:tc>
          <w:tcPr>
            <w:tcW w:w="2573" w:type="dxa"/>
            <w:gridSpan w:val="2"/>
          </w:tcPr>
          <w:p w14:paraId="0EC074D0" w14:textId="77777777" w:rsidR="001D1514" w:rsidRPr="00C56257" w:rsidRDefault="001D1514" w:rsidP="008E33FD">
            <w:pPr>
              <w:widowControl w:val="0"/>
              <w:autoSpaceDE w:val="0"/>
              <w:autoSpaceDN w:val="0"/>
              <w:spacing w:before="7"/>
              <w:jc w:val="both"/>
              <w:rPr>
                <w:b/>
                <w:color w:val="000000" w:themeColor="text1"/>
              </w:rPr>
            </w:pPr>
          </w:p>
          <w:p w14:paraId="084DF6FA" w14:textId="77777777" w:rsidR="001D1514" w:rsidRPr="00C56257" w:rsidRDefault="001D1514" w:rsidP="008E33FD">
            <w:pPr>
              <w:widowControl w:val="0"/>
              <w:autoSpaceDE w:val="0"/>
              <w:autoSpaceDN w:val="0"/>
              <w:spacing w:line="252"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32089D21" w14:textId="77777777" w:rsidR="001D1514" w:rsidRPr="00C56257" w:rsidRDefault="001D1514" w:rsidP="009E63E5">
            <w:pPr>
              <w:widowControl w:val="0"/>
              <w:numPr>
                <w:ilvl w:val="0"/>
                <w:numId w:val="36"/>
              </w:numPr>
              <w:tabs>
                <w:tab w:val="left" w:pos="239"/>
              </w:tabs>
              <w:autoSpaceDE w:val="0"/>
              <w:autoSpaceDN w:val="0"/>
              <w:ind w:right="14" w:firstLine="0"/>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releveelor</w:t>
            </w:r>
            <w:r w:rsidRPr="00C56257">
              <w:rPr>
                <w:color w:val="000000" w:themeColor="text1"/>
                <w:spacing w:val="1"/>
              </w:rPr>
              <w:t xml:space="preserve"> </w:t>
            </w:r>
            <w:r w:rsidRPr="00C56257">
              <w:rPr>
                <w:color w:val="000000" w:themeColor="text1"/>
              </w:rPr>
              <w:t>sau</w:t>
            </w:r>
            <w:r w:rsidRPr="00C56257">
              <w:rPr>
                <w:color w:val="000000" w:themeColor="text1"/>
                <w:spacing w:val="1"/>
              </w:rPr>
              <w:t xml:space="preserve"> </w:t>
            </w:r>
            <w:r w:rsidRPr="00C56257">
              <w:rPr>
                <w:color w:val="000000" w:themeColor="text1"/>
              </w:rPr>
              <w:t>a</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0F80B955" w14:textId="77777777" w:rsidR="001D1514" w:rsidRPr="00C56257" w:rsidRDefault="001D1514" w:rsidP="009E63E5">
            <w:pPr>
              <w:widowControl w:val="0"/>
              <w:numPr>
                <w:ilvl w:val="0"/>
                <w:numId w:val="36"/>
              </w:numPr>
              <w:tabs>
                <w:tab w:val="left" w:pos="272"/>
              </w:tabs>
              <w:autoSpaceDE w:val="0"/>
              <w:autoSpaceDN w:val="0"/>
              <w:ind w:left="271" w:hanging="238"/>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1811" w:type="dxa"/>
          </w:tcPr>
          <w:p w14:paraId="5852AA26" w14:textId="77777777" w:rsidR="001D1514" w:rsidRPr="00C56257" w:rsidRDefault="001D1514" w:rsidP="008E33FD">
            <w:pPr>
              <w:widowControl w:val="0"/>
              <w:autoSpaceDE w:val="0"/>
              <w:autoSpaceDN w:val="0"/>
              <w:ind w:right="109"/>
              <w:jc w:val="both"/>
              <w:rPr>
                <w:color w:val="000000" w:themeColor="text1"/>
              </w:rPr>
            </w:pPr>
            <w:r w:rsidRPr="00C56257">
              <w:rPr>
                <w:color w:val="000000" w:themeColor="text1"/>
              </w:rPr>
              <w:t>Min 6 relevee/</w:t>
            </w:r>
            <w:r w:rsidRPr="00C56257">
              <w:rPr>
                <w:color w:val="000000" w:themeColor="text1"/>
                <w:spacing w:val="1"/>
              </w:rPr>
              <w:t xml:space="preserve"> </w:t>
            </w:r>
            <w:r w:rsidRPr="00C56257">
              <w:rPr>
                <w:color w:val="000000" w:themeColor="text1"/>
              </w:rPr>
              <w:t>transecte de</w:t>
            </w:r>
            <w:r w:rsidRPr="00C56257">
              <w:rPr>
                <w:color w:val="000000" w:themeColor="text1"/>
                <w:spacing w:val="1"/>
              </w:rPr>
              <w:t xml:space="preserve"> </w:t>
            </w:r>
            <w:r w:rsidRPr="00C56257">
              <w:rPr>
                <w:color w:val="000000" w:themeColor="text1"/>
              </w:rPr>
              <w:t>monitorizare în cadrul</w:t>
            </w:r>
            <w:r w:rsidRPr="00C56257">
              <w:rPr>
                <w:color w:val="000000" w:themeColor="text1"/>
                <w:spacing w:val="-52"/>
              </w:rPr>
              <w:t xml:space="preserve"> </w:t>
            </w:r>
            <w:r w:rsidRPr="00C56257">
              <w:rPr>
                <w:color w:val="000000" w:themeColor="text1"/>
              </w:rPr>
              <w:t>ariilor naturale țintă şi</w:t>
            </w:r>
            <w:r w:rsidRPr="00C56257">
              <w:rPr>
                <w:color w:val="000000" w:themeColor="text1"/>
                <w:spacing w:val="-52"/>
              </w:rPr>
              <w:t xml:space="preserve"> </w:t>
            </w:r>
            <w:r w:rsidRPr="00C56257">
              <w:rPr>
                <w:color w:val="000000" w:themeColor="text1"/>
              </w:rPr>
              <w:t>în afara acestora în</w:t>
            </w:r>
            <w:r w:rsidRPr="00C56257">
              <w:rPr>
                <w:color w:val="000000" w:themeColor="text1"/>
                <w:spacing w:val="1"/>
              </w:rPr>
              <w:t xml:space="preserve"> </w:t>
            </w:r>
            <w:r w:rsidRPr="00C56257">
              <w:rPr>
                <w:color w:val="000000" w:themeColor="text1"/>
              </w:rPr>
              <w:t>situația</w:t>
            </w:r>
            <w:r w:rsidRPr="00C56257">
              <w:rPr>
                <w:color w:val="000000" w:themeColor="text1"/>
                <w:spacing w:val="-1"/>
              </w:rPr>
              <w:t xml:space="preserve"> </w:t>
            </w:r>
            <w:r w:rsidRPr="00C56257">
              <w:rPr>
                <w:color w:val="000000" w:themeColor="text1"/>
              </w:rPr>
              <w:t>prezenței</w:t>
            </w:r>
          </w:p>
          <w:p w14:paraId="76565D73" w14:textId="77777777" w:rsidR="001D1514" w:rsidRPr="00C56257" w:rsidRDefault="001D1514" w:rsidP="008E33FD">
            <w:pPr>
              <w:widowControl w:val="0"/>
              <w:autoSpaceDE w:val="0"/>
              <w:autoSpaceDN w:val="0"/>
              <w:spacing w:line="238" w:lineRule="exact"/>
              <w:jc w:val="both"/>
              <w:rPr>
                <w:color w:val="000000" w:themeColor="text1"/>
              </w:rPr>
            </w:pPr>
            <w:r w:rsidRPr="00C56257">
              <w:rPr>
                <w:color w:val="000000" w:themeColor="text1"/>
              </w:rPr>
              <w:t>habitatului.</w:t>
            </w:r>
          </w:p>
        </w:tc>
      </w:tr>
      <w:tr w:rsidR="00AD4B7E" w:rsidRPr="00C56257" w14:paraId="60482698" w14:textId="77777777" w:rsidTr="00AD4B7E">
        <w:trPr>
          <w:trHeight w:val="1771"/>
        </w:trPr>
        <w:tc>
          <w:tcPr>
            <w:tcW w:w="2552" w:type="dxa"/>
          </w:tcPr>
          <w:p w14:paraId="020E9B6F" w14:textId="77777777" w:rsidR="001D1514" w:rsidRPr="00C56257" w:rsidRDefault="001D1514" w:rsidP="008E33FD">
            <w:pPr>
              <w:widowControl w:val="0"/>
              <w:autoSpaceDE w:val="0"/>
              <w:autoSpaceDN w:val="0"/>
              <w:spacing w:before="7"/>
              <w:jc w:val="both"/>
              <w:rPr>
                <w:b/>
                <w:color w:val="000000" w:themeColor="text1"/>
              </w:rPr>
            </w:pPr>
          </w:p>
          <w:p w14:paraId="056DA27B" w14:textId="77777777" w:rsidR="001D1514" w:rsidRPr="00C56257" w:rsidRDefault="001D1514" w:rsidP="008E33FD">
            <w:pPr>
              <w:widowControl w:val="0"/>
              <w:autoSpaceDE w:val="0"/>
              <w:autoSpaceDN w:val="0"/>
              <w:ind w:right="18"/>
              <w:jc w:val="both"/>
              <w:rPr>
                <w:i/>
                <w:color w:val="000000" w:themeColor="text1"/>
              </w:rPr>
            </w:pPr>
            <w:r w:rsidRPr="00C56257">
              <w:rPr>
                <w:color w:val="000000" w:themeColor="text1"/>
              </w:rPr>
              <w:t>3150 - Lacuri naturale eutrofice cu</w:t>
            </w:r>
            <w:r w:rsidRPr="00C56257">
              <w:rPr>
                <w:color w:val="000000" w:themeColor="text1"/>
                <w:spacing w:val="1"/>
              </w:rPr>
              <w:t xml:space="preserve"> </w:t>
            </w:r>
            <w:r w:rsidRPr="00C56257">
              <w:rPr>
                <w:color w:val="000000" w:themeColor="text1"/>
              </w:rPr>
              <w:t>vegetaţie</w:t>
            </w:r>
            <w:r w:rsidRPr="00C56257">
              <w:rPr>
                <w:color w:val="000000" w:themeColor="text1"/>
                <w:spacing w:val="1"/>
              </w:rPr>
              <w:t xml:space="preserve"> </w:t>
            </w:r>
            <w:r w:rsidRPr="00C56257">
              <w:rPr>
                <w:color w:val="000000" w:themeColor="text1"/>
              </w:rPr>
              <w:t>tip</w:t>
            </w:r>
            <w:r w:rsidRPr="00C56257">
              <w:rPr>
                <w:color w:val="000000" w:themeColor="text1"/>
                <w:spacing w:val="1"/>
              </w:rPr>
              <w:t xml:space="preserve"> </w:t>
            </w:r>
            <w:r w:rsidRPr="00C56257">
              <w:rPr>
                <w:i/>
                <w:color w:val="000000" w:themeColor="text1"/>
              </w:rPr>
              <w:t>Magnopotamion</w:t>
            </w:r>
            <w:r w:rsidRPr="00C56257">
              <w:rPr>
                <w:i/>
                <w:color w:val="000000" w:themeColor="text1"/>
                <w:spacing w:val="1"/>
              </w:rPr>
              <w:t xml:space="preserve"> </w:t>
            </w:r>
            <w:r w:rsidRPr="00C56257">
              <w:rPr>
                <w:i/>
                <w:color w:val="000000" w:themeColor="text1"/>
              </w:rPr>
              <w:t>sau</w:t>
            </w:r>
            <w:r w:rsidRPr="00C56257">
              <w:rPr>
                <w:i/>
                <w:color w:val="000000" w:themeColor="text1"/>
                <w:spacing w:val="1"/>
              </w:rPr>
              <w:t xml:space="preserve"> </w:t>
            </w:r>
            <w:r w:rsidRPr="00C56257">
              <w:rPr>
                <w:i/>
                <w:color w:val="000000" w:themeColor="text1"/>
              </w:rPr>
              <w:t>Hydrocharition</w:t>
            </w:r>
          </w:p>
        </w:tc>
        <w:tc>
          <w:tcPr>
            <w:tcW w:w="530" w:type="dxa"/>
            <w:gridSpan w:val="2"/>
          </w:tcPr>
          <w:p w14:paraId="59FF0228" w14:textId="77777777" w:rsidR="001D1514" w:rsidRPr="00C56257" w:rsidRDefault="001D1514" w:rsidP="008E33FD">
            <w:pPr>
              <w:widowControl w:val="0"/>
              <w:autoSpaceDE w:val="0"/>
              <w:autoSpaceDN w:val="0"/>
              <w:jc w:val="both"/>
              <w:rPr>
                <w:color w:val="000000" w:themeColor="text1"/>
              </w:rPr>
            </w:pPr>
          </w:p>
        </w:tc>
        <w:tc>
          <w:tcPr>
            <w:tcW w:w="557" w:type="dxa"/>
            <w:gridSpan w:val="2"/>
          </w:tcPr>
          <w:p w14:paraId="27028F37" w14:textId="77777777" w:rsidR="001D1514" w:rsidRPr="00C56257" w:rsidRDefault="001D1514" w:rsidP="008E33FD">
            <w:pPr>
              <w:widowControl w:val="0"/>
              <w:autoSpaceDE w:val="0"/>
              <w:autoSpaceDN w:val="0"/>
              <w:jc w:val="both"/>
              <w:rPr>
                <w:color w:val="000000" w:themeColor="text1"/>
              </w:rPr>
            </w:pPr>
          </w:p>
        </w:tc>
        <w:tc>
          <w:tcPr>
            <w:tcW w:w="571" w:type="dxa"/>
            <w:gridSpan w:val="2"/>
            <w:shd w:val="clear" w:color="auto" w:fill="BEBEBE"/>
          </w:tcPr>
          <w:p w14:paraId="283D019B" w14:textId="77777777" w:rsidR="001D1514" w:rsidRPr="00C56257" w:rsidRDefault="001D1514" w:rsidP="008E33FD">
            <w:pPr>
              <w:widowControl w:val="0"/>
              <w:autoSpaceDE w:val="0"/>
              <w:autoSpaceDN w:val="0"/>
              <w:jc w:val="both"/>
              <w:rPr>
                <w:color w:val="000000" w:themeColor="text1"/>
              </w:rPr>
            </w:pPr>
          </w:p>
        </w:tc>
        <w:tc>
          <w:tcPr>
            <w:tcW w:w="566" w:type="dxa"/>
            <w:gridSpan w:val="2"/>
            <w:shd w:val="clear" w:color="auto" w:fill="BEBEBE"/>
          </w:tcPr>
          <w:p w14:paraId="47735BDE" w14:textId="77777777" w:rsidR="001D1514" w:rsidRPr="00C56257" w:rsidRDefault="001D1514" w:rsidP="008E33FD">
            <w:pPr>
              <w:widowControl w:val="0"/>
              <w:autoSpaceDE w:val="0"/>
              <w:autoSpaceDN w:val="0"/>
              <w:jc w:val="both"/>
              <w:rPr>
                <w:color w:val="000000" w:themeColor="text1"/>
              </w:rPr>
            </w:pPr>
          </w:p>
        </w:tc>
        <w:tc>
          <w:tcPr>
            <w:tcW w:w="568" w:type="dxa"/>
            <w:gridSpan w:val="2"/>
            <w:shd w:val="clear" w:color="auto" w:fill="BEBEBE"/>
          </w:tcPr>
          <w:p w14:paraId="2F983535" w14:textId="77777777" w:rsidR="001D1514" w:rsidRPr="00C56257" w:rsidRDefault="001D1514" w:rsidP="008E33FD">
            <w:pPr>
              <w:widowControl w:val="0"/>
              <w:autoSpaceDE w:val="0"/>
              <w:autoSpaceDN w:val="0"/>
              <w:jc w:val="both"/>
              <w:rPr>
                <w:color w:val="000000" w:themeColor="text1"/>
              </w:rPr>
            </w:pPr>
          </w:p>
        </w:tc>
        <w:tc>
          <w:tcPr>
            <w:tcW w:w="568" w:type="dxa"/>
            <w:gridSpan w:val="2"/>
            <w:shd w:val="clear" w:color="auto" w:fill="BEBEBE"/>
          </w:tcPr>
          <w:p w14:paraId="7D3DF8C2" w14:textId="77777777" w:rsidR="001D1514" w:rsidRPr="00C56257" w:rsidRDefault="001D1514" w:rsidP="008E33FD">
            <w:pPr>
              <w:widowControl w:val="0"/>
              <w:autoSpaceDE w:val="0"/>
              <w:autoSpaceDN w:val="0"/>
              <w:jc w:val="both"/>
              <w:rPr>
                <w:color w:val="000000" w:themeColor="text1"/>
              </w:rPr>
            </w:pPr>
          </w:p>
        </w:tc>
        <w:tc>
          <w:tcPr>
            <w:tcW w:w="516" w:type="dxa"/>
            <w:gridSpan w:val="2"/>
            <w:shd w:val="clear" w:color="auto" w:fill="BEBEBE"/>
          </w:tcPr>
          <w:p w14:paraId="4D7D27C2" w14:textId="77777777" w:rsidR="001D1514" w:rsidRPr="00C56257" w:rsidRDefault="001D1514" w:rsidP="008E33FD">
            <w:pPr>
              <w:widowControl w:val="0"/>
              <w:autoSpaceDE w:val="0"/>
              <w:autoSpaceDN w:val="0"/>
              <w:jc w:val="both"/>
              <w:rPr>
                <w:color w:val="000000" w:themeColor="text1"/>
              </w:rPr>
            </w:pPr>
          </w:p>
        </w:tc>
        <w:tc>
          <w:tcPr>
            <w:tcW w:w="566" w:type="dxa"/>
            <w:gridSpan w:val="2"/>
            <w:shd w:val="clear" w:color="auto" w:fill="BEBEBE"/>
          </w:tcPr>
          <w:p w14:paraId="556B0BED" w14:textId="77777777" w:rsidR="001D1514" w:rsidRPr="00C56257" w:rsidRDefault="001D1514" w:rsidP="008E33FD">
            <w:pPr>
              <w:widowControl w:val="0"/>
              <w:autoSpaceDE w:val="0"/>
              <w:autoSpaceDN w:val="0"/>
              <w:jc w:val="both"/>
              <w:rPr>
                <w:color w:val="000000" w:themeColor="text1"/>
              </w:rPr>
            </w:pPr>
          </w:p>
        </w:tc>
        <w:tc>
          <w:tcPr>
            <w:tcW w:w="568" w:type="dxa"/>
            <w:gridSpan w:val="2"/>
            <w:shd w:val="clear" w:color="auto" w:fill="BEBEBE"/>
          </w:tcPr>
          <w:p w14:paraId="06B563C2" w14:textId="77777777" w:rsidR="001D1514" w:rsidRPr="00C56257" w:rsidRDefault="001D1514" w:rsidP="008E33FD">
            <w:pPr>
              <w:widowControl w:val="0"/>
              <w:autoSpaceDE w:val="0"/>
              <w:autoSpaceDN w:val="0"/>
              <w:jc w:val="both"/>
              <w:rPr>
                <w:color w:val="000000" w:themeColor="text1"/>
              </w:rPr>
            </w:pPr>
          </w:p>
        </w:tc>
        <w:tc>
          <w:tcPr>
            <w:tcW w:w="566" w:type="dxa"/>
            <w:gridSpan w:val="2"/>
            <w:shd w:val="clear" w:color="auto" w:fill="BEBEBE"/>
          </w:tcPr>
          <w:p w14:paraId="77C0C916" w14:textId="77777777" w:rsidR="001D1514" w:rsidRPr="00C56257" w:rsidRDefault="001D1514" w:rsidP="008E33FD">
            <w:pPr>
              <w:widowControl w:val="0"/>
              <w:autoSpaceDE w:val="0"/>
              <w:autoSpaceDN w:val="0"/>
              <w:jc w:val="both"/>
              <w:rPr>
                <w:color w:val="000000" w:themeColor="text1"/>
              </w:rPr>
            </w:pPr>
          </w:p>
        </w:tc>
        <w:tc>
          <w:tcPr>
            <w:tcW w:w="566" w:type="dxa"/>
            <w:gridSpan w:val="2"/>
          </w:tcPr>
          <w:p w14:paraId="39EF595D" w14:textId="77777777" w:rsidR="001D1514" w:rsidRPr="00C56257" w:rsidRDefault="001D1514" w:rsidP="008E33FD">
            <w:pPr>
              <w:widowControl w:val="0"/>
              <w:autoSpaceDE w:val="0"/>
              <w:autoSpaceDN w:val="0"/>
              <w:jc w:val="both"/>
              <w:rPr>
                <w:color w:val="000000" w:themeColor="text1"/>
              </w:rPr>
            </w:pPr>
          </w:p>
        </w:tc>
        <w:tc>
          <w:tcPr>
            <w:tcW w:w="530" w:type="dxa"/>
            <w:gridSpan w:val="2"/>
          </w:tcPr>
          <w:p w14:paraId="2E440EBE" w14:textId="77777777" w:rsidR="001D1514" w:rsidRPr="00C56257" w:rsidRDefault="001D1514" w:rsidP="008E33FD">
            <w:pPr>
              <w:widowControl w:val="0"/>
              <w:autoSpaceDE w:val="0"/>
              <w:autoSpaceDN w:val="0"/>
              <w:jc w:val="both"/>
              <w:rPr>
                <w:color w:val="000000" w:themeColor="text1"/>
              </w:rPr>
            </w:pPr>
          </w:p>
        </w:tc>
        <w:tc>
          <w:tcPr>
            <w:tcW w:w="2573" w:type="dxa"/>
            <w:gridSpan w:val="2"/>
          </w:tcPr>
          <w:p w14:paraId="03F64D38" w14:textId="77777777" w:rsidR="001D1514" w:rsidRPr="00C56257" w:rsidRDefault="001D1514" w:rsidP="008E33FD">
            <w:pPr>
              <w:widowControl w:val="0"/>
              <w:autoSpaceDE w:val="0"/>
              <w:autoSpaceDN w:val="0"/>
              <w:spacing w:before="7"/>
              <w:jc w:val="both"/>
              <w:rPr>
                <w:b/>
                <w:color w:val="000000" w:themeColor="text1"/>
              </w:rPr>
            </w:pPr>
          </w:p>
          <w:p w14:paraId="1AFD07AE" w14:textId="77777777" w:rsidR="001D1514" w:rsidRPr="00C56257" w:rsidRDefault="001D1514" w:rsidP="008E33FD">
            <w:pPr>
              <w:widowControl w:val="0"/>
              <w:autoSpaceDE w:val="0"/>
              <w:autoSpaceDN w:val="0"/>
              <w:spacing w:line="252"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781C69BC" w14:textId="77777777" w:rsidR="001D1514" w:rsidRPr="00C56257" w:rsidRDefault="001D1514" w:rsidP="009E63E5">
            <w:pPr>
              <w:widowControl w:val="0"/>
              <w:numPr>
                <w:ilvl w:val="0"/>
                <w:numId w:val="35"/>
              </w:numPr>
              <w:tabs>
                <w:tab w:val="left" w:pos="239"/>
              </w:tabs>
              <w:autoSpaceDE w:val="0"/>
              <w:autoSpaceDN w:val="0"/>
              <w:ind w:right="13" w:firstLine="0"/>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releveelor</w:t>
            </w:r>
            <w:r w:rsidRPr="00C56257">
              <w:rPr>
                <w:color w:val="000000" w:themeColor="text1"/>
                <w:spacing w:val="1"/>
              </w:rPr>
              <w:t xml:space="preserve"> </w:t>
            </w:r>
            <w:r w:rsidRPr="00C56257">
              <w:rPr>
                <w:color w:val="000000" w:themeColor="text1"/>
              </w:rPr>
              <w:t>sau</w:t>
            </w:r>
            <w:r w:rsidRPr="00C56257">
              <w:rPr>
                <w:color w:val="000000" w:themeColor="text1"/>
                <w:spacing w:val="1"/>
              </w:rPr>
              <w:t xml:space="preserve"> </w:t>
            </w:r>
            <w:r w:rsidRPr="00C56257">
              <w:rPr>
                <w:color w:val="000000" w:themeColor="text1"/>
              </w:rPr>
              <w:t>a</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75115518" w14:textId="77777777" w:rsidR="001D1514" w:rsidRPr="00C56257" w:rsidRDefault="001D1514" w:rsidP="009E63E5">
            <w:pPr>
              <w:widowControl w:val="0"/>
              <w:numPr>
                <w:ilvl w:val="0"/>
                <w:numId w:val="35"/>
              </w:numPr>
              <w:tabs>
                <w:tab w:val="left" w:pos="272"/>
              </w:tabs>
              <w:autoSpaceDE w:val="0"/>
              <w:autoSpaceDN w:val="0"/>
              <w:ind w:left="271" w:hanging="238"/>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1811" w:type="dxa"/>
          </w:tcPr>
          <w:p w14:paraId="34FA670A" w14:textId="77777777" w:rsidR="001D1514" w:rsidRPr="00C56257" w:rsidRDefault="001D1514" w:rsidP="008E33FD">
            <w:pPr>
              <w:widowControl w:val="0"/>
              <w:autoSpaceDE w:val="0"/>
              <w:autoSpaceDN w:val="0"/>
              <w:ind w:right="109"/>
              <w:jc w:val="both"/>
              <w:rPr>
                <w:color w:val="000000" w:themeColor="text1"/>
              </w:rPr>
            </w:pPr>
            <w:r w:rsidRPr="00C56257">
              <w:rPr>
                <w:color w:val="000000" w:themeColor="text1"/>
              </w:rPr>
              <w:t>Min 6 relevee/</w:t>
            </w:r>
            <w:r w:rsidRPr="00C56257">
              <w:rPr>
                <w:color w:val="000000" w:themeColor="text1"/>
                <w:spacing w:val="1"/>
              </w:rPr>
              <w:t xml:space="preserve"> </w:t>
            </w:r>
            <w:r w:rsidRPr="00C56257">
              <w:rPr>
                <w:color w:val="000000" w:themeColor="text1"/>
              </w:rPr>
              <w:t>transecte de</w:t>
            </w:r>
            <w:r w:rsidRPr="00C56257">
              <w:rPr>
                <w:color w:val="000000" w:themeColor="text1"/>
                <w:spacing w:val="1"/>
              </w:rPr>
              <w:t xml:space="preserve"> </w:t>
            </w:r>
            <w:r w:rsidRPr="00C56257">
              <w:rPr>
                <w:color w:val="000000" w:themeColor="text1"/>
              </w:rPr>
              <w:t>monitorizare în cadrul</w:t>
            </w:r>
            <w:r w:rsidRPr="00C56257">
              <w:rPr>
                <w:color w:val="000000" w:themeColor="text1"/>
                <w:spacing w:val="-52"/>
              </w:rPr>
              <w:t xml:space="preserve"> </w:t>
            </w:r>
            <w:r w:rsidRPr="00C56257">
              <w:rPr>
                <w:color w:val="000000" w:themeColor="text1"/>
              </w:rPr>
              <w:t>ariilor naturale țintă şi</w:t>
            </w:r>
            <w:r w:rsidRPr="00C56257">
              <w:rPr>
                <w:color w:val="000000" w:themeColor="text1"/>
                <w:spacing w:val="-52"/>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afara acestora</w:t>
            </w:r>
            <w:r w:rsidRPr="00C56257">
              <w:rPr>
                <w:color w:val="000000" w:themeColor="text1"/>
                <w:spacing w:val="-2"/>
              </w:rPr>
              <w:t xml:space="preserve"> </w:t>
            </w:r>
            <w:r w:rsidRPr="00C56257">
              <w:rPr>
                <w:color w:val="000000" w:themeColor="text1"/>
              </w:rPr>
              <w:t>în</w:t>
            </w:r>
          </w:p>
          <w:p w14:paraId="054FC513" w14:textId="77777777" w:rsidR="001D1514" w:rsidRPr="00C56257" w:rsidRDefault="001D1514" w:rsidP="008E33FD">
            <w:pPr>
              <w:widowControl w:val="0"/>
              <w:autoSpaceDE w:val="0"/>
              <w:autoSpaceDN w:val="0"/>
              <w:spacing w:line="252" w:lineRule="exact"/>
              <w:ind w:right="567"/>
              <w:jc w:val="both"/>
              <w:rPr>
                <w:color w:val="000000" w:themeColor="text1"/>
              </w:rPr>
            </w:pPr>
            <w:r w:rsidRPr="00C56257">
              <w:rPr>
                <w:color w:val="000000" w:themeColor="text1"/>
              </w:rPr>
              <w:t>situația prezenței</w:t>
            </w:r>
            <w:r w:rsidRPr="00C56257">
              <w:rPr>
                <w:color w:val="000000" w:themeColor="text1"/>
                <w:spacing w:val="-52"/>
              </w:rPr>
              <w:t xml:space="preserve"> </w:t>
            </w:r>
            <w:r w:rsidRPr="00C56257">
              <w:rPr>
                <w:color w:val="000000" w:themeColor="text1"/>
              </w:rPr>
              <w:t>habitatului.</w:t>
            </w:r>
          </w:p>
        </w:tc>
      </w:tr>
      <w:tr w:rsidR="00AD4B7E" w:rsidRPr="00C56257" w14:paraId="7DE7C4AA" w14:textId="77777777" w:rsidTr="00AD4B7E">
        <w:trPr>
          <w:trHeight w:val="1519"/>
        </w:trPr>
        <w:tc>
          <w:tcPr>
            <w:tcW w:w="2552" w:type="dxa"/>
          </w:tcPr>
          <w:p w14:paraId="4AFD7401" w14:textId="77777777" w:rsidR="001D1514" w:rsidRPr="00C56257" w:rsidRDefault="001D1514" w:rsidP="008E33FD">
            <w:pPr>
              <w:widowControl w:val="0"/>
              <w:autoSpaceDE w:val="0"/>
              <w:autoSpaceDN w:val="0"/>
              <w:jc w:val="both"/>
              <w:rPr>
                <w:b/>
                <w:color w:val="000000" w:themeColor="text1"/>
              </w:rPr>
            </w:pPr>
          </w:p>
          <w:p w14:paraId="78581B95" w14:textId="77777777" w:rsidR="001D1514" w:rsidRPr="00C56257" w:rsidRDefault="001D1514" w:rsidP="008E33FD">
            <w:pPr>
              <w:widowControl w:val="0"/>
              <w:autoSpaceDE w:val="0"/>
              <w:autoSpaceDN w:val="0"/>
              <w:spacing w:before="6"/>
              <w:jc w:val="both"/>
              <w:rPr>
                <w:b/>
                <w:color w:val="000000" w:themeColor="text1"/>
              </w:rPr>
            </w:pPr>
          </w:p>
          <w:p w14:paraId="67271F6F" w14:textId="77777777" w:rsidR="001D1514" w:rsidRPr="00C56257" w:rsidRDefault="001D1514" w:rsidP="008E33FD">
            <w:pPr>
              <w:widowControl w:val="0"/>
              <w:autoSpaceDE w:val="0"/>
              <w:autoSpaceDN w:val="0"/>
              <w:jc w:val="both"/>
              <w:rPr>
                <w:color w:val="000000" w:themeColor="text1"/>
              </w:rPr>
            </w:pPr>
            <w:r w:rsidRPr="00C56257">
              <w:rPr>
                <w:color w:val="000000" w:themeColor="text1"/>
              </w:rPr>
              <w:t>3160</w:t>
            </w:r>
            <w:r w:rsidRPr="00C56257">
              <w:rPr>
                <w:color w:val="000000" w:themeColor="text1"/>
                <w:spacing w:val="-2"/>
              </w:rPr>
              <w:t xml:space="preserve"> </w:t>
            </w:r>
            <w:r w:rsidRPr="00C56257">
              <w:rPr>
                <w:color w:val="000000" w:themeColor="text1"/>
              </w:rPr>
              <w:t>-</w:t>
            </w:r>
            <w:r w:rsidRPr="00C56257">
              <w:rPr>
                <w:color w:val="000000" w:themeColor="text1"/>
                <w:spacing w:val="-5"/>
              </w:rPr>
              <w:t xml:space="preserve"> </w:t>
            </w:r>
            <w:r w:rsidRPr="00C56257">
              <w:rPr>
                <w:color w:val="000000" w:themeColor="text1"/>
              </w:rPr>
              <w:t>Lacuri distrofice</w:t>
            </w:r>
            <w:r w:rsidRPr="00C56257">
              <w:rPr>
                <w:color w:val="000000" w:themeColor="text1"/>
                <w:spacing w:val="1"/>
              </w:rPr>
              <w:t xml:space="preserve"> </w:t>
            </w:r>
            <w:r w:rsidRPr="00C56257">
              <w:rPr>
                <w:color w:val="000000" w:themeColor="text1"/>
              </w:rPr>
              <w:t>şi</w:t>
            </w:r>
            <w:r w:rsidRPr="00C56257">
              <w:rPr>
                <w:color w:val="000000" w:themeColor="text1"/>
                <w:spacing w:val="-3"/>
              </w:rPr>
              <w:t xml:space="preserve"> </w:t>
            </w:r>
            <w:r w:rsidRPr="00C56257">
              <w:rPr>
                <w:color w:val="000000" w:themeColor="text1"/>
              </w:rPr>
              <w:t>iazuri</w:t>
            </w:r>
          </w:p>
        </w:tc>
        <w:tc>
          <w:tcPr>
            <w:tcW w:w="530" w:type="dxa"/>
            <w:gridSpan w:val="2"/>
          </w:tcPr>
          <w:p w14:paraId="62EDCC59" w14:textId="77777777" w:rsidR="001D1514" w:rsidRPr="00C56257" w:rsidRDefault="001D1514" w:rsidP="008E33FD">
            <w:pPr>
              <w:widowControl w:val="0"/>
              <w:autoSpaceDE w:val="0"/>
              <w:autoSpaceDN w:val="0"/>
              <w:jc w:val="both"/>
              <w:rPr>
                <w:color w:val="000000" w:themeColor="text1"/>
              </w:rPr>
            </w:pPr>
          </w:p>
        </w:tc>
        <w:tc>
          <w:tcPr>
            <w:tcW w:w="557" w:type="dxa"/>
            <w:gridSpan w:val="2"/>
          </w:tcPr>
          <w:p w14:paraId="57C5692B" w14:textId="77777777" w:rsidR="001D1514" w:rsidRPr="00C56257" w:rsidRDefault="001D1514" w:rsidP="008E33FD">
            <w:pPr>
              <w:widowControl w:val="0"/>
              <w:autoSpaceDE w:val="0"/>
              <w:autoSpaceDN w:val="0"/>
              <w:jc w:val="both"/>
              <w:rPr>
                <w:color w:val="000000" w:themeColor="text1"/>
              </w:rPr>
            </w:pPr>
          </w:p>
        </w:tc>
        <w:tc>
          <w:tcPr>
            <w:tcW w:w="571" w:type="dxa"/>
            <w:gridSpan w:val="2"/>
            <w:shd w:val="clear" w:color="auto" w:fill="BEBEBE"/>
          </w:tcPr>
          <w:p w14:paraId="4B60739B" w14:textId="77777777" w:rsidR="001D1514" w:rsidRPr="00C56257" w:rsidRDefault="001D1514" w:rsidP="008E33FD">
            <w:pPr>
              <w:widowControl w:val="0"/>
              <w:autoSpaceDE w:val="0"/>
              <w:autoSpaceDN w:val="0"/>
              <w:jc w:val="both"/>
              <w:rPr>
                <w:color w:val="000000" w:themeColor="text1"/>
              </w:rPr>
            </w:pPr>
          </w:p>
        </w:tc>
        <w:tc>
          <w:tcPr>
            <w:tcW w:w="566" w:type="dxa"/>
            <w:gridSpan w:val="2"/>
            <w:shd w:val="clear" w:color="auto" w:fill="BEBEBE"/>
          </w:tcPr>
          <w:p w14:paraId="4E3FEB1B" w14:textId="77777777" w:rsidR="001D1514" w:rsidRPr="00C56257" w:rsidRDefault="001D1514" w:rsidP="008E33FD">
            <w:pPr>
              <w:widowControl w:val="0"/>
              <w:autoSpaceDE w:val="0"/>
              <w:autoSpaceDN w:val="0"/>
              <w:jc w:val="both"/>
              <w:rPr>
                <w:color w:val="000000" w:themeColor="text1"/>
              </w:rPr>
            </w:pPr>
          </w:p>
        </w:tc>
        <w:tc>
          <w:tcPr>
            <w:tcW w:w="568" w:type="dxa"/>
            <w:gridSpan w:val="2"/>
            <w:shd w:val="clear" w:color="auto" w:fill="BEBEBE"/>
          </w:tcPr>
          <w:p w14:paraId="052B56EF" w14:textId="77777777" w:rsidR="001D1514" w:rsidRPr="00C56257" w:rsidRDefault="001D1514" w:rsidP="008E33FD">
            <w:pPr>
              <w:widowControl w:val="0"/>
              <w:autoSpaceDE w:val="0"/>
              <w:autoSpaceDN w:val="0"/>
              <w:jc w:val="both"/>
              <w:rPr>
                <w:color w:val="000000" w:themeColor="text1"/>
              </w:rPr>
            </w:pPr>
          </w:p>
        </w:tc>
        <w:tc>
          <w:tcPr>
            <w:tcW w:w="568" w:type="dxa"/>
            <w:gridSpan w:val="2"/>
            <w:shd w:val="clear" w:color="auto" w:fill="BEBEBE"/>
          </w:tcPr>
          <w:p w14:paraId="6AB2C66B" w14:textId="77777777" w:rsidR="001D1514" w:rsidRPr="00C56257" w:rsidRDefault="001D1514" w:rsidP="008E33FD">
            <w:pPr>
              <w:widowControl w:val="0"/>
              <w:autoSpaceDE w:val="0"/>
              <w:autoSpaceDN w:val="0"/>
              <w:jc w:val="both"/>
              <w:rPr>
                <w:color w:val="000000" w:themeColor="text1"/>
              </w:rPr>
            </w:pPr>
          </w:p>
        </w:tc>
        <w:tc>
          <w:tcPr>
            <w:tcW w:w="516" w:type="dxa"/>
            <w:gridSpan w:val="2"/>
            <w:shd w:val="clear" w:color="auto" w:fill="BEBEBE"/>
          </w:tcPr>
          <w:p w14:paraId="6772EE88" w14:textId="77777777" w:rsidR="001D1514" w:rsidRPr="00C56257" w:rsidRDefault="001D1514" w:rsidP="008E33FD">
            <w:pPr>
              <w:widowControl w:val="0"/>
              <w:autoSpaceDE w:val="0"/>
              <w:autoSpaceDN w:val="0"/>
              <w:jc w:val="both"/>
              <w:rPr>
                <w:color w:val="000000" w:themeColor="text1"/>
              </w:rPr>
            </w:pPr>
          </w:p>
        </w:tc>
        <w:tc>
          <w:tcPr>
            <w:tcW w:w="566" w:type="dxa"/>
            <w:gridSpan w:val="2"/>
            <w:shd w:val="clear" w:color="auto" w:fill="BEBEBE"/>
          </w:tcPr>
          <w:p w14:paraId="3F35B451" w14:textId="77777777" w:rsidR="001D1514" w:rsidRPr="00C56257" w:rsidRDefault="001D1514" w:rsidP="008E33FD">
            <w:pPr>
              <w:widowControl w:val="0"/>
              <w:autoSpaceDE w:val="0"/>
              <w:autoSpaceDN w:val="0"/>
              <w:jc w:val="both"/>
              <w:rPr>
                <w:color w:val="000000" w:themeColor="text1"/>
              </w:rPr>
            </w:pPr>
          </w:p>
        </w:tc>
        <w:tc>
          <w:tcPr>
            <w:tcW w:w="568" w:type="dxa"/>
            <w:gridSpan w:val="2"/>
            <w:shd w:val="clear" w:color="auto" w:fill="BEBEBE"/>
          </w:tcPr>
          <w:p w14:paraId="0A536A43" w14:textId="77777777" w:rsidR="001D1514" w:rsidRPr="00C56257" w:rsidRDefault="001D1514" w:rsidP="008E33FD">
            <w:pPr>
              <w:widowControl w:val="0"/>
              <w:autoSpaceDE w:val="0"/>
              <w:autoSpaceDN w:val="0"/>
              <w:jc w:val="both"/>
              <w:rPr>
                <w:color w:val="000000" w:themeColor="text1"/>
              </w:rPr>
            </w:pPr>
          </w:p>
        </w:tc>
        <w:tc>
          <w:tcPr>
            <w:tcW w:w="566" w:type="dxa"/>
            <w:gridSpan w:val="2"/>
            <w:shd w:val="clear" w:color="auto" w:fill="BEBEBE"/>
          </w:tcPr>
          <w:p w14:paraId="3D202FDB" w14:textId="77777777" w:rsidR="001D1514" w:rsidRPr="00C56257" w:rsidRDefault="001D1514" w:rsidP="008E33FD">
            <w:pPr>
              <w:widowControl w:val="0"/>
              <w:autoSpaceDE w:val="0"/>
              <w:autoSpaceDN w:val="0"/>
              <w:jc w:val="both"/>
              <w:rPr>
                <w:color w:val="000000" w:themeColor="text1"/>
              </w:rPr>
            </w:pPr>
          </w:p>
        </w:tc>
        <w:tc>
          <w:tcPr>
            <w:tcW w:w="566" w:type="dxa"/>
            <w:gridSpan w:val="2"/>
            <w:shd w:val="clear" w:color="auto" w:fill="BEBEBE"/>
          </w:tcPr>
          <w:p w14:paraId="16D8C226" w14:textId="77777777" w:rsidR="001D1514" w:rsidRPr="00C56257" w:rsidRDefault="001D1514" w:rsidP="008E33FD">
            <w:pPr>
              <w:widowControl w:val="0"/>
              <w:autoSpaceDE w:val="0"/>
              <w:autoSpaceDN w:val="0"/>
              <w:jc w:val="both"/>
              <w:rPr>
                <w:color w:val="000000" w:themeColor="text1"/>
              </w:rPr>
            </w:pPr>
          </w:p>
        </w:tc>
        <w:tc>
          <w:tcPr>
            <w:tcW w:w="530" w:type="dxa"/>
            <w:gridSpan w:val="2"/>
          </w:tcPr>
          <w:p w14:paraId="149CDA43" w14:textId="77777777" w:rsidR="001D1514" w:rsidRPr="00C56257" w:rsidRDefault="001D1514" w:rsidP="008E33FD">
            <w:pPr>
              <w:widowControl w:val="0"/>
              <w:autoSpaceDE w:val="0"/>
              <w:autoSpaceDN w:val="0"/>
              <w:jc w:val="both"/>
              <w:rPr>
                <w:color w:val="000000" w:themeColor="text1"/>
              </w:rPr>
            </w:pPr>
          </w:p>
        </w:tc>
        <w:tc>
          <w:tcPr>
            <w:tcW w:w="2573" w:type="dxa"/>
            <w:gridSpan w:val="2"/>
          </w:tcPr>
          <w:p w14:paraId="606E077E" w14:textId="77777777" w:rsidR="001D1514" w:rsidRPr="00C56257" w:rsidRDefault="001D1514" w:rsidP="008E33FD">
            <w:pPr>
              <w:widowControl w:val="0"/>
              <w:autoSpaceDE w:val="0"/>
              <w:autoSpaceDN w:val="0"/>
              <w:spacing w:before="6"/>
              <w:jc w:val="both"/>
              <w:rPr>
                <w:b/>
                <w:color w:val="000000" w:themeColor="text1"/>
              </w:rPr>
            </w:pPr>
          </w:p>
          <w:p w14:paraId="78224DBA" w14:textId="77777777" w:rsidR="001D1514" w:rsidRPr="00C56257" w:rsidRDefault="001D1514" w:rsidP="008E33FD">
            <w:pPr>
              <w:widowControl w:val="0"/>
              <w:autoSpaceDE w:val="0"/>
              <w:autoSpaceDN w:val="0"/>
              <w:spacing w:line="252"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570CDA6C" w14:textId="77777777" w:rsidR="001D1514" w:rsidRPr="00C56257" w:rsidRDefault="001D1514" w:rsidP="009E63E5">
            <w:pPr>
              <w:widowControl w:val="0"/>
              <w:numPr>
                <w:ilvl w:val="0"/>
                <w:numId w:val="34"/>
              </w:numPr>
              <w:tabs>
                <w:tab w:val="left" w:pos="239"/>
              </w:tabs>
              <w:autoSpaceDE w:val="0"/>
              <w:autoSpaceDN w:val="0"/>
              <w:ind w:right="14" w:firstLine="0"/>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releveelor</w:t>
            </w:r>
            <w:r w:rsidRPr="00C56257">
              <w:rPr>
                <w:color w:val="000000" w:themeColor="text1"/>
                <w:spacing w:val="1"/>
              </w:rPr>
              <w:t xml:space="preserve"> </w:t>
            </w:r>
            <w:r w:rsidRPr="00C56257">
              <w:rPr>
                <w:color w:val="000000" w:themeColor="text1"/>
              </w:rPr>
              <w:t>sau</w:t>
            </w:r>
            <w:r w:rsidRPr="00C56257">
              <w:rPr>
                <w:color w:val="000000" w:themeColor="text1"/>
                <w:spacing w:val="1"/>
              </w:rPr>
              <w:t xml:space="preserve"> </w:t>
            </w:r>
            <w:r w:rsidRPr="00C56257">
              <w:rPr>
                <w:color w:val="000000" w:themeColor="text1"/>
              </w:rPr>
              <w:t>a</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232432D5" w14:textId="77777777" w:rsidR="001D1514" w:rsidRPr="00C56257" w:rsidRDefault="001D1514" w:rsidP="009E63E5">
            <w:pPr>
              <w:widowControl w:val="0"/>
              <w:numPr>
                <w:ilvl w:val="0"/>
                <w:numId w:val="34"/>
              </w:numPr>
              <w:tabs>
                <w:tab w:val="left" w:pos="272"/>
              </w:tabs>
              <w:autoSpaceDE w:val="0"/>
              <w:autoSpaceDN w:val="0"/>
              <w:ind w:left="271" w:hanging="238"/>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1811" w:type="dxa"/>
          </w:tcPr>
          <w:p w14:paraId="3EBEE7CD" w14:textId="77777777" w:rsidR="001D1514" w:rsidRPr="00C56257" w:rsidRDefault="001D1514" w:rsidP="008E33FD">
            <w:pPr>
              <w:widowControl w:val="0"/>
              <w:autoSpaceDE w:val="0"/>
              <w:autoSpaceDN w:val="0"/>
              <w:ind w:right="109"/>
              <w:jc w:val="both"/>
              <w:rPr>
                <w:color w:val="000000" w:themeColor="text1"/>
              </w:rPr>
            </w:pPr>
            <w:r w:rsidRPr="00C56257">
              <w:rPr>
                <w:color w:val="000000" w:themeColor="text1"/>
              </w:rPr>
              <w:t>Min 6 relevee/</w:t>
            </w:r>
            <w:r w:rsidRPr="00C56257">
              <w:rPr>
                <w:color w:val="000000" w:themeColor="text1"/>
                <w:spacing w:val="1"/>
              </w:rPr>
              <w:t xml:space="preserve"> </w:t>
            </w:r>
            <w:r w:rsidRPr="00C56257">
              <w:rPr>
                <w:color w:val="000000" w:themeColor="text1"/>
              </w:rPr>
              <w:t>transecte de</w:t>
            </w:r>
            <w:r w:rsidRPr="00C56257">
              <w:rPr>
                <w:color w:val="000000" w:themeColor="text1"/>
                <w:spacing w:val="1"/>
              </w:rPr>
              <w:t xml:space="preserve"> </w:t>
            </w:r>
            <w:r w:rsidRPr="00C56257">
              <w:rPr>
                <w:color w:val="000000" w:themeColor="text1"/>
              </w:rPr>
              <w:t>monitorizare în cadrul</w:t>
            </w:r>
            <w:r w:rsidRPr="00C56257">
              <w:rPr>
                <w:color w:val="000000" w:themeColor="text1"/>
                <w:spacing w:val="-52"/>
              </w:rPr>
              <w:t xml:space="preserve"> </w:t>
            </w:r>
            <w:r w:rsidRPr="00C56257">
              <w:rPr>
                <w:color w:val="000000" w:themeColor="text1"/>
              </w:rPr>
              <w:t>ariilor naturale țintă şi</w:t>
            </w:r>
            <w:r w:rsidRPr="00C56257">
              <w:rPr>
                <w:color w:val="000000" w:themeColor="text1"/>
                <w:spacing w:val="-52"/>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afara acestora</w:t>
            </w:r>
            <w:r w:rsidRPr="00C56257">
              <w:rPr>
                <w:color w:val="000000" w:themeColor="text1"/>
                <w:spacing w:val="-2"/>
              </w:rPr>
              <w:t xml:space="preserve"> </w:t>
            </w:r>
            <w:r w:rsidRPr="00C56257">
              <w:rPr>
                <w:color w:val="000000" w:themeColor="text1"/>
              </w:rPr>
              <w:t>în</w:t>
            </w:r>
          </w:p>
          <w:p w14:paraId="3CCF75D2" w14:textId="77777777" w:rsidR="001D1514" w:rsidRPr="00C56257" w:rsidRDefault="001D1514" w:rsidP="008E33FD">
            <w:pPr>
              <w:widowControl w:val="0"/>
              <w:autoSpaceDE w:val="0"/>
              <w:autoSpaceDN w:val="0"/>
              <w:spacing w:line="238" w:lineRule="exact"/>
              <w:jc w:val="both"/>
              <w:rPr>
                <w:color w:val="000000" w:themeColor="text1"/>
              </w:rPr>
            </w:pPr>
            <w:r w:rsidRPr="00C56257">
              <w:rPr>
                <w:color w:val="000000" w:themeColor="text1"/>
              </w:rPr>
              <w:t>situația</w:t>
            </w:r>
            <w:r w:rsidRPr="00C56257">
              <w:rPr>
                <w:color w:val="000000" w:themeColor="text1"/>
                <w:spacing w:val="-3"/>
              </w:rPr>
              <w:t xml:space="preserve"> </w:t>
            </w:r>
            <w:r w:rsidRPr="00C56257">
              <w:rPr>
                <w:color w:val="000000" w:themeColor="text1"/>
              </w:rPr>
              <w:t>prezenței</w:t>
            </w:r>
          </w:p>
        </w:tc>
      </w:tr>
      <w:tr w:rsidR="00AD4B7E" w:rsidRPr="00C56257" w14:paraId="63A1B09E" w14:textId="77777777" w:rsidTr="00AD4B7E">
        <w:trPr>
          <w:trHeight w:val="1773"/>
        </w:trPr>
        <w:tc>
          <w:tcPr>
            <w:tcW w:w="2552" w:type="dxa"/>
          </w:tcPr>
          <w:p w14:paraId="3F70A39F" w14:textId="77777777" w:rsidR="007D2E1E" w:rsidRPr="00C56257" w:rsidRDefault="007D2E1E" w:rsidP="008E33FD">
            <w:pPr>
              <w:widowControl w:val="0"/>
              <w:autoSpaceDE w:val="0"/>
              <w:autoSpaceDN w:val="0"/>
              <w:spacing w:before="5"/>
              <w:jc w:val="both"/>
              <w:rPr>
                <w:b/>
                <w:color w:val="000000" w:themeColor="text1"/>
              </w:rPr>
            </w:pPr>
          </w:p>
          <w:p w14:paraId="5F41D9F6" w14:textId="77777777" w:rsidR="007D2E1E" w:rsidRPr="00C56257" w:rsidRDefault="007D2E1E" w:rsidP="008E33FD">
            <w:pPr>
              <w:widowControl w:val="0"/>
              <w:autoSpaceDE w:val="0"/>
              <w:autoSpaceDN w:val="0"/>
              <w:ind w:right="17"/>
              <w:jc w:val="both"/>
              <w:rPr>
                <w:color w:val="000000" w:themeColor="text1"/>
              </w:rPr>
            </w:pPr>
            <w:r w:rsidRPr="00C56257">
              <w:rPr>
                <w:color w:val="000000" w:themeColor="text1"/>
              </w:rPr>
              <w:t>31A0*</w:t>
            </w:r>
            <w:r w:rsidRPr="00C56257">
              <w:rPr>
                <w:color w:val="000000" w:themeColor="text1"/>
                <w:spacing w:val="1"/>
              </w:rPr>
              <w:t xml:space="preserve"> </w:t>
            </w:r>
            <w:r w:rsidRPr="00C56257">
              <w:rPr>
                <w:color w:val="000000" w:themeColor="text1"/>
              </w:rPr>
              <w:t>-</w:t>
            </w:r>
            <w:r w:rsidRPr="00C56257">
              <w:rPr>
                <w:color w:val="000000" w:themeColor="text1"/>
                <w:spacing w:val="1"/>
              </w:rPr>
              <w:t xml:space="preserve"> </w:t>
            </w:r>
            <w:r w:rsidRPr="00C56257">
              <w:rPr>
                <w:color w:val="000000" w:themeColor="text1"/>
              </w:rPr>
              <w:t>Ape</w:t>
            </w:r>
            <w:r w:rsidRPr="00C56257">
              <w:rPr>
                <w:color w:val="000000" w:themeColor="text1"/>
                <w:spacing w:val="1"/>
              </w:rPr>
              <w:t xml:space="preserve"> </w:t>
            </w:r>
            <w:r w:rsidRPr="00C56257">
              <w:rPr>
                <w:color w:val="000000" w:themeColor="text1"/>
              </w:rPr>
              <w:t>termale</w:t>
            </w:r>
            <w:r w:rsidRPr="00C56257">
              <w:rPr>
                <w:color w:val="000000" w:themeColor="text1"/>
                <w:spacing w:val="1"/>
              </w:rPr>
              <w:t xml:space="preserve"> </w:t>
            </w:r>
            <w:r w:rsidRPr="00C56257">
              <w:rPr>
                <w:color w:val="000000" w:themeColor="text1"/>
              </w:rPr>
              <w:t>din</w:t>
            </w:r>
            <w:r w:rsidRPr="00C56257">
              <w:rPr>
                <w:color w:val="000000" w:themeColor="text1"/>
                <w:spacing w:val="1"/>
              </w:rPr>
              <w:t xml:space="preserve"> </w:t>
            </w:r>
            <w:r w:rsidRPr="00C56257">
              <w:rPr>
                <w:color w:val="000000" w:themeColor="text1"/>
              </w:rPr>
              <w:t>Transilvania</w:t>
            </w:r>
            <w:r w:rsidRPr="00C56257">
              <w:rPr>
                <w:color w:val="000000" w:themeColor="text1"/>
                <w:spacing w:val="1"/>
              </w:rPr>
              <w:t xml:space="preserve"> </w:t>
            </w:r>
            <w:r w:rsidRPr="00C56257">
              <w:rPr>
                <w:color w:val="000000" w:themeColor="text1"/>
              </w:rPr>
              <w:t>acoperite</w:t>
            </w:r>
            <w:r w:rsidRPr="00C56257">
              <w:rPr>
                <w:color w:val="000000" w:themeColor="text1"/>
                <w:spacing w:val="1"/>
              </w:rPr>
              <w:t xml:space="preserve"> </w:t>
            </w:r>
            <w:r w:rsidRPr="00C56257">
              <w:rPr>
                <w:color w:val="000000" w:themeColor="text1"/>
              </w:rPr>
              <w:t>cu</w:t>
            </w:r>
            <w:r w:rsidRPr="00C56257">
              <w:rPr>
                <w:color w:val="000000" w:themeColor="text1"/>
                <w:spacing w:val="1"/>
              </w:rPr>
              <w:t xml:space="preserve"> </w:t>
            </w:r>
            <w:r w:rsidRPr="00C56257">
              <w:rPr>
                <w:color w:val="000000" w:themeColor="text1"/>
              </w:rPr>
              <w:t>lotus</w:t>
            </w:r>
            <w:r w:rsidRPr="00C56257">
              <w:rPr>
                <w:color w:val="000000" w:themeColor="text1"/>
                <w:spacing w:val="-52"/>
              </w:rPr>
              <w:t xml:space="preserve"> </w:t>
            </w:r>
            <w:r w:rsidRPr="00C56257">
              <w:rPr>
                <w:color w:val="000000" w:themeColor="text1"/>
              </w:rPr>
              <w:t>(dreţe)</w:t>
            </w:r>
          </w:p>
        </w:tc>
        <w:tc>
          <w:tcPr>
            <w:tcW w:w="530" w:type="dxa"/>
            <w:gridSpan w:val="2"/>
          </w:tcPr>
          <w:p w14:paraId="7C538BFA" w14:textId="77777777" w:rsidR="007D2E1E" w:rsidRPr="00C56257" w:rsidRDefault="007D2E1E" w:rsidP="008E33FD">
            <w:pPr>
              <w:widowControl w:val="0"/>
              <w:autoSpaceDE w:val="0"/>
              <w:autoSpaceDN w:val="0"/>
              <w:jc w:val="both"/>
              <w:rPr>
                <w:color w:val="000000" w:themeColor="text1"/>
              </w:rPr>
            </w:pPr>
          </w:p>
        </w:tc>
        <w:tc>
          <w:tcPr>
            <w:tcW w:w="557" w:type="dxa"/>
            <w:gridSpan w:val="2"/>
          </w:tcPr>
          <w:p w14:paraId="2C2DFF51" w14:textId="77777777" w:rsidR="007D2E1E" w:rsidRPr="00C56257" w:rsidRDefault="007D2E1E" w:rsidP="008E33FD">
            <w:pPr>
              <w:widowControl w:val="0"/>
              <w:autoSpaceDE w:val="0"/>
              <w:autoSpaceDN w:val="0"/>
              <w:jc w:val="both"/>
              <w:rPr>
                <w:color w:val="000000" w:themeColor="text1"/>
              </w:rPr>
            </w:pPr>
          </w:p>
        </w:tc>
        <w:tc>
          <w:tcPr>
            <w:tcW w:w="571" w:type="dxa"/>
            <w:gridSpan w:val="2"/>
            <w:shd w:val="clear" w:color="auto" w:fill="BEBEBE"/>
          </w:tcPr>
          <w:p w14:paraId="7BA885E3"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0B254FE7" w14:textId="77777777" w:rsidR="007D2E1E" w:rsidRPr="00C56257" w:rsidRDefault="007D2E1E" w:rsidP="008E33FD">
            <w:pPr>
              <w:widowControl w:val="0"/>
              <w:autoSpaceDE w:val="0"/>
              <w:autoSpaceDN w:val="0"/>
              <w:jc w:val="both"/>
              <w:rPr>
                <w:color w:val="000000" w:themeColor="text1"/>
              </w:rPr>
            </w:pPr>
          </w:p>
        </w:tc>
        <w:tc>
          <w:tcPr>
            <w:tcW w:w="568" w:type="dxa"/>
            <w:gridSpan w:val="2"/>
            <w:shd w:val="clear" w:color="auto" w:fill="BEBEBE"/>
          </w:tcPr>
          <w:p w14:paraId="3176FCE7" w14:textId="77777777" w:rsidR="007D2E1E" w:rsidRPr="00C56257" w:rsidRDefault="007D2E1E" w:rsidP="008E33FD">
            <w:pPr>
              <w:widowControl w:val="0"/>
              <w:autoSpaceDE w:val="0"/>
              <w:autoSpaceDN w:val="0"/>
              <w:jc w:val="both"/>
              <w:rPr>
                <w:color w:val="000000" w:themeColor="text1"/>
              </w:rPr>
            </w:pPr>
          </w:p>
        </w:tc>
        <w:tc>
          <w:tcPr>
            <w:tcW w:w="568" w:type="dxa"/>
            <w:gridSpan w:val="2"/>
            <w:shd w:val="clear" w:color="auto" w:fill="BEBEBE"/>
          </w:tcPr>
          <w:p w14:paraId="3CD0F54C" w14:textId="77777777" w:rsidR="007D2E1E" w:rsidRPr="00C56257" w:rsidRDefault="007D2E1E" w:rsidP="008E33FD">
            <w:pPr>
              <w:widowControl w:val="0"/>
              <w:autoSpaceDE w:val="0"/>
              <w:autoSpaceDN w:val="0"/>
              <w:jc w:val="both"/>
              <w:rPr>
                <w:color w:val="000000" w:themeColor="text1"/>
              </w:rPr>
            </w:pPr>
          </w:p>
        </w:tc>
        <w:tc>
          <w:tcPr>
            <w:tcW w:w="516" w:type="dxa"/>
            <w:gridSpan w:val="2"/>
            <w:shd w:val="clear" w:color="auto" w:fill="BEBEBE"/>
          </w:tcPr>
          <w:p w14:paraId="375F341C"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5A5EE54B" w14:textId="77777777" w:rsidR="007D2E1E" w:rsidRPr="00C56257" w:rsidRDefault="007D2E1E" w:rsidP="008E33FD">
            <w:pPr>
              <w:widowControl w:val="0"/>
              <w:autoSpaceDE w:val="0"/>
              <w:autoSpaceDN w:val="0"/>
              <w:jc w:val="both"/>
              <w:rPr>
                <w:color w:val="000000" w:themeColor="text1"/>
              </w:rPr>
            </w:pPr>
          </w:p>
        </w:tc>
        <w:tc>
          <w:tcPr>
            <w:tcW w:w="568" w:type="dxa"/>
            <w:gridSpan w:val="2"/>
            <w:shd w:val="clear" w:color="auto" w:fill="BEBEBE"/>
          </w:tcPr>
          <w:p w14:paraId="058F6742"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69790FDD"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646276A9" w14:textId="77777777" w:rsidR="007D2E1E" w:rsidRPr="00C56257" w:rsidRDefault="007D2E1E" w:rsidP="008E33FD">
            <w:pPr>
              <w:widowControl w:val="0"/>
              <w:autoSpaceDE w:val="0"/>
              <w:autoSpaceDN w:val="0"/>
              <w:jc w:val="both"/>
              <w:rPr>
                <w:color w:val="000000" w:themeColor="text1"/>
              </w:rPr>
            </w:pPr>
          </w:p>
        </w:tc>
        <w:tc>
          <w:tcPr>
            <w:tcW w:w="530" w:type="dxa"/>
            <w:gridSpan w:val="2"/>
          </w:tcPr>
          <w:p w14:paraId="306F2862" w14:textId="77777777" w:rsidR="007D2E1E" w:rsidRPr="00C56257" w:rsidRDefault="007D2E1E" w:rsidP="008E33FD">
            <w:pPr>
              <w:widowControl w:val="0"/>
              <w:autoSpaceDE w:val="0"/>
              <w:autoSpaceDN w:val="0"/>
              <w:jc w:val="both"/>
              <w:rPr>
                <w:color w:val="000000" w:themeColor="text1"/>
              </w:rPr>
            </w:pPr>
          </w:p>
        </w:tc>
        <w:tc>
          <w:tcPr>
            <w:tcW w:w="2573" w:type="dxa"/>
            <w:gridSpan w:val="2"/>
          </w:tcPr>
          <w:p w14:paraId="336CFC29" w14:textId="77777777" w:rsidR="007D2E1E" w:rsidRPr="00C56257" w:rsidRDefault="007D2E1E" w:rsidP="008E33FD">
            <w:pPr>
              <w:widowControl w:val="0"/>
              <w:autoSpaceDE w:val="0"/>
              <w:autoSpaceDN w:val="0"/>
              <w:spacing w:before="7"/>
              <w:jc w:val="both"/>
              <w:rPr>
                <w:b/>
                <w:color w:val="000000" w:themeColor="text1"/>
              </w:rPr>
            </w:pPr>
          </w:p>
          <w:p w14:paraId="77129273" w14:textId="77777777" w:rsidR="007D2E1E" w:rsidRPr="00C56257" w:rsidRDefault="007D2E1E" w:rsidP="008E33FD">
            <w:pPr>
              <w:widowControl w:val="0"/>
              <w:autoSpaceDE w:val="0"/>
              <w:autoSpaceDN w:val="0"/>
              <w:spacing w:line="252"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1E8932A7" w14:textId="77777777" w:rsidR="007D2E1E" w:rsidRPr="00C56257" w:rsidRDefault="007D2E1E" w:rsidP="009E63E5">
            <w:pPr>
              <w:widowControl w:val="0"/>
              <w:numPr>
                <w:ilvl w:val="0"/>
                <w:numId w:val="33"/>
              </w:numPr>
              <w:tabs>
                <w:tab w:val="left" w:pos="239"/>
              </w:tabs>
              <w:autoSpaceDE w:val="0"/>
              <w:autoSpaceDN w:val="0"/>
              <w:ind w:right="14" w:firstLine="0"/>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releveelor</w:t>
            </w:r>
            <w:r w:rsidRPr="00C56257">
              <w:rPr>
                <w:color w:val="000000" w:themeColor="text1"/>
                <w:spacing w:val="1"/>
              </w:rPr>
              <w:t xml:space="preserve"> </w:t>
            </w:r>
            <w:r w:rsidRPr="00C56257">
              <w:rPr>
                <w:color w:val="000000" w:themeColor="text1"/>
              </w:rPr>
              <w:t>sau</w:t>
            </w:r>
            <w:r w:rsidRPr="00C56257">
              <w:rPr>
                <w:color w:val="000000" w:themeColor="text1"/>
                <w:spacing w:val="1"/>
              </w:rPr>
              <w:t xml:space="preserve"> </w:t>
            </w:r>
            <w:r w:rsidRPr="00C56257">
              <w:rPr>
                <w:color w:val="000000" w:themeColor="text1"/>
              </w:rPr>
              <w:t>a</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1068E14D" w14:textId="77777777" w:rsidR="007D2E1E" w:rsidRPr="00C56257" w:rsidRDefault="007D2E1E" w:rsidP="009E63E5">
            <w:pPr>
              <w:widowControl w:val="0"/>
              <w:numPr>
                <w:ilvl w:val="0"/>
                <w:numId w:val="33"/>
              </w:numPr>
              <w:tabs>
                <w:tab w:val="left" w:pos="217"/>
              </w:tabs>
              <w:autoSpaceDE w:val="0"/>
              <w:autoSpaceDN w:val="0"/>
              <w:ind w:left="216" w:hanging="183"/>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1811" w:type="dxa"/>
          </w:tcPr>
          <w:p w14:paraId="2297F608" w14:textId="77777777" w:rsidR="007D2E1E" w:rsidRPr="00C56257" w:rsidRDefault="007D2E1E" w:rsidP="008E33FD">
            <w:pPr>
              <w:widowControl w:val="0"/>
              <w:autoSpaceDE w:val="0"/>
              <w:autoSpaceDN w:val="0"/>
              <w:ind w:right="109"/>
              <w:jc w:val="both"/>
              <w:rPr>
                <w:color w:val="000000" w:themeColor="text1"/>
              </w:rPr>
            </w:pPr>
            <w:r w:rsidRPr="00C56257">
              <w:rPr>
                <w:color w:val="000000" w:themeColor="text1"/>
              </w:rPr>
              <w:t>Min 7 relevee/</w:t>
            </w:r>
            <w:r w:rsidRPr="00C56257">
              <w:rPr>
                <w:color w:val="000000" w:themeColor="text1"/>
                <w:spacing w:val="1"/>
              </w:rPr>
              <w:t xml:space="preserve"> </w:t>
            </w:r>
            <w:r w:rsidRPr="00C56257">
              <w:rPr>
                <w:color w:val="000000" w:themeColor="text1"/>
              </w:rPr>
              <w:t>transecte de</w:t>
            </w:r>
            <w:r w:rsidRPr="00C56257">
              <w:rPr>
                <w:color w:val="000000" w:themeColor="text1"/>
                <w:spacing w:val="1"/>
              </w:rPr>
              <w:t xml:space="preserve"> </w:t>
            </w:r>
            <w:r w:rsidRPr="00C56257">
              <w:rPr>
                <w:color w:val="000000" w:themeColor="text1"/>
              </w:rPr>
              <w:t>monitorizare în cadrul</w:t>
            </w:r>
            <w:r w:rsidRPr="00C56257">
              <w:rPr>
                <w:color w:val="000000" w:themeColor="text1"/>
                <w:spacing w:val="-52"/>
              </w:rPr>
              <w:t xml:space="preserve"> </w:t>
            </w:r>
            <w:r w:rsidRPr="00C56257">
              <w:rPr>
                <w:color w:val="000000" w:themeColor="text1"/>
              </w:rPr>
              <w:t>ariilor naturale țintă şi</w:t>
            </w:r>
            <w:r w:rsidRPr="00C56257">
              <w:rPr>
                <w:color w:val="000000" w:themeColor="text1"/>
                <w:spacing w:val="-52"/>
              </w:rPr>
              <w:t xml:space="preserve"> </w:t>
            </w:r>
            <w:r w:rsidRPr="00C56257">
              <w:rPr>
                <w:color w:val="000000" w:themeColor="text1"/>
              </w:rPr>
              <w:t>în afara acestora în</w:t>
            </w:r>
            <w:r w:rsidRPr="00C56257">
              <w:rPr>
                <w:color w:val="000000" w:themeColor="text1"/>
                <w:spacing w:val="1"/>
              </w:rPr>
              <w:t xml:space="preserve"> </w:t>
            </w:r>
            <w:r w:rsidRPr="00C56257">
              <w:rPr>
                <w:color w:val="000000" w:themeColor="text1"/>
              </w:rPr>
              <w:t>situația</w:t>
            </w:r>
            <w:r w:rsidRPr="00C56257">
              <w:rPr>
                <w:color w:val="000000" w:themeColor="text1"/>
                <w:spacing w:val="-1"/>
              </w:rPr>
              <w:t xml:space="preserve"> </w:t>
            </w:r>
            <w:r w:rsidRPr="00C56257">
              <w:rPr>
                <w:color w:val="000000" w:themeColor="text1"/>
              </w:rPr>
              <w:t>prezenței</w:t>
            </w:r>
          </w:p>
          <w:p w14:paraId="3AC64714" w14:textId="77777777" w:rsidR="007D2E1E" w:rsidRPr="00C56257" w:rsidRDefault="007D2E1E" w:rsidP="008E33FD">
            <w:pPr>
              <w:widowControl w:val="0"/>
              <w:autoSpaceDE w:val="0"/>
              <w:autoSpaceDN w:val="0"/>
              <w:spacing w:line="240" w:lineRule="exact"/>
              <w:jc w:val="both"/>
              <w:rPr>
                <w:color w:val="000000" w:themeColor="text1"/>
              </w:rPr>
            </w:pPr>
            <w:r w:rsidRPr="00C56257">
              <w:rPr>
                <w:color w:val="000000" w:themeColor="text1"/>
              </w:rPr>
              <w:t>habitatului.</w:t>
            </w:r>
          </w:p>
        </w:tc>
      </w:tr>
      <w:tr w:rsidR="00AD4B7E" w:rsidRPr="00C56257" w14:paraId="7B63EE16" w14:textId="77777777" w:rsidTr="00AD4B7E">
        <w:trPr>
          <w:trHeight w:val="1771"/>
        </w:trPr>
        <w:tc>
          <w:tcPr>
            <w:tcW w:w="2552" w:type="dxa"/>
          </w:tcPr>
          <w:p w14:paraId="4D017BE2" w14:textId="77777777" w:rsidR="007D2E1E" w:rsidRPr="00C56257" w:rsidRDefault="007D2E1E" w:rsidP="008E33FD">
            <w:pPr>
              <w:widowControl w:val="0"/>
              <w:autoSpaceDE w:val="0"/>
              <w:autoSpaceDN w:val="0"/>
              <w:jc w:val="both"/>
              <w:rPr>
                <w:b/>
                <w:color w:val="000000" w:themeColor="text1"/>
              </w:rPr>
            </w:pPr>
          </w:p>
          <w:p w14:paraId="4CFA68D0" w14:textId="77777777" w:rsidR="007D2E1E" w:rsidRPr="00C56257" w:rsidRDefault="007D2E1E" w:rsidP="008E33FD">
            <w:pPr>
              <w:widowControl w:val="0"/>
              <w:autoSpaceDE w:val="0"/>
              <w:autoSpaceDN w:val="0"/>
              <w:spacing w:before="3"/>
              <w:jc w:val="both"/>
              <w:rPr>
                <w:b/>
                <w:color w:val="000000" w:themeColor="text1"/>
              </w:rPr>
            </w:pPr>
          </w:p>
          <w:p w14:paraId="3D93D9FD" w14:textId="77777777" w:rsidR="007D2E1E" w:rsidRPr="00C56257" w:rsidRDefault="007D2E1E" w:rsidP="008E33FD">
            <w:pPr>
              <w:widowControl w:val="0"/>
              <w:autoSpaceDE w:val="0"/>
              <w:autoSpaceDN w:val="0"/>
              <w:spacing w:before="1"/>
              <w:jc w:val="both"/>
              <w:rPr>
                <w:color w:val="000000" w:themeColor="text1"/>
              </w:rPr>
            </w:pPr>
            <w:r w:rsidRPr="00C56257">
              <w:rPr>
                <w:color w:val="000000" w:themeColor="text1"/>
              </w:rPr>
              <w:t>3220</w:t>
            </w:r>
            <w:r w:rsidRPr="00C56257">
              <w:rPr>
                <w:color w:val="000000" w:themeColor="text1"/>
                <w:spacing w:val="18"/>
              </w:rPr>
              <w:t xml:space="preserve"> </w:t>
            </w:r>
            <w:r w:rsidRPr="00C56257">
              <w:rPr>
                <w:color w:val="000000" w:themeColor="text1"/>
              </w:rPr>
              <w:t>-</w:t>
            </w:r>
            <w:r w:rsidRPr="00C56257">
              <w:rPr>
                <w:color w:val="000000" w:themeColor="text1"/>
                <w:spacing w:val="17"/>
              </w:rPr>
              <w:t xml:space="preserve"> </w:t>
            </w:r>
            <w:r w:rsidRPr="00C56257">
              <w:rPr>
                <w:color w:val="000000" w:themeColor="text1"/>
              </w:rPr>
              <w:t>Vegetație</w:t>
            </w:r>
            <w:r w:rsidRPr="00C56257">
              <w:rPr>
                <w:color w:val="000000" w:themeColor="text1"/>
                <w:spacing w:val="18"/>
              </w:rPr>
              <w:t xml:space="preserve"> </w:t>
            </w:r>
            <w:r w:rsidRPr="00C56257">
              <w:rPr>
                <w:color w:val="000000" w:themeColor="text1"/>
              </w:rPr>
              <w:t>herbacee</w:t>
            </w:r>
            <w:r w:rsidRPr="00C56257">
              <w:rPr>
                <w:color w:val="000000" w:themeColor="text1"/>
                <w:spacing w:val="18"/>
              </w:rPr>
              <w:t xml:space="preserve"> </w:t>
            </w:r>
            <w:r w:rsidRPr="00C56257">
              <w:rPr>
                <w:color w:val="000000" w:themeColor="text1"/>
              </w:rPr>
              <w:t>de</w:t>
            </w:r>
            <w:r w:rsidRPr="00C56257">
              <w:rPr>
                <w:color w:val="000000" w:themeColor="text1"/>
                <w:spacing w:val="18"/>
              </w:rPr>
              <w:t xml:space="preserve"> </w:t>
            </w:r>
            <w:r w:rsidRPr="00C56257">
              <w:rPr>
                <w:color w:val="000000" w:themeColor="text1"/>
              </w:rPr>
              <w:t>pe</w:t>
            </w:r>
            <w:r w:rsidRPr="00C56257">
              <w:rPr>
                <w:color w:val="000000" w:themeColor="text1"/>
                <w:spacing w:val="-52"/>
              </w:rPr>
              <w:t xml:space="preserve"> </w:t>
            </w:r>
            <w:r w:rsidRPr="00C56257">
              <w:rPr>
                <w:color w:val="000000" w:themeColor="text1"/>
              </w:rPr>
              <w:t>malurile</w:t>
            </w:r>
            <w:r w:rsidRPr="00C56257">
              <w:rPr>
                <w:color w:val="000000" w:themeColor="text1"/>
                <w:spacing w:val="-1"/>
              </w:rPr>
              <w:t xml:space="preserve"> </w:t>
            </w:r>
            <w:r w:rsidRPr="00C56257">
              <w:rPr>
                <w:color w:val="000000" w:themeColor="text1"/>
              </w:rPr>
              <w:t>râurilor montane</w:t>
            </w:r>
          </w:p>
        </w:tc>
        <w:tc>
          <w:tcPr>
            <w:tcW w:w="530" w:type="dxa"/>
            <w:gridSpan w:val="2"/>
          </w:tcPr>
          <w:p w14:paraId="6C1EA45C" w14:textId="77777777" w:rsidR="007D2E1E" w:rsidRPr="00C56257" w:rsidRDefault="007D2E1E" w:rsidP="008E33FD">
            <w:pPr>
              <w:widowControl w:val="0"/>
              <w:autoSpaceDE w:val="0"/>
              <w:autoSpaceDN w:val="0"/>
              <w:jc w:val="both"/>
              <w:rPr>
                <w:color w:val="000000" w:themeColor="text1"/>
              </w:rPr>
            </w:pPr>
          </w:p>
        </w:tc>
        <w:tc>
          <w:tcPr>
            <w:tcW w:w="557" w:type="dxa"/>
            <w:gridSpan w:val="2"/>
          </w:tcPr>
          <w:p w14:paraId="6E945B60" w14:textId="77777777" w:rsidR="007D2E1E" w:rsidRPr="00C56257" w:rsidRDefault="007D2E1E" w:rsidP="008E33FD">
            <w:pPr>
              <w:widowControl w:val="0"/>
              <w:autoSpaceDE w:val="0"/>
              <w:autoSpaceDN w:val="0"/>
              <w:jc w:val="both"/>
              <w:rPr>
                <w:color w:val="000000" w:themeColor="text1"/>
              </w:rPr>
            </w:pPr>
          </w:p>
        </w:tc>
        <w:tc>
          <w:tcPr>
            <w:tcW w:w="571" w:type="dxa"/>
            <w:gridSpan w:val="2"/>
            <w:shd w:val="clear" w:color="auto" w:fill="BEBEBE"/>
          </w:tcPr>
          <w:p w14:paraId="4C8258C0"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3F93A6BA" w14:textId="77777777" w:rsidR="007D2E1E" w:rsidRPr="00C56257" w:rsidRDefault="007D2E1E" w:rsidP="008E33FD">
            <w:pPr>
              <w:widowControl w:val="0"/>
              <w:autoSpaceDE w:val="0"/>
              <w:autoSpaceDN w:val="0"/>
              <w:jc w:val="both"/>
              <w:rPr>
                <w:color w:val="000000" w:themeColor="text1"/>
              </w:rPr>
            </w:pPr>
          </w:p>
        </w:tc>
        <w:tc>
          <w:tcPr>
            <w:tcW w:w="568" w:type="dxa"/>
            <w:gridSpan w:val="2"/>
            <w:shd w:val="clear" w:color="auto" w:fill="BEBEBE"/>
          </w:tcPr>
          <w:p w14:paraId="1E6FF368" w14:textId="77777777" w:rsidR="007D2E1E" w:rsidRPr="00C56257" w:rsidRDefault="007D2E1E" w:rsidP="008E33FD">
            <w:pPr>
              <w:widowControl w:val="0"/>
              <w:autoSpaceDE w:val="0"/>
              <w:autoSpaceDN w:val="0"/>
              <w:jc w:val="both"/>
              <w:rPr>
                <w:color w:val="000000" w:themeColor="text1"/>
              </w:rPr>
            </w:pPr>
          </w:p>
        </w:tc>
        <w:tc>
          <w:tcPr>
            <w:tcW w:w="568" w:type="dxa"/>
            <w:gridSpan w:val="2"/>
            <w:shd w:val="clear" w:color="auto" w:fill="BEBEBE"/>
          </w:tcPr>
          <w:p w14:paraId="47D99B59" w14:textId="77777777" w:rsidR="007D2E1E" w:rsidRPr="00C56257" w:rsidRDefault="007D2E1E" w:rsidP="008E33FD">
            <w:pPr>
              <w:widowControl w:val="0"/>
              <w:autoSpaceDE w:val="0"/>
              <w:autoSpaceDN w:val="0"/>
              <w:jc w:val="both"/>
              <w:rPr>
                <w:color w:val="000000" w:themeColor="text1"/>
              </w:rPr>
            </w:pPr>
          </w:p>
        </w:tc>
        <w:tc>
          <w:tcPr>
            <w:tcW w:w="516" w:type="dxa"/>
            <w:gridSpan w:val="2"/>
            <w:shd w:val="clear" w:color="auto" w:fill="BEBEBE"/>
          </w:tcPr>
          <w:p w14:paraId="02297283"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0B1AC284" w14:textId="77777777" w:rsidR="007D2E1E" w:rsidRPr="00C56257" w:rsidRDefault="007D2E1E" w:rsidP="008E33FD">
            <w:pPr>
              <w:widowControl w:val="0"/>
              <w:autoSpaceDE w:val="0"/>
              <w:autoSpaceDN w:val="0"/>
              <w:jc w:val="both"/>
              <w:rPr>
                <w:color w:val="000000" w:themeColor="text1"/>
              </w:rPr>
            </w:pPr>
          </w:p>
        </w:tc>
        <w:tc>
          <w:tcPr>
            <w:tcW w:w="568" w:type="dxa"/>
            <w:gridSpan w:val="2"/>
            <w:shd w:val="clear" w:color="auto" w:fill="BEBEBE"/>
          </w:tcPr>
          <w:p w14:paraId="1CA4FAE7"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003A3C31" w14:textId="77777777" w:rsidR="007D2E1E" w:rsidRPr="00C56257" w:rsidRDefault="007D2E1E" w:rsidP="008E33FD">
            <w:pPr>
              <w:widowControl w:val="0"/>
              <w:autoSpaceDE w:val="0"/>
              <w:autoSpaceDN w:val="0"/>
              <w:jc w:val="both"/>
              <w:rPr>
                <w:color w:val="000000" w:themeColor="text1"/>
              </w:rPr>
            </w:pPr>
          </w:p>
        </w:tc>
        <w:tc>
          <w:tcPr>
            <w:tcW w:w="566" w:type="dxa"/>
            <w:gridSpan w:val="2"/>
          </w:tcPr>
          <w:p w14:paraId="5523C495" w14:textId="77777777" w:rsidR="007D2E1E" w:rsidRPr="00C56257" w:rsidRDefault="007D2E1E" w:rsidP="008E33FD">
            <w:pPr>
              <w:widowControl w:val="0"/>
              <w:autoSpaceDE w:val="0"/>
              <w:autoSpaceDN w:val="0"/>
              <w:jc w:val="both"/>
              <w:rPr>
                <w:color w:val="000000" w:themeColor="text1"/>
              </w:rPr>
            </w:pPr>
          </w:p>
        </w:tc>
        <w:tc>
          <w:tcPr>
            <w:tcW w:w="530" w:type="dxa"/>
            <w:gridSpan w:val="2"/>
          </w:tcPr>
          <w:p w14:paraId="583960BB" w14:textId="77777777" w:rsidR="007D2E1E" w:rsidRPr="00C56257" w:rsidRDefault="007D2E1E" w:rsidP="008E33FD">
            <w:pPr>
              <w:widowControl w:val="0"/>
              <w:autoSpaceDE w:val="0"/>
              <w:autoSpaceDN w:val="0"/>
              <w:jc w:val="both"/>
              <w:rPr>
                <w:color w:val="000000" w:themeColor="text1"/>
              </w:rPr>
            </w:pPr>
          </w:p>
        </w:tc>
        <w:tc>
          <w:tcPr>
            <w:tcW w:w="2573" w:type="dxa"/>
            <w:gridSpan w:val="2"/>
          </w:tcPr>
          <w:p w14:paraId="2C40D940" w14:textId="77777777" w:rsidR="007D2E1E" w:rsidRPr="00C56257" w:rsidRDefault="007D2E1E" w:rsidP="008E33FD">
            <w:pPr>
              <w:widowControl w:val="0"/>
              <w:autoSpaceDE w:val="0"/>
              <w:autoSpaceDN w:val="0"/>
              <w:spacing w:before="4"/>
              <w:jc w:val="both"/>
              <w:rPr>
                <w:b/>
                <w:color w:val="000000" w:themeColor="text1"/>
              </w:rPr>
            </w:pPr>
          </w:p>
          <w:p w14:paraId="4EDB34A1" w14:textId="77777777" w:rsidR="007D2E1E" w:rsidRPr="00C56257" w:rsidRDefault="007D2E1E" w:rsidP="008E33FD">
            <w:pPr>
              <w:widowControl w:val="0"/>
              <w:autoSpaceDE w:val="0"/>
              <w:autoSpaceDN w:val="0"/>
              <w:spacing w:before="1" w:line="252"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4A7EF029" w14:textId="77777777" w:rsidR="007D2E1E" w:rsidRPr="00C56257" w:rsidRDefault="007D2E1E" w:rsidP="009E63E5">
            <w:pPr>
              <w:widowControl w:val="0"/>
              <w:numPr>
                <w:ilvl w:val="0"/>
                <w:numId w:val="32"/>
              </w:numPr>
              <w:tabs>
                <w:tab w:val="left" w:pos="239"/>
              </w:tabs>
              <w:autoSpaceDE w:val="0"/>
              <w:autoSpaceDN w:val="0"/>
              <w:ind w:right="14" w:firstLine="0"/>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releveelor</w:t>
            </w:r>
            <w:r w:rsidRPr="00C56257">
              <w:rPr>
                <w:color w:val="000000" w:themeColor="text1"/>
                <w:spacing w:val="1"/>
              </w:rPr>
              <w:t xml:space="preserve"> </w:t>
            </w:r>
            <w:r w:rsidRPr="00C56257">
              <w:rPr>
                <w:color w:val="000000" w:themeColor="text1"/>
              </w:rPr>
              <w:t>sau</w:t>
            </w:r>
            <w:r w:rsidRPr="00C56257">
              <w:rPr>
                <w:color w:val="000000" w:themeColor="text1"/>
                <w:spacing w:val="1"/>
              </w:rPr>
              <w:t xml:space="preserve"> </w:t>
            </w:r>
            <w:r w:rsidRPr="00C56257">
              <w:rPr>
                <w:color w:val="000000" w:themeColor="text1"/>
              </w:rPr>
              <w:t>a</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02D02F69" w14:textId="77777777" w:rsidR="007D2E1E" w:rsidRPr="00C56257" w:rsidRDefault="007D2E1E" w:rsidP="009E63E5">
            <w:pPr>
              <w:widowControl w:val="0"/>
              <w:numPr>
                <w:ilvl w:val="0"/>
                <w:numId w:val="32"/>
              </w:numPr>
              <w:tabs>
                <w:tab w:val="left" w:pos="217"/>
              </w:tabs>
              <w:autoSpaceDE w:val="0"/>
              <w:autoSpaceDN w:val="0"/>
              <w:ind w:left="216" w:hanging="183"/>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1811" w:type="dxa"/>
          </w:tcPr>
          <w:p w14:paraId="07B792CF" w14:textId="77777777" w:rsidR="007D2E1E" w:rsidRPr="00C56257" w:rsidRDefault="007D2E1E" w:rsidP="008E33FD">
            <w:pPr>
              <w:widowControl w:val="0"/>
              <w:autoSpaceDE w:val="0"/>
              <w:autoSpaceDN w:val="0"/>
              <w:ind w:right="109"/>
              <w:jc w:val="both"/>
              <w:rPr>
                <w:color w:val="000000" w:themeColor="text1"/>
              </w:rPr>
            </w:pPr>
            <w:r w:rsidRPr="00C56257">
              <w:rPr>
                <w:color w:val="000000" w:themeColor="text1"/>
              </w:rPr>
              <w:t>Min 6 relevee/</w:t>
            </w:r>
            <w:r w:rsidRPr="00C56257">
              <w:rPr>
                <w:color w:val="000000" w:themeColor="text1"/>
                <w:spacing w:val="1"/>
              </w:rPr>
              <w:t xml:space="preserve"> </w:t>
            </w:r>
            <w:r w:rsidRPr="00C56257">
              <w:rPr>
                <w:color w:val="000000" w:themeColor="text1"/>
              </w:rPr>
              <w:t>transecte de</w:t>
            </w:r>
            <w:r w:rsidRPr="00C56257">
              <w:rPr>
                <w:color w:val="000000" w:themeColor="text1"/>
                <w:spacing w:val="1"/>
              </w:rPr>
              <w:t xml:space="preserve"> </w:t>
            </w:r>
            <w:r w:rsidRPr="00C56257">
              <w:rPr>
                <w:color w:val="000000" w:themeColor="text1"/>
              </w:rPr>
              <w:t>monitorizare în cadrul</w:t>
            </w:r>
            <w:r w:rsidRPr="00C56257">
              <w:rPr>
                <w:color w:val="000000" w:themeColor="text1"/>
                <w:spacing w:val="-52"/>
              </w:rPr>
              <w:t xml:space="preserve"> </w:t>
            </w:r>
            <w:r w:rsidRPr="00C56257">
              <w:rPr>
                <w:color w:val="000000" w:themeColor="text1"/>
              </w:rPr>
              <w:t>ariilor naturale țintă şi</w:t>
            </w:r>
            <w:r w:rsidRPr="00C56257">
              <w:rPr>
                <w:color w:val="000000" w:themeColor="text1"/>
                <w:spacing w:val="-52"/>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afara acestora</w:t>
            </w:r>
            <w:r w:rsidRPr="00C56257">
              <w:rPr>
                <w:color w:val="000000" w:themeColor="text1"/>
                <w:spacing w:val="-2"/>
              </w:rPr>
              <w:t xml:space="preserve"> </w:t>
            </w:r>
            <w:r w:rsidRPr="00C56257">
              <w:rPr>
                <w:color w:val="000000" w:themeColor="text1"/>
              </w:rPr>
              <w:t>în</w:t>
            </w:r>
          </w:p>
          <w:p w14:paraId="2887C381" w14:textId="77777777" w:rsidR="007D2E1E" w:rsidRPr="00C56257" w:rsidRDefault="007D2E1E" w:rsidP="008E33FD">
            <w:pPr>
              <w:widowControl w:val="0"/>
              <w:autoSpaceDE w:val="0"/>
              <w:autoSpaceDN w:val="0"/>
              <w:spacing w:line="252" w:lineRule="exact"/>
              <w:ind w:right="567"/>
              <w:jc w:val="both"/>
              <w:rPr>
                <w:color w:val="000000" w:themeColor="text1"/>
              </w:rPr>
            </w:pPr>
            <w:r w:rsidRPr="00C56257">
              <w:rPr>
                <w:color w:val="000000" w:themeColor="text1"/>
              </w:rPr>
              <w:t>situația prezenței</w:t>
            </w:r>
            <w:r w:rsidRPr="00C56257">
              <w:rPr>
                <w:color w:val="000000" w:themeColor="text1"/>
                <w:spacing w:val="-52"/>
              </w:rPr>
              <w:t xml:space="preserve"> </w:t>
            </w:r>
            <w:r w:rsidRPr="00C56257">
              <w:rPr>
                <w:color w:val="000000" w:themeColor="text1"/>
              </w:rPr>
              <w:t>habitatului.</w:t>
            </w:r>
          </w:p>
        </w:tc>
      </w:tr>
      <w:tr w:rsidR="00AD4B7E" w:rsidRPr="00C56257" w14:paraId="47A47998" w14:textId="77777777" w:rsidTr="00AD4B7E">
        <w:trPr>
          <w:trHeight w:val="1770"/>
        </w:trPr>
        <w:tc>
          <w:tcPr>
            <w:tcW w:w="2552" w:type="dxa"/>
          </w:tcPr>
          <w:p w14:paraId="43B1C8D3" w14:textId="77777777" w:rsidR="007D2E1E" w:rsidRPr="00C56257" w:rsidRDefault="007D2E1E" w:rsidP="008E33FD">
            <w:pPr>
              <w:widowControl w:val="0"/>
              <w:autoSpaceDE w:val="0"/>
              <w:autoSpaceDN w:val="0"/>
              <w:jc w:val="both"/>
              <w:rPr>
                <w:b/>
                <w:color w:val="000000" w:themeColor="text1"/>
              </w:rPr>
            </w:pPr>
          </w:p>
          <w:p w14:paraId="16722E6E" w14:textId="77777777" w:rsidR="007D2E1E" w:rsidRPr="00C56257" w:rsidRDefault="007D2E1E" w:rsidP="008E33FD">
            <w:pPr>
              <w:widowControl w:val="0"/>
              <w:autoSpaceDE w:val="0"/>
              <w:autoSpaceDN w:val="0"/>
              <w:spacing w:before="5"/>
              <w:jc w:val="both"/>
              <w:rPr>
                <w:b/>
                <w:color w:val="000000" w:themeColor="text1"/>
              </w:rPr>
            </w:pPr>
          </w:p>
          <w:p w14:paraId="356BFB64" w14:textId="77777777" w:rsidR="007D2E1E" w:rsidRPr="00C56257" w:rsidRDefault="007D2E1E" w:rsidP="008E33FD">
            <w:pPr>
              <w:widowControl w:val="0"/>
              <w:autoSpaceDE w:val="0"/>
              <w:autoSpaceDN w:val="0"/>
              <w:ind w:right="18"/>
              <w:jc w:val="both"/>
              <w:rPr>
                <w:color w:val="000000" w:themeColor="text1"/>
              </w:rPr>
            </w:pPr>
            <w:r w:rsidRPr="00C56257">
              <w:rPr>
                <w:color w:val="000000" w:themeColor="text1"/>
              </w:rPr>
              <w:t>3230</w:t>
            </w:r>
            <w:r w:rsidRPr="00C56257">
              <w:rPr>
                <w:color w:val="000000" w:themeColor="text1"/>
                <w:spacing w:val="1"/>
              </w:rPr>
              <w:t xml:space="preserve"> </w:t>
            </w:r>
            <w:r w:rsidRPr="00C56257">
              <w:rPr>
                <w:color w:val="000000" w:themeColor="text1"/>
              </w:rPr>
              <w:t>-</w:t>
            </w:r>
            <w:r w:rsidRPr="00C56257">
              <w:rPr>
                <w:color w:val="000000" w:themeColor="text1"/>
                <w:spacing w:val="1"/>
              </w:rPr>
              <w:t xml:space="preserve"> </w:t>
            </w:r>
            <w:r w:rsidRPr="00C56257">
              <w:rPr>
                <w:color w:val="000000" w:themeColor="text1"/>
              </w:rPr>
              <w:t>Vegetaţie</w:t>
            </w:r>
            <w:r w:rsidRPr="00C56257">
              <w:rPr>
                <w:color w:val="000000" w:themeColor="text1"/>
                <w:spacing w:val="1"/>
              </w:rPr>
              <w:t xml:space="preserve"> </w:t>
            </w:r>
            <w:r w:rsidRPr="00C56257">
              <w:rPr>
                <w:color w:val="000000" w:themeColor="text1"/>
              </w:rPr>
              <w:t>lemnoasă</w:t>
            </w:r>
            <w:r w:rsidRPr="00C56257">
              <w:rPr>
                <w:color w:val="000000" w:themeColor="text1"/>
                <w:spacing w:val="1"/>
              </w:rPr>
              <w:t xml:space="preserve"> </w:t>
            </w:r>
            <w:r w:rsidRPr="00C56257">
              <w:rPr>
                <w:color w:val="000000" w:themeColor="text1"/>
              </w:rPr>
              <w:t>cu</w:t>
            </w:r>
            <w:r w:rsidRPr="00C56257">
              <w:rPr>
                <w:color w:val="000000" w:themeColor="text1"/>
                <w:spacing w:val="1"/>
              </w:rPr>
              <w:t xml:space="preserve"> </w:t>
            </w:r>
            <w:r w:rsidRPr="00C56257">
              <w:rPr>
                <w:i/>
                <w:color w:val="000000" w:themeColor="text1"/>
              </w:rPr>
              <w:t>Myricaria</w:t>
            </w:r>
            <w:r w:rsidRPr="00C56257">
              <w:rPr>
                <w:i/>
                <w:color w:val="000000" w:themeColor="text1"/>
                <w:spacing w:val="1"/>
              </w:rPr>
              <w:t xml:space="preserve"> </w:t>
            </w:r>
            <w:r w:rsidRPr="00C56257">
              <w:rPr>
                <w:i/>
                <w:color w:val="000000" w:themeColor="text1"/>
              </w:rPr>
              <w:t>germanica</w:t>
            </w:r>
            <w:r w:rsidRPr="00C56257">
              <w:rPr>
                <w:i/>
                <w:color w:val="000000" w:themeColor="text1"/>
                <w:spacing w:val="1"/>
              </w:rPr>
              <w:t xml:space="preserve"> </w:t>
            </w:r>
            <w:r w:rsidRPr="00C56257">
              <w:rPr>
                <w:color w:val="000000" w:themeColor="text1"/>
              </w:rPr>
              <w:t>de-a</w:t>
            </w:r>
            <w:r w:rsidRPr="00C56257">
              <w:rPr>
                <w:color w:val="000000" w:themeColor="text1"/>
                <w:spacing w:val="1"/>
              </w:rPr>
              <w:t xml:space="preserve"> </w:t>
            </w:r>
            <w:r w:rsidRPr="00C56257">
              <w:rPr>
                <w:color w:val="000000" w:themeColor="text1"/>
              </w:rPr>
              <w:t>lungul</w:t>
            </w:r>
            <w:r w:rsidRPr="00C56257">
              <w:rPr>
                <w:color w:val="000000" w:themeColor="text1"/>
                <w:spacing w:val="1"/>
              </w:rPr>
              <w:t xml:space="preserve"> </w:t>
            </w:r>
            <w:r w:rsidRPr="00C56257">
              <w:rPr>
                <w:color w:val="000000" w:themeColor="text1"/>
              </w:rPr>
              <w:t>râurilor</w:t>
            </w:r>
            <w:r w:rsidRPr="00C56257">
              <w:rPr>
                <w:color w:val="000000" w:themeColor="text1"/>
                <w:spacing w:val="-1"/>
              </w:rPr>
              <w:t xml:space="preserve"> </w:t>
            </w:r>
            <w:r w:rsidRPr="00C56257">
              <w:rPr>
                <w:color w:val="000000" w:themeColor="text1"/>
              </w:rPr>
              <w:t>montane</w:t>
            </w:r>
          </w:p>
        </w:tc>
        <w:tc>
          <w:tcPr>
            <w:tcW w:w="530" w:type="dxa"/>
            <w:gridSpan w:val="2"/>
          </w:tcPr>
          <w:p w14:paraId="0A980578" w14:textId="77777777" w:rsidR="007D2E1E" w:rsidRPr="00C56257" w:rsidRDefault="007D2E1E" w:rsidP="008E33FD">
            <w:pPr>
              <w:widowControl w:val="0"/>
              <w:autoSpaceDE w:val="0"/>
              <w:autoSpaceDN w:val="0"/>
              <w:jc w:val="both"/>
              <w:rPr>
                <w:color w:val="000000" w:themeColor="text1"/>
              </w:rPr>
            </w:pPr>
          </w:p>
        </w:tc>
        <w:tc>
          <w:tcPr>
            <w:tcW w:w="557" w:type="dxa"/>
            <w:gridSpan w:val="2"/>
          </w:tcPr>
          <w:p w14:paraId="051693C8" w14:textId="77777777" w:rsidR="007D2E1E" w:rsidRPr="00C56257" w:rsidRDefault="007D2E1E" w:rsidP="008E33FD">
            <w:pPr>
              <w:widowControl w:val="0"/>
              <w:autoSpaceDE w:val="0"/>
              <w:autoSpaceDN w:val="0"/>
              <w:jc w:val="both"/>
              <w:rPr>
                <w:color w:val="000000" w:themeColor="text1"/>
              </w:rPr>
            </w:pPr>
          </w:p>
        </w:tc>
        <w:tc>
          <w:tcPr>
            <w:tcW w:w="571" w:type="dxa"/>
            <w:gridSpan w:val="2"/>
            <w:shd w:val="clear" w:color="auto" w:fill="BEBEBE"/>
          </w:tcPr>
          <w:p w14:paraId="4E300233"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22D12E41" w14:textId="77777777" w:rsidR="007D2E1E" w:rsidRPr="00C56257" w:rsidRDefault="007D2E1E" w:rsidP="008E33FD">
            <w:pPr>
              <w:widowControl w:val="0"/>
              <w:autoSpaceDE w:val="0"/>
              <w:autoSpaceDN w:val="0"/>
              <w:jc w:val="both"/>
              <w:rPr>
                <w:color w:val="000000" w:themeColor="text1"/>
              </w:rPr>
            </w:pPr>
          </w:p>
        </w:tc>
        <w:tc>
          <w:tcPr>
            <w:tcW w:w="568" w:type="dxa"/>
            <w:gridSpan w:val="2"/>
            <w:shd w:val="clear" w:color="auto" w:fill="BEBEBE"/>
          </w:tcPr>
          <w:p w14:paraId="4DE83147" w14:textId="77777777" w:rsidR="007D2E1E" w:rsidRPr="00C56257" w:rsidRDefault="007D2E1E" w:rsidP="008E33FD">
            <w:pPr>
              <w:widowControl w:val="0"/>
              <w:autoSpaceDE w:val="0"/>
              <w:autoSpaceDN w:val="0"/>
              <w:jc w:val="both"/>
              <w:rPr>
                <w:color w:val="000000" w:themeColor="text1"/>
              </w:rPr>
            </w:pPr>
          </w:p>
        </w:tc>
        <w:tc>
          <w:tcPr>
            <w:tcW w:w="568" w:type="dxa"/>
            <w:gridSpan w:val="2"/>
            <w:shd w:val="clear" w:color="auto" w:fill="BEBEBE"/>
          </w:tcPr>
          <w:p w14:paraId="5FB75D70" w14:textId="77777777" w:rsidR="007D2E1E" w:rsidRPr="00C56257" w:rsidRDefault="007D2E1E" w:rsidP="008E33FD">
            <w:pPr>
              <w:widowControl w:val="0"/>
              <w:autoSpaceDE w:val="0"/>
              <w:autoSpaceDN w:val="0"/>
              <w:jc w:val="both"/>
              <w:rPr>
                <w:color w:val="000000" w:themeColor="text1"/>
              </w:rPr>
            </w:pPr>
          </w:p>
        </w:tc>
        <w:tc>
          <w:tcPr>
            <w:tcW w:w="516" w:type="dxa"/>
            <w:gridSpan w:val="2"/>
            <w:shd w:val="clear" w:color="auto" w:fill="BEBEBE"/>
          </w:tcPr>
          <w:p w14:paraId="18887A11"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46BF92A0" w14:textId="77777777" w:rsidR="007D2E1E" w:rsidRPr="00C56257" w:rsidRDefault="007D2E1E" w:rsidP="008E33FD">
            <w:pPr>
              <w:widowControl w:val="0"/>
              <w:autoSpaceDE w:val="0"/>
              <w:autoSpaceDN w:val="0"/>
              <w:jc w:val="both"/>
              <w:rPr>
                <w:color w:val="000000" w:themeColor="text1"/>
              </w:rPr>
            </w:pPr>
          </w:p>
        </w:tc>
        <w:tc>
          <w:tcPr>
            <w:tcW w:w="568" w:type="dxa"/>
            <w:gridSpan w:val="2"/>
            <w:shd w:val="clear" w:color="auto" w:fill="BEBEBE"/>
          </w:tcPr>
          <w:p w14:paraId="3E68E3A9"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58F29493"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6D3A9E7F" w14:textId="77777777" w:rsidR="007D2E1E" w:rsidRPr="00C56257" w:rsidRDefault="007D2E1E" w:rsidP="008E33FD">
            <w:pPr>
              <w:widowControl w:val="0"/>
              <w:autoSpaceDE w:val="0"/>
              <w:autoSpaceDN w:val="0"/>
              <w:jc w:val="both"/>
              <w:rPr>
                <w:color w:val="000000" w:themeColor="text1"/>
              </w:rPr>
            </w:pPr>
          </w:p>
        </w:tc>
        <w:tc>
          <w:tcPr>
            <w:tcW w:w="530" w:type="dxa"/>
            <w:gridSpan w:val="2"/>
          </w:tcPr>
          <w:p w14:paraId="7CDF58D5" w14:textId="77777777" w:rsidR="007D2E1E" w:rsidRPr="00C56257" w:rsidRDefault="007D2E1E" w:rsidP="008E33FD">
            <w:pPr>
              <w:widowControl w:val="0"/>
              <w:autoSpaceDE w:val="0"/>
              <w:autoSpaceDN w:val="0"/>
              <w:jc w:val="both"/>
              <w:rPr>
                <w:color w:val="000000" w:themeColor="text1"/>
              </w:rPr>
            </w:pPr>
          </w:p>
        </w:tc>
        <w:tc>
          <w:tcPr>
            <w:tcW w:w="2573" w:type="dxa"/>
            <w:gridSpan w:val="2"/>
          </w:tcPr>
          <w:p w14:paraId="1F5FD665" w14:textId="77777777" w:rsidR="007D2E1E" w:rsidRPr="00C56257" w:rsidRDefault="007D2E1E" w:rsidP="008E33FD">
            <w:pPr>
              <w:widowControl w:val="0"/>
              <w:autoSpaceDE w:val="0"/>
              <w:autoSpaceDN w:val="0"/>
              <w:spacing w:before="4"/>
              <w:jc w:val="both"/>
              <w:rPr>
                <w:b/>
                <w:color w:val="000000" w:themeColor="text1"/>
              </w:rPr>
            </w:pPr>
          </w:p>
          <w:p w14:paraId="3AB0B3A3" w14:textId="77777777" w:rsidR="007D2E1E" w:rsidRPr="00C56257" w:rsidRDefault="007D2E1E" w:rsidP="008E33FD">
            <w:pPr>
              <w:widowControl w:val="0"/>
              <w:autoSpaceDE w:val="0"/>
              <w:autoSpaceDN w:val="0"/>
              <w:spacing w:before="1" w:line="252"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27E850FA" w14:textId="77777777" w:rsidR="007D2E1E" w:rsidRPr="00C56257" w:rsidRDefault="007D2E1E" w:rsidP="009E63E5">
            <w:pPr>
              <w:widowControl w:val="0"/>
              <w:numPr>
                <w:ilvl w:val="0"/>
                <w:numId w:val="31"/>
              </w:numPr>
              <w:tabs>
                <w:tab w:val="left" w:pos="239"/>
              </w:tabs>
              <w:autoSpaceDE w:val="0"/>
              <w:autoSpaceDN w:val="0"/>
              <w:ind w:right="14" w:firstLine="0"/>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releveelor</w:t>
            </w:r>
            <w:r w:rsidRPr="00C56257">
              <w:rPr>
                <w:color w:val="000000" w:themeColor="text1"/>
                <w:spacing w:val="1"/>
              </w:rPr>
              <w:t xml:space="preserve"> </w:t>
            </w:r>
            <w:r w:rsidRPr="00C56257">
              <w:rPr>
                <w:color w:val="000000" w:themeColor="text1"/>
              </w:rPr>
              <w:t>sau</w:t>
            </w:r>
            <w:r w:rsidRPr="00C56257">
              <w:rPr>
                <w:color w:val="000000" w:themeColor="text1"/>
                <w:spacing w:val="1"/>
              </w:rPr>
              <w:t xml:space="preserve"> </w:t>
            </w:r>
            <w:r w:rsidRPr="00C56257">
              <w:rPr>
                <w:color w:val="000000" w:themeColor="text1"/>
              </w:rPr>
              <w:t>a</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16775BB8" w14:textId="77777777" w:rsidR="007D2E1E" w:rsidRPr="00C56257" w:rsidRDefault="007D2E1E" w:rsidP="009E63E5">
            <w:pPr>
              <w:widowControl w:val="0"/>
              <w:numPr>
                <w:ilvl w:val="0"/>
                <w:numId w:val="31"/>
              </w:numPr>
              <w:tabs>
                <w:tab w:val="left" w:pos="217"/>
              </w:tabs>
              <w:autoSpaceDE w:val="0"/>
              <w:autoSpaceDN w:val="0"/>
              <w:ind w:left="216" w:hanging="183"/>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1811" w:type="dxa"/>
          </w:tcPr>
          <w:p w14:paraId="7C064D99" w14:textId="77777777" w:rsidR="007D2E1E" w:rsidRPr="00C56257" w:rsidRDefault="007D2E1E" w:rsidP="008E33FD">
            <w:pPr>
              <w:widowControl w:val="0"/>
              <w:autoSpaceDE w:val="0"/>
              <w:autoSpaceDN w:val="0"/>
              <w:ind w:right="109"/>
              <w:jc w:val="both"/>
              <w:rPr>
                <w:color w:val="000000" w:themeColor="text1"/>
              </w:rPr>
            </w:pPr>
            <w:r w:rsidRPr="00C56257">
              <w:rPr>
                <w:color w:val="000000" w:themeColor="text1"/>
              </w:rPr>
              <w:t>Min 6 relevee/</w:t>
            </w:r>
            <w:r w:rsidRPr="00C56257">
              <w:rPr>
                <w:color w:val="000000" w:themeColor="text1"/>
                <w:spacing w:val="1"/>
              </w:rPr>
              <w:t xml:space="preserve"> </w:t>
            </w:r>
            <w:r w:rsidRPr="00C56257">
              <w:rPr>
                <w:color w:val="000000" w:themeColor="text1"/>
              </w:rPr>
              <w:t>transecte de</w:t>
            </w:r>
            <w:r w:rsidRPr="00C56257">
              <w:rPr>
                <w:color w:val="000000" w:themeColor="text1"/>
                <w:spacing w:val="1"/>
              </w:rPr>
              <w:t xml:space="preserve"> </w:t>
            </w:r>
            <w:r w:rsidRPr="00C56257">
              <w:rPr>
                <w:color w:val="000000" w:themeColor="text1"/>
              </w:rPr>
              <w:t>monitorizare în cadrul</w:t>
            </w:r>
            <w:r w:rsidRPr="00C56257">
              <w:rPr>
                <w:color w:val="000000" w:themeColor="text1"/>
                <w:spacing w:val="-52"/>
              </w:rPr>
              <w:t xml:space="preserve"> </w:t>
            </w:r>
            <w:r w:rsidRPr="00C56257">
              <w:rPr>
                <w:color w:val="000000" w:themeColor="text1"/>
              </w:rPr>
              <w:t>ariilor naturale țintă şi</w:t>
            </w:r>
            <w:r w:rsidRPr="00C56257">
              <w:rPr>
                <w:color w:val="000000" w:themeColor="text1"/>
                <w:spacing w:val="-52"/>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afara acestora</w:t>
            </w:r>
            <w:r w:rsidRPr="00C56257">
              <w:rPr>
                <w:color w:val="000000" w:themeColor="text1"/>
                <w:spacing w:val="-2"/>
              </w:rPr>
              <w:t xml:space="preserve"> </w:t>
            </w:r>
            <w:r w:rsidRPr="00C56257">
              <w:rPr>
                <w:color w:val="000000" w:themeColor="text1"/>
              </w:rPr>
              <w:t>în</w:t>
            </w:r>
          </w:p>
          <w:p w14:paraId="18DBE9C9" w14:textId="77777777" w:rsidR="007D2E1E" w:rsidRPr="00C56257" w:rsidRDefault="007D2E1E" w:rsidP="008E33FD">
            <w:pPr>
              <w:widowControl w:val="0"/>
              <w:autoSpaceDE w:val="0"/>
              <w:autoSpaceDN w:val="0"/>
              <w:spacing w:line="252" w:lineRule="exact"/>
              <w:ind w:right="567"/>
              <w:jc w:val="both"/>
              <w:rPr>
                <w:color w:val="000000" w:themeColor="text1"/>
              </w:rPr>
            </w:pPr>
            <w:r w:rsidRPr="00C56257">
              <w:rPr>
                <w:color w:val="000000" w:themeColor="text1"/>
              </w:rPr>
              <w:t>situația prezenței</w:t>
            </w:r>
            <w:r w:rsidRPr="00C56257">
              <w:rPr>
                <w:color w:val="000000" w:themeColor="text1"/>
                <w:spacing w:val="-52"/>
              </w:rPr>
              <w:t xml:space="preserve"> </w:t>
            </w:r>
            <w:r w:rsidRPr="00C56257">
              <w:rPr>
                <w:color w:val="000000" w:themeColor="text1"/>
              </w:rPr>
              <w:t>habitatului.</w:t>
            </w:r>
          </w:p>
        </w:tc>
      </w:tr>
      <w:tr w:rsidR="00AD4B7E" w:rsidRPr="00C56257" w14:paraId="53B3892A" w14:textId="77777777" w:rsidTr="00AD4B7E">
        <w:trPr>
          <w:trHeight w:val="1771"/>
        </w:trPr>
        <w:tc>
          <w:tcPr>
            <w:tcW w:w="2552" w:type="dxa"/>
          </w:tcPr>
          <w:p w14:paraId="0BD99131" w14:textId="77777777" w:rsidR="007D2E1E" w:rsidRPr="00C56257" w:rsidRDefault="007D2E1E" w:rsidP="008E33FD">
            <w:pPr>
              <w:widowControl w:val="0"/>
              <w:autoSpaceDE w:val="0"/>
              <w:autoSpaceDN w:val="0"/>
              <w:jc w:val="both"/>
              <w:rPr>
                <w:b/>
                <w:color w:val="000000" w:themeColor="text1"/>
              </w:rPr>
            </w:pPr>
          </w:p>
          <w:p w14:paraId="34A3B787" w14:textId="77777777" w:rsidR="007D2E1E" w:rsidRPr="00C56257" w:rsidRDefault="007D2E1E" w:rsidP="008E33FD">
            <w:pPr>
              <w:widowControl w:val="0"/>
              <w:autoSpaceDE w:val="0"/>
              <w:autoSpaceDN w:val="0"/>
              <w:spacing w:before="6"/>
              <w:jc w:val="both"/>
              <w:rPr>
                <w:b/>
                <w:color w:val="000000" w:themeColor="text1"/>
              </w:rPr>
            </w:pPr>
          </w:p>
          <w:p w14:paraId="07C48EC3" w14:textId="77777777" w:rsidR="007D2E1E" w:rsidRPr="00C56257" w:rsidRDefault="007D2E1E" w:rsidP="008E33FD">
            <w:pPr>
              <w:widowControl w:val="0"/>
              <w:autoSpaceDE w:val="0"/>
              <w:autoSpaceDN w:val="0"/>
              <w:ind w:right="17"/>
              <w:jc w:val="both"/>
              <w:rPr>
                <w:color w:val="000000" w:themeColor="text1"/>
              </w:rPr>
            </w:pPr>
            <w:r w:rsidRPr="00C56257">
              <w:rPr>
                <w:color w:val="000000" w:themeColor="text1"/>
              </w:rPr>
              <w:t xml:space="preserve">3240 - Vegetație lemnoasă cu </w:t>
            </w:r>
            <w:r w:rsidRPr="00C56257">
              <w:rPr>
                <w:i/>
                <w:color w:val="000000" w:themeColor="text1"/>
              </w:rPr>
              <w:t>Salix</w:t>
            </w:r>
            <w:r w:rsidRPr="00C56257">
              <w:rPr>
                <w:i/>
                <w:color w:val="000000" w:themeColor="text1"/>
                <w:spacing w:val="1"/>
              </w:rPr>
              <w:t xml:space="preserve"> </w:t>
            </w:r>
            <w:r w:rsidRPr="00C56257">
              <w:rPr>
                <w:i/>
                <w:color w:val="000000" w:themeColor="text1"/>
              </w:rPr>
              <w:t>elaeagnos</w:t>
            </w:r>
            <w:r w:rsidRPr="00C56257">
              <w:rPr>
                <w:i/>
                <w:color w:val="000000" w:themeColor="text1"/>
                <w:spacing w:val="1"/>
              </w:rPr>
              <w:t xml:space="preserve"> </w:t>
            </w:r>
            <w:r w:rsidRPr="00C56257">
              <w:rPr>
                <w:color w:val="000000" w:themeColor="text1"/>
              </w:rPr>
              <w:t>de-a</w:t>
            </w:r>
            <w:r w:rsidRPr="00C56257">
              <w:rPr>
                <w:color w:val="000000" w:themeColor="text1"/>
                <w:spacing w:val="1"/>
              </w:rPr>
              <w:t xml:space="preserve"> </w:t>
            </w:r>
            <w:r w:rsidRPr="00C56257">
              <w:rPr>
                <w:color w:val="000000" w:themeColor="text1"/>
              </w:rPr>
              <w:t>lungul</w:t>
            </w:r>
            <w:r w:rsidRPr="00C56257">
              <w:rPr>
                <w:color w:val="000000" w:themeColor="text1"/>
                <w:spacing w:val="1"/>
              </w:rPr>
              <w:t xml:space="preserve"> </w:t>
            </w:r>
            <w:r w:rsidRPr="00C56257">
              <w:rPr>
                <w:color w:val="000000" w:themeColor="text1"/>
              </w:rPr>
              <w:t>râurilor</w:t>
            </w:r>
            <w:r w:rsidRPr="00C56257">
              <w:rPr>
                <w:color w:val="000000" w:themeColor="text1"/>
                <w:spacing w:val="1"/>
              </w:rPr>
              <w:t xml:space="preserve"> </w:t>
            </w:r>
            <w:r w:rsidRPr="00C56257">
              <w:rPr>
                <w:color w:val="000000" w:themeColor="text1"/>
              </w:rPr>
              <w:t>montane</w:t>
            </w:r>
          </w:p>
        </w:tc>
        <w:tc>
          <w:tcPr>
            <w:tcW w:w="530" w:type="dxa"/>
            <w:gridSpan w:val="2"/>
          </w:tcPr>
          <w:p w14:paraId="1AA584B7" w14:textId="77777777" w:rsidR="007D2E1E" w:rsidRPr="00C56257" w:rsidRDefault="007D2E1E" w:rsidP="008E33FD">
            <w:pPr>
              <w:widowControl w:val="0"/>
              <w:autoSpaceDE w:val="0"/>
              <w:autoSpaceDN w:val="0"/>
              <w:jc w:val="both"/>
              <w:rPr>
                <w:color w:val="000000" w:themeColor="text1"/>
              </w:rPr>
            </w:pPr>
          </w:p>
        </w:tc>
        <w:tc>
          <w:tcPr>
            <w:tcW w:w="557" w:type="dxa"/>
            <w:gridSpan w:val="2"/>
          </w:tcPr>
          <w:p w14:paraId="5AE12AF5" w14:textId="77777777" w:rsidR="007D2E1E" w:rsidRPr="00C56257" w:rsidRDefault="007D2E1E" w:rsidP="008E33FD">
            <w:pPr>
              <w:widowControl w:val="0"/>
              <w:autoSpaceDE w:val="0"/>
              <w:autoSpaceDN w:val="0"/>
              <w:jc w:val="both"/>
              <w:rPr>
                <w:color w:val="000000" w:themeColor="text1"/>
              </w:rPr>
            </w:pPr>
          </w:p>
        </w:tc>
        <w:tc>
          <w:tcPr>
            <w:tcW w:w="571" w:type="dxa"/>
            <w:gridSpan w:val="2"/>
            <w:shd w:val="clear" w:color="auto" w:fill="BEBEBE"/>
          </w:tcPr>
          <w:p w14:paraId="0B39E7FA"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478515AC" w14:textId="77777777" w:rsidR="007D2E1E" w:rsidRPr="00C56257" w:rsidRDefault="007D2E1E" w:rsidP="008E33FD">
            <w:pPr>
              <w:widowControl w:val="0"/>
              <w:autoSpaceDE w:val="0"/>
              <w:autoSpaceDN w:val="0"/>
              <w:jc w:val="both"/>
              <w:rPr>
                <w:color w:val="000000" w:themeColor="text1"/>
              </w:rPr>
            </w:pPr>
          </w:p>
        </w:tc>
        <w:tc>
          <w:tcPr>
            <w:tcW w:w="568" w:type="dxa"/>
            <w:gridSpan w:val="2"/>
            <w:shd w:val="clear" w:color="auto" w:fill="BEBEBE"/>
          </w:tcPr>
          <w:p w14:paraId="579D35A2" w14:textId="77777777" w:rsidR="007D2E1E" w:rsidRPr="00C56257" w:rsidRDefault="007D2E1E" w:rsidP="008E33FD">
            <w:pPr>
              <w:widowControl w:val="0"/>
              <w:autoSpaceDE w:val="0"/>
              <w:autoSpaceDN w:val="0"/>
              <w:jc w:val="both"/>
              <w:rPr>
                <w:color w:val="000000" w:themeColor="text1"/>
              </w:rPr>
            </w:pPr>
          </w:p>
        </w:tc>
        <w:tc>
          <w:tcPr>
            <w:tcW w:w="568" w:type="dxa"/>
            <w:gridSpan w:val="2"/>
            <w:shd w:val="clear" w:color="auto" w:fill="BEBEBE"/>
          </w:tcPr>
          <w:p w14:paraId="451F7300" w14:textId="77777777" w:rsidR="007D2E1E" w:rsidRPr="00C56257" w:rsidRDefault="007D2E1E" w:rsidP="008E33FD">
            <w:pPr>
              <w:widowControl w:val="0"/>
              <w:autoSpaceDE w:val="0"/>
              <w:autoSpaceDN w:val="0"/>
              <w:jc w:val="both"/>
              <w:rPr>
                <w:color w:val="000000" w:themeColor="text1"/>
              </w:rPr>
            </w:pPr>
          </w:p>
        </w:tc>
        <w:tc>
          <w:tcPr>
            <w:tcW w:w="516" w:type="dxa"/>
            <w:gridSpan w:val="2"/>
            <w:shd w:val="clear" w:color="auto" w:fill="BEBEBE"/>
          </w:tcPr>
          <w:p w14:paraId="628B9719"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20307A98" w14:textId="77777777" w:rsidR="007D2E1E" w:rsidRPr="00C56257" w:rsidRDefault="007D2E1E" w:rsidP="008E33FD">
            <w:pPr>
              <w:widowControl w:val="0"/>
              <w:autoSpaceDE w:val="0"/>
              <w:autoSpaceDN w:val="0"/>
              <w:jc w:val="both"/>
              <w:rPr>
                <w:color w:val="000000" w:themeColor="text1"/>
              </w:rPr>
            </w:pPr>
          </w:p>
        </w:tc>
        <w:tc>
          <w:tcPr>
            <w:tcW w:w="568" w:type="dxa"/>
            <w:gridSpan w:val="2"/>
            <w:shd w:val="clear" w:color="auto" w:fill="BEBEBE"/>
          </w:tcPr>
          <w:p w14:paraId="7EDBCAE5"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51039D70"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12BBC169" w14:textId="77777777" w:rsidR="007D2E1E" w:rsidRPr="00C56257" w:rsidRDefault="007D2E1E" w:rsidP="008E33FD">
            <w:pPr>
              <w:widowControl w:val="0"/>
              <w:autoSpaceDE w:val="0"/>
              <w:autoSpaceDN w:val="0"/>
              <w:jc w:val="both"/>
              <w:rPr>
                <w:color w:val="000000" w:themeColor="text1"/>
              </w:rPr>
            </w:pPr>
          </w:p>
        </w:tc>
        <w:tc>
          <w:tcPr>
            <w:tcW w:w="530" w:type="dxa"/>
            <w:gridSpan w:val="2"/>
          </w:tcPr>
          <w:p w14:paraId="47F785F4" w14:textId="77777777" w:rsidR="007D2E1E" w:rsidRPr="00C56257" w:rsidRDefault="007D2E1E" w:rsidP="008E33FD">
            <w:pPr>
              <w:widowControl w:val="0"/>
              <w:autoSpaceDE w:val="0"/>
              <w:autoSpaceDN w:val="0"/>
              <w:jc w:val="both"/>
              <w:rPr>
                <w:color w:val="000000" w:themeColor="text1"/>
              </w:rPr>
            </w:pPr>
          </w:p>
        </w:tc>
        <w:tc>
          <w:tcPr>
            <w:tcW w:w="2573" w:type="dxa"/>
            <w:gridSpan w:val="2"/>
          </w:tcPr>
          <w:p w14:paraId="7DDAACF1" w14:textId="77777777" w:rsidR="007D2E1E" w:rsidRPr="00C56257" w:rsidRDefault="007D2E1E" w:rsidP="008E33FD">
            <w:pPr>
              <w:widowControl w:val="0"/>
              <w:autoSpaceDE w:val="0"/>
              <w:autoSpaceDN w:val="0"/>
              <w:spacing w:before="5"/>
              <w:jc w:val="both"/>
              <w:rPr>
                <w:b/>
                <w:color w:val="000000" w:themeColor="text1"/>
              </w:rPr>
            </w:pPr>
          </w:p>
          <w:p w14:paraId="49298872" w14:textId="77777777" w:rsidR="007D2E1E" w:rsidRPr="00C56257" w:rsidRDefault="007D2E1E" w:rsidP="008E33FD">
            <w:pPr>
              <w:widowControl w:val="0"/>
              <w:autoSpaceDE w:val="0"/>
              <w:autoSpaceDN w:val="0"/>
              <w:spacing w:line="252"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596450A8" w14:textId="77777777" w:rsidR="007D2E1E" w:rsidRPr="00C56257" w:rsidRDefault="007D2E1E" w:rsidP="009E63E5">
            <w:pPr>
              <w:widowControl w:val="0"/>
              <w:numPr>
                <w:ilvl w:val="0"/>
                <w:numId w:val="30"/>
              </w:numPr>
              <w:tabs>
                <w:tab w:val="left" w:pos="239"/>
              </w:tabs>
              <w:autoSpaceDE w:val="0"/>
              <w:autoSpaceDN w:val="0"/>
              <w:ind w:right="14" w:firstLine="0"/>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releveelor</w:t>
            </w:r>
            <w:r w:rsidRPr="00C56257">
              <w:rPr>
                <w:color w:val="000000" w:themeColor="text1"/>
                <w:spacing w:val="1"/>
              </w:rPr>
              <w:t xml:space="preserve"> </w:t>
            </w:r>
            <w:r w:rsidRPr="00C56257">
              <w:rPr>
                <w:color w:val="000000" w:themeColor="text1"/>
              </w:rPr>
              <w:t>sau</w:t>
            </w:r>
            <w:r w:rsidRPr="00C56257">
              <w:rPr>
                <w:color w:val="000000" w:themeColor="text1"/>
                <w:spacing w:val="1"/>
              </w:rPr>
              <w:t xml:space="preserve"> </w:t>
            </w:r>
            <w:r w:rsidRPr="00C56257">
              <w:rPr>
                <w:color w:val="000000" w:themeColor="text1"/>
              </w:rPr>
              <w:t>a</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787735AA" w14:textId="77777777" w:rsidR="007D2E1E" w:rsidRPr="00C56257" w:rsidRDefault="007D2E1E" w:rsidP="009E63E5">
            <w:pPr>
              <w:widowControl w:val="0"/>
              <w:numPr>
                <w:ilvl w:val="0"/>
                <w:numId w:val="30"/>
              </w:numPr>
              <w:tabs>
                <w:tab w:val="left" w:pos="217"/>
              </w:tabs>
              <w:autoSpaceDE w:val="0"/>
              <w:autoSpaceDN w:val="0"/>
              <w:ind w:left="216" w:hanging="183"/>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1811" w:type="dxa"/>
          </w:tcPr>
          <w:p w14:paraId="1052A589" w14:textId="77777777" w:rsidR="007D2E1E" w:rsidRPr="00C56257" w:rsidRDefault="007D2E1E" w:rsidP="008E33FD">
            <w:pPr>
              <w:widowControl w:val="0"/>
              <w:autoSpaceDE w:val="0"/>
              <w:autoSpaceDN w:val="0"/>
              <w:ind w:right="109"/>
              <w:jc w:val="both"/>
              <w:rPr>
                <w:color w:val="000000" w:themeColor="text1"/>
              </w:rPr>
            </w:pPr>
            <w:r w:rsidRPr="00C56257">
              <w:rPr>
                <w:color w:val="000000" w:themeColor="text1"/>
              </w:rPr>
              <w:t>Min 6 relevee/</w:t>
            </w:r>
            <w:r w:rsidRPr="00C56257">
              <w:rPr>
                <w:color w:val="000000" w:themeColor="text1"/>
                <w:spacing w:val="1"/>
              </w:rPr>
              <w:t xml:space="preserve"> </w:t>
            </w:r>
            <w:r w:rsidRPr="00C56257">
              <w:rPr>
                <w:color w:val="000000" w:themeColor="text1"/>
              </w:rPr>
              <w:t>transecte de</w:t>
            </w:r>
            <w:r w:rsidRPr="00C56257">
              <w:rPr>
                <w:color w:val="000000" w:themeColor="text1"/>
                <w:spacing w:val="1"/>
              </w:rPr>
              <w:t xml:space="preserve"> </w:t>
            </w:r>
            <w:r w:rsidRPr="00C56257">
              <w:rPr>
                <w:color w:val="000000" w:themeColor="text1"/>
              </w:rPr>
              <w:t>monitorizare în cadrul</w:t>
            </w:r>
            <w:r w:rsidRPr="00C56257">
              <w:rPr>
                <w:color w:val="000000" w:themeColor="text1"/>
                <w:spacing w:val="-52"/>
              </w:rPr>
              <w:t xml:space="preserve"> </w:t>
            </w:r>
            <w:r w:rsidRPr="00C56257">
              <w:rPr>
                <w:color w:val="000000" w:themeColor="text1"/>
              </w:rPr>
              <w:t>ariilor naturale țintă şi</w:t>
            </w:r>
            <w:r w:rsidRPr="00C56257">
              <w:rPr>
                <w:color w:val="000000" w:themeColor="text1"/>
                <w:spacing w:val="-52"/>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afara acestora</w:t>
            </w:r>
            <w:r w:rsidRPr="00C56257">
              <w:rPr>
                <w:color w:val="000000" w:themeColor="text1"/>
                <w:spacing w:val="-2"/>
              </w:rPr>
              <w:t xml:space="preserve"> </w:t>
            </w:r>
            <w:r w:rsidRPr="00C56257">
              <w:rPr>
                <w:color w:val="000000" w:themeColor="text1"/>
              </w:rPr>
              <w:t>în</w:t>
            </w:r>
          </w:p>
          <w:p w14:paraId="4DA5261A" w14:textId="77777777" w:rsidR="007D2E1E" w:rsidRPr="00C56257" w:rsidRDefault="007D2E1E" w:rsidP="008E33FD">
            <w:pPr>
              <w:widowControl w:val="0"/>
              <w:autoSpaceDE w:val="0"/>
              <w:autoSpaceDN w:val="0"/>
              <w:spacing w:line="252" w:lineRule="exact"/>
              <w:ind w:right="567"/>
              <w:jc w:val="both"/>
              <w:rPr>
                <w:color w:val="000000" w:themeColor="text1"/>
              </w:rPr>
            </w:pPr>
            <w:r w:rsidRPr="00C56257">
              <w:rPr>
                <w:color w:val="000000" w:themeColor="text1"/>
              </w:rPr>
              <w:t>situația prezenței</w:t>
            </w:r>
            <w:r w:rsidRPr="00C56257">
              <w:rPr>
                <w:color w:val="000000" w:themeColor="text1"/>
                <w:spacing w:val="-52"/>
              </w:rPr>
              <w:t xml:space="preserve"> </w:t>
            </w:r>
            <w:r w:rsidRPr="00C56257">
              <w:rPr>
                <w:color w:val="000000" w:themeColor="text1"/>
              </w:rPr>
              <w:t>habitatului.</w:t>
            </w:r>
          </w:p>
        </w:tc>
      </w:tr>
      <w:tr w:rsidR="00AD4B7E" w:rsidRPr="00C56257" w14:paraId="55DA23A3" w14:textId="77777777" w:rsidTr="00AD4B7E">
        <w:trPr>
          <w:trHeight w:val="757"/>
        </w:trPr>
        <w:tc>
          <w:tcPr>
            <w:tcW w:w="2552" w:type="dxa"/>
          </w:tcPr>
          <w:p w14:paraId="29A1E24E" w14:textId="77777777" w:rsidR="007D2E1E" w:rsidRPr="00C56257" w:rsidRDefault="007D2E1E" w:rsidP="008E33FD">
            <w:pPr>
              <w:widowControl w:val="0"/>
              <w:autoSpaceDE w:val="0"/>
              <w:autoSpaceDN w:val="0"/>
              <w:ind w:right="12"/>
              <w:jc w:val="both"/>
              <w:rPr>
                <w:color w:val="000000" w:themeColor="text1"/>
              </w:rPr>
            </w:pPr>
            <w:r w:rsidRPr="00C56257">
              <w:rPr>
                <w:color w:val="000000" w:themeColor="text1"/>
              </w:rPr>
              <w:t>3260</w:t>
            </w:r>
            <w:r w:rsidRPr="00C56257">
              <w:rPr>
                <w:color w:val="000000" w:themeColor="text1"/>
                <w:spacing w:val="32"/>
              </w:rPr>
              <w:t xml:space="preserve"> </w:t>
            </w:r>
            <w:r w:rsidRPr="00C56257">
              <w:rPr>
                <w:color w:val="000000" w:themeColor="text1"/>
              </w:rPr>
              <w:t>-</w:t>
            </w:r>
            <w:r w:rsidRPr="00C56257">
              <w:rPr>
                <w:color w:val="000000" w:themeColor="text1"/>
                <w:spacing w:val="29"/>
              </w:rPr>
              <w:t xml:space="preserve"> </w:t>
            </w:r>
            <w:r w:rsidRPr="00C56257">
              <w:rPr>
                <w:color w:val="000000" w:themeColor="text1"/>
              </w:rPr>
              <w:t>Cursuri</w:t>
            </w:r>
            <w:r w:rsidRPr="00C56257">
              <w:rPr>
                <w:color w:val="000000" w:themeColor="text1"/>
                <w:spacing w:val="33"/>
              </w:rPr>
              <w:t xml:space="preserve"> </w:t>
            </w:r>
            <w:r w:rsidRPr="00C56257">
              <w:rPr>
                <w:color w:val="000000" w:themeColor="text1"/>
              </w:rPr>
              <w:t>de</w:t>
            </w:r>
            <w:r w:rsidRPr="00C56257">
              <w:rPr>
                <w:color w:val="000000" w:themeColor="text1"/>
                <w:spacing w:val="31"/>
              </w:rPr>
              <w:t xml:space="preserve"> </w:t>
            </w:r>
            <w:r w:rsidRPr="00C56257">
              <w:rPr>
                <w:color w:val="000000" w:themeColor="text1"/>
              </w:rPr>
              <w:t>apă</w:t>
            </w:r>
            <w:r w:rsidRPr="00C56257">
              <w:rPr>
                <w:color w:val="000000" w:themeColor="text1"/>
                <w:spacing w:val="30"/>
              </w:rPr>
              <w:t xml:space="preserve"> </w:t>
            </w:r>
            <w:r w:rsidRPr="00C56257">
              <w:rPr>
                <w:color w:val="000000" w:themeColor="text1"/>
              </w:rPr>
              <w:t>din</w:t>
            </w:r>
            <w:r w:rsidRPr="00C56257">
              <w:rPr>
                <w:color w:val="000000" w:themeColor="text1"/>
                <w:spacing w:val="31"/>
              </w:rPr>
              <w:t xml:space="preserve"> </w:t>
            </w:r>
            <w:r w:rsidRPr="00C56257">
              <w:rPr>
                <w:color w:val="000000" w:themeColor="text1"/>
              </w:rPr>
              <w:t>zona</w:t>
            </w:r>
            <w:r w:rsidRPr="00C56257">
              <w:rPr>
                <w:color w:val="000000" w:themeColor="text1"/>
                <w:spacing w:val="32"/>
              </w:rPr>
              <w:t xml:space="preserve"> </w:t>
            </w:r>
            <w:r w:rsidRPr="00C56257">
              <w:rPr>
                <w:color w:val="000000" w:themeColor="text1"/>
              </w:rPr>
              <w:t>de</w:t>
            </w:r>
            <w:r w:rsidRPr="00C56257">
              <w:rPr>
                <w:color w:val="000000" w:themeColor="text1"/>
                <w:spacing w:val="-52"/>
              </w:rPr>
              <w:t xml:space="preserve"> </w:t>
            </w:r>
            <w:r w:rsidRPr="00C56257">
              <w:rPr>
                <w:color w:val="000000" w:themeColor="text1"/>
              </w:rPr>
              <w:t>câmpie</w:t>
            </w:r>
            <w:r w:rsidRPr="00C56257">
              <w:rPr>
                <w:color w:val="000000" w:themeColor="text1"/>
                <w:spacing w:val="56"/>
              </w:rPr>
              <w:t xml:space="preserve"> </w:t>
            </w:r>
            <w:r w:rsidRPr="00C56257">
              <w:rPr>
                <w:color w:val="000000" w:themeColor="text1"/>
              </w:rPr>
              <w:t>până</w:t>
            </w:r>
            <w:r w:rsidRPr="00C56257">
              <w:rPr>
                <w:color w:val="000000" w:themeColor="text1"/>
                <w:spacing w:val="57"/>
              </w:rPr>
              <w:t xml:space="preserve"> </w:t>
            </w:r>
            <w:r w:rsidRPr="00C56257">
              <w:rPr>
                <w:color w:val="000000" w:themeColor="text1"/>
              </w:rPr>
              <w:t>în</w:t>
            </w:r>
            <w:r w:rsidRPr="00C56257">
              <w:rPr>
                <w:color w:val="000000" w:themeColor="text1"/>
                <w:spacing w:val="56"/>
              </w:rPr>
              <w:t xml:space="preserve"> </w:t>
            </w:r>
            <w:r w:rsidRPr="00C56257">
              <w:rPr>
                <w:color w:val="000000" w:themeColor="text1"/>
              </w:rPr>
              <w:t>etajul  montan,  cu</w:t>
            </w:r>
          </w:p>
          <w:p w14:paraId="4273A034" w14:textId="77777777" w:rsidR="007D2E1E" w:rsidRPr="00C56257" w:rsidRDefault="007D2E1E" w:rsidP="008E33FD">
            <w:pPr>
              <w:widowControl w:val="0"/>
              <w:autoSpaceDE w:val="0"/>
              <w:autoSpaceDN w:val="0"/>
              <w:spacing w:line="238" w:lineRule="exact"/>
              <w:jc w:val="both"/>
              <w:rPr>
                <w:i/>
                <w:color w:val="000000" w:themeColor="text1"/>
              </w:rPr>
            </w:pPr>
            <w:r w:rsidRPr="00C56257">
              <w:rPr>
                <w:color w:val="000000" w:themeColor="text1"/>
              </w:rPr>
              <w:t>vegetaţie</w:t>
            </w:r>
            <w:r w:rsidRPr="00C56257">
              <w:rPr>
                <w:color w:val="000000" w:themeColor="text1"/>
                <w:spacing w:val="15"/>
              </w:rPr>
              <w:t xml:space="preserve"> </w:t>
            </w:r>
            <w:r w:rsidRPr="00C56257">
              <w:rPr>
                <w:color w:val="000000" w:themeColor="text1"/>
              </w:rPr>
              <w:t>din</w:t>
            </w:r>
            <w:r w:rsidRPr="00C56257">
              <w:rPr>
                <w:color w:val="000000" w:themeColor="text1"/>
                <w:spacing w:val="16"/>
              </w:rPr>
              <w:t xml:space="preserve"> </w:t>
            </w:r>
            <w:r w:rsidRPr="00C56257">
              <w:rPr>
                <w:i/>
                <w:color w:val="000000" w:themeColor="text1"/>
              </w:rPr>
              <w:t>Ranunculion</w:t>
            </w:r>
            <w:r w:rsidRPr="00C56257">
              <w:rPr>
                <w:i/>
                <w:color w:val="000000" w:themeColor="text1"/>
                <w:spacing w:val="12"/>
              </w:rPr>
              <w:t xml:space="preserve"> </w:t>
            </w:r>
            <w:r w:rsidRPr="00C56257">
              <w:rPr>
                <w:i/>
                <w:color w:val="000000" w:themeColor="text1"/>
              </w:rPr>
              <w:t>fluitantis</w:t>
            </w:r>
            <w:r w:rsidR="00926A66" w:rsidRPr="00C56257">
              <w:rPr>
                <w:i/>
                <w:color w:val="000000" w:themeColor="text1"/>
              </w:rPr>
              <w:t xml:space="preserve"> şi</w:t>
            </w:r>
            <w:r w:rsidR="00926A66" w:rsidRPr="00C56257">
              <w:rPr>
                <w:i/>
                <w:color w:val="000000" w:themeColor="text1"/>
                <w:spacing w:val="-3"/>
              </w:rPr>
              <w:t xml:space="preserve"> </w:t>
            </w:r>
            <w:r w:rsidR="00926A66" w:rsidRPr="00C56257">
              <w:rPr>
                <w:i/>
                <w:color w:val="000000" w:themeColor="text1"/>
              </w:rPr>
              <w:t>Callitricho-Batrachion</w:t>
            </w:r>
          </w:p>
        </w:tc>
        <w:tc>
          <w:tcPr>
            <w:tcW w:w="530" w:type="dxa"/>
            <w:gridSpan w:val="2"/>
          </w:tcPr>
          <w:p w14:paraId="68D5CADF" w14:textId="77777777" w:rsidR="007D2E1E" w:rsidRPr="00C56257" w:rsidRDefault="007D2E1E" w:rsidP="008E33FD">
            <w:pPr>
              <w:widowControl w:val="0"/>
              <w:autoSpaceDE w:val="0"/>
              <w:autoSpaceDN w:val="0"/>
              <w:jc w:val="both"/>
              <w:rPr>
                <w:color w:val="000000" w:themeColor="text1"/>
              </w:rPr>
            </w:pPr>
          </w:p>
        </w:tc>
        <w:tc>
          <w:tcPr>
            <w:tcW w:w="557" w:type="dxa"/>
            <w:gridSpan w:val="2"/>
          </w:tcPr>
          <w:p w14:paraId="6CD4C100" w14:textId="77777777" w:rsidR="007D2E1E" w:rsidRPr="00C56257" w:rsidRDefault="007D2E1E" w:rsidP="008E33FD">
            <w:pPr>
              <w:widowControl w:val="0"/>
              <w:autoSpaceDE w:val="0"/>
              <w:autoSpaceDN w:val="0"/>
              <w:jc w:val="both"/>
              <w:rPr>
                <w:color w:val="000000" w:themeColor="text1"/>
              </w:rPr>
            </w:pPr>
          </w:p>
        </w:tc>
        <w:tc>
          <w:tcPr>
            <w:tcW w:w="571" w:type="dxa"/>
            <w:gridSpan w:val="2"/>
            <w:shd w:val="clear" w:color="auto" w:fill="BEBEBE"/>
          </w:tcPr>
          <w:p w14:paraId="38FCFDBC"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5C9EDBF4" w14:textId="77777777" w:rsidR="007D2E1E" w:rsidRPr="00C56257" w:rsidRDefault="007D2E1E" w:rsidP="008E33FD">
            <w:pPr>
              <w:widowControl w:val="0"/>
              <w:autoSpaceDE w:val="0"/>
              <w:autoSpaceDN w:val="0"/>
              <w:jc w:val="both"/>
              <w:rPr>
                <w:color w:val="000000" w:themeColor="text1"/>
              </w:rPr>
            </w:pPr>
          </w:p>
        </w:tc>
        <w:tc>
          <w:tcPr>
            <w:tcW w:w="568" w:type="dxa"/>
            <w:gridSpan w:val="2"/>
            <w:shd w:val="clear" w:color="auto" w:fill="BEBEBE"/>
          </w:tcPr>
          <w:p w14:paraId="5569047E" w14:textId="77777777" w:rsidR="007D2E1E" w:rsidRPr="00C56257" w:rsidRDefault="007D2E1E" w:rsidP="008E33FD">
            <w:pPr>
              <w:widowControl w:val="0"/>
              <w:autoSpaceDE w:val="0"/>
              <w:autoSpaceDN w:val="0"/>
              <w:jc w:val="both"/>
              <w:rPr>
                <w:color w:val="000000" w:themeColor="text1"/>
              </w:rPr>
            </w:pPr>
          </w:p>
        </w:tc>
        <w:tc>
          <w:tcPr>
            <w:tcW w:w="568" w:type="dxa"/>
            <w:gridSpan w:val="2"/>
            <w:shd w:val="clear" w:color="auto" w:fill="BEBEBE"/>
          </w:tcPr>
          <w:p w14:paraId="38DE4258" w14:textId="77777777" w:rsidR="007D2E1E" w:rsidRPr="00C56257" w:rsidRDefault="007D2E1E" w:rsidP="008E33FD">
            <w:pPr>
              <w:widowControl w:val="0"/>
              <w:autoSpaceDE w:val="0"/>
              <w:autoSpaceDN w:val="0"/>
              <w:jc w:val="both"/>
              <w:rPr>
                <w:color w:val="000000" w:themeColor="text1"/>
              </w:rPr>
            </w:pPr>
          </w:p>
        </w:tc>
        <w:tc>
          <w:tcPr>
            <w:tcW w:w="516" w:type="dxa"/>
            <w:gridSpan w:val="2"/>
            <w:shd w:val="clear" w:color="auto" w:fill="BEBEBE"/>
          </w:tcPr>
          <w:p w14:paraId="41A40B60"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4D5540CF" w14:textId="77777777" w:rsidR="007D2E1E" w:rsidRPr="00C56257" w:rsidRDefault="007D2E1E" w:rsidP="008E33FD">
            <w:pPr>
              <w:widowControl w:val="0"/>
              <w:autoSpaceDE w:val="0"/>
              <w:autoSpaceDN w:val="0"/>
              <w:jc w:val="both"/>
              <w:rPr>
                <w:color w:val="000000" w:themeColor="text1"/>
              </w:rPr>
            </w:pPr>
          </w:p>
        </w:tc>
        <w:tc>
          <w:tcPr>
            <w:tcW w:w="568" w:type="dxa"/>
            <w:gridSpan w:val="2"/>
            <w:shd w:val="clear" w:color="auto" w:fill="BEBEBE"/>
          </w:tcPr>
          <w:p w14:paraId="5AA4245B"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6613AB1F" w14:textId="77777777" w:rsidR="007D2E1E" w:rsidRPr="00C56257" w:rsidRDefault="007D2E1E" w:rsidP="008E33FD">
            <w:pPr>
              <w:widowControl w:val="0"/>
              <w:autoSpaceDE w:val="0"/>
              <w:autoSpaceDN w:val="0"/>
              <w:jc w:val="both"/>
              <w:rPr>
                <w:color w:val="000000" w:themeColor="text1"/>
              </w:rPr>
            </w:pPr>
          </w:p>
        </w:tc>
        <w:tc>
          <w:tcPr>
            <w:tcW w:w="566" w:type="dxa"/>
            <w:gridSpan w:val="2"/>
          </w:tcPr>
          <w:p w14:paraId="1B98ABF7" w14:textId="77777777" w:rsidR="007D2E1E" w:rsidRPr="00C56257" w:rsidRDefault="007D2E1E" w:rsidP="008E33FD">
            <w:pPr>
              <w:widowControl w:val="0"/>
              <w:autoSpaceDE w:val="0"/>
              <w:autoSpaceDN w:val="0"/>
              <w:jc w:val="both"/>
              <w:rPr>
                <w:color w:val="000000" w:themeColor="text1"/>
              </w:rPr>
            </w:pPr>
          </w:p>
        </w:tc>
        <w:tc>
          <w:tcPr>
            <w:tcW w:w="530" w:type="dxa"/>
            <w:gridSpan w:val="2"/>
          </w:tcPr>
          <w:p w14:paraId="4B09E531" w14:textId="77777777" w:rsidR="007D2E1E" w:rsidRPr="00C56257" w:rsidRDefault="007D2E1E" w:rsidP="008E33FD">
            <w:pPr>
              <w:widowControl w:val="0"/>
              <w:autoSpaceDE w:val="0"/>
              <w:autoSpaceDN w:val="0"/>
              <w:jc w:val="both"/>
              <w:rPr>
                <w:color w:val="000000" w:themeColor="text1"/>
              </w:rPr>
            </w:pPr>
          </w:p>
        </w:tc>
        <w:tc>
          <w:tcPr>
            <w:tcW w:w="2573" w:type="dxa"/>
            <w:gridSpan w:val="2"/>
          </w:tcPr>
          <w:p w14:paraId="55AA670F" w14:textId="77777777" w:rsidR="007D2E1E" w:rsidRPr="00C56257" w:rsidRDefault="007D2E1E" w:rsidP="008E33FD">
            <w:pPr>
              <w:widowControl w:val="0"/>
              <w:autoSpaceDE w:val="0"/>
              <w:autoSpaceDN w:val="0"/>
              <w:spacing w:line="246"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054097A0" w14:textId="77777777" w:rsidR="00926A66" w:rsidRDefault="007D2E1E" w:rsidP="008E33FD">
            <w:pPr>
              <w:widowControl w:val="0"/>
              <w:autoSpaceDE w:val="0"/>
              <w:autoSpaceDN w:val="0"/>
              <w:spacing w:line="254" w:lineRule="exact"/>
              <w:jc w:val="both"/>
              <w:rPr>
                <w:color w:val="000000" w:themeColor="text1"/>
              </w:rPr>
            </w:pPr>
            <w:r w:rsidRPr="00C56257">
              <w:rPr>
                <w:color w:val="000000" w:themeColor="text1"/>
              </w:rPr>
              <w:t>-</w:t>
            </w:r>
            <w:r w:rsidRPr="00C56257">
              <w:rPr>
                <w:color w:val="000000" w:themeColor="text1"/>
                <w:spacing w:val="17"/>
              </w:rPr>
              <w:t xml:space="preserve"> </w:t>
            </w:r>
            <w:r w:rsidRPr="00C56257">
              <w:rPr>
                <w:color w:val="000000" w:themeColor="text1"/>
              </w:rPr>
              <w:t>metoda</w:t>
            </w:r>
            <w:r w:rsidRPr="00C56257">
              <w:rPr>
                <w:color w:val="000000" w:themeColor="text1"/>
                <w:spacing w:val="19"/>
              </w:rPr>
              <w:t xml:space="preserve"> </w:t>
            </w:r>
            <w:r w:rsidRPr="00C56257">
              <w:rPr>
                <w:color w:val="000000" w:themeColor="text1"/>
              </w:rPr>
              <w:t>releveelor</w:t>
            </w:r>
            <w:r w:rsidRPr="00C56257">
              <w:rPr>
                <w:color w:val="000000" w:themeColor="text1"/>
                <w:spacing w:val="17"/>
              </w:rPr>
              <w:t xml:space="preserve"> </w:t>
            </w:r>
            <w:r w:rsidRPr="00C56257">
              <w:rPr>
                <w:color w:val="000000" w:themeColor="text1"/>
              </w:rPr>
              <w:t>sau</w:t>
            </w:r>
            <w:r w:rsidRPr="00C56257">
              <w:rPr>
                <w:color w:val="000000" w:themeColor="text1"/>
                <w:spacing w:val="13"/>
              </w:rPr>
              <w:t xml:space="preserve"> </w:t>
            </w:r>
            <w:r w:rsidRPr="00C56257">
              <w:rPr>
                <w:color w:val="000000" w:themeColor="text1"/>
              </w:rPr>
              <w:t>a</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1A057B31" w14:textId="77777777" w:rsidR="00926A66" w:rsidRDefault="00926A66" w:rsidP="008E33FD">
            <w:pPr>
              <w:widowControl w:val="0"/>
              <w:autoSpaceDE w:val="0"/>
              <w:autoSpaceDN w:val="0"/>
              <w:spacing w:line="254" w:lineRule="exact"/>
              <w:jc w:val="both"/>
              <w:rPr>
                <w:color w:val="000000" w:themeColor="text1"/>
              </w:rPr>
            </w:pPr>
          </w:p>
          <w:p w14:paraId="5F53C4C4" w14:textId="77777777" w:rsidR="007D2E1E" w:rsidRDefault="00926A66" w:rsidP="008E33FD">
            <w:pPr>
              <w:widowControl w:val="0"/>
              <w:autoSpaceDE w:val="0"/>
              <w:autoSpaceDN w:val="0"/>
              <w:spacing w:line="254" w:lineRule="exact"/>
              <w:jc w:val="both"/>
              <w:rPr>
                <w:color w:val="000000" w:themeColor="text1"/>
              </w:rPr>
            </w:pPr>
            <w:r w:rsidRPr="00C56257">
              <w:rPr>
                <w:color w:val="000000" w:themeColor="text1"/>
              </w:rPr>
              <w:t>-</w:t>
            </w:r>
            <w:r w:rsidRPr="00C56257">
              <w:rPr>
                <w:color w:val="000000" w:themeColor="text1"/>
                <w:spacing w:val="52"/>
              </w:rPr>
              <w:t xml:space="preserve"> </w:t>
            </w:r>
            <w:r w:rsidRPr="00C56257">
              <w:rPr>
                <w:color w:val="000000" w:themeColor="text1"/>
              </w:rPr>
              <w:t>metoda Braun-Blanquet</w:t>
            </w:r>
          </w:p>
          <w:p w14:paraId="2BB0755C" w14:textId="77777777" w:rsidR="00926A66" w:rsidRPr="00C56257" w:rsidRDefault="00926A66" w:rsidP="008E33FD">
            <w:pPr>
              <w:widowControl w:val="0"/>
              <w:autoSpaceDE w:val="0"/>
              <w:autoSpaceDN w:val="0"/>
              <w:spacing w:line="254" w:lineRule="exact"/>
              <w:jc w:val="both"/>
              <w:rPr>
                <w:color w:val="000000" w:themeColor="text1"/>
              </w:rPr>
            </w:pPr>
          </w:p>
        </w:tc>
        <w:tc>
          <w:tcPr>
            <w:tcW w:w="1811" w:type="dxa"/>
          </w:tcPr>
          <w:p w14:paraId="2B932250" w14:textId="77777777" w:rsidR="007D2E1E" w:rsidRPr="00C56257" w:rsidRDefault="007D2E1E" w:rsidP="008E33FD">
            <w:pPr>
              <w:widowControl w:val="0"/>
              <w:autoSpaceDE w:val="0"/>
              <w:autoSpaceDN w:val="0"/>
              <w:ind w:right="781"/>
              <w:jc w:val="both"/>
              <w:rPr>
                <w:color w:val="000000" w:themeColor="text1"/>
              </w:rPr>
            </w:pPr>
            <w:r w:rsidRPr="00C56257">
              <w:rPr>
                <w:color w:val="000000" w:themeColor="text1"/>
              </w:rPr>
              <w:t>Min 7 relevee/</w:t>
            </w:r>
            <w:r w:rsidRPr="00C56257">
              <w:rPr>
                <w:color w:val="000000" w:themeColor="text1"/>
                <w:spacing w:val="-52"/>
              </w:rPr>
              <w:t xml:space="preserve"> </w:t>
            </w:r>
            <w:r w:rsidRPr="00C56257">
              <w:rPr>
                <w:color w:val="000000" w:themeColor="text1"/>
              </w:rPr>
              <w:t>transecte</w:t>
            </w:r>
            <w:r w:rsidRPr="00C56257">
              <w:rPr>
                <w:color w:val="000000" w:themeColor="text1"/>
                <w:spacing w:val="-3"/>
              </w:rPr>
              <w:t xml:space="preserve"> </w:t>
            </w:r>
            <w:r w:rsidRPr="00C56257">
              <w:rPr>
                <w:color w:val="000000" w:themeColor="text1"/>
              </w:rPr>
              <w:t>de</w:t>
            </w:r>
          </w:p>
          <w:p w14:paraId="46983360" w14:textId="77777777" w:rsidR="00926A66" w:rsidRPr="00C56257" w:rsidRDefault="007D2E1E" w:rsidP="00926A66">
            <w:pPr>
              <w:widowControl w:val="0"/>
              <w:autoSpaceDE w:val="0"/>
              <w:autoSpaceDN w:val="0"/>
              <w:ind w:right="115"/>
              <w:jc w:val="both"/>
              <w:rPr>
                <w:color w:val="000000" w:themeColor="text1"/>
              </w:rPr>
            </w:pPr>
            <w:r w:rsidRPr="00C56257">
              <w:rPr>
                <w:color w:val="000000" w:themeColor="text1"/>
              </w:rPr>
              <w:t>monitorizare</w:t>
            </w:r>
            <w:r w:rsidRPr="00C56257">
              <w:rPr>
                <w:color w:val="000000" w:themeColor="text1"/>
                <w:spacing w:val="-1"/>
              </w:rPr>
              <w:t xml:space="preserve"> </w:t>
            </w:r>
            <w:r w:rsidRPr="00C56257">
              <w:rPr>
                <w:color w:val="000000" w:themeColor="text1"/>
              </w:rPr>
              <w:t>în</w:t>
            </w:r>
            <w:r w:rsidRPr="00C56257">
              <w:rPr>
                <w:color w:val="000000" w:themeColor="text1"/>
                <w:spacing w:val="-4"/>
              </w:rPr>
              <w:t xml:space="preserve"> </w:t>
            </w:r>
            <w:r w:rsidRPr="00C56257">
              <w:rPr>
                <w:color w:val="000000" w:themeColor="text1"/>
              </w:rPr>
              <w:t>cadrul</w:t>
            </w:r>
            <w:r w:rsidR="00926A66">
              <w:rPr>
                <w:color w:val="000000" w:themeColor="text1"/>
              </w:rPr>
              <w:t xml:space="preserve"> </w:t>
            </w:r>
            <w:r w:rsidR="00926A66" w:rsidRPr="00C56257">
              <w:rPr>
                <w:color w:val="000000" w:themeColor="text1"/>
              </w:rPr>
              <w:t>ariilor naturale țintă şi</w:t>
            </w:r>
            <w:r w:rsidR="00926A66" w:rsidRPr="00C56257">
              <w:rPr>
                <w:color w:val="000000" w:themeColor="text1"/>
                <w:spacing w:val="-52"/>
              </w:rPr>
              <w:t xml:space="preserve"> </w:t>
            </w:r>
            <w:r w:rsidR="00926A66" w:rsidRPr="00C56257">
              <w:rPr>
                <w:color w:val="000000" w:themeColor="text1"/>
              </w:rPr>
              <w:t>în afara acestora în</w:t>
            </w:r>
            <w:r w:rsidR="00926A66" w:rsidRPr="00C56257">
              <w:rPr>
                <w:color w:val="000000" w:themeColor="text1"/>
                <w:spacing w:val="1"/>
              </w:rPr>
              <w:t xml:space="preserve"> </w:t>
            </w:r>
            <w:r w:rsidR="00926A66" w:rsidRPr="00C56257">
              <w:rPr>
                <w:color w:val="000000" w:themeColor="text1"/>
              </w:rPr>
              <w:t>situația</w:t>
            </w:r>
            <w:r w:rsidR="00926A66" w:rsidRPr="00C56257">
              <w:rPr>
                <w:color w:val="000000" w:themeColor="text1"/>
                <w:spacing w:val="-1"/>
              </w:rPr>
              <w:t xml:space="preserve"> </w:t>
            </w:r>
            <w:r w:rsidR="00926A66" w:rsidRPr="00C56257">
              <w:rPr>
                <w:color w:val="000000" w:themeColor="text1"/>
              </w:rPr>
              <w:t>prezenței</w:t>
            </w:r>
          </w:p>
          <w:p w14:paraId="57F7BB52" w14:textId="77777777" w:rsidR="007D2E1E" w:rsidRPr="00C56257" w:rsidRDefault="00926A66" w:rsidP="00926A66">
            <w:pPr>
              <w:widowControl w:val="0"/>
              <w:autoSpaceDE w:val="0"/>
              <w:autoSpaceDN w:val="0"/>
              <w:spacing w:line="238" w:lineRule="exact"/>
              <w:jc w:val="both"/>
              <w:rPr>
                <w:color w:val="000000" w:themeColor="text1"/>
              </w:rPr>
            </w:pPr>
            <w:r w:rsidRPr="00C56257">
              <w:rPr>
                <w:color w:val="000000" w:themeColor="text1"/>
              </w:rPr>
              <w:t>habitatului.</w:t>
            </w:r>
          </w:p>
        </w:tc>
      </w:tr>
      <w:tr w:rsidR="00AD4B7E" w:rsidRPr="00C56257" w14:paraId="7A234275" w14:textId="77777777" w:rsidTr="00AD4B7E">
        <w:trPr>
          <w:trHeight w:val="1771"/>
        </w:trPr>
        <w:tc>
          <w:tcPr>
            <w:tcW w:w="2552" w:type="dxa"/>
          </w:tcPr>
          <w:p w14:paraId="2C95FECE" w14:textId="77777777" w:rsidR="007D2E1E" w:rsidRPr="00C56257" w:rsidRDefault="007D2E1E" w:rsidP="008E33FD">
            <w:pPr>
              <w:widowControl w:val="0"/>
              <w:autoSpaceDE w:val="0"/>
              <w:autoSpaceDN w:val="0"/>
              <w:jc w:val="both"/>
              <w:rPr>
                <w:b/>
                <w:color w:val="000000" w:themeColor="text1"/>
              </w:rPr>
            </w:pPr>
          </w:p>
          <w:p w14:paraId="115CEF78" w14:textId="77777777" w:rsidR="007D2E1E" w:rsidRPr="00C56257" w:rsidRDefault="007D2E1E" w:rsidP="008E33FD">
            <w:pPr>
              <w:widowControl w:val="0"/>
              <w:autoSpaceDE w:val="0"/>
              <w:autoSpaceDN w:val="0"/>
              <w:spacing w:before="6"/>
              <w:jc w:val="both"/>
              <w:rPr>
                <w:b/>
                <w:color w:val="000000" w:themeColor="text1"/>
              </w:rPr>
            </w:pPr>
          </w:p>
          <w:p w14:paraId="355B7EC6" w14:textId="77777777" w:rsidR="007D2E1E" w:rsidRPr="00C56257" w:rsidRDefault="007D2E1E" w:rsidP="008E33FD">
            <w:pPr>
              <w:widowControl w:val="0"/>
              <w:autoSpaceDE w:val="0"/>
              <w:autoSpaceDN w:val="0"/>
              <w:ind w:right="9"/>
              <w:jc w:val="both"/>
              <w:rPr>
                <w:i/>
                <w:color w:val="000000" w:themeColor="text1"/>
              </w:rPr>
            </w:pPr>
            <w:r w:rsidRPr="00C56257">
              <w:rPr>
                <w:color w:val="000000" w:themeColor="text1"/>
              </w:rPr>
              <w:t>3270</w:t>
            </w:r>
            <w:r w:rsidRPr="00C56257">
              <w:rPr>
                <w:color w:val="000000" w:themeColor="text1"/>
                <w:spacing w:val="38"/>
              </w:rPr>
              <w:t xml:space="preserve"> </w:t>
            </w:r>
            <w:r w:rsidRPr="00C56257">
              <w:rPr>
                <w:color w:val="000000" w:themeColor="text1"/>
              </w:rPr>
              <w:t>-</w:t>
            </w:r>
            <w:r w:rsidRPr="00C56257">
              <w:rPr>
                <w:color w:val="000000" w:themeColor="text1"/>
                <w:spacing w:val="35"/>
              </w:rPr>
              <w:t xml:space="preserve"> </w:t>
            </w:r>
            <w:r w:rsidRPr="00C56257">
              <w:rPr>
                <w:color w:val="000000" w:themeColor="text1"/>
              </w:rPr>
              <w:t>Râuri</w:t>
            </w:r>
            <w:r w:rsidRPr="00C56257">
              <w:rPr>
                <w:color w:val="000000" w:themeColor="text1"/>
                <w:spacing w:val="38"/>
              </w:rPr>
              <w:t xml:space="preserve"> </w:t>
            </w:r>
            <w:r w:rsidRPr="00C56257">
              <w:rPr>
                <w:color w:val="000000" w:themeColor="text1"/>
              </w:rPr>
              <w:t>cu</w:t>
            </w:r>
            <w:r w:rsidRPr="00C56257">
              <w:rPr>
                <w:color w:val="000000" w:themeColor="text1"/>
                <w:spacing w:val="39"/>
              </w:rPr>
              <w:t xml:space="preserve"> </w:t>
            </w:r>
            <w:r w:rsidRPr="00C56257">
              <w:rPr>
                <w:color w:val="000000" w:themeColor="text1"/>
              </w:rPr>
              <w:t>maluri</w:t>
            </w:r>
            <w:r w:rsidRPr="00C56257">
              <w:rPr>
                <w:color w:val="000000" w:themeColor="text1"/>
                <w:spacing w:val="38"/>
              </w:rPr>
              <w:t xml:space="preserve"> </w:t>
            </w:r>
            <w:r w:rsidRPr="00C56257">
              <w:rPr>
                <w:color w:val="000000" w:themeColor="text1"/>
              </w:rPr>
              <w:t>nămoloase</w:t>
            </w:r>
            <w:r w:rsidRPr="00C56257">
              <w:rPr>
                <w:color w:val="000000" w:themeColor="text1"/>
                <w:spacing w:val="-52"/>
              </w:rPr>
              <w:t xml:space="preserve"> </w:t>
            </w:r>
            <w:r w:rsidRPr="00C56257">
              <w:rPr>
                <w:color w:val="000000" w:themeColor="text1"/>
              </w:rPr>
              <w:t>cu</w:t>
            </w:r>
            <w:r w:rsidRPr="00C56257">
              <w:rPr>
                <w:color w:val="000000" w:themeColor="text1"/>
                <w:spacing w:val="16"/>
              </w:rPr>
              <w:t xml:space="preserve"> </w:t>
            </w:r>
            <w:r w:rsidRPr="00C56257">
              <w:rPr>
                <w:color w:val="000000" w:themeColor="text1"/>
              </w:rPr>
              <w:t>vegetație</w:t>
            </w:r>
            <w:r w:rsidRPr="00C56257">
              <w:rPr>
                <w:color w:val="000000" w:themeColor="text1"/>
                <w:spacing w:val="13"/>
              </w:rPr>
              <w:t xml:space="preserve"> </w:t>
            </w:r>
            <w:r w:rsidRPr="00C56257">
              <w:rPr>
                <w:color w:val="000000" w:themeColor="text1"/>
              </w:rPr>
              <w:t>din</w:t>
            </w:r>
            <w:r w:rsidRPr="00C56257">
              <w:rPr>
                <w:color w:val="000000" w:themeColor="text1"/>
                <w:spacing w:val="14"/>
              </w:rPr>
              <w:t xml:space="preserve"> </w:t>
            </w:r>
            <w:r w:rsidRPr="00C56257">
              <w:rPr>
                <w:i/>
                <w:color w:val="000000" w:themeColor="text1"/>
              </w:rPr>
              <w:t>Chenopodion</w:t>
            </w:r>
            <w:r w:rsidRPr="00C56257">
              <w:rPr>
                <w:i/>
                <w:color w:val="000000" w:themeColor="text1"/>
                <w:spacing w:val="13"/>
              </w:rPr>
              <w:t xml:space="preserve"> </w:t>
            </w:r>
            <w:r w:rsidRPr="00C56257">
              <w:rPr>
                <w:i/>
                <w:color w:val="000000" w:themeColor="text1"/>
              </w:rPr>
              <w:t>rubri</w:t>
            </w:r>
          </w:p>
          <w:p w14:paraId="121B43E8" w14:textId="77777777" w:rsidR="007D2E1E" w:rsidRPr="00C56257" w:rsidRDefault="007D2E1E" w:rsidP="008E33FD">
            <w:pPr>
              <w:widowControl w:val="0"/>
              <w:autoSpaceDE w:val="0"/>
              <w:autoSpaceDN w:val="0"/>
              <w:jc w:val="both"/>
              <w:rPr>
                <w:color w:val="000000" w:themeColor="text1"/>
              </w:rPr>
            </w:pPr>
            <w:r w:rsidRPr="00C56257">
              <w:rPr>
                <w:i/>
                <w:color w:val="000000" w:themeColor="text1"/>
              </w:rPr>
              <w:t>p.p.</w:t>
            </w:r>
            <w:r w:rsidRPr="00C56257">
              <w:rPr>
                <w:i/>
                <w:color w:val="000000" w:themeColor="text1"/>
                <w:spacing w:val="-1"/>
              </w:rPr>
              <w:t xml:space="preserve"> </w:t>
            </w:r>
            <w:r w:rsidRPr="00C56257">
              <w:rPr>
                <w:i/>
                <w:color w:val="000000" w:themeColor="text1"/>
              </w:rPr>
              <w:t>şi</w:t>
            </w:r>
            <w:r w:rsidRPr="00C56257">
              <w:rPr>
                <w:i/>
                <w:color w:val="000000" w:themeColor="text1"/>
                <w:spacing w:val="-2"/>
              </w:rPr>
              <w:t xml:space="preserve"> </w:t>
            </w:r>
            <w:r w:rsidRPr="00C56257">
              <w:rPr>
                <w:i/>
                <w:color w:val="000000" w:themeColor="text1"/>
              </w:rPr>
              <w:t>Bidention p.p</w:t>
            </w:r>
            <w:r w:rsidRPr="00C56257">
              <w:rPr>
                <w:color w:val="000000" w:themeColor="text1"/>
              </w:rPr>
              <w:t>.</w:t>
            </w:r>
          </w:p>
        </w:tc>
        <w:tc>
          <w:tcPr>
            <w:tcW w:w="521" w:type="dxa"/>
          </w:tcPr>
          <w:p w14:paraId="3B08C3D1" w14:textId="77777777" w:rsidR="007D2E1E" w:rsidRPr="00C56257" w:rsidRDefault="007D2E1E" w:rsidP="008E33FD">
            <w:pPr>
              <w:widowControl w:val="0"/>
              <w:autoSpaceDE w:val="0"/>
              <w:autoSpaceDN w:val="0"/>
              <w:jc w:val="both"/>
              <w:rPr>
                <w:color w:val="000000" w:themeColor="text1"/>
              </w:rPr>
            </w:pPr>
          </w:p>
        </w:tc>
        <w:tc>
          <w:tcPr>
            <w:tcW w:w="557" w:type="dxa"/>
            <w:gridSpan w:val="2"/>
          </w:tcPr>
          <w:p w14:paraId="5A4D0D07" w14:textId="77777777" w:rsidR="007D2E1E" w:rsidRPr="00C56257" w:rsidRDefault="007D2E1E" w:rsidP="008E33FD">
            <w:pPr>
              <w:widowControl w:val="0"/>
              <w:autoSpaceDE w:val="0"/>
              <w:autoSpaceDN w:val="0"/>
              <w:jc w:val="both"/>
              <w:rPr>
                <w:color w:val="000000" w:themeColor="text1"/>
              </w:rPr>
            </w:pPr>
          </w:p>
        </w:tc>
        <w:tc>
          <w:tcPr>
            <w:tcW w:w="571" w:type="dxa"/>
            <w:gridSpan w:val="2"/>
          </w:tcPr>
          <w:p w14:paraId="58F9B928"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7F4117C8" w14:textId="77777777" w:rsidR="007D2E1E" w:rsidRPr="00C56257" w:rsidRDefault="007D2E1E" w:rsidP="008E33FD">
            <w:pPr>
              <w:widowControl w:val="0"/>
              <w:autoSpaceDE w:val="0"/>
              <w:autoSpaceDN w:val="0"/>
              <w:jc w:val="both"/>
              <w:rPr>
                <w:color w:val="000000" w:themeColor="text1"/>
              </w:rPr>
            </w:pPr>
          </w:p>
        </w:tc>
        <w:tc>
          <w:tcPr>
            <w:tcW w:w="568" w:type="dxa"/>
            <w:gridSpan w:val="2"/>
            <w:shd w:val="clear" w:color="auto" w:fill="BEBEBE"/>
          </w:tcPr>
          <w:p w14:paraId="7F3A5534" w14:textId="77777777" w:rsidR="007D2E1E" w:rsidRPr="00C56257" w:rsidRDefault="007D2E1E" w:rsidP="008E33FD">
            <w:pPr>
              <w:widowControl w:val="0"/>
              <w:autoSpaceDE w:val="0"/>
              <w:autoSpaceDN w:val="0"/>
              <w:jc w:val="both"/>
              <w:rPr>
                <w:color w:val="000000" w:themeColor="text1"/>
              </w:rPr>
            </w:pPr>
          </w:p>
        </w:tc>
        <w:tc>
          <w:tcPr>
            <w:tcW w:w="568" w:type="dxa"/>
            <w:gridSpan w:val="2"/>
            <w:shd w:val="clear" w:color="auto" w:fill="BEBEBE"/>
          </w:tcPr>
          <w:p w14:paraId="7BE3AE56" w14:textId="77777777" w:rsidR="007D2E1E" w:rsidRPr="00C56257" w:rsidRDefault="007D2E1E" w:rsidP="008E33FD">
            <w:pPr>
              <w:widowControl w:val="0"/>
              <w:autoSpaceDE w:val="0"/>
              <w:autoSpaceDN w:val="0"/>
              <w:jc w:val="both"/>
              <w:rPr>
                <w:color w:val="000000" w:themeColor="text1"/>
              </w:rPr>
            </w:pPr>
          </w:p>
        </w:tc>
        <w:tc>
          <w:tcPr>
            <w:tcW w:w="516" w:type="dxa"/>
            <w:gridSpan w:val="2"/>
            <w:shd w:val="clear" w:color="auto" w:fill="BEBEBE"/>
          </w:tcPr>
          <w:p w14:paraId="68A42295"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7BCFAC61" w14:textId="77777777" w:rsidR="007D2E1E" w:rsidRPr="00C56257" w:rsidRDefault="007D2E1E" w:rsidP="008E33FD">
            <w:pPr>
              <w:widowControl w:val="0"/>
              <w:autoSpaceDE w:val="0"/>
              <w:autoSpaceDN w:val="0"/>
              <w:jc w:val="both"/>
              <w:rPr>
                <w:color w:val="000000" w:themeColor="text1"/>
              </w:rPr>
            </w:pPr>
          </w:p>
        </w:tc>
        <w:tc>
          <w:tcPr>
            <w:tcW w:w="568" w:type="dxa"/>
            <w:gridSpan w:val="2"/>
            <w:shd w:val="clear" w:color="auto" w:fill="BEBEBE"/>
          </w:tcPr>
          <w:p w14:paraId="691507E9"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66DD6D74" w14:textId="77777777" w:rsidR="007D2E1E" w:rsidRPr="00C56257" w:rsidRDefault="007D2E1E" w:rsidP="008E33FD">
            <w:pPr>
              <w:widowControl w:val="0"/>
              <w:autoSpaceDE w:val="0"/>
              <w:autoSpaceDN w:val="0"/>
              <w:jc w:val="both"/>
              <w:rPr>
                <w:color w:val="000000" w:themeColor="text1"/>
              </w:rPr>
            </w:pPr>
          </w:p>
        </w:tc>
        <w:tc>
          <w:tcPr>
            <w:tcW w:w="566" w:type="dxa"/>
            <w:gridSpan w:val="2"/>
            <w:shd w:val="clear" w:color="auto" w:fill="BEBEBE"/>
          </w:tcPr>
          <w:p w14:paraId="57BCE5FD" w14:textId="77777777" w:rsidR="007D2E1E" w:rsidRPr="00C56257" w:rsidRDefault="007D2E1E" w:rsidP="008E33FD">
            <w:pPr>
              <w:widowControl w:val="0"/>
              <w:autoSpaceDE w:val="0"/>
              <w:autoSpaceDN w:val="0"/>
              <w:jc w:val="both"/>
              <w:rPr>
                <w:color w:val="000000" w:themeColor="text1"/>
              </w:rPr>
            </w:pPr>
          </w:p>
        </w:tc>
        <w:tc>
          <w:tcPr>
            <w:tcW w:w="530" w:type="dxa"/>
            <w:gridSpan w:val="2"/>
          </w:tcPr>
          <w:p w14:paraId="04CFF581" w14:textId="77777777" w:rsidR="007D2E1E" w:rsidRPr="00C56257" w:rsidRDefault="007D2E1E" w:rsidP="008E33FD">
            <w:pPr>
              <w:widowControl w:val="0"/>
              <w:autoSpaceDE w:val="0"/>
              <w:autoSpaceDN w:val="0"/>
              <w:jc w:val="both"/>
              <w:rPr>
                <w:color w:val="000000" w:themeColor="text1"/>
              </w:rPr>
            </w:pPr>
          </w:p>
        </w:tc>
        <w:tc>
          <w:tcPr>
            <w:tcW w:w="2551" w:type="dxa"/>
            <w:gridSpan w:val="2"/>
          </w:tcPr>
          <w:p w14:paraId="3909FA21" w14:textId="77777777" w:rsidR="007D2E1E" w:rsidRPr="00C56257" w:rsidRDefault="007D2E1E" w:rsidP="008E33FD">
            <w:pPr>
              <w:widowControl w:val="0"/>
              <w:autoSpaceDE w:val="0"/>
              <w:autoSpaceDN w:val="0"/>
              <w:spacing w:before="5"/>
              <w:jc w:val="both"/>
              <w:rPr>
                <w:b/>
                <w:color w:val="000000" w:themeColor="text1"/>
              </w:rPr>
            </w:pPr>
          </w:p>
          <w:p w14:paraId="4ECD9A88" w14:textId="77777777" w:rsidR="007D2E1E" w:rsidRPr="00C56257" w:rsidRDefault="007D2E1E" w:rsidP="008E33FD">
            <w:pPr>
              <w:widowControl w:val="0"/>
              <w:autoSpaceDE w:val="0"/>
              <w:autoSpaceDN w:val="0"/>
              <w:spacing w:line="252"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40AE2561" w14:textId="77777777" w:rsidR="007D2E1E" w:rsidRPr="00C56257" w:rsidRDefault="007D2E1E" w:rsidP="009E63E5">
            <w:pPr>
              <w:widowControl w:val="0"/>
              <w:numPr>
                <w:ilvl w:val="0"/>
                <w:numId w:val="29"/>
              </w:numPr>
              <w:tabs>
                <w:tab w:val="left" w:pos="239"/>
              </w:tabs>
              <w:autoSpaceDE w:val="0"/>
              <w:autoSpaceDN w:val="0"/>
              <w:ind w:right="14" w:firstLine="0"/>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releveelor</w:t>
            </w:r>
            <w:r w:rsidRPr="00C56257">
              <w:rPr>
                <w:color w:val="000000" w:themeColor="text1"/>
                <w:spacing w:val="1"/>
              </w:rPr>
              <w:t xml:space="preserve"> </w:t>
            </w:r>
            <w:r w:rsidRPr="00C56257">
              <w:rPr>
                <w:color w:val="000000" w:themeColor="text1"/>
              </w:rPr>
              <w:t>sau</w:t>
            </w:r>
            <w:r w:rsidRPr="00C56257">
              <w:rPr>
                <w:color w:val="000000" w:themeColor="text1"/>
                <w:spacing w:val="1"/>
              </w:rPr>
              <w:t xml:space="preserve"> </w:t>
            </w:r>
            <w:r w:rsidRPr="00C56257">
              <w:rPr>
                <w:color w:val="000000" w:themeColor="text1"/>
              </w:rPr>
              <w:t>a</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73DCC923" w14:textId="77777777" w:rsidR="007D2E1E" w:rsidRPr="00C56257" w:rsidRDefault="007D2E1E" w:rsidP="009E63E5">
            <w:pPr>
              <w:widowControl w:val="0"/>
              <w:numPr>
                <w:ilvl w:val="0"/>
                <w:numId w:val="29"/>
              </w:numPr>
              <w:tabs>
                <w:tab w:val="left" w:pos="162"/>
              </w:tabs>
              <w:autoSpaceDE w:val="0"/>
              <w:autoSpaceDN w:val="0"/>
              <w:ind w:left="161" w:hanging="128"/>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1842" w:type="dxa"/>
            <w:gridSpan w:val="2"/>
          </w:tcPr>
          <w:p w14:paraId="781D27D1" w14:textId="77777777" w:rsidR="007D2E1E" w:rsidRPr="00C56257" w:rsidRDefault="007D2E1E" w:rsidP="008E33FD">
            <w:pPr>
              <w:widowControl w:val="0"/>
              <w:autoSpaceDE w:val="0"/>
              <w:autoSpaceDN w:val="0"/>
              <w:ind w:right="109"/>
              <w:jc w:val="both"/>
              <w:rPr>
                <w:color w:val="000000" w:themeColor="text1"/>
              </w:rPr>
            </w:pPr>
            <w:r w:rsidRPr="00C56257">
              <w:rPr>
                <w:color w:val="000000" w:themeColor="text1"/>
              </w:rPr>
              <w:t>Min 6 relevee/</w:t>
            </w:r>
            <w:r w:rsidRPr="00C56257">
              <w:rPr>
                <w:color w:val="000000" w:themeColor="text1"/>
                <w:spacing w:val="1"/>
              </w:rPr>
              <w:t xml:space="preserve"> </w:t>
            </w:r>
            <w:r w:rsidRPr="00C56257">
              <w:rPr>
                <w:color w:val="000000" w:themeColor="text1"/>
              </w:rPr>
              <w:t>transecte de</w:t>
            </w:r>
            <w:r w:rsidRPr="00C56257">
              <w:rPr>
                <w:color w:val="000000" w:themeColor="text1"/>
                <w:spacing w:val="1"/>
              </w:rPr>
              <w:t xml:space="preserve"> </w:t>
            </w:r>
            <w:r w:rsidRPr="00C56257">
              <w:rPr>
                <w:color w:val="000000" w:themeColor="text1"/>
              </w:rPr>
              <w:t>monitorizare în cadrul</w:t>
            </w:r>
            <w:r w:rsidRPr="00C56257">
              <w:rPr>
                <w:color w:val="000000" w:themeColor="text1"/>
                <w:spacing w:val="-52"/>
              </w:rPr>
              <w:t xml:space="preserve"> </w:t>
            </w:r>
            <w:r w:rsidRPr="00C56257">
              <w:rPr>
                <w:color w:val="000000" w:themeColor="text1"/>
              </w:rPr>
              <w:t>ariilor naturale țintă şi</w:t>
            </w:r>
            <w:r w:rsidRPr="00C56257">
              <w:rPr>
                <w:color w:val="000000" w:themeColor="text1"/>
                <w:spacing w:val="-52"/>
              </w:rPr>
              <w:t xml:space="preserve"> </w:t>
            </w:r>
            <w:r w:rsidRPr="00C56257">
              <w:rPr>
                <w:color w:val="000000" w:themeColor="text1"/>
              </w:rPr>
              <w:t>în</w:t>
            </w:r>
            <w:r w:rsidRPr="00C56257">
              <w:rPr>
                <w:color w:val="000000" w:themeColor="text1"/>
                <w:spacing w:val="-1"/>
              </w:rPr>
              <w:t xml:space="preserve"> </w:t>
            </w:r>
            <w:r w:rsidRPr="00C56257">
              <w:rPr>
                <w:color w:val="000000" w:themeColor="text1"/>
              </w:rPr>
              <w:t>afara acestora</w:t>
            </w:r>
            <w:r w:rsidRPr="00C56257">
              <w:rPr>
                <w:color w:val="000000" w:themeColor="text1"/>
                <w:spacing w:val="-2"/>
              </w:rPr>
              <w:t xml:space="preserve"> </w:t>
            </w:r>
            <w:r w:rsidRPr="00C56257">
              <w:rPr>
                <w:color w:val="000000" w:themeColor="text1"/>
              </w:rPr>
              <w:t>în</w:t>
            </w:r>
          </w:p>
          <w:p w14:paraId="118D708B" w14:textId="77777777" w:rsidR="007D2E1E" w:rsidRPr="00C56257" w:rsidRDefault="007D2E1E" w:rsidP="008E33FD">
            <w:pPr>
              <w:widowControl w:val="0"/>
              <w:autoSpaceDE w:val="0"/>
              <w:autoSpaceDN w:val="0"/>
              <w:spacing w:line="252" w:lineRule="exact"/>
              <w:ind w:right="567"/>
              <w:jc w:val="both"/>
              <w:rPr>
                <w:color w:val="000000" w:themeColor="text1"/>
              </w:rPr>
            </w:pPr>
            <w:r w:rsidRPr="00C56257">
              <w:rPr>
                <w:color w:val="000000" w:themeColor="text1"/>
              </w:rPr>
              <w:t>situația prezenței</w:t>
            </w:r>
            <w:r w:rsidRPr="00C56257">
              <w:rPr>
                <w:color w:val="000000" w:themeColor="text1"/>
                <w:spacing w:val="-52"/>
              </w:rPr>
              <w:t xml:space="preserve"> </w:t>
            </w:r>
            <w:r w:rsidRPr="00C56257">
              <w:rPr>
                <w:color w:val="000000" w:themeColor="text1"/>
              </w:rPr>
              <w:t>habitatului.</w:t>
            </w:r>
          </w:p>
        </w:tc>
      </w:tr>
    </w:tbl>
    <w:p w14:paraId="35B98B06" w14:textId="77777777" w:rsidR="007D2E1E" w:rsidRPr="00C56257" w:rsidRDefault="007D2E1E" w:rsidP="008E33FD">
      <w:pPr>
        <w:spacing w:after="160" w:line="259" w:lineRule="auto"/>
        <w:jc w:val="both"/>
        <w:rPr>
          <w:bCs/>
          <w:color w:val="000000" w:themeColor="text1"/>
        </w:rPr>
      </w:pPr>
    </w:p>
    <w:p w14:paraId="2A173D39" w14:textId="77777777" w:rsidR="00C263E5" w:rsidRPr="00C56257" w:rsidRDefault="00C263E5" w:rsidP="008E33FD">
      <w:pPr>
        <w:spacing w:after="160" w:line="259" w:lineRule="auto"/>
        <w:jc w:val="both"/>
        <w:rPr>
          <w:bCs/>
          <w:color w:val="000000" w:themeColor="text1"/>
        </w:rPr>
        <w:sectPr w:rsidR="00C263E5" w:rsidRPr="00C56257" w:rsidSect="00E1608A">
          <w:pgSz w:w="16840" w:h="11910" w:orient="landscape"/>
          <w:pgMar w:top="1066" w:right="1411" w:bottom="245" w:left="1598" w:header="0" w:footer="1412" w:gutter="0"/>
          <w:cols w:space="708"/>
          <w:docGrid w:linePitch="326"/>
        </w:sectPr>
      </w:pPr>
    </w:p>
    <w:p w14:paraId="58947797" w14:textId="77777777" w:rsidR="005D50D2" w:rsidRDefault="0004515E" w:rsidP="00D05830">
      <w:pPr>
        <w:spacing w:after="160" w:line="259" w:lineRule="auto"/>
        <w:ind w:right="69"/>
        <w:jc w:val="both"/>
        <w:rPr>
          <w:b/>
          <w:bCs/>
          <w:color w:val="000000" w:themeColor="text1"/>
        </w:rPr>
      </w:pPr>
      <w:r>
        <w:rPr>
          <w:b/>
          <w:bCs/>
          <w:color w:val="000000" w:themeColor="text1"/>
        </w:rPr>
        <w:lastRenderedPageBreak/>
        <w:t xml:space="preserve">4.2 Metodologiile de monitorizare a stării de </w:t>
      </w:r>
      <w:r w:rsidR="00910E00">
        <w:rPr>
          <w:b/>
          <w:bCs/>
          <w:color w:val="000000" w:themeColor="text1"/>
        </w:rPr>
        <w:t xml:space="preserve">conservare a habitatelor de apă </w:t>
      </w:r>
      <w:r>
        <w:rPr>
          <w:b/>
          <w:bCs/>
          <w:color w:val="000000" w:themeColor="text1"/>
        </w:rPr>
        <w:t>dulce</w:t>
      </w:r>
    </w:p>
    <w:p w14:paraId="52BCCB6C" w14:textId="77777777" w:rsidR="00814C24" w:rsidRDefault="00814C24" w:rsidP="00814C24">
      <w:pPr>
        <w:spacing w:after="160" w:line="259" w:lineRule="auto"/>
        <w:ind w:right="69"/>
        <w:jc w:val="both"/>
        <w:rPr>
          <w:color w:val="000000" w:themeColor="text1"/>
        </w:rPr>
      </w:pPr>
      <w:r w:rsidRPr="00814C24">
        <w:rPr>
          <w:color w:val="000000" w:themeColor="text1"/>
        </w:rPr>
        <w:t xml:space="preserve">Metodologia și planul de monitorizare pentru colectarea datelor din teren </w:t>
      </w:r>
      <w:r>
        <w:rPr>
          <w:color w:val="000000" w:themeColor="text1"/>
        </w:rPr>
        <w:t xml:space="preserve">și evaluarea stării de conservare </w:t>
      </w:r>
      <w:r w:rsidR="00896C2C">
        <w:rPr>
          <w:color w:val="000000" w:themeColor="text1"/>
        </w:rPr>
        <w:t>sunt descrise la pct 2.2 p</w:t>
      </w:r>
      <w:r w:rsidRPr="00814C24">
        <w:rPr>
          <w:color w:val="000000" w:themeColor="text1"/>
        </w:rPr>
        <w:t>entru grupele de habitate: sărături, dune continentale, apă dulce, pajiști, mlaștini și turbării, grohotișuri și stâncării.</w:t>
      </w:r>
    </w:p>
    <w:p w14:paraId="2FD4D9D5" w14:textId="77777777" w:rsidR="0092497B" w:rsidRDefault="0092497B" w:rsidP="00814C24">
      <w:pPr>
        <w:spacing w:after="160" w:line="259" w:lineRule="auto"/>
        <w:ind w:right="69"/>
        <w:jc w:val="both"/>
        <w:rPr>
          <w:color w:val="000000" w:themeColor="text1"/>
        </w:rPr>
      </w:pPr>
    </w:p>
    <w:p w14:paraId="13B593ED" w14:textId="77777777" w:rsidR="00BC5806" w:rsidRPr="00C56257" w:rsidRDefault="008470D7" w:rsidP="008E33FD">
      <w:pPr>
        <w:spacing w:after="160" w:line="259" w:lineRule="auto"/>
        <w:jc w:val="both"/>
        <w:rPr>
          <w:b/>
          <w:bCs/>
          <w:color w:val="000000" w:themeColor="text1"/>
        </w:rPr>
      </w:pPr>
      <w:r>
        <w:rPr>
          <w:b/>
          <w:bCs/>
          <w:color w:val="000000" w:themeColor="text1"/>
        </w:rPr>
        <w:t>4.3</w:t>
      </w:r>
      <w:r w:rsidR="00BC5806" w:rsidRPr="00C56257">
        <w:rPr>
          <w:b/>
          <w:bCs/>
          <w:color w:val="000000" w:themeColor="text1"/>
        </w:rPr>
        <w:t xml:space="preserve"> Lista cu </w:t>
      </w:r>
      <w:r w:rsidR="009C3F22" w:rsidRPr="00C56257">
        <w:rPr>
          <w:b/>
          <w:bCs/>
          <w:color w:val="000000" w:themeColor="text1"/>
        </w:rPr>
        <w:t>siturile de importanță c</w:t>
      </w:r>
      <w:r w:rsidR="00BC5806" w:rsidRPr="00C56257">
        <w:rPr>
          <w:b/>
          <w:bCs/>
          <w:color w:val="000000" w:themeColor="text1"/>
        </w:rPr>
        <w:t>omunitară pentru habitatele de apă dulce</w:t>
      </w:r>
    </w:p>
    <w:tbl>
      <w:tblPr>
        <w:tblW w:w="9899" w:type="dxa"/>
        <w:tblInd w:w="-10" w:type="dxa"/>
        <w:tblLook w:val="04A0" w:firstRow="1" w:lastRow="0" w:firstColumn="1" w:lastColumn="0" w:noHBand="0" w:noVBand="1"/>
      </w:tblPr>
      <w:tblGrid>
        <w:gridCol w:w="4229"/>
        <w:gridCol w:w="1701"/>
        <w:gridCol w:w="3969"/>
      </w:tblGrid>
      <w:tr w:rsidR="00BC5806" w:rsidRPr="00C56257" w14:paraId="3EDD136C" w14:textId="77777777" w:rsidTr="00577613">
        <w:trPr>
          <w:trHeight w:val="300"/>
        </w:trPr>
        <w:tc>
          <w:tcPr>
            <w:tcW w:w="422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7F8B2E1" w14:textId="77777777" w:rsidR="00BC5806" w:rsidRPr="00D810D6" w:rsidRDefault="00BC5806" w:rsidP="008E33FD">
            <w:pPr>
              <w:jc w:val="both"/>
              <w:rPr>
                <w:b/>
                <w:bCs/>
                <w:color w:val="000000" w:themeColor="text1"/>
                <w:lang w:eastAsia="ro-RO"/>
              </w:rPr>
            </w:pPr>
            <w:r w:rsidRPr="00D810D6">
              <w:rPr>
                <w:b/>
                <w:bCs/>
                <w:color w:val="000000" w:themeColor="text1"/>
                <w:lang w:eastAsia="ro-RO"/>
              </w:rPr>
              <w:t>Tip habitat Natura 2000</w:t>
            </w:r>
          </w:p>
        </w:tc>
        <w:tc>
          <w:tcPr>
            <w:tcW w:w="1701" w:type="dxa"/>
            <w:tcBorders>
              <w:top w:val="single" w:sz="8" w:space="0" w:color="000000"/>
              <w:left w:val="nil"/>
              <w:bottom w:val="single" w:sz="8" w:space="0" w:color="000000"/>
              <w:right w:val="single" w:sz="8" w:space="0" w:color="000000"/>
            </w:tcBorders>
            <w:shd w:val="clear" w:color="auto" w:fill="auto"/>
            <w:vAlign w:val="center"/>
          </w:tcPr>
          <w:p w14:paraId="5AF33C07" w14:textId="77777777" w:rsidR="00BC5806" w:rsidRPr="00F43752" w:rsidRDefault="00701FA2" w:rsidP="008E33FD">
            <w:pPr>
              <w:jc w:val="both"/>
              <w:rPr>
                <w:b/>
                <w:bCs/>
                <w:color w:val="000000" w:themeColor="text1"/>
                <w:sz w:val="22"/>
                <w:szCs w:val="22"/>
                <w:lang w:eastAsia="ro-RO"/>
              </w:rPr>
            </w:pPr>
            <w:r w:rsidRPr="00F43752">
              <w:rPr>
                <w:b/>
                <w:bCs/>
                <w:color w:val="000000" w:themeColor="text1"/>
                <w:sz w:val="22"/>
                <w:szCs w:val="22"/>
                <w:lang w:eastAsia="ro-RO"/>
              </w:rPr>
              <w:t xml:space="preserve">Cod </w:t>
            </w:r>
            <w:r w:rsidR="00BC5806" w:rsidRPr="00F43752">
              <w:rPr>
                <w:b/>
                <w:bCs/>
                <w:color w:val="000000" w:themeColor="text1"/>
                <w:sz w:val="22"/>
                <w:szCs w:val="22"/>
                <w:lang w:eastAsia="ro-RO"/>
              </w:rPr>
              <w:t>Sit Natura 2000</w:t>
            </w:r>
          </w:p>
        </w:tc>
        <w:tc>
          <w:tcPr>
            <w:tcW w:w="3969" w:type="dxa"/>
            <w:tcBorders>
              <w:top w:val="single" w:sz="8" w:space="0" w:color="000000"/>
              <w:left w:val="nil"/>
              <w:bottom w:val="single" w:sz="8" w:space="0" w:color="000000"/>
              <w:right w:val="single" w:sz="8" w:space="0" w:color="000000"/>
            </w:tcBorders>
            <w:shd w:val="clear" w:color="auto" w:fill="auto"/>
            <w:vAlign w:val="center"/>
          </w:tcPr>
          <w:p w14:paraId="4052ADA9" w14:textId="77777777" w:rsidR="00BC5806" w:rsidRPr="00F43752" w:rsidRDefault="00701FA2" w:rsidP="008E33FD">
            <w:pPr>
              <w:jc w:val="both"/>
              <w:rPr>
                <w:b/>
                <w:bCs/>
                <w:color w:val="000000" w:themeColor="text1"/>
                <w:sz w:val="22"/>
                <w:szCs w:val="22"/>
                <w:lang w:eastAsia="ro-RO"/>
              </w:rPr>
            </w:pPr>
            <w:r w:rsidRPr="00F43752">
              <w:rPr>
                <w:b/>
                <w:bCs/>
                <w:color w:val="000000" w:themeColor="text1"/>
                <w:sz w:val="22"/>
                <w:szCs w:val="22"/>
                <w:lang w:eastAsia="ro-RO"/>
              </w:rPr>
              <w:t>Nume Sit Natura 2000</w:t>
            </w:r>
          </w:p>
        </w:tc>
      </w:tr>
      <w:tr w:rsidR="008F5DD0" w:rsidRPr="00C56257" w14:paraId="745C9AA0" w14:textId="77777777" w:rsidTr="00577613">
        <w:trPr>
          <w:trHeight w:val="300"/>
        </w:trPr>
        <w:tc>
          <w:tcPr>
            <w:tcW w:w="4229" w:type="dxa"/>
            <w:vMerge w:val="restart"/>
            <w:tcBorders>
              <w:top w:val="nil"/>
              <w:left w:val="single" w:sz="8" w:space="0" w:color="000000"/>
              <w:bottom w:val="single" w:sz="8" w:space="0" w:color="000000"/>
              <w:right w:val="single" w:sz="8" w:space="0" w:color="000000"/>
            </w:tcBorders>
            <w:shd w:val="clear" w:color="auto" w:fill="auto"/>
          </w:tcPr>
          <w:p w14:paraId="423EE6B5" w14:textId="77777777" w:rsidR="008F5DD0" w:rsidRPr="00D810D6" w:rsidRDefault="008F5DD0" w:rsidP="001C3A40">
            <w:pPr>
              <w:rPr>
                <w:bCs/>
                <w:color w:val="000000" w:themeColor="text1"/>
                <w:lang w:eastAsia="ro-RO"/>
              </w:rPr>
            </w:pPr>
            <w:r w:rsidRPr="00D810D6">
              <w:rPr>
                <w:bCs/>
                <w:color w:val="000000" w:themeColor="text1"/>
                <w:lang w:eastAsia="ro-RO"/>
              </w:rPr>
              <w:t xml:space="preserve"> 3130 - </w:t>
            </w:r>
            <w:r w:rsidRPr="00D810D6">
              <w:rPr>
                <w:color w:val="000000" w:themeColor="text1"/>
                <w:lang w:eastAsia="ro-RO"/>
              </w:rPr>
              <w:t>Ape stătătoare oligotrofice până la mezotrofice cu vegetaţia din Littorelletea uniflorae şi/sau Isoeto-Nanojuncetea</w:t>
            </w:r>
          </w:p>
        </w:tc>
        <w:tc>
          <w:tcPr>
            <w:tcW w:w="1701" w:type="dxa"/>
            <w:tcBorders>
              <w:top w:val="nil"/>
              <w:left w:val="nil"/>
              <w:bottom w:val="single" w:sz="8" w:space="0" w:color="000000"/>
              <w:right w:val="single" w:sz="8" w:space="0" w:color="000000"/>
            </w:tcBorders>
            <w:shd w:val="clear" w:color="auto" w:fill="auto"/>
          </w:tcPr>
          <w:p w14:paraId="02258ABE" w14:textId="77777777" w:rsidR="008F5DD0" w:rsidRPr="00F43752" w:rsidRDefault="008F5DD0" w:rsidP="00577613">
            <w:pPr>
              <w:rPr>
                <w:color w:val="000000" w:themeColor="text1"/>
                <w:sz w:val="22"/>
                <w:szCs w:val="22"/>
                <w:lang w:eastAsia="ro-RO"/>
              </w:rPr>
            </w:pPr>
            <w:r w:rsidRPr="00F43752">
              <w:rPr>
                <w:color w:val="000000"/>
                <w:sz w:val="22"/>
                <w:szCs w:val="22"/>
              </w:rPr>
              <w:t>ROSCI0006</w:t>
            </w:r>
          </w:p>
        </w:tc>
        <w:tc>
          <w:tcPr>
            <w:tcW w:w="3969" w:type="dxa"/>
            <w:tcBorders>
              <w:top w:val="nil"/>
              <w:left w:val="nil"/>
              <w:bottom w:val="single" w:sz="8" w:space="0" w:color="000000"/>
              <w:right w:val="single" w:sz="8" w:space="0" w:color="000000"/>
            </w:tcBorders>
            <w:shd w:val="clear" w:color="auto" w:fill="auto"/>
          </w:tcPr>
          <w:p w14:paraId="75485E75" w14:textId="77777777" w:rsidR="008F5DD0" w:rsidRPr="00F43752" w:rsidRDefault="008F5DD0" w:rsidP="00577613">
            <w:pPr>
              <w:rPr>
                <w:color w:val="000000" w:themeColor="text1"/>
                <w:sz w:val="22"/>
                <w:szCs w:val="22"/>
                <w:lang w:eastAsia="ro-RO"/>
              </w:rPr>
            </w:pPr>
            <w:r w:rsidRPr="00F43752">
              <w:rPr>
                <w:color w:val="000000"/>
                <w:sz w:val="22"/>
                <w:szCs w:val="22"/>
              </w:rPr>
              <w:t>Balta Mică a Brăilei</w:t>
            </w:r>
          </w:p>
        </w:tc>
      </w:tr>
      <w:tr w:rsidR="008F5DD0" w:rsidRPr="00C56257" w14:paraId="05D2E4B8" w14:textId="77777777" w:rsidTr="00577613">
        <w:trPr>
          <w:trHeight w:val="300"/>
        </w:trPr>
        <w:tc>
          <w:tcPr>
            <w:tcW w:w="4229" w:type="dxa"/>
            <w:vMerge/>
            <w:tcBorders>
              <w:top w:val="nil"/>
              <w:left w:val="single" w:sz="8" w:space="0" w:color="000000"/>
              <w:bottom w:val="single" w:sz="8" w:space="0" w:color="000000"/>
              <w:right w:val="single" w:sz="8" w:space="0" w:color="000000"/>
            </w:tcBorders>
            <w:vAlign w:val="center"/>
          </w:tcPr>
          <w:p w14:paraId="1FA4E117" w14:textId="77777777" w:rsidR="008F5DD0" w:rsidRPr="00D810D6" w:rsidRDefault="008F5DD0" w:rsidP="008E33FD">
            <w:pPr>
              <w:jc w:val="both"/>
              <w:rPr>
                <w:bCs/>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135BF7AA" w14:textId="77777777" w:rsidR="008F5DD0" w:rsidRPr="00F43752" w:rsidRDefault="008F5DD0" w:rsidP="00577613">
            <w:pPr>
              <w:rPr>
                <w:color w:val="000000" w:themeColor="text1"/>
                <w:sz w:val="22"/>
                <w:szCs w:val="22"/>
                <w:lang w:eastAsia="ro-RO"/>
              </w:rPr>
            </w:pPr>
            <w:r w:rsidRPr="00F43752">
              <w:rPr>
                <w:color w:val="000000"/>
                <w:sz w:val="22"/>
                <w:szCs w:val="22"/>
              </w:rPr>
              <w:t>ROSCI0012</w:t>
            </w:r>
          </w:p>
        </w:tc>
        <w:tc>
          <w:tcPr>
            <w:tcW w:w="3969" w:type="dxa"/>
            <w:tcBorders>
              <w:top w:val="nil"/>
              <w:left w:val="nil"/>
              <w:bottom w:val="single" w:sz="8" w:space="0" w:color="000000"/>
              <w:right w:val="single" w:sz="8" w:space="0" w:color="000000"/>
            </w:tcBorders>
            <w:shd w:val="clear" w:color="auto" w:fill="auto"/>
          </w:tcPr>
          <w:p w14:paraId="4A38F319" w14:textId="77777777" w:rsidR="008F5DD0" w:rsidRPr="00F43752" w:rsidRDefault="008F5DD0" w:rsidP="00577613">
            <w:pPr>
              <w:rPr>
                <w:color w:val="000000" w:themeColor="text1"/>
                <w:sz w:val="22"/>
                <w:szCs w:val="22"/>
                <w:lang w:eastAsia="ro-RO"/>
              </w:rPr>
            </w:pPr>
            <w:r w:rsidRPr="00F43752">
              <w:rPr>
                <w:color w:val="000000"/>
                <w:sz w:val="22"/>
                <w:szCs w:val="22"/>
              </w:rPr>
              <w:t>Brațul Măcin</w:t>
            </w:r>
          </w:p>
        </w:tc>
      </w:tr>
      <w:tr w:rsidR="008F5DD0" w:rsidRPr="00C56257" w14:paraId="754AE9FC" w14:textId="77777777" w:rsidTr="00577613">
        <w:trPr>
          <w:trHeight w:val="300"/>
        </w:trPr>
        <w:tc>
          <w:tcPr>
            <w:tcW w:w="4229" w:type="dxa"/>
            <w:vMerge/>
            <w:tcBorders>
              <w:top w:val="nil"/>
              <w:left w:val="single" w:sz="8" w:space="0" w:color="000000"/>
              <w:bottom w:val="single" w:sz="8" w:space="0" w:color="000000"/>
              <w:right w:val="single" w:sz="8" w:space="0" w:color="000000"/>
            </w:tcBorders>
            <w:vAlign w:val="center"/>
          </w:tcPr>
          <w:p w14:paraId="069D2A22" w14:textId="77777777" w:rsidR="008F5DD0" w:rsidRPr="00D810D6" w:rsidRDefault="008F5DD0" w:rsidP="008E33FD">
            <w:pPr>
              <w:jc w:val="both"/>
              <w:rPr>
                <w:bCs/>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5666122C" w14:textId="77777777" w:rsidR="008F5DD0" w:rsidRPr="00F43752" w:rsidRDefault="008F5DD0" w:rsidP="00577613">
            <w:pPr>
              <w:rPr>
                <w:color w:val="000000" w:themeColor="text1"/>
                <w:sz w:val="22"/>
                <w:szCs w:val="22"/>
                <w:lang w:eastAsia="ro-RO"/>
              </w:rPr>
            </w:pPr>
            <w:r w:rsidRPr="00F43752">
              <w:rPr>
                <w:color w:val="000000"/>
                <w:sz w:val="22"/>
                <w:szCs w:val="22"/>
              </w:rPr>
              <w:t>ROSCI0021</w:t>
            </w:r>
          </w:p>
        </w:tc>
        <w:tc>
          <w:tcPr>
            <w:tcW w:w="3969" w:type="dxa"/>
            <w:tcBorders>
              <w:top w:val="nil"/>
              <w:left w:val="nil"/>
              <w:bottom w:val="single" w:sz="8" w:space="0" w:color="000000"/>
              <w:right w:val="single" w:sz="8" w:space="0" w:color="000000"/>
            </w:tcBorders>
            <w:shd w:val="clear" w:color="auto" w:fill="auto"/>
          </w:tcPr>
          <w:p w14:paraId="24D40830" w14:textId="77777777" w:rsidR="008F5DD0" w:rsidRPr="00F43752" w:rsidRDefault="008F5DD0" w:rsidP="00577613">
            <w:pPr>
              <w:rPr>
                <w:color w:val="000000" w:themeColor="text1"/>
                <w:sz w:val="22"/>
                <w:szCs w:val="22"/>
                <w:lang w:eastAsia="ro-RO"/>
              </w:rPr>
            </w:pPr>
            <w:r w:rsidRPr="00F43752">
              <w:rPr>
                <w:color w:val="000000"/>
                <w:sz w:val="22"/>
                <w:szCs w:val="22"/>
              </w:rPr>
              <w:t>Câmpia Ierului</w:t>
            </w:r>
          </w:p>
        </w:tc>
      </w:tr>
      <w:tr w:rsidR="008F5DD0" w:rsidRPr="00C56257" w14:paraId="656AFEB0" w14:textId="77777777" w:rsidTr="00577613">
        <w:trPr>
          <w:trHeight w:val="300"/>
        </w:trPr>
        <w:tc>
          <w:tcPr>
            <w:tcW w:w="4229" w:type="dxa"/>
            <w:vMerge/>
            <w:tcBorders>
              <w:top w:val="nil"/>
              <w:left w:val="single" w:sz="8" w:space="0" w:color="000000"/>
              <w:bottom w:val="single" w:sz="8" w:space="0" w:color="000000"/>
              <w:right w:val="single" w:sz="8" w:space="0" w:color="000000"/>
            </w:tcBorders>
            <w:vAlign w:val="center"/>
          </w:tcPr>
          <w:p w14:paraId="55FF4C80" w14:textId="77777777" w:rsidR="008F5DD0" w:rsidRPr="00D810D6" w:rsidRDefault="008F5DD0" w:rsidP="008E33FD">
            <w:pPr>
              <w:jc w:val="both"/>
              <w:rPr>
                <w:bCs/>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3E26B054" w14:textId="77777777" w:rsidR="008F5DD0" w:rsidRPr="00F43752" w:rsidRDefault="008F5DD0" w:rsidP="00577613">
            <w:pPr>
              <w:rPr>
                <w:color w:val="000000" w:themeColor="text1"/>
                <w:sz w:val="22"/>
                <w:szCs w:val="22"/>
                <w:lang w:eastAsia="ro-RO"/>
              </w:rPr>
            </w:pPr>
            <w:r w:rsidRPr="00F43752">
              <w:rPr>
                <w:color w:val="000000"/>
                <w:sz w:val="22"/>
                <w:szCs w:val="22"/>
              </w:rPr>
              <w:t>ROSCI0022</w:t>
            </w:r>
          </w:p>
        </w:tc>
        <w:tc>
          <w:tcPr>
            <w:tcW w:w="3969" w:type="dxa"/>
            <w:tcBorders>
              <w:top w:val="nil"/>
              <w:left w:val="nil"/>
              <w:bottom w:val="single" w:sz="8" w:space="0" w:color="000000"/>
              <w:right w:val="single" w:sz="8" w:space="0" w:color="000000"/>
            </w:tcBorders>
            <w:shd w:val="clear" w:color="auto" w:fill="auto"/>
          </w:tcPr>
          <w:p w14:paraId="6D475A95" w14:textId="77777777" w:rsidR="008F5DD0" w:rsidRPr="00F43752" w:rsidRDefault="008F5DD0" w:rsidP="00577613">
            <w:pPr>
              <w:rPr>
                <w:color w:val="000000" w:themeColor="text1"/>
                <w:sz w:val="22"/>
                <w:szCs w:val="22"/>
                <w:lang w:eastAsia="ro-RO"/>
              </w:rPr>
            </w:pPr>
            <w:r w:rsidRPr="00F43752">
              <w:rPr>
                <w:color w:val="000000"/>
                <w:sz w:val="22"/>
                <w:szCs w:val="22"/>
              </w:rPr>
              <w:t>Canaralele Dunării</w:t>
            </w:r>
          </w:p>
        </w:tc>
      </w:tr>
      <w:tr w:rsidR="008F5DD0" w:rsidRPr="00C56257" w14:paraId="48972DBB" w14:textId="77777777" w:rsidTr="00577613">
        <w:trPr>
          <w:trHeight w:val="300"/>
        </w:trPr>
        <w:tc>
          <w:tcPr>
            <w:tcW w:w="4229" w:type="dxa"/>
            <w:vMerge/>
            <w:tcBorders>
              <w:top w:val="nil"/>
              <w:left w:val="single" w:sz="8" w:space="0" w:color="000000"/>
              <w:bottom w:val="single" w:sz="8" w:space="0" w:color="000000"/>
              <w:right w:val="single" w:sz="8" w:space="0" w:color="000000"/>
            </w:tcBorders>
            <w:vAlign w:val="center"/>
          </w:tcPr>
          <w:p w14:paraId="54B989D1" w14:textId="77777777" w:rsidR="008F5DD0" w:rsidRPr="00D810D6" w:rsidRDefault="008F5DD0" w:rsidP="008E33FD">
            <w:pPr>
              <w:jc w:val="both"/>
              <w:rPr>
                <w:bCs/>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6CE8F5A2" w14:textId="77777777" w:rsidR="008F5DD0" w:rsidRPr="00F43752" w:rsidRDefault="00370386" w:rsidP="00577613">
            <w:pPr>
              <w:rPr>
                <w:color w:val="000000" w:themeColor="text1"/>
                <w:sz w:val="22"/>
                <w:szCs w:val="22"/>
                <w:lang w:eastAsia="ro-RO"/>
              </w:rPr>
            </w:pPr>
            <w:r>
              <w:rPr>
                <w:color w:val="000000"/>
                <w:sz w:val="22"/>
                <w:szCs w:val="22"/>
              </w:rPr>
              <w:t>ROSAC</w:t>
            </w:r>
            <w:r w:rsidR="008F5DD0" w:rsidRPr="00F43752">
              <w:rPr>
                <w:color w:val="000000"/>
                <w:sz w:val="22"/>
                <w:szCs w:val="22"/>
              </w:rPr>
              <w:t>0039</w:t>
            </w:r>
          </w:p>
        </w:tc>
        <w:tc>
          <w:tcPr>
            <w:tcW w:w="3969" w:type="dxa"/>
            <w:tcBorders>
              <w:top w:val="nil"/>
              <w:left w:val="nil"/>
              <w:bottom w:val="single" w:sz="8" w:space="0" w:color="000000"/>
              <w:right w:val="single" w:sz="8" w:space="0" w:color="000000"/>
            </w:tcBorders>
            <w:shd w:val="clear" w:color="auto" w:fill="auto"/>
          </w:tcPr>
          <w:p w14:paraId="40243878" w14:textId="77777777" w:rsidR="008F5DD0" w:rsidRPr="00F43752" w:rsidRDefault="008F5DD0" w:rsidP="00577613">
            <w:pPr>
              <w:rPr>
                <w:color w:val="000000" w:themeColor="text1"/>
                <w:sz w:val="22"/>
                <w:szCs w:val="22"/>
                <w:lang w:eastAsia="ro-RO"/>
              </w:rPr>
            </w:pPr>
            <w:r w:rsidRPr="00F43752">
              <w:rPr>
                <w:color w:val="000000"/>
                <w:sz w:val="22"/>
                <w:szCs w:val="22"/>
              </w:rPr>
              <w:t>Ciuperceni - Desa</w:t>
            </w:r>
          </w:p>
        </w:tc>
      </w:tr>
      <w:tr w:rsidR="008F5DD0" w:rsidRPr="00C56257" w14:paraId="1EEB6CCC" w14:textId="77777777" w:rsidTr="00577613">
        <w:trPr>
          <w:trHeight w:val="300"/>
        </w:trPr>
        <w:tc>
          <w:tcPr>
            <w:tcW w:w="4229" w:type="dxa"/>
            <w:vMerge/>
            <w:tcBorders>
              <w:top w:val="nil"/>
              <w:left w:val="single" w:sz="8" w:space="0" w:color="000000"/>
              <w:bottom w:val="single" w:sz="8" w:space="0" w:color="000000"/>
              <w:right w:val="single" w:sz="8" w:space="0" w:color="000000"/>
            </w:tcBorders>
            <w:vAlign w:val="center"/>
          </w:tcPr>
          <w:p w14:paraId="6AC24C7A" w14:textId="77777777" w:rsidR="008F5DD0" w:rsidRPr="00D810D6" w:rsidRDefault="008F5DD0" w:rsidP="008E33FD">
            <w:pPr>
              <w:jc w:val="both"/>
              <w:rPr>
                <w:bCs/>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3AFCD397" w14:textId="77777777" w:rsidR="008F5DD0" w:rsidRPr="00F43752" w:rsidRDefault="008F5DD0" w:rsidP="00577613">
            <w:pPr>
              <w:rPr>
                <w:color w:val="000000" w:themeColor="text1"/>
                <w:sz w:val="22"/>
                <w:szCs w:val="22"/>
                <w:lang w:eastAsia="ro-RO"/>
              </w:rPr>
            </w:pPr>
            <w:r w:rsidRPr="00F43752">
              <w:rPr>
                <w:color w:val="000000"/>
                <w:sz w:val="22"/>
                <w:szCs w:val="22"/>
              </w:rPr>
              <w:t>ROSCI0043</w:t>
            </w:r>
          </w:p>
        </w:tc>
        <w:tc>
          <w:tcPr>
            <w:tcW w:w="3969" w:type="dxa"/>
            <w:tcBorders>
              <w:top w:val="nil"/>
              <w:left w:val="nil"/>
              <w:bottom w:val="single" w:sz="8" w:space="0" w:color="000000"/>
              <w:right w:val="single" w:sz="8" w:space="0" w:color="000000"/>
            </w:tcBorders>
            <w:shd w:val="clear" w:color="auto" w:fill="auto"/>
          </w:tcPr>
          <w:p w14:paraId="104E1795" w14:textId="77777777" w:rsidR="008F5DD0" w:rsidRPr="00F43752" w:rsidRDefault="008F5DD0" w:rsidP="00577613">
            <w:pPr>
              <w:rPr>
                <w:color w:val="000000" w:themeColor="text1"/>
                <w:sz w:val="22"/>
                <w:szCs w:val="22"/>
                <w:lang w:eastAsia="ro-RO"/>
              </w:rPr>
            </w:pPr>
            <w:r w:rsidRPr="00F43752">
              <w:rPr>
                <w:color w:val="000000"/>
                <w:sz w:val="22"/>
                <w:szCs w:val="22"/>
              </w:rPr>
              <w:t>Comana</w:t>
            </w:r>
          </w:p>
        </w:tc>
      </w:tr>
      <w:tr w:rsidR="008F5DD0" w:rsidRPr="00C56257" w14:paraId="417E966D" w14:textId="77777777" w:rsidTr="00577613">
        <w:trPr>
          <w:trHeight w:val="300"/>
        </w:trPr>
        <w:tc>
          <w:tcPr>
            <w:tcW w:w="4229" w:type="dxa"/>
            <w:vMerge/>
            <w:tcBorders>
              <w:top w:val="nil"/>
              <w:left w:val="single" w:sz="8" w:space="0" w:color="000000"/>
              <w:bottom w:val="single" w:sz="8" w:space="0" w:color="000000"/>
              <w:right w:val="single" w:sz="8" w:space="0" w:color="000000"/>
            </w:tcBorders>
            <w:vAlign w:val="center"/>
          </w:tcPr>
          <w:p w14:paraId="48B99464" w14:textId="77777777" w:rsidR="008F5DD0" w:rsidRPr="00D810D6" w:rsidRDefault="008F5DD0" w:rsidP="008E33FD">
            <w:pPr>
              <w:jc w:val="both"/>
              <w:rPr>
                <w:bCs/>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127EA8B5" w14:textId="77777777" w:rsidR="008F5DD0" w:rsidRPr="00F43752" w:rsidRDefault="00370386" w:rsidP="00577613">
            <w:pPr>
              <w:rPr>
                <w:color w:val="000000" w:themeColor="text1"/>
                <w:sz w:val="22"/>
                <w:szCs w:val="22"/>
                <w:lang w:eastAsia="ro-RO"/>
              </w:rPr>
            </w:pPr>
            <w:r>
              <w:rPr>
                <w:color w:val="000000"/>
                <w:sz w:val="22"/>
                <w:szCs w:val="22"/>
              </w:rPr>
              <w:t>ROSAC</w:t>
            </w:r>
            <w:r w:rsidR="008F5DD0" w:rsidRPr="00F43752">
              <w:rPr>
                <w:color w:val="000000"/>
                <w:sz w:val="22"/>
                <w:szCs w:val="22"/>
              </w:rPr>
              <w:t>0045</w:t>
            </w:r>
          </w:p>
        </w:tc>
        <w:tc>
          <w:tcPr>
            <w:tcW w:w="3969" w:type="dxa"/>
            <w:tcBorders>
              <w:top w:val="nil"/>
              <w:left w:val="nil"/>
              <w:bottom w:val="single" w:sz="8" w:space="0" w:color="000000"/>
              <w:right w:val="single" w:sz="8" w:space="0" w:color="000000"/>
            </w:tcBorders>
            <w:shd w:val="clear" w:color="auto" w:fill="auto"/>
          </w:tcPr>
          <w:p w14:paraId="201ADC35" w14:textId="77777777" w:rsidR="008F5DD0" w:rsidRPr="00F43752" w:rsidRDefault="008F5DD0" w:rsidP="00577613">
            <w:pPr>
              <w:rPr>
                <w:color w:val="000000" w:themeColor="text1"/>
                <w:sz w:val="22"/>
                <w:szCs w:val="22"/>
                <w:lang w:eastAsia="ro-RO"/>
              </w:rPr>
            </w:pPr>
            <w:r w:rsidRPr="00F43752">
              <w:rPr>
                <w:color w:val="000000"/>
                <w:sz w:val="22"/>
                <w:szCs w:val="22"/>
              </w:rPr>
              <w:t>Coridorul Jiului</w:t>
            </w:r>
          </w:p>
        </w:tc>
      </w:tr>
      <w:tr w:rsidR="008F5DD0" w:rsidRPr="00C56257" w14:paraId="7983A468" w14:textId="77777777" w:rsidTr="00577613">
        <w:trPr>
          <w:trHeight w:val="300"/>
        </w:trPr>
        <w:tc>
          <w:tcPr>
            <w:tcW w:w="4229" w:type="dxa"/>
            <w:vMerge/>
            <w:tcBorders>
              <w:top w:val="nil"/>
              <w:left w:val="single" w:sz="8" w:space="0" w:color="000000"/>
              <w:bottom w:val="single" w:sz="8" w:space="0" w:color="000000"/>
              <w:right w:val="single" w:sz="8" w:space="0" w:color="000000"/>
            </w:tcBorders>
            <w:vAlign w:val="center"/>
          </w:tcPr>
          <w:p w14:paraId="305D9DC7" w14:textId="77777777" w:rsidR="008F5DD0" w:rsidRPr="00D810D6" w:rsidRDefault="008F5DD0" w:rsidP="008E33FD">
            <w:pPr>
              <w:jc w:val="both"/>
              <w:rPr>
                <w:bCs/>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127AAE64" w14:textId="77777777" w:rsidR="008F5DD0" w:rsidRPr="00F43752" w:rsidRDefault="008F5DD0" w:rsidP="00577613">
            <w:pPr>
              <w:rPr>
                <w:color w:val="000000" w:themeColor="text1"/>
                <w:sz w:val="22"/>
                <w:szCs w:val="22"/>
                <w:lang w:eastAsia="ro-RO"/>
              </w:rPr>
            </w:pPr>
            <w:r w:rsidRPr="00F43752">
              <w:rPr>
                <w:color w:val="000000"/>
                <w:sz w:val="22"/>
                <w:szCs w:val="22"/>
              </w:rPr>
              <w:t>ROSCI0065</w:t>
            </w:r>
          </w:p>
        </w:tc>
        <w:tc>
          <w:tcPr>
            <w:tcW w:w="3969" w:type="dxa"/>
            <w:tcBorders>
              <w:top w:val="nil"/>
              <w:left w:val="nil"/>
              <w:bottom w:val="single" w:sz="8" w:space="0" w:color="000000"/>
              <w:right w:val="single" w:sz="8" w:space="0" w:color="000000"/>
            </w:tcBorders>
            <w:shd w:val="clear" w:color="auto" w:fill="auto"/>
          </w:tcPr>
          <w:p w14:paraId="0780F6AB" w14:textId="77777777" w:rsidR="008F5DD0" w:rsidRPr="00F43752" w:rsidRDefault="008F5DD0" w:rsidP="00577613">
            <w:pPr>
              <w:rPr>
                <w:color w:val="000000" w:themeColor="text1"/>
                <w:sz w:val="22"/>
                <w:szCs w:val="22"/>
                <w:lang w:eastAsia="ro-RO"/>
              </w:rPr>
            </w:pPr>
            <w:r w:rsidRPr="00F43752">
              <w:rPr>
                <w:color w:val="000000"/>
                <w:sz w:val="22"/>
                <w:szCs w:val="22"/>
              </w:rPr>
              <w:t>Delta Dunării</w:t>
            </w:r>
          </w:p>
        </w:tc>
      </w:tr>
      <w:tr w:rsidR="008F5DD0" w:rsidRPr="00C56257" w14:paraId="76E59E71" w14:textId="77777777" w:rsidTr="00577613">
        <w:trPr>
          <w:trHeight w:val="300"/>
        </w:trPr>
        <w:tc>
          <w:tcPr>
            <w:tcW w:w="4229" w:type="dxa"/>
            <w:vMerge/>
            <w:tcBorders>
              <w:top w:val="nil"/>
              <w:left w:val="single" w:sz="8" w:space="0" w:color="000000"/>
              <w:bottom w:val="single" w:sz="8" w:space="0" w:color="000000"/>
              <w:right w:val="single" w:sz="8" w:space="0" w:color="000000"/>
            </w:tcBorders>
            <w:vAlign w:val="center"/>
          </w:tcPr>
          <w:p w14:paraId="4A472304" w14:textId="77777777" w:rsidR="008F5DD0" w:rsidRPr="00D810D6" w:rsidRDefault="008F5DD0" w:rsidP="008E33FD">
            <w:pPr>
              <w:jc w:val="both"/>
              <w:rPr>
                <w:bCs/>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26172666" w14:textId="77777777" w:rsidR="008F5DD0" w:rsidRPr="00F43752" w:rsidRDefault="00370386" w:rsidP="00370386">
            <w:pPr>
              <w:rPr>
                <w:color w:val="000000" w:themeColor="text1"/>
                <w:sz w:val="22"/>
                <w:szCs w:val="22"/>
                <w:lang w:eastAsia="ro-RO"/>
              </w:rPr>
            </w:pPr>
            <w:r>
              <w:rPr>
                <w:color w:val="000000"/>
                <w:sz w:val="22"/>
                <w:szCs w:val="22"/>
              </w:rPr>
              <w:t>ROSAC</w:t>
            </w:r>
            <w:r w:rsidR="008F5DD0" w:rsidRPr="00F43752">
              <w:rPr>
                <w:color w:val="000000"/>
                <w:sz w:val="22"/>
                <w:szCs w:val="22"/>
              </w:rPr>
              <w:t>0103</w:t>
            </w:r>
          </w:p>
        </w:tc>
        <w:tc>
          <w:tcPr>
            <w:tcW w:w="3969" w:type="dxa"/>
            <w:tcBorders>
              <w:top w:val="nil"/>
              <w:left w:val="nil"/>
              <w:bottom w:val="single" w:sz="8" w:space="0" w:color="000000"/>
              <w:right w:val="single" w:sz="8" w:space="0" w:color="000000"/>
            </w:tcBorders>
            <w:shd w:val="clear" w:color="auto" w:fill="auto"/>
          </w:tcPr>
          <w:p w14:paraId="6128D7A4" w14:textId="77777777" w:rsidR="008F5DD0" w:rsidRPr="00F43752" w:rsidRDefault="008F5DD0" w:rsidP="00577613">
            <w:pPr>
              <w:rPr>
                <w:color w:val="000000" w:themeColor="text1"/>
                <w:sz w:val="22"/>
                <w:szCs w:val="22"/>
                <w:lang w:eastAsia="ro-RO"/>
              </w:rPr>
            </w:pPr>
            <w:r w:rsidRPr="00F43752">
              <w:rPr>
                <w:color w:val="000000"/>
                <w:sz w:val="22"/>
                <w:szCs w:val="22"/>
              </w:rPr>
              <w:t>Lunca Buzăului</w:t>
            </w:r>
          </w:p>
        </w:tc>
      </w:tr>
      <w:tr w:rsidR="008F5DD0" w:rsidRPr="00C56257" w14:paraId="73331189" w14:textId="77777777" w:rsidTr="00577613">
        <w:trPr>
          <w:trHeight w:val="300"/>
        </w:trPr>
        <w:tc>
          <w:tcPr>
            <w:tcW w:w="4229" w:type="dxa"/>
            <w:vMerge/>
            <w:tcBorders>
              <w:top w:val="nil"/>
              <w:left w:val="single" w:sz="8" w:space="0" w:color="000000"/>
              <w:bottom w:val="single" w:sz="8" w:space="0" w:color="000000"/>
              <w:right w:val="single" w:sz="8" w:space="0" w:color="000000"/>
            </w:tcBorders>
            <w:vAlign w:val="center"/>
          </w:tcPr>
          <w:p w14:paraId="61FC5C85" w14:textId="77777777" w:rsidR="008F5DD0" w:rsidRPr="00D810D6" w:rsidRDefault="008F5DD0" w:rsidP="008E33FD">
            <w:pPr>
              <w:jc w:val="both"/>
              <w:rPr>
                <w:bCs/>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297643BE" w14:textId="77777777" w:rsidR="008F5DD0" w:rsidRPr="00F43752" w:rsidRDefault="008F5DD0" w:rsidP="00577613">
            <w:pPr>
              <w:rPr>
                <w:color w:val="000000" w:themeColor="text1"/>
                <w:sz w:val="22"/>
                <w:szCs w:val="22"/>
                <w:lang w:eastAsia="ro-RO"/>
              </w:rPr>
            </w:pPr>
            <w:r w:rsidRPr="00F43752">
              <w:rPr>
                <w:color w:val="000000"/>
                <w:sz w:val="22"/>
                <w:szCs w:val="22"/>
              </w:rPr>
              <w:t>ROSCI0105</w:t>
            </w:r>
          </w:p>
        </w:tc>
        <w:tc>
          <w:tcPr>
            <w:tcW w:w="3969" w:type="dxa"/>
            <w:tcBorders>
              <w:top w:val="nil"/>
              <w:left w:val="nil"/>
              <w:bottom w:val="single" w:sz="8" w:space="0" w:color="000000"/>
              <w:right w:val="single" w:sz="8" w:space="0" w:color="000000"/>
            </w:tcBorders>
            <w:shd w:val="clear" w:color="auto" w:fill="auto"/>
          </w:tcPr>
          <w:p w14:paraId="3911994E" w14:textId="77777777" w:rsidR="008F5DD0" w:rsidRPr="00F43752" w:rsidRDefault="008F5DD0" w:rsidP="00577613">
            <w:pPr>
              <w:rPr>
                <w:color w:val="000000" w:themeColor="text1"/>
                <w:sz w:val="22"/>
                <w:szCs w:val="22"/>
                <w:lang w:eastAsia="ro-RO"/>
              </w:rPr>
            </w:pPr>
            <w:r w:rsidRPr="00F43752">
              <w:rPr>
                <w:color w:val="000000"/>
                <w:sz w:val="22"/>
                <w:szCs w:val="22"/>
              </w:rPr>
              <w:t>Lunca Joasă a Prutului</w:t>
            </w:r>
          </w:p>
        </w:tc>
      </w:tr>
      <w:tr w:rsidR="008F5DD0" w:rsidRPr="00C56257" w14:paraId="3C62C048" w14:textId="77777777" w:rsidTr="00577613">
        <w:trPr>
          <w:trHeight w:val="300"/>
        </w:trPr>
        <w:tc>
          <w:tcPr>
            <w:tcW w:w="4229" w:type="dxa"/>
            <w:vMerge/>
            <w:tcBorders>
              <w:top w:val="nil"/>
              <w:left w:val="single" w:sz="8" w:space="0" w:color="000000"/>
              <w:bottom w:val="single" w:sz="8" w:space="0" w:color="000000"/>
              <w:right w:val="single" w:sz="8" w:space="0" w:color="000000"/>
            </w:tcBorders>
            <w:vAlign w:val="center"/>
          </w:tcPr>
          <w:p w14:paraId="0934AA8F" w14:textId="77777777" w:rsidR="008F5DD0" w:rsidRPr="00D810D6" w:rsidRDefault="008F5DD0" w:rsidP="008E33FD">
            <w:pPr>
              <w:jc w:val="both"/>
              <w:rPr>
                <w:bCs/>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447FF81B" w14:textId="77777777" w:rsidR="008F5DD0" w:rsidRPr="00F43752" w:rsidRDefault="00370386" w:rsidP="00577613">
            <w:pPr>
              <w:rPr>
                <w:color w:val="000000" w:themeColor="text1"/>
                <w:sz w:val="22"/>
                <w:szCs w:val="22"/>
                <w:lang w:eastAsia="ro-RO"/>
              </w:rPr>
            </w:pPr>
            <w:r>
              <w:rPr>
                <w:color w:val="000000"/>
                <w:sz w:val="22"/>
                <w:szCs w:val="22"/>
              </w:rPr>
              <w:t>ROSAC</w:t>
            </w:r>
            <w:r w:rsidR="008F5DD0" w:rsidRPr="00F43752">
              <w:rPr>
                <w:color w:val="000000"/>
                <w:sz w:val="22"/>
                <w:szCs w:val="22"/>
              </w:rPr>
              <w:t>0108</w:t>
            </w:r>
          </w:p>
        </w:tc>
        <w:tc>
          <w:tcPr>
            <w:tcW w:w="3969" w:type="dxa"/>
            <w:tcBorders>
              <w:top w:val="nil"/>
              <w:left w:val="nil"/>
              <w:bottom w:val="single" w:sz="8" w:space="0" w:color="000000"/>
              <w:right w:val="single" w:sz="8" w:space="0" w:color="000000"/>
            </w:tcBorders>
            <w:shd w:val="clear" w:color="auto" w:fill="auto"/>
          </w:tcPr>
          <w:p w14:paraId="7C5DFA92" w14:textId="77777777" w:rsidR="008F5DD0" w:rsidRPr="00F43752" w:rsidRDefault="008F5DD0" w:rsidP="00577613">
            <w:pPr>
              <w:rPr>
                <w:color w:val="000000" w:themeColor="text1"/>
                <w:sz w:val="22"/>
                <w:szCs w:val="22"/>
                <w:lang w:eastAsia="ro-RO"/>
              </w:rPr>
            </w:pPr>
            <w:r w:rsidRPr="00F43752">
              <w:rPr>
                <w:color w:val="000000"/>
                <w:sz w:val="22"/>
                <w:szCs w:val="22"/>
              </w:rPr>
              <w:t>Lunca Mureșului Inferior</w:t>
            </w:r>
          </w:p>
        </w:tc>
      </w:tr>
      <w:tr w:rsidR="008F5DD0" w:rsidRPr="00C56257" w14:paraId="7E6548B9" w14:textId="77777777" w:rsidTr="00577613">
        <w:trPr>
          <w:trHeight w:val="300"/>
        </w:trPr>
        <w:tc>
          <w:tcPr>
            <w:tcW w:w="4229" w:type="dxa"/>
            <w:vMerge/>
            <w:tcBorders>
              <w:top w:val="nil"/>
              <w:left w:val="single" w:sz="8" w:space="0" w:color="000000"/>
              <w:bottom w:val="single" w:sz="8" w:space="0" w:color="000000"/>
              <w:right w:val="single" w:sz="8" w:space="0" w:color="000000"/>
            </w:tcBorders>
            <w:vAlign w:val="center"/>
          </w:tcPr>
          <w:p w14:paraId="33774CC5" w14:textId="77777777" w:rsidR="008F5DD0" w:rsidRPr="00D810D6" w:rsidRDefault="008F5DD0" w:rsidP="008E33FD">
            <w:pPr>
              <w:jc w:val="both"/>
              <w:rPr>
                <w:bCs/>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02C8E767" w14:textId="77777777" w:rsidR="008F5DD0" w:rsidRPr="00F43752" w:rsidRDefault="008F5DD0" w:rsidP="00577613">
            <w:pPr>
              <w:rPr>
                <w:color w:val="000000" w:themeColor="text1"/>
                <w:sz w:val="22"/>
                <w:szCs w:val="22"/>
                <w:lang w:eastAsia="ro-RO"/>
              </w:rPr>
            </w:pPr>
            <w:r w:rsidRPr="00F43752">
              <w:rPr>
                <w:color w:val="000000"/>
                <w:sz w:val="22"/>
                <w:szCs w:val="22"/>
              </w:rPr>
              <w:t>ROSCI0131</w:t>
            </w:r>
          </w:p>
        </w:tc>
        <w:tc>
          <w:tcPr>
            <w:tcW w:w="3969" w:type="dxa"/>
            <w:tcBorders>
              <w:top w:val="nil"/>
              <w:left w:val="nil"/>
              <w:bottom w:val="single" w:sz="8" w:space="0" w:color="000000"/>
              <w:right w:val="single" w:sz="8" w:space="0" w:color="000000"/>
            </w:tcBorders>
            <w:shd w:val="clear" w:color="auto" w:fill="auto"/>
          </w:tcPr>
          <w:p w14:paraId="706218FB" w14:textId="77777777" w:rsidR="008F5DD0" w:rsidRPr="00F43752" w:rsidRDefault="008F5DD0" w:rsidP="00577613">
            <w:pPr>
              <w:rPr>
                <w:color w:val="000000" w:themeColor="text1"/>
                <w:sz w:val="22"/>
                <w:szCs w:val="22"/>
                <w:lang w:eastAsia="ro-RO"/>
              </w:rPr>
            </w:pPr>
            <w:r w:rsidRPr="00F43752">
              <w:rPr>
                <w:color w:val="000000"/>
                <w:sz w:val="22"/>
                <w:szCs w:val="22"/>
              </w:rPr>
              <w:t>Oltenița - Mostiștea - Chiciu</w:t>
            </w:r>
          </w:p>
        </w:tc>
      </w:tr>
      <w:tr w:rsidR="008F5DD0" w:rsidRPr="00C56257" w14:paraId="42329481" w14:textId="77777777" w:rsidTr="00577613">
        <w:trPr>
          <w:trHeight w:val="300"/>
        </w:trPr>
        <w:tc>
          <w:tcPr>
            <w:tcW w:w="4229" w:type="dxa"/>
            <w:vMerge/>
            <w:tcBorders>
              <w:top w:val="nil"/>
              <w:left w:val="single" w:sz="8" w:space="0" w:color="000000"/>
              <w:bottom w:val="single" w:sz="8" w:space="0" w:color="000000"/>
              <w:right w:val="single" w:sz="8" w:space="0" w:color="000000"/>
            </w:tcBorders>
            <w:vAlign w:val="center"/>
          </w:tcPr>
          <w:p w14:paraId="0EA3D593" w14:textId="77777777" w:rsidR="008F5DD0" w:rsidRPr="00D810D6" w:rsidRDefault="008F5DD0" w:rsidP="008E33FD">
            <w:pPr>
              <w:jc w:val="both"/>
              <w:rPr>
                <w:bCs/>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3E451F53" w14:textId="77777777" w:rsidR="008F5DD0" w:rsidRPr="00F43752" w:rsidRDefault="00370386" w:rsidP="00577613">
            <w:pPr>
              <w:rPr>
                <w:color w:val="000000" w:themeColor="text1"/>
                <w:sz w:val="22"/>
                <w:szCs w:val="22"/>
                <w:lang w:eastAsia="ro-RO"/>
              </w:rPr>
            </w:pPr>
            <w:r>
              <w:rPr>
                <w:color w:val="000000"/>
                <w:sz w:val="22"/>
                <w:szCs w:val="22"/>
              </w:rPr>
              <w:t>ROSAC</w:t>
            </w:r>
            <w:r w:rsidR="008F5DD0" w:rsidRPr="00F43752">
              <w:rPr>
                <w:color w:val="000000"/>
                <w:sz w:val="22"/>
                <w:szCs w:val="22"/>
              </w:rPr>
              <w:t>0149</w:t>
            </w:r>
          </w:p>
        </w:tc>
        <w:tc>
          <w:tcPr>
            <w:tcW w:w="3969" w:type="dxa"/>
            <w:tcBorders>
              <w:top w:val="nil"/>
              <w:left w:val="nil"/>
              <w:bottom w:val="single" w:sz="8" w:space="0" w:color="000000"/>
              <w:right w:val="single" w:sz="8" w:space="0" w:color="000000"/>
            </w:tcBorders>
            <w:shd w:val="clear" w:color="auto" w:fill="auto"/>
          </w:tcPr>
          <w:p w14:paraId="7CCF9275" w14:textId="77777777" w:rsidR="008F5DD0" w:rsidRPr="00F43752" w:rsidRDefault="008F5DD0" w:rsidP="00577613">
            <w:pPr>
              <w:rPr>
                <w:color w:val="000000" w:themeColor="text1"/>
                <w:sz w:val="22"/>
                <w:szCs w:val="22"/>
                <w:lang w:eastAsia="ro-RO"/>
              </w:rPr>
            </w:pPr>
            <w:r w:rsidRPr="00F43752">
              <w:rPr>
                <w:color w:val="000000"/>
                <w:sz w:val="22"/>
                <w:szCs w:val="22"/>
              </w:rPr>
              <w:t>Pădurea Eseschioi - Lacul Bugeac</w:t>
            </w:r>
          </w:p>
        </w:tc>
      </w:tr>
      <w:tr w:rsidR="008F5DD0" w:rsidRPr="00C56257" w14:paraId="5025689A" w14:textId="77777777" w:rsidTr="00577613">
        <w:trPr>
          <w:trHeight w:val="300"/>
        </w:trPr>
        <w:tc>
          <w:tcPr>
            <w:tcW w:w="4229" w:type="dxa"/>
            <w:vMerge/>
            <w:tcBorders>
              <w:top w:val="nil"/>
              <w:left w:val="single" w:sz="8" w:space="0" w:color="000000"/>
              <w:bottom w:val="single" w:sz="8" w:space="0" w:color="000000"/>
              <w:right w:val="single" w:sz="8" w:space="0" w:color="000000"/>
            </w:tcBorders>
            <w:vAlign w:val="center"/>
          </w:tcPr>
          <w:p w14:paraId="2977F866" w14:textId="77777777" w:rsidR="008F5DD0" w:rsidRPr="00D810D6" w:rsidRDefault="008F5DD0" w:rsidP="008E33FD">
            <w:pPr>
              <w:jc w:val="both"/>
              <w:rPr>
                <w:bCs/>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7A812B3B" w14:textId="77777777" w:rsidR="008F5DD0" w:rsidRPr="00F43752" w:rsidRDefault="008F5DD0" w:rsidP="00577613">
            <w:pPr>
              <w:rPr>
                <w:color w:val="000000" w:themeColor="text1"/>
                <w:sz w:val="22"/>
                <w:szCs w:val="22"/>
                <w:lang w:eastAsia="ro-RO"/>
              </w:rPr>
            </w:pPr>
            <w:r w:rsidRPr="00F43752">
              <w:rPr>
                <w:color w:val="000000"/>
                <w:sz w:val="22"/>
                <w:szCs w:val="22"/>
              </w:rPr>
              <w:t>ROSCI0206</w:t>
            </w:r>
          </w:p>
        </w:tc>
        <w:tc>
          <w:tcPr>
            <w:tcW w:w="3969" w:type="dxa"/>
            <w:tcBorders>
              <w:top w:val="nil"/>
              <w:left w:val="nil"/>
              <w:bottom w:val="single" w:sz="8" w:space="0" w:color="000000"/>
              <w:right w:val="single" w:sz="8" w:space="0" w:color="000000"/>
            </w:tcBorders>
            <w:shd w:val="clear" w:color="auto" w:fill="auto"/>
          </w:tcPr>
          <w:p w14:paraId="48646FE4" w14:textId="77777777" w:rsidR="008F5DD0" w:rsidRPr="00F43752" w:rsidRDefault="008F5DD0" w:rsidP="00577613">
            <w:pPr>
              <w:rPr>
                <w:color w:val="000000" w:themeColor="text1"/>
                <w:sz w:val="22"/>
                <w:szCs w:val="22"/>
                <w:lang w:eastAsia="ro-RO"/>
              </w:rPr>
            </w:pPr>
            <w:r w:rsidRPr="00F43752">
              <w:rPr>
                <w:color w:val="000000"/>
                <w:sz w:val="22"/>
                <w:szCs w:val="22"/>
              </w:rPr>
              <w:t>Porțile de Fier</w:t>
            </w:r>
          </w:p>
        </w:tc>
      </w:tr>
      <w:tr w:rsidR="008F5DD0" w:rsidRPr="00C56257" w14:paraId="41F4CFD9" w14:textId="77777777" w:rsidTr="00577613">
        <w:trPr>
          <w:trHeight w:val="300"/>
        </w:trPr>
        <w:tc>
          <w:tcPr>
            <w:tcW w:w="4229" w:type="dxa"/>
            <w:vMerge/>
            <w:tcBorders>
              <w:top w:val="nil"/>
              <w:left w:val="single" w:sz="8" w:space="0" w:color="000000"/>
              <w:bottom w:val="single" w:sz="8" w:space="0" w:color="000000"/>
              <w:right w:val="single" w:sz="8" w:space="0" w:color="000000"/>
            </w:tcBorders>
            <w:vAlign w:val="center"/>
          </w:tcPr>
          <w:p w14:paraId="462AAF91" w14:textId="77777777" w:rsidR="008F5DD0" w:rsidRPr="00D810D6" w:rsidRDefault="008F5DD0" w:rsidP="008E33FD">
            <w:pPr>
              <w:jc w:val="both"/>
              <w:rPr>
                <w:bCs/>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6E9E1C6C" w14:textId="77777777" w:rsidR="008F5DD0" w:rsidRPr="00F43752" w:rsidRDefault="00370386" w:rsidP="00577613">
            <w:pPr>
              <w:rPr>
                <w:color w:val="000000" w:themeColor="text1"/>
                <w:sz w:val="22"/>
                <w:szCs w:val="22"/>
                <w:lang w:eastAsia="ro-RO"/>
              </w:rPr>
            </w:pPr>
            <w:r>
              <w:rPr>
                <w:color w:val="000000"/>
                <w:sz w:val="22"/>
                <w:szCs w:val="22"/>
              </w:rPr>
              <w:t>ROSAC</w:t>
            </w:r>
            <w:r w:rsidR="008F5DD0" w:rsidRPr="00F43752">
              <w:rPr>
                <w:color w:val="000000"/>
                <w:sz w:val="22"/>
                <w:szCs w:val="22"/>
              </w:rPr>
              <w:t>0227</w:t>
            </w:r>
          </w:p>
        </w:tc>
        <w:tc>
          <w:tcPr>
            <w:tcW w:w="3969" w:type="dxa"/>
            <w:tcBorders>
              <w:top w:val="nil"/>
              <w:left w:val="nil"/>
              <w:bottom w:val="single" w:sz="8" w:space="0" w:color="000000"/>
              <w:right w:val="single" w:sz="8" w:space="0" w:color="000000"/>
            </w:tcBorders>
            <w:shd w:val="clear" w:color="auto" w:fill="auto"/>
          </w:tcPr>
          <w:p w14:paraId="42B557C4" w14:textId="77777777" w:rsidR="008F5DD0" w:rsidRPr="00F43752" w:rsidRDefault="008F5DD0" w:rsidP="00577613">
            <w:pPr>
              <w:rPr>
                <w:color w:val="000000" w:themeColor="text1"/>
                <w:sz w:val="22"/>
                <w:szCs w:val="22"/>
                <w:lang w:eastAsia="ro-RO"/>
              </w:rPr>
            </w:pPr>
            <w:r w:rsidRPr="00F43752">
              <w:rPr>
                <w:color w:val="000000"/>
                <w:sz w:val="22"/>
                <w:szCs w:val="22"/>
              </w:rPr>
              <w:t>Sighișoara - Târnava Mare</w:t>
            </w:r>
          </w:p>
        </w:tc>
      </w:tr>
      <w:tr w:rsidR="00577613" w:rsidRPr="00C56257" w14:paraId="629C9054" w14:textId="77777777" w:rsidTr="00993B86">
        <w:trPr>
          <w:trHeight w:val="324"/>
        </w:trPr>
        <w:tc>
          <w:tcPr>
            <w:tcW w:w="4229" w:type="dxa"/>
            <w:vMerge w:val="restart"/>
            <w:tcBorders>
              <w:top w:val="nil"/>
              <w:left w:val="single" w:sz="8" w:space="0" w:color="000000"/>
              <w:right w:val="single" w:sz="8" w:space="0" w:color="000000"/>
            </w:tcBorders>
            <w:shd w:val="clear" w:color="auto" w:fill="auto"/>
            <w:vAlign w:val="center"/>
          </w:tcPr>
          <w:p w14:paraId="67D682E8" w14:textId="77777777" w:rsidR="00577613" w:rsidRPr="00D810D6" w:rsidRDefault="00577613" w:rsidP="008E33FD">
            <w:pPr>
              <w:jc w:val="both"/>
              <w:rPr>
                <w:color w:val="000000" w:themeColor="text1"/>
                <w:lang w:eastAsia="ro-RO"/>
              </w:rPr>
            </w:pPr>
            <w:r w:rsidRPr="00D810D6">
              <w:rPr>
                <w:color w:val="000000" w:themeColor="text1"/>
                <w:lang w:eastAsia="ro-RO"/>
              </w:rPr>
              <w:t xml:space="preserve"> 3140 - Ape puternic oligo-mezotrofice cu vegetaţie bentonică de specii de </w:t>
            </w:r>
            <w:r w:rsidRPr="00D810D6">
              <w:rPr>
                <w:i/>
                <w:iCs/>
                <w:color w:val="000000" w:themeColor="text1"/>
                <w:lang w:eastAsia="ro-RO"/>
              </w:rPr>
              <w:t>Chara spp</w:t>
            </w:r>
          </w:p>
          <w:p w14:paraId="2B68FEA3" w14:textId="77777777" w:rsidR="00577613" w:rsidRPr="00D810D6" w:rsidRDefault="00577613" w:rsidP="008E33FD">
            <w:pPr>
              <w:jc w:val="both"/>
              <w:rPr>
                <w:color w:val="000000" w:themeColor="text1"/>
                <w:lang w:eastAsia="ro-RO"/>
              </w:rPr>
            </w:pPr>
            <w:r w:rsidRPr="00D810D6">
              <w:rPr>
                <w:color w:val="000000" w:themeColor="text1"/>
                <w:lang w:eastAsia="ro-RO"/>
              </w:rPr>
              <w:t> </w:t>
            </w:r>
          </w:p>
          <w:p w14:paraId="75FD6C75" w14:textId="77777777" w:rsidR="00577613" w:rsidRPr="00D810D6" w:rsidRDefault="00577613" w:rsidP="008E33FD">
            <w:pPr>
              <w:jc w:val="both"/>
              <w:rPr>
                <w:color w:val="000000" w:themeColor="text1"/>
                <w:lang w:eastAsia="ro-RO"/>
              </w:rPr>
            </w:pPr>
            <w:r w:rsidRPr="00D810D6">
              <w:rPr>
                <w:color w:val="000000" w:themeColor="text1"/>
                <w:lang w:eastAsia="ro-RO"/>
              </w:rPr>
              <w:t> </w:t>
            </w:r>
          </w:p>
          <w:p w14:paraId="1636BC04" w14:textId="77777777" w:rsidR="00577613" w:rsidRPr="00D810D6" w:rsidRDefault="00577613" w:rsidP="008E33FD">
            <w:pPr>
              <w:jc w:val="both"/>
              <w:rPr>
                <w:color w:val="000000" w:themeColor="text1"/>
                <w:lang w:eastAsia="ro-RO"/>
              </w:rPr>
            </w:pPr>
            <w:r w:rsidRPr="00D810D6">
              <w:rPr>
                <w:color w:val="000000" w:themeColor="text1"/>
                <w:lang w:eastAsia="ro-RO"/>
              </w:rPr>
              <w:t> </w:t>
            </w:r>
          </w:p>
          <w:p w14:paraId="4CD7B481" w14:textId="77777777" w:rsidR="00577613" w:rsidRPr="00D810D6" w:rsidRDefault="00577613" w:rsidP="008E33FD">
            <w:pPr>
              <w:jc w:val="both"/>
              <w:rPr>
                <w:color w:val="000000" w:themeColor="text1"/>
                <w:lang w:eastAsia="ro-RO"/>
              </w:rPr>
            </w:pPr>
            <w:r w:rsidRPr="00D810D6">
              <w:rPr>
                <w:color w:val="000000" w:themeColor="text1"/>
                <w:lang w:eastAsia="ro-RO"/>
              </w:rPr>
              <w:t> </w:t>
            </w:r>
          </w:p>
          <w:p w14:paraId="0A34848B" w14:textId="77777777" w:rsidR="00577613" w:rsidRPr="00D810D6" w:rsidRDefault="00577613" w:rsidP="008E33FD">
            <w:pPr>
              <w:jc w:val="both"/>
              <w:rPr>
                <w:color w:val="000000" w:themeColor="text1"/>
                <w:lang w:eastAsia="ro-RO"/>
              </w:rPr>
            </w:pPr>
            <w:r w:rsidRPr="00D810D6">
              <w:rPr>
                <w:color w:val="000000" w:themeColor="text1"/>
                <w:lang w:eastAsia="ro-RO"/>
              </w:rPr>
              <w:t> </w:t>
            </w:r>
          </w:p>
          <w:p w14:paraId="1BCD8D82" w14:textId="77777777" w:rsidR="00577613" w:rsidRPr="00D810D6" w:rsidRDefault="00577613" w:rsidP="008E33FD">
            <w:pPr>
              <w:jc w:val="both"/>
              <w:rPr>
                <w:color w:val="000000" w:themeColor="text1"/>
                <w:lang w:eastAsia="ro-RO"/>
              </w:rPr>
            </w:pPr>
            <w:r w:rsidRPr="00D810D6">
              <w:rPr>
                <w:color w:val="000000" w:themeColor="text1"/>
                <w:lang w:eastAsia="ro-RO"/>
              </w:rPr>
              <w:t> </w:t>
            </w:r>
          </w:p>
          <w:p w14:paraId="37BA72DE" w14:textId="77777777" w:rsidR="00577613" w:rsidRPr="00D810D6" w:rsidRDefault="00577613"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06D582CC" w14:textId="77777777" w:rsidR="00577613" w:rsidRPr="00F43752" w:rsidRDefault="00577613" w:rsidP="00577613">
            <w:pPr>
              <w:rPr>
                <w:color w:val="000000" w:themeColor="text1"/>
                <w:sz w:val="22"/>
                <w:szCs w:val="22"/>
                <w:lang w:eastAsia="ro-RO"/>
              </w:rPr>
            </w:pPr>
            <w:r w:rsidRPr="00F43752">
              <w:rPr>
                <w:color w:val="000000"/>
                <w:sz w:val="22"/>
                <w:szCs w:val="22"/>
              </w:rPr>
              <w:t>ROSCI0005</w:t>
            </w:r>
          </w:p>
        </w:tc>
        <w:tc>
          <w:tcPr>
            <w:tcW w:w="3969" w:type="dxa"/>
            <w:tcBorders>
              <w:top w:val="nil"/>
              <w:left w:val="nil"/>
              <w:bottom w:val="single" w:sz="8" w:space="0" w:color="000000"/>
              <w:right w:val="single" w:sz="8" w:space="0" w:color="000000"/>
            </w:tcBorders>
            <w:shd w:val="clear" w:color="auto" w:fill="auto"/>
          </w:tcPr>
          <w:p w14:paraId="48077EE9" w14:textId="77777777" w:rsidR="00577613" w:rsidRPr="00F43752" w:rsidRDefault="00577613" w:rsidP="00577613">
            <w:pPr>
              <w:rPr>
                <w:color w:val="000000" w:themeColor="text1"/>
                <w:sz w:val="22"/>
                <w:szCs w:val="22"/>
                <w:lang w:eastAsia="ro-RO"/>
              </w:rPr>
            </w:pPr>
            <w:r w:rsidRPr="00F43752">
              <w:rPr>
                <w:color w:val="000000"/>
                <w:sz w:val="22"/>
                <w:szCs w:val="22"/>
              </w:rPr>
              <w:t>Balta Albă - Amara - Jirlău - Lacul Sărat Câineni</w:t>
            </w:r>
          </w:p>
        </w:tc>
      </w:tr>
      <w:tr w:rsidR="00577613" w:rsidRPr="00C56257" w14:paraId="505AE0B7" w14:textId="77777777" w:rsidTr="00993B86">
        <w:trPr>
          <w:trHeight w:val="324"/>
        </w:trPr>
        <w:tc>
          <w:tcPr>
            <w:tcW w:w="4229" w:type="dxa"/>
            <w:vMerge/>
            <w:tcBorders>
              <w:left w:val="single" w:sz="8" w:space="0" w:color="000000"/>
              <w:right w:val="single" w:sz="8" w:space="0" w:color="000000"/>
            </w:tcBorders>
            <w:shd w:val="clear" w:color="auto" w:fill="auto"/>
            <w:vAlign w:val="center"/>
          </w:tcPr>
          <w:p w14:paraId="2B59BEA2" w14:textId="77777777" w:rsidR="00577613" w:rsidRPr="00D810D6" w:rsidRDefault="00577613"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2CF317B5" w14:textId="77777777" w:rsidR="00577613" w:rsidRPr="00F43752" w:rsidRDefault="00577613" w:rsidP="00577613">
            <w:pPr>
              <w:rPr>
                <w:color w:val="000000" w:themeColor="text1"/>
                <w:sz w:val="22"/>
                <w:szCs w:val="22"/>
                <w:lang w:eastAsia="ro-RO"/>
              </w:rPr>
            </w:pPr>
            <w:r w:rsidRPr="00F43752">
              <w:rPr>
                <w:color w:val="000000"/>
                <w:sz w:val="22"/>
                <w:szCs w:val="22"/>
              </w:rPr>
              <w:t>ROSCI0012</w:t>
            </w:r>
          </w:p>
        </w:tc>
        <w:tc>
          <w:tcPr>
            <w:tcW w:w="3969" w:type="dxa"/>
            <w:tcBorders>
              <w:top w:val="nil"/>
              <w:left w:val="nil"/>
              <w:bottom w:val="single" w:sz="8" w:space="0" w:color="000000"/>
              <w:right w:val="single" w:sz="8" w:space="0" w:color="000000"/>
            </w:tcBorders>
            <w:shd w:val="clear" w:color="auto" w:fill="auto"/>
          </w:tcPr>
          <w:p w14:paraId="04E13FD7" w14:textId="77777777" w:rsidR="00577613" w:rsidRPr="00F43752" w:rsidRDefault="00577613" w:rsidP="00577613">
            <w:pPr>
              <w:rPr>
                <w:color w:val="000000" w:themeColor="text1"/>
                <w:sz w:val="22"/>
                <w:szCs w:val="22"/>
                <w:lang w:eastAsia="ro-RO"/>
              </w:rPr>
            </w:pPr>
            <w:r w:rsidRPr="00F43752">
              <w:rPr>
                <w:color w:val="000000"/>
                <w:sz w:val="22"/>
                <w:szCs w:val="22"/>
              </w:rPr>
              <w:t>Brațul Măcin</w:t>
            </w:r>
          </w:p>
        </w:tc>
      </w:tr>
      <w:tr w:rsidR="00577613" w:rsidRPr="00C56257" w14:paraId="1CC080A4" w14:textId="77777777" w:rsidTr="00993B86">
        <w:trPr>
          <w:trHeight w:val="300"/>
        </w:trPr>
        <w:tc>
          <w:tcPr>
            <w:tcW w:w="4229" w:type="dxa"/>
            <w:vMerge/>
            <w:tcBorders>
              <w:left w:val="single" w:sz="8" w:space="0" w:color="000000"/>
              <w:right w:val="single" w:sz="8" w:space="0" w:color="000000"/>
            </w:tcBorders>
            <w:shd w:val="clear" w:color="auto" w:fill="auto"/>
            <w:vAlign w:val="center"/>
          </w:tcPr>
          <w:p w14:paraId="496B9C81" w14:textId="77777777" w:rsidR="00577613" w:rsidRPr="00D810D6" w:rsidRDefault="00577613"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405FDA67" w14:textId="77777777" w:rsidR="00577613" w:rsidRPr="00F43752" w:rsidRDefault="00370386" w:rsidP="00370386">
            <w:pPr>
              <w:rPr>
                <w:color w:val="000000" w:themeColor="text1"/>
                <w:sz w:val="22"/>
                <w:szCs w:val="22"/>
                <w:lang w:eastAsia="ro-RO"/>
              </w:rPr>
            </w:pPr>
            <w:r>
              <w:rPr>
                <w:color w:val="000000"/>
                <w:sz w:val="22"/>
                <w:szCs w:val="22"/>
              </w:rPr>
              <w:t>ROSAC</w:t>
            </w:r>
            <w:r w:rsidR="00577613" w:rsidRPr="00F43752">
              <w:rPr>
                <w:color w:val="000000"/>
                <w:sz w:val="22"/>
                <w:szCs w:val="22"/>
              </w:rPr>
              <w:t>0022</w:t>
            </w:r>
          </w:p>
        </w:tc>
        <w:tc>
          <w:tcPr>
            <w:tcW w:w="3969" w:type="dxa"/>
            <w:tcBorders>
              <w:top w:val="nil"/>
              <w:left w:val="nil"/>
              <w:bottom w:val="single" w:sz="8" w:space="0" w:color="000000"/>
              <w:right w:val="single" w:sz="8" w:space="0" w:color="000000"/>
            </w:tcBorders>
            <w:shd w:val="clear" w:color="auto" w:fill="auto"/>
          </w:tcPr>
          <w:p w14:paraId="384A7D95" w14:textId="77777777" w:rsidR="00577613" w:rsidRPr="00F43752" w:rsidRDefault="00577613" w:rsidP="00577613">
            <w:pPr>
              <w:rPr>
                <w:color w:val="000000" w:themeColor="text1"/>
                <w:sz w:val="22"/>
                <w:szCs w:val="22"/>
                <w:lang w:eastAsia="ro-RO"/>
              </w:rPr>
            </w:pPr>
            <w:r w:rsidRPr="00F43752">
              <w:rPr>
                <w:color w:val="000000"/>
                <w:sz w:val="22"/>
                <w:szCs w:val="22"/>
              </w:rPr>
              <w:t>Canaralele Dunării</w:t>
            </w:r>
          </w:p>
        </w:tc>
      </w:tr>
      <w:tr w:rsidR="00577613" w:rsidRPr="00C56257" w14:paraId="7A12A334" w14:textId="77777777" w:rsidTr="00993B86">
        <w:trPr>
          <w:trHeight w:val="300"/>
        </w:trPr>
        <w:tc>
          <w:tcPr>
            <w:tcW w:w="4229" w:type="dxa"/>
            <w:vMerge/>
            <w:tcBorders>
              <w:left w:val="single" w:sz="8" w:space="0" w:color="000000"/>
              <w:right w:val="single" w:sz="8" w:space="0" w:color="000000"/>
            </w:tcBorders>
            <w:shd w:val="clear" w:color="auto" w:fill="auto"/>
          </w:tcPr>
          <w:p w14:paraId="2013E04F" w14:textId="77777777" w:rsidR="00577613" w:rsidRPr="00D810D6" w:rsidRDefault="00577613"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3590EA2D" w14:textId="77777777" w:rsidR="00577613" w:rsidRPr="00F43752" w:rsidRDefault="00370386" w:rsidP="00577613">
            <w:pPr>
              <w:rPr>
                <w:color w:val="000000" w:themeColor="text1"/>
                <w:sz w:val="22"/>
                <w:szCs w:val="22"/>
                <w:lang w:eastAsia="ro-RO"/>
              </w:rPr>
            </w:pPr>
            <w:r>
              <w:rPr>
                <w:color w:val="000000"/>
                <w:sz w:val="22"/>
                <w:szCs w:val="22"/>
              </w:rPr>
              <w:t>ROSAC</w:t>
            </w:r>
            <w:r w:rsidR="00577613" w:rsidRPr="00F43752">
              <w:rPr>
                <w:color w:val="000000"/>
                <w:sz w:val="22"/>
                <w:szCs w:val="22"/>
              </w:rPr>
              <w:t>0039</w:t>
            </w:r>
          </w:p>
        </w:tc>
        <w:tc>
          <w:tcPr>
            <w:tcW w:w="3969" w:type="dxa"/>
            <w:tcBorders>
              <w:top w:val="nil"/>
              <w:left w:val="nil"/>
              <w:bottom w:val="single" w:sz="8" w:space="0" w:color="000000"/>
              <w:right w:val="single" w:sz="8" w:space="0" w:color="000000"/>
            </w:tcBorders>
            <w:shd w:val="clear" w:color="auto" w:fill="auto"/>
          </w:tcPr>
          <w:p w14:paraId="13749206" w14:textId="77777777" w:rsidR="00577613" w:rsidRPr="00F43752" w:rsidRDefault="00577613" w:rsidP="00577613">
            <w:pPr>
              <w:rPr>
                <w:color w:val="000000" w:themeColor="text1"/>
                <w:sz w:val="22"/>
                <w:szCs w:val="22"/>
                <w:lang w:eastAsia="ro-RO"/>
              </w:rPr>
            </w:pPr>
            <w:r w:rsidRPr="00F43752">
              <w:rPr>
                <w:color w:val="000000"/>
                <w:sz w:val="22"/>
                <w:szCs w:val="22"/>
              </w:rPr>
              <w:t>Ciuperceni - Desa</w:t>
            </w:r>
          </w:p>
        </w:tc>
      </w:tr>
      <w:tr w:rsidR="00577613" w:rsidRPr="00C56257" w14:paraId="2A9F76A4" w14:textId="77777777" w:rsidTr="00993B86">
        <w:trPr>
          <w:trHeight w:val="300"/>
        </w:trPr>
        <w:tc>
          <w:tcPr>
            <w:tcW w:w="4229" w:type="dxa"/>
            <w:vMerge/>
            <w:tcBorders>
              <w:left w:val="single" w:sz="8" w:space="0" w:color="000000"/>
              <w:right w:val="single" w:sz="8" w:space="0" w:color="000000"/>
            </w:tcBorders>
            <w:shd w:val="clear" w:color="auto" w:fill="auto"/>
          </w:tcPr>
          <w:p w14:paraId="380BF67B" w14:textId="77777777" w:rsidR="00577613" w:rsidRPr="00D810D6" w:rsidRDefault="00577613"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3DFB9870" w14:textId="77777777" w:rsidR="00577613" w:rsidRPr="00F43752" w:rsidRDefault="00577613" w:rsidP="00577613">
            <w:pPr>
              <w:rPr>
                <w:color w:val="000000" w:themeColor="text1"/>
                <w:sz w:val="22"/>
                <w:szCs w:val="22"/>
                <w:lang w:eastAsia="ro-RO"/>
              </w:rPr>
            </w:pPr>
            <w:r w:rsidRPr="00F43752">
              <w:rPr>
                <w:color w:val="000000"/>
                <w:sz w:val="22"/>
                <w:szCs w:val="22"/>
              </w:rPr>
              <w:t>ROSCI0044</w:t>
            </w:r>
          </w:p>
        </w:tc>
        <w:tc>
          <w:tcPr>
            <w:tcW w:w="3969" w:type="dxa"/>
            <w:tcBorders>
              <w:top w:val="nil"/>
              <w:left w:val="nil"/>
              <w:bottom w:val="single" w:sz="8" w:space="0" w:color="000000"/>
              <w:right w:val="single" w:sz="8" w:space="0" w:color="000000"/>
            </w:tcBorders>
            <w:shd w:val="clear" w:color="auto" w:fill="auto"/>
          </w:tcPr>
          <w:p w14:paraId="7813CCA9" w14:textId="77777777" w:rsidR="00577613" w:rsidRPr="00F43752" w:rsidRDefault="00577613" w:rsidP="00577613">
            <w:pPr>
              <w:rPr>
                <w:color w:val="000000" w:themeColor="text1"/>
                <w:sz w:val="22"/>
                <w:szCs w:val="22"/>
                <w:lang w:eastAsia="ro-RO"/>
              </w:rPr>
            </w:pPr>
            <w:r w:rsidRPr="00F43752">
              <w:rPr>
                <w:color w:val="000000"/>
                <w:sz w:val="22"/>
                <w:szCs w:val="22"/>
              </w:rPr>
              <w:t>Corabia - Turnu Măgurele</w:t>
            </w:r>
          </w:p>
        </w:tc>
      </w:tr>
      <w:tr w:rsidR="00577613" w:rsidRPr="00C56257" w14:paraId="1C605E80" w14:textId="77777777" w:rsidTr="00993B86">
        <w:trPr>
          <w:trHeight w:val="300"/>
        </w:trPr>
        <w:tc>
          <w:tcPr>
            <w:tcW w:w="4229" w:type="dxa"/>
            <w:vMerge/>
            <w:tcBorders>
              <w:left w:val="single" w:sz="8" w:space="0" w:color="000000"/>
              <w:right w:val="single" w:sz="8" w:space="0" w:color="000000"/>
            </w:tcBorders>
            <w:shd w:val="clear" w:color="auto" w:fill="auto"/>
          </w:tcPr>
          <w:p w14:paraId="4297462C" w14:textId="77777777" w:rsidR="00577613" w:rsidRPr="00D810D6" w:rsidRDefault="00577613" w:rsidP="008E33FD">
            <w:pPr>
              <w:jc w:val="both"/>
              <w:rPr>
                <w:color w:val="000000" w:themeColor="text1"/>
                <w:lang w:eastAsia="ro-RO"/>
              </w:rPr>
            </w:pPr>
          </w:p>
        </w:tc>
        <w:tc>
          <w:tcPr>
            <w:tcW w:w="1701" w:type="dxa"/>
            <w:tcBorders>
              <w:top w:val="nil"/>
              <w:left w:val="nil"/>
              <w:bottom w:val="single" w:sz="4" w:space="0" w:color="auto"/>
              <w:right w:val="single" w:sz="8" w:space="0" w:color="000000"/>
            </w:tcBorders>
            <w:shd w:val="clear" w:color="auto" w:fill="auto"/>
          </w:tcPr>
          <w:p w14:paraId="406BE299" w14:textId="77777777" w:rsidR="00577613" w:rsidRPr="00F43752" w:rsidRDefault="00370386" w:rsidP="00577613">
            <w:pPr>
              <w:rPr>
                <w:color w:val="000000" w:themeColor="text1"/>
                <w:sz w:val="22"/>
                <w:szCs w:val="22"/>
                <w:lang w:eastAsia="ro-RO"/>
              </w:rPr>
            </w:pPr>
            <w:r>
              <w:rPr>
                <w:color w:val="000000"/>
                <w:sz w:val="22"/>
                <w:szCs w:val="22"/>
              </w:rPr>
              <w:t>ROSAC</w:t>
            </w:r>
            <w:r w:rsidR="00577613" w:rsidRPr="00F43752">
              <w:rPr>
                <w:color w:val="000000"/>
                <w:sz w:val="22"/>
                <w:szCs w:val="22"/>
              </w:rPr>
              <w:t>0045</w:t>
            </w:r>
          </w:p>
        </w:tc>
        <w:tc>
          <w:tcPr>
            <w:tcW w:w="3969" w:type="dxa"/>
            <w:tcBorders>
              <w:top w:val="nil"/>
              <w:left w:val="nil"/>
              <w:bottom w:val="single" w:sz="8" w:space="0" w:color="000000"/>
              <w:right w:val="single" w:sz="8" w:space="0" w:color="000000"/>
            </w:tcBorders>
            <w:shd w:val="clear" w:color="auto" w:fill="auto"/>
          </w:tcPr>
          <w:p w14:paraId="05E0CE8B" w14:textId="77777777" w:rsidR="00577613" w:rsidRPr="00F43752" w:rsidRDefault="00577613" w:rsidP="00577613">
            <w:pPr>
              <w:rPr>
                <w:color w:val="000000" w:themeColor="text1"/>
                <w:sz w:val="22"/>
                <w:szCs w:val="22"/>
                <w:lang w:eastAsia="ro-RO"/>
              </w:rPr>
            </w:pPr>
            <w:r w:rsidRPr="00F43752">
              <w:rPr>
                <w:color w:val="000000"/>
                <w:sz w:val="22"/>
                <w:szCs w:val="22"/>
              </w:rPr>
              <w:t>Coridorul Jiului</w:t>
            </w:r>
          </w:p>
        </w:tc>
      </w:tr>
      <w:tr w:rsidR="00577613" w:rsidRPr="00C56257" w14:paraId="52D61991" w14:textId="77777777" w:rsidTr="00993B86">
        <w:trPr>
          <w:trHeight w:val="300"/>
        </w:trPr>
        <w:tc>
          <w:tcPr>
            <w:tcW w:w="4229" w:type="dxa"/>
            <w:vMerge/>
            <w:tcBorders>
              <w:left w:val="single" w:sz="8" w:space="0" w:color="000000"/>
              <w:right w:val="single" w:sz="8" w:space="0" w:color="000000"/>
            </w:tcBorders>
            <w:shd w:val="clear" w:color="auto" w:fill="auto"/>
          </w:tcPr>
          <w:p w14:paraId="38160A39" w14:textId="77777777" w:rsidR="00577613" w:rsidRPr="00D810D6" w:rsidRDefault="00577613" w:rsidP="008E33FD">
            <w:pPr>
              <w:jc w:val="both"/>
              <w:rPr>
                <w:color w:val="000000" w:themeColor="text1"/>
                <w:lang w:eastAsia="ro-RO"/>
              </w:rPr>
            </w:pPr>
          </w:p>
        </w:tc>
        <w:tc>
          <w:tcPr>
            <w:tcW w:w="1701" w:type="dxa"/>
            <w:tcBorders>
              <w:top w:val="single" w:sz="4" w:space="0" w:color="auto"/>
              <w:left w:val="single" w:sz="8" w:space="0" w:color="000000"/>
              <w:bottom w:val="single" w:sz="4" w:space="0" w:color="auto"/>
              <w:right w:val="single" w:sz="4" w:space="0" w:color="auto"/>
            </w:tcBorders>
            <w:shd w:val="clear" w:color="auto" w:fill="auto"/>
          </w:tcPr>
          <w:p w14:paraId="40930F9D" w14:textId="77777777" w:rsidR="00577613" w:rsidRPr="00F43752" w:rsidRDefault="00577613" w:rsidP="00577613">
            <w:pPr>
              <w:rPr>
                <w:color w:val="000000" w:themeColor="text1"/>
                <w:sz w:val="22"/>
                <w:szCs w:val="22"/>
                <w:lang w:eastAsia="ro-RO"/>
              </w:rPr>
            </w:pPr>
            <w:r w:rsidRPr="00F43752">
              <w:rPr>
                <w:color w:val="000000"/>
                <w:sz w:val="22"/>
                <w:szCs w:val="22"/>
              </w:rPr>
              <w:t>ROSCI0065</w:t>
            </w:r>
          </w:p>
        </w:tc>
        <w:tc>
          <w:tcPr>
            <w:tcW w:w="3969" w:type="dxa"/>
            <w:tcBorders>
              <w:top w:val="nil"/>
              <w:left w:val="single" w:sz="4" w:space="0" w:color="auto"/>
              <w:bottom w:val="single" w:sz="8" w:space="0" w:color="000000"/>
              <w:right w:val="single" w:sz="8" w:space="0" w:color="000000"/>
            </w:tcBorders>
            <w:shd w:val="clear" w:color="auto" w:fill="auto"/>
          </w:tcPr>
          <w:p w14:paraId="64CACAE2" w14:textId="77777777" w:rsidR="00577613" w:rsidRPr="00F43752" w:rsidRDefault="00577613" w:rsidP="00577613">
            <w:pPr>
              <w:rPr>
                <w:color w:val="000000" w:themeColor="text1"/>
                <w:sz w:val="22"/>
                <w:szCs w:val="22"/>
                <w:lang w:eastAsia="ro-RO"/>
              </w:rPr>
            </w:pPr>
            <w:r w:rsidRPr="00F43752">
              <w:rPr>
                <w:color w:val="000000"/>
                <w:sz w:val="22"/>
                <w:szCs w:val="22"/>
              </w:rPr>
              <w:t>Delta Dunării</w:t>
            </w:r>
          </w:p>
        </w:tc>
      </w:tr>
      <w:tr w:rsidR="00577613" w:rsidRPr="00C56257" w14:paraId="130B3E9C" w14:textId="77777777" w:rsidTr="00993B86">
        <w:trPr>
          <w:trHeight w:val="324"/>
        </w:trPr>
        <w:tc>
          <w:tcPr>
            <w:tcW w:w="4229" w:type="dxa"/>
            <w:vMerge/>
            <w:tcBorders>
              <w:left w:val="single" w:sz="8" w:space="0" w:color="000000"/>
              <w:bottom w:val="single" w:sz="4" w:space="0" w:color="auto"/>
              <w:right w:val="single" w:sz="8" w:space="0" w:color="000000"/>
            </w:tcBorders>
            <w:shd w:val="clear" w:color="auto" w:fill="auto"/>
            <w:vAlign w:val="center"/>
          </w:tcPr>
          <w:p w14:paraId="7A9FA4DE" w14:textId="77777777" w:rsidR="00577613" w:rsidRPr="00D810D6" w:rsidRDefault="00577613" w:rsidP="008E33FD">
            <w:pPr>
              <w:jc w:val="both"/>
              <w:rPr>
                <w:color w:val="000000" w:themeColor="text1"/>
                <w:lang w:eastAsia="ro-RO"/>
              </w:rPr>
            </w:pPr>
          </w:p>
        </w:tc>
        <w:tc>
          <w:tcPr>
            <w:tcW w:w="1701" w:type="dxa"/>
            <w:tcBorders>
              <w:top w:val="single" w:sz="4" w:space="0" w:color="auto"/>
              <w:left w:val="single" w:sz="8" w:space="0" w:color="000000"/>
              <w:bottom w:val="single" w:sz="4" w:space="0" w:color="auto"/>
              <w:right w:val="single" w:sz="4" w:space="0" w:color="auto"/>
            </w:tcBorders>
            <w:shd w:val="clear" w:color="auto" w:fill="auto"/>
          </w:tcPr>
          <w:p w14:paraId="5984C6A4" w14:textId="77777777" w:rsidR="00577613" w:rsidRPr="00F43752" w:rsidRDefault="00577613" w:rsidP="00577613">
            <w:pPr>
              <w:rPr>
                <w:color w:val="000000" w:themeColor="text1"/>
                <w:sz w:val="22"/>
                <w:szCs w:val="22"/>
                <w:lang w:eastAsia="ro-RO"/>
              </w:rPr>
            </w:pPr>
            <w:r w:rsidRPr="00F43752">
              <w:rPr>
                <w:color w:val="000000"/>
                <w:sz w:val="22"/>
                <w:szCs w:val="22"/>
              </w:rPr>
              <w:t>ROSCI0206</w:t>
            </w:r>
          </w:p>
        </w:tc>
        <w:tc>
          <w:tcPr>
            <w:tcW w:w="3969" w:type="dxa"/>
            <w:tcBorders>
              <w:top w:val="nil"/>
              <w:left w:val="single" w:sz="4" w:space="0" w:color="auto"/>
              <w:bottom w:val="single" w:sz="8" w:space="0" w:color="000000"/>
              <w:right w:val="single" w:sz="8" w:space="0" w:color="000000"/>
            </w:tcBorders>
            <w:shd w:val="clear" w:color="auto" w:fill="auto"/>
          </w:tcPr>
          <w:p w14:paraId="55C5744B" w14:textId="77777777" w:rsidR="00577613" w:rsidRPr="00F43752" w:rsidRDefault="00577613" w:rsidP="00577613">
            <w:pPr>
              <w:rPr>
                <w:color w:val="000000" w:themeColor="text1"/>
                <w:sz w:val="22"/>
                <w:szCs w:val="22"/>
                <w:lang w:eastAsia="ro-RO"/>
              </w:rPr>
            </w:pPr>
            <w:r w:rsidRPr="00F43752">
              <w:rPr>
                <w:color w:val="000000"/>
                <w:sz w:val="22"/>
                <w:szCs w:val="22"/>
              </w:rPr>
              <w:t>Porțile de Fier</w:t>
            </w:r>
          </w:p>
        </w:tc>
      </w:tr>
      <w:tr w:rsidR="006600A6" w:rsidRPr="00C56257" w14:paraId="42A8331F" w14:textId="77777777" w:rsidTr="006600A6">
        <w:trPr>
          <w:trHeight w:val="316"/>
        </w:trPr>
        <w:tc>
          <w:tcPr>
            <w:tcW w:w="4229" w:type="dxa"/>
            <w:vMerge w:val="restart"/>
            <w:tcBorders>
              <w:top w:val="single" w:sz="4" w:space="0" w:color="auto"/>
              <w:left w:val="single" w:sz="8" w:space="0" w:color="000000"/>
              <w:right w:val="single" w:sz="8" w:space="0" w:color="000000"/>
            </w:tcBorders>
            <w:shd w:val="clear" w:color="auto" w:fill="auto"/>
            <w:vAlign w:val="center"/>
          </w:tcPr>
          <w:p w14:paraId="316DA696" w14:textId="77777777" w:rsidR="006600A6" w:rsidRPr="00D810D6" w:rsidRDefault="006600A6" w:rsidP="008E33FD">
            <w:pPr>
              <w:jc w:val="both"/>
              <w:rPr>
                <w:color w:val="000000" w:themeColor="text1"/>
                <w:lang w:eastAsia="ro-RO"/>
              </w:rPr>
            </w:pPr>
            <w:r w:rsidRPr="00D810D6">
              <w:rPr>
                <w:color w:val="000000" w:themeColor="text1"/>
                <w:lang w:eastAsia="ro-RO"/>
              </w:rPr>
              <w:t>3150 - Lacuri naturale eutrofice cu vegetaţie tip Magnopotamion sau Hydrocharition</w:t>
            </w:r>
          </w:p>
          <w:p w14:paraId="569CA002" w14:textId="77777777" w:rsidR="006600A6" w:rsidRPr="00D810D6" w:rsidRDefault="006600A6" w:rsidP="008E33FD">
            <w:pPr>
              <w:jc w:val="both"/>
              <w:rPr>
                <w:i/>
                <w:iCs/>
                <w:color w:val="000000" w:themeColor="text1"/>
                <w:lang w:eastAsia="ro-RO"/>
              </w:rPr>
            </w:pPr>
            <w:r w:rsidRPr="00D810D6">
              <w:rPr>
                <w:i/>
                <w:iCs/>
                <w:color w:val="000000" w:themeColor="text1"/>
                <w:lang w:eastAsia="ro-RO"/>
              </w:rPr>
              <w:t> </w:t>
            </w:r>
          </w:p>
          <w:p w14:paraId="51B34C8F" w14:textId="77777777" w:rsidR="006600A6" w:rsidRPr="00D810D6" w:rsidRDefault="006600A6" w:rsidP="008E33FD">
            <w:pPr>
              <w:jc w:val="both"/>
              <w:rPr>
                <w:color w:val="000000" w:themeColor="text1"/>
                <w:lang w:eastAsia="ro-RO"/>
              </w:rPr>
            </w:pPr>
            <w:r w:rsidRPr="00D810D6">
              <w:rPr>
                <w:color w:val="000000" w:themeColor="text1"/>
                <w:lang w:eastAsia="ro-RO"/>
              </w:rPr>
              <w:t> </w:t>
            </w:r>
          </w:p>
          <w:p w14:paraId="668CF000" w14:textId="77777777" w:rsidR="006600A6" w:rsidRPr="00D810D6" w:rsidRDefault="006600A6" w:rsidP="008E33FD">
            <w:pPr>
              <w:jc w:val="both"/>
              <w:rPr>
                <w:color w:val="000000" w:themeColor="text1"/>
                <w:lang w:eastAsia="ro-RO"/>
              </w:rPr>
            </w:pPr>
            <w:r w:rsidRPr="00D810D6">
              <w:rPr>
                <w:color w:val="000000" w:themeColor="text1"/>
                <w:lang w:eastAsia="ro-RO"/>
              </w:rPr>
              <w:t> </w:t>
            </w:r>
          </w:p>
          <w:p w14:paraId="47E018F9" w14:textId="77777777" w:rsidR="006600A6" w:rsidRPr="00D810D6" w:rsidRDefault="006600A6" w:rsidP="008E33FD">
            <w:pPr>
              <w:jc w:val="both"/>
              <w:rPr>
                <w:color w:val="000000" w:themeColor="text1"/>
                <w:lang w:eastAsia="ro-RO"/>
              </w:rPr>
            </w:pPr>
            <w:r w:rsidRPr="00D810D6">
              <w:rPr>
                <w:color w:val="000000" w:themeColor="text1"/>
                <w:lang w:eastAsia="ro-RO"/>
              </w:rPr>
              <w:t> </w:t>
            </w:r>
          </w:p>
          <w:p w14:paraId="7B2AF4A6" w14:textId="77777777" w:rsidR="006600A6" w:rsidRPr="00D810D6" w:rsidRDefault="006600A6" w:rsidP="008E33FD">
            <w:pPr>
              <w:jc w:val="both"/>
              <w:rPr>
                <w:color w:val="000000" w:themeColor="text1"/>
                <w:lang w:eastAsia="ro-RO"/>
              </w:rPr>
            </w:pPr>
            <w:r w:rsidRPr="00D810D6">
              <w:rPr>
                <w:color w:val="000000" w:themeColor="text1"/>
                <w:lang w:eastAsia="ro-RO"/>
              </w:rPr>
              <w:t> </w:t>
            </w:r>
          </w:p>
          <w:p w14:paraId="39F88F99" w14:textId="77777777" w:rsidR="006600A6" w:rsidRPr="00D810D6" w:rsidRDefault="006600A6" w:rsidP="008E33FD">
            <w:pPr>
              <w:jc w:val="both"/>
              <w:rPr>
                <w:color w:val="000000" w:themeColor="text1"/>
                <w:lang w:eastAsia="ro-RO"/>
              </w:rPr>
            </w:pPr>
            <w:r w:rsidRPr="00D810D6">
              <w:rPr>
                <w:color w:val="000000" w:themeColor="text1"/>
                <w:lang w:eastAsia="ro-RO"/>
              </w:rPr>
              <w:t> </w:t>
            </w:r>
          </w:p>
          <w:p w14:paraId="0FA9ADD6" w14:textId="77777777" w:rsidR="006600A6" w:rsidRPr="00D810D6" w:rsidRDefault="006600A6" w:rsidP="008E33FD">
            <w:pPr>
              <w:jc w:val="both"/>
              <w:rPr>
                <w:color w:val="000000" w:themeColor="text1"/>
                <w:lang w:eastAsia="ro-RO"/>
              </w:rPr>
            </w:pPr>
            <w:r w:rsidRPr="00D810D6">
              <w:rPr>
                <w:color w:val="000000" w:themeColor="text1"/>
                <w:lang w:eastAsia="ro-RO"/>
              </w:rPr>
              <w:t> </w:t>
            </w:r>
          </w:p>
          <w:p w14:paraId="7B7EA8A1" w14:textId="77777777" w:rsidR="006600A6" w:rsidRPr="00D810D6" w:rsidRDefault="006600A6" w:rsidP="008E33FD">
            <w:pPr>
              <w:jc w:val="both"/>
              <w:rPr>
                <w:color w:val="000000" w:themeColor="text1"/>
                <w:lang w:eastAsia="ro-RO"/>
              </w:rPr>
            </w:pPr>
            <w:r w:rsidRPr="00D810D6">
              <w:rPr>
                <w:color w:val="000000" w:themeColor="text1"/>
                <w:lang w:eastAsia="ro-RO"/>
              </w:rPr>
              <w:t> </w:t>
            </w:r>
          </w:p>
          <w:p w14:paraId="45182A0A" w14:textId="77777777" w:rsidR="006600A6" w:rsidRPr="00D810D6" w:rsidRDefault="006600A6" w:rsidP="008E33FD">
            <w:pPr>
              <w:jc w:val="both"/>
              <w:rPr>
                <w:color w:val="000000" w:themeColor="text1"/>
                <w:lang w:eastAsia="ro-RO"/>
              </w:rPr>
            </w:pPr>
            <w:r w:rsidRPr="00D810D6">
              <w:rPr>
                <w:color w:val="000000" w:themeColor="text1"/>
                <w:lang w:eastAsia="ro-RO"/>
              </w:rPr>
              <w:lastRenderedPageBreak/>
              <w:t> </w:t>
            </w:r>
          </w:p>
          <w:p w14:paraId="4B119DB8" w14:textId="77777777" w:rsidR="006600A6" w:rsidRPr="00D810D6" w:rsidRDefault="006600A6"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7DDC7EBF" w14:textId="77777777" w:rsidR="006600A6" w:rsidRPr="00F43752" w:rsidRDefault="006600A6" w:rsidP="00577613">
            <w:pPr>
              <w:rPr>
                <w:color w:val="000000" w:themeColor="text1"/>
                <w:sz w:val="22"/>
                <w:szCs w:val="22"/>
                <w:lang w:eastAsia="ro-RO"/>
              </w:rPr>
            </w:pPr>
            <w:r w:rsidRPr="00F43752">
              <w:rPr>
                <w:color w:val="000000"/>
                <w:sz w:val="22"/>
                <w:szCs w:val="22"/>
              </w:rPr>
              <w:lastRenderedPageBreak/>
              <w:t>ROSCI0021</w:t>
            </w:r>
          </w:p>
        </w:tc>
        <w:tc>
          <w:tcPr>
            <w:tcW w:w="3969" w:type="dxa"/>
            <w:tcBorders>
              <w:top w:val="nil"/>
              <w:left w:val="nil"/>
              <w:bottom w:val="single" w:sz="8" w:space="0" w:color="000000"/>
              <w:right w:val="single" w:sz="8" w:space="0" w:color="000000"/>
            </w:tcBorders>
            <w:shd w:val="clear" w:color="auto" w:fill="auto"/>
          </w:tcPr>
          <w:p w14:paraId="0EF75C9A" w14:textId="77777777" w:rsidR="006600A6" w:rsidRPr="00F43752" w:rsidRDefault="006600A6" w:rsidP="00577613">
            <w:pPr>
              <w:rPr>
                <w:color w:val="000000" w:themeColor="text1"/>
                <w:sz w:val="22"/>
                <w:szCs w:val="22"/>
                <w:lang w:eastAsia="ro-RO"/>
              </w:rPr>
            </w:pPr>
            <w:r w:rsidRPr="00F43752">
              <w:rPr>
                <w:color w:val="000000"/>
                <w:sz w:val="22"/>
                <w:szCs w:val="22"/>
              </w:rPr>
              <w:t>Câmpia Ierului</w:t>
            </w:r>
          </w:p>
        </w:tc>
      </w:tr>
      <w:tr w:rsidR="006600A6" w:rsidRPr="00C56257" w14:paraId="61536064" w14:textId="77777777" w:rsidTr="00993B86">
        <w:trPr>
          <w:trHeight w:val="300"/>
        </w:trPr>
        <w:tc>
          <w:tcPr>
            <w:tcW w:w="4229" w:type="dxa"/>
            <w:vMerge/>
            <w:tcBorders>
              <w:left w:val="single" w:sz="8" w:space="0" w:color="000000"/>
              <w:right w:val="single" w:sz="8" w:space="0" w:color="000000"/>
            </w:tcBorders>
            <w:shd w:val="clear" w:color="auto" w:fill="auto"/>
            <w:vAlign w:val="center"/>
          </w:tcPr>
          <w:p w14:paraId="49BE086C" w14:textId="77777777" w:rsidR="006600A6" w:rsidRPr="00D810D6" w:rsidRDefault="006600A6" w:rsidP="008E33FD">
            <w:pPr>
              <w:jc w:val="both"/>
              <w:rPr>
                <w:i/>
                <w:iCs/>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1A56011C" w14:textId="77777777" w:rsidR="006600A6" w:rsidRPr="00F43752" w:rsidRDefault="00370386" w:rsidP="00577613">
            <w:pPr>
              <w:rPr>
                <w:color w:val="000000" w:themeColor="text1"/>
                <w:sz w:val="22"/>
                <w:szCs w:val="22"/>
                <w:lang w:eastAsia="ro-RO"/>
              </w:rPr>
            </w:pPr>
            <w:r>
              <w:rPr>
                <w:color w:val="000000"/>
                <w:sz w:val="22"/>
                <w:szCs w:val="22"/>
              </w:rPr>
              <w:t>ROSAC</w:t>
            </w:r>
            <w:r w:rsidR="006600A6" w:rsidRPr="00F43752">
              <w:rPr>
                <w:color w:val="000000"/>
                <w:sz w:val="22"/>
                <w:szCs w:val="22"/>
              </w:rPr>
              <w:t>0022</w:t>
            </w:r>
          </w:p>
        </w:tc>
        <w:tc>
          <w:tcPr>
            <w:tcW w:w="3969" w:type="dxa"/>
            <w:tcBorders>
              <w:top w:val="nil"/>
              <w:left w:val="nil"/>
              <w:bottom w:val="single" w:sz="8" w:space="0" w:color="000000"/>
              <w:right w:val="single" w:sz="8" w:space="0" w:color="000000"/>
            </w:tcBorders>
            <w:shd w:val="clear" w:color="auto" w:fill="auto"/>
          </w:tcPr>
          <w:p w14:paraId="70755BE5" w14:textId="77777777" w:rsidR="006600A6" w:rsidRPr="00F43752" w:rsidRDefault="006600A6" w:rsidP="00577613">
            <w:pPr>
              <w:rPr>
                <w:color w:val="000000" w:themeColor="text1"/>
                <w:sz w:val="22"/>
                <w:szCs w:val="22"/>
                <w:lang w:eastAsia="ro-RO"/>
              </w:rPr>
            </w:pPr>
            <w:r w:rsidRPr="00F43752">
              <w:rPr>
                <w:color w:val="000000"/>
                <w:sz w:val="22"/>
                <w:szCs w:val="22"/>
              </w:rPr>
              <w:t>Canaralele Dunării</w:t>
            </w:r>
          </w:p>
        </w:tc>
      </w:tr>
      <w:tr w:rsidR="006600A6" w:rsidRPr="00C56257" w14:paraId="5B9AF45B" w14:textId="77777777" w:rsidTr="00993B86">
        <w:trPr>
          <w:trHeight w:val="300"/>
        </w:trPr>
        <w:tc>
          <w:tcPr>
            <w:tcW w:w="4229" w:type="dxa"/>
            <w:vMerge/>
            <w:tcBorders>
              <w:left w:val="single" w:sz="8" w:space="0" w:color="000000"/>
              <w:right w:val="single" w:sz="8" w:space="0" w:color="000000"/>
            </w:tcBorders>
            <w:shd w:val="clear" w:color="auto" w:fill="auto"/>
          </w:tcPr>
          <w:p w14:paraId="56A5D470" w14:textId="77777777" w:rsidR="006600A6" w:rsidRPr="00D810D6" w:rsidRDefault="006600A6"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32D3AD0C" w14:textId="77777777" w:rsidR="006600A6" w:rsidRPr="00F43752" w:rsidRDefault="003448E7" w:rsidP="00577613">
            <w:pPr>
              <w:rPr>
                <w:color w:val="000000" w:themeColor="text1"/>
                <w:sz w:val="22"/>
                <w:szCs w:val="22"/>
                <w:lang w:eastAsia="ro-RO"/>
              </w:rPr>
            </w:pPr>
            <w:r>
              <w:rPr>
                <w:color w:val="000000"/>
                <w:sz w:val="22"/>
                <w:szCs w:val="22"/>
              </w:rPr>
              <w:t>ROSAC</w:t>
            </w:r>
            <w:r w:rsidR="006600A6" w:rsidRPr="00F43752">
              <w:rPr>
                <w:color w:val="000000"/>
                <w:sz w:val="22"/>
                <w:szCs w:val="22"/>
              </w:rPr>
              <w:t>0027</w:t>
            </w:r>
          </w:p>
        </w:tc>
        <w:tc>
          <w:tcPr>
            <w:tcW w:w="3969" w:type="dxa"/>
            <w:tcBorders>
              <w:top w:val="nil"/>
              <w:left w:val="nil"/>
              <w:bottom w:val="single" w:sz="8" w:space="0" w:color="000000"/>
              <w:right w:val="single" w:sz="8" w:space="0" w:color="000000"/>
            </w:tcBorders>
            <w:shd w:val="clear" w:color="auto" w:fill="auto"/>
          </w:tcPr>
          <w:p w14:paraId="7DA26F76" w14:textId="77777777" w:rsidR="006600A6" w:rsidRPr="00F43752" w:rsidRDefault="006600A6" w:rsidP="00577613">
            <w:pPr>
              <w:rPr>
                <w:color w:val="000000" w:themeColor="text1"/>
                <w:sz w:val="22"/>
                <w:szCs w:val="22"/>
                <w:lang w:eastAsia="ro-RO"/>
              </w:rPr>
            </w:pPr>
            <w:r w:rsidRPr="00F43752">
              <w:rPr>
                <w:color w:val="000000"/>
                <w:sz w:val="22"/>
                <w:szCs w:val="22"/>
              </w:rPr>
              <w:t>Cheile Bicazului - Hășmaș</w:t>
            </w:r>
          </w:p>
        </w:tc>
      </w:tr>
      <w:tr w:rsidR="006600A6" w:rsidRPr="00C56257" w14:paraId="05FC48DF" w14:textId="77777777" w:rsidTr="00993B86">
        <w:trPr>
          <w:trHeight w:val="300"/>
        </w:trPr>
        <w:tc>
          <w:tcPr>
            <w:tcW w:w="4229" w:type="dxa"/>
            <w:vMerge/>
            <w:tcBorders>
              <w:left w:val="single" w:sz="8" w:space="0" w:color="000000"/>
              <w:right w:val="single" w:sz="8" w:space="0" w:color="000000"/>
            </w:tcBorders>
            <w:shd w:val="clear" w:color="auto" w:fill="auto"/>
          </w:tcPr>
          <w:p w14:paraId="629D35E0" w14:textId="77777777" w:rsidR="006600A6" w:rsidRPr="00D810D6" w:rsidRDefault="006600A6"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4428C504" w14:textId="77777777" w:rsidR="006600A6" w:rsidRPr="00F43752" w:rsidRDefault="003448E7" w:rsidP="00577613">
            <w:pPr>
              <w:rPr>
                <w:color w:val="000000" w:themeColor="text1"/>
                <w:sz w:val="22"/>
                <w:szCs w:val="22"/>
                <w:lang w:eastAsia="ro-RO"/>
              </w:rPr>
            </w:pPr>
            <w:r>
              <w:rPr>
                <w:color w:val="000000"/>
                <w:sz w:val="22"/>
                <w:szCs w:val="22"/>
              </w:rPr>
              <w:t>ROSAC</w:t>
            </w:r>
            <w:r w:rsidR="006600A6" w:rsidRPr="00F43752">
              <w:rPr>
                <w:color w:val="000000"/>
                <w:sz w:val="22"/>
                <w:szCs w:val="22"/>
              </w:rPr>
              <w:t>0039</w:t>
            </w:r>
          </w:p>
        </w:tc>
        <w:tc>
          <w:tcPr>
            <w:tcW w:w="3969" w:type="dxa"/>
            <w:tcBorders>
              <w:top w:val="nil"/>
              <w:left w:val="nil"/>
              <w:bottom w:val="single" w:sz="8" w:space="0" w:color="000000"/>
              <w:right w:val="single" w:sz="8" w:space="0" w:color="000000"/>
            </w:tcBorders>
            <w:shd w:val="clear" w:color="auto" w:fill="auto"/>
          </w:tcPr>
          <w:p w14:paraId="6B1B00D8" w14:textId="77777777" w:rsidR="006600A6" w:rsidRPr="00F43752" w:rsidRDefault="006600A6" w:rsidP="00577613">
            <w:pPr>
              <w:rPr>
                <w:color w:val="000000" w:themeColor="text1"/>
                <w:sz w:val="22"/>
                <w:szCs w:val="22"/>
                <w:lang w:eastAsia="ro-RO"/>
              </w:rPr>
            </w:pPr>
            <w:r w:rsidRPr="00F43752">
              <w:rPr>
                <w:color w:val="000000"/>
                <w:sz w:val="22"/>
                <w:szCs w:val="22"/>
              </w:rPr>
              <w:t>Ciuperceni - Desa</w:t>
            </w:r>
          </w:p>
        </w:tc>
      </w:tr>
      <w:tr w:rsidR="006600A6" w:rsidRPr="00C56257" w14:paraId="501FFCD1" w14:textId="77777777" w:rsidTr="00993B86">
        <w:trPr>
          <w:trHeight w:val="300"/>
        </w:trPr>
        <w:tc>
          <w:tcPr>
            <w:tcW w:w="4229" w:type="dxa"/>
            <w:vMerge/>
            <w:tcBorders>
              <w:left w:val="single" w:sz="8" w:space="0" w:color="000000"/>
              <w:right w:val="single" w:sz="8" w:space="0" w:color="000000"/>
            </w:tcBorders>
            <w:shd w:val="clear" w:color="auto" w:fill="auto"/>
          </w:tcPr>
          <w:p w14:paraId="3A8443CA" w14:textId="77777777" w:rsidR="006600A6" w:rsidRPr="00D810D6" w:rsidRDefault="006600A6"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7F297FBC" w14:textId="77777777" w:rsidR="006600A6" w:rsidRPr="00F43752" w:rsidRDefault="006600A6" w:rsidP="00577613">
            <w:pPr>
              <w:rPr>
                <w:color w:val="000000" w:themeColor="text1"/>
                <w:sz w:val="22"/>
                <w:szCs w:val="22"/>
                <w:lang w:eastAsia="ro-RO"/>
              </w:rPr>
            </w:pPr>
            <w:r w:rsidRPr="00F43752">
              <w:rPr>
                <w:color w:val="000000"/>
                <w:sz w:val="22"/>
                <w:szCs w:val="22"/>
              </w:rPr>
              <w:t>ROSCI0043</w:t>
            </w:r>
          </w:p>
        </w:tc>
        <w:tc>
          <w:tcPr>
            <w:tcW w:w="3969" w:type="dxa"/>
            <w:tcBorders>
              <w:top w:val="nil"/>
              <w:left w:val="nil"/>
              <w:bottom w:val="single" w:sz="8" w:space="0" w:color="000000"/>
              <w:right w:val="single" w:sz="8" w:space="0" w:color="000000"/>
            </w:tcBorders>
            <w:shd w:val="clear" w:color="auto" w:fill="auto"/>
          </w:tcPr>
          <w:p w14:paraId="761649F4" w14:textId="77777777" w:rsidR="006600A6" w:rsidRPr="00F43752" w:rsidRDefault="006600A6" w:rsidP="00577613">
            <w:pPr>
              <w:rPr>
                <w:color w:val="000000" w:themeColor="text1"/>
                <w:sz w:val="22"/>
                <w:szCs w:val="22"/>
                <w:lang w:eastAsia="ro-RO"/>
              </w:rPr>
            </w:pPr>
            <w:r w:rsidRPr="00F43752">
              <w:rPr>
                <w:color w:val="000000"/>
                <w:sz w:val="22"/>
                <w:szCs w:val="22"/>
              </w:rPr>
              <w:t>Comana</w:t>
            </w:r>
          </w:p>
        </w:tc>
      </w:tr>
      <w:tr w:rsidR="006600A6" w:rsidRPr="00C56257" w14:paraId="37C35F00" w14:textId="77777777" w:rsidTr="00993B86">
        <w:trPr>
          <w:trHeight w:val="300"/>
        </w:trPr>
        <w:tc>
          <w:tcPr>
            <w:tcW w:w="4229" w:type="dxa"/>
            <w:vMerge/>
            <w:tcBorders>
              <w:left w:val="single" w:sz="8" w:space="0" w:color="000000"/>
              <w:right w:val="single" w:sz="8" w:space="0" w:color="000000"/>
            </w:tcBorders>
            <w:shd w:val="clear" w:color="auto" w:fill="auto"/>
          </w:tcPr>
          <w:p w14:paraId="7632BC68" w14:textId="77777777" w:rsidR="006600A6" w:rsidRPr="00D810D6" w:rsidRDefault="006600A6"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1372E3DC" w14:textId="77777777" w:rsidR="006600A6" w:rsidRPr="00F43752" w:rsidRDefault="006600A6" w:rsidP="00577613">
            <w:pPr>
              <w:rPr>
                <w:color w:val="000000" w:themeColor="text1"/>
                <w:sz w:val="22"/>
                <w:szCs w:val="22"/>
                <w:lang w:eastAsia="ro-RO"/>
              </w:rPr>
            </w:pPr>
            <w:r w:rsidRPr="00F43752">
              <w:rPr>
                <w:color w:val="000000"/>
                <w:sz w:val="22"/>
                <w:szCs w:val="22"/>
              </w:rPr>
              <w:t>ROSCI0045</w:t>
            </w:r>
          </w:p>
        </w:tc>
        <w:tc>
          <w:tcPr>
            <w:tcW w:w="3969" w:type="dxa"/>
            <w:tcBorders>
              <w:top w:val="nil"/>
              <w:left w:val="nil"/>
              <w:bottom w:val="single" w:sz="8" w:space="0" w:color="000000"/>
              <w:right w:val="single" w:sz="8" w:space="0" w:color="000000"/>
            </w:tcBorders>
            <w:shd w:val="clear" w:color="auto" w:fill="auto"/>
          </w:tcPr>
          <w:p w14:paraId="399C2EFC" w14:textId="77777777" w:rsidR="006600A6" w:rsidRPr="00F43752" w:rsidRDefault="006600A6" w:rsidP="00577613">
            <w:pPr>
              <w:rPr>
                <w:color w:val="000000" w:themeColor="text1"/>
                <w:sz w:val="22"/>
                <w:szCs w:val="22"/>
                <w:lang w:eastAsia="ro-RO"/>
              </w:rPr>
            </w:pPr>
            <w:r w:rsidRPr="00F43752">
              <w:rPr>
                <w:color w:val="000000"/>
                <w:sz w:val="22"/>
                <w:szCs w:val="22"/>
              </w:rPr>
              <w:t>Coridorul Jiului</w:t>
            </w:r>
          </w:p>
        </w:tc>
      </w:tr>
      <w:tr w:rsidR="006600A6" w:rsidRPr="00C56257" w14:paraId="269A9DB8" w14:textId="77777777" w:rsidTr="00993B86">
        <w:trPr>
          <w:trHeight w:val="300"/>
        </w:trPr>
        <w:tc>
          <w:tcPr>
            <w:tcW w:w="4229" w:type="dxa"/>
            <w:vMerge/>
            <w:tcBorders>
              <w:left w:val="single" w:sz="8" w:space="0" w:color="000000"/>
              <w:right w:val="single" w:sz="8" w:space="0" w:color="000000"/>
            </w:tcBorders>
            <w:shd w:val="clear" w:color="auto" w:fill="auto"/>
          </w:tcPr>
          <w:p w14:paraId="5D205A97" w14:textId="77777777" w:rsidR="006600A6" w:rsidRPr="00D810D6" w:rsidRDefault="006600A6"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3D4039A8" w14:textId="77777777" w:rsidR="006600A6" w:rsidRPr="00F43752" w:rsidRDefault="003448E7" w:rsidP="00577613">
            <w:pPr>
              <w:rPr>
                <w:color w:val="000000" w:themeColor="text1"/>
                <w:sz w:val="22"/>
                <w:szCs w:val="22"/>
                <w:lang w:eastAsia="ro-RO"/>
              </w:rPr>
            </w:pPr>
            <w:r>
              <w:rPr>
                <w:color w:val="000000"/>
                <w:sz w:val="22"/>
                <w:szCs w:val="22"/>
              </w:rPr>
              <w:t>ROSAC</w:t>
            </w:r>
            <w:r w:rsidR="006600A6" w:rsidRPr="00F43752">
              <w:rPr>
                <w:color w:val="000000"/>
                <w:sz w:val="22"/>
                <w:szCs w:val="22"/>
              </w:rPr>
              <w:t>0049</w:t>
            </w:r>
          </w:p>
        </w:tc>
        <w:tc>
          <w:tcPr>
            <w:tcW w:w="3969" w:type="dxa"/>
            <w:tcBorders>
              <w:top w:val="nil"/>
              <w:left w:val="nil"/>
              <w:bottom w:val="single" w:sz="8" w:space="0" w:color="000000"/>
              <w:right w:val="single" w:sz="8" w:space="0" w:color="000000"/>
            </w:tcBorders>
            <w:shd w:val="clear" w:color="auto" w:fill="auto"/>
          </w:tcPr>
          <w:p w14:paraId="63F0C3F6" w14:textId="77777777" w:rsidR="006600A6" w:rsidRPr="00F43752" w:rsidRDefault="006600A6" w:rsidP="00577613">
            <w:pPr>
              <w:rPr>
                <w:color w:val="000000" w:themeColor="text1"/>
                <w:sz w:val="22"/>
                <w:szCs w:val="22"/>
                <w:lang w:eastAsia="ro-RO"/>
              </w:rPr>
            </w:pPr>
            <w:r w:rsidRPr="00F43752">
              <w:rPr>
                <w:color w:val="000000"/>
                <w:sz w:val="22"/>
                <w:szCs w:val="22"/>
              </w:rPr>
              <w:t>Crișul Negru</w:t>
            </w:r>
          </w:p>
        </w:tc>
      </w:tr>
      <w:tr w:rsidR="006600A6" w:rsidRPr="00C56257" w14:paraId="08E7E05A" w14:textId="77777777" w:rsidTr="00993B86">
        <w:trPr>
          <w:trHeight w:val="300"/>
        </w:trPr>
        <w:tc>
          <w:tcPr>
            <w:tcW w:w="4229" w:type="dxa"/>
            <w:vMerge/>
            <w:tcBorders>
              <w:left w:val="single" w:sz="8" w:space="0" w:color="000000"/>
              <w:right w:val="single" w:sz="8" w:space="0" w:color="000000"/>
            </w:tcBorders>
            <w:shd w:val="clear" w:color="auto" w:fill="auto"/>
          </w:tcPr>
          <w:p w14:paraId="14A15E29" w14:textId="77777777" w:rsidR="006600A6" w:rsidRPr="00D810D6" w:rsidRDefault="006600A6"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0DA5F4DC" w14:textId="77777777" w:rsidR="006600A6" w:rsidRPr="00F43752" w:rsidRDefault="003448E7" w:rsidP="00577613">
            <w:pPr>
              <w:rPr>
                <w:color w:val="000000" w:themeColor="text1"/>
                <w:sz w:val="22"/>
                <w:szCs w:val="22"/>
                <w:lang w:eastAsia="ro-RO"/>
              </w:rPr>
            </w:pPr>
            <w:r>
              <w:rPr>
                <w:color w:val="000000"/>
                <w:sz w:val="22"/>
                <w:szCs w:val="22"/>
              </w:rPr>
              <w:t>ROSAC</w:t>
            </w:r>
            <w:r w:rsidR="006600A6" w:rsidRPr="00F43752">
              <w:rPr>
                <w:color w:val="000000"/>
                <w:sz w:val="22"/>
                <w:szCs w:val="22"/>
              </w:rPr>
              <w:t>0050</w:t>
            </w:r>
          </w:p>
        </w:tc>
        <w:tc>
          <w:tcPr>
            <w:tcW w:w="3969" w:type="dxa"/>
            <w:tcBorders>
              <w:top w:val="nil"/>
              <w:left w:val="nil"/>
              <w:bottom w:val="single" w:sz="8" w:space="0" w:color="000000"/>
              <w:right w:val="single" w:sz="8" w:space="0" w:color="000000"/>
            </w:tcBorders>
            <w:shd w:val="clear" w:color="auto" w:fill="auto"/>
          </w:tcPr>
          <w:p w14:paraId="32AF449C" w14:textId="77777777" w:rsidR="006600A6" w:rsidRPr="00F43752" w:rsidRDefault="006600A6" w:rsidP="00577613">
            <w:pPr>
              <w:rPr>
                <w:color w:val="000000" w:themeColor="text1"/>
                <w:sz w:val="22"/>
                <w:szCs w:val="22"/>
                <w:lang w:eastAsia="ro-RO"/>
              </w:rPr>
            </w:pPr>
            <w:r w:rsidRPr="00F43752">
              <w:rPr>
                <w:color w:val="000000"/>
                <w:sz w:val="22"/>
                <w:szCs w:val="22"/>
              </w:rPr>
              <w:t>Crișul Repede amonte de Oradea</w:t>
            </w:r>
          </w:p>
        </w:tc>
      </w:tr>
      <w:tr w:rsidR="006600A6" w:rsidRPr="00C56257" w14:paraId="2BC5BBE9" w14:textId="77777777" w:rsidTr="00993B86">
        <w:trPr>
          <w:trHeight w:val="300"/>
        </w:trPr>
        <w:tc>
          <w:tcPr>
            <w:tcW w:w="4229" w:type="dxa"/>
            <w:vMerge/>
            <w:tcBorders>
              <w:left w:val="single" w:sz="8" w:space="0" w:color="000000"/>
              <w:right w:val="single" w:sz="8" w:space="0" w:color="000000"/>
            </w:tcBorders>
            <w:shd w:val="clear" w:color="auto" w:fill="auto"/>
          </w:tcPr>
          <w:p w14:paraId="4296A1B4" w14:textId="77777777" w:rsidR="006600A6" w:rsidRPr="00D810D6" w:rsidRDefault="006600A6"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27C65B65" w14:textId="77777777" w:rsidR="006600A6" w:rsidRPr="00F43752" w:rsidRDefault="006600A6" w:rsidP="00577613">
            <w:pPr>
              <w:rPr>
                <w:color w:val="000000" w:themeColor="text1"/>
                <w:sz w:val="22"/>
                <w:szCs w:val="22"/>
                <w:lang w:eastAsia="ro-RO"/>
              </w:rPr>
            </w:pPr>
            <w:r w:rsidRPr="00F43752">
              <w:rPr>
                <w:color w:val="000000"/>
                <w:sz w:val="22"/>
                <w:szCs w:val="22"/>
              </w:rPr>
              <w:t>ROSCI0065</w:t>
            </w:r>
          </w:p>
        </w:tc>
        <w:tc>
          <w:tcPr>
            <w:tcW w:w="3969" w:type="dxa"/>
            <w:tcBorders>
              <w:top w:val="nil"/>
              <w:left w:val="nil"/>
              <w:bottom w:val="single" w:sz="8" w:space="0" w:color="000000"/>
              <w:right w:val="single" w:sz="8" w:space="0" w:color="000000"/>
            </w:tcBorders>
            <w:shd w:val="clear" w:color="auto" w:fill="auto"/>
          </w:tcPr>
          <w:p w14:paraId="7FAD05D5" w14:textId="77777777" w:rsidR="006600A6" w:rsidRPr="00F43752" w:rsidRDefault="006600A6" w:rsidP="00577613">
            <w:pPr>
              <w:rPr>
                <w:color w:val="000000" w:themeColor="text1"/>
                <w:sz w:val="22"/>
                <w:szCs w:val="22"/>
                <w:lang w:eastAsia="ro-RO"/>
              </w:rPr>
            </w:pPr>
            <w:r w:rsidRPr="00F43752">
              <w:rPr>
                <w:color w:val="000000"/>
                <w:sz w:val="22"/>
                <w:szCs w:val="22"/>
              </w:rPr>
              <w:t>Delta Dunării</w:t>
            </w:r>
          </w:p>
        </w:tc>
      </w:tr>
      <w:tr w:rsidR="006600A6" w:rsidRPr="00C56257" w14:paraId="0BB44581" w14:textId="77777777" w:rsidTr="00993B86">
        <w:trPr>
          <w:trHeight w:val="300"/>
        </w:trPr>
        <w:tc>
          <w:tcPr>
            <w:tcW w:w="4229" w:type="dxa"/>
            <w:vMerge/>
            <w:tcBorders>
              <w:left w:val="single" w:sz="8" w:space="0" w:color="000000"/>
              <w:right w:val="single" w:sz="8" w:space="0" w:color="000000"/>
            </w:tcBorders>
            <w:shd w:val="clear" w:color="auto" w:fill="auto"/>
          </w:tcPr>
          <w:p w14:paraId="5BC6931D" w14:textId="77777777" w:rsidR="006600A6" w:rsidRPr="00D810D6" w:rsidRDefault="006600A6"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6C06A596" w14:textId="77777777" w:rsidR="006600A6" w:rsidRPr="00F43752" w:rsidRDefault="003448E7" w:rsidP="00577613">
            <w:pPr>
              <w:rPr>
                <w:color w:val="000000" w:themeColor="text1"/>
                <w:sz w:val="22"/>
                <w:szCs w:val="22"/>
                <w:lang w:eastAsia="ro-RO"/>
              </w:rPr>
            </w:pPr>
            <w:r>
              <w:rPr>
                <w:color w:val="000000"/>
                <w:sz w:val="22"/>
                <w:szCs w:val="22"/>
              </w:rPr>
              <w:t>ROSAC</w:t>
            </w:r>
            <w:r w:rsidR="006600A6" w:rsidRPr="00F43752">
              <w:rPr>
                <w:color w:val="000000"/>
                <w:sz w:val="22"/>
                <w:szCs w:val="22"/>
              </w:rPr>
              <w:t>0068</w:t>
            </w:r>
          </w:p>
        </w:tc>
        <w:tc>
          <w:tcPr>
            <w:tcW w:w="3969" w:type="dxa"/>
            <w:tcBorders>
              <w:top w:val="nil"/>
              <w:left w:val="nil"/>
              <w:bottom w:val="single" w:sz="8" w:space="0" w:color="000000"/>
              <w:right w:val="single" w:sz="8" w:space="0" w:color="000000"/>
            </w:tcBorders>
            <w:shd w:val="clear" w:color="auto" w:fill="auto"/>
          </w:tcPr>
          <w:p w14:paraId="560B5477" w14:textId="77777777" w:rsidR="006600A6" w:rsidRPr="00F43752" w:rsidRDefault="006600A6" w:rsidP="00577613">
            <w:pPr>
              <w:rPr>
                <w:color w:val="000000" w:themeColor="text1"/>
                <w:sz w:val="22"/>
                <w:szCs w:val="22"/>
                <w:lang w:eastAsia="ro-RO"/>
              </w:rPr>
            </w:pPr>
            <w:r w:rsidRPr="00F43752">
              <w:rPr>
                <w:color w:val="000000"/>
                <w:sz w:val="22"/>
                <w:szCs w:val="22"/>
              </w:rPr>
              <w:t>Diosig</w:t>
            </w:r>
          </w:p>
        </w:tc>
      </w:tr>
      <w:tr w:rsidR="006600A6" w:rsidRPr="00C56257" w14:paraId="28CD3351" w14:textId="77777777" w:rsidTr="00993B86">
        <w:trPr>
          <w:trHeight w:val="300"/>
        </w:trPr>
        <w:tc>
          <w:tcPr>
            <w:tcW w:w="4229" w:type="dxa"/>
            <w:vMerge/>
            <w:tcBorders>
              <w:left w:val="single" w:sz="8" w:space="0" w:color="000000"/>
              <w:bottom w:val="nil"/>
              <w:right w:val="single" w:sz="8" w:space="0" w:color="000000"/>
            </w:tcBorders>
            <w:shd w:val="clear" w:color="auto" w:fill="auto"/>
          </w:tcPr>
          <w:p w14:paraId="1DDB2B66" w14:textId="77777777" w:rsidR="006600A6" w:rsidRPr="00D810D6" w:rsidRDefault="006600A6"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7C1CB11B" w14:textId="77777777" w:rsidR="006600A6" w:rsidRPr="00F43752" w:rsidRDefault="003448E7" w:rsidP="00577613">
            <w:pPr>
              <w:rPr>
                <w:color w:val="000000" w:themeColor="text1"/>
                <w:sz w:val="22"/>
                <w:szCs w:val="22"/>
                <w:lang w:eastAsia="ro-RO"/>
              </w:rPr>
            </w:pPr>
            <w:r>
              <w:rPr>
                <w:color w:val="000000"/>
                <w:sz w:val="22"/>
                <w:szCs w:val="22"/>
              </w:rPr>
              <w:t>ROSAC</w:t>
            </w:r>
            <w:r w:rsidR="006600A6" w:rsidRPr="00F43752">
              <w:rPr>
                <w:color w:val="000000"/>
                <w:sz w:val="22"/>
                <w:szCs w:val="22"/>
              </w:rPr>
              <w:t>0071</w:t>
            </w:r>
          </w:p>
        </w:tc>
        <w:tc>
          <w:tcPr>
            <w:tcW w:w="3969" w:type="dxa"/>
            <w:tcBorders>
              <w:top w:val="nil"/>
              <w:left w:val="nil"/>
              <w:bottom w:val="single" w:sz="8" w:space="0" w:color="000000"/>
              <w:right w:val="single" w:sz="8" w:space="0" w:color="000000"/>
            </w:tcBorders>
            <w:shd w:val="clear" w:color="auto" w:fill="auto"/>
          </w:tcPr>
          <w:p w14:paraId="73C35CD4" w14:textId="77777777" w:rsidR="006600A6" w:rsidRPr="00F43752" w:rsidRDefault="006600A6" w:rsidP="00577613">
            <w:pPr>
              <w:rPr>
                <w:color w:val="000000" w:themeColor="text1"/>
                <w:sz w:val="22"/>
                <w:szCs w:val="22"/>
                <w:lang w:eastAsia="ro-RO"/>
              </w:rPr>
            </w:pPr>
            <w:r w:rsidRPr="00F43752">
              <w:rPr>
                <w:color w:val="000000"/>
                <w:sz w:val="22"/>
                <w:szCs w:val="22"/>
              </w:rPr>
              <w:t>Dumbrăveni - Valea Urluia - Lacul Vederoasa</w:t>
            </w:r>
          </w:p>
        </w:tc>
      </w:tr>
      <w:tr w:rsidR="001C3A40" w:rsidRPr="00C56257" w14:paraId="3E8AE3F4"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63367F78" w14:textId="77777777" w:rsidR="001C3A40" w:rsidRPr="00D810D6" w:rsidRDefault="001C3A40"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3CC4FEA7" w14:textId="77777777" w:rsidR="001C3A40" w:rsidRPr="00F43752" w:rsidRDefault="001C3A40" w:rsidP="00577613">
            <w:pPr>
              <w:rPr>
                <w:color w:val="000000" w:themeColor="text1"/>
                <w:sz w:val="22"/>
                <w:szCs w:val="22"/>
                <w:lang w:eastAsia="ro-RO"/>
              </w:rPr>
            </w:pPr>
            <w:r w:rsidRPr="00F43752">
              <w:rPr>
                <w:color w:val="000000"/>
                <w:sz w:val="22"/>
                <w:szCs w:val="22"/>
              </w:rPr>
              <w:t>ROSCI0077</w:t>
            </w:r>
          </w:p>
        </w:tc>
        <w:tc>
          <w:tcPr>
            <w:tcW w:w="3969" w:type="dxa"/>
            <w:tcBorders>
              <w:top w:val="nil"/>
              <w:left w:val="nil"/>
              <w:bottom w:val="single" w:sz="8" w:space="0" w:color="000000"/>
              <w:right w:val="single" w:sz="8" w:space="0" w:color="000000"/>
            </w:tcBorders>
            <w:shd w:val="clear" w:color="auto" w:fill="auto"/>
          </w:tcPr>
          <w:p w14:paraId="6C6A2142" w14:textId="77777777" w:rsidR="001C3A40" w:rsidRPr="00F43752" w:rsidRDefault="001C3A40" w:rsidP="00577613">
            <w:pPr>
              <w:rPr>
                <w:color w:val="000000" w:themeColor="text1"/>
                <w:sz w:val="22"/>
                <w:szCs w:val="22"/>
                <w:lang w:eastAsia="ro-RO"/>
              </w:rPr>
            </w:pPr>
            <w:r w:rsidRPr="00F43752">
              <w:rPr>
                <w:color w:val="000000"/>
                <w:sz w:val="22"/>
                <w:szCs w:val="22"/>
              </w:rPr>
              <w:t>Fânațele Bârca</w:t>
            </w:r>
          </w:p>
        </w:tc>
      </w:tr>
      <w:tr w:rsidR="001C3A40" w:rsidRPr="00C56257" w14:paraId="125487A6"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7157CE98" w14:textId="77777777" w:rsidR="001C3A40" w:rsidRPr="00D810D6" w:rsidRDefault="001C3A40"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509D9DF2" w14:textId="77777777" w:rsidR="001C3A40" w:rsidRPr="00F43752" w:rsidRDefault="003448E7" w:rsidP="00577613">
            <w:pPr>
              <w:rPr>
                <w:color w:val="000000" w:themeColor="text1"/>
                <w:sz w:val="22"/>
                <w:szCs w:val="22"/>
                <w:lang w:eastAsia="ro-RO"/>
              </w:rPr>
            </w:pPr>
            <w:r>
              <w:rPr>
                <w:color w:val="000000"/>
                <w:sz w:val="22"/>
                <w:szCs w:val="22"/>
              </w:rPr>
              <w:t>ROSAC</w:t>
            </w:r>
            <w:r w:rsidR="001C3A40" w:rsidRPr="00F43752">
              <w:rPr>
                <w:color w:val="000000"/>
                <w:sz w:val="22"/>
                <w:szCs w:val="22"/>
              </w:rPr>
              <w:t>0099</w:t>
            </w:r>
          </w:p>
        </w:tc>
        <w:tc>
          <w:tcPr>
            <w:tcW w:w="3969" w:type="dxa"/>
            <w:tcBorders>
              <w:top w:val="nil"/>
              <w:left w:val="nil"/>
              <w:bottom w:val="single" w:sz="8" w:space="0" w:color="000000"/>
              <w:right w:val="single" w:sz="8" w:space="0" w:color="000000"/>
            </w:tcBorders>
            <w:shd w:val="clear" w:color="auto" w:fill="auto"/>
          </w:tcPr>
          <w:p w14:paraId="49C12927" w14:textId="77777777" w:rsidR="001C3A40" w:rsidRPr="00F43752" w:rsidRDefault="001C3A40" w:rsidP="00577613">
            <w:pPr>
              <w:rPr>
                <w:color w:val="000000" w:themeColor="text1"/>
                <w:sz w:val="22"/>
                <w:szCs w:val="22"/>
                <w:lang w:eastAsia="ro-RO"/>
              </w:rPr>
            </w:pPr>
            <w:r w:rsidRPr="00F43752">
              <w:rPr>
                <w:color w:val="000000"/>
                <w:sz w:val="22"/>
                <w:szCs w:val="22"/>
              </w:rPr>
              <w:t>Lacul Știucilor - Sic - Puini - Bonțida</w:t>
            </w:r>
          </w:p>
        </w:tc>
      </w:tr>
      <w:tr w:rsidR="001C3A40" w:rsidRPr="00C56257" w14:paraId="6298EEAF"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4FE4B3E9" w14:textId="77777777" w:rsidR="001C3A40" w:rsidRPr="00D810D6" w:rsidRDefault="001C3A40"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13D6CBDC" w14:textId="77777777" w:rsidR="001C3A40" w:rsidRPr="00F43752" w:rsidRDefault="003448E7" w:rsidP="00577613">
            <w:pPr>
              <w:rPr>
                <w:color w:val="000000" w:themeColor="text1"/>
                <w:sz w:val="22"/>
                <w:szCs w:val="22"/>
                <w:lang w:eastAsia="ro-RO"/>
              </w:rPr>
            </w:pPr>
            <w:r>
              <w:rPr>
                <w:color w:val="000000"/>
                <w:sz w:val="22"/>
                <w:szCs w:val="22"/>
              </w:rPr>
              <w:t>ROSAC</w:t>
            </w:r>
            <w:r w:rsidR="001C3A40" w:rsidRPr="00F43752">
              <w:rPr>
                <w:color w:val="000000"/>
                <w:sz w:val="22"/>
                <w:szCs w:val="22"/>
              </w:rPr>
              <w:t>0104</w:t>
            </w:r>
          </w:p>
        </w:tc>
        <w:tc>
          <w:tcPr>
            <w:tcW w:w="3969" w:type="dxa"/>
            <w:tcBorders>
              <w:top w:val="nil"/>
              <w:left w:val="nil"/>
              <w:bottom w:val="single" w:sz="8" w:space="0" w:color="000000"/>
              <w:right w:val="single" w:sz="8" w:space="0" w:color="000000"/>
            </w:tcBorders>
            <w:shd w:val="clear" w:color="auto" w:fill="auto"/>
          </w:tcPr>
          <w:p w14:paraId="32578513" w14:textId="77777777" w:rsidR="001C3A40" w:rsidRPr="00F43752" w:rsidRDefault="001C3A40" w:rsidP="00577613">
            <w:pPr>
              <w:rPr>
                <w:color w:val="000000" w:themeColor="text1"/>
                <w:sz w:val="22"/>
                <w:szCs w:val="22"/>
                <w:lang w:eastAsia="ro-RO"/>
              </w:rPr>
            </w:pPr>
            <w:r w:rsidRPr="00F43752">
              <w:rPr>
                <w:color w:val="000000"/>
                <w:sz w:val="22"/>
                <w:szCs w:val="22"/>
              </w:rPr>
              <w:t>Lunca Inferioară a Crișului Repede</w:t>
            </w:r>
          </w:p>
        </w:tc>
      </w:tr>
      <w:tr w:rsidR="001C3A40" w:rsidRPr="00C56257" w14:paraId="0FF56821" w14:textId="77777777" w:rsidTr="00577613">
        <w:trPr>
          <w:trHeight w:val="300"/>
        </w:trPr>
        <w:tc>
          <w:tcPr>
            <w:tcW w:w="4229" w:type="dxa"/>
            <w:tcBorders>
              <w:top w:val="nil"/>
              <w:left w:val="single" w:sz="8" w:space="0" w:color="000000"/>
              <w:bottom w:val="single" w:sz="8" w:space="0" w:color="000000"/>
              <w:right w:val="single" w:sz="8" w:space="0" w:color="000000"/>
            </w:tcBorders>
            <w:shd w:val="clear" w:color="auto" w:fill="auto"/>
          </w:tcPr>
          <w:p w14:paraId="2009A60A" w14:textId="77777777" w:rsidR="001C3A40" w:rsidRPr="00D810D6" w:rsidRDefault="001C3A40"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2D3387C7" w14:textId="77777777" w:rsidR="001C3A40" w:rsidRPr="00F43752" w:rsidRDefault="001C3A40" w:rsidP="00577613">
            <w:pPr>
              <w:rPr>
                <w:color w:val="000000" w:themeColor="text1"/>
                <w:sz w:val="22"/>
                <w:szCs w:val="22"/>
                <w:lang w:eastAsia="ro-RO"/>
              </w:rPr>
            </w:pPr>
            <w:r w:rsidRPr="00F43752">
              <w:rPr>
                <w:color w:val="000000"/>
                <w:sz w:val="22"/>
                <w:szCs w:val="22"/>
              </w:rPr>
              <w:t>ROSCI0105</w:t>
            </w:r>
          </w:p>
        </w:tc>
        <w:tc>
          <w:tcPr>
            <w:tcW w:w="3969" w:type="dxa"/>
            <w:tcBorders>
              <w:top w:val="nil"/>
              <w:left w:val="nil"/>
              <w:bottom w:val="single" w:sz="8" w:space="0" w:color="000000"/>
              <w:right w:val="single" w:sz="8" w:space="0" w:color="000000"/>
            </w:tcBorders>
            <w:shd w:val="clear" w:color="auto" w:fill="auto"/>
          </w:tcPr>
          <w:p w14:paraId="2CECB556" w14:textId="77777777" w:rsidR="001C3A40" w:rsidRPr="00F43752" w:rsidRDefault="001C3A40" w:rsidP="00577613">
            <w:pPr>
              <w:rPr>
                <w:color w:val="000000" w:themeColor="text1"/>
                <w:sz w:val="22"/>
                <w:szCs w:val="22"/>
                <w:lang w:eastAsia="ro-RO"/>
              </w:rPr>
            </w:pPr>
            <w:r w:rsidRPr="00F43752">
              <w:rPr>
                <w:color w:val="000000"/>
                <w:sz w:val="22"/>
                <w:szCs w:val="22"/>
              </w:rPr>
              <w:t>Lunca Joasă a Prutului</w:t>
            </w:r>
          </w:p>
        </w:tc>
      </w:tr>
      <w:tr w:rsidR="001C3A40" w:rsidRPr="00C56257" w14:paraId="1C8431BB"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54A88331" w14:textId="77777777" w:rsidR="001C3A40" w:rsidRPr="00D810D6" w:rsidRDefault="001C3A40" w:rsidP="008E33FD">
            <w:pPr>
              <w:jc w:val="both"/>
              <w:rPr>
                <w:color w:val="000000" w:themeColor="text1"/>
                <w:lang w:eastAsia="ro-RO"/>
              </w:rPr>
            </w:pPr>
            <w:r w:rsidRPr="00D810D6">
              <w:rPr>
                <w:color w:val="000000" w:themeColor="text1"/>
                <w:lang w:eastAsia="ro-RO"/>
              </w:rPr>
              <w:t> 3160 - Lacuri distrofice şi iazuri</w:t>
            </w:r>
          </w:p>
        </w:tc>
        <w:tc>
          <w:tcPr>
            <w:tcW w:w="1701" w:type="dxa"/>
            <w:tcBorders>
              <w:top w:val="nil"/>
              <w:left w:val="nil"/>
              <w:bottom w:val="single" w:sz="8" w:space="0" w:color="000000"/>
              <w:right w:val="single" w:sz="8" w:space="0" w:color="000000"/>
            </w:tcBorders>
            <w:shd w:val="clear" w:color="auto" w:fill="auto"/>
          </w:tcPr>
          <w:p w14:paraId="5FBDDA65" w14:textId="77777777" w:rsidR="001C3A40" w:rsidRPr="00F43752" w:rsidRDefault="003448E7" w:rsidP="00577613">
            <w:pPr>
              <w:rPr>
                <w:color w:val="000000" w:themeColor="text1"/>
                <w:sz w:val="22"/>
                <w:szCs w:val="22"/>
                <w:lang w:eastAsia="ro-RO"/>
              </w:rPr>
            </w:pPr>
            <w:r>
              <w:rPr>
                <w:color w:val="000000"/>
                <w:sz w:val="22"/>
                <w:szCs w:val="22"/>
              </w:rPr>
              <w:t>ROSAC</w:t>
            </w:r>
            <w:r w:rsidR="001C3A40" w:rsidRPr="00F43752">
              <w:rPr>
                <w:color w:val="000000"/>
                <w:sz w:val="22"/>
                <w:szCs w:val="22"/>
              </w:rPr>
              <w:t>0108</w:t>
            </w:r>
          </w:p>
        </w:tc>
        <w:tc>
          <w:tcPr>
            <w:tcW w:w="3969" w:type="dxa"/>
            <w:tcBorders>
              <w:top w:val="nil"/>
              <w:left w:val="nil"/>
              <w:bottom w:val="single" w:sz="8" w:space="0" w:color="000000"/>
              <w:right w:val="single" w:sz="8" w:space="0" w:color="000000"/>
            </w:tcBorders>
            <w:shd w:val="clear" w:color="auto" w:fill="auto"/>
          </w:tcPr>
          <w:p w14:paraId="11704E9A" w14:textId="77777777" w:rsidR="001C3A40" w:rsidRPr="00F43752" w:rsidRDefault="001C3A40" w:rsidP="00577613">
            <w:pPr>
              <w:rPr>
                <w:color w:val="000000" w:themeColor="text1"/>
                <w:sz w:val="22"/>
                <w:szCs w:val="22"/>
                <w:lang w:eastAsia="ro-RO"/>
              </w:rPr>
            </w:pPr>
            <w:r w:rsidRPr="00F43752">
              <w:rPr>
                <w:color w:val="000000"/>
                <w:sz w:val="22"/>
                <w:szCs w:val="22"/>
              </w:rPr>
              <w:t>Lunca Mureșului Inferior</w:t>
            </w:r>
          </w:p>
        </w:tc>
      </w:tr>
      <w:tr w:rsidR="001C3A40" w:rsidRPr="00C56257" w14:paraId="17CAC4DF" w14:textId="77777777" w:rsidTr="00577613">
        <w:trPr>
          <w:trHeight w:val="300"/>
        </w:trPr>
        <w:tc>
          <w:tcPr>
            <w:tcW w:w="4229" w:type="dxa"/>
            <w:tcBorders>
              <w:top w:val="nil"/>
              <w:left w:val="single" w:sz="8" w:space="0" w:color="000000"/>
              <w:bottom w:val="nil"/>
              <w:right w:val="single" w:sz="8" w:space="0" w:color="000000"/>
            </w:tcBorders>
            <w:shd w:val="clear" w:color="auto" w:fill="auto"/>
            <w:vAlign w:val="center"/>
          </w:tcPr>
          <w:p w14:paraId="167486DD" w14:textId="77777777" w:rsidR="001C3A40" w:rsidRPr="00D810D6" w:rsidRDefault="001C3A40"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0F667B0B" w14:textId="77777777" w:rsidR="001C3A40" w:rsidRPr="00F43752" w:rsidRDefault="003448E7" w:rsidP="00577613">
            <w:pPr>
              <w:rPr>
                <w:color w:val="000000" w:themeColor="text1"/>
                <w:sz w:val="22"/>
                <w:szCs w:val="22"/>
                <w:lang w:eastAsia="ro-RO"/>
              </w:rPr>
            </w:pPr>
            <w:r>
              <w:rPr>
                <w:color w:val="000000"/>
                <w:sz w:val="22"/>
                <w:szCs w:val="22"/>
              </w:rPr>
              <w:t>ROSAC</w:t>
            </w:r>
            <w:r w:rsidR="001C3A40" w:rsidRPr="00F43752">
              <w:rPr>
                <w:color w:val="000000"/>
                <w:sz w:val="22"/>
                <w:szCs w:val="22"/>
              </w:rPr>
              <w:t>0111</w:t>
            </w:r>
          </w:p>
        </w:tc>
        <w:tc>
          <w:tcPr>
            <w:tcW w:w="3969" w:type="dxa"/>
            <w:tcBorders>
              <w:top w:val="nil"/>
              <w:left w:val="nil"/>
              <w:bottom w:val="single" w:sz="8" w:space="0" w:color="000000"/>
              <w:right w:val="single" w:sz="8" w:space="0" w:color="000000"/>
            </w:tcBorders>
            <w:shd w:val="clear" w:color="auto" w:fill="auto"/>
          </w:tcPr>
          <w:p w14:paraId="698B15A8" w14:textId="77777777" w:rsidR="001C3A40" w:rsidRPr="00F43752" w:rsidRDefault="001C3A40" w:rsidP="00577613">
            <w:pPr>
              <w:rPr>
                <w:color w:val="000000" w:themeColor="text1"/>
                <w:sz w:val="22"/>
                <w:szCs w:val="22"/>
                <w:lang w:eastAsia="ro-RO"/>
              </w:rPr>
            </w:pPr>
            <w:r w:rsidRPr="00F43752">
              <w:rPr>
                <w:color w:val="000000"/>
                <w:sz w:val="22"/>
                <w:szCs w:val="22"/>
              </w:rPr>
              <w:t>Mestecănișul de la Reci</w:t>
            </w:r>
          </w:p>
        </w:tc>
      </w:tr>
      <w:tr w:rsidR="001C3A40" w:rsidRPr="00C56257" w14:paraId="6ED7A8A1" w14:textId="77777777" w:rsidTr="00577613">
        <w:trPr>
          <w:trHeight w:val="300"/>
        </w:trPr>
        <w:tc>
          <w:tcPr>
            <w:tcW w:w="4229" w:type="dxa"/>
            <w:tcBorders>
              <w:top w:val="nil"/>
              <w:left w:val="single" w:sz="8" w:space="0" w:color="000000"/>
              <w:bottom w:val="nil"/>
              <w:right w:val="single" w:sz="8" w:space="0" w:color="000000"/>
            </w:tcBorders>
            <w:shd w:val="clear" w:color="auto" w:fill="auto"/>
            <w:vAlign w:val="center"/>
          </w:tcPr>
          <w:p w14:paraId="58EF55A2" w14:textId="77777777" w:rsidR="001C3A40" w:rsidRPr="00D810D6" w:rsidRDefault="001C3A40"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70B511A6" w14:textId="77777777" w:rsidR="001C3A40" w:rsidRPr="00F43752" w:rsidRDefault="001C3A40" w:rsidP="00577613">
            <w:pPr>
              <w:rPr>
                <w:color w:val="000000" w:themeColor="text1"/>
                <w:sz w:val="22"/>
                <w:szCs w:val="22"/>
                <w:lang w:eastAsia="ro-RO"/>
              </w:rPr>
            </w:pPr>
            <w:r w:rsidRPr="00F43752">
              <w:rPr>
                <w:color w:val="000000"/>
                <w:sz w:val="22"/>
                <w:szCs w:val="22"/>
              </w:rPr>
              <w:t>ROSCI0131</w:t>
            </w:r>
          </w:p>
        </w:tc>
        <w:tc>
          <w:tcPr>
            <w:tcW w:w="3969" w:type="dxa"/>
            <w:tcBorders>
              <w:top w:val="nil"/>
              <w:left w:val="nil"/>
              <w:bottom w:val="single" w:sz="8" w:space="0" w:color="000000"/>
              <w:right w:val="single" w:sz="8" w:space="0" w:color="000000"/>
            </w:tcBorders>
            <w:shd w:val="clear" w:color="auto" w:fill="auto"/>
          </w:tcPr>
          <w:p w14:paraId="6D72F96C" w14:textId="77777777" w:rsidR="001C3A40" w:rsidRPr="00F43752" w:rsidRDefault="001C3A40" w:rsidP="00577613">
            <w:pPr>
              <w:rPr>
                <w:color w:val="000000" w:themeColor="text1"/>
                <w:sz w:val="22"/>
                <w:szCs w:val="22"/>
                <w:lang w:eastAsia="ro-RO"/>
              </w:rPr>
            </w:pPr>
            <w:r w:rsidRPr="00F43752">
              <w:rPr>
                <w:color w:val="000000"/>
                <w:sz w:val="22"/>
                <w:szCs w:val="22"/>
              </w:rPr>
              <w:t>Oltenița - Mostiștea - Chiciu</w:t>
            </w:r>
          </w:p>
        </w:tc>
      </w:tr>
      <w:tr w:rsidR="001C3A40" w:rsidRPr="00C56257" w14:paraId="0C4C74E5"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626D2731" w14:textId="77777777" w:rsidR="001C3A40" w:rsidRPr="00D810D6" w:rsidRDefault="001C3A40"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108562A3" w14:textId="77777777" w:rsidR="001C3A40" w:rsidRPr="00F43752" w:rsidRDefault="003448E7" w:rsidP="003448E7">
            <w:pPr>
              <w:rPr>
                <w:color w:val="000000" w:themeColor="text1"/>
                <w:sz w:val="22"/>
                <w:szCs w:val="22"/>
                <w:lang w:eastAsia="ro-RO"/>
              </w:rPr>
            </w:pPr>
            <w:r>
              <w:rPr>
                <w:color w:val="000000"/>
                <w:sz w:val="22"/>
                <w:szCs w:val="22"/>
              </w:rPr>
              <w:t>ROSAC</w:t>
            </w:r>
            <w:r w:rsidR="001C3A40" w:rsidRPr="00F43752">
              <w:rPr>
                <w:color w:val="000000"/>
                <w:sz w:val="22"/>
                <w:szCs w:val="22"/>
              </w:rPr>
              <w:t>0157</w:t>
            </w:r>
          </w:p>
        </w:tc>
        <w:tc>
          <w:tcPr>
            <w:tcW w:w="3969" w:type="dxa"/>
            <w:tcBorders>
              <w:top w:val="nil"/>
              <w:left w:val="nil"/>
              <w:bottom w:val="single" w:sz="8" w:space="0" w:color="000000"/>
              <w:right w:val="single" w:sz="8" w:space="0" w:color="000000"/>
            </w:tcBorders>
            <w:shd w:val="clear" w:color="auto" w:fill="auto"/>
          </w:tcPr>
          <w:p w14:paraId="6825C6E7" w14:textId="77777777" w:rsidR="001C3A40" w:rsidRPr="00F43752" w:rsidRDefault="001C3A40" w:rsidP="00577613">
            <w:pPr>
              <w:rPr>
                <w:color w:val="000000" w:themeColor="text1"/>
                <w:sz w:val="22"/>
                <w:szCs w:val="22"/>
                <w:lang w:eastAsia="ro-RO"/>
              </w:rPr>
            </w:pPr>
            <w:r w:rsidRPr="00F43752">
              <w:rPr>
                <w:color w:val="000000"/>
                <w:sz w:val="22"/>
                <w:szCs w:val="22"/>
              </w:rPr>
              <w:t>Pădurea Hagieni - Cotul Văii</w:t>
            </w:r>
          </w:p>
        </w:tc>
      </w:tr>
      <w:tr w:rsidR="001C3A40" w:rsidRPr="00C56257" w14:paraId="6BD1407C" w14:textId="77777777" w:rsidTr="00577613">
        <w:trPr>
          <w:trHeight w:val="300"/>
        </w:trPr>
        <w:tc>
          <w:tcPr>
            <w:tcW w:w="4229" w:type="dxa"/>
            <w:tcBorders>
              <w:top w:val="nil"/>
              <w:left w:val="single" w:sz="8" w:space="0" w:color="000000"/>
              <w:bottom w:val="single" w:sz="4" w:space="0" w:color="auto"/>
              <w:right w:val="single" w:sz="8" w:space="0" w:color="000000"/>
            </w:tcBorders>
            <w:shd w:val="clear" w:color="auto" w:fill="auto"/>
          </w:tcPr>
          <w:p w14:paraId="6C2D3B06" w14:textId="77777777" w:rsidR="001C3A40" w:rsidRPr="00D810D6" w:rsidRDefault="001C3A40"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4" w:space="0" w:color="auto"/>
              <w:right w:val="single" w:sz="8" w:space="0" w:color="000000"/>
            </w:tcBorders>
            <w:shd w:val="clear" w:color="auto" w:fill="auto"/>
          </w:tcPr>
          <w:p w14:paraId="1E3E3A1C" w14:textId="77777777" w:rsidR="001C3A40" w:rsidRPr="00F43752" w:rsidRDefault="001C3A40" w:rsidP="00577613">
            <w:pPr>
              <w:rPr>
                <w:color w:val="000000" w:themeColor="text1"/>
                <w:sz w:val="22"/>
                <w:szCs w:val="22"/>
                <w:lang w:eastAsia="ro-RO"/>
              </w:rPr>
            </w:pPr>
            <w:r w:rsidRPr="00F43752">
              <w:rPr>
                <w:color w:val="000000"/>
                <w:sz w:val="22"/>
                <w:szCs w:val="22"/>
              </w:rPr>
              <w:t>ROSCI0206</w:t>
            </w:r>
          </w:p>
        </w:tc>
        <w:tc>
          <w:tcPr>
            <w:tcW w:w="3969" w:type="dxa"/>
            <w:tcBorders>
              <w:top w:val="nil"/>
              <w:left w:val="nil"/>
              <w:bottom w:val="single" w:sz="4" w:space="0" w:color="auto"/>
              <w:right w:val="single" w:sz="8" w:space="0" w:color="000000"/>
            </w:tcBorders>
            <w:shd w:val="clear" w:color="auto" w:fill="auto"/>
          </w:tcPr>
          <w:p w14:paraId="5448116C" w14:textId="77777777" w:rsidR="001C3A40" w:rsidRPr="00F43752" w:rsidRDefault="001C3A40" w:rsidP="00577613">
            <w:pPr>
              <w:rPr>
                <w:color w:val="000000" w:themeColor="text1"/>
                <w:sz w:val="22"/>
                <w:szCs w:val="22"/>
                <w:lang w:eastAsia="ro-RO"/>
              </w:rPr>
            </w:pPr>
            <w:r w:rsidRPr="00F43752">
              <w:rPr>
                <w:color w:val="000000"/>
                <w:sz w:val="22"/>
                <w:szCs w:val="22"/>
              </w:rPr>
              <w:t>Porțile de Fier</w:t>
            </w:r>
          </w:p>
        </w:tc>
      </w:tr>
      <w:tr w:rsidR="00C92BFC" w:rsidRPr="00C56257" w14:paraId="6E5E7363" w14:textId="77777777" w:rsidTr="00577613">
        <w:trPr>
          <w:trHeight w:val="552"/>
        </w:trPr>
        <w:tc>
          <w:tcPr>
            <w:tcW w:w="4229" w:type="dxa"/>
            <w:tcBorders>
              <w:top w:val="single" w:sz="4" w:space="0" w:color="auto"/>
              <w:left w:val="single" w:sz="4" w:space="0" w:color="auto"/>
              <w:bottom w:val="single" w:sz="4" w:space="0" w:color="auto"/>
              <w:right w:val="single" w:sz="4" w:space="0" w:color="auto"/>
            </w:tcBorders>
            <w:shd w:val="clear" w:color="auto" w:fill="auto"/>
            <w:vAlign w:val="center"/>
          </w:tcPr>
          <w:p w14:paraId="55A3D699" w14:textId="77777777" w:rsidR="00C92BFC" w:rsidRPr="00D810D6" w:rsidRDefault="00C92BFC" w:rsidP="008E33FD">
            <w:pPr>
              <w:jc w:val="both"/>
              <w:rPr>
                <w:color w:val="000000" w:themeColor="text1"/>
                <w:lang w:eastAsia="ro-RO"/>
              </w:rPr>
            </w:pPr>
            <w:r w:rsidRPr="00D810D6">
              <w:rPr>
                <w:color w:val="000000" w:themeColor="text1"/>
                <w:lang w:eastAsia="ro-RO"/>
              </w:rPr>
              <w:t>31A0* - Ape termale din Transilvania acoperite cu lotus (dreţe)</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96C87AC" w14:textId="77777777" w:rsidR="00C92BFC" w:rsidRPr="00F43752" w:rsidRDefault="003448E7" w:rsidP="00577613">
            <w:pPr>
              <w:rPr>
                <w:color w:val="000000" w:themeColor="text1"/>
                <w:sz w:val="22"/>
                <w:szCs w:val="22"/>
                <w:lang w:eastAsia="ro-RO"/>
              </w:rPr>
            </w:pPr>
            <w:r>
              <w:rPr>
                <w:color w:val="000000"/>
                <w:sz w:val="22"/>
                <w:szCs w:val="22"/>
              </w:rPr>
              <w:t>ROSAC</w:t>
            </w:r>
            <w:r w:rsidR="00C92BFC" w:rsidRPr="00F43752">
              <w:rPr>
                <w:color w:val="000000"/>
                <w:sz w:val="22"/>
                <w:szCs w:val="22"/>
              </w:rPr>
              <w:t>0098</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39D8E07" w14:textId="77777777" w:rsidR="00C92BFC" w:rsidRPr="00F43752" w:rsidRDefault="00C92BFC" w:rsidP="00577613">
            <w:pPr>
              <w:rPr>
                <w:color w:val="000000" w:themeColor="text1"/>
                <w:sz w:val="22"/>
                <w:szCs w:val="22"/>
                <w:lang w:eastAsia="ro-RO"/>
              </w:rPr>
            </w:pPr>
            <w:r w:rsidRPr="00F43752">
              <w:rPr>
                <w:color w:val="000000"/>
                <w:sz w:val="22"/>
                <w:szCs w:val="22"/>
              </w:rPr>
              <w:t>Lacul Pețea</w:t>
            </w:r>
          </w:p>
        </w:tc>
      </w:tr>
      <w:tr w:rsidR="00A07D6B" w:rsidRPr="00C56257" w14:paraId="552F2B37" w14:textId="77777777" w:rsidTr="00993B86">
        <w:trPr>
          <w:trHeight w:val="324"/>
        </w:trPr>
        <w:tc>
          <w:tcPr>
            <w:tcW w:w="4229" w:type="dxa"/>
            <w:vMerge w:val="restart"/>
            <w:tcBorders>
              <w:top w:val="single" w:sz="4" w:space="0" w:color="auto"/>
              <w:left w:val="single" w:sz="8" w:space="0" w:color="000000"/>
              <w:right w:val="single" w:sz="8" w:space="0" w:color="000000"/>
            </w:tcBorders>
            <w:shd w:val="clear" w:color="auto" w:fill="auto"/>
            <w:vAlign w:val="center"/>
          </w:tcPr>
          <w:p w14:paraId="387D9CCB" w14:textId="77777777" w:rsidR="00A07D6B" w:rsidRPr="00D810D6" w:rsidRDefault="00A07D6B" w:rsidP="008E33FD">
            <w:pPr>
              <w:jc w:val="both"/>
              <w:rPr>
                <w:color w:val="000000" w:themeColor="text1"/>
                <w:lang w:eastAsia="ro-RO"/>
              </w:rPr>
            </w:pPr>
            <w:r w:rsidRPr="00D810D6">
              <w:rPr>
                <w:color w:val="000000" w:themeColor="text1"/>
                <w:lang w:eastAsia="ro-RO"/>
              </w:rPr>
              <w:t> 3220 - Vegetaţie herbacee de pe malurile râurilor montane</w:t>
            </w:r>
          </w:p>
          <w:p w14:paraId="45F4ED17" w14:textId="77777777" w:rsidR="00A07D6B" w:rsidRPr="00D810D6" w:rsidRDefault="00A07D6B" w:rsidP="008E33FD">
            <w:pPr>
              <w:jc w:val="both"/>
              <w:rPr>
                <w:color w:val="000000" w:themeColor="text1"/>
                <w:lang w:eastAsia="ro-RO"/>
              </w:rPr>
            </w:pPr>
            <w:r w:rsidRPr="00D810D6">
              <w:rPr>
                <w:color w:val="000000" w:themeColor="text1"/>
                <w:lang w:eastAsia="ro-RO"/>
              </w:rPr>
              <w:t> </w:t>
            </w:r>
          </w:p>
          <w:p w14:paraId="603860EC" w14:textId="77777777" w:rsidR="00A07D6B" w:rsidRPr="00D810D6" w:rsidRDefault="00A07D6B" w:rsidP="008E33FD">
            <w:pPr>
              <w:jc w:val="both"/>
              <w:rPr>
                <w:color w:val="000000" w:themeColor="text1"/>
                <w:lang w:eastAsia="ro-RO"/>
              </w:rPr>
            </w:pPr>
            <w:r w:rsidRPr="00D810D6">
              <w:rPr>
                <w:color w:val="000000" w:themeColor="text1"/>
                <w:lang w:eastAsia="ro-RO"/>
              </w:rPr>
              <w:t> </w:t>
            </w:r>
          </w:p>
          <w:p w14:paraId="6DEB2834" w14:textId="77777777" w:rsidR="00A07D6B" w:rsidRPr="00D810D6" w:rsidRDefault="00A07D6B" w:rsidP="008E33FD">
            <w:pPr>
              <w:jc w:val="both"/>
              <w:rPr>
                <w:color w:val="000000" w:themeColor="text1"/>
                <w:lang w:eastAsia="ro-RO"/>
              </w:rPr>
            </w:pPr>
            <w:r w:rsidRPr="00D810D6">
              <w:rPr>
                <w:color w:val="000000" w:themeColor="text1"/>
                <w:lang w:eastAsia="ro-RO"/>
              </w:rPr>
              <w:t> </w:t>
            </w:r>
          </w:p>
          <w:p w14:paraId="7172575C" w14:textId="77777777" w:rsidR="00A07D6B" w:rsidRPr="00D810D6" w:rsidRDefault="00A07D6B" w:rsidP="008E33FD">
            <w:pPr>
              <w:jc w:val="both"/>
              <w:rPr>
                <w:color w:val="000000" w:themeColor="text1"/>
                <w:lang w:eastAsia="ro-RO"/>
              </w:rPr>
            </w:pPr>
            <w:r w:rsidRPr="00D810D6">
              <w:rPr>
                <w:color w:val="000000" w:themeColor="text1"/>
                <w:lang w:eastAsia="ro-RO"/>
              </w:rPr>
              <w:t> </w:t>
            </w:r>
          </w:p>
          <w:p w14:paraId="4A8E6A05" w14:textId="77777777" w:rsidR="00A07D6B" w:rsidRPr="00D810D6" w:rsidRDefault="00A07D6B" w:rsidP="008E33FD">
            <w:pPr>
              <w:jc w:val="both"/>
              <w:rPr>
                <w:color w:val="000000" w:themeColor="text1"/>
                <w:lang w:eastAsia="ro-RO"/>
              </w:rPr>
            </w:pPr>
            <w:r w:rsidRPr="00D810D6">
              <w:rPr>
                <w:color w:val="000000" w:themeColor="text1"/>
                <w:lang w:eastAsia="ro-RO"/>
              </w:rPr>
              <w:t> </w:t>
            </w:r>
          </w:p>
        </w:tc>
        <w:tc>
          <w:tcPr>
            <w:tcW w:w="1701" w:type="dxa"/>
            <w:tcBorders>
              <w:top w:val="single" w:sz="4" w:space="0" w:color="auto"/>
              <w:left w:val="nil"/>
              <w:bottom w:val="single" w:sz="8" w:space="0" w:color="000000"/>
              <w:right w:val="single" w:sz="8" w:space="0" w:color="000000"/>
            </w:tcBorders>
            <w:shd w:val="clear" w:color="auto" w:fill="auto"/>
          </w:tcPr>
          <w:p w14:paraId="5486168F" w14:textId="77777777" w:rsidR="00A07D6B" w:rsidRPr="00F43752" w:rsidRDefault="00A07D6B" w:rsidP="00577613">
            <w:pPr>
              <w:rPr>
                <w:color w:val="000000" w:themeColor="text1"/>
                <w:sz w:val="22"/>
                <w:szCs w:val="22"/>
                <w:lang w:eastAsia="ro-RO"/>
              </w:rPr>
            </w:pPr>
            <w:r w:rsidRPr="00F43752">
              <w:rPr>
                <w:color w:val="000000"/>
                <w:sz w:val="22"/>
                <w:szCs w:val="22"/>
              </w:rPr>
              <w:t>ROSCI0002</w:t>
            </w:r>
          </w:p>
        </w:tc>
        <w:tc>
          <w:tcPr>
            <w:tcW w:w="3969" w:type="dxa"/>
            <w:tcBorders>
              <w:top w:val="single" w:sz="4" w:space="0" w:color="auto"/>
              <w:left w:val="nil"/>
              <w:bottom w:val="single" w:sz="8" w:space="0" w:color="000000"/>
              <w:right w:val="single" w:sz="8" w:space="0" w:color="000000"/>
            </w:tcBorders>
            <w:shd w:val="clear" w:color="auto" w:fill="auto"/>
          </w:tcPr>
          <w:p w14:paraId="371C5680" w14:textId="77777777" w:rsidR="00A07D6B" w:rsidRPr="00F43752" w:rsidRDefault="00A07D6B" w:rsidP="00577613">
            <w:pPr>
              <w:rPr>
                <w:color w:val="000000" w:themeColor="text1"/>
                <w:sz w:val="22"/>
                <w:szCs w:val="22"/>
                <w:lang w:eastAsia="ro-RO"/>
              </w:rPr>
            </w:pPr>
            <w:r w:rsidRPr="00F43752">
              <w:rPr>
                <w:color w:val="000000"/>
                <w:sz w:val="22"/>
                <w:szCs w:val="22"/>
              </w:rPr>
              <w:t>Apuseni</w:t>
            </w:r>
          </w:p>
        </w:tc>
      </w:tr>
      <w:tr w:rsidR="00A07D6B" w:rsidRPr="00C56257" w14:paraId="70293125" w14:textId="77777777" w:rsidTr="00993B86">
        <w:trPr>
          <w:trHeight w:val="324"/>
        </w:trPr>
        <w:tc>
          <w:tcPr>
            <w:tcW w:w="4229" w:type="dxa"/>
            <w:vMerge/>
            <w:tcBorders>
              <w:left w:val="single" w:sz="8" w:space="0" w:color="000000"/>
              <w:right w:val="single" w:sz="8" w:space="0" w:color="000000"/>
            </w:tcBorders>
            <w:shd w:val="clear" w:color="auto" w:fill="auto"/>
            <w:vAlign w:val="center"/>
          </w:tcPr>
          <w:p w14:paraId="0D99B819" w14:textId="77777777" w:rsidR="00A07D6B" w:rsidRPr="00D810D6" w:rsidRDefault="00A07D6B"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5D3845C3" w14:textId="77777777" w:rsidR="00A07D6B" w:rsidRPr="00F43752" w:rsidRDefault="00A07D6B" w:rsidP="00577613">
            <w:pPr>
              <w:rPr>
                <w:color w:val="000000" w:themeColor="text1"/>
                <w:sz w:val="22"/>
                <w:szCs w:val="22"/>
                <w:lang w:eastAsia="ro-RO"/>
              </w:rPr>
            </w:pPr>
            <w:r w:rsidRPr="00F43752">
              <w:rPr>
                <w:color w:val="000000"/>
                <w:sz w:val="22"/>
                <w:szCs w:val="22"/>
              </w:rPr>
              <w:t>ROSCI0013</w:t>
            </w:r>
          </w:p>
        </w:tc>
        <w:tc>
          <w:tcPr>
            <w:tcW w:w="3969" w:type="dxa"/>
            <w:tcBorders>
              <w:top w:val="nil"/>
              <w:left w:val="nil"/>
              <w:bottom w:val="single" w:sz="8" w:space="0" w:color="000000"/>
              <w:right w:val="single" w:sz="8" w:space="0" w:color="000000"/>
            </w:tcBorders>
            <w:shd w:val="clear" w:color="auto" w:fill="auto"/>
          </w:tcPr>
          <w:p w14:paraId="52D929E6" w14:textId="77777777" w:rsidR="00A07D6B" w:rsidRPr="00F43752" w:rsidRDefault="00A07D6B" w:rsidP="00577613">
            <w:pPr>
              <w:rPr>
                <w:color w:val="000000" w:themeColor="text1"/>
                <w:sz w:val="22"/>
                <w:szCs w:val="22"/>
                <w:lang w:eastAsia="ro-RO"/>
              </w:rPr>
            </w:pPr>
            <w:r w:rsidRPr="00F43752">
              <w:rPr>
                <w:color w:val="000000"/>
                <w:sz w:val="22"/>
                <w:szCs w:val="22"/>
              </w:rPr>
              <w:t>Bucegi</w:t>
            </w:r>
          </w:p>
        </w:tc>
      </w:tr>
      <w:tr w:rsidR="00A07D6B" w:rsidRPr="00C56257" w14:paraId="6E045631" w14:textId="77777777" w:rsidTr="00993B86">
        <w:trPr>
          <w:trHeight w:val="324"/>
        </w:trPr>
        <w:tc>
          <w:tcPr>
            <w:tcW w:w="4229" w:type="dxa"/>
            <w:vMerge/>
            <w:tcBorders>
              <w:left w:val="single" w:sz="8" w:space="0" w:color="000000"/>
              <w:right w:val="single" w:sz="8" w:space="0" w:color="000000"/>
            </w:tcBorders>
            <w:shd w:val="clear" w:color="auto" w:fill="auto"/>
            <w:vAlign w:val="center"/>
          </w:tcPr>
          <w:p w14:paraId="774F5B6A" w14:textId="77777777" w:rsidR="00A07D6B" w:rsidRPr="00D810D6" w:rsidRDefault="00A07D6B"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3A72DED4" w14:textId="77777777" w:rsidR="00A07D6B" w:rsidRPr="00F43752" w:rsidRDefault="00A07D6B" w:rsidP="00577613">
            <w:pPr>
              <w:rPr>
                <w:color w:val="000000" w:themeColor="text1"/>
                <w:sz w:val="22"/>
                <w:szCs w:val="22"/>
                <w:lang w:eastAsia="ro-RO"/>
              </w:rPr>
            </w:pPr>
            <w:r w:rsidRPr="00F43752">
              <w:rPr>
                <w:color w:val="000000"/>
                <w:sz w:val="22"/>
                <w:szCs w:val="22"/>
              </w:rPr>
              <w:t>ROSCI0019</w:t>
            </w:r>
          </w:p>
        </w:tc>
        <w:tc>
          <w:tcPr>
            <w:tcW w:w="3969" w:type="dxa"/>
            <w:tcBorders>
              <w:top w:val="nil"/>
              <w:left w:val="nil"/>
              <w:bottom w:val="single" w:sz="8" w:space="0" w:color="000000"/>
              <w:right w:val="single" w:sz="8" w:space="0" w:color="000000"/>
            </w:tcBorders>
            <w:shd w:val="clear" w:color="auto" w:fill="auto"/>
          </w:tcPr>
          <w:p w14:paraId="63DB4574" w14:textId="77777777" w:rsidR="00A07D6B" w:rsidRPr="00F43752" w:rsidRDefault="00A07D6B" w:rsidP="00577613">
            <w:pPr>
              <w:rPr>
                <w:color w:val="000000" w:themeColor="text1"/>
                <w:sz w:val="22"/>
                <w:szCs w:val="22"/>
                <w:lang w:eastAsia="ro-RO"/>
              </w:rPr>
            </w:pPr>
            <w:r w:rsidRPr="00F43752">
              <w:rPr>
                <w:color w:val="000000"/>
                <w:sz w:val="22"/>
                <w:szCs w:val="22"/>
              </w:rPr>
              <w:t>Călimani - Gurghiu</w:t>
            </w:r>
          </w:p>
        </w:tc>
      </w:tr>
      <w:tr w:rsidR="00A07D6B" w:rsidRPr="00C56257" w14:paraId="6F3E08E4" w14:textId="77777777" w:rsidTr="00993B86">
        <w:trPr>
          <w:trHeight w:val="324"/>
        </w:trPr>
        <w:tc>
          <w:tcPr>
            <w:tcW w:w="4229" w:type="dxa"/>
            <w:vMerge/>
            <w:tcBorders>
              <w:left w:val="single" w:sz="8" w:space="0" w:color="000000"/>
              <w:right w:val="single" w:sz="8" w:space="0" w:color="000000"/>
            </w:tcBorders>
            <w:shd w:val="clear" w:color="auto" w:fill="auto"/>
            <w:vAlign w:val="center"/>
          </w:tcPr>
          <w:p w14:paraId="376B9AF3" w14:textId="77777777" w:rsidR="00A07D6B" w:rsidRPr="00D810D6" w:rsidRDefault="00A07D6B"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36242D93" w14:textId="77777777" w:rsidR="00A07D6B" w:rsidRPr="00F43752" w:rsidRDefault="00A07D6B" w:rsidP="00577613">
            <w:pPr>
              <w:rPr>
                <w:color w:val="000000" w:themeColor="text1"/>
                <w:sz w:val="22"/>
                <w:szCs w:val="22"/>
                <w:lang w:eastAsia="ro-RO"/>
              </w:rPr>
            </w:pPr>
            <w:r w:rsidRPr="00F43752">
              <w:rPr>
                <w:color w:val="000000"/>
                <w:sz w:val="22"/>
                <w:szCs w:val="22"/>
              </w:rPr>
              <w:t>ROSCI0024</w:t>
            </w:r>
          </w:p>
        </w:tc>
        <w:tc>
          <w:tcPr>
            <w:tcW w:w="3969" w:type="dxa"/>
            <w:tcBorders>
              <w:top w:val="nil"/>
              <w:left w:val="nil"/>
              <w:bottom w:val="single" w:sz="8" w:space="0" w:color="000000"/>
              <w:right w:val="single" w:sz="8" w:space="0" w:color="000000"/>
            </w:tcBorders>
            <w:shd w:val="clear" w:color="auto" w:fill="auto"/>
          </w:tcPr>
          <w:p w14:paraId="24F53D51" w14:textId="77777777" w:rsidR="00A07D6B" w:rsidRPr="00F43752" w:rsidRDefault="00A07D6B" w:rsidP="00577613">
            <w:pPr>
              <w:rPr>
                <w:color w:val="000000" w:themeColor="text1"/>
                <w:sz w:val="22"/>
                <w:szCs w:val="22"/>
                <w:lang w:eastAsia="ro-RO"/>
              </w:rPr>
            </w:pPr>
            <w:r w:rsidRPr="00F43752">
              <w:rPr>
                <w:color w:val="000000"/>
                <w:sz w:val="22"/>
                <w:szCs w:val="22"/>
              </w:rPr>
              <w:t>Ceahlău</w:t>
            </w:r>
          </w:p>
        </w:tc>
      </w:tr>
      <w:tr w:rsidR="00A07D6B" w:rsidRPr="00C56257" w14:paraId="7439F358" w14:textId="77777777" w:rsidTr="00993B86">
        <w:trPr>
          <w:trHeight w:val="324"/>
        </w:trPr>
        <w:tc>
          <w:tcPr>
            <w:tcW w:w="4229" w:type="dxa"/>
            <w:vMerge/>
            <w:tcBorders>
              <w:left w:val="single" w:sz="8" w:space="0" w:color="000000"/>
              <w:right w:val="single" w:sz="8" w:space="0" w:color="000000"/>
            </w:tcBorders>
            <w:shd w:val="clear" w:color="auto" w:fill="auto"/>
            <w:vAlign w:val="center"/>
          </w:tcPr>
          <w:p w14:paraId="39E80312" w14:textId="77777777" w:rsidR="00A07D6B" w:rsidRPr="00D810D6" w:rsidRDefault="00A07D6B"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14CAA747" w14:textId="77777777" w:rsidR="00A07D6B" w:rsidRPr="00F43752" w:rsidRDefault="001B29DE" w:rsidP="00577613">
            <w:pPr>
              <w:rPr>
                <w:color w:val="000000" w:themeColor="text1"/>
                <w:sz w:val="22"/>
                <w:szCs w:val="22"/>
                <w:lang w:eastAsia="ro-RO"/>
              </w:rPr>
            </w:pPr>
            <w:r>
              <w:rPr>
                <w:color w:val="000000"/>
                <w:sz w:val="22"/>
                <w:szCs w:val="22"/>
              </w:rPr>
              <w:t>ROSAC</w:t>
            </w:r>
            <w:r w:rsidR="00A07D6B" w:rsidRPr="00F43752">
              <w:rPr>
                <w:color w:val="000000"/>
                <w:sz w:val="22"/>
                <w:szCs w:val="22"/>
              </w:rPr>
              <w:t>0027</w:t>
            </w:r>
          </w:p>
        </w:tc>
        <w:tc>
          <w:tcPr>
            <w:tcW w:w="3969" w:type="dxa"/>
            <w:tcBorders>
              <w:top w:val="nil"/>
              <w:left w:val="nil"/>
              <w:bottom w:val="single" w:sz="8" w:space="0" w:color="000000"/>
              <w:right w:val="single" w:sz="8" w:space="0" w:color="000000"/>
            </w:tcBorders>
            <w:shd w:val="clear" w:color="auto" w:fill="auto"/>
          </w:tcPr>
          <w:p w14:paraId="3D800B30" w14:textId="77777777" w:rsidR="00A07D6B" w:rsidRPr="00F43752" w:rsidRDefault="00A07D6B" w:rsidP="00577613">
            <w:pPr>
              <w:rPr>
                <w:color w:val="000000" w:themeColor="text1"/>
                <w:sz w:val="22"/>
                <w:szCs w:val="22"/>
                <w:lang w:eastAsia="ro-RO"/>
              </w:rPr>
            </w:pPr>
            <w:r w:rsidRPr="00F43752">
              <w:rPr>
                <w:color w:val="000000"/>
                <w:sz w:val="22"/>
                <w:szCs w:val="22"/>
              </w:rPr>
              <w:t>Cheile Bicazului - Hășmaș</w:t>
            </w:r>
          </w:p>
        </w:tc>
      </w:tr>
      <w:tr w:rsidR="00A07D6B" w:rsidRPr="00C56257" w14:paraId="05FAB4A0" w14:textId="77777777" w:rsidTr="00993B86">
        <w:trPr>
          <w:trHeight w:val="324"/>
        </w:trPr>
        <w:tc>
          <w:tcPr>
            <w:tcW w:w="4229" w:type="dxa"/>
            <w:vMerge/>
            <w:tcBorders>
              <w:left w:val="single" w:sz="8" w:space="0" w:color="000000"/>
              <w:bottom w:val="nil"/>
              <w:right w:val="single" w:sz="8" w:space="0" w:color="000000"/>
            </w:tcBorders>
            <w:shd w:val="clear" w:color="auto" w:fill="auto"/>
            <w:vAlign w:val="center"/>
          </w:tcPr>
          <w:p w14:paraId="6E397F09" w14:textId="77777777" w:rsidR="00A07D6B" w:rsidRPr="00D810D6" w:rsidRDefault="00A07D6B"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2ECB7714" w14:textId="77777777" w:rsidR="00A07D6B" w:rsidRPr="00F43752" w:rsidRDefault="00A07D6B" w:rsidP="00577613">
            <w:pPr>
              <w:rPr>
                <w:color w:val="000000" w:themeColor="text1"/>
                <w:sz w:val="22"/>
                <w:szCs w:val="22"/>
                <w:lang w:eastAsia="ro-RO"/>
              </w:rPr>
            </w:pPr>
            <w:r w:rsidRPr="00F43752">
              <w:rPr>
                <w:color w:val="000000"/>
                <w:sz w:val="22"/>
                <w:szCs w:val="22"/>
              </w:rPr>
              <w:t>ROSCI0031</w:t>
            </w:r>
          </w:p>
        </w:tc>
        <w:tc>
          <w:tcPr>
            <w:tcW w:w="3969" w:type="dxa"/>
            <w:tcBorders>
              <w:top w:val="nil"/>
              <w:left w:val="nil"/>
              <w:bottom w:val="single" w:sz="8" w:space="0" w:color="000000"/>
              <w:right w:val="single" w:sz="8" w:space="0" w:color="000000"/>
            </w:tcBorders>
            <w:shd w:val="clear" w:color="auto" w:fill="auto"/>
          </w:tcPr>
          <w:p w14:paraId="4EA40904" w14:textId="77777777" w:rsidR="00A07D6B" w:rsidRPr="00F43752" w:rsidRDefault="00A07D6B" w:rsidP="00577613">
            <w:pPr>
              <w:rPr>
                <w:color w:val="000000" w:themeColor="text1"/>
                <w:sz w:val="22"/>
                <w:szCs w:val="22"/>
                <w:lang w:eastAsia="ro-RO"/>
              </w:rPr>
            </w:pPr>
            <w:r w:rsidRPr="00F43752">
              <w:rPr>
                <w:color w:val="000000"/>
                <w:sz w:val="22"/>
                <w:szCs w:val="22"/>
              </w:rPr>
              <w:t>Cheile Nerei - Beușnița</w:t>
            </w:r>
          </w:p>
        </w:tc>
      </w:tr>
      <w:tr w:rsidR="00C92BFC" w:rsidRPr="00C56257" w14:paraId="5441B7EC"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7DF00D40"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7D395A1D" w14:textId="77777777" w:rsidR="00C92BFC" w:rsidRPr="00F43752" w:rsidRDefault="00C92BFC" w:rsidP="00577613">
            <w:pPr>
              <w:rPr>
                <w:color w:val="000000" w:themeColor="text1"/>
                <w:sz w:val="22"/>
                <w:szCs w:val="22"/>
                <w:lang w:eastAsia="ro-RO"/>
              </w:rPr>
            </w:pPr>
            <w:r w:rsidRPr="00F43752">
              <w:rPr>
                <w:color w:val="000000"/>
                <w:sz w:val="22"/>
                <w:szCs w:val="22"/>
              </w:rPr>
              <w:t>ROSCI0038</w:t>
            </w:r>
          </w:p>
        </w:tc>
        <w:tc>
          <w:tcPr>
            <w:tcW w:w="3969" w:type="dxa"/>
            <w:tcBorders>
              <w:top w:val="nil"/>
              <w:left w:val="nil"/>
              <w:bottom w:val="single" w:sz="8" w:space="0" w:color="000000"/>
              <w:right w:val="single" w:sz="8" w:space="0" w:color="000000"/>
            </w:tcBorders>
            <w:shd w:val="clear" w:color="auto" w:fill="auto"/>
          </w:tcPr>
          <w:p w14:paraId="1C431322" w14:textId="77777777" w:rsidR="00C92BFC" w:rsidRPr="00F43752" w:rsidRDefault="00C92BFC" w:rsidP="00577613">
            <w:pPr>
              <w:rPr>
                <w:color w:val="000000" w:themeColor="text1"/>
                <w:sz w:val="22"/>
                <w:szCs w:val="22"/>
                <w:lang w:eastAsia="ro-RO"/>
              </w:rPr>
            </w:pPr>
            <w:r w:rsidRPr="00F43752">
              <w:rPr>
                <w:color w:val="000000"/>
                <w:sz w:val="22"/>
                <w:szCs w:val="22"/>
              </w:rPr>
              <w:t>Ciucaș</w:t>
            </w:r>
          </w:p>
        </w:tc>
      </w:tr>
      <w:tr w:rsidR="00C92BFC" w:rsidRPr="00C56257" w14:paraId="4026AEBD"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7839B7E4"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595099E4" w14:textId="77777777" w:rsidR="00C92BFC" w:rsidRPr="00F43752" w:rsidRDefault="001B29DE" w:rsidP="001B29DE">
            <w:pPr>
              <w:rPr>
                <w:color w:val="000000" w:themeColor="text1"/>
                <w:sz w:val="22"/>
                <w:szCs w:val="22"/>
                <w:lang w:eastAsia="ro-RO"/>
              </w:rPr>
            </w:pPr>
            <w:r>
              <w:rPr>
                <w:color w:val="000000"/>
                <w:sz w:val="22"/>
                <w:szCs w:val="22"/>
              </w:rPr>
              <w:t>ROSAC</w:t>
            </w:r>
            <w:r w:rsidR="00C92BFC" w:rsidRPr="00F43752">
              <w:rPr>
                <w:color w:val="000000"/>
                <w:sz w:val="22"/>
                <w:szCs w:val="22"/>
              </w:rPr>
              <w:t>0046</w:t>
            </w:r>
          </w:p>
        </w:tc>
        <w:tc>
          <w:tcPr>
            <w:tcW w:w="3969" w:type="dxa"/>
            <w:tcBorders>
              <w:top w:val="nil"/>
              <w:left w:val="nil"/>
              <w:bottom w:val="single" w:sz="8" w:space="0" w:color="000000"/>
              <w:right w:val="single" w:sz="8" w:space="0" w:color="000000"/>
            </w:tcBorders>
            <w:shd w:val="clear" w:color="auto" w:fill="auto"/>
          </w:tcPr>
          <w:p w14:paraId="042CA79C" w14:textId="77777777" w:rsidR="00C92BFC" w:rsidRPr="00F43752" w:rsidRDefault="00C92BFC" w:rsidP="00577613">
            <w:pPr>
              <w:rPr>
                <w:color w:val="000000" w:themeColor="text1"/>
                <w:sz w:val="22"/>
                <w:szCs w:val="22"/>
                <w:lang w:eastAsia="ro-RO"/>
              </w:rPr>
            </w:pPr>
            <w:r w:rsidRPr="00F43752">
              <w:rPr>
                <w:color w:val="000000"/>
                <w:sz w:val="22"/>
                <w:szCs w:val="22"/>
              </w:rPr>
              <w:t>Cozia</w:t>
            </w:r>
          </w:p>
        </w:tc>
      </w:tr>
      <w:tr w:rsidR="00C92BFC" w:rsidRPr="00C56257" w14:paraId="730668E9"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270A62CD"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547D19A7" w14:textId="77777777" w:rsidR="00C92BFC" w:rsidRPr="00F43752" w:rsidRDefault="001B29DE" w:rsidP="00577613">
            <w:pPr>
              <w:rPr>
                <w:color w:val="000000" w:themeColor="text1"/>
                <w:sz w:val="22"/>
                <w:szCs w:val="22"/>
                <w:lang w:eastAsia="ro-RO"/>
              </w:rPr>
            </w:pPr>
            <w:r>
              <w:rPr>
                <w:color w:val="000000"/>
                <w:sz w:val="22"/>
                <w:szCs w:val="22"/>
              </w:rPr>
              <w:t>ROSAC</w:t>
            </w:r>
            <w:r w:rsidR="00C92BFC" w:rsidRPr="00F43752">
              <w:rPr>
                <w:color w:val="000000"/>
                <w:sz w:val="22"/>
                <w:szCs w:val="22"/>
              </w:rPr>
              <w:t>0047</w:t>
            </w:r>
          </w:p>
        </w:tc>
        <w:tc>
          <w:tcPr>
            <w:tcW w:w="3969" w:type="dxa"/>
            <w:tcBorders>
              <w:top w:val="nil"/>
              <w:left w:val="nil"/>
              <w:bottom w:val="single" w:sz="8" w:space="0" w:color="000000"/>
              <w:right w:val="single" w:sz="8" w:space="0" w:color="000000"/>
            </w:tcBorders>
            <w:shd w:val="clear" w:color="auto" w:fill="auto"/>
          </w:tcPr>
          <w:p w14:paraId="5E4E0AEF" w14:textId="77777777" w:rsidR="00C92BFC" w:rsidRPr="00F43752" w:rsidRDefault="00C92BFC" w:rsidP="00577613">
            <w:pPr>
              <w:rPr>
                <w:color w:val="000000" w:themeColor="text1"/>
                <w:sz w:val="22"/>
                <w:szCs w:val="22"/>
                <w:lang w:eastAsia="ro-RO"/>
              </w:rPr>
            </w:pPr>
            <w:r w:rsidRPr="00F43752">
              <w:rPr>
                <w:color w:val="000000"/>
                <w:sz w:val="22"/>
                <w:szCs w:val="22"/>
              </w:rPr>
              <w:t>Creasta Nemirei</w:t>
            </w:r>
          </w:p>
        </w:tc>
      </w:tr>
      <w:tr w:rsidR="00C92BFC" w:rsidRPr="00C56257" w14:paraId="1CB4DF7E"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57F396AC"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36E83135" w14:textId="77777777" w:rsidR="00C92BFC" w:rsidRPr="00F43752" w:rsidRDefault="00C92BFC" w:rsidP="00577613">
            <w:pPr>
              <w:rPr>
                <w:color w:val="000000" w:themeColor="text1"/>
                <w:sz w:val="22"/>
                <w:szCs w:val="22"/>
                <w:lang w:eastAsia="ro-RO"/>
              </w:rPr>
            </w:pPr>
            <w:r w:rsidRPr="00F43752">
              <w:rPr>
                <w:color w:val="000000"/>
                <w:sz w:val="22"/>
                <w:szCs w:val="22"/>
              </w:rPr>
              <w:t>ROSCI0063</w:t>
            </w:r>
          </w:p>
        </w:tc>
        <w:tc>
          <w:tcPr>
            <w:tcW w:w="3969" w:type="dxa"/>
            <w:tcBorders>
              <w:top w:val="nil"/>
              <w:left w:val="nil"/>
              <w:bottom w:val="single" w:sz="8" w:space="0" w:color="000000"/>
              <w:right w:val="single" w:sz="8" w:space="0" w:color="000000"/>
            </w:tcBorders>
            <w:shd w:val="clear" w:color="auto" w:fill="auto"/>
          </w:tcPr>
          <w:p w14:paraId="04B4873D" w14:textId="77777777" w:rsidR="00C92BFC" w:rsidRPr="00F43752" w:rsidRDefault="00C92BFC" w:rsidP="00577613">
            <w:pPr>
              <w:rPr>
                <w:color w:val="000000" w:themeColor="text1"/>
                <w:sz w:val="22"/>
                <w:szCs w:val="22"/>
                <w:lang w:eastAsia="ro-RO"/>
              </w:rPr>
            </w:pPr>
            <w:r w:rsidRPr="00F43752">
              <w:rPr>
                <w:color w:val="000000"/>
                <w:sz w:val="22"/>
                <w:szCs w:val="22"/>
              </w:rPr>
              <w:t>Defileul Jiului</w:t>
            </w:r>
          </w:p>
        </w:tc>
      </w:tr>
      <w:tr w:rsidR="00C92BFC" w:rsidRPr="00C56257" w14:paraId="2EAD9547"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61EE9E51"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1A3C7673" w14:textId="77777777" w:rsidR="00C92BFC" w:rsidRPr="00F43752" w:rsidRDefault="00C92BFC" w:rsidP="000521DB">
            <w:pPr>
              <w:rPr>
                <w:color w:val="000000" w:themeColor="text1"/>
                <w:sz w:val="22"/>
                <w:szCs w:val="22"/>
                <w:lang w:eastAsia="ro-RO"/>
              </w:rPr>
            </w:pPr>
            <w:r w:rsidRPr="00F43752">
              <w:rPr>
                <w:color w:val="000000"/>
                <w:sz w:val="22"/>
                <w:szCs w:val="22"/>
              </w:rPr>
              <w:t>ROS</w:t>
            </w:r>
            <w:r w:rsidR="000521DB">
              <w:rPr>
                <w:color w:val="000000"/>
                <w:sz w:val="22"/>
                <w:szCs w:val="22"/>
              </w:rPr>
              <w:t>AC</w:t>
            </w:r>
            <w:r w:rsidRPr="00F43752">
              <w:rPr>
                <w:color w:val="000000"/>
                <w:sz w:val="22"/>
                <w:szCs w:val="22"/>
              </w:rPr>
              <w:t>0069</w:t>
            </w:r>
          </w:p>
        </w:tc>
        <w:tc>
          <w:tcPr>
            <w:tcW w:w="3969" w:type="dxa"/>
            <w:tcBorders>
              <w:top w:val="nil"/>
              <w:left w:val="nil"/>
              <w:bottom w:val="single" w:sz="8" w:space="0" w:color="000000"/>
              <w:right w:val="single" w:sz="8" w:space="0" w:color="000000"/>
            </w:tcBorders>
            <w:shd w:val="clear" w:color="auto" w:fill="auto"/>
          </w:tcPr>
          <w:p w14:paraId="1C98D845" w14:textId="77777777" w:rsidR="00C92BFC" w:rsidRPr="00F43752" w:rsidRDefault="00C92BFC" w:rsidP="00577613">
            <w:pPr>
              <w:rPr>
                <w:color w:val="000000" w:themeColor="text1"/>
                <w:sz w:val="22"/>
                <w:szCs w:val="22"/>
                <w:lang w:eastAsia="ro-RO"/>
              </w:rPr>
            </w:pPr>
            <w:r w:rsidRPr="00F43752">
              <w:rPr>
                <w:color w:val="000000"/>
                <w:sz w:val="22"/>
                <w:szCs w:val="22"/>
              </w:rPr>
              <w:t>Domogled - Valea Cernei</w:t>
            </w:r>
          </w:p>
        </w:tc>
      </w:tr>
      <w:tr w:rsidR="00C92BFC" w:rsidRPr="00C56257" w14:paraId="2374216E"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54447FD6"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62E913AD" w14:textId="77777777" w:rsidR="00C92BFC" w:rsidRPr="00F43752" w:rsidRDefault="0092497B" w:rsidP="00577613">
            <w:pPr>
              <w:rPr>
                <w:color w:val="000000" w:themeColor="text1"/>
                <w:sz w:val="22"/>
                <w:szCs w:val="22"/>
                <w:lang w:eastAsia="ro-RO"/>
              </w:rPr>
            </w:pPr>
            <w:r>
              <w:rPr>
                <w:color w:val="000000"/>
                <w:sz w:val="22"/>
                <w:szCs w:val="22"/>
              </w:rPr>
              <w:t>ROSAC</w:t>
            </w:r>
            <w:r w:rsidR="00C92BFC" w:rsidRPr="00F43752">
              <w:rPr>
                <w:color w:val="000000"/>
                <w:sz w:val="22"/>
                <w:szCs w:val="22"/>
              </w:rPr>
              <w:t>0085</w:t>
            </w:r>
          </w:p>
        </w:tc>
        <w:tc>
          <w:tcPr>
            <w:tcW w:w="3969" w:type="dxa"/>
            <w:tcBorders>
              <w:top w:val="nil"/>
              <w:left w:val="nil"/>
              <w:bottom w:val="single" w:sz="8" w:space="0" w:color="000000"/>
              <w:right w:val="single" w:sz="8" w:space="0" w:color="000000"/>
            </w:tcBorders>
            <w:shd w:val="clear" w:color="auto" w:fill="auto"/>
          </w:tcPr>
          <w:p w14:paraId="22A4B302" w14:textId="77777777" w:rsidR="00C92BFC" w:rsidRPr="00F43752" w:rsidRDefault="00C92BFC" w:rsidP="00577613">
            <w:pPr>
              <w:rPr>
                <w:color w:val="000000" w:themeColor="text1"/>
                <w:sz w:val="22"/>
                <w:szCs w:val="22"/>
                <w:lang w:eastAsia="ro-RO"/>
              </w:rPr>
            </w:pPr>
            <w:r w:rsidRPr="00F43752">
              <w:rPr>
                <w:color w:val="000000"/>
                <w:sz w:val="22"/>
                <w:szCs w:val="22"/>
              </w:rPr>
              <w:t>Frumoasa</w:t>
            </w:r>
          </w:p>
        </w:tc>
      </w:tr>
      <w:tr w:rsidR="00C92BFC" w:rsidRPr="00C56257" w14:paraId="315A8F73"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39333A4D"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7D505E6E" w14:textId="77777777" w:rsidR="00C92BFC" w:rsidRPr="00F43752" w:rsidRDefault="00C92BFC" w:rsidP="00577613">
            <w:pPr>
              <w:rPr>
                <w:color w:val="000000" w:themeColor="text1"/>
                <w:sz w:val="22"/>
                <w:szCs w:val="22"/>
                <w:lang w:eastAsia="ro-RO"/>
              </w:rPr>
            </w:pPr>
            <w:r w:rsidRPr="00F43752">
              <w:rPr>
                <w:color w:val="000000"/>
                <w:sz w:val="22"/>
                <w:szCs w:val="22"/>
              </w:rPr>
              <w:t>ROSCI0092</w:t>
            </w:r>
          </w:p>
        </w:tc>
        <w:tc>
          <w:tcPr>
            <w:tcW w:w="3969" w:type="dxa"/>
            <w:tcBorders>
              <w:top w:val="nil"/>
              <w:left w:val="nil"/>
              <w:bottom w:val="single" w:sz="8" w:space="0" w:color="000000"/>
              <w:right w:val="single" w:sz="8" w:space="0" w:color="000000"/>
            </w:tcBorders>
            <w:shd w:val="clear" w:color="auto" w:fill="auto"/>
          </w:tcPr>
          <w:p w14:paraId="0F43A696" w14:textId="77777777" w:rsidR="00C92BFC" w:rsidRPr="00F43752" w:rsidRDefault="00C92BFC" w:rsidP="00577613">
            <w:pPr>
              <w:rPr>
                <w:color w:val="000000" w:themeColor="text1"/>
                <w:sz w:val="22"/>
                <w:szCs w:val="22"/>
                <w:lang w:eastAsia="ro-RO"/>
              </w:rPr>
            </w:pPr>
            <w:r w:rsidRPr="00F43752">
              <w:rPr>
                <w:color w:val="000000"/>
                <w:sz w:val="22"/>
                <w:szCs w:val="22"/>
              </w:rPr>
              <w:t>Igniș</w:t>
            </w:r>
          </w:p>
        </w:tc>
      </w:tr>
      <w:tr w:rsidR="00C92BFC" w:rsidRPr="00C56257" w14:paraId="4971E7FA"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7A3E0923"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38F1862A" w14:textId="77777777" w:rsidR="00C92BFC" w:rsidRPr="00F43752" w:rsidRDefault="0092497B" w:rsidP="00577613">
            <w:pPr>
              <w:rPr>
                <w:color w:val="000000" w:themeColor="text1"/>
                <w:sz w:val="22"/>
                <w:szCs w:val="22"/>
                <w:lang w:eastAsia="ro-RO"/>
              </w:rPr>
            </w:pPr>
            <w:r>
              <w:rPr>
                <w:color w:val="000000"/>
                <w:sz w:val="22"/>
                <w:szCs w:val="22"/>
              </w:rPr>
              <w:t>ROSAC</w:t>
            </w:r>
            <w:r w:rsidR="00C92BFC" w:rsidRPr="00F43752">
              <w:rPr>
                <w:color w:val="000000"/>
                <w:sz w:val="22"/>
                <w:szCs w:val="22"/>
              </w:rPr>
              <w:t>0119</w:t>
            </w:r>
          </w:p>
        </w:tc>
        <w:tc>
          <w:tcPr>
            <w:tcW w:w="3969" w:type="dxa"/>
            <w:tcBorders>
              <w:top w:val="nil"/>
              <w:left w:val="nil"/>
              <w:bottom w:val="single" w:sz="8" w:space="0" w:color="000000"/>
              <w:right w:val="single" w:sz="8" w:space="0" w:color="000000"/>
            </w:tcBorders>
            <w:shd w:val="clear" w:color="auto" w:fill="auto"/>
          </w:tcPr>
          <w:p w14:paraId="24B4DC3D" w14:textId="77777777" w:rsidR="00C92BFC" w:rsidRPr="00F43752" w:rsidRDefault="00C92BFC" w:rsidP="00577613">
            <w:pPr>
              <w:rPr>
                <w:color w:val="000000" w:themeColor="text1"/>
                <w:sz w:val="22"/>
                <w:szCs w:val="22"/>
                <w:lang w:eastAsia="ro-RO"/>
              </w:rPr>
            </w:pPr>
            <w:r w:rsidRPr="00F43752">
              <w:rPr>
                <w:color w:val="000000"/>
                <w:sz w:val="22"/>
                <w:szCs w:val="22"/>
              </w:rPr>
              <w:t>Muntele Mare</w:t>
            </w:r>
          </w:p>
        </w:tc>
      </w:tr>
      <w:tr w:rsidR="00C92BFC" w:rsidRPr="00C56257" w14:paraId="7883A1BB" w14:textId="77777777" w:rsidTr="00A07D6B">
        <w:trPr>
          <w:trHeight w:val="282"/>
        </w:trPr>
        <w:tc>
          <w:tcPr>
            <w:tcW w:w="4229" w:type="dxa"/>
            <w:tcBorders>
              <w:top w:val="nil"/>
              <w:left w:val="single" w:sz="8" w:space="0" w:color="000000"/>
              <w:bottom w:val="nil"/>
              <w:right w:val="single" w:sz="8" w:space="0" w:color="000000"/>
            </w:tcBorders>
            <w:shd w:val="clear" w:color="auto" w:fill="auto"/>
            <w:vAlign w:val="center"/>
          </w:tcPr>
          <w:p w14:paraId="31DD372A" w14:textId="77777777" w:rsidR="00C92BFC" w:rsidRPr="00D810D6" w:rsidRDefault="00C92BFC" w:rsidP="008E33FD">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0E9A1BD4" w14:textId="77777777" w:rsidR="00C92BFC" w:rsidRPr="00F43752" w:rsidRDefault="00C92BFC"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0122</w:t>
            </w:r>
          </w:p>
        </w:tc>
        <w:tc>
          <w:tcPr>
            <w:tcW w:w="3969" w:type="dxa"/>
            <w:tcBorders>
              <w:top w:val="nil"/>
              <w:left w:val="nil"/>
              <w:bottom w:val="single" w:sz="8" w:space="0" w:color="000000"/>
              <w:right w:val="single" w:sz="8" w:space="0" w:color="000000"/>
            </w:tcBorders>
            <w:shd w:val="clear" w:color="auto" w:fill="auto"/>
            <w:vAlign w:val="bottom"/>
          </w:tcPr>
          <w:p w14:paraId="492A5820" w14:textId="77777777" w:rsidR="00C92BFC" w:rsidRPr="00F43752" w:rsidRDefault="00C92BFC" w:rsidP="008E33FD">
            <w:pPr>
              <w:jc w:val="both"/>
              <w:rPr>
                <w:color w:val="000000" w:themeColor="text1"/>
                <w:sz w:val="22"/>
                <w:szCs w:val="22"/>
                <w:lang w:eastAsia="ro-RO"/>
              </w:rPr>
            </w:pPr>
            <w:r w:rsidRPr="00F43752">
              <w:rPr>
                <w:color w:val="000000"/>
                <w:sz w:val="22"/>
                <w:szCs w:val="22"/>
              </w:rPr>
              <w:t>Munții Făgăraș</w:t>
            </w:r>
          </w:p>
        </w:tc>
      </w:tr>
      <w:tr w:rsidR="00C92BFC" w:rsidRPr="00C56257" w14:paraId="729BFBB7"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6CE08887"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7CE29E26" w14:textId="77777777" w:rsidR="00C92BFC" w:rsidRPr="00F43752" w:rsidRDefault="00C92BFC" w:rsidP="008E33FD">
            <w:pPr>
              <w:jc w:val="both"/>
              <w:rPr>
                <w:color w:val="000000" w:themeColor="text1"/>
                <w:sz w:val="22"/>
                <w:szCs w:val="22"/>
                <w:lang w:eastAsia="ro-RO"/>
              </w:rPr>
            </w:pPr>
            <w:r w:rsidRPr="00F43752">
              <w:rPr>
                <w:color w:val="000000"/>
                <w:sz w:val="22"/>
                <w:szCs w:val="22"/>
              </w:rPr>
              <w:t>ROSCI0124</w:t>
            </w:r>
          </w:p>
        </w:tc>
        <w:tc>
          <w:tcPr>
            <w:tcW w:w="3969" w:type="dxa"/>
            <w:tcBorders>
              <w:top w:val="nil"/>
              <w:left w:val="nil"/>
              <w:bottom w:val="single" w:sz="8" w:space="0" w:color="000000"/>
              <w:right w:val="single" w:sz="8" w:space="0" w:color="000000"/>
            </w:tcBorders>
            <w:shd w:val="clear" w:color="auto" w:fill="auto"/>
            <w:vAlign w:val="bottom"/>
          </w:tcPr>
          <w:p w14:paraId="1CDA026E" w14:textId="77777777" w:rsidR="00C92BFC" w:rsidRPr="00F43752" w:rsidRDefault="00C92BFC" w:rsidP="008E33FD">
            <w:pPr>
              <w:jc w:val="both"/>
              <w:rPr>
                <w:color w:val="000000" w:themeColor="text1"/>
                <w:sz w:val="22"/>
                <w:szCs w:val="22"/>
                <w:lang w:eastAsia="ro-RO"/>
              </w:rPr>
            </w:pPr>
            <w:r w:rsidRPr="00F43752">
              <w:rPr>
                <w:color w:val="000000"/>
                <w:sz w:val="22"/>
                <w:szCs w:val="22"/>
              </w:rPr>
              <w:t>Munții Maramureșului</w:t>
            </w:r>
          </w:p>
        </w:tc>
      </w:tr>
      <w:tr w:rsidR="00C92BFC" w:rsidRPr="00C56257" w14:paraId="00640CF5"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65149FCD"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63437348" w14:textId="77777777" w:rsidR="00C92BFC" w:rsidRPr="00F43752" w:rsidRDefault="00C92BFC" w:rsidP="001B29DE">
            <w:pPr>
              <w:jc w:val="both"/>
              <w:rPr>
                <w:color w:val="000000" w:themeColor="text1"/>
                <w:sz w:val="22"/>
                <w:szCs w:val="22"/>
                <w:lang w:eastAsia="ro-RO"/>
              </w:rPr>
            </w:pPr>
            <w:r w:rsidRPr="00F43752">
              <w:rPr>
                <w:color w:val="000000"/>
                <w:sz w:val="22"/>
                <w:szCs w:val="22"/>
              </w:rPr>
              <w:t>ROS</w:t>
            </w:r>
            <w:r w:rsidR="0092497B">
              <w:rPr>
                <w:color w:val="000000"/>
                <w:sz w:val="22"/>
                <w:szCs w:val="22"/>
              </w:rPr>
              <w:t>CI</w:t>
            </w:r>
            <w:r w:rsidRPr="00F43752">
              <w:rPr>
                <w:color w:val="000000"/>
                <w:sz w:val="22"/>
                <w:szCs w:val="22"/>
              </w:rPr>
              <w:t>0125</w:t>
            </w:r>
          </w:p>
        </w:tc>
        <w:tc>
          <w:tcPr>
            <w:tcW w:w="3969" w:type="dxa"/>
            <w:tcBorders>
              <w:top w:val="nil"/>
              <w:left w:val="nil"/>
              <w:bottom w:val="single" w:sz="8" w:space="0" w:color="000000"/>
              <w:right w:val="single" w:sz="8" w:space="0" w:color="000000"/>
            </w:tcBorders>
            <w:shd w:val="clear" w:color="auto" w:fill="auto"/>
            <w:vAlign w:val="bottom"/>
          </w:tcPr>
          <w:p w14:paraId="2DAA7C01" w14:textId="77777777" w:rsidR="00C92BFC" w:rsidRPr="00F43752" w:rsidRDefault="00C92BFC" w:rsidP="008E33FD">
            <w:pPr>
              <w:jc w:val="both"/>
              <w:rPr>
                <w:color w:val="000000" w:themeColor="text1"/>
                <w:sz w:val="22"/>
                <w:szCs w:val="22"/>
                <w:lang w:eastAsia="ro-RO"/>
              </w:rPr>
            </w:pPr>
            <w:r w:rsidRPr="00F43752">
              <w:rPr>
                <w:color w:val="000000"/>
                <w:sz w:val="22"/>
                <w:szCs w:val="22"/>
              </w:rPr>
              <w:t>Munții Rodnei</w:t>
            </w:r>
          </w:p>
        </w:tc>
      </w:tr>
      <w:tr w:rsidR="00C92BFC" w:rsidRPr="00C56257" w14:paraId="77DACA22"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1951B746"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6EF0A89C" w14:textId="77777777" w:rsidR="00C92BFC" w:rsidRPr="00F43752" w:rsidRDefault="00C92BFC" w:rsidP="008E33FD">
            <w:pPr>
              <w:jc w:val="both"/>
              <w:rPr>
                <w:color w:val="000000" w:themeColor="text1"/>
                <w:sz w:val="22"/>
                <w:szCs w:val="22"/>
                <w:lang w:eastAsia="ro-RO"/>
              </w:rPr>
            </w:pPr>
            <w:r w:rsidRPr="00F43752">
              <w:rPr>
                <w:color w:val="000000"/>
                <w:sz w:val="22"/>
                <w:szCs w:val="22"/>
              </w:rPr>
              <w:t>ROSCI0126</w:t>
            </w:r>
          </w:p>
        </w:tc>
        <w:tc>
          <w:tcPr>
            <w:tcW w:w="3969" w:type="dxa"/>
            <w:tcBorders>
              <w:top w:val="nil"/>
              <w:left w:val="nil"/>
              <w:bottom w:val="single" w:sz="8" w:space="0" w:color="000000"/>
              <w:right w:val="single" w:sz="8" w:space="0" w:color="000000"/>
            </w:tcBorders>
            <w:shd w:val="clear" w:color="auto" w:fill="auto"/>
            <w:vAlign w:val="bottom"/>
          </w:tcPr>
          <w:p w14:paraId="21814903" w14:textId="77777777" w:rsidR="00C92BFC" w:rsidRPr="00F43752" w:rsidRDefault="00C92BFC" w:rsidP="008E33FD">
            <w:pPr>
              <w:jc w:val="both"/>
              <w:rPr>
                <w:color w:val="000000" w:themeColor="text1"/>
                <w:sz w:val="22"/>
                <w:szCs w:val="22"/>
                <w:lang w:eastAsia="ro-RO"/>
              </w:rPr>
            </w:pPr>
            <w:r w:rsidRPr="00F43752">
              <w:rPr>
                <w:color w:val="000000"/>
                <w:sz w:val="22"/>
                <w:szCs w:val="22"/>
              </w:rPr>
              <w:t>Munții Țarcu</w:t>
            </w:r>
          </w:p>
        </w:tc>
      </w:tr>
      <w:tr w:rsidR="00C92BFC" w:rsidRPr="00C56257" w14:paraId="3465C98F"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1F897696"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77971242" w14:textId="77777777" w:rsidR="00C92BFC" w:rsidRPr="00F43752" w:rsidRDefault="00C92BFC"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0128</w:t>
            </w:r>
          </w:p>
        </w:tc>
        <w:tc>
          <w:tcPr>
            <w:tcW w:w="3969" w:type="dxa"/>
            <w:tcBorders>
              <w:top w:val="nil"/>
              <w:left w:val="nil"/>
              <w:bottom w:val="single" w:sz="8" w:space="0" w:color="000000"/>
              <w:right w:val="single" w:sz="8" w:space="0" w:color="000000"/>
            </w:tcBorders>
            <w:shd w:val="clear" w:color="auto" w:fill="auto"/>
            <w:vAlign w:val="bottom"/>
          </w:tcPr>
          <w:p w14:paraId="79A46FE6" w14:textId="77777777" w:rsidR="00C92BFC" w:rsidRPr="00F43752" w:rsidRDefault="00C92BFC" w:rsidP="008E33FD">
            <w:pPr>
              <w:jc w:val="both"/>
              <w:rPr>
                <w:color w:val="000000" w:themeColor="text1"/>
                <w:sz w:val="22"/>
                <w:szCs w:val="22"/>
                <w:lang w:eastAsia="ro-RO"/>
              </w:rPr>
            </w:pPr>
            <w:r w:rsidRPr="00F43752">
              <w:rPr>
                <w:color w:val="000000"/>
                <w:sz w:val="22"/>
                <w:szCs w:val="22"/>
              </w:rPr>
              <w:t>Nordul Gorjului de Est</w:t>
            </w:r>
          </w:p>
        </w:tc>
      </w:tr>
      <w:tr w:rsidR="00C92BFC" w:rsidRPr="00C56257" w14:paraId="5E81BF61"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3FF2484B"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4CCC3AD0" w14:textId="77777777" w:rsidR="00C92BFC" w:rsidRPr="00F43752" w:rsidRDefault="00C92BFC"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0129</w:t>
            </w:r>
          </w:p>
        </w:tc>
        <w:tc>
          <w:tcPr>
            <w:tcW w:w="3969" w:type="dxa"/>
            <w:tcBorders>
              <w:top w:val="nil"/>
              <w:left w:val="nil"/>
              <w:bottom w:val="single" w:sz="8" w:space="0" w:color="000000"/>
              <w:right w:val="single" w:sz="8" w:space="0" w:color="000000"/>
            </w:tcBorders>
            <w:shd w:val="clear" w:color="auto" w:fill="auto"/>
            <w:vAlign w:val="bottom"/>
          </w:tcPr>
          <w:p w14:paraId="51F92809" w14:textId="77777777" w:rsidR="00C92BFC" w:rsidRPr="00F43752" w:rsidRDefault="00C92BFC" w:rsidP="008E33FD">
            <w:pPr>
              <w:jc w:val="both"/>
              <w:rPr>
                <w:color w:val="000000" w:themeColor="text1"/>
                <w:sz w:val="22"/>
                <w:szCs w:val="22"/>
                <w:lang w:eastAsia="ro-RO"/>
              </w:rPr>
            </w:pPr>
            <w:r w:rsidRPr="00F43752">
              <w:rPr>
                <w:color w:val="000000"/>
                <w:sz w:val="22"/>
                <w:szCs w:val="22"/>
              </w:rPr>
              <w:t>Nordul Gorjului de Vest</w:t>
            </w:r>
          </w:p>
        </w:tc>
      </w:tr>
      <w:tr w:rsidR="00C92BFC" w:rsidRPr="00C56257" w14:paraId="05D64898"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3297CB79"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0465B5A1" w14:textId="77777777" w:rsidR="00C92BFC" w:rsidRPr="00F43752" w:rsidRDefault="00C92BFC" w:rsidP="008E33FD">
            <w:pPr>
              <w:jc w:val="both"/>
              <w:rPr>
                <w:color w:val="000000" w:themeColor="text1"/>
                <w:sz w:val="22"/>
                <w:szCs w:val="22"/>
                <w:lang w:eastAsia="ro-RO"/>
              </w:rPr>
            </w:pPr>
            <w:r w:rsidRPr="00F43752">
              <w:rPr>
                <w:color w:val="000000"/>
                <w:sz w:val="22"/>
                <w:szCs w:val="22"/>
              </w:rPr>
              <w:t>ROSCI0156</w:t>
            </w:r>
          </w:p>
        </w:tc>
        <w:tc>
          <w:tcPr>
            <w:tcW w:w="3969" w:type="dxa"/>
            <w:tcBorders>
              <w:top w:val="nil"/>
              <w:left w:val="nil"/>
              <w:bottom w:val="single" w:sz="8" w:space="0" w:color="000000"/>
              <w:right w:val="single" w:sz="8" w:space="0" w:color="000000"/>
            </w:tcBorders>
            <w:shd w:val="clear" w:color="auto" w:fill="auto"/>
            <w:vAlign w:val="bottom"/>
          </w:tcPr>
          <w:p w14:paraId="4CF59EB4" w14:textId="77777777" w:rsidR="00C92BFC" w:rsidRPr="00F43752" w:rsidRDefault="00C92BFC" w:rsidP="008E33FD">
            <w:pPr>
              <w:jc w:val="both"/>
              <w:rPr>
                <w:color w:val="000000" w:themeColor="text1"/>
                <w:sz w:val="22"/>
                <w:szCs w:val="22"/>
                <w:lang w:eastAsia="ro-RO"/>
              </w:rPr>
            </w:pPr>
            <w:r w:rsidRPr="00F43752">
              <w:rPr>
                <w:color w:val="000000"/>
                <w:sz w:val="22"/>
                <w:szCs w:val="22"/>
              </w:rPr>
              <w:t>Munții Goșman</w:t>
            </w:r>
          </w:p>
        </w:tc>
      </w:tr>
      <w:tr w:rsidR="00C92BFC" w:rsidRPr="00C56257" w14:paraId="30EC3B83"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08ABA399"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3BAFD6C9" w14:textId="77777777" w:rsidR="00C92BFC" w:rsidRPr="00F43752" w:rsidRDefault="00C92BFC" w:rsidP="008E33FD">
            <w:pPr>
              <w:jc w:val="both"/>
              <w:rPr>
                <w:color w:val="000000" w:themeColor="text1"/>
                <w:sz w:val="22"/>
                <w:szCs w:val="22"/>
                <w:lang w:eastAsia="ro-RO"/>
              </w:rPr>
            </w:pPr>
            <w:r w:rsidRPr="00F43752">
              <w:rPr>
                <w:color w:val="000000"/>
                <w:sz w:val="22"/>
                <w:szCs w:val="22"/>
              </w:rPr>
              <w:t>ROSCI0182</w:t>
            </w:r>
          </w:p>
        </w:tc>
        <w:tc>
          <w:tcPr>
            <w:tcW w:w="3969" w:type="dxa"/>
            <w:tcBorders>
              <w:top w:val="nil"/>
              <w:left w:val="nil"/>
              <w:bottom w:val="single" w:sz="8" w:space="0" w:color="000000"/>
              <w:right w:val="single" w:sz="8" w:space="0" w:color="000000"/>
            </w:tcBorders>
            <w:shd w:val="clear" w:color="auto" w:fill="auto"/>
            <w:vAlign w:val="bottom"/>
          </w:tcPr>
          <w:p w14:paraId="63CFAB51" w14:textId="77777777" w:rsidR="00C92BFC" w:rsidRPr="00F43752" w:rsidRDefault="00C92BFC" w:rsidP="008E33FD">
            <w:pPr>
              <w:jc w:val="both"/>
              <w:rPr>
                <w:color w:val="000000" w:themeColor="text1"/>
                <w:sz w:val="22"/>
                <w:szCs w:val="22"/>
                <w:lang w:eastAsia="ro-RO"/>
              </w:rPr>
            </w:pPr>
            <w:r w:rsidRPr="00F43752">
              <w:rPr>
                <w:color w:val="000000"/>
                <w:sz w:val="22"/>
                <w:szCs w:val="22"/>
              </w:rPr>
              <w:t>Pădurea Verdele</w:t>
            </w:r>
          </w:p>
        </w:tc>
      </w:tr>
      <w:tr w:rsidR="00C92BFC" w:rsidRPr="00C56257" w14:paraId="66FB4ED3"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71B3D872"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1B836EAC" w14:textId="77777777" w:rsidR="00C92BFC" w:rsidRPr="00F43752" w:rsidRDefault="001B29DE" w:rsidP="008E33FD">
            <w:pPr>
              <w:jc w:val="both"/>
              <w:rPr>
                <w:color w:val="000000" w:themeColor="text1"/>
                <w:sz w:val="22"/>
                <w:szCs w:val="22"/>
                <w:lang w:eastAsia="ro-RO"/>
              </w:rPr>
            </w:pPr>
            <w:r>
              <w:rPr>
                <w:color w:val="000000"/>
                <w:sz w:val="22"/>
                <w:szCs w:val="22"/>
              </w:rPr>
              <w:t>ROSAC</w:t>
            </w:r>
            <w:r w:rsidR="00C92BFC" w:rsidRPr="00F43752">
              <w:rPr>
                <w:color w:val="000000"/>
                <w:sz w:val="22"/>
                <w:szCs w:val="22"/>
              </w:rPr>
              <w:t>0188</w:t>
            </w:r>
          </w:p>
        </w:tc>
        <w:tc>
          <w:tcPr>
            <w:tcW w:w="3969" w:type="dxa"/>
            <w:tcBorders>
              <w:top w:val="nil"/>
              <w:left w:val="nil"/>
              <w:bottom w:val="single" w:sz="8" w:space="0" w:color="000000"/>
              <w:right w:val="single" w:sz="8" w:space="0" w:color="000000"/>
            </w:tcBorders>
            <w:shd w:val="clear" w:color="auto" w:fill="auto"/>
            <w:vAlign w:val="bottom"/>
          </w:tcPr>
          <w:p w14:paraId="1C398DA2" w14:textId="77777777" w:rsidR="00C92BFC" w:rsidRPr="00F43752" w:rsidRDefault="00C92BFC" w:rsidP="008E33FD">
            <w:pPr>
              <w:jc w:val="both"/>
              <w:rPr>
                <w:color w:val="000000" w:themeColor="text1"/>
                <w:sz w:val="22"/>
                <w:szCs w:val="22"/>
                <w:lang w:eastAsia="ro-RO"/>
              </w:rPr>
            </w:pPr>
            <w:r w:rsidRPr="00F43752">
              <w:rPr>
                <w:color w:val="000000"/>
                <w:sz w:val="22"/>
                <w:szCs w:val="22"/>
              </w:rPr>
              <w:t>Parâng</w:t>
            </w:r>
          </w:p>
        </w:tc>
      </w:tr>
      <w:tr w:rsidR="00C92BFC" w:rsidRPr="00C56257" w14:paraId="3A24C2B3"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520BDFB9"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2C92ABB4" w14:textId="77777777" w:rsidR="00C92BFC" w:rsidRPr="00F43752" w:rsidRDefault="00C92BFC"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0194</w:t>
            </w:r>
          </w:p>
        </w:tc>
        <w:tc>
          <w:tcPr>
            <w:tcW w:w="3969" w:type="dxa"/>
            <w:tcBorders>
              <w:top w:val="nil"/>
              <w:left w:val="nil"/>
              <w:bottom w:val="single" w:sz="8" w:space="0" w:color="000000"/>
              <w:right w:val="single" w:sz="8" w:space="0" w:color="000000"/>
            </w:tcBorders>
            <w:shd w:val="clear" w:color="auto" w:fill="auto"/>
            <w:vAlign w:val="bottom"/>
          </w:tcPr>
          <w:p w14:paraId="11D1D6A9" w14:textId="77777777" w:rsidR="00C92BFC" w:rsidRPr="00F43752" w:rsidRDefault="00C92BFC" w:rsidP="008E33FD">
            <w:pPr>
              <w:jc w:val="both"/>
              <w:rPr>
                <w:color w:val="000000" w:themeColor="text1"/>
                <w:sz w:val="22"/>
                <w:szCs w:val="22"/>
                <w:lang w:eastAsia="ro-RO"/>
              </w:rPr>
            </w:pPr>
            <w:r w:rsidRPr="00F43752">
              <w:rPr>
                <w:color w:val="000000"/>
                <w:sz w:val="22"/>
                <w:szCs w:val="22"/>
              </w:rPr>
              <w:t>Piatra Craiului</w:t>
            </w:r>
          </w:p>
        </w:tc>
      </w:tr>
      <w:tr w:rsidR="00C92BFC" w:rsidRPr="00C56257" w14:paraId="16B65C0F"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2F4E146F"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6172C422" w14:textId="77777777" w:rsidR="00C92BFC" w:rsidRPr="00F43752" w:rsidRDefault="001B29DE" w:rsidP="001B29DE">
            <w:pPr>
              <w:jc w:val="both"/>
              <w:rPr>
                <w:color w:val="000000" w:themeColor="text1"/>
                <w:sz w:val="22"/>
                <w:szCs w:val="22"/>
                <w:lang w:eastAsia="ro-RO"/>
              </w:rPr>
            </w:pPr>
            <w:r>
              <w:rPr>
                <w:color w:val="000000"/>
                <w:sz w:val="22"/>
                <w:szCs w:val="22"/>
              </w:rPr>
              <w:t>ROSAC</w:t>
            </w:r>
            <w:r w:rsidR="00C92BFC" w:rsidRPr="00F43752">
              <w:rPr>
                <w:color w:val="000000"/>
                <w:sz w:val="22"/>
                <w:szCs w:val="22"/>
              </w:rPr>
              <w:t>0208</w:t>
            </w:r>
          </w:p>
        </w:tc>
        <w:tc>
          <w:tcPr>
            <w:tcW w:w="3969" w:type="dxa"/>
            <w:tcBorders>
              <w:top w:val="nil"/>
              <w:left w:val="nil"/>
              <w:bottom w:val="single" w:sz="8" w:space="0" w:color="000000"/>
              <w:right w:val="single" w:sz="8" w:space="0" w:color="000000"/>
            </w:tcBorders>
            <w:shd w:val="clear" w:color="auto" w:fill="auto"/>
            <w:vAlign w:val="bottom"/>
          </w:tcPr>
          <w:p w14:paraId="0ADB3614" w14:textId="77777777" w:rsidR="00C92BFC" w:rsidRPr="00F43752" w:rsidRDefault="00C92BFC" w:rsidP="008E33FD">
            <w:pPr>
              <w:jc w:val="both"/>
              <w:rPr>
                <w:color w:val="000000" w:themeColor="text1"/>
                <w:sz w:val="22"/>
                <w:szCs w:val="22"/>
                <w:lang w:eastAsia="ro-RO"/>
              </w:rPr>
            </w:pPr>
            <w:r w:rsidRPr="00F43752">
              <w:rPr>
                <w:color w:val="000000"/>
                <w:sz w:val="22"/>
                <w:szCs w:val="22"/>
              </w:rPr>
              <w:t>Putna - Vrancea</w:t>
            </w:r>
          </w:p>
        </w:tc>
      </w:tr>
      <w:tr w:rsidR="00C92BFC" w:rsidRPr="00C56257" w14:paraId="3547B489"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6CF6672A"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43E0AD8B" w14:textId="77777777" w:rsidR="00C92BFC" w:rsidRPr="00F43752" w:rsidRDefault="00C92BFC"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0212</w:t>
            </w:r>
          </w:p>
        </w:tc>
        <w:tc>
          <w:tcPr>
            <w:tcW w:w="3969" w:type="dxa"/>
            <w:tcBorders>
              <w:top w:val="nil"/>
              <w:left w:val="nil"/>
              <w:bottom w:val="single" w:sz="8" w:space="0" w:color="000000"/>
              <w:right w:val="single" w:sz="8" w:space="0" w:color="000000"/>
            </w:tcBorders>
            <w:shd w:val="clear" w:color="auto" w:fill="auto"/>
            <w:vAlign w:val="bottom"/>
          </w:tcPr>
          <w:p w14:paraId="1D6E8DEE" w14:textId="77777777" w:rsidR="00C92BFC" w:rsidRPr="00F43752" w:rsidRDefault="00C92BFC" w:rsidP="008E33FD">
            <w:pPr>
              <w:jc w:val="both"/>
              <w:rPr>
                <w:color w:val="000000" w:themeColor="text1"/>
                <w:sz w:val="22"/>
                <w:szCs w:val="22"/>
                <w:lang w:eastAsia="ro-RO"/>
              </w:rPr>
            </w:pPr>
            <w:r w:rsidRPr="00F43752">
              <w:rPr>
                <w:color w:val="000000"/>
                <w:sz w:val="22"/>
                <w:szCs w:val="22"/>
              </w:rPr>
              <w:t>Rarău - Giumalău</w:t>
            </w:r>
          </w:p>
        </w:tc>
      </w:tr>
      <w:tr w:rsidR="00C92BFC" w:rsidRPr="00C56257" w14:paraId="7DAD6776"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1AE5B3C7"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792EA21F" w14:textId="77777777" w:rsidR="00C92BFC" w:rsidRPr="00F43752" w:rsidRDefault="00C92BFC" w:rsidP="008E33FD">
            <w:pPr>
              <w:jc w:val="both"/>
              <w:rPr>
                <w:color w:val="000000" w:themeColor="text1"/>
                <w:sz w:val="22"/>
                <w:szCs w:val="22"/>
                <w:lang w:eastAsia="ro-RO"/>
              </w:rPr>
            </w:pPr>
            <w:r w:rsidRPr="00F43752">
              <w:rPr>
                <w:color w:val="000000"/>
                <w:sz w:val="22"/>
                <w:szCs w:val="22"/>
              </w:rPr>
              <w:t>ROSCI0226</w:t>
            </w:r>
          </w:p>
        </w:tc>
        <w:tc>
          <w:tcPr>
            <w:tcW w:w="3969" w:type="dxa"/>
            <w:tcBorders>
              <w:top w:val="nil"/>
              <w:left w:val="nil"/>
              <w:bottom w:val="single" w:sz="8" w:space="0" w:color="000000"/>
              <w:right w:val="single" w:sz="8" w:space="0" w:color="000000"/>
            </w:tcBorders>
            <w:shd w:val="clear" w:color="auto" w:fill="auto"/>
            <w:vAlign w:val="bottom"/>
          </w:tcPr>
          <w:p w14:paraId="0D0E6E62" w14:textId="77777777" w:rsidR="00C92BFC" w:rsidRPr="00F43752" w:rsidRDefault="00C92BFC" w:rsidP="008E33FD">
            <w:pPr>
              <w:jc w:val="both"/>
              <w:rPr>
                <w:color w:val="000000" w:themeColor="text1"/>
                <w:sz w:val="22"/>
                <w:szCs w:val="22"/>
                <w:lang w:eastAsia="ro-RO"/>
              </w:rPr>
            </w:pPr>
            <w:r w:rsidRPr="00F43752">
              <w:rPr>
                <w:color w:val="000000"/>
                <w:sz w:val="22"/>
                <w:szCs w:val="22"/>
              </w:rPr>
              <w:t>Semenic - Cheile Carașului</w:t>
            </w:r>
          </w:p>
        </w:tc>
      </w:tr>
      <w:tr w:rsidR="00C92BFC" w:rsidRPr="00C56257" w14:paraId="5B5F7D08"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00670D1C"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0C6EACBD" w14:textId="77777777" w:rsidR="00C92BFC" w:rsidRPr="00F43752" w:rsidRDefault="00C92BFC"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0239</w:t>
            </w:r>
          </w:p>
        </w:tc>
        <w:tc>
          <w:tcPr>
            <w:tcW w:w="3969" w:type="dxa"/>
            <w:tcBorders>
              <w:top w:val="nil"/>
              <w:left w:val="nil"/>
              <w:bottom w:val="single" w:sz="8" w:space="0" w:color="000000"/>
              <w:right w:val="single" w:sz="8" w:space="0" w:color="000000"/>
            </w:tcBorders>
            <w:shd w:val="clear" w:color="auto" w:fill="auto"/>
            <w:vAlign w:val="bottom"/>
          </w:tcPr>
          <w:p w14:paraId="0CE57FAB" w14:textId="77777777" w:rsidR="00C92BFC" w:rsidRPr="00F43752" w:rsidRDefault="00C92BFC" w:rsidP="008E33FD">
            <w:pPr>
              <w:jc w:val="both"/>
              <w:rPr>
                <w:color w:val="000000" w:themeColor="text1"/>
                <w:sz w:val="22"/>
                <w:szCs w:val="22"/>
                <w:lang w:eastAsia="ro-RO"/>
              </w:rPr>
            </w:pPr>
            <w:r w:rsidRPr="00F43752">
              <w:rPr>
                <w:color w:val="000000"/>
                <w:sz w:val="22"/>
                <w:szCs w:val="22"/>
              </w:rPr>
              <w:t>Târnovu Mare - Latorița</w:t>
            </w:r>
          </w:p>
        </w:tc>
      </w:tr>
      <w:tr w:rsidR="00C92BFC" w:rsidRPr="00C56257" w14:paraId="009E7C67"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794C7625"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055D6560" w14:textId="77777777" w:rsidR="00C92BFC" w:rsidRPr="00F43752" w:rsidRDefault="00C92BFC"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0260</w:t>
            </w:r>
          </w:p>
        </w:tc>
        <w:tc>
          <w:tcPr>
            <w:tcW w:w="3969" w:type="dxa"/>
            <w:tcBorders>
              <w:top w:val="nil"/>
              <w:left w:val="nil"/>
              <w:bottom w:val="single" w:sz="8" w:space="0" w:color="000000"/>
              <w:right w:val="single" w:sz="8" w:space="0" w:color="000000"/>
            </w:tcBorders>
            <w:shd w:val="clear" w:color="auto" w:fill="auto"/>
            <w:vAlign w:val="bottom"/>
          </w:tcPr>
          <w:p w14:paraId="6B06D822" w14:textId="77777777" w:rsidR="00C92BFC" w:rsidRPr="00F43752" w:rsidRDefault="00C92BFC" w:rsidP="008E33FD">
            <w:pPr>
              <w:jc w:val="both"/>
              <w:rPr>
                <w:color w:val="000000" w:themeColor="text1"/>
                <w:sz w:val="22"/>
                <w:szCs w:val="22"/>
                <w:lang w:eastAsia="ro-RO"/>
              </w:rPr>
            </w:pPr>
            <w:r w:rsidRPr="00F43752">
              <w:rPr>
                <w:color w:val="000000"/>
                <w:sz w:val="22"/>
                <w:szCs w:val="22"/>
              </w:rPr>
              <w:t>Valea Cepelor</w:t>
            </w:r>
          </w:p>
        </w:tc>
      </w:tr>
      <w:tr w:rsidR="00C92BFC" w:rsidRPr="00C56257" w14:paraId="27FF92FD"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5B172C32" w14:textId="77777777" w:rsidR="00C92BFC" w:rsidRPr="00D810D6" w:rsidRDefault="00C92BFC" w:rsidP="008E33FD">
            <w:pPr>
              <w:jc w:val="both"/>
              <w:rPr>
                <w:color w:val="000000" w:themeColor="text1"/>
                <w:lang w:eastAsia="ro-RO"/>
              </w:rPr>
            </w:pPr>
            <w:r w:rsidRPr="00D810D6">
              <w:rPr>
                <w:color w:val="000000" w:themeColor="text1"/>
                <w:lang w:eastAsia="ro-RO"/>
              </w:rPr>
              <w:lastRenderedPageBreak/>
              <w:t> </w:t>
            </w:r>
          </w:p>
        </w:tc>
        <w:tc>
          <w:tcPr>
            <w:tcW w:w="1701" w:type="dxa"/>
            <w:tcBorders>
              <w:top w:val="nil"/>
              <w:left w:val="nil"/>
              <w:bottom w:val="single" w:sz="8" w:space="0" w:color="000000"/>
              <w:right w:val="single" w:sz="8" w:space="0" w:color="000000"/>
            </w:tcBorders>
            <w:shd w:val="clear" w:color="auto" w:fill="auto"/>
            <w:vAlign w:val="bottom"/>
          </w:tcPr>
          <w:p w14:paraId="23075D86" w14:textId="77777777" w:rsidR="00C92BFC" w:rsidRPr="00F43752" w:rsidRDefault="00C92BFC" w:rsidP="008E33FD">
            <w:pPr>
              <w:jc w:val="both"/>
              <w:rPr>
                <w:color w:val="000000" w:themeColor="text1"/>
                <w:sz w:val="22"/>
                <w:szCs w:val="22"/>
                <w:lang w:eastAsia="ro-RO"/>
              </w:rPr>
            </w:pPr>
            <w:r w:rsidRPr="00F43752">
              <w:rPr>
                <w:color w:val="000000"/>
                <w:sz w:val="22"/>
                <w:szCs w:val="22"/>
              </w:rPr>
              <w:t>ROSCI0328</w:t>
            </w:r>
          </w:p>
        </w:tc>
        <w:tc>
          <w:tcPr>
            <w:tcW w:w="3969" w:type="dxa"/>
            <w:tcBorders>
              <w:top w:val="nil"/>
              <w:left w:val="nil"/>
              <w:bottom w:val="single" w:sz="8" w:space="0" w:color="000000"/>
              <w:right w:val="single" w:sz="8" w:space="0" w:color="000000"/>
            </w:tcBorders>
            <w:shd w:val="clear" w:color="auto" w:fill="auto"/>
            <w:vAlign w:val="bottom"/>
          </w:tcPr>
          <w:p w14:paraId="6C9B9713" w14:textId="77777777" w:rsidR="00C92BFC" w:rsidRPr="00F43752" w:rsidRDefault="00C92BFC" w:rsidP="008E33FD">
            <w:pPr>
              <w:jc w:val="both"/>
              <w:rPr>
                <w:color w:val="000000" w:themeColor="text1"/>
                <w:sz w:val="22"/>
                <w:szCs w:val="22"/>
                <w:lang w:eastAsia="ro-RO"/>
              </w:rPr>
            </w:pPr>
            <w:r w:rsidRPr="00F43752">
              <w:rPr>
                <w:color w:val="000000"/>
                <w:sz w:val="22"/>
                <w:szCs w:val="22"/>
              </w:rPr>
              <w:t>Obcinele Bucovinei</w:t>
            </w:r>
          </w:p>
        </w:tc>
      </w:tr>
      <w:tr w:rsidR="00C92BFC" w:rsidRPr="00C56257" w14:paraId="5405ACD9"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12B6BAB8"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0725F146" w14:textId="77777777" w:rsidR="00C92BFC" w:rsidRPr="00F43752" w:rsidRDefault="00C92BFC" w:rsidP="008E33FD">
            <w:pPr>
              <w:jc w:val="both"/>
              <w:rPr>
                <w:color w:val="000000" w:themeColor="text1"/>
                <w:sz w:val="22"/>
                <w:szCs w:val="22"/>
                <w:lang w:eastAsia="ro-RO"/>
              </w:rPr>
            </w:pPr>
            <w:r w:rsidRPr="00F43752">
              <w:rPr>
                <w:color w:val="000000"/>
                <w:sz w:val="22"/>
                <w:szCs w:val="22"/>
              </w:rPr>
              <w:t>ROSCI0381</w:t>
            </w:r>
          </w:p>
        </w:tc>
        <w:tc>
          <w:tcPr>
            <w:tcW w:w="3969" w:type="dxa"/>
            <w:tcBorders>
              <w:top w:val="nil"/>
              <w:left w:val="nil"/>
              <w:bottom w:val="single" w:sz="8" w:space="0" w:color="000000"/>
              <w:right w:val="single" w:sz="8" w:space="0" w:color="000000"/>
            </w:tcBorders>
            <w:shd w:val="clear" w:color="auto" w:fill="auto"/>
            <w:vAlign w:val="bottom"/>
          </w:tcPr>
          <w:p w14:paraId="55A5C865" w14:textId="77777777" w:rsidR="00C92BFC" w:rsidRPr="00F43752" w:rsidRDefault="00C92BFC" w:rsidP="008E33FD">
            <w:pPr>
              <w:jc w:val="both"/>
              <w:rPr>
                <w:color w:val="000000" w:themeColor="text1"/>
                <w:sz w:val="22"/>
                <w:szCs w:val="22"/>
                <w:lang w:eastAsia="ro-RO"/>
              </w:rPr>
            </w:pPr>
            <w:r w:rsidRPr="00F43752">
              <w:rPr>
                <w:color w:val="000000"/>
                <w:sz w:val="22"/>
                <w:szCs w:val="22"/>
              </w:rPr>
              <w:t>Râul Târgului - Argeșel - Râușor</w:t>
            </w:r>
          </w:p>
        </w:tc>
      </w:tr>
      <w:tr w:rsidR="00C92BFC" w:rsidRPr="00C56257" w14:paraId="72DFBBAF" w14:textId="77777777" w:rsidTr="00577613">
        <w:trPr>
          <w:trHeight w:val="300"/>
        </w:trPr>
        <w:tc>
          <w:tcPr>
            <w:tcW w:w="4229" w:type="dxa"/>
            <w:tcBorders>
              <w:top w:val="nil"/>
              <w:left w:val="single" w:sz="8" w:space="0" w:color="000000"/>
              <w:bottom w:val="single" w:sz="8" w:space="0" w:color="000000"/>
              <w:right w:val="single" w:sz="8" w:space="0" w:color="000000"/>
            </w:tcBorders>
            <w:shd w:val="clear" w:color="auto" w:fill="auto"/>
          </w:tcPr>
          <w:p w14:paraId="78C4D8B8" w14:textId="77777777" w:rsidR="00C92BFC" w:rsidRPr="00D810D6" w:rsidRDefault="00C92BFC" w:rsidP="008E33FD">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32BB0D85" w14:textId="77777777" w:rsidR="00C92BFC" w:rsidRPr="00F43752" w:rsidRDefault="00C92BFC"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0395</w:t>
            </w:r>
          </w:p>
        </w:tc>
        <w:tc>
          <w:tcPr>
            <w:tcW w:w="3969" w:type="dxa"/>
            <w:tcBorders>
              <w:top w:val="nil"/>
              <w:left w:val="nil"/>
              <w:bottom w:val="single" w:sz="8" w:space="0" w:color="000000"/>
              <w:right w:val="single" w:sz="8" w:space="0" w:color="000000"/>
            </w:tcBorders>
            <w:shd w:val="clear" w:color="auto" w:fill="auto"/>
            <w:vAlign w:val="bottom"/>
          </w:tcPr>
          <w:p w14:paraId="4D0278C3" w14:textId="77777777" w:rsidR="00C92BFC" w:rsidRPr="00F43752" w:rsidRDefault="00C92BFC" w:rsidP="008E33FD">
            <w:pPr>
              <w:jc w:val="both"/>
              <w:rPr>
                <w:color w:val="000000" w:themeColor="text1"/>
                <w:sz w:val="22"/>
                <w:szCs w:val="22"/>
                <w:lang w:eastAsia="ro-RO"/>
              </w:rPr>
            </w:pPr>
            <w:r w:rsidRPr="00F43752">
              <w:rPr>
                <w:color w:val="000000"/>
                <w:sz w:val="22"/>
                <w:szCs w:val="22"/>
              </w:rPr>
              <w:t>Soveja</w:t>
            </w:r>
          </w:p>
        </w:tc>
      </w:tr>
      <w:tr w:rsidR="00A07D6B" w:rsidRPr="00C56257" w14:paraId="1CC54DAC" w14:textId="77777777" w:rsidTr="00A07D6B">
        <w:trPr>
          <w:trHeight w:val="324"/>
        </w:trPr>
        <w:tc>
          <w:tcPr>
            <w:tcW w:w="4229" w:type="dxa"/>
            <w:vMerge w:val="restart"/>
            <w:tcBorders>
              <w:top w:val="nil"/>
              <w:left w:val="single" w:sz="8" w:space="0" w:color="000000"/>
              <w:right w:val="single" w:sz="8" w:space="0" w:color="000000"/>
            </w:tcBorders>
            <w:shd w:val="clear" w:color="auto" w:fill="auto"/>
          </w:tcPr>
          <w:p w14:paraId="0C302988" w14:textId="77777777" w:rsidR="00A07D6B" w:rsidRPr="00D810D6" w:rsidRDefault="00A07D6B" w:rsidP="00A07D6B">
            <w:pPr>
              <w:rPr>
                <w:color w:val="000000" w:themeColor="text1"/>
                <w:lang w:eastAsia="ro-RO"/>
              </w:rPr>
            </w:pPr>
            <w:r w:rsidRPr="00D810D6">
              <w:rPr>
                <w:color w:val="000000" w:themeColor="text1"/>
                <w:lang w:eastAsia="ro-RO"/>
              </w:rPr>
              <w:t> </w:t>
            </w:r>
          </w:p>
          <w:p w14:paraId="2EB5EABF" w14:textId="77777777" w:rsidR="00A07D6B" w:rsidRPr="00D810D6" w:rsidRDefault="00A07D6B" w:rsidP="00A07D6B">
            <w:pPr>
              <w:rPr>
                <w:color w:val="000000" w:themeColor="text1"/>
                <w:lang w:eastAsia="ro-RO"/>
              </w:rPr>
            </w:pPr>
            <w:r w:rsidRPr="00D810D6">
              <w:rPr>
                <w:color w:val="000000" w:themeColor="text1"/>
                <w:lang w:eastAsia="ro-RO"/>
              </w:rPr>
              <w:t xml:space="preserve"> 3230 - Vegetaţie lemnoasă cu </w:t>
            </w:r>
            <w:r w:rsidRPr="00D810D6">
              <w:rPr>
                <w:i/>
                <w:iCs/>
                <w:color w:val="000000" w:themeColor="text1"/>
                <w:lang w:eastAsia="ro-RO"/>
              </w:rPr>
              <w:t xml:space="preserve">Myricaria germanica </w:t>
            </w:r>
            <w:r w:rsidRPr="00D810D6">
              <w:rPr>
                <w:color w:val="000000" w:themeColor="text1"/>
                <w:lang w:eastAsia="ro-RO"/>
              </w:rPr>
              <w:t>de-a lungul râurilor montane</w:t>
            </w:r>
          </w:p>
          <w:p w14:paraId="13FB7EE6" w14:textId="77777777" w:rsidR="00A07D6B" w:rsidRPr="00D810D6" w:rsidRDefault="00A07D6B" w:rsidP="00A07D6B">
            <w:pPr>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32400B68" w14:textId="77777777" w:rsidR="00A07D6B" w:rsidRPr="00F43752" w:rsidRDefault="00A07D6B" w:rsidP="00EA4C52">
            <w:pPr>
              <w:jc w:val="both"/>
              <w:rPr>
                <w:color w:val="000000" w:themeColor="text1"/>
                <w:sz w:val="22"/>
                <w:szCs w:val="22"/>
                <w:lang w:eastAsia="ro-RO"/>
              </w:rPr>
            </w:pPr>
            <w:r w:rsidRPr="00F43752">
              <w:rPr>
                <w:color w:val="000000"/>
                <w:sz w:val="22"/>
                <w:szCs w:val="22"/>
              </w:rPr>
              <w:t>ROSCI0002</w:t>
            </w:r>
          </w:p>
        </w:tc>
        <w:tc>
          <w:tcPr>
            <w:tcW w:w="3969" w:type="dxa"/>
            <w:tcBorders>
              <w:top w:val="nil"/>
              <w:left w:val="nil"/>
              <w:bottom w:val="single" w:sz="8" w:space="0" w:color="000000"/>
              <w:right w:val="single" w:sz="8" w:space="0" w:color="000000"/>
            </w:tcBorders>
            <w:shd w:val="clear" w:color="auto" w:fill="auto"/>
            <w:vAlign w:val="bottom"/>
          </w:tcPr>
          <w:p w14:paraId="5E02640E" w14:textId="77777777" w:rsidR="00A07D6B" w:rsidRPr="00F43752" w:rsidRDefault="00A07D6B" w:rsidP="00EA4C52">
            <w:pPr>
              <w:jc w:val="both"/>
              <w:rPr>
                <w:color w:val="000000" w:themeColor="text1"/>
                <w:sz w:val="22"/>
                <w:szCs w:val="22"/>
                <w:lang w:eastAsia="ro-RO"/>
              </w:rPr>
            </w:pPr>
            <w:r w:rsidRPr="00F43752">
              <w:rPr>
                <w:color w:val="000000"/>
                <w:sz w:val="22"/>
                <w:szCs w:val="22"/>
              </w:rPr>
              <w:t>Apuseni</w:t>
            </w:r>
          </w:p>
        </w:tc>
      </w:tr>
      <w:tr w:rsidR="00A07D6B" w:rsidRPr="00C56257" w14:paraId="5D984865" w14:textId="77777777" w:rsidTr="005A7483">
        <w:trPr>
          <w:trHeight w:val="234"/>
        </w:trPr>
        <w:tc>
          <w:tcPr>
            <w:tcW w:w="4229" w:type="dxa"/>
            <w:vMerge/>
            <w:tcBorders>
              <w:left w:val="single" w:sz="8" w:space="0" w:color="000000"/>
              <w:right w:val="single" w:sz="8" w:space="0" w:color="000000"/>
            </w:tcBorders>
            <w:shd w:val="clear" w:color="auto" w:fill="auto"/>
            <w:vAlign w:val="center"/>
          </w:tcPr>
          <w:p w14:paraId="58417821" w14:textId="77777777" w:rsidR="00A07D6B" w:rsidRPr="00D810D6" w:rsidRDefault="00A07D6B"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62AA701D" w14:textId="77777777" w:rsidR="00A07D6B" w:rsidRPr="00F43752" w:rsidRDefault="00A07D6B" w:rsidP="00EA4C52">
            <w:pPr>
              <w:jc w:val="both"/>
              <w:rPr>
                <w:color w:val="000000" w:themeColor="text1"/>
                <w:sz w:val="22"/>
                <w:szCs w:val="22"/>
                <w:lang w:eastAsia="ro-RO"/>
              </w:rPr>
            </w:pPr>
            <w:r w:rsidRPr="00F43752">
              <w:rPr>
                <w:color w:val="000000"/>
                <w:sz w:val="22"/>
                <w:szCs w:val="22"/>
              </w:rPr>
              <w:t>ROSCI0013</w:t>
            </w:r>
          </w:p>
        </w:tc>
        <w:tc>
          <w:tcPr>
            <w:tcW w:w="3969" w:type="dxa"/>
            <w:tcBorders>
              <w:top w:val="nil"/>
              <w:left w:val="nil"/>
              <w:bottom w:val="single" w:sz="8" w:space="0" w:color="000000"/>
              <w:right w:val="single" w:sz="8" w:space="0" w:color="000000"/>
            </w:tcBorders>
            <w:shd w:val="clear" w:color="auto" w:fill="auto"/>
            <w:vAlign w:val="bottom"/>
          </w:tcPr>
          <w:p w14:paraId="3F9BF87A" w14:textId="77777777" w:rsidR="00A07D6B" w:rsidRPr="00F43752" w:rsidRDefault="00A07D6B" w:rsidP="00EA4C52">
            <w:pPr>
              <w:jc w:val="both"/>
              <w:rPr>
                <w:color w:val="000000" w:themeColor="text1"/>
                <w:sz w:val="22"/>
                <w:szCs w:val="22"/>
                <w:lang w:eastAsia="ro-RO"/>
              </w:rPr>
            </w:pPr>
            <w:r w:rsidRPr="00F43752">
              <w:rPr>
                <w:color w:val="000000"/>
                <w:sz w:val="22"/>
                <w:szCs w:val="22"/>
              </w:rPr>
              <w:t>Bucegi</w:t>
            </w:r>
          </w:p>
        </w:tc>
      </w:tr>
      <w:tr w:rsidR="00A07D6B" w:rsidRPr="00C56257" w14:paraId="66022147" w14:textId="77777777" w:rsidTr="00993B86">
        <w:trPr>
          <w:trHeight w:val="324"/>
        </w:trPr>
        <w:tc>
          <w:tcPr>
            <w:tcW w:w="4229" w:type="dxa"/>
            <w:vMerge/>
            <w:tcBorders>
              <w:left w:val="single" w:sz="8" w:space="0" w:color="000000"/>
              <w:right w:val="single" w:sz="8" w:space="0" w:color="000000"/>
            </w:tcBorders>
            <w:shd w:val="clear" w:color="auto" w:fill="auto"/>
            <w:vAlign w:val="center"/>
          </w:tcPr>
          <w:p w14:paraId="361E2FFF" w14:textId="77777777" w:rsidR="00A07D6B" w:rsidRPr="00D810D6" w:rsidRDefault="00A07D6B"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3F24134B" w14:textId="77777777" w:rsidR="00A07D6B" w:rsidRPr="00F43752" w:rsidRDefault="00A07D6B"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0027</w:t>
            </w:r>
          </w:p>
        </w:tc>
        <w:tc>
          <w:tcPr>
            <w:tcW w:w="3969" w:type="dxa"/>
            <w:tcBorders>
              <w:top w:val="nil"/>
              <w:left w:val="nil"/>
              <w:bottom w:val="single" w:sz="8" w:space="0" w:color="000000"/>
              <w:right w:val="single" w:sz="8" w:space="0" w:color="000000"/>
            </w:tcBorders>
            <w:shd w:val="clear" w:color="auto" w:fill="auto"/>
            <w:vAlign w:val="bottom"/>
          </w:tcPr>
          <w:p w14:paraId="6604ECED" w14:textId="77777777" w:rsidR="00A07D6B" w:rsidRPr="00F43752" w:rsidRDefault="00A07D6B" w:rsidP="00EA4C52">
            <w:pPr>
              <w:jc w:val="both"/>
              <w:rPr>
                <w:color w:val="000000" w:themeColor="text1"/>
                <w:sz w:val="22"/>
                <w:szCs w:val="22"/>
                <w:lang w:eastAsia="ro-RO"/>
              </w:rPr>
            </w:pPr>
            <w:r w:rsidRPr="00F43752">
              <w:rPr>
                <w:color w:val="000000"/>
                <w:sz w:val="22"/>
                <w:szCs w:val="22"/>
              </w:rPr>
              <w:t>Cheile Bicazului - Hășmaș</w:t>
            </w:r>
          </w:p>
        </w:tc>
      </w:tr>
      <w:tr w:rsidR="00A07D6B" w:rsidRPr="00C56257" w14:paraId="00105DAC" w14:textId="77777777" w:rsidTr="00993B86">
        <w:trPr>
          <w:trHeight w:val="324"/>
        </w:trPr>
        <w:tc>
          <w:tcPr>
            <w:tcW w:w="4229" w:type="dxa"/>
            <w:vMerge/>
            <w:tcBorders>
              <w:left w:val="single" w:sz="8" w:space="0" w:color="000000"/>
              <w:right w:val="single" w:sz="8" w:space="0" w:color="000000"/>
            </w:tcBorders>
            <w:shd w:val="clear" w:color="auto" w:fill="auto"/>
            <w:vAlign w:val="center"/>
          </w:tcPr>
          <w:p w14:paraId="7AC3912F" w14:textId="77777777" w:rsidR="00A07D6B" w:rsidRPr="00D810D6" w:rsidRDefault="00A07D6B"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3BA5A399" w14:textId="77777777" w:rsidR="00A07D6B" w:rsidRPr="00F43752" w:rsidRDefault="00A07D6B" w:rsidP="00EA4C52">
            <w:pPr>
              <w:jc w:val="both"/>
              <w:rPr>
                <w:color w:val="000000" w:themeColor="text1"/>
                <w:sz w:val="22"/>
                <w:szCs w:val="22"/>
                <w:lang w:eastAsia="ro-RO"/>
              </w:rPr>
            </w:pPr>
            <w:r w:rsidRPr="00F43752">
              <w:rPr>
                <w:color w:val="000000"/>
                <w:sz w:val="22"/>
                <w:szCs w:val="22"/>
              </w:rPr>
              <w:t>ROSCI0038</w:t>
            </w:r>
          </w:p>
        </w:tc>
        <w:tc>
          <w:tcPr>
            <w:tcW w:w="3969" w:type="dxa"/>
            <w:tcBorders>
              <w:top w:val="nil"/>
              <w:left w:val="nil"/>
              <w:bottom w:val="single" w:sz="8" w:space="0" w:color="000000"/>
              <w:right w:val="single" w:sz="8" w:space="0" w:color="000000"/>
            </w:tcBorders>
            <w:shd w:val="clear" w:color="auto" w:fill="auto"/>
            <w:vAlign w:val="bottom"/>
          </w:tcPr>
          <w:p w14:paraId="5C81F13B" w14:textId="77777777" w:rsidR="00A07D6B" w:rsidRPr="00F43752" w:rsidRDefault="00A07D6B" w:rsidP="00EA4C52">
            <w:pPr>
              <w:jc w:val="both"/>
              <w:rPr>
                <w:color w:val="000000" w:themeColor="text1"/>
                <w:sz w:val="22"/>
                <w:szCs w:val="22"/>
                <w:lang w:eastAsia="ro-RO"/>
              </w:rPr>
            </w:pPr>
            <w:r w:rsidRPr="00F43752">
              <w:rPr>
                <w:color w:val="000000"/>
                <w:sz w:val="22"/>
                <w:szCs w:val="22"/>
              </w:rPr>
              <w:t>Ciucaș</w:t>
            </w:r>
          </w:p>
        </w:tc>
      </w:tr>
      <w:tr w:rsidR="00A07D6B" w:rsidRPr="00C56257" w14:paraId="0DB1AFDF" w14:textId="77777777" w:rsidTr="005A7483">
        <w:trPr>
          <w:trHeight w:val="99"/>
        </w:trPr>
        <w:tc>
          <w:tcPr>
            <w:tcW w:w="4229" w:type="dxa"/>
            <w:vMerge/>
            <w:tcBorders>
              <w:left w:val="single" w:sz="8" w:space="0" w:color="000000"/>
              <w:right w:val="single" w:sz="8" w:space="0" w:color="000000"/>
            </w:tcBorders>
            <w:shd w:val="clear" w:color="auto" w:fill="auto"/>
            <w:vAlign w:val="center"/>
          </w:tcPr>
          <w:p w14:paraId="0EE63EEB" w14:textId="77777777" w:rsidR="00A07D6B" w:rsidRPr="00D810D6" w:rsidRDefault="00A07D6B"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32087006" w14:textId="77777777" w:rsidR="00A07D6B" w:rsidRPr="00F43752" w:rsidRDefault="00A07D6B"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0046</w:t>
            </w:r>
          </w:p>
        </w:tc>
        <w:tc>
          <w:tcPr>
            <w:tcW w:w="3969" w:type="dxa"/>
            <w:tcBorders>
              <w:top w:val="nil"/>
              <w:left w:val="nil"/>
              <w:bottom w:val="single" w:sz="8" w:space="0" w:color="000000"/>
              <w:right w:val="single" w:sz="8" w:space="0" w:color="000000"/>
            </w:tcBorders>
            <w:shd w:val="clear" w:color="auto" w:fill="auto"/>
            <w:vAlign w:val="bottom"/>
          </w:tcPr>
          <w:p w14:paraId="08BE7596" w14:textId="77777777" w:rsidR="00A07D6B" w:rsidRPr="00F43752" w:rsidRDefault="00A07D6B" w:rsidP="00EA4C52">
            <w:pPr>
              <w:jc w:val="both"/>
              <w:rPr>
                <w:color w:val="000000" w:themeColor="text1"/>
                <w:sz w:val="22"/>
                <w:szCs w:val="22"/>
                <w:lang w:eastAsia="ro-RO"/>
              </w:rPr>
            </w:pPr>
            <w:r w:rsidRPr="00F43752">
              <w:rPr>
                <w:color w:val="000000"/>
                <w:sz w:val="22"/>
                <w:szCs w:val="22"/>
              </w:rPr>
              <w:t>Cozia</w:t>
            </w:r>
          </w:p>
        </w:tc>
      </w:tr>
      <w:tr w:rsidR="00A07D6B" w:rsidRPr="00C56257" w14:paraId="3656E777" w14:textId="77777777" w:rsidTr="005A7483">
        <w:trPr>
          <w:trHeight w:val="144"/>
        </w:trPr>
        <w:tc>
          <w:tcPr>
            <w:tcW w:w="4229" w:type="dxa"/>
            <w:vMerge/>
            <w:tcBorders>
              <w:left w:val="single" w:sz="8" w:space="0" w:color="000000"/>
              <w:right w:val="single" w:sz="8" w:space="0" w:color="000000"/>
            </w:tcBorders>
            <w:shd w:val="clear" w:color="auto" w:fill="auto"/>
            <w:vAlign w:val="center"/>
          </w:tcPr>
          <w:p w14:paraId="74B4B036" w14:textId="77777777" w:rsidR="00A07D6B" w:rsidRPr="00D810D6" w:rsidRDefault="00A07D6B"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52D8FC48" w14:textId="77777777" w:rsidR="00A07D6B" w:rsidRPr="00F43752" w:rsidRDefault="00A07D6B"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0047</w:t>
            </w:r>
          </w:p>
        </w:tc>
        <w:tc>
          <w:tcPr>
            <w:tcW w:w="3969" w:type="dxa"/>
            <w:tcBorders>
              <w:top w:val="nil"/>
              <w:left w:val="nil"/>
              <w:bottom w:val="single" w:sz="8" w:space="0" w:color="000000"/>
              <w:right w:val="single" w:sz="8" w:space="0" w:color="000000"/>
            </w:tcBorders>
            <w:shd w:val="clear" w:color="auto" w:fill="auto"/>
            <w:vAlign w:val="bottom"/>
          </w:tcPr>
          <w:p w14:paraId="695328F3" w14:textId="77777777" w:rsidR="00A07D6B" w:rsidRPr="00F43752" w:rsidRDefault="00A07D6B" w:rsidP="00EA4C52">
            <w:pPr>
              <w:jc w:val="both"/>
              <w:rPr>
                <w:color w:val="000000" w:themeColor="text1"/>
                <w:sz w:val="22"/>
                <w:szCs w:val="22"/>
                <w:lang w:eastAsia="ro-RO"/>
              </w:rPr>
            </w:pPr>
            <w:r w:rsidRPr="00F43752">
              <w:rPr>
                <w:color w:val="000000"/>
                <w:sz w:val="22"/>
                <w:szCs w:val="22"/>
              </w:rPr>
              <w:t>Creasta Nemirei</w:t>
            </w:r>
          </w:p>
        </w:tc>
      </w:tr>
      <w:tr w:rsidR="00A07D6B" w:rsidRPr="00C56257" w14:paraId="3F6416E0" w14:textId="77777777" w:rsidTr="00993B86">
        <w:trPr>
          <w:trHeight w:val="300"/>
        </w:trPr>
        <w:tc>
          <w:tcPr>
            <w:tcW w:w="4229" w:type="dxa"/>
            <w:vMerge/>
            <w:tcBorders>
              <w:left w:val="single" w:sz="8" w:space="0" w:color="000000"/>
              <w:bottom w:val="nil"/>
              <w:right w:val="single" w:sz="8" w:space="0" w:color="000000"/>
            </w:tcBorders>
            <w:shd w:val="clear" w:color="auto" w:fill="auto"/>
          </w:tcPr>
          <w:p w14:paraId="3EFA9D5E" w14:textId="77777777" w:rsidR="00A07D6B" w:rsidRPr="00D810D6" w:rsidRDefault="00A07D6B"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2F73F086" w14:textId="77777777" w:rsidR="00A07D6B" w:rsidRPr="00F43752" w:rsidRDefault="00A07D6B" w:rsidP="00EA4C52">
            <w:pPr>
              <w:jc w:val="both"/>
              <w:rPr>
                <w:color w:val="000000" w:themeColor="text1"/>
                <w:sz w:val="22"/>
                <w:szCs w:val="22"/>
                <w:lang w:eastAsia="ro-RO"/>
              </w:rPr>
            </w:pPr>
            <w:r w:rsidRPr="00F43752">
              <w:rPr>
                <w:color w:val="000000"/>
                <w:sz w:val="22"/>
                <w:szCs w:val="22"/>
              </w:rPr>
              <w:t>ROSCI0063</w:t>
            </w:r>
          </w:p>
        </w:tc>
        <w:tc>
          <w:tcPr>
            <w:tcW w:w="3969" w:type="dxa"/>
            <w:tcBorders>
              <w:top w:val="nil"/>
              <w:left w:val="nil"/>
              <w:bottom w:val="single" w:sz="8" w:space="0" w:color="000000"/>
              <w:right w:val="single" w:sz="8" w:space="0" w:color="000000"/>
            </w:tcBorders>
            <w:shd w:val="clear" w:color="auto" w:fill="auto"/>
            <w:vAlign w:val="bottom"/>
          </w:tcPr>
          <w:p w14:paraId="0DDF0233" w14:textId="77777777" w:rsidR="00A07D6B" w:rsidRPr="00F43752" w:rsidRDefault="00A07D6B" w:rsidP="00EA4C52">
            <w:pPr>
              <w:jc w:val="both"/>
              <w:rPr>
                <w:color w:val="000000" w:themeColor="text1"/>
                <w:sz w:val="22"/>
                <w:szCs w:val="22"/>
                <w:lang w:eastAsia="ro-RO"/>
              </w:rPr>
            </w:pPr>
            <w:r w:rsidRPr="00F43752">
              <w:rPr>
                <w:color w:val="000000"/>
                <w:sz w:val="22"/>
                <w:szCs w:val="22"/>
              </w:rPr>
              <w:t>Defileul Jiului</w:t>
            </w:r>
          </w:p>
        </w:tc>
      </w:tr>
      <w:tr w:rsidR="00EA4C52" w:rsidRPr="00C56257" w14:paraId="2BC1D751"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7DCE59A0" w14:textId="77777777" w:rsidR="00EA4C52" w:rsidRPr="00D810D6" w:rsidRDefault="00EA4C52" w:rsidP="00EA4C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70514F8D" w14:textId="77777777" w:rsidR="00EA4C52" w:rsidRPr="00F43752" w:rsidRDefault="00EA4C52" w:rsidP="000521DB">
            <w:pPr>
              <w:jc w:val="both"/>
              <w:rPr>
                <w:color w:val="000000" w:themeColor="text1"/>
                <w:sz w:val="22"/>
                <w:szCs w:val="22"/>
                <w:lang w:eastAsia="ro-RO"/>
              </w:rPr>
            </w:pPr>
            <w:r w:rsidRPr="00F43752">
              <w:rPr>
                <w:color w:val="000000"/>
                <w:sz w:val="22"/>
                <w:szCs w:val="22"/>
              </w:rPr>
              <w:t>ROS</w:t>
            </w:r>
            <w:r w:rsidR="000521DB">
              <w:rPr>
                <w:color w:val="000000"/>
                <w:sz w:val="22"/>
                <w:szCs w:val="22"/>
              </w:rPr>
              <w:t>AC</w:t>
            </w:r>
            <w:r w:rsidRPr="00F43752">
              <w:rPr>
                <w:color w:val="000000"/>
                <w:sz w:val="22"/>
                <w:szCs w:val="22"/>
              </w:rPr>
              <w:t>0069</w:t>
            </w:r>
          </w:p>
        </w:tc>
        <w:tc>
          <w:tcPr>
            <w:tcW w:w="3969" w:type="dxa"/>
            <w:tcBorders>
              <w:top w:val="nil"/>
              <w:left w:val="nil"/>
              <w:bottom w:val="single" w:sz="8" w:space="0" w:color="000000"/>
              <w:right w:val="single" w:sz="8" w:space="0" w:color="000000"/>
            </w:tcBorders>
            <w:shd w:val="clear" w:color="auto" w:fill="auto"/>
            <w:vAlign w:val="bottom"/>
          </w:tcPr>
          <w:p w14:paraId="7A65BAF2" w14:textId="77777777" w:rsidR="00EA4C52" w:rsidRPr="00F43752" w:rsidRDefault="00EA4C52" w:rsidP="00EA4C52">
            <w:pPr>
              <w:jc w:val="both"/>
              <w:rPr>
                <w:color w:val="000000" w:themeColor="text1"/>
                <w:sz w:val="22"/>
                <w:szCs w:val="22"/>
                <w:lang w:eastAsia="ro-RO"/>
              </w:rPr>
            </w:pPr>
            <w:r w:rsidRPr="00F43752">
              <w:rPr>
                <w:color w:val="000000"/>
                <w:sz w:val="22"/>
                <w:szCs w:val="22"/>
              </w:rPr>
              <w:t>Domogled - Valea Cernei</w:t>
            </w:r>
          </w:p>
        </w:tc>
      </w:tr>
      <w:tr w:rsidR="00EA4C52" w:rsidRPr="00C56257" w14:paraId="66D3F54B"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466E0C93" w14:textId="77777777" w:rsidR="00EA4C52" w:rsidRPr="00D810D6" w:rsidRDefault="00EA4C52" w:rsidP="00EA4C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06E54E8E" w14:textId="77777777" w:rsidR="00EA4C52" w:rsidRPr="00F43752" w:rsidRDefault="00EA4C52"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0122</w:t>
            </w:r>
          </w:p>
        </w:tc>
        <w:tc>
          <w:tcPr>
            <w:tcW w:w="3969" w:type="dxa"/>
            <w:tcBorders>
              <w:top w:val="nil"/>
              <w:left w:val="nil"/>
              <w:bottom w:val="single" w:sz="8" w:space="0" w:color="000000"/>
              <w:right w:val="single" w:sz="8" w:space="0" w:color="000000"/>
            </w:tcBorders>
            <w:shd w:val="clear" w:color="auto" w:fill="auto"/>
            <w:vAlign w:val="bottom"/>
          </w:tcPr>
          <w:p w14:paraId="26034753" w14:textId="77777777" w:rsidR="00EA4C52" w:rsidRPr="00F43752" w:rsidRDefault="00EA4C52" w:rsidP="00EA4C52">
            <w:pPr>
              <w:jc w:val="both"/>
              <w:rPr>
                <w:color w:val="000000" w:themeColor="text1"/>
                <w:sz w:val="22"/>
                <w:szCs w:val="22"/>
                <w:lang w:eastAsia="ro-RO"/>
              </w:rPr>
            </w:pPr>
            <w:r w:rsidRPr="00F43752">
              <w:rPr>
                <w:color w:val="000000"/>
                <w:sz w:val="22"/>
                <w:szCs w:val="22"/>
              </w:rPr>
              <w:t>Munții Făgăraș</w:t>
            </w:r>
          </w:p>
        </w:tc>
      </w:tr>
      <w:tr w:rsidR="00EA4C52" w:rsidRPr="00C56257" w14:paraId="62ED86B8"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6C763CA6" w14:textId="77777777" w:rsidR="00EA4C52" w:rsidRPr="00D810D6" w:rsidRDefault="00EA4C52" w:rsidP="00EA4C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0F01968E" w14:textId="77777777" w:rsidR="00EA4C52" w:rsidRPr="00F43752" w:rsidRDefault="00EA4C52"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0124</w:t>
            </w:r>
          </w:p>
        </w:tc>
        <w:tc>
          <w:tcPr>
            <w:tcW w:w="3969" w:type="dxa"/>
            <w:tcBorders>
              <w:top w:val="nil"/>
              <w:left w:val="nil"/>
              <w:bottom w:val="single" w:sz="8" w:space="0" w:color="000000"/>
              <w:right w:val="single" w:sz="8" w:space="0" w:color="000000"/>
            </w:tcBorders>
            <w:shd w:val="clear" w:color="auto" w:fill="auto"/>
            <w:vAlign w:val="bottom"/>
          </w:tcPr>
          <w:p w14:paraId="4AF98EF1" w14:textId="77777777" w:rsidR="00EA4C52" w:rsidRPr="00F43752" w:rsidRDefault="00EA4C52" w:rsidP="00EA4C52">
            <w:pPr>
              <w:jc w:val="both"/>
              <w:rPr>
                <w:color w:val="000000" w:themeColor="text1"/>
                <w:sz w:val="22"/>
                <w:szCs w:val="22"/>
                <w:lang w:eastAsia="ro-RO"/>
              </w:rPr>
            </w:pPr>
            <w:r w:rsidRPr="00F43752">
              <w:rPr>
                <w:color w:val="000000"/>
                <w:sz w:val="22"/>
                <w:szCs w:val="22"/>
              </w:rPr>
              <w:t>Munții Maramureșului</w:t>
            </w:r>
          </w:p>
        </w:tc>
      </w:tr>
      <w:tr w:rsidR="00EA4C52" w:rsidRPr="00C56257" w14:paraId="68BD1992"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4D563282" w14:textId="77777777" w:rsidR="00EA4C52" w:rsidRPr="00D810D6" w:rsidRDefault="00EA4C52" w:rsidP="00EA4C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7EDC941E" w14:textId="77777777" w:rsidR="00EA4C52" w:rsidRPr="00F43752" w:rsidRDefault="00EA4C52"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0125</w:t>
            </w:r>
          </w:p>
        </w:tc>
        <w:tc>
          <w:tcPr>
            <w:tcW w:w="3969" w:type="dxa"/>
            <w:tcBorders>
              <w:top w:val="nil"/>
              <w:left w:val="nil"/>
              <w:bottom w:val="single" w:sz="8" w:space="0" w:color="000000"/>
              <w:right w:val="single" w:sz="8" w:space="0" w:color="000000"/>
            </w:tcBorders>
            <w:shd w:val="clear" w:color="auto" w:fill="auto"/>
            <w:vAlign w:val="bottom"/>
          </w:tcPr>
          <w:p w14:paraId="6F2B3C81" w14:textId="77777777" w:rsidR="00EA4C52" w:rsidRPr="00F43752" w:rsidRDefault="00EA4C52" w:rsidP="00EA4C52">
            <w:pPr>
              <w:jc w:val="both"/>
              <w:rPr>
                <w:color w:val="000000" w:themeColor="text1"/>
                <w:sz w:val="22"/>
                <w:szCs w:val="22"/>
                <w:lang w:eastAsia="ro-RO"/>
              </w:rPr>
            </w:pPr>
            <w:r w:rsidRPr="00F43752">
              <w:rPr>
                <w:color w:val="000000"/>
                <w:sz w:val="22"/>
                <w:szCs w:val="22"/>
              </w:rPr>
              <w:t>Munții Rodnei</w:t>
            </w:r>
          </w:p>
        </w:tc>
      </w:tr>
      <w:tr w:rsidR="00EA4C52" w:rsidRPr="00C56257" w14:paraId="6A2253E1"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398AE7DB" w14:textId="77777777" w:rsidR="00EA4C52" w:rsidRPr="00D810D6" w:rsidRDefault="00EA4C52" w:rsidP="00EA4C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20ED9307" w14:textId="77777777" w:rsidR="00EA4C52" w:rsidRPr="00F43752" w:rsidRDefault="00EA4C52" w:rsidP="00EA4C52">
            <w:pPr>
              <w:jc w:val="both"/>
              <w:rPr>
                <w:color w:val="000000" w:themeColor="text1"/>
                <w:sz w:val="22"/>
                <w:szCs w:val="22"/>
                <w:lang w:eastAsia="ro-RO"/>
              </w:rPr>
            </w:pPr>
            <w:r w:rsidRPr="00F43752">
              <w:rPr>
                <w:color w:val="000000"/>
                <w:sz w:val="22"/>
                <w:szCs w:val="22"/>
              </w:rPr>
              <w:t>ROSCI0128</w:t>
            </w:r>
          </w:p>
        </w:tc>
        <w:tc>
          <w:tcPr>
            <w:tcW w:w="3969" w:type="dxa"/>
            <w:tcBorders>
              <w:top w:val="nil"/>
              <w:left w:val="nil"/>
              <w:bottom w:val="single" w:sz="8" w:space="0" w:color="000000"/>
              <w:right w:val="single" w:sz="8" w:space="0" w:color="000000"/>
            </w:tcBorders>
            <w:shd w:val="clear" w:color="auto" w:fill="auto"/>
            <w:vAlign w:val="bottom"/>
          </w:tcPr>
          <w:p w14:paraId="552E3E8C" w14:textId="77777777" w:rsidR="00EA4C52" w:rsidRPr="00F43752" w:rsidRDefault="00EA4C52" w:rsidP="00EA4C52">
            <w:pPr>
              <w:jc w:val="both"/>
              <w:rPr>
                <w:color w:val="000000" w:themeColor="text1"/>
                <w:sz w:val="22"/>
                <w:szCs w:val="22"/>
                <w:lang w:eastAsia="ro-RO"/>
              </w:rPr>
            </w:pPr>
            <w:r w:rsidRPr="00F43752">
              <w:rPr>
                <w:color w:val="000000"/>
                <w:sz w:val="22"/>
                <w:szCs w:val="22"/>
              </w:rPr>
              <w:t>Nordul Gorjului de Est</w:t>
            </w:r>
          </w:p>
        </w:tc>
      </w:tr>
      <w:tr w:rsidR="00EA4C52" w:rsidRPr="00C56257" w14:paraId="3591D155"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41F8C278" w14:textId="77777777" w:rsidR="00EA4C52" w:rsidRPr="00D810D6" w:rsidRDefault="00EA4C52"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7F49465D" w14:textId="77777777" w:rsidR="00EA4C52" w:rsidRPr="00F43752" w:rsidRDefault="00EA4C52" w:rsidP="001B29DE">
            <w:pPr>
              <w:jc w:val="both"/>
              <w:rPr>
                <w:color w:val="000000"/>
                <w:sz w:val="22"/>
                <w:szCs w:val="22"/>
              </w:rPr>
            </w:pPr>
            <w:r w:rsidRPr="00F43752">
              <w:rPr>
                <w:color w:val="000000"/>
                <w:sz w:val="22"/>
                <w:szCs w:val="22"/>
              </w:rPr>
              <w:t>ROS</w:t>
            </w:r>
            <w:r w:rsidR="001B29DE">
              <w:rPr>
                <w:color w:val="000000"/>
                <w:sz w:val="22"/>
                <w:szCs w:val="22"/>
              </w:rPr>
              <w:t>AC</w:t>
            </w:r>
            <w:r w:rsidRPr="00F43752">
              <w:rPr>
                <w:color w:val="000000"/>
                <w:sz w:val="22"/>
                <w:szCs w:val="22"/>
              </w:rPr>
              <w:t>0129</w:t>
            </w:r>
          </w:p>
        </w:tc>
        <w:tc>
          <w:tcPr>
            <w:tcW w:w="3969" w:type="dxa"/>
            <w:tcBorders>
              <w:top w:val="nil"/>
              <w:left w:val="nil"/>
              <w:bottom w:val="single" w:sz="8" w:space="0" w:color="000000"/>
              <w:right w:val="single" w:sz="8" w:space="0" w:color="000000"/>
            </w:tcBorders>
            <w:shd w:val="clear" w:color="auto" w:fill="auto"/>
            <w:vAlign w:val="bottom"/>
          </w:tcPr>
          <w:p w14:paraId="391D56A5" w14:textId="77777777" w:rsidR="00EA4C52" w:rsidRPr="00F43752" w:rsidRDefault="00EA4C52" w:rsidP="00EA4C52">
            <w:pPr>
              <w:jc w:val="both"/>
              <w:rPr>
                <w:color w:val="000000"/>
                <w:sz w:val="22"/>
                <w:szCs w:val="22"/>
              </w:rPr>
            </w:pPr>
            <w:r w:rsidRPr="00F43752">
              <w:rPr>
                <w:color w:val="000000"/>
                <w:sz w:val="22"/>
                <w:szCs w:val="22"/>
              </w:rPr>
              <w:t>Nordul Gorjului de Vest</w:t>
            </w:r>
          </w:p>
        </w:tc>
      </w:tr>
      <w:tr w:rsidR="00EA4C52" w:rsidRPr="00C56257" w14:paraId="3D02FEC4"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3618781B" w14:textId="77777777" w:rsidR="00EA4C52" w:rsidRPr="00D810D6" w:rsidRDefault="00EA4C52"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63C46F8F" w14:textId="77777777" w:rsidR="00EA4C52" w:rsidRPr="00F43752" w:rsidRDefault="00EA4C52" w:rsidP="001B29DE">
            <w:pPr>
              <w:jc w:val="both"/>
              <w:rPr>
                <w:color w:val="000000"/>
                <w:sz w:val="22"/>
                <w:szCs w:val="22"/>
              </w:rPr>
            </w:pPr>
            <w:r w:rsidRPr="00F43752">
              <w:rPr>
                <w:color w:val="000000"/>
                <w:sz w:val="22"/>
                <w:szCs w:val="22"/>
              </w:rPr>
              <w:t>ROS</w:t>
            </w:r>
            <w:r w:rsidR="001B29DE">
              <w:rPr>
                <w:color w:val="000000"/>
                <w:sz w:val="22"/>
                <w:szCs w:val="22"/>
              </w:rPr>
              <w:t>AC</w:t>
            </w:r>
            <w:r w:rsidRPr="00F43752">
              <w:rPr>
                <w:color w:val="000000"/>
                <w:sz w:val="22"/>
                <w:szCs w:val="22"/>
              </w:rPr>
              <w:t>0194</w:t>
            </w:r>
          </w:p>
        </w:tc>
        <w:tc>
          <w:tcPr>
            <w:tcW w:w="3969" w:type="dxa"/>
            <w:tcBorders>
              <w:top w:val="nil"/>
              <w:left w:val="nil"/>
              <w:bottom w:val="single" w:sz="8" w:space="0" w:color="000000"/>
              <w:right w:val="single" w:sz="8" w:space="0" w:color="000000"/>
            </w:tcBorders>
            <w:shd w:val="clear" w:color="auto" w:fill="auto"/>
            <w:vAlign w:val="bottom"/>
          </w:tcPr>
          <w:p w14:paraId="01F8B34B" w14:textId="77777777" w:rsidR="00EA4C52" w:rsidRPr="00F43752" w:rsidRDefault="00EA4C52" w:rsidP="00EA4C52">
            <w:pPr>
              <w:jc w:val="both"/>
              <w:rPr>
                <w:color w:val="000000"/>
                <w:sz w:val="22"/>
                <w:szCs w:val="22"/>
              </w:rPr>
            </w:pPr>
            <w:r w:rsidRPr="00F43752">
              <w:rPr>
                <w:color w:val="000000"/>
                <w:sz w:val="22"/>
                <w:szCs w:val="22"/>
              </w:rPr>
              <w:t>Piatra Craiului</w:t>
            </w:r>
          </w:p>
        </w:tc>
      </w:tr>
      <w:tr w:rsidR="00EA4C52" w:rsidRPr="00C56257" w14:paraId="7A8C0CD9"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36F479BA" w14:textId="77777777" w:rsidR="00EA4C52" w:rsidRPr="00D810D6" w:rsidRDefault="00EA4C52"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5BEE9ADA" w14:textId="77777777" w:rsidR="00EA4C52" w:rsidRPr="00F43752" w:rsidRDefault="00EA4C52" w:rsidP="001B29DE">
            <w:pPr>
              <w:jc w:val="both"/>
              <w:rPr>
                <w:color w:val="000000"/>
                <w:sz w:val="22"/>
                <w:szCs w:val="22"/>
              </w:rPr>
            </w:pPr>
            <w:r w:rsidRPr="00F43752">
              <w:rPr>
                <w:color w:val="000000"/>
                <w:sz w:val="22"/>
                <w:szCs w:val="22"/>
              </w:rPr>
              <w:t>ROS</w:t>
            </w:r>
            <w:r w:rsidR="001B29DE">
              <w:rPr>
                <w:color w:val="000000"/>
                <w:sz w:val="22"/>
                <w:szCs w:val="22"/>
              </w:rPr>
              <w:t>AC</w:t>
            </w:r>
            <w:r w:rsidRPr="00F43752">
              <w:rPr>
                <w:color w:val="000000"/>
                <w:sz w:val="22"/>
                <w:szCs w:val="22"/>
              </w:rPr>
              <w:t>0208</w:t>
            </w:r>
          </w:p>
        </w:tc>
        <w:tc>
          <w:tcPr>
            <w:tcW w:w="3969" w:type="dxa"/>
            <w:tcBorders>
              <w:top w:val="nil"/>
              <w:left w:val="nil"/>
              <w:bottom w:val="single" w:sz="8" w:space="0" w:color="000000"/>
              <w:right w:val="single" w:sz="8" w:space="0" w:color="000000"/>
            </w:tcBorders>
            <w:shd w:val="clear" w:color="auto" w:fill="auto"/>
            <w:vAlign w:val="bottom"/>
          </w:tcPr>
          <w:p w14:paraId="6BB78591" w14:textId="77777777" w:rsidR="00EA4C52" w:rsidRPr="00F43752" w:rsidRDefault="00EA4C52" w:rsidP="00EA4C52">
            <w:pPr>
              <w:jc w:val="both"/>
              <w:rPr>
                <w:color w:val="000000"/>
                <w:sz w:val="22"/>
                <w:szCs w:val="22"/>
              </w:rPr>
            </w:pPr>
            <w:r w:rsidRPr="00F43752">
              <w:rPr>
                <w:color w:val="000000"/>
                <w:sz w:val="22"/>
                <w:szCs w:val="22"/>
              </w:rPr>
              <w:t>Putna - Vrancea</w:t>
            </w:r>
          </w:p>
        </w:tc>
      </w:tr>
      <w:tr w:rsidR="00EA4C52" w:rsidRPr="00C56257" w14:paraId="4E82E214"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69D5E6BA" w14:textId="77777777" w:rsidR="00EA4C52" w:rsidRPr="00D810D6" w:rsidRDefault="00EA4C52"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4E015E30" w14:textId="77777777" w:rsidR="00EA4C52" w:rsidRPr="00F43752" w:rsidRDefault="00EA4C52" w:rsidP="00EA4C52">
            <w:pPr>
              <w:jc w:val="both"/>
              <w:rPr>
                <w:color w:val="000000"/>
                <w:sz w:val="22"/>
                <w:szCs w:val="22"/>
              </w:rPr>
            </w:pPr>
            <w:r w:rsidRPr="00F43752">
              <w:rPr>
                <w:color w:val="000000"/>
                <w:sz w:val="22"/>
                <w:szCs w:val="22"/>
              </w:rPr>
              <w:t>ROSCI0217</w:t>
            </w:r>
          </w:p>
        </w:tc>
        <w:tc>
          <w:tcPr>
            <w:tcW w:w="3969" w:type="dxa"/>
            <w:tcBorders>
              <w:top w:val="nil"/>
              <w:left w:val="nil"/>
              <w:bottom w:val="single" w:sz="8" w:space="0" w:color="000000"/>
              <w:right w:val="single" w:sz="8" w:space="0" w:color="000000"/>
            </w:tcBorders>
            <w:shd w:val="clear" w:color="auto" w:fill="auto"/>
            <w:vAlign w:val="bottom"/>
          </w:tcPr>
          <w:p w14:paraId="25873181" w14:textId="77777777" w:rsidR="00EA4C52" w:rsidRPr="00F43752" w:rsidRDefault="00EA4C52" w:rsidP="00EA4C52">
            <w:pPr>
              <w:jc w:val="both"/>
              <w:rPr>
                <w:color w:val="000000"/>
                <w:sz w:val="22"/>
                <w:szCs w:val="22"/>
              </w:rPr>
            </w:pPr>
            <w:r w:rsidRPr="00F43752">
              <w:rPr>
                <w:color w:val="000000"/>
                <w:sz w:val="22"/>
                <w:szCs w:val="22"/>
              </w:rPr>
              <w:t>Retezat</w:t>
            </w:r>
          </w:p>
        </w:tc>
      </w:tr>
      <w:tr w:rsidR="00EA4C52" w:rsidRPr="00C56257" w14:paraId="42298074"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0E27E64C" w14:textId="77777777" w:rsidR="00EA4C52" w:rsidRPr="00D810D6" w:rsidRDefault="00EA4C52"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2BBA9A99" w14:textId="77777777" w:rsidR="00EA4C52" w:rsidRPr="00F43752" w:rsidRDefault="00EA4C52" w:rsidP="00EA4C52">
            <w:pPr>
              <w:jc w:val="both"/>
              <w:rPr>
                <w:color w:val="000000"/>
                <w:sz w:val="22"/>
                <w:szCs w:val="22"/>
              </w:rPr>
            </w:pPr>
            <w:r w:rsidRPr="00F43752">
              <w:rPr>
                <w:color w:val="000000"/>
                <w:sz w:val="22"/>
                <w:szCs w:val="22"/>
              </w:rPr>
              <w:t>ROSCI0229</w:t>
            </w:r>
          </w:p>
        </w:tc>
        <w:tc>
          <w:tcPr>
            <w:tcW w:w="3969" w:type="dxa"/>
            <w:tcBorders>
              <w:top w:val="nil"/>
              <w:left w:val="nil"/>
              <w:bottom w:val="single" w:sz="8" w:space="0" w:color="000000"/>
              <w:right w:val="single" w:sz="8" w:space="0" w:color="000000"/>
            </w:tcBorders>
            <w:shd w:val="clear" w:color="auto" w:fill="auto"/>
            <w:vAlign w:val="bottom"/>
          </w:tcPr>
          <w:p w14:paraId="30C9A0C5" w14:textId="77777777" w:rsidR="00EA4C52" w:rsidRPr="00F43752" w:rsidRDefault="00EA4C52" w:rsidP="00EA4C52">
            <w:pPr>
              <w:jc w:val="both"/>
              <w:rPr>
                <w:color w:val="000000"/>
                <w:sz w:val="22"/>
                <w:szCs w:val="22"/>
              </w:rPr>
            </w:pPr>
            <w:r w:rsidRPr="00F43752">
              <w:rPr>
                <w:color w:val="000000"/>
                <w:sz w:val="22"/>
                <w:szCs w:val="22"/>
              </w:rPr>
              <w:t>Siriu</w:t>
            </w:r>
          </w:p>
        </w:tc>
      </w:tr>
      <w:tr w:rsidR="00EA4C52" w:rsidRPr="00C56257" w14:paraId="1443F1C6"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4D31C8A4" w14:textId="77777777" w:rsidR="00EA4C52" w:rsidRPr="00D810D6" w:rsidRDefault="00EA4C52"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09EB2801" w14:textId="77777777" w:rsidR="00EA4C52" w:rsidRPr="00F43752" w:rsidRDefault="00EA4C52" w:rsidP="001B29DE">
            <w:pPr>
              <w:jc w:val="both"/>
              <w:rPr>
                <w:color w:val="000000"/>
                <w:sz w:val="22"/>
                <w:szCs w:val="22"/>
              </w:rPr>
            </w:pPr>
            <w:r w:rsidRPr="00F43752">
              <w:rPr>
                <w:color w:val="000000"/>
                <w:sz w:val="22"/>
                <w:szCs w:val="22"/>
              </w:rPr>
              <w:t>ROS</w:t>
            </w:r>
            <w:r w:rsidR="001B29DE">
              <w:rPr>
                <w:color w:val="000000"/>
                <w:sz w:val="22"/>
                <w:szCs w:val="22"/>
              </w:rPr>
              <w:t>AC</w:t>
            </w:r>
            <w:r w:rsidRPr="00F43752">
              <w:rPr>
                <w:color w:val="000000"/>
                <w:sz w:val="22"/>
                <w:szCs w:val="22"/>
              </w:rPr>
              <w:t>0230</w:t>
            </w:r>
          </w:p>
        </w:tc>
        <w:tc>
          <w:tcPr>
            <w:tcW w:w="3969" w:type="dxa"/>
            <w:tcBorders>
              <w:top w:val="nil"/>
              <w:left w:val="nil"/>
              <w:bottom w:val="single" w:sz="8" w:space="0" w:color="000000"/>
              <w:right w:val="single" w:sz="8" w:space="0" w:color="000000"/>
            </w:tcBorders>
            <w:shd w:val="clear" w:color="auto" w:fill="auto"/>
            <w:vAlign w:val="bottom"/>
          </w:tcPr>
          <w:p w14:paraId="1D6A5B79" w14:textId="77777777" w:rsidR="00EA4C52" w:rsidRPr="00F43752" w:rsidRDefault="00EA4C52" w:rsidP="00EA4C52">
            <w:pPr>
              <w:jc w:val="both"/>
              <w:rPr>
                <w:color w:val="000000"/>
                <w:sz w:val="22"/>
                <w:szCs w:val="22"/>
              </w:rPr>
            </w:pPr>
            <w:r w:rsidRPr="00F43752">
              <w:rPr>
                <w:color w:val="000000"/>
                <w:sz w:val="22"/>
                <w:szCs w:val="22"/>
              </w:rPr>
              <w:t>Slănic</w:t>
            </w:r>
          </w:p>
        </w:tc>
      </w:tr>
      <w:tr w:rsidR="00EA4C52" w:rsidRPr="00C56257" w14:paraId="45E03600"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0D9EF0FB" w14:textId="77777777" w:rsidR="00EA4C52" w:rsidRPr="00D810D6" w:rsidRDefault="00EA4C52"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258F7B91" w14:textId="77777777" w:rsidR="00EA4C52" w:rsidRPr="00F43752" w:rsidRDefault="00EA4C52" w:rsidP="001B29DE">
            <w:pPr>
              <w:jc w:val="both"/>
              <w:rPr>
                <w:color w:val="000000"/>
                <w:sz w:val="22"/>
                <w:szCs w:val="22"/>
              </w:rPr>
            </w:pPr>
            <w:r w:rsidRPr="00F43752">
              <w:rPr>
                <w:color w:val="000000"/>
                <w:sz w:val="22"/>
                <w:szCs w:val="22"/>
              </w:rPr>
              <w:t>ROS</w:t>
            </w:r>
            <w:r w:rsidR="001B29DE">
              <w:rPr>
                <w:color w:val="000000"/>
                <w:sz w:val="22"/>
                <w:szCs w:val="22"/>
              </w:rPr>
              <w:t>AC</w:t>
            </w:r>
            <w:r w:rsidRPr="00F43752">
              <w:rPr>
                <w:color w:val="000000"/>
                <w:sz w:val="22"/>
                <w:szCs w:val="22"/>
              </w:rPr>
              <w:t>0262</w:t>
            </w:r>
          </w:p>
        </w:tc>
        <w:tc>
          <w:tcPr>
            <w:tcW w:w="3969" w:type="dxa"/>
            <w:tcBorders>
              <w:top w:val="nil"/>
              <w:left w:val="nil"/>
              <w:bottom w:val="single" w:sz="8" w:space="0" w:color="000000"/>
              <w:right w:val="single" w:sz="8" w:space="0" w:color="000000"/>
            </w:tcBorders>
            <w:shd w:val="clear" w:color="auto" w:fill="auto"/>
            <w:vAlign w:val="bottom"/>
          </w:tcPr>
          <w:p w14:paraId="0C842DDD" w14:textId="77777777" w:rsidR="00EA4C52" w:rsidRPr="00F43752" w:rsidRDefault="00EA4C52" w:rsidP="00EA4C52">
            <w:pPr>
              <w:jc w:val="both"/>
              <w:rPr>
                <w:color w:val="000000"/>
                <w:sz w:val="22"/>
                <w:szCs w:val="22"/>
              </w:rPr>
            </w:pPr>
            <w:r w:rsidRPr="00F43752">
              <w:rPr>
                <w:color w:val="000000"/>
                <w:sz w:val="22"/>
                <w:szCs w:val="22"/>
              </w:rPr>
              <w:t>Valea Iadei</w:t>
            </w:r>
          </w:p>
        </w:tc>
      </w:tr>
      <w:tr w:rsidR="00EA4C52" w:rsidRPr="00C56257" w14:paraId="41A9DE3F"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4584791D" w14:textId="77777777" w:rsidR="00EA4C52" w:rsidRPr="00D810D6" w:rsidRDefault="00EA4C52"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06272295" w14:textId="77777777" w:rsidR="00EA4C52" w:rsidRPr="00F43752" w:rsidRDefault="00EA4C52" w:rsidP="001B29DE">
            <w:pPr>
              <w:jc w:val="both"/>
              <w:rPr>
                <w:color w:val="000000"/>
                <w:sz w:val="22"/>
                <w:szCs w:val="22"/>
              </w:rPr>
            </w:pPr>
            <w:r w:rsidRPr="00F43752">
              <w:rPr>
                <w:color w:val="000000"/>
                <w:sz w:val="22"/>
                <w:szCs w:val="22"/>
              </w:rPr>
              <w:t>ROS</w:t>
            </w:r>
            <w:r w:rsidR="001B29DE">
              <w:rPr>
                <w:color w:val="000000"/>
                <w:sz w:val="22"/>
                <w:szCs w:val="22"/>
              </w:rPr>
              <w:t>AC</w:t>
            </w:r>
            <w:r w:rsidRPr="00F43752">
              <w:rPr>
                <w:color w:val="000000"/>
                <w:sz w:val="22"/>
                <w:szCs w:val="22"/>
              </w:rPr>
              <w:t>0270</w:t>
            </w:r>
          </w:p>
        </w:tc>
        <w:tc>
          <w:tcPr>
            <w:tcW w:w="3969" w:type="dxa"/>
            <w:tcBorders>
              <w:top w:val="nil"/>
              <w:left w:val="nil"/>
              <w:bottom w:val="single" w:sz="8" w:space="0" w:color="000000"/>
              <w:right w:val="single" w:sz="8" w:space="0" w:color="000000"/>
            </w:tcBorders>
            <w:shd w:val="clear" w:color="auto" w:fill="auto"/>
            <w:vAlign w:val="bottom"/>
          </w:tcPr>
          <w:p w14:paraId="266667D3" w14:textId="77777777" w:rsidR="00EA4C52" w:rsidRPr="00F43752" w:rsidRDefault="00EA4C52" w:rsidP="00EA4C52">
            <w:pPr>
              <w:jc w:val="both"/>
              <w:rPr>
                <w:color w:val="000000"/>
                <w:sz w:val="22"/>
                <w:szCs w:val="22"/>
              </w:rPr>
            </w:pPr>
            <w:r w:rsidRPr="00F43752">
              <w:rPr>
                <w:color w:val="000000"/>
                <w:sz w:val="22"/>
                <w:szCs w:val="22"/>
              </w:rPr>
              <w:t>Vânători-Neamț</w:t>
            </w:r>
          </w:p>
        </w:tc>
      </w:tr>
      <w:tr w:rsidR="00EA4C52" w:rsidRPr="00C56257" w14:paraId="4553D6BC" w14:textId="77777777" w:rsidTr="00577613">
        <w:trPr>
          <w:trHeight w:val="300"/>
        </w:trPr>
        <w:tc>
          <w:tcPr>
            <w:tcW w:w="4229" w:type="dxa"/>
            <w:tcBorders>
              <w:top w:val="nil"/>
              <w:left w:val="single" w:sz="8" w:space="0" w:color="000000"/>
              <w:bottom w:val="nil"/>
              <w:right w:val="single" w:sz="8" w:space="0" w:color="000000"/>
            </w:tcBorders>
            <w:shd w:val="clear" w:color="auto" w:fill="auto"/>
          </w:tcPr>
          <w:p w14:paraId="2CBFF380" w14:textId="77777777" w:rsidR="00EA4C52" w:rsidRPr="00D810D6" w:rsidRDefault="00EA4C52"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5AED3C75" w14:textId="77777777" w:rsidR="00EA4C52" w:rsidRPr="00F43752" w:rsidRDefault="00EA4C52" w:rsidP="00EA4C52">
            <w:pPr>
              <w:jc w:val="both"/>
              <w:rPr>
                <w:color w:val="000000"/>
                <w:sz w:val="22"/>
                <w:szCs w:val="22"/>
              </w:rPr>
            </w:pPr>
            <w:r w:rsidRPr="00F43752">
              <w:rPr>
                <w:color w:val="000000"/>
                <w:sz w:val="22"/>
                <w:szCs w:val="22"/>
              </w:rPr>
              <w:t>ROSCI0323</w:t>
            </w:r>
          </w:p>
        </w:tc>
        <w:tc>
          <w:tcPr>
            <w:tcW w:w="3969" w:type="dxa"/>
            <w:tcBorders>
              <w:top w:val="nil"/>
              <w:left w:val="nil"/>
              <w:bottom w:val="single" w:sz="8" w:space="0" w:color="000000"/>
              <w:right w:val="single" w:sz="8" w:space="0" w:color="000000"/>
            </w:tcBorders>
            <w:shd w:val="clear" w:color="auto" w:fill="auto"/>
            <w:vAlign w:val="bottom"/>
          </w:tcPr>
          <w:p w14:paraId="5A352EDE" w14:textId="77777777" w:rsidR="00EA4C52" w:rsidRPr="00F43752" w:rsidRDefault="00EA4C52" w:rsidP="00EA4C52">
            <w:pPr>
              <w:jc w:val="both"/>
              <w:rPr>
                <w:color w:val="000000"/>
                <w:sz w:val="22"/>
                <w:szCs w:val="22"/>
              </w:rPr>
            </w:pPr>
            <w:r w:rsidRPr="00F43752">
              <w:rPr>
                <w:color w:val="000000"/>
                <w:sz w:val="22"/>
                <w:szCs w:val="22"/>
              </w:rPr>
              <w:t>Munții Ciucului</w:t>
            </w:r>
          </w:p>
        </w:tc>
      </w:tr>
      <w:tr w:rsidR="00EA4C52" w:rsidRPr="00C56257" w14:paraId="413C50D2" w14:textId="77777777" w:rsidTr="00577613">
        <w:trPr>
          <w:trHeight w:val="228"/>
        </w:trPr>
        <w:tc>
          <w:tcPr>
            <w:tcW w:w="4229" w:type="dxa"/>
            <w:tcBorders>
              <w:top w:val="nil"/>
              <w:left w:val="single" w:sz="8" w:space="0" w:color="000000"/>
              <w:bottom w:val="single" w:sz="8" w:space="0" w:color="000000"/>
              <w:right w:val="single" w:sz="8" w:space="0" w:color="000000"/>
            </w:tcBorders>
            <w:shd w:val="clear" w:color="auto" w:fill="auto"/>
          </w:tcPr>
          <w:p w14:paraId="3C61CD34" w14:textId="77777777" w:rsidR="00EA4C52" w:rsidRPr="00D810D6" w:rsidRDefault="00EA4C52" w:rsidP="00EA4C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0F0A14BE" w14:textId="77777777" w:rsidR="00EA4C52" w:rsidRPr="00F43752" w:rsidRDefault="00EA4C52" w:rsidP="00EA4C52">
            <w:pPr>
              <w:jc w:val="both"/>
              <w:rPr>
                <w:color w:val="000000" w:themeColor="text1"/>
                <w:sz w:val="22"/>
                <w:szCs w:val="22"/>
                <w:lang w:eastAsia="ro-RO"/>
              </w:rPr>
            </w:pPr>
            <w:r w:rsidRPr="00F43752">
              <w:rPr>
                <w:color w:val="000000"/>
                <w:sz w:val="22"/>
                <w:szCs w:val="22"/>
              </w:rPr>
              <w:t>ROSCI0379</w:t>
            </w:r>
          </w:p>
        </w:tc>
        <w:tc>
          <w:tcPr>
            <w:tcW w:w="3969" w:type="dxa"/>
            <w:tcBorders>
              <w:top w:val="nil"/>
              <w:left w:val="nil"/>
              <w:bottom w:val="single" w:sz="8" w:space="0" w:color="000000"/>
              <w:right w:val="single" w:sz="8" w:space="0" w:color="000000"/>
            </w:tcBorders>
            <w:shd w:val="clear" w:color="auto" w:fill="auto"/>
            <w:vAlign w:val="bottom"/>
          </w:tcPr>
          <w:p w14:paraId="10CA7021" w14:textId="77777777" w:rsidR="00EA4C52" w:rsidRPr="00F43752" w:rsidRDefault="00EA4C52" w:rsidP="00EA4C52">
            <w:pPr>
              <w:jc w:val="both"/>
              <w:rPr>
                <w:color w:val="000000" w:themeColor="text1"/>
                <w:sz w:val="22"/>
                <w:szCs w:val="22"/>
                <w:lang w:eastAsia="ro-RO"/>
              </w:rPr>
            </w:pPr>
            <w:r w:rsidRPr="00F43752">
              <w:rPr>
                <w:color w:val="000000"/>
                <w:sz w:val="22"/>
                <w:szCs w:val="22"/>
              </w:rPr>
              <w:t>Râul Suceava</w:t>
            </w:r>
          </w:p>
        </w:tc>
      </w:tr>
      <w:tr w:rsidR="009D07AE" w:rsidRPr="00C56257" w14:paraId="561E03CA" w14:textId="77777777" w:rsidTr="00993B86">
        <w:trPr>
          <w:trHeight w:val="324"/>
        </w:trPr>
        <w:tc>
          <w:tcPr>
            <w:tcW w:w="4229" w:type="dxa"/>
            <w:vMerge w:val="restart"/>
            <w:tcBorders>
              <w:top w:val="nil"/>
              <w:left w:val="single" w:sz="8" w:space="0" w:color="000000"/>
              <w:right w:val="single" w:sz="8" w:space="0" w:color="000000"/>
            </w:tcBorders>
            <w:shd w:val="clear" w:color="auto" w:fill="auto"/>
            <w:vAlign w:val="center"/>
          </w:tcPr>
          <w:p w14:paraId="41F54FEC" w14:textId="77777777" w:rsidR="009D07AE" w:rsidRPr="00D810D6" w:rsidRDefault="009D07AE" w:rsidP="00EA4C52">
            <w:pPr>
              <w:jc w:val="both"/>
              <w:rPr>
                <w:color w:val="000000" w:themeColor="text1"/>
                <w:lang w:eastAsia="ro-RO"/>
              </w:rPr>
            </w:pPr>
            <w:r w:rsidRPr="00D810D6">
              <w:rPr>
                <w:color w:val="000000" w:themeColor="text1"/>
                <w:lang w:eastAsia="ro-RO"/>
              </w:rPr>
              <w:t xml:space="preserve"> 3240 - Vegetaţie lemnoasă cu </w:t>
            </w:r>
            <w:r w:rsidRPr="00D810D6">
              <w:rPr>
                <w:i/>
                <w:iCs/>
                <w:color w:val="000000" w:themeColor="text1"/>
                <w:lang w:eastAsia="ro-RO"/>
              </w:rPr>
              <w:t xml:space="preserve">Salix elaeagnos </w:t>
            </w:r>
            <w:r w:rsidRPr="00D810D6">
              <w:rPr>
                <w:color w:val="000000" w:themeColor="text1"/>
                <w:lang w:eastAsia="ro-RO"/>
              </w:rPr>
              <w:t>de-a lungul râurilor montane</w:t>
            </w:r>
          </w:p>
          <w:p w14:paraId="7B07DD15" w14:textId="77777777" w:rsidR="009D07AE" w:rsidRPr="00D810D6" w:rsidRDefault="009D07AE" w:rsidP="00EA4C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77B9725A" w14:textId="77777777" w:rsidR="009D07AE" w:rsidRPr="00F43752" w:rsidRDefault="009D07AE" w:rsidP="00EA4C52">
            <w:pPr>
              <w:jc w:val="both"/>
              <w:rPr>
                <w:color w:val="000000" w:themeColor="text1"/>
                <w:sz w:val="22"/>
                <w:szCs w:val="22"/>
                <w:lang w:eastAsia="ro-RO"/>
              </w:rPr>
            </w:pPr>
            <w:r w:rsidRPr="00F43752">
              <w:rPr>
                <w:color w:val="000000"/>
                <w:sz w:val="22"/>
                <w:szCs w:val="22"/>
              </w:rPr>
              <w:t>ROSCI0002</w:t>
            </w:r>
          </w:p>
        </w:tc>
        <w:tc>
          <w:tcPr>
            <w:tcW w:w="3969" w:type="dxa"/>
            <w:tcBorders>
              <w:top w:val="nil"/>
              <w:left w:val="nil"/>
              <w:bottom w:val="single" w:sz="8" w:space="0" w:color="000000"/>
              <w:right w:val="single" w:sz="8" w:space="0" w:color="000000"/>
            </w:tcBorders>
            <w:shd w:val="clear" w:color="auto" w:fill="auto"/>
            <w:vAlign w:val="bottom"/>
          </w:tcPr>
          <w:p w14:paraId="2064CD20" w14:textId="77777777" w:rsidR="009D07AE" w:rsidRPr="00F43752" w:rsidRDefault="009D07AE" w:rsidP="00EA4C52">
            <w:pPr>
              <w:jc w:val="both"/>
              <w:rPr>
                <w:color w:val="000000" w:themeColor="text1"/>
                <w:sz w:val="22"/>
                <w:szCs w:val="22"/>
                <w:lang w:eastAsia="ro-RO"/>
              </w:rPr>
            </w:pPr>
            <w:r w:rsidRPr="00F43752">
              <w:rPr>
                <w:color w:val="000000"/>
                <w:sz w:val="22"/>
                <w:szCs w:val="22"/>
              </w:rPr>
              <w:t>Apuseni</w:t>
            </w:r>
          </w:p>
        </w:tc>
      </w:tr>
      <w:tr w:rsidR="009D07AE" w:rsidRPr="00C56257" w14:paraId="07E18F7E" w14:textId="77777777" w:rsidTr="00993B86">
        <w:trPr>
          <w:trHeight w:val="324"/>
        </w:trPr>
        <w:tc>
          <w:tcPr>
            <w:tcW w:w="4229" w:type="dxa"/>
            <w:vMerge/>
            <w:tcBorders>
              <w:left w:val="single" w:sz="8" w:space="0" w:color="000000"/>
              <w:right w:val="single" w:sz="8" w:space="0" w:color="000000"/>
            </w:tcBorders>
            <w:shd w:val="clear" w:color="auto" w:fill="auto"/>
            <w:vAlign w:val="center"/>
          </w:tcPr>
          <w:p w14:paraId="58843AF1" w14:textId="77777777" w:rsidR="009D07AE" w:rsidRPr="00D810D6" w:rsidRDefault="009D07AE"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63D6123B" w14:textId="77777777" w:rsidR="009D07AE" w:rsidRPr="00F43752" w:rsidRDefault="009D07AE" w:rsidP="00EA4C52">
            <w:pPr>
              <w:jc w:val="both"/>
              <w:rPr>
                <w:color w:val="000000" w:themeColor="text1"/>
                <w:sz w:val="22"/>
                <w:szCs w:val="22"/>
                <w:lang w:eastAsia="ro-RO"/>
              </w:rPr>
            </w:pPr>
            <w:r w:rsidRPr="00F43752">
              <w:rPr>
                <w:color w:val="000000"/>
                <w:sz w:val="22"/>
                <w:szCs w:val="22"/>
              </w:rPr>
              <w:t>ROSCI0010</w:t>
            </w:r>
          </w:p>
        </w:tc>
        <w:tc>
          <w:tcPr>
            <w:tcW w:w="3969" w:type="dxa"/>
            <w:tcBorders>
              <w:top w:val="nil"/>
              <w:left w:val="nil"/>
              <w:bottom w:val="single" w:sz="8" w:space="0" w:color="000000"/>
              <w:right w:val="single" w:sz="8" w:space="0" w:color="000000"/>
            </w:tcBorders>
            <w:shd w:val="clear" w:color="auto" w:fill="auto"/>
            <w:vAlign w:val="bottom"/>
          </w:tcPr>
          <w:p w14:paraId="268643BE" w14:textId="77777777" w:rsidR="009D07AE" w:rsidRPr="00F43752" w:rsidRDefault="009D07AE" w:rsidP="00EA4C52">
            <w:pPr>
              <w:jc w:val="both"/>
              <w:rPr>
                <w:color w:val="000000" w:themeColor="text1"/>
                <w:sz w:val="22"/>
                <w:szCs w:val="22"/>
                <w:lang w:eastAsia="ro-RO"/>
              </w:rPr>
            </w:pPr>
            <w:r w:rsidRPr="00F43752">
              <w:rPr>
                <w:color w:val="000000"/>
                <w:sz w:val="22"/>
                <w:szCs w:val="22"/>
              </w:rPr>
              <w:t>Bistrița Aurie</w:t>
            </w:r>
          </w:p>
        </w:tc>
      </w:tr>
      <w:tr w:rsidR="009D07AE" w:rsidRPr="00C56257" w14:paraId="1FE2A51C" w14:textId="77777777" w:rsidTr="00993B86">
        <w:trPr>
          <w:trHeight w:val="324"/>
        </w:trPr>
        <w:tc>
          <w:tcPr>
            <w:tcW w:w="4229" w:type="dxa"/>
            <w:vMerge/>
            <w:tcBorders>
              <w:left w:val="single" w:sz="8" w:space="0" w:color="000000"/>
              <w:right w:val="single" w:sz="8" w:space="0" w:color="000000"/>
            </w:tcBorders>
            <w:shd w:val="clear" w:color="auto" w:fill="auto"/>
            <w:vAlign w:val="center"/>
          </w:tcPr>
          <w:p w14:paraId="734A827A" w14:textId="77777777" w:rsidR="009D07AE" w:rsidRPr="00D810D6" w:rsidRDefault="009D07AE"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0C7C7AE2" w14:textId="77777777" w:rsidR="009D07AE" w:rsidRPr="00F43752" w:rsidRDefault="009D07AE"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0013</w:t>
            </w:r>
          </w:p>
        </w:tc>
        <w:tc>
          <w:tcPr>
            <w:tcW w:w="3969" w:type="dxa"/>
            <w:tcBorders>
              <w:top w:val="nil"/>
              <w:left w:val="nil"/>
              <w:bottom w:val="single" w:sz="8" w:space="0" w:color="000000"/>
              <w:right w:val="single" w:sz="8" w:space="0" w:color="000000"/>
            </w:tcBorders>
            <w:shd w:val="clear" w:color="auto" w:fill="auto"/>
            <w:vAlign w:val="bottom"/>
          </w:tcPr>
          <w:p w14:paraId="1E82ED9F" w14:textId="77777777" w:rsidR="009D07AE" w:rsidRPr="00F43752" w:rsidRDefault="009D07AE" w:rsidP="00EA4C52">
            <w:pPr>
              <w:jc w:val="both"/>
              <w:rPr>
                <w:color w:val="000000" w:themeColor="text1"/>
                <w:sz w:val="22"/>
                <w:szCs w:val="22"/>
                <w:lang w:eastAsia="ro-RO"/>
              </w:rPr>
            </w:pPr>
            <w:r w:rsidRPr="00F43752">
              <w:rPr>
                <w:color w:val="000000"/>
                <w:sz w:val="22"/>
                <w:szCs w:val="22"/>
              </w:rPr>
              <w:t>Bucegi</w:t>
            </w:r>
          </w:p>
        </w:tc>
      </w:tr>
      <w:tr w:rsidR="009D07AE" w:rsidRPr="00C56257" w14:paraId="63C85A8E" w14:textId="77777777" w:rsidTr="00993B86">
        <w:trPr>
          <w:trHeight w:val="324"/>
        </w:trPr>
        <w:tc>
          <w:tcPr>
            <w:tcW w:w="4229" w:type="dxa"/>
            <w:vMerge/>
            <w:tcBorders>
              <w:left w:val="single" w:sz="8" w:space="0" w:color="000000"/>
              <w:bottom w:val="nil"/>
              <w:right w:val="single" w:sz="8" w:space="0" w:color="000000"/>
            </w:tcBorders>
            <w:shd w:val="clear" w:color="auto" w:fill="auto"/>
            <w:vAlign w:val="center"/>
          </w:tcPr>
          <w:p w14:paraId="54E4ED6D" w14:textId="77777777" w:rsidR="009D07AE" w:rsidRPr="00D810D6" w:rsidRDefault="009D07AE"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6D7548A9" w14:textId="77777777" w:rsidR="009D07AE" w:rsidRPr="00F43752" w:rsidRDefault="009D07AE" w:rsidP="00EA4C52">
            <w:pPr>
              <w:jc w:val="both"/>
              <w:rPr>
                <w:color w:val="000000" w:themeColor="text1"/>
                <w:sz w:val="22"/>
                <w:szCs w:val="22"/>
                <w:lang w:eastAsia="ro-RO"/>
              </w:rPr>
            </w:pPr>
            <w:r w:rsidRPr="00F43752">
              <w:rPr>
                <w:color w:val="000000"/>
                <w:sz w:val="22"/>
                <w:szCs w:val="22"/>
              </w:rPr>
              <w:t>ROSCI0024</w:t>
            </w:r>
          </w:p>
        </w:tc>
        <w:tc>
          <w:tcPr>
            <w:tcW w:w="3969" w:type="dxa"/>
            <w:tcBorders>
              <w:top w:val="nil"/>
              <w:left w:val="nil"/>
              <w:bottom w:val="single" w:sz="8" w:space="0" w:color="000000"/>
              <w:right w:val="single" w:sz="8" w:space="0" w:color="000000"/>
            </w:tcBorders>
            <w:shd w:val="clear" w:color="auto" w:fill="auto"/>
            <w:vAlign w:val="bottom"/>
          </w:tcPr>
          <w:p w14:paraId="477161F9" w14:textId="77777777" w:rsidR="009D07AE" w:rsidRPr="00F43752" w:rsidRDefault="009D07AE" w:rsidP="00EA4C52">
            <w:pPr>
              <w:jc w:val="both"/>
              <w:rPr>
                <w:color w:val="000000" w:themeColor="text1"/>
                <w:sz w:val="22"/>
                <w:szCs w:val="22"/>
                <w:lang w:eastAsia="ro-RO"/>
              </w:rPr>
            </w:pPr>
            <w:r w:rsidRPr="00F43752">
              <w:rPr>
                <w:color w:val="000000"/>
                <w:sz w:val="22"/>
                <w:szCs w:val="22"/>
              </w:rPr>
              <w:t>Ceahlău</w:t>
            </w:r>
          </w:p>
        </w:tc>
      </w:tr>
      <w:tr w:rsidR="00EA4C52" w:rsidRPr="00C56257" w14:paraId="0131332B"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1846F645" w14:textId="77777777" w:rsidR="00EA4C52" w:rsidRPr="00D810D6" w:rsidRDefault="00EA4C52"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75627221" w14:textId="77777777" w:rsidR="00EA4C52" w:rsidRPr="00F43752" w:rsidRDefault="00EA4C52" w:rsidP="00EA4C52">
            <w:pPr>
              <w:jc w:val="both"/>
              <w:rPr>
                <w:color w:val="000000" w:themeColor="text1"/>
                <w:sz w:val="22"/>
                <w:szCs w:val="22"/>
                <w:lang w:eastAsia="ro-RO"/>
              </w:rPr>
            </w:pPr>
            <w:r w:rsidRPr="00F43752">
              <w:rPr>
                <w:color w:val="000000"/>
                <w:sz w:val="22"/>
                <w:szCs w:val="22"/>
              </w:rPr>
              <w:t>ROSCI0038</w:t>
            </w:r>
          </w:p>
        </w:tc>
        <w:tc>
          <w:tcPr>
            <w:tcW w:w="3969" w:type="dxa"/>
            <w:tcBorders>
              <w:top w:val="nil"/>
              <w:left w:val="nil"/>
              <w:bottom w:val="single" w:sz="8" w:space="0" w:color="000000"/>
              <w:right w:val="single" w:sz="8" w:space="0" w:color="000000"/>
            </w:tcBorders>
            <w:shd w:val="clear" w:color="auto" w:fill="auto"/>
            <w:vAlign w:val="bottom"/>
          </w:tcPr>
          <w:p w14:paraId="5CC15D9D" w14:textId="77777777" w:rsidR="00EA4C52" w:rsidRPr="00F43752" w:rsidRDefault="00EA4C52" w:rsidP="00EA4C52">
            <w:pPr>
              <w:jc w:val="both"/>
              <w:rPr>
                <w:color w:val="000000" w:themeColor="text1"/>
                <w:sz w:val="22"/>
                <w:szCs w:val="22"/>
                <w:lang w:eastAsia="ro-RO"/>
              </w:rPr>
            </w:pPr>
            <w:r w:rsidRPr="00F43752">
              <w:rPr>
                <w:color w:val="000000"/>
                <w:sz w:val="22"/>
                <w:szCs w:val="22"/>
              </w:rPr>
              <w:t>Ciucaș</w:t>
            </w:r>
          </w:p>
        </w:tc>
      </w:tr>
      <w:tr w:rsidR="00EA4C52" w:rsidRPr="00C56257" w14:paraId="44F0BC8B"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5784B802" w14:textId="77777777" w:rsidR="00EA4C52" w:rsidRPr="00D810D6" w:rsidRDefault="00EA4C52"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19941832" w14:textId="77777777" w:rsidR="00EA4C52" w:rsidRPr="00F43752" w:rsidRDefault="00EA4C52"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0046</w:t>
            </w:r>
          </w:p>
        </w:tc>
        <w:tc>
          <w:tcPr>
            <w:tcW w:w="3969" w:type="dxa"/>
            <w:tcBorders>
              <w:top w:val="nil"/>
              <w:left w:val="nil"/>
              <w:bottom w:val="single" w:sz="8" w:space="0" w:color="000000"/>
              <w:right w:val="single" w:sz="8" w:space="0" w:color="000000"/>
            </w:tcBorders>
            <w:shd w:val="clear" w:color="auto" w:fill="auto"/>
            <w:vAlign w:val="bottom"/>
          </w:tcPr>
          <w:p w14:paraId="6170F195" w14:textId="77777777" w:rsidR="00EA4C52" w:rsidRPr="00F43752" w:rsidRDefault="00EA4C52" w:rsidP="00EA4C52">
            <w:pPr>
              <w:jc w:val="both"/>
              <w:rPr>
                <w:color w:val="000000" w:themeColor="text1"/>
                <w:sz w:val="22"/>
                <w:szCs w:val="22"/>
                <w:lang w:eastAsia="ro-RO"/>
              </w:rPr>
            </w:pPr>
            <w:r w:rsidRPr="00F43752">
              <w:rPr>
                <w:color w:val="000000"/>
                <w:sz w:val="22"/>
                <w:szCs w:val="22"/>
              </w:rPr>
              <w:t>Cozia</w:t>
            </w:r>
          </w:p>
        </w:tc>
      </w:tr>
      <w:tr w:rsidR="00EA4C52" w:rsidRPr="00C56257" w14:paraId="6A4865EA"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627DEB0C" w14:textId="77777777" w:rsidR="00EA4C52" w:rsidRPr="00D810D6" w:rsidRDefault="00EA4C52"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13AF214D" w14:textId="77777777" w:rsidR="00EA4C52" w:rsidRPr="00F43752" w:rsidRDefault="00EA4C52" w:rsidP="00EA4C52">
            <w:pPr>
              <w:jc w:val="both"/>
              <w:rPr>
                <w:color w:val="000000" w:themeColor="text1"/>
                <w:sz w:val="22"/>
                <w:szCs w:val="22"/>
                <w:lang w:eastAsia="ro-RO"/>
              </w:rPr>
            </w:pPr>
            <w:r w:rsidRPr="00F43752">
              <w:rPr>
                <w:color w:val="000000"/>
                <w:sz w:val="22"/>
                <w:szCs w:val="22"/>
              </w:rPr>
              <w:t>ROSCI0063</w:t>
            </w:r>
          </w:p>
        </w:tc>
        <w:tc>
          <w:tcPr>
            <w:tcW w:w="3969" w:type="dxa"/>
            <w:tcBorders>
              <w:top w:val="nil"/>
              <w:left w:val="nil"/>
              <w:bottom w:val="single" w:sz="8" w:space="0" w:color="000000"/>
              <w:right w:val="single" w:sz="8" w:space="0" w:color="000000"/>
            </w:tcBorders>
            <w:shd w:val="clear" w:color="auto" w:fill="auto"/>
            <w:vAlign w:val="bottom"/>
          </w:tcPr>
          <w:p w14:paraId="409D36B4" w14:textId="77777777" w:rsidR="00EA4C52" w:rsidRPr="00F43752" w:rsidRDefault="00EA4C52" w:rsidP="00EA4C52">
            <w:pPr>
              <w:jc w:val="both"/>
              <w:rPr>
                <w:color w:val="000000" w:themeColor="text1"/>
                <w:sz w:val="22"/>
                <w:szCs w:val="22"/>
                <w:lang w:eastAsia="ro-RO"/>
              </w:rPr>
            </w:pPr>
            <w:r w:rsidRPr="00F43752">
              <w:rPr>
                <w:color w:val="000000"/>
                <w:sz w:val="22"/>
                <w:szCs w:val="22"/>
              </w:rPr>
              <w:t>Defileul Jiului</w:t>
            </w:r>
          </w:p>
        </w:tc>
      </w:tr>
      <w:tr w:rsidR="00EA4C52" w:rsidRPr="00C56257" w14:paraId="6F0E33E3"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767AA9A1" w14:textId="77777777" w:rsidR="00EA4C52" w:rsidRPr="00D810D6" w:rsidRDefault="00EA4C52"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5ACA8DB5" w14:textId="77777777" w:rsidR="00EA4C52" w:rsidRPr="00F43752" w:rsidRDefault="00EA4C52"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0103</w:t>
            </w:r>
          </w:p>
        </w:tc>
        <w:tc>
          <w:tcPr>
            <w:tcW w:w="3969" w:type="dxa"/>
            <w:tcBorders>
              <w:top w:val="nil"/>
              <w:left w:val="nil"/>
              <w:bottom w:val="single" w:sz="8" w:space="0" w:color="000000"/>
              <w:right w:val="single" w:sz="8" w:space="0" w:color="000000"/>
            </w:tcBorders>
            <w:shd w:val="clear" w:color="auto" w:fill="auto"/>
            <w:vAlign w:val="bottom"/>
          </w:tcPr>
          <w:p w14:paraId="27AB3B49" w14:textId="77777777" w:rsidR="00EA4C52" w:rsidRPr="00F43752" w:rsidRDefault="00EA4C52" w:rsidP="00EA4C52">
            <w:pPr>
              <w:jc w:val="both"/>
              <w:rPr>
                <w:color w:val="000000" w:themeColor="text1"/>
                <w:sz w:val="22"/>
                <w:szCs w:val="22"/>
                <w:lang w:eastAsia="ro-RO"/>
              </w:rPr>
            </w:pPr>
            <w:r w:rsidRPr="00F43752">
              <w:rPr>
                <w:color w:val="000000"/>
                <w:sz w:val="22"/>
                <w:szCs w:val="22"/>
              </w:rPr>
              <w:t>Lunca Buzăului</w:t>
            </w:r>
          </w:p>
        </w:tc>
      </w:tr>
      <w:tr w:rsidR="00EA4C52" w:rsidRPr="00C56257" w14:paraId="07EE26C4"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0EE9798A" w14:textId="77777777" w:rsidR="00EA4C52" w:rsidRPr="00D810D6" w:rsidRDefault="00EA4C52"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2DE8502B" w14:textId="77777777" w:rsidR="00EA4C52" w:rsidRPr="00F43752" w:rsidRDefault="00EA4C52"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0122</w:t>
            </w:r>
          </w:p>
        </w:tc>
        <w:tc>
          <w:tcPr>
            <w:tcW w:w="3969" w:type="dxa"/>
            <w:tcBorders>
              <w:top w:val="nil"/>
              <w:left w:val="nil"/>
              <w:bottom w:val="single" w:sz="8" w:space="0" w:color="000000"/>
              <w:right w:val="single" w:sz="8" w:space="0" w:color="000000"/>
            </w:tcBorders>
            <w:shd w:val="clear" w:color="auto" w:fill="auto"/>
            <w:vAlign w:val="bottom"/>
          </w:tcPr>
          <w:p w14:paraId="44583B77" w14:textId="77777777" w:rsidR="00EA4C52" w:rsidRPr="00F43752" w:rsidRDefault="00EA4C52" w:rsidP="00EA4C52">
            <w:pPr>
              <w:jc w:val="both"/>
              <w:rPr>
                <w:color w:val="000000" w:themeColor="text1"/>
                <w:sz w:val="22"/>
                <w:szCs w:val="22"/>
                <w:lang w:eastAsia="ro-RO"/>
              </w:rPr>
            </w:pPr>
            <w:r w:rsidRPr="00F43752">
              <w:rPr>
                <w:color w:val="000000"/>
                <w:sz w:val="22"/>
                <w:szCs w:val="22"/>
              </w:rPr>
              <w:t>Munții Făgăraș</w:t>
            </w:r>
          </w:p>
        </w:tc>
      </w:tr>
      <w:tr w:rsidR="00EA4C52" w:rsidRPr="00C56257" w14:paraId="63F5B032"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5651DB35" w14:textId="77777777" w:rsidR="00EA4C52" w:rsidRPr="00D810D6" w:rsidRDefault="00EA4C52"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vAlign w:val="bottom"/>
          </w:tcPr>
          <w:p w14:paraId="1D536E53" w14:textId="77777777" w:rsidR="00EA4C52" w:rsidRPr="00F43752" w:rsidRDefault="00EA4C52"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0124</w:t>
            </w:r>
          </w:p>
        </w:tc>
        <w:tc>
          <w:tcPr>
            <w:tcW w:w="3969" w:type="dxa"/>
            <w:tcBorders>
              <w:top w:val="nil"/>
              <w:left w:val="nil"/>
              <w:bottom w:val="single" w:sz="8" w:space="0" w:color="000000"/>
              <w:right w:val="single" w:sz="8" w:space="0" w:color="000000"/>
            </w:tcBorders>
            <w:shd w:val="clear" w:color="auto" w:fill="auto"/>
            <w:vAlign w:val="bottom"/>
          </w:tcPr>
          <w:p w14:paraId="24BC3979" w14:textId="77777777" w:rsidR="00EA4C52" w:rsidRPr="00F43752" w:rsidRDefault="00EA4C52" w:rsidP="00EA4C52">
            <w:pPr>
              <w:jc w:val="both"/>
              <w:rPr>
                <w:color w:val="000000" w:themeColor="text1"/>
                <w:sz w:val="22"/>
                <w:szCs w:val="22"/>
                <w:lang w:eastAsia="ro-RO"/>
              </w:rPr>
            </w:pPr>
            <w:r w:rsidRPr="00F43752">
              <w:rPr>
                <w:color w:val="000000"/>
                <w:sz w:val="22"/>
                <w:szCs w:val="22"/>
              </w:rPr>
              <w:t>Munții Maramureșului</w:t>
            </w:r>
          </w:p>
        </w:tc>
      </w:tr>
      <w:tr w:rsidR="00EA4C52" w:rsidRPr="00C56257" w14:paraId="0084FE4C"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637554D0" w14:textId="77777777" w:rsidR="00EA4C52" w:rsidRPr="00D810D6" w:rsidRDefault="00EA4C52" w:rsidP="00EA4C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2743A9EC" w14:textId="77777777" w:rsidR="00EA4C52" w:rsidRPr="00F43752" w:rsidRDefault="00EA4C52"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0125</w:t>
            </w:r>
          </w:p>
        </w:tc>
        <w:tc>
          <w:tcPr>
            <w:tcW w:w="3969" w:type="dxa"/>
            <w:tcBorders>
              <w:top w:val="nil"/>
              <w:left w:val="nil"/>
              <w:bottom w:val="single" w:sz="8" w:space="0" w:color="000000"/>
              <w:right w:val="single" w:sz="8" w:space="0" w:color="000000"/>
            </w:tcBorders>
            <w:shd w:val="clear" w:color="auto" w:fill="auto"/>
            <w:vAlign w:val="bottom"/>
          </w:tcPr>
          <w:p w14:paraId="69DA8DF6" w14:textId="77777777" w:rsidR="00EA4C52" w:rsidRPr="00F43752" w:rsidRDefault="00EA4C52" w:rsidP="00EA4C52">
            <w:pPr>
              <w:jc w:val="both"/>
              <w:rPr>
                <w:color w:val="000000" w:themeColor="text1"/>
                <w:sz w:val="22"/>
                <w:szCs w:val="22"/>
                <w:lang w:eastAsia="ro-RO"/>
              </w:rPr>
            </w:pPr>
            <w:r w:rsidRPr="00F43752">
              <w:rPr>
                <w:color w:val="000000"/>
                <w:sz w:val="22"/>
                <w:szCs w:val="22"/>
              </w:rPr>
              <w:t>Munții Rodnei</w:t>
            </w:r>
          </w:p>
        </w:tc>
      </w:tr>
      <w:tr w:rsidR="00EA4C52" w:rsidRPr="00C56257" w14:paraId="0279227E"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091C5A9E" w14:textId="77777777" w:rsidR="00EA4C52" w:rsidRPr="00D810D6" w:rsidRDefault="00EA4C52" w:rsidP="00EA4C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1FCD0AEF" w14:textId="77777777" w:rsidR="00EA4C52" w:rsidRPr="00F43752" w:rsidRDefault="00EA4C52"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0128</w:t>
            </w:r>
          </w:p>
        </w:tc>
        <w:tc>
          <w:tcPr>
            <w:tcW w:w="3969" w:type="dxa"/>
            <w:tcBorders>
              <w:top w:val="nil"/>
              <w:left w:val="nil"/>
              <w:bottom w:val="single" w:sz="8" w:space="0" w:color="000000"/>
              <w:right w:val="single" w:sz="8" w:space="0" w:color="000000"/>
            </w:tcBorders>
            <w:shd w:val="clear" w:color="auto" w:fill="auto"/>
            <w:vAlign w:val="bottom"/>
          </w:tcPr>
          <w:p w14:paraId="18294642" w14:textId="77777777" w:rsidR="00EA4C52" w:rsidRPr="00F43752" w:rsidRDefault="00EA4C52" w:rsidP="00EA4C52">
            <w:pPr>
              <w:jc w:val="both"/>
              <w:rPr>
                <w:color w:val="000000" w:themeColor="text1"/>
                <w:sz w:val="22"/>
                <w:szCs w:val="22"/>
                <w:lang w:eastAsia="ro-RO"/>
              </w:rPr>
            </w:pPr>
            <w:r w:rsidRPr="00F43752">
              <w:rPr>
                <w:color w:val="000000"/>
                <w:sz w:val="22"/>
                <w:szCs w:val="22"/>
              </w:rPr>
              <w:t>Nordul Gorjului de Est</w:t>
            </w:r>
          </w:p>
        </w:tc>
      </w:tr>
      <w:tr w:rsidR="00EA4C52" w:rsidRPr="00C56257" w14:paraId="2ABD561F"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7C2CE2B2" w14:textId="77777777" w:rsidR="00EA4C52" w:rsidRPr="00D810D6" w:rsidRDefault="00EA4C52" w:rsidP="00EA4C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6101C196" w14:textId="77777777" w:rsidR="00EA4C52" w:rsidRPr="00F43752" w:rsidRDefault="00EA4C52"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0129</w:t>
            </w:r>
          </w:p>
        </w:tc>
        <w:tc>
          <w:tcPr>
            <w:tcW w:w="3969" w:type="dxa"/>
            <w:tcBorders>
              <w:top w:val="nil"/>
              <w:left w:val="nil"/>
              <w:bottom w:val="single" w:sz="8" w:space="0" w:color="000000"/>
              <w:right w:val="single" w:sz="8" w:space="0" w:color="000000"/>
            </w:tcBorders>
            <w:shd w:val="clear" w:color="auto" w:fill="auto"/>
            <w:vAlign w:val="bottom"/>
          </w:tcPr>
          <w:p w14:paraId="1B6C747B" w14:textId="77777777" w:rsidR="00EA4C52" w:rsidRPr="00F43752" w:rsidRDefault="00EA4C52" w:rsidP="00EA4C52">
            <w:pPr>
              <w:jc w:val="both"/>
              <w:rPr>
                <w:color w:val="000000" w:themeColor="text1"/>
                <w:sz w:val="22"/>
                <w:szCs w:val="22"/>
                <w:lang w:eastAsia="ro-RO"/>
              </w:rPr>
            </w:pPr>
            <w:r w:rsidRPr="00F43752">
              <w:rPr>
                <w:color w:val="000000"/>
                <w:sz w:val="22"/>
                <w:szCs w:val="22"/>
              </w:rPr>
              <w:t>Nordul Gorjului de Vest</w:t>
            </w:r>
          </w:p>
        </w:tc>
      </w:tr>
      <w:tr w:rsidR="00EA4C52" w:rsidRPr="00C56257" w14:paraId="618846C4"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3C9DA905" w14:textId="77777777" w:rsidR="00EA4C52" w:rsidRPr="00D810D6" w:rsidRDefault="00EA4C52" w:rsidP="00EA4C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076A02C8" w14:textId="77777777" w:rsidR="00EA4C52" w:rsidRPr="00F43752" w:rsidRDefault="00EA4C52" w:rsidP="00EA4C52">
            <w:pPr>
              <w:jc w:val="both"/>
              <w:rPr>
                <w:color w:val="000000" w:themeColor="text1"/>
                <w:sz w:val="22"/>
                <w:szCs w:val="22"/>
                <w:lang w:eastAsia="ro-RO"/>
              </w:rPr>
            </w:pPr>
            <w:r w:rsidRPr="00F43752">
              <w:rPr>
                <w:color w:val="000000"/>
                <w:sz w:val="22"/>
                <w:szCs w:val="22"/>
              </w:rPr>
              <w:t>ROSCI0195</w:t>
            </w:r>
          </w:p>
        </w:tc>
        <w:tc>
          <w:tcPr>
            <w:tcW w:w="3969" w:type="dxa"/>
            <w:tcBorders>
              <w:top w:val="nil"/>
              <w:left w:val="nil"/>
              <w:bottom w:val="single" w:sz="8" w:space="0" w:color="000000"/>
              <w:right w:val="single" w:sz="8" w:space="0" w:color="000000"/>
            </w:tcBorders>
            <w:shd w:val="clear" w:color="auto" w:fill="auto"/>
            <w:vAlign w:val="bottom"/>
          </w:tcPr>
          <w:p w14:paraId="08F95D98" w14:textId="77777777" w:rsidR="00EA4C52" w:rsidRPr="00F43752" w:rsidRDefault="00EA4C52" w:rsidP="00EA4C52">
            <w:pPr>
              <w:jc w:val="both"/>
              <w:rPr>
                <w:color w:val="000000" w:themeColor="text1"/>
                <w:sz w:val="22"/>
                <w:szCs w:val="22"/>
                <w:lang w:eastAsia="ro-RO"/>
              </w:rPr>
            </w:pPr>
            <w:r w:rsidRPr="00F43752">
              <w:rPr>
                <w:color w:val="000000"/>
                <w:sz w:val="22"/>
                <w:szCs w:val="22"/>
              </w:rPr>
              <w:t>Piatra Mare</w:t>
            </w:r>
          </w:p>
        </w:tc>
      </w:tr>
      <w:tr w:rsidR="00EA4C52" w:rsidRPr="00C56257" w14:paraId="22D2AF26" w14:textId="77777777" w:rsidTr="00577613">
        <w:trPr>
          <w:trHeight w:val="324"/>
        </w:trPr>
        <w:tc>
          <w:tcPr>
            <w:tcW w:w="4229" w:type="dxa"/>
            <w:tcBorders>
              <w:top w:val="nil"/>
              <w:left w:val="single" w:sz="8" w:space="0" w:color="000000"/>
              <w:bottom w:val="nil"/>
              <w:right w:val="single" w:sz="8" w:space="0" w:color="000000"/>
            </w:tcBorders>
            <w:shd w:val="clear" w:color="auto" w:fill="auto"/>
            <w:vAlign w:val="center"/>
          </w:tcPr>
          <w:p w14:paraId="440FB009" w14:textId="77777777" w:rsidR="00EA4C52" w:rsidRPr="00D810D6" w:rsidRDefault="00EA4C52" w:rsidP="00EA4C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28E11327" w14:textId="77777777" w:rsidR="00EA4C52" w:rsidRPr="00F43752" w:rsidRDefault="00EA4C52" w:rsidP="001B29DE">
            <w:pPr>
              <w:jc w:val="both"/>
              <w:rPr>
                <w:color w:val="000000" w:themeColor="text1"/>
                <w:sz w:val="22"/>
                <w:szCs w:val="22"/>
                <w:lang w:eastAsia="ro-RO"/>
              </w:rPr>
            </w:pPr>
            <w:r w:rsidRPr="00F43752">
              <w:rPr>
                <w:color w:val="000000"/>
                <w:sz w:val="22"/>
                <w:szCs w:val="22"/>
              </w:rPr>
              <w:t>ROS</w:t>
            </w:r>
            <w:r w:rsidR="001B29DE">
              <w:rPr>
                <w:color w:val="000000"/>
                <w:sz w:val="22"/>
                <w:szCs w:val="22"/>
              </w:rPr>
              <w:t>AC</w:t>
            </w:r>
            <w:r w:rsidRPr="00F43752">
              <w:rPr>
                <w:color w:val="000000"/>
                <w:sz w:val="22"/>
                <w:szCs w:val="22"/>
              </w:rPr>
              <w:t>0208</w:t>
            </w:r>
          </w:p>
        </w:tc>
        <w:tc>
          <w:tcPr>
            <w:tcW w:w="3969" w:type="dxa"/>
            <w:tcBorders>
              <w:top w:val="nil"/>
              <w:left w:val="nil"/>
              <w:bottom w:val="single" w:sz="8" w:space="0" w:color="000000"/>
              <w:right w:val="single" w:sz="8" w:space="0" w:color="000000"/>
            </w:tcBorders>
            <w:shd w:val="clear" w:color="auto" w:fill="auto"/>
            <w:vAlign w:val="bottom"/>
          </w:tcPr>
          <w:p w14:paraId="5DA87663" w14:textId="77777777" w:rsidR="00EA4C52" w:rsidRPr="00F43752" w:rsidRDefault="00EA4C52" w:rsidP="00EA4C52">
            <w:pPr>
              <w:jc w:val="both"/>
              <w:rPr>
                <w:color w:val="000000" w:themeColor="text1"/>
                <w:sz w:val="22"/>
                <w:szCs w:val="22"/>
                <w:lang w:eastAsia="ro-RO"/>
              </w:rPr>
            </w:pPr>
            <w:r w:rsidRPr="00F43752">
              <w:rPr>
                <w:color w:val="000000"/>
                <w:sz w:val="22"/>
                <w:szCs w:val="22"/>
              </w:rPr>
              <w:t>Putna - Vrancea</w:t>
            </w:r>
          </w:p>
        </w:tc>
      </w:tr>
      <w:tr w:rsidR="00EA4C52" w:rsidRPr="00C56257" w14:paraId="3B9E5515" w14:textId="77777777" w:rsidTr="009D07AE">
        <w:trPr>
          <w:trHeight w:val="264"/>
        </w:trPr>
        <w:tc>
          <w:tcPr>
            <w:tcW w:w="4229" w:type="dxa"/>
            <w:tcBorders>
              <w:top w:val="nil"/>
              <w:left w:val="single" w:sz="8" w:space="0" w:color="000000"/>
              <w:bottom w:val="nil"/>
              <w:right w:val="single" w:sz="8" w:space="0" w:color="000000"/>
            </w:tcBorders>
            <w:shd w:val="clear" w:color="auto" w:fill="auto"/>
            <w:vAlign w:val="center"/>
          </w:tcPr>
          <w:p w14:paraId="07960FF6" w14:textId="77777777" w:rsidR="00EA4C52" w:rsidRPr="00D810D6" w:rsidRDefault="00EA4C52" w:rsidP="00EA4C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22EF0AF7" w14:textId="77777777" w:rsidR="00EA4C52" w:rsidRPr="00F43752" w:rsidRDefault="00EA4C52" w:rsidP="00607A2B">
            <w:pPr>
              <w:rPr>
                <w:color w:val="000000" w:themeColor="text1"/>
                <w:sz w:val="22"/>
                <w:szCs w:val="22"/>
                <w:lang w:eastAsia="ro-RO"/>
              </w:rPr>
            </w:pPr>
            <w:r w:rsidRPr="00F43752">
              <w:rPr>
                <w:color w:val="000000"/>
                <w:sz w:val="22"/>
                <w:szCs w:val="22"/>
              </w:rPr>
              <w:t>ROS</w:t>
            </w:r>
            <w:r w:rsidR="00607A2B">
              <w:rPr>
                <w:color w:val="000000"/>
                <w:sz w:val="22"/>
                <w:szCs w:val="22"/>
              </w:rPr>
              <w:t>AC</w:t>
            </w:r>
            <w:r w:rsidRPr="00F43752">
              <w:rPr>
                <w:color w:val="000000"/>
                <w:sz w:val="22"/>
                <w:szCs w:val="22"/>
              </w:rPr>
              <w:t>0212</w:t>
            </w:r>
          </w:p>
        </w:tc>
        <w:tc>
          <w:tcPr>
            <w:tcW w:w="3969" w:type="dxa"/>
            <w:tcBorders>
              <w:top w:val="nil"/>
              <w:left w:val="nil"/>
              <w:bottom w:val="single" w:sz="8" w:space="0" w:color="000000"/>
              <w:right w:val="single" w:sz="8" w:space="0" w:color="000000"/>
            </w:tcBorders>
            <w:shd w:val="clear" w:color="auto" w:fill="auto"/>
          </w:tcPr>
          <w:p w14:paraId="47845ADB" w14:textId="77777777" w:rsidR="00EA4C52" w:rsidRPr="00F43752" w:rsidRDefault="00EA4C52" w:rsidP="009D07AE">
            <w:pPr>
              <w:rPr>
                <w:color w:val="000000" w:themeColor="text1"/>
                <w:sz w:val="22"/>
                <w:szCs w:val="22"/>
                <w:lang w:eastAsia="ro-RO"/>
              </w:rPr>
            </w:pPr>
            <w:r w:rsidRPr="00F43752">
              <w:rPr>
                <w:color w:val="000000"/>
                <w:sz w:val="22"/>
                <w:szCs w:val="22"/>
              </w:rPr>
              <w:t>Rarău - Giumalău</w:t>
            </w:r>
          </w:p>
        </w:tc>
      </w:tr>
      <w:tr w:rsidR="00EA4C52" w:rsidRPr="00C56257" w14:paraId="14353717"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4432D215" w14:textId="77777777" w:rsidR="00EA4C52" w:rsidRPr="00D810D6" w:rsidRDefault="00EA4C52" w:rsidP="00EA4C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6CB24618" w14:textId="77777777" w:rsidR="00EA4C52" w:rsidRPr="00F43752" w:rsidRDefault="00EA4C52" w:rsidP="009D07AE">
            <w:pPr>
              <w:rPr>
                <w:color w:val="000000" w:themeColor="text1"/>
                <w:sz w:val="22"/>
                <w:szCs w:val="22"/>
                <w:lang w:eastAsia="ro-RO"/>
              </w:rPr>
            </w:pPr>
            <w:r w:rsidRPr="00F43752">
              <w:rPr>
                <w:color w:val="000000"/>
                <w:sz w:val="22"/>
                <w:szCs w:val="22"/>
              </w:rPr>
              <w:t>ROSCI0217</w:t>
            </w:r>
          </w:p>
        </w:tc>
        <w:tc>
          <w:tcPr>
            <w:tcW w:w="3969" w:type="dxa"/>
            <w:tcBorders>
              <w:top w:val="nil"/>
              <w:left w:val="nil"/>
              <w:bottom w:val="single" w:sz="8" w:space="0" w:color="000000"/>
              <w:right w:val="single" w:sz="8" w:space="0" w:color="000000"/>
            </w:tcBorders>
            <w:shd w:val="clear" w:color="auto" w:fill="auto"/>
          </w:tcPr>
          <w:p w14:paraId="0E37F817" w14:textId="77777777" w:rsidR="00EA4C52" w:rsidRPr="00F43752" w:rsidRDefault="00EA4C52" w:rsidP="009D07AE">
            <w:pPr>
              <w:rPr>
                <w:color w:val="000000" w:themeColor="text1"/>
                <w:sz w:val="22"/>
                <w:szCs w:val="22"/>
                <w:lang w:eastAsia="ro-RO"/>
              </w:rPr>
            </w:pPr>
            <w:r w:rsidRPr="00F43752">
              <w:rPr>
                <w:color w:val="000000"/>
                <w:sz w:val="22"/>
                <w:szCs w:val="22"/>
              </w:rPr>
              <w:t>Retezat</w:t>
            </w:r>
          </w:p>
        </w:tc>
      </w:tr>
      <w:tr w:rsidR="00EA4C52" w:rsidRPr="00C56257" w14:paraId="5440C562"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588F31B0" w14:textId="77777777" w:rsidR="00EA4C52" w:rsidRPr="00D810D6" w:rsidRDefault="00EA4C52" w:rsidP="00EA4C52">
            <w:pPr>
              <w:jc w:val="both"/>
              <w:rPr>
                <w:color w:val="000000" w:themeColor="text1"/>
                <w:lang w:eastAsia="ro-RO"/>
              </w:rPr>
            </w:pPr>
            <w:r w:rsidRPr="00D810D6">
              <w:rPr>
                <w:color w:val="000000" w:themeColor="text1"/>
                <w:lang w:eastAsia="ro-RO"/>
              </w:rPr>
              <w:lastRenderedPageBreak/>
              <w:t> </w:t>
            </w:r>
          </w:p>
        </w:tc>
        <w:tc>
          <w:tcPr>
            <w:tcW w:w="1701" w:type="dxa"/>
            <w:tcBorders>
              <w:top w:val="nil"/>
              <w:left w:val="nil"/>
              <w:bottom w:val="single" w:sz="8" w:space="0" w:color="000000"/>
              <w:right w:val="single" w:sz="8" w:space="0" w:color="000000"/>
            </w:tcBorders>
            <w:shd w:val="clear" w:color="auto" w:fill="auto"/>
          </w:tcPr>
          <w:p w14:paraId="08721FF5" w14:textId="77777777" w:rsidR="00EA4C52" w:rsidRPr="00F43752" w:rsidRDefault="00EA4C52" w:rsidP="009D07AE">
            <w:pPr>
              <w:rPr>
                <w:color w:val="000000" w:themeColor="text1"/>
                <w:sz w:val="22"/>
                <w:szCs w:val="22"/>
                <w:lang w:eastAsia="ro-RO"/>
              </w:rPr>
            </w:pPr>
            <w:r w:rsidRPr="00F43752">
              <w:rPr>
                <w:color w:val="000000"/>
                <w:sz w:val="22"/>
                <w:szCs w:val="22"/>
              </w:rPr>
              <w:t>ROSCI0226</w:t>
            </w:r>
          </w:p>
        </w:tc>
        <w:tc>
          <w:tcPr>
            <w:tcW w:w="3969" w:type="dxa"/>
            <w:tcBorders>
              <w:top w:val="nil"/>
              <w:left w:val="nil"/>
              <w:bottom w:val="single" w:sz="8" w:space="0" w:color="000000"/>
              <w:right w:val="single" w:sz="8" w:space="0" w:color="000000"/>
            </w:tcBorders>
            <w:shd w:val="clear" w:color="auto" w:fill="auto"/>
          </w:tcPr>
          <w:p w14:paraId="1D40A684" w14:textId="77777777" w:rsidR="00EA4C52" w:rsidRPr="00F43752" w:rsidRDefault="00EA4C52" w:rsidP="009D07AE">
            <w:pPr>
              <w:rPr>
                <w:color w:val="000000" w:themeColor="text1"/>
                <w:sz w:val="22"/>
                <w:szCs w:val="22"/>
                <w:lang w:eastAsia="ro-RO"/>
              </w:rPr>
            </w:pPr>
            <w:r w:rsidRPr="00F43752">
              <w:rPr>
                <w:color w:val="000000"/>
                <w:sz w:val="22"/>
                <w:szCs w:val="22"/>
              </w:rPr>
              <w:t>Semenic - Cheile Carașului</w:t>
            </w:r>
          </w:p>
        </w:tc>
      </w:tr>
      <w:tr w:rsidR="00EA4C52" w:rsidRPr="00C56257" w14:paraId="491695BA"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53E1199E" w14:textId="77777777" w:rsidR="00EA4C52" w:rsidRPr="00D810D6" w:rsidRDefault="00EA4C52" w:rsidP="00EA4C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7DA09424" w14:textId="77777777" w:rsidR="00EA4C52" w:rsidRPr="00F43752" w:rsidRDefault="00EA4C52" w:rsidP="00607A2B">
            <w:pPr>
              <w:rPr>
                <w:color w:val="000000" w:themeColor="text1"/>
                <w:sz w:val="22"/>
                <w:szCs w:val="22"/>
                <w:lang w:eastAsia="ro-RO"/>
              </w:rPr>
            </w:pPr>
            <w:r w:rsidRPr="00F43752">
              <w:rPr>
                <w:color w:val="000000"/>
                <w:sz w:val="22"/>
                <w:szCs w:val="22"/>
              </w:rPr>
              <w:t>ROS</w:t>
            </w:r>
            <w:r w:rsidR="00607A2B">
              <w:rPr>
                <w:color w:val="000000"/>
                <w:sz w:val="22"/>
                <w:szCs w:val="22"/>
              </w:rPr>
              <w:t>AC</w:t>
            </w:r>
            <w:r w:rsidRPr="00F43752">
              <w:rPr>
                <w:color w:val="000000"/>
                <w:sz w:val="22"/>
                <w:szCs w:val="22"/>
              </w:rPr>
              <w:t>0239</w:t>
            </w:r>
          </w:p>
        </w:tc>
        <w:tc>
          <w:tcPr>
            <w:tcW w:w="3969" w:type="dxa"/>
            <w:tcBorders>
              <w:top w:val="nil"/>
              <w:left w:val="nil"/>
              <w:bottom w:val="single" w:sz="8" w:space="0" w:color="000000"/>
              <w:right w:val="single" w:sz="8" w:space="0" w:color="000000"/>
            </w:tcBorders>
            <w:shd w:val="clear" w:color="auto" w:fill="auto"/>
          </w:tcPr>
          <w:p w14:paraId="14602FCD" w14:textId="77777777" w:rsidR="00EA4C52" w:rsidRPr="00F43752" w:rsidRDefault="00EA4C52" w:rsidP="009D07AE">
            <w:pPr>
              <w:rPr>
                <w:color w:val="000000" w:themeColor="text1"/>
                <w:sz w:val="22"/>
                <w:szCs w:val="22"/>
                <w:lang w:eastAsia="ro-RO"/>
              </w:rPr>
            </w:pPr>
            <w:r w:rsidRPr="00F43752">
              <w:rPr>
                <w:color w:val="000000"/>
                <w:sz w:val="22"/>
                <w:szCs w:val="22"/>
              </w:rPr>
              <w:t>Târnovu Mare - Latorița</w:t>
            </w:r>
          </w:p>
        </w:tc>
      </w:tr>
      <w:tr w:rsidR="00EA4C52" w:rsidRPr="00C56257" w14:paraId="57A58F43" w14:textId="77777777" w:rsidTr="00577613">
        <w:trPr>
          <w:trHeight w:val="300"/>
        </w:trPr>
        <w:tc>
          <w:tcPr>
            <w:tcW w:w="4229" w:type="dxa"/>
            <w:tcBorders>
              <w:top w:val="nil"/>
              <w:left w:val="single" w:sz="8" w:space="0" w:color="000000"/>
              <w:bottom w:val="single" w:sz="8" w:space="0" w:color="000000"/>
              <w:right w:val="single" w:sz="8" w:space="0" w:color="000000"/>
            </w:tcBorders>
            <w:shd w:val="clear" w:color="auto" w:fill="auto"/>
          </w:tcPr>
          <w:p w14:paraId="027ADAA3" w14:textId="77777777" w:rsidR="00EA4C52" w:rsidRPr="00D810D6" w:rsidRDefault="00EA4C52" w:rsidP="00EA4C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vAlign w:val="bottom"/>
          </w:tcPr>
          <w:p w14:paraId="3E225F6E" w14:textId="77777777" w:rsidR="00EA4C52" w:rsidRPr="00F43752" w:rsidRDefault="00EA4C52" w:rsidP="00607A2B">
            <w:pPr>
              <w:jc w:val="both"/>
              <w:rPr>
                <w:color w:val="000000" w:themeColor="text1"/>
                <w:sz w:val="22"/>
                <w:szCs w:val="22"/>
                <w:lang w:eastAsia="ro-RO"/>
              </w:rPr>
            </w:pPr>
            <w:r w:rsidRPr="00F43752">
              <w:rPr>
                <w:color w:val="000000"/>
                <w:sz w:val="22"/>
                <w:szCs w:val="22"/>
              </w:rPr>
              <w:t>ROS</w:t>
            </w:r>
            <w:r w:rsidR="00607A2B">
              <w:rPr>
                <w:color w:val="000000"/>
                <w:sz w:val="22"/>
                <w:szCs w:val="22"/>
              </w:rPr>
              <w:t>AC</w:t>
            </w:r>
            <w:r w:rsidRPr="00F43752">
              <w:rPr>
                <w:color w:val="000000"/>
                <w:sz w:val="22"/>
                <w:szCs w:val="22"/>
              </w:rPr>
              <w:t>0270</w:t>
            </w:r>
          </w:p>
        </w:tc>
        <w:tc>
          <w:tcPr>
            <w:tcW w:w="3969" w:type="dxa"/>
            <w:tcBorders>
              <w:top w:val="nil"/>
              <w:left w:val="nil"/>
              <w:bottom w:val="single" w:sz="8" w:space="0" w:color="000000"/>
              <w:right w:val="single" w:sz="8" w:space="0" w:color="000000"/>
            </w:tcBorders>
            <w:shd w:val="clear" w:color="auto" w:fill="auto"/>
            <w:vAlign w:val="bottom"/>
          </w:tcPr>
          <w:p w14:paraId="47B3CBFD" w14:textId="77777777" w:rsidR="00EA4C52" w:rsidRPr="00F43752" w:rsidRDefault="00EA4C52" w:rsidP="00EA4C52">
            <w:pPr>
              <w:jc w:val="both"/>
              <w:rPr>
                <w:color w:val="000000" w:themeColor="text1"/>
                <w:sz w:val="22"/>
                <w:szCs w:val="22"/>
                <w:lang w:eastAsia="ro-RO"/>
              </w:rPr>
            </w:pPr>
            <w:r w:rsidRPr="00F43752">
              <w:rPr>
                <w:color w:val="000000"/>
                <w:sz w:val="22"/>
                <w:szCs w:val="22"/>
              </w:rPr>
              <w:t>Vânători-Neamț</w:t>
            </w:r>
          </w:p>
        </w:tc>
      </w:tr>
      <w:tr w:rsidR="009D07AE" w:rsidRPr="00C56257" w14:paraId="50FBCC12" w14:textId="77777777" w:rsidTr="009D07AE">
        <w:trPr>
          <w:trHeight w:val="324"/>
        </w:trPr>
        <w:tc>
          <w:tcPr>
            <w:tcW w:w="4229" w:type="dxa"/>
            <w:vMerge w:val="restart"/>
            <w:tcBorders>
              <w:top w:val="nil"/>
              <w:left w:val="single" w:sz="8" w:space="0" w:color="000000"/>
              <w:right w:val="single" w:sz="8" w:space="0" w:color="000000"/>
            </w:tcBorders>
            <w:shd w:val="clear" w:color="auto" w:fill="auto"/>
            <w:vAlign w:val="center"/>
          </w:tcPr>
          <w:p w14:paraId="0575DBD4" w14:textId="77777777" w:rsidR="009D07AE" w:rsidRPr="00D810D6" w:rsidRDefault="009D07AE" w:rsidP="009D07AE">
            <w:pPr>
              <w:jc w:val="both"/>
              <w:rPr>
                <w:color w:val="000000" w:themeColor="text1"/>
                <w:lang w:eastAsia="ro-RO"/>
              </w:rPr>
            </w:pPr>
            <w:r w:rsidRPr="00D810D6">
              <w:rPr>
                <w:color w:val="000000" w:themeColor="text1"/>
                <w:lang w:eastAsia="ro-RO"/>
              </w:rPr>
              <w:t xml:space="preserve"> 3260 - Cursuri de apă din zona de câmpie până în etajul montan, cu vegetaţie din </w:t>
            </w:r>
            <w:r w:rsidRPr="009D07AE">
              <w:rPr>
                <w:i/>
                <w:color w:val="000000" w:themeColor="text1"/>
                <w:lang w:eastAsia="ro-RO"/>
              </w:rPr>
              <w:t>Ranunculion fluitantis</w:t>
            </w:r>
            <w:r w:rsidRPr="00D810D6">
              <w:rPr>
                <w:color w:val="000000" w:themeColor="text1"/>
                <w:lang w:eastAsia="ro-RO"/>
              </w:rPr>
              <w:t xml:space="preserve"> şi </w:t>
            </w:r>
            <w:r w:rsidRPr="009D07AE">
              <w:rPr>
                <w:i/>
                <w:color w:val="000000" w:themeColor="text1"/>
                <w:lang w:eastAsia="ro-RO"/>
              </w:rPr>
              <w:t>Callitricho- Batrachion</w:t>
            </w: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157F095E" w14:textId="77777777" w:rsidR="009D07AE" w:rsidRPr="00F43752" w:rsidRDefault="009D07AE" w:rsidP="009D07AE">
            <w:pPr>
              <w:rPr>
                <w:color w:val="000000" w:themeColor="text1"/>
                <w:sz w:val="22"/>
                <w:szCs w:val="22"/>
                <w:lang w:eastAsia="ro-RO"/>
              </w:rPr>
            </w:pPr>
            <w:r w:rsidRPr="00F43752">
              <w:rPr>
                <w:color w:val="000000"/>
                <w:sz w:val="22"/>
                <w:szCs w:val="22"/>
              </w:rPr>
              <w:t>ROSCI0002</w:t>
            </w:r>
          </w:p>
        </w:tc>
        <w:tc>
          <w:tcPr>
            <w:tcW w:w="3969" w:type="dxa"/>
            <w:tcBorders>
              <w:top w:val="nil"/>
              <w:left w:val="nil"/>
              <w:bottom w:val="single" w:sz="8" w:space="0" w:color="000000"/>
              <w:right w:val="single" w:sz="8" w:space="0" w:color="000000"/>
            </w:tcBorders>
            <w:shd w:val="clear" w:color="auto" w:fill="auto"/>
          </w:tcPr>
          <w:p w14:paraId="45971B36" w14:textId="77777777" w:rsidR="009D07AE" w:rsidRPr="00F43752" w:rsidRDefault="009D07AE" w:rsidP="009D07AE">
            <w:pPr>
              <w:rPr>
                <w:color w:val="000000" w:themeColor="text1"/>
                <w:sz w:val="22"/>
                <w:szCs w:val="22"/>
                <w:lang w:eastAsia="ro-RO"/>
              </w:rPr>
            </w:pPr>
            <w:r w:rsidRPr="00F43752">
              <w:rPr>
                <w:color w:val="000000"/>
                <w:sz w:val="22"/>
                <w:szCs w:val="22"/>
              </w:rPr>
              <w:t>Apuseni</w:t>
            </w:r>
          </w:p>
        </w:tc>
      </w:tr>
      <w:tr w:rsidR="009D07AE" w:rsidRPr="00C56257" w14:paraId="4CCDE77C" w14:textId="77777777" w:rsidTr="009D07AE">
        <w:trPr>
          <w:trHeight w:val="324"/>
        </w:trPr>
        <w:tc>
          <w:tcPr>
            <w:tcW w:w="4229" w:type="dxa"/>
            <w:vMerge/>
            <w:tcBorders>
              <w:left w:val="single" w:sz="8" w:space="0" w:color="000000"/>
              <w:right w:val="single" w:sz="8" w:space="0" w:color="000000"/>
            </w:tcBorders>
            <w:shd w:val="clear" w:color="auto" w:fill="auto"/>
            <w:vAlign w:val="center"/>
          </w:tcPr>
          <w:p w14:paraId="66D0A621" w14:textId="77777777" w:rsidR="009D07AE" w:rsidRPr="00D810D6" w:rsidRDefault="009D07AE" w:rsidP="00F3113E">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6D8226CA" w14:textId="77777777" w:rsidR="009D07AE" w:rsidRPr="00F43752" w:rsidRDefault="009D07AE"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0007</w:t>
            </w:r>
          </w:p>
        </w:tc>
        <w:tc>
          <w:tcPr>
            <w:tcW w:w="3969" w:type="dxa"/>
            <w:tcBorders>
              <w:top w:val="nil"/>
              <w:left w:val="nil"/>
              <w:bottom w:val="single" w:sz="8" w:space="0" w:color="000000"/>
              <w:right w:val="single" w:sz="8" w:space="0" w:color="000000"/>
            </w:tcBorders>
            <w:shd w:val="clear" w:color="auto" w:fill="auto"/>
          </w:tcPr>
          <w:p w14:paraId="3516F551" w14:textId="77777777" w:rsidR="009D07AE" w:rsidRPr="00F43752" w:rsidRDefault="009D07AE" w:rsidP="009D07AE">
            <w:pPr>
              <w:rPr>
                <w:color w:val="000000" w:themeColor="text1"/>
                <w:sz w:val="22"/>
                <w:szCs w:val="22"/>
                <w:lang w:eastAsia="ro-RO"/>
              </w:rPr>
            </w:pPr>
            <w:r w:rsidRPr="00F43752">
              <w:rPr>
                <w:color w:val="000000"/>
                <w:sz w:val="22"/>
                <w:szCs w:val="22"/>
              </w:rPr>
              <w:t>Bazinul Ciucului de Jos</w:t>
            </w:r>
          </w:p>
        </w:tc>
      </w:tr>
      <w:tr w:rsidR="009D07AE" w:rsidRPr="00C56257" w14:paraId="214E800A" w14:textId="77777777" w:rsidTr="009D07AE">
        <w:trPr>
          <w:trHeight w:val="324"/>
        </w:trPr>
        <w:tc>
          <w:tcPr>
            <w:tcW w:w="4229" w:type="dxa"/>
            <w:vMerge/>
            <w:tcBorders>
              <w:left w:val="single" w:sz="8" w:space="0" w:color="000000"/>
              <w:bottom w:val="nil"/>
              <w:right w:val="single" w:sz="8" w:space="0" w:color="000000"/>
            </w:tcBorders>
            <w:shd w:val="clear" w:color="auto" w:fill="auto"/>
            <w:vAlign w:val="center"/>
          </w:tcPr>
          <w:p w14:paraId="12366FB1" w14:textId="77777777" w:rsidR="009D07AE" w:rsidRPr="00D810D6" w:rsidRDefault="009D07AE" w:rsidP="00F3113E">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4D67A581" w14:textId="77777777" w:rsidR="009D07AE" w:rsidRPr="00F43752" w:rsidRDefault="009D07AE" w:rsidP="009D07AE">
            <w:pPr>
              <w:rPr>
                <w:color w:val="000000" w:themeColor="text1"/>
                <w:sz w:val="22"/>
                <w:szCs w:val="22"/>
                <w:lang w:eastAsia="ro-RO"/>
              </w:rPr>
            </w:pPr>
            <w:r w:rsidRPr="00F43752">
              <w:rPr>
                <w:color w:val="000000"/>
                <w:sz w:val="22"/>
                <w:szCs w:val="22"/>
              </w:rPr>
              <w:t>ROSCI0019</w:t>
            </w:r>
          </w:p>
        </w:tc>
        <w:tc>
          <w:tcPr>
            <w:tcW w:w="3969" w:type="dxa"/>
            <w:tcBorders>
              <w:top w:val="nil"/>
              <w:left w:val="nil"/>
              <w:bottom w:val="single" w:sz="8" w:space="0" w:color="000000"/>
              <w:right w:val="single" w:sz="8" w:space="0" w:color="000000"/>
            </w:tcBorders>
            <w:shd w:val="clear" w:color="auto" w:fill="auto"/>
          </w:tcPr>
          <w:p w14:paraId="1C45154A" w14:textId="77777777" w:rsidR="009D07AE" w:rsidRPr="00F43752" w:rsidRDefault="009D07AE" w:rsidP="009D07AE">
            <w:pPr>
              <w:rPr>
                <w:color w:val="000000" w:themeColor="text1"/>
                <w:sz w:val="22"/>
                <w:szCs w:val="22"/>
                <w:lang w:eastAsia="ro-RO"/>
              </w:rPr>
            </w:pPr>
            <w:r w:rsidRPr="00F43752">
              <w:rPr>
                <w:color w:val="000000"/>
                <w:sz w:val="22"/>
                <w:szCs w:val="22"/>
              </w:rPr>
              <w:t>Călimani - Gurghiu</w:t>
            </w:r>
          </w:p>
        </w:tc>
      </w:tr>
      <w:tr w:rsidR="00F3113E" w:rsidRPr="00C56257" w14:paraId="3D742AA7" w14:textId="77777777" w:rsidTr="009D07AE">
        <w:trPr>
          <w:trHeight w:val="324"/>
        </w:trPr>
        <w:tc>
          <w:tcPr>
            <w:tcW w:w="4229" w:type="dxa"/>
            <w:tcBorders>
              <w:top w:val="nil"/>
              <w:left w:val="single" w:sz="8" w:space="0" w:color="000000"/>
              <w:bottom w:val="nil"/>
              <w:right w:val="single" w:sz="8" w:space="0" w:color="000000"/>
            </w:tcBorders>
            <w:shd w:val="clear" w:color="auto" w:fill="auto"/>
            <w:vAlign w:val="center"/>
          </w:tcPr>
          <w:p w14:paraId="5B92D666" w14:textId="77777777" w:rsidR="00F3113E" w:rsidRPr="00D810D6" w:rsidRDefault="00F3113E" w:rsidP="00F3113E">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2B37EDEF" w14:textId="77777777" w:rsidR="00F3113E" w:rsidRPr="00F43752" w:rsidRDefault="00F3113E" w:rsidP="009D07AE">
            <w:pPr>
              <w:rPr>
                <w:color w:val="000000" w:themeColor="text1"/>
                <w:sz w:val="22"/>
                <w:szCs w:val="22"/>
                <w:lang w:eastAsia="ro-RO"/>
              </w:rPr>
            </w:pPr>
            <w:r w:rsidRPr="00F43752">
              <w:rPr>
                <w:color w:val="000000"/>
                <w:sz w:val="22"/>
                <w:szCs w:val="22"/>
              </w:rPr>
              <w:t>ROSCI0020</w:t>
            </w:r>
          </w:p>
        </w:tc>
        <w:tc>
          <w:tcPr>
            <w:tcW w:w="3969" w:type="dxa"/>
            <w:tcBorders>
              <w:top w:val="nil"/>
              <w:left w:val="nil"/>
              <w:bottom w:val="single" w:sz="8" w:space="0" w:color="000000"/>
              <w:right w:val="single" w:sz="8" w:space="0" w:color="000000"/>
            </w:tcBorders>
            <w:shd w:val="clear" w:color="auto" w:fill="auto"/>
          </w:tcPr>
          <w:p w14:paraId="1BAFAC5D" w14:textId="77777777" w:rsidR="00F3113E" w:rsidRPr="00F43752" w:rsidRDefault="00F3113E" w:rsidP="009D07AE">
            <w:pPr>
              <w:rPr>
                <w:color w:val="000000" w:themeColor="text1"/>
                <w:sz w:val="22"/>
                <w:szCs w:val="22"/>
                <w:lang w:eastAsia="ro-RO"/>
              </w:rPr>
            </w:pPr>
            <w:r w:rsidRPr="00F43752">
              <w:rPr>
                <w:color w:val="000000"/>
                <w:sz w:val="22"/>
                <w:szCs w:val="22"/>
              </w:rPr>
              <w:t>Câmpia Careiului</w:t>
            </w:r>
          </w:p>
        </w:tc>
      </w:tr>
      <w:tr w:rsidR="00F3113E" w:rsidRPr="00C56257" w14:paraId="4615A97C" w14:textId="77777777" w:rsidTr="009D07AE">
        <w:trPr>
          <w:trHeight w:val="324"/>
        </w:trPr>
        <w:tc>
          <w:tcPr>
            <w:tcW w:w="4229" w:type="dxa"/>
            <w:tcBorders>
              <w:top w:val="nil"/>
              <w:left w:val="single" w:sz="8" w:space="0" w:color="000000"/>
              <w:bottom w:val="nil"/>
              <w:right w:val="single" w:sz="8" w:space="0" w:color="000000"/>
            </w:tcBorders>
            <w:shd w:val="clear" w:color="auto" w:fill="auto"/>
            <w:vAlign w:val="center"/>
          </w:tcPr>
          <w:p w14:paraId="2C950B5B" w14:textId="77777777" w:rsidR="00F3113E" w:rsidRPr="00D810D6" w:rsidRDefault="00F3113E" w:rsidP="00F3113E">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6CE16EDC" w14:textId="77777777" w:rsidR="00F3113E" w:rsidRPr="00F43752" w:rsidRDefault="00F3113E" w:rsidP="009D07AE">
            <w:pPr>
              <w:rPr>
                <w:color w:val="000000" w:themeColor="text1"/>
                <w:sz w:val="22"/>
                <w:szCs w:val="22"/>
                <w:lang w:eastAsia="ro-RO"/>
              </w:rPr>
            </w:pPr>
            <w:r w:rsidRPr="00F43752">
              <w:rPr>
                <w:color w:val="000000"/>
                <w:sz w:val="22"/>
                <w:szCs w:val="22"/>
              </w:rPr>
              <w:t>ROSCI0021</w:t>
            </w:r>
          </w:p>
        </w:tc>
        <w:tc>
          <w:tcPr>
            <w:tcW w:w="3969" w:type="dxa"/>
            <w:tcBorders>
              <w:top w:val="nil"/>
              <w:left w:val="nil"/>
              <w:bottom w:val="single" w:sz="8" w:space="0" w:color="000000"/>
              <w:right w:val="single" w:sz="8" w:space="0" w:color="000000"/>
            </w:tcBorders>
            <w:shd w:val="clear" w:color="auto" w:fill="auto"/>
          </w:tcPr>
          <w:p w14:paraId="1F66CEBB" w14:textId="77777777" w:rsidR="00F3113E" w:rsidRPr="00F43752" w:rsidRDefault="00F3113E" w:rsidP="009D07AE">
            <w:pPr>
              <w:rPr>
                <w:color w:val="000000" w:themeColor="text1"/>
                <w:sz w:val="22"/>
                <w:szCs w:val="22"/>
                <w:lang w:eastAsia="ro-RO"/>
              </w:rPr>
            </w:pPr>
            <w:r w:rsidRPr="00F43752">
              <w:rPr>
                <w:color w:val="000000"/>
                <w:sz w:val="22"/>
                <w:szCs w:val="22"/>
              </w:rPr>
              <w:t>Câmpia Ierului</w:t>
            </w:r>
          </w:p>
        </w:tc>
      </w:tr>
      <w:tr w:rsidR="00F3113E" w:rsidRPr="00C56257" w14:paraId="00E666D6" w14:textId="77777777" w:rsidTr="009D07AE">
        <w:trPr>
          <w:trHeight w:val="324"/>
        </w:trPr>
        <w:tc>
          <w:tcPr>
            <w:tcW w:w="4229" w:type="dxa"/>
            <w:tcBorders>
              <w:top w:val="nil"/>
              <w:left w:val="single" w:sz="8" w:space="0" w:color="000000"/>
              <w:bottom w:val="nil"/>
              <w:right w:val="single" w:sz="8" w:space="0" w:color="000000"/>
            </w:tcBorders>
            <w:shd w:val="clear" w:color="auto" w:fill="auto"/>
            <w:vAlign w:val="center"/>
          </w:tcPr>
          <w:p w14:paraId="4813D3D0" w14:textId="77777777" w:rsidR="00F3113E" w:rsidRPr="00D810D6" w:rsidRDefault="00F3113E" w:rsidP="00F3113E">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3BB19D44" w14:textId="77777777" w:rsidR="00F3113E" w:rsidRPr="00F43752" w:rsidRDefault="00F3113E"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0027</w:t>
            </w:r>
          </w:p>
        </w:tc>
        <w:tc>
          <w:tcPr>
            <w:tcW w:w="3969" w:type="dxa"/>
            <w:tcBorders>
              <w:top w:val="nil"/>
              <w:left w:val="nil"/>
              <w:bottom w:val="single" w:sz="8" w:space="0" w:color="000000"/>
              <w:right w:val="single" w:sz="8" w:space="0" w:color="000000"/>
            </w:tcBorders>
            <w:shd w:val="clear" w:color="auto" w:fill="auto"/>
          </w:tcPr>
          <w:p w14:paraId="27EB1737" w14:textId="77777777" w:rsidR="00F3113E" w:rsidRPr="00F43752" w:rsidRDefault="00F3113E" w:rsidP="009D07AE">
            <w:pPr>
              <w:rPr>
                <w:color w:val="000000" w:themeColor="text1"/>
                <w:sz w:val="22"/>
                <w:szCs w:val="22"/>
                <w:lang w:eastAsia="ro-RO"/>
              </w:rPr>
            </w:pPr>
            <w:r w:rsidRPr="00F43752">
              <w:rPr>
                <w:color w:val="000000"/>
                <w:sz w:val="22"/>
                <w:szCs w:val="22"/>
              </w:rPr>
              <w:t>Cheile Bicazului - Hășmaș</w:t>
            </w:r>
          </w:p>
        </w:tc>
      </w:tr>
      <w:tr w:rsidR="00F3113E" w:rsidRPr="00C56257" w14:paraId="651D2B40" w14:textId="77777777" w:rsidTr="009D07AE">
        <w:trPr>
          <w:trHeight w:val="324"/>
        </w:trPr>
        <w:tc>
          <w:tcPr>
            <w:tcW w:w="4229" w:type="dxa"/>
            <w:tcBorders>
              <w:top w:val="nil"/>
              <w:left w:val="single" w:sz="8" w:space="0" w:color="000000"/>
              <w:bottom w:val="nil"/>
              <w:right w:val="single" w:sz="8" w:space="0" w:color="000000"/>
            </w:tcBorders>
            <w:shd w:val="clear" w:color="auto" w:fill="auto"/>
            <w:vAlign w:val="center"/>
          </w:tcPr>
          <w:p w14:paraId="2203C8A8" w14:textId="77777777" w:rsidR="00F3113E" w:rsidRPr="00D810D6" w:rsidRDefault="00F3113E" w:rsidP="00F3113E">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06358F41" w14:textId="77777777" w:rsidR="00F3113E" w:rsidRPr="00F43752" w:rsidRDefault="00F3113E" w:rsidP="009D07AE">
            <w:pPr>
              <w:rPr>
                <w:color w:val="000000" w:themeColor="text1"/>
                <w:sz w:val="22"/>
                <w:szCs w:val="22"/>
                <w:lang w:eastAsia="ro-RO"/>
              </w:rPr>
            </w:pPr>
            <w:r w:rsidRPr="00F43752">
              <w:rPr>
                <w:color w:val="000000"/>
                <w:sz w:val="22"/>
                <w:szCs w:val="22"/>
              </w:rPr>
              <w:t>ROSCI0030</w:t>
            </w:r>
          </w:p>
        </w:tc>
        <w:tc>
          <w:tcPr>
            <w:tcW w:w="3969" w:type="dxa"/>
            <w:tcBorders>
              <w:top w:val="nil"/>
              <w:left w:val="nil"/>
              <w:bottom w:val="single" w:sz="8" w:space="0" w:color="000000"/>
              <w:right w:val="single" w:sz="8" w:space="0" w:color="000000"/>
            </w:tcBorders>
            <w:shd w:val="clear" w:color="auto" w:fill="auto"/>
          </w:tcPr>
          <w:p w14:paraId="4FC574C3" w14:textId="77777777" w:rsidR="00F3113E" w:rsidRPr="00F43752" w:rsidRDefault="00F3113E" w:rsidP="009D07AE">
            <w:pPr>
              <w:rPr>
                <w:color w:val="000000" w:themeColor="text1"/>
                <w:sz w:val="22"/>
                <w:szCs w:val="22"/>
                <w:lang w:eastAsia="ro-RO"/>
              </w:rPr>
            </w:pPr>
            <w:r w:rsidRPr="00F43752">
              <w:rPr>
                <w:color w:val="000000"/>
                <w:sz w:val="22"/>
                <w:szCs w:val="22"/>
              </w:rPr>
              <w:t>Cheile Lăpușului</w:t>
            </w:r>
          </w:p>
        </w:tc>
      </w:tr>
      <w:tr w:rsidR="00F3113E" w:rsidRPr="00C56257" w14:paraId="39C3D115" w14:textId="77777777" w:rsidTr="009D07AE">
        <w:trPr>
          <w:trHeight w:val="324"/>
        </w:trPr>
        <w:tc>
          <w:tcPr>
            <w:tcW w:w="4229" w:type="dxa"/>
            <w:tcBorders>
              <w:top w:val="nil"/>
              <w:left w:val="single" w:sz="8" w:space="0" w:color="000000"/>
              <w:bottom w:val="nil"/>
              <w:right w:val="single" w:sz="8" w:space="0" w:color="000000"/>
            </w:tcBorders>
            <w:shd w:val="clear" w:color="auto" w:fill="auto"/>
            <w:vAlign w:val="center"/>
          </w:tcPr>
          <w:p w14:paraId="2B1126A5" w14:textId="77777777" w:rsidR="00F3113E" w:rsidRPr="00D810D6" w:rsidRDefault="00F3113E" w:rsidP="00F3113E">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4C044D1A" w14:textId="77777777" w:rsidR="00F3113E" w:rsidRPr="00F43752" w:rsidRDefault="00F3113E" w:rsidP="009D07AE">
            <w:pPr>
              <w:rPr>
                <w:color w:val="000000" w:themeColor="text1"/>
                <w:sz w:val="22"/>
                <w:szCs w:val="22"/>
                <w:lang w:eastAsia="ro-RO"/>
              </w:rPr>
            </w:pPr>
            <w:r w:rsidRPr="00F43752">
              <w:rPr>
                <w:color w:val="000000"/>
                <w:sz w:val="22"/>
                <w:szCs w:val="22"/>
              </w:rPr>
              <w:t>ROSCI0031</w:t>
            </w:r>
          </w:p>
        </w:tc>
        <w:tc>
          <w:tcPr>
            <w:tcW w:w="3969" w:type="dxa"/>
            <w:tcBorders>
              <w:top w:val="nil"/>
              <w:left w:val="nil"/>
              <w:bottom w:val="single" w:sz="8" w:space="0" w:color="000000"/>
              <w:right w:val="single" w:sz="8" w:space="0" w:color="000000"/>
            </w:tcBorders>
            <w:shd w:val="clear" w:color="auto" w:fill="auto"/>
          </w:tcPr>
          <w:p w14:paraId="5C0EAB05" w14:textId="77777777" w:rsidR="00F3113E" w:rsidRPr="00F43752" w:rsidRDefault="00F3113E" w:rsidP="009D07AE">
            <w:pPr>
              <w:rPr>
                <w:color w:val="000000" w:themeColor="text1"/>
                <w:sz w:val="22"/>
                <w:szCs w:val="22"/>
                <w:lang w:eastAsia="ro-RO"/>
              </w:rPr>
            </w:pPr>
            <w:r w:rsidRPr="00F43752">
              <w:rPr>
                <w:color w:val="000000"/>
                <w:sz w:val="22"/>
                <w:szCs w:val="22"/>
              </w:rPr>
              <w:t>Cheile Nerei - Beușnița</w:t>
            </w:r>
          </w:p>
        </w:tc>
      </w:tr>
      <w:tr w:rsidR="00F3113E" w:rsidRPr="00C56257" w14:paraId="223BEA26" w14:textId="77777777" w:rsidTr="009D07AE">
        <w:trPr>
          <w:trHeight w:val="276"/>
        </w:trPr>
        <w:tc>
          <w:tcPr>
            <w:tcW w:w="4229" w:type="dxa"/>
            <w:tcBorders>
              <w:top w:val="nil"/>
              <w:left w:val="single" w:sz="8" w:space="0" w:color="000000"/>
              <w:bottom w:val="nil"/>
              <w:right w:val="single" w:sz="8" w:space="0" w:color="000000"/>
            </w:tcBorders>
            <w:shd w:val="clear" w:color="auto" w:fill="auto"/>
            <w:vAlign w:val="center"/>
          </w:tcPr>
          <w:p w14:paraId="2838EC8B" w14:textId="77777777" w:rsidR="00F3113E" w:rsidRPr="00D810D6" w:rsidRDefault="00F3113E" w:rsidP="00F3113E">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2AD76923" w14:textId="77777777" w:rsidR="00F3113E" w:rsidRPr="00F43752" w:rsidRDefault="00F3113E" w:rsidP="009D07AE">
            <w:pPr>
              <w:rPr>
                <w:color w:val="000000" w:themeColor="text1"/>
                <w:sz w:val="22"/>
                <w:szCs w:val="22"/>
                <w:lang w:eastAsia="ro-RO"/>
              </w:rPr>
            </w:pPr>
            <w:r w:rsidRPr="00F43752">
              <w:rPr>
                <w:color w:val="000000"/>
                <w:sz w:val="22"/>
                <w:szCs w:val="22"/>
              </w:rPr>
              <w:t>ROSCI0043</w:t>
            </w:r>
          </w:p>
        </w:tc>
        <w:tc>
          <w:tcPr>
            <w:tcW w:w="3969" w:type="dxa"/>
            <w:tcBorders>
              <w:top w:val="nil"/>
              <w:left w:val="nil"/>
              <w:bottom w:val="single" w:sz="8" w:space="0" w:color="000000"/>
              <w:right w:val="single" w:sz="8" w:space="0" w:color="000000"/>
            </w:tcBorders>
            <w:shd w:val="clear" w:color="auto" w:fill="auto"/>
          </w:tcPr>
          <w:p w14:paraId="24E938FC" w14:textId="77777777" w:rsidR="00F3113E" w:rsidRPr="00F43752" w:rsidRDefault="00F3113E" w:rsidP="009D07AE">
            <w:pPr>
              <w:rPr>
                <w:color w:val="000000" w:themeColor="text1"/>
                <w:sz w:val="22"/>
                <w:szCs w:val="22"/>
                <w:lang w:eastAsia="ro-RO"/>
              </w:rPr>
            </w:pPr>
            <w:r w:rsidRPr="00F43752">
              <w:rPr>
                <w:color w:val="000000"/>
                <w:sz w:val="22"/>
                <w:szCs w:val="22"/>
              </w:rPr>
              <w:t>Comana</w:t>
            </w:r>
          </w:p>
        </w:tc>
      </w:tr>
      <w:tr w:rsidR="00F3113E" w:rsidRPr="00C56257" w14:paraId="76A7280A"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6F927C08" w14:textId="77777777" w:rsidR="00F3113E" w:rsidRPr="00D810D6" w:rsidRDefault="00F3113E" w:rsidP="00F3113E">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61AD4301" w14:textId="77777777" w:rsidR="00F3113E" w:rsidRPr="00F43752" w:rsidRDefault="00F3113E"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0045</w:t>
            </w:r>
          </w:p>
        </w:tc>
        <w:tc>
          <w:tcPr>
            <w:tcW w:w="3969" w:type="dxa"/>
            <w:tcBorders>
              <w:top w:val="nil"/>
              <w:left w:val="nil"/>
              <w:bottom w:val="single" w:sz="8" w:space="0" w:color="000000"/>
              <w:right w:val="single" w:sz="8" w:space="0" w:color="000000"/>
            </w:tcBorders>
            <w:shd w:val="clear" w:color="auto" w:fill="auto"/>
          </w:tcPr>
          <w:p w14:paraId="4EF06031" w14:textId="77777777" w:rsidR="00F3113E" w:rsidRPr="00F43752" w:rsidRDefault="00F3113E" w:rsidP="009D07AE">
            <w:pPr>
              <w:rPr>
                <w:color w:val="000000" w:themeColor="text1"/>
                <w:sz w:val="22"/>
                <w:szCs w:val="22"/>
                <w:lang w:eastAsia="ro-RO"/>
              </w:rPr>
            </w:pPr>
            <w:r w:rsidRPr="00F43752">
              <w:rPr>
                <w:color w:val="000000"/>
                <w:sz w:val="22"/>
                <w:szCs w:val="22"/>
              </w:rPr>
              <w:t>Coridorul Jiului</w:t>
            </w:r>
          </w:p>
        </w:tc>
      </w:tr>
      <w:tr w:rsidR="00F3113E" w:rsidRPr="00C56257" w14:paraId="4974A6CF"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05B80B96" w14:textId="77777777" w:rsidR="00F3113E" w:rsidRPr="00D810D6" w:rsidRDefault="00F3113E" w:rsidP="00F3113E">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00A12807" w14:textId="77777777" w:rsidR="00F3113E" w:rsidRPr="00F43752" w:rsidRDefault="00F3113E" w:rsidP="009D07AE">
            <w:pPr>
              <w:rPr>
                <w:color w:val="000000" w:themeColor="text1"/>
                <w:sz w:val="22"/>
                <w:szCs w:val="22"/>
                <w:lang w:eastAsia="ro-RO"/>
              </w:rPr>
            </w:pPr>
            <w:r w:rsidRPr="00F43752">
              <w:rPr>
                <w:color w:val="000000"/>
                <w:sz w:val="22"/>
                <w:szCs w:val="22"/>
              </w:rPr>
              <w:t>ROSCI0065</w:t>
            </w:r>
          </w:p>
        </w:tc>
        <w:tc>
          <w:tcPr>
            <w:tcW w:w="3969" w:type="dxa"/>
            <w:tcBorders>
              <w:top w:val="nil"/>
              <w:left w:val="nil"/>
              <w:bottom w:val="single" w:sz="8" w:space="0" w:color="000000"/>
              <w:right w:val="single" w:sz="8" w:space="0" w:color="000000"/>
            </w:tcBorders>
            <w:shd w:val="clear" w:color="auto" w:fill="auto"/>
          </w:tcPr>
          <w:p w14:paraId="4189404D" w14:textId="77777777" w:rsidR="00F3113E" w:rsidRPr="00F43752" w:rsidRDefault="00F3113E" w:rsidP="009D07AE">
            <w:pPr>
              <w:rPr>
                <w:color w:val="000000" w:themeColor="text1"/>
                <w:sz w:val="22"/>
                <w:szCs w:val="22"/>
                <w:lang w:eastAsia="ro-RO"/>
              </w:rPr>
            </w:pPr>
            <w:r w:rsidRPr="00F43752">
              <w:rPr>
                <w:color w:val="000000"/>
                <w:sz w:val="22"/>
                <w:szCs w:val="22"/>
              </w:rPr>
              <w:t>Delta Dunării</w:t>
            </w:r>
          </w:p>
        </w:tc>
      </w:tr>
      <w:tr w:rsidR="00F3113E" w:rsidRPr="00C56257" w14:paraId="6A34514B"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1B303A87" w14:textId="77777777" w:rsidR="00F3113E" w:rsidRPr="00D810D6" w:rsidRDefault="00F3113E" w:rsidP="00F3113E">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24421307" w14:textId="77777777" w:rsidR="00F3113E" w:rsidRPr="00F43752" w:rsidRDefault="00F3113E" w:rsidP="009D07AE">
            <w:pPr>
              <w:rPr>
                <w:color w:val="000000" w:themeColor="text1"/>
                <w:sz w:val="22"/>
                <w:szCs w:val="22"/>
                <w:lang w:eastAsia="ro-RO"/>
              </w:rPr>
            </w:pPr>
            <w:r w:rsidRPr="00F43752">
              <w:rPr>
                <w:color w:val="000000"/>
                <w:sz w:val="22"/>
                <w:szCs w:val="22"/>
              </w:rPr>
              <w:t>ROSCI0109</w:t>
            </w:r>
          </w:p>
        </w:tc>
        <w:tc>
          <w:tcPr>
            <w:tcW w:w="3969" w:type="dxa"/>
            <w:tcBorders>
              <w:top w:val="nil"/>
              <w:left w:val="nil"/>
              <w:bottom w:val="single" w:sz="8" w:space="0" w:color="000000"/>
              <w:right w:val="single" w:sz="8" w:space="0" w:color="000000"/>
            </w:tcBorders>
            <w:shd w:val="clear" w:color="auto" w:fill="auto"/>
          </w:tcPr>
          <w:p w14:paraId="15E0C00C" w14:textId="77777777" w:rsidR="00F3113E" w:rsidRPr="00F43752" w:rsidRDefault="00F3113E" w:rsidP="009D07AE">
            <w:pPr>
              <w:rPr>
                <w:color w:val="000000" w:themeColor="text1"/>
                <w:sz w:val="22"/>
                <w:szCs w:val="22"/>
                <w:lang w:eastAsia="ro-RO"/>
              </w:rPr>
            </w:pPr>
            <w:r w:rsidRPr="00F43752">
              <w:rPr>
                <w:color w:val="000000"/>
                <w:sz w:val="22"/>
                <w:szCs w:val="22"/>
              </w:rPr>
              <w:t>Lunca Timișului</w:t>
            </w:r>
          </w:p>
        </w:tc>
      </w:tr>
      <w:tr w:rsidR="00F3113E" w:rsidRPr="00C56257" w14:paraId="58D54B33"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741F8847" w14:textId="77777777" w:rsidR="00F3113E" w:rsidRPr="00D810D6" w:rsidRDefault="00F3113E" w:rsidP="00F3113E">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78BC0A6B" w14:textId="77777777" w:rsidR="00F3113E" w:rsidRPr="00F43752" w:rsidRDefault="00F3113E"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0111</w:t>
            </w:r>
          </w:p>
        </w:tc>
        <w:tc>
          <w:tcPr>
            <w:tcW w:w="3969" w:type="dxa"/>
            <w:tcBorders>
              <w:top w:val="nil"/>
              <w:left w:val="nil"/>
              <w:bottom w:val="single" w:sz="8" w:space="0" w:color="000000"/>
              <w:right w:val="single" w:sz="8" w:space="0" w:color="000000"/>
            </w:tcBorders>
            <w:shd w:val="clear" w:color="auto" w:fill="auto"/>
          </w:tcPr>
          <w:p w14:paraId="60E8AA2C" w14:textId="77777777" w:rsidR="00F3113E" w:rsidRPr="00F43752" w:rsidRDefault="00F3113E" w:rsidP="009D07AE">
            <w:pPr>
              <w:rPr>
                <w:color w:val="000000" w:themeColor="text1"/>
                <w:sz w:val="22"/>
                <w:szCs w:val="22"/>
                <w:lang w:eastAsia="ro-RO"/>
              </w:rPr>
            </w:pPr>
            <w:r w:rsidRPr="00F43752">
              <w:rPr>
                <w:color w:val="000000"/>
                <w:sz w:val="22"/>
                <w:szCs w:val="22"/>
              </w:rPr>
              <w:t>Mestecănișul de la Reci</w:t>
            </w:r>
          </w:p>
        </w:tc>
      </w:tr>
      <w:tr w:rsidR="00F3113E" w:rsidRPr="00C56257" w14:paraId="2E23FE16"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09B2CEFA" w14:textId="77777777" w:rsidR="00F3113E" w:rsidRPr="00D810D6" w:rsidRDefault="00F3113E" w:rsidP="00F3113E">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2BBB126E" w14:textId="77777777" w:rsidR="00F3113E" w:rsidRPr="00F43752" w:rsidRDefault="00F3113E" w:rsidP="009D07AE">
            <w:pPr>
              <w:rPr>
                <w:color w:val="000000" w:themeColor="text1"/>
                <w:sz w:val="22"/>
                <w:szCs w:val="22"/>
                <w:lang w:eastAsia="ro-RO"/>
              </w:rPr>
            </w:pPr>
            <w:r w:rsidRPr="00F43752">
              <w:rPr>
                <w:color w:val="000000"/>
                <w:sz w:val="22"/>
                <w:szCs w:val="22"/>
              </w:rPr>
              <w:t>ROSCI0114</w:t>
            </w:r>
          </w:p>
        </w:tc>
        <w:tc>
          <w:tcPr>
            <w:tcW w:w="3969" w:type="dxa"/>
            <w:tcBorders>
              <w:top w:val="nil"/>
              <w:left w:val="nil"/>
              <w:bottom w:val="single" w:sz="8" w:space="0" w:color="000000"/>
              <w:right w:val="single" w:sz="8" w:space="0" w:color="000000"/>
            </w:tcBorders>
            <w:shd w:val="clear" w:color="auto" w:fill="auto"/>
          </w:tcPr>
          <w:p w14:paraId="42BED5FC" w14:textId="77777777" w:rsidR="00F3113E" w:rsidRPr="00F43752" w:rsidRDefault="00F3113E" w:rsidP="009D07AE">
            <w:pPr>
              <w:rPr>
                <w:color w:val="000000" w:themeColor="text1"/>
                <w:sz w:val="22"/>
                <w:szCs w:val="22"/>
                <w:lang w:eastAsia="ro-RO"/>
              </w:rPr>
            </w:pPr>
            <w:r w:rsidRPr="00F43752">
              <w:rPr>
                <w:color w:val="000000"/>
                <w:sz w:val="22"/>
                <w:szCs w:val="22"/>
              </w:rPr>
              <w:t>Mlaștina Hergheliei - Obanul Mare și Peștera Movilei</w:t>
            </w:r>
          </w:p>
        </w:tc>
      </w:tr>
      <w:tr w:rsidR="00F3113E" w:rsidRPr="00C56257" w14:paraId="726D750B"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35D76E28" w14:textId="77777777" w:rsidR="00F3113E" w:rsidRPr="00D810D6" w:rsidRDefault="00F3113E" w:rsidP="00F3113E">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24A9B80B" w14:textId="77777777" w:rsidR="00F3113E" w:rsidRPr="00F43752" w:rsidRDefault="00F3113E"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0149</w:t>
            </w:r>
          </w:p>
        </w:tc>
        <w:tc>
          <w:tcPr>
            <w:tcW w:w="3969" w:type="dxa"/>
            <w:tcBorders>
              <w:top w:val="nil"/>
              <w:left w:val="nil"/>
              <w:bottom w:val="single" w:sz="8" w:space="0" w:color="000000"/>
              <w:right w:val="single" w:sz="8" w:space="0" w:color="000000"/>
            </w:tcBorders>
            <w:shd w:val="clear" w:color="auto" w:fill="auto"/>
          </w:tcPr>
          <w:p w14:paraId="1E064ABA" w14:textId="77777777" w:rsidR="00F3113E" w:rsidRPr="00F43752" w:rsidRDefault="00F3113E" w:rsidP="009D07AE">
            <w:pPr>
              <w:rPr>
                <w:color w:val="000000" w:themeColor="text1"/>
                <w:sz w:val="22"/>
                <w:szCs w:val="22"/>
                <w:lang w:eastAsia="ro-RO"/>
              </w:rPr>
            </w:pPr>
            <w:r w:rsidRPr="00F43752">
              <w:rPr>
                <w:color w:val="000000"/>
                <w:sz w:val="22"/>
                <w:szCs w:val="22"/>
              </w:rPr>
              <w:t>Pădurea Eseschioi - Lacul Bugeac</w:t>
            </w:r>
          </w:p>
        </w:tc>
      </w:tr>
      <w:tr w:rsidR="00F3113E" w:rsidRPr="00C56257" w14:paraId="39D86526"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6C301F07" w14:textId="77777777" w:rsidR="00F3113E" w:rsidRPr="00D810D6" w:rsidRDefault="00F3113E" w:rsidP="00F3113E">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0D234F73" w14:textId="77777777" w:rsidR="00F3113E" w:rsidRPr="00F43752" w:rsidRDefault="00F3113E"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0162</w:t>
            </w:r>
          </w:p>
        </w:tc>
        <w:tc>
          <w:tcPr>
            <w:tcW w:w="3969" w:type="dxa"/>
            <w:tcBorders>
              <w:top w:val="nil"/>
              <w:left w:val="nil"/>
              <w:bottom w:val="single" w:sz="8" w:space="0" w:color="000000"/>
              <w:right w:val="single" w:sz="8" w:space="0" w:color="000000"/>
            </w:tcBorders>
            <w:shd w:val="clear" w:color="auto" w:fill="auto"/>
          </w:tcPr>
          <w:p w14:paraId="1EABA4A7" w14:textId="77777777" w:rsidR="00F3113E" w:rsidRPr="00F43752" w:rsidRDefault="00F3113E" w:rsidP="009D07AE">
            <w:pPr>
              <w:rPr>
                <w:color w:val="000000" w:themeColor="text1"/>
                <w:sz w:val="22"/>
                <w:szCs w:val="22"/>
                <w:lang w:eastAsia="ro-RO"/>
              </w:rPr>
            </w:pPr>
            <w:r w:rsidRPr="00F43752">
              <w:rPr>
                <w:color w:val="000000"/>
                <w:sz w:val="22"/>
                <w:szCs w:val="22"/>
              </w:rPr>
              <w:t>Lunca Siretului Inferior</w:t>
            </w:r>
          </w:p>
        </w:tc>
      </w:tr>
      <w:tr w:rsidR="00F3113E" w:rsidRPr="00C56257" w14:paraId="235F4430"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3DAD2B69" w14:textId="77777777" w:rsidR="00F3113E" w:rsidRPr="00D810D6" w:rsidRDefault="00F3113E" w:rsidP="00F3113E">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3767355C" w14:textId="77777777" w:rsidR="00F3113E" w:rsidRPr="00F43752" w:rsidRDefault="00F3113E"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0172</w:t>
            </w:r>
          </w:p>
        </w:tc>
        <w:tc>
          <w:tcPr>
            <w:tcW w:w="3969" w:type="dxa"/>
            <w:tcBorders>
              <w:top w:val="nil"/>
              <w:left w:val="nil"/>
              <w:bottom w:val="single" w:sz="8" w:space="0" w:color="000000"/>
              <w:right w:val="single" w:sz="8" w:space="0" w:color="000000"/>
            </w:tcBorders>
            <w:shd w:val="clear" w:color="auto" w:fill="auto"/>
          </w:tcPr>
          <w:p w14:paraId="0D76D893" w14:textId="77777777" w:rsidR="00F3113E" w:rsidRPr="00F43752" w:rsidRDefault="00F3113E" w:rsidP="009D07AE">
            <w:pPr>
              <w:rPr>
                <w:color w:val="000000" w:themeColor="text1"/>
                <w:sz w:val="22"/>
                <w:szCs w:val="22"/>
                <w:lang w:eastAsia="ro-RO"/>
              </w:rPr>
            </w:pPr>
            <w:r w:rsidRPr="00F43752">
              <w:rPr>
                <w:color w:val="000000"/>
                <w:sz w:val="22"/>
                <w:szCs w:val="22"/>
              </w:rPr>
              <w:t>Pădurea și Valea Canaraua Fetii - Iortmac</w:t>
            </w:r>
          </w:p>
        </w:tc>
      </w:tr>
      <w:tr w:rsidR="00F3113E" w:rsidRPr="00C56257" w14:paraId="2E47B5A1"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18C7B58A" w14:textId="77777777" w:rsidR="00F3113E" w:rsidRPr="00D810D6" w:rsidRDefault="00F3113E" w:rsidP="00F3113E">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408C2947" w14:textId="77777777" w:rsidR="00F3113E" w:rsidRPr="00F43752" w:rsidRDefault="00F3113E"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0203</w:t>
            </w:r>
          </w:p>
        </w:tc>
        <w:tc>
          <w:tcPr>
            <w:tcW w:w="3969" w:type="dxa"/>
            <w:tcBorders>
              <w:top w:val="nil"/>
              <w:left w:val="nil"/>
              <w:bottom w:val="single" w:sz="8" w:space="0" w:color="000000"/>
              <w:right w:val="single" w:sz="8" w:space="0" w:color="000000"/>
            </w:tcBorders>
            <w:shd w:val="clear" w:color="auto" w:fill="auto"/>
          </w:tcPr>
          <w:p w14:paraId="5C1860D5" w14:textId="77777777" w:rsidR="00F3113E" w:rsidRPr="00F43752" w:rsidRDefault="00F3113E" w:rsidP="009D07AE">
            <w:pPr>
              <w:rPr>
                <w:color w:val="000000" w:themeColor="text1"/>
                <w:sz w:val="22"/>
                <w:szCs w:val="22"/>
                <w:lang w:eastAsia="ro-RO"/>
              </w:rPr>
            </w:pPr>
            <w:r w:rsidRPr="00F43752">
              <w:rPr>
                <w:color w:val="000000"/>
                <w:sz w:val="22"/>
                <w:szCs w:val="22"/>
              </w:rPr>
              <w:t>Poiana cu narcise de la Negrași</w:t>
            </w:r>
          </w:p>
        </w:tc>
      </w:tr>
      <w:tr w:rsidR="00F3113E" w:rsidRPr="00C56257" w14:paraId="6AE3F739"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100FAAB2" w14:textId="77777777" w:rsidR="00F3113E" w:rsidRPr="00D810D6" w:rsidRDefault="00F3113E" w:rsidP="00F3113E">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441433E6" w14:textId="77777777" w:rsidR="00F3113E" w:rsidRPr="00F43752" w:rsidRDefault="00F3113E" w:rsidP="009D07AE">
            <w:pPr>
              <w:rPr>
                <w:color w:val="000000" w:themeColor="text1"/>
                <w:sz w:val="22"/>
                <w:szCs w:val="22"/>
                <w:lang w:eastAsia="ro-RO"/>
              </w:rPr>
            </w:pPr>
            <w:r w:rsidRPr="00F43752">
              <w:rPr>
                <w:color w:val="000000"/>
                <w:sz w:val="22"/>
                <w:szCs w:val="22"/>
              </w:rPr>
              <w:t>ROSCI0206</w:t>
            </w:r>
          </w:p>
        </w:tc>
        <w:tc>
          <w:tcPr>
            <w:tcW w:w="3969" w:type="dxa"/>
            <w:tcBorders>
              <w:top w:val="nil"/>
              <w:left w:val="nil"/>
              <w:bottom w:val="single" w:sz="8" w:space="0" w:color="000000"/>
              <w:right w:val="single" w:sz="8" w:space="0" w:color="000000"/>
            </w:tcBorders>
            <w:shd w:val="clear" w:color="auto" w:fill="auto"/>
          </w:tcPr>
          <w:p w14:paraId="5617D219" w14:textId="77777777" w:rsidR="00F3113E" w:rsidRPr="00F43752" w:rsidRDefault="00F3113E" w:rsidP="009D07AE">
            <w:pPr>
              <w:rPr>
                <w:color w:val="000000" w:themeColor="text1"/>
                <w:sz w:val="22"/>
                <w:szCs w:val="22"/>
                <w:lang w:eastAsia="ro-RO"/>
              </w:rPr>
            </w:pPr>
            <w:r w:rsidRPr="00F43752">
              <w:rPr>
                <w:color w:val="000000"/>
                <w:sz w:val="22"/>
                <w:szCs w:val="22"/>
              </w:rPr>
              <w:t>Porțile de Fier</w:t>
            </w:r>
          </w:p>
        </w:tc>
      </w:tr>
      <w:tr w:rsidR="00F3113E" w:rsidRPr="00C56257" w14:paraId="7AB7EC41"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4690465C" w14:textId="77777777" w:rsidR="00F3113E" w:rsidRPr="00D810D6" w:rsidRDefault="00F3113E" w:rsidP="00F3113E">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27E80C9E" w14:textId="77777777" w:rsidR="00F3113E" w:rsidRPr="00F43752" w:rsidRDefault="00F3113E"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0214</w:t>
            </w:r>
          </w:p>
        </w:tc>
        <w:tc>
          <w:tcPr>
            <w:tcW w:w="3969" w:type="dxa"/>
            <w:tcBorders>
              <w:top w:val="nil"/>
              <w:left w:val="nil"/>
              <w:bottom w:val="single" w:sz="8" w:space="0" w:color="000000"/>
              <w:right w:val="single" w:sz="8" w:space="0" w:color="000000"/>
            </w:tcBorders>
            <w:shd w:val="clear" w:color="auto" w:fill="auto"/>
          </w:tcPr>
          <w:p w14:paraId="0C38D109" w14:textId="77777777" w:rsidR="00F3113E" w:rsidRPr="00F43752" w:rsidRDefault="00F3113E" w:rsidP="009D07AE">
            <w:pPr>
              <w:rPr>
                <w:color w:val="000000" w:themeColor="text1"/>
                <w:sz w:val="22"/>
                <w:szCs w:val="22"/>
                <w:lang w:eastAsia="ro-RO"/>
              </w:rPr>
            </w:pPr>
            <w:r w:rsidRPr="00F43752">
              <w:rPr>
                <w:color w:val="000000"/>
                <w:sz w:val="22"/>
                <w:szCs w:val="22"/>
              </w:rPr>
              <w:t>Râul Tur</w:t>
            </w:r>
          </w:p>
        </w:tc>
      </w:tr>
      <w:tr w:rsidR="00F3113E" w:rsidRPr="00C56257" w14:paraId="08DB51DE"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7CEF7D55" w14:textId="77777777" w:rsidR="00F3113E" w:rsidRPr="00D810D6" w:rsidRDefault="00F3113E" w:rsidP="00F3113E">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0AA832AC" w14:textId="77777777" w:rsidR="00F3113E" w:rsidRPr="00F43752" w:rsidRDefault="00F3113E" w:rsidP="009D07AE">
            <w:pPr>
              <w:rPr>
                <w:color w:val="000000"/>
                <w:sz w:val="22"/>
                <w:szCs w:val="22"/>
              </w:rPr>
            </w:pPr>
            <w:r w:rsidRPr="00F43752">
              <w:rPr>
                <w:color w:val="000000"/>
                <w:sz w:val="22"/>
                <w:szCs w:val="22"/>
              </w:rPr>
              <w:t>ROSCI0259</w:t>
            </w:r>
          </w:p>
        </w:tc>
        <w:tc>
          <w:tcPr>
            <w:tcW w:w="3969" w:type="dxa"/>
            <w:tcBorders>
              <w:top w:val="nil"/>
              <w:left w:val="nil"/>
              <w:bottom w:val="single" w:sz="8" w:space="0" w:color="000000"/>
              <w:right w:val="single" w:sz="8" w:space="0" w:color="000000"/>
            </w:tcBorders>
            <w:shd w:val="clear" w:color="auto" w:fill="auto"/>
          </w:tcPr>
          <w:p w14:paraId="71ACAFA5" w14:textId="77777777" w:rsidR="00F3113E" w:rsidRPr="00F43752" w:rsidRDefault="00F3113E" w:rsidP="009D07AE">
            <w:pPr>
              <w:rPr>
                <w:color w:val="000000"/>
                <w:sz w:val="22"/>
                <w:szCs w:val="22"/>
              </w:rPr>
            </w:pPr>
            <w:r w:rsidRPr="00F43752">
              <w:rPr>
                <w:color w:val="000000"/>
                <w:sz w:val="22"/>
                <w:szCs w:val="22"/>
              </w:rPr>
              <w:t>Valea Călmățuiului</w:t>
            </w:r>
          </w:p>
        </w:tc>
      </w:tr>
      <w:tr w:rsidR="00F3113E" w:rsidRPr="00C56257" w14:paraId="6EB5CD8E"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60E06E1D" w14:textId="77777777" w:rsidR="00F3113E" w:rsidRPr="00D810D6" w:rsidRDefault="00F3113E" w:rsidP="00F3113E">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1CED3EC8" w14:textId="77777777" w:rsidR="00F3113E" w:rsidRPr="00F43752" w:rsidRDefault="00F3113E" w:rsidP="009D07AE">
            <w:pPr>
              <w:rPr>
                <w:color w:val="000000"/>
                <w:sz w:val="22"/>
                <w:szCs w:val="22"/>
              </w:rPr>
            </w:pPr>
            <w:r w:rsidRPr="00F43752">
              <w:rPr>
                <w:color w:val="000000"/>
                <w:sz w:val="22"/>
                <w:szCs w:val="22"/>
              </w:rPr>
              <w:t>ROSCI0290</w:t>
            </w:r>
          </w:p>
        </w:tc>
        <w:tc>
          <w:tcPr>
            <w:tcW w:w="3969" w:type="dxa"/>
            <w:tcBorders>
              <w:top w:val="nil"/>
              <w:left w:val="nil"/>
              <w:bottom w:val="single" w:sz="8" w:space="0" w:color="000000"/>
              <w:right w:val="single" w:sz="8" w:space="0" w:color="000000"/>
            </w:tcBorders>
            <w:shd w:val="clear" w:color="auto" w:fill="auto"/>
          </w:tcPr>
          <w:p w14:paraId="548E35E1" w14:textId="77777777" w:rsidR="00F3113E" w:rsidRPr="00F43752" w:rsidRDefault="00F3113E" w:rsidP="009D07AE">
            <w:pPr>
              <w:rPr>
                <w:color w:val="000000"/>
                <w:sz w:val="22"/>
                <w:szCs w:val="22"/>
              </w:rPr>
            </w:pPr>
            <w:r w:rsidRPr="00F43752">
              <w:rPr>
                <w:color w:val="000000"/>
                <w:sz w:val="22"/>
                <w:szCs w:val="22"/>
              </w:rPr>
              <w:t>Coridorul Ialomiței</w:t>
            </w:r>
          </w:p>
        </w:tc>
      </w:tr>
      <w:tr w:rsidR="00F3113E" w:rsidRPr="00C56257" w14:paraId="592CD1B1"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4F9BB21A" w14:textId="77777777" w:rsidR="00F3113E" w:rsidRPr="00D810D6" w:rsidRDefault="00F3113E" w:rsidP="00F3113E">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230C707B" w14:textId="77777777" w:rsidR="00F3113E" w:rsidRPr="00F43752" w:rsidRDefault="00F3113E" w:rsidP="005A7483">
            <w:pPr>
              <w:rPr>
                <w:color w:val="000000"/>
                <w:sz w:val="22"/>
                <w:szCs w:val="22"/>
              </w:rPr>
            </w:pPr>
            <w:r w:rsidRPr="00F43752">
              <w:rPr>
                <w:color w:val="000000"/>
                <w:sz w:val="22"/>
                <w:szCs w:val="22"/>
              </w:rPr>
              <w:t>ROS</w:t>
            </w:r>
            <w:r w:rsidR="005A7483">
              <w:rPr>
                <w:color w:val="000000"/>
                <w:sz w:val="22"/>
                <w:szCs w:val="22"/>
              </w:rPr>
              <w:t>AC</w:t>
            </w:r>
            <w:r w:rsidRPr="00F43752">
              <w:rPr>
                <w:color w:val="000000"/>
                <w:sz w:val="22"/>
                <w:szCs w:val="22"/>
              </w:rPr>
              <w:t>0322</w:t>
            </w:r>
          </w:p>
        </w:tc>
        <w:tc>
          <w:tcPr>
            <w:tcW w:w="3969" w:type="dxa"/>
            <w:tcBorders>
              <w:top w:val="nil"/>
              <w:left w:val="nil"/>
              <w:bottom w:val="single" w:sz="8" w:space="0" w:color="000000"/>
              <w:right w:val="single" w:sz="8" w:space="0" w:color="000000"/>
            </w:tcBorders>
            <w:shd w:val="clear" w:color="auto" w:fill="auto"/>
          </w:tcPr>
          <w:p w14:paraId="2F43DAC7" w14:textId="77777777" w:rsidR="00F3113E" w:rsidRPr="00F43752" w:rsidRDefault="00F3113E" w:rsidP="009D07AE">
            <w:pPr>
              <w:rPr>
                <w:color w:val="000000"/>
                <w:sz w:val="22"/>
                <w:szCs w:val="22"/>
              </w:rPr>
            </w:pPr>
            <w:r w:rsidRPr="00F43752">
              <w:rPr>
                <w:color w:val="000000"/>
                <w:sz w:val="22"/>
                <w:szCs w:val="22"/>
              </w:rPr>
              <w:t>Muntele Șes</w:t>
            </w:r>
          </w:p>
        </w:tc>
      </w:tr>
      <w:tr w:rsidR="00F3113E" w:rsidRPr="00C56257" w14:paraId="3449AF34" w14:textId="77777777" w:rsidTr="009D07AE">
        <w:trPr>
          <w:trHeight w:val="300"/>
        </w:trPr>
        <w:tc>
          <w:tcPr>
            <w:tcW w:w="4229" w:type="dxa"/>
            <w:tcBorders>
              <w:top w:val="nil"/>
              <w:left w:val="single" w:sz="8" w:space="0" w:color="000000"/>
              <w:bottom w:val="single" w:sz="8" w:space="0" w:color="000000"/>
              <w:right w:val="single" w:sz="8" w:space="0" w:color="000000"/>
            </w:tcBorders>
            <w:shd w:val="clear" w:color="auto" w:fill="auto"/>
          </w:tcPr>
          <w:p w14:paraId="2775657E" w14:textId="77777777" w:rsidR="00F3113E" w:rsidRPr="00D810D6" w:rsidRDefault="00F3113E" w:rsidP="00F3113E">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5DC365B8" w14:textId="77777777" w:rsidR="00F3113E" w:rsidRPr="00F43752" w:rsidRDefault="00F3113E"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0354</w:t>
            </w:r>
          </w:p>
        </w:tc>
        <w:tc>
          <w:tcPr>
            <w:tcW w:w="3969" w:type="dxa"/>
            <w:tcBorders>
              <w:top w:val="nil"/>
              <w:left w:val="nil"/>
              <w:bottom w:val="single" w:sz="8" w:space="0" w:color="000000"/>
              <w:right w:val="single" w:sz="8" w:space="0" w:color="000000"/>
            </w:tcBorders>
            <w:shd w:val="clear" w:color="auto" w:fill="auto"/>
          </w:tcPr>
          <w:p w14:paraId="2C22209B" w14:textId="77777777" w:rsidR="00F3113E" w:rsidRPr="00F43752" w:rsidRDefault="00F3113E" w:rsidP="009D07AE">
            <w:pPr>
              <w:rPr>
                <w:color w:val="000000" w:themeColor="text1"/>
                <w:sz w:val="22"/>
                <w:szCs w:val="22"/>
                <w:lang w:eastAsia="ro-RO"/>
              </w:rPr>
            </w:pPr>
            <w:r w:rsidRPr="00F43752">
              <w:rPr>
                <w:color w:val="000000"/>
                <w:sz w:val="22"/>
                <w:szCs w:val="22"/>
              </w:rPr>
              <w:t>Platforma Cotmeana</w:t>
            </w:r>
          </w:p>
        </w:tc>
      </w:tr>
      <w:tr w:rsidR="009D07AE" w:rsidRPr="00C56257" w14:paraId="6A44255E" w14:textId="77777777" w:rsidTr="00993B86">
        <w:trPr>
          <w:trHeight w:val="324"/>
        </w:trPr>
        <w:tc>
          <w:tcPr>
            <w:tcW w:w="4229" w:type="dxa"/>
            <w:vMerge w:val="restart"/>
            <w:tcBorders>
              <w:top w:val="nil"/>
              <w:left w:val="single" w:sz="8" w:space="0" w:color="000000"/>
              <w:right w:val="single" w:sz="8" w:space="0" w:color="000000"/>
            </w:tcBorders>
            <w:shd w:val="clear" w:color="auto" w:fill="auto"/>
            <w:vAlign w:val="center"/>
          </w:tcPr>
          <w:p w14:paraId="09D33004" w14:textId="77777777" w:rsidR="009D07AE" w:rsidRPr="00D810D6" w:rsidRDefault="009D07AE" w:rsidP="009D07AE">
            <w:pPr>
              <w:jc w:val="both"/>
              <w:rPr>
                <w:color w:val="000000" w:themeColor="text1"/>
                <w:lang w:eastAsia="ro-RO"/>
              </w:rPr>
            </w:pPr>
            <w:r w:rsidRPr="00D810D6">
              <w:rPr>
                <w:color w:val="000000" w:themeColor="text1"/>
                <w:lang w:eastAsia="ro-RO"/>
              </w:rPr>
              <w:t> 3270 - Râuri cu maluri nămoloase cu vegetaţie din</w:t>
            </w:r>
            <w:r w:rsidRPr="00D810D6">
              <w:rPr>
                <w:i/>
                <w:iCs/>
                <w:color w:val="000000" w:themeColor="text1"/>
                <w:lang w:eastAsia="ro-RO"/>
              </w:rPr>
              <w:t xml:space="preserve"> Chenopodion rubri p.p. </w:t>
            </w:r>
            <w:r w:rsidRPr="00D810D6">
              <w:rPr>
                <w:color w:val="000000" w:themeColor="text1"/>
                <w:lang w:eastAsia="ro-RO"/>
              </w:rPr>
              <w:t xml:space="preserve">şi </w:t>
            </w:r>
            <w:r w:rsidRPr="00D810D6">
              <w:rPr>
                <w:i/>
                <w:iCs/>
                <w:color w:val="000000" w:themeColor="text1"/>
                <w:lang w:eastAsia="ro-RO"/>
              </w:rPr>
              <w:t>Bidention p.p.</w:t>
            </w: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05E5BFEE" w14:textId="77777777" w:rsidR="009D07AE" w:rsidRPr="00F43752" w:rsidRDefault="009D07AE" w:rsidP="009D07AE">
            <w:pPr>
              <w:rPr>
                <w:color w:val="000000" w:themeColor="text1"/>
                <w:sz w:val="22"/>
                <w:szCs w:val="22"/>
                <w:lang w:eastAsia="ro-RO"/>
              </w:rPr>
            </w:pPr>
            <w:r w:rsidRPr="00F43752">
              <w:rPr>
                <w:color w:val="000000"/>
                <w:sz w:val="22"/>
                <w:szCs w:val="22"/>
              </w:rPr>
              <w:t>ROSCI0006</w:t>
            </w:r>
          </w:p>
        </w:tc>
        <w:tc>
          <w:tcPr>
            <w:tcW w:w="3969" w:type="dxa"/>
            <w:tcBorders>
              <w:top w:val="nil"/>
              <w:left w:val="nil"/>
              <w:bottom w:val="single" w:sz="8" w:space="0" w:color="000000"/>
              <w:right w:val="single" w:sz="8" w:space="0" w:color="000000"/>
            </w:tcBorders>
            <w:shd w:val="clear" w:color="auto" w:fill="auto"/>
          </w:tcPr>
          <w:p w14:paraId="5A00C2F5" w14:textId="77777777" w:rsidR="009D07AE" w:rsidRPr="00F43752" w:rsidRDefault="009D07AE" w:rsidP="009D07AE">
            <w:pPr>
              <w:rPr>
                <w:color w:val="000000" w:themeColor="text1"/>
                <w:sz w:val="22"/>
                <w:szCs w:val="22"/>
                <w:lang w:eastAsia="ro-RO"/>
              </w:rPr>
            </w:pPr>
            <w:r w:rsidRPr="00F43752">
              <w:rPr>
                <w:color w:val="000000"/>
                <w:sz w:val="22"/>
                <w:szCs w:val="22"/>
              </w:rPr>
              <w:t>Balta Mică a Brăilei</w:t>
            </w:r>
          </w:p>
        </w:tc>
      </w:tr>
      <w:tr w:rsidR="009D07AE" w:rsidRPr="00C56257" w14:paraId="73A7E1AA" w14:textId="77777777" w:rsidTr="00993B86">
        <w:trPr>
          <w:trHeight w:val="324"/>
        </w:trPr>
        <w:tc>
          <w:tcPr>
            <w:tcW w:w="4229" w:type="dxa"/>
            <w:vMerge/>
            <w:tcBorders>
              <w:left w:val="single" w:sz="8" w:space="0" w:color="000000"/>
              <w:bottom w:val="nil"/>
              <w:right w:val="single" w:sz="8" w:space="0" w:color="000000"/>
            </w:tcBorders>
            <w:shd w:val="clear" w:color="auto" w:fill="auto"/>
            <w:vAlign w:val="center"/>
          </w:tcPr>
          <w:p w14:paraId="535A645C" w14:textId="77777777" w:rsidR="009D07AE" w:rsidRPr="00D810D6" w:rsidRDefault="009D07AE" w:rsidP="00F437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4DC8F5C3" w14:textId="77777777" w:rsidR="009D07AE" w:rsidRPr="00F43752" w:rsidRDefault="009D07AE" w:rsidP="009D07AE">
            <w:pPr>
              <w:rPr>
                <w:color w:val="000000" w:themeColor="text1"/>
                <w:sz w:val="22"/>
                <w:szCs w:val="22"/>
                <w:lang w:eastAsia="ro-RO"/>
              </w:rPr>
            </w:pPr>
            <w:r w:rsidRPr="00F43752">
              <w:rPr>
                <w:color w:val="000000"/>
                <w:sz w:val="22"/>
                <w:szCs w:val="22"/>
              </w:rPr>
              <w:t>ROSCI0012</w:t>
            </w:r>
          </w:p>
        </w:tc>
        <w:tc>
          <w:tcPr>
            <w:tcW w:w="3969" w:type="dxa"/>
            <w:tcBorders>
              <w:top w:val="nil"/>
              <w:left w:val="nil"/>
              <w:bottom w:val="single" w:sz="8" w:space="0" w:color="000000"/>
              <w:right w:val="single" w:sz="8" w:space="0" w:color="000000"/>
            </w:tcBorders>
            <w:shd w:val="clear" w:color="auto" w:fill="auto"/>
          </w:tcPr>
          <w:p w14:paraId="31891999" w14:textId="77777777" w:rsidR="009D07AE" w:rsidRPr="00F43752" w:rsidRDefault="009D07AE" w:rsidP="009D07AE">
            <w:pPr>
              <w:rPr>
                <w:color w:val="000000" w:themeColor="text1"/>
                <w:sz w:val="22"/>
                <w:szCs w:val="22"/>
                <w:lang w:eastAsia="ro-RO"/>
              </w:rPr>
            </w:pPr>
            <w:r w:rsidRPr="00F43752">
              <w:rPr>
                <w:color w:val="000000"/>
                <w:sz w:val="22"/>
                <w:szCs w:val="22"/>
              </w:rPr>
              <w:t>Brațul Măcin</w:t>
            </w:r>
          </w:p>
        </w:tc>
      </w:tr>
      <w:tr w:rsidR="00F43752" w:rsidRPr="00C56257" w14:paraId="49899AB3" w14:textId="77777777" w:rsidTr="009D07AE">
        <w:trPr>
          <w:trHeight w:val="324"/>
        </w:trPr>
        <w:tc>
          <w:tcPr>
            <w:tcW w:w="4229" w:type="dxa"/>
            <w:tcBorders>
              <w:top w:val="nil"/>
              <w:left w:val="single" w:sz="8" w:space="0" w:color="000000"/>
              <w:bottom w:val="nil"/>
              <w:right w:val="single" w:sz="8" w:space="0" w:color="000000"/>
            </w:tcBorders>
            <w:shd w:val="clear" w:color="auto" w:fill="auto"/>
            <w:vAlign w:val="center"/>
          </w:tcPr>
          <w:p w14:paraId="0A8923DB" w14:textId="77777777" w:rsidR="00F43752" w:rsidRPr="00D810D6" w:rsidRDefault="00F43752" w:rsidP="00F437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4A314E04" w14:textId="77777777" w:rsidR="00F43752" w:rsidRPr="00F43752" w:rsidRDefault="00F43752" w:rsidP="009D07AE">
            <w:pPr>
              <w:rPr>
                <w:color w:val="000000" w:themeColor="text1"/>
                <w:sz w:val="22"/>
                <w:szCs w:val="22"/>
                <w:lang w:eastAsia="ro-RO"/>
              </w:rPr>
            </w:pPr>
            <w:r w:rsidRPr="00F43752">
              <w:rPr>
                <w:color w:val="000000"/>
                <w:sz w:val="22"/>
                <w:szCs w:val="22"/>
              </w:rPr>
              <w:t>ROSCI0020</w:t>
            </w:r>
          </w:p>
        </w:tc>
        <w:tc>
          <w:tcPr>
            <w:tcW w:w="3969" w:type="dxa"/>
            <w:tcBorders>
              <w:top w:val="nil"/>
              <w:left w:val="nil"/>
              <w:bottom w:val="single" w:sz="8" w:space="0" w:color="000000"/>
              <w:right w:val="single" w:sz="8" w:space="0" w:color="000000"/>
            </w:tcBorders>
            <w:shd w:val="clear" w:color="auto" w:fill="auto"/>
          </w:tcPr>
          <w:p w14:paraId="608AD7E7" w14:textId="77777777" w:rsidR="00F43752" w:rsidRPr="00F43752" w:rsidRDefault="00F43752" w:rsidP="009D07AE">
            <w:pPr>
              <w:rPr>
                <w:color w:val="000000" w:themeColor="text1"/>
                <w:sz w:val="22"/>
                <w:szCs w:val="22"/>
                <w:lang w:eastAsia="ro-RO"/>
              </w:rPr>
            </w:pPr>
            <w:r w:rsidRPr="00F43752">
              <w:rPr>
                <w:color w:val="000000"/>
                <w:sz w:val="22"/>
                <w:szCs w:val="22"/>
              </w:rPr>
              <w:t>Câmpia Careiului</w:t>
            </w:r>
          </w:p>
        </w:tc>
      </w:tr>
      <w:tr w:rsidR="00F43752" w:rsidRPr="00C56257" w14:paraId="2B8A5A32" w14:textId="77777777" w:rsidTr="009D07AE">
        <w:trPr>
          <w:trHeight w:val="324"/>
        </w:trPr>
        <w:tc>
          <w:tcPr>
            <w:tcW w:w="4229" w:type="dxa"/>
            <w:tcBorders>
              <w:top w:val="nil"/>
              <w:left w:val="single" w:sz="8" w:space="0" w:color="000000"/>
              <w:bottom w:val="nil"/>
              <w:right w:val="single" w:sz="8" w:space="0" w:color="000000"/>
            </w:tcBorders>
            <w:shd w:val="clear" w:color="auto" w:fill="auto"/>
            <w:vAlign w:val="center"/>
          </w:tcPr>
          <w:p w14:paraId="3F00A071" w14:textId="77777777" w:rsidR="00F43752" w:rsidRPr="00D810D6" w:rsidRDefault="00F43752" w:rsidP="00F437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1617D99B" w14:textId="77777777" w:rsidR="00F43752" w:rsidRPr="00F43752" w:rsidRDefault="00F43752" w:rsidP="009D07AE">
            <w:pPr>
              <w:rPr>
                <w:color w:val="000000" w:themeColor="text1"/>
                <w:sz w:val="22"/>
                <w:szCs w:val="22"/>
                <w:lang w:eastAsia="ro-RO"/>
              </w:rPr>
            </w:pPr>
            <w:r w:rsidRPr="00F43752">
              <w:rPr>
                <w:color w:val="000000"/>
                <w:sz w:val="22"/>
                <w:szCs w:val="22"/>
              </w:rPr>
              <w:t>ROSCI0021</w:t>
            </w:r>
          </w:p>
        </w:tc>
        <w:tc>
          <w:tcPr>
            <w:tcW w:w="3969" w:type="dxa"/>
            <w:tcBorders>
              <w:top w:val="nil"/>
              <w:left w:val="nil"/>
              <w:bottom w:val="single" w:sz="8" w:space="0" w:color="000000"/>
              <w:right w:val="single" w:sz="8" w:space="0" w:color="000000"/>
            </w:tcBorders>
            <w:shd w:val="clear" w:color="auto" w:fill="auto"/>
          </w:tcPr>
          <w:p w14:paraId="2C03DEE2" w14:textId="77777777" w:rsidR="00F43752" w:rsidRPr="00F43752" w:rsidRDefault="00F43752" w:rsidP="009D07AE">
            <w:pPr>
              <w:rPr>
                <w:color w:val="000000" w:themeColor="text1"/>
                <w:sz w:val="22"/>
                <w:szCs w:val="22"/>
                <w:lang w:eastAsia="ro-RO"/>
              </w:rPr>
            </w:pPr>
            <w:r w:rsidRPr="00F43752">
              <w:rPr>
                <w:color w:val="000000"/>
                <w:sz w:val="22"/>
                <w:szCs w:val="22"/>
              </w:rPr>
              <w:t>Câmpia Ierului</w:t>
            </w:r>
          </w:p>
        </w:tc>
      </w:tr>
      <w:tr w:rsidR="00F43752" w:rsidRPr="00C56257" w14:paraId="5B4FC6F2" w14:textId="77777777" w:rsidTr="009D07AE">
        <w:trPr>
          <w:trHeight w:val="324"/>
        </w:trPr>
        <w:tc>
          <w:tcPr>
            <w:tcW w:w="4229" w:type="dxa"/>
            <w:tcBorders>
              <w:top w:val="nil"/>
              <w:left w:val="single" w:sz="8" w:space="0" w:color="000000"/>
              <w:bottom w:val="nil"/>
              <w:right w:val="single" w:sz="8" w:space="0" w:color="000000"/>
            </w:tcBorders>
            <w:shd w:val="clear" w:color="auto" w:fill="auto"/>
            <w:vAlign w:val="center"/>
          </w:tcPr>
          <w:p w14:paraId="75B2FEB0" w14:textId="77777777" w:rsidR="00F43752" w:rsidRPr="00D810D6" w:rsidRDefault="00F43752" w:rsidP="00F437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6EE18D90" w14:textId="77777777" w:rsidR="00F43752" w:rsidRPr="00F43752" w:rsidRDefault="00F43752"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0022</w:t>
            </w:r>
          </w:p>
        </w:tc>
        <w:tc>
          <w:tcPr>
            <w:tcW w:w="3969" w:type="dxa"/>
            <w:tcBorders>
              <w:top w:val="nil"/>
              <w:left w:val="nil"/>
              <w:bottom w:val="single" w:sz="8" w:space="0" w:color="000000"/>
              <w:right w:val="single" w:sz="8" w:space="0" w:color="000000"/>
            </w:tcBorders>
            <w:shd w:val="clear" w:color="auto" w:fill="auto"/>
          </w:tcPr>
          <w:p w14:paraId="5E00AF3E" w14:textId="77777777" w:rsidR="00F43752" w:rsidRPr="00F43752" w:rsidRDefault="00F43752" w:rsidP="009D07AE">
            <w:pPr>
              <w:rPr>
                <w:color w:val="000000" w:themeColor="text1"/>
                <w:sz w:val="22"/>
                <w:szCs w:val="22"/>
                <w:lang w:eastAsia="ro-RO"/>
              </w:rPr>
            </w:pPr>
            <w:r w:rsidRPr="00F43752">
              <w:rPr>
                <w:color w:val="000000"/>
                <w:sz w:val="22"/>
                <w:szCs w:val="22"/>
              </w:rPr>
              <w:t>Canaralele Dunării</w:t>
            </w:r>
          </w:p>
        </w:tc>
      </w:tr>
      <w:tr w:rsidR="00F43752" w:rsidRPr="00C56257" w14:paraId="73FE695F" w14:textId="77777777" w:rsidTr="009D07AE">
        <w:trPr>
          <w:trHeight w:val="324"/>
        </w:trPr>
        <w:tc>
          <w:tcPr>
            <w:tcW w:w="4229" w:type="dxa"/>
            <w:tcBorders>
              <w:top w:val="nil"/>
              <w:left w:val="single" w:sz="8" w:space="0" w:color="000000"/>
              <w:bottom w:val="nil"/>
              <w:right w:val="single" w:sz="8" w:space="0" w:color="000000"/>
            </w:tcBorders>
            <w:shd w:val="clear" w:color="auto" w:fill="auto"/>
            <w:vAlign w:val="center"/>
          </w:tcPr>
          <w:p w14:paraId="1E90218F" w14:textId="77777777" w:rsidR="00F43752" w:rsidRPr="00D810D6" w:rsidRDefault="00F43752" w:rsidP="00F437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1A643727" w14:textId="77777777" w:rsidR="00F43752" w:rsidRPr="00F43752" w:rsidRDefault="00F43752"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0039</w:t>
            </w:r>
          </w:p>
        </w:tc>
        <w:tc>
          <w:tcPr>
            <w:tcW w:w="3969" w:type="dxa"/>
            <w:tcBorders>
              <w:top w:val="nil"/>
              <w:left w:val="nil"/>
              <w:bottom w:val="single" w:sz="8" w:space="0" w:color="000000"/>
              <w:right w:val="single" w:sz="8" w:space="0" w:color="000000"/>
            </w:tcBorders>
            <w:shd w:val="clear" w:color="auto" w:fill="auto"/>
          </w:tcPr>
          <w:p w14:paraId="11A4A298" w14:textId="77777777" w:rsidR="00F43752" w:rsidRPr="00F43752" w:rsidRDefault="00F43752" w:rsidP="009D07AE">
            <w:pPr>
              <w:rPr>
                <w:color w:val="000000" w:themeColor="text1"/>
                <w:sz w:val="22"/>
                <w:szCs w:val="22"/>
                <w:lang w:eastAsia="ro-RO"/>
              </w:rPr>
            </w:pPr>
            <w:r w:rsidRPr="00F43752">
              <w:rPr>
                <w:color w:val="000000"/>
                <w:sz w:val="22"/>
                <w:szCs w:val="22"/>
              </w:rPr>
              <w:t>Ciuperceni - Desa</w:t>
            </w:r>
          </w:p>
        </w:tc>
      </w:tr>
      <w:tr w:rsidR="00F43752" w:rsidRPr="00C56257" w14:paraId="48402EA5" w14:textId="77777777" w:rsidTr="009D07AE">
        <w:trPr>
          <w:trHeight w:val="324"/>
        </w:trPr>
        <w:tc>
          <w:tcPr>
            <w:tcW w:w="4229" w:type="dxa"/>
            <w:tcBorders>
              <w:top w:val="nil"/>
              <w:left w:val="single" w:sz="8" w:space="0" w:color="000000"/>
              <w:bottom w:val="nil"/>
              <w:right w:val="single" w:sz="8" w:space="0" w:color="000000"/>
            </w:tcBorders>
            <w:shd w:val="clear" w:color="auto" w:fill="auto"/>
            <w:vAlign w:val="center"/>
          </w:tcPr>
          <w:p w14:paraId="021D5EA5" w14:textId="77777777" w:rsidR="00F43752" w:rsidRPr="00D810D6" w:rsidRDefault="00F43752" w:rsidP="00F437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3BC4A09B" w14:textId="77777777" w:rsidR="00F43752" w:rsidRPr="00F43752" w:rsidRDefault="00F43752" w:rsidP="009D07AE">
            <w:pPr>
              <w:rPr>
                <w:color w:val="000000" w:themeColor="text1"/>
                <w:sz w:val="22"/>
                <w:szCs w:val="22"/>
                <w:lang w:eastAsia="ro-RO"/>
              </w:rPr>
            </w:pPr>
            <w:r w:rsidRPr="00F43752">
              <w:rPr>
                <w:color w:val="000000"/>
                <w:sz w:val="22"/>
                <w:szCs w:val="22"/>
              </w:rPr>
              <w:t>ROSCI0043</w:t>
            </w:r>
          </w:p>
        </w:tc>
        <w:tc>
          <w:tcPr>
            <w:tcW w:w="3969" w:type="dxa"/>
            <w:tcBorders>
              <w:top w:val="nil"/>
              <w:left w:val="nil"/>
              <w:bottom w:val="single" w:sz="8" w:space="0" w:color="000000"/>
              <w:right w:val="single" w:sz="8" w:space="0" w:color="000000"/>
            </w:tcBorders>
            <w:shd w:val="clear" w:color="auto" w:fill="auto"/>
          </w:tcPr>
          <w:p w14:paraId="01522ACA" w14:textId="77777777" w:rsidR="00F43752" w:rsidRPr="00F43752" w:rsidRDefault="00F43752" w:rsidP="009D07AE">
            <w:pPr>
              <w:rPr>
                <w:color w:val="000000" w:themeColor="text1"/>
                <w:sz w:val="22"/>
                <w:szCs w:val="22"/>
                <w:lang w:eastAsia="ro-RO"/>
              </w:rPr>
            </w:pPr>
            <w:r w:rsidRPr="00F43752">
              <w:rPr>
                <w:color w:val="000000"/>
                <w:sz w:val="22"/>
                <w:szCs w:val="22"/>
              </w:rPr>
              <w:t>Comana</w:t>
            </w:r>
          </w:p>
        </w:tc>
      </w:tr>
      <w:tr w:rsidR="00F43752" w:rsidRPr="00C56257" w14:paraId="0D9F0896" w14:textId="77777777" w:rsidTr="009D07AE">
        <w:trPr>
          <w:trHeight w:val="324"/>
        </w:trPr>
        <w:tc>
          <w:tcPr>
            <w:tcW w:w="4229" w:type="dxa"/>
            <w:tcBorders>
              <w:top w:val="nil"/>
              <w:left w:val="single" w:sz="8" w:space="0" w:color="000000"/>
              <w:bottom w:val="nil"/>
              <w:right w:val="single" w:sz="8" w:space="0" w:color="000000"/>
            </w:tcBorders>
            <w:shd w:val="clear" w:color="auto" w:fill="auto"/>
            <w:vAlign w:val="center"/>
          </w:tcPr>
          <w:p w14:paraId="614A50AC" w14:textId="77777777" w:rsidR="00F43752" w:rsidRPr="00D810D6" w:rsidRDefault="00F43752" w:rsidP="00F437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7B05CEE4" w14:textId="77777777" w:rsidR="00F43752" w:rsidRPr="00F43752" w:rsidRDefault="00F43752"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0045</w:t>
            </w:r>
          </w:p>
        </w:tc>
        <w:tc>
          <w:tcPr>
            <w:tcW w:w="3969" w:type="dxa"/>
            <w:tcBorders>
              <w:top w:val="nil"/>
              <w:left w:val="nil"/>
              <w:bottom w:val="single" w:sz="8" w:space="0" w:color="000000"/>
              <w:right w:val="single" w:sz="8" w:space="0" w:color="000000"/>
            </w:tcBorders>
            <w:shd w:val="clear" w:color="auto" w:fill="auto"/>
          </w:tcPr>
          <w:p w14:paraId="28DEFD10" w14:textId="77777777" w:rsidR="00F43752" w:rsidRPr="00F43752" w:rsidRDefault="00F43752" w:rsidP="009D07AE">
            <w:pPr>
              <w:rPr>
                <w:color w:val="000000" w:themeColor="text1"/>
                <w:sz w:val="22"/>
                <w:szCs w:val="22"/>
                <w:lang w:eastAsia="ro-RO"/>
              </w:rPr>
            </w:pPr>
            <w:r w:rsidRPr="00F43752">
              <w:rPr>
                <w:color w:val="000000"/>
                <w:sz w:val="22"/>
                <w:szCs w:val="22"/>
              </w:rPr>
              <w:t>Coridorul Jiului</w:t>
            </w:r>
          </w:p>
        </w:tc>
      </w:tr>
      <w:tr w:rsidR="00F43752" w:rsidRPr="00C56257" w14:paraId="44179E1C" w14:textId="77777777" w:rsidTr="009D07AE">
        <w:trPr>
          <w:trHeight w:val="324"/>
        </w:trPr>
        <w:tc>
          <w:tcPr>
            <w:tcW w:w="4229" w:type="dxa"/>
            <w:tcBorders>
              <w:top w:val="nil"/>
              <w:left w:val="single" w:sz="8" w:space="0" w:color="000000"/>
              <w:bottom w:val="nil"/>
              <w:right w:val="single" w:sz="8" w:space="0" w:color="000000"/>
            </w:tcBorders>
            <w:shd w:val="clear" w:color="auto" w:fill="auto"/>
            <w:vAlign w:val="center"/>
          </w:tcPr>
          <w:p w14:paraId="291917B1" w14:textId="77777777" w:rsidR="00F43752" w:rsidRPr="00D810D6" w:rsidRDefault="00F43752" w:rsidP="00F437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42AEB9CB" w14:textId="77777777" w:rsidR="00F43752" w:rsidRPr="00F43752" w:rsidRDefault="00F43752"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0049</w:t>
            </w:r>
          </w:p>
        </w:tc>
        <w:tc>
          <w:tcPr>
            <w:tcW w:w="3969" w:type="dxa"/>
            <w:tcBorders>
              <w:top w:val="nil"/>
              <w:left w:val="nil"/>
              <w:bottom w:val="single" w:sz="8" w:space="0" w:color="000000"/>
              <w:right w:val="single" w:sz="8" w:space="0" w:color="000000"/>
            </w:tcBorders>
            <w:shd w:val="clear" w:color="auto" w:fill="auto"/>
          </w:tcPr>
          <w:p w14:paraId="441A6814" w14:textId="77777777" w:rsidR="00F43752" w:rsidRPr="00F43752" w:rsidRDefault="00F43752" w:rsidP="009D07AE">
            <w:pPr>
              <w:rPr>
                <w:color w:val="000000" w:themeColor="text1"/>
                <w:sz w:val="22"/>
                <w:szCs w:val="22"/>
                <w:lang w:eastAsia="ro-RO"/>
              </w:rPr>
            </w:pPr>
            <w:r w:rsidRPr="00F43752">
              <w:rPr>
                <w:color w:val="000000"/>
                <w:sz w:val="22"/>
                <w:szCs w:val="22"/>
              </w:rPr>
              <w:t>Crișul Negru</w:t>
            </w:r>
          </w:p>
        </w:tc>
      </w:tr>
      <w:tr w:rsidR="00F43752" w:rsidRPr="00C56257" w14:paraId="692F0BFB" w14:textId="77777777" w:rsidTr="009D07AE">
        <w:trPr>
          <w:trHeight w:val="324"/>
        </w:trPr>
        <w:tc>
          <w:tcPr>
            <w:tcW w:w="4229" w:type="dxa"/>
            <w:tcBorders>
              <w:top w:val="nil"/>
              <w:left w:val="single" w:sz="8" w:space="0" w:color="000000"/>
              <w:bottom w:val="nil"/>
              <w:right w:val="single" w:sz="8" w:space="0" w:color="000000"/>
            </w:tcBorders>
            <w:shd w:val="clear" w:color="auto" w:fill="auto"/>
            <w:vAlign w:val="center"/>
          </w:tcPr>
          <w:p w14:paraId="59195FA7" w14:textId="77777777" w:rsidR="00F43752" w:rsidRPr="00D810D6" w:rsidRDefault="00F43752" w:rsidP="00F437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3D776E72" w14:textId="77777777" w:rsidR="00F43752" w:rsidRPr="00F43752" w:rsidRDefault="00F43752"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0050</w:t>
            </w:r>
          </w:p>
        </w:tc>
        <w:tc>
          <w:tcPr>
            <w:tcW w:w="3969" w:type="dxa"/>
            <w:tcBorders>
              <w:top w:val="nil"/>
              <w:left w:val="nil"/>
              <w:bottom w:val="single" w:sz="8" w:space="0" w:color="000000"/>
              <w:right w:val="single" w:sz="8" w:space="0" w:color="000000"/>
            </w:tcBorders>
            <w:shd w:val="clear" w:color="auto" w:fill="auto"/>
          </w:tcPr>
          <w:p w14:paraId="29D4F105" w14:textId="77777777" w:rsidR="00F43752" w:rsidRPr="00F43752" w:rsidRDefault="00F43752" w:rsidP="009D07AE">
            <w:pPr>
              <w:rPr>
                <w:color w:val="000000" w:themeColor="text1"/>
                <w:sz w:val="22"/>
                <w:szCs w:val="22"/>
                <w:lang w:eastAsia="ro-RO"/>
              </w:rPr>
            </w:pPr>
            <w:r w:rsidRPr="00F43752">
              <w:rPr>
                <w:color w:val="000000"/>
                <w:sz w:val="22"/>
                <w:szCs w:val="22"/>
              </w:rPr>
              <w:t>Crișul Repede amonte de Oradea</w:t>
            </w:r>
          </w:p>
        </w:tc>
      </w:tr>
      <w:tr w:rsidR="00F43752" w:rsidRPr="00C56257" w14:paraId="29B4F67F" w14:textId="77777777" w:rsidTr="009D07AE">
        <w:trPr>
          <w:trHeight w:val="300"/>
        </w:trPr>
        <w:tc>
          <w:tcPr>
            <w:tcW w:w="4229" w:type="dxa"/>
            <w:tcBorders>
              <w:top w:val="nil"/>
              <w:left w:val="single" w:sz="8" w:space="0" w:color="000000"/>
              <w:bottom w:val="nil"/>
              <w:right w:val="single" w:sz="8" w:space="0" w:color="000000"/>
            </w:tcBorders>
            <w:shd w:val="clear" w:color="auto" w:fill="auto"/>
            <w:vAlign w:val="center"/>
          </w:tcPr>
          <w:p w14:paraId="4CEB7ABE" w14:textId="77777777" w:rsidR="00F43752" w:rsidRPr="00D810D6" w:rsidRDefault="00F43752" w:rsidP="00F437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00D0ADB5" w14:textId="77777777" w:rsidR="00F43752" w:rsidRPr="00F43752" w:rsidRDefault="00F43752" w:rsidP="009D07AE">
            <w:pPr>
              <w:rPr>
                <w:color w:val="000000" w:themeColor="text1"/>
                <w:sz w:val="22"/>
                <w:szCs w:val="22"/>
                <w:lang w:eastAsia="ro-RO"/>
              </w:rPr>
            </w:pPr>
            <w:r w:rsidRPr="00F43752">
              <w:rPr>
                <w:color w:val="000000"/>
                <w:sz w:val="22"/>
                <w:szCs w:val="22"/>
              </w:rPr>
              <w:t>ROSCI0065</w:t>
            </w:r>
          </w:p>
        </w:tc>
        <w:tc>
          <w:tcPr>
            <w:tcW w:w="3969" w:type="dxa"/>
            <w:tcBorders>
              <w:top w:val="nil"/>
              <w:left w:val="nil"/>
              <w:bottom w:val="single" w:sz="8" w:space="0" w:color="000000"/>
              <w:right w:val="single" w:sz="8" w:space="0" w:color="000000"/>
            </w:tcBorders>
            <w:shd w:val="clear" w:color="auto" w:fill="auto"/>
          </w:tcPr>
          <w:p w14:paraId="60A4B4B2" w14:textId="77777777" w:rsidR="00F43752" w:rsidRPr="00F43752" w:rsidRDefault="00F43752" w:rsidP="009D07AE">
            <w:pPr>
              <w:rPr>
                <w:color w:val="000000" w:themeColor="text1"/>
                <w:sz w:val="22"/>
                <w:szCs w:val="22"/>
                <w:lang w:eastAsia="ro-RO"/>
              </w:rPr>
            </w:pPr>
            <w:r w:rsidRPr="00F43752">
              <w:rPr>
                <w:color w:val="000000"/>
                <w:sz w:val="22"/>
                <w:szCs w:val="22"/>
              </w:rPr>
              <w:t>Delta Dunării</w:t>
            </w:r>
          </w:p>
        </w:tc>
      </w:tr>
      <w:tr w:rsidR="00F43752" w:rsidRPr="00C56257" w14:paraId="3D243314" w14:textId="77777777" w:rsidTr="001A64A4">
        <w:trPr>
          <w:trHeight w:val="266"/>
        </w:trPr>
        <w:tc>
          <w:tcPr>
            <w:tcW w:w="4229" w:type="dxa"/>
            <w:tcBorders>
              <w:top w:val="nil"/>
              <w:left w:val="single" w:sz="8" w:space="0" w:color="000000"/>
              <w:bottom w:val="nil"/>
              <w:right w:val="single" w:sz="8" w:space="0" w:color="000000"/>
            </w:tcBorders>
            <w:shd w:val="clear" w:color="auto" w:fill="auto"/>
            <w:vAlign w:val="center"/>
          </w:tcPr>
          <w:p w14:paraId="1E611F4F" w14:textId="77777777" w:rsidR="00F43752" w:rsidRPr="00D810D6" w:rsidRDefault="00F43752" w:rsidP="00F437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0EFAE3E2" w14:textId="77777777" w:rsidR="00F43752" w:rsidRPr="00F43752" w:rsidRDefault="00F43752"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0068</w:t>
            </w:r>
          </w:p>
        </w:tc>
        <w:tc>
          <w:tcPr>
            <w:tcW w:w="3969" w:type="dxa"/>
            <w:tcBorders>
              <w:top w:val="nil"/>
              <w:left w:val="nil"/>
              <w:bottom w:val="single" w:sz="8" w:space="0" w:color="000000"/>
              <w:right w:val="single" w:sz="8" w:space="0" w:color="000000"/>
            </w:tcBorders>
            <w:shd w:val="clear" w:color="auto" w:fill="auto"/>
          </w:tcPr>
          <w:p w14:paraId="4A0501D5" w14:textId="77777777" w:rsidR="00F43752" w:rsidRPr="00F43752" w:rsidRDefault="00F43752" w:rsidP="009D07AE">
            <w:pPr>
              <w:rPr>
                <w:color w:val="000000" w:themeColor="text1"/>
                <w:sz w:val="22"/>
                <w:szCs w:val="22"/>
                <w:lang w:eastAsia="ro-RO"/>
              </w:rPr>
            </w:pPr>
            <w:r w:rsidRPr="00F43752">
              <w:rPr>
                <w:color w:val="000000"/>
                <w:sz w:val="22"/>
                <w:szCs w:val="22"/>
              </w:rPr>
              <w:t>Diosig</w:t>
            </w:r>
          </w:p>
        </w:tc>
      </w:tr>
      <w:tr w:rsidR="00F43752" w:rsidRPr="00C56257" w14:paraId="0AF61072" w14:textId="77777777" w:rsidTr="009D07AE">
        <w:trPr>
          <w:trHeight w:val="300"/>
        </w:trPr>
        <w:tc>
          <w:tcPr>
            <w:tcW w:w="4229" w:type="dxa"/>
            <w:tcBorders>
              <w:top w:val="nil"/>
              <w:left w:val="single" w:sz="8" w:space="0" w:color="000000"/>
              <w:bottom w:val="nil"/>
              <w:right w:val="single" w:sz="8" w:space="0" w:color="000000"/>
            </w:tcBorders>
            <w:shd w:val="clear" w:color="auto" w:fill="auto"/>
            <w:vAlign w:val="center"/>
          </w:tcPr>
          <w:p w14:paraId="30C852EB" w14:textId="77777777" w:rsidR="00F43752" w:rsidRPr="00D810D6" w:rsidRDefault="00F43752" w:rsidP="00F43752">
            <w:pPr>
              <w:jc w:val="both"/>
              <w:rPr>
                <w:i/>
                <w:iCs/>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1021D43F" w14:textId="77777777" w:rsidR="00F43752" w:rsidRPr="00F43752" w:rsidRDefault="00F43752"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0104</w:t>
            </w:r>
          </w:p>
        </w:tc>
        <w:tc>
          <w:tcPr>
            <w:tcW w:w="3969" w:type="dxa"/>
            <w:tcBorders>
              <w:top w:val="nil"/>
              <w:left w:val="nil"/>
              <w:bottom w:val="single" w:sz="8" w:space="0" w:color="000000"/>
              <w:right w:val="single" w:sz="8" w:space="0" w:color="000000"/>
            </w:tcBorders>
            <w:shd w:val="clear" w:color="auto" w:fill="auto"/>
          </w:tcPr>
          <w:p w14:paraId="7CD82450" w14:textId="77777777" w:rsidR="00F43752" w:rsidRPr="00F43752" w:rsidRDefault="00F43752" w:rsidP="009D07AE">
            <w:pPr>
              <w:rPr>
                <w:color w:val="000000" w:themeColor="text1"/>
                <w:sz w:val="22"/>
                <w:szCs w:val="22"/>
                <w:lang w:eastAsia="ro-RO"/>
              </w:rPr>
            </w:pPr>
            <w:r w:rsidRPr="00F43752">
              <w:rPr>
                <w:color w:val="000000"/>
                <w:sz w:val="22"/>
                <w:szCs w:val="22"/>
              </w:rPr>
              <w:t>Lunca Inferioară a Crișului Repede</w:t>
            </w:r>
          </w:p>
        </w:tc>
      </w:tr>
      <w:tr w:rsidR="00F43752" w:rsidRPr="00C56257" w14:paraId="75C18227"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1CE190CD" w14:textId="77777777" w:rsidR="00F43752" w:rsidRPr="00D810D6" w:rsidRDefault="00F43752" w:rsidP="00F43752">
            <w:pPr>
              <w:jc w:val="both"/>
              <w:rPr>
                <w:color w:val="000000" w:themeColor="text1"/>
                <w:lang w:eastAsia="ro-RO"/>
              </w:rPr>
            </w:pPr>
            <w:r w:rsidRPr="00D810D6">
              <w:rPr>
                <w:color w:val="000000" w:themeColor="text1"/>
                <w:lang w:eastAsia="ro-RO"/>
              </w:rPr>
              <w:lastRenderedPageBreak/>
              <w:t> </w:t>
            </w:r>
          </w:p>
        </w:tc>
        <w:tc>
          <w:tcPr>
            <w:tcW w:w="1701" w:type="dxa"/>
            <w:tcBorders>
              <w:top w:val="nil"/>
              <w:left w:val="nil"/>
              <w:bottom w:val="single" w:sz="8" w:space="0" w:color="000000"/>
              <w:right w:val="single" w:sz="8" w:space="0" w:color="000000"/>
            </w:tcBorders>
            <w:shd w:val="clear" w:color="auto" w:fill="auto"/>
          </w:tcPr>
          <w:p w14:paraId="147CC278" w14:textId="77777777" w:rsidR="00F43752" w:rsidRPr="00F43752" w:rsidRDefault="00F43752" w:rsidP="009D07AE">
            <w:pPr>
              <w:rPr>
                <w:color w:val="000000" w:themeColor="text1"/>
                <w:sz w:val="22"/>
                <w:szCs w:val="22"/>
                <w:lang w:eastAsia="ro-RO"/>
              </w:rPr>
            </w:pPr>
            <w:r w:rsidRPr="00F43752">
              <w:rPr>
                <w:color w:val="000000"/>
                <w:sz w:val="22"/>
                <w:szCs w:val="22"/>
              </w:rPr>
              <w:t>ROSCI0105</w:t>
            </w:r>
          </w:p>
        </w:tc>
        <w:tc>
          <w:tcPr>
            <w:tcW w:w="3969" w:type="dxa"/>
            <w:tcBorders>
              <w:top w:val="nil"/>
              <w:left w:val="nil"/>
              <w:bottom w:val="single" w:sz="8" w:space="0" w:color="000000"/>
              <w:right w:val="single" w:sz="8" w:space="0" w:color="000000"/>
            </w:tcBorders>
            <w:shd w:val="clear" w:color="auto" w:fill="auto"/>
          </w:tcPr>
          <w:p w14:paraId="113D3FB3" w14:textId="77777777" w:rsidR="00F43752" w:rsidRPr="00F43752" w:rsidRDefault="00F43752" w:rsidP="009D07AE">
            <w:pPr>
              <w:rPr>
                <w:color w:val="000000" w:themeColor="text1"/>
                <w:sz w:val="22"/>
                <w:szCs w:val="22"/>
                <w:lang w:eastAsia="ro-RO"/>
              </w:rPr>
            </w:pPr>
            <w:r w:rsidRPr="00F43752">
              <w:rPr>
                <w:color w:val="000000"/>
                <w:sz w:val="22"/>
                <w:szCs w:val="22"/>
              </w:rPr>
              <w:t>Lunca Joasă a Prutului</w:t>
            </w:r>
          </w:p>
        </w:tc>
      </w:tr>
      <w:tr w:rsidR="00F43752" w:rsidRPr="00C56257" w14:paraId="10498A4F"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1BAB00FD" w14:textId="77777777" w:rsidR="00F43752" w:rsidRPr="00D810D6" w:rsidRDefault="00F43752" w:rsidP="00F437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0A51B644" w14:textId="77777777" w:rsidR="00F43752" w:rsidRPr="00F43752" w:rsidRDefault="00F43752"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0108</w:t>
            </w:r>
          </w:p>
        </w:tc>
        <w:tc>
          <w:tcPr>
            <w:tcW w:w="3969" w:type="dxa"/>
            <w:tcBorders>
              <w:top w:val="nil"/>
              <w:left w:val="nil"/>
              <w:bottom w:val="single" w:sz="8" w:space="0" w:color="000000"/>
              <w:right w:val="single" w:sz="8" w:space="0" w:color="000000"/>
            </w:tcBorders>
            <w:shd w:val="clear" w:color="auto" w:fill="auto"/>
          </w:tcPr>
          <w:p w14:paraId="7BCA05B2" w14:textId="77777777" w:rsidR="00F43752" w:rsidRPr="00F43752" w:rsidRDefault="00F43752" w:rsidP="009D07AE">
            <w:pPr>
              <w:rPr>
                <w:color w:val="000000" w:themeColor="text1"/>
                <w:sz w:val="22"/>
                <w:szCs w:val="22"/>
                <w:lang w:eastAsia="ro-RO"/>
              </w:rPr>
            </w:pPr>
            <w:r w:rsidRPr="00F43752">
              <w:rPr>
                <w:color w:val="000000"/>
                <w:sz w:val="22"/>
                <w:szCs w:val="22"/>
              </w:rPr>
              <w:t>Lunca Mureșului Inferior</w:t>
            </w:r>
          </w:p>
        </w:tc>
      </w:tr>
      <w:tr w:rsidR="00F43752" w:rsidRPr="00C56257" w14:paraId="48505A65"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704BA9ED" w14:textId="77777777" w:rsidR="00F43752" w:rsidRPr="00D810D6" w:rsidRDefault="00F43752" w:rsidP="00F437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21C2CFE7" w14:textId="77777777" w:rsidR="00F43752" w:rsidRPr="00F43752" w:rsidRDefault="00F43752" w:rsidP="009D07AE">
            <w:pPr>
              <w:rPr>
                <w:color w:val="000000" w:themeColor="text1"/>
                <w:sz w:val="22"/>
                <w:szCs w:val="22"/>
                <w:lang w:eastAsia="ro-RO"/>
              </w:rPr>
            </w:pPr>
            <w:r w:rsidRPr="00F43752">
              <w:rPr>
                <w:color w:val="000000"/>
                <w:sz w:val="22"/>
                <w:szCs w:val="22"/>
              </w:rPr>
              <w:t>ROSCI0109</w:t>
            </w:r>
          </w:p>
        </w:tc>
        <w:tc>
          <w:tcPr>
            <w:tcW w:w="3969" w:type="dxa"/>
            <w:tcBorders>
              <w:top w:val="nil"/>
              <w:left w:val="nil"/>
              <w:bottom w:val="single" w:sz="8" w:space="0" w:color="000000"/>
              <w:right w:val="single" w:sz="8" w:space="0" w:color="000000"/>
            </w:tcBorders>
            <w:shd w:val="clear" w:color="auto" w:fill="auto"/>
          </w:tcPr>
          <w:p w14:paraId="49AE8C7C" w14:textId="77777777" w:rsidR="00F43752" w:rsidRPr="00F43752" w:rsidRDefault="00F43752" w:rsidP="009D07AE">
            <w:pPr>
              <w:rPr>
                <w:color w:val="000000" w:themeColor="text1"/>
                <w:sz w:val="22"/>
                <w:szCs w:val="22"/>
                <w:lang w:eastAsia="ro-RO"/>
              </w:rPr>
            </w:pPr>
            <w:r w:rsidRPr="00F43752">
              <w:rPr>
                <w:color w:val="000000"/>
                <w:sz w:val="22"/>
                <w:szCs w:val="22"/>
              </w:rPr>
              <w:t>Lunca Timișului</w:t>
            </w:r>
          </w:p>
        </w:tc>
      </w:tr>
      <w:tr w:rsidR="00F43752" w:rsidRPr="00C56257" w14:paraId="69F0EC67"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4DA8BD5E" w14:textId="77777777" w:rsidR="00F43752" w:rsidRPr="00D810D6" w:rsidRDefault="00F43752" w:rsidP="00F437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5D758F78" w14:textId="77777777" w:rsidR="00F43752" w:rsidRPr="00F43752" w:rsidRDefault="00F43752" w:rsidP="009D07AE">
            <w:pPr>
              <w:rPr>
                <w:color w:val="000000" w:themeColor="text1"/>
                <w:sz w:val="22"/>
                <w:szCs w:val="22"/>
                <w:lang w:eastAsia="ro-RO"/>
              </w:rPr>
            </w:pPr>
            <w:r w:rsidRPr="00F43752">
              <w:rPr>
                <w:color w:val="000000"/>
                <w:sz w:val="22"/>
                <w:szCs w:val="22"/>
              </w:rPr>
              <w:t>ROSCI0131</w:t>
            </w:r>
          </w:p>
        </w:tc>
        <w:tc>
          <w:tcPr>
            <w:tcW w:w="3969" w:type="dxa"/>
            <w:tcBorders>
              <w:top w:val="nil"/>
              <w:left w:val="nil"/>
              <w:bottom w:val="single" w:sz="8" w:space="0" w:color="000000"/>
              <w:right w:val="single" w:sz="8" w:space="0" w:color="000000"/>
            </w:tcBorders>
            <w:shd w:val="clear" w:color="auto" w:fill="auto"/>
          </w:tcPr>
          <w:p w14:paraId="020DE403" w14:textId="77777777" w:rsidR="00F43752" w:rsidRPr="00F43752" w:rsidRDefault="00F43752" w:rsidP="009D07AE">
            <w:pPr>
              <w:rPr>
                <w:color w:val="000000" w:themeColor="text1"/>
                <w:sz w:val="22"/>
                <w:szCs w:val="22"/>
                <w:lang w:eastAsia="ro-RO"/>
              </w:rPr>
            </w:pPr>
            <w:r w:rsidRPr="00F43752">
              <w:rPr>
                <w:color w:val="000000"/>
                <w:sz w:val="22"/>
                <w:szCs w:val="22"/>
              </w:rPr>
              <w:t>Oltenița - Mostiștea - Chiciu</w:t>
            </w:r>
          </w:p>
        </w:tc>
      </w:tr>
      <w:tr w:rsidR="00F43752" w:rsidRPr="00C56257" w14:paraId="1F3331C6"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5AAA16CB" w14:textId="77777777" w:rsidR="00F43752" w:rsidRPr="00D810D6" w:rsidRDefault="00F43752" w:rsidP="00F437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4A393F64" w14:textId="77777777" w:rsidR="00F43752" w:rsidRPr="00F43752" w:rsidRDefault="00F43752"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0162</w:t>
            </w:r>
          </w:p>
        </w:tc>
        <w:tc>
          <w:tcPr>
            <w:tcW w:w="3969" w:type="dxa"/>
            <w:tcBorders>
              <w:top w:val="nil"/>
              <w:left w:val="nil"/>
              <w:bottom w:val="single" w:sz="8" w:space="0" w:color="000000"/>
              <w:right w:val="single" w:sz="8" w:space="0" w:color="000000"/>
            </w:tcBorders>
            <w:shd w:val="clear" w:color="auto" w:fill="auto"/>
          </w:tcPr>
          <w:p w14:paraId="1141AA69" w14:textId="77777777" w:rsidR="00F43752" w:rsidRPr="00F43752" w:rsidRDefault="00F43752" w:rsidP="009D07AE">
            <w:pPr>
              <w:rPr>
                <w:color w:val="000000" w:themeColor="text1"/>
                <w:sz w:val="22"/>
                <w:szCs w:val="22"/>
                <w:lang w:eastAsia="ro-RO"/>
              </w:rPr>
            </w:pPr>
            <w:r w:rsidRPr="00F43752">
              <w:rPr>
                <w:color w:val="000000"/>
                <w:sz w:val="22"/>
                <w:szCs w:val="22"/>
              </w:rPr>
              <w:t>Lunca Siretului Inferior</w:t>
            </w:r>
          </w:p>
        </w:tc>
      </w:tr>
      <w:tr w:rsidR="00F43752" w:rsidRPr="00C56257" w14:paraId="2AB8793F"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0A09322E" w14:textId="77777777" w:rsidR="00F43752" w:rsidRPr="00D810D6" w:rsidRDefault="00F43752" w:rsidP="00F437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1DD6B97F" w14:textId="77777777" w:rsidR="00F43752" w:rsidRPr="00F43752" w:rsidRDefault="00F43752" w:rsidP="009D07AE">
            <w:pPr>
              <w:rPr>
                <w:color w:val="000000" w:themeColor="text1"/>
                <w:sz w:val="22"/>
                <w:szCs w:val="22"/>
                <w:lang w:eastAsia="ro-RO"/>
              </w:rPr>
            </w:pPr>
            <w:r w:rsidRPr="00F43752">
              <w:rPr>
                <w:color w:val="000000"/>
                <w:sz w:val="22"/>
                <w:szCs w:val="22"/>
              </w:rPr>
              <w:t>ROSCI0206</w:t>
            </w:r>
          </w:p>
        </w:tc>
        <w:tc>
          <w:tcPr>
            <w:tcW w:w="3969" w:type="dxa"/>
            <w:tcBorders>
              <w:top w:val="nil"/>
              <w:left w:val="nil"/>
              <w:bottom w:val="single" w:sz="8" w:space="0" w:color="000000"/>
              <w:right w:val="single" w:sz="8" w:space="0" w:color="000000"/>
            </w:tcBorders>
            <w:shd w:val="clear" w:color="auto" w:fill="auto"/>
          </w:tcPr>
          <w:p w14:paraId="51970C1C" w14:textId="77777777" w:rsidR="00F43752" w:rsidRPr="00F43752" w:rsidRDefault="00F43752" w:rsidP="009D07AE">
            <w:pPr>
              <w:rPr>
                <w:color w:val="000000" w:themeColor="text1"/>
                <w:sz w:val="22"/>
                <w:szCs w:val="22"/>
                <w:lang w:eastAsia="ro-RO"/>
              </w:rPr>
            </w:pPr>
            <w:r w:rsidRPr="00F43752">
              <w:rPr>
                <w:color w:val="000000"/>
                <w:sz w:val="22"/>
                <w:szCs w:val="22"/>
              </w:rPr>
              <w:t>Porțile de Fier</w:t>
            </w:r>
          </w:p>
        </w:tc>
      </w:tr>
      <w:tr w:rsidR="00F43752" w:rsidRPr="00C56257" w14:paraId="711C0404"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02102F05" w14:textId="77777777" w:rsidR="00F43752" w:rsidRPr="00D810D6" w:rsidRDefault="00F43752" w:rsidP="00F437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41E89115" w14:textId="77777777" w:rsidR="00F43752" w:rsidRPr="00F43752" w:rsidRDefault="00F43752" w:rsidP="009D07AE">
            <w:pPr>
              <w:rPr>
                <w:color w:val="000000" w:themeColor="text1"/>
                <w:sz w:val="22"/>
                <w:szCs w:val="22"/>
                <w:lang w:eastAsia="ro-RO"/>
              </w:rPr>
            </w:pPr>
            <w:r w:rsidRPr="00F43752">
              <w:rPr>
                <w:color w:val="000000"/>
                <w:sz w:val="22"/>
                <w:szCs w:val="22"/>
              </w:rPr>
              <w:t>ROSCI0213</w:t>
            </w:r>
          </w:p>
        </w:tc>
        <w:tc>
          <w:tcPr>
            <w:tcW w:w="3969" w:type="dxa"/>
            <w:tcBorders>
              <w:top w:val="nil"/>
              <w:left w:val="nil"/>
              <w:bottom w:val="single" w:sz="8" w:space="0" w:color="000000"/>
              <w:right w:val="single" w:sz="8" w:space="0" w:color="000000"/>
            </w:tcBorders>
            <w:shd w:val="clear" w:color="auto" w:fill="auto"/>
          </w:tcPr>
          <w:p w14:paraId="1212AA4D" w14:textId="77777777" w:rsidR="00F43752" w:rsidRPr="00F43752" w:rsidRDefault="00F43752" w:rsidP="009D07AE">
            <w:pPr>
              <w:rPr>
                <w:color w:val="000000" w:themeColor="text1"/>
                <w:sz w:val="22"/>
                <w:szCs w:val="22"/>
                <w:lang w:eastAsia="ro-RO"/>
              </w:rPr>
            </w:pPr>
            <w:r w:rsidRPr="00F43752">
              <w:rPr>
                <w:color w:val="000000"/>
                <w:sz w:val="22"/>
                <w:szCs w:val="22"/>
              </w:rPr>
              <w:t>Râul Prut</w:t>
            </w:r>
          </w:p>
        </w:tc>
      </w:tr>
      <w:tr w:rsidR="00F43752" w:rsidRPr="00C56257" w14:paraId="2E70DC23"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5AD3088F" w14:textId="77777777" w:rsidR="00F43752" w:rsidRPr="00D810D6" w:rsidRDefault="00F43752" w:rsidP="00F437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6CFC4092" w14:textId="77777777" w:rsidR="00F43752" w:rsidRPr="00F43752" w:rsidRDefault="005A7483" w:rsidP="009D07AE">
            <w:pPr>
              <w:rPr>
                <w:color w:val="000000" w:themeColor="text1"/>
                <w:sz w:val="22"/>
                <w:szCs w:val="22"/>
                <w:lang w:eastAsia="ro-RO"/>
              </w:rPr>
            </w:pPr>
            <w:r>
              <w:rPr>
                <w:color w:val="000000"/>
                <w:sz w:val="22"/>
                <w:szCs w:val="22"/>
              </w:rPr>
              <w:t>ROSAC</w:t>
            </w:r>
            <w:r w:rsidR="00F43752" w:rsidRPr="00F43752">
              <w:rPr>
                <w:color w:val="000000"/>
                <w:sz w:val="22"/>
                <w:szCs w:val="22"/>
              </w:rPr>
              <w:t>0214</w:t>
            </w:r>
          </w:p>
        </w:tc>
        <w:tc>
          <w:tcPr>
            <w:tcW w:w="3969" w:type="dxa"/>
            <w:tcBorders>
              <w:top w:val="nil"/>
              <w:left w:val="nil"/>
              <w:bottom w:val="single" w:sz="8" w:space="0" w:color="000000"/>
              <w:right w:val="single" w:sz="8" w:space="0" w:color="000000"/>
            </w:tcBorders>
            <w:shd w:val="clear" w:color="auto" w:fill="auto"/>
          </w:tcPr>
          <w:p w14:paraId="24460D16" w14:textId="77777777" w:rsidR="00F43752" w:rsidRPr="00F43752" w:rsidRDefault="00F43752" w:rsidP="009D07AE">
            <w:pPr>
              <w:rPr>
                <w:color w:val="000000" w:themeColor="text1"/>
                <w:sz w:val="22"/>
                <w:szCs w:val="22"/>
                <w:lang w:eastAsia="ro-RO"/>
              </w:rPr>
            </w:pPr>
            <w:r w:rsidRPr="00F43752">
              <w:rPr>
                <w:color w:val="000000"/>
                <w:sz w:val="22"/>
                <w:szCs w:val="22"/>
              </w:rPr>
              <w:t>Râul Tur</w:t>
            </w:r>
          </w:p>
        </w:tc>
      </w:tr>
      <w:tr w:rsidR="00F43752" w:rsidRPr="00C56257" w14:paraId="42A3A44F"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3AB9E7B5" w14:textId="77777777" w:rsidR="00F43752" w:rsidRPr="00D810D6" w:rsidRDefault="00F43752" w:rsidP="00F437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08FADF0D" w14:textId="77777777" w:rsidR="00F43752" w:rsidRPr="00F43752" w:rsidRDefault="00F43752" w:rsidP="009D07AE">
            <w:pPr>
              <w:rPr>
                <w:color w:val="000000"/>
                <w:sz w:val="22"/>
                <w:szCs w:val="22"/>
              </w:rPr>
            </w:pPr>
            <w:r w:rsidRPr="00F43752">
              <w:rPr>
                <w:color w:val="000000"/>
                <w:sz w:val="22"/>
                <w:szCs w:val="22"/>
              </w:rPr>
              <w:t>ROSCI0222</w:t>
            </w:r>
          </w:p>
        </w:tc>
        <w:tc>
          <w:tcPr>
            <w:tcW w:w="3969" w:type="dxa"/>
            <w:tcBorders>
              <w:top w:val="nil"/>
              <w:left w:val="nil"/>
              <w:bottom w:val="single" w:sz="8" w:space="0" w:color="000000"/>
              <w:right w:val="single" w:sz="8" w:space="0" w:color="000000"/>
            </w:tcBorders>
            <w:shd w:val="clear" w:color="auto" w:fill="auto"/>
          </w:tcPr>
          <w:p w14:paraId="1B4BB677" w14:textId="77777777" w:rsidR="00F43752" w:rsidRPr="00F43752" w:rsidRDefault="00F43752" w:rsidP="009D07AE">
            <w:pPr>
              <w:rPr>
                <w:color w:val="000000"/>
                <w:sz w:val="22"/>
                <w:szCs w:val="22"/>
              </w:rPr>
            </w:pPr>
            <w:r w:rsidRPr="00F43752">
              <w:rPr>
                <w:color w:val="000000"/>
                <w:sz w:val="22"/>
                <w:szCs w:val="22"/>
              </w:rPr>
              <w:t>Sărăturile Jijia Inferioară - Prut</w:t>
            </w:r>
          </w:p>
        </w:tc>
      </w:tr>
      <w:tr w:rsidR="00F43752" w:rsidRPr="00C56257" w14:paraId="35074FA9"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1AE34391" w14:textId="77777777" w:rsidR="00F43752" w:rsidRPr="00D810D6" w:rsidRDefault="00F43752" w:rsidP="00F437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1BA3D57D" w14:textId="77777777" w:rsidR="00F43752" w:rsidRPr="00F43752" w:rsidRDefault="00F43752" w:rsidP="009D07AE">
            <w:pPr>
              <w:rPr>
                <w:color w:val="000000"/>
                <w:sz w:val="22"/>
                <w:szCs w:val="22"/>
              </w:rPr>
            </w:pPr>
            <w:r w:rsidRPr="00F43752">
              <w:rPr>
                <w:color w:val="000000"/>
                <w:sz w:val="22"/>
                <w:szCs w:val="22"/>
              </w:rPr>
              <w:t>ROSCI0278</w:t>
            </w:r>
          </w:p>
        </w:tc>
        <w:tc>
          <w:tcPr>
            <w:tcW w:w="3969" w:type="dxa"/>
            <w:tcBorders>
              <w:top w:val="nil"/>
              <w:left w:val="nil"/>
              <w:bottom w:val="single" w:sz="8" w:space="0" w:color="000000"/>
              <w:right w:val="single" w:sz="8" w:space="0" w:color="000000"/>
            </w:tcBorders>
            <w:shd w:val="clear" w:color="auto" w:fill="auto"/>
          </w:tcPr>
          <w:p w14:paraId="7741DEA5" w14:textId="77777777" w:rsidR="00F43752" w:rsidRPr="00F43752" w:rsidRDefault="00F43752" w:rsidP="009D07AE">
            <w:pPr>
              <w:rPr>
                <w:color w:val="000000"/>
                <w:sz w:val="22"/>
                <w:szCs w:val="22"/>
              </w:rPr>
            </w:pPr>
            <w:r w:rsidRPr="00F43752">
              <w:rPr>
                <w:color w:val="000000"/>
                <w:sz w:val="22"/>
                <w:szCs w:val="22"/>
              </w:rPr>
              <w:t>Bordușani - Borcea</w:t>
            </w:r>
          </w:p>
        </w:tc>
      </w:tr>
      <w:tr w:rsidR="00F43752" w:rsidRPr="00C56257" w14:paraId="4341AAAC"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7487D9A3" w14:textId="77777777" w:rsidR="00F43752" w:rsidRPr="00D810D6" w:rsidRDefault="00F43752" w:rsidP="00F437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1AB53ADA" w14:textId="77777777" w:rsidR="00F43752" w:rsidRPr="00F43752" w:rsidRDefault="00F43752" w:rsidP="009D07AE">
            <w:pPr>
              <w:rPr>
                <w:color w:val="000000"/>
                <w:sz w:val="22"/>
                <w:szCs w:val="22"/>
              </w:rPr>
            </w:pPr>
            <w:r w:rsidRPr="00F43752">
              <w:rPr>
                <w:color w:val="000000"/>
                <w:sz w:val="22"/>
                <w:szCs w:val="22"/>
              </w:rPr>
              <w:t>ROSCI0290</w:t>
            </w:r>
          </w:p>
        </w:tc>
        <w:tc>
          <w:tcPr>
            <w:tcW w:w="3969" w:type="dxa"/>
            <w:tcBorders>
              <w:top w:val="nil"/>
              <w:left w:val="nil"/>
              <w:bottom w:val="single" w:sz="8" w:space="0" w:color="000000"/>
              <w:right w:val="single" w:sz="8" w:space="0" w:color="000000"/>
            </w:tcBorders>
            <w:shd w:val="clear" w:color="auto" w:fill="auto"/>
          </w:tcPr>
          <w:p w14:paraId="359F81C1" w14:textId="77777777" w:rsidR="00F43752" w:rsidRPr="00F43752" w:rsidRDefault="00F43752" w:rsidP="009D07AE">
            <w:pPr>
              <w:rPr>
                <w:color w:val="000000"/>
                <w:sz w:val="22"/>
                <w:szCs w:val="22"/>
              </w:rPr>
            </w:pPr>
            <w:r w:rsidRPr="00F43752">
              <w:rPr>
                <w:color w:val="000000"/>
                <w:sz w:val="22"/>
                <w:szCs w:val="22"/>
              </w:rPr>
              <w:t>Coridorul Ialomiței</w:t>
            </w:r>
          </w:p>
        </w:tc>
      </w:tr>
      <w:tr w:rsidR="00F43752" w:rsidRPr="00C56257" w14:paraId="54B12AE8"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493D4EFE" w14:textId="77777777" w:rsidR="00F43752" w:rsidRPr="00D810D6" w:rsidRDefault="00F43752" w:rsidP="00F43752">
            <w:pPr>
              <w:jc w:val="both"/>
              <w:rPr>
                <w:color w:val="000000" w:themeColor="text1"/>
                <w:lang w:eastAsia="ro-RO"/>
              </w:rPr>
            </w:pPr>
          </w:p>
        </w:tc>
        <w:tc>
          <w:tcPr>
            <w:tcW w:w="1701" w:type="dxa"/>
            <w:tcBorders>
              <w:top w:val="nil"/>
              <w:left w:val="nil"/>
              <w:bottom w:val="single" w:sz="8" w:space="0" w:color="000000"/>
              <w:right w:val="single" w:sz="8" w:space="0" w:color="000000"/>
            </w:tcBorders>
            <w:shd w:val="clear" w:color="auto" w:fill="auto"/>
          </w:tcPr>
          <w:p w14:paraId="500C3D31" w14:textId="77777777" w:rsidR="00F43752" w:rsidRPr="00F43752" w:rsidRDefault="00F43752" w:rsidP="005A7483">
            <w:pPr>
              <w:rPr>
                <w:color w:val="000000"/>
                <w:sz w:val="22"/>
                <w:szCs w:val="22"/>
              </w:rPr>
            </w:pPr>
            <w:r w:rsidRPr="00F43752">
              <w:rPr>
                <w:color w:val="000000"/>
                <w:sz w:val="22"/>
                <w:szCs w:val="22"/>
              </w:rPr>
              <w:t>ROS</w:t>
            </w:r>
            <w:r w:rsidR="005A7483">
              <w:rPr>
                <w:color w:val="000000"/>
                <w:sz w:val="22"/>
                <w:szCs w:val="22"/>
              </w:rPr>
              <w:t>AC</w:t>
            </w:r>
            <w:r w:rsidRPr="00F43752">
              <w:rPr>
                <w:color w:val="000000"/>
                <w:sz w:val="22"/>
                <w:szCs w:val="22"/>
              </w:rPr>
              <w:t>0322</w:t>
            </w:r>
          </w:p>
        </w:tc>
        <w:tc>
          <w:tcPr>
            <w:tcW w:w="3969" w:type="dxa"/>
            <w:tcBorders>
              <w:top w:val="nil"/>
              <w:left w:val="nil"/>
              <w:bottom w:val="single" w:sz="8" w:space="0" w:color="000000"/>
              <w:right w:val="single" w:sz="8" w:space="0" w:color="000000"/>
            </w:tcBorders>
            <w:shd w:val="clear" w:color="auto" w:fill="auto"/>
          </w:tcPr>
          <w:p w14:paraId="00944F41" w14:textId="77777777" w:rsidR="00F43752" w:rsidRPr="00F43752" w:rsidRDefault="00F43752" w:rsidP="009D07AE">
            <w:pPr>
              <w:rPr>
                <w:color w:val="000000"/>
                <w:sz w:val="22"/>
                <w:szCs w:val="22"/>
              </w:rPr>
            </w:pPr>
            <w:r w:rsidRPr="00F43752">
              <w:rPr>
                <w:color w:val="000000"/>
                <w:sz w:val="22"/>
                <w:szCs w:val="22"/>
              </w:rPr>
              <w:t>Muntele Șes</w:t>
            </w:r>
          </w:p>
        </w:tc>
      </w:tr>
      <w:tr w:rsidR="00F43752" w:rsidRPr="00C56257" w14:paraId="0419DE54" w14:textId="77777777" w:rsidTr="009D07AE">
        <w:trPr>
          <w:trHeight w:val="300"/>
        </w:trPr>
        <w:tc>
          <w:tcPr>
            <w:tcW w:w="4229" w:type="dxa"/>
            <w:tcBorders>
              <w:top w:val="nil"/>
              <w:left w:val="single" w:sz="8" w:space="0" w:color="000000"/>
              <w:bottom w:val="nil"/>
              <w:right w:val="single" w:sz="8" w:space="0" w:color="000000"/>
            </w:tcBorders>
            <w:shd w:val="clear" w:color="auto" w:fill="auto"/>
          </w:tcPr>
          <w:p w14:paraId="2BC7EC43" w14:textId="77777777" w:rsidR="00F43752" w:rsidRPr="00D810D6" w:rsidRDefault="00F43752" w:rsidP="00F437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2FBF8D73" w14:textId="77777777" w:rsidR="00F43752" w:rsidRPr="00F43752" w:rsidRDefault="00F43752" w:rsidP="005A7483">
            <w:pPr>
              <w:rPr>
                <w:color w:val="000000" w:themeColor="text1"/>
                <w:sz w:val="22"/>
                <w:szCs w:val="22"/>
                <w:lang w:eastAsia="ro-RO"/>
              </w:rPr>
            </w:pPr>
            <w:r w:rsidRPr="00F43752">
              <w:rPr>
                <w:color w:val="000000"/>
                <w:sz w:val="22"/>
                <w:szCs w:val="22"/>
              </w:rPr>
              <w:t>ROS</w:t>
            </w:r>
            <w:r w:rsidR="005A7483">
              <w:rPr>
                <w:color w:val="000000"/>
                <w:sz w:val="22"/>
                <w:szCs w:val="22"/>
              </w:rPr>
              <w:t>AC</w:t>
            </w:r>
            <w:r w:rsidRPr="00F43752">
              <w:rPr>
                <w:color w:val="000000"/>
                <w:sz w:val="22"/>
                <w:szCs w:val="22"/>
              </w:rPr>
              <w:t>0354</w:t>
            </w:r>
          </w:p>
        </w:tc>
        <w:tc>
          <w:tcPr>
            <w:tcW w:w="3969" w:type="dxa"/>
            <w:tcBorders>
              <w:top w:val="nil"/>
              <w:left w:val="nil"/>
              <w:bottom w:val="single" w:sz="8" w:space="0" w:color="000000"/>
              <w:right w:val="single" w:sz="8" w:space="0" w:color="000000"/>
            </w:tcBorders>
            <w:shd w:val="clear" w:color="auto" w:fill="auto"/>
          </w:tcPr>
          <w:p w14:paraId="62A236B6" w14:textId="77777777" w:rsidR="00F43752" w:rsidRPr="00F43752" w:rsidRDefault="00F43752" w:rsidP="009D07AE">
            <w:pPr>
              <w:rPr>
                <w:color w:val="000000" w:themeColor="text1"/>
                <w:sz w:val="22"/>
                <w:szCs w:val="22"/>
                <w:lang w:eastAsia="ro-RO"/>
              </w:rPr>
            </w:pPr>
            <w:r w:rsidRPr="00F43752">
              <w:rPr>
                <w:color w:val="000000"/>
                <w:sz w:val="22"/>
                <w:szCs w:val="22"/>
              </w:rPr>
              <w:t>Platforma Cotmeana</w:t>
            </w:r>
          </w:p>
        </w:tc>
      </w:tr>
      <w:tr w:rsidR="00F43752" w:rsidRPr="00C56257" w14:paraId="355445FF" w14:textId="77777777" w:rsidTr="009D07AE">
        <w:trPr>
          <w:trHeight w:val="300"/>
        </w:trPr>
        <w:tc>
          <w:tcPr>
            <w:tcW w:w="4229" w:type="dxa"/>
            <w:tcBorders>
              <w:top w:val="nil"/>
              <w:left w:val="single" w:sz="8" w:space="0" w:color="000000"/>
              <w:bottom w:val="single" w:sz="8" w:space="0" w:color="000000"/>
              <w:right w:val="single" w:sz="8" w:space="0" w:color="000000"/>
            </w:tcBorders>
            <w:shd w:val="clear" w:color="auto" w:fill="auto"/>
          </w:tcPr>
          <w:p w14:paraId="6F72F9CE" w14:textId="77777777" w:rsidR="00F43752" w:rsidRPr="00D810D6" w:rsidRDefault="00F43752" w:rsidP="00F43752">
            <w:pPr>
              <w:jc w:val="both"/>
              <w:rPr>
                <w:color w:val="000000" w:themeColor="text1"/>
                <w:lang w:eastAsia="ro-RO"/>
              </w:rPr>
            </w:pPr>
            <w:r w:rsidRPr="00D810D6">
              <w:rPr>
                <w:color w:val="000000" w:themeColor="text1"/>
                <w:lang w:eastAsia="ro-RO"/>
              </w:rPr>
              <w:t> </w:t>
            </w:r>
          </w:p>
        </w:tc>
        <w:tc>
          <w:tcPr>
            <w:tcW w:w="1701" w:type="dxa"/>
            <w:tcBorders>
              <w:top w:val="nil"/>
              <w:left w:val="nil"/>
              <w:bottom w:val="single" w:sz="8" w:space="0" w:color="000000"/>
              <w:right w:val="single" w:sz="8" w:space="0" w:color="000000"/>
            </w:tcBorders>
            <w:shd w:val="clear" w:color="auto" w:fill="auto"/>
          </w:tcPr>
          <w:p w14:paraId="28E64401" w14:textId="77777777" w:rsidR="00F43752" w:rsidRPr="00F43752" w:rsidRDefault="00F43752" w:rsidP="009D07AE">
            <w:pPr>
              <w:rPr>
                <w:color w:val="000000" w:themeColor="text1"/>
                <w:sz w:val="22"/>
                <w:szCs w:val="22"/>
                <w:lang w:eastAsia="ro-RO"/>
              </w:rPr>
            </w:pPr>
            <w:r w:rsidRPr="00F43752">
              <w:rPr>
                <w:color w:val="000000"/>
                <w:sz w:val="22"/>
                <w:szCs w:val="22"/>
              </w:rPr>
              <w:t>ROSCI0426</w:t>
            </w:r>
          </w:p>
        </w:tc>
        <w:tc>
          <w:tcPr>
            <w:tcW w:w="3969" w:type="dxa"/>
            <w:tcBorders>
              <w:top w:val="nil"/>
              <w:left w:val="nil"/>
              <w:bottom w:val="single" w:sz="8" w:space="0" w:color="000000"/>
              <w:right w:val="single" w:sz="8" w:space="0" w:color="000000"/>
            </w:tcBorders>
            <w:shd w:val="clear" w:color="auto" w:fill="auto"/>
          </w:tcPr>
          <w:p w14:paraId="24CBB10F" w14:textId="77777777" w:rsidR="00F43752" w:rsidRPr="00F43752" w:rsidRDefault="00F43752" w:rsidP="009D07AE">
            <w:pPr>
              <w:rPr>
                <w:color w:val="000000" w:themeColor="text1"/>
                <w:sz w:val="22"/>
                <w:szCs w:val="22"/>
                <w:lang w:eastAsia="ro-RO"/>
              </w:rPr>
            </w:pPr>
            <w:r w:rsidRPr="00F43752">
              <w:rPr>
                <w:color w:val="000000"/>
                <w:sz w:val="22"/>
                <w:szCs w:val="22"/>
              </w:rPr>
              <w:t>Pădurea Ștorobăneasa</w:t>
            </w:r>
          </w:p>
        </w:tc>
      </w:tr>
    </w:tbl>
    <w:p w14:paraId="7D0E0E4A" w14:textId="77777777" w:rsidR="00804D0E" w:rsidRPr="00C56257" w:rsidRDefault="00804D0E" w:rsidP="008E33FD">
      <w:pPr>
        <w:spacing w:after="160" w:line="259" w:lineRule="auto"/>
        <w:jc w:val="both"/>
        <w:rPr>
          <w:bCs/>
          <w:color w:val="000000" w:themeColor="text1"/>
        </w:rPr>
      </w:pPr>
    </w:p>
    <w:p w14:paraId="1F47381A" w14:textId="77777777" w:rsidR="00BC5806" w:rsidRPr="00C56257" w:rsidRDefault="00BC5806" w:rsidP="008E33FD">
      <w:pPr>
        <w:spacing w:after="160" w:line="259" w:lineRule="auto"/>
        <w:jc w:val="both"/>
        <w:rPr>
          <w:color w:val="000000" w:themeColor="text1"/>
        </w:rPr>
      </w:pPr>
    </w:p>
    <w:p w14:paraId="0A4003CE" w14:textId="77777777" w:rsidR="00814C24" w:rsidRPr="00814C24" w:rsidRDefault="008470D7" w:rsidP="008E33FD">
      <w:pPr>
        <w:spacing w:after="160" w:line="259" w:lineRule="auto"/>
        <w:jc w:val="both"/>
        <w:rPr>
          <w:color w:val="000000" w:themeColor="text1"/>
        </w:rPr>
      </w:pPr>
      <w:r>
        <w:rPr>
          <w:b/>
          <w:bCs/>
          <w:color w:val="000000" w:themeColor="text1"/>
        </w:rPr>
        <w:t>4.4</w:t>
      </w:r>
      <w:r w:rsidR="009C3F22" w:rsidRPr="00C56257">
        <w:rPr>
          <w:b/>
          <w:bCs/>
          <w:color w:val="000000" w:themeColor="text1"/>
        </w:rPr>
        <w:t>. Lista cu presiunile și a</w:t>
      </w:r>
      <w:r w:rsidR="00BC5806" w:rsidRPr="00C56257">
        <w:rPr>
          <w:b/>
          <w:bCs/>
          <w:color w:val="000000" w:themeColor="text1"/>
        </w:rPr>
        <w:t>menințările ce acționează asupra habitatelor de apă dulce</w:t>
      </w:r>
      <w:r w:rsidR="00D270C7">
        <w:rPr>
          <w:b/>
          <w:bCs/>
          <w:color w:val="000000" w:themeColor="text1"/>
        </w:rPr>
        <w:t xml:space="preserve"> </w:t>
      </w:r>
      <w:r w:rsidR="00D270C7" w:rsidRPr="00814C24">
        <w:rPr>
          <w:color w:val="000000" w:themeColor="text1"/>
        </w:rPr>
        <w:t xml:space="preserve">poate fi selectată de la următoarea adresa web: </w:t>
      </w:r>
      <w:r>
        <w:fldChar w:fldCharType="begin"/>
      </w:r>
      <w:r>
        <w:instrText>HYPERLINK "https://cdr.eionet.europa.eu/help/habitats_art"</w:instrText>
      </w:r>
      <w:r>
        <w:fldChar w:fldCharType="separate"/>
      </w:r>
      <w:r w:rsidR="00D270C7" w:rsidRPr="00814C24">
        <w:rPr>
          <w:rStyle w:val="Hyperlink"/>
        </w:rPr>
        <w:t>https://cdr.eionet.europa.eu/help/habitats_art</w:t>
      </w:r>
      <w:r>
        <w:rPr>
          <w:rStyle w:val="Hyperlink"/>
        </w:rPr>
        <w:fldChar w:fldCharType="end"/>
      </w:r>
      <w:r w:rsidR="00D270C7" w:rsidRPr="00814C24">
        <w:rPr>
          <w:color w:val="000000" w:themeColor="text1"/>
        </w:rPr>
        <w:t>. 17.</w:t>
      </w:r>
    </w:p>
    <w:p w14:paraId="54DEBED1" w14:textId="77777777" w:rsidR="00BC5806" w:rsidRPr="00C56257" w:rsidRDefault="00814C24" w:rsidP="008E33FD">
      <w:pPr>
        <w:spacing w:after="160" w:line="259" w:lineRule="auto"/>
        <w:jc w:val="both"/>
        <w:rPr>
          <w:b/>
          <w:bCs/>
          <w:color w:val="000000" w:themeColor="text1"/>
        </w:rPr>
      </w:pPr>
      <w:r>
        <w:rPr>
          <w:b/>
          <w:bCs/>
          <w:color w:val="000000" w:themeColor="text1"/>
        </w:rPr>
        <w:t>4.5</w:t>
      </w:r>
      <w:r w:rsidR="009C3F22" w:rsidRPr="00C56257">
        <w:rPr>
          <w:b/>
          <w:bCs/>
          <w:color w:val="000000" w:themeColor="text1"/>
        </w:rPr>
        <w:t>.  Lista cu m</w:t>
      </w:r>
      <w:r w:rsidR="00BC5806" w:rsidRPr="00C56257">
        <w:rPr>
          <w:b/>
          <w:bCs/>
          <w:color w:val="000000" w:themeColor="text1"/>
        </w:rPr>
        <w:t>ăsurile de conservare ce se pot aplica habitatelor de apă dulce</w:t>
      </w:r>
    </w:p>
    <w:p w14:paraId="004B2E9F" w14:textId="77777777" w:rsidR="00BC5806" w:rsidRPr="00C56257" w:rsidRDefault="00BC5806" w:rsidP="00FC74DD">
      <w:pPr>
        <w:widowControl w:val="0"/>
        <w:autoSpaceDE w:val="0"/>
        <w:autoSpaceDN w:val="0"/>
        <w:ind w:right="-76"/>
        <w:jc w:val="both"/>
        <w:rPr>
          <w:color w:val="000000" w:themeColor="text1"/>
        </w:rPr>
      </w:pPr>
      <w:r w:rsidRPr="00C56257">
        <w:rPr>
          <w:color w:val="000000" w:themeColor="text1"/>
        </w:rPr>
        <w:t>Principalul scop al implementării acestor măsuri de conservare are în vedere menținerea</w:t>
      </w:r>
      <w:r w:rsidRPr="00C56257">
        <w:rPr>
          <w:color w:val="000000" w:themeColor="text1"/>
          <w:spacing w:val="1"/>
        </w:rPr>
        <w:t xml:space="preserve"> </w:t>
      </w:r>
      <w:r w:rsidRPr="00C56257">
        <w:rPr>
          <w:color w:val="000000" w:themeColor="text1"/>
        </w:rPr>
        <w:t>arealului actual al habitatului. Aceste informații despre măsurile de conservare sunt utile</w:t>
      </w:r>
      <w:r w:rsidRPr="00C56257">
        <w:rPr>
          <w:color w:val="000000" w:themeColor="text1"/>
          <w:spacing w:val="1"/>
        </w:rPr>
        <w:t xml:space="preserve"> </w:t>
      </w:r>
      <w:r w:rsidRPr="00C56257">
        <w:rPr>
          <w:color w:val="000000" w:themeColor="text1"/>
        </w:rPr>
        <w:t>inclusiv la planurile de gestionare, luate pentru întreținerea sau restabilirea habitatelor la</w:t>
      </w:r>
      <w:r w:rsidRPr="00C56257">
        <w:rPr>
          <w:color w:val="000000" w:themeColor="text1"/>
          <w:spacing w:val="1"/>
        </w:rPr>
        <w:t xml:space="preserve"> </w:t>
      </w:r>
      <w:r w:rsidRPr="00C56257">
        <w:rPr>
          <w:color w:val="000000" w:themeColor="text1"/>
        </w:rPr>
        <w:t>starea</w:t>
      </w:r>
      <w:r w:rsidRPr="00C56257">
        <w:rPr>
          <w:color w:val="000000" w:themeColor="text1"/>
          <w:spacing w:val="-2"/>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conservare</w:t>
      </w:r>
      <w:r w:rsidRPr="00C56257">
        <w:rPr>
          <w:color w:val="000000" w:themeColor="text1"/>
          <w:spacing w:val="-1"/>
        </w:rPr>
        <w:t xml:space="preserve"> </w:t>
      </w:r>
      <w:r w:rsidRPr="00C56257">
        <w:rPr>
          <w:color w:val="000000" w:themeColor="text1"/>
        </w:rPr>
        <w:t>favorabilă.</w:t>
      </w:r>
    </w:p>
    <w:p w14:paraId="5F48434E" w14:textId="77777777" w:rsidR="00BC5806" w:rsidRDefault="00BC5806" w:rsidP="00FC74DD">
      <w:pPr>
        <w:widowControl w:val="0"/>
        <w:autoSpaceDE w:val="0"/>
        <w:autoSpaceDN w:val="0"/>
        <w:ind w:right="-76"/>
        <w:jc w:val="both"/>
        <w:rPr>
          <w:color w:val="000000" w:themeColor="text1"/>
        </w:rPr>
      </w:pPr>
      <w:r w:rsidRPr="00C56257">
        <w:rPr>
          <w:color w:val="000000" w:themeColor="text1"/>
        </w:rPr>
        <w:t>În urma identificării categoriilor de presiuni, se propune un set de măsuri de conservare</w:t>
      </w:r>
      <w:r w:rsidRPr="00C56257">
        <w:rPr>
          <w:color w:val="000000" w:themeColor="text1"/>
          <w:spacing w:val="1"/>
        </w:rPr>
        <w:t xml:space="preserve"> </w:t>
      </w:r>
      <w:r w:rsidRPr="00C56257">
        <w:rPr>
          <w:color w:val="000000" w:themeColor="text1"/>
        </w:rPr>
        <w:t>(generale</w:t>
      </w:r>
      <w:r w:rsidRPr="00C56257">
        <w:rPr>
          <w:color w:val="000000" w:themeColor="text1"/>
          <w:spacing w:val="-1"/>
        </w:rPr>
        <w:t xml:space="preserve"> </w:t>
      </w:r>
      <w:r w:rsidRPr="00C56257">
        <w:rPr>
          <w:color w:val="000000" w:themeColor="text1"/>
        </w:rPr>
        <w:t>și</w:t>
      </w:r>
      <w:r w:rsidRPr="00C56257">
        <w:rPr>
          <w:color w:val="000000" w:themeColor="text1"/>
          <w:spacing w:val="-1"/>
        </w:rPr>
        <w:t xml:space="preserve"> </w:t>
      </w:r>
      <w:r w:rsidRPr="00C56257">
        <w:rPr>
          <w:color w:val="000000" w:themeColor="text1"/>
        </w:rPr>
        <w:t>particulare),</w:t>
      </w:r>
      <w:r w:rsidRPr="00C56257">
        <w:rPr>
          <w:color w:val="000000" w:themeColor="text1"/>
          <w:spacing w:val="1"/>
        </w:rPr>
        <w:t xml:space="preserve"> </w:t>
      </w:r>
      <w:r w:rsidRPr="00C56257">
        <w:rPr>
          <w:color w:val="000000" w:themeColor="text1"/>
        </w:rPr>
        <w:t>adaptate grupului de</w:t>
      </w:r>
      <w:r w:rsidRPr="00C56257">
        <w:rPr>
          <w:color w:val="000000" w:themeColor="text1"/>
          <w:spacing w:val="-1"/>
        </w:rPr>
        <w:t xml:space="preserve"> </w:t>
      </w:r>
      <w:r w:rsidRPr="00C56257">
        <w:rPr>
          <w:color w:val="000000" w:themeColor="text1"/>
        </w:rPr>
        <w:t>habitate</w:t>
      </w:r>
      <w:r w:rsidRPr="00C56257">
        <w:rPr>
          <w:color w:val="000000" w:themeColor="text1"/>
          <w:spacing w:val="-2"/>
        </w:rPr>
        <w:t xml:space="preserve"> </w:t>
      </w:r>
      <w:r w:rsidRPr="00C56257">
        <w:rPr>
          <w:color w:val="000000" w:themeColor="text1"/>
        </w:rPr>
        <w:t>(vezi tabelul de</w:t>
      </w:r>
      <w:r w:rsidRPr="00C56257">
        <w:rPr>
          <w:color w:val="000000" w:themeColor="text1"/>
          <w:spacing w:val="2"/>
        </w:rPr>
        <w:t xml:space="preserve"> </w:t>
      </w:r>
      <w:r w:rsidRPr="00C56257">
        <w:rPr>
          <w:color w:val="000000" w:themeColor="text1"/>
        </w:rPr>
        <w:t>mai</w:t>
      </w:r>
      <w:r w:rsidRPr="00C56257">
        <w:rPr>
          <w:color w:val="000000" w:themeColor="text1"/>
          <w:spacing w:val="-1"/>
        </w:rPr>
        <w:t xml:space="preserve"> </w:t>
      </w:r>
      <w:r w:rsidR="00FC74DD">
        <w:rPr>
          <w:color w:val="000000" w:themeColor="text1"/>
        </w:rPr>
        <w:t>jos).</w:t>
      </w:r>
      <w:r w:rsidR="001D1514" w:rsidRPr="00C56257">
        <w:rPr>
          <w:color w:val="000000" w:themeColor="text1"/>
        </w:rPr>
        <w:tab/>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0"/>
        <w:gridCol w:w="900"/>
        <w:gridCol w:w="1917"/>
        <w:gridCol w:w="4653"/>
        <w:gridCol w:w="1980"/>
      </w:tblGrid>
      <w:tr w:rsidR="00910E00" w:rsidRPr="00F100E1" w14:paraId="732C99F4" w14:textId="77777777" w:rsidTr="00910E00">
        <w:trPr>
          <w:trHeight w:val="758"/>
        </w:trPr>
        <w:tc>
          <w:tcPr>
            <w:tcW w:w="720" w:type="dxa"/>
            <w:shd w:val="clear" w:color="auto" w:fill="8DB4E2"/>
          </w:tcPr>
          <w:p w14:paraId="724AF45B" w14:textId="77777777" w:rsidR="00910E00" w:rsidRPr="00F100E1" w:rsidRDefault="00910E00" w:rsidP="001E342B">
            <w:pPr>
              <w:widowControl w:val="0"/>
              <w:autoSpaceDE w:val="0"/>
              <w:autoSpaceDN w:val="0"/>
              <w:ind w:left="160" w:right="134" w:firstLine="7"/>
              <w:jc w:val="both"/>
              <w:rPr>
                <w:b/>
              </w:rPr>
            </w:pPr>
            <w:r w:rsidRPr="00F100E1">
              <w:rPr>
                <w:b/>
              </w:rPr>
              <w:t>Nr.</w:t>
            </w:r>
            <w:r w:rsidRPr="00F100E1">
              <w:rPr>
                <w:b/>
                <w:spacing w:val="-52"/>
              </w:rPr>
              <w:t xml:space="preserve"> </w:t>
            </w:r>
            <w:r w:rsidRPr="00F100E1">
              <w:rPr>
                <w:b/>
              </w:rPr>
              <w:t>crt.</w:t>
            </w:r>
          </w:p>
        </w:tc>
        <w:tc>
          <w:tcPr>
            <w:tcW w:w="900" w:type="dxa"/>
            <w:shd w:val="clear" w:color="auto" w:fill="8DB4E2"/>
          </w:tcPr>
          <w:p w14:paraId="408D3A4C" w14:textId="77777777" w:rsidR="00910E00" w:rsidRPr="00F100E1" w:rsidRDefault="00910E00" w:rsidP="001E342B">
            <w:pPr>
              <w:widowControl w:val="0"/>
              <w:autoSpaceDE w:val="0"/>
              <w:autoSpaceDN w:val="0"/>
              <w:ind w:right="242"/>
              <w:jc w:val="both"/>
              <w:rPr>
                <w:b/>
              </w:rPr>
            </w:pPr>
            <w:r w:rsidRPr="00F100E1">
              <w:rPr>
                <w:b/>
              </w:rPr>
              <w:t>Cod</w:t>
            </w:r>
          </w:p>
        </w:tc>
        <w:tc>
          <w:tcPr>
            <w:tcW w:w="1917" w:type="dxa"/>
            <w:shd w:val="clear" w:color="auto" w:fill="8DB4E2"/>
          </w:tcPr>
          <w:p w14:paraId="05025D8A" w14:textId="77777777" w:rsidR="00910E00" w:rsidRPr="00F100E1" w:rsidRDefault="00910E00" w:rsidP="001E342B">
            <w:pPr>
              <w:widowControl w:val="0"/>
              <w:autoSpaceDE w:val="0"/>
              <w:autoSpaceDN w:val="0"/>
              <w:ind w:left="338" w:right="312" w:firstLine="33"/>
              <w:jc w:val="both"/>
              <w:rPr>
                <w:b/>
              </w:rPr>
            </w:pPr>
            <w:r w:rsidRPr="00F100E1">
              <w:rPr>
                <w:b/>
              </w:rPr>
              <w:t>Măsuri de</w:t>
            </w:r>
            <w:r w:rsidRPr="00F100E1">
              <w:rPr>
                <w:b/>
                <w:spacing w:val="-52"/>
              </w:rPr>
              <w:t xml:space="preserve"> </w:t>
            </w:r>
            <w:r w:rsidRPr="00F100E1">
              <w:rPr>
                <w:b/>
              </w:rPr>
              <w:t>conservare</w:t>
            </w:r>
          </w:p>
        </w:tc>
        <w:tc>
          <w:tcPr>
            <w:tcW w:w="4653" w:type="dxa"/>
            <w:shd w:val="clear" w:color="auto" w:fill="8DB4E2"/>
          </w:tcPr>
          <w:p w14:paraId="46CB2823" w14:textId="77777777" w:rsidR="00910E00" w:rsidRPr="00F100E1" w:rsidRDefault="00910E00" w:rsidP="001E342B">
            <w:pPr>
              <w:widowControl w:val="0"/>
              <w:autoSpaceDE w:val="0"/>
              <w:autoSpaceDN w:val="0"/>
              <w:ind w:left="1378" w:right="1368"/>
              <w:jc w:val="both"/>
              <w:rPr>
                <w:b/>
              </w:rPr>
            </w:pPr>
            <w:r w:rsidRPr="00F100E1">
              <w:rPr>
                <w:b/>
              </w:rPr>
              <w:t>Descriere</w:t>
            </w:r>
          </w:p>
        </w:tc>
        <w:tc>
          <w:tcPr>
            <w:tcW w:w="1980" w:type="dxa"/>
            <w:shd w:val="clear" w:color="auto" w:fill="8DB4E2"/>
          </w:tcPr>
          <w:p w14:paraId="7ACF989C" w14:textId="77777777" w:rsidR="00910E00" w:rsidRPr="00F100E1" w:rsidRDefault="00910E00" w:rsidP="001E342B">
            <w:pPr>
              <w:widowControl w:val="0"/>
              <w:autoSpaceDE w:val="0"/>
              <w:autoSpaceDN w:val="0"/>
              <w:ind w:left="115" w:right="104"/>
              <w:jc w:val="both"/>
              <w:rPr>
                <w:b/>
              </w:rPr>
            </w:pPr>
            <w:r w:rsidRPr="00F100E1">
              <w:rPr>
                <w:b/>
              </w:rPr>
              <w:t>Principalele</w:t>
            </w:r>
            <w:r w:rsidRPr="00F100E1">
              <w:rPr>
                <w:b/>
                <w:spacing w:val="-53"/>
              </w:rPr>
              <w:t xml:space="preserve"> </w:t>
            </w:r>
            <w:r w:rsidRPr="00F100E1">
              <w:rPr>
                <w:b/>
              </w:rPr>
              <w:t>presiuni</w:t>
            </w:r>
          </w:p>
          <w:p w14:paraId="091E86F8" w14:textId="77777777" w:rsidR="00910E00" w:rsidRPr="00F100E1" w:rsidRDefault="00910E00" w:rsidP="001E342B">
            <w:pPr>
              <w:widowControl w:val="0"/>
              <w:autoSpaceDE w:val="0"/>
              <w:autoSpaceDN w:val="0"/>
              <w:ind w:left="115" w:right="104"/>
              <w:jc w:val="both"/>
              <w:rPr>
                <w:b/>
              </w:rPr>
            </w:pPr>
            <w:r w:rsidRPr="00F100E1">
              <w:rPr>
                <w:b/>
              </w:rPr>
              <w:t>abordate</w:t>
            </w:r>
          </w:p>
        </w:tc>
      </w:tr>
      <w:tr w:rsidR="00910E00" w:rsidRPr="00F100E1" w14:paraId="53954665" w14:textId="77777777" w:rsidTr="00910E00">
        <w:trPr>
          <w:trHeight w:val="4555"/>
        </w:trPr>
        <w:tc>
          <w:tcPr>
            <w:tcW w:w="720" w:type="dxa"/>
          </w:tcPr>
          <w:p w14:paraId="111B18E2" w14:textId="77777777" w:rsidR="00910E00" w:rsidRPr="00F100E1" w:rsidRDefault="00910E00" w:rsidP="001E342B">
            <w:pPr>
              <w:widowControl w:val="0"/>
              <w:autoSpaceDE w:val="0"/>
              <w:autoSpaceDN w:val="0"/>
              <w:jc w:val="both"/>
            </w:pPr>
            <w:r w:rsidRPr="00F100E1">
              <w:t>1.</w:t>
            </w:r>
          </w:p>
        </w:tc>
        <w:tc>
          <w:tcPr>
            <w:tcW w:w="900" w:type="dxa"/>
          </w:tcPr>
          <w:p w14:paraId="579657AA" w14:textId="77777777" w:rsidR="00910E00" w:rsidRPr="00C56257" w:rsidRDefault="00910E00" w:rsidP="001E342B">
            <w:pPr>
              <w:widowControl w:val="0"/>
              <w:autoSpaceDE w:val="0"/>
              <w:autoSpaceDN w:val="0"/>
              <w:jc w:val="both"/>
            </w:pPr>
          </w:p>
          <w:p w14:paraId="3DADEC20" w14:textId="77777777" w:rsidR="00910E00" w:rsidRPr="00C56257" w:rsidRDefault="00910E00" w:rsidP="001E342B">
            <w:pPr>
              <w:widowControl w:val="0"/>
              <w:autoSpaceDE w:val="0"/>
              <w:autoSpaceDN w:val="0"/>
              <w:jc w:val="both"/>
            </w:pPr>
          </w:p>
          <w:p w14:paraId="54485985" w14:textId="77777777" w:rsidR="00910E00" w:rsidRPr="00C56257" w:rsidRDefault="00910E00" w:rsidP="001E342B">
            <w:pPr>
              <w:widowControl w:val="0"/>
              <w:autoSpaceDE w:val="0"/>
              <w:autoSpaceDN w:val="0"/>
              <w:jc w:val="both"/>
            </w:pPr>
          </w:p>
          <w:p w14:paraId="769F319C" w14:textId="77777777" w:rsidR="00910E00" w:rsidRPr="00C56257" w:rsidRDefault="00910E00" w:rsidP="001E342B">
            <w:pPr>
              <w:widowControl w:val="0"/>
              <w:autoSpaceDE w:val="0"/>
              <w:autoSpaceDN w:val="0"/>
              <w:jc w:val="both"/>
            </w:pPr>
          </w:p>
          <w:p w14:paraId="543F15E5" w14:textId="77777777" w:rsidR="00910E00" w:rsidRPr="00C56257" w:rsidRDefault="00910E00" w:rsidP="001E342B">
            <w:pPr>
              <w:widowControl w:val="0"/>
              <w:autoSpaceDE w:val="0"/>
              <w:autoSpaceDN w:val="0"/>
              <w:jc w:val="both"/>
            </w:pPr>
          </w:p>
          <w:p w14:paraId="1337E582" w14:textId="77777777" w:rsidR="00910E00" w:rsidRPr="00C56257" w:rsidRDefault="00910E00" w:rsidP="001E342B">
            <w:pPr>
              <w:widowControl w:val="0"/>
              <w:autoSpaceDE w:val="0"/>
              <w:autoSpaceDN w:val="0"/>
              <w:jc w:val="both"/>
            </w:pPr>
          </w:p>
          <w:p w14:paraId="626C749B" w14:textId="77777777" w:rsidR="00910E00" w:rsidRPr="00F100E1" w:rsidRDefault="00910E00" w:rsidP="001E342B">
            <w:pPr>
              <w:widowControl w:val="0"/>
              <w:autoSpaceDE w:val="0"/>
              <w:autoSpaceDN w:val="0"/>
              <w:jc w:val="both"/>
            </w:pPr>
          </w:p>
          <w:p w14:paraId="75C249FA" w14:textId="77777777" w:rsidR="00910E00" w:rsidRPr="00F100E1" w:rsidRDefault="00910E00" w:rsidP="001E342B">
            <w:pPr>
              <w:widowControl w:val="0"/>
              <w:autoSpaceDE w:val="0"/>
              <w:autoSpaceDN w:val="0"/>
              <w:ind w:right="254"/>
              <w:jc w:val="both"/>
            </w:pPr>
            <w:r w:rsidRPr="00F100E1">
              <w:t>CA09</w:t>
            </w:r>
          </w:p>
        </w:tc>
        <w:tc>
          <w:tcPr>
            <w:tcW w:w="1917" w:type="dxa"/>
          </w:tcPr>
          <w:p w14:paraId="399CFCB3" w14:textId="77777777" w:rsidR="00910E00" w:rsidRPr="00C56257" w:rsidRDefault="00910E00" w:rsidP="001E342B">
            <w:pPr>
              <w:widowControl w:val="0"/>
              <w:autoSpaceDE w:val="0"/>
              <w:autoSpaceDN w:val="0"/>
              <w:jc w:val="both"/>
            </w:pPr>
          </w:p>
          <w:p w14:paraId="569722B0" w14:textId="77777777" w:rsidR="00910E00" w:rsidRPr="00C56257" w:rsidRDefault="00910E00" w:rsidP="001E342B">
            <w:pPr>
              <w:widowControl w:val="0"/>
              <w:autoSpaceDE w:val="0"/>
              <w:autoSpaceDN w:val="0"/>
              <w:jc w:val="both"/>
            </w:pPr>
          </w:p>
          <w:p w14:paraId="7F1A9499" w14:textId="77777777" w:rsidR="00910E00" w:rsidRPr="00F100E1" w:rsidRDefault="00910E00" w:rsidP="001E342B">
            <w:pPr>
              <w:widowControl w:val="0"/>
              <w:autoSpaceDE w:val="0"/>
              <w:autoSpaceDN w:val="0"/>
              <w:jc w:val="both"/>
            </w:pPr>
          </w:p>
          <w:p w14:paraId="39C3A98B" w14:textId="77777777" w:rsidR="00910E00" w:rsidRPr="00F100E1" w:rsidRDefault="00910E00" w:rsidP="001E342B">
            <w:pPr>
              <w:widowControl w:val="0"/>
              <w:autoSpaceDE w:val="0"/>
              <w:autoSpaceDN w:val="0"/>
              <w:ind w:right="189"/>
              <w:jc w:val="both"/>
            </w:pPr>
            <w:r w:rsidRPr="00F100E1">
              <w:t>Gestionarea,</w:t>
            </w:r>
            <w:r w:rsidRPr="00F100E1">
              <w:rPr>
                <w:spacing w:val="1"/>
              </w:rPr>
              <w:t xml:space="preserve"> </w:t>
            </w:r>
            <w:r w:rsidRPr="00F100E1">
              <w:t>utilizarea</w:t>
            </w:r>
            <w:r w:rsidRPr="00F100E1">
              <w:rPr>
                <w:spacing w:val="1"/>
              </w:rPr>
              <w:t xml:space="preserve"> </w:t>
            </w:r>
            <w:r w:rsidRPr="00F100E1">
              <w:t>îngrășămintelor</w:t>
            </w:r>
            <w:r w:rsidRPr="00F100E1">
              <w:rPr>
                <w:spacing w:val="-52"/>
              </w:rPr>
              <w:t xml:space="preserve"> </w:t>
            </w:r>
            <w:r w:rsidRPr="00F100E1">
              <w:t>naturale</w:t>
            </w:r>
            <w:r w:rsidRPr="00F100E1">
              <w:rPr>
                <w:spacing w:val="-1"/>
              </w:rPr>
              <w:t xml:space="preserve"> </w:t>
            </w:r>
            <w:r w:rsidRPr="00F100E1">
              <w:t>și</w:t>
            </w:r>
            <w:r w:rsidRPr="00F100E1">
              <w:rPr>
                <w:spacing w:val="1"/>
              </w:rPr>
              <w:t xml:space="preserve"> </w:t>
            </w:r>
            <w:r w:rsidRPr="00F100E1">
              <w:t>a</w:t>
            </w:r>
            <w:r w:rsidRPr="00F100E1">
              <w:rPr>
                <w:spacing w:val="1"/>
              </w:rPr>
              <w:t xml:space="preserve"> </w:t>
            </w:r>
            <w:r w:rsidRPr="00F100E1">
              <w:t>substanțelor</w:t>
            </w:r>
            <w:r w:rsidRPr="00F100E1">
              <w:rPr>
                <w:spacing w:val="1"/>
              </w:rPr>
              <w:t xml:space="preserve"> </w:t>
            </w:r>
            <w:r w:rsidRPr="00F100E1">
              <w:t>chimice în</w:t>
            </w:r>
            <w:r w:rsidRPr="00F100E1">
              <w:rPr>
                <w:spacing w:val="1"/>
              </w:rPr>
              <w:t xml:space="preserve"> </w:t>
            </w:r>
            <w:r w:rsidRPr="00F100E1">
              <w:t>producția</w:t>
            </w:r>
            <w:r w:rsidRPr="00F100E1">
              <w:rPr>
                <w:spacing w:val="1"/>
              </w:rPr>
              <w:t xml:space="preserve"> </w:t>
            </w:r>
            <w:r w:rsidRPr="00F100E1">
              <w:t>agricolă</w:t>
            </w:r>
            <w:r w:rsidRPr="00F100E1">
              <w:rPr>
                <w:spacing w:val="1"/>
              </w:rPr>
              <w:t xml:space="preserve"> </w:t>
            </w:r>
            <w:r w:rsidRPr="00F100E1">
              <w:t>(vegetală și</w:t>
            </w:r>
            <w:r w:rsidRPr="00F100E1">
              <w:rPr>
                <w:spacing w:val="1"/>
              </w:rPr>
              <w:t xml:space="preserve"> </w:t>
            </w:r>
            <w:r w:rsidRPr="00F100E1">
              <w:t>animală)</w:t>
            </w:r>
          </w:p>
        </w:tc>
        <w:tc>
          <w:tcPr>
            <w:tcW w:w="4653" w:type="dxa"/>
          </w:tcPr>
          <w:p w14:paraId="224C0BFF" w14:textId="77777777" w:rsidR="00910E00" w:rsidRPr="00F100E1" w:rsidRDefault="00910E00" w:rsidP="001E342B">
            <w:pPr>
              <w:widowControl w:val="0"/>
              <w:autoSpaceDE w:val="0"/>
              <w:autoSpaceDN w:val="0"/>
              <w:ind w:right="113"/>
              <w:jc w:val="both"/>
            </w:pPr>
            <w:r w:rsidRPr="00F100E1">
              <w:t>Gestionarea (reducerea sau eliminarea)</w:t>
            </w:r>
            <w:r w:rsidRPr="00F100E1">
              <w:rPr>
                <w:spacing w:val="-53"/>
              </w:rPr>
              <w:t xml:space="preserve"> </w:t>
            </w:r>
            <w:r w:rsidRPr="00F100E1">
              <w:t>utilizării:</w:t>
            </w:r>
          </w:p>
          <w:p w14:paraId="5A74E896" w14:textId="77777777" w:rsidR="00910E00" w:rsidRPr="00F100E1" w:rsidRDefault="00910E00" w:rsidP="009E63E5">
            <w:pPr>
              <w:widowControl w:val="0"/>
              <w:numPr>
                <w:ilvl w:val="0"/>
                <w:numId w:val="166"/>
              </w:numPr>
              <w:tabs>
                <w:tab w:val="left" w:pos="233"/>
              </w:tabs>
              <w:autoSpaceDE w:val="0"/>
              <w:autoSpaceDN w:val="0"/>
              <w:ind w:right="220" w:firstLine="0"/>
              <w:jc w:val="both"/>
            </w:pPr>
            <w:r w:rsidRPr="00F100E1">
              <w:t>îngrășăminte (de exemplu, minerale,</w:t>
            </w:r>
            <w:r w:rsidRPr="00F100E1">
              <w:rPr>
                <w:spacing w:val="-52"/>
              </w:rPr>
              <w:t xml:space="preserve"> </w:t>
            </w:r>
            <w:r w:rsidRPr="00F100E1">
              <w:t>gunoi de</w:t>
            </w:r>
            <w:r w:rsidRPr="00F100E1">
              <w:rPr>
                <w:spacing w:val="-1"/>
              </w:rPr>
              <w:t xml:space="preserve"> </w:t>
            </w:r>
            <w:r w:rsidRPr="00F100E1">
              <w:t>grajd,</w:t>
            </w:r>
            <w:r w:rsidRPr="00F100E1">
              <w:rPr>
                <w:spacing w:val="-1"/>
              </w:rPr>
              <w:t xml:space="preserve"> </w:t>
            </w:r>
            <w:r w:rsidRPr="00F100E1">
              <w:t>nămol</w:t>
            </w:r>
            <w:r w:rsidRPr="00F100E1">
              <w:rPr>
                <w:spacing w:val="1"/>
              </w:rPr>
              <w:t xml:space="preserve"> </w:t>
            </w:r>
            <w:r w:rsidRPr="00F100E1">
              <w:t>biologic)</w:t>
            </w:r>
          </w:p>
          <w:p w14:paraId="520BB01D" w14:textId="77777777" w:rsidR="00910E00" w:rsidRPr="00F100E1" w:rsidRDefault="00910E00" w:rsidP="009E63E5">
            <w:pPr>
              <w:widowControl w:val="0"/>
              <w:numPr>
                <w:ilvl w:val="0"/>
                <w:numId w:val="166"/>
              </w:numPr>
              <w:tabs>
                <w:tab w:val="left" w:pos="233"/>
              </w:tabs>
              <w:autoSpaceDE w:val="0"/>
              <w:autoSpaceDN w:val="0"/>
              <w:ind w:right="122" w:firstLine="0"/>
              <w:jc w:val="both"/>
            </w:pPr>
            <w:r w:rsidRPr="00F100E1">
              <w:t>pesticide, fungicide, tratarea de</w:t>
            </w:r>
            <w:r w:rsidRPr="00F100E1">
              <w:rPr>
                <w:spacing w:val="1"/>
              </w:rPr>
              <w:t xml:space="preserve"> </w:t>
            </w:r>
            <w:r w:rsidRPr="00F100E1">
              <w:t>semințelor, erbicide, agenți de</w:t>
            </w:r>
            <w:r w:rsidRPr="00F100E1">
              <w:rPr>
                <w:spacing w:val="1"/>
              </w:rPr>
              <w:t xml:space="preserve"> </w:t>
            </w:r>
            <w:r w:rsidRPr="00F100E1">
              <w:t>întârziere a creșterii, hormoni și alte</w:t>
            </w:r>
            <w:r w:rsidRPr="00F100E1">
              <w:rPr>
                <w:spacing w:val="1"/>
              </w:rPr>
              <w:t xml:space="preserve"> </w:t>
            </w:r>
            <w:r w:rsidRPr="00F100E1">
              <w:t>substanțe chimice utilizate în producția</w:t>
            </w:r>
            <w:r w:rsidRPr="00F100E1">
              <w:rPr>
                <w:spacing w:val="-52"/>
              </w:rPr>
              <w:t xml:space="preserve"> </w:t>
            </w:r>
            <w:r w:rsidRPr="00F100E1">
              <w:t>de</w:t>
            </w:r>
            <w:r w:rsidRPr="00F100E1">
              <w:rPr>
                <w:spacing w:val="-1"/>
              </w:rPr>
              <w:t xml:space="preserve"> </w:t>
            </w:r>
            <w:r w:rsidRPr="00F100E1">
              <w:t>plante</w:t>
            </w:r>
          </w:p>
          <w:p w14:paraId="25701869" w14:textId="77777777" w:rsidR="00910E00" w:rsidRPr="00F100E1" w:rsidRDefault="00910E00" w:rsidP="009E63E5">
            <w:pPr>
              <w:widowControl w:val="0"/>
              <w:numPr>
                <w:ilvl w:val="0"/>
                <w:numId w:val="166"/>
              </w:numPr>
              <w:tabs>
                <w:tab w:val="left" w:pos="233"/>
              </w:tabs>
              <w:autoSpaceDE w:val="0"/>
              <w:autoSpaceDN w:val="0"/>
              <w:ind w:right="863" w:firstLine="0"/>
              <w:jc w:val="both"/>
            </w:pPr>
            <w:r w:rsidRPr="00F100E1">
              <w:t>rodenticide și alte produse de</w:t>
            </w:r>
            <w:r w:rsidRPr="00F100E1">
              <w:rPr>
                <w:spacing w:val="-52"/>
              </w:rPr>
              <w:t xml:space="preserve"> </w:t>
            </w:r>
            <w:r w:rsidRPr="00F100E1">
              <w:t>combatere</w:t>
            </w:r>
            <w:r w:rsidRPr="00F100E1">
              <w:rPr>
                <w:spacing w:val="-3"/>
              </w:rPr>
              <w:t xml:space="preserve"> </w:t>
            </w:r>
            <w:r w:rsidRPr="00F100E1">
              <w:t>a dăunătorilor</w:t>
            </w:r>
          </w:p>
          <w:p w14:paraId="58653FBF" w14:textId="77777777" w:rsidR="00910E00" w:rsidRPr="00F100E1" w:rsidRDefault="00910E00" w:rsidP="009E63E5">
            <w:pPr>
              <w:widowControl w:val="0"/>
              <w:numPr>
                <w:ilvl w:val="0"/>
                <w:numId w:val="166"/>
              </w:numPr>
              <w:tabs>
                <w:tab w:val="left" w:pos="235"/>
              </w:tabs>
              <w:autoSpaceDE w:val="0"/>
              <w:autoSpaceDN w:val="0"/>
              <w:ind w:right="240" w:firstLine="0"/>
              <w:jc w:val="both"/>
            </w:pPr>
            <w:r w:rsidRPr="00F100E1">
              <w:t>viermicide și alte produse veterinare</w:t>
            </w:r>
            <w:r w:rsidRPr="00F100E1">
              <w:rPr>
                <w:spacing w:val="-52"/>
              </w:rPr>
              <w:t xml:space="preserve"> </w:t>
            </w:r>
            <w:r w:rsidRPr="00F100E1">
              <w:t>utilizate în producția animală (de</w:t>
            </w:r>
            <w:r w:rsidRPr="00F100E1">
              <w:rPr>
                <w:spacing w:val="1"/>
              </w:rPr>
              <w:t xml:space="preserve"> </w:t>
            </w:r>
            <w:r w:rsidRPr="00F100E1">
              <w:t>exemplu, diclofenac și / sau alte</w:t>
            </w:r>
            <w:r w:rsidRPr="00F100E1">
              <w:rPr>
                <w:spacing w:val="1"/>
              </w:rPr>
              <w:t xml:space="preserve"> </w:t>
            </w:r>
            <w:r w:rsidRPr="00F100E1">
              <w:t>produse</w:t>
            </w:r>
            <w:r w:rsidRPr="00F100E1">
              <w:rPr>
                <w:spacing w:val="-1"/>
              </w:rPr>
              <w:t xml:space="preserve"> </w:t>
            </w:r>
            <w:r w:rsidRPr="00F100E1">
              <w:t>veterinare</w:t>
            </w:r>
            <w:r w:rsidRPr="00F100E1">
              <w:rPr>
                <w:spacing w:val="-2"/>
              </w:rPr>
              <w:t xml:space="preserve"> </w:t>
            </w:r>
            <w:r w:rsidRPr="00F100E1">
              <w:t>similare).</w:t>
            </w:r>
          </w:p>
          <w:p w14:paraId="3F4B66CA" w14:textId="77777777" w:rsidR="00910E00" w:rsidRPr="00F100E1" w:rsidRDefault="00910E00" w:rsidP="001E342B">
            <w:pPr>
              <w:widowControl w:val="0"/>
              <w:autoSpaceDE w:val="0"/>
              <w:autoSpaceDN w:val="0"/>
              <w:ind w:right="141"/>
              <w:jc w:val="both"/>
            </w:pPr>
            <w:r w:rsidRPr="00F100E1">
              <w:t>De asemenea include dezvoltarea și</w:t>
            </w:r>
            <w:r w:rsidRPr="00F100E1">
              <w:rPr>
                <w:spacing w:val="1"/>
              </w:rPr>
              <w:t xml:space="preserve"> </w:t>
            </w:r>
            <w:r w:rsidRPr="00F100E1">
              <w:t>menținerea promontorilor de</w:t>
            </w:r>
            <w:r w:rsidRPr="00F100E1">
              <w:rPr>
                <w:spacing w:val="1"/>
              </w:rPr>
              <w:t xml:space="preserve"> </w:t>
            </w:r>
            <w:r w:rsidRPr="00F100E1">
              <w:t>conservare,</w:t>
            </w:r>
            <w:r w:rsidRPr="00F100E1">
              <w:rPr>
                <w:spacing w:val="-3"/>
              </w:rPr>
              <w:t xml:space="preserve"> </w:t>
            </w:r>
            <w:r w:rsidRPr="00F100E1">
              <w:t>sau</w:t>
            </w:r>
            <w:r w:rsidRPr="00F100E1">
              <w:rPr>
                <w:spacing w:val="-2"/>
              </w:rPr>
              <w:t xml:space="preserve"> </w:t>
            </w:r>
            <w:r w:rsidRPr="00F100E1">
              <w:t>a</w:t>
            </w:r>
            <w:r w:rsidRPr="00F100E1">
              <w:rPr>
                <w:spacing w:val="-3"/>
              </w:rPr>
              <w:t xml:space="preserve"> </w:t>
            </w:r>
            <w:r w:rsidRPr="00F100E1">
              <w:t>marginilor</w:t>
            </w:r>
            <w:r w:rsidRPr="00F100E1">
              <w:rPr>
                <w:spacing w:val="-2"/>
              </w:rPr>
              <w:t xml:space="preserve"> </w:t>
            </w:r>
            <w:r w:rsidRPr="00F100E1">
              <w:t>culturilor.</w:t>
            </w:r>
          </w:p>
        </w:tc>
        <w:tc>
          <w:tcPr>
            <w:tcW w:w="1980" w:type="dxa"/>
          </w:tcPr>
          <w:p w14:paraId="4AB33C82" w14:textId="77777777" w:rsidR="00910E00" w:rsidRPr="00C56257" w:rsidRDefault="00910E00" w:rsidP="001E342B">
            <w:pPr>
              <w:widowControl w:val="0"/>
              <w:autoSpaceDE w:val="0"/>
              <w:autoSpaceDN w:val="0"/>
              <w:jc w:val="both"/>
            </w:pPr>
          </w:p>
          <w:p w14:paraId="59251AFF" w14:textId="77777777" w:rsidR="00910E00" w:rsidRPr="00C56257" w:rsidRDefault="00910E00" w:rsidP="001E342B">
            <w:pPr>
              <w:widowControl w:val="0"/>
              <w:autoSpaceDE w:val="0"/>
              <w:autoSpaceDN w:val="0"/>
              <w:jc w:val="both"/>
            </w:pPr>
          </w:p>
          <w:p w14:paraId="7F898552" w14:textId="77777777" w:rsidR="00910E00" w:rsidRPr="00C56257" w:rsidRDefault="00910E00" w:rsidP="001E342B">
            <w:pPr>
              <w:widowControl w:val="0"/>
              <w:autoSpaceDE w:val="0"/>
              <w:autoSpaceDN w:val="0"/>
              <w:jc w:val="both"/>
            </w:pPr>
          </w:p>
          <w:p w14:paraId="59CC8F14" w14:textId="77777777" w:rsidR="00910E00" w:rsidRPr="00C56257" w:rsidRDefault="00910E00" w:rsidP="001E342B">
            <w:pPr>
              <w:widowControl w:val="0"/>
              <w:autoSpaceDE w:val="0"/>
              <w:autoSpaceDN w:val="0"/>
              <w:jc w:val="both"/>
            </w:pPr>
          </w:p>
          <w:p w14:paraId="1799C883" w14:textId="77777777" w:rsidR="00910E00" w:rsidRPr="00C56257" w:rsidRDefault="00910E00" w:rsidP="001E342B">
            <w:pPr>
              <w:widowControl w:val="0"/>
              <w:autoSpaceDE w:val="0"/>
              <w:autoSpaceDN w:val="0"/>
              <w:jc w:val="both"/>
            </w:pPr>
          </w:p>
          <w:p w14:paraId="01ADFFB1" w14:textId="77777777" w:rsidR="00910E00" w:rsidRPr="00F100E1" w:rsidRDefault="00910E00" w:rsidP="001E342B">
            <w:pPr>
              <w:widowControl w:val="0"/>
              <w:autoSpaceDE w:val="0"/>
              <w:autoSpaceDN w:val="0"/>
              <w:jc w:val="both"/>
            </w:pPr>
          </w:p>
          <w:p w14:paraId="0B36E253" w14:textId="77777777" w:rsidR="00910E00" w:rsidRPr="00F100E1" w:rsidRDefault="00910E00" w:rsidP="001E342B">
            <w:pPr>
              <w:widowControl w:val="0"/>
              <w:autoSpaceDE w:val="0"/>
              <w:autoSpaceDN w:val="0"/>
              <w:ind w:right="168"/>
              <w:jc w:val="both"/>
            </w:pPr>
            <w:r w:rsidRPr="00F100E1">
              <w:t>A14 parţial,</w:t>
            </w:r>
            <w:r w:rsidRPr="00F100E1">
              <w:rPr>
                <w:spacing w:val="-52"/>
              </w:rPr>
              <w:t xml:space="preserve"> </w:t>
            </w:r>
            <w:r w:rsidRPr="00F100E1">
              <w:t>A19, A20,</w:t>
            </w:r>
            <w:r w:rsidRPr="00F100E1">
              <w:rPr>
                <w:spacing w:val="1"/>
              </w:rPr>
              <w:t xml:space="preserve"> </w:t>
            </w:r>
            <w:r w:rsidRPr="00F100E1">
              <w:t>A21</w:t>
            </w:r>
          </w:p>
        </w:tc>
      </w:tr>
      <w:tr w:rsidR="00910E00" w:rsidRPr="00F100E1" w14:paraId="337C57B7" w14:textId="77777777" w:rsidTr="00910E00">
        <w:trPr>
          <w:trHeight w:val="1511"/>
        </w:trPr>
        <w:tc>
          <w:tcPr>
            <w:tcW w:w="720" w:type="dxa"/>
          </w:tcPr>
          <w:p w14:paraId="20BA8306" w14:textId="77777777" w:rsidR="00910E00" w:rsidRPr="00F100E1" w:rsidRDefault="00910E00" w:rsidP="001E342B">
            <w:pPr>
              <w:widowControl w:val="0"/>
              <w:autoSpaceDE w:val="0"/>
              <w:autoSpaceDN w:val="0"/>
              <w:jc w:val="both"/>
            </w:pPr>
            <w:r w:rsidRPr="00F100E1">
              <w:lastRenderedPageBreak/>
              <w:t>2.</w:t>
            </w:r>
          </w:p>
        </w:tc>
        <w:tc>
          <w:tcPr>
            <w:tcW w:w="900" w:type="dxa"/>
          </w:tcPr>
          <w:p w14:paraId="2E414EC7" w14:textId="77777777" w:rsidR="00910E00" w:rsidRPr="00C56257" w:rsidRDefault="00910E00" w:rsidP="001E342B">
            <w:pPr>
              <w:widowControl w:val="0"/>
              <w:autoSpaceDE w:val="0"/>
              <w:autoSpaceDN w:val="0"/>
              <w:jc w:val="both"/>
            </w:pPr>
          </w:p>
          <w:p w14:paraId="1A77FAB7" w14:textId="77777777" w:rsidR="00910E00" w:rsidRPr="00F100E1" w:rsidRDefault="00910E00" w:rsidP="001E342B">
            <w:pPr>
              <w:widowControl w:val="0"/>
              <w:autoSpaceDE w:val="0"/>
              <w:autoSpaceDN w:val="0"/>
              <w:jc w:val="both"/>
            </w:pPr>
          </w:p>
          <w:p w14:paraId="07DA10D5" w14:textId="77777777" w:rsidR="00910E00" w:rsidRPr="00F100E1" w:rsidRDefault="00910E00" w:rsidP="001E342B">
            <w:pPr>
              <w:widowControl w:val="0"/>
              <w:autoSpaceDE w:val="0"/>
              <w:autoSpaceDN w:val="0"/>
              <w:ind w:right="254"/>
              <w:jc w:val="both"/>
            </w:pPr>
            <w:r w:rsidRPr="00F100E1">
              <w:t>CA16</w:t>
            </w:r>
          </w:p>
        </w:tc>
        <w:tc>
          <w:tcPr>
            <w:tcW w:w="1917" w:type="dxa"/>
          </w:tcPr>
          <w:p w14:paraId="53C46065" w14:textId="77777777" w:rsidR="00910E00" w:rsidRPr="00F100E1" w:rsidRDefault="00910E00" w:rsidP="001E342B">
            <w:pPr>
              <w:widowControl w:val="0"/>
              <w:autoSpaceDE w:val="0"/>
              <w:autoSpaceDN w:val="0"/>
              <w:jc w:val="both"/>
            </w:pPr>
          </w:p>
          <w:p w14:paraId="2FB2D231" w14:textId="77777777" w:rsidR="00910E00" w:rsidRPr="00F100E1" w:rsidRDefault="00910E00" w:rsidP="001E342B">
            <w:pPr>
              <w:widowControl w:val="0"/>
              <w:autoSpaceDE w:val="0"/>
              <w:autoSpaceDN w:val="0"/>
              <w:ind w:right="537"/>
              <w:jc w:val="both"/>
            </w:pPr>
            <w:r w:rsidRPr="00F100E1">
              <w:t>Alte măsuri</w:t>
            </w:r>
            <w:r w:rsidRPr="00F100E1">
              <w:rPr>
                <w:spacing w:val="-52"/>
              </w:rPr>
              <w:t xml:space="preserve"> </w:t>
            </w:r>
            <w:r w:rsidRPr="00F100E1">
              <w:t>legate de</w:t>
            </w:r>
            <w:r w:rsidRPr="00F100E1">
              <w:rPr>
                <w:spacing w:val="1"/>
              </w:rPr>
              <w:t xml:space="preserve"> </w:t>
            </w:r>
            <w:r w:rsidRPr="00F100E1">
              <w:t>practicile</w:t>
            </w:r>
            <w:r w:rsidRPr="00F100E1">
              <w:rPr>
                <w:spacing w:val="1"/>
              </w:rPr>
              <w:t xml:space="preserve"> </w:t>
            </w:r>
            <w:r w:rsidRPr="00F100E1">
              <w:t>agricole</w:t>
            </w:r>
          </w:p>
        </w:tc>
        <w:tc>
          <w:tcPr>
            <w:tcW w:w="4653" w:type="dxa"/>
          </w:tcPr>
          <w:p w14:paraId="7A3670EC" w14:textId="77777777" w:rsidR="00910E00" w:rsidRPr="00F100E1" w:rsidRDefault="00910E00" w:rsidP="001E342B">
            <w:pPr>
              <w:widowControl w:val="0"/>
              <w:autoSpaceDE w:val="0"/>
              <w:autoSpaceDN w:val="0"/>
              <w:ind w:right="155"/>
              <w:jc w:val="both"/>
            </w:pPr>
            <w:r w:rsidRPr="00F100E1">
              <w:t>Alte măsuri legate de practicile</w:t>
            </w:r>
            <w:r w:rsidRPr="00F100E1">
              <w:rPr>
                <w:spacing w:val="1"/>
              </w:rPr>
              <w:t xml:space="preserve"> </w:t>
            </w:r>
            <w:r w:rsidRPr="00F100E1">
              <w:t>agricole sau de culturile agricole care</w:t>
            </w:r>
            <w:r w:rsidRPr="00F100E1">
              <w:rPr>
                <w:spacing w:val="1"/>
              </w:rPr>
              <w:t xml:space="preserve"> </w:t>
            </w:r>
            <w:r w:rsidRPr="00F100E1">
              <w:t>nu sunt acoperite de celelalte măsuri</w:t>
            </w:r>
            <w:r w:rsidRPr="00F100E1">
              <w:rPr>
                <w:spacing w:val="1"/>
              </w:rPr>
              <w:t xml:space="preserve"> </w:t>
            </w:r>
            <w:r w:rsidRPr="00F100E1">
              <w:t>CA de ex. adaptarea metodelor și / sau</w:t>
            </w:r>
            <w:r w:rsidRPr="00F100E1">
              <w:rPr>
                <w:spacing w:val="-52"/>
              </w:rPr>
              <w:t xml:space="preserve"> </w:t>
            </w:r>
            <w:r w:rsidRPr="00F100E1">
              <w:t>a</w:t>
            </w:r>
            <w:r w:rsidRPr="00F100E1">
              <w:rPr>
                <w:spacing w:val="-1"/>
              </w:rPr>
              <w:t xml:space="preserve"> </w:t>
            </w:r>
            <w:r w:rsidRPr="00F100E1">
              <w:t>momentului</w:t>
            </w:r>
            <w:r w:rsidRPr="00F100E1">
              <w:rPr>
                <w:spacing w:val="-2"/>
              </w:rPr>
              <w:t xml:space="preserve"> </w:t>
            </w:r>
            <w:r w:rsidRPr="00F100E1">
              <w:t>de recoltare</w:t>
            </w:r>
            <w:r w:rsidRPr="00F100E1">
              <w:rPr>
                <w:spacing w:val="-3"/>
              </w:rPr>
              <w:t xml:space="preserve"> </w:t>
            </w:r>
            <w:r w:rsidRPr="00F100E1">
              <w:t>pentru a</w:t>
            </w:r>
          </w:p>
          <w:p w14:paraId="159706BF" w14:textId="77777777" w:rsidR="00910E00" w:rsidRPr="00F100E1" w:rsidRDefault="00910E00" w:rsidP="001E342B">
            <w:pPr>
              <w:widowControl w:val="0"/>
              <w:autoSpaceDE w:val="0"/>
              <w:autoSpaceDN w:val="0"/>
              <w:jc w:val="both"/>
            </w:pPr>
            <w:r w:rsidRPr="00F100E1">
              <w:t>evita</w:t>
            </w:r>
            <w:r w:rsidRPr="00F100E1">
              <w:rPr>
                <w:spacing w:val="-3"/>
              </w:rPr>
              <w:t xml:space="preserve"> </w:t>
            </w:r>
            <w:r w:rsidRPr="00F100E1">
              <w:t>perturbarea</w:t>
            </w:r>
            <w:r w:rsidRPr="00F100E1">
              <w:rPr>
                <w:spacing w:val="-3"/>
              </w:rPr>
              <w:t xml:space="preserve"> </w:t>
            </w:r>
            <w:r w:rsidRPr="00F100E1">
              <w:t>păsărilor</w:t>
            </w:r>
            <w:r w:rsidRPr="00F100E1">
              <w:rPr>
                <w:spacing w:val="-4"/>
              </w:rPr>
              <w:t xml:space="preserve"> </w:t>
            </w:r>
            <w:r w:rsidRPr="00F100E1">
              <w:t>cuibăritoare.</w:t>
            </w:r>
          </w:p>
        </w:tc>
        <w:tc>
          <w:tcPr>
            <w:tcW w:w="1980" w:type="dxa"/>
          </w:tcPr>
          <w:p w14:paraId="5DEA8E59" w14:textId="77777777" w:rsidR="00910E00" w:rsidRPr="00F100E1" w:rsidRDefault="00910E00" w:rsidP="001E342B">
            <w:pPr>
              <w:widowControl w:val="0"/>
              <w:autoSpaceDE w:val="0"/>
              <w:autoSpaceDN w:val="0"/>
              <w:jc w:val="both"/>
            </w:pPr>
          </w:p>
          <w:p w14:paraId="0A63D8AF" w14:textId="77777777" w:rsidR="00910E00" w:rsidRPr="00F100E1" w:rsidRDefault="00910E00" w:rsidP="001E342B">
            <w:pPr>
              <w:widowControl w:val="0"/>
              <w:autoSpaceDE w:val="0"/>
              <w:autoSpaceDN w:val="0"/>
              <w:ind w:right="312"/>
              <w:jc w:val="both"/>
            </w:pPr>
            <w:r w:rsidRPr="00F100E1">
              <w:t>A04, A17,</w:t>
            </w:r>
            <w:r w:rsidRPr="00F100E1">
              <w:rPr>
                <w:spacing w:val="-52"/>
              </w:rPr>
              <w:t xml:space="preserve"> </w:t>
            </w:r>
            <w:r w:rsidRPr="00F100E1">
              <w:t>A22, A23,</w:t>
            </w:r>
            <w:r w:rsidRPr="00F100E1">
              <w:rPr>
                <w:spacing w:val="-52"/>
              </w:rPr>
              <w:t xml:space="preserve"> </w:t>
            </w:r>
            <w:r w:rsidRPr="00F100E1">
              <w:t>A24, A34,</w:t>
            </w:r>
            <w:r w:rsidRPr="00F100E1">
              <w:rPr>
                <w:spacing w:val="-52"/>
              </w:rPr>
              <w:t xml:space="preserve"> </w:t>
            </w:r>
            <w:r w:rsidRPr="00F100E1">
              <w:t>A35</w:t>
            </w:r>
          </w:p>
        </w:tc>
      </w:tr>
      <w:tr w:rsidR="00910E00" w:rsidRPr="00F100E1" w14:paraId="480CB60F" w14:textId="77777777" w:rsidTr="00910E00">
        <w:trPr>
          <w:trHeight w:val="2277"/>
        </w:trPr>
        <w:tc>
          <w:tcPr>
            <w:tcW w:w="720" w:type="dxa"/>
          </w:tcPr>
          <w:p w14:paraId="443DCC6A" w14:textId="77777777" w:rsidR="00910E00" w:rsidRPr="00F100E1" w:rsidRDefault="00910E00" w:rsidP="001E342B">
            <w:pPr>
              <w:widowControl w:val="0"/>
              <w:autoSpaceDE w:val="0"/>
              <w:autoSpaceDN w:val="0"/>
              <w:jc w:val="both"/>
            </w:pPr>
            <w:r w:rsidRPr="00F100E1">
              <w:t>3.</w:t>
            </w:r>
          </w:p>
        </w:tc>
        <w:tc>
          <w:tcPr>
            <w:tcW w:w="900" w:type="dxa"/>
          </w:tcPr>
          <w:p w14:paraId="11D7DC8C" w14:textId="77777777" w:rsidR="00910E00" w:rsidRPr="00C56257" w:rsidRDefault="00910E00" w:rsidP="001E342B">
            <w:pPr>
              <w:widowControl w:val="0"/>
              <w:autoSpaceDE w:val="0"/>
              <w:autoSpaceDN w:val="0"/>
              <w:jc w:val="both"/>
            </w:pPr>
          </w:p>
          <w:p w14:paraId="213498C4" w14:textId="77777777" w:rsidR="00910E00" w:rsidRPr="00C56257" w:rsidRDefault="00910E00" w:rsidP="001E342B">
            <w:pPr>
              <w:widowControl w:val="0"/>
              <w:autoSpaceDE w:val="0"/>
              <w:autoSpaceDN w:val="0"/>
              <w:jc w:val="both"/>
            </w:pPr>
          </w:p>
          <w:p w14:paraId="79D549A0" w14:textId="77777777" w:rsidR="00910E00" w:rsidRPr="00C56257" w:rsidRDefault="00910E00" w:rsidP="001E342B">
            <w:pPr>
              <w:widowControl w:val="0"/>
              <w:autoSpaceDE w:val="0"/>
              <w:autoSpaceDN w:val="0"/>
              <w:jc w:val="both"/>
            </w:pPr>
          </w:p>
          <w:p w14:paraId="067688B2" w14:textId="77777777" w:rsidR="00910E00" w:rsidRPr="00F100E1" w:rsidRDefault="00910E00" w:rsidP="001E342B">
            <w:pPr>
              <w:widowControl w:val="0"/>
              <w:autoSpaceDE w:val="0"/>
              <w:autoSpaceDN w:val="0"/>
              <w:ind w:right="266"/>
              <w:jc w:val="both"/>
            </w:pPr>
            <w:r w:rsidRPr="00F100E1">
              <w:t>CB04</w:t>
            </w:r>
          </w:p>
        </w:tc>
        <w:tc>
          <w:tcPr>
            <w:tcW w:w="1917" w:type="dxa"/>
          </w:tcPr>
          <w:p w14:paraId="0C66DB06" w14:textId="77777777" w:rsidR="00910E00" w:rsidRPr="00C56257" w:rsidRDefault="00910E00" w:rsidP="001E342B">
            <w:pPr>
              <w:widowControl w:val="0"/>
              <w:autoSpaceDE w:val="0"/>
              <w:autoSpaceDN w:val="0"/>
              <w:jc w:val="both"/>
            </w:pPr>
          </w:p>
          <w:p w14:paraId="60ED3E28" w14:textId="77777777" w:rsidR="00910E00" w:rsidRPr="00F100E1" w:rsidRDefault="00910E00" w:rsidP="001E342B">
            <w:pPr>
              <w:widowControl w:val="0"/>
              <w:autoSpaceDE w:val="0"/>
              <w:autoSpaceDN w:val="0"/>
              <w:jc w:val="both"/>
            </w:pPr>
          </w:p>
          <w:p w14:paraId="08768197" w14:textId="77777777" w:rsidR="00910E00" w:rsidRPr="00F100E1" w:rsidRDefault="00910E00" w:rsidP="001E342B">
            <w:pPr>
              <w:widowControl w:val="0"/>
              <w:autoSpaceDE w:val="0"/>
              <w:autoSpaceDN w:val="0"/>
              <w:ind w:right="204"/>
              <w:jc w:val="both"/>
            </w:pPr>
            <w:r w:rsidRPr="00F100E1">
              <w:rPr>
                <w:spacing w:val="-1"/>
              </w:rPr>
              <w:t>Adaptarea/gesti</w:t>
            </w:r>
            <w:r w:rsidRPr="00F100E1">
              <w:rPr>
                <w:spacing w:val="-52"/>
              </w:rPr>
              <w:t xml:space="preserve"> </w:t>
            </w:r>
            <w:r w:rsidRPr="00F100E1">
              <w:t>onarea</w:t>
            </w:r>
            <w:r w:rsidRPr="00F100E1">
              <w:rPr>
                <w:spacing w:val="1"/>
              </w:rPr>
              <w:t xml:space="preserve"> </w:t>
            </w:r>
            <w:r w:rsidRPr="00F100E1">
              <w:t>reîmpăduririi și</w:t>
            </w:r>
            <w:r w:rsidRPr="00F100E1">
              <w:rPr>
                <w:spacing w:val="-52"/>
              </w:rPr>
              <w:t xml:space="preserve"> </w:t>
            </w:r>
            <w:r w:rsidRPr="00F100E1">
              <w:t>regenerării</w:t>
            </w:r>
            <w:r w:rsidRPr="00F100E1">
              <w:rPr>
                <w:spacing w:val="1"/>
              </w:rPr>
              <w:t xml:space="preserve"> </w:t>
            </w:r>
            <w:r w:rsidRPr="00F100E1">
              <w:t>pădurilor</w:t>
            </w:r>
          </w:p>
        </w:tc>
        <w:tc>
          <w:tcPr>
            <w:tcW w:w="4653" w:type="dxa"/>
          </w:tcPr>
          <w:p w14:paraId="45563767" w14:textId="77777777" w:rsidR="00910E00" w:rsidRPr="00F100E1" w:rsidRDefault="00910E00" w:rsidP="001E342B">
            <w:pPr>
              <w:widowControl w:val="0"/>
              <w:autoSpaceDE w:val="0"/>
              <w:autoSpaceDN w:val="0"/>
              <w:ind w:right="112"/>
              <w:jc w:val="both"/>
            </w:pPr>
            <w:r w:rsidRPr="00F100E1">
              <w:t>Adaptarea sau gestionarea</w:t>
            </w:r>
            <w:r w:rsidRPr="00F100E1">
              <w:rPr>
                <w:spacing w:val="1"/>
              </w:rPr>
              <w:t xml:space="preserve"> </w:t>
            </w:r>
            <w:r w:rsidRPr="00F100E1">
              <w:t>reîmpăduririlor pentru a reface</w:t>
            </w:r>
            <w:r w:rsidRPr="00F100E1">
              <w:rPr>
                <w:spacing w:val="1"/>
              </w:rPr>
              <w:t xml:space="preserve"> </w:t>
            </w:r>
            <w:r w:rsidRPr="00F100E1">
              <w:t>habitatele forestiere și habitatele</w:t>
            </w:r>
            <w:r w:rsidRPr="00F100E1">
              <w:rPr>
                <w:spacing w:val="1"/>
              </w:rPr>
              <w:t xml:space="preserve"> </w:t>
            </w:r>
            <w:r w:rsidRPr="00F100E1">
              <w:t>speciilor</w:t>
            </w:r>
            <w:r w:rsidRPr="00F100E1">
              <w:rPr>
                <w:spacing w:val="3"/>
              </w:rPr>
              <w:t xml:space="preserve"> </w:t>
            </w:r>
            <w:r w:rsidRPr="00F100E1">
              <w:t>tipice</w:t>
            </w:r>
            <w:r w:rsidRPr="00F100E1">
              <w:rPr>
                <w:spacing w:val="5"/>
              </w:rPr>
              <w:t xml:space="preserve"> </w:t>
            </w:r>
            <w:r w:rsidRPr="00F100E1">
              <w:t>de</w:t>
            </w:r>
            <w:r w:rsidRPr="00F100E1">
              <w:rPr>
                <w:spacing w:val="3"/>
              </w:rPr>
              <w:t xml:space="preserve"> </w:t>
            </w:r>
            <w:r w:rsidRPr="00F100E1">
              <w:t>pădure,</w:t>
            </w:r>
            <w:r w:rsidRPr="00F100E1">
              <w:rPr>
                <w:spacing w:val="3"/>
              </w:rPr>
              <w:t xml:space="preserve"> </w:t>
            </w:r>
            <w:r w:rsidRPr="00F100E1">
              <w:t>incluzând,</w:t>
            </w:r>
            <w:r w:rsidRPr="00F100E1">
              <w:rPr>
                <w:spacing w:val="1"/>
              </w:rPr>
              <w:t xml:space="preserve"> </w:t>
            </w:r>
            <w:r w:rsidRPr="00F100E1">
              <w:t>de exemplu, conversia, pe termen lung,</w:t>
            </w:r>
            <w:r w:rsidRPr="00F100E1">
              <w:rPr>
                <w:spacing w:val="-53"/>
              </w:rPr>
              <w:t xml:space="preserve"> </w:t>
            </w:r>
            <w:r w:rsidRPr="00F100E1">
              <w:t>a plantațiilor cu aliniamente în păduri</w:t>
            </w:r>
            <w:r w:rsidRPr="00F100E1">
              <w:rPr>
                <w:spacing w:val="1"/>
              </w:rPr>
              <w:t xml:space="preserve"> </w:t>
            </w:r>
            <w:r w:rsidRPr="00F100E1">
              <w:t>autohtone, sau adaptarea tehnicilor de</w:t>
            </w:r>
            <w:r w:rsidRPr="00F100E1">
              <w:rPr>
                <w:spacing w:val="1"/>
              </w:rPr>
              <w:t xml:space="preserve"> </w:t>
            </w:r>
            <w:r w:rsidRPr="00F100E1">
              <w:t>reîmpădurire,</w:t>
            </w:r>
            <w:r w:rsidRPr="00F100E1">
              <w:rPr>
                <w:spacing w:val="-1"/>
              </w:rPr>
              <w:t xml:space="preserve"> </w:t>
            </w:r>
            <w:r w:rsidRPr="00F100E1">
              <w:t>cum</w:t>
            </w:r>
            <w:r w:rsidRPr="00F100E1">
              <w:rPr>
                <w:spacing w:val="-4"/>
              </w:rPr>
              <w:t xml:space="preserve"> </w:t>
            </w:r>
            <w:r w:rsidRPr="00F100E1">
              <w:t>ar fi utilizarea</w:t>
            </w:r>
          </w:p>
          <w:p w14:paraId="17983114" w14:textId="77777777" w:rsidR="00910E00" w:rsidRPr="00F100E1" w:rsidRDefault="00910E00" w:rsidP="001E342B">
            <w:pPr>
              <w:widowControl w:val="0"/>
              <w:autoSpaceDE w:val="0"/>
              <w:autoSpaceDN w:val="0"/>
              <w:jc w:val="both"/>
            </w:pPr>
            <w:r w:rsidRPr="00F100E1">
              <w:t>regenerării</w:t>
            </w:r>
            <w:r w:rsidRPr="00F100E1">
              <w:rPr>
                <w:spacing w:val="-2"/>
              </w:rPr>
              <w:t xml:space="preserve"> </w:t>
            </w:r>
            <w:r w:rsidRPr="00F100E1">
              <w:t>naturale</w:t>
            </w:r>
            <w:r w:rsidRPr="00F100E1">
              <w:rPr>
                <w:spacing w:val="-2"/>
              </w:rPr>
              <w:t xml:space="preserve"> </w:t>
            </w:r>
            <w:r w:rsidRPr="00F100E1">
              <w:t>sau</w:t>
            </w:r>
            <w:r w:rsidRPr="00F100E1">
              <w:rPr>
                <w:spacing w:val="-2"/>
              </w:rPr>
              <w:t xml:space="preserve"> </w:t>
            </w:r>
            <w:r w:rsidRPr="00F100E1">
              <w:t>a</w:t>
            </w:r>
            <w:r w:rsidRPr="00F100E1">
              <w:rPr>
                <w:spacing w:val="-4"/>
              </w:rPr>
              <w:t xml:space="preserve"> </w:t>
            </w:r>
            <w:r w:rsidRPr="00F100E1">
              <w:t>focului.</w:t>
            </w:r>
          </w:p>
        </w:tc>
        <w:tc>
          <w:tcPr>
            <w:tcW w:w="1980" w:type="dxa"/>
          </w:tcPr>
          <w:p w14:paraId="449F8AC2" w14:textId="77777777" w:rsidR="00910E00" w:rsidRPr="00C56257" w:rsidRDefault="00910E00" w:rsidP="001E342B">
            <w:pPr>
              <w:widowControl w:val="0"/>
              <w:autoSpaceDE w:val="0"/>
              <w:autoSpaceDN w:val="0"/>
              <w:jc w:val="both"/>
            </w:pPr>
          </w:p>
          <w:p w14:paraId="379AFAAF" w14:textId="77777777" w:rsidR="00910E00" w:rsidRPr="00C56257" w:rsidRDefault="00910E00" w:rsidP="001E342B">
            <w:pPr>
              <w:widowControl w:val="0"/>
              <w:autoSpaceDE w:val="0"/>
              <w:autoSpaceDN w:val="0"/>
              <w:jc w:val="both"/>
            </w:pPr>
          </w:p>
          <w:p w14:paraId="4F8FECFB" w14:textId="77777777" w:rsidR="00910E00" w:rsidRPr="00F100E1" w:rsidRDefault="00910E00" w:rsidP="001E342B">
            <w:pPr>
              <w:widowControl w:val="0"/>
              <w:autoSpaceDE w:val="0"/>
              <w:autoSpaceDN w:val="0"/>
              <w:ind w:right="180"/>
              <w:jc w:val="both"/>
            </w:pPr>
            <w:r w:rsidRPr="00F100E1">
              <w:t>B02 parţial,</w:t>
            </w:r>
            <w:r w:rsidRPr="00F100E1">
              <w:rPr>
                <w:spacing w:val="-52"/>
              </w:rPr>
              <w:t xml:space="preserve"> </w:t>
            </w:r>
            <w:r w:rsidRPr="00F100E1">
              <w:t>B03, B05,</w:t>
            </w:r>
          </w:p>
          <w:p w14:paraId="5F83381E" w14:textId="77777777" w:rsidR="00910E00" w:rsidRPr="00F100E1" w:rsidRDefault="00910E00" w:rsidP="001E342B">
            <w:pPr>
              <w:widowControl w:val="0"/>
              <w:autoSpaceDE w:val="0"/>
              <w:autoSpaceDN w:val="0"/>
              <w:jc w:val="both"/>
            </w:pPr>
            <w:r w:rsidRPr="00F100E1">
              <w:t>B17</w:t>
            </w:r>
            <w:r w:rsidRPr="00F100E1">
              <w:rPr>
                <w:spacing w:val="-1"/>
              </w:rPr>
              <w:t xml:space="preserve"> </w:t>
            </w:r>
            <w:r w:rsidRPr="00F100E1">
              <w:t>parţial</w:t>
            </w:r>
          </w:p>
        </w:tc>
      </w:tr>
      <w:tr w:rsidR="00910E00" w:rsidRPr="00F100E1" w14:paraId="6010DECA" w14:textId="77777777" w:rsidTr="00910E00">
        <w:trPr>
          <w:trHeight w:val="760"/>
        </w:trPr>
        <w:tc>
          <w:tcPr>
            <w:tcW w:w="720" w:type="dxa"/>
          </w:tcPr>
          <w:p w14:paraId="2AB12B27" w14:textId="77777777" w:rsidR="00910E00" w:rsidRPr="00F100E1" w:rsidRDefault="00910E00" w:rsidP="001E342B">
            <w:pPr>
              <w:widowControl w:val="0"/>
              <w:autoSpaceDE w:val="0"/>
              <w:autoSpaceDN w:val="0"/>
              <w:jc w:val="both"/>
            </w:pPr>
            <w:r w:rsidRPr="00F100E1">
              <w:t>4.</w:t>
            </w:r>
          </w:p>
        </w:tc>
        <w:tc>
          <w:tcPr>
            <w:tcW w:w="900" w:type="dxa"/>
          </w:tcPr>
          <w:p w14:paraId="69D13881" w14:textId="77777777" w:rsidR="00910E00" w:rsidRPr="00F100E1" w:rsidRDefault="00910E00" w:rsidP="001E342B">
            <w:pPr>
              <w:widowControl w:val="0"/>
              <w:autoSpaceDE w:val="0"/>
              <w:autoSpaceDN w:val="0"/>
              <w:jc w:val="both"/>
            </w:pPr>
          </w:p>
          <w:p w14:paraId="1A7195B1" w14:textId="77777777" w:rsidR="00910E00" w:rsidRPr="00F100E1" w:rsidRDefault="00910E00" w:rsidP="001E342B">
            <w:pPr>
              <w:widowControl w:val="0"/>
              <w:autoSpaceDE w:val="0"/>
              <w:autoSpaceDN w:val="0"/>
              <w:ind w:right="254"/>
              <w:jc w:val="both"/>
            </w:pPr>
            <w:r w:rsidRPr="00F100E1">
              <w:t>CA07</w:t>
            </w:r>
          </w:p>
        </w:tc>
        <w:tc>
          <w:tcPr>
            <w:tcW w:w="1917" w:type="dxa"/>
          </w:tcPr>
          <w:p w14:paraId="12885F33" w14:textId="77777777" w:rsidR="00910E00" w:rsidRPr="00F100E1" w:rsidRDefault="00910E00" w:rsidP="001E342B">
            <w:pPr>
              <w:widowControl w:val="0"/>
              <w:autoSpaceDE w:val="0"/>
              <w:autoSpaceDN w:val="0"/>
              <w:jc w:val="both"/>
            </w:pPr>
            <w:r w:rsidRPr="00F100E1">
              <w:t>Recreerea</w:t>
            </w:r>
          </w:p>
          <w:p w14:paraId="14B8EE56" w14:textId="77777777" w:rsidR="00910E00" w:rsidRPr="00F100E1" w:rsidRDefault="00910E00" w:rsidP="001E342B">
            <w:pPr>
              <w:widowControl w:val="0"/>
              <w:autoSpaceDE w:val="0"/>
              <w:autoSpaceDN w:val="0"/>
              <w:ind w:right="537"/>
              <w:jc w:val="both"/>
            </w:pPr>
            <w:r w:rsidRPr="00F100E1">
              <w:t>habitatelor</w:t>
            </w:r>
            <w:r w:rsidRPr="00F100E1">
              <w:rPr>
                <w:spacing w:val="1"/>
              </w:rPr>
              <w:t xml:space="preserve"> </w:t>
            </w:r>
            <w:r w:rsidRPr="00F100E1">
              <w:t>agricole</w:t>
            </w:r>
            <w:r w:rsidRPr="00F100E1">
              <w:rPr>
                <w:spacing w:val="-12"/>
              </w:rPr>
              <w:t xml:space="preserve"> </w:t>
            </w:r>
            <w:r w:rsidRPr="00F100E1">
              <w:t>din</w:t>
            </w:r>
          </w:p>
        </w:tc>
        <w:tc>
          <w:tcPr>
            <w:tcW w:w="4653" w:type="dxa"/>
          </w:tcPr>
          <w:p w14:paraId="159C25AC" w14:textId="77777777" w:rsidR="00910E00" w:rsidRPr="00F100E1" w:rsidRDefault="00910E00" w:rsidP="001E342B">
            <w:pPr>
              <w:widowControl w:val="0"/>
              <w:autoSpaceDE w:val="0"/>
              <w:autoSpaceDN w:val="0"/>
              <w:jc w:val="both"/>
            </w:pPr>
            <w:r w:rsidRPr="00F100E1">
              <w:t>Terenul</w:t>
            </w:r>
            <w:r w:rsidRPr="00F100E1">
              <w:rPr>
                <w:spacing w:val="-1"/>
              </w:rPr>
              <w:t xml:space="preserve"> </w:t>
            </w:r>
            <w:r w:rsidRPr="00F100E1">
              <w:t>care</w:t>
            </w:r>
            <w:r w:rsidRPr="00F100E1">
              <w:rPr>
                <w:spacing w:val="-3"/>
              </w:rPr>
              <w:t xml:space="preserve"> </w:t>
            </w:r>
            <w:r w:rsidRPr="00F100E1">
              <w:t>a</w:t>
            </w:r>
            <w:r w:rsidRPr="00F100E1">
              <w:rPr>
                <w:spacing w:val="-1"/>
              </w:rPr>
              <w:t xml:space="preserve"> </w:t>
            </w:r>
            <w:r w:rsidRPr="00F100E1">
              <w:t>fost</w:t>
            </w:r>
            <w:r w:rsidRPr="00F100E1">
              <w:rPr>
                <w:spacing w:val="-3"/>
              </w:rPr>
              <w:t xml:space="preserve"> </w:t>
            </w:r>
            <w:r w:rsidRPr="00F100E1">
              <w:t>folosit</w:t>
            </w:r>
            <w:r w:rsidRPr="00F100E1">
              <w:rPr>
                <w:spacing w:val="-3"/>
              </w:rPr>
              <w:t xml:space="preserve"> </w:t>
            </w:r>
            <w:r w:rsidRPr="00F100E1">
              <w:t>anterior</w:t>
            </w:r>
            <w:r w:rsidRPr="00F100E1">
              <w:rPr>
                <w:spacing w:val="-1"/>
              </w:rPr>
              <w:t xml:space="preserve"> </w:t>
            </w:r>
            <w:r w:rsidRPr="00F100E1">
              <w:t>fie</w:t>
            </w:r>
          </w:p>
          <w:p w14:paraId="225DF574" w14:textId="77777777" w:rsidR="00910E00" w:rsidRPr="00F100E1" w:rsidRDefault="00910E00" w:rsidP="001E342B">
            <w:pPr>
              <w:widowControl w:val="0"/>
              <w:autoSpaceDE w:val="0"/>
              <w:autoSpaceDN w:val="0"/>
              <w:ind w:right="149"/>
              <w:jc w:val="both"/>
            </w:pPr>
            <w:r w:rsidRPr="00F100E1">
              <w:t>pentru agricultură (de ex. teren arabil),</w:t>
            </w:r>
            <w:r w:rsidRPr="00F100E1">
              <w:rPr>
                <w:spacing w:val="-52"/>
              </w:rPr>
              <w:t xml:space="preserve"> </w:t>
            </w:r>
            <w:r w:rsidRPr="00F100E1">
              <w:t>pentru</w:t>
            </w:r>
            <w:r w:rsidRPr="00F100E1">
              <w:rPr>
                <w:spacing w:val="-1"/>
              </w:rPr>
              <w:t xml:space="preserve"> </w:t>
            </w:r>
            <w:r w:rsidRPr="00F100E1">
              <w:t>silvicultură</w:t>
            </w:r>
            <w:r w:rsidRPr="00F100E1">
              <w:rPr>
                <w:spacing w:val="-3"/>
              </w:rPr>
              <w:t xml:space="preserve"> </w:t>
            </w:r>
            <w:r w:rsidRPr="00F100E1">
              <w:t>(de</w:t>
            </w:r>
            <w:r w:rsidRPr="00F100E1">
              <w:rPr>
                <w:spacing w:val="-2"/>
              </w:rPr>
              <w:t xml:space="preserve"> </w:t>
            </w:r>
            <w:r w:rsidRPr="00F100E1">
              <w:t>exemplu,</w:t>
            </w:r>
          </w:p>
        </w:tc>
        <w:tc>
          <w:tcPr>
            <w:tcW w:w="1980" w:type="dxa"/>
          </w:tcPr>
          <w:p w14:paraId="099E1EF0" w14:textId="77777777" w:rsidR="00910E00" w:rsidRPr="00F100E1" w:rsidRDefault="00910E00" w:rsidP="001E342B">
            <w:pPr>
              <w:widowControl w:val="0"/>
              <w:autoSpaceDE w:val="0"/>
              <w:autoSpaceDN w:val="0"/>
              <w:jc w:val="both"/>
            </w:pPr>
            <w:r w:rsidRPr="00F100E1">
              <w:t>A02, B01,</w:t>
            </w:r>
          </w:p>
          <w:p w14:paraId="12158EB8" w14:textId="77777777" w:rsidR="00910E00" w:rsidRPr="00F100E1" w:rsidRDefault="00910E00" w:rsidP="001E342B">
            <w:pPr>
              <w:widowControl w:val="0"/>
              <w:autoSpaceDE w:val="0"/>
              <w:autoSpaceDN w:val="0"/>
              <w:ind w:right="308"/>
              <w:jc w:val="both"/>
            </w:pPr>
            <w:r w:rsidRPr="00F100E1">
              <w:t>C05, D01,</w:t>
            </w:r>
            <w:r w:rsidRPr="00F100E1">
              <w:rPr>
                <w:spacing w:val="-52"/>
              </w:rPr>
              <w:t xml:space="preserve"> </w:t>
            </w:r>
            <w:r w:rsidRPr="00F100E1">
              <w:t>D03, F01,</w:t>
            </w:r>
          </w:p>
        </w:tc>
      </w:tr>
      <w:tr w:rsidR="00910E00" w:rsidRPr="00F100E1" w14:paraId="5BD906D8" w14:textId="77777777" w:rsidTr="00910E00">
        <w:trPr>
          <w:trHeight w:val="2277"/>
        </w:trPr>
        <w:tc>
          <w:tcPr>
            <w:tcW w:w="720" w:type="dxa"/>
          </w:tcPr>
          <w:p w14:paraId="023FE332" w14:textId="77777777" w:rsidR="00910E00" w:rsidRPr="00F100E1" w:rsidRDefault="00910E00" w:rsidP="001E342B">
            <w:pPr>
              <w:widowControl w:val="0"/>
              <w:autoSpaceDE w:val="0"/>
              <w:autoSpaceDN w:val="0"/>
              <w:jc w:val="both"/>
            </w:pPr>
          </w:p>
        </w:tc>
        <w:tc>
          <w:tcPr>
            <w:tcW w:w="900" w:type="dxa"/>
          </w:tcPr>
          <w:p w14:paraId="67FBB9A5" w14:textId="77777777" w:rsidR="00910E00" w:rsidRPr="00F100E1" w:rsidRDefault="00910E00" w:rsidP="001E342B">
            <w:pPr>
              <w:widowControl w:val="0"/>
              <w:autoSpaceDE w:val="0"/>
              <w:autoSpaceDN w:val="0"/>
              <w:jc w:val="both"/>
            </w:pPr>
          </w:p>
        </w:tc>
        <w:tc>
          <w:tcPr>
            <w:tcW w:w="1917" w:type="dxa"/>
          </w:tcPr>
          <w:p w14:paraId="3F0DEFE5" w14:textId="77777777" w:rsidR="00910E00" w:rsidRPr="00F100E1" w:rsidRDefault="00910E00" w:rsidP="001E342B">
            <w:pPr>
              <w:widowControl w:val="0"/>
              <w:autoSpaceDE w:val="0"/>
              <w:autoSpaceDN w:val="0"/>
              <w:jc w:val="both"/>
            </w:pPr>
            <w:r w:rsidRPr="00F100E1">
              <w:t>Anexa I</w:t>
            </w:r>
          </w:p>
        </w:tc>
        <w:tc>
          <w:tcPr>
            <w:tcW w:w="4653" w:type="dxa"/>
          </w:tcPr>
          <w:p w14:paraId="14B905D3" w14:textId="77777777" w:rsidR="00910E00" w:rsidRPr="00F100E1" w:rsidRDefault="00910E00" w:rsidP="001E342B">
            <w:pPr>
              <w:widowControl w:val="0"/>
              <w:autoSpaceDE w:val="0"/>
              <w:autoSpaceDN w:val="0"/>
              <w:ind w:right="143"/>
              <w:jc w:val="both"/>
            </w:pPr>
            <w:r w:rsidRPr="00F100E1">
              <w:t>plantație populară), să fie destinat unei</w:t>
            </w:r>
            <w:r w:rsidRPr="00F100E1">
              <w:rPr>
                <w:spacing w:val="-52"/>
              </w:rPr>
              <w:t xml:space="preserve"> </w:t>
            </w:r>
            <w:r w:rsidRPr="00F100E1">
              <w:t>alte utilizări; (re) crearea / restaurarea</w:t>
            </w:r>
            <w:r w:rsidRPr="00F100E1">
              <w:rPr>
                <w:spacing w:val="1"/>
              </w:rPr>
              <w:t xml:space="preserve"> </w:t>
            </w:r>
            <w:r w:rsidRPr="00F100E1">
              <w:t>ca tip de habitat agricol din Anexa I.</w:t>
            </w:r>
            <w:r w:rsidRPr="00F100E1">
              <w:rPr>
                <w:spacing w:val="1"/>
              </w:rPr>
              <w:t xml:space="preserve"> </w:t>
            </w:r>
            <w:r w:rsidRPr="00F100E1">
              <w:t>Include, de exemplu, recreerea unei</w:t>
            </w:r>
            <w:r w:rsidRPr="00F100E1">
              <w:rPr>
                <w:spacing w:val="1"/>
              </w:rPr>
              <w:t xml:space="preserve"> </w:t>
            </w:r>
            <w:r w:rsidRPr="00F100E1">
              <w:t>pajiști din anexa I dintr-o plantație</w:t>
            </w:r>
            <w:r w:rsidRPr="00F100E1">
              <w:rPr>
                <w:spacing w:val="1"/>
              </w:rPr>
              <w:t xml:space="preserve"> </w:t>
            </w:r>
            <w:r w:rsidRPr="00F100E1">
              <w:t>forestieră. Acesta este un proces care</w:t>
            </w:r>
            <w:r w:rsidRPr="00F100E1">
              <w:rPr>
                <w:spacing w:val="1"/>
              </w:rPr>
              <w:t xml:space="preserve"> </w:t>
            </w:r>
            <w:r w:rsidRPr="00F100E1">
              <w:t>ar putea</w:t>
            </w:r>
            <w:r w:rsidRPr="00F100E1">
              <w:rPr>
                <w:spacing w:val="-2"/>
              </w:rPr>
              <w:t xml:space="preserve"> </w:t>
            </w:r>
            <w:r w:rsidRPr="00F100E1">
              <w:t>dura mult timp pentru</w:t>
            </w:r>
            <w:r w:rsidRPr="00F100E1">
              <w:rPr>
                <w:spacing w:val="-3"/>
              </w:rPr>
              <w:t xml:space="preserve"> </w:t>
            </w:r>
            <w:r w:rsidRPr="00F100E1">
              <w:t>a</w:t>
            </w:r>
          </w:p>
          <w:p w14:paraId="19213D22" w14:textId="77777777" w:rsidR="00910E00" w:rsidRPr="00F100E1" w:rsidRDefault="00910E00" w:rsidP="001E342B">
            <w:pPr>
              <w:widowControl w:val="0"/>
              <w:autoSpaceDE w:val="0"/>
              <w:autoSpaceDN w:val="0"/>
              <w:ind w:right="161"/>
              <w:jc w:val="both"/>
            </w:pPr>
            <w:r w:rsidRPr="00F100E1">
              <w:t>restabili pe deplin structura și funcțiile</w:t>
            </w:r>
            <w:r w:rsidRPr="00F100E1">
              <w:rPr>
                <w:spacing w:val="-52"/>
              </w:rPr>
              <w:t xml:space="preserve"> </w:t>
            </w:r>
            <w:r w:rsidRPr="00F100E1">
              <w:t>habitatelor.</w:t>
            </w:r>
          </w:p>
        </w:tc>
        <w:tc>
          <w:tcPr>
            <w:tcW w:w="1980" w:type="dxa"/>
          </w:tcPr>
          <w:p w14:paraId="2B32EDC9" w14:textId="77777777" w:rsidR="00910E00" w:rsidRPr="00F100E1" w:rsidRDefault="00910E00" w:rsidP="001E342B">
            <w:pPr>
              <w:widowControl w:val="0"/>
              <w:autoSpaceDE w:val="0"/>
              <w:autoSpaceDN w:val="0"/>
              <w:jc w:val="both"/>
            </w:pPr>
            <w:r w:rsidRPr="00F100E1">
              <w:t>F03, F05</w:t>
            </w:r>
          </w:p>
        </w:tc>
      </w:tr>
      <w:tr w:rsidR="00910E00" w:rsidRPr="00F100E1" w14:paraId="23CCDE11" w14:textId="77777777" w:rsidTr="00910E00">
        <w:trPr>
          <w:trHeight w:val="3288"/>
        </w:trPr>
        <w:tc>
          <w:tcPr>
            <w:tcW w:w="720" w:type="dxa"/>
          </w:tcPr>
          <w:p w14:paraId="2FE8699B" w14:textId="77777777" w:rsidR="00910E00" w:rsidRPr="00F100E1" w:rsidRDefault="00910E00" w:rsidP="001E342B">
            <w:pPr>
              <w:widowControl w:val="0"/>
              <w:autoSpaceDE w:val="0"/>
              <w:autoSpaceDN w:val="0"/>
              <w:jc w:val="both"/>
            </w:pPr>
            <w:r w:rsidRPr="00F100E1">
              <w:t>5.</w:t>
            </w:r>
          </w:p>
        </w:tc>
        <w:tc>
          <w:tcPr>
            <w:tcW w:w="900" w:type="dxa"/>
          </w:tcPr>
          <w:p w14:paraId="022830AF" w14:textId="77777777" w:rsidR="00910E00" w:rsidRPr="00C56257" w:rsidRDefault="00910E00" w:rsidP="001E342B">
            <w:pPr>
              <w:widowControl w:val="0"/>
              <w:autoSpaceDE w:val="0"/>
              <w:autoSpaceDN w:val="0"/>
              <w:jc w:val="both"/>
            </w:pPr>
          </w:p>
          <w:p w14:paraId="5AE06717" w14:textId="77777777" w:rsidR="00910E00" w:rsidRPr="00C56257" w:rsidRDefault="00910E00" w:rsidP="001E342B">
            <w:pPr>
              <w:widowControl w:val="0"/>
              <w:autoSpaceDE w:val="0"/>
              <w:autoSpaceDN w:val="0"/>
              <w:jc w:val="both"/>
            </w:pPr>
          </w:p>
          <w:p w14:paraId="6DDFBC11" w14:textId="77777777" w:rsidR="00910E00" w:rsidRPr="00C56257" w:rsidRDefault="00910E00" w:rsidP="001E342B">
            <w:pPr>
              <w:widowControl w:val="0"/>
              <w:autoSpaceDE w:val="0"/>
              <w:autoSpaceDN w:val="0"/>
              <w:jc w:val="both"/>
            </w:pPr>
          </w:p>
          <w:p w14:paraId="3B3EB96F" w14:textId="77777777" w:rsidR="00910E00" w:rsidRPr="00C56257" w:rsidRDefault="00910E00" w:rsidP="001E342B">
            <w:pPr>
              <w:widowControl w:val="0"/>
              <w:autoSpaceDE w:val="0"/>
              <w:autoSpaceDN w:val="0"/>
              <w:jc w:val="both"/>
            </w:pPr>
          </w:p>
          <w:p w14:paraId="705CA878" w14:textId="77777777" w:rsidR="00910E00" w:rsidRPr="00F100E1" w:rsidRDefault="00910E00" w:rsidP="001E342B">
            <w:pPr>
              <w:widowControl w:val="0"/>
              <w:autoSpaceDE w:val="0"/>
              <w:autoSpaceDN w:val="0"/>
              <w:jc w:val="both"/>
            </w:pPr>
          </w:p>
          <w:p w14:paraId="2DB7F8EF" w14:textId="77777777" w:rsidR="00910E00" w:rsidRPr="00F100E1" w:rsidRDefault="00910E00" w:rsidP="001E342B">
            <w:pPr>
              <w:widowControl w:val="0"/>
              <w:autoSpaceDE w:val="0"/>
              <w:autoSpaceDN w:val="0"/>
              <w:jc w:val="both"/>
            </w:pPr>
            <w:r w:rsidRPr="00F100E1">
              <w:t>CC03</w:t>
            </w:r>
          </w:p>
        </w:tc>
        <w:tc>
          <w:tcPr>
            <w:tcW w:w="1917" w:type="dxa"/>
          </w:tcPr>
          <w:p w14:paraId="05D5ADB0" w14:textId="77777777" w:rsidR="00910E00" w:rsidRPr="00F100E1" w:rsidRDefault="00910E00" w:rsidP="001E342B">
            <w:pPr>
              <w:widowControl w:val="0"/>
              <w:autoSpaceDE w:val="0"/>
              <w:autoSpaceDN w:val="0"/>
              <w:jc w:val="both"/>
            </w:pPr>
          </w:p>
          <w:p w14:paraId="7174E9A3" w14:textId="77777777" w:rsidR="00910E00" w:rsidRPr="00F100E1" w:rsidRDefault="00910E00" w:rsidP="001E342B">
            <w:pPr>
              <w:widowControl w:val="0"/>
              <w:autoSpaceDE w:val="0"/>
              <w:autoSpaceDN w:val="0"/>
              <w:ind w:right="204"/>
              <w:jc w:val="both"/>
            </w:pPr>
            <w:r w:rsidRPr="00F100E1">
              <w:rPr>
                <w:color w:val="1F2023"/>
                <w:spacing w:val="-1"/>
              </w:rPr>
              <w:t>Adaptarea/gesti</w:t>
            </w:r>
            <w:r w:rsidRPr="00F100E1">
              <w:rPr>
                <w:color w:val="1F2023"/>
                <w:spacing w:val="-52"/>
              </w:rPr>
              <w:t xml:space="preserve"> </w:t>
            </w:r>
            <w:r w:rsidRPr="00F100E1">
              <w:rPr>
                <w:color w:val="1F2023"/>
              </w:rPr>
              <w:t>onarea</w:t>
            </w:r>
            <w:r w:rsidRPr="00F100E1">
              <w:rPr>
                <w:color w:val="1F2023"/>
                <w:spacing w:val="1"/>
              </w:rPr>
              <w:t xml:space="preserve"> </w:t>
            </w:r>
            <w:r w:rsidRPr="00F100E1">
              <w:rPr>
                <w:color w:val="1F2023"/>
              </w:rPr>
              <w:t>producerii de</w:t>
            </w:r>
            <w:r w:rsidRPr="00F100E1">
              <w:rPr>
                <w:color w:val="1F2023"/>
                <w:spacing w:val="1"/>
              </w:rPr>
              <w:t xml:space="preserve"> </w:t>
            </w:r>
            <w:r w:rsidRPr="00F100E1">
              <w:rPr>
                <w:color w:val="1F2023"/>
              </w:rPr>
              <w:t>energie</w:t>
            </w:r>
            <w:r w:rsidRPr="00F100E1">
              <w:rPr>
                <w:color w:val="1F2023"/>
                <w:spacing w:val="1"/>
              </w:rPr>
              <w:t xml:space="preserve"> </w:t>
            </w:r>
            <w:r w:rsidRPr="00F100E1">
              <w:rPr>
                <w:color w:val="1F2023"/>
              </w:rPr>
              <w:t>regenerabil</w:t>
            </w:r>
            <w:r w:rsidRPr="00F100E1">
              <w:t>ă</w:t>
            </w:r>
            <w:r w:rsidRPr="00F100E1">
              <w:rPr>
                <w:color w:val="1F2023"/>
              </w:rPr>
              <w:t>, a</w:t>
            </w:r>
            <w:r w:rsidRPr="00F100E1">
              <w:rPr>
                <w:color w:val="1F2023"/>
                <w:spacing w:val="1"/>
              </w:rPr>
              <w:t xml:space="preserve"> </w:t>
            </w:r>
            <w:r w:rsidRPr="00F100E1">
              <w:rPr>
                <w:color w:val="1F2023"/>
              </w:rPr>
              <w:t>instalațiilor și</w:t>
            </w:r>
            <w:r w:rsidRPr="00F100E1">
              <w:rPr>
                <w:color w:val="1F2023"/>
                <w:spacing w:val="1"/>
              </w:rPr>
              <w:t xml:space="preserve"> </w:t>
            </w:r>
            <w:r w:rsidRPr="00F100E1">
              <w:rPr>
                <w:color w:val="1F2023"/>
              </w:rPr>
              <w:t>facilitatilor de</w:t>
            </w:r>
            <w:r w:rsidRPr="00F100E1">
              <w:rPr>
                <w:color w:val="1F2023"/>
                <w:spacing w:val="1"/>
              </w:rPr>
              <w:t xml:space="preserve"> </w:t>
            </w:r>
            <w:r w:rsidRPr="00F100E1">
              <w:rPr>
                <w:color w:val="1F2023"/>
              </w:rPr>
              <w:t>func</w:t>
            </w:r>
            <w:r w:rsidRPr="00F100E1">
              <w:t>ț</w:t>
            </w:r>
            <w:r w:rsidRPr="00F100E1">
              <w:rPr>
                <w:color w:val="1F2023"/>
              </w:rPr>
              <w:t>ionare a</w:t>
            </w:r>
            <w:r w:rsidRPr="00F100E1">
              <w:rPr>
                <w:color w:val="1F2023"/>
                <w:spacing w:val="1"/>
              </w:rPr>
              <w:t xml:space="preserve"> </w:t>
            </w:r>
            <w:r w:rsidRPr="00F100E1">
              <w:rPr>
                <w:color w:val="1F2023"/>
              </w:rPr>
              <w:t>acestor</w:t>
            </w:r>
            <w:r w:rsidRPr="00F100E1">
              <w:rPr>
                <w:color w:val="1F2023"/>
                <w:spacing w:val="1"/>
              </w:rPr>
              <w:t xml:space="preserve"> </w:t>
            </w:r>
            <w:r w:rsidRPr="00F100E1">
              <w:rPr>
                <w:color w:val="1F2023"/>
              </w:rPr>
              <w:t>instalații.</w:t>
            </w:r>
          </w:p>
        </w:tc>
        <w:tc>
          <w:tcPr>
            <w:tcW w:w="4653" w:type="dxa"/>
          </w:tcPr>
          <w:p w14:paraId="2D3414F7" w14:textId="77777777" w:rsidR="00910E00" w:rsidRPr="00F100E1" w:rsidRDefault="00910E00" w:rsidP="001E342B">
            <w:pPr>
              <w:widowControl w:val="0"/>
              <w:autoSpaceDE w:val="0"/>
              <w:autoSpaceDN w:val="0"/>
              <w:ind w:right="118"/>
              <w:jc w:val="both"/>
            </w:pPr>
            <w:r w:rsidRPr="00F100E1">
              <w:rPr>
                <w:color w:val="1F2023"/>
              </w:rPr>
              <w:t>Adaptarea și gestionarea (inclusiv</w:t>
            </w:r>
            <w:r w:rsidRPr="00F100E1">
              <w:rPr>
                <w:color w:val="1F2023"/>
                <w:spacing w:val="1"/>
              </w:rPr>
              <w:t xml:space="preserve"> </w:t>
            </w:r>
            <w:r w:rsidRPr="00F100E1">
              <w:rPr>
                <w:color w:val="1F2023"/>
              </w:rPr>
              <w:t>oprirea și evitarea) instalării și</w:t>
            </w:r>
            <w:r w:rsidRPr="00F100E1">
              <w:rPr>
                <w:color w:val="1F2023"/>
                <w:spacing w:val="1"/>
              </w:rPr>
              <w:t xml:space="preserve"> </w:t>
            </w:r>
            <w:r w:rsidRPr="00F100E1">
              <w:rPr>
                <w:color w:val="1F2023"/>
              </w:rPr>
              <w:t>funcționării</w:t>
            </w:r>
            <w:r w:rsidRPr="00F100E1">
              <w:rPr>
                <w:color w:val="1F2023"/>
                <w:spacing w:val="3"/>
              </w:rPr>
              <w:t xml:space="preserve"> </w:t>
            </w:r>
            <w:r w:rsidRPr="00F100E1">
              <w:rPr>
                <w:color w:val="1F2023"/>
              </w:rPr>
              <w:t>infrastructurilor</w:t>
            </w:r>
            <w:r w:rsidRPr="00F100E1">
              <w:rPr>
                <w:color w:val="1F2023"/>
                <w:spacing w:val="5"/>
              </w:rPr>
              <w:t xml:space="preserve"> </w:t>
            </w:r>
            <w:r w:rsidRPr="00F100E1">
              <w:rPr>
                <w:color w:val="1F2023"/>
              </w:rPr>
              <w:t>de</w:t>
            </w:r>
            <w:r w:rsidRPr="00F100E1">
              <w:rPr>
                <w:color w:val="1F2023"/>
                <w:spacing w:val="1"/>
              </w:rPr>
              <w:t xml:space="preserve"> </w:t>
            </w:r>
            <w:r w:rsidRPr="00F100E1">
              <w:rPr>
                <w:color w:val="1F2023"/>
              </w:rPr>
              <w:t>energiei regenerabil</w:t>
            </w:r>
            <w:r w:rsidRPr="00F100E1">
              <w:t xml:space="preserve">ă </w:t>
            </w:r>
            <w:r w:rsidRPr="00F100E1">
              <w:rPr>
                <w:color w:val="1F2023"/>
              </w:rPr>
              <w:t>(cu excepția</w:t>
            </w:r>
            <w:r w:rsidRPr="00F100E1">
              <w:rPr>
                <w:color w:val="1F2023"/>
                <w:spacing w:val="1"/>
              </w:rPr>
              <w:t xml:space="preserve"> </w:t>
            </w:r>
            <w:r w:rsidRPr="00F100E1">
              <w:rPr>
                <w:color w:val="1F2023"/>
              </w:rPr>
              <w:t>energiei hidro). Aceasta include, de</w:t>
            </w:r>
            <w:r w:rsidRPr="00F100E1">
              <w:rPr>
                <w:color w:val="1F2023"/>
                <w:spacing w:val="1"/>
              </w:rPr>
              <w:t xml:space="preserve"> </w:t>
            </w:r>
            <w:r w:rsidRPr="00F100E1">
              <w:rPr>
                <w:color w:val="1F2023"/>
              </w:rPr>
              <w:t>asemenea, măsuri pentru a atenua</w:t>
            </w:r>
            <w:r w:rsidRPr="00F100E1">
              <w:rPr>
                <w:color w:val="1F2023"/>
                <w:spacing w:val="1"/>
              </w:rPr>
              <w:t xml:space="preserve"> </w:t>
            </w:r>
            <w:r w:rsidRPr="00F100E1">
              <w:rPr>
                <w:color w:val="1F2023"/>
              </w:rPr>
              <w:t>impactul parcurilor eoliene, cum ar fi</w:t>
            </w:r>
            <w:r w:rsidRPr="00F100E1">
              <w:rPr>
                <w:color w:val="1F2023"/>
                <w:spacing w:val="1"/>
              </w:rPr>
              <w:t xml:space="preserve"> </w:t>
            </w:r>
            <w:r w:rsidRPr="00F100E1">
              <w:rPr>
                <w:color w:val="1F2023"/>
              </w:rPr>
              <w:t>evitarea construirii de turbine în locuri</w:t>
            </w:r>
            <w:r w:rsidRPr="00F100E1">
              <w:rPr>
                <w:color w:val="1F2023"/>
                <w:spacing w:val="1"/>
              </w:rPr>
              <w:t xml:space="preserve"> </w:t>
            </w:r>
            <w:r w:rsidRPr="00F100E1">
              <w:rPr>
                <w:color w:val="1F2023"/>
              </w:rPr>
              <w:t>sensibile (de exemplu, blocaje de</w:t>
            </w:r>
            <w:r w:rsidRPr="00F100E1">
              <w:rPr>
                <w:color w:val="1F2023"/>
                <w:spacing w:val="1"/>
              </w:rPr>
              <w:t xml:space="preserve"> </w:t>
            </w:r>
            <w:r w:rsidRPr="00F100E1">
              <w:rPr>
                <w:color w:val="1F2023"/>
              </w:rPr>
              <w:t>migrație a p</w:t>
            </w:r>
            <w:r w:rsidRPr="00F100E1">
              <w:t>ă</w:t>
            </w:r>
            <w:r w:rsidRPr="00F100E1">
              <w:rPr>
                <w:color w:val="1F2023"/>
              </w:rPr>
              <w:t>s</w:t>
            </w:r>
            <w:r w:rsidRPr="00F100E1">
              <w:t>ă</w:t>
            </w:r>
            <w:r w:rsidRPr="00F100E1">
              <w:rPr>
                <w:color w:val="1F2023"/>
              </w:rPr>
              <w:t>rilor), oprirea turbinelor</w:t>
            </w:r>
            <w:r w:rsidRPr="00F100E1">
              <w:rPr>
                <w:color w:val="1F2023"/>
                <w:spacing w:val="-52"/>
              </w:rPr>
              <w:t xml:space="preserve"> </w:t>
            </w:r>
            <w:r w:rsidRPr="00F100E1">
              <w:rPr>
                <w:color w:val="1F2023"/>
              </w:rPr>
              <w:t>în anumite condiții și / sau perioade</w:t>
            </w:r>
            <w:r w:rsidRPr="00F100E1">
              <w:rPr>
                <w:color w:val="1F2023"/>
                <w:spacing w:val="1"/>
              </w:rPr>
              <w:t xml:space="preserve"> </w:t>
            </w:r>
            <w:r w:rsidRPr="00F100E1">
              <w:rPr>
                <w:color w:val="1F2023"/>
              </w:rPr>
              <w:t>deosebit</w:t>
            </w:r>
            <w:r w:rsidRPr="00F100E1">
              <w:rPr>
                <w:color w:val="1F2023"/>
                <w:spacing w:val="-4"/>
              </w:rPr>
              <w:t xml:space="preserve"> </w:t>
            </w:r>
            <w:r w:rsidRPr="00F100E1">
              <w:rPr>
                <w:color w:val="1F2023"/>
              </w:rPr>
              <w:t>de</w:t>
            </w:r>
            <w:r w:rsidRPr="00F100E1">
              <w:rPr>
                <w:color w:val="1F2023"/>
                <w:spacing w:val="-1"/>
              </w:rPr>
              <w:t xml:space="preserve"> </w:t>
            </w:r>
            <w:r w:rsidRPr="00F100E1">
              <w:rPr>
                <w:color w:val="1F2023"/>
              </w:rPr>
              <w:t>problematice</w:t>
            </w:r>
            <w:r w:rsidRPr="00F100E1">
              <w:rPr>
                <w:color w:val="1F2023"/>
                <w:spacing w:val="-2"/>
              </w:rPr>
              <w:t xml:space="preserve"> </w:t>
            </w:r>
            <w:r w:rsidRPr="00F100E1">
              <w:rPr>
                <w:color w:val="1F2023"/>
              </w:rPr>
              <w:t>ale</w:t>
            </w:r>
            <w:r w:rsidRPr="00F100E1">
              <w:rPr>
                <w:color w:val="1F2023"/>
                <w:spacing w:val="-1"/>
              </w:rPr>
              <w:t xml:space="preserve"> </w:t>
            </w:r>
            <w:r w:rsidRPr="00F100E1">
              <w:rPr>
                <w:color w:val="1F2023"/>
              </w:rPr>
              <w:t>anului</w:t>
            </w:r>
            <w:r w:rsidRPr="00F100E1">
              <w:rPr>
                <w:color w:val="1F2023"/>
                <w:spacing w:val="-4"/>
              </w:rPr>
              <w:t xml:space="preserve"> </w:t>
            </w:r>
            <w:r w:rsidRPr="00F100E1">
              <w:rPr>
                <w:color w:val="1F2023"/>
              </w:rPr>
              <w:t>(de</w:t>
            </w:r>
          </w:p>
          <w:p w14:paraId="42152039" w14:textId="77777777" w:rsidR="00910E00" w:rsidRPr="00F100E1" w:rsidRDefault="00910E00" w:rsidP="001E342B">
            <w:pPr>
              <w:widowControl w:val="0"/>
              <w:autoSpaceDE w:val="0"/>
              <w:autoSpaceDN w:val="0"/>
              <w:jc w:val="both"/>
            </w:pPr>
            <w:r w:rsidRPr="00F100E1">
              <w:rPr>
                <w:color w:val="1F2023"/>
              </w:rPr>
              <w:t>exemplu,</w:t>
            </w:r>
            <w:r w:rsidRPr="00F100E1">
              <w:rPr>
                <w:color w:val="1F2023"/>
                <w:spacing w:val="-3"/>
              </w:rPr>
              <w:t xml:space="preserve"> </w:t>
            </w:r>
            <w:r w:rsidRPr="00F100E1">
              <w:rPr>
                <w:color w:val="1F2023"/>
              </w:rPr>
              <w:t>migrația</w:t>
            </w:r>
            <w:r w:rsidRPr="00F100E1">
              <w:rPr>
                <w:color w:val="1F2023"/>
                <w:spacing w:val="-2"/>
              </w:rPr>
              <w:t xml:space="preserve"> </w:t>
            </w:r>
            <w:r w:rsidRPr="00F100E1">
              <w:rPr>
                <w:color w:val="1F2023"/>
              </w:rPr>
              <w:t>maximă).</w:t>
            </w:r>
          </w:p>
        </w:tc>
        <w:tc>
          <w:tcPr>
            <w:tcW w:w="1980" w:type="dxa"/>
          </w:tcPr>
          <w:p w14:paraId="3F81F20A" w14:textId="77777777" w:rsidR="00910E00" w:rsidRPr="00C56257" w:rsidRDefault="00910E00" w:rsidP="001E342B">
            <w:pPr>
              <w:widowControl w:val="0"/>
              <w:autoSpaceDE w:val="0"/>
              <w:autoSpaceDN w:val="0"/>
              <w:jc w:val="both"/>
            </w:pPr>
          </w:p>
          <w:p w14:paraId="772F4079" w14:textId="77777777" w:rsidR="00910E00" w:rsidRPr="00C56257" w:rsidRDefault="00910E00" w:rsidP="001E342B">
            <w:pPr>
              <w:widowControl w:val="0"/>
              <w:autoSpaceDE w:val="0"/>
              <w:autoSpaceDN w:val="0"/>
              <w:jc w:val="both"/>
            </w:pPr>
          </w:p>
          <w:p w14:paraId="6AC94FCD" w14:textId="77777777" w:rsidR="00910E00" w:rsidRPr="00C56257" w:rsidRDefault="00910E00" w:rsidP="001E342B">
            <w:pPr>
              <w:widowControl w:val="0"/>
              <w:autoSpaceDE w:val="0"/>
              <w:autoSpaceDN w:val="0"/>
              <w:jc w:val="both"/>
            </w:pPr>
          </w:p>
          <w:p w14:paraId="48075067" w14:textId="77777777" w:rsidR="00910E00" w:rsidRPr="00C56257" w:rsidRDefault="00910E00" w:rsidP="001E342B">
            <w:pPr>
              <w:widowControl w:val="0"/>
              <w:autoSpaceDE w:val="0"/>
              <w:autoSpaceDN w:val="0"/>
              <w:jc w:val="both"/>
            </w:pPr>
          </w:p>
          <w:p w14:paraId="5BA44CAB" w14:textId="77777777" w:rsidR="00910E00" w:rsidRPr="00C56257" w:rsidRDefault="00910E00" w:rsidP="001E342B">
            <w:pPr>
              <w:widowControl w:val="0"/>
              <w:autoSpaceDE w:val="0"/>
              <w:autoSpaceDN w:val="0"/>
              <w:jc w:val="both"/>
            </w:pPr>
          </w:p>
          <w:p w14:paraId="491E2060" w14:textId="77777777" w:rsidR="00910E00" w:rsidRPr="00F100E1" w:rsidRDefault="00910E00" w:rsidP="001E342B">
            <w:pPr>
              <w:widowControl w:val="0"/>
              <w:autoSpaceDE w:val="0"/>
              <w:autoSpaceDN w:val="0"/>
              <w:ind w:right="296"/>
              <w:jc w:val="both"/>
            </w:pPr>
            <w:r w:rsidRPr="00F100E1">
              <w:t>D01, D03,</w:t>
            </w:r>
            <w:r w:rsidRPr="00F100E1">
              <w:rPr>
                <w:spacing w:val="-52"/>
              </w:rPr>
              <w:t xml:space="preserve"> </w:t>
            </w:r>
            <w:r w:rsidRPr="00F100E1">
              <w:t>D04,</w:t>
            </w:r>
            <w:r w:rsidRPr="00F100E1">
              <w:rPr>
                <w:spacing w:val="-1"/>
              </w:rPr>
              <w:t xml:space="preserve"> </w:t>
            </w:r>
            <w:r w:rsidRPr="00F100E1">
              <w:t>D05</w:t>
            </w:r>
          </w:p>
        </w:tc>
      </w:tr>
      <w:tr w:rsidR="00910E00" w:rsidRPr="00F100E1" w14:paraId="7FAD01D4" w14:textId="77777777" w:rsidTr="00910E00">
        <w:trPr>
          <w:trHeight w:val="1252"/>
        </w:trPr>
        <w:tc>
          <w:tcPr>
            <w:tcW w:w="720" w:type="dxa"/>
          </w:tcPr>
          <w:p w14:paraId="056FE7D4" w14:textId="77777777" w:rsidR="00910E00" w:rsidRPr="00F100E1" w:rsidRDefault="00910E00" w:rsidP="001E342B">
            <w:pPr>
              <w:widowControl w:val="0"/>
              <w:autoSpaceDE w:val="0"/>
              <w:autoSpaceDN w:val="0"/>
              <w:jc w:val="both"/>
            </w:pPr>
            <w:r w:rsidRPr="00F100E1">
              <w:rPr>
                <w:color w:val="000009"/>
              </w:rPr>
              <w:t>6.</w:t>
            </w:r>
          </w:p>
        </w:tc>
        <w:tc>
          <w:tcPr>
            <w:tcW w:w="900" w:type="dxa"/>
          </w:tcPr>
          <w:p w14:paraId="311D6597" w14:textId="77777777" w:rsidR="00910E00" w:rsidRPr="00C56257" w:rsidRDefault="00910E00" w:rsidP="001E342B">
            <w:pPr>
              <w:widowControl w:val="0"/>
              <w:autoSpaceDE w:val="0"/>
              <w:autoSpaceDN w:val="0"/>
              <w:jc w:val="both"/>
            </w:pPr>
          </w:p>
          <w:p w14:paraId="4FCF26D3" w14:textId="77777777" w:rsidR="00910E00" w:rsidRPr="00C56257" w:rsidRDefault="00910E00" w:rsidP="001E342B">
            <w:pPr>
              <w:widowControl w:val="0"/>
              <w:autoSpaceDE w:val="0"/>
              <w:autoSpaceDN w:val="0"/>
              <w:jc w:val="both"/>
            </w:pPr>
          </w:p>
          <w:p w14:paraId="591145BE" w14:textId="77777777" w:rsidR="00910E00" w:rsidRPr="00C56257" w:rsidRDefault="00910E00" w:rsidP="001E342B">
            <w:pPr>
              <w:widowControl w:val="0"/>
              <w:autoSpaceDE w:val="0"/>
              <w:autoSpaceDN w:val="0"/>
              <w:jc w:val="both"/>
            </w:pPr>
          </w:p>
          <w:p w14:paraId="06AD62BE" w14:textId="77777777" w:rsidR="00910E00" w:rsidRPr="00C56257" w:rsidRDefault="00910E00" w:rsidP="001E342B">
            <w:pPr>
              <w:widowControl w:val="0"/>
              <w:autoSpaceDE w:val="0"/>
              <w:autoSpaceDN w:val="0"/>
              <w:jc w:val="both"/>
            </w:pPr>
          </w:p>
          <w:p w14:paraId="44B1C8E6" w14:textId="77777777" w:rsidR="00910E00" w:rsidRPr="00C56257" w:rsidRDefault="00910E00" w:rsidP="001E342B">
            <w:pPr>
              <w:widowControl w:val="0"/>
              <w:autoSpaceDE w:val="0"/>
              <w:autoSpaceDN w:val="0"/>
              <w:jc w:val="both"/>
            </w:pPr>
          </w:p>
          <w:p w14:paraId="7374EA08" w14:textId="77777777" w:rsidR="00910E00" w:rsidRPr="00C56257" w:rsidRDefault="00910E00" w:rsidP="001E342B">
            <w:pPr>
              <w:widowControl w:val="0"/>
              <w:autoSpaceDE w:val="0"/>
              <w:autoSpaceDN w:val="0"/>
              <w:jc w:val="both"/>
            </w:pPr>
          </w:p>
          <w:p w14:paraId="674323DF" w14:textId="77777777" w:rsidR="00910E00" w:rsidRPr="00C56257" w:rsidRDefault="00910E00" w:rsidP="001E342B">
            <w:pPr>
              <w:widowControl w:val="0"/>
              <w:autoSpaceDE w:val="0"/>
              <w:autoSpaceDN w:val="0"/>
              <w:jc w:val="both"/>
            </w:pPr>
          </w:p>
          <w:p w14:paraId="15C422AB" w14:textId="77777777" w:rsidR="00910E00" w:rsidRPr="00C56257" w:rsidRDefault="00910E00" w:rsidP="001E342B">
            <w:pPr>
              <w:widowControl w:val="0"/>
              <w:autoSpaceDE w:val="0"/>
              <w:autoSpaceDN w:val="0"/>
              <w:jc w:val="both"/>
            </w:pPr>
          </w:p>
          <w:p w14:paraId="2072A8E1" w14:textId="77777777" w:rsidR="00910E00" w:rsidRPr="00C56257" w:rsidRDefault="00910E00" w:rsidP="001E342B">
            <w:pPr>
              <w:widowControl w:val="0"/>
              <w:autoSpaceDE w:val="0"/>
              <w:autoSpaceDN w:val="0"/>
              <w:jc w:val="both"/>
            </w:pPr>
          </w:p>
          <w:p w14:paraId="69C58066" w14:textId="77777777" w:rsidR="00910E00" w:rsidRPr="00C56257" w:rsidRDefault="00910E00" w:rsidP="001E342B">
            <w:pPr>
              <w:widowControl w:val="0"/>
              <w:autoSpaceDE w:val="0"/>
              <w:autoSpaceDN w:val="0"/>
              <w:jc w:val="both"/>
            </w:pPr>
          </w:p>
          <w:p w14:paraId="58DBBFE4" w14:textId="77777777" w:rsidR="00910E00" w:rsidRPr="00C56257" w:rsidRDefault="00910E00" w:rsidP="001E342B">
            <w:pPr>
              <w:widowControl w:val="0"/>
              <w:autoSpaceDE w:val="0"/>
              <w:autoSpaceDN w:val="0"/>
              <w:jc w:val="both"/>
            </w:pPr>
          </w:p>
          <w:p w14:paraId="015D6AD1" w14:textId="77777777" w:rsidR="00910E00" w:rsidRPr="00F100E1" w:rsidRDefault="00910E00" w:rsidP="001E342B">
            <w:pPr>
              <w:widowControl w:val="0"/>
              <w:autoSpaceDE w:val="0"/>
              <w:autoSpaceDN w:val="0"/>
              <w:jc w:val="both"/>
            </w:pPr>
          </w:p>
          <w:p w14:paraId="77D7975C" w14:textId="77777777" w:rsidR="00910E00" w:rsidRPr="00F100E1" w:rsidRDefault="00910E00" w:rsidP="001E342B">
            <w:pPr>
              <w:widowControl w:val="0"/>
              <w:autoSpaceDE w:val="0"/>
              <w:autoSpaceDN w:val="0"/>
              <w:jc w:val="both"/>
            </w:pPr>
            <w:r w:rsidRPr="00F100E1">
              <w:rPr>
                <w:color w:val="000009"/>
              </w:rPr>
              <w:lastRenderedPageBreak/>
              <w:t>CE01</w:t>
            </w:r>
          </w:p>
        </w:tc>
        <w:tc>
          <w:tcPr>
            <w:tcW w:w="1917" w:type="dxa"/>
          </w:tcPr>
          <w:p w14:paraId="24D6908C" w14:textId="77777777" w:rsidR="00910E00" w:rsidRPr="00C56257" w:rsidRDefault="00910E00" w:rsidP="001E342B">
            <w:pPr>
              <w:widowControl w:val="0"/>
              <w:autoSpaceDE w:val="0"/>
              <w:autoSpaceDN w:val="0"/>
              <w:jc w:val="both"/>
            </w:pPr>
          </w:p>
          <w:p w14:paraId="56740E12" w14:textId="77777777" w:rsidR="00910E00" w:rsidRPr="00C56257" w:rsidRDefault="00910E00" w:rsidP="001E342B">
            <w:pPr>
              <w:widowControl w:val="0"/>
              <w:autoSpaceDE w:val="0"/>
              <w:autoSpaceDN w:val="0"/>
              <w:jc w:val="both"/>
            </w:pPr>
          </w:p>
          <w:p w14:paraId="3D4C9FC2" w14:textId="77777777" w:rsidR="00910E00" w:rsidRPr="00C56257" w:rsidRDefault="00910E00" w:rsidP="001E342B">
            <w:pPr>
              <w:widowControl w:val="0"/>
              <w:autoSpaceDE w:val="0"/>
              <w:autoSpaceDN w:val="0"/>
              <w:jc w:val="both"/>
            </w:pPr>
          </w:p>
          <w:p w14:paraId="3F999970" w14:textId="77777777" w:rsidR="00910E00" w:rsidRPr="00C56257" w:rsidRDefault="00910E00" w:rsidP="001E342B">
            <w:pPr>
              <w:widowControl w:val="0"/>
              <w:autoSpaceDE w:val="0"/>
              <w:autoSpaceDN w:val="0"/>
              <w:jc w:val="both"/>
            </w:pPr>
          </w:p>
          <w:p w14:paraId="02A02DDD" w14:textId="77777777" w:rsidR="00910E00" w:rsidRPr="00C56257" w:rsidRDefault="00910E00" w:rsidP="001E342B">
            <w:pPr>
              <w:widowControl w:val="0"/>
              <w:autoSpaceDE w:val="0"/>
              <w:autoSpaceDN w:val="0"/>
              <w:jc w:val="both"/>
            </w:pPr>
          </w:p>
          <w:p w14:paraId="560C3866" w14:textId="77777777" w:rsidR="00910E00" w:rsidRPr="00C56257" w:rsidRDefault="00910E00" w:rsidP="001E342B">
            <w:pPr>
              <w:widowControl w:val="0"/>
              <w:autoSpaceDE w:val="0"/>
              <w:autoSpaceDN w:val="0"/>
              <w:jc w:val="both"/>
            </w:pPr>
          </w:p>
          <w:p w14:paraId="2DDC74FA" w14:textId="77777777" w:rsidR="00910E00" w:rsidRPr="00C56257" w:rsidRDefault="00910E00" w:rsidP="001E342B">
            <w:pPr>
              <w:widowControl w:val="0"/>
              <w:autoSpaceDE w:val="0"/>
              <w:autoSpaceDN w:val="0"/>
              <w:jc w:val="both"/>
            </w:pPr>
          </w:p>
          <w:p w14:paraId="7D807614" w14:textId="77777777" w:rsidR="00910E00" w:rsidRPr="00C56257" w:rsidRDefault="00910E00" w:rsidP="001E342B">
            <w:pPr>
              <w:widowControl w:val="0"/>
              <w:autoSpaceDE w:val="0"/>
              <w:autoSpaceDN w:val="0"/>
              <w:jc w:val="both"/>
            </w:pPr>
          </w:p>
          <w:p w14:paraId="443EE69C" w14:textId="77777777" w:rsidR="00910E00" w:rsidRPr="00C56257" w:rsidRDefault="00910E00" w:rsidP="001E342B">
            <w:pPr>
              <w:widowControl w:val="0"/>
              <w:autoSpaceDE w:val="0"/>
              <w:autoSpaceDN w:val="0"/>
              <w:jc w:val="both"/>
            </w:pPr>
          </w:p>
          <w:p w14:paraId="3C21C690" w14:textId="77777777" w:rsidR="00910E00" w:rsidRPr="00F100E1" w:rsidRDefault="00910E00" w:rsidP="001E342B">
            <w:pPr>
              <w:widowControl w:val="0"/>
              <w:autoSpaceDE w:val="0"/>
              <w:autoSpaceDN w:val="0"/>
              <w:jc w:val="both"/>
            </w:pPr>
          </w:p>
          <w:p w14:paraId="76CB5E9F" w14:textId="77777777" w:rsidR="00910E00" w:rsidRPr="00F100E1" w:rsidRDefault="00910E00" w:rsidP="001E342B">
            <w:pPr>
              <w:widowControl w:val="0"/>
              <w:autoSpaceDE w:val="0"/>
              <w:autoSpaceDN w:val="0"/>
              <w:ind w:right="293"/>
              <w:jc w:val="both"/>
            </w:pPr>
            <w:r w:rsidRPr="00F100E1">
              <w:rPr>
                <w:color w:val="1F2023"/>
              </w:rPr>
              <w:t>Reducerea</w:t>
            </w:r>
            <w:r w:rsidRPr="00F100E1">
              <w:rPr>
                <w:color w:val="1F2023"/>
                <w:spacing w:val="1"/>
              </w:rPr>
              <w:t xml:space="preserve"> </w:t>
            </w:r>
            <w:r w:rsidRPr="00F100E1">
              <w:rPr>
                <w:color w:val="1F2023"/>
              </w:rPr>
              <w:t>impactului</w:t>
            </w:r>
            <w:r w:rsidRPr="00F100E1">
              <w:rPr>
                <w:color w:val="1F2023"/>
                <w:spacing w:val="1"/>
              </w:rPr>
              <w:t xml:space="preserve"> </w:t>
            </w:r>
            <w:r w:rsidRPr="00F100E1">
              <w:rPr>
                <w:color w:val="1F2023"/>
              </w:rPr>
              <w:lastRenderedPageBreak/>
              <w:t>activităților de</w:t>
            </w:r>
            <w:r w:rsidRPr="00F100E1">
              <w:rPr>
                <w:color w:val="1F2023"/>
                <w:spacing w:val="-52"/>
              </w:rPr>
              <w:t xml:space="preserve"> </w:t>
            </w:r>
            <w:r w:rsidRPr="00F100E1">
              <w:rPr>
                <w:color w:val="1F2023"/>
              </w:rPr>
              <w:t>transport și al</w:t>
            </w:r>
            <w:r w:rsidRPr="00F100E1">
              <w:rPr>
                <w:color w:val="1F2023"/>
                <w:spacing w:val="1"/>
              </w:rPr>
              <w:t xml:space="preserve"> </w:t>
            </w:r>
            <w:r w:rsidRPr="00F100E1">
              <w:rPr>
                <w:color w:val="1F2023"/>
              </w:rPr>
              <w:t>infrastructurii</w:t>
            </w:r>
          </w:p>
        </w:tc>
        <w:tc>
          <w:tcPr>
            <w:tcW w:w="4653" w:type="dxa"/>
          </w:tcPr>
          <w:p w14:paraId="72F9F192" w14:textId="77777777" w:rsidR="00910E00" w:rsidRPr="00F100E1" w:rsidRDefault="00910E00" w:rsidP="001E342B">
            <w:pPr>
              <w:widowControl w:val="0"/>
              <w:autoSpaceDE w:val="0"/>
              <w:autoSpaceDN w:val="0"/>
              <w:ind w:right="142"/>
              <w:jc w:val="both"/>
            </w:pPr>
            <w:r w:rsidRPr="00F100E1">
              <w:rPr>
                <w:color w:val="1F2023"/>
              </w:rPr>
              <w:lastRenderedPageBreak/>
              <w:t>Reducerea impactului infrastructurilor</w:t>
            </w:r>
            <w:r w:rsidRPr="00F100E1">
              <w:rPr>
                <w:color w:val="1F2023"/>
                <w:spacing w:val="1"/>
              </w:rPr>
              <w:t xml:space="preserve"> </w:t>
            </w:r>
            <w:r w:rsidRPr="00F100E1">
              <w:rPr>
                <w:color w:val="1F2023"/>
              </w:rPr>
              <w:t>de transport (drumuri, căi ferate,</w:t>
            </w:r>
            <w:r w:rsidRPr="00F100E1">
              <w:rPr>
                <w:color w:val="1F2023"/>
                <w:spacing w:val="1"/>
              </w:rPr>
              <w:t xml:space="preserve"> </w:t>
            </w:r>
            <w:r w:rsidRPr="00F100E1">
              <w:rPr>
                <w:color w:val="1F2023"/>
              </w:rPr>
              <w:t>poduri, viaducte, tuneluri, benzi și</w:t>
            </w:r>
            <w:r w:rsidRPr="00F100E1">
              <w:rPr>
                <w:color w:val="1F2023"/>
                <w:spacing w:val="1"/>
              </w:rPr>
              <w:t xml:space="preserve"> </w:t>
            </w:r>
            <w:r w:rsidRPr="00F100E1">
              <w:rPr>
                <w:color w:val="1F2023"/>
              </w:rPr>
              <w:t>canale de navigație, strâmtori, porturi,</w:t>
            </w:r>
            <w:r w:rsidRPr="00F100E1">
              <w:rPr>
                <w:color w:val="1F2023"/>
                <w:spacing w:val="1"/>
              </w:rPr>
              <w:t xml:space="preserve"> </w:t>
            </w:r>
            <w:r w:rsidRPr="00F100E1">
              <w:rPr>
                <w:color w:val="1F2023"/>
              </w:rPr>
              <w:t>aerodromuri) și activități de transport</w:t>
            </w:r>
            <w:r w:rsidRPr="00F100E1">
              <w:rPr>
                <w:color w:val="1F2023"/>
                <w:spacing w:val="1"/>
              </w:rPr>
              <w:t xml:space="preserve"> </w:t>
            </w:r>
            <w:r w:rsidRPr="00F100E1">
              <w:rPr>
                <w:color w:val="1F2023"/>
              </w:rPr>
              <w:t>asupra habitatelor și speciilor vizate de</w:t>
            </w:r>
            <w:r w:rsidRPr="00F100E1">
              <w:rPr>
                <w:color w:val="1F2023"/>
                <w:spacing w:val="-52"/>
              </w:rPr>
              <w:t xml:space="preserve"> </w:t>
            </w:r>
            <w:r w:rsidRPr="00F100E1">
              <w:rPr>
                <w:color w:val="1F2023"/>
              </w:rPr>
              <w:t>directivele privind conservarea naturii.</w:t>
            </w:r>
            <w:r w:rsidRPr="00F100E1">
              <w:rPr>
                <w:color w:val="1F2023"/>
                <w:spacing w:val="-52"/>
              </w:rPr>
              <w:t xml:space="preserve"> </w:t>
            </w:r>
            <w:r w:rsidRPr="00F100E1">
              <w:rPr>
                <w:color w:val="1F2023"/>
              </w:rPr>
              <w:t>Aceasta include, de exemplu,</w:t>
            </w:r>
            <w:r w:rsidRPr="00F100E1">
              <w:rPr>
                <w:color w:val="1F2023"/>
                <w:spacing w:val="1"/>
              </w:rPr>
              <w:t xml:space="preserve"> </w:t>
            </w:r>
            <w:r w:rsidRPr="00F100E1">
              <w:rPr>
                <w:color w:val="1F2023"/>
              </w:rPr>
              <w:t>construirea și gestionarea pasajelor</w:t>
            </w:r>
            <w:r w:rsidRPr="00F100E1">
              <w:rPr>
                <w:color w:val="1F2023"/>
                <w:spacing w:val="1"/>
              </w:rPr>
              <w:t xml:space="preserve"> </w:t>
            </w:r>
            <w:r w:rsidRPr="00F100E1">
              <w:rPr>
                <w:color w:val="1F2023"/>
              </w:rPr>
              <w:t>pentru animale, dezvoltarea</w:t>
            </w:r>
            <w:r w:rsidRPr="00F100E1">
              <w:rPr>
                <w:color w:val="1F2023"/>
                <w:spacing w:val="1"/>
              </w:rPr>
              <w:t xml:space="preserve"> </w:t>
            </w:r>
            <w:r w:rsidRPr="00F100E1">
              <w:rPr>
                <w:color w:val="1F2023"/>
              </w:rPr>
              <w:t>infrastructurii verzi / albastre,</w:t>
            </w:r>
            <w:r w:rsidRPr="00F100E1">
              <w:rPr>
                <w:color w:val="1F2023"/>
                <w:spacing w:val="1"/>
              </w:rPr>
              <w:t xml:space="preserve"> </w:t>
            </w:r>
            <w:r w:rsidRPr="00F100E1">
              <w:rPr>
                <w:color w:val="1F2023"/>
              </w:rPr>
              <w:t>gestionarea traficului</w:t>
            </w:r>
            <w:r w:rsidRPr="00F100E1">
              <w:rPr>
                <w:color w:val="1F2023"/>
                <w:spacing w:val="1"/>
              </w:rPr>
              <w:t xml:space="preserve"> </w:t>
            </w:r>
            <w:r w:rsidRPr="00F100E1">
              <w:rPr>
                <w:color w:val="1F2023"/>
              </w:rPr>
              <w:t>și</w:t>
            </w:r>
            <w:r w:rsidRPr="00F100E1">
              <w:rPr>
                <w:color w:val="1F2023"/>
                <w:spacing w:val="2"/>
              </w:rPr>
              <w:t xml:space="preserve"> </w:t>
            </w:r>
            <w:r w:rsidRPr="00F100E1">
              <w:rPr>
                <w:color w:val="1F2023"/>
              </w:rPr>
              <w:t>a</w:t>
            </w:r>
            <w:r w:rsidRPr="00F100E1">
              <w:rPr>
                <w:color w:val="1F2023"/>
                <w:spacing w:val="1"/>
              </w:rPr>
              <w:t xml:space="preserve"> </w:t>
            </w:r>
            <w:r w:rsidRPr="00F100E1">
              <w:rPr>
                <w:color w:val="1F2023"/>
              </w:rPr>
              <w:t>infrastructurii</w:t>
            </w:r>
            <w:r w:rsidRPr="00F100E1">
              <w:rPr>
                <w:color w:val="1F2023"/>
                <w:spacing w:val="4"/>
              </w:rPr>
              <w:t xml:space="preserve"> </w:t>
            </w:r>
            <w:r w:rsidRPr="00F100E1">
              <w:rPr>
                <w:color w:val="1F2023"/>
              </w:rPr>
              <w:t>marine</w:t>
            </w:r>
            <w:r w:rsidRPr="00F100E1">
              <w:rPr>
                <w:color w:val="1F2023"/>
                <w:spacing w:val="3"/>
              </w:rPr>
              <w:t xml:space="preserve"> </w:t>
            </w:r>
            <w:r w:rsidRPr="00F100E1">
              <w:rPr>
                <w:color w:val="1F2023"/>
              </w:rPr>
              <w:t>și</w:t>
            </w:r>
            <w:r w:rsidRPr="00F100E1">
              <w:rPr>
                <w:color w:val="1F2023"/>
                <w:spacing w:val="1"/>
              </w:rPr>
              <w:t xml:space="preserve"> </w:t>
            </w:r>
            <w:r w:rsidRPr="00F100E1">
              <w:rPr>
                <w:color w:val="1F2023"/>
              </w:rPr>
              <w:t>fluviale</w:t>
            </w:r>
            <w:r w:rsidRPr="00F100E1">
              <w:rPr>
                <w:color w:val="1F2023"/>
                <w:spacing w:val="1"/>
              </w:rPr>
              <w:t xml:space="preserve"> </w:t>
            </w:r>
            <w:r w:rsidRPr="00F100E1">
              <w:rPr>
                <w:color w:val="1F2023"/>
              </w:rPr>
              <w:t>pentru, de exemplu, reducerea</w:t>
            </w:r>
            <w:r w:rsidRPr="00F100E1">
              <w:rPr>
                <w:color w:val="1F2023"/>
                <w:spacing w:val="1"/>
              </w:rPr>
              <w:t xml:space="preserve"> </w:t>
            </w:r>
            <w:r w:rsidRPr="00F100E1">
              <w:rPr>
                <w:color w:val="1F2023"/>
              </w:rPr>
              <w:t>eroziunii malurilor și descurajarea</w:t>
            </w:r>
            <w:r w:rsidRPr="00F100E1">
              <w:rPr>
                <w:color w:val="1F2023"/>
                <w:spacing w:val="1"/>
              </w:rPr>
              <w:t xml:space="preserve"> </w:t>
            </w:r>
            <w:r w:rsidRPr="00F100E1">
              <w:rPr>
                <w:color w:val="1F2023"/>
              </w:rPr>
              <w:t xml:space="preserve">distrugerii acestora </w:t>
            </w:r>
            <w:r w:rsidRPr="00F100E1">
              <w:rPr>
                <w:color w:val="1F2023"/>
              </w:rPr>
              <w:lastRenderedPageBreak/>
              <w:t>(de exemplu,</w:t>
            </w:r>
            <w:r w:rsidRPr="00F100E1">
              <w:rPr>
                <w:color w:val="1F2023"/>
                <w:spacing w:val="1"/>
              </w:rPr>
              <w:t xml:space="preserve"> </w:t>
            </w:r>
            <w:r w:rsidRPr="00F100E1">
              <w:rPr>
                <w:color w:val="1F2023"/>
              </w:rPr>
              <w:t>lăsând iarba să crească mult timp sau</w:t>
            </w:r>
            <w:r w:rsidRPr="00F100E1">
              <w:rPr>
                <w:color w:val="1F2023"/>
                <w:spacing w:val="1"/>
              </w:rPr>
              <w:t xml:space="preserve"> </w:t>
            </w:r>
            <w:r w:rsidRPr="00F100E1">
              <w:rPr>
                <w:color w:val="1F2023"/>
              </w:rPr>
              <w:t>folosind „speria activă”) „tactici)</w:t>
            </w:r>
            <w:r w:rsidRPr="00F100E1">
              <w:rPr>
                <w:color w:val="1F2023"/>
                <w:spacing w:val="1"/>
              </w:rPr>
              <w:t xml:space="preserve"> </w:t>
            </w:r>
            <w:r w:rsidRPr="00F100E1">
              <w:rPr>
                <w:color w:val="1F2023"/>
              </w:rPr>
              <w:t>păsări din utilizarea aerodromului /</w:t>
            </w:r>
            <w:r w:rsidRPr="00F100E1">
              <w:rPr>
                <w:color w:val="1F2023"/>
                <w:spacing w:val="1"/>
              </w:rPr>
              <w:t xml:space="preserve"> </w:t>
            </w:r>
            <w:r w:rsidRPr="00F100E1">
              <w:rPr>
                <w:color w:val="1F2023"/>
              </w:rPr>
              <w:t>aeroporturilor. De asemenea, include</w:t>
            </w:r>
            <w:r w:rsidRPr="00F100E1">
              <w:rPr>
                <w:color w:val="1F2023"/>
                <w:spacing w:val="1"/>
              </w:rPr>
              <w:t xml:space="preserve"> </w:t>
            </w:r>
            <w:r w:rsidRPr="00F100E1">
              <w:rPr>
                <w:color w:val="1F2023"/>
              </w:rPr>
              <w:t>orice măsuri de reducere a poluării</w:t>
            </w:r>
            <w:r w:rsidRPr="00F100E1">
              <w:rPr>
                <w:color w:val="1F2023"/>
                <w:spacing w:val="1"/>
              </w:rPr>
              <w:t xml:space="preserve"> </w:t>
            </w:r>
            <w:r w:rsidRPr="00F100E1">
              <w:rPr>
                <w:color w:val="1F2023"/>
              </w:rPr>
              <w:t>fonice și</w:t>
            </w:r>
            <w:r w:rsidRPr="00F100E1">
              <w:rPr>
                <w:color w:val="1F2023"/>
                <w:spacing w:val="1"/>
              </w:rPr>
              <w:t xml:space="preserve"> </w:t>
            </w:r>
            <w:r w:rsidRPr="00F100E1">
              <w:rPr>
                <w:color w:val="1F2023"/>
              </w:rPr>
              <w:t>luminoase.</w:t>
            </w:r>
          </w:p>
          <w:p w14:paraId="79B558F5" w14:textId="77777777" w:rsidR="00910E00" w:rsidRPr="00F100E1" w:rsidRDefault="00910E00" w:rsidP="001E342B">
            <w:pPr>
              <w:widowControl w:val="0"/>
              <w:autoSpaceDE w:val="0"/>
              <w:autoSpaceDN w:val="0"/>
              <w:ind w:right="186"/>
              <w:jc w:val="both"/>
            </w:pPr>
            <w:r w:rsidRPr="00F100E1">
              <w:rPr>
                <w:color w:val="1F2023"/>
              </w:rPr>
              <w:t>Reglementarea traficului sau</w:t>
            </w:r>
            <w:r w:rsidRPr="00F100E1">
              <w:rPr>
                <w:color w:val="1F2023"/>
                <w:spacing w:val="1"/>
              </w:rPr>
              <w:t xml:space="preserve"> </w:t>
            </w:r>
            <w:r w:rsidRPr="00F100E1">
              <w:rPr>
                <w:color w:val="1F2023"/>
              </w:rPr>
              <w:t>construcția infrastructurii de circulație</w:t>
            </w:r>
            <w:r w:rsidRPr="00F100E1">
              <w:rPr>
                <w:color w:val="1F2023"/>
                <w:spacing w:val="-52"/>
              </w:rPr>
              <w:t xml:space="preserve"> </w:t>
            </w:r>
            <w:r w:rsidRPr="00F100E1">
              <w:rPr>
                <w:color w:val="1F2023"/>
              </w:rPr>
              <w:t>pentru</w:t>
            </w:r>
            <w:r w:rsidRPr="00F100E1">
              <w:rPr>
                <w:color w:val="1F2023"/>
                <w:spacing w:val="-2"/>
              </w:rPr>
              <w:t xml:space="preserve"> </w:t>
            </w:r>
            <w:r w:rsidRPr="00F100E1">
              <w:rPr>
                <w:color w:val="1F2023"/>
              </w:rPr>
              <w:t>a</w:t>
            </w:r>
            <w:r w:rsidRPr="00F100E1">
              <w:rPr>
                <w:color w:val="1F2023"/>
                <w:spacing w:val="-3"/>
              </w:rPr>
              <w:t xml:space="preserve"> </w:t>
            </w:r>
            <w:r w:rsidRPr="00F100E1">
              <w:rPr>
                <w:color w:val="1F2023"/>
              </w:rPr>
              <w:t>reduce</w:t>
            </w:r>
            <w:r w:rsidRPr="00F100E1">
              <w:rPr>
                <w:color w:val="1F2023"/>
                <w:spacing w:val="-1"/>
              </w:rPr>
              <w:t xml:space="preserve"> </w:t>
            </w:r>
            <w:r w:rsidRPr="00F100E1">
              <w:rPr>
                <w:color w:val="1F2023"/>
              </w:rPr>
              <w:t>poluarea</w:t>
            </w:r>
            <w:r w:rsidRPr="00F100E1">
              <w:rPr>
                <w:color w:val="1F2023"/>
                <w:spacing w:val="-1"/>
              </w:rPr>
              <w:t xml:space="preserve"> </w:t>
            </w:r>
            <w:r w:rsidRPr="00F100E1">
              <w:rPr>
                <w:color w:val="1F2023"/>
              </w:rPr>
              <w:t>chimică</w:t>
            </w:r>
            <w:r w:rsidRPr="00F100E1">
              <w:rPr>
                <w:color w:val="1F2023"/>
                <w:spacing w:val="-2"/>
              </w:rPr>
              <w:t xml:space="preserve"> </w:t>
            </w:r>
            <w:r w:rsidRPr="00F100E1">
              <w:rPr>
                <w:color w:val="1F2023"/>
              </w:rPr>
              <w:t>/ cu</w:t>
            </w:r>
          </w:p>
          <w:p w14:paraId="3D22B700" w14:textId="77777777" w:rsidR="00910E00" w:rsidRPr="00F100E1" w:rsidRDefault="00910E00" w:rsidP="001E342B">
            <w:pPr>
              <w:widowControl w:val="0"/>
              <w:autoSpaceDE w:val="0"/>
              <w:autoSpaceDN w:val="0"/>
              <w:ind w:right="369"/>
              <w:jc w:val="both"/>
            </w:pPr>
            <w:r w:rsidRPr="00F100E1">
              <w:rPr>
                <w:color w:val="1F2023"/>
              </w:rPr>
              <w:t>particule care ar trebui raportată sub</w:t>
            </w:r>
            <w:r w:rsidRPr="00F100E1">
              <w:rPr>
                <w:color w:val="1F2023"/>
                <w:spacing w:val="-52"/>
              </w:rPr>
              <w:t xml:space="preserve"> </w:t>
            </w:r>
            <w:r w:rsidRPr="00F100E1">
              <w:rPr>
                <w:color w:val="1F2023"/>
              </w:rPr>
              <w:t>codul</w:t>
            </w:r>
            <w:r w:rsidRPr="00F100E1">
              <w:rPr>
                <w:color w:val="1F2023"/>
                <w:spacing w:val="1"/>
              </w:rPr>
              <w:t xml:space="preserve"> </w:t>
            </w:r>
            <w:r w:rsidRPr="00F100E1">
              <w:rPr>
                <w:color w:val="1F2023"/>
              </w:rPr>
              <w:t>CE03.</w:t>
            </w:r>
          </w:p>
        </w:tc>
        <w:tc>
          <w:tcPr>
            <w:tcW w:w="1980" w:type="dxa"/>
          </w:tcPr>
          <w:p w14:paraId="77D3488C" w14:textId="77777777" w:rsidR="00910E00" w:rsidRPr="00C56257" w:rsidRDefault="00910E00" w:rsidP="001E342B">
            <w:pPr>
              <w:widowControl w:val="0"/>
              <w:autoSpaceDE w:val="0"/>
              <w:autoSpaceDN w:val="0"/>
              <w:jc w:val="both"/>
            </w:pPr>
          </w:p>
          <w:p w14:paraId="7F9322FC" w14:textId="77777777" w:rsidR="00910E00" w:rsidRPr="00C56257" w:rsidRDefault="00910E00" w:rsidP="001E342B">
            <w:pPr>
              <w:widowControl w:val="0"/>
              <w:autoSpaceDE w:val="0"/>
              <w:autoSpaceDN w:val="0"/>
              <w:jc w:val="both"/>
            </w:pPr>
          </w:p>
          <w:p w14:paraId="4AB20EC3" w14:textId="77777777" w:rsidR="00910E00" w:rsidRPr="00C56257" w:rsidRDefault="00910E00" w:rsidP="001E342B">
            <w:pPr>
              <w:widowControl w:val="0"/>
              <w:autoSpaceDE w:val="0"/>
              <w:autoSpaceDN w:val="0"/>
              <w:jc w:val="both"/>
            </w:pPr>
          </w:p>
          <w:p w14:paraId="2BED3A5D" w14:textId="77777777" w:rsidR="00910E00" w:rsidRPr="00C56257" w:rsidRDefault="00910E00" w:rsidP="001E342B">
            <w:pPr>
              <w:widowControl w:val="0"/>
              <w:autoSpaceDE w:val="0"/>
              <w:autoSpaceDN w:val="0"/>
              <w:jc w:val="both"/>
            </w:pPr>
          </w:p>
          <w:p w14:paraId="46E4CE5D" w14:textId="77777777" w:rsidR="00910E00" w:rsidRPr="00C56257" w:rsidRDefault="00910E00" w:rsidP="001E342B">
            <w:pPr>
              <w:widowControl w:val="0"/>
              <w:autoSpaceDE w:val="0"/>
              <w:autoSpaceDN w:val="0"/>
              <w:jc w:val="both"/>
            </w:pPr>
          </w:p>
          <w:p w14:paraId="52CD91B0" w14:textId="77777777" w:rsidR="00910E00" w:rsidRPr="00C56257" w:rsidRDefault="00910E00" w:rsidP="001E342B">
            <w:pPr>
              <w:widowControl w:val="0"/>
              <w:autoSpaceDE w:val="0"/>
              <w:autoSpaceDN w:val="0"/>
              <w:jc w:val="both"/>
            </w:pPr>
          </w:p>
          <w:p w14:paraId="335AE6DA" w14:textId="77777777" w:rsidR="00910E00" w:rsidRPr="00C56257" w:rsidRDefault="00910E00" w:rsidP="001E342B">
            <w:pPr>
              <w:widowControl w:val="0"/>
              <w:autoSpaceDE w:val="0"/>
              <w:autoSpaceDN w:val="0"/>
              <w:jc w:val="both"/>
            </w:pPr>
          </w:p>
          <w:p w14:paraId="415711D6" w14:textId="77777777" w:rsidR="00910E00" w:rsidRPr="00C56257" w:rsidRDefault="00910E00" w:rsidP="001E342B">
            <w:pPr>
              <w:widowControl w:val="0"/>
              <w:autoSpaceDE w:val="0"/>
              <w:autoSpaceDN w:val="0"/>
              <w:jc w:val="both"/>
            </w:pPr>
          </w:p>
          <w:p w14:paraId="44541403" w14:textId="77777777" w:rsidR="00910E00" w:rsidRPr="00C56257" w:rsidRDefault="00910E00" w:rsidP="001E342B">
            <w:pPr>
              <w:widowControl w:val="0"/>
              <w:autoSpaceDE w:val="0"/>
              <w:autoSpaceDN w:val="0"/>
              <w:jc w:val="both"/>
            </w:pPr>
          </w:p>
          <w:p w14:paraId="689085B0" w14:textId="77777777" w:rsidR="00910E00" w:rsidRPr="00C56257" w:rsidRDefault="00910E00" w:rsidP="001E342B">
            <w:pPr>
              <w:widowControl w:val="0"/>
              <w:autoSpaceDE w:val="0"/>
              <w:autoSpaceDN w:val="0"/>
              <w:jc w:val="both"/>
            </w:pPr>
          </w:p>
          <w:p w14:paraId="0B659F89" w14:textId="77777777" w:rsidR="00910E00" w:rsidRPr="00F100E1" w:rsidRDefault="00910E00" w:rsidP="001E342B">
            <w:pPr>
              <w:widowControl w:val="0"/>
              <w:autoSpaceDE w:val="0"/>
              <w:autoSpaceDN w:val="0"/>
              <w:jc w:val="both"/>
            </w:pPr>
          </w:p>
          <w:p w14:paraId="54A60224" w14:textId="77777777" w:rsidR="00910E00" w:rsidRPr="00F100E1" w:rsidRDefault="00910E00" w:rsidP="001E342B">
            <w:pPr>
              <w:widowControl w:val="0"/>
              <w:autoSpaceDE w:val="0"/>
              <w:autoSpaceDN w:val="0"/>
              <w:ind w:right="345"/>
              <w:jc w:val="both"/>
            </w:pPr>
            <w:r w:rsidRPr="00F100E1">
              <w:t>E01, E02,</w:t>
            </w:r>
            <w:r w:rsidRPr="00F100E1">
              <w:rPr>
                <w:spacing w:val="-52"/>
              </w:rPr>
              <w:t xml:space="preserve"> </w:t>
            </w:r>
            <w:r w:rsidRPr="00F100E1">
              <w:t xml:space="preserve">E03, </w:t>
            </w:r>
            <w:r w:rsidRPr="00F100E1">
              <w:lastRenderedPageBreak/>
              <w:t>E04</w:t>
            </w:r>
          </w:p>
        </w:tc>
      </w:tr>
      <w:tr w:rsidR="00910E00" w:rsidRPr="00F100E1" w14:paraId="2B2BAF21" w14:textId="77777777" w:rsidTr="00910E00">
        <w:trPr>
          <w:trHeight w:val="1012"/>
        </w:trPr>
        <w:tc>
          <w:tcPr>
            <w:tcW w:w="720" w:type="dxa"/>
          </w:tcPr>
          <w:p w14:paraId="2B2C31A8" w14:textId="77777777" w:rsidR="00910E00" w:rsidRPr="00F100E1" w:rsidRDefault="00910E00" w:rsidP="001E342B">
            <w:pPr>
              <w:widowControl w:val="0"/>
              <w:autoSpaceDE w:val="0"/>
              <w:autoSpaceDN w:val="0"/>
              <w:jc w:val="both"/>
            </w:pPr>
            <w:r w:rsidRPr="00F100E1">
              <w:t>7.</w:t>
            </w:r>
          </w:p>
        </w:tc>
        <w:tc>
          <w:tcPr>
            <w:tcW w:w="900" w:type="dxa"/>
          </w:tcPr>
          <w:p w14:paraId="5979B573" w14:textId="77777777" w:rsidR="00910E00" w:rsidRPr="00F100E1" w:rsidRDefault="00910E00" w:rsidP="001E342B">
            <w:pPr>
              <w:widowControl w:val="0"/>
              <w:autoSpaceDE w:val="0"/>
              <w:autoSpaceDN w:val="0"/>
              <w:jc w:val="both"/>
            </w:pPr>
          </w:p>
          <w:p w14:paraId="2D32D831" w14:textId="77777777" w:rsidR="00910E00" w:rsidRPr="00F100E1" w:rsidRDefault="00910E00" w:rsidP="001E342B">
            <w:pPr>
              <w:widowControl w:val="0"/>
              <w:autoSpaceDE w:val="0"/>
              <w:autoSpaceDN w:val="0"/>
              <w:jc w:val="both"/>
            </w:pPr>
            <w:r w:rsidRPr="00F100E1">
              <w:t>CI01</w:t>
            </w:r>
          </w:p>
        </w:tc>
        <w:tc>
          <w:tcPr>
            <w:tcW w:w="1917" w:type="dxa"/>
          </w:tcPr>
          <w:p w14:paraId="129C9A5C" w14:textId="77777777" w:rsidR="00910E00" w:rsidRPr="00F100E1" w:rsidRDefault="00910E00" w:rsidP="001E342B">
            <w:pPr>
              <w:widowControl w:val="0"/>
              <w:autoSpaceDE w:val="0"/>
              <w:autoSpaceDN w:val="0"/>
              <w:ind w:right="638"/>
              <w:jc w:val="both"/>
            </w:pPr>
            <w:r w:rsidRPr="00F100E1">
              <w:t>Detectarea</w:t>
            </w:r>
            <w:r w:rsidRPr="00F100E1">
              <w:rPr>
                <w:spacing w:val="-53"/>
              </w:rPr>
              <w:t xml:space="preserve"> </w:t>
            </w:r>
            <w:r w:rsidRPr="00F100E1">
              <w:t>timpurie și</w:t>
            </w:r>
            <w:r w:rsidRPr="00F100E1">
              <w:rPr>
                <w:spacing w:val="-52"/>
              </w:rPr>
              <w:t xml:space="preserve"> </w:t>
            </w:r>
            <w:r w:rsidRPr="00F100E1">
              <w:t>eradicarea</w:t>
            </w:r>
          </w:p>
          <w:p w14:paraId="1CDA64A3" w14:textId="77777777" w:rsidR="00910E00" w:rsidRPr="00F100E1" w:rsidRDefault="00910E00" w:rsidP="001E342B">
            <w:pPr>
              <w:widowControl w:val="0"/>
              <w:autoSpaceDE w:val="0"/>
              <w:autoSpaceDN w:val="0"/>
              <w:ind w:right="305"/>
              <w:jc w:val="both"/>
            </w:pPr>
            <w:r w:rsidRPr="00F100E1">
              <w:t>rapidă a speciilor,</w:t>
            </w:r>
            <w:r w:rsidRPr="00F100E1">
              <w:rPr>
                <w:spacing w:val="1"/>
              </w:rPr>
              <w:t xml:space="preserve"> </w:t>
            </w:r>
            <w:r w:rsidRPr="00F100E1">
              <w:t>alohtone,</w:t>
            </w:r>
            <w:r w:rsidRPr="00F100E1">
              <w:rPr>
                <w:spacing w:val="1"/>
              </w:rPr>
              <w:t xml:space="preserve"> </w:t>
            </w:r>
            <w:r w:rsidRPr="00F100E1">
              <w:t>invazive</w:t>
            </w:r>
            <w:r w:rsidRPr="00F100E1">
              <w:rPr>
                <w:spacing w:val="1"/>
              </w:rPr>
              <w:t xml:space="preserve"> </w:t>
            </w:r>
            <w:r w:rsidRPr="00F100E1">
              <w:t>considerate de</w:t>
            </w:r>
            <w:r w:rsidRPr="00F100E1">
              <w:rPr>
                <w:spacing w:val="-52"/>
              </w:rPr>
              <w:t xml:space="preserve"> </w:t>
            </w:r>
            <w:r w:rsidRPr="00F100E1">
              <w:t>interes pentru</w:t>
            </w:r>
            <w:r w:rsidRPr="00F100E1">
              <w:rPr>
                <w:spacing w:val="1"/>
              </w:rPr>
              <w:t xml:space="preserve"> </w:t>
            </w:r>
            <w:r w:rsidRPr="00F100E1">
              <w:t>Uniunea</w:t>
            </w:r>
          </w:p>
          <w:p w14:paraId="015370F3" w14:textId="77777777" w:rsidR="00910E00" w:rsidRPr="00F100E1" w:rsidRDefault="00910E00" w:rsidP="001E342B">
            <w:pPr>
              <w:widowControl w:val="0"/>
              <w:autoSpaceDE w:val="0"/>
              <w:autoSpaceDN w:val="0"/>
              <w:jc w:val="both"/>
            </w:pPr>
            <w:r w:rsidRPr="00F100E1">
              <w:t>Europeană</w:t>
            </w:r>
          </w:p>
        </w:tc>
        <w:tc>
          <w:tcPr>
            <w:tcW w:w="4653" w:type="dxa"/>
          </w:tcPr>
          <w:p w14:paraId="7920C270" w14:textId="77777777" w:rsidR="00910E00" w:rsidRPr="00F100E1" w:rsidRDefault="00910E00" w:rsidP="001E342B">
            <w:pPr>
              <w:widowControl w:val="0"/>
              <w:autoSpaceDE w:val="0"/>
              <w:autoSpaceDN w:val="0"/>
              <w:ind w:right="149"/>
              <w:jc w:val="both"/>
            </w:pPr>
            <w:r w:rsidRPr="00F100E1">
              <w:rPr>
                <w:color w:val="1F2023"/>
              </w:rPr>
              <w:t>Stabilirea și funcționarea sistemului de</w:t>
            </w:r>
            <w:r w:rsidRPr="00F100E1">
              <w:rPr>
                <w:color w:val="1F2023"/>
                <w:spacing w:val="-53"/>
              </w:rPr>
              <w:t xml:space="preserve"> </w:t>
            </w:r>
            <w:r w:rsidRPr="00F100E1">
              <w:rPr>
                <w:color w:val="1F2023"/>
              </w:rPr>
              <w:t>detectare timpurie și eradicare rapidă a</w:t>
            </w:r>
            <w:r w:rsidRPr="00F100E1">
              <w:rPr>
                <w:color w:val="1F2023"/>
                <w:spacing w:val="-52"/>
              </w:rPr>
              <w:t xml:space="preserve"> </w:t>
            </w:r>
            <w:r w:rsidRPr="00F100E1">
              <w:rPr>
                <w:color w:val="1F2023"/>
              </w:rPr>
              <w:t>speciilor</w:t>
            </w:r>
            <w:r w:rsidRPr="00F100E1">
              <w:rPr>
                <w:color w:val="1F2023"/>
                <w:spacing w:val="-4"/>
              </w:rPr>
              <w:t xml:space="preserve"> </w:t>
            </w:r>
            <w:r w:rsidRPr="00F100E1">
              <w:rPr>
                <w:color w:val="1F2023"/>
              </w:rPr>
              <w:t>străine</w:t>
            </w:r>
            <w:r w:rsidRPr="00F100E1">
              <w:rPr>
                <w:color w:val="1F2023"/>
                <w:spacing w:val="-3"/>
              </w:rPr>
              <w:t xml:space="preserve"> </w:t>
            </w:r>
            <w:r w:rsidRPr="00F100E1">
              <w:rPr>
                <w:color w:val="1F2023"/>
              </w:rPr>
              <w:t>invazive</w:t>
            </w:r>
            <w:r w:rsidRPr="00F100E1">
              <w:rPr>
                <w:color w:val="1F2023"/>
                <w:spacing w:val="-1"/>
              </w:rPr>
              <w:t xml:space="preserve"> </w:t>
            </w:r>
            <w:r w:rsidRPr="00F100E1">
              <w:rPr>
                <w:color w:val="1F2023"/>
              </w:rPr>
              <w:t>de</w:t>
            </w:r>
            <w:r w:rsidRPr="00F100E1">
              <w:rPr>
                <w:color w:val="1F2023"/>
                <w:spacing w:val="-1"/>
              </w:rPr>
              <w:t xml:space="preserve"> </w:t>
            </w:r>
            <w:r w:rsidRPr="00F100E1">
              <w:rPr>
                <w:color w:val="1F2023"/>
              </w:rPr>
              <w:t>interes</w:t>
            </w:r>
          </w:p>
          <w:p w14:paraId="78D02A50" w14:textId="77777777" w:rsidR="00910E00" w:rsidRPr="00F100E1" w:rsidRDefault="00910E00" w:rsidP="001E342B">
            <w:pPr>
              <w:widowControl w:val="0"/>
              <w:autoSpaceDE w:val="0"/>
              <w:autoSpaceDN w:val="0"/>
              <w:ind w:right="88"/>
              <w:jc w:val="both"/>
            </w:pPr>
            <w:r w:rsidRPr="00F100E1">
              <w:rPr>
                <w:color w:val="1F2023"/>
              </w:rPr>
              <w:t>pentru</w:t>
            </w:r>
            <w:r w:rsidRPr="00F100E1">
              <w:rPr>
                <w:color w:val="1F2023"/>
                <w:spacing w:val="-1"/>
              </w:rPr>
              <w:t xml:space="preserve"> </w:t>
            </w:r>
            <w:r w:rsidRPr="00F100E1">
              <w:rPr>
                <w:color w:val="1F2023"/>
              </w:rPr>
              <w:t>Uniunea</w:t>
            </w:r>
            <w:r w:rsidRPr="00F100E1">
              <w:rPr>
                <w:color w:val="1F2023"/>
                <w:spacing w:val="-1"/>
              </w:rPr>
              <w:t xml:space="preserve"> </w:t>
            </w:r>
            <w:r w:rsidRPr="00F100E1">
              <w:rPr>
                <w:color w:val="1F2023"/>
              </w:rPr>
              <w:t>Europeană</w:t>
            </w:r>
            <w:r w:rsidRPr="00F100E1">
              <w:rPr>
                <w:color w:val="1F2023"/>
                <w:spacing w:val="-5"/>
              </w:rPr>
              <w:t xml:space="preserve"> </w:t>
            </w:r>
            <w:r w:rsidRPr="00F100E1">
              <w:rPr>
                <w:color w:val="1F2023"/>
              </w:rPr>
              <w:t>(în conformitate cu Regulamentul (UE) nr.</w:t>
            </w:r>
            <w:r w:rsidRPr="00F100E1">
              <w:rPr>
                <w:color w:val="1F2023"/>
                <w:spacing w:val="-52"/>
              </w:rPr>
              <w:t xml:space="preserve"> </w:t>
            </w:r>
            <w:r w:rsidRPr="00F100E1">
              <w:rPr>
                <w:color w:val="1F2023"/>
              </w:rPr>
              <w:t>1143/2014).</w:t>
            </w:r>
          </w:p>
          <w:p w14:paraId="64F42C88" w14:textId="77777777" w:rsidR="00910E00" w:rsidRPr="00F100E1" w:rsidRDefault="00910E00" w:rsidP="001E342B">
            <w:pPr>
              <w:widowControl w:val="0"/>
              <w:autoSpaceDE w:val="0"/>
              <w:autoSpaceDN w:val="0"/>
              <w:jc w:val="both"/>
            </w:pPr>
            <w:r w:rsidRPr="00F100E1">
              <w:rPr>
                <w:color w:val="1F2023"/>
              </w:rPr>
              <w:t>Aceasta include, de asemenea, măsuri</w:t>
            </w:r>
            <w:r w:rsidRPr="00F100E1">
              <w:rPr>
                <w:color w:val="1F2023"/>
                <w:spacing w:val="-52"/>
              </w:rPr>
              <w:t xml:space="preserve"> </w:t>
            </w:r>
            <w:r w:rsidRPr="00F100E1">
              <w:rPr>
                <w:color w:val="1F2023"/>
              </w:rPr>
              <w:t>pentru prevenirea sau reducerea</w:t>
            </w:r>
            <w:r w:rsidRPr="00F100E1">
              <w:rPr>
                <w:color w:val="1F2023"/>
                <w:spacing w:val="1"/>
              </w:rPr>
              <w:t xml:space="preserve"> </w:t>
            </w:r>
            <w:r w:rsidRPr="00F100E1">
              <w:rPr>
                <w:color w:val="1F2023"/>
              </w:rPr>
              <w:t>probabilității înființării și intrării</w:t>
            </w:r>
            <w:r w:rsidRPr="00F100E1">
              <w:rPr>
                <w:color w:val="1F2023"/>
                <w:spacing w:val="1"/>
              </w:rPr>
              <w:t xml:space="preserve"> </w:t>
            </w:r>
            <w:r w:rsidRPr="00F100E1">
              <w:rPr>
                <w:color w:val="1F2023"/>
              </w:rPr>
              <w:t>speciilor</w:t>
            </w:r>
            <w:r w:rsidRPr="00F100E1">
              <w:rPr>
                <w:color w:val="1F2023"/>
                <w:spacing w:val="-3"/>
              </w:rPr>
              <w:t xml:space="preserve"> </w:t>
            </w:r>
            <w:r w:rsidRPr="00F100E1">
              <w:rPr>
                <w:color w:val="1F2023"/>
              </w:rPr>
              <w:t>alohtone</w:t>
            </w:r>
            <w:r w:rsidRPr="00F100E1">
              <w:rPr>
                <w:color w:val="1F2023"/>
                <w:spacing w:val="-1"/>
              </w:rPr>
              <w:t xml:space="preserve"> </w:t>
            </w:r>
            <w:r w:rsidRPr="00F100E1">
              <w:rPr>
                <w:color w:val="1F2023"/>
              </w:rPr>
              <w:t>invazive</w:t>
            </w:r>
          </w:p>
        </w:tc>
        <w:tc>
          <w:tcPr>
            <w:tcW w:w="1980" w:type="dxa"/>
          </w:tcPr>
          <w:p w14:paraId="065D45C9" w14:textId="77777777" w:rsidR="00910E00" w:rsidRPr="00F100E1" w:rsidRDefault="00910E00" w:rsidP="001E342B">
            <w:pPr>
              <w:widowControl w:val="0"/>
              <w:autoSpaceDE w:val="0"/>
              <w:autoSpaceDN w:val="0"/>
              <w:jc w:val="both"/>
            </w:pPr>
          </w:p>
          <w:p w14:paraId="434AE478" w14:textId="77777777" w:rsidR="00910E00" w:rsidRPr="00F100E1" w:rsidRDefault="00910E00" w:rsidP="001E342B">
            <w:pPr>
              <w:widowControl w:val="0"/>
              <w:autoSpaceDE w:val="0"/>
              <w:autoSpaceDN w:val="0"/>
              <w:jc w:val="both"/>
            </w:pPr>
            <w:r w:rsidRPr="00F100E1">
              <w:t>I01</w:t>
            </w:r>
          </w:p>
        </w:tc>
      </w:tr>
      <w:tr w:rsidR="00910E00" w:rsidRPr="00F100E1" w14:paraId="6194CFD3" w14:textId="77777777" w:rsidTr="00910E00">
        <w:trPr>
          <w:trHeight w:val="1012"/>
        </w:trPr>
        <w:tc>
          <w:tcPr>
            <w:tcW w:w="720" w:type="dxa"/>
          </w:tcPr>
          <w:p w14:paraId="45EA4F2B" w14:textId="77777777" w:rsidR="00910E00" w:rsidRPr="00F100E1" w:rsidRDefault="00910E00" w:rsidP="001E342B">
            <w:pPr>
              <w:widowControl w:val="0"/>
              <w:autoSpaceDE w:val="0"/>
              <w:autoSpaceDN w:val="0"/>
              <w:jc w:val="both"/>
            </w:pPr>
            <w:r>
              <w:t>8</w:t>
            </w:r>
          </w:p>
        </w:tc>
        <w:tc>
          <w:tcPr>
            <w:tcW w:w="900" w:type="dxa"/>
          </w:tcPr>
          <w:p w14:paraId="48EBF7B7" w14:textId="77777777" w:rsidR="00910E00" w:rsidRPr="00F100E1" w:rsidRDefault="00910E00" w:rsidP="001E342B">
            <w:pPr>
              <w:widowControl w:val="0"/>
              <w:autoSpaceDE w:val="0"/>
              <w:autoSpaceDN w:val="0"/>
              <w:jc w:val="both"/>
            </w:pPr>
            <w:r>
              <w:t>CO03</w:t>
            </w:r>
          </w:p>
        </w:tc>
        <w:tc>
          <w:tcPr>
            <w:tcW w:w="1917" w:type="dxa"/>
          </w:tcPr>
          <w:p w14:paraId="1F8B122E" w14:textId="77777777" w:rsidR="00910E00" w:rsidRPr="00F100E1" w:rsidRDefault="00910E00" w:rsidP="001E342B">
            <w:pPr>
              <w:widowControl w:val="0"/>
              <w:autoSpaceDE w:val="0"/>
              <w:autoSpaceDN w:val="0"/>
              <w:ind w:right="638"/>
              <w:jc w:val="both"/>
            </w:pPr>
            <w:r w:rsidRPr="00F100E1">
              <w:rPr>
                <w:color w:val="1F2023"/>
              </w:rPr>
              <w:t>Managementul,</w:t>
            </w:r>
            <w:r w:rsidRPr="00F100E1">
              <w:rPr>
                <w:color w:val="1F2023"/>
                <w:spacing w:val="-52"/>
              </w:rPr>
              <w:t xml:space="preserve"> </w:t>
            </w:r>
            <w:r w:rsidRPr="00F100E1">
              <w:rPr>
                <w:color w:val="1F2023"/>
              </w:rPr>
              <w:t>controlul sau</w:t>
            </w:r>
            <w:r w:rsidRPr="00F100E1">
              <w:rPr>
                <w:color w:val="1F2023"/>
                <w:spacing w:val="1"/>
              </w:rPr>
              <w:t xml:space="preserve"> </w:t>
            </w:r>
            <w:r w:rsidRPr="00F100E1">
              <w:rPr>
                <w:color w:val="1F2023"/>
              </w:rPr>
              <w:t>eradicarea altor</w:t>
            </w:r>
            <w:r w:rsidRPr="00F100E1">
              <w:rPr>
                <w:color w:val="1F2023"/>
                <w:spacing w:val="-52"/>
              </w:rPr>
              <w:t xml:space="preserve"> </w:t>
            </w:r>
            <w:r w:rsidRPr="00F100E1">
              <w:rPr>
                <w:color w:val="1F2023"/>
              </w:rPr>
              <w:t>specii alohtone</w:t>
            </w:r>
            <w:r w:rsidRPr="00F100E1">
              <w:rPr>
                <w:color w:val="1F2023"/>
                <w:spacing w:val="-52"/>
              </w:rPr>
              <w:t xml:space="preserve"> </w:t>
            </w:r>
            <w:r w:rsidRPr="00F100E1">
              <w:rPr>
                <w:color w:val="1F2023"/>
              </w:rPr>
              <w:t>invazive</w:t>
            </w:r>
          </w:p>
        </w:tc>
        <w:tc>
          <w:tcPr>
            <w:tcW w:w="4653" w:type="dxa"/>
          </w:tcPr>
          <w:p w14:paraId="35453B5D" w14:textId="77777777" w:rsidR="00910E00" w:rsidRPr="00F100E1" w:rsidRDefault="00910E00" w:rsidP="001E342B">
            <w:pPr>
              <w:widowControl w:val="0"/>
              <w:autoSpaceDE w:val="0"/>
              <w:autoSpaceDN w:val="0"/>
              <w:ind w:right="149"/>
              <w:jc w:val="both"/>
              <w:rPr>
                <w:color w:val="1F2023"/>
              </w:rPr>
            </w:pPr>
            <w:r w:rsidRPr="00F100E1">
              <w:rPr>
                <w:color w:val="1F2023"/>
              </w:rPr>
              <w:t>Gestionarea, controlul răspândirii altor</w:t>
            </w:r>
            <w:r w:rsidRPr="00F100E1">
              <w:rPr>
                <w:color w:val="1F2023"/>
                <w:spacing w:val="-52"/>
              </w:rPr>
              <w:t xml:space="preserve"> </w:t>
            </w:r>
            <w:r w:rsidRPr="00F100E1">
              <w:rPr>
                <w:color w:val="1F2023"/>
              </w:rPr>
              <w:t>specii exotice „invazive” (adică orice</w:t>
            </w:r>
            <w:r w:rsidRPr="00F100E1">
              <w:rPr>
                <w:color w:val="1F2023"/>
                <w:spacing w:val="1"/>
              </w:rPr>
              <w:t xml:space="preserve"> </w:t>
            </w:r>
            <w:r w:rsidRPr="00F100E1">
              <w:rPr>
                <w:color w:val="1F2023"/>
              </w:rPr>
              <w:t>specie introdusă în perioada modernă</w:t>
            </w:r>
            <w:r w:rsidRPr="00F100E1">
              <w:rPr>
                <w:color w:val="1F2023"/>
                <w:spacing w:val="1"/>
              </w:rPr>
              <w:t xml:space="preserve"> </w:t>
            </w:r>
            <w:r w:rsidRPr="00F100E1">
              <w:rPr>
                <w:color w:val="1F2023"/>
              </w:rPr>
              <w:t>care este stabilită în sălbăticie în afara</w:t>
            </w:r>
            <w:r w:rsidRPr="00F100E1">
              <w:rPr>
                <w:color w:val="1F2023"/>
                <w:spacing w:val="1"/>
              </w:rPr>
              <w:t xml:space="preserve"> </w:t>
            </w:r>
            <w:r w:rsidRPr="00F100E1">
              <w:rPr>
                <w:color w:val="1F2023"/>
              </w:rPr>
              <w:t>ariei sale naturale și a cărei introducere</w:t>
            </w:r>
            <w:r w:rsidRPr="00F100E1">
              <w:rPr>
                <w:color w:val="1F2023"/>
                <w:spacing w:val="-52"/>
              </w:rPr>
              <w:t xml:space="preserve"> </w:t>
            </w:r>
            <w:r w:rsidRPr="00F100E1">
              <w:rPr>
                <w:color w:val="1F2023"/>
              </w:rPr>
              <w:t>și / sau răspândire reprezintă o</w:t>
            </w:r>
            <w:r w:rsidRPr="00F100E1">
              <w:rPr>
                <w:color w:val="1F2023"/>
                <w:spacing w:val="1"/>
              </w:rPr>
              <w:t xml:space="preserve"> </w:t>
            </w:r>
            <w:r w:rsidRPr="00F100E1">
              <w:rPr>
                <w:color w:val="1F2023"/>
              </w:rPr>
              <w:t>amenințare concretă, sau potențială</w:t>
            </w:r>
            <w:r w:rsidRPr="00F100E1">
              <w:rPr>
                <w:color w:val="1F2023"/>
                <w:spacing w:val="1"/>
              </w:rPr>
              <w:t xml:space="preserve"> </w:t>
            </w:r>
            <w:r w:rsidRPr="00F100E1">
              <w:rPr>
                <w:color w:val="1F2023"/>
              </w:rPr>
              <w:t>pentru habitate și specii, indiferent de</w:t>
            </w:r>
            <w:r w:rsidRPr="00F100E1">
              <w:rPr>
                <w:color w:val="1F2023"/>
                <w:spacing w:val="1"/>
              </w:rPr>
              <w:t xml:space="preserve"> </w:t>
            </w:r>
            <w:r w:rsidRPr="00F100E1">
              <w:rPr>
                <w:color w:val="1F2023"/>
              </w:rPr>
              <w:t>dinamica populației invazive (ex.</w:t>
            </w:r>
            <w:r w:rsidRPr="00F100E1">
              <w:rPr>
                <w:color w:val="1F2023"/>
                <w:spacing w:val="1"/>
              </w:rPr>
              <w:t xml:space="preserve"> </w:t>
            </w:r>
            <w:r w:rsidRPr="00F100E1">
              <w:rPr>
                <w:color w:val="1F2023"/>
              </w:rPr>
              <w:t>controlul Acacia spp.)) sau eradicarea</w:t>
            </w:r>
            <w:r w:rsidRPr="00F100E1">
              <w:rPr>
                <w:color w:val="1F2023"/>
                <w:spacing w:val="1"/>
              </w:rPr>
              <w:t xml:space="preserve"> </w:t>
            </w:r>
            <w:r w:rsidRPr="00F100E1">
              <w:rPr>
                <w:color w:val="1F2023"/>
              </w:rPr>
              <w:t>populațiilor stabilite ale altor specii</w:t>
            </w:r>
            <w:r w:rsidRPr="00F100E1">
              <w:rPr>
                <w:color w:val="1F2023"/>
                <w:spacing w:val="1"/>
              </w:rPr>
              <w:t xml:space="preserve"> </w:t>
            </w:r>
            <w:r w:rsidRPr="00F100E1">
              <w:rPr>
                <w:color w:val="1F2023"/>
              </w:rPr>
              <w:t>străine</w:t>
            </w:r>
          </w:p>
        </w:tc>
        <w:tc>
          <w:tcPr>
            <w:tcW w:w="1980" w:type="dxa"/>
          </w:tcPr>
          <w:p w14:paraId="3C0331A8" w14:textId="77777777" w:rsidR="00910E00" w:rsidRPr="00F100E1" w:rsidRDefault="00910E00" w:rsidP="001E342B">
            <w:pPr>
              <w:widowControl w:val="0"/>
              <w:autoSpaceDE w:val="0"/>
              <w:autoSpaceDN w:val="0"/>
              <w:jc w:val="both"/>
            </w:pPr>
            <w:r>
              <w:t>I102</w:t>
            </w:r>
          </w:p>
        </w:tc>
      </w:tr>
      <w:tr w:rsidR="00910E00" w:rsidRPr="00F100E1" w14:paraId="2B5F4B00" w14:textId="77777777" w:rsidTr="00910E00">
        <w:trPr>
          <w:trHeight w:val="2296"/>
        </w:trPr>
        <w:tc>
          <w:tcPr>
            <w:tcW w:w="720" w:type="dxa"/>
          </w:tcPr>
          <w:p w14:paraId="24F5AAAB" w14:textId="77777777" w:rsidR="00910E00" w:rsidRPr="00F100E1" w:rsidRDefault="00910E00" w:rsidP="001E342B">
            <w:pPr>
              <w:widowControl w:val="0"/>
              <w:autoSpaceDE w:val="0"/>
              <w:autoSpaceDN w:val="0"/>
              <w:jc w:val="both"/>
            </w:pPr>
            <w:r w:rsidRPr="00F100E1">
              <w:t>9.</w:t>
            </w:r>
          </w:p>
        </w:tc>
        <w:tc>
          <w:tcPr>
            <w:tcW w:w="900" w:type="dxa"/>
          </w:tcPr>
          <w:p w14:paraId="7FA133DD" w14:textId="77777777" w:rsidR="00910E00" w:rsidRPr="00C56257" w:rsidRDefault="00910E00" w:rsidP="001E342B">
            <w:pPr>
              <w:widowControl w:val="0"/>
              <w:autoSpaceDE w:val="0"/>
              <w:autoSpaceDN w:val="0"/>
              <w:jc w:val="both"/>
            </w:pPr>
          </w:p>
          <w:p w14:paraId="664FAC01" w14:textId="77777777" w:rsidR="00910E00" w:rsidRPr="00C56257" w:rsidRDefault="00910E00" w:rsidP="001E342B">
            <w:pPr>
              <w:widowControl w:val="0"/>
              <w:autoSpaceDE w:val="0"/>
              <w:autoSpaceDN w:val="0"/>
              <w:jc w:val="both"/>
            </w:pPr>
          </w:p>
          <w:p w14:paraId="198692FC" w14:textId="77777777" w:rsidR="00910E00" w:rsidRPr="00C56257" w:rsidRDefault="00910E00" w:rsidP="001E342B">
            <w:pPr>
              <w:widowControl w:val="0"/>
              <w:autoSpaceDE w:val="0"/>
              <w:autoSpaceDN w:val="0"/>
              <w:jc w:val="both"/>
            </w:pPr>
          </w:p>
          <w:p w14:paraId="5AC1813F" w14:textId="77777777" w:rsidR="00910E00" w:rsidRPr="00F100E1" w:rsidRDefault="00910E00" w:rsidP="001E342B">
            <w:pPr>
              <w:widowControl w:val="0"/>
              <w:autoSpaceDE w:val="0"/>
              <w:autoSpaceDN w:val="0"/>
              <w:jc w:val="both"/>
            </w:pPr>
            <w:r w:rsidRPr="00F100E1">
              <w:t>CJ02</w:t>
            </w:r>
          </w:p>
        </w:tc>
        <w:tc>
          <w:tcPr>
            <w:tcW w:w="1917" w:type="dxa"/>
          </w:tcPr>
          <w:p w14:paraId="4C883477" w14:textId="77777777" w:rsidR="00910E00" w:rsidRPr="00C56257" w:rsidRDefault="00910E00" w:rsidP="001E342B">
            <w:pPr>
              <w:widowControl w:val="0"/>
              <w:autoSpaceDE w:val="0"/>
              <w:autoSpaceDN w:val="0"/>
              <w:jc w:val="both"/>
            </w:pPr>
          </w:p>
          <w:p w14:paraId="20518642" w14:textId="77777777" w:rsidR="00910E00" w:rsidRPr="00F100E1" w:rsidRDefault="00910E00" w:rsidP="001E342B">
            <w:pPr>
              <w:widowControl w:val="0"/>
              <w:autoSpaceDE w:val="0"/>
              <w:autoSpaceDN w:val="0"/>
              <w:jc w:val="both"/>
            </w:pPr>
          </w:p>
          <w:p w14:paraId="72986153" w14:textId="77777777" w:rsidR="00910E00" w:rsidRPr="00F100E1" w:rsidRDefault="00910E00" w:rsidP="001E342B">
            <w:pPr>
              <w:widowControl w:val="0"/>
              <w:autoSpaceDE w:val="0"/>
              <w:autoSpaceDN w:val="0"/>
              <w:ind w:right="115"/>
              <w:jc w:val="both"/>
            </w:pPr>
            <w:r w:rsidRPr="00F100E1">
              <w:rPr>
                <w:color w:val="1F2023"/>
              </w:rPr>
              <w:t>Reducerea</w:t>
            </w:r>
            <w:r w:rsidRPr="00F100E1">
              <w:rPr>
                <w:color w:val="1F2023"/>
                <w:spacing w:val="1"/>
              </w:rPr>
              <w:t xml:space="preserve"> </w:t>
            </w:r>
            <w:r w:rsidRPr="00F100E1">
              <w:rPr>
                <w:color w:val="1F2023"/>
              </w:rPr>
              <w:t>impactul indus</w:t>
            </w:r>
            <w:r w:rsidRPr="00F100E1">
              <w:rPr>
                <w:color w:val="1F2023"/>
                <w:spacing w:val="1"/>
              </w:rPr>
              <w:t xml:space="preserve"> </w:t>
            </w:r>
            <w:r w:rsidRPr="00F100E1">
              <w:rPr>
                <w:color w:val="1F2023"/>
              </w:rPr>
              <w:t>de modificările</w:t>
            </w:r>
            <w:r w:rsidRPr="00F100E1">
              <w:rPr>
                <w:color w:val="1F2023"/>
                <w:spacing w:val="1"/>
              </w:rPr>
              <w:t xml:space="preserve"> </w:t>
            </w:r>
            <w:r w:rsidRPr="00F100E1">
              <w:rPr>
                <w:color w:val="1F2023"/>
              </w:rPr>
              <w:t>hidrologice</w:t>
            </w:r>
            <w:r w:rsidRPr="00F100E1">
              <w:rPr>
                <w:color w:val="1F2023"/>
                <w:spacing w:val="1"/>
              </w:rPr>
              <w:t xml:space="preserve"> </w:t>
            </w:r>
            <w:r w:rsidRPr="00F100E1">
              <w:rPr>
                <w:color w:val="1F2023"/>
              </w:rPr>
              <w:t>multifuncționale</w:t>
            </w:r>
          </w:p>
        </w:tc>
        <w:tc>
          <w:tcPr>
            <w:tcW w:w="4653" w:type="dxa"/>
          </w:tcPr>
          <w:p w14:paraId="5ADA94B4" w14:textId="77777777" w:rsidR="00910E00" w:rsidRPr="00F100E1" w:rsidRDefault="00910E00" w:rsidP="001E342B">
            <w:pPr>
              <w:widowControl w:val="0"/>
              <w:autoSpaceDE w:val="0"/>
              <w:autoSpaceDN w:val="0"/>
              <w:ind w:right="150"/>
              <w:jc w:val="both"/>
            </w:pPr>
            <w:r w:rsidRPr="00F100E1">
              <w:rPr>
                <w:color w:val="1F2023"/>
              </w:rPr>
              <w:t>Reducerea impactului depozitelor de</w:t>
            </w:r>
            <w:r w:rsidRPr="00F100E1">
              <w:rPr>
                <w:color w:val="1F2023"/>
                <w:spacing w:val="1"/>
              </w:rPr>
              <w:t xml:space="preserve"> </w:t>
            </w:r>
            <w:r w:rsidRPr="00F100E1">
              <w:rPr>
                <w:color w:val="1F2023"/>
              </w:rPr>
              <w:t>deșeuri, îndepărtarea sedimentelor,</w:t>
            </w:r>
            <w:r w:rsidRPr="00F100E1">
              <w:rPr>
                <w:color w:val="1F2023"/>
                <w:spacing w:val="1"/>
              </w:rPr>
              <w:t xml:space="preserve"> </w:t>
            </w:r>
            <w:r w:rsidRPr="00F100E1">
              <w:rPr>
                <w:color w:val="1F2023"/>
              </w:rPr>
              <w:t>canalizarea, modificarea cursurilor de</w:t>
            </w:r>
            <w:r w:rsidRPr="00F100E1">
              <w:rPr>
                <w:color w:val="1F2023"/>
                <w:spacing w:val="1"/>
              </w:rPr>
              <w:t xml:space="preserve"> </w:t>
            </w:r>
            <w:r w:rsidRPr="00F100E1">
              <w:rPr>
                <w:color w:val="1F2023"/>
              </w:rPr>
              <w:t>apă,</w:t>
            </w:r>
            <w:r w:rsidRPr="00F100E1">
              <w:rPr>
                <w:color w:val="1F2023"/>
                <w:spacing w:val="1"/>
              </w:rPr>
              <w:t xml:space="preserve"> </w:t>
            </w:r>
            <w:r w:rsidRPr="00F100E1">
              <w:rPr>
                <w:color w:val="1F2023"/>
              </w:rPr>
              <w:t>modificarea regimului de</w:t>
            </w:r>
            <w:r w:rsidRPr="00F100E1">
              <w:rPr>
                <w:color w:val="1F2023"/>
                <w:spacing w:val="1"/>
              </w:rPr>
              <w:t xml:space="preserve"> </w:t>
            </w:r>
            <w:r w:rsidRPr="00F100E1">
              <w:rPr>
                <w:color w:val="1F2023"/>
              </w:rPr>
              <w:t>inundații și alte modificări ale</w:t>
            </w:r>
            <w:r w:rsidRPr="00F100E1">
              <w:rPr>
                <w:color w:val="1F2023"/>
                <w:spacing w:val="1"/>
              </w:rPr>
              <w:t xml:space="preserve"> </w:t>
            </w:r>
            <w:r w:rsidRPr="00F100E1">
              <w:rPr>
                <w:color w:val="1F2023"/>
              </w:rPr>
              <w:t>funcționării hidrologice sau ale</w:t>
            </w:r>
            <w:r w:rsidRPr="00F100E1">
              <w:rPr>
                <w:color w:val="1F2023"/>
                <w:spacing w:val="1"/>
              </w:rPr>
              <w:t xml:space="preserve"> </w:t>
            </w:r>
            <w:r w:rsidRPr="00F100E1">
              <w:rPr>
                <w:color w:val="1F2023"/>
              </w:rPr>
              <w:t>caracteristicilor</w:t>
            </w:r>
            <w:r w:rsidRPr="00F100E1">
              <w:rPr>
                <w:color w:val="1F2023"/>
                <w:spacing w:val="-6"/>
              </w:rPr>
              <w:t xml:space="preserve"> </w:t>
            </w:r>
            <w:r w:rsidRPr="00F100E1">
              <w:rPr>
                <w:color w:val="1F2023"/>
              </w:rPr>
              <w:t>fizice</w:t>
            </w:r>
            <w:r w:rsidRPr="00F100E1">
              <w:rPr>
                <w:color w:val="1F2023"/>
                <w:spacing w:val="-5"/>
              </w:rPr>
              <w:t xml:space="preserve"> </w:t>
            </w:r>
            <w:r w:rsidRPr="00F100E1">
              <w:rPr>
                <w:color w:val="1F2023"/>
              </w:rPr>
              <w:t>ale</w:t>
            </w:r>
            <w:r w:rsidRPr="00F100E1">
              <w:rPr>
                <w:color w:val="1F2023"/>
                <w:spacing w:val="-3"/>
              </w:rPr>
              <w:t xml:space="preserve"> </w:t>
            </w:r>
            <w:r w:rsidRPr="00F100E1">
              <w:rPr>
                <w:color w:val="1F2023"/>
              </w:rPr>
              <w:t>corpurilor</w:t>
            </w:r>
            <w:r w:rsidRPr="00F100E1">
              <w:rPr>
                <w:color w:val="1F2023"/>
                <w:spacing w:val="-3"/>
              </w:rPr>
              <w:t xml:space="preserve"> </w:t>
            </w:r>
            <w:r w:rsidRPr="00F100E1">
              <w:rPr>
                <w:color w:val="1F2023"/>
              </w:rPr>
              <w:t>de</w:t>
            </w:r>
            <w:r w:rsidRPr="00F100E1">
              <w:rPr>
                <w:color w:val="1F2023"/>
                <w:spacing w:val="-52"/>
              </w:rPr>
              <w:t xml:space="preserve"> </w:t>
            </w:r>
            <w:r w:rsidRPr="00F100E1">
              <w:rPr>
                <w:color w:val="1F2023"/>
              </w:rPr>
              <w:t>apă, care nu pot fi ușor asociate cu una</w:t>
            </w:r>
            <w:r w:rsidRPr="00F100E1">
              <w:rPr>
                <w:color w:val="1F2023"/>
                <w:spacing w:val="-52"/>
              </w:rPr>
              <w:t xml:space="preserve"> </w:t>
            </w:r>
            <w:r w:rsidRPr="00F100E1">
              <w:rPr>
                <w:color w:val="1F2023"/>
              </w:rPr>
              <w:t>dintre</w:t>
            </w:r>
            <w:r w:rsidRPr="00F100E1">
              <w:rPr>
                <w:color w:val="1F2023"/>
                <w:spacing w:val="-3"/>
              </w:rPr>
              <w:t xml:space="preserve"> </w:t>
            </w:r>
            <w:r w:rsidRPr="00F100E1">
              <w:rPr>
                <w:color w:val="1F2023"/>
              </w:rPr>
              <w:t>categoriile</w:t>
            </w:r>
            <w:r w:rsidRPr="00F100E1">
              <w:rPr>
                <w:color w:val="1F2023"/>
                <w:spacing w:val="-2"/>
              </w:rPr>
              <w:t xml:space="preserve"> </w:t>
            </w:r>
            <w:r w:rsidRPr="00F100E1">
              <w:rPr>
                <w:color w:val="1F2023"/>
              </w:rPr>
              <w:t>de mai sus.</w:t>
            </w:r>
          </w:p>
        </w:tc>
        <w:tc>
          <w:tcPr>
            <w:tcW w:w="1980" w:type="dxa"/>
          </w:tcPr>
          <w:p w14:paraId="0E87986F" w14:textId="77777777" w:rsidR="00910E00" w:rsidRPr="00C56257" w:rsidRDefault="00910E00" w:rsidP="001E342B">
            <w:pPr>
              <w:widowControl w:val="0"/>
              <w:autoSpaceDE w:val="0"/>
              <w:autoSpaceDN w:val="0"/>
              <w:jc w:val="both"/>
            </w:pPr>
          </w:p>
          <w:p w14:paraId="02EF820A" w14:textId="77777777" w:rsidR="00910E00" w:rsidRPr="00C56257" w:rsidRDefault="00910E00" w:rsidP="001E342B">
            <w:pPr>
              <w:widowControl w:val="0"/>
              <w:autoSpaceDE w:val="0"/>
              <w:autoSpaceDN w:val="0"/>
              <w:jc w:val="both"/>
            </w:pPr>
          </w:p>
          <w:p w14:paraId="395C7773" w14:textId="77777777" w:rsidR="00910E00" w:rsidRPr="00F100E1" w:rsidRDefault="00910E00" w:rsidP="001E342B">
            <w:pPr>
              <w:widowControl w:val="0"/>
              <w:autoSpaceDE w:val="0"/>
              <w:autoSpaceDN w:val="0"/>
              <w:ind w:right="310"/>
              <w:jc w:val="both"/>
            </w:pPr>
            <w:r w:rsidRPr="00F100E1">
              <w:t>K01, K02,</w:t>
            </w:r>
            <w:r w:rsidRPr="00F100E1">
              <w:rPr>
                <w:spacing w:val="-52"/>
              </w:rPr>
              <w:t xml:space="preserve"> </w:t>
            </w:r>
            <w:r w:rsidRPr="00F100E1">
              <w:t>K03, K04,</w:t>
            </w:r>
            <w:r w:rsidRPr="00F100E1">
              <w:rPr>
                <w:spacing w:val="-52"/>
              </w:rPr>
              <w:t xml:space="preserve"> </w:t>
            </w:r>
            <w:r w:rsidRPr="00F100E1">
              <w:t>K05</w:t>
            </w:r>
          </w:p>
        </w:tc>
      </w:tr>
      <w:tr w:rsidR="00910E00" w:rsidRPr="00F100E1" w14:paraId="0CB37BE8" w14:textId="77777777" w:rsidTr="00910E00">
        <w:trPr>
          <w:trHeight w:val="2593"/>
        </w:trPr>
        <w:tc>
          <w:tcPr>
            <w:tcW w:w="720" w:type="dxa"/>
          </w:tcPr>
          <w:p w14:paraId="01CD0FC7" w14:textId="77777777" w:rsidR="00910E00" w:rsidRPr="00F100E1" w:rsidRDefault="00910E00" w:rsidP="001E342B">
            <w:pPr>
              <w:widowControl w:val="0"/>
              <w:autoSpaceDE w:val="0"/>
              <w:autoSpaceDN w:val="0"/>
              <w:jc w:val="both"/>
            </w:pPr>
            <w:r w:rsidRPr="00F100E1">
              <w:t>10.</w:t>
            </w:r>
          </w:p>
        </w:tc>
        <w:tc>
          <w:tcPr>
            <w:tcW w:w="900" w:type="dxa"/>
          </w:tcPr>
          <w:p w14:paraId="32E2F16D" w14:textId="77777777" w:rsidR="00910E00" w:rsidRPr="00C56257" w:rsidRDefault="00910E00" w:rsidP="001E342B">
            <w:pPr>
              <w:widowControl w:val="0"/>
              <w:autoSpaceDE w:val="0"/>
              <w:autoSpaceDN w:val="0"/>
              <w:jc w:val="both"/>
            </w:pPr>
          </w:p>
          <w:p w14:paraId="4754BBEA" w14:textId="77777777" w:rsidR="00910E00" w:rsidRPr="00C56257" w:rsidRDefault="00910E00" w:rsidP="001E342B">
            <w:pPr>
              <w:widowControl w:val="0"/>
              <w:autoSpaceDE w:val="0"/>
              <w:autoSpaceDN w:val="0"/>
              <w:jc w:val="both"/>
            </w:pPr>
          </w:p>
          <w:p w14:paraId="18B9DE45" w14:textId="77777777" w:rsidR="00910E00" w:rsidRPr="00C56257" w:rsidRDefault="00910E00" w:rsidP="001E342B">
            <w:pPr>
              <w:widowControl w:val="0"/>
              <w:autoSpaceDE w:val="0"/>
              <w:autoSpaceDN w:val="0"/>
              <w:jc w:val="both"/>
            </w:pPr>
          </w:p>
          <w:p w14:paraId="2D90C3E0" w14:textId="77777777" w:rsidR="00910E00" w:rsidRPr="00C56257" w:rsidRDefault="00910E00" w:rsidP="001E342B">
            <w:pPr>
              <w:widowControl w:val="0"/>
              <w:autoSpaceDE w:val="0"/>
              <w:autoSpaceDN w:val="0"/>
              <w:jc w:val="both"/>
            </w:pPr>
          </w:p>
          <w:p w14:paraId="25B734CE" w14:textId="77777777" w:rsidR="00910E00" w:rsidRPr="00C56257" w:rsidRDefault="00910E00" w:rsidP="001E342B">
            <w:pPr>
              <w:widowControl w:val="0"/>
              <w:autoSpaceDE w:val="0"/>
              <w:autoSpaceDN w:val="0"/>
              <w:jc w:val="both"/>
            </w:pPr>
          </w:p>
          <w:p w14:paraId="007180CE" w14:textId="77777777" w:rsidR="00910E00" w:rsidRPr="00F100E1" w:rsidRDefault="00910E00" w:rsidP="001E342B">
            <w:pPr>
              <w:widowControl w:val="0"/>
              <w:autoSpaceDE w:val="0"/>
              <w:autoSpaceDN w:val="0"/>
              <w:jc w:val="both"/>
            </w:pPr>
            <w:r w:rsidRPr="00F100E1">
              <w:t>CA10</w:t>
            </w:r>
          </w:p>
        </w:tc>
        <w:tc>
          <w:tcPr>
            <w:tcW w:w="1917" w:type="dxa"/>
          </w:tcPr>
          <w:p w14:paraId="1D671AA2" w14:textId="77777777" w:rsidR="00910E00" w:rsidRPr="00F100E1" w:rsidRDefault="00910E00" w:rsidP="001E342B">
            <w:pPr>
              <w:widowControl w:val="0"/>
              <w:autoSpaceDE w:val="0"/>
              <w:autoSpaceDN w:val="0"/>
              <w:ind w:right="146"/>
              <w:jc w:val="both"/>
            </w:pPr>
            <w:r w:rsidRPr="00F100E1">
              <w:rPr>
                <w:color w:val="1F2023"/>
                <w:spacing w:val="-1"/>
              </w:rPr>
              <w:t>Reducerea/elimi</w:t>
            </w:r>
            <w:r w:rsidRPr="00F100E1">
              <w:rPr>
                <w:color w:val="1F2023"/>
                <w:spacing w:val="-52"/>
              </w:rPr>
              <w:t xml:space="preserve"> </w:t>
            </w:r>
            <w:r w:rsidRPr="00F100E1">
              <w:rPr>
                <w:color w:val="1F2023"/>
              </w:rPr>
              <w:t>narea poluării</w:t>
            </w:r>
            <w:r w:rsidRPr="00F100E1">
              <w:rPr>
                <w:color w:val="1F2023"/>
                <w:spacing w:val="1"/>
              </w:rPr>
              <w:t xml:space="preserve"> </w:t>
            </w:r>
            <w:r w:rsidRPr="00F100E1">
              <w:rPr>
                <w:color w:val="1F2023"/>
              </w:rPr>
              <w:t>prin surse</w:t>
            </w:r>
            <w:r w:rsidRPr="00F100E1">
              <w:rPr>
                <w:color w:val="1F2023"/>
                <w:spacing w:val="1"/>
              </w:rPr>
              <w:t xml:space="preserve"> </w:t>
            </w:r>
            <w:r w:rsidRPr="00F100E1">
              <w:rPr>
                <w:color w:val="1F2023"/>
              </w:rPr>
              <w:t>punctiforme a</w:t>
            </w:r>
            <w:r w:rsidRPr="00F100E1">
              <w:rPr>
                <w:color w:val="1F2023"/>
                <w:spacing w:val="1"/>
              </w:rPr>
              <w:t xml:space="preserve"> </w:t>
            </w:r>
            <w:r w:rsidRPr="00F100E1">
              <w:rPr>
                <w:color w:val="1F2023"/>
              </w:rPr>
              <w:t>apelor de</w:t>
            </w:r>
            <w:r w:rsidRPr="00F100E1">
              <w:rPr>
                <w:color w:val="1F2023"/>
                <w:spacing w:val="1"/>
              </w:rPr>
              <w:t xml:space="preserve"> </w:t>
            </w:r>
            <w:r w:rsidRPr="00F100E1">
              <w:rPr>
                <w:color w:val="1F2023"/>
              </w:rPr>
              <w:t>suprafață; a</w:t>
            </w:r>
            <w:r w:rsidRPr="00F100E1">
              <w:rPr>
                <w:color w:val="1F2023"/>
                <w:spacing w:val="1"/>
              </w:rPr>
              <w:t xml:space="preserve"> </w:t>
            </w:r>
            <w:r w:rsidRPr="00F100E1">
              <w:rPr>
                <w:color w:val="1F2023"/>
              </w:rPr>
              <w:t>poluării</w:t>
            </w:r>
            <w:r w:rsidRPr="00F100E1">
              <w:rPr>
                <w:color w:val="1F2023"/>
                <w:spacing w:val="57"/>
              </w:rPr>
              <w:t xml:space="preserve"> </w:t>
            </w:r>
            <w:r w:rsidRPr="00F100E1">
              <w:rPr>
                <w:color w:val="1F2023"/>
              </w:rPr>
              <w:t>difuze</w:t>
            </w:r>
            <w:r w:rsidRPr="00F100E1">
              <w:rPr>
                <w:color w:val="1F2023"/>
                <w:spacing w:val="1"/>
              </w:rPr>
              <w:t xml:space="preserve"> </w:t>
            </w:r>
            <w:r w:rsidRPr="00F100E1">
              <w:rPr>
                <w:color w:val="1F2023"/>
              </w:rPr>
              <w:t>a apelor</w:t>
            </w:r>
            <w:r w:rsidRPr="00F100E1">
              <w:rPr>
                <w:color w:val="1F2023"/>
                <w:spacing w:val="1"/>
              </w:rPr>
              <w:t xml:space="preserve"> </w:t>
            </w:r>
            <w:r w:rsidRPr="00F100E1">
              <w:rPr>
                <w:color w:val="1F2023"/>
              </w:rPr>
              <w:t>subterane, din</w:t>
            </w:r>
            <w:r w:rsidRPr="00F100E1">
              <w:rPr>
                <w:color w:val="1F2023"/>
                <w:spacing w:val="1"/>
              </w:rPr>
              <w:t xml:space="preserve"> </w:t>
            </w:r>
            <w:r w:rsidRPr="00F100E1">
              <w:rPr>
                <w:color w:val="1F2023"/>
              </w:rPr>
              <w:t>activitățile</w:t>
            </w:r>
            <w:r w:rsidRPr="00F100E1">
              <w:rPr>
                <w:color w:val="1F2023"/>
                <w:spacing w:val="1"/>
              </w:rPr>
              <w:t xml:space="preserve"> </w:t>
            </w:r>
            <w:r w:rsidRPr="00F100E1">
              <w:rPr>
                <w:color w:val="1F2023"/>
              </w:rPr>
              <w:t>agricole.</w:t>
            </w:r>
          </w:p>
        </w:tc>
        <w:tc>
          <w:tcPr>
            <w:tcW w:w="4653" w:type="dxa"/>
          </w:tcPr>
          <w:p w14:paraId="17756A62" w14:textId="77777777" w:rsidR="00910E00" w:rsidRPr="00F100E1" w:rsidRDefault="00910E00" w:rsidP="001E342B">
            <w:pPr>
              <w:widowControl w:val="0"/>
              <w:autoSpaceDE w:val="0"/>
              <w:autoSpaceDN w:val="0"/>
              <w:ind w:right="113"/>
              <w:jc w:val="both"/>
            </w:pPr>
            <w:r w:rsidRPr="00F100E1">
              <w:rPr>
                <w:color w:val="1F2023"/>
              </w:rPr>
              <w:t>Reducerea sau eliminarea surselor de</w:t>
            </w:r>
            <w:r w:rsidRPr="00F100E1">
              <w:rPr>
                <w:color w:val="1F2023"/>
                <w:spacing w:val="1"/>
              </w:rPr>
              <w:t xml:space="preserve"> </w:t>
            </w:r>
            <w:r w:rsidRPr="00F100E1">
              <w:rPr>
                <w:color w:val="1F2023"/>
              </w:rPr>
              <w:t>poluare din activități agricole respectiv</w:t>
            </w:r>
            <w:r w:rsidRPr="00F100E1">
              <w:rPr>
                <w:color w:val="1F2023"/>
                <w:spacing w:val="-52"/>
              </w:rPr>
              <w:t xml:space="preserve"> </w:t>
            </w:r>
            <w:r w:rsidRPr="00F100E1">
              <w:rPr>
                <w:color w:val="1F2023"/>
              </w:rPr>
              <w:t>cele punctiforme pentru apele de</w:t>
            </w:r>
            <w:r w:rsidRPr="00F100E1">
              <w:rPr>
                <w:color w:val="1F2023"/>
                <w:spacing w:val="1"/>
              </w:rPr>
              <w:t xml:space="preserve"> </w:t>
            </w:r>
            <w:r w:rsidRPr="00F100E1">
              <w:rPr>
                <w:color w:val="1F2023"/>
              </w:rPr>
              <w:t>suprafață și difuze pentru apele</w:t>
            </w:r>
            <w:r w:rsidRPr="00F100E1">
              <w:rPr>
                <w:color w:val="1F2023"/>
                <w:spacing w:val="1"/>
              </w:rPr>
              <w:t xml:space="preserve"> </w:t>
            </w:r>
            <w:r w:rsidRPr="00F100E1">
              <w:rPr>
                <w:color w:val="1F2023"/>
              </w:rPr>
              <w:t>subterane (de exemplu, creșterea la</w:t>
            </w:r>
            <w:r w:rsidRPr="00F100E1">
              <w:rPr>
                <w:color w:val="1F2023"/>
                <w:spacing w:val="1"/>
              </w:rPr>
              <w:t xml:space="preserve"> </w:t>
            </w:r>
            <w:r w:rsidRPr="00F100E1">
              <w:rPr>
                <w:color w:val="1F2023"/>
              </w:rPr>
              <w:t>scară largă a animalelor sau depozitării</w:t>
            </w:r>
            <w:r w:rsidRPr="00F100E1">
              <w:rPr>
                <w:color w:val="1F2023"/>
                <w:spacing w:val="-52"/>
              </w:rPr>
              <w:t xml:space="preserve"> </w:t>
            </w:r>
            <w:r w:rsidRPr="00F100E1">
              <w:rPr>
                <w:color w:val="1F2023"/>
              </w:rPr>
              <w:t>inproprie a deșeurilor de la ferme și /</w:t>
            </w:r>
            <w:r w:rsidRPr="00F100E1">
              <w:rPr>
                <w:color w:val="1F2023"/>
                <w:spacing w:val="1"/>
              </w:rPr>
              <w:t xml:space="preserve"> </w:t>
            </w:r>
            <w:r w:rsidRPr="00F100E1">
              <w:rPr>
                <w:color w:val="1F2023"/>
              </w:rPr>
              <w:t>sau</w:t>
            </w:r>
            <w:r w:rsidRPr="00F100E1">
              <w:rPr>
                <w:color w:val="1F2023"/>
                <w:spacing w:val="-1"/>
              </w:rPr>
              <w:t xml:space="preserve"> </w:t>
            </w:r>
            <w:r w:rsidRPr="00F100E1">
              <w:rPr>
                <w:color w:val="1F2023"/>
              </w:rPr>
              <w:t>a produselor</w:t>
            </w:r>
            <w:r w:rsidRPr="00F100E1">
              <w:rPr>
                <w:color w:val="1F2023"/>
                <w:spacing w:val="-2"/>
              </w:rPr>
              <w:t xml:space="preserve"> </w:t>
            </w:r>
            <w:r w:rsidRPr="00F100E1">
              <w:rPr>
                <w:color w:val="1F2023"/>
              </w:rPr>
              <w:t>chimice).</w:t>
            </w:r>
          </w:p>
        </w:tc>
        <w:tc>
          <w:tcPr>
            <w:tcW w:w="1980" w:type="dxa"/>
          </w:tcPr>
          <w:p w14:paraId="0E7EF30E" w14:textId="77777777" w:rsidR="00910E00" w:rsidRPr="00C56257" w:rsidRDefault="00910E00" w:rsidP="001E342B">
            <w:pPr>
              <w:widowControl w:val="0"/>
              <w:autoSpaceDE w:val="0"/>
              <w:autoSpaceDN w:val="0"/>
              <w:jc w:val="both"/>
            </w:pPr>
          </w:p>
          <w:p w14:paraId="373F19D2" w14:textId="77777777" w:rsidR="00910E00" w:rsidRPr="00C56257" w:rsidRDefault="00910E00" w:rsidP="001E342B">
            <w:pPr>
              <w:widowControl w:val="0"/>
              <w:autoSpaceDE w:val="0"/>
              <w:autoSpaceDN w:val="0"/>
              <w:jc w:val="both"/>
            </w:pPr>
          </w:p>
          <w:p w14:paraId="0ACE5230" w14:textId="77777777" w:rsidR="00910E00" w:rsidRPr="00C56257" w:rsidRDefault="00910E00" w:rsidP="001E342B">
            <w:pPr>
              <w:widowControl w:val="0"/>
              <w:autoSpaceDE w:val="0"/>
              <w:autoSpaceDN w:val="0"/>
              <w:jc w:val="both"/>
            </w:pPr>
          </w:p>
          <w:p w14:paraId="2833C2C5" w14:textId="77777777" w:rsidR="00910E00" w:rsidRPr="00C56257" w:rsidRDefault="00910E00" w:rsidP="001E342B">
            <w:pPr>
              <w:widowControl w:val="0"/>
              <w:autoSpaceDE w:val="0"/>
              <w:autoSpaceDN w:val="0"/>
              <w:jc w:val="both"/>
            </w:pPr>
          </w:p>
          <w:p w14:paraId="64C3D668" w14:textId="77777777" w:rsidR="00910E00" w:rsidRPr="00C56257" w:rsidRDefault="00910E00" w:rsidP="001E342B">
            <w:pPr>
              <w:widowControl w:val="0"/>
              <w:autoSpaceDE w:val="0"/>
              <w:autoSpaceDN w:val="0"/>
              <w:jc w:val="both"/>
            </w:pPr>
          </w:p>
          <w:p w14:paraId="480541A0" w14:textId="77777777" w:rsidR="00910E00" w:rsidRPr="00F100E1" w:rsidRDefault="00910E00" w:rsidP="001E342B">
            <w:pPr>
              <w:widowControl w:val="0"/>
              <w:autoSpaceDE w:val="0"/>
              <w:autoSpaceDN w:val="0"/>
              <w:jc w:val="both"/>
            </w:pPr>
            <w:r w:rsidRPr="00F100E1">
              <w:t>A25</w:t>
            </w:r>
          </w:p>
        </w:tc>
      </w:tr>
    </w:tbl>
    <w:p w14:paraId="5CA53285" w14:textId="77777777" w:rsidR="002D3CA7" w:rsidRPr="00C56257" w:rsidRDefault="00DD3620" w:rsidP="00F100E1">
      <w:pPr>
        <w:spacing w:after="160" w:line="259" w:lineRule="auto"/>
        <w:jc w:val="both"/>
        <w:rPr>
          <w:b/>
          <w:bCs/>
          <w:color w:val="000000" w:themeColor="text1"/>
        </w:rPr>
      </w:pPr>
      <w:r>
        <w:rPr>
          <w:b/>
          <w:bCs/>
          <w:color w:val="000000" w:themeColor="text1"/>
        </w:rPr>
        <w:lastRenderedPageBreak/>
        <w:t xml:space="preserve">Capitolul 5. </w:t>
      </w:r>
      <w:r w:rsidR="002D3CA7" w:rsidRPr="00C56257">
        <w:rPr>
          <w:b/>
          <w:bCs/>
          <w:color w:val="000000" w:themeColor="text1"/>
        </w:rPr>
        <w:t>Ghidul cu  protoco</w:t>
      </w:r>
      <w:r>
        <w:rPr>
          <w:b/>
          <w:bCs/>
          <w:color w:val="000000" w:themeColor="text1"/>
        </w:rPr>
        <w:t xml:space="preserve">lul </w:t>
      </w:r>
      <w:r w:rsidR="002D3CA7" w:rsidRPr="00C56257">
        <w:rPr>
          <w:b/>
          <w:bCs/>
          <w:color w:val="000000" w:themeColor="text1"/>
        </w:rPr>
        <w:t xml:space="preserve"> de monitorizare si metodologi</w:t>
      </w:r>
      <w:r>
        <w:rPr>
          <w:b/>
          <w:bCs/>
          <w:color w:val="000000" w:themeColor="text1"/>
        </w:rPr>
        <w:t>a</w:t>
      </w:r>
      <w:r w:rsidR="002D3CA7" w:rsidRPr="00C56257">
        <w:rPr>
          <w:b/>
          <w:bCs/>
          <w:color w:val="000000" w:themeColor="text1"/>
        </w:rPr>
        <w:t xml:space="preserve"> unitar</w:t>
      </w:r>
      <w:r>
        <w:rPr>
          <w:b/>
          <w:bCs/>
          <w:color w:val="000000" w:themeColor="text1"/>
        </w:rPr>
        <w:t>ă</w:t>
      </w:r>
      <w:r w:rsidR="002D3CA7" w:rsidRPr="00C56257">
        <w:rPr>
          <w:b/>
          <w:bCs/>
          <w:color w:val="000000" w:themeColor="text1"/>
        </w:rPr>
        <w:t xml:space="preserve"> de monitorizare a st</w:t>
      </w:r>
      <w:r w:rsidR="00814C24">
        <w:rPr>
          <w:b/>
          <w:bCs/>
          <w:color w:val="000000" w:themeColor="text1"/>
        </w:rPr>
        <w:t>ă</w:t>
      </w:r>
      <w:r w:rsidR="002D3CA7" w:rsidRPr="00C56257">
        <w:rPr>
          <w:b/>
          <w:bCs/>
          <w:color w:val="000000" w:themeColor="text1"/>
        </w:rPr>
        <w:t>rii de conservare a habitatelor de tufărișuri</w:t>
      </w:r>
    </w:p>
    <w:p w14:paraId="488FFDD8" w14:textId="77777777" w:rsidR="002D3CA7" w:rsidRPr="00C56257" w:rsidRDefault="002D3CA7" w:rsidP="008E33FD">
      <w:pPr>
        <w:widowControl w:val="0"/>
        <w:autoSpaceDE w:val="0"/>
        <w:autoSpaceDN w:val="0"/>
        <w:adjustRightInd w:val="0"/>
        <w:jc w:val="both"/>
        <w:rPr>
          <w:color w:val="000000" w:themeColor="text1"/>
        </w:rPr>
      </w:pPr>
    </w:p>
    <w:p w14:paraId="570A2607" w14:textId="77777777" w:rsidR="002D3CA7" w:rsidRDefault="002D3CA7" w:rsidP="008E33FD">
      <w:pPr>
        <w:widowControl w:val="0"/>
        <w:autoSpaceDE w:val="0"/>
        <w:autoSpaceDN w:val="0"/>
        <w:adjustRightInd w:val="0"/>
        <w:jc w:val="both"/>
        <w:rPr>
          <w:color w:val="000000" w:themeColor="text1"/>
        </w:rPr>
      </w:pPr>
      <w:r w:rsidRPr="00C56257">
        <w:rPr>
          <w:color w:val="000000" w:themeColor="text1"/>
        </w:rPr>
        <w:t xml:space="preserve">Tabelul 1: Lista tipurilor de habitate de tufărișuri </w:t>
      </w:r>
      <w:r w:rsidRPr="00C56257">
        <w:rPr>
          <w:bCs/>
          <w:color w:val="000000" w:themeColor="text1"/>
        </w:rPr>
        <w:t>de</w:t>
      </w:r>
      <w:r w:rsidRPr="00C56257">
        <w:rPr>
          <w:bCs/>
          <w:color w:val="000000" w:themeColor="text1"/>
          <w:spacing w:val="33"/>
        </w:rPr>
        <w:t xml:space="preserve"> </w:t>
      </w:r>
      <w:r w:rsidRPr="00C56257">
        <w:rPr>
          <w:bCs/>
          <w:color w:val="000000" w:themeColor="text1"/>
          <w:spacing w:val="-3"/>
        </w:rPr>
        <w:t>i</w:t>
      </w:r>
      <w:r w:rsidRPr="00C56257">
        <w:rPr>
          <w:bCs/>
          <w:color w:val="000000" w:themeColor="text1"/>
          <w:spacing w:val="-5"/>
        </w:rPr>
        <w:t>nteres</w:t>
      </w:r>
      <w:r w:rsidRPr="00C56257">
        <w:rPr>
          <w:bCs/>
          <w:color w:val="000000" w:themeColor="text1"/>
          <w:spacing w:val="36"/>
        </w:rPr>
        <w:t xml:space="preserve"> </w:t>
      </w:r>
      <w:r w:rsidRPr="00C56257">
        <w:rPr>
          <w:bCs/>
          <w:color w:val="000000" w:themeColor="text1"/>
        </w:rPr>
        <w:t xml:space="preserve">comunitar </w:t>
      </w:r>
      <w:r w:rsidR="0060540B">
        <w:rPr>
          <w:color w:val="000000" w:themeColor="text1"/>
        </w:rPr>
        <w:t>d</w:t>
      </w:r>
      <w:r w:rsidRPr="00C56257">
        <w:rPr>
          <w:color w:val="000000" w:themeColor="text1"/>
        </w:rPr>
        <w:t xml:space="preserve">in România </w:t>
      </w:r>
    </w:p>
    <w:p w14:paraId="3B61BD39" w14:textId="77777777" w:rsidR="00FF6DC0" w:rsidRPr="00C56257" w:rsidRDefault="00FF6DC0" w:rsidP="008E33FD">
      <w:pPr>
        <w:widowControl w:val="0"/>
        <w:autoSpaceDE w:val="0"/>
        <w:autoSpaceDN w:val="0"/>
        <w:adjustRightInd w:val="0"/>
        <w:jc w:val="both"/>
        <w:rPr>
          <w:color w:val="000000" w:themeColor="text1"/>
        </w:rPr>
      </w:pPr>
    </w:p>
    <w:tbl>
      <w:tblPr>
        <w:tblW w:w="4674"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1E0" w:firstRow="1" w:lastRow="1" w:firstColumn="1" w:lastColumn="1" w:noHBand="0" w:noVBand="0"/>
      </w:tblPr>
      <w:tblGrid>
        <w:gridCol w:w="636"/>
        <w:gridCol w:w="6166"/>
        <w:gridCol w:w="2531"/>
      </w:tblGrid>
      <w:tr w:rsidR="00673EFE" w:rsidRPr="00C56257" w14:paraId="660F4665" w14:textId="77777777" w:rsidTr="00814C24">
        <w:trPr>
          <w:trHeight w:val="1272"/>
          <w:tblHeader/>
        </w:trPr>
        <w:tc>
          <w:tcPr>
            <w:tcW w:w="322" w:type="pct"/>
            <w:shd w:val="clear" w:color="auto" w:fill="auto"/>
            <w:vAlign w:val="center"/>
          </w:tcPr>
          <w:p w14:paraId="2FA51604" w14:textId="77777777" w:rsidR="002D3CA7" w:rsidRPr="00FF6DC0" w:rsidRDefault="002D3CA7" w:rsidP="008E33FD">
            <w:pPr>
              <w:widowControl w:val="0"/>
              <w:autoSpaceDE w:val="0"/>
              <w:autoSpaceDN w:val="0"/>
              <w:adjustRightInd w:val="0"/>
              <w:ind w:right="-135"/>
              <w:jc w:val="both"/>
              <w:rPr>
                <w:b/>
                <w:color w:val="000000" w:themeColor="text1"/>
                <w:lang w:eastAsia="ro-RO"/>
              </w:rPr>
            </w:pPr>
            <w:r w:rsidRPr="00FF6DC0">
              <w:rPr>
                <w:b/>
                <w:color w:val="000000" w:themeColor="text1"/>
              </w:rPr>
              <w:t>Nr. Crt.</w:t>
            </w:r>
          </w:p>
        </w:tc>
        <w:tc>
          <w:tcPr>
            <w:tcW w:w="3313" w:type="pct"/>
            <w:shd w:val="clear" w:color="auto" w:fill="auto"/>
            <w:vAlign w:val="center"/>
          </w:tcPr>
          <w:p w14:paraId="6B4A56EA" w14:textId="77777777" w:rsidR="002D3CA7" w:rsidRPr="00FF6DC0" w:rsidRDefault="002D3CA7" w:rsidP="008E33FD">
            <w:pPr>
              <w:widowControl w:val="0"/>
              <w:autoSpaceDE w:val="0"/>
              <w:autoSpaceDN w:val="0"/>
              <w:adjustRightInd w:val="0"/>
              <w:ind w:right="-135" w:firstLine="180"/>
              <w:jc w:val="both"/>
              <w:rPr>
                <w:b/>
                <w:color w:val="000000" w:themeColor="text1"/>
                <w:lang w:eastAsia="ro-RO"/>
              </w:rPr>
            </w:pPr>
            <w:r w:rsidRPr="00FF6DC0">
              <w:rPr>
                <w:b/>
                <w:color w:val="000000" w:themeColor="text1"/>
              </w:rPr>
              <w:t>Denumirea si codul DH</w:t>
            </w:r>
          </w:p>
        </w:tc>
        <w:tc>
          <w:tcPr>
            <w:tcW w:w="1366" w:type="pct"/>
            <w:shd w:val="clear" w:color="auto" w:fill="auto"/>
          </w:tcPr>
          <w:p w14:paraId="1DF54971" w14:textId="77777777" w:rsidR="002D3CA7" w:rsidRPr="00C56257" w:rsidRDefault="002D3CA7" w:rsidP="008E33FD">
            <w:pPr>
              <w:widowControl w:val="0"/>
              <w:autoSpaceDE w:val="0"/>
              <w:autoSpaceDN w:val="0"/>
              <w:adjustRightInd w:val="0"/>
              <w:ind w:right="-135"/>
              <w:jc w:val="both"/>
              <w:rPr>
                <w:b/>
                <w:color w:val="000000" w:themeColor="text1"/>
                <w:lang w:eastAsia="ro-RO"/>
              </w:rPr>
            </w:pPr>
            <w:r w:rsidRPr="00FF6DC0">
              <w:rPr>
                <w:b/>
                <w:color w:val="000000" w:themeColor="text1"/>
              </w:rPr>
              <w:t>Prezenta in regiunea biogeografica cf. O.M. 2387/2011 (care modifica O.M. 1964/200</w:t>
            </w:r>
            <w:r w:rsidRPr="00FF6DC0">
              <w:rPr>
                <w:b/>
                <w:i/>
                <w:color w:val="000000" w:themeColor="text1"/>
              </w:rPr>
              <w:t>7</w:t>
            </w:r>
            <w:r w:rsidRPr="00FF6DC0">
              <w:rPr>
                <w:b/>
                <w:color w:val="000000" w:themeColor="text1"/>
              </w:rPr>
              <w:t>)</w:t>
            </w:r>
          </w:p>
        </w:tc>
      </w:tr>
      <w:tr w:rsidR="00673EFE" w:rsidRPr="00C56257" w14:paraId="12D860D0" w14:textId="77777777" w:rsidTr="00814C24">
        <w:tc>
          <w:tcPr>
            <w:tcW w:w="322" w:type="pct"/>
          </w:tcPr>
          <w:p w14:paraId="730C826E" w14:textId="77777777" w:rsidR="002D3CA7" w:rsidRPr="00C56257" w:rsidRDefault="002D3CA7" w:rsidP="008E33FD">
            <w:pPr>
              <w:widowControl w:val="0"/>
              <w:autoSpaceDE w:val="0"/>
              <w:autoSpaceDN w:val="0"/>
              <w:adjustRightInd w:val="0"/>
              <w:ind w:right="-135" w:firstLine="180"/>
              <w:jc w:val="both"/>
              <w:rPr>
                <w:color w:val="000000" w:themeColor="text1"/>
                <w:lang w:eastAsia="ro-RO"/>
              </w:rPr>
            </w:pPr>
            <w:r w:rsidRPr="00C56257">
              <w:rPr>
                <w:color w:val="000000" w:themeColor="text1"/>
              </w:rPr>
              <w:t>1.</w:t>
            </w:r>
          </w:p>
        </w:tc>
        <w:tc>
          <w:tcPr>
            <w:tcW w:w="3313" w:type="pct"/>
          </w:tcPr>
          <w:p w14:paraId="41F4ABD3" w14:textId="77777777" w:rsidR="002D3CA7" w:rsidRPr="00C56257" w:rsidRDefault="002D3CA7" w:rsidP="008E33FD">
            <w:pPr>
              <w:spacing w:after="200"/>
              <w:jc w:val="both"/>
              <w:rPr>
                <w:color w:val="000000" w:themeColor="text1"/>
                <w:lang w:val="en-US" w:eastAsia="ro-RO"/>
              </w:rPr>
            </w:pPr>
            <w:r w:rsidRPr="00C56257">
              <w:rPr>
                <w:color w:val="000000" w:themeColor="text1"/>
                <w:lang w:val="en-US" w:eastAsia="ro-RO"/>
              </w:rPr>
              <w:t>4030</w:t>
            </w:r>
            <w:r w:rsidRPr="00C56257">
              <w:rPr>
                <w:rFonts w:eastAsia="Calibri"/>
                <w:color w:val="000000" w:themeColor="text1"/>
                <w:lang w:val="en-US"/>
              </w:rPr>
              <w:t xml:space="preserve"> </w:t>
            </w:r>
            <w:proofErr w:type="spellStart"/>
            <w:r w:rsidRPr="00C56257">
              <w:rPr>
                <w:rFonts w:eastAsia="Calibri"/>
                <w:color w:val="000000" w:themeColor="text1"/>
                <w:lang w:val="en-US"/>
              </w:rPr>
              <w:t>Tufărişuri</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uscate</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europene</w:t>
            </w:r>
            <w:proofErr w:type="spellEnd"/>
          </w:p>
        </w:tc>
        <w:tc>
          <w:tcPr>
            <w:tcW w:w="1366" w:type="pct"/>
            <w:vAlign w:val="center"/>
          </w:tcPr>
          <w:p w14:paraId="62708CDA" w14:textId="77777777" w:rsidR="002D3CA7" w:rsidRPr="00C56257" w:rsidRDefault="002D3CA7" w:rsidP="008E33FD">
            <w:pPr>
              <w:spacing w:after="200"/>
              <w:jc w:val="both"/>
              <w:rPr>
                <w:color w:val="000000" w:themeColor="text1"/>
                <w:lang w:val="en-US" w:eastAsia="ro-RO"/>
              </w:rPr>
            </w:pPr>
            <w:r w:rsidRPr="00C56257">
              <w:rPr>
                <w:color w:val="000000" w:themeColor="text1"/>
                <w:lang w:val="en-US" w:eastAsia="ro-RO"/>
              </w:rPr>
              <w:t>ALP</w:t>
            </w:r>
          </w:p>
        </w:tc>
      </w:tr>
      <w:tr w:rsidR="00673EFE" w:rsidRPr="00C56257" w14:paraId="7BC39FEF" w14:textId="77777777" w:rsidTr="00814C24">
        <w:tc>
          <w:tcPr>
            <w:tcW w:w="322" w:type="pct"/>
          </w:tcPr>
          <w:p w14:paraId="1206C855" w14:textId="77777777" w:rsidR="002D3CA7" w:rsidRPr="00C56257" w:rsidRDefault="002D3CA7" w:rsidP="008E33FD">
            <w:pPr>
              <w:widowControl w:val="0"/>
              <w:autoSpaceDE w:val="0"/>
              <w:autoSpaceDN w:val="0"/>
              <w:adjustRightInd w:val="0"/>
              <w:ind w:right="-135" w:firstLine="180"/>
              <w:jc w:val="both"/>
              <w:rPr>
                <w:color w:val="000000" w:themeColor="text1"/>
                <w:lang w:eastAsia="ro-RO"/>
              </w:rPr>
            </w:pPr>
            <w:r w:rsidRPr="00C56257">
              <w:rPr>
                <w:color w:val="000000" w:themeColor="text1"/>
              </w:rPr>
              <w:t>2.</w:t>
            </w:r>
          </w:p>
        </w:tc>
        <w:tc>
          <w:tcPr>
            <w:tcW w:w="3313" w:type="pct"/>
          </w:tcPr>
          <w:p w14:paraId="29402445" w14:textId="77777777" w:rsidR="002D3CA7" w:rsidRPr="00C56257" w:rsidRDefault="002D3CA7" w:rsidP="008E33FD">
            <w:pPr>
              <w:spacing w:after="200"/>
              <w:jc w:val="both"/>
              <w:rPr>
                <w:color w:val="000000" w:themeColor="text1"/>
                <w:lang w:val="en-US" w:eastAsia="ro-RO"/>
              </w:rPr>
            </w:pPr>
            <w:r w:rsidRPr="00C56257">
              <w:rPr>
                <w:color w:val="000000" w:themeColor="text1"/>
                <w:lang w:val="en-US" w:eastAsia="ro-RO"/>
              </w:rPr>
              <w:t>4060</w:t>
            </w:r>
            <w:r w:rsidRPr="00C56257">
              <w:rPr>
                <w:rFonts w:eastAsia="Calibri"/>
                <w:color w:val="000000" w:themeColor="text1"/>
                <w:lang w:val="en-US"/>
              </w:rPr>
              <w:t xml:space="preserve"> </w:t>
            </w:r>
            <w:proofErr w:type="spellStart"/>
            <w:r w:rsidRPr="00C56257">
              <w:rPr>
                <w:rFonts w:eastAsia="Calibri"/>
                <w:color w:val="000000" w:themeColor="text1"/>
                <w:lang w:val="en-US"/>
              </w:rPr>
              <w:t>Tufărişuri</w:t>
            </w:r>
            <w:proofErr w:type="spellEnd"/>
            <w:r w:rsidRPr="00C56257">
              <w:rPr>
                <w:rFonts w:eastAsia="Calibri"/>
                <w:color w:val="000000" w:themeColor="text1"/>
                <w:lang w:val="en-US"/>
              </w:rPr>
              <w:t xml:space="preserve"> alpine </w:t>
            </w:r>
            <w:proofErr w:type="spellStart"/>
            <w:r w:rsidRPr="00C56257">
              <w:rPr>
                <w:rFonts w:eastAsia="Calibri"/>
                <w:color w:val="000000" w:themeColor="text1"/>
                <w:lang w:val="en-US"/>
              </w:rPr>
              <w:t>şi</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boreale</w:t>
            </w:r>
            <w:proofErr w:type="spellEnd"/>
          </w:p>
        </w:tc>
        <w:tc>
          <w:tcPr>
            <w:tcW w:w="1366" w:type="pct"/>
            <w:vAlign w:val="center"/>
          </w:tcPr>
          <w:p w14:paraId="1CBC382C" w14:textId="77777777" w:rsidR="002D3CA7" w:rsidRPr="00C56257" w:rsidRDefault="002D3CA7" w:rsidP="008E33FD">
            <w:pPr>
              <w:spacing w:after="200"/>
              <w:jc w:val="both"/>
              <w:rPr>
                <w:color w:val="000000" w:themeColor="text1"/>
                <w:lang w:val="en-US" w:eastAsia="ro-RO"/>
              </w:rPr>
            </w:pPr>
            <w:r w:rsidRPr="00C56257">
              <w:rPr>
                <w:color w:val="000000" w:themeColor="text1"/>
                <w:lang w:val="en-US" w:eastAsia="ro-RO"/>
              </w:rPr>
              <w:t>ALP</w:t>
            </w:r>
          </w:p>
        </w:tc>
      </w:tr>
      <w:tr w:rsidR="00673EFE" w:rsidRPr="00C56257" w14:paraId="52501BBB" w14:textId="77777777" w:rsidTr="00814C24">
        <w:tc>
          <w:tcPr>
            <w:tcW w:w="322" w:type="pct"/>
          </w:tcPr>
          <w:p w14:paraId="1ADB9D9F" w14:textId="77777777" w:rsidR="002D3CA7" w:rsidRPr="00C56257" w:rsidRDefault="002D3CA7" w:rsidP="008E33FD">
            <w:pPr>
              <w:widowControl w:val="0"/>
              <w:autoSpaceDE w:val="0"/>
              <w:autoSpaceDN w:val="0"/>
              <w:adjustRightInd w:val="0"/>
              <w:ind w:right="-135" w:firstLine="180"/>
              <w:jc w:val="both"/>
              <w:rPr>
                <w:color w:val="000000" w:themeColor="text1"/>
                <w:lang w:eastAsia="ro-RO"/>
              </w:rPr>
            </w:pPr>
            <w:r w:rsidRPr="00C56257">
              <w:rPr>
                <w:color w:val="000000" w:themeColor="text1"/>
              </w:rPr>
              <w:t>3.</w:t>
            </w:r>
          </w:p>
        </w:tc>
        <w:tc>
          <w:tcPr>
            <w:tcW w:w="3313" w:type="pct"/>
          </w:tcPr>
          <w:p w14:paraId="763A91BC" w14:textId="77777777" w:rsidR="002D3CA7" w:rsidRPr="00C56257" w:rsidRDefault="002D3CA7" w:rsidP="008E33FD">
            <w:pPr>
              <w:autoSpaceDE w:val="0"/>
              <w:autoSpaceDN w:val="0"/>
              <w:adjustRightInd w:val="0"/>
              <w:spacing w:after="200"/>
              <w:jc w:val="both"/>
              <w:rPr>
                <w:rFonts w:eastAsia="Calibri"/>
                <w:color w:val="000000" w:themeColor="text1"/>
              </w:rPr>
            </w:pPr>
            <w:r w:rsidRPr="00C56257">
              <w:rPr>
                <w:rFonts w:eastAsia="Calibri"/>
                <w:color w:val="000000" w:themeColor="text1"/>
              </w:rPr>
              <w:t xml:space="preserve">4070* Tufărişuri cu </w:t>
            </w:r>
            <w:r w:rsidRPr="00C56257">
              <w:rPr>
                <w:rFonts w:eastAsia="Calibri"/>
                <w:i/>
                <w:iCs/>
                <w:color w:val="000000" w:themeColor="text1"/>
              </w:rPr>
              <w:t>Pinus mugo</w:t>
            </w:r>
            <w:r w:rsidRPr="00C56257">
              <w:rPr>
                <w:rFonts w:eastAsia="Calibri"/>
                <w:color w:val="000000" w:themeColor="text1"/>
              </w:rPr>
              <w:t xml:space="preserve"> şi </w:t>
            </w:r>
            <w:r w:rsidRPr="00C56257">
              <w:rPr>
                <w:rFonts w:eastAsia="Calibri"/>
                <w:i/>
                <w:iCs/>
                <w:color w:val="000000" w:themeColor="text1"/>
              </w:rPr>
              <w:t>Rhododendron myrtifolium</w:t>
            </w:r>
            <w:r w:rsidRPr="00C56257">
              <w:rPr>
                <w:rFonts w:eastAsia="Calibri"/>
                <w:color w:val="000000" w:themeColor="text1"/>
              </w:rPr>
              <w:t xml:space="preserve"> (</w:t>
            </w:r>
            <w:r w:rsidRPr="00C56257">
              <w:rPr>
                <w:rFonts w:eastAsia="Calibri"/>
                <w:i/>
                <w:iCs/>
                <w:color w:val="000000" w:themeColor="text1"/>
              </w:rPr>
              <w:t>Mugo-Rhododendretum</w:t>
            </w:r>
            <w:r w:rsidRPr="00C56257">
              <w:rPr>
                <w:rFonts w:eastAsia="Calibri"/>
                <w:color w:val="000000" w:themeColor="text1"/>
              </w:rPr>
              <w:t>)</w:t>
            </w:r>
          </w:p>
        </w:tc>
        <w:tc>
          <w:tcPr>
            <w:tcW w:w="1366" w:type="pct"/>
            <w:vAlign w:val="center"/>
          </w:tcPr>
          <w:p w14:paraId="3FF5C33F" w14:textId="77777777" w:rsidR="002D3CA7" w:rsidRPr="00C56257" w:rsidRDefault="002D3CA7" w:rsidP="008E33FD">
            <w:pPr>
              <w:spacing w:after="200"/>
              <w:jc w:val="both"/>
              <w:rPr>
                <w:color w:val="000000" w:themeColor="text1"/>
                <w:lang w:val="en-US" w:eastAsia="ro-RO"/>
              </w:rPr>
            </w:pPr>
            <w:r w:rsidRPr="00C56257">
              <w:rPr>
                <w:color w:val="000000" w:themeColor="text1"/>
                <w:lang w:val="en-US" w:eastAsia="ro-RO"/>
              </w:rPr>
              <w:t>ALP</w:t>
            </w:r>
          </w:p>
        </w:tc>
      </w:tr>
      <w:tr w:rsidR="00673EFE" w:rsidRPr="00C56257" w14:paraId="034E6009" w14:textId="77777777" w:rsidTr="00814C24">
        <w:tc>
          <w:tcPr>
            <w:tcW w:w="322" w:type="pct"/>
          </w:tcPr>
          <w:p w14:paraId="6644B896" w14:textId="77777777" w:rsidR="002D3CA7" w:rsidRPr="00C56257" w:rsidRDefault="002D3CA7" w:rsidP="008E33FD">
            <w:pPr>
              <w:widowControl w:val="0"/>
              <w:autoSpaceDE w:val="0"/>
              <w:autoSpaceDN w:val="0"/>
              <w:adjustRightInd w:val="0"/>
              <w:ind w:right="-135" w:firstLine="180"/>
              <w:jc w:val="both"/>
              <w:rPr>
                <w:color w:val="000000" w:themeColor="text1"/>
                <w:lang w:eastAsia="ro-RO"/>
              </w:rPr>
            </w:pPr>
            <w:r w:rsidRPr="00C56257">
              <w:rPr>
                <w:color w:val="000000" w:themeColor="text1"/>
              </w:rPr>
              <w:t>4.</w:t>
            </w:r>
          </w:p>
        </w:tc>
        <w:tc>
          <w:tcPr>
            <w:tcW w:w="3313" w:type="pct"/>
          </w:tcPr>
          <w:p w14:paraId="756A42A8" w14:textId="77777777" w:rsidR="002D3CA7" w:rsidRPr="00C56257" w:rsidRDefault="002D3CA7" w:rsidP="008E33FD">
            <w:pPr>
              <w:spacing w:after="200"/>
              <w:jc w:val="both"/>
              <w:rPr>
                <w:color w:val="000000" w:themeColor="text1"/>
                <w:lang w:val="fr-FR" w:eastAsia="ro-RO"/>
              </w:rPr>
            </w:pPr>
            <w:r w:rsidRPr="00C56257">
              <w:rPr>
                <w:color w:val="000000" w:themeColor="text1"/>
                <w:lang w:val="fr-FR" w:eastAsia="ro-RO"/>
              </w:rPr>
              <w:t>4080</w:t>
            </w:r>
            <w:r w:rsidRPr="00C56257">
              <w:rPr>
                <w:rFonts w:eastAsia="Calibri"/>
                <w:color w:val="000000" w:themeColor="text1"/>
                <w:lang w:val="fr-FR"/>
              </w:rPr>
              <w:t xml:space="preserve"> </w:t>
            </w:r>
            <w:proofErr w:type="spellStart"/>
            <w:r w:rsidRPr="00C56257">
              <w:rPr>
                <w:rFonts w:eastAsia="Calibri"/>
                <w:color w:val="000000" w:themeColor="text1"/>
                <w:lang w:val="fr-FR"/>
              </w:rPr>
              <w:t>Tufărişuri</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cu</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specii</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sub-arctice</w:t>
            </w:r>
            <w:proofErr w:type="spellEnd"/>
            <w:r w:rsidRPr="00C56257">
              <w:rPr>
                <w:rFonts w:eastAsia="Calibri"/>
                <w:color w:val="000000" w:themeColor="text1"/>
                <w:lang w:val="fr-FR"/>
              </w:rPr>
              <w:t xml:space="preserve"> de </w:t>
            </w:r>
            <w:proofErr w:type="spellStart"/>
            <w:r w:rsidRPr="00C56257">
              <w:rPr>
                <w:rFonts w:eastAsia="Calibri"/>
                <w:i/>
                <w:iCs/>
                <w:color w:val="000000" w:themeColor="text1"/>
                <w:lang w:val="fr-FR"/>
              </w:rPr>
              <w:t>Salix</w:t>
            </w:r>
            <w:proofErr w:type="spellEnd"/>
            <w:r w:rsidRPr="00C56257">
              <w:rPr>
                <w:rFonts w:eastAsia="Calibri"/>
                <w:i/>
                <w:iCs/>
                <w:color w:val="000000" w:themeColor="text1"/>
                <w:lang w:val="fr-FR"/>
              </w:rPr>
              <w:t xml:space="preserve"> </w:t>
            </w:r>
            <w:proofErr w:type="spellStart"/>
            <w:r w:rsidRPr="00C56257">
              <w:rPr>
                <w:rFonts w:eastAsia="Calibri"/>
                <w:i/>
                <w:iCs/>
                <w:color w:val="000000" w:themeColor="text1"/>
                <w:lang w:val="fr-FR"/>
              </w:rPr>
              <w:t>spp</w:t>
            </w:r>
            <w:proofErr w:type="spellEnd"/>
          </w:p>
        </w:tc>
        <w:tc>
          <w:tcPr>
            <w:tcW w:w="1366" w:type="pct"/>
            <w:vAlign w:val="center"/>
          </w:tcPr>
          <w:p w14:paraId="088C2404" w14:textId="77777777" w:rsidR="002D3CA7" w:rsidRPr="00C56257" w:rsidRDefault="002D3CA7" w:rsidP="008E33FD">
            <w:pPr>
              <w:spacing w:after="200"/>
              <w:jc w:val="both"/>
              <w:rPr>
                <w:color w:val="000000" w:themeColor="text1"/>
                <w:lang w:val="en-US" w:eastAsia="ro-RO"/>
              </w:rPr>
            </w:pPr>
            <w:r w:rsidRPr="00C56257">
              <w:rPr>
                <w:color w:val="000000" w:themeColor="text1"/>
                <w:lang w:val="en-US" w:eastAsia="ro-RO"/>
              </w:rPr>
              <w:t>ALP</w:t>
            </w:r>
          </w:p>
        </w:tc>
      </w:tr>
      <w:tr w:rsidR="00673EFE" w:rsidRPr="00C56257" w14:paraId="74F992DE" w14:textId="77777777" w:rsidTr="00814C24">
        <w:tc>
          <w:tcPr>
            <w:tcW w:w="322" w:type="pct"/>
          </w:tcPr>
          <w:p w14:paraId="70C6DDAF" w14:textId="77777777" w:rsidR="002D3CA7" w:rsidRPr="00C56257" w:rsidRDefault="002D3CA7" w:rsidP="008E33FD">
            <w:pPr>
              <w:widowControl w:val="0"/>
              <w:autoSpaceDE w:val="0"/>
              <w:autoSpaceDN w:val="0"/>
              <w:adjustRightInd w:val="0"/>
              <w:ind w:right="-135" w:firstLine="180"/>
              <w:jc w:val="both"/>
              <w:rPr>
                <w:color w:val="000000" w:themeColor="text1"/>
                <w:lang w:eastAsia="ro-RO"/>
              </w:rPr>
            </w:pPr>
            <w:r w:rsidRPr="00C56257">
              <w:rPr>
                <w:color w:val="000000" w:themeColor="text1"/>
              </w:rPr>
              <w:t>5.</w:t>
            </w:r>
          </w:p>
        </w:tc>
        <w:tc>
          <w:tcPr>
            <w:tcW w:w="3313" w:type="pct"/>
          </w:tcPr>
          <w:p w14:paraId="1833670F" w14:textId="77777777" w:rsidR="002D3CA7" w:rsidRPr="00C56257" w:rsidRDefault="002D3CA7" w:rsidP="008E33FD">
            <w:pPr>
              <w:spacing w:after="200"/>
              <w:jc w:val="both"/>
              <w:rPr>
                <w:color w:val="000000" w:themeColor="text1"/>
                <w:lang w:val="fr-FR" w:eastAsia="ro-RO"/>
              </w:rPr>
            </w:pPr>
            <w:r w:rsidRPr="00C56257">
              <w:rPr>
                <w:color w:val="000000" w:themeColor="text1"/>
                <w:lang w:val="fr-FR" w:eastAsia="ro-RO"/>
              </w:rPr>
              <w:t>40A0*</w:t>
            </w:r>
            <w:r w:rsidRPr="00C56257">
              <w:rPr>
                <w:rFonts w:eastAsia="Calibri"/>
                <w:color w:val="000000" w:themeColor="text1"/>
                <w:lang w:val="fr-FR"/>
              </w:rPr>
              <w:t xml:space="preserve"> </w:t>
            </w:r>
            <w:proofErr w:type="spellStart"/>
            <w:r w:rsidRPr="00C56257">
              <w:rPr>
                <w:rFonts w:eastAsia="Calibri"/>
                <w:color w:val="000000" w:themeColor="text1"/>
                <w:lang w:val="fr-FR"/>
              </w:rPr>
              <w:t>Tufărişuri</w:t>
            </w:r>
            <w:proofErr w:type="spellEnd"/>
            <w:r w:rsidRPr="00C56257">
              <w:rPr>
                <w:rFonts w:eastAsia="Calibri"/>
                <w:color w:val="000000" w:themeColor="text1"/>
                <w:lang w:val="fr-FR"/>
              </w:rPr>
              <w:t xml:space="preserve"> subcontinentale </w:t>
            </w:r>
            <w:proofErr w:type="spellStart"/>
            <w:r w:rsidRPr="00C56257">
              <w:rPr>
                <w:rFonts w:eastAsia="Calibri"/>
                <w:color w:val="000000" w:themeColor="text1"/>
                <w:lang w:val="fr-FR"/>
              </w:rPr>
              <w:t>peri-panonice</w:t>
            </w:r>
            <w:proofErr w:type="spellEnd"/>
          </w:p>
        </w:tc>
        <w:tc>
          <w:tcPr>
            <w:tcW w:w="1366" w:type="pct"/>
            <w:vAlign w:val="center"/>
          </w:tcPr>
          <w:p w14:paraId="070564D2" w14:textId="77777777" w:rsidR="002D3CA7" w:rsidRPr="00C56257" w:rsidRDefault="002D3CA7" w:rsidP="008E33FD">
            <w:pPr>
              <w:spacing w:after="200"/>
              <w:jc w:val="both"/>
              <w:rPr>
                <w:color w:val="000000" w:themeColor="text1"/>
                <w:lang w:val="en-US" w:eastAsia="ro-RO"/>
              </w:rPr>
            </w:pPr>
            <w:r w:rsidRPr="00C56257">
              <w:rPr>
                <w:color w:val="000000" w:themeColor="text1"/>
                <w:lang w:val="en-US" w:eastAsia="ro-RO"/>
              </w:rPr>
              <w:t>ALP, CON, PAN</w:t>
            </w:r>
          </w:p>
        </w:tc>
      </w:tr>
      <w:tr w:rsidR="00673EFE" w:rsidRPr="00C56257" w14:paraId="456A6AB3" w14:textId="77777777" w:rsidTr="00814C24">
        <w:tc>
          <w:tcPr>
            <w:tcW w:w="322" w:type="pct"/>
          </w:tcPr>
          <w:p w14:paraId="258452E6" w14:textId="77777777" w:rsidR="002D3CA7" w:rsidRPr="00C56257" w:rsidRDefault="002D3CA7" w:rsidP="008E33FD">
            <w:pPr>
              <w:widowControl w:val="0"/>
              <w:autoSpaceDE w:val="0"/>
              <w:autoSpaceDN w:val="0"/>
              <w:adjustRightInd w:val="0"/>
              <w:ind w:right="-135" w:firstLine="180"/>
              <w:jc w:val="both"/>
              <w:rPr>
                <w:color w:val="000000" w:themeColor="text1"/>
                <w:lang w:eastAsia="ro-RO"/>
              </w:rPr>
            </w:pPr>
            <w:r w:rsidRPr="00C56257">
              <w:rPr>
                <w:color w:val="000000" w:themeColor="text1"/>
              </w:rPr>
              <w:t>6.</w:t>
            </w:r>
          </w:p>
        </w:tc>
        <w:tc>
          <w:tcPr>
            <w:tcW w:w="3313" w:type="pct"/>
          </w:tcPr>
          <w:p w14:paraId="606D0BF5" w14:textId="77777777" w:rsidR="002D3CA7" w:rsidRPr="00C56257" w:rsidRDefault="002D3CA7" w:rsidP="008E33FD">
            <w:pPr>
              <w:spacing w:after="200"/>
              <w:jc w:val="both"/>
              <w:rPr>
                <w:color w:val="000000" w:themeColor="text1"/>
                <w:lang w:val="fr-FR" w:eastAsia="ro-RO"/>
              </w:rPr>
            </w:pPr>
            <w:r w:rsidRPr="00C56257">
              <w:rPr>
                <w:color w:val="000000" w:themeColor="text1"/>
                <w:lang w:val="fr-FR" w:eastAsia="ro-RO"/>
              </w:rPr>
              <w:t>40C0*</w:t>
            </w:r>
            <w:r w:rsidRPr="00C56257">
              <w:rPr>
                <w:rFonts w:eastAsia="Calibri"/>
                <w:color w:val="000000" w:themeColor="text1"/>
                <w:lang w:val="fr-FR"/>
              </w:rPr>
              <w:t xml:space="preserve"> </w:t>
            </w:r>
            <w:proofErr w:type="spellStart"/>
            <w:r w:rsidRPr="00C56257">
              <w:rPr>
                <w:rFonts w:eastAsia="Calibri"/>
                <w:color w:val="000000" w:themeColor="text1"/>
                <w:lang w:val="fr-FR"/>
              </w:rPr>
              <w:t>Tufărişuri</w:t>
            </w:r>
            <w:proofErr w:type="spellEnd"/>
            <w:r w:rsidRPr="00C56257">
              <w:rPr>
                <w:rFonts w:eastAsia="Calibri"/>
                <w:color w:val="000000" w:themeColor="text1"/>
                <w:lang w:val="fr-FR"/>
              </w:rPr>
              <w:t xml:space="preserve"> de </w:t>
            </w:r>
            <w:proofErr w:type="spellStart"/>
            <w:r w:rsidRPr="00C56257">
              <w:rPr>
                <w:rFonts w:eastAsia="Calibri"/>
                <w:color w:val="000000" w:themeColor="text1"/>
                <w:lang w:val="fr-FR"/>
              </w:rPr>
              <w:t>foioase</w:t>
            </w:r>
            <w:proofErr w:type="spellEnd"/>
            <w:r w:rsidRPr="00C56257">
              <w:rPr>
                <w:rFonts w:eastAsia="Calibri"/>
                <w:color w:val="000000" w:themeColor="text1"/>
                <w:lang w:val="fr-FR"/>
              </w:rPr>
              <w:t xml:space="preserve"> ponto-</w:t>
            </w:r>
            <w:proofErr w:type="spellStart"/>
            <w:r w:rsidRPr="00C56257">
              <w:rPr>
                <w:rFonts w:eastAsia="Calibri"/>
                <w:color w:val="000000" w:themeColor="text1"/>
                <w:lang w:val="fr-FR"/>
              </w:rPr>
              <w:t>sarmatice</w:t>
            </w:r>
            <w:proofErr w:type="spellEnd"/>
          </w:p>
        </w:tc>
        <w:tc>
          <w:tcPr>
            <w:tcW w:w="1366" w:type="pct"/>
            <w:vAlign w:val="center"/>
          </w:tcPr>
          <w:p w14:paraId="52709E01" w14:textId="77777777" w:rsidR="002D3CA7" w:rsidRPr="00C56257" w:rsidRDefault="002D3CA7" w:rsidP="008E33FD">
            <w:pPr>
              <w:spacing w:after="200"/>
              <w:jc w:val="both"/>
              <w:rPr>
                <w:color w:val="000000" w:themeColor="text1"/>
                <w:lang w:val="en-US" w:eastAsia="ro-RO"/>
              </w:rPr>
            </w:pPr>
            <w:r w:rsidRPr="00C56257">
              <w:rPr>
                <w:color w:val="000000" w:themeColor="text1"/>
                <w:lang w:val="en-US" w:eastAsia="ro-RO"/>
              </w:rPr>
              <w:t>CON, STE</w:t>
            </w:r>
          </w:p>
        </w:tc>
      </w:tr>
    </w:tbl>
    <w:p w14:paraId="1E8C22CE" w14:textId="77777777" w:rsidR="002D3CA7" w:rsidRPr="00C56257" w:rsidRDefault="002D3CA7" w:rsidP="008E33FD">
      <w:pPr>
        <w:widowControl w:val="0"/>
        <w:autoSpaceDE w:val="0"/>
        <w:autoSpaceDN w:val="0"/>
        <w:adjustRightInd w:val="0"/>
        <w:jc w:val="both"/>
        <w:rPr>
          <w:iCs/>
          <w:color w:val="000000" w:themeColor="text1"/>
        </w:rPr>
      </w:pPr>
    </w:p>
    <w:p w14:paraId="01200125" w14:textId="77777777" w:rsidR="002D3CA7" w:rsidRPr="00C56257" w:rsidRDefault="00DD3620" w:rsidP="008E33FD">
      <w:pPr>
        <w:widowControl w:val="0"/>
        <w:autoSpaceDE w:val="0"/>
        <w:autoSpaceDN w:val="0"/>
        <w:adjustRightInd w:val="0"/>
        <w:contextualSpacing/>
        <w:jc w:val="both"/>
        <w:rPr>
          <w:b/>
          <w:iCs/>
          <w:color w:val="000000" w:themeColor="text1"/>
        </w:rPr>
      </w:pPr>
      <w:r>
        <w:rPr>
          <w:b/>
          <w:iCs/>
          <w:color w:val="000000" w:themeColor="text1"/>
        </w:rPr>
        <w:t>5.1</w:t>
      </w:r>
      <w:r w:rsidR="002D3CA7" w:rsidRPr="00C56257">
        <w:rPr>
          <w:b/>
          <w:iCs/>
          <w:color w:val="000000" w:themeColor="text1"/>
        </w:rPr>
        <w:t>. Metodologia de evaluare a stării de conservare a habitatelor de tufarisuri de interes comunitar</w:t>
      </w:r>
    </w:p>
    <w:p w14:paraId="43D8A6C8" w14:textId="77777777" w:rsidR="002D3CA7" w:rsidRPr="00C56257" w:rsidRDefault="002D3CA7" w:rsidP="008E33FD">
      <w:pPr>
        <w:widowControl w:val="0"/>
        <w:autoSpaceDE w:val="0"/>
        <w:autoSpaceDN w:val="0"/>
        <w:adjustRightInd w:val="0"/>
        <w:jc w:val="both"/>
        <w:rPr>
          <w:color w:val="000000" w:themeColor="text1"/>
        </w:rPr>
      </w:pPr>
    </w:p>
    <w:p w14:paraId="6983254A" w14:textId="77777777" w:rsidR="002D3CA7" w:rsidRPr="00C56257" w:rsidRDefault="002D3CA7" w:rsidP="008E33FD">
      <w:pPr>
        <w:widowControl w:val="0"/>
        <w:autoSpaceDE w:val="0"/>
        <w:autoSpaceDN w:val="0"/>
        <w:adjustRightInd w:val="0"/>
        <w:jc w:val="both"/>
        <w:rPr>
          <w:iCs/>
          <w:color w:val="000000" w:themeColor="text1"/>
        </w:rPr>
      </w:pPr>
      <w:r w:rsidRPr="00C56257">
        <w:rPr>
          <w:iCs/>
          <w:color w:val="000000" w:themeColor="text1"/>
        </w:rPr>
        <w:t>Evaluarea stării de conservare a habitatelor forestiere necesită obținerea a două tipuri de informații:</w:t>
      </w:r>
    </w:p>
    <w:p w14:paraId="673A7CFE" w14:textId="77777777" w:rsidR="002D3CA7" w:rsidRPr="00C56257" w:rsidRDefault="002D3CA7" w:rsidP="008E33FD">
      <w:pPr>
        <w:widowControl w:val="0"/>
        <w:autoSpaceDE w:val="0"/>
        <w:autoSpaceDN w:val="0"/>
        <w:adjustRightInd w:val="0"/>
        <w:spacing w:after="200" w:line="276" w:lineRule="auto"/>
        <w:ind w:left="782"/>
        <w:contextualSpacing/>
        <w:jc w:val="both"/>
        <w:rPr>
          <w:b/>
          <w:color w:val="000000" w:themeColor="text1"/>
        </w:rPr>
      </w:pPr>
      <w:r w:rsidRPr="00C56257">
        <w:rPr>
          <w:b/>
          <w:color w:val="000000" w:themeColor="text1"/>
        </w:rPr>
        <w:t xml:space="preserve">1.Spațiale: </w:t>
      </w:r>
      <w:r w:rsidRPr="00C56257">
        <w:rPr>
          <w:color w:val="000000" w:themeColor="text1"/>
        </w:rPr>
        <w:t xml:space="preserve">localizarea spațială, suprafața efectivă ocupată și configurația spațială a distribuției habitatului. </w:t>
      </w:r>
      <w:r w:rsidRPr="00C56257">
        <w:rPr>
          <w:b/>
          <w:i/>
          <w:color w:val="000000" w:themeColor="text1"/>
        </w:rPr>
        <w:t>Aceste informații se obțin prin activități de cartare a habitatelor.</w:t>
      </w:r>
    </w:p>
    <w:p w14:paraId="49DA18CE" w14:textId="77777777" w:rsidR="002D3CA7" w:rsidRPr="00C56257" w:rsidRDefault="002D3CA7" w:rsidP="008E33FD">
      <w:pPr>
        <w:widowControl w:val="0"/>
        <w:autoSpaceDE w:val="0"/>
        <w:autoSpaceDN w:val="0"/>
        <w:adjustRightInd w:val="0"/>
        <w:spacing w:after="200" w:line="276" w:lineRule="auto"/>
        <w:ind w:left="782"/>
        <w:contextualSpacing/>
        <w:jc w:val="both"/>
        <w:rPr>
          <w:b/>
          <w:color w:val="000000" w:themeColor="text1"/>
        </w:rPr>
      </w:pPr>
      <w:r w:rsidRPr="00C56257">
        <w:rPr>
          <w:b/>
          <w:color w:val="000000" w:themeColor="text1"/>
        </w:rPr>
        <w:t>2.Descriptive, referitoare la calitatea habitatului:</w:t>
      </w:r>
      <w:r w:rsidRPr="00C56257">
        <w:rPr>
          <w:color w:val="000000" w:themeColor="text1"/>
        </w:rPr>
        <w:t xml:space="preserve"> structura, funcțiile, presiuni, amenințări, măsuri de conservare aplicate și/sau necesare. </w:t>
      </w:r>
      <w:r w:rsidRPr="00C56257">
        <w:rPr>
          <w:b/>
          <w:color w:val="000000" w:themeColor="text1"/>
        </w:rPr>
        <w:t xml:space="preserve"> </w:t>
      </w:r>
      <w:r w:rsidRPr="00C56257">
        <w:rPr>
          <w:b/>
          <w:i/>
          <w:color w:val="000000" w:themeColor="text1"/>
        </w:rPr>
        <w:t>Aceste informații se obțin prin activități de inventariere (integrală sau statistică/eșantioane).</w:t>
      </w:r>
    </w:p>
    <w:p w14:paraId="4EF66C54" w14:textId="77777777" w:rsidR="002D3CA7" w:rsidRPr="00C56257" w:rsidRDefault="002D3CA7" w:rsidP="008E33FD">
      <w:pPr>
        <w:widowControl w:val="0"/>
        <w:autoSpaceDE w:val="0"/>
        <w:autoSpaceDN w:val="0"/>
        <w:adjustRightInd w:val="0"/>
        <w:spacing w:after="200" w:line="276" w:lineRule="auto"/>
        <w:ind w:left="709"/>
        <w:contextualSpacing/>
        <w:jc w:val="both"/>
        <w:rPr>
          <w:iCs/>
          <w:color w:val="000000" w:themeColor="text1"/>
        </w:rPr>
      </w:pPr>
    </w:p>
    <w:p w14:paraId="5EA6B605" w14:textId="77777777" w:rsidR="002D3CA7" w:rsidRPr="00C56257" w:rsidRDefault="002D3CA7" w:rsidP="008E33FD">
      <w:pPr>
        <w:widowControl w:val="0"/>
        <w:autoSpaceDE w:val="0"/>
        <w:autoSpaceDN w:val="0"/>
        <w:adjustRightInd w:val="0"/>
        <w:spacing w:after="160" w:line="276" w:lineRule="auto"/>
        <w:contextualSpacing/>
        <w:jc w:val="both"/>
        <w:rPr>
          <w:iCs/>
          <w:color w:val="000000" w:themeColor="text1"/>
        </w:rPr>
      </w:pPr>
      <w:r w:rsidRPr="00C56257">
        <w:rPr>
          <w:b/>
          <w:iCs/>
          <w:color w:val="000000" w:themeColor="text1"/>
        </w:rPr>
        <w:t>Evaluarea suprafeței și a distribuției spațiale a</w:t>
      </w:r>
      <w:r w:rsidRPr="00C56257">
        <w:rPr>
          <w:b/>
          <w:color w:val="000000" w:themeColor="text1"/>
        </w:rPr>
        <w:t xml:space="preserve"> </w:t>
      </w:r>
      <w:r w:rsidRPr="00C56257">
        <w:rPr>
          <w:b/>
          <w:iCs/>
          <w:color w:val="000000" w:themeColor="text1"/>
        </w:rPr>
        <w:t>habitatelor de tufărișuri</w:t>
      </w:r>
    </w:p>
    <w:p w14:paraId="3CA1C00C" w14:textId="77777777" w:rsidR="002D3CA7" w:rsidRPr="00C56257" w:rsidRDefault="002D3CA7" w:rsidP="008E33FD">
      <w:pPr>
        <w:widowControl w:val="0"/>
        <w:autoSpaceDE w:val="0"/>
        <w:autoSpaceDN w:val="0"/>
        <w:adjustRightInd w:val="0"/>
        <w:jc w:val="both"/>
        <w:rPr>
          <w:iCs/>
          <w:color w:val="000000" w:themeColor="text1"/>
        </w:rPr>
      </w:pPr>
    </w:p>
    <w:p w14:paraId="24516B38" w14:textId="77777777" w:rsidR="002D3CA7" w:rsidRPr="00C56257" w:rsidRDefault="002D3CA7" w:rsidP="008E33FD">
      <w:pPr>
        <w:widowControl w:val="0"/>
        <w:autoSpaceDE w:val="0"/>
        <w:autoSpaceDN w:val="0"/>
        <w:adjustRightInd w:val="0"/>
        <w:spacing w:line="276" w:lineRule="auto"/>
        <w:jc w:val="both"/>
        <w:rPr>
          <w:color w:val="000000" w:themeColor="text1"/>
        </w:rPr>
      </w:pPr>
      <w:r w:rsidRPr="00C56257">
        <w:rPr>
          <w:iCs/>
          <w:color w:val="000000" w:themeColor="text1"/>
        </w:rPr>
        <w:t xml:space="preserve">Evaluarea parametrilor spațiali din </w:t>
      </w:r>
      <w:r w:rsidRPr="00C56257">
        <w:rPr>
          <w:color w:val="000000" w:themeColor="text1"/>
        </w:rPr>
        <w:t>matricea de evaluare generală a stării de conservare (suprafața și distribuția habitatului) se va realiza printr-un proces de cartare, pornind de la următoarele surse de informații:</w:t>
      </w:r>
    </w:p>
    <w:p w14:paraId="628B1B88" w14:textId="77777777" w:rsidR="002D3CA7" w:rsidRPr="00C56257" w:rsidRDefault="002D3CA7" w:rsidP="008E33FD">
      <w:pPr>
        <w:widowControl w:val="0"/>
        <w:numPr>
          <w:ilvl w:val="0"/>
          <w:numId w:val="4"/>
        </w:numPr>
        <w:autoSpaceDE w:val="0"/>
        <w:autoSpaceDN w:val="0"/>
        <w:adjustRightInd w:val="0"/>
        <w:spacing w:after="160" w:line="276" w:lineRule="auto"/>
        <w:contextualSpacing/>
        <w:jc w:val="both"/>
        <w:rPr>
          <w:color w:val="000000" w:themeColor="text1"/>
        </w:rPr>
      </w:pPr>
      <w:r w:rsidRPr="00C56257">
        <w:rPr>
          <w:color w:val="000000" w:themeColor="text1"/>
          <w:kern w:val="24"/>
        </w:rPr>
        <w:t>Baza de date geospaţială a vegetaţiei forestiere potenţiale a României (Doniţă et al., 2008) (disponibilă la INCDS);</w:t>
      </w:r>
    </w:p>
    <w:p w14:paraId="0DAC2898" w14:textId="77777777" w:rsidR="002D3CA7" w:rsidRPr="00C56257" w:rsidRDefault="002D3CA7" w:rsidP="008E33FD">
      <w:pPr>
        <w:widowControl w:val="0"/>
        <w:numPr>
          <w:ilvl w:val="0"/>
          <w:numId w:val="4"/>
        </w:numPr>
        <w:autoSpaceDE w:val="0"/>
        <w:autoSpaceDN w:val="0"/>
        <w:adjustRightInd w:val="0"/>
        <w:spacing w:after="160" w:line="276" w:lineRule="auto"/>
        <w:contextualSpacing/>
        <w:jc w:val="both"/>
        <w:rPr>
          <w:color w:val="000000" w:themeColor="text1"/>
        </w:rPr>
      </w:pPr>
      <w:r w:rsidRPr="00C56257">
        <w:rPr>
          <w:color w:val="000000" w:themeColor="text1"/>
        </w:rPr>
        <w:t xml:space="preserve">Baza de date GIS cu acoperirea terenurilor obținută prin </w:t>
      </w:r>
      <w:r w:rsidRPr="00C56257">
        <w:rPr>
          <w:i/>
          <w:iCs/>
          <w:color w:val="000000" w:themeColor="text1"/>
          <w:kern w:val="24"/>
        </w:rPr>
        <w:t>fotointerpretarea</w:t>
      </w:r>
      <w:r w:rsidRPr="00C56257">
        <w:rPr>
          <w:color w:val="000000" w:themeColor="text1"/>
          <w:kern w:val="24"/>
        </w:rPr>
        <w:t xml:space="preserve"> pe ortofotoplanurile digitale</w:t>
      </w:r>
      <w:r w:rsidR="00640014" w:rsidRPr="00C56257">
        <w:rPr>
          <w:color w:val="000000" w:themeColor="text1"/>
          <w:kern w:val="24"/>
        </w:rPr>
        <w:t xml:space="preserve"> rezultată din sistemul de monitorizare a pădurilor</w:t>
      </w:r>
      <w:r w:rsidRPr="00C56257">
        <w:rPr>
          <w:color w:val="000000" w:themeColor="text1"/>
          <w:kern w:val="24"/>
        </w:rPr>
        <w:t xml:space="preserve"> (</w:t>
      </w:r>
      <w:r w:rsidR="00640014" w:rsidRPr="00C56257">
        <w:rPr>
          <w:color w:val="000000" w:themeColor="text1"/>
          <w:kern w:val="24"/>
        </w:rPr>
        <w:t xml:space="preserve">ex: cea </w:t>
      </w:r>
      <w:r w:rsidRPr="00C56257">
        <w:rPr>
          <w:color w:val="000000" w:themeColor="text1"/>
          <w:kern w:val="24"/>
        </w:rPr>
        <w:t>disponibilă la INCDS-IFN</w:t>
      </w:r>
      <w:r w:rsidR="0009575E" w:rsidRPr="00C56257">
        <w:rPr>
          <w:color w:val="000000" w:themeColor="text1"/>
          <w:kern w:val="24"/>
        </w:rPr>
        <w:t>, aceste date se pot  solicita de către Ministerul Mediului, Apelor și Pădurilor numai în acest scop</w:t>
      </w:r>
      <w:r w:rsidRPr="00C56257">
        <w:rPr>
          <w:color w:val="000000" w:themeColor="text1"/>
          <w:kern w:val="24"/>
        </w:rPr>
        <w:t>);</w:t>
      </w:r>
    </w:p>
    <w:p w14:paraId="209E102F" w14:textId="77777777" w:rsidR="002D3CA7" w:rsidRPr="00C56257" w:rsidRDefault="002D3CA7" w:rsidP="008E33FD">
      <w:pPr>
        <w:widowControl w:val="0"/>
        <w:numPr>
          <w:ilvl w:val="0"/>
          <w:numId w:val="4"/>
        </w:numPr>
        <w:autoSpaceDE w:val="0"/>
        <w:autoSpaceDN w:val="0"/>
        <w:adjustRightInd w:val="0"/>
        <w:spacing w:after="160" w:line="276" w:lineRule="auto"/>
        <w:contextualSpacing/>
        <w:jc w:val="both"/>
        <w:rPr>
          <w:color w:val="000000" w:themeColor="text1"/>
        </w:rPr>
      </w:pPr>
      <w:r w:rsidRPr="00C56257">
        <w:rPr>
          <w:color w:val="000000" w:themeColor="text1"/>
          <w:kern w:val="24"/>
        </w:rPr>
        <w:t>Hărțile amenajistice ale tipurilor de arborete disponibile în format vectorial sau raster (disponibile la INCDS-Amenajarea pădurilor);</w:t>
      </w:r>
    </w:p>
    <w:p w14:paraId="6ADFA10E" w14:textId="77777777" w:rsidR="002D3CA7" w:rsidRPr="00C56257" w:rsidRDefault="002D3CA7" w:rsidP="008E33FD">
      <w:pPr>
        <w:widowControl w:val="0"/>
        <w:numPr>
          <w:ilvl w:val="0"/>
          <w:numId w:val="4"/>
        </w:numPr>
        <w:autoSpaceDE w:val="0"/>
        <w:autoSpaceDN w:val="0"/>
        <w:adjustRightInd w:val="0"/>
        <w:spacing w:after="160" w:line="276" w:lineRule="auto"/>
        <w:contextualSpacing/>
        <w:jc w:val="both"/>
        <w:rPr>
          <w:color w:val="000000" w:themeColor="text1"/>
          <w:lang w:eastAsia="ro-RO"/>
        </w:rPr>
      </w:pPr>
      <w:r w:rsidRPr="00C56257">
        <w:rPr>
          <w:color w:val="000000" w:themeColor="text1"/>
        </w:rPr>
        <w:t>Hărțile de distribuție a habitatelor forestiere realizate pentru SCI-uri prin proiectele POS Mediu (disponibile la MMAP-BD);</w:t>
      </w:r>
    </w:p>
    <w:p w14:paraId="203288F4" w14:textId="77777777" w:rsidR="002D3CA7" w:rsidRPr="00C56257" w:rsidRDefault="002D3CA7" w:rsidP="008E33FD">
      <w:pPr>
        <w:spacing w:line="276" w:lineRule="auto"/>
        <w:jc w:val="both"/>
        <w:rPr>
          <w:color w:val="000000" w:themeColor="text1"/>
        </w:rPr>
      </w:pPr>
      <w:r w:rsidRPr="00C56257">
        <w:rPr>
          <w:color w:val="000000" w:themeColor="text1"/>
        </w:rPr>
        <w:lastRenderedPageBreak/>
        <w:t>Pentru realizarea efectivă a procesului de colectare a datelor din ploturile de monitorizare experților le sunt necesare o serie de materiale cartografice (Figura 2), atât fizic cât și în format digital:</w:t>
      </w:r>
    </w:p>
    <w:p w14:paraId="4DBCBDA6" w14:textId="77777777" w:rsidR="002D3CA7" w:rsidRPr="00C56257" w:rsidRDefault="002D3CA7" w:rsidP="008E33FD">
      <w:pPr>
        <w:numPr>
          <w:ilvl w:val="0"/>
          <w:numId w:val="20"/>
        </w:numPr>
        <w:spacing w:after="160" w:line="276" w:lineRule="auto"/>
        <w:ind w:left="0" w:firstLine="426"/>
        <w:contextualSpacing/>
        <w:jc w:val="both"/>
        <w:rPr>
          <w:rFonts w:eastAsiaTheme="minorHAnsi"/>
          <w:color w:val="000000" w:themeColor="text1"/>
          <w:lang w:val="fr-FR"/>
        </w:rPr>
      </w:pPr>
      <w:proofErr w:type="spellStart"/>
      <w:r w:rsidRPr="00C56257">
        <w:rPr>
          <w:rFonts w:eastAsiaTheme="minorHAnsi"/>
          <w:color w:val="000000" w:themeColor="text1"/>
          <w:lang w:val="fr-FR"/>
        </w:rPr>
        <w:t>Ortofotoplanuri</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în</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culori</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naturale</w:t>
      </w:r>
      <w:proofErr w:type="spellEnd"/>
      <w:r w:rsidRPr="00C56257">
        <w:rPr>
          <w:rFonts w:eastAsiaTheme="minorHAnsi"/>
          <w:color w:val="000000" w:themeColor="text1"/>
          <w:lang w:val="fr-FR"/>
        </w:rPr>
        <w:t xml:space="preserve"> (RGB) </w:t>
      </w:r>
      <w:proofErr w:type="spellStart"/>
      <w:r w:rsidRPr="00C56257">
        <w:rPr>
          <w:rFonts w:eastAsiaTheme="minorHAnsi"/>
          <w:color w:val="000000" w:themeColor="text1"/>
          <w:lang w:val="fr-FR"/>
        </w:rPr>
        <w:t>scara</w:t>
      </w:r>
      <w:proofErr w:type="spellEnd"/>
      <w:r w:rsidRPr="00C56257">
        <w:rPr>
          <w:rFonts w:eastAsiaTheme="minorHAnsi"/>
          <w:color w:val="000000" w:themeColor="text1"/>
          <w:lang w:val="fr-FR"/>
        </w:rPr>
        <w:t xml:space="preserve"> 1:5000</w:t>
      </w:r>
    </w:p>
    <w:p w14:paraId="5CC46E4E" w14:textId="77777777" w:rsidR="002D3CA7" w:rsidRPr="00C56257" w:rsidRDefault="002D3CA7" w:rsidP="008E33FD">
      <w:pPr>
        <w:numPr>
          <w:ilvl w:val="0"/>
          <w:numId w:val="20"/>
        </w:numPr>
        <w:spacing w:after="160" w:line="276" w:lineRule="auto"/>
        <w:ind w:left="0" w:firstLine="426"/>
        <w:contextualSpacing/>
        <w:jc w:val="both"/>
        <w:rPr>
          <w:rFonts w:eastAsiaTheme="minorHAnsi"/>
          <w:color w:val="000000" w:themeColor="text1"/>
          <w:lang w:val="en-US"/>
        </w:rPr>
      </w:pPr>
      <w:proofErr w:type="spellStart"/>
      <w:r w:rsidRPr="00C56257">
        <w:rPr>
          <w:rFonts w:eastAsiaTheme="minorHAnsi"/>
          <w:color w:val="000000" w:themeColor="text1"/>
          <w:lang w:val="en-US"/>
        </w:rPr>
        <w:t>Hărți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topografice</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scara</w:t>
      </w:r>
      <w:proofErr w:type="spellEnd"/>
      <w:r w:rsidRPr="00C56257">
        <w:rPr>
          <w:rFonts w:eastAsiaTheme="minorHAnsi"/>
          <w:color w:val="000000" w:themeColor="text1"/>
          <w:lang w:val="en-US"/>
        </w:rPr>
        <w:t xml:space="preserve"> 1:25 000</w:t>
      </w:r>
    </w:p>
    <w:p w14:paraId="76C8A0D7" w14:textId="77777777" w:rsidR="002D3CA7" w:rsidRPr="00C56257" w:rsidRDefault="002D3CA7" w:rsidP="008E33FD">
      <w:pPr>
        <w:numPr>
          <w:ilvl w:val="0"/>
          <w:numId w:val="20"/>
        </w:numPr>
        <w:spacing w:after="160" w:line="276" w:lineRule="auto"/>
        <w:ind w:left="0" w:firstLine="426"/>
        <w:contextualSpacing/>
        <w:jc w:val="both"/>
        <w:rPr>
          <w:rFonts w:eastAsiaTheme="minorHAnsi"/>
          <w:color w:val="000000" w:themeColor="text1"/>
          <w:lang w:val="en-US"/>
        </w:rPr>
      </w:pPr>
      <w:proofErr w:type="spellStart"/>
      <w:r w:rsidRPr="00C56257">
        <w:rPr>
          <w:rFonts w:eastAsiaTheme="minorHAnsi"/>
          <w:color w:val="000000" w:themeColor="text1"/>
          <w:lang w:val="en-US"/>
        </w:rPr>
        <w:t>Hărți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topografice</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scara</w:t>
      </w:r>
      <w:proofErr w:type="spellEnd"/>
      <w:r w:rsidRPr="00C56257">
        <w:rPr>
          <w:rFonts w:eastAsiaTheme="minorHAnsi"/>
          <w:color w:val="000000" w:themeColor="text1"/>
          <w:lang w:val="en-US"/>
        </w:rPr>
        <w:t xml:space="preserve"> 1:200 000</w:t>
      </w:r>
    </w:p>
    <w:p w14:paraId="09CF57A3" w14:textId="77777777" w:rsidR="002D3CA7" w:rsidRPr="00C56257" w:rsidRDefault="002D3CA7" w:rsidP="008E33FD">
      <w:pPr>
        <w:numPr>
          <w:ilvl w:val="0"/>
          <w:numId w:val="20"/>
        </w:numPr>
        <w:spacing w:after="160" w:line="276" w:lineRule="auto"/>
        <w:ind w:left="0" w:firstLine="426"/>
        <w:contextualSpacing/>
        <w:jc w:val="both"/>
        <w:rPr>
          <w:rFonts w:eastAsiaTheme="minorHAnsi"/>
          <w:color w:val="000000" w:themeColor="text1"/>
          <w:lang w:val="en-US"/>
        </w:rPr>
      </w:pPr>
      <w:proofErr w:type="spellStart"/>
      <w:r w:rsidRPr="00C56257">
        <w:rPr>
          <w:rFonts w:eastAsiaTheme="minorHAnsi"/>
          <w:color w:val="000000" w:themeColor="text1"/>
          <w:lang w:val="en-US"/>
        </w:rPr>
        <w:t>Hărți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amenajistice</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scara</w:t>
      </w:r>
      <w:proofErr w:type="spellEnd"/>
      <w:r w:rsidRPr="00C56257">
        <w:rPr>
          <w:rFonts w:eastAsiaTheme="minorHAnsi"/>
          <w:color w:val="000000" w:themeColor="text1"/>
          <w:lang w:val="en-US"/>
        </w:rPr>
        <w:t xml:space="preserve"> 1:50 000</w:t>
      </w:r>
    </w:p>
    <w:p w14:paraId="7261C1AF" w14:textId="77777777" w:rsidR="002D3CA7" w:rsidRPr="00C56257" w:rsidRDefault="002D3CA7" w:rsidP="008E33FD">
      <w:pPr>
        <w:jc w:val="both"/>
        <w:rPr>
          <w:noProof/>
          <w:color w:val="000000" w:themeColor="text1"/>
        </w:rPr>
      </w:pPr>
      <w:r w:rsidRPr="00C56257">
        <w:rPr>
          <w:noProof/>
          <w:color w:val="000000" w:themeColor="text1"/>
          <w:lang w:val="en-US"/>
        </w:rPr>
        <w:drawing>
          <wp:inline distT="0" distB="0" distL="0" distR="0" wp14:anchorId="4C954D96" wp14:editId="0A25DE46">
            <wp:extent cx="4673600" cy="4429995"/>
            <wp:effectExtent l="0" t="0" r="0"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42610" b="46549"/>
                    <a:stretch/>
                  </pic:blipFill>
                  <pic:spPr bwMode="auto">
                    <a:xfrm>
                      <a:off x="0" y="0"/>
                      <a:ext cx="4686439" cy="4442165"/>
                    </a:xfrm>
                    <a:prstGeom prst="rect">
                      <a:avLst/>
                    </a:prstGeom>
                    <a:noFill/>
                    <a:ln>
                      <a:noFill/>
                    </a:ln>
                    <a:extLst>
                      <a:ext uri="{53640926-AAD7-44D8-BBD7-CCE9431645EC}">
                        <a14:shadowObscured xmlns:a14="http://schemas.microsoft.com/office/drawing/2010/main"/>
                      </a:ext>
                    </a:extLst>
                  </pic:spPr>
                </pic:pic>
              </a:graphicData>
            </a:graphic>
          </wp:inline>
        </w:drawing>
      </w:r>
    </w:p>
    <w:p w14:paraId="2B503CA1" w14:textId="77777777" w:rsidR="002D3CA7" w:rsidRPr="00C56257" w:rsidRDefault="002D3CA7" w:rsidP="008E33FD">
      <w:pPr>
        <w:jc w:val="both"/>
        <w:rPr>
          <w:rFonts w:eastAsiaTheme="minorHAnsi"/>
          <w:color w:val="000000" w:themeColor="text1"/>
          <w:lang w:val="fr-FR"/>
        </w:rPr>
      </w:pPr>
      <w:r w:rsidRPr="00C56257">
        <w:rPr>
          <w:rFonts w:eastAsiaTheme="minorHAnsi"/>
          <w:color w:val="000000" w:themeColor="text1"/>
          <w:lang w:val="en-US"/>
        </w:rPr>
        <w:tab/>
      </w:r>
      <w:r w:rsidRPr="00C56257">
        <w:rPr>
          <w:rFonts w:eastAsiaTheme="minorHAnsi"/>
          <w:color w:val="000000" w:themeColor="text1"/>
          <w:lang w:val="fr-FR"/>
        </w:rPr>
        <w:t xml:space="preserve">Figura 2. </w:t>
      </w:r>
      <w:proofErr w:type="spellStart"/>
      <w:r w:rsidRPr="00C56257">
        <w:rPr>
          <w:rFonts w:eastAsiaTheme="minorHAnsi"/>
          <w:color w:val="000000" w:themeColor="text1"/>
          <w:lang w:val="fr-FR"/>
        </w:rPr>
        <w:t>Hărțile</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utilizate</w:t>
      </w:r>
      <w:proofErr w:type="spellEnd"/>
      <w:r w:rsidRPr="00C56257">
        <w:rPr>
          <w:rFonts w:eastAsiaTheme="minorHAnsi"/>
          <w:color w:val="000000" w:themeColor="text1"/>
          <w:lang w:val="fr-FR"/>
        </w:rPr>
        <w:t xml:space="preserve"> de </w:t>
      </w:r>
      <w:proofErr w:type="spellStart"/>
      <w:r w:rsidRPr="00C56257">
        <w:rPr>
          <w:rFonts w:eastAsiaTheme="minorHAnsi"/>
          <w:color w:val="000000" w:themeColor="text1"/>
          <w:lang w:val="fr-FR"/>
        </w:rPr>
        <w:t>echipele</w:t>
      </w:r>
      <w:proofErr w:type="spellEnd"/>
      <w:r w:rsidRPr="00C56257">
        <w:rPr>
          <w:rFonts w:eastAsiaTheme="minorHAnsi"/>
          <w:color w:val="000000" w:themeColor="text1"/>
          <w:lang w:val="fr-FR"/>
        </w:rPr>
        <w:t xml:space="preserve"> de </w:t>
      </w:r>
      <w:proofErr w:type="spellStart"/>
      <w:r w:rsidRPr="00C56257">
        <w:rPr>
          <w:rFonts w:eastAsiaTheme="minorHAnsi"/>
          <w:color w:val="000000" w:themeColor="text1"/>
          <w:lang w:val="fr-FR"/>
        </w:rPr>
        <w:t>teren</w:t>
      </w:r>
      <w:proofErr w:type="spellEnd"/>
    </w:p>
    <w:p w14:paraId="4032AF40" w14:textId="77777777" w:rsidR="002D3CA7" w:rsidRPr="00C56257" w:rsidRDefault="002D3CA7" w:rsidP="008E33FD">
      <w:pPr>
        <w:jc w:val="both"/>
        <w:rPr>
          <w:rFonts w:eastAsiaTheme="minorHAnsi"/>
          <w:i/>
          <w:iCs/>
          <w:color w:val="000000" w:themeColor="text1"/>
          <w:lang w:val="fr-FR"/>
        </w:rPr>
      </w:pPr>
    </w:p>
    <w:p w14:paraId="7379FE04" w14:textId="77777777" w:rsidR="002D3CA7" w:rsidRPr="00C56257" w:rsidRDefault="002D3CA7" w:rsidP="008E33FD">
      <w:pPr>
        <w:tabs>
          <w:tab w:val="left" w:pos="3894"/>
        </w:tabs>
        <w:spacing w:line="276" w:lineRule="auto"/>
        <w:ind w:firstLine="709"/>
        <w:jc w:val="both"/>
        <w:rPr>
          <w:color w:val="000000" w:themeColor="text1"/>
        </w:rPr>
      </w:pPr>
      <w:r w:rsidRPr="00C56257">
        <w:rPr>
          <w:color w:val="000000" w:themeColor="text1"/>
        </w:rPr>
        <w:t>Aceste hărți ajută la o localizare mai exactă a ploturilor de monitorizare și a căilor de acces către acestea, dar și la o orientare mai bună în teren a specialiștilor implicați în procesul de colectare a datelor.</w:t>
      </w:r>
    </w:p>
    <w:p w14:paraId="2A12E281" w14:textId="77777777" w:rsidR="002D3CA7" w:rsidRPr="00C56257" w:rsidRDefault="002D3CA7" w:rsidP="008E33FD">
      <w:pPr>
        <w:tabs>
          <w:tab w:val="left" w:pos="3894"/>
        </w:tabs>
        <w:spacing w:line="276" w:lineRule="auto"/>
        <w:ind w:firstLine="709"/>
        <w:jc w:val="both"/>
        <w:rPr>
          <w:color w:val="000000" w:themeColor="text1"/>
        </w:rPr>
      </w:pPr>
    </w:p>
    <w:p w14:paraId="31883CDD" w14:textId="77777777" w:rsidR="002D3CA7" w:rsidRPr="00C56257" w:rsidRDefault="00DD3620" w:rsidP="008E33FD">
      <w:pPr>
        <w:widowControl w:val="0"/>
        <w:autoSpaceDE w:val="0"/>
        <w:autoSpaceDN w:val="0"/>
        <w:adjustRightInd w:val="0"/>
        <w:spacing w:after="200" w:line="276" w:lineRule="auto"/>
        <w:contextualSpacing/>
        <w:jc w:val="both"/>
        <w:rPr>
          <w:rFonts w:eastAsiaTheme="minorHAnsi"/>
          <w:color w:val="000000" w:themeColor="text1"/>
        </w:rPr>
      </w:pPr>
      <w:r>
        <w:rPr>
          <w:rFonts w:eastAsiaTheme="minorHAnsi"/>
          <w:b/>
          <w:color w:val="000000" w:themeColor="text1"/>
        </w:rPr>
        <w:t>5.1</w:t>
      </w:r>
      <w:r w:rsidR="002D3CA7" w:rsidRPr="00C56257">
        <w:rPr>
          <w:rFonts w:eastAsiaTheme="minorHAnsi"/>
          <w:b/>
          <w:color w:val="000000" w:themeColor="text1"/>
        </w:rPr>
        <w:t>.2. Evaluarea parametrilor descriptivi ai calității habitatului (</w:t>
      </w:r>
      <w:r w:rsidR="002D3CA7" w:rsidRPr="00C56257">
        <w:rPr>
          <w:rFonts w:eastAsiaTheme="minorHAnsi"/>
          <w:color w:val="000000" w:themeColor="text1"/>
        </w:rPr>
        <w:t>structura, funcțiile, presiunile, amenințările, măsurile de conservare aplicate și/sau necesare)</w:t>
      </w:r>
      <w:r w:rsidR="002D3CA7" w:rsidRPr="00C56257">
        <w:rPr>
          <w:rFonts w:eastAsiaTheme="minorHAnsi"/>
          <w:b/>
          <w:color w:val="000000" w:themeColor="text1"/>
        </w:rPr>
        <w:t xml:space="preserve"> </w:t>
      </w:r>
    </w:p>
    <w:p w14:paraId="5293C77F" w14:textId="77777777" w:rsidR="002D3CA7" w:rsidRPr="00C56257" w:rsidRDefault="002D3CA7" w:rsidP="008E33FD">
      <w:pPr>
        <w:widowControl w:val="0"/>
        <w:autoSpaceDE w:val="0"/>
        <w:autoSpaceDN w:val="0"/>
        <w:adjustRightInd w:val="0"/>
        <w:spacing w:line="276" w:lineRule="auto"/>
        <w:ind w:firstLine="709"/>
        <w:jc w:val="both"/>
        <w:rPr>
          <w:color w:val="000000" w:themeColor="text1"/>
          <w:lang w:eastAsia="ro-RO"/>
        </w:rPr>
      </w:pPr>
      <w:bookmarkStart w:id="30" w:name="_Hlk95713824"/>
      <w:r w:rsidRPr="00C56257">
        <w:rPr>
          <w:color w:val="000000" w:themeColor="text1"/>
          <w:lang w:eastAsia="ro-RO"/>
        </w:rPr>
        <w:t>În procesul de evaluare şi monitorizare a habitatelor de tufărișuri se vor utiliza datele culese în sistemele de evaluare a resurselor forestiere existente: planurile de management ale siturilor, amenajamentele silvice ale pădurilor, inventarul Forestier Naţional, iar acolo unde datele furnizate de aceste sisteme nu sunt suficiente se vor face investigaţii suplimentare în teren.</w:t>
      </w:r>
    </w:p>
    <w:p w14:paraId="0A592B7B" w14:textId="77777777" w:rsidR="002D3CA7" w:rsidRPr="00C56257" w:rsidRDefault="002D3CA7" w:rsidP="008E33FD">
      <w:pPr>
        <w:widowControl w:val="0"/>
        <w:autoSpaceDE w:val="0"/>
        <w:autoSpaceDN w:val="0"/>
        <w:adjustRightInd w:val="0"/>
        <w:spacing w:line="276" w:lineRule="auto"/>
        <w:ind w:firstLine="709"/>
        <w:jc w:val="both"/>
        <w:rPr>
          <w:color w:val="000000" w:themeColor="text1"/>
          <w:lang w:val="fr-FR"/>
        </w:rPr>
      </w:pPr>
      <w:r w:rsidRPr="00C56257">
        <w:rPr>
          <w:color w:val="000000" w:themeColor="text1"/>
          <w:lang w:val="fr-FR"/>
        </w:rPr>
        <w:t xml:space="preserve">La </w:t>
      </w:r>
      <w:proofErr w:type="spellStart"/>
      <w:r w:rsidRPr="00C56257">
        <w:rPr>
          <w:color w:val="000000" w:themeColor="text1"/>
          <w:lang w:val="fr-FR"/>
        </w:rPr>
        <w:t>nivel</w:t>
      </w:r>
      <w:proofErr w:type="spellEnd"/>
      <w:r w:rsidRPr="00C56257">
        <w:rPr>
          <w:color w:val="000000" w:themeColor="text1"/>
          <w:lang w:val="fr-FR"/>
        </w:rPr>
        <w:t xml:space="preserve"> </w:t>
      </w:r>
      <w:proofErr w:type="spellStart"/>
      <w:r w:rsidRPr="00C56257">
        <w:rPr>
          <w:color w:val="000000" w:themeColor="text1"/>
          <w:lang w:val="fr-FR"/>
        </w:rPr>
        <w:t>naţional</w:t>
      </w:r>
      <w:proofErr w:type="spellEnd"/>
      <w:r w:rsidRPr="00C56257">
        <w:rPr>
          <w:color w:val="000000" w:themeColor="text1"/>
          <w:lang w:val="fr-FR"/>
        </w:rPr>
        <w:t xml:space="preserve"> au </w:t>
      </w:r>
      <w:proofErr w:type="spellStart"/>
      <w:r w:rsidRPr="00C56257">
        <w:rPr>
          <w:color w:val="000000" w:themeColor="text1"/>
          <w:lang w:val="fr-FR"/>
        </w:rPr>
        <w:t>fost</w:t>
      </w:r>
      <w:proofErr w:type="spellEnd"/>
      <w:r w:rsidRPr="00C56257">
        <w:rPr>
          <w:color w:val="000000" w:themeColor="text1"/>
          <w:lang w:val="fr-FR"/>
        </w:rPr>
        <w:t xml:space="preserve"> </w:t>
      </w:r>
      <w:proofErr w:type="spellStart"/>
      <w:r w:rsidRPr="00C56257">
        <w:rPr>
          <w:color w:val="000000" w:themeColor="text1"/>
          <w:lang w:val="fr-FR"/>
        </w:rPr>
        <w:t>publicate</w:t>
      </w:r>
      <w:proofErr w:type="spellEnd"/>
      <w:r w:rsidRPr="00C56257">
        <w:rPr>
          <w:color w:val="000000" w:themeColor="text1"/>
          <w:lang w:val="fr-FR"/>
        </w:rPr>
        <w:t xml:space="preserve"> mai </w:t>
      </w:r>
      <w:proofErr w:type="spellStart"/>
      <w:r w:rsidRPr="00C56257">
        <w:rPr>
          <w:color w:val="000000" w:themeColor="text1"/>
          <w:lang w:val="fr-FR"/>
        </w:rPr>
        <w:t>multe</w:t>
      </w:r>
      <w:proofErr w:type="spellEnd"/>
      <w:r w:rsidRPr="00C56257">
        <w:rPr>
          <w:color w:val="000000" w:themeColor="text1"/>
          <w:lang w:val="fr-FR"/>
        </w:rPr>
        <w:t xml:space="preserve"> </w:t>
      </w:r>
      <w:proofErr w:type="spellStart"/>
      <w:r w:rsidRPr="00C56257">
        <w:rPr>
          <w:color w:val="000000" w:themeColor="text1"/>
          <w:lang w:val="fr-FR"/>
        </w:rPr>
        <w:t>lucrări</w:t>
      </w:r>
      <w:proofErr w:type="spellEnd"/>
      <w:r w:rsidRPr="00C56257">
        <w:rPr>
          <w:color w:val="000000" w:themeColor="text1"/>
          <w:lang w:val="fr-FR"/>
        </w:rPr>
        <w:t xml:space="preserve"> care </w:t>
      </w:r>
      <w:proofErr w:type="spellStart"/>
      <w:r w:rsidRPr="00C56257">
        <w:rPr>
          <w:color w:val="000000" w:themeColor="text1"/>
          <w:lang w:val="fr-FR"/>
        </w:rPr>
        <w:t>şi</w:t>
      </w:r>
      <w:proofErr w:type="spellEnd"/>
      <w:r w:rsidRPr="00C56257">
        <w:rPr>
          <w:color w:val="000000" w:themeColor="text1"/>
          <w:lang w:val="fr-FR"/>
        </w:rPr>
        <w:t xml:space="preserve">-au </w:t>
      </w:r>
      <w:proofErr w:type="spellStart"/>
      <w:r w:rsidRPr="00C56257">
        <w:rPr>
          <w:color w:val="000000" w:themeColor="text1"/>
          <w:lang w:val="fr-FR"/>
        </w:rPr>
        <w:t>propus</w:t>
      </w:r>
      <w:proofErr w:type="spellEnd"/>
      <w:r w:rsidRPr="00C56257">
        <w:rPr>
          <w:color w:val="000000" w:themeColor="text1"/>
          <w:lang w:val="fr-FR"/>
        </w:rPr>
        <w:t xml:space="preserve"> </w:t>
      </w:r>
      <w:proofErr w:type="spellStart"/>
      <w:r w:rsidRPr="00C56257">
        <w:rPr>
          <w:color w:val="000000" w:themeColor="text1"/>
          <w:lang w:val="fr-FR"/>
        </w:rPr>
        <w:t>să</w:t>
      </w:r>
      <w:proofErr w:type="spellEnd"/>
      <w:r w:rsidRPr="00C56257">
        <w:rPr>
          <w:color w:val="000000" w:themeColor="text1"/>
          <w:lang w:val="fr-FR"/>
        </w:rPr>
        <w:t xml:space="preserve"> </w:t>
      </w:r>
      <w:proofErr w:type="spellStart"/>
      <w:r w:rsidRPr="00C56257">
        <w:rPr>
          <w:color w:val="000000" w:themeColor="text1"/>
          <w:lang w:val="fr-FR"/>
        </w:rPr>
        <w:t>aducă</w:t>
      </w:r>
      <w:proofErr w:type="spellEnd"/>
      <w:r w:rsidRPr="00C56257">
        <w:rPr>
          <w:color w:val="000000" w:themeColor="text1"/>
          <w:lang w:val="fr-FR"/>
        </w:rPr>
        <w:t xml:space="preserve"> o </w:t>
      </w:r>
      <w:proofErr w:type="spellStart"/>
      <w:r w:rsidRPr="00C56257">
        <w:rPr>
          <w:color w:val="000000" w:themeColor="text1"/>
          <w:lang w:val="fr-FR"/>
        </w:rPr>
        <w:t>serie</w:t>
      </w:r>
      <w:proofErr w:type="spellEnd"/>
      <w:r w:rsidRPr="00C56257">
        <w:rPr>
          <w:color w:val="000000" w:themeColor="text1"/>
          <w:lang w:val="fr-FR"/>
        </w:rPr>
        <w:t xml:space="preserve"> de </w:t>
      </w:r>
      <w:proofErr w:type="spellStart"/>
      <w:r w:rsidRPr="00C56257">
        <w:rPr>
          <w:color w:val="000000" w:themeColor="text1"/>
          <w:lang w:val="fr-FR"/>
        </w:rPr>
        <w:t>informaţii</w:t>
      </w:r>
      <w:proofErr w:type="spellEnd"/>
      <w:r w:rsidRPr="00C56257">
        <w:rPr>
          <w:color w:val="000000" w:themeColor="text1"/>
          <w:lang w:val="fr-FR"/>
        </w:rPr>
        <w:t xml:space="preserve"> </w:t>
      </w:r>
      <w:proofErr w:type="spellStart"/>
      <w:r w:rsidRPr="00C56257">
        <w:rPr>
          <w:color w:val="000000" w:themeColor="text1"/>
          <w:lang w:val="fr-FR"/>
        </w:rPr>
        <w:t>suplimentare</w:t>
      </w:r>
      <w:proofErr w:type="spellEnd"/>
      <w:r w:rsidRPr="00C56257">
        <w:rPr>
          <w:color w:val="000000" w:themeColor="text1"/>
          <w:lang w:val="fr-FR"/>
        </w:rPr>
        <w:t xml:space="preserve"> </w:t>
      </w:r>
      <w:proofErr w:type="spellStart"/>
      <w:r w:rsidRPr="00C56257">
        <w:rPr>
          <w:color w:val="000000" w:themeColor="text1"/>
          <w:lang w:val="fr-FR"/>
        </w:rPr>
        <w:t>cu</w:t>
      </w:r>
      <w:proofErr w:type="spellEnd"/>
      <w:r w:rsidRPr="00C56257">
        <w:rPr>
          <w:color w:val="000000" w:themeColor="text1"/>
          <w:lang w:val="fr-FR"/>
        </w:rPr>
        <w:t xml:space="preserve"> </w:t>
      </w:r>
      <w:proofErr w:type="spellStart"/>
      <w:r w:rsidRPr="00C56257">
        <w:rPr>
          <w:color w:val="000000" w:themeColor="text1"/>
          <w:lang w:val="fr-FR"/>
        </w:rPr>
        <w:t>privire</w:t>
      </w:r>
      <w:proofErr w:type="spellEnd"/>
      <w:r w:rsidRPr="00C56257">
        <w:rPr>
          <w:color w:val="000000" w:themeColor="text1"/>
          <w:lang w:val="fr-FR"/>
        </w:rPr>
        <w:t xml:space="preserve"> la </w:t>
      </w:r>
      <w:proofErr w:type="spellStart"/>
      <w:r w:rsidRPr="00C56257">
        <w:rPr>
          <w:color w:val="000000" w:themeColor="text1"/>
          <w:lang w:val="fr-FR"/>
        </w:rPr>
        <w:t>caracterizarea</w:t>
      </w:r>
      <w:proofErr w:type="spellEnd"/>
      <w:r w:rsidRPr="00C56257">
        <w:rPr>
          <w:color w:val="000000" w:themeColor="text1"/>
          <w:lang w:val="fr-FR"/>
        </w:rPr>
        <w:t xml:space="preserve"> </w:t>
      </w:r>
      <w:proofErr w:type="spellStart"/>
      <w:r w:rsidRPr="00C56257">
        <w:rPr>
          <w:color w:val="000000" w:themeColor="text1"/>
          <w:lang w:val="fr-FR"/>
        </w:rPr>
        <w:t>habitatelor</w:t>
      </w:r>
      <w:proofErr w:type="spellEnd"/>
      <w:r w:rsidRPr="00C56257">
        <w:rPr>
          <w:color w:val="000000" w:themeColor="text1"/>
          <w:lang w:val="fr-FR"/>
        </w:rPr>
        <w:t xml:space="preserve"> de </w:t>
      </w:r>
      <w:proofErr w:type="spellStart"/>
      <w:r w:rsidRPr="00C56257">
        <w:rPr>
          <w:color w:val="000000" w:themeColor="text1"/>
          <w:lang w:val="fr-FR"/>
        </w:rPr>
        <w:t>interes</w:t>
      </w:r>
      <w:proofErr w:type="spellEnd"/>
      <w:r w:rsidRPr="00C56257">
        <w:rPr>
          <w:color w:val="000000" w:themeColor="text1"/>
          <w:lang w:val="fr-FR"/>
        </w:rPr>
        <w:t xml:space="preserve"> </w:t>
      </w:r>
      <w:proofErr w:type="spellStart"/>
      <w:r w:rsidRPr="00C56257">
        <w:rPr>
          <w:color w:val="000000" w:themeColor="text1"/>
          <w:lang w:val="fr-FR"/>
        </w:rPr>
        <w:t>comunitar</w:t>
      </w:r>
      <w:proofErr w:type="spellEnd"/>
      <w:r w:rsidRPr="00C56257">
        <w:rPr>
          <w:color w:val="000000" w:themeColor="text1"/>
          <w:lang w:val="fr-FR"/>
        </w:rPr>
        <w:t xml:space="preserve"> </w:t>
      </w:r>
      <w:proofErr w:type="spellStart"/>
      <w:r w:rsidRPr="00C56257">
        <w:rPr>
          <w:color w:val="000000" w:themeColor="text1"/>
          <w:lang w:val="fr-FR"/>
        </w:rPr>
        <w:t>prezente</w:t>
      </w:r>
      <w:proofErr w:type="spellEnd"/>
      <w:r w:rsidRPr="00C56257">
        <w:rPr>
          <w:color w:val="000000" w:themeColor="text1"/>
          <w:lang w:val="fr-FR"/>
        </w:rPr>
        <w:t xml:space="preserve"> </w:t>
      </w:r>
      <w:proofErr w:type="spellStart"/>
      <w:r w:rsidRPr="00C56257">
        <w:rPr>
          <w:color w:val="000000" w:themeColor="text1"/>
          <w:lang w:val="fr-FR"/>
        </w:rPr>
        <w:t>în</w:t>
      </w:r>
      <w:proofErr w:type="spellEnd"/>
      <w:r w:rsidRPr="00C56257">
        <w:rPr>
          <w:color w:val="000000" w:themeColor="text1"/>
          <w:lang w:val="fr-FR"/>
        </w:rPr>
        <w:t xml:space="preserve"> </w:t>
      </w:r>
      <w:proofErr w:type="spellStart"/>
      <w:r w:rsidRPr="00C56257">
        <w:rPr>
          <w:color w:val="000000" w:themeColor="text1"/>
          <w:lang w:val="fr-FR"/>
        </w:rPr>
        <w:t>ţara</w:t>
      </w:r>
      <w:proofErr w:type="spellEnd"/>
      <w:r w:rsidRPr="00C56257">
        <w:rPr>
          <w:color w:val="000000" w:themeColor="text1"/>
          <w:lang w:val="fr-FR"/>
        </w:rPr>
        <w:t xml:space="preserve"> </w:t>
      </w:r>
      <w:proofErr w:type="spellStart"/>
      <w:r w:rsidRPr="00C56257">
        <w:rPr>
          <w:color w:val="000000" w:themeColor="text1"/>
          <w:lang w:val="fr-FR"/>
        </w:rPr>
        <w:t>noastră</w:t>
      </w:r>
      <w:proofErr w:type="spellEnd"/>
      <w:r w:rsidRPr="00C56257">
        <w:rPr>
          <w:color w:val="000000" w:themeColor="text1"/>
          <w:lang w:val="fr-FR"/>
        </w:rPr>
        <w:t xml:space="preserve">. </w:t>
      </w:r>
      <w:proofErr w:type="spellStart"/>
      <w:r w:rsidRPr="00C56257">
        <w:rPr>
          <w:color w:val="000000" w:themeColor="text1"/>
          <w:lang w:val="fr-FR"/>
        </w:rPr>
        <w:t>Lucrarea</w:t>
      </w:r>
      <w:proofErr w:type="spellEnd"/>
      <w:r w:rsidRPr="00C56257">
        <w:rPr>
          <w:color w:val="000000" w:themeColor="text1"/>
          <w:lang w:val="fr-FR"/>
        </w:rPr>
        <w:t xml:space="preserve"> „</w:t>
      </w:r>
      <w:proofErr w:type="spellStart"/>
      <w:r w:rsidRPr="00C56257">
        <w:rPr>
          <w:color w:val="000000" w:themeColor="text1"/>
          <w:lang w:val="fr-FR"/>
        </w:rPr>
        <w:t>Habitatele</w:t>
      </w:r>
      <w:proofErr w:type="spellEnd"/>
      <w:r w:rsidRPr="00C56257">
        <w:rPr>
          <w:color w:val="000000" w:themeColor="text1"/>
          <w:lang w:val="fr-FR"/>
        </w:rPr>
        <w:t xml:space="preserve"> </w:t>
      </w:r>
      <w:proofErr w:type="spellStart"/>
      <w:r w:rsidRPr="00C56257">
        <w:rPr>
          <w:color w:val="000000" w:themeColor="text1"/>
          <w:lang w:val="fr-FR"/>
        </w:rPr>
        <w:t>din</w:t>
      </w:r>
      <w:proofErr w:type="spellEnd"/>
      <w:r w:rsidRPr="00C56257">
        <w:rPr>
          <w:color w:val="000000" w:themeColor="text1"/>
          <w:lang w:val="fr-FR"/>
        </w:rPr>
        <w:t xml:space="preserve"> </w:t>
      </w:r>
      <w:proofErr w:type="spellStart"/>
      <w:r w:rsidRPr="00C56257">
        <w:rPr>
          <w:color w:val="000000" w:themeColor="text1"/>
          <w:lang w:val="fr-FR"/>
        </w:rPr>
        <w:t>România</w:t>
      </w:r>
      <w:proofErr w:type="spellEnd"/>
      <w:r w:rsidRPr="00C56257">
        <w:rPr>
          <w:color w:val="000000" w:themeColor="text1"/>
          <w:lang w:val="fr-FR"/>
        </w:rPr>
        <w:t>” (</w:t>
      </w:r>
      <w:proofErr w:type="spellStart"/>
      <w:r w:rsidRPr="00C56257">
        <w:rPr>
          <w:color w:val="000000" w:themeColor="text1"/>
          <w:lang w:val="fr-FR"/>
        </w:rPr>
        <w:t>Doniţă</w:t>
      </w:r>
      <w:proofErr w:type="spellEnd"/>
      <w:r w:rsidRPr="00C56257">
        <w:rPr>
          <w:color w:val="000000" w:themeColor="text1"/>
          <w:lang w:val="fr-FR"/>
        </w:rPr>
        <w:t xml:space="preserve"> et al., 2005) este o </w:t>
      </w:r>
      <w:proofErr w:type="spellStart"/>
      <w:r w:rsidRPr="00C56257">
        <w:rPr>
          <w:color w:val="000000" w:themeColor="text1"/>
          <w:lang w:val="fr-FR"/>
        </w:rPr>
        <w:t>primă</w:t>
      </w:r>
      <w:proofErr w:type="spellEnd"/>
      <w:r w:rsidRPr="00C56257">
        <w:rPr>
          <w:color w:val="000000" w:themeColor="text1"/>
          <w:lang w:val="fr-FR"/>
        </w:rPr>
        <w:t xml:space="preserve"> </w:t>
      </w:r>
      <w:proofErr w:type="spellStart"/>
      <w:r w:rsidRPr="00C56257">
        <w:rPr>
          <w:color w:val="000000" w:themeColor="text1"/>
          <w:lang w:val="fr-FR"/>
        </w:rPr>
        <w:t>încercare</w:t>
      </w:r>
      <w:proofErr w:type="spellEnd"/>
      <w:r w:rsidRPr="00C56257">
        <w:rPr>
          <w:color w:val="000000" w:themeColor="text1"/>
          <w:lang w:val="fr-FR"/>
        </w:rPr>
        <w:t xml:space="preserve"> de </w:t>
      </w:r>
      <w:proofErr w:type="spellStart"/>
      <w:r w:rsidRPr="00C56257">
        <w:rPr>
          <w:color w:val="000000" w:themeColor="text1"/>
          <w:lang w:val="fr-FR"/>
        </w:rPr>
        <w:t>descriere</w:t>
      </w:r>
      <w:proofErr w:type="spellEnd"/>
      <w:r w:rsidRPr="00C56257">
        <w:rPr>
          <w:color w:val="000000" w:themeColor="text1"/>
          <w:lang w:val="fr-FR"/>
        </w:rPr>
        <w:t xml:space="preserve"> </w:t>
      </w:r>
      <w:proofErr w:type="spellStart"/>
      <w:r w:rsidRPr="00C56257">
        <w:rPr>
          <w:color w:val="000000" w:themeColor="text1"/>
          <w:lang w:val="fr-FR"/>
        </w:rPr>
        <w:t>unitară</w:t>
      </w:r>
      <w:proofErr w:type="spellEnd"/>
      <w:r w:rsidRPr="00C56257">
        <w:rPr>
          <w:color w:val="000000" w:themeColor="text1"/>
          <w:lang w:val="fr-FR"/>
        </w:rPr>
        <w:t xml:space="preserve"> a </w:t>
      </w:r>
      <w:proofErr w:type="spellStart"/>
      <w:r w:rsidRPr="00C56257">
        <w:rPr>
          <w:color w:val="000000" w:themeColor="text1"/>
          <w:lang w:val="fr-FR"/>
        </w:rPr>
        <w:t>habitatelor</w:t>
      </w:r>
      <w:proofErr w:type="spellEnd"/>
      <w:r w:rsidRPr="00C56257">
        <w:rPr>
          <w:color w:val="000000" w:themeColor="text1"/>
          <w:lang w:val="fr-FR"/>
        </w:rPr>
        <w:t xml:space="preserve"> </w:t>
      </w:r>
      <w:proofErr w:type="spellStart"/>
      <w:r w:rsidRPr="00C56257">
        <w:rPr>
          <w:color w:val="000000" w:themeColor="text1"/>
          <w:lang w:val="fr-FR"/>
        </w:rPr>
        <w:t>naturale</w:t>
      </w:r>
      <w:proofErr w:type="spellEnd"/>
      <w:r w:rsidRPr="00C56257">
        <w:rPr>
          <w:color w:val="000000" w:themeColor="text1"/>
          <w:lang w:val="fr-FR"/>
        </w:rPr>
        <w:t xml:space="preserve"> </w:t>
      </w:r>
      <w:proofErr w:type="spellStart"/>
      <w:r w:rsidRPr="00C56257">
        <w:rPr>
          <w:color w:val="000000" w:themeColor="text1"/>
          <w:lang w:val="fr-FR"/>
        </w:rPr>
        <w:t>existente</w:t>
      </w:r>
      <w:proofErr w:type="spellEnd"/>
      <w:r w:rsidRPr="00C56257">
        <w:rPr>
          <w:color w:val="000000" w:themeColor="text1"/>
          <w:lang w:val="fr-FR"/>
        </w:rPr>
        <w:t xml:space="preserve"> </w:t>
      </w:r>
      <w:proofErr w:type="spellStart"/>
      <w:r w:rsidRPr="00C56257">
        <w:rPr>
          <w:color w:val="000000" w:themeColor="text1"/>
          <w:lang w:val="fr-FR"/>
        </w:rPr>
        <w:t>pe</w:t>
      </w:r>
      <w:proofErr w:type="spellEnd"/>
      <w:r w:rsidRPr="00C56257">
        <w:rPr>
          <w:color w:val="000000" w:themeColor="text1"/>
          <w:lang w:val="fr-FR"/>
        </w:rPr>
        <w:t xml:space="preserve"> </w:t>
      </w:r>
      <w:proofErr w:type="spellStart"/>
      <w:r w:rsidRPr="00C56257">
        <w:rPr>
          <w:color w:val="000000" w:themeColor="text1"/>
          <w:lang w:val="fr-FR"/>
        </w:rPr>
        <w:t>teritoriul</w:t>
      </w:r>
      <w:proofErr w:type="spellEnd"/>
      <w:r w:rsidRPr="00C56257">
        <w:rPr>
          <w:color w:val="000000" w:themeColor="text1"/>
          <w:lang w:val="fr-FR"/>
        </w:rPr>
        <w:t xml:space="preserve"> </w:t>
      </w:r>
      <w:proofErr w:type="spellStart"/>
      <w:r w:rsidRPr="00C56257">
        <w:rPr>
          <w:color w:val="000000" w:themeColor="text1"/>
          <w:lang w:val="fr-FR"/>
        </w:rPr>
        <w:t>ţării</w:t>
      </w:r>
      <w:proofErr w:type="spellEnd"/>
      <w:r w:rsidRPr="00C56257">
        <w:rPr>
          <w:color w:val="000000" w:themeColor="text1"/>
          <w:lang w:val="fr-FR"/>
        </w:rPr>
        <w:t xml:space="preserve"> </w:t>
      </w:r>
      <w:proofErr w:type="spellStart"/>
      <w:r w:rsidRPr="00C56257">
        <w:rPr>
          <w:color w:val="000000" w:themeColor="text1"/>
          <w:lang w:val="fr-FR"/>
        </w:rPr>
        <w:t>şi</w:t>
      </w:r>
      <w:proofErr w:type="spellEnd"/>
      <w:r w:rsidRPr="00C56257">
        <w:rPr>
          <w:color w:val="000000" w:themeColor="text1"/>
          <w:lang w:val="fr-FR"/>
        </w:rPr>
        <w:t xml:space="preserve"> de a </w:t>
      </w:r>
      <w:proofErr w:type="spellStart"/>
      <w:r w:rsidRPr="00C56257">
        <w:rPr>
          <w:color w:val="000000" w:themeColor="text1"/>
          <w:lang w:val="fr-FR"/>
        </w:rPr>
        <w:t>creea</w:t>
      </w:r>
      <w:proofErr w:type="spellEnd"/>
      <w:r w:rsidRPr="00C56257">
        <w:rPr>
          <w:color w:val="000000" w:themeColor="text1"/>
          <w:lang w:val="fr-FR"/>
        </w:rPr>
        <w:t xml:space="preserve"> un </w:t>
      </w:r>
      <w:proofErr w:type="spellStart"/>
      <w:r w:rsidRPr="00C56257">
        <w:rPr>
          <w:color w:val="000000" w:themeColor="text1"/>
          <w:lang w:val="fr-FR"/>
        </w:rPr>
        <w:t>sistem</w:t>
      </w:r>
      <w:proofErr w:type="spellEnd"/>
      <w:r w:rsidRPr="00C56257">
        <w:rPr>
          <w:color w:val="000000" w:themeColor="text1"/>
          <w:lang w:val="fr-FR"/>
        </w:rPr>
        <w:t xml:space="preserve"> de </w:t>
      </w:r>
      <w:proofErr w:type="spellStart"/>
      <w:r w:rsidRPr="00C56257">
        <w:rPr>
          <w:color w:val="000000" w:themeColor="text1"/>
          <w:lang w:val="fr-FR"/>
        </w:rPr>
        <w:t>corespondenţă</w:t>
      </w:r>
      <w:proofErr w:type="spellEnd"/>
      <w:r w:rsidRPr="00C56257">
        <w:rPr>
          <w:color w:val="000000" w:themeColor="text1"/>
          <w:lang w:val="fr-FR"/>
        </w:rPr>
        <w:t xml:space="preserve"> </w:t>
      </w:r>
      <w:proofErr w:type="spellStart"/>
      <w:r w:rsidRPr="00C56257">
        <w:rPr>
          <w:color w:val="000000" w:themeColor="text1"/>
          <w:lang w:val="fr-FR"/>
        </w:rPr>
        <w:t>între</w:t>
      </w:r>
      <w:proofErr w:type="spellEnd"/>
      <w:r w:rsidRPr="00C56257">
        <w:rPr>
          <w:color w:val="000000" w:themeColor="text1"/>
          <w:lang w:val="fr-FR"/>
        </w:rPr>
        <w:t xml:space="preserve"> </w:t>
      </w:r>
      <w:proofErr w:type="spellStart"/>
      <w:r w:rsidRPr="00C56257">
        <w:rPr>
          <w:color w:val="000000" w:themeColor="text1"/>
          <w:lang w:val="fr-FR"/>
        </w:rPr>
        <w:lastRenderedPageBreak/>
        <w:t>clasificarea</w:t>
      </w:r>
      <w:proofErr w:type="spellEnd"/>
      <w:r w:rsidRPr="00C56257">
        <w:rPr>
          <w:color w:val="000000" w:themeColor="text1"/>
          <w:lang w:val="fr-FR"/>
        </w:rPr>
        <w:t xml:space="preserve"> </w:t>
      </w:r>
      <w:proofErr w:type="spellStart"/>
      <w:r w:rsidRPr="00C56257">
        <w:rPr>
          <w:color w:val="000000" w:themeColor="text1"/>
          <w:lang w:val="fr-FR"/>
        </w:rPr>
        <w:t>habitatelor</w:t>
      </w:r>
      <w:proofErr w:type="spellEnd"/>
      <w:r w:rsidRPr="00C56257">
        <w:rPr>
          <w:color w:val="000000" w:themeColor="text1"/>
          <w:lang w:val="fr-FR"/>
        </w:rPr>
        <w:t xml:space="preserve"> de </w:t>
      </w:r>
      <w:proofErr w:type="spellStart"/>
      <w:r w:rsidRPr="00C56257">
        <w:rPr>
          <w:color w:val="000000" w:themeColor="text1"/>
          <w:lang w:val="fr-FR"/>
        </w:rPr>
        <w:t>importanţă</w:t>
      </w:r>
      <w:proofErr w:type="spellEnd"/>
      <w:r w:rsidRPr="00C56257">
        <w:rPr>
          <w:color w:val="000000" w:themeColor="text1"/>
          <w:lang w:val="fr-FR"/>
        </w:rPr>
        <w:t xml:space="preserve"> </w:t>
      </w:r>
      <w:proofErr w:type="spellStart"/>
      <w:r w:rsidRPr="00C56257">
        <w:rPr>
          <w:color w:val="000000" w:themeColor="text1"/>
          <w:lang w:val="fr-FR"/>
        </w:rPr>
        <w:t>comunitară</w:t>
      </w:r>
      <w:proofErr w:type="spellEnd"/>
      <w:r w:rsidRPr="00C56257">
        <w:rPr>
          <w:color w:val="000000" w:themeColor="text1"/>
          <w:lang w:val="fr-FR"/>
        </w:rPr>
        <w:t xml:space="preserve"> </w:t>
      </w:r>
      <w:proofErr w:type="spellStart"/>
      <w:r w:rsidRPr="00C56257">
        <w:rPr>
          <w:color w:val="000000" w:themeColor="text1"/>
          <w:lang w:val="fr-FR"/>
        </w:rPr>
        <w:t>şi</w:t>
      </w:r>
      <w:proofErr w:type="spellEnd"/>
      <w:r w:rsidRPr="00C56257">
        <w:rPr>
          <w:color w:val="000000" w:themeColor="text1"/>
          <w:lang w:val="fr-FR"/>
        </w:rPr>
        <w:t xml:space="preserve"> </w:t>
      </w:r>
      <w:proofErr w:type="spellStart"/>
      <w:r w:rsidRPr="00C56257">
        <w:rPr>
          <w:color w:val="000000" w:themeColor="text1"/>
          <w:lang w:val="fr-FR"/>
        </w:rPr>
        <w:t>sistemele</w:t>
      </w:r>
      <w:proofErr w:type="spellEnd"/>
      <w:r w:rsidRPr="00C56257">
        <w:rPr>
          <w:color w:val="000000" w:themeColor="text1"/>
          <w:lang w:val="fr-FR"/>
        </w:rPr>
        <w:t xml:space="preserve"> de </w:t>
      </w:r>
      <w:proofErr w:type="spellStart"/>
      <w:r w:rsidRPr="00C56257">
        <w:rPr>
          <w:color w:val="000000" w:themeColor="text1"/>
          <w:lang w:val="fr-FR"/>
        </w:rPr>
        <w:t>clasificare</w:t>
      </w:r>
      <w:proofErr w:type="spellEnd"/>
      <w:r w:rsidRPr="00C56257">
        <w:rPr>
          <w:color w:val="000000" w:themeColor="text1"/>
          <w:lang w:val="fr-FR"/>
        </w:rPr>
        <w:t xml:space="preserve"> a </w:t>
      </w:r>
      <w:proofErr w:type="spellStart"/>
      <w:r w:rsidRPr="00C56257">
        <w:rPr>
          <w:color w:val="000000" w:themeColor="text1"/>
          <w:lang w:val="fr-FR"/>
        </w:rPr>
        <w:t>vegetaţiei</w:t>
      </w:r>
      <w:proofErr w:type="spellEnd"/>
      <w:r w:rsidRPr="00C56257">
        <w:rPr>
          <w:color w:val="000000" w:themeColor="text1"/>
          <w:lang w:val="fr-FR"/>
        </w:rPr>
        <w:t xml:space="preserve"> </w:t>
      </w:r>
      <w:proofErr w:type="spellStart"/>
      <w:r w:rsidRPr="00C56257">
        <w:rPr>
          <w:color w:val="000000" w:themeColor="text1"/>
          <w:lang w:val="fr-FR"/>
        </w:rPr>
        <w:t>naturale</w:t>
      </w:r>
      <w:proofErr w:type="spellEnd"/>
      <w:r w:rsidRPr="00C56257">
        <w:rPr>
          <w:color w:val="000000" w:themeColor="text1"/>
          <w:lang w:val="fr-FR"/>
        </w:rPr>
        <w:t xml:space="preserve"> </w:t>
      </w:r>
      <w:proofErr w:type="spellStart"/>
      <w:r w:rsidRPr="00C56257">
        <w:rPr>
          <w:color w:val="000000" w:themeColor="text1"/>
          <w:lang w:val="fr-FR"/>
        </w:rPr>
        <w:t>utilizate</w:t>
      </w:r>
      <w:proofErr w:type="spellEnd"/>
      <w:r w:rsidRPr="00C56257">
        <w:rPr>
          <w:color w:val="000000" w:themeColor="text1"/>
          <w:lang w:val="fr-FR"/>
        </w:rPr>
        <w:t xml:space="preserve"> la </w:t>
      </w:r>
      <w:proofErr w:type="spellStart"/>
      <w:r w:rsidRPr="00C56257">
        <w:rPr>
          <w:color w:val="000000" w:themeColor="text1"/>
          <w:lang w:val="fr-FR"/>
        </w:rPr>
        <w:t>nivel</w:t>
      </w:r>
      <w:proofErr w:type="spellEnd"/>
      <w:r w:rsidRPr="00C56257">
        <w:rPr>
          <w:color w:val="000000" w:themeColor="text1"/>
          <w:lang w:val="fr-FR"/>
        </w:rPr>
        <w:t xml:space="preserve"> </w:t>
      </w:r>
      <w:proofErr w:type="spellStart"/>
      <w:r w:rsidRPr="00C56257">
        <w:rPr>
          <w:color w:val="000000" w:themeColor="text1"/>
          <w:lang w:val="fr-FR"/>
        </w:rPr>
        <w:t>naţional</w:t>
      </w:r>
      <w:proofErr w:type="spellEnd"/>
      <w:r w:rsidRPr="00C56257">
        <w:rPr>
          <w:color w:val="000000" w:themeColor="text1"/>
          <w:lang w:val="fr-FR"/>
        </w:rPr>
        <w:t>. „</w:t>
      </w:r>
      <w:proofErr w:type="spellStart"/>
      <w:r w:rsidRPr="00C56257">
        <w:rPr>
          <w:color w:val="000000" w:themeColor="text1"/>
          <w:lang w:val="fr-FR"/>
        </w:rPr>
        <w:t>Manualul</w:t>
      </w:r>
      <w:proofErr w:type="spellEnd"/>
      <w:r w:rsidRPr="00C56257">
        <w:rPr>
          <w:color w:val="000000" w:themeColor="text1"/>
          <w:lang w:val="fr-FR"/>
        </w:rPr>
        <w:t xml:space="preserve"> de </w:t>
      </w:r>
      <w:proofErr w:type="spellStart"/>
      <w:r w:rsidRPr="00C56257">
        <w:rPr>
          <w:color w:val="000000" w:themeColor="text1"/>
          <w:lang w:val="fr-FR"/>
        </w:rPr>
        <w:t>interpretare</w:t>
      </w:r>
      <w:proofErr w:type="spellEnd"/>
      <w:r w:rsidRPr="00C56257">
        <w:rPr>
          <w:color w:val="000000" w:themeColor="text1"/>
          <w:lang w:val="fr-FR"/>
        </w:rPr>
        <w:t xml:space="preserve"> a </w:t>
      </w:r>
      <w:proofErr w:type="spellStart"/>
      <w:r w:rsidRPr="00C56257">
        <w:rPr>
          <w:color w:val="000000" w:themeColor="text1"/>
          <w:lang w:val="fr-FR"/>
        </w:rPr>
        <w:t>habitatelor</w:t>
      </w:r>
      <w:proofErr w:type="spellEnd"/>
      <w:r w:rsidRPr="00C56257">
        <w:rPr>
          <w:color w:val="000000" w:themeColor="text1"/>
          <w:lang w:val="fr-FR"/>
        </w:rPr>
        <w:t xml:space="preserve"> Natura 2000 </w:t>
      </w:r>
      <w:proofErr w:type="spellStart"/>
      <w:r w:rsidRPr="00C56257">
        <w:rPr>
          <w:color w:val="000000" w:themeColor="text1"/>
          <w:lang w:val="fr-FR"/>
        </w:rPr>
        <w:t>din</w:t>
      </w:r>
      <w:proofErr w:type="spellEnd"/>
      <w:r w:rsidRPr="00C56257">
        <w:rPr>
          <w:color w:val="000000" w:themeColor="text1"/>
          <w:lang w:val="fr-FR"/>
        </w:rPr>
        <w:t xml:space="preserve"> </w:t>
      </w:r>
      <w:proofErr w:type="spellStart"/>
      <w:r w:rsidRPr="00C56257">
        <w:rPr>
          <w:color w:val="000000" w:themeColor="text1"/>
          <w:lang w:val="fr-FR"/>
        </w:rPr>
        <w:t>România</w:t>
      </w:r>
      <w:proofErr w:type="spellEnd"/>
      <w:r w:rsidRPr="00C56257">
        <w:rPr>
          <w:color w:val="000000" w:themeColor="text1"/>
          <w:lang w:val="fr-FR"/>
        </w:rPr>
        <w:t>” (</w:t>
      </w:r>
      <w:proofErr w:type="spellStart"/>
      <w:r w:rsidRPr="00C56257">
        <w:rPr>
          <w:color w:val="000000" w:themeColor="text1"/>
          <w:lang w:val="fr-FR"/>
        </w:rPr>
        <w:t>Gafta</w:t>
      </w:r>
      <w:proofErr w:type="spellEnd"/>
      <w:r w:rsidRPr="00C56257">
        <w:rPr>
          <w:color w:val="000000" w:themeColor="text1"/>
          <w:lang w:val="fr-FR"/>
        </w:rPr>
        <w:t xml:space="preserve"> and </w:t>
      </w:r>
      <w:proofErr w:type="spellStart"/>
      <w:r w:rsidRPr="00C56257">
        <w:rPr>
          <w:color w:val="000000" w:themeColor="text1"/>
          <w:lang w:val="fr-FR"/>
        </w:rPr>
        <w:t>Mountford</w:t>
      </w:r>
      <w:proofErr w:type="spellEnd"/>
      <w:r w:rsidRPr="00C56257">
        <w:rPr>
          <w:color w:val="000000" w:themeColor="text1"/>
          <w:lang w:val="fr-FR"/>
        </w:rPr>
        <w:t xml:space="preserve">, 2008) a </w:t>
      </w:r>
      <w:proofErr w:type="spellStart"/>
      <w:r w:rsidRPr="00C56257">
        <w:rPr>
          <w:color w:val="000000" w:themeColor="text1"/>
          <w:lang w:val="fr-FR"/>
        </w:rPr>
        <w:t>adaptat</w:t>
      </w:r>
      <w:proofErr w:type="spellEnd"/>
      <w:r w:rsidRPr="00C56257">
        <w:rPr>
          <w:color w:val="000000" w:themeColor="text1"/>
          <w:lang w:val="fr-FR"/>
        </w:rPr>
        <w:t xml:space="preserve"> </w:t>
      </w:r>
      <w:proofErr w:type="spellStart"/>
      <w:r w:rsidRPr="00C56257">
        <w:rPr>
          <w:color w:val="000000" w:themeColor="text1"/>
          <w:lang w:val="fr-FR"/>
        </w:rPr>
        <w:t>Manualul</w:t>
      </w:r>
      <w:proofErr w:type="spellEnd"/>
      <w:r w:rsidRPr="00C56257">
        <w:rPr>
          <w:color w:val="000000" w:themeColor="text1"/>
          <w:lang w:val="fr-FR"/>
        </w:rPr>
        <w:t xml:space="preserve"> de </w:t>
      </w:r>
      <w:proofErr w:type="spellStart"/>
      <w:r w:rsidRPr="00C56257">
        <w:rPr>
          <w:color w:val="000000" w:themeColor="text1"/>
          <w:lang w:val="fr-FR"/>
        </w:rPr>
        <w:t>interpretare</w:t>
      </w:r>
      <w:proofErr w:type="spellEnd"/>
      <w:r w:rsidRPr="00C56257">
        <w:rPr>
          <w:color w:val="000000" w:themeColor="text1"/>
          <w:lang w:val="fr-FR"/>
        </w:rPr>
        <w:t xml:space="preserve"> a </w:t>
      </w:r>
      <w:proofErr w:type="spellStart"/>
      <w:r w:rsidRPr="00C56257">
        <w:rPr>
          <w:color w:val="000000" w:themeColor="text1"/>
          <w:lang w:val="fr-FR"/>
        </w:rPr>
        <w:t>habitatelor</w:t>
      </w:r>
      <w:proofErr w:type="spellEnd"/>
      <w:r w:rsidRPr="00C56257">
        <w:rPr>
          <w:color w:val="000000" w:themeColor="text1"/>
          <w:lang w:val="fr-FR"/>
        </w:rPr>
        <w:t xml:space="preserve"> </w:t>
      </w:r>
      <w:proofErr w:type="spellStart"/>
      <w:r w:rsidRPr="00C56257">
        <w:rPr>
          <w:color w:val="000000" w:themeColor="text1"/>
          <w:lang w:val="fr-FR"/>
        </w:rPr>
        <w:t>din</w:t>
      </w:r>
      <w:proofErr w:type="spellEnd"/>
      <w:r w:rsidRPr="00C56257">
        <w:rPr>
          <w:color w:val="000000" w:themeColor="text1"/>
          <w:lang w:val="fr-FR"/>
        </w:rPr>
        <w:t xml:space="preserve"> UE (EUR 27) </w:t>
      </w:r>
      <w:proofErr w:type="spellStart"/>
      <w:r w:rsidRPr="00C56257">
        <w:rPr>
          <w:color w:val="000000" w:themeColor="text1"/>
          <w:lang w:val="fr-FR"/>
        </w:rPr>
        <w:t>pentru</w:t>
      </w:r>
      <w:proofErr w:type="spellEnd"/>
      <w:r w:rsidRPr="00C56257">
        <w:rPr>
          <w:color w:val="000000" w:themeColor="text1"/>
          <w:lang w:val="fr-FR"/>
        </w:rPr>
        <w:t xml:space="preserve"> a </w:t>
      </w:r>
      <w:proofErr w:type="spellStart"/>
      <w:r w:rsidRPr="00C56257">
        <w:rPr>
          <w:color w:val="000000" w:themeColor="text1"/>
          <w:lang w:val="fr-FR"/>
        </w:rPr>
        <w:t>permite</w:t>
      </w:r>
      <w:proofErr w:type="spellEnd"/>
      <w:r w:rsidRPr="00C56257">
        <w:rPr>
          <w:color w:val="000000" w:themeColor="text1"/>
          <w:lang w:val="fr-FR"/>
        </w:rPr>
        <w:t xml:space="preserve"> o </w:t>
      </w:r>
      <w:proofErr w:type="spellStart"/>
      <w:r w:rsidRPr="00C56257">
        <w:rPr>
          <w:color w:val="000000" w:themeColor="text1"/>
          <w:lang w:val="fr-FR"/>
        </w:rPr>
        <w:t>interpretare</w:t>
      </w:r>
      <w:proofErr w:type="spellEnd"/>
      <w:r w:rsidRPr="00C56257">
        <w:rPr>
          <w:color w:val="000000" w:themeColor="text1"/>
          <w:lang w:val="fr-FR"/>
        </w:rPr>
        <w:t xml:space="preserve"> </w:t>
      </w:r>
      <w:proofErr w:type="spellStart"/>
      <w:r w:rsidRPr="00C56257">
        <w:rPr>
          <w:color w:val="000000" w:themeColor="text1"/>
          <w:lang w:val="fr-FR"/>
        </w:rPr>
        <w:t>fără</w:t>
      </w:r>
      <w:proofErr w:type="spellEnd"/>
      <w:r w:rsidRPr="00C56257">
        <w:rPr>
          <w:color w:val="000000" w:themeColor="text1"/>
          <w:lang w:val="fr-FR"/>
        </w:rPr>
        <w:t xml:space="preserve"> </w:t>
      </w:r>
      <w:proofErr w:type="spellStart"/>
      <w:r w:rsidRPr="00C56257">
        <w:rPr>
          <w:color w:val="000000" w:themeColor="text1"/>
          <w:lang w:val="fr-FR"/>
        </w:rPr>
        <w:t>echivoc</w:t>
      </w:r>
      <w:proofErr w:type="spellEnd"/>
      <w:r w:rsidRPr="00C56257">
        <w:rPr>
          <w:color w:val="000000" w:themeColor="text1"/>
          <w:lang w:val="fr-FR"/>
        </w:rPr>
        <w:t xml:space="preserve"> a </w:t>
      </w:r>
      <w:proofErr w:type="spellStart"/>
      <w:r w:rsidRPr="00C56257">
        <w:rPr>
          <w:color w:val="000000" w:themeColor="text1"/>
          <w:lang w:val="fr-FR"/>
        </w:rPr>
        <w:t>habitatelor</w:t>
      </w:r>
      <w:proofErr w:type="spellEnd"/>
      <w:r w:rsidRPr="00C56257">
        <w:rPr>
          <w:color w:val="000000" w:themeColor="text1"/>
          <w:lang w:val="fr-FR"/>
        </w:rPr>
        <w:t xml:space="preserve"> Natura 2000 </w:t>
      </w:r>
      <w:proofErr w:type="spellStart"/>
      <w:r w:rsidRPr="00C56257">
        <w:rPr>
          <w:color w:val="000000" w:themeColor="text1"/>
          <w:lang w:val="fr-FR"/>
        </w:rPr>
        <w:t>în</w:t>
      </w:r>
      <w:proofErr w:type="spellEnd"/>
      <w:r w:rsidRPr="00C56257">
        <w:rPr>
          <w:color w:val="000000" w:themeColor="text1"/>
          <w:lang w:val="fr-FR"/>
        </w:rPr>
        <w:t xml:space="preserve"> </w:t>
      </w:r>
      <w:proofErr w:type="spellStart"/>
      <w:r w:rsidRPr="00C56257">
        <w:rPr>
          <w:color w:val="000000" w:themeColor="text1"/>
          <w:lang w:val="fr-FR"/>
        </w:rPr>
        <w:t>România</w:t>
      </w:r>
      <w:proofErr w:type="spellEnd"/>
      <w:r w:rsidRPr="00C56257">
        <w:rPr>
          <w:color w:val="000000" w:themeColor="text1"/>
          <w:lang w:val="fr-FR"/>
        </w:rPr>
        <w:t xml:space="preserve">, </w:t>
      </w:r>
      <w:proofErr w:type="spellStart"/>
      <w:r w:rsidRPr="00C56257">
        <w:rPr>
          <w:color w:val="000000" w:themeColor="text1"/>
          <w:lang w:val="fr-FR"/>
        </w:rPr>
        <w:t>în</w:t>
      </w:r>
      <w:proofErr w:type="spellEnd"/>
      <w:r w:rsidRPr="00C56257">
        <w:rPr>
          <w:color w:val="000000" w:themeColor="text1"/>
          <w:lang w:val="fr-FR"/>
        </w:rPr>
        <w:t xml:space="preserve"> </w:t>
      </w:r>
      <w:proofErr w:type="spellStart"/>
      <w:r w:rsidRPr="00C56257">
        <w:rPr>
          <w:color w:val="000000" w:themeColor="text1"/>
          <w:lang w:val="fr-FR"/>
        </w:rPr>
        <w:t>conformitate</w:t>
      </w:r>
      <w:proofErr w:type="spellEnd"/>
      <w:r w:rsidRPr="00C56257">
        <w:rPr>
          <w:color w:val="000000" w:themeColor="text1"/>
          <w:lang w:val="fr-FR"/>
        </w:rPr>
        <w:t xml:space="preserve"> </w:t>
      </w:r>
      <w:proofErr w:type="spellStart"/>
      <w:r w:rsidRPr="00C56257">
        <w:rPr>
          <w:color w:val="000000" w:themeColor="text1"/>
          <w:lang w:val="fr-FR"/>
        </w:rPr>
        <w:t>cu</w:t>
      </w:r>
      <w:proofErr w:type="spellEnd"/>
      <w:r w:rsidRPr="00C56257">
        <w:rPr>
          <w:color w:val="000000" w:themeColor="text1"/>
          <w:lang w:val="fr-FR"/>
        </w:rPr>
        <w:t xml:space="preserve"> </w:t>
      </w:r>
      <w:proofErr w:type="spellStart"/>
      <w:r w:rsidRPr="00C56257">
        <w:rPr>
          <w:color w:val="000000" w:themeColor="text1"/>
          <w:lang w:val="fr-FR"/>
        </w:rPr>
        <w:t>vegetaţia</w:t>
      </w:r>
      <w:proofErr w:type="spellEnd"/>
      <w:r w:rsidRPr="00C56257">
        <w:rPr>
          <w:color w:val="000000" w:themeColor="text1"/>
          <w:lang w:val="fr-FR"/>
        </w:rPr>
        <w:t xml:space="preserve"> </w:t>
      </w:r>
      <w:proofErr w:type="spellStart"/>
      <w:r w:rsidRPr="00C56257">
        <w:rPr>
          <w:color w:val="000000" w:themeColor="text1"/>
          <w:lang w:val="fr-FR"/>
        </w:rPr>
        <w:t>asociată</w:t>
      </w:r>
      <w:proofErr w:type="spellEnd"/>
      <w:r w:rsidRPr="00C56257">
        <w:rPr>
          <w:color w:val="000000" w:themeColor="text1"/>
          <w:lang w:val="fr-FR"/>
        </w:rPr>
        <w:t xml:space="preserve"> a </w:t>
      </w:r>
      <w:proofErr w:type="spellStart"/>
      <w:r w:rsidRPr="00C56257">
        <w:rPr>
          <w:color w:val="000000" w:themeColor="text1"/>
          <w:lang w:val="fr-FR"/>
        </w:rPr>
        <w:t>acestora</w:t>
      </w:r>
      <w:proofErr w:type="spellEnd"/>
      <w:r w:rsidRPr="00C56257">
        <w:rPr>
          <w:color w:val="000000" w:themeColor="text1"/>
          <w:lang w:val="fr-FR"/>
        </w:rPr>
        <w:t xml:space="preserve"> </w:t>
      </w:r>
      <w:proofErr w:type="spellStart"/>
      <w:r w:rsidRPr="00C56257">
        <w:rPr>
          <w:color w:val="000000" w:themeColor="text1"/>
          <w:lang w:val="fr-FR"/>
        </w:rPr>
        <w:t>în</w:t>
      </w:r>
      <w:proofErr w:type="spellEnd"/>
      <w:r w:rsidRPr="00C56257">
        <w:rPr>
          <w:color w:val="000000" w:themeColor="text1"/>
          <w:lang w:val="fr-FR"/>
        </w:rPr>
        <w:t xml:space="preserve"> </w:t>
      </w:r>
      <w:proofErr w:type="spellStart"/>
      <w:r w:rsidRPr="00C56257">
        <w:rPr>
          <w:color w:val="000000" w:themeColor="text1"/>
          <w:lang w:val="fr-FR"/>
        </w:rPr>
        <w:t>spaţiul</w:t>
      </w:r>
      <w:proofErr w:type="spellEnd"/>
      <w:r w:rsidRPr="00C56257">
        <w:rPr>
          <w:color w:val="000000" w:themeColor="text1"/>
          <w:lang w:val="fr-FR"/>
        </w:rPr>
        <w:t xml:space="preserve"> </w:t>
      </w:r>
      <w:proofErr w:type="spellStart"/>
      <w:r w:rsidRPr="00C56257">
        <w:rPr>
          <w:color w:val="000000" w:themeColor="text1"/>
          <w:lang w:val="fr-FR"/>
        </w:rPr>
        <w:t>ţării</w:t>
      </w:r>
      <w:proofErr w:type="spellEnd"/>
      <w:r w:rsidRPr="00C56257">
        <w:rPr>
          <w:color w:val="000000" w:themeColor="text1"/>
          <w:lang w:val="fr-FR"/>
        </w:rPr>
        <w:t xml:space="preserve"> </w:t>
      </w:r>
      <w:proofErr w:type="spellStart"/>
      <w:r w:rsidRPr="00C56257">
        <w:rPr>
          <w:color w:val="000000" w:themeColor="text1"/>
          <w:lang w:val="fr-FR"/>
        </w:rPr>
        <w:t>noastre</w:t>
      </w:r>
      <w:proofErr w:type="spellEnd"/>
      <w:r w:rsidRPr="00C56257">
        <w:rPr>
          <w:color w:val="000000" w:themeColor="text1"/>
          <w:lang w:val="fr-FR"/>
        </w:rPr>
        <w:t xml:space="preserve">. De </w:t>
      </w:r>
      <w:proofErr w:type="spellStart"/>
      <w:r w:rsidRPr="00C56257">
        <w:rPr>
          <w:color w:val="000000" w:themeColor="text1"/>
          <w:lang w:val="fr-FR"/>
        </w:rPr>
        <w:t>asemenea</w:t>
      </w:r>
      <w:proofErr w:type="spellEnd"/>
      <w:r w:rsidRPr="00C56257">
        <w:rPr>
          <w:color w:val="000000" w:themeColor="text1"/>
          <w:lang w:val="fr-FR"/>
        </w:rPr>
        <w:t xml:space="preserve">, </w:t>
      </w:r>
      <w:proofErr w:type="spellStart"/>
      <w:r w:rsidRPr="00C56257">
        <w:rPr>
          <w:color w:val="000000" w:themeColor="text1"/>
          <w:lang w:val="fr-FR"/>
        </w:rPr>
        <w:t>informaţii</w:t>
      </w:r>
      <w:proofErr w:type="spellEnd"/>
      <w:r w:rsidRPr="00C56257">
        <w:rPr>
          <w:color w:val="000000" w:themeColor="text1"/>
          <w:lang w:val="fr-FR"/>
        </w:rPr>
        <w:t xml:space="preserve"> </w:t>
      </w:r>
      <w:proofErr w:type="spellStart"/>
      <w:r w:rsidRPr="00C56257">
        <w:rPr>
          <w:color w:val="000000" w:themeColor="text1"/>
          <w:lang w:val="fr-FR"/>
        </w:rPr>
        <w:t>foarte</w:t>
      </w:r>
      <w:proofErr w:type="spellEnd"/>
      <w:r w:rsidRPr="00C56257">
        <w:rPr>
          <w:color w:val="000000" w:themeColor="text1"/>
          <w:lang w:val="fr-FR"/>
        </w:rPr>
        <w:t xml:space="preserve"> </w:t>
      </w:r>
      <w:proofErr w:type="spellStart"/>
      <w:r w:rsidRPr="00C56257">
        <w:rPr>
          <w:color w:val="000000" w:themeColor="text1"/>
          <w:lang w:val="fr-FR"/>
        </w:rPr>
        <w:t>valoroase</w:t>
      </w:r>
      <w:proofErr w:type="spellEnd"/>
      <w:r w:rsidRPr="00C56257">
        <w:rPr>
          <w:color w:val="000000" w:themeColor="text1"/>
          <w:lang w:val="fr-FR"/>
        </w:rPr>
        <w:t xml:space="preserve"> </w:t>
      </w:r>
      <w:proofErr w:type="spellStart"/>
      <w:r w:rsidRPr="00C56257">
        <w:rPr>
          <w:color w:val="000000" w:themeColor="text1"/>
          <w:lang w:val="fr-FR"/>
        </w:rPr>
        <w:t>privind</w:t>
      </w:r>
      <w:proofErr w:type="spellEnd"/>
      <w:r w:rsidRPr="00C56257">
        <w:rPr>
          <w:color w:val="000000" w:themeColor="text1"/>
          <w:lang w:val="fr-FR"/>
        </w:rPr>
        <w:t xml:space="preserve"> </w:t>
      </w:r>
      <w:proofErr w:type="spellStart"/>
      <w:r w:rsidRPr="00C56257">
        <w:rPr>
          <w:color w:val="000000" w:themeColor="text1"/>
          <w:lang w:val="fr-FR"/>
        </w:rPr>
        <w:t>habitatele</w:t>
      </w:r>
      <w:proofErr w:type="spellEnd"/>
      <w:r w:rsidRPr="00C56257">
        <w:rPr>
          <w:color w:val="000000" w:themeColor="text1"/>
          <w:lang w:val="fr-FR"/>
        </w:rPr>
        <w:t xml:space="preserve"> de </w:t>
      </w:r>
      <w:proofErr w:type="spellStart"/>
      <w:r w:rsidRPr="00C56257">
        <w:rPr>
          <w:color w:val="000000" w:themeColor="text1"/>
          <w:lang w:val="fr-FR"/>
        </w:rPr>
        <w:t>interes</w:t>
      </w:r>
      <w:proofErr w:type="spellEnd"/>
      <w:r w:rsidRPr="00C56257">
        <w:rPr>
          <w:color w:val="000000" w:themeColor="text1"/>
          <w:lang w:val="fr-FR"/>
        </w:rPr>
        <w:t xml:space="preserve"> </w:t>
      </w:r>
      <w:proofErr w:type="spellStart"/>
      <w:r w:rsidRPr="00C56257">
        <w:rPr>
          <w:color w:val="000000" w:themeColor="text1"/>
          <w:lang w:val="fr-FR"/>
        </w:rPr>
        <w:t>comunitar</w:t>
      </w:r>
      <w:proofErr w:type="spellEnd"/>
      <w:r w:rsidRPr="00C56257">
        <w:rPr>
          <w:color w:val="000000" w:themeColor="text1"/>
          <w:lang w:val="fr-FR"/>
        </w:rPr>
        <w:t xml:space="preserve"> </w:t>
      </w:r>
      <w:proofErr w:type="spellStart"/>
      <w:r w:rsidRPr="00C56257">
        <w:rPr>
          <w:color w:val="000000" w:themeColor="text1"/>
          <w:lang w:val="fr-FR"/>
        </w:rPr>
        <w:t>din</w:t>
      </w:r>
      <w:proofErr w:type="spellEnd"/>
      <w:r w:rsidRPr="00C56257">
        <w:rPr>
          <w:color w:val="000000" w:themeColor="text1"/>
          <w:lang w:val="fr-FR"/>
        </w:rPr>
        <w:t xml:space="preserve"> </w:t>
      </w:r>
      <w:proofErr w:type="spellStart"/>
      <w:r w:rsidRPr="00C56257">
        <w:rPr>
          <w:color w:val="000000" w:themeColor="text1"/>
          <w:lang w:val="fr-FR"/>
        </w:rPr>
        <w:t>România</w:t>
      </w:r>
      <w:proofErr w:type="spellEnd"/>
      <w:r w:rsidRPr="00C56257">
        <w:rPr>
          <w:color w:val="000000" w:themeColor="text1"/>
          <w:lang w:val="fr-FR"/>
        </w:rPr>
        <w:t xml:space="preserve"> se </w:t>
      </w:r>
      <w:proofErr w:type="spellStart"/>
      <w:r w:rsidRPr="00C56257">
        <w:rPr>
          <w:color w:val="000000" w:themeColor="text1"/>
          <w:lang w:val="fr-FR"/>
        </w:rPr>
        <w:t>regăsesc</w:t>
      </w:r>
      <w:proofErr w:type="spellEnd"/>
      <w:r w:rsidRPr="00C56257">
        <w:rPr>
          <w:color w:val="000000" w:themeColor="text1"/>
          <w:lang w:val="fr-FR"/>
        </w:rPr>
        <w:t xml:space="preserve"> </w:t>
      </w:r>
      <w:proofErr w:type="spellStart"/>
      <w:r w:rsidRPr="00C56257">
        <w:rPr>
          <w:color w:val="000000" w:themeColor="text1"/>
          <w:lang w:val="fr-FR"/>
        </w:rPr>
        <w:t>în</w:t>
      </w:r>
      <w:proofErr w:type="spellEnd"/>
      <w:r w:rsidRPr="00C56257">
        <w:rPr>
          <w:color w:val="000000" w:themeColor="text1"/>
          <w:lang w:val="fr-FR"/>
        </w:rPr>
        <w:t xml:space="preserve"> </w:t>
      </w:r>
      <w:proofErr w:type="spellStart"/>
      <w:r w:rsidRPr="00C56257">
        <w:rPr>
          <w:color w:val="000000" w:themeColor="text1"/>
          <w:lang w:val="fr-FR"/>
        </w:rPr>
        <w:t>baza</w:t>
      </w:r>
      <w:proofErr w:type="spellEnd"/>
      <w:r w:rsidRPr="00C56257">
        <w:rPr>
          <w:color w:val="000000" w:themeColor="text1"/>
          <w:lang w:val="fr-FR"/>
        </w:rPr>
        <w:t xml:space="preserve"> de date Natura 2000 </w:t>
      </w:r>
      <w:proofErr w:type="spellStart"/>
      <w:r w:rsidRPr="00C56257">
        <w:rPr>
          <w:color w:val="000000" w:themeColor="text1"/>
          <w:lang w:val="fr-FR"/>
        </w:rPr>
        <w:t>elaborată</w:t>
      </w:r>
      <w:proofErr w:type="spellEnd"/>
      <w:r w:rsidRPr="00C56257">
        <w:rPr>
          <w:color w:val="000000" w:themeColor="text1"/>
          <w:lang w:val="fr-FR"/>
        </w:rPr>
        <w:t xml:space="preserve"> </w:t>
      </w:r>
      <w:proofErr w:type="spellStart"/>
      <w:r w:rsidRPr="00C56257">
        <w:rPr>
          <w:color w:val="000000" w:themeColor="text1"/>
          <w:lang w:val="fr-FR"/>
        </w:rPr>
        <w:t>în</w:t>
      </w:r>
      <w:proofErr w:type="spellEnd"/>
      <w:r w:rsidRPr="00C56257">
        <w:rPr>
          <w:color w:val="000000" w:themeColor="text1"/>
          <w:lang w:val="fr-FR"/>
        </w:rPr>
        <w:t xml:space="preserve"> </w:t>
      </w:r>
      <w:proofErr w:type="spellStart"/>
      <w:r w:rsidRPr="00C56257">
        <w:rPr>
          <w:color w:val="000000" w:themeColor="text1"/>
          <w:lang w:val="fr-FR"/>
        </w:rPr>
        <w:t>procesul</w:t>
      </w:r>
      <w:proofErr w:type="spellEnd"/>
      <w:r w:rsidRPr="00C56257">
        <w:rPr>
          <w:color w:val="000000" w:themeColor="text1"/>
          <w:lang w:val="fr-FR"/>
        </w:rPr>
        <w:t xml:space="preserve"> de </w:t>
      </w:r>
      <w:proofErr w:type="spellStart"/>
      <w:r w:rsidRPr="00C56257">
        <w:rPr>
          <w:color w:val="000000" w:themeColor="text1"/>
          <w:lang w:val="fr-FR"/>
        </w:rPr>
        <w:t>implementare</w:t>
      </w:r>
      <w:proofErr w:type="spellEnd"/>
      <w:r w:rsidRPr="00C56257">
        <w:rPr>
          <w:color w:val="000000" w:themeColor="text1"/>
          <w:lang w:val="fr-FR"/>
        </w:rPr>
        <w:t xml:space="preserve"> al </w:t>
      </w:r>
      <w:proofErr w:type="spellStart"/>
      <w:r w:rsidRPr="00C56257">
        <w:rPr>
          <w:color w:val="000000" w:themeColor="text1"/>
          <w:lang w:val="fr-FR"/>
        </w:rPr>
        <w:t>reţelei</w:t>
      </w:r>
      <w:proofErr w:type="spellEnd"/>
      <w:r w:rsidRPr="00C56257">
        <w:rPr>
          <w:color w:val="000000" w:themeColor="text1"/>
          <w:lang w:val="fr-FR"/>
        </w:rPr>
        <w:t xml:space="preserve"> </w:t>
      </w:r>
      <w:proofErr w:type="spellStart"/>
      <w:r w:rsidRPr="00C56257">
        <w:rPr>
          <w:color w:val="000000" w:themeColor="text1"/>
          <w:lang w:val="fr-FR"/>
        </w:rPr>
        <w:t>în</w:t>
      </w:r>
      <w:proofErr w:type="spellEnd"/>
      <w:r w:rsidRPr="00C56257">
        <w:rPr>
          <w:color w:val="000000" w:themeColor="text1"/>
          <w:lang w:val="fr-FR"/>
        </w:rPr>
        <w:t xml:space="preserve"> </w:t>
      </w:r>
      <w:proofErr w:type="spellStart"/>
      <w:r w:rsidRPr="00C56257">
        <w:rPr>
          <w:color w:val="000000" w:themeColor="text1"/>
          <w:lang w:val="fr-FR"/>
        </w:rPr>
        <w:t>ţara</w:t>
      </w:r>
      <w:proofErr w:type="spellEnd"/>
      <w:r w:rsidRPr="00C56257">
        <w:rPr>
          <w:color w:val="000000" w:themeColor="text1"/>
          <w:lang w:val="fr-FR"/>
        </w:rPr>
        <w:t xml:space="preserve"> </w:t>
      </w:r>
      <w:proofErr w:type="spellStart"/>
      <w:r w:rsidRPr="00C56257">
        <w:rPr>
          <w:color w:val="000000" w:themeColor="text1"/>
          <w:lang w:val="fr-FR"/>
        </w:rPr>
        <w:t>noastră</w:t>
      </w:r>
      <w:proofErr w:type="spellEnd"/>
      <w:r w:rsidRPr="00C56257">
        <w:rPr>
          <w:color w:val="000000" w:themeColor="text1"/>
          <w:lang w:val="fr-FR"/>
        </w:rPr>
        <w:t>.</w:t>
      </w:r>
    </w:p>
    <w:p w14:paraId="19E5C715" w14:textId="77777777" w:rsidR="002D3CA7" w:rsidRPr="00C56257" w:rsidRDefault="002D3CA7" w:rsidP="008E33FD">
      <w:pPr>
        <w:widowControl w:val="0"/>
        <w:autoSpaceDE w:val="0"/>
        <w:autoSpaceDN w:val="0"/>
        <w:adjustRightInd w:val="0"/>
        <w:spacing w:line="276" w:lineRule="auto"/>
        <w:ind w:firstLine="709"/>
        <w:jc w:val="both"/>
        <w:rPr>
          <w:color w:val="000000" w:themeColor="text1"/>
          <w:lang w:val="fr-FR"/>
        </w:rPr>
      </w:pPr>
      <w:proofErr w:type="spellStart"/>
      <w:r w:rsidRPr="00C56257">
        <w:rPr>
          <w:color w:val="000000" w:themeColor="text1"/>
          <w:lang w:val="fr-FR"/>
        </w:rPr>
        <w:t>Pentru</w:t>
      </w:r>
      <w:proofErr w:type="spellEnd"/>
      <w:r w:rsidRPr="00C56257">
        <w:rPr>
          <w:color w:val="000000" w:themeColor="text1"/>
          <w:lang w:val="fr-FR"/>
        </w:rPr>
        <w:t xml:space="preserve"> </w:t>
      </w:r>
      <w:proofErr w:type="spellStart"/>
      <w:r w:rsidRPr="00C56257">
        <w:rPr>
          <w:color w:val="000000" w:themeColor="text1"/>
          <w:lang w:val="fr-FR"/>
        </w:rPr>
        <w:t>evaluarea</w:t>
      </w:r>
      <w:proofErr w:type="spellEnd"/>
      <w:r w:rsidRPr="00C56257">
        <w:rPr>
          <w:color w:val="000000" w:themeColor="text1"/>
          <w:lang w:val="fr-FR"/>
        </w:rPr>
        <w:t xml:space="preserve"> </w:t>
      </w:r>
      <w:proofErr w:type="spellStart"/>
      <w:r w:rsidRPr="00C56257">
        <w:rPr>
          <w:color w:val="000000" w:themeColor="text1"/>
          <w:lang w:val="fr-FR"/>
        </w:rPr>
        <w:t>și</w:t>
      </w:r>
      <w:proofErr w:type="spellEnd"/>
      <w:r w:rsidRPr="00C56257">
        <w:rPr>
          <w:color w:val="000000" w:themeColor="text1"/>
          <w:lang w:val="fr-FR"/>
        </w:rPr>
        <w:t xml:space="preserve"> </w:t>
      </w:r>
      <w:proofErr w:type="spellStart"/>
      <w:r w:rsidRPr="00C56257">
        <w:rPr>
          <w:color w:val="000000" w:themeColor="text1"/>
          <w:lang w:val="fr-FR"/>
        </w:rPr>
        <w:t>monitorizare</w:t>
      </w:r>
      <w:proofErr w:type="spellEnd"/>
      <w:r w:rsidRPr="00C56257">
        <w:rPr>
          <w:color w:val="000000" w:themeColor="text1"/>
          <w:lang w:val="fr-FR"/>
        </w:rPr>
        <w:t xml:space="preserve"> a </w:t>
      </w:r>
      <w:proofErr w:type="spellStart"/>
      <w:r w:rsidRPr="00C56257">
        <w:rPr>
          <w:color w:val="000000" w:themeColor="text1"/>
          <w:lang w:val="fr-FR"/>
        </w:rPr>
        <w:t>habitatelor</w:t>
      </w:r>
      <w:proofErr w:type="spellEnd"/>
      <w:r w:rsidRPr="00C56257">
        <w:rPr>
          <w:color w:val="000000" w:themeColor="text1"/>
          <w:lang w:val="fr-FR"/>
        </w:rPr>
        <w:t xml:space="preserve"> de </w:t>
      </w:r>
      <w:proofErr w:type="spellStart"/>
      <w:r w:rsidRPr="00C56257">
        <w:rPr>
          <w:color w:val="000000" w:themeColor="text1"/>
          <w:lang w:val="fr-FR"/>
        </w:rPr>
        <w:t>tufărișuri</w:t>
      </w:r>
      <w:proofErr w:type="spellEnd"/>
      <w:r w:rsidRPr="00C56257">
        <w:rPr>
          <w:color w:val="000000" w:themeColor="text1"/>
          <w:lang w:val="fr-FR"/>
        </w:rPr>
        <w:t xml:space="preserve"> de </w:t>
      </w:r>
      <w:proofErr w:type="spellStart"/>
      <w:r w:rsidRPr="00C56257">
        <w:rPr>
          <w:color w:val="000000" w:themeColor="text1"/>
          <w:lang w:val="fr-FR"/>
        </w:rPr>
        <w:t>interes</w:t>
      </w:r>
      <w:proofErr w:type="spellEnd"/>
      <w:r w:rsidRPr="00C56257">
        <w:rPr>
          <w:color w:val="000000" w:themeColor="text1"/>
          <w:lang w:val="fr-FR"/>
        </w:rPr>
        <w:t xml:space="preserve"> </w:t>
      </w:r>
      <w:proofErr w:type="spellStart"/>
      <w:r w:rsidRPr="00C56257">
        <w:rPr>
          <w:color w:val="000000" w:themeColor="text1"/>
          <w:lang w:val="fr-FR"/>
        </w:rPr>
        <w:t>comunitar</w:t>
      </w:r>
      <w:proofErr w:type="spellEnd"/>
      <w:r w:rsidRPr="00C56257">
        <w:rPr>
          <w:color w:val="000000" w:themeColor="text1"/>
          <w:lang w:val="fr-FR"/>
        </w:rPr>
        <w:t xml:space="preserve">, </w:t>
      </w:r>
      <w:proofErr w:type="spellStart"/>
      <w:r w:rsidRPr="00C56257">
        <w:rPr>
          <w:color w:val="000000" w:themeColor="text1"/>
          <w:lang w:val="fr-FR"/>
        </w:rPr>
        <w:t>din</w:t>
      </w:r>
      <w:proofErr w:type="spellEnd"/>
      <w:r w:rsidRPr="00C56257">
        <w:rPr>
          <w:color w:val="000000" w:themeColor="text1"/>
          <w:lang w:val="fr-FR"/>
        </w:rPr>
        <w:t xml:space="preserve"> </w:t>
      </w:r>
      <w:proofErr w:type="spellStart"/>
      <w:r w:rsidRPr="00C56257">
        <w:rPr>
          <w:color w:val="000000" w:themeColor="text1"/>
          <w:lang w:val="fr-FR"/>
        </w:rPr>
        <w:t>fiecare</w:t>
      </w:r>
      <w:proofErr w:type="spellEnd"/>
      <w:r w:rsidRPr="00C56257">
        <w:rPr>
          <w:color w:val="000000" w:themeColor="text1"/>
          <w:lang w:val="fr-FR"/>
        </w:rPr>
        <w:t xml:space="preserve"> </w:t>
      </w:r>
      <w:proofErr w:type="spellStart"/>
      <w:r w:rsidRPr="00C56257">
        <w:rPr>
          <w:color w:val="000000" w:themeColor="text1"/>
          <w:lang w:val="fr-FR"/>
        </w:rPr>
        <w:t>suprafață</w:t>
      </w:r>
      <w:proofErr w:type="spellEnd"/>
      <w:r w:rsidRPr="00C56257">
        <w:rPr>
          <w:color w:val="000000" w:themeColor="text1"/>
          <w:lang w:val="fr-FR"/>
        </w:rPr>
        <w:t xml:space="preserve"> de </w:t>
      </w:r>
      <w:proofErr w:type="spellStart"/>
      <w:r w:rsidRPr="00C56257">
        <w:rPr>
          <w:color w:val="000000" w:themeColor="text1"/>
          <w:lang w:val="fr-FR"/>
        </w:rPr>
        <w:t>monitorizare</w:t>
      </w:r>
      <w:proofErr w:type="spellEnd"/>
      <w:r w:rsidRPr="00C56257">
        <w:rPr>
          <w:color w:val="000000" w:themeColor="text1"/>
          <w:lang w:val="fr-FR"/>
        </w:rPr>
        <w:t xml:space="preserve"> se </w:t>
      </w:r>
      <w:proofErr w:type="spellStart"/>
      <w:r w:rsidRPr="00C56257">
        <w:rPr>
          <w:color w:val="000000" w:themeColor="text1"/>
          <w:lang w:val="fr-FR"/>
        </w:rPr>
        <w:t>colectează</w:t>
      </w:r>
      <w:proofErr w:type="spellEnd"/>
      <w:r w:rsidRPr="00C56257">
        <w:rPr>
          <w:color w:val="000000" w:themeColor="text1"/>
          <w:lang w:val="fr-FR"/>
        </w:rPr>
        <w:t xml:space="preserve"> </w:t>
      </w:r>
      <w:proofErr w:type="spellStart"/>
      <w:r w:rsidRPr="00C56257">
        <w:rPr>
          <w:color w:val="000000" w:themeColor="text1"/>
          <w:lang w:val="fr-FR"/>
        </w:rPr>
        <w:t>următoarele</w:t>
      </w:r>
      <w:proofErr w:type="spellEnd"/>
      <w:r w:rsidRPr="00C56257">
        <w:rPr>
          <w:color w:val="000000" w:themeColor="text1"/>
          <w:lang w:val="fr-FR"/>
        </w:rPr>
        <w:t xml:space="preserve"> </w:t>
      </w:r>
      <w:proofErr w:type="spellStart"/>
      <w:r w:rsidRPr="00C56257">
        <w:rPr>
          <w:color w:val="000000" w:themeColor="text1"/>
          <w:lang w:val="fr-FR"/>
        </w:rPr>
        <w:t>tipuri</w:t>
      </w:r>
      <w:proofErr w:type="spellEnd"/>
      <w:r w:rsidRPr="00C56257">
        <w:rPr>
          <w:color w:val="000000" w:themeColor="text1"/>
          <w:lang w:val="fr-FR"/>
        </w:rPr>
        <w:t xml:space="preserve"> de date:</w:t>
      </w:r>
    </w:p>
    <w:p w14:paraId="1F13295A" w14:textId="77777777" w:rsidR="002D3CA7" w:rsidRPr="00C56257" w:rsidRDefault="002D3CA7" w:rsidP="008E33FD">
      <w:pPr>
        <w:widowControl w:val="0"/>
        <w:autoSpaceDE w:val="0"/>
        <w:autoSpaceDN w:val="0"/>
        <w:adjustRightInd w:val="0"/>
        <w:spacing w:line="276" w:lineRule="auto"/>
        <w:ind w:firstLine="709"/>
        <w:jc w:val="both"/>
        <w:rPr>
          <w:color w:val="000000" w:themeColor="text1"/>
          <w:lang w:val="fr-FR"/>
        </w:rPr>
      </w:pPr>
      <w:r w:rsidRPr="00C56257">
        <w:rPr>
          <w:color w:val="000000" w:themeColor="text1"/>
          <w:lang w:val="fr-FR"/>
        </w:rPr>
        <w:t>•</w:t>
      </w:r>
      <w:r w:rsidRPr="00C56257">
        <w:rPr>
          <w:color w:val="000000" w:themeColor="text1"/>
          <w:lang w:val="fr-FR"/>
        </w:rPr>
        <w:tab/>
        <w:t xml:space="preserve">Date </w:t>
      </w:r>
      <w:proofErr w:type="spellStart"/>
      <w:r w:rsidRPr="00C56257">
        <w:rPr>
          <w:color w:val="000000" w:themeColor="text1"/>
          <w:lang w:val="fr-FR"/>
        </w:rPr>
        <w:t>privind</w:t>
      </w:r>
      <w:proofErr w:type="spellEnd"/>
      <w:r w:rsidRPr="00C56257">
        <w:rPr>
          <w:color w:val="000000" w:themeColor="text1"/>
          <w:lang w:val="fr-FR"/>
        </w:rPr>
        <w:t xml:space="preserve"> </w:t>
      </w:r>
      <w:proofErr w:type="spellStart"/>
      <w:r w:rsidRPr="00C56257">
        <w:rPr>
          <w:color w:val="000000" w:themeColor="text1"/>
          <w:lang w:val="fr-FR"/>
        </w:rPr>
        <w:t>cadrul</w:t>
      </w:r>
      <w:proofErr w:type="spellEnd"/>
      <w:r w:rsidRPr="00C56257">
        <w:rPr>
          <w:color w:val="000000" w:themeColor="text1"/>
          <w:lang w:val="fr-FR"/>
        </w:rPr>
        <w:t xml:space="preserve"> </w:t>
      </w:r>
      <w:proofErr w:type="spellStart"/>
      <w:r w:rsidRPr="00C56257">
        <w:rPr>
          <w:color w:val="000000" w:themeColor="text1"/>
          <w:lang w:val="fr-FR"/>
        </w:rPr>
        <w:t>fizico-geografic</w:t>
      </w:r>
      <w:proofErr w:type="spellEnd"/>
      <w:r w:rsidRPr="00C56257">
        <w:rPr>
          <w:color w:val="000000" w:themeColor="text1"/>
          <w:lang w:val="fr-FR"/>
        </w:rPr>
        <w:t>/</w:t>
      </w:r>
      <w:proofErr w:type="spellStart"/>
      <w:r w:rsidRPr="00C56257">
        <w:rPr>
          <w:color w:val="000000" w:themeColor="text1"/>
          <w:lang w:val="fr-FR"/>
        </w:rPr>
        <w:t>stațiunea</w:t>
      </w:r>
      <w:proofErr w:type="spellEnd"/>
      <w:r w:rsidRPr="00C56257">
        <w:rPr>
          <w:color w:val="000000" w:themeColor="text1"/>
          <w:lang w:val="fr-FR"/>
        </w:rPr>
        <w:t>/</w:t>
      </w:r>
      <w:proofErr w:type="spellStart"/>
      <w:r w:rsidRPr="00C56257">
        <w:rPr>
          <w:color w:val="000000" w:themeColor="text1"/>
          <w:lang w:val="fr-FR"/>
        </w:rPr>
        <w:t>biotopul</w:t>
      </w:r>
      <w:proofErr w:type="spellEnd"/>
      <w:r w:rsidRPr="00C56257">
        <w:rPr>
          <w:color w:val="000000" w:themeColor="text1"/>
          <w:lang w:val="fr-FR"/>
        </w:rPr>
        <w:t xml:space="preserve">: </w:t>
      </w:r>
      <w:proofErr w:type="spellStart"/>
      <w:r w:rsidRPr="00C56257">
        <w:rPr>
          <w:color w:val="000000" w:themeColor="text1"/>
          <w:lang w:val="fr-FR"/>
        </w:rPr>
        <w:t>roca</w:t>
      </w:r>
      <w:proofErr w:type="spellEnd"/>
      <w:r w:rsidRPr="00C56257">
        <w:rPr>
          <w:color w:val="000000" w:themeColor="text1"/>
          <w:lang w:val="fr-FR"/>
        </w:rPr>
        <w:t>/</w:t>
      </w:r>
      <w:proofErr w:type="spellStart"/>
      <w:r w:rsidRPr="00C56257">
        <w:rPr>
          <w:color w:val="000000" w:themeColor="text1"/>
          <w:lang w:val="fr-FR"/>
        </w:rPr>
        <w:t>substratul</w:t>
      </w:r>
      <w:proofErr w:type="spellEnd"/>
      <w:r w:rsidRPr="00C56257">
        <w:rPr>
          <w:color w:val="000000" w:themeColor="text1"/>
          <w:lang w:val="fr-FR"/>
        </w:rPr>
        <w:t xml:space="preserve"> </w:t>
      </w:r>
      <w:proofErr w:type="spellStart"/>
      <w:r w:rsidRPr="00C56257">
        <w:rPr>
          <w:color w:val="000000" w:themeColor="text1"/>
          <w:lang w:val="fr-FR"/>
        </w:rPr>
        <w:t>litologic</w:t>
      </w:r>
      <w:proofErr w:type="spellEnd"/>
      <w:r w:rsidRPr="00C56257">
        <w:rPr>
          <w:color w:val="000000" w:themeColor="text1"/>
          <w:lang w:val="fr-FR"/>
        </w:rPr>
        <w:t xml:space="preserve">, % de </w:t>
      </w:r>
      <w:proofErr w:type="spellStart"/>
      <w:r w:rsidRPr="00C56257">
        <w:rPr>
          <w:color w:val="000000" w:themeColor="text1"/>
          <w:lang w:val="fr-FR"/>
        </w:rPr>
        <w:t>rocă</w:t>
      </w:r>
      <w:proofErr w:type="spellEnd"/>
      <w:r w:rsidRPr="00C56257">
        <w:rPr>
          <w:color w:val="000000" w:themeColor="text1"/>
          <w:lang w:val="fr-FR"/>
        </w:rPr>
        <w:t xml:space="preserve"> la </w:t>
      </w:r>
      <w:proofErr w:type="spellStart"/>
      <w:r w:rsidRPr="00C56257">
        <w:rPr>
          <w:color w:val="000000" w:themeColor="text1"/>
          <w:lang w:val="fr-FR"/>
        </w:rPr>
        <w:t>suprafață</w:t>
      </w:r>
      <w:proofErr w:type="spellEnd"/>
      <w:r w:rsidRPr="00C56257">
        <w:rPr>
          <w:color w:val="000000" w:themeColor="text1"/>
          <w:lang w:val="fr-FR"/>
        </w:rPr>
        <w:t xml:space="preserve">, forma de relief, </w:t>
      </w:r>
      <w:proofErr w:type="spellStart"/>
      <w:r w:rsidRPr="00C56257">
        <w:rPr>
          <w:color w:val="000000" w:themeColor="text1"/>
          <w:lang w:val="fr-FR"/>
        </w:rPr>
        <w:t>clasa</w:t>
      </w:r>
      <w:proofErr w:type="spellEnd"/>
      <w:r w:rsidRPr="00C56257">
        <w:rPr>
          <w:color w:val="000000" w:themeColor="text1"/>
          <w:lang w:val="fr-FR"/>
        </w:rPr>
        <w:t xml:space="preserve"> de sol, </w:t>
      </w:r>
      <w:proofErr w:type="spellStart"/>
      <w:r w:rsidRPr="00C56257">
        <w:rPr>
          <w:color w:val="000000" w:themeColor="text1"/>
          <w:lang w:val="fr-FR"/>
        </w:rPr>
        <w:t>tipul</w:t>
      </w:r>
      <w:proofErr w:type="spellEnd"/>
      <w:r w:rsidRPr="00C56257">
        <w:rPr>
          <w:color w:val="000000" w:themeColor="text1"/>
          <w:lang w:val="fr-FR"/>
        </w:rPr>
        <w:t xml:space="preserve"> de humus, </w:t>
      </w:r>
      <w:proofErr w:type="spellStart"/>
      <w:r w:rsidRPr="00C56257">
        <w:rPr>
          <w:color w:val="000000" w:themeColor="text1"/>
          <w:lang w:val="fr-FR"/>
        </w:rPr>
        <w:t>tipul</w:t>
      </w:r>
      <w:proofErr w:type="spellEnd"/>
      <w:r w:rsidRPr="00C56257">
        <w:rPr>
          <w:color w:val="000000" w:themeColor="text1"/>
          <w:lang w:val="fr-FR"/>
        </w:rPr>
        <w:t xml:space="preserve"> de </w:t>
      </w:r>
      <w:proofErr w:type="spellStart"/>
      <w:r w:rsidRPr="00C56257">
        <w:rPr>
          <w:color w:val="000000" w:themeColor="text1"/>
          <w:lang w:val="fr-FR"/>
        </w:rPr>
        <w:t>drenaj</w:t>
      </w:r>
      <w:proofErr w:type="spellEnd"/>
      <w:r w:rsidRPr="00C56257">
        <w:rPr>
          <w:color w:val="000000" w:themeColor="text1"/>
          <w:lang w:val="fr-FR"/>
        </w:rPr>
        <w:t xml:space="preserve"> </w:t>
      </w:r>
      <w:proofErr w:type="spellStart"/>
      <w:r w:rsidRPr="00C56257">
        <w:rPr>
          <w:color w:val="000000" w:themeColor="text1"/>
          <w:lang w:val="fr-FR"/>
        </w:rPr>
        <w:t>și</w:t>
      </w:r>
      <w:proofErr w:type="spellEnd"/>
      <w:r w:rsidRPr="00C56257">
        <w:rPr>
          <w:color w:val="000000" w:themeColor="text1"/>
          <w:lang w:val="fr-FR"/>
        </w:rPr>
        <w:t xml:space="preserve"> </w:t>
      </w:r>
      <w:proofErr w:type="spellStart"/>
      <w:r w:rsidRPr="00C56257">
        <w:rPr>
          <w:color w:val="000000" w:themeColor="text1"/>
          <w:lang w:val="fr-FR"/>
        </w:rPr>
        <w:t>submersibilitatea</w:t>
      </w:r>
      <w:proofErr w:type="spellEnd"/>
      <w:r w:rsidRPr="00C56257">
        <w:rPr>
          <w:color w:val="000000" w:themeColor="text1"/>
          <w:lang w:val="fr-FR"/>
        </w:rPr>
        <w:t>;</w:t>
      </w:r>
    </w:p>
    <w:p w14:paraId="3D26286E" w14:textId="77777777" w:rsidR="002D3CA7" w:rsidRPr="00C56257" w:rsidRDefault="002D3CA7" w:rsidP="008E33FD">
      <w:pPr>
        <w:widowControl w:val="0"/>
        <w:autoSpaceDE w:val="0"/>
        <w:autoSpaceDN w:val="0"/>
        <w:adjustRightInd w:val="0"/>
        <w:spacing w:line="276" w:lineRule="auto"/>
        <w:ind w:firstLine="709"/>
        <w:jc w:val="both"/>
        <w:rPr>
          <w:color w:val="000000" w:themeColor="text1"/>
          <w:lang w:val="en-US"/>
        </w:rPr>
      </w:pPr>
      <w:r w:rsidRPr="00C56257">
        <w:rPr>
          <w:color w:val="000000" w:themeColor="text1"/>
          <w:lang w:val="en-US"/>
        </w:rPr>
        <w:t>•</w:t>
      </w:r>
      <w:r w:rsidRPr="00C56257">
        <w:rPr>
          <w:color w:val="000000" w:themeColor="text1"/>
          <w:lang w:val="en-US"/>
        </w:rPr>
        <w:tab/>
        <w:t xml:space="preserve">Date </w:t>
      </w:r>
      <w:proofErr w:type="spellStart"/>
      <w:r w:rsidRPr="00C56257">
        <w:rPr>
          <w:color w:val="000000" w:themeColor="text1"/>
          <w:lang w:val="en-US"/>
        </w:rPr>
        <w:t>privind</w:t>
      </w:r>
      <w:proofErr w:type="spellEnd"/>
      <w:r w:rsidRPr="00C56257">
        <w:rPr>
          <w:color w:val="000000" w:themeColor="text1"/>
          <w:lang w:val="en-US"/>
        </w:rPr>
        <w:t xml:space="preserve"> </w:t>
      </w:r>
      <w:proofErr w:type="spellStart"/>
      <w:r w:rsidRPr="00C56257">
        <w:rPr>
          <w:color w:val="000000" w:themeColor="text1"/>
          <w:lang w:val="en-US"/>
        </w:rPr>
        <w:t>vegetația</w:t>
      </w:r>
      <w:proofErr w:type="spellEnd"/>
      <w:r w:rsidRPr="00C56257">
        <w:rPr>
          <w:color w:val="000000" w:themeColor="text1"/>
          <w:lang w:val="en-US"/>
        </w:rPr>
        <w:t xml:space="preserve">: </w:t>
      </w:r>
      <w:proofErr w:type="spellStart"/>
      <w:r w:rsidRPr="00C56257">
        <w:rPr>
          <w:color w:val="000000" w:themeColor="text1"/>
          <w:lang w:val="en-US"/>
        </w:rPr>
        <w:t>asociația</w:t>
      </w:r>
      <w:proofErr w:type="spellEnd"/>
      <w:r w:rsidRPr="00C56257">
        <w:rPr>
          <w:color w:val="000000" w:themeColor="text1"/>
          <w:lang w:val="en-US"/>
        </w:rPr>
        <w:t xml:space="preserve"> </w:t>
      </w:r>
      <w:proofErr w:type="spellStart"/>
      <w:r w:rsidRPr="00C56257">
        <w:rPr>
          <w:color w:val="000000" w:themeColor="text1"/>
          <w:lang w:val="en-US"/>
        </w:rPr>
        <w:t>vegetală</w:t>
      </w:r>
      <w:proofErr w:type="spellEnd"/>
      <w:r w:rsidRPr="00C56257">
        <w:rPr>
          <w:color w:val="000000" w:themeColor="text1"/>
          <w:lang w:val="en-US"/>
        </w:rPr>
        <w:t>;</w:t>
      </w:r>
    </w:p>
    <w:p w14:paraId="7BE9C96B" w14:textId="77777777" w:rsidR="002D3CA7" w:rsidRPr="00C56257" w:rsidRDefault="002D3CA7" w:rsidP="008E33FD">
      <w:pPr>
        <w:widowControl w:val="0"/>
        <w:autoSpaceDE w:val="0"/>
        <w:autoSpaceDN w:val="0"/>
        <w:adjustRightInd w:val="0"/>
        <w:spacing w:line="276" w:lineRule="auto"/>
        <w:ind w:firstLine="709"/>
        <w:jc w:val="both"/>
        <w:rPr>
          <w:color w:val="000000" w:themeColor="text1"/>
          <w:lang w:val="en-US"/>
        </w:rPr>
      </w:pPr>
      <w:r w:rsidRPr="00C56257">
        <w:rPr>
          <w:color w:val="000000" w:themeColor="text1"/>
          <w:lang w:val="en-US"/>
        </w:rPr>
        <w:t>•</w:t>
      </w:r>
      <w:r w:rsidRPr="00C56257">
        <w:rPr>
          <w:color w:val="000000" w:themeColor="text1"/>
          <w:lang w:val="en-US"/>
        </w:rPr>
        <w:tab/>
        <w:t xml:space="preserve">Date </w:t>
      </w:r>
      <w:proofErr w:type="spellStart"/>
      <w:r w:rsidRPr="00C56257">
        <w:rPr>
          <w:color w:val="000000" w:themeColor="text1"/>
          <w:lang w:val="en-US"/>
        </w:rPr>
        <w:t>privind</w:t>
      </w:r>
      <w:proofErr w:type="spellEnd"/>
      <w:r w:rsidRPr="00C56257">
        <w:rPr>
          <w:color w:val="000000" w:themeColor="text1"/>
          <w:lang w:val="en-US"/>
        </w:rPr>
        <w:t xml:space="preserve"> </w:t>
      </w:r>
      <w:proofErr w:type="spellStart"/>
      <w:r w:rsidRPr="00C56257">
        <w:rPr>
          <w:color w:val="000000" w:themeColor="text1"/>
          <w:lang w:val="en-US"/>
        </w:rPr>
        <w:t>stratul</w:t>
      </w:r>
      <w:proofErr w:type="spellEnd"/>
      <w:r w:rsidRPr="00C56257">
        <w:rPr>
          <w:color w:val="000000" w:themeColor="text1"/>
          <w:lang w:val="en-US"/>
        </w:rPr>
        <w:t xml:space="preserve"> </w:t>
      </w:r>
      <w:proofErr w:type="spellStart"/>
      <w:r w:rsidRPr="00C56257">
        <w:rPr>
          <w:color w:val="000000" w:themeColor="text1"/>
          <w:lang w:val="en-US"/>
        </w:rPr>
        <w:t>arbustiv</w:t>
      </w:r>
      <w:proofErr w:type="spellEnd"/>
      <w:r w:rsidRPr="00C56257">
        <w:rPr>
          <w:color w:val="000000" w:themeColor="text1"/>
          <w:lang w:val="en-US"/>
        </w:rPr>
        <w:t xml:space="preserve">: </w:t>
      </w:r>
      <w:proofErr w:type="spellStart"/>
      <w:r w:rsidRPr="00C56257">
        <w:rPr>
          <w:color w:val="000000" w:themeColor="text1"/>
          <w:lang w:val="en-US"/>
        </w:rPr>
        <w:t>specii</w:t>
      </w:r>
      <w:proofErr w:type="spellEnd"/>
      <w:r w:rsidRPr="00C56257">
        <w:rPr>
          <w:color w:val="000000" w:themeColor="text1"/>
          <w:lang w:val="en-US"/>
        </w:rPr>
        <w:t xml:space="preserve"> </w:t>
      </w:r>
      <w:proofErr w:type="spellStart"/>
      <w:r w:rsidRPr="00C56257">
        <w:rPr>
          <w:color w:val="000000" w:themeColor="text1"/>
          <w:lang w:val="en-US"/>
        </w:rPr>
        <w:t>edificatoare</w:t>
      </w:r>
      <w:proofErr w:type="spellEnd"/>
      <w:r w:rsidRPr="00C56257">
        <w:rPr>
          <w:color w:val="000000" w:themeColor="text1"/>
          <w:lang w:val="en-US"/>
        </w:rPr>
        <w:t xml:space="preserve">, </w:t>
      </w:r>
      <w:proofErr w:type="spellStart"/>
      <w:r w:rsidRPr="00C56257">
        <w:rPr>
          <w:color w:val="000000" w:themeColor="text1"/>
          <w:lang w:val="en-US"/>
        </w:rPr>
        <w:t>gradul</w:t>
      </w:r>
      <w:proofErr w:type="spellEnd"/>
      <w:r w:rsidRPr="00C56257">
        <w:rPr>
          <w:color w:val="000000" w:themeColor="text1"/>
          <w:lang w:val="en-US"/>
        </w:rPr>
        <w:t xml:space="preserve"> de </w:t>
      </w:r>
      <w:proofErr w:type="spellStart"/>
      <w:r w:rsidRPr="00C56257">
        <w:rPr>
          <w:color w:val="000000" w:themeColor="text1"/>
          <w:lang w:val="en-US"/>
        </w:rPr>
        <w:t>acoperire</w:t>
      </w:r>
      <w:proofErr w:type="spellEnd"/>
      <w:r w:rsidRPr="00C56257">
        <w:rPr>
          <w:color w:val="000000" w:themeColor="text1"/>
          <w:lang w:val="en-US"/>
        </w:rPr>
        <w:t xml:space="preserve"> cu </w:t>
      </w:r>
      <w:proofErr w:type="spellStart"/>
      <w:r w:rsidRPr="00C56257">
        <w:rPr>
          <w:color w:val="000000" w:themeColor="text1"/>
          <w:lang w:val="en-US"/>
        </w:rPr>
        <w:t>specii</w:t>
      </w:r>
      <w:proofErr w:type="spellEnd"/>
      <w:r w:rsidRPr="00C56257">
        <w:rPr>
          <w:color w:val="000000" w:themeColor="text1"/>
          <w:lang w:val="en-US"/>
        </w:rPr>
        <w:t xml:space="preserve"> </w:t>
      </w:r>
      <w:proofErr w:type="spellStart"/>
      <w:r w:rsidRPr="00C56257">
        <w:rPr>
          <w:color w:val="000000" w:themeColor="text1"/>
          <w:lang w:val="en-US"/>
        </w:rPr>
        <w:t>arbustive</w:t>
      </w:r>
      <w:proofErr w:type="spellEnd"/>
      <w:r w:rsidRPr="00C56257">
        <w:rPr>
          <w:color w:val="000000" w:themeColor="text1"/>
          <w:lang w:val="en-US"/>
        </w:rPr>
        <w:t>;</w:t>
      </w:r>
    </w:p>
    <w:p w14:paraId="52E0F652" w14:textId="77777777" w:rsidR="002D3CA7" w:rsidRPr="00C56257" w:rsidRDefault="002D3CA7" w:rsidP="008E33FD">
      <w:pPr>
        <w:widowControl w:val="0"/>
        <w:autoSpaceDE w:val="0"/>
        <w:autoSpaceDN w:val="0"/>
        <w:adjustRightInd w:val="0"/>
        <w:spacing w:line="276" w:lineRule="auto"/>
        <w:ind w:firstLine="709"/>
        <w:jc w:val="both"/>
        <w:rPr>
          <w:color w:val="000000" w:themeColor="text1"/>
          <w:lang w:val="en-US"/>
        </w:rPr>
      </w:pPr>
      <w:r w:rsidRPr="00C56257">
        <w:rPr>
          <w:color w:val="000000" w:themeColor="text1"/>
          <w:lang w:val="en-US"/>
        </w:rPr>
        <w:t>•</w:t>
      </w:r>
      <w:r w:rsidRPr="00C56257">
        <w:rPr>
          <w:color w:val="000000" w:themeColor="text1"/>
          <w:lang w:val="en-US"/>
        </w:rPr>
        <w:tab/>
        <w:t xml:space="preserve">Date </w:t>
      </w:r>
      <w:proofErr w:type="spellStart"/>
      <w:r w:rsidRPr="00C56257">
        <w:rPr>
          <w:color w:val="000000" w:themeColor="text1"/>
          <w:lang w:val="en-US"/>
        </w:rPr>
        <w:t>privind</w:t>
      </w:r>
      <w:proofErr w:type="spellEnd"/>
      <w:r w:rsidRPr="00C56257">
        <w:rPr>
          <w:color w:val="000000" w:themeColor="text1"/>
          <w:lang w:val="en-US"/>
        </w:rPr>
        <w:t xml:space="preserve"> </w:t>
      </w:r>
      <w:proofErr w:type="spellStart"/>
      <w:r w:rsidRPr="00C56257">
        <w:rPr>
          <w:color w:val="000000" w:themeColor="text1"/>
          <w:lang w:val="en-US"/>
        </w:rPr>
        <w:t>pădura</w:t>
      </w:r>
      <w:proofErr w:type="spellEnd"/>
      <w:r w:rsidRPr="00C56257">
        <w:rPr>
          <w:color w:val="000000" w:themeColor="text1"/>
          <w:lang w:val="en-US"/>
        </w:rPr>
        <w:t xml:space="preserve"> </w:t>
      </w:r>
      <w:proofErr w:type="spellStart"/>
      <w:r w:rsidRPr="00C56257">
        <w:rPr>
          <w:color w:val="000000" w:themeColor="text1"/>
          <w:lang w:val="en-US"/>
        </w:rPr>
        <w:t>erbacee</w:t>
      </w:r>
      <w:proofErr w:type="spellEnd"/>
      <w:r w:rsidRPr="00C56257">
        <w:rPr>
          <w:color w:val="000000" w:themeColor="text1"/>
          <w:lang w:val="en-US"/>
        </w:rPr>
        <w:t xml:space="preserve">/flora </w:t>
      </w:r>
      <w:proofErr w:type="spellStart"/>
      <w:r w:rsidRPr="00C56257">
        <w:rPr>
          <w:color w:val="000000" w:themeColor="text1"/>
          <w:lang w:val="en-US"/>
        </w:rPr>
        <w:t>ierboasă</w:t>
      </w:r>
      <w:proofErr w:type="spellEnd"/>
      <w:r w:rsidRPr="00C56257">
        <w:rPr>
          <w:color w:val="000000" w:themeColor="text1"/>
          <w:lang w:val="en-US"/>
        </w:rPr>
        <w:t xml:space="preserve">: </w:t>
      </w:r>
      <w:proofErr w:type="spellStart"/>
      <w:r w:rsidRPr="00C56257">
        <w:rPr>
          <w:color w:val="000000" w:themeColor="text1"/>
          <w:lang w:val="en-US"/>
        </w:rPr>
        <w:t>specii</w:t>
      </w:r>
      <w:proofErr w:type="spellEnd"/>
      <w:r w:rsidRPr="00C56257">
        <w:rPr>
          <w:color w:val="000000" w:themeColor="text1"/>
          <w:lang w:val="en-US"/>
        </w:rPr>
        <w:t xml:space="preserve"> </w:t>
      </w:r>
      <w:proofErr w:type="spellStart"/>
      <w:r w:rsidRPr="00C56257">
        <w:rPr>
          <w:color w:val="000000" w:themeColor="text1"/>
          <w:lang w:val="en-US"/>
        </w:rPr>
        <w:t>caracteristice</w:t>
      </w:r>
      <w:proofErr w:type="spellEnd"/>
      <w:r w:rsidRPr="00C56257">
        <w:rPr>
          <w:color w:val="000000" w:themeColor="text1"/>
          <w:lang w:val="en-US"/>
        </w:rPr>
        <w:t xml:space="preserve">, </w:t>
      </w:r>
      <w:proofErr w:type="spellStart"/>
      <w:r w:rsidRPr="00C56257">
        <w:rPr>
          <w:color w:val="000000" w:themeColor="text1"/>
          <w:lang w:val="en-US"/>
        </w:rPr>
        <w:t>gradul</w:t>
      </w:r>
      <w:proofErr w:type="spellEnd"/>
      <w:r w:rsidRPr="00C56257">
        <w:rPr>
          <w:color w:val="000000" w:themeColor="text1"/>
          <w:lang w:val="en-US"/>
        </w:rPr>
        <w:t xml:space="preserve"> de </w:t>
      </w:r>
      <w:proofErr w:type="spellStart"/>
      <w:r w:rsidRPr="00C56257">
        <w:rPr>
          <w:color w:val="000000" w:themeColor="text1"/>
          <w:lang w:val="en-US"/>
        </w:rPr>
        <w:t>acoperire</w:t>
      </w:r>
      <w:proofErr w:type="spellEnd"/>
      <w:r w:rsidRPr="00C56257">
        <w:rPr>
          <w:color w:val="000000" w:themeColor="text1"/>
          <w:lang w:val="en-US"/>
        </w:rPr>
        <w:t>;</w:t>
      </w:r>
    </w:p>
    <w:p w14:paraId="1B5689B9" w14:textId="77777777" w:rsidR="002D3CA7" w:rsidRPr="00C56257" w:rsidRDefault="002D3CA7" w:rsidP="008E33FD">
      <w:pPr>
        <w:widowControl w:val="0"/>
        <w:autoSpaceDE w:val="0"/>
        <w:autoSpaceDN w:val="0"/>
        <w:adjustRightInd w:val="0"/>
        <w:spacing w:line="276" w:lineRule="auto"/>
        <w:ind w:firstLine="709"/>
        <w:jc w:val="both"/>
        <w:rPr>
          <w:color w:val="000000" w:themeColor="text1"/>
          <w:lang w:val="fr-FR"/>
        </w:rPr>
      </w:pPr>
      <w:r w:rsidRPr="00C56257">
        <w:rPr>
          <w:color w:val="000000" w:themeColor="text1"/>
          <w:lang w:val="fr-FR"/>
        </w:rPr>
        <w:t>•</w:t>
      </w:r>
      <w:r w:rsidRPr="00C56257">
        <w:rPr>
          <w:color w:val="000000" w:themeColor="text1"/>
          <w:lang w:val="fr-FR"/>
        </w:rPr>
        <w:tab/>
        <w:t xml:space="preserve">Date </w:t>
      </w:r>
      <w:proofErr w:type="spellStart"/>
      <w:r w:rsidRPr="00C56257">
        <w:rPr>
          <w:color w:val="000000" w:themeColor="text1"/>
          <w:lang w:val="fr-FR"/>
        </w:rPr>
        <w:t>privind</w:t>
      </w:r>
      <w:proofErr w:type="spellEnd"/>
      <w:r w:rsidRPr="00C56257">
        <w:rPr>
          <w:color w:val="000000" w:themeColor="text1"/>
          <w:lang w:val="fr-FR"/>
        </w:rPr>
        <w:t xml:space="preserve"> </w:t>
      </w:r>
      <w:proofErr w:type="spellStart"/>
      <w:r w:rsidRPr="00C56257">
        <w:rPr>
          <w:color w:val="000000" w:themeColor="text1"/>
          <w:lang w:val="fr-FR"/>
        </w:rPr>
        <w:t>vătămările</w:t>
      </w:r>
      <w:proofErr w:type="spellEnd"/>
      <w:r w:rsidRPr="00C56257">
        <w:rPr>
          <w:color w:val="000000" w:themeColor="text1"/>
          <w:lang w:val="fr-FR"/>
        </w:rPr>
        <w:t xml:space="preserve">: </w:t>
      </w:r>
      <w:proofErr w:type="spellStart"/>
      <w:r w:rsidRPr="00C56257">
        <w:rPr>
          <w:color w:val="000000" w:themeColor="text1"/>
          <w:lang w:val="fr-FR"/>
        </w:rPr>
        <w:t>factori</w:t>
      </w:r>
      <w:proofErr w:type="spellEnd"/>
      <w:r w:rsidRPr="00C56257">
        <w:rPr>
          <w:color w:val="000000" w:themeColor="text1"/>
          <w:lang w:val="fr-FR"/>
        </w:rPr>
        <w:t xml:space="preserve"> </w:t>
      </w:r>
      <w:proofErr w:type="spellStart"/>
      <w:r w:rsidRPr="00C56257">
        <w:rPr>
          <w:color w:val="000000" w:themeColor="text1"/>
          <w:lang w:val="fr-FR"/>
        </w:rPr>
        <w:t>vătămători</w:t>
      </w:r>
      <w:proofErr w:type="spellEnd"/>
      <w:r w:rsidRPr="00C56257">
        <w:rPr>
          <w:color w:val="000000" w:themeColor="text1"/>
          <w:lang w:val="fr-FR"/>
        </w:rPr>
        <w:t xml:space="preserve"> </w:t>
      </w:r>
      <w:proofErr w:type="spellStart"/>
      <w:r w:rsidRPr="00C56257">
        <w:rPr>
          <w:color w:val="000000" w:themeColor="text1"/>
          <w:lang w:val="fr-FR"/>
        </w:rPr>
        <w:t>biotici</w:t>
      </w:r>
      <w:proofErr w:type="spellEnd"/>
      <w:r w:rsidRPr="00C56257">
        <w:rPr>
          <w:color w:val="000000" w:themeColor="text1"/>
          <w:lang w:val="fr-FR"/>
        </w:rPr>
        <w:t>/</w:t>
      </w:r>
      <w:proofErr w:type="spellStart"/>
      <w:r w:rsidRPr="00C56257">
        <w:rPr>
          <w:color w:val="000000" w:themeColor="text1"/>
          <w:lang w:val="fr-FR"/>
        </w:rPr>
        <w:t>abiotici</w:t>
      </w:r>
      <w:proofErr w:type="spellEnd"/>
      <w:r w:rsidRPr="00C56257">
        <w:rPr>
          <w:color w:val="000000" w:themeColor="text1"/>
          <w:lang w:val="fr-FR"/>
        </w:rPr>
        <w:t xml:space="preserve">, </w:t>
      </w:r>
      <w:proofErr w:type="spellStart"/>
      <w:r w:rsidRPr="00C56257">
        <w:rPr>
          <w:color w:val="000000" w:themeColor="text1"/>
          <w:lang w:val="fr-FR"/>
        </w:rPr>
        <w:t>presiuni</w:t>
      </w:r>
      <w:proofErr w:type="spellEnd"/>
      <w:r w:rsidRPr="00C56257">
        <w:rPr>
          <w:color w:val="000000" w:themeColor="text1"/>
          <w:lang w:val="fr-FR"/>
        </w:rPr>
        <w:t xml:space="preserve"> </w:t>
      </w:r>
      <w:proofErr w:type="spellStart"/>
      <w:r w:rsidRPr="00C56257">
        <w:rPr>
          <w:color w:val="000000" w:themeColor="text1"/>
          <w:lang w:val="fr-FR"/>
        </w:rPr>
        <w:t>existente</w:t>
      </w:r>
      <w:proofErr w:type="spellEnd"/>
      <w:r w:rsidRPr="00C56257">
        <w:rPr>
          <w:color w:val="000000" w:themeColor="text1"/>
          <w:lang w:val="fr-FR"/>
        </w:rPr>
        <w:t xml:space="preserve"> </w:t>
      </w:r>
      <w:proofErr w:type="spellStart"/>
      <w:r w:rsidRPr="00C56257">
        <w:rPr>
          <w:color w:val="000000" w:themeColor="text1"/>
          <w:lang w:val="fr-FR"/>
        </w:rPr>
        <w:t>asupra</w:t>
      </w:r>
      <w:proofErr w:type="spellEnd"/>
      <w:r w:rsidRPr="00C56257">
        <w:rPr>
          <w:color w:val="000000" w:themeColor="text1"/>
          <w:lang w:val="fr-FR"/>
        </w:rPr>
        <w:t xml:space="preserve"> </w:t>
      </w:r>
      <w:proofErr w:type="spellStart"/>
      <w:r w:rsidRPr="00C56257">
        <w:rPr>
          <w:color w:val="000000" w:themeColor="text1"/>
          <w:lang w:val="fr-FR"/>
        </w:rPr>
        <w:t>biotopului</w:t>
      </w:r>
      <w:proofErr w:type="spellEnd"/>
      <w:r w:rsidRPr="00C56257">
        <w:rPr>
          <w:color w:val="000000" w:themeColor="text1"/>
          <w:lang w:val="fr-FR"/>
        </w:rPr>
        <w:t xml:space="preserve"> </w:t>
      </w:r>
      <w:proofErr w:type="spellStart"/>
      <w:r w:rsidRPr="00C56257">
        <w:rPr>
          <w:color w:val="000000" w:themeColor="text1"/>
          <w:lang w:val="fr-FR"/>
        </w:rPr>
        <w:t>și</w:t>
      </w:r>
      <w:proofErr w:type="spellEnd"/>
      <w:r w:rsidRPr="00C56257">
        <w:rPr>
          <w:color w:val="000000" w:themeColor="text1"/>
          <w:lang w:val="fr-FR"/>
        </w:rPr>
        <w:t xml:space="preserve"> </w:t>
      </w:r>
      <w:proofErr w:type="spellStart"/>
      <w:r w:rsidRPr="00C56257">
        <w:rPr>
          <w:color w:val="000000" w:themeColor="text1"/>
          <w:lang w:val="fr-FR"/>
        </w:rPr>
        <w:t>viocenozei</w:t>
      </w:r>
      <w:proofErr w:type="spellEnd"/>
      <w:r w:rsidRPr="00C56257">
        <w:rPr>
          <w:color w:val="000000" w:themeColor="text1"/>
          <w:lang w:val="fr-FR"/>
        </w:rPr>
        <w:t xml:space="preserve">, </w:t>
      </w:r>
      <w:proofErr w:type="spellStart"/>
      <w:r w:rsidRPr="00C56257">
        <w:rPr>
          <w:color w:val="000000" w:themeColor="text1"/>
          <w:lang w:val="fr-FR"/>
        </w:rPr>
        <w:t>intensitatea</w:t>
      </w:r>
      <w:proofErr w:type="spellEnd"/>
      <w:r w:rsidRPr="00C56257">
        <w:rPr>
          <w:color w:val="000000" w:themeColor="text1"/>
          <w:lang w:val="fr-FR"/>
        </w:rPr>
        <w:t xml:space="preserve"> </w:t>
      </w:r>
      <w:proofErr w:type="spellStart"/>
      <w:r w:rsidRPr="00C56257">
        <w:rPr>
          <w:color w:val="000000" w:themeColor="text1"/>
          <w:lang w:val="fr-FR"/>
        </w:rPr>
        <w:t>presiunii</w:t>
      </w:r>
      <w:proofErr w:type="spellEnd"/>
      <w:r w:rsidRPr="00C56257">
        <w:rPr>
          <w:color w:val="000000" w:themeColor="text1"/>
          <w:lang w:val="fr-FR"/>
        </w:rPr>
        <w:t xml:space="preserve">, </w:t>
      </w:r>
      <w:proofErr w:type="spellStart"/>
      <w:r w:rsidRPr="00C56257">
        <w:rPr>
          <w:color w:val="000000" w:themeColor="text1"/>
          <w:lang w:val="fr-FR"/>
        </w:rPr>
        <w:t>durata</w:t>
      </w:r>
      <w:proofErr w:type="spellEnd"/>
      <w:r w:rsidRPr="00C56257">
        <w:rPr>
          <w:color w:val="000000" w:themeColor="text1"/>
          <w:lang w:val="fr-FR"/>
        </w:rPr>
        <w:t xml:space="preserve"> de </w:t>
      </w:r>
      <w:proofErr w:type="spellStart"/>
      <w:r w:rsidRPr="00C56257">
        <w:rPr>
          <w:color w:val="000000" w:themeColor="text1"/>
          <w:lang w:val="fr-FR"/>
        </w:rPr>
        <w:t>manifestare</w:t>
      </w:r>
      <w:proofErr w:type="spellEnd"/>
      <w:r w:rsidRPr="00C56257">
        <w:rPr>
          <w:color w:val="000000" w:themeColor="text1"/>
          <w:lang w:val="fr-FR"/>
        </w:rPr>
        <w:t xml:space="preserve"> a </w:t>
      </w:r>
      <w:proofErr w:type="spellStart"/>
      <w:r w:rsidRPr="00C56257">
        <w:rPr>
          <w:color w:val="000000" w:themeColor="text1"/>
          <w:lang w:val="fr-FR"/>
        </w:rPr>
        <w:t>presiunii</w:t>
      </w:r>
      <w:proofErr w:type="spellEnd"/>
      <w:r w:rsidRPr="00C56257">
        <w:rPr>
          <w:color w:val="000000" w:themeColor="text1"/>
          <w:lang w:val="fr-FR"/>
        </w:rPr>
        <w:t>;</w:t>
      </w:r>
    </w:p>
    <w:p w14:paraId="61EE4131" w14:textId="77777777" w:rsidR="002D3CA7" w:rsidRPr="00C56257" w:rsidRDefault="002D3CA7" w:rsidP="008E33FD">
      <w:pPr>
        <w:widowControl w:val="0"/>
        <w:autoSpaceDE w:val="0"/>
        <w:autoSpaceDN w:val="0"/>
        <w:adjustRightInd w:val="0"/>
        <w:spacing w:line="276" w:lineRule="auto"/>
        <w:ind w:firstLine="709"/>
        <w:jc w:val="both"/>
        <w:rPr>
          <w:color w:val="000000" w:themeColor="text1"/>
          <w:lang w:val="fr-FR"/>
        </w:rPr>
      </w:pPr>
      <w:r w:rsidRPr="00C56257">
        <w:rPr>
          <w:color w:val="000000" w:themeColor="text1"/>
          <w:lang w:val="fr-FR"/>
        </w:rPr>
        <w:t>•</w:t>
      </w:r>
      <w:r w:rsidRPr="00C56257">
        <w:rPr>
          <w:color w:val="000000" w:themeColor="text1"/>
          <w:lang w:val="fr-FR"/>
        </w:rPr>
        <w:tab/>
        <w:t xml:space="preserve">Perspective: </w:t>
      </w:r>
      <w:proofErr w:type="spellStart"/>
      <w:r w:rsidRPr="00C56257">
        <w:rPr>
          <w:color w:val="000000" w:themeColor="text1"/>
          <w:lang w:val="fr-FR"/>
        </w:rPr>
        <w:t>amenințări</w:t>
      </w:r>
      <w:proofErr w:type="spellEnd"/>
      <w:r w:rsidRPr="00C56257">
        <w:rPr>
          <w:color w:val="000000" w:themeColor="text1"/>
          <w:lang w:val="fr-FR"/>
        </w:rPr>
        <w:t xml:space="preserve"> </w:t>
      </w:r>
      <w:proofErr w:type="spellStart"/>
      <w:r w:rsidRPr="00C56257">
        <w:rPr>
          <w:color w:val="000000" w:themeColor="text1"/>
          <w:lang w:val="fr-FR"/>
        </w:rPr>
        <w:t>potențiale</w:t>
      </w:r>
      <w:proofErr w:type="spellEnd"/>
      <w:r w:rsidRPr="00C56257">
        <w:rPr>
          <w:color w:val="000000" w:themeColor="text1"/>
          <w:lang w:val="fr-FR"/>
        </w:rPr>
        <w:t xml:space="preserve">, </w:t>
      </w:r>
      <w:proofErr w:type="spellStart"/>
      <w:r w:rsidRPr="00C56257">
        <w:rPr>
          <w:color w:val="000000" w:themeColor="text1"/>
          <w:lang w:val="fr-FR"/>
        </w:rPr>
        <w:t>hazarde</w:t>
      </w:r>
      <w:proofErr w:type="spellEnd"/>
      <w:r w:rsidRPr="00C56257">
        <w:rPr>
          <w:color w:val="000000" w:themeColor="text1"/>
          <w:lang w:val="fr-FR"/>
        </w:rPr>
        <w:t>/</w:t>
      </w:r>
      <w:proofErr w:type="spellStart"/>
      <w:r w:rsidRPr="00C56257">
        <w:rPr>
          <w:color w:val="000000" w:themeColor="text1"/>
          <w:lang w:val="fr-FR"/>
        </w:rPr>
        <w:t>riscuri</w:t>
      </w:r>
      <w:proofErr w:type="spellEnd"/>
      <w:r w:rsidRPr="00C56257">
        <w:rPr>
          <w:color w:val="000000" w:themeColor="text1"/>
          <w:lang w:val="fr-FR"/>
        </w:rPr>
        <w:t xml:space="preserve">, </w:t>
      </w:r>
      <w:proofErr w:type="spellStart"/>
      <w:r w:rsidRPr="00C56257">
        <w:rPr>
          <w:color w:val="000000" w:themeColor="text1"/>
          <w:lang w:val="fr-FR"/>
        </w:rPr>
        <w:t>viabilitatea</w:t>
      </w:r>
      <w:proofErr w:type="spellEnd"/>
      <w:r w:rsidRPr="00C56257">
        <w:rPr>
          <w:color w:val="000000" w:themeColor="text1"/>
          <w:lang w:val="fr-FR"/>
        </w:rPr>
        <w:t xml:space="preserve"> </w:t>
      </w:r>
      <w:proofErr w:type="spellStart"/>
      <w:r w:rsidRPr="00C56257">
        <w:rPr>
          <w:color w:val="000000" w:themeColor="text1"/>
          <w:lang w:val="fr-FR"/>
        </w:rPr>
        <w:t>pădurii</w:t>
      </w:r>
      <w:proofErr w:type="spellEnd"/>
      <w:r w:rsidRPr="00C56257">
        <w:rPr>
          <w:color w:val="000000" w:themeColor="text1"/>
          <w:lang w:val="fr-FR"/>
        </w:rPr>
        <w:t>/</w:t>
      </w:r>
      <w:proofErr w:type="spellStart"/>
      <w:r w:rsidRPr="00C56257">
        <w:rPr>
          <w:color w:val="000000" w:themeColor="text1"/>
          <w:lang w:val="fr-FR"/>
        </w:rPr>
        <w:t>habitatului</w:t>
      </w:r>
      <w:proofErr w:type="spellEnd"/>
      <w:r w:rsidRPr="00C56257">
        <w:rPr>
          <w:color w:val="000000" w:themeColor="text1"/>
          <w:lang w:val="fr-FR"/>
        </w:rPr>
        <w:t xml:space="preserve"> </w:t>
      </w:r>
      <w:proofErr w:type="spellStart"/>
      <w:r w:rsidRPr="00C56257">
        <w:rPr>
          <w:color w:val="000000" w:themeColor="text1"/>
          <w:lang w:val="fr-FR"/>
        </w:rPr>
        <w:t>pe</w:t>
      </w:r>
      <w:proofErr w:type="spellEnd"/>
      <w:r w:rsidRPr="00C56257">
        <w:rPr>
          <w:color w:val="000000" w:themeColor="text1"/>
          <w:lang w:val="fr-FR"/>
        </w:rPr>
        <w:t xml:space="preserve"> </w:t>
      </w:r>
      <w:proofErr w:type="spellStart"/>
      <w:r w:rsidRPr="00C56257">
        <w:rPr>
          <w:color w:val="000000" w:themeColor="text1"/>
          <w:lang w:val="fr-FR"/>
        </w:rPr>
        <w:t>termen</w:t>
      </w:r>
      <w:proofErr w:type="spellEnd"/>
      <w:r w:rsidRPr="00C56257">
        <w:rPr>
          <w:color w:val="000000" w:themeColor="text1"/>
          <w:lang w:val="fr-FR"/>
        </w:rPr>
        <w:t xml:space="preserve"> </w:t>
      </w:r>
      <w:proofErr w:type="spellStart"/>
      <w:r w:rsidRPr="00C56257">
        <w:rPr>
          <w:color w:val="000000" w:themeColor="text1"/>
          <w:lang w:val="fr-FR"/>
        </w:rPr>
        <w:t>lung</w:t>
      </w:r>
      <w:proofErr w:type="spellEnd"/>
      <w:r w:rsidRPr="00C56257">
        <w:rPr>
          <w:color w:val="000000" w:themeColor="text1"/>
          <w:lang w:val="fr-FR"/>
        </w:rPr>
        <w:t>.</w:t>
      </w:r>
    </w:p>
    <w:p w14:paraId="0C47DD7B" w14:textId="77777777" w:rsidR="002D3CA7" w:rsidRPr="00C56257" w:rsidRDefault="002D3CA7" w:rsidP="008E33FD">
      <w:pPr>
        <w:widowControl w:val="0"/>
        <w:autoSpaceDE w:val="0"/>
        <w:autoSpaceDN w:val="0"/>
        <w:adjustRightInd w:val="0"/>
        <w:spacing w:line="276" w:lineRule="auto"/>
        <w:ind w:firstLine="709"/>
        <w:jc w:val="both"/>
        <w:rPr>
          <w:color w:val="000000" w:themeColor="text1"/>
          <w:lang w:val="fr-FR"/>
        </w:rPr>
      </w:pPr>
      <w:proofErr w:type="spellStart"/>
      <w:r w:rsidRPr="00C56257">
        <w:rPr>
          <w:color w:val="000000" w:themeColor="text1"/>
          <w:lang w:val="fr-FR"/>
        </w:rPr>
        <w:t>Pe</w:t>
      </w:r>
      <w:proofErr w:type="spellEnd"/>
      <w:r w:rsidRPr="00C56257">
        <w:rPr>
          <w:color w:val="000000" w:themeColor="text1"/>
          <w:lang w:val="fr-FR"/>
        </w:rPr>
        <w:t xml:space="preserve"> </w:t>
      </w:r>
      <w:proofErr w:type="spellStart"/>
      <w:r w:rsidRPr="00C56257">
        <w:rPr>
          <w:color w:val="000000" w:themeColor="text1"/>
          <w:lang w:val="fr-FR"/>
        </w:rPr>
        <w:t>baza</w:t>
      </w:r>
      <w:proofErr w:type="spellEnd"/>
      <w:r w:rsidRPr="00C56257">
        <w:rPr>
          <w:color w:val="000000" w:themeColor="text1"/>
          <w:lang w:val="fr-FR"/>
        </w:rPr>
        <w:t xml:space="preserve"> </w:t>
      </w:r>
      <w:proofErr w:type="spellStart"/>
      <w:r w:rsidRPr="00C56257">
        <w:rPr>
          <w:color w:val="000000" w:themeColor="text1"/>
          <w:lang w:val="fr-FR"/>
        </w:rPr>
        <w:t>informațiilor</w:t>
      </w:r>
      <w:proofErr w:type="spellEnd"/>
      <w:r w:rsidRPr="00C56257">
        <w:rPr>
          <w:color w:val="000000" w:themeColor="text1"/>
          <w:lang w:val="fr-FR"/>
        </w:rPr>
        <w:t xml:space="preserve"> </w:t>
      </w:r>
      <w:proofErr w:type="spellStart"/>
      <w:r w:rsidRPr="00C56257">
        <w:rPr>
          <w:color w:val="000000" w:themeColor="text1"/>
          <w:lang w:val="fr-FR"/>
        </w:rPr>
        <w:t>colectate</w:t>
      </w:r>
      <w:proofErr w:type="spellEnd"/>
      <w:r w:rsidRPr="00C56257">
        <w:rPr>
          <w:color w:val="000000" w:themeColor="text1"/>
          <w:lang w:val="fr-FR"/>
        </w:rPr>
        <w:t xml:space="preserve"> se vor </w:t>
      </w:r>
      <w:proofErr w:type="spellStart"/>
      <w:r w:rsidRPr="00C56257">
        <w:rPr>
          <w:color w:val="000000" w:themeColor="text1"/>
          <w:lang w:val="fr-FR"/>
        </w:rPr>
        <w:t>putea</w:t>
      </w:r>
      <w:proofErr w:type="spellEnd"/>
      <w:r w:rsidRPr="00C56257">
        <w:rPr>
          <w:color w:val="000000" w:themeColor="text1"/>
          <w:lang w:val="fr-FR"/>
        </w:rPr>
        <w:t xml:space="preserve"> </w:t>
      </w:r>
      <w:proofErr w:type="spellStart"/>
      <w:r w:rsidRPr="00C56257">
        <w:rPr>
          <w:color w:val="000000" w:themeColor="text1"/>
          <w:lang w:val="fr-FR"/>
        </w:rPr>
        <w:t>identifica</w:t>
      </w:r>
      <w:proofErr w:type="spellEnd"/>
      <w:r w:rsidRPr="00C56257">
        <w:rPr>
          <w:color w:val="000000" w:themeColor="text1"/>
          <w:lang w:val="fr-FR"/>
        </w:rPr>
        <w:t xml:space="preserve"> </w:t>
      </w:r>
      <w:proofErr w:type="spellStart"/>
      <w:r w:rsidRPr="00C56257">
        <w:rPr>
          <w:color w:val="000000" w:themeColor="text1"/>
          <w:lang w:val="fr-FR"/>
        </w:rPr>
        <w:t>stuctura</w:t>
      </w:r>
      <w:proofErr w:type="spellEnd"/>
      <w:r w:rsidRPr="00C56257">
        <w:rPr>
          <w:color w:val="000000" w:themeColor="text1"/>
          <w:lang w:val="fr-FR"/>
        </w:rPr>
        <w:t xml:space="preserve"> </w:t>
      </w:r>
      <w:proofErr w:type="spellStart"/>
      <w:r w:rsidRPr="00C56257">
        <w:rPr>
          <w:color w:val="000000" w:themeColor="text1"/>
          <w:lang w:val="fr-FR"/>
        </w:rPr>
        <w:t>și</w:t>
      </w:r>
      <w:proofErr w:type="spellEnd"/>
      <w:r w:rsidRPr="00C56257">
        <w:rPr>
          <w:color w:val="000000" w:themeColor="text1"/>
          <w:lang w:val="fr-FR"/>
        </w:rPr>
        <w:t xml:space="preserve"> </w:t>
      </w:r>
      <w:proofErr w:type="spellStart"/>
      <w:r w:rsidRPr="00C56257">
        <w:rPr>
          <w:color w:val="000000" w:themeColor="text1"/>
          <w:lang w:val="fr-FR"/>
        </w:rPr>
        <w:t>funcțiile</w:t>
      </w:r>
      <w:proofErr w:type="spellEnd"/>
      <w:r w:rsidRPr="00C56257">
        <w:rPr>
          <w:color w:val="000000" w:themeColor="text1"/>
          <w:lang w:val="fr-FR"/>
        </w:rPr>
        <w:t xml:space="preserve"> </w:t>
      </w:r>
      <w:proofErr w:type="spellStart"/>
      <w:r w:rsidRPr="00C56257">
        <w:rPr>
          <w:color w:val="000000" w:themeColor="text1"/>
          <w:lang w:val="fr-FR"/>
        </w:rPr>
        <w:t>habitatului</w:t>
      </w:r>
      <w:proofErr w:type="spellEnd"/>
      <w:r w:rsidRPr="00C56257">
        <w:rPr>
          <w:color w:val="000000" w:themeColor="text1"/>
          <w:lang w:val="fr-FR"/>
        </w:rPr>
        <w:t xml:space="preserve">, </w:t>
      </w:r>
      <w:proofErr w:type="spellStart"/>
      <w:r w:rsidRPr="00C56257">
        <w:rPr>
          <w:color w:val="000000" w:themeColor="text1"/>
          <w:lang w:val="fr-FR"/>
        </w:rPr>
        <w:t>presiunile</w:t>
      </w:r>
      <w:proofErr w:type="spellEnd"/>
      <w:r w:rsidRPr="00C56257">
        <w:rPr>
          <w:color w:val="000000" w:themeColor="text1"/>
          <w:lang w:val="fr-FR"/>
        </w:rPr>
        <w:t xml:space="preserve"> </w:t>
      </w:r>
      <w:proofErr w:type="spellStart"/>
      <w:r w:rsidRPr="00C56257">
        <w:rPr>
          <w:color w:val="000000" w:themeColor="text1"/>
          <w:lang w:val="fr-FR"/>
        </w:rPr>
        <w:t>și</w:t>
      </w:r>
      <w:proofErr w:type="spellEnd"/>
      <w:r w:rsidRPr="00C56257">
        <w:rPr>
          <w:color w:val="000000" w:themeColor="text1"/>
          <w:lang w:val="fr-FR"/>
        </w:rPr>
        <w:t xml:space="preserve"> </w:t>
      </w:r>
      <w:proofErr w:type="spellStart"/>
      <w:r w:rsidRPr="00C56257">
        <w:rPr>
          <w:color w:val="000000" w:themeColor="text1"/>
          <w:lang w:val="fr-FR"/>
        </w:rPr>
        <w:t>amenințările</w:t>
      </w:r>
      <w:proofErr w:type="spellEnd"/>
      <w:r w:rsidRPr="00C56257">
        <w:rPr>
          <w:color w:val="000000" w:themeColor="text1"/>
          <w:lang w:val="fr-FR"/>
        </w:rPr>
        <w:t xml:space="preserve">, </w:t>
      </w:r>
      <w:proofErr w:type="spellStart"/>
      <w:r w:rsidRPr="00C56257">
        <w:rPr>
          <w:color w:val="000000" w:themeColor="text1"/>
          <w:lang w:val="fr-FR"/>
        </w:rPr>
        <w:t>măsurile</w:t>
      </w:r>
      <w:proofErr w:type="spellEnd"/>
      <w:r w:rsidRPr="00C56257">
        <w:rPr>
          <w:color w:val="000000" w:themeColor="text1"/>
          <w:lang w:val="fr-FR"/>
        </w:rPr>
        <w:t xml:space="preserve"> de </w:t>
      </w:r>
      <w:proofErr w:type="spellStart"/>
      <w:r w:rsidRPr="00C56257">
        <w:rPr>
          <w:color w:val="000000" w:themeColor="text1"/>
          <w:lang w:val="fr-FR"/>
        </w:rPr>
        <w:t>conservare</w:t>
      </w:r>
      <w:proofErr w:type="spellEnd"/>
      <w:r w:rsidRPr="00C56257">
        <w:rPr>
          <w:color w:val="000000" w:themeColor="text1"/>
          <w:lang w:val="fr-FR"/>
        </w:rPr>
        <w:t xml:space="preserve">, </w:t>
      </w:r>
      <w:proofErr w:type="spellStart"/>
      <w:r w:rsidRPr="00C56257">
        <w:rPr>
          <w:color w:val="000000" w:themeColor="text1"/>
          <w:lang w:val="fr-FR"/>
        </w:rPr>
        <w:t>perspectivele</w:t>
      </w:r>
      <w:proofErr w:type="spellEnd"/>
      <w:r w:rsidRPr="00C56257">
        <w:rPr>
          <w:color w:val="000000" w:themeColor="text1"/>
          <w:lang w:val="fr-FR"/>
        </w:rPr>
        <w:t xml:space="preserve"> </w:t>
      </w:r>
      <w:proofErr w:type="spellStart"/>
      <w:r w:rsidRPr="00C56257">
        <w:rPr>
          <w:color w:val="000000" w:themeColor="text1"/>
          <w:lang w:val="fr-FR"/>
        </w:rPr>
        <w:t>și</w:t>
      </w:r>
      <w:proofErr w:type="spellEnd"/>
      <w:r w:rsidRPr="00C56257">
        <w:rPr>
          <w:color w:val="000000" w:themeColor="text1"/>
          <w:lang w:val="fr-FR"/>
        </w:rPr>
        <w:t xml:space="preserve"> </w:t>
      </w:r>
      <w:proofErr w:type="spellStart"/>
      <w:r w:rsidRPr="00C56257">
        <w:rPr>
          <w:color w:val="000000" w:themeColor="text1"/>
          <w:lang w:val="fr-FR"/>
        </w:rPr>
        <w:t>tendințele</w:t>
      </w:r>
      <w:proofErr w:type="spellEnd"/>
      <w:r w:rsidRPr="00C56257">
        <w:rPr>
          <w:color w:val="000000" w:themeColor="text1"/>
          <w:lang w:val="fr-FR"/>
        </w:rPr>
        <w:t xml:space="preserve"> </w:t>
      </w:r>
      <w:proofErr w:type="spellStart"/>
      <w:r w:rsidRPr="00C56257">
        <w:rPr>
          <w:color w:val="000000" w:themeColor="text1"/>
          <w:lang w:val="fr-FR"/>
        </w:rPr>
        <w:t>habitatelor</w:t>
      </w:r>
      <w:proofErr w:type="spellEnd"/>
      <w:r w:rsidRPr="00C56257">
        <w:rPr>
          <w:color w:val="000000" w:themeColor="text1"/>
          <w:lang w:val="fr-FR"/>
        </w:rPr>
        <w:t>.</w:t>
      </w:r>
    </w:p>
    <w:bookmarkEnd w:id="30"/>
    <w:p w14:paraId="3C0861A5" w14:textId="77777777" w:rsidR="002D3CA7" w:rsidRPr="00C56257" w:rsidRDefault="002D3CA7" w:rsidP="008E33FD">
      <w:pPr>
        <w:keepNext/>
        <w:keepLines/>
        <w:spacing w:before="160" w:after="120" w:line="259" w:lineRule="auto"/>
        <w:contextualSpacing/>
        <w:jc w:val="both"/>
        <w:outlineLvl w:val="1"/>
        <w:rPr>
          <w:color w:val="000000" w:themeColor="text1"/>
          <w:lang w:val="fr-FR"/>
        </w:rPr>
      </w:pPr>
    </w:p>
    <w:p w14:paraId="2896C5FE" w14:textId="77777777" w:rsidR="002D3CA7" w:rsidRPr="00C56257" w:rsidRDefault="002D3CA7" w:rsidP="008E33FD">
      <w:pPr>
        <w:keepNext/>
        <w:keepLines/>
        <w:spacing w:before="160" w:after="120" w:line="259" w:lineRule="auto"/>
        <w:contextualSpacing/>
        <w:jc w:val="both"/>
        <w:outlineLvl w:val="1"/>
        <w:rPr>
          <w:b/>
          <w:bCs/>
          <w:color w:val="000000" w:themeColor="text1"/>
          <w:lang w:val="fr-FR"/>
        </w:rPr>
      </w:pPr>
      <w:bookmarkStart w:id="31" w:name="_Hlk95713869"/>
      <w:r w:rsidRPr="00C56257">
        <w:rPr>
          <w:b/>
          <w:bCs/>
          <w:color w:val="000000" w:themeColor="text1"/>
          <w:lang w:val="fr-FR"/>
        </w:rPr>
        <w:t xml:space="preserve">Structura </w:t>
      </w:r>
      <w:proofErr w:type="spellStart"/>
      <w:r w:rsidRPr="00C56257">
        <w:rPr>
          <w:b/>
          <w:bCs/>
          <w:color w:val="000000" w:themeColor="text1"/>
          <w:lang w:val="fr-FR"/>
        </w:rPr>
        <w:t>și</w:t>
      </w:r>
      <w:proofErr w:type="spellEnd"/>
      <w:r w:rsidRPr="00C56257">
        <w:rPr>
          <w:b/>
          <w:bCs/>
          <w:color w:val="000000" w:themeColor="text1"/>
          <w:lang w:val="fr-FR"/>
        </w:rPr>
        <w:t xml:space="preserve"> </w:t>
      </w:r>
      <w:proofErr w:type="spellStart"/>
      <w:r w:rsidRPr="00C56257">
        <w:rPr>
          <w:b/>
          <w:bCs/>
          <w:color w:val="000000" w:themeColor="text1"/>
          <w:lang w:val="fr-FR"/>
        </w:rPr>
        <w:t>funcțiile</w:t>
      </w:r>
      <w:proofErr w:type="spellEnd"/>
      <w:r w:rsidRPr="00C56257">
        <w:rPr>
          <w:b/>
          <w:bCs/>
          <w:color w:val="000000" w:themeColor="text1"/>
          <w:lang w:val="fr-FR"/>
        </w:rPr>
        <w:t xml:space="preserve"> </w:t>
      </w:r>
      <w:proofErr w:type="spellStart"/>
      <w:r w:rsidRPr="00C56257">
        <w:rPr>
          <w:b/>
          <w:bCs/>
          <w:color w:val="000000" w:themeColor="text1"/>
          <w:lang w:val="fr-FR"/>
        </w:rPr>
        <w:t>habitatelor</w:t>
      </w:r>
      <w:proofErr w:type="spellEnd"/>
      <w:r w:rsidRPr="00C56257">
        <w:rPr>
          <w:b/>
          <w:bCs/>
          <w:color w:val="000000" w:themeColor="text1"/>
          <w:lang w:val="fr-FR"/>
        </w:rPr>
        <w:t xml:space="preserve"> </w:t>
      </w:r>
      <w:r w:rsidRPr="00C56257">
        <w:rPr>
          <w:b/>
          <w:color w:val="000000" w:themeColor="text1"/>
        </w:rPr>
        <w:t>de tufărișuri de interes comunitar</w:t>
      </w:r>
    </w:p>
    <w:p w14:paraId="3B366CF4" w14:textId="77777777" w:rsidR="002D3CA7" w:rsidRPr="00C56257" w:rsidRDefault="002D3CA7" w:rsidP="008E33FD">
      <w:pPr>
        <w:spacing w:line="276" w:lineRule="auto"/>
        <w:ind w:firstLine="709"/>
        <w:jc w:val="both"/>
        <w:rPr>
          <w:color w:val="000000" w:themeColor="text1"/>
        </w:rPr>
      </w:pPr>
      <w:r w:rsidRPr="00C56257">
        <w:rPr>
          <w:color w:val="000000" w:themeColor="text1"/>
        </w:rPr>
        <w:t>Capitolul „Structură și funcții” al raportării ofertă informații despre proporția suprafeței unui habitat aflată în bune sau rele condiții, trendurile acestora și speciile caracteristice. Structura este considerată ca fiind componenta fizică a unui habitat referindu-se la elementele componente ale biotopului (roca, substratul, relieful, solul) și ale biocenozei (stratul arbustiv, pătura erbacee), Funcțiile unui habitat reprezintă procesele ecologice (intensitatea vătămărilor) care asigură menținerea acestuia în timp și spațiu. În  cazul  habitatelor  de  tufărişuri  definitorii  sunt: capacitatea de regenerare, intensitatea vătămărilor, fragmentarea. Condiția unui habitat se apreciază la nivel de regiune biogeografică în funcție de (km</w:t>
      </w:r>
      <w:r w:rsidRPr="00C56257">
        <w:rPr>
          <w:color w:val="000000" w:themeColor="text1"/>
          <w:vertAlign w:val="superscript"/>
        </w:rPr>
        <w:t>2</w:t>
      </w:r>
      <w:r w:rsidRPr="00C56257">
        <w:rPr>
          <w:color w:val="000000" w:themeColor="text1"/>
        </w:rPr>
        <w:t>):</w:t>
      </w:r>
    </w:p>
    <w:p w14:paraId="31FE91A7" w14:textId="77777777" w:rsidR="002D3CA7" w:rsidRPr="00C56257" w:rsidRDefault="002D3CA7" w:rsidP="008E33FD">
      <w:pPr>
        <w:numPr>
          <w:ilvl w:val="0"/>
          <w:numId w:val="11"/>
        </w:numPr>
        <w:spacing w:after="160" w:line="276" w:lineRule="auto"/>
        <w:contextualSpacing/>
        <w:jc w:val="both"/>
        <w:rPr>
          <w:rFonts w:eastAsiaTheme="minorHAnsi"/>
          <w:color w:val="000000" w:themeColor="text1"/>
          <w:lang w:val="en-US"/>
        </w:rPr>
      </w:pPr>
      <w:proofErr w:type="spellStart"/>
      <w:r w:rsidRPr="00C56257">
        <w:rPr>
          <w:rFonts w:eastAsiaTheme="minorHAnsi"/>
          <w:color w:val="000000" w:themeColor="text1"/>
          <w:lang w:val="en-US"/>
        </w:rPr>
        <w:t>suprafața</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în</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bune</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condiții</w:t>
      </w:r>
      <w:proofErr w:type="spellEnd"/>
    </w:p>
    <w:p w14:paraId="0E267250" w14:textId="77777777" w:rsidR="002D3CA7" w:rsidRPr="00C56257" w:rsidRDefault="002D3CA7" w:rsidP="008E33FD">
      <w:pPr>
        <w:numPr>
          <w:ilvl w:val="0"/>
          <w:numId w:val="11"/>
        </w:numPr>
        <w:spacing w:after="160" w:line="276" w:lineRule="auto"/>
        <w:contextualSpacing/>
        <w:jc w:val="both"/>
        <w:rPr>
          <w:rFonts w:eastAsiaTheme="minorHAnsi"/>
          <w:color w:val="000000" w:themeColor="text1"/>
          <w:lang w:val="fr-FR"/>
        </w:rPr>
      </w:pPr>
      <w:proofErr w:type="spellStart"/>
      <w:r w:rsidRPr="00C56257">
        <w:rPr>
          <w:rFonts w:eastAsiaTheme="minorHAnsi"/>
          <w:color w:val="000000" w:themeColor="text1"/>
          <w:lang w:val="fr-FR"/>
        </w:rPr>
        <w:t>suprafața</w:t>
      </w:r>
      <w:proofErr w:type="spellEnd"/>
      <w:r w:rsidRPr="00C56257">
        <w:rPr>
          <w:rFonts w:eastAsiaTheme="minorHAnsi"/>
          <w:color w:val="000000" w:themeColor="text1"/>
          <w:lang w:val="fr-FR"/>
        </w:rPr>
        <w:t xml:space="preserve"> care nu este </w:t>
      </w:r>
      <w:proofErr w:type="spellStart"/>
      <w:r w:rsidRPr="00C56257">
        <w:rPr>
          <w:rFonts w:eastAsiaTheme="minorHAnsi"/>
          <w:color w:val="000000" w:themeColor="text1"/>
          <w:lang w:val="fr-FR"/>
        </w:rPr>
        <w:t>în</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bune</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condiții</w:t>
      </w:r>
      <w:proofErr w:type="spellEnd"/>
    </w:p>
    <w:p w14:paraId="73FC14D7" w14:textId="77777777" w:rsidR="002D3CA7" w:rsidRPr="00C56257" w:rsidRDefault="002D3CA7" w:rsidP="008E33FD">
      <w:pPr>
        <w:numPr>
          <w:ilvl w:val="0"/>
          <w:numId w:val="11"/>
        </w:numPr>
        <w:spacing w:after="160" w:line="276" w:lineRule="auto"/>
        <w:contextualSpacing/>
        <w:jc w:val="both"/>
        <w:rPr>
          <w:rFonts w:eastAsiaTheme="minorHAnsi"/>
          <w:color w:val="000000" w:themeColor="text1"/>
          <w:lang w:val="fr-FR"/>
        </w:rPr>
      </w:pPr>
      <w:proofErr w:type="spellStart"/>
      <w:r w:rsidRPr="00C56257">
        <w:rPr>
          <w:rFonts w:eastAsiaTheme="minorHAnsi"/>
          <w:color w:val="000000" w:themeColor="text1"/>
          <w:lang w:val="fr-FR"/>
        </w:rPr>
        <w:t>suprafața</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unde</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condiția</w:t>
      </w:r>
      <w:proofErr w:type="spellEnd"/>
      <w:r w:rsidRPr="00C56257">
        <w:rPr>
          <w:rFonts w:eastAsiaTheme="minorHAnsi"/>
          <w:color w:val="000000" w:themeColor="text1"/>
          <w:lang w:val="fr-FR"/>
        </w:rPr>
        <w:t xml:space="preserve"> nu este </w:t>
      </w:r>
      <w:proofErr w:type="spellStart"/>
      <w:r w:rsidRPr="00C56257">
        <w:rPr>
          <w:rFonts w:eastAsiaTheme="minorHAnsi"/>
          <w:color w:val="000000" w:themeColor="text1"/>
          <w:lang w:val="fr-FR"/>
        </w:rPr>
        <w:t>cunoscută</w:t>
      </w:r>
      <w:proofErr w:type="spellEnd"/>
    </w:p>
    <w:p w14:paraId="28B87BA3" w14:textId="77777777" w:rsidR="002D3CA7" w:rsidRPr="00C56257" w:rsidRDefault="002D3CA7" w:rsidP="008E33FD">
      <w:pPr>
        <w:spacing w:line="276" w:lineRule="auto"/>
        <w:ind w:firstLine="709"/>
        <w:jc w:val="both"/>
        <w:rPr>
          <w:color w:val="000000" w:themeColor="text1"/>
        </w:rPr>
      </w:pPr>
      <w:r w:rsidRPr="00C56257">
        <w:rPr>
          <w:color w:val="000000" w:themeColor="text1"/>
        </w:rPr>
        <w:t>Conform ghidului de raportare, dacă mai mult de 25% din suprafața unui tip de habitat dintr-o regiune biogeografică este evaluată ca fiind „nefavorabilă” (nu este în bune condiții), starea Structurii și a funcțiilor este „Nefavorabilă-rea”.Nu sunt oferite însă criterii numerice pentru starea „Favorabilă” sau „Nefavorabilă-inadecvată”. În rapoartele anterioare statele membre au folosit diferite praguri ale proporției suprafeței, prin care să se realizeze procesul de evaluare al acestui parametru. Un mod ideal ar fi ca întreaga suprafață a tipului de habitat să fie în bune condiții, însă acest lucru este greu de realizat în practică și de aceea este acceptat ca o parte a suprafeței  habitatului să nu fie considerată ca fiind în bune condiții, și cu toate acestea starea Structurii și a funcțiilor sa fie apreciată ca fiind „Favorabilă”.</w:t>
      </w:r>
    </w:p>
    <w:p w14:paraId="486BD5AF" w14:textId="77777777" w:rsidR="002D3CA7" w:rsidRPr="00C56257" w:rsidRDefault="002D3CA7" w:rsidP="008E33FD">
      <w:pPr>
        <w:spacing w:line="276" w:lineRule="auto"/>
        <w:jc w:val="both"/>
        <w:rPr>
          <w:color w:val="000000" w:themeColor="text1"/>
        </w:rPr>
      </w:pPr>
      <w:r w:rsidRPr="00C56257">
        <w:rPr>
          <w:color w:val="000000" w:themeColor="text1"/>
        </w:rPr>
        <w:t xml:space="preserve">Se recomandă totuși folosirea unui prag de 90% din suprafața unui habitat ca fiind în bune condiții pentru a aprecia starea Structurii și funcțiilor „Favorabilă”. </w:t>
      </w:r>
    </w:p>
    <w:p w14:paraId="6BF180A0" w14:textId="77777777" w:rsidR="002D3CA7" w:rsidRPr="00C56257" w:rsidRDefault="002D3CA7" w:rsidP="008E33FD">
      <w:pPr>
        <w:jc w:val="both"/>
        <w:rPr>
          <w:color w:val="000000" w:themeColor="text1"/>
        </w:rPr>
      </w:pPr>
    </w:p>
    <w:p w14:paraId="2AE0631A" w14:textId="77777777" w:rsidR="002D3CA7" w:rsidRPr="00C56257" w:rsidRDefault="002D3CA7" w:rsidP="008E33FD">
      <w:pPr>
        <w:jc w:val="both"/>
        <w:rPr>
          <w:b/>
          <w:color w:val="000000" w:themeColor="text1"/>
        </w:rPr>
      </w:pPr>
      <w:r w:rsidRPr="00C56257">
        <w:rPr>
          <w:b/>
          <w:color w:val="000000" w:themeColor="text1"/>
        </w:rPr>
        <w:t>Principalele presiuni și amenințări ale habitatelor de tufărișuri de interes comunitar</w:t>
      </w:r>
    </w:p>
    <w:p w14:paraId="7D46A25A" w14:textId="77777777" w:rsidR="002D3CA7" w:rsidRPr="00C56257" w:rsidRDefault="002D3CA7" w:rsidP="008E33FD">
      <w:pPr>
        <w:spacing w:line="276" w:lineRule="auto"/>
        <w:ind w:firstLine="709"/>
        <w:jc w:val="both"/>
        <w:rPr>
          <w:color w:val="000000" w:themeColor="text1"/>
        </w:rPr>
      </w:pPr>
      <w:r w:rsidRPr="00C56257">
        <w:rPr>
          <w:color w:val="000000" w:themeColor="text1"/>
        </w:rPr>
        <w:t xml:space="preserve">Presiunile sunt reprezentate de factorii care actionează în sens negativ asupra viabilității habitatului sau asupra speciilor caracteristice componente, pe parcursul perioadei de raportare (6 ani). </w:t>
      </w:r>
    </w:p>
    <w:p w14:paraId="19CF4298" w14:textId="77777777" w:rsidR="002D3CA7" w:rsidRPr="00C56257" w:rsidRDefault="002D3CA7" w:rsidP="008E33FD">
      <w:pPr>
        <w:spacing w:line="276" w:lineRule="auto"/>
        <w:ind w:firstLine="709"/>
        <w:jc w:val="both"/>
        <w:rPr>
          <w:color w:val="000000" w:themeColor="text1"/>
        </w:rPr>
      </w:pPr>
      <w:r w:rsidRPr="00C56257">
        <w:rPr>
          <w:color w:val="000000" w:themeColor="text1"/>
        </w:rPr>
        <w:t>Amenințările sunt factori ce se preconizează că vor acționa în viitor, pe parcursul a două perioade de raportare (12 ani) de la sfârșitul perioadei de raportare curente.</w:t>
      </w:r>
    </w:p>
    <w:p w14:paraId="3F3A8A46" w14:textId="77777777" w:rsidR="002D3CA7" w:rsidRPr="00C56257" w:rsidRDefault="002D3CA7" w:rsidP="008E33FD">
      <w:pPr>
        <w:spacing w:line="276" w:lineRule="auto"/>
        <w:ind w:right="142" w:firstLine="709"/>
        <w:jc w:val="both"/>
        <w:rPr>
          <w:color w:val="000000" w:themeColor="text1"/>
        </w:rPr>
      </w:pPr>
      <w:r w:rsidRPr="00C56257">
        <w:rPr>
          <w:color w:val="000000" w:themeColor="text1"/>
        </w:rPr>
        <w:t>„Presiunile și amenințările” pot avea o intensitate:</w:t>
      </w:r>
    </w:p>
    <w:p w14:paraId="43D77D17" w14:textId="77777777" w:rsidR="002D3CA7" w:rsidRPr="00C56257" w:rsidRDefault="002D3CA7" w:rsidP="008E33FD">
      <w:pPr>
        <w:spacing w:line="276" w:lineRule="auto"/>
        <w:ind w:right="142" w:firstLine="709"/>
        <w:jc w:val="both"/>
        <w:rPr>
          <w:color w:val="000000" w:themeColor="text1"/>
        </w:rPr>
      </w:pPr>
      <w:r w:rsidRPr="00C56257">
        <w:rPr>
          <w:color w:val="000000" w:themeColor="text1"/>
        </w:rPr>
        <w:sym w:font="Wingdings" w:char="F09F"/>
      </w:r>
      <w:r w:rsidRPr="00C56257">
        <w:rPr>
          <w:color w:val="000000" w:themeColor="text1"/>
        </w:rPr>
        <w:t xml:space="preserve"> Mare (High – H): atunci când acționează pe o suprafață întinsă, cu un impact direct asupra parametrilor habitatului, sau când împiedică îmbunătățirea stării de conservare a acestuia</w:t>
      </w:r>
    </w:p>
    <w:p w14:paraId="3CE6B725" w14:textId="77777777" w:rsidR="002D3CA7" w:rsidRPr="00C56257" w:rsidRDefault="002D3CA7" w:rsidP="008E33FD">
      <w:pPr>
        <w:tabs>
          <w:tab w:val="left" w:pos="726"/>
        </w:tabs>
        <w:spacing w:line="276" w:lineRule="auto"/>
        <w:ind w:right="142" w:firstLine="709"/>
        <w:jc w:val="both"/>
        <w:rPr>
          <w:color w:val="000000" w:themeColor="text1"/>
        </w:rPr>
      </w:pPr>
      <w:r w:rsidRPr="00C56257">
        <w:rPr>
          <w:color w:val="000000" w:themeColor="text1"/>
        </w:rPr>
        <w:sym w:font="Wingdings" w:char="F09F"/>
      </w:r>
      <w:r w:rsidRPr="00C56257">
        <w:rPr>
          <w:color w:val="000000" w:themeColor="text1"/>
        </w:rPr>
        <w:t xml:space="preserve"> Medie (Medium – M): atunci când au o influență medie și indirectă, acționând regional în interiorul habitatului.</w:t>
      </w:r>
    </w:p>
    <w:p w14:paraId="7A0CCD78" w14:textId="77777777" w:rsidR="002D3CA7" w:rsidRPr="00C56257" w:rsidRDefault="002D3CA7" w:rsidP="008E33FD">
      <w:pPr>
        <w:spacing w:line="276" w:lineRule="auto"/>
        <w:ind w:firstLine="709"/>
        <w:jc w:val="both"/>
        <w:rPr>
          <w:color w:val="000000" w:themeColor="text1"/>
        </w:rPr>
      </w:pPr>
      <w:r w:rsidRPr="00C56257">
        <w:rPr>
          <w:color w:val="000000" w:themeColor="text1"/>
        </w:rPr>
        <w:t>Principalele presiuni și amenințări (maxim 10) sunt următoarele:</w:t>
      </w:r>
    </w:p>
    <w:p w14:paraId="58337C4A" w14:textId="77777777" w:rsidR="002D3CA7" w:rsidRPr="00C56257" w:rsidRDefault="002D3CA7" w:rsidP="008E33FD">
      <w:pPr>
        <w:numPr>
          <w:ilvl w:val="0"/>
          <w:numId w:val="12"/>
        </w:numPr>
        <w:spacing w:after="160" w:line="276" w:lineRule="auto"/>
        <w:ind w:left="284" w:firstLine="0"/>
        <w:contextualSpacing/>
        <w:jc w:val="both"/>
        <w:rPr>
          <w:rFonts w:eastAsiaTheme="minorHAnsi"/>
          <w:color w:val="000000" w:themeColor="text1"/>
          <w:lang w:val="en-US"/>
        </w:rPr>
      </w:pPr>
      <w:proofErr w:type="spellStart"/>
      <w:r w:rsidRPr="00C56257">
        <w:rPr>
          <w:rFonts w:eastAsiaTheme="minorHAnsi"/>
          <w:color w:val="000000" w:themeColor="text1"/>
          <w:lang w:val="en-US"/>
        </w:rPr>
        <w:t>Pășunatul</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intensiv</w:t>
      </w:r>
      <w:proofErr w:type="spellEnd"/>
      <w:r w:rsidRPr="00C56257">
        <w:rPr>
          <w:rFonts w:eastAsiaTheme="minorHAnsi"/>
          <w:color w:val="000000" w:themeColor="text1"/>
          <w:lang w:val="en-US"/>
        </w:rPr>
        <w:t>, cod A09</w:t>
      </w:r>
    </w:p>
    <w:p w14:paraId="4A33FAEC" w14:textId="77777777" w:rsidR="002D3CA7" w:rsidRPr="00C56257" w:rsidRDefault="002D3CA7" w:rsidP="008E33FD">
      <w:pPr>
        <w:numPr>
          <w:ilvl w:val="0"/>
          <w:numId w:val="12"/>
        </w:numPr>
        <w:spacing w:after="160" w:line="276" w:lineRule="auto"/>
        <w:ind w:left="284" w:firstLine="0"/>
        <w:contextualSpacing/>
        <w:jc w:val="both"/>
        <w:rPr>
          <w:rFonts w:eastAsiaTheme="minorHAnsi"/>
          <w:color w:val="000000" w:themeColor="text1"/>
          <w:lang w:val="fr-FR"/>
        </w:rPr>
      </w:pPr>
      <w:proofErr w:type="spellStart"/>
      <w:r w:rsidRPr="00C56257">
        <w:rPr>
          <w:rFonts w:eastAsiaTheme="minorHAnsi"/>
          <w:color w:val="000000" w:themeColor="text1"/>
          <w:lang w:val="fr-FR"/>
        </w:rPr>
        <w:t>Procese</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abiotice</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naturale</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eroziune</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secetă</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salinizare</w:t>
      </w:r>
      <w:proofErr w:type="spellEnd"/>
      <w:r w:rsidRPr="00C56257">
        <w:rPr>
          <w:rFonts w:eastAsiaTheme="minorHAnsi"/>
          <w:color w:val="000000" w:themeColor="text1"/>
          <w:lang w:val="fr-FR"/>
        </w:rPr>
        <w:t xml:space="preserve">, etc.), </w:t>
      </w:r>
      <w:proofErr w:type="spellStart"/>
      <w:r w:rsidRPr="00C56257">
        <w:rPr>
          <w:rFonts w:eastAsiaTheme="minorHAnsi"/>
          <w:color w:val="000000" w:themeColor="text1"/>
          <w:lang w:val="fr-FR"/>
        </w:rPr>
        <w:t>cod</w:t>
      </w:r>
      <w:proofErr w:type="spellEnd"/>
      <w:r w:rsidRPr="00C56257">
        <w:rPr>
          <w:rFonts w:eastAsiaTheme="minorHAnsi"/>
          <w:color w:val="000000" w:themeColor="text1"/>
          <w:lang w:val="fr-FR"/>
        </w:rPr>
        <w:t xml:space="preserve"> L01</w:t>
      </w:r>
    </w:p>
    <w:p w14:paraId="472E19FC" w14:textId="77777777" w:rsidR="002D3CA7" w:rsidRPr="00C56257" w:rsidRDefault="002D3CA7" w:rsidP="008E33FD">
      <w:pPr>
        <w:numPr>
          <w:ilvl w:val="0"/>
          <w:numId w:val="12"/>
        </w:numPr>
        <w:spacing w:after="160" w:line="276" w:lineRule="auto"/>
        <w:ind w:left="284" w:firstLine="0"/>
        <w:contextualSpacing/>
        <w:jc w:val="both"/>
        <w:rPr>
          <w:rFonts w:eastAsiaTheme="minorHAnsi"/>
          <w:color w:val="000000" w:themeColor="text1"/>
          <w:lang w:val="en-US"/>
        </w:rPr>
      </w:pPr>
      <w:proofErr w:type="spellStart"/>
      <w:r w:rsidRPr="00C56257">
        <w:rPr>
          <w:rFonts w:eastAsiaTheme="minorHAnsi"/>
          <w:color w:val="000000" w:themeColor="text1"/>
          <w:lang w:val="en-US"/>
        </w:rPr>
        <w:t>Relații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interspecifice</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concurență</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prădare</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parazitism</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agenți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patogeni</w:t>
      </w:r>
      <w:proofErr w:type="spellEnd"/>
      <w:r w:rsidRPr="00C56257">
        <w:rPr>
          <w:rFonts w:eastAsiaTheme="minorHAnsi"/>
          <w:color w:val="000000" w:themeColor="text1"/>
          <w:lang w:val="en-US"/>
        </w:rPr>
        <w:t>), cod L06</w:t>
      </w:r>
    </w:p>
    <w:p w14:paraId="4EA7A1C0" w14:textId="77777777" w:rsidR="002D3CA7" w:rsidRPr="00C56257" w:rsidRDefault="002D3CA7" w:rsidP="008E33FD">
      <w:pPr>
        <w:numPr>
          <w:ilvl w:val="0"/>
          <w:numId w:val="12"/>
        </w:numPr>
        <w:spacing w:after="160" w:line="276" w:lineRule="auto"/>
        <w:ind w:left="284" w:firstLine="0"/>
        <w:contextualSpacing/>
        <w:jc w:val="both"/>
        <w:rPr>
          <w:rFonts w:eastAsiaTheme="minorHAnsi"/>
          <w:color w:val="000000" w:themeColor="text1"/>
          <w:lang w:val="fr-FR"/>
        </w:rPr>
      </w:pPr>
      <w:r w:rsidRPr="00C56257">
        <w:rPr>
          <w:rFonts w:eastAsiaTheme="minorHAnsi"/>
          <w:color w:val="000000" w:themeColor="text1"/>
          <w:lang w:val="fr-FR"/>
        </w:rPr>
        <w:t xml:space="preserve">Sport, </w:t>
      </w:r>
      <w:proofErr w:type="spellStart"/>
      <w:r w:rsidRPr="00C56257">
        <w:rPr>
          <w:rFonts w:eastAsiaTheme="minorHAnsi"/>
          <w:color w:val="000000" w:themeColor="text1"/>
          <w:lang w:val="fr-FR"/>
        </w:rPr>
        <w:t>turism</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și</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activități</w:t>
      </w:r>
      <w:proofErr w:type="spellEnd"/>
      <w:r w:rsidRPr="00C56257">
        <w:rPr>
          <w:rFonts w:eastAsiaTheme="minorHAnsi"/>
          <w:color w:val="000000" w:themeColor="text1"/>
          <w:lang w:val="fr-FR"/>
        </w:rPr>
        <w:t xml:space="preserve"> de </w:t>
      </w:r>
      <w:proofErr w:type="spellStart"/>
      <w:r w:rsidRPr="00C56257">
        <w:rPr>
          <w:rFonts w:eastAsiaTheme="minorHAnsi"/>
          <w:color w:val="000000" w:themeColor="text1"/>
          <w:lang w:val="fr-FR"/>
        </w:rPr>
        <w:t>agrement</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cod</w:t>
      </w:r>
      <w:proofErr w:type="spellEnd"/>
      <w:r w:rsidRPr="00C56257">
        <w:rPr>
          <w:rFonts w:eastAsiaTheme="minorHAnsi"/>
          <w:color w:val="000000" w:themeColor="text1"/>
          <w:lang w:val="fr-FR"/>
        </w:rPr>
        <w:t xml:space="preserve"> F07</w:t>
      </w:r>
    </w:p>
    <w:p w14:paraId="0FF52E5A" w14:textId="77777777" w:rsidR="002D3CA7" w:rsidRPr="00C56257" w:rsidRDefault="002D3CA7" w:rsidP="008E33FD">
      <w:pPr>
        <w:spacing w:line="259" w:lineRule="auto"/>
        <w:ind w:left="720"/>
        <w:contextualSpacing/>
        <w:jc w:val="both"/>
        <w:rPr>
          <w:rFonts w:eastAsiaTheme="minorHAnsi"/>
          <w:b/>
          <w:color w:val="000000" w:themeColor="text1"/>
          <w:lang w:val="fr-FR"/>
        </w:rPr>
      </w:pPr>
    </w:p>
    <w:p w14:paraId="4BFFDFE0" w14:textId="77777777" w:rsidR="002D3CA7" w:rsidRPr="00C56257" w:rsidRDefault="002D3CA7" w:rsidP="008E33FD">
      <w:pPr>
        <w:spacing w:line="259" w:lineRule="auto"/>
        <w:contextualSpacing/>
        <w:jc w:val="both"/>
        <w:rPr>
          <w:b/>
          <w:color w:val="000000" w:themeColor="text1"/>
        </w:rPr>
      </w:pPr>
      <w:r w:rsidRPr="00C56257">
        <w:rPr>
          <w:b/>
          <w:color w:val="000000" w:themeColor="text1"/>
        </w:rPr>
        <w:t>Măsurile de conservare ale habitatelor de tufărișuri de interes comunitar</w:t>
      </w:r>
    </w:p>
    <w:p w14:paraId="323C8285" w14:textId="77777777" w:rsidR="002D3CA7" w:rsidRPr="00C56257" w:rsidRDefault="002D3CA7" w:rsidP="008E33FD">
      <w:pPr>
        <w:spacing w:line="276" w:lineRule="auto"/>
        <w:ind w:firstLine="709"/>
        <w:jc w:val="both"/>
        <w:rPr>
          <w:color w:val="000000" w:themeColor="text1"/>
        </w:rPr>
      </w:pPr>
      <w:r w:rsidRPr="00C56257">
        <w:rPr>
          <w:color w:val="000000" w:themeColor="text1"/>
        </w:rPr>
        <w:t>Măsurile de conservare au ca scop menținerea sau restabilirea stării favorabile de conservare a unui habitat. În funcție de starea măsurilor, daca acestea sunt necesare se va răspunde la următoarele trei întrebări:</w:t>
      </w:r>
    </w:p>
    <w:p w14:paraId="5668029B" w14:textId="77777777" w:rsidR="002D3CA7" w:rsidRPr="00C56257" w:rsidRDefault="002D3CA7" w:rsidP="008E33FD">
      <w:pPr>
        <w:numPr>
          <w:ilvl w:val="0"/>
          <w:numId w:val="13"/>
        </w:numPr>
        <w:spacing w:after="160" w:line="276" w:lineRule="auto"/>
        <w:contextualSpacing/>
        <w:jc w:val="both"/>
        <w:rPr>
          <w:rFonts w:eastAsiaTheme="minorHAnsi"/>
          <w:color w:val="000000" w:themeColor="text1"/>
          <w:lang w:val="en-US"/>
        </w:rPr>
      </w:pPr>
      <w:proofErr w:type="spellStart"/>
      <w:r w:rsidRPr="00C56257">
        <w:rPr>
          <w:rFonts w:eastAsiaTheme="minorHAnsi"/>
          <w:color w:val="000000" w:themeColor="text1"/>
          <w:lang w:val="fr-FR"/>
        </w:rPr>
        <w:t>Măsurile</w:t>
      </w:r>
      <w:proofErr w:type="spellEnd"/>
      <w:r w:rsidRPr="00C56257">
        <w:rPr>
          <w:rFonts w:eastAsiaTheme="minorHAnsi"/>
          <w:color w:val="000000" w:themeColor="text1"/>
          <w:lang w:val="fr-FR"/>
        </w:rPr>
        <w:t xml:space="preserve"> au </w:t>
      </w:r>
      <w:proofErr w:type="spellStart"/>
      <w:r w:rsidRPr="00C56257">
        <w:rPr>
          <w:rFonts w:eastAsiaTheme="minorHAnsi"/>
          <w:color w:val="000000" w:themeColor="text1"/>
          <w:lang w:val="fr-FR"/>
        </w:rPr>
        <w:t>fost</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identificate</w:t>
      </w:r>
      <w:proofErr w:type="spellEnd"/>
      <w:r w:rsidRPr="00C56257">
        <w:rPr>
          <w:rFonts w:eastAsiaTheme="minorHAnsi"/>
          <w:color w:val="000000" w:themeColor="text1"/>
          <w:lang w:val="fr-FR"/>
        </w:rPr>
        <w:t xml:space="preserve"> dar nu au </w:t>
      </w:r>
      <w:proofErr w:type="spellStart"/>
      <w:r w:rsidRPr="00C56257">
        <w:rPr>
          <w:rFonts w:eastAsiaTheme="minorHAnsi"/>
          <w:color w:val="000000" w:themeColor="text1"/>
          <w:lang w:val="fr-FR"/>
        </w:rPr>
        <w:t>fost</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aplicate</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încă</w:t>
      </w:r>
      <w:proofErr w:type="spellEnd"/>
      <w:r w:rsidRPr="00C56257">
        <w:rPr>
          <w:rFonts w:eastAsiaTheme="minorHAnsi"/>
          <w:color w:val="000000" w:themeColor="text1"/>
          <w:lang w:val="fr-FR"/>
        </w:rPr>
        <w:t xml:space="preserve">? </w:t>
      </w:r>
      <w:r w:rsidRPr="00C56257">
        <w:rPr>
          <w:rFonts w:eastAsiaTheme="minorHAnsi"/>
          <w:color w:val="000000" w:themeColor="text1"/>
          <w:lang w:val="en-US"/>
        </w:rPr>
        <w:t xml:space="preserve">(DA/NU); </w:t>
      </w:r>
      <w:proofErr w:type="spellStart"/>
      <w:r w:rsidRPr="00C56257">
        <w:rPr>
          <w:rFonts w:eastAsiaTheme="minorHAnsi"/>
          <w:color w:val="000000" w:themeColor="text1"/>
          <w:lang w:val="en-US"/>
        </w:rPr>
        <w:t>sau</w:t>
      </w:r>
      <w:proofErr w:type="spellEnd"/>
    </w:p>
    <w:p w14:paraId="6F38C96D" w14:textId="77777777" w:rsidR="002D3CA7" w:rsidRPr="00C56257" w:rsidRDefault="002D3CA7" w:rsidP="008E33FD">
      <w:pPr>
        <w:numPr>
          <w:ilvl w:val="0"/>
          <w:numId w:val="13"/>
        </w:numPr>
        <w:spacing w:after="160" w:line="276" w:lineRule="auto"/>
        <w:contextualSpacing/>
        <w:jc w:val="both"/>
        <w:rPr>
          <w:rFonts w:eastAsiaTheme="minorHAnsi"/>
          <w:color w:val="000000" w:themeColor="text1"/>
          <w:lang w:val="en-US"/>
        </w:rPr>
      </w:pPr>
      <w:proofErr w:type="spellStart"/>
      <w:r w:rsidRPr="00C56257">
        <w:rPr>
          <w:rFonts w:eastAsiaTheme="minorHAnsi"/>
          <w:color w:val="000000" w:themeColor="text1"/>
          <w:lang w:val="fr-FR"/>
        </w:rPr>
        <w:t>Măsurile</w:t>
      </w:r>
      <w:proofErr w:type="spellEnd"/>
      <w:r w:rsidRPr="00C56257">
        <w:rPr>
          <w:rFonts w:eastAsiaTheme="minorHAnsi"/>
          <w:color w:val="000000" w:themeColor="text1"/>
          <w:lang w:val="fr-FR"/>
        </w:rPr>
        <w:t xml:space="preserve"> au </w:t>
      </w:r>
      <w:proofErr w:type="spellStart"/>
      <w:r w:rsidRPr="00C56257">
        <w:rPr>
          <w:rFonts w:eastAsiaTheme="minorHAnsi"/>
          <w:color w:val="000000" w:themeColor="text1"/>
          <w:lang w:val="fr-FR"/>
        </w:rPr>
        <w:t>fost</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identificate</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și</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aplicate</w:t>
      </w:r>
      <w:proofErr w:type="spellEnd"/>
      <w:r w:rsidRPr="00C56257">
        <w:rPr>
          <w:rFonts w:eastAsiaTheme="minorHAnsi"/>
          <w:color w:val="000000" w:themeColor="text1"/>
          <w:lang w:val="fr-FR"/>
        </w:rPr>
        <w:t xml:space="preserve">? </w:t>
      </w:r>
      <w:r w:rsidRPr="00C56257">
        <w:rPr>
          <w:rFonts w:eastAsiaTheme="minorHAnsi"/>
          <w:color w:val="000000" w:themeColor="text1"/>
          <w:lang w:val="en-US"/>
        </w:rPr>
        <w:t xml:space="preserve">(DA/NU); </w:t>
      </w:r>
      <w:proofErr w:type="spellStart"/>
      <w:r w:rsidRPr="00C56257">
        <w:rPr>
          <w:rFonts w:eastAsiaTheme="minorHAnsi"/>
          <w:color w:val="000000" w:themeColor="text1"/>
          <w:lang w:val="en-US"/>
        </w:rPr>
        <w:t>sau</w:t>
      </w:r>
      <w:proofErr w:type="spellEnd"/>
    </w:p>
    <w:p w14:paraId="7094419F" w14:textId="77777777" w:rsidR="002D3CA7" w:rsidRPr="00C56257" w:rsidRDefault="002D3CA7" w:rsidP="008E33FD">
      <w:pPr>
        <w:numPr>
          <w:ilvl w:val="0"/>
          <w:numId w:val="13"/>
        </w:numPr>
        <w:spacing w:after="160" w:line="276" w:lineRule="auto"/>
        <w:contextualSpacing/>
        <w:jc w:val="both"/>
        <w:rPr>
          <w:rFonts w:eastAsiaTheme="minorHAnsi"/>
          <w:color w:val="000000" w:themeColor="text1"/>
          <w:lang w:val="en-US"/>
        </w:rPr>
      </w:pPr>
      <w:r w:rsidRPr="00C56257">
        <w:rPr>
          <w:rFonts w:eastAsiaTheme="minorHAnsi"/>
          <w:color w:val="000000" w:themeColor="text1"/>
          <w:lang w:val="en-US"/>
        </w:rPr>
        <w:t xml:space="preserve">Sunt </w:t>
      </w:r>
      <w:proofErr w:type="spellStart"/>
      <w:r w:rsidRPr="00C56257">
        <w:rPr>
          <w:rFonts w:eastAsiaTheme="minorHAnsi"/>
          <w:color w:val="000000" w:themeColor="text1"/>
          <w:lang w:val="en-US"/>
        </w:rPr>
        <w:t>necesare</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măsuri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dar</w:t>
      </w:r>
      <w:proofErr w:type="spellEnd"/>
      <w:r w:rsidRPr="00C56257">
        <w:rPr>
          <w:rFonts w:eastAsiaTheme="minorHAnsi"/>
          <w:color w:val="000000" w:themeColor="text1"/>
          <w:lang w:val="en-US"/>
        </w:rPr>
        <w:t xml:space="preserve"> nu pot fi </w:t>
      </w:r>
      <w:proofErr w:type="spellStart"/>
      <w:r w:rsidRPr="00C56257">
        <w:rPr>
          <w:rFonts w:eastAsiaTheme="minorHAnsi"/>
          <w:color w:val="000000" w:themeColor="text1"/>
          <w:lang w:val="en-US"/>
        </w:rPr>
        <w:t>identificate</w:t>
      </w:r>
      <w:proofErr w:type="spellEnd"/>
      <w:r w:rsidRPr="00C56257">
        <w:rPr>
          <w:rFonts w:eastAsiaTheme="minorHAnsi"/>
          <w:color w:val="000000" w:themeColor="text1"/>
          <w:lang w:val="en-US"/>
        </w:rPr>
        <w:t>? (DA/NU).</w:t>
      </w:r>
    </w:p>
    <w:p w14:paraId="02A667AD" w14:textId="77777777" w:rsidR="002D3CA7" w:rsidRPr="00C56257" w:rsidRDefault="002D3CA7" w:rsidP="008E33FD">
      <w:pPr>
        <w:spacing w:line="276" w:lineRule="auto"/>
        <w:jc w:val="both"/>
        <w:rPr>
          <w:color w:val="000000" w:themeColor="text1"/>
        </w:rPr>
      </w:pPr>
      <w:r w:rsidRPr="00C56257">
        <w:rPr>
          <w:color w:val="000000" w:themeColor="text1"/>
        </w:rPr>
        <w:t>Dacă masurile de conservare au fost identificate și aplicate, se va selecta opțiunea care reprezintă scopul principal al acestora:</w:t>
      </w:r>
    </w:p>
    <w:p w14:paraId="44E41583" w14:textId="77777777" w:rsidR="002D3CA7" w:rsidRPr="00C56257" w:rsidRDefault="002D3CA7" w:rsidP="008E33FD">
      <w:pPr>
        <w:numPr>
          <w:ilvl w:val="0"/>
          <w:numId w:val="14"/>
        </w:numPr>
        <w:spacing w:after="160" w:line="276" w:lineRule="auto"/>
        <w:contextualSpacing/>
        <w:jc w:val="both"/>
        <w:rPr>
          <w:rFonts w:eastAsiaTheme="minorHAnsi"/>
          <w:color w:val="000000" w:themeColor="text1"/>
          <w:lang w:val="fr-FR"/>
        </w:rPr>
      </w:pPr>
      <w:proofErr w:type="spellStart"/>
      <w:r w:rsidRPr="00C56257">
        <w:rPr>
          <w:rFonts w:eastAsiaTheme="minorHAnsi"/>
          <w:color w:val="000000" w:themeColor="text1"/>
          <w:lang w:val="fr-FR"/>
        </w:rPr>
        <w:t>Menținerea</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arealului</w:t>
      </w:r>
      <w:proofErr w:type="spellEnd"/>
      <w:r w:rsidRPr="00C56257">
        <w:rPr>
          <w:rFonts w:eastAsiaTheme="minorHAnsi"/>
          <w:color w:val="000000" w:themeColor="text1"/>
          <w:lang w:val="fr-FR"/>
        </w:rPr>
        <w:t xml:space="preserve"> curent, a </w:t>
      </w:r>
      <w:proofErr w:type="spellStart"/>
      <w:r w:rsidRPr="00C56257">
        <w:rPr>
          <w:rFonts w:eastAsiaTheme="minorHAnsi"/>
          <w:color w:val="000000" w:themeColor="text1"/>
          <w:lang w:val="fr-FR"/>
        </w:rPr>
        <w:t>suprafeței</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sau</w:t>
      </w:r>
      <w:proofErr w:type="spellEnd"/>
      <w:r w:rsidRPr="00C56257">
        <w:rPr>
          <w:rFonts w:eastAsiaTheme="minorHAnsi"/>
          <w:color w:val="000000" w:themeColor="text1"/>
          <w:lang w:val="fr-FR"/>
        </w:rPr>
        <w:t xml:space="preserve"> a </w:t>
      </w:r>
      <w:proofErr w:type="spellStart"/>
      <w:r w:rsidRPr="00C56257">
        <w:rPr>
          <w:rFonts w:eastAsiaTheme="minorHAnsi"/>
          <w:color w:val="000000" w:themeColor="text1"/>
          <w:lang w:val="fr-FR"/>
        </w:rPr>
        <w:t>structurii</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și</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funcțiilor</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tipului</w:t>
      </w:r>
      <w:proofErr w:type="spellEnd"/>
      <w:r w:rsidRPr="00C56257">
        <w:rPr>
          <w:rFonts w:eastAsiaTheme="minorHAnsi"/>
          <w:color w:val="000000" w:themeColor="text1"/>
          <w:lang w:val="fr-FR"/>
        </w:rPr>
        <w:t xml:space="preserve"> de habitat</w:t>
      </w:r>
    </w:p>
    <w:p w14:paraId="7D1A2F3C" w14:textId="77777777" w:rsidR="002D3CA7" w:rsidRPr="00C56257" w:rsidRDefault="002D3CA7" w:rsidP="008E33FD">
      <w:pPr>
        <w:numPr>
          <w:ilvl w:val="0"/>
          <w:numId w:val="14"/>
        </w:numPr>
        <w:spacing w:after="160" w:line="276" w:lineRule="auto"/>
        <w:contextualSpacing/>
        <w:jc w:val="both"/>
        <w:rPr>
          <w:rFonts w:eastAsiaTheme="minorHAnsi"/>
          <w:color w:val="000000" w:themeColor="text1"/>
          <w:lang w:val="fr-FR"/>
        </w:rPr>
      </w:pPr>
      <w:proofErr w:type="spellStart"/>
      <w:r w:rsidRPr="00C56257">
        <w:rPr>
          <w:rFonts w:eastAsiaTheme="minorHAnsi"/>
          <w:color w:val="000000" w:themeColor="text1"/>
          <w:lang w:val="fr-FR"/>
        </w:rPr>
        <w:t>Extinderea</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arealului</w:t>
      </w:r>
      <w:proofErr w:type="spellEnd"/>
      <w:r w:rsidRPr="00C56257">
        <w:rPr>
          <w:rFonts w:eastAsiaTheme="minorHAnsi"/>
          <w:color w:val="000000" w:themeColor="text1"/>
          <w:lang w:val="fr-FR"/>
        </w:rPr>
        <w:t xml:space="preserve"> curent al </w:t>
      </w:r>
      <w:proofErr w:type="spellStart"/>
      <w:r w:rsidRPr="00C56257">
        <w:rPr>
          <w:rFonts w:eastAsiaTheme="minorHAnsi"/>
          <w:color w:val="000000" w:themeColor="text1"/>
          <w:lang w:val="fr-FR"/>
        </w:rPr>
        <w:t>tipului</w:t>
      </w:r>
      <w:proofErr w:type="spellEnd"/>
      <w:r w:rsidRPr="00C56257">
        <w:rPr>
          <w:rFonts w:eastAsiaTheme="minorHAnsi"/>
          <w:color w:val="000000" w:themeColor="text1"/>
          <w:lang w:val="fr-FR"/>
        </w:rPr>
        <w:t xml:space="preserve"> de habitat</w:t>
      </w:r>
    </w:p>
    <w:p w14:paraId="7093102C" w14:textId="77777777" w:rsidR="002D3CA7" w:rsidRPr="00C56257" w:rsidRDefault="002D3CA7" w:rsidP="008E33FD">
      <w:pPr>
        <w:numPr>
          <w:ilvl w:val="0"/>
          <w:numId w:val="14"/>
        </w:numPr>
        <w:spacing w:after="160" w:line="276" w:lineRule="auto"/>
        <w:contextualSpacing/>
        <w:jc w:val="both"/>
        <w:rPr>
          <w:rFonts w:eastAsiaTheme="minorHAnsi"/>
          <w:color w:val="000000" w:themeColor="text1"/>
          <w:lang w:val="en-US"/>
        </w:rPr>
      </w:pPr>
      <w:proofErr w:type="spellStart"/>
      <w:r w:rsidRPr="00C56257">
        <w:rPr>
          <w:rFonts w:eastAsiaTheme="minorHAnsi"/>
          <w:color w:val="000000" w:themeColor="text1"/>
          <w:lang w:val="en-US"/>
        </w:rPr>
        <w:t>Creșterea</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suprafeței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acoperite</w:t>
      </w:r>
      <w:proofErr w:type="spellEnd"/>
      <w:r w:rsidRPr="00C56257">
        <w:rPr>
          <w:rFonts w:eastAsiaTheme="minorHAnsi"/>
          <w:color w:val="000000" w:themeColor="text1"/>
          <w:lang w:val="en-US"/>
        </w:rPr>
        <w:t xml:space="preserve"> de habitat</w:t>
      </w:r>
    </w:p>
    <w:p w14:paraId="54E06018" w14:textId="77777777" w:rsidR="002D3CA7" w:rsidRPr="00C56257" w:rsidRDefault="002D3CA7" w:rsidP="008E33FD">
      <w:pPr>
        <w:numPr>
          <w:ilvl w:val="0"/>
          <w:numId w:val="14"/>
        </w:numPr>
        <w:spacing w:after="160" w:line="276" w:lineRule="auto"/>
        <w:contextualSpacing/>
        <w:jc w:val="both"/>
        <w:rPr>
          <w:rFonts w:eastAsiaTheme="minorHAnsi"/>
          <w:color w:val="000000" w:themeColor="text1"/>
          <w:lang w:val="en-US"/>
        </w:rPr>
      </w:pPr>
      <w:proofErr w:type="spellStart"/>
      <w:r w:rsidRPr="00C56257">
        <w:rPr>
          <w:rFonts w:eastAsiaTheme="minorHAnsi"/>
          <w:color w:val="000000" w:themeColor="text1"/>
          <w:lang w:val="en-US"/>
        </w:rPr>
        <w:t>Restabilirea</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structurii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și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funcțiilor</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incluzând</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starea</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speciilor</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caracteristice</w:t>
      </w:r>
      <w:proofErr w:type="spellEnd"/>
    </w:p>
    <w:p w14:paraId="3ED35927" w14:textId="77777777" w:rsidR="002D3CA7" w:rsidRPr="00C56257" w:rsidRDefault="002D3CA7" w:rsidP="008E33FD">
      <w:pPr>
        <w:spacing w:line="276" w:lineRule="auto"/>
        <w:jc w:val="both"/>
        <w:rPr>
          <w:color w:val="000000" w:themeColor="text1"/>
        </w:rPr>
      </w:pPr>
      <w:r w:rsidRPr="00C56257">
        <w:rPr>
          <w:color w:val="000000" w:themeColor="text1"/>
        </w:rPr>
        <w:t>În funcție de locația unde măsurile de conservare au fost identificate și aplicate, se va indica una din opțiunile următoare</w:t>
      </w:r>
    </w:p>
    <w:p w14:paraId="4D0FFE3D" w14:textId="77777777" w:rsidR="002D3CA7" w:rsidRPr="00C56257" w:rsidRDefault="002D3CA7" w:rsidP="008E33FD">
      <w:pPr>
        <w:numPr>
          <w:ilvl w:val="0"/>
          <w:numId w:val="15"/>
        </w:numPr>
        <w:spacing w:after="160" w:line="276" w:lineRule="auto"/>
        <w:contextualSpacing/>
        <w:jc w:val="both"/>
        <w:rPr>
          <w:rFonts w:eastAsiaTheme="minorHAnsi"/>
          <w:color w:val="000000" w:themeColor="text1"/>
          <w:lang w:val="en-US"/>
        </w:rPr>
      </w:pPr>
      <w:r w:rsidRPr="00C56257">
        <w:rPr>
          <w:rFonts w:eastAsiaTheme="minorHAnsi"/>
          <w:color w:val="000000" w:themeColor="text1"/>
          <w:lang w:val="en-US"/>
        </w:rPr>
        <w:t xml:space="preserve">Doar </w:t>
      </w:r>
      <w:proofErr w:type="spellStart"/>
      <w:r w:rsidRPr="00C56257">
        <w:rPr>
          <w:rFonts w:eastAsiaTheme="minorHAnsi"/>
          <w:color w:val="000000" w:themeColor="text1"/>
          <w:lang w:val="en-US"/>
        </w:rPr>
        <w:t>în</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interiorul</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siturilor</w:t>
      </w:r>
      <w:proofErr w:type="spellEnd"/>
      <w:r w:rsidRPr="00C56257">
        <w:rPr>
          <w:rFonts w:eastAsiaTheme="minorHAnsi"/>
          <w:color w:val="000000" w:themeColor="text1"/>
          <w:lang w:val="en-US"/>
        </w:rPr>
        <w:t xml:space="preserve"> Natura 2000</w:t>
      </w:r>
    </w:p>
    <w:p w14:paraId="79995887" w14:textId="77777777" w:rsidR="002D3CA7" w:rsidRPr="00C56257" w:rsidRDefault="002D3CA7" w:rsidP="008E33FD">
      <w:pPr>
        <w:numPr>
          <w:ilvl w:val="0"/>
          <w:numId w:val="15"/>
        </w:numPr>
        <w:spacing w:after="160" w:line="276" w:lineRule="auto"/>
        <w:contextualSpacing/>
        <w:jc w:val="both"/>
        <w:rPr>
          <w:rFonts w:eastAsiaTheme="minorHAnsi"/>
          <w:color w:val="000000" w:themeColor="text1"/>
          <w:lang w:val="en-US"/>
        </w:rPr>
      </w:pPr>
      <w:proofErr w:type="spellStart"/>
      <w:r w:rsidRPr="00C56257">
        <w:rPr>
          <w:rFonts w:eastAsiaTheme="minorHAnsi"/>
          <w:color w:val="000000" w:themeColor="text1"/>
          <w:lang w:val="en-US"/>
        </w:rPr>
        <w:t>Atât</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în</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interiorul</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cât</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și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în</w:t>
      </w:r>
      <w:proofErr w:type="spellEnd"/>
      <w:r w:rsidRPr="00C56257">
        <w:rPr>
          <w:rFonts w:eastAsiaTheme="minorHAnsi"/>
          <w:color w:val="000000" w:themeColor="text1"/>
          <w:lang w:val="en-US"/>
        </w:rPr>
        <w:t xml:space="preserve"> afara </w:t>
      </w:r>
      <w:proofErr w:type="spellStart"/>
      <w:r w:rsidRPr="00C56257">
        <w:rPr>
          <w:rFonts w:eastAsiaTheme="minorHAnsi"/>
          <w:color w:val="000000" w:themeColor="text1"/>
          <w:lang w:val="en-US"/>
        </w:rPr>
        <w:t>siturilor</w:t>
      </w:r>
      <w:proofErr w:type="spellEnd"/>
      <w:r w:rsidRPr="00C56257">
        <w:rPr>
          <w:rFonts w:eastAsiaTheme="minorHAnsi"/>
          <w:color w:val="000000" w:themeColor="text1"/>
          <w:lang w:val="en-US"/>
        </w:rPr>
        <w:t xml:space="preserve"> Natura 2000.</w:t>
      </w:r>
    </w:p>
    <w:p w14:paraId="0AE6223D" w14:textId="77777777" w:rsidR="002D3CA7" w:rsidRPr="00C56257" w:rsidRDefault="002D3CA7" w:rsidP="008E33FD">
      <w:pPr>
        <w:numPr>
          <w:ilvl w:val="0"/>
          <w:numId w:val="15"/>
        </w:numPr>
        <w:spacing w:after="160" w:line="276" w:lineRule="auto"/>
        <w:contextualSpacing/>
        <w:jc w:val="both"/>
        <w:rPr>
          <w:rFonts w:eastAsiaTheme="minorHAnsi"/>
          <w:color w:val="000000" w:themeColor="text1"/>
          <w:lang w:val="en-US"/>
        </w:rPr>
      </w:pPr>
      <w:r w:rsidRPr="00C56257">
        <w:rPr>
          <w:rFonts w:eastAsiaTheme="minorHAnsi"/>
          <w:color w:val="000000" w:themeColor="text1"/>
          <w:lang w:val="en-US"/>
        </w:rPr>
        <w:t xml:space="preserve">Doar </w:t>
      </w:r>
      <w:proofErr w:type="spellStart"/>
      <w:r w:rsidRPr="00C56257">
        <w:rPr>
          <w:rFonts w:eastAsiaTheme="minorHAnsi"/>
          <w:color w:val="000000" w:themeColor="text1"/>
          <w:lang w:val="en-US"/>
        </w:rPr>
        <w:t>în</w:t>
      </w:r>
      <w:proofErr w:type="spellEnd"/>
      <w:r w:rsidRPr="00C56257">
        <w:rPr>
          <w:rFonts w:eastAsiaTheme="minorHAnsi"/>
          <w:color w:val="000000" w:themeColor="text1"/>
          <w:lang w:val="en-US"/>
        </w:rPr>
        <w:t xml:space="preserve"> afara </w:t>
      </w:r>
      <w:proofErr w:type="spellStart"/>
      <w:r w:rsidRPr="00C56257">
        <w:rPr>
          <w:rFonts w:eastAsiaTheme="minorHAnsi"/>
          <w:color w:val="000000" w:themeColor="text1"/>
          <w:lang w:val="en-US"/>
        </w:rPr>
        <w:t>siturilor</w:t>
      </w:r>
      <w:proofErr w:type="spellEnd"/>
      <w:r w:rsidRPr="00C56257">
        <w:rPr>
          <w:rFonts w:eastAsiaTheme="minorHAnsi"/>
          <w:color w:val="000000" w:themeColor="text1"/>
          <w:lang w:val="en-US"/>
        </w:rPr>
        <w:t xml:space="preserve"> Natura 2000.</w:t>
      </w:r>
    </w:p>
    <w:p w14:paraId="39BC46EB" w14:textId="77777777" w:rsidR="002D3CA7" w:rsidRPr="00C56257" w:rsidRDefault="002D3CA7" w:rsidP="008E33FD">
      <w:pPr>
        <w:spacing w:line="276" w:lineRule="auto"/>
        <w:jc w:val="both"/>
        <w:rPr>
          <w:color w:val="000000" w:themeColor="text1"/>
        </w:rPr>
      </w:pPr>
      <w:r w:rsidRPr="00C56257">
        <w:rPr>
          <w:color w:val="000000" w:themeColor="text1"/>
        </w:rPr>
        <w:t>Îm funcție  de perioada când măsurile de conservare vor începe sau se asteaptă să producă efecte pozitive, se va selecta una din următoarele opțiuni:</w:t>
      </w:r>
    </w:p>
    <w:p w14:paraId="06F96729" w14:textId="77777777" w:rsidR="002D3CA7" w:rsidRPr="00C56257" w:rsidRDefault="002D3CA7" w:rsidP="008E33FD">
      <w:pPr>
        <w:numPr>
          <w:ilvl w:val="0"/>
          <w:numId w:val="16"/>
        </w:numPr>
        <w:spacing w:after="160" w:line="276" w:lineRule="auto"/>
        <w:contextualSpacing/>
        <w:jc w:val="both"/>
        <w:rPr>
          <w:rFonts w:eastAsiaTheme="minorHAnsi"/>
          <w:color w:val="000000" w:themeColor="text1"/>
          <w:lang w:val="fr-FR"/>
        </w:rPr>
      </w:pPr>
      <w:proofErr w:type="spellStart"/>
      <w:r w:rsidRPr="00C56257">
        <w:rPr>
          <w:rFonts w:eastAsiaTheme="minorHAnsi"/>
          <w:color w:val="000000" w:themeColor="text1"/>
          <w:lang w:val="fr-FR"/>
        </w:rPr>
        <w:t>Rezultate</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pe</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termen</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scurt</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în</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decursul</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perioadei</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curente</w:t>
      </w:r>
      <w:proofErr w:type="spellEnd"/>
      <w:r w:rsidRPr="00C56257">
        <w:rPr>
          <w:rFonts w:eastAsiaTheme="minorHAnsi"/>
          <w:color w:val="000000" w:themeColor="text1"/>
          <w:lang w:val="fr-FR"/>
        </w:rPr>
        <w:t xml:space="preserve"> de </w:t>
      </w:r>
      <w:proofErr w:type="spellStart"/>
      <w:r w:rsidRPr="00C56257">
        <w:rPr>
          <w:rFonts w:eastAsiaTheme="minorHAnsi"/>
          <w:color w:val="000000" w:themeColor="text1"/>
          <w:lang w:val="fr-FR"/>
        </w:rPr>
        <w:t>raportare</w:t>
      </w:r>
      <w:proofErr w:type="spellEnd"/>
      <w:r w:rsidRPr="00C56257">
        <w:rPr>
          <w:rFonts w:eastAsiaTheme="minorHAnsi"/>
          <w:color w:val="000000" w:themeColor="text1"/>
          <w:lang w:val="fr-FR"/>
        </w:rPr>
        <w:t>, anii 2013 - 2018)</w:t>
      </w:r>
    </w:p>
    <w:p w14:paraId="28F755CE" w14:textId="77777777" w:rsidR="002D3CA7" w:rsidRPr="00C56257" w:rsidRDefault="002D3CA7" w:rsidP="008E33FD">
      <w:pPr>
        <w:numPr>
          <w:ilvl w:val="0"/>
          <w:numId w:val="16"/>
        </w:numPr>
        <w:spacing w:after="160" w:line="276" w:lineRule="auto"/>
        <w:contextualSpacing/>
        <w:jc w:val="both"/>
        <w:rPr>
          <w:rFonts w:eastAsiaTheme="minorHAnsi"/>
          <w:color w:val="000000" w:themeColor="text1"/>
          <w:lang w:val="en-US"/>
        </w:rPr>
      </w:pPr>
      <w:proofErr w:type="spellStart"/>
      <w:r w:rsidRPr="00C56257">
        <w:rPr>
          <w:rFonts w:eastAsiaTheme="minorHAnsi"/>
          <w:color w:val="000000" w:themeColor="text1"/>
          <w:lang w:val="en-US"/>
        </w:rPr>
        <w:t>Rezultate</w:t>
      </w:r>
      <w:proofErr w:type="spellEnd"/>
      <w:r w:rsidRPr="00C56257">
        <w:rPr>
          <w:rFonts w:eastAsiaTheme="minorHAnsi"/>
          <w:color w:val="000000" w:themeColor="text1"/>
          <w:lang w:val="en-US"/>
        </w:rPr>
        <w:t xml:space="preserve"> pe termen </w:t>
      </w:r>
      <w:proofErr w:type="spellStart"/>
      <w:r w:rsidRPr="00C56257">
        <w:rPr>
          <w:rFonts w:eastAsiaTheme="minorHAnsi"/>
          <w:color w:val="000000" w:themeColor="text1"/>
          <w:lang w:val="en-US"/>
        </w:rPr>
        <w:t>mediu</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în</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decursul</w:t>
      </w:r>
      <w:proofErr w:type="spellEnd"/>
      <w:r w:rsidRPr="00C56257">
        <w:rPr>
          <w:rFonts w:eastAsiaTheme="minorHAnsi"/>
          <w:color w:val="000000" w:themeColor="text1"/>
          <w:lang w:val="en-US"/>
        </w:rPr>
        <w:t xml:space="preserve"> a </w:t>
      </w:r>
      <w:proofErr w:type="spellStart"/>
      <w:r w:rsidRPr="00C56257">
        <w:rPr>
          <w:rFonts w:eastAsiaTheme="minorHAnsi"/>
          <w:color w:val="000000" w:themeColor="text1"/>
          <w:lang w:val="en-US"/>
        </w:rPr>
        <w:t>două</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perioade</w:t>
      </w:r>
      <w:proofErr w:type="spellEnd"/>
      <w:r w:rsidRPr="00C56257">
        <w:rPr>
          <w:rFonts w:eastAsiaTheme="minorHAnsi"/>
          <w:color w:val="000000" w:themeColor="text1"/>
          <w:lang w:val="en-US"/>
        </w:rPr>
        <w:t xml:space="preserve"> de </w:t>
      </w:r>
      <w:proofErr w:type="spellStart"/>
      <w:r w:rsidRPr="00C56257">
        <w:rPr>
          <w:rFonts w:eastAsiaTheme="minorHAnsi"/>
          <w:color w:val="000000" w:themeColor="text1"/>
          <w:lang w:val="en-US"/>
        </w:rPr>
        <w:t>raportare</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anii</w:t>
      </w:r>
      <w:proofErr w:type="spellEnd"/>
      <w:r w:rsidRPr="00C56257">
        <w:rPr>
          <w:rFonts w:eastAsiaTheme="minorHAnsi"/>
          <w:color w:val="000000" w:themeColor="text1"/>
          <w:lang w:val="en-US"/>
        </w:rPr>
        <w:t xml:space="preserve"> 2019 - 2030) </w:t>
      </w:r>
    </w:p>
    <w:p w14:paraId="33A3855F" w14:textId="77777777" w:rsidR="002D3CA7" w:rsidRPr="00C56257" w:rsidRDefault="002D3CA7" w:rsidP="008E33FD">
      <w:pPr>
        <w:numPr>
          <w:ilvl w:val="0"/>
          <w:numId w:val="16"/>
        </w:numPr>
        <w:spacing w:after="160" w:line="276" w:lineRule="auto"/>
        <w:contextualSpacing/>
        <w:jc w:val="both"/>
        <w:rPr>
          <w:rFonts w:eastAsiaTheme="minorHAnsi"/>
          <w:color w:val="000000" w:themeColor="text1"/>
          <w:lang w:val="en-US"/>
        </w:rPr>
      </w:pPr>
      <w:proofErr w:type="spellStart"/>
      <w:r w:rsidRPr="00C56257">
        <w:rPr>
          <w:rFonts w:eastAsiaTheme="minorHAnsi"/>
          <w:color w:val="000000" w:themeColor="text1"/>
          <w:lang w:val="en-US"/>
        </w:rPr>
        <w:t>Rezultate</w:t>
      </w:r>
      <w:proofErr w:type="spellEnd"/>
      <w:r w:rsidRPr="00C56257">
        <w:rPr>
          <w:rFonts w:eastAsiaTheme="minorHAnsi"/>
          <w:color w:val="000000" w:themeColor="text1"/>
          <w:lang w:val="en-US"/>
        </w:rPr>
        <w:t xml:space="preserve"> pe termen lung (</w:t>
      </w:r>
      <w:proofErr w:type="spellStart"/>
      <w:r w:rsidRPr="00C56257">
        <w:rPr>
          <w:rFonts w:eastAsiaTheme="minorHAnsi"/>
          <w:color w:val="000000" w:themeColor="text1"/>
          <w:lang w:val="en-US"/>
        </w:rPr>
        <w:t>după</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anul</w:t>
      </w:r>
      <w:proofErr w:type="spellEnd"/>
      <w:r w:rsidRPr="00C56257">
        <w:rPr>
          <w:rFonts w:eastAsiaTheme="minorHAnsi"/>
          <w:color w:val="000000" w:themeColor="text1"/>
          <w:lang w:val="en-US"/>
        </w:rPr>
        <w:t xml:space="preserve"> 2030)</w:t>
      </w:r>
    </w:p>
    <w:p w14:paraId="23405692" w14:textId="77777777" w:rsidR="002D3CA7" w:rsidRPr="00C56257" w:rsidRDefault="002D3CA7" w:rsidP="008E33FD">
      <w:pPr>
        <w:spacing w:line="276" w:lineRule="auto"/>
        <w:jc w:val="both"/>
        <w:rPr>
          <w:color w:val="000000" w:themeColor="text1"/>
        </w:rPr>
      </w:pPr>
      <w:r w:rsidRPr="00C56257">
        <w:rPr>
          <w:color w:val="000000" w:themeColor="text1"/>
        </w:rPr>
        <w:t>Lista măsurilor de conservare (maxim 10):</w:t>
      </w:r>
    </w:p>
    <w:p w14:paraId="7645D655" w14:textId="77777777" w:rsidR="002D3CA7" w:rsidRPr="00C56257" w:rsidRDefault="002D3CA7" w:rsidP="008E33FD">
      <w:pPr>
        <w:numPr>
          <w:ilvl w:val="0"/>
          <w:numId w:val="17"/>
        </w:numPr>
        <w:spacing w:after="160" w:line="276" w:lineRule="auto"/>
        <w:contextualSpacing/>
        <w:jc w:val="both"/>
        <w:rPr>
          <w:rFonts w:eastAsiaTheme="minorHAnsi"/>
          <w:color w:val="000000" w:themeColor="text1"/>
          <w:lang w:val="en-US"/>
        </w:rPr>
      </w:pPr>
      <w:proofErr w:type="spellStart"/>
      <w:r w:rsidRPr="00C56257">
        <w:rPr>
          <w:rFonts w:eastAsiaTheme="minorHAnsi"/>
          <w:color w:val="000000" w:themeColor="text1"/>
          <w:lang w:val="en-US"/>
        </w:rPr>
        <w:t>Interzicerea</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cositului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pășunatului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și</w:t>
      </w:r>
      <w:proofErr w:type="spellEnd"/>
      <w:r w:rsidRPr="00C56257">
        <w:rPr>
          <w:rFonts w:eastAsiaTheme="minorHAnsi"/>
          <w:color w:val="000000" w:themeColor="text1"/>
          <w:lang w:val="en-US"/>
        </w:rPr>
        <w:t xml:space="preserve"> a </w:t>
      </w:r>
      <w:proofErr w:type="spellStart"/>
      <w:r w:rsidRPr="00C56257">
        <w:rPr>
          <w:rFonts w:eastAsiaTheme="minorHAnsi"/>
          <w:color w:val="000000" w:themeColor="text1"/>
          <w:lang w:val="en-US"/>
        </w:rPr>
        <w:t>altor</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activități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agricole</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echivalente</w:t>
      </w:r>
      <w:proofErr w:type="spellEnd"/>
      <w:r w:rsidRPr="00C56257">
        <w:rPr>
          <w:rFonts w:eastAsiaTheme="minorHAnsi"/>
          <w:color w:val="000000" w:themeColor="text1"/>
          <w:lang w:val="en-US"/>
        </w:rPr>
        <w:t xml:space="preserve"> CA06;</w:t>
      </w:r>
    </w:p>
    <w:p w14:paraId="703C7D07" w14:textId="77777777" w:rsidR="002D3CA7" w:rsidRPr="00C56257" w:rsidRDefault="002D3CA7" w:rsidP="008E33FD">
      <w:pPr>
        <w:numPr>
          <w:ilvl w:val="0"/>
          <w:numId w:val="17"/>
        </w:numPr>
        <w:spacing w:after="160" w:line="276" w:lineRule="auto"/>
        <w:contextualSpacing/>
        <w:jc w:val="both"/>
        <w:rPr>
          <w:rFonts w:eastAsiaTheme="minorHAnsi"/>
          <w:color w:val="000000" w:themeColor="text1"/>
          <w:lang w:val="en-US"/>
        </w:rPr>
      </w:pPr>
      <w:proofErr w:type="spellStart"/>
      <w:r w:rsidRPr="00C56257">
        <w:rPr>
          <w:rFonts w:eastAsiaTheme="minorHAnsi"/>
          <w:color w:val="000000" w:themeColor="text1"/>
          <w:lang w:val="en-US"/>
        </w:rPr>
        <w:t>Reducerea</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impactul</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sporturilor</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în</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aer</w:t>
      </w:r>
      <w:proofErr w:type="spellEnd"/>
      <w:r w:rsidRPr="00C56257">
        <w:rPr>
          <w:rFonts w:eastAsiaTheme="minorHAnsi"/>
          <w:color w:val="000000" w:themeColor="text1"/>
          <w:lang w:val="en-US"/>
        </w:rPr>
        <w:t xml:space="preserve"> liber, al </w:t>
      </w:r>
      <w:proofErr w:type="spellStart"/>
      <w:r w:rsidRPr="00C56257">
        <w:rPr>
          <w:rFonts w:eastAsiaTheme="minorHAnsi"/>
          <w:color w:val="000000" w:themeColor="text1"/>
          <w:lang w:val="en-US"/>
        </w:rPr>
        <w:t>plimbărilor</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și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activităților</w:t>
      </w:r>
      <w:proofErr w:type="spellEnd"/>
      <w:r w:rsidRPr="00C56257">
        <w:rPr>
          <w:rFonts w:eastAsiaTheme="minorHAnsi"/>
          <w:color w:val="000000" w:themeColor="text1"/>
          <w:lang w:val="en-US"/>
        </w:rPr>
        <w:t xml:space="preserve"> recreative, cod CF03;</w:t>
      </w:r>
    </w:p>
    <w:p w14:paraId="5B956303" w14:textId="77777777" w:rsidR="002D3CA7" w:rsidRPr="00C56257" w:rsidRDefault="002D3CA7" w:rsidP="008E33FD">
      <w:pPr>
        <w:numPr>
          <w:ilvl w:val="0"/>
          <w:numId w:val="17"/>
        </w:numPr>
        <w:spacing w:after="160" w:line="276" w:lineRule="auto"/>
        <w:contextualSpacing/>
        <w:jc w:val="both"/>
        <w:rPr>
          <w:rFonts w:eastAsiaTheme="minorHAnsi"/>
          <w:color w:val="000000" w:themeColor="text1"/>
          <w:lang w:val="en-US"/>
        </w:rPr>
      </w:pPr>
      <w:proofErr w:type="spellStart"/>
      <w:r w:rsidRPr="00C56257">
        <w:rPr>
          <w:rFonts w:eastAsiaTheme="minorHAnsi"/>
          <w:color w:val="000000" w:themeColor="text1"/>
          <w:lang w:val="en-US"/>
        </w:rPr>
        <w:lastRenderedPageBreak/>
        <w:t>Gestionarea</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habitatelor</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altele</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decât</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agricultura</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și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pădurea</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pentru</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încetinirea</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oprirea</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sau</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inversarea</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proceselor</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naturale</w:t>
      </w:r>
      <w:proofErr w:type="spellEnd"/>
      <w:r w:rsidRPr="00C56257">
        <w:rPr>
          <w:rFonts w:eastAsiaTheme="minorHAnsi"/>
          <w:color w:val="000000" w:themeColor="text1"/>
          <w:lang w:val="en-US"/>
        </w:rPr>
        <w:t>, cod CL01;</w:t>
      </w:r>
    </w:p>
    <w:p w14:paraId="0D045278" w14:textId="77777777" w:rsidR="002D3CA7" w:rsidRPr="00C56257" w:rsidRDefault="002D3CA7" w:rsidP="008E33FD">
      <w:pPr>
        <w:numPr>
          <w:ilvl w:val="0"/>
          <w:numId w:val="17"/>
        </w:numPr>
        <w:spacing w:after="160" w:line="276" w:lineRule="auto"/>
        <w:contextualSpacing/>
        <w:jc w:val="both"/>
        <w:rPr>
          <w:rFonts w:eastAsiaTheme="minorHAnsi"/>
          <w:color w:val="000000" w:themeColor="text1"/>
          <w:lang w:val="fr-FR"/>
        </w:rPr>
      </w:pPr>
      <w:r w:rsidRPr="00C56257">
        <w:rPr>
          <w:rFonts w:eastAsiaTheme="minorHAnsi"/>
          <w:color w:val="000000" w:themeColor="text1"/>
          <w:lang w:val="fr-FR"/>
        </w:rPr>
        <w:t xml:space="preserve">Alte </w:t>
      </w:r>
      <w:proofErr w:type="spellStart"/>
      <w:r w:rsidRPr="00C56257">
        <w:rPr>
          <w:rFonts w:eastAsiaTheme="minorHAnsi"/>
          <w:color w:val="000000" w:themeColor="text1"/>
          <w:lang w:val="fr-FR"/>
        </w:rPr>
        <w:t>măsuri</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legate</w:t>
      </w:r>
      <w:proofErr w:type="spellEnd"/>
      <w:r w:rsidRPr="00C56257">
        <w:rPr>
          <w:rFonts w:eastAsiaTheme="minorHAnsi"/>
          <w:color w:val="000000" w:themeColor="text1"/>
          <w:lang w:val="fr-FR"/>
        </w:rPr>
        <w:t xml:space="preserve"> de </w:t>
      </w:r>
      <w:proofErr w:type="spellStart"/>
      <w:r w:rsidRPr="00C56257">
        <w:rPr>
          <w:rFonts w:eastAsiaTheme="minorHAnsi"/>
          <w:color w:val="000000" w:themeColor="text1"/>
          <w:lang w:val="fr-FR"/>
        </w:rPr>
        <w:t>procesele</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natural</w:t>
      </w:r>
      <w:proofErr w:type="spellEnd"/>
      <w:r w:rsidRPr="00C56257">
        <w:rPr>
          <w:rFonts w:eastAsiaTheme="minorHAnsi"/>
          <w:color w:val="000000" w:themeColor="text1"/>
          <w:lang w:val="fr-FR"/>
        </w:rPr>
        <w:t xml:space="preserve"> (de ex. </w:t>
      </w:r>
      <w:proofErr w:type="spellStart"/>
      <w:r w:rsidRPr="00C56257">
        <w:rPr>
          <w:rFonts w:eastAsiaTheme="minorHAnsi"/>
          <w:color w:val="000000" w:themeColor="text1"/>
          <w:lang w:val="fr-FR"/>
        </w:rPr>
        <w:t>controlul</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concurenților</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naturali</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prădătorilor</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sau</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bolilor</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cod</w:t>
      </w:r>
      <w:proofErr w:type="spellEnd"/>
      <w:r w:rsidRPr="00C56257">
        <w:rPr>
          <w:rFonts w:eastAsiaTheme="minorHAnsi"/>
          <w:color w:val="000000" w:themeColor="text1"/>
          <w:lang w:val="fr-FR"/>
        </w:rPr>
        <w:t xml:space="preserve"> CL04;</w:t>
      </w:r>
    </w:p>
    <w:p w14:paraId="79DC7A0A" w14:textId="77777777" w:rsidR="002D3CA7" w:rsidRPr="00C56257" w:rsidRDefault="002D3CA7" w:rsidP="008E33FD">
      <w:pPr>
        <w:numPr>
          <w:ilvl w:val="0"/>
          <w:numId w:val="17"/>
        </w:numPr>
        <w:spacing w:after="160" w:line="259" w:lineRule="auto"/>
        <w:contextualSpacing/>
        <w:jc w:val="both"/>
        <w:rPr>
          <w:rFonts w:eastAsiaTheme="minorHAnsi"/>
          <w:color w:val="000000" w:themeColor="text1"/>
          <w:lang w:val="fr-FR"/>
        </w:rPr>
      </w:pPr>
      <w:proofErr w:type="spellStart"/>
      <w:r w:rsidRPr="00C56257">
        <w:rPr>
          <w:rFonts w:eastAsiaTheme="minorHAnsi"/>
          <w:color w:val="000000" w:themeColor="text1"/>
          <w:lang w:val="fr-FR"/>
        </w:rPr>
        <w:t>Gestionarea</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plantelor</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autohtone</w:t>
      </w:r>
      <w:proofErr w:type="spellEnd"/>
      <w:r w:rsidRPr="00C56257">
        <w:rPr>
          <w:rFonts w:eastAsiaTheme="minorHAnsi"/>
          <w:color w:val="000000" w:themeColor="text1"/>
          <w:lang w:val="fr-FR"/>
        </w:rPr>
        <w:t xml:space="preserve"> importante </w:t>
      </w:r>
      <w:proofErr w:type="spellStart"/>
      <w:r w:rsidRPr="00C56257">
        <w:rPr>
          <w:rFonts w:eastAsiaTheme="minorHAnsi"/>
          <w:color w:val="000000" w:themeColor="text1"/>
          <w:lang w:val="fr-FR"/>
        </w:rPr>
        <w:t>pentru</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restaurarea</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habitatelor</w:t>
      </w:r>
      <w:proofErr w:type="spellEnd"/>
      <w:r w:rsidRPr="00C56257">
        <w:rPr>
          <w:rFonts w:eastAsiaTheme="minorHAnsi"/>
          <w:color w:val="000000" w:themeColor="text1"/>
          <w:lang w:val="fr-FR"/>
        </w:rPr>
        <w:t xml:space="preserve"> (de </w:t>
      </w:r>
      <w:proofErr w:type="spellStart"/>
      <w:r w:rsidRPr="00C56257">
        <w:rPr>
          <w:rFonts w:eastAsiaTheme="minorHAnsi"/>
          <w:color w:val="000000" w:themeColor="text1"/>
          <w:lang w:val="fr-FR"/>
        </w:rPr>
        <w:t>exemplu</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gestionarea</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speciilor-cheie</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Include</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reintroducerea</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speciilor</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gazdă</w:t>
      </w:r>
      <w:proofErr w:type="spellEnd"/>
      <w:r w:rsidRPr="00C56257">
        <w:rPr>
          <w:rFonts w:eastAsiaTheme="minorHAnsi"/>
          <w:color w:val="000000" w:themeColor="text1"/>
          <w:lang w:val="fr-FR"/>
        </w:rPr>
        <w:t xml:space="preserve"> cruciale </w:t>
      </w:r>
      <w:proofErr w:type="spellStart"/>
      <w:r w:rsidRPr="00C56257">
        <w:rPr>
          <w:rFonts w:eastAsiaTheme="minorHAnsi"/>
          <w:color w:val="000000" w:themeColor="text1"/>
          <w:lang w:val="fr-FR"/>
        </w:rPr>
        <w:t>sau</w:t>
      </w:r>
      <w:proofErr w:type="spellEnd"/>
      <w:r w:rsidRPr="00C56257">
        <w:rPr>
          <w:rFonts w:eastAsiaTheme="minorHAnsi"/>
          <w:color w:val="000000" w:themeColor="text1"/>
          <w:lang w:val="fr-FR"/>
        </w:rPr>
        <w:t xml:space="preserve"> a </w:t>
      </w:r>
      <w:proofErr w:type="spellStart"/>
      <w:r w:rsidRPr="00C56257">
        <w:rPr>
          <w:rFonts w:eastAsiaTheme="minorHAnsi"/>
          <w:color w:val="000000" w:themeColor="text1"/>
          <w:lang w:val="fr-FR"/>
        </w:rPr>
        <w:t>altor</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specii</w:t>
      </w:r>
      <w:proofErr w:type="spellEnd"/>
      <w:r w:rsidRPr="00C56257">
        <w:rPr>
          <w:rFonts w:eastAsiaTheme="minorHAnsi"/>
          <w:color w:val="000000" w:themeColor="text1"/>
          <w:lang w:val="fr-FR"/>
        </w:rPr>
        <w:t xml:space="preserve"> care </w:t>
      </w:r>
      <w:proofErr w:type="spellStart"/>
      <w:r w:rsidRPr="00C56257">
        <w:rPr>
          <w:rFonts w:eastAsiaTheme="minorHAnsi"/>
          <w:color w:val="000000" w:themeColor="text1"/>
          <w:lang w:val="fr-FR"/>
        </w:rPr>
        <w:t>interacționează</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pozitiv</w:t>
      </w:r>
      <w:proofErr w:type="spellEnd"/>
      <w:r w:rsidRPr="00C56257">
        <w:rPr>
          <w:rFonts w:eastAsiaTheme="minorHAnsi"/>
          <w:color w:val="000000" w:themeColor="text1"/>
          <w:lang w:val="fr-FR"/>
        </w:rPr>
        <w:t xml:space="preserve"> (cum </w:t>
      </w:r>
      <w:proofErr w:type="spellStart"/>
      <w:r w:rsidRPr="00C56257">
        <w:rPr>
          <w:rFonts w:eastAsiaTheme="minorHAnsi"/>
          <w:color w:val="000000" w:themeColor="text1"/>
          <w:lang w:val="fr-FR"/>
        </w:rPr>
        <w:t>ar</w:t>
      </w:r>
      <w:proofErr w:type="spellEnd"/>
      <w:r w:rsidRPr="00C56257">
        <w:rPr>
          <w:rFonts w:eastAsiaTheme="minorHAnsi"/>
          <w:color w:val="000000" w:themeColor="text1"/>
          <w:lang w:val="fr-FR"/>
        </w:rPr>
        <w:t xml:space="preserve"> fi </w:t>
      </w:r>
      <w:proofErr w:type="spellStart"/>
      <w:r w:rsidRPr="00C56257">
        <w:rPr>
          <w:rFonts w:eastAsiaTheme="minorHAnsi"/>
          <w:color w:val="000000" w:themeColor="text1"/>
          <w:lang w:val="fr-FR"/>
        </w:rPr>
        <w:t>polenizatorii</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cod</w:t>
      </w:r>
      <w:proofErr w:type="spellEnd"/>
      <w:r w:rsidRPr="00C56257">
        <w:rPr>
          <w:rFonts w:eastAsiaTheme="minorHAnsi"/>
          <w:color w:val="000000" w:themeColor="text1"/>
          <w:lang w:val="fr-FR"/>
        </w:rPr>
        <w:t xml:space="preserve"> CS04.</w:t>
      </w:r>
    </w:p>
    <w:p w14:paraId="1A42D788" w14:textId="77777777" w:rsidR="002D3CA7" w:rsidRPr="00C56257" w:rsidRDefault="002D3CA7" w:rsidP="008E33FD">
      <w:pPr>
        <w:ind w:left="720"/>
        <w:contextualSpacing/>
        <w:jc w:val="both"/>
        <w:rPr>
          <w:rFonts w:eastAsiaTheme="minorHAnsi"/>
          <w:color w:val="000000" w:themeColor="text1"/>
          <w:lang w:val="fr-FR"/>
        </w:rPr>
      </w:pPr>
    </w:p>
    <w:p w14:paraId="115346AA" w14:textId="77777777" w:rsidR="002D3CA7" w:rsidRPr="00C56257" w:rsidRDefault="002D3CA7" w:rsidP="008E33FD">
      <w:pPr>
        <w:spacing w:line="259" w:lineRule="auto"/>
        <w:jc w:val="both"/>
        <w:rPr>
          <w:rFonts w:eastAsiaTheme="minorHAnsi"/>
          <w:b/>
          <w:bCs/>
          <w:color w:val="000000" w:themeColor="text1"/>
          <w:lang w:val="fr-FR"/>
        </w:rPr>
      </w:pPr>
      <w:r w:rsidRPr="00C56257">
        <w:rPr>
          <w:rFonts w:eastAsiaTheme="minorHAnsi"/>
          <w:b/>
          <w:bCs/>
          <w:color w:val="000000" w:themeColor="text1"/>
          <w:lang w:val="fr-FR"/>
        </w:rPr>
        <w:t xml:space="preserve">Perspective </w:t>
      </w:r>
      <w:proofErr w:type="spellStart"/>
      <w:r w:rsidRPr="00C56257">
        <w:rPr>
          <w:rFonts w:eastAsiaTheme="minorHAnsi"/>
          <w:b/>
          <w:bCs/>
          <w:color w:val="000000" w:themeColor="text1"/>
          <w:lang w:val="fr-FR"/>
        </w:rPr>
        <w:t>habitatelor</w:t>
      </w:r>
      <w:proofErr w:type="spellEnd"/>
      <w:r w:rsidRPr="00C56257">
        <w:rPr>
          <w:rFonts w:eastAsiaTheme="minorHAnsi"/>
          <w:b/>
          <w:bCs/>
          <w:color w:val="000000" w:themeColor="text1"/>
          <w:lang w:val="fr-FR"/>
        </w:rPr>
        <w:t xml:space="preserve"> de </w:t>
      </w:r>
      <w:proofErr w:type="spellStart"/>
      <w:r w:rsidRPr="00C56257">
        <w:rPr>
          <w:rFonts w:eastAsiaTheme="minorHAnsi"/>
          <w:b/>
          <w:bCs/>
          <w:color w:val="000000" w:themeColor="text1"/>
          <w:lang w:val="fr-FR"/>
        </w:rPr>
        <w:t>tufărișuri</w:t>
      </w:r>
      <w:proofErr w:type="spellEnd"/>
      <w:r w:rsidRPr="00C56257">
        <w:rPr>
          <w:rFonts w:eastAsiaTheme="minorHAnsi"/>
          <w:b/>
          <w:bCs/>
          <w:color w:val="000000" w:themeColor="text1"/>
          <w:lang w:val="fr-FR"/>
        </w:rPr>
        <w:t xml:space="preserve"> de </w:t>
      </w:r>
      <w:proofErr w:type="spellStart"/>
      <w:r w:rsidRPr="00C56257">
        <w:rPr>
          <w:rFonts w:eastAsiaTheme="minorHAnsi"/>
          <w:b/>
          <w:bCs/>
          <w:color w:val="000000" w:themeColor="text1"/>
          <w:lang w:val="fr-FR"/>
        </w:rPr>
        <w:t>interes</w:t>
      </w:r>
      <w:proofErr w:type="spellEnd"/>
      <w:r w:rsidRPr="00C56257">
        <w:rPr>
          <w:rFonts w:eastAsiaTheme="minorHAnsi"/>
          <w:b/>
          <w:bCs/>
          <w:color w:val="000000" w:themeColor="text1"/>
          <w:lang w:val="fr-FR"/>
        </w:rPr>
        <w:t xml:space="preserve"> </w:t>
      </w:r>
      <w:proofErr w:type="spellStart"/>
      <w:r w:rsidRPr="00C56257">
        <w:rPr>
          <w:rFonts w:eastAsiaTheme="minorHAnsi"/>
          <w:b/>
          <w:bCs/>
          <w:color w:val="000000" w:themeColor="text1"/>
          <w:lang w:val="fr-FR"/>
        </w:rPr>
        <w:t>comunitar</w:t>
      </w:r>
      <w:proofErr w:type="spellEnd"/>
    </w:p>
    <w:p w14:paraId="42CA9B75" w14:textId="77777777" w:rsidR="002D3CA7" w:rsidRPr="00C56257" w:rsidRDefault="002D3CA7" w:rsidP="008E33FD">
      <w:pPr>
        <w:spacing w:line="276" w:lineRule="auto"/>
        <w:ind w:firstLine="709"/>
        <w:jc w:val="both"/>
        <w:rPr>
          <w:color w:val="000000" w:themeColor="text1"/>
        </w:rPr>
      </w:pPr>
      <w:r w:rsidRPr="00C56257">
        <w:rPr>
          <w:color w:val="000000" w:themeColor="text1"/>
        </w:rPr>
        <w:t>În evaluarea stării de conservare trebuie să se țină cont și de perspectivele de evoluție ale habitatului. În ceea ce privește starea de conservare favorabilă, Articolul 1, litera „e” din Directiva Habitate, prevede ca:</w:t>
      </w:r>
    </w:p>
    <w:p w14:paraId="71BABE14" w14:textId="77777777" w:rsidR="002D3CA7" w:rsidRPr="00C56257" w:rsidRDefault="002D3CA7" w:rsidP="008E33FD">
      <w:pPr>
        <w:numPr>
          <w:ilvl w:val="0"/>
          <w:numId w:val="18"/>
        </w:numPr>
        <w:spacing w:after="160" w:line="276" w:lineRule="auto"/>
        <w:ind w:left="284" w:hanging="142"/>
        <w:contextualSpacing/>
        <w:jc w:val="both"/>
        <w:rPr>
          <w:rFonts w:eastAsiaTheme="minorHAnsi"/>
          <w:color w:val="000000" w:themeColor="text1"/>
          <w:lang w:val="en-US"/>
        </w:rPr>
      </w:pPr>
      <w:proofErr w:type="spellStart"/>
      <w:r w:rsidRPr="00C56257">
        <w:rPr>
          <w:rFonts w:eastAsiaTheme="minorHAnsi"/>
          <w:color w:val="000000" w:themeColor="text1"/>
          <w:lang w:val="en-US"/>
        </w:rPr>
        <w:t>Arealul</w:t>
      </w:r>
      <w:proofErr w:type="spellEnd"/>
      <w:r w:rsidRPr="00C56257">
        <w:rPr>
          <w:rFonts w:eastAsiaTheme="minorHAnsi"/>
          <w:color w:val="000000" w:themeColor="text1"/>
          <w:lang w:val="en-US"/>
        </w:rPr>
        <w:t xml:space="preserve"> natural </w:t>
      </w:r>
      <w:proofErr w:type="spellStart"/>
      <w:r w:rsidRPr="00C56257">
        <w:rPr>
          <w:rFonts w:eastAsiaTheme="minorHAnsi"/>
          <w:color w:val="000000" w:themeColor="text1"/>
          <w:lang w:val="en-US"/>
        </w:rPr>
        <w:t>și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suprafața</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acoperită</w:t>
      </w:r>
      <w:proofErr w:type="spellEnd"/>
      <w:r w:rsidRPr="00C56257">
        <w:rPr>
          <w:rFonts w:eastAsiaTheme="minorHAnsi"/>
          <w:color w:val="000000" w:themeColor="text1"/>
          <w:lang w:val="en-US"/>
        </w:rPr>
        <w:t xml:space="preserve"> din </w:t>
      </w:r>
      <w:proofErr w:type="spellStart"/>
      <w:r w:rsidRPr="00C56257">
        <w:rPr>
          <w:rFonts w:eastAsiaTheme="minorHAnsi"/>
          <w:color w:val="000000" w:themeColor="text1"/>
          <w:lang w:val="en-US"/>
        </w:rPr>
        <w:t>interiorul</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acestuia</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sa</w:t>
      </w:r>
      <w:proofErr w:type="spellEnd"/>
      <w:r w:rsidRPr="00C56257">
        <w:rPr>
          <w:rFonts w:eastAsiaTheme="minorHAnsi"/>
          <w:color w:val="000000" w:themeColor="text1"/>
          <w:lang w:val="en-US"/>
        </w:rPr>
        <w:t xml:space="preserve"> fie stabile </w:t>
      </w:r>
      <w:proofErr w:type="spellStart"/>
      <w:r w:rsidRPr="00C56257">
        <w:rPr>
          <w:rFonts w:eastAsiaTheme="minorHAnsi"/>
          <w:color w:val="000000" w:themeColor="text1"/>
          <w:lang w:val="en-US"/>
        </w:rPr>
        <w:t>sau</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în</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creștere</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și</w:t>
      </w:r>
      <w:proofErr w:type="spellEnd"/>
    </w:p>
    <w:p w14:paraId="241AF8A8" w14:textId="77777777" w:rsidR="002D3CA7" w:rsidRPr="00C56257" w:rsidRDefault="002D3CA7" w:rsidP="008E33FD">
      <w:pPr>
        <w:numPr>
          <w:ilvl w:val="0"/>
          <w:numId w:val="18"/>
        </w:numPr>
        <w:spacing w:after="160" w:line="276" w:lineRule="auto"/>
        <w:ind w:left="284" w:hanging="142"/>
        <w:contextualSpacing/>
        <w:jc w:val="both"/>
        <w:rPr>
          <w:rFonts w:eastAsiaTheme="minorHAnsi"/>
          <w:color w:val="000000" w:themeColor="text1"/>
          <w:lang w:val="en-US"/>
        </w:rPr>
      </w:pPr>
      <w:proofErr w:type="spellStart"/>
      <w:r w:rsidRPr="00C56257">
        <w:rPr>
          <w:rFonts w:eastAsiaTheme="minorHAnsi"/>
          <w:color w:val="000000" w:themeColor="text1"/>
          <w:lang w:val="en-US"/>
        </w:rPr>
        <w:t>Structura</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și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funcțiile</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specifice</w:t>
      </w:r>
      <w:proofErr w:type="spellEnd"/>
      <w:r w:rsidRPr="00C56257">
        <w:rPr>
          <w:rFonts w:eastAsiaTheme="minorHAnsi"/>
          <w:color w:val="000000" w:themeColor="text1"/>
          <w:lang w:val="en-US"/>
        </w:rPr>
        <w:t xml:space="preserve"> care sunt </w:t>
      </w:r>
      <w:proofErr w:type="spellStart"/>
      <w:r w:rsidRPr="00C56257">
        <w:rPr>
          <w:rFonts w:eastAsiaTheme="minorHAnsi"/>
          <w:color w:val="000000" w:themeColor="text1"/>
          <w:lang w:val="en-US"/>
        </w:rPr>
        <w:t>necesare</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pentru</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existența</w:t>
      </w:r>
      <w:proofErr w:type="spellEnd"/>
      <w:r w:rsidRPr="00C56257">
        <w:rPr>
          <w:rFonts w:eastAsiaTheme="minorHAnsi"/>
          <w:color w:val="000000" w:themeColor="text1"/>
          <w:lang w:val="en-US"/>
        </w:rPr>
        <w:t xml:space="preserve"> pe termen lung a </w:t>
      </w:r>
      <w:proofErr w:type="spellStart"/>
      <w:r w:rsidRPr="00C56257">
        <w:rPr>
          <w:rFonts w:eastAsiaTheme="minorHAnsi"/>
          <w:color w:val="000000" w:themeColor="text1"/>
          <w:lang w:val="en-US"/>
        </w:rPr>
        <w:t>habitatului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există</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și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continuă</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să</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existe</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și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în</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viitorul</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previzibil</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și</w:t>
      </w:r>
      <w:proofErr w:type="spellEnd"/>
    </w:p>
    <w:p w14:paraId="39C21462" w14:textId="77777777" w:rsidR="002D3CA7" w:rsidRPr="00C56257" w:rsidRDefault="002D3CA7" w:rsidP="008E33FD">
      <w:pPr>
        <w:numPr>
          <w:ilvl w:val="0"/>
          <w:numId w:val="18"/>
        </w:numPr>
        <w:spacing w:after="160" w:line="276" w:lineRule="auto"/>
        <w:ind w:left="284" w:hanging="142"/>
        <w:contextualSpacing/>
        <w:jc w:val="both"/>
        <w:rPr>
          <w:rFonts w:eastAsiaTheme="minorHAnsi"/>
          <w:color w:val="000000" w:themeColor="text1"/>
          <w:lang w:val="en-US"/>
        </w:rPr>
      </w:pPr>
      <w:proofErr w:type="spellStart"/>
      <w:r w:rsidRPr="00C56257">
        <w:rPr>
          <w:rFonts w:eastAsiaTheme="minorHAnsi"/>
          <w:color w:val="000000" w:themeColor="text1"/>
          <w:lang w:val="en-US"/>
        </w:rPr>
        <w:t>Starea</w:t>
      </w:r>
      <w:proofErr w:type="spellEnd"/>
      <w:r w:rsidRPr="00C56257">
        <w:rPr>
          <w:rFonts w:eastAsiaTheme="minorHAnsi"/>
          <w:color w:val="000000" w:themeColor="text1"/>
          <w:lang w:val="en-US"/>
        </w:rPr>
        <w:t xml:space="preserve"> de </w:t>
      </w:r>
      <w:proofErr w:type="spellStart"/>
      <w:r w:rsidRPr="00C56257">
        <w:rPr>
          <w:rFonts w:eastAsiaTheme="minorHAnsi"/>
          <w:color w:val="000000" w:themeColor="text1"/>
          <w:lang w:val="en-US"/>
        </w:rPr>
        <w:t>conservare</w:t>
      </w:r>
      <w:proofErr w:type="spellEnd"/>
      <w:r w:rsidRPr="00C56257">
        <w:rPr>
          <w:rFonts w:eastAsiaTheme="minorHAnsi"/>
          <w:color w:val="000000" w:themeColor="text1"/>
          <w:lang w:val="en-US"/>
        </w:rPr>
        <w:t xml:space="preserve"> a </w:t>
      </w:r>
      <w:proofErr w:type="spellStart"/>
      <w:r w:rsidRPr="00C56257">
        <w:rPr>
          <w:rFonts w:eastAsiaTheme="minorHAnsi"/>
          <w:color w:val="000000" w:themeColor="text1"/>
          <w:lang w:val="en-US"/>
        </w:rPr>
        <w:t>speciilor</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caracteristice</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este</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favorabilă</w:t>
      </w:r>
      <w:proofErr w:type="spellEnd"/>
      <w:r w:rsidRPr="00C56257">
        <w:rPr>
          <w:rFonts w:eastAsiaTheme="minorHAnsi"/>
          <w:color w:val="000000" w:themeColor="text1"/>
          <w:lang w:val="en-US"/>
        </w:rPr>
        <w:t>.</w:t>
      </w:r>
    </w:p>
    <w:p w14:paraId="6594B4CA" w14:textId="77777777" w:rsidR="002D3CA7" w:rsidRPr="00C56257" w:rsidRDefault="002D3CA7" w:rsidP="008E33FD">
      <w:pPr>
        <w:spacing w:line="276" w:lineRule="auto"/>
        <w:ind w:firstLine="709"/>
        <w:jc w:val="both"/>
        <w:rPr>
          <w:color w:val="000000" w:themeColor="text1"/>
        </w:rPr>
      </w:pPr>
      <w:r w:rsidRPr="00C56257">
        <w:rPr>
          <w:color w:val="000000" w:themeColor="text1"/>
        </w:rPr>
        <w:t>Perspectivele de evoluție se determină prin evaluarea individuală a tendințelor viitoare preconizate a trei parametrii (areal, suprafață, structură și funcții) ținând cont de starea actuală de conservare, de amenințări dar și de măsurile de conservare aplicate sau planificate pentru viitor. După ce perspectivele fiecărui parametru au fost evaluate, acestea trebuiesc agregate pentru a oferi o evaluare generală, ce poate fi împărțită în trei pași:</w:t>
      </w:r>
    </w:p>
    <w:p w14:paraId="14E88446" w14:textId="77777777" w:rsidR="002D3CA7" w:rsidRPr="00C56257" w:rsidRDefault="002D3CA7" w:rsidP="008E33FD">
      <w:pPr>
        <w:numPr>
          <w:ilvl w:val="0"/>
          <w:numId w:val="19"/>
        </w:numPr>
        <w:spacing w:after="160" w:line="276" w:lineRule="auto"/>
        <w:ind w:left="142" w:firstLine="0"/>
        <w:contextualSpacing/>
        <w:jc w:val="both"/>
        <w:rPr>
          <w:rFonts w:eastAsiaTheme="minorHAnsi"/>
          <w:color w:val="000000" w:themeColor="text1"/>
          <w:lang w:val="en-US"/>
        </w:rPr>
      </w:pPr>
      <w:proofErr w:type="spellStart"/>
      <w:r w:rsidRPr="00C56257">
        <w:rPr>
          <w:rFonts w:eastAsiaTheme="minorHAnsi"/>
          <w:color w:val="000000" w:themeColor="text1"/>
          <w:lang w:val="en-US"/>
        </w:rPr>
        <w:t>Tendința</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viitoare</w:t>
      </w:r>
      <w:proofErr w:type="spellEnd"/>
      <w:r w:rsidRPr="00C56257">
        <w:rPr>
          <w:rFonts w:eastAsiaTheme="minorHAnsi"/>
          <w:color w:val="000000" w:themeColor="text1"/>
          <w:lang w:val="en-US"/>
        </w:rPr>
        <w:t xml:space="preserve"> a </w:t>
      </w:r>
      <w:proofErr w:type="spellStart"/>
      <w:r w:rsidRPr="00C56257">
        <w:rPr>
          <w:rFonts w:eastAsiaTheme="minorHAnsi"/>
          <w:color w:val="000000" w:themeColor="text1"/>
          <w:lang w:val="en-US"/>
        </w:rPr>
        <w:t>unui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parametru</w:t>
      </w:r>
      <w:proofErr w:type="spellEnd"/>
    </w:p>
    <w:p w14:paraId="37273192" w14:textId="77777777" w:rsidR="002D3CA7" w:rsidRPr="00C56257" w:rsidRDefault="002D3CA7" w:rsidP="008E33FD">
      <w:pPr>
        <w:numPr>
          <w:ilvl w:val="0"/>
          <w:numId w:val="19"/>
        </w:numPr>
        <w:spacing w:after="160" w:line="276" w:lineRule="auto"/>
        <w:ind w:left="142" w:firstLine="0"/>
        <w:contextualSpacing/>
        <w:jc w:val="both"/>
        <w:rPr>
          <w:rFonts w:eastAsiaTheme="minorHAnsi"/>
          <w:color w:val="000000" w:themeColor="text1"/>
          <w:lang w:val="en-US"/>
        </w:rPr>
      </w:pPr>
      <w:proofErr w:type="spellStart"/>
      <w:r w:rsidRPr="00C56257">
        <w:rPr>
          <w:rFonts w:eastAsiaTheme="minorHAnsi"/>
          <w:color w:val="000000" w:themeColor="text1"/>
          <w:lang w:val="en-US"/>
        </w:rPr>
        <w:t>Perspectivele</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unui</w:t>
      </w:r>
      <w:proofErr w:type="spellEnd"/>
      <w:r w:rsidRPr="00C56257">
        <w:rPr>
          <w:rFonts w:eastAsiaTheme="minorHAnsi"/>
          <w:color w:val="000000" w:themeColor="text1"/>
          <w:lang w:val="en-US"/>
        </w:rPr>
        <w:t xml:space="preserve"> </w:t>
      </w:r>
      <w:proofErr w:type="spellStart"/>
      <w:r w:rsidRPr="00C56257">
        <w:rPr>
          <w:rFonts w:eastAsiaTheme="minorHAnsi"/>
          <w:color w:val="000000" w:themeColor="text1"/>
          <w:lang w:val="en-US"/>
        </w:rPr>
        <w:t>parametru</w:t>
      </w:r>
      <w:proofErr w:type="spellEnd"/>
    </w:p>
    <w:p w14:paraId="75A57418" w14:textId="77777777" w:rsidR="002D3CA7" w:rsidRPr="00C56257" w:rsidRDefault="002D3CA7" w:rsidP="008E33FD">
      <w:pPr>
        <w:numPr>
          <w:ilvl w:val="0"/>
          <w:numId w:val="19"/>
        </w:numPr>
        <w:spacing w:after="160" w:line="276" w:lineRule="auto"/>
        <w:ind w:left="142" w:firstLine="0"/>
        <w:contextualSpacing/>
        <w:jc w:val="both"/>
        <w:rPr>
          <w:rFonts w:eastAsiaTheme="minorHAnsi"/>
          <w:color w:val="000000" w:themeColor="text1"/>
          <w:lang w:val="fr-FR"/>
        </w:rPr>
      </w:pPr>
      <w:proofErr w:type="spellStart"/>
      <w:r w:rsidRPr="00C56257">
        <w:rPr>
          <w:rFonts w:eastAsiaTheme="minorHAnsi"/>
          <w:color w:val="000000" w:themeColor="text1"/>
          <w:lang w:val="fr-FR"/>
        </w:rPr>
        <w:t>Evaluarea</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perspectivelor</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generale</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pentru</w:t>
      </w:r>
      <w:proofErr w:type="spellEnd"/>
      <w:r w:rsidRPr="00C56257">
        <w:rPr>
          <w:rFonts w:eastAsiaTheme="minorHAnsi"/>
          <w:color w:val="000000" w:themeColor="text1"/>
          <w:lang w:val="fr-FR"/>
        </w:rPr>
        <w:t xml:space="preserve"> un habitat</w:t>
      </w:r>
    </w:p>
    <w:p w14:paraId="6763B68D" w14:textId="77777777" w:rsidR="002D3CA7" w:rsidRPr="00C56257" w:rsidRDefault="002D3CA7" w:rsidP="008E33FD">
      <w:pPr>
        <w:spacing w:line="276" w:lineRule="auto"/>
        <w:ind w:left="142"/>
        <w:contextualSpacing/>
        <w:jc w:val="both"/>
        <w:rPr>
          <w:rFonts w:eastAsiaTheme="minorHAnsi"/>
          <w:color w:val="000000" w:themeColor="text1"/>
          <w:lang w:val="fr-FR"/>
        </w:rPr>
      </w:pPr>
    </w:p>
    <w:p w14:paraId="775F268C" w14:textId="77777777" w:rsidR="002D3CA7" w:rsidRPr="00C56257" w:rsidRDefault="002D3CA7" w:rsidP="008E33FD">
      <w:pPr>
        <w:spacing w:line="276" w:lineRule="auto"/>
        <w:contextualSpacing/>
        <w:jc w:val="both"/>
        <w:rPr>
          <w:rFonts w:eastAsiaTheme="minorHAnsi"/>
          <w:color w:val="000000" w:themeColor="text1"/>
          <w:lang w:val="fr-FR"/>
        </w:rPr>
      </w:pPr>
      <w:proofErr w:type="spellStart"/>
      <w:r w:rsidRPr="00C56257">
        <w:rPr>
          <w:rFonts w:eastAsiaTheme="minorHAnsi"/>
          <w:color w:val="000000" w:themeColor="text1"/>
          <w:lang w:val="fr-FR"/>
        </w:rPr>
        <w:t>Tabelul</w:t>
      </w:r>
      <w:proofErr w:type="spellEnd"/>
      <w:r w:rsidRPr="00C56257">
        <w:rPr>
          <w:rFonts w:eastAsiaTheme="minorHAnsi"/>
          <w:color w:val="000000" w:themeColor="text1"/>
          <w:lang w:val="fr-FR"/>
        </w:rPr>
        <w:t xml:space="preserve"> 2: </w:t>
      </w:r>
      <w:proofErr w:type="spellStart"/>
      <w:r w:rsidRPr="00C56257">
        <w:rPr>
          <w:rFonts w:eastAsiaTheme="minorHAnsi"/>
          <w:color w:val="000000" w:themeColor="text1"/>
          <w:lang w:val="fr-FR"/>
        </w:rPr>
        <w:t>Evaluarea</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perspectivelor</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unui</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parametru</w:t>
      </w:r>
      <w:proofErr w:type="spellEnd"/>
      <w:r w:rsidRPr="00C56257">
        <w:rPr>
          <w:rFonts w:eastAsiaTheme="minorHAnsi"/>
          <w:color w:val="000000" w:themeColor="text1"/>
          <w:lang w:val="fr-FR"/>
        </w:rPr>
        <w:t xml:space="preserve"> (</w:t>
      </w:r>
      <w:proofErr w:type="spellStart"/>
      <w:r w:rsidRPr="00C56257">
        <w:rPr>
          <w:rFonts w:eastAsiaTheme="minorHAnsi"/>
          <w:color w:val="000000" w:themeColor="text1"/>
          <w:lang w:val="fr-FR"/>
        </w:rPr>
        <w:t>etapele</w:t>
      </w:r>
      <w:proofErr w:type="spellEnd"/>
      <w:r w:rsidRPr="00C56257">
        <w:rPr>
          <w:rFonts w:eastAsiaTheme="minorHAnsi"/>
          <w:color w:val="000000" w:themeColor="text1"/>
          <w:lang w:val="fr-FR"/>
        </w:rPr>
        <w:t xml:space="preserve"> 1 </w:t>
      </w:r>
      <w:proofErr w:type="spellStart"/>
      <w:r w:rsidRPr="00C56257">
        <w:rPr>
          <w:rFonts w:eastAsiaTheme="minorHAnsi"/>
          <w:color w:val="000000" w:themeColor="text1"/>
          <w:lang w:val="fr-FR"/>
        </w:rPr>
        <w:t>și</w:t>
      </w:r>
      <w:proofErr w:type="spellEnd"/>
      <w:r w:rsidRPr="00C56257">
        <w:rPr>
          <w:rFonts w:eastAsiaTheme="minorHAnsi"/>
          <w:color w:val="000000" w:themeColor="text1"/>
          <w:lang w:val="fr-FR"/>
        </w:rPr>
        <w:t xml:space="preserve"> 2)</w:t>
      </w:r>
    </w:p>
    <w:tbl>
      <w:tblPr>
        <w:tblW w:w="5000" w:type="pct"/>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ayout w:type="fixed"/>
        <w:tblLook w:val="04A0" w:firstRow="1" w:lastRow="0" w:firstColumn="1" w:lastColumn="0" w:noHBand="0" w:noVBand="1"/>
      </w:tblPr>
      <w:tblGrid>
        <w:gridCol w:w="2572"/>
        <w:gridCol w:w="1516"/>
        <w:gridCol w:w="2272"/>
        <w:gridCol w:w="1666"/>
        <w:gridCol w:w="1972"/>
      </w:tblGrid>
      <w:tr w:rsidR="00673EFE" w:rsidRPr="00C56257" w14:paraId="07B176F7" w14:textId="77777777" w:rsidTr="002825C6">
        <w:trPr>
          <w:trHeight w:val="315"/>
        </w:trPr>
        <w:tc>
          <w:tcPr>
            <w:tcW w:w="2045" w:type="pct"/>
            <w:gridSpan w:val="2"/>
            <w:tcBorders>
              <w:bottom w:val="single" w:sz="2" w:space="0" w:color="000000" w:themeColor="text1"/>
              <w:right w:val="single" w:sz="4" w:space="0" w:color="auto"/>
            </w:tcBorders>
            <w:shd w:val="clear" w:color="auto" w:fill="auto"/>
            <w:noWrap/>
            <w:vAlign w:val="bottom"/>
            <w:hideMark/>
          </w:tcPr>
          <w:p w14:paraId="1856B535" w14:textId="77777777" w:rsidR="002D3CA7" w:rsidRPr="00C56257" w:rsidRDefault="002D3CA7" w:rsidP="008E33FD">
            <w:pPr>
              <w:jc w:val="both"/>
              <w:rPr>
                <w:color w:val="000000" w:themeColor="text1"/>
                <w:lang w:eastAsia="ro-RO"/>
              </w:rPr>
            </w:pPr>
            <w:r w:rsidRPr="00C56257">
              <w:rPr>
                <w:color w:val="000000" w:themeColor="text1"/>
                <w:lang w:eastAsia="ro-RO"/>
              </w:rPr>
              <w:t>Pasul 1 Tendința parametrului</w:t>
            </w:r>
          </w:p>
        </w:tc>
        <w:tc>
          <w:tcPr>
            <w:tcW w:w="1136" w:type="pct"/>
            <w:tcBorders>
              <w:top w:val="nil"/>
              <w:left w:val="single" w:sz="4" w:space="0" w:color="auto"/>
              <w:bottom w:val="nil"/>
              <w:right w:val="single" w:sz="4" w:space="0" w:color="auto"/>
            </w:tcBorders>
            <w:shd w:val="clear" w:color="auto" w:fill="auto"/>
            <w:noWrap/>
            <w:vAlign w:val="bottom"/>
            <w:hideMark/>
          </w:tcPr>
          <w:p w14:paraId="51727EE8" w14:textId="77777777" w:rsidR="002D3CA7" w:rsidRPr="00C56257" w:rsidRDefault="002D3CA7" w:rsidP="008E33FD">
            <w:pPr>
              <w:jc w:val="both"/>
              <w:rPr>
                <w:color w:val="000000" w:themeColor="text1"/>
                <w:lang w:eastAsia="ro-RO"/>
              </w:rPr>
            </w:pPr>
          </w:p>
        </w:tc>
        <w:tc>
          <w:tcPr>
            <w:tcW w:w="1819" w:type="pct"/>
            <w:gridSpan w:val="2"/>
            <w:tcBorders>
              <w:left w:val="single" w:sz="4" w:space="0" w:color="auto"/>
              <w:bottom w:val="single" w:sz="2" w:space="0" w:color="000000" w:themeColor="text1"/>
            </w:tcBorders>
            <w:shd w:val="clear" w:color="auto" w:fill="auto"/>
            <w:noWrap/>
            <w:vAlign w:val="bottom"/>
            <w:hideMark/>
          </w:tcPr>
          <w:p w14:paraId="307B5D27" w14:textId="77777777" w:rsidR="002D3CA7" w:rsidRPr="00C56257" w:rsidRDefault="002D3CA7" w:rsidP="008E33FD">
            <w:pPr>
              <w:jc w:val="both"/>
              <w:rPr>
                <w:color w:val="000000" w:themeColor="text1"/>
                <w:lang w:eastAsia="ro-RO"/>
              </w:rPr>
            </w:pPr>
            <w:r w:rsidRPr="00C56257">
              <w:rPr>
                <w:color w:val="000000" w:themeColor="text1"/>
                <w:lang w:eastAsia="ro-RO"/>
              </w:rPr>
              <w:t>Pasul 2 Perspectivele parametrului</w:t>
            </w:r>
          </w:p>
        </w:tc>
      </w:tr>
      <w:tr w:rsidR="00673EFE" w:rsidRPr="00C56257" w14:paraId="75A24558" w14:textId="77777777" w:rsidTr="002825C6">
        <w:trPr>
          <w:trHeight w:val="315"/>
        </w:trPr>
        <w:tc>
          <w:tcPr>
            <w:tcW w:w="5000" w:type="pct"/>
            <w:gridSpan w:val="5"/>
            <w:tcBorders>
              <w:left w:val="nil"/>
              <w:right w:val="nil"/>
            </w:tcBorders>
            <w:shd w:val="clear" w:color="auto" w:fill="auto"/>
            <w:noWrap/>
            <w:vAlign w:val="bottom"/>
            <w:hideMark/>
          </w:tcPr>
          <w:p w14:paraId="3E2D9462" w14:textId="77777777" w:rsidR="002D3CA7" w:rsidRPr="00C56257" w:rsidRDefault="002D3CA7" w:rsidP="008E33FD">
            <w:pPr>
              <w:jc w:val="both"/>
              <w:rPr>
                <w:color w:val="000000" w:themeColor="text1"/>
                <w:lang w:eastAsia="ro-RO"/>
              </w:rPr>
            </w:pPr>
          </w:p>
        </w:tc>
      </w:tr>
      <w:tr w:rsidR="00673EFE" w:rsidRPr="00C56257" w14:paraId="330852E4" w14:textId="77777777" w:rsidTr="002825C6">
        <w:trPr>
          <w:trHeight w:val="600"/>
        </w:trPr>
        <w:tc>
          <w:tcPr>
            <w:tcW w:w="1287" w:type="pct"/>
            <w:shd w:val="clear" w:color="auto" w:fill="auto"/>
            <w:vAlign w:val="center"/>
            <w:hideMark/>
          </w:tcPr>
          <w:p w14:paraId="6D4B47B0" w14:textId="77777777" w:rsidR="002D3CA7" w:rsidRPr="00C56257" w:rsidRDefault="002D3CA7" w:rsidP="008E33FD">
            <w:pPr>
              <w:jc w:val="both"/>
              <w:rPr>
                <w:color w:val="000000" w:themeColor="text1"/>
                <w:lang w:eastAsia="ro-RO"/>
              </w:rPr>
            </w:pPr>
            <w:r w:rsidRPr="00C56257">
              <w:rPr>
                <w:color w:val="000000" w:themeColor="text1"/>
                <w:lang w:eastAsia="ro-RO"/>
              </w:rPr>
              <w:t xml:space="preserve">Relația între amenințări </w:t>
            </w:r>
            <w:r w:rsidRPr="00C56257">
              <w:rPr>
                <w:color w:val="000000" w:themeColor="text1"/>
                <w:lang w:eastAsia="ro-RO"/>
              </w:rPr>
              <w:br/>
              <w:t>și măsuri</w:t>
            </w:r>
          </w:p>
        </w:tc>
        <w:tc>
          <w:tcPr>
            <w:tcW w:w="758" w:type="pct"/>
            <w:shd w:val="clear" w:color="auto" w:fill="auto"/>
            <w:vAlign w:val="center"/>
            <w:hideMark/>
          </w:tcPr>
          <w:p w14:paraId="7C0A1B8D" w14:textId="77777777" w:rsidR="002D3CA7" w:rsidRPr="00C56257" w:rsidRDefault="002D3CA7" w:rsidP="008E33FD">
            <w:pPr>
              <w:jc w:val="both"/>
              <w:rPr>
                <w:color w:val="000000" w:themeColor="text1"/>
                <w:lang w:eastAsia="ro-RO"/>
              </w:rPr>
            </w:pPr>
            <w:r w:rsidRPr="00C56257">
              <w:rPr>
                <w:color w:val="000000" w:themeColor="text1"/>
                <w:lang w:eastAsia="ro-RO"/>
              </w:rPr>
              <w:t>Tendința preconizată reflectă relația între amenințări și măsuri</w:t>
            </w:r>
          </w:p>
        </w:tc>
        <w:tc>
          <w:tcPr>
            <w:tcW w:w="1136" w:type="pct"/>
            <w:shd w:val="clear" w:color="auto" w:fill="auto"/>
            <w:vAlign w:val="center"/>
            <w:hideMark/>
          </w:tcPr>
          <w:p w14:paraId="2ACFF0BA" w14:textId="77777777" w:rsidR="002D3CA7" w:rsidRPr="00C56257" w:rsidRDefault="002D3CA7" w:rsidP="008E33FD">
            <w:pPr>
              <w:jc w:val="both"/>
              <w:rPr>
                <w:color w:val="000000" w:themeColor="text1"/>
                <w:lang w:eastAsia="ro-RO"/>
              </w:rPr>
            </w:pPr>
            <w:r w:rsidRPr="00C56257">
              <w:rPr>
                <w:color w:val="000000" w:themeColor="text1"/>
                <w:lang w:eastAsia="ro-RO"/>
              </w:rPr>
              <w:t>Starea curentă de</w:t>
            </w:r>
            <w:r w:rsidRPr="00C56257">
              <w:rPr>
                <w:color w:val="000000" w:themeColor="text1"/>
                <w:lang w:eastAsia="ro-RO"/>
              </w:rPr>
              <w:br/>
              <w:t xml:space="preserve"> conservare a parametrului</w:t>
            </w:r>
          </w:p>
        </w:tc>
        <w:tc>
          <w:tcPr>
            <w:tcW w:w="1819" w:type="pct"/>
            <w:gridSpan w:val="2"/>
            <w:shd w:val="clear" w:color="auto" w:fill="auto"/>
            <w:vAlign w:val="center"/>
            <w:hideMark/>
          </w:tcPr>
          <w:p w14:paraId="0652D6D5" w14:textId="77777777" w:rsidR="002D3CA7" w:rsidRPr="00C56257" w:rsidRDefault="002D3CA7" w:rsidP="008E33FD">
            <w:pPr>
              <w:jc w:val="both"/>
              <w:rPr>
                <w:color w:val="000000" w:themeColor="text1"/>
                <w:lang w:eastAsia="ro-RO"/>
              </w:rPr>
            </w:pPr>
            <w:r w:rsidRPr="00C56257">
              <w:rPr>
                <w:color w:val="000000" w:themeColor="text1"/>
                <w:lang w:eastAsia="ro-RO"/>
              </w:rPr>
              <w:t>Perspectivele rezultate</w:t>
            </w:r>
            <w:r w:rsidRPr="00C56257">
              <w:rPr>
                <w:color w:val="000000" w:themeColor="text1"/>
                <w:lang w:eastAsia="ro-RO"/>
              </w:rPr>
              <w:br/>
              <w:t xml:space="preserve"> ale parametrului</w:t>
            </w:r>
          </w:p>
        </w:tc>
      </w:tr>
      <w:tr w:rsidR="00673EFE" w:rsidRPr="00C56257" w14:paraId="5B03FD58" w14:textId="77777777" w:rsidTr="002825C6">
        <w:trPr>
          <w:trHeight w:val="458"/>
        </w:trPr>
        <w:tc>
          <w:tcPr>
            <w:tcW w:w="1287" w:type="pct"/>
            <w:vMerge w:val="restart"/>
            <w:shd w:val="clear" w:color="auto" w:fill="auto"/>
            <w:hideMark/>
          </w:tcPr>
          <w:p w14:paraId="6160C06E" w14:textId="77777777" w:rsidR="002D3CA7" w:rsidRPr="00C56257" w:rsidRDefault="002D3CA7" w:rsidP="008E33FD">
            <w:pPr>
              <w:jc w:val="both"/>
              <w:rPr>
                <w:color w:val="000000" w:themeColor="text1"/>
                <w:lang w:eastAsia="ro-RO"/>
              </w:rPr>
            </w:pPr>
            <w:r w:rsidRPr="00C56257">
              <w:rPr>
                <w:color w:val="000000" w:themeColor="text1"/>
                <w:lang w:eastAsia="ro-RO"/>
              </w:rPr>
              <w:t>Relația între amenințările care acționează asupra parametrului (în mare parte amenințări cu impact neseminificativ și/sau mediu) și măsurile de conservare; nicio schimbare reală a stării parametrului asteptat</w:t>
            </w:r>
          </w:p>
        </w:tc>
        <w:tc>
          <w:tcPr>
            <w:tcW w:w="758" w:type="pct"/>
            <w:vMerge w:val="restart"/>
            <w:shd w:val="clear" w:color="auto" w:fill="auto"/>
            <w:noWrap/>
            <w:vAlign w:val="center"/>
            <w:hideMark/>
          </w:tcPr>
          <w:p w14:paraId="57C3205D" w14:textId="77777777" w:rsidR="002D3CA7" w:rsidRPr="00C56257" w:rsidRDefault="002D3CA7" w:rsidP="008E33FD">
            <w:pPr>
              <w:jc w:val="both"/>
              <w:rPr>
                <w:color w:val="000000" w:themeColor="text1"/>
                <w:lang w:eastAsia="ro-RO"/>
              </w:rPr>
            </w:pPr>
            <w:r w:rsidRPr="00C56257">
              <w:rPr>
                <w:color w:val="000000" w:themeColor="text1"/>
                <w:lang w:eastAsia="ro-RO"/>
              </w:rPr>
              <w:t>general stabilă</w:t>
            </w:r>
          </w:p>
        </w:tc>
        <w:tc>
          <w:tcPr>
            <w:tcW w:w="1136" w:type="pct"/>
            <w:vMerge w:val="restart"/>
            <w:shd w:val="clear" w:color="000000" w:fill="92D050"/>
            <w:noWrap/>
            <w:vAlign w:val="center"/>
            <w:hideMark/>
          </w:tcPr>
          <w:p w14:paraId="73BD78E8" w14:textId="77777777" w:rsidR="002D3CA7" w:rsidRPr="00C56257" w:rsidRDefault="002D3CA7" w:rsidP="008E33FD">
            <w:pPr>
              <w:jc w:val="both"/>
              <w:rPr>
                <w:color w:val="000000" w:themeColor="text1"/>
                <w:lang w:eastAsia="ro-RO"/>
              </w:rPr>
            </w:pPr>
            <w:r w:rsidRPr="00C56257">
              <w:rPr>
                <w:color w:val="000000" w:themeColor="text1"/>
                <w:lang w:eastAsia="ro-RO"/>
              </w:rPr>
              <w:t>Favorabilă</w:t>
            </w:r>
          </w:p>
        </w:tc>
        <w:tc>
          <w:tcPr>
            <w:tcW w:w="1819" w:type="pct"/>
            <w:gridSpan w:val="2"/>
            <w:vMerge w:val="restart"/>
            <w:shd w:val="clear" w:color="000000" w:fill="92D050"/>
            <w:noWrap/>
            <w:vAlign w:val="center"/>
            <w:hideMark/>
          </w:tcPr>
          <w:p w14:paraId="46D4566A" w14:textId="77777777" w:rsidR="002D3CA7" w:rsidRPr="00C56257" w:rsidRDefault="002D3CA7" w:rsidP="008E33FD">
            <w:pPr>
              <w:jc w:val="both"/>
              <w:rPr>
                <w:color w:val="000000" w:themeColor="text1"/>
                <w:lang w:eastAsia="ro-RO"/>
              </w:rPr>
            </w:pPr>
            <w:r w:rsidRPr="00C56257">
              <w:rPr>
                <w:color w:val="000000" w:themeColor="text1"/>
                <w:lang w:eastAsia="ro-RO"/>
              </w:rPr>
              <w:t>Bune</w:t>
            </w:r>
          </w:p>
        </w:tc>
      </w:tr>
      <w:tr w:rsidR="00673EFE" w:rsidRPr="00C56257" w14:paraId="1D5C89A9" w14:textId="77777777" w:rsidTr="002825C6">
        <w:trPr>
          <w:trHeight w:hRule="exact" w:val="283"/>
        </w:trPr>
        <w:tc>
          <w:tcPr>
            <w:tcW w:w="1287" w:type="pct"/>
            <w:vMerge/>
            <w:vAlign w:val="center"/>
            <w:hideMark/>
          </w:tcPr>
          <w:p w14:paraId="431AF4D5" w14:textId="77777777" w:rsidR="002D3CA7" w:rsidRPr="00C56257" w:rsidRDefault="002D3CA7" w:rsidP="008E33FD">
            <w:pPr>
              <w:jc w:val="both"/>
              <w:rPr>
                <w:color w:val="000000" w:themeColor="text1"/>
                <w:lang w:eastAsia="ro-RO"/>
              </w:rPr>
            </w:pPr>
          </w:p>
        </w:tc>
        <w:tc>
          <w:tcPr>
            <w:tcW w:w="758" w:type="pct"/>
            <w:vMerge/>
            <w:vAlign w:val="center"/>
            <w:hideMark/>
          </w:tcPr>
          <w:p w14:paraId="7C2F5D60" w14:textId="77777777" w:rsidR="002D3CA7" w:rsidRPr="00C56257" w:rsidRDefault="002D3CA7" w:rsidP="008E33FD">
            <w:pPr>
              <w:jc w:val="both"/>
              <w:rPr>
                <w:color w:val="000000" w:themeColor="text1"/>
                <w:lang w:eastAsia="ro-RO"/>
              </w:rPr>
            </w:pPr>
          </w:p>
        </w:tc>
        <w:tc>
          <w:tcPr>
            <w:tcW w:w="1136" w:type="pct"/>
            <w:vMerge/>
            <w:vAlign w:val="center"/>
            <w:hideMark/>
          </w:tcPr>
          <w:p w14:paraId="401E2F73" w14:textId="77777777" w:rsidR="002D3CA7" w:rsidRPr="00C56257" w:rsidRDefault="002D3CA7" w:rsidP="008E33FD">
            <w:pPr>
              <w:jc w:val="both"/>
              <w:rPr>
                <w:color w:val="000000" w:themeColor="text1"/>
                <w:lang w:eastAsia="ro-RO"/>
              </w:rPr>
            </w:pPr>
          </w:p>
        </w:tc>
        <w:tc>
          <w:tcPr>
            <w:tcW w:w="1819" w:type="pct"/>
            <w:gridSpan w:val="2"/>
            <w:vMerge/>
            <w:vAlign w:val="center"/>
            <w:hideMark/>
          </w:tcPr>
          <w:p w14:paraId="610F271E" w14:textId="77777777" w:rsidR="002D3CA7" w:rsidRPr="00C56257" w:rsidRDefault="002D3CA7" w:rsidP="008E33FD">
            <w:pPr>
              <w:jc w:val="both"/>
              <w:rPr>
                <w:color w:val="000000" w:themeColor="text1"/>
                <w:lang w:eastAsia="ro-RO"/>
              </w:rPr>
            </w:pPr>
          </w:p>
        </w:tc>
      </w:tr>
      <w:tr w:rsidR="00673EFE" w:rsidRPr="00C56257" w14:paraId="5F37D4E2" w14:textId="77777777" w:rsidTr="002825C6">
        <w:trPr>
          <w:trHeight w:val="458"/>
        </w:trPr>
        <w:tc>
          <w:tcPr>
            <w:tcW w:w="1287" w:type="pct"/>
            <w:vMerge/>
            <w:vAlign w:val="center"/>
            <w:hideMark/>
          </w:tcPr>
          <w:p w14:paraId="0219D11F" w14:textId="77777777" w:rsidR="002D3CA7" w:rsidRPr="00C56257" w:rsidRDefault="002D3CA7" w:rsidP="008E33FD">
            <w:pPr>
              <w:jc w:val="both"/>
              <w:rPr>
                <w:color w:val="000000" w:themeColor="text1"/>
                <w:lang w:eastAsia="ro-RO"/>
              </w:rPr>
            </w:pPr>
          </w:p>
        </w:tc>
        <w:tc>
          <w:tcPr>
            <w:tcW w:w="758" w:type="pct"/>
            <w:vMerge/>
            <w:vAlign w:val="center"/>
            <w:hideMark/>
          </w:tcPr>
          <w:p w14:paraId="337832A2" w14:textId="77777777" w:rsidR="002D3CA7" w:rsidRPr="00C56257" w:rsidRDefault="002D3CA7" w:rsidP="008E33FD">
            <w:pPr>
              <w:jc w:val="both"/>
              <w:rPr>
                <w:color w:val="000000" w:themeColor="text1"/>
                <w:lang w:eastAsia="ro-RO"/>
              </w:rPr>
            </w:pPr>
          </w:p>
        </w:tc>
        <w:tc>
          <w:tcPr>
            <w:tcW w:w="1136" w:type="pct"/>
            <w:vMerge w:val="restart"/>
            <w:shd w:val="clear" w:color="000000" w:fill="FFC000"/>
            <w:vAlign w:val="center"/>
            <w:hideMark/>
          </w:tcPr>
          <w:p w14:paraId="253B3650" w14:textId="77777777" w:rsidR="002D3CA7" w:rsidRPr="00C56257" w:rsidRDefault="002D3CA7" w:rsidP="008E33FD">
            <w:pPr>
              <w:jc w:val="both"/>
              <w:rPr>
                <w:color w:val="000000" w:themeColor="text1"/>
                <w:lang w:eastAsia="ro-RO"/>
              </w:rPr>
            </w:pPr>
            <w:r w:rsidRPr="00C56257">
              <w:rPr>
                <w:color w:val="000000" w:themeColor="text1"/>
                <w:lang w:eastAsia="ro-RO"/>
              </w:rPr>
              <w:t>Nefavorabilă</w:t>
            </w:r>
            <w:r w:rsidRPr="00C56257">
              <w:rPr>
                <w:color w:val="000000" w:themeColor="text1"/>
                <w:lang w:eastAsia="ro-RO"/>
              </w:rPr>
              <w:br/>
              <w:t>inadecvată</w:t>
            </w:r>
          </w:p>
        </w:tc>
        <w:tc>
          <w:tcPr>
            <w:tcW w:w="1819" w:type="pct"/>
            <w:gridSpan w:val="2"/>
            <w:vMerge w:val="restart"/>
            <w:shd w:val="clear" w:color="000000" w:fill="FFC000"/>
            <w:noWrap/>
            <w:vAlign w:val="center"/>
            <w:hideMark/>
          </w:tcPr>
          <w:p w14:paraId="6B9F7426" w14:textId="77777777" w:rsidR="002D3CA7" w:rsidRPr="00C56257" w:rsidRDefault="002D3CA7" w:rsidP="008E33FD">
            <w:pPr>
              <w:jc w:val="both"/>
              <w:rPr>
                <w:color w:val="000000" w:themeColor="text1"/>
                <w:lang w:eastAsia="ro-RO"/>
              </w:rPr>
            </w:pPr>
            <w:r w:rsidRPr="00C56257">
              <w:rPr>
                <w:color w:val="000000" w:themeColor="text1"/>
                <w:lang w:eastAsia="ro-RO"/>
              </w:rPr>
              <w:t>Slabe</w:t>
            </w:r>
          </w:p>
        </w:tc>
      </w:tr>
      <w:tr w:rsidR="00673EFE" w:rsidRPr="00C56257" w14:paraId="1B21750B" w14:textId="77777777" w:rsidTr="002825C6">
        <w:trPr>
          <w:trHeight w:hRule="exact" w:val="283"/>
        </w:trPr>
        <w:tc>
          <w:tcPr>
            <w:tcW w:w="1287" w:type="pct"/>
            <w:vMerge/>
            <w:vAlign w:val="center"/>
            <w:hideMark/>
          </w:tcPr>
          <w:p w14:paraId="7BEEBE56" w14:textId="77777777" w:rsidR="002D3CA7" w:rsidRPr="00C56257" w:rsidRDefault="002D3CA7" w:rsidP="008E33FD">
            <w:pPr>
              <w:jc w:val="both"/>
              <w:rPr>
                <w:color w:val="000000" w:themeColor="text1"/>
                <w:lang w:eastAsia="ro-RO"/>
              </w:rPr>
            </w:pPr>
          </w:p>
        </w:tc>
        <w:tc>
          <w:tcPr>
            <w:tcW w:w="758" w:type="pct"/>
            <w:vMerge/>
            <w:vAlign w:val="center"/>
            <w:hideMark/>
          </w:tcPr>
          <w:p w14:paraId="1108DA16" w14:textId="77777777" w:rsidR="002D3CA7" w:rsidRPr="00C56257" w:rsidRDefault="002D3CA7" w:rsidP="008E33FD">
            <w:pPr>
              <w:jc w:val="both"/>
              <w:rPr>
                <w:color w:val="000000" w:themeColor="text1"/>
                <w:lang w:eastAsia="ro-RO"/>
              </w:rPr>
            </w:pPr>
          </w:p>
        </w:tc>
        <w:tc>
          <w:tcPr>
            <w:tcW w:w="1136" w:type="pct"/>
            <w:vMerge/>
            <w:vAlign w:val="center"/>
            <w:hideMark/>
          </w:tcPr>
          <w:p w14:paraId="1BA346C0" w14:textId="77777777" w:rsidR="002D3CA7" w:rsidRPr="00C56257" w:rsidRDefault="002D3CA7" w:rsidP="008E33FD">
            <w:pPr>
              <w:jc w:val="both"/>
              <w:rPr>
                <w:color w:val="000000" w:themeColor="text1"/>
                <w:lang w:eastAsia="ro-RO"/>
              </w:rPr>
            </w:pPr>
          </w:p>
        </w:tc>
        <w:tc>
          <w:tcPr>
            <w:tcW w:w="1819" w:type="pct"/>
            <w:gridSpan w:val="2"/>
            <w:vMerge/>
            <w:vAlign w:val="center"/>
            <w:hideMark/>
          </w:tcPr>
          <w:p w14:paraId="61DDF589" w14:textId="77777777" w:rsidR="002D3CA7" w:rsidRPr="00C56257" w:rsidRDefault="002D3CA7" w:rsidP="008E33FD">
            <w:pPr>
              <w:jc w:val="both"/>
              <w:rPr>
                <w:color w:val="000000" w:themeColor="text1"/>
                <w:lang w:eastAsia="ro-RO"/>
              </w:rPr>
            </w:pPr>
          </w:p>
        </w:tc>
      </w:tr>
      <w:tr w:rsidR="00673EFE" w:rsidRPr="00C56257" w14:paraId="2241844E" w14:textId="77777777" w:rsidTr="002825C6">
        <w:trPr>
          <w:trHeight w:val="458"/>
        </w:trPr>
        <w:tc>
          <w:tcPr>
            <w:tcW w:w="1287" w:type="pct"/>
            <w:vMerge/>
            <w:vAlign w:val="center"/>
            <w:hideMark/>
          </w:tcPr>
          <w:p w14:paraId="6D93EC87" w14:textId="77777777" w:rsidR="002D3CA7" w:rsidRPr="00C56257" w:rsidRDefault="002D3CA7" w:rsidP="008E33FD">
            <w:pPr>
              <w:jc w:val="both"/>
              <w:rPr>
                <w:color w:val="000000" w:themeColor="text1"/>
                <w:lang w:eastAsia="ro-RO"/>
              </w:rPr>
            </w:pPr>
          </w:p>
        </w:tc>
        <w:tc>
          <w:tcPr>
            <w:tcW w:w="758" w:type="pct"/>
            <w:vMerge/>
            <w:vAlign w:val="center"/>
            <w:hideMark/>
          </w:tcPr>
          <w:p w14:paraId="5EE5E676" w14:textId="77777777" w:rsidR="002D3CA7" w:rsidRPr="00C56257" w:rsidRDefault="002D3CA7" w:rsidP="008E33FD">
            <w:pPr>
              <w:jc w:val="both"/>
              <w:rPr>
                <w:color w:val="000000" w:themeColor="text1"/>
                <w:lang w:eastAsia="ro-RO"/>
              </w:rPr>
            </w:pPr>
          </w:p>
        </w:tc>
        <w:tc>
          <w:tcPr>
            <w:tcW w:w="1136" w:type="pct"/>
            <w:vMerge w:val="restart"/>
            <w:shd w:val="clear" w:color="000000" w:fill="FF0000"/>
            <w:vAlign w:val="center"/>
            <w:hideMark/>
          </w:tcPr>
          <w:p w14:paraId="34C71A9A" w14:textId="77777777" w:rsidR="002D3CA7" w:rsidRPr="00C56257" w:rsidRDefault="002D3CA7" w:rsidP="008E33FD">
            <w:pPr>
              <w:jc w:val="both"/>
              <w:rPr>
                <w:color w:val="000000" w:themeColor="text1"/>
                <w:lang w:eastAsia="ro-RO"/>
              </w:rPr>
            </w:pPr>
            <w:r w:rsidRPr="00C56257">
              <w:rPr>
                <w:color w:val="000000" w:themeColor="text1"/>
                <w:lang w:eastAsia="ro-RO"/>
              </w:rPr>
              <w:t>Nefavorabilă</w:t>
            </w:r>
            <w:r w:rsidRPr="00C56257">
              <w:rPr>
                <w:color w:val="000000" w:themeColor="text1"/>
                <w:lang w:eastAsia="ro-RO"/>
              </w:rPr>
              <w:br/>
              <w:t>rea</w:t>
            </w:r>
          </w:p>
        </w:tc>
        <w:tc>
          <w:tcPr>
            <w:tcW w:w="1819" w:type="pct"/>
            <w:gridSpan w:val="2"/>
            <w:vMerge w:val="restart"/>
            <w:shd w:val="clear" w:color="000000" w:fill="FF0000"/>
            <w:noWrap/>
            <w:vAlign w:val="center"/>
            <w:hideMark/>
          </w:tcPr>
          <w:p w14:paraId="555468B3" w14:textId="77777777" w:rsidR="002D3CA7" w:rsidRPr="00C56257" w:rsidRDefault="002D3CA7" w:rsidP="008E33FD">
            <w:pPr>
              <w:jc w:val="both"/>
              <w:rPr>
                <w:color w:val="000000" w:themeColor="text1"/>
                <w:lang w:eastAsia="ro-RO"/>
              </w:rPr>
            </w:pPr>
            <w:r w:rsidRPr="00C56257">
              <w:rPr>
                <w:color w:val="000000" w:themeColor="text1"/>
                <w:lang w:eastAsia="ro-RO"/>
              </w:rPr>
              <w:t>Rele</w:t>
            </w:r>
          </w:p>
        </w:tc>
      </w:tr>
      <w:tr w:rsidR="00673EFE" w:rsidRPr="00C56257" w14:paraId="34F60542" w14:textId="77777777" w:rsidTr="002825C6">
        <w:trPr>
          <w:trHeight w:hRule="exact" w:val="283"/>
        </w:trPr>
        <w:tc>
          <w:tcPr>
            <w:tcW w:w="1287" w:type="pct"/>
            <w:vMerge/>
            <w:vAlign w:val="center"/>
            <w:hideMark/>
          </w:tcPr>
          <w:p w14:paraId="467D5FAE" w14:textId="77777777" w:rsidR="002D3CA7" w:rsidRPr="00C56257" w:rsidRDefault="002D3CA7" w:rsidP="008E33FD">
            <w:pPr>
              <w:jc w:val="both"/>
              <w:rPr>
                <w:color w:val="000000" w:themeColor="text1"/>
                <w:lang w:eastAsia="ro-RO"/>
              </w:rPr>
            </w:pPr>
          </w:p>
        </w:tc>
        <w:tc>
          <w:tcPr>
            <w:tcW w:w="758" w:type="pct"/>
            <w:vMerge/>
            <w:vAlign w:val="center"/>
            <w:hideMark/>
          </w:tcPr>
          <w:p w14:paraId="52CC6AA8" w14:textId="77777777" w:rsidR="002D3CA7" w:rsidRPr="00C56257" w:rsidRDefault="002D3CA7" w:rsidP="008E33FD">
            <w:pPr>
              <w:jc w:val="both"/>
              <w:rPr>
                <w:color w:val="000000" w:themeColor="text1"/>
                <w:lang w:eastAsia="ro-RO"/>
              </w:rPr>
            </w:pPr>
          </w:p>
        </w:tc>
        <w:tc>
          <w:tcPr>
            <w:tcW w:w="1136" w:type="pct"/>
            <w:vMerge/>
            <w:vAlign w:val="center"/>
            <w:hideMark/>
          </w:tcPr>
          <w:p w14:paraId="07247DB6" w14:textId="77777777" w:rsidR="002D3CA7" w:rsidRPr="00C56257" w:rsidRDefault="002D3CA7" w:rsidP="008E33FD">
            <w:pPr>
              <w:jc w:val="both"/>
              <w:rPr>
                <w:color w:val="000000" w:themeColor="text1"/>
                <w:lang w:eastAsia="ro-RO"/>
              </w:rPr>
            </w:pPr>
          </w:p>
        </w:tc>
        <w:tc>
          <w:tcPr>
            <w:tcW w:w="1819" w:type="pct"/>
            <w:gridSpan w:val="2"/>
            <w:vMerge/>
            <w:vAlign w:val="center"/>
            <w:hideMark/>
          </w:tcPr>
          <w:p w14:paraId="1DF757F5" w14:textId="77777777" w:rsidR="002D3CA7" w:rsidRPr="00C56257" w:rsidRDefault="002D3CA7" w:rsidP="008E33FD">
            <w:pPr>
              <w:jc w:val="both"/>
              <w:rPr>
                <w:color w:val="000000" w:themeColor="text1"/>
                <w:lang w:eastAsia="ro-RO"/>
              </w:rPr>
            </w:pPr>
          </w:p>
        </w:tc>
      </w:tr>
      <w:tr w:rsidR="00673EFE" w:rsidRPr="00C56257" w14:paraId="2C8C9328" w14:textId="77777777" w:rsidTr="002825C6">
        <w:trPr>
          <w:trHeight w:hRule="exact" w:val="57"/>
        </w:trPr>
        <w:tc>
          <w:tcPr>
            <w:tcW w:w="1287" w:type="pct"/>
            <w:vMerge/>
            <w:vAlign w:val="center"/>
            <w:hideMark/>
          </w:tcPr>
          <w:p w14:paraId="5D3471BE" w14:textId="77777777" w:rsidR="002D3CA7" w:rsidRPr="00C56257" w:rsidRDefault="002D3CA7" w:rsidP="008E33FD">
            <w:pPr>
              <w:jc w:val="both"/>
              <w:rPr>
                <w:color w:val="000000" w:themeColor="text1"/>
                <w:lang w:eastAsia="ro-RO"/>
              </w:rPr>
            </w:pPr>
          </w:p>
        </w:tc>
        <w:tc>
          <w:tcPr>
            <w:tcW w:w="758" w:type="pct"/>
            <w:vMerge/>
            <w:vAlign w:val="center"/>
            <w:hideMark/>
          </w:tcPr>
          <w:p w14:paraId="3FFC6BC7" w14:textId="77777777" w:rsidR="002D3CA7" w:rsidRPr="00C56257" w:rsidRDefault="002D3CA7" w:rsidP="008E33FD">
            <w:pPr>
              <w:jc w:val="both"/>
              <w:rPr>
                <w:color w:val="000000" w:themeColor="text1"/>
                <w:lang w:eastAsia="ro-RO"/>
              </w:rPr>
            </w:pPr>
          </w:p>
        </w:tc>
        <w:tc>
          <w:tcPr>
            <w:tcW w:w="1136" w:type="pct"/>
            <w:vMerge w:val="restart"/>
            <w:shd w:val="clear" w:color="000000" w:fill="A6A6A6"/>
            <w:noWrap/>
            <w:vAlign w:val="center"/>
            <w:hideMark/>
          </w:tcPr>
          <w:p w14:paraId="51BF7E65" w14:textId="77777777" w:rsidR="002D3CA7" w:rsidRPr="00C56257" w:rsidRDefault="002D3CA7" w:rsidP="008E33FD">
            <w:pPr>
              <w:jc w:val="both"/>
              <w:rPr>
                <w:color w:val="000000" w:themeColor="text1"/>
                <w:lang w:eastAsia="ro-RO"/>
              </w:rPr>
            </w:pPr>
            <w:r w:rsidRPr="00C56257">
              <w:rPr>
                <w:color w:val="000000" w:themeColor="text1"/>
                <w:lang w:eastAsia="ro-RO"/>
              </w:rPr>
              <w:t>Necunoscută</w:t>
            </w:r>
          </w:p>
        </w:tc>
        <w:tc>
          <w:tcPr>
            <w:tcW w:w="1819" w:type="pct"/>
            <w:gridSpan w:val="2"/>
            <w:vMerge w:val="restart"/>
            <w:shd w:val="clear" w:color="000000" w:fill="A6A6A6"/>
            <w:noWrap/>
            <w:vAlign w:val="center"/>
            <w:hideMark/>
          </w:tcPr>
          <w:p w14:paraId="3A60BF02" w14:textId="77777777" w:rsidR="002D3CA7" w:rsidRPr="00C56257" w:rsidRDefault="002D3CA7" w:rsidP="008E33FD">
            <w:pPr>
              <w:jc w:val="both"/>
              <w:rPr>
                <w:color w:val="000000" w:themeColor="text1"/>
                <w:lang w:eastAsia="ro-RO"/>
              </w:rPr>
            </w:pPr>
            <w:r w:rsidRPr="00C56257">
              <w:rPr>
                <w:color w:val="000000" w:themeColor="text1"/>
                <w:lang w:eastAsia="ro-RO"/>
              </w:rPr>
              <w:t>Necunoscute</w:t>
            </w:r>
          </w:p>
        </w:tc>
      </w:tr>
      <w:tr w:rsidR="00673EFE" w:rsidRPr="00C56257" w14:paraId="552D4044" w14:textId="77777777" w:rsidTr="002825C6">
        <w:trPr>
          <w:trHeight w:val="458"/>
        </w:trPr>
        <w:tc>
          <w:tcPr>
            <w:tcW w:w="1287" w:type="pct"/>
            <w:vMerge/>
            <w:vAlign w:val="center"/>
            <w:hideMark/>
          </w:tcPr>
          <w:p w14:paraId="27F640CC" w14:textId="77777777" w:rsidR="002D3CA7" w:rsidRPr="00C56257" w:rsidRDefault="002D3CA7" w:rsidP="008E33FD">
            <w:pPr>
              <w:jc w:val="both"/>
              <w:rPr>
                <w:color w:val="000000" w:themeColor="text1"/>
                <w:lang w:eastAsia="ro-RO"/>
              </w:rPr>
            </w:pPr>
          </w:p>
        </w:tc>
        <w:tc>
          <w:tcPr>
            <w:tcW w:w="758" w:type="pct"/>
            <w:vMerge/>
            <w:vAlign w:val="center"/>
            <w:hideMark/>
          </w:tcPr>
          <w:p w14:paraId="2D208EBA" w14:textId="77777777" w:rsidR="002D3CA7" w:rsidRPr="00C56257" w:rsidRDefault="002D3CA7" w:rsidP="008E33FD">
            <w:pPr>
              <w:jc w:val="both"/>
              <w:rPr>
                <w:color w:val="000000" w:themeColor="text1"/>
                <w:lang w:eastAsia="ro-RO"/>
              </w:rPr>
            </w:pPr>
          </w:p>
        </w:tc>
        <w:tc>
          <w:tcPr>
            <w:tcW w:w="1136" w:type="pct"/>
            <w:vMerge/>
            <w:vAlign w:val="center"/>
            <w:hideMark/>
          </w:tcPr>
          <w:p w14:paraId="55104D63" w14:textId="77777777" w:rsidR="002D3CA7" w:rsidRPr="00C56257" w:rsidRDefault="002D3CA7" w:rsidP="008E33FD">
            <w:pPr>
              <w:jc w:val="both"/>
              <w:rPr>
                <w:color w:val="000000" w:themeColor="text1"/>
                <w:lang w:eastAsia="ro-RO"/>
              </w:rPr>
            </w:pPr>
          </w:p>
        </w:tc>
        <w:tc>
          <w:tcPr>
            <w:tcW w:w="1819" w:type="pct"/>
            <w:gridSpan w:val="2"/>
            <w:vMerge/>
            <w:vAlign w:val="center"/>
            <w:hideMark/>
          </w:tcPr>
          <w:p w14:paraId="6D75A44E" w14:textId="77777777" w:rsidR="002D3CA7" w:rsidRPr="00C56257" w:rsidRDefault="002D3CA7" w:rsidP="008E33FD">
            <w:pPr>
              <w:jc w:val="both"/>
              <w:rPr>
                <w:color w:val="000000" w:themeColor="text1"/>
                <w:lang w:eastAsia="ro-RO"/>
              </w:rPr>
            </w:pPr>
          </w:p>
        </w:tc>
      </w:tr>
      <w:tr w:rsidR="00673EFE" w:rsidRPr="00C56257" w14:paraId="01CE96BC" w14:textId="77777777" w:rsidTr="002825C6">
        <w:trPr>
          <w:trHeight w:hRule="exact" w:val="283"/>
        </w:trPr>
        <w:tc>
          <w:tcPr>
            <w:tcW w:w="1287" w:type="pct"/>
            <w:vMerge w:val="restart"/>
            <w:shd w:val="clear" w:color="auto" w:fill="auto"/>
            <w:hideMark/>
          </w:tcPr>
          <w:p w14:paraId="44075B53" w14:textId="77777777" w:rsidR="002D3CA7" w:rsidRPr="00C56257" w:rsidRDefault="002D3CA7" w:rsidP="008E33FD">
            <w:pPr>
              <w:jc w:val="both"/>
              <w:rPr>
                <w:color w:val="000000" w:themeColor="text1"/>
                <w:lang w:eastAsia="ro-RO"/>
              </w:rPr>
            </w:pPr>
            <w:r w:rsidRPr="00C56257">
              <w:rPr>
                <w:color w:val="000000" w:themeColor="text1"/>
                <w:lang w:eastAsia="ro-RO"/>
              </w:rPr>
              <w:t xml:space="preserve">Se așteaptă ca amenințările să aibă </w:t>
            </w:r>
            <w:r w:rsidRPr="00C56257">
              <w:rPr>
                <w:color w:val="000000" w:themeColor="text1"/>
                <w:lang w:eastAsia="ro-RO"/>
              </w:rPr>
              <w:lastRenderedPageBreak/>
              <w:t>influență negativă asupra stării parametrului (în mare aprte amenințări cu impact mare sau mediu, indiferent de măsurile luate</w:t>
            </w:r>
          </w:p>
        </w:tc>
        <w:tc>
          <w:tcPr>
            <w:tcW w:w="758" w:type="pct"/>
            <w:vMerge w:val="restart"/>
            <w:shd w:val="clear" w:color="auto" w:fill="auto"/>
            <w:noWrap/>
            <w:vAlign w:val="center"/>
            <w:hideMark/>
          </w:tcPr>
          <w:p w14:paraId="69476B32" w14:textId="77777777" w:rsidR="002D3CA7" w:rsidRPr="00C56257" w:rsidRDefault="002D3CA7" w:rsidP="008E33FD">
            <w:pPr>
              <w:jc w:val="both"/>
              <w:rPr>
                <w:color w:val="000000" w:themeColor="text1"/>
                <w:lang w:eastAsia="ro-RO"/>
              </w:rPr>
            </w:pPr>
            <w:r w:rsidRPr="00C56257">
              <w:rPr>
                <w:color w:val="000000" w:themeColor="text1"/>
                <w:lang w:eastAsia="ro-RO"/>
              </w:rPr>
              <w:lastRenderedPageBreak/>
              <w:t>negativă / foarte negativă</w:t>
            </w:r>
          </w:p>
        </w:tc>
        <w:tc>
          <w:tcPr>
            <w:tcW w:w="1136" w:type="pct"/>
            <w:vMerge w:val="restart"/>
            <w:shd w:val="clear" w:color="000000" w:fill="92D050"/>
            <w:noWrap/>
            <w:vAlign w:val="center"/>
            <w:hideMark/>
          </w:tcPr>
          <w:p w14:paraId="73E85A84" w14:textId="77777777" w:rsidR="002D3CA7" w:rsidRPr="00C56257" w:rsidRDefault="002D3CA7" w:rsidP="008E33FD">
            <w:pPr>
              <w:jc w:val="both"/>
              <w:rPr>
                <w:color w:val="000000" w:themeColor="text1"/>
                <w:lang w:eastAsia="ro-RO"/>
              </w:rPr>
            </w:pPr>
            <w:r w:rsidRPr="00C56257">
              <w:rPr>
                <w:color w:val="000000" w:themeColor="text1"/>
                <w:lang w:eastAsia="ro-RO"/>
              </w:rPr>
              <w:t>Favorabilă</w:t>
            </w:r>
          </w:p>
        </w:tc>
        <w:tc>
          <w:tcPr>
            <w:tcW w:w="833" w:type="pct"/>
            <w:vMerge w:val="restart"/>
            <w:shd w:val="clear" w:color="000000" w:fill="FFC000"/>
            <w:noWrap/>
            <w:vAlign w:val="center"/>
            <w:hideMark/>
          </w:tcPr>
          <w:p w14:paraId="33E575BC" w14:textId="77777777" w:rsidR="002D3CA7" w:rsidRPr="00C56257" w:rsidRDefault="002D3CA7" w:rsidP="008E33FD">
            <w:pPr>
              <w:jc w:val="both"/>
              <w:rPr>
                <w:color w:val="000000" w:themeColor="text1"/>
                <w:lang w:eastAsia="ro-RO"/>
              </w:rPr>
            </w:pPr>
            <w:r w:rsidRPr="00C56257">
              <w:rPr>
                <w:color w:val="000000" w:themeColor="text1"/>
                <w:lang w:eastAsia="ro-RO"/>
              </w:rPr>
              <w:t>Slabe (negative)</w:t>
            </w:r>
          </w:p>
        </w:tc>
        <w:tc>
          <w:tcPr>
            <w:tcW w:w="986" w:type="pct"/>
            <w:vMerge w:val="restart"/>
            <w:shd w:val="clear" w:color="000000" w:fill="FF0000"/>
            <w:vAlign w:val="center"/>
            <w:hideMark/>
          </w:tcPr>
          <w:p w14:paraId="04E289D6" w14:textId="77777777" w:rsidR="002D3CA7" w:rsidRPr="00C56257" w:rsidRDefault="002D3CA7" w:rsidP="008E33FD">
            <w:pPr>
              <w:jc w:val="both"/>
              <w:rPr>
                <w:color w:val="000000" w:themeColor="text1"/>
                <w:lang w:eastAsia="ro-RO"/>
              </w:rPr>
            </w:pPr>
            <w:r w:rsidRPr="00C56257">
              <w:rPr>
                <w:color w:val="000000" w:themeColor="text1"/>
                <w:lang w:eastAsia="ro-RO"/>
              </w:rPr>
              <w:t>Rele (foarte</w:t>
            </w:r>
            <w:r w:rsidRPr="00C56257">
              <w:rPr>
                <w:color w:val="000000" w:themeColor="text1"/>
                <w:lang w:eastAsia="ro-RO"/>
              </w:rPr>
              <w:br/>
              <w:t>negative)</w:t>
            </w:r>
          </w:p>
        </w:tc>
      </w:tr>
      <w:tr w:rsidR="00673EFE" w:rsidRPr="00C56257" w14:paraId="5AC39FB3" w14:textId="77777777" w:rsidTr="002825C6">
        <w:trPr>
          <w:trHeight w:hRule="exact" w:val="283"/>
        </w:trPr>
        <w:tc>
          <w:tcPr>
            <w:tcW w:w="1287" w:type="pct"/>
            <w:vMerge/>
            <w:vAlign w:val="center"/>
            <w:hideMark/>
          </w:tcPr>
          <w:p w14:paraId="6D79626A" w14:textId="77777777" w:rsidR="002D3CA7" w:rsidRPr="00C56257" w:rsidRDefault="002D3CA7" w:rsidP="008E33FD">
            <w:pPr>
              <w:jc w:val="both"/>
              <w:rPr>
                <w:color w:val="000000" w:themeColor="text1"/>
                <w:lang w:eastAsia="ro-RO"/>
              </w:rPr>
            </w:pPr>
          </w:p>
        </w:tc>
        <w:tc>
          <w:tcPr>
            <w:tcW w:w="758" w:type="pct"/>
            <w:vMerge/>
            <w:vAlign w:val="center"/>
            <w:hideMark/>
          </w:tcPr>
          <w:p w14:paraId="64C17E95" w14:textId="77777777" w:rsidR="002D3CA7" w:rsidRPr="00C56257" w:rsidRDefault="002D3CA7" w:rsidP="008E33FD">
            <w:pPr>
              <w:jc w:val="both"/>
              <w:rPr>
                <w:color w:val="000000" w:themeColor="text1"/>
                <w:lang w:eastAsia="ro-RO"/>
              </w:rPr>
            </w:pPr>
          </w:p>
        </w:tc>
        <w:tc>
          <w:tcPr>
            <w:tcW w:w="1136" w:type="pct"/>
            <w:vMerge/>
            <w:vAlign w:val="center"/>
            <w:hideMark/>
          </w:tcPr>
          <w:p w14:paraId="6E2217A2" w14:textId="77777777" w:rsidR="002D3CA7" w:rsidRPr="00C56257" w:rsidRDefault="002D3CA7" w:rsidP="008E33FD">
            <w:pPr>
              <w:jc w:val="both"/>
              <w:rPr>
                <w:color w:val="000000" w:themeColor="text1"/>
                <w:lang w:eastAsia="ro-RO"/>
              </w:rPr>
            </w:pPr>
          </w:p>
        </w:tc>
        <w:tc>
          <w:tcPr>
            <w:tcW w:w="833" w:type="pct"/>
            <w:vMerge/>
            <w:vAlign w:val="center"/>
            <w:hideMark/>
          </w:tcPr>
          <w:p w14:paraId="2CF18535" w14:textId="77777777" w:rsidR="002D3CA7" w:rsidRPr="00C56257" w:rsidRDefault="002D3CA7" w:rsidP="008E33FD">
            <w:pPr>
              <w:jc w:val="both"/>
              <w:rPr>
                <w:color w:val="000000" w:themeColor="text1"/>
                <w:lang w:eastAsia="ro-RO"/>
              </w:rPr>
            </w:pPr>
          </w:p>
        </w:tc>
        <w:tc>
          <w:tcPr>
            <w:tcW w:w="986" w:type="pct"/>
            <w:vMerge/>
            <w:vAlign w:val="center"/>
            <w:hideMark/>
          </w:tcPr>
          <w:p w14:paraId="489016B3" w14:textId="77777777" w:rsidR="002D3CA7" w:rsidRPr="00C56257" w:rsidRDefault="002D3CA7" w:rsidP="008E33FD">
            <w:pPr>
              <w:jc w:val="both"/>
              <w:rPr>
                <w:color w:val="000000" w:themeColor="text1"/>
                <w:lang w:eastAsia="ro-RO"/>
              </w:rPr>
            </w:pPr>
          </w:p>
        </w:tc>
      </w:tr>
      <w:tr w:rsidR="00673EFE" w:rsidRPr="00C56257" w14:paraId="0E0540EA" w14:textId="77777777" w:rsidTr="002825C6">
        <w:trPr>
          <w:trHeight w:hRule="exact" w:val="283"/>
        </w:trPr>
        <w:tc>
          <w:tcPr>
            <w:tcW w:w="1287" w:type="pct"/>
            <w:vMerge/>
            <w:vAlign w:val="center"/>
            <w:hideMark/>
          </w:tcPr>
          <w:p w14:paraId="1DD28B98" w14:textId="77777777" w:rsidR="002D3CA7" w:rsidRPr="00C56257" w:rsidRDefault="002D3CA7" w:rsidP="008E33FD">
            <w:pPr>
              <w:jc w:val="both"/>
              <w:rPr>
                <w:color w:val="000000" w:themeColor="text1"/>
                <w:lang w:eastAsia="ro-RO"/>
              </w:rPr>
            </w:pPr>
          </w:p>
        </w:tc>
        <w:tc>
          <w:tcPr>
            <w:tcW w:w="758" w:type="pct"/>
            <w:vMerge/>
            <w:vAlign w:val="center"/>
            <w:hideMark/>
          </w:tcPr>
          <w:p w14:paraId="3141F979" w14:textId="77777777" w:rsidR="002D3CA7" w:rsidRPr="00C56257" w:rsidRDefault="002D3CA7" w:rsidP="008E33FD">
            <w:pPr>
              <w:jc w:val="both"/>
              <w:rPr>
                <w:color w:val="000000" w:themeColor="text1"/>
                <w:lang w:eastAsia="ro-RO"/>
              </w:rPr>
            </w:pPr>
          </w:p>
        </w:tc>
        <w:tc>
          <w:tcPr>
            <w:tcW w:w="1136" w:type="pct"/>
            <w:vMerge w:val="restart"/>
            <w:shd w:val="clear" w:color="000000" w:fill="FFC000"/>
            <w:vAlign w:val="center"/>
            <w:hideMark/>
          </w:tcPr>
          <w:p w14:paraId="4B0C53B9" w14:textId="77777777" w:rsidR="002D3CA7" w:rsidRPr="00C56257" w:rsidRDefault="002D3CA7" w:rsidP="008E33FD">
            <w:pPr>
              <w:jc w:val="both"/>
              <w:rPr>
                <w:color w:val="000000" w:themeColor="text1"/>
                <w:lang w:eastAsia="ro-RO"/>
              </w:rPr>
            </w:pPr>
            <w:r w:rsidRPr="00C56257">
              <w:rPr>
                <w:color w:val="000000" w:themeColor="text1"/>
                <w:lang w:eastAsia="ro-RO"/>
              </w:rPr>
              <w:t>Nefavorabilă</w:t>
            </w:r>
            <w:r w:rsidRPr="00C56257">
              <w:rPr>
                <w:color w:val="000000" w:themeColor="text1"/>
                <w:lang w:eastAsia="ro-RO"/>
              </w:rPr>
              <w:br/>
              <w:t>inadecvată</w:t>
            </w:r>
          </w:p>
        </w:tc>
        <w:tc>
          <w:tcPr>
            <w:tcW w:w="833" w:type="pct"/>
            <w:vMerge w:val="restart"/>
            <w:shd w:val="clear" w:color="000000" w:fill="FFC000"/>
            <w:noWrap/>
            <w:vAlign w:val="center"/>
            <w:hideMark/>
          </w:tcPr>
          <w:p w14:paraId="32F4C5F6" w14:textId="77777777" w:rsidR="002D3CA7" w:rsidRPr="00C56257" w:rsidRDefault="002D3CA7" w:rsidP="008E33FD">
            <w:pPr>
              <w:jc w:val="both"/>
              <w:rPr>
                <w:color w:val="000000" w:themeColor="text1"/>
                <w:lang w:eastAsia="ro-RO"/>
              </w:rPr>
            </w:pPr>
            <w:r w:rsidRPr="00C56257">
              <w:rPr>
                <w:color w:val="000000" w:themeColor="text1"/>
                <w:lang w:eastAsia="ro-RO"/>
              </w:rPr>
              <w:t>Slabe (negative)</w:t>
            </w:r>
          </w:p>
        </w:tc>
        <w:tc>
          <w:tcPr>
            <w:tcW w:w="986" w:type="pct"/>
            <w:vMerge w:val="restart"/>
            <w:shd w:val="clear" w:color="000000" w:fill="FF0000"/>
            <w:vAlign w:val="center"/>
            <w:hideMark/>
          </w:tcPr>
          <w:p w14:paraId="735B3B77" w14:textId="77777777" w:rsidR="002D3CA7" w:rsidRPr="00C56257" w:rsidRDefault="002D3CA7" w:rsidP="008E33FD">
            <w:pPr>
              <w:jc w:val="both"/>
              <w:rPr>
                <w:color w:val="000000" w:themeColor="text1"/>
                <w:lang w:eastAsia="ro-RO"/>
              </w:rPr>
            </w:pPr>
            <w:r w:rsidRPr="00C56257">
              <w:rPr>
                <w:color w:val="000000" w:themeColor="text1"/>
                <w:lang w:eastAsia="ro-RO"/>
              </w:rPr>
              <w:t>Rele (foarte</w:t>
            </w:r>
            <w:r w:rsidRPr="00C56257">
              <w:rPr>
                <w:color w:val="000000" w:themeColor="text1"/>
                <w:lang w:eastAsia="ro-RO"/>
              </w:rPr>
              <w:br/>
              <w:t>negative)</w:t>
            </w:r>
          </w:p>
        </w:tc>
      </w:tr>
      <w:tr w:rsidR="00673EFE" w:rsidRPr="00C56257" w14:paraId="4165403B" w14:textId="77777777" w:rsidTr="002825C6">
        <w:trPr>
          <w:trHeight w:hRule="exact" w:val="283"/>
        </w:trPr>
        <w:tc>
          <w:tcPr>
            <w:tcW w:w="1287" w:type="pct"/>
            <w:vMerge/>
            <w:vAlign w:val="center"/>
            <w:hideMark/>
          </w:tcPr>
          <w:p w14:paraId="7A980E12" w14:textId="77777777" w:rsidR="002D3CA7" w:rsidRPr="00C56257" w:rsidRDefault="002D3CA7" w:rsidP="008E33FD">
            <w:pPr>
              <w:jc w:val="both"/>
              <w:rPr>
                <w:color w:val="000000" w:themeColor="text1"/>
                <w:lang w:eastAsia="ro-RO"/>
              </w:rPr>
            </w:pPr>
          </w:p>
        </w:tc>
        <w:tc>
          <w:tcPr>
            <w:tcW w:w="758" w:type="pct"/>
            <w:vMerge/>
            <w:vAlign w:val="center"/>
            <w:hideMark/>
          </w:tcPr>
          <w:p w14:paraId="3660CA2A" w14:textId="77777777" w:rsidR="002D3CA7" w:rsidRPr="00C56257" w:rsidRDefault="002D3CA7" w:rsidP="008E33FD">
            <w:pPr>
              <w:jc w:val="both"/>
              <w:rPr>
                <w:color w:val="000000" w:themeColor="text1"/>
                <w:lang w:eastAsia="ro-RO"/>
              </w:rPr>
            </w:pPr>
          </w:p>
        </w:tc>
        <w:tc>
          <w:tcPr>
            <w:tcW w:w="1136" w:type="pct"/>
            <w:vMerge/>
            <w:vAlign w:val="center"/>
            <w:hideMark/>
          </w:tcPr>
          <w:p w14:paraId="3A389063" w14:textId="77777777" w:rsidR="002D3CA7" w:rsidRPr="00C56257" w:rsidRDefault="002D3CA7" w:rsidP="008E33FD">
            <w:pPr>
              <w:jc w:val="both"/>
              <w:rPr>
                <w:color w:val="000000" w:themeColor="text1"/>
                <w:lang w:eastAsia="ro-RO"/>
              </w:rPr>
            </w:pPr>
          </w:p>
        </w:tc>
        <w:tc>
          <w:tcPr>
            <w:tcW w:w="833" w:type="pct"/>
            <w:vMerge/>
            <w:vAlign w:val="center"/>
            <w:hideMark/>
          </w:tcPr>
          <w:p w14:paraId="27080BB8" w14:textId="77777777" w:rsidR="002D3CA7" w:rsidRPr="00C56257" w:rsidRDefault="002D3CA7" w:rsidP="008E33FD">
            <w:pPr>
              <w:jc w:val="both"/>
              <w:rPr>
                <w:color w:val="000000" w:themeColor="text1"/>
                <w:lang w:eastAsia="ro-RO"/>
              </w:rPr>
            </w:pPr>
          </w:p>
        </w:tc>
        <w:tc>
          <w:tcPr>
            <w:tcW w:w="986" w:type="pct"/>
            <w:vMerge/>
            <w:vAlign w:val="center"/>
            <w:hideMark/>
          </w:tcPr>
          <w:p w14:paraId="7AB65EF1" w14:textId="77777777" w:rsidR="002D3CA7" w:rsidRPr="00C56257" w:rsidRDefault="002D3CA7" w:rsidP="008E33FD">
            <w:pPr>
              <w:jc w:val="both"/>
              <w:rPr>
                <w:color w:val="000000" w:themeColor="text1"/>
                <w:lang w:eastAsia="ro-RO"/>
              </w:rPr>
            </w:pPr>
          </w:p>
        </w:tc>
      </w:tr>
      <w:tr w:rsidR="00673EFE" w:rsidRPr="00C56257" w14:paraId="09452215" w14:textId="77777777" w:rsidTr="002825C6">
        <w:trPr>
          <w:trHeight w:hRule="exact" w:val="283"/>
        </w:trPr>
        <w:tc>
          <w:tcPr>
            <w:tcW w:w="1287" w:type="pct"/>
            <w:vMerge/>
            <w:vAlign w:val="center"/>
            <w:hideMark/>
          </w:tcPr>
          <w:p w14:paraId="645DFADD" w14:textId="77777777" w:rsidR="002D3CA7" w:rsidRPr="00C56257" w:rsidRDefault="002D3CA7" w:rsidP="008E33FD">
            <w:pPr>
              <w:jc w:val="both"/>
              <w:rPr>
                <w:color w:val="000000" w:themeColor="text1"/>
                <w:lang w:eastAsia="ro-RO"/>
              </w:rPr>
            </w:pPr>
          </w:p>
        </w:tc>
        <w:tc>
          <w:tcPr>
            <w:tcW w:w="758" w:type="pct"/>
            <w:vMerge/>
            <w:vAlign w:val="center"/>
            <w:hideMark/>
          </w:tcPr>
          <w:p w14:paraId="046DCB8D" w14:textId="77777777" w:rsidR="002D3CA7" w:rsidRPr="00C56257" w:rsidRDefault="002D3CA7" w:rsidP="008E33FD">
            <w:pPr>
              <w:jc w:val="both"/>
              <w:rPr>
                <w:color w:val="000000" w:themeColor="text1"/>
                <w:lang w:eastAsia="ro-RO"/>
              </w:rPr>
            </w:pPr>
          </w:p>
        </w:tc>
        <w:tc>
          <w:tcPr>
            <w:tcW w:w="1136" w:type="pct"/>
            <w:vMerge w:val="restart"/>
            <w:shd w:val="clear" w:color="000000" w:fill="FF0000"/>
            <w:vAlign w:val="center"/>
            <w:hideMark/>
          </w:tcPr>
          <w:p w14:paraId="03269CD8" w14:textId="77777777" w:rsidR="002D3CA7" w:rsidRPr="00C56257" w:rsidRDefault="002D3CA7" w:rsidP="008E33FD">
            <w:pPr>
              <w:jc w:val="both"/>
              <w:rPr>
                <w:color w:val="000000" w:themeColor="text1"/>
                <w:lang w:eastAsia="ro-RO"/>
              </w:rPr>
            </w:pPr>
            <w:r w:rsidRPr="00C56257">
              <w:rPr>
                <w:color w:val="000000" w:themeColor="text1"/>
                <w:lang w:eastAsia="ro-RO"/>
              </w:rPr>
              <w:t>Nefavorabilă</w:t>
            </w:r>
            <w:r w:rsidRPr="00C56257">
              <w:rPr>
                <w:color w:val="000000" w:themeColor="text1"/>
                <w:lang w:eastAsia="ro-RO"/>
              </w:rPr>
              <w:br/>
              <w:t>rea</w:t>
            </w:r>
          </w:p>
        </w:tc>
        <w:tc>
          <w:tcPr>
            <w:tcW w:w="1819" w:type="pct"/>
            <w:gridSpan w:val="2"/>
            <w:vMerge w:val="restart"/>
            <w:shd w:val="clear" w:color="000000" w:fill="FF0000"/>
            <w:noWrap/>
            <w:vAlign w:val="center"/>
            <w:hideMark/>
          </w:tcPr>
          <w:p w14:paraId="7B5BBBEB" w14:textId="77777777" w:rsidR="002D3CA7" w:rsidRPr="00C56257" w:rsidRDefault="002D3CA7" w:rsidP="008E33FD">
            <w:pPr>
              <w:jc w:val="both"/>
              <w:rPr>
                <w:color w:val="000000" w:themeColor="text1"/>
                <w:lang w:eastAsia="ro-RO"/>
              </w:rPr>
            </w:pPr>
            <w:r w:rsidRPr="00C56257">
              <w:rPr>
                <w:color w:val="000000" w:themeColor="text1"/>
                <w:lang w:eastAsia="ro-RO"/>
              </w:rPr>
              <w:t>Rele</w:t>
            </w:r>
          </w:p>
        </w:tc>
      </w:tr>
      <w:tr w:rsidR="00673EFE" w:rsidRPr="00C56257" w14:paraId="408C16DC" w14:textId="77777777" w:rsidTr="002825C6">
        <w:trPr>
          <w:trHeight w:hRule="exact" w:val="283"/>
        </w:trPr>
        <w:tc>
          <w:tcPr>
            <w:tcW w:w="1287" w:type="pct"/>
            <w:vMerge/>
            <w:vAlign w:val="center"/>
            <w:hideMark/>
          </w:tcPr>
          <w:p w14:paraId="3C3945D6" w14:textId="77777777" w:rsidR="002D3CA7" w:rsidRPr="00C56257" w:rsidRDefault="002D3CA7" w:rsidP="008E33FD">
            <w:pPr>
              <w:jc w:val="both"/>
              <w:rPr>
                <w:color w:val="000000" w:themeColor="text1"/>
                <w:lang w:eastAsia="ro-RO"/>
              </w:rPr>
            </w:pPr>
          </w:p>
        </w:tc>
        <w:tc>
          <w:tcPr>
            <w:tcW w:w="758" w:type="pct"/>
            <w:vMerge/>
            <w:vAlign w:val="center"/>
            <w:hideMark/>
          </w:tcPr>
          <w:p w14:paraId="7C390425" w14:textId="77777777" w:rsidR="002D3CA7" w:rsidRPr="00C56257" w:rsidRDefault="002D3CA7" w:rsidP="008E33FD">
            <w:pPr>
              <w:jc w:val="both"/>
              <w:rPr>
                <w:color w:val="000000" w:themeColor="text1"/>
                <w:lang w:eastAsia="ro-RO"/>
              </w:rPr>
            </w:pPr>
          </w:p>
        </w:tc>
        <w:tc>
          <w:tcPr>
            <w:tcW w:w="1136" w:type="pct"/>
            <w:vMerge/>
            <w:vAlign w:val="center"/>
            <w:hideMark/>
          </w:tcPr>
          <w:p w14:paraId="326104BD" w14:textId="77777777" w:rsidR="002D3CA7" w:rsidRPr="00C56257" w:rsidRDefault="002D3CA7" w:rsidP="008E33FD">
            <w:pPr>
              <w:jc w:val="both"/>
              <w:rPr>
                <w:color w:val="000000" w:themeColor="text1"/>
                <w:lang w:eastAsia="ro-RO"/>
              </w:rPr>
            </w:pPr>
          </w:p>
        </w:tc>
        <w:tc>
          <w:tcPr>
            <w:tcW w:w="1819" w:type="pct"/>
            <w:gridSpan w:val="2"/>
            <w:vMerge/>
            <w:vAlign w:val="center"/>
            <w:hideMark/>
          </w:tcPr>
          <w:p w14:paraId="4EFFA5E5" w14:textId="77777777" w:rsidR="002D3CA7" w:rsidRPr="00C56257" w:rsidRDefault="002D3CA7" w:rsidP="008E33FD">
            <w:pPr>
              <w:jc w:val="both"/>
              <w:rPr>
                <w:color w:val="000000" w:themeColor="text1"/>
                <w:lang w:eastAsia="ro-RO"/>
              </w:rPr>
            </w:pPr>
          </w:p>
        </w:tc>
      </w:tr>
      <w:tr w:rsidR="00673EFE" w:rsidRPr="00C56257" w14:paraId="13D87A5F" w14:textId="77777777" w:rsidTr="002825C6">
        <w:trPr>
          <w:trHeight w:hRule="exact" w:val="283"/>
        </w:trPr>
        <w:tc>
          <w:tcPr>
            <w:tcW w:w="1287" w:type="pct"/>
            <w:vMerge/>
            <w:vAlign w:val="center"/>
            <w:hideMark/>
          </w:tcPr>
          <w:p w14:paraId="5955D980" w14:textId="77777777" w:rsidR="002D3CA7" w:rsidRPr="00C56257" w:rsidRDefault="002D3CA7" w:rsidP="008E33FD">
            <w:pPr>
              <w:jc w:val="both"/>
              <w:rPr>
                <w:color w:val="000000" w:themeColor="text1"/>
                <w:lang w:eastAsia="ro-RO"/>
              </w:rPr>
            </w:pPr>
          </w:p>
        </w:tc>
        <w:tc>
          <w:tcPr>
            <w:tcW w:w="758" w:type="pct"/>
            <w:vMerge/>
            <w:vAlign w:val="center"/>
            <w:hideMark/>
          </w:tcPr>
          <w:p w14:paraId="4D85ECB3" w14:textId="77777777" w:rsidR="002D3CA7" w:rsidRPr="00C56257" w:rsidRDefault="002D3CA7" w:rsidP="008E33FD">
            <w:pPr>
              <w:jc w:val="both"/>
              <w:rPr>
                <w:color w:val="000000" w:themeColor="text1"/>
                <w:lang w:eastAsia="ro-RO"/>
              </w:rPr>
            </w:pPr>
          </w:p>
        </w:tc>
        <w:tc>
          <w:tcPr>
            <w:tcW w:w="1136" w:type="pct"/>
            <w:vMerge w:val="restart"/>
            <w:shd w:val="clear" w:color="000000" w:fill="A6A6A6"/>
            <w:noWrap/>
            <w:vAlign w:val="center"/>
            <w:hideMark/>
          </w:tcPr>
          <w:p w14:paraId="25D669C4" w14:textId="77777777" w:rsidR="002D3CA7" w:rsidRPr="00C56257" w:rsidRDefault="002D3CA7" w:rsidP="008E33FD">
            <w:pPr>
              <w:jc w:val="both"/>
              <w:rPr>
                <w:color w:val="000000" w:themeColor="text1"/>
                <w:lang w:eastAsia="ro-RO"/>
              </w:rPr>
            </w:pPr>
            <w:r w:rsidRPr="00C56257">
              <w:rPr>
                <w:color w:val="000000" w:themeColor="text1"/>
                <w:lang w:eastAsia="ro-RO"/>
              </w:rPr>
              <w:t>Necunoscută</w:t>
            </w:r>
          </w:p>
        </w:tc>
        <w:tc>
          <w:tcPr>
            <w:tcW w:w="833" w:type="pct"/>
            <w:vMerge w:val="restart"/>
            <w:shd w:val="clear" w:color="000000" w:fill="FFC000"/>
            <w:noWrap/>
            <w:vAlign w:val="center"/>
            <w:hideMark/>
          </w:tcPr>
          <w:p w14:paraId="2DA45CC5" w14:textId="77777777" w:rsidR="002D3CA7" w:rsidRPr="00C56257" w:rsidRDefault="002D3CA7" w:rsidP="008E33FD">
            <w:pPr>
              <w:jc w:val="both"/>
              <w:rPr>
                <w:color w:val="000000" w:themeColor="text1"/>
                <w:lang w:eastAsia="ro-RO"/>
              </w:rPr>
            </w:pPr>
            <w:r w:rsidRPr="00C56257">
              <w:rPr>
                <w:color w:val="000000" w:themeColor="text1"/>
                <w:lang w:eastAsia="ro-RO"/>
              </w:rPr>
              <w:t>Slabe (negative)</w:t>
            </w:r>
          </w:p>
        </w:tc>
        <w:tc>
          <w:tcPr>
            <w:tcW w:w="986" w:type="pct"/>
            <w:vMerge w:val="restart"/>
            <w:shd w:val="clear" w:color="000000" w:fill="FF0000"/>
            <w:vAlign w:val="center"/>
            <w:hideMark/>
          </w:tcPr>
          <w:p w14:paraId="1587BFDF" w14:textId="77777777" w:rsidR="002D3CA7" w:rsidRPr="00C56257" w:rsidRDefault="002D3CA7" w:rsidP="008E33FD">
            <w:pPr>
              <w:jc w:val="both"/>
              <w:rPr>
                <w:color w:val="000000" w:themeColor="text1"/>
                <w:lang w:eastAsia="ro-RO"/>
              </w:rPr>
            </w:pPr>
            <w:r w:rsidRPr="00C56257">
              <w:rPr>
                <w:color w:val="000000" w:themeColor="text1"/>
                <w:lang w:eastAsia="ro-RO"/>
              </w:rPr>
              <w:t>Rele (foarte</w:t>
            </w:r>
            <w:r w:rsidRPr="00C56257">
              <w:rPr>
                <w:color w:val="000000" w:themeColor="text1"/>
                <w:lang w:eastAsia="ro-RO"/>
              </w:rPr>
              <w:br/>
              <w:t>negative)</w:t>
            </w:r>
          </w:p>
        </w:tc>
      </w:tr>
      <w:tr w:rsidR="00673EFE" w:rsidRPr="00C56257" w14:paraId="41038F2F" w14:textId="77777777" w:rsidTr="002825C6">
        <w:trPr>
          <w:trHeight w:val="458"/>
        </w:trPr>
        <w:tc>
          <w:tcPr>
            <w:tcW w:w="1287" w:type="pct"/>
            <w:vMerge/>
            <w:vAlign w:val="center"/>
            <w:hideMark/>
          </w:tcPr>
          <w:p w14:paraId="72DB565D" w14:textId="77777777" w:rsidR="002D3CA7" w:rsidRPr="00C56257" w:rsidRDefault="002D3CA7" w:rsidP="008E33FD">
            <w:pPr>
              <w:jc w:val="both"/>
              <w:rPr>
                <w:color w:val="000000" w:themeColor="text1"/>
                <w:lang w:eastAsia="ro-RO"/>
              </w:rPr>
            </w:pPr>
          </w:p>
        </w:tc>
        <w:tc>
          <w:tcPr>
            <w:tcW w:w="758" w:type="pct"/>
            <w:vMerge/>
            <w:vAlign w:val="center"/>
            <w:hideMark/>
          </w:tcPr>
          <w:p w14:paraId="638D3567" w14:textId="77777777" w:rsidR="002D3CA7" w:rsidRPr="00C56257" w:rsidRDefault="002D3CA7" w:rsidP="008E33FD">
            <w:pPr>
              <w:jc w:val="both"/>
              <w:rPr>
                <w:color w:val="000000" w:themeColor="text1"/>
                <w:lang w:eastAsia="ro-RO"/>
              </w:rPr>
            </w:pPr>
          </w:p>
        </w:tc>
        <w:tc>
          <w:tcPr>
            <w:tcW w:w="1136" w:type="pct"/>
            <w:vMerge/>
            <w:vAlign w:val="center"/>
            <w:hideMark/>
          </w:tcPr>
          <w:p w14:paraId="3B46A7EE" w14:textId="77777777" w:rsidR="002D3CA7" w:rsidRPr="00C56257" w:rsidRDefault="002D3CA7" w:rsidP="008E33FD">
            <w:pPr>
              <w:jc w:val="both"/>
              <w:rPr>
                <w:color w:val="000000" w:themeColor="text1"/>
                <w:lang w:eastAsia="ro-RO"/>
              </w:rPr>
            </w:pPr>
          </w:p>
        </w:tc>
        <w:tc>
          <w:tcPr>
            <w:tcW w:w="833" w:type="pct"/>
            <w:vMerge/>
            <w:vAlign w:val="center"/>
            <w:hideMark/>
          </w:tcPr>
          <w:p w14:paraId="20A52470" w14:textId="77777777" w:rsidR="002D3CA7" w:rsidRPr="00C56257" w:rsidRDefault="002D3CA7" w:rsidP="008E33FD">
            <w:pPr>
              <w:jc w:val="both"/>
              <w:rPr>
                <w:color w:val="000000" w:themeColor="text1"/>
                <w:lang w:eastAsia="ro-RO"/>
              </w:rPr>
            </w:pPr>
          </w:p>
        </w:tc>
        <w:tc>
          <w:tcPr>
            <w:tcW w:w="986" w:type="pct"/>
            <w:vMerge/>
            <w:vAlign w:val="center"/>
            <w:hideMark/>
          </w:tcPr>
          <w:p w14:paraId="7A73A165" w14:textId="77777777" w:rsidR="002D3CA7" w:rsidRPr="00C56257" w:rsidRDefault="002D3CA7" w:rsidP="008E33FD">
            <w:pPr>
              <w:jc w:val="both"/>
              <w:rPr>
                <w:color w:val="000000" w:themeColor="text1"/>
                <w:lang w:eastAsia="ro-RO"/>
              </w:rPr>
            </w:pPr>
          </w:p>
        </w:tc>
      </w:tr>
      <w:tr w:rsidR="00673EFE" w:rsidRPr="00C56257" w14:paraId="78B4DFDE" w14:textId="77777777" w:rsidTr="002825C6">
        <w:trPr>
          <w:trHeight w:hRule="exact" w:val="170"/>
        </w:trPr>
        <w:tc>
          <w:tcPr>
            <w:tcW w:w="1287" w:type="pct"/>
            <w:vMerge w:val="restart"/>
            <w:shd w:val="clear" w:color="auto" w:fill="auto"/>
            <w:hideMark/>
          </w:tcPr>
          <w:p w14:paraId="4098E2B4" w14:textId="77777777" w:rsidR="002D3CA7" w:rsidRPr="00C56257" w:rsidRDefault="002D3CA7" w:rsidP="008E33FD">
            <w:pPr>
              <w:jc w:val="both"/>
              <w:rPr>
                <w:color w:val="000000" w:themeColor="text1"/>
                <w:lang w:eastAsia="ro-RO"/>
              </w:rPr>
            </w:pPr>
            <w:r w:rsidRPr="00C56257">
              <w:rPr>
                <w:color w:val="000000" w:themeColor="text1"/>
                <w:lang w:eastAsia="ro-RO"/>
              </w:rPr>
              <w:t>Niciuna (sau doar amenințări cu impact nesemnificativ) și/sau măsuri efective luate: influență pozitivă asupra stării parametrului</w:t>
            </w:r>
          </w:p>
        </w:tc>
        <w:tc>
          <w:tcPr>
            <w:tcW w:w="758" w:type="pct"/>
            <w:vMerge w:val="restart"/>
            <w:shd w:val="clear" w:color="auto" w:fill="auto"/>
            <w:noWrap/>
            <w:vAlign w:val="center"/>
            <w:hideMark/>
          </w:tcPr>
          <w:p w14:paraId="443DEB0F" w14:textId="77777777" w:rsidR="002D3CA7" w:rsidRPr="00C56257" w:rsidRDefault="002D3CA7" w:rsidP="008E33FD">
            <w:pPr>
              <w:jc w:val="both"/>
              <w:rPr>
                <w:color w:val="000000" w:themeColor="text1"/>
                <w:lang w:eastAsia="ro-RO"/>
              </w:rPr>
            </w:pPr>
            <w:r w:rsidRPr="00C56257">
              <w:rPr>
                <w:color w:val="000000" w:themeColor="text1"/>
                <w:lang w:eastAsia="ro-RO"/>
              </w:rPr>
              <w:t>pozitivă / foarte pozitivă</w:t>
            </w:r>
          </w:p>
        </w:tc>
        <w:tc>
          <w:tcPr>
            <w:tcW w:w="1136" w:type="pct"/>
            <w:vMerge w:val="restart"/>
            <w:shd w:val="clear" w:color="000000" w:fill="92D050"/>
            <w:noWrap/>
            <w:vAlign w:val="center"/>
            <w:hideMark/>
          </w:tcPr>
          <w:p w14:paraId="166F65DC" w14:textId="77777777" w:rsidR="002D3CA7" w:rsidRPr="00C56257" w:rsidRDefault="002D3CA7" w:rsidP="008E33FD">
            <w:pPr>
              <w:jc w:val="both"/>
              <w:rPr>
                <w:color w:val="000000" w:themeColor="text1"/>
                <w:lang w:eastAsia="ro-RO"/>
              </w:rPr>
            </w:pPr>
            <w:r w:rsidRPr="00C56257">
              <w:rPr>
                <w:color w:val="000000" w:themeColor="text1"/>
                <w:lang w:eastAsia="ro-RO"/>
              </w:rPr>
              <w:t>Favorabilă</w:t>
            </w:r>
          </w:p>
        </w:tc>
        <w:tc>
          <w:tcPr>
            <w:tcW w:w="1819" w:type="pct"/>
            <w:gridSpan w:val="2"/>
            <w:vMerge w:val="restart"/>
            <w:shd w:val="clear" w:color="000000" w:fill="92D050"/>
            <w:noWrap/>
            <w:vAlign w:val="center"/>
            <w:hideMark/>
          </w:tcPr>
          <w:p w14:paraId="4AA3605E" w14:textId="77777777" w:rsidR="002D3CA7" w:rsidRPr="00C56257" w:rsidRDefault="002D3CA7" w:rsidP="008E33FD">
            <w:pPr>
              <w:jc w:val="both"/>
              <w:rPr>
                <w:color w:val="000000" w:themeColor="text1"/>
                <w:lang w:eastAsia="ro-RO"/>
              </w:rPr>
            </w:pPr>
            <w:r w:rsidRPr="00C56257">
              <w:rPr>
                <w:color w:val="000000" w:themeColor="text1"/>
                <w:lang w:eastAsia="ro-RO"/>
              </w:rPr>
              <w:t>Bune</w:t>
            </w:r>
          </w:p>
        </w:tc>
      </w:tr>
      <w:tr w:rsidR="00673EFE" w:rsidRPr="00C56257" w14:paraId="7BBC56DF" w14:textId="77777777" w:rsidTr="002825C6">
        <w:trPr>
          <w:trHeight w:hRule="exact" w:val="283"/>
        </w:trPr>
        <w:tc>
          <w:tcPr>
            <w:tcW w:w="1287" w:type="pct"/>
            <w:vMerge/>
            <w:vAlign w:val="center"/>
            <w:hideMark/>
          </w:tcPr>
          <w:p w14:paraId="4DFD532A" w14:textId="77777777" w:rsidR="002D3CA7" w:rsidRPr="00C56257" w:rsidRDefault="002D3CA7" w:rsidP="008E33FD">
            <w:pPr>
              <w:jc w:val="both"/>
              <w:rPr>
                <w:color w:val="000000" w:themeColor="text1"/>
                <w:lang w:eastAsia="ro-RO"/>
              </w:rPr>
            </w:pPr>
          </w:p>
        </w:tc>
        <w:tc>
          <w:tcPr>
            <w:tcW w:w="758" w:type="pct"/>
            <w:vMerge/>
            <w:vAlign w:val="center"/>
            <w:hideMark/>
          </w:tcPr>
          <w:p w14:paraId="0A6C547E" w14:textId="77777777" w:rsidR="002D3CA7" w:rsidRPr="00C56257" w:rsidRDefault="002D3CA7" w:rsidP="008E33FD">
            <w:pPr>
              <w:jc w:val="both"/>
              <w:rPr>
                <w:color w:val="000000" w:themeColor="text1"/>
                <w:lang w:eastAsia="ro-RO"/>
              </w:rPr>
            </w:pPr>
          </w:p>
        </w:tc>
        <w:tc>
          <w:tcPr>
            <w:tcW w:w="1136" w:type="pct"/>
            <w:vMerge/>
            <w:vAlign w:val="center"/>
            <w:hideMark/>
          </w:tcPr>
          <w:p w14:paraId="78F21E44" w14:textId="77777777" w:rsidR="002D3CA7" w:rsidRPr="00C56257" w:rsidRDefault="002D3CA7" w:rsidP="008E33FD">
            <w:pPr>
              <w:jc w:val="both"/>
              <w:rPr>
                <w:color w:val="000000" w:themeColor="text1"/>
                <w:lang w:eastAsia="ro-RO"/>
              </w:rPr>
            </w:pPr>
          </w:p>
        </w:tc>
        <w:tc>
          <w:tcPr>
            <w:tcW w:w="1819" w:type="pct"/>
            <w:gridSpan w:val="2"/>
            <w:vMerge/>
            <w:vAlign w:val="center"/>
            <w:hideMark/>
          </w:tcPr>
          <w:p w14:paraId="7B801541" w14:textId="77777777" w:rsidR="002D3CA7" w:rsidRPr="00C56257" w:rsidRDefault="002D3CA7" w:rsidP="008E33FD">
            <w:pPr>
              <w:jc w:val="both"/>
              <w:rPr>
                <w:color w:val="000000" w:themeColor="text1"/>
                <w:lang w:eastAsia="ro-RO"/>
              </w:rPr>
            </w:pPr>
          </w:p>
        </w:tc>
      </w:tr>
      <w:tr w:rsidR="00673EFE" w:rsidRPr="00C56257" w14:paraId="75498480" w14:textId="77777777" w:rsidTr="002825C6">
        <w:trPr>
          <w:trHeight w:hRule="exact" w:val="283"/>
        </w:trPr>
        <w:tc>
          <w:tcPr>
            <w:tcW w:w="1287" w:type="pct"/>
            <w:vMerge/>
            <w:vAlign w:val="center"/>
            <w:hideMark/>
          </w:tcPr>
          <w:p w14:paraId="035D9763" w14:textId="77777777" w:rsidR="002D3CA7" w:rsidRPr="00C56257" w:rsidRDefault="002D3CA7" w:rsidP="008E33FD">
            <w:pPr>
              <w:jc w:val="both"/>
              <w:rPr>
                <w:color w:val="000000" w:themeColor="text1"/>
                <w:lang w:eastAsia="ro-RO"/>
              </w:rPr>
            </w:pPr>
          </w:p>
        </w:tc>
        <w:tc>
          <w:tcPr>
            <w:tcW w:w="758" w:type="pct"/>
            <w:vMerge/>
            <w:vAlign w:val="center"/>
            <w:hideMark/>
          </w:tcPr>
          <w:p w14:paraId="38855382" w14:textId="77777777" w:rsidR="002D3CA7" w:rsidRPr="00C56257" w:rsidRDefault="002D3CA7" w:rsidP="008E33FD">
            <w:pPr>
              <w:jc w:val="both"/>
              <w:rPr>
                <w:color w:val="000000" w:themeColor="text1"/>
                <w:lang w:eastAsia="ro-RO"/>
              </w:rPr>
            </w:pPr>
          </w:p>
        </w:tc>
        <w:tc>
          <w:tcPr>
            <w:tcW w:w="1136" w:type="pct"/>
            <w:vMerge w:val="restart"/>
            <w:shd w:val="clear" w:color="000000" w:fill="FFC000"/>
            <w:vAlign w:val="center"/>
            <w:hideMark/>
          </w:tcPr>
          <w:p w14:paraId="6DE171F3" w14:textId="77777777" w:rsidR="002D3CA7" w:rsidRPr="00C56257" w:rsidRDefault="002D3CA7" w:rsidP="008E33FD">
            <w:pPr>
              <w:jc w:val="both"/>
              <w:rPr>
                <w:color w:val="000000" w:themeColor="text1"/>
                <w:lang w:eastAsia="ro-RO"/>
              </w:rPr>
            </w:pPr>
            <w:r w:rsidRPr="00C56257">
              <w:rPr>
                <w:color w:val="000000" w:themeColor="text1"/>
                <w:lang w:eastAsia="ro-RO"/>
              </w:rPr>
              <w:t>Nefavorabilă</w:t>
            </w:r>
            <w:r w:rsidRPr="00C56257">
              <w:rPr>
                <w:color w:val="000000" w:themeColor="text1"/>
                <w:lang w:eastAsia="ro-RO"/>
              </w:rPr>
              <w:br/>
              <w:t>inadecvată</w:t>
            </w:r>
          </w:p>
        </w:tc>
        <w:tc>
          <w:tcPr>
            <w:tcW w:w="833" w:type="pct"/>
            <w:vMerge w:val="restart"/>
            <w:shd w:val="clear" w:color="000000" w:fill="FFC000"/>
            <w:noWrap/>
            <w:vAlign w:val="center"/>
            <w:hideMark/>
          </w:tcPr>
          <w:p w14:paraId="7CDD5B4E" w14:textId="77777777" w:rsidR="002D3CA7" w:rsidRPr="00C56257" w:rsidRDefault="002D3CA7" w:rsidP="008E33FD">
            <w:pPr>
              <w:jc w:val="both"/>
              <w:rPr>
                <w:color w:val="000000" w:themeColor="text1"/>
                <w:lang w:eastAsia="ro-RO"/>
              </w:rPr>
            </w:pPr>
            <w:r w:rsidRPr="00C56257">
              <w:rPr>
                <w:color w:val="000000" w:themeColor="text1"/>
                <w:lang w:eastAsia="ro-RO"/>
              </w:rPr>
              <w:t>Slabe (negative)</w:t>
            </w:r>
          </w:p>
        </w:tc>
        <w:tc>
          <w:tcPr>
            <w:tcW w:w="986" w:type="pct"/>
            <w:vMerge w:val="restart"/>
            <w:shd w:val="clear" w:color="000000" w:fill="92D050"/>
            <w:vAlign w:val="center"/>
            <w:hideMark/>
          </w:tcPr>
          <w:p w14:paraId="5304AC0E" w14:textId="77777777" w:rsidR="002D3CA7" w:rsidRPr="00C56257" w:rsidRDefault="002D3CA7" w:rsidP="008E33FD">
            <w:pPr>
              <w:jc w:val="both"/>
              <w:rPr>
                <w:color w:val="000000" w:themeColor="text1"/>
                <w:lang w:eastAsia="ro-RO"/>
              </w:rPr>
            </w:pPr>
            <w:r w:rsidRPr="00C56257">
              <w:rPr>
                <w:color w:val="000000" w:themeColor="text1"/>
                <w:lang w:eastAsia="ro-RO"/>
              </w:rPr>
              <w:t>Bune (foarte</w:t>
            </w:r>
            <w:r w:rsidRPr="00C56257">
              <w:rPr>
                <w:color w:val="000000" w:themeColor="text1"/>
                <w:lang w:eastAsia="ro-RO"/>
              </w:rPr>
              <w:br/>
              <w:t>pozitive)</w:t>
            </w:r>
          </w:p>
        </w:tc>
      </w:tr>
      <w:tr w:rsidR="00673EFE" w:rsidRPr="00C56257" w14:paraId="4BDA489D" w14:textId="77777777" w:rsidTr="002825C6">
        <w:trPr>
          <w:trHeight w:hRule="exact" w:val="283"/>
        </w:trPr>
        <w:tc>
          <w:tcPr>
            <w:tcW w:w="1287" w:type="pct"/>
            <w:vMerge/>
            <w:vAlign w:val="center"/>
            <w:hideMark/>
          </w:tcPr>
          <w:p w14:paraId="206D2687" w14:textId="77777777" w:rsidR="002D3CA7" w:rsidRPr="00C56257" w:rsidRDefault="002D3CA7" w:rsidP="008E33FD">
            <w:pPr>
              <w:jc w:val="both"/>
              <w:rPr>
                <w:color w:val="000000" w:themeColor="text1"/>
                <w:lang w:eastAsia="ro-RO"/>
              </w:rPr>
            </w:pPr>
          </w:p>
        </w:tc>
        <w:tc>
          <w:tcPr>
            <w:tcW w:w="758" w:type="pct"/>
            <w:vMerge/>
            <w:vAlign w:val="center"/>
            <w:hideMark/>
          </w:tcPr>
          <w:p w14:paraId="166BBE9F" w14:textId="77777777" w:rsidR="002D3CA7" w:rsidRPr="00C56257" w:rsidRDefault="002D3CA7" w:rsidP="008E33FD">
            <w:pPr>
              <w:jc w:val="both"/>
              <w:rPr>
                <w:color w:val="000000" w:themeColor="text1"/>
                <w:lang w:eastAsia="ro-RO"/>
              </w:rPr>
            </w:pPr>
          </w:p>
        </w:tc>
        <w:tc>
          <w:tcPr>
            <w:tcW w:w="1136" w:type="pct"/>
            <w:vMerge/>
            <w:vAlign w:val="center"/>
            <w:hideMark/>
          </w:tcPr>
          <w:p w14:paraId="3E7C885E" w14:textId="77777777" w:rsidR="002D3CA7" w:rsidRPr="00C56257" w:rsidRDefault="002D3CA7" w:rsidP="008E33FD">
            <w:pPr>
              <w:jc w:val="both"/>
              <w:rPr>
                <w:color w:val="000000" w:themeColor="text1"/>
                <w:lang w:eastAsia="ro-RO"/>
              </w:rPr>
            </w:pPr>
          </w:p>
        </w:tc>
        <w:tc>
          <w:tcPr>
            <w:tcW w:w="833" w:type="pct"/>
            <w:vMerge/>
            <w:vAlign w:val="center"/>
            <w:hideMark/>
          </w:tcPr>
          <w:p w14:paraId="4A88573D" w14:textId="77777777" w:rsidR="002D3CA7" w:rsidRPr="00C56257" w:rsidRDefault="002D3CA7" w:rsidP="008E33FD">
            <w:pPr>
              <w:jc w:val="both"/>
              <w:rPr>
                <w:color w:val="000000" w:themeColor="text1"/>
                <w:lang w:eastAsia="ro-RO"/>
              </w:rPr>
            </w:pPr>
          </w:p>
        </w:tc>
        <w:tc>
          <w:tcPr>
            <w:tcW w:w="986" w:type="pct"/>
            <w:vMerge/>
            <w:vAlign w:val="center"/>
            <w:hideMark/>
          </w:tcPr>
          <w:p w14:paraId="6B8797DF" w14:textId="77777777" w:rsidR="002D3CA7" w:rsidRPr="00C56257" w:rsidRDefault="002D3CA7" w:rsidP="008E33FD">
            <w:pPr>
              <w:jc w:val="both"/>
              <w:rPr>
                <w:color w:val="000000" w:themeColor="text1"/>
                <w:lang w:eastAsia="ro-RO"/>
              </w:rPr>
            </w:pPr>
          </w:p>
        </w:tc>
      </w:tr>
      <w:tr w:rsidR="00673EFE" w:rsidRPr="00C56257" w14:paraId="66C1DB77" w14:textId="77777777" w:rsidTr="002825C6">
        <w:trPr>
          <w:trHeight w:hRule="exact" w:val="283"/>
        </w:trPr>
        <w:tc>
          <w:tcPr>
            <w:tcW w:w="1287" w:type="pct"/>
            <w:vMerge/>
            <w:vAlign w:val="center"/>
            <w:hideMark/>
          </w:tcPr>
          <w:p w14:paraId="10207998" w14:textId="77777777" w:rsidR="002D3CA7" w:rsidRPr="00C56257" w:rsidRDefault="002D3CA7" w:rsidP="008E33FD">
            <w:pPr>
              <w:jc w:val="both"/>
              <w:rPr>
                <w:color w:val="000000" w:themeColor="text1"/>
                <w:lang w:eastAsia="ro-RO"/>
              </w:rPr>
            </w:pPr>
          </w:p>
        </w:tc>
        <w:tc>
          <w:tcPr>
            <w:tcW w:w="758" w:type="pct"/>
            <w:vMerge/>
            <w:vAlign w:val="center"/>
            <w:hideMark/>
          </w:tcPr>
          <w:p w14:paraId="48E5656E" w14:textId="77777777" w:rsidR="002D3CA7" w:rsidRPr="00C56257" w:rsidRDefault="002D3CA7" w:rsidP="008E33FD">
            <w:pPr>
              <w:jc w:val="both"/>
              <w:rPr>
                <w:color w:val="000000" w:themeColor="text1"/>
                <w:lang w:eastAsia="ro-RO"/>
              </w:rPr>
            </w:pPr>
          </w:p>
        </w:tc>
        <w:tc>
          <w:tcPr>
            <w:tcW w:w="1136" w:type="pct"/>
            <w:vMerge w:val="restart"/>
            <w:shd w:val="clear" w:color="000000" w:fill="FF0000"/>
            <w:vAlign w:val="center"/>
            <w:hideMark/>
          </w:tcPr>
          <w:p w14:paraId="2371030E" w14:textId="77777777" w:rsidR="002D3CA7" w:rsidRPr="00C56257" w:rsidRDefault="002D3CA7" w:rsidP="008E33FD">
            <w:pPr>
              <w:jc w:val="both"/>
              <w:rPr>
                <w:color w:val="000000" w:themeColor="text1"/>
                <w:lang w:eastAsia="ro-RO"/>
              </w:rPr>
            </w:pPr>
            <w:r w:rsidRPr="00C56257">
              <w:rPr>
                <w:color w:val="000000" w:themeColor="text1"/>
                <w:lang w:eastAsia="ro-RO"/>
              </w:rPr>
              <w:t>Nefavorabilă</w:t>
            </w:r>
            <w:r w:rsidRPr="00C56257">
              <w:rPr>
                <w:color w:val="000000" w:themeColor="text1"/>
                <w:lang w:eastAsia="ro-RO"/>
              </w:rPr>
              <w:br/>
              <w:t>rea</w:t>
            </w:r>
          </w:p>
        </w:tc>
        <w:tc>
          <w:tcPr>
            <w:tcW w:w="833" w:type="pct"/>
            <w:vMerge w:val="restart"/>
            <w:shd w:val="clear" w:color="000000" w:fill="FFC000"/>
            <w:noWrap/>
            <w:vAlign w:val="center"/>
            <w:hideMark/>
          </w:tcPr>
          <w:p w14:paraId="418EFE9C" w14:textId="77777777" w:rsidR="002D3CA7" w:rsidRPr="00C56257" w:rsidRDefault="002D3CA7" w:rsidP="008E33FD">
            <w:pPr>
              <w:jc w:val="both"/>
              <w:rPr>
                <w:color w:val="000000" w:themeColor="text1"/>
                <w:lang w:eastAsia="ro-RO"/>
              </w:rPr>
            </w:pPr>
            <w:r w:rsidRPr="00C56257">
              <w:rPr>
                <w:color w:val="000000" w:themeColor="text1"/>
                <w:lang w:eastAsia="ro-RO"/>
              </w:rPr>
              <w:t>Slabe (negative)</w:t>
            </w:r>
          </w:p>
        </w:tc>
        <w:tc>
          <w:tcPr>
            <w:tcW w:w="986" w:type="pct"/>
            <w:vMerge w:val="restart"/>
            <w:shd w:val="clear" w:color="000000" w:fill="92D050"/>
            <w:vAlign w:val="center"/>
            <w:hideMark/>
          </w:tcPr>
          <w:p w14:paraId="25CA8E4D" w14:textId="77777777" w:rsidR="002D3CA7" w:rsidRPr="00C56257" w:rsidRDefault="002D3CA7" w:rsidP="008E33FD">
            <w:pPr>
              <w:jc w:val="both"/>
              <w:rPr>
                <w:color w:val="000000" w:themeColor="text1"/>
                <w:lang w:eastAsia="ro-RO"/>
              </w:rPr>
            </w:pPr>
            <w:r w:rsidRPr="00C56257">
              <w:rPr>
                <w:color w:val="000000" w:themeColor="text1"/>
                <w:lang w:eastAsia="ro-RO"/>
              </w:rPr>
              <w:t>Bune (foarte</w:t>
            </w:r>
            <w:r w:rsidRPr="00C56257">
              <w:rPr>
                <w:color w:val="000000" w:themeColor="text1"/>
                <w:lang w:eastAsia="ro-RO"/>
              </w:rPr>
              <w:br/>
              <w:t>pozitive)</w:t>
            </w:r>
          </w:p>
        </w:tc>
      </w:tr>
      <w:tr w:rsidR="00673EFE" w:rsidRPr="00C56257" w14:paraId="20F96F01" w14:textId="77777777" w:rsidTr="002825C6">
        <w:trPr>
          <w:trHeight w:hRule="exact" w:val="283"/>
        </w:trPr>
        <w:tc>
          <w:tcPr>
            <w:tcW w:w="1287" w:type="pct"/>
            <w:vMerge/>
            <w:vAlign w:val="center"/>
            <w:hideMark/>
          </w:tcPr>
          <w:p w14:paraId="360D469D" w14:textId="77777777" w:rsidR="002D3CA7" w:rsidRPr="00C56257" w:rsidRDefault="002D3CA7" w:rsidP="008E33FD">
            <w:pPr>
              <w:jc w:val="both"/>
              <w:rPr>
                <w:color w:val="000000" w:themeColor="text1"/>
                <w:lang w:eastAsia="ro-RO"/>
              </w:rPr>
            </w:pPr>
          </w:p>
        </w:tc>
        <w:tc>
          <w:tcPr>
            <w:tcW w:w="758" w:type="pct"/>
            <w:vMerge/>
            <w:vAlign w:val="center"/>
            <w:hideMark/>
          </w:tcPr>
          <w:p w14:paraId="365ABB78" w14:textId="77777777" w:rsidR="002D3CA7" w:rsidRPr="00C56257" w:rsidRDefault="002D3CA7" w:rsidP="008E33FD">
            <w:pPr>
              <w:jc w:val="both"/>
              <w:rPr>
                <w:color w:val="000000" w:themeColor="text1"/>
                <w:lang w:eastAsia="ro-RO"/>
              </w:rPr>
            </w:pPr>
          </w:p>
        </w:tc>
        <w:tc>
          <w:tcPr>
            <w:tcW w:w="1136" w:type="pct"/>
            <w:vMerge/>
            <w:vAlign w:val="center"/>
            <w:hideMark/>
          </w:tcPr>
          <w:p w14:paraId="51D6BA8B" w14:textId="77777777" w:rsidR="002D3CA7" w:rsidRPr="00C56257" w:rsidRDefault="002D3CA7" w:rsidP="008E33FD">
            <w:pPr>
              <w:jc w:val="both"/>
              <w:rPr>
                <w:color w:val="000000" w:themeColor="text1"/>
                <w:lang w:eastAsia="ro-RO"/>
              </w:rPr>
            </w:pPr>
          </w:p>
        </w:tc>
        <w:tc>
          <w:tcPr>
            <w:tcW w:w="833" w:type="pct"/>
            <w:vMerge/>
            <w:vAlign w:val="center"/>
            <w:hideMark/>
          </w:tcPr>
          <w:p w14:paraId="35BF3911" w14:textId="77777777" w:rsidR="002D3CA7" w:rsidRPr="00C56257" w:rsidRDefault="002D3CA7" w:rsidP="008E33FD">
            <w:pPr>
              <w:jc w:val="both"/>
              <w:rPr>
                <w:color w:val="000000" w:themeColor="text1"/>
                <w:lang w:eastAsia="ro-RO"/>
              </w:rPr>
            </w:pPr>
          </w:p>
        </w:tc>
        <w:tc>
          <w:tcPr>
            <w:tcW w:w="986" w:type="pct"/>
            <w:vMerge/>
            <w:vAlign w:val="center"/>
            <w:hideMark/>
          </w:tcPr>
          <w:p w14:paraId="03FD2176" w14:textId="77777777" w:rsidR="002D3CA7" w:rsidRPr="00C56257" w:rsidRDefault="002D3CA7" w:rsidP="008E33FD">
            <w:pPr>
              <w:jc w:val="both"/>
              <w:rPr>
                <w:color w:val="000000" w:themeColor="text1"/>
                <w:lang w:eastAsia="ro-RO"/>
              </w:rPr>
            </w:pPr>
          </w:p>
        </w:tc>
      </w:tr>
      <w:tr w:rsidR="00673EFE" w:rsidRPr="00C56257" w14:paraId="264DB81F" w14:textId="77777777" w:rsidTr="002825C6">
        <w:trPr>
          <w:trHeight w:hRule="exact" w:val="170"/>
        </w:trPr>
        <w:tc>
          <w:tcPr>
            <w:tcW w:w="1287" w:type="pct"/>
            <w:vMerge/>
            <w:vAlign w:val="center"/>
            <w:hideMark/>
          </w:tcPr>
          <w:p w14:paraId="1C24499D" w14:textId="77777777" w:rsidR="002D3CA7" w:rsidRPr="00C56257" w:rsidRDefault="002D3CA7" w:rsidP="008E33FD">
            <w:pPr>
              <w:jc w:val="both"/>
              <w:rPr>
                <w:color w:val="000000" w:themeColor="text1"/>
                <w:lang w:eastAsia="ro-RO"/>
              </w:rPr>
            </w:pPr>
          </w:p>
        </w:tc>
        <w:tc>
          <w:tcPr>
            <w:tcW w:w="758" w:type="pct"/>
            <w:vMerge/>
            <w:vAlign w:val="center"/>
            <w:hideMark/>
          </w:tcPr>
          <w:p w14:paraId="3728D41E" w14:textId="77777777" w:rsidR="002D3CA7" w:rsidRPr="00C56257" w:rsidRDefault="002D3CA7" w:rsidP="008E33FD">
            <w:pPr>
              <w:jc w:val="both"/>
              <w:rPr>
                <w:color w:val="000000" w:themeColor="text1"/>
                <w:lang w:eastAsia="ro-RO"/>
              </w:rPr>
            </w:pPr>
          </w:p>
        </w:tc>
        <w:tc>
          <w:tcPr>
            <w:tcW w:w="1136" w:type="pct"/>
            <w:vMerge w:val="restart"/>
            <w:shd w:val="clear" w:color="000000" w:fill="A6A6A6"/>
            <w:noWrap/>
            <w:vAlign w:val="center"/>
            <w:hideMark/>
          </w:tcPr>
          <w:p w14:paraId="345E52B3" w14:textId="77777777" w:rsidR="002D3CA7" w:rsidRPr="00C56257" w:rsidRDefault="002D3CA7" w:rsidP="008E33FD">
            <w:pPr>
              <w:jc w:val="both"/>
              <w:rPr>
                <w:color w:val="000000" w:themeColor="text1"/>
                <w:lang w:eastAsia="ro-RO"/>
              </w:rPr>
            </w:pPr>
            <w:r w:rsidRPr="00C56257">
              <w:rPr>
                <w:color w:val="000000" w:themeColor="text1"/>
                <w:lang w:eastAsia="ro-RO"/>
              </w:rPr>
              <w:t>Necunoscută</w:t>
            </w:r>
          </w:p>
        </w:tc>
        <w:tc>
          <w:tcPr>
            <w:tcW w:w="833" w:type="pct"/>
            <w:vMerge w:val="restart"/>
            <w:shd w:val="clear" w:color="000000" w:fill="FFC000"/>
            <w:noWrap/>
            <w:vAlign w:val="center"/>
            <w:hideMark/>
          </w:tcPr>
          <w:p w14:paraId="219761AA" w14:textId="77777777" w:rsidR="002D3CA7" w:rsidRPr="00C56257" w:rsidRDefault="002D3CA7" w:rsidP="008E33FD">
            <w:pPr>
              <w:jc w:val="both"/>
              <w:rPr>
                <w:color w:val="000000" w:themeColor="text1"/>
                <w:lang w:eastAsia="ro-RO"/>
              </w:rPr>
            </w:pPr>
            <w:r w:rsidRPr="00C56257">
              <w:rPr>
                <w:color w:val="000000" w:themeColor="text1"/>
                <w:lang w:eastAsia="ro-RO"/>
              </w:rPr>
              <w:t>Slabe (negative)</w:t>
            </w:r>
          </w:p>
        </w:tc>
        <w:tc>
          <w:tcPr>
            <w:tcW w:w="986" w:type="pct"/>
            <w:vMerge w:val="restart"/>
            <w:shd w:val="clear" w:color="000000" w:fill="92D050"/>
            <w:vAlign w:val="center"/>
            <w:hideMark/>
          </w:tcPr>
          <w:p w14:paraId="478A78EB" w14:textId="77777777" w:rsidR="002D3CA7" w:rsidRPr="00C56257" w:rsidRDefault="002D3CA7" w:rsidP="008E33FD">
            <w:pPr>
              <w:jc w:val="both"/>
              <w:rPr>
                <w:color w:val="000000" w:themeColor="text1"/>
                <w:lang w:eastAsia="ro-RO"/>
              </w:rPr>
            </w:pPr>
            <w:r w:rsidRPr="00C56257">
              <w:rPr>
                <w:color w:val="000000" w:themeColor="text1"/>
                <w:lang w:eastAsia="ro-RO"/>
              </w:rPr>
              <w:t>Bune (foarte</w:t>
            </w:r>
            <w:r w:rsidRPr="00C56257">
              <w:rPr>
                <w:color w:val="000000" w:themeColor="text1"/>
                <w:lang w:eastAsia="ro-RO"/>
              </w:rPr>
              <w:br/>
              <w:t>pozitive)</w:t>
            </w:r>
          </w:p>
        </w:tc>
      </w:tr>
      <w:tr w:rsidR="00673EFE" w:rsidRPr="00C56257" w14:paraId="2113CD42" w14:textId="77777777" w:rsidTr="002825C6">
        <w:trPr>
          <w:trHeight w:val="458"/>
        </w:trPr>
        <w:tc>
          <w:tcPr>
            <w:tcW w:w="1287" w:type="pct"/>
            <w:vMerge/>
            <w:vAlign w:val="center"/>
            <w:hideMark/>
          </w:tcPr>
          <w:p w14:paraId="0E9D548E" w14:textId="77777777" w:rsidR="002D3CA7" w:rsidRPr="00C56257" w:rsidRDefault="002D3CA7" w:rsidP="008E33FD">
            <w:pPr>
              <w:jc w:val="both"/>
              <w:rPr>
                <w:color w:val="000000" w:themeColor="text1"/>
                <w:lang w:eastAsia="ro-RO"/>
              </w:rPr>
            </w:pPr>
          </w:p>
        </w:tc>
        <w:tc>
          <w:tcPr>
            <w:tcW w:w="758" w:type="pct"/>
            <w:vMerge/>
            <w:vAlign w:val="center"/>
            <w:hideMark/>
          </w:tcPr>
          <w:p w14:paraId="44C19684" w14:textId="77777777" w:rsidR="002D3CA7" w:rsidRPr="00C56257" w:rsidRDefault="002D3CA7" w:rsidP="008E33FD">
            <w:pPr>
              <w:jc w:val="both"/>
              <w:rPr>
                <w:color w:val="000000" w:themeColor="text1"/>
                <w:lang w:eastAsia="ro-RO"/>
              </w:rPr>
            </w:pPr>
          </w:p>
        </w:tc>
        <w:tc>
          <w:tcPr>
            <w:tcW w:w="1136" w:type="pct"/>
            <w:vMerge/>
            <w:vAlign w:val="center"/>
            <w:hideMark/>
          </w:tcPr>
          <w:p w14:paraId="51B81201" w14:textId="77777777" w:rsidR="002D3CA7" w:rsidRPr="00C56257" w:rsidRDefault="002D3CA7" w:rsidP="008E33FD">
            <w:pPr>
              <w:jc w:val="both"/>
              <w:rPr>
                <w:color w:val="000000" w:themeColor="text1"/>
                <w:lang w:eastAsia="ro-RO"/>
              </w:rPr>
            </w:pPr>
          </w:p>
        </w:tc>
        <w:tc>
          <w:tcPr>
            <w:tcW w:w="833" w:type="pct"/>
            <w:vMerge/>
            <w:vAlign w:val="center"/>
            <w:hideMark/>
          </w:tcPr>
          <w:p w14:paraId="1D979837" w14:textId="77777777" w:rsidR="002D3CA7" w:rsidRPr="00C56257" w:rsidRDefault="002D3CA7" w:rsidP="008E33FD">
            <w:pPr>
              <w:jc w:val="both"/>
              <w:rPr>
                <w:color w:val="000000" w:themeColor="text1"/>
                <w:lang w:eastAsia="ro-RO"/>
              </w:rPr>
            </w:pPr>
          </w:p>
        </w:tc>
        <w:tc>
          <w:tcPr>
            <w:tcW w:w="986" w:type="pct"/>
            <w:vMerge/>
            <w:vAlign w:val="center"/>
            <w:hideMark/>
          </w:tcPr>
          <w:p w14:paraId="5BB74661" w14:textId="77777777" w:rsidR="002D3CA7" w:rsidRPr="00C56257" w:rsidRDefault="002D3CA7" w:rsidP="008E33FD">
            <w:pPr>
              <w:jc w:val="both"/>
              <w:rPr>
                <w:color w:val="000000" w:themeColor="text1"/>
                <w:lang w:eastAsia="ro-RO"/>
              </w:rPr>
            </w:pPr>
          </w:p>
        </w:tc>
      </w:tr>
      <w:tr w:rsidR="00673EFE" w:rsidRPr="00C56257" w14:paraId="4D77E04B" w14:textId="77777777" w:rsidTr="002825C6">
        <w:trPr>
          <w:trHeight w:hRule="exact" w:val="283"/>
        </w:trPr>
        <w:tc>
          <w:tcPr>
            <w:tcW w:w="1287" w:type="pct"/>
            <w:vMerge w:val="restart"/>
            <w:shd w:val="clear" w:color="auto" w:fill="auto"/>
            <w:vAlign w:val="center"/>
            <w:hideMark/>
          </w:tcPr>
          <w:p w14:paraId="0FB62489" w14:textId="77777777" w:rsidR="002D3CA7" w:rsidRPr="00C56257" w:rsidRDefault="002D3CA7" w:rsidP="008E33FD">
            <w:pPr>
              <w:jc w:val="both"/>
              <w:rPr>
                <w:color w:val="000000" w:themeColor="text1"/>
                <w:lang w:eastAsia="ro-RO"/>
              </w:rPr>
            </w:pPr>
            <w:r w:rsidRPr="00C56257">
              <w:rPr>
                <w:color w:val="000000" w:themeColor="text1"/>
                <w:lang w:eastAsia="ro-RO"/>
              </w:rPr>
              <w:t>Amenințări și/sau măsuri necunoascute luate sau interacțiunea nu poate fi prezisă</w:t>
            </w:r>
          </w:p>
        </w:tc>
        <w:tc>
          <w:tcPr>
            <w:tcW w:w="758" w:type="pct"/>
            <w:vMerge w:val="restart"/>
            <w:shd w:val="clear" w:color="auto" w:fill="auto"/>
            <w:noWrap/>
            <w:vAlign w:val="center"/>
            <w:hideMark/>
          </w:tcPr>
          <w:p w14:paraId="59A46127" w14:textId="77777777" w:rsidR="002D3CA7" w:rsidRPr="00C56257" w:rsidRDefault="002D3CA7" w:rsidP="008E33FD">
            <w:pPr>
              <w:jc w:val="both"/>
              <w:rPr>
                <w:color w:val="000000" w:themeColor="text1"/>
                <w:lang w:eastAsia="ro-RO"/>
              </w:rPr>
            </w:pPr>
            <w:r w:rsidRPr="00C56257">
              <w:rPr>
                <w:color w:val="000000" w:themeColor="text1"/>
                <w:lang w:eastAsia="ro-RO"/>
              </w:rPr>
              <w:t>necunoscută</w:t>
            </w:r>
          </w:p>
        </w:tc>
        <w:tc>
          <w:tcPr>
            <w:tcW w:w="1136" w:type="pct"/>
            <w:vMerge w:val="restart"/>
            <w:shd w:val="clear" w:color="000000" w:fill="92D050"/>
            <w:noWrap/>
            <w:vAlign w:val="center"/>
            <w:hideMark/>
          </w:tcPr>
          <w:p w14:paraId="122FF6A7" w14:textId="77777777" w:rsidR="002D3CA7" w:rsidRPr="00C56257" w:rsidRDefault="002D3CA7" w:rsidP="008E33FD">
            <w:pPr>
              <w:jc w:val="both"/>
              <w:rPr>
                <w:color w:val="000000" w:themeColor="text1"/>
                <w:lang w:eastAsia="ro-RO"/>
              </w:rPr>
            </w:pPr>
            <w:r w:rsidRPr="00C56257">
              <w:rPr>
                <w:color w:val="000000" w:themeColor="text1"/>
                <w:lang w:eastAsia="ro-RO"/>
              </w:rPr>
              <w:t>Favorabilă</w:t>
            </w:r>
          </w:p>
        </w:tc>
        <w:tc>
          <w:tcPr>
            <w:tcW w:w="1819" w:type="pct"/>
            <w:gridSpan w:val="2"/>
            <w:vMerge w:val="restart"/>
            <w:shd w:val="clear" w:color="000000" w:fill="A6A6A6"/>
            <w:noWrap/>
            <w:vAlign w:val="center"/>
            <w:hideMark/>
          </w:tcPr>
          <w:p w14:paraId="55162435" w14:textId="77777777" w:rsidR="002D3CA7" w:rsidRPr="00C56257" w:rsidRDefault="002D3CA7" w:rsidP="008E33FD">
            <w:pPr>
              <w:jc w:val="both"/>
              <w:rPr>
                <w:color w:val="000000" w:themeColor="text1"/>
                <w:lang w:eastAsia="ro-RO"/>
              </w:rPr>
            </w:pPr>
            <w:r w:rsidRPr="00C56257">
              <w:rPr>
                <w:color w:val="000000" w:themeColor="text1"/>
                <w:lang w:eastAsia="ro-RO"/>
              </w:rPr>
              <w:t>Necunoscute</w:t>
            </w:r>
          </w:p>
        </w:tc>
      </w:tr>
      <w:tr w:rsidR="00673EFE" w:rsidRPr="00C56257" w14:paraId="5DDF4CBA" w14:textId="77777777" w:rsidTr="002825C6">
        <w:trPr>
          <w:trHeight w:hRule="exact" w:val="283"/>
        </w:trPr>
        <w:tc>
          <w:tcPr>
            <w:tcW w:w="1287" w:type="pct"/>
            <w:vMerge/>
            <w:vAlign w:val="center"/>
            <w:hideMark/>
          </w:tcPr>
          <w:p w14:paraId="0AE46B53" w14:textId="77777777" w:rsidR="002D3CA7" w:rsidRPr="00C56257" w:rsidRDefault="002D3CA7" w:rsidP="008E33FD">
            <w:pPr>
              <w:jc w:val="both"/>
              <w:rPr>
                <w:color w:val="000000" w:themeColor="text1"/>
                <w:lang w:eastAsia="ro-RO"/>
              </w:rPr>
            </w:pPr>
          </w:p>
        </w:tc>
        <w:tc>
          <w:tcPr>
            <w:tcW w:w="758" w:type="pct"/>
            <w:vMerge/>
            <w:vAlign w:val="center"/>
            <w:hideMark/>
          </w:tcPr>
          <w:p w14:paraId="77F60CF7" w14:textId="77777777" w:rsidR="002D3CA7" w:rsidRPr="00C56257" w:rsidRDefault="002D3CA7" w:rsidP="008E33FD">
            <w:pPr>
              <w:jc w:val="both"/>
              <w:rPr>
                <w:color w:val="000000" w:themeColor="text1"/>
                <w:lang w:eastAsia="ro-RO"/>
              </w:rPr>
            </w:pPr>
          </w:p>
        </w:tc>
        <w:tc>
          <w:tcPr>
            <w:tcW w:w="1136" w:type="pct"/>
            <w:vMerge/>
            <w:vAlign w:val="center"/>
            <w:hideMark/>
          </w:tcPr>
          <w:p w14:paraId="355C5A50" w14:textId="77777777" w:rsidR="002D3CA7" w:rsidRPr="00C56257" w:rsidRDefault="002D3CA7" w:rsidP="008E33FD">
            <w:pPr>
              <w:jc w:val="both"/>
              <w:rPr>
                <w:color w:val="000000" w:themeColor="text1"/>
                <w:lang w:eastAsia="ro-RO"/>
              </w:rPr>
            </w:pPr>
          </w:p>
        </w:tc>
        <w:tc>
          <w:tcPr>
            <w:tcW w:w="1819" w:type="pct"/>
            <w:gridSpan w:val="2"/>
            <w:vMerge/>
            <w:vAlign w:val="center"/>
            <w:hideMark/>
          </w:tcPr>
          <w:p w14:paraId="33018F32" w14:textId="77777777" w:rsidR="002D3CA7" w:rsidRPr="00C56257" w:rsidRDefault="002D3CA7" w:rsidP="008E33FD">
            <w:pPr>
              <w:jc w:val="both"/>
              <w:rPr>
                <w:color w:val="000000" w:themeColor="text1"/>
                <w:lang w:eastAsia="ro-RO"/>
              </w:rPr>
            </w:pPr>
          </w:p>
        </w:tc>
      </w:tr>
      <w:tr w:rsidR="00673EFE" w:rsidRPr="00C56257" w14:paraId="7D0723C6" w14:textId="77777777" w:rsidTr="002825C6">
        <w:trPr>
          <w:trHeight w:hRule="exact" w:val="283"/>
        </w:trPr>
        <w:tc>
          <w:tcPr>
            <w:tcW w:w="1287" w:type="pct"/>
            <w:vMerge/>
            <w:vAlign w:val="center"/>
            <w:hideMark/>
          </w:tcPr>
          <w:p w14:paraId="5A8F540F" w14:textId="77777777" w:rsidR="002D3CA7" w:rsidRPr="00C56257" w:rsidRDefault="002D3CA7" w:rsidP="008E33FD">
            <w:pPr>
              <w:jc w:val="both"/>
              <w:rPr>
                <w:color w:val="000000" w:themeColor="text1"/>
                <w:lang w:eastAsia="ro-RO"/>
              </w:rPr>
            </w:pPr>
          </w:p>
        </w:tc>
        <w:tc>
          <w:tcPr>
            <w:tcW w:w="758" w:type="pct"/>
            <w:vMerge/>
            <w:vAlign w:val="center"/>
            <w:hideMark/>
          </w:tcPr>
          <w:p w14:paraId="4798B125" w14:textId="77777777" w:rsidR="002D3CA7" w:rsidRPr="00C56257" w:rsidRDefault="002D3CA7" w:rsidP="008E33FD">
            <w:pPr>
              <w:jc w:val="both"/>
              <w:rPr>
                <w:color w:val="000000" w:themeColor="text1"/>
                <w:lang w:eastAsia="ro-RO"/>
              </w:rPr>
            </w:pPr>
          </w:p>
        </w:tc>
        <w:tc>
          <w:tcPr>
            <w:tcW w:w="1136" w:type="pct"/>
            <w:vMerge w:val="restart"/>
            <w:shd w:val="clear" w:color="000000" w:fill="FFC000"/>
            <w:vAlign w:val="center"/>
            <w:hideMark/>
          </w:tcPr>
          <w:p w14:paraId="47D0AF48" w14:textId="77777777" w:rsidR="002D3CA7" w:rsidRPr="00C56257" w:rsidRDefault="002D3CA7" w:rsidP="008E33FD">
            <w:pPr>
              <w:jc w:val="both"/>
              <w:rPr>
                <w:color w:val="000000" w:themeColor="text1"/>
                <w:lang w:eastAsia="ro-RO"/>
              </w:rPr>
            </w:pPr>
            <w:r w:rsidRPr="00C56257">
              <w:rPr>
                <w:color w:val="000000" w:themeColor="text1"/>
                <w:lang w:eastAsia="ro-RO"/>
              </w:rPr>
              <w:t>Nefavorabilă</w:t>
            </w:r>
            <w:r w:rsidRPr="00C56257">
              <w:rPr>
                <w:color w:val="000000" w:themeColor="text1"/>
                <w:lang w:eastAsia="ro-RO"/>
              </w:rPr>
              <w:br/>
              <w:t>inadecvată</w:t>
            </w:r>
          </w:p>
        </w:tc>
        <w:tc>
          <w:tcPr>
            <w:tcW w:w="1819" w:type="pct"/>
            <w:gridSpan w:val="2"/>
            <w:vMerge/>
            <w:vAlign w:val="center"/>
            <w:hideMark/>
          </w:tcPr>
          <w:p w14:paraId="2BE14B01" w14:textId="77777777" w:rsidR="002D3CA7" w:rsidRPr="00C56257" w:rsidRDefault="002D3CA7" w:rsidP="008E33FD">
            <w:pPr>
              <w:jc w:val="both"/>
              <w:rPr>
                <w:color w:val="000000" w:themeColor="text1"/>
                <w:lang w:eastAsia="ro-RO"/>
              </w:rPr>
            </w:pPr>
          </w:p>
        </w:tc>
      </w:tr>
      <w:tr w:rsidR="00673EFE" w:rsidRPr="00C56257" w14:paraId="16A00064" w14:textId="77777777" w:rsidTr="002825C6">
        <w:trPr>
          <w:trHeight w:hRule="exact" w:val="283"/>
        </w:trPr>
        <w:tc>
          <w:tcPr>
            <w:tcW w:w="1287" w:type="pct"/>
            <w:vMerge/>
            <w:vAlign w:val="center"/>
            <w:hideMark/>
          </w:tcPr>
          <w:p w14:paraId="15F46EE6" w14:textId="77777777" w:rsidR="002D3CA7" w:rsidRPr="00C56257" w:rsidRDefault="002D3CA7" w:rsidP="008E33FD">
            <w:pPr>
              <w:jc w:val="both"/>
              <w:rPr>
                <w:color w:val="000000" w:themeColor="text1"/>
                <w:lang w:eastAsia="ro-RO"/>
              </w:rPr>
            </w:pPr>
          </w:p>
        </w:tc>
        <w:tc>
          <w:tcPr>
            <w:tcW w:w="758" w:type="pct"/>
            <w:vMerge/>
            <w:vAlign w:val="center"/>
            <w:hideMark/>
          </w:tcPr>
          <w:p w14:paraId="5D4F2CB8" w14:textId="77777777" w:rsidR="002D3CA7" w:rsidRPr="00C56257" w:rsidRDefault="002D3CA7" w:rsidP="008E33FD">
            <w:pPr>
              <w:jc w:val="both"/>
              <w:rPr>
                <w:color w:val="000000" w:themeColor="text1"/>
                <w:lang w:eastAsia="ro-RO"/>
              </w:rPr>
            </w:pPr>
          </w:p>
        </w:tc>
        <w:tc>
          <w:tcPr>
            <w:tcW w:w="1136" w:type="pct"/>
            <w:vMerge/>
            <w:vAlign w:val="center"/>
            <w:hideMark/>
          </w:tcPr>
          <w:p w14:paraId="41736D67" w14:textId="77777777" w:rsidR="002D3CA7" w:rsidRPr="00C56257" w:rsidRDefault="002D3CA7" w:rsidP="008E33FD">
            <w:pPr>
              <w:jc w:val="both"/>
              <w:rPr>
                <w:color w:val="000000" w:themeColor="text1"/>
                <w:lang w:eastAsia="ro-RO"/>
              </w:rPr>
            </w:pPr>
          </w:p>
        </w:tc>
        <w:tc>
          <w:tcPr>
            <w:tcW w:w="1819" w:type="pct"/>
            <w:gridSpan w:val="2"/>
            <w:vMerge/>
            <w:vAlign w:val="center"/>
            <w:hideMark/>
          </w:tcPr>
          <w:p w14:paraId="0438EB1A" w14:textId="77777777" w:rsidR="002D3CA7" w:rsidRPr="00C56257" w:rsidRDefault="002D3CA7" w:rsidP="008E33FD">
            <w:pPr>
              <w:jc w:val="both"/>
              <w:rPr>
                <w:color w:val="000000" w:themeColor="text1"/>
                <w:lang w:eastAsia="ro-RO"/>
              </w:rPr>
            </w:pPr>
          </w:p>
        </w:tc>
      </w:tr>
      <w:tr w:rsidR="00673EFE" w:rsidRPr="00C56257" w14:paraId="2D1432CA" w14:textId="77777777" w:rsidTr="002825C6">
        <w:trPr>
          <w:trHeight w:hRule="exact" w:val="283"/>
        </w:trPr>
        <w:tc>
          <w:tcPr>
            <w:tcW w:w="1287" w:type="pct"/>
            <w:vMerge/>
            <w:vAlign w:val="center"/>
            <w:hideMark/>
          </w:tcPr>
          <w:p w14:paraId="133BBBCC" w14:textId="77777777" w:rsidR="002D3CA7" w:rsidRPr="00C56257" w:rsidRDefault="002D3CA7" w:rsidP="008E33FD">
            <w:pPr>
              <w:jc w:val="both"/>
              <w:rPr>
                <w:color w:val="000000" w:themeColor="text1"/>
                <w:lang w:eastAsia="ro-RO"/>
              </w:rPr>
            </w:pPr>
          </w:p>
        </w:tc>
        <w:tc>
          <w:tcPr>
            <w:tcW w:w="758" w:type="pct"/>
            <w:vMerge/>
            <w:vAlign w:val="center"/>
            <w:hideMark/>
          </w:tcPr>
          <w:p w14:paraId="75A02ED0" w14:textId="77777777" w:rsidR="002D3CA7" w:rsidRPr="00C56257" w:rsidRDefault="002D3CA7" w:rsidP="008E33FD">
            <w:pPr>
              <w:jc w:val="both"/>
              <w:rPr>
                <w:color w:val="000000" w:themeColor="text1"/>
                <w:lang w:eastAsia="ro-RO"/>
              </w:rPr>
            </w:pPr>
          </w:p>
        </w:tc>
        <w:tc>
          <w:tcPr>
            <w:tcW w:w="1136" w:type="pct"/>
            <w:vMerge w:val="restart"/>
            <w:shd w:val="clear" w:color="000000" w:fill="FF0000"/>
            <w:vAlign w:val="center"/>
            <w:hideMark/>
          </w:tcPr>
          <w:p w14:paraId="1D30DA20" w14:textId="77777777" w:rsidR="002D3CA7" w:rsidRPr="00C56257" w:rsidRDefault="002D3CA7" w:rsidP="008E33FD">
            <w:pPr>
              <w:jc w:val="both"/>
              <w:rPr>
                <w:color w:val="000000" w:themeColor="text1"/>
                <w:lang w:eastAsia="ro-RO"/>
              </w:rPr>
            </w:pPr>
            <w:r w:rsidRPr="00C56257">
              <w:rPr>
                <w:color w:val="000000" w:themeColor="text1"/>
                <w:lang w:eastAsia="ro-RO"/>
              </w:rPr>
              <w:t>Nefavorabilă</w:t>
            </w:r>
            <w:r w:rsidRPr="00C56257">
              <w:rPr>
                <w:color w:val="000000" w:themeColor="text1"/>
                <w:lang w:eastAsia="ro-RO"/>
              </w:rPr>
              <w:br/>
              <w:t>rea</w:t>
            </w:r>
          </w:p>
        </w:tc>
        <w:tc>
          <w:tcPr>
            <w:tcW w:w="1819" w:type="pct"/>
            <w:gridSpan w:val="2"/>
            <w:vMerge/>
            <w:vAlign w:val="center"/>
            <w:hideMark/>
          </w:tcPr>
          <w:p w14:paraId="762CBB23" w14:textId="77777777" w:rsidR="002D3CA7" w:rsidRPr="00C56257" w:rsidRDefault="002D3CA7" w:rsidP="008E33FD">
            <w:pPr>
              <w:jc w:val="both"/>
              <w:rPr>
                <w:color w:val="000000" w:themeColor="text1"/>
                <w:lang w:eastAsia="ro-RO"/>
              </w:rPr>
            </w:pPr>
          </w:p>
        </w:tc>
      </w:tr>
      <w:tr w:rsidR="00673EFE" w:rsidRPr="00C56257" w14:paraId="0A03BC23" w14:textId="77777777" w:rsidTr="002825C6">
        <w:trPr>
          <w:trHeight w:hRule="exact" w:val="283"/>
        </w:trPr>
        <w:tc>
          <w:tcPr>
            <w:tcW w:w="1287" w:type="pct"/>
            <w:vMerge/>
            <w:vAlign w:val="center"/>
            <w:hideMark/>
          </w:tcPr>
          <w:p w14:paraId="7AED39A2" w14:textId="77777777" w:rsidR="002D3CA7" w:rsidRPr="00C56257" w:rsidRDefault="002D3CA7" w:rsidP="008E33FD">
            <w:pPr>
              <w:jc w:val="both"/>
              <w:rPr>
                <w:color w:val="000000" w:themeColor="text1"/>
                <w:lang w:eastAsia="ro-RO"/>
              </w:rPr>
            </w:pPr>
          </w:p>
        </w:tc>
        <w:tc>
          <w:tcPr>
            <w:tcW w:w="758" w:type="pct"/>
            <w:vMerge/>
            <w:vAlign w:val="center"/>
            <w:hideMark/>
          </w:tcPr>
          <w:p w14:paraId="79C8FC47" w14:textId="77777777" w:rsidR="002D3CA7" w:rsidRPr="00C56257" w:rsidRDefault="002D3CA7" w:rsidP="008E33FD">
            <w:pPr>
              <w:jc w:val="both"/>
              <w:rPr>
                <w:color w:val="000000" w:themeColor="text1"/>
                <w:lang w:eastAsia="ro-RO"/>
              </w:rPr>
            </w:pPr>
          </w:p>
        </w:tc>
        <w:tc>
          <w:tcPr>
            <w:tcW w:w="1136" w:type="pct"/>
            <w:vMerge/>
            <w:vAlign w:val="center"/>
            <w:hideMark/>
          </w:tcPr>
          <w:p w14:paraId="2E831685" w14:textId="77777777" w:rsidR="002D3CA7" w:rsidRPr="00C56257" w:rsidRDefault="002D3CA7" w:rsidP="008E33FD">
            <w:pPr>
              <w:jc w:val="both"/>
              <w:rPr>
                <w:color w:val="000000" w:themeColor="text1"/>
                <w:lang w:eastAsia="ro-RO"/>
              </w:rPr>
            </w:pPr>
          </w:p>
        </w:tc>
        <w:tc>
          <w:tcPr>
            <w:tcW w:w="1819" w:type="pct"/>
            <w:gridSpan w:val="2"/>
            <w:vMerge/>
            <w:vAlign w:val="center"/>
            <w:hideMark/>
          </w:tcPr>
          <w:p w14:paraId="7603C75A" w14:textId="77777777" w:rsidR="002D3CA7" w:rsidRPr="00C56257" w:rsidRDefault="002D3CA7" w:rsidP="008E33FD">
            <w:pPr>
              <w:jc w:val="both"/>
              <w:rPr>
                <w:color w:val="000000" w:themeColor="text1"/>
                <w:lang w:eastAsia="ro-RO"/>
              </w:rPr>
            </w:pPr>
          </w:p>
        </w:tc>
      </w:tr>
      <w:tr w:rsidR="00673EFE" w:rsidRPr="00C56257" w14:paraId="548A733B" w14:textId="77777777" w:rsidTr="002825C6">
        <w:trPr>
          <w:trHeight w:hRule="exact" w:val="20"/>
        </w:trPr>
        <w:tc>
          <w:tcPr>
            <w:tcW w:w="1287" w:type="pct"/>
            <w:vMerge/>
            <w:vAlign w:val="center"/>
            <w:hideMark/>
          </w:tcPr>
          <w:p w14:paraId="4C5548AE" w14:textId="77777777" w:rsidR="002D3CA7" w:rsidRPr="00C56257" w:rsidRDefault="002D3CA7" w:rsidP="008E33FD">
            <w:pPr>
              <w:jc w:val="both"/>
              <w:rPr>
                <w:color w:val="000000" w:themeColor="text1"/>
                <w:lang w:eastAsia="ro-RO"/>
              </w:rPr>
            </w:pPr>
          </w:p>
        </w:tc>
        <w:tc>
          <w:tcPr>
            <w:tcW w:w="758" w:type="pct"/>
            <w:vMerge/>
            <w:vAlign w:val="center"/>
            <w:hideMark/>
          </w:tcPr>
          <w:p w14:paraId="7ED21D5D" w14:textId="77777777" w:rsidR="002D3CA7" w:rsidRPr="00C56257" w:rsidRDefault="002D3CA7" w:rsidP="008E33FD">
            <w:pPr>
              <w:jc w:val="both"/>
              <w:rPr>
                <w:color w:val="000000" w:themeColor="text1"/>
                <w:lang w:eastAsia="ro-RO"/>
              </w:rPr>
            </w:pPr>
          </w:p>
        </w:tc>
        <w:tc>
          <w:tcPr>
            <w:tcW w:w="1136" w:type="pct"/>
            <w:vMerge w:val="restart"/>
            <w:shd w:val="clear" w:color="000000" w:fill="A6A6A6"/>
            <w:noWrap/>
            <w:vAlign w:val="center"/>
            <w:hideMark/>
          </w:tcPr>
          <w:p w14:paraId="5DBD770A" w14:textId="77777777" w:rsidR="002D3CA7" w:rsidRPr="00C56257" w:rsidRDefault="002D3CA7" w:rsidP="008E33FD">
            <w:pPr>
              <w:jc w:val="both"/>
              <w:rPr>
                <w:color w:val="000000" w:themeColor="text1"/>
                <w:lang w:eastAsia="ro-RO"/>
              </w:rPr>
            </w:pPr>
            <w:r w:rsidRPr="00C56257">
              <w:rPr>
                <w:color w:val="000000" w:themeColor="text1"/>
                <w:lang w:eastAsia="ro-RO"/>
              </w:rPr>
              <w:t>Necunoscută</w:t>
            </w:r>
          </w:p>
        </w:tc>
        <w:tc>
          <w:tcPr>
            <w:tcW w:w="1819" w:type="pct"/>
            <w:gridSpan w:val="2"/>
            <w:vMerge/>
            <w:vAlign w:val="center"/>
            <w:hideMark/>
          </w:tcPr>
          <w:p w14:paraId="488C9705" w14:textId="77777777" w:rsidR="002D3CA7" w:rsidRPr="00C56257" w:rsidRDefault="002D3CA7" w:rsidP="008E33FD">
            <w:pPr>
              <w:jc w:val="both"/>
              <w:rPr>
                <w:color w:val="000000" w:themeColor="text1"/>
                <w:lang w:eastAsia="ro-RO"/>
              </w:rPr>
            </w:pPr>
          </w:p>
        </w:tc>
      </w:tr>
      <w:tr w:rsidR="00673EFE" w:rsidRPr="00C56257" w14:paraId="61CE5D50" w14:textId="77777777" w:rsidTr="002825C6">
        <w:trPr>
          <w:trHeight w:val="458"/>
        </w:trPr>
        <w:tc>
          <w:tcPr>
            <w:tcW w:w="1287" w:type="pct"/>
            <w:vMerge/>
            <w:vAlign w:val="center"/>
            <w:hideMark/>
          </w:tcPr>
          <w:p w14:paraId="5E738529" w14:textId="77777777" w:rsidR="002D3CA7" w:rsidRPr="00C56257" w:rsidRDefault="002D3CA7" w:rsidP="008E33FD">
            <w:pPr>
              <w:jc w:val="both"/>
              <w:rPr>
                <w:color w:val="000000" w:themeColor="text1"/>
                <w:lang w:eastAsia="ro-RO"/>
              </w:rPr>
            </w:pPr>
          </w:p>
        </w:tc>
        <w:tc>
          <w:tcPr>
            <w:tcW w:w="758" w:type="pct"/>
            <w:vMerge/>
            <w:vAlign w:val="center"/>
            <w:hideMark/>
          </w:tcPr>
          <w:p w14:paraId="10C850DC" w14:textId="77777777" w:rsidR="002D3CA7" w:rsidRPr="00C56257" w:rsidRDefault="002D3CA7" w:rsidP="008E33FD">
            <w:pPr>
              <w:jc w:val="both"/>
              <w:rPr>
                <w:color w:val="000000" w:themeColor="text1"/>
                <w:lang w:eastAsia="ro-RO"/>
              </w:rPr>
            </w:pPr>
          </w:p>
        </w:tc>
        <w:tc>
          <w:tcPr>
            <w:tcW w:w="1136" w:type="pct"/>
            <w:vMerge/>
            <w:vAlign w:val="center"/>
            <w:hideMark/>
          </w:tcPr>
          <w:p w14:paraId="6FD2CF07" w14:textId="77777777" w:rsidR="002D3CA7" w:rsidRPr="00C56257" w:rsidRDefault="002D3CA7" w:rsidP="008E33FD">
            <w:pPr>
              <w:jc w:val="both"/>
              <w:rPr>
                <w:color w:val="000000" w:themeColor="text1"/>
                <w:lang w:eastAsia="ro-RO"/>
              </w:rPr>
            </w:pPr>
          </w:p>
        </w:tc>
        <w:tc>
          <w:tcPr>
            <w:tcW w:w="1819" w:type="pct"/>
            <w:gridSpan w:val="2"/>
            <w:vMerge/>
            <w:vAlign w:val="center"/>
            <w:hideMark/>
          </w:tcPr>
          <w:p w14:paraId="055D27D9" w14:textId="77777777" w:rsidR="002D3CA7" w:rsidRPr="00C56257" w:rsidRDefault="002D3CA7" w:rsidP="008E33FD">
            <w:pPr>
              <w:jc w:val="both"/>
              <w:rPr>
                <w:color w:val="000000" w:themeColor="text1"/>
                <w:lang w:eastAsia="ro-RO"/>
              </w:rPr>
            </w:pPr>
          </w:p>
        </w:tc>
      </w:tr>
    </w:tbl>
    <w:p w14:paraId="44DEA9B8" w14:textId="77777777" w:rsidR="002D3CA7" w:rsidRPr="00C56257" w:rsidRDefault="002D3CA7" w:rsidP="008E33FD">
      <w:pPr>
        <w:widowControl w:val="0"/>
        <w:autoSpaceDE w:val="0"/>
        <w:autoSpaceDN w:val="0"/>
        <w:adjustRightInd w:val="0"/>
        <w:spacing w:line="276" w:lineRule="auto"/>
        <w:ind w:firstLine="709"/>
        <w:jc w:val="both"/>
        <w:rPr>
          <w:color w:val="000000" w:themeColor="text1"/>
          <w:lang w:val="en-US"/>
        </w:rPr>
      </w:pPr>
    </w:p>
    <w:p w14:paraId="2D21C1A6" w14:textId="77777777" w:rsidR="002D3CA7" w:rsidRPr="00C56257" w:rsidRDefault="002D3CA7" w:rsidP="008E33FD">
      <w:pPr>
        <w:widowControl w:val="0"/>
        <w:autoSpaceDE w:val="0"/>
        <w:autoSpaceDN w:val="0"/>
        <w:adjustRightInd w:val="0"/>
        <w:spacing w:line="276" w:lineRule="auto"/>
        <w:jc w:val="both"/>
        <w:rPr>
          <w:b/>
          <w:bCs/>
          <w:color w:val="000000" w:themeColor="text1"/>
          <w:lang w:val="fr-FR"/>
        </w:rPr>
      </w:pPr>
      <w:proofErr w:type="spellStart"/>
      <w:r w:rsidRPr="00C56257">
        <w:rPr>
          <w:b/>
          <w:bCs/>
          <w:color w:val="000000" w:themeColor="text1"/>
          <w:lang w:val="fr-FR"/>
        </w:rPr>
        <w:t>Evaluarea</w:t>
      </w:r>
      <w:proofErr w:type="spellEnd"/>
      <w:r w:rsidRPr="00C56257">
        <w:rPr>
          <w:b/>
          <w:bCs/>
          <w:color w:val="000000" w:themeColor="text1"/>
          <w:lang w:val="fr-FR"/>
        </w:rPr>
        <w:t xml:space="preserve"> </w:t>
      </w:r>
      <w:proofErr w:type="spellStart"/>
      <w:r w:rsidRPr="00C56257">
        <w:rPr>
          <w:b/>
          <w:bCs/>
          <w:color w:val="000000" w:themeColor="text1"/>
          <w:lang w:val="fr-FR"/>
        </w:rPr>
        <w:t>tendințelor</w:t>
      </w:r>
      <w:proofErr w:type="spellEnd"/>
      <w:r w:rsidRPr="00C56257">
        <w:rPr>
          <w:b/>
          <w:bCs/>
          <w:color w:val="000000" w:themeColor="text1"/>
          <w:lang w:val="fr-FR"/>
        </w:rPr>
        <w:t xml:space="preserve"> </w:t>
      </w:r>
      <w:proofErr w:type="spellStart"/>
      <w:r w:rsidRPr="00C56257">
        <w:rPr>
          <w:b/>
          <w:bCs/>
          <w:color w:val="000000" w:themeColor="text1"/>
          <w:lang w:val="fr-FR"/>
        </w:rPr>
        <w:t>habitatelor</w:t>
      </w:r>
      <w:proofErr w:type="spellEnd"/>
      <w:r w:rsidRPr="00C56257">
        <w:rPr>
          <w:b/>
          <w:bCs/>
          <w:color w:val="000000" w:themeColor="text1"/>
          <w:lang w:val="fr-FR"/>
        </w:rPr>
        <w:t xml:space="preserve"> de </w:t>
      </w:r>
      <w:proofErr w:type="spellStart"/>
      <w:r w:rsidRPr="00C56257">
        <w:rPr>
          <w:b/>
          <w:bCs/>
          <w:color w:val="000000" w:themeColor="text1"/>
          <w:lang w:val="fr-FR"/>
        </w:rPr>
        <w:t>tufărișuri</w:t>
      </w:r>
      <w:proofErr w:type="spellEnd"/>
      <w:r w:rsidRPr="00C56257">
        <w:rPr>
          <w:b/>
          <w:bCs/>
          <w:color w:val="000000" w:themeColor="text1"/>
          <w:lang w:val="fr-FR"/>
        </w:rPr>
        <w:t xml:space="preserve"> de </w:t>
      </w:r>
      <w:proofErr w:type="spellStart"/>
      <w:r w:rsidRPr="00C56257">
        <w:rPr>
          <w:b/>
          <w:bCs/>
          <w:color w:val="000000" w:themeColor="text1"/>
          <w:lang w:val="fr-FR"/>
        </w:rPr>
        <w:t>interes</w:t>
      </w:r>
      <w:proofErr w:type="spellEnd"/>
      <w:r w:rsidRPr="00C56257">
        <w:rPr>
          <w:b/>
          <w:bCs/>
          <w:color w:val="000000" w:themeColor="text1"/>
          <w:lang w:val="fr-FR"/>
        </w:rPr>
        <w:t xml:space="preserve"> </w:t>
      </w:r>
      <w:proofErr w:type="spellStart"/>
      <w:r w:rsidRPr="00C56257">
        <w:rPr>
          <w:b/>
          <w:bCs/>
          <w:color w:val="000000" w:themeColor="text1"/>
          <w:lang w:val="fr-FR"/>
        </w:rPr>
        <w:t>comunitar</w:t>
      </w:r>
      <w:proofErr w:type="spellEnd"/>
    </w:p>
    <w:p w14:paraId="030ED3ED" w14:textId="77777777" w:rsidR="002D3CA7" w:rsidRPr="00C56257" w:rsidRDefault="002D3CA7" w:rsidP="008E33FD">
      <w:pPr>
        <w:spacing w:line="276" w:lineRule="auto"/>
        <w:ind w:firstLine="709"/>
        <w:jc w:val="both"/>
        <w:rPr>
          <w:color w:val="000000" w:themeColor="text1"/>
        </w:rPr>
      </w:pPr>
      <w:r w:rsidRPr="00C56257">
        <w:rPr>
          <w:color w:val="000000" w:themeColor="text1"/>
        </w:rPr>
        <w:t>Tendințele sunt o parte esențială a evaluării tuturor parametrilor necesari determinării stării de conservare a unui habitat, cu excepția „Perspectivelor” (Areal, Suprafață, Structură și funcții) reprezentând o schimbare direcțională a unui parametru în timp, putând fi apreciată ca fiind:</w:t>
      </w:r>
    </w:p>
    <w:p w14:paraId="6AE4DDAC" w14:textId="77777777" w:rsidR="002D3CA7" w:rsidRPr="00C56257" w:rsidRDefault="002D3CA7" w:rsidP="008E33FD">
      <w:pPr>
        <w:spacing w:line="276" w:lineRule="auto"/>
        <w:ind w:firstLine="709"/>
        <w:jc w:val="both"/>
        <w:rPr>
          <w:b/>
          <w:i/>
          <w:iCs/>
          <w:color w:val="000000" w:themeColor="text1"/>
        </w:rPr>
      </w:pPr>
    </w:p>
    <w:p w14:paraId="691900A0" w14:textId="77777777" w:rsidR="002D3CA7" w:rsidRPr="00C56257" w:rsidRDefault="002D3CA7" w:rsidP="008E33FD">
      <w:pPr>
        <w:spacing w:line="276" w:lineRule="auto"/>
        <w:ind w:firstLine="709"/>
        <w:jc w:val="both"/>
        <w:rPr>
          <w:b/>
          <w:i/>
          <w:iCs/>
          <w:color w:val="000000" w:themeColor="text1"/>
        </w:rPr>
      </w:pPr>
      <w:r w:rsidRPr="00C56257">
        <w:rPr>
          <w:b/>
          <w:i/>
          <w:iCs/>
          <w:color w:val="000000" w:themeColor="text1"/>
        </w:rPr>
        <w:t>stabilă/ în creștere/ în descreștere/ incertă/ necunoscută</w:t>
      </w:r>
    </w:p>
    <w:p w14:paraId="7F39F5AE" w14:textId="77777777" w:rsidR="002D3CA7" w:rsidRPr="00C56257" w:rsidRDefault="002D3CA7" w:rsidP="008E33FD">
      <w:pPr>
        <w:widowControl w:val="0"/>
        <w:autoSpaceDE w:val="0"/>
        <w:autoSpaceDN w:val="0"/>
        <w:adjustRightInd w:val="0"/>
        <w:spacing w:line="276" w:lineRule="auto"/>
        <w:ind w:firstLine="709"/>
        <w:jc w:val="both"/>
        <w:rPr>
          <w:color w:val="000000" w:themeColor="text1"/>
        </w:rPr>
      </w:pPr>
    </w:p>
    <w:p w14:paraId="6D930234" w14:textId="77777777" w:rsidR="002D3CA7" w:rsidRPr="00C56257" w:rsidRDefault="002D3CA7" w:rsidP="008E33FD">
      <w:pPr>
        <w:widowControl w:val="0"/>
        <w:autoSpaceDE w:val="0"/>
        <w:autoSpaceDN w:val="0"/>
        <w:adjustRightInd w:val="0"/>
        <w:spacing w:line="276" w:lineRule="auto"/>
        <w:ind w:firstLine="709"/>
        <w:jc w:val="both"/>
        <w:rPr>
          <w:color w:val="000000" w:themeColor="text1"/>
        </w:rPr>
      </w:pPr>
      <w:r w:rsidRPr="00C56257">
        <w:rPr>
          <w:color w:val="000000" w:themeColor="text1"/>
        </w:rPr>
        <w:t>În funcție de perioada pentru care se evaluează tendințele, acestea pot fi:</w:t>
      </w:r>
    </w:p>
    <w:p w14:paraId="3BC8779B" w14:textId="77777777" w:rsidR="002D3CA7" w:rsidRPr="00C56257" w:rsidRDefault="002D3CA7" w:rsidP="009E63E5">
      <w:pPr>
        <w:widowControl w:val="0"/>
        <w:numPr>
          <w:ilvl w:val="0"/>
          <w:numId w:val="148"/>
        </w:numPr>
        <w:autoSpaceDE w:val="0"/>
        <w:autoSpaceDN w:val="0"/>
        <w:adjustRightInd w:val="0"/>
        <w:spacing w:after="160" w:line="276" w:lineRule="auto"/>
        <w:ind w:left="0" w:firstLine="709"/>
        <w:jc w:val="both"/>
        <w:rPr>
          <w:color w:val="000000" w:themeColor="text1"/>
        </w:rPr>
      </w:pPr>
      <w:r w:rsidRPr="00C56257">
        <w:rPr>
          <w:color w:val="000000" w:themeColor="text1"/>
        </w:rPr>
        <w:t xml:space="preserve">Pe termen scurt – perioada de evaluare: </w:t>
      </w:r>
      <w:r w:rsidRPr="00C56257">
        <w:rPr>
          <w:color w:val="000000" w:themeColor="text1"/>
          <w:lang w:eastAsia="ro-RO"/>
        </w:rPr>
        <w:t>12 ani, sau o perioadă cat se poate de apropiată de aceasta (perioada dintre două raportări);</w:t>
      </w:r>
    </w:p>
    <w:p w14:paraId="14A152BF" w14:textId="77777777" w:rsidR="002D3CA7" w:rsidRPr="00C56257" w:rsidRDefault="002D3CA7" w:rsidP="009E63E5">
      <w:pPr>
        <w:widowControl w:val="0"/>
        <w:numPr>
          <w:ilvl w:val="0"/>
          <w:numId w:val="148"/>
        </w:numPr>
        <w:autoSpaceDE w:val="0"/>
        <w:autoSpaceDN w:val="0"/>
        <w:adjustRightInd w:val="0"/>
        <w:spacing w:after="160" w:line="276" w:lineRule="auto"/>
        <w:ind w:left="0" w:firstLine="709"/>
        <w:jc w:val="both"/>
        <w:rPr>
          <w:color w:val="000000" w:themeColor="text1"/>
        </w:rPr>
      </w:pPr>
      <w:r w:rsidRPr="00C56257">
        <w:rPr>
          <w:color w:val="000000" w:themeColor="text1"/>
          <w:lang w:eastAsia="ro-RO"/>
        </w:rPr>
        <w:t>Pe termen lung - perioada de evaluare: 24 ani, sau o perioadă cat se poate de apropiată de aceasta (perioada dintre patru raportări).</w:t>
      </w:r>
    </w:p>
    <w:p w14:paraId="0BF03046" w14:textId="77777777" w:rsidR="002D3CA7" w:rsidRPr="00C56257" w:rsidRDefault="002D3CA7" w:rsidP="008E33FD">
      <w:pPr>
        <w:spacing w:line="276" w:lineRule="auto"/>
        <w:ind w:firstLine="709"/>
        <w:jc w:val="both"/>
        <w:rPr>
          <w:color w:val="000000" w:themeColor="text1"/>
        </w:rPr>
      </w:pPr>
      <w:r w:rsidRPr="00C56257">
        <w:rPr>
          <w:color w:val="000000" w:themeColor="text1"/>
        </w:rPr>
        <w:t>Pentru evaluarea tendințelor pe termen scurt va fi selectată una din următoarele metode:</w:t>
      </w:r>
    </w:p>
    <w:p w14:paraId="18789A77" w14:textId="77777777" w:rsidR="002D3CA7" w:rsidRPr="00C56257" w:rsidRDefault="002D3CA7" w:rsidP="008E33FD">
      <w:pPr>
        <w:spacing w:line="276" w:lineRule="auto"/>
        <w:ind w:firstLine="709"/>
        <w:jc w:val="both"/>
        <w:rPr>
          <w:rFonts w:eastAsiaTheme="minorHAnsi"/>
          <w:color w:val="000000" w:themeColor="text1"/>
        </w:rPr>
      </w:pPr>
      <w:r w:rsidRPr="00C56257">
        <w:rPr>
          <w:rFonts w:eastAsiaTheme="minorHAnsi"/>
          <w:color w:val="000000" w:themeColor="text1"/>
        </w:rPr>
        <w:t xml:space="preserve">a) </w:t>
      </w:r>
      <w:r w:rsidRPr="00C56257">
        <w:rPr>
          <w:rFonts w:eastAsiaTheme="minorHAnsi"/>
          <w:i/>
          <w:iCs/>
          <w:color w:val="000000" w:themeColor="text1"/>
        </w:rPr>
        <w:t>Studiu complet sau o estimare statistică robustă (de exemplu compararea a două hărți cu arealul habitatului bazate pe date de distribuție cu precizie ridicată, sau monitorizare dedicată a distribuției unui habitat, cu o precizie statistică bună);</w:t>
      </w:r>
    </w:p>
    <w:p w14:paraId="65CA8113" w14:textId="77777777" w:rsidR="002D3CA7" w:rsidRPr="00C56257" w:rsidRDefault="002D3CA7" w:rsidP="008E33FD">
      <w:pPr>
        <w:spacing w:line="276" w:lineRule="auto"/>
        <w:ind w:firstLine="709"/>
        <w:jc w:val="both"/>
        <w:rPr>
          <w:rFonts w:eastAsiaTheme="minorHAnsi"/>
          <w:color w:val="000000" w:themeColor="text1"/>
        </w:rPr>
      </w:pPr>
      <w:r w:rsidRPr="00C56257">
        <w:rPr>
          <w:rFonts w:eastAsiaTheme="minorHAnsi"/>
          <w:color w:val="000000" w:themeColor="text1"/>
        </w:rPr>
        <w:t xml:space="preserve">b) </w:t>
      </w:r>
      <w:r w:rsidRPr="00C56257">
        <w:rPr>
          <w:rFonts w:eastAsiaTheme="minorHAnsi"/>
          <w:i/>
          <w:iCs/>
          <w:color w:val="000000" w:themeColor="text1"/>
        </w:rPr>
        <w:t>Bazată în principal pe extrapolarea dintr-o cantitate limitată de date (de exemplu tendințe derivate din date colectate în alte scopuri, sau din date colectate doar dintr-o porțiune a arealului unui habitat, sau tendințe bazate pe măsurarea unor alți predictori ai distribuției habitatului, cum ar fi schimbări în acoperirea terenului);</w:t>
      </w:r>
    </w:p>
    <w:p w14:paraId="24C6986F" w14:textId="77777777" w:rsidR="002D3CA7" w:rsidRPr="00C56257" w:rsidRDefault="002D3CA7" w:rsidP="008E33FD">
      <w:pPr>
        <w:spacing w:line="276" w:lineRule="auto"/>
        <w:ind w:firstLine="709"/>
        <w:jc w:val="both"/>
        <w:rPr>
          <w:rFonts w:eastAsiaTheme="minorHAnsi"/>
          <w:color w:val="000000" w:themeColor="text1"/>
          <w:lang w:val="fr-FR"/>
        </w:rPr>
      </w:pPr>
      <w:r w:rsidRPr="00C56257">
        <w:rPr>
          <w:rFonts w:eastAsiaTheme="minorHAnsi"/>
          <w:color w:val="000000" w:themeColor="text1"/>
          <w:lang w:val="fr-FR"/>
        </w:rPr>
        <w:t xml:space="preserve">c) </w:t>
      </w:r>
      <w:proofErr w:type="spellStart"/>
      <w:r w:rsidRPr="00C56257">
        <w:rPr>
          <w:rFonts w:eastAsiaTheme="minorHAnsi"/>
          <w:i/>
          <w:iCs/>
          <w:color w:val="000000" w:themeColor="text1"/>
          <w:lang w:val="fr-FR"/>
        </w:rPr>
        <w:t>Bazată</w:t>
      </w:r>
      <w:proofErr w:type="spellEnd"/>
      <w:r w:rsidRPr="00C56257">
        <w:rPr>
          <w:rFonts w:eastAsiaTheme="minorHAnsi"/>
          <w:i/>
          <w:iCs/>
          <w:color w:val="000000" w:themeColor="text1"/>
          <w:lang w:val="fr-FR"/>
        </w:rPr>
        <w:t xml:space="preserve"> </w:t>
      </w:r>
      <w:proofErr w:type="spellStart"/>
      <w:r w:rsidRPr="00C56257">
        <w:rPr>
          <w:rFonts w:eastAsiaTheme="minorHAnsi"/>
          <w:i/>
          <w:iCs/>
          <w:color w:val="000000" w:themeColor="text1"/>
          <w:lang w:val="fr-FR"/>
        </w:rPr>
        <w:t>în</w:t>
      </w:r>
      <w:proofErr w:type="spellEnd"/>
      <w:r w:rsidRPr="00C56257">
        <w:rPr>
          <w:rFonts w:eastAsiaTheme="minorHAnsi"/>
          <w:i/>
          <w:iCs/>
          <w:color w:val="000000" w:themeColor="text1"/>
          <w:lang w:val="fr-FR"/>
        </w:rPr>
        <w:t xml:space="preserve"> principal </w:t>
      </w:r>
      <w:proofErr w:type="spellStart"/>
      <w:r w:rsidRPr="00C56257">
        <w:rPr>
          <w:rFonts w:eastAsiaTheme="minorHAnsi"/>
          <w:i/>
          <w:iCs/>
          <w:color w:val="000000" w:themeColor="text1"/>
          <w:lang w:val="fr-FR"/>
        </w:rPr>
        <w:t>pe</w:t>
      </w:r>
      <w:proofErr w:type="spellEnd"/>
      <w:r w:rsidRPr="00C56257">
        <w:rPr>
          <w:rFonts w:eastAsiaTheme="minorHAnsi"/>
          <w:i/>
          <w:iCs/>
          <w:color w:val="000000" w:themeColor="text1"/>
          <w:lang w:val="fr-FR"/>
        </w:rPr>
        <w:t xml:space="preserve"> </w:t>
      </w:r>
      <w:proofErr w:type="spellStart"/>
      <w:r w:rsidRPr="00C56257">
        <w:rPr>
          <w:rFonts w:eastAsiaTheme="minorHAnsi"/>
          <w:i/>
          <w:iCs/>
          <w:color w:val="000000" w:themeColor="text1"/>
          <w:lang w:val="fr-FR"/>
        </w:rPr>
        <w:t>opinia</w:t>
      </w:r>
      <w:proofErr w:type="spellEnd"/>
      <w:r w:rsidRPr="00C56257">
        <w:rPr>
          <w:rFonts w:eastAsiaTheme="minorHAnsi"/>
          <w:i/>
          <w:iCs/>
          <w:color w:val="000000" w:themeColor="text1"/>
          <w:lang w:val="fr-FR"/>
        </w:rPr>
        <w:t xml:space="preserve"> </w:t>
      </w:r>
      <w:proofErr w:type="spellStart"/>
      <w:r w:rsidRPr="00C56257">
        <w:rPr>
          <w:rFonts w:eastAsiaTheme="minorHAnsi"/>
          <w:i/>
          <w:iCs/>
          <w:color w:val="000000" w:themeColor="text1"/>
          <w:lang w:val="fr-FR"/>
        </w:rPr>
        <w:t>experților</w:t>
      </w:r>
      <w:proofErr w:type="spellEnd"/>
      <w:r w:rsidRPr="00C56257">
        <w:rPr>
          <w:rFonts w:eastAsiaTheme="minorHAnsi"/>
          <w:i/>
          <w:iCs/>
          <w:color w:val="000000" w:themeColor="text1"/>
          <w:lang w:val="fr-FR"/>
        </w:rPr>
        <w:t xml:space="preserve"> </w:t>
      </w:r>
      <w:proofErr w:type="spellStart"/>
      <w:r w:rsidRPr="00C56257">
        <w:rPr>
          <w:rFonts w:eastAsiaTheme="minorHAnsi"/>
          <w:i/>
          <w:iCs/>
          <w:color w:val="000000" w:themeColor="text1"/>
          <w:lang w:val="fr-FR"/>
        </w:rPr>
        <w:t>cu</w:t>
      </w:r>
      <w:proofErr w:type="spellEnd"/>
      <w:r w:rsidRPr="00C56257">
        <w:rPr>
          <w:rFonts w:eastAsiaTheme="minorHAnsi"/>
          <w:i/>
          <w:iCs/>
          <w:color w:val="000000" w:themeColor="text1"/>
          <w:lang w:val="fr-FR"/>
        </w:rPr>
        <w:t xml:space="preserve"> date </w:t>
      </w:r>
      <w:proofErr w:type="spellStart"/>
      <w:r w:rsidRPr="00C56257">
        <w:rPr>
          <w:rFonts w:eastAsiaTheme="minorHAnsi"/>
          <w:i/>
          <w:iCs/>
          <w:color w:val="000000" w:themeColor="text1"/>
          <w:lang w:val="fr-FR"/>
        </w:rPr>
        <w:t>foarte</w:t>
      </w:r>
      <w:proofErr w:type="spellEnd"/>
      <w:r w:rsidRPr="00C56257">
        <w:rPr>
          <w:rFonts w:eastAsiaTheme="minorHAnsi"/>
          <w:i/>
          <w:iCs/>
          <w:color w:val="000000" w:themeColor="text1"/>
          <w:lang w:val="fr-FR"/>
        </w:rPr>
        <w:t xml:space="preserve"> </w:t>
      </w:r>
      <w:proofErr w:type="spellStart"/>
      <w:r w:rsidRPr="00C56257">
        <w:rPr>
          <w:rFonts w:eastAsiaTheme="minorHAnsi"/>
          <w:i/>
          <w:iCs/>
          <w:color w:val="000000" w:themeColor="text1"/>
          <w:lang w:val="fr-FR"/>
        </w:rPr>
        <w:t>limitate</w:t>
      </w:r>
      <w:proofErr w:type="spellEnd"/>
      <w:r w:rsidRPr="00C56257">
        <w:rPr>
          <w:rFonts w:eastAsiaTheme="minorHAnsi"/>
          <w:i/>
          <w:iCs/>
          <w:color w:val="000000" w:themeColor="text1"/>
          <w:lang w:val="fr-FR"/>
        </w:rPr>
        <w:t>;</w:t>
      </w:r>
    </w:p>
    <w:p w14:paraId="71D2AEB1" w14:textId="77777777" w:rsidR="002D3CA7" w:rsidRPr="00C56257" w:rsidRDefault="002D3CA7" w:rsidP="008E33FD">
      <w:pPr>
        <w:spacing w:line="276" w:lineRule="auto"/>
        <w:ind w:firstLine="709"/>
        <w:jc w:val="both"/>
        <w:rPr>
          <w:rFonts w:eastAsiaTheme="minorHAnsi"/>
          <w:color w:val="000000" w:themeColor="text1"/>
          <w:lang w:val="fr-FR"/>
        </w:rPr>
      </w:pPr>
      <w:r w:rsidRPr="00C56257">
        <w:rPr>
          <w:rFonts w:eastAsiaTheme="minorHAnsi"/>
          <w:color w:val="000000" w:themeColor="text1"/>
          <w:lang w:val="fr-FR"/>
        </w:rPr>
        <w:lastRenderedPageBreak/>
        <w:t xml:space="preserve">d) </w:t>
      </w:r>
      <w:r w:rsidRPr="00C56257">
        <w:rPr>
          <w:rFonts w:eastAsiaTheme="minorHAnsi"/>
          <w:i/>
          <w:iCs/>
          <w:color w:val="000000" w:themeColor="text1"/>
          <w:lang w:val="fr-FR"/>
        </w:rPr>
        <w:t xml:space="preserve">Date </w:t>
      </w:r>
      <w:proofErr w:type="spellStart"/>
      <w:r w:rsidRPr="00C56257">
        <w:rPr>
          <w:rFonts w:eastAsiaTheme="minorHAnsi"/>
          <w:i/>
          <w:iCs/>
          <w:color w:val="000000" w:themeColor="text1"/>
          <w:lang w:val="fr-FR"/>
        </w:rPr>
        <w:t>insuficiente</w:t>
      </w:r>
      <w:proofErr w:type="spellEnd"/>
      <w:r w:rsidRPr="00C56257">
        <w:rPr>
          <w:rFonts w:eastAsiaTheme="minorHAnsi"/>
          <w:i/>
          <w:iCs/>
          <w:color w:val="000000" w:themeColor="text1"/>
          <w:lang w:val="fr-FR"/>
        </w:rPr>
        <w:t xml:space="preserve"> </w:t>
      </w:r>
      <w:proofErr w:type="spellStart"/>
      <w:r w:rsidRPr="00C56257">
        <w:rPr>
          <w:rFonts w:eastAsiaTheme="minorHAnsi"/>
          <w:i/>
          <w:iCs/>
          <w:color w:val="000000" w:themeColor="text1"/>
          <w:lang w:val="fr-FR"/>
        </w:rPr>
        <w:t>sau</w:t>
      </w:r>
      <w:proofErr w:type="spellEnd"/>
      <w:r w:rsidRPr="00C56257">
        <w:rPr>
          <w:rFonts w:eastAsiaTheme="minorHAnsi"/>
          <w:i/>
          <w:iCs/>
          <w:color w:val="000000" w:themeColor="text1"/>
          <w:lang w:val="fr-FR"/>
        </w:rPr>
        <w:t xml:space="preserve"> </w:t>
      </w:r>
      <w:proofErr w:type="spellStart"/>
      <w:r w:rsidRPr="00C56257">
        <w:rPr>
          <w:rFonts w:eastAsiaTheme="minorHAnsi"/>
          <w:i/>
          <w:iCs/>
          <w:color w:val="000000" w:themeColor="text1"/>
          <w:lang w:val="fr-FR"/>
        </w:rPr>
        <w:t>indisponibile</w:t>
      </w:r>
      <w:proofErr w:type="spellEnd"/>
      <w:r w:rsidRPr="00C56257">
        <w:rPr>
          <w:rFonts w:eastAsiaTheme="minorHAnsi"/>
          <w:i/>
          <w:iCs/>
          <w:color w:val="000000" w:themeColor="text1"/>
          <w:lang w:val="fr-FR"/>
        </w:rPr>
        <w:t>.</w:t>
      </w:r>
    </w:p>
    <w:p w14:paraId="3A84AA5F" w14:textId="77777777" w:rsidR="002D3CA7" w:rsidRPr="00C56257" w:rsidRDefault="002D3CA7" w:rsidP="008E33FD">
      <w:pPr>
        <w:spacing w:after="160" w:line="259" w:lineRule="auto"/>
        <w:ind w:firstLine="709"/>
        <w:jc w:val="both"/>
        <w:rPr>
          <w:color w:val="000000" w:themeColor="text1"/>
        </w:rPr>
      </w:pPr>
      <w:r w:rsidRPr="00C56257">
        <w:rPr>
          <w:color w:val="000000" w:themeColor="text1"/>
        </w:rPr>
        <w:t>Acolo unde datele au fost compilate din mai multe surse, se alege categoria pentru cea mai importantă sursă de de date.</w:t>
      </w:r>
    </w:p>
    <w:p w14:paraId="0E88D1E9" w14:textId="77777777" w:rsidR="002D3CA7" w:rsidRPr="00C56257" w:rsidRDefault="002D3CA7" w:rsidP="008E33FD">
      <w:pPr>
        <w:spacing w:after="160" w:line="259" w:lineRule="auto"/>
        <w:ind w:firstLine="709"/>
        <w:jc w:val="both"/>
        <w:rPr>
          <w:color w:val="000000" w:themeColor="text1"/>
        </w:rPr>
      </w:pPr>
      <w:r w:rsidRPr="00C56257">
        <w:rPr>
          <w:color w:val="000000" w:themeColor="text1"/>
        </w:rPr>
        <w:t>După stabilirea tendințelor parametrilor, se poate evalua tendința generală din cadrul stării de conservare a unui habitat conform tabelului 3.</w:t>
      </w:r>
    </w:p>
    <w:p w14:paraId="31E9917E" w14:textId="77777777" w:rsidR="002D3CA7" w:rsidRPr="00C56257" w:rsidRDefault="002D3CA7" w:rsidP="008E33FD">
      <w:pPr>
        <w:spacing w:line="259" w:lineRule="auto"/>
        <w:jc w:val="both"/>
        <w:rPr>
          <w:color w:val="000000" w:themeColor="text1"/>
        </w:rPr>
      </w:pPr>
    </w:p>
    <w:p w14:paraId="687F4AF0" w14:textId="77777777" w:rsidR="002D3CA7" w:rsidRPr="00C56257" w:rsidRDefault="002D3CA7" w:rsidP="008E33FD">
      <w:pPr>
        <w:spacing w:line="259" w:lineRule="auto"/>
        <w:jc w:val="both"/>
        <w:rPr>
          <w:color w:val="000000" w:themeColor="text1"/>
        </w:rPr>
      </w:pPr>
    </w:p>
    <w:p w14:paraId="766AD3EB" w14:textId="77777777" w:rsidR="002D3CA7" w:rsidRPr="00C56257" w:rsidRDefault="002D3CA7" w:rsidP="008E33FD">
      <w:pPr>
        <w:spacing w:line="259" w:lineRule="auto"/>
        <w:jc w:val="both"/>
        <w:rPr>
          <w:color w:val="000000" w:themeColor="text1"/>
        </w:rPr>
      </w:pPr>
    </w:p>
    <w:p w14:paraId="7B50CC70" w14:textId="77777777" w:rsidR="002D3CA7" w:rsidRPr="00C56257" w:rsidRDefault="002D3CA7" w:rsidP="008E33FD">
      <w:pPr>
        <w:spacing w:line="259" w:lineRule="auto"/>
        <w:jc w:val="both"/>
        <w:rPr>
          <w:color w:val="000000" w:themeColor="text1"/>
        </w:rPr>
      </w:pPr>
      <w:r w:rsidRPr="00C56257">
        <w:rPr>
          <w:color w:val="000000" w:themeColor="text1"/>
        </w:rPr>
        <w:t>Tabelul 3: Evaluarea tendinței generale din cadrul Stării de conservare a unui habitat</w:t>
      </w:r>
    </w:p>
    <w:tbl>
      <w:tblPr>
        <w:tblW w:w="5000" w:type="pct"/>
        <w:jc w:val="center"/>
        <w:tblLook w:val="04A0" w:firstRow="1" w:lastRow="0" w:firstColumn="1" w:lastColumn="0" w:noHBand="0" w:noVBand="1"/>
      </w:tblPr>
      <w:tblGrid>
        <w:gridCol w:w="1611"/>
        <w:gridCol w:w="1263"/>
        <w:gridCol w:w="1969"/>
        <w:gridCol w:w="1727"/>
        <w:gridCol w:w="3424"/>
      </w:tblGrid>
      <w:tr w:rsidR="00673EFE" w:rsidRPr="00C56257" w14:paraId="13F2E52B" w14:textId="77777777" w:rsidTr="002825C6">
        <w:trPr>
          <w:trHeight w:val="630"/>
          <w:jc w:val="center"/>
        </w:trPr>
        <w:tc>
          <w:tcPr>
            <w:tcW w:w="3287" w:type="pct"/>
            <w:gridSpan w:val="4"/>
            <w:tcBorders>
              <w:top w:val="single" w:sz="4" w:space="0" w:color="auto"/>
              <w:left w:val="single" w:sz="4" w:space="0" w:color="auto"/>
              <w:bottom w:val="single" w:sz="4" w:space="0" w:color="auto"/>
              <w:right w:val="single" w:sz="4" w:space="0" w:color="auto"/>
            </w:tcBorders>
            <w:shd w:val="clear" w:color="auto" w:fill="92D050"/>
            <w:vAlign w:val="center"/>
            <w:hideMark/>
          </w:tcPr>
          <w:p w14:paraId="65BFDE72" w14:textId="77777777" w:rsidR="002D3CA7" w:rsidRPr="00C56257" w:rsidRDefault="002D3CA7" w:rsidP="008E33FD">
            <w:pPr>
              <w:jc w:val="both"/>
              <w:rPr>
                <w:color w:val="000000" w:themeColor="text1"/>
                <w:lang w:eastAsia="ro-RO"/>
              </w:rPr>
            </w:pPr>
            <w:r w:rsidRPr="00C56257">
              <w:rPr>
                <w:color w:val="000000" w:themeColor="text1"/>
                <w:lang w:eastAsia="ro-RO"/>
              </w:rPr>
              <w:t>Tendința pe termen scurt a parametrilor (Areal, Suprafața acoperită de habitat, Structură și funcții)</w:t>
            </w:r>
          </w:p>
        </w:tc>
        <w:tc>
          <w:tcPr>
            <w:tcW w:w="1713" w:type="pct"/>
            <w:vMerge w:val="restart"/>
            <w:tcBorders>
              <w:top w:val="single" w:sz="4" w:space="0" w:color="auto"/>
              <w:left w:val="single" w:sz="4" w:space="0" w:color="auto"/>
              <w:bottom w:val="single" w:sz="4" w:space="0" w:color="auto"/>
              <w:right w:val="single" w:sz="4" w:space="0" w:color="auto"/>
            </w:tcBorders>
            <w:shd w:val="clear" w:color="auto" w:fill="92D050"/>
            <w:vAlign w:val="center"/>
            <w:hideMark/>
          </w:tcPr>
          <w:p w14:paraId="0CC59BB3" w14:textId="77777777" w:rsidR="002D3CA7" w:rsidRPr="00C56257" w:rsidRDefault="002D3CA7" w:rsidP="008E33FD">
            <w:pPr>
              <w:jc w:val="both"/>
              <w:rPr>
                <w:color w:val="000000" w:themeColor="text1"/>
                <w:lang w:eastAsia="ro-RO"/>
              </w:rPr>
            </w:pPr>
            <w:r w:rsidRPr="00C56257">
              <w:rPr>
                <w:color w:val="000000" w:themeColor="text1"/>
                <w:lang w:eastAsia="ro-RO"/>
              </w:rPr>
              <w:t xml:space="preserve">Tendința generala din </w:t>
            </w:r>
            <w:r w:rsidRPr="00C56257">
              <w:rPr>
                <w:color w:val="000000" w:themeColor="text1"/>
                <w:lang w:eastAsia="ro-RO"/>
              </w:rPr>
              <w:br/>
              <w:t>Starea de conservare</w:t>
            </w:r>
          </w:p>
        </w:tc>
      </w:tr>
      <w:tr w:rsidR="00673EFE" w:rsidRPr="00C56257" w14:paraId="1FF89221" w14:textId="77777777" w:rsidTr="002825C6">
        <w:trPr>
          <w:trHeight w:val="600"/>
          <w:jc w:val="center"/>
        </w:trPr>
        <w:tc>
          <w:tcPr>
            <w:tcW w:w="806" w:type="pct"/>
            <w:tcBorders>
              <w:top w:val="nil"/>
              <w:left w:val="single" w:sz="4" w:space="0" w:color="auto"/>
              <w:bottom w:val="single" w:sz="4" w:space="0" w:color="auto"/>
              <w:right w:val="single" w:sz="4" w:space="0" w:color="auto"/>
            </w:tcBorders>
            <w:shd w:val="clear" w:color="auto" w:fill="92D050"/>
            <w:vAlign w:val="center"/>
            <w:hideMark/>
          </w:tcPr>
          <w:p w14:paraId="684E4C81" w14:textId="77777777" w:rsidR="002D3CA7" w:rsidRPr="00C56257" w:rsidRDefault="002D3CA7" w:rsidP="008E33FD">
            <w:pPr>
              <w:jc w:val="both"/>
              <w:rPr>
                <w:color w:val="000000" w:themeColor="text1"/>
                <w:lang w:eastAsia="ro-RO"/>
              </w:rPr>
            </w:pPr>
            <w:r w:rsidRPr="00C56257">
              <w:rPr>
                <w:color w:val="000000" w:themeColor="text1"/>
                <w:lang w:eastAsia="ro-RO"/>
              </w:rPr>
              <w:t>Număr</w:t>
            </w:r>
            <w:r w:rsidRPr="00C56257">
              <w:rPr>
                <w:color w:val="000000" w:themeColor="text1"/>
                <w:lang w:eastAsia="ro-RO"/>
              </w:rPr>
              <w:br/>
              <w:t xml:space="preserve"> „în creștere”</w:t>
            </w:r>
          </w:p>
        </w:tc>
        <w:tc>
          <w:tcPr>
            <w:tcW w:w="632" w:type="pct"/>
            <w:tcBorders>
              <w:top w:val="nil"/>
              <w:left w:val="nil"/>
              <w:bottom w:val="single" w:sz="4" w:space="0" w:color="auto"/>
              <w:right w:val="single" w:sz="4" w:space="0" w:color="auto"/>
            </w:tcBorders>
            <w:shd w:val="clear" w:color="auto" w:fill="92D050"/>
            <w:vAlign w:val="center"/>
            <w:hideMark/>
          </w:tcPr>
          <w:p w14:paraId="1ED9DF4F" w14:textId="77777777" w:rsidR="002D3CA7" w:rsidRPr="00C56257" w:rsidRDefault="002D3CA7" w:rsidP="008E33FD">
            <w:pPr>
              <w:jc w:val="both"/>
              <w:rPr>
                <w:color w:val="000000" w:themeColor="text1"/>
                <w:lang w:eastAsia="ro-RO"/>
              </w:rPr>
            </w:pPr>
            <w:r w:rsidRPr="00C56257">
              <w:rPr>
                <w:color w:val="000000" w:themeColor="text1"/>
                <w:lang w:eastAsia="ro-RO"/>
              </w:rPr>
              <w:t>Număr</w:t>
            </w:r>
            <w:r w:rsidRPr="00C56257">
              <w:rPr>
                <w:color w:val="000000" w:themeColor="text1"/>
                <w:lang w:eastAsia="ro-RO"/>
              </w:rPr>
              <w:br/>
              <w:t>„stabilă”</w:t>
            </w:r>
          </w:p>
        </w:tc>
        <w:tc>
          <w:tcPr>
            <w:tcW w:w="985" w:type="pct"/>
            <w:tcBorders>
              <w:top w:val="nil"/>
              <w:left w:val="nil"/>
              <w:bottom w:val="single" w:sz="4" w:space="0" w:color="auto"/>
              <w:right w:val="single" w:sz="4" w:space="0" w:color="auto"/>
            </w:tcBorders>
            <w:shd w:val="clear" w:color="auto" w:fill="92D050"/>
            <w:vAlign w:val="center"/>
            <w:hideMark/>
          </w:tcPr>
          <w:p w14:paraId="2758A980" w14:textId="77777777" w:rsidR="002D3CA7" w:rsidRPr="00C56257" w:rsidRDefault="002D3CA7" w:rsidP="008E33FD">
            <w:pPr>
              <w:jc w:val="both"/>
              <w:rPr>
                <w:color w:val="000000" w:themeColor="text1"/>
                <w:lang w:eastAsia="ro-RO"/>
              </w:rPr>
            </w:pPr>
            <w:r w:rsidRPr="00C56257">
              <w:rPr>
                <w:color w:val="000000" w:themeColor="text1"/>
                <w:lang w:eastAsia="ro-RO"/>
              </w:rPr>
              <w:t>Număr</w:t>
            </w:r>
            <w:r w:rsidRPr="00C56257">
              <w:rPr>
                <w:color w:val="000000" w:themeColor="text1"/>
                <w:lang w:eastAsia="ro-RO"/>
              </w:rPr>
              <w:br/>
              <w:t>„în descreștere”</w:t>
            </w:r>
          </w:p>
        </w:tc>
        <w:tc>
          <w:tcPr>
            <w:tcW w:w="864" w:type="pct"/>
            <w:tcBorders>
              <w:top w:val="nil"/>
              <w:left w:val="nil"/>
              <w:bottom w:val="single" w:sz="4" w:space="0" w:color="auto"/>
              <w:right w:val="single" w:sz="4" w:space="0" w:color="auto"/>
            </w:tcBorders>
            <w:shd w:val="clear" w:color="auto" w:fill="92D050"/>
            <w:vAlign w:val="center"/>
            <w:hideMark/>
          </w:tcPr>
          <w:p w14:paraId="0F6B5823" w14:textId="77777777" w:rsidR="002D3CA7" w:rsidRPr="00C56257" w:rsidRDefault="002D3CA7" w:rsidP="008E33FD">
            <w:pPr>
              <w:jc w:val="both"/>
              <w:rPr>
                <w:color w:val="000000" w:themeColor="text1"/>
                <w:lang w:eastAsia="ro-RO"/>
              </w:rPr>
            </w:pPr>
            <w:r w:rsidRPr="00C56257">
              <w:rPr>
                <w:color w:val="000000" w:themeColor="text1"/>
                <w:lang w:eastAsia="ro-RO"/>
              </w:rPr>
              <w:t>Număr</w:t>
            </w:r>
            <w:r w:rsidRPr="00C56257">
              <w:rPr>
                <w:color w:val="000000" w:themeColor="text1"/>
                <w:lang w:eastAsia="ro-RO"/>
              </w:rPr>
              <w:br/>
              <w:t>„necunoscută”</w:t>
            </w:r>
          </w:p>
        </w:tc>
        <w:tc>
          <w:tcPr>
            <w:tcW w:w="1713" w:type="pct"/>
            <w:vMerge/>
            <w:tcBorders>
              <w:top w:val="single" w:sz="4" w:space="0" w:color="auto"/>
              <w:left w:val="single" w:sz="4" w:space="0" w:color="auto"/>
              <w:bottom w:val="single" w:sz="4" w:space="0" w:color="auto"/>
              <w:right w:val="single" w:sz="4" w:space="0" w:color="auto"/>
            </w:tcBorders>
            <w:vAlign w:val="center"/>
            <w:hideMark/>
          </w:tcPr>
          <w:p w14:paraId="2420F8E1" w14:textId="77777777" w:rsidR="002D3CA7" w:rsidRPr="00C56257" w:rsidRDefault="002D3CA7" w:rsidP="008E33FD">
            <w:pPr>
              <w:jc w:val="both"/>
              <w:rPr>
                <w:color w:val="000000" w:themeColor="text1"/>
                <w:lang w:eastAsia="ro-RO"/>
              </w:rPr>
            </w:pPr>
          </w:p>
        </w:tc>
      </w:tr>
      <w:tr w:rsidR="00673EFE" w:rsidRPr="00C56257" w14:paraId="6268E75A" w14:textId="77777777" w:rsidTr="002825C6">
        <w:trPr>
          <w:trHeight w:hRule="exact" w:val="283"/>
          <w:jc w:val="center"/>
        </w:trPr>
        <w:tc>
          <w:tcPr>
            <w:tcW w:w="806" w:type="pct"/>
            <w:tcBorders>
              <w:top w:val="nil"/>
              <w:left w:val="single" w:sz="4" w:space="0" w:color="auto"/>
              <w:bottom w:val="nil"/>
              <w:right w:val="single" w:sz="4" w:space="0" w:color="auto"/>
            </w:tcBorders>
            <w:shd w:val="clear" w:color="auto" w:fill="auto"/>
            <w:noWrap/>
            <w:vAlign w:val="center"/>
            <w:hideMark/>
          </w:tcPr>
          <w:p w14:paraId="1E0AACEB" w14:textId="77777777" w:rsidR="002D3CA7" w:rsidRPr="00C56257" w:rsidRDefault="002D3CA7" w:rsidP="008E33FD">
            <w:pPr>
              <w:jc w:val="both"/>
              <w:rPr>
                <w:color w:val="000000" w:themeColor="text1"/>
                <w:lang w:eastAsia="ro-RO"/>
              </w:rPr>
            </w:pPr>
            <w:r w:rsidRPr="00C56257">
              <w:rPr>
                <w:color w:val="000000" w:themeColor="text1"/>
                <w:lang w:eastAsia="ro-RO"/>
              </w:rPr>
              <w:t>3</w:t>
            </w:r>
          </w:p>
        </w:tc>
        <w:tc>
          <w:tcPr>
            <w:tcW w:w="632" w:type="pct"/>
            <w:tcBorders>
              <w:top w:val="nil"/>
              <w:left w:val="nil"/>
              <w:bottom w:val="nil"/>
              <w:right w:val="single" w:sz="4" w:space="0" w:color="auto"/>
            </w:tcBorders>
            <w:shd w:val="clear" w:color="auto" w:fill="auto"/>
            <w:noWrap/>
            <w:vAlign w:val="center"/>
            <w:hideMark/>
          </w:tcPr>
          <w:p w14:paraId="1A987E4D"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985" w:type="pct"/>
            <w:tcBorders>
              <w:top w:val="nil"/>
              <w:left w:val="nil"/>
              <w:bottom w:val="nil"/>
              <w:right w:val="single" w:sz="4" w:space="0" w:color="auto"/>
            </w:tcBorders>
            <w:shd w:val="clear" w:color="auto" w:fill="auto"/>
            <w:noWrap/>
            <w:vAlign w:val="center"/>
            <w:hideMark/>
          </w:tcPr>
          <w:p w14:paraId="67321C06"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864" w:type="pct"/>
            <w:tcBorders>
              <w:top w:val="nil"/>
              <w:left w:val="nil"/>
              <w:bottom w:val="nil"/>
              <w:right w:val="single" w:sz="4" w:space="0" w:color="auto"/>
            </w:tcBorders>
            <w:shd w:val="clear" w:color="auto" w:fill="auto"/>
            <w:noWrap/>
            <w:vAlign w:val="center"/>
            <w:hideMark/>
          </w:tcPr>
          <w:p w14:paraId="0869FA09"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1713" w:type="pct"/>
            <w:vMerge w:val="restart"/>
            <w:tcBorders>
              <w:top w:val="nil"/>
              <w:left w:val="single" w:sz="4" w:space="0" w:color="auto"/>
              <w:bottom w:val="single" w:sz="4" w:space="0" w:color="auto"/>
              <w:right w:val="single" w:sz="4" w:space="0" w:color="auto"/>
            </w:tcBorders>
            <w:shd w:val="clear" w:color="auto" w:fill="auto"/>
            <w:vAlign w:val="center"/>
            <w:hideMark/>
          </w:tcPr>
          <w:p w14:paraId="64A9D54D" w14:textId="77777777" w:rsidR="002D3CA7" w:rsidRPr="00C56257" w:rsidRDefault="002D3CA7" w:rsidP="008E33FD">
            <w:pPr>
              <w:jc w:val="both"/>
              <w:rPr>
                <w:color w:val="000000" w:themeColor="text1"/>
                <w:lang w:eastAsia="ro-RO"/>
              </w:rPr>
            </w:pPr>
            <w:r w:rsidRPr="00C56257">
              <w:rPr>
                <w:color w:val="000000" w:themeColor="text1"/>
                <w:lang w:eastAsia="ro-RO"/>
              </w:rPr>
              <w:t>Îmbunătățită</w:t>
            </w:r>
            <w:r w:rsidRPr="00C56257">
              <w:rPr>
                <w:color w:val="000000" w:themeColor="text1"/>
                <w:lang w:eastAsia="ro-RO"/>
              </w:rPr>
              <w:br/>
              <w:t>(</w:t>
            </w:r>
            <w:r w:rsidRPr="00C56257">
              <w:rPr>
                <w:i/>
                <w:iCs/>
                <w:color w:val="000000" w:themeColor="text1"/>
                <w:lang w:eastAsia="ro-RO"/>
              </w:rPr>
              <w:t>Doar tendințe în creștere sau stabile</w:t>
            </w:r>
            <w:r w:rsidRPr="00C56257">
              <w:rPr>
                <w:color w:val="000000" w:themeColor="text1"/>
                <w:lang w:eastAsia="ro-RO"/>
              </w:rPr>
              <w:t>)</w:t>
            </w:r>
          </w:p>
        </w:tc>
      </w:tr>
      <w:tr w:rsidR="00673EFE" w:rsidRPr="00C56257" w14:paraId="01445210" w14:textId="77777777" w:rsidTr="002825C6">
        <w:trPr>
          <w:trHeight w:hRule="exact" w:val="283"/>
          <w:jc w:val="center"/>
        </w:trPr>
        <w:tc>
          <w:tcPr>
            <w:tcW w:w="806" w:type="pct"/>
            <w:tcBorders>
              <w:top w:val="nil"/>
              <w:left w:val="single" w:sz="4" w:space="0" w:color="auto"/>
              <w:bottom w:val="nil"/>
              <w:right w:val="single" w:sz="4" w:space="0" w:color="auto"/>
            </w:tcBorders>
            <w:shd w:val="clear" w:color="auto" w:fill="auto"/>
            <w:noWrap/>
            <w:vAlign w:val="center"/>
            <w:hideMark/>
          </w:tcPr>
          <w:p w14:paraId="6D80559D" w14:textId="77777777" w:rsidR="002D3CA7" w:rsidRPr="00C56257" w:rsidRDefault="002D3CA7" w:rsidP="008E33FD">
            <w:pPr>
              <w:jc w:val="both"/>
              <w:rPr>
                <w:color w:val="000000" w:themeColor="text1"/>
                <w:lang w:eastAsia="ro-RO"/>
              </w:rPr>
            </w:pPr>
            <w:r w:rsidRPr="00C56257">
              <w:rPr>
                <w:color w:val="000000" w:themeColor="text1"/>
                <w:lang w:eastAsia="ro-RO"/>
              </w:rPr>
              <w:t>2</w:t>
            </w:r>
          </w:p>
        </w:tc>
        <w:tc>
          <w:tcPr>
            <w:tcW w:w="632" w:type="pct"/>
            <w:tcBorders>
              <w:top w:val="nil"/>
              <w:left w:val="nil"/>
              <w:bottom w:val="nil"/>
              <w:right w:val="single" w:sz="4" w:space="0" w:color="auto"/>
            </w:tcBorders>
            <w:shd w:val="clear" w:color="auto" w:fill="auto"/>
            <w:noWrap/>
            <w:vAlign w:val="center"/>
            <w:hideMark/>
          </w:tcPr>
          <w:p w14:paraId="6F6153C8"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985" w:type="pct"/>
            <w:tcBorders>
              <w:top w:val="nil"/>
              <w:left w:val="nil"/>
              <w:bottom w:val="nil"/>
              <w:right w:val="single" w:sz="4" w:space="0" w:color="auto"/>
            </w:tcBorders>
            <w:shd w:val="clear" w:color="auto" w:fill="auto"/>
            <w:noWrap/>
            <w:vAlign w:val="center"/>
            <w:hideMark/>
          </w:tcPr>
          <w:p w14:paraId="03D8014B"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864" w:type="pct"/>
            <w:tcBorders>
              <w:top w:val="nil"/>
              <w:left w:val="nil"/>
              <w:bottom w:val="nil"/>
              <w:right w:val="single" w:sz="4" w:space="0" w:color="auto"/>
            </w:tcBorders>
            <w:shd w:val="clear" w:color="auto" w:fill="auto"/>
            <w:noWrap/>
            <w:vAlign w:val="center"/>
            <w:hideMark/>
          </w:tcPr>
          <w:p w14:paraId="10B64170"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1713" w:type="pct"/>
            <w:vMerge/>
            <w:tcBorders>
              <w:top w:val="nil"/>
              <w:left w:val="single" w:sz="4" w:space="0" w:color="auto"/>
              <w:bottom w:val="single" w:sz="4" w:space="0" w:color="auto"/>
              <w:right w:val="single" w:sz="4" w:space="0" w:color="auto"/>
            </w:tcBorders>
            <w:vAlign w:val="center"/>
            <w:hideMark/>
          </w:tcPr>
          <w:p w14:paraId="3AF91917" w14:textId="77777777" w:rsidR="002D3CA7" w:rsidRPr="00C56257" w:rsidRDefault="002D3CA7" w:rsidP="008E33FD">
            <w:pPr>
              <w:jc w:val="both"/>
              <w:rPr>
                <w:color w:val="000000" w:themeColor="text1"/>
                <w:lang w:eastAsia="ro-RO"/>
              </w:rPr>
            </w:pPr>
          </w:p>
        </w:tc>
      </w:tr>
      <w:tr w:rsidR="00673EFE" w:rsidRPr="00C56257" w14:paraId="1632691C" w14:textId="77777777" w:rsidTr="002825C6">
        <w:trPr>
          <w:trHeight w:hRule="exact" w:val="283"/>
          <w:jc w:val="center"/>
        </w:trPr>
        <w:tc>
          <w:tcPr>
            <w:tcW w:w="806" w:type="pct"/>
            <w:tcBorders>
              <w:top w:val="nil"/>
              <w:left w:val="single" w:sz="4" w:space="0" w:color="auto"/>
              <w:bottom w:val="single" w:sz="4" w:space="0" w:color="auto"/>
              <w:right w:val="single" w:sz="4" w:space="0" w:color="auto"/>
            </w:tcBorders>
            <w:shd w:val="clear" w:color="auto" w:fill="auto"/>
            <w:noWrap/>
            <w:vAlign w:val="center"/>
            <w:hideMark/>
          </w:tcPr>
          <w:p w14:paraId="350CE6F6"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632" w:type="pct"/>
            <w:tcBorders>
              <w:top w:val="nil"/>
              <w:left w:val="nil"/>
              <w:bottom w:val="single" w:sz="4" w:space="0" w:color="auto"/>
              <w:right w:val="single" w:sz="4" w:space="0" w:color="auto"/>
            </w:tcBorders>
            <w:shd w:val="clear" w:color="auto" w:fill="auto"/>
            <w:noWrap/>
            <w:vAlign w:val="center"/>
            <w:hideMark/>
          </w:tcPr>
          <w:p w14:paraId="4B053938" w14:textId="77777777" w:rsidR="002D3CA7" w:rsidRPr="00C56257" w:rsidRDefault="002D3CA7" w:rsidP="008E33FD">
            <w:pPr>
              <w:jc w:val="both"/>
              <w:rPr>
                <w:color w:val="000000" w:themeColor="text1"/>
                <w:lang w:eastAsia="ro-RO"/>
              </w:rPr>
            </w:pPr>
            <w:r w:rsidRPr="00C56257">
              <w:rPr>
                <w:color w:val="000000" w:themeColor="text1"/>
                <w:lang w:eastAsia="ro-RO"/>
              </w:rPr>
              <w:t>2</w:t>
            </w:r>
          </w:p>
        </w:tc>
        <w:tc>
          <w:tcPr>
            <w:tcW w:w="985" w:type="pct"/>
            <w:tcBorders>
              <w:top w:val="nil"/>
              <w:left w:val="nil"/>
              <w:bottom w:val="single" w:sz="4" w:space="0" w:color="auto"/>
              <w:right w:val="single" w:sz="4" w:space="0" w:color="auto"/>
            </w:tcBorders>
            <w:shd w:val="clear" w:color="auto" w:fill="auto"/>
            <w:noWrap/>
            <w:vAlign w:val="center"/>
            <w:hideMark/>
          </w:tcPr>
          <w:p w14:paraId="2270F41F"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864" w:type="pct"/>
            <w:tcBorders>
              <w:top w:val="nil"/>
              <w:left w:val="nil"/>
              <w:bottom w:val="single" w:sz="4" w:space="0" w:color="auto"/>
              <w:right w:val="single" w:sz="4" w:space="0" w:color="auto"/>
            </w:tcBorders>
            <w:shd w:val="clear" w:color="auto" w:fill="auto"/>
            <w:noWrap/>
            <w:vAlign w:val="center"/>
            <w:hideMark/>
          </w:tcPr>
          <w:p w14:paraId="62521217"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1713" w:type="pct"/>
            <w:vMerge/>
            <w:tcBorders>
              <w:top w:val="nil"/>
              <w:left w:val="single" w:sz="4" w:space="0" w:color="auto"/>
              <w:bottom w:val="single" w:sz="4" w:space="0" w:color="auto"/>
              <w:right w:val="single" w:sz="4" w:space="0" w:color="auto"/>
            </w:tcBorders>
            <w:vAlign w:val="center"/>
            <w:hideMark/>
          </w:tcPr>
          <w:p w14:paraId="018CEB7A" w14:textId="77777777" w:rsidR="002D3CA7" w:rsidRPr="00C56257" w:rsidRDefault="002D3CA7" w:rsidP="008E33FD">
            <w:pPr>
              <w:jc w:val="both"/>
              <w:rPr>
                <w:color w:val="000000" w:themeColor="text1"/>
                <w:lang w:eastAsia="ro-RO"/>
              </w:rPr>
            </w:pPr>
          </w:p>
        </w:tc>
      </w:tr>
      <w:tr w:rsidR="00673EFE" w:rsidRPr="00C56257" w14:paraId="6FD8A597" w14:textId="77777777" w:rsidTr="002825C6">
        <w:trPr>
          <w:trHeight w:hRule="exact" w:val="283"/>
          <w:jc w:val="center"/>
        </w:trPr>
        <w:tc>
          <w:tcPr>
            <w:tcW w:w="806" w:type="pct"/>
            <w:tcBorders>
              <w:top w:val="nil"/>
              <w:left w:val="single" w:sz="4" w:space="0" w:color="auto"/>
              <w:bottom w:val="nil"/>
              <w:right w:val="single" w:sz="4" w:space="0" w:color="auto"/>
            </w:tcBorders>
            <w:shd w:val="clear" w:color="auto" w:fill="auto"/>
            <w:noWrap/>
            <w:vAlign w:val="center"/>
            <w:hideMark/>
          </w:tcPr>
          <w:p w14:paraId="26F71D15"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632" w:type="pct"/>
            <w:tcBorders>
              <w:top w:val="nil"/>
              <w:left w:val="nil"/>
              <w:bottom w:val="nil"/>
              <w:right w:val="single" w:sz="4" w:space="0" w:color="auto"/>
            </w:tcBorders>
            <w:shd w:val="clear" w:color="auto" w:fill="auto"/>
            <w:noWrap/>
            <w:vAlign w:val="center"/>
            <w:hideMark/>
          </w:tcPr>
          <w:p w14:paraId="71237FA9" w14:textId="77777777" w:rsidR="002D3CA7" w:rsidRPr="00C56257" w:rsidRDefault="002D3CA7" w:rsidP="008E33FD">
            <w:pPr>
              <w:jc w:val="both"/>
              <w:rPr>
                <w:color w:val="000000" w:themeColor="text1"/>
                <w:lang w:eastAsia="ro-RO"/>
              </w:rPr>
            </w:pPr>
            <w:r w:rsidRPr="00C56257">
              <w:rPr>
                <w:color w:val="000000" w:themeColor="text1"/>
                <w:lang w:eastAsia="ro-RO"/>
              </w:rPr>
              <w:t>3</w:t>
            </w:r>
          </w:p>
        </w:tc>
        <w:tc>
          <w:tcPr>
            <w:tcW w:w="985" w:type="pct"/>
            <w:tcBorders>
              <w:top w:val="nil"/>
              <w:left w:val="nil"/>
              <w:bottom w:val="nil"/>
              <w:right w:val="single" w:sz="4" w:space="0" w:color="auto"/>
            </w:tcBorders>
            <w:shd w:val="clear" w:color="auto" w:fill="auto"/>
            <w:noWrap/>
            <w:vAlign w:val="center"/>
            <w:hideMark/>
          </w:tcPr>
          <w:p w14:paraId="79E57475"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864" w:type="pct"/>
            <w:tcBorders>
              <w:top w:val="nil"/>
              <w:left w:val="nil"/>
              <w:bottom w:val="nil"/>
              <w:right w:val="nil"/>
            </w:tcBorders>
            <w:shd w:val="clear" w:color="auto" w:fill="auto"/>
            <w:noWrap/>
            <w:vAlign w:val="center"/>
            <w:hideMark/>
          </w:tcPr>
          <w:p w14:paraId="72B1B10D"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1713" w:type="pct"/>
            <w:vMerge w:val="restart"/>
            <w:tcBorders>
              <w:top w:val="nil"/>
              <w:left w:val="single" w:sz="4" w:space="0" w:color="auto"/>
              <w:bottom w:val="single" w:sz="4" w:space="0" w:color="000000"/>
              <w:right w:val="single" w:sz="4" w:space="0" w:color="auto"/>
            </w:tcBorders>
            <w:shd w:val="clear" w:color="auto" w:fill="auto"/>
            <w:vAlign w:val="center"/>
            <w:hideMark/>
          </w:tcPr>
          <w:p w14:paraId="25E22600" w14:textId="77777777" w:rsidR="002D3CA7" w:rsidRPr="00C56257" w:rsidRDefault="002D3CA7" w:rsidP="008E33FD">
            <w:pPr>
              <w:jc w:val="both"/>
              <w:rPr>
                <w:color w:val="000000" w:themeColor="text1"/>
                <w:lang w:eastAsia="ro-RO"/>
              </w:rPr>
            </w:pPr>
            <w:r w:rsidRPr="00C56257">
              <w:rPr>
                <w:color w:val="000000" w:themeColor="text1"/>
                <w:lang w:eastAsia="ro-RO"/>
              </w:rPr>
              <w:t>Stabilă</w:t>
            </w:r>
            <w:r w:rsidRPr="00C56257">
              <w:rPr>
                <w:color w:val="000000" w:themeColor="text1"/>
                <w:lang w:eastAsia="ro-RO"/>
              </w:rPr>
              <w:br/>
              <w:t>(</w:t>
            </w:r>
            <w:r w:rsidRPr="00C56257">
              <w:rPr>
                <w:i/>
                <w:iCs/>
                <w:color w:val="000000" w:themeColor="text1"/>
                <w:lang w:eastAsia="ro-RO"/>
              </w:rPr>
              <w:t>Doar tendințe stabile sau tendințele stabile și tendințele îmbunătățite domină)</w:t>
            </w:r>
            <w:r w:rsidRPr="00C56257">
              <w:rPr>
                <w:i/>
                <w:iCs/>
                <w:color w:val="000000" w:themeColor="text1"/>
                <w:lang w:eastAsia="ro-RO"/>
              </w:rPr>
              <w:br/>
            </w:r>
          </w:p>
        </w:tc>
      </w:tr>
      <w:tr w:rsidR="00673EFE" w:rsidRPr="00C56257" w14:paraId="3A9E979C" w14:textId="77777777" w:rsidTr="002825C6">
        <w:trPr>
          <w:trHeight w:hRule="exact" w:val="283"/>
          <w:jc w:val="center"/>
        </w:trPr>
        <w:tc>
          <w:tcPr>
            <w:tcW w:w="806" w:type="pct"/>
            <w:tcBorders>
              <w:top w:val="nil"/>
              <w:left w:val="single" w:sz="4" w:space="0" w:color="auto"/>
              <w:bottom w:val="nil"/>
              <w:right w:val="single" w:sz="4" w:space="0" w:color="auto"/>
            </w:tcBorders>
            <w:shd w:val="clear" w:color="auto" w:fill="auto"/>
            <w:noWrap/>
            <w:vAlign w:val="center"/>
            <w:hideMark/>
          </w:tcPr>
          <w:p w14:paraId="655578A8" w14:textId="77777777" w:rsidR="002D3CA7" w:rsidRPr="00C56257" w:rsidRDefault="002D3CA7" w:rsidP="008E33FD">
            <w:pPr>
              <w:jc w:val="both"/>
              <w:rPr>
                <w:color w:val="000000" w:themeColor="text1"/>
                <w:lang w:eastAsia="ro-RO"/>
              </w:rPr>
            </w:pPr>
            <w:r w:rsidRPr="00C56257">
              <w:rPr>
                <w:color w:val="000000" w:themeColor="text1"/>
                <w:lang w:eastAsia="ro-RO"/>
              </w:rPr>
              <w:t>2</w:t>
            </w:r>
          </w:p>
        </w:tc>
        <w:tc>
          <w:tcPr>
            <w:tcW w:w="632" w:type="pct"/>
            <w:tcBorders>
              <w:top w:val="nil"/>
              <w:left w:val="nil"/>
              <w:bottom w:val="nil"/>
              <w:right w:val="single" w:sz="4" w:space="0" w:color="auto"/>
            </w:tcBorders>
            <w:shd w:val="clear" w:color="auto" w:fill="auto"/>
            <w:noWrap/>
            <w:vAlign w:val="center"/>
            <w:hideMark/>
          </w:tcPr>
          <w:p w14:paraId="1B02A6F7"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985" w:type="pct"/>
            <w:tcBorders>
              <w:top w:val="nil"/>
              <w:left w:val="nil"/>
              <w:bottom w:val="nil"/>
              <w:right w:val="single" w:sz="4" w:space="0" w:color="auto"/>
            </w:tcBorders>
            <w:shd w:val="clear" w:color="auto" w:fill="auto"/>
            <w:noWrap/>
            <w:vAlign w:val="center"/>
            <w:hideMark/>
          </w:tcPr>
          <w:p w14:paraId="4FCC14B7"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864" w:type="pct"/>
            <w:tcBorders>
              <w:top w:val="nil"/>
              <w:left w:val="nil"/>
              <w:bottom w:val="nil"/>
              <w:right w:val="nil"/>
            </w:tcBorders>
            <w:shd w:val="clear" w:color="auto" w:fill="auto"/>
            <w:noWrap/>
            <w:vAlign w:val="center"/>
            <w:hideMark/>
          </w:tcPr>
          <w:p w14:paraId="63439927"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1713" w:type="pct"/>
            <w:vMerge/>
            <w:tcBorders>
              <w:top w:val="nil"/>
              <w:left w:val="single" w:sz="4" w:space="0" w:color="auto"/>
              <w:bottom w:val="single" w:sz="4" w:space="0" w:color="000000"/>
              <w:right w:val="single" w:sz="4" w:space="0" w:color="auto"/>
            </w:tcBorders>
            <w:vAlign w:val="center"/>
            <w:hideMark/>
          </w:tcPr>
          <w:p w14:paraId="335763DB" w14:textId="77777777" w:rsidR="002D3CA7" w:rsidRPr="00C56257" w:rsidRDefault="002D3CA7" w:rsidP="008E33FD">
            <w:pPr>
              <w:jc w:val="both"/>
              <w:rPr>
                <w:color w:val="000000" w:themeColor="text1"/>
                <w:lang w:eastAsia="ro-RO"/>
              </w:rPr>
            </w:pPr>
          </w:p>
        </w:tc>
      </w:tr>
      <w:tr w:rsidR="00673EFE" w:rsidRPr="00C56257" w14:paraId="37E1FE2B" w14:textId="77777777" w:rsidTr="002825C6">
        <w:trPr>
          <w:trHeight w:hRule="exact" w:val="283"/>
          <w:jc w:val="center"/>
        </w:trPr>
        <w:tc>
          <w:tcPr>
            <w:tcW w:w="806" w:type="pct"/>
            <w:tcBorders>
              <w:top w:val="nil"/>
              <w:left w:val="single" w:sz="4" w:space="0" w:color="auto"/>
              <w:bottom w:val="nil"/>
              <w:right w:val="single" w:sz="4" w:space="0" w:color="auto"/>
            </w:tcBorders>
            <w:shd w:val="clear" w:color="auto" w:fill="auto"/>
            <w:noWrap/>
            <w:vAlign w:val="center"/>
            <w:hideMark/>
          </w:tcPr>
          <w:p w14:paraId="712B0759" w14:textId="77777777" w:rsidR="002D3CA7" w:rsidRPr="00C56257" w:rsidRDefault="002D3CA7" w:rsidP="008E33FD">
            <w:pPr>
              <w:jc w:val="both"/>
              <w:rPr>
                <w:color w:val="000000" w:themeColor="text1"/>
                <w:lang w:eastAsia="ro-RO"/>
              </w:rPr>
            </w:pPr>
            <w:r w:rsidRPr="00C56257">
              <w:rPr>
                <w:color w:val="000000" w:themeColor="text1"/>
                <w:lang w:eastAsia="ro-RO"/>
              </w:rPr>
              <w:t>2</w:t>
            </w:r>
          </w:p>
        </w:tc>
        <w:tc>
          <w:tcPr>
            <w:tcW w:w="632" w:type="pct"/>
            <w:tcBorders>
              <w:top w:val="nil"/>
              <w:left w:val="nil"/>
              <w:bottom w:val="nil"/>
              <w:right w:val="single" w:sz="4" w:space="0" w:color="auto"/>
            </w:tcBorders>
            <w:shd w:val="clear" w:color="auto" w:fill="auto"/>
            <w:noWrap/>
            <w:vAlign w:val="center"/>
            <w:hideMark/>
          </w:tcPr>
          <w:p w14:paraId="1AC5CCB5"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985" w:type="pct"/>
            <w:tcBorders>
              <w:top w:val="nil"/>
              <w:left w:val="nil"/>
              <w:bottom w:val="nil"/>
              <w:right w:val="single" w:sz="4" w:space="0" w:color="auto"/>
            </w:tcBorders>
            <w:shd w:val="clear" w:color="auto" w:fill="auto"/>
            <w:noWrap/>
            <w:vAlign w:val="center"/>
            <w:hideMark/>
          </w:tcPr>
          <w:p w14:paraId="314AFA78"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864" w:type="pct"/>
            <w:tcBorders>
              <w:top w:val="nil"/>
              <w:left w:val="nil"/>
              <w:bottom w:val="nil"/>
              <w:right w:val="nil"/>
            </w:tcBorders>
            <w:shd w:val="clear" w:color="auto" w:fill="auto"/>
            <w:noWrap/>
            <w:vAlign w:val="center"/>
            <w:hideMark/>
          </w:tcPr>
          <w:p w14:paraId="2477A8B5"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1713" w:type="pct"/>
            <w:vMerge/>
            <w:tcBorders>
              <w:top w:val="nil"/>
              <w:left w:val="single" w:sz="4" w:space="0" w:color="auto"/>
              <w:bottom w:val="single" w:sz="4" w:space="0" w:color="000000"/>
              <w:right w:val="single" w:sz="4" w:space="0" w:color="auto"/>
            </w:tcBorders>
            <w:vAlign w:val="center"/>
            <w:hideMark/>
          </w:tcPr>
          <w:p w14:paraId="1D8FFCCD" w14:textId="77777777" w:rsidR="002D3CA7" w:rsidRPr="00C56257" w:rsidRDefault="002D3CA7" w:rsidP="008E33FD">
            <w:pPr>
              <w:jc w:val="both"/>
              <w:rPr>
                <w:color w:val="000000" w:themeColor="text1"/>
                <w:lang w:eastAsia="ro-RO"/>
              </w:rPr>
            </w:pPr>
          </w:p>
        </w:tc>
      </w:tr>
      <w:tr w:rsidR="00673EFE" w:rsidRPr="00C56257" w14:paraId="1752FBCC" w14:textId="77777777" w:rsidTr="002825C6">
        <w:trPr>
          <w:trHeight w:hRule="exact" w:val="283"/>
          <w:jc w:val="center"/>
        </w:trPr>
        <w:tc>
          <w:tcPr>
            <w:tcW w:w="806" w:type="pct"/>
            <w:tcBorders>
              <w:top w:val="nil"/>
              <w:left w:val="single" w:sz="4" w:space="0" w:color="auto"/>
              <w:right w:val="single" w:sz="4" w:space="0" w:color="auto"/>
            </w:tcBorders>
            <w:shd w:val="clear" w:color="auto" w:fill="auto"/>
            <w:noWrap/>
            <w:vAlign w:val="center"/>
            <w:hideMark/>
          </w:tcPr>
          <w:p w14:paraId="73E08C36"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632" w:type="pct"/>
            <w:tcBorders>
              <w:top w:val="nil"/>
              <w:left w:val="nil"/>
              <w:right w:val="single" w:sz="4" w:space="0" w:color="auto"/>
            </w:tcBorders>
            <w:shd w:val="clear" w:color="auto" w:fill="auto"/>
            <w:noWrap/>
            <w:vAlign w:val="center"/>
            <w:hideMark/>
          </w:tcPr>
          <w:p w14:paraId="086FF698"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985" w:type="pct"/>
            <w:tcBorders>
              <w:top w:val="nil"/>
              <w:left w:val="nil"/>
              <w:right w:val="single" w:sz="4" w:space="0" w:color="auto"/>
            </w:tcBorders>
            <w:shd w:val="clear" w:color="auto" w:fill="auto"/>
            <w:noWrap/>
            <w:vAlign w:val="center"/>
            <w:hideMark/>
          </w:tcPr>
          <w:p w14:paraId="4A53EC2D" w14:textId="77777777" w:rsidR="002D3CA7" w:rsidRPr="00C56257" w:rsidRDefault="002D3CA7" w:rsidP="008E33FD">
            <w:pPr>
              <w:jc w:val="both"/>
              <w:rPr>
                <w:color w:val="000000" w:themeColor="text1"/>
                <w:lang w:eastAsia="ro-RO"/>
              </w:rPr>
            </w:pPr>
            <w:r w:rsidRPr="00C56257">
              <w:rPr>
                <w:color w:val="000000" w:themeColor="text1"/>
                <w:lang w:eastAsia="ro-RO"/>
              </w:rPr>
              <w:t>1</w:t>
            </w:r>
            <w:r w:rsidRPr="00C56257">
              <w:rPr>
                <w:color w:val="000000" w:themeColor="text1"/>
                <w:vertAlign w:val="superscript"/>
                <w:lang w:eastAsia="ro-RO"/>
              </w:rPr>
              <w:t>*</w:t>
            </w:r>
          </w:p>
        </w:tc>
        <w:tc>
          <w:tcPr>
            <w:tcW w:w="864" w:type="pct"/>
            <w:tcBorders>
              <w:top w:val="nil"/>
              <w:left w:val="nil"/>
              <w:right w:val="nil"/>
            </w:tcBorders>
            <w:shd w:val="clear" w:color="auto" w:fill="auto"/>
            <w:noWrap/>
            <w:vAlign w:val="center"/>
            <w:hideMark/>
          </w:tcPr>
          <w:p w14:paraId="109854B7"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1713" w:type="pct"/>
            <w:vMerge/>
            <w:tcBorders>
              <w:top w:val="nil"/>
              <w:left w:val="single" w:sz="4" w:space="0" w:color="auto"/>
              <w:bottom w:val="single" w:sz="4" w:space="0" w:color="000000"/>
              <w:right w:val="single" w:sz="4" w:space="0" w:color="auto"/>
            </w:tcBorders>
            <w:vAlign w:val="center"/>
            <w:hideMark/>
          </w:tcPr>
          <w:p w14:paraId="3EF6A634" w14:textId="77777777" w:rsidR="002D3CA7" w:rsidRPr="00C56257" w:rsidRDefault="002D3CA7" w:rsidP="008E33FD">
            <w:pPr>
              <w:jc w:val="both"/>
              <w:rPr>
                <w:color w:val="000000" w:themeColor="text1"/>
                <w:lang w:eastAsia="ro-RO"/>
              </w:rPr>
            </w:pPr>
          </w:p>
        </w:tc>
      </w:tr>
      <w:tr w:rsidR="00673EFE" w:rsidRPr="00C56257" w14:paraId="241A7F33" w14:textId="77777777" w:rsidTr="002825C6">
        <w:trPr>
          <w:trHeight w:hRule="exact" w:val="283"/>
          <w:jc w:val="center"/>
        </w:trPr>
        <w:tc>
          <w:tcPr>
            <w:tcW w:w="806" w:type="pct"/>
            <w:tcBorders>
              <w:top w:val="nil"/>
              <w:left w:val="single" w:sz="4" w:space="0" w:color="auto"/>
              <w:bottom w:val="single" w:sz="2" w:space="0" w:color="000000" w:themeColor="text1"/>
              <w:right w:val="single" w:sz="4" w:space="0" w:color="auto"/>
            </w:tcBorders>
            <w:shd w:val="clear" w:color="auto" w:fill="auto"/>
            <w:noWrap/>
            <w:vAlign w:val="center"/>
            <w:hideMark/>
          </w:tcPr>
          <w:p w14:paraId="659291F4"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632" w:type="pct"/>
            <w:tcBorders>
              <w:top w:val="nil"/>
              <w:left w:val="nil"/>
              <w:bottom w:val="single" w:sz="2" w:space="0" w:color="000000" w:themeColor="text1"/>
              <w:right w:val="single" w:sz="4" w:space="0" w:color="auto"/>
            </w:tcBorders>
            <w:shd w:val="clear" w:color="auto" w:fill="auto"/>
            <w:noWrap/>
            <w:vAlign w:val="center"/>
            <w:hideMark/>
          </w:tcPr>
          <w:p w14:paraId="42F63D78"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985" w:type="pct"/>
            <w:tcBorders>
              <w:top w:val="nil"/>
              <w:left w:val="nil"/>
              <w:bottom w:val="single" w:sz="2" w:space="0" w:color="000000" w:themeColor="text1"/>
              <w:right w:val="single" w:sz="4" w:space="0" w:color="auto"/>
            </w:tcBorders>
            <w:shd w:val="clear" w:color="auto" w:fill="auto"/>
            <w:noWrap/>
            <w:vAlign w:val="center"/>
            <w:hideMark/>
          </w:tcPr>
          <w:p w14:paraId="7BA0F9C9"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864" w:type="pct"/>
            <w:tcBorders>
              <w:top w:val="nil"/>
              <w:left w:val="nil"/>
              <w:bottom w:val="single" w:sz="2" w:space="0" w:color="000000" w:themeColor="text1"/>
              <w:right w:val="nil"/>
            </w:tcBorders>
            <w:shd w:val="clear" w:color="auto" w:fill="auto"/>
            <w:noWrap/>
            <w:vAlign w:val="center"/>
            <w:hideMark/>
          </w:tcPr>
          <w:p w14:paraId="699B8203"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1713" w:type="pct"/>
            <w:vMerge/>
            <w:tcBorders>
              <w:top w:val="nil"/>
              <w:left w:val="single" w:sz="4" w:space="0" w:color="auto"/>
              <w:bottom w:val="single" w:sz="4" w:space="0" w:color="000000"/>
              <w:right w:val="single" w:sz="4" w:space="0" w:color="auto"/>
            </w:tcBorders>
            <w:vAlign w:val="center"/>
            <w:hideMark/>
          </w:tcPr>
          <w:p w14:paraId="0DD79FCF" w14:textId="77777777" w:rsidR="002D3CA7" w:rsidRPr="00C56257" w:rsidRDefault="002D3CA7" w:rsidP="008E33FD">
            <w:pPr>
              <w:jc w:val="both"/>
              <w:rPr>
                <w:color w:val="000000" w:themeColor="text1"/>
                <w:lang w:eastAsia="ro-RO"/>
              </w:rPr>
            </w:pPr>
          </w:p>
        </w:tc>
      </w:tr>
      <w:tr w:rsidR="00673EFE" w:rsidRPr="00C56257" w14:paraId="4FAA54DA" w14:textId="77777777" w:rsidTr="002825C6">
        <w:trPr>
          <w:trHeight w:hRule="exact" w:val="227"/>
          <w:jc w:val="center"/>
        </w:trPr>
        <w:tc>
          <w:tcPr>
            <w:tcW w:w="806" w:type="pct"/>
            <w:tcBorders>
              <w:top w:val="nil"/>
              <w:left w:val="single" w:sz="4" w:space="0" w:color="auto"/>
              <w:bottom w:val="nil"/>
              <w:right w:val="single" w:sz="4" w:space="0" w:color="auto"/>
            </w:tcBorders>
            <w:shd w:val="clear" w:color="auto" w:fill="auto"/>
            <w:noWrap/>
            <w:vAlign w:val="center"/>
            <w:hideMark/>
          </w:tcPr>
          <w:p w14:paraId="278E8771"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632" w:type="pct"/>
            <w:tcBorders>
              <w:top w:val="nil"/>
              <w:left w:val="nil"/>
              <w:bottom w:val="nil"/>
              <w:right w:val="single" w:sz="4" w:space="0" w:color="auto"/>
            </w:tcBorders>
            <w:shd w:val="clear" w:color="auto" w:fill="auto"/>
            <w:noWrap/>
            <w:vAlign w:val="center"/>
            <w:hideMark/>
          </w:tcPr>
          <w:p w14:paraId="21EED192"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985" w:type="pct"/>
            <w:tcBorders>
              <w:top w:val="nil"/>
              <w:left w:val="nil"/>
              <w:bottom w:val="nil"/>
              <w:right w:val="single" w:sz="4" w:space="0" w:color="auto"/>
            </w:tcBorders>
            <w:shd w:val="clear" w:color="auto" w:fill="auto"/>
            <w:noWrap/>
            <w:vAlign w:val="center"/>
            <w:hideMark/>
          </w:tcPr>
          <w:p w14:paraId="61EA8782" w14:textId="77777777" w:rsidR="002D3CA7" w:rsidRPr="00C56257" w:rsidRDefault="002D3CA7" w:rsidP="008E33FD">
            <w:pPr>
              <w:jc w:val="both"/>
              <w:rPr>
                <w:color w:val="000000" w:themeColor="text1"/>
                <w:lang w:eastAsia="ro-RO"/>
              </w:rPr>
            </w:pPr>
            <w:r w:rsidRPr="00C56257">
              <w:rPr>
                <w:color w:val="000000" w:themeColor="text1"/>
                <w:lang w:eastAsia="ro-RO"/>
              </w:rPr>
              <w:t>3</w:t>
            </w:r>
          </w:p>
        </w:tc>
        <w:tc>
          <w:tcPr>
            <w:tcW w:w="864" w:type="pct"/>
            <w:tcBorders>
              <w:top w:val="nil"/>
              <w:left w:val="nil"/>
              <w:bottom w:val="nil"/>
              <w:right w:val="single" w:sz="4" w:space="0" w:color="auto"/>
            </w:tcBorders>
            <w:shd w:val="clear" w:color="auto" w:fill="auto"/>
            <w:noWrap/>
            <w:vAlign w:val="center"/>
            <w:hideMark/>
          </w:tcPr>
          <w:p w14:paraId="7D5D6C47"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1713" w:type="pct"/>
            <w:vMerge w:val="restart"/>
            <w:tcBorders>
              <w:top w:val="nil"/>
              <w:left w:val="single" w:sz="4" w:space="0" w:color="auto"/>
              <w:bottom w:val="single" w:sz="4" w:space="0" w:color="000000"/>
              <w:right w:val="single" w:sz="4" w:space="0" w:color="auto"/>
            </w:tcBorders>
            <w:shd w:val="clear" w:color="auto" w:fill="auto"/>
            <w:vAlign w:val="center"/>
            <w:hideMark/>
          </w:tcPr>
          <w:p w14:paraId="040FC8C6" w14:textId="77777777" w:rsidR="002D3CA7" w:rsidRPr="00C56257" w:rsidRDefault="002D3CA7" w:rsidP="008E33FD">
            <w:pPr>
              <w:jc w:val="both"/>
              <w:rPr>
                <w:color w:val="000000" w:themeColor="text1"/>
                <w:lang w:eastAsia="ro-RO"/>
              </w:rPr>
            </w:pPr>
            <w:r w:rsidRPr="00C56257">
              <w:rPr>
                <w:color w:val="000000" w:themeColor="text1"/>
                <w:lang w:eastAsia="ro-RO"/>
              </w:rPr>
              <w:t>Deteriorată</w:t>
            </w:r>
          </w:p>
          <w:p w14:paraId="6C95F379" w14:textId="77777777" w:rsidR="002D3CA7" w:rsidRPr="00C56257" w:rsidRDefault="002D3CA7" w:rsidP="008E33FD">
            <w:pPr>
              <w:jc w:val="both"/>
              <w:rPr>
                <w:color w:val="000000" w:themeColor="text1"/>
                <w:lang w:eastAsia="ro-RO"/>
              </w:rPr>
            </w:pPr>
            <w:r w:rsidRPr="00C56257">
              <w:rPr>
                <w:color w:val="000000" w:themeColor="text1"/>
                <w:lang w:eastAsia="ro-RO"/>
              </w:rPr>
              <w:t>(</w:t>
            </w:r>
            <w:r w:rsidRPr="00C56257">
              <w:rPr>
                <w:i/>
                <w:iCs/>
                <w:color w:val="000000" w:themeColor="text1"/>
                <w:lang w:eastAsia="ro-RO"/>
              </w:rPr>
              <w:t>Domină tendințele în descreștere)</w:t>
            </w:r>
            <w:r w:rsidRPr="00C56257">
              <w:rPr>
                <w:i/>
                <w:iCs/>
                <w:color w:val="000000" w:themeColor="text1"/>
                <w:lang w:eastAsia="ro-RO"/>
              </w:rPr>
              <w:br/>
            </w:r>
          </w:p>
        </w:tc>
      </w:tr>
      <w:tr w:rsidR="00673EFE" w:rsidRPr="00C56257" w14:paraId="6C3E3364" w14:textId="77777777" w:rsidTr="002825C6">
        <w:trPr>
          <w:trHeight w:hRule="exact" w:val="227"/>
          <w:jc w:val="center"/>
        </w:trPr>
        <w:tc>
          <w:tcPr>
            <w:tcW w:w="806" w:type="pct"/>
            <w:tcBorders>
              <w:top w:val="nil"/>
              <w:left w:val="single" w:sz="4" w:space="0" w:color="auto"/>
              <w:bottom w:val="nil"/>
              <w:right w:val="single" w:sz="4" w:space="0" w:color="auto"/>
            </w:tcBorders>
            <w:shd w:val="clear" w:color="auto" w:fill="auto"/>
            <w:noWrap/>
            <w:vAlign w:val="center"/>
            <w:hideMark/>
          </w:tcPr>
          <w:p w14:paraId="54861E9D"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632" w:type="pct"/>
            <w:tcBorders>
              <w:top w:val="nil"/>
              <w:left w:val="nil"/>
              <w:bottom w:val="nil"/>
              <w:right w:val="single" w:sz="4" w:space="0" w:color="auto"/>
            </w:tcBorders>
            <w:shd w:val="clear" w:color="auto" w:fill="auto"/>
            <w:noWrap/>
            <w:vAlign w:val="center"/>
            <w:hideMark/>
          </w:tcPr>
          <w:p w14:paraId="38514AB2"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985" w:type="pct"/>
            <w:tcBorders>
              <w:top w:val="nil"/>
              <w:left w:val="nil"/>
              <w:bottom w:val="nil"/>
              <w:right w:val="single" w:sz="4" w:space="0" w:color="auto"/>
            </w:tcBorders>
            <w:shd w:val="clear" w:color="auto" w:fill="auto"/>
            <w:noWrap/>
            <w:vAlign w:val="center"/>
            <w:hideMark/>
          </w:tcPr>
          <w:p w14:paraId="21AB6A74" w14:textId="77777777" w:rsidR="002D3CA7" w:rsidRPr="00C56257" w:rsidRDefault="002D3CA7" w:rsidP="008E33FD">
            <w:pPr>
              <w:jc w:val="both"/>
              <w:rPr>
                <w:color w:val="000000" w:themeColor="text1"/>
                <w:lang w:eastAsia="ro-RO"/>
              </w:rPr>
            </w:pPr>
            <w:r w:rsidRPr="00C56257">
              <w:rPr>
                <w:color w:val="000000" w:themeColor="text1"/>
                <w:lang w:eastAsia="ro-RO"/>
              </w:rPr>
              <w:t>2</w:t>
            </w:r>
          </w:p>
        </w:tc>
        <w:tc>
          <w:tcPr>
            <w:tcW w:w="864" w:type="pct"/>
            <w:tcBorders>
              <w:top w:val="nil"/>
              <w:left w:val="nil"/>
              <w:bottom w:val="nil"/>
              <w:right w:val="single" w:sz="4" w:space="0" w:color="auto"/>
            </w:tcBorders>
            <w:shd w:val="clear" w:color="auto" w:fill="auto"/>
            <w:noWrap/>
            <w:vAlign w:val="center"/>
            <w:hideMark/>
          </w:tcPr>
          <w:p w14:paraId="481FAB2C"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1713" w:type="pct"/>
            <w:vMerge/>
            <w:tcBorders>
              <w:top w:val="nil"/>
              <w:left w:val="single" w:sz="4" w:space="0" w:color="auto"/>
              <w:bottom w:val="single" w:sz="4" w:space="0" w:color="000000"/>
              <w:right w:val="single" w:sz="4" w:space="0" w:color="auto"/>
            </w:tcBorders>
            <w:vAlign w:val="center"/>
            <w:hideMark/>
          </w:tcPr>
          <w:p w14:paraId="01F69852" w14:textId="77777777" w:rsidR="002D3CA7" w:rsidRPr="00C56257" w:rsidRDefault="002D3CA7" w:rsidP="008E33FD">
            <w:pPr>
              <w:jc w:val="both"/>
              <w:rPr>
                <w:color w:val="000000" w:themeColor="text1"/>
                <w:lang w:eastAsia="ro-RO"/>
              </w:rPr>
            </w:pPr>
          </w:p>
        </w:tc>
      </w:tr>
      <w:tr w:rsidR="00673EFE" w:rsidRPr="00C56257" w14:paraId="135CFE4F" w14:textId="77777777" w:rsidTr="002825C6">
        <w:trPr>
          <w:trHeight w:hRule="exact" w:val="227"/>
          <w:jc w:val="center"/>
        </w:trPr>
        <w:tc>
          <w:tcPr>
            <w:tcW w:w="806" w:type="pct"/>
            <w:tcBorders>
              <w:top w:val="nil"/>
              <w:left w:val="single" w:sz="4" w:space="0" w:color="auto"/>
              <w:bottom w:val="nil"/>
              <w:right w:val="single" w:sz="4" w:space="0" w:color="auto"/>
            </w:tcBorders>
            <w:shd w:val="clear" w:color="auto" w:fill="auto"/>
            <w:noWrap/>
            <w:vAlign w:val="center"/>
            <w:hideMark/>
          </w:tcPr>
          <w:p w14:paraId="2946669D"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632" w:type="pct"/>
            <w:tcBorders>
              <w:top w:val="nil"/>
              <w:left w:val="nil"/>
              <w:bottom w:val="nil"/>
              <w:right w:val="single" w:sz="4" w:space="0" w:color="auto"/>
            </w:tcBorders>
            <w:shd w:val="clear" w:color="auto" w:fill="auto"/>
            <w:noWrap/>
            <w:vAlign w:val="center"/>
            <w:hideMark/>
          </w:tcPr>
          <w:p w14:paraId="0CDB5301"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985" w:type="pct"/>
            <w:tcBorders>
              <w:top w:val="nil"/>
              <w:left w:val="nil"/>
              <w:bottom w:val="nil"/>
              <w:right w:val="single" w:sz="4" w:space="0" w:color="auto"/>
            </w:tcBorders>
            <w:shd w:val="clear" w:color="auto" w:fill="auto"/>
            <w:noWrap/>
            <w:vAlign w:val="center"/>
            <w:hideMark/>
          </w:tcPr>
          <w:p w14:paraId="550C0928" w14:textId="77777777" w:rsidR="002D3CA7" w:rsidRPr="00C56257" w:rsidRDefault="002D3CA7" w:rsidP="008E33FD">
            <w:pPr>
              <w:jc w:val="both"/>
              <w:rPr>
                <w:color w:val="000000" w:themeColor="text1"/>
                <w:lang w:eastAsia="ro-RO"/>
              </w:rPr>
            </w:pPr>
            <w:r w:rsidRPr="00C56257">
              <w:rPr>
                <w:color w:val="000000" w:themeColor="text1"/>
                <w:lang w:eastAsia="ro-RO"/>
              </w:rPr>
              <w:t>2</w:t>
            </w:r>
          </w:p>
        </w:tc>
        <w:tc>
          <w:tcPr>
            <w:tcW w:w="864" w:type="pct"/>
            <w:tcBorders>
              <w:top w:val="nil"/>
              <w:left w:val="nil"/>
              <w:bottom w:val="nil"/>
              <w:right w:val="single" w:sz="4" w:space="0" w:color="auto"/>
            </w:tcBorders>
            <w:shd w:val="clear" w:color="auto" w:fill="auto"/>
            <w:noWrap/>
            <w:vAlign w:val="center"/>
            <w:hideMark/>
          </w:tcPr>
          <w:p w14:paraId="49C81B6C"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1713" w:type="pct"/>
            <w:vMerge/>
            <w:tcBorders>
              <w:top w:val="nil"/>
              <w:left w:val="single" w:sz="4" w:space="0" w:color="auto"/>
              <w:bottom w:val="single" w:sz="4" w:space="0" w:color="000000"/>
              <w:right w:val="single" w:sz="4" w:space="0" w:color="auto"/>
            </w:tcBorders>
            <w:vAlign w:val="center"/>
            <w:hideMark/>
          </w:tcPr>
          <w:p w14:paraId="1CD0DA8C" w14:textId="77777777" w:rsidR="002D3CA7" w:rsidRPr="00C56257" w:rsidRDefault="002D3CA7" w:rsidP="008E33FD">
            <w:pPr>
              <w:jc w:val="both"/>
              <w:rPr>
                <w:color w:val="000000" w:themeColor="text1"/>
                <w:lang w:eastAsia="ro-RO"/>
              </w:rPr>
            </w:pPr>
          </w:p>
        </w:tc>
      </w:tr>
      <w:tr w:rsidR="00673EFE" w:rsidRPr="00C56257" w14:paraId="5CD7C885" w14:textId="77777777" w:rsidTr="002825C6">
        <w:trPr>
          <w:trHeight w:hRule="exact" w:val="227"/>
          <w:jc w:val="center"/>
        </w:trPr>
        <w:tc>
          <w:tcPr>
            <w:tcW w:w="806" w:type="pct"/>
            <w:tcBorders>
              <w:top w:val="nil"/>
              <w:left w:val="single" w:sz="4" w:space="0" w:color="auto"/>
              <w:bottom w:val="nil"/>
              <w:right w:val="single" w:sz="4" w:space="0" w:color="auto"/>
            </w:tcBorders>
            <w:shd w:val="clear" w:color="auto" w:fill="auto"/>
            <w:noWrap/>
            <w:vAlign w:val="center"/>
            <w:hideMark/>
          </w:tcPr>
          <w:p w14:paraId="7194E12E"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632" w:type="pct"/>
            <w:tcBorders>
              <w:top w:val="nil"/>
              <w:left w:val="nil"/>
              <w:bottom w:val="nil"/>
              <w:right w:val="single" w:sz="4" w:space="0" w:color="auto"/>
            </w:tcBorders>
            <w:shd w:val="clear" w:color="auto" w:fill="auto"/>
            <w:noWrap/>
            <w:vAlign w:val="center"/>
            <w:hideMark/>
          </w:tcPr>
          <w:p w14:paraId="778FA2A9"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985" w:type="pct"/>
            <w:tcBorders>
              <w:top w:val="nil"/>
              <w:left w:val="nil"/>
              <w:bottom w:val="nil"/>
              <w:right w:val="single" w:sz="4" w:space="0" w:color="auto"/>
            </w:tcBorders>
            <w:shd w:val="clear" w:color="auto" w:fill="auto"/>
            <w:noWrap/>
            <w:vAlign w:val="center"/>
            <w:hideMark/>
          </w:tcPr>
          <w:p w14:paraId="5C601E76" w14:textId="77777777" w:rsidR="002D3CA7" w:rsidRPr="00C56257" w:rsidRDefault="002D3CA7" w:rsidP="008E33FD">
            <w:pPr>
              <w:jc w:val="both"/>
              <w:rPr>
                <w:color w:val="000000" w:themeColor="text1"/>
                <w:lang w:eastAsia="ro-RO"/>
              </w:rPr>
            </w:pPr>
            <w:r w:rsidRPr="00C56257">
              <w:rPr>
                <w:color w:val="000000" w:themeColor="text1"/>
                <w:lang w:eastAsia="ro-RO"/>
              </w:rPr>
              <w:t>2</w:t>
            </w:r>
          </w:p>
        </w:tc>
        <w:tc>
          <w:tcPr>
            <w:tcW w:w="864" w:type="pct"/>
            <w:tcBorders>
              <w:top w:val="nil"/>
              <w:left w:val="nil"/>
              <w:bottom w:val="nil"/>
              <w:right w:val="single" w:sz="4" w:space="0" w:color="auto"/>
            </w:tcBorders>
            <w:shd w:val="clear" w:color="auto" w:fill="auto"/>
            <w:noWrap/>
            <w:vAlign w:val="center"/>
            <w:hideMark/>
          </w:tcPr>
          <w:p w14:paraId="6E7D7273"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1713" w:type="pct"/>
            <w:vMerge/>
            <w:tcBorders>
              <w:top w:val="nil"/>
              <w:left w:val="single" w:sz="4" w:space="0" w:color="auto"/>
              <w:bottom w:val="single" w:sz="4" w:space="0" w:color="000000"/>
              <w:right w:val="single" w:sz="4" w:space="0" w:color="auto"/>
            </w:tcBorders>
            <w:vAlign w:val="center"/>
            <w:hideMark/>
          </w:tcPr>
          <w:p w14:paraId="5D9CA0F5" w14:textId="77777777" w:rsidR="002D3CA7" w:rsidRPr="00C56257" w:rsidRDefault="002D3CA7" w:rsidP="008E33FD">
            <w:pPr>
              <w:jc w:val="both"/>
              <w:rPr>
                <w:color w:val="000000" w:themeColor="text1"/>
                <w:lang w:eastAsia="ro-RO"/>
              </w:rPr>
            </w:pPr>
          </w:p>
        </w:tc>
      </w:tr>
      <w:tr w:rsidR="00673EFE" w:rsidRPr="00C56257" w14:paraId="6A67FE25" w14:textId="77777777" w:rsidTr="002825C6">
        <w:trPr>
          <w:trHeight w:hRule="exact" w:val="227"/>
          <w:jc w:val="center"/>
        </w:trPr>
        <w:tc>
          <w:tcPr>
            <w:tcW w:w="806" w:type="pct"/>
            <w:tcBorders>
              <w:top w:val="nil"/>
              <w:left w:val="single" w:sz="4" w:space="0" w:color="auto"/>
              <w:bottom w:val="nil"/>
              <w:right w:val="single" w:sz="4" w:space="0" w:color="auto"/>
            </w:tcBorders>
            <w:shd w:val="clear" w:color="auto" w:fill="auto"/>
            <w:noWrap/>
            <w:vAlign w:val="center"/>
            <w:hideMark/>
          </w:tcPr>
          <w:p w14:paraId="5D347746"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632" w:type="pct"/>
            <w:tcBorders>
              <w:top w:val="nil"/>
              <w:left w:val="nil"/>
              <w:bottom w:val="nil"/>
              <w:right w:val="single" w:sz="4" w:space="0" w:color="auto"/>
            </w:tcBorders>
            <w:shd w:val="clear" w:color="auto" w:fill="auto"/>
            <w:noWrap/>
            <w:vAlign w:val="center"/>
            <w:hideMark/>
          </w:tcPr>
          <w:p w14:paraId="40D093EB" w14:textId="77777777" w:rsidR="002D3CA7" w:rsidRPr="00C56257" w:rsidRDefault="002D3CA7" w:rsidP="008E33FD">
            <w:pPr>
              <w:jc w:val="both"/>
              <w:rPr>
                <w:color w:val="000000" w:themeColor="text1"/>
                <w:lang w:eastAsia="ro-RO"/>
              </w:rPr>
            </w:pPr>
            <w:r w:rsidRPr="00C56257">
              <w:rPr>
                <w:color w:val="000000" w:themeColor="text1"/>
                <w:lang w:eastAsia="ro-RO"/>
              </w:rPr>
              <w:t>2</w:t>
            </w:r>
          </w:p>
        </w:tc>
        <w:tc>
          <w:tcPr>
            <w:tcW w:w="985" w:type="pct"/>
            <w:tcBorders>
              <w:top w:val="nil"/>
              <w:left w:val="nil"/>
              <w:bottom w:val="nil"/>
              <w:right w:val="single" w:sz="4" w:space="0" w:color="auto"/>
            </w:tcBorders>
            <w:shd w:val="clear" w:color="auto" w:fill="auto"/>
            <w:noWrap/>
            <w:vAlign w:val="center"/>
            <w:hideMark/>
          </w:tcPr>
          <w:p w14:paraId="1CC76FE5"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864" w:type="pct"/>
            <w:tcBorders>
              <w:top w:val="nil"/>
              <w:left w:val="nil"/>
              <w:bottom w:val="nil"/>
              <w:right w:val="single" w:sz="4" w:space="0" w:color="auto"/>
            </w:tcBorders>
            <w:shd w:val="clear" w:color="auto" w:fill="auto"/>
            <w:noWrap/>
            <w:vAlign w:val="center"/>
            <w:hideMark/>
          </w:tcPr>
          <w:p w14:paraId="2A1C6FA5"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1713" w:type="pct"/>
            <w:vMerge/>
            <w:tcBorders>
              <w:top w:val="nil"/>
              <w:left w:val="single" w:sz="4" w:space="0" w:color="auto"/>
              <w:bottom w:val="single" w:sz="4" w:space="0" w:color="000000"/>
              <w:right w:val="single" w:sz="4" w:space="0" w:color="auto"/>
            </w:tcBorders>
            <w:vAlign w:val="center"/>
            <w:hideMark/>
          </w:tcPr>
          <w:p w14:paraId="1FF3E369" w14:textId="77777777" w:rsidR="002D3CA7" w:rsidRPr="00C56257" w:rsidRDefault="002D3CA7" w:rsidP="008E33FD">
            <w:pPr>
              <w:jc w:val="both"/>
              <w:rPr>
                <w:color w:val="000000" w:themeColor="text1"/>
                <w:lang w:eastAsia="ro-RO"/>
              </w:rPr>
            </w:pPr>
          </w:p>
        </w:tc>
      </w:tr>
      <w:tr w:rsidR="00673EFE" w:rsidRPr="00C56257" w14:paraId="77686E45" w14:textId="77777777" w:rsidTr="002825C6">
        <w:trPr>
          <w:trHeight w:hRule="exact" w:val="227"/>
          <w:jc w:val="center"/>
        </w:trPr>
        <w:tc>
          <w:tcPr>
            <w:tcW w:w="806" w:type="pct"/>
            <w:tcBorders>
              <w:top w:val="nil"/>
              <w:left w:val="single" w:sz="4" w:space="0" w:color="auto"/>
              <w:bottom w:val="single" w:sz="4" w:space="0" w:color="auto"/>
              <w:right w:val="single" w:sz="4" w:space="0" w:color="auto"/>
            </w:tcBorders>
            <w:shd w:val="clear" w:color="auto" w:fill="auto"/>
            <w:noWrap/>
            <w:vAlign w:val="center"/>
            <w:hideMark/>
          </w:tcPr>
          <w:p w14:paraId="328DCAD4"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632" w:type="pct"/>
            <w:tcBorders>
              <w:top w:val="nil"/>
              <w:left w:val="nil"/>
              <w:bottom w:val="single" w:sz="4" w:space="0" w:color="auto"/>
              <w:right w:val="single" w:sz="4" w:space="0" w:color="auto"/>
            </w:tcBorders>
            <w:shd w:val="clear" w:color="auto" w:fill="auto"/>
            <w:noWrap/>
            <w:vAlign w:val="center"/>
            <w:hideMark/>
          </w:tcPr>
          <w:p w14:paraId="04AAE463"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985" w:type="pct"/>
            <w:tcBorders>
              <w:top w:val="nil"/>
              <w:left w:val="nil"/>
              <w:bottom w:val="single" w:sz="4" w:space="0" w:color="auto"/>
              <w:right w:val="single" w:sz="4" w:space="0" w:color="auto"/>
            </w:tcBorders>
            <w:shd w:val="clear" w:color="auto" w:fill="auto"/>
            <w:noWrap/>
            <w:vAlign w:val="center"/>
            <w:hideMark/>
          </w:tcPr>
          <w:p w14:paraId="2B085460" w14:textId="77777777" w:rsidR="002D3CA7" w:rsidRPr="00C56257" w:rsidRDefault="002D3CA7" w:rsidP="008E33FD">
            <w:pPr>
              <w:jc w:val="both"/>
              <w:rPr>
                <w:color w:val="000000" w:themeColor="text1"/>
                <w:lang w:eastAsia="ro-RO"/>
              </w:rPr>
            </w:pPr>
            <w:r w:rsidRPr="00C56257">
              <w:rPr>
                <w:color w:val="000000" w:themeColor="text1"/>
                <w:lang w:eastAsia="ro-RO"/>
              </w:rPr>
              <w:t>1</w:t>
            </w:r>
            <w:r w:rsidRPr="00C56257">
              <w:rPr>
                <w:color w:val="000000" w:themeColor="text1"/>
                <w:vertAlign w:val="superscript"/>
                <w:lang w:eastAsia="ro-RO"/>
              </w:rPr>
              <w:t>**</w:t>
            </w:r>
          </w:p>
        </w:tc>
        <w:tc>
          <w:tcPr>
            <w:tcW w:w="864" w:type="pct"/>
            <w:tcBorders>
              <w:top w:val="nil"/>
              <w:left w:val="nil"/>
              <w:bottom w:val="single" w:sz="4" w:space="0" w:color="auto"/>
              <w:right w:val="single" w:sz="4" w:space="0" w:color="auto"/>
            </w:tcBorders>
            <w:shd w:val="clear" w:color="auto" w:fill="auto"/>
            <w:noWrap/>
            <w:vAlign w:val="center"/>
            <w:hideMark/>
          </w:tcPr>
          <w:p w14:paraId="7999B95E"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1713" w:type="pct"/>
            <w:vMerge/>
            <w:tcBorders>
              <w:top w:val="nil"/>
              <w:left w:val="single" w:sz="4" w:space="0" w:color="auto"/>
              <w:bottom w:val="single" w:sz="4" w:space="0" w:color="000000"/>
              <w:right w:val="single" w:sz="4" w:space="0" w:color="auto"/>
            </w:tcBorders>
            <w:vAlign w:val="center"/>
            <w:hideMark/>
          </w:tcPr>
          <w:p w14:paraId="19694AD4" w14:textId="77777777" w:rsidR="002D3CA7" w:rsidRPr="00C56257" w:rsidRDefault="002D3CA7" w:rsidP="008E33FD">
            <w:pPr>
              <w:jc w:val="both"/>
              <w:rPr>
                <w:color w:val="000000" w:themeColor="text1"/>
                <w:lang w:eastAsia="ro-RO"/>
              </w:rPr>
            </w:pPr>
          </w:p>
        </w:tc>
      </w:tr>
      <w:tr w:rsidR="00673EFE" w:rsidRPr="00C56257" w14:paraId="07F46645" w14:textId="77777777" w:rsidTr="002825C6">
        <w:trPr>
          <w:trHeight w:hRule="exact" w:val="227"/>
          <w:jc w:val="center"/>
        </w:trPr>
        <w:tc>
          <w:tcPr>
            <w:tcW w:w="806" w:type="pct"/>
            <w:tcBorders>
              <w:top w:val="nil"/>
              <w:left w:val="single" w:sz="4" w:space="0" w:color="auto"/>
              <w:bottom w:val="nil"/>
              <w:right w:val="single" w:sz="4" w:space="0" w:color="auto"/>
            </w:tcBorders>
            <w:shd w:val="clear" w:color="auto" w:fill="auto"/>
            <w:noWrap/>
            <w:vAlign w:val="center"/>
            <w:hideMark/>
          </w:tcPr>
          <w:p w14:paraId="7C5B434D"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632" w:type="pct"/>
            <w:tcBorders>
              <w:top w:val="nil"/>
              <w:left w:val="nil"/>
              <w:bottom w:val="nil"/>
              <w:right w:val="single" w:sz="4" w:space="0" w:color="auto"/>
            </w:tcBorders>
            <w:shd w:val="clear" w:color="auto" w:fill="auto"/>
            <w:noWrap/>
            <w:vAlign w:val="center"/>
            <w:hideMark/>
          </w:tcPr>
          <w:p w14:paraId="5431D316"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985" w:type="pct"/>
            <w:tcBorders>
              <w:top w:val="nil"/>
              <w:left w:val="nil"/>
              <w:bottom w:val="nil"/>
              <w:right w:val="single" w:sz="4" w:space="0" w:color="auto"/>
            </w:tcBorders>
            <w:shd w:val="clear" w:color="auto" w:fill="auto"/>
            <w:noWrap/>
            <w:vAlign w:val="center"/>
            <w:hideMark/>
          </w:tcPr>
          <w:p w14:paraId="167BE569"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864" w:type="pct"/>
            <w:tcBorders>
              <w:top w:val="nil"/>
              <w:left w:val="nil"/>
              <w:bottom w:val="nil"/>
              <w:right w:val="single" w:sz="4" w:space="0" w:color="auto"/>
            </w:tcBorders>
            <w:shd w:val="clear" w:color="auto" w:fill="auto"/>
            <w:noWrap/>
            <w:vAlign w:val="center"/>
            <w:hideMark/>
          </w:tcPr>
          <w:p w14:paraId="2A1CAEA2" w14:textId="77777777" w:rsidR="002D3CA7" w:rsidRPr="00C56257" w:rsidRDefault="002D3CA7" w:rsidP="008E33FD">
            <w:pPr>
              <w:jc w:val="both"/>
              <w:rPr>
                <w:color w:val="000000" w:themeColor="text1"/>
                <w:lang w:eastAsia="ro-RO"/>
              </w:rPr>
            </w:pPr>
            <w:r w:rsidRPr="00C56257">
              <w:rPr>
                <w:color w:val="000000" w:themeColor="text1"/>
                <w:lang w:eastAsia="ro-RO"/>
              </w:rPr>
              <w:t>3</w:t>
            </w:r>
          </w:p>
        </w:tc>
        <w:tc>
          <w:tcPr>
            <w:tcW w:w="1713" w:type="pct"/>
            <w:vMerge w:val="restart"/>
            <w:tcBorders>
              <w:top w:val="nil"/>
              <w:left w:val="single" w:sz="4" w:space="0" w:color="auto"/>
              <w:bottom w:val="single" w:sz="4" w:space="0" w:color="000000"/>
              <w:right w:val="single" w:sz="4" w:space="0" w:color="auto"/>
            </w:tcBorders>
            <w:shd w:val="clear" w:color="auto" w:fill="auto"/>
            <w:vAlign w:val="center"/>
            <w:hideMark/>
          </w:tcPr>
          <w:p w14:paraId="29644D40" w14:textId="77777777" w:rsidR="002D3CA7" w:rsidRPr="00C56257" w:rsidRDefault="002D3CA7" w:rsidP="008E33FD">
            <w:pPr>
              <w:jc w:val="both"/>
              <w:rPr>
                <w:color w:val="000000" w:themeColor="text1"/>
                <w:lang w:eastAsia="ro-RO"/>
              </w:rPr>
            </w:pPr>
            <w:r w:rsidRPr="00C56257">
              <w:rPr>
                <w:color w:val="000000" w:themeColor="text1"/>
                <w:lang w:eastAsia="ro-RO"/>
              </w:rPr>
              <w:t>Necunoscută</w:t>
            </w:r>
            <w:r w:rsidRPr="00C56257">
              <w:rPr>
                <w:color w:val="000000" w:themeColor="text1"/>
                <w:lang w:eastAsia="ro-RO"/>
              </w:rPr>
              <w:br/>
            </w:r>
            <w:r w:rsidRPr="00C56257">
              <w:rPr>
                <w:i/>
                <w:iCs/>
                <w:color w:val="000000" w:themeColor="text1"/>
                <w:lang w:eastAsia="ro-RO"/>
              </w:rPr>
              <w:t>(Domină tendințele necunoscute)</w:t>
            </w:r>
          </w:p>
        </w:tc>
      </w:tr>
      <w:tr w:rsidR="00673EFE" w:rsidRPr="00C56257" w14:paraId="75B4CC9D" w14:textId="77777777" w:rsidTr="002825C6">
        <w:trPr>
          <w:trHeight w:hRule="exact" w:val="227"/>
          <w:jc w:val="center"/>
        </w:trPr>
        <w:tc>
          <w:tcPr>
            <w:tcW w:w="806" w:type="pct"/>
            <w:tcBorders>
              <w:top w:val="nil"/>
              <w:left w:val="single" w:sz="4" w:space="0" w:color="auto"/>
              <w:bottom w:val="nil"/>
              <w:right w:val="single" w:sz="4" w:space="0" w:color="auto"/>
            </w:tcBorders>
            <w:shd w:val="clear" w:color="auto" w:fill="auto"/>
            <w:noWrap/>
            <w:vAlign w:val="center"/>
            <w:hideMark/>
          </w:tcPr>
          <w:p w14:paraId="46042C9F"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632" w:type="pct"/>
            <w:tcBorders>
              <w:top w:val="nil"/>
              <w:left w:val="nil"/>
              <w:bottom w:val="nil"/>
              <w:right w:val="single" w:sz="4" w:space="0" w:color="auto"/>
            </w:tcBorders>
            <w:shd w:val="clear" w:color="auto" w:fill="auto"/>
            <w:noWrap/>
            <w:vAlign w:val="center"/>
            <w:hideMark/>
          </w:tcPr>
          <w:p w14:paraId="2930BB83"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985" w:type="pct"/>
            <w:tcBorders>
              <w:top w:val="nil"/>
              <w:left w:val="nil"/>
              <w:bottom w:val="nil"/>
              <w:right w:val="single" w:sz="4" w:space="0" w:color="auto"/>
            </w:tcBorders>
            <w:shd w:val="clear" w:color="auto" w:fill="auto"/>
            <w:noWrap/>
            <w:vAlign w:val="center"/>
            <w:hideMark/>
          </w:tcPr>
          <w:p w14:paraId="4D964BB5"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864" w:type="pct"/>
            <w:tcBorders>
              <w:top w:val="nil"/>
              <w:left w:val="nil"/>
              <w:bottom w:val="nil"/>
              <w:right w:val="single" w:sz="4" w:space="0" w:color="auto"/>
            </w:tcBorders>
            <w:shd w:val="clear" w:color="auto" w:fill="auto"/>
            <w:noWrap/>
            <w:vAlign w:val="center"/>
            <w:hideMark/>
          </w:tcPr>
          <w:p w14:paraId="19E344A9" w14:textId="77777777" w:rsidR="002D3CA7" w:rsidRPr="00C56257" w:rsidRDefault="002D3CA7" w:rsidP="008E33FD">
            <w:pPr>
              <w:jc w:val="both"/>
              <w:rPr>
                <w:color w:val="000000" w:themeColor="text1"/>
                <w:lang w:eastAsia="ro-RO"/>
              </w:rPr>
            </w:pPr>
            <w:r w:rsidRPr="00C56257">
              <w:rPr>
                <w:color w:val="000000" w:themeColor="text1"/>
                <w:lang w:eastAsia="ro-RO"/>
              </w:rPr>
              <w:t>2</w:t>
            </w:r>
          </w:p>
        </w:tc>
        <w:tc>
          <w:tcPr>
            <w:tcW w:w="1713" w:type="pct"/>
            <w:vMerge/>
            <w:tcBorders>
              <w:top w:val="nil"/>
              <w:left w:val="single" w:sz="4" w:space="0" w:color="auto"/>
              <w:bottom w:val="single" w:sz="4" w:space="0" w:color="000000"/>
              <w:right w:val="single" w:sz="4" w:space="0" w:color="auto"/>
            </w:tcBorders>
            <w:vAlign w:val="center"/>
            <w:hideMark/>
          </w:tcPr>
          <w:p w14:paraId="3ECDBC12" w14:textId="77777777" w:rsidR="002D3CA7" w:rsidRPr="00C56257" w:rsidRDefault="002D3CA7" w:rsidP="008E33FD">
            <w:pPr>
              <w:jc w:val="both"/>
              <w:rPr>
                <w:color w:val="000000" w:themeColor="text1"/>
                <w:lang w:eastAsia="ro-RO"/>
              </w:rPr>
            </w:pPr>
          </w:p>
        </w:tc>
      </w:tr>
      <w:tr w:rsidR="00673EFE" w:rsidRPr="00C56257" w14:paraId="5B96F8D6" w14:textId="77777777" w:rsidTr="002825C6">
        <w:trPr>
          <w:trHeight w:hRule="exact" w:val="227"/>
          <w:jc w:val="center"/>
        </w:trPr>
        <w:tc>
          <w:tcPr>
            <w:tcW w:w="806" w:type="pct"/>
            <w:tcBorders>
              <w:top w:val="nil"/>
              <w:left w:val="single" w:sz="4" w:space="0" w:color="auto"/>
              <w:bottom w:val="nil"/>
              <w:right w:val="single" w:sz="4" w:space="0" w:color="auto"/>
            </w:tcBorders>
            <w:shd w:val="clear" w:color="auto" w:fill="auto"/>
            <w:noWrap/>
            <w:vAlign w:val="center"/>
            <w:hideMark/>
          </w:tcPr>
          <w:p w14:paraId="341A8737"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632" w:type="pct"/>
            <w:tcBorders>
              <w:top w:val="nil"/>
              <w:left w:val="nil"/>
              <w:bottom w:val="nil"/>
              <w:right w:val="single" w:sz="4" w:space="0" w:color="auto"/>
            </w:tcBorders>
            <w:shd w:val="clear" w:color="auto" w:fill="auto"/>
            <w:noWrap/>
            <w:vAlign w:val="center"/>
            <w:hideMark/>
          </w:tcPr>
          <w:p w14:paraId="78C21D46"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985" w:type="pct"/>
            <w:tcBorders>
              <w:top w:val="nil"/>
              <w:left w:val="nil"/>
              <w:bottom w:val="nil"/>
              <w:right w:val="single" w:sz="4" w:space="0" w:color="auto"/>
            </w:tcBorders>
            <w:shd w:val="clear" w:color="auto" w:fill="auto"/>
            <w:noWrap/>
            <w:vAlign w:val="center"/>
            <w:hideMark/>
          </w:tcPr>
          <w:p w14:paraId="49E9ED88"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864" w:type="pct"/>
            <w:tcBorders>
              <w:top w:val="nil"/>
              <w:left w:val="nil"/>
              <w:bottom w:val="nil"/>
              <w:right w:val="single" w:sz="4" w:space="0" w:color="auto"/>
            </w:tcBorders>
            <w:shd w:val="clear" w:color="auto" w:fill="auto"/>
            <w:noWrap/>
            <w:vAlign w:val="center"/>
            <w:hideMark/>
          </w:tcPr>
          <w:p w14:paraId="2E4A51D9" w14:textId="77777777" w:rsidR="002D3CA7" w:rsidRPr="00C56257" w:rsidRDefault="002D3CA7" w:rsidP="008E33FD">
            <w:pPr>
              <w:jc w:val="both"/>
              <w:rPr>
                <w:color w:val="000000" w:themeColor="text1"/>
                <w:lang w:eastAsia="ro-RO"/>
              </w:rPr>
            </w:pPr>
            <w:r w:rsidRPr="00C56257">
              <w:rPr>
                <w:color w:val="000000" w:themeColor="text1"/>
                <w:lang w:eastAsia="ro-RO"/>
              </w:rPr>
              <w:t>2</w:t>
            </w:r>
          </w:p>
        </w:tc>
        <w:tc>
          <w:tcPr>
            <w:tcW w:w="1713" w:type="pct"/>
            <w:vMerge/>
            <w:tcBorders>
              <w:top w:val="nil"/>
              <w:left w:val="single" w:sz="4" w:space="0" w:color="auto"/>
              <w:bottom w:val="single" w:sz="4" w:space="0" w:color="000000"/>
              <w:right w:val="single" w:sz="4" w:space="0" w:color="auto"/>
            </w:tcBorders>
            <w:vAlign w:val="center"/>
            <w:hideMark/>
          </w:tcPr>
          <w:p w14:paraId="7432CAB2" w14:textId="77777777" w:rsidR="002D3CA7" w:rsidRPr="00C56257" w:rsidRDefault="002D3CA7" w:rsidP="008E33FD">
            <w:pPr>
              <w:jc w:val="both"/>
              <w:rPr>
                <w:color w:val="000000" w:themeColor="text1"/>
                <w:lang w:eastAsia="ro-RO"/>
              </w:rPr>
            </w:pPr>
          </w:p>
        </w:tc>
      </w:tr>
      <w:tr w:rsidR="00673EFE" w:rsidRPr="00C56257" w14:paraId="69953129" w14:textId="77777777" w:rsidTr="002825C6">
        <w:trPr>
          <w:trHeight w:hRule="exact" w:val="227"/>
          <w:jc w:val="center"/>
        </w:trPr>
        <w:tc>
          <w:tcPr>
            <w:tcW w:w="806" w:type="pct"/>
            <w:tcBorders>
              <w:top w:val="nil"/>
              <w:left w:val="single" w:sz="4" w:space="0" w:color="auto"/>
              <w:bottom w:val="nil"/>
              <w:right w:val="single" w:sz="4" w:space="0" w:color="auto"/>
            </w:tcBorders>
            <w:shd w:val="clear" w:color="auto" w:fill="auto"/>
            <w:noWrap/>
            <w:vAlign w:val="center"/>
            <w:hideMark/>
          </w:tcPr>
          <w:p w14:paraId="49D5126B"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632" w:type="pct"/>
            <w:tcBorders>
              <w:top w:val="nil"/>
              <w:left w:val="nil"/>
              <w:bottom w:val="nil"/>
              <w:right w:val="single" w:sz="4" w:space="0" w:color="auto"/>
            </w:tcBorders>
            <w:shd w:val="clear" w:color="auto" w:fill="auto"/>
            <w:noWrap/>
            <w:vAlign w:val="center"/>
            <w:hideMark/>
          </w:tcPr>
          <w:p w14:paraId="0E306333"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985" w:type="pct"/>
            <w:tcBorders>
              <w:top w:val="nil"/>
              <w:left w:val="nil"/>
              <w:bottom w:val="nil"/>
              <w:right w:val="single" w:sz="4" w:space="0" w:color="auto"/>
            </w:tcBorders>
            <w:shd w:val="clear" w:color="auto" w:fill="auto"/>
            <w:noWrap/>
            <w:vAlign w:val="center"/>
            <w:hideMark/>
          </w:tcPr>
          <w:p w14:paraId="715A4436"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864" w:type="pct"/>
            <w:tcBorders>
              <w:top w:val="nil"/>
              <w:left w:val="nil"/>
              <w:bottom w:val="nil"/>
              <w:right w:val="single" w:sz="4" w:space="0" w:color="auto"/>
            </w:tcBorders>
            <w:shd w:val="clear" w:color="auto" w:fill="auto"/>
            <w:noWrap/>
            <w:vAlign w:val="center"/>
            <w:hideMark/>
          </w:tcPr>
          <w:p w14:paraId="2EF7BDA9" w14:textId="77777777" w:rsidR="002D3CA7" w:rsidRPr="00C56257" w:rsidRDefault="002D3CA7" w:rsidP="008E33FD">
            <w:pPr>
              <w:jc w:val="both"/>
              <w:rPr>
                <w:color w:val="000000" w:themeColor="text1"/>
                <w:lang w:eastAsia="ro-RO"/>
              </w:rPr>
            </w:pPr>
            <w:r w:rsidRPr="00C56257">
              <w:rPr>
                <w:color w:val="000000" w:themeColor="text1"/>
                <w:lang w:eastAsia="ro-RO"/>
              </w:rPr>
              <w:t>2</w:t>
            </w:r>
          </w:p>
        </w:tc>
        <w:tc>
          <w:tcPr>
            <w:tcW w:w="1713" w:type="pct"/>
            <w:vMerge/>
            <w:tcBorders>
              <w:top w:val="nil"/>
              <w:left w:val="single" w:sz="4" w:space="0" w:color="auto"/>
              <w:bottom w:val="single" w:sz="4" w:space="0" w:color="000000"/>
              <w:right w:val="single" w:sz="4" w:space="0" w:color="auto"/>
            </w:tcBorders>
            <w:vAlign w:val="center"/>
            <w:hideMark/>
          </w:tcPr>
          <w:p w14:paraId="7133C18D" w14:textId="77777777" w:rsidR="002D3CA7" w:rsidRPr="00C56257" w:rsidRDefault="002D3CA7" w:rsidP="008E33FD">
            <w:pPr>
              <w:jc w:val="both"/>
              <w:rPr>
                <w:color w:val="000000" w:themeColor="text1"/>
                <w:lang w:eastAsia="ro-RO"/>
              </w:rPr>
            </w:pPr>
          </w:p>
        </w:tc>
      </w:tr>
      <w:tr w:rsidR="00673EFE" w:rsidRPr="00C56257" w14:paraId="00335B5E" w14:textId="77777777" w:rsidTr="002825C6">
        <w:trPr>
          <w:trHeight w:hRule="exact" w:val="227"/>
          <w:jc w:val="center"/>
        </w:trPr>
        <w:tc>
          <w:tcPr>
            <w:tcW w:w="806" w:type="pct"/>
            <w:tcBorders>
              <w:top w:val="nil"/>
              <w:left w:val="single" w:sz="4" w:space="0" w:color="auto"/>
              <w:bottom w:val="nil"/>
              <w:right w:val="single" w:sz="4" w:space="0" w:color="auto"/>
            </w:tcBorders>
            <w:shd w:val="clear" w:color="auto" w:fill="auto"/>
            <w:noWrap/>
            <w:vAlign w:val="center"/>
            <w:hideMark/>
          </w:tcPr>
          <w:p w14:paraId="1B8BE450"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632" w:type="pct"/>
            <w:tcBorders>
              <w:top w:val="nil"/>
              <w:left w:val="nil"/>
              <w:bottom w:val="nil"/>
              <w:right w:val="single" w:sz="4" w:space="0" w:color="auto"/>
            </w:tcBorders>
            <w:shd w:val="clear" w:color="auto" w:fill="auto"/>
            <w:noWrap/>
            <w:vAlign w:val="center"/>
            <w:hideMark/>
          </w:tcPr>
          <w:p w14:paraId="60C2928C"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985" w:type="pct"/>
            <w:tcBorders>
              <w:top w:val="nil"/>
              <w:left w:val="nil"/>
              <w:bottom w:val="nil"/>
              <w:right w:val="single" w:sz="4" w:space="0" w:color="auto"/>
            </w:tcBorders>
            <w:shd w:val="clear" w:color="auto" w:fill="auto"/>
            <w:noWrap/>
            <w:vAlign w:val="center"/>
            <w:hideMark/>
          </w:tcPr>
          <w:p w14:paraId="237CFB9F"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864" w:type="pct"/>
            <w:tcBorders>
              <w:top w:val="nil"/>
              <w:left w:val="nil"/>
              <w:bottom w:val="nil"/>
              <w:right w:val="single" w:sz="4" w:space="0" w:color="auto"/>
            </w:tcBorders>
            <w:shd w:val="clear" w:color="auto" w:fill="auto"/>
            <w:noWrap/>
            <w:vAlign w:val="center"/>
            <w:hideMark/>
          </w:tcPr>
          <w:p w14:paraId="0CCDD8C8"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1713" w:type="pct"/>
            <w:vMerge/>
            <w:tcBorders>
              <w:top w:val="nil"/>
              <w:left w:val="single" w:sz="4" w:space="0" w:color="auto"/>
              <w:bottom w:val="single" w:sz="4" w:space="0" w:color="000000"/>
              <w:right w:val="single" w:sz="4" w:space="0" w:color="auto"/>
            </w:tcBorders>
            <w:vAlign w:val="center"/>
            <w:hideMark/>
          </w:tcPr>
          <w:p w14:paraId="50023836" w14:textId="77777777" w:rsidR="002D3CA7" w:rsidRPr="00C56257" w:rsidRDefault="002D3CA7" w:rsidP="008E33FD">
            <w:pPr>
              <w:jc w:val="both"/>
              <w:rPr>
                <w:color w:val="000000" w:themeColor="text1"/>
                <w:lang w:eastAsia="ro-RO"/>
              </w:rPr>
            </w:pPr>
          </w:p>
        </w:tc>
      </w:tr>
      <w:tr w:rsidR="00673EFE" w:rsidRPr="00C56257" w14:paraId="23E8D085" w14:textId="77777777" w:rsidTr="002825C6">
        <w:trPr>
          <w:trHeight w:hRule="exact" w:val="227"/>
          <w:jc w:val="center"/>
        </w:trPr>
        <w:tc>
          <w:tcPr>
            <w:tcW w:w="806" w:type="pct"/>
            <w:tcBorders>
              <w:top w:val="nil"/>
              <w:left w:val="single" w:sz="4" w:space="0" w:color="auto"/>
              <w:bottom w:val="single" w:sz="4" w:space="0" w:color="auto"/>
              <w:right w:val="single" w:sz="4" w:space="0" w:color="auto"/>
            </w:tcBorders>
            <w:shd w:val="clear" w:color="auto" w:fill="auto"/>
            <w:noWrap/>
            <w:vAlign w:val="center"/>
            <w:hideMark/>
          </w:tcPr>
          <w:p w14:paraId="4D44E044" w14:textId="77777777" w:rsidR="002D3CA7" w:rsidRPr="00C56257" w:rsidRDefault="002D3CA7" w:rsidP="008E33FD">
            <w:pPr>
              <w:jc w:val="both"/>
              <w:rPr>
                <w:color w:val="000000" w:themeColor="text1"/>
                <w:lang w:eastAsia="ro-RO"/>
              </w:rPr>
            </w:pPr>
            <w:r w:rsidRPr="00C56257">
              <w:rPr>
                <w:color w:val="000000" w:themeColor="text1"/>
                <w:lang w:eastAsia="ro-RO"/>
              </w:rPr>
              <w:t>0</w:t>
            </w:r>
          </w:p>
        </w:tc>
        <w:tc>
          <w:tcPr>
            <w:tcW w:w="632" w:type="pct"/>
            <w:tcBorders>
              <w:top w:val="nil"/>
              <w:left w:val="nil"/>
              <w:bottom w:val="single" w:sz="4" w:space="0" w:color="auto"/>
              <w:right w:val="single" w:sz="4" w:space="0" w:color="auto"/>
            </w:tcBorders>
            <w:shd w:val="clear" w:color="auto" w:fill="auto"/>
            <w:noWrap/>
            <w:vAlign w:val="center"/>
            <w:hideMark/>
          </w:tcPr>
          <w:p w14:paraId="665C769B"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985" w:type="pct"/>
            <w:tcBorders>
              <w:top w:val="nil"/>
              <w:left w:val="nil"/>
              <w:bottom w:val="single" w:sz="4" w:space="0" w:color="auto"/>
              <w:right w:val="single" w:sz="4" w:space="0" w:color="auto"/>
            </w:tcBorders>
            <w:shd w:val="clear" w:color="auto" w:fill="auto"/>
            <w:noWrap/>
            <w:vAlign w:val="center"/>
            <w:hideMark/>
          </w:tcPr>
          <w:p w14:paraId="043F01BD"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864" w:type="pct"/>
            <w:tcBorders>
              <w:top w:val="nil"/>
              <w:left w:val="nil"/>
              <w:bottom w:val="single" w:sz="4" w:space="0" w:color="auto"/>
              <w:right w:val="single" w:sz="4" w:space="0" w:color="auto"/>
            </w:tcBorders>
            <w:shd w:val="clear" w:color="auto" w:fill="auto"/>
            <w:noWrap/>
            <w:vAlign w:val="center"/>
            <w:hideMark/>
          </w:tcPr>
          <w:p w14:paraId="00325295" w14:textId="77777777" w:rsidR="002D3CA7" w:rsidRPr="00C56257" w:rsidRDefault="002D3CA7" w:rsidP="008E33FD">
            <w:pPr>
              <w:jc w:val="both"/>
              <w:rPr>
                <w:color w:val="000000" w:themeColor="text1"/>
                <w:lang w:eastAsia="ro-RO"/>
              </w:rPr>
            </w:pPr>
            <w:r w:rsidRPr="00C56257">
              <w:rPr>
                <w:color w:val="000000" w:themeColor="text1"/>
                <w:lang w:eastAsia="ro-RO"/>
              </w:rPr>
              <w:t>1</w:t>
            </w:r>
          </w:p>
        </w:tc>
        <w:tc>
          <w:tcPr>
            <w:tcW w:w="1713" w:type="pct"/>
            <w:vMerge/>
            <w:tcBorders>
              <w:top w:val="nil"/>
              <w:left w:val="single" w:sz="4" w:space="0" w:color="auto"/>
              <w:bottom w:val="single" w:sz="4" w:space="0" w:color="000000"/>
              <w:right w:val="single" w:sz="4" w:space="0" w:color="auto"/>
            </w:tcBorders>
            <w:vAlign w:val="center"/>
            <w:hideMark/>
          </w:tcPr>
          <w:p w14:paraId="2596C3F8" w14:textId="77777777" w:rsidR="002D3CA7" w:rsidRPr="00C56257" w:rsidRDefault="002D3CA7" w:rsidP="008E33FD">
            <w:pPr>
              <w:jc w:val="both"/>
              <w:rPr>
                <w:color w:val="000000" w:themeColor="text1"/>
                <w:lang w:eastAsia="ro-RO"/>
              </w:rPr>
            </w:pPr>
          </w:p>
        </w:tc>
      </w:tr>
    </w:tbl>
    <w:p w14:paraId="359454DC" w14:textId="77777777" w:rsidR="002D3CA7" w:rsidRPr="00C56257" w:rsidRDefault="002D3CA7" w:rsidP="008E33FD">
      <w:pPr>
        <w:spacing w:line="259" w:lineRule="auto"/>
        <w:jc w:val="both"/>
        <w:rPr>
          <w:color w:val="000000" w:themeColor="text1"/>
          <w:lang w:eastAsia="ro-RO"/>
        </w:rPr>
      </w:pPr>
      <w:r w:rsidRPr="00C56257">
        <w:rPr>
          <w:color w:val="000000" w:themeColor="text1"/>
          <w:lang w:eastAsia="ro-RO"/>
        </w:rPr>
        <w:t>*Magnitudinea tendinței trebuie luată în considerare. Tendința generală a Stării de conservare este stabilă doar în cazul unor scăderi moderate (&lt;1% pe an).</w:t>
      </w:r>
    </w:p>
    <w:p w14:paraId="16884DE5" w14:textId="77777777" w:rsidR="002D3CA7" w:rsidRPr="00C56257" w:rsidRDefault="002D3CA7" w:rsidP="008E33FD">
      <w:pPr>
        <w:spacing w:line="259" w:lineRule="auto"/>
        <w:jc w:val="both"/>
        <w:rPr>
          <w:color w:val="000000" w:themeColor="text1"/>
        </w:rPr>
      </w:pPr>
      <w:r w:rsidRPr="00C56257">
        <w:rPr>
          <w:color w:val="000000" w:themeColor="text1"/>
          <w:lang w:eastAsia="ro-RO"/>
        </w:rPr>
        <w:t>**Magnitudinea tendinței trebuie luată în considerare. Tendința generală a Stării de conservare prezintă scăderi importante (&gt;1% pe an)</w:t>
      </w:r>
    </w:p>
    <w:p w14:paraId="06211918" w14:textId="77777777" w:rsidR="002D3CA7" w:rsidRPr="00C56257" w:rsidRDefault="002D3CA7" w:rsidP="008E33FD">
      <w:pPr>
        <w:widowControl w:val="0"/>
        <w:autoSpaceDE w:val="0"/>
        <w:autoSpaceDN w:val="0"/>
        <w:adjustRightInd w:val="0"/>
        <w:spacing w:line="276" w:lineRule="auto"/>
        <w:jc w:val="both"/>
        <w:rPr>
          <w:color w:val="000000" w:themeColor="text1"/>
        </w:rPr>
      </w:pPr>
    </w:p>
    <w:p w14:paraId="3ECC6B76" w14:textId="77777777" w:rsidR="002D3CA7" w:rsidRPr="00C56257" w:rsidRDefault="002D3CA7" w:rsidP="008E33FD">
      <w:pPr>
        <w:keepNext/>
        <w:keepLines/>
        <w:spacing w:before="160" w:after="120" w:line="259" w:lineRule="auto"/>
        <w:contextualSpacing/>
        <w:jc w:val="both"/>
        <w:outlineLvl w:val="2"/>
        <w:rPr>
          <w:rFonts w:eastAsiaTheme="majorEastAsia"/>
          <w:b/>
          <w:bCs/>
          <w:color w:val="000000" w:themeColor="text1"/>
        </w:rPr>
      </w:pPr>
      <w:r w:rsidRPr="00C56257">
        <w:rPr>
          <w:rFonts w:eastAsiaTheme="majorEastAsia"/>
          <w:b/>
          <w:bCs/>
          <w:color w:val="000000" w:themeColor="text1"/>
        </w:rPr>
        <w:t>Evaluarea stării de conservare pe regiune biogeografică</w:t>
      </w:r>
    </w:p>
    <w:p w14:paraId="43435B1E" w14:textId="77777777" w:rsidR="002D3CA7" w:rsidRPr="00C56257" w:rsidRDefault="002D3CA7" w:rsidP="008E33FD">
      <w:pPr>
        <w:spacing w:line="276" w:lineRule="auto"/>
        <w:ind w:firstLine="709"/>
        <w:jc w:val="both"/>
        <w:rPr>
          <w:color w:val="000000" w:themeColor="text1"/>
        </w:rPr>
      </w:pPr>
      <w:r w:rsidRPr="00C56257">
        <w:rPr>
          <w:color w:val="000000" w:themeColor="text1"/>
        </w:rPr>
        <w:t>Evaluarea stării generale de conservare se determină pentru fiecare tip de habitat pe fiecare regiune biogeografică în parte (conform tabelului 4), atribuindu-se una din cele patru categorii de evaluare („Favorabilă”, „Nefavorabilă – inadecvată”, „Nefavorabilă – rea” sau „Necunoscută”) în funcție de starea parametrilor (areal, suprafață, structură și funcții, perspective) determinați în capitolele anterioare și evaluați conform matricei din tab</w:t>
      </w:r>
      <w:r w:rsidRPr="00C56257">
        <w:rPr>
          <w:color w:val="000000" w:themeColor="text1"/>
          <w:shd w:val="clear" w:color="auto" w:fill="FFFFFF" w:themeFill="background1"/>
        </w:rPr>
        <w:t>elu</w:t>
      </w:r>
      <w:r w:rsidRPr="00C56257">
        <w:rPr>
          <w:color w:val="000000" w:themeColor="text1"/>
        </w:rPr>
        <w:t>l următor:</w:t>
      </w:r>
    </w:p>
    <w:p w14:paraId="0A0B7228" w14:textId="77777777" w:rsidR="002D3CA7" w:rsidRPr="00C56257" w:rsidRDefault="002D3CA7" w:rsidP="008E33FD">
      <w:pPr>
        <w:jc w:val="both"/>
        <w:rPr>
          <w:color w:val="000000" w:themeColor="text1"/>
        </w:rPr>
      </w:pPr>
    </w:p>
    <w:p w14:paraId="74271D5A" w14:textId="77777777" w:rsidR="002D3CA7" w:rsidRPr="00C56257" w:rsidRDefault="002D3CA7" w:rsidP="008E33FD">
      <w:pPr>
        <w:jc w:val="both"/>
        <w:rPr>
          <w:color w:val="000000" w:themeColor="text1"/>
          <w:shd w:val="clear" w:color="auto" w:fill="FF0000"/>
        </w:rPr>
      </w:pPr>
      <w:r w:rsidRPr="00C56257">
        <w:rPr>
          <w:color w:val="000000" w:themeColor="text1"/>
        </w:rPr>
        <w:t>Tabelul 4: Evaluarea stării generale de conservare</w:t>
      </w:r>
    </w:p>
    <w:tbl>
      <w:tblPr>
        <w:tblW w:w="5000" w:type="pct"/>
        <w:tblLayout w:type="fixed"/>
        <w:tblLook w:val="04A0" w:firstRow="1" w:lastRow="0" w:firstColumn="1" w:lastColumn="0" w:noHBand="0" w:noVBand="1"/>
      </w:tblPr>
      <w:tblGrid>
        <w:gridCol w:w="1662"/>
        <w:gridCol w:w="1967"/>
        <w:gridCol w:w="2417"/>
        <w:gridCol w:w="1827"/>
        <w:gridCol w:w="2121"/>
      </w:tblGrid>
      <w:tr w:rsidR="00673EFE" w:rsidRPr="00C56257" w14:paraId="16E5E739" w14:textId="77777777" w:rsidTr="002825C6">
        <w:trPr>
          <w:trHeight w:val="1035"/>
        </w:trPr>
        <w:tc>
          <w:tcPr>
            <w:tcW w:w="832" w:type="pct"/>
            <w:tcBorders>
              <w:top w:val="single" w:sz="4" w:space="0" w:color="auto"/>
              <w:left w:val="single" w:sz="4" w:space="0" w:color="auto"/>
              <w:bottom w:val="single" w:sz="4" w:space="0" w:color="auto"/>
              <w:right w:val="single" w:sz="4" w:space="0" w:color="auto"/>
            </w:tcBorders>
            <w:shd w:val="clear" w:color="auto" w:fill="auto"/>
            <w:hideMark/>
          </w:tcPr>
          <w:p w14:paraId="1B9E0813" w14:textId="77777777" w:rsidR="002D3CA7" w:rsidRPr="00C56257" w:rsidRDefault="002D3CA7" w:rsidP="008E33FD">
            <w:pPr>
              <w:jc w:val="both"/>
              <w:rPr>
                <w:color w:val="000000" w:themeColor="text1"/>
                <w:lang w:eastAsia="ro-RO"/>
              </w:rPr>
            </w:pPr>
            <w:r w:rsidRPr="00C56257">
              <w:rPr>
                <w:color w:val="000000" w:themeColor="text1"/>
                <w:lang w:eastAsia="ro-RO"/>
              </w:rPr>
              <w:lastRenderedPageBreak/>
              <w:t>Starea parametrilor</w:t>
            </w:r>
          </w:p>
        </w:tc>
        <w:tc>
          <w:tcPr>
            <w:tcW w:w="984" w:type="pct"/>
            <w:tcBorders>
              <w:top w:val="single" w:sz="4" w:space="0" w:color="auto"/>
              <w:left w:val="nil"/>
              <w:bottom w:val="single" w:sz="4" w:space="0" w:color="auto"/>
              <w:right w:val="single" w:sz="4" w:space="0" w:color="auto"/>
            </w:tcBorders>
            <w:shd w:val="clear" w:color="auto" w:fill="auto"/>
            <w:vAlign w:val="center"/>
            <w:hideMark/>
          </w:tcPr>
          <w:p w14:paraId="18A8767B" w14:textId="77777777" w:rsidR="002D3CA7" w:rsidRPr="00C56257" w:rsidRDefault="002D3CA7" w:rsidP="008E33FD">
            <w:pPr>
              <w:jc w:val="both"/>
              <w:rPr>
                <w:color w:val="000000" w:themeColor="text1"/>
                <w:lang w:eastAsia="ro-RO"/>
              </w:rPr>
            </w:pPr>
            <w:r w:rsidRPr="00C56257">
              <w:rPr>
                <w:color w:val="000000" w:themeColor="text1"/>
                <w:lang w:eastAsia="ro-RO"/>
              </w:rPr>
              <w:t>Toți parametrii „favorabili”, sau trei „favorabili” și unul „necunoscut”</w:t>
            </w:r>
          </w:p>
        </w:tc>
        <w:tc>
          <w:tcPr>
            <w:tcW w:w="1209" w:type="pct"/>
            <w:tcBorders>
              <w:top w:val="single" w:sz="4" w:space="0" w:color="auto"/>
              <w:left w:val="nil"/>
              <w:bottom w:val="single" w:sz="4" w:space="0" w:color="auto"/>
              <w:right w:val="single" w:sz="4" w:space="0" w:color="auto"/>
            </w:tcBorders>
            <w:shd w:val="clear" w:color="auto" w:fill="auto"/>
            <w:vAlign w:val="center"/>
            <w:hideMark/>
          </w:tcPr>
          <w:p w14:paraId="11D5FB4B" w14:textId="77777777" w:rsidR="002D3CA7" w:rsidRPr="00C56257" w:rsidRDefault="002D3CA7" w:rsidP="008E33FD">
            <w:pPr>
              <w:jc w:val="both"/>
              <w:rPr>
                <w:color w:val="000000" w:themeColor="text1"/>
                <w:lang w:eastAsia="ro-RO"/>
              </w:rPr>
            </w:pPr>
            <w:r w:rsidRPr="00C56257">
              <w:rPr>
                <w:color w:val="000000" w:themeColor="text1"/>
                <w:lang w:eastAsia="ro-RO"/>
              </w:rPr>
              <w:t>Unul sau mai mulți „nefavorabili-inadecvați” dar niciunul „nefavorabil-rău”</w:t>
            </w:r>
          </w:p>
        </w:tc>
        <w:tc>
          <w:tcPr>
            <w:tcW w:w="914" w:type="pct"/>
            <w:tcBorders>
              <w:top w:val="single" w:sz="4" w:space="0" w:color="auto"/>
              <w:left w:val="nil"/>
              <w:bottom w:val="single" w:sz="4" w:space="0" w:color="auto"/>
              <w:right w:val="single" w:sz="4" w:space="0" w:color="auto"/>
            </w:tcBorders>
            <w:shd w:val="clear" w:color="auto" w:fill="auto"/>
            <w:vAlign w:val="center"/>
            <w:hideMark/>
          </w:tcPr>
          <w:p w14:paraId="59161EF9" w14:textId="77777777" w:rsidR="002D3CA7" w:rsidRPr="00C56257" w:rsidRDefault="002D3CA7" w:rsidP="008E33FD">
            <w:pPr>
              <w:jc w:val="both"/>
              <w:rPr>
                <w:color w:val="000000" w:themeColor="text1"/>
                <w:lang w:eastAsia="ro-RO"/>
              </w:rPr>
            </w:pPr>
            <w:r w:rsidRPr="00C56257">
              <w:rPr>
                <w:color w:val="000000" w:themeColor="text1"/>
                <w:lang w:eastAsia="ro-RO"/>
              </w:rPr>
              <w:t>Unul sau mai mulți „nefavorabil-rău”</w:t>
            </w:r>
          </w:p>
        </w:tc>
        <w:tc>
          <w:tcPr>
            <w:tcW w:w="1061" w:type="pct"/>
            <w:tcBorders>
              <w:top w:val="single" w:sz="4" w:space="0" w:color="auto"/>
              <w:left w:val="nil"/>
              <w:bottom w:val="single" w:sz="4" w:space="0" w:color="auto"/>
              <w:right w:val="single" w:sz="4" w:space="0" w:color="auto"/>
            </w:tcBorders>
            <w:shd w:val="clear" w:color="auto" w:fill="auto"/>
            <w:vAlign w:val="center"/>
            <w:hideMark/>
          </w:tcPr>
          <w:p w14:paraId="40AF0F2C" w14:textId="77777777" w:rsidR="002D3CA7" w:rsidRPr="00C56257" w:rsidRDefault="002D3CA7" w:rsidP="008E33FD">
            <w:pPr>
              <w:jc w:val="both"/>
              <w:rPr>
                <w:color w:val="000000" w:themeColor="text1"/>
                <w:lang w:eastAsia="ro-RO"/>
              </w:rPr>
            </w:pPr>
            <w:r w:rsidRPr="00C56257">
              <w:rPr>
                <w:color w:val="000000" w:themeColor="text1"/>
                <w:lang w:eastAsia="ro-RO"/>
              </w:rPr>
              <w:t>Doi sau mai mulți „necunoscuți” combinați cu „favorabil” sau toți „necunoscuți”</w:t>
            </w:r>
          </w:p>
        </w:tc>
      </w:tr>
      <w:tr w:rsidR="00673EFE" w:rsidRPr="00C56257" w14:paraId="1A68D5F2" w14:textId="77777777" w:rsidTr="002825C6">
        <w:trPr>
          <w:trHeight w:val="900"/>
        </w:trPr>
        <w:tc>
          <w:tcPr>
            <w:tcW w:w="832" w:type="pct"/>
            <w:tcBorders>
              <w:top w:val="nil"/>
              <w:left w:val="single" w:sz="4" w:space="0" w:color="auto"/>
              <w:bottom w:val="single" w:sz="4" w:space="0" w:color="auto"/>
              <w:right w:val="single" w:sz="4" w:space="0" w:color="auto"/>
            </w:tcBorders>
            <w:shd w:val="clear" w:color="auto" w:fill="auto"/>
            <w:hideMark/>
          </w:tcPr>
          <w:p w14:paraId="0CE44030" w14:textId="77777777" w:rsidR="002D3CA7" w:rsidRPr="00C56257" w:rsidRDefault="002D3CA7" w:rsidP="008E33FD">
            <w:pPr>
              <w:jc w:val="both"/>
              <w:rPr>
                <w:color w:val="000000" w:themeColor="text1"/>
                <w:lang w:eastAsia="ro-RO"/>
              </w:rPr>
            </w:pPr>
            <w:r w:rsidRPr="00C56257">
              <w:rPr>
                <w:color w:val="000000" w:themeColor="text1"/>
                <w:lang w:eastAsia="ro-RO"/>
              </w:rPr>
              <w:t>Evaluarea generală a stării de conservare</w:t>
            </w:r>
          </w:p>
        </w:tc>
        <w:tc>
          <w:tcPr>
            <w:tcW w:w="984" w:type="pct"/>
            <w:tcBorders>
              <w:top w:val="nil"/>
              <w:left w:val="nil"/>
              <w:bottom w:val="single" w:sz="4" w:space="0" w:color="auto"/>
              <w:right w:val="single" w:sz="4" w:space="0" w:color="auto"/>
            </w:tcBorders>
            <w:shd w:val="clear" w:color="000000" w:fill="92D050"/>
            <w:noWrap/>
            <w:vAlign w:val="center"/>
            <w:hideMark/>
          </w:tcPr>
          <w:p w14:paraId="2B7F3A0B" w14:textId="77777777" w:rsidR="002D3CA7" w:rsidRPr="00C56257" w:rsidRDefault="002D3CA7" w:rsidP="008E33FD">
            <w:pPr>
              <w:jc w:val="both"/>
              <w:rPr>
                <w:color w:val="000000" w:themeColor="text1"/>
                <w:lang w:eastAsia="ro-RO"/>
              </w:rPr>
            </w:pPr>
            <w:r w:rsidRPr="00C56257">
              <w:rPr>
                <w:color w:val="000000" w:themeColor="text1"/>
                <w:lang w:eastAsia="ro-RO"/>
              </w:rPr>
              <w:t>„Favorabilă”</w:t>
            </w:r>
          </w:p>
        </w:tc>
        <w:tc>
          <w:tcPr>
            <w:tcW w:w="1209" w:type="pct"/>
            <w:tcBorders>
              <w:top w:val="nil"/>
              <w:left w:val="nil"/>
              <w:bottom w:val="single" w:sz="4" w:space="0" w:color="auto"/>
              <w:right w:val="single" w:sz="4" w:space="0" w:color="auto"/>
            </w:tcBorders>
            <w:shd w:val="clear" w:color="000000" w:fill="FFC000"/>
            <w:noWrap/>
            <w:vAlign w:val="center"/>
            <w:hideMark/>
          </w:tcPr>
          <w:p w14:paraId="4AE29236" w14:textId="77777777" w:rsidR="002D3CA7" w:rsidRPr="00C56257" w:rsidRDefault="002D3CA7" w:rsidP="008E33FD">
            <w:pPr>
              <w:jc w:val="both"/>
              <w:rPr>
                <w:color w:val="000000" w:themeColor="text1"/>
                <w:lang w:eastAsia="ro-RO"/>
              </w:rPr>
            </w:pPr>
            <w:r w:rsidRPr="00C56257">
              <w:rPr>
                <w:color w:val="000000" w:themeColor="text1"/>
                <w:lang w:eastAsia="ro-RO"/>
              </w:rPr>
              <w:t>„Nefavorabilă-inadecvată”</w:t>
            </w:r>
          </w:p>
        </w:tc>
        <w:tc>
          <w:tcPr>
            <w:tcW w:w="914" w:type="pct"/>
            <w:tcBorders>
              <w:top w:val="nil"/>
              <w:left w:val="nil"/>
              <w:bottom w:val="single" w:sz="4" w:space="0" w:color="auto"/>
              <w:right w:val="single" w:sz="4" w:space="0" w:color="auto"/>
            </w:tcBorders>
            <w:shd w:val="clear" w:color="000000" w:fill="FF0000"/>
            <w:noWrap/>
            <w:vAlign w:val="center"/>
            <w:hideMark/>
          </w:tcPr>
          <w:p w14:paraId="710FEFC4" w14:textId="77777777" w:rsidR="002D3CA7" w:rsidRPr="00C56257" w:rsidRDefault="002D3CA7" w:rsidP="008E33FD">
            <w:pPr>
              <w:jc w:val="both"/>
              <w:rPr>
                <w:color w:val="000000" w:themeColor="text1"/>
                <w:lang w:eastAsia="ro-RO"/>
              </w:rPr>
            </w:pPr>
            <w:r w:rsidRPr="00C56257">
              <w:rPr>
                <w:color w:val="000000" w:themeColor="text1"/>
                <w:lang w:eastAsia="ro-RO"/>
              </w:rPr>
              <w:t>„Nefavorabilă-rea”</w:t>
            </w:r>
          </w:p>
        </w:tc>
        <w:tc>
          <w:tcPr>
            <w:tcW w:w="1061" w:type="pct"/>
            <w:tcBorders>
              <w:top w:val="nil"/>
              <w:left w:val="nil"/>
              <w:bottom w:val="single" w:sz="4" w:space="0" w:color="auto"/>
              <w:right w:val="single" w:sz="4" w:space="0" w:color="auto"/>
            </w:tcBorders>
            <w:shd w:val="clear" w:color="000000" w:fill="BFBFBF"/>
            <w:noWrap/>
            <w:vAlign w:val="center"/>
            <w:hideMark/>
          </w:tcPr>
          <w:p w14:paraId="0B6E1D5B" w14:textId="77777777" w:rsidR="002D3CA7" w:rsidRPr="00C56257" w:rsidRDefault="002D3CA7" w:rsidP="008E33FD">
            <w:pPr>
              <w:jc w:val="both"/>
              <w:rPr>
                <w:color w:val="000000" w:themeColor="text1"/>
                <w:lang w:eastAsia="ro-RO"/>
              </w:rPr>
            </w:pPr>
            <w:r w:rsidRPr="00C56257">
              <w:rPr>
                <w:color w:val="000000" w:themeColor="text1"/>
                <w:lang w:eastAsia="ro-RO"/>
              </w:rPr>
              <w:t>„Necunoscută”</w:t>
            </w:r>
          </w:p>
        </w:tc>
      </w:tr>
    </w:tbl>
    <w:bookmarkEnd w:id="31"/>
    <w:p w14:paraId="42E46CFF" w14:textId="77777777" w:rsidR="002D3CA7" w:rsidRPr="00C56257" w:rsidRDefault="00DD3620" w:rsidP="008E33FD">
      <w:pPr>
        <w:pStyle w:val="Heading2"/>
        <w:keepNext/>
        <w:keepLines/>
        <w:spacing w:before="160" w:beforeAutospacing="0" w:after="120" w:afterAutospacing="0" w:line="259" w:lineRule="auto"/>
        <w:ind w:left="576"/>
        <w:contextualSpacing/>
        <w:jc w:val="both"/>
        <w:rPr>
          <w:color w:val="000000" w:themeColor="text1"/>
          <w:sz w:val="24"/>
          <w:szCs w:val="24"/>
          <w:lang w:val="fr-FR"/>
        </w:rPr>
      </w:pPr>
      <w:r>
        <w:rPr>
          <w:color w:val="000000" w:themeColor="text1"/>
          <w:sz w:val="24"/>
          <w:szCs w:val="24"/>
          <w:lang w:val="fr-FR"/>
        </w:rPr>
        <w:t>5.2</w:t>
      </w:r>
      <w:r w:rsidR="002D3CA7" w:rsidRPr="00C56257">
        <w:rPr>
          <w:color w:val="000000" w:themeColor="text1"/>
          <w:sz w:val="24"/>
          <w:szCs w:val="24"/>
          <w:lang w:val="fr-FR"/>
        </w:rPr>
        <w:t xml:space="preserve">.  </w:t>
      </w:r>
      <w:proofErr w:type="spellStart"/>
      <w:r w:rsidR="002D3CA7" w:rsidRPr="00C56257">
        <w:rPr>
          <w:color w:val="000000" w:themeColor="text1"/>
          <w:sz w:val="24"/>
          <w:szCs w:val="24"/>
          <w:lang w:val="fr-FR"/>
        </w:rPr>
        <w:t>Protocolul</w:t>
      </w:r>
      <w:proofErr w:type="spellEnd"/>
      <w:r w:rsidR="002D3CA7" w:rsidRPr="00C56257">
        <w:rPr>
          <w:color w:val="000000" w:themeColor="text1"/>
          <w:sz w:val="24"/>
          <w:szCs w:val="24"/>
          <w:lang w:val="fr-FR"/>
        </w:rPr>
        <w:t xml:space="preserve"> de </w:t>
      </w:r>
      <w:proofErr w:type="spellStart"/>
      <w:r w:rsidR="002D3CA7" w:rsidRPr="00C56257">
        <w:rPr>
          <w:color w:val="000000" w:themeColor="text1"/>
          <w:sz w:val="24"/>
          <w:szCs w:val="24"/>
          <w:lang w:val="fr-FR"/>
        </w:rPr>
        <w:t>monitorizare</w:t>
      </w:r>
      <w:proofErr w:type="spellEnd"/>
      <w:r w:rsidR="002D3CA7" w:rsidRPr="00C56257">
        <w:rPr>
          <w:color w:val="000000" w:themeColor="text1"/>
          <w:sz w:val="24"/>
          <w:szCs w:val="24"/>
          <w:lang w:val="fr-FR"/>
        </w:rPr>
        <w:t xml:space="preserve"> a </w:t>
      </w:r>
      <w:proofErr w:type="spellStart"/>
      <w:r w:rsidR="002D3CA7" w:rsidRPr="00C56257">
        <w:rPr>
          <w:color w:val="000000" w:themeColor="text1"/>
          <w:sz w:val="24"/>
          <w:szCs w:val="24"/>
          <w:lang w:val="fr-FR"/>
        </w:rPr>
        <w:t>stării</w:t>
      </w:r>
      <w:proofErr w:type="spellEnd"/>
      <w:r w:rsidR="002D3CA7" w:rsidRPr="00C56257">
        <w:rPr>
          <w:color w:val="000000" w:themeColor="text1"/>
          <w:sz w:val="24"/>
          <w:szCs w:val="24"/>
          <w:lang w:val="fr-FR"/>
        </w:rPr>
        <w:t xml:space="preserve"> de </w:t>
      </w:r>
      <w:proofErr w:type="spellStart"/>
      <w:r w:rsidR="002D3CA7" w:rsidRPr="00C56257">
        <w:rPr>
          <w:color w:val="000000" w:themeColor="text1"/>
          <w:sz w:val="24"/>
          <w:szCs w:val="24"/>
          <w:lang w:val="fr-FR"/>
        </w:rPr>
        <w:t>conservare</w:t>
      </w:r>
      <w:proofErr w:type="spellEnd"/>
      <w:r w:rsidR="002D3CA7" w:rsidRPr="00C56257">
        <w:rPr>
          <w:color w:val="000000" w:themeColor="text1"/>
          <w:sz w:val="24"/>
          <w:szCs w:val="24"/>
          <w:lang w:val="fr-FR"/>
        </w:rPr>
        <w:t xml:space="preserve"> a </w:t>
      </w:r>
      <w:proofErr w:type="spellStart"/>
      <w:r w:rsidR="002D3CA7" w:rsidRPr="00C56257">
        <w:rPr>
          <w:color w:val="000000" w:themeColor="text1"/>
          <w:sz w:val="24"/>
          <w:szCs w:val="24"/>
          <w:lang w:val="fr-FR"/>
        </w:rPr>
        <w:t>habitatelor</w:t>
      </w:r>
      <w:proofErr w:type="spellEnd"/>
      <w:r w:rsidR="002D3CA7" w:rsidRPr="00C56257">
        <w:rPr>
          <w:color w:val="000000" w:themeColor="text1"/>
          <w:sz w:val="24"/>
          <w:szCs w:val="24"/>
          <w:lang w:val="fr-FR"/>
        </w:rPr>
        <w:t xml:space="preserve"> de </w:t>
      </w:r>
      <w:proofErr w:type="spellStart"/>
      <w:r w:rsidR="002D3CA7" w:rsidRPr="00C56257">
        <w:rPr>
          <w:color w:val="000000" w:themeColor="text1"/>
          <w:sz w:val="24"/>
          <w:szCs w:val="24"/>
          <w:lang w:val="fr-FR"/>
        </w:rPr>
        <w:t>tufărișuri</w:t>
      </w:r>
      <w:proofErr w:type="spellEnd"/>
      <w:r w:rsidR="002D3CA7" w:rsidRPr="00C56257">
        <w:rPr>
          <w:color w:val="000000" w:themeColor="text1"/>
          <w:sz w:val="24"/>
          <w:szCs w:val="24"/>
          <w:lang w:val="fr-FR"/>
        </w:rPr>
        <w:t xml:space="preserve"> de </w:t>
      </w:r>
      <w:proofErr w:type="spellStart"/>
      <w:r w:rsidR="002D3CA7" w:rsidRPr="00C56257">
        <w:rPr>
          <w:color w:val="000000" w:themeColor="text1"/>
          <w:sz w:val="24"/>
          <w:szCs w:val="24"/>
          <w:lang w:val="fr-FR"/>
        </w:rPr>
        <w:t>interes</w:t>
      </w:r>
      <w:proofErr w:type="spellEnd"/>
      <w:r w:rsidR="002D3CA7" w:rsidRPr="00C56257">
        <w:rPr>
          <w:color w:val="000000" w:themeColor="text1"/>
          <w:sz w:val="24"/>
          <w:szCs w:val="24"/>
          <w:lang w:val="fr-FR"/>
        </w:rPr>
        <w:t xml:space="preserve"> </w:t>
      </w:r>
      <w:proofErr w:type="spellStart"/>
      <w:r w:rsidR="002D3CA7" w:rsidRPr="00C56257">
        <w:rPr>
          <w:color w:val="000000" w:themeColor="text1"/>
          <w:sz w:val="24"/>
          <w:szCs w:val="24"/>
          <w:lang w:val="fr-FR"/>
        </w:rPr>
        <w:t>comunitar</w:t>
      </w:r>
      <w:proofErr w:type="spellEnd"/>
      <w:r w:rsidR="002D3CA7" w:rsidRPr="00C56257">
        <w:rPr>
          <w:color w:val="000000" w:themeColor="text1"/>
          <w:sz w:val="24"/>
          <w:szCs w:val="24"/>
          <w:lang w:val="fr-FR"/>
        </w:rPr>
        <w:t xml:space="preserve"> </w:t>
      </w:r>
    </w:p>
    <w:p w14:paraId="5036426F" w14:textId="77777777" w:rsidR="002D3CA7" w:rsidRPr="00C56257" w:rsidRDefault="00DD3620" w:rsidP="008E33FD">
      <w:pPr>
        <w:widowControl w:val="0"/>
        <w:autoSpaceDE w:val="0"/>
        <w:autoSpaceDN w:val="0"/>
        <w:adjustRightInd w:val="0"/>
        <w:jc w:val="both"/>
        <w:rPr>
          <w:b/>
          <w:bCs/>
          <w:iCs/>
          <w:color w:val="000000" w:themeColor="text1"/>
        </w:rPr>
      </w:pPr>
      <w:r>
        <w:rPr>
          <w:b/>
          <w:bCs/>
          <w:iCs/>
          <w:color w:val="000000" w:themeColor="text1"/>
        </w:rPr>
        <w:t>5</w:t>
      </w:r>
      <w:r w:rsidR="002D3CA7" w:rsidRPr="00C56257">
        <w:rPr>
          <w:b/>
          <w:bCs/>
          <w:iCs/>
          <w:color w:val="000000" w:themeColor="text1"/>
        </w:rPr>
        <w:t>.</w:t>
      </w:r>
      <w:r>
        <w:rPr>
          <w:b/>
          <w:bCs/>
          <w:iCs/>
          <w:color w:val="000000" w:themeColor="text1"/>
        </w:rPr>
        <w:t>2.</w:t>
      </w:r>
      <w:r w:rsidR="002D3CA7" w:rsidRPr="00C56257">
        <w:rPr>
          <w:b/>
          <w:bCs/>
          <w:iCs/>
          <w:color w:val="000000" w:themeColor="text1"/>
        </w:rPr>
        <w:t>1 Protocolul de colectare a datelor din teren pentru habitatele de tufărișuri de interes comunitar</w:t>
      </w:r>
    </w:p>
    <w:p w14:paraId="4C9F8752" w14:textId="77777777" w:rsidR="002D3CA7" w:rsidRPr="00C56257" w:rsidRDefault="002D3CA7" w:rsidP="008E33FD">
      <w:pPr>
        <w:spacing w:line="276" w:lineRule="auto"/>
        <w:ind w:firstLine="709"/>
        <w:contextualSpacing/>
        <w:jc w:val="both"/>
        <w:rPr>
          <w:rFonts w:eastAsia="Calibri"/>
          <w:color w:val="000000" w:themeColor="text1"/>
        </w:rPr>
      </w:pPr>
      <w:r w:rsidRPr="00C56257">
        <w:rPr>
          <w:rFonts w:eastAsia="Calibri"/>
          <w:color w:val="000000" w:themeColor="text1"/>
        </w:rPr>
        <w:t>În cele ce urmează sunt prezentate metodologiile de monitorizare pentru habitatele de tufărișuri începând de la stabilirea eşantionajului, mărimea suprafeţelor de probă, perioada optimă şi frecvenţa de colectare a datelor din teren, până la prelucrarea, interpretarea datelor şi raportarea acestora conform formatului impus.</w:t>
      </w:r>
    </w:p>
    <w:p w14:paraId="1F173D51" w14:textId="77777777" w:rsidR="002D3CA7" w:rsidRPr="00C56257" w:rsidRDefault="002D3CA7" w:rsidP="008E33FD">
      <w:pPr>
        <w:spacing w:line="276" w:lineRule="auto"/>
        <w:ind w:firstLine="709"/>
        <w:contextualSpacing/>
        <w:jc w:val="both"/>
        <w:rPr>
          <w:rFonts w:eastAsia="Calibri"/>
          <w:color w:val="000000" w:themeColor="text1"/>
        </w:rPr>
      </w:pPr>
      <w:r w:rsidRPr="00C56257">
        <w:rPr>
          <w:rFonts w:eastAsia="Calibri"/>
          <w:color w:val="000000" w:themeColor="text1"/>
        </w:rPr>
        <w:t>Modul de colectare al datelor din teren se va face conform Directivei Habitate (92/43/CEE), care prevede ca fiecare stat membru al Uniunii Europene să asigure pe de o parte menţinerea sau refacerea stării favorabile de conservare a habitatelor de tufărișuri de interes comunitar, iar pe de altă parte să asigure protecția biodiversității dar și îmbunătățirea calității mediului natural.</w:t>
      </w:r>
    </w:p>
    <w:p w14:paraId="59980ED0" w14:textId="77777777" w:rsidR="002D3CA7" w:rsidRPr="00C56257" w:rsidRDefault="002D3CA7" w:rsidP="008E33FD">
      <w:pPr>
        <w:widowControl w:val="0"/>
        <w:autoSpaceDE w:val="0"/>
        <w:autoSpaceDN w:val="0"/>
        <w:adjustRightInd w:val="0"/>
        <w:spacing w:line="276" w:lineRule="auto"/>
        <w:ind w:firstLine="720"/>
        <w:jc w:val="both"/>
        <w:rPr>
          <w:color w:val="000000" w:themeColor="text1"/>
        </w:rPr>
      </w:pPr>
      <w:r w:rsidRPr="00C56257">
        <w:rPr>
          <w:color w:val="000000" w:themeColor="text1"/>
        </w:rPr>
        <w:t>După cum s-a menționat anterior, pe teritoriul țării noastre au fost identificate 6 habitate de tufărișuri de interes comunitar. Fiecărui habitat îi corespunde un cod, o denumire și se regăsește în una sau mai multe regiuni biogeografice (Tabelul 5):</w:t>
      </w:r>
    </w:p>
    <w:p w14:paraId="397D18DB" w14:textId="77777777" w:rsidR="002D3CA7" w:rsidRPr="00C56257" w:rsidRDefault="002D3CA7" w:rsidP="008E33FD">
      <w:pPr>
        <w:widowControl w:val="0"/>
        <w:autoSpaceDE w:val="0"/>
        <w:autoSpaceDN w:val="0"/>
        <w:adjustRightInd w:val="0"/>
        <w:jc w:val="both"/>
        <w:rPr>
          <w:color w:val="000000" w:themeColor="text1"/>
        </w:rPr>
      </w:pPr>
      <w:r w:rsidRPr="00C56257">
        <w:rPr>
          <w:color w:val="000000" w:themeColor="text1"/>
        </w:rPr>
        <w:t>Tabelul 5: Habitatele de tufărișuri de interes comunitar din România pe regiuni biogeografice</w:t>
      </w:r>
    </w:p>
    <w:tbl>
      <w:tblPr>
        <w:tblW w:w="5000" w:type="pct"/>
        <w:tblLook w:val="04A0" w:firstRow="1" w:lastRow="0" w:firstColumn="1" w:lastColumn="0" w:noHBand="0" w:noVBand="1"/>
      </w:tblPr>
      <w:tblGrid>
        <w:gridCol w:w="1579"/>
        <w:gridCol w:w="1091"/>
        <w:gridCol w:w="2153"/>
        <w:gridCol w:w="1543"/>
        <w:gridCol w:w="1239"/>
        <w:gridCol w:w="2389"/>
      </w:tblGrid>
      <w:tr w:rsidR="00673EFE" w:rsidRPr="00C56257" w14:paraId="2CC995B8" w14:textId="77777777" w:rsidTr="002825C6">
        <w:trPr>
          <w:trHeight w:val="300"/>
        </w:trPr>
        <w:tc>
          <w:tcPr>
            <w:tcW w:w="790" w:type="pct"/>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F2F547D"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Cod Habitat</w:t>
            </w:r>
          </w:p>
        </w:tc>
        <w:tc>
          <w:tcPr>
            <w:tcW w:w="4210" w:type="pct"/>
            <w:gridSpan w:val="5"/>
            <w:tcBorders>
              <w:top w:val="single" w:sz="4" w:space="0" w:color="auto"/>
              <w:left w:val="nil"/>
              <w:bottom w:val="single" w:sz="4" w:space="0" w:color="auto"/>
              <w:right w:val="single" w:sz="4" w:space="0" w:color="auto"/>
            </w:tcBorders>
            <w:shd w:val="clear" w:color="auto" w:fill="92D050"/>
            <w:noWrap/>
            <w:vAlign w:val="center"/>
            <w:hideMark/>
          </w:tcPr>
          <w:p w14:paraId="25C90B77"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Regiune biogeografică</w:t>
            </w:r>
          </w:p>
        </w:tc>
      </w:tr>
      <w:tr w:rsidR="00673EFE" w:rsidRPr="00C56257" w14:paraId="634C7ADF" w14:textId="77777777" w:rsidTr="002825C6">
        <w:trPr>
          <w:trHeight w:val="300"/>
        </w:trPr>
        <w:tc>
          <w:tcPr>
            <w:tcW w:w="790" w:type="pct"/>
            <w:tcBorders>
              <w:top w:val="nil"/>
              <w:left w:val="single" w:sz="4" w:space="0" w:color="auto"/>
              <w:bottom w:val="single" w:sz="4" w:space="0" w:color="auto"/>
              <w:right w:val="single" w:sz="4" w:space="0" w:color="auto"/>
            </w:tcBorders>
            <w:noWrap/>
            <w:vAlign w:val="center"/>
            <w:hideMark/>
          </w:tcPr>
          <w:p w14:paraId="4C81843E"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4030</w:t>
            </w:r>
          </w:p>
        </w:tc>
        <w:tc>
          <w:tcPr>
            <w:tcW w:w="546" w:type="pct"/>
            <w:tcBorders>
              <w:top w:val="nil"/>
              <w:left w:val="nil"/>
              <w:bottom w:val="single" w:sz="4" w:space="0" w:color="auto"/>
              <w:right w:val="single" w:sz="4" w:space="0" w:color="auto"/>
            </w:tcBorders>
            <w:noWrap/>
            <w:vAlign w:val="center"/>
            <w:hideMark/>
          </w:tcPr>
          <w:p w14:paraId="1FBB148B"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Alpină</w:t>
            </w:r>
          </w:p>
        </w:tc>
        <w:tc>
          <w:tcPr>
            <w:tcW w:w="1077" w:type="pct"/>
            <w:tcBorders>
              <w:top w:val="nil"/>
              <w:left w:val="nil"/>
              <w:bottom w:val="single" w:sz="4" w:space="0" w:color="auto"/>
              <w:right w:val="single" w:sz="4" w:space="0" w:color="auto"/>
            </w:tcBorders>
            <w:noWrap/>
            <w:vAlign w:val="center"/>
            <w:hideMark/>
          </w:tcPr>
          <w:p w14:paraId="670FE00D" w14:textId="77777777" w:rsidR="002D3CA7" w:rsidRPr="00C56257" w:rsidRDefault="002D3CA7" w:rsidP="008E33FD">
            <w:pPr>
              <w:jc w:val="both"/>
              <w:rPr>
                <w:color w:val="000000" w:themeColor="text1"/>
              </w:rPr>
            </w:pPr>
          </w:p>
        </w:tc>
        <w:tc>
          <w:tcPr>
            <w:tcW w:w="772" w:type="pct"/>
            <w:tcBorders>
              <w:top w:val="nil"/>
              <w:left w:val="nil"/>
              <w:bottom w:val="single" w:sz="4" w:space="0" w:color="auto"/>
              <w:right w:val="single" w:sz="4" w:space="0" w:color="auto"/>
            </w:tcBorders>
            <w:noWrap/>
            <w:vAlign w:val="center"/>
            <w:hideMark/>
          </w:tcPr>
          <w:p w14:paraId="67133E78"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 </w:t>
            </w:r>
          </w:p>
        </w:tc>
        <w:tc>
          <w:tcPr>
            <w:tcW w:w="620" w:type="pct"/>
            <w:tcBorders>
              <w:top w:val="nil"/>
              <w:left w:val="nil"/>
              <w:bottom w:val="single" w:sz="4" w:space="0" w:color="auto"/>
              <w:right w:val="single" w:sz="4" w:space="0" w:color="auto"/>
            </w:tcBorders>
            <w:noWrap/>
            <w:vAlign w:val="center"/>
            <w:hideMark/>
          </w:tcPr>
          <w:p w14:paraId="68506313"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 </w:t>
            </w:r>
          </w:p>
        </w:tc>
        <w:tc>
          <w:tcPr>
            <w:tcW w:w="1194" w:type="pct"/>
            <w:tcBorders>
              <w:top w:val="nil"/>
              <w:left w:val="nil"/>
              <w:bottom w:val="single" w:sz="4" w:space="0" w:color="auto"/>
              <w:right w:val="single" w:sz="4" w:space="0" w:color="auto"/>
            </w:tcBorders>
            <w:noWrap/>
            <w:vAlign w:val="center"/>
            <w:hideMark/>
          </w:tcPr>
          <w:p w14:paraId="6EF5B5CD"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 </w:t>
            </w:r>
          </w:p>
        </w:tc>
      </w:tr>
      <w:tr w:rsidR="00673EFE" w:rsidRPr="00C56257" w14:paraId="50521A85" w14:textId="77777777" w:rsidTr="002825C6">
        <w:trPr>
          <w:trHeight w:val="300"/>
        </w:trPr>
        <w:tc>
          <w:tcPr>
            <w:tcW w:w="790" w:type="pct"/>
            <w:tcBorders>
              <w:top w:val="nil"/>
              <w:left w:val="single" w:sz="4" w:space="0" w:color="auto"/>
              <w:bottom w:val="single" w:sz="4" w:space="0" w:color="auto"/>
              <w:right w:val="single" w:sz="4" w:space="0" w:color="auto"/>
            </w:tcBorders>
            <w:noWrap/>
            <w:vAlign w:val="center"/>
            <w:hideMark/>
          </w:tcPr>
          <w:p w14:paraId="0812B187"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4060</w:t>
            </w:r>
          </w:p>
        </w:tc>
        <w:tc>
          <w:tcPr>
            <w:tcW w:w="546" w:type="pct"/>
            <w:tcBorders>
              <w:top w:val="nil"/>
              <w:left w:val="nil"/>
              <w:bottom w:val="single" w:sz="4" w:space="0" w:color="auto"/>
              <w:right w:val="single" w:sz="4" w:space="0" w:color="auto"/>
            </w:tcBorders>
            <w:noWrap/>
            <w:vAlign w:val="center"/>
            <w:hideMark/>
          </w:tcPr>
          <w:p w14:paraId="50314CD4"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Alpină</w:t>
            </w:r>
          </w:p>
        </w:tc>
        <w:tc>
          <w:tcPr>
            <w:tcW w:w="1077" w:type="pct"/>
            <w:tcBorders>
              <w:top w:val="nil"/>
              <w:left w:val="nil"/>
              <w:bottom w:val="single" w:sz="4" w:space="0" w:color="auto"/>
              <w:right w:val="single" w:sz="4" w:space="0" w:color="auto"/>
            </w:tcBorders>
            <w:noWrap/>
            <w:vAlign w:val="center"/>
            <w:hideMark/>
          </w:tcPr>
          <w:p w14:paraId="0E5D311E" w14:textId="77777777" w:rsidR="002D3CA7" w:rsidRPr="00C56257" w:rsidRDefault="002D3CA7" w:rsidP="008E33FD">
            <w:pPr>
              <w:jc w:val="both"/>
              <w:rPr>
                <w:color w:val="000000" w:themeColor="text1"/>
              </w:rPr>
            </w:pPr>
          </w:p>
        </w:tc>
        <w:tc>
          <w:tcPr>
            <w:tcW w:w="772" w:type="pct"/>
            <w:tcBorders>
              <w:top w:val="nil"/>
              <w:left w:val="nil"/>
              <w:bottom w:val="single" w:sz="4" w:space="0" w:color="auto"/>
              <w:right w:val="single" w:sz="4" w:space="0" w:color="auto"/>
            </w:tcBorders>
            <w:noWrap/>
            <w:vAlign w:val="center"/>
            <w:hideMark/>
          </w:tcPr>
          <w:p w14:paraId="2832060B"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 </w:t>
            </w:r>
          </w:p>
        </w:tc>
        <w:tc>
          <w:tcPr>
            <w:tcW w:w="620" w:type="pct"/>
            <w:tcBorders>
              <w:top w:val="nil"/>
              <w:left w:val="nil"/>
              <w:bottom w:val="single" w:sz="4" w:space="0" w:color="auto"/>
              <w:right w:val="single" w:sz="4" w:space="0" w:color="auto"/>
            </w:tcBorders>
            <w:noWrap/>
            <w:vAlign w:val="center"/>
            <w:hideMark/>
          </w:tcPr>
          <w:p w14:paraId="221EAC0A"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 </w:t>
            </w:r>
          </w:p>
        </w:tc>
        <w:tc>
          <w:tcPr>
            <w:tcW w:w="1194" w:type="pct"/>
            <w:tcBorders>
              <w:top w:val="nil"/>
              <w:left w:val="nil"/>
              <w:bottom w:val="single" w:sz="4" w:space="0" w:color="auto"/>
              <w:right w:val="single" w:sz="4" w:space="0" w:color="auto"/>
            </w:tcBorders>
            <w:noWrap/>
            <w:vAlign w:val="center"/>
            <w:hideMark/>
          </w:tcPr>
          <w:p w14:paraId="0DBABF85"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 </w:t>
            </w:r>
          </w:p>
        </w:tc>
      </w:tr>
      <w:tr w:rsidR="00673EFE" w:rsidRPr="00C56257" w14:paraId="3707F221" w14:textId="77777777" w:rsidTr="002825C6">
        <w:trPr>
          <w:trHeight w:val="300"/>
        </w:trPr>
        <w:tc>
          <w:tcPr>
            <w:tcW w:w="790" w:type="pct"/>
            <w:tcBorders>
              <w:top w:val="nil"/>
              <w:left w:val="single" w:sz="4" w:space="0" w:color="auto"/>
              <w:bottom w:val="single" w:sz="4" w:space="0" w:color="auto"/>
              <w:right w:val="single" w:sz="4" w:space="0" w:color="auto"/>
            </w:tcBorders>
            <w:noWrap/>
            <w:vAlign w:val="center"/>
            <w:hideMark/>
          </w:tcPr>
          <w:p w14:paraId="78D04BE9"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4070*</w:t>
            </w:r>
          </w:p>
        </w:tc>
        <w:tc>
          <w:tcPr>
            <w:tcW w:w="546" w:type="pct"/>
            <w:tcBorders>
              <w:top w:val="nil"/>
              <w:left w:val="nil"/>
              <w:bottom w:val="single" w:sz="4" w:space="0" w:color="auto"/>
              <w:right w:val="single" w:sz="4" w:space="0" w:color="auto"/>
            </w:tcBorders>
            <w:noWrap/>
            <w:vAlign w:val="center"/>
            <w:hideMark/>
          </w:tcPr>
          <w:p w14:paraId="69FD238D"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Alpină</w:t>
            </w:r>
          </w:p>
        </w:tc>
        <w:tc>
          <w:tcPr>
            <w:tcW w:w="1077" w:type="pct"/>
            <w:tcBorders>
              <w:top w:val="nil"/>
              <w:left w:val="nil"/>
              <w:bottom w:val="single" w:sz="4" w:space="0" w:color="auto"/>
              <w:right w:val="single" w:sz="4" w:space="0" w:color="auto"/>
            </w:tcBorders>
            <w:noWrap/>
            <w:vAlign w:val="center"/>
            <w:hideMark/>
          </w:tcPr>
          <w:p w14:paraId="2F49C672" w14:textId="77777777" w:rsidR="002D3CA7" w:rsidRPr="00C56257" w:rsidRDefault="002D3CA7" w:rsidP="008E33FD">
            <w:pPr>
              <w:jc w:val="both"/>
              <w:rPr>
                <w:color w:val="000000" w:themeColor="text1"/>
              </w:rPr>
            </w:pPr>
          </w:p>
        </w:tc>
        <w:tc>
          <w:tcPr>
            <w:tcW w:w="772" w:type="pct"/>
            <w:tcBorders>
              <w:top w:val="nil"/>
              <w:left w:val="nil"/>
              <w:bottom w:val="single" w:sz="4" w:space="0" w:color="auto"/>
              <w:right w:val="single" w:sz="4" w:space="0" w:color="auto"/>
            </w:tcBorders>
            <w:noWrap/>
            <w:vAlign w:val="center"/>
            <w:hideMark/>
          </w:tcPr>
          <w:p w14:paraId="3C4EBE4F"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 </w:t>
            </w:r>
          </w:p>
        </w:tc>
        <w:tc>
          <w:tcPr>
            <w:tcW w:w="620" w:type="pct"/>
            <w:tcBorders>
              <w:top w:val="nil"/>
              <w:left w:val="nil"/>
              <w:bottom w:val="single" w:sz="4" w:space="0" w:color="auto"/>
              <w:right w:val="single" w:sz="4" w:space="0" w:color="auto"/>
            </w:tcBorders>
            <w:noWrap/>
            <w:vAlign w:val="center"/>
            <w:hideMark/>
          </w:tcPr>
          <w:p w14:paraId="33E7ADB3"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 </w:t>
            </w:r>
          </w:p>
        </w:tc>
        <w:tc>
          <w:tcPr>
            <w:tcW w:w="1194" w:type="pct"/>
            <w:tcBorders>
              <w:top w:val="nil"/>
              <w:left w:val="nil"/>
              <w:bottom w:val="single" w:sz="4" w:space="0" w:color="auto"/>
              <w:right w:val="single" w:sz="4" w:space="0" w:color="auto"/>
            </w:tcBorders>
            <w:noWrap/>
            <w:vAlign w:val="center"/>
            <w:hideMark/>
          </w:tcPr>
          <w:p w14:paraId="59FF6D10"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 </w:t>
            </w:r>
          </w:p>
        </w:tc>
      </w:tr>
      <w:tr w:rsidR="00673EFE" w:rsidRPr="00C56257" w14:paraId="0CC225F7" w14:textId="77777777" w:rsidTr="002825C6">
        <w:trPr>
          <w:trHeight w:val="300"/>
        </w:trPr>
        <w:tc>
          <w:tcPr>
            <w:tcW w:w="790" w:type="pct"/>
            <w:tcBorders>
              <w:top w:val="nil"/>
              <w:left w:val="single" w:sz="4" w:space="0" w:color="auto"/>
              <w:bottom w:val="single" w:sz="4" w:space="0" w:color="auto"/>
              <w:right w:val="single" w:sz="4" w:space="0" w:color="auto"/>
            </w:tcBorders>
            <w:noWrap/>
            <w:vAlign w:val="center"/>
            <w:hideMark/>
          </w:tcPr>
          <w:p w14:paraId="46E0A45E"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4080</w:t>
            </w:r>
          </w:p>
        </w:tc>
        <w:tc>
          <w:tcPr>
            <w:tcW w:w="546" w:type="pct"/>
            <w:tcBorders>
              <w:top w:val="nil"/>
              <w:left w:val="nil"/>
              <w:bottom w:val="single" w:sz="4" w:space="0" w:color="auto"/>
              <w:right w:val="single" w:sz="4" w:space="0" w:color="auto"/>
            </w:tcBorders>
            <w:noWrap/>
            <w:vAlign w:val="center"/>
            <w:hideMark/>
          </w:tcPr>
          <w:p w14:paraId="330E95D2"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Alpină</w:t>
            </w:r>
          </w:p>
        </w:tc>
        <w:tc>
          <w:tcPr>
            <w:tcW w:w="1077" w:type="pct"/>
            <w:tcBorders>
              <w:top w:val="nil"/>
              <w:left w:val="nil"/>
              <w:bottom w:val="single" w:sz="4" w:space="0" w:color="auto"/>
              <w:right w:val="single" w:sz="4" w:space="0" w:color="auto"/>
            </w:tcBorders>
            <w:noWrap/>
            <w:vAlign w:val="center"/>
            <w:hideMark/>
          </w:tcPr>
          <w:p w14:paraId="519673CD" w14:textId="77777777" w:rsidR="002D3CA7" w:rsidRPr="00C56257" w:rsidRDefault="002D3CA7" w:rsidP="008E33FD">
            <w:pPr>
              <w:jc w:val="both"/>
              <w:rPr>
                <w:color w:val="000000" w:themeColor="text1"/>
              </w:rPr>
            </w:pPr>
          </w:p>
        </w:tc>
        <w:tc>
          <w:tcPr>
            <w:tcW w:w="772" w:type="pct"/>
            <w:tcBorders>
              <w:top w:val="nil"/>
              <w:left w:val="nil"/>
              <w:bottom w:val="single" w:sz="4" w:space="0" w:color="auto"/>
              <w:right w:val="single" w:sz="4" w:space="0" w:color="auto"/>
            </w:tcBorders>
            <w:noWrap/>
            <w:vAlign w:val="center"/>
            <w:hideMark/>
          </w:tcPr>
          <w:p w14:paraId="13E56980"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 </w:t>
            </w:r>
          </w:p>
        </w:tc>
        <w:tc>
          <w:tcPr>
            <w:tcW w:w="620" w:type="pct"/>
            <w:tcBorders>
              <w:top w:val="nil"/>
              <w:left w:val="nil"/>
              <w:bottom w:val="single" w:sz="4" w:space="0" w:color="auto"/>
              <w:right w:val="single" w:sz="4" w:space="0" w:color="auto"/>
            </w:tcBorders>
            <w:noWrap/>
            <w:vAlign w:val="center"/>
            <w:hideMark/>
          </w:tcPr>
          <w:p w14:paraId="630D07CC"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 </w:t>
            </w:r>
          </w:p>
        </w:tc>
        <w:tc>
          <w:tcPr>
            <w:tcW w:w="1194" w:type="pct"/>
            <w:tcBorders>
              <w:top w:val="nil"/>
              <w:left w:val="nil"/>
              <w:bottom w:val="single" w:sz="4" w:space="0" w:color="auto"/>
              <w:right w:val="single" w:sz="4" w:space="0" w:color="auto"/>
            </w:tcBorders>
            <w:noWrap/>
            <w:vAlign w:val="center"/>
            <w:hideMark/>
          </w:tcPr>
          <w:p w14:paraId="05F11513"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 </w:t>
            </w:r>
          </w:p>
        </w:tc>
      </w:tr>
      <w:tr w:rsidR="00673EFE" w:rsidRPr="00C56257" w14:paraId="044EF5FB" w14:textId="77777777" w:rsidTr="002825C6">
        <w:trPr>
          <w:trHeight w:val="300"/>
        </w:trPr>
        <w:tc>
          <w:tcPr>
            <w:tcW w:w="790" w:type="pct"/>
            <w:tcBorders>
              <w:top w:val="nil"/>
              <w:left w:val="single" w:sz="4" w:space="0" w:color="auto"/>
              <w:bottom w:val="single" w:sz="4" w:space="0" w:color="auto"/>
              <w:right w:val="single" w:sz="4" w:space="0" w:color="auto"/>
            </w:tcBorders>
            <w:noWrap/>
            <w:vAlign w:val="center"/>
            <w:hideMark/>
          </w:tcPr>
          <w:p w14:paraId="0F3720B7"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40A0*</w:t>
            </w:r>
          </w:p>
        </w:tc>
        <w:tc>
          <w:tcPr>
            <w:tcW w:w="546" w:type="pct"/>
            <w:tcBorders>
              <w:top w:val="nil"/>
              <w:left w:val="nil"/>
              <w:bottom w:val="single" w:sz="4" w:space="0" w:color="auto"/>
              <w:right w:val="single" w:sz="4" w:space="0" w:color="auto"/>
            </w:tcBorders>
            <w:noWrap/>
            <w:vAlign w:val="center"/>
            <w:hideMark/>
          </w:tcPr>
          <w:p w14:paraId="50EED7DC"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Alpină</w:t>
            </w:r>
          </w:p>
        </w:tc>
        <w:tc>
          <w:tcPr>
            <w:tcW w:w="1077" w:type="pct"/>
            <w:tcBorders>
              <w:top w:val="nil"/>
              <w:left w:val="nil"/>
              <w:bottom w:val="single" w:sz="4" w:space="0" w:color="auto"/>
              <w:right w:val="single" w:sz="4" w:space="0" w:color="auto"/>
            </w:tcBorders>
            <w:noWrap/>
            <w:vAlign w:val="center"/>
            <w:hideMark/>
          </w:tcPr>
          <w:p w14:paraId="75DBE26B"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Continentală</w:t>
            </w:r>
          </w:p>
        </w:tc>
        <w:tc>
          <w:tcPr>
            <w:tcW w:w="772" w:type="pct"/>
            <w:tcBorders>
              <w:top w:val="nil"/>
              <w:left w:val="nil"/>
              <w:bottom w:val="single" w:sz="4" w:space="0" w:color="auto"/>
              <w:right w:val="single" w:sz="4" w:space="0" w:color="auto"/>
            </w:tcBorders>
            <w:noWrap/>
            <w:vAlign w:val="center"/>
            <w:hideMark/>
          </w:tcPr>
          <w:p w14:paraId="0F8A185D"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 Panonică</w:t>
            </w:r>
          </w:p>
        </w:tc>
        <w:tc>
          <w:tcPr>
            <w:tcW w:w="620" w:type="pct"/>
            <w:tcBorders>
              <w:top w:val="nil"/>
              <w:left w:val="nil"/>
              <w:bottom w:val="single" w:sz="4" w:space="0" w:color="auto"/>
              <w:right w:val="single" w:sz="4" w:space="0" w:color="auto"/>
            </w:tcBorders>
            <w:noWrap/>
            <w:vAlign w:val="center"/>
            <w:hideMark/>
          </w:tcPr>
          <w:p w14:paraId="3FD55411"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 </w:t>
            </w:r>
          </w:p>
        </w:tc>
        <w:tc>
          <w:tcPr>
            <w:tcW w:w="1194" w:type="pct"/>
            <w:tcBorders>
              <w:top w:val="nil"/>
              <w:left w:val="nil"/>
              <w:bottom w:val="single" w:sz="4" w:space="0" w:color="auto"/>
              <w:right w:val="single" w:sz="4" w:space="0" w:color="auto"/>
            </w:tcBorders>
            <w:noWrap/>
            <w:vAlign w:val="center"/>
            <w:hideMark/>
          </w:tcPr>
          <w:p w14:paraId="7606F76D"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 </w:t>
            </w:r>
          </w:p>
        </w:tc>
      </w:tr>
      <w:tr w:rsidR="00673EFE" w:rsidRPr="00C56257" w14:paraId="4ADA58DF" w14:textId="77777777" w:rsidTr="002825C6">
        <w:trPr>
          <w:trHeight w:val="300"/>
        </w:trPr>
        <w:tc>
          <w:tcPr>
            <w:tcW w:w="790" w:type="pct"/>
            <w:tcBorders>
              <w:top w:val="nil"/>
              <w:left w:val="single" w:sz="4" w:space="0" w:color="auto"/>
              <w:bottom w:val="single" w:sz="4" w:space="0" w:color="auto"/>
              <w:right w:val="single" w:sz="4" w:space="0" w:color="auto"/>
            </w:tcBorders>
            <w:noWrap/>
            <w:vAlign w:val="center"/>
            <w:hideMark/>
          </w:tcPr>
          <w:p w14:paraId="643F4884"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40C0*</w:t>
            </w:r>
          </w:p>
        </w:tc>
        <w:tc>
          <w:tcPr>
            <w:tcW w:w="546" w:type="pct"/>
            <w:tcBorders>
              <w:top w:val="nil"/>
              <w:left w:val="nil"/>
              <w:bottom w:val="single" w:sz="4" w:space="0" w:color="auto"/>
              <w:right w:val="single" w:sz="4" w:space="0" w:color="auto"/>
            </w:tcBorders>
            <w:noWrap/>
            <w:vAlign w:val="center"/>
            <w:hideMark/>
          </w:tcPr>
          <w:p w14:paraId="6ACDE1D8"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 </w:t>
            </w:r>
          </w:p>
        </w:tc>
        <w:tc>
          <w:tcPr>
            <w:tcW w:w="1077" w:type="pct"/>
            <w:tcBorders>
              <w:top w:val="nil"/>
              <w:left w:val="nil"/>
              <w:bottom w:val="single" w:sz="4" w:space="0" w:color="auto"/>
              <w:right w:val="single" w:sz="4" w:space="0" w:color="auto"/>
            </w:tcBorders>
            <w:noWrap/>
            <w:vAlign w:val="center"/>
            <w:hideMark/>
          </w:tcPr>
          <w:p w14:paraId="775DF8E7"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Continentală</w:t>
            </w:r>
          </w:p>
        </w:tc>
        <w:tc>
          <w:tcPr>
            <w:tcW w:w="772" w:type="pct"/>
            <w:tcBorders>
              <w:top w:val="nil"/>
              <w:left w:val="nil"/>
              <w:bottom w:val="single" w:sz="4" w:space="0" w:color="auto"/>
              <w:right w:val="single" w:sz="4" w:space="0" w:color="auto"/>
            </w:tcBorders>
            <w:noWrap/>
            <w:vAlign w:val="center"/>
            <w:hideMark/>
          </w:tcPr>
          <w:p w14:paraId="6B22A33C"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 </w:t>
            </w:r>
          </w:p>
        </w:tc>
        <w:tc>
          <w:tcPr>
            <w:tcW w:w="620" w:type="pct"/>
            <w:tcBorders>
              <w:top w:val="nil"/>
              <w:left w:val="nil"/>
              <w:bottom w:val="single" w:sz="4" w:space="0" w:color="auto"/>
              <w:right w:val="single" w:sz="4" w:space="0" w:color="auto"/>
            </w:tcBorders>
            <w:noWrap/>
            <w:vAlign w:val="center"/>
            <w:hideMark/>
          </w:tcPr>
          <w:p w14:paraId="2ADD359A"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Stepică</w:t>
            </w:r>
          </w:p>
        </w:tc>
        <w:tc>
          <w:tcPr>
            <w:tcW w:w="1194" w:type="pct"/>
            <w:tcBorders>
              <w:top w:val="nil"/>
              <w:left w:val="nil"/>
              <w:bottom w:val="single" w:sz="4" w:space="0" w:color="auto"/>
              <w:right w:val="single" w:sz="4" w:space="0" w:color="auto"/>
            </w:tcBorders>
            <w:noWrap/>
            <w:vAlign w:val="center"/>
            <w:hideMark/>
          </w:tcPr>
          <w:p w14:paraId="035E11B7" w14:textId="77777777" w:rsidR="002D3CA7" w:rsidRPr="00C56257" w:rsidRDefault="002D3CA7" w:rsidP="008E33FD">
            <w:pPr>
              <w:widowControl w:val="0"/>
              <w:autoSpaceDE w:val="0"/>
              <w:autoSpaceDN w:val="0"/>
              <w:adjustRightInd w:val="0"/>
              <w:spacing w:line="256" w:lineRule="auto"/>
              <w:jc w:val="both"/>
              <w:rPr>
                <w:color w:val="000000" w:themeColor="text1"/>
              </w:rPr>
            </w:pPr>
            <w:r w:rsidRPr="00C56257">
              <w:rPr>
                <w:color w:val="000000" w:themeColor="text1"/>
              </w:rPr>
              <w:t> </w:t>
            </w:r>
          </w:p>
        </w:tc>
      </w:tr>
    </w:tbl>
    <w:p w14:paraId="3590301D" w14:textId="77777777" w:rsidR="002D3CA7" w:rsidRPr="00C56257" w:rsidRDefault="002D3CA7" w:rsidP="008E33FD">
      <w:pPr>
        <w:jc w:val="both"/>
        <w:rPr>
          <w:b/>
          <w:bCs/>
          <w:color w:val="000000" w:themeColor="text1"/>
        </w:rPr>
      </w:pPr>
    </w:p>
    <w:p w14:paraId="77929ED9" w14:textId="77777777" w:rsidR="002D3CA7" w:rsidRPr="00C56257" w:rsidRDefault="002D3CA7" w:rsidP="008E33FD">
      <w:pPr>
        <w:jc w:val="both"/>
        <w:rPr>
          <w:b/>
          <w:bCs/>
          <w:color w:val="000000" w:themeColor="text1"/>
        </w:rPr>
      </w:pPr>
      <w:r w:rsidRPr="00C56257">
        <w:rPr>
          <w:b/>
          <w:bCs/>
          <w:color w:val="000000" w:themeColor="text1"/>
        </w:rPr>
        <w:t>Siturile NATURA 2000 (pSCI, SCI) pentru tipurile de habitate din Anexa I a Directivei Habitate</w:t>
      </w:r>
    </w:p>
    <w:p w14:paraId="4EE4F4A0" w14:textId="77777777" w:rsidR="002D3CA7" w:rsidRPr="00C56257" w:rsidRDefault="002D3CA7" w:rsidP="008E33FD">
      <w:pPr>
        <w:jc w:val="both"/>
        <w:rPr>
          <w:b/>
          <w:bCs/>
          <w:color w:val="000000" w:themeColor="text1"/>
        </w:rPr>
      </w:pPr>
    </w:p>
    <w:p w14:paraId="40897976" w14:textId="77777777" w:rsidR="002D3CA7" w:rsidRPr="00C56257" w:rsidRDefault="002D3CA7" w:rsidP="008E33FD">
      <w:pPr>
        <w:spacing w:line="276" w:lineRule="auto"/>
        <w:ind w:firstLine="720"/>
        <w:jc w:val="both"/>
        <w:rPr>
          <w:color w:val="000000" w:themeColor="text1"/>
        </w:rPr>
      </w:pPr>
      <w:r w:rsidRPr="00C56257">
        <w:rPr>
          <w:color w:val="000000" w:themeColor="text1"/>
        </w:rPr>
        <w:t>Ploturile de monitorizare la nivelul țării sunt în număr de 139, din care 86 au rezultat în urma analizei spațiale că se află în interiorul rețelei Natura 2000, în timp ce 53 de ploturi se află în afara acesteia, conform tabelului 6.</w:t>
      </w:r>
    </w:p>
    <w:p w14:paraId="75058DD0" w14:textId="77777777" w:rsidR="002D3CA7" w:rsidRPr="00C56257" w:rsidRDefault="002D3CA7" w:rsidP="008E33FD">
      <w:pPr>
        <w:jc w:val="both"/>
        <w:rPr>
          <w:color w:val="000000" w:themeColor="text1"/>
        </w:rPr>
      </w:pPr>
      <w:r w:rsidRPr="00C56257">
        <w:rPr>
          <w:color w:val="000000" w:themeColor="text1"/>
        </w:rPr>
        <w:t>Tabelul 6: Ploturile de monitorizare din interiorul și din afara rețelei Natura 2000</w:t>
      </w:r>
    </w:p>
    <w:tbl>
      <w:tblPr>
        <w:tblW w:w="5000" w:type="pct"/>
        <w:tblLook w:val="04A0" w:firstRow="1" w:lastRow="0" w:firstColumn="1" w:lastColumn="0" w:noHBand="0" w:noVBand="1"/>
      </w:tblPr>
      <w:tblGrid>
        <w:gridCol w:w="3579"/>
        <w:gridCol w:w="4028"/>
        <w:gridCol w:w="2387"/>
      </w:tblGrid>
      <w:tr w:rsidR="00673EFE" w:rsidRPr="00C56257" w14:paraId="67E1EC90" w14:textId="77777777" w:rsidTr="002825C6">
        <w:trPr>
          <w:trHeight w:val="600"/>
        </w:trPr>
        <w:tc>
          <w:tcPr>
            <w:tcW w:w="1791"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11E5E9E" w14:textId="77777777" w:rsidR="002D3CA7" w:rsidRPr="00C56257" w:rsidRDefault="002D3CA7" w:rsidP="008E33FD">
            <w:pPr>
              <w:spacing w:line="256" w:lineRule="auto"/>
              <w:jc w:val="both"/>
              <w:rPr>
                <w:color w:val="000000" w:themeColor="text1"/>
                <w:lang w:eastAsia="ro-RO"/>
              </w:rPr>
            </w:pPr>
            <w:r w:rsidRPr="00C56257">
              <w:rPr>
                <w:color w:val="000000" w:themeColor="text1"/>
                <w:lang w:eastAsia="ro-RO"/>
              </w:rPr>
              <w:t>Ploturi de monitorizare</w:t>
            </w:r>
            <w:r w:rsidRPr="00C56257">
              <w:rPr>
                <w:color w:val="000000" w:themeColor="text1"/>
                <w:lang w:eastAsia="ro-RO"/>
              </w:rPr>
              <w:br/>
              <w:t xml:space="preserve"> din rețeaua Natura 2000</w:t>
            </w:r>
          </w:p>
        </w:tc>
        <w:tc>
          <w:tcPr>
            <w:tcW w:w="2015" w:type="pct"/>
            <w:tcBorders>
              <w:top w:val="single" w:sz="4" w:space="0" w:color="auto"/>
              <w:left w:val="nil"/>
              <w:bottom w:val="single" w:sz="4" w:space="0" w:color="auto"/>
              <w:right w:val="single" w:sz="4" w:space="0" w:color="auto"/>
            </w:tcBorders>
            <w:shd w:val="clear" w:color="auto" w:fill="92D050"/>
            <w:vAlign w:val="center"/>
            <w:hideMark/>
          </w:tcPr>
          <w:p w14:paraId="3520CF8E" w14:textId="77777777" w:rsidR="002D3CA7" w:rsidRPr="00C56257" w:rsidRDefault="002D3CA7" w:rsidP="008E33FD">
            <w:pPr>
              <w:spacing w:line="256" w:lineRule="auto"/>
              <w:jc w:val="both"/>
              <w:rPr>
                <w:color w:val="000000" w:themeColor="text1"/>
                <w:lang w:eastAsia="ro-RO"/>
              </w:rPr>
            </w:pPr>
            <w:r w:rsidRPr="00C56257">
              <w:rPr>
                <w:color w:val="000000" w:themeColor="text1"/>
                <w:lang w:eastAsia="ro-RO"/>
              </w:rPr>
              <w:t>Ploturi de monitorizare</w:t>
            </w:r>
            <w:r w:rsidRPr="00C56257">
              <w:rPr>
                <w:color w:val="000000" w:themeColor="text1"/>
                <w:lang w:eastAsia="ro-RO"/>
              </w:rPr>
              <w:br/>
              <w:t xml:space="preserve"> în afara rețelei Natura 2000</w:t>
            </w:r>
          </w:p>
        </w:tc>
        <w:tc>
          <w:tcPr>
            <w:tcW w:w="1194" w:type="pct"/>
            <w:tcBorders>
              <w:top w:val="single" w:sz="4" w:space="0" w:color="auto"/>
              <w:left w:val="nil"/>
              <w:bottom w:val="single" w:sz="4" w:space="0" w:color="auto"/>
              <w:right w:val="single" w:sz="4" w:space="0" w:color="auto"/>
            </w:tcBorders>
            <w:shd w:val="clear" w:color="auto" w:fill="92D050"/>
            <w:vAlign w:val="center"/>
            <w:hideMark/>
          </w:tcPr>
          <w:p w14:paraId="46C753AD" w14:textId="77777777" w:rsidR="002D3CA7" w:rsidRPr="00C56257" w:rsidRDefault="002D3CA7" w:rsidP="008E33FD">
            <w:pPr>
              <w:spacing w:line="256" w:lineRule="auto"/>
              <w:jc w:val="both"/>
              <w:rPr>
                <w:color w:val="000000" w:themeColor="text1"/>
                <w:lang w:eastAsia="ro-RO"/>
              </w:rPr>
            </w:pPr>
            <w:r w:rsidRPr="00C56257">
              <w:rPr>
                <w:color w:val="000000" w:themeColor="text1"/>
                <w:lang w:eastAsia="ro-RO"/>
              </w:rPr>
              <w:t xml:space="preserve">Total Ploturi </w:t>
            </w:r>
            <w:r w:rsidRPr="00C56257">
              <w:rPr>
                <w:color w:val="000000" w:themeColor="text1"/>
                <w:lang w:eastAsia="ro-RO"/>
              </w:rPr>
              <w:br/>
              <w:t>de monitorizare</w:t>
            </w:r>
          </w:p>
        </w:tc>
      </w:tr>
      <w:tr w:rsidR="00673EFE" w:rsidRPr="00C56257" w14:paraId="00FC8CDB" w14:textId="77777777" w:rsidTr="002825C6">
        <w:trPr>
          <w:trHeight w:val="908"/>
        </w:trPr>
        <w:tc>
          <w:tcPr>
            <w:tcW w:w="1791" w:type="pct"/>
            <w:tcBorders>
              <w:top w:val="nil"/>
              <w:left w:val="single" w:sz="4" w:space="0" w:color="auto"/>
              <w:bottom w:val="single" w:sz="4" w:space="0" w:color="auto"/>
              <w:right w:val="single" w:sz="4" w:space="0" w:color="auto"/>
            </w:tcBorders>
            <w:noWrap/>
            <w:vAlign w:val="center"/>
            <w:hideMark/>
          </w:tcPr>
          <w:p w14:paraId="613D2C8C" w14:textId="77777777" w:rsidR="002D3CA7" w:rsidRPr="00C56257" w:rsidRDefault="002D3CA7" w:rsidP="008E33FD">
            <w:pPr>
              <w:spacing w:line="256" w:lineRule="auto"/>
              <w:jc w:val="both"/>
              <w:rPr>
                <w:color w:val="000000" w:themeColor="text1"/>
                <w:lang w:eastAsia="ro-RO"/>
              </w:rPr>
            </w:pPr>
            <w:r w:rsidRPr="00C56257">
              <w:rPr>
                <w:color w:val="000000" w:themeColor="text1"/>
                <w:lang w:eastAsia="ro-RO"/>
              </w:rPr>
              <w:t>86</w:t>
            </w:r>
          </w:p>
        </w:tc>
        <w:tc>
          <w:tcPr>
            <w:tcW w:w="2015" w:type="pct"/>
            <w:tcBorders>
              <w:top w:val="nil"/>
              <w:left w:val="single" w:sz="4" w:space="0" w:color="auto"/>
              <w:bottom w:val="single" w:sz="4" w:space="0" w:color="auto"/>
              <w:right w:val="single" w:sz="4" w:space="0" w:color="auto"/>
            </w:tcBorders>
            <w:noWrap/>
            <w:vAlign w:val="center"/>
            <w:hideMark/>
          </w:tcPr>
          <w:p w14:paraId="02E2E7B5" w14:textId="77777777" w:rsidR="002D3CA7" w:rsidRPr="00C56257" w:rsidRDefault="002D3CA7" w:rsidP="008E33FD">
            <w:pPr>
              <w:spacing w:line="256" w:lineRule="auto"/>
              <w:jc w:val="both"/>
              <w:rPr>
                <w:color w:val="000000" w:themeColor="text1"/>
                <w:lang w:eastAsia="ro-RO"/>
              </w:rPr>
            </w:pPr>
            <w:r w:rsidRPr="00C56257">
              <w:rPr>
                <w:color w:val="000000" w:themeColor="text1"/>
                <w:lang w:eastAsia="ro-RO"/>
              </w:rPr>
              <w:t>53</w:t>
            </w:r>
          </w:p>
        </w:tc>
        <w:tc>
          <w:tcPr>
            <w:tcW w:w="1194" w:type="pct"/>
            <w:tcBorders>
              <w:top w:val="single" w:sz="4" w:space="0" w:color="auto"/>
              <w:left w:val="single" w:sz="4" w:space="0" w:color="auto"/>
              <w:bottom w:val="single" w:sz="4" w:space="0" w:color="auto"/>
              <w:right w:val="single" w:sz="4" w:space="0" w:color="auto"/>
            </w:tcBorders>
            <w:noWrap/>
            <w:vAlign w:val="center"/>
            <w:hideMark/>
          </w:tcPr>
          <w:p w14:paraId="55DFACFF" w14:textId="77777777" w:rsidR="002D3CA7" w:rsidRPr="00C56257" w:rsidRDefault="002D3CA7" w:rsidP="008E33FD">
            <w:pPr>
              <w:spacing w:line="256" w:lineRule="auto"/>
              <w:jc w:val="both"/>
              <w:rPr>
                <w:color w:val="000000" w:themeColor="text1"/>
                <w:lang w:eastAsia="ro-RO"/>
              </w:rPr>
            </w:pPr>
            <w:r w:rsidRPr="00C56257">
              <w:rPr>
                <w:color w:val="000000" w:themeColor="text1"/>
                <w:lang w:eastAsia="ro-RO"/>
              </w:rPr>
              <w:t>139</w:t>
            </w:r>
          </w:p>
        </w:tc>
      </w:tr>
    </w:tbl>
    <w:p w14:paraId="73B46C58" w14:textId="77777777" w:rsidR="002D3CA7" w:rsidRPr="00C56257" w:rsidRDefault="002D3CA7" w:rsidP="008E33FD">
      <w:pPr>
        <w:spacing w:line="276" w:lineRule="auto"/>
        <w:ind w:firstLine="709"/>
        <w:contextualSpacing/>
        <w:jc w:val="both"/>
        <w:rPr>
          <w:color w:val="000000" w:themeColor="text1"/>
        </w:rPr>
      </w:pPr>
      <w:r w:rsidRPr="00C56257">
        <w:rPr>
          <w:rFonts w:eastAsia="Calibri"/>
          <w:color w:val="000000" w:themeColor="text1"/>
        </w:rPr>
        <w:t xml:space="preserve">În procesul de colectare a datelor de teren un rol important îl reprezintă fișa de teren si implicit completarea acesteia. De menționat este faptul ca se completează o fișă de teren pentru fiecare plot </w:t>
      </w:r>
      <w:r w:rsidRPr="00C56257">
        <w:rPr>
          <w:rFonts w:eastAsia="Calibri"/>
          <w:color w:val="000000" w:themeColor="text1"/>
        </w:rPr>
        <w:lastRenderedPageBreak/>
        <w:t>parcurs de către echipele de teren. Completarea fișelor se efectuează strict în teren, acordându-se o atenție deosebită descrierii parametrilor de pe fișă, raportați la situația din fiecare plot în parte.</w:t>
      </w:r>
    </w:p>
    <w:p w14:paraId="6BAD7469" w14:textId="77777777" w:rsidR="002D3CA7" w:rsidRPr="00C56257" w:rsidRDefault="002D3CA7" w:rsidP="008E33FD">
      <w:pPr>
        <w:tabs>
          <w:tab w:val="left" w:pos="3894"/>
        </w:tabs>
        <w:jc w:val="both"/>
        <w:rPr>
          <w:color w:val="000000" w:themeColor="text1"/>
        </w:rPr>
      </w:pPr>
    </w:p>
    <w:p w14:paraId="7857E30B" w14:textId="77777777" w:rsidR="002D3CA7" w:rsidRPr="00DD3620" w:rsidRDefault="00DD3620" w:rsidP="00DD3620">
      <w:pPr>
        <w:tabs>
          <w:tab w:val="left" w:pos="3894"/>
        </w:tabs>
        <w:jc w:val="both"/>
        <w:rPr>
          <w:b/>
          <w:color w:val="000000" w:themeColor="text1"/>
        </w:rPr>
      </w:pPr>
      <w:r>
        <w:rPr>
          <w:b/>
          <w:color w:val="000000" w:themeColor="text1"/>
        </w:rPr>
        <w:t>5.2.2.</w:t>
      </w:r>
      <w:r w:rsidR="002D3CA7" w:rsidRPr="00DD3620">
        <w:rPr>
          <w:b/>
          <w:color w:val="000000" w:themeColor="text1"/>
        </w:rPr>
        <w:t>Fișa de teren</w:t>
      </w:r>
    </w:p>
    <w:p w14:paraId="5EAE036C" w14:textId="77777777" w:rsidR="002D3CA7" w:rsidRPr="00C56257" w:rsidRDefault="002D3CA7" w:rsidP="008E33FD">
      <w:pPr>
        <w:pStyle w:val="ListParagraph"/>
        <w:tabs>
          <w:tab w:val="left" w:pos="3894"/>
        </w:tabs>
        <w:ind w:left="360"/>
        <w:jc w:val="both"/>
        <w:rPr>
          <w:rFonts w:ascii="Times New Roman" w:hAnsi="Times New Roman" w:cs="Times New Roman"/>
          <w:b/>
          <w:color w:val="000000" w:themeColor="text1"/>
          <w:sz w:val="24"/>
          <w:szCs w:val="24"/>
        </w:rPr>
      </w:pPr>
    </w:p>
    <w:p w14:paraId="54C62BC3" w14:textId="77777777" w:rsidR="002D3CA7" w:rsidRPr="00C56257" w:rsidRDefault="002D3CA7" w:rsidP="008E33FD">
      <w:pPr>
        <w:spacing w:line="276" w:lineRule="auto"/>
        <w:ind w:firstLine="709"/>
        <w:jc w:val="both"/>
        <w:rPr>
          <w:color w:val="000000" w:themeColor="text1"/>
        </w:rPr>
      </w:pPr>
      <w:r w:rsidRPr="00C56257">
        <w:rPr>
          <w:color w:val="000000" w:themeColor="text1"/>
        </w:rPr>
        <w:t>În procesul de colectare a datelor de teren un rol important îl reprezintă fișa de teren si implicit completarea acesteia. De menționat este faptul ca se completează o fișă de teren pentru fiecare plot parcurs de către echipele de teren. Completarea fișelor se efectuează strict în teren, acordându-se o atenție deosebită descrierii parametrilor  de pe fișă, raportați la situația din fiecare plot în parte.</w:t>
      </w:r>
    </w:p>
    <w:p w14:paraId="5189B666" w14:textId="77777777" w:rsidR="00086D98" w:rsidRPr="00C56257" w:rsidRDefault="00086D98" w:rsidP="008E33FD">
      <w:pPr>
        <w:spacing w:line="276" w:lineRule="auto"/>
        <w:ind w:firstLine="709"/>
        <w:jc w:val="both"/>
        <w:rPr>
          <w:b/>
          <w:color w:val="000000" w:themeColor="text1"/>
        </w:rPr>
      </w:pPr>
    </w:p>
    <w:p w14:paraId="2B2749BD" w14:textId="77777777" w:rsidR="002D3CA7" w:rsidRPr="00C56257" w:rsidRDefault="002D3CA7" w:rsidP="00814C24">
      <w:pPr>
        <w:ind w:right="159"/>
        <w:jc w:val="both"/>
        <w:rPr>
          <w:b/>
          <w:color w:val="000000" w:themeColor="text1"/>
        </w:rPr>
      </w:pPr>
      <w:r w:rsidRPr="00C56257">
        <w:rPr>
          <w:b/>
          <w:color w:val="000000" w:themeColor="text1"/>
        </w:rPr>
        <w:t>FIŞA EVALUARE/MONITORIZARE HABITATE TUFĂRIŞURI</w:t>
      </w:r>
    </w:p>
    <w:p w14:paraId="1D44939B" w14:textId="77777777" w:rsidR="002D3CA7" w:rsidRPr="00C56257" w:rsidRDefault="002D3CA7" w:rsidP="008E33FD">
      <w:pPr>
        <w:jc w:val="both"/>
        <w:rPr>
          <w:color w:val="000000" w:themeColor="text1"/>
        </w:rPr>
      </w:pPr>
    </w:p>
    <w:p w14:paraId="6ADF60C5" w14:textId="77777777" w:rsidR="002D3CA7" w:rsidRPr="00C56257" w:rsidRDefault="002D3CA7" w:rsidP="008E33FD">
      <w:pPr>
        <w:jc w:val="both"/>
        <w:rPr>
          <w:color w:val="000000" w:themeColor="text1"/>
        </w:rPr>
      </w:pPr>
      <w:r w:rsidRPr="00C56257">
        <w:rPr>
          <w:color w:val="000000" w:themeColor="text1"/>
        </w:rPr>
        <w:t>1. Date identificare sondaj:</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47"/>
        <w:gridCol w:w="547"/>
        <w:gridCol w:w="547"/>
        <w:gridCol w:w="547"/>
        <w:gridCol w:w="547"/>
        <w:gridCol w:w="547"/>
        <w:gridCol w:w="547"/>
        <w:gridCol w:w="547"/>
        <w:gridCol w:w="547"/>
        <w:gridCol w:w="547"/>
        <w:gridCol w:w="1094"/>
        <w:gridCol w:w="1094"/>
      </w:tblGrid>
      <w:tr w:rsidR="002D3CA7" w:rsidRPr="00C56257" w14:paraId="3BBFB259" w14:textId="77777777" w:rsidTr="002825C6">
        <w:trPr>
          <w:gridAfter w:val="4"/>
          <w:wAfter w:w="3282" w:type="dxa"/>
          <w:trHeight w:val="302"/>
        </w:trPr>
        <w:tc>
          <w:tcPr>
            <w:tcW w:w="4376" w:type="dxa"/>
            <w:gridSpan w:val="8"/>
            <w:tcBorders>
              <w:top w:val="single" w:sz="12" w:space="0" w:color="auto"/>
              <w:left w:val="single" w:sz="12" w:space="0" w:color="auto"/>
              <w:bottom w:val="single" w:sz="4" w:space="0" w:color="auto"/>
              <w:right w:val="single" w:sz="12" w:space="0" w:color="auto"/>
            </w:tcBorders>
            <w:vAlign w:val="center"/>
            <w:hideMark/>
          </w:tcPr>
          <w:p w14:paraId="16906001" w14:textId="77777777" w:rsidR="002D3CA7" w:rsidRPr="00C56257" w:rsidRDefault="002D3CA7" w:rsidP="008E33FD">
            <w:pPr>
              <w:jc w:val="both"/>
              <w:rPr>
                <w:color w:val="000000" w:themeColor="text1"/>
              </w:rPr>
            </w:pPr>
            <w:r w:rsidRPr="00C56257">
              <w:rPr>
                <w:color w:val="000000" w:themeColor="text1"/>
              </w:rPr>
              <w:t xml:space="preserve">Cod sondaj </w:t>
            </w:r>
          </w:p>
        </w:tc>
      </w:tr>
      <w:tr w:rsidR="002D3CA7" w:rsidRPr="00C56257" w14:paraId="6BB4DB30" w14:textId="77777777" w:rsidTr="002825C6">
        <w:trPr>
          <w:gridAfter w:val="4"/>
          <w:wAfter w:w="3282" w:type="dxa"/>
          <w:trHeight w:val="418"/>
        </w:trPr>
        <w:tc>
          <w:tcPr>
            <w:tcW w:w="547" w:type="dxa"/>
            <w:tcBorders>
              <w:top w:val="single" w:sz="4" w:space="0" w:color="auto"/>
              <w:left w:val="single" w:sz="12" w:space="0" w:color="auto"/>
              <w:bottom w:val="single" w:sz="4" w:space="0" w:color="auto"/>
              <w:right w:val="single" w:sz="4" w:space="0" w:color="auto"/>
            </w:tcBorders>
            <w:vAlign w:val="center"/>
          </w:tcPr>
          <w:p w14:paraId="4429CBB6" w14:textId="77777777" w:rsidR="002D3CA7" w:rsidRPr="00C56257" w:rsidRDefault="002D3CA7" w:rsidP="008E33FD">
            <w:pPr>
              <w:jc w:val="both"/>
              <w:rPr>
                <w:b/>
                <w:color w:val="000000" w:themeColor="text1"/>
              </w:rPr>
            </w:pPr>
          </w:p>
        </w:tc>
        <w:tc>
          <w:tcPr>
            <w:tcW w:w="547" w:type="dxa"/>
            <w:tcBorders>
              <w:top w:val="single" w:sz="4" w:space="0" w:color="auto"/>
              <w:left w:val="single" w:sz="4" w:space="0" w:color="auto"/>
              <w:bottom w:val="single" w:sz="4" w:space="0" w:color="auto"/>
              <w:right w:val="single" w:sz="4" w:space="0" w:color="auto"/>
            </w:tcBorders>
            <w:vAlign w:val="center"/>
          </w:tcPr>
          <w:p w14:paraId="1278D49F" w14:textId="77777777" w:rsidR="002D3CA7" w:rsidRPr="00C56257" w:rsidRDefault="002D3CA7" w:rsidP="008E33FD">
            <w:pPr>
              <w:jc w:val="both"/>
              <w:rPr>
                <w:b/>
                <w:color w:val="000000" w:themeColor="text1"/>
              </w:rPr>
            </w:pPr>
          </w:p>
        </w:tc>
        <w:tc>
          <w:tcPr>
            <w:tcW w:w="547" w:type="dxa"/>
            <w:tcBorders>
              <w:top w:val="single" w:sz="4" w:space="0" w:color="auto"/>
              <w:left w:val="single" w:sz="4" w:space="0" w:color="auto"/>
              <w:bottom w:val="single" w:sz="4" w:space="0" w:color="auto"/>
              <w:right w:val="single" w:sz="4" w:space="0" w:color="auto"/>
            </w:tcBorders>
            <w:vAlign w:val="center"/>
          </w:tcPr>
          <w:p w14:paraId="40818086" w14:textId="77777777" w:rsidR="002D3CA7" w:rsidRPr="00C56257" w:rsidRDefault="002D3CA7" w:rsidP="008E33FD">
            <w:pPr>
              <w:jc w:val="both"/>
              <w:rPr>
                <w:b/>
                <w:color w:val="000000" w:themeColor="text1"/>
              </w:rPr>
            </w:pPr>
          </w:p>
        </w:tc>
        <w:tc>
          <w:tcPr>
            <w:tcW w:w="547" w:type="dxa"/>
            <w:tcBorders>
              <w:top w:val="single" w:sz="4" w:space="0" w:color="auto"/>
              <w:left w:val="single" w:sz="4" w:space="0" w:color="auto"/>
              <w:bottom w:val="single" w:sz="4" w:space="0" w:color="auto"/>
              <w:right w:val="single" w:sz="4" w:space="0" w:color="auto"/>
            </w:tcBorders>
            <w:vAlign w:val="center"/>
          </w:tcPr>
          <w:p w14:paraId="432C6753" w14:textId="77777777" w:rsidR="002D3CA7" w:rsidRPr="00C56257" w:rsidRDefault="002D3CA7" w:rsidP="008E33FD">
            <w:pPr>
              <w:jc w:val="both"/>
              <w:rPr>
                <w:b/>
                <w:color w:val="000000" w:themeColor="text1"/>
              </w:rPr>
            </w:pPr>
          </w:p>
        </w:tc>
        <w:tc>
          <w:tcPr>
            <w:tcW w:w="547" w:type="dxa"/>
            <w:tcBorders>
              <w:top w:val="single" w:sz="4" w:space="0" w:color="auto"/>
              <w:left w:val="single" w:sz="4" w:space="0" w:color="auto"/>
              <w:bottom w:val="single" w:sz="4" w:space="0" w:color="auto"/>
              <w:right w:val="single" w:sz="4" w:space="0" w:color="auto"/>
            </w:tcBorders>
            <w:vAlign w:val="center"/>
          </w:tcPr>
          <w:p w14:paraId="1984C268" w14:textId="77777777" w:rsidR="002D3CA7" w:rsidRPr="00C56257" w:rsidRDefault="002D3CA7" w:rsidP="008E33FD">
            <w:pPr>
              <w:jc w:val="both"/>
              <w:rPr>
                <w:b/>
                <w:color w:val="000000" w:themeColor="text1"/>
              </w:rPr>
            </w:pPr>
          </w:p>
        </w:tc>
        <w:tc>
          <w:tcPr>
            <w:tcW w:w="547" w:type="dxa"/>
            <w:tcBorders>
              <w:top w:val="single" w:sz="4" w:space="0" w:color="auto"/>
              <w:left w:val="single" w:sz="4" w:space="0" w:color="auto"/>
              <w:bottom w:val="single" w:sz="4" w:space="0" w:color="auto"/>
              <w:right w:val="single" w:sz="4" w:space="0" w:color="auto"/>
            </w:tcBorders>
            <w:vAlign w:val="center"/>
          </w:tcPr>
          <w:p w14:paraId="1522CECD" w14:textId="77777777" w:rsidR="002D3CA7" w:rsidRPr="00C56257" w:rsidRDefault="002D3CA7" w:rsidP="008E33FD">
            <w:pPr>
              <w:jc w:val="both"/>
              <w:rPr>
                <w:b/>
                <w:color w:val="000000" w:themeColor="text1"/>
              </w:rPr>
            </w:pPr>
          </w:p>
        </w:tc>
        <w:tc>
          <w:tcPr>
            <w:tcW w:w="547" w:type="dxa"/>
            <w:tcBorders>
              <w:top w:val="single" w:sz="4" w:space="0" w:color="auto"/>
              <w:left w:val="single" w:sz="4" w:space="0" w:color="auto"/>
              <w:bottom w:val="single" w:sz="4" w:space="0" w:color="auto"/>
              <w:right w:val="single" w:sz="4" w:space="0" w:color="auto"/>
            </w:tcBorders>
            <w:vAlign w:val="center"/>
          </w:tcPr>
          <w:p w14:paraId="736438BB" w14:textId="77777777" w:rsidR="002D3CA7" w:rsidRPr="00C56257" w:rsidRDefault="002D3CA7" w:rsidP="008E33FD">
            <w:pPr>
              <w:jc w:val="both"/>
              <w:rPr>
                <w:b/>
                <w:color w:val="000000" w:themeColor="text1"/>
              </w:rPr>
            </w:pPr>
          </w:p>
        </w:tc>
        <w:tc>
          <w:tcPr>
            <w:tcW w:w="547" w:type="dxa"/>
            <w:tcBorders>
              <w:top w:val="single" w:sz="4" w:space="0" w:color="auto"/>
              <w:left w:val="single" w:sz="4" w:space="0" w:color="auto"/>
              <w:bottom w:val="single" w:sz="4" w:space="0" w:color="auto"/>
              <w:right w:val="single" w:sz="12" w:space="0" w:color="auto"/>
            </w:tcBorders>
            <w:vAlign w:val="center"/>
          </w:tcPr>
          <w:p w14:paraId="66E148DB" w14:textId="77777777" w:rsidR="002D3CA7" w:rsidRPr="00C56257" w:rsidRDefault="002D3CA7" w:rsidP="008E33FD">
            <w:pPr>
              <w:jc w:val="both"/>
              <w:rPr>
                <w:b/>
                <w:color w:val="000000" w:themeColor="text1"/>
              </w:rPr>
            </w:pPr>
          </w:p>
        </w:tc>
      </w:tr>
      <w:tr w:rsidR="002D3CA7" w:rsidRPr="00C56257" w14:paraId="0DA74122" w14:textId="77777777" w:rsidTr="002825C6">
        <w:trPr>
          <w:trHeight w:val="302"/>
        </w:trPr>
        <w:tc>
          <w:tcPr>
            <w:tcW w:w="5470" w:type="dxa"/>
            <w:gridSpan w:val="10"/>
            <w:tcBorders>
              <w:top w:val="single" w:sz="12" w:space="0" w:color="auto"/>
              <w:left w:val="single" w:sz="12" w:space="0" w:color="auto"/>
              <w:bottom w:val="single" w:sz="4" w:space="0" w:color="auto"/>
              <w:right w:val="single" w:sz="4" w:space="0" w:color="auto"/>
            </w:tcBorders>
            <w:vAlign w:val="center"/>
            <w:hideMark/>
          </w:tcPr>
          <w:p w14:paraId="1449B448" w14:textId="77777777" w:rsidR="002D3CA7" w:rsidRPr="00C56257" w:rsidRDefault="002D3CA7" w:rsidP="008E33FD">
            <w:pPr>
              <w:jc w:val="both"/>
              <w:rPr>
                <w:b/>
                <w:color w:val="000000" w:themeColor="text1"/>
              </w:rPr>
            </w:pPr>
            <w:r w:rsidRPr="00C56257">
              <w:rPr>
                <w:color w:val="000000" w:themeColor="text1"/>
              </w:rPr>
              <w:t>Cod SP</w:t>
            </w:r>
          </w:p>
        </w:tc>
        <w:tc>
          <w:tcPr>
            <w:tcW w:w="1094" w:type="dxa"/>
            <w:tcBorders>
              <w:top w:val="single" w:sz="12" w:space="0" w:color="auto"/>
              <w:left w:val="single" w:sz="4" w:space="0" w:color="auto"/>
              <w:bottom w:val="single" w:sz="4" w:space="0" w:color="auto"/>
              <w:right w:val="single" w:sz="4" w:space="0" w:color="auto"/>
            </w:tcBorders>
            <w:vAlign w:val="center"/>
            <w:hideMark/>
          </w:tcPr>
          <w:p w14:paraId="6A95DABC" w14:textId="77777777" w:rsidR="002D3CA7" w:rsidRPr="00C56257" w:rsidRDefault="002D3CA7" w:rsidP="008E33FD">
            <w:pPr>
              <w:jc w:val="both"/>
              <w:rPr>
                <w:color w:val="000000" w:themeColor="text1"/>
              </w:rPr>
            </w:pPr>
            <w:r w:rsidRPr="00C56257">
              <w:rPr>
                <w:color w:val="000000" w:themeColor="text1"/>
              </w:rPr>
              <w:t>Nr. SP</w:t>
            </w:r>
          </w:p>
        </w:tc>
        <w:tc>
          <w:tcPr>
            <w:tcW w:w="1094" w:type="dxa"/>
            <w:tcBorders>
              <w:top w:val="single" w:sz="12" w:space="0" w:color="auto"/>
              <w:left w:val="single" w:sz="4" w:space="0" w:color="auto"/>
              <w:bottom w:val="single" w:sz="4" w:space="0" w:color="auto"/>
              <w:right w:val="single" w:sz="12" w:space="0" w:color="auto"/>
            </w:tcBorders>
            <w:vAlign w:val="center"/>
            <w:hideMark/>
          </w:tcPr>
          <w:p w14:paraId="11F5616D" w14:textId="77777777" w:rsidR="002D3CA7" w:rsidRPr="00C56257" w:rsidRDefault="002D3CA7" w:rsidP="008E33FD">
            <w:pPr>
              <w:jc w:val="both"/>
              <w:rPr>
                <w:color w:val="000000" w:themeColor="text1"/>
              </w:rPr>
            </w:pPr>
            <w:r w:rsidRPr="00C56257">
              <w:rPr>
                <w:color w:val="000000" w:themeColor="text1"/>
              </w:rPr>
              <w:t>Nr. SSP</w:t>
            </w:r>
          </w:p>
        </w:tc>
      </w:tr>
      <w:tr w:rsidR="002D3CA7" w:rsidRPr="00C56257" w14:paraId="58311E79" w14:textId="77777777" w:rsidTr="002825C6">
        <w:trPr>
          <w:trHeight w:val="418"/>
        </w:trPr>
        <w:tc>
          <w:tcPr>
            <w:tcW w:w="547" w:type="dxa"/>
            <w:tcBorders>
              <w:top w:val="single" w:sz="4" w:space="0" w:color="auto"/>
              <w:left w:val="single" w:sz="12" w:space="0" w:color="auto"/>
              <w:bottom w:val="single" w:sz="12" w:space="0" w:color="auto"/>
              <w:right w:val="single" w:sz="4" w:space="0" w:color="auto"/>
            </w:tcBorders>
            <w:vAlign w:val="center"/>
          </w:tcPr>
          <w:p w14:paraId="647A611C" w14:textId="77777777" w:rsidR="002D3CA7" w:rsidRPr="00C56257" w:rsidRDefault="002D3CA7" w:rsidP="008E33FD">
            <w:pPr>
              <w:jc w:val="both"/>
              <w:rPr>
                <w:b/>
                <w:color w:val="000000" w:themeColor="text1"/>
              </w:rPr>
            </w:pPr>
          </w:p>
        </w:tc>
        <w:tc>
          <w:tcPr>
            <w:tcW w:w="547" w:type="dxa"/>
            <w:tcBorders>
              <w:top w:val="single" w:sz="4" w:space="0" w:color="auto"/>
              <w:left w:val="single" w:sz="4" w:space="0" w:color="auto"/>
              <w:bottom w:val="single" w:sz="12" w:space="0" w:color="auto"/>
              <w:right w:val="single" w:sz="4" w:space="0" w:color="auto"/>
            </w:tcBorders>
          </w:tcPr>
          <w:p w14:paraId="45EC4C02" w14:textId="77777777" w:rsidR="002D3CA7" w:rsidRPr="00C56257" w:rsidRDefault="002D3CA7" w:rsidP="008E33FD">
            <w:pPr>
              <w:jc w:val="both"/>
              <w:rPr>
                <w:b/>
                <w:color w:val="000000" w:themeColor="text1"/>
              </w:rPr>
            </w:pPr>
          </w:p>
        </w:tc>
        <w:tc>
          <w:tcPr>
            <w:tcW w:w="547" w:type="dxa"/>
            <w:tcBorders>
              <w:top w:val="single" w:sz="4" w:space="0" w:color="auto"/>
              <w:left w:val="single" w:sz="4" w:space="0" w:color="auto"/>
              <w:bottom w:val="single" w:sz="12" w:space="0" w:color="auto"/>
              <w:right w:val="single" w:sz="4" w:space="0" w:color="auto"/>
            </w:tcBorders>
          </w:tcPr>
          <w:p w14:paraId="152CC497" w14:textId="77777777" w:rsidR="002D3CA7" w:rsidRPr="00C56257" w:rsidRDefault="002D3CA7" w:rsidP="008E33FD">
            <w:pPr>
              <w:jc w:val="both"/>
              <w:rPr>
                <w:b/>
                <w:color w:val="000000" w:themeColor="text1"/>
              </w:rPr>
            </w:pPr>
          </w:p>
        </w:tc>
        <w:tc>
          <w:tcPr>
            <w:tcW w:w="547" w:type="dxa"/>
            <w:tcBorders>
              <w:top w:val="single" w:sz="4" w:space="0" w:color="auto"/>
              <w:left w:val="single" w:sz="4" w:space="0" w:color="auto"/>
              <w:bottom w:val="single" w:sz="12" w:space="0" w:color="auto"/>
              <w:right w:val="single" w:sz="4" w:space="0" w:color="auto"/>
            </w:tcBorders>
            <w:vAlign w:val="center"/>
          </w:tcPr>
          <w:p w14:paraId="717EA2DA" w14:textId="77777777" w:rsidR="002D3CA7" w:rsidRPr="00C56257" w:rsidRDefault="002D3CA7" w:rsidP="008E33FD">
            <w:pPr>
              <w:jc w:val="both"/>
              <w:rPr>
                <w:b/>
                <w:color w:val="000000" w:themeColor="text1"/>
              </w:rPr>
            </w:pPr>
          </w:p>
        </w:tc>
        <w:tc>
          <w:tcPr>
            <w:tcW w:w="547" w:type="dxa"/>
            <w:tcBorders>
              <w:top w:val="single" w:sz="4" w:space="0" w:color="auto"/>
              <w:left w:val="single" w:sz="4" w:space="0" w:color="auto"/>
              <w:bottom w:val="single" w:sz="12" w:space="0" w:color="auto"/>
              <w:right w:val="single" w:sz="4" w:space="0" w:color="auto"/>
            </w:tcBorders>
            <w:vAlign w:val="center"/>
          </w:tcPr>
          <w:p w14:paraId="223A88C6" w14:textId="77777777" w:rsidR="002D3CA7" w:rsidRPr="00C56257" w:rsidRDefault="002D3CA7" w:rsidP="008E33FD">
            <w:pPr>
              <w:jc w:val="both"/>
              <w:rPr>
                <w:b/>
                <w:color w:val="000000" w:themeColor="text1"/>
              </w:rPr>
            </w:pPr>
          </w:p>
        </w:tc>
        <w:tc>
          <w:tcPr>
            <w:tcW w:w="547" w:type="dxa"/>
            <w:tcBorders>
              <w:top w:val="single" w:sz="4" w:space="0" w:color="auto"/>
              <w:left w:val="single" w:sz="4" w:space="0" w:color="auto"/>
              <w:bottom w:val="single" w:sz="12" w:space="0" w:color="auto"/>
              <w:right w:val="single" w:sz="4" w:space="0" w:color="auto"/>
            </w:tcBorders>
            <w:vAlign w:val="center"/>
          </w:tcPr>
          <w:p w14:paraId="3A9DC5E8" w14:textId="77777777" w:rsidR="002D3CA7" w:rsidRPr="00C56257" w:rsidRDefault="002D3CA7" w:rsidP="008E33FD">
            <w:pPr>
              <w:jc w:val="both"/>
              <w:rPr>
                <w:b/>
                <w:color w:val="000000" w:themeColor="text1"/>
              </w:rPr>
            </w:pPr>
          </w:p>
        </w:tc>
        <w:tc>
          <w:tcPr>
            <w:tcW w:w="547" w:type="dxa"/>
            <w:tcBorders>
              <w:top w:val="single" w:sz="4" w:space="0" w:color="auto"/>
              <w:left w:val="single" w:sz="4" w:space="0" w:color="auto"/>
              <w:bottom w:val="single" w:sz="12" w:space="0" w:color="auto"/>
              <w:right w:val="single" w:sz="4" w:space="0" w:color="auto"/>
            </w:tcBorders>
            <w:vAlign w:val="center"/>
          </w:tcPr>
          <w:p w14:paraId="51BE350A" w14:textId="77777777" w:rsidR="002D3CA7" w:rsidRPr="00C56257" w:rsidRDefault="002D3CA7" w:rsidP="008E33FD">
            <w:pPr>
              <w:jc w:val="both"/>
              <w:rPr>
                <w:b/>
                <w:color w:val="000000" w:themeColor="text1"/>
              </w:rPr>
            </w:pPr>
          </w:p>
        </w:tc>
        <w:tc>
          <w:tcPr>
            <w:tcW w:w="547" w:type="dxa"/>
            <w:tcBorders>
              <w:top w:val="single" w:sz="4" w:space="0" w:color="auto"/>
              <w:left w:val="single" w:sz="4" w:space="0" w:color="auto"/>
              <w:bottom w:val="single" w:sz="12" w:space="0" w:color="auto"/>
              <w:right w:val="single" w:sz="4" w:space="0" w:color="auto"/>
            </w:tcBorders>
            <w:vAlign w:val="center"/>
          </w:tcPr>
          <w:p w14:paraId="09059FB8" w14:textId="77777777" w:rsidR="002D3CA7" w:rsidRPr="00C56257" w:rsidRDefault="002D3CA7" w:rsidP="008E33FD">
            <w:pPr>
              <w:jc w:val="both"/>
              <w:rPr>
                <w:b/>
                <w:color w:val="000000" w:themeColor="text1"/>
              </w:rPr>
            </w:pPr>
          </w:p>
        </w:tc>
        <w:tc>
          <w:tcPr>
            <w:tcW w:w="547" w:type="dxa"/>
            <w:tcBorders>
              <w:top w:val="single" w:sz="4" w:space="0" w:color="auto"/>
              <w:left w:val="single" w:sz="4" w:space="0" w:color="auto"/>
              <w:bottom w:val="single" w:sz="12" w:space="0" w:color="auto"/>
              <w:right w:val="single" w:sz="4" w:space="0" w:color="auto"/>
            </w:tcBorders>
            <w:vAlign w:val="center"/>
          </w:tcPr>
          <w:p w14:paraId="37CD1C94" w14:textId="77777777" w:rsidR="002D3CA7" w:rsidRPr="00C56257" w:rsidRDefault="002D3CA7" w:rsidP="008E33FD">
            <w:pPr>
              <w:jc w:val="both"/>
              <w:rPr>
                <w:b/>
                <w:color w:val="000000" w:themeColor="text1"/>
              </w:rPr>
            </w:pPr>
          </w:p>
        </w:tc>
        <w:tc>
          <w:tcPr>
            <w:tcW w:w="547" w:type="dxa"/>
            <w:tcBorders>
              <w:top w:val="single" w:sz="4" w:space="0" w:color="auto"/>
              <w:left w:val="single" w:sz="4" w:space="0" w:color="auto"/>
              <w:bottom w:val="single" w:sz="12" w:space="0" w:color="auto"/>
              <w:right w:val="single" w:sz="4" w:space="0" w:color="auto"/>
            </w:tcBorders>
            <w:vAlign w:val="center"/>
          </w:tcPr>
          <w:p w14:paraId="52CE1F39" w14:textId="77777777" w:rsidR="002D3CA7" w:rsidRPr="00C56257" w:rsidRDefault="002D3CA7" w:rsidP="008E33FD">
            <w:pPr>
              <w:jc w:val="both"/>
              <w:rPr>
                <w:b/>
                <w:color w:val="000000" w:themeColor="text1"/>
              </w:rPr>
            </w:pPr>
          </w:p>
        </w:tc>
        <w:tc>
          <w:tcPr>
            <w:tcW w:w="1094" w:type="dxa"/>
            <w:tcBorders>
              <w:top w:val="single" w:sz="4" w:space="0" w:color="auto"/>
              <w:left w:val="single" w:sz="4" w:space="0" w:color="auto"/>
              <w:bottom w:val="single" w:sz="12" w:space="0" w:color="auto"/>
              <w:right w:val="single" w:sz="4" w:space="0" w:color="auto"/>
            </w:tcBorders>
          </w:tcPr>
          <w:p w14:paraId="4890B628" w14:textId="77777777" w:rsidR="002D3CA7" w:rsidRPr="00C56257" w:rsidRDefault="002D3CA7" w:rsidP="008E33FD">
            <w:pPr>
              <w:jc w:val="both"/>
              <w:rPr>
                <w:color w:val="000000" w:themeColor="text1"/>
              </w:rPr>
            </w:pPr>
          </w:p>
        </w:tc>
        <w:tc>
          <w:tcPr>
            <w:tcW w:w="1094" w:type="dxa"/>
            <w:tcBorders>
              <w:top w:val="single" w:sz="4" w:space="0" w:color="auto"/>
              <w:left w:val="single" w:sz="4" w:space="0" w:color="auto"/>
              <w:bottom w:val="single" w:sz="12" w:space="0" w:color="auto"/>
              <w:right w:val="single" w:sz="12" w:space="0" w:color="auto"/>
            </w:tcBorders>
          </w:tcPr>
          <w:p w14:paraId="72A8FE4F" w14:textId="77777777" w:rsidR="002D3CA7" w:rsidRPr="00C56257" w:rsidRDefault="002D3CA7" w:rsidP="008E33FD">
            <w:pPr>
              <w:jc w:val="both"/>
              <w:rPr>
                <w:color w:val="000000" w:themeColor="text1"/>
              </w:rPr>
            </w:pPr>
          </w:p>
        </w:tc>
      </w:tr>
    </w:tbl>
    <w:p w14:paraId="6F6AF8DF" w14:textId="77777777" w:rsidR="002D3CA7" w:rsidRPr="00C56257" w:rsidRDefault="002D3CA7" w:rsidP="008E33FD">
      <w:pPr>
        <w:jc w:val="both"/>
        <w:rPr>
          <w:color w:val="000000" w:themeColor="text1"/>
        </w:rPr>
      </w:pPr>
    </w:p>
    <w:p w14:paraId="75DA78F2" w14:textId="77777777" w:rsidR="002D3CA7" w:rsidRPr="00C56257" w:rsidRDefault="002D3CA7" w:rsidP="008E33FD">
      <w:pPr>
        <w:pStyle w:val="ListParagraph"/>
        <w:ind w:left="0"/>
        <w:jc w:val="both"/>
        <w:rPr>
          <w:rFonts w:ascii="Times New Roman" w:hAnsi="Times New Roman" w:cs="Times New Roman"/>
          <w:color w:val="000000" w:themeColor="text1"/>
          <w:sz w:val="24"/>
          <w:szCs w:val="24"/>
        </w:rPr>
      </w:pPr>
      <w:r w:rsidRPr="00C56257">
        <w:rPr>
          <w:rFonts w:ascii="Times New Roman" w:hAnsi="Times New Roman" w:cs="Times New Roman"/>
          <w:color w:val="000000" w:themeColor="text1"/>
          <w:sz w:val="24"/>
          <w:szCs w:val="24"/>
        </w:rPr>
        <w:t xml:space="preserve">2. Date </w:t>
      </w:r>
      <w:proofErr w:type="spellStart"/>
      <w:r w:rsidRPr="00C56257">
        <w:rPr>
          <w:rFonts w:ascii="Times New Roman" w:hAnsi="Times New Roman" w:cs="Times New Roman"/>
          <w:color w:val="000000" w:themeColor="text1"/>
          <w:sz w:val="24"/>
          <w:szCs w:val="24"/>
        </w:rPr>
        <w:t>identificare</w:t>
      </w:r>
      <w:proofErr w:type="spellEnd"/>
      <w:r w:rsidRPr="00C56257">
        <w:rPr>
          <w:rFonts w:ascii="Times New Roman" w:hAnsi="Times New Roman" w:cs="Times New Roman"/>
          <w:color w:val="000000" w:themeColor="text1"/>
          <w:sz w:val="24"/>
          <w:szCs w:val="24"/>
        </w:rPr>
        <w:t xml:space="preserve"> habitat:</w:t>
      </w: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635"/>
        <w:gridCol w:w="626"/>
        <w:gridCol w:w="626"/>
        <w:gridCol w:w="636"/>
        <w:gridCol w:w="507"/>
        <w:gridCol w:w="6944"/>
      </w:tblGrid>
      <w:tr w:rsidR="00673EFE" w:rsidRPr="00C56257" w14:paraId="26A542DB" w14:textId="77777777" w:rsidTr="002825C6">
        <w:trPr>
          <w:gridAfter w:val="2"/>
          <w:wAfter w:w="3735" w:type="pct"/>
          <w:trHeight w:val="302"/>
        </w:trPr>
        <w:tc>
          <w:tcPr>
            <w:tcW w:w="1265" w:type="pct"/>
            <w:gridSpan w:val="4"/>
            <w:tcBorders>
              <w:top w:val="single" w:sz="12" w:space="0" w:color="auto"/>
              <w:left w:val="single" w:sz="12" w:space="0" w:color="auto"/>
              <w:bottom w:val="single" w:sz="4" w:space="0" w:color="auto"/>
              <w:right w:val="single" w:sz="12" w:space="0" w:color="auto"/>
            </w:tcBorders>
            <w:hideMark/>
          </w:tcPr>
          <w:p w14:paraId="595ED885" w14:textId="77777777" w:rsidR="002D3CA7" w:rsidRPr="00C56257" w:rsidRDefault="002D3CA7" w:rsidP="008E33FD">
            <w:pPr>
              <w:jc w:val="both"/>
              <w:rPr>
                <w:color w:val="000000" w:themeColor="text1"/>
              </w:rPr>
            </w:pPr>
            <w:r w:rsidRPr="00C56257">
              <w:rPr>
                <w:color w:val="000000" w:themeColor="text1"/>
              </w:rPr>
              <w:t>COD Habitat</w:t>
            </w:r>
          </w:p>
        </w:tc>
      </w:tr>
      <w:tr w:rsidR="00673EFE" w:rsidRPr="00C56257" w14:paraId="710722AA" w14:textId="77777777" w:rsidTr="002825C6">
        <w:trPr>
          <w:gridAfter w:val="2"/>
          <w:wAfter w:w="3735" w:type="pct"/>
          <w:trHeight w:val="418"/>
        </w:trPr>
        <w:tc>
          <w:tcPr>
            <w:tcW w:w="318" w:type="pct"/>
            <w:tcBorders>
              <w:top w:val="single" w:sz="4" w:space="0" w:color="auto"/>
              <w:left w:val="single" w:sz="12" w:space="0" w:color="auto"/>
              <w:bottom w:val="single" w:sz="4" w:space="0" w:color="auto"/>
              <w:right w:val="single" w:sz="4" w:space="0" w:color="auto"/>
            </w:tcBorders>
          </w:tcPr>
          <w:p w14:paraId="2D028B8D" w14:textId="77777777" w:rsidR="002D3CA7" w:rsidRPr="00C56257" w:rsidRDefault="002D3CA7" w:rsidP="008E33FD">
            <w:pPr>
              <w:jc w:val="both"/>
              <w:rPr>
                <w:color w:val="000000" w:themeColor="text1"/>
              </w:rPr>
            </w:pPr>
          </w:p>
        </w:tc>
        <w:tc>
          <w:tcPr>
            <w:tcW w:w="314" w:type="pct"/>
            <w:tcBorders>
              <w:top w:val="single" w:sz="4" w:space="0" w:color="auto"/>
              <w:left w:val="single" w:sz="4" w:space="0" w:color="auto"/>
              <w:bottom w:val="single" w:sz="4" w:space="0" w:color="auto"/>
              <w:right w:val="single" w:sz="4" w:space="0" w:color="auto"/>
            </w:tcBorders>
          </w:tcPr>
          <w:p w14:paraId="55B05858" w14:textId="77777777" w:rsidR="002D3CA7" w:rsidRPr="00C56257" w:rsidRDefault="002D3CA7" w:rsidP="008E33FD">
            <w:pPr>
              <w:jc w:val="both"/>
              <w:rPr>
                <w:color w:val="000000" w:themeColor="text1"/>
              </w:rPr>
            </w:pPr>
          </w:p>
        </w:tc>
        <w:tc>
          <w:tcPr>
            <w:tcW w:w="314" w:type="pct"/>
            <w:tcBorders>
              <w:top w:val="single" w:sz="4" w:space="0" w:color="auto"/>
              <w:left w:val="single" w:sz="4" w:space="0" w:color="auto"/>
              <w:bottom w:val="single" w:sz="4" w:space="0" w:color="auto"/>
              <w:right w:val="single" w:sz="4" w:space="0" w:color="auto"/>
            </w:tcBorders>
          </w:tcPr>
          <w:p w14:paraId="693A03AE" w14:textId="77777777" w:rsidR="002D3CA7" w:rsidRPr="00C56257" w:rsidRDefault="002D3CA7" w:rsidP="008E33FD">
            <w:pPr>
              <w:jc w:val="both"/>
              <w:rPr>
                <w:color w:val="000000" w:themeColor="text1"/>
              </w:rPr>
            </w:pPr>
          </w:p>
        </w:tc>
        <w:tc>
          <w:tcPr>
            <w:tcW w:w="319" w:type="pct"/>
            <w:tcBorders>
              <w:top w:val="single" w:sz="4" w:space="0" w:color="auto"/>
              <w:left w:val="single" w:sz="4" w:space="0" w:color="auto"/>
              <w:bottom w:val="single" w:sz="4" w:space="0" w:color="auto"/>
              <w:right w:val="single" w:sz="12" w:space="0" w:color="auto"/>
            </w:tcBorders>
          </w:tcPr>
          <w:p w14:paraId="71AC10A3" w14:textId="77777777" w:rsidR="002D3CA7" w:rsidRPr="00C56257" w:rsidRDefault="002D3CA7" w:rsidP="008E33FD">
            <w:pPr>
              <w:jc w:val="both"/>
              <w:rPr>
                <w:color w:val="000000" w:themeColor="text1"/>
              </w:rPr>
            </w:pPr>
          </w:p>
        </w:tc>
      </w:tr>
      <w:tr w:rsidR="00673EFE" w:rsidRPr="00C56257" w14:paraId="0E84D9BD" w14:textId="77777777" w:rsidTr="002825C6">
        <w:trPr>
          <w:trHeight w:val="302"/>
        </w:trPr>
        <w:tc>
          <w:tcPr>
            <w:tcW w:w="5000" w:type="pct"/>
            <w:gridSpan w:val="6"/>
            <w:tcBorders>
              <w:top w:val="single" w:sz="12" w:space="0" w:color="auto"/>
              <w:left w:val="single" w:sz="12" w:space="0" w:color="auto"/>
              <w:bottom w:val="single" w:sz="4" w:space="0" w:color="auto"/>
              <w:right w:val="single" w:sz="12" w:space="0" w:color="auto"/>
            </w:tcBorders>
            <w:hideMark/>
          </w:tcPr>
          <w:p w14:paraId="39C9D1DD" w14:textId="77777777" w:rsidR="002D3CA7" w:rsidRPr="00C56257" w:rsidRDefault="002D3CA7" w:rsidP="008E33FD">
            <w:pPr>
              <w:jc w:val="both"/>
              <w:rPr>
                <w:color w:val="000000" w:themeColor="text1"/>
              </w:rPr>
            </w:pPr>
            <w:r w:rsidRPr="00C56257">
              <w:rPr>
                <w:noProof/>
                <w:color w:val="000000" w:themeColor="text1"/>
                <w:lang w:val="en-US"/>
              </w:rPr>
              <w:drawing>
                <wp:anchor distT="0" distB="0" distL="114300" distR="114300" simplePos="0" relativeHeight="251658240" behindDoc="0" locked="0" layoutInCell="1" allowOverlap="1" wp14:anchorId="04F2169D" wp14:editId="565A354A">
                  <wp:simplePos x="0" y="0"/>
                  <wp:positionH relativeFrom="column">
                    <wp:posOffset>3058634</wp:posOffset>
                  </wp:positionH>
                  <wp:positionV relativeFrom="paragraph">
                    <wp:posOffset>236815</wp:posOffset>
                  </wp:positionV>
                  <wp:extent cx="2106592" cy="2106592"/>
                  <wp:effectExtent l="0" t="0" r="8255" b="8255"/>
                  <wp:wrapNone/>
                  <wp:docPr id="210" name="Picture 210" descr="ce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rc"/>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06592" cy="2106592"/>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6257">
              <w:rPr>
                <w:color w:val="000000" w:themeColor="text1"/>
              </w:rPr>
              <w:t>Denumire Habitat:</w:t>
            </w:r>
          </w:p>
        </w:tc>
      </w:tr>
      <w:tr w:rsidR="00673EFE" w:rsidRPr="00C56257" w14:paraId="7266339E" w14:textId="77777777" w:rsidTr="002825C6">
        <w:trPr>
          <w:gridAfter w:val="1"/>
          <w:wAfter w:w="3481" w:type="pct"/>
          <w:trHeight w:val="302"/>
        </w:trPr>
        <w:tc>
          <w:tcPr>
            <w:tcW w:w="1519" w:type="pct"/>
            <w:gridSpan w:val="5"/>
            <w:tcBorders>
              <w:top w:val="single" w:sz="12" w:space="0" w:color="auto"/>
              <w:left w:val="single" w:sz="12" w:space="0" w:color="auto"/>
              <w:bottom w:val="single" w:sz="4" w:space="0" w:color="auto"/>
              <w:right w:val="single" w:sz="12" w:space="0" w:color="auto"/>
            </w:tcBorders>
            <w:hideMark/>
          </w:tcPr>
          <w:p w14:paraId="19A1E1F5" w14:textId="77777777" w:rsidR="002D3CA7" w:rsidRPr="00C56257" w:rsidRDefault="002D3CA7" w:rsidP="008E33FD">
            <w:pPr>
              <w:jc w:val="both"/>
              <w:rPr>
                <w:color w:val="000000" w:themeColor="text1"/>
              </w:rPr>
            </w:pPr>
            <w:r w:rsidRPr="00C56257">
              <w:rPr>
                <w:color w:val="000000" w:themeColor="text1"/>
              </w:rPr>
              <w:t>Regiunea biogeografică</w:t>
            </w:r>
          </w:p>
        </w:tc>
      </w:tr>
      <w:tr w:rsidR="00673EFE" w:rsidRPr="00C56257" w14:paraId="45AFD9DA" w14:textId="77777777" w:rsidTr="002825C6">
        <w:trPr>
          <w:gridAfter w:val="1"/>
          <w:wAfter w:w="3481" w:type="pct"/>
          <w:trHeight w:val="418"/>
        </w:trPr>
        <w:tc>
          <w:tcPr>
            <w:tcW w:w="318" w:type="pct"/>
            <w:tcBorders>
              <w:top w:val="single" w:sz="4" w:space="0" w:color="auto"/>
              <w:left w:val="single" w:sz="12" w:space="0" w:color="auto"/>
              <w:bottom w:val="single" w:sz="4" w:space="0" w:color="auto"/>
              <w:right w:val="single" w:sz="4" w:space="0" w:color="auto"/>
            </w:tcBorders>
          </w:tcPr>
          <w:p w14:paraId="55D71667" w14:textId="77777777" w:rsidR="002D3CA7" w:rsidRPr="00C56257" w:rsidRDefault="002D3CA7" w:rsidP="008E33FD">
            <w:pPr>
              <w:jc w:val="both"/>
              <w:rPr>
                <w:color w:val="000000" w:themeColor="text1"/>
              </w:rPr>
            </w:pPr>
          </w:p>
        </w:tc>
        <w:tc>
          <w:tcPr>
            <w:tcW w:w="1201" w:type="pct"/>
            <w:gridSpan w:val="4"/>
            <w:tcBorders>
              <w:top w:val="single" w:sz="4" w:space="0" w:color="auto"/>
              <w:left w:val="single" w:sz="4" w:space="0" w:color="auto"/>
              <w:bottom w:val="single" w:sz="4" w:space="0" w:color="auto"/>
              <w:right w:val="single" w:sz="12" w:space="0" w:color="auto"/>
            </w:tcBorders>
            <w:vAlign w:val="center"/>
            <w:hideMark/>
          </w:tcPr>
          <w:p w14:paraId="37835DBC" w14:textId="77777777" w:rsidR="002D3CA7" w:rsidRPr="00C56257" w:rsidRDefault="002D3CA7" w:rsidP="008E33FD">
            <w:pPr>
              <w:jc w:val="both"/>
              <w:rPr>
                <w:color w:val="000000" w:themeColor="text1"/>
              </w:rPr>
            </w:pPr>
            <w:r w:rsidRPr="00C56257">
              <w:rPr>
                <w:color w:val="000000" w:themeColor="text1"/>
              </w:rPr>
              <w:t>ALP</w:t>
            </w:r>
          </w:p>
        </w:tc>
      </w:tr>
      <w:tr w:rsidR="00673EFE" w:rsidRPr="00C56257" w14:paraId="41E96C48" w14:textId="77777777" w:rsidTr="002825C6">
        <w:trPr>
          <w:gridAfter w:val="1"/>
          <w:wAfter w:w="3481" w:type="pct"/>
          <w:trHeight w:val="418"/>
        </w:trPr>
        <w:tc>
          <w:tcPr>
            <w:tcW w:w="318" w:type="pct"/>
            <w:tcBorders>
              <w:top w:val="single" w:sz="4" w:space="0" w:color="auto"/>
              <w:left w:val="single" w:sz="12" w:space="0" w:color="auto"/>
              <w:bottom w:val="single" w:sz="4" w:space="0" w:color="auto"/>
              <w:right w:val="single" w:sz="4" w:space="0" w:color="auto"/>
            </w:tcBorders>
          </w:tcPr>
          <w:p w14:paraId="064550E6" w14:textId="77777777" w:rsidR="002D3CA7" w:rsidRPr="00C56257" w:rsidRDefault="002D3CA7" w:rsidP="008E33FD">
            <w:pPr>
              <w:jc w:val="both"/>
              <w:rPr>
                <w:color w:val="000000" w:themeColor="text1"/>
              </w:rPr>
            </w:pPr>
          </w:p>
        </w:tc>
        <w:tc>
          <w:tcPr>
            <w:tcW w:w="1201" w:type="pct"/>
            <w:gridSpan w:val="4"/>
            <w:tcBorders>
              <w:top w:val="single" w:sz="4" w:space="0" w:color="auto"/>
              <w:left w:val="single" w:sz="4" w:space="0" w:color="auto"/>
              <w:bottom w:val="single" w:sz="4" w:space="0" w:color="auto"/>
              <w:right w:val="single" w:sz="12" w:space="0" w:color="auto"/>
            </w:tcBorders>
            <w:vAlign w:val="center"/>
            <w:hideMark/>
          </w:tcPr>
          <w:p w14:paraId="2C3D2CB8" w14:textId="77777777" w:rsidR="002D3CA7" w:rsidRPr="00C56257" w:rsidRDefault="002D3CA7" w:rsidP="008E33FD">
            <w:pPr>
              <w:jc w:val="both"/>
              <w:rPr>
                <w:color w:val="000000" w:themeColor="text1"/>
              </w:rPr>
            </w:pPr>
            <w:r w:rsidRPr="00C56257">
              <w:rPr>
                <w:color w:val="000000" w:themeColor="text1"/>
              </w:rPr>
              <w:t>BLS</w:t>
            </w:r>
          </w:p>
        </w:tc>
      </w:tr>
      <w:tr w:rsidR="00673EFE" w:rsidRPr="00C56257" w14:paraId="141108C1" w14:textId="77777777" w:rsidTr="002825C6">
        <w:trPr>
          <w:gridAfter w:val="1"/>
          <w:wAfter w:w="3481" w:type="pct"/>
          <w:trHeight w:val="418"/>
        </w:trPr>
        <w:tc>
          <w:tcPr>
            <w:tcW w:w="318" w:type="pct"/>
            <w:tcBorders>
              <w:top w:val="single" w:sz="4" w:space="0" w:color="auto"/>
              <w:left w:val="single" w:sz="12" w:space="0" w:color="auto"/>
              <w:bottom w:val="single" w:sz="4" w:space="0" w:color="auto"/>
              <w:right w:val="single" w:sz="4" w:space="0" w:color="auto"/>
            </w:tcBorders>
          </w:tcPr>
          <w:p w14:paraId="32EBCD0A" w14:textId="77777777" w:rsidR="002D3CA7" w:rsidRPr="00C56257" w:rsidRDefault="002D3CA7" w:rsidP="008E33FD">
            <w:pPr>
              <w:jc w:val="both"/>
              <w:rPr>
                <w:color w:val="000000" w:themeColor="text1"/>
              </w:rPr>
            </w:pPr>
          </w:p>
        </w:tc>
        <w:tc>
          <w:tcPr>
            <w:tcW w:w="1201" w:type="pct"/>
            <w:gridSpan w:val="4"/>
            <w:tcBorders>
              <w:top w:val="single" w:sz="4" w:space="0" w:color="auto"/>
              <w:left w:val="single" w:sz="4" w:space="0" w:color="auto"/>
              <w:bottom w:val="single" w:sz="4" w:space="0" w:color="auto"/>
              <w:right w:val="single" w:sz="12" w:space="0" w:color="auto"/>
            </w:tcBorders>
            <w:vAlign w:val="center"/>
            <w:hideMark/>
          </w:tcPr>
          <w:p w14:paraId="1B25CC08" w14:textId="77777777" w:rsidR="002D3CA7" w:rsidRPr="00C56257" w:rsidRDefault="002D3CA7" w:rsidP="008E33FD">
            <w:pPr>
              <w:jc w:val="both"/>
              <w:rPr>
                <w:color w:val="000000" w:themeColor="text1"/>
              </w:rPr>
            </w:pPr>
            <w:r w:rsidRPr="00C56257">
              <w:rPr>
                <w:color w:val="000000" w:themeColor="text1"/>
              </w:rPr>
              <w:t>CON</w:t>
            </w:r>
          </w:p>
        </w:tc>
      </w:tr>
      <w:tr w:rsidR="00673EFE" w:rsidRPr="00C56257" w14:paraId="2B7B78E7" w14:textId="77777777" w:rsidTr="002825C6">
        <w:trPr>
          <w:gridAfter w:val="1"/>
          <w:wAfter w:w="3481" w:type="pct"/>
          <w:trHeight w:val="418"/>
        </w:trPr>
        <w:tc>
          <w:tcPr>
            <w:tcW w:w="318" w:type="pct"/>
            <w:tcBorders>
              <w:top w:val="single" w:sz="4" w:space="0" w:color="auto"/>
              <w:left w:val="single" w:sz="12" w:space="0" w:color="auto"/>
              <w:bottom w:val="single" w:sz="4" w:space="0" w:color="auto"/>
              <w:right w:val="single" w:sz="4" w:space="0" w:color="auto"/>
            </w:tcBorders>
          </w:tcPr>
          <w:p w14:paraId="6C899047" w14:textId="77777777" w:rsidR="002D3CA7" w:rsidRPr="00C56257" w:rsidRDefault="002D3CA7" w:rsidP="008E33FD">
            <w:pPr>
              <w:jc w:val="both"/>
              <w:rPr>
                <w:color w:val="000000" w:themeColor="text1"/>
              </w:rPr>
            </w:pPr>
          </w:p>
        </w:tc>
        <w:tc>
          <w:tcPr>
            <w:tcW w:w="1201" w:type="pct"/>
            <w:gridSpan w:val="4"/>
            <w:tcBorders>
              <w:top w:val="single" w:sz="4" w:space="0" w:color="auto"/>
              <w:left w:val="single" w:sz="4" w:space="0" w:color="auto"/>
              <w:bottom w:val="single" w:sz="4" w:space="0" w:color="auto"/>
              <w:right w:val="single" w:sz="12" w:space="0" w:color="auto"/>
            </w:tcBorders>
            <w:vAlign w:val="center"/>
            <w:hideMark/>
          </w:tcPr>
          <w:p w14:paraId="7470EE86" w14:textId="77777777" w:rsidR="002D3CA7" w:rsidRPr="00C56257" w:rsidRDefault="002D3CA7" w:rsidP="008E33FD">
            <w:pPr>
              <w:jc w:val="both"/>
              <w:rPr>
                <w:color w:val="000000" w:themeColor="text1"/>
              </w:rPr>
            </w:pPr>
            <w:r w:rsidRPr="00C56257">
              <w:rPr>
                <w:color w:val="000000" w:themeColor="text1"/>
              </w:rPr>
              <w:t>PAN</w:t>
            </w:r>
          </w:p>
        </w:tc>
      </w:tr>
      <w:tr w:rsidR="00673EFE" w:rsidRPr="00C56257" w14:paraId="1B18BB3E" w14:textId="77777777" w:rsidTr="002825C6">
        <w:trPr>
          <w:gridAfter w:val="1"/>
          <w:wAfter w:w="3481" w:type="pct"/>
          <w:trHeight w:val="418"/>
        </w:trPr>
        <w:tc>
          <w:tcPr>
            <w:tcW w:w="318" w:type="pct"/>
            <w:tcBorders>
              <w:top w:val="single" w:sz="4" w:space="0" w:color="auto"/>
              <w:left w:val="single" w:sz="12" w:space="0" w:color="auto"/>
              <w:bottom w:val="single" w:sz="12" w:space="0" w:color="auto"/>
              <w:right w:val="single" w:sz="4" w:space="0" w:color="auto"/>
            </w:tcBorders>
          </w:tcPr>
          <w:p w14:paraId="3AD9F0E3" w14:textId="77777777" w:rsidR="002D3CA7" w:rsidRPr="00C56257" w:rsidRDefault="002D3CA7" w:rsidP="008E33FD">
            <w:pPr>
              <w:jc w:val="both"/>
              <w:rPr>
                <w:color w:val="000000" w:themeColor="text1"/>
              </w:rPr>
            </w:pPr>
          </w:p>
        </w:tc>
        <w:tc>
          <w:tcPr>
            <w:tcW w:w="1201" w:type="pct"/>
            <w:gridSpan w:val="4"/>
            <w:tcBorders>
              <w:top w:val="single" w:sz="4" w:space="0" w:color="auto"/>
              <w:left w:val="single" w:sz="4" w:space="0" w:color="auto"/>
              <w:bottom w:val="single" w:sz="12" w:space="0" w:color="auto"/>
              <w:right w:val="single" w:sz="12" w:space="0" w:color="auto"/>
            </w:tcBorders>
            <w:vAlign w:val="center"/>
            <w:hideMark/>
          </w:tcPr>
          <w:p w14:paraId="55FB0C6E" w14:textId="77777777" w:rsidR="002D3CA7" w:rsidRPr="00C56257" w:rsidRDefault="002D3CA7" w:rsidP="008E33FD">
            <w:pPr>
              <w:jc w:val="both"/>
              <w:rPr>
                <w:color w:val="000000" w:themeColor="text1"/>
              </w:rPr>
            </w:pPr>
            <w:r w:rsidRPr="00C56257">
              <w:rPr>
                <w:color w:val="000000" w:themeColor="text1"/>
              </w:rPr>
              <w:t>STE</w:t>
            </w:r>
          </w:p>
        </w:tc>
      </w:tr>
    </w:tbl>
    <w:p w14:paraId="1ED406DA" w14:textId="77777777" w:rsidR="002D3CA7" w:rsidRPr="00C56257" w:rsidRDefault="002D3CA7" w:rsidP="008E33FD">
      <w:pPr>
        <w:jc w:val="both"/>
        <w:rPr>
          <w:color w:val="000000" w:themeColor="text1"/>
        </w:rPr>
      </w:pPr>
    </w:p>
    <w:p w14:paraId="47179E0E" w14:textId="77777777" w:rsidR="002D3CA7" w:rsidRPr="00C56257" w:rsidRDefault="002D3CA7" w:rsidP="008E33FD">
      <w:pPr>
        <w:jc w:val="both"/>
        <w:rPr>
          <w:color w:val="000000" w:themeColor="text1"/>
        </w:rPr>
      </w:pPr>
    </w:p>
    <w:p w14:paraId="70175626" w14:textId="77777777" w:rsidR="002D3CA7" w:rsidRPr="00C56257" w:rsidRDefault="002D3CA7" w:rsidP="008E33FD">
      <w:pPr>
        <w:jc w:val="both"/>
        <w:rPr>
          <w:color w:val="000000" w:themeColor="text1"/>
        </w:rPr>
      </w:pPr>
      <w:r w:rsidRPr="00C56257">
        <w:rPr>
          <w:color w:val="000000" w:themeColor="text1"/>
        </w:rPr>
        <w:t>3. Specii caracteristice</w:t>
      </w:r>
    </w:p>
    <w:p w14:paraId="4A50F28E" w14:textId="77777777" w:rsidR="002D3CA7" w:rsidRPr="00C56257" w:rsidRDefault="002D3CA7" w:rsidP="008E33FD">
      <w:pPr>
        <w:jc w:val="both"/>
        <w:rPr>
          <w:color w:val="000000" w:themeColor="text1"/>
        </w:rPr>
      </w:pPr>
    </w:p>
    <w:tbl>
      <w:tblPr>
        <w:tblpPr w:leftFromText="180" w:rightFromText="180" w:bottomFromText="160" w:vertAnchor="text" w:horzAnchor="margin" w:tblpY="-26"/>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0"/>
        <w:gridCol w:w="4622"/>
        <w:gridCol w:w="4622"/>
      </w:tblGrid>
      <w:tr w:rsidR="00673EFE" w:rsidRPr="00C56257" w14:paraId="621D590B" w14:textId="77777777" w:rsidTr="002825C6">
        <w:trPr>
          <w:trHeight w:val="403"/>
        </w:trPr>
        <w:tc>
          <w:tcPr>
            <w:tcW w:w="366" w:type="pct"/>
            <w:tcBorders>
              <w:top w:val="single" w:sz="12" w:space="0" w:color="auto"/>
              <w:left w:val="single" w:sz="12" w:space="0" w:color="auto"/>
              <w:bottom w:val="single" w:sz="4" w:space="0" w:color="auto"/>
              <w:right w:val="single" w:sz="4" w:space="0" w:color="auto"/>
            </w:tcBorders>
            <w:hideMark/>
          </w:tcPr>
          <w:p w14:paraId="1E760A14" w14:textId="77777777" w:rsidR="002D3CA7" w:rsidRPr="00C56257" w:rsidRDefault="002D3CA7" w:rsidP="008E33FD">
            <w:pPr>
              <w:jc w:val="both"/>
              <w:rPr>
                <w:color w:val="000000" w:themeColor="text1"/>
              </w:rPr>
            </w:pPr>
            <w:r w:rsidRPr="00C56257">
              <w:rPr>
                <w:color w:val="000000" w:themeColor="text1"/>
              </w:rPr>
              <w:t>Nr.</w:t>
            </w:r>
          </w:p>
          <w:p w14:paraId="316D6899" w14:textId="77777777" w:rsidR="002D3CA7" w:rsidRPr="00C56257" w:rsidRDefault="002D3CA7" w:rsidP="008E33FD">
            <w:pPr>
              <w:jc w:val="both"/>
              <w:rPr>
                <w:color w:val="000000" w:themeColor="text1"/>
              </w:rPr>
            </w:pPr>
            <w:r w:rsidRPr="00C56257">
              <w:rPr>
                <w:color w:val="000000" w:themeColor="text1"/>
              </w:rPr>
              <w:t xml:space="preserve"> crt.</w:t>
            </w:r>
          </w:p>
        </w:tc>
        <w:tc>
          <w:tcPr>
            <w:tcW w:w="2317" w:type="pct"/>
            <w:tcBorders>
              <w:top w:val="single" w:sz="12" w:space="0" w:color="auto"/>
              <w:left w:val="single" w:sz="4" w:space="0" w:color="auto"/>
              <w:bottom w:val="single" w:sz="4" w:space="0" w:color="auto"/>
              <w:right w:val="single" w:sz="12" w:space="0" w:color="auto"/>
            </w:tcBorders>
            <w:vAlign w:val="center"/>
            <w:hideMark/>
          </w:tcPr>
          <w:p w14:paraId="4D528C6C" w14:textId="77777777" w:rsidR="002D3CA7" w:rsidRPr="00C56257" w:rsidRDefault="002D3CA7" w:rsidP="008E33FD">
            <w:pPr>
              <w:jc w:val="both"/>
              <w:rPr>
                <w:color w:val="000000" w:themeColor="text1"/>
              </w:rPr>
            </w:pPr>
            <w:r w:rsidRPr="00C56257">
              <w:rPr>
                <w:color w:val="000000" w:themeColor="text1"/>
              </w:rPr>
              <w:t>Denumire științifică</w:t>
            </w:r>
          </w:p>
        </w:tc>
        <w:tc>
          <w:tcPr>
            <w:tcW w:w="2317" w:type="pct"/>
            <w:tcBorders>
              <w:top w:val="single" w:sz="12" w:space="0" w:color="auto"/>
              <w:left w:val="single" w:sz="4" w:space="0" w:color="auto"/>
              <w:bottom w:val="single" w:sz="4" w:space="0" w:color="auto"/>
              <w:right w:val="single" w:sz="12" w:space="0" w:color="auto"/>
            </w:tcBorders>
            <w:vAlign w:val="center"/>
            <w:hideMark/>
          </w:tcPr>
          <w:p w14:paraId="72E1F914" w14:textId="77777777" w:rsidR="002D3CA7" w:rsidRPr="00C56257" w:rsidRDefault="002D3CA7" w:rsidP="008E33FD">
            <w:pPr>
              <w:jc w:val="both"/>
              <w:rPr>
                <w:color w:val="000000" w:themeColor="text1"/>
              </w:rPr>
            </w:pPr>
            <w:r w:rsidRPr="00C56257">
              <w:rPr>
                <w:color w:val="000000" w:themeColor="text1"/>
              </w:rPr>
              <w:t>Observații</w:t>
            </w:r>
          </w:p>
        </w:tc>
      </w:tr>
      <w:tr w:rsidR="00673EFE" w:rsidRPr="00C56257" w14:paraId="289513D2" w14:textId="77777777" w:rsidTr="002825C6">
        <w:trPr>
          <w:trHeight w:val="263"/>
        </w:trPr>
        <w:tc>
          <w:tcPr>
            <w:tcW w:w="366" w:type="pct"/>
            <w:tcBorders>
              <w:top w:val="single" w:sz="4" w:space="0" w:color="auto"/>
              <w:left w:val="single" w:sz="12" w:space="0" w:color="auto"/>
              <w:bottom w:val="single" w:sz="4" w:space="0" w:color="auto"/>
              <w:right w:val="single" w:sz="4" w:space="0" w:color="auto"/>
            </w:tcBorders>
            <w:hideMark/>
          </w:tcPr>
          <w:p w14:paraId="1AEDE0AD" w14:textId="77777777" w:rsidR="002D3CA7" w:rsidRPr="00C56257" w:rsidRDefault="002D3CA7" w:rsidP="008E33FD">
            <w:pPr>
              <w:jc w:val="both"/>
              <w:rPr>
                <w:color w:val="000000" w:themeColor="text1"/>
              </w:rPr>
            </w:pPr>
            <w:r w:rsidRPr="00C56257">
              <w:rPr>
                <w:color w:val="000000" w:themeColor="text1"/>
              </w:rPr>
              <w:t>1</w:t>
            </w:r>
          </w:p>
        </w:tc>
        <w:tc>
          <w:tcPr>
            <w:tcW w:w="2317" w:type="pct"/>
            <w:tcBorders>
              <w:top w:val="single" w:sz="4" w:space="0" w:color="auto"/>
              <w:left w:val="single" w:sz="4" w:space="0" w:color="auto"/>
              <w:bottom w:val="single" w:sz="4" w:space="0" w:color="auto"/>
              <w:right w:val="single" w:sz="12" w:space="0" w:color="auto"/>
            </w:tcBorders>
          </w:tcPr>
          <w:p w14:paraId="32D112FB" w14:textId="77777777" w:rsidR="002D3CA7" w:rsidRPr="00C56257" w:rsidRDefault="002D3CA7" w:rsidP="008E33FD">
            <w:pPr>
              <w:jc w:val="both"/>
              <w:rPr>
                <w:color w:val="000000" w:themeColor="text1"/>
              </w:rPr>
            </w:pPr>
          </w:p>
        </w:tc>
        <w:tc>
          <w:tcPr>
            <w:tcW w:w="2317" w:type="pct"/>
            <w:tcBorders>
              <w:top w:val="single" w:sz="4" w:space="0" w:color="auto"/>
              <w:left w:val="single" w:sz="4" w:space="0" w:color="auto"/>
              <w:bottom w:val="single" w:sz="4" w:space="0" w:color="auto"/>
              <w:right w:val="single" w:sz="12" w:space="0" w:color="auto"/>
            </w:tcBorders>
            <w:vAlign w:val="center"/>
          </w:tcPr>
          <w:p w14:paraId="19D201A0" w14:textId="77777777" w:rsidR="002D3CA7" w:rsidRPr="00C56257" w:rsidRDefault="002D3CA7" w:rsidP="008E33FD">
            <w:pPr>
              <w:jc w:val="both"/>
              <w:rPr>
                <w:color w:val="000000" w:themeColor="text1"/>
              </w:rPr>
            </w:pPr>
          </w:p>
        </w:tc>
      </w:tr>
      <w:tr w:rsidR="00673EFE" w:rsidRPr="00C56257" w14:paraId="78CD66CF" w14:textId="77777777" w:rsidTr="002825C6">
        <w:trPr>
          <w:trHeight w:val="263"/>
        </w:trPr>
        <w:tc>
          <w:tcPr>
            <w:tcW w:w="366" w:type="pct"/>
            <w:tcBorders>
              <w:top w:val="single" w:sz="4" w:space="0" w:color="auto"/>
              <w:left w:val="single" w:sz="12" w:space="0" w:color="auto"/>
              <w:bottom w:val="single" w:sz="4" w:space="0" w:color="auto"/>
              <w:right w:val="single" w:sz="4" w:space="0" w:color="auto"/>
            </w:tcBorders>
            <w:hideMark/>
          </w:tcPr>
          <w:p w14:paraId="7A2617B5" w14:textId="77777777" w:rsidR="002D3CA7" w:rsidRPr="00C56257" w:rsidRDefault="002D3CA7" w:rsidP="008E33FD">
            <w:pPr>
              <w:jc w:val="both"/>
              <w:rPr>
                <w:color w:val="000000" w:themeColor="text1"/>
              </w:rPr>
            </w:pPr>
            <w:r w:rsidRPr="00C56257">
              <w:rPr>
                <w:color w:val="000000" w:themeColor="text1"/>
              </w:rPr>
              <w:t>2</w:t>
            </w:r>
          </w:p>
        </w:tc>
        <w:tc>
          <w:tcPr>
            <w:tcW w:w="2317" w:type="pct"/>
            <w:tcBorders>
              <w:top w:val="single" w:sz="4" w:space="0" w:color="auto"/>
              <w:left w:val="single" w:sz="4" w:space="0" w:color="auto"/>
              <w:bottom w:val="single" w:sz="4" w:space="0" w:color="auto"/>
              <w:right w:val="single" w:sz="12" w:space="0" w:color="auto"/>
            </w:tcBorders>
          </w:tcPr>
          <w:p w14:paraId="22687257" w14:textId="77777777" w:rsidR="002D3CA7" w:rsidRPr="00C56257" w:rsidRDefault="002D3CA7" w:rsidP="008E33FD">
            <w:pPr>
              <w:jc w:val="both"/>
              <w:rPr>
                <w:color w:val="000000" w:themeColor="text1"/>
              </w:rPr>
            </w:pPr>
          </w:p>
        </w:tc>
        <w:tc>
          <w:tcPr>
            <w:tcW w:w="2317" w:type="pct"/>
            <w:tcBorders>
              <w:top w:val="single" w:sz="4" w:space="0" w:color="auto"/>
              <w:left w:val="single" w:sz="4" w:space="0" w:color="auto"/>
              <w:bottom w:val="single" w:sz="4" w:space="0" w:color="auto"/>
              <w:right w:val="single" w:sz="12" w:space="0" w:color="auto"/>
            </w:tcBorders>
            <w:vAlign w:val="center"/>
          </w:tcPr>
          <w:p w14:paraId="1BF7498D" w14:textId="77777777" w:rsidR="002D3CA7" w:rsidRPr="00C56257" w:rsidRDefault="002D3CA7" w:rsidP="008E33FD">
            <w:pPr>
              <w:jc w:val="both"/>
              <w:rPr>
                <w:color w:val="000000" w:themeColor="text1"/>
              </w:rPr>
            </w:pPr>
          </w:p>
        </w:tc>
      </w:tr>
      <w:tr w:rsidR="00673EFE" w:rsidRPr="00C56257" w14:paraId="2D2E122C" w14:textId="77777777" w:rsidTr="002825C6">
        <w:trPr>
          <w:trHeight w:val="263"/>
        </w:trPr>
        <w:tc>
          <w:tcPr>
            <w:tcW w:w="366" w:type="pct"/>
            <w:tcBorders>
              <w:top w:val="single" w:sz="4" w:space="0" w:color="auto"/>
              <w:left w:val="single" w:sz="12" w:space="0" w:color="auto"/>
              <w:bottom w:val="single" w:sz="4" w:space="0" w:color="auto"/>
              <w:right w:val="single" w:sz="4" w:space="0" w:color="auto"/>
            </w:tcBorders>
          </w:tcPr>
          <w:p w14:paraId="7AEE0310" w14:textId="77777777" w:rsidR="002D3CA7" w:rsidRPr="00C56257" w:rsidRDefault="002D3CA7" w:rsidP="008E33FD">
            <w:pPr>
              <w:jc w:val="both"/>
              <w:rPr>
                <w:color w:val="000000" w:themeColor="text1"/>
              </w:rPr>
            </w:pPr>
          </w:p>
        </w:tc>
        <w:tc>
          <w:tcPr>
            <w:tcW w:w="2317" w:type="pct"/>
            <w:tcBorders>
              <w:top w:val="single" w:sz="4" w:space="0" w:color="auto"/>
              <w:left w:val="single" w:sz="4" w:space="0" w:color="auto"/>
              <w:bottom w:val="single" w:sz="4" w:space="0" w:color="auto"/>
              <w:right w:val="single" w:sz="12" w:space="0" w:color="auto"/>
            </w:tcBorders>
          </w:tcPr>
          <w:p w14:paraId="17F8845C" w14:textId="77777777" w:rsidR="002D3CA7" w:rsidRPr="00C56257" w:rsidRDefault="002D3CA7" w:rsidP="008E33FD">
            <w:pPr>
              <w:jc w:val="both"/>
              <w:rPr>
                <w:color w:val="000000" w:themeColor="text1"/>
              </w:rPr>
            </w:pPr>
          </w:p>
        </w:tc>
        <w:tc>
          <w:tcPr>
            <w:tcW w:w="2317" w:type="pct"/>
            <w:tcBorders>
              <w:top w:val="single" w:sz="4" w:space="0" w:color="auto"/>
              <w:left w:val="single" w:sz="4" w:space="0" w:color="auto"/>
              <w:bottom w:val="single" w:sz="4" w:space="0" w:color="auto"/>
              <w:right w:val="single" w:sz="12" w:space="0" w:color="auto"/>
            </w:tcBorders>
            <w:vAlign w:val="center"/>
          </w:tcPr>
          <w:p w14:paraId="33FA8787" w14:textId="77777777" w:rsidR="002D3CA7" w:rsidRPr="00C56257" w:rsidRDefault="002D3CA7" w:rsidP="008E33FD">
            <w:pPr>
              <w:jc w:val="both"/>
              <w:rPr>
                <w:color w:val="000000" w:themeColor="text1"/>
              </w:rPr>
            </w:pPr>
          </w:p>
        </w:tc>
      </w:tr>
      <w:tr w:rsidR="00673EFE" w:rsidRPr="00C56257" w14:paraId="72164FAD" w14:textId="77777777" w:rsidTr="002825C6">
        <w:trPr>
          <w:trHeight w:val="263"/>
        </w:trPr>
        <w:tc>
          <w:tcPr>
            <w:tcW w:w="366" w:type="pct"/>
            <w:tcBorders>
              <w:top w:val="single" w:sz="4" w:space="0" w:color="auto"/>
              <w:left w:val="single" w:sz="12" w:space="0" w:color="auto"/>
              <w:bottom w:val="single" w:sz="4" w:space="0" w:color="auto"/>
              <w:right w:val="single" w:sz="4" w:space="0" w:color="auto"/>
            </w:tcBorders>
            <w:hideMark/>
          </w:tcPr>
          <w:p w14:paraId="5B7BEA70" w14:textId="77777777" w:rsidR="002D3CA7" w:rsidRPr="00C56257" w:rsidRDefault="002D3CA7" w:rsidP="008E33FD">
            <w:pPr>
              <w:jc w:val="both"/>
              <w:rPr>
                <w:color w:val="000000" w:themeColor="text1"/>
              </w:rPr>
            </w:pPr>
            <w:r w:rsidRPr="00C56257">
              <w:rPr>
                <w:color w:val="000000" w:themeColor="text1"/>
              </w:rPr>
              <w:t>..</w:t>
            </w:r>
          </w:p>
        </w:tc>
        <w:tc>
          <w:tcPr>
            <w:tcW w:w="2317" w:type="pct"/>
            <w:tcBorders>
              <w:top w:val="single" w:sz="4" w:space="0" w:color="auto"/>
              <w:left w:val="single" w:sz="4" w:space="0" w:color="auto"/>
              <w:bottom w:val="single" w:sz="4" w:space="0" w:color="auto"/>
              <w:right w:val="single" w:sz="12" w:space="0" w:color="auto"/>
            </w:tcBorders>
          </w:tcPr>
          <w:p w14:paraId="3BDDBD54" w14:textId="77777777" w:rsidR="002D3CA7" w:rsidRPr="00C56257" w:rsidRDefault="002D3CA7" w:rsidP="008E33FD">
            <w:pPr>
              <w:jc w:val="both"/>
              <w:rPr>
                <w:color w:val="000000" w:themeColor="text1"/>
              </w:rPr>
            </w:pPr>
          </w:p>
        </w:tc>
        <w:tc>
          <w:tcPr>
            <w:tcW w:w="2317" w:type="pct"/>
            <w:tcBorders>
              <w:top w:val="single" w:sz="4" w:space="0" w:color="auto"/>
              <w:left w:val="single" w:sz="4" w:space="0" w:color="auto"/>
              <w:bottom w:val="single" w:sz="4" w:space="0" w:color="auto"/>
              <w:right w:val="single" w:sz="12" w:space="0" w:color="auto"/>
            </w:tcBorders>
            <w:vAlign w:val="center"/>
          </w:tcPr>
          <w:p w14:paraId="44B515E8" w14:textId="77777777" w:rsidR="002D3CA7" w:rsidRPr="00C56257" w:rsidRDefault="002D3CA7" w:rsidP="008E33FD">
            <w:pPr>
              <w:jc w:val="both"/>
              <w:rPr>
                <w:color w:val="000000" w:themeColor="text1"/>
              </w:rPr>
            </w:pPr>
          </w:p>
        </w:tc>
      </w:tr>
      <w:tr w:rsidR="00673EFE" w:rsidRPr="00C56257" w14:paraId="3A63A672" w14:textId="77777777" w:rsidTr="002825C6">
        <w:trPr>
          <w:trHeight w:val="263"/>
        </w:trPr>
        <w:tc>
          <w:tcPr>
            <w:tcW w:w="366" w:type="pct"/>
            <w:tcBorders>
              <w:top w:val="single" w:sz="4" w:space="0" w:color="auto"/>
              <w:left w:val="single" w:sz="12" w:space="0" w:color="auto"/>
              <w:bottom w:val="single" w:sz="4" w:space="0" w:color="auto"/>
              <w:right w:val="single" w:sz="4" w:space="0" w:color="auto"/>
            </w:tcBorders>
          </w:tcPr>
          <w:p w14:paraId="5CFB9D5A" w14:textId="77777777" w:rsidR="002D3CA7" w:rsidRPr="00C56257" w:rsidRDefault="002D3CA7" w:rsidP="008E33FD">
            <w:pPr>
              <w:jc w:val="both"/>
              <w:rPr>
                <w:color w:val="000000" w:themeColor="text1"/>
              </w:rPr>
            </w:pPr>
            <w:r w:rsidRPr="00C56257">
              <w:rPr>
                <w:color w:val="000000" w:themeColor="text1"/>
              </w:rPr>
              <w:t>n</w:t>
            </w:r>
          </w:p>
        </w:tc>
        <w:tc>
          <w:tcPr>
            <w:tcW w:w="2317" w:type="pct"/>
            <w:tcBorders>
              <w:top w:val="single" w:sz="4" w:space="0" w:color="auto"/>
              <w:left w:val="single" w:sz="4" w:space="0" w:color="auto"/>
              <w:bottom w:val="single" w:sz="4" w:space="0" w:color="auto"/>
              <w:right w:val="single" w:sz="12" w:space="0" w:color="auto"/>
            </w:tcBorders>
          </w:tcPr>
          <w:p w14:paraId="3BD06920" w14:textId="77777777" w:rsidR="002D3CA7" w:rsidRPr="00C56257" w:rsidRDefault="002D3CA7" w:rsidP="008E33FD">
            <w:pPr>
              <w:jc w:val="both"/>
              <w:rPr>
                <w:color w:val="000000" w:themeColor="text1"/>
              </w:rPr>
            </w:pPr>
          </w:p>
        </w:tc>
        <w:tc>
          <w:tcPr>
            <w:tcW w:w="2317" w:type="pct"/>
            <w:tcBorders>
              <w:top w:val="single" w:sz="4" w:space="0" w:color="auto"/>
              <w:left w:val="single" w:sz="4" w:space="0" w:color="auto"/>
              <w:bottom w:val="single" w:sz="4" w:space="0" w:color="auto"/>
              <w:right w:val="single" w:sz="12" w:space="0" w:color="auto"/>
            </w:tcBorders>
            <w:vAlign w:val="center"/>
          </w:tcPr>
          <w:p w14:paraId="455DCBE3" w14:textId="77777777" w:rsidR="002D3CA7" w:rsidRPr="00C56257" w:rsidRDefault="002D3CA7" w:rsidP="008E33FD">
            <w:pPr>
              <w:jc w:val="both"/>
              <w:rPr>
                <w:color w:val="000000" w:themeColor="text1"/>
              </w:rPr>
            </w:pPr>
          </w:p>
        </w:tc>
      </w:tr>
    </w:tbl>
    <w:p w14:paraId="1BF53B3C" w14:textId="77777777" w:rsidR="002D3CA7" w:rsidRPr="00C56257" w:rsidRDefault="002D3CA7" w:rsidP="008E33FD">
      <w:pPr>
        <w:jc w:val="both"/>
        <w:rPr>
          <w:color w:val="000000" w:themeColor="text1"/>
        </w:rPr>
      </w:pPr>
      <w:r w:rsidRPr="00C56257">
        <w:rPr>
          <w:color w:val="000000" w:themeColor="text1"/>
        </w:rPr>
        <w:t>4. Presiuni actuale sau pe perioada de raportare (maxim 10 presiuni)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3"/>
        <w:gridCol w:w="1151"/>
        <w:gridCol w:w="4165"/>
        <w:gridCol w:w="1488"/>
        <w:gridCol w:w="2017"/>
      </w:tblGrid>
      <w:tr w:rsidR="00673EFE" w:rsidRPr="00C56257" w14:paraId="58C657B5" w14:textId="77777777" w:rsidTr="002825C6">
        <w:trPr>
          <w:tblHeader/>
        </w:trPr>
        <w:tc>
          <w:tcPr>
            <w:tcW w:w="578" w:type="pct"/>
            <w:vMerge w:val="restart"/>
            <w:tcBorders>
              <w:top w:val="single" w:sz="12" w:space="0" w:color="auto"/>
              <w:left w:val="single" w:sz="12" w:space="0" w:color="auto"/>
              <w:bottom w:val="single" w:sz="4" w:space="0" w:color="auto"/>
              <w:right w:val="single" w:sz="4" w:space="0" w:color="auto"/>
            </w:tcBorders>
            <w:vAlign w:val="center"/>
            <w:hideMark/>
          </w:tcPr>
          <w:p w14:paraId="29EE1BC7" w14:textId="77777777" w:rsidR="002D3CA7" w:rsidRPr="00C56257" w:rsidRDefault="002D3CA7" w:rsidP="008E33FD">
            <w:pPr>
              <w:jc w:val="both"/>
              <w:rPr>
                <w:color w:val="000000" w:themeColor="text1"/>
              </w:rPr>
            </w:pPr>
            <w:r w:rsidRPr="00C56257">
              <w:rPr>
                <w:color w:val="000000" w:themeColor="text1"/>
              </w:rPr>
              <w:lastRenderedPageBreak/>
              <w:t>Nr. crt.</w:t>
            </w:r>
          </w:p>
        </w:tc>
        <w:tc>
          <w:tcPr>
            <w:tcW w:w="2665" w:type="pct"/>
            <w:gridSpan w:val="2"/>
            <w:tcBorders>
              <w:top w:val="single" w:sz="12" w:space="0" w:color="auto"/>
              <w:left w:val="single" w:sz="4" w:space="0" w:color="auto"/>
              <w:bottom w:val="single" w:sz="4" w:space="0" w:color="auto"/>
              <w:right w:val="single" w:sz="4" w:space="0" w:color="auto"/>
            </w:tcBorders>
            <w:vAlign w:val="center"/>
            <w:hideMark/>
          </w:tcPr>
          <w:p w14:paraId="2EAC76DD" w14:textId="77777777" w:rsidR="002D3CA7" w:rsidRPr="00C56257" w:rsidRDefault="002D3CA7" w:rsidP="008E33FD">
            <w:pPr>
              <w:jc w:val="both"/>
              <w:rPr>
                <w:color w:val="000000" w:themeColor="text1"/>
              </w:rPr>
            </w:pPr>
            <w:r w:rsidRPr="00C56257">
              <w:rPr>
                <w:color w:val="000000" w:themeColor="text1"/>
              </w:rPr>
              <w:t>Presiunea</w:t>
            </w:r>
          </w:p>
        </w:tc>
        <w:tc>
          <w:tcPr>
            <w:tcW w:w="746" w:type="pct"/>
            <w:vMerge w:val="restart"/>
            <w:tcBorders>
              <w:top w:val="single" w:sz="12" w:space="0" w:color="auto"/>
              <w:left w:val="single" w:sz="4" w:space="0" w:color="auto"/>
              <w:bottom w:val="single" w:sz="4" w:space="0" w:color="auto"/>
              <w:right w:val="single" w:sz="4" w:space="0" w:color="auto"/>
            </w:tcBorders>
            <w:vAlign w:val="center"/>
            <w:hideMark/>
          </w:tcPr>
          <w:p w14:paraId="2958C066" w14:textId="77777777" w:rsidR="002D3CA7" w:rsidRPr="00C56257" w:rsidRDefault="002D3CA7" w:rsidP="008E33FD">
            <w:pPr>
              <w:jc w:val="both"/>
              <w:rPr>
                <w:color w:val="000000" w:themeColor="text1"/>
              </w:rPr>
            </w:pPr>
            <w:r w:rsidRPr="00C56257">
              <w:rPr>
                <w:color w:val="000000" w:themeColor="text1"/>
              </w:rPr>
              <w:t>Intensitate</w:t>
            </w:r>
          </w:p>
        </w:tc>
        <w:tc>
          <w:tcPr>
            <w:tcW w:w="1011" w:type="pct"/>
            <w:vMerge w:val="restart"/>
            <w:tcBorders>
              <w:top w:val="single" w:sz="12" w:space="0" w:color="auto"/>
              <w:left w:val="single" w:sz="4" w:space="0" w:color="auto"/>
              <w:bottom w:val="single" w:sz="4" w:space="0" w:color="auto"/>
              <w:right w:val="single" w:sz="12" w:space="0" w:color="auto"/>
            </w:tcBorders>
            <w:vAlign w:val="center"/>
            <w:hideMark/>
          </w:tcPr>
          <w:p w14:paraId="4CD9C0CD" w14:textId="77777777" w:rsidR="002D3CA7" w:rsidRPr="00C56257" w:rsidRDefault="002D3CA7" w:rsidP="008E33FD">
            <w:pPr>
              <w:jc w:val="both"/>
              <w:rPr>
                <w:color w:val="000000" w:themeColor="text1"/>
              </w:rPr>
            </w:pPr>
            <w:r w:rsidRPr="00C56257">
              <w:rPr>
                <w:color w:val="000000" w:themeColor="text1"/>
              </w:rPr>
              <w:t>Observaţii</w:t>
            </w:r>
          </w:p>
        </w:tc>
      </w:tr>
      <w:tr w:rsidR="00673EFE" w:rsidRPr="00C56257" w14:paraId="1B781D2E" w14:textId="77777777" w:rsidTr="002825C6">
        <w:trPr>
          <w:tblHeader/>
        </w:trPr>
        <w:tc>
          <w:tcPr>
            <w:tcW w:w="578" w:type="pct"/>
            <w:vMerge/>
            <w:tcBorders>
              <w:top w:val="single" w:sz="12" w:space="0" w:color="auto"/>
              <w:left w:val="single" w:sz="12" w:space="0" w:color="auto"/>
              <w:bottom w:val="single" w:sz="4" w:space="0" w:color="auto"/>
              <w:right w:val="single" w:sz="4" w:space="0" w:color="auto"/>
            </w:tcBorders>
            <w:vAlign w:val="center"/>
            <w:hideMark/>
          </w:tcPr>
          <w:p w14:paraId="4C1F8F6C" w14:textId="77777777" w:rsidR="002D3CA7" w:rsidRPr="00C56257" w:rsidRDefault="002D3CA7" w:rsidP="008E33FD">
            <w:pPr>
              <w:jc w:val="both"/>
              <w:rPr>
                <w:color w:val="000000" w:themeColor="text1"/>
              </w:rPr>
            </w:pPr>
          </w:p>
        </w:tc>
        <w:tc>
          <w:tcPr>
            <w:tcW w:w="577" w:type="pct"/>
            <w:tcBorders>
              <w:top w:val="single" w:sz="4" w:space="0" w:color="auto"/>
              <w:left w:val="single" w:sz="4" w:space="0" w:color="auto"/>
              <w:bottom w:val="single" w:sz="4" w:space="0" w:color="auto"/>
              <w:right w:val="single" w:sz="4" w:space="0" w:color="auto"/>
            </w:tcBorders>
            <w:hideMark/>
          </w:tcPr>
          <w:p w14:paraId="71CE05D0" w14:textId="77777777" w:rsidR="002D3CA7" w:rsidRPr="00C56257" w:rsidRDefault="002D3CA7" w:rsidP="008E33FD">
            <w:pPr>
              <w:jc w:val="both"/>
              <w:rPr>
                <w:color w:val="000000" w:themeColor="text1"/>
              </w:rPr>
            </w:pPr>
            <w:r w:rsidRPr="00C56257">
              <w:rPr>
                <w:color w:val="000000" w:themeColor="text1"/>
              </w:rPr>
              <w:t>Cod</w:t>
            </w:r>
          </w:p>
        </w:tc>
        <w:tc>
          <w:tcPr>
            <w:tcW w:w="2088" w:type="pct"/>
            <w:tcBorders>
              <w:top w:val="single" w:sz="4" w:space="0" w:color="auto"/>
              <w:left w:val="single" w:sz="4" w:space="0" w:color="auto"/>
              <w:bottom w:val="single" w:sz="4" w:space="0" w:color="auto"/>
              <w:right w:val="single" w:sz="4" w:space="0" w:color="auto"/>
            </w:tcBorders>
            <w:hideMark/>
          </w:tcPr>
          <w:p w14:paraId="07C1E5C4" w14:textId="77777777" w:rsidR="002D3CA7" w:rsidRPr="00C56257" w:rsidRDefault="002D3CA7" w:rsidP="008E33FD">
            <w:pPr>
              <w:jc w:val="both"/>
              <w:rPr>
                <w:color w:val="000000" w:themeColor="text1"/>
              </w:rPr>
            </w:pPr>
            <w:r w:rsidRPr="00C56257">
              <w:rPr>
                <w:color w:val="000000" w:themeColor="text1"/>
              </w:rPr>
              <w:t>Denumire</w:t>
            </w:r>
          </w:p>
        </w:tc>
        <w:tc>
          <w:tcPr>
            <w:tcW w:w="746" w:type="pct"/>
            <w:vMerge/>
            <w:tcBorders>
              <w:top w:val="single" w:sz="12" w:space="0" w:color="auto"/>
              <w:left w:val="single" w:sz="4" w:space="0" w:color="auto"/>
              <w:bottom w:val="single" w:sz="4" w:space="0" w:color="auto"/>
              <w:right w:val="single" w:sz="4" w:space="0" w:color="auto"/>
            </w:tcBorders>
            <w:vAlign w:val="center"/>
            <w:hideMark/>
          </w:tcPr>
          <w:p w14:paraId="34984494" w14:textId="77777777" w:rsidR="002D3CA7" w:rsidRPr="00C56257" w:rsidRDefault="002D3CA7" w:rsidP="008E33FD">
            <w:pPr>
              <w:jc w:val="both"/>
              <w:rPr>
                <w:color w:val="000000" w:themeColor="text1"/>
              </w:rPr>
            </w:pPr>
          </w:p>
        </w:tc>
        <w:tc>
          <w:tcPr>
            <w:tcW w:w="1011" w:type="pct"/>
            <w:vMerge/>
            <w:tcBorders>
              <w:top w:val="single" w:sz="12" w:space="0" w:color="auto"/>
              <w:left w:val="single" w:sz="4" w:space="0" w:color="auto"/>
              <w:bottom w:val="single" w:sz="4" w:space="0" w:color="auto"/>
              <w:right w:val="single" w:sz="12" w:space="0" w:color="auto"/>
            </w:tcBorders>
            <w:vAlign w:val="center"/>
            <w:hideMark/>
          </w:tcPr>
          <w:p w14:paraId="508BBA55" w14:textId="77777777" w:rsidR="002D3CA7" w:rsidRPr="00C56257" w:rsidRDefault="002D3CA7" w:rsidP="008E33FD">
            <w:pPr>
              <w:jc w:val="both"/>
              <w:rPr>
                <w:color w:val="000000" w:themeColor="text1"/>
              </w:rPr>
            </w:pPr>
          </w:p>
        </w:tc>
      </w:tr>
      <w:tr w:rsidR="00673EFE" w:rsidRPr="00C56257" w14:paraId="38C3CA4D" w14:textId="77777777" w:rsidTr="002825C6">
        <w:trPr>
          <w:trHeight w:val="360"/>
        </w:trPr>
        <w:tc>
          <w:tcPr>
            <w:tcW w:w="578" w:type="pct"/>
            <w:tcBorders>
              <w:top w:val="single" w:sz="4" w:space="0" w:color="auto"/>
              <w:left w:val="single" w:sz="12" w:space="0" w:color="auto"/>
              <w:bottom w:val="single" w:sz="4" w:space="0" w:color="auto"/>
              <w:right w:val="single" w:sz="4" w:space="0" w:color="auto"/>
            </w:tcBorders>
            <w:hideMark/>
          </w:tcPr>
          <w:p w14:paraId="6A04406E" w14:textId="77777777" w:rsidR="002D3CA7" w:rsidRPr="00C56257" w:rsidRDefault="002D3CA7" w:rsidP="008E33FD">
            <w:pPr>
              <w:jc w:val="both"/>
              <w:rPr>
                <w:color w:val="000000" w:themeColor="text1"/>
              </w:rPr>
            </w:pPr>
            <w:r w:rsidRPr="00C56257">
              <w:rPr>
                <w:color w:val="000000" w:themeColor="text1"/>
              </w:rPr>
              <w:t>1</w:t>
            </w:r>
          </w:p>
        </w:tc>
        <w:tc>
          <w:tcPr>
            <w:tcW w:w="577" w:type="pct"/>
            <w:tcBorders>
              <w:top w:val="single" w:sz="4" w:space="0" w:color="auto"/>
              <w:left w:val="single" w:sz="4" w:space="0" w:color="auto"/>
              <w:bottom w:val="single" w:sz="4" w:space="0" w:color="auto"/>
              <w:right w:val="single" w:sz="4" w:space="0" w:color="auto"/>
            </w:tcBorders>
          </w:tcPr>
          <w:p w14:paraId="4028AA2E" w14:textId="77777777" w:rsidR="002D3CA7" w:rsidRPr="00C56257" w:rsidRDefault="002D3CA7" w:rsidP="008E33FD">
            <w:pPr>
              <w:jc w:val="both"/>
              <w:rPr>
                <w:color w:val="000000" w:themeColor="text1"/>
              </w:rPr>
            </w:pPr>
          </w:p>
        </w:tc>
        <w:tc>
          <w:tcPr>
            <w:tcW w:w="2088" w:type="pct"/>
            <w:tcBorders>
              <w:top w:val="single" w:sz="4" w:space="0" w:color="auto"/>
              <w:left w:val="single" w:sz="4" w:space="0" w:color="auto"/>
              <w:bottom w:val="single" w:sz="4" w:space="0" w:color="auto"/>
              <w:right w:val="single" w:sz="4" w:space="0" w:color="auto"/>
            </w:tcBorders>
          </w:tcPr>
          <w:p w14:paraId="731587F7" w14:textId="77777777" w:rsidR="002D3CA7" w:rsidRPr="00C56257" w:rsidRDefault="002D3CA7" w:rsidP="008E33FD">
            <w:pPr>
              <w:jc w:val="both"/>
              <w:rPr>
                <w:color w:val="000000" w:themeColor="text1"/>
              </w:rPr>
            </w:pPr>
          </w:p>
        </w:tc>
        <w:tc>
          <w:tcPr>
            <w:tcW w:w="746" w:type="pct"/>
            <w:tcBorders>
              <w:top w:val="single" w:sz="4" w:space="0" w:color="auto"/>
              <w:left w:val="single" w:sz="4" w:space="0" w:color="auto"/>
              <w:bottom w:val="single" w:sz="4" w:space="0" w:color="auto"/>
              <w:right w:val="single" w:sz="4" w:space="0" w:color="auto"/>
            </w:tcBorders>
          </w:tcPr>
          <w:p w14:paraId="1C0E0618" w14:textId="77777777" w:rsidR="002D3CA7" w:rsidRPr="00C56257" w:rsidRDefault="002D3CA7" w:rsidP="008E33FD">
            <w:pPr>
              <w:jc w:val="both"/>
              <w:rPr>
                <w:color w:val="000000" w:themeColor="text1"/>
              </w:rPr>
            </w:pPr>
          </w:p>
        </w:tc>
        <w:tc>
          <w:tcPr>
            <w:tcW w:w="1011" w:type="pct"/>
            <w:tcBorders>
              <w:top w:val="single" w:sz="4" w:space="0" w:color="auto"/>
              <w:left w:val="single" w:sz="4" w:space="0" w:color="auto"/>
              <w:bottom w:val="single" w:sz="4" w:space="0" w:color="auto"/>
              <w:right w:val="single" w:sz="12" w:space="0" w:color="auto"/>
            </w:tcBorders>
          </w:tcPr>
          <w:p w14:paraId="610C87D4" w14:textId="77777777" w:rsidR="002D3CA7" w:rsidRPr="00C56257" w:rsidRDefault="002D3CA7" w:rsidP="008E33FD">
            <w:pPr>
              <w:jc w:val="both"/>
              <w:rPr>
                <w:color w:val="000000" w:themeColor="text1"/>
              </w:rPr>
            </w:pPr>
          </w:p>
        </w:tc>
      </w:tr>
      <w:tr w:rsidR="00673EFE" w:rsidRPr="00C56257" w14:paraId="21D09184" w14:textId="77777777" w:rsidTr="002825C6">
        <w:trPr>
          <w:trHeight w:val="360"/>
        </w:trPr>
        <w:tc>
          <w:tcPr>
            <w:tcW w:w="578" w:type="pct"/>
            <w:tcBorders>
              <w:top w:val="single" w:sz="4" w:space="0" w:color="auto"/>
              <w:left w:val="single" w:sz="12" w:space="0" w:color="auto"/>
              <w:bottom w:val="single" w:sz="4" w:space="0" w:color="auto"/>
              <w:right w:val="single" w:sz="4" w:space="0" w:color="auto"/>
            </w:tcBorders>
            <w:hideMark/>
          </w:tcPr>
          <w:p w14:paraId="4A34B03B" w14:textId="77777777" w:rsidR="002D3CA7" w:rsidRPr="00C56257" w:rsidRDefault="002D3CA7" w:rsidP="008E33FD">
            <w:pPr>
              <w:jc w:val="both"/>
              <w:rPr>
                <w:color w:val="000000" w:themeColor="text1"/>
              </w:rPr>
            </w:pPr>
            <w:r w:rsidRPr="00C56257">
              <w:rPr>
                <w:color w:val="000000" w:themeColor="text1"/>
              </w:rPr>
              <w:t>2</w:t>
            </w:r>
          </w:p>
        </w:tc>
        <w:tc>
          <w:tcPr>
            <w:tcW w:w="577" w:type="pct"/>
            <w:tcBorders>
              <w:top w:val="single" w:sz="4" w:space="0" w:color="auto"/>
              <w:left w:val="single" w:sz="4" w:space="0" w:color="auto"/>
              <w:bottom w:val="single" w:sz="4" w:space="0" w:color="auto"/>
              <w:right w:val="single" w:sz="4" w:space="0" w:color="auto"/>
            </w:tcBorders>
          </w:tcPr>
          <w:p w14:paraId="6259B37A" w14:textId="77777777" w:rsidR="002D3CA7" w:rsidRPr="00C56257" w:rsidRDefault="002D3CA7" w:rsidP="008E33FD">
            <w:pPr>
              <w:jc w:val="both"/>
              <w:rPr>
                <w:color w:val="000000" w:themeColor="text1"/>
              </w:rPr>
            </w:pPr>
          </w:p>
        </w:tc>
        <w:tc>
          <w:tcPr>
            <w:tcW w:w="2088" w:type="pct"/>
            <w:tcBorders>
              <w:top w:val="single" w:sz="4" w:space="0" w:color="auto"/>
              <w:left w:val="single" w:sz="4" w:space="0" w:color="auto"/>
              <w:bottom w:val="single" w:sz="4" w:space="0" w:color="auto"/>
              <w:right w:val="single" w:sz="4" w:space="0" w:color="auto"/>
            </w:tcBorders>
          </w:tcPr>
          <w:p w14:paraId="26474CAD" w14:textId="77777777" w:rsidR="002D3CA7" w:rsidRPr="00C56257" w:rsidRDefault="002D3CA7" w:rsidP="008E33FD">
            <w:pPr>
              <w:jc w:val="both"/>
              <w:rPr>
                <w:color w:val="000000" w:themeColor="text1"/>
              </w:rPr>
            </w:pPr>
          </w:p>
        </w:tc>
        <w:tc>
          <w:tcPr>
            <w:tcW w:w="746" w:type="pct"/>
            <w:tcBorders>
              <w:top w:val="single" w:sz="4" w:space="0" w:color="auto"/>
              <w:left w:val="single" w:sz="4" w:space="0" w:color="auto"/>
              <w:bottom w:val="single" w:sz="4" w:space="0" w:color="auto"/>
              <w:right w:val="single" w:sz="4" w:space="0" w:color="auto"/>
            </w:tcBorders>
          </w:tcPr>
          <w:p w14:paraId="18555E45" w14:textId="77777777" w:rsidR="002D3CA7" w:rsidRPr="00C56257" w:rsidRDefault="002D3CA7" w:rsidP="008E33FD">
            <w:pPr>
              <w:jc w:val="both"/>
              <w:rPr>
                <w:color w:val="000000" w:themeColor="text1"/>
              </w:rPr>
            </w:pPr>
          </w:p>
        </w:tc>
        <w:tc>
          <w:tcPr>
            <w:tcW w:w="1011" w:type="pct"/>
            <w:tcBorders>
              <w:top w:val="single" w:sz="4" w:space="0" w:color="auto"/>
              <w:left w:val="single" w:sz="4" w:space="0" w:color="auto"/>
              <w:bottom w:val="single" w:sz="4" w:space="0" w:color="auto"/>
              <w:right w:val="single" w:sz="12" w:space="0" w:color="auto"/>
            </w:tcBorders>
          </w:tcPr>
          <w:p w14:paraId="1E0E333E" w14:textId="77777777" w:rsidR="002D3CA7" w:rsidRPr="00C56257" w:rsidRDefault="002D3CA7" w:rsidP="008E33FD">
            <w:pPr>
              <w:jc w:val="both"/>
              <w:rPr>
                <w:color w:val="000000" w:themeColor="text1"/>
              </w:rPr>
            </w:pPr>
          </w:p>
        </w:tc>
      </w:tr>
      <w:tr w:rsidR="00673EFE" w:rsidRPr="00C56257" w14:paraId="370FC8EE" w14:textId="77777777" w:rsidTr="002825C6">
        <w:trPr>
          <w:trHeight w:val="360"/>
        </w:trPr>
        <w:tc>
          <w:tcPr>
            <w:tcW w:w="578" w:type="pct"/>
            <w:tcBorders>
              <w:top w:val="single" w:sz="4" w:space="0" w:color="auto"/>
              <w:left w:val="single" w:sz="12" w:space="0" w:color="auto"/>
              <w:bottom w:val="single" w:sz="4" w:space="0" w:color="auto"/>
              <w:right w:val="single" w:sz="4" w:space="0" w:color="auto"/>
            </w:tcBorders>
            <w:hideMark/>
          </w:tcPr>
          <w:p w14:paraId="596B2D13" w14:textId="77777777" w:rsidR="002D3CA7" w:rsidRPr="00C56257" w:rsidRDefault="002D3CA7" w:rsidP="008E33FD">
            <w:pPr>
              <w:jc w:val="both"/>
              <w:rPr>
                <w:color w:val="000000" w:themeColor="text1"/>
              </w:rPr>
            </w:pPr>
            <w:r w:rsidRPr="00C56257">
              <w:rPr>
                <w:color w:val="000000" w:themeColor="text1"/>
              </w:rPr>
              <w:t>..</w:t>
            </w:r>
          </w:p>
        </w:tc>
        <w:tc>
          <w:tcPr>
            <w:tcW w:w="577" w:type="pct"/>
            <w:tcBorders>
              <w:top w:val="single" w:sz="4" w:space="0" w:color="auto"/>
              <w:left w:val="single" w:sz="4" w:space="0" w:color="auto"/>
              <w:bottom w:val="single" w:sz="4" w:space="0" w:color="auto"/>
              <w:right w:val="single" w:sz="4" w:space="0" w:color="auto"/>
            </w:tcBorders>
          </w:tcPr>
          <w:p w14:paraId="7FAD0D9C" w14:textId="77777777" w:rsidR="002D3CA7" w:rsidRPr="00C56257" w:rsidRDefault="002D3CA7" w:rsidP="008E33FD">
            <w:pPr>
              <w:jc w:val="both"/>
              <w:rPr>
                <w:color w:val="000000" w:themeColor="text1"/>
              </w:rPr>
            </w:pPr>
          </w:p>
        </w:tc>
        <w:tc>
          <w:tcPr>
            <w:tcW w:w="2088" w:type="pct"/>
            <w:tcBorders>
              <w:top w:val="single" w:sz="4" w:space="0" w:color="auto"/>
              <w:left w:val="single" w:sz="4" w:space="0" w:color="auto"/>
              <w:bottom w:val="single" w:sz="4" w:space="0" w:color="auto"/>
              <w:right w:val="single" w:sz="4" w:space="0" w:color="auto"/>
            </w:tcBorders>
          </w:tcPr>
          <w:p w14:paraId="2CF02677" w14:textId="77777777" w:rsidR="002D3CA7" w:rsidRPr="00C56257" w:rsidRDefault="002D3CA7" w:rsidP="008E33FD">
            <w:pPr>
              <w:jc w:val="both"/>
              <w:rPr>
                <w:color w:val="000000" w:themeColor="text1"/>
              </w:rPr>
            </w:pPr>
          </w:p>
        </w:tc>
        <w:tc>
          <w:tcPr>
            <w:tcW w:w="746" w:type="pct"/>
            <w:tcBorders>
              <w:top w:val="single" w:sz="4" w:space="0" w:color="auto"/>
              <w:left w:val="single" w:sz="4" w:space="0" w:color="auto"/>
              <w:bottom w:val="single" w:sz="4" w:space="0" w:color="auto"/>
              <w:right w:val="single" w:sz="4" w:space="0" w:color="auto"/>
            </w:tcBorders>
          </w:tcPr>
          <w:p w14:paraId="14006266" w14:textId="77777777" w:rsidR="002D3CA7" w:rsidRPr="00C56257" w:rsidRDefault="002D3CA7" w:rsidP="008E33FD">
            <w:pPr>
              <w:jc w:val="both"/>
              <w:rPr>
                <w:color w:val="000000" w:themeColor="text1"/>
              </w:rPr>
            </w:pPr>
          </w:p>
        </w:tc>
        <w:tc>
          <w:tcPr>
            <w:tcW w:w="1011" w:type="pct"/>
            <w:tcBorders>
              <w:top w:val="single" w:sz="4" w:space="0" w:color="auto"/>
              <w:left w:val="single" w:sz="4" w:space="0" w:color="auto"/>
              <w:bottom w:val="single" w:sz="4" w:space="0" w:color="auto"/>
              <w:right w:val="single" w:sz="12" w:space="0" w:color="auto"/>
            </w:tcBorders>
          </w:tcPr>
          <w:p w14:paraId="6DCB9B40" w14:textId="77777777" w:rsidR="002D3CA7" w:rsidRPr="00C56257" w:rsidRDefault="002D3CA7" w:rsidP="008E33FD">
            <w:pPr>
              <w:jc w:val="both"/>
              <w:rPr>
                <w:color w:val="000000" w:themeColor="text1"/>
              </w:rPr>
            </w:pPr>
          </w:p>
        </w:tc>
      </w:tr>
      <w:tr w:rsidR="00673EFE" w:rsidRPr="00C56257" w14:paraId="7C594F9F" w14:textId="77777777" w:rsidTr="002825C6">
        <w:trPr>
          <w:trHeight w:val="360"/>
        </w:trPr>
        <w:tc>
          <w:tcPr>
            <w:tcW w:w="578" w:type="pct"/>
            <w:tcBorders>
              <w:top w:val="single" w:sz="4" w:space="0" w:color="auto"/>
              <w:left w:val="single" w:sz="12" w:space="0" w:color="auto"/>
              <w:bottom w:val="single" w:sz="4" w:space="0" w:color="auto"/>
              <w:right w:val="single" w:sz="4" w:space="0" w:color="auto"/>
            </w:tcBorders>
            <w:hideMark/>
          </w:tcPr>
          <w:p w14:paraId="739C34D7" w14:textId="77777777" w:rsidR="002D3CA7" w:rsidRPr="00C56257" w:rsidRDefault="002D3CA7" w:rsidP="008E33FD">
            <w:pPr>
              <w:jc w:val="both"/>
              <w:rPr>
                <w:color w:val="000000" w:themeColor="text1"/>
              </w:rPr>
            </w:pPr>
            <w:r w:rsidRPr="00C56257">
              <w:rPr>
                <w:color w:val="000000" w:themeColor="text1"/>
              </w:rPr>
              <w:t>n</w:t>
            </w:r>
          </w:p>
        </w:tc>
        <w:tc>
          <w:tcPr>
            <w:tcW w:w="577" w:type="pct"/>
            <w:tcBorders>
              <w:top w:val="single" w:sz="4" w:space="0" w:color="auto"/>
              <w:left w:val="single" w:sz="4" w:space="0" w:color="auto"/>
              <w:bottom w:val="single" w:sz="4" w:space="0" w:color="auto"/>
              <w:right w:val="single" w:sz="4" w:space="0" w:color="auto"/>
            </w:tcBorders>
          </w:tcPr>
          <w:p w14:paraId="4AA408E7" w14:textId="77777777" w:rsidR="002D3CA7" w:rsidRPr="00C56257" w:rsidRDefault="002D3CA7" w:rsidP="008E33FD">
            <w:pPr>
              <w:jc w:val="both"/>
              <w:rPr>
                <w:color w:val="000000" w:themeColor="text1"/>
              </w:rPr>
            </w:pPr>
          </w:p>
        </w:tc>
        <w:tc>
          <w:tcPr>
            <w:tcW w:w="2088" w:type="pct"/>
            <w:tcBorders>
              <w:top w:val="single" w:sz="4" w:space="0" w:color="auto"/>
              <w:left w:val="single" w:sz="4" w:space="0" w:color="auto"/>
              <w:bottom w:val="single" w:sz="4" w:space="0" w:color="auto"/>
              <w:right w:val="single" w:sz="4" w:space="0" w:color="auto"/>
            </w:tcBorders>
          </w:tcPr>
          <w:p w14:paraId="11F655DF" w14:textId="77777777" w:rsidR="002D3CA7" w:rsidRPr="00C56257" w:rsidRDefault="002D3CA7" w:rsidP="008E33FD">
            <w:pPr>
              <w:jc w:val="both"/>
              <w:rPr>
                <w:color w:val="000000" w:themeColor="text1"/>
              </w:rPr>
            </w:pPr>
          </w:p>
        </w:tc>
        <w:tc>
          <w:tcPr>
            <w:tcW w:w="746" w:type="pct"/>
            <w:tcBorders>
              <w:top w:val="single" w:sz="4" w:space="0" w:color="auto"/>
              <w:left w:val="single" w:sz="4" w:space="0" w:color="auto"/>
              <w:bottom w:val="single" w:sz="4" w:space="0" w:color="auto"/>
              <w:right w:val="single" w:sz="4" w:space="0" w:color="auto"/>
            </w:tcBorders>
          </w:tcPr>
          <w:p w14:paraId="3248F838" w14:textId="77777777" w:rsidR="002D3CA7" w:rsidRPr="00C56257" w:rsidRDefault="002D3CA7" w:rsidP="008E33FD">
            <w:pPr>
              <w:jc w:val="both"/>
              <w:rPr>
                <w:color w:val="000000" w:themeColor="text1"/>
              </w:rPr>
            </w:pPr>
          </w:p>
        </w:tc>
        <w:tc>
          <w:tcPr>
            <w:tcW w:w="1011" w:type="pct"/>
            <w:tcBorders>
              <w:top w:val="single" w:sz="4" w:space="0" w:color="auto"/>
              <w:left w:val="single" w:sz="4" w:space="0" w:color="auto"/>
              <w:bottom w:val="single" w:sz="4" w:space="0" w:color="auto"/>
              <w:right w:val="single" w:sz="12" w:space="0" w:color="auto"/>
            </w:tcBorders>
          </w:tcPr>
          <w:p w14:paraId="34675CA1" w14:textId="77777777" w:rsidR="002D3CA7" w:rsidRPr="00C56257" w:rsidRDefault="002D3CA7" w:rsidP="008E33FD">
            <w:pPr>
              <w:jc w:val="both"/>
              <w:rPr>
                <w:color w:val="000000" w:themeColor="text1"/>
              </w:rPr>
            </w:pPr>
          </w:p>
        </w:tc>
      </w:tr>
    </w:tbl>
    <w:p w14:paraId="09507D60" w14:textId="77777777" w:rsidR="002D3CA7" w:rsidRPr="00C56257" w:rsidRDefault="002D3CA7" w:rsidP="008E33FD">
      <w:pPr>
        <w:jc w:val="both"/>
        <w:rPr>
          <w:color w:val="000000" w:themeColor="text1"/>
        </w:rPr>
      </w:pPr>
    </w:p>
    <w:p w14:paraId="6FE69407" w14:textId="77777777" w:rsidR="002D3CA7" w:rsidRPr="00C56257" w:rsidRDefault="002D3CA7" w:rsidP="008E33FD">
      <w:pPr>
        <w:jc w:val="both"/>
        <w:rPr>
          <w:color w:val="000000" w:themeColor="text1"/>
        </w:rPr>
      </w:pPr>
      <w:r w:rsidRPr="00C56257">
        <w:rPr>
          <w:color w:val="000000" w:themeColor="text1"/>
        </w:rPr>
        <w:t>5. Amenințări viitoare (maxim 10 amenințări)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3"/>
        <w:gridCol w:w="1151"/>
        <w:gridCol w:w="4165"/>
        <w:gridCol w:w="1488"/>
        <w:gridCol w:w="2017"/>
      </w:tblGrid>
      <w:tr w:rsidR="00673EFE" w:rsidRPr="00C56257" w14:paraId="27911FCD" w14:textId="77777777" w:rsidTr="002825C6">
        <w:tc>
          <w:tcPr>
            <w:tcW w:w="578" w:type="pct"/>
            <w:vMerge w:val="restart"/>
            <w:tcBorders>
              <w:top w:val="single" w:sz="12" w:space="0" w:color="auto"/>
              <w:left w:val="single" w:sz="12" w:space="0" w:color="auto"/>
              <w:bottom w:val="single" w:sz="4" w:space="0" w:color="auto"/>
              <w:right w:val="single" w:sz="4" w:space="0" w:color="auto"/>
            </w:tcBorders>
            <w:vAlign w:val="center"/>
            <w:hideMark/>
          </w:tcPr>
          <w:p w14:paraId="7BC9CDAB" w14:textId="77777777" w:rsidR="002D3CA7" w:rsidRPr="00C56257" w:rsidRDefault="002D3CA7" w:rsidP="008E33FD">
            <w:pPr>
              <w:jc w:val="both"/>
              <w:rPr>
                <w:color w:val="000000" w:themeColor="text1"/>
              </w:rPr>
            </w:pPr>
            <w:r w:rsidRPr="00C56257">
              <w:rPr>
                <w:color w:val="000000" w:themeColor="text1"/>
              </w:rPr>
              <w:t>Nr. crt.</w:t>
            </w:r>
          </w:p>
        </w:tc>
        <w:tc>
          <w:tcPr>
            <w:tcW w:w="2665" w:type="pct"/>
            <w:gridSpan w:val="2"/>
            <w:tcBorders>
              <w:top w:val="single" w:sz="12" w:space="0" w:color="auto"/>
              <w:left w:val="single" w:sz="4" w:space="0" w:color="auto"/>
              <w:bottom w:val="single" w:sz="4" w:space="0" w:color="auto"/>
              <w:right w:val="single" w:sz="4" w:space="0" w:color="auto"/>
            </w:tcBorders>
            <w:vAlign w:val="center"/>
            <w:hideMark/>
          </w:tcPr>
          <w:p w14:paraId="07E42684" w14:textId="77777777" w:rsidR="002D3CA7" w:rsidRPr="00C56257" w:rsidRDefault="002D3CA7" w:rsidP="008E33FD">
            <w:pPr>
              <w:jc w:val="both"/>
              <w:rPr>
                <w:color w:val="000000" w:themeColor="text1"/>
              </w:rPr>
            </w:pPr>
            <w:r w:rsidRPr="00C56257">
              <w:rPr>
                <w:color w:val="000000" w:themeColor="text1"/>
              </w:rPr>
              <w:t>Presiunea</w:t>
            </w:r>
          </w:p>
        </w:tc>
        <w:tc>
          <w:tcPr>
            <w:tcW w:w="746" w:type="pct"/>
            <w:vMerge w:val="restart"/>
            <w:tcBorders>
              <w:top w:val="single" w:sz="12" w:space="0" w:color="auto"/>
              <w:left w:val="single" w:sz="4" w:space="0" w:color="auto"/>
              <w:bottom w:val="single" w:sz="4" w:space="0" w:color="auto"/>
              <w:right w:val="single" w:sz="4" w:space="0" w:color="auto"/>
            </w:tcBorders>
            <w:vAlign w:val="center"/>
            <w:hideMark/>
          </w:tcPr>
          <w:p w14:paraId="56A64023" w14:textId="77777777" w:rsidR="002D3CA7" w:rsidRPr="00C56257" w:rsidRDefault="002D3CA7" w:rsidP="008E33FD">
            <w:pPr>
              <w:jc w:val="both"/>
              <w:rPr>
                <w:color w:val="000000" w:themeColor="text1"/>
              </w:rPr>
            </w:pPr>
            <w:r w:rsidRPr="00C56257">
              <w:rPr>
                <w:color w:val="000000" w:themeColor="text1"/>
              </w:rPr>
              <w:t>Intensitate</w:t>
            </w:r>
          </w:p>
        </w:tc>
        <w:tc>
          <w:tcPr>
            <w:tcW w:w="1011" w:type="pct"/>
            <w:vMerge w:val="restart"/>
            <w:tcBorders>
              <w:top w:val="single" w:sz="12" w:space="0" w:color="auto"/>
              <w:left w:val="single" w:sz="4" w:space="0" w:color="auto"/>
              <w:bottom w:val="single" w:sz="4" w:space="0" w:color="auto"/>
              <w:right w:val="single" w:sz="12" w:space="0" w:color="auto"/>
            </w:tcBorders>
            <w:vAlign w:val="center"/>
            <w:hideMark/>
          </w:tcPr>
          <w:p w14:paraId="42F762AB" w14:textId="77777777" w:rsidR="002D3CA7" w:rsidRPr="00C56257" w:rsidRDefault="002D3CA7" w:rsidP="008E33FD">
            <w:pPr>
              <w:jc w:val="both"/>
              <w:rPr>
                <w:color w:val="000000" w:themeColor="text1"/>
              </w:rPr>
            </w:pPr>
            <w:r w:rsidRPr="00C56257">
              <w:rPr>
                <w:color w:val="000000" w:themeColor="text1"/>
              </w:rPr>
              <w:t>Observaţii</w:t>
            </w:r>
          </w:p>
        </w:tc>
      </w:tr>
      <w:tr w:rsidR="00673EFE" w:rsidRPr="00C56257" w14:paraId="46D5539E" w14:textId="77777777" w:rsidTr="002825C6">
        <w:tc>
          <w:tcPr>
            <w:tcW w:w="578" w:type="pct"/>
            <w:vMerge/>
            <w:tcBorders>
              <w:top w:val="single" w:sz="12" w:space="0" w:color="auto"/>
              <w:left w:val="single" w:sz="12" w:space="0" w:color="auto"/>
              <w:bottom w:val="single" w:sz="4" w:space="0" w:color="auto"/>
              <w:right w:val="single" w:sz="4" w:space="0" w:color="auto"/>
            </w:tcBorders>
            <w:vAlign w:val="center"/>
            <w:hideMark/>
          </w:tcPr>
          <w:p w14:paraId="057DC19C" w14:textId="77777777" w:rsidR="002D3CA7" w:rsidRPr="00C56257" w:rsidRDefault="002D3CA7" w:rsidP="008E33FD">
            <w:pPr>
              <w:jc w:val="both"/>
              <w:rPr>
                <w:color w:val="000000" w:themeColor="text1"/>
              </w:rPr>
            </w:pPr>
          </w:p>
        </w:tc>
        <w:tc>
          <w:tcPr>
            <w:tcW w:w="577" w:type="pct"/>
            <w:tcBorders>
              <w:top w:val="single" w:sz="4" w:space="0" w:color="auto"/>
              <w:left w:val="single" w:sz="4" w:space="0" w:color="auto"/>
              <w:bottom w:val="single" w:sz="4" w:space="0" w:color="auto"/>
              <w:right w:val="single" w:sz="4" w:space="0" w:color="auto"/>
            </w:tcBorders>
            <w:hideMark/>
          </w:tcPr>
          <w:p w14:paraId="447931BF" w14:textId="77777777" w:rsidR="002D3CA7" w:rsidRPr="00C56257" w:rsidRDefault="002D3CA7" w:rsidP="008E33FD">
            <w:pPr>
              <w:jc w:val="both"/>
              <w:rPr>
                <w:color w:val="000000" w:themeColor="text1"/>
              </w:rPr>
            </w:pPr>
            <w:r w:rsidRPr="00C56257">
              <w:rPr>
                <w:color w:val="000000" w:themeColor="text1"/>
              </w:rPr>
              <w:t>Cod</w:t>
            </w:r>
          </w:p>
        </w:tc>
        <w:tc>
          <w:tcPr>
            <w:tcW w:w="2088" w:type="pct"/>
            <w:tcBorders>
              <w:top w:val="single" w:sz="4" w:space="0" w:color="auto"/>
              <w:left w:val="single" w:sz="4" w:space="0" w:color="auto"/>
              <w:bottom w:val="single" w:sz="4" w:space="0" w:color="auto"/>
              <w:right w:val="single" w:sz="4" w:space="0" w:color="auto"/>
            </w:tcBorders>
            <w:hideMark/>
          </w:tcPr>
          <w:p w14:paraId="78764F70" w14:textId="77777777" w:rsidR="002D3CA7" w:rsidRPr="00C56257" w:rsidRDefault="002D3CA7" w:rsidP="008E33FD">
            <w:pPr>
              <w:jc w:val="both"/>
              <w:rPr>
                <w:color w:val="000000" w:themeColor="text1"/>
              </w:rPr>
            </w:pPr>
            <w:r w:rsidRPr="00C56257">
              <w:rPr>
                <w:color w:val="000000" w:themeColor="text1"/>
              </w:rPr>
              <w:t>Denumire</w:t>
            </w:r>
          </w:p>
        </w:tc>
        <w:tc>
          <w:tcPr>
            <w:tcW w:w="746" w:type="pct"/>
            <w:vMerge/>
            <w:tcBorders>
              <w:top w:val="single" w:sz="12" w:space="0" w:color="auto"/>
              <w:left w:val="single" w:sz="4" w:space="0" w:color="auto"/>
              <w:bottom w:val="single" w:sz="4" w:space="0" w:color="auto"/>
              <w:right w:val="single" w:sz="4" w:space="0" w:color="auto"/>
            </w:tcBorders>
            <w:vAlign w:val="center"/>
            <w:hideMark/>
          </w:tcPr>
          <w:p w14:paraId="6DD280D5" w14:textId="77777777" w:rsidR="002D3CA7" w:rsidRPr="00C56257" w:rsidRDefault="002D3CA7" w:rsidP="008E33FD">
            <w:pPr>
              <w:jc w:val="both"/>
              <w:rPr>
                <w:color w:val="000000" w:themeColor="text1"/>
              </w:rPr>
            </w:pPr>
          </w:p>
        </w:tc>
        <w:tc>
          <w:tcPr>
            <w:tcW w:w="1011" w:type="pct"/>
            <w:vMerge/>
            <w:tcBorders>
              <w:top w:val="single" w:sz="12" w:space="0" w:color="auto"/>
              <w:left w:val="single" w:sz="4" w:space="0" w:color="auto"/>
              <w:bottom w:val="single" w:sz="4" w:space="0" w:color="auto"/>
              <w:right w:val="single" w:sz="12" w:space="0" w:color="auto"/>
            </w:tcBorders>
            <w:vAlign w:val="center"/>
            <w:hideMark/>
          </w:tcPr>
          <w:p w14:paraId="3FA5630A" w14:textId="77777777" w:rsidR="002D3CA7" w:rsidRPr="00C56257" w:rsidRDefault="002D3CA7" w:rsidP="008E33FD">
            <w:pPr>
              <w:jc w:val="both"/>
              <w:rPr>
                <w:color w:val="000000" w:themeColor="text1"/>
              </w:rPr>
            </w:pPr>
          </w:p>
        </w:tc>
      </w:tr>
      <w:tr w:rsidR="00673EFE" w:rsidRPr="00C56257" w14:paraId="2AAA6DB7" w14:textId="77777777" w:rsidTr="002825C6">
        <w:trPr>
          <w:trHeight w:val="360"/>
        </w:trPr>
        <w:tc>
          <w:tcPr>
            <w:tcW w:w="578" w:type="pct"/>
            <w:tcBorders>
              <w:top w:val="single" w:sz="4" w:space="0" w:color="auto"/>
              <w:left w:val="single" w:sz="12" w:space="0" w:color="auto"/>
              <w:bottom w:val="single" w:sz="4" w:space="0" w:color="auto"/>
              <w:right w:val="single" w:sz="4" w:space="0" w:color="auto"/>
            </w:tcBorders>
            <w:hideMark/>
          </w:tcPr>
          <w:p w14:paraId="00F5BE34" w14:textId="77777777" w:rsidR="002D3CA7" w:rsidRPr="00C56257" w:rsidRDefault="002D3CA7" w:rsidP="008E33FD">
            <w:pPr>
              <w:jc w:val="both"/>
              <w:rPr>
                <w:color w:val="000000" w:themeColor="text1"/>
              </w:rPr>
            </w:pPr>
            <w:r w:rsidRPr="00C56257">
              <w:rPr>
                <w:color w:val="000000" w:themeColor="text1"/>
              </w:rPr>
              <w:t>1</w:t>
            </w:r>
          </w:p>
        </w:tc>
        <w:tc>
          <w:tcPr>
            <w:tcW w:w="577" w:type="pct"/>
            <w:tcBorders>
              <w:top w:val="single" w:sz="4" w:space="0" w:color="auto"/>
              <w:left w:val="single" w:sz="4" w:space="0" w:color="auto"/>
              <w:bottom w:val="single" w:sz="4" w:space="0" w:color="auto"/>
              <w:right w:val="single" w:sz="4" w:space="0" w:color="auto"/>
            </w:tcBorders>
          </w:tcPr>
          <w:p w14:paraId="6E8E7048" w14:textId="77777777" w:rsidR="002D3CA7" w:rsidRPr="00C56257" w:rsidRDefault="002D3CA7" w:rsidP="008E33FD">
            <w:pPr>
              <w:jc w:val="both"/>
              <w:rPr>
                <w:color w:val="000000" w:themeColor="text1"/>
              </w:rPr>
            </w:pPr>
          </w:p>
        </w:tc>
        <w:tc>
          <w:tcPr>
            <w:tcW w:w="2088" w:type="pct"/>
            <w:tcBorders>
              <w:top w:val="single" w:sz="4" w:space="0" w:color="auto"/>
              <w:left w:val="single" w:sz="4" w:space="0" w:color="auto"/>
              <w:bottom w:val="single" w:sz="4" w:space="0" w:color="auto"/>
              <w:right w:val="single" w:sz="4" w:space="0" w:color="auto"/>
            </w:tcBorders>
          </w:tcPr>
          <w:p w14:paraId="69767E7B" w14:textId="77777777" w:rsidR="002D3CA7" w:rsidRPr="00C56257" w:rsidRDefault="002D3CA7" w:rsidP="008E33FD">
            <w:pPr>
              <w:jc w:val="both"/>
              <w:rPr>
                <w:color w:val="000000" w:themeColor="text1"/>
              </w:rPr>
            </w:pPr>
          </w:p>
        </w:tc>
        <w:tc>
          <w:tcPr>
            <w:tcW w:w="746" w:type="pct"/>
            <w:tcBorders>
              <w:top w:val="single" w:sz="4" w:space="0" w:color="auto"/>
              <w:left w:val="single" w:sz="4" w:space="0" w:color="auto"/>
              <w:bottom w:val="single" w:sz="4" w:space="0" w:color="auto"/>
              <w:right w:val="single" w:sz="4" w:space="0" w:color="auto"/>
            </w:tcBorders>
          </w:tcPr>
          <w:p w14:paraId="01DF1186" w14:textId="77777777" w:rsidR="002D3CA7" w:rsidRPr="00C56257" w:rsidRDefault="002D3CA7" w:rsidP="008E33FD">
            <w:pPr>
              <w:jc w:val="both"/>
              <w:rPr>
                <w:color w:val="000000" w:themeColor="text1"/>
              </w:rPr>
            </w:pPr>
          </w:p>
        </w:tc>
        <w:tc>
          <w:tcPr>
            <w:tcW w:w="1011" w:type="pct"/>
            <w:tcBorders>
              <w:top w:val="single" w:sz="4" w:space="0" w:color="auto"/>
              <w:left w:val="single" w:sz="4" w:space="0" w:color="auto"/>
              <w:bottom w:val="single" w:sz="4" w:space="0" w:color="auto"/>
              <w:right w:val="single" w:sz="12" w:space="0" w:color="auto"/>
            </w:tcBorders>
          </w:tcPr>
          <w:p w14:paraId="65AFF72D" w14:textId="77777777" w:rsidR="002D3CA7" w:rsidRPr="00C56257" w:rsidRDefault="002D3CA7" w:rsidP="008E33FD">
            <w:pPr>
              <w:jc w:val="both"/>
              <w:rPr>
                <w:color w:val="000000" w:themeColor="text1"/>
              </w:rPr>
            </w:pPr>
          </w:p>
        </w:tc>
      </w:tr>
      <w:tr w:rsidR="00673EFE" w:rsidRPr="00C56257" w14:paraId="37501AE4" w14:textId="77777777" w:rsidTr="002825C6">
        <w:trPr>
          <w:trHeight w:val="360"/>
        </w:trPr>
        <w:tc>
          <w:tcPr>
            <w:tcW w:w="578" w:type="pct"/>
            <w:tcBorders>
              <w:top w:val="single" w:sz="4" w:space="0" w:color="auto"/>
              <w:left w:val="single" w:sz="12" w:space="0" w:color="auto"/>
              <w:bottom w:val="single" w:sz="4" w:space="0" w:color="auto"/>
              <w:right w:val="single" w:sz="4" w:space="0" w:color="auto"/>
            </w:tcBorders>
            <w:hideMark/>
          </w:tcPr>
          <w:p w14:paraId="673FD354" w14:textId="77777777" w:rsidR="002D3CA7" w:rsidRPr="00C56257" w:rsidRDefault="002D3CA7" w:rsidP="008E33FD">
            <w:pPr>
              <w:jc w:val="both"/>
              <w:rPr>
                <w:color w:val="000000" w:themeColor="text1"/>
              </w:rPr>
            </w:pPr>
            <w:r w:rsidRPr="00C56257">
              <w:rPr>
                <w:color w:val="000000" w:themeColor="text1"/>
              </w:rPr>
              <w:t>2</w:t>
            </w:r>
          </w:p>
        </w:tc>
        <w:tc>
          <w:tcPr>
            <w:tcW w:w="577" w:type="pct"/>
            <w:tcBorders>
              <w:top w:val="single" w:sz="4" w:space="0" w:color="auto"/>
              <w:left w:val="single" w:sz="4" w:space="0" w:color="auto"/>
              <w:bottom w:val="single" w:sz="4" w:space="0" w:color="auto"/>
              <w:right w:val="single" w:sz="4" w:space="0" w:color="auto"/>
            </w:tcBorders>
          </w:tcPr>
          <w:p w14:paraId="169B3328" w14:textId="77777777" w:rsidR="002D3CA7" w:rsidRPr="00C56257" w:rsidRDefault="002D3CA7" w:rsidP="008E33FD">
            <w:pPr>
              <w:jc w:val="both"/>
              <w:rPr>
                <w:color w:val="000000" w:themeColor="text1"/>
              </w:rPr>
            </w:pPr>
          </w:p>
        </w:tc>
        <w:tc>
          <w:tcPr>
            <w:tcW w:w="2088" w:type="pct"/>
            <w:tcBorders>
              <w:top w:val="single" w:sz="4" w:space="0" w:color="auto"/>
              <w:left w:val="single" w:sz="4" w:space="0" w:color="auto"/>
              <w:bottom w:val="single" w:sz="4" w:space="0" w:color="auto"/>
              <w:right w:val="single" w:sz="4" w:space="0" w:color="auto"/>
            </w:tcBorders>
          </w:tcPr>
          <w:p w14:paraId="5B063FC0" w14:textId="77777777" w:rsidR="002D3CA7" w:rsidRPr="00C56257" w:rsidRDefault="002D3CA7" w:rsidP="008E33FD">
            <w:pPr>
              <w:jc w:val="both"/>
              <w:rPr>
                <w:color w:val="000000" w:themeColor="text1"/>
              </w:rPr>
            </w:pPr>
          </w:p>
        </w:tc>
        <w:tc>
          <w:tcPr>
            <w:tcW w:w="746" w:type="pct"/>
            <w:tcBorders>
              <w:top w:val="single" w:sz="4" w:space="0" w:color="auto"/>
              <w:left w:val="single" w:sz="4" w:space="0" w:color="auto"/>
              <w:bottom w:val="single" w:sz="4" w:space="0" w:color="auto"/>
              <w:right w:val="single" w:sz="4" w:space="0" w:color="auto"/>
            </w:tcBorders>
          </w:tcPr>
          <w:p w14:paraId="19C887C3" w14:textId="77777777" w:rsidR="002D3CA7" w:rsidRPr="00C56257" w:rsidRDefault="002D3CA7" w:rsidP="008E33FD">
            <w:pPr>
              <w:jc w:val="both"/>
              <w:rPr>
                <w:color w:val="000000" w:themeColor="text1"/>
              </w:rPr>
            </w:pPr>
          </w:p>
        </w:tc>
        <w:tc>
          <w:tcPr>
            <w:tcW w:w="1011" w:type="pct"/>
            <w:tcBorders>
              <w:top w:val="single" w:sz="4" w:space="0" w:color="auto"/>
              <w:left w:val="single" w:sz="4" w:space="0" w:color="auto"/>
              <w:bottom w:val="single" w:sz="4" w:space="0" w:color="auto"/>
              <w:right w:val="single" w:sz="12" w:space="0" w:color="auto"/>
            </w:tcBorders>
          </w:tcPr>
          <w:p w14:paraId="3D0D039B" w14:textId="77777777" w:rsidR="002D3CA7" w:rsidRPr="00C56257" w:rsidRDefault="002D3CA7" w:rsidP="008E33FD">
            <w:pPr>
              <w:jc w:val="both"/>
              <w:rPr>
                <w:color w:val="000000" w:themeColor="text1"/>
              </w:rPr>
            </w:pPr>
          </w:p>
        </w:tc>
      </w:tr>
      <w:tr w:rsidR="00673EFE" w:rsidRPr="00C56257" w14:paraId="13DD3D84" w14:textId="77777777" w:rsidTr="002825C6">
        <w:trPr>
          <w:trHeight w:val="360"/>
        </w:trPr>
        <w:tc>
          <w:tcPr>
            <w:tcW w:w="578" w:type="pct"/>
            <w:tcBorders>
              <w:top w:val="single" w:sz="4" w:space="0" w:color="auto"/>
              <w:left w:val="single" w:sz="12" w:space="0" w:color="auto"/>
              <w:bottom w:val="single" w:sz="4" w:space="0" w:color="auto"/>
              <w:right w:val="single" w:sz="4" w:space="0" w:color="auto"/>
            </w:tcBorders>
          </w:tcPr>
          <w:p w14:paraId="17245E8B" w14:textId="77777777" w:rsidR="002D3CA7" w:rsidRPr="00C56257" w:rsidRDefault="002D3CA7" w:rsidP="008E33FD">
            <w:pPr>
              <w:jc w:val="both"/>
              <w:rPr>
                <w:color w:val="000000" w:themeColor="text1"/>
              </w:rPr>
            </w:pPr>
            <w:r w:rsidRPr="00C56257">
              <w:rPr>
                <w:color w:val="000000" w:themeColor="text1"/>
              </w:rPr>
              <w:t>..</w:t>
            </w:r>
          </w:p>
        </w:tc>
        <w:tc>
          <w:tcPr>
            <w:tcW w:w="577" w:type="pct"/>
            <w:tcBorders>
              <w:top w:val="single" w:sz="4" w:space="0" w:color="auto"/>
              <w:left w:val="single" w:sz="4" w:space="0" w:color="auto"/>
              <w:bottom w:val="single" w:sz="4" w:space="0" w:color="auto"/>
              <w:right w:val="single" w:sz="4" w:space="0" w:color="auto"/>
            </w:tcBorders>
          </w:tcPr>
          <w:p w14:paraId="694BB96F" w14:textId="77777777" w:rsidR="002D3CA7" w:rsidRPr="00C56257" w:rsidRDefault="002D3CA7" w:rsidP="008E33FD">
            <w:pPr>
              <w:jc w:val="both"/>
              <w:rPr>
                <w:color w:val="000000" w:themeColor="text1"/>
              </w:rPr>
            </w:pPr>
          </w:p>
        </w:tc>
        <w:tc>
          <w:tcPr>
            <w:tcW w:w="2088" w:type="pct"/>
            <w:tcBorders>
              <w:top w:val="single" w:sz="4" w:space="0" w:color="auto"/>
              <w:left w:val="single" w:sz="4" w:space="0" w:color="auto"/>
              <w:bottom w:val="single" w:sz="4" w:space="0" w:color="auto"/>
              <w:right w:val="single" w:sz="4" w:space="0" w:color="auto"/>
            </w:tcBorders>
          </w:tcPr>
          <w:p w14:paraId="1915C758" w14:textId="77777777" w:rsidR="002D3CA7" w:rsidRPr="00C56257" w:rsidRDefault="002D3CA7" w:rsidP="008E33FD">
            <w:pPr>
              <w:jc w:val="both"/>
              <w:rPr>
                <w:color w:val="000000" w:themeColor="text1"/>
              </w:rPr>
            </w:pPr>
          </w:p>
        </w:tc>
        <w:tc>
          <w:tcPr>
            <w:tcW w:w="746" w:type="pct"/>
            <w:tcBorders>
              <w:top w:val="single" w:sz="4" w:space="0" w:color="auto"/>
              <w:left w:val="single" w:sz="4" w:space="0" w:color="auto"/>
              <w:bottom w:val="single" w:sz="4" w:space="0" w:color="auto"/>
              <w:right w:val="single" w:sz="4" w:space="0" w:color="auto"/>
            </w:tcBorders>
          </w:tcPr>
          <w:p w14:paraId="738D43A5" w14:textId="77777777" w:rsidR="002D3CA7" w:rsidRPr="00C56257" w:rsidRDefault="002D3CA7" w:rsidP="008E33FD">
            <w:pPr>
              <w:jc w:val="both"/>
              <w:rPr>
                <w:color w:val="000000" w:themeColor="text1"/>
              </w:rPr>
            </w:pPr>
          </w:p>
        </w:tc>
        <w:tc>
          <w:tcPr>
            <w:tcW w:w="1011" w:type="pct"/>
            <w:tcBorders>
              <w:top w:val="single" w:sz="4" w:space="0" w:color="auto"/>
              <w:left w:val="single" w:sz="4" w:space="0" w:color="auto"/>
              <w:bottom w:val="single" w:sz="4" w:space="0" w:color="auto"/>
              <w:right w:val="single" w:sz="12" w:space="0" w:color="auto"/>
            </w:tcBorders>
          </w:tcPr>
          <w:p w14:paraId="0D69187D" w14:textId="77777777" w:rsidR="002D3CA7" w:rsidRPr="00C56257" w:rsidRDefault="002D3CA7" w:rsidP="008E33FD">
            <w:pPr>
              <w:jc w:val="both"/>
              <w:rPr>
                <w:color w:val="000000" w:themeColor="text1"/>
              </w:rPr>
            </w:pPr>
          </w:p>
        </w:tc>
      </w:tr>
      <w:tr w:rsidR="00673EFE" w:rsidRPr="00C56257" w14:paraId="166DF310" w14:textId="77777777" w:rsidTr="002825C6">
        <w:trPr>
          <w:trHeight w:val="360"/>
        </w:trPr>
        <w:tc>
          <w:tcPr>
            <w:tcW w:w="578" w:type="pct"/>
            <w:tcBorders>
              <w:top w:val="single" w:sz="4" w:space="0" w:color="auto"/>
              <w:left w:val="single" w:sz="12" w:space="0" w:color="auto"/>
              <w:bottom w:val="single" w:sz="4" w:space="0" w:color="auto"/>
              <w:right w:val="single" w:sz="4" w:space="0" w:color="auto"/>
            </w:tcBorders>
          </w:tcPr>
          <w:p w14:paraId="298DBD15" w14:textId="77777777" w:rsidR="002D3CA7" w:rsidRPr="00C56257" w:rsidRDefault="002D3CA7" w:rsidP="008E33FD">
            <w:pPr>
              <w:jc w:val="both"/>
              <w:rPr>
                <w:color w:val="000000" w:themeColor="text1"/>
              </w:rPr>
            </w:pPr>
            <w:r w:rsidRPr="00C56257">
              <w:rPr>
                <w:color w:val="000000" w:themeColor="text1"/>
              </w:rPr>
              <w:t>n</w:t>
            </w:r>
          </w:p>
        </w:tc>
        <w:tc>
          <w:tcPr>
            <w:tcW w:w="577" w:type="pct"/>
            <w:tcBorders>
              <w:top w:val="single" w:sz="4" w:space="0" w:color="auto"/>
              <w:left w:val="single" w:sz="4" w:space="0" w:color="auto"/>
              <w:bottom w:val="single" w:sz="4" w:space="0" w:color="auto"/>
              <w:right w:val="single" w:sz="4" w:space="0" w:color="auto"/>
            </w:tcBorders>
          </w:tcPr>
          <w:p w14:paraId="3D9B9716" w14:textId="77777777" w:rsidR="002D3CA7" w:rsidRPr="00C56257" w:rsidRDefault="002D3CA7" w:rsidP="008E33FD">
            <w:pPr>
              <w:jc w:val="both"/>
              <w:rPr>
                <w:color w:val="000000" w:themeColor="text1"/>
              </w:rPr>
            </w:pPr>
          </w:p>
        </w:tc>
        <w:tc>
          <w:tcPr>
            <w:tcW w:w="2088" w:type="pct"/>
            <w:tcBorders>
              <w:top w:val="single" w:sz="4" w:space="0" w:color="auto"/>
              <w:left w:val="single" w:sz="4" w:space="0" w:color="auto"/>
              <w:bottom w:val="single" w:sz="4" w:space="0" w:color="auto"/>
              <w:right w:val="single" w:sz="4" w:space="0" w:color="auto"/>
            </w:tcBorders>
          </w:tcPr>
          <w:p w14:paraId="14FFF346" w14:textId="77777777" w:rsidR="002D3CA7" w:rsidRPr="00C56257" w:rsidRDefault="002D3CA7" w:rsidP="008E33FD">
            <w:pPr>
              <w:jc w:val="both"/>
              <w:rPr>
                <w:color w:val="000000" w:themeColor="text1"/>
              </w:rPr>
            </w:pPr>
          </w:p>
        </w:tc>
        <w:tc>
          <w:tcPr>
            <w:tcW w:w="746" w:type="pct"/>
            <w:tcBorders>
              <w:top w:val="single" w:sz="4" w:space="0" w:color="auto"/>
              <w:left w:val="single" w:sz="4" w:space="0" w:color="auto"/>
              <w:bottom w:val="single" w:sz="4" w:space="0" w:color="auto"/>
              <w:right w:val="single" w:sz="4" w:space="0" w:color="auto"/>
            </w:tcBorders>
          </w:tcPr>
          <w:p w14:paraId="3A247476" w14:textId="77777777" w:rsidR="002D3CA7" w:rsidRPr="00C56257" w:rsidRDefault="002D3CA7" w:rsidP="008E33FD">
            <w:pPr>
              <w:jc w:val="both"/>
              <w:rPr>
                <w:color w:val="000000" w:themeColor="text1"/>
              </w:rPr>
            </w:pPr>
          </w:p>
        </w:tc>
        <w:tc>
          <w:tcPr>
            <w:tcW w:w="1011" w:type="pct"/>
            <w:tcBorders>
              <w:top w:val="single" w:sz="4" w:space="0" w:color="auto"/>
              <w:left w:val="single" w:sz="4" w:space="0" w:color="auto"/>
              <w:bottom w:val="single" w:sz="4" w:space="0" w:color="auto"/>
              <w:right w:val="single" w:sz="12" w:space="0" w:color="auto"/>
            </w:tcBorders>
          </w:tcPr>
          <w:p w14:paraId="239496E7" w14:textId="77777777" w:rsidR="002D3CA7" w:rsidRPr="00C56257" w:rsidRDefault="002D3CA7" w:rsidP="008E33FD">
            <w:pPr>
              <w:jc w:val="both"/>
              <w:rPr>
                <w:color w:val="000000" w:themeColor="text1"/>
              </w:rPr>
            </w:pPr>
          </w:p>
        </w:tc>
      </w:tr>
    </w:tbl>
    <w:p w14:paraId="131269CF" w14:textId="77777777" w:rsidR="002D3CA7" w:rsidRPr="00C56257" w:rsidRDefault="002D3CA7" w:rsidP="008E33FD">
      <w:pPr>
        <w:jc w:val="both"/>
        <w:rPr>
          <w:color w:val="000000" w:themeColor="text1"/>
        </w:rPr>
      </w:pPr>
    </w:p>
    <w:p w14:paraId="4471D821" w14:textId="77777777" w:rsidR="002D3CA7" w:rsidRPr="00C56257" w:rsidRDefault="002D3CA7" w:rsidP="008E33FD">
      <w:pPr>
        <w:jc w:val="both"/>
        <w:rPr>
          <w:color w:val="000000" w:themeColor="text1"/>
        </w:rPr>
      </w:pPr>
      <w:r w:rsidRPr="00C56257">
        <w:rPr>
          <w:color w:val="000000" w:themeColor="text1"/>
        </w:rPr>
        <w:t>6. Observații generale habitat</w:t>
      </w:r>
    </w:p>
    <w:p w14:paraId="5E7D5117" w14:textId="77777777" w:rsidR="002D3CA7" w:rsidRPr="00C56257" w:rsidRDefault="002D3CA7" w:rsidP="008E33FD">
      <w:pPr>
        <w:jc w:val="both"/>
        <w:rPr>
          <w:color w:val="000000" w:themeColor="text1"/>
        </w:rPr>
      </w:pPr>
    </w:p>
    <w:p w14:paraId="089CB6CD" w14:textId="77777777" w:rsidR="002D3CA7" w:rsidRPr="00C56257" w:rsidRDefault="002D3CA7" w:rsidP="008E33FD">
      <w:pPr>
        <w:jc w:val="both"/>
        <w:rPr>
          <w:color w:val="000000" w:themeColor="text1"/>
        </w:rPr>
      </w:pPr>
      <w:r w:rsidRPr="00C56257">
        <w:rPr>
          <w:color w:val="000000" w:themeColor="text1"/>
        </w:rPr>
        <w:t>6.1.Hazarde/riscuri.......................................................................................................................................................................................................................................................................................................................................................................................................................................................................................</w:t>
      </w:r>
    </w:p>
    <w:p w14:paraId="7F1D88F9" w14:textId="77777777" w:rsidR="002D3CA7" w:rsidRPr="00C56257" w:rsidRDefault="002D3CA7" w:rsidP="008E33FD">
      <w:pPr>
        <w:ind w:left="-1350" w:firstLine="1350"/>
        <w:jc w:val="both"/>
        <w:rPr>
          <w:color w:val="000000" w:themeColor="text1"/>
        </w:rPr>
      </w:pPr>
      <w:r w:rsidRPr="00C56257">
        <w:rPr>
          <w:color w:val="000000" w:themeColor="text1"/>
        </w:rPr>
        <w:t>6.2.Viabilitatea pe termen lung</w:t>
      </w:r>
    </w:p>
    <w:p w14:paraId="2B1CA2A2" w14:textId="77777777" w:rsidR="002D3CA7" w:rsidRPr="00C56257" w:rsidRDefault="002D3CA7" w:rsidP="008E33FD">
      <w:pPr>
        <w:ind w:left="-1350" w:firstLine="1350"/>
        <w:jc w:val="both"/>
        <w:rPr>
          <w:color w:val="000000" w:themeColor="text1"/>
        </w:rPr>
      </w:pPr>
      <w:r w:rsidRPr="00C56257">
        <w:rPr>
          <w:color w:val="000000" w:themeColor="text1"/>
        </w:rPr>
        <w:t>.......................................................................................................................................................................</w:t>
      </w:r>
    </w:p>
    <w:p w14:paraId="0497E32B" w14:textId="77777777" w:rsidR="002D3CA7" w:rsidRPr="00C56257" w:rsidRDefault="002D3CA7" w:rsidP="008E33FD">
      <w:pPr>
        <w:ind w:left="-1350" w:firstLine="1350"/>
        <w:jc w:val="both"/>
        <w:rPr>
          <w:color w:val="000000" w:themeColor="text1"/>
        </w:rPr>
      </w:pPr>
      <w:r w:rsidRPr="00C56257">
        <w:rPr>
          <w:color w:val="000000" w:themeColor="text1"/>
        </w:rPr>
        <w:t>.......................................................................................................................................................................</w:t>
      </w:r>
    </w:p>
    <w:p w14:paraId="51F29295" w14:textId="77777777" w:rsidR="002D3CA7" w:rsidRPr="00C56257" w:rsidRDefault="002D3CA7" w:rsidP="008E33FD">
      <w:pPr>
        <w:ind w:left="-1350" w:firstLine="1350"/>
        <w:jc w:val="both"/>
        <w:rPr>
          <w:color w:val="000000" w:themeColor="text1"/>
        </w:rPr>
      </w:pPr>
      <w:r w:rsidRPr="00C56257">
        <w:rPr>
          <w:color w:val="000000" w:themeColor="text1"/>
        </w:rPr>
        <w:t>.........</w:t>
      </w:r>
    </w:p>
    <w:p w14:paraId="61EE2D2D" w14:textId="77777777" w:rsidR="002D3CA7" w:rsidRPr="00C56257" w:rsidRDefault="002D3CA7" w:rsidP="008E33FD">
      <w:pPr>
        <w:ind w:left="-1350" w:firstLine="1350"/>
        <w:jc w:val="both"/>
        <w:rPr>
          <w:color w:val="000000" w:themeColor="text1"/>
        </w:rPr>
      </w:pPr>
      <w:r w:rsidRPr="00C56257">
        <w:rPr>
          <w:color w:val="000000" w:themeColor="text1"/>
        </w:rPr>
        <w:t>6.3. Impactul măsurilor de management în siturile N2000 (publicații/rapoarte)</w:t>
      </w:r>
    </w:p>
    <w:p w14:paraId="09480964" w14:textId="77777777" w:rsidR="002D3CA7" w:rsidRPr="00C56257" w:rsidRDefault="002D3CA7" w:rsidP="008E33FD">
      <w:pPr>
        <w:ind w:left="-1350" w:firstLine="1350"/>
        <w:jc w:val="both"/>
        <w:rPr>
          <w:color w:val="000000" w:themeColor="text1"/>
        </w:rPr>
      </w:pPr>
      <w:r w:rsidRPr="00C56257">
        <w:rPr>
          <w:color w:val="000000" w:themeColor="text1"/>
        </w:rPr>
        <w:t>.......................................................................................................................................................................</w:t>
      </w:r>
    </w:p>
    <w:p w14:paraId="2B9D0657" w14:textId="77777777" w:rsidR="002D3CA7" w:rsidRPr="00C56257" w:rsidRDefault="002D3CA7" w:rsidP="008E33FD">
      <w:pPr>
        <w:ind w:left="-1350" w:firstLine="1350"/>
        <w:jc w:val="both"/>
        <w:rPr>
          <w:color w:val="000000" w:themeColor="text1"/>
        </w:rPr>
      </w:pPr>
      <w:r w:rsidRPr="00C56257">
        <w:rPr>
          <w:color w:val="000000" w:themeColor="text1"/>
        </w:rPr>
        <w:t>6.4. Măsuri de conservare implementate</w:t>
      </w:r>
    </w:p>
    <w:p w14:paraId="4208F63F" w14:textId="77777777" w:rsidR="002D3CA7" w:rsidRPr="00C56257" w:rsidRDefault="002D3CA7" w:rsidP="008E33FD">
      <w:pPr>
        <w:ind w:left="-1350" w:firstLine="1350"/>
        <w:jc w:val="both"/>
        <w:rPr>
          <w:color w:val="000000" w:themeColor="text1"/>
        </w:rPr>
      </w:pPr>
      <w:r w:rsidRPr="00C56257">
        <w:rPr>
          <w:color w:val="000000" w:themeColor="text1"/>
        </w:rPr>
        <w:t>.......................................................................................................................................................................</w:t>
      </w:r>
    </w:p>
    <w:p w14:paraId="6CDBA307" w14:textId="77777777" w:rsidR="002D3CA7" w:rsidRPr="00C56257" w:rsidRDefault="002D3CA7" w:rsidP="008E33FD">
      <w:pPr>
        <w:jc w:val="both"/>
        <w:rPr>
          <w:color w:val="000000" w:themeColor="text1"/>
        </w:rPr>
      </w:pPr>
      <w:r w:rsidRPr="00C56257">
        <w:rPr>
          <w:color w:val="000000" w:themeColor="text1"/>
        </w:rPr>
        <w:t>7. Date staţiune (Staţiunea SSP):</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9"/>
        <w:gridCol w:w="5135"/>
      </w:tblGrid>
      <w:tr w:rsidR="00673EFE" w:rsidRPr="00C56257" w14:paraId="60F4C790" w14:textId="77777777" w:rsidTr="002825C6">
        <w:trPr>
          <w:trHeight w:val="454"/>
        </w:trPr>
        <w:tc>
          <w:tcPr>
            <w:tcW w:w="2431" w:type="pct"/>
            <w:vAlign w:val="center"/>
          </w:tcPr>
          <w:p w14:paraId="410A4312" w14:textId="77777777" w:rsidR="002D3CA7" w:rsidRPr="00C56257" w:rsidRDefault="002D3CA7" w:rsidP="008E33FD">
            <w:pPr>
              <w:pStyle w:val="Heading2"/>
              <w:keepNext/>
              <w:keepLines/>
              <w:numPr>
                <w:ilvl w:val="1"/>
                <w:numId w:val="22"/>
              </w:numPr>
              <w:spacing w:before="160" w:beforeAutospacing="0" w:after="120" w:afterAutospacing="0"/>
              <w:jc w:val="both"/>
              <w:rPr>
                <w:b w:val="0"/>
                <w:color w:val="000000" w:themeColor="text1"/>
                <w:sz w:val="24"/>
                <w:szCs w:val="24"/>
              </w:rPr>
            </w:pPr>
            <w:proofErr w:type="spellStart"/>
            <w:r w:rsidRPr="00C56257">
              <w:rPr>
                <w:b w:val="0"/>
                <w:color w:val="000000" w:themeColor="text1"/>
                <w:sz w:val="24"/>
                <w:szCs w:val="24"/>
              </w:rPr>
              <w:t>Geomorfologie</w:t>
            </w:r>
            <w:proofErr w:type="spellEnd"/>
          </w:p>
        </w:tc>
        <w:tc>
          <w:tcPr>
            <w:tcW w:w="2569" w:type="pct"/>
            <w:vAlign w:val="center"/>
          </w:tcPr>
          <w:p w14:paraId="41BBE95F" w14:textId="77777777" w:rsidR="002D3CA7" w:rsidRPr="00C56257" w:rsidRDefault="002D3CA7" w:rsidP="008E33FD">
            <w:pPr>
              <w:jc w:val="both"/>
              <w:rPr>
                <w:color w:val="000000" w:themeColor="text1"/>
              </w:rPr>
            </w:pPr>
          </w:p>
        </w:tc>
      </w:tr>
      <w:tr w:rsidR="00673EFE" w:rsidRPr="00C56257" w14:paraId="2A184569" w14:textId="77777777" w:rsidTr="002825C6">
        <w:trPr>
          <w:trHeight w:val="360"/>
        </w:trPr>
        <w:tc>
          <w:tcPr>
            <w:tcW w:w="2431" w:type="pct"/>
            <w:vAlign w:val="center"/>
          </w:tcPr>
          <w:p w14:paraId="2998C84A" w14:textId="77777777" w:rsidR="002D3CA7" w:rsidRPr="00C56257" w:rsidRDefault="002D3CA7" w:rsidP="008E33FD">
            <w:pPr>
              <w:pStyle w:val="ListParagraph"/>
              <w:numPr>
                <w:ilvl w:val="2"/>
                <w:numId w:val="21"/>
              </w:numPr>
              <w:jc w:val="both"/>
              <w:rPr>
                <w:rFonts w:ascii="Times New Roman" w:hAnsi="Times New Roman" w:cs="Times New Roman"/>
                <w:color w:val="000000" w:themeColor="text1"/>
                <w:sz w:val="24"/>
                <w:szCs w:val="24"/>
              </w:rPr>
            </w:pPr>
            <w:proofErr w:type="spellStart"/>
            <w:r w:rsidRPr="00C56257">
              <w:rPr>
                <w:rFonts w:ascii="Times New Roman" w:hAnsi="Times New Roman" w:cs="Times New Roman"/>
                <w:color w:val="000000" w:themeColor="text1"/>
                <w:sz w:val="24"/>
                <w:szCs w:val="24"/>
              </w:rPr>
              <w:t>Configuraţia</w:t>
            </w:r>
            <w:proofErr w:type="spellEnd"/>
            <w:r w:rsidRPr="00C56257">
              <w:rPr>
                <w:rFonts w:ascii="Times New Roman" w:hAnsi="Times New Roman" w:cs="Times New Roman"/>
                <w:color w:val="000000" w:themeColor="text1"/>
                <w:sz w:val="24"/>
                <w:szCs w:val="24"/>
              </w:rPr>
              <w:t xml:space="preserve"> </w:t>
            </w:r>
            <w:proofErr w:type="spellStart"/>
            <w:r w:rsidRPr="00C56257">
              <w:rPr>
                <w:rFonts w:ascii="Times New Roman" w:hAnsi="Times New Roman" w:cs="Times New Roman"/>
                <w:color w:val="000000" w:themeColor="text1"/>
                <w:sz w:val="24"/>
                <w:szCs w:val="24"/>
              </w:rPr>
              <w:t>terenului</w:t>
            </w:r>
            <w:proofErr w:type="spellEnd"/>
          </w:p>
        </w:tc>
        <w:tc>
          <w:tcPr>
            <w:tcW w:w="2569" w:type="pct"/>
            <w:vAlign w:val="center"/>
          </w:tcPr>
          <w:p w14:paraId="654884B7" w14:textId="77777777" w:rsidR="002D3CA7" w:rsidRPr="00C56257" w:rsidRDefault="002D3CA7" w:rsidP="008E33FD">
            <w:pPr>
              <w:jc w:val="both"/>
              <w:rPr>
                <w:color w:val="000000" w:themeColor="text1"/>
              </w:rPr>
            </w:pPr>
          </w:p>
        </w:tc>
      </w:tr>
      <w:tr w:rsidR="00673EFE" w:rsidRPr="00C56257" w14:paraId="67EACD36" w14:textId="77777777" w:rsidTr="002825C6">
        <w:trPr>
          <w:trHeight w:val="360"/>
        </w:trPr>
        <w:tc>
          <w:tcPr>
            <w:tcW w:w="2431" w:type="pct"/>
            <w:vAlign w:val="center"/>
          </w:tcPr>
          <w:p w14:paraId="002B9A53" w14:textId="77777777" w:rsidR="002D3CA7" w:rsidRPr="00C56257" w:rsidRDefault="002D3CA7" w:rsidP="008E33FD">
            <w:pPr>
              <w:pStyle w:val="ListParagraph"/>
              <w:numPr>
                <w:ilvl w:val="2"/>
                <w:numId w:val="21"/>
              </w:numPr>
              <w:jc w:val="both"/>
              <w:rPr>
                <w:rFonts w:ascii="Times New Roman" w:hAnsi="Times New Roman" w:cs="Times New Roman"/>
                <w:color w:val="000000" w:themeColor="text1"/>
                <w:sz w:val="24"/>
                <w:szCs w:val="24"/>
              </w:rPr>
            </w:pPr>
            <w:proofErr w:type="spellStart"/>
            <w:r w:rsidRPr="00C56257">
              <w:rPr>
                <w:rFonts w:ascii="Times New Roman" w:hAnsi="Times New Roman" w:cs="Times New Roman"/>
                <w:color w:val="000000" w:themeColor="text1"/>
                <w:sz w:val="24"/>
                <w:szCs w:val="24"/>
              </w:rPr>
              <w:t>Expoziţia</w:t>
            </w:r>
            <w:proofErr w:type="spellEnd"/>
          </w:p>
        </w:tc>
        <w:tc>
          <w:tcPr>
            <w:tcW w:w="2569" w:type="pct"/>
            <w:vAlign w:val="center"/>
          </w:tcPr>
          <w:p w14:paraId="23CC1914" w14:textId="77777777" w:rsidR="002D3CA7" w:rsidRPr="00C56257" w:rsidRDefault="002D3CA7" w:rsidP="008E33FD">
            <w:pPr>
              <w:jc w:val="both"/>
              <w:rPr>
                <w:color w:val="000000" w:themeColor="text1"/>
              </w:rPr>
            </w:pPr>
          </w:p>
        </w:tc>
      </w:tr>
      <w:tr w:rsidR="00673EFE" w:rsidRPr="00C56257" w14:paraId="78FBDC1E" w14:textId="77777777" w:rsidTr="002825C6">
        <w:trPr>
          <w:trHeight w:val="360"/>
        </w:trPr>
        <w:tc>
          <w:tcPr>
            <w:tcW w:w="2431" w:type="pct"/>
            <w:vAlign w:val="center"/>
          </w:tcPr>
          <w:p w14:paraId="35CF7AA4" w14:textId="77777777" w:rsidR="002D3CA7" w:rsidRPr="00C56257" w:rsidRDefault="002D3CA7" w:rsidP="008E33FD">
            <w:pPr>
              <w:pStyle w:val="ListParagraph"/>
              <w:numPr>
                <w:ilvl w:val="2"/>
                <w:numId w:val="21"/>
              </w:numPr>
              <w:jc w:val="both"/>
              <w:rPr>
                <w:rFonts w:ascii="Times New Roman" w:hAnsi="Times New Roman" w:cs="Times New Roman"/>
                <w:color w:val="000000" w:themeColor="text1"/>
                <w:sz w:val="24"/>
                <w:szCs w:val="24"/>
              </w:rPr>
            </w:pPr>
            <w:proofErr w:type="spellStart"/>
            <w:r w:rsidRPr="00C56257">
              <w:rPr>
                <w:rFonts w:ascii="Times New Roman" w:hAnsi="Times New Roman" w:cs="Times New Roman"/>
                <w:color w:val="000000" w:themeColor="text1"/>
                <w:sz w:val="24"/>
                <w:szCs w:val="24"/>
              </w:rPr>
              <w:t>Înclinarea</w:t>
            </w:r>
            <w:proofErr w:type="spellEnd"/>
            <w:r w:rsidRPr="00C56257">
              <w:rPr>
                <w:rFonts w:ascii="Times New Roman" w:hAnsi="Times New Roman" w:cs="Times New Roman"/>
                <w:color w:val="000000" w:themeColor="text1"/>
                <w:sz w:val="24"/>
                <w:szCs w:val="24"/>
              </w:rPr>
              <w:t xml:space="preserve"> </w:t>
            </w:r>
            <w:proofErr w:type="spellStart"/>
            <w:r w:rsidRPr="00C56257">
              <w:rPr>
                <w:rFonts w:ascii="Times New Roman" w:hAnsi="Times New Roman" w:cs="Times New Roman"/>
                <w:color w:val="000000" w:themeColor="text1"/>
                <w:sz w:val="24"/>
                <w:szCs w:val="24"/>
              </w:rPr>
              <w:t>terenului</w:t>
            </w:r>
            <w:proofErr w:type="spellEnd"/>
            <w:r w:rsidRPr="00C56257">
              <w:rPr>
                <w:rFonts w:ascii="Times New Roman" w:hAnsi="Times New Roman" w:cs="Times New Roman"/>
                <w:color w:val="000000" w:themeColor="text1"/>
                <w:sz w:val="24"/>
                <w:szCs w:val="24"/>
              </w:rPr>
              <w:t xml:space="preserve"> (grade)</w:t>
            </w:r>
          </w:p>
        </w:tc>
        <w:tc>
          <w:tcPr>
            <w:tcW w:w="2569" w:type="pct"/>
            <w:vAlign w:val="center"/>
          </w:tcPr>
          <w:p w14:paraId="73A0C03D" w14:textId="77777777" w:rsidR="002D3CA7" w:rsidRPr="00C56257" w:rsidRDefault="002D3CA7" w:rsidP="008E33FD">
            <w:pPr>
              <w:jc w:val="both"/>
              <w:rPr>
                <w:color w:val="000000" w:themeColor="text1"/>
              </w:rPr>
            </w:pPr>
          </w:p>
        </w:tc>
      </w:tr>
      <w:tr w:rsidR="00673EFE" w:rsidRPr="00C56257" w14:paraId="15A72CF4" w14:textId="77777777" w:rsidTr="002825C6">
        <w:trPr>
          <w:trHeight w:val="360"/>
        </w:trPr>
        <w:tc>
          <w:tcPr>
            <w:tcW w:w="2431" w:type="pct"/>
            <w:vAlign w:val="center"/>
          </w:tcPr>
          <w:p w14:paraId="713863C1" w14:textId="77777777" w:rsidR="002D3CA7" w:rsidRPr="00C56257" w:rsidRDefault="002D3CA7" w:rsidP="008E33FD">
            <w:pPr>
              <w:jc w:val="both"/>
              <w:rPr>
                <w:color w:val="000000" w:themeColor="text1"/>
              </w:rPr>
            </w:pPr>
            <w:r w:rsidRPr="00C56257">
              <w:rPr>
                <w:color w:val="000000" w:themeColor="text1"/>
              </w:rPr>
              <w:t>7.2. Geologie</w:t>
            </w:r>
          </w:p>
        </w:tc>
        <w:tc>
          <w:tcPr>
            <w:tcW w:w="2569" w:type="pct"/>
            <w:vAlign w:val="center"/>
          </w:tcPr>
          <w:p w14:paraId="1B57E2DE" w14:textId="77777777" w:rsidR="002D3CA7" w:rsidRPr="00C56257" w:rsidRDefault="002D3CA7" w:rsidP="008E33FD">
            <w:pPr>
              <w:jc w:val="both"/>
              <w:rPr>
                <w:color w:val="000000" w:themeColor="text1"/>
              </w:rPr>
            </w:pPr>
          </w:p>
        </w:tc>
      </w:tr>
      <w:tr w:rsidR="00673EFE" w:rsidRPr="00C56257" w14:paraId="55B1BED1" w14:textId="77777777" w:rsidTr="002825C6">
        <w:trPr>
          <w:trHeight w:val="360"/>
        </w:trPr>
        <w:tc>
          <w:tcPr>
            <w:tcW w:w="2431" w:type="pct"/>
          </w:tcPr>
          <w:p w14:paraId="497438FF" w14:textId="77777777" w:rsidR="002D3CA7" w:rsidRPr="00C56257" w:rsidRDefault="002D3CA7" w:rsidP="008E33FD">
            <w:pPr>
              <w:ind w:left="180"/>
              <w:jc w:val="both"/>
              <w:rPr>
                <w:color w:val="000000" w:themeColor="text1"/>
              </w:rPr>
            </w:pPr>
            <w:r w:rsidRPr="00C56257">
              <w:rPr>
                <w:color w:val="000000" w:themeColor="text1"/>
              </w:rPr>
              <w:t>7.2.2. Roca/substrat</w:t>
            </w:r>
          </w:p>
        </w:tc>
        <w:tc>
          <w:tcPr>
            <w:tcW w:w="2569" w:type="pct"/>
            <w:vAlign w:val="center"/>
          </w:tcPr>
          <w:p w14:paraId="0ABB7CDC" w14:textId="77777777" w:rsidR="002D3CA7" w:rsidRPr="00C56257" w:rsidRDefault="002D3CA7" w:rsidP="008E33FD">
            <w:pPr>
              <w:jc w:val="both"/>
              <w:rPr>
                <w:color w:val="000000" w:themeColor="text1"/>
              </w:rPr>
            </w:pPr>
          </w:p>
        </w:tc>
      </w:tr>
      <w:tr w:rsidR="00673EFE" w:rsidRPr="00C56257" w14:paraId="118284AB" w14:textId="77777777" w:rsidTr="002825C6">
        <w:trPr>
          <w:trHeight w:val="360"/>
        </w:trPr>
        <w:tc>
          <w:tcPr>
            <w:tcW w:w="2431" w:type="pct"/>
          </w:tcPr>
          <w:p w14:paraId="1EF228ED" w14:textId="77777777" w:rsidR="002D3CA7" w:rsidRPr="00C56257" w:rsidRDefault="002D3CA7" w:rsidP="008E33FD">
            <w:pPr>
              <w:ind w:left="180"/>
              <w:jc w:val="both"/>
              <w:rPr>
                <w:color w:val="000000" w:themeColor="text1"/>
              </w:rPr>
            </w:pPr>
            <w:r w:rsidRPr="00C56257">
              <w:rPr>
                <w:color w:val="000000" w:themeColor="text1"/>
              </w:rPr>
              <w:t>7.2.3. Roca la suprafaţă (%)</w:t>
            </w:r>
          </w:p>
        </w:tc>
        <w:tc>
          <w:tcPr>
            <w:tcW w:w="2569" w:type="pct"/>
            <w:vAlign w:val="center"/>
          </w:tcPr>
          <w:p w14:paraId="4B18CD23" w14:textId="77777777" w:rsidR="002D3CA7" w:rsidRPr="00C56257" w:rsidRDefault="002D3CA7" w:rsidP="008E33FD">
            <w:pPr>
              <w:jc w:val="both"/>
              <w:rPr>
                <w:color w:val="000000" w:themeColor="text1"/>
              </w:rPr>
            </w:pPr>
          </w:p>
        </w:tc>
      </w:tr>
      <w:tr w:rsidR="00673EFE" w:rsidRPr="00C56257" w14:paraId="18352080" w14:textId="77777777" w:rsidTr="002825C6">
        <w:trPr>
          <w:trHeight w:val="360"/>
        </w:trPr>
        <w:tc>
          <w:tcPr>
            <w:tcW w:w="2431" w:type="pct"/>
          </w:tcPr>
          <w:p w14:paraId="57285C80" w14:textId="77777777" w:rsidR="002D3CA7" w:rsidRPr="00C56257" w:rsidRDefault="002D3CA7" w:rsidP="008E33FD">
            <w:pPr>
              <w:jc w:val="both"/>
              <w:rPr>
                <w:color w:val="000000" w:themeColor="text1"/>
              </w:rPr>
            </w:pPr>
            <w:r w:rsidRPr="00C56257">
              <w:rPr>
                <w:color w:val="000000" w:themeColor="text1"/>
              </w:rPr>
              <w:t>7.3 Pedologie</w:t>
            </w:r>
          </w:p>
        </w:tc>
        <w:tc>
          <w:tcPr>
            <w:tcW w:w="2569" w:type="pct"/>
            <w:vAlign w:val="center"/>
          </w:tcPr>
          <w:p w14:paraId="4271862C" w14:textId="77777777" w:rsidR="002D3CA7" w:rsidRPr="00C56257" w:rsidRDefault="002D3CA7" w:rsidP="008E33FD">
            <w:pPr>
              <w:jc w:val="both"/>
              <w:rPr>
                <w:color w:val="000000" w:themeColor="text1"/>
              </w:rPr>
            </w:pPr>
          </w:p>
        </w:tc>
      </w:tr>
      <w:tr w:rsidR="00673EFE" w:rsidRPr="00C56257" w14:paraId="0CAB848D" w14:textId="77777777" w:rsidTr="002825C6">
        <w:trPr>
          <w:trHeight w:val="360"/>
        </w:trPr>
        <w:tc>
          <w:tcPr>
            <w:tcW w:w="2431" w:type="pct"/>
          </w:tcPr>
          <w:p w14:paraId="492C9229" w14:textId="77777777" w:rsidR="002D3CA7" w:rsidRPr="00C56257" w:rsidRDefault="002D3CA7" w:rsidP="008E33FD">
            <w:pPr>
              <w:ind w:left="180"/>
              <w:jc w:val="both"/>
              <w:rPr>
                <w:color w:val="000000" w:themeColor="text1"/>
              </w:rPr>
            </w:pPr>
            <w:r w:rsidRPr="00C56257">
              <w:rPr>
                <w:color w:val="000000" w:themeColor="text1"/>
              </w:rPr>
              <w:t>7.3.1. Tip sol</w:t>
            </w:r>
          </w:p>
        </w:tc>
        <w:tc>
          <w:tcPr>
            <w:tcW w:w="2569" w:type="pct"/>
            <w:vAlign w:val="center"/>
          </w:tcPr>
          <w:p w14:paraId="4DF0098F" w14:textId="77777777" w:rsidR="002D3CA7" w:rsidRPr="00C56257" w:rsidRDefault="002D3CA7" w:rsidP="008E33FD">
            <w:pPr>
              <w:jc w:val="both"/>
              <w:rPr>
                <w:color w:val="000000" w:themeColor="text1"/>
              </w:rPr>
            </w:pPr>
          </w:p>
        </w:tc>
      </w:tr>
      <w:tr w:rsidR="00673EFE" w:rsidRPr="00C56257" w14:paraId="3338553E" w14:textId="77777777" w:rsidTr="002825C6">
        <w:trPr>
          <w:trHeight w:val="360"/>
        </w:trPr>
        <w:tc>
          <w:tcPr>
            <w:tcW w:w="2431" w:type="pct"/>
          </w:tcPr>
          <w:p w14:paraId="2B08C148" w14:textId="77777777" w:rsidR="002D3CA7" w:rsidRPr="00C56257" w:rsidRDefault="002D3CA7" w:rsidP="008E33FD">
            <w:pPr>
              <w:ind w:left="180"/>
              <w:jc w:val="both"/>
              <w:rPr>
                <w:color w:val="000000" w:themeColor="text1"/>
              </w:rPr>
            </w:pPr>
            <w:r w:rsidRPr="00C56257">
              <w:rPr>
                <w:color w:val="000000" w:themeColor="text1"/>
              </w:rPr>
              <w:lastRenderedPageBreak/>
              <w:t>7.3.2. Tip humus</w:t>
            </w:r>
          </w:p>
        </w:tc>
        <w:tc>
          <w:tcPr>
            <w:tcW w:w="2569" w:type="pct"/>
            <w:vAlign w:val="center"/>
          </w:tcPr>
          <w:p w14:paraId="09EBB982" w14:textId="77777777" w:rsidR="002D3CA7" w:rsidRPr="00C56257" w:rsidRDefault="002D3CA7" w:rsidP="008E33FD">
            <w:pPr>
              <w:jc w:val="both"/>
              <w:rPr>
                <w:color w:val="000000" w:themeColor="text1"/>
              </w:rPr>
            </w:pPr>
          </w:p>
        </w:tc>
      </w:tr>
      <w:tr w:rsidR="00673EFE" w:rsidRPr="00C56257" w14:paraId="04FF56FC" w14:textId="77777777" w:rsidTr="002825C6">
        <w:trPr>
          <w:trHeight w:val="360"/>
        </w:trPr>
        <w:tc>
          <w:tcPr>
            <w:tcW w:w="2431" w:type="pct"/>
          </w:tcPr>
          <w:p w14:paraId="132AFB07" w14:textId="77777777" w:rsidR="002D3CA7" w:rsidRPr="00C56257" w:rsidRDefault="002D3CA7" w:rsidP="008E33FD">
            <w:pPr>
              <w:ind w:left="180"/>
              <w:jc w:val="both"/>
              <w:rPr>
                <w:color w:val="000000" w:themeColor="text1"/>
              </w:rPr>
            </w:pPr>
            <w:r w:rsidRPr="00C56257">
              <w:rPr>
                <w:color w:val="000000" w:themeColor="text1"/>
              </w:rPr>
              <w:t>7.3.3. Profil (cm)</w:t>
            </w:r>
          </w:p>
        </w:tc>
        <w:tc>
          <w:tcPr>
            <w:tcW w:w="2569" w:type="pct"/>
            <w:vAlign w:val="center"/>
          </w:tcPr>
          <w:p w14:paraId="72ECE44D" w14:textId="77777777" w:rsidR="002D3CA7" w:rsidRPr="00C56257" w:rsidRDefault="002D3CA7" w:rsidP="008E33FD">
            <w:pPr>
              <w:jc w:val="both"/>
              <w:rPr>
                <w:color w:val="000000" w:themeColor="text1"/>
              </w:rPr>
            </w:pPr>
          </w:p>
        </w:tc>
      </w:tr>
      <w:tr w:rsidR="00673EFE" w:rsidRPr="00C56257" w14:paraId="5D7C90E7" w14:textId="77777777" w:rsidTr="002825C6">
        <w:trPr>
          <w:trHeight w:val="360"/>
        </w:trPr>
        <w:tc>
          <w:tcPr>
            <w:tcW w:w="2431" w:type="pct"/>
          </w:tcPr>
          <w:p w14:paraId="52B8C282" w14:textId="77777777" w:rsidR="002D3CA7" w:rsidRPr="00C56257" w:rsidRDefault="002D3CA7" w:rsidP="008E33FD">
            <w:pPr>
              <w:ind w:left="180"/>
              <w:jc w:val="both"/>
              <w:rPr>
                <w:color w:val="000000" w:themeColor="text1"/>
              </w:rPr>
            </w:pPr>
            <w:r w:rsidRPr="00C56257">
              <w:rPr>
                <w:color w:val="000000" w:themeColor="text1"/>
              </w:rPr>
              <w:t>7.3.4. Schelet (%)</w:t>
            </w:r>
          </w:p>
        </w:tc>
        <w:tc>
          <w:tcPr>
            <w:tcW w:w="2569" w:type="pct"/>
            <w:vAlign w:val="center"/>
          </w:tcPr>
          <w:p w14:paraId="150AE193" w14:textId="77777777" w:rsidR="002D3CA7" w:rsidRPr="00C56257" w:rsidRDefault="002D3CA7" w:rsidP="008E33FD">
            <w:pPr>
              <w:jc w:val="both"/>
              <w:rPr>
                <w:color w:val="000000" w:themeColor="text1"/>
              </w:rPr>
            </w:pPr>
          </w:p>
        </w:tc>
      </w:tr>
      <w:tr w:rsidR="00673EFE" w:rsidRPr="00C56257" w14:paraId="0F46FEB9" w14:textId="77777777" w:rsidTr="002825C6">
        <w:trPr>
          <w:trHeight w:val="360"/>
        </w:trPr>
        <w:tc>
          <w:tcPr>
            <w:tcW w:w="2431" w:type="pct"/>
          </w:tcPr>
          <w:p w14:paraId="0ECFD938" w14:textId="77777777" w:rsidR="002D3CA7" w:rsidRPr="00C56257" w:rsidRDefault="002D3CA7" w:rsidP="008E33FD">
            <w:pPr>
              <w:ind w:left="180"/>
              <w:jc w:val="both"/>
              <w:rPr>
                <w:color w:val="000000" w:themeColor="text1"/>
              </w:rPr>
            </w:pPr>
            <w:r w:rsidRPr="00C56257">
              <w:rPr>
                <w:color w:val="000000" w:themeColor="text1"/>
              </w:rPr>
              <w:t>7.3.5. Submersie</w:t>
            </w:r>
          </w:p>
        </w:tc>
        <w:tc>
          <w:tcPr>
            <w:tcW w:w="2569" w:type="pct"/>
            <w:vAlign w:val="center"/>
          </w:tcPr>
          <w:p w14:paraId="56CCF104" w14:textId="77777777" w:rsidR="002D3CA7" w:rsidRPr="00C56257" w:rsidRDefault="002D3CA7" w:rsidP="008E33FD">
            <w:pPr>
              <w:jc w:val="both"/>
              <w:rPr>
                <w:color w:val="000000" w:themeColor="text1"/>
              </w:rPr>
            </w:pPr>
          </w:p>
        </w:tc>
      </w:tr>
      <w:tr w:rsidR="00673EFE" w:rsidRPr="00C56257" w14:paraId="175940CF" w14:textId="77777777" w:rsidTr="002825C6">
        <w:trPr>
          <w:trHeight w:val="360"/>
        </w:trPr>
        <w:tc>
          <w:tcPr>
            <w:tcW w:w="2431" w:type="pct"/>
          </w:tcPr>
          <w:p w14:paraId="31A6B1A3" w14:textId="77777777" w:rsidR="002D3CA7" w:rsidRPr="00C56257" w:rsidRDefault="002D3CA7" w:rsidP="008E33FD">
            <w:pPr>
              <w:ind w:left="180"/>
              <w:jc w:val="both"/>
              <w:rPr>
                <w:color w:val="000000" w:themeColor="text1"/>
              </w:rPr>
            </w:pPr>
            <w:r w:rsidRPr="00C56257">
              <w:rPr>
                <w:color w:val="000000" w:themeColor="text1"/>
              </w:rPr>
              <w:t>7.3.6. Drenaj extern</w:t>
            </w:r>
          </w:p>
        </w:tc>
        <w:tc>
          <w:tcPr>
            <w:tcW w:w="2569" w:type="pct"/>
            <w:vAlign w:val="center"/>
          </w:tcPr>
          <w:p w14:paraId="62F9770E" w14:textId="77777777" w:rsidR="002D3CA7" w:rsidRPr="00C56257" w:rsidRDefault="002D3CA7" w:rsidP="008E33FD">
            <w:pPr>
              <w:jc w:val="both"/>
              <w:rPr>
                <w:color w:val="000000" w:themeColor="text1"/>
              </w:rPr>
            </w:pPr>
          </w:p>
        </w:tc>
      </w:tr>
      <w:tr w:rsidR="00673EFE" w:rsidRPr="00C56257" w14:paraId="2C423C54" w14:textId="77777777" w:rsidTr="002825C6">
        <w:trPr>
          <w:trHeight w:val="360"/>
        </w:trPr>
        <w:tc>
          <w:tcPr>
            <w:tcW w:w="2431" w:type="pct"/>
          </w:tcPr>
          <w:p w14:paraId="56180E2E" w14:textId="77777777" w:rsidR="002D3CA7" w:rsidRPr="00C56257" w:rsidRDefault="002D3CA7" w:rsidP="008E33FD">
            <w:pPr>
              <w:ind w:left="180"/>
              <w:jc w:val="both"/>
              <w:rPr>
                <w:color w:val="000000" w:themeColor="text1"/>
              </w:rPr>
            </w:pPr>
            <w:r w:rsidRPr="00C56257">
              <w:rPr>
                <w:color w:val="000000" w:themeColor="text1"/>
              </w:rPr>
              <w:t>7.3.7. Drenaj intern</w:t>
            </w:r>
          </w:p>
        </w:tc>
        <w:tc>
          <w:tcPr>
            <w:tcW w:w="2569" w:type="pct"/>
            <w:vAlign w:val="center"/>
          </w:tcPr>
          <w:p w14:paraId="73E4D166" w14:textId="77777777" w:rsidR="002D3CA7" w:rsidRPr="00C56257" w:rsidRDefault="002D3CA7" w:rsidP="008E33FD">
            <w:pPr>
              <w:jc w:val="both"/>
              <w:rPr>
                <w:color w:val="000000" w:themeColor="text1"/>
              </w:rPr>
            </w:pPr>
          </w:p>
        </w:tc>
      </w:tr>
    </w:tbl>
    <w:p w14:paraId="0411292D" w14:textId="77777777" w:rsidR="002D3CA7" w:rsidRPr="00C56257" w:rsidRDefault="002D3CA7" w:rsidP="008E33FD">
      <w:pPr>
        <w:jc w:val="both"/>
        <w:rPr>
          <w:color w:val="000000" w:themeColor="text1"/>
        </w:rPr>
      </w:pPr>
    </w:p>
    <w:p w14:paraId="216561D7" w14:textId="77777777" w:rsidR="002D3CA7" w:rsidRPr="00C56257" w:rsidRDefault="002D3CA7" w:rsidP="008E33FD">
      <w:pPr>
        <w:jc w:val="both"/>
        <w:rPr>
          <w:color w:val="000000" w:themeColor="text1"/>
        </w:rPr>
      </w:pPr>
      <w:r w:rsidRPr="00C56257">
        <w:rPr>
          <w:color w:val="000000" w:themeColor="text1"/>
        </w:rPr>
        <w:t>8. Date vegetaţie (Vegetaţia SSP):</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8"/>
        <w:gridCol w:w="7356"/>
      </w:tblGrid>
      <w:tr w:rsidR="00673EFE" w:rsidRPr="00C56257" w14:paraId="01B7D388" w14:textId="77777777" w:rsidTr="002825C6">
        <w:trPr>
          <w:trHeight w:val="360"/>
        </w:trPr>
        <w:tc>
          <w:tcPr>
            <w:tcW w:w="1320" w:type="pct"/>
            <w:vAlign w:val="center"/>
          </w:tcPr>
          <w:p w14:paraId="49673B50" w14:textId="77777777" w:rsidR="002D3CA7" w:rsidRPr="00C56257" w:rsidRDefault="002D3CA7" w:rsidP="008E33FD">
            <w:pPr>
              <w:ind w:left="180"/>
              <w:jc w:val="both"/>
              <w:rPr>
                <w:color w:val="000000" w:themeColor="text1"/>
              </w:rPr>
            </w:pPr>
            <w:r w:rsidRPr="00C56257">
              <w:rPr>
                <w:color w:val="000000" w:themeColor="text1"/>
              </w:rPr>
              <w:t>Asociaţia vegetală</w:t>
            </w:r>
          </w:p>
        </w:tc>
        <w:tc>
          <w:tcPr>
            <w:tcW w:w="3680" w:type="pct"/>
            <w:vAlign w:val="center"/>
          </w:tcPr>
          <w:p w14:paraId="185B4D79" w14:textId="77777777" w:rsidR="002D3CA7" w:rsidRPr="00C56257" w:rsidRDefault="002D3CA7" w:rsidP="008E33FD">
            <w:pPr>
              <w:jc w:val="both"/>
              <w:rPr>
                <w:color w:val="000000" w:themeColor="text1"/>
              </w:rPr>
            </w:pPr>
          </w:p>
        </w:tc>
      </w:tr>
    </w:tbl>
    <w:p w14:paraId="043AC135" w14:textId="77777777" w:rsidR="002D3CA7" w:rsidRPr="00C56257" w:rsidRDefault="002D3CA7" w:rsidP="008E33FD">
      <w:pPr>
        <w:jc w:val="both"/>
        <w:rPr>
          <w:color w:val="000000" w:themeColor="text1"/>
        </w:rPr>
      </w:pPr>
    </w:p>
    <w:p w14:paraId="5D12B598" w14:textId="77777777" w:rsidR="002D3CA7" w:rsidRPr="00C56257" w:rsidRDefault="002D3CA7" w:rsidP="008E33FD">
      <w:pPr>
        <w:jc w:val="both"/>
        <w:rPr>
          <w:color w:val="000000" w:themeColor="text1"/>
        </w:rPr>
      </w:pPr>
      <w:r w:rsidRPr="00C56257">
        <w:rPr>
          <w:color w:val="000000" w:themeColor="text1"/>
        </w:rPr>
        <w:t>9. Indicatori ai structurii şi funcţionării habitatului (SSP):</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9"/>
        <w:gridCol w:w="5135"/>
      </w:tblGrid>
      <w:tr w:rsidR="00673EFE" w:rsidRPr="00C56257" w14:paraId="5A6276A6" w14:textId="77777777" w:rsidTr="002825C6">
        <w:trPr>
          <w:trHeight w:val="360"/>
        </w:trPr>
        <w:tc>
          <w:tcPr>
            <w:tcW w:w="2431" w:type="pct"/>
            <w:vAlign w:val="center"/>
          </w:tcPr>
          <w:p w14:paraId="31CD608D" w14:textId="77777777" w:rsidR="002D3CA7" w:rsidRPr="00C56257" w:rsidRDefault="002D3CA7" w:rsidP="008E33FD">
            <w:pPr>
              <w:jc w:val="both"/>
              <w:rPr>
                <w:color w:val="000000" w:themeColor="text1"/>
              </w:rPr>
            </w:pPr>
            <w:r w:rsidRPr="00C56257">
              <w:rPr>
                <w:color w:val="000000" w:themeColor="text1"/>
              </w:rPr>
              <w:t>9.1. Stratul arbustiv</w:t>
            </w:r>
          </w:p>
        </w:tc>
        <w:tc>
          <w:tcPr>
            <w:tcW w:w="2569" w:type="pct"/>
            <w:vAlign w:val="center"/>
          </w:tcPr>
          <w:p w14:paraId="2EFDD1B2" w14:textId="77777777" w:rsidR="002D3CA7" w:rsidRPr="00C56257" w:rsidRDefault="002D3CA7" w:rsidP="008E33FD">
            <w:pPr>
              <w:jc w:val="both"/>
              <w:rPr>
                <w:color w:val="000000" w:themeColor="text1"/>
              </w:rPr>
            </w:pPr>
          </w:p>
        </w:tc>
      </w:tr>
      <w:tr w:rsidR="00673EFE" w:rsidRPr="00C56257" w14:paraId="4E2E6DA3" w14:textId="77777777" w:rsidTr="002825C6">
        <w:trPr>
          <w:trHeight w:val="360"/>
        </w:trPr>
        <w:tc>
          <w:tcPr>
            <w:tcW w:w="2431" w:type="pct"/>
            <w:vAlign w:val="center"/>
          </w:tcPr>
          <w:p w14:paraId="0E6EA81B" w14:textId="77777777" w:rsidR="002D3CA7" w:rsidRPr="00C56257" w:rsidRDefault="002D3CA7" w:rsidP="008E33FD">
            <w:pPr>
              <w:jc w:val="both"/>
              <w:rPr>
                <w:color w:val="000000" w:themeColor="text1"/>
              </w:rPr>
            </w:pPr>
            <w:r w:rsidRPr="00C56257">
              <w:rPr>
                <w:color w:val="000000" w:themeColor="text1"/>
              </w:rPr>
              <w:t>9.1.1. Specia (i) edificatoare</w:t>
            </w:r>
          </w:p>
        </w:tc>
        <w:tc>
          <w:tcPr>
            <w:tcW w:w="2569" w:type="pct"/>
            <w:vAlign w:val="center"/>
          </w:tcPr>
          <w:p w14:paraId="4633D991" w14:textId="77777777" w:rsidR="002D3CA7" w:rsidRPr="00C56257" w:rsidRDefault="002D3CA7" w:rsidP="008E33FD">
            <w:pPr>
              <w:jc w:val="both"/>
              <w:rPr>
                <w:color w:val="000000" w:themeColor="text1"/>
              </w:rPr>
            </w:pPr>
          </w:p>
        </w:tc>
      </w:tr>
      <w:tr w:rsidR="00673EFE" w:rsidRPr="00C56257" w14:paraId="7CB5A654" w14:textId="77777777" w:rsidTr="002825C6">
        <w:trPr>
          <w:trHeight w:val="360"/>
        </w:trPr>
        <w:tc>
          <w:tcPr>
            <w:tcW w:w="2431" w:type="pct"/>
            <w:vAlign w:val="center"/>
          </w:tcPr>
          <w:p w14:paraId="6630D783" w14:textId="77777777" w:rsidR="002D3CA7" w:rsidRPr="00C56257" w:rsidRDefault="002D3CA7" w:rsidP="008E33FD">
            <w:pPr>
              <w:jc w:val="both"/>
              <w:rPr>
                <w:color w:val="000000" w:themeColor="text1"/>
              </w:rPr>
            </w:pPr>
            <w:r w:rsidRPr="00C56257">
              <w:rPr>
                <w:color w:val="000000" w:themeColor="text1"/>
              </w:rPr>
              <w:t>9.1.2. Acoperirea cu arbuşti</w:t>
            </w:r>
          </w:p>
        </w:tc>
        <w:tc>
          <w:tcPr>
            <w:tcW w:w="2569" w:type="pct"/>
            <w:vAlign w:val="center"/>
          </w:tcPr>
          <w:p w14:paraId="7AC8997F" w14:textId="77777777" w:rsidR="002D3CA7" w:rsidRPr="00C56257" w:rsidRDefault="002D3CA7" w:rsidP="008E33FD">
            <w:pPr>
              <w:jc w:val="both"/>
              <w:rPr>
                <w:color w:val="000000" w:themeColor="text1"/>
              </w:rPr>
            </w:pPr>
          </w:p>
        </w:tc>
      </w:tr>
      <w:tr w:rsidR="00673EFE" w:rsidRPr="00C56257" w14:paraId="65692864" w14:textId="77777777" w:rsidTr="002825C6">
        <w:trPr>
          <w:trHeight w:val="360"/>
        </w:trPr>
        <w:tc>
          <w:tcPr>
            <w:tcW w:w="2431" w:type="pct"/>
            <w:vAlign w:val="center"/>
          </w:tcPr>
          <w:p w14:paraId="5FBAD4D5" w14:textId="77777777" w:rsidR="002D3CA7" w:rsidRPr="00C56257" w:rsidRDefault="002D3CA7" w:rsidP="008E33FD">
            <w:pPr>
              <w:jc w:val="both"/>
              <w:rPr>
                <w:color w:val="000000" w:themeColor="text1"/>
              </w:rPr>
            </w:pPr>
            <w:r w:rsidRPr="00C56257">
              <w:rPr>
                <w:color w:val="000000" w:themeColor="text1"/>
              </w:rPr>
              <w:t>9.2. Pătura erbacee (stratul ierbos)</w:t>
            </w:r>
          </w:p>
        </w:tc>
        <w:tc>
          <w:tcPr>
            <w:tcW w:w="2569" w:type="pct"/>
            <w:vAlign w:val="center"/>
          </w:tcPr>
          <w:p w14:paraId="1D83D403" w14:textId="77777777" w:rsidR="002D3CA7" w:rsidRPr="00C56257" w:rsidRDefault="002D3CA7" w:rsidP="008E33FD">
            <w:pPr>
              <w:jc w:val="both"/>
              <w:rPr>
                <w:color w:val="000000" w:themeColor="text1"/>
              </w:rPr>
            </w:pPr>
          </w:p>
        </w:tc>
      </w:tr>
      <w:tr w:rsidR="00673EFE" w:rsidRPr="00C56257" w14:paraId="7C5A428C" w14:textId="77777777" w:rsidTr="002825C6">
        <w:trPr>
          <w:trHeight w:val="360"/>
        </w:trPr>
        <w:tc>
          <w:tcPr>
            <w:tcW w:w="2431" w:type="pct"/>
            <w:vAlign w:val="center"/>
          </w:tcPr>
          <w:p w14:paraId="0E3F721A" w14:textId="77777777" w:rsidR="002D3CA7" w:rsidRPr="00C56257" w:rsidRDefault="002D3CA7" w:rsidP="008E33FD">
            <w:pPr>
              <w:jc w:val="both"/>
              <w:rPr>
                <w:color w:val="000000" w:themeColor="text1"/>
              </w:rPr>
            </w:pPr>
            <w:r w:rsidRPr="00C56257">
              <w:rPr>
                <w:color w:val="000000" w:themeColor="text1"/>
              </w:rPr>
              <w:t>Acoperirea cu vegetaţie ierboasă</w:t>
            </w:r>
          </w:p>
        </w:tc>
        <w:tc>
          <w:tcPr>
            <w:tcW w:w="2569" w:type="pct"/>
            <w:vAlign w:val="center"/>
          </w:tcPr>
          <w:p w14:paraId="330906E5" w14:textId="77777777" w:rsidR="002D3CA7" w:rsidRPr="00C56257" w:rsidRDefault="002D3CA7" w:rsidP="008E33FD">
            <w:pPr>
              <w:jc w:val="both"/>
              <w:rPr>
                <w:color w:val="000000" w:themeColor="text1"/>
              </w:rPr>
            </w:pPr>
          </w:p>
        </w:tc>
      </w:tr>
      <w:tr w:rsidR="00673EFE" w:rsidRPr="00C56257" w14:paraId="3DAEFBAB" w14:textId="77777777" w:rsidTr="002825C6">
        <w:trPr>
          <w:trHeight w:val="360"/>
        </w:trPr>
        <w:tc>
          <w:tcPr>
            <w:tcW w:w="2431" w:type="pct"/>
            <w:vAlign w:val="center"/>
          </w:tcPr>
          <w:p w14:paraId="2DB80061" w14:textId="77777777" w:rsidR="002D3CA7" w:rsidRPr="00C56257" w:rsidRDefault="002D3CA7" w:rsidP="008E33FD">
            <w:pPr>
              <w:jc w:val="both"/>
              <w:rPr>
                <w:color w:val="000000" w:themeColor="text1"/>
              </w:rPr>
            </w:pPr>
            <w:r w:rsidRPr="00C56257">
              <w:rPr>
                <w:color w:val="000000" w:themeColor="text1"/>
              </w:rPr>
              <w:t>9.3. Vătămări produse tufărişurilor de  factorii abiotici</w:t>
            </w:r>
          </w:p>
        </w:tc>
        <w:tc>
          <w:tcPr>
            <w:tcW w:w="2569" w:type="pct"/>
            <w:vAlign w:val="center"/>
          </w:tcPr>
          <w:p w14:paraId="06F3451C" w14:textId="77777777" w:rsidR="002D3CA7" w:rsidRPr="00C56257" w:rsidRDefault="002D3CA7" w:rsidP="008E33FD">
            <w:pPr>
              <w:jc w:val="both"/>
              <w:rPr>
                <w:color w:val="000000" w:themeColor="text1"/>
              </w:rPr>
            </w:pPr>
          </w:p>
        </w:tc>
      </w:tr>
      <w:tr w:rsidR="00673EFE" w:rsidRPr="00C56257" w14:paraId="2B14BA6E" w14:textId="77777777" w:rsidTr="002825C6">
        <w:trPr>
          <w:trHeight w:val="360"/>
        </w:trPr>
        <w:tc>
          <w:tcPr>
            <w:tcW w:w="2431" w:type="pct"/>
            <w:vAlign w:val="center"/>
          </w:tcPr>
          <w:p w14:paraId="7CF9A74F" w14:textId="77777777" w:rsidR="002D3CA7" w:rsidRPr="00C56257" w:rsidRDefault="002D3CA7" w:rsidP="008E33FD">
            <w:pPr>
              <w:jc w:val="both"/>
              <w:rPr>
                <w:color w:val="000000" w:themeColor="text1"/>
              </w:rPr>
            </w:pPr>
            <w:r w:rsidRPr="00C56257">
              <w:rPr>
                <w:color w:val="000000" w:themeColor="text1"/>
              </w:rPr>
              <w:t>9.3.1. Tip vătămare</w:t>
            </w:r>
          </w:p>
        </w:tc>
        <w:tc>
          <w:tcPr>
            <w:tcW w:w="2569" w:type="pct"/>
            <w:vAlign w:val="center"/>
          </w:tcPr>
          <w:p w14:paraId="109479E3" w14:textId="77777777" w:rsidR="002D3CA7" w:rsidRPr="00C56257" w:rsidRDefault="002D3CA7" w:rsidP="008E33FD">
            <w:pPr>
              <w:jc w:val="both"/>
              <w:rPr>
                <w:color w:val="000000" w:themeColor="text1"/>
              </w:rPr>
            </w:pPr>
          </w:p>
        </w:tc>
      </w:tr>
      <w:tr w:rsidR="00673EFE" w:rsidRPr="00C56257" w14:paraId="7CFC48CD" w14:textId="77777777" w:rsidTr="002825C6">
        <w:trPr>
          <w:trHeight w:val="360"/>
        </w:trPr>
        <w:tc>
          <w:tcPr>
            <w:tcW w:w="2431" w:type="pct"/>
            <w:vAlign w:val="center"/>
          </w:tcPr>
          <w:p w14:paraId="5540D3F1" w14:textId="77777777" w:rsidR="002D3CA7" w:rsidRPr="00C56257" w:rsidRDefault="002D3CA7" w:rsidP="008E33FD">
            <w:pPr>
              <w:jc w:val="both"/>
              <w:rPr>
                <w:color w:val="000000" w:themeColor="text1"/>
              </w:rPr>
            </w:pPr>
            <w:r w:rsidRPr="00C56257">
              <w:rPr>
                <w:color w:val="000000" w:themeColor="text1"/>
              </w:rPr>
              <w:t>9.3.2. Grad / intensitate vătămare</w:t>
            </w:r>
          </w:p>
        </w:tc>
        <w:tc>
          <w:tcPr>
            <w:tcW w:w="2569" w:type="pct"/>
            <w:vAlign w:val="center"/>
          </w:tcPr>
          <w:p w14:paraId="330FB76B" w14:textId="77777777" w:rsidR="002D3CA7" w:rsidRPr="00C56257" w:rsidRDefault="002D3CA7" w:rsidP="008E33FD">
            <w:pPr>
              <w:jc w:val="both"/>
              <w:rPr>
                <w:color w:val="000000" w:themeColor="text1"/>
              </w:rPr>
            </w:pPr>
          </w:p>
        </w:tc>
      </w:tr>
      <w:tr w:rsidR="00673EFE" w:rsidRPr="00C56257" w14:paraId="1D2AB788" w14:textId="77777777" w:rsidTr="002825C6">
        <w:trPr>
          <w:trHeight w:val="360"/>
        </w:trPr>
        <w:tc>
          <w:tcPr>
            <w:tcW w:w="2431" w:type="pct"/>
            <w:vAlign w:val="center"/>
          </w:tcPr>
          <w:p w14:paraId="7581E4DE" w14:textId="77777777" w:rsidR="002D3CA7" w:rsidRPr="00C56257" w:rsidRDefault="002D3CA7" w:rsidP="008E33FD">
            <w:pPr>
              <w:jc w:val="both"/>
              <w:rPr>
                <w:color w:val="000000" w:themeColor="text1"/>
              </w:rPr>
            </w:pPr>
            <w:r w:rsidRPr="00C56257">
              <w:rPr>
                <w:color w:val="000000" w:themeColor="text1"/>
              </w:rPr>
              <w:t>9.3.3. Vechime vătămare</w:t>
            </w:r>
          </w:p>
        </w:tc>
        <w:tc>
          <w:tcPr>
            <w:tcW w:w="2569" w:type="pct"/>
            <w:vAlign w:val="center"/>
          </w:tcPr>
          <w:p w14:paraId="1336175B" w14:textId="77777777" w:rsidR="002D3CA7" w:rsidRPr="00C56257" w:rsidRDefault="002D3CA7" w:rsidP="008E33FD">
            <w:pPr>
              <w:jc w:val="both"/>
              <w:rPr>
                <w:color w:val="000000" w:themeColor="text1"/>
              </w:rPr>
            </w:pPr>
          </w:p>
        </w:tc>
      </w:tr>
      <w:tr w:rsidR="00673EFE" w:rsidRPr="00C56257" w14:paraId="0A79CB80" w14:textId="77777777" w:rsidTr="002825C6">
        <w:trPr>
          <w:trHeight w:val="360"/>
        </w:trPr>
        <w:tc>
          <w:tcPr>
            <w:tcW w:w="2431" w:type="pct"/>
            <w:vAlign w:val="center"/>
          </w:tcPr>
          <w:p w14:paraId="0ACF9C19" w14:textId="77777777" w:rsidR="002D3CA7" w:rsidRPr="00C56257" w:rsidRDefault="002D3CA7" w:rsidP="008E33FD">
            <w:pPr>
              <w:jc w:val="both"/>
              <w:rPr>
                <w:color w:val="000000" w:themeColor="text1"/>
              </w:rPr>
            </w:pPr>
            <w:r w:rsidRPr="00C56257">
              <w:rPr>
                <w:color w:val="000000" w:themeColor="text1"/>
              </w:rPr>
              <w:t>9.4. Vătămări produse tufărişurilor de factorii biotici</w:t>
            </w:r>
          </w:p>
        </w:tc>
        <w:tc>
          <w:tcPr>
            <w:tcW w:w="2569" w:type="pct"/>
            <w:vAlign w:val="center"/>
          </w:tcPr>
          <w:p w14:paraId="59A42DB1" w14:textId="77777777" w:rsidR="002D3CA7" w:rsidRPr="00C56257" w:rsidRDefault="002D3CA7" w:rsidP="008E33FD">
            <w:pPr>
              <w:jc w:val="both"/>
              <w:rPr>
                <w:color w:val="000000" w:themeColor="text1"/>
              </w:rPr>
            </w:pPr>
          </w:p>
        </w:tc>
      </w:tr>
      <w:tr w:rsidR="00673EFE" w:rsidRPr="00C56257" w14:paraId="13E6BB22" w14:textId="77777777" w:rsidTr="002825C6">
        <w:trPr>
          <w:trHeight w:val="360"/>
        </w:trPr>
        <w:tc>
          <w:tcPr>
            <w:tcW w:w="2431" w:type="pct"/>
            <w:vAlign w:val="center"/>
          </w:tcPr>
          <w:p w14:paraId="7D80AC10" w14:textId="77777777" w:rsidR="002D3CA7" w:rsidRPr="00C56257" w:rsidRDefault="002D3CA7" w:rsidP="008E33FD">
            <w:pPr>
              <w:jc w:val="both"/>
              <w:rPr>
                <w:color w:val="000000" w:themeColor="text1"/>
              </w:rPr>
            </w:pPr>
            <w:r w:rsidRPr="00C56257">
              <w:rPr>
                <w:color w:val="000000" w:themeColor="text1"/>
              </w:rPr>
              <w:t>9.4.1. Tip vătămare</w:t>
            </w:r>
          </w:p>
        </w:tc>
        <w:tc>
          <w:tcPr>
            <w:tcW w:w="2569" w:type="pct"/>
            <w:vAlign w:val="center"/>
          </w:tcPr>
          <w:p w14:paraId="4C55D55A" w14:textId="77777777" w:rsidR="002D3CA7" w:rsidRPr="00C56257" w:rsidRDefault="002D3CA7" w:rsidP="008E33FD">
            <w:pPr>
              <w:jc w:val="both"/>
              <w:rPr>
                <w:color w:val="000000" w:themeColor="text1"/>
              </w:rPr>
            </w:pPr>
          </w:p>
        </w:tc>
      </w:tr>
      <w:tr w:rsidR="00673EFE" w:rsidRPr="00C56257" w14:paraId="494BE302" w14:textId="77777777" w:rsidTr="002825C6">
        <w:trPr>
          <w:trHeight w:val="360"/>
        </w:trPr>
        <w:tc>
          <w:tcPr>
            <w:tcW w:w="2431" w:type="pct"/>
            <w:vAlign w:val="center"/>
          </w:tcPr>
          <w:p w14:paraId="15A5CE3D" w14:textId="77777777" w:rsidR="002D3CA7" w:rsidRPr="00C56257" w:rsidRDefault="002D3CA7" w:rsidP="008E33FD">
            <w:pPr>
              <w:jc w:val="both"/>
              <w:rPr>
                <w:color w:val="000000" w:themeColor="text1"/>
              </w:rPr>
            </w:pPr>
            <w:r w:rsidRPr="00C56257">
              <w:rPr>
                <w:color w:val="000000" w:themeColor="text1"/>
              </w:rPr>
              <w:t>9.4.2. Grad / intensitate vătămare</w:t>
            </w:r>
          </w:p>
        </w:tc>
        <w:tc>
          <w:tcPr>
            <w:tcW w:w="2569" w:type="pct"/>
            <w:vAlign w:val="center"/>
          </w:tcPr>
          <w:p w14:paraId="14E5A732" w14:textId="77777777" w:rsidR="002D3CA7" w:rsidRPr="00C56257" w:rsidRDefault="002D3CA7" w:rsidP="008E33FD">
            <w:pPr>
              <w:jc w:val="both"/>
              <w:rPr>
                <w:color w:val="000000" w:themeColor="text1"/>
              </w:rPr>
            </w:pPr>
          </w:p>
        </w:tc>
      </w:tr>
      <w:tr w:rsidR="00673EFE" w:rsidRPr="00C56257" w14:paraId="2C8B4C31" w14:textId="77777777" w:rsidTr="002825C6">
        <w:trPr>
          <w:trHeight w:val="360"/>
        </w:trPr>
        <w:tc>
          <w:tcPr>
            <w:tcW w:w="2431" w:type="pct"/>
            <w:vAlign w:val="center"/>
          </w:tcPr>
          <w:p w14:paraId="7F50A641" w14:textId="77777777" w:rsidR="002D3CA7" w:rsidRPr="00C56257" w:rsidRDefault="002D3CA7" w:rsidP="008E33FD">
            <w:pPr>
              <w:jc w:val="both"/>
              <w:rPr>
                <w:color w:val="000000" w:themeColor="text1"/>
              </w:rPr>
            </w:pPr>
            <w:r w:rsidRPr="00C56257">
              <w:rPr>
                <w:color w:val="000000" w:themeColor="text1"/>
              </w:rPr>
              <w:t>9.4.3.Vechime vătămare</w:t>
            </w:r>
          </w:p>
        </w:tc>
        <w:tc>
          <w:tcPr>
            <w:tcW w:w="2569" w:type="pct"/>
            <w:vAlign w:val="center"/>
          </w:tcPr>
          <w:p w14:paraId="54070658" w14:textId="77777777" w:rsidR="002D3CA7" w:rsidRPr="00C56257" w:rsidRDefault="002D3CA7" w:rsidP="008E33FD">
            <w:pPr>
              <w:jc w:val="both"/>
              <w:rPr>
                <w:color w:val="000000" w:themeColor="text1"/>
              </w:rPr>
            </w:pPr>
          </w:p>
        </w:tc>
      </w:tr>
      <w:tr w:rsidR="00673EFE" w:rsidRPr="00C56257" w14:paraId="2D3141DF" w14:textId="77777777" w:rsidTr="002825C6">
        <w:trPr>
          <w:trHeight w:val="360"/>
        </w:trPr>
        <w:tc>
          <w:tcPr>
            <w:tcW w:w="2431" w:type="pct"/>
            <w:vAlign w:val="center"/>
          </w:tcPr>
          <w:p w14:paraId="76F6AEB1" w14:textId="77777777" w:rsidR="002D3CA7" w:rsidRPr="00C56257" w:rsidRDefault="002D3CA7" w:rsidP="008E33FD">
            <w:pPr>
              <w:jc w:val="both"/>
              <w:rPr>
                <w:color w:val="000000" w:themeColor="text1"/>
              </w:rPr>
            </w:pPr>
            <w:r w:rsidRPr="00C56257">
              <w:rPr>
                <w:color w:val="000000" w:themeColor="text1"/>
              </w:rPr>
              <w:t>9.5. Păşunatul</w:t>
            </w:r>
          </w:p>
        </w:tc>
        <w:tc>
          <w:tcPr>
            <w:tcW w:w="2569" w:type="pct"/>
            <w:vAlign w:val="center"/>
          </w:tcPr>
          <w:p w14:paraId="7098B3A9" w14:textId="77777777" w:rsidR="002D3CA7" w:rsidRPr="00C56257" w:rsidRDefault="002D3CA7" w:rsidP="008E33FD">
            <w:pPr>
              <w:jc w:val="both"/>
              <w:rPr>
                <w:color w:val="000000" w:themeColor="text1"/>
              </w:rPr>
            </w:pPr>
          </w:p>
        </w:tc>
      </w:tr>
      <w:tr w:rsidR="00673EFE" w:rsidRPr="00C56257" w14:paraId="4CED8F91" w14:textId="77777777" w:rsidTr="002825C6">
        <w:trPr>
          <w:trHeight w:val="360"/>
        </w:trPr>
        <w:tc>
          <w:tcPr>
            <w:tcW w:w="2431" w:type="pct"/>
            <w:vAlign w:val="center"/>
          </w:tcPr>
          <w:p w14:paraId="55B8DC01" w14:textId="77777777" w:rsidR="002D3CA7" w:rsidRPr="00C56257" w:rsidRDefault="002D3CA7" w:rsidP="008E33FD">
            <w:pPr>
              <w:jc w:val="both"/>
              <w:rPr>
                <w:color w:val="000000" w:themeColor="text1"/>
              </w:rPr>
            </w:pPr>
            <w:r w:rsidRPr="00C56257">
              <w:rPr>
                <w:color w:val="000000" w:themeColor="text1"/>
              </w:rPr>
              <w:t>9.5.1. Felul păşunatului</w:t>
            </w:r>
          </w:p>
        </w:tc>
        <w:tc>
          <w:tcPr>
            <w:tcW w:w="2569" w:type="pct"/>
            <w:vAlign w:val="center"/>
          </w:tcPr>
          <w:p w14:paraId="2FDD03F5" w14:textId="77777777" w:rsidR="002D3CA7" w:rsidRPr="00C56257" w:rsidRDefault="002D3CA7" w:rsidP="008E33FD">
            <w:pPr>
              <w:jc w:val="both"/>
              <w:rPr>
                <w:color w:val="000000" w:themeColor="text1"/>
              </w:rPr>
            </w:pPr>
          </w:p>
        </w:tc>
      </w:tr>
      <w:tr w:rsidR="00673EFE" w:rsidRPr="00C56257" w14:paraId="4C64C11F" w14:textId="77777777" w:rsidTr="002825C6">
        <w:trPr>
          <w:trHeight w:val="360"/>
        </w:trPr>
        <w:tc>
          <w:tcPr>
            <w:tcW w:w="2431" w:type="pct"/>
            <w:vAlign w:val="center"/>
          </w:tcPr>
          <w:p w14:paraId="50A9850B" w14:textId="77777777" w:rsidR="002D3CA7" w:rsidRPr="00C56257" w:rsidRDefault="002D3CA7" w:rsidP="008E33FD">
            <w:pPr>
              <w:jc w:val="both"/>
              <w:rPr>
                <w:color w:val="000000" w:themeColor="text1"/>
              </w:rPr>
            </w:pPr>
            <w:r w:rsidRPr="00C56257">
              <w:rPr>
                <w:color w:val="000000" w:themeColor="text1"/>
              </w:rPr>
              <w:t>9.5.2. Intensitatea păşunatului</w:t>
            </w:r>
          </w:p>
        </w:tc>
        <w:tc>
          <w:tcPr>
            <w:tcW w:w="2569" w:type="pct"/>
            <w:vAlign w:val="center"/>
          </w:tcPr>
          <w:p w14:paraId="1261C8E5" w14:textId="77777777" w:rsidR="002D3CA7" w:rsidRPr="00C56257" w:rsidRDefault="002D3CA7" w:rsidP="008E33FD">
            <w:pPr>
              <w:jc w:val="both"/>
              <w:rPr>
                <w:color w:val="000000" w:themeColor="text1"/>
              </w:rPr>
            </w:pPr>
          </w:p>
        </w:tc>
      </w:tr>
    </w:tbl>
    <w:p w14:paraId="5051AA7C" w14:textId="77777777" w:rsidR="002D3CA7" w:rsidRPr="00C56257" w:rsidRDefault="002D3CA7" w:rsidP="008E33FD">
      <w:pPr>
        <w:pStyle w:val="Heading3"/>
        <w:widowControl/>
        <w:autoSpaceDE/>
        <w:autoSpaceDN/>
        <w:adjustRightInd/>
        <w:spacing w:before="160" w:after="120" w:line="259" w:lineRule="auto"/>
        <w:contextualSpacing/>
        <w:jc w:val="both"/>
        <w:rPr>
          <w:rFonts w:ascii="Times New Roman" w:hAnsi="Times New Roman" w:cs="Times New Roman"/>
          <w:color w:val="000000" w:themeColor="text1"/>
        </w:rPr>
      </w:pPr>
    </w:p>
    <w:p w14:paraId="68064A49" w14:textId="77777777" w:rsidR="002D3CA7" w:rsidRPr="00C56257" w:rsidRDefault="00DD3620" w:rsidP="008E33FD">
      <w:pPr>
        <w:pStyle w:val="Heading3"/>
        <w:widowControl/>
        <w:autoSpaceDE/>
        <w:autoSpaceDN/>
        <w:adjustRightInd/>
        <w:spacing w:before="160" w:after="120" w:line="259" w:lineRule="auto"/>
        <w:contextualSpacing/>
        <w:jc w:val="both"/>
        <w:rPr>
          <w:rFonts w:ascii="Times New Roman" w:hAnsi="Times New Roman" w:cs="Times New Roman"/>
          <w:color w:val="000000" w:themeColor="text1"/>
        </w:rPr>
      </w:pPr>
      <w:r>
        <w:rPr>
          <w:rFonts w:ascii="Times New Roman" w:hAnsi="Times New Roman" w:cs="Times New Roman"/>
          <w:color w:val="000000" w:themeColor="text1"/>
        </w:rPr>
        <w:t>5.2</w:t>
      </w:r>
      <w:r w:rsidR="002D3CA7" w:rsidRPr="00C56257">
        <w:rPr>
          <w:rFonts w:ascii="Times New Roman" w:hAnsi="Times New Roman" w:cs="Times New Roman"/>
          <w:color w:val="000000" w:themeColor="text1"/>
        </w:rPr>
        <w:t xml:space="preserve">.3. </w:t>
      </w:r>
      <w:proofErr w:type="spellStart"/>
      <w:r w:rsidR="002D3CA7" w:rsidRPr="00C56257">
        <w:rPr>
          <w:rFonts w:ascii="Times New Roman" w:hAnsi="Times New Roman" w:cs="Times New Roman"/>
          <w:color w:val="000000" w:themeColor="text1"/>
        </w:rPr>
        <w:t>Parametrii</w:t>
      </w:r>
      <w:proofErr w:type="spellEnd"/>
      <w:r w:rsidR="002D3CA7" w:rsidRPr="00C56257">
        <w:rPr>
          <w:rFonts w:ascii="Times New Roman" w:hAnsi="Times New Roman" w:cs="Times New Roman"/>
          <w:color w:val="000000" w:themeColor="text1"/>
        </w:rPr>
        <w:t xml:space="preserve"> </w:t>
      </w:r>
      <w:proofErr w:type="spellStart"/>
      <w:r w:rsidR="002D3CA7" w:rsidRPr="00C56257">
        <w:rPr>
          <w:rFonts w:ascii="Times New Roman" w:hAnsi="Times New Roman" w:cs="Times New Roman"/>
          <w:color w:val="000000" w:themeColor="text1"/>
        </w:rPr>
        <w:t>evaluați</w:t>
      </w:r>
      <w:proofErr w:type="spellEnd"/>
    </w:p>
    <w:p w14:paraId="545CBA4B" w14:textId="77777777" w:rsidR="002D3CA7" w:rsidRPr="00C56257" w:rsidRDefault="002D3CA7" w:rsidP="008E33FD">
      <w:pPr>
        <w:spacing w:line="276" w:lineRule="auto"/>
        <w:ind w:firstLine="709"/>
        <w:jc w:val="both"/>
        <w:rPr>
          <w:color w:val="000000" w:themeColor="text1"/>
        </w:rPr>
      </w:pPr>
      <w:r w:rsidRPr="00C56257">
        <w:rPr>
          <w:iCs/>
          <w:color w:val="000000" w:themeColor="text1"/>
        </w:rPr>
        <w:t xml:space="preserve">Datele colectate din ploturile de monitorizare vor fi utilizate la estimarea parametrilor descriptivi utilizați în </w:t>
      </w:r>
      <w:r w:rsidRPr="00C56257">
        <w:rPr>
          <w:color w:val="000000" w:themeColor="text1"/>
        </w:rPr>
        <w:t>matricea de evaluare generală a stării de conservare a habitatelor forestiere, după cum urmează:</w:t>
      </w:r>
    </w:p>
    <w:p w14:paraId="0463BF0B" w14:textId="77777777" w:rsidR="002D3CA7" w:rsidRPr="00C56257" w:rsidRDefault="002D3CA7" w:rsidP="008E33FD">
      <w:pPr>
        <w:jc w:val="both"/>
        <w:rPr>
          <w:color w:val="000000" w:themeColor="text1"/>
        </w:rPr>
      </w:pPr>
    </w:p>
    <w:p w14:paraId="01A4BCC7" w14:textId="77777777" w:rsidR="002D3CA7" w:rsidRPr="00C56257" w:rsidRDefault="002D3CA7" w:rsidP="008E33FD">
      <w:pPr>
        <w:jc w:val="both"/>
        <w:rPr>
          <w:color w:val="000000" w:themeColor="text1"/>
        </w:rPr>
      </w:pPr>
      <w:r w:rsidRPr="00C56257">
        <w:rPr>
          <w:color w:val="000000" w:themeColor="text1"/>
        </w:rPr>
        <w:t>Tabelul 7: Tipurile de date colectate din suprafețele de monitorizare utilizate la estimarea parametrilor de evaluare a stării de conservare a habitatelor de tufărișuri de interes comunitar</w:t>
      </w:r>
    </w:p>
    <w:tbl>
      <w:tblPr>
        <w:tblStyle w:val="TableGrid5"/>
        <w:tblW w:w="5000" w:type="pct"/>
        <w:tblLook w:val="04A0" w:firstRow="1" w:lastRow="0" w:firstColumn="1" w:lastColumn="0" w:noHBand="0" w:noVBand="1"/>
      </w:tblPr>
      <w:tblGrid>
        <w:gridCol w:w="3962"/>
        <w:gridCol w:w="6032"/>
      </w:tblGrid>
      <w:tr w:rsidR="00673EFE" w:rsidRPr="00C56257" w14:paraId="228FBE47" w14:textId="77777777" w:rsidTr="002825C6">
        <w:tc>
          <w:tcPr>
            <w:tcW w:w="1982" w:type="pct"/>
            <w:shd w:val="clear" w:color="auto" w:fill="92D050"/>
          </w:tcPr>
          <w:p w14:paraId="27EABF1D" w14:textId="77777777" w:rsidR="002D3CA7" w:rsidRPr="00C56257" w:rsidRDefault="002D3CA7" w:rsidP="008E33FD">
            <w:pPr>
              <w:spacing w:after="160" w:line="259" w:lineRule="auto"/>
              <w:jc w:val="both"/>
              <w:rPr>
                <w:b/>
                <w:iCs/>
                <w:color w:val="000000" w:themeColor="text1"/>
              </w:rPr>
            </w:pPr>
            <w:r w:rsidRPr="00C56257">
              <w:rPr>
                <w:b/>
                <w:iCs/>
                <w:color w:val="000000" w:themeColor="text1"/>
              </w:rPr>
              <w:t>Parametrul de evaluare a stării de conservare a habitatelor</w:t>
            </w:r>
          </w:p>
        </w:tc>
        <w:tc>
          <w:tcPr>
            <w:tcW w:w="3018" w:type="pct"/>
            <w:shd w:val="clear" w:color="auto" w:fill="92D050"/>
          </w:tcPr>
          <w:p w14:paraId="73B28470" w14:textId="77777777" w:rsidR="002D3CA7" w:rsidRPr="00C56257" w:rsidRDefault="002D3CA7" w:rsidP="008E33FD">
            <w:pPr>
              <w:spacing w:after="160" w:line="259" w:lineRule="auto"/>
              <w:jc w:val="both"/>
              <w:rPr>
                <w:b/>
                <w:iCs/>
                <w:color w:val="000000" w:themeColor="text1"/>
              </w:rPr>
            </w:pPr>
            <w:r w:rsidRPr="00C56257">
              <w:rPr>
                <w:b/>
                <w:iCs/>
                <w:color w:val="000000" w:themeColor="text1"/>
              </w:rPr>
              <w:t>Tipuri de date colectate din suprafețele de monitorizare</w:t>
            </w:r>
          </w:p>
        </w:tc>
      </w:tr>
      <w:tr w:rsidR="00673EFE" w:rsidRPr="00C56257" w14:paraId="62A10CE6" w14:textId="77777777" w:rsidTr="002825C6">
        <w:trPr>
          <w:trHeight w:hRule="exact" w:val="284"/>
        </w:trPr>
        <w:tc>
          <w:tcPr>
            <w:tcW w:w="1982" w:type="pct"/>
            <w:vMerge w:val="restart"/>
          </w:tcPr>
          <w:p w14:paraId="7F837624" w14:textId="77777777" w:rsidR="002D3CA7" w:rsidRPr="00C56257" w:rsidRDefault="002D3CA7" w:rsidP="008E33FD">
            <w:pPr>
              <w:spacing w:after="160" w:line="259" w:lineRule="auto"/>
              <w:jc w:val="both"/>
              <w:rPr>
                <w:iCs/>
                <w:color w:val="000000" w:themeColor="text1"/>
              </w:rPr>
            </w:pPr>
            <w:r w:rsidRPr="00C56257">
              <w:rPr>
                <w:iCs/>
                <w:color w:val="000000" w:themeColor="text1"/>
              </w:rPr>
              <w:t>Specii tipice</w:t>
            </w:r>
          </w:p>
        </w:tc>
        <w:tc>
          <w:tcPr>
            <w:tcW w:w="3018" w:type="pct"/>
            <w:shd w:val="clear" w:color="auto" w:fill="auto"/>
          </w:tcPr>
          <w:p w14:paraId="715846CD" w14:textId="77777777" w:rsidR="002D3CA7" w:rsidRPr="00C56257" w:rsidRDefault="002D3CA7" w:rsidP="008E33FD">
            <w:pPr>
              <w:spacing w:after="160" w:line="259" w:lineRule="auto"/>
              <w:jc w:val="both"/>
              <w:rPr>
                <w:iCs/>
                <w:color w:val="000000" w:themeColor="text1"/>
              </w:rPr>
            </w:pPr>
            <w:r w:rsidRPr="00C56257">
              <w:rPr>
                <w:iCs/>
                <w:color w:val="000000" w:themeColor="text1"/>
              </w:rPr>
              <w:t>asociația vegetală</w:t>
            </w:r>
          </w:p>
        </w:tc>
      </w:tr>
      <w:tr w:rsidR="00673EFE" w:rsidRPr="00C56257" w14:paraId="25DBC91F" w14:textId="77777777" w:rsidTr="002825C6">
        <w:trPr>
          <w:trHeight w:hRule="exact" w:val="284"/>
        </w:trPr>
        <w:tc>
          <w:tcPr>
            <w:tcW w:w="1982" w:type="pct"/>
            <w:vMerge/>
          </w:tcPr>
          <w:p w14:paraId="5778B915" w14:textId="77777777" w:rsidR="002D3CA7" w:rsidRPr="00C56257" w:rsidRDefault="002D3CA7" w:rsidP="008E33FD">
            <w:pPr>
              <w:spacing w:after="160" w:line="259" w:lineRule="auto"/>
              <w:jc w:val="both"/>
              <w:rPr>
                <w:iCs/>
                <w:color w:val="000000" w:themeColor="text1"/>
              </w:rPr>
            </w:pPr>
          </w:p>
        </w:tc>
        <w:tc>
          <w:tcPr>
            <w:tcW w:w="3018" w:type="pct"/>
            <w:shd w:val="clear" w:color="auto" w:fill="auto"/>
          </w:tcPr>
          <w:p w14:paraId="4D613930" w14:textId="77777777" w:rsidR="002D3CA7" w:rsidRPr="00C56257" w:rsidRDefault="002D3CA7" w:rsidP="008E33FD">
            <w:pPr>
              <w:spacing w:after="160" w:line="259" w:lineRule="auto"/>
              <w:jc w:val="both"/>
              <w:rPr>
                <w:iCs/>
                <w:color w:val="000000" w:themeColor="text1"/>
              </w:rPr>
            </w:pPr>
            <w:r w:rsidRPr="00C56257">
              <w:rPr>
                <w:iCs/>
                <w:color w:val="000000" w:themeColor="text1"/>
              </w:rPr>
              <w:t xml:space="preserve">specii edificatoare </w:t>
            </w:r>
          </w:p>
        </w:tc>
      </w:tr>
      <w:tr w:rsidR="00673EFE" w:rsidRPr="00C56257" w14:paraId="15616CFE" w14:textId="77777777" w:rsidTr="002825C6">
        <w:trPr>
          <w:trHeight w:hRule="exact" w:val="284"/>
        </w:trPr>
        <w:tc>
          <w:tcPr>
            <w:tcW w:w="1982" w:type="pct"/>
            <w:vMerge/>
          </w:tcPr>
          <w:p w14:paraId="7BBF6633" w14:textId="77777777" w:rsidR="002D3CA7" w:rsidRPr="00C56257" w:rsidRDefault="002D3CA7" w:rsidP="008E33FD">
            <w:pPr>
              <w:spacing w:after="160" w:line="259" w:lineRule="auto"/>
              <w:jc w:val="both"/>
              <w:rPr>
                <w:iCs/>
                <w:color w:val="000000" w:themeColor="text1"/>
              </w:rPr>
            </w:pPr>
          </w:p>
        </w:tc>
        <w:tc>
          <w:tcPr>
            <w:tcW w:w="3018" w:type="pct"/>
            <w:shd w:val="clear" w:color="auto" w:fill="auto"/>
          </w:tcPr>
          <w:p w14:paraId="78C0BEB7" w14:textId="77777777" w:rsidR="002D3CA7" w:rsidRPr="00C56257" w:rsidRDefault="002D3CA7" w:rsidP="008E33FD">
            <w:pPr>
              <w:spacing w:after="160" w:line="259" w:lineRule="auto"/>
              <w:jc w:val="both"/>
              <w:rPr>
                <w:iCs/>
                <w:color w:val="000000" w:themeColor="text1"/>
              </w:rPr>
            </w:pPr>
            <w:r w:rsidRPr="00C56257">
              <w:rPr>
                <w:iCs/>
                <w:color w:val="000000" w:themeColor="text1"/>
              </w:rPr>
              <w:t>acoperirea cu arbuști</w:t>
            </w:r>
          </w:p>
        </w:tc>
      </w:tr>
      <w:tr w:rsidR="00673EFE" w:rsidRPr="00C56257" w14:paraId="1088CB80" w14:textId="77777777" w:rsidTr="002825C6">
        <w:trPr>
          <w:trHeight w:hRule="exact" w:val="284"/>
        </w:trPr>
        <w:tc>
          <w:tcPr>
            <w:tcW w:w="1982" w:type="pct"/>
            <w:vMerge/>
          </w:tcPr>
          <w:p w14:paraId="559EFF26" w14:textId="77777777" w:rsidR="002D3CA7" w:rsidRPr="00C56257" w:rsidRDefault="002D3CA7" w:rsidP="008E33FD">
            <w:pPr>
              <w:spacing w:after="160" w:line="259" w:lineRule="auto"/>
              <w:jc w:val="both"/>
              <w:rPr>
                <w:iCs/>
                <w:color w:val="000000" w:themeColor="text1"/>
              </w:rPr>
            </w:pPr>
          </w:p>
        </w:tc>
        <w:tc>
          <w:tcPr>
            <w:tcW w:w="3018" w:type="pct"/>
          </w:tcPr>
          <w:p w14:paraId="4FAF3B75" w14:textId="77777777" w:rsidR="002D3CA7" w:rsidRPr="00C56257" w:rsidRDefault="002D3CA7" w:rsidP="008E33FD">
            <w:pPr>
              <w:spacing w:after="160" w:line="259" w:lineRule="auto"/>
              <w:jc w:val="both"/>
              <w:rPr>
                <w:iCs/>
                <w:color w:val="000000" w:themeColor="text1"/>
              </w:rPr>
            </w:pPr>
            <w:r w:rsidRPr="00C56257">
              <w:rPr>
                <w:iCs/>
                <w:color w:val="000000" w:themeColor="text1"/>
              </w:rPr>
              <w:t>acoperirea cu vegetație ierboasă</w:t>
            </w:r>
          </w:p>
        </w:tc>
      </w:tr>
      <w:tr w:rsidR="00673EFE" w:rsidRPr="00C56257" w14:paraId="36ADA294" w14:textId="77777777" w:rsidTr="002825C6">
        <w:trPr>
          <w:trHeight w:hRule="exact" w:val="284"/>
        </w:trPr>
        <w:tc>
          <w:tcPr>
            <w:tcW w:w="1982" w:type="pct"/>
            <w:vMerge w:val="restart"/>
          </w:tcPr>
          <w:p w14:paraId="6AF3B8BA" w14:textId="77777777" w:rsidR="002D3CA7" w:rsidRPr="00C56257" w:rsidRDefault="002D3CA7" w:rsidP="008E33FD">
            <w:pPr>
              <w:spacing w:after="160" w:line="259" w:lineRule="auto"/>
              <w:jc w:val="both"/>
              <w:rPr>
                <w:iCs/>
                <w:color w:val="000000" w:themeColor="text1"/>
              </w:rPr>
            </w:pPr>
            <w:r w:rsidRPr="00C56257">
              <w:rPr>
                <w:iCs/>
                <w:color w:val="000000" w:themeColor="text1"/>
              </w:rPr>
              <w:t>Presiuni și amenințări</w:t>
            </w:r>
          </w:p>
        </w:tc>
        <w:tc>
          <w:tcPr>
            <w:tcW w:w="3018" w:type="pct"/>
          </w:tcPr>
          <w:p w14:paraId="23029F7F" w14:textId="77777777" w:rsidR="002D3CA7" w:rsidRPr="00C56257" w:rsidRDefault="002D3CA7" w:rsidP="008E33FD">
            <w:pPr>
              <w:spacing w:after="160" w:line="259" w:lineRule="auto"/>
              <w:jc w:val="both"/>
              <w:rPr>
                <w:iCs/>
                <w:color w:val="000000" w:themeColor="text1"/>
              </w:rPr>
            </w:pPr>
            <w:r w:rsidRPr="00C56257">
              <w:rPr>
                <w:iCs/>
                <w:color w:val="000000" w:themeColor="text1"/>
              </w:rPr>
              <w:t>vătămări produse de factorii abiotici și biotici</w:t>
            </w:r>
          </w:p>
        </w:tc>
      </w:tr>
      <w:tr w:rsidR="00673EFE" w:rsidRPr="00C56257" w14:paraId="58F8BDFE" w14:textId="77777777" w:rsidTr="002825C6">
        <w:trPr>
          <w:trHeight w:hRule="exact" w:val="284"/>
        </w:trPr>
        <w:tc>
          <w:tcPr>
            <w:tcW w:w="1982" w:type="pct"/>
            <w:vMerge/>
          </w:tcPr>
          <w:p w14:paraId="3E42E0A2" w14:textId="77777777" w:rsidR="002D3CA7" w:rsidRPr="00C56257" w:rsidRDefault="002D3CA7" w:rsidP="008E33FD">
            <w:pPr>
              <w:spacing w:after="160" w:line="259" w:lineRule="auto"/>
              <w:jc w:val="both"/>
              <w:rPr>
                <w:iCs/>
                <w:color w:val="000000" w:themeColor="text1"/>
              </w:rPr>
            </w:pPr>
          </w:p>
        </w:tc>
        <w:tc>
          <w:tcPr>
            <w:tcW w:w="3018" w:type="pct"/>
          </w:tcPr>
          <w:p w14:paraId="26B06AAA" w14:textId="77777777" w:rsidR="002D3CA7" w:rsidRPr="00C56257" w:rsidRDefault="002D3CA7" w:rsidP="008E33FD">
            <w:pPr>
              <w:spacing w:after="160" w:line="259" w:lineRule="auto"/>
              <w:jc w:val="both"/>
              <w:rPr>
                <w:iCs/>
                <w:color w:val="000000" w:themeColor="text1"/>
              </w:rPr>
            </w:pPr>
            <w:r w:rsidRPr="00C56257">
              <w:rPr>
                <w:iCs/>
                <w:color w:val="000000" w:themeColor="text1"/>
              </w:rPr>
              <w:t>tip de presiuni</w:t>
            </w:r>
          </w:p>
        </w:tc>
      </w:tr>
      <w:tr w:rsidR="00673EFE" w:rsidRPr="00C56257" w14:paraId="241D3FB8" w14:textId="77777777" w:rsidTr="002825C6">
        <w:trPr>
          <w:trHeight w:hRule="exact" w:val="284"/>
        </w:trPr>
        <w:tc>
          <w:tcPr>
            <w:tcW w:w="1982" w:type="pct"/>
            <w:vMerge/>
          </w:tcPr>
          <w:p w14:paraId="599DA8FE" w14:textId="77777777" w:rsidR="002D3CA7" w:rsidRPr="00C56257" w:rsidRDefault="002D3CA7" w:rsidP="008E33FD">
            <w:pPr>
              <w:spacing w:after="160" w:line="259" w:lineRule="auto"/>
              <w:jc w:val="both"/>
              <w:rPr>
                <w:iCs/>
                <w:color w:val="000000" w:themeColor="text1"/>
              </w:rPr>
            </w:pPr>
          </w:p>
        </w:tc>
        <w:tc>
          <w:tcPr>
            <w:tcW w:w="3018" w:type="pct"/>
          </w:tcPr>
          <w:p w14:paraId="1068EB72" w14:textId="77777777" w:rsidR="002D3CA7" w:rsidRPr="00C56257" w:rsidRDefault="002D3CA7" w:rsidP="008E33FD">
            <w:pPr>
              <w:spacing w:after="160" w:line="259" w:lineRule="auto"/>
              <w:jc w:val="both"/>
              <w:rPr>
                <w:iCs/>
                <w:color w:val="000000" w:themeColor="text1"/>
              </w:rPr>
            </w:pPr>
            <w:r w:rsidRPr="00C56257">
              <w:rPr>
                <w:iCs/>
                <w:color w:val="000000" w:themeColor="text1"/>
              </w:rPr>
              <w:t>intensitatea presiunii</w:t>
            </w:r>
          </w:p>
        </w:tc>
      </w:tr>
      <w:tr w:rsidR="00673EFE" w:rsidRPr="00C56257" w14:paraId="7BA0C388" w14:textId="77777777" w:rsidTr="002825C6">
        <w:trPr>
          <w:trHeight w:hRule="exact" w:val="284"/>
        </w:trPr>
        <w:tc>
          <w:tcPr>
            <w:tcW w:w="1982" w:type="pct"/>
            <w:vMerge/>
          </w:tcPr>
          <w:p w14:paraId="11223E61" w14:textId="77777777" w:rsidR="002D3CA7" w:rsidRPr="00C56257" w:rsidRDefault="002D3CA7" w:rsidP="008E33FD">
            <w:pPr>
              <w:spacing w:after="160" w:line="259" w:lineRule="auto"/>
              <w:jc w:val="both"/>
              <w:rPr>
                <w:iCs/>
                <w:color w:val="000000" w:themeColor="text1"/>
              </w:rPr>
            </w:pPr>
          </w:p>
        </w:tc>
        <w:tc>
          <w:tcPr>
            <w:tcW w:w="3018" w:type="pct"/>
          </w:tcPr>
          <w:p w14:paraId="69BFBC1E" w14:textId="77777777" w:rsidR="002D3CA7" w:rsidRPr="00C56257" w:rsidRDefault="002D3CA7" w:rsidP="008E33FD">
            <w:pPr>
              <w:spacing w:after="160" w:line="259" w:lineRule="auto"/>
              <w:jc w:val="both"/>
              <w:rPr>
                <w:iCs/>
                <w:color w:val="000000" w:themeColor="text1"/>
              </w:rPr>
            </w:pPr>
            <w:r w:rsidRPr="00C56257">
              <w:rPr>
                <w:iCs/>
                <w:color w:val="000000" w:themeColor="text1"/>
              </w:rPr>
              <w:t>durata de manifestare a presiunii</w:t>
            </w:r>
          </w:p>
        </w:tc>
      </w:tr>
      <w:tr w:rsidR="00673EFE" w:rsidRPr="00C56257" w14:paraId="3052BE80" w14:textId="77777777" w:rsidTr="002825C6">
        <w:trPr>
          <w:trHeight w:hRule="exact" w:val="284"/>
        </w:trPr>
        <w:tc>
          <w:tcPr>
            <w:tcW w:w="1982" w:type="pct"/>
            <w:vMerge/>
          </w:tcPr>
          <w:p w14:paraId="617A232D" w14:textId="77777777" w:rsidR="002D3CA7" w:rsidRPr="00C56257" w:rsidRDefault="002D3CA7" w:rsidP="008E33FD">
            <w:pPr>
              <w:spacing w:after="160" w:line="259" w:lineRule="auto"/>
              <w:jc w:val="both"/>
              <w:rPr>
                <w:iCs/>
                <w:color w:val="000000" w:themeColor="text1"/>
              </w:rPr>
            </w:pPr>
          </w:p>
        </w:tc>
        <w:tc>
          <w:tcPr>
            <w:tcW w:w="3018" w:type="pct"/>
          </w:tcPr>
          <w:p w14:paraId="25A46F68" w14:textId="77777777" w:rsidR="002D3CA7" w:rsidRPr="00C56257" w:rsidRDefault="002D3CA7" w:rsidP="008E33FD">
            <w:pPr>
              <w:spacing w:after="160" w:line="259" w:lineRule="auto"/>
              <w:jc w:val="both"/>
              <w:rPr>
                <w:iCs/>
                <w:color w:val="000000" w:themeColor="text1"/>
              </w:rPr>
            </w:pPr>
            <w:r w:rsidRPr="00C56257">
              <w:rPr>
                <w:iCs/>
                <w:color w:val="000000" w:themeColor="text1"/>
              </w:rPr>
              <w:t>amenințări potențiale</w:t>
            </w:r>
          </w:p>
        </w:tc>
      </w:tr>
      <w:tr w:rsidR="00673EFE" w:rsidRPr="00C56257" w14:paraId="177F05B5" w14:textId="77777777" w:rsidTr="002825C6">
        <w:trPr>
          <w:trHeight w:hRule="exact" w:val="284"/>
        </w:trPr>
        <w:tc>
          <w:tcPr>
            <w:tcW w:w="1982" w:type="pct"/>
            <w:vMerge/>
          </w:tcPr>
          <w:p w14:paraId="7163068B" w14:textId="77777777" w:rsidR="002D3CA7" w:rsidRPr="00C56257" w:rsidRDefault="002D3CA7" w:rsidP="008E33FD">
            <w:pPr>
              <w:spacing w:after="160" w:line="259" w:lineRule="auto"/>
              <w:jc w:val="both"/>
              <w:rPr>
                <w:iCs/>
                <w:color w:val="000000" w:themeColor="text1"/>
              </w:rPr>
            </w:pPr>
          </w:p>
        </w:tc>
        <w:tc>
          <w:tcPr>
            <w:tcW w:w="3018" w:type="pct"/>
          </w:tcPr>
          <w:p w14:paraId="7EFEFEB9" w14:textId="77777777" w:rsidR="002D3CA7" w:rsidRPr="00C56257" w:rsidRDefault="002D3CA7" w:rsidP="008E33FD">
            <w:pPr>
              <w:spacing w:after="160" w:line="259" w:lineRule="auto"/>
              <w:jc w:val="both"/>
              <w:rPr>
                <w:iCs/>
                <w:color w:val="000000" w:themeColor="text1"/>
              </w:rPr>
            </w:pPr>
            <w:r w:rsidRPr="00C56257">
              <w:rPr>
                <w:iCs/>
                <w:color w:val="000000" w:themeColor="text1"/>
              </w:rPr>
              <w:t>hazarde/riscuri</w:t>
            </w:r>
          </w:p>
        </w:tc>
      </w:tr>
      <w:tr w:rsidR="00673EFE" w:rsidRPr="00C56257" w14:paraId="760DFBB9" w14:textId="77777777" w:rsidTr="002825C6">
        <w:trPr>
          <w:trHeight w:hRule="exact" w:val="284"/>
        </w:trPr>
        <w:tc>
          <w:tcPr>
            <w:tcW w:w="1982" w:type="pct"/>
            <w:vMerge/>
          </w:tcPr>
          <w:p w14:paraId="7F0AA606" w14:textId="77777777" w:rsidR="002D3CA7" w:rsidRPr="00C56257" w:rsidRDefault="002D3CA7" w:rsidP="008E33FD">
            <w:pPr>
              <w:spacing w:after="160" w:line="259" w:lineRule="auto"/>
              <w:jc w:val="both"/>
              <w:rPr>
                <w:iCs/>
                <w:color w:val="000000" w:themeColor="text1"/>
              </w:rPr>
            </w:pPr>
          </w:p>
        </w:tc>
        <w:tc>
          <w:tcPr>
            <w:tcW w:w="3018" w:type="pct"/>
          </w:tcPr>
          <w:p w14:paraId="56903A00" w14:textId="77777777" w:rsidR="002D3CA7" w:rsidRPr="00C56257" w:rsidRDefault="002D3CA7" w:rsidP="008E33FD">
            <w:pPr>
              <w:spacing w:after="160" w:line="259" w:lineRule="auto"/>
              <w:jc w:val="both"/>
              <w:rPr>
                <w:iCs/>
                <w:color w:val="000000" w:themeColor="text1"/>
              </w:rPr>
            </w:pPr>
            <w:r w:rsidRPr="00C56257">
              <w:rPr>
                <w:iCs/>
                <w:color w:val="000000" w:themeColor="text1"/>
              </w:rPr>
              <w:t>viabilitatea habitatului pe termen lung</w:t>
            </w:r>
          </w:p>
        </w:tc>
      </w:tr>
    </w:tbl>
    <w:p w14:paraId="117ECD5D" w14:textId="77777777" w:rsidR="002D3CA7" w:rsidRPr="00C56257" w:rsidRDefault="002D3CA7" w:rsidP="008E33FD">
      <w:pPr>
        <w:jc w:val="both"/>
        <w:rPr>
          <w:color w:val="000000" w:themeColor="text1"/>
        </w:rPr>
      </w:pPr>
    </w:p>
    <w:p w14:paraId="489924A7" w14:textId="77777777" w:rsidR="002D3CA7" w:rsidRPr="00C56257" w:rsidRDefault="002D3CA7" w:rsidP="008E33FD">
      <w:pPr>
        <w:spacing w:line="276" w:lineRule="auto"/>
        <w:ind w:firstLine="709"/>
        <w:jc w:val="both"/>
        <w:rPr>
          <w:iCs/>
          <w:color w:val="000000" w:themeColor="text1"/>
        </w:rPr>
      </w:pPr>
      <w:r w:rsidRPr="00C56257">
        <w:rPr>
          <w:iCs/>
          <w:color w:val="000000" w:themeColor="text1"/>
        </w:rPr>
        <w:t>Pentru evaluarea parametrilor utilizați în caracterizarea stării de conservare pot fi luate în considerare și alte tipuri de date în afara celor prezentate.</w:t>
      </w:r>
    </w:p>
    <w:p w14:paraId="361FF987" w14:textId="77777777" w:rsidR="002D3CA7" w:rsidRPr="00C56257" w:rsidRDefault="002D3CA7" w:rsidP="008E33FD">
      <w:pPr>
        <w:spacing w:line="276" w:lineRule="auto"/>
        <w:ind w:firstLine="709"/>
        <w:jc w:val="both"/>
        <w:rPr>
          <w:iCs/>
          <w:color w:val="000000" w:themeColor="text1"/>
        </w:rPr>
      </w:pPr>
      <w:r w:rsidRPr="00C56257">
        <w:rPr>
          <w:iCs/>
          <w:color w:val="000000" w:themeColor="text1"/>
        </w:rPr>
        <w:t>Cu prilejul colectării datelor din teren, fiecărui tip de date colectate i se acordă o valoare în conformitate cu instrucțiunile de colectare/teren, în principal sunt valori predefinite pentru a se putea realiza integrarea datelor colectate. In general se utilizează clase/intervale pentru datele cantitative sau categorii de  valori pentru datele calitative. În baza de date, aceste valori sunt convertite în categorii: A, B, C, X = exprimă starea parametrului în fiecare suprafaţă de probă (A = excelentă; B = bună; C = medie sau redusă; X = necunoscută);</w:t>
      </w:r>
    </w:p>
    <w:p w14:paraId="03B4883D" w14:textId="77777777" w:rsidR="002D3CA7" w:rsidRPr="00C56257" w:rsidRDefault="00DD3620" w:rsidP="008E33FD">
      <w:pPr>
        <w:pStyle w:val="Heading3"/>
        <w:widowControl/>
        <w:autoSpaceDE/>
        <w:autoSpaceDN/>
        <w:adjustRightInd/>
        <w:spacing w:before="160" w:after="120" w:line="259" w:lineRule="auto"/>
        <w:contextualSpacing/>
        <w:jc w:val="both"/>
        <w:rPr>
          <w:rFonts w:ascii="Times New Roman" w:hAnsi="Times New Roman" w:cs="Times New Roman"/>
          <w:color w:val="000000" w:themeColor="text1"/>
          <w:lang w:val="ro-RO"/>
        </w:rPr>
      </w:pPr>
      <w:r>
        <w:rPr>
          <w:rFonts w:ascii="Times New Roman" w:hAnsi="Times New Roman" w:cs="Times New Roman"/>
          <w:color w:val="000000" w:themeColor="text1"/>
          <w:lang w:val="ro-RO"/>
        </w:rPr>
        <w:t>5.2.</w:t>
      </w:r>
      <w:r w:rsidR="002D3CA7" w:rsidRPr="00C56257">
        <w:rPr>
          <w:rFonts w:ascii="Times New Roman" w:hAnsi="Times New Roman" w:cs="Times New Roman"/>
          <w:color w:val="000000" w:themeColor="text1"/>
          <w:lang w:val="ro-RO"/>
        </w:rPr>
        <w:t>4.Eșantionarea habitatelor în vederea inventarierii acestora</w:t>
      </w:r>
    </w:p>
    <w:p w14:paraId="3FDB379E" w14:textId="77777777" w:rsidR="002D3CA7" w:rsidRPr="00C56257" w:rsidRDefault="002D3CA7" w:rsidP="008E33FD">
      <w:pPr>
        <w:widowControl w:val="0"/>
        <w:autoSpaceDE w:val="0"/>
        <w:autoSpaceDN w:val="0"/>
        <w:adjustRightInd w:val="0"/>
        <w:spacing w:line="276" w:lineRule="auto"/>
        <w:ind w:firstLine="720"/>
        <w:jc w:val="both"/>
        <w:rPr>
          <w:color w:val="000000" w:themeColor="text1"/>
        </w:rPr>
      </w:pPr>
      <w:r w:rsidRPr="00C56257">
        <w:rPr>
          <w:color w:val="000000" w:themeColor="text1"/>
        </w:rPr>
        <w:t xml:space="preserve">Colectarea datelor din teren pentru evaluarea parametrilor descriptivi ai calității habitatelor de tufărișuri de interes comunitar presupune două etape de lucru: </w:t>
      </w:r>
    </w:p>
    <w:p w14:paraId="57F18FB9" w14:textId="77777777" w:rsidR="002D3CA7" w:rsidRPr="00C56257" w:rsidRDefault="002D3CA7" w:rsidP="009E63E5">
      <w:pPr>
        <w:widowControl w:val="0"/>
        <w:numPr>
          <w:ilvl w:val="0"/>
          <w:numId w:val="149"/>
        </w:numPr>
        <w:autoSpaceDE w:val="0"/>
        <w:autoSpaceDN w:val="0"/>
        <w:adjustRightInd w:val="0"/>
        <w:spacing w:line="276" w:lineRule="auto"/>
        <w:ind w:left="284" w:hanging="284"/>
        <w:jc w:val="both"/>
        <w:rPr>
          <w:color w:val="000000" w:themeColor="text1"/>
        </w:rPr>
      </w:pPr>
      <w:r w:rsidRPr="00C56257">
        <w:rPr>
          <w:color w:val="000000" w:themeColor="text1"/>
        </w:rPr>
        <w:t xml:space="preserve">etapa 1 - fotointerpretarea pe ortofotoplanurile digitale; </w:t>
      </w:r>
    </w:p>
    <w:p w14:paraId="6923988D" w14:textId="77777777" w:rsidR="002D3CA7" w:rsidRPr="00C56257" w:rsidRDefault="002D3CA7" w:rsidP="009E63E5">
      <w:pPr>
        <w:widowControl w:val="0"/>
        <w:numPr>
          <w:ilvl w:val="0"/>
          <w:numId w:val="149"/>
        </w:numPr>
        <w:autoSpaceDE w:val="0"/>
        <w:autoSpaceDN w:val="0"/>
        <w:adjustRightInd w:val="0"/>
        <w:spacing w:line="276" w:lineRule="auto"/>
        <w:ind w:left="284" w:hanging="284"/>
        <w:jc w:val="both"/>
        <w:rPr>
          <w:color w:val="000000" w:themeColor="text1"/>
        </w:rPr>
      </w:pPr>
      <w:r w:rsidRPr="00C56257">
        <w:rPr>
          <w:color w:val="000000" w:themeColor="text1"/>
        </w:rPr>
        <w:t>etapa 2 - măsurători de teren în suprafeţele de probă fotointerpretate ca fiind localizate în terenuri cu tufărișuri de interes comunitar.</w:t>
      </w:r>
    </w:p>
    <w:p w14:paraId="15A04C17" w14:textId="77777777" w:rsidR="004145D1" w:rsidRPr="00C56257" w:rsidRDefault="004145D1" w:rsidP="008E33FD">
      <w:pPr>
        <w:spacing w:line="259" w:lineRule="auto"/>
        <w:contextualSpacing/>
        <w:jc w:val="both"/>
        <w:rPr>
          <w:rFonts w:eastAsia="Calibri"/>
          <w:b/>
          <w:i/>
          <w:color w:val="000000" w:themeColor="text1"/>
        </w:rPr>
      </w:pPr>
    </w:p>
    <w:p w14:paraId="4193D34A" w14:textId="77777777" w:rsidR="002D3CA7" w:rsidRPr="00C56257" w:rsidRDefault="002D3CA7" w:rsidP="008E33FD">
      <w:pPr>
        <w:spacing w:line="259" w:lineRule="auto"/>
        <w:contextualSpacing/>
        <w:jc w:val="both"/>
        <w:rPr>
          <w:rFonts w:eastAsia="Calibri"/>
          <w:b/>
          <w:i/>
          <w:color w:val="000000" w:themeColor="text1"/>
        </w:rPr>
      </w:pPr>
      <w:r w:rsidRPr="00C56257">
        <w:rPr>
          <w:rFonts w:eastAsia="Calibri"/>
          <w:b/>
          <w:i/>
          <w:color w:val="000000" w:themeColor="text1"/>
        </w:rPr>
        <w:t>Habitatele 4030, 40A0*, 40C0*</w:t>
      </w:r>
    </w:p>
    <w:p w14:paraId="5F1D9BEB" w14:textId="77777777" w:rsidR="002D3CA7" w:rsidRPr="00C56257" w:rsidRDefault="002D3CA7" w:rsidP="008E33FD">
      <w:pPr>
        <w:spacing w:line="276" w:lineRule="auto"/>
        <w:ind w:firstLine="709"/>
        <w:contextualSpacing/>
        <w:jc w:val="both"/>
        <w:rPr>
          <w:rFonts w:eastAsia="Calibri"/>
          <w:color w:val="000000" w:themeColor="text1"/>
        </w:rPr>
      </w:pPr>
      <w:r w:rsidRPr="00C56257">
        <w:rPr>
          <w:rFonts w:eastAsia="Calibri"/>
          <w:color w:val="000000" w:themeColor="text1"/>
        </w:rPr>
        <w:t>Habitatele 4030, 40A0*, 40C0* au o distribuţie punctiformă, pe suprafeţe foarte mici, izolate, fiind localizate fie pe terenuri abandonate, liziere de pădure sau instalate secundar în locul pădurilor, pe diverse categorii de terenuri cu potenţial staţional redus, pe versanţi abrupţi, expuşi la uscăciune, cu răspândire largă, în diferite zone din ţară. Altitudinal, se  extind începând cu regiunea de câmpie, continuând cu regiunea colinară şi de podiş, până în regiunea montană - etajul nemoral al pădurilor de foioase.</w:t>
      </w:r>
    </w:p>
    <w:p w14:paraId="0DF35EA4" w14:textId="77777777" w:rsidR="002D3CA7" w:rsidRPr="00C56257" w:rsidRDefault="002D3CA7" w:rsidP="008E33FD">
      <w:pPr>
        <w:spacing w:line="276" w:lineRule="auto"/>
        <w:ind w:firstLine="709"/>
        <w:contextualSpacing/>
        <w:jc w:val="both"/>
        <w:rPr>
          <w:rFonts w:eastAsia="Calibri"/>
          <w:color w:val="000000" w:themeColor="text1"/>
        </w:rPr>
      </w:pPr>
      <w:r w:rsidRPr="00C56257">
        <w:rPr>
          <w:rFonts w:eastAsia="Calibri"/>
          <w:color w:val="000000" w:themeColor="text1"/>
        </w:rPr>
        <w:t>Suprafeţele de probă se vor proiecta astfel încât să acopere principalele zone de distribuţie ale habitatului şi să asigure reprezentativitatea necesară. Acestea se vor instala aleatoriu, în interiorul limitelor habitatului, în partea cu vegetaţie omogenă, pentru a se evita efectul de margine, în principalele centre de distribuţie ale fiecărui habitat, astfel încât să acopere cât mai bine distribuţia şi variabilitatea spaţială a acestuia.</w:t>
      </w:r>
    </w:p>
    <w:p w14:paraId="4C826C01" w14:textId="77777777" w:rsidR="002D3CA7" w:rsidRPr="00C56257" w:rsidRDefault="002D3CA7" w:rsidP="008E33FD">
      <w:pPr>
        <w:spacing w:line="276" w:lineRule="auto"/>
        <w:ind w:firstLine="709"/>
        <w:contextualSpacing/>
        <w:jc w:val="both"/>
        <w:rPr>
          <w:rFonts w:eastAsia="Calibri"/>
          <w:color w:val="000000" w:themeColor="text1"/>
        </w:rPr>
      </w:pPr>
      <w:r w:rsidRPr="00C56257">
        <w:rPr>
          <w:rFonts w:eastAsia="Calibri"/>
          <w:color w:val="000000" w:themeColor="text1"/>
        </w:rPr>
        <w:t>În cazul habitatului 4030 se vor instala cel puţin 15 suprafeţe de monitorizare, cel puţin câte una în fiecare masiv muntos/centru de distribuţie în care se va confirma existenţa habitatului.</w:t>
      </w:r>
    </w:p>
    <w:p w14:paraId="42764592" w14:textId="77777777" w:rsidR="002D3CA7" w:rsidRPr="00C56257" w:rsidRDefault="002D3CA7" w:rsidP="008E33FD">
      <w:pPr>
        <w:spacing w:line="276" w:lineRule="auto"/>
        <w:ind w:firstLine="709"/>
        <w:contextualSpacing/>
        <w:jc w:val="both"/>
        <w:rPr>
          <w:rFonts w:eastAsia="Calibri"/>
          <w:color w:val="000000" w:themeColor="text1"/>
        </w:rPr>
      </w:pPr>
      <w:r w:rsidRPr="00C56257">
        <w:rPr>
          <w:rFonts w:eastAsia="Calibri"/>
          <w:color w:val="000000" w:themeColor="text1"/>
        </w:rPr>
        <w:t>În cazul habitatelor 40A0*, 40C0* se vor instala cca. 20-40 suprafeţe de monitorizare, astfel încât să acopere principalele centre de distribuţie ale fiecărei habitat.</w:t>
      </w:r>
    </w:p>
    <w:p w14:paraId="4E57B865" w14:textId="77777777" w:rsidR="002D3CA7" w:rsidRPr="00C56257" w:rsidRDefault="002D3CA7" w:rsidP="008E33FD">
      <w:pPr>
        <w:spacing w:line="276" w:lineRule="auto"/>
        <w:ind w:firstLine="709"/>
        <w:contextualSpacing/>
        <w:jc w:val="both"/>
        <w:rPr>
          <w:rFonts w:eastAsia="Calibri"/>
          <w:color w:val="000000" w:themeColor="text1"/>
        </w:rPr>
      </w:pPr>
      <w:r w:rsidRPr="00C56257">
        <w:rPr>
          <w:rFonts w:eastAsia="Calibri"/>
          <w:color w:val="000000" w:themeColor="text1"/>
        </w:rPr>
        <w:t>Se recomandă adoptarea unor suprafeţe de probă de minim 200m</w:t>
      </w:r>
      <w:r w:rsidRPr="00C56257">
        <w:rPr>
          <w:rFonts w:eastAsia="Calibri"/>
          <w:color w:val="000000" w:themeColor="text1"/>
          <w:vertAlign w:val="superscript"/>
        </w:rPr>
        <w:t>2</w:t>
      </w:r>
      <w:r w:rsidRPr="00C56257">
        <w:rPr>
          <w:rFonts w:eastAsia="Calibri"/>
          <w:color w:val="000000" w:themeColor="text1"/>
        </w:rPr>
        <w:t>, (200-500m</w:t>
      </w:r>
      <w:r w:rsidRPr="00C56257">
        <w:rPr>
          <w:rFonts w:eastAsia="Calibri"/>
          <w:color w:val="000000" w:themeColor="text1"/>
          <w:vertAlign w:val="superscript"/>
        </w:rPr>
        <w:t>2</w:t>
      </w:r>
      <w:r w:rsidRPr="00C56257">
        <w:rPr>
          <w:rFonts w:eastAsia="Calibri"/>
          <w:color w:val="000000" w:themeColor="text1"/>
        </w:rPr>
        <w:t>, în mod excepţional se acceptă 100m</w:t>
      </w:r>
      <w:r w:rsidRPr="00C56257">
        <w:rPr>
          <w:rFonts w:eastAsia="Calibri"/>
          <w:color w:val="000000" w:themeColor="text1"/>
          <w:vertAlign w:val="superscript"/>
        </w:rPr>
        <w:t>2</w:t>
      </w:r>
      <w:r w:rsidRPr="00C56257">
        <w:rPr>
          <w:rFonts w:eastAsia="Calibri"/>
          <w:color w:val="000000" w:themeColor="text1"/>
        </w:rPr>
        <w:t>), astfel încât să fie asigurată aria minimă de inventariere, care cuprinde majoritatea speciilor care intră în compoziţia fitocenozelor habitatului.</w:t>
      </w:r>
    </w:p>
    <w:p w14:paraId="1649EA0A" w14:textId="77777777" w:rsidR="002D3CA7" w:rsidRPr="00C56257" w:rsidRDefault="002D3CA7" w:rsidP="008E33FD">
      <w:pPr>
        <w:spacing w:line="276" w:lineRule="auto"/>
        <w:ind w:firstLine="709"/>
        <w:contextualSpacing/>
        <w:jc w:val="both"/>
        <w:rPr>
          <w:rFonts w:eastAsia="Calibri"/>
          <w:color w:val="000000" w:themeColor="text1"/>
        </w:rPr>
      </w:pPr>
      <w:r w:rsidRPr="00C56257">
        <w:rPr>
          <w:rFonts w:eastAsia="Calibri"/>
          <w:color w:val="000000" w:themeColor="text1"/>
        </w:rPr>
        <w:lastRenderedPageBreak/>
        <w:t>În ceea ce priveşte forma releveului, aceasta se adaptează în funcţie de configuraţia suprafeţei deţinute de habitat şi care să permită inventarierea majorităţii speciilor componente. Se recomandă forma circulară, dar se pot instala şi relevee de formă dreptunghiulară, orientate pe direcţia gradientului ecologic dominant (altitudinea, bonitatea staţională, etc.). Centrul (sau colţul din partea de sud-vest) fiecărei suprafeţe de probă este definit prin coordonate geografice (latitudine şi longitudine). Centrele suprafeţelor de probă sunt identificate pe teren cu ajutorul dispozitivelor GPS şi pot fi marcate cu o tijă metalică, pentru a putea fi identificate cu precizie la următoarea măsurătoare cu ajutorul detectoarelor de metale.</w:t>
      </w:r>
    </w:p>
    <w:p w14:paraId="2CA431F7" w14:textId="77777777" w:rsidR="002D3CA7" w:rsidRPr="00C56257" w:rsidRDefault="002D3CA7" w:rsidP="008E33FD">
      <w:pPr>
        <w:spacing w:line="276" w:lineRule="auto"/>
        <w:ind w:firstLine="709"/>
        <w:contextualSpacing/>
        <w:jc w:val="both"/>
        <w:rPr>
          <w:rFonts w:eastAsia="Calibri"/>
          <w:color w:val="000000" w:themeColor="text1"/>
        </w:rPr>
      </w:pPr>
      <w:r w:rsidRPr="00C56257">
        <w:rPr>
          <w:rFonts w:eastAsia="Calibri"/>
          <w:color w:val="000000" w:themeColor="text1"/>
        </w:rPr>
        <w:t>Frecvenţa monitorizării este 6 ani. Doar în cazuri excepţionale, în care integritatea habitatului este afectată de factori disturbatori biotici sau abiotici (incendii, vătămări produse de agenţi patogeni sau insecte, uscări, etc.), se recomandă investigaţii cu o frecvenţă anuală pentru a detecta cauzele, amploarea fenomenului şi a recomanda măsurile de management adecvate. Activitatea de culegere a datelor se va efectua în perioada sezonului de vegetaţie, preferabil în perioada iunie – august, după topirea completă a stratului de zăpadă în etajul montan, în momentul de maximă afirmare a aspectului estival al fitocenozelor caracteristice tipului de habitat.</w:t>
      </w:r>
    </w:p>
    <w:p w14:paraId="321D8A47" w14:textId="77777777" w:rsidR="002D3CA7" w:rsidRPr="00C56257" w:rsidRDefault="002D3CA7" w:rsidP="008E33FD">
      <w:pPr>
        <w:spacing w:line="276" w:lineRule="auto"/>
        <w:ind w:firstLine="709"/>
        <w:contextualSpacing/>
        <w:jc w:val="both"/>
        <w:rPr>
          <w:rFonts w:eastAsia="Calibri"/>
          <w:color w:val="000000" w:themeColor="text1"/>
        </w:rPr>
      </w:pPr>
      <w:r w:rsidRPr="00C56257">
        <w:rPr>
          <w:rFonts w:eastAsia="Calibri"/>
          <w:color w:val="000000" w:themeColor="text1"/>
        </w:rPr>
        <w:t>Pentru asigurarea calităţii datelor de teren, acestea sunt verificate şi validate înainte de stocarea şi prelucrarea lor. O primă etapă de verificare şi validare a datelor de teren este realizată prin programul informatic de introducere a acestora, prin sistemul de restricţii la introducerea datelor de teren şi interconectări între diverse teme şi niveluri ale bazei de date. A doua etapă de verificare şi validare a datelor de teren culese se realizează de către personalul cu sarcini speciale de verificare, care returnează echipelor de teren toate înregistrările neconforme, cu solicitarea de explicaţii sau de corectare a acestora.</w:t>
      </w:r>
    </w:p>
    <w:p w14:paraId="324E8C74" w14:textId="77777777" w:rsidR="004145D1" w:rsidRPr="00C56257" w:rsidRDefault="004145D1" w:rsidP="008E33FD">
      <w:pPr>
        <w:spacing w:before="79" w:line="259" w:lineRule="auto"/>
        <w:ind w:right="-46"/>
        <w:contextualSpacing/>
        <w:jc w:val="both"/>
        <w:rPr>
          <w:b/>
          <w:i/>
          <w:color w:val="000000" w:themeColor="text1"/>
        </w:rPr>
      </w:pPr>
    </w:p>
    <w:p w14:paraId="0A6EFCA2" w14:textId="77777777" w:rsidR="002D3CA7" w:rsidRPr="00C56257" w:rsidRDefault="002D3CA7" w:rsidP="008E33FD">
      <w:pPr>
        <w:spacing w:before="79" w:line="259" w:lineRule="auto"/>
        <w:ind w:right="-46"/>
        <w:contextualSpacing/>
        <w:jc w:val="both"/>
        <w:rPr>
          <w:rFonts w:eastAsia="Calibri"/>
          <w:i/>
          <w:color w:val="000000" w:themeColor="text1"/>
        </w:rPr>
      </w:pPr>
      <w:r w:rsidRPr="00C56257">
        <w:rPr>
          <w:b/>
          <w:i/>
          <w:color w:val="000000" w:themeColor="text1"/>
        </w:rPr>
        <w:t>Habitat</w:t>
      </w:r>
      <w:r w:rsidRPr="00C56257">
        <w:rPr>
          <w:b/>
          <w:i/>
          <w:color w:val="000000" w:themeColor="text1"/>
          <w:spacing w:val="-2"/>
        </w:rPr>
        <w:t>u</w:t>
      </w:r>
      <w:r w:rsidRPr="00C56257">
        <w:rPr>
          <w:b/>
          <w:i/>
          <w:color w:val="000000" w:themeColor="text1"/>
        </w:rPr>
        <w:t>l 4080</w:t>
      </w:r>
    </w:p>
    <w:p w14:paraId="5EDE990F" w14:textId="77777777" w:rsidR="002D3CA7" w:rsidRPr="00C56257" w:rsidRDefault="002D3CA7" w:rsidP="008E33FD">
      <w:pPr>
        <w:spacing w:line="276" w:lineRule="auto"/>
        <w:ind w:firstLine="709"/>
        <w:contextualSpacing/>
        <w:jc w:val="both"/>
        <w:rPr>
          <w:rFonts w:eastAsia="Calibri"/>
          <w:color w:val="000000" w:themeColor="text1"/>
        </w:rPr>
      </w:pPr>
      <w:r w:rsidRPr="00C56257">
        <w:rPr>
          <w:rFonts w:eastAsia="Calibri"/>
          <w:color w:val="000000" w:themeColor="text1"/>
        </w:rPr>
        <w:t>Habitatul 4080 are o distribuţie punctiformă, pe suprafeţe foarte mici, izolate, în etajele subalpin şi alpin. Conform menţiunilor din literatura de specialitate, se confirmă prezenţa certă a acestui tip de habitat într-un număr restrâns de puncte din câteva masive muntoase (Munţii Rodnei, Făgăraş, Parâng, Cindrel, Şureanu).</w:t>
      </w:r>
    </w:p>
    <w:p w14:paraId="1CA2B5DC" w14:textId="77777777" w:rsidR="002D3CA7" w:rsidRPr="00C56257" w:rsidRDefault="002D3CA7" w:rsidP="008E33FD">
      <w:pPr>
        <w:spacing w:before="39" w:line="276" w:lineRule="auto"/>
        <w:ind w:right="-41" w:firstLine="709"/>
        <w:contextualSpacing/>
        <w:jc w:val="both"/>
        <w:rPr>
          <w:rFonts w:eastAsia="Calibri"/>
          <w:color w:val="000000" w:themeColor="text1"/>
        </w:rPr>
      </w:pPr>
      <w:r w:rsidRPr="00C56257">
        <w:rPr>
          <w:color w:val="000000" w:themeColor="text1"/>
        </w:rPr>
        <w:t>Având</w:t>
      </w:r>
      <w:r w:rsidRPr="00C56257">
        <w:rPr>
          <w:color w:val="000000" w:themeColor="text1"/>
          <w:spacing w:val="25"/>
        </w:rPr>
        <w:t xml:space="preserve"> </w:t>
      </w:r>
      <w:r w:rsidRPr="00C56257">
        <w:rPr>
          <w:color w:val="000000" w:themeColor="text1"/>
        </w:rPr>
        <w:t>în</w:t>
      </w:r>
      <w:r w:rsidRPr="00C56257">
        <w:rPr>
          <w:color w:val="000000" w:themeColor="text1"/>
          <w:spacing w:val="25"/>
        </w:rPr>
        <w:t xml:space="preserve"> </w:t>
      </w:r>
      <w:r w:rsidRPr="00C56257">
        <w:rPr>
          <w:color w:val="000000" w:themeColor="text1"/>
        </w:rPr>
        <w:t>vedere</w:t>
      </w:r>
      <w:r w:rsidRPr="00C56257">
        <w:rPr>
          <w:color w:val="000000" w:themeColor="text1"/>
          <w:spacing w:val="25"/>
        </w:rPr>
        <w:t xml:space="preserve"> </w:t>
      </w:r>
      <w:r w:rsidRPr="00C56257">
        <w:rPr>
          <w:color w:val="000000" w:themeColor="text1"/>
        </w:rPr>
        <w:t>distrib</w:t>
      </w:r>
      <w:r w:rsidRPr="00C56257">
        <w:rPr>
          <w:color w:val="000000" w:themeColor="text1"/>
          <w:spacing w:val="-1"/>
        </w:rPr>
        <w:t>u</w:t>
      </w:r>
      <w:r w:rsidRPr="00C56257">
        <w:rPr>
          <w:color w:val="000000" w:themeColor="text1"/>
        </w:rPr>
        <w:t>ţia</w:t>
      </w:r>
      <w:r w:rsidRPr="00C56257">
        <w:rPr>
          <w:color w:val="000000" w:themeColor="text1"/>
          <w:spacing w:val="24"/>
        </w:rPr>
        <w:t xml:space="preserve"> </w:t>
      </w:r>
      <w:r w:rsidRPr="00C56257">
        <w:rPr>
          <w:color w:val="000000" w:themeColor="text1"/>
        </w:rPr>
        <w:t>re</w:t>
      </w:r>
      <w:r w:rsidRPr="00C56257">
        <w:rPr>
          <w:color w:val="000000" w:themeColor="text1"/>
          <w:spacing w:val="-1"/>
        </w:rPr>
        <w:t>s</w:t>
      </w:r>
      <w:r w:rsidRPr="00C56257">
        <w:rPr>
          <w:color w:val="000000" w:themeColor="text1"/>
          <w:spacing w:val="1"/>
        </w:rPr>
        <w:t>t</w:t>
      </w:r>
      <w:r w:rsidRPr="00C56257">
        <w:rPr>
          <w:color w:val="000000" w:themeColor="text1"/>
        </w:rPr>
        <w:t>rânsă</w:t>
      </w:r>
      <w:r w:rsidRPr="00C56257">
        <w:rPr>
          <w:color w:val="000000" w:themeColor="text1"/>
          <w:spacing w:val="25"/>
        </w:rPr>
        <w:t xml:space="preserve"> </w:t>
      </w:r>
      <w:r w:rsidRPr="00C56257">
        <w:rPr>
          <w:color w:val="000000" w:themeColor="text1"/>
        </w:rPr>
        <w:t>a</w:t>
      </w:r>
      <w:r w:rsidRPr="00C56257">
        <w:rPr>
          <w:color w:val="000000" w:themeColor="text1"/>
          <w:spacing w:val="25"/>
        </w:rPr>
        <w:t xml:space="preserve"> </w:t>
      </w:r>
      <w:r w:rsidRPr="00C56257">
        <w:rPr>
          <w:color w:val="000000" w:themeColor="text1"/>
        </w:rPr>
        <w:t>ha</w:t>
      </w:r>
      <w:r w:rsidRPr="00C56257">
        <w:rPr>
          <w:color w:val="000000" w:themeColor="text1"/>
          <w:spacing w:val="-1"/>
        </w:rPr>
        <w:t>b</w:t>
      </w:r>
      <w:r w:rsidRPr="00C56257">
        <w:rPr>
          <w:color w:val="000000" w:themeColor="text1"/>
        </w:rPr>
        <w:t>it</w:t>
      </w:r>
      <w:r w:rsidRPr="00C56257">
        <w:rPr>
          <w:color w:val="000000" w:themeColor="text1"/>
          <w:spacing w:val="-1"/>
        </w:rPr>
        <w:t>a</w:t>
      </w:r>
      <w:r w:rsidRPr="00C56257">
        <w:rPr>
          <w:color w:val="000000" w:themeColor="text1"/>
        </w:rPr>
        <w:t>tului,</w:t>
      </w:r>
      <w:r w:rsidRPr="00C56257">
        <w:rPr>
          <w:color w:val="000000" w:themeColor="text1"/>
          <w:spacing w:val="26"/>
        </w:rPr>
        <w:t xml:space="preserve"> </w:t>
      </w:r>
      <w:r w:rsidRPr="00C56257">
        <w:rPr>
          <w:color w:val="000000" w:themeColor="text1"/>
        </w:rPr>
        <w:t>exi</w:t>
      </w:r>
      <w:r w:rsidRPr="00C56257">
        <w:rPr>
          <w:color w:val="000000" w:themeColor="text1"/>
          <w:spacing w:val="-1"/>
        </w:rPr>
        <w:t>s</w:t>
      </w:r>
      <w:r w:rsidRPr="00C56257">
        <w:rPr>
          <w:color w:val="000000" w:themeColor="text1"/>
        </w:rPr>
        <w:t>te</w:t>
      </w:r>
      <w:r w:rsidRPr="00C56257">
        <w:rPr>
          <w:color w:val="000000" w:themeColor="text1"/>
          <w:spacing w:val="-2"/>
        </w:rPr>
        <w:t>n</w:t>
      </w:r>
      <w:r w:rsidRPr="00C56257">
        <w:rPr>
          <w:color w:val="000000" w:themeColor="text1"/>
        </w:rPr>
        <w:t>ţa</w:t>
      </w:r>
      <w:r w:rsidRPr="00C56257">
        <w:rPr>
          <w:color w:val="000000" w:themeColor="text1"/>
          <w:spacing w:val="25"/>
        </w:rPr>
        <w:t xml:space="preserve"> </w:t>
      </w:r>
      <w:r w:rsidRPr="00C56257">
        <w:rPr>
          <w:color w:val="000000" w:themeColor="text1"/>
        </w:rPr>
        <w:t>unor</w:t>
      </w:r>
      <w:r w:rsidRPr="00C56257">
        <w:rPr>
          <w:color w:val="000000" w:themeColor="text1"/>
          <w:spacing w:val="25"/>
        </w:rPr>
        <w:t xml:space="preserve"> </w:t>
      </w:r>
      <w:r w:rsidRPr="00C56257">
        <w:rPr>
          <w:color w:val="000000" w:themeColor="text1"/>
        </w:rPr>
        <w:t>controverse</w:t>
      </w:r>
      <w:r w:rsidRPr="00C56257">
        <w:rPr>
          <w:color w:val="000000" w:themeColor="text1"/>
          <w:spacing w:val="25"/>
        </w:rPr>
        <w:t xml:space="preserve"> </w:t>
      </w:r>
      <w:r w:rsidRPr="00C56257">
        <w:rPr>
          <w:color w:val="000000" w:themeColor="text1"/>
        </w:rPr>
        <w:t>privind</w:t>
      </w:r>
      <w:r w:rsidRPr="00C56257">
        <w:rPr>
          <w:color w:val="000000" w:themeColor="text1"/>
          <w:spacing w:val="25"/>
        </w:rPr>
        <w:t xml:space="preserve"> </w:t>
      </w:r>
      <w:r w:rsidRPr="00C56257">
        <w:rPr>
          <w:color w:val="000000" w:themeColor="text1"/>
        </w:rPr>
        <w:t>preze</w:t>
      </w:r>
      <w:r w:rsidRPr="00C56257">
        <w:rPr>
          <w:color w:val="000000" w:themeColor="text1"/>
          <w:spacing w:val="-3"/>
        </w:rPr>
        <w:t>n</w:t>
      </w:r>
      <w:r w:rsidRPr="00C56257">
        <w:rPr>
          <w:color w:val="000000" w:themeColor="text1"/>
        </w:rPr>
        <w:t>ţa habit</w:t>
      </w:r>
      <w:r w:rsidRPr="00C56257">
        <w:rPr>
          <w:color w:val="000000" w:themeColor="text1"/>
          <w:spacing w:val="-1"/>
        </w:rPr>
        <w:t>a</w:t>
      </w:r>
      <w:r w:rsidRPr="00C56257">
        <w:rPr>
          <w:color w:val="000000" w:themeColor="text1"/>
        </w:rPr>
        <w:t>tul</w:t>
      </w:r>
      <w:r w:rsidRPr="00C56257">
        <w:rPr>
          <w:color w:val="000000" w:themeColor="text1"/>
          <w:spacing w:val="-1"/>
        </w:rPr>
        <w:t>u</w:t>
      </w:r>
      <w:r w:rsidRPr="00C56257">
        <w:rPr>
          <w:color w:val="000000" w:themeColor="text1"/>
        </w:rPr>
        <w:t>i</w:t>
      </w:r>
      <w:r w:rsidRPr="00C56257">
        <w:rPr>
          <w:color w:val="000000" w:themeColor="text1"/>
          <w:spacing w:val="55"/>
        </w:rPr>
        <w:t xml:space="preserve"> </w:t>
      </w:r>
      <w:r w:rsidRPr="00C56257">
        <w:rPr>
          <w:color w:val="000000" w:themeColor="text1"/>
        </w:rPr>
        <w:t>în</w:t>
      </w:r>
      <w:r w:rsidRPr="00C56257">
        <w:rPr>
          <w:color w:val="000000" w:themeColor="text1"/>
          <w:spacing w:val="55"/>
        </w:rPr>
        <w:t xml:space="preserve"> </w:t>
      </w:r>
      <w:r w:rsidRPr="00C56257">
        <w:rPr>
          <w:color w:val="000000" w:themeColor="text1"/>
        </w:rPr>
        <w:t>unele</w:t>
      </w:r>
      <w:r w:rsidRPr="00C56257">
        <w:rPr>
          <w:color w:val="000000" w:themeColor="text1"/>
          <w:spacing w:val="56"/>
        </w:rPr>
        <w:t xml:space="preserve"> </w:t>
      </w:r>
      <w:r w:rsidRPr="00C56257">
        <w:rPr>
          <w:color w:val="000000" w:themeColor="text1"/>
        </w:rPr>
        <w:t>din</w:t>
      </w:r>
      <w:r w:rsidRPr="00C56257">
        <w:rPr>
          <w:color w:val="000000" w:themeColor="text1"/>
          <w:spacing w:val="54"/>
        </w:rPr>
        <w:t xml:space="preserve"> </w:t>
      </w:r>
      <w:r w:rsidRPr="00C56257">
        <w:rPr>
          <w:color w:val="000000" w:themeColor="text1"/>
        </w:rPr>
        <w:t>locurile</w:t>
      </w:r>
      <w:r w:rsidRPr="00C56257">
        <w:rPr>
          <w:color w:val="000000" w:themeColor="text1"/>
          <w:spacing w:val="56"/>
        </w:rPr>
        <w:t xml:space="preserve"> </w:t>
      </w:r>
      <w:r w:rsidRPr="00C56257">
        <w:rPr>
          <w:color w:val="000000" w:themeColor="text1"/>
        </w:rPr>
        <w:t>me</w:t>
      </w:r>
      <w:r w:rsidRPr="00C56257">
        <w:rPr>
          <w:color w:val="000000" w:themeColor="text1"/>
          <w:spacing w:val="-3"/>
        </w:rPr>
        <w:t>n</w:t>
      </w:r>
      <w:r w:rsidRPr="00C56257">
        <w:rPr>
          <w:color w:val="000000" w:themeColor="text1"/>
        </w:rPr>
        <w:t>ţion</w:t>
      </w:r>
      <w:r w:rsidRPr="00C56257">
        <w:rPr>
          <w:color w:val="000000" w:themeColor="text1"/>
          <w:spacing w:val="-1"/>
        </w:rPr>
        <w:t>a</w:t>
      </w:r>
      <w:r w:rsidRPr="00C56257">
        <w:rPr>
          <w:color w:val="000000" w:themeColor="text1"/>
        </w:rPr>
        <w:t>te</w:t>
      </w:r>
      <w:r w:rsidRPr="00C56257">
        <w:rPr>
          <w:color w:val="000000" w:themeColor="text1"/>
          <w:spacing w:val="56"/>
        </w:rPr>
        <w:t xml:space="preserve"> </w:t>
      </w:r>
      <w:r w:rsidRPr="00C56257">
        <w:rPr>
          <w:color w:val="000000" w:themeColor="text1"/>
        </w:rPr>
        <w:t>în</w:t>
      </w:r>
      <w:r w:rsidRPr="00C56257">
        <w:rPr>
          <w:color w:val="000000" w:themeColor="text1"/>
          <w:spacing w:val="54"/>
        </w:rPr>
        <w:t xml:space="preserve"> </w:t>
      </w:r>
      <w:r w:rsidRPr="00C56257">
        <w:rPr>
          <w:color w:val="000000" w:themeColor="text1"/>
        </w:rPr>
        <w:t>re</w:t>
      </w:r>
      <w:r w:rsidRPr="00C56257">
        <w:rPr>
          <w:color w:val="000000" w:themeColor="text1"/>
          <w:spacing w:val="-1"/>
        </w:rPr>
        <w:t>f</w:t>
      </w:r>
      <w:r w:rsidRPr="00C56257">
        <w:rPr>
          <w:color w:val="000000" w:themeColor="text1"/>
        </w:rPr>
        <w:t>erinţele</w:t>
      </w:r>
      <w:r w:rsidRPr="00C56257">
        <w:rPr>
          <w:color w:val="000000" w:themeColor="text1"/>
          <w:spacing w:val="55"/>
        </w:rPr>
        <w:t xml:space="preserve"> </w:t>
      </w:r>
      <w:r w:rsidRPr="00C56257">
        <w:rPr>
          <w:color w:val="000000" w:themeColor="text1"/>
        </w:rPr>
        <w:t>bibliografice,</w:t>
      </w:r>
      <w:r w:rsidRPr="00C56257">
        <w:rPr>
          <w:color w:val="000000" w:themeColor="text1"/>
          <w:spacing w:val="55"/>
        </w:rPr>
        <w:t xml:space="preserve"> </w:t>
      </w:r>
      <w:r w:rsidRPr="00C56257">
        <w:rPr>
          <w:color w:val="000000" w:themeColor="text1"/>
        </w:rPr>
        <w:t>precum</w:t>
      </w:r>
      <w:r w:rsidRPr="00C56257">
        <w:rPr>
          <w:color w:val="000000" w:themeColor="text1"/>
          <w:spacing w:val="54"/>
        </w:rPr>
        <w:t xml:space="preserve"> </w:t>
      </w:r>
      <w:r w:rsidRPr="00C56257">
        <w:rPr>
          <w:color w:val="000000" w:themeColor="text1"/>
        </w:rPr>
        <w:t>şi</w:t>
      </w:r>
      <w:r w:rsidRPr="00C56257">
        <w:rPr>
          <w:color w:val="000000" w:themeColor="text1"/>
          <w:spacing w:val="57"/>
        </w:rPr>
        <w:t xml:space="preserve"> </w:t>
      </w:r>
      <w:r w:rsidRPr="00C56257">
        <w:rPr>
          <w:color w:val="000000" w:themeColor="text1"/>
        </w:rPr>
        <w:t>faptul</w:t>
      </w:r>
      <w:r w:rsidRPr="00C56257">
        <w:rPr>
          <w:color w:val="000000" w:themeColor="text1"/>
          <w:spacing w:val="55"/>
        </w:rPr>
        <w:t xml:space="preserve"> </w:t>
      </w:r>
      <w:r w:rsidRPr="00C56257">
        <w:rPr>
          <w:color w:val="000000" w:themeColor="text1"/>
        </w:rPr>
        <w:t>că preze</w:t>
      </w:r>
      <w:r w:rsidRPr="00C56257">
        <w:rPr>
          <w:color w:val="000000" w:themeColor="text1"/>
          <w:spacing w:val="-1"/>
        </w:rPr>
        <w:t>n</w:t>
      </w:r>
      <w:r w:rsidRPr="00C56257">
        <w:rPr>
          <w:color w:val="000000" w:themeColor="text1"/>
        </w:rPr>
        <w:t>ţa</w:t>
      </w:r>
      <w:r w:rsidRPr="00C56257">
        <w:rPr>
          <w:color w:val="000000" w:themeColor="text1"/>
          <w:spacing w:val="11"/>
        </w:rPr>
        <w:t xml:space="preserve"> </w:t>
      </w:r>
      <w:r w:rsidRPr="00C56257">
        <w:rPr>
          <w:color w:val="000000" w:themeColor="text1"/>
        </w:rPr>
        <w:t>acestuia</w:t>
      </w:r>
      <w:r w:rsidRPr="00C56257">
        <w:rPr>
          <w:color w:val="000000" w:themeColor="text1"/>
          <w:spacing w:val="11"/>
        </w:rPr>
        <w:t xml:space="preserve"> </w:t>
      </w:r>
      <w:r w:rsidRPr="00C56257">
        <w:rPr>
          <w:color w:val="000000" w:themeColor="text1"/>
        </w:rPr>
        <w:t>nu</w:t>
      </w:r>
      <w:r w:rsidRPr="00C56257">
        <w:rPr>
          <w:color w:val="000000" w:themeColor="text1"/>
          <w:spacing w:val="11"/>
        </w:rPr>
        <w:t xml:space="preserve"> </w:t>
      </w:r>
      <w:r w:rsidRPr="00C56257">
        <w:rPr>
          <w:color w:val="000000" w:themeColor="text1"/>
        </w:rPr>
        <w:t>a</w:t>
      </w:r>
      <w:r w:rsidRPr="00C56257">
        <w:rPr>
          <w:color w:val="000000" w:themeColor="text1"/>
          <w:spacing w:val="11"/>
        </w:rPr>
        <w:t xml:space="preserve"> </w:t>
      </w:r>
      <w:r w:rsidRPr="00C56257">
        <w:rPr>
          <w:color w:val="000000" w:themeColor="text1"/>
        </w:rPr>
        <w:t>fost</w:t>
      </w:r>
      <w:r w:rsidRPr="00C56257">
        <w:rPr>
          <w:color w:val="000000" w:themeColor="text1"/>
          <w:spacing w:val="11"/>
        </w:rPr>
        <w:t xml:space="preserve"> </w:t>
      </w:r>
      <w:r w:rsidRPr="00C56257">
        <w:rPr>
          <w:color w:val="000000" w:themeColor="text1"/>
        </w:rPr>
        <w:t>reconfir</w:t>
      </w:r>
      <w:r w:rsidRPr="00C56257">
        <w:rPr>
          <w:color w:val="000000" w:themeColor="text1"/>
          <w:spacing w:val="-2"/>
        </w:rPr>
        <w:t>m</w:t>
      </w:r>
      <w:r w:rsidRPr="00C56257">
        <w:rPr>
          <w:color w:val="000000" w:themeColor="text1"/>
        </w:rPr>
        <w:t>a</w:t>
      </w:r>
      <w:r w:rsidRPr="00C56257">
        <w:rPr>
          <w:color w:val="000000" w:themeColor="text1"/>
          <w:spacing w:val="-2"/>
        </w:rPr>
        <w:t>t</w:t>
      </w:r>
      <w:r w:rsidRPr="00C56257">
        <w:rPr>
          <w:color w:val="000000" w:themeColor="text1"/>
        </w:rPr>
        <w:t>ă</w:t>
      </w:r>
      <w:r w:rsidRPr="00C56257">
        <w:rPr>
          <w:color w:val="000000" w:themeColor="text1"/>
          <w:spacing w:val="11"/>
        </w:rPr>
        <w:t xml:space="preserve"> </w:t>
      </w:r>
      <w:r w:rsidRPr="00C56257">
        <w:rPr>
          <w:color w:val="000000" w:themeColor="text1"/>
        </w:rPr>
        <w:t>recent</w:t>
      </w:r>
      <w:r w:rsidRPr="00C56257">
        <w:rPr>
          <w:color w:val="000000" w:themeColor="text1"/>
          <w:spacing w:val="11"/>
        </w:rPr>
        <w:t xml:space="preserve"> </w:t>
      </w:r>
      <w:r w:rsidRPr="00C56257">
        <w:rPr>
          <w:color w:val="000000" w:themeColor="text1"/>
        </w:rPr>
        <w:t>în</w:t>
      </w:r>
      <w:r w:rsidRPr="00C56257">
        <w:rPr>
          <w:color w:val="000000" w:themeColor="text1"/>
          <w:spacing w:val="11"/>
        </w:rPr>
        <w:t xml:space="preserve"> </w:t>
      </w:r>
      <w:r w:rsidRPr="00C56257">
        <w:rPr>
          <w:color w:val="000000" w:themeColor="text1"/>
        </w:rPr>
        <w:t>unele</w:t>
      </w:r>
      <w:r w:rsidRPr="00C56257">
        <w:rPr>
          <w:color w:val="000000" w:themeColor="text1"/>
          <w:spacing w:val="11"/>
        </w:rPr>
        <w:t xml:space="preserve"> </w:t>
      </w:r>
      <w:r w:rsidRPr="00C56257">
        <w:rPr>
          <w:color w:val="000000" w:themeColor="text1"/>
        </w:rPr>
        <w:t>puncte</w:t>
      </w:r>
      <w:r w:rsidRPr="00C56257">
        <w:rPr>
          <w:color w:val="000000" w:themeColor="text1"/>
          <w:spacing w:val="11"/>
        </w:rPr>
        <w:t xml:space="preserve"> </w:t>
      </w:r>
      <w:r w:rsidRPr="00C56257">
        <w:rPr>
          <w:color w:val="000000" w:themeColor="text1"/>
        </w:rPr>
        <w:t>în</w:t>
      </w:r>
      <w:r w:rsidRPr="00C56257">
        <w:rPr>
          <w:color w:val="000000" w:themeColor="text1"/>
          <w:spacing w:val="11"/>
        </w:rPr>
        <w:t xml:space="preserve"> </w:t>
      </w:r>
      <w:r w:rsidRPr="00C56257">
        <w:rPr>
          <w:color w:val="000000" w:themeColor="text1"/>
        </w:rPr>
        <w:t>care</w:t>
      </w:r>
      <w:r w:rsidRPr="00C56257">
        <w:rPr>
          <w:color w:val="000000" w:themeColor="text1"/>
          <w:spacing w:val="11"/>
        </w:rPr>
        <w:t xml:space="preserve"> </w:t>
      </w:r>
      <w:r w:rsidRPr="00C56257">
        <w:rPr>
          <w:color w:val="000000" w:themeColor="text1"/>
        </w:rPr>
        <w:t>a</w:t>
      </w:r>
      <w:r w:rsidRPr="00C56257">
        <w:rPr>
          <w:color w:val="000000" w:themeColor="text1"/>
          <w:spacing w:val="11"/>
        </w:rPr>
        <w:t xml:space="preserve"> </w:t>
      </w:r>
      <w:r w:rsidRPr="00C56257">
        <w:rPr>
          <w:color w:val="000000" w:themeColor="text1"/>
        </w:rPr>
        <w:t>fost</w:t>
      </w:r>
      <w:r w:rsidRPr="00C56257">
        <w:rPr>
          <w:color w:val="000000" w:themeColor="text1"/>
          <w:spacing w:val="11"/>
        </w:rPr>
        <w:t xml:space="preserve"> </w:t>
      </w:r>
      <w:r w:rsidRPr="00C56257">
        <w:rPr>
          <w:color w:val="000000" w:themeColor="text1"/>
          <w:spacing w:val="-2"/>
        </w:rPr>
        <w:t>m</w:t>
      </w:r>
      <w:r w:rsidRPr="00C56257">
        <w:rPr>
          <w:color w:val="000000" w:themeColor="text1"/>
        </w:rPr>
        <w:t>e</w:t>
      </w:r>
      <w:r w:rsidRPr="00C56257">
        <w:rPr>
          <w:color w:val="000000" w:themeColor="text1"/>
          <w:spacing w:val="-1"/>
        </w:rPr>
        <w:t>n</w:t>
      </w:r>
      <w:r w:rsidRPr="00C56257">
        <w:rPr>
          <w:color w:val="000000" w:themeColor="text1"/>
        </w:rPr>
        <w:t>ţionat</w:t>
      </w:r>
      <w:r w:rsidRPr="00C56257">
        <w:rPr>
          <w:color w:val="000000" w:themeColor="text1"/>
          <w:spacing w:val="11"/>
        </w:rPr>
        <w:t xml:space="preserve"> </w:t>
      </w:r>
      <w:r w:rsidRPr="00C56257">
        <w:rPr>
          <w:color w:val="000000" w:themeColor="text1"/>
        </w:rPr>
        <w:t>anterior, se va</w:t>
      </w:r>
      <w:r w:rsidRPr="00C56257">
        <w:rPr>
          <w:color w:val="000000" w:themeColor="text1"/>
          <w:spacing w:val="14"/>
        </w:rPr>
        <w:t xml:space="preserve"> </w:t>
      </w:r>
      <w:r w:rsidRPr="00C56257">
        <w:rPr>
          <w:color w:val="000000" w:themeColor="text1"/>
        </w:rPr>
        <w:t>constitui</w:t>
      </w:r>
      <w:r w:rsidRPr="00C56257">
        <w:rPr>
          <w:color w:val="000000" w:themeColor="text1"/>
          <w:spacing w:val="14"/>
        </w:rPr>
        <w:t xml:space="preserve"> </w:t>
      </w:r>
      <w:r w:rsidRPr="00C56257">
        <w:rPr>
          <w:color w:val="000000" w:themeColor="text1"/>
        </w:rPr>
        <w:t>o bază de date cu toate pu</w:t>
      </w:r>
      <w:r w:rsidRPr="00C56257">
        <w:rPr>
          <w:color w:val="000000" w:themeColor="text1"/>
          <w:spacing w:val="-1"/>
        </w:rPr>
        <w:t>n</w:t>
      </w:r>
      <w:r w:rsidRPr="00C56257">
        <w:rPr>
          <w:color w:val="000000" w:themeColor="text1"/>
        </w:rPr>
        <w:t>ctele</w:t>
      </w:r>
      <w:r w:rsidRPr="00C56257">
        <w:rPr>
          <w:color w:val="000000" w:themeColor="text1"/>
          <w:spacing w:val="14"/>
        </w:rPr>
        <w:t xml:space="preserve"> </w:t>
      </w:r>
      <w:r w:rsidRPr="00C56257">
        <w:rPr>
          <w:color w:val="000000" w:themeColor="text1"/>
        </w:rPr>
        <w:t>de preze</w:t>
      </w:r>
      <w:r w:rsidRPr="00C56257">
        <w:rPr>
          <w:color w:val="000000" w:themeColor="text1"/>
          <w:spacing w:val="-1"/>
        </w:rPr>
        <w:t>n</w:t>
      </w:r>
      <w:r w:rsidRPr="00C56257">
        <w:rPr>
          <w:color w:val="000000" w:themeColor="text1"/>
        </w:rPr>
        <w:t>ţă</w:t>
      </w:r>
      <w:r w:rsidRPr="00C56257">
        <w:rPr>
          <w:color w:val="000000" w:themeColor="text1"/>
          <w:spacing w:val="13"/>
        </w:rPr>
        <w:t xml:space="preserve"> </w:t>
      </w:r>
      <w:r w:rsidRPr="00C56257">
        <w:rPr>
          <w:color w:val="000000" w:themeColor="text1"/>
        </w:rPr>
        <w:t>a</w:t>
      </w:r>
      <w:r w:rsidRPr="00C56257">
        <w:rPr>
          <w:color w:val="000000" w:themeColor="text1"/>
          <w:spacing w:val="14"/>
        </w:rPr>
        <w:t xml:space="preserve"> </w:t>
      </w:r>
      <w:r w:rsidRPr="00C56257">
        <w:rPr>
          <w:color w:val="000000" w:themeColor="text1"/>
        </w:rPr>
        <w:t>s</w:t>
      </w:r>
      <w:r w:rsidRPr="00C56257">
        <w:rPr>
          <w:color w:val="000000" w:themeColor="text1"/>
          <w:spacing w:val="-1"/>
        </w:rPr>
        <w:t>p</w:t>
      </w:r>
      <w:r w:rsidRPr="00C56257">
        <w:rPr>
          <w:color w:val="000000" w:themeColor="text1"/>
        </w:rPr>
        <w:t>eciilor</w:t>
      </w:r>
      <w:r w:rsidRPr="00C56257">
        <w:rPr>
          <w:color w:val="000000" w:themeColor="text1"/>
          <w:spacing w:val="14"/>
        </w:rPr>
        <w:t xml:space="preserve"> </w:t>
      </w:r>
      <w:r w:rsidRPr="00C56257">
        <w:rPr>
          <w:color w:val="000000" w:themeColor="text1"/>
        </w:rPr>
        <w:t>edificatoare ale habit</w:t>
      </w:r>
      <w:r w:rsidRPr="00C56257">
        <w:rPr>
          <w:color w:val="000000" w:themeColor="text1"/>
          <w:spacing w:val="-1"/>
        </w:rPr>
        <w:t>a</w:t>
      </w:r>
      <w:r w:rsidRPr="00C56257">
        <w:rPr>
          <w:color w:val="000000" w:themeColor="text1"/>
        </w:rPr>
        <w:t>tul</w:t>
      </w:r>
      <w:r w:rsidRPr="00C56257">
        <w:rPr>
          <w:color w:val="000000" w:themeColor="text1"/>
          <w:spacing w:val="-1"/>
        </w:rPr>
        <w:t>u</w:t>
      </w:r>
      <w:r w:rsidRPr="00C56257">
        <w:rPr>
          <w:color w:val="000000" w:themeColor="text1"/>
        </w:rPr>
        <w:t>i, con</w:t>
      </w:r>
      <w:r w:rsidRPr="00C56257">
        <w:rPr>
          <w:color w:val="000000" w:themeColor="text1"/>
          <w:spacing w:val="-1"/>
        </w:rPr>
        <w:t>f</w:t>
      </w:r>
      <w:r w:rsidRPr="00C56257">
        <w:rPr>
          <w:color w:val="000000" w:themeColor="text1"/>
        </w:rPr>
        <w:t>orm menţion</w:t>
      </w:r>
      <w:r w:rsidRPr="00C56257">
        <w:rPr>
          <w:color w:val="000000" w:themeColor="text1"/>
          <w:spacing w:val="-1"/>
        </w:rPr>
        <w:t>ă</w:t>
      </w:r>
      <w:r w:rsidRPr="00C56257">
        <w:rPr>
          <w:color w:val="000000" w:themeColor="text1"/>
        </w:rPr>
        <w:t>rilor din</w:t>
      </w:r>
      <w:r w:rsidRPr="00C56257">
        <w:rPr>
          <w:color w:val="000000" w:themeColor="text1"/>
          <w:spacing w:val="7"/>
        </w:rPr>
        <w:t xml:space="preserve"> </w:t>
      </w:r>
      <w:r w:rsidRPr="00C56257">
        <w:rPr>
          <w:color w:val="000000" w:themeColor="text1"/>
        </w:rPr>
        <w:t>literatura de</w:t>
      </w:r>
      <w:r w:rsidRPr="00C56257">
        <w:rPr>
          <w:color w:val="000000" w:themeColor="text1"/>
          <w:spacing w:val="7"/>
        </w:rPr>
        <w:t xml:space="preserve"> </w:t>
      </w:r>
      <w:r w:rsidRPr="00C56257">
        <w:rPr>
          <w:color w:val="000000" w:themeColor="text1"/>
        </w:rPr>
        <w:t>s</w:t>
      </w:r>
      <w:r w:rsidRPr="00C56257">
        <w:rPr>
          <w:color w:val="000000" w:themeColor="text1"/>
          <w:spacing w:val="-1"/>
        </w:rPr>
        <w:t>p</w:t>
      </w:r>
      <w:r w:rsidRPr="00C56257">
        <w:rPr>
          <w:color w:val="000000" w:themeColor="text1"/>
        </w:rPr>
        <w:t>e</w:t>
      </w:r>
      <w:r w:rsidRPr="00C56257">
        <w:rPr>
          <w:color w:val="000000" w:themeColor="text1"/>
          <w:spacing w:val="-1"/>
        </w:rPr>
        <w:t>c</w:t>
      </w:r>
      <w:r w:rsidRPr="00C56257">
        <w:rPr>
          <w:color w:val="000000" w:themeColor="text1"/>
        </w:rPr>
        <w:t>ialit</w:t>
      </w:r>
      <w:r w:rsidRPr="00C56257">
        <w:rPr>
          <w:color w:val="000000" w:themeColor="text1"/>
          <w:spacing w:val="-1"/>
        </w:rPr>
        <w:t>a</w:t>
      </w:r>
      <w:r w:rsidRPr="00C56257">
        <w:rPr>
          <w:color w:val="000000" w:themeColor="text1"/>
        </w:rPr>
        <w:t>te. În</w:t>
      </w:r>
      <w:r w:rsidRPr="00C56257">
        <w:rPr>
          <w:color w:val="000000" w:themeColor="text1"/>
          <w:spacing w:val="7"/>
        </w:rPr>
        <w:t xml:space="preserve"> </w:t>
      </w:r>
      <w:r w:rsidRPr="00C56257">
        <w:rPr>
          <w:color w:val="000000" w:themeColor="text1"/>
        </w:rPr>
        <w:t xml:space="preserve">etapa </w:t>
      </w:r>
      <w:r w:rsidRPr="00C56257">
        <w:rPr>
          <w:color w:val="000000" w:themeColor="text1"/>
          <w:spacing w:val="-1"/>
        </w:rPr>
        <w:t>u</w:t>
      </w:r>
      <w:r w:rsidRPr="00C56257">
        <w:rPr>
          <w:color w:val="000000" w:themeColor="text1"/>
        </w:rPr>
        <w:t>r</w:t>
      </w:r>
      <w:r w:rsidRPr="00C56257">
        <w:rPr>
          <w:color w:val="000000" w:themeColor="text1"/>
          <w:spacing w:val="-2"/>
        </w:rPr>
        <w:t>m</w:t>
      </w:r>
      <w:r w:rsidRPr="00C56257">
        <w:rPr>
          <w:color w:val="000000" w:themeColor="text1"/>
        </w:rPr>
        <w:t>ătoare</w:t>
      </w:r>
      <w:r w:rsidRPr="00C56257">
        <w:rPr>
          <w:color w:val="000000" w:themeColor="text1"/>
          <w:spacing w:val="7"/>
        </w:rPr>
        <w:t xml:space="preserve"> </w:t>
      </w:r>
      <w:r w:rsidRPr="00C56257">
        <w:rPr>
          <w:color w:val="000000" w:themeColor="text1"/>
          <w:spacing w:val="-1"/>
        </w:rPr>
        <w:t>s</w:t>
      </w:r>
      <w:r w:rsidRPr="00C56257">
        <w:rPr>
          <w:color w:val="000000" w:themeColor="text1"/>
        </w:rPr>
        <w:t>e vor efectua</w:t>
      </w:r>
      <w:r w:rsidRPr="00C56257">
        <w:rPr>
          <w:color w:val="000000" w:themeColor="text1"/>
          <w:spacing w:val="19"/>
        </w:rPr>
        <w:t xml:space="preserve"> </w:t>
      </w:r>
      <w:r w:rsidRPr="00C56257">
        <w:rPr>
          <w:color w:val="000000" w:themeColor="text1"/>
        </w:rPr>
        <w:t>investig</w:t>
      </w:r>
      <w:r w:rsidRPr="00C56257">
        <w:rPr>
          <w:color w:val="000000" w:themeColor="text1"/>
          <w:spacing w:val="-1"/>
        </w:rPr>
        <w:t>a</w:t>
      </w:r>
      <w:r w:rsidRPr="00C56257">
        <w:rPr>
          <w:color w:val="000000" w:themeColor="text1"/>
        </w:rPr>
        <w:t>ţii</w:t>
      </w:r>
      <w:r w:rsidRPr="00C56257">
        <w:rPr>
          <w:color w:val="000000" w:themeColor="text1"/>
          <w:spacing w:val="19"/>
        </w:rPr>
        <w:t xml:space="preserve"> </w:t>
      </w:r>
      <w:r w:rsidRPr="00C56257">
        <w:rPr>
          <w:color w:val="000000" w:themeColor="text1"/>
        </w:rPr>
        <w:t>în</w:t>
      </w:r>
      <w:r w:rsidRPr="00C56257">
        <w:rPr>
          <w:color w:val="000000" w:themeColor="text1"/>
          <w:spacing w:val="19"/>
        </w:rPr>
        <w:t xml:space="preserve"> </w:t>
      </w:r>
      <w:r w:rsidRPr="00C56257">
        <w:rPr>
          <w:color w:val="000000" w:themeColor="text1"/>
        </w:rPr>
        <w:t>teren</w:t>
      </w:r>
      <w:r w:rsidRPr="00C56257">
        <w:rPr>
          <w:color w:val="000000" w:themeColor="text1"/>
          <w:spacing w:val="19"/>
        </w:rPr>
        <w:t xml:space="preserve"> </w:t>
      </w:r>
      <w:r w:rsidRPr="00C56257">
        <w:rPr>
          <w:color w:val="000000" w:themeColor="text1"/>
        </w:rPr>
        <w:t>pentru</w:t>
      </w:r>
      <w:r w:rsidRPr="00C56257">
        <w:rPr>
          <w:color w:val="000000" w:themeColor="text1"/>
          <w:spacing w:val="19"/>
        </w:rPr>
        <w:t xml:space="preserve"> </w:t>
      </w:r>
      <w:r w:rsidRPr="00C56257">
        <w:rPr>
          <w:color w:val="000000" w:themeColor="text1"/>
        </w:rPr>
        <w:t>a</w:t>
      </w:r>
      <w:r w:rsidRPr="00C56257">
        <w:rPr>
          <w:color w:val="000000" w:themeColor="text1"/>
          <w:spacing w:val="19"/>
        </w:rPr>
        <w:t xml:space="preserve"> </w:t>
      </w:r>
      <w:r w:rsidRPr="00C56257">
        <w:rPr>
          <w:color w:val="000000" w:themeColor="text1"/>
        </w:rPr>
        <w:t>se</w:t>
      </w:r>
      <w:r w:rsidRPr="00C56257">
        <w:rPr>
          <w:color w:val="000000" w:themeColor="text1"/>
          <w:spacing w:val="19"/>
        </w:rPr>
        <w:t xml:space="preserve"> </w:t>
      </w:r>
      <w:r w:rsidRPr="00C56257">
        <w:rPr>
          <w:color w:val="000000" w:themeColor="text1"/>
        </w:rPr>
        <w:t>identifica</w:t>
      </w:r>
      <w:r w:rsidRPr="00C56257">
        <w:rPr>
          <w:color w:val="000000" w:themeColor="text1"/>
          <w:spacing w:val="18"/>
        </w:rPr>
        <w:t xml:space="preserve"> </w:t>
      </w:r>
      <w:r w:rsidRPr="00C56257">
        <w:rPr>
          <w:color w:val="000000" w:themeColor="text1"/>
        </w:rPr>
        <w:t>şi</w:t>
      </w:r>
      <w:r w:rsidRPr="00C56257">
        <w:rPr>
          <w:color w:val="000000" w:themeColor="text1"/>
          <w:spacing w:val="19"/>
        </w:rPr>
        <w:t xml:space="preserve"> </w:t>
      </w:r>
      <w:r w:rsidRPr="00C56257">
        <w:rPr>
          <w:color w:val="000000" w:themeColor="text1"/>
        </w:rPr>
        <w:t>evalua</w:t>
      </w:r>
      <w:r w:rsidRPr="00C56257">
        <w:rPr>
          <w:color w:val="000000" w:themeColor="text1"/>
          <w:spacing w:val="19"/>
        </w:rPr>
        <w:t xml:space="preserve"> </w:t>
      </w:r>
      <w:r w:rsidRPr="00C56257">
        <w:rPr>
          <w:color w:val="000000" w:themeColor="text1"/>
        </w:rPr>
        <w:t>toate</w:t>
      </w:r>
      <w:r w:rsidRPr="00C56257">
        <w:rPr>
          <w:color w:val="000000" w:themeColor="text1"/>
          <w:spacing w:val="19"/>
        </w:rPr>
        <w:t xml:space="preserve"> </w:t>
      </w:r>
      <w:r w:rsidRPr="00C56257">
        <w:rPr>
          <w:color w:val="000000" w:themeColor="text1"/>
        </w:rPr>
        <w:t>punctele</w:t>
      </w:r>
      <w:r w:rsidRPr="00C56257">
        <w:rPr>
          <w:color w:val="000000" w:themeColor="text1"/>
          <w:spacing w:val="19"/>
        </w:rPr>
        <w:t xml:space="preserve"> </w:t>
      </w:r>
      <w:r w:rsidRPr="00C56257">
        <w:rPr>
          <w:color w:val="000000" w:themeColor="text1"/>
        </w:rPr>
        <w:t>din</w:t>
      </w:r>
      <w:r w:rsidRPr="00C56257">
        <w:rPr>
          <w:color w:val="000000" w:themeColor="text1"/>
          <w:spacing w:val="19"/>
        </w:rPr>
        <w:t xml:space="preserve"> </w:t>
      </w:r>
      <w:r w:rsidRPr="00C56257">
        <w:rPr>
          <w:color w:val="000000" w:themeColor="text1"/>
        </w:rPr>
        <w:t>baza</w:t>
      </w:r>
      <w:r w:rsidRPr="00C56257">
        <w:rPr>
          <w:color w:val="000000" w:themeColor="text1"/>
          <w:spacing w:val="19"/>
        </w:rPr>
        <w:t xml:space="preserve"> </w:t>
      </w:r>
      <w:r w:rsidRPr="00C56257">
        <w:rPr>
          <w:color w:val="000000" w:themeColor="text1"/>
          <w:spacing w:val="-1"/>
        </w:rPr>
        <w:t>d</w:t>
      </w:r>
      <w:r w:rsidRPr="00C56257">
        <w:rPr>
          <w:color w:val="000000" w:themeColor="text1"/>
        </w:rPr>
        <w:t>e</w:t>
      </w:r>
      <w:r w:rsidRPr="00C56257">
        <w:rPr>
          <w:color w:val="000000" w:themeColor="text1"/>
          <w:spacing w:val="19"/>
        </w:rPr>
        <w:t xml:space="preserve"> </w:t>
      </w:r>
      <w:r w:rsidRPr="00C56257">
        <w:rPr>
          <w:color w:val="000000" w:themeColor="text1"/>
        </w:rPr>
        <w:t>date,</w:t>
      </w:r>
      <w:r w:rsidRPr="00C56257">
        <w:rPr>
          <w:color w:val="000000" w:themeColor="text1"/>
          <w:spacing w:val="19"/>
        </w:rPr>
        <w:t xml:space="preserve"> </w:t>
      </w:r>
      <w:r w:rsidRPr="00C56257">
        <w:rPr>
          <w:color w:val="000000" w:themeColor="text1"/>
        </w:rPr>
        <w:t>sau cel</w:t>
      </w:r>
      <w:r w:rsidRPr="00C56257">
        <w:rPr>
          <w:color w:val="000000" w:themeColor="text1"/>
          <w:spacing w:val="21"/>
        </w:rPr>
        <w:t xml:space="preserve"> </w:t>
      </w:r>
      <w:r w:rsidRPr="00C56257">
        <w:rPr>
          <w:color w:val="000000" w:themeColor="text1"/>
        </w:rPr>
        <w:t>pu</w:t>
      </w:r>
      <w:r w:rsidRPr="00C56257">
        <w:rPr>
          <w:color w:val="000000" w:themeColor="text1"/>
          <w:spacing w:val="-1"/>
        </w:rPr>
        <w:t>ţ</w:t>
      </w:r>
      <w:r w:rsidRPr="00C56257">
        <w:rPr>
          <w:color w:val="000000" w:themeColor="text1"/>
        </w:rPr>
        <w:t>in</w:t>
      </w:r>
      <w:r w:rsidRPr="00C56257">
        <w:rPr>
          <w:color w:val="000000" w:themeColor="text1"/>
          <w:spacing w:val="21"/>
        </w:rPr>
        <w:t xml:space="preserve"> </w:t>
      </w:r>
      <w:r w:rsidRPr="00C56257">
        <w:rPr>
          <w:color w:val="000000" w:themeColor="text1"/>
        </w:rPr>
        <w:t>cele</w:t>
      </w:r>
      <w:r w:rsidRPr="00C56257">
        <w:rPr>
          <w:color w:val="000000" w:themeColor="text1"/>
          <w:spacing w:val="21"/>
        </w:rPr>
        <w:t xml:space="preserve"> </w:t>
      </w:r>
      <w:r w:rsidRPr="00C56257">
        <w:rPr>
          <w:color w:val="000000" w:themeColor="text1"/>
          <w:spacing w:val="-2"/>
        </w:rPr>
        <w:t>m</w:t>
      </w:r>
      <w:r w:rsidRPr="00C56257">
        <w:rPr>
          <w:color w:val="000000" w:themeColor="text1"/>
        </w:rPr>
        <w:t>ai</w:t>
      </w:r>
      <w:r w:rsidRPr="00C56257">
        <w:rPr>
          <w:color w:val="000000" w:themeColor="text1"/>
          <w:spacing w:val="21"/>
        </w:rPr>
        <w:t xml:space="preserve"> </w:t>
      </w:r>
      <w:r w:rsidRPr="00C56257">
        <w:rPr>
          <w:color w:val="000000" w:themeColor="text1"/>
        </w:rPr>
        <w:t>reprezentative</w:t>
      </w:r>
      <w:r w:rsidRPr="00C56257">
        <w:rPr>
          <w:color w:val="000000" w:themeColor="text1"/>
          <w:spacing w:val="21"/>
        </w:rPr>
        <w:t xml:space="preserve"> </w:t>
      </w:r>
      <w:r w:rsidRPr="00C56257">
        <w:rPr>
          <w:color w:val="000000" w:themeColor="text1"/>
        </w:rPr>
        <w:t>din</w:t>
      </w:r>
      <w:r w:rsidRPr="00C56257">
        <w:rPr>
          <w:color w:val="000000" w:themeColor="text1"/>
          <w:spacing w:val="21"/>
        </w:rPr>
        <w:t xml:space="preserve"> </w:t>
      </w:r>
      <w:r w:rsidRPr="00C56257">
        <w:rPr>
          <w:color w:val="000000" w:themeColor="text1"/>
        </w:rPr>
        <w:t>fiecare</w:t>
      </w:r>
      <w:r w:rsidRPr="00C56257">
        <w:rPr>
          <w:color w:val="000000" w:themeColor="text1"/>
          <w:spacing w:val="21"/>
        </w:rPr>
        <w:t xml:space="preserve"> </w:t>
      </w:r>
      <w:r w:rsidRPr="00C56257">
        <w:rPr>
          <w:color w:val="000000" w:themeColor="text1"/>
          <w:spacing w:val="-2"/>
        </w:rPr>
        <w:t>m</w:t>
      </w:r>
      <w:r w:rsidRPr="00C56257">
        <w:rPr>
          <w:color w:val="000000" w:themeColor="text1"/>
        </w:rPr>
        <w:t>asiv</w:t>
      </w:r>
      <w:r w:rsidRPr="00C56257">
        <w:rPr>
          <w:color w:val="000000" w:themeColor="text1"/>
          <w:spacing w:val="21"/>
        </w:rPr>
        <w:t xml:space="preserve"> </w:t>
      </w:r>
      <w:r w:rsidRPr="00C56257">
        <w:rPr>
          <w:color w:val="000000" w:themeColor="text1"/>
          <w:spacing w:val="-5"/>
        </w:rPr>
        <w:t>m</w:t>
      </w:r>
      <w:r w:rsidRPr="00C56257">
        <w:rPr>
          <w:color w:val="000000" w:themeColor="text1"/>
        </w:rPr>
        <w:t>untos.</w:t>
      </w:r>
      <w:r w:rsidRPr="00C56257">
        <w:rPr>
          <w:color w:val="000000" w:themeColor="text1"/>
          <w:spacing w:val="20"/>
        </w:rPr>
        <w:t xml:space="preserve"> </w:t>
      </w:r>
      <w:r w:rsidRPr="00C56257">
        <w:rPr>
          <w:color w:val="000000" w:themeColor="text1"/>
        </w:rPr>
        <w:t>În</w:t>
      </w:r>
      <w:r w:rsidRPr="00C56257">
        <w:rPr>
          <w:color w:val="000000" w:themeColor="text1"/>
          <w:spacing w:val="20"/>
        </w:rPr>
        <w:t xml:space="preserve"> </w:t>
      </w:r>
      <w:r w:rsidRPr="00C56257">
        <w:rPr>
          <w:color w:val="000000" w:themeColor="text1"/>
        </w:rPr>
        <w:t>prezent,</w:t>
      </w:r>
      <w:r w:rsidRPr="00C56257">
        <w:rPr>
          <w:color w:val="000000" w:themeColor="text1"/>
          <w:spacing w:val="21"/>
        </w:rPr>
        <w:t xml:space="preserve"> </w:t>
      </w:r>
      <w:r w:rsidRPr="00C56257">
        <w:rPr>
          <w:color w:val="000000" w:themeColor="text1"/>
          <w:spacing w:val="-1"/>
        </w:rPr>
        <w:t>a</w:t>
      </w:r>
      <w:r w:rsidRPr="00C56257">
        <w:rPr>
          <w:color w:val="000000" w:themeColor="text1"/>
        </w:rPr>
        <w:t>cest</w:t>
      </w:r>
      <w:r w:rsidRPr="00C56257">
        <w:rPr>
          <w:color w:val="000000" w:themeColor="text1"/>
          <w:spacing w:val="20"/>
        </w:rPr>
        <w:t xml:space="preserve"> </w:t>
      </w:r>
      <w:r w:rsidRPr="00C56257">
        <w:rPr>
          <w:color w:val="000000" w:themeColor="text1"/>
        </w:rPr>
        <w:t>tip</w:t>
      </w:r>
      <w:r w:rsidRPr="00C56257">
        <w:rPr>
          <w:color w:val="000000" w:themeColor="text1"/>
          <w:spacing w:val="20"/>
        </w:rPr>
        <w:t xml:space="preserve"> </w:t>
      </w:r>
      <w:r w:rsidRPr="00C56257">
        <w:rPr>
          <w:color w:val="000000" w:themeColor="text1"/>
        </w:rPr>
        <w:t>de</w:t>
      </w:r>
      <w:r w:rsidRPr="00C56257">
        <w:rPr>
          <w:color w:val="000000" w:themeColor="text1"/>
          <w:spacing w:val="20"/>
        </w:rPr>
        <w:t xml:space="preserve"> </w:t>
      </w:r>
      <w:r w:rsidRPr="00C56257">
        <w:rPr>
          <w:color w:val="000000" w:themeColor="text1"/>
          <w:spacing w:val="-1"/>
        </w:rPr>
        <w:t>h</w:t>
      </w:r>
      <w:r w:rsidRPr="00C56257">
        <w:rPr>
          <w:color w:val="000000" w:themeColor="text1"/>
        </w:rPr>
        <w:t>abit</w:t>
      </w:r>
      <w:r w:rsidRPr="00C56257">
        <w:rPr>
          <w:color w:val="000000" w:themeColor="text1"/>
          <w:spacing w:val="-1"/>
        </w:rPr>
        <w:t>a</w:t>
      </w:r>
      <w:r w:rsidRPr="00C56257">
        <w:rPr>
          <w:color w:val="000000" w:themeColor="text1"/>
        </w:rPr>
        <w:t>t</w:t>
      </w:r>
      <w:r w:rsidRPr="00C56257">
        <w:rPr>
          <w:color w:val="000000" w:themeColor="text1"/>
          <w:spacing w:val="20"/>
        </w:rPr>
        <w:t xml:space="preserve"> </w:t>
      </w:r>
      <w:r w:rsidRPr="00C56257">
        <w:rPr>
          <w:color w:val="000000" w:themeColor="text1"/>
        </w:rPr>
        <w:t xml:space="preserve">este inclus în formularul standard al următoarelor </w:t>
      </w:r>
      <w:r w:rsidRPr="00C56257">
        <w:rPr>
          <w:color w:val="000000" w:themeColor="text1"/>
          <w:spacing w:val="-2"/>
        </w:rPr>
        <w:t>S</w:t>
      </w:r>
      <w:r w:rsidRPr="00C56257">
        <w:rPr>
          <w:color w:val="000000" w:themeColor="text1"/>
        </w:rPr>
        <w:t>CI-uri (ROSCI0013 Bucegi, ROSCI0024 Ceah</w:t>
      </w:r>
      <w:r w:rsidRPr="00C56257">
        <w:rPr>
          <w:color w:val="000000" w:themeColor="text1"/>
          <w:spacing w:val="1"/>
        </w:rPr>
        <w:t>l</w:t>
      </w:r>
      <w:r w:rsidRPr="00C56257">
        <w:rPr>
          <w:color w:val="000000" w:themeColor="text1"/>
        </w:rPr>
        <w:t>ău, ROSCI0085 Fru</w:t>
      </w:r>
      <w:r w:rsidRPr="00C56257">
        <w:rPr>
          <w:color w:val="000000" w:themeColor="text1"/>
          <w:spacing w:val="-2"/>
        </w:rPr>
        <w:t>m</w:t>
      </w:r>
      <w:r w:rsidRPr="00C56257">
        <w:rPr>
          <w:color w:val="000000" w:themeColor="text1"/>
        </w:rPr>
        <w:t>oasa, ROSCI0122 Mu</w:t>
      </w:r>
      <w:r w:rsidRPr="00C56257">
        <w:rPr>
          <w:color w:val="000000" w:themeColor="text1"/>
          <w:spacing w:val="1"/>
        </w:rPr>
        <w:t>n</w:t>
      </w:r>
      <w:r w:rsidRPr="00C56257">
        <w:rPr>
          <w:color w:val="000000" w:themeColor="text1"/>
        </w:rPr>
        <w:t>ţii F</w:t>
      </w:r>
      <w:r w:rsidRPr="00C56257">
        <w:rPr>
          <w:color w:val="000000" w:themeColor="text1"/>
          <w:spacing w:val="-1"/>
        </w:rPr>
        <w:t>ă</w:t>
      </w:r>
      <w:r w:rsidRPr="00C56257">
        <w:rPr>
          <w:color w:val="000000" w:themeColor="text1"/>
        </w:rPr>
        <w:t>găras,</w:t>
      </w:r>
      <w:r w:rsidRPr="00C56257">
        <w:rPr>
          <w:color w:val="000000" w:themeColor="text1"/>
          <w:spacing w:val="30"/>
        </w:rPr>
        <w:t xml:space="preserve"> </w:t>
      </w:r>
      <w:r w:rsidRPr="00C56257">
        <w:rPr>
          <w:color w:val="000000" w:themeColor="text1"/>
        </w:rPr>
        <w:t>ROSCI0124 Munţii</w:t>
      </w:r>
      <w:r w:rsidRPr="00C56257">
        <w:rPr>
          <w:color w:val="000000" w:themeColor="text1"/>
          <w:spacing w:val="30"/>
        </w:rPr>
        <w:t xml:space="preserve"> </w:t>
      </w:r>
      <w:r w:rsidRPr="00C56257">
        <w:rPr>
          <w:color w:val="000000" w:themeColor="text1"/>
        </w:rPr>
        <w:t>M</w:t>
      </w:r>
      <w:r w:rsidRPr="00C56257">
        <w:rPr>
          <w:color w:val="000000" w:themeColor="text1"/>
          <w:spacing w:val="-1"/>
        </w:rPr>
        <w:t>a</w:t>
      </w:r>
      <w:r w:rsidRPr="00C56257">
        <w:rPr>
          <w:color w:val="000000" w:themeColor="text1"/>
        </w:rPr>
        <w:t>ramureşului, ROSCI0125</w:t>
      </w:r>
      <w:r w:rsidRPr="00C56257">
        <w:rPr>
          <w:color w:val="000000" w:themeColor="text1"/>
          <w:spacing w:val="10"/>
        </w:rPr>
        <w:t xml:space="preserve"> </w:t>
      </w:r>
      <w:r w:rsidRPr="00C56257">
        <w:rPr>
          <w:color w:val="000000" w:themeColor="text1"/>
        </w:rPr>
        <w:t>Munţii</w:t>
      </w:r>
      <w:r w:rsidRPr="00C56257">
        <w:rPr>
          <w:color w:val="000000" w:themeColor="text1"/>
          <w:spacing w:val="10"/>
        </w:rPr>
        <w:t xml:space="preserve"> </w:t>
      </w:r>
      <w:r w:rsidRPr="00C56257">
        <w:rPr>
          <w:color w:val="000000" w:themeColor="text1"/>
        </w:rPr>
        <w:t>Rodnei,</w:t>
      </w:r>
      <w:r w:rsidRPr="00C56257">
        <w:rPr>
          <w:color w:val="000000" w:themeColor="text1"/>
          <w:spacing w:val="10"/>
        </w:rPr>
        <w:t xml:space="preserve"> </w:t>
      </w:r>
      <w:r w:rsidRPr="00C56257">
        <w:rPr>
          <w:color w:val="000000" w:themeColor="text1"/>
        </w:rPr>
        <w:t>ROSCI0126</w:t>
      </w:r>
      <w:r w:rsidRPr="00C56257">
        <w:rPr>
          <w:color w:val="000000" w:themeColor="text1"/>
          <w:spacing w:val="10"/>
        </w:rPr>
        <w:t xml:space="preserve"> </w:t>
      </w:r>
      <w:r w:rsidRPr="00C56257">
        <w:rPr>
          <w:color w:val="000000" w:themeColor="text1"/>
        </w:rPr>
        <w:t>Munţ</w:t>
      </w:r>
      <w:r w:rsidRPr="00C56257">
        <w:rPr>
          <w:color w:val="000000" w:themeColor="text1"/>
          <w:spacing w:val="-1"/>
        </w:rPr>
        <w:t>i</w:t>
      </w:r>
      <w:r w:rsidRPr="00C56257">
        <w:rPr>
          <w:color w:val="000000" w:themeColor="text1"/>
        </w:rPr>
        <w:t>i</w:t>
      </w:r>
      <w:r w:rsidRPr="00C56257">
        <w:rPr>
          <w:color w:val="000000" w:themeColor="text1"/>
          <w:spacing w:val="9"/>
        </w:rPr>
        <w:t xml:space="preserve"> </w:t>
      </w:r>
      <w:r w:rsidRPr="00C56257">
        <w:rPr>
          <w:color w:val="000000" w:themeColor="text1"/>
        </w:rPr>
        <w:t>Ţarcu,</w:t>
      </w:r>
      <w:r w:rsidRPr="00C56257">
        <w:rPr>
          <w:color w:val="000000" w:themeColor="text1"/>
          <w:spacing w:val="10"/>
        </w:rPr>
        <w:t xml:space="preserve"> </w:t>
      </w:r>
      <w:r w:rsidRPr="00C56257">
        <w:rPr>
          <w:color w:val="000000" w:themeColor="text1"/>
        </w:rPr>
        <w:t>ROSCI0188</w:t>
      </w:r>
      <w:r w:rsidRPr="00C56257">
        <w:rPr>
          <w:color w:val="000000" w:themeColor="text1"/>
          <w:spacing w:val="10"/>
        </w:rPr>
        <w:t xml:space="preserve"> </w:t>
      </w:r>
      <w:r w:rsidRPr="00C56257">
        <w:rPr>
          <w:color w:val="000000" w:themeColor="text1"/>
        </w:rPr>
        <w:t>Parâng,</w:t>
      </w:r>
      <w:r w:rsidRPr="00C56257">
        <w:rPr>
          <w:color w:val="000000" w:themeColor="text1"/>
          <w:spacing w:val="10"/>
        </w:rPr>
        <w:t xml:space="preserve"> </w:t>
      </w:r>
      <w:r w:rsidRPr="00C56257">
        <w:rPr>
          <w:color w:val="000000" w:themeColor="text1"/>
        </w:rPr>
        <w:t>ROSCI0194</w:t>
      </w:r>
      <w:r w:rsidRPr="00C56257">
        <w:rPr>
          <w:color w:val="000000" w:themeColor="text1"/>
          <w:spacing w:val="10"/>
        </w:rPr>
        <w:t xml:space="preserve"> </w:t>
      </w:r>
      <w:r w:rsidRPr="00C56257">
        <w:rPr>
          <w:color w:val="000000" w:themeColor="text1"/>
        </w:rPr>
        <w:t>Piatra Craiului, ROSCI0195</w:t>
      </w:r>
      <w:r w:rsidRPr="00C56257">
        <w:rPr>
          <w:color w:val="000000" w:themeColor="text1"/>
          <w:spacing w:val="-30"/>
        </w:rPr>
        <w:t xml:space="preserve"> </w:t>
      </w:r>
      <w:r w:rsidRPr="00C56257">
        <w:rPr>
          <w:color w:val="000000" w:themeColor="text1"/>
        </w:rPr>
        <w:t>Piatra Mare, ROSCI0207 Pos</w:t>
      </w:r>
      <w:r w:rsidRPr="00C56257">
        <w:rPr>
          <w:color w:val="000000" w:themeColor="text1"/>
          <w:spacing w:val="3"/>
        </w:rPr>
        <w:t>t</w:t>
      </w:r>
      <w:r w:rsidRPr="00C56257">
        <w:rPr>
          <w:color w:val="000000" w:themeColor="text1"/>
        </w:rPr>
        <w:t xml:space="preserve">ăvarul, ROSCI0217 </w:t>
      </w:r>
      <w:r w:rsidRPr="00C56257">
        <w:rPr>
          <w:color w:val="000000" w:themeColor="text1"/>
          <w:spacing w:val="24"/>
        </w:rPr>
        <w:t xml:space="preserve"> </w:t>
      </w:r>
      <w:r w:rsidRPr="00C56257">
        <w:rPr>
          <w:color w:val="000000" w:themeColor="text1"/>
        </w:rPr>
        <w:t>Retezat).</w:t>
      </w:r>
    </w:p>
    <w:p w14:paraId="2927717F" w14:textId="77777777" w:rsidR="002D3CA7" w:rsidRPr="00C56257" w:rsidRDefault="002D3CA7" w:rsidP="008E33FD">
      <w:pPr>
        <w:spacing w:before="39" w:line="276" w:lineRule="auto"/>
        <w:ind w:right="-40" w:firstLine="709"/>
        <w:contextualSpacing/>
        <w:jc w:val="both"/>
        <w:rPr>
          <w:rFonts w:eastAsia="Calibri"/>
          <w:color w:val="000000" w:themeColor="text1"/>
        </w:rPr>
      </w:pPr>
      <w:r w:rsidRPr="00C56257">
        <w:rPr>
          <w:color w:val="000000" w:themeColor="text1"/>
        </w:rPr>
        <w:t>În fiecare punct în care se identifi</w:t>
      </w:r>
      <w:r w:rsidRPr="00C56257">
        <w:rPr>
          <w:color w:val="000000" w:themeColor="text1"/>
          <w:spacing w:val="2"/>
        </w:rPr>
        <w:t>c</w:t>
      </w:r>
      <w:r w:rsidRPr="00C56257">
        <w:rPr>
          <w:color w:val="000000" w:themeColor="text1"/>
        </w:rPr>
        <w:t>ă</w:t>
      </w:r>
      <w:r w:rsidRPr="00C56257">
        <w:rPr>
          <w:color w:val="000000" w:themeColor="text1"/>
          <w:spacing w:val="1"/>
        </w:rPr>
        <w:t xml:space="preserve"> </w:t>
      </w:r>
      <w:r w:rsidRPr="00C56257">
        <w:rPr>
          <w:color w:val="000000" w:themeColor="text1"/>
        </w:rPr>
        <w:t>tipul de habitat</w:t>
      </w:r>
      <w:r w:rsidRPr="00C56257">
        <w:rPr>
          <w:color w:val="000000" w:themeColor="text1"/>
          <w:spacing w:val="1"/>
        </w:rPr>
        <w:t xml:space="preserve"> </w:t>
      </w:r>
      <w:r w:rsidRPr="00C56257">
        <w:rPr>
          <w:color w:val="000000" w:themeColor="text1"/>
        </w:rPr>
        <w:t>se va instala</w:t>
      </w:r>
      <w:r w:rsidRPr="00C56257">
        <w:rPr>
          <w:color w:val="000000" w:themeColor="text1"/>
          <w:spacing w:val="1"/>
        </w:rPr>
        <w:t xml:space="preserve"> </w:t>
      </w:r>
      <w:r w:rsidRPr="00C56257">
        <w:rPr>
          <w:color w:val="000000" w:themeColor="text1"/>
        </w:rPr>
        <w:t>o supraf</w:t>
      </w:r>
      <w:r w:rsidRPr="00C56257">
        <w:rPr>
          <w:color w:val="000000" w:themeColor="text1"/>
          <w:spacing w:val="-1"/>
        </w:rPr>
        <w:t>a</w:t>
      </w:r>
      <w:r w:rsidRPr="00C56257">
        <w:rPr>
          <w:color w:val="000000" w:themeColor="text1"/>
        </w:rPr>
        <w:t>ţă</w:t>
      </w:r>
      <w:r w:rsidRPr="00C56257">
        <w:rPr>
          <w:color w:val="000000" w:themeColor="text1"/>
          <w:spacing w:val="1"/>
        </w:rPr>
        <w:t xml:space="preserve"> </w:t>
      </w:r>
      <w:r w:rsidRPr="00C56257">
        <w:rPr>
          <w:color w:val="000000" w:themeColor="text1"/>
        </w:rPr>
        <w:t>de monitorizare/releveu, aleatoriu,</w:t>
      </w:r>
      <w:r w:rsidRPr="00C56257">
        <w:rPr>
          <w:color w:val="000000" w:themeColor="text1"/>
          <w:spacing w:val="1"/>
        </w:rPr>
        <w:t xml:space="preserve"> </w:t>
      </w:r>
      <w:r w:rsidRPr="00C56257">
        <w:rPr>
          <w:color w:val="000000" w:themeColor="text1"/>
        </w:rPr>
        <w:t>în int</w:t>
      </w:r>
      <w:r w:rsidRPr="00C56257">
        <w:rPr>
          <w:color w:val="000000" w:themeColor="text1"/>
          <w:spacing w:val="-1"/>
        </w:rPr>
        <w:t>e</w:t>
      </w:r>
      <w:r w:rsidRPr="00C56257">
        <w:rPr>
          <w:color w:val="000000" w:themeColor="text1"/>
        </w:rPr>
        <w:t>rio</w:t>
      </w:r>
      <w:r w:rsidRPr="00C56257">
        <w:rPr>
          <w:color w:val="000000" w:themeColor="text1"/>
          <w:spacing w:val="-1"/>
        </w:rPr>
        <w:t>r</w:t>
      </w:r>
      <w:r w:rsidRPr="00C56257">
        <w:rPr>
          <w:color w:val="000000" w:themeColor="text1"/>
        </w:rPr>
        <w:t>ul</w:t>
      </w:r>
      <w:r w:rsidRPr="00C56257">
        <w:rPr>
          <w:color w:val="000000" w:themeColor="text1"/>
          <w:spacing w:val="1"/>
        </w:rPr>
        <w:t xml:space="preserve"> </w:t>
      </w:r>
      <w:r w:rsidRPr="00C56257">
        <w:rPr>
          <w:color w:val="000000" w:themeColor="text1"/>
        </w:rPr>
        <w:t>li</w:t>
      </w:r>
      <w:r w:rsidRPr="00C56257">
        <w:rPr>
          <w:color w:val="000000" w:themeColor="text1"/>
          <w:spacing w:val="-2"/>
        </w:rPr>
        <w:t>m</w:t>
      </w:r>
      <w:r w:rsidRPr="00C56257">
        <w:rPr>
          <w:color w:val="000000" w:themeColor="text1"/>
        </w:rPr>
        <w:t>itelor habit</w:t>
      </w:r>
      <w:r w:rsidRPr="00C56257">
        <w:rPr>
          <w:color w:val="000000" w:themeColor="text1"/>
          <w:spacing w:val="-1"/>
        </w:rPr>
        <w:t>a</w:t>
      </w:r>
      <w:r w:rsidRPr="00C56257">
        <w:rPr>
          <w:color w:val="000000" w:themeColor="text1"/>
        </w:rPr>
        <w:t>tul</w:t>
      </w:r>
      <w:r w:rsidRPr="00C56257">
        <w:rPr>
          <w:color w:val="000000" w:themeColor="text1"/>
          <w:spacing w:val="-1"/>
        </w:rPr>
        <w:t>u</w:t>
      </w:r>
      <w:r w:rsidRPr="00C56257">
        <w:rPr>
          <w:color w:val="000000" w:themeColor="text1"/>
        </w:rPr>
        <w:t>i, în pa</w:t>
      </w:r>
      <w:r w:rsidRPr="00C56257">
        <w:rPr>
          <w:color w:val="000000" w:themeColor="text1"/>
          <w:spacing w:val="-1"/>
        </w:rPr>
        <w:t>r</w:t>
      </w:r>
      <w:r w:rsidRPr="00C56257">
        <w:rPr>
          <w:color w:val="000000" w:themeColor="text1"/>
          <w:spacing w:val="1"/>
        </w:rPr>
        <w:t>t</w:t>
      </w:r>
      <w:r w:rsidRPr="00C56257">
        <w:rPr>
          <w:color w:val="000000" w:themeColor="text1"/>
        </w:rPr>
        <w:t>ea cu</w:t>
      </w:r>
      <w:r w:rsidRPr="00C56257">
        <w:rPr>
          <w:color w:val="000000" w:themeColor="text1"/>
          <w:spacing w:val="1"/>
        </w:rPr>
        <w:t xml:space="preserve"> </w:t>
      </w:r>
      <w:r w:rsidRPr="00C56257">
        <w:rPr>
          <w:color w:val="000000" w:themeColor="text1"/>
        </w:rPr>
        <w:t>veget</w:t>
      </w:r>
      <w:r w:rsidRPr="00C56257">
        <w:rPr>
          <w:color w:val="000000" w:themeColor="text1"/>
          <w:spacing w:val="-1"/>
        </w:rPr>
        <w:t>a</w:t>
      </w:r>
      <w:r w:rsidRPr="00C56257">
        <w:rPr>
          <w:color w:val="000000" w:themeColor="text1"/>
        </w:rPr>
        <w:t>ţie o</w:t>
      </w:r>
      <w:r w:rsidRPr="00C56257">
        <w:rPr>
          <w:color w:val="000000" w:themeColor="text1"/>
          <w:spacing w:val="-2"/>
        </w:rPr>
        <w:t>m</w:t>
      </w:r>
      <w:r w:rsidRPr="00C56257">
        <w:rPr>
          <w:color w:val="000000" w:themeColor="text1"/>
        </w:rPr>
        <w:t>ogenă, pentru a se evita efect</w:t>
      </w:r>
      <w:r w:rsidRPr="00C56257">
        <w:rPr>
          <w:color w:val="000000" w:themeColor="text1"/>
          <w:spacing w:val="-1"/>
        </w:rPr>
        <w:t>u</w:t>
      </w:r>
      <w:r w:rsidRPr="00C56257">
        <w:rPr>
          <w:color w:val="000000" w:themeColor="text1"/>
        </w:rPr>
        <w:t xml:space="preserve">l de </w:t>
      </w:r>
      <w:r w:rsidRPr="00C56257">
        <w:rPr>
          <w:color w:val="000000" w:themeColor="text1"/>
          <w:spacing w:val="-2"/>
        </w:rPr>
        <w:t>m</w:t>
      </w:r>
      <w:r w:rsidRPr="00C56257">
        <w:rPr>
          <w:color w:val="000000" w:themeColor="text1"/>
        </w:rPr>
        <w:t>argine. Se vor instala</w:t>
      </w:r>
      <w:r w:rsidRPr="00C56257">
        <w:rPr>
          <w:color w:val="000000" w:themeColor="text1"/>
          <w:spacing w:val="1"/>
        </w:rPr>
        <w:t xml:space="preserve"> </w:t>
      </w:r>
      <w:r w:rsidRPr="00C56257">
        <w:rPr>
          <w:color w:val="000000" w:themeColor="text1"/>
        </w:rPr>
        <w:t>cel</w:t>
      </w:r>
      <w:r w:rsidRPr="00C56257">
        <w:rPr>
          <w:color w:val="000000" w:themeColor="text1"/>
          <w:spacing w:val="1"/>
        </w:rPr>
        <w:t xml:space="preserve"> </w:t>
      </w:r>
      <w:r w:rsidRPr="00C56257">
        <w:rPr>
          <w:color w:val="000000" w:themeColor="text1"/>
        </w:rPr>
        <w:t>p</w:t>
      </w:r>
      <w:r w:rsidRPr="00C56257">
        <w:rPr>
          <w:color w:val="000000" w:themeColor="text1"/>
          <w:spacing w:val="-1"/>
        </w:rPr>
        <w:t>u</w:t>
      </w:r>
      <w:r w:rsidRPr="00C56257">
        <w:rPr>
          <w:color w:val="000000" w:themeColor="text1"/>
        </w:rPr>
        <w:t>ţin 5 supraf</w:t>
      </w:r>
      <w:r w:rsidRPr="00C56257">
        <w:rPr>
          <w:color w:val="000000" w:themeColor="text1"/>
          <w:spacing w:val="1"/>
        </w:rPr>
        <w:t>e</w:t>
      </w:r>
      <w:r w:rsidRPr="00C56257">
        <w:rPr>
          <w:color w:val="000000" w:themeColor="text1"/>
        </w:rPr>
        <w:t xml:space="preserve">ţe de monitorizare, câte una în fiecare </w:t>
      </w:r>
      <w:r w:rsidRPr="00C56257">
        <w:rPr>
          <w:color w:val="000000" w:themeColor="text1"/>
          <w:spacing w:val="-2"/>
        </w:rPr>
        <w:t>m</w:t>
      </w:r>
      <w:r w:rsidRPr="00C56257">
        <w:rPr>
          <w:color w:val="000000" w:themeColor="text1"/>
        </w:rPr>
        <w:t xml:space="preserve">asiv </w:t>
      </w:r>
      <w:r w:rsidRPr="00C56257">
        <w:rPr>
          <w:color w:val="000000" w:themeColor="text1"/>
          <w:spacing w:val="-5"/>
        </w:rPr>
        <w:t>m</w:t>
      </w:r>
      <w:r w:rsidRPr="00C56257">
        <w:rPr>
          <w:color w:val="000000" w:themeColor="text1"/>
        </w:rPr>
        <w:t xml:space="preserve">untos în care </w:t>
      </w:r>
      <w:r w:rsidRPr="00C56257">
        <w:rPr>
          <w:color w:val="000000" w:themeColor="text1"/>
          <w:spacing w:val="-1"/>
        </w:rPr>
        <w:t>s</w:t>
      </w:r>
      <w:r w:rsidRPr="00C56257">
        <w:rPr>
          <w:color w:val="000000" w:themeColor="text1"/>
        </w:rPr>
        <w:t>e va confir</w:t>
      </w:r>
      <w:r w:rsidRPr="00C56257">
        <w:rPr>
          <w:color w:val="000000" w:themeColor="text1"/>
          <w:spacing w:val="-2"/>
        </w:rPr>
        <w:t>m</w:t>
      </w:r>
      <w:r w:rsidRPr="00C56257">
        <w:rPr>
          <w:color w:val="000000" w:themeColor="text1"/>
        </w:rPr>
        <w:t>a existe</w:t>
      </w:r>
      <w:r w:rsidRPr="00C56257">
        <w:rPr>
          <w:color w:val="000000" w:themeColor="text1"/>
          <w:spacing w:val="-2"/>
        </w:rPr>
        <w:t>n</w:t>
      </w:r>
      <w:r w:rsidRPr="00C56257">
        <w:rPr>
          <w:color w:val="000000" w:themeColor="text1"/>
        </w:rPr>
        <w:t>ţa habitatului.</w:t>
      </w:r>
    </w:p>
    <w:p w14:paraId="6939CDEE" w14:textId="77777777" w:rsidR="002D3CA7" w:rsidRPr="00C56257" w:rsidRDefault="002D3CA7" w:rsidP="008E33FD">
      <w:pPr>
        <w:spacing w:line="276" w:lineRule="auto"/>
        <w:ind w:right="-40" w:firstLine="709"/>
        <w:contextualSpacing/>
        <w:jc w:val="both"/>
        <w:rPr>
          <w:rFonts w:eastAsia="Calibri"/>
          <w:color w:val="000000" w:themeColor="text1"/>
        </w:rPr>
      </w:pPr>
      <w:r w:rsidRPr="00C56257">
        <w:rPr>
          <w:color w:val="000000" w:themeColor="text1"/>
        </w:rPr>
        <w:t>Se</w:t>
      </w:r>
      <w:r w:rsidRPr="00C56257">
        <w:rPr>
          <w:color w:val="000000" w:themeColor="text1"/>
          <w:spacing w:val="22"/>
        </w:rPr>
        <w:t xml:space="preserve"> </w:t>
      </w:r>
      <w:r w:rsidRPr="00C56257">
        <w:rPr>
          <w:color w:val="000000" w:themeColor="text1"/>
        </w:rPr>
        <w:t>reco</w:t>
      </w:r>
      <w:r w:rsidRPr="00C56257">
        <w:rPr>
          <w:color w:val="000000" w:themeColor="text1"/>
          <w:spacing w:val="-2"/>
        </w:rPr>
        <w:t>m</w:t>
      </w:r>
      <w:r w:rsidRPr="00C56257">
        <w:rPr>
          <w:color w:val="000000" w:themeColor="text1"/>
        </w:rPr>
        <w:t>an</w:t>
      </w:r>
      <w:r w:rsidRPr="00C56257">
        <w:rPr>
          <w:color w:val="000000" w:themeColor="text1"/>
          <w:spacing w:val="-1"/>
        </w:rPr>
        <w:t>d</w:t>
      </w:r>
      <w:r w:rsidRPr="00C56257">
        <w:rPr>
          <w:color w:val="000000" w:themeColor="text1"/>
        </w:rPr>
        <w:t>ă</w:t>
      </w:r>
      <w:r w:rsidRPr="00C56257">
        <w:rPr>
          <w:color w:val="000000" w:themeColor="text1"/>
          <w:spacing w:val="22"/>
        </w:rPr>
        <w:t xml:space="preserve"> </w:t>
      </w:r>
      <w:r w:rsidRPr="00C56257">
        <w:rPr>
          <w:color w:val="000000" w:themeColor="text1"/>
        </w:rPr>
        <w:t>adoptarea</w:t>
      </w:r>
      <w:r w:rsidRPr="00C56257">
        <w:rPr>
          <w:color w:val="000000" w:themeColor="text1"/>
          <w:spacing w:val="22"/>
        </w:rPr>
        <w:t xml:space="preserve"> </w:t>
      </w:r>
      <w:r w:rsidRPr="00C56257">
        <w:rPr>
          <w:color w:val="000000" w:themeColor="text1"/>
        </w:rPr>
        <w:t>unor</w:t>
      </w:r>
      <w:r w:rsidRPr="00C56257">
        <w:rPr>
          <w:color w:val="000000" w:themeColor="text1"/>
          <w:spacing w:val="22"/>
        </w:rPr>
        <w:t xml:space="preserve"> </w:t>
      </w:r>
      <w:r w:rsidRPr="00C56257">
        <w:rPr>
          <w:color w:val="000000" w:themeColor="text1"/>
        </w:rPr>
        <w:t>suprafe</w:t>
      </w:r>
      <w:r w:rsidRPr="00C56257">
        <w:rPr>
          <w:color w:val="000000" w:themeColor="text1"/>
          <w:spacing w:val="-1"/>
        </w:rPr>
        <w:t>ţ</w:t>
      </w:r>
      <w:r w:rsidRPr="00C56257">
        <w:rPr>
          <w:color w:val="000000" w:themeColor="text1"/>
        </w:rPr>
        <w:t>e</w:t>
      </w:r>
      <w:r w:rsidRPr="00C56257">
        <w:rPr>
          <w:color w:val="000000" w:themeColor="text1"/>
          <w:spacing w:val="22"/>
        </w:rPr>
        <w:t xml:space="preserve"> </w:t>
      </w:r>
      <w:r w:rsidRPr="00C56257">
        <w:rPr>
          <w:color w:val="000000" w:themeColor="text1"/>
          <w:spacing w:val="-1"/>
        </w:rPr>
        <w:t>d</w:t>
      </w:r>
      <w:r w:rsidRPr="00C56257">
        <w:rPr>
          <w:color w:val="000000" w:themeColor="text1"/>
        </w:rPr>
        <w:t>e</w:t>
      </w:r>
      <w:r w:rsidRPr="00C56257">
        <w:rPr>
          <w:color w:val="000000" w:themeColor="text1"/>
          <w:spacing w:val="22"/>
        </w:rPr>
        <w:t xml:space="preserve"> </w:t>
      </w:r>
      <w:r w:rsidRPr="00C56257">
        <w:rPr>
          <w:color w:val="000000" w:themeColor="text1"/>
          <w:spacing w:val="-1"/>
        </w:rPr>
        <w:t>p</w:t>
      </w:r>
      <w:r w:rsidRPr="00C56257">
        <w:rPr>
          <w:color w:val="000000" w:themeColor="text1"/>
        </w:rPr>
        <w:t>r</w:t>
      </w:r>
      <w:r w:rsidRPr="00C56257">
        <w:rPr>
          <w:color w:val="000000" w:themeColor="text1"/>
          <w:spacing w:val="-1"/>
        </w:rPr>
        <w:t>o</w:t>
      </w:r>
      <w:r w:rsidRPr="00C56257">
        <w:rPr>
          <w:color w:val="000000" w:themeColor="text1"/>
        </w:rPr>
        <w:t>bă</w:t>
      </w:r>
      <w:r w:rsidRPr="00C56257">
        <w:rPr>
          <w:color w:val="000000" w:themeColor="text1"/>
          <w:spacing w:val="22"/>
        </w:rPr>
        <w:t xml:space="preserve"> </w:t>
      </w:r>
      <w:r w:rsidRPr="00C56257">
        <w:rPr>
          <w:color w:val="000000" w:themeColor="text1"/>
        </w:rPr>
        <w:t>de</w:t>
      </w:r>
      <w:r w:rsidRPr="00C56257">
        <w:rPr>
          <w:color w:val="000000" w:themeColor="text1"/>
          <w:spacing w:val="22"/>
        </w:rPr>
        <w:t xml:space="preserve"> </w:t>
      </w:r>
      <w:r w:rsidRPr="00C56257">
        <w:rPr>
          <w:color w:val="000000" w:themeColor="text1"/>
          <w:spacing w:val="-2"/>
        </w:rPr>
        <w:t>m</w:t>
      </w:r>
      <w:r w:rsidRPr="00C56257">
        <w:rPr>
          <w:color w:val="000000" w:themeColor="text1"/>
          <w:spacing w:val="1"/>
        </w:rPr>
        <w:t>i</w:t>
      </w:r>
      <w:r w:rsidRPr="00C56257">
        <w:rPr>
          <w:color w:val="000000" w:themeColor="text1"/>
        </w:rPr>
        <w:t>nim</w:t>
      </w:r>
      <w:r w:rsidRPr="00C56257">
        <w:rPr>
          <w:color w:val="000000" w:themeColor="text1"/>
          <w:spacing w:val="20"/>
        </w:rPr>
        <w:t xml:space="preserve"> </w:t>
      </w:r>
      <w:r w:rsidRPr="00C56257">
        <w:rPr>
          <w:color w:val="000000" w:themeColor="text1"/>
        </w:rPr>
        <w:t>100</w:t>
      </w:r>
      <w:r w:rsidRPr="00C56257">
        <w:rPr>
          <w:color w:val="000000" w:themeColor="text1"/>
          <w:spacing w:val="-1"/>
        </w:rPr>
        <w:t>m</w:t>
      </w:r>
      <w:r w:rsidRPr="00C56257">
        <w:rPr>
          <w:color w:val="000000" w:themeColor="text1"/>
          <w:spacing w:val="-1"/>
          <w:vertAlign w:val="superscript"/>
        </w:rPr>
        <w:t>2</w:t>
      </w:r>
      <w:r w:rsidRPr="00C56257">
        <w:rPr>
          <w:color w:val="000000" w:themeColor="text1"/>
        </w:rPr>
        <w:t>,</w:t>
      </w:r>
      <w:r w:rsidRPr="00C56257">
        <w:rPr>
          <w:color w:val="000000" w:themeColor="text1"/>
          <w:spacing w:val="20"/>
        </w:rPr>
        <w:t xml:space="preserve"> </w:t>
      </w:r>
      <w:r w:rsidRPr="00C56257">
        <w:rPr>
          <w:color w:val="000000" w:themeColor="text1"/>
          <w:spacing w:val="2"/>
        </w:rPr>
        <w:t>î</w:t>
      </w:r>
      <w:r w:rsidRPr="00C56257">
        <w:rPr>
          <w:color w:val="000000" w:themeColor="text1"/>
        </w:rPr>
        <w:t>ntre</w:t>
      </w:r>
      <w:r w:rsidRPr="00C56257">
        <w:rPr>
          <w:color w:val="000000" w:themeColor="text1"/>
          <w:spacing w:val="21"/>
        </w:rPr>
        <w:t xml:space="preserve"> </w:t>
      </w:r>
      <w:r w:rsidRPr="00C56257">
        <w:rPr>
          <w:color w:val="000000" w:themeColor="text1"/>
        </w:rPr>
        <w:t>(100-400</w:t>
      </w:r>
      <w:r w:rsidRPr="00C56257">
        <w:rPr>
          <w:color w:val="000000" w:themeColor="text1"/>
          <w:spacing w:val="-1"/>
        </w:rPr>
        <w:t>m</w:t>
      </w:r>
      <w:r w:rsidRPr="00C56257">
        <w:rPr>
          <w:color w:val="000000" w:themeColor="text1"/>
          <w:spacing w:val="-1"/>
          <w:vertAlign w:val="superscript"/>
        </w:rPr>
        <w:t>2</w:t>
      </w:r>
      <w:r w:rsidRPr="00C56257">
        <w:rPr>
          <w:color w:val="000000" w:themeColor="text1"/>
        </w:rPr>
        <w:t>,</w:t>
      </w:r>
      <w:r w:rsidRPr="00C56257">
        <w:rPr>
          <w:color w:val="000000" w:themeColor="text1"/>
          <w:spacing w:val="22"/>
        </w:rPr>
        <w:t xml:space="preserve"> </w:t>
      </w:r>
      <w:r w:rsidRPr="00C56257">
        <w:rPr>
          <w:color w:val="000000" w:themeColor="text1"/>
          <w:spacing w:val="1"/>
        </w:rPr>
        <w:t>î</w:t>
      </w:r>
      <w:r w:rsidRPr="00C56257">
        <w:rPr>
          <w:color w:val="000000" w:themeColor="text1"/>
        </w:rPr>
        <w:t>n</w:t>
      </w:r>
      <w:r w:rsidRPr="00C56257">
        <w:rPr>
          <w:color w:val="000000" w:themeColor="text1"/>
          <w:spacing w:val="23"/>
        </w:rPr>
        <w:t xml:space="preserve"> </w:t>
      </w:r>
      <w:r w:rsidRPr="00C56257">
        <w:rPr>
          <w:color w:val="000000" w:themeColor="text1"/>
          <w:spacing w:val="-2"/>
        </w:rPr>
        <w:t>m</w:t>
      </w:r>
      <w:r w:rsidRPr="00C56257">
        <w:rPr>
          <w:color w:val="000000" w:themeColor="text1"/>
          <w:spacing w:val="1"/>
        </w:rPr>
        <w:t>o</w:t>
      </w:r>
      <w:r w:rsidRPr="00C56257">
        <w:rPr>
          <w:color w:val="000000" w:themeColor="text1"/>
        </w:rPr>
        <w:t>d excep</w:t>
      </w:r>
      <w:r w:rsidRPr="00C56257">
        <w:rPr>
          <w:color w:val="000000" w:themeColor="text1"/>
          <w:spacing w:val="-1"/>
        </w:rPr>
        <w:t>ţ</w:t>
      </w:r>
      <w:r w:rsidRPr="00C56257">
        <w:rPr>
          <w:color w:val="000000" w:themeColor="text1"/>
        </w:rPr>
        <w:t>ional</w:t>
      </w:r>
      <w:r w:rsidRPr="00C56257">
        <w:rPr>
          <w:color w:val="000000" w:themeColor="text1"/>
          <w:spacing w:val="25"/>
        </w:rPr>
        <w:t xml:space="preserve"> </w:t>
      </w:r>
      <w:r w:rsidRPr="00C56257">
        <w:rPr>
          <w:color w:val="000000" w:themeColor="text1"/>
        </w:rPr>
        <w:t>se</w:t>
      </w:r>
      <w:r w:rsidRPr="00C56257">
        <w:rPr>
          <w:color w:val="000000" w:themeColor="text1"/>
          <w:spacing w:val="25"/>
        </w:rPr>
        <w:t xml:space="preserve"> </w:t>
      </w:r>
      <w:r w:rsidRPr="00C56257">
        <w:rPr>
          <w:color w:val="000000" w:themeColor="text1"/>
        </w:rPr>
        <w:t>acce</w:t>
      </w:r>
      <w:r w:rsidRPr="00C56257">
        <w:rPr>
          <w:color w:val="000000" w:themeColor="text1"/>
          <w:spacing w:val="-1"/>
        </w:rPr>
        <w:t>p</w:t>
      </w:r>
      <w:r w:rsidRPr="00C56257">
        <w:rPr>
          <w:color w:val="000000" w:themeColor="text1"/>
          <w:spacing w:val="1"/>
        </w:rPr>
        <w:t>t</w:t>
      </w:r>
      <w:r w:rsidRPr="00C56257">
        <w:rPr>
          <w:color w:val="000000" w:themeColor="text1"/>
        </w:rPr>
        <w:t>ă</w:t>
      </w:r>
      <w:r w:rsidRPr="00C56257">
        <w:rPr>
          <w:color w:val="000000" w:themeColor="text1"/>
          <w:spacing w:val="25"/>
        </w:rPr>
        <w:t xml:space="preserve"> </w:t>
      </w:r>
      <w:r w:rsidRPr="00C56257">
        <w:rPr>
          <w:color w:val="000000" w:themeColor="text1"/>
          <w:spacing w:val="-1"/>
        </w:rPr>
        <w:t>ş</w:t>
      </w:r>
      <w:r w:rsidRPr="00C56257">
        <w:rPr>
          <w:color w:val="000000" w:themeColor="text1"/>
        </w:rPr>
        <w:t>i</w:t>
      </w:r>
      <w:r w:rsidRPr="00C56257">
        <w:rPr>
          <w:color w:val="000000" w:themeColor="text1"/>
          <w:spacing w:val="25"/>
        </w:rPr>
        <w:t xml:space="preserve"> </w:t>
      </w:r>
      <w:r w:rsidRPr="00C56257">
        <w:rPr>
          <w:color w:val="000000" w:themeColor="text1"/>
        </w:rPr>
        <w:t>50m</w:t>
      </w:r>
      <w:r w:rsidRPr="00C56257">
        <w:rPr>
          <w:color w:val="000000" w:themeColor="text1"/>
          <w:vertAlign w:val="superscript"/>
        </w:rPr>
        <w:t>2</w:t>
      </w:r>
      <w:r w:rsidRPr="00C56257">
        <w:rPr>
          <w:color w:val="000000" w:themeColor="text1"/>
        </w:rPr>
        <w:t>),</w:t>
      </w:r>
      <w:r w:rsidRPr="00C56257">
        <w:rPr>
          <w:color w:val="000000" w:themeColor="text1"/>
          <w:spacing w:val="25"/>
        </w:rPr>
        <w:t xml:space="preserve"> </w:t>
      </w:r>
      <w:r w:rsidRPr="00C56257">
        <w:rPr>
          <w:color w:val="000000" w:themeColor="text1"/>
        </w:rPr>
        <w:t>ast</w:t>
      </w:r>
      <w:r w:rsidRPr="00C56257">
        <w:rPr>
          <w:color w:val="000000" w:themeColor="text1"/>
          <w:spacing w:val="-1"/>
        </w:rPr>
        <w:t>f</w:t>
      </w:r>
      <w:r w:rsidRPr="00C56257">
        <w:rPr>
          <w:color w:val="000000" w:themeColor="text1"/>
        </w:rPr>
        <w:t>el</w:t>
      </w:r>
      <w:r w:rsidRPr="00C56257">
        <w:rPr>
          <w:color w:val="000000" w:themeColor="text1"/>
          <w:spacing w:val="26"/>
        </w:rPr>
        <w:t xml:space="preserve"> </w:t>
      </w:r>
      <w:r w:rsidRPr="00C56257">
        <w:rPr>
          <w:color w:val="000000" w:themeColor="text1"/>
        </w:rPr>
        <w:t>în</w:t>
      </w:r>
      <w:r w:rsidRPr="00C56257">
        <w:rPr>
          <w:color w:val="000000" w:themeColor="text1"/>
          <w:spacing w:val="-1"/>
        </w:rPr>
        <w:t>c</w:t>
      </w:r>
      <w:r w:rsidRPr="00C56257">
        <w:rPr>
          <w:color w:val="000000" w:themeColor="text1"/>
        </w:rPr>
        <w:t>ât</w:t>
      </w:r>
      <w:r w:rsidRPr="00C56257">
        <w:rPr>
          <w:color w:val="000000" w:themeColor="text1"/>
          <w:spacing w:val="26"/>
        </w:rPr>
        <w:t xml:space="preserve"> </w:t>
      </w:r>
      <w:r w:rsidRPr="00C56257">
        <w:rPr>
          <w:color w:val="000000" w:themeColor="text1"/>
          <w:spacing w:val="-2"/>
        </w:rPr>
        <w:t>s</w:t>
      </w:r>
      <w:r w:rsidRPr="00C56257">
        <w:rPr>
          <w:color w:val="000000" w:themeColor="text1"/>
        </w:rPr>
        <w:t>ă</w:t>
      </w:r>
      <w:r w:rsidRPr="00C56257">
        <w:rPr>
          <w:color w:val="000000" w:themeColor="text1"/>
          <w:spacing w:val="24"/>
        </w:rPr>
        <w:t xml:space="preserve"> </w:t>
      </w:r>
      <w:r w:rsidRPr="00C56257">
        <w:rPr>
          <w:color w:val="000000" w:themeColor="text1"/>
        </w:rPr>
        <w:t>fie</w:t>
      </w:r>
      <w:r w:rsidRPr="00C56257">
        <w:rPr>
          <w:color w:val="000000" w:themeColor="text1"/>
          <w:spacing w:val="26"/>
        </w:rPr>
        <w:t xml:space="preserve"> </w:t>
      </w:r>
      <w:r w:rsidRPr="00C56257">
        <w:rPr>
          <w:color w:val="000000" w:themeColor="text1"/>
        </w:rPr>
        <w:t>asig</w:t>
      </w:r>
      <w:r w:rsidRPr="00C56257">
        <w:rPr>
          <w:color w:val="000000" w:themeColor="text1"/>
          <w:spacing w:val="-1"/>
        </w:rPr>
        <w:t>u</w:t>
      </w:r>
      <w:r w:rsidRPr="00C56257">
        <w:rPr>
          <w:color w:val="000000" w:themeColor="text1"/>
        </w:rPr>
        <w:t>ra</w:t>
      </w:r>
      <w:r w:rsidRPr="00C56257">
        <w:rPr>
          <w:color w:val="000000" w:themeColor="text1"/>
          <w:spacing w:val="-1"/>
        </w:rPr>
        <w:t>t</w:t>
      </w:r>
      <w:r w:rsidRPr="00C56257">
        <w:rPr>
          <w:color w:val="000000" w:themeColor="text1"/>
        </w:rPr>
        <w:t>ă</w:t>
      </w:r>
      <w:r w:rsidRPr="00C56257">
        <w:rPr>
          <w:color w:val="000000" w:themeColor="text1"/>
          <w:spacing w:val="25"/>
        </w:rPr>
        <w:t xml:space="preserve"> </w:t>
      </w:r>
      <w:r w:rsidRPr="00C56257">
        <w:rPr>
          <w:color w:val="000000" w:themeColor="text1"/>
        </w:rPr>
        <w:t>aria</w:t>
      </w:r>
      <w:r w:rsidRPr="00C56257">
        <w:rPr>
          <w:color w:val="000000" w:themeColor="text1"/>
          <w:spacing w:val="25"/>
        </w:rPr>
        <w:t xml:space="preserve"> </w:t>
      </w:r>
      <w:r w:rsidRPr="00C56257">
        <w:rPr>
          <w:color w:val="000000" w:themeColor="text1"/>
          <w:spacing w:val="-2"/>
        </w:rPr>
        <w:t>m</w:t>
      </w:r>
      <w:r w:rsidRPr="00C56257">
        <w:rPr>
          <w:color w:val="000000" w:themeColor="text1"/>
          <w:spacing w:val="1"/>
        </w:rPr>
        <w:t>i</w:t>
      </w:r>
      <w:r w:rsidRPr="00C56257">
        <w:rPr>
          <w:color w:val="000000" w:themeColor="text1"/>
        </w:rPr>
        <w:t>ni</w:t>
      </w:r>
      <w:r w:rsidRPr="00C56257">
        <w:rPr>
          <w:color w:val="000000" w:themeColor="text1"/>
          <w:spacing w:val="-3"/>
        </w:rPr>
        <w:t>m</w:t>
      </w:r>
      <w:r w:rsidRPr="00C56257">
        <w:rPr>
          <w:color w:val="000000" w:themeColor="text1"/>
        </w:rPr>
        <w:t>ă</w:t>
      </w:r>
      <w:r w:rsidRPr="00C56257">
        <w:rPr>
          <w:color w:val="000000" w:themeColor="text1"/>
          <w:spacing w:val="25"/>
        </w:rPr>
        <w:t xml:space="preserve"> </w:t>
      </w:r>
      <w:r w:rsidRPr="00C56257">
        <w:rPr>
          <w:color w:val="000000" w:themeColor="text1"/>
        </w:rPr>
        <w:t>de</w:t>
      </w:r>
      <w:r w:rsidRPr="00C56257">
        <w:rPr>
          <w:color w:val="000000" w:themeColor="text1"/>
          <w:spacing w:val="25"/>
        </w:rPr>
        <w:t xml:space="preserve"> </w:t>
      </w:r>
      <w:r w:rsidRPr="00C56257">
        <w:rPr>
          <w:color w:val="000000" w:themeColor="text1"/>
        </w:rPr>
        <w:t>inventariere,</w:t>
      </w:r>
      <w:r w:rsidRPr="00C56257">
        <w:rPr>
          <w:color w:val="000000" w:themeColor="text1"/>
          <w:spacing w:val="25"/>
        </w:rPr>
        <w:t xml:space="preserve"> </w:t>
      </w:r>
      <w:r w:rsidRPr="00C56257">
        <w:rPr>
          <w:color w:val="000000" w:themeColor="text1"/>
        </w:rPr>
        <w:t xml:space="preserve">care cuprinde </w:t>
      </w:r>
      <w:r w:rsidRPr="00C56257">
        <w:rPr>
          <w:color w:val="000000" w:themeColor="text1"/>
          <w:spacing w:val="-2"/>
        </w:rPr>
        <w:t>m</w:t>
      </w:r>
      <w:r w:rsidRPr="00C56257">
        <w:rPr>
          <w:color w:val="000000" w:themeColor="text1"/>
        </w:rPr>
        <w:t>ajoritatea sp</w:t>
      </w:r>
      <w:r w:rsidRPr="00C56257">
        <w:rPr>
          <w:color w:val="000000" w:themeColor="text1"/>
          <w:spacing w:val="-1"/>
        </w:rPr>
        <w:t>e</w:t>
      </w:r>
      <w:r w:rsidRPr="00C56257">
        <w:rPr>
          <w:color w:val="000000" w:themeColor="text1"/>
        </w:rPr>
        <w:t>ciilor c</w:t>
      </w:r>
      <w:r w:rsidRPr="00C56257">
        <w:rPr>
          <w:color w:val="000000" w:themeColor="text1"/>
          <w:spacing w:val="-1"/>
        </w:rPr>
        <w:t>a</w:t>
      </w:r>
      <w:r w:rsidRPr="00C56257">
        <w:rPr>
          <w:color w:val="000000" w:themeColor="text1"/>
        </w:rPr>
        <w:t>re i</w:t>
      </w:r>
      <w:r w:rsidRPr="00C56257">
        <w:rPr>
          <w:color w:val="000000" w:themeColor="text1"/>
          <w:spacing w:val="-1"/>
        </w:rPr>
        <w:t>n</w:t>
      </w:r>
      <w:r w:rsidRPr="00C56257">
        <w:rPr>
          <w:color w:val="000000" w:themeColor="text1"/>
        </w:rPr>
        <w:t>t</w:t>
      </w:r>
      <w:r w:rsidRPr="00C56257">
        <w:rPr>
          <w:color w:val="000000" w:themeColor="text1"/>
          <w:spacing w:val="-2"/>
        </w:rPr>
        <w:t>r</w:t>
      </w:r>
      <w:r w:rsidRPr="00C56257">
        <w:rPr>
          <w:color w:val="000000" w:themeColor="text1"/>
        </w:rPr>
        <w:t>ă în co</w:t>
      </w:r>
      <w:r w:rsidRPr="00C56257">
        <w:rPr>
          <w:color w:val="000000" w:themeColor="text1"/>
          <w:spacing w:val="-2"/>
        </w:rPr>
        <w:t>m</w:t>
      </w:r>
      <w:r w:rsidRPr="00C56257">
        <w:rPr>
          <w:color w:val="000000" w:themeColor="text1"/>
        </w:rPr>
        <w:t>poz</w:t>
      </w:r>
      <w:r w:rsidRPr="00C56257">
        <w:rPr>
          <w:color w:val="000000" w:themeColor="text1"/>
          <w:spacing w:val="1"/>
        </w:rPr>
        <w:t>i</w:t>
      </w:r>
      <w:r w:rsidRPr="00C56257">
        <w:rPr>
          <w:color w:val="000000" w:themeColor="text1"/>
          <w:spacing w:val="-1"/>
        </w:rPr>
        <w:t>ţ</w:t>
      </w:r>
      <w:r w:rsidRPr="00C56257">
        <w:rPr>
          <w:color w:val="000000" w:themeColor="text1"/>
        </w:rPr>
        <w:t xml:space="preserve">ia </w:t>
      </w:r>
      <w:r w:rsidRPr="00C56257">
        <w:rPr>
          <w:color w:val="000000" w:themeColor="text1"/>
          <w:spacing w:val="-1"/>
        </w:rPr>
        <w:t>f</w:t>
      </w:r>
      <w:r w:rsidRPr="00C56257">
        <w:rPr>
          <w:color w:val="000000" w:themeColor="text1"/>
        </w:rPr>
        <w:t>ito</w:t>
      </w:r>
      <w:r w:rsidRPr="00C56257">
        <w:rPr>
          <w:color w:val="000000" w:themeColor="text1"/>
          <w:spacing w:val="-1"/>
        </w:rPr>
        <w:t>c</w:t>
      </w:r>
      <w:r w:rsidRPr="00C56257">
        <w:rPr>
          <w:color w:val="000000" w:themeColor="text1"/>
        </w:rPr>
        <w:t>e</w:t>
      </w:r>
      <w:r w:rsidRPr="00C56257">
        <w:rPr>
          <w:color w:val="000000" w:themeColor="text1"/>
          <w:spacing w:val="-1"/>
        </w:rPr>
        <w:t>n</w:t>
      </w:r>
      <w:r w:rsidRPr="00C56257">
        <w:rPr>
          <w:color w:val="000000" w:themeColor="text1"/>
        </w:rPr>
        <w:t xml:space="preserve">ozelor </w:t>
      </w:r>
      <w:r w:rsidRPr="00C56257">
        <w:rPr>
          <w:color w:val="000000" w:themeColor="text1"/>
          <w:spacing w:val="-1"/>
        </w:rPr>
        <w:t>h</w:t>
      </w:r>
      <w:r w:rsidRPr="00C56257">
        <w:rPr>
          <w:color w:val="000000" w:themeColor="text1"/>
        </w:rPr>
        <w:t>abitatul</w:t>
      </w:r>
      <w:r w:rsidRPr="00C56257">
        <w:rPr>
          <w:color w:val="000000" w:themeColor="text1"/>
          <w:spacing w:val="-1"/>
        </w:rPr>
        <w:t>u</w:t>
      </w:r>
      <w:r w:rsidRPr="00C56257">
        <w:rPr>
          <w:color w:val="000000" w:themeColor="text1"/>
        </w:rPr>
        <w:t>i.</w:t>
      </w:r>
    </w:p>
    <w:p w14:paraId="699E1786" w14:textId="77777777" w:rsidR="002D3CA7" w:rsidRPr="00C56257" w:rsidRDefault="002D3CA7" w:rsidP="008E33FD">
      <w:pPr>
        <w:spacing w:before="7" w:line="276" w:lineRule="auto"/>
        <w:ind w:right="-40" w:firstLine="709"/>
        <w:contextualSpacing/>
        <w:jc w:val="both"/>
        <w:rPr>
          <w:rFonts w:eastAsia="Calibri"/>
          <w:color w:val="000000" w:themeColor="text1"/>
        </w:rPr>
      </w:pPr>
      <w:r w:rsidRPr="00C56257">
        <w:rPr>
          <w:color w:val="000000" w:themeColor="text1"/>
        </w:rPr>
        <w:lastRenderedPageBreak/>
        <w:t>În</w:t>
      </w:r>
      <w:r w:rsidRPr="00C56257">
        <w:rPr>
          <w:color w:val="000000" w:themeColor="text1"/>
          <w:spacing w:val="2"/>
        </w:rPr>
        <w:t xml:space="preserve"> </w:t>
      </w:r>
      <w:r w:rsidRPr="00C56257">
        <w:rPr>
          <w:color w:val="000000" w:themeColor="text1"/>
        </w:rPr>
        <w:t>ceea</w:t>
      </w:r>
      <w:r w:rsidRPr="00C56257">
        <w:rPr>
          <w:color w:val="000000" w:themeColor="text1"/>
          <w:spacing w:val="2"/>
        </w:rPr>
        <w:t xml:space="preserve"> </w:t>
      </w:r>
      <w:r w:rsidRPr="00C56257">
        <w:rPr>
          <w:color w:val="000000" w:themeColor="text1"/>
        </w:rPr>
        <w:t>ce</w:t>
      </w:r>
      <w:r w:rsidRPr="00C56257">
        <w:rPr>
          <w:color w:val="000000" w:themeColor="text1"/>
          <w:spacing w:val="2"/>
        </w:rPr>
        <w:t xml:space="preserve"> </w:t>
      </w:r>
      <w:r w:rsidRPr="00C56257">
        <w:rPr>
          <w:color w:val="000000" w:themeColor="text1"/>
          <w:spacing w:val="-1"/>
        </w:rPr>
        <w:t>p</w:t>
      </w:r>
      <w:r w:rsidRPr="00C56257">
        <w:rPr>
          <w:color w:val="000000" w:themeColor="text1"/>
        </w:rPr>
        <w:t>rive</w:t>
      </w:r>
      <w:r w:rsidRPr="00C56257">
        <w:rPr>
          <w:color w:val="000000" w:themeColor="text1"/>
          <w:spacing w:val="-1"/>
        </w:rPr>
        <w:t>ş</w:t>
      </w:r>
      <w:r w:rsidRPr="00C56257">
        <w:rPr>
          <w:color w:val="000000" w:themeColor="text1"/>
        </w:rPr>
        <w:t>te</w:t>
      </w:r>
      <w:r w:rsidRPr="00C56257">
        <w:rPr>
          <w:color w:val="000000" w:themeColor="text1"/>
          <w:spacing w:val="2"/>
        </w:rPr>
        <w:t xml:space="preserve"> </w:t>
      </w:r>
      <w:r w:rsidRPr="00C56257">
        <w:rPr>
          <w:color w:val="000000" w:themeColor="text1"/>
        </w:rPr>
        <w:t>forma</w:t>
      </w:r>
      <w:r w:rsidRPr="00C56257">
        <w:rPr>
          <w:color w:val="000000" w:themeColor="text1"/>
          <w:spacing w:val="2"/>
        </w:rPr>
        <w:t xml:space="preserve"> </w:t>
      </w:r>
      <w:r w:rsidRPr="00C56257">
        <w:rPr>
          <w:color w:val="000000" w:themeColor="text1"/>
        </w:rPr>
        <w:t>releve</w:t>
      </w:r>
      <w:r w:rsidRPr="00C56257">
        <w:rPr>
          <w:color w:val="000000" w:themeColor="text1"/>
          <w:spacing w:val="-1"/>
        </w:rPr>
        <w:t>u</w:t>
      </w:r>
      <w:r w:rsidRPr="00C56257">
        <w:rPr>
          <w:color w:val="000000" w:themeColor="text1"/>
          <w:spacing w:val="1"/>
        </w:rPr>
        <w:t>l</w:t>
      </w:r>
      <w:r w:rsidRPr="00C56257">
        <w:rPr>
          <w:color w:val="000000" w:themeColor="text1"/>
        </w:rPr>
        <w:t>ui, aceasta</w:t>
      </w:r>
      <w:r w:rsidRPr="00C56257">
        <w:rPr>
          <w:color w:val="000000" w:themeColor="text1"/>
          <w:spacing w:val="2"/>
        </w:rPr>
        <w:t xml:space="preserve"> </w:t>
      </w:r>
      <w:r w:rsidRPr="00C56257">
        <w:rPr>
          <w:color w:val="000000" w:themeColor="text1"/>
          <w:spacing w:val="-1"/>
        </w:rPr>
        <w:t>s</w:t>
      </w:r>
      <w:r w:rsidRPr="00C56257">
        <w:rPr>
          <w:color w:val="000000" w:themeColor="text1"/>
        </w:rPr>
        <w:t>e</w:t>
      </w:r>
      <w:r w:rsidRPr="00C56257">
        <w:rPr>
          <w:color w:val="000000" w:themeColor="text1"/>
          <w:spacing w:val="2"/>
        </w:rPr>
        <w:t xml:space="preserve"> </w:t>
      </w:r>
      <w:r w:rsidRPr="00C56257">
        <w:rPr>
          <w:color w:val="000000" w:themeColor="text1"/>
        </w:rPr>
        <w:t>adaptea</w:t>
      </w:r>
      <w:r w:rsidRPr="00C56257">
        <w:rPr>
          <w:color w:val="000000" w:themeColor="text1"/>
          <w:spacing w:val="-2"/>
        </w:rPr>
        <w:t>z</w:t>
      </w:r>
      <w:r w:rsidRPr="00C56257">
        <w:rPr>
          <w:color w:val="000000" w:themeColor="text1"/>
        </w:rPr>
        <w:t>ă</w:t>
      </w:r>
      <w:r w:rsidRPr="00C56257">
        <w:rPr>
          <w:color w:val="000000" w:themeColor="text1"/>
          <w:spacing w:val="2"/>
        </w:rPr>
        <w:t xml:space="preserve"> </w:t>
      </w:r>
      <w:r w:rsidRPr="00C56257">
        <w:rPr>
          <w:color w:val="000000" w:themeColor="text1"/>
        </w:rPr>
        <w:t>în</w:t>
      </w:r>
      <w:r w:rsidRPr="00C56257">
        <w:rPr>
          <w:color w:val="000000" w:themeColor="text1"/>
          <w:spacing w:val="2"/>
        </w:rPr>
        <w:t xml:space="preserve"> </w:t>
      </w:r>
      <w:r w:rsidRPr="00C56257">
        <w:rPr>
          <w:color w:val="000000" w:themeColor="text1"/>
        </w:rPr>
        <w:t>funcţie</w:t>
      </w:r>
      <w:r w:rsidRPr="00C56257">
        <w:rPr>
          <w:color w:val="000000" w:themeColor="text1"/>
          <w:spacing w:val="2"/>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configura</w:t>
      </w:r>
      <w:r w:rsidRPr="00C56257">
        <w:rPr>
          <w:color w:val="000000" w:themeColor="text1"/>
          <w:spacing w:val="1"/>
        </w:rPr>
        <w:t>ţ</w:t>
      </w:r>
      <w:r w:rsidRPr="00C56257">
        <w:rPr>
          <w:color w:val="000000" w:themeColor="text1"/>
        </w:rPr>
        <w:t>ia</w:t>
      </w:r>
      <w:r w:rsidRPr="00C56257">
        <w:rPr>
          <w:color w:val="000000" w:themeColor="text1"/>
          <w:spacing w:val="2"/>
        </w:rPr>
        <w:t xml:space="preserve"> </w:t>
      </w:r>
      <w:r w:rsidRPr="00C56257">
        <w:rPr>
          <w:color w:val="000000" w:themeColor="text1"/>
        </w:rPr>
        <w:t>suprafeţ</w:t>
      </w:r>
      <w:r w:rsidRPr="00C56257">
        <w:rPr>
          <w:color w:val="000000" w:themeColor="text1"/>
          <w:spacing w:val="-1"/>
        </w:rPr>
        <w:t xml:space="preserve">ei </w:t>
      </w:r>
      <w:r w:rsidRPr="00C56257">
        <w:rPr>
          <w:color w:val="000000" w:themeColor="text1"/>
        </w:rPr>
        <w:t>deţin</w:t>
      </w:r>
      <w:r w:rsidRPr="00C56257">
        <w:rPr>
          <w:color w:val="000000" w:themeColor="text1"/>
          <w:spacing w:val="-1"/>
        </w:rPr>
        <w:t>u</w:t>
      </w:r>
      <w:r w:rsidRPr="00C56257">
        <w:rPr>
          <w:color w:val="000000" w:themeColor="text1"/>
          <w:spacing w:val="1"/>
        </w:rPr>
        <w:t>t</w:t>
      </w:r>
      <w:r w:rsidRPr="00C56257">
        <w:rPr>
          <w:color w:val="000000" w:themeColor="text1"/>
        </w:rPr>
        <w:t>e</w:t>
      </w:r>
      <w:r w:rsidRPr="00C56257">
        <w:rPr>
          <w:color w:val="000000" w:themeColor="text1"/>
          <w:spacing w:val="1"/>
        </w:rPr>
        <w:t xml:space="preserve"> </w:t>
      </w:r>
      <w:r w:rsidRPr="00C56257">
        <w:rPr>
          <w:color w:val="000000" w:themeColor="text1"/>
        </w:rPr>
        <w:t>de habit</w:t>
      </w:r>
      <w:r w:rsidRPr="00C56257">
        <w:rPr>
          <w:color w:val="000000" w:themeColor="text1"/>
          <w:spacing w:val="-1"/>
        </w:rPr>
        <w:t>a</w:t>
      </w:r>
      <w:r w:rsidRPr="00C56257">
        <w:rPr>
          <w:color w:val="000000" w:themeColor="text1"/>
        </w:rPr>
        <w:t>t</w:t>
      </w:r>
      <w:r w:rsidRPr="00C56257">
        <w:rPr>
          <w:color w:val="000000" w:themeColor="text1"/>
          <w:spacing w:val="1"/>
        </w:rPr>
        <w:t xml:space="preserve"> </w:t>
      </w:r>
      <w:r w:rsidRPr="00C56257">
        <w:rPr>
          <w:color w:val="000000" w:themeColor="text1"/>
        </w:rPr>
        <w:t>şi</w:t>
      </w:r>
      <w:r w:rsidRPr="00C56257">
        <w:rPr>
          <w:color w:val="000000" w:themeColor="text1"/>
          <w:spacing w:val="1"/>
        </w:rPr>
        <w:t xml:space="preserve"> </w:t>
      </w:r>
      <w:r w:rsidRPr="00C56257">
        <w:rPr>
          <w:color w:val="000000" w:themeColor="text1"/>
        </w:rPr>
        <w:t>care</w:t>
      </w:r>
      <w:r w:rsidRPr="00C56257">
        <w:rPr>
          <w:color w:val="000000" w:themeColor="text1"/>
          <w:spacing w:val="1"/>
        </w:rPr>
        <w:t xml:space="preserve"> </w:t>
      </w:r>
      <w:r w:rsidRPr="00C56257">
        <w:rPr>
          <w:color w:val="000000" w:themeColor="text1"/>
          <w:spacing w:val="-1"/>
        </w:rPr>
        <w:t>s</w:t>
      </w:r>
      <w:r w:rsidRPr="00C56257">
        <w:rPr>
          <w:color w:val="000000" w:themeColor="text1"/>
        </w:rPr>
        <w:t>ă</w:t>
      </w:r>
      <w:r w:rsidRPr="00C56257">
        <w:rPr>
          <w:color w:val="000000" w:themeColor="text1"/>
          <w:spacing w:val="1"/>
        </w:rPr>
        <w:t xml:space="preserve"> </w:t>
      </w:r>
      <w:r w:rsidRPr="00C56257">
        <w:rPr>
          <w:color w:val="000000" w:themeColor="text1"/>
          <w:spacing w:val="-1"/>
        </w:rPr>
        <w:t>p</w:t>
      </w:r>
      <w:r w:rsidRPr="00C56257">
        <w:rPr>
          <w:color w:val="000000" w:themeColor="text1"/>
        </w:rPr>
        <w:t>e</w:t>
      </w:r>
      <w:r w:rsidRPr="00C56257">
        <w:rPr>
          <w:color w:val="000000" w:themeColor="text1"/>
          <w:spacing w:val="-1"/>
        </w:rPr>
        <w:t>rm</w:t>
      </w:r>
      <w:r w:rsidRPr="00C56257">
        <w:rPr>
          <w:color w:val="000000" w:themeColor="text1"/>
          <w:spacing w:val="1"/>
        </w:rPr>
        <w:t>i</w:t>
      </w:r>
      <w:r w:rsidRPr="00C56257">
        <w:rPr>
          <w:color w:val="000000" w:themeColor="text1"/>
        </w:rPr>
        <w:t>tă</w:t>
      </w:r>
      <w:r w:rsidRPr="00C56257">
        <w:rPr>
          <w:color w:val="000000" w:themeColor="text1"/>
          <w:spacing w:val="1"/>
        </w:rPr>
        <w:t xml:space="preserve"> </w:t>
      </w:r>
      <w:r w:rsidRPr="00C56257">
        <w:rPr>
          <w:color w:val="000000" w:themeColor="text1"/>
        </w:rPr>
        <w:t>inventarierea</w:t>
      </w:r>
      <w:r w:rsidRPr="00C56257">
        <w:rPr>
          <w:color w:val="000000" w:themeColor="text1"/>
          <w:spacing w:val="1"/>
        </w:rPr>
        <w:t xml:space="preserve"> </w:t>
      </w:r>
      <w:r w:rsidRPr="00C56257">
        <w:rPr>
          <w:color w:val="000000" w:themeColor="text1"/>
          <w:spacing w:val="-2"/>
        </w:rPr>
        <w:t>m</w:t>
      </w:r>
      <w:r w:rsidRPr="00C56257">
        <w:rPr>
          <w:color w:val="000000" w:themeColor="text1"/>
        </w:rPr>
        <w:t>ajori</w:t>
      </w:r>
      <w:r w:rsidRPr="00C56257">
        <w:rPr>
          <w:color w:val="000000" w:themeColor="text1"/>
          <w:spacing w:val="-2"/>
        </w:rPr>
        <w:t>t</w:t>
      </w:r>
      <w:r w:rsidRPr="00C56257">
        <w:rPr>
          <w:color w:val="000000" w:themeColor="text1"/>
        </w:rPr>
        <w:t>ăţii</w:t>
      </w:r>
      <w:r w:rsidRPr="00C56257">
        <w:rPr>
          <w:color w:val="000000" w:themeColor="text1"/>
          <w:spacing w:val="1"/>
        </w:rPr>
        <w:t xml:space="preserve"> </w:t>
      </w:r>
      <w:r w:rsidRPr="00C56257">
        <w:rPr>
          <w:color w:val="000000" w:themeColor="text1"/>
        </w:rPr>
        <w:t>spe</w:t>
      </w:r>
      <w:r w:rsidRPr="00C56257">
        <w:rPr>
          <w:color w:val="000000" w:themeColor="text1"/>
          <w:spacing w:val="-1"/>
        </w:rPr>
        <w:t>c</w:t>
      </w:r>
      <w:r w:rsidRPr="00C56257">
        <w:rPr>
          <w:color w:val="000000" w:themeColor="text1"/>
        </w:rPr>
        <w:t>iil</w:t>
      </w:r>
      <w:r w:rsidRPr="00C56257">
        <w:rPr>
          <w:color w:val="000000" w:themeColor="text1"/>
          <w:spacing w:val="-1"/>
        </w:rPr>
        <w:t>o</w:t>
      </w:r>
      <w:r w:rsidRPr="00C56257">
        <w:rPr>
          <w:color w:val="000000" w:themeColor="text1"/>
        </w:rPr>
        <w:t>r</w:t>
      </w:r>
      <w:r w:rsidRPr="00C56257">
        <w:rPr>
          <w:color w:val="000000" w:themeColor="text1"/>
          <w:spacing w:val="1"/>
        </w:rPr>
        <w:t xml:space="preserve"> </w:t>
      </w:r>
      <w:r w:rsidRPr="00C56257">
        <w:rPr>
          <w:color w:val="000000" w:themeColor="text1"/>
        </w:rPr>
        <w:t>co</w:t>
      </w:r>
      <w:r w:rsidRPr="00C56257">
        <w:rPr>
          <w:color w:val="000000" w:themeColor="text1"/>
          <w:spacing w:val="-2"/>
        </w:rPr>
        <w:t>m</w:t>
      </w:r>
      <w:r w:rsidRPr="00C56257">
        <w:rPr>
          <w:color w:val="000000" w:themeColor="text1"/>
        </w:rPr>
        <w:t>ponente.</w:t>
      </w:r>
      <w:r w:rsidRPr="00C56257">
        <w:rPr>
          <w:color w:val="000000" w:themeColor="text1"/>
          <w:spacing w:val="1"/>
        </w:rPr>
        <w:t xml:space="preserve"> </w:t>
      </w:r>
      <w:r w:rsidRPr="00C56257">
        <w:rPr>
          <w:color w:val="000000" w:themeColor="text1"/>
        </w:rPr>
        <w:t>Se reco</w:t>
      </w:r>
      <w:r w:rsidRPr="00C56257">
        <w:rPr>
          <w:color w:val="000000" w:themeColor="text1"/>
          <w:spacing w:val="-2"/>
        </w:rPr>
        <w:t>m</w:t>
      </w:r>
      <w:r w:rsidRPr="00C56257">
        <w:rPr>
          <w:color w:val="000000" w:themeColor="text1"/>
        </w:rPr>
        <w:t>andă</w:t>
      </w:r>
      <w:r w:rsidRPr="00C56257">
        <w:rPr>
          <w:color w:val="000000" w:themeColor="text1"/>
          <w:spacing w:val="2"/>
        </w:rPr>
        <w:t xml:space="preserve"> </w:t>
      </w:r>
      <w:r w:rsidRPr="00C56257">
        <w:rPr>
          <w:color w:val="000000" w:themeColor="text1"/>
        </w:rPr>
        <w:t>for</w:t>
      </w:r>
      <w:r w:rsidRPr="00C56257">
        <w:rPr>
          <w:color w:val="000000" w:themeColor="text1"/>
          <w:spacing w:val="-2"/>
        </w:rPr>
        <w:t>m</w:t>
      </w:r>
      <w:r w:rsidRPr="00C56257">
        <w:rPr>
          <w:color w:val="000000" w:themeColor="text1"/>
        </w:rPr>
        <w:t>a</w:t>
      </w:r>
      <w:r w:rsidRPr="00C56257">
        <w:rPr>
          <w:color w:val="000000" w:themeColor="text1"/>
          <w:spacing w:val="2"/>
        </w:rPr>
        <w:t xml:space="preserve"> </w:t>
      </w:r>
      <w:r w:rsidRPr="00C56257">
        <w:rPr>
          <w:color w:val="000000" w:themeColor="text1"/>
        </w:rPr>
        <w:t>circul</w:t>
      </w:r>
      <w:r w:rsidRPr="00C56257">
        <w:rPr>
          <w:color w:val="000000" w:themeColor="text1"/>
          <w:spacing w:val="-1"/>
        </w:rPr>
        <w:t>a</w:t>
      </w:r>
      <w:r w:rsidRPr="00C56257">
        <w:rPr>
          <w:color w:val="000000" w:themeColor="text1"/>
        </w:rPr>
        <w:t>r</w:t>
      </w:r>
      <w:r w:rsidRPr="00C56257">
        <w:rPr>
          <w:color w:val="000000" w:themeColor="text1"/>
          <w:spacing w:val="1"/>
        </w:rPr>
        <w:t>ă</w:t>
      </w:r>
      <w:r w:rsidRPr="00C56257">
        <w:rPr>
          <w:color w:val="000000" w:themeColor="text1"/>
        </w:rPr>
        <w:t>,</w:t>
      </w:r>
      <w:r w:rsidRPr="00C56257">
        <w:rPr>
          <w:color w:val="000000" w:themeColor="text1"/>
          <w:spacing w:val="2"/>
        </w:rPr>
        <w:t xml:space="preserve"> </w:t>
      </w:r>
      <w:r w:rsidRPr="00C56257">
        <w:rPr>
          <w:color w:val="000000" w:themeColor="text1"/>
        </w:rPr>
        <w:t>dar</w:t>
      </w:r>
      <w:r w:rsidRPr="00C56257">
        <w:rPr>
          <w:color w:val="000000" w:themeColor="text1"/>
          <w:spacing w:val="2"/>
        </w:rPr>
        <w:t xml:space="preserve"> </w:t>
      </w:r>
      <w:r w:rsidRPr="00C56257">
        <w:rPr>
          <w:color w:val="000000" w:themeColor="text1"/>
        </w:rPr>
        <w:t>se</w:t>
      </w:r>
      <w:r w:rsidRPr="00C56257">
        <w:rPr>
          <w:color w:val="000000" w:themeColor="text1"/>
          <w:spacing w:val="2"/>
        </w:rPr>
        <w:t xml:space="preserve"> </w:t>
      </w:r>
      <w:r w:rsidRPr="00C56257">
        <w:rPr>
          <w:color w:val="000000" w:themeColor="text1"/>
        </w:rPr>
        <w:t>pot</w:t>
      </w:r>
      <w:r w:rsidRPr="00C56257">
        <w:rPr>
          <w:color w:val="000000" w:themeColor="text1"/>
          <w:spacing w:val="2"/>
        </w:rPr>
        <w:t xml:space="preserve"> </w:t>
      </w:r>
      <w:r w:rsidRPr="00C56257">
        <w:rPr>
          <w:color w:val="000000" w:themeColor="text1"/>
        </w:rPr>
        <w:t>instala şi</w:t>
      </w:r>
      <w:r w:rsidRPr="00C56257">
        <w:rPr>
          <w:color w:val="000000" w:themeColor="text1"/>
          <w:spacing w:val="2"/>
        </w:rPr>
        <w:t xml:space="preserve"> </w:t>
      </w:r>
      <w:r w:rsidRPr="00C56257">
        <w:rPr>
          <w:color w:val="000000" w:themeColor="text1"/>
          <w:spacing w:val="-1"/>
        </w:rPr>
        <w:t>r</w:t>
      </w:r>
      <w:r w:rsidRPr="00C56257">
        <w:rPr>
          <w:color w:val="000000" w:themeColor="text1"/>
        </w:rPr>
        <w:t>elevee</w:t>
      </w:r>
      <w:r w:rsidRPr="00C56257">
        <w:rPr>
          <w:color w:val="000000" w:themeColor="text1"/>
          <w:spacing w:val="2"/>
        </w:rPr>
        <w:t xml:space="preserve"> </w:t>
      </w:r>
      <w:r w:rsidRPr="00C56257">
        <w:rPr>
          <w:color w:val="000000" w:themeColor="text1"/>
        </w:rPr>
        <w:t>de</w:t>
      </w:r>
      <w:r w:rsidRPr="00C56257">
        <w:rPr>
          <w:color w:val="000000" w:themeColor="text1"/>
          <w:spacing w:val="2"/>
        </w:rPr>
        <w:t xml:space="preserve"> </w:t>
      </w:r>
      <w:r w:rsidRPr="00C56257">
        <w:rPr>
          <w:color w:val="000000" w:themeColor="text1"/>
          <w:spacing w:val="-1"/>
        </w:rPr>
        <w:t>f</w:t>
      </w:r>
      <w:r w:rsidRPr="00C56257">
        <w:rPr>
          <w:color w:val="000000" w:themeColor="text1"/>
        </w:rPr>
        <w:t>or</w:t>
      </w:r>
      <w:r w:rsidRPr="00C56257">
        <w:rPr>
          <w:color w:val="000000" w:themeColor="text1"/>
          <w:spacing w:val="-2"/>
        </w:rPr>
        <w:t>m</w:t>
      </w:r>
      <w:r w:rsidRPr="00C56257">
        <w:rPr>
          <w:color w:val="000000" w:themeColor="text1"/>
        </w:rPr>
        <w:t>ă</w:t>
      </w:r>
      <w:r w:rsidRPr="00C56257">
        <w:rPr>
          <w:color w:val="000000" w:themeColor="text1"/>
          <w:spacing w:val="2"/>
        </w:rPr>
        <w:t xml:space="preserve"> </w:t>
      </w:r>
      <w:r w:rsidRPr="00C56257">
        <w:rPr>
          <w:color w:val="000000" w:themeColor="text1"/>
        </w:rPr>
        <w:t>dreptunghiula</w:t>
      </w:r>
      <w:r w:rsidRPr="00C56257">
        <w:rPr>
          <w:color w:val="000000" w:themeColor="text1"/>
          <w:spacing w:val="2"/>
        </w:rPr>
        <w:t>r</w:t>
      </w:r>
      <w:r w:rsidRPr="00C56257">
        <w:rPr>
          <w:color w:val="000000" w:themeColor="text1"/>
        </w:rPr>
        <w:t>ă,</w:t>
      </w:r>
      <w:r w:rsidRPr="00C56257">
        <w:rPr>
          <w:color w:val="000000" w:themeColor="text1"/>
          <w:spacing w:val="2"/>
        </w:rPr>
        <w:t xml:space="preserve"> </w:t>
      </w:r>
      <w:r w:rsidRPr="00C56257">
        <w:rPr>
          <w:color w:val="000000" w:themeColor="text1"/>
        </w:rPr>
        <w:t>orientate</w:t>
      </w:r>
      <w:r w:rsidRPr="00C56257">
        <w:rPr>
          <w:color w:val="000000" w:themeColor="text1"/>
          <w:spacing w:val="2"/>
        </w:rPr>
        <w:t xml:space="preserve"> </w:t>
      </w:r>
      <w:r w:rsidRPr="00C56257">
        <w:rPr>
          <w:color w:val="000000" w:themeColor="text1"/>
        </w:rPr>
        <w:t>pe dire</w:t>
      </w:r>
      <w:r w:rsidRPr="00C56257">
        <w:rPr>
          <w:color w:val="000000" w:themeColor="text1"/>
          <w:spacing w:val="-1"/>
        </w:rPr>
        <w:t>c</w:t>
      </w:r>
      <w:r w:rsidRPr="00C56257">
        <w:rPr>
          <w:color w:val="000000" w:themeColor="text1"/>
        </w:rPr>
        <w:t>ţia</w:t>
      </w:r>
      <w:r w:rsidRPr="00C56257">
        <w:rPr>
          <w:color w:val="000000" w:themeColor="text1"/>
          <w:spacing w:val="2"/>
        </w:rPr>
        <w:t xml:space="preserve"> </w:t>
      </w:r>
      <w:r w:rsidRPr="00C56257">
        <w:rPr>
          <w:color w:val="000000" w:themeColor="text1"/>
          <w:spacing w:val="-1"/>
        </w:rPr>
        <w:t>g</w:t>
      </w:r>
      <w:r w:rsidRPr="00C56257">
        <w:rPr>
          <w:color w:val="000000" w:themeColor="text1"/>
        </w:rPr>
        <w:t>r</w:t>
      </w:r>
      <w:r w:rsidRPr="00C56257">
        <w:rPr>
          <w:color w:val="000000" w:themeColor="text1"/>
          <w:spacing w:val="-1"/>
        </w:rPr>
        <w:t>a</w:t>
      </w:r>
      <w:r w:rsidRPr="00C56257">
        <w:rPr>
          <w:color w:val="000000" w:themeColor="text1"/>
        </w:rPr>
        <w:t>dient</w:t>
      </w:r>
      <w:r w:rsidRPr="00C56257">
        <w:rPr>
          <w:color w:val="000000" w:themeColor="text1"/>
          <w:spacing w:val="-1"/>
        </w:rPr>
        <w:t>u</w:t>
      </w:r>
      <w:r w:rsidRPr="00C56257">
        <w:rPr>
          <w:color w:val="000000" w:themeColor="text1"/>
          <w:spacing w:val="1"/>
        </w:rPr>
        <w:t>l</w:t>
      </w:r>
      <w:r w:rsidRPr="00C56257">
        <w:rPr>
          <w:color w:val="000000" w:themeColor="text1"/>
        </w:rPr>
        <w:t>ui</w:t>
      </w:r>
      <w:r w:rsidRPr="00C56257">
        <w:rPr>
          <w:color w:val="000000" w:themeColor="text1"/>
          <w:spacing w:val="2"/>
        </w:rPr>
        <w:t xml:space="preserve"> </w:t>
      </w:r>
      <w:r w:rsidRPr="00C56257">
        <w:rPr>
          <w:color w:val="000000" w:themeColor="text1"/>
        </w:rPr>
        <w:t>e</w:t>
      </w:r>
      <w:r w:rsidRPr="00C56257">
        <w:rPr>
          <w:color w:val="000000" w:themeColor="text1"/>
          <w:spacing w:val="-1"/>
        </w:rPr>
        <w:t>c</w:t>
      </w:r>
      <w:r w:rsidRPr="00C56257">
        <w:rPr>
          <w:color w:val="000000" w:themeColor="text1"/>
        </w:rPr>
        <w:t>ologic</w:t>
      </w:r>
      <w:r w:rsidRPr="00C56257">
        <w:rPr>
          <w:color w:val="000000" w:themeColor="text1"/>
          <w:spacing w:val="2"/>
        </w:rPr>
        <w:t xml:space="preserve"> </w:t>
      </w:r>
      <w:r w:rsidRPr="00C56257">
        <w:rPr>
          <w:color w:val="000000" w:themeColor="text1"/>
        </w:rPr>
        <w:t>do</w:t>
      </w:r>
      <w:r w:rsidRPr="00C56257">
        <w:rPr>
          <w:color w:val="000000" w:themeColor="text1"/>
          <w:spacing w:val="-2"/>
        </w:rPr>
        <w:t>m</w:t>
      </w:r>
      <w:r w:rsidRPr="00C56257">
        <w:rPr>
          <w:color w:val="000000" w:themeColor="text1"/>
        </w:rPr>
        <w:t>inant</w:t>
      </w:r>
      <w:r w:rsidRPr="00C56257">
        <w:rPr>
          <w:color w:val="000000" w:themeColor="text1"/>
          <w:spacing w:val="2"/>
        </w:rPr>
        <w:t xml:space="preserve"> </w:t>
      </w:r>
      <w:r w:rsidRPr="00C56257">
        <w:rPr>
          <w:color w:val="000000" w:themeColor="text1"/>
        </w:rPr>
        <w:t>(</w:t>
      </w:r>
      <w:r w:rsidRPr="00C56257">
        <w:rPr>
          <w:color w:val="000000" w:themeColor="text1"/>
          <w:spacing w:val="-1"/>
        </w:rPr>
        <w:t>a</w:t>
      </w:r>
      <w:r w:rsidRPr="00C56257">
        <w:rPr>
          <w:color w:val="000000" w:themeColor="text1"/>
        </w:rPr>
        <w:t>ltitu</w:t>
      </w:r>
      <w:r w:rsidRPr="00C56257">
        <w:rPr>
          <w:color w:val="000000" w:themeColor="text1"/>
          <w:spacing w:val="-1"/>
        </w:rPr>
        <w:t>d</w:t>
      </w:r>
      <w:r w:rsidRPr="00C56257">
        <w:rPr>
          <w:color w:val="000000" w:themeColor="text1"/>
          <w:spacing w:val="1"/>
        </w:rPr>
        <w:t>i</w:t>
      </w:r>
      <w:r w:rsidRPr="00C56257">
        <w:rPr>
          <w:color w:val="000000" w:themeColor="text1"/>
          <w:spacing w:val="-1"/>
        </w:rPr>
        <w:t>n</w:t>
      </w:r>
      <w:r w:rsidRPr="00C56257">
        <w:rPr>
          <w:color w:val="000000" w:themeColor="text1"/>
        </w:rPr>
        <w:t>ea,</w:t>
      </w:r>
      <w:r w:rsidRPr="00C56257">
        <w:rPr>
          <w:color w:val="000000" w:themeColor="text1"/>
          <w:spacing w:val="1"/>
        </w:rPr>
        <w:t xml:space="preserve"> </w:t>
      </w:r>
      <w:r w:rsidRPr="00C56257">
        <w:rPr>
          <w:color w:val="000000" w:themeColor="text1"/>
        </w:rPr>
        <w:t>u</w:t>
      </w:r>
      <w:r w:rsidRPr="00C56257">
        <w:rPr>
          <w:color w:val="000000" w:themeColor="text1"/>
          <w:spacing w:val="-2"/>
        </w:rPr>
        <w:t>m</w:t>
      </w:r>
      <w:r w:rsidRPr="00C56257">
        <w:rPr>
          <w:color w:val="000000" w:themeColor="text1"/>
        </w:rPr>
        <w:t>iditatea,</w:t>
      </w:r>
      <w:r w:rsidRPr="00C56257">
        <w:rPr>
          <w:color w:val="000000" w:themeColor="text1"/>
          <w:spacing w:val="2"/>
        </w:rPr>
        <w:t xml:space="preserve"> </w:t>
      </w:r>
      <w:r w:rsidRPr="00C56257">
        <w:rPr>
          <w:color w:val="000000" w:themeColor="text1"/>
        </w:rPr>
        <w:t>etc.).</w:t>
      </w:r>
      <w:r w:rsidRPr="00C56257">
        <w:rPr>
          <w:color w:val="000000" w:themeColor="text1"/>
          <w:spacing w:val="1"/>
        </w:rPr>
        <w:t xml:space="preserve"> </w:t>
      </w:r>
      <w:r w:rsidRPr="00C56257">
        <w:rPr>
          <w:color w:val="000000" w:themeColor="text1"/>
        </w:rPr>
        <w:t>Centrul</w:t>
      </w:r>
      <w:r w:rsidRPr="00C56257">
        <w:rPr>
          <w:color w:val="000000" w:themeColor="text1"/>
          <w:spacing w:val="2"/>
        </w:rPr>
        <w:t xml:space="preserve"> </w:t>
      </w:r>
      <w:r w:rsidRPr="00C56257">
        <w:rPr>
          <w:color w:val="000000" w:themeColor="text1"/>
        </w:rPr>
        <w:t>(sau co</w:t>
      </w:r>
      <w:r w:rsidRPr="00C56257">
        <w:rPr>
          <w:color w:val="000000" w:themeColor="text1"/>
          <w:spacing w:val="-3"/>
        </w:rPr>
        <w:t>l</w:t>
      </w:r>
      <w:r w:rsidRPr="00C56257">
        <w:rPr>
          <w:color w:val="000000" w:themeColor="text1"/>
        </w:rPr>
        <w:t>ţul</w:t>
      </w:r>
      <w:r w:rsidRPr="00C56257">
        <w:rPr>
          <w:color w:val="000000" w:themeColor="text1"/>
          <w:spacing w:val="1"/>
        </w:rPr>
        <w:t xml:space="preserve"> </w:t>
      </w:r>
      <w:r w:rsidRPr="00C56257">
        <w:rPr>
          <w:color w:val="000000" w:themeColor="text1"/>
        </w:rPr>
        <w:t>din partea de sud-vest) fiecărei supraf</w:t>
      </w:r>
      <w:r w:rsidRPr="00C56257">
        <w:rPr>
          <w:color w:val="000000" w:themeColor="text1"/>
          <w:spacing w:val="-1"/>
        </w:rPr>
        <w:t>e</w:t>
      </w:r>
      <w:r w:rsidRPr="00C56257">
        <w:rPr>
          <w:color w:val="000000" w:themeColor="text1"/>
        </w:rPr>
        <w:t>ţe de probă</w:t>
      </w:r>
      <w:r w:rsidRPr="00C56257">
        <w:rPr>
          <w:color w:val="000000" w:themeColor="text1"/>
          <w:spacing w:val="2"/>
        </w:rPr>
        <w:t xml:space="preserve"> </w:t>
      </w:r>
      <w:r w:rsidRPr="00C56257">
        <w:rPr>
          <w:color w:val="000000" w:themeColor="text1"/>
        </w:rPr>
        <w:t>este definit prin</w:t>
      </w:r>
      <w:r w:rsidRPr="00C56257">
        <w:rPr>
          <w:color w:val="000000" w:themeColor="text1"/>
          <w:spacing w:val="1"/>
        </w:rPr>
        <w:t xml:space="preserve"> </w:t>
      </w:r>
      <w:r w:rsidRPr="00C56257">
        <w:rPr>
          <w:color w:val="000000" w:themeColor="text1"/>
        </w:rPr>
        <w:t>coordonate geografice (l</w:t>
      </w:r>
      <w:r w:rsidRPr="00C56257">
        <w:rPr>
          <w:color w:val="000000" w:themeColor="text1"/>
          <w:spacing w:val="-1"/>
        </w:rPr>
        <w:t>a</w:t>
      </w:r>
      <w:r w:rsidRPr="00C56257">
        <w:rPr>
          <w:color w:val="000000" w:themeColor="text1"/>
        </w:rPr>
        <w:t>titu</w:t>
      </w:r>
      <w:r w:rsidRPr="00C56257">
        <w:rPr>
          <w:color w:val="000000" w:themeColor="text1"/>
          <w:spacing w:val="-1"/>
        </w:rPr>
        <w:t>d</w:t>
      </w:r>
      <w:r w:rsidRPr="00C56257">
        <w:rPr>
          <w:color w:val="000000" w:themeColor="text1"/>
        </w:rPr>
        <w:t>ine</w:t>
      </w:r>
      <w:r w:rsidRPr="00C56257">
        <w:rPr>
          <w:color w:val="000000" w:themeColor="text1"/>
          <w:spacing w:val="1"/>
        </w:rPr>
        <w:t xml:space="preserve"> </w:t>
      </w:r>
      <w:r w:rsidRPr="00C56257">
        <w:rPr>
          <w:color w:val="000000" w:themeColor="text1"/>
          <w:spacing w:val="-1"/>
        </w:rPr>
        <w:t>ş</w:t>
      </w:r>
      <w:r w:rsidRPr="00C56257">
        <w:rPr>
          <w:color w:val="000000" w:themeColor="text1"/>
        </w:rPr>
        <w:t>i</w:t>
      </w:r>
      <w:r w:rsidRPr="00C56257">
        <w:rPr>
          <w:color w:val="000000" w:themeColor="text1"/>
          <w:spacing w:val="1"/>
        </w:rPr>
        <w:t xml:space="preserve"> </w:t>
      </w:r>
      <w:r w:rsidRPr="00C56257">
        <w:rPr>
          <w:color w:val="000000" w:themeColor="text1"/>
        </w:rPr>
        <w:t>longitudine).</w:t>
      </w:r>
      <w:r w:rsidRPr="00C56257">
        <w:rPr>
          <w:color w:val="000000" w:themeColor="text1"/>
          <w:spacing w:val="1"/>
        </w:rPr>
        <w:t xml:space="preserve"> </w:t>
      </w:r>
      <w:r w:rsidRPr="00C56257">
        <w:rPr>
          <w:color w:val="000000" w:themeColor="text1"/>
        </w:rPr>
        <w:t>Centrele</w:t>
      </w:r>
      <w:r w:rsidRPr="00C56257">
        <w:rPr>
          <w:color w:val="000000" w:themeColor="text1"/>
          <w:spacing w:val="1"/>
        </w:rPr>
        <w:t xml:space="preserve"> </w:t>
      </w:r>
      <w:r w:rsidRPr="00C56257">
        <w:rPr>
          <w:color w:val="000000" w:themeColor="text1"/>
        </w:rPr>
        <w:t>suprafeţelor de pro</w:t>
      </w:r>
      <w:r w:rsidRPr="00C56257">
        <w:rPr>
          <w:color w:val="000000" w:themeColor="text1"/>
          <w:spacing w:val="1"/>
        </w:rPr>
        <w:t>b</w:t>
      </w:r>
      <w:r w:rsidRPr="00C56257">
        <w:rPr>
          <w:color w:val="000000" w:themeColor="text1"/>
        </w:rPr>
        <w:t>ă</w:t>
      </w:r>
      <w:r w:rsidRPr="00C56257">
        <w:rPr>
          <w:color w:val="000000" w:themeColor="text1"/>
          <w:spacing w:val="1"/>
        </w:rPr>
        <w:t xml:space="preserve"> </w:t>
      </w:r>
      <w:r w:rsidRPr="00C56257">
        <w:rPr>
          <w:color w:val="000000" w:themeColor="text1"/>
        </w:rPr>
        <w:t>s</w:t>
      </w:r>
      <w:r w:rsidRPr="00C56257">
        <w:rPr>
          <w:color w:val="000000" w:themeColor="text1"/>
          <w:spacing w:val="-1"/>
        </w:rPr>
        <w:t>u</w:t>
      </w:r>
      <w:r w:rsidRPr="00C56257">
        <w:rPr>
          <w:color w:val="000000" w:themeColor="text1"/>
        </w:rPr>
        <w:t>nt</w:t>
      </w:r>
      <w:r w:rsidRPr="00C56257">
        <w:rPr>
          <w:color w:val="000000" w:themeColor="text1"/>
          <w:spacing w:val="1"/>
        </w:rPr>
        <w:t xml:space="preserve"> </w:t>
      </w:r>
      <w:r w:rsidRPr="00C56257">
        <w:rPr>
          <w:color w:val="000000" w:themeColor="text1"/>
        </w:rPr>
        <w:t>ide</w:t>
      </w:r>
      <w:r w:rsidRPr="00C56257">
        <w:rPr>
          <w:color w:val="000000" w:themeColor="text1"/>
          <w:spacing w:val="-1"/>
        </w:rPr>
        <w:t>n</w:t>
      </w:r>
      <w:r w:rsidRPr="00C56257">
        <w:rPr>
          <w:color w:val="000000" w:themeColor="text1"/>
        </w:rPr>
        <w:t>ti</w:t>
      </w:r>
      <w:r w:rsidRPr="00C56257">
        <w:rPr>
          <w:color w:val="000000" w:themeColor="text1"/>
          <w:spacing w:val="-1"/>
        </w:rPr>
        <w:t>f</w:t>
      </w:r>
      <w:r w:rsidRPr="00C56257">
        <w:rPr>
          <w:color w:val="000000" w:themeColor="text1"/>
        </w:rPr>
        <w:t>i</w:t>
      </w:r>
      <w:r w:rsidRPr="00C56257">
        <w:rPr>
          <w:color w:val="000000" w:themeColor="text1"/>
          <w:spacing w:val="-1"/>
        </w:rPr>
        <w:t>ca</w:t>
      </w:r>
      <w:r w:rsidRPr="00C56257">
        <w:rPr>
          <w:color w:val="000000" w:themeColor="text1"/>
          <w:spacing w:val="1"/>
        </w:rPr>
        <w:t>t</w:t>
      </w:r>
      <w:r w:rsidRPr="00C56257">
        <w:rPr>
          <w:color w:val="000000" w:themeColor="text1"/>
        </w:rPr>
        <w:t>e</w:t>
      </w:r>
      <w:r w:rsidRPr="00C56257">
        <w:rPr>
          <w:color w:val="000000" w:themeColor="text1"/>
          <w:spacing w:val="1"/>
        </w:rPr>
        <w:t xml:space="preserve"> </w:t>
      </w:r>
      <w:r w:rsidRPr="00C56257">
        <w:rPr>
          <w:color w:val="000000" w:themeColor="text1"/>
        </w:rPr>
        <w:t>pe</w:t>
      </w:r>
      <w:r w:rsidRPr="00C56257">
        <w:rPr>
          <w:color w:val="000000" w:themeColor="text1"/>
          <w:spacing w:val="1"/>
        </w:rPr>
        <w:t xml:space="preserve"> </w:t>
      </w:r>
      <w:r w:rsidRPr="00C56257">
        <w:rPr>
          <w:color w:val="000000" w:themeColor="text1"/>
        </w:rPr>
        <w:t>teren</w:t>
      </w:r>
      <w:r w:rsidRPr="00C56257">
        <w:rPr>
          <w:color w:val="000000" w:themeColor="text1"/>
          <w:spacing w:val="1"/>
        </w:rPr>
        <w:t xml:space="preserve"> </w:t>
      </w:r>
      <w:r w:rsidRPr="00C56257">
        <w:rPr>
          <w:color w:val="000000" w:themeColor="text1"/>
        </w:rPr>
        <w:t>cu</w:t>
      </w:r>
      <w:r w:rsidRPr="00C56257">
        <w:rPr>
          <w:color w:val="000000" w:themeColor="text1"/>
          <w:spacing w:val="1"/>
        </w:rPr>
        <w:t xml:space="preserve"> </w:t>
      </w:r>
      <w:r w:rsidRPr="00C56257">
        <w:rPr>
          <w:color w:val="000000" w:themeColor="text1"/>
        </w:rPr>
        <w:t>ajutorul dispozitivelor</w:t>
      </w:r>
      <w:r w:rsidRPr="00C56257">
        <w:rPr>
          <w:color w:val="000000" w:themeColor="text1"/>
          <w:spacing w:val="9"/>
        </w:rPr>
        <w:t xml:space="preserve"> </w:t>
      </w:r>
      <w:r w:rsidRPr="00C56257">
        <w:rPr>
          <w:color w:val="000000" w:themeColor="text1"/>
        </w:rPr>
        <w:t>GPS</w:t>
      </w:r>
      <w:r w:rsidRPr="00C56257">
        <w:rPr>
          <w:color w:val="000000" w:themeColor="text1"/>
          <w:spacing w:val="7"/>
        </w:rPr>
        <w:t xml:space="preserve"> </w:t>
      </w:r>
      <w:r w:rsidRPr="00C56257">
        <w:rPr>
          <w:color w:val="000000" w:themeColor="text1"/>
        </w:rPr>
        <w:t>şi</w:t>
      </w:r>
      <w:r w:rsidRPr="00C56257">
        <w:rPr>
          <w:color w:val="000000" w:themeColor="text1"/>
          <w:spacing w:val="9"/>
        </w:rPr>
        <w:t xml:space="preserve"> </w:t>
      </w:r>
      <w:r w:rsidRPr="00C56257">
        <w:rPr>
          <w:color w:val="000000" w:themeColor="text1"/>
        </w:rPr>
        <w:t>pot</w:t>
      </w:r>
      <w:r w:rsidRPr="00C56257">
        <w:rPr>
          <w:color w:val="000000" w:themeColor="text1"/>
          <w:spacing w:val="9"/>
        </w:rPr>
        <w:t xml:space="preserve"> </w:t>
      </w:r>
      <w:r w:rsidRPr="00C56257">
        <w:rPr>
          <w:color w:val="000000" w:themeColor="text1"/>
        </w:rPr>
        <w:t>fi</w:t>
      </w:r>
      <w:r w:rsidRPr="00C56257">
        <w:rPr>
          <w:color w:val="000000" w:themeColor="text1"/>
          <w:spacing w:val="9"/>
        </w:rPr>
        <w:t xml:space="preserve"> </w:t>
      </w:r>
      <w:r w:rsidRPr="00C56257">
        <w:rPr>
          <w:color w:val="000000" w:themeColor="text1"/>
          <w:spacing w:val="-2"/>
        </w:rPr>
        <w:t>m</w:t>
      </w:r>
      <w:r w:rsidRPr="00C56257">
        <w:rPr>
          <w:color w:val="000000" w:themeColor="text1"/>
        </w:rPr>
        <w:t>arcate</w:t>
      </w:r>
      <w:r w:rsidRPr="00C56257">
        <w:rPr>
          <w:color w:val="000000" w:themeColor="text1"/>
          <w:spacing w:val="9"/>
        </w:rPr>
        <w:t xml:space="preserve"> </w:t>
      </w:r>
      <w:r w:rsidRPr="00C56257">
        <w:rPr>
          <w:color w:val="000000" w:themeColor="text1"/>
        </w:rPr>
        <w:t>cu</w:t>
      </w:r>
      <w:r w:rsidRPr="00C56257">
        <w:rPr>
          <w:color w:val="000000" w:themeColor="text1"/>
          <w:spacing w:val="9"/>
        </w:rPr>
        <w:t xml:space="preserve"> </w:t>
      </w:r>
      <w:r w:rsidRPr="00C56257">
        <w:rPr>
          <w:color w:val="000000" w:themeColor="text1"/>
        </w:rPr>
        <w:t>o</w:t>
      </w:r>
      <w:r w:rsidRPr="00C56257">
        <w:rPr>
          <w:color w:val="000000" w:themeColor="text1"/>
          <w:spacing w:val="9"/>
        </w:rPr>
        <w:t xml:space="preserve"> </w:t>
      </w:r>
      <w:r w:rsidRPr="00C56257">
        <w:rPr>
          <w:color w:val="000000" w:themeColor="text1"/>
        </w:rPr>
        <w:t>ti</w:t>
      </w:r>
      <w:r w:rsidRPr="00C56257">
        <w:rPr>
          <w:color w:val="000000" w:themeColor="text1"/>
          <w:spacing w:val="-1"/>
        </w:rPr>
        <w:t>j</w:t>
      </w:r>
      <w:r w:rsidRPr="00C56257">
        <w:rPr>
          <w:color w:val="000000" w:themeColor="text1"/>
        </w:rPr>
        <w:t>ă</w:t>
      </w:r>
      <w:r w:rsidRPr="00C56257">
        <w:rPr>
          <w:color w:val="000000" w:themeColor="text1"/>
          <w:spacing w:val="9"/>
        </w:rPr>
        <w:t xml:space="preserve"> </w:t>
      </w:r>
      <w:r w:rsidRPr="00C56257">
        <w:rPr>
          <w:color w:val="000000" w:themeColor="text1"/>
          <w:spacing w:val="-1"/>
        </w:rPr>
        <w:t>m</w:t>
      </w:r>
      <w:r w:rsidRPr="00C56257">
        <w:rPr>
          <w:color w:val="000000" w:themeColor="text1"/>
        </w:rPr>
        <w:t>e</w:t>
      </w:r>
      <w:r w:rsidRPr="00C56257">
        <w:rPr>
          <w:color w:val="000000" w:themeColor="text1"/>
          <w:spacing w:val="1"/>
        </w:rPr>
        <w:t>t</w:t>
      </w:r>
      <w:r w:rsidRPr="00C56257">
        <w:rPr>
          <w:color w:val="000000" w:themeColor="text1"/>
        </w:rPr>
        <w:t>a</w:t>
      </w:r>
      <w:r w:rsidRPr="00C56257">
        <w:rPr>
          <w:color w:val="000000" w:themeColor="text1"/>
          <w:spacing w:val="-1"/>
        </w:rPr>
        <w:t>l</w:t>
      </w:r>
      <w:r w:rsidRPr="00C56257">
        <w:rPr>
          <w:color w:val="000000" w:themeColor="text1"/>
          <w:spacing w:val="1"/>
        </w:rPr>
        <w:t>i</w:t>
      </w:r>
      <w:r w:rsidRPr="00C56257">
        <w:rPr>
          <w:color w:val="000000" w:themeColor="text1"/>
        </w:rPr>
        <w:t>că,</w:t>
      </w:r>
      <w:r w:rsidRPr="00C56257">
        <w:rPr>
          <w:color w:val="000000" w:themeColor="text1"/>
          <w:spacing w:val="8"/>
        </w:rPr>
        <w:t xml:space="preserve"> </w:t>
      </w:r>
      <w:r w:rsidRPr="00C56257">
        <w:rPr>
          <w:color w:val="000000" w:themeColor="text1"/>
          <w:spacing w:val="-1"/>
        </w:rPr>
        <w:t>p</w:t>
      </w:r>
      <w:r w:rsidRPr="00C56257">
        <w:rPr>
          <w:color w:val="000000" w:themeColor="text1"/>
        </w:rPr>
        <w:t>entru</w:t>
      </w:r>
      <w:r w:rsidRPr="00C56257">
        <w:rPr>
          <w:color w:val="000000" w:themeColor="text1"/>
          <w:spacing w:val="8"/>
        </w:rPr>
        <w:t xml:space="preserve"> </w:t>
      </w:r>
      <w:r w:rsidRPr="00C56257">
        <w:rPr>
          <w:color w:val="000000" w:themeColor="text1"/>
        </w:rPr>
        <w:t>a</w:t>
      </w:r>
      <w:r w:rsidRPr="00C56257">
        <w:rPr>
          <w:color w:val="000000" w:themeColor="text1"/>
          <w:spacing w:val="8"/>
        </w:rPr>
        <w:t xml:space="preserve"> </w:t>
      </w:r>
      <w:r w:rsidRPr="00C56257">
        <w:rPr>
          <w:color w:val="000000" w:themeColor="text1"/>
        </w:rPr>
        <w:t>putea</w:t>
      </w:r>
      <w:r w:rsidRPr="00C56257">
        <w:rPr>
          <w:color w:val="000000" w:themeColor="text1"/>
          <w:spacing w:val="8"/>
        </w:rPr>
        <w:t xml:space="preserve"> </w:t>
      </w:r>
      <w:r w:rsidRPr="00C56257">
        <w:rPr>
          <w:color w:val="000000" w:themeColor="text1"/>
        </w:rPr>
        <w:t>fi</w:t>
      </w:r>
      <w:r w:rsidRPr="00C56257">
        <w:rPr>
          <w:color w:val="000000" w:themeColor="text1"/>
          <w:spacing w:val="8"/>
        </w:rPr>
        <w:t xml:space="preserve"> </w:t>
      </w:r>
      <w:r w:rsidRPr="00C56257">
        <w:rPr>
          <w:color w:val="000000" w:themeColor="text1"/>
        </w:rPr>
        <w:t>identificate</w:t>
      </w:r>
      <w:r w:rsidRPr="00C56257">
        <w:rPr>
          <w:color w:val="000000" w:themeColor="text1"/>
          <w:spacing w:val="9"/>
        </w:rPr>
        <w:t xml:space="preserve"> </w:t>
      </w:r>
      <w:r w:rsidRPr="00C56257">
        <w:rPr>
          <w:color w:val="000000" w:themeColor="text1"/>
        </w:rPr>
        <w:t>cu</w:t>
      </w:r>
      <w:r w:rsidRPr="00C56257">
        <w:rPr>
          <w:color w:val="000000" w:themeColor="text1"/>
          <w:spacing w:val="8"/>
        </w:rPr>
        <w:t xml:space="preserve"> </w:t>
      </w:r>
      <w:r w:rsidRPr="00C56257">
        <w:rPr>
          <w:color w:val="000000" w:themeColor="text1"/>
        </w:rPr>
        <w:t>precizie la ur</w:t>
      </w:r>
      <w:r w:rsidRPr="00C56257">
        <w:rPr>
          <w:color w:val="000000" w:themeColor="text1"/>
          <w:spacing w:val="-2"/>
        </w:rPr>
        <w:t>m</w:t>
      </w:r>
      <w:r w:rsidRPr="00C56257">
        <w:rPr>
          <w:color w:val="000000" w:themeColor="text1"/>
        </w:rPr>
        <w:t>ătoar</w:t>
      </w:r>
      <w:r w:rsidRPr="00C56257">
        <w:rPr>
          <w:color w:val="000000" w:themeColor="text1"/>
          <w:spacing w:val="-1"/>
        </w:rPr>
        <w:t>e</w:t>
      </w:r>
      <w:r w:rsidRPr="00C56257">
        <w:rPr>
          <w:color w:val="000000" w:themeColor="text1"/>
        </w:rPr>
        <w:t xml:space="preserve">a </w:t>
      </w:r>
      <w:r w:rsidRPr="00C56257">
        <w:rPr>
          <w:color w:val="000000" w:themeColor="text1"/>
          <w:spacing w:val="-2"/>
        </w:rPr>
        <w:t>m</w:t>
      </w:r>
      <w:r w:rsidRPr="00C56257">
        <w:rPr>
          <w:color w:val="000000" w:themeColor="text1"/>
        </w:rPr>
        <w:t>ăsu</w:t>
      </w:r>
      <w:r w:rsidRPr="00C56257">
        <w:rPr>
          <w:color w:val="000000" w:themeColor="text1"/>
          <w:spacing w:val="1"/>
        </w:rPr>
        <w:t>r</w:t>
      </w:r>
      <w:r w:rsidRPr="00C56257">
        <w:rPr>
          <w:color w:val="000000" w:themeColor="text1"/>
        </w:rPr>
        <w:t xml:space="preserve">ătoare cu ajutorul detectoarelor de </w:t>
      </w:r>
      <w:r w:rsidRPr="00C56257">
        <w:rPr>
          <w:color w:val="000000" w:themeColor="text1"/>
          <w:spacing w:val="-2"/>
        </w:rPr>
        <w:t>m</w:t>
      </w:r>
      <w:r w:rsidRPr="00C56257">
        <w:rPr>
          <w:color w:val="000000" w:themeColor="text1"/>
        </w:rPr>
        <w:t>etale.</w:t>
      </w:r>
    </w:p>
    <w:p w14:paraId="70F95761" w14:textId="77777777" w:rsidR="002D3CA7" w:rsidRPr="00C56257" w:rsidRDefault="002D3CA7" w:rsidP="008E33FD">
      <w:pPr>
        <w:spacing w:line="276" w:lineRule="auto"/>
        <w:ind w:right="-40" w:firstLine="709"/>
        <w:contextualSpacing/>
        <w:jc w:val="both"/>
        <w:rPr>
          <w:rFonts w:eastAsia="Calibri"/>
          <w:color w:val="000000" w:themeColor="text1"/>
        </w:rPr>
      </w:pPr>
      <w:r w:rsidRPr="00C56257">
        <w:rPr>
          <w:color w:val="000000" w:themeColor="text1"/>
        </w:rPr>
        <w:t>Frecven</w:t>
      </w:r>
      <w:r w:rsidRPr="00C56257">
        <w:rPr>
          <w:color w:val="000000" w:themeColor="text1"/>
          <w:spacing w:val="-1"/>
        </w:rPr>
        <w:t>ţ</w:t>
      </w:r>
      <w:r w:rsidRPr="00C56257">
        <w:rPr>
          <w:color w:val="000000" w:themeColor="text1"/>
        </w:rPr>
        <w:t>a</w:t>
      </w:r>
      <w:r w:rsidRPr="00C56257">
        <w:rPr>
          <w:color w:val="000000" w:themeColor="text1"/>
          <w:spacing w:val="18"/>
        </w:rPr>
        <w:t xml:space="preserve"> </w:t>
      </w:r>
      <w:r w:rsidRPr="00C56257">
        <w:rPr>
          <w:color w:val="000000" w:themeColor="text1"/>
        </w:rPr>
        <w:t>monito</w:t>
      </w:r>
      <w:r w:rsidRPr="00C56257">
        <w:rPr>
          <w:color w:val="000000" w:themeColor="text1"/>
          <w:spacing w:val="-1"/>
        </w:rPr>
        <w:t>r</w:t>
      </w:r>
      <w:r w:rsidRPr="00C56257">
        <w:rPr>
          <w:color w:val="000000" w:themeColor="text1"/>
          <w:spacing w:val="1"/>
        </w:rPr>
        <w:t>i</w:t>
      </w:r>
      <w:r w:rsidRPr="00C56257">
        <w:rPr>
          <w:color w:val="000000" w:themeColor="text1"/>
        </w:rPr>
        <w:t>z</w:t>
      </w:r>
      <w:r w:rsidRPr="00C56257">
        <w:rPr>
          <w:color w:val="000000" w:themeColor="text1"/>
          <w:spacing w:val="-1"/>
        </w:rPr>
        <w:t>ă</w:t>
      </w:r>
      <w:r w:rsidRPr="00C56257">
        <w:rPr>
          <w:color w:val="000000" w:themeColor="text1"/>
        </w:rPr>
        <w:t>rii</w:t>
      </w:r>
      <w:r w:rsidRPr="00C56257">
        <w:rPr>
          <w:color w:val="000000" w:themeColor="text1"/>
          <w:spacing w:val="18"/>
        </w:rPr>
        <w:t xml:space="preserve"> </w:t>
      </w:r>
      <w:r w:rsidRPr="00C56257">
        <w:rPr>
          <w:color w:val="000000" w:themeColor="text1"/>
        </w:rPr>
        <w:t>este</w:t>
      </w:r>
      <w:r w:rsidRPr="00C56257">
        <w:rPr>
          <w:color w:val="000000" w:themeColor="text1"/>
          <w:spacing w:val="18"/>
        </w:rPr>
        <w:t xml:space="preserve"> </w:t>
      </w:r>
      <w:r w:rsidRPr="00C56257">
        <w:rPr>
          <w:color w:val="000000" w:themeColor="text1"/>
        </w:rPr>
        <w:t>6</w:t>
      </w:r>
      <w:r w:rsidRPr="00C56257">
        <w:rPr>
          <w:color w:val="000000" w:themeColor="text1"/>
          <w:spacing w:val="18"/>
        </w:rPr>
        <w:t xml:space="preserve"> </w:t>
      </w:r>
      <w:r w:rsidRPr="00C56257">
        <w:rPr>
          <w:color w:val="000000" w:themeColor="text1"/>
        </w:rPr>
        <w:t>ani.</w:t>
      </w:r>
      <w:r w:rsidRPr="00C56257">
        <w:rPr>
          <w:color w:val="000000" w:themeColor="text1"/>
          <w:spacing w:val="18"/>
        </w:rPr>
        <w:t xml:space="preserve"> </w:t>
      </w:r>
      <w:r w:rsidRPr="00C56257">
        <w:rPr>
          <w:color w:val="000000" w:themeColor="text1"/>
        </w:rPr>
        <w:t>Doar</w:t>
      </w:r>
      <w:r w:rsidRPr="00C56257">
        <w:rPr>
          <w:color w:val="000000" w:themeColor="text1"/>
          <w:spacing w:val="18"/>
        </w:rPr>
        <w:t xml:space="preserve"> </w:t>
      </w:r>
      <w:r w:rsidRPr="00C56257">
        <w:rPr>
          <w:color w:val="000000" w:themeColor="text1"/>
        </w:rPr>
        <w:t>în</w:t>
      </w:r>
      <w:r w:rsidRPr="00C56257">
        <w:rPr>
          <w:color w:val="000000" w:themeColor="text1"/>
          <w:spacing w:val="18"/>
        </w:rPr>
        <w:t xml:space="preserve"> </w:t>
      </w:r>
      <w:r w:rsidRPr="00C56257">
        <w:rPr>
          <w:color w:val="000000" w:themeColor="text1"/>
        </w:rPr>
        <w:t>cazuri</w:t>
      </w:r>
      <w:r w:rsidRPr="00C56257">
        <w:rPr>
          <w:color w:val="000000" w:themeColor="text1"/>
          <w:spacing w:val="18"/>
        </w:rPr>
        <w:t xml:space="preserve"> </w:t>
      </w:r>
      <w:r w:rsidRPr="00C56257">
        <w:rPr>
          <w:color w:val="000000" w:themeColor="text1"/>
        </w:rPr>
        <w:t>exce</w:t>
      </w:r>
      <w:r w:rsidRPr="00C56257">
        <w:rPr>
          <w:color w:val="000000" w:themeColor="text1"/>
          <w:spacing w:val="-2"/>
        </w:rPr>
        <w:t>p</w:t>
      </w:r>
      <w:r w:rsidRPr="00C56257">
        <w:rPr>
          <w:color w:val="000000" w:themeColor="text1"/>
        </w:rPr>
        <w:t>ţi</w:t>
      </w:r>
      <w:r w:rsidRPr="00C56257">
        <w:rPr>
          <w:color w:val="000000" w:themeColor="text1"/>
          <w:spacing w:val="-1"/>
        </w:rPr>
        <w:t>o</w:t>
      </w:r>
      <w:r w:rsidRPr="00C56257">
        <w:rPr>
          <w:color w:val="000000" w:themeColor="text1"/>
        </w:rPr>
        <w:t>nale,</w:t>
      </w:r>
      <w:r w:rsidRPr="00C56257">
        <w:rPr>
          <w:color w:val="000000" w:themeColor="text1"/>
          <w:spacing w:val="18"/>
        </w:rPr>
        <w:t xml:space="preserve"> </w:t>
      </w:r>
      <w:r w:rsidRPr="00C56257">
        <w:rPr>
          <w:color w:val="000000" w:themeColor="text1"/>
        </w:rPr>
        <w:t>în</w:t>
      </w:r>
      <w:r w:rsidRPr="00C56257">
        <w:rPr>
          <w:color w:val="000000" w:themeColor="text1"/>
          <w:spacing w:val="18"/>
        </w:rPr>
        <w:t xml:space="preserve"> </w:t>
      </w:r>
      <w:r w:rsidRPr="00C56257">
        <w:rPr>
          <w:color w:val="000000" w:themeColor="text1"/>
        </w:rPr>
        <w:t>c</w:t>
      </w:r>
      <w:r w:rsidRPr="00C56257">
        <w:rPr>
          <w:color w:val="000000" w:themeColor="text1"/>
          <w:spacing w:val="-1"/>
        </w:rPr>
        <w:t>a</w:t>
      </w:r>
      <w:r w:rsidRPr="00C56257">
        <w:rPr>
          <w:color w:val="000000" w:themeColor="text1"/>
        </w:rPr>
        <w:t>re</w:t>
      </w:r>
      <w:r w:rsidRPr="00C56257">
        <w:rPr>
          <w:color w:val="000000" w:themeColor="text1"/>
          <w:spacing w:val="17"/>
        </w:rPr>
        <w:t xml:space="preserve"> </w:t>
      </w:r>
      <w:r w:rsidRPr="00C56257">
        <w:rPr>
          <w:color w:val="000000" w:themeColor="text1"/>
        </w:rPr>
        <w:t>integ</w:t>
      </w:r>
      <w:r w:rsidRPr="00C56257">
        <w:rPr>
          <w:color w:val="000000" w:themeColor="text1"/>
          <w:spacing w:val="-1"/>
        </w:rPr>
        <w:t>r</w:t>
      </w:r>
      <w:r w:rsidRPr="00C56257">
        <w:rPr>
          <w:color w:val="000000" w:themeColor="text1"/>
        </w:rPr>
        <w:t>it</w:t>
      </w:r>
      <w:r w:rsidRPr="00C56257">
        <w:rPr>
          <w:color w:val="000000" w:themeColor="text1"/>
          <w:spacing w:val="-1"/>
        </w:rPr>
        <w:t>a</w:t>
      </w:r>
      <w:r w:rsidRPr="00C56257">
        <w:rPr>
          <w:color w:val="000000" w:themeColor="text1"/>
        </w:rPr>
        <w:t>tea</w:t>
      </w:r>
      <w:r w:rsidRPr="00C56257">
        <w:rPr>
          <w:color w:val="000000" w:themeColor="text1"/>
          <w:spacing w:val="17"/>
        </w:rPr>
        <w:t xml:space="preserve"> </w:t>
      </w:r>
      <w:r w:rsidRPr="00C56257">
        <w:rPr>
          <w:color w:val="000000" w:themeColor="text1"/>
        </w:rPr>
        <w:t>habitat</w:t>
      </w:r>
      <w:r w:rsidRPr="00C56257">
        <w:rPr>
          <w:color w:val="000000" w:themeColor="text1"/>
          <w:spacing w:val="-1"/>
        </w:rPr>
        <w:t>u</w:t>
      </w:r>
      <w:r w:rsidRPr="00C56257">
        <w:rPr>
          <w:color w:val="000000" w:themeColor="text1"/>
        </w:rPr>
        <w:t>lui este</w:t>
      </w:r>
      <w:r w:rsidRPr="00C56257">
        <w:rPr>
          <w:color w:val="000000" w:themeColor="text1"/>
          <w:spacing w:val="1"/>
        </w:rPr>
        <w:t xml:space="preserve"> </w:t>
      </w:r>
      <w:r w:rsidRPr="00C56257">
        <w:rPr>
          <w:color w:val="000000" w:themeColor="text1"/>
        </w:rPr>
        <w:t>afecta</w:t>
      </w:r>
      <w:r w:rsidRPr="00C56257">
        <w:rPr>
          <w:color w:val="000000" w:themeColor="text1"/>
          <w:spacing w:val="1"/>
        </w:rPr>
        <w:t>t</w:t>
      </w:r>
      <w:r w:rsidRPr="00C56257">
        <w:rPr>
          <w:color w:val="000000" w:themeColor="text1"/>
        </w:rPr>
        <w:t>ă</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factori</w:t>
      </w:r>
      <w:r w:rsidRPr="00C56257">
        <w:rPr>
          <w:color w:val="000000" w:themeColor="text1"/>
          <w:spacing w:val="1"/>
        </w:rPr>
        <w:t xml:space="preserve"> </w:t>
      </w:r>
      <w:r w:rsidRPr="00C56257">
        <w:rPr>
          <w:color w:val="000000" w:themeColor="text1"/>
        </w:rPr>
        <w:t>disturb</w:t>
      </w:r>
      <w:r w:rsidRPr="00C56257">
        <w:rPr>
          <w:color w:val="000000" w:themeColor="text1"/>
          <w:spacing w:val="2"/>
        </w:rPr>
        <w:t>a</w:t>
      </w:r>
      <w:r w:rsidRPr="00C56257">
        <w:rPr>
          <w:color w:val="000000" w:themeColor="text1"/>
        </w:rPr>
        <w:t>t</w:t>
      </w:r>
      <w:r w:rsidRPr="00C56257">
        <w:rPr>
          <w:color w:val="000000" w:themeColor="text1"/>
          <w:spacing w:val="-1"/>
        </w:rPr>
        <w:t>o</w:t>
      </w:r>
      <w:r w:rsidRPr="00C56257">
        <w:rPr>
          <w:color w:val="000000" w:themeColor="text1"/>
        </w:rPr>
        <w:t>ri</w:t>
      </w:r>
      <w:r w:rsidRPr="00C56257">
        <w:rPr>
          <w:color w:val="000000" w:themeColor="text1"/>
          <w:spacing w:val="2"/>
        </w:rPr>
        <w:t xml:space="preserve"> </w:t>
      </w:r>
      <w:r w:rsidRPr="00C56257">
        <w:rPr>
          <w:color w:val="000000" w:themeColor="text1"/>
        </w:rPr>
        <w:t>biotici</w:t>
      </w:r>
      <w:r w:rsidRPr="00C56257">
        <w:rPr>
          <w:color w:val="000000" w:themeColor="text1"/>
          <w:spacing w:val="2"/>
        </w:rPr>
        <w:t xml:space="preserve"> </w:t>
      </w:r>
      <w:r w:rsidRPr="00C56257">
        <w:rPr>
          <w:color w:val="000000" w:themeColor="text1"/>
        </w:rPr>
        <w:t>sau</w:t>
      </w:r>
      <w:r w:rsidRPr="00C56257">
        <w:rPr>
          <w:color w:val="000000" w:themeColor="text1"/>
          <w:spacing w:val="2"/>
        </w:rPr>
        <w:t xml:space="preserve"> </w:t>
      </w:r>
      <w:r w:rsidRPr="00C56257">
        <w:rPr>
          <w:color w:val="000000" w:themeColor="text1"/>
        </w:rPr>
        <w:t>abiotici</w:t>
      </w:r>
      <w:r w:rsidRPr="00C56257">
        <w:rPr>
          <w:color w:val="000000" w:themeColor="text1"/>
          <w:spacing w:val="2"/>
        </w:rPr>
        <w:t xml:space="preserve"> </w:t>
      </w:r>
      <w:r w:rsidRPr="00C56257">
        <w:rPr>
          <w:color w:val="000000" w:themeColor="text1"/>
        </w:rPr>
        <w:t>(i</w:t>
      </w:r>
      <w:r w:rsidRPr="00C56257">
        <w:rPr>
          <w:color w:val="000000" w:themeColor="text1"/>
          <w:spacing w:val="-1"/>
        </w:rPr>
        <w:t>nc</w:t>
      </w:r>
      <w:r w:rsidRPr="00C56257">
        <w:rPr>
          <w:color w:val="000000" w:themeColor="text1"/>
        </w:rPr>
        <w:t xml:space="preserve">endii, </w:t>
      </w:r>
      <w:r w:rsidRPr="00C56257">
        <w:rPr>
          <w:color w:val="000000" w:themeColor="text1"/>
          <w:spacing w:val="-2"/>
        </w:rPr>
        <w:t>v</w:t>
      </w:r>
      <w:r w:rsidRPr="00C56257">
        <w:rPr>
          <w:color w:val="000000" w:themeColor="text1"/>
        </w:rPr>
        <w:t>ă</w:t>
      </w:r>
      <w:r w:rsidRPr="00C56257">
        <w:rPr>
          <w:color w:val="000000" w:themeColor="text1"/>
          <w:spacing w:val="1"/>
        </w:rPr>
        <w:t>t</w:t>
      </w:r>
      <w:r w:rsidRPr="00C56257">
        <w:rPr>
          <w:color w:val="000000" w:themeColor="text1"/>
        </w:rPr>
        <w:t>ă</w:t>
      </w:r>
      <w:r w:rsidRPr="00C56257">
        <w:rPr>
          <w:color w:val="000000" w:themeColor="text1"/>
          <w:spacing w:val="-2"/>
        </w:rPr>
        <w:t>m</w:t>
      </w:r>
      <w:r w:rsidRPr="00C56257">
        <w:rPr>
          <w:color w:val="000000" w:themeColor="text1"/>
        </w:rPr>
        <w:t>ări</w:t>
      </w:r>
      <w:r w:rsidRPr="00C56257">
        <w:rPr>
          <w:color w:val="000000" w:themeColor="text1"/>
          <w:spacing w:val="2"/>
        </w:rPr>
        <w:t xml:space="preserve"> </w:t>
      </w:r>
      <w:r w:rsidRPr="00C56257">
        <w:rPr>
          <w:color w:val="000000" w:themeColor="text1"/>
        </w:rPr>
        <w:t>produse</w:t>
      </w:r>
      <w:r w:rsidRPr="00C56257">
        <w:rPr>
          <w:color w:val="000000" w:themeColor="text1"/>
          <w:spacing w:val="2"/>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age</w:t>
      </w:r>
      <w:r w:rsidRPr="00C56257">
        <w:rPr>
          <w:color w:val="000000" w:themeColor="text1"/>
          <w:spacing w:val="-1"/>
        </w:rPr>
        <w:t>n</w:t>
      </w:r>
      <w:r w:rsidRPr="00C56257">
        <w:rPr>
          <w:color w:val="000000" w:themeColor="text1"/>
        </w:rPr>
        <w:t>ţi patogeni sau insecte, us</w:t>
      </w:r>
      <w:r w:rsidRPr="00C56257">
        <w:rPr>
          <w:color w:val="000000" w:themeColor="text1"/>
          <w:spacing w:val="1"/>
        </w:rPr>
        <w:t>c</w:t>
      </w:r>
      <w:r w:rsidRPr="00C56257">
        <w:rPr>
          <w:color w:val="000000" w:themeColor="text1"/>
        </w:rPr>
        <w:t>ări, etc</w:t>
      </w:r>
      <w:r w:rsidRPr="00C56257">
        <w:rPr>
          <w:color w:val="000000" w:themeColor="text1"/>
          <w:spacing w:val="-1"/>
        </w:rPr>
        <w:t>.</w:t>
      </w:r>
      <w:r w:rsidRPr="00C56257">
        <w:rPr>
          <w:color w:val="000000" w:themeColor="text1"/>
        </w:rPr>
        <w:t>), se reco</w:t>
      </w:r>
      <w:r w:rsidRPr="00C56257">
        <w:rPr>
          <w:color w:val="000000" w:themeColor="text1"/>
          <w:spacing w:val="-2"/>
        </w:rPr>
        <w:t>m</w:t>
      </w:r>
      <w:r w:rsidRPr="00C56257">
        <w:rPr>
          <w:color w:val="000000" w:themeColor="text1"/>
        </w:rPr>
        <w:t>andă investig</w:t>
      </w:r>
      <w:r w:rsidRPr="00C56257">
        <w:rPr>
          <w:color w:val="000000" w:themeColor="text1"/>
          <w:spacing w:val="-1"/>
        </w:rPr>
        <w:t>a</w:t>
      </w:r>
      <w:r w:rsidRPr="00C56257">
        <w:rPr>
          <w:color w:val="000000" w:themeColor="text1"/>
        </w:rPr>
        <w:t>ţii cu o frecve</w:t>
      </w:r>
      <w:r w:rsidRPr="00C56257">
        <w:rPr>
          <w:color w:val="000000" w:themeColor="text1"/>
          <w:spacing w:val="-1"/>
        </w:rPr>
        <w:t>n</w:t>
      </w:r>
      <w:r w:rsidRPr="00C56257">
        <w:rPr>
          <w:color w:val="000000" w:themeColor="text1"/>
        </w:rPr>
        <w:t>ţă anuală pentru a detecta</w:t>
      </w:r>
      <w:r w:rsidRPr="00C56257">
        <w:rPr>
          <w:color w:val="000000" w:themeColor="text1"/>
          <w:spacing w:val="4"/>
        </w:rPr>
        <w:t xml:space="preserve"> </w:t>
      </w:r>
      <w:r w:rsidRPr="00C56257">
        <w:rPr>
          <w:color w:val="000000" w:themeColor="text1"/>
        </w:rPr>
        <w:t>cauzele,</w:t>
      </w:r>
      <w:r w:rsidRPr="00C56257">
        <w:rPr>
          <w:color w:val="000000" w:themeColor="text1"/>
          <w:spacing w:val="4"/>
        </w:rPr>
        <w:t xml:space="preserve"> </w:t>
      </w:r>
      <w:r w:rsidRPr="00C56257">
        <w:rPr>
          <w:color w:val="000000" w:themeColor="text1"/>
        </w:rPr>
        <w:t>a</w:t>
      </w:r>
      <w:r w:rsidRPr="00C56257">
        <w:rPr>
          <w:color w:val="000000" w:themeColor="text1"/>
          <w:spacing w:val="-2"/>
        </w:rPr>
        <w:t>m</w:t>
      </w:r>
      <w:r w:rsidRPr="00C56257">
        <w:rPr>
          <w:color w:val="000000" w:themeColor="text1"/>
        </w:rPr>
        <w:t>ploarea</w:t>
      </w:r>
      <w:r w:rsidRPr="00C56257">
        <w:rPr>
          <w:color w:val="000000" w:themeColor="text1"/>
          <w:spacing w:val="4"/>
        </w:rPr>
        <w:t xml:space="preserve"> </w:t>
      </w:r>
      <w:r w:rsidRPr="00C56257">
        <w:rPr>
          <w:color w:val="000000" w:themeColor="text1"/>
        </w:rPr>
        <w:t>feno</w:t>
      </w:r>
      <w:r w:rsidRPr="00C56257">
        <w:rPr>
          <w:color w:val="000000" w:themeColor="text1"/>
          <w:spacing w:val="-2"/>
        </w:rPr>
        <w:t>m</w:t>
      </w:r>
      <w:r w:rsidRPr="00C56257">
        <w:rPr>
          <w:color w:val="000000" w:themeColor="text1"/>
          <w:spacing w:val="2"/>
        </w:rPr>
        <w:t>e</w:t>
      </w:r>
      <w:r w:rsidRPr="00C56257">
        <w:rPr>
          <w:color w:val="000000" w:themeColor="text1"/>
        </w:rPr>
        <w:t>nului şi</w:t>
      </w:r>
      <w:r w:rsidRPr="00C56257">
        <w:rPr>
          <w:color w:val="000000" w:themeColor="text1"/>
          <w:spacing w:val="3"/>
        </w:rPr>
        <w:t xml:space="preserve"> </w:t>
      </w:r>
      <w:r w:rsidRPr="00C56257">
        <w:rPr>
          <w:color w:val="000000" w:themeColor="text1"/>
        </w:rPr>
        <w:t>a</w:t>
      </w:r>
      <w:r w:rsidRPr="00C56257">
        <w:rPr>
          <w:color w:val="000000" w:themeColor="text1"/>
          <w:spacing w:val="3"/>
        </w:rPr>
        <w:t xml:space="preserve"> </w:t>
      </w:r>
      <w:r w:rsidRPr="00C56257">
        <w:rPr>
          <w:color w:val="000000" w:themeColor="text1"/>
        </w:rPr>
        <w:t>reco</w:t>
      </w:r>
      <w:r w:rsidRPr="00C56257">
        <w:rPr>
          <w:color w:val="000000" w:themeColor="text1"/>
          <w:spacing w:val="-2"/>
        </w:rPr>
        <w:t>m</w:t>
      </w:r>
      <w:r w:rsidRPr="00C56257">
        <w:rPr>
          <w:color w:val="000000" w:themeColor="text1"/>
        </w:rPr>
        <w:t>anda</w:t>
      </w:r>
      <w:r w:rsidRPr="00C56257">
        <w:rPr>
          <w:color w:val="000000" w:themeColor="text1"/>
          <w:spacing w:val="4"/>
        </w:rPr>
        <w:t xml:space="preserve"> </w:t>
      </w:r>
      <w:r w:rsidRPr="00C56257">
        <w:rPr>
          <w:color w:val="000000" w:themeColor="text1"/>
          <w:spacing w:val="-3"/>
        </w:rPr>
        <w:t>m</w:t>
      </w:r>
      <w:r w:rsidRPr="00C56257">
        <w:rPr>
          <w:color w:val="000000" w:themeColor="text1"/>
        </w:rPr>
        <w:t>ăsurile</w:t>
      </w:r>
      <w:r w:rsidRPr="00C56257">
        <w:rPr>
          <w:color w:val="000000" w:themeColor="text1"/>
          <w:spacing w:val="4"/>
        </w:rPr>
        <w:t xml:space="preserve"> </w:t>
      </w:r>
      <w:r w:rsidRPr="00C56257">
        <w:rPr>
          <w:color w:val="000000" w:themeColor="text1"/>
        </w:rPr>
        <w:t>de</w:t>
      </w:r>
      <w:r w:rsidRPr="00C56257">
        <w:rPr>
          <w:color w:val="000000" w:themeColor="text1"/>
          <w:spacing w:val="4"/>
        </w:rPr>
        <w:t xml:space="preserve"> </w:t>
      </w:r>
      <w:r w:rsidRPr="00C56257">
        <w:rPr>
          <w:color w:val="000000" w:themeColor="text1"/>
          <w:spacing w:val="-2"/>
        </w:rPr>
        <w:t>m</w:t>
      </w:r>
      <w:r w:rsidRPr="00C56257">
        <w:rPr>
          <w:color w:val="000000" w:themeColor="text1"/>
        </w:rPr>
        <w:t>anag</w:t>
      </w:r>
      <w:r w:rsidRPr="00C56257">
        <w:rPr>
          <w:color w:val="000000" w:themeColor="text1"/>
          <w:spacing w:val="2"/>
        </w:rPr>
        <w:t>e</w:t>
      </w:r>
      <w:r w:rsidRPr="00C56257">
        <w:rPr>
          <w:color w:val="000000" w:themeColor="text1"/>
          <w:spacing w:val="-2"/>
        </w:rPr>
        <w:t>m</w:t>
      </w:r>
      <w:r w:rsidRPr="00C56257">
        <w:rPr>
          <w:color w:val="000000" w:themeColor="text1"/>
        </w:rPr>
        <w:t>ent</w:t>
      </w:r>
      <w:r w:rsidRPr="00C56257">
        <w:rPr>
          <w:color w:val="000000" w:themeColor="text1"/>
          <w:spacing w:val="4"/>
        </w:rPr>
        <w:t xml:space="preserve"> </w:t>
      </w:r>
      <w:r w:rsidRPr="00C56257">
        <w:rPr>
          <w:color w:val="000000" w:themeColor="text1"/>
        </w:rPr>
        <w:t>adecvate. Activitatea</w:t>
      </w:r>
      <w:r w:rsidRPr="00C56257">
        <w:rPr>
          <w:color w:val="000000" w:themeColor="text1"/>
          <w:spacing w:val="4"/>
        </w:rPr>
        <w:t xml:space="preserve"> </w:t>
      </w:r>
      <w:r w:rsidRPr="00C56257">
        <w:rPr>
          <w:color w:val="000000" w:themeColor="text1"/>
        </w:rPr>
        <w:t>de</w:t>
      </w:r>
      <w:r w:rsidRPr="00C56257">
        <w:rPr>
          <w:color w:val="000000" w:themeColor="text1"/>
          <w:spacing w:val="4"/>
        </w:rPr>
        <w:t xml:space="preserve"> </w:t>
      </w:r>
      <w:r w:rsidRPr="00C56257">
        <w:rPr>
          <w:color w:val="000000" w:themeColor="text1"/>
        </w:rPr>
        <w:t>culegere</w:t>
      </w:r>
      <w:r w:rsidRPr="00C56257">
        <w:rPr>
          <w:color w:val="000000" w:themeColor="text1"/>
          <w:spacing w:val="4"/>
        </w:rPr>
        <w:t xml:space="preserve"> </w:t>
      </w:r>
      <w:r w:rsidRPr="00C56257">
        <w:rPr>
          <w:color w:val="000000" w:themeColor="text1"/>
        </w:rPr>
        <w:t>a</w:t>
      </w:r>
      <w:r w:rsidRPr="00C56257">
        <w:rPr>
          <w:color w:val="000000" w:themeColor="text1"/>
          <w:spacing w:val="4"/>
        </w:rPr>
        <w:t xml:space="preserve"> </w:t>
      </w:r>
      <w:r w:rsidRPr="00C56257">
        <w:rPr>
          <w:color w:val="000000" w:themeColor="text1"/>
        </w:rPr>
        <w:t>datelor</w:t>
      </w:r>
      <w:r w:rsidRPr="00C56257">
        <w:rPr>
          <w:color w:val="000000" w:themeColor="text1"/>
          <w:spacing w:val="4"/>
        </w:rPr>
        <w:t xml:space="preserve"> </w:t>
      </w:r>
      <w:r w:rsidRPr="00C56257">
        <w:rPr>
          <w:color w:val="000000" w:themeColor="text1"/>
        </w:rPr>
        <w:t>se</w:t>
      </w:r>
      <w:r w:rsidRPr="00C56257">
        <w:rPr>
          <w:color w:val="000000" w:themeColor="text1"/>
          <w:spacing w:val="4"/>
        </w:rPr>
        <w:t xml:space="preserve"> </w:t>
      </w:r>
      <w:r w:rsidRPr="00C56257">
        <w:rPr>
          <w:color w:val="000000" w:themeColor="text1"/>
        </w:rPr>
        <w:t>va efectua</w:t>
      </w:r>
      <w:r w:rsidRPr="00C56257">
        <w:rPr>
          <w:color w:val="000000" w:themeColor="text1"/>
          <w:spacing w:val="4"/>
        </w:rPr>
        <w:t xml:space="preserve"> </w:t>
      </w:r>
      <w:r w:rsidRPr="00C56257">
        <w:rPr>
          <w:color w:val="000000" w:themeColor="text1"/>
        </w:rPr>
        <w:t>în</w:t>
      </w:r>
      <w:r w:rsidRPr="00C56257">
        <w:rPr>
          <w:color w:val="000000" w:themeColor="text1"/>
          <w:spacing w:val="4"/>
        </w:rPr>
        <w:t xml:space="preserve"> </w:t>
      </w:r>
      <w:r w:rsidRPr="00C56257">
        <w:rPr>
          <w:color w:val="000000" w:themeColor="text1"/>
        </w:rPr>
        <w:t>perioada</w:t>
      </w:r>
      <w:r w:rsidRPr="00C56257">
        <w:rPr>
          <w:color w:val="000000" w:themeColor="text1"/>
          <w:spacing w:val="4"/>
        </w:rPr>
        <w:t xml:space="preserve"> </w:t>
      </w:r>
      <w:r w:rsidRPr="00C56257">
        <w:rPr>
          <w:color w:val="000000" w:themeColor="text1"/>
        </w:rPr>
        <w:t>sezonului</w:t>
      </w:r>
      <w:r w:rsidRPr="00C56257">
        <w:rPr>
          <w:color w:val="000000" w:themeColor="text1"/>
          <w:spacing w:val="4"/>
        </w:rPr>
        <w:t xml:space="preserve"> </w:t>
      </w:r>
      <w:r w:rsidRPr="00C56257">
        <w:rPr>
          <w:color w:val="000000" w:themeColor="text1"/>
        </w:rPr>
        <w:t>de</w:t>
      </w:r>
      <w:r w:rsidRPr="00C56257">
        <w:rPr>
          <w:color w:val="000000" w:themeColor="text1"/>
          <w:spacing w:val="4"/>
        </w:rPr>
        <w:t xml:space="preserve"> </w:t>
      </w:r>
      <w:r w:rsidRPr="00C56257">
        <w:rPr>
          <w:color w:val="000000" w:themeColor="text1"/>
        </w:rPr>
        <w:t>veget</w:t>
      </w:r>
      <w:r w:rsidRPr="00C56257">
        <w:rPr>
          <w:color w:val="000000" w:themeColor="text1"/>
          <w:spacing w:val="-5"/>
        </w:rPr>
        <w:t>a</w:t>
      </w:r>
      <w:r w:rsidRPr="00C56257">
        <w:rPr>
          <w:color w:val="000000" w:themeColor="text1"/>
        </w:rPr>
        <w:t>ţie,</w:t>
      </w:r>
      <w:r w:rsidRPr="00C56257">
        <w:rPr>
          <w:color w:val="000000" w:themeColor="text1"/>
          <w:spacing w:val="4"/>
        </w:rPr>
        <w:t xml:space="preserve"> </w:t>
      </w:r>
      <w:r w:rsidRPr="00C56257">
        <w:rPr>
          <w:color w:val="000000" w:themeColor="text1"/>
        </w:rPr>
        <w:t>preferabil</w:t>
      </w:r>
      <w:r w:rsidRPr="00C56257">
        <w:rPr>
          <w:color w:val="000000" w:themeColor="text1"/>
          <w:spacing w:val="4"/>
        </w:rPr>
        <w:t xml:space="preserve"> </w:t>
      </w:r>
      <w:r w:rsidRPr="00C56257">
        <w:rPr>
          <w:color w:val="000000" w:themeColor="text1"/>
        </w:rPr>
        <w:t>în perioada</w:t>
      </w:r>
      <w:r w:rsidRPr="00C56257">
        <w:rPr>
          <w:color w:val="000000" w:themeColor="text1"/>
          <w:spacing w:val="2"/>
        </w:rPr>
        <w:t xml:space="preserve"> </w:t>
      </w:r>
      <w:r w:rsidRPr="00C56257">
        <w:rPr>
          <w:color w:val="000000" w:themeColor="text1"/>
        </w:rPr>
        <w:t>iunie</w:t>
      </w:r>
      <w:r w:rsidRPr="00C56257">
        <w:rPr>
          <w:color w:val="000000" w:themeColor="text1"/>
          <w:spacing w:val="2"/>
        </w:rPr>
        <w:t xml:space="preserve"> </w:t>
      </w:r>
      <w:r w:rsidRPr="00C56257">
        <w:rPr>
          <w:color w:val="000000" w:themeColor="text1"/>
        </w:rPr>
        <w:t>–</w:t>
      </w:r>
      <w:r w:rsidRPr="00C56257">
        <w:rPr>
          <w:color w:val="000000" w:themeColor="text1"/>
          <w:spacing w:val="2"/>
        </w:rPr>
        <w:t xml:space="preserve"> </w:t>
      </w:r>
      <w:r w:rsidRPr="00C56257">
        <w:rPr>
          <w:color w:val="000000" w:themeColor="text1"/>
        </w:rPr>
        <w:t>august,</w:t>
      </w:r>
      <w:r w:rsidRPr="00C56257">
        <w:rPr>
          <w:color w:val="000000" w:themeColor="text1"/>
          <w:spacing w:val="2"/>
        </w:rPr>
        <w:t xml:space="preserve"> </w:t>
      </w:r>
      <w:r w:rsidRPr="00C56257">
        <w:rPr>
          <w:color w:val="000000" w:themeColor="text1"/>
        </w:rPr>
        <w:t>du</w:t>
      </w:r>
      <w:r w:rsidRPr="00C56257">
        <w:rPr>
          <w:color w:val="000000" w:themeColor="text1"/>
          <w:spacing w:val="-1"/>
        </w:rPr>
        <w:t>p</w:t>
      </w:r>
      <w:r w:rsidRPr="00C56257">
        <w:rPr>
          <w:color w:val="000000" w:themeColor="text1"/>
        </w:rPr>
        <w:t>ă</w:t>
      </w:r>
      <w:r w:rsidRPr="00C56257">
        <w:rPr>
          <w:color w:val="000000" w:themeColor="text1"/>
          <w:spacing w:val="1"/>
        </w:rPr>
        <w:t xml:space="preserve"> </w:t>
      </w:r>
      <w:r w:rsidRPr="00C56257">
        <w:rPr>
          <w:color w:val="000000" w:themeColor="text1"/>
        </w:rPr>
        <w:t>topirea</w:t>
      </w:r>
      <w:r w:rsidRPr="00C56257">
        <w:rPr>
          <w:color w:val="000000" w:themeColor="text1"/>
          <w:spacing w:val="2"/>
        </w:rPr>
        <w:t xml:space="preserve"> </w:t>
      </w:r>
      <w:r w:rsidRPr="00C56257">
        <w:rPr>
          <w:color w:val="000000" w:themeColor="text1"/>
        </w:rPr>
        <w:t>co</w:t>
      </w:r>
      <w:r w:rsidRPr="00C56257">
        <w:rPr>
          <w:color w:val="000000" w:themeColor="text1"/>
          <w:spacing w:val="-2"/>
        </w:rPr>
        <w:t>m</w:t>
      </w:r>
      <w:r w:rsidRPr="00C56257">
        <w:rPr>
          <w:color w:val="000000" w:themeColor="text1"/>
        </w:rPr>
        <w:t>pletă</w:t>
      </w:r>
      <w:r w:rsidRPr="00C56257">
        <w:rPr>
          <w:color w:val="000000" w:themeColor="text1"/>
          <w:spacing w:val="2"/>
        </w:rPr>
        <w:t xml:space="preserve"> </w:t>
      </w:r>
      <w:r w:rsidRPr="00C56257">
        <w:rPr>
          <w:color w:val="000000" w:themeColor="text1"/>
        </w:rPr>
        <w:t>a</w:t>
      </w:r>
      <w:r w:rsidRPr="00C56257">
        <w:rPr>
          <w:color w:val="000000" w:themeColor="text1"/>
          <w:spacing w:val="3"/>
        </w:rPr>
        <w:t xml:space="preserve"> </w:t>
      </w:r>
      <w:r w:rsidRPr="00C56257">
        <w:rPr>
          <w:color w:val="000000" w:themeColor="text1"/>
          <w:spacing w:val="-1"/>
        </w:rPr>
        <w:t>s</w:t>
      </w:r>
      <w:r w:rsidRPr="00C56257">
        <w:rPr>
          <w:color w:val="000000" w:themeColor="text1"/>
        </w:rPr>
        <w:t>t</w:t>
      </w:r>
      <w:r w:rsidRPr="00C56257">
        <w:rPr>
          <w:color w:val="000000" w:themeColor="text1"/>
          <w:spacing w:val="-1"/>
        </w:rPr>
        <w:t>r</w:t>
      </w:r>
      <w:r w:rsidRPr="00C56257">
        <w:rPr>
          <w:color w:val="000000" w:themeColor="text1"/>
        </w:rPr>
        <w:t>atul</w:t>
      </w:r>
      <w:r w:rsidRPr="00C56257">
        <w:rPr>
          <w:color w:val="000000" w:themeColor="text1"/>
          <w:spacing w:val="-1"/>
        </w:rPr>
        <w:t>u</w:t>
      </w:r>
      <w:r w:rsidRPr="00C56257">
        <w:rPr>
          <w:color w:val="000000" w:themeColor="text1"/>
        </w:rPr>
        <w:t>i</w:t>
      </w:r>
      <w:r w:rsidRPr="00C56257">
        <w:rPr>
          <w:color w:val="000000" w:themeColor="text1"/>
          <w:spacing w:val="3"/>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zăpadă în</w:t>
      </w:r>
      <w:r w:rsidRPr="00C56257">
        <w:rPr>
          <w:color w:val="000000" w:themeColor="text1"/>
          <w:spacing w:val="1"/>
        </w:rPr>
        <w:t xml:space="preserve"> </w:t>
      </w:r>
      <w:r w:rsidRPr="00C56257">
        <w:rPr>
          <w:color w:val="000000" w:themeColor="text1"/>
        </w:rPr>
        <w:t>etajul</w:t>
      </w:r>
      <w:r w:rsidRPr="00C56257">
        <w:rPr>
          <w:color w:val="000000" w:themeColor="text1"/>
          <w:spacing w:val="1"/>
        </w:rPr>
        <w:t xml:space="preserve"> </w:t>
      </w:r>
      <w:r w:rsidRPr="00C56257">
        <w:rPr>
          <w:color w:val="000000" w:themeColor="text1"/>
        </w:rPr>
        <w:t>montan,</w:t>
      </w:r>
      <w:r w:rsidRPr="00C56257">
        <w:rPr>
          <w:color w:val="000000" w:themeColor="text1"/>
          <w:spacing w:val="1"/>
        </w:rPr>
        <w:t xml:space="preserve"> </w:t>
      </w:r>
      <w:r w:rsidRPr="00C56257">
        <w:rPr>
          <w:color w:val="000000" w:themeColor="text1"/>
        </w:rPr>
        <w:t>în mo</w:t>
      </w:r>
      <w:r w:rsidRPr="00C56257">
        <w:rPr>
          <w:color w:val="000000" w:themeColor="text1"/>
          <w:spacing w:val="-2"/>
        </w:rPr>
        <w:t>m</w:t>
      </w:r>
      <w:r w:rsidRPr="00C56257">
        <w:rPr>
          <w:color w:val="000000" w:themeColor="text1"/>
        </w:rPr>
        <w:t xml:space="preserve">entul de </w:t>
      </w:r>
      <w:r w:rsidRPr="00C56257">
        <w:rPr>
          <w:color w:val="000000" w:themeColor="text1"/>
          <w:spacing w:val="-2"/>
        </w:rPr>
        <w:t>m</w:t>
      </w:r>
      <w:r w:rsidRPr="00C56257">
        <w:rPr>
          <w:color w:val="000000" w:themeColor="text1"/>
        </w:rPr>
        <w:t>ax</w:t>
      </w:r>
      <w:r w:rsidRPr="00C56257">
        <w:rPr>
          <w:color w:val="000000" w:themeColor="text1"/>
          <w:spacing w:val="2"/>
        </w:rPr>
        <w:t>i</w:t>
      </w:r>
      <w:r w:rsidRPr="00C56257">
        <w:rPr>
          <w:color w:val="000000" w:themeColor="text1"/>
          <w:spacing w:val="-3"/>
        </w:rPr>
        <w:t>m</w:t>
      </w:r>
      <w:r w:rsidRPr="00C56257">
        <w:rPr>
          <w:color w:val="000000" w:themeColor="text1"/>
        </w:rPr>
        <w:t>ă afir</w:t>
      </w:r>
      <w:r w:rsidRPr="00C56257">
        <w:rPr>
          <w:color w:val="000000" w:themeColor="text1"/>
          <w:spacing w:val="-2"/>
        </w:rPr>
        <w:t>m</w:t>
      </w:r>
      <w:r w:rsidRPr="00C56257">
        <w:rPr>
          <w:color w:val="000000" w:themeColor="text1"/>
        </w:rPr>
        <w:t>are a aspectul</w:t>
      </w:r>
      <w:r w:rsidRPr="00C56257">
        <w:rPr>
          <w:color w:val="000000" w:themeColor="text1"/>
          <w:spacing w:val="-1"/>
        </w:rPr>
        <w:t>u</w:t>
      </w:r>
      <w:r w:rsidRPr="00C56257">
        <w:rPr>
          <w:color w:val="000000" w:themeColor="text1"/>
        </w:rPr>
        <w:t xml:space="preserve">i estival al </w:t>
      </w:r>
      <w:r w:rsidRPr="00C56257">
        <w:rPr>
          <w:color w:val="000000" w:themeColor="text1"/>
          <w:spacing w:val="-2"/>
        </w:rPr>
        <w:t>f</w:t>
      </w:r>
      <w:r w:rsidRPr="00C56257">
        <w:rPr>
          <w:color w:val="000000" w:themeColor="text1"/>
        </w:rPr>
        <w:t>itocenozelor caracteristice ti</w:t>
      </w:r>
      <w:r w:rsidRPr="00C56257">
        <w:rPr>
          <w:color w:val="000000" w:themeColor="text1"/>
          <w:spacing w:val="-1"/>
        </w:rPr>
        <w:t>p</w:t>
      </w:r>
      <w:r w:rsidRPr="00C56257">
        <w:rPr>
          <w:color w:val="000000" w:themeColor="text1"/>
        </w:rPr>
        <w:t>ului de habit</w:t>
      </w:r>
      <w:r w:rsidRPr="00C56257">
        <w:rPr>
          <w:color w:val="000000" w:themeColor="text1"/>
          <w:spacing w:val="-1"/>
        </w:rPr>
        <w:t>a</w:t>
      </w:r>
      <w:r w:rsidRPr="00C56257">
        <w:rPr>
          <w:color w:val="000000" w:themeColor="text1"/>
        </w:rPr>
        <w:t>t.</w:t>
      </w:r>
    </w:p>
    <w:p w14:paraId="289A0D11" w14:textId="77777777" w:rsidR="002D3CA7" w:rsidRPr="00C56257" w:rsidRDefault="002D3CA7" w:rsidP="008E33FD">
      <w:pPr>
        <w:spacing w:line="276" w:lineRule="auto"/>
        <w:ind w:firstLine="709"/>
        <w:contextualSpacing/>
        <w:jc w:val="both"/>
        <w:rPr>
          <w:rFonts w:eastAsia="Calibri"/>
          <w:color w:val="000000" w:themeColor="text1"/>
        </w:rPr>
      </w:pPr>
      <w:r w:rsidRPr="00C56257">
        <w:rPr>
          <w:rFonts w:eastAsia="Calibri"/>
          <w:color w:val="000000" w:themeColor="text1"/>
        </w:rPr>
        <w:t>Pentru asigurarea calităţii datelor de teren, acestea sunt verificate şi validate înainte de stocarea şi prelucrarea lor. O primă etapă de verificare şi validare a datelor de teren este realizată prin programul informatic de introducere a acestora, prin sistemul de restricţii la introducerea datelor de teren şi interconectări între diverse teme şi niveluri ale bazei de date. A doua etapă de verificare şi validare a datelor de teren culese se realizează de către personalul cu sarcini speciale de verificare, care returnează echipelor de teren toate înregistrările neconforme, cu solicitarea de explicaţii sau de corectare a acestora.</w:t>
      </w:r>
    </w:p>
    <w:p w14:paraId="38F3FD26" w14:textId="77777777" w:rsidR="004145D1" w:rsidRPr="00C56257" w:rsidRDefault="004145D1" w:rsidP="008E33FD">
      <w:pPr>
        <w:spacing w:line="276" w:lineRule="auto"/>
        <w:ind w:right="203"/>
        <w:contextualSpacing/>
        <w:jc w:val="both"/>
        <w:rPr>
          <w:b/>
          <w:i/>
          <w:color w:val="000000" w:themeColor="text1"/>
        </w:rPr>
      </w:pPr>
    </w:p>
    <w:p w14:paraId="03436896" w14:textId="77777777" w:rsidR="002D3CA7" w:rsidRPr="00C56257" w:rsidRDefault="002D3CA7" w:rsidP="008E33FD">
      <w:pPr>
        <w:spacing w:line="276" w:lineRule="auto"/>
        <w:ind w:right="203"/>
        <w:contextualSpacing/>
        <w:jc w:val="both"/>
        <w:rPr>
          <w:color w:val="000000" w:themeColor="text1"/>
        </w:rPr>
      </w:pPr>
      <w:r w:rsidRPr="00C56257">
        <w:rPr>
          <w:b/>
          <w:i/>
          <w:color w:val="000000" w:themeColor="text1"/>
        </w:rPr>
        <w:t>Habitatele</w:t>
      </w:r>
      <w:r w:rsidRPr="00C56257">
        <w:rPr>
          <w:b/>
          <w:i/>
          <w:color w:val="000000" w:themeColor="text1"/>
          <w:spacing w:val="1"/>
        </w:rPr>
        <w:t xml:space="preserve"> </w:t>
      </w:r>
      <w:r w:rsidRPr="00C56257">
        <w:rPr>
          <w:b/>
          <w:i/>
          <w:color w:val="000000" w:themeColor="text1"/>
        </w:rPr>
        <w:t>4060</w:t>
      </w:r>
      <w:r w:rsidRPr="00C56257">
        <w:rPr>
          <w:b/>
          <w:i/>
          <w:color w:val="000000" w:themeColor="text1"/>
          <w:spacing w:val="1"/>
        </w:rPr>
        <w:t xml:space="preserve"> </w:t>
      </w:r>
      <w:r w:rsidRPr="00C56257">
        <w:rPr>
          <w:b/>
          <w:i/>
          <w:color w:val="000000" w:themeColor="text1"/>
        </w:rPr>
        <w:t>şi 4070*</w:t>
      </w:r>
      <w:r w:rsidRPr="00C56257">
        <w:rPr>
          <w:b/>
          <w:color w:val="000000" w:themeColor="text1"/>
        </w:rPr>
        <w:t xml:space="preserve"> </w:t>
      </w:r>
    </w:p>
    <w:p w14:paraId="4C0FE46F" w14:textId="77777777" w:rsidR="002D3CA7" w:rsidRPr="00C56257" w:rsidRDefault="002D3CA7" w:rsidP="008E33FD">
      <w:pPr>
        <w:spacing w:line="276" w:lineRule="auto"/>
        <w:ind w:firstLine="709"/>
        <w:contextualSpacing/>
        <w:jc w:val="both"/>
        <w:rPr>
          <w:color w:val="000000" w:themeColor="text1"/>
          <w:spacing w:val="-2"/>
        </w:rPr>
      </w:pPr>
      <w:r w:rsidRPr="00C56257">
        <w:rPr>
          <w:rFonts w:eastAsia="Calibri"/>
          <w:color w:val="000000" w:themeColor="text1"/>
        </w:rPr>
        <w:t xml:space="preserve">Habitatele de tufărişuri 4060, 4070* ocupă în general o suprafaţă întinsă, au o distribuţie în suprafeţe mari, continue, uneori combinată cu o distribuţie fragmentată, în suprafeţe mici, răspândite în etajul subalpin, deasupra limitei altitudinale superioare a pădurilor, ceea ce implică un efort considerabil pentru monitorizarea stării lui de conservare. </w:t>
      </w:r>
    </w:p>
    <w:p w14:paraId="18BB5B08" w14:textId="77777777" w:rsidR="002D3CA7" w:rsidRPr="00C56257" w:rsidRDefault="002D3CA7" w:rsidP="008E33FD">
      <w:pPr>
        <w:spacing w:line="259" w:lineRule="auto"/>
        <w:ind w:firstLine="709"/>
        <w:jc w:val="both"/>
        <w:rPr>
          <w:color w:val="000000" w:themeColor="text1"/>
        </w:rPr>
      </w:pPr>
      <w:r w:rsidRPr="00C56257">
        <w:rPr>
          <w:color w:val="000000" w:themeColor="text1"/>
          <w:spacing w:val="-2"/>
        </w:rPr>
        <w:t>M</w:t>
      </w:r>
      <w:r w:rsidRPr="00C56257">
        <w:rPr>
          <w:color w:val="000000" w:themeColor="text1"/>
        </w:rPr>
        <w:t>etodologia de monitorizare</w:t>
      </w:r>
      <w:r w:rsidRPr="00C56257">
        <w:rPr>
          <w:color w:val="000000" w:themeColor="text1"/>
          <w:spacing w:val="2"/>
        </w:rPr>
        <w:t xml:space="preserve"> </w:t>
      </w:r>
      <w:r w:rsidRPr="00C56257">
        <w:rPr>
          <w:color w:val="000000" w:themeColor="text1"/>
        </w:rPr>
        <w:t>este</w:t>
      </w:r>
      <w:r w:rsidRPr="00C56257">
        <w:rPr>
          <w:color w:val="000000" w:themeColor="text1"/>
          <w:spacing w:val="1"/>
        </w:rPr>
        <w:t xml:space="preserve"> </w:t>
      </w:r>
      <w:r w:rsidRPr="00C56257">
        <w:rPr>
          <w:color w:val="000000" w:themeColor="text1"/>
        </w:rPr>
        <w:t>si</w:t>
      </w:r>
      <w:r w:rsidRPr="00C56257">
        <w:rPr>
          <w:color w:val="000000" w:themeColor="text1"/>
          <w:spacing w:val="-2"/>
        </w:rPr>
        <w:t>m</w:t>
      </w:r>
      <w:r w:rsidRPr="00C56257">
        <w:rPr>
          <w:color w:val="000000" w:themeColor="text1"/>
        </w:rPr>
        <w:t>ila</w:t>
      </w:r>
      <w:r w:rsidRPr="00C56257">
        <w:rPr>
          <w:color w:val="000000" w:themeColor="text1"/>
          <w:spacing w:val="-2"/>
        </w:rPr>
        <w:t>r</w:t>
      </w:r>
      <w:r w:rsidRPr="00C56257">
        <w:rPr>
          <w:color w:val="000000" w:themeColor="text1"/>
        </w:rPr>
        <w:t>ă</w:t>
      </w:r>
      <w:r w:rsidRPr="00C56257">
        <w:rPr>
          <w:color w:val="000000" w:themeColor="text1"/>
          <w:spacing w:val="1"/>
        </w:rPr>
        <w:t xml:space="preserve"> </w:t>
      </w:r>
      <w:r w:rsidRPr="00C56257">
        <w:rPr>
          <w:color w:val="000000" w:themeColor="text1"/>
        </w:rPr>
        <w:t>cu</w:t>
      </w:r>
      <w:r w:rsidRPr="00C56257">
        <w:rPr>
          <w:color w:val="000000" w:themeColor="text1"/>
          <w:spacing w:val="1"/>
        </w:rPr>
        <w:t xml:space="preserve"> cea </w:t>
      </w:r>
      <w:r w:rsidRPr="00C56257">
        <w:rPr>
          <w:color w:val="000000" w:themeColor="text1"/>
        </w:rPr>
        <w:t>a</w:t>
      </w:r>
      <w:r w:rsidRPr="00C56257">
        <w:rPr>
          <w:color w:val="000000" w:themeColor="text1"/>
          <w:spacing w:val="1"/>
        </w:rPr>
        <w:t xml:space="preserve"> </w:t>
      </w:r>
      <w:r w:rsidRPr="00C56257">
        <w:rPr>
          <w:color w:val="000000" w:themeColor="text1"/>
        </w:rPr>
        <w:t>habitatelor</w:t>
      </w:r>
      <w:r w:rsidRPr="00C56257">
        <w:rPr>
          <w:color w:val="000000" w:themeColor="text1"/>
          <w:spacing w:val="1"/>
        </w:rPr>
        <w:t xml:space="preserve"> </w:t>
      </w:r>
      <w:r w:rsidRPr="00C56257">
        <w:rPr>
          <w:color w:val="000000" w:themeColor="text1"/>
        </w:rPr>
        <w:t xml:space="preserve">forestiere și este prezentată în în prezentul Ordin în </w:t>
      </w:r>
      <w:r w:rsidRPr="00C56257">
        <w:rPr>
          <w:b/>
          <w:bCs/>
          <w:i/>
          <w:iCs/>
          <w:color w:val="000000" w:themeColor="text1"/>
        </w:rPr>
        <w:t xml:space="preserve">Anexa 10 - Ghidul cu  protocoalele de monitorizare și metodologiile unitare de monitorizare a stării de conservare a habitatelor forestiere. </w:t>
      </w:r>
      <w:r w:rsidRPr="00C56257">
        <w:rPr>
          <w:color w:val="000000" w:themeColor="text1"/>
        </w:rPr>
        <w:t>Măsurătorile în fiecare suprafaţă de probă se realizează în cercul cu raza de 7.98 m (200m</w:t>
      </w:r>
      <w:r w:rsidRPr="00C56257">
        <w:rPr>
          <w:color w:val="000000" w:themeColor="text1"/>
          <w:vertAlign w:val="superscript"/>
        </w:rPr>
        <w:t>2</w:t>
      </w:r>
      <w:r w:rsidRPr="00C56257">
        <w:rPr>
          <w:color w:val="000000" w:themeColor="text1"/>
        </w:rPr>
        <w:t>) și presupune evaluarea arbuştilor şi florei indicatoare existente.</w:t>
      </w:r>
    </w:p>
    <w:p w14:paraId="66A0112E" w14:textId="77777777" w:rsidR="002D3CA7" w:rsidRPr="00C56257" w:rsidRDefault="002D3CA7" w:rsidP="008E33FD">
      <w:pPr>
        <w:spacing w:line="259" w:lineRule="auto"/>
        <w:ind w:firstLine="709"/>
        <w:jc w:val="both"/>
        <w:rPr>
          <w:color w:val="000000" w:themeColor="text1"/>
        </w:rPr>
      </w:pPr>
      <w:r w:rsidRPr="00C56257">
        <w:rPr>
          <w:color w:val="000000" w:themeColor="text1"/>
        </w:rPr>
        <w:t xml:space="preserve">Informaţiile se culeg prin estimări. Informaţiile colectate din teren, din fiecare suprafaţă de probă, vor permite estimarea/cuantificarea cu acoperire statistică a atributelor/parametrilor necesari pentru evaluarea stării de conservare a habitatelor de tufărișuri de tufărișuri de inters comunitar. </w:t>
      </w:r>
    </w:p>
    <w:p w14:paraId="25BFF24C" w14:textId="77777777" w:rsidR="002D3CA7" w:rsidRPr="00C56257" w:rsidRDefault="002D3CA7" w:rsidP="008E33FD">
      <w:pPr>
        <w:widowControl w:val="0"/>
        <w:autoSpaceDE w:val="0"/>
        <w:autoSpaceDN w:val="0"/>
        <w:adjustRightInd w:val="0"/>
        <w:spacing w:line="276" w:lineRule="auto"/>
        <w:ind w:firstLine="720"/>
        <w:jc w:val="both"/>
        <w:rPr>
          <w:color w:val="000000" w:themeColor="text1"/>
        </w:rPr>
      </w:pPr>
      <w:r w:rsidRPr="00C56257">
        <w:rPr>
          <w:color w:val="000000" w:themeColor="text1"/>
        </w:rPr>
        <w:t xml:space="preserve">Colectarea datelor de teren pentru evaluarea parametrilor descriptivi ai calității habitatului se face cu ajutorul reţelei de sondaje de 4x4 km (Figura 3) pentru monitorizarea habitatelor forestiere și cuprinde un număr total de 41 sondaje pentru cele două habitate de tufărișuri subalpine. Prin fotointerpretarea ortofotoplanurilor la scara 1:5000 s-au identificat sondajele în care sunt prezente tufărișurile subalpine (sondaje care au cel puţin o suprafaţă de probă situată în terenuri cu tufărișuri subalpine). Unităţile de eşantionaj sunt distribuite sistematic la nivelul întregului teritoriu al ţării, pornind din centrul Sistemului de coordonate naţionale Stereografic 1970, prin diviziunea sistematică a acestuia în pătrate de 4 x 4 km. </w:t>
      </w:r>
    </w:p>
    <w:p w14:paraId="4FBF0641" w14:textId="77777777" w:rsidR="002D3CA7" w:rsidRPr="00C56257" w:rsidRDefault="002D3CA7" w:rsidP="008E33FD">
      <w:pPr>
        <w:widowControl w:val="0"/>
        <w:autoSpaceDE w:val="0"/>
        <w:autoSpaceDN w:val="0"/>
        <w:adjustRightInd w:val="0"/>
        <w:jc w:val="both"/>
        <w:rPr>
          <w:color w:val="000000" w:themeColor="text1"/>
        </w:rPr>
      </w:pPr>
      <w:r w:rsidRPr="00C56257">
        <w:rPr>
          <w:rFonts w:eastAsia="Calibri"/>
          <w:noProof/>
          <w:color w:val="000000" w:themeColor="text1"/>
          <w:lang w:val="en-US"/>
        </w:rPr>
        <w:lastRenderedPageBreak/>
        <w:drawing>
          <wp:inline distT="0" distB="0" distL="0" distR="0" wp14:anchorId="5DBB30D2" wp14:editId="714CD96E">
            <wp:extent cx="3657600" cy="2586893"/>
            <wp:effectExtent l="0" t="0" r="0" b="4445"/>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68947" cy="2594919"/>
                    </a:xfrm>
                    <a:prstGeom prst="rect">
                      <a:avLst/>
                    </a:prstGeom>
                    <a:noFill/>
                    <a:ln>
                      <a:noFill/>
                    </a:ln>
                  </pic:spPr>
                </pic:pic>
              </a:graphicData>
            </a:graphic>
          </wp:inline>
        </w:drawing>
      </w:r>
    </w:p>
    <w:p w14:paraId="6E5FD1BD" w14:textId="77777777" w:rsidR="002D3CA7" w:rsidRPr="00C56257" w:rsidRDefault="002D3CA7" w:rsidP="008E33FD">
      <w:pPr>
        <w:widowControl w:val="0"/>
        <w:autoSpaceDE w:val="0"/>
        <w:autoSpaceDN w:val="0"/>
        <w:adjustRightInd w:val="0"/>
        <w:jc w:val="both"/>
        <w:rPr>
          <w:color w:val="000000" w:themeColor="text1"/>
        </w:rPr>
      </w:pPr>
      <w:r w:rsidRPr="00C56257">
        <w:rPr>
          <w:color w:val="000000" w:themeColor="text1"/>
        </w:rPr>
        <w:t>Figura 3. Suprapunerea reţelei naţionale 4x4 km peste formatul standard INSPIRE (10x10 Km ETRS, proiecţie ETRS 89LAEA 5210)</w:t>
      </w:r>
    </w:p>
    <w:p w14:paraId="6CFE2F9A" w14:textId="77777777" w:rsidR="002D3CA7" w:rsidRPr="00C56257" w:rsidRDefault="002D3CA7" w:rsidP="008E33FD">
      <w:pPr>
        <w:widowControl w:val="0"/>
        <w:autoSpaceDE w:val="0"/>
        <w:autoSpaceDN w:val="0"/>
        <w:adjustRightInd w:val="0"/>
        <w:ind w:firstLine="720"/>
        <w:jc w:val="both"/>
        <w:rPr>
          <w:color w:val="000000" w:themeColor="text1"/>
        </w:rPr>
      </w:pPr>
    </w:p>
    <w:p w14:paraId="6E750F2B" w14:textId="77777777" w:rsidR="002D3CA7" w:rsidRPr="00C56257" w:rsidRDefault="002D3CA7" w:rsidP="008E33FD">
      <w:pPr>
        <w:widowControl w:val="0"/>
        <w:autoSpaceDE w:val="0"/>
        <w:autoSpaceDN w:val="0"/>
        <w:adjustRightInd w:val="0"/>
        <w:spacing w:line="276" w:lineRule="auto"/>
        <w:ind w:firstLine="720"/>
        <w:jc w:val="both"/>
        <w:rPr>
          <w:color w:val="000000" w:themeColor="text1"/>
        </w:rPr>
      </w:pPr>
      <w:r w:rsidRPr="00C56257">
        <w:rPr>
          <w:color w:val="000000" w:themeColor="text1"/>
        </w:rPr>
        <w:t xml:space="preserve">Monitorizarea acestor habitate se va realiza cu o periodicitate de cinci 5 ani, având în vedere că acestea sunt edificatoare de specii longevive, cu o dinamică relativ lentă. Doar în cazuri excepţionale, în care integritatea habitatului este afectată de factori disturbatori biotici sau abiotici (incendii, vătămări produse de agenţi patogeni sau insecte, uscări, etc.), se recomandă investigaţii cu o frecvenţă anuală pentru a detecta cauzele, amploarea fenomenului şi a recomanda măsurile de management adecvate. Activitatea de culegere a datelor se va efectua în perioada sezonului de vegetaţie, preferabil în perioada iunie – octombrie, după topirea completă a stratului de zăpadă în etajul montan, în momentul de maximă afirmare a aspectului estival al fitocenozelor caracteristice tipului de habitat. </w:t>
      </w:r>
    </w:p>
    <w:p w14:paraId="1BD3D7F0" w14:textId="77777777" w:rsidR="002D3CA7" w:rsidRPr="00C56257" w:rsidRDefault="002D3CA7" w:rsidP="008E33FD">
      <w:pPr>
        <w:widowControl w:val="0"/>
        <w:autoSpaceDE w:val="0"/>
        <w:autoSpaceDN w:val="0"/>
        <w:adjustRightInd w:val="0"/>
        <w:spacing w:line="276" w:lineRule="auto"/>
        <w:ind w:firstLine="720"/>
        <w:jc w:val="both"/>
        <w:rPr>
          <w:color w:val="000000" w:themeColor="text1"/>
        </w:rPr>
      </w:pPr>
      <w:r w:rsidRPr="00C56257">
        <w:rPr>
          <w:color w:val="000000" w:themeColor="text1"/>
        </w:rPr>
        <w:t>Pentru asigurarea calităţii datelor de teren, acestea sunt verificate şi validate înainte de stocarea şi prelucrarea lor. O primă etapă de verificare şi validare a datelor de teren este realizată prin programul informatic de introducere a acestora, prin sistemul de restricţii la introducerea datelor de teren şi interconectări între diverse teme şi niveluri ale bazei de date. A doua etapă de verificare şi validare a datelor de teren culese se realizează de către personalul cu sarcini speciale de verificare, care returnează echipelor de teren toate înregistrările neconforme, cu solicitarea de explicaţii sau de corectare a acestora.</w:t>
      </w:r>
    </w:p>
    <w:p w14:paraId="290FDAA5" w14:textId="77777777" w:rsidR="002D3CA7" w:rsidRPr="00C56257" w:rsidRDefault="002D3CA7" w:rsidP="008E33FD">
      <w:pPr>
        <w:spacing w:line="276" w:lineRule="auto"/>
        <w:ind w:firstLine="720"/>
        <w:contextualSpacing/>
        <w:jc w:val="both"/>
        <w:rPr>
          <w:rFonts w:eastAsia="Calibri"/>
          <w:color w:val="000000" w:themeColor="text1"/>
        </w:rPr>
      </w:pPr>
      <w:r w:rsidRPr="00C56257">
        <w:rPr>
          <w:rFonts w:eastAsia="Calibri"/>
          <w:color w:val="000000" w:themeColor="text1"/>
        </w:rPr>
        <w:t>Informaţiile din toate aceste sondaje vor fi analizate pentru evaluarea atributelor/parametrilor pe baza cărora se face evaluarea stării de conservare a fiecărui habitat.</w:t>
      </w:r>
    </w:p>
    <w:p w14:paraId="6043B837" w14:textId="77777777" w:rsidR="002D3CA7" w:rsidRPr="00C56257" w:rsidRDefault="002D3CA7" w:rsidP="008E33FD">
      <w:pPr>
        <w:spacing w:after="160" w:line="259" w:lineRule="auto"/>
        <w:jc w:val="both"/>
        <w:rPr>
          <w:b/>
          <w:bCs/>
          <w:color w:val="000000" w:themeColor="text1"/>
        </w:rPr>
      </w:pPr>
    </w:p>
    <w:p w14:paraId="20FF12BD" w14:textId="77777777" w:rsidR="002D3CA7" w:rsidRPr="00C56257" w:rsidRDefault="002D3CA7" w:rsidP="008E33FD">
      <w:pPr>
        <w:spacing w:after="160" w:line="259" w:lineRule="auto"/>
        <w:jc w:val="both"/>
        <w:rPr>
          <w:b/>
          <w:bCs/>
          <w:color w:val="000000" w:themeColor="text1"/>
        </w:rPr>
      </w:pPr>
      <w:r w:rsidRPr="00C56257">
        <w:rPr>
          <w:b/>
          <w:bCs/>
          <w:color w:val="000000" w:themeColor="text1"/>
        </w:rPr>
        <w:t>Tipuri de date colectate din suprafețele de monitorizare</w:t>
      </w:r>
    </w:p>
    <w:p w14:paraId="747EA0B1" w14:textId="77777777" w:rsidR="002D3CA7" w:rsidRPr="00C56257" w:rsidRDefault="002D3CA7" w:rsidP="008E33FD">
      <w:pPr>
        <w:widowControl w:val="0"/>
        <w:numPr>
          <w:ilvl w:val="0"/>
          <w:numId w:val="8"/>
        </w:numPr>
        <w:tabs>
          <w:tab w:val="num" w:pos="486"/>
        </w:tabs>
        <w:autoSpaceDE w:val="0"/>
        <w:autoSpaceDN w:val="0"/>
        <w:adjustRightInd w:val="0"/>
        <w:spacing w:line="276" w:lineRule="auto"/>
        <w:ind w:hanging="279"/>
        <w:jc w:val="both"/>
        <w:rPr>
          <w:bCs/>
          <w:iCs/>
          <w:color w:val="000000" w:themeColor="text1"/>
        </w:rPr>
      </w:pPr>
      <w:r w:rsidRPr="00C56257">
        <w:rPr>
          <w:bCs/>
          <w:iCs/>
          <w:color w:val="000000" w:themeColor="text1"/>
        </w:rPr>
        <w:t>Date privind cadrul fizico-geografic/stațiunea/biotopul: roca/substratul litologic, % de rocă la suprafață, forma de relief, clasa de sol, tipul de humus, tipul de drenaj și submersibilitatea;</w:t>
      </w:r>
    </w:p>
    <w:p w14:paraId="38E7A3CE" w14:textId="77777777" w:rsidR="002D3CA7" w:rsidRPr="00C56257" w:rsidRDefault="002D3CA7" w:rsidP="008E33FD">
      <w:pPr>
        <w:widowControl w:val="0"/>
        <w:numPr>
          <w:ilvl w:val="0"/>
          <w:numId w:val="8"/>
        </w:numPr>
        <w:tabs>
          <w:tab w:val="num" w:pos="486"/>
        </w:tabs>
        <w:autoSpaceDE w:val="0"/>
        <w:autoSpaceDN w:val="0"/>
        <w:adjustRightInd w:val="0"/>
        <w:spacing w:line="276" w:lineRule="auto"/>
        <w:ind w:hanging="279"/>
        <w:jc w:val="both"/>
        <w:rPr>
          <w:bCs/>
          <w:iCs/>
          <w:color w:val="000000" w:themeColor="text1"/>
        </w:rPr>
      </w:pPr>
      <w:r w:rsidRPr="00C56257">
        <w:rPr>
          <w:bCs/>
          <w:iCs/>
          <w:color w:val="000000" w:themeColor="text1"/>
        </w:rPr>
        <w:t>Date privind vegetația: asociația vegetală;</w:t>
      </w:r>
    </w:p>
    <w:p w14:paraId="2983F944" w14:textId="77777777" w:rsidR="002D3CA7" w:rsidRPr="00C56257" w:rsidRDefault="002D3CA7" w:rsidP="008E33FD">
      <w:pPr>
        <w:widowControl w:val="0"/>
        <w:numPr>
          <w:ilvl w:val="0"/>
          <w:numId w:val="8"/>
        </w:numPr>
        <w:tabs>
          <w:tab w:val="num" w:pos="486"/>
        </w:tabs>
        <w:autoSpaceDE w:val="0"/>
        <w:autoSpaceDN w:val="0"/>
        <w:adjustRightInd w:val="0"/>
        <w:spacing w:line="276" w:lineRule="auto"/>
        <w:ind w:hanging="279"/>
        <w:jc w:val="both"/>
        <w:rPr>
          <w:bCs/>
          <w:iCs/>
          <w:color w:val="000000" w:themeColor="text1"/>
        </w:rPr>
      </w:pPr>
      <w:r w:rsidRPr="00C56257">
        <w:rPr>
          <w:bCs/>
          <w:iCs/>
          <w:color w:val="000000" w:themeColor="text1"/>
        </w:rPr>
        <w:t>Date privind stratul arbustiv: specii edificatoare, gradul de acoperire cu specii arbustive;</w:t>
      </w:r>
    </w:p>
    <w:p w14:paraId="46FE80F7" w14:textId="77777777" w:rsidR="002D3CA7" w:rsidRPr="00C56257" w:rsidRDefault="002D3CA7" w:rsidP="008E33FD">
      <w:pPr>
        <w:widowControl w:val="0"/>
        <w:numPr>
          <w:ilvl w:val="0"/>
          <w:numId w:val="8"/>
        </w:numPr>
        <w:tabs>
          <w:tab w:val="num" w:pos="486"/>
        </w:tabs>
        <w:autoSpaceDE w:val="0"/>
        <w:autoSpaceDN w:val="0"/>
        <w:adjustRightInd w:val="0"/>
        <w:spacing w:line="276" w:lineRule="auto"/>
        <w:ind w:hanging="279"/>
        <w:jc w:val="both"/>
        <w:rPr>
          <w:bCs/>
          <w:iCs/>
          <w:color w:val="000000" w:themeColor="text1"/>
        </w:rPr>
      </w:pPr>
      <w:r w:rsidRPr="00C56257">
        <w:rPr>
          <w:bCs/>
          <w:iCs/>
          <w:color w:val="000000" w:themeColor="text1"/>
        </w:rPr>
        <w:t>Date privind pătura erbacee/flora ierboasă: acoperirea;</w:t>
      </w:r>
    </w:p>
    <w:p w14:paraId="2CA666B6" w14:textId="77777777" w:rsidR="002D3CA7" w:rsidRPr="00C56257" w:rsidRDefault="002D3CA7" w:rsidP="008E33FD">
      <w:pPr>
        <w:widowControl w:val="0"/>
        <w:numPr>
          <w:ilvl w:val="0"/>
          <w:numId w:val="8"/>
        </w:numPr>
        <w:tabs>
          <w:tab w:val="num" w:pos="486"/>
        </w:tabs>
        <w:autoSpaceDE w:val="0"/>
        <w:autoSpaceDN w:val="0"/>
        <w:adjustRightInd w:val="0"/>
        <w:spacing w:line="276" w:lineRule="auto"/>
        <w:ind w:hanging="279"/>
        <w:jc w:val="both"/>
        <w:rPr>
          <w:bCs/>
          <w:iCs/>
          <w:color w:val="000000" w:themeColor="text1"/>
        </w:rPr>
      </w:pPr>
      <w:r w:rsidRPr="00C56257">
        <w:rPr>
          <w:bCs/>
          <w:iCs/>
          <w:color w:val="000000" w:themeColor="text1"/>
        </w:rPr>
        <w:t>Date privind vătămările: factori vătămători biotici/abiotici, presiuni existente asupra biotopului și viocenozei, intensitatea presiunii, durata de manifestare a presiunii;</w:t>
      </w:r>
    </w:p>
    <w:p w14:paraId="06BF2BF0" w14:textId="77777777" w:rsidR="002D3CA7" w:rsidRPr="00C56257" w:rsidRDefault="002D3CA7" w:rsidP="008E33FD">
      <w:pPr>
        <w:widowControl w:val="0"/>
        <w:numPr>
          <w:ilvl w:val="0"/>
          <w:numId w:val="8"/>
        </w:numPr>
        <w:tabs>
          <w:tab w:val="num" w:pos="486"/>
        </w:tabs>
        <w:autoSpaceDE w:val="0"/>
        <w:autoSpaceDN w:val="0"/>
        <w:adjustRightInd w:val="0"/>
        <w:spacing w:line="276" w:lineRule="auto"/>
        <w:ind w:hanging="279"/>
        <w:jc w:val="both"/>
        <w:rPr>
          <w:bCs/>
          <w:iCs/>
          <w:color w:val="000000" w:themeColor="text1"/>
        </w:rPr>
      </w:pPr>
      <w:r w:rsidRPr="00C56257">
        <w:rPr>
          <w:bCs/>
          <w:iCs/>
          <w:color w:val="000000" w:themeColor="text1"/>
        </w:rPr>
        <w:t>Perspective: amenințări potențiale, hazarde/riscuri, viabilitatea habitatului pe termen lung.</w:t>
      </w:r>
    </w:p>
    <w:p w14:paraId="6F05452A" w14:textId="77777777" w:rsidR="002D3CA7" w:rsidRPr="00C56257" w:rsidRDefault="002D3CA7" w:rsidP="008E33FD">
      <w:pPr>
        <w:widowControl w:val="0"/>
        <w:autoSpaceDE w:val="0"/>
        <w:autoSpaceDN w:val="0"/>
        <w:adjustRightInd w:val="0"/>
        <w:spacing w:line="276" w:lineRule="auto"/>
        <w:ind w:firstLine="709"/>
        <w:jc w:val="both"/>
        <w:rPr>
          <w:iCs/>
          <w:color w:val="000000" w:themeColor="text1"/>
        </w:rPr>
      </w:pPr>
    </w:p>
    <w:p w14:paraId="383B5831" w14:textId="77777777" w:rsidR="002D3CA7" w:rsidRPr="00C56257" w:rsidRDefault="002D3CA7" w:rsidP="008E33FD">
      <w:pPr>
        <w:widowControl w:val="0"/>
        <w:autoSpaceDE w:val="0"/>
        <w:autoSpaceDN w:val="0"/>
        <w:adjustRightInd w:val="0"/>
        <w:spacing w:line="276" w:lineRule="auto"/>
        <w:ind w:firstLine="709"/>
        <w:jc w:val="both"/>
        <w:rPr>
          <w:iCs/>
          <w:color w:val="000000" w:themeColor="text1"/>
        </w:rPr>
      </w:pPr>
      <w:r w:rsidRPr="00C56257">
        <w:rPr>
          <w:iCs/>
          <w:color w:val="000000" w:themeColor="text1"/>
        </w:rPr>
        <w:lastRenderedPageBreak/>
        <w:t>Tipul de habitat aferent fiecărei suprafață de monitorizare este dat de următoarele elemente: specii caracteristice/edificatoare + asociații vegetale + localizarea spațială a suprafeței/condiții fizico-geografice. În cazul în care alocarea plotului la un anumit tip de habitat este ambiguă, se vor lua în considerare: tipul de floră, tipul de humus, regimul hidrologic/nivelul apei freatice/ (tabelul 8).</w:t>
      </w:r>
    </w:p>
    <w:p w14:paraId="57B3140F" w14:textId="77777777" w:rsidR="002D3CA7" w:rsidRPr="00C56257" w:rsidRDefault="002D3CA7" w:rsidP="008E33FD">
      <w:pPr>
        <w:widowControl w:val="0"/>
        <w:autoSpaceDE w:val="0"/>
        <w:autoSpaceDN w:val="0"/>
        <w:adjustRightInd w:val="0"/>
        <w:jc w:val="both"/>
        <w:rPr>
          <w:b/>
          <w:iCs/>
          <w:color w:val="000000" w:themeColor="text1"/>
        </w:rPr>
      </w:pPr>
    </w:p>
    <w:p w14:paraId="0C156F80" w14:textId="77777777" w:rsidR="002D3CA7" w:rsidRPr="00C56257" w:rsidRDefault="002D3CA7" w:rsidP="008E33FD">
      <w:pPr>
        <w:widowControl w:val="0"/>
        <w:autoSpaceDE w:val="0"/>
        <w:autoSpaceDN w:val="0"/>
        <w:adjustRightInd w:val="0"/>
        <w:jc w:val="both"/>
        <w:rPr>
          <w:color w:val="000000" w:themeColor="text1"/>
        </w:rPr>
      </w:pPr>
      <w:r w:rsidRPr="00C56257">
        <w:rPr>
          <w:color w:val="000000" w:themeColor="text1"/>
        </w:rPr>
        <w:t>Tabelul 8: Elemente de diagnoză utilizate în stabilirea tipului de habitat de tufărișuri de interes comunitar</w:t>
      </w:r>
    </w:p>
    <w:tbl>
      <w:tblPr>
        <w:tblStyle w:val="TableGrid6"/>
        <w:tblW w:w="5000" w:type="pct"/>
        <w:tblLook w:val="04A0" w:firstRow="1" w:lastRow="0" w:firstColumn="1" w:lastColumn="0" w:noHBand="0" w:noVBand="1"/>
      </w:tblPr>
      <w:tblGrid>
        <w:gridCol w:w="4393"/>
        <w:gridCol w:w="5601"/>
      </w:tblGrid>
      <w:tr w:rsidR="00673EFE" w:rsidRPr="00C56257" w14:paraId="40E7FF51" w14:textId="77777777" w:rsidTr="002825C6">
        <w:tc>
          <w:tcPr>
            <w:tcW w:w="2198" w:type="pct"/>
            <w:shd w:val="clear" w:color="auto" w:fill="92D050"/>
          </w:tcPr>
          <w:p w14:paraId="2D633221" w14:textId="77777777" w:rsidR="002D3CA7" w:rsidRPr="00C56257" w:rsidRDefault="002D3CA7" w:rsidP="008E33FD">
            <w:pPr>
              <w:widowControl w:val="0"/>
              <w:autoSpaceDE w:val="0"/>
              <w:autoSpaceDN w:val="0"/>
              <w:adjustRightInd w:val="0"/>
              <w:jc w:val="both"/>
              <w:rPr>
                <w:b/>
                <w:iCs/>
                <w:color w:val="000000" w:themeColor="text1"/>
              </w:rPr>
            </w:pPr>
            <w:r w:rsidRPr="00C56257">
              <w:rPr>
                <w:b/>
                <w:iCs/>
                <w:color w:val="000000" w:themeColor="text1"/>
              </w:rPr>
              <w:t>Tipul de habitat</w:t>
            </w:r>
          </w:p>
        </w:tc>
        <w:tc>
          <w:tcPr>
            <w:tcW w:w="2802" w:type="pct"/>
            <w:shd w:val="clear" w:color="auto" w:fill="92D050"/>
          </w:tcPr>
          <w:p w14:paraId="5186F168" w14:textId="77777777" w:rsidR="002D3CA7" w:rsidRPr="00C56257" w:rsidRDefault="002D3CA7" w:rsidP="008E33FD">
            <w:pPr>
              <w:widowControl w:val="0"/>
              <w:autoSpaceDE w:val="0"/>
              <w:autoSpaceDN w:val="0"/>
              <w:adjustRightInd w:val="0"/>
              <w:jc w:val="both"/>
              <w:rPr>
                <w:b/>
                <w:iCs/>
                <w:color w:val="000000" w:themeColor="text1"/>
              </w:rPr>
            </w:pPr>
            <w:r w:rsidRPr="00C56257">
              <w:rPr>
                <w:b/>
                <w:iCs/>
                <w:color w:val="000000" w:themeColor="text1"/>
              </w:rPr>
              <w:t>Tipuri de date colectate din suprafețele de monitorizare</w:t>
            </w:r>
          </w:p>
        </w:tc>
      </w:tr>
      <w:tr w:rsidR="00673EFE" w:rsidRPr="00C56257" w14:paraId="79D9AA01" w14:textId="77777777" w:rsidTr="002825C6">
        <w:tc>
          <w:tcPr>
            <w:tcW w:w="2198" w:type="pct"/>
            <w:vMerge w:val="restart"/>
          </w:tcPr>
          <w:p w14:paraId="1F3AACC8" w14:textId="77777777" w:rsidR="002D3CA7" w:rsidRPr="00C56257" w:rsidRDefault="002D3CA7" w:rsidP="008E33FD">
            <w:pPr>
              <w:widowControl w:val="0"/>
              <w:autoSpaceDE w:val="0"/>
              <w:autoSpaceDN w:val="0"/>
              <w:adjustRightInd w:val="0"/>
              <w:jc w:val="both"/>
              <w:rPr>
                <w:b/>
                <w:iCs/>
                <w:color w:val="000000" w:themeColor="text1"/>
              </w:rPr>
            </w:pPr>
            <w:r w:rsidRPr="00C56257">
              <w:rPr>
                <w:b/>
                <w:iCs/>
                <w:color w:val="000000" w:themeColor="text1"/>
              </w:rPr>
              <w:t>Chei de diagnoză a tipului de habitat</w:t>
            </w:r>
          </w:p>
        </w:tc>
        <w:tc>
          <w:tcPr>
            <w:tcW w:w="2802" w:type="pct"/>
          </w:tcPr>
          <w:p w14:paraId="29032CC7" w14:textId="77777777" w:rsidR="002D3CA7" w:rsidRPr="00C56257" w:rsidRDefault="002D3CA7" w:rsidP="008E33FD">
            <w:pPr>
              <w:widowControl w:val="0"/>
              <w:autoSpaceDE w:val="0"/>
              <w:autoSpaceDN w:val="0"/>
              <w:adjustRightInd w:val="0"/>
              <w:jc w:val="both"/>
              <w:rPr>
                <w:iCs/>
                <w:color w:val="000000" w:themeColor="text1"/>
              </w:rPr>
            </w:pPr>
            <w:r w:rsidRPr="00C56257">
              <w:rPr>
                <w:iCs/>
                <w:color w:val="000000" w:themeColor="text1"/>
              </w:rPr>
              <w:t xml:space="preserve">specii caracteristice/edificatoare </w:t>
            </w:r>
          </w:p>
        </w:tc>
      </w:tr>
      <w:tr w:rsidR="00673EFE" w:rsidRPr="00C56257" w14:paraId="4144C934" w14:textId="77777777" w:rsidTr="002825C6">
        <w:tc>
          <w:tcPr>
            <w:tcW w:w="2198" w:type="pct"/>
            <w:vMerge/>
          </w:tcPr>
          <w:p w14:paraId="2E5BCECB" w14:textId="77777777" w:rsidR="002D3CA7" w:rsidRPr="00C56257" w:rsidRDefault="002D3CA7" w:rsidP="008E33FD">
            <w:pPr>
              <w:widowControl w:val="0"/>
              <w:autoSpaceDE w:val="0"/>
              <w:autoSpaceDN w:val="0"/>
              <w:adjustRightInd w:val="0"/>
              <w:jc w:val="both"/>
              <w:rPr>
                <w:b/>
                <w:iCs/>
                <w:color w:val="000000" w:themeColor="text1"/>
              </w:rPr>
            </w:pPr>
          </w:p>
        </w:tc>
        <w:tc>
          <w:tcPr>
            <w:tcW w:w="2802" w:type="pct"/>
          </w:tcPr>
          <w:p w14:paraId="131900EA" w14:textId="77777777" w:rsidR="002D3CA7" w:rsidRPr="00C56257" w:rsidRDefault="002D3CA7" w:rsidP="008E33FD">
            <w:pPr>
              <w:widowControl w:val="0"/>
              <w:autoSpaceDE w:val="0"/>
              <w:autoSpaceDN w:val="0"/>
              <w:adjustRightInd w:val="0"/>
              <w:jc w:val="both"/>
              <w:rPr>
                <w:iCs/>
                <w:color w:val="000000" w:themeColor="text1"/>
              </w:rPr>
            </w:pPr>
            <w:r w:rsidRPr="00C56257">
              <w:rPr>
                <w:iCs/>
                <w:color w:val="000000" w:themeColor="text1"/>
              </w:rPr>
              <w:t>asociații vegetale</w:t>
            </w:r>
          </w:p>
        </w:tc>
      </w:tr>
      <w:tr w:rsidR="00673EFE" w:rsidRPr="00C56257" w14:paraId="6801AECB" w14:textId="77777777" w:rsidTr="002825C6">
        <w:tc>
          <w:tcPr>
            <w:tcW w:w="2198" w:type="pct"/>
            <w:vMerge/>
          </w:tcPr>
          <w:p w14:paraId="06E7B293" w14:textId="77777777" w:rsidR="002D3CA7" w:rsidRPr="00C56257" w:rsidRDefault="002D3CA7" w:rsidP="008E33FD">
            <w:pPr>
              <w:widowControl w:val="0"/>
              <w:autoSpaceDE w:val="0"/>
              <w:autoSpaceDN w:val="0"/>
              <w:adjustRightInd w:val="0"/>
              <w:jc w:val="both"/>
              <w:rPr>
                <w:b/>
                <w:iCs/>
                <w:color w:val="000000" w:themeColor="text1"/>
              </w:rPr>
            </w:pPr>
          </w:p>
        </w:tc>
        <w:tc>
          <w:tcPr>
            <w:tcW w:w="2802" w:type="pct"/>
          </w:tcPr>
          <w:p w14:paraId="01BA6D59" w14:textId="77777777" w:rsidR="002D3CA7" w:rsidRPr="00C56257" w:rsidRDefault="002D3CA7" w:rsidP="008E33FD">
            <w:pPr>
              <w:widowControl w:val="0"/>
              <w:autoSpaceDE w:val="0"/>
              <w:autoSpaceDN w:val="0"/>
              <w:adjustRightInd w:val="0"/>
              <w:jc w:val="both"/>
              <w:rPr>
                <w:iCs/>
                <w:color w:val="000000" w:themeColor="text1"/>
              </w:rPr>
            </w:pPr>
            <w:r w:rsidRPr="00C56257">
              <w:rPr>
                <w:iCs/>
                <w:color w:val="000000" w:themeColor="text1"/>
              </w:rPr>
              <w:t>localizarea spațială a suprafeței/condiții fizico-geografice/condiții staționale</w:t>
            </w:r>
          </w:p>
        </w:tc>
      </w:tr>
      <w:tr w:rsidR="00673EFE" w:rsidRPr="00C56257" w14:paraId="1D28BA63" w14:textId="77777777" w:rsidTr="002825C6">
        <w:tc>
          <w:tcPr>
            <w:tcW w:w="2198" w:type="pct"/>
          </w:tcPr>
          <w:p w14:paraId="239B9C2F" w14:textId="77777777" w:rsidR="002D3CA7" w:rsidRPr="00C56257" w:rsidRDefault="002D3CA7" w:rsidP="008E33FD">
            <w:pPr>
              <w:widowControl w:val="0"/>
              <w:autoSpaceDE w:val="0"/>
              <w:autoSpaceDN w:val="0"/>
              <w:adjustRightInd w:val="0"/>
              <w:jc w:val="both"/>
              <w:rPr>
                <w:b/>
                <w:iCs/>
                <w:color w:val="000000" w:themeColor="text1"/>
              </w:rPr>
            </w:pPr>
            <w:r w:rsidRPr="00C56257">
              <w:rPr>
                <w:b/>
                <w:iCs/>
                <w:color w:val="000000" w:themeColor="text1"/>
              </w:rPr>
              <w:t>În cazul persistenței ambiguității</w:t>
            </w:r>
          </w:p>
        </w:tc>
        <w:tc>
          <w:tcPr>
            <w:tcW w:w="2802" w:type="pct"/>
          </w:tcPr>
          <w:p w14:paraId="23C379EA" w14:textId="77777777" w:rsidR="002D3CA7" w:rsidRPr="00C56257" w:rsidRDefault="002D3CA7" w:rsidP="008E33FD">
            <w:pPr>
              <w:widowControl w:val="0"/>
              <w:autoSpaceDE w:val="0"/>
              <w:autoSpaceDN w:val="0"/>
              <w:adjustRightInd w:val="0"/>
              <w:jc w:val="both"/>
              <w:rPr>
                <w:iCs/>
                <w:color w:val="000000" w:themeColor="text1"/>
              </w:rPr>
            </w:pPr>
            <w:r w:rsidRPr="00C56257">
              <w:rPr>
                <w:iCs/>
                <w:color w:val="000000" w:themeColor="text1"/>
              </w:rPr>
              <w:t>pot fi luate în considerare și alte date</w:t>
            </w:r>
          </w:p>
        </w:tc>
      </w:tr>
    </w:tbl>
    <w:p w14:paraId="3E831A2B" w14:textId="77777777" w:rsidR="002D3CA7" w:rsidRPr="00C56257" w:rsidRDefault="002D3CA7" w:rsidP="008E33FD">
      <w:pPr>
        <w:widowControl w:val="0"/>
        <w:autoSpaceDE w:val="0"/>
        <w:autoSpaceDN w:val="0"/>
        <w:adjustRightInd w:val="0"/>
        <w:spacing w:before="240" w:after="240" w:line="276" w:lineRule="auto"/>
        <w:ind w:firstLine="720"/>
        <w:jc w:val="both"/>
        <w:rPr>
          <w:color w:val="000000" w:themeColor="text1"/>
        </w:rPr>
      </w:pPr>
      <w:r w:rsidRPr="00C56257">
        <w:rPr>
          <w:iCs/>
          <w:color w:val="000000" w:themeColor="text1"/>
        </w:rPr>
        <w:t xml:space="preserve">Seturile de date colectate vor fi utilizate la estimarea parametrilor descriptivi utilizați în </w:t>
      </w:r>
      <w:r w:rsidRPr="00C56257">
        <w:rPr>
          <w:color w:val="000000" w:themeColor="text1"/>
        </w:rPr>
        <w:t>matricea de evaluare generală a stării de conservare a habitatelor de tufărișuri de interes comunitar, după cum urmează (tabelul 9):</w:t>
      </w:r>
    </w:p>
    <w:p w14:paraId="468FB1EC" w14:textId="77777777" w:rsidR="002D3CA7" w:rsidRPr="00C56257" w:rsidRDefault="002D3CA7" w:rsidP="008E33FD">
      <w:pPr>
        <w:widowControl w:val="0"/>
        <w:autoSpaceDE w:val="0"/>
        <w:autoSpaceDN w:val="0"/>
        <w:adjustRightInd w:val="0"/>
        <w:jc w:val="both"/>
        <w:rPr>
          <w:color w:val="000000" w:themeColor="text1"/>
        </w:rPr>
      </w:pPr>
      <w:r w:rsidRPr="00C56257">
        <w:rPr>
          <w:color w:val="000000" w:themeColor="text1"/>
        </w:rPr>
        <w:t>Tabelul 9: Tipurile de date colectate din suprafețele de monitorizare utilizate la estimarea parametrilor de evaluare a stării de conservare a habitatelor de tufărișuri de interes comunitar</w:t>
      </w:r>
    </w:p>
    <w:tbl>
      <w:tblPr>
        <w:tblStyle w:val="TableGrid6"/>
        <w:tblW w:w="5000" w:type="pct"/>
        <w:tblLook w:val="04A0" w:firstRow="1" w:lastRow="0" w:firstColumn="1" w:lastColumn="0" w:noHBand="0" w:noVBand="1"/>
      </w:tblPr>
      <w:tblGrid>
        <w:gridCol w:w="3960"/>
        <w:gridCol w:w="6034"/>
      </w:tblGrid>
      <w:tr w:rsidR="00673EFE" w:rsidRPr="00C56257" w14:paraId="3759DFAE" w14:textId="77777777" w:rsidTr="002825C6">
        <w:tc>
          <w:tcPr>
            <w:tcW w:w="1981" w:type="pct"/>
            <w:shd w:val="clear" w:color="auto" w:fill="92D050"/>
          </w:tcPr>
          <w:p w14:paraId="11A97D75" w14:textId="77777777" w:rsidR="002D3CA7" w:rsidRPr="00C56257" w:rsidRDefault="002D3CA7" w:rsidP="008E33FD">
            <w:pPr>
              <w:widowControl w:val="0"/>
              <w:autoSpaceDE w:val="0"/>
              <w:autoSpaceDN w:val="0"/>
              <w:adjustRightInd w:val="0"/>
              <w:jc w:val="both"/>
              <w:rPr>
                <w:b/>
                <w:iCs/>
                <w:color w:val="000000" w:themeColor="text1"/>
              </w:rPr>
            </w:pPr>
            <w:r w:rsidRPr="00C56257">
              <w:rPr>
                <w:b/>
                <w:iCs/>
                <w:color w:val="000000" w:themeColor="text1"/>
              </w:rPr>
              <w:t>Parametrul de evaluare a stării de conservare a habitatelor</w:t>
            </w:r>
          </w:p>
        </w:tc>
        <w:tc>
          <w:tcPr>
            <w:tcW w:w="3019" w:type="pct"/>
            <w:shd w:val="clear" w:color="auto" w:fill="92D050"/>
          </w:tcPr>
          <w:p w14:paraId="2E3EB95D" w14:textId="77777777" w:rsidR="002D3CA7" w:rsidRPr="00C56257" w:rsidRDefault="002D3CA7" w:rsidP="008E33FD">
            <w:pPr>
              <w:widowControl w:val="0"/>
              <w:autoSpaceDE w:val="0"/>
              <w:autoSpaceDN w:val="0"/>
              <w:adjustRightInd w:val="0"/>
              <w:jc w:val="both"/>
              <w:rPr>
                <w:b/>
                <w:iCs/>
                <w:color w:val="000000" w:themeColor="text1"/>
              </w:rPr>
            </w:pPr>
            <w:r w:rsidRPr="00C56257">
              <w:rPr>
                <w:b/>
                <w:iCs/>
                <w:color w:val="000000" w:themeColor="text1"/>
              </w:rPr>
              <w:t>Tipuri de date colectate din suprafețele de monitorizare</w:t>
            </w:r>
          </w:p>
        </w:tc>
      </w:tr>
      <w:tr w:rsidR="00673EFE" w:rsidRPr="00C56257" w14:paraId="459ED0FC" w14:textId="77777777" w:rsidTr="002825C6">
        <w:tc>
          <w:tcPr>
            <w:tcW w:w="1981" w:type="pct"/>
            <w:vMerge w:val="restart"/>
          </w:tcPr>
          <w:p w14:paraId="0DE6E736" w14:textId="77777777" w:rsidR="002D3CA7" w:rsidRPr="00C56257" w:rsidRDefault="002D3CA7" w:rsidP="008E33FD">
            <w:pPr>
              <w:widowControl w:val="0"/>
              <w:autoSpaceDE w:val="0"/>
              <w:autoSpaceDN w:val="0"/>
              <w:adjustRightInd w:val="0"/>
              <w:jc w:val="both"/>
              <w:rPr>
                <w:iCs/>
                <w:color w:val="000000" w:themeColor="text1"/>
              </w:rPr>
            </w:pPr>
            <w:r w:rsidRPr="00C56257">
              <w:rPr>
                <w:iCs/>
                <w:color w:val="000000" w:themeColor="text1"/>
              </w:rPr>
              <w:t>Specii tipice/ Structură și funcții</w:t>
            </w:r>
          </w:p>
        </w:tc>
        <w:tc>
          <w:tcPr>
            <w:tcW w:w="3019" w:type="pct"/>
          </w:tcPr>
          <w:p w14:paraId="6E40C3A7" w14:textId="77777777" w:rsidR="002D3CA7" w:rsidRPr="00C56257" w:rsidRDefault="002D3CA7" w:rsidP="008E33FD">
            <w:pPr>
              <w:jc w:val="both"/>
              <w:rPr>
                <w:rFonts w:eastAsia="Calibri"/>
                <w:iCs/>
                <w:color w:val="000000" w:themeColor="text1"/>
                <w:lang w:val="en-US"/>
              </w:rPr>
            </w:pPr>
            <w:proofErr w:type="spellStart"/>
            <w:r w:rsidRPr="00C56257">
              <w:rPr>
                <w:rFonts w:eastAsia="Calibri"/>
                <w:iCs/>
                <w:color w:val="000000" w:themeColor="text1"/>
                <w:lang w:val="en-US"/>
              </w:rPr>
              <w:t>asociația</w:t>
            </w:r>
            <w:proofErr w:type="spellEnd"/>
            <w:r w:rsidRPr="00C56257">
              <w:rPr>
                <w:rFonts w:eastAsia="Calibri"/>
                <w:iCs/>
                <w:color w:val="000000" w:themeColor="text1"/>
                <w:lang w:val="en-US"/>
              </w:rPr>
              <w:t xml:space="preserve"> </w:t>
            </w:r>
            <w:proofErr w:type="spellStart"/>
            <w:r w:rsidRPr="00C56257">
              <w:rPr>
                <w:rFonts w:eastAsia="Calibri"/>
                <w:iCs/>
                <w:color w:val="000000" w:themeColor="text1"/>
                <w:lang w:val="en-US"/>
              </w:rPr>
              <w:t>vegetală</w:t>
            </w:r>
            <w:proofErr w:type="spellEnd"/>
          </w:p>
        </w:tc>
      </w:tr>
      <w:tr w:rsidR="00673EFE" w:rsidRPr="00C56257" w14:paraId="596B501E" w14:textId="77777777" w:rsidTr="002825C6">
        <w:tc>
          <w:tcPr>
            <w:tcW w:w="1981" w:type="pct"/>
            <w:vMerge/>
          </w:tcPr>
          <w:p w14:paraId="78C41C00" w14:textId="77777777" w:rsidR="002D3CA7" w:rsidRPr="00C56257" w:rsidRDefault="002D3CA7" w:rsidP="008E33FD">
            <w:pPr>
              <w:widowControl w:val="0"/>
              <w:autoSpaceDE w:val="0"/>
              <w:autoSpaceDN w:val="0"/>
              <w:adjustRightInd w:val="0"/>
              <w:jc w:val="both"/>
              <w:rPr>
                <w:iCs/>
                <w:color w:val="000000" w:themeColor="text1"/>
              </w:rPr>
            </w:pPr>
          </w:p>
        </w:tc>
        <w:tc>
          <w:tcPr>
            <w:tcW w:w="3019" w:type="pct"/>
          </w:tcPr>
          <w:p w14:paraId="16731EA5" w14:textId="77777777" w:rsidR="002D3CA7" w:rsidRPr="00C56257" w:rsidRDefault="002D3CA7" w:rsidP="008E33FD">
            <w:pPr>
              <w:jc w:val="both"/>
              <w:rPr>
                <w:rFonts w:eastAsia="Calibri"/>
                <w:iCs/>
                <w:color w:val="000000" w:themeColor="text1"/>
                <w:lang w:val="en-US"/>
              </w:rPr>
            </w:pPr>
            <w:proofErr w:type="spellStart"/>
            <w:r w:rsidRPr="00C56257">
              <w:rPr>
                <w:rFonts w:eastAsia="Calibri"/>
                <w:iCs/>
                <w:color w:val="000000" w:themeColor="text1"/>
                <w:lang w:val="en-US"/>
              </w:rPr>
              <w:t>specii</w:t>
            </w:r>
            <w:proofErr w:type="spellEnd"/>
            <w:r w:rsidRPr="00C56257">
              <w:rPr>
                <w:rFonts w:eastAsia="Calibri"/>
                <w:iCs/>
                <w:color w:val="000000" w:themeColor="text1"/>
                <w:lang w:val="en-US"/>
              </w:rPr>
              <w:t xml:space="preserve"> </w:t>
            </w:r>
            <w:proofErr w:type="spellStart"/>
            <w:r w:rsidRPr="00C56257">
              <w:rPr>
                <w:rFonts w:eastAsia="Calibri"/>
                <w:iCs/>
                <w:color w:val="000000" w:themeColor="text1"/>
                <w:lang w:val="en-US"/>
              </w:rPr>
              <w:t>edificatoare</w:t>
            </w:r>
            <w:proofErr w:type="spellEnd"/>
            <w:r w:rsidRPr="00C56257">
              <w:rPr>
                <w:rFonts w:eastAsia="Calibri"/>
                <w:iCs/>
                <w:color w:val="000000" w:themeColor="text1"/>
                <w:lang w:val="en-US"/>
              </w:rPr>
              <w:t xml:space="preserve"> </w:t>
            </w:r>
          </w:p>
        </w:tc>
      </w:tr>
      <w:tr w:rsidR="00673EFE" w:rsidRPr="00C56257" w14:paraId="2284ABC5" w14:textId="77777777" w:rsidTr="002825C6">
        <w:tc>
          <w:tcPr>
            <w:tcW w:w="1981" w:type="pct"/>
            <w:vMerge/>
          </w:tcPr>
          <w:p w14:paraId="04ED873D" w14:textId="77777777" w:rsidR="002D3CA7" w:rsidRPr="00C56257" w:rsidRDefault="002D3CA7" w:rsidP="008E33FD">
            <w:pPr>
              <w:widowControl w:val="0"/>
              <w:autoSpaceDE w:val="0"/>
              <w:autoSpaceDN w:val="0"/>
              <w:adjustRightInd w:val="0"/>
              <w:jc w:val="both"/>
              <w:rPr>
                <w:iCs/>
                <w:color w:val="000000" w:themeColor="text1"/>
              </w:rPr>
            </w:pPr>
          </w:p>
        </w:tc>
        <w:tc>
          <w:tcPr>
            <w:tcW w:w="3019" w:type="pct"/>
          </w:tcPr>
          <w:p w14:paraId="2769D7B3" w14:textId="77777777" w:rsidR="002D3CA7" w:rsidRPr="00C56257" w:rsidRDefault="002D3CA7" w:rsidP="008E33FD">
            <w:pPr>
              <w:jc w:val="both"/>
              <w:rPr>
                <w:rFonts w:eastAsia="Calibri"/>
                <w:iCs/>
                <w:color w:val="000000" w:themeColor="text1"/>
                <w:lang w:val="en-US"/>
              </w:rPr>
            </w:pPr>
            <w:proofErr w:type="spellStart"/>
            <w:r w:rsidRPr="00C56257">
              <w:rPr>
                <w:rFonts w:eastAsia="Calibri"/>
                <w:iCs/>
                <w:color w:val="000000" w:themeColor="text1"/>
                <w:lang w:val="en-US"/>
              </w:rPr>
              <w:t>acoperirea</w:t>
            </w:r>
            <w:proofErr w:type="spellEnd"/>
            <w:r w:rsidRPr="00C56257">
              <w:rPr>
                <w:rFonts w:eastAsia="Calibri"/>
                <w:iCs/>
                <w:color w:val="000000" w:themeColor="text1"/>
                <w:lang w:val="en-US"/>
              </w:rPr>
              <w:t xml:space="preserve"> cu </w:t>
            </w:r>
            <w:proofErr w:type="spellStart"/>
            <w:r w:rsidRPr="00C56257">
              <w:rPr>
                <w:rFonts w:eastAsia="Calibri"/>
                <w:iCs/>
                <w:color w:val="000000" w:themeColor="text1"/>
                <w:lang w:val="en-US"/>
              </w:rPr>
              <w:t>arbuști</w:t>
            </w:r>
            <w:proofErr w:type="spellEnd"/>
          </w:p>
        </w:tc>
      </w:tr>
      <w:tr w:rsidR="00673EFE" w:rsidRPr="00C56257" w14:paraId="0E1B16E7" w14:textId="77777777" w:rsidTr="002825C6">
        <w:tc>
          <w:tcPr>
            <w:tcW w:w="1981" w:type="pct"/>
            <w:vMerge/>
          </w:tcPr>
          <w:p w14:paraId="56BE71D1" w14:textId="77777777" w:rsidR="002D3CA7" w:rsidRPr="00C56257" w:rsidRDefault="002D3CA7" w:rsidP="008E33FD">
            <w:pPr>
              <w:widowControl w:val="0"/>
              <w:autoSpaceDE w:val="0"/>
              <w:autoSpaceDN w:val="0"/>
              <w:adjustRightInd w:val="0"/>
              <w:jc w:val="both"/>
              <w:rPr>
                <w:iCs/>
                <w:color w:val="000000" w:themeColor="text1"/>
              </w:rPr>
            </w:pPr>
          </w:p>
        </w:tc>
        <w:tc>
          <w:tcPr>
            <w:tcW w:w="3019" w:type="pct"/>
          </w:tcPr>
          <w:p w14:paraId="6321432E" w14:textId="77777777" w:rsidR="002D3CA7" w:rsidRPr="00C56257" w:rsidRDefault="002D3CA7" w:rsidP="008E33FD">
            <w:pPr>
              <w:jc w:val="both"/>
              <w:rPr>
                <w:rFonts w:eastAsia="Calibri"/>
                <w:iCs/>
                <w:color w:val="000000" w:themeColor="text1"/>
                <w:lang w:val="en-US"/>
              </w:rPr>
            </w:pPr>
            <w:proofErr w:type="spellStart"/>
            <w:r w:rsidRPr="00C56257">
              <w:rPr>
                <w:rFonts w:eastAsia="Calibri"/>
                <w:iCs/>
                <w:color w:val="000000" w:themeColor="text1"/>
                <w:lang w:val="en-US"/>
              </w:rPr>
              <w:t>acoperirea</w:t>
            </w:r>
            <w:proofErr w:type="spellEnd"/>
            <w:r w:rsidRPr="00C56257">
              <w:rPr>
                <w:rFonts w:eastAsia="Calibri"/>
                <w:iCs/>
                <w:color w:val="000000" w:themeColor="text1"/>
                <w:lang w:val="en-US"/>
              </w:rPr>
              <w:t xml:space="preserve"> cu </w:t>
            </w:r>
            <w:proofErr w:type="spellStart"/>
            <w:r w:rsidRPr="00C56257">
              <w:rPr>
                <w:rFonts w:eastAsia="Calibri"/>
                <w:iCs/>
                <w:color w:val="000000" w:themeColor="text1"/>
                <w:lang w:val="en-US"/>
              </w:rPr>
              <w:t>vegetație</w:t>
            </w:r>
            <w:proofErr w:type="spellEnd"/>
            <w:r w:rsidRPr="00C56257">
              <w:rPr>
                <w:rFonts w:eastAsia="Calibri"/>
                <w:iCs/>
                <w:color w:val="000000" w:themeColor="text1"/>
                <w:lang w:val="en-US"/>
              </w:rPr>
              <w:t xml:space="preserve"> </w:t>
            </w:r>
            <w:proofErr w:type="spellStart"/>
            <w:r w:rsidRPr="00C56257">
              <w:rPr>
                <w:rFonts w:eastAsia="Calibri"/>
                <w:iCs/>
                <w:color w:val="000000" w:themeColor="text1"/>
                <w:lang w:val="en-US"/>
              </w:rPr>
              <w:t>ierboasă</w:t>
            </w:r>
            <w:proofErr w:type="spellEnd"/>
          </w:p>
        </w:tc>
      </w:tr>
      <w:tr w:rsidR="00673EFE" w:rsidRPr="00C56257" w14:paraId="601F7301" w14:textId="77777777" w:rsidTr="002825C6">
        <w:tc>
          <w:tcPr>
            <w:tcW w:w="1981" w:type="pct"/>
            <w:vMerge w:val="restart"/>
          </w:tcPr>
          <w:p w14:paraId="404A5191" w14:textId="77777777" w:rsidR="002D3CA7" w:rsidRPr="00C56257" w:rsidRDefault="002D3CA7" w:rsidP="008E33FD">
            <w:pPr>
              <w:widowControl w:val="0"/>
              <w:autoSpaceDE w:val="0"/>
              <w:autoSpaceDN w:val="0"/>
              <w:adjustRightInd w:val="0"/>
              <w:jc w:val="both"/>
              <w:rPr>
                <w:iCs/>
                <w:color w:val="000000" w:themeColor="text1"/>
              </w:rPr>
            </w:pPr>
            <w:r w:rsidRPr="00C56257">
              <w:rPr>
                <w:iCs/>
                <w:color w:val="000000" w:themeColor="text1"/>
              </w:rPr>
              <w:t>Presiuni și amenințări</w:t>
            </w:r>
          </w:p>
        </w:tc>
        <w:tc>
          <w:tcPr>
            <w:tcW w:w="3019" w:type="pct"/>
          </w:tcPr>
          <w:p w14:paraId="7E28039C" w14:textId="77777777" w:rsidR="002D3CA7" w:rsidRPr="00C56257" w:rsidRDefault="002D3CA7" w:rsidP="008E33FD">
            <w:pPr>
              <w:widowControl w:val="0"/>
              <w:autoSpaceDE w:val="0"/>
              <w:autoSpaceDN w:val="0"/>
              <w:adjustRightInd w:val="0"/>
              <w:jc w:val="both"/>
              <w:rPr>
                <w:iCs/>
                <w:color w:val="000000" w:themeColor="text1"/>
              </w:rPr>
            </w:pPr>
            <w:r w:rsidRPr="00C56257">
              <w:rPr>
                <w:iCs/>
                <w:color w:val="000000" w:themeColor="text1"/>
              </w:rPr>
              <w:t>vătămări produse de factorii abiotici și biotici</w:t>
            </w:r>
          </w:p>
        </w:tc>
      </w:tr>
      <w:tr w:rsidR="00673EFE" w:rsidRPr="00C56257" w14:paraId="203E0994" w14:textId="77777777" w:rsidTr="002825C6">
        <w:tc>
          <w:tcPr>
            <w:tcW w:w="1981" w:type="pct"/>
            <w:vMerge/>
          </w:tcPr>
          <w:p w14:paraId="318BC69B" w14:textId="77777777" w:rsidR="002D3CA7" w:rsidRPr="00C56257" w:rsidRDefault="002D3CA7" w:rsidP="008E33FD">
            <w:pPr>
              <w:widowControl w:val="0"/>
              <w:autoSpaceDE w:val="0"/>
              <w:autoSpaceDN w:val="0"/>
              <w:adjustRightInd w:val="0"/>
              <w:jc w:val="both"/>
              <w:rPr>
                <w:iCs/>
                <w:color w:val="000000" w:themeColor="text1"/>
              </w:rPr>
            </w:pPr>
          </w:p>
        </w:tc>
        <w:tc>
          <w:tcPr>
            <w:tcW w:w="3019" w:type="pct"/>
          </w:tcPr>
          <w:p w14:paraId="5A4EE899" w14:textId="77777777" w:rsidR="002D3CA7" w:rsidRPr="00C56257" w:rsidRDefault="002D3CA7" w:rsidP="008E33FD">
            <w:pPr>
              <w:widowControl w:val="0"/>
              <w:autoSpaceDE w:val="0"/>
              <w:autoSpaceDN w:val="0"/>
              <w:adjustRightInd w:val="0"/>
              <w:jc w:val="both"/>
              <w:rPr>
                <w:iCs/>
                <w:color w:val="000000" w:themeColor="text1"/>
              </w:rPr>
            </w:pPr>
            <w:r w:rsidRPr="00C56257">
              <w:rPr>
                <w:iCs/>
                <w:color w:val="000000" w:themeColor="text1"/>
              </w:rPr>
              <w:t>tipul presiunii</w:t>
            </w:r>
          </w:p>
        </w:tc>
      </w:tr>
      <w:tr w:rsidR="00673EFE" w:rsidRPr="00C56257" w14:paraId="383378E5" w14:textId="77777777" w:rsidTr="002825C6">
        <w:tc>
          <w:tcPr>
            <w:tcW w:w="1981" w:type="pct"/>
            <w:vMerge/>
          </w:tcPr>
          <w:p w14:paraId="07023DFF" w14:textId="77777777" w:rsidR="002D3CA7" w:rsidRPr="00C56257" w:rsidRDefault="002D3CA7" w:rsidP="008E33FD">
            <w:pPr>
              <w:widowControl w:val="0"/>
              <w:autoSpaceDE w:val="0"/>
              <w:autoSpaceDN w:val="0"/>
              <w:adjustRightInd w:val="0"/>
              <w:jc w:val="both"/>
              <w:rPr>
                <w:iCs/>
                <w:color w:val="000000" w:themeColor="text1"/>
              </w:rPr>
            </w:pPr>
          </w:p>
        </w:tc>
        <w:tc>
          <w:tcPr>
            <w:tcW w:w="3019" w:type="pct"/>
          </w:tcPr>
          <w:p w14:paraId="7C112132" w14:textId="77777777" w:rsidR="002D3CA7" w:rsidRPr="00C56257" w:rsidRDefault="002D3CA7" w:rsidP="008E33FD">
            <w:pPr>
              <w:widowControl w:val="0"/>
              <w:autoSpaceDE w:val="0"/>
              <w:autoSpaceDN w:val="0"/>
              <w:adjustRightInd w:val="0"/>
              <w:jc w:val="both"/>
              <w:rPr>
                <w:iCs/>
                <w:color w:val="000000" w:themeColor="text1"/>
              </w:rPr>
            </w:pPr>
            <w:r w:rsidRPr="00C56257">
              <w:rPr>
                <w:iCs/>
                <w:color w:val="000000" w:themeColor="text1"/>
              </w:rPr>
              <w:t>intensitatea presiunii</w:t>
            </w:r>
          </w:p>
        </w:tc>
      </w:tr>
      <w:tr w:rsidR="00673EFE" w:rsidRPr="00C56257" w14:paraId="2DC09187" w14:textId="77777777" w:rsidTr="002825C6">
        <w:tc>
          <w:tcPr>
            <w:tcW w:w="1981" w:type="pct"/>
            <w:vMerge/>
          </w:tcPr>
          <w:p w14:paraId="29B1BB3D" w14:textId="77777777" w:rsidR="002D3CA7" w:rsidRPr="00C56257" w:rsidRDefault="002D3CA7" w:rsidP="008E33FD">
            <w:pPr>
              <w:widowControl w:val="0"/>
              <w:autoSpaceDE w:val="0"/>
              <w:autoSpaceDN w:val="0"/>
              <w:adjustRightInd w:val="0"/>
              <w:jc w:val="both"/>
              <w:rPr>
                <w:iCs/>
                <w:color w:val="000000" w:themeColor="text1"/>
              </w:rPr>
            </w:pPr>
          </w:p>
        </w:tc>
        <w:tc>
          <w:tcPr>
            <w:tcW w:w="3019" w:type="pct"/>
          </w:tcPr>
          <w:p w14:paraId="2268E908" w14:textId="77777777" w:rsidR="002D3CA7" w:rsidRPr="00C56257" w:rsidRDefault="002D3CA7" w:rsidP="008E33FD">
            <w:pPr>
              <w:widowControl w:val="0"/>
              <w:autoSpaceDE w:val="0"/>
              <w:autoSpaceDN w:val="0"/>
              <w:adjustRightInd w:val="0"/>
              <w:jc w:val="both"/>
              <w:rPr>
                <w:iCs/>
                <w:color w:val="000000" w:themeColor="text1"/>
              </w:rPr>
            </w:pPr>
            <w:r w:rsidRPr="00C56257">
              <w:rPr>
                <w:iCs/>
                <w:color w:val="000000" w:themeColor="text1"/>
              </w:rPr>
              <w:t>durata de manifestare a presiunii</w:t>
            </w:r>
          </w:p>
        </w:tc>
      </w:tr>
      <w:tr w:rsidR="00673EFE" w:rsidRPr="00C56257" w14:paraId="300C3524" w14:textId="77777777" w:rsidTr="002825C6">
        <w:tc>
          <w:tcPr>
            <w:tcW w:w="1981" w:type="pct"/>
            <w:vMerge/>
          </w:tcPr>
          <w:p w14:paraId="4F9BB5AB" w14:textId="77777777" w:rsidR="002D3CA7" w:rsidRPr="00C56257" w:rsidRDefault="002D3CA7" w:rsidP="008E33FD">
            <w:pPr>
              <w:widowControl w:val="0"/>
              <w:autoSpaceDE w:val="0"/>
              <w:autoSpaceDN w:val="0"/>
              <w:adjustRightInd w:val="0"/>
              <w:jc w:val="both"/>
              <w:rPr>
                <w:iCs/>
                <w:color w:val="000000" w:themeColor="text1"/>
              </w:rPr>
            </w:pPr>
          </w:p>
        </w:tc>
        <w:tc>
          <w:tcPr>
            <w:tcW w:w="3019" w:type="pct"/>
          </w:tcPr>
          <w:p w14:paraId="239541DB" w14:textId="77777777" w:rsidR="002D3CA7" w:rsidRPr="00C56257" w:rsidRDefault="002D3CA7" w:rsidP="008E33FD">
            <w:pPr>
              <w:widowControl w:val="0"/>
              <w:autoSpaceDE w:val="0"/>
              <w:autoSpaceDN w:val="0"/>
              <w:adjustRightInd w:val="0"/>
              <w:jc w:val="both"/>
              <w:rPr>
                <w:iCs/>
                <w:color w:val="000000" w:themeColor="text1"/>
              </w:rPr>
            </w:pPr>
            <w:r w:rsidRPr="00C56257">
              <w:rPr>
                <w:iCs/>
                <w:color w:val="000000" w:themeColor="text1"/>
              </w:rPr>
              <w:t>amenințări potențiale</w:t>
            </w:r>
          </w:p>
        </w:tc>
      </w:tr>
      <w:tr w:rsidR="00673EFE" w:rsidRPr="00C56257" w14:paraId="036FD17C" w14:textId="77777777" w:rsidTr="002825C6">
        <w:tc>
          <w:tcPr>
            <w:tcW w:w="1981" w:type="pct"/>
            <w:vMerge/>
          </w:tcPr>
          <w:p w14:paraId="5F5F83F6" w14:textId="77777777" w:rsidR="002D3CA7" w:rsidRPr="00C56257" w:rsidRDefault="002D3CA7" w:rsidP="008E33FD">
            <w:pPr>
              <w:widowControl w:val="0"/>
              <w:autoSpaceDE w:val="0"/>
              <w:autoSpaceDN w:val="0"/>
              <w:adjustRightInd w:val="0"/>
              <w:jc w:val="both"/>
              <w:rPr>
                <w:iCs/>
                <w:color w:val="000000" w:themeColor="text1"/>
              </w:rPr>
            </w:pPr>
          </w:p>
        </w:tc>
        <w:tc>
          <w:tcPr>
            <w:tcW w:w="3019" w:type="pct"/>
          </w:tcPr>
          <w:p w14:paraId="6E56650F" w14:textId="77777777" w:rsidR="002D3CA7" w:rsidRPr="00C56257" w:rsidRDefault="002D3CA7" w:rsidP="008E33FD">
            <w:pPr>
              <w:widowControl w:val="0"/>
              <w:autoSpaceDE w:val="0"/>
              <w:autoSpaceDN w:val="0"/>
              <w:adjustRightInd w:val="0"/>
              <w:jc w:val="both"/>
              <w:rPr>
                <w:iCs/>
                <w:color w:val="000000" w:themeColor="text1"/>
              </w:rPr>
            </w:pPr>
            <w:r w:rsidRPr="00C56257">
              <w:rPr>
                <w:iCs/>
                <w:color w:val="000000" w:themeColor="text1"/>
              </w:rPr>
              <w:t>hazarde/riscuri</w:t>
            </w:r>
          </w:p>
        </w:tc>
      </w:tr>
      <w:tr w:rsidR="00673EFE" w:rsidRPr="00C56257" w14:paraId="1B487C8E" w14:textId="77777777" w:rsidTr="002825C6">
        <w:tc>
          <w:tcPr>
            <w:tcW w:w="1981" w:type="pct"/>
            <w:vMerge/>
          </w:tcPr>
          <w:p w14:paraId="73C43E36" w14:textId="77777777" w:rsidR="002D3CA7" w:rsidRPr="00C56257" w:rsidRDefault="002D3CA7" w:rsidP="008E33FD">
            <w:pPr>
              <w:widowControl w:val="0"/>
              <w:autoSpaceDE w:val="0"/>
              <w:autoSpaceDN w:val="0"/>
              <w:adjustRightInd w:val="0"/>
              <w:jc w:val="both"/>
              <w:rPr>
                <w:iCs/>
                <w:color w:val="000000" w:themeColor="text1"/>
              </w:rPr>
            </w:pPr>
          </w:p>
        </w:tc>
        <w:tc>
          <w:tcPr>
            <w:tcW w:w="3019" w:type="pct"/>
          </w:tcPr>
          <w:p w14:paraId="4A939859" w14:textId="77777777" w:rsidR="002D3CA7" w:rsidRPr="00C56257" w:rsidRDefault="002D3CA7" w:rsidP="008E33FD">
            <w:pPr>
              <w:widowControl w:val="0"/>
              <w:autoSpaceDE w:val="0"/>
              <w:autoSpaceDN w:val="0"/>
              <w:adjustRightInd w:val="0"/>
              <w:jc w:val="both"/>
              <w:rPr>
                <w:iCs/>
                <w:color w:val="000000" w:themeColor="text1"/>
              </w:rPr>
            </w:pPr>
            <w:r w:rsidRPr="00C56257">
              <w:rPr>
                <w:iCs/>
                <w:color w:val="000000" w:themeColor="text1"/>
              </w:rPr>
              <w:t>viabilitatea habitatului pe termen lung</w:t>
            </w:r>
          </w:p>
        </w:tc>
      </w:tr>
    </w:tbl>
    <w:p w14:paraId="46DF0E7B" w14:textId="77777777" w:rsidR="002D3CA7" w:rsidRPr="00C56257" w:rsidRDefault="002D3CA7" w:rsidP="008E33FD">
      <w:pPr>
        <w:widowControl w:val="0"/>
        <w:autoSpaceDE w:val="0"/>
        <w:autoSpaceDN w:val="0"/>
        <w:adjustRightInd w:val="0"/>
        <w:spacing w:before="240" w:line="276" w:lineRule="auto"/>
        <w:ind w:firstLine="720"/>
        <w:jc w:val="both"/>
        <w:rPr>
          <w:iCs/>
          <w:color w:val="000000" w:themeColor="text1"/>
        </w:rPr>
      </w:pPr>
      <w:r w:rsidRPr="00C56257">
        <w:rPr>
          <w:iCs/>
          <w:color w:val="000000" w:themeColor="text1"/>
        </w:rPr>
        <w:t>Pentru evaluarea parametrilor utilizați în caracterizarea stării de conservare pot fi luate în considerare și alte tipuri de date în afara celor prezentate.</w:t>
      </w:r>
    </w:p>
    <w:p w14:paraId="763B55AE" w14:textId="77777777" w:rsidR="002D3CA7" w:rsidRPr="00C56257" w:rsidRDefault="002D3CA7" w:rsidP="008E33FD">
      <w:pPr>
        <w:widowControl w:val="0"/>
        <w:autoSpaceDE w:val="0"/>
        <w:autoSpaceDN w:val="0"/>
        <w:adjustRightInd w:val="0"/>
        <w:spacing w:line="276" w:lineRule="auto"/>
        <w:ind w:firstLine="720"/>
        <w:jc w:val="both"/>
        <w:rPr>
          <w:color w:val="000000" w:themeColor="text1"/>
        </w:rPr>
      </w:pPr>
      <w:r w:rsidRPr="00C56257">
        <w:rPr>
          <w:iCs/>
          <w:color w:val="000000" w:themeColor="text1"/>
        </w:rPr>
        <w:t xml:space="preserve">Cu prilejul colectării datelor din teren, fiecărui tip de date colectate i se acordă o valoare în conformitate cu instrucțiunile de colectare/teren, în principal sunt valori predefinite pentru a se putea realiza integrarea datelor colectate. In general se utilizează clase/intervale pentru datele cantitative sau categorii de  valori pentru datele calitative. În baza de date, aceste valori sunt convertite în categorii: </w:t>
      </w:r>
      <w:r w:rsidRPr="00C56257">
        <w:rPr>
          <w:color w:val="000000" w:themeColor="text1"/>
        </w:rPr>
        <w:t>A, B, C, X = exprimă starea parametrului în fiecare suprafaţă de probă (A = excelentă; B = bună; C = medie sau redusă; X = necunoscută);</w:t>
      </w:r>
    </w:p>
    <w:p w14:paraId="5D52DB9C" w14:textId="77777777" w:rsidR="002D3CA7" w:rsidRPr="00C56257" w:rsidRDefault="00DD3620" w:rsidP="008E33FD">
      <w:pPr>
        <w:spacing w:after="160" w:line="259" w:lineRule="auto"/>
        <w:jc w:val="both"/>
        <w:rPr>
          <w:b/>
          <w:bCs/>
          <w:color w:val="000000" w:themeColor="text1"/>
        </w:rPr>
      </w:pPr>
      <w:r>
        <w:rPr>
          <w:b/>
          <w:bCs/>
          <w:color w:val="000000" w:themeColor="text1"/>
        </w:rPr>
        <w:t>5.2</w:t>
      </w:r>
      <w:r w:rsidR="002D3CA7" w:rsidRPr="00C56257">
        <w:rPr>
          <w:b/>
          <w:bCs/>
          <w:color w:val="000000" w:themeColor="text1"/>
        </w:rPr>
        <w:t>.5. Agregarea datelor pentru evaluarea parametrilor descriptivi ai calității habitatelor</w:t>
      </w:r>
    </w:p>
    <w:p w14:paraId="4EBFE2FC" w14:textId="77777777" w:rsidR="002D3CA7" w:rsidRPr="00C56257" w:rsidRDefault="002D3CA7" w:rsidP="008E33FD">
      <w:pPr>
        <w:widowControl w:val="0"/>
        <w:autoSpaceDE w:val="0"/>
        <w:autoSpaceDN w:val="0"/>
        <w:adjustRightInd w:val="0"/>
        <w:spacing w:line="276" w:lineRule="auto"/>
        <w:ind w:firstLine="720"/>
        <w:jc w:val="both"/>
        <w:rPr>
          <w:color w:val="000000" w:themeColor="text1"/>
        </w:rPr>
      </w:pPr>
      <w:r w:rsidRPr="00C56257">
        <w:rPr>
          <w:color w:val="000000" w:themeColor="text1"/>
        </w:rPr>
        <w:t xml:space="preserve">Evaluarea stării de conservare a habitatelor de tufărișuri de interes comunitar la nivel de regiune biogeografică se realizează prin agregarea datelor colectate din suprafeţele de probă permanente în care a fost identificat habitatul respectiv. Pentru fiecare tip de date/caracteristică colectată la nivel de plot, se </w:t>
      </w:r>
      <w:r w:rsidRPr="00C56257">
        <w:rPr>
          <w:color w:val="000000" w:themeColor="text1"/>
        </w:rPr>
        <w:lastRenderedPageBreak/>
        <w:t>stabilește starea în fiecare plot (</w:t>
      </w:r>
      <w:r w:rsidRPr="00C56257">
        <w:rPr>
          <w:i/>
          <w:iCs/>
          <w:color w:val="000000" w:themeColor="text1"/>
        </w:rPr>
        <w:t>A</w:t>
      </w:r>
      <w:r w:rsidRPr="00C56257">
        <w:rPr>
          <w:color w:val="000000" w:themeColor="text1"/>
        </w:rPr>
        <w:t xml:space="preserve">, </w:t>
      </w:r>
      <w:r w:rsidRPr="00C56257">
        <w:rPr>
          <w:i/>
          <w:iCs/>
          <w:color w:val="000000" w:themeColor="text1"/>
        </w:rPr>
        <w:t>B</w:t>
      </w:r>
      <w:r w:rsidRPr="00C56257">
        <w:rPr>
          <w:color w:val="000000" w:themeColor="text1"/>
        </w:rPr>
        <w:t xml:space="preserve">, </w:t>
      </w:r>
      <w:r w:rsidRPr="00C56257">
        <w:rPr>
          <w:i/>
          <w:iCs/>
          <w:color w:val="000000" w:themeColor="text1"/>
        </w:rPr>
        <w:t xml:space="preserve">C </w:t>
      </w:r>
      <w:r w:rsidRPr="00C56257">
        <w:rPr>
          <w:color w:val="000000" w:themeColor="text1"/>
        </w:rPr>
        <w:t xml:space="preserve">sau </w:t>
      </w:r>
      <w:r w:rsidRPr="00C56257">
        <w:rPr>
          <w:i/>
          <w:iCs/>
          <w:color w:val="000000" w:themeColor="text1"/>
        </w:rPr>
        <w:t>ne</w:t>
      </w:r>
      <w:r w:rsidRPr="00C56257">
        <w:rPr>
          <w:color w:val="000000" w:themeColor="text1"/>
        </w:rPr>
        <w:t xml:space="preserve"> = neevaluat). </w:t>
      </w:r>
    </w:p>
    <w:p w14:paraId="3273CC4B" w14:textId="77777777" w:rsidR="002D3CA7" w:rsidRPr="00C56257" w:rsidRDefault="002D3CA7" w:rsidP="008E33FD">
      <w:pPr>
        <w:widowControl w:val="0"/>
        <w:autoSpaceDE w:val="0"/>
        <w:autoSpaceDN w:val="0"/>
        <w:adjustRightInd w:val="0"/>
        <w:spacing w:before="240" w:line="276" w:lineRule="auto"/>
        <w:jc w:val="both"/>
        <w:rPr>
          <w:b/>
          <w:color w:val="000000" w:themeColor="text1"/>
        </w:rPr>
      </w:pPr>
      <w:r w:rsidRPr="00C56257">
        <w:rPr>
          <w:b/>
          <w:color w:val="000000" w:themeColor="text1"/>
        </w:rPr>
        <w:t>Structură și funcții (specii tipice, structura biocenozei, funcționarea biocenozei)</w:t>
      </w:r>
    </w:p>
    <w:p w14:paraId="1F711E8F" w14:textId="77777777" w:rsidR="002D3CA7" w:rsidRPr="00C56257" w:rsidRDefault="002D3CA7" w:rsidP="008E33FD">
      <w:pPr>
        <w:widowControl w:val="0"/>
        <w:autoSpaceDE w:val="0"/>
        <w:autoSpaceDN w:val="0"/>
        <w:adjustRightInd w:val="0"/>
        <w:spacing w:before="240" w:line="276" w:lineRule="auto"/>
        <w:ind w:firstLine="720"/>
        <w:jc w:val="both"/>
        <w:rPr>
          <w:bCs/>
          <w:color w:val="000000" w:themeColor="text1"/>
        </w:rPr>
      </w:pPr>
      <w:bookmarkStart w:id="32" w:name="_Hlk94441169"/>
      <w:r w:rsidRPr="00C56257">
        <w:rPr>
          <w:bCs/>
          <w:color w:val="000000" w:themeColor="text1"/>
        </w:rPr>
        <w:t>Structura habitatului se referă la elementele componente ale biotopului (roca, substratul, relieful, solul) şi ale biocenozei (stratul arbuştilor, stratul ierbos).</w:t>
      </w:r>
    </w:p>
    <w:p w14:paraId="51AE0819" w14:textId="77777777" w:rsidR="002D3CA7" w:rsidRPr="00C56257" w:rsidRDefault="002D3CA7" w:rsidP="008E33FD">
      <w:pPr>
        <w:widowControl w:val="0"/>
        <w:autoSpaceDE w:val="0"/>
        <w:autoSpaceDN w:val="0"/>
        <w:adjustRightInd w:val="0"/>
        <w:spacing w:line="276" w:lineRule="auto"/>
        <w:ind w:firstLine="720"/>
        <w:jc w:val="both"/>
        <w:rPr>
          <w:bCs/>
          <w:color w:val="000000" w:themeColor="text1"/>
        </w:rPr>
      </w:pPr>
      <w:r w:rsidRPr="00C56257">
        <w:rPr>
          <w:bCs/>
          <w:color w:val="000000" w:themeColor="text1"/>
        </w:rPr>
        <w:t>Funcţiile habitatului reprezintă procesele ecologice care asigură menţinerea acestuia în spaţiu şi timp. În cazul habitatelor de tufărişuri definitorii sunt: capacitatea de regenerare, intensitatea vătămărilor, fragmentarea.</w:t>
      </w:r>
    </w:p>
    <w:p w14:paraId="1C79911C" w14:textId="77777777" w:rsidR="002D3CA7" w:rsidRPr="00C56257" w:rsidRDefault="002D3CA7" w:rsidP="008E33FD">
      <w:pPr>
        <w:widowControl w:val="0"/>
        <w:autoSpaceDE w:val="0"/>
        <w:autoSpaceDN w:val="0"/>
        <w:adjustRightInd w:val="0"/>
        <w:spacing w:line="276" w:lineRule="auto"/>
        <w:ind w:firstLine="720"/>
        <w:jc w:val="both"/>
        <w:rPr>
          <w:bCs/>
          <w:color w:val="000000" w:themeColor="text1"/>
        </w:rPr>
      </w:pPr>
      <w:r w:rsidRPr="00C56257">
        <w:rPr>
          <w:bCs/>
          <w:color w:val="000000" w:themeColor="text1"/>
        </w:rPr>
        <w:t>Metoda de evaluare a structurii şi funcţiilor habitatului la nivel de regiune biogeografică se bazează pe prelucrarea statistică a datelor şi informaţiilor preluate din suprafeţele de probă în care este prezent habitatul în bioregiunea respectivă. Matricea de evaluare a structurii şi funcţiilor habitatului la nivelul suprafeţei de probă (SP) este redată în Tabelul 10, iar valorile obţinute pentru fiecare suprafaţă de probă în parte sunt cumulate la nivelul regiunii biogeografice (Tabelul 11) şi transformate în procente, rezultând o valoare finală de tipul:</w:t>
      </w:r>
    </w:p>
    <w:p w14:paraId="7EC09378" w14:textId="77777777" w:rsidR="002D3CA7" w:rsidRPr="00C56257" w:rsidRDefault="002D3CA7" w:rsidP="008E33FD">
      <w:pPr>
        <w:widowControl w:val="0"/>
        <w:autoSpaceDE w:val="0"/>
        <w:autoSpaceDN w:val="0"/>
        <w:adjustRightInd w:val="0"/>
        <w:spacing w:before="240" w:line="276" w:lineRule="auto"/>
        <w:ind w:left="540"/>
        <w:jc w:val="both"/>
        <w:rPr>
          <w:b/>
          <w:color w:val="000000" w:themeColor="text1"/>
        </w:rPr>
      </w:pPr>
      <w:r w:rsidRPr="00C56257">
        <w:rPr>
          <w:b/>
          <w:color w:val="000000" w:themeColor="text1"/>
        </w:rPr>
        <w:t>a%A + b%B + c%C+x%X = 100       (1)</w:t>
      </w:r>
    </w:p>
    <w:p w14:paraId="3CE65A8E" w14:textId="77777777" w:rsidR="004145D1" w:rsidRPr="00C56257" w:rsidRDefault="004145D1" w:rsidP="008E33FD">
      <w:pPr>
        <w:widowControl w:val="0"/>
        <w:autoSpaceDE w:val="0"/>
        <w:autoSpaceDN w:val="0"/>
        <w:adjustRightInd w:val="0"/>
        <w:spacing w:before="240" w:line="276" w:lineRule="auto"/>
        <w:ind w:left="540"/>
        <w:jc w:val="both"/>
        <w:rPr>
          <w:color w:val="000000" w:themeColor="text1"/>
        </w:rPr>
      </w:pPr>
      <w:r w:rsidRPr="00C56257">
        <w:rPr>
          <w:color w:val="000000" w:themeColor="text1"/>
        </w:rPr>
        <w:t>în care:</w:t>
      </w:r>
    </w:p>
    <w:p w14:paraId="6C2CCC14" w14:textId="77777777" w:rsidR="002D3CA7" w:rsidRPr="00C56257" w:rsidRDefault="002D3CA7" w:rsidP="008E33FD">
      <w:pPr>
        <w:widowControl w:val="0"/>
        <w:autoSpaceDE w:val="0"/>
        <w:autoSpaceDN w:val="0"/>
        <w:adjustRightInd w:val="0"/>
        <w:spacing w:before="240" w:line="276" w:lineRule="auto"/>
        <w:ind w:left="540"/>
        <w:jc w:val="both"/>
        <w:rPr>
          <w:color w:val="000000" w:themeColor="text1"/>
        </w:rPr>
      </w:pPr>
      <w:r w:rsidRPr="00C56257">
        <w:rPr>
          <w:color w:val="000000" w:themeColor="text1"/>
        </w:rPr>
        <w:t>- A, B, C, X = exprimă starea de conservare a habitatului în fiecare suprafaţă de probă (A = excelentă; B = bună; C = medie sau redusă; X = necunoscută);</w:t>
      </w:r>
    </w:p>
    <w:p w14:paraId="0D9E1AF2" w14:textId="77777777" w:rsidR="002D3CA7" w:rsidRPr="00C56257" w:rsidRDefault="002D3CA7" w:rsidP="008E33FD">
      <w:pPr>
        <w:widowControl w:val="0"/>
        <w:autoSpaceDE w:val="0"/>
        <w:autoSpaceDN w:val="0"/>
        <w:adjustRightInd w:val="0"/>
        <w:spacing w:before="240"/>
        <w:jc w:val="both"/>
        <w:rPr>
          <w:color w:val="000000" w:themeColor="text1"/>
        </w:rPr>
      </w:pPr>
      <w:r w:rsidRPr="00C56257">
        <w:rPr>
          <w:color w:val="000000" w:themeColor="text1"/>
        </w:rPr>
        <w:t>- a%, b%, c%,x% = procentul de suprafeţe de probă care au starea de conservare A, B, C sau X.</w:t>
      </w:r>
    </w:p>
    <w:p w14:paraId="057C7D2D" w14:textId="77777777" w:rsidR="002D3CA7" w:rsidRPr="00C56257" w:rsidRDefault="002D3CA7" w:rsidP="008E33FD">
      <w:pPr>
        <w:widowControl w:val="0"/>
        <w:autoSpaceDE w:val="0"/>
        <w:autoSpaceDN w:val="0"/>
        <w:adjustRightInd w:val="0"/>
        <w:spacing w:before="240"/>
        <w:jc w:val="both"/>
        <w:rPr>
          <w:iCs/>
          <w:color w:val="000000" w:themeColor="text1"/>
        </w:rPr>
      </w:pPr>
      <w:r w:rsidRPr="00C56257">
        <w:rPr>
          <w:iCs/>
          <w:color w:val="000000" w:themeColor="text1"/>
        </w:rPr>
        <w:t xml:space="preserve">Tabelul 10: Evaluarea structurii şi funcţiilor habitatului la nivelul suprafeței de probă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4"/>
        <w:gridCol w:w="1669"/>
        <w:gridCol w:w="1967"/>
        <w:gridCol w:w="1669"/>
        <w:gridCol w:w="1665"/>
      </w:tblGrid>
      <w:tr w:rsidR="00673EFE" w:rsidRPr="00C56257" w14:paraId="18102016" w14:textId="77777777" w:rsidTr="002825C6">
        <w:trPr>
          <w:trHeight w:val="360"/>
        </w:trPr>
        <w:tc>
          <w:tcPr>
            <w:tcW w:w="1513" w:type="pct"/>
            <w:vMerge w:val="restart"/>
            <w:shd w:val="clear" w:color="auto" w:fill="92D050"/>
          </w:tcPr>
          <w:p w14:paraId="13DAD0DC" w14:textId="77777777" w:rsidR="002D3CA7" w:rsidRPr="00C56257" w:rsidRDefault="002D3CA7" w:rsidP="008E33FD">
            <w:pPr>
              <w:autoSpaceDE w:val="0"/>
              <w:autoSpaceDN w:val="0"/>
              <w:adjustRightInd w:val="0"/>
              <w:spacing w:before="240" w:line="276" w:lineRule="auto"/>
              <w:jc w:val="both"/>
              <w:rPr>
                <w:b/>
                <w:color w:val="000000" w:themeColor="text1"/>
              </w:rPr>
            </w:pPr>
            <w:r w:rsidRPr="00C56257">
              <w:rPr>
                <w:b/>
                <w:color w:val="000000" w:themeColor="text1"/>
              </w:rPr>
              <w:t>Parametrul evaluat</w:t>
            </w:r>
          </w:p>
        </w:tc>
        <w:tc>
          <w:tcPr>
            <w:tcW w:w="3487" w:type="pct"/>
            <w:gridSpan w:val="4"/>
            <w:shd w:val="clear" w:color="auto" w:fill="92D050"/>
          </w:tcPr>
          <w:p w14:paraId="4C8B5386" w14:textId="77777777" w:rsidR="002D3CA7" w:rsidRPr="00C56257" w:rsidRDefault="002D3CA7" w:rsidP="008E33FD">
            <w:pPr>
              <w:autoSpaceDE w:val="0"/>
              <w:autoSpaceDN w:val="0"/>
              <w:adjustRightInd w:val="0"/>
              <w:spacing w:before="240" w:line="276" w:lineRule="auto"/>
              <w:jc w:val="both"/>
              <w:rPr>
                <w:b/>
                <w:color w:val="000000" w:themeColor="text1"/>
              </w:rPr>
            </w:pPr>
            <w:r w:rsidRPr="00C56257">
              <w:rPr>
                <w:b/>
                <w:color w:val="000000" w:themeColor="text1"/>
              </w:rPr>
              <w:t>Stare de conservare</w:t>
            </w:r>
          </w:p>
        </w:tc>
      </w:tr>
      <w:tr w:rsidR="00673EFE" w:rsidRPr="00C56257" w14:paraId="79AE71E6" w14:textId="77777777" w:rsidTr="002825C6">
        <w:trPr>
          <w:trHeight w:val="510"/>
        </w:trPr>
        <w:tc>
          <w:tcPr>
            <w:tcW w:w="1513" w:type="pct"/>
            <w:vMerge/>
            <w:shd w:val="clear" w:color="auto" w:fill="auto"/>
          </w:tcPr>
          <w:p w14:paraId="3DABAEC1" w14:textId="77777777" w:rsidR="002D3CA7" w:rsidRPr="00C56257" w:rsidRDefault="002D3CA7" w:rsidP="008E33FD">
            <w:pPr>
              <w:autoSpaceDE w:val="0"/>
              <w:autoSpaceDN w:val="0"/>
              <w:adjustRightInd w:val="0"/>
              <w:spacing w:before="240" w:line="276" w:lineRule="auto"/>
              <w:jc w:val="both"/>
              <w:rPr>
                <w:b/>
                <w:color w:val="000000" w:themeColor="text1"/>
              </w:rPr>
            </w:pPr>
          </w:p>
        </w:tc>
        <w:tc>
          <w:tcPr>
            <w:tcW w:w="835" w:type="pct"/>
            <w:shd w:val="clear" w:color="auto" w:fill="auto"/>
            <w:vAlign w:val="center"/>
          </w:tcPr>
          <w:p w14:paraId="7E5BF5E1" w14:textId="77777777" w:rsidR="002D3CA7" w:rsidRPr="00C56257" w:rsidRDefault="002D3CA7" w:rsidP="008E33FD">
            <w:pPr>
              <w:autoSpaceDE w:val="0"/>
              <w:autoSpaceDN w:val="0"/>
              <w:adjustRightInd w:val="0"/>
              <w:spacing w:before="240" w:line="276" w:lineRule="auto"/>
              <w:jc w:val="both"/>
              <w:rPr>
                <w:b/>
                <w:color w:val="000000" w:themeColor="text1"/>
              </w:rPr>
            </w:pPr>
            <w:r w:rsidRPr="00C56257">
              <w:rPr>
                <w:b/>
                <w:color w:val="000000" w:themeColor="text1"/>
              </w:rPr>
              <w:t>A</w:t>
            </w:r>
          </w:p>
        </w:tc>
        <w:tc>
          <w:tcPr>
            <w:tcW w:w="984" w:type="pct"/>
            <w:shd w:val="clear" w:color="auto" w:fill="auto"/>
            <w:vAlign w:val="center"/>
          </w:tcPr>
          <w:p w14:paraId="28F4BBCA" w14:textId="77777777" w:rsidR="002D3CA7" w:rsidRPr="00C56257" w:rsidRDefault="002D3CA7" w:rsidP="008E33FD">
            <w:pPr>
              <w:autoSpaceDE w:val="0"/>
              <w:autoSpaceDN w:val="0"/>
              <w:adjustRightInd w:val="0"/>
              <w:spacing w:before="240" w:line="276" w:lineRule="auto"/>
              <w:jc w:val="both"/>
              <w:rPr>
                <w:b/>
                <w:color w:val="000000" w:themeColor="text1"/>
              </w:rPr>
            </w:pPr>
            <w:r w:rsidRPr="00C56257">
              <w:rPr>
                <w:b/>
                <w:color w:val="000000" w:themeColor="text1"/>
              </w:rPr>
              <w:t>B</w:t>
            </w:r>
          </w:p>
        </w:tc>
        <w:tc>
          <w:tcPr>
            <w:tcW w:w="835" w:type="pct"/>
            <w:shd w:val="clear" w:color="auto" w:fill="auto"/>
            <w:vAlign w:val="center"/>
          </w:tcPr>
          <w:p w14:paraId="4FD50262" w14:textId="77777777" w:rsidR="002D3CA7" w:rsidRPr="00C56257" w:rsidRDefault="002D3CA7" w:rsidP="008E33FD">
            <w:pPr>
              <w:autoSpaceDE w:val="0"/>
              <w:autoSpaceDN w:val="0"/>
              <w:adjustRightInd w:val="0"/>
              <w:spacing w:before="240" w:line="276" w:lineRule="auto"/>
              <w:jc w:val="both"/>
              <w:rPr>
                <w:b/>
                <w:color w:val="000000" w:themeColor="text1"/>
              </w:rPr>
            </w:pPr>
            <w:r w:rsidRPr="00C56257">
              <w:rPr>
                <w:b/>
                <w:color w:val="000000" w:themeColor="text1"/>
              </w:rPr>
              <w:t>C</w:t>
            </w:r>
          </w:p>
        </w:tc>
        <w:tc>
          <w:tcPr>
            <w:tcW w:w="833" w:type="pct"/>
            <w:shd w:val="clear" w:color="auto" w:fill="auto"/>
            <w:vAlign w:val="center"/>
          </w:tcPr>
          <w:p w14:paraId="39C946D0" w14:textId="77777777" w:rsidR="002D3CA7" w:rsidRPr="00C56257" w:rsidRDefault="002D3CA7" w:rsidP="008E33FD">
            <w:pPr>
              <w:autoSpaceDE w:val="0"/>
              <w:autoSpaceDN w:val="0"/>
              <w:adjustRightInd w:val="0"/>
              <w:spacing w:before="240" w:line="276" w:lineRule="auto"/>
              <w:jc w:val="both"/>
              <w:rPr>
                <w:b/>
                <w:color w:val="000000" w:themeColor="text1"/>
              </w:rPr>
            </w:pPr>
            <w:r w:rsidRPr="00C56257">
              <w:rPr>
                <w:b/>
                <w:color w:val="000000" w:themeColor="text1"/>
              </w:rPr>
              <w:t>X</w:t>
            </w:r>
          </w:p>
        </w:tc>
      </w:tr>
      <w:tr w:rsidR="00673EFE" w:rsidRPr="00C56257" w14:paraId="43C5A8F4" w14:textId="77777777" w:rsidTr="002825C6">
        <w:tc>
          <w:tcPr>
            <w:tcW w:w="1513" w:type="pct"/>
            <w:shd w:val="clear" w:color="auto" w:fill="92D050"/>
          </w:tcPr>
          <w:p w14:paraId="34548AAD" w14:textId="77777777" w:rsidR="002D3CA7" w:rsidRPr="00C56257" w:rsidRDefault="002D3CA7" w:rsidP="008E33FD">
            <w:pPr>
              <w:autoSpaceDE w:val="0"/>
              <w:autoSpaceDN w:val="0"/>
              <w:adjustRightInd w:val="0"/>
              <w:spacing w:before="240"/>
              <w:jc w:val="both"/>
              <w:rPr>
                <w:color w:val="000000" w:themeColor="text1"/>
              </w:rPr>
            </w:pPr>
            <w:r w:rsidRPr="00C56257">
              <w:rPr>
                <w:color w:val="000000" w:themeColor="text1"/>
              </w:rPr>
              <w:t xml:space="preserve">Compoziţia strat arbustiv (număr specii edificatoare) </w:t>
            </w:r>
          </w:p>
        </w:tc>
        <w:tc>
          <w:tcPr>
            <w:tcW w:w="835" w:type="pct"/>
            <w:shd w:val="clear" w:color="auto" w:fill="auto"/>
            <w:vAlign w:val="center"/>
          </w:tcPr>
          <w:p w14:paraId="2A58EE15" w14:textId="77777777" w:rsidR="002D3CA7" w:rsidRPr="00C56257" w:rsidRDefault="002D3CA7" w:rsidP="008E33FD">
            <w:pPr>
              <w:autoSpaceDE w:val="0"/>
              <w:autoSpaceDN w:val="0"/>
              <w:adjustRightInd w:val="0"/>
              <w:spacing w:before="240" w:line="276" w:lineRule="auto"/>
              <w:jc w:val="both"/>
              <w:rPr>
                <w:color w:val="000000" w:themeColor="text1"/>
              </w:rPr>
            </w:pPr>
            <w:r w:rsidRPr="00C56257">
              <w:rPr>
                <w:color w:val="000000" w:themeColor="text1"/>
              </w:rPr>
              <w:t>≥ 2</w:t>
            </w:r>
          </w:p>
        </w:tc>
        <w:tc>
          <w:tcPr>
            <w:tcW w:w="984" w:type="pct"/>
            <w:shd w:val="clear" w:color="auto" w:fill="auto"/>
            <w:vAlign w:val="center"/>
          </w:tcPr>
          <w:p w14:paraId="30B2704D" w14:textId="77777777" w:rsidR="002D3CA7" w:rsidRPr="00C56257" w:rsidRDefault="002D3CA7" w:rsidP="008E33FD">
            <w:pPr>
              <w:autoSpaceDE w:val="0"/>
              <w:autoSpaceDN w:val="0"/>
              <w:adjustRightInd w:val="0"/>
              <w:spacing w:before="240" w:line="276" w:lineRule="auto"/>
              <w:jc w:val="both"/>
              <w:rPr>
                <w:color w:val="000000" w:themeColor="text1"/>
              </w:rPr>
            </w:pPr>
            <w:r w:rsidRPr="00C56257">
              <w:rPr>
                <w:color w:val="000000" w:themeColor="text1"/>
              </w:rPr>
              <w:t>1</w:t>
            </w:r>
          </w:p>
        </w:tc>
        <w:tc>
          <w:tcPr>
            <w:tcW w:w="835" w:type="pct"/>
            <w:shd w:val="clear" w:color="auto" w:fill="auto"/>
            <w:vAlign w:val="center"/>
          </w:tcPr>
          <w:p w14:paraId="488AF730" w14:textId="77777777" w:rsidR="002D3CA7" w:rsidRPr="00C56257" w:rsidRDefault="002D3CA7" w:rsidP="008E33FD">
            <w:pPr>
              <w:autoSpaceDE w:val="0"/>
              <w:autoSpaceDN w:val="0"/>
              <w:adjustRightInd w:val="0"/>
              <w:spacing w:before="240" w:line="276" w:lineRule="auto"/>
              <w:jc w:val="both"/>
              <w:rPr>
                <w:color w:val="000000" w:themeColor="text1"/>
              </w:rPr>
            </w:pPr>
            <w:r w:rsidRPr="00C56257">
              <w:rPr>
                <w:color w:val="000000" w:themeColor="text1"/>
              </w:rPr>
              <w:t>0</w:t>
            </w:r>
          </w:p>
        </w:tc>
        <w:tc>
          <w:tcPr>
            <w:tcW w:w="833" w:type="pct"/>
            <w:shd w:val="clear" w:color="auto" w:fill="auto"/>
            <w:vAlign w:val="center"/>
          </w:tcPr>
          <w:p w14:paraId="1639D5A4" w14:textId="77777777" w:rsidR="002D3CA7" w:rsidRPr="00C56257" w:rsidRDefault="002D3CA7" w:rsidP="008E33FD">
            <w:pPr>
              <w:autoSpaceDE w:val="0"/>
              <w:autoSpaceDN w:val="0"/>
              <w:adjustRightInd w:val="0"/>
              <w:spacing w:before="240" w:line="276" w:lineRule="auto"/>
              <w:jc w:val="both"/>
              <w:rPr>
                <w:color w:val="000000" w:themeColor="text1"/>
              </w:rPr>
            </w:pPr>
            <w:r w:rsidRPr="00C56257">
              <w:rPr>
                <w:color w:val="000000" w:themeColor="text1"/>
              </w:rPr>
              <w:t>nedefinit</w:t>
            </w:r>
          </w:p>
        </w:tc>
      </w:tr>
      <w:tr w:rsidR="00673EFE" w:rsidRPr="00C56257" w14:paraId="1EEAD378" w14:textId="77777777" w:rsidTr="002825C6">
        <w:tc>
          <w:tcPr>
            <w:tcW w:w="1513" w:type="pct"/>
            <w:shd w:val="clear" w:color="auto" w:fill="92D050"/>
          </w:tcPr>
          <w:p w14:paraId="10EF7136" w14:textId="77777777" w:rsidR="002D3CA7" w:rsidRPr="00C56257" w:rsidRDefault="002D3CA7" w:rsidP="008E33FD">
            <w:pPr>
              <w:autoSpaceDE w:val="0"/>
              <w:autoSpaceDN w:val="0"/>
              <w:adjustRightInd w:val="0"/>
              <w:spacing w:before="240"/>
              <w:jc w:val="both"/>
              <w:rPr>
                <w:color w:val="000000" w:themeColor="text1"/>
              </w:rPr>
            </w:pPr>
            <w:r w:rsidRPr="00C56257">
              <w:rPr>
                <w:color w:val="000000" w:themeColor="text1"/>
              </w:rPr>
              <w:t xml:space="preserve">Acoperirea cu arbuşti (speciile edificatoare) </w:t>
            </w:r>
          </w:p>
        </w:tc>
        <w:tc>
          <w:tcPr>
            <w:tcW w:w="835" w:type="pct"/>
            <w:shd w:val="clear" w:color="auto" w:fill="auto"/>
            <w:vAlign w:val="center"/>
          </w:tcPr>
          <w:p w14:paraId="4CD6CC8E" w14:textId="77777777" w:rsidR="002D3CA7" w:rsidRPr="00C56257" w:rsidRDefault="002D3CA7" w:rsidP="008E33FD">
            <w:pPr>
              <w:autoSpaceDE w:val="0"/>
              <w:autoSpaceDN w:val="0"/>
              <w:adjustRightInd w:val="0"/>
              <w:spacing w:before="240" w:line="276" w:lineRule="auto"/>
              <w:jc w:val="both"/>
              <w:rPr>
                <w:color w:val="000000" w:themeColor="text1"/>
              </w:rPr>
            </w:pPr>
            <w:r w:rsidRPr="00C56257">
              <w:rPr>
                <w:color w:val="000000" w:themeColor="text1"/>
              </w:rPr>
              <w:t>≥ 70%</w:t>
            </w:r>
          </w:p>
        </w:tc>
        <w:tc>
          <w:tcPr>
            <w:tcW w:w="984" w:type="pct"/>
            <w:shd w:val="clear" w:color="auto" w:fill="auto"/>
            <w:vAlign w:val="center"/>
          </w:tcPr>
          <w:p w14:paraId="6772364E" w14:textId="77777777" w:rsidR="002D3CA7" w:rsidRPr="00C56257" w:rsidRDefault="002D3CA7" w:rsidP="008E33FD">
            <w:pPr>
              <w:autoSpaceDE w:val="0"/>
              <w:autoSpaceDN w:val="0"/>
              <w:adjustRightInd w:val="0"/>
              <w:spacing w:before="240" w:line="276" w:lineRule="auto"/>
              <w:jc w:val="both"/>
              <w:rPr>
                <w:color w:val="000000" w:themeColor="text1"/>
              </w:rPr>
            </w:pPr>
            <w:r w:rsidRPr="00C56257">
              <w:rPr>
                <w:color w:val="000000" w:themeColor="text1"/>
              </w:rPr>
              <w:t>30-70%</w:t>
            </w:r>
          </w:p>
        </w:tc>
        <w:tc>
          <w:tcPr>
            <w:tcW w:w="835" w:type="pct"/>
            <w:shd w:val="clear" w:color="auto" w:fill="auto"/>
            <w:vAlign w:val="center"/>
          </w:tcPr>
          <w:p w14:paraId="239A3C8F" w14:textId="77777777" w:rsidR="002D3CA7" w:rsidRPr="00C56257" w:rsidRDefault="002D3CA7" w:rsidP="008E33FD">
            <w:pPr>
              <w:autoSpaceDE w:val="0"/>
              <w:autoSpaceDN w:val="0"/>
              <w:adjustRightInd w:val="0"/>
              <w:spacing w:before="240" w:line="276" w:lineRule="auto"/>
              <w:jc w:val="both"/>
              <w:rPr>
                <w:color w:val="000000" w:themeColor="text1"/>
                <w:lang w:val="en-US"/>
              </w:rPr>
            </w:pPr>
            <w:r w:rsidRPr="00C56257">
              <w:rPr>
                <w:color w:val="000000" w:themeColor="text1"/>
                <w:lang w:val="en-US"/>
              </w:rPr>
              <w:t>&lt; 30%</w:t>
            </w:r>
          </w:p>
        </w:tc>
        <w:tc>
          <w:tcPr>
            <w:tcW w:w="833" w:type="pct"/>
            <w:shd w:val="clear" w:color="auto" w:fill="auto"/>
            <w:vAlign w:val="center"/>
          </w:tcPr>
          <w:p w14:paraId="6F11F4D7" w14:textId="77777777" w:rsidR="002D3CA7" w:rsidRPr="00C56257" w:rsidRDefault="002D3CA7" w:rsidP="008E33FD">
            <w:pPr>
              <w:autoSpaceDE w:val="0"/>
              <w:autoSpaceDN w:val="0"/>
              <w:adjustRightInd w:val="0"/>
              <w:spacing w:before="240" w:line="276" w:lineRule="auto"/>
              <w:jc w:val="both"/>
              <w:rPr>
                <w:color w:val="000000" w:themeColor="text1"/>
              </w:rPr>
            </w:pPr>
            <w:r w:rsidRPr="00C56257">
              <w:rPr>
                <w:color w:val="000000" w:themeColor="text1"/>
              </w:rPr>
              <w:t>nedefinit</w:t>
            </w:r>
          </w:p>
        </w:tc>
      </w:tr>
      <w:tr w:rsidR="00673EFE" w:rsidRPr="00C56257" w14:paraId="79A36CB6" w14:textId="77777777" w:rsidTr="002825C6">
        <w:tc>
          <w:tcPr>
            <w:tcW w:w="1513" w:type="pct"/>
            <w:shd w:val="clear" w:color="auto" w:fill="92D050"/>
          </w:tcPr>
          <w:p w14:paraId="31BF63B5" w14:textId="77777777" w:rsidR="002D3CA7" w:rsidRPr="00C56257" w:rsidRDefault="002D3CA7" w:rsidP="008E33FD">
            <w:pPr>
              <w:autoSpaceDE w:val="0"/>
              <w:autoSpaceDN w:val="0"/>
              <w:adjustRightInd w:val="0"/>
              <w:spacing w:before="240"/>
              <w:jc w:val="both"/>
              <w:rPr>
                <w:color w:val="000000" w:themeColor="text1"/>
              </w:rPr>
            </w:pPr>
            <w:r w:rsidRPr="00C56257">
              <w:rPr>
                <w:color w:val="000000" w:themeColor="text1"/>
              </w:rPr>
              <w:t xml:space="preserve">Stratul ierbos şi subarbustiv (număr specii caracteristice) </w:t>
            </w:r>
          </w:p>
        </w:tc>
        <w:tc>
          <w:tcPr>
            <w:tcW w:w="835" w:type="pct"/>
            <w:shd w:val="clear" w:color="auto" w:fill="auto"/>
            <w:vAlign w:val="center"/>
          </w:tcPr>
          <w:p w14:paraId="1660EAAD" w14:textId="77777777" w:rsidR="002D3CA7" w:rsidRPr="00C56257" w:rsidRDefault="002D3CA7" w:rsidP="008E33FD">
            <w:pPr>
              <w:jc w:val="both"/>
              <w:rPr>
                <w:color w:val="000000" w:themeColor="text1"/>
              </w:rPr>
            </w:pPr>
            <w:r w:rsidRPr="00C56257">
              <w:rPr>
                <w:color w:val="000000" w:themeColor="text1"/>
              </w:rPr>
              <w:t>&gt; 4 specii</w:t>
            </w:r>
          </w:p>
        </w:tc>
        <w:tc>
          <w:tcPr>
            <w:tcW w:w="984" w:type="pct"/>
            <w:shd w:val="clear" w:color="auto" w:fill="auto"/>
            <w:vAlign w:val="center"/>
          </w:tcPr>
          <w:p w14:paraId="1F17B31C" w14:textId="77777777" w:rsidR="002D3CA7" w:rsidRPr="00C56257" w:rsidRDefault="002D3CA7" w:rsidP="008E33FD">
            <w:pPr>
              <w:jc w:val="both"/>
              <w:rPr>
                <w:color w:val="000000" w:themeColor="text1"/>
              </w:rPr>
            </w:pPr>
            <w:r w:rsidRPr="00C56257">
              <w:rPr>
                <w:color w:val="000000" w:themeColor="text1"/>
              </w:rPr>
              <w:t>3 specii</w:t>
            </w:r>
          </w:p>
        </w:tc>
        <w:tc>
          <w:tcPr>
            <w:tcW w:w="835" w:type="pct"/>
            <w:shd w:val="clear" w:color="auto" w:fill="auto"/>
            <w:vAlign w:val="center"/>
          </w:tcPr>
          <w:p w14:paraId="6B3EFEDA" w14:textId="77777777" w:rsidR="002D3CA7" w:rsidRPr="00C56257" w:rsidRDefault="002D3CA7" w:rsidP="008E33FD">
            <w:pPr>
              <w:jc w:val="both"/>
              <w:rPr>
                <w:color w:val="000000" w:themeColor="text1"/>
              </w:rPr>
            </w:pPr>
            <w:r w:rsidRPr="00C56257">
              <w:rPr>
                <w:color w:val="000000" w:themeColor="text1"/>
              </w:rPr>
              <w:t>&lt; 3 specii</w:t>
            </w:r>
          </w:p>
        </w:tc>
        <w:tc>
          <w:tcPr>
            <w:tcW w:w="833" w:type="pct"/>
            <w:shd w:val="clear" w:color="auto" w:fill="auto"/>
            <w:vAlign w:val="center"/>
          </w:tcPr>
          <w:p w14:paraId="6AC3EE8C" w14:textId="77777777" w:rsidR="002D3CA7" w:rsidRPr="00C56257" w:rsidRDefault="002D3CA7" w:rsidP="008E33FD">
            <w:pPr>
              <w:autoSpaceDE w:val="0"/>
              <w:autoSpaceDN w:val="0"/>
              <w:adjustRightInd w:val="0"/>
              <w:spacing w:before="240" w:line="276" w:lineRule="auto"/>
              <w:jc w:val="both"/>
              <w:rPr>
                <w:color w:val="000000" w:themeColor="text1"/>
              </w:rPr>
            </w:pPr>
            <w:r w:rsidRPr="00C56257">
              <w:rPr>
                <w:color w:val="000000" w:themeColor="text1"/>
              </w:rPr>
              <w:t>nedefinit</w:t>
            </w:r>
          </w:p>
        </w:tc>
      </w:tr>
      <w:tr w:rsidR="00673EFE" w:rsidRPr="00C56257" w14:paraId="734289D9" w14:textId="77777777" w:rsidTr="002825C6">
        <w:tc>
          <w:tcPr>
            <w:tcW w:w="1513" w:type="pct"/>
            <w:shd w:val="clear" w:color="auto" w:fill="92D050"/>
          </w:tcPr>
          <w:p w14:paraId="0D8E8BFD" w14:textId="77777777" w:rsidR="002D3CA7" w:rsidRPr="00C56257" w:rsidRDefault="002D3CA7" w:rsidP="008E33FD">
            <w:pPr>
              <w:autoSpaceDE w:val="0"/>
              <w:autoSpaceDN w:val="0"/>
              <w:adjustRightInd w:val="0"/>
              <w:spacing w:before="240" w:line="276" w:lineRule="auto"/>
              <w:jc w:val="both"/>
              <w:rPr>
                <w:b/>
                <w:color w:val="000000" w:themeColor="text1"/>
              </w:rPr>
            </w:pPr>
            <w:r w:rsidRPr="00C56257">
              <w:rPr>
                <w:b/>
                <w:color w:val="000000" w:themeColor="text1"/>
              </w:rPr>
              <w:t>Structură şi funcţii la nivelul suprafeței de probă</w:t>
            </w:r>
          </w:p>
        </w:tc>
        <w:tc>
          <w:tcPr>
            <w:tcW w:w="835" w:type="pct"/>
            <w:shd w:val="clear" w:color="auto" w:fill="92D050"/>
            <w:vAlign w:val="center"/>
          </w:tcPr>
          <w:p w14:paraId="309D24C7" w14:textId="77777777" w:rsidR="002D3CA7" w:rsidRPr="00C56257" w:rsidRDefault="002D3CA7" w:rsidP="008E33FD">
            <w:pPr>
              <w:autoSpaceDE w:val="0"/>
              <w:autoSpaceDN w:val="0"/>
              <w:adjustRightInd w:val="0"/>
              <w:spacing w:before="240" w:line="276" w:lineRule="auto"/>
              <w:jc w:val="both"/>
              <w:rPr>
                <w:b/>
                <w:color w:val="000000" w:themeColor="text1"/>
              </w:rPr>
            </w:pPr>
            <w:r w:rsidRPr="00C56257">
              <w:rPr>
                <w:b/>
                <w:color w:val="000000" w:themeColor="text1"/>
              </w:rPr>
              <w:t>Toate A sau 2A şi 1X”</w:t>
            </w:r>
          </w:p>
        </w:tc>
        <w:tc>
          <w:tcPr>
            <w:tcW w:w="984" w:type="pct"/>
            <w:shd w:val="clear" w:color="auto" w:fill="92D050"/>
            <w:vAlign w:val="center"/>
          </w:tcPr>
          <w:p w14:paraId="1798C528" w14:textId="77777777" w:rsidR="002D3CA7" w:rsidRPr="00C56257" w:rsidRDefault="002D3CA7" w:rsidP="008E33FD">
            <w:pPr>
              <w:autoSpaceDE w:val="0"/>
              <w:autoSpaceDN w:val="0"/>
              <w:adjustRightInd w:val="0"/>
              <w:spacing w:before="240" w:line="276" w:lineRule="auto"/>
              <w:jc w:val="both"/>
              <w:rPr>
                <w:b/>
                <w:color w:val="000000" w:themeColor="text1"/>
                <w:lang w:val="it-IT"/>
              </w:rPr>
            </w:pPr>
            <w:r w:rsidRPr="00C56257">
              <w:rPr>
                <w:b/>
                <w:color w:val="000000" w:themeColor="text1"/>
                <w:lang w:val="it-IT"/>
              </w:rPr>
              <w:t>Una sau mai multe B, fără C</w:t>
            </w:r>
          </w:p>
        </w:tc>
        <w:tc>
          <w:tcPr>
            <w:tcW w:w="835" w:type="pct"/>
            <w:shd w:val="clear" w:color="auto" w:fill="92D050"/>
            <w:vAlign w:val="center"/>
          </w:tcPr>
          <w:p w14:paraId="5AD0415B" w14:textId="77777777" w:rsidR="002D3CA7" w:rsidRPr="00C56257" w:rsidRDefault="002D3CA7" w:rsidP="008E33FD">
            <w:pPr>
              <w:autoSpaceDE w:val="0"/>
              <w:autoSpaceDN w:val="0"/>
              <w:adjustRightInd w:val="0"/>
              <w:spacing w:before="240" w:line="276" w:lineRule="auto"/>
              <w:jc w:val="both"/>
              <w:rPr>
                <w:b/>
                <w:color w:val="000000" w:themeColor="text1"/>
                <w:lang w:val="it-IT"/>
              </w:rPr>
            </w:pPr>
            <w:r w:rsidRPr="00C56257">
              <w:rPr>
                <w:b/>
                <w:color w:val="000000" w:themeColor="text1"/>
                <w:lang w:val="it-IT"/>
              </w:rPr>
              <w:t>Una sau mai multe C</w:t>
            </w:r>
          </w:p>
        </w:tc>
        <w:tc>
          <w:tcPr>
            <w:tcW w:w="833" w:type="pct"/>
            <w:shd w:val="clear" w:color="auto" w:fill="92D050"/>
            <w:vAlign w:val="center"/>
          </w:tcPr>
          <w:p w14:paraId="0268383F" w14:textId="77777777" w:rsidR="002D3CA7" w:rsidRPr="00C56257" w:rsidRDefault="002D3CA7" w:rsidP="008E33FD">
            <w:pPr>
              <w:autoSpaceDE w:val="0"/>
              <w:autoSpaceDN w:val="0"/>
              <w:adjustRightInd w:val="0"/>
              <w:spacing w:before="240" w:line="276" w:lineRule="auto"/>
              <w:jc w:val="both"/>
              <w:rPr>
                <w:b/>
                <w:color w:val="000000" w:themeColor="text1"/>
              </w:rPr>
            </w:pPr>
            <w:r w:rsidRPr="00C56257">
              <w:rPr>
                <w:b/>
                <w:color w:val="000000" w:themeColor="text1"/>
              </w:rPr>
              <w:t>≥ 2X</w:t>
            </w:r>
          </w:p>
        </w:tc>
      </w:tr>
    </w:tbl>
    <w:bookmarkEnd w:id="32"/>
    <w:p w14:paraId="5AAF362E" w14:textId="77777777" w:rsidR="002D3CA7" w:rsidRPr="00C56257" w:rsidRDefault="002D3CA7" w:rsidP="008E33FD">
      <w:pPr>
        <w:widowControl w:val="0"/>
        <w:autoSpaceDE w:val="0"/>
        <w:autoSpaceDN w:val="0"/>
        <w:adjustRightInd w:val="0"/>
        <w:spacing w:before="240" w:line="276" w:lineRule="auto"/>
        <w:jc w:val="both"/>
        <w:rPr>
          <w:iCs/>
          <w:color w:val="000000" w:themeColor="text1"/>
        </w:rPr>
      </w:pPr>
      <w:r w:rsidRPr="00C56257">
        <w:rPr>
          <w:iCs/>
          <w:color w:val="000000" w:themeColor="text1"/>
        </w:rPr>
        <w:t xml:space="preserve">Tabelul 11: Matricea de evaluare a structurii şi funcţiilor habitatului la nivelul regiunii biogeografice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8"/>
        <w:gridCol w:w="2097"/>
        <w:gridCol w:w="2097"/>
        <w:gridCol w:w="2097"/>
        <w:gridCol w:w="1645"/>
      </w:tblGrid>
      <w:tr w:rsidR="00673EFE" w:rsidRPr="00C56257" w14:paraId="48532960" w14:textId="77777777" w:rsidTr="002825C6">
        <w:trPr>
          <w:trHeight w:hRule="exact" w:val="850"/>
        </w:trPr>
        <w:tc>
          <w:tcPr>
            <w:tcW w:w="1030" w:type="pct"/>
            <w:shd w:val="clear" w:color="auto" w:fill="C0C0C0"/>
            <w:vAlign w:val="center"/>
          </w:tcPr>
          <w:p w14:paraId="0EBE664B" w14:textId="77777777" w:rsidR="002D3CA7" w:rsidRPr="00C56257" w:rsidRDefault="002D3CA7" w:rsidP="008E33FD">
            <w:pPr>
              <w:spacing w:before="240" w:line="276" w:lineRule="auto"/>
              <w:ind w:right="-135"/>
              <w:jc w:val="both"/>
              <w:rPr>
                <w:rFonts w:eastAsia="Batang"/>
                <w:b/>
                <w:color w:val="000000" w:themeColor="text1"/>
                <w:lang w:eastAsia="ko-KR"/>
              </w:rPr>
            </w:pPr>
            <w:r w:rsidRPr="00C56257">
              <w:rPr>
                <w:rFonts w:eastAsia="Batang"/>
                <w:b/>
                <w:color w:val="000000" w:themeColor="text1"/>
                <w:lang w:eastAsia="ko-KR"/>
              </w:rPr>
              <w:t>Structură şi funcţii</w:t>
            </w:r>
          </w:p>
        </w:tc>
        <w:tc>
          <w:tcPr>
            <w:tcW w:w="1049" w:type="pct"/>
            <w:shd w:val="clear" w:color="auto" w:fill="00FF00"/>
            <w:vAlign w:val="center"/>
          </w:tcPr>
          <w:p w14:paraId="39670E15" w14:textId="77777777" w:rsidR="002D3CA7" w:rsidRPr="00C56257" w:rsidRDefault="002D3CA7" w:rsidP="008E33FD">
            <w:pPr>
              <w:spacing w:before="240" w:line="276" w:lineRule="auto"/>
              <w:ind w:right="-135"/>
              <w:jc w:val="both"/>
              <w:rPr>
                <w:rFonts w:eastAsia="Batang"/>
                <w:b/>
                <w:color w:val="000000" w:themeColor="text1"/>
                <w:lang w:eastAsia="ko-KR"/>
              </w:rPr>
            </w:pPr>
            <w:r w:rsidRPr="00C56257">
              <w:rPr>
                <w:rFonts w:eastAsia="Batang"/>
                <w:b/>
                <w:color w:val="000000" w:themeColor="text1"/>
                <w:lang w:eastAsia="ko-KR"/>
              </w:rPr>
              <w:t>Favorabilă (FV)</w:t>
            </w:r>
          </w:p>
        </w:tc>
        <w:tc>
          <w:tcPr>
            <w:tcW w:w="1049" w:type="pct"/>
            <w:shd w:val="clear" w:color="auto" w:fill="FFCC00"/>
            <w:vAlign w:val="center"/>
          </w:tcPr>
          <w:p w14:paraId="4194165E" w14:textId="77777777" w:rsidR="002D3CA7" w:rsidRPr="00C56257" w:rsidRDefault="002D3CA7" w:rsidP="008E33FD">
            <w:pPr>
              <w:spacing w:before="240" w:line="276" w:lineRule="auto"/>
              <w:ind w:right="-135"/>
              <w:jc w:val="both"/>
              <w:rPr>
                <w:rFonts w:eastAsia="Batang"/>
                <w:b/>
                <w:color w:val="000000" w:themeColor="text1"/>
                <w:lang w:eastAsia="ko-KR"/>
              </w:rPr>
            </w:pPr>
            <w:r w:rsidRPr="00C56257">
              <w:rPr>
                <w:rFonts w:eastAsia="Batang"/>
                <w:b/>
                <w:color w:val="000000" w:themeColor="text1"/>
                <w:lang w:eastAsia="ko-KR"/>
              </w:rPr>
              <w:t>Nefavorabilă-neadecvată (U1)</w:t>
            </w:r>
          </w:p>
        </w:tc>
        <w:tc>
          <w:tcPr>
            <w:tcW w:w="1049" w:type="pct"/>
            <w:shd w:val="clear" w:color="auto" w:fill="FF0000"/>
            <w:vAlign w:val="center"/>
          </w:tcPr>
          <w:p w14:paraId="692AECB6" w14:textId="77777777" w:rsidR="002D3CA7" w:rsidRPr="00C56257" w:rsidRDefault="002D3CA7" w:rsidP="008E33FD">
            <w:pPr>
              <w:spacing w:before="240" w:line="276" w:lineRule="auto"/>
              <w:ind w:right="-135"/>
              <w:jc w:val="both"/>
              <w:rPr>
                <w:rFonts w:eastAsia="Batang"/>
                <w:b/>
                <w:color w:val="000000" w:themeColor="text1"/>
                <w:lang w:eastAsia="ko-KR"/>
              </w:rPr>
            </w:pPr>
            <w:r w:rsidRPr="00C56257">
              <w:rPr>
                <w:rFonts w:eastAsia="Batang"/>
                <w:b/>
                <w:color w:val="000000" w:themeColor="text1"/>
                <w:lang w:eastAsia="ko-KR"/>
              </w:rPr>
              <w:t>Nefavorabilă-rea  (U2)</w:t>
            </w:r>
          </w:p>
        </w:tc>
        <w:tc>
          <w:tcPr>
            <w:tcW w:w="824" w:type="pct"/>
            <w:vAlign w:val="center"/>
          </w:tcPr>
          <w:p w14:paraId="2EC7F6C8" w14:textId="77777777" w:rsidR="002D3CA7" w:rsidRPr="00C56257" w:rsidRDefault="002D3CA7" w:rsidP="008E33FD">
            <w:pPr>
              <w:spacing w:before="240" w:line="276" w:lineRule="auto"/>
              <w:ind w:right="-135"/>
              <w:jc w:val="both"/>
              <w:rPr>
                <w:b/>
                <w:color w:val="000000" w:themeColor="text1"/>
              </w:rPr>
            </w:pPr>
            <w:r w:rsidRPr="00C56257">
              <w:rPr>
                <w:b/>
                <w:color w:val="000000" w:themeColor="text1"/>
              </w:rPr>
              <w:t>Necunoscută (X)</w:t>
            </w:r>
          </w:p>
        </w:tc>
      </w:tr>
      <w:tr w:rsidR="00673EFE" w:rsidRPr="00C56257" w14:paraId="4DF52580" w14:textId="77777777" w:rsidTr="002825C6">
        <w:trPr>
          <w:trHeight w:hRule="exact" w:val="1191"/>
        </w:trPr>
        <w:tc>
          <w:tcPr>
            <w:tcW w:w="1030" w:type="pct"/>
            <w:shd w:val="clear" w:color="auto" w:fill="C0C0C0"/>
          </w:tcPr>
          <w:p w14:paraId="39673618" w14:textId="77777777" w:rsidR="002D3CA7" w:rsidRPr="00C56257" w:rsidRDefault="002D3CA7" w:rsidP="008E33FD">
            <w:pPr>
              <w:spacing w:before="240" w:line="276" w:lineRule="auto"/>
              <w:ind w:right="-135"/>
              <w:jc w:val="both"/>
              <w:rPr>
                <w:rFonts w:eastAsia="Batang"/>
                <w:color w:val="000000" w:themeColor="text1"/>
                <w:lang w:eastAsia="ko-KR"/>
              </w:rPr>
            </w:pPr>
            <w:r w:rsidRPr="00C56257">
              <w:rPr>
                <w:rFonts w:eastAsia="Batang"/>
                <w:color w:val="000000" w:themeColor="text1"/>
                <w:lang w:eastAsia="ko-KR"/>
              </w:rPr>
              <w:lastRenderedPageBreak/>
              <w:t>(%)</w:t>
            </w:r>
          </w:p>
        </w:tc>
        <w:tc>
          <w:tcPr>
            <w:tcW w:w="1049" w:type="pct"/>
            <w:shd w:val="clear" w:color="auto" w:fill="00FF00"/>
          </w:tcPr>
          <w:p w14:paraId="479317FA" w14:textId="77777777" w:rsidR="002D3CA7" w:rsidRPr="00C56257" w:rsidRDefault="002D3CA7" w:rsidP="008E33FD">
            <w:pPr>
              <w:spacing w:before="240" w:line="276" w:lineRule="auto"/>
              <w:ind w:right="-135"/>
              <w:jc w:val="both"/>
              <w:rPr>
                <w:rFonts w:eastAsia="Batang"/>
                <w:color w:val="000000" w:themeColor="text1"/>
                <w:lang w:eastAsia="ko-KR"/>
              </w:rPr>
            </w:pPr>
            <w:r w:rsidRPr="00C56257">
              <w:rPr>
                <w:rFonts w:eastAsia="Batang"/>
                <w:color w:val="000000" w:themeColor="text1"/>
                <w:lang w:eastAsia="ko-KR"/>
              </w:rPr>
              <w:t>A ≥ 50%;</w:t>
            </w:r>
          </w:p>
          <w:p w14:paraId="710BA2D1" w14:textId="77777777" w:rsidR="002D3CA7" w:rsidRPr="00C56257" w:rsidRDefault="002D3CA7" w:rsidP="008E33FD">
            <w:pPr>
              <w:spacing w:before="240" w:line="276" w:lineRule="auto"/>
              <w:ind w:right="-135"/>
              <w:jc w:val="both"/>
              <w:rPr>
                <w:rFonts w:eastAsia="Batang"/>
                <w:color w:val="000000" w:themeColor="text1"/>
                <w:lang w:eastAsia="ko-KR"/>
              </w:rPr>
            </w:pPr>
            <w:r w:rsidRPr="00C56257">
              <w:rPr>
                <w:rFonts w:eastAsia="Batang"/>
                <w:color w:val="000000" w:themeColor="text1"/>
                <w:lang w:eastAsia="ko-KR"/>
              </w:rPr>
              <w:t>C &lt; 20 %</w:t>
            </w:r>
          </w:p>
        </w:tc>
        <w:tc>
          <w:tcPr>
            <w:tcW w:w="1049" w:type="pct"/>
            <w:shd w:val="clear" w:color="auto" w:fill="FFCC00"/>
          </w:tcPr>
          <w:p w14:paraId="66721353" w14:textId="77777777" w:rsidR="002D3CA7" w:rsidRPr="00C56257" w:rsidRDefault="002D3CA7" w:rsidP="008E33FD">
            <w:pPr>
              <w:spacing w:before="240" w:line="276" w:lineRule="auto"/>
              <w:ind w:right="-135"/>
              <w:jc w:val="both"/>
              <w:rPr>
                <w:rFonts w:eastAsia="Batang"/>
                <w:color w:val="000000" w:themeColor="text1"/>
                <w:lang w:eastAsia="ko-KR"/>
              </w:rPr>
            </w:pPr>
            <w:r w:rsidRPr="00C56257">
              <w:rPr>
                <w:rFonts w:eastAsia="Batang"/>
                <w:color w:val="000000" w:themeColor="text1"/>
                <w:lang w:eastAsia="ko-KR"/>
              </w:rPr>
              <w:t>toate celelalte combinaţii</w:t>
            </w:r>
          </w:p>
        </w:tc>
        <w:tc>
          <w:tcPr>
            <w:tcW w:w="1049" w:type="pct"/>
            <w:shd w:val="clear" w:color="auto" w:fill="FF0000"/>
          </w:tcPr>
          <w:p w14:paraId="415C4A78" w14:textId="77777777" w:rsidR="002D3CA7" w:rsidRPr="00C56257" w:rsidRDefault="002D3CA7" w:rsidP="008E33FD">
            <w:pPr>
              <w:spacing w:before="240" w:line="276" w:lineRule="auto"/>
              <w:ind w:right="-135"/>
              <w:jc w:val="both"/>
              <w:rPr>
                <w:rFonts w:eastAsia="Batang"/>
                <w:color w:val="000000" w:themeColor="text1"/>
                <w:lang w:eastAsia="ko-KR"/>
              </w:rPr>
            </w:pPr>
            <w:r w:rsidRPr="00C56257">
              <w:rPr>
                <w:rFonts w:eastAsia="Batang"/>
                <w:color w:val="000000" w:themeColor="text1"/>
                <w:lang w:eastAsia="ko-KR"/>
              </w:rPr>
              <w:t>A&lt; 20%;</w:t>
            </w:r>
          </w:p>
          <w:p w14:paraId="0CA1A5FA" w14:textId="77777777" w:rsidR="002D3CA7" w:rsidRPr="00C56257" w:rsidRDefault="002D3CA7" w:rsidP="008E33FD">
            <w:pPr>
              <w:spacing w:before="240" w:line="276" w:lineRule="auto"/>
              <w:ind w:right="-135"/>
              <w:jc w:val="both"/>
              <w:rPr>
                <w:rFonts w:eastAsia="Batang"/>
                <w:color w:val="000000" w:themeColor="text1"/>
                <w:lang w:eastAsia="ko-KR"/>
              </w:rPr>
            </w:pPr>
            <w:r w:rsidRPr="00C56257">
              <w:rPr>
                <w:rFonts w:eastAsia="Batang"/>
                <w:color w:val="000000" w:themeColor="text1"/>
                <w:lang w:eastAsia="ko-KR"/>
              </w:rPr>
              <w:t>C ≥  50 %</w:t>
            </w:r>
          </w:p>
        </w:tc>
        <w:tc>
          <w:tcPr>
            <w:tcW w:w="824" w:type="pct"/>
          </w:tcPr>
          <w:p w14:paraId="30692D21" w14:textId="77777777" w:rsidR="002D3CA7" w:rsidRPr="00C56257" w:rsidRDefault="002D3CA7" w:rsidP="008E33FD">
            <w:pPr>
              <w:spacing w:before="240" w:line="276" w:lineRule="auto"/>
              <w:ind w:right="-135"/>
              <w:jc w:val="both"/>
              <w:rPr>
                <w:color w:val="000000" w:themeColor="text1"/>
              </w:rPr>
            </w:pPr>
            <w:r w:rsidRPr="00C56257">
              <w:rPr>
                <w:color w:val="000000" w:themeColor="text1"/>
              </w:rPr>
              <w:t>X≥75%</w:t>
            </w:r>
          </w:p>
        </w:tc>
      </w:tr>
    </w:tbl>
    <w:p w14:paraId="50AC8986" w14:textId="77777777" w:rsidR="002D3CA7" w:rsidRPr="00C56257" w:rsidRDefault="002D3CA7" w:rsidP="008E33FD">
      <w:pPr>
        <w:widowControl w:val="0"/>
        <w:autoSpaceDE w:val="0"/>
        <w:autoSpaceDN w:val="0"/>
        <w:adjustRightInd w:val="0"/>
        <w:spacing w:before="240" w:line="276" w:lineRule="auto"/>
        <w:ind w:firstLine="720"/>
        <w:jc w:val="both"/>
        <w:rPr>
          <w:color w:val="000000" w:themeColor="text1"/>
        </w:rPr>
      </w:pPr>
      <w:r w:rsidRPr="00C56257">
        <w:rPr>
          <w:color w:val="000000" w:themeColor="text1"/>
        </w:rPr>
        <w:t>Menționăm că exemplul de agregare a datelor colectate la nivel de plot la nivelul unei regiuni biogeografice are caracter informativ. În baza analizelor și a experienței acumulate în activitatea practică de colectare a datelor pot fi identificate și alte scheme de agregare.</w:t>
      </w:r>
    </w:p>
    <w:p w14:paraId="0624B459" w14:textId="77777777" w:rsidR="002D3CA7" w:rsidRPr="00C56257" w:rsidRDefault="002D3CA7" w:rsidP="008E33FD">
      <w:pPr>
        <w:widowControl w:val="0"/>
        <w:tabs>
          <w:tab w:val="center" w:pos="4680"/>
        </w:tabs>
        <w:autoSpaceDE w:val="0"/>
        <w:autoSpaceDN w:val="0"/>
        <w:adjustRightInd w:val="0"/>
        <w:spacing w:before="240" w:line="276" w:lineRule="auto"/>
        <w:jc w:val="both"/>
        <w:rPr>
          <w:b/>
          <w:color w:val="000000" w:themeColor="text1"/>
        </w:rPr>
      </w:pPr>
      <w:r w:rsidRPr="00C56257">
        <w:rPr>
          <w:b/>
          <w:color w:val="000000" w:themeColor="text1"/>
        </w:rPr>
        <w:t>Perspectiva de evoluţie</w:t>
      </w:r>
      <w:r w:rsidRPr="00C56257">
        <w:rPr>
          <w:b/>
          <w:color w:val="000000" w:themeColor="text1"/>
        </w:rPr>
        <w:tab/>
      </w:r>
    </w:p>
    <w:p w14:paraId="49276591" w14:textId="77777777" w:rsidR="002D3CA7" w:rsidRPr="00C56257" w:rsidRDefault="002D3CA7" w:rsidP="008E33FD">
      <w:pPr>
        <w:widowControl w:val="0"/>
        <w:autoSpaceDE w:val="0"/>
        <w:autoSpaceDN w:val="0"/>
        <w:adjustRightInd w:val="0"/>
        <w:spacing w:line="276" w:lineRule="auto"/>
        <w:ind w:firstLine="709"/>
        <w:jc w:val="both"/>
        <w:rPr>
          <w:b/>
          <w:color w:val="000000" w:themeColor="text1"/>
        </w:rPr>
      </w:pPr>
      <w:r w:rsidRPr="00C56257">
        <w:rPr>
          <w:b/>
          <w:color w:val="000000" w:themeColor="text1"/>
        </w:rPr>
        <w:t xml:space="preserve">Tendinţa viitoare </w:t>
      </w:r>
      <w:r w:rsidRPr="00C56257">
        <w:rPr>
          <w:color w:val="000000" w:themeColor="text1"/>
        </w:rPr>
        <w:t>a stării de conservare a habitatului este rezultatul a două categorii de acţiuni antagonice: 1) pe de o parte, presiunile actuale şi ameninţările potenţiale care pot acţiona asupra acestuia în următoarele 2 cicluri de raportare şi care au efect negativ asupra stării de conservare a acestuia; 2) pe de altă parte, măsurile de conservare a habitatului şi eficienţa acestora, care au efect pozitiv asupra stării de conservare a acestuia.</w:t>
      </w:r>
    </w:p>
    <w:p w14:paraId="07703E1A" w14:textId="77777777" w:rsidR="002D3CA7" w:rsidRPr="00C56257" w:rsidRDefault="002D3CA7" w:rsidP="008E33FD">
      <w:pPr>
        <w:widowControl w:val="0"/>
        <w:autoSpaceDE w:val="0"/>
        <w:autoSpaceDN w:val="0"/>
        <w:adjustRightInd w:val="0"/>
        <w:spacing w:line="276" w:lineRule="auto"/>
        <w:ind w:firstLine="709"/>
        <w:jc w:val="both"/>
        <w:rPr>
          <w:b/>
          <w:color w:val="000000" w:themeColor="text1"/>
        </w:rPr>
      </w:pPr>
      <w:r w:rsidRPr="00C56257">
        <w:rPr>
          <w:b/>
          <w:color w:val="000000" w:themeColor="text1"/>
        </w:rPr>
        <w:t xml:space="preserve">Starea viitoare </w:t>
      </w:r>
      <w:r w:rsidRPr="00C56257">
        <w:rPr>
          <w:color w:val="000000" w:themeColor="text1"/>
        </w:rPr>
        <w:t>de conservare a habitatului este evaluată în raport cu valorile prag/de referinţă favorabile (FRV) pentru fiecare dintre parametrii evaluaţi (areal, suprafaţă, structură şi funcţii).</w:t>
      </w:r>
      <w:r w:rsidRPr="00C56257">
        <w:rPr>
          <w:b/>
          <w:color w:val="000000" w:themeColor="text1"/>
        </w:rPr>
        <w:t xml:space="preserve"> </w:t>
      </w:r>
    </w:p>
    <w:p w14:paraId="780B176D" w14:textId="77777777" w:rsidR="002D3CA7" w:rsidRPr="00C56257" w:rsidRDefault="002D3CA7" w:rsidP="008E33FD">
      <w:pPr>
        <w:widowControl w:val="0"/>
        <w:autoSpaceDE w:val="0"/>
        <w:autoSpaceDN w:val="0"/>
        <w:adjustRightInd w:val="0"/>
        <w:spacing w:line="276" w:lineRule="auto"/>
        <w:ind w:firstLine="709"/>
        <w:jc w:val="both"/>
        <w:rPr>
          <w:color w:val="000000" w:themeColor="text1"/>
        </w:rPr>
      </w:pPr>
      <w:r w:rsidRPr="00C56257">
        <w:rPr>
          <w:color w:val="000000" w:themeColor="text1"/>
        </w:rPr>
        <w:t xml:space="preserve">Matricea de evaluare a perspectivei de evoluţie pentru fiecare tip de habitat la nivel de regiune biogeografică în funcţie de perspectiva parametrilor „areal”, „suprafaţă”, „structură şi funcţii” este redată în tabelul 12, iar regula de stabilire a perspectivei generale a habitatului este prezentată în tabelul 13. </w:t>
      </w:r>
    </w:p>
    <w:p w14:paraId="5C8EA256" w14:textId="77777777" w:rsidR="002D3CA7" w:rsidRPr="00C56257" w:rsidRDefault="002D3CA7" w:rsidP="008E33FD">
      <w:pPr>
        <w:widowControl w:val="0"/>
        <w:autoSpaceDE w:val="0"/>
        <w:autoSpaceDN w:val="0"/>
        <w:adjustRightInd w:val="0"/>
        <w:spacing w:before="240" w:line="276" w:lineRule="auto"/>
        <w:jc w:val="both"/>
        <w:rPr>
          <w:color w:val="000000" w:themeColor="text1"/>
        </w:rPr>
      </w:pPr>
      <w:r w:rsidRPr="00C56257">
        <w:rPr>
          <w:b/>
          <w:color w:val="000000" w:themeColor="text1"/>
        </w:rPr>
        <w:t>Tendinţa viitoare</w:t>
      </w:r>
      <w:r w:rsidRPr="00C56257">
        <w:rPr>
          <w:color w:val="000000" w:themeColor="text1"/>
        </w:rPr>
        <w:t xml:space="preserve"> pentru fiecare parametru este determinată astfel:</w:t>
      </w:r>
    </w:p>
    <w:p w14:paraId="66F6B341" w14:textId="77777777" w:rsidR="002D3CA7" w:rsidRPr="00C56257" w:rsidRDefault="002D3CA7" w:rsidP="009E63E5">
      <w:pPr>
        <w:widowControl w:val="0"/>
        <w:numPr>
          <w:ilvl w:val="0"/>
          <w:numId w:val="150"/>
        </w:numPr>
        <w:autoSpaceDE w:val="0"/>
        <w:autoSpaceDN w:val="0"/>
        <w:adjustRightInd w:val="0"/>
        <w:spacing w:after="160" w:line="259" w:lineRule="auto"/>
        <w:jc w:val="both"/>
        <w:rPr>
          <w:color w:val="000000" w:themeColor="text1"/>
        </w:rPr>
      </w:pPr>
      <w:r w:rsidRPr="00C56257">
        <w:rPr>
          <w:color w:val="000000" w:themeColor="text1"/>
        </w:rPr>
        <w:t>tendinţa pe termen scurt a arealului habitatului: conform celor prezentate la pct. 2.3.4. din formatul de raportare;</w:t>
      </w:r>
    </w:p>
    <w:p w14:paraId="2147A1AD" w14:textId="77777777" w:rsidR="002D3CA7" w:rsidRPr="00C56257" w:rsidRDefault="002D3CA7" w:rsidP="009E63E5">
      <w:pPr>
        <w:widowControl w:val="0"/>
        <w:numPr>
          <w:ilvl w:val="0"/>
          <w:numId w:val="150"/>
        </w:numPr>
        <w:autoSpaceDE w:val="0"/>
        <w:autoSpaceDN w:val="0"/>
        <w:adjustRightInd w:val="0"/>
        <w:spacing w:after="160" w:line="259" w:lineRule="auto"/>
        <w:jc w:val="both"/>
        <w:rPr>
          <w:color w:val="000000" w:themeColor="text1"/>
        </w:rPr>
      </w:pPr>
      <w:r w:rsidRPr="00C56257">
        <w:rPr>
          <w:color w:val="000000" w:themeColor="text1"/>
        </w:rPr>
        <w:t>tendinţa pe termen scurt a suprafeţei habitatului: conform celor prezentate la pct. 2.4.4. din formatul de raportare;</w:t>
      </w:r>
    </w:p>
    <w:p w14:paraId="54123440" w14:textId="77777777" w:rsidR="002D3CA7" w:rsidRPr="00C56257" w:rsidRDefault="002D3CA7" w:rsidP="009E63E5">
      <w:pPr>
        <w:widowControl w:val="0"/>
        <w:numPr>
          <w:ilvl w:val="0"/>
          <w:numId w:val="150"/>
        </w:numPr>
        <w:autoSpaceDE w:val="0"/>
        <w:autoSpaceDN w:val="0"/>
        <w:adjustRightInd w:val="0"/>
        <w:spacing w:after="160" w:line="276" w:lineRule="auto"/>
        <w:jc w:val="both"/>
        <w:rPr>
          <w:color w:val="000000" w:themeColor="text1"/>
        </w:rPr>
      </w:pPr>
      <w:r w:rsidRPr="00C56257">
        <w:rPr>
          <w:color w:val="000000" w:themeColor="text1"/>
        </w:rPr>
        <w:t xml:space="preserve">tendinţa pe termen scurt a structurii şi funcţiilor habitatului: rezultă din comparaţia termenilor relaţiei (1) pentru raportarea precedentă şi cea prezentă, care se extrapolează şi pe durata următoarelor 2 cicluri de raportare. </w:t>
      </w:r>
    </w:p>
    <w:p w14:paraId="596B6340" w14:textId="77777777" w:rsidR="002D3CA7" w:rsidRPr="00C56257" w:rsidRDefault="002D3CA7" w:rsidP="008E33FD">
      <w:pPr>
        <w:widowControl w:val="0"/>
        <w:autoSpaceDE w:val="0"/>
        <w:autoSpaceDN w:val="0"/>
        <w:adjustRightInd w:val="0"/>
        <w:spacing w:before="240" w:line="276" w:lineRule="auto"/>
        <w:ind w:firstLine="709"/>
        <w:jc w:val="both"/>
        <w:rPr>
          <w:color w:val="000000" w:themeColor="text1"/>
        </w:rPr>
      </w:pPr>
      <w:r w:rsidRPr="00C56257">
        <w:rPr>
          <w:color w:val="000000" w:themeColor="text1"/>
        </w:rPr>
        <w:t xml:space="preserve">În acelaşi tabel, starea viitoare a fiecărui parametru se determină prin comparaţia stării pe care o proiectăm peste 2 cicluri de raportare cu starea favorabilă de referinţă. Starea fiecărui parametru peste 12 ani poate să fie “mai bună” (&gt;), “similară” (=), “mai redusă” (&lt;), “mult mai redusă” (&lt;&lt;), sau “necunoscută” (x) raportată la starea favorabilă/starea actuală a acestuia. </w:t>
      </w:r>
    </w:p>
    <w:p w14:paraId="07CB6C97" w14:textId="77777777" w:rsidR="002D3CA7" w:rsidRPr="00C56257" w:rsidRDefault="002D3CA7" w:rsidP="008E33FD">
      <w:pPr>
        <w:widowControl w:val="0"/>
        <w:autoSpaceDE w:val="0"/>
        <w:autoSpaceDN w:val="0"/>
        <w:adjustRightInd w:val="0"/>
        <w:spacing w:before="240" w:line="276" w:lineRule="auto"/>
        <w:jc w:val="both"/>
        <w:rPr>
          <w:iCs/>
          <w:color w:val="000000" w:themeColor="text1"/>
        </w:rPr>
      </w:pPr>
      <w:r w:rsidRPr="00C56257">
        <w:rPr>
          <w:iCs/>
          <w:color w:val="000000" w:themeColor="text1"/>
        </w:rPr>
        <w:t>Tabelul 12: Matricea de evaluare a perspectivei de evoluţie pentru parametrii „areal”, „suprafaţă”, „structură şi funcţii” pentru fiecare tip de habitat de tufărișuri de interes comunitar la nivel de regiune biogeografică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9"/>
        <w:gridCol w:w="2246"/>
        <w:gridCol w:w="2252"/>
        <w:gridCol w:w="2957"/>
      </w:tblGrid>
      <w:tr w:rsidR="00673EFE" w:rsidRPr="00C56257" w14:paraId="03B5E4B0" w14:textId="77777777" w:rsidTr="002825C6">
        <w:trPr>
          <w:jc w:val="center"/>
        </w:trPr>
        <w:tc>
          <w:tcPr>
            <w:tcW w:w="1266" w:type="pct"/>
            <w:tcBorders>
              <w:top w:val="single" w:sz="8" w:space="0" w:color="auto"/>
              <w:left w:val="single" w:sz="8" w:space="0" w:color="auto"/>
              <w:bottom w:val="single" w:sz="8" w:space="0" w:color="auto"/>
              <w:right w:val="single" w:sz="8" w:space="0" w:color="auto"/>
            </w:tcBorders>
            <w:shd w:val="clear" w:color="auto" w:fill="92D050"/>
          </w:tcPr>
          <w:p w14:paraId="22118445" w14:textId="77777777" w:rsidR="002D3CA7" w:rsidRPr="00C56257" w:rsidRDefault="002D3CA7" w:rsidP="008E33FD">
            <w:pPr>
              <w:widowControl w:val="0"/>
              <w:autoSpaceDE w:val="0"/>
              <w:autoSpaceDN w:val="0"/>
              <w:adjustRightInd w:val="0"/>
              <w:spacing w:line="276" w:lineRule="auto"/>
              <w:jc w:val="both"/>
              <w:rPr>
                <w:b/>
                <w:color w:val="000000" w:themeColor="text1"/>
              </w:rPr>
            </w:pPr>
            <w:r w:rsidRPr="00C56257">
              <w:rPr>
                <w:b/>
                <w:color w:val="000000" w:themeColor="text1"/>
              </w:rPr>
              <w:t>Parametrul</w:t>
            </w:r>
          </w:p>
        </w:tc>
        <w:tc>
          <w:tcPr>
            <w:tcW w:w="1125" w:type="pct"/>
            <w:tcBorders>
              <w:top w:val="single" w:sz="8" w:space="0" w:color="auto"/>
              <w:left w:val="single" w:sz="8" w:space="0" w:color="auto"/>
              <w:bottom w:val="single" w:sz="8" w:space="0" w:color="auto"/>
            </w:tcBorders>
            <w:shd w:val="clear" w:color="auto" w:fill="92D050"/>
          </w:tcPr>
          <w:p w14:paraId="150C1360" w14:textId="77777777" w:rsidR="002D3CA7" w:rsidRPr="00C56257" w:rsidRDefault="002D3CA7" w:rsidP="008E33FD">
            <w:pPr>
              <w:widowControl w:val="0"/>
              <w:autoSpaceDE w:val="0"/>
              <w:autoSpaceDN w:val="0"/>
              <w:adjustRightInd w:val="0"/>
              <w:spacing w:line="276" w:lineRule="auto"/>
              <w:jc w:val="both"/>
              <w:rPr>
                <w:b/>
                <w:color w:val="000000" w:themeColor="text1"/>
              </w:rPr>
            </w:pPr>
            <w:r w:rsidRPr="00C56257">
              <w:rPr>
                <w:b/>
                <w:color w:val="000000" w:themeColor="text1"/>
              </w:rPr>
              <w:t>Tendinţa viitoare</w:t>
            </w:r>
          </w:p>
        </w:tc>
        <w:tc>
          <w:tcPr>
            <w:tcW w:w="1128" w:type="pct"/>
            <w:tcBorders>
              <w:top w:val="single" w:sz="8" w:space="0" w:color="auto"/>
              <w:bottom w:val="single" w:sz="8" w:space="0" w:color="auto"/>
            </w:tcBorders>
            <w:shd w:val="clear" w:color="auto" w:fill="92D050"/>
          </w:tcPr>
          <w:p w14:paraId="0B500838" w14:textId="77777777" w:rsidR="002D3CA7" w:rsidRPr="00C56257" w:rsidRDefault="002D3CA7" w:rsidP="008E33FD">
            <w:pPr>
              <w:widowControl w:val="0"/>
              <w:autoSpaceDE w:val="0"/>
              <w:autoSpaceDN w:val="0"/>
              <w:adjustRightInd w:val="0"/>
              <w:spacing w:line="276" w:lineRule="auto"/>
              <w:jc w:val="both"/>
              <w:rPr>
                <w:b/>
                <w:color w:val="000000" w:themeColor="text1"/>
              </w:rPr>
            </w:pPr>
            <w:r w:rsidRPr="00C56257">
              <w:rPr>
                <w:b/>
                <w:color w:val="000000" w:themeColor="text1"/>
              </w:rPr>
              <w:t>Starea viitoare</w:t>
            </w:r>
          </w:p>
        </w:tc>
        <w:tc>
          <w:tcPr>
            <w:tcW w:w="1482" w:type="pct"/>
            <w:tcBorders>
              <w:top w:val="single" w:sz="8" w:space="0" w:color="auto"/>
              <w:bottom w:val="single" w:sz="8" w:space="0" w:color="auto"/>
              <w:right w:val="single" w:sz="8" w:space="0" w:color="auto"/>
            </w:tcBorders>
            <w:shd w:val="clear" w:color="auto" w:fill="92D050"/>
          </w:tcPr>
          <w:p w14:paraId="1858049E" w14:textId="77777777" w:rsidR="002D3CA7" w:rsidRPr="00C56257" w:rsidRDefault="002D3CA7" w:rsidP="008E33FD">
            <w:pPr>
              <w:widowControl w:val="0"/>
              <w:autoSpaceDE w:val="0"/>
              <w:autoSpaceDN w:val="0"/>
              <w:adjustRightInd w:val="0"/>
              <w:spacing w:line="276" w:lineRule="auto"/>
              <w:jc w:val="both"/>
              <w:rPr>
                <w:b/>
                <w:color w:val="000000" w:themeColor="text1"/>
              </w:rPr>
            </w:pPr>
            <w:r w:rsidRPr="00C56257">
              <w:rPr>
                <w:b/>
                <w:color w:val="000000" w:themeColor="text1"/>
              </w:rPr>
              <w:t>Perspectiva</w:t>
            </w:r>
          </w:p>
        </w:tc>
      </w:tr>
      <w:tr w:rsidR="00673EFE" w:rsidRPr="00C56257" w14:paraId="118FADA4" w14:textId="77777777" w:rsidTr="002825C6">
        <w:trPr>
          <w:trHeight w:hRule="exact" w:val="1247"/>
          <w:jc w:val="center"/>
        </w:trPr>
        <w:tc>
          <w:tcPr>
            <w:tcW w:w="1266" w:type="pct"/>
            <w:tcBorders>
              <w:top w:val="single" w:sz="8" w:space="0" w:color="auto"/>
              <w:left w:val="single" w:sz="8" w:space="0" w:color="auto"/>
              <w:right w:val="single" w:sz="8" w:space="0" w:color="auto"/>
            </w:tcBorders>
            <w:shd w:val="clear" w:color="auto" w:fill="92D050"/>
          </w:tcPr>
          <w:p w14:paraId="7412EBC2" w14:textId="77777777" w:rsidR="002D3CA7" w:rsidRPr="00C56257" w:rsidRDefault="002D3CA7" w:rsidP="008E33FD">
            <w:pPr>
              <w:widowControl w:val="0"/>
              <w:autoSpaceDE w:val="0"/>
              <w:autoSpaceDN w:val="0"/>
              <w:adjustRightInd w:val="0"/>
              <w:spacing w:before="240" w:line="276" w:lineRule="auto"/>
              <w:jc w:val="both"/>
              <w:rPr>
                <w:color w:val="000000" w:themeColor="text1"/>
              </w:rPr>
            </w:pPr>
            <w:r w:rsidRPr="00C56257">
              <w:rPr>
                <w:color w:val="000000" w:themeColor="text1"/>
              </w:rPr>
              <w:t>Areal</w:t>
            </w:r>
          </w:p>
        </w:tc>
        <w:tc>
          <w:tcPr>
            <w:tcW w:w="1125" w:type="pct"/>
            <w:tcBorders>
              <w:top w:val="single" w:sz="8" w:space="0" w:color="auto"/>
              <w:left w:val="single" w:sz="8" w:space="0" w:color="auto"/>
            </w:tcBorders>
            <w:shd w:val="clear" w:color="auto" w:fill="auto"/>
          </w:tcPr>
          <w:p w14:paraId="14EB57AF" w14:textId="77777777" w:rsidR="002D3CA7" w:rsidRPr="00C56257" w:rsidRDefault="002D3CA7" w:rsidP="008E33FD">
            <w:pPr>
              <w:widowControl w:val="0"/>
              <w:autoSpaceDE w:val="0"/>
              <w:autoSpaceDN w:val="0"/>
              <w:adjustRightInd w:val="0"/>
              <w:spacing w:before="240" w:line="276" w:lineRule="auto"/>
              <w:jc w:val="both"/>
              <w:rPr>
                <w:color w:val="000000" w:themeColor="text1"/>
              </w:rPr>
            </w:pPr>
            <w:r w:rsidRPr="00C56257">
              <w:rPr>
                <w:color w:val="000000" w:themeColor="text1"/>
              </w:rPr>
              <w:t>+/=/-/x</w:t>
            </w:r>
          </w:p>
        </w:tc>
        <w:tc>
          <w:tcPr>
            <w:tcW w:w="1128" w:type="pct"/>
            <w:tcBorders>
              <w:top w:val="single" w:sz="8" w:space="0" w:color="auto"/>
            </w:tcBorders>
            <w:shd w:val="clear" w:color="auto" w:fill="auto"/>
          </w:tcPr>
          <w:p w14:paraId="238F7EC3" w14:textId="77777777" w:rsidR="002D3CA7" w:rsidRPr="00C56257" w:rsidRDefault="002D3CA7" w:rsidP="008E33FD">
            <w:pPr>
              <w:widowControl w:val="0"/>
              <w:autoSpaceDE w:val="0"/>
              <w:autoSpaceDN w:val="0"/>
              <w:adjustRightInd w:val="0"/>
              <w:spacing w:before="240" w:line="276" w:lineRule="auto"/>
              <w:jc w:val="both"/>
              <w:rPr>
                <w:color w:val="000000" w:themeColor="text1"/>
              </w:rPr>
            </w:pPr>
            <w:r w:rsidRPr="00C56257">
              <w:rPr>
                <w:color w:val="000000" w:themeColor="text1"/>
              </w:rPr>
              <w:t>&gt;/=/&lt;/&lt;&lt;/x</w:t>
            </w:r>
          </w:p>
        </w:tc>
        <w:tc>
          <w:tcPr>
            <w:tcW w:w="1482" w:type="pct"/>
            <w:tcBorders>
              <w:top w:val="single" w:sz="8" w:space="0" w:color="auto"/>
              <w:right w:val="single" w:sz="8" w:space="0" w:color="auto"/>
            </w:tcBorders>
            <w:shd w:val="clear" w:color="auto" w:fill="auto"/>
          </w:tcPr>
          <w:p w14:paraId="52FEBC6E" w14:textId="77777777" w:rsidR="002D3CA7" w:rsidRPr="00C56257" w:rsidRDefault="002D3CA7" w:rsidP="008E33FD">
            <w:pPr>
              <w:widowControl w:val="0"/>
              <w:autoSpaceDE w:val="0"/>
              <w:autoSpaceDN w:val="0"/>
              <w:adjustRightInd w:val="0"/>
              <w:spacing w:line="276" w:lineRule="auto"/>
              <w:jc w:val="both"/>
              <w:rPr>
                <w:color w:val="000000" w:themeColor="text1"/>
              </w:rPr>
            </w:pPr>
            <w:r w:rsidRPr="00C56257">
              <w:rPr>
                <w:color w:val="000000" w:themeColor="text1"/>
              </w:rPr>
              <w:t>Favorabilă (FV)/ nefavorabilă-neadecvată (U1)/  nefavorabilă-rea  (U2)/ necunoscută (X)</w:t>
            </w:r>
          </w:p>
        </w:tc>
      </w:tr>
      <w:tr w:rsidR="00673EFE" w:rsidRPr="00C56257" w14:paraId="4FA056C0" w14:textId="77777777" w:rsidTr="002825C6">
        <w:trPr>
          <w:trHeight w:hRule="exact" w:val="1247"/>
          <w:jc w:val="center"/>
        </w:trPr>
        <w:tc>
          <w:tcPr>
            <w:tcW w:w="1266" w:type="pct"/>
            <w:tcBorders>
              <w:left w:val="single" w:sz="8" w:space="0" w:color="auto"/>
              <w:right w:val="single" w:sz="8" w:space="0" w:color="auto"/>
            </w:tcBorders>
            <w:shd w:val="clear" w:color="auto" w:fill="92D050"/>
          </w:tcPr>
          <w:p w14:paraId="500532B6" w14:textId="77777777" w:rsidR="002D3CA7" w:rsidRPr="00C56257" w:rsidRDefault="002D3CA7" w:rsidP="008E33FD">
            <w:pPr>
              <w:widowControl w:val="0"/>
              <w:autoSpaceDE w:val="0"/>
              <w:autoSpaceDN w:val="0"/>
              <w:adjustRightInd w:val="0"/>
              <w:spacing w:before="240" w:line="276" w:lineRule="auto"/>
              <w:jc w:val="both"/>
              <w:rPr>
                <w:color w:val="000000" w:themeColor="text1"/>
              </w:rPr>
            </w:pPr>
            <w:r w:rsidRPr="00C56257">
              <w:rPr>
                <w:color w:val="000000" w:themeColor="text1"/>
              </w:rPr>
              <w:lastRenderedPageBreak/>
              <w:t>Suprafaţă</w:t>
            </w:r>
          </w:p>
        </w:tc>
        <w:tc>
          <w:tcPr>
            <w:tcW w:w="1125" w:type="pct"/>
            <w:tcBorders>
              <w:left w:val="single" w:sz="8" w:space="0" w:color="auto"/>
            </w:tcBorders>
            <w:shd w:val="clear" w:color="auto" w:fill="auto"/>
          </w:tcPr>
          <w:p w14:paraId="72774A8E" w14:textId="77777777" w:rsidR="002D3CA7" w:rsidRPr="00C56257" w:rsidRDefault="002D3CA7" w:rsidP="008E33FD">
            <w:pPr>
              <w:widowControl w:val="0"/>
              <w:autoSpaceDE w:val="0"/>
              <w:autoSpaceDN w:val="0"/>
              <w:adjustRightInd w:val="0"/>
              <w:spacing w:before="240" w:line="276" w:lineRule="auto"/>
              <w:jc w:val="both"/>
              <w:rPr>
                <w:color w:val="000000" w:themeColor="text1"/>
              </w:rPr>
            </w:pPr>
            <w:r w:rsidRPr="00C56257">
              <w:rPr>
                <w:color w:val="000000" w:themeColor="text1"/>
              </w:rPr>
              <w:t>+/=/-/x</w:t>
            </w:r>
          </w:p>
        </w:tc>
        <w:tc>
          <w:tcPr>
            <w:tcW w:w="1128" w:type="pct"/>
            <w:shd w:val="clear" w:color="auto" w:fill="auto"/>
          </w:tcPr>
          <w:p w14:paraId="65740CA4" w14:textId="77777777" w:rsidR="002D3CA7" w:rsidRPr="00C56257" w:rsidRDefault="002D3CA7" w:rsidP="008E33FD">
            <w:pPr>
              <w:widowControl w:val="0"/>
              <w:autoSpaceDE w:val="0"/>
              <w:autoSpaceDN w:val="0"/>
              <w:adjustRightInd w:val="0"/>
              <w:spacing w:before="240" w:line="276" w:lineRule="auto"/>
              <w:jc w:val="both"/>
              <w:rPr>
                <w:color w:val="000000" w:themeColor="text1"/>
              </w:rPr>
            </w:pPr>
            <w:r w:rsidRPr="00C56257">
              <w:rPr>
                <w:color w:val="000000" w:themeColor="text1"/>
              </w:rPr>
              <w:t>&gt;/=/&lt;/&lt;&lt;/x</w:t>
            </w:r>
          </w:p>
        </w:tc>
        <w:tc>
          <w:tcPr>
            <w:tcW w:w="1482" w:type="pct"/>
            <w:tcBorders>
              <w:right w:val="single" w:sz="8" w:space="0" w:color="auto"/>
            </w:tcBorders>
            <w:shd w:val="clear" w:color="auto" w:fill="auto"/>
          </w:tcPr>
          <w:p w14:paraId="3015CE83" w14:textId="77777777" w:rsidR="002D3CA7" w:rsidRPr="00C56257" w:rsidRDefault="002D3CA7" w:rsidP="008E33FD">
            <w:pPr>
              <w:widowControl w:val="0"/>
              <w:autoSpaceDE w:val="0"/>
              <w:autoSpaceDN w:val="0"/>
              <w:adjustRightInd w:val="0"/>
              <w:spacing w:line="276" w:lineRule="auto"/>
              <w:jc w:val="both"/>
              <w:rPr>
                <w:color w:val="000000" w:themeColor="text1"/>
              </w:rPr>
            </w:pPr>
            <w:r w:rsidRPr="00C56257">
              <w:rPr>
                <w:color w:val="000000" w:themeColor="text1"/>
              </w:rPr>
              <w:t>Favorabilă (FV)/ nefavorabilă-neadecvată U1)/  nefavorabilă-rea  U2)/ necunoscută (X)</w:t>
            </w:r>
          </w:p>
        </w:tc>
      </w:tr>
      <w:tr w:rsidR="00673EFE" w:rsidRPr="00C56257" w14:paraId="2BB4AE33" w14:textId="77777777" w:rsidTr="002825C6">
        <w:trPr>
          <w:trHeight w:hRule="exact" w:val="1247"/>
          <w:jc w:val="center"/>
        </w:trPr>
        <w:tc>
          <w:tcPr>
            <w:tcW w:w="1266" w:type="pct"/>
            <w:tcBorders>
              <w:left w:val="single" w:sz="8" w:space="0" w:color="auto"/>
              <w:bottom w:val="single" w:sz="8" w:space="0" w:color="auto"/>
              <w:right w:val="single" w:sz="8" w:space="0" w:color="auto"/>
            </w:tcBorders>
            <w:shd w:val="clear" w:color="auto" w:fill="92D050"/>
          </w:tcPr>
          <w:p w14:paraId="552CD173" w14:textId="77777777" w:rsidR="002D3CA7" w:rsidRPr="00C56257" w:rsidRDefault="002D3CA7" w:rsidP="008E33FD">
            <w:pPr>
              <w:widowControl w:val="0"/>
              <w:autoSpaceDE w:val="0"/>
              <w:autoSpaceDN w:val="0"/>
              <w:adjustRightInd w:val="0"/>
              <w:spacing w:before="240" w:line="276" w:lineRule="auto"/>
              <w:jc w:val="both"/>
              <w:rPr>
                <w:color w:val="000000" w:themeColor="text1"/>
              </w:rPr>
            </w:pPr>
            <w:r w:rsidRPr="00C56257">
              <w:rPr>
                <w:color w:val="000000" w:themeColor="text1"/>
              </w:rPr>
              <w:t>Structură şi funcţii</w:t>
            </w:r>
          </w:p>
        </w:tc>
        <w:tc>
          <w:tcPr>
            <w:tcW w:w="1125" w:type="pct"/>
            <w:tcBorders>
              <w:left w:val="single" w:sz="8" w:space="0" w:color="auto"/>
              <w:bottom w:val="single" w:sz="12" w:space="0" w:color="auto"/>
            </w:tcBorders>
            <w:shd w:val="clear" w:color="auto" w:fill="auto"/>
          </w:tcPr>
          <w:p w14:paraId="336C107B" w14:textId="77777777" w:rsidR="002D3CA7" w:rsidRPr="00C56257" w:rsidRDefault="002D3CA7" w:rsidP="008E33FD">
            <w:pPr>
              <w:widowControl w:val="0"/>
              <w:autoSpaceDE w:val="0"/>
              <w:autoSpaceDN w:val="0"/>
              <w:adjustRightInd w:val="0"/>
              <w:spacing w:before="240" w:line="276" w:lineRule="auto"/>
              <w:jc w:val="both"/>
              <w:rPr>
                <w:color w:val="000000" w:themeColor="text1"/>
              </w:rPr>
            </w:pPr>
            <w:r w:rsidRPr="00C56257">
              <w:rPr>
                <w:color w:val="000000" w:themeColor="text1"/>
              </w:rPr>
              <w:t>+/=/-/x</w:t>
            </w:r>
          </w:p>
        </w:tc>
        <w:tc>
          <w:tcPr>
            <w:tcW w:w="1128" w:type="pct"/>
            <w:tcBorders>
              <w:bottom w:val="single" w:sz="12" w:space="0" w:color="auto"/>
            </w:tcBorders>
            <w:shd w:val="clear" w:color="auto" w:fill="auto"/>
          </w:tcPr>
          <w:p w14:paraId="53C10125" w14:textId="77777777" w:rsidR="002D3CA7" w:rsidRPr="00C56257" w:rsidRDefault="002D3CA7" w:rsidP="008E33FD">
            <w:pPr>
              <w:widowControl w:val="0"/>
              <w:autoSpaceDE w:val="0"/>
              <w:autoSpaceDN w:val="0"/>
              <w:adjustRightInd w:val="0"/>
              <w:spacing w:before="240" w:line="276" w:lineRule="auto"/>
              <w:jc w:val="both"/>
              <w:rPr>
                <w:color w:val="000000" w:themeColor="text1"/>
              </w:rPr>
            </w:pPr>
            <w:r w:rsidRPr="00C56257">
              <w:rPr>
                <w:color w:val="000000" w:themeColor="text1"/>
              </w:rPr>
              <w:t>&gt;/=/&lt;/&lt;&lt;/x</w:t>
            </w:r>
          </w:p>
        </w:tc>
        <w:tc>
          <w:tcPr>
            <w:tcW w:w="1482" w:type="pct"/>
            <w:tcBorders>
              <w:bottom w:val="single" w:sz="12" w:space="0" w:color="auto"/>
              <w:right w:val="single" w:sz="8" w:space="0" w:color="auto"/>
            </w:tcBorders>
            <w:shd w:val="clear" w:color="auto" w:fill="auto"/>
          </w:tcPr>
          <w:p w14:paraId="2E55C6B4" w14:textId="77777777" w:rsidR="002D3CA7" w:rsidRPr="00C56257" w:rsidRDefault="002D3CA7" w:rsidP="008E33FD">
            <w:pPr>
              <w:widowControl w:val="0"/>
              <w:autoSpaceDE w:val="0"/>
              <w:autoSpaceDN w:val="0"/>
              <w:adjustRightInd w:val="0"/>
              <w:spacing w:line="276" w:lineRule="auto"/>
              <w:jc w:val="both"/>
              <w:rPr>
                <w:color w:val="000000" w:themeColor="text1"/>
              </w:rPr>
            </w:pPr>
            <w:r w:rsidRPr="00C56257">
              <w:rPr>
                <w:color w:val="000000" w:themeColor="text1"/>
              </w:rPr>
              <w:t>Favorabilă (FV)/ nefavorabilă-neadecvată U1)/  nefavorabilă-rea  U2)/ necunoscută (X)</w:t>
            </w:r>
          </w:p>
        </w:tc>
      </w:tr>
      <w:tr w:rsidR="00673EFE" w:rsidRPr="00C56257" w14:paraId="29948640" w14:textId="77777777" w:rsidTr="002825C6">
        <w:trPr>
          <w:trHeight w:hRule="exact" w:val="340"/>
          <w:jc w:val="center"/>
        </w:trPr>
        <w:tc>
          <w:tcPr>
            <w:tcW w:w="3518" w:type="pct"/>
            <w:gridSpan w:val="3"/>
            <w:tcBorders>
              <w:top w:val="single" w:sz="12" w:space="0" w:color="auto"/>
              <w:left w:val="single" w:sz="8" w:space="0" w:color="auto"/>
              <w:bottom w:val="single" w:sz="8" w:space="0" w:color="auto"/>
              <w:right w:val="single" w:sz="12" w:space="0" w:color="auto"/>
            </w:tcBorders>
            <w:shd w:val="clear" w:color="auto" w:fill="92D050"/>
          </w:tcPr>
          <w:p w14:paraId="4D8BA6F4" w14:textId="77777777" w:rsidR="002D3CA7" w:rsidRPr="00C56257" w:rsidRDefault="002D3CA7" w:rsidP="008E33FD">
            <w:pPr>
              <w:widowControl w:val="0"/>
              <w:autoSpaceDE w:val="0"/>
              <w:autoSpaceDN w:val="0"/>
              <w:adjustRightInd w:val="0"/>
              <w:spacing w:line="276" w:lineRule="auto"/>
              <w:jc w:val="both"/>
              <w:rPr>
                <w:b/>
                <w:color w:val="000000" w:themeColor="text1"/>
              </w:rPr>
            </w:pPr>
            <w:r w:rsidRPr="00C56257">
              <w:rPr>
                <w:b/>
                <w:color w:val="000000" w:themeColor="text1"/>
              </w:rPr>
              <w:t>Perspectiva de evoluţie</w:t>
            </w:r>
          </w:p>
        </w:tc>
        <w:tc>
          <w:tcPr>
            <w:tcW w:w="1482" w:type="pct"/>
            <w:tcBorders>
              <w:top w:val="single" w:sz="12" w:space="0" w:color="auto"/>
              <w:left w:val="single" w:sz="12" w:space="0" w:color="auto"/>
              <w:bottom w:val="single" w:sz="8" w:space="0" w:color="auto"/>
              <w:right w:val="single" w:sz="8" w:space="0" w:color="auto"/>
            </w:tcBorders>
            <w:shd w:val="clear" w:color="auto" w:fill="92D050"/>
          </w:tcPr>
          <w:p w14:paraId="0190C2F9" w14:textId="77777777" w:rsidR="002D3CA7" w:rsidRPr="00C56257" w:rsidRDefault="002D3CA7" w:rsidP="008E33FD">
            <w:pPr>
              <w:widowControl w:val="0"/>
              <w:autoSpaceDE w:val="0"/>
              <w:autoSpaceDN w:val="0"/>
              <w:adjustRightInd w:val="0"/>
              <w:spacing w:line="276" w:lineRule="auto"/>
              <w:jc w:val="both"/>
              <w:rPr>
                <w:b/>
                <w:color w:val="000000" w:themeColor="text1"/>
              </w:rPr>
            </w:pPr>
          </w:p>
        </w:tc>
      </w:tr>
    </w:tbl>
    <w:p w14:paraId="41EF1D24" w14:textId="77777777" w:rsidR="002D3CA7" w:rsidRPr="00C56257" w:rsidRDefault="002D3CA7" w:rsidP="008E33FD">
      <w:pPr>
        <w:widowControl w:val="0"/>
        <w:autoSpaceDE w:val="0"/>
        <w:autoSpaceDN w:val="0"/>
        <w:adjustRightInd w:val="0"/>
        <w:spacing w:before="240" w:line="276" w:lineRule="auto"/>
        <w:jc w:val="both"/>
        <w:rPr>
          <w:i/>
          <w:color w:val="000000" w:themeColor="text1"/>
        </w:rPr>
      </w:pPr>
    </w:p>
    <w:p w14:paraId="0D3DD5E5" w14:textId="77777777" w:rsidR="002D3CA7" w:rsidRPr="00C56257" w:rsidRDefault="002D3CA7" w:rsidP="008E33FD">
      <w:pPr>
        <w:widowControl w:val="0"/>
        <w:autoSpaceDE w:val="0"/>
        <w:autoSpaceDN w:val="0"/>
        <w:adjustRightInd w:val="0"/>
        <w:spacing w:before="240" w:line="276" w:lineRule="auto"/>
        <w:jc w:val="both"/>
        <w:rPr>
          <w:i/>
          <w:color w:val="000000" w:themeColor="text1"/>
        </w:rPr>
      </w:pPr>
    </w:p>
    <w:p w14:paraId="18436BE4" w14:textId="77777777" w:rsidR="002D3CA7" w:rsidRPr="00C56257" w:rsidRDefault="002D3CA7" w:rsidP="008E33FD">
      <w:pPr>
        <w:widowControl w:val="0"/>
        <w:autoSpaceDE w:val="0"/>
        <w:autoSpaceDN w:val="0"/>
        <w:adjustRightInd w:val="0"/>
        <w:spacing w:before="240" w:line="276" w:lineRule="auto"/>
        <w:jc w:val="both"/>
        <w:rPr>
          <w:i/>
          <w:color w:val="000000" w:themeColor="text1"/>
        </w:rPr>
      </w:pPr>
    </w:p>
    <w:p w14:paraId="6D8EB80E" w14:textId="77777777" w:rsidR="002D3CA7" w:rsidRPr="00C56257" w:rsidRDefault="002D3CA7" w:rsidP="008E33FD">
      <w:pPr>
        <w:widowControl w:val="0"/>
        <w:autoSpaceDE w:val="0"/>
        <w:autoSpaceDN w:val="0"/>
        <w:adjustRightInd w:val="0"/>
        <w:spacing w:before="240" w:line="276" w:lineRule="auto"/>
        <w:jc w:val="both"/>
        <w:rPr>
          <w:iCs/>
          <w:color w:val="000000" w:themeColor="text1"/>
        </w:rPr>
      </w:pPr>
      <w:r w:rsidRPr="00C56257">
        <w:rPr>
          <w:iCs/>
          <w:color w:val="000000" w:themeColor="text1"/>
        </w:rPr>
        <w:t>Tabelul 13: Matricea de evaluare a perspectivei de evoluţie a habitatului de tufărișuri de interes comunitar la nivelul regiunii biogeografice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8"/>
        <w:gridCol w:w="2097"/>
        <w:gridCol w:w="2097"/>
        <w:gridCol w:w="2097"/>
        <w:gridCol w:w="1645"/>
      </w:tblGrid>
      <w:tr w:rsidR="00673EFE" w:rsidRPr="00C56257" w14:paraId="326C5A0D" w14:textId="77777777" w:rsidTr="002825C6">
        <w:tc>
          <w:tcPr>
            <w:tcW w:w="1030" w:type="pct"/>
            <w:shd w:val="clear" w:color="auto" w:fill="C0C0C0"/>
            <w:vAlign w:val="center"/>
          </w:tcPr>
          <w:p w14:paraId="1737F410" w14:textId="77777777" w:rsidR="002D3CA7" w:rsidRPr="00C56257" w:rsidRDefault="002D3CA7" w:rsidP="008E33FD">
            <w:pPr>
              <w:spacing w:line="276" w:lineRule="auto"/>
              <w:ind w:right="29"/>
              <w:jc w:val="both"/>
              <w:rPr>
                <w:rFonts w:eastAsia="Batang"/>
                <w:b/>
                <w:color w:val="000000" w:themeColor="text1"/>
                <w:lang w:eastAsia="ko-KR"/>
              </w:rPr>
            </w:pPr>
            <w:r w:rsidRPr="00C56257">
              <w:rPr>
                <w:rFonts w:eastAsia="Batang"/>
                <w:color w:val="000000" w:themeColor="text1"/>
                <w:lang w:eastAsia="ko-KR"/>
              </w:rPr>
              <w:t>Perspectiva de evoluţie</w:t>
            </w:r>
          </w:p>
        </w:tc>
        <w:tc>
          <w:tcPr>
            <w:tcW w:w="1049" w:type="pct"/>
            <w:shd w:val="clear" w:color="auto" w:fill="00FF00"/>
            <w:vAlign w:val="center"/>
          </w:tcPr>
          <w:p w14:paraId="589AD0C5" w14:textId="77777777" w:rsidR="002D3CA7" w:rsidRPr="00C56257" w:rsidRDefault="002D3CA7" w:rsidP="008E33FD">
            <w:pPr>
              <w:spacing w:line="276" w:lineRule="auto"/>
              <w:ind w:right="29"/>
              <w:jc w:val="both"/>
              <w:rPr>
                <w:rFonts w:eastAsia="Batang"/>
                <w:b/>
                <w:color w:val="000000" w:themeColor="text1"/>
                <w:lang w:eastAsia="ko-KR"/>
              </w:rPr>
            </w:pPr>
            <w:r w:rsidRPr="00C56257">
              <w:rPr>
                <w:rFonts w:eastAsia="Batang"/>
                <w:color w:val="000000" w:themeColor="text1"/>
                <w:lang w:eastAsia="ko-KR"/>
              </w:rPr>
              <w:t>Favorabilă (FV)</w:t>
            </w:r>
          </w:p>
        </w:tc>
        <w:tc>
          <w:tcPr>
            <w:tcW w:w="1049" w:type="pct"/>
            <w:shd w:val="clear" w:color="auto" w:fill="FFCC00"/>
            <w:vAlign w:val="center"/>
          </w:tcPr>
          <w:p w14:paraId="4647EFEE" w14:textId="77777777" w:rsidR="002D3CA7" w:rsidRPr="00C56257" w:rsidRDefault="002D3CA7" w:rsidP="008E33FD">
            <w:pPr>
              <w:spacing w:line="276" w:lineRule="auto"/>
              <w:ind w:right="29"/>
              <w:jc w:val="both"/>
              <w:rPr>
                <w:rFonts w:eastAsia="Batang"/>
                <w:color w:val="000000" w:themeColor="text1"/>
                <w:lang w:eastAsia="ko-KR"/>
              </w:rPr>
            </w:pPr>
            <w:r w:rsidRPr="00C56257">
              <w:rPr>
                <w:rFonts w:eastAsia="Batang"/>
                <w:color w:val="000000" w:themeColor="text1"/>
                <w:lang w:eastAsia="ko-KR"/>
              </w:rPr>
              <w:t>Nefavorabilă-neadecvată (U1)</w:t>
            </w:r>
          </w:p>
        </w:tc>
        <w:tc>
          <w:tcPr>
            <w:tcW w:w="1049" w:type="pct"/>
            <w:shd w:val="clear" w:color="auto" w:fill="FF0000"/>
            <w:vAlign w:val="center"/>
          </w:tcPr>
          <w:p w14:paraId="50CC598C" w14:textId="77777777" w:rsidR="002D3CA7" w:rsidRPr="00C56257" w:rsidRDefault="002D3CA7" w:rsidP="008E33FD">
            <w:pPr>
              <w:spacing w:line="276" w:lineRule="auto"/>
              <w:ind w:right="29"/>
              <w:jc w:val="both"/>
              <w:rPr>
                <w:rFonts w:eastAsia="Batang"/>
                <w:color w:val="000000" w:themeColor="text1"/>
                <w:lang w:eastAsia="ko-KR"/>
              </w:rPr>
            </w:pPr>
            <w:r w:rsidRPr="00C56257">
              <w:rPr>
                <w:rFonts w:eastAsia="Batang"/>
                <w:color w:val="000000" w:themeColor="text1"/>
                <w:lang w:eastAsia="ko-KR"/>
              </w:rPr>
              <w:t>Nefavorabilă-rea (U2)</w:t>
            </w:r>
          </w:p>
        </w:tc>
        <w:tc>
          <w:tcPr>
            <w:tcW w:w="824" w:type="pct"/>
            <w:vAlign w:val="center"/>
          </w:tcPr>
          <w:p w14:paraId="4A9432C4" w14:textId="77777777" w:rsidR="002D3CA7" w:rsidRPr="00C56257" w:rsidRDefault="002D3CA7" w:rsidP="008E33FD">
            <w:pPr>
              <w:spacing w:line="276" w:lineRule="auto"/>
              <w:ind w:right="29"/>
              <w:jc w:val="both"/>
              <w:rPr>
                <w:color w:val="000000" w:themeColor="text1"/>
              </w:rPr>
            </w:pPr>
            <w:r w:rsidRPr="00C56257">
              <w:rPr>
                <w:color w:val="000000" w:themeColor="text1"/>
              </w:rPr>
              <w:t>Necunoscută (X)</w:t>
            </w:r>
          </w:p>
        </w:tc>
      </w:tr>
      <w:tr w:rsidR="00673EFE" w:rsidRPr="00C56257" w14:paraId="62EFE4F5" w14:textId="77777777" w:rsidTr="002825C6">
        <w:tc>
          <w:tcPr>
            <w:tcW w:w="1030" w:type="pct"/>
            <w:shd w:val="clear" w:color="auto" w:fill="C0C0C0"/>
            <w:vAlign w:val="center"/>
          </w:tcPr>
          <w:p w14:paraId="01C77E31" w14:textId="77777777" w:rsidR="002D3CA7" w:rsidRPr="00C56257" w:rsidRDefault="002D3CA7" w:rsidP="008E33FD">
            <w:pPr>
              <w:spacing w:before="240" w:line="276" w:lineRule="auto"/>
              <w:ind w:right="29"/>
              <w:jc w:val="both"/>
              <w:rPr>
                <w:rFonts w:eastAsia="Batang"/>
                <w:color w:val="000000" w:themeColor="text1"/>
                <w:lang w:eastAsia="ko-KR"/>
              </w:rPr>
            </w:pPr>
          </w:p>
        </w:tc>
        <w:tc>
          <w:tcPr>
            <w:tcW w:w="1049" w:type="pct"/>
            <w:shd w:val="clear" w:color="auto" w:fill="00FF00"/>
            <w:vAlign w:val="center"/>
          </w:tcPr>
          <w:p w14:paraId="5D40CCA1" w14:textId="77777777" w:rsidR="002D3CA7" w:rsidRPr="00C56257" w:rsidRDefault="002D3CA7" w:rsidP="008E33FD">
            <w:pPr>
              <w:spacing w:line="276" w:lineRule="auto"/>
              <w:ind w:right="29"/>
              <w:jc w:val="both"/>
              <w:rPr>
                <w:rFonts w:eastAsia="Batang"/>
                <w:color w:val="000000" w:themeColor="text1"/>
                <w:lang w:eastAsia="ko-KR"/>
              </w:rPr>
            </w:pPr>
            <w:r w:rsidRPr="00C56257">
              <w:rPr>
                <w:rFonts w:eastAsia="Batang"/>
                <w:color w:val="000000" w:themeColor="text1"/>
                <w:lang w:eastAsia="ko-KR"/>
              </w:rPr>
              <w:t>Toate 'verzi'</w:t>
            </w:r>
          </w:p>
          <w:p w14:paraId="19F72A7D" w14:textId="77777777" w:rsidR="002D3CA7" w:rsidRPr="00C56257" w:rsidRDefault="002D3CA7" w:rsidP="008E33FD">
            <w:pPr>
              <w:spacing w:before="240" w:line="276" w:lineRule="auto"/>
              <w:ind w:right="29"/>
              <w:jc w:val="both"/>
              <w:rPr>
                <w:rFonts w:eastAsia="Batang"/>
                <w:color w:val="000000" w:themeColor="text1"/>
                <w:lang w:eastAsia="ko-KR"/>
              </w:rPr>
            </w:pPr>
            <w:r w:rsidRPr="00C56257">
              <w:rPr>
                <w:rFonts w:eastAsia="Batang"/>
                <w:color w:val="000000" w:themeColor="text1"/>
                <w:lang w:eastAsia="ko-KR"/>
              </w:rPr>
              <w:t>SAU</w:t>
            </w:r>
          </w:p>
          <w:p w14:paraId="3A25BA67" w14:textId="77777777" w:rsidR="002D3CA7" w:rsidRPr="00C56257" w:rsidRDefault="002D3CA7" w:rsidP="008E33FD">
            <w:pPr>
              <w:spacing w:before="240" w:line="276" w:lineRule="auto"/>
              <w:ind w:right="29"/>
              <w:jc w:val="both"/>
              <w:rPr>
                <w:rFonts w:eastAsia="Batang"/>
                <w:color w:val="000000" w:themeColor="text1"/>
                <w:lang w:eastAsia="ko-KR"/>
              </w:rPr>
            </w:pPr>
            <w:r w:rsidRPr="00C56257">
              <w:rPr>
                <w:rFonts w:eastAsia="Batang"/>
                <w:color w:val="000000" w:themeColor="text1"/>
                <w:lang w:eastAsia="ko-KR"/>
              </w:rPr>
              <w:t>două 'verzi' şi una 'necunoscută'</w:t>
            </w:r>
          </w:p>
        </w:tc>
        <w:tc>
          <w:tcPr>
            <w:tcW w:w="1049" w:type="pct"/>
            <w:shd w:val="clear" w:color="auto" w:fill="FFCC00"/>
            <w:vAlign w:val="center"/>
          </w:tcPr>
          <w:p w14:paraId="546CD5B6" w14:textId="77777777" w:rsidR="002D3CA7" w:rsidRPr="00C56257" w:rsidRDefault="002D3CA7" w:rsidP="008E33FD">
            <w:pPr>
              <w:spacing w:line="276" w:lineRule="auto"/>
              <w:ind w:right="29"/>
              <w:jc w:val="both"/>
              <w:rPr>
                <w:rFonts w:eastAsia="Batang"/>
                <w:color w:val="000000" w:themeColor="text1"/>
                <w:lang w:eastAsia="ko-KR"/>
              </w:rPr>
            </w:pPr>
            <w:r w:rsidRPr="00C56257">
              <w:rPr>
                <w:rFonts w:eastAsia="Batang"/>
                <w:color w:val="000000" w:themeColor="text1"/>
                <w:lang w:eastAsia="ko-KR"/>
              </w:rPr>
              <w:t>Una sau mai multe chihlimbar' dar nu 'roşu'</w:t>
            </w:r>
          </w:p>
        </w:tc>
        <w:tc>
          <w:tcPr>
            <w:tcW w:w="1049" w:type="pct"/>
            <w:shd w:val="clear" w:color="auto" w:fill="FF0000"/>
            <w:vAlign w:val="center"/>
          </w:tcPr>
          <w:p w14:paraId="6E4F8E37" w14:textId="77777777" w:rsidR="002D3CA7" w:rsidRPr="00C56257" w:rsidRDefault="002D3CA7" w:rsidP="008E33FD">
            <w:pPr>
              <w:spacing w:line="276" w:lineRule="auto"/>
              <w:ind w:right="29"/>
              <w:jc w:val="both"/>
              <w:rPr>
                <w:rFonts w:eastAsia="Batang"/>
                <w:color w:val="000000" w:themeColor="text1"/>
                <w:lang w:eastAsia="ko-KR"/>
              </w:rPr>
            </w:pPr>
            <w:r w:rsidRPr="00C56257">
              <w:rPr>
                <w:rFonts w:eastAsia="Batang"/>
                <w:color w:val="000000" w:themeColor="text1"/>
                <w:lang w:eastAsia="ko-KR"/>
              </w:rPr>
              <w:t>Una mai multe 'roşu'</w:t>
            </w:r>
          </w:p>
        </w:tc>
        <w:tc>
          <w:tcPr>
            <w:tcW w:w="824" w:type="pct"/>
            <w:vAlign w:val="center"/>
          </w:tcPr>
          <w:p w14:paraId="7D0FD1C8" w14:textId="77777777" w:rsidR="002D3CA7" w:rsidRPr="00C56257" w:rsidRDefault="002D3CA7" w:rsidP="008E33FD">
            <w:pPr>
              <w:spacing w:line="276" w:lineRule="auto"/>
              <w:ind w:right="29"/>
              <w:jc w:val="both"/>
              <w:rPr>
                <w:color w:val="000000" w:themeColor="text1"/>
              </w:rPr>
            </w:pPr>
            <w:r w:rsidRPr="00C56257">
              <w:rPr>
                <w:color w:val="000000" w:themeColor="text1"/>
              </w:rPr>
              <w:t>Două sau mai multe 'necunoscute' combinate cu verde sau toate “necunoscute’</w:t>
            </w:r>
          </w:p>
        </w:tc>
      </w:tr>
    </w:tbl>
    <w:p w14:paraId="282F7C39" w14:textId="77777777" w:rsidR="002D3CA7" w:rsidRPr="00C56257" w:rsidRDefault="002D3CA7" w:rsidP="008E33FD">
      <w:pPr>
        <w:widowControl w:val="0"/>
        <w:autoSpaceDE w:val="0"/>
        <w:autoSpaceDN w:val="0"/>
        <w:adjustRightInd w:val="0"/>
        <w:jc w:val="both"/>
        <w:rPr>
          <w:iCs/>
          <w:color w:val="000000" w:themeColor="text1"/>
        </w:rPr>
      </w:pPr>
    </w:p>
    <w:p w14:paraId="40BD5BCB" w14:textId="77777777" w:rsidR="00CB4434" w:rsidRPr="00C56257" w:rsidRDefault="00CB4434" w:rsidP="008E33FD">
      <w:pPr>
        <w:widowControl w:val="0"/>
        <w:autoSpaceDE w:val="0"/>
        <w:autoSpaceDN w:val="0"/>
        <w:adjustRightInd w:val="0"/>
        <w:jc w:val="both"/>
        <w:rPr>
          <w:iCs/>
          <w:color w:val="000000" w:themeColor="text1"/>
        </w:rPr>
      </w:pPr>
    </w:p>
    <w:p w14:paraId="3B77405B" w14:textId="77777777" w:rsidR="002D3CA7" w:rsidRDefault="00DD3620" w:rsidP="008E33FD">
      <w:pPr>
        <w:tabs>
          <w:tab w:val="num" w:pos="360"/>
        </w:tabs>
        <w:spacing w:before="240"/>
        <w:ind w:left="360" w:hanging="360"/>
        <w:jc w:val="both"/>
        <w:rPr>
          <w:b/>
          <w:color w:val="000000" w:themeColor="text1"/>
        </w:rPr>
      </w:pPr>
      <w:r>
        <w:rPr>
          <w:b/>
          <w:color w:val="000000" w:themeColor="text1"/>
        </w:rPr>
        <w:t>5.3</w:t>
      </w:r>
      <w:r w:rsidR="002D3CA7" w:rsidRPr="00C56257">
        <w:rPr>
          <w:b/>
          <w:color w:val="000000" w:themeColor="text1"/>
        </w:rPr>
        <w:t>. Lista cu Suprafețele de Importanță Comunitară pentru fiecare habitat de tufărișuri de interes comunitar</w:t>
      </w:r>
    </w:p>
    <w:p w14:paraId="68ECB314" w14:textId="77777777" w:rsidR="00C0128D" w:rsidRPr="00C0128D" w:rsidRDefault="00C0128D" w:rsidP="00C0128D">
      <w:pPr>
        <w:tabs>
          <w:tab w:val="num" w:pos="360"/>
        </w:tabs>
        <w:spacing w:before="240"/>
        <w:ind w:left="360" w:hanging="360"/>
        <w:jc w:val="both"/>
        <w:rPr>
          <w:b/>
          <w:bCs/>
          <w:color w:val="000000" w:themeColor="text1"/>
        </w:rPr>
      </w:pPr>
      <w:r>
        <w:rPr>
          <w:b/>
          <w:color w:val="000000" w:themeColor="text1"/>
        </w:rPr>
        <w:t xml:space="preserve">   (Notă:</w:t>
      </w:r>
      <w:r w:rsidRPr="00C0128D">
        <w:rPr>
          <w:rFonts w:eastAsia="Calibri"/>
          <w:b/>
          <w:bCs/>
        </w:rPr>
        <w:t xml:space="preserve"> </w:t>
      </w:r>
      <w:r w:rsidRPr="00C0128D">
        <w:rPr>
          <w:b/>
          <w:bCs/>
          <w:color w:val="000000" w:themeColor="text1"/>
        </w:rPr>
        <w:t>Cu * sunt notate SCI-urile în care au fost amplasate suprafețe de monitorizare</w:t>
      </w:r>
      <w:r>
        <w:rPr>
          <w:b/>
          <w:bCs/>
          <w:color w:val="000000" w:themeColor="text1"/>
        </w:rPr>
        <w:t>)</w:t>
      </w:r>
    </w:p>
    <w:p w14:paraId="5B9F062B" w14:textId="77777777" w:rsidR="00D91F9B" w:rsidRDefault="00D91F9B" w:rsidP="00D91F9B">
      <w:pPr>
        <w:widowControl w:val="0"/>
        <w:autoSpaceDE w:val="0"/>
        <w:autoSpaceDN w:val="0"/>
        <w:adjustRightInd w:val="0"/>
        <w:spacing w:before="240" w:after="200" w:line="276" w:lineRule="auto"/>
        <w:ind w:left="720"/>
        <w:contextualSpacing/>
        <w:jc w:val="both"/>
        <w:rPr>
          <w:b/>
          <w:color w:val="000000" w:themeColor="text1"/>
        </w:rPr>
      </w:pPr>
    </w:p>
    <w:p w14:paraId="7EBC7BC8" w14:textId="77777777" w:rsidR="002D3CA7" w:rsidRPr="00C56257" w:rsidRDefault="002D3CA7" w:rsidP="00750F59">
      <w:pPr>
        <w:widowControl w:val="0"/>
        <w:numPr>
          <w:ilvl w:val="0"/>
          <w:numId w:val="23"/>
        </w:numPr>
        <w:tabs>
          <w:tab w:val="num" w:pos="360"/>
        </w:tabs>
        <w:autoSpaceDE w:val="0"/>
        <w:autoSpaceDN w:val="0"/>
        <w:adjustRightInd w:val="0"/>
        <w:spacing w:before="240" w:after="200" w:line="276" w:lineRule="auto"/>
        <w:contextualSpacing/>
        <w:jc w:val="both"/>
        <w:rPr>
          <w:b/>
          <w:color w:val="000000" w:themeColor="text1"/>
        </w:rPr>
      </w:pPr>
      <w:r w:rsidRPr="00C56257">
        <w:rPr>
          <w:b/>
          <w:color w:val="000000" w:themeColor="text1"/>
        </w:rPr>
        <w:t>4030 - Tufărişuri uscate europene</w:t>
      </w:r>
    </w:p>
    <w:p w14:paraId="1FE59188" w14:textId="77777777" w:rsidR="0052296C" w:rsidRPr="00511AA4" w:rsidRDefault="0052296C" w:rsidP="0052296C">
      <w:pPr>
        <w:widowControl w:val="0"/>
        <w:autoSpaceDE w:val="0"/>
        <w:autoSpaceDN w:val="0"/>
        <w:adjustRightInd w:val="0"/>
        <w:spacing w:before="240" w:after="200" w:line="276" w:lineRule="auto"/>
        <w:ind w:left="360" w:firstLine="66"/>
        <w:contextualSpacing/>
        <w:jc w:val="both"/>
        <w:rPr>
          <w:color w:val="000000" w:themeColor="text1"/>
          <w:lang w:eastAsia="ro-RO"/>
        </w:rPr>
      </w:pPr>
      <w:r w:rsidRPr="00511AA4">
        <w:rPr>
          <w:color w:val="000000" w:themeColor="text1"/>
          <w:lang w:eastAsia="ro-RO"/>
        </w:rPr>
        <w:t>ROSCI0002 Apuseni</w:t>
      </w:r>
    </w:p>
    <w:p w14:paraId="450CDB35" w14:textId="77777777" w:rsidR="0052296C" w:rsidRPr="00511AA4" w:rsidRDefault="0052296C" w:rsidP="0052296C">
      <w:pPr>
        <w:widowControl w:val="0"/>
        <w:autoSpaceDE w:val="0"/>
        <w:autoSpaceDN w:val="0"/>
        <w:adjustRightInd w:val="0"/>
        <w:spacing w:before="240" w:after="200" w:line="276" w:lineRule="auto"/>
        <w:ind w:left="360" w:firstLine="66"/>
        <w:contextualSpacing/>
        <w:jc w:val="both"/>
        <w:rPr>
          <w:color w:val="000000" w:themeColor="text1"/>
          <w:lang w:eastAsia="ro-RO"/>
        </w:rPr>
      </w:pPr>
      <w:r w:rsidRPr="00511AA4">
        <w:rPr>
          <w:color w:val="000000" w:themeColor="text1"/>
          <w:lang w:eastAsia="ro-RO"/>
        </w:rPr>
        <w:t>ROS</w:t>
      </w:r>
      <w:r>
        <w:rPr>
          <w:color w:val="000000" w:themeColor="text1"/>
          <w:lang w:eastAsia="ro-RO"/>
        </w:rPr>
        <w:t>AC</w:t>
      </w:r>
      <w:r w:rsidRPr="00511AA4">
        <w:rPr>
          <w:color w:val="000000" w:themeColor="text1"/>
          <w:lang w:eastAsia="ro-RO"/>
        </w:rPr>
        <w:t>0047 Creasta Nemirei</w:t>
      </w:r>
    </w:p>
    <w:p w14:paraId="19426110" w14:textId="77777777" w:rsidR="0052296C" w:rsidRPr="00511AA4" w:rsidRDefault="0052296C" w:rsidP="0052296C">
      <w:pPr>
        <w:widowControl w:val="0"/>
        <w:autoSpaceDE w:val="0"/>
        <w:autoSpaceDN w:val="0"/>
        <w:adjustRightInd w:val="0"/>
        <w:spacing w:before="240" w:after="200" w:line="276" w:lineRule="auto"/>
        <w:ind w:left="360" w:firstLine="66"/>
        <w:contextualSpacing/>
        <w:jc w:val="both"/>
        <w:rPr>
          <w:color w:val="000000" w:themeColor="text1"/>
          <w:lang w:eastAsia="ro-RO"/>
        </w:rPr>
      </w:pPr>
      <w:r w:rsidRPr="00511AA4">
        <w:rPr>
          <w:color w:val="000000" w:themeColor="text1"/>
          <w:lang w:eastAsia="ro-RO"/>
        </w:rPr>
        <w:t>ROSCI0089 Gutâi - Creasta Cocoșului</w:t>
      </w:r>
      <w:r>
        <w:rPr>
          <w:color w:val="000000" w:themeColor="text1"/>
          <w:lang w:eastAsia="ro-RO"/>
        </w:rPr>
        <w:t>*</w:t>
      </w:r>
    </w:p>
    <w:p w14:paraId="2292705E" w14:textId="77777777" w:rsidR="0052296C" w:rsidRPr="00511AA4" w:rsidRDefault="0052296C" w:rsidP="0052296C">
      <w:pPr>
        <w:widowControl w:val="0"/>
        <w:autoSpaceDE w:val="0"/>
        <w:autoSpaceDN w:val="0"/>
        <w:adjustRightInd w:val="0"/>
        <w:spacing w:before="240" w:after="200" w:line="276" w:lineRule="auto"/>
        <w:ind w:left="360" w:firstLine="66"/>
        <w:contextualSpacing/>
        <w:jc w:val="both"/>
        <w:rPr>
          <w:color w:val="000000" w:themeColor="text1"/>
          <w:lang w:eastAsia="ro-RO"/>
        </w:rPr>
      </w:pPr>
      <w:r w:rsidRPr="00511AA4">
        <w:rPr>
          <w:color w:val="000000" w:themeColor="text1"/>
          <w:lang w:eastAsia="ro-RO"/>
        </w:rPr>
        <w:t>RO</w:t>
      </w:r>
      <w:r>
        <w:rPr>
          <w:color w:val="000000" w:themeColor="text1"/>
          <w:lang w:eastAsia="ro-RO"/>
        </w:rPr>
        <w:t>SAC</w:t>
      </w:r>
      <w:r w:rsidRPr="00511AA4">
        <w:rPr>
          <w:color w:val="000000" w:themeColor="text1"/>
          <w:lang w:eastAsia="ro-RO"/>
        </w:rPr>
        <w:t>0124 Munții Maramureșului</w:t>
      </w:r>
      <w:r>
        <w:rPr>
          <w:color w:val="000000" w:themeColor="text1"/>
          <w:lang w:eastAsia="ro-RO"/>
        </w:rPr>
        <w:t>*</w:t>
      </w:r>
    </w:p>
    <w:p w14:paraId="66ED798C" w14:textId="77777777" w:rsidR="0052296C" w:rsidRPr="00511AA4" w:rsidRDefault="0052296C" w:rsidP="0052296C">
      <w:pPr>
        <w:widowControl w:val="0"/>
        <w:autoSpaceDE w:val="0"/>
        <w:autoSpaceDN w:val="0"/>
        <w:adjustRightInd w:val="0"/>
        <w:spacing w:before="240" w:after="200" w:line="276" w:lineRule="auto"/>
        <w:ind w:left="360" w:firstLine="66"/>
        <w:contextualSpacing/>
        <w:jc w:val="both"/>
        <w:rPr>
          <w:color w:val="000000" w:themeColor="text1"/>
          <w:lang w:eastAsia="ro-RO"/>
        </w:rPr>
      </w:pPr>
      <w:r w:rsidRPr="00511AA4">
        <w:rPr>
          <w:color w:val="000000" w:themeColor="text1"/>
          <w:lang w:eastAsia="ro-RO"/>
        </w:rPr>
        <w:t>ROS</w:t>
      </w:r>
      <w:r>
        <w:rPr>
          <w:color w:val="000000" w:themeColor="text1"/>
          <w:lang w:eastAsia="ro-RO"/>
        </w:rPr>
        <w:t>AC</w:t>
      </w:r>
      <w:r w:rsidRPr="00511AA4">
        <w:rPr>
          <w:color w:val="000000" w:themeColor="text1"/>
          <w:lang w:eastAsia="ro-RO"/>
        </w:rPr>
        <w:t>0208 Putna – Vrancea</w:t>
      </w:r>
      <w:r>
        <w:rPr>
          <w:color w:val="000000" w:themeColor="text1"/>
          <w:lang w:eastAsia="ro-RO"/>
        </w:rPr>
        <w:t>*</w:t>
      </w:r>
    </w:p>
    <w:p w14:paraId="3F5CE0ED" w14:textId="77777777" w:rsidR="0052296C" w:rsidRDefault="0052296C" w:rsidP="0052296C">
      <w:pPr>
        <w:widowControl w:val="0"/>
        <w:autoSpaceDE w:val="0"/>
        <w:autoSpaceDN w:val="0"/>
        <w:adjustRightInd w:val="0"/>
        <w:ind w:firstLine="426"/>
        <w:contextualSpacing/>
        <w:jc w:val="both"/>
        <w:rPr>
          <w:color w:val="000000" w:themeColor="text1"/>
          <w:lang w:eastAsia="ro-RO"/>
        </w:rPr>
      </w:pPr>
      <w:r w:rsidRPr="00511AA4">
        <w:rPr>
          <w:color w:val="000000" w:themeColor="text1"/>
          <w:lang w:eastAsia="ro-RO"/>
        </w:rPr>
        <w:t>ROS</w:t>
      </w:r>
      <w:r>
        <w:rPr>
          <w:color w:val="000000" w:themeColor="text1"/>
          <w:lang w:eastAsia="ro-RO"/>
        </w:rPr>
        <w:t>AC0</w:t>
      </w:r>
      <w:r w:rsidRPr="00511AA4">
        <w:rPr>
          <w:color w:val="000000" w:themeColor="text1"/>
          <w:lang w:eastAsia="ro-RO"/>
        </w:rPr>
        <w:t xml:space="preserve">212 Rarău </w:t>
      </w:r>
      <w:r>
        <w:rPr>
          <w:color w:val="000000" w:themeColor="text1"/>
          <w:lang w:eastAsia="ro-RO"/>
        </w:rPr>
        <w:t>–</w:t>
      </w:r>
      <w:r w:rsidRPr="00511AA4">
        <w:rPr>
          <w:color w:val="000000" w:themeColor="text1"/>
          <w:lang w:eastAsia="ro-RO"/>
        </w:rPr>
        <w:t xml:space="preserve"> Giumalău</w:t>
      </w:r>
    </w:p>
    <w:p w14:paraId="692DC19B" w14:textId="77777777" w:rsidR="0052296C" w:rsidRDefault="0052296C" w:rsidP="0052296C">
      <w:pPr>
        <w:widowControl w:val="0"/>
        <w:autoSpaceDE w:val="0"/>
        <w:autoSpaceDN w:val="0"/>
        <w:adjustRightInd w:val="0"/>
        <w:ind w:firstLine="426"/>
        <w:contextualSpacing/>
        <w:jc w:val="both"/>
        <w:rPr>
          <w:color w:val="000000" w:themeColor="text1"/>
          <w:lang w:eastAsia="ro-RO"/>
        </w:rPr>
      </w:pPr>
      <w:r w:rsidRPr="00511AA4">
        <w:rPr>
          <w:color w:val="000000" w:themeColor="text1"/>
          <w:lang w:eastAsia="ro-RO"/>
        </w:rPr>
        <w:t>ROSCI0323-Munții Ciucului</w:t>
      </w:r>
      <w:r>
        <w:rPr>
          <w:color w:val="000000" w:themeColor="text1"/>
          <w:lang w:eastAsia="ro-RO"/>
        </w:rPr>
        <w:t>*</w:t>
      </w:r>
    </w:p>
    <w:p w14:paraId="1B694B86" w14:textId="77777777" w:rsidR="002D3CA7" w:rsidRPr="00C56257" w:rsidRDefault="002D3CA7" w:rsidP="008E33FD">
      <w:pPr>
        <w:widowControl w:val="0"/>
        <w:autoSpaceDE w:val="0"/>
        <w:autoSpaceDN w:val="0"/>
        <w:adjustRightInd w:val="0"/>
        <w:ind w:left="720"/>
        <w:contextualSpacing/>
        <w:jc w:val="both"/>
        <w:rPr>
          <w:color w:val="000000" w:themeColor="text1"/>
          <w:lang w:eastAsia="ro-RO"/>
        </w:rPr>
      </w:pPr>
    </w:p>
    <w:p w14:paraId="318322F4" w14:textId="77777777" w:rsidR="002D3CA7" w:rsidRPr="00C56257" w:rsidRDefault="002D3CA7" w:rsidP="00750F59">
      <w:pPr>
        <w:widowControl w:val="0"/>
        <w:numPr>
          <w:ilvl w:val="0"/>
          <w:numId w:val="23"/>
        </w:numPr>
        <w:autoSpaceDE w:val="0"/>
        <w:autoSpaceDN w:val="0"/>
        <w:adjustRightInd w:val="0"/>
        <w:spacing w:after="200" w:line="276" w:lineRule="auto"/>
        <w:contextualSpacing/>
        <w:jc w:val="both"/>
        <w:rPr>
          <w:b/>
          <w:color w:val="000000" w:themeColor="text1"/>
          <w:lang w:eastAsia="ro-RO"/>
        </w:rPr>
      </w:pPr>
      <w:r w:rsidRPr="00C56257">
        <w:rPr>
          <w:b/>
          <w:color w:val="000000" w:themeColor="text1"/>
          <w:lang w:eastAsia="ro-RO"/>
        </w:rPr>
        <w:t>4060 - Tufărişuri alpine şi boreale</w:t>
      </w:r>
    </w:p>
    <w:p w14:paraId="0EE0CB3A"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ROSCI0002 Apuseni</w:t>
      </w:r>
    </w:p>
    <w:p w14:paraId="60E128B7"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lastRenderedPageBreak/>
        <w:t>ROSCI0013 Bucegi*</w:t>
      </w:r>
    </w:p>
    <w:p w14:paraId="38E3DA9C"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ROSAC0015 Buila-Vânturița</w:t>
      </w:r>
    </w:p>
    <w:p w14:paraId="18465C41"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ROSCI0016 Buteasa</w:t>
      </w:r>
    </w:p>
    <w:p w14:paraId="5E4DEB53"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ROSCI0019 Călimani – Gurghiu*</w:t>
      </w:r>
    </w:p>
    <w:p w14:paraId="6E49B474"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 xml:space="preserve">ROSAC0024 Ceahlău </w:t>
      </w:r>
    </w:p>
    <w:p w14:paraId="1C9CB629"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ROSAC0027 Cheile Bicazului - Hășmaș</w:t>
      </w:r>
    </w:p>
    <w:p w14:paraId="43050BA6"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ROSCI0038-Ciucaș*</w:t>
      </w:r>
    </w:p>
    <w:p w14:paraId="339CC775"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 xml:space="preserve">ROSAC0046 Cozia </w:t>
      </w:r>
    </w:p>
    <w:p w14:paraId="209C996A"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ROSAC0047 Creasta Nemirei</w:t>
      </w:r>
    </w:p>
    <w:p w14:paraId="32B63D0B"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ROSCI0051-Cușma*</w:t>
      </w:r>
    </w:p>
    <w:p w14:paraId="1450980E"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ROSCI0063 Defileul Jiului</w:t>
      </w:r>
    </w:p>
    <w:p w14:paraId="72E60861"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ROSAC0069 Domogled – Valea Cernei</w:t>
      </w:r>
    </w:p>
    <w:p w14:paraId="7DDC7363"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ROSAC0085-Frumoasa*</w:t>
      </w:r>
    </w:p>
    <w:p w14:paraId="0D438A70"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ROSCI0087 Grădiștea Muncelului - Cioclovina</w:t>
      </w:r>
    </w:p>
    <w:p w14:paraId="7322ACB2"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ROSCI0089 Gutâi – Creasta Cocoșului</w:t>
      </w:r>
    </w:p>
    <w:p w14:paraId="144829D8"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ROSAC0090 Harghita Mădăraș</w:t>
      </w:r>
    </w:p>
    <w:p w14:paraId="2F79FCA4"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ROSAC0102 Leaota</w:t>
      </w:r>
    </w:p>
    <w:p w14:paraId="75DDE9C1"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ROSAC0119-Muntele Mare*</w:t>
      </w:r>
    </w:p>
    <w:p w14:paraId="5D5D8A92"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ROSAC0122-Munții Făgăraș*</w:t>
      </w:r>
    </w:p>
    <w:p w14:paraId="6899EDCF"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ROSAC0124-Munții Maramureșului*</w:t>
      </w:r>
    </w:p>
    <w:p w14:paraId="7445182E"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ROSCI0125-Munții Rodnei*</w:t>
      </w:r>
    </w:p>
    <w:p w14:paraId="19BD91D4"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ROSCI0126-Munții Țarcu*</w:t>
      </w:r>
    </w:p>
    <w:p w14:paraId="189021E6"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ROSAC0128 Munții Gorjului de Est</w:t>
      </w:r>
    </w:p>
    <w:p w14:paraId="6C712AA7"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ROSAC0129 Munții Gorjului de Vest</w:t>
      </w:r>
    </w:p>
    <w:p w14:paraId="4C7E280D"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ROSAC0132 Oltul Mijlociu – Cibin - Hârtibaciu</w:t>
      </w:r>
    </w:p>
    <w:p w14:paraId="1ED35D68"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ROSAC0153 Pădurea Glodeasa</w:t>
      </w:r>
    </w:p>
    <w:p w14:paraId="2DB31ABA"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ROSAC0188-Parâng*</w:t>
      </w:r>
    </w:p>
    <w:p w14:paraId="4B151109"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ROSAC0190-Penteleu*</w:t>
      </w:r>
    </w:p>
    <w:p w14:paraId="023B5A58"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ROSAC0194 Piatra Craiului</w:t>
      </w:r>
    </w:p>
    <w:p w14:paraId="3A058DCD"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ROSCI0195 Piatra Mare*</w:t>
      </w:r>
    </w:p>
    <w:p w14:paraId="021DD549"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ROSAC0196 Pietrosul Broștenilor -  Cheile Zugrenilor</w:t>
      </w:r>
    </w:p>
    <w:p w14:paraId="4D8BF389"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ROSCI0207 Postăvarul</w:t>
      </w:r>
    </w:p>
    <w:p w14:paraId="0D0ABA72"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ROSAC0208-Putna – Vrancea*</w:t>
      </w:r>
    </w:p>
    <w:p w14:paraId="6F9F7291"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ROSAC0212 Rarău – Giumalău</w:t>
      </w:r>
    </w:p>
    <w:p w14:paraId="52FB05A2"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ROSCI0217-Retezat*</w:t>
      </w:r>
    </w:p>
    <w:p w14:paraId="0313F37E"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ROSCI0226 Semenic – Cheile Carașului</w:t>
      </w:r>
    </w:p>
    <w:p w14:paraId="2F70E1DF"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ROSAC0229 Siriu*</w:t>
      </w:r>
    </w:p>
    <w:p w14:paraId="1895EB3A"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ROSAC0239 Tîrnovu Mare – Latorița</w:t>
      </w:r>
    </w:p>
    <w:p w14:paraId="4A6DD7ED"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ROSCI0241 Tinovul Apa Lină – Honcsok</w:t>
      </w:r>
    </w:p>
    <w:p w14:paraId="7301805A"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ROSAC0253 Trascău</w:t>
      </w:r>
    </w:p>
    <w:p w14:paraId="1BA5F40F"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ROSAC0260-Valea Cepelor*</w:t>
      </w:r>
    </w:p>
    <w:p w14:paraId="4890A490"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ROSCI0323-Munții Ciucului*</w:t>
      </w:r>
    </w:p>
    <w:p w14:paraId="7005FC3B"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t>ROSCI0381 Râul Târgului – Argeșel – Râușor</w:t>
      </w:r>
    </w:p>
    <w:p w14:paraId="30AA4E0F" w14:textId="77777777" w:rsidR="0052296C" w:rsidRDefault="0052296C" w:rsidP="0052296C">
      <w:pPr>
        <w:widowControl w:val="0"/>
        <w:autoSpaceDE w:val="0"/>
        <w:autoSpaceDN w:val="0"/>
        <w:adjustRightInd w:val="0"/>
        <w:spacing w:after="200" w:line="276" w:lineRule="auto"/>
        <w:ind w:left="360"/>
        <w:contextualSpacing/>
        <w:jc w:val="both"/>
        <w:rPr>
          <w:lang w:eastAsia="ro-RO"/>
        </w:rPr>
      </w:pPr>
      <w:r>
        <w:rPr>
          <w:lang w:eastAsia="ro-RO"/>
        </w:rPr>
        <w:lastRenderedPageBreak/>
        <w:t xml:space="preserve">ROSAC0395 Soveja </w:t>
      </w:r>
    </w:p>
    <w:p w14:paraId="10815B36" w14:textId="77777777" w:rsidR="004145D1" w:rsidRPr="00C56257" w:rsidRDefault="004145D1" w:rsidP="008E33FD">
      <w:pPr>
        <w:spacing w:line="276" w:lineRule="auto"/>
        <w:ind w:left="426"/>
        <w:jc w:val="both"/>
        <w:rPr>
          <w:color w:val="000000" w:themeColor="text1"/>
        </w:rPr>
      </w:pPr>
    </w:p>
    <w:p w14:paraId="4D94DE37" w14:textId="77777777" w:rsidR="002D3CA7" w:rsidRPr="00C56257" w:rsidRDefault="002D3CA7" w:rsidP="00750F59">
      <w:pPr>
        <w:widowControl w:val="0"/>
        <w:numPr>
          <w:ilvl w:val="0"/>
          <w:numId w:val="23"/>
        </w:numPr>
        <w:autoSpaceDE w:val="0"/>
        <w:autoSpaceDN w:val="0"/>
        <w:adjustRightInd w:val="0"/>
        <w:spacing w:after="200" w:line="276" w:lineRule="auto"/>
        <w:contextualSpacing/>
        <w:jc w:val="both"/>
        <w:rPr>
          <w:b/>
          <w:color w:val="000000" w:themeColor="text1"/>
        </w:rPr>
      </w:pPr>
      <w:r w:rsidRPr="00C56257">
        <w:rPr>
          <w:b/>
          <w:color w:val="000000" w:themeColor="text1"/>
        </w:rPr>
        <w:t xml:space="preserve">4070* - Tufărişuri de </w:t>
      </w:r>
      <w:r w:rsidRPr="00C56257">
        <w:rPr>
          <w:b/>
          <w:i/>
          <w:color w:val="000000" w:themeColor="text1"/>
        </w:rPr>
        <w:t>Pinus mugo</w:t>
      </w:r>
      <w:r w:rsidRPr="00C56257">
        <w:rPr>
          <w:b/>
          <w:color w:val="000000" w:themeColor="text1"/>
        </w:rPr>
        <w:t xml:space="preserve"> şi </w:t>
      </w:r>
      <w:r w:rsidRPr="00C56257">
        <w:rPr>
          <w:b/>
          <w:i/>
          <w:color w:val="000000" w:themeColor="text1"/>
        </w:rPr>
        <w:t xml:space="preserve">Rhododendron myrtifolium </w:t>
      </w:r>
      <w:r w:rsidRPr="00C56257">
        <w:rPr>
          <w:b/>
          <w:color w:val="000000" w:themeColor="text1"/>
        </w:rPr>
        <w:t>(Mugo-Rhododendretum)</w:t>
      </w:r>
    </w:p>
    <w:p w14:paraId="631DB547" w14:textId="77777777" w:rsidR="0052296C" w:rsidRDefault="0052296C" w:rsidP="0052296C">
      <w:pPr>
        <w:widowControl w:val="0"/>
        <w:autoSpaceDE w:val="0"/>
        <w:autoSpaceDN w:val="0"/>
        <w:adjustRightInd w:val="0"/>
        <w:spacing w:after="200" w:line="276" w:lineRule="auto"/>
        <w:ind w:left="360"/>
        <w:contextualSpacing/>
        <w:jc w:val="both"/>
      </w:pPr>
      <w:r>
        <w:t>ROSCI0013 Bucegi*</w:t>
      </w:r>
    </w:p>
    <w:p w14:paraId="05C041B5" w14:textId="77777777" w:rsidR="0052296C" w:rsidRDefault="0052296C" w:rsidP="0052296C">
      <w:pPr>
        <w:widowControl w:val="0"/>
        <w:autoSpaceDE w:val="0"/>
        <w:autoSpaceDN w:val="0"/>
        <w:adjustRightInd w:val="0"/>
        <w:spacing w:after="200" w:line="276" w:lineRule="auto"/>
        <w:ind w:left="360"/>
        <w:contextualSpacing/>
        <w:jc w:val="both"/>
      </w:pPr>
      <w:r>
        <w:t>ROSAC0015 Buila-Vânturarița</w:t>
      </w:r>
    </w:p>
    <w:p w14:paraId="3BA57939" w14:textId="77777777" w:rsidR="0052296C" w:rsidRDefault="0052296C" w:rsidP="0052296C">
      <w:pPr>
        <w:widowControl w:val="0"/>
        <w:autoSpaceDE w:val="0"/>
        <w:autoSpaceDN w:val="0"/>
        <w:adjustRightInd w:val="0"/>
        <w:spacing w:after="200" w:line="276" w:lineRule="auto"/>
        <w:ind w:left="360"/>
        <w:contextualSpacing/>
        <w:jc w:val="both"/>
      </w:pPr>
      <w:r>
        <w:t>ROSCI0016 Buteasa</w:t>
      </w:r>
    </w:p>
    <w:p w14:paraId="56284996" w14:textId="77777777" w:rsidR="0052296C" w:rsidRDefault="0052296C" w:rsidP="0052296C">
      <w:pPr>
        <w:widowControl w:val="0"/>
        <w:autoSpaceDE w:val="0"/>
        <w:autoSpaceDN w:val="0"/>
        <w:adjustRightInd w:val="0"/>
        <w:spacing w:after="200" w:line="276" w:lineRule="auto"/>
        <w:ind w:left="360"/>
        <w:contextualSpacing/>
        <w:jc w:val="both"/>
      </w:pPr>
      <w:r>
        <w:t>ROSCI0019 Călimani – Gurghiu*</w:t>
      </w:r>
    </w:p>
    <w:p w14:paraId="629BDD13" w14:textId="77777777" w:rsidR="0052296C" w:rsidRDefault="0052296C" w:rsidP="0052296C">
      <w:pPr>
        <w:widowControl w:val="0"/>
        <w:autoSpaceDE w:val="0"/>
        <w:autoSpaceDN w:val="0"/>
        <w:adjustRightInd w:val="0"/>
        <w:spacing w:after="200" w:line="276" w:lineRule="auto"/>
        <w:ind w:left="360"/>
        <w:contextualSpacing/>
        <w:jc w:val="both"/>
      </w:pPr>
      <w:r>
        <w:t>ROSAC0024 Ceahlău</w:t>
      </w:r>
    </w:p>
    <w:p w14:paraId="107D1D16" w14:textId="77777777" w:rsidR="0052296C" w:rsidRDefault="0052296C" w:rsidP="0052296C">
      <w:pPr>
        <w:widowControl w:val="0"/>
        <w:autoSpaceDE w:val="0"/>
        <w:autoSpaceDN w:val="0"/>
        <w:adjustRightInd w:val="0"/>
        <w:spacing w:after="200" w:line="276" w:lineRule="auto"/>
        <w:ind w:left="360"/>
        <w:contextualSpacing/>
        <w:jc w:val="both"/>
      </w:pPr>
      <w:r>
        <w:t>ROSCI0038 Ciucaș</w:t>
      </w:r>
    </w:p>
    <w:p w14:paraId="2AD1A026" w14:textId="77777777" w:rsidR="0052296C" w:rsidRDefault="0052296C" w:rsidP="0052296C">
      <w:pPr>
        <w:widowControl w:val="0"/>
        <w:autoSpaceDE w:val="0"/>
        <w:autoSpaceDN w:val="0"/>
        <w:adjustRightInd w:val="0"/>
        <w:spacing w:after="200" w:line="276" w:lineRule="auto"/>
        <w:ind w:left="360"/>
        <w:contextualSpacing/>
        <w:jc w:val="both"/>
      </w:pPr>
      <w:r>
        <w:t>ROSAC0047 Creasta Nemirei</w:t>
      </w:r>
    </w:p>
    <w:p w14:paraId="46F98C66" w14:textId="77777777" w:rsidR="0052296C" w:rsidRDefault="0052296C" w:rsidP="0052296C">
      <w:pPr>
        <w:widowControl w:val="0"/>
        <w:autoSpaceDE w:val="0"/>
        <w:autoSpaceDN w:val="0"/>
        <w:adjustRightInd w:val="0"/>
        <w:spacing w:after="200" w:line="276" w:lineRule="auto"/>
        <w:ind w:left="360"/>
        <w:contextualSpacing/>
        <w:jc w:val="both"/>
      </w:pPr>
      <w:r>
        <w:t>ROSCI0051 Cușma</w:t>
      </w:r>
    </w:p>
    <w:p w14:paraId="6E8C008A" w14:textId="77777777" w:rsidR="0052296C" w:rsidRDefault="0052296C" w:rsidP="0052296C">
      <w:pPr>
        <w:widowControl w:val="0"/>
        <w:autoSpaceDE w:val="0"/>
        <w:autoSpaceDN w:val="0"/>
        <w:adjustRightInd w:val="0"/>
        <w:spacing w:after="200" w:line="276" w:lineRule="auto"/>
        <w:ind w:left="360"/>
        <w:contextualSpacing/>
        <w:jc w:val="both"/>
      </w:pPr>
      <w:r>
        <w:t>ROSAC0069 Domogled Valea Cernei</w:t>
      </w:r>
    </w:p>
    <w:p w14:paraId="0BFDA606" w14:textId="77777777" w:rsidR="0052296C" w:rsidRDefault="0052296C" w:rsidP="0052296C">
      <w:pPr>
        <w:widowControl w:val="0"/>
        <w:autoSpaceDE w:val="0"/>
        <w:autoSpaceDN w:val="0"/>
        <w:adjustRightInd w:val="0"/>
        <w:spacing w:after="200" w:line="276" w:lineRule="auto"/>
        <w:ind w:left="360"/>
        <w:contextualSpacing/>
        <w:jc w:val="both"/>
      </w:pPr>
      <w:r>
        <w:t>ROSAC0085 Frumoasa*</w:t>
      </w:r>
    </w:p>
    <w:p w14:paraId="1CD6D946" w14:textId="77777777" w:rsidR="0052296C" w:rsidRDefault="0052296C" w:rsidP="0052296C">
      <w:pPr>
        <w:widowControl w:val="0"/>
        <w:autoSpaceDE w:val="0"/>
        <w:autoSpaceDN w:val="0"/>
        <w:adjustRightInd w:val="0"/>
        <w:spacing w:after="200" w:line="276" w:lineRule="auto"/>
        <w:ind w:left="360"/>
        <w:contextualSpacing/>
        <w:jc w:val="both"/>
      </w:pPr>
      <w:r>
        <w:t>ROSAC0122 Munții Făgăraș*</w:t>
      </w:r>
    </w:p>
    <w:p w14:paraId="795A0288" w14:textId="77777777" w:rsidR="0052296C" w:rsidRDefault="0052296C" w:rsidP="0052296C">
      <w:pPr>
        <w:widowControl w:val="0"/>
        <w:autoSpaceDE w:val="0"/>
        <w:autoSpaceDN w:val="0"/>
        <w:adjustRightInd w:val="0"/>
        <w:spacing w:after="200" w:line="276" w:lineRule="auto"/>
        <w:ind w:left="360"/>
        <w:contextualSpacing/>
        <w:jc w:val="both"/>
      </w:pPr>
      <w:r>
        <w:t>ROSAC0124 Munții Maramureșului</w:t>
      </w:r>
    </w:p>
    <w:p w14:paraId="0D200CC7" w14:textId="77777777" w:rsidR="0052296C" w:rsidRDefault="0052296C" w:rsidP="0052296C">
      <w:pPr>
        <w:widowControl w:val="0"/>
        <w:autoSpaceDE w:val="0"/>
        <w:autoSpaceDN w:val="0"/>
        <w:adjustRightInd w:val="0"/>
        <w:spacing w:after="200" w:line="276" w:lineRule="auto"/>
        <w:ind w:left="360"/>
        <w:contextualSpacing/>
        <w:jc w:val="both"/>
      </w:pPr>
      <w:r>
        <w:t>ROSCI0125 Munții Rodnei*</w:t>
      </w:r>
    </w:p>
    <w:p w14:paraId="2196DB07" w14:textId="77777777" w:rsidR="0052296C" w:rsidRDefault="0052296C" w:rsidP="0052296C">
      <w:pPr>
        <w:widowControl w:val="0"/>
        <w:autoSpaceDE w:val="0"/>
        <w:autoSpaceDN w:val="0"/>
        <w:adjustRightInd w:val="0"/>
        <w:spacing w:after="200" w:line="276" w:lineRule="auto"/>
        <w:ind w:left="360"/>
        <w:contextualSpacing/>
        <w:jc w:val="both"/>
      </w:pPr>
      <w:r>
        <w:t>ROSCI0126 Munții Țarcu</w:t>
      </w:r>
    </w:p>
    <w:p w14:paraId="335D5FE1" w14:textId="77777777" w:rsidR="0052296C" w:rsidRDefault="0052296C" w:rsidP="0052296C">
      <w:pPr>
        <w:widowControl w:val="0"/>
        <w:autoSpaceDE w:val="0"/>
        <w:autoSpaceDN w:val="0"/>
        <w:adjustRightInd w:val="0"/>
        <w:spacing w:after="200" w:line="276" w:lineRule="auto"/>
        <w:ind w:left="360"/>
        <w:contextualSpacing/>
        <w:jc w:val="both"/>
      </w:pPr>
      <w:r>
        <w:t>ROSAC0128 Munții Gorjului de Est</w:t>
      </w:r>
    </w:p>
    <w:p w14:paraId="20340764" w14:textId="77777777" w:rsidR="0052296C" w:rsidRDefault="0052296C" w:rsidP="0052296C">
      <w:pPr>
        <w:widowControl w:val="0"/>
        <w:autoSpaceDE w:val="0"/>
        <w:autoSpaceDN w:val="0"/>
        <w:adjustRightInd w:val="0"/>
        <w:spacing w:after="200" w:line="276" w:lineRule="auto"/>
        <w:ind w:left="360"/>
        <w:contextualSpacing/>
        <w:jc w:val="both"/>
      </w:pPr>
      <w:r>
        <w:t>ROSAC0129 Munții Gorjului de Vest</w:t>
      </w:r>
    </w:p>
    <w:p w14:paraId="070C5A34" w14:textId="77777777" w:rsidR="0052296C" w:rsidRDefault="0052296C" w:rsidP="0052296C">
      <w:pPr>
        <w:widowControl w:val="0"/>
        <w:autoSpaceDE w:val="0"/>
        <w:autoSpaceDN w:val="0"/>
        <w:adjustRightInd w:val="0"/>
        <w:spacing w:after="200" w:line="276" w:lineRule="auto"/>
        <w:ind w:left="360"/>
        <w:contextualSpacing/>
        <w:jc w:val="both"/>
      </w:pPr>
      <w:r>
        <w:t>ROSAC0188 Parâng*</w:t>
      </w:r>
    </w:p>
    <w:p w14:paraId="7FED2C51" w14:textId="77777777" w:rsidR="0052296C" w:rsidRDefault="0052296C" w:rsidP="0052296C">
      <w:pPr>
        <w:widowControl w:val="0"/>
        <w:autoSpaceDE w:val="0"/>
        <w:autoSpaceDN w:val="0"/>
        <w:adjustRightInd w:val="0"/>
        <w:spacing w:after="200" w:line="276" w:lineRule="auto"/>
        <w:ind w:left="360"/>
        <w:contextualSpacing/>
        <w:jc w:val="both"/>
      </w:pPr>
      <w:r>
        <w:t>ROSAC0194 Piatra Craiului</w:t>
      </w:r>
    </w:p>
    <w:p w14:paraId="48CA1ECE" w14:textId="77777777" w:rsidR="0052296C" w:rsidRDefault="0052296C" w:rsidP="0052296C">
      <w:pPr>
        <w:widowControl w:val="0"/>
        <w:autoSpaceDE w:val="0"/>
        <w:autoSpaceDN w:val="0"/>
        <w:adjustRightInd w:val="0"/>
        <w:spacing w:after="200" w:line="276" w:lineRule="auto"/>
        <w:ind w:left="360"/>
        <w:contextualSpacing/>
        <w:jc w:val="both"/>
      </w:pPr>
      <w:r>
        <w:t>ROSAC0208 Putna – Vrancea</w:t>
      </w:r>
    </w:p>
    <w:p w14:paraId="0D0C9696" w14:textId="77777777" w:rsidR="0052296C" w:rsidRDefault="0052296C" w:rsidP="0052296C">
      <w:pPr>
        <w:widowControl w:val="0"/>
        <w:autoSpaceDE w:val="0"/>
        <w:autoSpaceDN w:val="0"/>
        <w:adjustRightInd w:val="0"/>
        <w:spacing w:after="200" w:line="276" w:lineRule="auto"/>
        <w:ind w:left="360"/>
        <w:contextualSpacing/>
        <w:jc w:val="both"/>
      </w:pPr>
      <w:r>
        <w:t xml:space="preserve">ROSAC0260 Valea Cepelor </w:t>
      </w:r>
    </w:p>
    <w:p w14:paraId="36F9B27D" w14:textId="77777777" w:rsidR="0052296C" w:rsidRDefault="0052296C" w:rsidP="0052296C">
      <w:pPr>
        <w:widowControl w:val="0"/>
        <w:autoSpaceDE w:val="0"/>
        <w:autoSpaceDN w:val="0"/>
        <w:adjustRightInd w:val="0"/>
        <w:spacing w:after="200" w:line="276" w:lineRule="auto"/>
        <w:ind w:left="360"/>
        <w:contextualSpacing/>
        <w:jc w:val="both"/>
      </w:pPr>
      <w:r>
        <w:t>ROSCI0292 Coridorul Rusca Montană – Țarcu - Retezat</w:t>
      </w:r>
    </w:p>
    <w:p w14:paraId="24412F84" w14:textId="77777777" w:rsidR="0052296C" w:rsidRDefault="0052296C" w:rsidP="0052296C">
      <w:pPr>
        <w:widowControl w:val="0"/>
        <w:autoSpaceDE w:val="0"/>
        <w:autoSpaceDN w:val="0"/>
        <w:adjustRightInd w:val="0"/>
        <w:spacing w:after="200" w:line="276" w:lineRule="auto"/>
        <w:ind w:left="360"/>
        <w:contextualSpacing/>
        <w:jc w:val="both"/>
      </w:pPr>
      <w:r>
        <w:t>ROSCI0324 Munții Bihor</w:t>
      </w:r>
    </w:p>
    <w:p w14:paraId="73C8A714" w14:textId="77777777" w:rsidR="0052296C" w:rsidRDefault="0052296C" w:rsidP="0052296C">
      <w:pPr>
        <w:widowControl w:val="0"/>
        <w:autoSpaceDE w:val="0"/>
        <w:autoSpaceDN w:val="0"/>
        <w:adjustRightInd w:val="0"/>
        <w:spacing w:after="200" w:line="276" w:lineRule="auto"/>
        <w:ind w:left="360"/>
        <w:contextualSpacing/>
        <w:jc w:val="both"/>
      </w:pPr>
      <w:r>
        <w:t>ROSCI0381 Râul Târgului – Argeșel – Râușor</w:t>
      </w:r>
    </w:p>
    <w:p w14:paraId="73BE9915" w14:textId="77777777" w:rsidR="002D3CA7" w:rsidRPr="00C56257" w:rsidRDefault="002D3CA7" w:rsidP="008E33FD">
      <w:pPr>
        <w:widowControl w:val="0"/>
        <w:autoSpaceDE w:val="0"/>
        <w:autoSpaceDN w:val="0"/>
        <w:adjustRightInd w:val="0"/>
        <w:ind w:left="426"/>
        <w:contextualSpacing/>
        <w:jc w:val="both"/>
        <w:rPr>
          <w:color w:val="000000" w:themeColor="text1"/>
        </w:rPr>
      </w:pPr>
    </w:p>
    <w:p w14:paraId="7203AD57" w14:textId="77777777" w:rsidR="002D3CA7" w:rsidRPr="00C56257" w:rsidRDefault="002D3CA7" w:rsidP="00750F59">
      <w:pPr>
        <w:widowControl w:val="0"/>
        <w:numPr>
          <w:ilvl w:val="0"/>
          <w:numId w:val="23"/>
        </w:numPr>
        <w:autoSpaceDE w:val="0"/>
        <w:autoSpaceDN w:val="0"/>
        <w:adjustRightInd w:val="0"/>
        <w:spacing w:after="200" w:line="276" w:lineRule="auto"/>
        <w:contextualSpacing/>
        <w:jc w:val="both"/>
        <w:rPr>
          <w:b/>
          <w:color w:val="000000" w:themeColor="text1"/>
        </w:rPr>
      </w:pPr>
      <w:r w:rsidRPr="00C56257">
        <w:rPr>
          <w:b/>
          <w:color w:val="000000" w:themeColor="text1"/>
        </w:rPr>
        <w:t xml:space="preserve">4080 - Tufărişuri subarctice de </w:t>
      </w:r>
      <w:r w:rsidRPr="00C56257">
        <w:rPr>
          <w:b/>
          <w:i/>
          <w:color w:val="000000" w:themeColor="text1"/>
        </w:rPr>
        <w:t>Salix</w:t>
      </w:r>
      <w:r w:rsidRPr="00C56257">
        <w:rPr>
          <w:b/>
          <w:color w:val="000000" w:themeColor="text1"/>
        </w:rPr>
        <w:t xml:space="preserve"> spp.</w:t>
      </w:r>
    </w:p>
    <w:p w14:paraId="121DE668" w14:textId="77777777" w:rsidR="0052296C" w:rsidRDefault="0052296C" w:rsidP="0052296C">
      <w:pPr>
        <w:widowControl w:val="0"/>
        <w:autoSpaceDE w:val="0"/>
        <w:autoSpaceDN w:val="0"/>
        <w:adjustRightInd w:val="0"/>
        <w:ind w:left="426"/>
        <w:contextualSpacing/>
      </w:pPr>
      <w:r w:rsidRPr="00176903">
        <w:t>ROSCI0013</w:t>
      </w:r>
      <w:r>
        <w:t xml:space="preserve"> </w:t>
      </w:r>
      <w:r w:rsidRPr="00176903">
        <w:t>Bucegi</w:t>
      </w:r>
      <w:r>
        <w:t>*</w:t>
      </w:r>
    </w:p>
    <w:p w14:paraId="201CEABE" w14:textId="77777777" w:rsidR="0052296C" w:rsidRDefault="0052296C" w:rsidP="0052296C">
      <w:pPr>
        <w:widowControl w:val="0"/>
        <w:autoSpaceDE w:val="0"/>
        <w:autoSpaceDN w:val="0"/>
        <w:adjustRightInd w:val="0"/>
        <w:ind w:left="426"/>
        <w:contextualSpacing/>
      </w:pPr>
      <w:r>
        <w:t>ROSAC0024 Ceahlău</w:t>
      </w:r>
    </w:p>
    <w:p w14:paraId="10662F07" w14:textId="77777777" w:rsidR="0052296C" w:rsidRPr="00176903" w:rsidRDefault="0052296C" w:rsidP="0052296C">
      <w:pPr>
        <w:widowControl w:val="0"/>
        <w:autoSpaceDE w:val="0"/>
        <w:autoSpaceDN w:val="0"/>
        <w:adjustRightInd w:val="0"/>
        <w:ind w:left="426"/>
        <w:contextualSpacing/>
      </w:pPr>
      <w:r>
        <w:t>ROSAC0069 Domogled-Valea Cernei</w:t>
      </w:r>
    </w:p>
    <w:p w14:paraId="3B26D544" w14:textId="77777777" w:rsidR="0052296C" w:rsidRPr="00176903" w:rsidRDefault="0052296C" w:rsidP="0052296C">
      <w:pPr>
        <w:widowControl w:val="0"/>
        <w:autoSpaceDE w:val="0"/>
        <w:autoSpaceDN w:val="0"/>
        <w:adjustRightInd w:val="0"/>
        <w:ind w:left="426"/>
        <w:contextualSpacing/>
      </w:pPr>
      <w:r w:rsidRPr="00176903">
        <w:t>ROS</w:t>
      </w:r>
      <w:r>
        <w:t>AC</w:t>
      </w:r>
      <w:r w:rsidRPr="00176903">
        <w:t>0085</w:t>
      </w:r>
      <w:r>
        <w:t xml:space="preserve"> </w:t>
      </w:r>
      <w:r w:rsidRPr="00176903">
        <w:t>Frumoasa</w:t>
      </w:r>
      <w:r>
        <w:t>*</w:t>
      </w:r>
    </w:p>
    <w:p w14:paraId="5BD0749B" w14:textId="77777777" w:rsidR="0052296C" w:rsidRDefault="0052296C" w:rsidP="0052296C">
      <w:pPr>
        <w:widowControl w:val="0"/>
        <w:autoSpaceDE w:val="0"/>
        <w:autoSpaceDN w:val="0"/>
        <w:adjustRightInd w:val="0"/>
        <w:ind w:left="426"/>
        <w:contextualSpacing/>
      </w:pPr>
      <w:r w:rsidRPr="00176903">
        <w:t>ROS</w:t>
      </w:r>
      <w:r>
        <w:t>AC</w:t>
      </w:r>
      <w:r w:rsidRPr="00176903">
        <w:t>0122</w:t>
      </w:r>
      <w:r>
        <w:t xml:space="preserve"> </w:t>
      </w:r>
      <w:r w:rsidRPr="00176903">
        <w:t>Munții Făgăraș</w:t>
      </w:r>
      <w:r>
        <w:t>*</w:t>
      </w:r>
    </w:p>
    <w:p w14:paraId="67165584" w14:textId="77777777" w:rsidR="0052296C" w:rsidRPr="00176903" w:rsidRDefault="0052296C" w:rsidP="0052296C">
      <w:pPr>
        <w:widowControl w:val="0"/>
        <w:autoSpaceDE w:val="0"/>
        <w:autoSpaceDN w:val="0"/>
        <w:adjustRightInd w:val="0"/>
        <w:ind w:left="426"/>
        <w:contextualSpacing/>
      </w:pPr>
      <w:r>
        <w:t>ROSAC0124 Munții Maramureșului</w:t>
      </w:r>
    </w:p>
    <w:p w14:paraId="5EDBA8C7" w14:textId="77777777" w:rsidR="0052296C" w:rsidRDefault="0052296C" w:rsidP="0052296C">
      <w:pPr>
        <w:widowControl w:val="0"/>
        <w:autoSpaceDE w:val="0"/>
        <w:autoSpaceDN w:val="0"/>
        <w:adjustRightInd w:val="0"/>
        <w:ind w:left="426"/>
        <w:contextualSpacing/>
      </w:pPr>
      <w:r w:rsidRPr="00176903">
        <w:t>ROSCI0125</w:t>
      </w:r>
      <w:r>
        <w:t xml:space="preserve"> </w:t>
      </w:r>
      <w:r w:rsidRPr="00176903">
        <w:t>Munții Rodnei</w:t>
      </w:r>
      <w:r>
        <w:t>*</w:t>
      </w:r>
    </w:p>
    <w:p w14:paraId="2BE6D5DA" w14:textId="77777777" w:rsidR="0052296C" w:rsidRDefault="0052296C" w:rsidP="0052296C">
      <w:pPr>
        <w:widowControl w:val="0"/>
        <w:autoSpaceDE w:val="0"/>
        <w:autoSpaceDN w:val="0"/>
        <w:adjustRightInd w:val="0"/>
        <w:ind w:left="426"/>
        <w:contextualSpacing/>
      </w:pPr>
      <w:r>
        <w:t>ROSCI0126 Muntii Țarcu</w:t>
      </w:r>
    </w:p>
    <w:p w14:paraId="51A6D3D3" w14:textId="77777777" w:rsidR="0052296C" w:rsidRDefault="0052296C" w:rsidP="0052296C">
      <w:pPr>
        <w:widowControl w:val="0"/>
        <w:autoSpaceDE w:val="0"/>
        <w:autoSpaceDN w:val="0"/>
        <w:adjustRightInd w:val="0"/>
        <w:ind w:left="426"/>
        <w:contextualSpacing/>
      </w:pPr>
      <w:r>
        <w:t>ROSAC0188 Parâng</w:t>
      </w:r>
    </w:p>
    <w:p w14:paraId="0819385F" w14:textId="77777777" w:rsidR="0052296C" w:rsidRPr="00176903" w:rsidRDefault="0052296C" w:rsidP="0052296C">
      <w:pPr>
        <w:widowControl w:val="0"/>
        <w:autoSpaceDE w:val="0"/>
        <w:autoSpaceDN w:val="0"/>
        <w:adjustRightInd w:val="0"/>
        <w:ind w:left="426"/>
        <w:contextualSpacing/>
      </w:pPr>
      <w:r>
        <w:t>ROSAC0194 Piatra Craiului</w:t>
      </w:r>
    </w:p>
    <w:p w14:paraId="4A944B82" w14:textId="77777777" w:rsidR="0052296C" w:rsidRPr="00176903" w:rsidRDefault="0052296C" w:rsidP="0052296C">
      <w:pPr>
        <w:widowControl w:val="0"/>
        <w:autoSpaceDE w:val="0"/>
        <w:autoSpaceDN w:val="0"/>
        <w:adjustRightInd w:val="0"/>
        <w:ind w:left="426"/>
        <w:contextualSpacing/>
      </w:pPr>
      <w:r w:rsidRPr="00176903">
        <w:t>ROSCI0195 Piatra Mare</w:t>
      </w:r>
      <w:r>
        <w:t>*</w:t>
      </w:r>
    </w:p>
    <w:p w14:paraId="3621A081" w14:textId="77777777" w:rsidR="0052296C" w:rsidRDefault="0052296C" w:rsidP="0052296C">
      <w:pPr>
        <w:widowControl w:val="0"/>
        <w:autoSpaceDE w:val="0"/>
        <w:autoSpaceDN w:val="0"/>
        <w:adjustRightInd w:val="0"/>
        <w:ind w:left="426"/>
        <w:contextualSpacing/>
      </w:pPr>
      <w:r w:rsidRPr="00176903">
        <w:t>ROSCI0207 Postăvarul</w:t>
      </w:r>
    </w:p>
    <w:p w14:paraId="43174C61" w14:textId="77777777" w:rsidR="0052296C" w:rsidRDefault="0052296C" w:rsidP="0052296C">
      <w:pPr>
        <w:widowControl w:val="0"/>
        <w:autoSpaceDE w:val="0"/>
        <w:autoSpaceDN w:val="0"/>
        <w:adjustRightInd w:val="0"/>
        <w:ind w:left="426"/>
        <w:contextualSpacing/>
      </w:pPr>
      <w:r>
        <w:t>ROSCI0455 Munții Călimani</w:t>
      </w:r>
    </w:p>
    <w:p w14:paraId="6FDA0512" w14:textId="77777777" w:rsidR="002D3CA7" w:rsidRPr="00C56257" w:rsidRDefault="002D3CA7" w:rsidP="008E33FD">
      <w:pPr>
        <w:widowControl w:val="0"/>
        <w:autoSpaceDE w:val="0"/>
        <w:autoSpaceDN w:val="0"/>
        <w:adjustRightInd w:val="0"/>
        <w:ind w:left="426"/>
        <w:contextualSpacing/>
        <w:jc w:val="both"/>
        <w:rPr>
          <w:color w:val="000000" w:themeColor="text1"/>
        </w:rPr>
      </w:pPr>
    </w:p>
    <w:p w14:paraId="1A016998" w14:textId="77777777" w:rsidR="002D3CA7" w:rsidRPr="00C56257" w:rsidRDefault="002D3CA7" w:rsidP="00750F59">
      <w:pPr>
        <w:widowControl w:val="0"/>
        <w:numPr>
          <w:ilvl w:val="0"/>
          <w:numId w:val="23"/>
        </w:numPr>
        <w:autoSpaceDE w:val="0"/>
        <w:autoSpaceDN w:val="0"/>
        <w:adjustRightInd w:val="0"/>
        <w:spacing w:after="200" w:line="276" w:lineRule="auto"/>
        <w:contextualSpacing/>
        <w:jc w:val="both"/>
        <w:rPr>
          <w:b/>
          <w:color w:val="000000" w:themeColor="text1"/>
        </w:rPr>
      </w:pPr>
      <w:r w:rsidRPr="00C56257">
        <w:rPr>
          <w:b/>
          <w:color w:val="000000" w:themeColor="text1"/>
        </w:rPr>
        <w:t>40C0* - Tufărişuri caducifoliate ponto-sarmatice</w:t>
      </w:r>
    </w:p>
    <w:p w14:paraId="433CAEFB"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0011 Braniștea Catârilor</w:t>
      </w:r>
      <w:r>
        <w:rPr>
          <w:color w:val="000000" w:themeColor="text1"/>
        </w:rPr>
        <w:t>*</w:t>
      </w:r>
    </w:p>
    <w:p w14:paraId="0A11A6F5"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0022 Canaralele Dunării</w:t>
      </w:r>
    </w:p>
    <w:p w14:paraId="623EBB53"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lastRenderedPageBreak/>
        <w:t>ROSCI0041 Coasta Rupturile Tanacu</w:t>
      </w:r>
    </w:p>
    <w:p w14:paraId="1BA55372"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ROSCI0043 Comana</w:t>
      </w:r>
    </w:p>
    <w:p w14:paraId="307EEC4B"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0057 Dealul Istrița</w:t>
      </w:r>
    </w:p>
    <w:p w14:paraId="103BD5B6"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0058 Dealul lui Dumnezeu</w:t>
      </w:r>
    </w:p>
    <w:p w14:paraId="62826023"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0059 Dealul Perchiu</w:t>
      </w:r>
    </w:p>
    <w:p w14:paraId="3EAF0152"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0060 Dealurile Agighiolului</w:t>
      </w:r>
      <w:r>
        <w:rPr>
          <w:color w:val="000000" w:themeColor="text1"/>
        </w:rPr>
        <w:t>*</w:t>
      </w:r>
    </w:p>
    <w:p w14:paraId="5AD28220"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ROSCI0065 Delta Dunării</w:t>
      </w:r>
    </w:p>
    <w:p w14:paraId="58D6EF93"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0067 Deniz Tepe</w:t>
      </w:r>
    </w:p>
    <w:p w14:paraId="48B1AE19"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0071 Dumbrăveni – Valea Urluia – Lacul Vederoasa</w:t>
      </w:r>
      <w:r>
        <w:rPr>
          <w:color w:val="000000" w:themeColor="text1"/>
        </w:rPr>
        <w:t>*</w:t>
      </w:r>
    </w:p>
    <w:p w14:paraId="6370CACC"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ROSCI0077 Fânațele Bârca</w:t>
      </w:r>
    </w:p>
    <w:p w14:paraId="7920EC84"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0082 Fânețele seculare Ponoare</w:t>
      </w:r>
    </w:p>
    <w:p w14:paraId="7F1E802E"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0083 Fântânița Murfatlar</w:t>
      </w:r>
      <w:r>
        <w:rPr>
          <w:color w:val="000000" w:themeColor="text1"/>
        </w:rPr>
        <w:t>*</w:t>
      </w:r>
    </w:p>
    <w:p w14:paraId="50286B35"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ROSCI0114 Mlaștina Hergheliei – Obanul Mare și Peștera Movilei</w:t>
      </w:r>
    </w:p>
    <w:p w14:paraId="39A5ABE4"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ROSCI0123 Munții Măcinului</w:t>
      </w:r>
    </w:p>
    <w:p w14:paraId="23C0294A"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0139 Pădurea Breana- Roșcani</w:t>
      </w:r>
    </w:p>
    <w:p w14:paraId="1DFCBF19"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ROSCI0141 Pădurea Ciornohal</w:t>
      </w:r>
    </w:p>
    <w:p w14:paraId="043BD2F0"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0149 Pădurea Esechiol – Lacul Bugeac</w:t>
      </w:r>
    </w:p>
    <w:p w14:paraId="06180527"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0151 Pădurea Gârboavele</w:t>
      </w:r>
      <w:r>
        <w:rPr>
          <w:color w:val="000000" w:themeColor="text1"/>
        </w:rPr>
        <w:t>*</w:t>
      </w:r>
    </w:p>
    <w:p w14:paraId="628A52FA"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0157 Pădurea Hagieni – Cotul Văii</w:t>
      </w:r>
    </w:p>
    <w:p w14:paraId="6F9E284B"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 xml:space="preserve">0163 Pădurea Mogoș </w:t>
      </w:r>
      <w:r>
        <w:rPr>
          <w:color w:val="000000" w:themeColor="text1"/>
        </w:rPr>
        <w:t>–</w:t>
      </w:r>
      <w:r w:rsidRPr="001679BB">
        <w:rPr>
          <w:color w:val="000000" w:themeColor="text1"/>
        </w:rPr>
        <w:t xml:space="preserve"> Mâțele</w:t>
      </w:r>
      <w:r>
        <w:rPr>
          <w:color w:val="000000" w:themeColor="text1"/>
        </w:rPr>
        <w:t>*</w:t>
      </w:r>
    </w:p>
    <w:p w14:paraId="217CBF88"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0171 Pădurea și pajiștile de la Mârzești</w:t>
      </w:r>
    </w:p>
    <w:p w14:paraId="49CC88AA"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0172 Pădurea și Valea Canaraua Fetil - Iortmac</w:t>
      </w:r>
    </w:p>
    <w:p w14:paraId="46A3CDCE"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0174 Pădurea Studinița</w:t>
      </w:r>
    </w:p>
    <w:p w14:paraId="151B2ED5"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ROSCI0177 Pădurea Topana</w:t>
      </w:r>
    </w:p>
    <w:p w14:paraId="4EE0506F"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ROSCI0179 Pădurea Troianu</w:t>
      </w:r>
    </w:p>
    <w:p w14:paraId="0E7A8EDD"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0199 Platoul Meledic</w:t>
      </w:r>
    </w:p>
    <w:p w14:paraId="0EC77447"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ROSCI0201 Podișul Nord Dobrogean</w:t>
      </w:r>
    </w:p>
    <w:p w14:paraId="14C47FEB"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0202 Silvostepa Olteniei*</w:t>
      </w:r>
    </w:p>
    <w:p w14:paraId="516C0FB8"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0215 Recifii Jurasici Cheia</w:t>
      </w:r>
      <w:r>
        <w:rPr>
          <w:color w:val="000000" w:themeColor="text1"/>
        </w:rPr>
        <w:t>*</w:t>
      </w:r>
    </w:p>
    <w:p w14:paraId="39A3EC45"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w:t>
      </w:r>
      <w:r>
        <w:rPr>
          <w:color w:val="000000" w:themeColor="text1"/>
        </w:rPr>
        <w:t>AC</w:t>
      </w:r>
      <w:r w:rsidRPr="001679BB">
        <w:rPr>
          <w:color w:val="000000" w:themeColor="text1"/>
        </w:rPr>
        <w:t>0235 Stânca Tohani</w:t>
      </w:r>
    </w:p>
    <w:p w14:paraId="60ABF885"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ROSCI0265 Valea lui David</w:t>
      </w:r>
    </w:p>
    <w:p w14:paraId="4069DDE8"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ROSCI0286 Colinele Elanului</w:t>
      </w:r>
    </w:p>
    <w:p w14:paraId="3872F415"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ROSCI0290 Coridorul Ialomiței</w:t>
      </w:r>
      <w:r>
        <w:rPr>
          <w:color w:val="000000" w:themeColor="text1"/>
        </w:rPr>
        <w:t>*</w:t>
      </w:r>
    </w:p>
    <w:p w14:paraId="2D0AAB90"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ROSCI0335 Pădurea Dobrina – Huși</w:t>
      </w:r>
    </w:p>
    <w:p w14:paraId="0D64764D"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ROSCI0340 Cuiugiuc</w:t>
      </w:r>
    </w:p>
    <w:p w14:paraId="621B2A48" w14:textId="77777777" w:rsidR="0052296C" w:rsidRPr="001679BB" w:rsidRDefault="0052296C" w:rsidP="0052296C">
      <w:pPr>
        <w:widowControl w:val="0"/>
        <w:autoSpaceDE w:val="0"/>
        <w:autoSpaceDN w:val="0"/>
        <w:adjustRightInd w:val="0"/>
        <w:spacing w:after="200" w:line="276" w:lineRule="auto"/>
        <w:ind w:left="360"/>
        <w:contextualSpacing/>
        <w:jc w:val="both"/>
        <w:rPr>
          <w:color w:val="000000" w:themeColor="text1"/>
        </w:rPr>
      </w:pPr>
      <w:r w:rsidRPr="001679BB">
        <w:rPr>
          <w:color w:val="000000" w:themeColor="text1"/>
        </w:rPr>
        <w:t>ROSCI0343 Pădurile din Silvostepa Mostiștei</w:t>
      </w:r>
    </w:p>
    <w:p w14:paraId="473202D8" w14:textId="77777777" w:rsidR="002D3CA7" w:rsidRDefault="0052296C" w:rsidP="0052296C">
      <w:pPr>
        <w:spacing w:line="276" w:lineRule="auto"/>
        <w:ind w:left="426"/>
        <w:jc w:val="both"/>
        <w:rPr>
          <w:color w:val="000000" w:themeColor="text1"/>
        </w:rPr>
      </w:pPr>
      <w:r w:rsidRPr="001679BB">
        <w:rPr>
          <w:color w:val="000000" w:themeColor="text1"/>
        </w:rPr>
        <w:t>ROS</w:t>
      </w:r>
      <w:r>
        <w:rPr>
          <w:color w:val="000000" w:themeColor="text1"/>
        </w:rPr>
        <w:t>AC</w:t>
      </w:r>
      <w:r w:rsidRPr="001679BB">
        <w:rPr>
          <w:color w:val="000000" w:themeColor="text1"/>
        </w:rPr>
        <w:t>0354 Platforma Cotmeana</w:t>
      </w:r>
    </w:p>
    <w:p w14:paraId="64A3E784" w14:textId="77777777" w:rsidR="0052296C" w:rsidRPr="00C56257" w:rsidRDefault="0052296C" w:rsidP="0052296C">
      <w:pPr>
        <w:spacing w:line="276" w:lineRule="auto"/>
        <w:ind w:left="426"/>
        <w:jc w:val="both"/>
        <w:rPr>
          <w:color w:val="000000" w:themeColor="text1"/>
        </w:rPr>
      </w:pPr>
    </w:p>
    <w:p w14:paraId="7EF5A4FE" w14:textId="77777777" w:rsidR="002D3CA7" w:rsidRPr="00C56257" w:rsidRDefault="002D3CA7" w:rsidP="00750F59">
      <w:pPr>
        <w:widowControl w:val="0"/>
        <w:numPr>
          <w:ilvl w:val="0"/>
          <w:numId w:val="23"/>
        </w:numPr>
        <w:autoSpaceDE w:val="0"/>
        <w:autoSpaceDN w:val="0"/>
        <w:adjustRightInd w:val="0"/>
        <w:spacing w:line="276" w:lineRule="auto"/>
        <w:jc w:val="both"/>
        <w:rPr>
          <w:b/>
          <w:color w:val="000000" w:themeColor="text1"/>
        </w:rPr>
      </w:pPr>
      <w:r w:rsidRPr="00C56257">
        <w:rPr>
          <w:b/>
          <w:color w:val="000000" w:themeColor="text1"/>
        </w:rPr>
        <w:t>40A0 - Tufărişuri caducifoliate ponto-sarmatice</w:t>
      </w:r>
    </w:p>
    <w:p w14:paraId="30C78FA6" w14:textId="77777777" w:rsidR="0052296C" w:rsidRDefault="0052296C" w:rsidP="0052296C">
      <w:pPr>
        <w:widowControl w:val="0"/>
        <w:autoSpaceDE w:val="0"/>
        <w:autoSpaceDN w:val="0"/>
        <w:adjustRightInd w:val="0"/>
        <w:spacing w:after="200" w:line="276" w:lineRule="auto"/>
        <w:ind w:left="360" w:firstLine="66"/>
        <w:contextualSpacing/>
      </w:pPr>
      <w:r w:rsidRPr="00176903">
        <w:t>ROSCI0</w:t>
      </w:r>
      <w:r>
        <w:t>021 Câmpia Ierului</w:t>
      </w:r>
    </w:p>
    <w:p w14:paraId="72DE9204" w14:textId="77777777" w:rsidR="0052296C" w:rsidRDefault="0052296C" w:rsidP="0052296C">
      <w:pPr>
        <w:widowControl w:val="0"/>
        <w:autoSpaceDE w:val="0"/>
        <w:autoSpaceDN w:val="0"/>
        <w:adjustRightInd w:val="0"/>
        <w:spacing w:after="200" w:line="276" w:lineRule="auto"/>
        <w:ind w:left="360" w:firstLine="66"/>
        <w:contextualSpacing/>
      </w:pPr>
      <w:r w:rsidRPr="00176903">
        <w:t>ROSCI0</w:t>
      </w:r>
      <w:r>
        <w:t>031 Cheile Nerei - Beușnița</w:t>
      </w:r>
    </w:p>
    <w:p w14:paraId="5F94A4ED"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w:t>
      </w:r>
      <w:r>
        <w:t>032 Cheile Rudăriei</w:t>
      </w:r>
    </w:p>
    <w:p w14:paraId="64881381"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w:t>
      </w:r>
      <w:r>
        <w:t>034 Cheile Turenilor</w:t>
      </w:r>
    </w:p>
    <w:p w14:paraId="53611BEC" w14:textId="77777777" w:rsidR="0052296C" w:rsidRDefault="0052296C" w:rsidP="0052296C">
      <w:pPr>
        <w:widowControl w:val="0"/>
        <w:autoSpaceDE w:val="0"/>
        <w:autoSpaceDN w:val="0"/>
        <w:adjustRightInd w:val="0"/>
        <w:spacing w:after="200" w:line="276" w:lineRule="auto"/>
        <w:ind w:left="360" w:firstLine="66"/>
        <w:contextualSpacing/>
      </w:pPr>
      <w:r w:rsidRPr="00176903">
        <w:lastRenderedPageBreak/>
        <w:t>ROS</w:t>
      </w:r>
      <w:r>
        <w:t>AC</w:t>
      </w:r>
      <w:r w:rsidRPr="00176903">
        <w:t>0</w:t>
      </w:r>
      <w:r>
        <w:t>046 Cozia</w:t>
      </w:r>
    </w:p>
    <w:p w14:paraId="4F790154"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w:t>
      </w:r>
      <w:r>
        <w:t>048 Crișul Alb</w:t>
      </w:r>
    </w:p>
    <w:p w14:paraId="7034D020" w14:textId="77777777" w:rsidR="0052296C" w:rsidRDefault="0052296C" w:rsidP="0052296C">
      <w:pPr>
        <w:widowControl w:val="0"/>
        <w:autoSpaceDE w:val="0"/>
        <w:autoSpaceDN w:val="0"/>
        <w:adjustRightInd w:val="0"/>
        <w:spacing w:after="200" w:line="276" w:lineRule="auto"/>
        <w:ind w:left="360" w:firstLine="66"/>
        <w:contextualSpacing/>
      </w:pPr>
      <w:r w:rsidRPr="00176903">
        <w:t>ROSCI0</w:t>
      </w:r>
      <w:r>
        <w:t>055 Dealul Cetății Lempeș – Mlaștina Hărman*</w:t>
      </w:r>
    </w:p>
    <w:p w14:paraId="352148F2"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w:t>
      </w:r>
      <w:r>
        <w:t>056 Dealul Ciocaș – Dealul Vițelului</w:t>
      </w:r>
    </w:p>
    <w:p w14:paraId="58F8465A"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w:t>
      </w:r>
      <w:r>
        <w:t>062 Dealul Crișului Repede – Pădurea Craiului*</w:t>
      </w:r>
    </w:p>
    <w:p w14:paraId="47AFCDC0" w14:textId="77777777" w:rsidR="0052296C" w:rsidRDefault="0052296C" w:rsidP="0052296C">
      <w:pPr>
        <w:widowControl w:val="0"/>
        <w:autoSpaceDE w:val="0"/>
        <w:autoSpaceDN w:val="0"/>
        <w:adjustRightInd w:val="0"/>
        <w:spacing w:after="200" w:line="276" w:lineRule="auto"/>
        <w:ind w:left="360" w:firstLine="66"/>
        <w:contextualSpacing/>
      </w:pPr>
      <w:r w:rsidRPr="00176903">
        <w:t>ROSCI0</w:t>
      </w:r>
      <w:r>
        <w:t>063 Defileul Jiului</w:t>
      </w:r>
    </w:p>
    <w:p w14:paraId="3E751D89"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w:t>
      </w:r>
      <w:r>
        <w:t>069 Domogled - Valea Cernei*</w:t>
      </w:r>
    </w:p>
    <w:p w14:paraId="2DFAE1FE"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w:t>
      </w:r>
      <w:r>
        <w:t>085 Frumoasa*</w:t>
      </w:r>
    </w:p>
    <w:p w14:paraId="0CBCA338" w14:textId="77777777" w:rsidR="0052296C" w:rsidRDefault="0052296C" w:rsidP="0052296C">
      <w:pPr>
        <w:widowControl w:val="0"/>
        <w:autoSpaceDE w:val="0"/>
        <w:autoSpaceDN w:val="0"/>
        <w:adjustRightInd w:val="0"/>
        <w:spacing w:after="200" w:line="276" w:lineRule="auto"/>
        <w:ind w:left="360" w:firstLine="66"/>
        <w:contextualSpacing/>
      </w:pPr>
      <w:r w:rsidRPr="00176903">
        <w:t>ROSCI0</w:t>
      </w:r>
      <w:r>
        <w:t>087 Grădiștea Muncelului – Cioclovina*</w:t>
      </w:r>
    </w:p>
    <w:p w14:paraId="3BCE5BEF" w14:textId="77777777" w:rsidR="0052296C" w:rsidRDefault="0052296C" w:rsidP="0052296C">
      <w:pPr>
        <w:widowControl w:val="0"/>
        <w:autoSpaceDE w:val="0"/>
        <w:autoSpaceDN w:val="0"/>
        <w:adjustRightInd w:val="0"/>
        <w:spacing w:after="200" w:line="276" w:lineRule="auto"/>
        <w:ind w:left="360" w:firstLine="66"/>
        <w:contextualSpacing/>
      </w:pPr>
      <w:r w:rsidRPr="00176903">
        <w:t>ROSCI0</w:t>
      </w:r>
      <w:r>
        <w:t>093 Insulele Stepice Șura Mică - Slimnic</w:t>
      </w:r>
    </w:p>
    <w:p w14:paraId="76A9A953"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w:t>
      </w:r>
      <w:r>
        <w:t>099 Lacul Știucilor – Sic – Puini - Bonțida</w:t>
      </w:r>
    </w:p>
    <w:p w14:paraId="65D1DC9F"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w:t>
      </w:r>
      <w:r>
        <w:t>108 Lunca Mureșului Inferior*</w:t>
      </w:r>
    </w:p>
    <w:p w14:paraId="3F09A930"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w:t>
      </w:r>
      <w:r>
        <w:t>120 Muntele Tâmpa*</w:t>
      </w:r>
    </w:p>
    <w:p w14:paraId="70AC5FB7"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w:t>
      </w:r>
      <w:r>
        <w:t>121 Muntele Vulcan</w:t>
      </w:r>
    </w:p>
    <w:p w14:paraId="1FE0E20C"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w:t>
      </w:r>
      <w:r>
        <w:t>147 Pădurea de stejar pufos de la Mirăslău*</w:t>
      </w:r>
    </w:p>
    <w:p w14:paraId="114CB5DD"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w:t>
      </w:r>
      <w:r>
        <w:t>187 Pajiștile lui Suciu</w:t>
      </w:r>
    </w:p>
    <w:p w14:paraId="46E9880C"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w:t>
      </w:r>
      <w:r>
        <w:t>198 Platoul Mehedinți*</w:t>
      </w:r>
    </w:p>
    <w:p w14:paraId="08150702" w14:textId="77777777" w:rsidR="0052296C" w:rsidRDefault="0052296C" w:rsidP="0052296C">
      <w:pPr>
        <w:widowControl w:val="0"/>
        <w:autoSpaceDE w:val="0"/>
        <w:autoSpaceDN w:val="0"/>
        <w:adjustRightInd w:val="0"/>
        <w:spacing w:after="200" w:line="276" w:lineRule="auto"/>
        <w:ind w:left="360" w:firstLine="66"/>
        <w:contextualSpacing/>
      </w:pPr>
      <w:r w:rsidRPr="00176903">
        <w:t>ROSCI020</w:t>
      </w:r>
      <w:r>
        <w:t>6 Porțile de Fier*</w:t>
      </w:r>
    </w:p>
    <w:p w14:paraId="29BA989E" w14:textId="77777777" w:rsidR="0052296C" w:rsidRDefault="0052296C" w:rsidP="0052296C">
      <w:pPr>
        <w:widowControl w:val="0"/>
        <w:autoSpaceDE w:val="0"/>
        <w:autoSpaceDN w:val="0"/>
        <w:adjustRightInd w:val="0"/>
        <w:spacing w:after="200" w:line="276" w:lineRule="auto"/>
        <w:ind w:left="360" w:firstLine="66"/>
        <w:contextualSpacing/>
      </w:pPr>
      <w:r w:rsidRPr="00176903">
        <w:t>ROSCI02</w:t>
      </w:r>
      <w:r>
        <w:t>11 Podișul Secașelor</w:t>
      </w:r>
    </w:p>
    <w:p w14:paraId="767DA469"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02</w:t>
      </w:r>
      <w:r>
        <w:t>14 Râul Tur</w:t>
      </w:r>
    </w:p>
    <w:p w14:paraId="4D194721"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02</w:t>
      </w:r>
      <w:r>
        <w:t>18 Dealul Mocrei – Rovina – Ineu*</w:t>
      </w:r>
    </w:p>
    <w:p w14:paraId="5DCAA7E9"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CI02</w:t>
      </w:r>
      <w:r>
        <w:t>27 Sighișoara – Târnava Mare*</w:t>
      </w:r>
    </w:p>
    <w:p w14:paraId="42987734"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02</w:t>
      </w:r>
      <w:r>
        <w:t>38 Suatu – Cojocna - Crairât</w:t>
      </w:r>
    </w:p>
    <w:p w14:paraId="6E21CC65" w14:textId="77777777" w:rsidR="0052296C" w:rsidRDefault="0052296C" w:rsidP="0052296C">
      <w:pPr>
        <w:widowControl w:val="0"/>
        <w:autoSpaceDE w:val="0"/>
        <w:autoSpaceDN w:val="0"/>
        <w:adjustRightInd w:val="0"/>
        <w:spacing w:after="200" w:line="276" w:lineRule="auto"/>
        <w:ind w:left="360" w:firstLine="66"/>
        <w:contextualSpacing/>
      </w:pPr>
      <w:r w:rsidRPr="00176903">
        <w:t>ROSCI02</w:t>
      </w:r>
      <w:r>
        <w:t>95 Dealurile Clujului de Est*</w:t>
      </w:r>
    </w:p>
    <w:p w14:paraId="21AB3BF9"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w:t>
      </w:r>
      <w:r>
        <w:t>304 Hârtibaciu Sud - Vest</w:t>
      </w:r>
    </w:p>
    <w:p w14:paraId="41288DE8"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w:t>
      </w:r>
      <w:r>
        <w:t>322 Muntele Seș*</w:t>
      </w:r>
    </w:p>
    <w:p w14:paraId="4BD8DDF0" w14:textId="77777777" w:rsidR="0052296C" w:rsidRDefault="0052296C" w:rsidP="0052296C">
      <w:pPr>
        <w:widowControl w:val="0"/>
        <w:autoSpaceDE w:val="0"/>
        <w:autoSpaceDN w:val="0"/>
        <w:adjustRightInd w:val="0"/>
        <w:spacing w:after="200" w:line="276" w:lineRule="auto"/>
        <w:ind w:left="360" w:firstLine="66"/>
        <w:contextualSpacing/>
      </w:pPr>
      <w:r w:rsidRPr="00176903">
        <w:t>ROSCI0</w:t>
      </w:r>
      <w:r>
        <w:t>331 Pajiștile Balda - Frata - Miheșu de Câmpie</w:t>
      </w:r>
    </w:p>
    <w:p w14:paraId="59C7262A" w14:textId="77777777" w:rsidR="0052296C" w:rsidRDefault="0052296C" w:rsidP="0052296C">
      <w:pPr>
        <w:widowControl w:val="0"/>
        <w:autoSpaceDE w:val="0"/>
        <w:autoSpaceDN w:val="0"/>
        <w:adjustRightInd w:val="0"/>
        <w:spacing w:after="200" w:line="276" w:lineRule="auto"/>
        <w:ind w:left="360" w:firstLine="66"/>
        <w:contextualSpacing/>
      </w:pPr>
      <w:r w:rsidRPr="00176903">
        <w:t>ROSCI0</w:t>
      </w:r>
      <w:r>
        <w:t>333 Pajiștile Sărmășel - Milaș- Urmeniș</w:t>
      </w:r>
    </w:p>
    <w:p w14:paraId="480FFB44"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w:t>
      </w:r>
      <w:r>
        <w:t>347 Pajiștea Fegernic</w:t>
      </w:r>
    </w:p>
    <w:p w14:paraId="282729A9" w14:textId="77777777" w:rsidR="0052296C" w:rsidRDefault="0052296C" w:rsidP="0052296C">
      <w:pPr>
        <w:widowControl w:val="0"/>
        <w:autoSpaceDE w:val="0"/>
        <w:autoSpaceDN w:val="0"/>
        <w:adjustRightInd w:val="0"/>
        <w:spacing w:after="200" w:line="276" w:lineRule="auto"/>
        <w:ind w:left="360" w:firstLine="66"/>
        <w:contextualSpacing/>
      </w:pPr>
      <w:r w:rsidRPr="00176903">
        <w:t>ROS</w:t>
      </w:r>
      <w:r>
        <w:t>AC</w:t>
      </w:r>
      <w:r w:rsidRPr="00176903">
        <w:t>0</w:t>
      </w:r>
      <w:r>
        <w:t>350 Lunca Teuzului</w:t>
      </w:r>
    </w:p>
    <w:p w14:paraId="0175F697" w14:textId="77777777" w:rsidR="0052296C" w:rsidRDefault="0052296C" w:rsidP="0052296C">
      <w:pPr>
        <w:widowControl w:val="0"/>
        <w:autoSpaceDE w:val="0"/>
        <w:autoSpaceDN w:val="0"/>
        <w:adjustRightInd w:val="0"/>
        <w:spacing w:after="200" w:line="276" w:lineRule="auto"/>
        <w:ind w:left="360" w:firstLine="66"/>
        <w:contextualSpacing/>
      </w:pPr>
      <w:r w:rsidRPr="00176903">
        <w:t>ROSCI0</w:t>
      </w:r>
      <w:r>
        <w:t>396 Dealurile Pădurea Murei – Sângeorzu Nou</w:t>
      </w:r>
    </w:p>
    <w:p w14:paraId="2581A931" w14:textId="77777777" w:rsidR="0052296C" w:rsidRDefault="0052296C" w:rsidP="0052296C">
      <w:pPr>
        <w:widowControl w:val="0"/>
        <w:autoSpaceDE w:val="0"/>
        <w:autoSpaceDN w:val="0"/>
        <w:adjustRightInd w:val="0"/>
        <w:spacing w:after="200" w:line="276" w:lineRule="auto"/>
        <w:ind w:left="360" w:firstLine="66"/>
        <w:contextualSpacing/>
      </w:pPr>
      <w:r w:rsidRPr="00176903">
        <w:t>ROSCI0</w:t>
      </w:r>
      <w:r>
        <w:t>408 Zau de Câmpie</w:t>
      </w:r>
    </w:p>
    <w:p w14:paraId="7A448854" w14:textId="77777777" w:rsidR="0052296C" w:rsidRDefault="0052296C" w:rsidP="0052296C">
      <w:pPr>
        <w:widowControl w:val="0"/>
        <w:autoSpaceDE w:val="0"/>
        <w:autoSpaceDN w:val="0"/>
        <w:adjustRightInd w:val="0"/>
        <w:spacing w:after="200" w:line="276" w:lineRule="auto"/>
        <w:ind w:left="360" w:firstLine="66"/>
        <w:contextualSpacing/>
      </w:pPr>
      <w:r w:rsidRPr="00176903">
        <w:t>ROSCI0</w:t>
      </w:r>
      <w:r>
        <w:t>425 Pădurea Șemița</w:t>
      </w:r>
    </w:p>
    <w:p w14:paraId="322EE774" w14:textId="77777777" w:rsidR="0052296C" w:rsidRDefault="0052296C" w:rsidP="0052296C">
      <w:pPr>
        <w:widowControl w:val="0"/>
        <w:autoSpaceDE w:val="0"/>
        <w:autoSpaceDN w:val="0"/>
        <w:adjustRightInd w:val="0"/>
        <w:spacing w:after="200" w:line="276" w:lineRule="auto"/>
        <w:ind w:left="360" w:firstLine="66"/>
        <w:contextualSpacing/>
      </w:pPr>
      <w:r w:rsidRPr="00176903">
        <w:t>ROSCI0</w:t>
      </w:r>
      <w:r>
        <w:t>427 Pajiștile de la Liteni – Săvădisla</w:t>
      </w:r>
    </w:p>
    <w:p w14:paraId="4C7222C9" w14:textId="77777777" w:rsidR="0052296C" w:rsidRDefault="0052296C" w:rsidP="0052296C">
      <w:pPr>
        <w:widowControl w:val="0"/>
        <w:autoSpaceDE w:val="0"/>
        <w:autoSpaceDN w:val="0"/>
        <w:adjustRightInd w:val="0"/>
        <w:spacing w:after="200" w:line="276" w:lineRule="auto"/>
        <w:ind w:left="360" w:firstLine="66"/>
        <w:contextualSpacing/>
      </w:pPr>
    </w:p>
    <w:p w14:paraId="51AD4419" w14:textId="77777777" w:rsidR="002D3CA7" w:rsidRPr="00C56257" w:rsidRDefault="00DD3620" w:rsidP="008E33FD">
      <w:pPr>
        <w:tabs>
          <w:tab w:val="num" w:pos="360"/>
        </w:tabs>
        <w:spacing w:before="240"/>
        <w:ind w:left="360" w:hanging="360"/>
        <w:jc w:val="both"/>
        <w:rPr>
          <w:b/>
          <w:color w:val="000000" w:themeColor="text1"/>
        </w:rPr>
      </w:pPr>
      <w:r>
        <w:rPr>
          <w:b/>
          <w:color w:val="000000" w:themeColor="text1"/>
        </w:rPr>
        <w:t>5.4</w:t>
      </w:r>
      <w:r w:rsidR="002D3CA7" w:rsidRPr="00C56257">
        <w:rPr>
          <w:b/>
          <w:color w:val="000000" w:themeColor="text1"/>
        </w:rPr>
        <w:t>. Lista cu Presiunile și Amenințările ce acționează asupra fiecărui habitat de tufărișuri de interes comunitar</w:t>
      </w:r>
    </w:p>
    <w:p w14:paraId="7F1A4D11" w14:textId="77777777" w:rsidR="00F54486" w:rsidRPr="00C56257" w:rsidRDefault="00F54486" w:rsidP="008E33FD">
      <w:pPr>
        <w:tabs>
          <w:tab w:val="num" w:pos="360"/>
        </w:tabs>
        <w:spacing w:before="240"/>
        <w:ind w:left="360" w:hanging="360"/>
        <w:jc w:val="both"/>
        <w:rPr>
          <w:b/>
          <w:color w:val="000000" w:themeColor="text1"/>
        </w:rPr>
      </w:pPr>
    </w:p>
    <w:p w14:paraId="2F0B8B26" w14:textId="77777777" w:rsidR="002D3CA7" w:rsidRPr="00C56257" w:rsidRDefault="002D3CA7" w:rsidP="008E33FD">
      <w:pPr>
        <w:spacing w:after="200" w:line="276" w:lineRule="auto"/>
        <w:ind w:left="360"/>
        <w:jc w:val="both"/>
        <w:rPr>
          <w:b/>
          <w:color w:val="000000" w:themeColor="text1"/>
        </w:rPr>
      </w:pPr>
      <w:r w:rsidRPr="00C56257">
        <w:rPr>
          <w:b/>
          <w:color w:val="000000" w:themeColor="text1"/>
        </w:rPr>
        <w:t>4030 - Tufărişuri uscate europene</w:t>
      </w:r>
    </w:p>
    <w:p w14:paraId="68E601F3" w14:textId="77777777" w:rsidR="002D3CA7" w:rsidRPr="00C56257" w:rsidRDefault="002D3CA7" w:rsidP="008E33FD">
      <w:pPr>
        <w:spacing w:line="276" w:lineRule="auto"/>
        <w:ind w:left="360"/>
        <w:jc w:val="both"/>
        <w:rPr>
          <w:b/>
          <w:color w:val="000000" w:themeColor="text1"/>
        </w:rPr>
      </w:pPr>
      <w:r w:rsidRPr="00C56257">
        <w:rPr>
          <w:b/>
          <w:color w:val="000000" w:themeColor="text1"/>
        </w:rPr>
        <w:t>Regiunea biogeografică Alpină</w:t>
      </w:r>
    </w:p>
    <w:tbl>
      <w:tblPr>
        <w:tblStyle w:val="TableGrid1"/>
        <w:tblW w:w="5000" w:type="pct"/>
        <w:tblInd w:w="0" w:type="dxa"/>
        <w:tblLook w:val="04A0" w:firstRow="1" w:lastRow="0" w:firstColumn="1" w:lastColumn="0" w:noHBand="0" w:noVBand="1"/>
      </w:tblPr>
      <w:tblGrid>
        <w:gridCol w:w="714"/>
        <w:gridCol w:w="2832"/>
        <w:gridCol w:w="1469"/>
        <w:gridCol w:w="714"/>
        <w:gridCol w:w="2812"/>
        <w:gridCol w:w="1453"/>
      </w:tblGrid>
      <w:tr w:rsidR="00673EFE" w:rsidRPr="00C56257" w14:paraId="1E67014E" w14:textId="77777777" w:rsidTr="002825C6">
        <w:tc>
          <w:tcPr>
            <w:tcW w:w="2509" w:type="pct"/>
            <w:gridSpan w:val="3"/>
            <w:tcBorders>
              <w:top w:val="single" w:sz="4" w:space="0" w:color="auto"/>
              <w:left w:val="single" w:sz="4" w:space="0" w:color="auto"/>
              <w:bottom w:val="single" w:sz="4" w:space="0" w:color="auto"/>
              <w:right w:val="single" w:sz="4" w:space="0" w:color="auto"/>
            </w:tcBorders>
            <w:hideMark/>
          </w:tcPr>
          <w:p w14:paraId="5AE5BC9D"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Presiuni</w:t>
            </w:r>
            <w:proofErr w:type="spellEnd"/>
          </w:p>
        </w:tc>
        <w:tc>
          <w:tcPr>
            <w:tcW w:w="2491" w:type="pct"/>
            <w:gridSpan w:val="3"/>
            <w:tcBorders>
              <w:top w:val="single" w:sz="4" w:space="0" w:color="auto"/>
              <w:left w:val="single" w:sz="4" w:space="0" w:color="auto"/>
              <w:bottom w:val="single" w:sz="4" w:space="0" w:color="auto"/>
              <w:right w:val="single" w:sz="4" w:space="0" w:color="auto"/>
            </w:tcBorders>
            <w:hideMark/>
          </w:tcPr>
          <w:p w14:paraId="3A81BE1C"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Amenințări</w:t>
            </w:r>
            <w:proofErr w:type="spellEnd"/>
          </w:p>
        </w:tc>
      </w:tr>
      <w:tr w:rsidR="00673EFE" w:rsidRPr="00C56257" w14:paraId="4E0DA18A" w14:textId="77777777" w:rsidTr="002825C6">
        <w:tc>
          <w:tcPr>
            <w:tcW w:w="357" w:type="pct"/>
            <w:tcBorders>
              <w:top w:val="single" w:sz="4" w:space="0" w:color="auto"/>
              <w:left w:val="single" w:sz="4" w:space="0" w:color="auto"/>
              <w:bottom w:val="single" w:sz="4" w:space="0" w:color="auto"/>
              <w:right w:val="single" w:sz="4" w:space="0" w:color="auto"/>
            </w:tcBorders>
            <w:hideMark/>
          </w:tcPr>
          <w:p w14:paraId="70A9CB99" w14:textId="77777777" w:rsidR="002D3CA7" w:rsidRPr="00C56257" w:rsidRDefault="002D3CA7" w:rsidP="008E33FD">
            <w:pPr>
              <w:jc w:val="both"/>
              <w:rPr>
                <w:rFonts w:eastAsia="Calibri"/>
                <w:b/>
                <w:bCs/>
                <w:color w:val="000000" w:themeColor="text1"/>
                <w:lang w:val="en-US"/>
              </w:rPr>
            </w:pPr>
            <w:r w:rsidRPr="00C56257">
              <w:rPr>
                <w:rFonts w:eastAsia="Calibri"/>
                <w:b/>
                <w:bCs/>
                <w:color w:val="000000" w:themeColor="text1"/>
                <w:lang w:val="en-US"/>
              </w:rPr>
              <w:t>Cod</w:t>
            </w:r>
          </w:p>
        </w:tc>
        <w:tc>
          <w:tcPr>
            <w:tcW w:w="1417" w:type="pct"/>
            <w:tcBorders>
              <w:top w:val="single" w:sz="4" w:space="0" w:color="auto"/>
              <w:left w:val="single" w:sz="4" w:space="0" w:color="auto"/>
              <w:bottom w:val="single" w:sz="4" w:space="0" w:color="auto"/>
              <w:right w:val="single" w:sz="4" w:space="0" w:color="auto"/>
            </w:tcBorders>
            <w:hideMark/>
          </w:tcPr>
          <w:p w14:paraId="3CF4AA9D"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Denumire</w:t>
            </w:r>
            <w:proofErr w:type="spellEnd"/>
          </w:p>
        </w:tc>
        <w:tc>
          <w:tcPr>
            <w:tcW w:w="735" w:type="pct"/>
            <w:tcBorders>
              <w:top w:val="single" w:sz="4" w:space="0" w:color="auto"/>
              <w:left w:val="single" w:sz="4" w:space="0" w:color="auto"/>
              <w:bottom w:val="single" w:sz="4" w:space="0" w:color="auto"/>
              <w:right w:val="single" w:sz="4" w:space="0" w:color="auto"/>
            </w:tcBorders>
            <w:hideMark/>
          </w:tcPr>
          <w:p w14:paraId="11421098"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Intensitate</w:t>
            </w:r>
            <w:proofErr w:type="spellEnd"/>
          </w:p>
        </w:tc>
        <w:tc>
          <w:tcPr>
            <w:tcW w:w="357" w:type="pct"/>
            <w:tcBorders>
              <w:top w:val="single" w:sz="4" w:space="0" w:color="auto"/>
              <w:left w:val="single" w:sz="4" w:space="0" w:color="auto"/>
              <w:bottom w:val="single" w:sz="4" w:space="0" w:color="auto"/>
              <w:right w:val="single" w:sz="4" w:space="0" w:color="auto"/>
            </w:tcBorders>
            <w:hideMark/>
          </w:tcPr>
          <w:p w14:paraId="2E835C9B" w14:textId="77777777" w:rsidR="002D3CA7" w:rsidRPr="00C56257" w:rsidRDefault="002D3CA7" w:rsidP="008E33FD">
            <w:pPr>
              <w:jc w:val="both"/>
              <w:rPr>
                <w:rFonts w:eastAsia="Calibri"/>
                <w:b/>
                <w:bCs/>
                <w:color w:val="000000" w:themeColor="text1"/>
                <w:lang w:val="en-US"/>
              </w:rPr>
            </w:pPr>
            <w:r w:rsidRPr="00C56257">
              <w:rPr>
                <w:rFonts w:eastAsia="Calibri"/>
                <w:b/>
                <w:bCs/>
                <w:color w:val="000000" w:themeColor="text1"/>
                <w:lang w:val="en-US"/>
              </w:rPr>
              <w:t>Cod</w:t>
            </w:r>
          </w:p>
        </w:tc>
        <w:tc>
          <w:tcPr>
            <w:tcW w:w="1407" w:type="pct"/>
            <w:tcBorders>
              <w:top w:val="single" w:sz="4" w:space="0" w:color="auto"/>
              <w:left w:val="single" w:sz="4" w:space="0" w:color="auto"/>
              <w:bottom w:val="single" w:sz="4" w:space="0" w:color="auto"/>
              <w:right w:val="single" w:sz="4" w:space="0" w:color="auto"/>
            </w:tcBorders>
            <w:hideMark/>
          </w:tcPr>
          <w:p w14:paraId="0084616E"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Denumire</w:t>
            </w:r>
            <w:proofErr w:type="spellEnd"/>
          </w:p>
        </w:tc>
        <w:tc>
          <w:tcPr>
            <w:tcW w:w="726" w:type="pct"/>
            <w:tcBorders>
              <w:top w:val="single" w:sz="4" w:space="0" w:color="auto"/>
              <w:left w:val="single" w:sz="4" w:space="0" w:color="auto"/>
              <w:bottom w:val="single" w:sz="4" w:space="0" w:color="auto"/>
              <w:right w:val="single" w:sz="4" w:space="0" w:color="auto"/>
            </w:tcBorders>
            <w:hideMark/>
          </w:tcPr>
          <w:p w14:paraId="719A787F"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Intensitate</w:t>
            </w:r>
            <w:proofErr w:type="spellEnd"/>
          </w:p>
        </w:tc>
      </w:tr>
      <w:tr w:rsidR="00673EFE" w:rsidRPr="00C56257" w14:paraId="46945441" w14:textId="77777777" w:rsidTr="002825C6">
        <w:tc>
          <w:tcPr>
            <w:tcW w:w="357" w:type="pct"/>
            <w:tcBorders>
              <w:top w:val="single" w:sz="4" w:space="0" w:color="auto"/>
              <w:left w:val="single" w:sz="4" w:space="0" w:color="auto"/>
              <w:bottom w:val="single" w:sz="4" w:space="0" w:color="auto"/>
              <w:right w:val="single" w:sz="4" w:space="0" w:color="auto"/>
            </w:tcBorders>
            <w:vAlign w:val="center"/>
            <w:hideMark/>
          </w:tcPr>
          <w:p w14:paraId="7BFB04D2"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lastRenderedPageBreak/>
              <w:t>L06</w:t>
            </w:r>
          </w:p>
        </w:tc>
        <w:tc>
          <w:tcPr>
            <w:tcW w:w="1417" w:type="pct"/>
            <w:tcBorders>
              <w:top w:val="single" w:sz="4" w:space="0" w:color="auto"/>
              <w:left w:val="single" w:sz="4" w:space="0" w:color="auto"/>
              <w:bottom w:val="single" w:sz="4" w:space="0" w:color="auto"/>
              <w:right w:val="single" w:sz="4" w:space="0" w:color="auto"/>
            </w:tcBorders>
            <w:vAlign w:val="center"/>
            <w:hideMark/>
          </w:tcPr>
          <w:p w14:paraId="67F4D663" w14:textId="77777777" w:rsidR="002D3CA7" w:rsidRPr="00C56257" w:rsidRDefault="002D3CA7" w:rsidP="008E33FD">
            <w:pPr>
              <w:jc w:val="both"/>
              <w:rPr>
                <w:rFonts w:eastAsia="Calibri"/>
                <w:color w:val="000000" w:themeColor="text1"/>
                <w:lang w:val="en-US"/>
              </w:rPr>
            </w:pPr>
            <w:proofErr w:type="spellStart"/>
            <w:r w:rsidRPr="00C56257">
              <w:rPr>
                <w:rFonts w:eastAsia="Calibri"/>
                <w:color w:val="000000" w:themeColor="text1"/>
                <w:lang w:val="en-US"/>
              </w:rPr>
              <w:t>Relații</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interspecifice</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competiție</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prădătorism</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parazitism</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patogeni</w:t>
            </w:r>
            <w:proofErr w:type="spellEnd"/>
            <w:r w:rsidRPr="00C56257">
              <w:rPr>
                <w:rFonts w:eastAsia="Calibri"/>
                <w:color w:val="000000" w:themeColor="text1"/>
                <w:lang w:val="en-US"/>
              </w:rPr>
              <w:t>)</w:t>
            </w:r>
          </w:p>
        </w:tc>
        <w:tc>
          <w:tcPr>
            <w:tcW w:w="735" w:type="pct"/>
            <w:tcBorders>
              <w:top w:val="single" w:sz="4" w:space="0" w:color="auto"/>
              <w:left w:val="single" w:sz="4" w:space="0" w:color="auto"/>
              <w:bottom w:val="single" w:sz="4" w:space="0" w:color="auto"/>
              <w:right w:val="single" w:sz="4" w:space="0" w:color="auto"/>
            </w:tcBorders>
            <w:vAlign w:val="center"/>
            <w:hideMark/>
          </w:tcPr>
          <w:p w14:paraId="36D17599"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c>
          <w:tcPr>
            <w:tcW w:w="357" w:type="pct"/>
            <w:tcBorders>
              <w:top w:val="single" w:sz="4" w:space="0" w:color="auto"/>
              <w:left w:val="single" w:sz="4" w:space="0" w:color="auto"/>
              <w:bottom w:val="single" w:sz="4" w:space="0" w:color="auto"/>
              <w:right w:val="single" w:sz="4" w:space="0" w:color="auto"/>
            </w:tcBorders>
            <w:vAlign w:val="center"/>
            <w:hideMark/>
          </w:tcPr>
          <w:p w14:paraId="1C993C0F"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L06</w:t>
            </w:r>
          </w:p>
        </w:tc>
        <w:tc>
          <w:tcPr>
            <w:tcW w:w="1407" w:type="pct"/>
            <w:tcBorders>
              <w:top w:val="single" w:sz="4" w:space="0" w:color="auto"/>
              <w:left w:val="single" w:sz="4" w:space="0" w:color="auto"/>
              <w:bottom w:val="single" w:sz="4" w:space="0" w:color="auto"/>
              <w:right w:val="single" w:sz="4" w:space="0" w:color="auto"/>
            </w:tcBorders>
            <w:vAlign w:val="center"/>
            <w:hideMark/>
          </w:tcPr>
          <w:p w14:paraId="3DA1DE3F" w14:textId="77777777" w:rsidR="002D3CA7" w:rsidRPr="00C56257" w:rsidRDefault="002D3CA7" w:rsidP="008E33FD">
            <w:pPr>
              <w:jc w:val="both"/>
              <w:rPr>
                <w:rFonts w:eastAsia="Calibri"/>
                <w:color w:val="000000" w:themeColor="text1"/>
                <w:lang w:val="en-US"/>
              </w:rPr>
            </w:pPr>
            <w:proofErr w:type="spellStart"/>
            <w:r w:rsidRPr="00C56257">
              <w:rPr>
                <w:rFonts w:eastAsia="Calibri"/>
                <w:color w:val="000000" w:themeColor="text1"/>
                <w:lang w:val="en-US"/>
              </w:rPr>
              <w:t>Relații</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interspecifice</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competiție</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prădătorism</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parazitism</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patogeni</w:t>
            </w:r>
            <w:proofErr w:type="spellEnd"/>
            <w:r w:rsidRPr="00C56257">
              <w:rPr>
                <w:rFonts w:eastAsia="Calibri"/>
                <w:color w:val="000000" w:themeColor="text1"/>
                <w:lang w:val="en-US"/>
              </w:rPr>
              <w:t>)</w:t>
            </w:r>
          </w:p>
        </w:tc>
        <w:tc>
          <w:tcPr>
            <w:tcW w:w="726" w:type="pct"/>
            <w:tcBorders>
              <w:top w:val="single" w:sz="4" w:space="0" w:color="auto"/>
              <w:left w:val="single" w:sz="4" w:space="0" w:color="auto"/>
              <w:bottom w:val="single" w:sz="4" w:space="0" w:color="auto"/>
              <w:right w:val="single" w:sz="4" w:space="0" w:color="auto"/>
            </w:tcBorders>
            <w:vAlign w:val="center"/>
            <w:hideMark/>
          </w:tcPr>
          <w:p w14:paraId="05D7E5B7"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r>
    </w:tbl>
    <w:p w14:paraId="437112FC" w14:textId="77777777" w:rsidR="002D3CA7" w:rsidRPr="00C56257" w:rsidRDefault="002D3CA7" w:rsidP="008E33FD">
      <w:pPr>
        <w:spacing w:line="276" w:lineRule="auto"/>
        <w:ind w:left="360"/>
        <w:jc w:val="both"/>
        <w:rPr>
          <w:b/>
          <w:color w:val="000000" w:themeColor="text1"/>
        </w:rPr>
      </w:pPr>
    </w:p>
    <w:p w14:paraId="63F2316D" w14:textId="77777777" w:rsidR="002D3CA7" w:rsidRPr="00C56257" w:rsidRDefault="002D3CA7" w:rsidP="008E33FD">
      <w:pPr>
        <w:spacing w:after="200" w:line="276" w:lineRule="auto"/>
        <w:ind w:left="360"/>
        <w:jc w:val="both"/>
        <w:rPr>
          <w:b/>
          <w:color w:val="000000" w:themeColor="text1"/>
        </w:rPr>
      </w:pPr>
      <w:r w:rsidRPr="00C56257">
        <w:rPr>
          <w:b/>
          <w:color w:val="000000" w:themeColor="text1"/>
        </w:rPr>
        <w:t>4060 - Tufărişuri alpine şi boreale</w:t>
      </w:r>
    </w:p>
    <w:p w14:paraId="5D5F014E" w14:textId="77777777" w:rsidR="002D3CA7" w:rsidRPr="00C56257" w:rsidRDefault="002D3CA7" w:rsidP="008E33FD">
      <w:pPr>
        <w:spacing w:line="276" w:lineRule="auto"/>
        <w:ind w:left="360"/>
        <w:jc w:val="both"/>
        <w:rPr>
          <w:b/>
          <w:color w:val="000000" w:themeColor="text1"/>
        </w:rPr>
      </w:pPr>
      <w:r w:rsidRPr="00C56257">
        <w:rPr>
          <w:b/>
          <w:color w:val="000000" w:themeColor="text1"/>
        </w:rPr>
        <w:t>Regiunea biogeografică Alpină</w:t>
      </w:r>
    </w:p>
    <w:tbl>
      <w:tblPr>
        <w:tblStyle w:val="TableGrid1"/>
        <w:tblW w:w="5000" w:type="pct"/>
        <w:tblInd w:w="0" w:type="dxa"/>
        <w:tblLook w:val="04A0" w:firstRow="1" w:lastRow="0" w:firstColumn="1" w:lastColumn="0" w:noHBand="0" w:noVBand="1"/>
      </w:tblPr>
      <w:tblGrid>
        <w:gridCol w:w="714"/>
        <w:gridCol w:w="2834"/>
        <w:gridCol w:w="1471"/>
        <w:gridCol w:w="714"/>
        <w:gridCol w:w="2810"/>
        <w:gridCol w:w="1451"/>
      </w:tblGrid>
      <w:tr w:rsidR="00673EFE" w:rsidRPr="00C56257" w14:paraId="04F006F9" w14:textId="77777777" w:rsidTr="002825C6">
        <w:tc>
          <w:tcPr>
            <w:tcW w:w="2511" w:type="pct"/>
            <w:gridSpan w:val="3"/>
            <w:tcBorders>
              <w:top w:val="single" w:sz="4" w:space="0" w:color="auto"/>
              <w:left w:val="single" w:sz="4" w:space="0" w:color="auto"/>
              <w:bottom w:val="single" w:sz="4" w:space="0" w:color="auto"/>
              <w:right w:val="single" w:sz="4" w:space="0" w:color="auto"/>
            </w:tcBorders>
            <w:hideMark/>
          </w:tcPr>
          <w:p w14:paraId="20C1FDF5"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Presiuni</w:t>
            </w:r>
            <w:proofErr w:type="spellEnd"/>
          </w:p>
        </w:tc>
        <w:tc>
          <w:tcPr>
            <w:tcW w:w="2489" w:type="pct"/>
            <w:gridSpan w:val="3"/>
            <w:tcBorders>
              <w:top w:val="single" w:sz="4" w:space="0" w:color="auto"/>
              <w:left w:val="single" w:sz="4" w:space="0" w:color="auto"/>
              <w:bottom w:val="single" w:sz="4" w:space="0" w:color="auto"/>
              <w:right w:val="single" w:sz="4" w:space="0" w:color="auto"/>
            </w:tcBorders>
            <w:hideMark/>
          </w:tcPr>
          <w:p w14:paraId="4D3853B4"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Amenințări</w:t>
            </w:r>
            <w:proofErr w:type="spellEnd"/>
          </w:p>
        </w:tc>
      </w:tr>
      <w:tr w:rsidR="00673EFE" w:rsidRPr="00C56257" w14:paraId="3F595E94" w14:textId="77777777" w:rsidTr="002825C6">
        <w:tc>
          <w:tcPr>
            <w:tcW w:w="357" w:type="pct"/>
            <w:tcBorders>
              <w:top w:val="single" w:sz="4" w:space="0" w:color="auto"/>
              <w:left w:val="single" w:sz="4" w:space="0" w:color="auto"/>
              <w:bottom w:val="single" w:sz="4" w:space="0" w:color="auto"/>
              <w:right w:val="single" w:sz="4" w:space="0" w:color="auto"/>
            </w:tcBorders>
            <w:hideMark/>
          </w:tcPr>
          <w:p w14:paraId="07482520" w14:textId="77777777" w:rsidR="002D3CA7" w:rsidRPr="00C56257" w:rsidRDefault="002D3CA7" w:rsidP="008E33FD">
            <w:pPr>
              <w:jc w:val="both"/>
              <w:rPr>
                <w:rFonts w:eastAsia="Calibri"/>
                <w:b/>
                <w:bCs/>
                <w:color w:val="000000" w:themeColor="text1"/>
                <w:lang w:val="en-US"/>
              </w:rPr>
            </w:pPr>
            <w:r w:rsidRPr="00C56257">
              <w:rPr>
                <w:rFonts w:eastAsia="Calibri"/>
                <w:b/>
                <w:bCs/>
                <w:color w:val="000000" w:themeColor="text1"/>
                <w:lang w:val="en-US"/>
              </w:rPr>
              <w:t>Cod</w:t>
            </w:r>
          </w:p>
        </w:tc>
        <w:tc>
          <w:tcPr>
            <w:tcW w:w="1418" w:type="pct"/>
            <w:tcBorders>
              <w:top w:val="single" w:sz="4" w:space="0" w:color="auto"/>
              <w:left w:val="single" w:sz="4" w:space="0" w:color="auto"/>
              <w:bottom w:val="single" w:sz="4" w:space="0" w:color="auto"/>
              <w:right w:val="single" w:sz="4" w:space="0" w:color="auto"/>
            </w:tcBorders>
            <w:hideMark/>
          </w:tcPr>
          <w:p w14:paraId="75C4E59C"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Denumire</w:t>
            </w:r>
            <w:proofErr w:type="spellEnd"/>
          </w:p>
        </w:tc>
        <w:tc>
          <w:tcPr>
            <w:tcW w:w="735" w:type="pct"/>
            <w:tcBorders>
              <w:top w:val="single" w:sz="4" w:space="0" w:color="auto"/>
              <w:left w:val="single" w:sz="4" w:space="0" w:color="auto"/>
              <w:bottom w:val="single" w:sz="4" w:space="0" w:color="auto"/>
              <w:right w:val="single" w:sz="4" w:space="0" w:color="auto"/>
            </w:tcBorders>
            <w:hideMark/>
          </w:tcPr>
          <w:p w14:paraId="1DA9793A"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Intensitate</w:t>
            </w:r>
            <w:proofErr w:type="spellEnd"/>
          </w:p>
        </w:tc>
        <w:tc>
          <w:tcPr>
            <w:tcW w:w="357" w:type="pct"/>
            <w:tcBorders>
              <w:top w:val="single" w:sz="4" w:space="0" w:color="auto"/>
              <w:left w:val="single" w:sz="4" w:space="0" w:color="auto"/>
              <w:bottom w:val="single" w:sz="4" w:space="0" w:color="auto"/>
              <w:right w:val="single" w:sz="4" w:space="0" w:color="auto"/>
            </w:tcBorders>
            <w:hideMark/>
          </w:tcPr>
          <w:p w14:paraId="099C5AC0" w14:textId="77777777" w:rsidR="002D3CA7" w:rsidRPr="00C56257" w:rsidRDefault="002D3CA7" w:rsidP="008E33FD">
            <w:pPr>
              <w:jc w:val="both"/>
              <w:rPr>
                <w:rFonts w:eastAsia="Calibri"/>
                <w:b/>
                <w:bCs/>
                <w:color w:val="000000" w:themeColor="text1"/>
                <w:lang w:val="en-US"/>
              </w:rPr>
            </w:pPr>
            <w:r w:rsidRPr="00C56257">
              <w:rPr>
                <w:rFonts w:eastAsia="Calibri"/>
                <w:b/>
                <w:bCs/>
                <w:color w:val="000000" w:themeColor="text1"/>
                <w:lang w:val="en-US"/>
              </w:rPr>
              <w:t>Cod</w:t>
            </w:r>
          </w:p>
        </w:tc>
        <w:tc>
          <w:tcPr>
            <w:tcW w:w="1406" w:type="pct"/>
            <w:tcBorders>
              <w:top w:val="single" w:sz="4" w:space="0" w:color="auto"/>
              <w:left w:val="single" w:sz="4" w:space="0" w:color="auto"/>
              <w:bottom w:val="single" w:sz="4" w:space="0" w:color="auto"/>
              <w:right w:val="single" w:sz="4" w:space="0" w:color="auto"/>
            </w:tcBorders>
            <w:hideMark/>
          </w:tcPr>
          <w:p w14:paraId="4E521F76"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Denumire</w:t>
            </w:r>
            <w:proofErr w:type="spellEnd"/>
          </w:p>
        </w:tc>
        <w:tc>
          <w:tcPr>
            <w:tcW w:w="726" w:type="pct"/>
            <w:tcBorders>
              <w:top w:val="single" w:sz="4" w:space="0" w:color="auto"/>
              <w:left w:val="single" w:sz="4" w:space="0" w:color="auto"/>
              <w:bottom w:val="single" w:sz="4" w:space="0" w:color="auto"/>
              <w:right w:val="single" w:sz="4" w:space="0" w:color="auto"/>
            </w:tcBorders>
            <w:hideMark/>
          </w:tcPr>
          <w:p w14:paraId="3F8DD60C"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Intensitate</w:t>
            </w:r>
            <w:proofErr w:type="spellEnd"/>
          </w:p>
        </w:tc>
      </w:tr>
      <w:tr w:rsidR="00673EFE" w:rsidRPr="00C56257" w14:paraId="6919795B" w14:textId="77777777" w:rsidTr="002825C6">
        <w:tc>
          <w:tcPr>
            <w:tcW w:w="357" w:type="pct"/>
            <w:tcBorders>
              <w:top w:val="single" w:sz="4" w:space="0" w:color="auto"/>
              <w:left w:val="single" w:sz="4" w:space="0" w:color="auto"/>
              <w:bottom w:val="single" w:sz="4" w:space="0" w:color="auto"/>
              <w:right w:val="single" w:sz="4" w:space="0" w:color="auto"/>
            </w:tcBorders>
            <w:hideMark/>
          </w:tcPr>
          <w:p w14:paraId="628E33E6"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A09</w:t>
            </w:r>
          </w:p>
        </w:tc>
        <w:tc>
          <w:tcPr>
            <w:tcW w:w="1418" w:type="pct"/>
            <w:tcBorders>
              <w:top w:val="single" w:sz="4" w:space="0" w:color="auto"/>
              <w:left w:val="single" w:sz="4" w:space="0" w:color="auto"/>
              <w:bottom w:val="single" w:sz="4" w:space="0" w:color="auto"/>
              <w:right w:val="single" w:sz="4" w:space="0" w:color="auto"/>
            </w:tcBorders>
            <w:hideMark/>
          </w:tcPr>
          <w:p w14:paraId="0469DA1F" w14:textId="77777777" w:rsidR="002D3CA7" w:rsidRPr="00C56257" w:rsidRDefault="002D3CA7" w:rsidP="008E33FD">
            <w:pPr>
              <w:jc w:val="both"/>
              <w:rPr>
                <w:rFonts w:eastAsia="Calibri"/>
                <w:color w:val="000000" w:themeColor="text1"/>
                <w:lang w:val="en-US"/>
              </w:rPr>
            </w:pPr>
            <w:proofErr w:type="spellStart"/>
            <w:r w:rsidRPr="00C56257">
              <w:rPr>
                <w:rFonts w:eastAsia="Calibri"/>
                <w:color w:val="000000" w:themeColor="text1"/>
                <w:lang w:val="en-US"/>
              </w:rPr>
              <w:t>Pășunat</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intensiv</w:t>
            </w:r>
            <w:proofErr w:type="spellEnd"/>
          </w:p>
        </w:tc>
        <w:tc>
          <w:tcPr>
            <w:tcW w:w="735" w:type="pct"/>
            <w:tcBorders>
              <w:top w:val="single" w:sz="4" w:space="0" w:color="auto"/>
              <w:left w:val="single" w:sz="4" w:space="0" w:color="auto"/>
              <w:bottom w:val="single" w:sz="4" w:space="0" w:color="auto"/>
              <w:right w:val="single" w:sz="4" w:space="0" w:color="auto"/>
            </w:tcBorders>
            <w:hideMark/>
          </w:tcPr>
          <w:p w14:paraId="6BE18963"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c>
          <w:tcPr>
            <w:tcW w:w="357" w:type="pct"/>
            <w:tcBorders>
              <w:top w:val="single" w:sz="4" w:space="0" w:color="auto"/>
              <w:left w:val="single" w:sz="4" w:space="0" w:color="auto"/>
              <w:bottom w:val="single" w:sz="4" w:space="0" w:color="auto"/>
              <w:right w:val="single" w:sz="4" w:space="0" w:color="auto"/>
            </w:tcBorders>
            <w:hideMark/>
          </w:tcPr>
          <w:p w14:paraId="466088A9"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A09</w:t>
            </w:r>
          </w:p>
        </w:tc>
        <w:tc>
          <w:tcPr>
            <w:tcW w:w="1406" w:type="pct"/>
            <w:tcBorders>
              <w:top w:val="single" w:sz="4" w:space="0" w:color="auto"/>
              <w:left w:val="single" w:sz="4" w:space="0" w:color="auto"/>
              <w:bottom w:val="single" w:sz="4" w:space="0" w:color="auto"/>
              <w:right w:val="single" w:sz="4" w:space="0" w:color="auto"/>
            </w:tcBorders>
            <w:hideMark/>
          </w:tcPr>
          <w:p w14:paraId="0067923E" w14:textId="77777777" w:rsidR="002D3CA7" w:rsidRPr="00C56257" w:rsidRDefault="002D3CA7" w:rsidP="008E33FD">
            <w:pPr>
              <w:jc w:val="both"/>
              <w:rPr>
                <w:rFonts w:eastAsia="Calibri"/>
                <w:color w:val="000000" w:themeColor="text1"/>
                <w:lang w:val="en-US"/>
              </w:rPr>
            </w:pPr>
            <w:proofErr w:type="spellStart"/>
            <w:r w:rsidRPr="00C56257">
              <w:rPr>
                <w:rFonts w:eastAsia="Calibri"/>
                <w:color w:val="000000" w:themeColor="text1"/>
                <w:lang w:val="en-US"/>
              </w:rPr>
              <w:t>Pășunat</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intensiv</w:t>
            </w:r>
            <w:proofErr w:type="spellEnd"/>
          </w:p>
        </w:tc>
        <w:tc>
          <w:tcPr>
            <w:tcW w:w="726" w:type="pct"/>
            <w:tcBorders>
              <w:top w:val="single" w:sz="4" w:space="0" w:color="auto"/>
              <w:left w:val="single" w:sz="4" w:space="0" w:color="auto"/>
              <w:bottom w:val="single" w:sz="4" w:space="0" w:color="auto"/>
              <w:right w:val="single" w:sz="4" w:space="0" w:color="auto"/>
            </w:tcBorders>
            <w:hideMark/>
          </w:tcPr>
          <w:p w14:paraId="2061F5A5"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r>
    </w:tbl>
    <w:p w14:paraId="11518C0D" w14:textId="77777777" w:rsidR="002D3CA7" w:rsidRPr="00C56257" w:rsidRDefault="002D3CA7" w:rsidP="008E33FD">
      <w:pPr>
        <w:spacing w:line="276" w:lineRule="auto"/>
        <w:ind w:left="360"/>
        <w:jc w:val="both"/>
        <w:rPr>
          <w:b/>
          <w:color w:val="000000" w:themeColor="text1"/>
        </w:rPr>
      </w:pPr>
    </w:p>
    <w:p w14:paraId="00768919" w14:textId="77777777" w:rsidR="002D3CA7" w:rsidRPr="00C56257" w:rsidRDefault="002D3CA7" w:rsidP="008E33FD">
      <w:pPr>
        <w:spacing w:after="200" w:line="276" w:lineRule="auto"/>
        <w:ind w:left="360"/>
        <w:jc w:val="both"/>
        <w:rPr>
          <w:b/>
          <w:color w:val="000000" w:themeColor="text1"/>
        </w:rPr>
      </w:pPr>
      <w:r w:rsidRPr="00C56257">
        <w:rPr>
          <w:b/>
          <w:color w:val="000000" w:themeColor="text1"/>
        </w:rPr>
        <w:t>4080 - Tufărişuri subarctice de Salix spp.</w:t>
      </w:r>
    </w:p>
    <w:p w14:paraId="5E76244D" w14:textId="77777777" w:rsidR="002D3CA7" w:rsidRPr="00C56257" w:rsidRDefault="002D3CA7" w:rsidP="008E33FD">
      <w:pPr>
        <w:spacing w:line="276" w:lineRule="auto"/>
        <w:ind w:left="360"/>
        <w:jc w:val="both"/>
        <w:rPr>
          <w:b/>
          <w:color w:val="000000" w:themeColor="text1"/>
        </w:rPr>
      </w:pPr>
      <w:r w:rsidRPr="00C56257">
        <w:rPr>
          <w:b/>
          <w:color w:val="000000" w:themeColor="text1"/>
        </w:rPr>
        <w:t>Regiunea biogeografică Alpină</w:t>
      </w:r>
    </w:p>
    <w:tbl>
      <w:tblPr>
        <w:tblStyle w:val="TableGrid1"/>
        <w:tblW w:w="5000" w:type="pct"/>
        <w:tblInd w:w="0" w:type="dxa"/>
        <w:tblLook w:val="04A0" w:firstRow="1" w:lastRow="0" w:firstColumn="1" w:lastColumn="0" w:noHBand="0" w:noVBand="1"/>
      </w:tblPr>
      <w:tblGrid>
        <w:gridCol w:w="714"/>
        <w:gridCol w:w="2834"/>
        <w:gridCol w:w="1471"/>
        <w:gridCol w:w="714"/>
        <w:gridCol w:w="2810"/>
        <w:gridCol w:w="1451"/>
      </w:tblGrid>
      <w:tr w:rsidR="00673EFE" w:rsidRPr="00C56257" w14:paraId="3ADC5192" w14:textId="77777777" w:rsidTr="002825C6">
        <w:tc>
          <w:tcPr>
            <w:tcW w:w="2511" w:type="pct"/>
            <w:gridSpan w:val="3"/>
            <w:tcBorders>
              <w:top w:val="single" w:sz="4" w:space="0" w:color="auto"/>
              <w:left w:val="single" w:sz="4" w:space="0" w:color="auto"/>
              <w:bottom w:val="single" w:sz="4" w:space="0" w:color="auto"/>
              <w:right w:val="single" w:sz="4" w:space="0" w:color="auto"/>
            </w:tcBorders>
            <w:hideMark/>
          </w:tcPr>
          <w:p w14:paraId="755B7BDB"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Presiuni</w:t>
            </w:r>
            <w:proofErr w:type="spellEnd"/>
          </w:p>
        </w:tc>
        <w:tc>
          <w:tcPr>
            <w:tcW w:w="2489" w:type="pct"/>
            <w:gridSpan w:val="3"/>
            <w:tcBorders>
              <w:top w:val="single" w:sz="4" w:space="0" w:color="auto"/>
              <w:left w:val="single" w:sz="4" w:space="0" w:color="auto"/>
              <w:bottom w:val="single" w:sz="4" w:space="0" w:color="auto"/>
              <w:right w:val="single" w:sz="4" w:space="0" w:color="auto"/>
            </w:tcBorders>
            <w:hideMark/>
          </w:tcPr>
          <w:p w14:paraId="51AB7CB7"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Amenințări</w:t>
            </w:r>
            <w:proofErr w:type="spellEnd"/>
          </w:p>
        </w:tc>
      </w:tr>
      <w:tr w:rsidR="00673EFE" w:rsidRPr="00C56257" w14:paraId="0E661B4F" w14:textId="77777777" w:rsidTr="002825C6">
        <w:tc>
          <w:tcPr>
            <w:tcW w:w="357" w:type="pct"/>
            <w:tcBorders>
              <w:top w:val="single" w:sz="4" w:space="0" w:color="auto"/>
              <w:left w:val="single" w:sz="4" w:space="0" w:color="auto"/>
              <w:bottom w:val="single" w:sz="4" w:space="0" w:color="auto"/>
              <w:right w:val="single" w:sz="4" w:space="0" w:color="auto"/>
            </w:tcBorders>
            <w:hideMark/>
          </w:tcPr>
          <w:p w14:paraId="313226C1" w14:textId="77777777" w:rsidR="002D3CA7" w:rsidRPr="00C56257" w:rsidRDefault="002D3CA7" w:rsidP="008E33FD">
            <w:pPr>
              <w:jc w:val="both"/>
              <w:rPr>
                <w:rFonts w:eastAsia="Calibri"/>
                <w:b/>
                <w:bCs/>
                <w:color w:val="000000" w:themeColor="text1"/>
                <w:lang w:val="en-US"/>
              </w:rPr>
            </w:pPr>
            <w:r w:rsidRPr="00C56257">
              <w:rPr>
                <w:rFonts w:eastAsia="Calibri"/>
                <w:b/>
                <w:bCs/>
                <w:color w:val="000000" w:themeColor="text1"/>
                <w:lang w:val="en-US"/>
              </w:rPr>
              <w:t>Cod</w:t>
            </w:r>
          </w:p>
        </w:tc>
        <w:tc>
          <w:tcPr>
            <w:tcW w:w="1418" w:type="pct"/>
            <w:tcBorders>
              <w:top w:val="single" w:sz="4" w:space="0" w:color="auto"/>
              <w:left w:val="single" w:sz="4" w:space="0" w:color="auto"/>
              <w:bottom w:val="single" w:sz="4" w:space="0" w:color="auto"/>
              <w:right w:val="single" w:sz="4" w:space="0" w:color="auto"/>
            </w:tcBorders>
            <w:hideMark/>
          </w:tcPr>
          <w:p w14:paraId="6C059659"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Denumire</w:t>
            </w:r>
            <w:proofErr w:type="spellEnd"/>
          </w:p>
        </w:tc>
        <w:tc>
          <w:tcPr>
            <w:tcW w:w="735" w:type="pct"/>
            <w:tcBorders>
              <w:top w:val="single" w:sz="4" w:space="0" w:color="auto"/>
              <w:left w:val="single" w:sz="4" w:space="0" w:color="auto"/>
              <w:bottom w:val="single" w:sz="4" w:space="0" w:color="auto"/>
              <w:right w:val="single" w:sz="4" w:space="0" w:color="auto"/>
            </w:tcBorders>
            <w:hideMark/>
          </w:tcPr>
          <w:p w14:paraId="2D65C52D"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Intensitate</w:t>
            </w:r>
            <w:proofErr w:type="spellEnd"/>
          </w:p>
        </w:tc>
        <w:tc>
          <w:tcPr>
            <w:tcW w:w="357" w:type="pct"/>
            <w:tcBorders>
              <w:top w:val="single" w:sz="4" w:space="0" w:color="auto"/>
              <w:left w:val="single" w:sz="4" w:space="0" w:color="auto"/>
              <w:bottom w:val="single" w:sz="4" w:space="0" w:color="auto"/>
              <w:right w:val="single" w:sz="4" w:space="0" w:color="auto"/>
            </w:tcBorders>
            <w:hideMark/>
          </w:tcPr>
          <w:p w14:paraId="344A181B" w14:textId="77777777" w:rsidR="002D3CA7" w:rsidRPr="00C56257" w:rsidRDefault="002D3CA7" w:rsidP="008E33FD">
            <w:pPr>
              <w:jc w:val="both"/>
              <w:rPr>
                <w:rFonts w:eastAsia="Calibri"/>
                <w:b/>
                <w:bCs/>
                <w:color w:val="000000" w:themeColor="text1"/>
                <w:lang w:val="en-US"/>
              </w:rPr>
            </w:pPr>
            <w:r w:rsidRPr="00C56257">
              <w:rPr>
                <w:rFonts w:eastAsia="Calibri"/>
                <w:b/>
                <w:bCs/>
                <w:color w:val="000000" w:themeColor="text1"/>
                <w:lang w:val="en-US"/>
              </w:rPr>
              <w:t>Cod</w:t>
            </w:r>
          </w:p>
        </w:tc>
        <w:tc>
          <w:tcPr>
            <w:tcW w:w="1406" w:type="pct"/>
            <w:tcBorders>
              <w:top w:val="single" w:sz="4" w:space="0" w:color="auto"/>
              <w:left w:val="single" w:sz="4" w:space="0" w:color="auto"/>
              <w:bottom w:val="single" w:sz="4" w:space="0" w:color="auto"/>
              <w:right w:val="single" w:sz="4" w:space="0" w:color="auto"/>
            </w:tcBorders>
            <w:hideMark/>
          </w:tcPr>
          <w:p w14:paraId="198B8599"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Denumire</w:t>
            </w:r>
            <w:proofErr w:type="spellEnd"/>
          </w:p>
        </w:tc>
        <w:tc>
          <w:tcPr>
            <w:tcW w:w="726" w:type="pct"/>
            <w:tcBorders>
              <w:top w:val="single" w:sz="4" w:space="0" w:color="auto"/>
              <w:left w:val="single" w:sz="4" w:space="0" w:color="auto"/>
              <w:bottom w:val="single" w:sz="4" w:space="0" w:color="auto"/>
              <w:right w:val="single" w:sz="4" w:space="0" w:color="auto"/>
            </w:tcBorders>
            <w:hideMark/>
          </w:tcPr>
          <w:p w14:paraId="1891047E"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Intensitate</w:t>
            </w:r>
            <w:proofErr w:type="spellEnd"/>
          </w:p>
        </w:tc>
      </w:tr>
      <w:tr w:rsidR="00673EFE" w:rsidRPr="00C56257" w14:paraId="1F7F38CF" w14:textId="77777777" w:rsidTr="002825C6">
        <w:tc>
          <w:tcPr>
            <w:tcW w:w="357" w:type="pct"/>
            <w:tcBorders>
              <w:top w:val="single" w:sz="4" w:space="0" w:color="auto"/>
              <w:left w:val="single" w:sz="4" w:space="0" w:color="auto"/>
              <w:bottom w:val="single" w:sz="4" w:space="0" w:color="auto"/>
              <w:right w:val="single" w:sz="4" w:space="0" w:color="auto"/>
            </w:tcBorders>
            <w:hideMark/>
          </w:tcPr>
          <w:p w14:paraId="7E326EC0"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A09</w:t>
            </w:r>
          </w:p>
        </w:tc>
        <w:tc>
          <w:tcPr>
            <w:tcW w:w="1418" w:type="pct"/>
            <w:tcBorders>
              <w:top w:val="single" w:sz="4" w:space="0" w:color="auto"/>
              <w:left w:val="single" w:sz="4" w:space="0" w:color="auto"/>
              <w:bottom w:val="single" w:sz="4" w:space="0" w:color="auto"/>
              <w:right w:val="single" w:sz="4" w:space="0" w:color="auto"/>
            </w:tcBorders>
            <w:hideMark/>
          </w:tcPr>
          <w:p w14:paraId="6FCFBFC5" w14:textId="77777777" w:rsidR="002D3CA7" w:rsidRPr="00C56257" w:rsidRDefault="002D3CA7" w:rsidP="008E33FD">
            <w:pPr>
              <w:jc w:val="both"/>
              <w:rPr>
                <w:rFonts w:eastAsia="Calibri"/>
                <w:color w:val="000000" w:themeColor="text1"/>
                <w:lang w:val="en-US"/>
              </w:rPr>
            </w:pPr>
            <w:proofErr w:type="spellStart"/>
            <w:r w:rsidRPr="00C56257">
              <w:rPr>
                <w:rFonts w:eastAsia="Calibri"/>
                <w:color w:val="000000" w:themeColor="text1"/>
                <w:lang w:val="en-US"/>
              </w:rPr>
              <w:t>Pășunat</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intensiv</w:t>
            </w:r>
            <w:proofErr w:type="spellEnd"/>
          </w:p>
        </w:tc>
        <w:tc>
          <w:tcPr>
            <w:tcW w:w="735" w:type="pct"/>
            <w:tcBorders>
              <w:top w:val="single" w:sz="4" w:space="0" w:color="auto"/>
              <w:left w:val="single" w:sz="4" w:space="0" w:color="auto"/>
              <w:bottom w:val="single" w:sz="4" w:space="0" w:color="auto"/>
              <w:right w:val="single" w:sz="4" w:space="0" w:color="auto"/>
            </w:tcBorders>
            <w:hideMark/>
          </w:tcPr>
          <w:p w14:paraId="0FFCEADF"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c>
          <w:tcPr>
            <w:tcW w:w="357" w:type="pct"/>
            <w:tcBorders>
              <w:top w:val="single" w:sz="4" w:space="0" w:color="auto"/>
              <w:left w:val="single" w:sz="4" w:space="0" w:color="auto"/>
              <w:bottom w:val="single" w:sz="4" w:space="0" w:color="auto"/>
              <w:right w:val="single" w:sz="4" w:space="0" w:color="auto"/>
            </w:tcBorders>
            <w:hideMark/>
          </w:tcPr>
          <w:p w14:paraId="74CB1BB0"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A09</w:t>
            </w:r>
          </w:p>
        </w:tc>
        <w:tc>
          <w:tcPr>
            <w:tcW w:w="1406" w:type="pct"/>
            <w:tcBorders>
              <w:top w:val="single" w:sz="4" w:space="0" w:color="auto"/>
              <w:left w:val="single" w:sz="4" w:space="0" w:color="auto"/>
              <w:bottom w:val="single" w:sz="4" w:space="0" w:color="auto"/>
              <w:right w:val="single" w:sz="4" w:space="0" w:color="auto"/>
            </w:tcBorders>
            <w:hideMark/>
          </w:tcPr>
          <w:p w14:paraId="2EF2355C" w14:textId="77777777" w:rsidR="002D3CA7" w:rsidRPr="00C56257" w:rsidRDefault="002D3CA7" w:rsidP="008E33FD">
            <w:pPr>
              <w:jc w:val="both"/>
              <w:rPr>
                <w:rFonts w:eastAsia="Calibri"/>
                <w:color w:val="000000" w:themeColor="text1"/>
                <w:lang w:val="en-US"/>
              </w:rPr>
            </w:pPr>
            <w:proofErr w:type="spellStart"/>
            <w:r w:rsidRPr="00C56257">
              <w:rPr>
                <w:rFonts w:eastAsia="Calibri"/>
                <w:color w:val="000000" w:themeColor="text1"/>
                <w:lang w:val="en-US"/>
              </w:rPr>
              <w:t>Pășunat</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intensiv</w:t>
            </w:r>
            <w:proofErr w:type="spellEnd"/>
          </w:p>
        </w:tc>
        <w:tc>
          <w:tcPr>
            <w:tcW w:w="726" w:type="pct"/>
            <w:tcBorders>
              <w:top w:val="single" w:sz="4" w:space="0" w:color="auto"/>
              <w:left w:val="single" w:sz="4" w:space="0" w:color="auto"/>
              <w:bottom w:val="single" w:sz="4" w:space="0" w:color="auto"/>
              <w:right w:val="single" w:sz="4" w:space="0" w:color="auto"/>
            </w:tcBorders>
            <w:hideMark/>
          </w:tcPr>
          <w:p w14:paraId="1CF5DF2B"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r>
      <w:tr w:rsidR="00673EFE" w:rsidRPr="00C56257" w14:paraId="1CE5D050" w14:textId="77777777" w:rsidTr="002825C6">
        <w:tc>
          <w:tcPr>
            <w:tcW w:w="357" w:type="pct"/>
            <w:tcBorders>
              <w:top w:val="single" w:sz="4" w:space="0" w:color="auto"/>
              <w:left w:val="single" w:sz="4" w:space="0" w:color="auto"/>
              <w:bottom w:val="single" w:sz="4" w:space="0" w:color="auto"/>
              <w:right w:val="single" w:sz="4" w:space="0" w:color="auto"/>
            </w:tcBorders>
            <w:vAlign w:val="center"/>
            <w:hideMark/>
          </w:tcPr>
          <w:p w14:paraId="6EB31BE9"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L01</w:t>
            </w:r>
          </w:p>
        </w:tc>
        <w:tc>
          <w:tcPr>
            <w:tcW w:w="1418" w:type="pct"/>
            <w:tcBorders>
              <w:top w:val="single" w:sz="4" w:space="0" w:color="auto"/>
              <w:left w:val="single" w:sz="4" w:space="0" w:color="auto"/>
              <w:bottom w:val="single" w:sz="4" w:space="0" w:color="auto"/>
              <w:right w:val="single" w:sz="4" w:space="0" w:color="auto"/>
            </w:tcBorders>
            <w:vAlign w:val="center"/>
            <w:hideMark/>
          </w:tcPr>
          <w:p w14:paraId="6842BB1E" w14:textId="77777777" w:rsidR="002D3CA7" w:rsidRPr="00C56257" w:rsidRDefault="002D3CA7" w:rsidP="008E33FD">
            <w:pPr>
              <w:jc w:val="both"/>
              <w:rPr>
                <w:rFonts w:eastAsia="Calibri"/>
                <w:color w:val="000000" w:themeColor="text1"/>
                <w:lang w:val="fr-FR"/>
              </w:rPr>
            </w:pPr>
            <w:proofErr w:type="spellStart"/>
            <w:r w:rsidRPr="00C56257">
              <w:rPr>
                <w:rFonts w:eastAsia="Calibri"/>
                <w:color w:val="000000" w:themeColor="text1"/>
                <w:lang w:val="fr-FR"/>
              </w:rPr>
              <w:t>Procese</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abiotice</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naturale</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eroziune</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secetă</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salinizare</w:t>
            </w:r>
            <w:proofErr w:type="spellEnd"/>
            <w:r w:rsidRPr="00C56257">
              <w:rPr>
                <w:rFonts w:eastAsia="Calibri"/>
                <w:color w:val="000000" w:themeColor="text1"/>
                <w:lang w:val="fr-FR"/>
              </w:rPr>
              <w:t>, etc.)</w:t>
            </w:r>
          </w:p>
        </w:tc>
        <w:tc>
          <w:tcPr>
            <w:tcW w:w="735" w:type="pct"/>
            <w:tcBorders>
              <w:top w:val="single" w:sz="4" w:space="0" w:color="auto"/>
              <w:left w:val="single" w:sz="4" w:space="0" w:color="auto"/>
              <w:bottom w:val="single" w:sz="4" w:space="0" w:color="auto"/>
              <w:right w:val="single" w:sz="4" w:space="0" w:color="auto"/>
            </w:tcBorders>
            <w:vAlign w:val="center"/>
            <w:hideMark/>
          </w:tcPr>
          <w:p w14:paraId="6311694E"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c>
          <w:tcPr>
            <w:tcW w:w="357" w:type="pct"/>
            <w:tcBorders>
              <w:top w:val="single" w:sz="4" w:space="0" w:color="auto"/>
              <w:left w:val="single" w:sz="4" w:space="0" w:color="auto"/>
              <w:bottom w:val="single" w:sz="4" w:space="0" w:color="auto"/>
              <w:right w:val="single" w:sz="4" w:space="0" w:color="auto"/>
            </w:tcBorders>
            <w:vAlign w:val="center"/>
            <w:hideMark/>
          </w:tcPr>
          <w:p w14:paraId="2E01B565"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L01</w:t>
            </w:r>
          </w:p>
        </w:tc>
        <w:tc>
          <w:tcPr>
            <w:tcW w:w="1406" w:type="pct"/>
            <w:tcBorders>
              <w:top w:val="single" w:sz="4" w:space="0" w:color="auto"/>
              <w:left w:val="single" w:sz="4" w:space="0" w:color="auto"/>
              <w:bottom w:val="single" w:sz="4" w:space="0" w:color="auto"/>
              <w:right w:val="single" w:sz="4" w:space="0" w:color="auto"/>
            </w:tcBorders>
            <w:vAlign w:val="center"/>
            <w:hideMark/>
          </w:tcPr>
          <w:p w14:paraId="1298B84A" w14:textId="77777777" w:rsidR="002D3CA7" w:rsidRPr="00C56257" w:rsidRDefault="002D3CA7" w:rsidP="008E33FD">
            <w:pPr>
              <w:jc w:val="both"/>
              <w:rPr>
                <w:rFonts w:eastAsia="Calibri"/>
                <w:color w:val="000000" w:themeColor="text1"/>
                <w:lang w:val="fr-FR"/>
              </w:rPr>
            </w:pPr>
            <w:proofErr w:type="spellStart"/>
            <w:r w:rsidRPr="00C56257">
              <w:rPr>
                <w:rFonts w:eastAsia="Calibri"/>
                <w:color w:val="000000" w:themeColor="text1"/>
                <w:lang w:val="fr-FR"/>
              </w:rPr>
              <w:t>Procese</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abiotice</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naturale</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eroziune</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secetă</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salinizare</w:t>
            </w:r>
            <w:proofErr w:type="spellEnd"/>
            <w:r w:rsidRPr="00C56257">
              <w:rPr>
                <w:rFonts w:eastAsia="Calibri"/>
                <w:color w:val="000000" w:themeColor="text1"/>
                <w:lang w:val="fr-FR"/>
              </w:rPr>
              <w:t>, etc.)</w:t>
            </w:r>
          </w:p>
        </w:tc>
        <w:tc>
          <w:tcPr>
            <w:tcW w:w="726" w:type="pct"/>
            <w:tcBorders>
              <w:top w:val="single" w:sz="4" w:space="0" w:color="auto"/>
              <w:left w:val="single" w:sz="4" w:space="0" w:color="auto"/>
              <w:bottom w:val="single" w:sz="4" w:space="0" w:color="auto"/>
              <w:right w:val="single" w:sz="4" w:space="0" w:color="auto"/>
            </w:tcBorders>
            <w:vAlign w:val="center"/>
            <w:hideMark/>
          </w:tcPr>
          <w:p w14:paraId="07E2A522"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r>
    </w:tbl>
    <w:p w14:paraId="37754110" w14:textId="77777777" w:rsidR="002D3CA7" w:rsidRPr="00C56257" w:rsidRDefault="002D3CA7" w:rsidP="008E33FD">
      <w:pPr>
        <w:spacing w:line="276" w:lineRule="auto"/>
        <w:ind w:left="360"/>
        <w:jc w:val="both"/>
        <w:rPr>
          <w:b/>
          <w:color w:val="000000" w:themeColor="text1"/>
        </w:rPr>
      </w:pPr>
    </w:p>
    <w:p w14:paraId="284DDEE7" w14:textId="77777777" w:rsidR="002D3CA7" w:rsidRPr="00C56257" w:rsidRDefault="002D3CA7" w:rsidP="008E33FD">
      <w:pPr>
        <w:spacing w:after="200" w:line="276" w:lineRule="auto"/>
        <w:ind w:left="360"/>
        <w:jc w:val="both"/>
        <w:rPr>
          <w:b/>
          <w:color w:val="000000" w:themeColor="text1"/>
        </w:rPr>
      </w:pPr>
      <w:r w:rsidRPr="00C56257">
        <w:rPr>
          <w:b/>
          <w:color w:val="000000" w:themeColor="text1"/>
        </w:rPr>
        <w:t>40A0* - Tufărişuri subcontinentale peripanonice</w:t>
      </w:r>
    </w:p>
    <w:p w14:paraId="4E6D0076" w14:textId="77777777" w:rsidR="002D3CA7" w:rsidRPr="00C56257" w:rsidRDefault="002D3CA7" w:rsidP="008E33FD">
      <w:pPr>
        <w:spacing w:line="276" w:lineRule="auto"/>
        <w:ind w:left="360"/>
        <w:jc w:val="both"/>
        <w:rPr>
          <w:b/>
          <w:color w:val="000000" w:themeColor="text1"/>
        </w:rPr>
      </w:pPr>
      <w:r w:rsidRPr="00C56257">
        <w:rPr>
          <w:b/>
          <w:color w:val="000000" w:themeColor="text1"/>
        </w:rPr>
        <w:t>Regiunea biogeografică Alpină</w:t>
      </w:r>
    </w:p>
    <w:tbl>
      <w:tblPr>
        <w:tblStyle w:val="TableGrid1"/>
        <w:tblW w:w="5000" w:type="pct"/>
        <w:tblInd w:w="0" w:type="dxa"/>
        <w:tblLook w:val="04A0" w:firstRow="1" w:lastRow="0" w:firstColumn="1" w:lastColumn="0" w:noHBand="0" w:noVBand="1"/>
      </w:tblPr>
      <w:tblGrid>
        <w:gridCol w:w="714"/>
        <w:gridCol w:w="2834"/>
        <w:gridCol w:w="1471"/>
        <w:gridCol w:w="714"/>
        <w:gridCol w:w="2810"/>
        <w:gridCol w:w="1451"/>
      </w:tblGrid>
      <w:tr w:rsidR="00673EFE" w:rsidRPr="00C56257" w14:paraId="32E5E11C" w14:textId="77777777" w:rsidTr="002825C6">
        <w:tc>
          <w:tcPr>
            <w:tcW w:w="2511" w:type="pct"/>
            <w:gridSpan w:val="3"/>
            <w:tcBorders>
              <w:top w:val="single" w:sz="4" w:space="0" w:color="auto"/>
              <w:left w:val="single" w:sz="4" w:space="0" w:color="auto"/>
              <w:bottom w:val="single" w:sz="4" w:space="0" w:color="auto"/>
              <w:right w:val="single" w:sz="4" w:space="0" w:color="auto"/>
            </w:tcBorders>
            <w:hideMark/>
          </w:tcPr>
          <w:p w14:paraId="46B77FB7"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Presiuni</w:t>
            </w:r>
            <w:proofErr w:type="spellEnd"/>
          </w:p>
        </w:tc>
        <w:tc>
          <w:tcPr>
            <w:tcW w:w="2489" w:type="pct"/>
            <w:gridSpan w:val="3"/>
            <w:tcBorders>
              <w:top w:val="single" w:sz="4" w:space="0" w:color="auto"/>
              <w:left w:val="single" w:sz="4" w:space="0" w:color="auto"/>
              <w:bottom w:val="single" w:sz="4" w:space="0" w:color="auto"/>
              <w:right w:val="single" w:sz="4" w:space="0" w:color="auto"/>
            </w:tcBorders>
            <w:hideMark/>
          </w:tcPr>
          <w:p w14:paraId="08AB68F3"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Amenințări</w:t>
            </w:r>
            <w:proofErr w:type="spellEnd"/>
          </w:p>
        </w:tc>
      </w:tr>
      <w:tr w:rsidR="00673EFE" w:rsidRPr="00C56257" w14:paraId="52D7B097" w14:textId="77777777" w:rsidTr="002825C6">
        <w:tc>
          <w:tcPr>
            <w:tcW w:w="357" w:type="pct"/>
            <w:tcBorders>
              <w:top w:val="single" w:sz="4" w:space="0" w:color="auto"/>
              <w:left w:val="single" w:sz="4" w:space="0" w:color="auto"/>
              <w:bottom w:val="single" w:sz="4" w:space="0" w:color="auto"/>
              <w:right w:val="single" w:sz="4" w:space="0" w:color="auto"/>
            </w:tcBorders>
            <w:hideMark/>
          </w:tcPr>
          <w:p w14:paraId="37F9B6CE" w14:textId="77777777" w:rsidR="002D3CA7" w:rsidRPr="00C56257" w:rsidRDefault="002D3CA7" w:rsidP="008E33FD">
            <w:pPr>
              <w:jc w:val="both"/>
              <w:rPr>
                <w:rFonts w:eastAsia="Calibri"/>
                <w:b/>
                <w:bCs/>
                <w:color w:val="000000" w:themeColor="text1"/>
                <w:lang w:val="en-US"/>
              </w:rPr>
            </w:pPr>
            <w:r w:rsidRPr="00C56257">
              <w:rPr>
                <w:rFonts w:eastAsia="Calibri"/>
                <w:b/>
                <w:bCs/>
                <w:color w:val="000000" w:themeColor="text1"/>
                <w:lang w:val="en-US"/>
              </w:rPr>
              <w:t>Cod</w:t>
            </w:r>
          </w:p>
        </w:tc>
        <w:tc>
          <w:tcPr>
            <w:tcW w:w="1418" w:type="pct"/>
            <w:tcBorders>
              <w:top w:val="single" w:sz="4" w:space="0" w:color="auto"/>
              <w:left w:val="single" w:sz="4" w:space="0" w:color="auto"/>
              <w:bottom w:val="single" w:sz="4" w:space="0" w:color="auto"/>
              <w:right w:val="single" w:sz="4" w:space="0" w:color="auto"/>
            </w:tcBorders>
            <w:hideMark/>
          </w:tcPr>
          <w:p w14:paraId="01E6C931"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Denumire</w:t>
            </w:r>
            <w:proofErr w:type="spellEnd"/>
          </w:p>
        </w:tc>
        <w:tc>
          <w:tcPr>
            <w:tcW w:w="735" w:type="pct"/>
            <w:tcBorders>
              <w:top w:val="single" w:sz="4" w:space="0" w:color="auto"/>
              <w:left w:val="single" w:sz="4" w:space="0" w:color="auto"/>
              <w:bottom w:val="single" w:sz="4" w:space="0" w:color="auto"/>
              <w:right w:val="single" w:sz="4" w:space="0" w:color="auto"/>
            </w:tcBorders>
            <w:hideMark/>
          </w:tcPr>
          <w:p w14:paraId="0DC113CD"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Intensitate</w:t>
            </w:r>
            <w:proofErr w:type="spellEnd"/>
          </w:p>
        </w:tc>
        <w:tc>
          <w:tcPr>
            <w:tcW w:w="357" w:type="pct"/>
            <w:tcBorders>
              <w:top w:val="single" w:sz="4" w:space="0" w:color="auto"/>
              <w:left w:val="single" w:sz="4" w:space="0" w:color="auto"/>
              <w:bottom w:val="single" w:sz="4" w:space="0" w:color="auto"/>
              <w:right w:val="single" w:sz="4" w:space="0" w:color="auto"/>
            </w:tcBorders>
            <w:hideMark/>
          </w:tcPr>
          <w:p w14:paraId="43215F64" w14:textId="77777777" w:rsidR="002D3CA7" w:rsidRPr="00C56257" w:rsidRDefault="002D3CA7" w:rsidP="008E33FD">
            <w:pPr>
              <w:jc w:val="both"/>
              <w:rPr>
                <w:rFonts w:eastAsia="Calibri"/>
                <w:b/>
                <w:bCs/>
                <w:color w:val="000000" w:themeColor="text1"/>
                <w:lang w:val="en-US"/>
              </w:rPr>
            </w:pPr>
            <w:r w:rsidRPr="00C56257">
              <w:rPr>
                <w:rFonts w:eastAsia="Calibri"/>
                <w:b/>
                <w:bCs/>
                <w:color w:val="000000" w:themeColor="text1"/>
                <w:lang w:val="en-US"/>
              </w:rPr>
              <w:t>Cod</w:t>
            </w:r>
          </w:p>
        </w:tc>
        <w:tc>
          <w:tcPr>
            <w:tcW w:w="1406" w:type="pct"/>
            <w:tcBorders>
              <w:top w:val="single" w:sz="4" w:space="0" w:color="auto"/>
              <w:left w:val="single" w:sz="4" w:space="0" w:color="auto"/>
              <w:bottom w:val="single" w:sz="4" w:space="0" w:color="auto"/>
              <w:right w:val="single" w:sz="4" w:space="0" w:color="auto"/>
            </w:tcBorders>
            <w:hideMark/>
          </w:tcPr>
          <w:p w14:paraId="7255477B"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Denumire</w:t>
            </w:r>
            <w:proofErr w:type="spellEnd"/>
          </w:p>
        </w:tc>
        <w:tc>
          <w:tcPr>
            <w:tcW w:w="726" w:type="pct"/>
            <w:tcBorders>
              <w:top w:val="single" w:sz="4" w:space="0" w:color="auto"/>
              <w:left w:val="single" w:sz="4" w:space="0" w:color="auto"/>
              <w:bottom w:val="single" w:sz="4" w:space="0" w:color="auto"/>
              <w:right w:val="single" w:sz="4" w:space="0" w:color="auto"/>
            </w:tcBorders>
            <w:hideMark/>
          </w:tcPr>
          <w:p w14:paraId="4CA436D0"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Intensitate</w:t>
            </w:r>
            <w:proofErr w:type="spellEnd"/>
          </w:p>
        </w:tc>
      </w:tr>
      <w:tr w:rsidR="00673EFE" w:rsidRPr="00C56257" w14:paraId="7E544051" w14:textId="77777777" w:rsidTr="002825C6">
        <w:tc>
          <w:tcPr>
            <w:tcW w:w="357" w:type="pct"/>
            <w:tcBorders>
              <w:top w:val="single" w:sz="4" w:space="0" w:color="auto"/>
              <w:left w:val="single" w:sz="4" w:space="0" w:color="auto"/>
              <w:bottom w:val="single" w:sz="4" w:space="0" w:color="auto"/>
              <w:right w:val="single" w:sz="4" w:space="0" w:color="auto"/>
            </w:tcBorders>
            <w:hideMark/>
          </w:tcPr>
          <w:p w14:paraId="379E6154"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A09</w:t>
            </w:r>
          </w:p>
        </w:tc>
        <w:tc>
          <w:tcPr>
            <w:tcW w:w="1418" w:type="pct"/>
            <w:tcBorders>
              <w:top w:val="single" w:sz="4" w:space="0" w:color="auto"/>
              <w:left w:val="single" w:sz="4" w:space="0" w:color="auto"/>
              <w:bottom w:val="single" w:sz="4" w:space="0" w:color="auto"/>
              <w:right w:val="single" w:sz="4" w:space="0" w:color="auto"/>
            </w:tcBorders>
            <w:hideMark/>
          </w:tcPr>
          <w:p w14:paraId="5208B080" w14:textId="77777777" w:rsidR="002D3CA7" w:rsidRPr="00C56257" w:rsidRDefault="002D3CA7" w:rsidP="008E33FD">
            <w:pPr>
              <w:jc w:val="both"/>
              <w:rPr>
                <w:rFonts w:eastAsia="Calibri"/>
                <w:color w:val="000000" w:themeColor="text1"/>
                <w:lang w:val="en-US"/>
              </w:rPr>
            </w:pPr>
            <w:proofErr w:type="spellStart"/>
            <w:r w:rsidRPr="00C56257">
              <w:rPr>
                <w:rFonts w:eastAsia="Calibri"/>
                <w:color w:val="000000" w:themeColor="text1"/>
                <w:lang w:val="en-US"/>
              </w:rPr>
              <w:t>Pășunat</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intensiv</w:t>
            </w:r>
            <w:proofErr w:type="spellEnd"/>
          </w:p>
        </w:tc>
        <w:tc>
          <w:tcPr>
            <w:tcW w:w="735" w:type="pct"/>
            <w:tcBorders>
              <w:top w:val="single" w:sz="4" w:space="0" w:color="auto"/>
              <w:left w:val="single" w:sz="4" w:space="0" w:color="auto"/>
              <w:bottom w:val="single" w:sz="4" w:space="0" w:color="auto"/>
              <w:right w:val="single" w:sz="4" w:space="0" w:color="auto"/>
            </w:tcBorders>
            <w:hideMark/>
          </w:tcPr>
          <w:p w14:paraId="3268084D"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c>
          <w:tcPr>
            <w:tcW w:w="357" w:type="pct"/>
            <w:tcBorders>
              <w:top w:val="single" w:sz="4" w:space="0" w:color="auto"/>
              <w:left w:val="single" w:sz="4" w:space="0" w:color="auto"/>
              <w:bottom w:val="single" w:sz="4" w:space="0" w:color="auto"/>
              <w:right w:val="single" w:sz="4" w:space="0" w:color="auto"/>
            </w:tcBorders>
            <w:hideMark/>
          </w:tcPr>
          <w:p w14:paraId="5C1337BB"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A09</w:t>
            </w:r>
          </w:p>
        </w:tc>
        <w:tc>
          <w:tcPr>
            <w:tcW w:w="1406" w:type="pct"/>
            <w:tcBorders>
              <w:top w:val="single" w:sz="4" w:space="0" w:color="auto"/>
              <w:left w:val="single" w:sz="4" w:space="0" w:color="auto"/>
              <w:bottom w:val="single" w:sz="4" w:space="0" w:color="auto"/>
              <w:right w:val="single" w:sz="4" w:space="0" w:color="auto"/>
            </w:tcBorders>
            <w:hideMark/>
          </w:tcPr>
          <w:p w14:paraId="684DDEE4" w14:textId="77777777" w:rsidR="002D3CA7" w:rsidRPr="00C56257" w:rsidRDefault="002D3CA7" w:rsidP="008E33FD">
            <w:pPr>
              <w:jc w:val="both"/>
              <w:rPr>
                <w:rFonts w:eastAsia="Calibri"/>
                <w:color w:val="000000" w:themeColor="text1"/>
                <w:lang w:val="en-US"/>
              </w:rPr>
            </w:pPr>
            <w:proofErr w:type="spellStart"/>
            <w:r w:rsidRPr="00C56257">
              <w:rPr>
                <w:rFonts w:eastAsia="Calibri"/>
                <w:color w:val="000000" w:themeColor="text1"/>
                <w:lang w:val="en-US"/>
              </w:rPr>
              <w:t>Pășunat</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intensiv</w:t>
            </w:r>
            <w:proofErr w:type="spellEnd"/>
          </w:p>
        </w:tc>
        <w:tc>
          <w:tcPr>
            <w:tcW w:w="726" w:type="pct"/>
            <w:tcBorders>
              <w:top w:val="single" w:sz="4" w:space="0" w:color="auto"/>
              <w:left w:val="single" w:sz="4" w:space="0" w:color="auto"/>
              <w:bottom w:val="single" w:sz="4" w:space="0" w:color="auto"/>
              <w:right w:val="single" w:sz="4" w:space="0" w:color="auto"/>
            </w:tcBorders>
            <w:hideMark/>
          </w:tcPr>
          <w:p w14:paraId="0E6CC87E"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r>
    </w:tbl>
    <w:p w14:paraId="01346CA0" w14:textId="77777777" w:rsidR="002D3CA7" w:rsidRPr="00C56257" w:rsidRDefault="002D3CA7" w:rsidP="008E33FD">
      <w:pPr>
        <w:spacing w:line="276" w:lineRule="auto"/>
        <w:ind w:left="360"/>
        <w:jc w:val="both"/>
        <w:rPr>
          <w:b/>
          <w:color w:val="000000" w:themeColor="text1"/>
        </w:rPr>
      </w:pPr>
    </w:p>
    <w:p w14:paraId="5337D9B7" w14:textId="77777777" w:rsidR="002D3CA7" w:rsidRPr="00C56257" w:rsidRDefault="002D3CA7" w:rsidP="008E33FD">
      <w:pPr>
        <w:spacing w:line="276" w:lineRule="auto"/>
        <w:ind w:left="360"/>
        <w:jc w:val="both"/>
        <w:rPr>
          <w:b/>
          <w:color w:val="000000" w:themeColor="text1"/>
        </w:rPr>
      </w:pPr>
      <w:r w:rsidRPr="00C56257">
        <w:rPr>
          <w:b/>
          <w:color w:val="000000" w:themeColor="text1"/>
        </w:rPr>
        <w:t>Regiunea biogeografică Continentală</w:t>
      </w:r>
    </w:p>
    <w:tbl>
      <w:tblPr>
        <w:tblStyle w:val="TableGrid1"/>
        <w:tblW w:w="5000" w:type="pct"/>
        <w:tblInd w:w="0" w:type="dxa"/>
        <w:tblLook w:val="04A0" w:firstRow="1" w:lastRow="0" w:firstColumn="1" w:lastColumn="0" w:noHBand="0" w:noVBand="1"/>
      </w:tblPr>
      <w:tblGrid>
        <w:gridCol w:w="714"/>
        <w:gridCol w:w="2834"/>
        <w:gridCol w:w="1471"/>
        <w:gridCol w:w="714"/>
        <w:gridCol w:w="2810"/>
        <w:gridCol w:w="1451"/>
      </w:tblGrid>
      <w:tr w:rsidR="00673EFE" w:rsidRPr="00C56257" w14:paraId="2D387CD6" w14:textId="77777777" w:rsidTr="002825C6">
        <w:tc>
          <w:tcPr>
            <w:tcW w:w="2511" w:type="pct"/>
            <w:gridSpan w:val="3"/>
            <w:tcBorders>
              <w:top w:val="single" w:sz="4" w:space="0" w:color="auto"/>
              <w:left w:val="single" w:sz="4" w:space="0" w:color="auto"/>
              <w:bottom w:val="single" w:sz="4" w:space="0" w:color="auto"/>
              <w:right w:val="single" w:sz="4" w:space="0" w:color="auto"/>
            </w:tcBorders>
            <w:hideMark/>
          </w:tcPr>
          <w:p w14:paraId="20A8260A"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Presiuni</w:t>
            </w:r>
            <w:proofErr w:type="spellEnd"/>
          </w:p>
        </w:tc>
        <w:tc>
          <w:tcPr>
            <w:tcW w:w="2489" w:type="pct"/>
            <w:gridSpan w:val="3"/>
            <w:tcBorders>
              <w:top w:val="single" w:sz="4" w:space="0" w:color="auto"/>
              <w:left w:val="single" w:sz="4" w:space="0" w:color="auto"/>
              <w:bottom w:val="single" w:sz="4" w:space="0" w:color="auto"/>
              <w:right w:val="single" w:sz="4" w:space="0" w:color="auto"/>
            </w:tcBorders>
            <w:hideMark/>
          </w:tcPr>
          <w:p w14:paraId="6DC8036E"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Amenințări</w:t>
            </w:r>
            <w:proofErr w:type="spellEnd"/>
          </w:p>
        </w:tc>
      </w:tr>
      <w:tr w:rsidR="00673EFE" w:rsidRPr="00C56257" w14:paraId="6ED3AAEB" w14:textId="77777777" w:rsidTr="002825C6">
        <w:tc>
          <w:tcPr>
            <w:tcW w:w="357" w:type="pct"/>
            <w:tcBorders>
              <w:top w:val="single" w:sz="4" w:space="0" w:color="auto"/>
              <w:left w:val="single" w:sz="4" w:space="0" w:color="auto"/>
              <w:bottom w:val="single" w:sz="4" w:space="0" w:color="auto"/>
              <w:right w:val="single" w:sz="4" w:space="0" w:color="auto"/>
            </w:tcBorders>
            <w:hideMark/>
          </w:tcPr>
          <w:p w14:paraId="6B19EA8B" w14:textId="77777777" w:rsidR="002D3CA7" w:rsidRPr="00C56257" w:rsidRDefault="002D3CA7" w:rsidP="008E33FD">
            <w:pPr>
              <w:jc w:val="both"/>
              <w:rPr>
                <w:rFonts w:eastAsia="Calibri"/>
                <w:b/>
                <w:bCs/>
                <w:color w:val="000000" w:themeColor="text1"/>
                <w:lang w:val="en-US"/>
              </w:rPr>
            </w:pPr>
            <w:r w:rsidRPr="00C56257">
              <w:rPr>
                <w:rFonts w:eastAsia="Calibri"/>
                <w:b/>
                <w:bCs/>
                <w:color w:val="000000" w:themeColor="text1"/>
                <w:lang w:val="en-US"/>
              </w:rPr>
              <w:t>Cod</w:t>
            </w:r>
          </w:p>
        </w:tc>
        <w:tc>
          <w:tcPr>
            <w:tcW w:w="1418" w:type="pct"/>
            <w:tcBorders>
              <w:top w:val="single" w:sz="4" w:space="0" w:color="auto"/>
              <w:left w:val="single" w:sz="4" w:space="0" w:color="auto"/>
              <w:bottom w:val="single" w:sz="4" w:space="0" w:color="auto"/>
              <w:right w:val="single" w:sz="4" w:space="0" w:color="auto"/>
            </w:tcBorders>
            <w:hideMark/>
          </w:tcPr>
          <w:p w14:paraId="5C47B74D"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Denumire</w:t>
            </w:r>
            <w:proofErr w:type="spellEnd"/>
          </w:p>
        </w:tc>
        <w:tc>
          <w:tcPr>
            <w:tcW w:w="735" w:type="pct"/>
            <w:tcBorders>
              <w:top w:val="single" w:sz="4" w:space="0" w:color="auto"/>
              <w:left w:val="single" w:sz="4" w:space="0" w:color="auto"/>
              <w:bottom w:val="single" w:sz="4" w:space="0" w:color="auto"/>
              <w:right w:val="single" w:sz="4" w:space="0" w:color="auto"/>
            </w:tcBorders>
            <w:hideMark/>
          </w:tcPr>
          <w:p w14:paraId="464FF8E3"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Intensitate</w:t>
            </w:r>
            <w:proofErr w:type="spellEnd"/>
          </w:p>
        </w:tc>
        <w:tc>
          <w:tcPr>
            <w:tcW w:w="357" w:type="pct"/>
            <w:tcBorders>
              <w:top w:val="single" w:sz="4" w:space="0" w:color="auto"/>
              <w:left w:val="single" w:sz="4" w:space="0" w:color="auto"/>
              <w:bottom w:val="single" w:sz="4" w:space="0" w:color="auto"/>
              <w:right w:val="single" w:sz="4" w:space="0" w:color="auto"/>
            </w:tcBorders>
            <w:hideMark/>
          </w:tcPr>
          <w:p w14:paraId="050BF63C" w14:textId="77777777" w:rsidR="002D3CA7" w:rsidRPr="00C56257" w:rsidRDefault="002D3CA7" w:rsidP="008E33FD">
            <w:pPr>
              <w:jc w:val="both"/>
              <w:rPr>
                <w:rFonts w:eastAsia="Calibri"/>
                <w:b/>
                <w:bCs/>
                <w:color w:val="000000" w:themeColor="text1"/>
                <w:lang w:val="en-US"/>
              </w:rPr>
            </w:pPr>
            <w:r w:rsidRPr="00C56257">
              <w:rPr>
                <w:rFonts w:eastAsia="Calibri"/>
                <w:b/>
                <w:bCs/>
                <w:color w:val="000000" w:themeColor="text1"/>
                <w:lang w:val="en-US"/>
              </w:rPr>
              <w:t>Cod</w:t>
            </w:r>
          </w:p>
        </w:tc>
        <w:tc>
          <w:tcPr>
            <w:tcW w:w="1406" w:type="pct"/>
            <w:tcBorders>
              <w:top w:val="single" w:sz="4" w:space="0" w:color="auto"/>
              <w:left w:val="single" w:sz="4" w:space="0" w:color="auto"/>
              <w:bottom w:val="single" w:sz="4" w:space="0" w:color="auto"/>
              <w:right w:val="single" w:sz="4" w:space="0" w:color="auto"/>
            </w:tcBorders>
            <w:hideMark/>
          </w:tcPr>
          <w:p w14:paraId="36F20023"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Denumire</w:t>
            </w:r>
            <w:proofErr w:type="spellEnd"/>
          </w:p>
        </w:tc>
        <w:tc>
          <w:tcPr>
            <w:tcW w:w="726" w:type="pct"/>
            <w:tcBorders>
              <w:top w:val="single" w:sz="4" w:space="0" w:color="auto"/>
              <w:left w:val="single" w:sz="4" w:space="0" w:color="auto"/>
              <w:bottom w:val="single" w:sz="4" w:space="0" w:color="auto"/>
              <w:right w:val="single" w:sz="4" w:space="0" w:color="auto"/>
            </w:tcBorders>
            <w:hideMark/>
          </w:tcPr>
          <w:p w14:paraId="7CFC1C39"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Intensitate</w:t>
            </w:r>
            <w:proofErr w:type="spellEnd"/>
          </w:p>
        </w:tc>
      </w:tr>
      <w:tr w:rsidR="00673EFE" w:rsidRPr="00C56257" w14:paraId="54356EC6" w14:textId="77777777" w:rsidTr="002825C6">
        <w:tc>
          <w:tcPr>
            <w:tcW w:w="357" w:type="pct"/>
            <w:tcBorders>
              <w:top w:val="single" w:sz="4" w:space="0" w:color="auto"/>
              <w:left w:val="single" w:sz="4" w:space="0" w:color="auto"/>
              <w:bottom w:val="single" w:sz="4" w:space="0" w:color="auto"/>
              <w:right w:val="single" w:sz="4" w:space="0" w:color="auto"/>
            </w:tcBorders>
            <w:hideMark/>
          </w:tcPr>
          <w:p w14:paraId="4950EF15"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A09</w:t>
            </w:r>
          </w:p>
        </w:tc>
        <w:tc>
          <w:tcPr>
            <w:tcW w:w="1418" w:type="pct"/>
            <w:tcBorders>
              <w:top w:val="single" w:sz="4" w:space="0" w:color="auto"/>
              <w:left w:val="single" w:sz="4" w:space="0" w:color="auto"/>
              <w:bottom w:val="single" w:sz="4" w:space="0" w:color="auto"/>
              <w:right w:val="single" w:sz="4" w:space="0" w:color="auto"/>
            </w:tcBorders>
            <w:hideMark/>
          </w:tcPr>
          <w:p w14:paraId="40F0E041" w14:textId="77777777" w:rsidR="002D3CA7" w:rsidRPr="00C56257" w:rsidRDefault="002D3CA7" w:rsidP="008E33FD">
            <w:pPr>
              <w:jc w:val="both"/>
              <w:rPr>
                <w:rFonts w:eastAsia="Calibri"/>
                <w:color w:val="000000" w:themeColor="text1"/>
                <w:lang w:val="en-US"/>
              </w:rPr>
            </w:pPr>
            <w:proofErr w:type="spellStart"/>
            <w:r w:rsidRPr="00C56257">
              <w:rPr>
                <w:rFonts w:eastAsia="Calibri"/>
                <w:color w:val="000000" w:themeColor="text1"/>
                <w:lang w:val="en-US"/>
              </w:rPr>
              <w:t>Pășunat</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intensiv</w:t>
            </w:r>
            <w:proofErr w:type="spellEnd"/>
          </w:p>
        </w:tc>
        <w:tc>
          <w:tcPr>
            <w:tcW w:w="735" w:type="pct"/>
            <w:tcBorders>
              <w:top w:val="single" w:sz="4" w:space="0" w:color="auto"/>
              <w:left w:val="single" w:sz="4" w:space="0" w:color="auto"/>
              <w:bottom w:val="single" w:sz="4" w:space="0" w:color="auto"/>
              <w:right w:val="single" w:sz="4" w:space="0" w:color="auto"/>
            </w:tcBorders>
            <w:hideMark/>
          </w:tcPr>
          <w:p w14:paraId="73D7FF77"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c>
          <w:tcPr>
            <w:tcW w:w="357" w:type="pct"/>
            <w:tcBorders>
              <w:top w:val="single" w:sz="4" w:space="0" w:color="auto"/>
              <w:left w:val="single" w:sz="4" w:space="0" w:color="auto"/>
              <w:bottom w:val="single" w:sz="4" w:space="0" w:color="auto"/>
              <w:right w:val="single" w:sz="4" w:space="0" w:color="auto"/>
            </w:tcBorders>
            <w:hideMark/>
          </w:tcPr>
          <w:p w14:paraId="407080FA"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A09</w:t>
            </w:r>
          </w:p>
        </w:tc>
        <w:tc>
          <w:tcPr>
            <w:tcW w:w="1406" w:type="pct"/>
            <w:tcBorders>
              <w:top w:val="single" w:sz="4" w:space="0" w:color="auto"/>
              <w:left w:val="single" w:sz="4" w:space="0" w:color="auto"/>
              <w:bottom w:val="single" w:sz="4" w:space="0" w:color="auto"/>
              <w:right w:val="single" w:sz="4" w:space="0" w:color="auto"/>
            </w:tcBorders>
            <w:hideMark/>
          </w:tcPr>
          <w:p w14:paraId="3710BD54" w14:textId="77777777" w:rsidR="002D3CA7" w:rsidRPr="00C56257" w:rsidRDefault="002D3CA7" w:rsidP="008E33FD">
            <w:pPr>
              <w:jc w:val="both"/>
              <w:rPr>
                <w:rFonts w:eastAsia="Calibri"/>
                <w:color w:val="000000" w:themeColor="text1"/>
                <w:lang w:val="en-US"/>
              </w:rPr>
            </w:pPr>
            <w:proofErr w:type="spellStart"/>
            <w:r w:rsidRPr="00C56257">
              <w:rPr>
                <w:rFonts w:eastAsia="Calibri"/>
                <w:color w:val="000000" w:themeColor="text1"/>
                <w:lang w:val="en-US"/>
              </w:rPr>
              <w:t>Pășunat</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intensiv</w:t>
            </w:r>
            <w:proofErr w:type="spellEnd"/>
          </w:p>
        </w:tc>
        <w:tc>
          <w:tcPr>
            <w:tcW w:w="726" w:type="pct"/>
            <w:tcBorders>
              <w:top w:val="single" w:sz="4" w:space="0" w:color="auto"/>
              <w:left w:val="single" w:sz="4" w:space="0" w:color="auto"/>
              <w:bottom w:val="single" w:sz="4" w:space="0" w:color="auto"/>
              <w:right w:val="single" w:sz="4" w:space="0" w:color="auto"/>
            </w:tcBorders>
            <w:hideMark/>
          </w:tcPr>
          <w:p w14:paraId="183C166F"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r>
    </w:tbl>
    <w:p w14:paraId="20E78297" w14:textId="77777777" w:rsidR="002D3CA7" w:rsidRPr="00C56257" w:rsidRDefault="002D3CA7" w:rsidP="008E33FD">
      <w:pPr>
        <w:spacing w:line="276" w:lineRule="auto"/>
        <w:ind w:left="360"/>
        <w:jc w:val="both"/>
        <w:rPr>
          <w:b/>
          <w:color w:val="000000" w:themeColor="text1"/>
        </w:rPr>
      </w:pPr>
    </w:p>
    <w:p w14:paraId="6C899A78" w14:textId="77777777" w:rsidR="002D3CA7" w:rsidRPr="00C56257" w:rsidRDefault="002D3CA7" w:rsidP="008E33FD">
      <w:pPr>
        <w:spacing w:line="276" w:lineRule="auto"/>
        <w:ind w:left="360"/>
        <w:jc w:val="both"/>
        <w:rPr>
          <w:b/>
          <w:color w:val="000000" w:themeColor="text1"/>
        </w:rPr>
      </w:pPr>
      <w:r w:rsidRPr="00C56257">
        <w:rPr>
          <w:b/>
          <w:color w:val="000000" w:themeColor="text1"/>
        </w:rPr>
        <w:t>Regiunea biogeografică Panonică</w:t>
      </w:r>
    </w:p>
    <w:tbl>
      <w:tblPr>
        <w:tblStyle w:val="TableGrid1"/>
        <w:tblW w:w="5000" w:type="pct"/>
        <w:tblInd w:w="0" w:type="dxa"/>
        <w:tblLook w:val="04A0" w:firstRow="1" w:lastRow="0" w:firstColumn="1" w:lastColumn="0" w:noHBand="0" w:noVBand="1"/>
      </w:tblPr>
      <w:tblGrid>
        <w:gridCol w:w="714"/>
        <w:gridCol w:w="2834"/>
        <w:gridCol w:w="1471"/>
        <w:gridCol w:w="714"/>
        <w:gridCol w:w="2810"/>
        <w:gridCol w:w="1451"/>
      </w:tblGrid>
      <w:tr w:rsidR="00673EFE" w:rsidRPr="00C56257" w14:paraId="4E692C2F" w14:textId="77777777" w:rsidTr="002825C6">
        <w:tc>
          <w:tcPr>
            <w:tcW w:w="2511" w:type="pct"/>
            <w:gridSpan w:val="3"/>
            <w:tcBorders>
              <w:top w:val="single" w:sz="4" w:space="0" w:color="auto"/>
              <w:left w:val="single" w:sz="4" w:space="0" w:color="auto"/>
              <w:bottom w:val="single" w:sz="4" w:space="0" w:color="auto"/>
              <w:right w:val="single" w:sz="4" w:space="0" w:color="auto"/>
            </w:tcBorders>
            <w:hideMark/>
          </w:tcPr>
          <w:p w14:paraId="75F7CF99"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Presiuni</w:t>
            </w:r>
            <w:proofErr w:type="spellEnd"/>
          </w:p>
        </w:tc>
        <w:tc>
          <w:tcPr>
            <w:tcW w:w="2489" w:type="pct"/>
            <w:gridSpan w:val="3"/>
            <w:tcBorders>
              <w:top w:val="single" w:sz="4" w:space="0" w:color="auto"/>
              <w:left w:val="single" w:sz="4" w:space="0" w:color="auto"/>
              <w:bottom w:val="single" w:sz="4" w:space="0" w:color="auto"/>
              <w:right w:val="single" w:sz="4" w:space="0" w:color="auto"/>
            </w:tcBorders>
            <w:hideMark/>
          </w:tcPr>
          <w:p w14:paraId="3EE410E6"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Amenințări</w:t>
            </w:r>
            <w:proofErr w:type="spellEnd"/>
          </w:p>
        </w:tc>
      </w:tr>
      <w:tr w:rsidR="00673EFE" w:rsidRPr="00C56257" w14:paraId="522F719F" w14:textId="77777777" w:rsidTr="002825C6">
        <w:tc>
          <w:tcPr>
            <w:tcW w:w="357" w:type="pct"/>
            <w:tcBorders>
              <w:top w:val="single" w:sz="4" w:space="0" w:color="auto"/>
              <w:left w:val="single" w:sz="4" w:space="0" w:color="auto"/>
              <w:bottom w:val="single" w:sz="4" w:space="0" w:color="auto"/>
              <w:right w:val="single" w:sz="4" w:space="0" w:color="auto"/>
            </w:tcBorders>
            <w:hideMark/>
          </w:tcPr>
          <w:p w14:paraId="33D0DEBE" w14:textId="77777777" w:rsidR="002D3CA7" w:rsidRPr="00C56257" w:rsidRDefault="002D3CA7" w:rsidP="008E33FD">
            <w:pPr>
              <w:jc w:val="both"/>
              <w:rPr>
                <w:rFonts w:eastAsia="Calibri"/>
                <w:b/>
                <w:bCs/>
                <w:color w:val="000000" w:themeColor="text1"/>
                <w:lang w:val="en-US"/>
              </w:rPr>
            </w:pPr>
            <w:r w:rsidRPr="00C56257">
              <w:rPr>
                <w:rFonts w:eastAsia="Calibri"/>
                <w:b/>
                <w:bCs/>
                <w:color w:val="000000" w:themeColor="text1"/>
                <w:lang w:val="en-US"/>
              </w:rPr>
              <w:t>Cod</w:t>
            </w:r>
          </w:p>
        </w:tc>
        <w:tc>
          <w:tcPr>
            <w:tcW w:w="1418" w:type="pct"/>
            <w:tcBorders>
              <w:top w:val="single" w:sz="4" w:space="0" w:color="auto"/>
              <w:left w:val="single" w:sz="4" w:space="0" w:color="auto"/>
              <w:bottom w:val="single" w:sz="4" w:space="0" w:color="auto"/>
              <w:right w:val="single" w:sz="4" w:space="0" w:color="auto"/>
            </w:tcBorders>
            <w:hideMark/>
          </w:tcPr>
          <w:p w14:paraId="6EFDE66D"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Denumire</w:t>
            </w:r>
            <w:proofErr w:type="spellEnd"/>
          </w:p>
        </w:tc>
        <w:tc>
          <w:tcPr>
            <w:tcW w:w="735" w:type="pct"/>
            <w:tcBorders>
              <w:top w:val="single" w:sz="4" w:space="0" w:color="auto"/>
              <w:left w:val="single" w:sz="4" w:space="0" w:color="auto"/>
              <w:bottom w:val="single" w:sz="4" w:space="0" w:color="auto"/>
              <w:right w:val="single" w:sz="4" w:space="0" w:color="auto"/>
            </w:tcBorders>
            <w:hideMark/>
          </w:tcPr>
          <w:p w14:paraId="1D7DE7C6"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Intensitate</w:t>
            </w:r>
            <w:proofErr w:type="spellEnd"/>
          </w:p>
        </w:tc>
        <w:tc>
          <w:tcPr>
            <w:tcW w:w="357" w:type="pct"/>
            <w:tcBorders>
              <w:top w:val="single" w:sz="4" w:space="0" w:color="auto"/>
              <w:left w:val="single" w:sz="4" w:space="0" w:color="auto"/>
              <w:bottom w:val="single" w:sz="4" w:space="0" w:color="auto"/>
              <w:right w:val="single" w:sz="4" w:space="0" w:color="auto"/>
            </w:tcBorders>
            <w:hideMark/>
          </w:tcPr>
          <w:p w14:paraId="02315A4B" w14:textId="77777777" w:rsidR="002D3CA7" w:rsidRPr="00C56257" w:rsidRDefault="002D3CA7" w:rsidP="008E33FD">
            <w:pPr>
              <w:jc w:val="both"/>
              <w:rPr>
                <w:rFonts w:eastAsia="Calibri"/>
                <w:b/>
                <w:bCs/>
                <w:color w:val="000000" w:themeColor="text1"/>
                <w:lang w:val="en-US"/>
              </w:rPr>
            </w:pPr>
            <w:r w:rsidRPr="00C56257">
              <w:rPr>
                <w:rFonts w:eastAsia="Calibri"/>
                <w:b/>
                <w:bCs/>
                <w:color w:val="000000" w:themeColor="text1"/>
                <w:lang w:val="en-US"/>
              </w:rPr>
              <w:t>Cod</w:t>
            </w:r>
          </w:p>
        </w:tc>
        <w:tc>
          <w:tcPr>
            <w:tcW w:w="1406" w:type="pct"/>
            <w:tcBorders>
              <w:top w:val="single" w:sz="4" w:space="0" w:color="auto"/>
              <w:left w:val="single" w:sz="4" w:space="0" w:color="auto"/>
              <w:bottom w:val="single" w:sz="4" w:space="0" w:color="auto"/>
              <w:right w:val="single" w:sz="4" w:space="0" w:color="auto"/>
            </w:tcBorders>
            <w:hideMark/>
          </w:tcPr>
          <w:p w14:paraId="3A61AE09"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Denumire</w:t>
            </w:r>
            <w:proofErr w:type="spellEnd"/>
          </w:p>
        </w:tc>
        <w:tc>
          <w:tcPr>
            <w:tcW w:w="726" w:type="pct"/>
            <w:tcBorders>
              <w:top w:val="single" w:sz="4" w:space="0" w:color="auto"/>
              <w:left w:val="single" w:sz="4" w:space="0" w:color="auto"/>
              <w:bottom w:val="single" w:sz="4" w:space="0" w:color="auto"/>
              <w:right w:val="single" w:sz="4" w:space="0" w:color="auto"/>
            </w:tcBorders>
            <w:hideMark/>
          </w:tcPr>
          <w:p w14:paraId="505E715A"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Intensitate</w:t>
            </w:r>
            <w:proofErr w:type="spellEnd"/>
          </w:p>
        </w:tc>
      </w:tr>
      <w:tr w:rsidR="00673EFE" w:rsidRPr="00C56257" w14:paraId="05298B37" w14:textId="77777777" w:rsidTr="002825C6">
        <w:tc>
          <w:tcPr>
            <w:tcW w:w="357" w:type="pct"/>
            <w:tcBorders>
              <w:top w:val="single" w:sz="4" w:space="0" w:color="auto"/>
              <w:left w:val="single" w:sz="4" w:space="0" w:color="auto"/>
              <w:bottom w:val="single" w:sz="4" w:space="0" w:color="auto"/>
              <w:right w:val="single" w:sz="4" w:space="0" w:color="auto"/>
            </w:tcBorders>
            <w:hideMark/>
          </w:tcPr>
          <w:p w14:paraId="0126B822"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A09</w:t>
            </w:r>
          </w:p>
        </w:tc>
        <w:tc>
          <w:tcPr>
            <w:tcW w:w="1418" w:type="pct"/>
            <w:tcBorders>
              <w:top w:val="single" w:sz="4" w:space="0" w:color="auto"/>
              <w:left w:val="single" w:sz="4" w:space="0" w:color="auto"/>
              <w:bottom w:val="single" w:sz="4" w:space="0" w:color="auto"/>
              <w:right w:val="single" w:sz="4" w:space="0" w:color="auto"/>
            </w:tcBorders>
            <w:hideMark/>
          </w:tcPr>
          <w:p w14:paraId="45729BE3" w14:textId="77777777" w:rsidR="002D3CA7" w:rsidRPr="00C56257" w:rsidRDefault="002D3CA7" w:rsidP="008E33FD">
            <w:pPr>
              <w:jc w:val="both"/>
              <w:rPr>
                <w:rFonts w:eastAsia="Calibri"/>
                <w:color w:val="000000" w:themeColor="text1"/>
                <w:lang w:val="en-US"/>
              </w:rPr>
            </w:pPr>
            <w:proofErr w:type="spellStart"/>
            <w:r w:rsidRPr="00C56257">
              <w:rPr>
                <w:rFonts w:eastAsia="Calibri"/>
                <w:color w:val="000000" w:themeColor="text1"/>
                <w:lang w:val="en-US"/>
              </w:rPr>
              <w:t>Pășunat</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intensiv</w:t>
            </w:r>
            <w:proofErr w:type="spellEnd"/>
          </w:p>
        </w:tc>
        <w:tc>
          <w:tcPr>
            <w:tcW w:w="735" w:type="pct"/>
            <w:tcBorders>
              <w:top w:val="single" w:sz="4" w:space="0" w:color="auto"/>
              <w:left w:val="single" w:sz="4" w:space="0" w:color="auto"/>
              <w:bottom w:val="single" w:sz="4" w:space="0" w:color="auto"/>
              <w:right w:val="single" w:sz="4" w:space="0" w:color="auto"/>
            </w:tcBorders>
            <w:hideMark/>
          </w:tcPr>
          <w:p w14:paraId="58D31B65"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c>
          <w:tcPr>
            <w:tcW w:w="357" w:type="pct"/>
            <w:tcBorders>
              <w:top w:val="single" w:sz="4" w:space="0" w:color="auto"/>
              <w:left w:val="single" w:sz="4" w:space="0" w:color="auto"/>
              <w:bottom w:val="single" w:sz="4" w:space="0" w:color="auto"/>
              <w:right w:val="single" w:sz="4" w:space="0" w:color="auto"/>
            </w:tcBorders>
            <w:hideMark/>
          </w:tcPr>
          <w:p w14:paraId="35CEE562"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A09</w:t>
            </w:r>
          </w:p>
        </w:tc>
        <w:tc>
          <w:tcPr>
            <w:tcW w:w="1406" w:type="pct"/>
            <w:tcBorders>
              <w:top w:val="single" w:sz="4" w:space="0" w:color="auto"/>
              <w:left w:val="single" w:sz="4" w:space="0" w:color="auto"/>
              <w:bottom w:val="single" w:sz="4" w:space="0" w:color="auto"/>
              <w:right w:val="single" w:sz="4" w:space="0" w:color="auto"/>
            </w:tcBorders>
            <w:hideMark/>
          </w:tcPr>
          <w:p w14:paraId="5D42A576" w14:textId="77777777" w:rsidR="002D3CA7" w:rsidRPr="00C56257" w:rsidRDefault="002D3CA7" w:rsidP="008E33FD">
            <w:pPr>
              <w:jc w:val="both"/>
              <w:rPr>
                <w:rFonts w:eastAsia="Calibri"/>
                <w:color w:val="000000" w:themeColor="text1"/>
                <w:lang w:val="en-US"/>
              </w:rPr>
            </w:pPr>
            <w:proofErr w:type="spellStart"/>
            <w:r w:rsidRPr="00C56257">
              <w:rPr>
                <w:rFonts w:eastAsia="Calibri"/>
                <w:color w:val="000000" w:themeColor="text1"/>
                <w:lang w:val="en-US"/>
              </w:rPr>
              <w:t>Pășunat</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intensiv</w:t>
            </w:r>
            <w:proofErr w:type="spellEnd"/>
          </w:p>
        </w:tc>
        <w:tc>
          <w:tcPr>
            <w:tcW w:w="726" w:type="pct"/>
            <w:tcBorders>
              <w:top w:val="single" w:sz="4" w:space="0" w:color="auto"/>
              <w:left w:val="single" w:sz="4" w:space="0" w:color="auto"/>
              <w:bottom w:val="single" w:sz="4" w:space="0" w:color="auto"/>
              <w:right w:val="single" w:sz="4" w:space="0" w:color="auto"/>
            </w:tcBorders>
            <w:hideMark/>
          </w:tcPr>
          <w:p w14:paraId="60D276EF"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r>
    </w:tbl>
    <w:p w14:paraId="25CE6F09" w14:textId="77777777" w:rsidR="002D3CA7" w:rsidRPr="00C56257" w:rsidRDefault="002D3CA7" w:rsidP="008E33FD">
      <w:pPr>
        <w:spacing w:line="276" w:lineRule="auto"/>
        <w:ind w:left="360"/>
        <w:jc w:val="both"/>
        <w:rPr>
          <w:b/>
          <w:color w:val="000000" w:themeColor="text1"/>
        </w:rPr>
      </w:pPr>
    </w:p>
    <w:p w14:paraId="7B866CA1" w14:textId="77777777" w:rsidR="002D3CA7" w:rsidRPr="00C56257" w:rsidRDefault="002D3CA7" w:rsidP="008E33FD">
      <w:pPr>
        <w:spacing w:after="200" w:line="276" w:lineRule="auto"/>
        <w:ind w:left="360"/>
        <w:jc w:val="both"/>
        <w:rPr>
          <w:b/>
          <w:color w:val="000000" w:themeColor="text1"/>
        </w:rPr>
      </w:pPr>
      <w:r w:rsidRPr="00C56257">
        <w:rPr>
          <w:b/>
          <w:color w:val="000000" w:themeColor="text1"/>
        </w:rPr>
        <w:t>40C0* - Tufărişuri caducifoliate ponto-sarmatice</w:t>
      </w:r>
    </w:p>
    <w:p w14:paraId="6F025DD0" w14:textId="77777777" w:rsidR="002D3CA7" w:rsidRPr="00C56257" w:rsidRDefault="002D3CA7" w:rsidP="008E33FD">
      <w:pPr>
        <w:spacing w:line="276" w:lineRule="auto"/>
        <w:ind w:left="360"/>
        <w:jc w:val="both"/>
        <w:rPr>
          <w:b/>
          <w:color w:val="000000" w:themeColor="text1"/>
        </w:rPr>
      </w:pPr>
      <w:r w:rsidRPr="00C56257">
        <w:rPr>
          <w:b/>
          <w:color w:val="000000" w:themeColor="text1"/>
        </w:rPr>
        <w:t>Regiunea biogeografică Continentală</w:t>
      </w:r>
    </w:p>
    <w:tbl>
      <w:tblPr>
        <w:tblStyle w:val="TableGrid1"/>
        <w:tblW w:w="5000" w:type="pct"/>
        <w:tblInd w:w="0" w:type="dxa"/>
        <w:tblLook w:val="04A0" w:firstRow="1" w:lastRow="0" w:firstColumn="1" w:lastColumn="0" w:noHBand="0" w:noVBand="1"/>
      </w:tblPr>
      <w:tblGrid>
        <w:gridCol w:w="714"/>
        <w:gridCol w:w="2834"/>
        <w:gridCol w:w="1471"/>
        <w:gridCol w:w="714"/>
        <w:gridCol w:w="2810"/>
        <w:gridCol w:w="1451"/>
      </w:tblGrid>
      <w:tr w:rsidR="00673EFE" w:rsidRPr="00C56257" w14:paraId="198EB9C1" w14:textId="77777777" w:rsidTr="002825C6">
        <w:tc>
          <w:tcPr>
            <w:tcW w:w="2511" w:type="pct"/>
            <w:gridSpan w:val="3"/>
            <w:tcBorders>
              <w:top w:val="single" w:sz="4" w:space="0" w:color="auto"/>
              <w:left w:val="single" w:sz="4" w:space="0" w:color="auto"/>
              <w:bottom w:val="single" w:sz="4" w:space="0" w:color="auto"/>
              <w:right w:val="single" w:sz="4" w:space="0" w:color="auto"/>
            </w:tcBorders>
            <w:hideMark/>
          </w:tcPr>
          <w:p w14:paraId="48D5E22F"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Presiuni</w:t>
            </w:r>
            <w:proofErr w:type="spellEnd"/>
          </w:p>
        </w:tc>
        <w:tc>
          <w:tcPr>
            <w:tcW w:w="2489" w:type="pct"/>
            <w:gridSpan w:val="3"/>
            <w:tcBorders>
              <w:top w:val="single" w:sz="4" w:space="0" w:color="auto"/>
              <w:left w:val="single" w:sz="4" w:space="0" w:color="auto"/>
              <w:bottom w:val="single" w:sz="4" w:space="0" w:color="auto"/>
              <w:right w:val="single" w:sz="4" w:space="0" w:color="auto"/>
            </w:tcBorders>
            <w:hideMark/>
          </w:tcPr>
          <w:p w14:paraId="5052F506"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Amenințări</w:t>
            </w:r>
            <w:proofErr w:type="spellEnd"/>
          </w:p>
        </w:tc>
      </w:tr>
      <w:tr w:rsidR="00673EFE" w:rsidRPr="00C56257" w14:paraId="3B52DC0F" w14:textId="77777777" w:rsidTr="002825C6">
        <w:tc>
          <w:tcPr>
            <w:tcW w:w="357" w:type="pct"/>
            <w:tcBorders>
              <w:top w:val="single" w:sz="4" w:space="0" w:color="auto"/>
              <w:left w:val="single" w:sz="4" w:space="0" w:color="auto"/>
              <w:bottom w:val="single" w:sz="4" w:space="0" w:color="auto"/>
              <w:right w:val="single" w:sz="4" w:space="0" w:color="auto"/>
            </w:tcBorders>
            <w:hideMark/>
          </w:tcPr>
          <w:p w14:paraId="1378DB09" w14:textId="77777777" w:rsidR="002D3CA7" w:rsidRPr="00C56257" w:rsidRDefault="002D3CA7" w:rsidP="008E33FD">
            <w:pPr>
              <w:jc w:val="both"/>
              <w:rPr>
                <w:rFonts w:eastAsia="Calibri"/>
                <w:b/>
                <w:bCs/>
                <w:color w:val="000000" w:themeColor="text1"/>
                <w:lang w:val="en-US"/>
              </w:rPr>
            </w:pPr>
            <w:r w:rsidRPr="00C56257">
              <w:rPr>
                <w:rFonts w:eastAsia="Calibri"/>
                <w:b/>
                <w:bCs/>
                <w:color w:val="000000" w:themeColor="text1"/>
                <w:lang w:val="en-US"/>
              </w:rPr>
              <w:t>Cod</w:t>
            </w:r>
          </w:p>
        </w:tc>
        <w:tc>
          <w:tcPr>
            <w:tcW w:w="1418" w:type="pct"/>
            <w:tcBorders>
              <w:top w:val="single" w:sz="4" w:space="0" w:color="auto"/>
              <w:left w:val="single" w:sz="4" w:space="0" w:color="auto"/>
              <w:bottom w:val="single" w:sz="4" w:space="0" w:color="auto"/>
              <w:right w:val="single" w:sz="4" w:space="0" w:color="auto"/>
            </w:tcBorders>
            <w:hideMark/>
          </w:tcPr>
          <w:p w14:paraId="1E77AB68"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Denumire</w:t>
            </w:r>
            <w:proofErr w:type="spellEnd"/>
          </w:p>
        </w:tc>
        <w:tc>
          <w:tcPr>
            <w:tcW w:w="735" w:type="pct"/>
            <w:tcBorders>
              <w:top w:val="single" w:sz="4" w:space="0" w:color="auto"/>
              <w:left w:val="single" w:sz="4" w:space="0" w:color="auto"/>
              <w:bottom w:val="single" w:sz="4" w:space="0" w:color="auto"/>
              <w:right w:val="single" w:sz="4" w:space="0" w:color="auto"/>
            </w:tcBorders>
            <w:hideMark/>
          </w:tcPr>
          <w:p w14:paraId="6FF78507"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Intensitate</w:t>
            </w:r>
            <w:proofErr w:type="spellEnd"/>
          </w:p>
        </w:tc>
        <w:tc>
          <w:tcPr>
            <w:tcW w:w="357" w:type="pct"/>
            <w:tcBorders>
              <w:top w:val="single" w:sz="4" w:space="0" w:color="auto"/>
              <w:left w:val="single" w:sz="4" w:space="0" w:color="auto"/>
              <w:bottom w:val="single" w:sz="4" w:space="0" w:color="auto"/>
              <w:right w:val="single" w:sz="4" w:space="0" w:color="auto"/>
            </w:tcBorders>
            <w:hideMark/>
          </w:tcPr>
          <w:p w14:paraId="05B74BFE" w14:textId="77777777" w:rsidR="002D3CA7" w:rsidRPr="00C56257" w:rsidRDefault="002D3CA7" w:rsidP="008E33FD">
            <w:pPr>
              <w:jc w:val="both"/>
              <w:rPr>
                <w:rFonts w:eastAsia="Calibri"/>
                <w:b/>
                <w:bCs/>
                <w:color w:val="000000" w:themeColor="text1"/>
                <w:lang w:val="en-US"/>
              </w:rPr>
            </w:pPr>
            <w:r w:rsidRPr="00C56257">
              <w:rPr>
                <w:rFonts w:eastAsia="Calibri"/>
                <w:b/>
                <w:bCs/>
                <w:color w:val="000000" w:themeColor="text1"/>
                <w:lang w:val="en-US"/>
              </w:rPr>
              <w:t>Cod</w:t>
            </w:r>
          </w:p>
        </w:tc>
        <w:tc>
          <w:tcPr>
            <w:tcW w:w="1406" w:type="pct"/>
            <w:tcBorders>
              <w:top w:val="single" w:sz="4" w:space="0" w:color="auto"/>
              <w:left w:val="single" w:sz="4" w:space="0" w:color="auto"/>
              <w:bottom w:val="single" w:sz="4" w:space="0" w:color="auto"/>
              <w:right w:val="single" w:sz="4" w:space="0" w:color="auto"/>
            </w:tcBorders>
            <w:hideMark/>
          </w:tcPr>
          <w:p w14:paraId="63EAF8DB"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Denumire</w:t>
            </w:r>
            <w:proofErr w:type="spellEnd"/>
          </w:p>
        </w:tc>
        <w:tc>
          <w:tcPr>
            <w:tcW w:w="726" w:type="pct"/>
            <w:tcBorders>
              <w:top w:val="single" w:sz="4" w:space="0" w:color="auto"/>
              <w:left w:val="single" w:sz="4" w:space="0" w:color="auto"/>
              <w:bottom w:val="single" w:sz="4" w:space="0" w:color="auto"/>
              <w:right w:val="single" w:sz="4" w:space="0" w:color="auto"/>
            </w:tcBorders>
            <w:hideMark/>
          </w:tcPr>
          <w:p w14:paraId="4859E27E"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Intensitate</w:t>
            </w:r>
            <w:proofErr w:type="spellEnd"/>
          </w:p>
        </w:tc>
      </w:tr>
      <w:tr w:rsidR="00673EFE" w:rsidRPr="00C56257" w14:paraId="790C150A" w14:textId="77777777" w:rsidTr="002825C6">
        <w:tc>
          <w:tcPr>
            <w:tcW w:w="357" w:type="pct"/>
            <w:tcBorders>
              <w:top w:val="single" w:sz="4" w:space="0" w:color="auto"/>
              <w:left w:val="single" w:sz="4" w:space="0" w:color="auto"/>
              <w:bottom w:val="single" w:sz="4" w:space="0" w:color="auto"/>
              <w:right w:val="single" w:sz="4" w:space="0" w:color="auto"/>
            </w:tcBorders>
            <w:hideMark/>
          </w:tcPr>
          <w:p w14:paraId="74D0EE95"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A09</w:t>
            </w:r>
          </w:p>
        </w:tc>
        <w:tc>
          <w:tcPr>
            <w:tcW w:w="1418" w:type="pct"/>
            <w:tcBorders>
              <w:top w:val="single" w:sz="4" w:space="0" w:color="auto"/>
              <w:left w:val="single" w:sz="4" w:space="0" w:color="auto"/>
              <w:bottom w:val="single" w:sz="4" w:space="0" w:color="auto"/>
              <w:right w:val="single" w:sz="4" w:space="0" w:color="auto"/>
            </w:tcBorders>
            <w:hideMark/>
          </w:tcPr>
          <w:p w14:paraId="0E5DC0BE" w14:textId="77777777" w:rsidR="002D3CA7" w:rsidRPr="00C56257" w:rsidRDefault="002D3CA7" w:rsidP="008E33FD">
            <w:pPr>
              <w:jc w:val="both"/>
              <w:rPr>
                <w:rFonts w:eastAsia="Calibri"/>
                <w:color w:val="000000" w:themeColor="text1"/>
                <w:lang w:val="en-US"/>
              </w:rPr>
            </w:pPr>
            <w:proofErr w:type="spellStart"/>
            <w:r w:rsidRPr="00C56257">
              <w:rPr>
                <w:rFonts w:eastAsia="Calibri"/>
                <w:color w:val="000000" w:themeColor="text1"/>
                <w:lang w:val="en-US"/>
              </w:rPr>
              <w:t>Pășunat</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intensiv</w:t>
            </w:r>
            <w:proofErr w:type="spellEnd"/>
          </w:p>
        </w:tc>
        <w:tc>
          <w:tcPr>
            <w:tcW w:w="735" w:type="pct"/>
            <w:tcBorders>
              <w:top w:val="single" w:sz="4" w:space="0" w:color="auto"/>
              <w:left w:val="single" w:sz="4" w:space="0" w:color="auto"/>
              <w:bottom w:val="single" w:sz="4" w:space="0" w:color="auto"/>
              <w:right w:val="single" w:sz="4" w:space="0" w:color="auto"/>
            </w:tcBorders>
            <w:hideMark/>
          </w:tcPr>
          <w:p w14:paraId="3DB8012E"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c>
          <w:tcPr>
            <w:tcW w:w="357" w:type="pct"/>
            <w:tcBorders>
              <w:top w:val="single" w:sz="4" w:space="0" w:color="auto"/>
              <w:left w:val="single" w:sz="4" w:space="0" w:color="auto"/>
              <w:bottom w:val="single" w:sz="4" w:space="0" w:color="auto"/>
              <w:right w:val="single" w:sz="4" w:space="0" w:color="auto"/>
            </w:tcBorders>
            <w:hideMark/>
          </w:tcPr>
          <w:p w14:paraId="5712187A"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A09</w:t>
            </w:r>
          </w:p>
        </w:tc>
        <w:tc>
          <w:tcPr>
            <w:tcW w:w="1406" w:type="pct"/>
            <w:tcBorders>
              <w:top w:val="single" w:sz="4" w:space="0" w:color="auto"/>
              <w:left w:val="single" w:sz="4" w:space="0" w:color="auto"/>
              <w:bottom w:val="single" w:sz="4" w:space="0" w:color="auto"/>
              <w:right w:val="single" w:sz="4" w:space="0" w:color="auto"/>
            </w:tcBorders>
            <w:hideMark/>
          </w:tcPr>
          <w:p w14:paraId="6C41E732" w14:textId="77777777" w:rsidR="002D3CA7" w:rsidRPr="00C56257" w:rsidRDefault="002D3CA7" w:rsidP="008E33FD">
            <w:pPr>
              <w:jc w:val="both"/>
              <w:rPr>
                <w:rFonts w:eastAsia="Calibri"/>
                <w:color w:val="000000" w:themeColor="text1"/>
                <w:lang w:val="en-US"/>
              </w:rPr>
            </w:pPr>
            <w:proofErr w:type="spellStart"/>
            <w:r w:rsidRPr="00C56257">
              <w:rPr>
                <w:rFonts w:eastAsia="Calibri"/>
                <w:color w:val="000000" w:themeColor="text1"/>
                <w:lang w:val="en-US"/>
              </w:rPr>
              <w:t>Pășunat</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intensiv</w:t>
            </w:r>
            <w:proofErr w:type="spellEnd"/>
          </w:p>
        </w:tc>
        <w:tc>
          <w:tcPr>
            <w:tcW w:w="726" w:type="pct"/>
            <w:tcBorders>
              <w:top w:val="single" w:sz="4" w:space="0" w:color="auto"/>
              <w:left w:val="single" w:sz="4" w:space="0" w:color="auto"/>
              <w:bottom w:val="single" w:sz="4" w:space="0" w:color="auto"/>
              <w:right w:val="single" w:sz="4" w:space="0" w:color="auto"/>
            </w:tcBorders>
            <w:hideMark/>
          </w:tcPr>
          <w:p w14:paraId="374F5211"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r>
    </w:tbl>
    <w:p w14:paraId="5F9009AE" w14:textId="77777777" w:rsidR="002D3CA7" w:rsidRPr="00C56257" w:rsidRDefault="002D3CA7" w:rsidP="008E33FD">
      <w:pPr>
        <w:spacing w:line="276" w:lineRule="auto"/>
        <w:ind w:left="360"/>
        <w:jc w:val="both"/>
        <w:rPr>
          <w:b/>
          <w:color w:val="000000" w:themeColor="text1"/>
        </w:rPr>
      </w:pPr>
    </w:p>
    <w:p w14:paraId="33D04B87" w14:textId="77777777" w:rsidR="002D3CA7" w:rsidRPr="00C56257" w:rsidRDefault="002D3CA7" w:rsidP="008E33FD">
      <w:pPr>
        <w:spacing w:line="276" w:lineRule="auto"/>
        <w:ind w:left="360"/>
        <w:jc w:val="both"/>
        <w:rPr>
          <w:b/>
          <w:color w:val="000000" w:themeColor="text1"/>
        </w:rPr>
      </w:pPr>
      <w:r w:rsidRPr="00C56257">
        <w:rPr>
          <w:b/>
          <w:color w:val="000000" w:themeColor="text1"/>
        </w:rPr>
        <w:t>Regiunea biogeografică Stepică</w:t>
      </w:r>
    </w:p>
    <w:tbl>
      <w:tblPr>
        <w:tblStyle w:val="TableGrid1"/>
        <w:tblW w:w="5000" w:type="pct"/>
        <w:tblInd w:w="0" w:type="dxa"/>
        <w:tblLook w:val="04A0" w:firstRow="1" w:lastRow="0" w:firstColumn="1" w:lastColumn="0" w:noHBand="0" w:noVBand="1"/>
      </w:tblPr>
      <w:tblGrid>
        <w:gridCol w:w="714"/>
        <w:gridCol w:w="2834"/>
        <w:gridCol w:w="1471"/>
        <w:gridCol w:w="714"/>
        <w:gridCol w:w="2810"/>
        <w:gridCol w:w="1451"/>
      </w:tblGrid>
      <w:tr w:rsidR="00673EFE" w:rsidRPr="00C56257" w14:paraId="3E69E2CC" w14:textId="77777777" w:rsidTr="002825C6">
        <w:tc>
          <w:tcPr>
            <w:tcW w:w="2511" w:type="pct"/>
            <w:gridSpan w:val="3"/>
            <w:tcBorders>
              <w:top w:val="single" w:sz="4" w:space="0" w:color="auto"/>
              <w:left w:val="single" w:sz="4" w:space="0" w:color="auto"/>
              <w:bottom w:val="single" w:sz="4" w:space="0" w:color="auto"/>
              <w:right w:val="single" w:sz="4" w:space="0" w:color="auto"/>
            </w:tcBorders>
            <w:hideMark/>
          </w:tcPr>
          <w:p w14:paraId="58EE426C"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Presiuni</w:t>
            </w:r>
            <w:proofErr w:type="spellEnd"/>
          </w:p>
        </w:tc>
        <w:tc>
          <w:tcPr>
            <w:tcW w:w="2489" w:type="pct"/>
            <w:gridSpan w:val="3"/>
            <w:tcBorders>
              <w:top w:val="single" w:sz="4" w:space="0" w:color="auto"/>
              <w:left w:val="single" w:sz="4" w:space="0" w:color="auto"/>
              <w:bottom w:val="single" w:sz="4" w:space="0" w:color="auto"/>
              <w:right w:val="single" w:sz="4" w:space="0" w:color="auto"/>
            </w:tcBorders>
            <w:hideMark/>
          </w:tcPr>
          <w:p w14:paraId="477714E8"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Amenințări</w:t>
            </w:r>
            <w:proofErr w:type="spellEnd"/>
          </w:p>
        </w:tc>
      </w:tr>
      <w:tr w:rsidR="00673EFE" w:rsidRPr="00C56257" w14:paraId="5CB60DFE" w14:textId="77777777" w:rsidTr="002825C6">
        <w:tc>
          <w:tcPr>
            <w:tcW w:w="357" w:type="pct"/>
            <w:tcBorders>
              <w:top w:val="single" w:sz="4" w:space="0" w:color="auto"/>
              <w:left w:val="single" w:sz="4" w:space="0" w:color="auto"/>
              <w:bottom w:val="single" w:sz="4" w:space="0" w:color="auto"/>
              <w:right w:val="single" w:sz="4" w:space="0" w:color="auto"/>
            </w:tcBorders>
            <w:hideMark/>
          </w:tcPr>
          <w:p w14:paraId="7F2E6FC4" w14:textId="77777777" w:rsidR="002D3CA7" w:rsidRPr="00C56257" w:rsidRDefault="002D3CA7" w:rsidP="008E33FD">
            <w:pPr>
              <w:jc w:val="both"/>
              <w:rPr>
                <w:rFonts w:eastAsia="Calibri"/>
                <w:b/>
                <w:bCs/>
                <w:color w:val="000000" w:themeColor="text1"/>
                <w:lang w:val="en-US"/>
              </w:rPr>
            </w:pPr>
            <w:r w:rsidRPr="00C56257">
              <w:rPr>
                <w:rFonts w:eastAsia="Calibri"/>
                <w:b/>
                <w:bCs/>
                <w:color w:val="000000" w:themeColor="text1"/>
                <w:lang w:val="en-US"/>
              </w:rPr>
              <w:lastRenderedPageBreak/>
              <w:t>Cod</w:t>
            </w:r>
          </w:p>
        </w:tc>
        <w:tc>
          <w:tcPr>
            <w:tcW w:w="1418" w:type="pct"/>
            <w:tcBorders>
              <w:top w:val="single" w:sz="4" w:space="0" w:color="auto"/>
              <w:left w:val="single" w:sz="4" w:space="0" w:color="auto"/>
              <w:bottom w:val="single" w:sz="4" w:space="0" w:color="auto"/>
              <w:right w:val="single" w:sz="4" w:space="0" w:color="auto"/>
            </w:tcBorders>
            <w:hideMark/>
          </w:tcPr>
          <w:p w14:paraId="3382B33B"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Denumire</w:t>
            </w:r>
            <w:proofErr w:type="spellEnd"/>
          </w:p>
        </w:tc>
        <w:tc>
          <w:tcPr>
            <w:tcW w:w="735" w:type="pct"/>
            <w:tcBorders>
              <w:top w:val="single" w:sz="4" w:space="0" w:color="auto"/>
              <w:left w:val="single" w:sz="4" w:space="0" w:color="auto"/>
              <w:bottom w:val="single" w:sz="4" w:space="0" w:color="auto"/>
              <w:right w:val="single" w:sz="4" w:space="0" w:color="auto"/>
            </w:tcBorders>
            <w:hideMark/>
          </w:tcPr>
          <w:p w14:paraId="3822B02E"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Intensitate</w:t>
            </w:r>
            <w:proofErr w:type="spellEnd"/>
          </w:p>
        </w:tc>
        <w:tc>
          <w:tcPr>
            <w:tcW w:w="357" w:type="pct"/>
            <w:tcBorders>
              <w:top w:val="single" w:sz="4" w:space="0" w:color="auto"/>
              <w:left w:val="single" w:sz="4" w:space="0" w:color="auto"/>
              <w:bottom w:val="single" w:sz="4" w:space="0" w:color="auto"/>
              <w:right w:val="single" w:sz="4" w:space="0" w:color="auto"/>
            </w:tcBorders>
            <w:hideMark/>
          </w:tcPr>
          <w:p w14:paraId="25CDB512" w14:textId="77777777" w:rsidR="002D3CA7" w:rsidRPr="00C56257" w:rsidRDefault="002D3CA7" w:rsidP="008E33FD">
            <w:pPr>
              <w:jc w:val="both"/>
              <w:rPr>
                <w:rFonts w:eastAsia="Calibri"/>
                <w:b/>
                <w:bCs/>
                <w:color w:val="000000" w:themeColor="text1"/>
                <w:lang w:val="en-US"/>
              </w:rPr>
            </w:pPr>
            <w:r w:rsidRPr="00C56257">
              <w:rPr>
                <w:rFonts w:eastAsia="Calibri"/>
                <w:b/>
                <w:bCs/>
                <w:color w:val="000000" w:themeColor="text1"/>
                <w:lang w:val="en-US"/>
              </w:rPr>
              <w:t>Cod</w:t>
            </w:r>
          </w:p>
        </w:tc>
        <w:tc>
          <w:tcPr>
            <w:tcW w:w="1406" w:type="pct"/>
            <w:tcBorders>
              <w:top w:val="single" w:sz="4" w:space="0" w:color="auto"/>
              <w:left w:val="single" w:sz="4" w:space="0" w:color="auto"/>
              <w:bottom w:val="single" w:sz="4" w:space="0" w:color="auto"/>
              <w:right w:val="single" w:sz="4" w:space="0" w:color="auto"/>
            </w:tcBorders>
            <w:hideMark/>
          </w:tcPr>
          <w:p w14:paraId="5FA83DA4"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Denumire</w:t>
            </w:r>
            <w:proofErr w:type="spellEnd"/>
          </w:p>
        </w:tc>
        <w:tc>
          <w:tcPr>
            <w:tcW w:w="726" w:type="pct"/>
            <w:tcBorders>
              <w:top w:val="single" w:sz="4" w:space="0" w:color="auto"/>
              <w:left w:val="single" w:sz="4" w:space="0" w:color="auto"/>
              <w:bottom w:val="single" w:sz="4" w:space="0" w:color="auto"/>
              <w:right w:val="single" w:sz="4" w:space="0" w:color="auto"/>
            </w:tcBorders>
            <w:hideMark/>
          </w:tcPr>
          <w:p w14:paraId="5451AF11" w14:textId="77777777" w:rsidR="002D3CA7" w:rsidRPr="00C56257" w:rsidRDefault="002D3CA7" w:rsidP="008E33FD">
            <w:pPr>
              <w:jc w:val="both"/>
              <w:rPr>
                <w:rFonts w:eastAsia="Calibri"/>
                <w:b/>
                <w:bCs/>
                <w:color w:val="000000" w:themeColor="text1"/>
                <w:lang w:val="en-US"/>
              </w:rPr>
            </w:pPr>
            <w:proofErr w:type="spellStart"/>
            <w:r w:rsidRPr="00C56257">
              <w:rPr>
                <w:rFonts w:eastAsia="Calibri"/>
                <w:b/>
                <w:bCs/>
                <w:color w:val="000000" w:themeColor="text1"/>
                <w:lang w:val="en-US"/>
              </w:rPr>
              <w:t>Intensitate</w:t>
            </w:r>
            <w:proofErr w:type="spellEnd"/>
          </w:p>
        </w:tc>
      </w:tr>
      <w:tr w:rsidR="00673EFE" w:rsidRPr="00C56257" w14:paraId="5BDAF934" w14:textId="77777777" w:rsidTr="002825C6">
        <w:tc>
          <w:tcPr>
            <w:tcW w:w="357" w:type="pct"/>
            <w:tcBorders>
              <w:top w:val="single" w:sz="4" w:space="0" w:color="auto"/>
              <w:left w:val="single" w:sz="4" w:space="0" w:color="auto"/>
              <w:bottom w:val="single" w:sz="4" w:space="0" w:color="auto"/>
              <w:right w:val="single" w:sz="4" w:space="0" w:color="auto"/>
            </w:tcBorders>
            <w:hideMark/>
          </w:tcPr>
          <w:p w14:paraId="4F43BBEA"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A09</w:t>
            </w:r>
          </w:p>
        </w:tc>
        <w:tc>
          <w:tcPr>
            <w:tcW w:w="1418" w:type="pct"/>
            <w:tcBorders>
              <w:top w:val="single" w:sz="4" w:space="0" w:color="auto"/>
              <w:left w:val="single" w:sz="4" w:space="0" w:color="auto"/>
              <w:bottom w:val="single" w:sz="4" w:space="0" w:color="auto"/>
              <w:right w:val="single" w:sz="4" w:space="0" w:color="auto"/>
            </w:tcBorders>
            <w:hideMark/>
          </w:tcPr>
          <w:p w14:paraId="748CD666" w14:textId="77777777" w:rsidR="002D3CA7" w:rsidRPr="00C56257" w:rsidRDefault="002D3CA7" w:rsidP="008E33FD">
            <w:pPr>
              <w:jc w:val="both"/>
              <w:rPr>
                <w:rFonts w:eastAsia="Calibri"/>
                <w:color w:val="000000" w:themeColor="text1"/>
                <w:lang w:val="en-US"/>
              </w:rPr>
            </w:pPr>
            <w:proofErr w:type="spellStart"/>
            <w:r w:rsidRPr="00C56257">
              <w:rPr>
                <w:rFonts w:eastAsia="Calibri"/>
                <w:color w:val="000000" w:themeColor="text1"/>
                <w:lang w:val="en-US"/>
              </w:rPr>
              <w:t>Pășunat</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intensiv</w:t>
            </w:r>
            <w:proofErr w:type="spellEnd"/>
          </w:p>
        </w:tc>
        <w:tc>
          <w:tcPr>
            <w:tcW w:w="735" w:type="pct"/>
            <w:tcBorders>
              <w:top w:val="single" w:sz="4" w:space="0" w:color="auto"/>
              <w:left w:val="single" w:sz="4" w:space="0" w:color="auto"/>
              <w:bottom w:val="single" w:sz="4" w:space="0" w:color="auto"/>
              <w:right w:val="single" w:sz="4" w:space="0" w:color="auto"/>
            </w:tcBorders>
            <w:hideMark/>
          </w:tcPr>
          <w:p w14:paraId="5A09F174"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c>
          <w:tcPr>
            <w:tcW w:w="357" w:type="pct"/>
            <w:tcBorders>
              <w:top w:val="single" w:sz="4" w:space="0" w:color="auto"/>
              <w:left w:val="single" w:sz="4" w:space="0" w:color="auto"/>
              <w:bottom w:val="single" w:sz="4" w:space="0" w:color="auto"/>
              <w:right w:val="single" w:sz="4" w:space="0" w:color="auto"/>
            </w:tcBorders>
            <w:hideMark/>
          </w:tcPr>
          <w:p w14:paraId="4A80C648"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A09</w:t>
            </w:r>
          </w:p>
        </w:tc>
        <w:tc>
          <w:tcPr>
            <w:tcW w:w="1406" w:type="pct"/>
            <w:tcBorders>
              <w:top w:val="single" w:sz="4" w:space="0" w:color="auto"/>
              <w:left w:val="single" w:sz="4" w:space="0" w:color="auto"/>
              <w:bottom w:val="single" w:sz="4" w:space="0" w:color="auto"/>
              <w:right w:val="single" w:sz="4" w:space="0" w:color="auto"/>
            </w:tcBorders>
            <w:hideMark/>
          </w:tcPr>
          <w:p w14:paraId="49439B83" w14:textId="77777777" w:rsidR="002D3CA7" w:rsidRPr="00C56257" w:rsidRDefault="002D3CA7" w:rsidP="008E33FD">
            <w:pPr>
              <w:jc w:val="both"/>
              <w:rPr>
                <w:rFonts w:eastAsia="Calibri"/>
                <w:color w:val="000000" w:themeColor="text1"/>
                <w:lang w:val="en-US"/>
              </w:rPr>
            </w:pPr>
            <w:proofErr w:type="spellStart"/>
            <w:r w:rsidRPr="00C56257">
              <w:rPr>
                <w:rFonts w:eastAsia="Calibri"/>
                <w:color w:val="000000" w:themeColor="text1"/>
                <w:lang w:val="en-US"/>
              </w:rPr>
              <w:t>Pășunat</w:t>
            </w:r>
            <w:proofErr w:type="spellEnd"/>
            <w:r w:rsidRPr="00C56257">
              <w:rPr>
                <w:rFonts w:eastAsia="Calibri"/>
                <w:color w:val="000000" w:themeColor="text1"/>
                <w:lang w:val="en-US"/>
              </w:rPr>
              <w:t xml:space="preserve"> </w:t>
            </w:r>
            <w:proofErr w:type="spellStart"/>
            <w:r w:rsidRPr="00C56257">
              <w:rPr>
                <w:rFonts w:eastAsia="Calibri"/>
                <w:color w:val="000000" w:themeColor="text1"/>
                <w:lang w:val="en-US"/>
              </w:rPr>
              <w:t>intensiv</w:t>
            </w:r>
            <w:proofErr w:type="spellEnd"/>
          </w:p>
        </w:tc>
        <w:tc>
          <w:tcPr>
            <w:tcW w:w="726" w:type="pct"/>
            <w:tcBorders>
              <w:top w:val="single" w:sz="4" w:space="0" w:color="auto"/>
              <w:left w:val="single" w:sz="4" w:space="0" w:color="auto"/>
              <w:bottom w:val="single" w:sz="4" w:space="0" w:color="auto"/>
              <w:right w:val="single" w:sz="4" w:space="0" w:color="auto"/>
            </w:tcBorders>
            <w:hideMark/>
          </w:tcPr>
          <w:p w14:paraId="41B1C4E2"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r>
      <w:tr w:rsidR="00673EFE" w:rsidRPr="00C56257" w14:paraId="764D254D" w14:textId="77777777" w:rsidTr="002825C6">
        <w:tc>
          <w:tcPr>
            <w:tcW w:w="357" w:type="pct"/>
            <w:tcBorders>
              <w:top w:val="single" w:sz="4" w:space="0" w:color="auto"/>
              <w:left w:val="single" w:sz="4" w:space="0" w:color="auto"/>
              <w:bottom w:val="single" w:sz="4" w:space="0" w:color="auto"/>
              <w:right w:val="single" w:sz="4" w:space="0" w:color="auto"/>
            </w:tcBorders>
            <w:hideMark/>
          </w:tcPr>
          <w:p w14:paraId="7A971754"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F07</w:t>
            </w:r>
          </w:p>
        </w:tc>
        <w:tc>
          <w:tcPr>
            <w:tcW w:w="1418" w:type="pct"/>
            <w:tcBorders>
              <w:top w:val="single" w:sz="4" w:space="0" w:color="auto"/>
              <w:left w:val="single" w:sz="4" w:space="0" w:color="auto"/>
              <w:bottom w:val="single" w:sz="4" w:space="0" w:color="auto"/>
              <w:right w:val="single" w:sz="4" w:space="0" w:color="auto"/>
            </w:tcBorders>
            <w:hideMark/>
          </w:tcPr>
          <w:p w14:paraId="1166F0BF" w14:textId="77777777" w:rsidR="002D3CA7" w:rsidRPr="00C56257" w:rsidRDefault="002D3CA7" w:rsidP="008E33FD">
            <w:pPr>
              <w:jc w:val="both"/>
              <w:rPr>
                <w:rFonts w:eastAsia="Calibri"/>
                <w:color w:val="000000" w:themeColor="text1"/>
                <w:lang w:val="fr-FR"/>
              </w:rPr>
            </w:pPr>
            <w:r w:rsidRPr="00C56257">
              <w:rPr>
                <w:rFonts w:eastAsia="Calibri"/>
                <w:color w:val="000000" w:themeColor="text1"/>
                <w:lang w:val="fr-FR"/>
              </w:rPr>
              <w:t xml:space="preserve">Sport, </w:t>
            </w:r>
            <w:proofErr w:type="spellStart"/>
            <w:r w:rsidRPr="00C56257">
              <w:rPr>
                <w:rFonts w:eastAsia="Calibri"/>
                <w:color w:val="000000" w:themeColor="text1"/>
                <w:lang w:val="fr-FR"/>
              </w:rPr>
              <w:t>turism</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și</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activități</w:t>
            </w:r>
            <w:proofErr w:type="spellEnd"/>
            <w:r w:rsidRPr="00C56257">
              <w:rPr>
                <w:rFonts w:eastAsia="Calibri"/>
                <w:color w:val="000000" w:themeColor="text1"/>
                <w:lang w:val="fr-FR"/>
              </w:rPr>
              <w:t xml:space="preserve"> de </w:t>
            </w:r>
            <w:proofErr w:type="spellStart"/>
            <w:r w:rsidRPr="00C56257">
              <w:rPr>
                <w:rFonts w:eastAsia="Calibri"/>
                <w:color w:val="000000" w:themeColor="text1"/>
                <w:lang w:val="fr-FR"/>
              </w:rPr>
              <w:t>agrement</w:t>
            </w:r>
            <w:proofErr w:type="spellEnd"/>
          </w:p>
        </w:tc>
        <w:tc>
          <w:tcPr>
            <w:tcW w:w="735" w:type="pct"/>
            <w:tcBorders>
              <w:top w:val="single" w:sz="4" w:space="0" w:color="auto"/>
              <w:left w:val="single" w:sz="4" w:space="0" w:color="auto"/>
              <w:bottom w:val="single" w:sz="4" w:space="0" w:color="auto"/>
              <w:right w:val="single" w:sz="4" w:space="0" w:color="auto"/>
            </w:tcBorders>
            <w:hideMark/>
          </w:tcPr>
          <w:p w14:paraId="352E9359"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c>
          <w:tcPr>
            <w:tcW w:w="357" w:type="pct"/>
            <w:tcBorders>
              <w:top w:val="single" w:sz="4" w:space="0" w:color="auto"/>
              <w:left w:val="single" w:sz="4" w:space="0" w:color="auto"/>
              <w:bottom w:val="single" w:sz="4" w:space="0" w:color="auto"/>
              <w:right w:val="single" w:sz="4" w:space="0" w:color="auto"/>
            </w:tcBorders>
            <w:hideMark/>
          </w:tcPr>
          <w:p w14:paraId="56D78D81"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F07</w:t>
            </w:r>
          </w:p>
        </w:tc>
        <w:tc>
          <w:tcPr>
            <w:tcW w:w="1406" w:type="pct"/>
            <w:tcBorders>
              <w:top w:val="single" w:sz="4" w:space="0" w:color="auto"/>
              <w:left w:val="single" w:sz="4" w:space="0" w:color="auto"/>
              <w:bottom w:val="single" w:sz="4" w:space="0" w:color="auto"/>
              <w:right w:val="single" w:sz="4" w:space="0" w:color="auto"/>
            </w:tcBorders>
            <w:hideMark/>
          </w:tcPr>
          <w:p w14:paraId="265C7557" w14:textId="77777777" w:rsidR="002D3CA7" w:rsidRPr="00C56257" w:rsidRDefault="002D3CA7" w:rsidP="008E33FD">
            <w:pPr>
              <w:jc w:val="both"/>
              <w:rPr>
                <w:rFonts w:eastAsia="Calibri"/>
                <w:color w:val="000000" w:themeColor="text1"/>
                <w:lang w:val="fr-FR"/>
              </w:rPr>
            </w:pPr>
            <w:r w:rsidRPr="00C56257">
              <w:rPr>
                <w:rFonts w:eastAsia="Calibri"/>
                <w:color w:val="000000" w:themeColor="text1"/>
                <w:lang w:val="fr-FR"/>
              </w:rPr>
              <w:t xml:space="preserve">Sport, </w:t>
            </w:r>
            <w:proofErr w:type="spellStart"/>
            <w:r w:rsidRPr="00C56257">
              <w:rPr>
                <w:rFonts w:eastAsia="Calibri"/>
                <w:color w:val="000000" w:themeColor="text1"/>
                <w:lang w:val="fr-FR"/>
              </w:rPr>
              <w:t>turism</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și</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activități</w:t>
            </w:r>
            <w:proofErr w:type="spellEnd"/>
            <w:r w:rsidRPr="00C56257">
              <w:rPr>
                <w:rFonts w:eastAsia="Calibri"/>
                <w:color w:val="000000" w:themeColor="text1"/>
                <w:lang w:val="fr-FR"/>
              </w:rPr>
              <w:t xml:space="preserve"> de </w:t>
            </w:r>
            <w:proofErr w:type="spellStart"/>
            <w:r w:rsidRPr="00C56257">
              <w:rPr>
                <w:rFonts w:eastAsia="Calibri"/>
                <w:color w:val="000000" w:themeColor="text1"/>
                <w:lang w:val="fr-FR"/>
              </w:rPr>
              <w:t>agrement</w:t>
            </w:r>
            <w:proofErr w:type="spellEnd"/>
          </w:p>
        </w:tc>
        <w:tc>
          <w:tcPr>
            <w:tcW w:w="726" w:type="pct"/>
            <w:tcBorders>
              <w:top w:val="single" w:sz="4" w:space="0" w:color="auto"/>
              <w:left w:val="single" w:sz="4" w:space="0" w:color="auto"/>
              <w:bottom w:val="single" w:sz="4" w:space="0" w:color="auto"/>
              <w:right w:val="single" w:sz="4" w:space="0" w:color="auto"/>
            </w:tcBorders>
            <w:hideMark/>
          </w:tcPr>
          <w:p w14:paraId="440E5E86"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r>
      <w:tr w:rsidR="00673EFE" w:rsidRPr="00C56257" w14:paraId="259BBBE8" w14:textId="77777777" w:rsidTr="002825C6">
        <w:tc>
          <w:tcPr>
            <w:tcW w:w="357" w:type="pct"/>
            <w:tcBorders>
              <w:top w:val="single" w:sz="4" w:space="0" w:color="auto"/>
              <w:left w:val="single" w:sz="4" w:space="0" w:color="auto"/>
              <w:bottom w:val="single" w:sz="4" w:space="0" w:color="auto"/>
              <w:right w:val="single" w:sz="4" w:space="0" w:color="auto"/>
            </w:tcBorders>
            <w:hideMark/>
          </w:tcPr>
          <w:p w14:paraId="089CE706"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L01</w:t>
            </w:r>
          </w:p>
        </w:tc>
        <w:tc>
          <w:tcPr>
            <w:tcW w:w="1418" w:type="pct"/>
            <w:tcBorders>
              <w:top w:val="single" w:sz="4" w:space="0" w:color="auto"/>
              <w:left w:val="single" w:sz="4" w:space="0" w:color="auto"/>
              <w:bottom w:val="single" w:sz="4" w:space="0" w:color="auto"/>
              <w:right w:val="single" w:sz="4" w:space="0" w:color="auto"/>
            </w:tcBorders>
            <w:vAlign w:val="center"/>
            <w:hideMark/>
          </w:tcPr>
          <w:p w14:paraId="065781F6" w14:textId="77777777" w:rsidR="002D3CA7" w:rsidRPr="00C56257" w:rsidRDefault="002D3CA7" w:rsidP="008E33FD">
            <w:pPr>
              <w:jc w:val="both"/>
              <w:rPr>
                <w:rFonts w:eastAsia="Calibri"/>
                <w:color w:val="000000" w:themeColor="text1"/>
                <w:lang w:val="fr-FR"/>
              </w:rPr>
            </w:pPr>
            <w:proofErr w:type="spellStart"/>
            <w:r w:rsidRPr="00C56257">
              <w:rPr>
                <w:rFonts w:eastAsia="Calibri"/>
                <w:color w:val="000000" w:themeColor="text1"/>
                <w:lang w:val="fr-FR"/>
              </w:rPr>
              <w:t>Procese</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abiotice</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naturale</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eroziune</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secetă</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salinizare</w:t>
            </w:r>
            <w:proofErr w:type="spellEnd"/>
            <w:r w:rsidRPr="00C56257">
              <w:rPr>
                <w:rFonts w:eastAsia="Calibri"/>
                <w:color w:val="000000" w:themeColor="text1"/>
                <w:lang w:val="fr-FR"/>
              </w:rPr>
              <w:t>, etc.)</w:t>
            </w:r>
          </w:p>
        </w:tc>
        <w:tc>
          <w:tcPr>
            <w:tcW w:w="735" w:type="pct"/>
            <w:tcBorders>
              <w:top w:val="single" w:sz="4" w:space="0" w:color="auto"/>
              <w:left w:val="single" w:sz="4" w:space="0" w:color="auto"/>
              <w:bottom w:val="single" w:sz="4" w:space="0" w:color="auto"/>
              <w:right w:val="single" w:sz="4" w:space="0" w:color="auto"/>
            </w:tcBorders>
            <w:vAlign w:val="center"/>
            <w:hideMark/>
          </w:tcPr>
          <w:p w14:paraId="6621775B"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c>
          <w:tcPr>
            <w:tcW w:w="357" w:type="pct"/>
            <w:tcBorders>
              <w:top w:val="single" w:sz="4" w:space="0" w:color="auto"/>
              <w:left w:val="single" w:sz="4" w:space="0" w:color="auto"/>
              <w:bottom w:val="single" w:sz="4" w:space="0" w:color="auto"/>
              <w:right w:val="single" w:sz="4" w:space="0" w:color="auto"/>
            </w:tcBorders>
            <w:vAlign w:val="center"/>
            <w:hideMark/>
          </w:tcPr>
          <w:p w14:paraId="2CECD8B8"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L01</w:t>
            </w:r>
          </w:p>
        </w:tc>
        <w:tc>
          <w:tcPr>
            <w:tcW w:w="1406" w:type="pct"/>
            <w:tcBorders>
              <w:top w:val="single" w:sz="4" w:space="0" w:color="auto"/>
              <w:left w:val="single" w:sz="4" w:space="0" w:color="auto"/>
              <w:bottom w:val="single" w:sz="4" w:space="0" w:color="auto"/>
              <w:right w:val="single" w:sz="4" w:space="0" w:color="auto"/>
            </w:tcBorders>
            <w:vAlign w:val="center"/>
            <w:hideMark/>
          </w:tcPr>
          <w:p w14:paraId="1542CB96" w14:textId="77777777" w:rsidR="002D3CA7" w:rsidRPr="00C56257" w:rsidRDefault="002D3CA7" w:rsidP="008E33FD">
            <w:pPr>
              <w:jc w:val="both"/>
              <w:rPr>
                <w:rFonts w:eastAsia="Calibri"/>
                <w:color w:val="000000" w:themeColor="text1"/>
                <w:lang w:val="fr-FR"/>
              </w:rPr>
            </w:pPr>
            <w:proofErr w:type="spellStart"/>
            <w:r w:rsidRPr="00C56257">
              <w:rPr>
                <w:rFonts w:eastAsia="Calibri"/>
                <w:color w:val="000000" w:themeColor="text1"/>
                <w:lang w:val="fr-FR"/>
              </w:rPr>
              <w:t>Procese</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abiotice</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naturale</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eroziune</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secetă</w:t>
            </w:r>
            <w:proofErr w:type="spellEnd"/>
            <w:r w:rsidRPr="00C56257">
              <w:rPr>
                <w:rFonts w:eastAsia="Calibri"/>
                <w:color w:val="000000" w:themeColor="text1"/>
                <w:lang w:val="fr-FR"/>
              </w:rPr>
              <w:t xml:space="preserve">, </w:t>
            </w:r>
            <w:proofErr w:type="spellStart"/>
            <w:r w:rsidRPr="00C56257">
              <w:rPr>
                <w:rFonts w:eastAsia="Calibri"/>
                <w:color w:val="000000" w:themeColor="text1"/>
                <w:lang w:val="fr-FR"/>
              </w:rPr>
              <w:t>salinizare</w:t>
            </w:r>
            <w:proofErr w:type="spellEnd"/>
            <w:r w:rsidRPr="00C56257">
              <w:rPr>
                <w:rFonts w:eastAsia="Calibri"/>
                <w:color w:val="000000" w:themeColor="text1"/>
                <w:lang w:val="fr-FR"/>
              </w:rPr>
              <w:t>, etc.)</w:t>
            </w:r>
          </w:p>
        </w:tc>
        <w:tc>
          <w:tcPr>
            <w:tcW w:w="726" w:type="pct"/>
            <w:tcBorders>
              <w:top w:val="single" w:sz="4" w:space="0" w:color="auto"/>
              <w:left w:val="single" w:sz="4" w:space="0" w:color="auto"/>
              <w:bottom w:val="single" w:sz="4" w:space="0" w:color="auto"/>
              <w:right w:val="single" w:sz="4" w:space="0" w:color="auto"/>
            </w:tcBorders>
            <w:vAlign w:val="center"/>
            <w:hideMark/>
          </w:tcPr>
          <w:p w14:paraId="3E88EA92" w14:textId="77777777" w:rsidR="002D3CA7" w:rsidRPr="00C56257" w:rsidRDefault="002D3CA7" w:rsidP="008E33FD">
            <w:pPr>
              <w:jc w:val="both"/>
              <w:rPr>
                <w:rFonts w:eastAsia="Calibri"/>
                <w:color w:val="000000" w:themeColor="text1"/>
                <w:lang w:val="en-US"/>
              </w:rPr>
            </w:pPr>
            <w:r w:rsidRPr="00C56257">
              <w:rPr>
                <w:rFonts w:eastAsia="Calibri"/>
                <w:color w:val="000000" w:themeColor="text1"/>
                <w:lang w:val="en-US"/>
              </w:rPr>
              <w:t>Medie</w:t>
            </w:r>
          </w:p>
        </w:tc>
      </w:tr>
    </w:tbl>
    <w:p w14:paraId="62847717" w14:textId="77777777" w:rsidR="002D3CA7" w:rsidRPr="00C56257" w:rsidRDefault="002D3CA7" w:rsidP="008E33FD">
      <w:pPr>
        <w:tabs>
          <w:tab w:val="num" w:pos="360"/>
        </w:tabs>
        <w:spacing w:before="240" w:line="276" w:lineRule="auto"/>
        <w:ind w:left="360" w:hanging="360"/>
        <w:jc w:val="both"/>
        <w:rPr>
          <w:b/>
          <w:color w:val="000000" w:themeColor="text1"/>
        </w:rPr>
      </w:pPr>
      <w:r w:rsidRPr="00C56257">
        <w:rPr>
          <w:b/>
          <w:color w:val="000000" w:themeColor="text1"/>
        </w:rPr>
        <w:t xml:space="preserve"> </w:t>
      </w:r>
      <w:r w:rsidR="00DD3620">
        <w:rPr>
          <w:b/>
          <w:color w:val="000000" w:themeColor="text1"/>
        </w:rPr>
        <w:t>5.5</w:t>
      </w:r>
      <w:r w:rsidRPr="00C56257">
        <w:rPr>
          <w:b/>
          <w:color w:val="000000" w:themeColor="text1"/>
        </w:rPr>
        <w:t>. Lista cu măsurile de conservare  ce se pot aplica habitatelor de tufărișuri de  interes comunitar</w:t>
      </w:r>
    </w:p>
    <w:p w14:paraId="0ED995F5" w14:textId="77777777" w:rsidR="002D3CA7" w:rsidRPr="00C56257" w:rsidRDefault="002D3CA7" w:rsidP="008E33FD">
      <w:pPr>
        <w:tabs>
          <w:tab w:val="num" w:pos="360"/>
        </w:tabs>
        <w:spacing w:line="276" w:lineRule="auto"/>
        <w:ind w:left="360" w:hanging="360"/>
        <w:jc w:val="both"/>
        <w:rPr>
          <w:b/>
          <w:color w:val="000000" w:themeColor="text1"/>
          <w:lang w:val="fr-FR"/>
        </w:rPr>
      </w:pPr>
    </w:p>
    <w:p w14:paraId="4C5AA15C" w14:textId="77777777" w:rsidR="002D3CA7" w:rsidRPr="00C56257" w:rsidRDefault="002D3CA7" w:rsidP="009E63E5">
      <w:pPr>
        <w:widowControl w:val="0"/>
        <w:numPr>
          <w:ilvl w:val="0"/>
          <w:numId w:val="151"/>
        </w:numPr>
        <w:autoSpaceDE w:val="0"/>
        <w:autoSpaceDN w:val="0"/>
        <w:adjustRightInd w:val="0"/>
        <w:spacing w:after="160" w:line="276" w:lineRule="auto"/>
        <w:ind w:left="0" w:firstLine="284"/>
        <w:contextualSpacing/>
        <w:jc w:val="both"/>
        <w:rPr>
          <w:rFonts w:eastAsiaTheme="minorHAnsi"/>
          <w:bCs/>
          <w:color w:val="000000" w:themeColor="text1"/>
          <w:lang w:val="en-US"/>
        </w:rPr>
      </w:pPr>
      <w:proofErr w:type="spellStart"/>
      <w:r w:rsidRPr="00C56257">
        <w:rPr>
          <w:rFonts w:eastAsiaTheme="minorHAnsi"/>
          <w:bCs/>
          <w:color w:val="000000" w:themeColor="text1"/>
          <w:lang w:val="en-US"/>
        </w:rPr>
        <w:t>Interzicerea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cositului</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pășunatului</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și</w:t>
      </w:r>
      <w:proofErr w:type="spellEnd"/>
      <w:r w:rsidRPr="00C56257">
        <w:rPr>
          <w:rFonts w:eastAsiaTheme="minorHAnsi"/>
          <w:bCs/>
          <w:color w:val="000000" w:themeColor="text1"/>
          <w:lang w:val="en-US"/>
        </w:rPr>
        <w:t xml:space="preserve"> a </w:t>
      </w:r>
      <w:proofErr w:type="spellStart"/>
      <w:r w:rsidRPr="00C56257">
        <w:rPr>
          <w:rFonts w:eastAsiaTheme="minorHAnsi"/>
          <w:bCs/>
          <w:color w:val="000000" w:themeColor="text1"/>
          <w:lang w:val="en-US"/>
        </w:rPr>
        <w:t>altor</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activități</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agricole</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echivalente</w:t>
      </w:r>
      <w:proofErr w:type="spellEnd"/>
      <w:r w:rsidRPr="00C56257">
        <w:rPr>
          <w:rFonts w:eastAsiaTheme="minorHAnsi"/>
          <w:bCs/>
          <w:color w:val="000000" w:themeColor="text1"/>
          <w:lang w:val="en-US"/>
        </w:rPr>
        <w:t>, cod CA06.</w:t>
      </w:r>
    </w:p>
    <w:p w14:paraId="4BED1998" w14:textId="77777777" w:rsidR="002D3CA7" w:rsidRPr="00C56257" w:rsidRDefault="002D3CA7" w:rsidP="009E63E5">
      <w:pPr>
        <w:widowControl w:val="0"/>
        <w:numPr>
          <w:ilvl w:val="0"/>
          <w:numId w:val="151"/>
        </w:numPr>
        <w:autoSpaceDE w:val="0"/>
        <w:autoSpaceDN w:val="0"/>
        <w:adjustRightInd w:val="0"/>
        <w:spacing w:after="160" w:line="276" w:lineRule="auto"/>
        <w:ind w:left="0" w:firstLine="284"/>
        <w:contextualSpacing/>
        <w:jc w:val="both"/>
        <w:rPr>
          <w:rFonts w:eastAsiaTheme="minorHAnsi"/>
          <w:bCs/>
          <w:color w:val="000000" w:themeColor="text1"/>
          <w:lang w:val="en-US"/>
        </w:rPr>
      </w:pPr>
      <w:proofErr w:type="spellStart"/>
      <w:r w:rsidRPr="00C56257">
        <w:rPr>
          <w:rFonts w:eastAsiaTheme="minorHAnsi"/>
          <w:bCs/>
          <w:color w:val="000000" w:themeColor="text1"/>
          <w:lang w:val="en-US"/>
        </w:rPr>
        <w:t>Adaptarea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perioadei</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frecvenței</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duratei</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locației</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pășunării</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tufărișurilor</w:t>
      </w:r>
      <w:proofErr w:type="spellEnd"/>
      <w:r w:rsidRPr="00C56257">
        <w:rPr>
          <w:rFonts w:eastAsiaTheme="minorHAnsi"/>
          <w:bCs/>
          <w:color w:val="000000" w:themeColor="text1"/>
          <w:lang w:val="en-US"/>
        </w:rPr>
        <w:t>, cod CA05.</w:t>
      </w:r>
    </w:p>
    <w:p w14:paraId="61FBA785" w14:textId="77777777" w:rsidR="002D3CA7" w:rsidRPr="00C56257" w:rsidRDefault="002D3CA7" w:rsidP="009E63E5">
      <w:pPr>
        <w:widowControl w:val="0"/>
        <w:numPr>
          <w:ilvl w:val="0"/>
          <w:numId w:val="151"/>
        </w:numPr>
        <w:autoSpaceDE w:val="0"/>
        <w:autoSpaceDN w:val="0"/>
        <w:adjustRightInd w:val="0"/>
        <w:spacing w:after="160" w:line="276" w:lineRule="auto"/>
        <w:ind w:left="0" w:firstLine="284"/>
        <w:contextualSpacing/>
        <w:jc w:val="both"/>
        <w:rPr>
          <w:rFonts w:eastAsiaTheme="minorHAnsi"/>
          <w:bCs/>
          <w:color w:val="000000" w:themeColor="text1"/>
          <w:lang w:val="en-US"/>
        </w:rPr>
      </w:pPr>
      <w:proofErr w:type="spellStart"/>
      <w:r w:rsidRPr="00C56257">
        <w:rPr>
          <w:rFonts w:eastAsiaTheme="minorHAnsi"/>
          <w:bCs/>
          <w:color w:val="000000" w:themeColor="text1"/>
          <w:lang w:val="en-US"/>
        </w:rPr>
        <w:t>Reducerea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impactul</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sporturilor</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în</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aer</w:t>
      </w:r>
      <w:proofErr w:type="spellEnd"/>
      <w:r w:rsidRPr="00C56257">
        <w:rPr>
          <w:rFonts w:eastAsiaTheme="minorHAnsi"/>
          <w:bCs/>
          <w:color w:val="000000" w:themeColor="text1"/>
          <w:lang w:val="en-US"/>
        </w:rPr>
        <w:t xml:space="preserve"> liber, al </w:t>
      </w:r>
      <w:proofErr w:type="spellStart"/>
      <w:r w:rsidRPr="00C56257">
        <w:rPr>
          <w:rFonts w:eastAsiaTheme="minorHAnsi"/>
          <w:bCs/>
          <w:color w:val="000000" w:themeColor="text1"/>
          <w:lang w:val="en-US"/>
        </w:rPr>
        <w:t>plimbărilor</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și</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activităților</w:t>
      </w:r>
      <w:proofErr w:type="spellEnd"/>
      <w:r w:rsidRPr="00C56257">
        <w:rPr>
          <w:rFonts w:eastAsiaTheme="minorHAnsi"/>
          <w:bCs/>
          <w:color w:val="000000" w:themeColor="text1"/>
          <w:lang w:val="en-US"/>
        </w:rPr>
        <w:t xml:space="preserve"> recreative, cod CF03.</w:t>
      </w:r>
    </w:p>
    <w:p w14:paraId="0E568837" w14:textId="77777777" w:rsidR="002D3CA7" w:rsidRPr="00C56257" w:rsidRDefault="002D3CA7" w:rsidP="009E63E5">
      <w:pPr>
        <w:widowControl w:val="0"/>
        <w:numPr>
          <w:ilvl w:val="0"/>
          <w:numId w:val="151"/>
        </w:numPr>
        <w:autoSpaceDE w:val="0"/>
        <w:autoSpaceDN w:val="0"/>
        <w:adjustRightInd w:val="0"/>
        <w:spacing w:after="160" w:line="276" w:lineRule="auto"/>
        <w:ind w:left="0" w:firstLine="284"/>
        <w:contextualSpacing/>
        <w:jc w:val="both"/>
        <w:rPr>
          <w:rFonts w:eastAsiaTheme="minorHAnsi"/>
          <w:bCs/>
          <w:color w:val="000000" w:themeColor="text1"/>
          <w:lang w:val="en-US"/>
        </w:rPr>
      </w:pPr>
      <w:proofErr w:type="spellStart"/>
      <w:r w:rsidRPr="00C56257">
        <w:rPr>
          <w:rFonts w:eastAsiaTheme="minorHAnsi"/>
          <w:bCs/>
          <w:color w:val="000000" w:themeColor="text1"/>
          <w:lang w:val="en-US"/>
        </w:rPr>
        <w:t>Gestionarea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habitatelor</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altele</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decât</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agricultura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și</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pădurea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pentru</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încetinirea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oprirea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sau</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inversarea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proceselor</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naturale</w:t>
      </w:r>
      <w:proofErr w:type="spellEnd"/>
      <w:r w:rsidRPr="00C56257">
        <w:rPr>
          <w:rFonts w:eastAsiaTheme="minorHAnsi"/>
          <w:bCs/>
          <w:color w:val="000000" w:themeColor="text1"/>
          <w:lang w:val="en-US"/>
        </w:rPr>
        <w:t>, cod CL01.</w:t>
      </w:r>
    </w:p>
    <w:p w14:paraId="28B452DD" w14:textId="77777777" w:rsidR="002D3CA7" w:rsidRPr="00C56257" w:rsidRDefault="002D3CA7" w:rsidP="009E63E5">
      <w:pPr>
        <w:widowControl w:val="0"/>
        <w:numPr>
          <w:ilvl w:val="0"/>
          <w:numId w:val="151"/>
        </w:numPr>
        <w:autoSpaceDE w:val="0"/>
        <w:autoSpaceDN w:val="0"/>
        <w:adjustRightInd w:val="0"/>
        <w:spacing w:after="160" w:line="276" w:lineRule="auto"/>
        <w:ind w:left="0" w:firstLine="284"/>
        <w:contextualSpacing/>
        <w:jc w:val="both"/>
        <w:rPr>
          <w:rFonts w:eastAsiaTheme="minorHAnsi"/>
          <w:bCs/>
          <w:color w:val="000000" w:themeColor="text1"/>
          <w:lang w:val="en-US"/>
        </w:rPr>
      </w:pPr>
      <w:proofErr w:type="spellStart"/>
      <w:r w:rsidRPr="00C56257">
        <w:rPr>
          <w:rFonts w:eastAsiaTheme="minorHAnsi"/>
          <w:bCs/>
          <w:color w:val="000000" w:themeColor="text1"/>
          <w:lang w:val="en-US"/>
        </w:rPr>
        <w:t>Minimizarea</w:t>
      </w:r>
      <w:proofErr w:type="spellEnd"/>
      <w:r w:rsidRPr="00C56257">
        <w:rPr>
          <w:rFonts w:eastAsiaTheme="minorHAnsi"/>
          <w:bCs/>
          <w:color w:val="000000" w:themeColor="text1"/>
          <w:lang w:val="en-US"/>
        </w:rPr>
        <w:t>/</w:t>
      </w:r>
      <w:proofErr w:type="spellStart"/>
      <w:r w:rsidRPr="00C56257">
        <w:rPr>
          <w:rFonts w:eastAsiaTheme="minorHAnsi"/>
          <w:bCs/>
          <w:color w:val="000000" w:themeColor="text1"/>
          <w:lang w:val="en-US"/>
        </w:rPr>
        <w:t>prevenirea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impactului</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catastrofelor</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geologice</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și</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naturale</w:t>
      </w:r>
      <w:proofErr w:type="spellEnd"/>
      <w:r w:rsidRPr="00C56257">
        <w:rPr>
          <w:rFonts w:eastAsiaTheme="minorHAnsi"/>
          <w:bCs/>
          <w:color w:val="000000" w:themeColor="text1"/>
          <w:lang w:val="en-US"/>
        </w:rPr>
        <w:t>, cod CL02.</w:t>
      </w:r>
    </w:p>
    <w:p w14:paraId="28DBBA8F" w14:textId="77777777" w:rsidR="002D3CA7" w:rsidRPr="00C56257" w:rsidRDefault="002D3CA7" w:rsidP="009E63E5">
      <w:pPr>
        <w:widowControl w:val="0"/>
        <w:numPr>
          <w:ilvl w:val="0"/>
          <w:numId w:val="151"/>
        </w:numPr>
        <w:autoSpaceDE w:val="0"/>
        <w:autoSpaceDN w:val="0"/>
        <w:adjustRightInd w:val="0"/>
        <w:spacing w:after="160" w:line="276" w:lineRule="auto"/>
        <w:ind w:left="0" w:firstLine="284"/>
        <w:contextualSpacing/>
        <w:jc w:val="both"/>
        <w:rPr>
          <w:rFonts w:eastAsiaTheme="minorHAnsi"/>
          <w:bCs/>
          <w:color w:val="000000" w:themeColor="text1"/>
          <w:lang w:val="en-US"/>
        </w:rPr>
      </w:pPr>
      <w:proofErr w:type="spellStart"/>
      <w:r w:rsidRPr="00C56257">
        <w:rPr>
          <w:rFonts w:eastAsiaTheme="minorHAnsi"/>
          <w:bCs/>
          <w:color w:val="000000" w:themeColor="text1"/>
          <w:lang w:val="en-US"/>
        </w:rPr>
        <w:t>Refacerea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habitatelor</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în</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urma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unor</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catastrofe</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geologice</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și</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naturale</w:t>
      </w:r>
      <w:proofErr w:type="spellEnd"/>
      <w:r w:rsidRPr="00C56257">
        <w:rPr>
          <w:rFonts w:eastAsiaTheme="minorHAnsi"/>
          <w:bCs/>
          <w:color w:val="000000" w:themeColor="text1"/>
          <w:lang w:val="en-US"/>
        </w:rPr>
        <w:t>, cod CL03.</w:t>
      </w:r>
    </w:p>
    <w:p w14:paraId="1090C45D" w14:textId="77777777" w:rsidR="002D3CA7" w:rsidRPr="00C56257" w:rsidRDefault="002D3CA7" w:rsidP="009E63E5">
      <w:pPr>
        <w:widowControl w:val="0"/>
        <w:numPr>
          <w:ilvl w:val="0"/>
          <w:numId w:val="151"/>
        </w:numPr>
        <w:autoSpaceDE w:val="0"/>
        <w:autoSpaceDN w:val="0"/>
        <w:adjustRightInd w:val="0"/>
        <w:spacing w:after="160" w:line="276" w:lineRule="auto"/>
        <w:ind w:left="0" w:firstLine="284"/>
        <w:contextualSpacing/>
        <w:jc w:val="both"/>
        <w:rPr>
          <w:rFonts w:eastAsiaTheme="minorHAnsi"/>
          <w:bCs/>
          <w:color w:val="000000" w:themeColor="text1"/>
          <w:lang w:val="fr-FR"/>
        </w:rPr>
      </w:pPr>
      <w:r w:rsidRPr="00C56257">
        <w:rPr>
          <w:rFonts w:eastAsiaTheme="minorHAnsi"/>
          <w:bCs/>
          <w:color w:val="000000" w:themeColor="text1"/>
          <w:lang w:val="fr-FR"/>
        </w:rPr>
        <w:t xml:space="preserve">Alte </w:t>
      </w:r>
      <w:proofErr w:type="spellStart"/>
      <w:r w:rsidRPr="00C56257">
        <w:rPr>
          <w:rFonts w:eastAsiaTheme="minorHAnsi"/>
          <w:bCs/>
          <w:color w:val="000000" w:themeColor="text1"/>
          <w:lang w:val="fr-FR"/>
        </w:rPr>
        <w:t>măsuri</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legate</w:t>
      </w:r>
      <w:proofErr w:type="spellEnd"/>
      <w:r w:rsidRPr="00C56257">
        <w:rPr>
          <w:rFonts w:eastAsiaTheme="minorHAnsi"/>
          <w:bCs/>
          <w:color w:val="000000" w:themeColor="text1"/>
          <w:lang w:val="fr-FR"/>
        </w:rPr>
        <w:t xml:space="preserve"> de </w:t>
      </w:r>
      <w:proofErr w:type="spellStart"/>
      <w:r w:rsidRPr="00C56257">
        <w:rPr>
          <w:rFonts w:eastAsiaTheme="minorHAnsi"/>
          <w:bCs/>
          <w:color w:val="000000" w:themeColor="text1"/>
          <w:lang w:val="fr-FR"/>
        </w:rPr>
        <w:t>procesele</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naturale</w:t>
      </w:r>
      <w:proofErr w:type="spellEnd"/>
      <w:r w:rsidRPr="00C56257">
        <w:rPr>
          <w:rFonts w:eastAsiaTheme="minorHAnsi"/>
          <w:bCs/>
          <w:color w:val="000000" w:themeColor="text1"/>
          <w:lang w:val="fr-FR"/>
        </w:rPr>
        <w:t xml:space="preserve"> (de ex. </w:t>
      </w:r>
      <w:proofErr w:type="spellStart"/>
      <w:r w:rsidRPr="00C56257">
        <w:rPr>
          <w:rFonts w:eastAsiaTheme="minorHAnsi"/>
          <w:bCs/>
          <w:color w:val="000000" w:themeColor="text1"/>
          <w:lang w:val="fr-FR"/>
        </w:rPr>
        <w:t>controlul</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concurenților</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naturali</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prădătorilor</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sau</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bolilor</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cod</w:t>
      </w:r>
      <w:proofErr w:type="spellEnd"/>
      <w:r w:rsidRPr="00C56257">
        <w:rPr>
          <w:rFonts w:eastAsiaTheme="minorHAnsi"/>
          <w:bCs/>
          <w:color w:val="000000" w:themeColor="text1"/>
          <w:lang w:val="fr-FR"/>
        </w:rPr>
        <w:t xml:space="preserve"> CL04.</w:t>
      </w:r>
    </w:p>
    <w:p w14:paraId="1CC9D10B" w14:textId="77777777" w:rsidR="002D3CA7" w:rsidRPr="00C56257" w:rsidRDefault="002D3CA7" w:rsidP="009E63E5">
      <w:pPr>
        <w:widowControl w:val="0"/>
        <w:numPr>
          <w:ilvl w:val="0"/>
          <w:numId w:val="151"/>
        </w:numPr>
        <w:autoSpaceDE w:val="0"/>
        <w:autoSpaceDN w:val="0"/>
        <w:adjustRightInd w:val="0"/>
        <w:spacing w:after="160" w:line="276" w:lineRule="auto"/>
        <w:ind w:left="0" w:firstLine="284"/>
        <w:contextualSpacing/>
        <w:jc w:val="both"/>
        <w:rPr>
          <w:rFonts w:eastAsiaTheme="minorHAnsi"/>
          <w:bCs/>
          <w:color w:val="000000" w:themeColor="text1"/>
          <w:lang w:val="fr-FR"/>
        </w:rPr>
      </w:pPr>
      <w:proofErr w:type="spellStart"/>
      <w:r w:rsidRPr="00C56257">
        <w:rPr>
          <w:rFonts w:eastAsiaTheme="minorHAnsi"/>
          <w:bCs/>
          <w:color w:val="000000" w:themeColor="text1"/>
          <w:lang w:val="fr-FR"/>
        </w:rPr>
        <w:t>Gestionarea</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plantelor</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autohtone</w:t>
      </w:r>
      <w:proofErr w:type="spellEnd"/>
      <w:r w:rsidRPr="00C56257">
        <w:rPr>
          <w:rFonts w:eastAsiaTheme="minorHAnsi"/>
          <w:bCs/>
          <w:color w:val="000000" w:themeColor="text1"/>
          <w:lang w:val="fr-FR"/>
        </w:rPr>
        <w:t xml:space="preserve"> importante </w:t>
      </w:r>
      <w:proofErr w:type="spellStart"/>
      <w:r w:rsidRPr="00C56257">
        <w:rPr>
          <w:rFonts w:eastAsiaTheme="minorHAnsi"/>
          <w:bCs/>
          <w:color w:val="000000" w:themeColor="text1"/>
          <w:lang w:val="fr-FR"/>
        </w:rPr>
        <w:t>pentru</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restaurarea</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habitatelor</w:t>
      </w:r>
      <w:proofErr w:type="spellEnd"/>
      <w:r w:rsidRPr="00C56257">
        <w:rPr>
          <w:rFonts w:eastAsiaTheme="minorHAnsi"/>
          <w:bCs/>
          <w:color w:val="000000" w:themeColor="text1"/>
          <w:lang w:val="fr-FR"/>
        </w:rPr>
        <w:t xml:space="preserve"> (de </w:t>
      </w:r>
      <w:proofErr w:type="spellStart"/>
      <w:r w:rsidRPr="00C56257">
        <w:rPr>
          <w:rFonts w:eastAsiaTheme="minorHAnsi"/>
          <w:bCs/>
          <w:color w:val="000000" w:themeColor="text1"/>
          <w:lang w:val="fr-FR"/>
        </w:rPr>
        <w:t>exemplu</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gestionarea</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speciilor-cheie</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Include</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reintroducerea</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speciilor</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gazdă</w:t>
      </w:r>
      <w:proofErr w:type="spellEnd"/>
      <w:r w:rsidRPr="00C56257">
        <w:rPr>
          <w:rFonts w:eastAsiaTheme="minorHAnsi"/>
          <w:bCs/>
          <w:color w:val="000000" w:themeColor="text1"/>
          <w:lang w:val="fr-FR"/>
        </w:rPr>
        <w:t xml:space="preserve"> cruciale </w:t>
      </w:r>
      <w:proofErr w:type="spellStart"/>
      <w:r w:rsidRPr="00C56257">
        <w:rPr>
          <w:rFonts w:eastAsiaTheme="minorHAnsi"/>
          <w:bCs/>
          <w:color w:val="000000" w:themeColor="text1"/>
          <w:lang w:val="fr-FR"/>
        </w:rPr>
        <w:t>sau</w:t>
      </w:r>
      <w:proofErr w:type="spellEnd"/>
      <w:r w:rsidRPr="00C56257">
        <w:rPr>
          <w:rFonts w:eastAsiaTheme="minorHAnsi"/>
          <w:bCs/>
          <w:color w:val="000000" w:themeColor="text1"/>
          <w:lang w:val="fr-FR"/>
        </w:rPr>
        <w:t xml:space="preserve"> a </w:t>
      </w:r>
      <w:proofErr w:type="spellStart"/>
      <w:r w:rsidRPr="00C56257">
        <w:rPr>
          <w:rFonts w:eastAsiaTheme="minorHAnsi"/>
          <w:bCs/>
          <w:color w:val="000000" w:themeColor="text1"/>
          <w:lang w:val="fr-FR"/>
        </w:rPr>
        <w:t>altor</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specii</w:t>
      </w:r>
      <w:proofErr w:type="spellEnd"/>
      <w:r w:rsidRPr="00C56257">
        <w:rPr>
          <w:rFonts w:eastAsiaTheme="minorHAnsi"/>
          <w:bCs/>
          <w:color w:val="000000" w:themeColor="text1"/>
          <w:lang w:val="fr-FR"/>
        </w:rPr>
        <w:t xml:space="preserve"> care </w:t>
      </w:r>
      <w:proofErr w:type="spellStart"/>
      <w:r w:rsidRPr="00C56257">
        <w:rPr>
          <w:rFonts w:eastAsiaTheme="minorHAnsi"/>
          <w:bCs/>
          <w:color w:val="000000" w:themeColor="text1"/>
          <w:lang w:val="fr-FR"/>
        </w:rPr>
        <w:t>interacționează</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pozitiv</w:t>
      </w:r>
      <w:proofErr w:type="spellEnd"/>
      <w:r w:rsidRPr="00C56257">
        <w:rPr>
          <w:rFonts w:eastAsiaTheme="minorHAnsi"/>
          <w:bCs/>
          <w:color w:val="000000" w:themeColor="text1"/>
          <w:lang w:val="fr-FR"/>
        </w:rPr>
        <w:t xml:space="preserve"> (cum </w:t>
      </w:r>
      <w:proofErr w:type="spellStart"/>
      <w:r w:rsidRPr="00C56257">
        <w:rPr>
          <w:rFonts w:eastAsiaTheme="minorHAnsi"/>
          <w:bCs/>
          <w:color w:val="000000" w:themeColor="text1"/>
          <w:lang w:val="fr-FR"/>
        </w:rPr>
        <w:t>ar</w:t>
      </w:r>
      <w:proofErr w:type="spellEnd"/>
      <w:r w:rsidRPr="00C56257">
        <w:rPr>
          <w:rFonts w:eastAsiaTheme="minorHAnsi"/>
          <w:bCs/>
          <w:color w:val="000000" w:themeColor="text1"/>
          <w:lang w:val="fr-FR"/>
        </w:rPr>
        <w:t xml:space="preserve"> fi </w:t>
      </w:r>
      <w:proofErr w:type="spellStart"/>
      <w:r w:rsidRPr="00C56257">
        <w:rPr>
          <w:rFonts w:eastAsiaTheme="minorHAnsi"/>
          <w:bCs/>
          <w:color w:val="000000" w:themeColor="text1"/>
          <w:lang w:val="fr-FR"/>
        </w:rPr>
        <w:t>polenizatorii</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cod</w:t>
      </w:r>
      <w:proofErr w:type="spellEnd"/>
      <w:r w:rsidRPr="00C56257">
        <w:rPr>
          <w:rFonts w:eastAsiaTheme="minorHAnsi"/>
          <w:bCs/>
          <w:color w:val="000000" w:themeColor="text1"/>
          <w:lang w:val="fr-FR"/>
        </w:rPr>
        <w:t xml:space="preserve"> CS04.</w:t>
      </w:r>
    </w:p>
    <w:p w14:paraId="056561C0" w14:textId="77777777" w:rsidR="002D3CA7" w:rsidRPr="00C56257" w:rsidRDefault="002D3CA7" w:rsidP="009E63E5">
      <w:pPr>
        <w:widowControl w:val="0"/>
        <w:numPr>
          <w:ilvl w:val="0"/>
          <w:numId w:val="151"/>
        </w:numPr>
        <w:autoSpaceDE w:val="0"/>
        <w:autoSpaceDN w:val="0"/>
        <w:adjustRightInd w:val="0"/>
        <w:spacing w:after="160" w:line="276" w:lineRule="auto"/>
        <w:ind w:left="0" w:firstLine="284"/>
        <w:contextualSpacing/>
        <w:jc w:val="both"/>
        <w:rPr>
          <w:rFonts w:eastAsiaTheme="minorHAnsi"/>
          <w:bCs/>
          <w:color w:val="000000" w:themeColor="text1"/>
          <w:lang w:val="en-US"/>
        </w:rPr>
      </w:pPr>
      <w:proofErr w:type="spellStart"/>
      <w:r w:rsidRPr="00C56257">
        <w:rPr>
          <w:rFonts w:eastAsiaTheme="minorHAnsi"/>
          <w:bCs/>
          <w:color w:val="000000" w:themeColor="text1"/>
          <w:lang w:val="en-US"/>
        </w:rPr>
        <w:t>Managementul</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vânătorii</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pescuitul</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recreativ</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și</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recoltarea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sau</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colectarea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plantelor</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recreaționale</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sau</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comerciale</w:t>
      </w:r>
      <w:proofErr w:type="spellEnd"/>
      <w:r w:rsidRPr="00C56257">
        <w:rPr>
          <w:rFonts w:eastAsiaTheme="minorHAnsi"/>
          <w:bCs/>
          <w:color w:val="000000" w:themeColor="text1"/>
          <w:lang w:val="en-US"/>
        </w:rPr>
        <w:t>, cod CG02.</w:t>
      </w:r>
    </w:p>
    <w:p w14:paraId="1D63B28F" w14:textId="77777777" w:rsidR="002D3CA7" w:rsidRPr="00C56257" w:rsidRDefault="002D3CA7" w:rsidP="009E63E5">
      <w:pPr>
        <w:widowControl w:val="0"/>
        <w:numPr>
          <w:ilvl w:val="0"/>
          <w:numId w:val="151"/>
        </w:numPr>
        <w:autoSpaceDE w:val="0"/>
        <w:autoSpaceDN w:val="0"/>
        <w:adjustRightInd w:val="0"/>
        <w:spacing w:after="160" w:line="276" w:lineRule="auto"/>
        <w:ind w:left="0" w:firstLine="284"/>
        <w:contextualSpacing/>
        <w:jc w:val="both"/>
        <w:rPr>
          <w:rFonts w:eastAsiaTheme="minorHAnsi"/>
          <w:bCs/>
          <w:color w:val="000000" w:themeColor="text1"/>
          <w:lang w:val="en-US"/>
        </w:rPr>
      </w:pPr>
      <w:proofErr w:type="spellStart"/>
      <w:r w:rsidRPr="00C56257">
        <w:rPr>
          <w:rFonts w:eastAsiaTheme="minorHAnsi"/>
          <w:bCs/>
          <w:color w:val="000000" w:themeColor="text1"/>
          <w:lang w:val="en-US"/>
        </w:rPr>
        <w:t>Managementul</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controlul</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sau</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eradicarea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altor</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specii</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alohtone</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invazive</w:t>
      </w:r>
      <w:proofErr w:type="spellEnd"/>
      <w:r w:rsidRPr="00C56257">
        <w:rPr>
          <w:rFonts w:eastAsiaTheme="minorHAnsi"/>
          <w:bCs/>
          <w:color w:val="000000" w:themeColor="text1"/>
          <w:lang w:val="en-US"/>
        </w:rPr>
        <w:t>, cod CI03.</w:t>
      </w:r>
    </w:p>
    <w:p w14:paraId="14C5C715" w14:textId="77777777" w:rsidR="002D3CA7" w:rsidRPr="00C56257" w:rsidRDefault="002D3CA7" w:rsidP="009E63E5">
      <w:pPr>
        <w:widowControl w:val="0"/>
        <w:numPr>
          <w:ilvl w:val="0"/>
          <w:numId w:val="151"/>
        </w:numPr>
        <w:autoSpaceDE w:val="0"/>
        <w:autoSpaceDN w:val="0"/>
        <w:adjustRightInd w:val="0"/>
        <w:spacing w:after="160" w:line="276" w:lineRule="auto"/>
        <w:ind w:left="0" w:firstLine="284"/>
        <w:contextualSpacing/>
        <w:jc w:val="both"/>
        <w:rPr>
          <w:rFonts w:eastAsiaTheme="minorHAnsi"/>
          <w:bCs/>
          <w:color w:val="000000" w:themeColor="text1"/>
          <w:lang w:val="fr-FR"/>
        </w:rPr>
      </w:pPr>
      <w:proofErr w:type="spellStart"/>
      <w:r w:rsidRPr="00C56257">
        <w:rPr>
          <w:rFonts w:eastAsiaTheme="minorHAnsi"/>
          <w:bCs/>
          <w:color w:val="000000" w:themeColor="text1"/>
          <w:lang w:val="fr-FR"/>
        </w:rPr>
        <w:t>Prevenirea</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conversiei</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habitatelor</w:t>
      </w:r>
      <w:proofErr w:type="spellEnd"/>
      <w:r w:rsidRPr="00C56257">
        <w:rPr>
          <w:rFonts w:eastAsiaTheme="minorHAnsi"/>
          <w:bCs/>
          <w:color w:val="000000" w:themeColor="text1"/>
          <w:lang w:val="fr-FR"/>
        </w:rPr>
        <w:t xml:space="preserve"> (semi) </w:t>
      </w:r>
      <w:proofErr w:type="spellStart"/>
      <w:r w:rsidRPr="00C56257">
        <w:rPr>
          <w:rFonts w:eastAsiaTheme="minorHAnsi"/>
          <w:bCs/>
          <w:color w:val="000000" w:themeColor="text1"/>
          <w:lang w:val="fr-FR"/>
        </w:rPr>
        <w:t>naturale</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în</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păduri</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și</w:t>
      </w:r>
      <w:proofErr w:type="spellEnd"/>
      <w:r w:rsidRPr="00C56257">
        <w:rPr>
          <w:rFonts w:eastAsiaTheme="minorHAnsi"/>
          <w:bCs/>
          <w:color w:val="000000" w:themeColor="text1"/>
          <w:lang w:val="fr-FR"/>
        </w:rPr>
        <w:t xml:space="preserve"> a </w:t>
      </w:r>
      <w:proofErr w:type="spellStart"/>
      <w:r w:rsidRPr="00C56257">
        <w:rPr>
          <w:rFonts w:eastAsiaTheme="minorHAnsi"/>
          <w:bCs/>
          <w:color w:val="000000" w:themeColor="text1"/>
          <w:lang w:val="fr-FR"/>
        </w:rPr>
        <w:t>pădurilor</w:t>
      </w:r>
      <w:proofErr w:type="spellEnd"/>
      <w:r w:rsidRPr="00C56257">
        <w:rPr>
          <w:rFonts w:eastAsiaTheme="minorHAnsi"/>
          <w:bCs/>
          <w:color w:val="000000" w:themeColor="text1"/>
          <w:lang w:val="fr-FR"/>
        </w:rPr>
        <w:t xml:space="preserve"> (semi) </w:t>
      </w:r>
      <w:proofErr w:type="spellStart"/>
      <w:r w:rsidRPr="00C56257">
        <w:rPr>
          <w:rFonts w:eastAsiaTheme="minorHAnsi"/>
          <w:bCs/>
          <w:color w:val="000000" w:themeColor="text1"/>
          <w:lang w:val="fr-FR"/>
        </w:rPr>
        <w:t>naturale</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în</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plantații</w:t>
      </w:r>
      <w:proofErr w:type="spellEnd"/>
      <w:r w:rsidRPr="00C56257">
        <w:rPr>
          <w:rFonts w:eastAsiaTheme="minorHAnsi"/>
          <w:bCs/>
          <w:color w:val="000000" w:themeColor="text1"/>
          <w:lang w:val="fr-FR"/>
        </w:rPr>
        <w:t xml:space="preserve"> </w:t>
      </w:r>
      <w:proofErr w:type="spellStart"/>
      <w:r w:rsidRPr="00C56257">
        <w:rPr>
          <w:rFonts w:eastAsiaTheme="minorHAnsi"/>
          <w:bCs/>
          <w:color w:val="000000" w:themeColor="text1"/>
          <w:lang w:val="fr-FR"/>
        </w:rPr>
        <w:t>forestiere</w:t>
      </w:r>
      <w:proofErr w:type="spellEnd"/>
      <w:r w:rsidRPr="00C56257">
        <w:rPr>
          <w:rFonts w:eastAsiaTheme="minorHAnsi"/>
          <w:bCs/>
          <w:color w:val="000000" w:themeColor="text1"/>
          <w:lang w:val="fr-FR"/>
        </w:rPr>
        <w:t xml:space="preserve"> intensive, </w:t>
      </w:r>
      <w:proofErr w:type="spellStart"/>
      <w:r w:rsidRPr="00C56257">
        <w:rPr>
          <w:rFonts w:eastAsiaTheme="minorHAnsi"/>
          <w:bCs/>
          <w:color w:val="000000" w:themeColor="text1"/>
          <w:lang w:val="fr-FR"/>
        </w:rPr>
        <w:t>cod</w:t>
      </w:r>
      <w:proofErr w:type="spellEnd"/>
      <w:r w:rsidRPr="00C56257">
        <w:rPr>
          <w:rFonts w:eastAsiaTheme="minorHAnsi"/>
          <w:bCs/>
          <w:color w:val="000000" w:themeColor="text1"/>
          <w:lang w:val="fr-FR"/>
        </w:rPr>
        <w:t xml:space="preserve"> CB01.</w:t>
      </w:r>
    </w:p>
    <w:p w14:paraId="02732DC6" w14:textId="77777777" w:rsidR="002D3CA7" w:rsidRPr="00C56257" w:rsidRDefault="002D3CA7" w:rsidP="009E63E5">
      <w:pPr>
        <w:widowControl w:val="0"/>
        <w:numPr>
          <w:ilvl w:val="0"/>
          <w:numId w:val="151"/>
        </w:numPr>
        <w:autoSpaceDE w:val="0"/>
        <w:autoSpaceDN w:val="0"/>
        <w:adjustRightInd w:val="0"/>
        <w:spacing w:after="160" w:line="276" w:lineRule="auto"/>
        <w:ind w:left="0" w:firstLine="284"/>
        <w:contextualSpacing/>
        <w:jc w:val="both"/>
        <w:rPr>
          <w:rFonts w:eastAsiaTheme="minorHAnsi"/>
          <w:bCs/>
          <w:color w:val="000000" w:themeColor="text1"/>
          <w:lang w:val="en-US"/>
        </w:rPr>
      </w:pPr>
      <w:proofErr w:type="spellStart"/>
      <w:r w:rsidRPr="00C56257">
        <w:rPr>
          <w:rFonts w:eastAsiaTheme="minorHAnsi"/>
          <w:bCs/>
          <w:color w:val="000000" w:themeColor="text1"/>
          <w:lang w:val="en-US"/>
        </w:rPr>
        <w:t>Combaterea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tăierilor</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ilegale</w:t>
      </w:r>
      <w:proofErr w:type="spellEnd"/>
      <w:r w:rsidRPr="00C56257">
        <w:rPr>
          <w:rFonts w:eastAsiaTheme="minorHAnsi"/>
          <w:bCs/>
          <w:color w:val="000000" w:themeColor="text1"/>
          <w:lang w:val="en-US"/>
        </w:rPr>
        <w:t>, cod CB07.</w:t>
      </w:r>
    </w:p>
    <w:p w14:paraId="17AFC0CD" w14:textId="77777777" w:rsidR="002D3CA7" w:rsidRPr="00C56257" w:rsidRDefault="002D3CA7" w:rsidP="009E63E5">
      <w:pPr>
        <w:widowControl w:val="0"/>
        <w:numPr>
          <w:ilvl w:val="0"/>
          <w:numId w:val="151"/>
        </w:numPr>
        <w:autoSpaceDE w:val="0"/>
        <w:autoSpaceDN w:val="0"/>
        <w:adjustRightInd w:val="0"/>
        <w:spacing w:after="160" w:line="276" w:lineRule="auto"/>
        <w:ind w:left="0" w:firstLine="284"/>
        <w:contextualSpacing/>
        <w:jc w:val="both"/>
        <w:rPr>
          <w:rFonts w:eastAsiaTheme="minorHAnsi"/>
          <w:bCs/>
          <w:color w:val="000000" w:themeColor="text1"/>
          <w:lang w:val="en-US"/>
        </w:rPr>
      </w:pPr>
      <w:proofErr w:type="spellStart"/>
      <w:r w:rsidRPr="00C56257">
        <w:rPr>
          <w:rFonts w:eastAsiaTheme="minorHAnsi"/>
          <w:bCs/>
          <w:color w:val="000000" w:themeColor="text1"/>
          <w:lang w:val="en-US"/>
        </w:rPr>
        <w:t>Gestionarea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folosirii</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substanțelor</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chimice</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pentru</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fertilizare</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amendarea</w:t>
      </w:r>
      <w:proofErr w:type="spellEnd"/>
      <w:r w:rsidRPr="00C56257">
        <w:rPr>
          <w:rFonts w:eastAsiaTheme="minorHAnsi"/>
          <w:bCs/>
          <w:color w:val="000000" w:themeColor="text1"/>
          <w:lang w:val="en-US"/>
        </w:rPr>
        <w:t xml:space="preserve"> cu calcar </w:t>
      </w:r>
      <w:proofErr w:type="spellStart"/>
      <w:r w:rsidRPr="00C56257">
        <w:rPr>
          <w:rFonts w:eastAsiaTheme="minorHAnsi"/>
          <w:bCs/>
          <w:color w:val="000000" w:themeColor="text1"/>
          <w:lang w:val="en-US"/>
        </w:rPr>
        <w:t>și</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combaterea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dăunătorilor</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în</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silvicultură</w:t>
      </w:r>
      <w:proofErr w:type="spellEnd"/>
      <w:r w:rsidRPr="00C56257">
        <w:rPr>
          <w:rFonts w:eastAsiaTheme="minorHAnsi"/>
          <w:bCs/>
          <w:color w:val="000000" w:themeColor="text1"/>
          <w:lang w:val="en-US"/>
        </w:rPr>
        <w:t>, cod CB09.</w:t>
      </w:r>
    </w:p>
    <w:p w14:paraId="4C8430F8" w14:textId="77777777" w:rsidR="002D3CA7" w:rsidRPr="00C56257" w:rsidRDefault="002D3CA7" w:rsidP="009E63E5">
      <w:pPr>
        <w:widowControl w:val="0"/>
        <w:numPr>
          <w:ilvl w:val="0"/>
          <w:numId w:val="151"/>
        </w:numPr>
        <w:autoSpaceDE w:val="0"/>
        <w:autoSpaceDN w:val="0"/>
        <w:adjustRightInd w:val="0"/>
        <w:spacing w:after="160" w:line="259" w:lineRule="auto"/>
        <w:ind w:left="0" w:firstLine="284"/>
        <w:contextualSpacing/>
        <w:jc w:val="both"/>
        <w:rPr>
          <w:bCs/>
          <w:color w:val="000000" w:themeColor="text1"/>
        </w:rPr>
      </w:pPr>
      <w:proofErr w:type="spellStart"/>
      <w:r w:rsidRPr="00C56257">
        <w:rPr>
          <w:rFonts w:eastAsiaTheme="minorHAnsi"/>
          <w:bCs/>
          <w:color w:val="000000" w:themeColor="text1"/>
          <w:lang w:val="en-US"/>
        </w:rPr>
        <w:t>Reducerea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poluării</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difuze</w:t>
      </w:r>
      <w:proofErr w:type="spellEnd"/>
      <w:r w:rsidRPr="00C56257">
        <w:rPr>
          <w:rFonts w:eastAsiaTheme="minorHAnsi"/>
          <w:bCs/>
          <w:color w:val="000000" w:themeColor="text1"/>
          <w:lang w:val="en-US"/>
        </w:rPr>
        <w:t xml:space="preserve"> a </w:t>
      </w:r>
      <w:proofErr w:type="spellStart"/>
      <w:r w:rsidRPr="00C56257">
        <w:rPr>
          <w:rFonts w:eastAsiaTheme="minorHAnsi"/>
          <w:bCs/>
          <w:color w:val="000000" w:themeColor="text1"/>
          <w:lang w:val="en-US"/>
        </w:rPr>
        <w:t>apelor</w:t>
      </w:r>
      <w:proofErr w:type="spellEnd"/>
      <w:r w:rsidRPr="00C56257">
        <w:rPr>
          <w:rFonts w:eastAsiaTheme="minorHAnsi"/>
          <w:bCs/>
          <w:color w:val="000000" w:themeColor="text1"/>
          <w:lang w:val="en-US"/>
        </w:rPr>
        <w:t xml:space="preserve"> de </w:t>
      </w:r>
      <w:proofErr w:type="spellStart"/>
      <w:r w:rsidRPr="00C56257">
        <w:rPr>
          <w:rFonts w:eastAsiaTheme="minorHAnsi"/>
          <w:bCs/>
          <w:color w:val="000000" w:themeColor="text1"/>
          <w:lang w:val="en-US"/>
        </w:rPr>
        <w:t>suprafață</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sau</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subterane</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rezultată</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în</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urma</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activităților</w:t>
      </w:r>
      <w:proofErr w:type="spellEnd"/>
      <w:r w:rsidRPr="00C56257">
        <w:rPr>
          <w:rFonts w:eastAsiaTheme="minorHAnsi"/>
          <w:bCs/>
          <w:color w:val="000000" w:themeColor="text1"/>
          <w:lang w:val="en-US"/>
        </w:rPr>
        <w:t xml:space="preserve"> </w:t>
      </w:r>
      <w:proofErr w:type="spellStart"/>
      <w:r w:rsidRPr="00C56257">
        <w:rPr>
          <w:rFonts w:eastAsiaTheme="minorHAnsi"/>
          <w:bCs/>
          <w:color w:val="000000" w:themeColor="text1"/>
          <w:lang w:val="en-US"/>
        </w:rPr>
        <w:t>forestiere</w:t>
      </w:r>
      <w:proofErr w:type="spellEnd"/>
      <w:r w:rsidRPr="00C56257">
        <w:rPr>
          <w:rFonts w:eastAsiaTheme="minorHAnsi"/>
          <w:bCs/>
          <w:color w:val="000000" w:themeColor="text1"/>
          <w:lang w:val="en-US"/>
        </w:rPr>
        <w:t>, cod CB10.</w:t>
      </w:r>
    </w:p>
    <w:p w14:paraId="0657894B" w14:textId="77777777" w:rsidR="00C509C8" w:rsidRPr="00C56257" w:rsidRDefault="002D3CA7" w:rsidP="00F100E1">
      <w:pPr>
        <w:spacing w:after="160" w:line="259" w:lineRule="auto"/>
        <w:jc w:val="both"/>
        <w:rPr>
          <w:b/>
          <w:bCs/>
          <w:color w:val="000000" w:themeColor="text1"/>
        </w:rPr>
      </w:pPr>
      <w:r w:rsidRPr="00C56257">
        <w:rPr>
          <w:b/>
          <w:bCs/>
          <w:color w:val="000000" w:themeColor="text1"/>
        </w:rPr>
        <w:br w:type="page"/>
      </w:r>
      <w:r w:rsidR="00C509C8" w:rsidRPr="00C56257">
        <w:rPr>
          <w:b/>
          <w:bCs/>
          <w:color w:val="000000" w:themeColor="text1"/>
        </w:rPr>
        <w:lastRenderedPageBreak/>
        <w:t>Anexa nr. 6 la Ghidul habitate</w:t>
      </w:r>
    </w:p>
    <w:p w14:paraId="673AA4A3" w14:textId="77777777" w:rsidR="00C509C8" w:rsidRDefault="00C509C8" w:rsidP="00F100E1">
      <w:pPr>
        <w:spacing w:after="160" w:line="259" w:lineRule="auto"/>
        <w:jc w:val="both"/>
        <w:rPr>
          <w:b/>
          <w:bCs/>
          <w:color w:val="000000" w:themeColor="text1"/>
        </w:rPr>
      </w:pPr>
      <w:r w:rsidRPr="00C56257">
        <w:rPr>
          <w:b/>
          <w:bCs/>
          <w:color w:val="000000" w:themeColor="text1"/>
        </w:rPr>
        <w:t>Ghidul cu  protocoalele de monitorizare si metodologiile unitare de monitorizare a starii de cons</w:t>
      </w:r>
      <w:r w:rsidR="008905AE" w:rsidRPr="00C56257">
        <w:rPr>
          <w:b/>
          <w:bCs/>
          <w:color w:val="000000" w:themeColor="text1"/>
        </w:rPr>
        <w:t>ervare a habitatelor de pajiști</w:t>
      </w:r>
    </w:p>
    <w:p w14:paraId="4FCAE95D" w14:textId="77777777" w:rsidR="00FF6DC0" w:rsidRDefault="00FF6DC0" w:rsidP="00FC74DD">
      <w:pPr>
        <w:pStyle w:val="BodyText"/>
        <w:spacing w:before="261"/>
        <w:ind w:left="0" w:right="14"/>
        <w:jc w:val="both"/>
      </w:pPr>
      <w:proofErr w:type="spellStart"/>
      <w:r>
        <w:t>Protocoalele</w:t>
      </w:r>
      <w:proofErr w:type="spellEnd"/>
      <w:r>
        <w:t xml:space="preserve"> de </w:t>
      </w:r>
      <w:proofErr w:type="spellStart"/>
      <w:r>
        <w:t>monitorizare</w:t>
      </w:r>
      <w:proofErr w:type="spellEnd"/>
      <w:r>
        <w:t xml:space="preserve"> </w:t>
      </w:r>
      <w:proofErr w:type="spellStart"/>
      <w:r>
        <w:t>și</w:t>
      </w:r>
      <w:proofErr w:type="spellEnd"/>
      <w:r>
        <w:t xml:space="preserve"> </w:t>
      </w:r>
      <w:proofErr w:type="spellStart"/>
      <w:r>
        <w:t>metodologiile</w:t>
      </w:r>
      <w:proofErr w:type="spellEnd"/>
      <w:r>
        <w:t xml:space="preserve"> de </w:t>
      </w:r>
      <w:proofErr w:type="spellStart"/>
      <w:r>
        <w:t>monitorizare</w:t>
      </w:r>
      <w:proofErr w:type="spellEnd"/>
      <w:r>
        <w:t xml:space="preserve"> a </w:t>
      </w:r>
      <w:proofErr w:type="spellStart"/>
      <w:r>
        <w:t>habitatelor</w:t>
      </w:r>
      <w:proofErr w:type="spellEnd"/>
      <w:r>
        <w:t xml:space="preserve"> de </w:t>
      </w:r>
      <w:proofErr w:type="spellStart"/>
      <w:r>
        <w:t>pajiști</w:t>
      </w:r>
      <w:proofErr w:type="spellEnd"/>
      <w:r>
        <w:t xml:space="preserve"> sunt </w:t>
      </w:r>
      <w:proofErr w:type="spellStart"/>
      <w:r>
        <w:t>aferente</w:t>
      </w:r>
      <w:proofErr w:type="spellEnd"/>
      <w:r>
        <w:t xml:space="preserve"> </w:t>
      </w:r>
      <w:proofErr w:type="spellStart"/>
      <w:r>
        <w:t>următoarelor</w:t>
      </w:r>
      <w:proofErr w:type="spellEnd"/>
      <w:r>
        <w:t xml:space="preserve"> </w:t>
      </w:r>
      <w:proofErr w:type="spellStart"/>
      <w:r>
        <w:t>tipuri</w:t>
      </w:r>
      <w:proofErr w:type="spellEnd"/>
      <w:r>
        <w:t xml:space="preserve"> de</w:t>
      </w:r>
      <w:r>
        <w:rPr>
          <w:spacing w:val="1"/>
        </w:rPr>
        <w:t xml:space="preserve"> </w:t>
      </w:r>
      <w:proofErr w:type="spellStart"/>
      <w:r>
        <w:t>habitate</w:t>
      </w:r>
      <w:proofErr w:type="spellEnd"/>
      <w:r>
        <w:t>: 6110*</w:t>
      </w:r>
      <w:r>
        <w:rPr>
          <w:spacing w:val="1"/>
        </w:rPr>
        <w:t xml:space="preserve"> </w:t>
      </w:r>
      <w:proofErr w:type="spellStart"/>
      <w:r>
        <w:t>Comunități</w:t>
      </w:r>
      <w:proofErr w:type="spellEnd"/>
      <w:r>
        <w:rPr>
          <w:spacing w:val="1"/>
        </w:rPr>
        <w:t xml:space="preserve"> </w:t>
      </w:r>
      <w:proofErr w:type="spellStart"/>
      <w:r>
        <w:t>rupicole</w:t>
      </w:r>
      <w:proofErr w:type="spellEnd"/>
      <w:r>
        <w:rPr>
          <w:spacing w:val="1"/>
        </w:rPr>
        <w:t xml:space="preserve"> </w:t>
      </w:r>
      <w:proofErr w:type="spellStart"/>
      <w:r>
        <w:t>calcifile</w:t>
      </w:r>
      <w:proofErr w:type="spellEnd"/>
      <w:r>
        <w:rPr>
          <w:spacing w:val="1"/>
        </w:rPr>
        <w:t xml:space="preserve"> </w:t>
      </w:r>
      <w:proofErr w:type="spellStart"/>
      <w:r>
        <w:t>sau</w:t>
      </w:r>
      <w:proofErr w:type="spellEnd"/>
      <w:r>
        <w:rPr>
          <w:spacing w:val="1"/>
        </w:rPr>
        <w:t xml:space="preserve"> </w:t>
      </w:r>
      <w:proofErr w:type="spellStart"/>
      <w:r>
        <w:t>pajiști</w:t>
      </w:r>
      <w:proofErr w:type="spellEnd"/>
      <w:r>
        <w:rPr>
          <w:spacing w:val="1"/>
        </w:rPr>
        <w:t xml:space="preserve"> </w:t>
      </w:r>
      <w:proofErr w:type="spellStart"/>
      <w:r>
        <w:t>bazifile</w:t>
      </w:r>
      <w:proofErr w:type="spellEnd"/>
      <w:r>
        <w:rPr>
          <w:spacing w:val="1"/>
        </w:rPr>
        <w:t xml:space="preserve"> </w:t>
      </w:r>
      <w:r>
        <w:t xml:space="preserve">din </w:t>
      </w:r>
      <w:proofErr w:type="spellStart"/>
      <w:r w:rsidRPr="00A82714">
        <w:rPr>
          <w:i/>
        </w:rPr>
        <w:t>Alysso-Sedion</w:t>
      </w:r>
      <w:proofErr w:type="spellEnd"/>
      <w:r w:rsidRPr="00A82714">
        <w:rPr>
          <w:i/>
          <w:spacing w:val="1"/>
        </w:rPr>
        <w:t xml:space="preserve"> </w:t>
      </w:r>
      <w:proofErr w:type="spellStart"/>
      <w:r w:rsidRPr="00A82714">
        <w:rPr>
          <w:i/>
        </w:rPr>
        <w:t>albi</w:t>
      </w:r>
      <w:proofErr w:type="spellEnd"/>
      <w:r>
        <w:t>;</w:t>
      </w:r>
      <w:r>
        <w:rPr>
          <w:spacing w:val="1"/>
        </w:rPr>
        <w:t xml:space="preserve"> </w:t>
      </w:r>
      <w:r>
        <w:t>6120*</w:t>
      </w:r>
      <w:r>
        <w:rPr>
          <w:spacing w:val="1"/>
        </w:rPr>
        <w:t xml:space="preserve"> </w:t>
      </w:r>
      <w:proofErr w:type="spellStart"/>
      <w:r>
        <w:t>Pajiști</w:t>
      </w:r>
      <w:proofErr w:type="spellEnd"/>
      <w:r>
        <w:rPr>
          <w:spacing w:val="1"/>
        </w:rPr>
        <w:t xml:space="preserve"> </w:t>
      </w:r>
      <w:proofErr w:type="spellStart"/>
      <w:r>
        <w:t>xerice</w:t>
      </w:r>
      <w:proofErr w:type="spellEnd"/>
      <w:r>
        <w:rPr>
          <w:spacing w:val="1"/>
        </w:rPr>
        <w:t xml:space="preserve"> </w:t>
      </w:r>
      <w:r>
        <w:t>pe</w:t>
      </w:r>
      <w:r>
        <w:rPr>
          <w:spacing w:val="1"/>
        </w:rPr>
        <w:t xml:space="preserve"> </w:t>
      </w:r>
      <w:proofErr w:type="spellStart"/>
      <w:r>
        <w:t>nisipuri</w:t>
      </w:r>
      <w:proofErr w:type="spellEnd"/>
      <w:r>
        <w:rPr>
          <w:spacing w:val="1"/>
        </w:rPr>
        <w:t xml:space="preserve"> </w:t>
      </w:r>
      <w:proofErr w:type="spellStart"/>
      <w:r>
        <w:t>calcaroase</w:t>
      </w:r>
      <w:proofErr w:type="spellEnd"/>
      <w:r>
        <w:t>;</w:t>
      </w:r>
      <w:r>
        <w:rPr>
          <w:spacing w:val="1"/>
        </w:rPr>
        <w:t xml:space="preserve"> </w:t>
      </w:r>
      <w:r>
        <w:t>6150</w:t>
      </w:r>
      <w:r>
        <w:rPr>
          <w:spacing w:val="1"/>
        </w:rPr>
        <w:t xml:space="preserve"> </w:t>
      </w:r>
      <w:proofErr w:type="spellStart"/>
      <w:r>
        <w:t>Pajiști</w:t>
      </w:r>
      <w:proofErr w:type="spellEnd"/>
      <w:r>
        <w:rPr>
          <w:spacing w:val="1"/>
        </w:rPr>
        <w:t xml:space="preserve"> </w:t>
      </w:r>
      <w:proofErr w:type="spellStart"/>
      <w:r>
        <w:t>boreale</w:t>
      </w:r>
      <w:proofErr w:type="spellEnd"/>
      <w:r>
        <w:rPr>
          <w:spacing w:val="1"/>
        </w:rPr>
        <w:t xml:space="preserve"> </w:t>
      </w:r>
      <w:proofErr w:type="spellStart"/>
      <w:r>
        <w:t>și</w:t>
      </w:r>
      <w:proofErr w:type="spellEnd"/>
      <w:r>
        <w:rPr>
          <w:spacing w:val="1"/>
        </w:rPr>
        <w:t xml:space="preserve"> </w:t>
      </w:r>
      <w:r>
        <w:t>alpine</w:t>
      </w:r>
      <w:r>
        <w:rPr>
          <w:spacing w:val="1"/>
        </w:rPr>
        <w:t xml:space="preserve"> </w:t>
      </w:r>
      <w:r>
        <w:t>pe</w:t>
      </w:r>
      <w:r>
        <w:rPr>
          <w:spacing w:val="60"/>
        </w:rPr>
        <w:t xml:space="preserve"> </w:t>
      </w:r>
      <w:r>
        <w:t>substrate</w:t>
      </w:r>
      <w:r>
        <w:rPr>
          <w:spacing w:val="1"/>
        </w:rPr>
        <w:t xml:space="preserve"> </w:t>
      </w:r>
      <w:proofErr w:type="spellStart"/>
      <w:r>
        <w:t>siliciose</w:t>
      </w:r>
      <w:proofErr w:type="spellEnd"/>
      <w:r>
        <w:t xml:space="preserve">; 6170 </w:t>
      </w:r>
      <w:proofErr w:type="spellStart"/>
      <w:r>
        <w:t>Pajiști</w:t>
      </w:r>
      <w:proofErr w:type="spellEnd"/>
      <w:r>
        <w:t xml:space="preserve"> </w:t>
      </w:r>
      <w:proofErr w:type="spellStart"/>
      <w:r>
        <w:t>calcifile</w:t>
      </w:r>
      <w:proofErr w:type="spellEnd"/>
      <w:r>
        <w:t xml:space="preserve"> alpine </w:t>
      </w:r>
      <w:proofErr w:type="spellStart"/>
      <w:r>
        <w:t>și</w:t>
      </w:r>
      <w:proofErr w:type="spellEnd"/>
      <w:r>
        <w:t xml:space="preserve"> subalpine; 6190 </w:t>
      </w:r>
      <w:proofErr w:type="spellStart"/>
      <w:r>
        <w:t>Pajiști</w:t>
      </w:r>
      <w:proofErr w:type="spellEnd"/>
      <w:r>
        <w:t xml:space="preserve"> </w:t>
      </w:r>
      <w:proofErr w:type="spellStart"/>
      <w:r>
        <w:t>panonice</w:t>
      </w:r>
      <w:proofErr w:type="spellEnd"/>
      <w:r>
        <w:t xml:space="preserve"> de </w:t>
      </w:r>
      <w:proofErr w:type="spellStart"/>
      <w:r>
        <w:t>stâncării</w:t>
      </w:r>
      <w:proofErr w:type="spellEnd"/>
      <w:r>
        <w:t xml:space="preserve"> - </w:t>
      </w:r>
      <w:r w:rsidRPr="00A82714">
        <w:rPr>
          <w:i/>
        </w:rPr>
        <w:t>Stipo-</w:t>
      </w:r>
      <w:proofErr w:type="spellStart"/>
      <w:r w:rsidRPr="00A82714">
        <w:rPr>
          <w:i/>
        </w:rPr>
        <w:t>Festucetalia</w:t>
      </w:r>
      <w:proofErr w:type="spellEnd"/>
      <w:r w:rsidRPr="00A82714">
        <w:rPr>
          <w:i/>
          <w:spacing w:val="1"/>
        </w:rPr>
        <w:t xml:space="preserve"> </w:t>
      </w:r>
      <w:proofErr w:type="spellStart"/>
      <w:r w:rsidRPr="00A82714">
        <w:rPr>
          <w:i/>
        </w:rPr>
        <w:t>pallentis</w:t>
      </w:r>
      <w:proofErr w:type="spellEnd"/>
      <w:r>
        <w:t>;</w:t>
      </w:r>
      <w:r>
        <w:rPr>
          <w:spacing w:val="1"/>
        </w:rPr>
        <w:t xml:space="preserve"> </w:t>
      </w:r>
      <w:r>
        <w:t>6210*</w:t>
      </w:r>
      <w:r>
        <w:rPr>
          <w:spacing w:val="1"/>
        </w:rPr>
        <w:t xml:space="preserve"> </w:t>
      </w:r>
      <w:proofErr w:type="spellStart"/>
      <w:r>
        <w:t>Pajiști</w:t>
      </w:r>
      <w:proofErr w:type="spellEnd"/>
      <w:r>
        <w:rPr>
          <w:spacing w:val="1"/>
        </w:rPr>
        <w:t xml:space="preserve"> </w:t>
      </w:r>
      <w:proofErr w:type="spellStart"/>
      <w:r>
        <w:t>uscate</w:t>
      </w:r>
      <w:proofErr w:type="spellEnd"/>
      <w:r>
        <w:rPr>
          <w:spacing w:val="1"/>
        </w:rPr>
        <w:t xml:space="preserve"> </w:t>
      </w:r>
      <w:proofErr w:type="spellStart"/>
      <w:r>
        <w:t>seminaturale</w:t>
      </w:r>
      <w:proofErr w:type="spellEnd"/>
      <w:r>
        <w:rPr>
          <w:spacing w:val="1"/>
        </w:rPr>
        <w:t xml:space="preserve"> </w:t>
      </w:r>
      <w:proofErr w:type="spellStart"/>
      <w:r>
        <w:t>și</w:t>
      </w:r>
      <w:proofErr w:type="spellEnd"/>
      <w:r>
        <w:rPr>
          <w:spacing w:val="1"/>
        </w:rPr>
        <w:t xml:space="preserve"> </w:t>
      </w:r>
      <w:proofErr w:type="spellStart"/>
      <w:r>
        <w:t>faciesuri</w:t>
      </w:r>
      <w:proofErr w:type="spellEnd"/>
      <w:r>
        <w:rPr>
          <w:spacing w:val="1"/>
        </w:rPr>
        <w:t xml:space="preserve"> </w:t>
      </w:r>
      <w:r>
        <w:t>cu</w:t>
      </w:r>
      <w:r>
        <w:rPr>
          <w:spacing w:val="1"/>
        </w:rPr>
        <w:t xml:space="preserve"> </w:t>
      </w:r>
      <w:proofErr w:type="spellStart"/>
      <w:r>
        <w:t>tufărișuri</w:t>
      </w:r>
      <w:proofErr w:type="spellEnd"/>
      <w:r>
        <w:rPr>
          <w:spacing w:val="60"/>
        </w:rPr>
        <w:t xml:space="preserve"> </w:t>
      </w:r>
      <w:r>
        <w:t>pe</w:t>
      </w:r>
      <w:r>
        <w:rPr>
          <w:spacing w:val="1"/>
        </w:rPr>
        <w:t xml:space="preserve"> </w:t>
      </w:r>
      <w:proofErr w:type="spellStart"/>
      <w:r>
        <w:t>substraturi</w:t>
      </w:r>
      <w:proofErr w:type="spellEnd"/>
      <w:r>
        <w:rPr>
          <w:spacing w:val="1"/>
        </w:rPr>
        <w:t xml:space="preserve"> </w:t>
      </w:r>
      <w:proofErr w:type="spellStart"/>
      <w:r>
        <w:t>calcaroase</w:t>
      </w:r>
      <w:proofErr w:type="spellEnd"/>
      <w:r>
        <w:rPr>
          <w:spacing w:val="1"/>
        </w:rPr>
        <w:t xml:space="preserve"> </w:t>
      </w:r>
      <w:r>
        <w:t>-</w:t>
      </w:r>
      <w:r>
        <w:rPr>
          <w:spacing w:val="1"/>
        </w:rPr>
        <w:t xml:space="preserve"> </w:t>
      </w:r>
      <w:proofErr w:type="spellStart"/>
      <w:r w:rsidRPr="00A82714">
        <w:rPr>
          <w:i/>
        </w:rPr>
        <w:t>Festuco-Brometalia</w:t>
      </w:r>
      <w:proofErr w:type="spellEnd"/>
      <w:r>
        <w:t>;</w:t>
      </w:r>
      <w:r>
        <w:rPr>
          <w:spacing w:val="1"/>
        </w:rPr>
        <w:t xml:space="preserve"> </w:t>
      </w:r>
      <w:r>
        <w:t>6230*</w:t>
      </w:r>
      <w:r>
        <w:rPr>
          <w:spacing w:val="1"/>
        </w:rPr>
        <w:t xml:space="preserve"> </w:t>
      </w:r>
      <w:proofErr w:type="spellStart"/>
      <w:r>
        <w:t>Pajiști</w:t>
      </w:r>
      <w:proofErr w:type="spellEnd"/>
      <w:r>
        <w:rPr>
          <w:spacing w:val="1"/>
        </w:rPr>
        <w:t xml:space="preserve"> </w:t>
      </w:r>
      <w:r>
        <w:t>montane</w:t>
      </w:r>
      <w:r>
        <w:rPr>
          <w:spacing w:val="1"/>
        </w:rPr>
        <w:t xml:space="preserve"> </w:t>
      </w:r>
      <w:r>
        <w:t>de</w:t>
      </w:r>
      <w:r>
        <w:rPr>
          <w:spacing w:val="1"/>
        </w:rPr>
        <w:t xml:space="preserve"> </w:t>
      </w:r>
      <w:r w:rsidRPr="00A82714">
        <w:rPr>
          <w:i/>
        </w:rPr>
        <w:t>Nardus</w:t>
      </w:r>
      <w:r>
        <w:rPr>
          <w:spacing w:val="1"/>
        </w:rPr>
        <w:t xml:space="preserve"> </w:t>
      </w:r>
      <w:proofErr w:type="spellStart"/>
      <w:r>
        <w:t>bogate</w:t>
      </w:r>
      <w:proofErr w:type="spellEnd"/>
      <w:r>
        <w:rPr>
          <w:spacing w:val="1"/>
        </w:rPr>
        <w:t xml:space="preserve"> </w:t>
      </w:r>
      <w:proofErr w:type="spellStart"/>
      <w:r>
        <w:t>în</w:t>
      </w:r>
      <w:proofErr w:type="spellEnd"/>
      <w:r>
        <w:rPr>
          <w:spacing w:val="-57"/>
        </w:rPr>
        <w:t xml:space="preserve"> </w:t>
      </w:r>
      <w:proofErr w:type="spellStart"/>
      <w:r>
        <w:t>specii</w:t>
      </w:r>
      <w:proofErr w:type="spellEnd"/>
      <w:r>
        <w:t>,</w:t>
      </w:r>
      <w:r>
        <w:rPr>
          <w:spacing w:val="1"/>
        </w:rPr>
        <w:t xml:space="preserve"> </w:t>
      </w:r>
      <w:r>
        <w:t>pe</w:t>
      </w:r>
      <w:r>
        <w:rPr>
          <w:spacing w:val="1"/>
        </w:rPr>
        <w:t xml:space="preserve"> </w:t>
      </w:r>
      <w:r>
        <w:t>substrate</w:t>
      </w:r>
      <w:r>
        <w:rPr>
          <w:spacing w:val="1"/>
        </w:rPr>
        <w:t xml:space="preserve"> </w:t>
      </w:r>
      <w:proofErr w:type="spellStart"/>
      <w:r>
        <w:t>silicioase</w:t>
      </w:r>
      <w:proofErr w:type="spellEnd"/>
      <w:r>
        <w:t>;</w:t>
      </w:r>
      <w:r>
        <w:rPr>
          <w:spacing w:val="1"/>
        </w:rPr>
        <w:t xml:space="preserve"> </w:t>
      </w:r>
      <w:r>
        <w:t>6240*</w:t>
      </w:r>
      <w:r>
        <w:rPr>
          <w:spacing w:val="1"/>
        </w:rPr>
        <w:t xml:space="preserve"> </w:t>
      </w:r>
      <w:proofErr w:type="spellStart"/>
      <w:r>
        <w:t>Pajiști</w:t>
      </w:r>
      <w:proofErr w:type="spellEnd"/>
      <w:r>
        <w:rPr>
          <w:spacing w:val="1"/>
        </w:rPr>
        <w:t xml:space="preserve"> </w:t>
      </w:r>
      <w:proofErr w:type="spellStart"/>
      <w:r>
        <w:t>stepice</w:t>
      </w:r>
      <w:proofErr w:type="spellEnd"/>
      <w:r>
        <w:rPr>
          <w:spacing w:val="1"/>
        </w:rPr>
        <w:t xml:space="preserve"> </w:t>
      </w:r>
      <w:proofErr w:type="spellStart"/>
      <w:r>
        <w:t>subpanonice</w:t>
      </w:r>
      <w:proofErr w:type="spellEnd"/>
      <w:r>
        <w:t>;</w:t>
      </w:r>
      <w:r>
        <w:rPr>
          <w:spacing w:val="1"/>
        </w:rPr>
        <w:t xml:space="preserve"> </w:t>
      </w:r>
      <w:r>
        <w:t>62C0*</w:t>
      </w:r>
      <w:r>
        <w:rPr>
          <w:spacing w:val="1"/>
        </w:rPr>
        <w:t xml:space="preserve"> </w:t>
      </w:r>
      <w:proofErr w:type="spellStart"/>
      <w:r>
        <w:t>Stepe</w:t>
      </w:r>
      <w:proofErr w:type="spellEnd"/>
      <w:r>
        <w:rPr>
          <w:spacing w:val="1"/>
        </w:rPr>
        <w:t xml:space="preserve"> </w:t>
      </w:r>
      <w:proofErr w:type="spellStart"/>
      <w:r>
        <w:t>ponto</w:t>
      </w:r>
      <w:proofErr w:type="spellEnd"/>
      <w:r>
        <w:t>-</w:t>
      </w:r>
      <w:r>
        <w:rPr>
          <w:spacing w:val="1"/>
        </w:rPr>
        <w:t xml:space="preserve"> </w:t>
      </w:r>
      <w:proofErr w:type="spellStart"/>
      <w:r>
        <w:t>sarmatice</w:t>
      </w:r>
      <w:proofErr w:type="spellEnd"/>
      <w:r>
        <w:t>;</w:t>
      </w:r>
      <w:r>
        <w:rPr>
          <w:spacing w:val="1"/>
        </w:rPr>
        <w:t xml:space="preserve"> </w:t>
      </w:r>
      <w:r>
        <w:t>6410</w:t>
      </w:r>
      <w:r>
        <w:rPr>
          <w:spacing w:val="1"/>
        </w:rPr>
        <w:t xml:space="preserve"> </w:t>
      </w:r>
      <w:proofErr w:type="spellStart"/>
      <w:r>
        <w:t>Pajiști</w:t>
      </w:r>
      <w:proofErr w:type="spellEnd"/>
      <w:r>
        <w:rPr>
          <w:spacing w:val="1"/>
        </w:rPr>
        <w:t xml:space="preserve"> </w:t>
      </w:r>
      <w:r>
        <w:t>cu</w:t>
      </w:r>
      <w:r>
        <w:rPr>
          <w:spacing w:val="1"/>
        </w:rPr>
        <w:t xml:space="preserve"> </w:t>
      </w:r>
      <w:r w:rsidRPr="00A82714">
        <w:rPr>
          <w:i/>
        </w:rPr>
        <w:t>Molinia</w:t>
      </w:r>
      <w:r>
        <w:rPr>
          <w:spacing w:val="1"/>
        </w:rPr>
        <w:t xml:space="preserve"> </w:t>
      </w:r>
      <w:r>
        <w:t>pe</w:t>
      </w:r>
      <w:r>
        <w:rPr>
          <w:spacing w:val="1"/>
        </w:rPr>
        <w:t xml:space="preserve"> </w:t>
      </w:r>
      <w:proofErr w:type="spellStart"/>
      <w:r>
        <w:t>soluri</w:t>
      </w:r>
      <w:proofErr w:type="spellEnd"/>
      <w:r>
        <w:rPr>
          <w:spacing w:val="1"/>
        </w:rPr>
        <w:t xml:space="preserve"> </w:t>
      </w:r>
      <w:proofErr w:type="spellStart"/>
      <w:r>
        <w:t>calcaroase</w:t>
      </w:r>
      <w:proofErr w:type="spellEnd"/>
      <w:r>
        <w:t>,</w:t>
      </w:r>
      <w:r>
        <w:rPr>
          <w:spacing w:val="1"/>
        </w:rPr>
        <w:t xml:space="preserve"> </w:t>
      </w:r>
      <w:proofErr w:type="spellStart"/>
      <w:r>
        <w:t>turboase</w:t>
      </w:r>
      <w:proofErr w:type="spellEnd"/>
      <w:r>
        <w:rPr>
          <w:spacing w:val="1"/>
        </w:rPr>
        <w:t xml:space="preserve"> </w:t>
      </w:r>
      <w:proofErr w:type="spellStart"/>
      <w:r>
        <w:t>sau</w:t>
      </w:r>
      <w:proofErr w:type="spellEnd"/>
      <w:r>
        <w:rPr>
          <w:spacing w:val="60"/>
        </w:rPr>
        <w:t xml:space="preserve"> </w:t>
      </w:r>
      <w:proofErr w:type="spellStart"/>
      <w:r>
        <w:t>luto-argiloase</w:t>
      </w:r>
      <w:proofErr w:type="spellEnd"/>
      <w:r>
        <w:rPr>
          <w:spacing w:val="60"/>
        </w:rPr>
        <w:t xml:space="preserve"> </w:t>
      </w:r>
      <w:r>
        <w:t>-</w:t>
      </w:r>
      <w:r>
        <w:rPr>
          <w:spacing w:val="1"/>
        </w:rPr>
        <w:t xml:space="preserve"> </w:t>
      </w:r>
      <w:proofErr w:type="spellStart"/>
      <w:r w:rsidRPr="00A82714">
        <w:rPr>
          <w:i/>
        </w:rPr>
        <w:t>Molinion</w:t>
      </w:r>
      <w:proofErr w:type="spellEnd"/>
      <w:r w:rsidRPr="00A82714">
        <w:rPr>
          <w:i/>
          <w:spacing w:val="1"/>
        </w:rPr>
        <w:t xml:space="preserve"> </w:t>
      </w:r>
      <w:proofErr w:type="spellStart"/>
      <w:r w:rsidRPr="00A82714">
        <w:rPr>
          <w:i/>
        </w:rPr>
        <w:t>caeruleae</w:t>
      </w:r>
      <w:proofErr w:type="spellEnd"/>
      <w:r>
        <w:t>;</w:t>
      </w:r>
      <w:r>
        <w:rPr>
          <w:spacing w:val="1"/>
        </w:rPr>
        <w:t xml:space="preserve"> </w:t>
      </w:r>
      <w:r>
        <w:t>6420</w:t>
      </w:r>
      <w:r>
        <w:rPr>
          <w:spacing w:val="1"/>
        </w:rPr>
        <w:t xml:space="preserve"> </w:t>
      </w:r>
      <w:proofErr w:type="spellStart"/>
      <w:r>
        <w:t>Pajiști</w:t>
      </w:r>
      <w:proofErr w:type="spellEnd"/>
      <w:r>
        <w:rPr>
          <w:spacing w:val="1"/>
        </w:rPr>
        <w:t xml:space="preserve"> </w:t>
      </w:r>
      <w:proofErr w:type="spellStart"/>
      <w:r>
        <w:t>mediteraneene</w:t>
      </w:r>
      <w:proofErr w:type="spellEnd"/>
      <w:r>
        <w:rPr>
          <w:spacing w:val="1"/>
        </w:rPr>
        <w:t xml:space="preserve"> </w:t>
      </w:r>
      <w:proofErr w:type="spellStart"/>
      <w:r>
        <w:t>umede</w:t>
      </w:r>
      <w:proofErr w:type="spellEnd"/>
      <w:r>
        <w:rPr>
          <w:spacing w:val="1"/>
        </w:rPr>
        <w:t xml:space="preserve"> </w:t>
      </w:r>
      <w:r>
        <w:t>cu</w:t>
      </w:r>
      <w:r>
        <w:rPr>
          <w:spacing w:val="1"/>
        </w:rPr>
        <w:t xml:space="preserve"> </w:t>
      </w:r>
      <w:proofErr w:type="spellStart"/>
      <w:r>
        <w:t>ierburi</w:t>
      </w:r>
      <w:proofErr w:type="spellEnd"/>
      <w:r>
        <w:rPr>
          <w:spacing w:val="1"/>
        </w:rPr>
        <w:t xml:space="preserve"> </w:t>
      </w:r>
      <w:proofErr w:type="spellStart"/>
      <w:r>
        <w:t>înalte</w:t>
      </w:r>
      <w:proofErr w:type="spellEnd"/>
      <w:r>
        <w:rPr>
          <w:spacing w:val="1"/>
        </w:rPr>
        <w:t xml:space="preserve"> </w:t>
      </w:r>
      <w:r>
        <w:t>din</w:t>
      </w:r>
      <w:r>
        <w:rPr>
          <w:spacing w:val="1"/>
        </w:rPr>
        <w:t xml:space="preserve"> </w:t>
      </w:r>
      <w:proofErr w:type="spellStart"/>
      <w:r w:rsidRPr="00A82714">
        <w:rPr>
          <w:i/>
        </w:rPr>
        <w:t>Molinio</w:t>
      </w:r>
      <w:proofErr w:type="spellEnd"/>
      <w:r w:rsidRPr="00A82714">
        <w:rPr>
          <w:i/>
        </w:rPr>
        <w:t>-</w:t>
      </w:r>
      <w:r w:rsidRPr="00A82714">
        <w:rPr>
          <w:i/>
          <w:spacing w:val="1"/>
        </w:rPr>
        <w:t xml:space="preserve"> </w:t>
      </w:r>
      <w:proofErr w:type="spellStart"/>
      <w:r w:rsidRPr="00A82714">
        <w:rPr>
          <w:i/>
        </w:rPr>
        <w:t>Holoschoenion</w:t>
      </w:r>
      <w:proofErr w:type="spellEnd"/>
      <w:r>
        <w:t xml:space="preserve">; 6430 </w:t>
      </w:r>
      <w:proofErr w:type="spellStart"/>
      <w:r>
        <w:t>Comunităși</w:t>
      </w:r>
      <w:proofErr w:type="spellEnd"/>
      <w:r>
        <w:t xml:space="preserve"> de </w:t>
      </w:r>
      <w:proofErr w:type="spellStart"/>
      <w:r>
        <w:t>lizieră</w:t>
      </w:r>
      <w:proofErr w:type="spellEnd"/>
      <w:r>
        <w:t xml:space="preserve"> cu </w:t>
      </w:r>
      <w:proofErr w:type="spellStart"/>
      <w:r>
        <w:t>ierburi</w:t>
      </w:r>
      <w:proofErr w:type="spellEnd"/>
      <w:r>
        <w:t xml:space="preserve"> </w:t>
      </w:r>
      <w:proofErr w:type="spellStart"/>
      <w:r>
        <w:t>înalte</w:t>
      </w:r>
      <w:proofErr w:type="spellEnd"/>
      <w:r>
        <w:t xml:space="preserve"> </w:t>
      </w:r>
      <w:proofErr w:type="spellStart"/>
      <w:r>
        <w:t>higrofile</w:t>
      </w:r>
      <w:proofErr w:type="spellEnd"/>
      <w:r>
        <w:t xml:space="preserve"> de la </w:t>
      </w:r>
      <w:proofErr w:type="spellStart"/>
      <w:r>
        <w:t>câmpie</w:t>
      </w:r>
      <w:proofErr w:type="spellEnd"/>
      <w:r>
        <w:t xml:space="preserve"> </w:t>
      </w:r>
      <w:proofErr w:type="spellStart"/>
      <w:r>
        <w:t>până</w:t>
      </w:r>
      <w:proofErr w:type="spellEnd"/>
      <w:r>
        <w:t xml:space="preserve"> </w:t>
      </w:r>
      <w:proofErr w:type="spellStart"/>
      <w:r>
        <w:t>în</w:t>
      </w:r>
      <w:proofErr w:type="spellEnd"/>
      <w:r>
        <w:rPr>
          <w:spacing w:val="1"/>
        </w:rPr>
        <w:t xml:space="preserve"> </w:t>
      </w:r>
      <w:proofErr w:type="spellStart"/>
      <w:r>
        <w:t>etajele</w:t>
      </w:r>
      <w:proofErr w:type="spellEnd"/>
      <w:r>
        <w:t xml:space="preserve"> </w:t>
      </w:r>
      <w:proofErr w:type="spellStart"/>
      <w:r>
        <w:t>montan</w:t>
      </w:r>
      <w:proofErr w:type="spellEnd"/>
      <w:r>
        <w:t xml:space="preserve"> </w:t>
      </w:r>
      <w:proofErr w:type="spellStart"/>
      <w:r>
        <w:t>și</w:t>
      </w:r>
      <w:proofErr w:type="spellEnd"/>
      <w:r>
        <w:t xml:space="preserve"> </w:t>
      </w:r>
      <w:proofErr w:type="spellStart"/>
      <w:r>
        <w:t>alpin</w:t>
      </w:r>
      <w:proofErr w:type="spellEnd"/>
      <w:r>
        <w:t>;</w:t>
      </w:r>
      <w:r>
        <w:rPr>
          <w:spacing w:val="60"/>
        </w:rPr>
        <w:t xml:space="preserve"> </w:t>
      </w:r>
      <w:r>
        <w:t xml:space="preserve">6440 </w:t>
      </w:r>
      <w:proofErr w:type="spellStart"/>
      <w:r>
        <w:t>Pajiști</w:t>
      </w:r>
      <w:proofErr w:type="spellEnd"/>
      <w:r>
        <w:t xml:space="preserve"> </w:t>
      </w:r>
      <w:proofErr w:type="spellStart"/>
      <w:r>
        <w:t>aluviale</w:t>
      </w:r>
      <w:proofErr w:type="spellEnd"/>
      <w:r>
        <w:t xml:space="preserve"> din </w:t>
      </w:r>
      <w:proofErr w:type="spellStart"/>
      <w:r w:rsidRPr="00A82714">
        <w:rPr>
          <w:i/>
        </w:rPr>
        <w:t>Cnidion</w:t>
      </w:r>
      <w:proofErr w:type="spellEnd"/>
      <w:r w:rsidRPr="00A82714">
        <w:rPr>
          <w:i/>
        </w:rPr>
        <w:t xml:space="preserve"> </w:t>
      </w:r>
      <w:proofErr w:type="spellStart"/>
      <w:r w:rsidRPr="00A82714">
        <w:rPr>
          <w:i/>
        </w:rPr>
        <w:t>dubii</w:t>
      </w:r>
      <w:proofErr w:type="spellEnd"/>
      <w:r>
        <w:t xml:space="preserve">; 6510 </w:t>
      </w:r>
      <w:proofErr w:type="spellStart"/>
      <w:r>
        <w:t>Pajiști</w:t>
      </w:r>
      <w:proofErr w:type="spellEnd"/>
      <w:r>
        <w:t xml:space="preserve"> de </w:t>
      </w:r>
      <w:proofErr w:type="spellStart"/>
      <w:r>
        <w:t>altitudine</w:t>
      </w:r>
      <w:proofErr w:type="spellEnd"/>
      <w:r>
        <w:rPr>
          <w:spacing w:val="1"/>
        </w:rPr>
        <w:t xml:space="preserve"> </w:t>
      </w:r>
      <w:proofErr w:type="spellStart"/>
      <w:r>
        <w:t>joasă</w:t>
      </w:r>
      <w:proofErr w:type="spellEnd"/>
      <w:r>
        <w:rPr>
          <w:spacing w:val="-3"/>
        </w:rPr>
        <w:t xml:space="preserve"> </w:t>
      </w:r>
      <w:r>
        <w:t>-</w:t>
      </w:r>
      <w:r>
        <w:rPr>
          <w:spacing w:val="-1"/>
        </w:rPr>
        <w:t xml:space="preserve"> </w:t>
      </w:r>
      <w:r w:rsidRPr="00A82714">
        <w:rPr>
          <w:i/>
        </w:rPr>
        <w:t>Alopecurus pratensis, Sanguisorba</w:t>
      </w:r>
      <w:r w:rsidRPr="00A82714">
        <w:rPr>
          <w:i/>
          <w:spacing w:val="-2"/>
        </w:rPr>
        <w:t xml:space="preserve"> </w:t>
      </w:r>
      <w:r w:rsidRPr="00A82714">
        <w:rPr>
          <w:i/>
        </w:rPr>
        <w:t>officinalis</w:t>
      </w:r>
      <w:r>
        <w:t>;</w:t>
      </w:r>
      <w:r>
        <w:rPr>
          <w:spacing w:val="-1"/>
        </w:rPr>
        <w:t xml:space="preserve"> </w:t>
      </w:r>
      <w:r>
        <w:t xml:space="preserve">6520 </w:t>
      </w:r>
      <w:proofErr w:type="spellStart"/>
      <w:r>
        <w:t>Fânețe</w:t>
      </w:r>
      <w:proofErr w:type="spellEnd"/>
      <w:r>
        <w:t xml:space="preserve"> montane.</w:t>
      </w:r>
    </w:p>
    <w:p w14:paraId="3667810F" w14:textId="77777777" w:rsidR="00FF6DC0" w:rsidRPr="00C56257" w:rsidRDefault="00FF6DC0" w:rsidP="00F100E1">
      <w:pPr>
        <w:spacing w:after="160" w:line="259" w:lineRule="auto"/>
        <w:jc w:val="both"/>
        <w:rPr>
          <w:b/>
          <w:bCs/>
          <w:color w:val="000000" w:themeColor="text1"/>
        </w:rPr>
      </w:pPr>
    </w:p>
    <w:p w14:paraId="3BCEE1FC" w14:textId="77777777" w:rsidR="006735BF" w:rsidRPr="00C56257" w:rsidRDefault="001E342B" w:rsidP="001E342B">
      <w:pPr>
        <w:pStyle w:val="Heading1"/>
        <w:keepNext w:val="0"/>
        <w:keepLines w:val="0"/>
        <w:tabs>
          <w:tab w:val="left" w:pos="1115"/>
        </w:tabs>
        <w:adjustRightInd/>
        <w:spacing w:before="79"/>
        <w:ind w:right="496"/>
        <w:jc w:val="both"/>
        <w:rPr>
          <w:rFonts w:ascii="Times New Roman" w:hAnsi="Times New Roman" w:cs="Times New Roman"/>
          <w:color w:val="000000" w:themeColor="text1"/>
          <w:sz w:val="24"/>
          <w:szCs w:val="24"/>
          <w:lang w:val="fr-FR"/>
        </w:rPr>
      </w:pPr>
      <w:proofErr w:type="spellStart"/>
      <w:r>
        <w:rPr>
          <w:rFonts w:ascii="Times New Roman" w:hAnsi="Times New Roman" w:cs="Times New Roman"/>
          <w:bCs w:val="0"/>
          <w:color w:val="000000" w:themeColor="text1"/>
          <w:sz w:val="24"/>
          <w:szCs w:val="24"/>
          <w:lang w:val="fr-FR"/>
        </w:rPr>
        <w:t>Capitolul</w:t>
      </w:r>
      <w:proofErr w:type="spellEnd"/>
      <w:r>
        <w:rPr>
          <w:rFonts w:ascii="Times New Roman" w:hAnsi="Times New Roman" w:cs="Times New Roman"/>
          <w:bCs w:val="0"/>
          <w:color w:val="000000" w:themeColor="text1"/>
          <w:sz w:val="24"/>
          <w:szCs w:val="24"/>
          <w:lang w:val="fr-FR"/>
        </w:rPr>
        <w:t xml:space="preserve"> 6.1 </w:t>
      </w:r>
      <w:r w:rsidR="00C509C8" w:rsidRPr="00C56257">
        <w:rPr>
          <w:rFonts w:ascii="Times New Roman" w:hAnsi="Times New Roman" w:cs="Times New Roman"/>
          <w:bCs w:val="0"/>
          <w:color w:val="000000" w:themeColor="text1"/>
          <w:sz w:val="24"/>
          <w:szCs w:val="24"/>
          <w:lang w:val="fr-FR"/>
        </w:rPr>
        <w:t xml:space="preserve">Protocol de </w:t>
      </w:r>
      <w:proofErr w:type="spellStart"/>
      <w:r w:rsidR="00C509C8" w:rsidRPr="00C56257">
        <w:rPr>
          <w:rFonts w:ascii="Times New Roman" w:hAnsi="Times New Roman" w:cs="Times New Roman"/>
          <w:bCs w:val="0"/>
          <w:color w:val="000000" w:themeColor="text1"/>
          <w:sz w:val="24"/>
          <w:szCs w:val="24"/>
          <w:lang w:val="fr-FR"/>
        </w:rPr>
        <w:t>monitorizare</w:t>
      </w:r>
      <w:proofErr w:type="spellEnd"/>
      <w:r w:rsidR="00C509C8" w:rsidRPr="00C56257">
        <w:rPr>
          <w:rFonts w:ascii="Times New Roman" w:hAnsi="Times New Roman" w:cs="Times New Roman"/>
          <w:bCs w:val="0"/>
          <w:color w:val="000000" w:themeColor="text1"/>
          <w:sz w:val="24"/>
          <w:szCs w:val="24"/>
          <w:lang w:val="fr-FR"/>
        </w:rPr>
        <w:t xml:space="preserve"> a </w:t>
      </w:r>
      <w:proofErr w:type="spellStart"/>
      <w:r w:rsidR="00C509C8" w:rsidRPr="00C56257">
        <w:rPr>
          <w:rFonts w:ascii="Times New Roman" w:hAnsi="Times New Roman" w:cs="Times New Roman"/>
          <w:bCs w:val="0"/>
          <w:color w:val="000000" w:themeColor="text1"/>
          <w:sz w:val="24"/>
          <w:szCs w:val="24"/>
          <w:lang w:val="fr-FR"/>
        </w:rPr>
        <w:t>stării</w:t>
      </w:r>
      <w:proofErr w:type="spellEnd"/>
      <w:r w:rsidR="00C509C8" w:rsidRPr="00C56257">
        <w:rPr>
          <w:rFonts w:ascii="Times New Roman" w:hAnsi="Times New Roman" w:cs="Times New Roman"/>
          <w:bCs w:val="0"/>
          <w:color w:val="000000" w:themeColor="text1"/>
          <w:sz w:val="24"/>
          <w:szCs w:val="24"/>
          <w:lang w:val="fr-FR"/>
        </w:rPr>
        <w:t xml:space="preserve"> </w:t>
      </w:r>
      <w:r w:rsidR="00F87C76" w:rsidRPr="00C56257">
        <w:rPr>
          <w:rFonts w:ascii="Times New Roman" w:hAnsi="Times New Roman" w:cs="Times New Roman"/>
          <w:bCs w:val="0"/>
          <w:color w:val="000000" w:themeColor="text1"/>
          <w:sz w:val="24"/>
          <w:szCs w:val="24"/>
          <w:lang w:val="fr-FR"/>
        </w:rPr>
        <w:t xml:space="preserve">de </w:t>
      </w:r>
      <w:proofErr w:type="spellStart"/>
      <w:r w:rsidR="00F87C76" w:rsidRPr="00C56257">
        <w:rPr>
          <w:rFonts w:ascii="Times New Roman" w:hAnsi="Times New Roman" w:cs="Times New Roman"/>
          <w:bCs w:val="0"/>
          <w:color w:val="000000" w:themeColor="text1"/>
          <w:sz w:val="24"/>
          <w:szCs w:val="24"/>
          <w:lang w:val="fr-FR"/>
        </w:rPr>
        <w:t>conservare</w:t>
      </w:r>
      <w:proofErr w:type="spellEnd"/>
      <w:r w:rsidR="00F87C76" w:rsidRPr="00C56257">
        <w:rPr>
          <w:rFonts w:ascii="Times New Roman" w:hAnsi="Times New Roman" w:cs="Times New Roman"/>
          <w:bCs w:val="0"/>
          <w:color w:val="000000" w:themeColor="text1"/>
          <w:sz w:val="24"/>
          <w:szCs w:val="24"/>
          <w:lang w:val="fr-FR"/>
        </w:rPr>
        <w:t xml:space="preserve"> a </w:t>
      </w:r>
      <w:proofErr w:type="spellStart"/>
      <w:r w:rsidR="00F87C76" w:rsidRPr="00C56257">
        <w:rPr>
          <w:rFonts w:ascii="Times New Roman" w:hAnsi="Times New Roman" w:cs="Times New Roman"/>
          <w:bCs w:val="0"/>
          <w:color w:val="000000" w:themeColor="text1"/>
          <w:sz w:val="24"/>
          <w:szCs w:val="24"/>
          <w:lang w:val="fr-FR"/>
        </w:rPr>
        <w:t>habitatelor</w:t>
      </w:r>
      <w:proofErr w:type="spellEnd"/>
      <w:r w:rsidR="00F87C76" w:rsidRPr="00C56257">
        <w:rPr>
          <w:rFonts w:ascii="Times New Roman" w:hAnsi="Times New Roman" w:cs="Times New Roman"/>
          <w:bCs w:val="0"/>
          <w:color w:val="000000" w:themeColor="text1"/>
          <w:sz w:val="24"/>
          <w:szCs w:val="24"/>
          <w:lang w:val="fr-FR"/>
        </w:rPr>
        <w:t xml:space="preserve"> de </w:t>
      </w:r>
      <w:proofErr w:type="spellStart"/>
      <w:r w:rsidR="00C509C8" w:rsidRPr="00C56257">
        <w:rPr>
          <w:rFonts w:ascii="Times New Roman" w:hAnsi="Times New Roman" w:cs="Times New Roman"/>
          <w:bCs w:val="0"/>
          <w:color w:val="000000" w:themeColor="text1"/>
          <w:sz w:val="24"/>
          <w:szCs w:val="24"/>
          <w:lang w:val="fr-FR"/>
        </w:rPr>
        <w:t>pajiști</w:t>
      </w:r>
      <w:proofErr w:type="spellEnd"/>
    </w:p>
    <w:p w14:paraId="0AC0499B" w14:textId="77777777" w:rsidR="006735BF" w:rsidRPr="00FC74DD" w:rsidRDefault="006735BF" w:rsidP="00FC74DD">
      <w:pPr>
        <w:pStyle w:val="Heading2"/>
        <w:tabs>
          <w:tab w:val="left" w:pos="9540"/>
        </w:tabs>
        <w:spacing w:before="68"/>
        <w:ind w:right="255"/>
        <w:jc w:val="both"/>
        <w:rPr>
          <w:color w:val="000000" w:themeColor="text1"/>
          <w:sz w:val="24"/>
          <w:szCs w:val="24"/>
          <w:lang w:val="ro-RO"/>
        </w:rPr>
      </w:pPr>
      <w:r w:rsidRPr="00C56257">
        <w:rPr>
          <w:color w:val="000000" w:themeColor="text1"/>
          <w:sz w:val="24"/>
          <w:szCs w:val="24"/>
          <w:lang w:val="ro-RO"/>
        </w:rPr>
        <w:t>Alegerea și distribuția ploturilor se va face în funcție de perioadele optime de culegere a</w:t>
      </w:r>
      <w:r w:rsidRPr="00C56257">
        <w:rPr>
          <w:color w:val="000000" w:themeColor="text1"/>
          <w:spacing w:val="1"/>
          <w:sz w:val="24"/>
          <w:szCs w:val="24"/>
          <w:lang w:val="ro-RO"/>
        </w:rPr>
        <w:t xml:space="preserve"> </w:t>
      </w:r>
      <w:r w:rsidRPr="00C56257">
        <w:rPr>
          <w:color w:val="000000" w:themeColor="text1"/>
          <w:sz w:val="24"/>
          <w:szCs w:val="24"/>
          <w:lang w:val="ro-RO"/>
        </w:rPr>
        <w:t>datelor.</w:t>
      </w:r>
    </w:p>
    <w:p w14:paraId="0DD4769C" w14:textId="77777777" w:rsidR="006735BF" w:rsidRPr="00C56257" w:rsidRDefault="001E342B" w:rsidP="00FC74DD">
      <w:pPr>
        <w:pStyle w:val="BodyText"/>
        <w:ind w:left="0" w:right="14"/>
        <w:jc w:val="both"/>
        <w:rPr>
          <w:color w:val="000000" w:themeColor="text1"/>
          <w:sz w:val="24"/>
          <w:szCs w:val="24"/>
          <w:lang w:val="ro-RO"/>
        </w:rPr>
      </w:pPr>
      <w:r>
        <w:rPr>
          <w:color w:val="000000" w:themeColor="text1"/>
          <w:sz w:val="24"/>
          <w:szCs w:val="24"/>
          <w:lang w:val="ro-RO"/>
        </w:rPr>
        <w:t>M</w:t>
      </w:r>
      <w:r w:rsidR="006735BF" w:rsidRPr="00C56257">
        <w:rPr>
          <w:color w:val="000000" w:themeColor="text1"/>
          <w:sz w:val="24"/>
          <w:szCs w:val="24"/>
          <w:lang w:val="ro-RO"/>
        </w:rPr>
        <w:t>onitorizarea habitatelor de</w:t>
      </w:r>
      <w:r w:rsidR="006735BF" w:rsidRPr="00C56257">
        <w:rPr>
          <w:color w:val="000000" w:themeColor="text1"/>
          <w:spacing w:val="1"/>
          <w:sz w:val="24"/>
          <w:szCs w:val="24"/>
          <w:lang w:val="ro-RO"/>
        </w:rPr>
        <w:t xml:space="preserve"> </w:t>
      </w:r>
      <w:r w:rsidR="006735BF" w:rsidRPr="00C56257">
        <w:rPr>
          <w:color w:val="000000" w:themeColor="text1"/>
          <w:sz w:val="24"/>
          <w:szCs w:val="24"/>
          <w:lang w:val="ro-RO"/>
        </w:rPr>
        <w:t>pajiști</w:t>
      </w:r>
      <w:r w:rsidR="006735BF" w:rsidRPr="00C56257">
        <w:rPr>
          <w:color w:val="000000" w:themeColor="text1"/>
          <w:spacing w:val="1"/>
          <w:sz w:val="24"/>
          <w:szCs w:val="24"/>
          <w:lang w:val="ro-RO"/>
        </w:rPr>
        <w:t xml:space="preserve"> </w:t>
      </w:r>
      <w:r w:rsidR="006735BF" w:rsidRPr="00C56257">
        <w:rPr>
          <w:color w:val="000000" w:themeColor="text1"/>
          <w:sz w:val="24"/>
          <w:szCs w:val="24"/>
          <w:lang w:val="ro-RO"/>
        </w:rPr>
        <w:t>se realizează la nivel</w:t>
      </w:r>
      <w:r w:rsidR="006735BF" w:rsidRPr="00C56257">
        <w:rPr>
          <w:color w:val="000000" w:themeColor="text1"/>
          <w:spacing w:val="1"/>
          <w:sz w:val="24"/>
          <w:szCs w:val="24"/>
          <w:lang w:val="ro-RO"/>
        </w:rPr>
        <w:t xml:space="preserve"> </w:t>
      </w:r>
      <w:r w:rsidR="006735BF" w:rsidRPr="00C56257">
        <w:rPr>
          <w:color w:val="000000" w:themeColor="text1"/>
          <w:sz w:val="24"/>
          <w:szCs w:val="24"/>
          <w:lang w:val="ro-RO"/>
        </w:rPr>
        <w:t>național,</w:t>
      </w:r>
      <w:r w:rsidR="006735BF" w:rsidRPr="00C56257">
        <w:rPr>
          <w:color w:val="000000" w:themeColor="text1"/>
          <w:spacing w:val="1"/>
          <w:sz w:val="24"/>
          <w:szCs w:val="24"/>
          <w:lang w:val="ro-RO"/>
        </w:rPr>
        <w:t xml:space="preserve"> </w:t>
      </w:r>
      <w:r w:rsidR="006735BF" w:rsidRPr="00C56257">
        <w:rPr>
          <w:color w:val="000000" w:themeColor="text1"/>
          <w:sz w:val="24"/>
          <w:szCs w:val="24"/>
          <w:lang w:val="ro-RO"/>
        </w:rPr>
        <w:t>în</w:t>
      </w:r>
      <w:r w:rsidR="006735BF" w:rsidRPr="00C56257">
        <w:rPr>
          <w:color w:val="000000" w:themeColor="text1"/>
          <w:spacing w:val="1"/>
          <w:sz w:val="24"/>
          <w:szCs w:val="24"/>
          <w:lang w:val="ro-RO"/>
        </w:rPr>
        <w:t xml:space="preserve"> </w:t>
      </w:r>
      <w:r w:rsidR="006735BF" w:rsidRPr="00C56257">
        <w:rPr>
          <w:color w:val="000000" w:themeColor="text1"/>
          <w:sz w:val="24"/>
          <w:szCs w:val="24"/>
          <w:lang w:val="ro-RO"/>
        </w:rPr>
        <w:t>interiorul</w:t>
      </w:r>
      <w:r w:rsidR="006735BF" w:rsidRPr="00C56257">
        <w:rPr>
          <w:color w:val="000000" w:themeColor="text1"/>
          <w:spacing w:val="1"/>
          <w:sz w:val="24"/>
          <w:szCs w:val="24"/>
          <w:lang w:val="ro-RO"/>
        </w:rPr>
        <w:t xml:space="preserve"> </w:t>
      </w:r>
      <w:r w:rsidR="006735BF" w:rsidRPr="00C56257">
        <w:rPr>
          <w:color w:val="000000" w:themeColor="text1"/>
          <w:sz w:val="24"/>
          <w:szCs w:val="24"/>
          <w:lang w:val="ro-RO"/>
        </w:rPr>
        <w:t>și</w:t>
      </w:r>
      <w:r w:rsidR="006735BF" w:rsidRPr="00C56257">
        <w:rPr>
          <w:color w:val="000000" w:themeColor="text1"/>
          <w:spacing w:val="1"/>
          <w:sz w:val="24"/>
          <w:szCs w:val="24"/>
          <w:lang w:val="ro-RO"/>
        </w:rPr>
        <w:t xml:space="preserve"> </w:t>
      </w:r>
      <w:r w:rsidR="006735BF" w:rsidRPr="00C56257">
        <w:rPr>
          <w:color w:val="000000" w:themeColor="text1"/>
          <w:sz w:val="24"/>
          <w:szCs w:val="24"/>
          <w:lang w:val="ro-RO"/>
        </w:rPr>
        <w:t>în</w:t>
      </w:r>
      <w:r w:rsidR="006735BF" w:rsidRPr="00C56257">
        <w:rPr>
          <w:color w:val="000000" w:themeColor="text1"/>
          <w:spacing w:val="1"/>
          <w:sz w:val="24"/>
          <w:szCs w:val="24"/>
          <w:lang w:val="ro-RO"/>
        </w:rPr>
        <w:t xml:space="preserve"> </w:t>
      </w:r>
      <w:r w:rsidR="006735BF" w:rsidRPr="00C56257">
        <w:rPr>
          <w:color w:val="000000" w:themeColor="text1"/>
          <w:sz w:val="24"/>
          <w:szCs w:val="24"/>
          <w:lang w:val="ro-RO"/>
        </w:rPr>
        <w:t>exteriorul</w:t>
      </w:r>
      <w:r w:rsidR="006735BF" w:rsidRPr="00C56257">
        <w:rPr>
          <w:color w:val="000000" w:themeColor="text1"/>
          <w:spacing w:val="1"/>
          <w:sz w:val="24"/>
          <w:szCs w:val="24"/>
          <w:lang w:val="ro-RO"/>
        </w:rPr>
        <w:t xml:space="preserve"> </w:t>
      </w:r>
      <w:r w:rsidR="006735BF" w:rsidRPr="00C56257">
        <w:rPr>
          <w:color w:val="000000" w:themeColor="text1"/>
          <w:sz w:val="24"/>
          <w:szCs w:val="24"/>
          <w:lang w:val="ro-RO"/>
        </w:rPr>
        <w:t>rețelei</w:t>
      </w:r>
      <w:r w:rsidR="006735BF" w:rsidRPr="00C56257">
        <w:rPr>
          <w:color w:val="000000" w:themeColor="text1"/>
          <w:spacing w:val="1"/>
          <w:sz w:val="24"/>
          <w:szCs w:val="24"/>
          <w:lang w:val="ro-RO"/>
        </w:rPr>
        <w:t xml:space="preserve"> </w:t>
      </w:r>
      <w:r w:rsidR="006735BF" w:rsidRPr="00C56257">
        <w:rPr>
          <w:color w:val="000000" w:themeColor="text1"/>
          <w:sz w:val="24"/>
          <w:szCs w:val="24"/>
          <w:lang w:val="ro-RO"/>
        </w:rPr>
        <w:t>Natura</w:t>
      </w:r>
      <w:r w:rsidR="006735BF" w:rsidRPr="00C56257">
        <w:rPr>
          <w:color w:val="000000" w:themeColor="text1"/>
          <w:spacing w:val="1"/>
          <w:sz w:val="24"/>
          <w:szCs w:val="24"/>
          <w:lang w:val="ro-RO"/>
        </w:rPr>
        <w:t xml:space="preserve"> </w:t>
      </w:r>
      <w:r w:rsidR="006735BF" w:rsidRPr="00C56257">
        <w:rPr>
          <w:color w:val="000000" w:themeColor="text1"/>
          <w:sz w:val="24"/>
          <w:szCs w:val="24"/>
          <w:lang w:val="ro-RO"/>
        </w:rPr>
        <w:t>2000,</w:t>
      </w:r>
      <w:r w:rsidR="006735BF" w:rsidRPr="00C56257">
        <w:rPr>
          <w:color w:val="000000" w:themeColor="text1"/>
          <w:spacing w:val="1"/>
          <w:sz w:val="24"/>
          <w:szCs w:val="24"/>
          <w:lang w:val="ro-RO"/>
        </w:rPr>
        <w:t xml:space="preserve"> </w:t>
      </w:r>
      <w:r w:rsidR="006735BF" w:rsidRPr="00C56257">
        <w:rPr>
          <w:color w:val="000000" w:themeColor="text1"/>
          <w:sz w:val="24"/>
          <w:szCs w:val="24"/>
          <w:lang w:val="ro-RO"/>
        </w:rPr>
        <w:t>în</w:t>
      </w:r>
      <w:r w:rsidR="006735BF" w:rsidRPr="00C56257">
        <w:rPr>
          <w:color w:val="000000" w:themeColor="text1"/>
          <w:spacing w:val="1"/>
          <w:sz w:val="24"/>
          <w:szCs w:val="24"/>
          <w:lang w:val="ro-RO"/>
        </w:rPr>
        <w:t xml:space="preserve"> </w:t>
      </w:r>
      <w:r w:rsidR="006735BF" w:rsidRPr="00C56257">
        <w:rPr>
          <w:color w:val="000000" w:themeColor="text1"/>
          <w:sz w:val="24"/>
          <w:szCs w:val="24"/>
          <w:lang w:val="ro-RO"/>
        </w:rPr>
        <w:t>funcție</w:t>
      </w:r>
      <w:r w:rsidR="006735BF" w:rsidRPr="00C56257">
        <w:rPr>
          <w:color w:val="000000" w:themeColor="text1"/>
          <w:spacing w:val="1"/>
          <w:sz w:val="24"/>
          <w:szCs w:val="24"/>
          <w:lang w:val="ro-RO"/>
        </w:rPr>
        <w:t xml:space="preserve"> </w:t>
      </w:r>
      <w:r w:rsidR="006735BF" w:rsidRPr="00C56257">
        <w:rPr>
          <w:color w:val="000000" w:themeColor="text1"/>
          <w:sz w:val="24"/>
          <w:szCs w:val="24"/>
          <w:lang w:val="ro-RO"/>
        </w:rPr>
        <w:t>de</w:t>
      </w:r>
      <w:r w:rsidR="006735BF" w:rsidRPr="00C56257">
        <w:rPr>
          <w:color w:val="000000" w:themeColor="text1"/>
          <w:spacing w:val="1"/>
          <w:sz w:val="24"/>
          <w:szCs w:val="24"/>
          <w:lang w:val="ro-RO"/>
        </w:rPr>
        <w:t xml:space="preserve"> </w:t>
      </w:r>
      <w:r w:rsidR="006735BF" w:rsidRPr="00C56257">
        <w:rPr>
          <w:color w:val="000000" w:themeColor="text1"/>
          <w:sz w:val="24"/>
          <w:szCs w:val="24"/>
          <w:lang w:val="ro-RO"/>
        </w:rPr>
        <w:t>distribuția</w:t>
      </w:r>
      <w:r w:rsidR="006735BF" w:rsidRPr="00C56257">
        <w:rPr>
          <w:color w:val="000000" w:themeColor="text1"/>
          <w:spacing w:val="1"/>
          <w:sz w:val="24"/>
          <w:szCs w:val="24"/>
          <w:lang w:val="ro-RO"/>
        </w:rPr>
        <w:t xml:space="preserve"> </w:t>
      </w:r>
      <w:r w:rsidR="006735BF" w:rsidRPr="00C56257">
        <w:rPr>
          <w:color w:val="000000" w:themeColor="text1"/>
          <w:sz w:val="24"/>
          <w:szCs w:val="24"/>
          <w:lang w:val="ro-RO"/>
        </w:rPr>
        <w:t>habitatelor</w:t>
      </w:r>
      <w:r w:rsidR="006735BF" w:rsidRPr="00C56257">
        <w:rPr>
          <w:color w:val="000000" w:themeColor="text1"/>
          <w:spacing w:val="1"/>
          <w:sz w:val="24"/>
          <w:szCs w:val="24"/>
          <w:lang w:val="ro-RO"/>
        </w:rPr>
        <w:t xml:space="preserve"> </w:t>
      </w:r>
      <w:r w:rsidR="006735BF" w:rsidRPr="00C56257">
        <w:rPr>
          <w:color w:val="000000" w:themeColor="text1"/>
          <w:sz w:val="24"/>
          <w:szCs w:val="24"/>
          <w:lang w:val="ro-RO"/>
        </w:rPr>
        <w:t>pe</w:t>
      </w:r>
      <w:r w:rsidR="006735BF" w:rsidRPr="00C56257">
        <w:rPr>
          <w:color w:val="000000" w:themeColor="text1"/>
          <w:spacing w:val="1"/>
          <w:sz w:val="24"/>
          <w:szCs w:val="24"/>
          <w:lang w:val="ro-RO"/>
        </w:rPr>
        <w:t xml:space="preserve"> </w:t>
      </w:r>
      <w:r w:rsidR="006735BF" w:rsidRPr="00C56257">
        <w:rPr>
          <w:color w:val="000000" w:themeColor="text1"/>
          <w:sz w:val="24"/>
          <w:szCs w:val="24"/>
          <w:lang w:val="ro-RO"/>
        </w:rPr>
        <w:t>regiuni</w:t>
      </w:r>
      <w:r w:rsidR="006735BF" w:rsidRPr="00C56257">
        <w:rPr>
          <w:color w:val="000000" w:themeColor="text1"/>
          <w:spacing w:val="1"/>
          <w:sz w:val="24"/>
          <w:szCs w:val="24"/>
          <w:lang w:val="ro-RO"/>
        </w:rPr>
        <w:t xml:space="preserve"> </w:t>
      </w:r>
      <w:r w:rsidR="006735BF" w:rsidRPr="00C56257">
        <w:rPr>
          <w:color w:val="000000" w:themeColor="text1"/>
          <w:sz w:val="24"/>
          <w:szCs w:val="24"/>
          <w:lang w:val="ro-RO"/>
        </w:rPr>
        <w:t>biogeografice.</w:t>
      </w:r>
    </w:p>
    <w:p w14:paraId="2AD6F419" w14:textId="77777777" w:rsidR="006735BF" w:rsidRPr="00C56257" w:rsidRDefault="006735BF" w:rsidP="00FC74DD">
      <w:pPr>
        <w:pStyle w:val="BodyText"/>
        <w:ind w:left="0" w:right="14"/>
        <w:jc w:val="both"/>
        <w:rPr>
          <w:color w:val="000000" w:themeColor="text1"/>
          <w:sz w:val="24"/>
          <w:szCs w:val="24"/>
          <w:lang w:val="fr-FR"/>
        </w:rPr>
      </w:pP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tabelul</w:t>
      </w:r>
      <w:proofErr w:type="spellEnd"/>
      <w:r w:rsidRPr="00C56257">
        <w:rPr>
          <w:color w:val="000000" w:themeColor="text1"/>
          <w:sz w:val="24"/>
          <w:szCs w:val="24"/>
          <w:lang w:val="fr-FR"/>
        </w:rPr>
        <w:t xml:space="preserve"> de mai </w:t>
      </w:r>
      <w:proofErr w:type="spellStart"/>
      <w:r w:rsidRPr="00C56257">
        <w:rPr>
          <w:color w:val="000000" w:themeColor="text1"/>
          <w:sz w:val="24"/>
          <w:szCs w:val="24"/>
          <w:lang w:val="fr-FR"/>
        </w:rPr>
        <w:t>jos</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z w:val="24"/>
          <w:szCs w:val="24"/>
          <w:lang w:val="fr-FR"/>
        </w:rPr>
        <w:t xml:space="preserve"> redate </w:t>
      </w:r>
      <w:proofErr w:type="spellStart"/>
      <w:r w:rsidRPr="00C56257">
        <w:rPr>
          <w:color w:val="000000" w:themeColor="text1"/>
          <w:sz w:val="24"/>
          <w:szCs w:val="24"/>
          <w:lang w:val="fr-FR"/>
        </w:rPr>
        <w:t>habitatele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pajiști</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interes</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comunitar</w:t>
      </w:r>
      <w:proofErr w:type="spellEnd"/>
      <w:r w:rsidRPr="00C56257">
        <w:rPr>
          <w:color w:val="000000" w:themeColor="text1"/>
          <w:sz w:val="24"/>
          <w:szCs w:val="24"/>
          <w:lang w:val="fr-FR"/>
        </w:rPr>
        <w:t xml:space="preserve"> care fac </w:t>
      </w:r>
      <w:proofErr w:type="spellStart"/>
      <w:r w:rsidRPr="00C56257">
        <w:rPr>
          <w:color w:val="000000" w:themeColor="text1"/>
          <w:sz w:val="24"/>
          <w:szCs w:val="24"/>
          <w:lang w:val="fr-FR"/>
        </w:rPr>
        <w:t>obiectul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prezentei</w:t>
      </w:r>
      <w:proofErr w:type="spellEnd"/>
      <w:r w:rsidRPr="00C56257">
        <w:rPr>
          <w:color w:val="000000" w:themeColor="text1"/>
          <w:spacing w:val="-57"/>
          <w:sz w:val="24"/>
          <w:szCs w:val="24"/>
          <w:lang w:val="fr-FR"/>
        </w:rPr>
        <w:t xml:space="preserve"> </w:t>
      </w:r>
      <w:proofErr w:type="spellStart"/>
      <w:r w:rsidRPr="00C56257">
        <w:rPr>
          <w:color w:val="000000" w:themeColor="text1"/>
          <w:sz w:val="24"/>
          <w:szCs w:val="24"/>
          <w:lang w:val="fr-FR"/>
        </w:rPr>
        <w:t>metodologii</w:t>
      </w:r>
      <w:proofErr w:type="spellEnd"/>
      <w:r w:rsidRPr="00C56257">
        <w:rPr>
          <w:color w:val="000000" w:themeColor="text1"/>
          <w:sz w:val="24"/>
          <w:szCs w:val="24"/>
          <w:lang w:val="fr-FR"/>
        </w:rPr>
        <w:t>:</w:t>
      </w:r>
    </w:p>
    <w:p w14:paraId="135F2A1E" w14:textId="77777777" w:rsidR="006735BF" w:rsidRPr="00C56257" w:rsidRDefault="006735BF" w:rsidP="00FC74DD">
      <w:pPr>
        <w:pStyle w:val="BodyText"/>
        <w:spacing w:before="7"/>
        <w:ind w:left="0"/>
        <w:jc w:val="both"/>
        <w:rPr>
          <w:color w:val="000000" w:themeColor="text1"/>
          <w:sz w:val="24"/>
          <w:szCs w:val="24"/>
          <w:lang w:val="fr-FR"/>
        </w:rPr>
      </w:pPr>
    </w:p>
    <w:tbl>
      <w:tblPr>
        <w:tblW w:w="0" w:type="auto"/>
        <w:tblInd w:w="3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07"/>
        <w:gridCol w:w="708"/>
        <w:gridCol w:w="709"/>
        <w:gridCol w:w="711"/>
        <w:gridCol w:w="766"/>
        <w:gridCol w:w="745"/>
      </w:tblGrid>
      <w:tr w:rsidR="006735BF" w:rsidRPr="00C56257" w14:paraId="7664D5C0" w14:textId="77777777" w:rsidTr="00511A4E">
        <w:trPr>
          <w:trHeight w:val="552"/>
        </w:trPr>
        <w:tc>
          <w:tcPr>
            <w:tcW w:w="5907" w:type="dxa"/>
            <w:vMerge w:val="restart"/>
          </w:tcPr>
          <w:p w14:paraId="44DF7BDE" w14:textId="77777777" w:rsidR="006735BF" w:rsidRPr="00C56257" w:rsidRDefault="006735BF" w:rsidP="008E33FD">
            <w:pPr>
              <w:pStyle w:val="TableParagraph"/>
              <w:spacing w:before="1"/>
              <w:jc w:val="both"/>
              <w:rPr>
                <w:color w:val="000000" w:themeColor="text1"/>
                <w:sz w:val="24"/>
                <w:szCs w:val="24"/>
              </w:rPr>
            </w:pPr>
          </w:p>
          <w:p w14:paraId="4C9FCB9D" w14:textId="77777777" w:rsidR="006735BF" w:rsidRPr="00C56257" w:rsidRDefault="006735BF" w:rsidP="008E33FD">
            <w:pPr>
              <w:pStyle w:val="TableParagraph"/>
              <w:spacing w:before="1"/>
              <w:ind w:left="1293"/>
              <w:jc w:val="both"/>
              <w:rPr>
                <w:b/>
                <w:color w:val="000000" w:themeColor="text1"/>
                <w:sz w:val="24"/>
                <w:szCs w:val="24"/>
              </w:rPr>
            </w:pPr>
            <w:r w:rsidRPr="00C56257">
              <w:rPr>
                <w:b/>
                <w:color w:val="000000" w:themeColor="text1"/>
                <w:sz w:val="24"/>
                <w:szCs w:val="24"/>
              </w:rPr>
              <w:t>Denumirea</w:t>
            </w:r>
            <w:r w:rsidRPr="00C56257">
              <w:rPr>
                <w:b/>
                <w:color w:val="000000" w:themeColor="text1"/>
                <w:spacing w:val="-3"/>
                <w:sz w:val="24"/>
                <w:szCs w:val="24"/>
              </w:rPr>
              <w:t xml:space="preserve"> </w:t>
            </w:r>
            <w:r w:rsidRPr="00C56257">
              <w:rPr>
                <w:b/>
                <w:color w:val="000000" w:themeColor="text1"/>
                <w:sz w:val="24"/>
                <w:szCs w:val="24"/>
              </w:rPr>
              <w:t>şi</w:t>
            </w:r>
            <w:r w:rsidRPr="00C56257">
              <w:rPr>
                <w:b/>
                <w:color w:val="000000" w:themeColor="text1"/>
                <w:spacing w:val="-2"/>
                <w:sz w:val="24"/>
                <w:szCs w:val="24"/>
              </w:rPr>
              <w:t xml:space="preserve"> </w:t>
            </w:r>
            <w:r w:rsidRPr="00C56257">
              <w:rPr>
                <w:b/>
                <w:color w:val="000000" w:themeColor="text1"/>
                <w:sz w:val="24"/>
                <w:szCs w:val="24"/>
              </w:rPr>
              <w:t>codul</w:t>
            </w:r>
            <w:r w:rsidRPr="00C56257">
              <w:rPr>
                <w:b/>
                <w:color w:val="000000" w:themeColor="text1"/>
                <w:spacing w:val="-3"/>
                <w:sz w:val="24"/>
                <w:szCs w:val="24"/>
              </w:rPr>
              <w:t xml:space="preserve"> </w:t>
            </w:r>
            <w:r w:rsidRPr="00C56257">
              <w:rPr>
                <w:b/>
                <w:color w:val="000000" w:themeColor="text1"/>
                <w:sz w:val="24"/>
                <w:szCs w:val="24"/>
              </w:rPr>
              <w:t>Natura</w:t>
            </w:r>
            <w:r w:rsidRPr="00C56257">
              <w:rPr>
                <w:b/>
                <w:color w:val="000000" w:themeColor="text1"/>
                <w:spacing w:val="-2"/>
                <w:sz w:val="24"/>
                <w:szCs w:val="24"/>
              </w:rPr>
              <w:t xml:space="preserve"> </w:t>
            </w:r>
            <w:r w:rsidRPr="00C56257">
              <w:rPr>
                <w:b/>
                <w:color w:val="000000" w:themeColor="text1"/>
                <w:sz w:val="24"/>
                <w:szCs w:val="24"/>
              </w:rPr>
              <w:t>2000</w:t>
            </w:r>
          </w:p>
        </w:tc>
        <w:tc>
          <w:tcPr>
            <w:tcW w:w="3639" w:type="dxa"/>
            <w:gridSpan w:val="5"/>
          </w:tcPr>
          <w:p w14:paraId="29532951" w14:textId="77777777" w:rsidR="006735BF" w:rsidRPr="00C56257" w:rsidRDefault="006735BF" w:rsidP="008E33FD">
            <w:pPr>
              <w:pStyle w:val="TableParagraph"/>
              <w:spacing w:line="276" w:lineRule="exact"/>
              <w:ind w:left="1123" w:right="747" w:hanging="365"/>
              <w:jc w:val="both"/>
              <w:rPr>
                <w:b/>
                <w:color w:val="000000" w:themeColor="text1"/>
                <w:sz w:val="24"/>
                <w:szCs w:val="24"/>
              </w:rPr>
            </w:pPr>
            <w:r w:rsidRPr="00C56257">
              <w:rPr>
                <w:b/>
                <w:color w:val="000000" w:themeColor="text1"/>
                <w:sz w:val="24"/>
                <w:szCs w:val="24"/>
              </w:rPr>
              <w:t>Prezenţa</w:t>
            </w:r>
            <w:r w:rsidRPr="00C56257">
              <w:rPr>
                <w:b/>
                <w:color w:val="000000" w:themeColor="text1"/>
                <w:spacing w:val="-8"/>
                <w:sz w:val="24"/>
                <w:szCs w:val="24"/>
              </w:rPr>
              <w:t xml:space="preserve"> </w:t>
            </w:r>
            <w:r w:rsidRPr="00C56257">
              <w:rPr>
                <w:b/>
                <w:color w:val="000000" w:themeColor="text1"/>
                <w:sz w:val="24"/>
                <w:szCs w:val="24"/>
              </w:rPr>
              <w:t>în</w:t>
            </w:r>
            <w:r w:rsidRPr="00C56257">
              <w:rPr>
                <w:b/>
                <w:color w:val="000000" w:themeColor="text1"/>
                <w:spacing w:val="-8"/>
                <w:sz w:val="24"/>
                <w:szCs w:val="24"/>
              </w:rPr>
              <w:t xml:space="preserve"> </w:t>
            </w:r>
            <w:r w:rsidRPr="00C56257">
              <w:rPr>
                <w:b/>
                <w:color w:val="000000" w:themeColor="text1"/>
                <w:sz w:val="24"/>
                <w:szCs w:val="24"/>
              </w:rPr>
              <w:t>regiunea</w:t>
            </w:r>
            <w:r w:rsidRPr="00C56257">
              <w:rPr>
                <w:b/>
                <w:color w:val="000000" w:themeColor="text1"/>
                <w:spacing w:val="-57"/>
                <w:sz w:val="24"/>
                <w:szCs w:val="24"/>
              </w:rPr>
              <w:t xml:space="preserve"> </w:t>
            </w:r>
            <w:r w:rsidRPr="00C56257">
              <w:rPr>
                <w:b/>
                <w:color w:val="000000" w:themeColor="text1"/>
                <w:sz w:val="24"/>
                <w:szCs w:val="24"/>
              </w:rPr>
              <w:t>biogeografică</w:t>
            </w:r>
          </w:p>
        </w:tc>
      </w:tr>
      <w:tr w:rsidR="006735BF" w:rsidRPr="00C56257" w14:paraId="7E153806" w14:textId="77777777" w:rsidTr="00511A4E">
        <w:trPr>
          <w:trHeight w:val="275"/>
        </w:trPr>
        <w:tc>
          <w:tcPr>
            <w:tcW w:w="5907" w:type="dxa"/>
            <w:vMerge/>
            <w:tcBorders>
              <w:top w:val="nil"/>
            </w:tcBorders>
          </w:tcPr>
          <w:p w14:paraId="156911FA" w14:textId="77777777" w:rsidR="006735BF" w:rsidRPr="00C56257" w:rsidRDefault="006735BF" w:rsidP="008E33FD">
            <w:pPr>
              <w:jc w:val="both"/>
              <w:rPr>
                <w:color w:val="000000" w:themeColor="text1"/>
              </w:rPr>
            </w:pPr>
          </w:p>
        </w:tc>
        <w:tc>
          <w:tcPr>
            <w:tcW w:w="708" w:type="dxa"/>
          </w:tcPr>
          <w:p w14:paraId="7AE35498" w14:textId="77777777" w:rsidR="006735BF" w:rsidRPr="00C56257" w:rsidRDefault="006735BF" w:rsidP="008E33FD">
            <w:pPr>
              <w:pStyle w:val="TableParagraph"/>
              <w:spacing w:line="256" w:lineRule="exact"/>
              <w:ind w:left="52"/>
              <w:jc w:val="both"/>
              <w:rPr>
                <w:b/>
                <w:color w:val="000000" w:themeColor="text1"/>
                <w:sz w:val="24"/>
                <w:szCs w:val="24"/>
              </w:rPr>
            </w:pPr>
            <w:r w:rsidRPr="00C56257">
              <w:rPr>
                <w:b/>
                <w:color w:val="000000" w:themeColor="text1"/>
                <w:sz w:val="24"/>
                <w:szCs w:val="24"/>
              </w:rPr>
              <w:t>PAN</w:t>
            </w:r>
          </w:p>
        </w:tc>
        <w:tc>
          <w:tcPr>
            <w:tcW w:w="709" w:type="dxa"/>
          </w:tcPr>
          <w:p w14:paraId="7E3154EF" w14:textId="77777777" w:rsidR="006735BF" w:rsidRPr="00C56257" w:rsidRDefault="006735BF" w:rsidP="008E33FD">
            <w:pPr>
              <w:pStyle w:val="TableParagraph"/>
              <w:spacing w:line="256" w:lineRule="exact"/>
              <w:ind w:left="32" w:right="93"/>
              <w:jc w:val="both"/>
              <w:rPr>
                <w:b/>
                <w:color w:val="000000" w:themeColor="text1"/>
                <w:sz w:val="24"/>
                <w:szCs w:val="24"/>
              </w:rPr>
            </w:pPr>
            <w:r w:rsidRPr="00C56257">
              <w:rPr>
                <w:b/>
                <w:color w:val="000000" w:themeColor="text1"/>
                <w:sz w:val="24"/>
                <w:szCs w:val="24"/>
              </w:rPr>
              <w:t>CON</w:t>
            </w:r>
          </w:p>
        </w:tc>
        <w:tc>
          <w:tcPr>
            <w:tcW w:w="711" w:type="dxa"/>
          </w:tcPr>
          <w:p w14:paraId="45944FA2" w14:textId="77777777" w:rsidR="006735BF" w:rsidRPr="00C56257" w:rsidRDefault="006735BF" w:rsidP="008E33FD">
            <w:pPr>
              <w:pStyle w:val="TableParagraph"/>
              <w:spacing w:line="256" w:lineRule="exact"/>
              <w:ind w:left="97" w:right="84"/>
              <w:jc w:val="both"/>
              <w:rPr>
                <w:b/>
                <w:color w:val="000000" w:themeColor="text1"/>
                <w:sz w:val="24"/>
                <w:szCs w:val="24"/>
              </w:rPr>
            </w:pPr>
            <w:r w:rsidRPr="00C56257">
              <w:rPr>
                <w:b/>
                <w:color w:val="000000" w:themeColor="text1"/>
                <w:sz w:val="24"/>
                <w:szCs w:val="24"/>
              </w:rPr>
              <w:t>ALP</w:t>
            </w:r>
          </w:p>
        </w:tc>
        <w:tc>
          <w:tcPr>
            <w:tcW w:w="766" w:type="dxa"/>
          </w:tcPr>
          <w:p w14:paraId="65BFC899" w14:textId="77777777" w:rsidR="006735BF" w:rsidRPr="00C56257" w:rsidRDefault="006735BF" w:rsidP="008E33FD">
            <w:pPr>
              <w:pStyle w:val="TableParagraph"/>
              <w:spacing w:line="256" w:lineRule="exact"/>
              <w:ind w:left="137" w:right="124"/>
              <w:jc w:val="both"/>
              <w:rPr>
                <w:b/>
                <w:color w:val="000000" w:themeColor="text1"/>
                <w:sz w:val="24"/>
                <w:szCs w:val="24"/>
              </w:rPr>
            </w:pPr>
            <w:r w:rsidRPr="00C56257">
              <w:rPr>
                <w:b/>
                <w:color w:val="000000" w:themeColor="text1"/>
                <w:sz w:val="24"/>
                <w:szCs w:val="24"/>
              </w:rPr>
              <w:t>STE</w:t>
            </w:r>
          </w:p>
        </w:tc>
        <w:tc>
          <w:tcPr>
            <w:tcW w:w="745" w:type="dxa"/>
          </w:tcPr>
          <w:p w14:paraId="097F921E" w14:textId="77777777" w:rsidR="006735BF" w:rsidRPr="00C56257" w:rsidRDefault="006735BF" w:rsidP="008E33FD">
            <w:pPr>
              <w:pStyle w:val="TableParagraph"/>
              <w:spacing w:line="256" w:lineRule="exact"/>
              <w:ind w:left="95" w:right="93"/>
              <w:jc w:val="both"/>
              <w:rPr>
                <w:b/>
                <w:color w:val="000000" w:themeColor="text1"/>
                <w:sz w:val="24"/>
                <w:szCs w:val="24"/>
              </w:rPr>
            </w:pPr>
            <w:r w:rsidRPr="00C56257">
              <w:rPr>
                <w:b/>
                <w:color w:val="000000" w:themeColor="text1"/>
                <w:sz w:val="24"/>
                <w:szCs w:val="24"/>
              </w:rPr>
              <w:t>PON</w:t>
            </w:r>
          </w:p>
        </w:tc>
      </w:tr>
      <w:tr w:rsidR="006735BF" w:rsidRPr="00C56257" w14:paraId="49EC5B43" w14:textId="77777777" w:rsidTr="00511A4E">
        <w:trPr>
          <w:trHeight w:val="551"/>
        </w:trPr>
        <w:tc>
          <w:tcPr>
            <w:tcW w:w="5907" w:type="dxa"/>
          </w:tcPr>
          <w:p w14:paraId="0F13480D" w14:textId="77777777" w:rsidR="006735BF" w:rsidRPr="00C56257" w:rsidRDefault="006735BF" w:rsidP="008E33FD">
            <w:pPr>
              <w:pStyle w:val="TableParagraph"/>
              <w:spacing w:line="270" w:lineRule="exact"/>
              <w:ind w:left="165"/>
              <w:jc w:val="both"/>
              <w:rPr>
                <w:color w:val="000000" w:themeColor="text1"/>
                <w:sz w:val="24"/>
                <w:szCs w:val="24"/>
              </w:rPr>
            </w:pPr>
            <w:r w:rsidRPr="00C56257">
              <w:rPr>
                <w:color w:val="000000" w:themeColor="text1"/>
                <w:sz w:val="24"/>
                <w:szCs w:val="24"/>
              </w:rPr>
              <w:t>6110</w:t>
            </w:r>
            <w:r w:rsidRPr="00C56257">
              <w:rPr>
                <w:color w:val="000000" w:themeColor="text1"/>
                <w:spacing w:val="-2"/>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Comunităţi</w:t>
            </w:r>
            <w:r w:rsidRPr="00C56257">
              <w:rPr>
                <w:color w:val="000000" w:themeColor="text1"/>
                <w:spacing w:val="-1"/>
                <w:sz w:val="24"/>
                <w:szCs w:val="24"/>
              </w:rPr>
              <w:t xml:space="preserve"> </w:t>
            </w:r>
            <w:r w:rsidRPr="00C56257">
              <w:rPr>
                <w:color w:val="000000" w:themeColor="text1"/>
                <w:sz w:val="24"/>
                <w:szCs w:val="24"/>
              </w:rPr>
              <w:t>rupicole</w:t>
            </w:r>
            <w:r w:rsidRPr="00C56257">
              <w:rPr>
                <w:color w:val="000000" w:themeColor="text1"/>
                <w:spacing w:val="-1"/>
                <w:sz w:val="24"/>
                <w:szCs w:val="24"/>
              </w:rPr>
              <w:t xml:space="preserve"> </w:t>
            </w:r>
            <w:r w:rsidRPr="00C56257">
              <w:rPr>
                <w:color w:val="000000" w:themeColor="text1"/>
                <w:sz w:val="24"/>
                <w:szCs w:val="24"/>
              </w:rPr>
              <w:t>calcifile</w:t>
            </w:r>
            <w:r w:rsidRPr="00C56257">
              <w:rPr>
                <w:color w:val="000000" w:themeColor="text1"/>
                <w:spacing w:val="-2"/>
                <w:sz w:val="24"/>
                <w:szCs w:val="24"/>
              </w:rPr>
              <w:t xml:space="preserve"> </w:t>
            </w:r>
            <w:r w:rsidRPr="00C56257">
              <w:rPr>
                <w:color w:val="000000" w:themeColor="text1"/>
                <w:sz w:val="24"/>
                <w:szCs w:val="24"/>
              </w:rPr>
              <w:t>sau</w:t>
            </w:r>
            <w:r w:rsidRPr="00C56257">
              <w:rPr>
                <w:color w:val="000000" w:themeColor="text1"/>
                <w:spacing w:val="-1"/>
                <w:sz w:val="24"/>
                <w:szCs w:val="24"/>
              </w:rPr>
              <w:t xml:space="preserve"> </w:t>
            </w:r>
            <w:r w:rsidRPr="00C56257">
              <w:rPr>
                <w:color w:val="000000" w:themeColor="text1"/>
                <w:sz w:val="24"/>
                <w:szCs w:val="24"/>
              </w:rPr>
              <w:t>pajişti</w:t>
            </w:r>
            <w:r w:rsidRPr="00C56257">
              <w:rPr>
                <w:color w:val="000000" w:themeColor="text1"/>
                <w:spacing w:val="-1"/>
                <w:sz w:val="24"/>
                <w:szCs w:val="24"/>
              </w:rPr>
              <w:t xml:space="preserve"> </w:t>
            </w:r>
            <w:r w:rsidRPr="00C56257">
              <w:rPr>
                <w:color w:val="000000" w:themeColor="text1"/>
                <w:sz w:val="24"/>
                <w:szCs w:val="24"/>
              </w:rPr>
              <w:t>bazifile</w:t>
            </w:r>
          </w:p>
          <w:p w14:paraId="71BFD696" w14:textId="77777777" w:rsidR="006735BF" w:rsidRPr="00C56257" w:rsidRDefault="006735BF" w:rsidP="008E33FD">
            <w:pPr>
              <w:pStyle w:val="TableParagraph"/>
              <w:spacing w:line="261" w:lineRule="exact"/>
              <w:ind w:left="165"/>
              <w:jc w:val="both"/>
              <w:rPr>
                <w:i/>
                <w:color w:val="000000" w:themeColor="text1"/>
                <w:sz w:val="24"/>
                <w:szCs w:val="24"/>
              </w:rPr>
            </w:pPr>
            <w:r w:rsidRPr="00C56257">
              <w:rPr>
                <w:color w:val="000000" w:themeColor="text1"/>
                <w:sz w:val="24"/>
                <w:szCs w:val="24"/>
              </w:rPr>
              <w:t>din</w:t>
            </w:r>
            <w:r w:rsidRPr="00C56257">
              <w:rPr>
                <w:color w:val="000000" w:themeColor="text1"/>
                <w:spacing w:val="-1"/>
                <w:sz w:val="24"/>
                <w:szCs w:val="24"/>
              </w:rPr>
              <w:t xml:space="preserve"> </w:t>
            </w:r>
            <w:r w:rsidRPr="00C56257">
              <w:rPr>
                <w:i/>
                <w:color w:val="000000" w:themeColor="text1"/>
                <w:sz w:val="24"/>
                <w:szCs w:val="24"/>
              </w:rPr>
              <w:t>Alysso-Sedion</w:t>
            </w:r>
            <w:r w:rsidRPr="00C56257">
              <w:rPr>
                <w:i/>
                <w:color w:val="000000" w:themeColor="text1"/>
                <w:spacing w:val="-1"/>
                <w:sz w:val="24"/>
                <w:szCs w:val="24"/>
              </w:rPr>
              <w:t xml:space="preserve"> </w:t>
            </w:r>
            <w:r w:rsidRPr="00C56257">
              <w:rPr>
                <w:i/>
                <w:color w:val="000000" w:themeColor="text1"/>
                <w:sz w:val="24"/>
                <w:szCs w:val="24"/>
              </w:rPr>
              <w:t>albi</w:t>
            </w:r>
          </w:p>
        </w:tc>
        <w:tc>
          <w:tcPr>
            <w:tcW w:w="708" w:type="dxa"/>
          </w:tcPr>
          <w:p w14:paraId="67983DB6" w14:textId="77777777" w:rsidR="006735BF" w:rsidRPr="00C56257" w:rsidRDefault="006735BF" w:rsidP="008E33FD">
            <w:pPr>
              <w:pStyle w:val="TableParagraph"/>
              <w:jc w:val="both"/>
              <w:rPr>
                <w:color w:val="000000" w:themeColor="text1"/>
                <w:sz w:val="24"/>
                <w:szCs w:val="24"/>
              </w:rPr>
            </w:pPr>
          </w:p>
        </w:tc>
        <w:tc>
          <w:tcPr>
            <w:tcW w:w="709" w:type="dxa"/>
            <w:shd w:val="clear" w:color="auto" w:fill="D9D9D9"/>
          </w:tcPr>
          <w:p w14:paraId="56846DD2" w14:textId="77777777" w:rsidR="006735BF" w:rsidRPr="00C56257" w:rsidRDefault="006735BF" w:rsidP="008E33FD">
            <w:pPr>
              <w:pStyle w:val="TableParagraph"/>
              <w:spacing w:before="135"/>
              <w:ind w:left="14"/>
              <w:jc w:val="both"/>
              <w:rPr>
                <w:b/>
                <w:color w:val="000000" w:themeColor="text1"/>
                <w:sz w:val="24"/>
                <w:szCs w:val="24"/>
              </w:rPr>
            </w:pPr>
            <w:r w:rsidRPr="00C56257">
              <w:rPr>
                <w:b/>
                <w:color w:val="000000" w:themeColor="text1"/>
                <w:sz w:val="24"/>
                <w:szCs w:val="24"/>
              </w:rPr>
              <w:t>√</w:t>
            </w:r>
          </w:p>
        </w:tc>
        <w:tc>
          <w:tcPr>
            <w:tcW w:w="711" w:type="dxa"/>
            <w:shd w:val="clear" w:color="auto" w:fill="D9D9D9"/>
          </w:tcPr>
          <w:p w14:paraId="3175F10C" w14:textId="77777777" w:rsidR="006735BF" w:rsidRPr="00C56257" w:rsidRDefault="006735BF" w:rsidP="008E33FD">
            <w:pPr>
              <w:pStyle w:val="TableParagraph"/>
              <w:spacing w:before="135"/>
              <w:ind w:left="10"/>
              <w:jc w:val="both"/>
              <w:rPr>
                <w:b/>
                <w:color w:val="000000" w:themeColor="text1"/>
                <w:sz w:val="24"/>
                <w:szCs w:val="24"/>
              </w:rPr>
            </w:pPr>
            <w:r w:rsidRPr="00C56257">
              <w:rPr>
                <w:b/>
                <w:color w:val="000000" w:themeColor="text1"/>
                <w:sz w:val="24"/>
                <w:szCs w:val="24"/>
              </w:rPr>
              <w:t>√</w:t>
            </w:r>
          </w:p>
        </w:tc>
        <w:tc>
          <w:tcPr>
            <w:tcW w:w="766" w:type="dxa"/>
          </w:tcPr>
          <w:p w14:paraId="14AD3872" w14:textId="77777777" w:rsidR="006735BF" w:rsidRPr="00C56257" w:rsidRDefault="006735BF" w:rsidP="008E33FD">
            <w:pPr>
              <w:pStyle w:val="TableParagraph"/>
              <w:jc w:val="both"/>
              <w:rPr>
                <w:color w:val="000000" w:themeColor="text1"/>
                <w:sz w:val="24"/>
                <w:szCs w:val="24"/>
              </w:rPr>
            </w:pPr>
          </w:p>
        </w:tc>
        <w:tc>
          <w:tcPr>
            <w:tcW w:w="745" w:type="dxa"/>
          </w:tcPr>
          <w:p w14:paraId="545B3425" w14:textId="77777777" w:rsidR="006735BF" w:rsidRPr="00C56257" w:rsidRDefault="006735BF" w:rsidP="008E33FD">
            <w:pPr>
              <w:pStyle w:val="TableParagraph"/>
              <w:jc w:val="both"/>
              <w:rPr>
                <w:color w:val="000000" w:themeColor="text1"/>
                <w:sz w:val="24"/>
                <w:szCs w:val="24"/>
              </w:rPr>
            </w:pPr>
          </w:p>
        </w:tc>
      </w:tr>
      <w:tr w:rsidR="006735BF" w:rsidRPr="00C56257" w14:paraId="5FA185DB" w14:textId="77777777" w:rsidTr="00511A4E">
        <w:trPr>
          <w:trHeight w:val="518"/>
        </w:trPr>
        <w:tc>
          <w:tcPr>
            <w:tcW w:w="5907" w:type="dxa"/>
          </w:tcPr>
          <w:p w14:paraId="0B7601CB" w14:textId="77777777" w:rsidR="006735BF" w:rsidRPr="00C56257" w:rsidRDefault="006735BF" w:rsidP="008E33FD">
            <w:pPr>
              <w:pStyle w:val="TableParagraph"/>
              <w:spacing w:before="114"/>
              <w:ind w:left="165"/>
              <w:jc w:val="both"/>
              <w:rPr>
                <w:color w:val="000000" w:themeColor="text1"/>
                <w:sz w:val="24"/>
                <w:szCs w:val="24"/>
              </w:rPr>
            </w:pPr>
            <w:r w:rsidRPr="00C56257">
              <w:rPr>
                <w:color w:val="000000" w:themeColor="text1"/>
                <w:sz w:val="24"/>
                <w:szCs w:val="24"/>
              </w:rPr>
              <w:t>6120*</w:t>
            </w:r>
            <w:r w:rsidRPr="00C56257">
              <w:rPr>
                <w:color w:val="000000" w:themeColor="text1"/>
                <w:spacing w:val="-3"/>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Pajişti</w:t>
            </w:r>
            <w:r w:rsidRPr="00C56257">
              <w:rPr>
                <w:color w:val="000000" w:themeColor="text1"/>
                <w:spacing w:val="-4"/>
                <w:sz w:val="24"/>
                <w:szCs w:val="24"/>
              </w:rPr>
              <w:t xml:space="preserve"> </w:t>
            </w:r>
            <w:r w:rsidRPr="00C56257">
              <w:rPr>
                <w:color w:val="000000" w:themeColor="text1"/>
                <w:sz w:val="24"/>
                <w:szCs w:val="24"/>
              </w:rPr>
              <w:t>xerice</w:t>
            </w:r>
            <w:r w:rsidRPr="00C56257">
              <w:rPr>
                <w:color w:val="000000" w:themeColor="text1"/>
                <w:spacing w:val="-2"/>
                <w:sz w:val="24"/>
                <w:szCs w:val="24"/>
              </w:rPr>
              <w:t xml:space="preserve"> </w:t>
            </w:r>
            <w:r w:rsidRPr="00C56257">
              <w:rPr>
                <w:color w:val="000000" w:themeColor="text1"/>
                <w:sz w:val="24"/>
                <w:szCs w:val="24"/>
              </w:rPr>
              <w:t>pe</w:t>
            </w:r>
            <w:r w:rsidRPr="00C56257">
              <w:rPr>
                <w:color w:val="000000" w:themeColor="text1"/>
                <w:spacing w:val="-1"/>
                <w:sz w:val="24"/>
                <w:szCs w:val="24"/>
              </w:rPr>
              <w:t xml:space="preserve"> </w:t>
            </w:r>
            <w:r w:rsidRPr="00C56257">
              <w:rPr>
                <w:color w:val="000000" w:themeColor="text1"/>
                <w:sz w:val="24"/>
                <w:szCs w:val="24"/>
              </w:rPr>
              <w:t>nisipuri</w:t>
            </w:r>
            <w:r w:rsidRPr="00C56257">
              <w:rPr>
                <w:color w:val="000000" w:themeColor="text1"/>
                <w:spacing w:val="-1"/>
                <w:sz w:val="24"/>
                <w:szCs w:val="24"/>
              </w:rPr>
              <w:t xml:space="preserve"> </w:t>
            </w:r>
            <w:r w:rsidRPr="00C56257">
              <w:rPr>
                <w:color w:val="000000" w:themeColor="text1"/>
                <w:sz w:val="24"/>
                <w:szCs w:val="24"/>
              </w:rPr>
              <w:t>calcaroase</w:t>
            </w:r>
          </w:p>
        </w:tc>
        <w:tc>
          <w:tcPr>
            <w:tcW w:w="708" w:type="dxa"/>
          </w:tcPr>
          <w:p w14:paraId="492F842A" w14:textId="77777777" w:rsidR="006735BF" w:rsidRPr="00C56257" w:rsidRDefault="006735BF" w:rsidP="008E33FD">
            <w:pPr>
              <w:pStyle w:val="TableParagraph"/>
              <w:jc w:val="both"/>
              <w:rPr>
                <w:color w:val="000000" w:themeColor="text1"/>
                <w:sz w:val="24"/>
                <w:szCs w:val="24"/>
              </w:rPr>
            </w:pPr>
          </w:p>
        </w:tc>
        <w:tc>
          <w:tcPr>
            <w:tcW w:w="709" w:type="dxa"/>
            <w:shd w:val="clear" w:color="auto" w:fill="D9D9D9"/>
          </w:tcPr>
          <w:p w14:paraId="3EEE1AAC" w14:textId="77777777" w:rsidR="006735BF" w:rsidRPr="00C56257" w:rsidRDefault="006735BF" w:rsidP="008E33FD">
            <w:pPr>
              <w:pStyle w:val="TableParagraph"/>
              <w:spacing w:before="119"/>
              <w:ind w:left="14"/>
              <w:jc w:val="both"/>
              <w:rPr>
                <w:b/>
                <w:color w:val="000000" w:themeColor="text1"/>
                <w:sz w:val="24"/>
                <w:szCs w:val="24"/>
              </w:rPr>
            </w:pPr>
            <w:r w:rsidRPr="00C56257">
              <w:rPr>
                <w:b/>
                <w:color w:val="000000" w:themeColor="text1"/>
                <w:sz w:val="24"/>
                <w:szCs w:val="24"/>
              </w:rPr>
              <w:t>√</w:t>
            </w:r>
          </w:p>
        </w:tc>
        <w:tc>
          <w:tcPr>
            <w:tcW w:w="711" w:type="dxa"/>
          </w:tcPr>
          <w:p w14:paraId="4F82030A" w14:textId="77777777" w:rsidR="006735BF" w:rsidRPr="00C56257" w:rsidRDefault="006735BF" w:rsidP="008E33FD">
            <w:pPr>
              <w:pStyle w:val="TableParagraph"/>
              <w:jc w:val="both"/>
              <w:rPr>
                <w:color w:val="000000" w:themeColor="text1"/>
                <w:sz w:val="24"/>
                <w:szCs w:val="24"/>
              </w:rPr>
            </w:pPr>
          </w:p>
        </w:tc>
        <w:tc>
          <w:tcPr>
            <w:tcW w:w="766" w:type="dxa"/>
            <w:shd w:val="clear" w:color="auto" w:fill="D9D9D9"/>
          </w:tcPr>
          <w:p w14:paraId="49BB6635" w14:textId="77777777" w:rsidR="006735BF" w:rsidRPr="00C56257" w:rsidRDefault="006735BF" w:rsidP="008E33FD">
            <w:pPr>
              <w:pStyle w:val="TableParagraph"/>
              <w:spacing w:before="119"/>
              <w:ind w:left="12"/>
              <w:jc w:val="both"/>
              <w:rPr>
                <w:b/>
                <w:color w:val="000000" w:themeColor="text1"/>
                <w:sz w:val="24"/>
                <w:szCs w:val="24"/>
              </w:rPr>
            </w:pPr>
            <w:r w:rsidRPr="00C56257">
              <w:rPr>
                <w:b/>
                <w:color w:val="000000" w:themeColor="text1"/>
                <w:sz w:val="24"/>
                <w:szCs w:val="24"/>
              </w:rPr>
              <w:t>√</w:t>
            </w:r>
          </w:p>
        </w:tc>
        <w:tc>
          <w:tcPr>
            <w:tcW w:w="745" w:type="dxa"/>
          </w:tcPr>
          <w:p w14:paraId="354CD559" w14:textId="77777777" w:rsidR="006735BF" w:rsidRPr="00C56257" w:rsidRDefault="006735BF" w:rsidP="008E33FD">
            <w:pPr>
              <w:pStyle w:val="TableParagraph"/>
              <w:jc w:val="both"/>
              <w:rPr>
                <w:color w:val="000000" w:themeColor="text1"/>
                <w:sz w:val="24"/>
                <w:szCs w:val="24"/>
              </w:rPr>
            </w:pPr>
          </w:p>
        </w:tc>
      </w:tr>
      <w:tr w:rsidR="006735BF" w:rsidRPr="00C56257" w14:paraId="69BEAAA0" w14:textId="77777777" w:rsidTr="00511A4E">
        <w:trPr>
          <w:trHeight w:val="515"/>
        </w:trPr>
        <w:tc>
          <w:tcPr>
            <w:tcW w:w="5907" w:type="dxa"/>
          </w:tcPr>
          <w:p w14:paraId="52990A2F" w14:textId="77777777" w:rsidR="006735BF" w:rsidRPr="00C56257" w:rsidRDefault="006735BF" w:rsidP="008E33FD">
            <w:pPr>
              <w:pStyle w:val="TableParagraph"/>
              <w:spacing w:before="111"/>
              <w:ind w:left="165"/>
              <w:jc w:val="both"/>
              <w:rPr>
                <w:color w:val="000000" w:themeColor="text1"/>
                <w:sz w:val="24"/>
                <w:szCs w:val="24"/>
              </w:rPr>
            </w:pPr>
            <w:r w:rsidRPr="00C56257">
              <w:rPr>
                <w:color w:val="000000" w:themeColor="text1"/>
                <w:sz w:val="24"/>
                <w:szCs w:val="24"/>
              </w:rPr>
              <w:t>6150</w:t>
            </w:r>
            <w:r w:rsidRPr="00C56257">
              <w:rPr>
                <w:color w:val="000000" w:themeColor="text1"/>
                <w:spacing w:val="-2"/>
                <w:sz w:val="24"/>
                <w:szCs w:val="24"/>
              </w:rPr>
              <w:t xml:space="preserve"> </w:t>
            </w:r>
            <w:r w:rsidRPr="00C56257">
              <w:rPr>
                <w:color w:val="000000" w:themeColor="text1"/>
                <w:sz w:val="24"/>
                <w:szCs w:val="24"/>
              </w:rPr>
              <w:t>-</w:t>
            </w:r>
            <w:r w:rsidRPr="00C56257">
              <w:rPr>
                <w:color w:val="000000" w:themeColor="text1"/>
                <w:spacing w:val="-3"/>
                <w:sz w:val="24"/>
                <w:szCs w:val="24"/>
              </w:rPr>
              <w:t xml:space="preserve"> </w:t>
            </w:r>
            <w:r w:rsidRPr="00C56257">
              <w:rPr>
                <w:color w:val="000000" w:themeColor="text1"/>
                <w:sz w:val="24"/>
                <w:szCs w:val="24"/>
              </w:rPr>
              <w:t>Pajişti</w:t>
            </w:r>
            <w:r w:rsidRPr="00C56257">
              <w:rPr>
                <w:color w:val="000000" w:themeColor="text1"/>
                <w:spacing w:val="-2"/>
                <w:sz w:val="24"/>
                <w:szCs w:val="24"/>
              </w:rPr>
              <w:t xml:space="preserve"> </w:t>
            </w:r>
            <w:r w:rsidRPr="00C56257">
              <w:rPr>
                <w:color w:val="000000" w:themeColor="text1"/>
                <w:sz w:val="24"/>
                <w:szCs w:val="24"/>
              </w:rPr>
              <w:t>boreale</w:t>
            </w:r>
            <w:r w:rsidRPr="00C56257">
              <w:rPr>
                <w:color w:val="000000" w:themeColor="text1"/>
                <w:spacing w:val="-2"/>
                <w:sz w:val="24"/>
                <w:szCs w:val="24"/>
              </w:rPr>
              <w:t xml:space="preserve"> </w:t>
            </w:r>
            <w:r w:rsidRPr="00C56257">
              <w:rPr>
                <w:color w:val="000000" w:themeColor="text1"/>
                <w:sz w:val="24"/>
                <w:szCs w:val="24"/>
              </w:rPr>
              <w:t>şi</w:t>
            </w:r>
            <w:r w:rsidRPr="00C56257">
              <w:rPr>
                <w:color w:val="000000" w:themeColor="text1"/>
                <w:spacing w:val="-3"/>
                <w:sz w:val="24"/>
                <w:szCs w:val="24"/>
              </w:rPr>
              <w:t xml:space="preserve"> </w:t>
            </w:r>
            <w:r w:rsidRPr="00C56257">
              <w:rPr>
                <w:color w:val="000000" w:themeColor="text1"/>
                <w:sz w:val="24"/>
                <w:szCs w:val="24"/>
              </w:rPr>
              <w:t>alpine</w:t>
            </w:r>
            <w:r w:rsidRPr="00C56257">
              <w:rPr>
                <w:color w:val="000000" w:themeColor="text1"/>
                <w:spacing w:val="-2"/>
                <w:sz w:val="24"/>
                <w:szCs w:val="24"/>
              </w:rPr>
              <w:t xml:space="preserve"> </w:t>
            </w:r>
            <w:r w:rsidRPr="00C56257">
              <w:rPr>
                <w:color w:val="000000" w:themeColor="text1"/>
                <w:sz w:val="24"/>
                <w:szCs w:val="24"/>
              </w:rPr>
              <w:t>pe</w:t>
            </w:r>
            <w:r w:rsidRPr="00C56257">
              <w:rPr>
                <w:color w:val="000000" w:themeColor="text1"/>
                <w:spacing w:val="-3"/>
                <w:sz w:val="24"/>
                <w:szCs w:val="24"/>
              </w:rPr>
              <w:t xml:space="preserve"> </w:t>
            </w:r>
            <w:r w:rsidRPr="00C56257">
              <w:rPr>
                <w:color w:val="000000" w:themeColor="text1"/>
                <w:sz w:val="24"/>
                <w:szCs w:val="24"/>
              </w:rPr>
              <w:t>substrate</w:t>
            </w:r>
            <w:r w:rsidRPr="00C56257">
              <w:rPr>
                <w:color w:val="000000" w:themeColor="text1"/>
                <w:spacing w:val="-2"/>
                <w:sz w:val="24"/>
                <w:szCs w:val="24"/>
              </w:rPr>
              <w:t xml:space="preserve"> </w:t>
            </w:r>
            <w:r w:rsidRPr="00C56257">
              <w:rPr>
                <w:color w:val="000000" w:themeColor="text1"/>
                <w:sz w:val="24"/>
                <w:szCs w:val="24"/>
              </w:rPr>
              <w:t>silicioase</w:t>
            </w:r>
          </w:p>
        </w:tc>
        <w:tc>
          <w:tcPr>
            <w:tcW w:w="708" w:type="dxa"/>
          </w:tcPr>
          <w:p w14:paraId="54288EEE" w14:textId="77777777" w:rsidR="006735BF" w:rsidRPr="00C56257" w:rsidRDefault="006735BF" w:rsidP="008E33FD">
            <w:pPr>
              <w:pStyle w:val="TableParagraph"/>
              <w:jc w:val="both"/>
              <w:rPr>
                <w:color w:val="000000" w:themeColor="text1"/>
                <w:sz w:val="24"/>
                <w:szCs w:val="24"/>
              </w:rPr>
            </w:pPr>
          </w:p>
        </w:tc>
        <w:tc>
          <w:tcPr>
            <w:tcW w:w="709" w:type="dxa"/>
          </w:tcPr>
          <w:p w14:paraId="330022D8" w14:textId="77777777" w:rsidR="006735BF" w:rsidRPr="00C56257" w:rsidRDefault="006735BF" w:rsidP="008E33FD">
            <w:pPr>
              <w:pStyle w:val="TableParagraph"/>
              <w:jc w:val="both"/>
              <w:rPr>
                <w:color w:val="000000" w:themeColor="text1"/>
                <w:sz w:val="24"/>
                <w:szCs w:val="24"/>
              </w:rPr>
            </w:pPr>
          </w:p>
        </w:tc>
        <w:tc>
          <w:tcPr>
            <w:tcW w:w="711" w:type="dxa"/>
            <w:shd w:val="clear" w:color="auto" w:fill="D9D9D9"/>
          </w:tcPr>
          <w:p w14:paraId="27457EE7" w14:textId="77777777" w:rsidR="006735BF" w:rsidRPr="00C56257" w:rsidRDefault="006735BF" w:rsidP="008E33FD">
            <w:pPr>
              <w:pStyle w:val="TableParagraph"/>
              <w:spacing w:before="116"/>
              <w:ind w:left="10"/>
              <w:jc w:val="both"/>
              <w:rPr>
                <w:b/>
                <w:color w:val="000000" w:themeColor="text1"/>
                <w:sz w:val="24"/>
                <w:szCs w:val="24"/>
              </w:rPr>
            </w:pPr>
            <w:r w:rsidRPr="00C56257">
              <w:rPr>
                <w:b/>
                <w:color w:val="000000" w:themeColor="text1"/>
                <w:sz w:val="24"/>
                <w:szCs w:val="24"/>
              </w:rPr>
              <w:t>√</w:t>
            </w:r>
          </w:p>
        </w:tc>
        <w:tc>
          <w:tcPr>
            <w:tcW w:w="766" w:type="dxa"/>
          </w:tcPr>
          <w:p w14:paraId="302233DE" w14:textId="77777777" w:rsidR="006735BF" w:rsidRPr="00C56257" w:rsidRDefault="006735BF" w:rsidP="008E33FD">
            <w:pPr>
              <w:pStyle w:val="TableParagraph"/>
              <w:jc w:val="both"/>
              <w:rPr>
                <w:color w:val="000000" w:themeColor="text1"/>
                <w:sz w:val="24"/>
                <w:szCs w:val="24"/>
              </w:rPr>
            </w:pPr>
          </w:p>
        </w:tc>
        <w:tc>
          <w:tcPr>
            <w:tcW w:w="745" w:type="dxa"/>
          </w:tcPr>
          <w:p w14:paraId="2B2C9E39" w14:textId="77777777" w:rsidR="006735BF" w:rsidRPr="00C56257" w:rsidRDefault="006735BF" w:rsidP="008E33FD">
            <w:pPr>
              <w:pStyle w:val="TableParagraph"/>
              <w:jc w:val="both"/>
              <w:rPr>
                <w:color w:val="000000" w:themeColor="text1"/>
                <w:sz w:val="24"/>
                <w:szCs w:val="24"/>
              </w:rPr>
            </w:pPr>
          </w:p>
        </w:tc>
      </w:tr>
      <w:tr w:rsidR="006735BF" w:rsidRPr="00C56257" w14:paraId="1F48A78B" w14:textId="77777777" w:rsidTr="00511A4E">
        <w:trPr>
          <w:trHeight w:val="522"/>
        </w:trPr>
        <w:tc>
          <w:tcPr>
            <w:tcW w:w="5907" w:type="dxa"/>
          </w:tcPr>
          <w:p w14:paraId="52A4A5A0" w14:textId="77777777" w:rsidR="006735BF" w:rsidRPr="00C56257" w:rsidRDefault="006735BF" w:rsidP="008E33FD">
            <w:pPr>
              <w:pStyle w:val="TableParagraph"/>
              <w:spacing w:before="114"/>
              <w:ind w:left="165"/>
              <w:jc w:val="both"/>
              <w:rPr>
                <w:color w:val="000000" w:themeColor="text1"/>
                <w:sz w:val="24"/>
                <w:szCs w:val="24"/>
              </w:rPr>
            </w:pPr>
            <w:r w:rsidRPr="00C56257">
              <w:rPr>
                <w:color w:val="000000" w:themeColor="text1"/>
                <w:sz w:val="24"/>
                <w:szCs w:val="24"/>
              </w:rPr>
              <w:t>6170</w:t>
            </w:r>
            <w:r w:rsidRPr="00C56257">
              <w:rPr>
                <w:color w:val="000000" w:themeColor="text1"/>
                <w:spacing w:val="-2"/>
                <w:sz w:val="24"/>
                <w:szCs w:val="24"/>
              </w:rPr>
              <w:t xml:space="preserve"> </w:t>
            </w:r>
            <w:r w:rsidRPr="00C56257">
              <w:rPr>
                <w:color w:val="000000" w:themeColor="text1"/>
                <w:sz w:val="24"/>
                <w:szCs w:val="24"/>
              </w:rPr>
              <w:t>-</w:t>
            </w:r>
            <w:r w:rsidRPr="00C56257">
              <w:rPr>
                <w:color w:val="000000" w:themeColor="text1"/>
                <w:spacing w:val="-3"/>
                <w:sz w:val="24"/>
                <w:szCs w:val="24"/>
              </w:rPr>
              <w:t xml:space="preserve"> </w:t>
            </w:r>
            <w:r w:rsidRPr="00C56257">
              <w:rPr>
                <w:color w:val="000000" w:themeColor="text1"/>
                <w:sz w:val="24"/>
                <w:szCs w:val="24"/>
              </w:rPr>
              <w:t>Pajişti</w:t>
            </w:r>
            <w:r w:rsidRPr="00C56257">
              <w:rPr>
                <w:color w:val="000000" w:themeColor="text1"/>
                <w:spacing w:val="-2"/>
                <w:sz w:val="24"/>
                <w:szCs w:val="24"/>
              </w:rPr>
              <w:t xml:space="preserve"> </w:t>
            </w:r>
            <w:r w:rsidRPr="00C56257">
              <w:rPr>
                <w:color w:val="000000" w:themeColor="text1"/>
                <w:sz w:val="24"/>
                <w:szCs w:val="24"/>
              </w:rPr>
              <w:t>calcifile</w:t>
            </w:r>
            <w:r w:rsidRPr="00C56257">
              <w:rPr>
                <w:color w:val="000000" w:themeColor="text1"/>
                <w:spacing w:val="-3"/>
                <w:sz w:val="24"/>
                <w:szCs w:val="24"/>
              </w:rPr>
              <w:t xml:space="preserve"> </w:t>
            </w:r>
            <w:r w:rsidRPr="00C56257">
              <w:rPr>
                <w:color w:val="000000" w:themeColor="text1"/>
                <w:sz w:val="24"/>
                <w:szCs w:val="24"/>
              </w:rPr>
              <w:t>alpine</w:t>
            </w:r>
            <w:r w:rsidRPr="00C56257">
              <w:rPr>
                <w:color w:val="000000" w:themeColor="text1"/>
                <w:spacing w:val="-2"/>
                <w:sz w:val="24"/>
                <w:szCs w:val="24"/>
              </w:rPr>
              <w:t xml:space="preserve"> </w:t>
            </w:r>
            <w:r w:rsidRPr="00C56257">
              <w:rPr>
                <w:color w:val="000000" w:themeColor="text1"/>
                <w:sz w:val="24"/>
                <w:szCs w:val="24"/>
              </w:rPr>
              <w:t>şi</w:t>
            </w:r>
            <w:r w:rsidRPr="00C56257">
              <w:rPr>
                <w:color w:val="000000" w:themeColor="text1"/>
                <w:spacing w:val="-3"/>
                <w:sz w:val="24"/>
                <w:szCs w:val="24"/>
              </w:rPr>
              <w:t xml:space="preserve"> </w:t>
            </w:r>
            <w:r w:rsidRPr="00C56257">
              <w:rPr>
                <w:color w:val="000000" w:themeColor="text1"/>
                <w:sz w:val="24"/>
                <w:szCs w:val="24"/>
              </w:rPr>
              <w:t>subalpine</w:t>
            </w:r>
          </w:p>
        </w:tc>
        <w:tc>
          <w:tcPr>
            <w:tcW w:w="708" w:type="dxa"/>
          </w:tcPr>
          <w:p w14:paraId="1172BB60" w14:textId="77777777" w:rsidR="006735BF" w:rsidRPr="00C56257" w:rsidRDefault="006735BF" w:rsidP="008E33FD">
            <w:pPr>
              <w:pStyle w:val="TableParagraph"/>
              <w:jc w:val="both"/>
              <w:rPr>
                <w:color w:val="000000" w:themeColor="text1"/>
                <w:sz w:val="24"/>
                <w:szCs w:val="24"/>
              </w:rPr>
            </w:pPr>
          </w:p>
        </w:tc>
        <w:tc>
          <w:tcPr>
            <w:tcW w:w="709" w:type="dxa"/>
          </w:tcPr>
          <w:p w14:paraId="798B19F4" w14:textId="77777777" w:rsidR="006735BF" w:rsidRPr="00C56257" w:rsidRDefault="006735BF" w:rsidP="008E33FD">
            <w:pPr>
              <w:pStyle w:val="TableParagraph"/>
              <w:jc w:val="both"/>
              <w:rPr>
                <w:color w:val="000000" w:themeColor="text1"/>
                <w:sz w:val="24"/>
                <w:szCs w:val="24"/>
              </w:rPr>
            </w:pPr>
          </w:p>
        </w:tc>
        <w:tc>
          <w:tcPr>
            <w:tcW w:w="711" w:type="dxa"/>
            <w:shd w:val="clear" w:color="auto" w:fill="D9D9D9"/>
          </w:tcPr>
          <w:p w14:paraId="686F9BCD" w14:textId="77777777" w:rsidR="006735BF" w:rsidRPr="00C56257" w:rsidRDefault="006735BF" w:rsidP="008E33FD">
            <w:pPr>
              <w:pStyle w:val="TableParagraph"/>
              <w:spacing w:before="119"/>
              <w:ind w:left="10"/>
              <w:jc w:val="both"/>
              <w:rPr>
                <w:b/>
                <w:color w:val="000000" w:themeColor="text1"/>
                <w:sz w:val="24"/>
                <w:szCs w:val="24"/>
              </w:rPr>
            </w:pPr>
            <w:r w:rsidRPr="00C56257">
              <w:rPr>
                <w:b/>
                <w:color w:val="000000" w:themeColor="text1"/>
                <w:sz w:val="24"/>
                <w:szCs w:val="24"/>
              </w:rPr>
              <w:t>√</w:t>
            </w:r>
          </w:p>
        </w:tc>
        <w:tc>
          <w:tcPr>
            <w:tcW w:w="766" w:type="dxa"/>
          </w:tcPr>
          <w:p w14:paraId="1CB8F28C" w14:textId="77777777" w:rsidR="006735BF" w:rsidRPr="00C56257" w:rsidRDefault="006735BF" w:rsidP="008E33FD">
            <w:pPr>
              <w:pStyle w:val="TableParagraph"/>
              <w:jc w:val="both"/>
              <w:rPr>
                <w:color w:val="000000" w:themeColor="text1"/>
                <w:sz w:val="24"/>
                <w:szCs w:val="24"/>
              </w:rPr>
            </w:pPr>
          </w:p>
        </w:tc>
        <w:tc>
          <w:tcPr>
            <w:tcW w:w="745" w:type="dxa"/>
          </w:tcPr>
          <w:p w14:paraId="7E3DADFC" w14:textId="77777777" w:rsidR="006735BF" w:rsidRPr="00C56257" w:rsidRDefault="006735BF" w:rsidP="008E33FD">
            <w:pPr>
              <w:pStyle w:val="TableParagraph"/>
              <w:jc w:val="both"/>
              <w:rPr>
                <w:color w:val="000000" w:themeColor="text1"/>
                <w:sz w:val="24"/>
                <w:szCs w:val="24"/>
              </w:rPr>
            </w:pPr>
          </w:p>
        </w:tc>
      </w:tr>
      <w:tr w:rsidR="006735BF" w:rsidRPr="00C56257" w14:paraId="1D0848FD" w14:textId="77777777" w:rsidTr="00511A4E">
        <w:trPr>
          <w:trHeight w:val="552"/>
        </w:trPr>
        <w:tc>
          <w:tcPr>
            <w:tcW w:w="5907" w:type="dxa"/>
          </w:tcPr>
          <w:p w14:paraId="415030E0" w14:textId="77777777" w:rsidR="006735BF" w:rsidRPr="00C56257" w:rsidRDefault="006735BF" w:rsidP="008E33FD">
            <w:pPr>
              <w:pStyle w:val="TableParagraph"/>
              <w:spacing w:line="268" w:lineRule="exact"/>
              <w:ind w:left="165"/>
              <w:jc w:val="both"/>
              <w:rPr>
                <w:i/>
                <w:color w:val="000000" w:themeColor="text1"/>
                <w:sz w:val="24"/>
                <w:szCs w:val="24"/>
              </w:rPr>
            </w:pPr>
            <w:r w:rsidRPr="00C56257">
              <w:rPr>
                <w:color w:val="000000" w:themeColor="text1"/>
                <w:sz w:val="24"/>
                <w:szCs w:val="24"/>
              </w:rPr>
              <w:t>6190</w:t>
            </w:r>
            <w:r w:rsidRPr="00C56257">
              <w:rPr>
                <w:color w:val="000000" w:themeColor="text1"/>
                <w:spacing w:val="-2"/>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Pajişti</w:t>
            </w:r>
            <w:r w:rsidRPr="00C56257">
              <w:rPr>
                <w:color w:val="000000" w:themeColor="text1"/>
                <w:spacing w:val="-2"/>
                <w:sz w:val="24"/>
                <w:szCs w:val="24"/>
              </w:rPr>
              <w:t xml:space="preserve"> </w:t>
            </w:r>
            <w:r w:rsidRPr="00C56257">
              <w:rPr>
                <w:color w:val="000000" w:themeColor="text1"/>
                <w:sz w:val="24"/>
                <w:szCs w:val="24"/>
              </w:rPr>
              <w:t>panonice</w:t>
            </w:r>
            <w:r w:rsidRPr="00C56257">
              <w:rPr>
                <w:color w:val="000000" w:themeColor="text1"/>
                <w:spacing w:val="-3"/>
                <w:sz w:val="24"/>
                <w:szCs w:val="24"/>
              </w:rPr>
              <w:t xml:space="preserve"> </w:t>
            </w:r>
            <w:r w:rsidRPr="00C56257">
              <w:rPr>
                <w:color w:val="000000" w:themeColor="text1"/>
                <w:sz w:val="24"/>
                <w:szCs w:val="24"/>
              </w:rPr>
              <w:t>de</w:t>
            </w:r>
            <w:r w:rsidRPr="00C56257">
              <w:rPr>
                <w:color w:val="000000" w:themeColor="text1"/>
                <w:spacing w:val="-3"/>
                <w:sz w:val="24"/>
                <w:szCs w:val="24"/>
              </w:rPr>
              <w:t xml:space="preserve"> </w:t>
            </w:r>
            <w:r w:rsidRPr="00C56257">
              <w:rPr>
                <w:color w:val="000000" w:themeColor="text1"/>
                <w:sz w:val="24"/>
                <w:szCs w:val="24"/>
              </w:rPr>
              <w:t>stâncării</w:t>
            </w:r>
            <w:r w:rsidRPr="00C56257">
              <w:rPr>
                <w:color w:val="000000" w:themeColor="text1"/>
                <w:spacing w:val="-1"/>
                <w:sz w:val="24"/>
                <w:szCs w:val="24"/>
              </w:rPr>
              <w:t xml:space="preserve"> </w:t>
            </w:r>
            <w:r w:rsidRPr="00C56257">
              <w:rPr>
                <w:color w:val="000000" w:themeColor="text1"/>
                <w:sz w:val="24"/>
                <w:szCs w:val="24"/>
              </w:rPr>
              <w:t>(</w:t>
            </w:r>
            <w:r w:rsidRPr="00C56257">
              <w:rPr>
                <w:i/>
                <w:color w:val="000000" w:themeColor="text1"/>
                <w:sz w:val="24"/>
                <w:szCs w:val="24"/>
              </w:rPr>
              <w:t>Stipo-Festucetalia</w:t>
            </w:r>
          </w:p>
          <w:p w14:paraId="3C6FCFC0" w14:textId="77777777" w:rsidR="006735BF" w:rsidRPr="00C56257" w:rsidRDefault="006735BF" w:rsidP="008E33FD">
            <w:pPr>
              <w:pStyle w:val="TableParagraph"/>
              <w:spacing w:line="264" w:lineRule="exact"/>
              <w:ind w:left="165"/>
              <w:jc w:val="both"/>
              <w:rPr>
                <w:color w:val="000000" w:themeColor="text1"/>
                <w:sz w:val="24"/>
                <w:szCs w:val="24"/>
              </w:rPr>
            </w:pPr>
            <w:r w:rsidRPr="00C56257">
              <w:rPr>
                <w:i/>
                <w:color w:val="000000" w:themeColor="text1"/>
                <w:sz w:val="24"/>
                <w:szCs w:val="24"/>
              </w:rPr>
              <w:t>pallentis</w:t>
            </w:r>
            <w:r w:rsidRPr="00C56257">
              <w:rPr>
                <w:color w:val="000000" w:themeColor="text1"/>
                <w:sz w:val="24"/>
                <w:szCs w:val="24"/>
              </w:rPr>
              <w:t>);</w:t>
            </w:r>
          </w:p>
        </w:tc>
        <w:tc>
          <w:tcPr>
            <w:tcW w:w="708" w:type="dxa"/>
          </w:tcPr>
          <w:p w14:paraId="2881D271" w14:textId="77777777" w:rsidR="006735BF" w:rsidRPr="00C56257" w:rsidRDefault="006735BF" w:rsidP="008E33FD">
            <w:pPr>
              <w:pStyle w:val="TableParagraph"/>
              <w:jc w:val="both"/>
              <w:rPr>
                <w:color w:val="000000" w:themeColor="text1"/>
                <w:sz w:val="24"/>
                <w:szCs w:val="24"/>
              </w:rPr>
            </w:pPr>
          </w:p>
        </w:tc>
        <w:tc>
          <w:tcPr>
            <w:tcW w:w="709" w:type="dxa"/>
            <w:shd w:val="clear" w:color="auto" w:fill="D9D9D9"/>
          </w:tcPr>
          <w:p w14:paraId="1772FCCA" w14:textId="77777777" w:rsidR="006735BF" w:rsidRPr="00C56257" w:rsidRDefault="006735BF" w:rsidP="008E33FD">
            <w:pPr>
              <w:pStyle w:val="TableParagraph"/>
              <w:spacing w:before="136"/>
              <w:ind w:left="14"/>
              <w:jc w:val="both"/>
              <w:rPr>
                <w:b/>
                <w:color w:val="000000" w:themeColor="text1"/>
                <w:sz w:val="24"/>
                <w:szCs w:val="24"/>
              </w:rPr>
            </w:pPr>
            <w:r w:rsidRPr="00C56257">
              <w:rPr>
                <w:b/>
                <w:color w:val="000000" w:themeColor="text1"/>
                <w:sz w:val="24"/>
                <w:szCs w:val="24"/>
              </w:rPr>
              <w:t>√</w:t>
            </w:r>
          </w:p>
        </w:tc>
        <w:tc>
          <w:tcPr>
            <w:tcW w:w="711" w:type="dxa"/>
            <w:shd w:val="clear" w:color="auto" w:fill="D9D9D9"/>
          </w:tcPr>
          <w:p w14:paraId="31588CA7" w14:textId="77777777" w:rsidR="006735BF" w:rsidRPr="00C56257" w:rsidRDefault="006735BF" w:rsidP="008E33FD">
            <w:pPr>
              <w:pStyle w:val="TableParagraph"/>
              <w:spacing w:before="136"/>
              <w:ind w:left="10"/>
              <w:jc w:val="both"/>
              <w:rPr>
                <w:b/>
                <w:color w:val="000000" w:themeColor="text1"/>
                <w:sz w:val="24"/>
                <w:szCs w:val="24"/>
              </w:rPr>
            </w:pPr>
            <w:r w:rsidRPr="00C56257">
              <w:rPr>
                <w:b/>
                <w:color w:val="000000" w:themeColor="text1"/>
                <w:sz w:val="24"/>
                <w:szCs w:val="24"/>
              </w:rPr>
              <w:t>√</w:t>
            </w:r>
          </w:p>
        </w:tc>
        <w:tc>
          <w:tcPr>
            <w:tcW w:w="766" w:type="dxa"/>
          </w:tcPr>
          <w:p w14:paraId="2D18B025" w14:textId="77777777" w:rsidR="006735BF" w:rsidRPr="00C56257" w:rsidRDefault="006735BF" w:rsidP="008E33FD">
            <w:pPr>
              <w:pStyle w:val="TableParagraph"/>
              <w:jc w:val="both"/>
              <w:rPr>
                <w:color w:val="000000" w:themeColor="text1"/>
                <w:sz w:val="24"/>
                <w:szCs w:val="24"/>
              </w:rPr>
            </w:pPr>
          </w:p>
        </w:tc>
        <w:tc>
          <w:tcPr>
            <w:tcW w:w="745" w:type="dxa"/>
          </w:tcPr>
          <w:p w14:paraId="272A4E3D" w14:textId="77777777" w:rsidR="006735BF" w:rsidRPr="00C56257" w:rsidRDefault="006735BF" w:rsidP="008E33FD">
            <w:pPr>
              <w:pStyle w:val="TableParagraph"/>
              <w:jc w:val="both"/>
              <w:rPr>
                <w:color w:val="000000" w:themeColor="text1"/>
                <w:sz w:val="24"/>
                <w:szCs w:val="24"/>
              </w:rPr>
            </w:pPr>
          </w:p>
        </w:tc>
      </w:tr>
      <w:tr w:rsidR="006735BF" w:rsidRPr="00C56257" w14:paraId="6DCFA424" w14:textId="77777777" w:rsidTr="00511A4E">
        <w:trPr>
          <w:trHeight w:val="551"/>
        </w:trPr>
        <w:tc>
          <w:tcPr>
            <w:tcW w:w="5907" w:type="dxa"/>
          </w:tcPr>
          <w:p w14:paraId="61E4C8AE" w14:textId="77777777" w:rsidR="006735BF" w:rsidRPr="00C56257" w:rsidRDefault="006735BF" w:rsidP="008E33FD">
            <w:pPr>
              <w:pStyle w:val="TableParagraph"/>
              <w:spacing w:line="268" w:lineRule="exact"/>
              <w:ind w:left="165"/>
              <w:jc w:val="both"/>
              <w:rPr>
                <w:color w:val="000000" w:themeColor="text1"/>
                <w:sz w:val="24"/>
                <w:szCs w:val="24"/>
              </w:rPr>
            </w:pPr>
            <w:r w:rsidRPr="00C56257">
              <w:rPr>
                <w:color w:val="000000" w:themeColor="text1"/>
                <w:sz w:val="24"/>
                <w:szCs w:val="24"/>
              </w:rPr>
              <w:t>6210*</w:t>
            </w:r>
            <w:r w:rsidRPr="00C56257">
              <w:rPr>
                <w:color w:val="000000" w:themeColor="text1"/>
                <w:spacing w:val="-3"/>
                <w:sz w:val="24"/>
                <w:szCs w:val="24"/>
              </w:rPr>
              <w:t xml:space="preserve"> </w:t>
            </w:r>
            <w:r w:rsidRPr="00C56257">
              <w:rPr>
                <w:color w:val="000000" w:themeColor="text1"/>
                <w:sz w:val="24"/>
                <w:szCs w:val="24"/>
              </w:rPr>
              <w:t>-</w:t>
            </w:r>
            <w:r w:rsidRPr="00C56257">
              <w:rPr>
                <w:color w:val="000000" w:themeColor="text1"/>
                <w:spacing w:val="-3"/>
                <w:sz w:val="24"/>
                <w:szCs w:val="24"/>
              </w:rPr>
              <w:t xml:space="preserve"> </w:t>
            </w:r>
            <w:r w:rsidRPr="00C56257">
              <w:rPr>
                <w:color w:val="000000" w:themeColor="text1"/>
                <w:sz w:val="24"/>
                <w:szCs w:val="24"/>
              </w:rPr>
              <w:t>Pajişti</w:t>
            </w:r>
            <w:r w:rsidRPr="00C56257">
              <w:rPr>
                <w:color w:val="000000" w:themeColor="text1"/>
                <w:spacing w:val="-2"/>
                <w:sz w:val="24"/>
                <w:szCs w:val="24"/>
              </w:rPr>
              <w:t xml:space="preserve"> </w:t>
            </w:r>
            <w:r w:rsidRPr="00C56257">
              <w:rPr>
                <w:color w:val="000000" w:themeColor="text1"/>
                <w:sz w:val="24"/>
                <w:szCs w:val="24"/>
              </w:rPr>
              <w:t>uscate</w:t>
            </w:r>
            <w:r w:rsidRPr="00C56257">
              <w:rPr>
                <w:color w:val="000000" w:themeColor="text1"/>
                <w:spacing w:val="-2"/>
                <w:sz w:val="24"/>
                <w:szCs w:val="24"/>
              </w:rPr>
              <w:t xml:space="preserve"> </w:t>
            </w:r>
            <w:r w:rsidRPr="00C56257">
              <w:rPr>
                <w:color w:val="000000" w:themeColor="text1"/>
                <w:sz w:val="24"/>
                <w:szCs w:val="24"/>
              </w:rPr>
              <w:t>seminaturale</w:t>
            </w:r>
            <w:r w:rsidRPr="00C56257">
              <w:rPr>
                <w:color w:val="000000" w:themeColor="text1"/>
                <w:spacing w:val="-2"/>
                <w:sz w:val="24"/>
                <w:szCs w:val="24"/>
              </w:rPr>
              <w:t xml:space="preserve"> </w:t>
            </w:r>
            <w:r w:rsidRPr="00C56257">
              <w:rPr>
                <w:color w:val="000000" w:themeColor="text1"/>
                <w:sz w:val="24"/>
                <w:szCs w:val="24"/>
              </w:rPr>
              <w:t>şi</w:t>
            </w:r>
            <w:r w:rsidRPr="00C56257">
              <w:rPr>
                <w:color w:val="000000" w:themeColor="text1"/>
                <w:spacing w:val="-3"/>
                <w:sz w:val="24"/>
                <w:szCs w:val="24"/>
              </w:rPr>
              <w:t xml:space="preserve"> </w:t>
            </w:r>
            <w:r w:rsidRPr="00C56257">
              <w:rPr>
                <w:color w:val="000000" w:themeColor="text1"/>
                <w:sz w:val="24"/>
                <w:szCs w:val="24"/>
              </w:rPr>
              <w:t>faciesuri</w:t>
            </w:r>
            <w:r w:rsidRPr="00C56257">
              <w:rPr>
                <w:color w:val="000000" w:themeColor="text1"/>
                <w:spacing w:val="-3"/>
                <w:sz w:val="24"/>
                <w:szCs w:val="24"/>
              </w:rPr>
              <w:t xml:space="preserve"> </w:t>
            </w:r>
            <w:r w:rsidRPr="00C56257">
              <w:rPr>
                <w:color w:val="000000" w:themeColor="text1"/>
                <w:sz w:val="24"/>
                <w:szCs w:val="24"/>
              </w:rPr>
              <w:t>cu</w:t>
            </w:r>
          </w:p>
          <w:p w14:paraId="20F3B2F3" w14:textId="77777777" w:rsidR="006735BF" w:rsidRPr="00C56257" w:rsidRDefault="006735BF" w:rsidP="008E33FD">
            <w:pPr>
              <w:pStyle w:val="TableParagraph"/>
              <w:spacing w:line="264" w:lineRule="exact"/>
              <w:ind w:left="165"/>
              <w:jc w:val="both"/>
              <w:rPr>
                <w:color w:val="000000" w:themeColor="text1"/>
                <w:sz w:val="24"/>
                <w:szCs w:val="24"/>
              </w:rPr>
            </w:pPr>
            <w:r w:rsidRPr="00C56257">
              <w:rPr>
                <w:color w:val="000000" w:themeColor="text1"/>
                <w:sz w:val="24"/>
                <w:szCs w:val="24"/>
              </w:rPr>
              <w:t>tufărişuri</w:t>
            </w:r>
            <w:r w:rsidRPr="00C56257">
              <w:rPr>
                <w:color w:val="000000" w:themeColor="text1"/>
                <w:spacing w:val="-2"/>
                <w:sz w:val="24"/>
                <w:szCs w:val="24"/>
              </w:rPr>
              <w:t xml:space="preserve"> </w:t>
            </w:r>
            <w:r w:rsidRPr="00C56257">
              <w:rPr>
                <w:color w:val="000000" w:themeColor="text1"/>
                <w:sz w:val="24"/>
                <w:szCs w:val="24"/>
              </w:rPr>
              <w:t>pe</w:t>
            </w:r>
            <w:r w:rsidRPr="00C56257">
              <w:rPr>
                <w:color w:val="000000" w:themeColor="text1"/>
                <w:spacing w:val="-4"/>
                <w:sz w:val="24"/>
                <w:szCs w:val="24"/>
              </w:rPr>
              <w:t xml:space="preserve"> </w:t>
            </w:r>
            <w:r w:rsidRPr="00C56257">
              <w:rPr>
                <w:color w:val="000000" w:themeColor="text1"/>
                <w:sz w:val="24"/>
                <w:szCs w:val="24"/>
              </w:rPr>
              <w:t>substrate</w:t>
            </w:r>
            <w:r w:rsidRPr="00C56257">
              <w:rPr>
                <w:color w:val="000000" w:themeColor="text1"/>
                <w:spacing w:val="-1"/>
                <w:sz w:val="24"/>
                <w:szCs w:val="24"/>
              </w:rPr>
              <w:t xml:space="preserve"> </w:t>
            </w:r>
            <w:r w:rsidRPr="00C56257">
              <w:rPr>
                <w:color w:val="000000" w:themeColor="text1"/>
                <w:sz w:val="24"/>
                <w:szCs w:val="24"/>
              </w:rPr>
              <w:t>calcaroase</w:t>
            </w:r>
            <w:r w:rsidRPr="00C56257">
              <w:rPr>
                <w:color w:val="000000" w:themeColor="text1"/>
                <w:spacing w:val="-3"/>
                <w:sz w:val="24"/>
                <w:szCs w:val="24"/>
              </w:rPr>
              <w:t xml:space="preserve"> </w:t>
            </w:r>
            <w:r w:rsidRPr="00C56257">
              <w:rPr>
                <w:color w:val="000000" w:themeColor="text1"/>
                <w:sz w:val="24"/>
                <w:szCs w:val="24"/>
              </w:rPr>
              <w:t>(</w:t>
            </w:r>
            <w:r w:rsidRPr="00C56257">
              <w:rPr>
                <w:i/>
                <w:color w:val="000000" w:themeColor="text1"/>
                <w:sz w:val="24"/>
                <w:szCs w:val="24"/>
              </w:rPr>
              <w:t>Festuco-Brometalia</w:t>
            </w:r>
            <w:r w:rsidRPr="00C56257">
              <w:rPr>
                <w:color w:val="000000" w:themeColor="text1"/>
                <w:sz w:val="24"/>
                <w:szCs w:val="24"/>
              </w:rPr>
              <w:t>)</w:t>
            </w:r>
          </w:p>
        </w:tc>
        <w:tc>
          <w:tcPr>
            <w:tcW w:w="708" w:type="dxa"/>
          </w:tcPr>
          <w:p w14:paraId="4024D1CB" w14:textId="77777777" w:rsidR="006735BF" w:rsidRPr="00C56257" w:rsidRDefault="006735BF" w:rsidP="008E33FD">
            <w:pPr>
              <w:pStyle w:val="TableParagraph"/>
              <w:jc w:val="both"/>
              <w:rPr>
                <w:color w:val="000000" w:themeColor="text1"/>
                <w:sz w:val="24"/>
                <w:szCs w:val="24"/>
              </w:rPr>
            </w:pPr>
          </w:p>
        </w:tc>
        <w:tc>
          <w:tcPr>
            <w:tcW w:w="709" w:type="dxa"/>
            <w:shd w:val="clear" w:color="auto" w:fill="D9D9D9"/>
          </w:tcPr>
          <w:p w14:paraId="5F913774" w14:textId="77777777" w:rsidR="006735BF" w:rsidRPr="00C56257" w:rsidRDefault="006735BF" w:rsidP="008E33FD">
            <w:pPr>
              <w:pStyle w:val="TableParagraph"/>
              <w:spacing w:before="135"/>
              <w:ind w:left="14"/>
              <w:jc w:val="both"/>
              <w:rPr>
                <w:b/>
                <w:color w:val="000000" w:themeColor="text1"/>
                <w:sz w:val="24"/>
                <w:szCs w:val="24"/>
              </w:rPr>
            </w:pPr>
            <w:r w:rsidRPr="00C56257">
              <w:rPr>
                <w:b/>
                <w:color w:val="000000" w:themeColor="text1"/>
                <w:sz w:val="24"/>
                <w:szCs w:val="24"/>
              </w:rPr>
              <w:t>√</w:t>
            </w:r>
          </w:p>
        </w:tc>
        <w:tc>
          <w:tcPr>
            <w:tcW w:w="711" w:type="dxa"/>
            <w:shd w:val="clear" w:color="auto" w:fill="D9D9D9"/>
          </w:tcPr>
          <w:p w14:paraId="61094DC2" w14:textId="77777777" w:rsidR="006735BF" w:rsidRPr="00C56257" w:rsidRDefault="006735BF" w:rsidP="008E33FD">
            <w:pPr>
              <w:pStyle w:val="TableParagraph"/>
              <w:spacing w:before="135"/>
              <w:ind w:left="10"/>
              <w:jc w:val="both"/>
              <w:rPr>
                <w:b/>
                <w:color w:val="000000" w:themeColor="text1"/>
                <w:sz w:val="24"/>
                <w:szCs w:val="24"/>
              </w:rPr>
            </w:pPr>
            <w:r w:rsidRPr="00C56257">
              <w:rPr>
                <w:b/>
                <w:color w:val="000000" w:themeColor="text1"/>
                <w:sz w:val="24"/>
                <w:szCs w:val="24"/>
              </w:rPr>
              <w:t>√</w:t>
            </w:r>
          </w:p>
        </w:tc>
        <w:tc>
          <w:tcPr>
            <w:tcW w:w="766" w:type="dxa"/>
          </w:tcPr>
          <w:p w14:paraId="3CF8E58A" w14:textId="77777777" w:rsidR="006735BF" w:rsidRPr="00C56257" w:rsidRDefault="006735BF" w:rsidP="008E33FD">
            <w:pPr>
              <w:pStyle w:val="TableParagraph"/>
              <w:jc w:val="both"/>
              <w:rPr>
                <w:color w:val="000000" w:themeColor="text1"/>
                <w:sz w:val="24"/>
                <w:szCs w:val="24"/>
              </w:rPr>
            </w:pPr>
          </w:p>
        </w:tc>
        <w:tc>
          <w:tcPr>
            <w:tcW w:w="745" w:type="dxa"/>
          </w:tcPr>
          <w:p w14:paraId="338AC5B6" w14:textId="77777777" w:rsidR="006735BF" w:rsidRPr="00C56257" w:rsidRDefault="006735BF" w:rsidP="008E33FD">
            <w:pPr>
              <w:pStyle w:val="TableParagraph"/>
              <w:jc w:val="both"/>
              <w:rPr>
                <w:color w:val="000000" w:themeColor="text1"/>
                <w:sz w:val="24"/>
                <w:szCs w:val="24"/>
              </w:rPr>
            </w:pPr>
          </w:p>
        </w:tc>
      </w:tr>
      <w:tr w:rsidR="006735BF" w:rsidRPr="00C56257" w14:paraId="202C073C" w14:textId="77777777" w:rsidTr="00511A4E">
        <w:trPr>
          <w:trHeight w:val="551"/>
        </w:trPr>
        <w:tc>
          <w:tcPr>
            <w:tcW w:w="5907" w:type="dxa"/>
          </w:tcPr>
          <w:p w14:paraId="51D8EECA" w14:textId="77777777" w:rsidR="006735BF" w:rsidRPr="00C56257" w:rsidRDefault="006735BF" w:rsidP="008E33FD">
            <w:pPr>
              <w:pStyle w:val="TableParagraph"/>
              <w:spacing w:line="268" w:lineRule="exact"/>
              <w:ind w:left="165"/>
              <w:jc w:val="both"/>
              <w:rPr>
                <w:color w:val="000000" w:themeColor="text1"/>
                <w:sz w:val="24"/>
                <w:szCs w:val="24"/>
              </w:rPr>
            </w:pPr>
            <w:r w:rsidRPr="00C56257">
              <w:rPr>
                <w:color w:val="000000" w:themeColor="text1"/>
                <w:sz w:val="24"/>
                <w:szCs w:val="24"/>
              </w:rPr>
              <w:t>6230</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Pajişti</w:t>
            </w:r>
            <w:r w:rsidRPr="00C56257">
              <w:rPr>
                <w:color w:val="000000" w:themeColor="text1"/>
                <w:spacing w:val="-1"/>
                <w:sz w:val="24"/>
                <w:szCs w:val="24"/>
              </w:rPr>
              <w:t xml:space="preserve"> </w:t>
            </w:r>
            <w:r w:rsidRPr="00C56257">
              <w:rPr>
                <w:color w:val="000000" w:themeColor="text1"/>
                <w:sz w:val="24"/>
                <w:szCs w:val="24"/>
              </w:rPr>
              <w:t>montane</w:t>
            </w:r>
            <w:r w:rsidRPr="00C56257">
              <w:rPr>
                <w:color w:val="000000" w:themeColor="text1"/>
                <w:spacing w:val="-2"/>
                <w:sz w:val="24"/>
                <w:szCs w:val="24"/>
              </w:rPr>
              <w:t xml:space="preserve"> </w:t>
            </w:r>
            <w:r w:rsidRPr="00C56257">
              <w:rPr>
                <w:color w:val="000000" w:themeColor="text1"/>
                <w:sz w:val="24"/>
                <w:szCs w:val="24"/>
              </w:rPr>
              <w:t xml:space="preserve">de </w:t>
            </w:r>
            <w:r w:rsidRPr="00C56257">
              <w:rPr>
                <w:i/>
                <w:color w:val="000000" w:themeColor="text1"/>
                <w:sz w:val="24"/>
                <w:szCs w:val="24"/>
              </w:rPr>
              <w:t>Nardus</w:t>
            </w:r>
            <w:r w:rsidRPr="00C56257">
              <w:rPr>
                <w:i/>
                <w:color w:val="000000" w:themeColor="text1"/>
                <w:spacing w:val="-1"/>
                <w:sz w:val="24"/>
                <w:szCs w:val="24"/>
              </w:rPr>
              <w:t xml:space="preserve"> </w:t>
            </w:r>
            <w:r w:rsidRPr="00C56257">
              <w:rPr>
                <w:color w:val="000000" w:themeColor="text1"/>
                <w:sz w:val="24"/>
                <w:szCs w:val="24"/>
              </w:rPr>
              <w:t>bogate</w:t>
            </w:r>
            <w:r w:rsidRPr="00C56257">
              <w:rPr>
                <w:color w:val="000000" w:themeColor="text1"/>
                <w:spacing w:val="-1"/>
                <w:sz w:val="24"/>
                <w:szCs w:val="24"/>
              </w:rPr>
              <w:t xml:space="preserve"> </w:t>
            </w:r>
            <w:r w:rsidRPr="00C56257">
              <w:rPr>
                <w:color w:val="000000" w:themeColor="text1"/>
                <w:sz w:val="24"/>
                <w:szCs w:val="24"/>
              </w:rPr>
              <w:t>în</w:t>
            </w:r>
            <w:r w:rsidRPr="00C56257">
              <w:rPr>
                <w:color w:val="000000" w:themeColor="text1"/>
                <w:spacing w:val="-1"/>
                <w:sz w:val="24"/>
                <w:szCs w:val="24"/>
              </w:rPr>
              <w:t xml:space="preserve"> </w:t>
            </w:r>
            <w:r w:rsidRPr="00C56257">
              <w:rPr>
                <w:color w:val="000000" w:themeColor="text1"/>
                <w:sz w:val="24"/>
                <w:szCs w:val="24"/>
              </w:rPr>
              <w:t>specii,</w:t>
            </w:r>
            <w:r w:rsidRPr="00C56257">
              <w:rPr>
                <w:color w:val="000000" w:themeColor="text1"/>
                <w:spacing w:val="-1"/>
                <w:sz w:val="24"/>
                <w:szCs w:val="24"/>
              </w:rPr>
              <w:t xml:space="preserve"> </w:t>
            </w:r>
            <w:r w:rsidRPr="00C56257">
              <w:rPr>
                <w:color w:val="000000" w:themeColor="text1"/>
                <w:sz w:val="24"/>
                <w:szCs w:val="24"/>
              </w:rPr>
              <w:t>pe</w:t>
            </w:r>
          </w:p>
          <w:p w14:paraId="0A4DA303" w14:textId="77777777" w:rsidR="006735BF" w:rsidRPr="00C56257" w:rsidRDefault="006735BF" w:rsidP="008E33FD">
            <w:pPr>
              <w:pStyle w:val="TableParagraph"/>
              <w:spacing w:line="264" w:lineRule="exact"/>
              <w:ind w:left="165"/>
              <w:jc w:val="both"/>
              <w:rPr>
                <w:color w:val="000000" w:themeColor="text1"/>
                <w:sz w:val="24"/>
                <w:szCs w:val="24"/>
              </w:rPr>
            </w:pPr>
            <w:r w:rsidRPr="00C56257">
              <w:rPr>
                <w:color w:val="000000" w:themeColor="text1"/>
                <w:sz w:val="24"/>
                <w:szCs w:val="24"/>
              </w:rPr>
              <w:t>substrate</w:t>
            </w:r>
            <w:r w:rsidRPr="00C56257">
              <w:rPr>
                <w:color w:val="000000" w:themeColor="text1"/>
                <w:spacing w:val="-2"/>
                <w:sz w:val="24"/>
                <w:szCs w:val="24"/>
              </w:rPr>
              <w:t xml:space="preserve"> </w:t>
            </w:r>
            <w:r w:rsidRPr="00C56257">
              <w:rPr>
                <w:color w:val="000000" w:themeColor="text1"/>
                <w:sz w:val="24"/>
                <w:szCs w:val="24"/>
              </w:rPr>
              <w:t>silicioase</w:t>
            </w:r>
          </w:p>
        </w:tc>
        <w:tc>
          <w:tcPr>
            <w:tcW w:w="708" w:type="dxa"/>
          </w:tcPr>
          <w:p w14:paraId="5F736595" w14:textId="77777777" w:rsidR="006735BF" w:rsidRPr="00C56257" w:rsidRDefault="006735BF" w:rsidP="008E33FD">
            <w:pPr>
              <w:pStyle w:val="TableParagraph"/>
              <w:jc w:val="both"/>
              <w:rPr>
                <w:color w:val="000000" w:themeColor="text1"/>
                <w:sz w:val="24"/>
                <w:szCs w:val="24"/>
              </w:rPr>
            </w:pPr>
          </w:p>
        </w:tc>
        <w:tc>
          <w:tcPr>
            <w:tcW w:w="709" w:type="dxa"/>
          </w:tcPr>
          <w:p w14:paraId="690CE782" w14:textId="77777777" w:rsidR="006735BF" w:rsidRPr="00C56257" w:rsidRDefault="006735BF" w:rsidP="008E33FD">
            <w:pPr>
              <w:pStyle w:val="TableParagraph"/>
              <w:jc w:val="both"/>
              <w:rPr>
                <w:color w:val="000000" w:themeColor="text1"/>
                <w:sz w:val="24"/>
                <w:szCs w:val="24"/>
              </w:rPr>
            </w:pPr>
          </w:p>
        </w:tc>
        <w:tc>
          <w:tcPr>
            <w:tcW w:w="711" w:type="dxa"/>
            <w:shd w:val="clear" w:color="auto" w:fill="D9D9D9"/>
          </w:tcPr>
          <w:p w14:paraId="2F1A5306" w14:textId="77777777" w:rsidR="006735BF" w:rsidRPr="00C56257" w:rsidRDefault="006735BF" w:rsidP="008E33FD">
            <w:pPr>
              <w:pStyle w:val="TableParagraph"/>
              <w:spacing w:before="135"/>
              <w:ind w:left="10"/>
              <w:jc w:val="both"/>
              <w:rPr>
                <w:b/>
                <w:color w:val="000000" w:themeColor="text1"/>
                <w:sz w:val="24"/>
                <w:szCs w:val="24"/>
              </w:rPr>
            </w:pPr>
            <w:r w:rsidRPr="00C56257">
              <w:rPr>
                <w:b/>
                <w:color w:val="000000" w:themeColor="text1"/>
                <w:sz w:val="24"/>
                <w:szCs w:val="24"/>
              </w:rPr>
              <w:t>√</w:t>
            </w:r>
          </w:p>
        </w:tc>
        <w:tc>
          <w:tcPr>
            <w:tcW w:w="766" w:type="dxa"/>
          </w:tcPr>
          <w:p w14:paraId="1FEFDD21" w14:textId="77777777" w:rsidR="006735BF" w:rsidRPr="00C56257" w:rsidRDefault="006735BF" w:rsidP="008E33FD">
            <w:pPr>
              <w:pStyle w:val="TableParagraph"/>
              <w:jc w:val="both"/>
              <w:rPr>
                <w:color w:val="000000" w:themeColor="text1"/>
                <w:sz w:val="24"/>
                <w:szCs w:val="24"/>
              </w:rPr>
            </w:pPr>
          </w:p>
        </w:tc>
        <w:tc>
          <w:tcPr>
            <w:tcW w:w="745" w:type="dxa"/>
          </w:tcPr>
          <w:p w14:paraId="50030D8F" w14:textId="77777777" w:rsidR="006735BF" w:rsidRPr="00C56257" w:rsidRDefault="006735BF" w:rsidP="008E33FD">
            <w:pPr>
              <w:pStyle w:val="TableParagraph"/>
              <w:jc w:val="both"/>
              <w:rPr>
                <w:color w:val="000000" w:themeColor="text1"/>
                <w:sz w:val="24"/>
                <w:szCs w:val="24"/>
              </w:rPr>
            </w:pPr>
          </w:p>
        </w:tc>
      </w:tr>
      <w:tr w:rsidR="006735BF" w:rsidRPr="00C56257" w14:paraId="080EAB5E" w14:textId="77777777" w:rsidTr="00511A4E">
        <w:trPr>
          <w:trHeight w:val="515"/>
        </w:trPr>
        <w:tc>
          <w:tcPr>
            <w:tcW w:w="5907" w:type="dxa"/>
          </w:tcPr>
          <w:p w14:paraId="541E4BEF" w14:textId="77777777" w:rsidR="006735BF" w:rsidRPr="00C56257" w:rsidRDefault="006735BF" w:rsidP="008E33FD">
            <w:pPr>
              <w:pStyle w:val="TableParagraph"/>
              <w:spacing w:before="114"/>
              <w:ind w:left="165"/>
              <w:jc w:val="both"/>
              <w:rPr>
                <w:color w:val="000000" w:themeColor="text1"/>
                <w:sz w:val="24"/>
                <w:szCs w:val="24"/>
              </w:rPr>
            </w:pPr>
            <w:r w:rsidRPr="00C56257">
              <w:rPr>
                <w:color w:val="000000" w:themeColor="text1"/>
                <w:sz w:val="24"/>
                <w:szCs w:val="24"/>
              </w:rPr>
              <w:t>62C0*</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1"/>
                <w:sz w:val="24"/>
                <w:szCs w:val="24"/>
              </w:rPr>
              <w:t xml:space="preserve"> </w:t>
            </w:r>
            <w:r w:rsidRPr="00C56257">
              <w:rPr>
                <w:color w:val="000000" w:themeColor="text1"/>
                <w:sz w:val="24"/>
                <w:szCs w:val="24"/>
              </w:rPr>
              <w:t>Stepe</w:t>
            </w:r>
            <w:r w:rsidRPr="00C56257">
              <w:rPr>
                <w:color w:val="000000" w:themeColor="text1"/>
                <w:spacing w:val="-2"/>
                <w:sz w:val="24"/>
                <w:szCs w:val="24"/>
              </w:rPr>
              <w:t xml:space="preserve"> </w:t>
            </w:r>
            <w:r w:rsidRPr="00C56257">
              <w:rPr>
                <w:color w:val="000000" w:themeColor="text1"/>
                <w:sz w:val="24"/>
                <w:szCs w:val="24"/>
              </w:rPr>
              <w:t>ponto -</w:t>
            </w:r>
            <w:r w:rsidRPr="00C56257">
              <w:rPr>
                <w:color w:val="000000" w:themeColor="text1"/>
                <w:spacing w:val="-1"/>
                <w:sz w:val="24"/>
                <w:szCs w:val="24"/>
              </w:rPr>
              <w:t xml:space="preserve"> </w:t>
            </w:r>
            <w:r w:rsidRPr="00C56257">
              <w:rPr>
                <w:color w:val="000000" w:themeColor="text1"/>
                <w:sz w:val="24"/>
                <w:szCs w:val="24"/>
              </w:rPr>
              <w:t>sarmatice</w:t>
            </w:r>
          </w:p>
        </w:tc>
        <w:tc>
          <w:tcPr>
            <w:tcW w:w="708" w:type="dxa"/>
          </w:tcPr>
          <w:p w14:paraId="2953E013" w14:textId="77777777" w:rsidR="006735BF" w:rsidRPr="00C56257" w:rsidRDefault="006735BF" w:rsidP="008E33FD">
            <w:pPr>
              <w:pStyle w:val="TableParagraph"/>
              <w:jc w:val="both"/>
              <w:rPr>
                <w:color w:val="000000" w:themeColor="text1"/>
                <w:sz w:val="24"/>
                <w:szCs w:val="24"/>
              </w:rPr>
            </w:pPr>
          </w:p>
        </w:tc>
        <w:tc>
          <w:tcPr>
            <w:tcW w:w="709" w:type="dxa"/>
            <w:shd w:val="clear" w:color="auto" w:fill="D9D9D9"/>
          </w:tcPr>
          <w:p w14:paraId="11C800FD" w14:textId="77777777" w:rsidR="006735BF" w:rsidRPr="00C56257" w:rsidRDefault="006735BF" w:rsidP="008E33FD">
            <w:pPr>
              <w:pStyle w:val="TableParagraph"/>
              <w:spacing w:before="119"/>
              <w:ind w:left="14"/>
              <w:jc w:val="both"/>
              <w:rPr>
                <w:b/>
                <w:color w:val="000000" w:themeColor="text1"/>
                <w:sz w:val="24"/>
                <w:szCs w:val="24"/>
              </w:rPr>
            </w:pPr>
            <w:r w:rsidRPr="00C56257">
              <w:rPr>
                <w:b/>
                <w:color w:val="000000" w:themeColor="text1"/>
                <w:sz w:val="24"/>
                <w:szCs w:val="24"/>
              </w:rPr>
              <w:t>√</w:t>
            </w:r>
          </w:p>
        </w:tc>
        <w:tc>
          <w:tcPr>
            <w:tcW w:w="711" w:type="dxa"/>
          </w:tcPr>
          <w:p w14:paraId="40DA9359" w14:textId="77777777" w:rsidR="006735BF" w:rsidRPr="00C56257" w:rsidRDefault="006735BF" w:rsidP="008E33FD">
            <w:pPr>
              <w:pStyle w:val="TableParagraph"/>
              <w:jc w:val="both"/>
              <w:rPr>
                <w:color w:val="000000" w:themeColor="text1"/>
                <w:sz w:val="24"/>
                <w:szCs w:val="24"/>
              </w:rPr>
            </w:pPr>
          </w:p>
        </w:tc>
        <w:tc>
          <w:tcPr>
            <w:tcW w:w="766" w:type="dxa"/>
            <w:shd w:val="clear" w:color="auto" w:fill="D9D9D9"/>
          </w:tcPr>
          <w:p w14:paraId="1C5381F8" w14:textId="77777777" w:rsidR="006735BF" w:rsidRPr="00C56257" w:rsidRDefault="006735BF" w:rsidP="008E33FD">
            <w:pPr>
              <w:pStyle w:val="TableParagraph"/>
              <w:spacing w:before="119"/>
              <w:ind w:left="12"/>
              <w:jc w:val="both"/>
              <w:rPr>
                <w:b/>
                <w:color w:val="000000" w:themeColor="text1"/>
                <w:sz w:val="24"/>
                <w:szCs w:val="24"/>
              </w:rPr>
            </w:pPr>
            <w:r w:rsidRPr="00C56257">
              <w:rPr>
                <w:b/>
                <w:color w:val="000000" w:themeColor="text1"/>
                <w:sz w:val="24"/>
                <w:szCs w:val="24"/>
              </w:rPr>
              <w:t>√</w:t>
            </w:r>
          </w:p>
        </w:tc>
        <w:tc>
          <w:tcPr>
            <w:tcW w:w="745" w:type="dxa"/>
          </w:tcPr>
          <w:p w14:paraId="4AADC941" w14:textId="77777777" w:rsidR="006735BF" w:rsidRPr="00C56257" w:rsidRDefault="006735BF" w:rsidP="008E33FD">
            <w:pPr>
              <w:pStyle w:val="TableParagraph"/>
              <w:jc w:val="both"/>
              <w:rPr>
                <w:color w:val="000000" w:themeColor="text1"/>
                <w:sz w:val="24"/>
                <w:szCs w:val="24"/>
              </w:rPr>
            </w:pPr>
          </w:p>
        </w:tc>
      </w:tr>
      <w:tr w:rsidR="006735BF" w:rsidRPr="00C56257" w14:paraId="2C9A3A9F" w14:textId="77777777" w:rsidTr="00511A4E">
        <w:trPr>
          <w:trHeight w:val="517"/>
        </w:trPr>
        <w:tc>
          <w:tcPr>
            <w:tcW w:w="5907" w:type="dxa"/>
          </w:tcPr>
          <w:p w14:paraId="35D0E614" w14:textId="77777777" w:rsidR="006735BF" w:rsidRPr="00C56257" w:rsidRDefault="006735BF" w:rsidP="008E33FD">
            <w:pPr>
              <w:pStyle w:val="TableParagraph"/>
              <w:spacing w:before="114"/>
              <w:ind w:left="165"/>
              <w:jc w:val="both"/>
              <w:rPr>
                <w:color w:val="000000" w:themeColor="text1"/>
                <w:sz w:val="24"/>
                <w:szCs w:val="24"/>
              </w:rPr>
            </w:pPr>
            <w:r w:rsidRPr="00C56257">
              <w:rPr>
                <w:color w:val="000000" w:themeColor="text1"/>
                <w:sz w:val="24"/>
                <w:szCs w:val="24"/>
              </w:rPr>
              <w:t>6240*</w:t>
            </w:r>
            <w:r w:rsidRPr="00C56257">
              <w:rPr>
                <w:color w:val="000000" w:themeColor="text1"/>
                <w:spacing w:val="-3"/>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Pajişti</w:t>
            </w:r>
            <w:r w:rsidRPr="00C56257">
              <w:rPr>
                <w:color w:val="000000" w:themeColor="text1"/>
                <w:spacing w:val="-2"/>
                <w:sz w:val="24"/>
                <w:szCs w:val="24"/>
              </w:rPr>
              <w:t xml:space="preserve"> </w:t>
            </w:r>
            <w:r w:rsidRPr="00C56257">
              <w:rPr>
                <w:color w:val="000000" w:themeColor="text1"/>
                <w:sz w:val="24"/>
                <w:szCs w:val="24"/>
              </w:rPr>
              <w:t>stepice</w:t>
            </w:r>
            <w:r w:rsidRPr="00C56257">
              <w:rPr>
                <w:color w:val="000000" w:themeColor="text1"/>
                <w:spacing w:val="-3"/>
                <w:sz w:val="24"/>
                <w:szCs w:val="24"/>
              </w:rPr>
              <w:t xml:space="preserve"> </w:t>
            </w:r>
            <w:r w:rsidRPr="00C56257">
              <w:rPr>
                <w:color w:val="000000" w:themeColor="text1"/>
                <w:sz w:val="24"/>
                <w:szCs w:val="24"/>
              </w:rPr>
              <w:t>subpanonice</w:t>
            </w:r>
          </w:p>
        </w:tc>
        <w:tc>
          <w:tcPr>
            <w:tcW w:w="708" w:type="dxa"/>
          </w:tcPr>
          <w:p w14:paraId="2A175832" w14:textId="77777777" w:rsidR="006735BF" w:rsidRPr="00C56257" w:rsidRDefault="006735BF" w:rsidP="008E33FD">
            <w:pPr>
              <w:pStyle w:val="TableParagraph"/>
              <w:jc w:val="both"/>
              <w:rPr>
                <w:color w:val="000000" w:themeColor="text1"/>
                <w:sz w:val="24"/>
                <w:szCs w:val="24"/>
              </w:rPr>
            </w:pPr>
          </w:p>
        </w:tc>
        <w:tc>
          <w:tcPr>
            <w:tcW w:w="709" w:type="dxa"/>
            <w:shd w:val="clear" w:color="auto" w:fill="D9D9D9"/>
          </w:tcPr>
          <w:p w14:paraId="5C9F4237" w14:textId="77777777" w:rsidR="006735BF" w:rsidRPr="00C56257" w:rsidRDefault="006735BF" w:rsidP="008E33FD">
            <w:pPr>
              <w:pStyle w:val="TableParagraph"/>
              <w:spacing w:before="119"/>
              <w:ind w:left="14"/>
              <w:jc w:val="both"/>
              <w:rPr>
                <w:b/>
                <w:color w:val="000000" w:themeColor="text1"/>
                <w:sz w:val="24"/>
                <w:szCs w:val="24"/>
              </w:rPr>
            </w:pPr>
            <w:r w:rsidRPr="00C56257">
              <w:rPr>
                <w:b/>
                <w:color w:val="000000" w:themeColor="text1"/>
                <w:sz w:val="24"/>
                <w:szCs w:val="24"/>
              </w:rPr>
              <w:t>√</w:t>
            </w:r>
          </w:p>
        </w:tc>
        <w:tc>
          <w:tcPr>
            <w:tcW w:w="711" w:type="dxa"/>
          </w:tcPr>
          <w:p w14:paraId="64BC1FD4" w14:textId="77777777" w:rsidR="006735BF" w:rsidRPr="00C56257" w:rsidRDefault="006735BF" w:rsidP="008E33FD">
            <w:pPr>
              <w:pStyle w:val="TableParagraph"/>
              <w:jc w:val="both"/>
              <w:rPr>
                <w:color w:val="000000" w:themeColor="text1"/>
                <w:sz w:val="24"/>
                <w:szCs w:val="24"/>
              </w:rPr>
            </w:pPr>
          </w:p>
        </w:tc>
        <w:tc>
          <w:tcPr>
            <w:tcW w:w="766" w:type="dxa"/>
          </w:tcPr>
          <w:p w14:paraId="201DFEC7" w14:textId="77777777" w:rsidR="006735BF" w:rsidRPr="00C56257" w:rsidRDefault="006735BF" w:rsidP="008E33FD">
            <w:pPr>
              <w:pStyle w:val="TableParagraph"/>
              <w:jc w:val="both"/>
              <w:rPr>
                <w:color w:val="000000" w:themeColor="text1"/>
                <w:sz w:val="24"/>
                <w:szCs w:val="24"/>
              </w:rPr>
            </w:pPr>
          </w:p>
        </w:tc>
        <w:tc>
          <w:tcPr>
            <w:tcW w:w="745" w:type="dxa"/>
          </w:tcPr>
          <w:p w14:paraId="39C3EE50" w14:textId="77777777" w:rsidR="006735BF" w:rsidRPr="00C56257" w:rsidRDefault="006735BF" w:rsidP="008E33FD">
            <w:pPr>
              <w:pStyle w:val="TableParagraph"/>
              <w:jc w:val="both"/>
              <w:rPr>
                <w:color w:val="000000" w:themeColor="text1"/>
                <w:sz w:val="24"/>
                <w:szCs w:val="24"/>
              </w:rPr>
            </w:pPr>
          </w:p>
        </w:tc>
      </w:tr>
      <w:tr w:rsidR="006735BF" w:rsidRPr="00C56257" w14:paraId="28BC0308" w14:textId="77777777" w:rsidTr="00511A4E">
        <w:trPr>
          <w:trHeight w:val="552"/>
        </w:trPr>
        <w:tc>
          <w:tcPr>
            <w:tcW w:w="5907" w:type="dxa"/>
          </w:tcPr>
          <w:p w14:paraId="33C7AB25" w14:textId="77777777" w:rsidR="006735BF" w:rsidRPr="00C56257" w:rsidRDefault="006735BF" w:rsidP="008E33FD">
            <w:pPr>
              <w:pStyle w:val="TableParagraph"/>
              <w:spacing w:line="268" w:lineRule="exact"/>
              <w:ind w:left="165"/>
              <w:jc w:val="both"/>
              <w:rPr>
                <w:color w:val="000000" w:themeColor="text1"/>
                <w:sz w:val="24"/>
                <w:szCs w:val="24"/>
              </w:rPr>
            </w:pPr>
            <w:r w:rsidRPr="00C56257">
              <w:rPr>
                <w:color w:val="000000" w:themeColor="text1"/>
                <w:sz w:val="24"/>
                <w:szCs w:val="24"/>
              </w:rPr>
              <w:t>6410</w:t>
            </w:r>
            <w:r w:rsidRPr="00C56257">
              <w:rPr>
                <w:color w:val="000000" w:themeColor="text1"/>
                <w:spacing w:val="-2"/>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Pajişti</w:t>
            </w:r>
            <w:r w:rsidRPr="00C56257">
              <w:rPr>
                <w:color w:val="000000" w:themeColor="text1"/>
                <w:spacing w:val="-2"/>
                <w:sz w:val="24"/>
                <w:szCs w:val="24"/>
              </w:rPr>
              <w:t xml:space="preserve"> </w:t>
            </w:r>
            <w:r w:rsidRPr="00C56257">
              <w:rPr>
                <w:color w:val="000000" w:themeColor="text1"/>
                <w:sz w:val="24"/>
                <w:szCs w:val="24"/>
              </w:rPr>
              <w:t>cu</w:t>
            </w:r>
            <w:r w:rsidRPr="00C56257">
              <w:rPr>
                <w:color w:val="000000" w:themeColor="text1"/>
                <w:spacing w:val="-2"/>
                <w:sz w:val="24"/>
                <w:szCs w:val="24"/>
              </w:rPr>
              <w:t xml:space="preserve"> </w:t>
            </w:r>
            <w:r w:rsidRPr="00C56257">
              <w:rPr>
                <w:color w:val="000000" w:themeColor="text1"/>
                <w:sz w:val="24"/>
                <w:szCs w:val="24"/>
              </w:rPr>
              <w:t>Molinia</w:t>
            </w:r>
            <w:r w:rsidRPr="00C56257">
              <w:rPr>
                <w:color w:val="000000" w:themeColor="text1"/>
                <w:spacing w:val="-5"/>
                <w:sz w:val="24"/>
                <w:szCs w:val="24"/>
              </w:rPr>
              <w:t xml:space="preserve"> </w:t>
            </w:r>
            <w:r w:rsidRPr="00C56257">
              <w:rPr>
                <w:color w:val="000000" w:themeColor="text1"/>
                <w:sz w:val="24"/>
                <w:szCs w:val="24"/>
              </w:rPr>
              <w:t>pe</w:t>
            </w:r>
            <w:r w:rsidRPr="00C56257">
              <w:rPr>
                <w:color w:val="000000" w:themeColor="text1"/>
                <w:spacing w:val="-2"/>
                <w:sz w:val="24"/>
                <w:szCs w:val="24"/>
              </w:rPr>
              <w:t xml:space="preserve"> </w:t>
            </w:r>
            <w:r w:rsidRPr="00C56257">
              <w:rPr>
                <w:color w:val="000000" w:themeColor="text1"/>
                <w:sz w:val="24"/>
                <w:szCs w:val="24"/>
              </w:rPr>
              <w:t>soluri</w:t>
            </w:r>
            <w:r w:rsidRPr="00C56257">
              <w:rPr>
                <w:color w:val="000000" w:themeColor="text1"/>
                <w:spacing w:val="-2"/>
                <w:sz w:val="24"/>
                <w:szCs w:val="24"/>
              </w:rPr>
              <w:t xml:space="preserve"> </w:t>
            </w:r>
            <w:r w:rsidRPr="00C56257">
              <w:rPr>
                <w:color w:val="000000" w:themeColor="text1"/>
                <w:sz w:val="24"/>
                <w:szCs w:val="24"/>
              </w:rPr>
              <w:t>calcaroase,</w:t>
            </w:r>
            <w:r w:rsidRPr="00C56257">
              <w:rPr>
                <w:color w:val="000000" w:themeColor="text1"/>
                <w:spacing w:val="-1"/>
                <w:sz w:val="24"/>
                <w:szCs w:val="24"/>
              </w:rPr>
              <w:t xml:space="preserve"> </w:t>
            </w:r>
            <w:r w:rsidRPr="00C56257">
              <w:rPr>
                <w:color w:val="000000" w:themeColor="text1"/>
                <w:sz w:val="24"/>
                <w:szCs w:val="24"/>
              </w:rPr>
              <w:t>turboase</w:t>
            </w:r>
          </w:p>
          <w:p w14:paraId="0DFD8BED" w14:textId="77777777" w:rsidR="006735BF" w:rsidRPr="00C56257" w:rsidRDefault="006735BF" w:rsidP="008E33FD">
            <w:pPr>
              <w:pStyle w:val="TableParagraph"/>
              <w:spacing w:line="264" w:lineRule="exact"/>
              <w:ind w:left="165"/>
              <w:jc w:val="both"/>
              <w:rPr>
                <w:color w:val="000000" w:themeColor="text1"/>
                <w:sz w:val="24"/>
                <w:szCs w:val="24"/>
              </w:rPr>
            </w:pPr>
            <w:r w:rsidRPr="00C56257">
              <w:rPr>
                <w:color w:val="000000" w:themeColor="text1"/>
                <w:sz w:val="24"/>
                <w:szCs w:val="24"/>
              </w:rPr>
              <w:t>sau</w:t>
            </w:r>
            <w:r w:rsidRPr="00C56257">
              <w:rPr>
                <w:color w:val="000000" w:themeColor="text1"/>
                <w:spacing w:val="-2"/>
                <w:sz w:val="24"/>
                <w:szCs w:val="24"/>
              </w:rPr>
              <w:t xml:space="preserve"> </w:t>
            </w:r>
            <w:r w:rsidRPr="00C56257">
              <w:rPr>
                <w:color w:val="000000" w:themeColor="text1"/>
                <w:sz w:val="24"/>
                <w:szCs w:val="24"/>
              </w:rPr>
              <w:t>luto-argiloase</w:t>
            </w:r>
            <w:r w:rsidRPr="00C56257">
              <w:rPr>
                <w:color w:val="000000" w:themeColor="text1"/>
                <w:spacing w:val="-3"/>
                <w:sz w:val="24"/>
                <w:szCs w:val="24"/>
              </w:rPr>
              <w:t xml:space="preserve"> </w:t>
            </w:r>
            <w:r w:rsidRPr="00C56257">
              <w:rPr>
                <w:color w:val="000000" w:themeColor="text1"/>
                <w:sz w:val="24"/>
                <w:szCs w:val="24"/>
              </w:rPr>
              <w:t>(</w:t>
            </w:r>
            <w:r w:rsidRPr="00C56257">
              <w:rPr>
                <w:i/>
                <w:color w:val="000000" w:themeColor="text1"/>
                <w:sz w:val="24"/>
                <w:szCs w:val="24"/>
              </w:rPr>
              <w:t>Molinion</w:t>
            </w:r>
            <w:r w:rsidRPr="00C56257">
              <w:rPr>
                <w:i/>
                <w:color w:val="000000" w:themeColor="text1"/>
                <w:spacing w:val="-2"/>
                <w:sz w:val="24"/>
                <w:szCs w:val="24"/>
              </w:rPr>
              <w:t xml:space="preserve"> </w:t>
            </w:r>
            <w:r w:rsidRPr="00C56257">
              <w:rPr>
                <w:i/>
                <w:color w:val="000000" w:themeColor="text1"/>
                <w:sz w:val="24"/>
                <w:szCs w:val="24"/>
              </w:rPr>
              <w:t>caeruleae</w:t>
            </w:r>
            <w:r w:rsidRPr="00C56257">
              <w:rPr>
                <w:color w:val="000000" w:themeColor="text1"/>
                <w:sz w:val="24"/>
                <w:szCs w:val="24"/>
              </w:rPr>
              <w:t>)</w:t>
            </w:r>
          </w:p>
        </w:tc>
        <w:tc>
          <w:tcPr>
            <w:tcW w:w="708" w:type="dxa"/>
            <w:shd w:val="clear" w:color="auto" w:fill="D9D9D9"/>
          </w:tcPr>
          <w:p w14:paraId="52EDC2A3" w14:textId="77777777" w:rsidR="006735BF" w:rsidRPr="00C56257" w:rsidRDefault="006735BF" w:rsidP="008E33FD">
            <w:pPr>
              <w:pStyle w:val="TableParagraph"/>
              <w:spacing w:before="133"/>
              <w:ind w:left="9"/>
              <w:jc w:val="both"/>
              <w:rPr>
                <w:b/>
                <w:color w:val="000000" w:themeColor="text1"/>
                <w:sz w:val="24"/>
                <w:szCs w:val="24"/>
              </w:rPr>
            </w:pPr>
            <w:r w:rsidRPr="00C56257">
              <w:rPr>
                <w:b/>
                <w:color w:val="000000" w:themeColor="text1"/>
                <w:sz w:val="24"/>
                <w:szCs w:val="24"/>
              </w:rPr>
              <w:t>√</w:t>
            </w:r>
          </w:p>
        </w:tc>
        <w:tc>
          <w:tcPr>
            <w:tcW w:w="709" w:type="dxa"/>
            <w:shd w:val="clear" w:color="auto" w:fill="D9D9D9"/>
          </w:tcPr>
          <w:p w14:paraId="0650C242" w14:textId="77777777" w:rsidR="006735BF" w:rsidRPr="00C56257" w:rsidRDefault="006735BF" w:rsidP="008E33FD">
            <w:pPr>
              <w:pStyle w:val="TableParagraph"/>
              <w:spacing w:before="133"/>
              <w:ind w:left="14"/>
              <w:jc w:val="both"/>
              <w:rPr>
                <w:b/>
                <w:color w:val="000000" w:themeColor="text1"/>
                <w:sz w:val="24"/>
                <w:szCs w:val="24"/>
              </w:rPr>
            </w:pPr>
            <w:r w:rsidRPr="00C56257">
              <w:rPr>
                <w:b/>
                <w:color w:val="000000" w:themeColor="text1"/>
                <w:sz w:val="24"/>
                <w:szCs w:val="24"/>
              </w:rPr>
              <w:t>√</w:t>
            </w:r>
          </w:p>
        </w:tc>
        <w:tc>
          <w:tcPr>
            <w:tcW w:w="711" w:type="dxa"/>
            <w:shd w:val="clear" w:color="auto" w:fill="D9D9D9"/>
          </w:tcPr>
          <w:p w14:paraId="633905B0" w14:textId="77777777" w:rsidR="006735BF" w:rsidRPr="00C56257" w:rsidRDefault="006735BF" w:rsidP="008E33FD">
            <w:pPr>
              <w:pStyle w:val="TableParagraph"/>
              <w:spacing w:before="133"/>
              <w:ind w:left="10"/>
              <w:jc w:val="both"/>
              <w:rPr>
                <w:b/>
                <w:color w:val="000000" w:themeColor="text1"/>
                <w:sz w:val="24"/>
                <w:szCs w:val="24"/>
              </w:rPr>
            </w:pPr>
            <w:r w:rsidRPr="00C56257">
              <w:rPr>
                <w:b/>
                <w:color w:val="000000" w:themeColor="text1"/>
                <w:sz w:val="24"/>
                <w:szCs w:val="24"/>
              </w:rPr>
              <w:t>√</w:t>
            </w:r>
          </w:p>
        </w:tc>
        <w:tc>
          <w:tcPr>
            <w:tcW w:w="766" w:type="dxa"/>
            <w:shd w:val="clear" w:color="auto" w:fill="D9D9D9"/>
          </w:tcPr>
          <w:p w14:paraId="1D9C151E" w14:textId="77777777" w:rsidR="006735BF" w:rsidRPr="00C56257" w:rsidRDefault="006735BF" w:rsidP="008E33FD">
            <w:pPr>
              <w:pStyle w:val="TableParagraph"/>
              <w:spacing w:before="133"/>
              <w:ind w:left="12"/>
              <w:jc w:val="both"/>
              <w:rPr>
                <w:b/>
                <w:color w:val="000000" w:themeColor="text1"/>
                <w:sz w:val="24"/>
                <w:szCs w:val="24"/>
              </w:rPr>
            </w:pPr>
            <w:r w:rsidRPr="00C56257">
              <w:rPr>
                <w:b/>
                <w:color w:val="000000" w:themeColor="text1"/>
                <w:sz w:val="24"/>
                <w:szCs w:val="24"/>
              </w:rPr>
              <w:t>√</w:t>
            </w:r>
          </w:p>
        </w:tc>
        <w:tc>
          <w:tcPr>
            <w:tcW w:w="745" w:type="dxa"/>
            <w:shd w:val="clear" w:color="auto" w:fill="D9D9D9"/>
          </w:tcPr>
          <w:p w14:paraId="07E2F41F" w14:textId="77777777" w:rsidR="006735BF" w:rsidRPr="00C56257" w:rsidRDefault="006735BF" w:rsidP="008E33FD">
            <w:pPr>
              <w:pStyle w:val="TableParagraph"/>
              <w:spacing w:before="133"/>
              <w:ind w:left="9"/>
              <w:jc w:val="both"/>
              <w:rPr>
                <w:b/>
                <w:color w:val="000000" w:themeColor="text1"/>
                <w:sz w:val="24"/>
                <w:szCs w:val="24"/>
              </w:rPr>
            </w:pPr>
            <w:r w:rsidRPr="00C56257">
              <w:rPr>
                <w:b/>
                <w:color w:val="000000" w:themeColor="text1"/>
                <w:sz w:val="24"/>
                <w:szCs w:val="24"/>
              </w:rPr>
              <w:t>√</w:t>
            </w:r>
          </w:p>
        </w:tc>
      </w:tr>
      <w:tr w:rsidR="006735BF" w:rsidRPr="00C56257" w14:paraId="68B4964E" w14:textId="77777777" w:rsidTr="00511A4E">
        <w:trPr>
          <w:trHeight w:val="551"/>
        </w:trPr>
        <w:tc>
          <w:tcPr>
            <w:tcW w:w="5907" w:type="dxa"/>
          </w:tcPr>
          <w:p w14:paraId="4FCD2578" w14:textId="77777777" w:rsidR="006735BF" w:rsidRPr="00C56257" w:rsidRDefault="006735BF" w:rsidP="008E33FD">
            <w:pPr>
              <w:pStyle w:val="TableParagraph"/>
              <w:spacing w:line="268" w:lineRule="exact"/>
              <w:ind w:left="165"/>
              <w:jc w:val="both"/>
              <w:rPr>
                <w:color w:val="000000" w:themeColor="text1"/>
                <w:sz w:val="24"/>
                <w:szCs w:val="24"/>
              </w:rPr>
            </w:pPr>
            <w:r w:rsidRPr="00C56257">
              <w:rPr>
                <w:color w:val="000000" w:themeColor="text1"/>
                <w:sz w:val="24"/>
                <w:szCs w:val="24"/>
              </w:rPr>
              <w:lastRenderedPageBreak/>
              <w:t>6420</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Pajişti</w:t>
            </w:r>
            <w:r w:rsidRPr="00C56257">
              <w:rPr>
                <w:color w:val="000000" w:themeColor="text1"/>
                <w:spacing w:val="-1"/>
                <w:sz w:val="24"/>
                <w:szCs w:val="24"/>
              </w:rPr>
              <w:t xml:space="preserve"> </w:t>
            </w:r>
            <w:r w:rsidRPr="00C56257">
              <w:rPr>
                <w:color w:val="000000" w:themeColor="text1"/>
                <w:sz w:val="24"/>
                <w:szCs w:val="24"/>
              </w:rPr>
              <w:t>mediteraneene</w:t>
            </w:r>
            <w:r w:rsidRPr="00C56257">
              <w:rPr>
                <w:color w:val="000000" w:themeColor="text1"/>
                <w:spacing w:val="-2"/>
                <w:sz w:val="24"/>
                <w:szCs w:val="24"/>
              </w:rPr>
              <w:t xml:space="preserve"> </w:t>
            </w:r>
            <w:r w:rsidRPr="00C56257">
              <w:rPr>
                <w:color w:val="000000" w:themeColor="text1"/>
                <w:sz w:val="24"/>
                <w:szCs w:val="24"/>
              </w:rPr>
              <w:t>umede</w:t>
            </w:r>
            <w:r w:rsidRPr="00C56257">
              <w:rPr>
                <w:color w:val="000000" w:themeColor="text1"/>
                <w:spacing w:val="-1"/>
                <w:sz w:val="24"/>
                <w:szCs w:val="24"/>
              </w:rPr>
              <w:t xml:space="preserve"> </w:t>
            </w:r>
            <w:r w:rsidRPr="00C56257">
              <w:rPr>
                <w:color w:val="000000" w:themeColor="text1"/>
                <w:sz w:val="24"/>
                <w:szCs w:val="24"/>
              </w:rPr>
              <w:t>cu</w:t>
            </w:r>
            <w:r w:rsidRPr="00C56257">
              <w:rPr>
                <w:color w:val="000000" w:themeColor="text1"/>
                <w:spacing w:val="-1"/>
                <w:sz w:val="24"/>
                <w:szCs w:val="24"/>
              </w:rPr>
              <w:t xml:space="preserve"> </w:t>
            </w:r>
            <w:r w:rsidRPr="00C56257">
              <w:rPr>
                <w:color w:val="000000" w:themeColor="text1"/>
                <w:sz w:val="24"/>
                <w:szCs w:val="24"/>
              </w:rPr>
              <w:t>ierburi înalte</w:t>
            </w:r>
            <w:r w:rsidRPr="00C56257">
              <w:rPr>
                <w:color w:val="000000" w:themeColor="text1"/>
                <w:spacing w:val="-2"/>
                <w:sz w:val="24"/>
                <w:szCs w:val="24"/>
              </w:rPr>
              <w:t xml:space="preserve"> </w:t>
            </w:r>
            <w:r w:rsidRPr="00C56257">
              <w:rPr>
                <w:color w:val="000000" w:themeColor="text1"/>
                <w:sz w:val="24"/>
                <w:szCs w:val="24"/>
              </w:rPr>
              <w:t>din</w:t>
            </w:r>
          </w:p>
          <w:p w14:paraId="0C234516" w14:textId="77777777" w:rsidR="006735BF" w:rsidRPr="00C56257" w:rsidRDefault="006735BF" w:rsidP="008E33FD">
            <w:pPr>
              <w:pStyle w:val="TableParagraph"/>
              <w:spacing w:line="264" w:lineRule="exact"/>
              <w:ind w:left="165"/>
              <w:jc w:val="both"/>
              <w:rPr>
                <w:i/>
                <w:color w:val="000000" w:themeColor="text1"/>
                <w:sz w:val="24"/>
                <w:szCs w:val="24"/>
              </w:rPr>
            </w:pPr>
            <w:r w:rsidRPr="00C56257">
              <w:rPr>
                <w:i/>
                <w:color w:val="000000" w:themeColor="text1"/>
                <w:sz w:val="24"/>
                <w:szCs w:val="24"/>
              </w:rPr>
              <w:t>Molinio-Holoschoenion</w:t>
            </w:r>
          </w:p>
        </w:tc>
        <w:tc>
          <w:tcPr>
            <w:tcW w:w="708" w:type="dxa"/>
          </w:tcPr>
          <w:p w14:paraId="401E2453" w14:textId="77777777" w:rsidR="006735BF" w:rsidRPr="00C56257" w:rsidRDefault="006735BF" w:rsidP="008E33FD">
            <w:pPr>
              <w:pStyle w:val="TableParagraph"/>
              <w:jc w:val="both"/>
              <w:rPr>
                <w:color w:val="000000" w:themeColor="text1"/>
                <w:sz w:val="24"/>
                <w:szCs w:val="24"/>
              </w:rPr>
            </w:pPr>
          </w:p>
        </w:tc>
        <w:tc>
          <w:tcPr>
            <w:tcW w:w="709" w:type="dxa"/>
          </w:tcPr>
          <w:p w14:paraId="5F645AFE" w14:textId="77777777" w:rsidR="006735BF" w:rsidRPr="00C56257" w:rsidRDefault="006735BF" w:rsidP="008E33FD">
            <w:pPr>
              <w:pStyle w:val="TableParagraph"/>
              <w:jc w:val="both"/>
              <w:rPr>
                <w:color w:val="000000" w:themeColor="text1"/>
                <w:sz w:val="24"/>
                <w:szCs w:val="24"/>
              </w:rPr>
            </w:pPr>
          </w:p>
        </w:tc>
        <w:tc>
          <w:tcPr>
            <w:tcW w:w="711" w:type="dxa"/>
          </w:tcPr>
          <w:p w14:paraId="2803B01F" w14:textId="77777777" w:rsidR="006735BF" w:rsidRPr="00C56257" w:rsidRDefault="006735BF" w:rsidP="008E33FD">
            <w:pPr>
              <w:pStyle w:val="TableParagraph"/>
              <w:jc w:val="both"/>
              <w:rPr>
                <w:color w:val="000000" w:themeColor="text1"/>
                <w:sz w:val="24"/>
                <w:szCs w:val="24"/>
              </w:rPr>
            </w:pPr>
          </w:p>
        </w:tc>
        <w:tc>
          <w:tcPr>
            <w:tcW w:w="766" w:type="dxa"/>
          </w:tcPr>
          <w:p w14:paraId="308853AE" w14:textId="77777777" w:rsidR="006735BF" w:rsidRPr="00C56257" w:rsidRDefault="006735BF" w:rsidP="008E33FD">
            <w:pPr>
              <w:pStyle w:val="TableParagraph"/>
              <w:jc w:val="both"/>
              <w:rPr>
                <w:color w:val="000000" w:themeColor="text1"/>
                <w:sz w:val="24"/>
                <w:szCs w:val="24"/>
              </w:rPr>
            </w:pPr>
          </w:p>
        </w:tc>
        <w:tc>
          <w:tcPr>
            <w:tcW w:w="745" w:type="dxa"/>
            <w:shd w:val="clear" w:color="auto" w:fill="D9D9D9"/>
          </w:tcPr>
          <w:p w14:paraId="78FEF973" w14:textId="77777777" w:rsidR="006735BF" w:rsidRPr="00C56257" w:rsidRDefault="006735BF" w:rsidP="008E33FD">
            <w:pPr>
              <w:pStyle w:val="TableParagraph"/>
              <w:spacing w:before="133"/>
              <w:ind w:left="9"/>
              <w:jc w:val="both"/>
              <w:rPr>
                <w:b/>
                <w:color w:val="000000" w:themeColor="text1"/>
                <w:sz w:val="24"/>
                <w:szCs w:val="24"/>
              </w:rPr>
            </w:pPr>
            <w:r w:rsidRPr="00C56257">
              <w:rPr>
                <w:b/>
                <w:color w:val="000000" w:themeColor="text1"/>
                <w:sz w:val="24"/>
                <w:szCs w:val="24"/>
              </w:rPr>
              <w:t>√</w:t>
            </w:r>
          </w:p>
        </w:tc>
      </w:tr>
      <w:tr w:rsidR="006735BF" w:rsidRPr="00C56257" w14:paraId="23F17CFE" w14:textId="77777777" w:rsidTr="00511A4E">
        <w:trPr>
          <w:trHeight w:val="551"/>
        </w:trPr>
        <w:tc>
          <w:tcPr>
            <w:tcW w:w="5907" w:type="dxa"/>
          </w:tcPr>
          <w:p w14:paraId="72F70CF8" w14:textId="77777777" w:rsidR="006735BF" w:rsidRPr="00C56257" w:rsidRDefault="006735BF" w:rsidP="008E33FD">
            <w:pPr>
              <w:pStyle w:val="TableParagraph"/>
              <w:spacing w:line="268" w:lineRule="exact"/>
              <w:ind w:left="165"/>
              <w:jc w:val="both"/>
              <w:rPr>
                <w:color w:val="000000" w:themeColor="text1"/>
                <w:sz w:val="24"/>
                <w:szCs w:val="24"/>
              </w:rPr>
            </w:pPr>
            <w:r w:rsidRPr="00C56257">
              <w:rPr>
                <w:color w:val="000000" w:themeColor="text1"/>
                <w:sz w:val="24"/>
                <w:szCs w:val="24"/>
              </w:rPr>
              <w:t>6430</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Comunităţi de</w:t>
            </w:r>
            <w:r w:rsidRPr="00C56257">
              <w:rPr>
                <w:color w:val="000000" w:themeColor="text1"/>
                <w:spacing w:val="-1"/>
                <w:sz w:val="24"/>
                <w:szCs w:val="24"/>
              </w:rPr>
              <w:t xml:space="preserve"> </w:t>
            </w:r>
            <w:r w:rsidRPr="00C56257">
              <w:rPr>
                <w:color w:val="000000" w:themeColor="text1"/>
                <w:sz w:val="24"/>
                <w:szCs w:val="24"/>
              </w:rPr>
              <w:t>lizieră</w:t>
            </w:r>
            <w:r w:rsidRPr="00C56257">
              <w:rPr>
                <w:color w:val="000000" w:themeColor="text1"/>
                <w:spacing w:val="-2"/>
                <w:sz w:val="24"/>
                <w:szCs w:val="24"/>
              </w:rPr>
              <w:t xml:space="preserve"> </w:t>
            </w:r>
            <w:r w:rsidRPr="00C56257">
              <w:rPr>
                <w:color w:val="000000" w:themeColor="text1"/>
                <w:sz w:val="24"/>
                <w:szCs w:val="24"/>
              </w:rPr>
              <w:t>cu</w:t>
            </w:r>
            <w:r w:rsidRPr="00C56257">
              <w:rPr>
                <w:color w:val="000000" w:themeColor="text1"/>
                <w:spacing w:val="-1"/>
                <w:sz w:val="24"/>
                <w:szCs w:val="24"/>
              </w:rPr>
              <w:t xml:space="preserve"> </w:t>
            </w:r>
            <w:r w:rsidRPr="00C56257">
              <w:rPr>
                <w:color w:val="000000" w:themeColor="text1"/>
                <w:sz w:val="24"/>
                <w:szCs w:val="24"/>
              </w:rPr>
              <w:t>ierburi</w:t>
            </w:r>
            <w:r w:rsidRPr="00C56257">
              <w:rPr>
                <w:color w:val="000000" w:themeColor="text1"/>
                <w:spacing w:val="-1"/>
                <w:sz w:val="24"/>
                <w:szCs w:val="24"/>
              </w:rPr>
              <w:t xml:space="preserve"> </w:t>
            </w:r>
            <w:r w:rsidRPr="00C56257">
              <w:rPr>
                <w:color w:val="000000" w:themeColor="text1"/>
                <w:sz w:val="24"/>
                <w:szCs w:val="24"/>
              </w:rPr>
              <w:t>înalte higrofile</w:t>
            </w:r>
            <w:r w:rsidRPr="00C56257">
              <w:rPr>
                <w:color w:val="000000" w:themeColor="text1"/>
                <w:spacing w:val="-1"/>
                <w:sz w:val="24"/>
                <w:szCs w:val="24"/>
              </w:rPr>
              <w:t xml:space="preserve"> </w:t>
            </w:r>
            <w:r w:rsidRPr="00C56257">
              <w:rPr>
                <w:color w:val="000000" w:themeColor="text1"/>
                <w:sz w:val="24"/>
                <w:szCs w:val="24"/>
              </w:rPr>
              <w:t>de</w:t>
            </w:r>
          </w:p>
          <w:p w14:paraId="0AB96FBF" w14:textId="77777777" w:rsidR="006735BF" w:rsidRPr="00C56257" w:rsidRDefault="006735BF" w:rsidP="008E33FD">
            <w:pPr>
              <w:pStyle w:val="TableParagraph"/>
              <w:spacing w:line="264" w:lineRule="exact"/>
              <w:ind w:left="165"/>
              <w:jc w:val="both"/>
              <w:rPr>
                <w:color w:val="000000" w:themeColor="text1"/>
                <w:sz w:val="24"/>
                <w:szCs w:val="24"/>
              </w:rPr>
            </w:pPr>
            <w:r w:rsidRPr="00C56257">
              <w:rPr>
                <w:color w:val="000000" w:themeColor="text1"/>
                <w:sz w:val="24"/>
                <w:szCs w:val="24"/>
              </w:rPr>
              <w:t>la</w:t>
            </w:r>
            <w:r w:rsidRPr="00C56257">
              <w:rPr>
                <w:color w:val="000000" w:themeColor="text1"/>
                <w:spacing w:val="-1"/>
                <w:sz w:val="24"/>
                <w:szCs w:val="24"/>
              </w:rPr>
              <w:t xml:space="preserve"> </w:t>
            </w:r>
            <w:r w:rsidRPr="00C56257">
              <w:rPr>
                <w:color w:val="000000" w:themeColor="text1"/>
                <w:sz w:val="24"/>
                <w:szCs w:val="24"/>
              </w:rPr>
              <w:t>câmpie</w:t>
            </w:r>
            <w:r w:rsidRPr="00C56257">
              <w:rPr>
                <w:color w:val="000000" w:themeColor="text1"/>
                <w:spacing w:val="-2"/>
                <w:sz w:val="24"/>
                <w:szCs w:val="24"/>
              </w:rPr>
              <w:t xml:space="preserve"> </w:t>
            </w:r>
            <w:r w:rsidRPr="00C56257">
              <w:rPr>
                <w:color w:val="000000" w:themeColor="text1"/>
                <w:sz w:val="24"/>
                <w:szCs w:val="24"/>
              </w:rPr>
              <w:t>până</w:t>
            </w:r>
            <w:r w:rsidRPr="00C56257">
              <w:rPr>
                <w:color w:val="000000" w:themeColor="text1"/>
                <w:spacing w:val="-2"/>
                <w:sz w:val="24"/>
                <w:szCs w:val="24"/>
              </w:rPr>
              <w:t xml:space="preserve"> </w:t>
            </w:r>
            <w:r w:rsidRPr="00C56257">
              <w:rPr>
                <w:color w:val="000000" w:themeColor="text1"/>
                <w:sz w:val="24"/>
                <w:szCs w:val="24"/>
              </w:rPr>
              <w:t>în etajele montan</w:t>
            </w:r>
            <w:r w:rsidRPr="00C56257">
              <w:rPr>
                <w:color w:val="000000" w:themeColor="text1"/>
                <w:spacing w:val="-1"/>
                <w:sz w:val="24"/>
                <w:szCs w:val="24"/>
              </w:rPr>
              <w:t xml:space="preserve"> </w:t>
            </w:r>
            <w:r w:rsidRPr="00C56257">
              <w:rPr>
                <w:color w:val="000000" w:themeColor="text1"/>
                <w:sz w:val="24"/>
                <w:szCs w:val="24"/>
              </w:rPr>
              <w:t>şi</w:t>
            </w:r>
            <w:r w:rsidRPr="00C56257">
              <w:rPr>
                <w:color w:val="000000" w:themeColor="text1"/>
                <w:spacing w:val="-1"/>
                <w:sz w:val="24"/>
                <w:szCs w:val="24"/>
              </w:rPr>
              <w:t xml:space="preserve"> </w:t>
            </w:r>
            <w:r w:rsidRPr="00C56257">
              <w:rPr>
                <w:color w:val="000000" w:themeColor="text1"/>
                <w:sz w:val="24"/>
                <w:szCs w:val="24"/>
              </w:rPr>
              <w:t>alpin</w:t>
            </w:r>
          </w:p>
        </w:tc>
        <w:tc>
          <w:tcPr>
            <w:tcW w:w="708" w:type="dxa"/>
            <w:shd w:val="clear" w:color="auto" w:fill="D9D9D9"/>
          </w:tcPr>
          <w:p w14:paraId="0700AA5D" w14:textId="77777777" w:rsidR="006735BF" w:rsidRPr="00C56257" w:rsidRDefault="006735BF" w:rsidP="008E33FD">
            <w:pPr>
              <w:pStyle w:val="TableParagraph"/>
              <w:spacing w:before="135"/>
              <w:ind w:left="9"/>
              <w:jc w:val="both"/>
              <w:rPr>
                <w:b/>
                <w:color w:val="000000" w:themeColor="text1"/>
                <w:sz w:val="24"/>
                <w:szCs w:val="24"/>
              </w:rPr>
            </w:pPr>
            <w:r w:rsidRPr="00C56257">
              <w:rPr>
                <w:b/>
                <w:color w:val="000000" w:themeColor="text1"/>
                <w:sz w:val="24"/>
                <w:szCs w:val="24"/>
              </w:rPr>
              <w:t>√</w:t>
            </w:r>
          </w:p>
        </w:tc>
        <w:tc>
          <w:tcPr>
            <w:tcW w:w="709" w:type="dxa"/>
            <w:shd w:val="clear" w:color="auto" w:fill="D9D9D9"/>
          </w:tcPr>
          <w:p w14:paraId="3F945933" w14:textId="77777777" w:rsidR="006735BF" w:rsidRPr="00C56257" w:rsidRDefault="006735BF" w:rsidP="008E33FD">
            <w:pPr>
              <w:pStyle w:val="TableParagraph"/>
              <w:spacing w:before="135"/>
              <w:ind w:left="14"/>
              <w:jc w:val="both"/>
              <w:rPr>
                <w:b/>
                <w:color w:val="000000" w:themeColor="text1"/>
                <w:sz w:val="24"/>
                <w:szCs w:val="24"/>
              </w:rPr>
            </w:pPr>
            <w:r w:rsidRPr="00C56257">
              <w:rPr>
                <w:b/>
                <w:color w:val="000000" w:themeColor="text1"/>
                <w:sz w:val="24"/>
                <w:szCs w:val="24"/>
              </w:rPr>
              <w:t>√</w:t>
            </w:r>
          </w:p>
        </w:tc>
        <w:tc>
          <w:tcPr>
            <w:tcW w:w="711" w:type="dxa"/>
            <w:shd w:val="clear" w:color="auto" w:fill="D9D9D9"/>
          </w:tcPr>
          <w:p w14:paraId="392EC1D5" w14:textId="77777777" w:rsidR="006735BF" w:rsidRPr="00C56257" w:rsidRDefault="006735BF" w:rsidP="008E33FD">
            <w:pPr>
              <w:pStyle w:val="TableParagraph"/>
              <w:spacing w:before="135"/>
              <w:ind w:left="10"/>
              <w:jc w:val="both"/>
              <w:rPr>
                <w:b/>
                <w:color w:val="000000" w:themeColor="text1"/>
                <w:sz w:val="24"/>
                <w:szCs w:val="24"/>
              </w:rPr>
            </w:pPr>
            <w:r w:rsidRPr="00C56257">
              <w:rPr>
                <w:b/>
                <w:color w:val="000000" w:themeColor="text1"/>
                <w:sz w:val="24"/>
                <w:szCs w:val="24"/>
              </w:rPr>
              <w:t>√</w:t>
            </w:r>
          </w:p>
        </w:tc>
        <w:tc>
          <w:tcPr>
            <w:tcW w:w="766" w:type="dxa"/>
            <w:shd w:val="clear" w:color="auto" w:fill="D9D9D9"/>
          </w:tcPr>
          <w:p w14:paraId="51CEED15" w14:textId="77777777" w:rsidR="006735BF" w:rsidRPr="00C56257" w:rsidRDefault="006735BF" w:rsidP="008E33FD">
            <w:pPr>
              <w:pStyle w:val="TableParagraph"/>
              <w:spacing w:before="135"/>
              <w:ind w:left="12"/>
              <w:jc w:val="both"/>
              <w:rPr>
                <w:b/>
                <w:color w:val="000000" w:themeColor="text1"/>
                <w:sz w:val="24"/>
                <w:szCs w:val="24"/>
              </w:rPr>
            </w:pPr>
            <w:r w:rsidRPr="00C56257">
              <w:rPr>
                <w:b/>
                <w:color w:val="000000" w:themeColor="text1"/>
                <w:sz w:val="24"/>
                <w:szCs w:val="24"/>
              </w:rPr>
              <w:t>√</w:t>
            </w:r>
          </w:p>
        </w:tc>
        <w:tc>
          <w:tcPr>
            <w:tcW w:w="745" w:type="dxa"/>
            <w:shd w:val="clear" w:color="auto" w:fill="D9D9D9"/>
          </w:tcPr>
          <w:p w14:paraId="0A6A1D44" w14:textId="77777777" w:rsidR="006735BF" w:rsidRPr="00C56257" w:rsidRDefault="006735BF" w:rsidP="008E33FD">
            <w:pPr>
              <w:pStyle w:val="TableParagraph"/>
              <w:spacing w:before="135"/>
              <w:ind w:left="9"/>
              <w:jc w:val="both"/>
              <w:rPr>
                <w:b/>
                <w:color w:val="000000" w:themeColor="text1"/>
                <w:sz w:val="24"/>
                <w:szCs w:val="24"/>
              </w:rPr>
            </w:pPr>
            <w:r w:rsidRPr="00C56257">
              <w:rPr>
                <w:b/>
                <w:color w:val="000000" w:themeColor="text1"/>
                <w:sz w:val="24"/>
                <w:szCs w:val="24"/>
              </w:rPr>
              <w:t>√</w:t>
            </w:r>
          </w:p>
        </w:tc>
      </w:tr>
      <w:tr w:rsidR="006735BF" w:rsidRPr="00C56257" w14:paraId="4475DB2A" w14:textId="77777777" w:rsidTr="00511A4E">
        <w:trPr>
          <w:trHeight w:val="551"/>
        </w:trPr>
        <w:tc>
          <w:tcPr>
            <w:tcW w:w="5907" w:type="dxa"/>
          </w:tcPr>
          <w:p w14:paraId="0254D419" w14:textId="77777777" w:rsidR="006735BF" w:rsidRPr="00C56257" w:rsidRDefault="006735BF" w:rsidP="008E33FD">
            <w:pPr>
              <w:pStyle w:val="TableParagraph"/>
              <w:spacing w:before="131"/>
              <w:ind w:left="165"/>
              <w:jc w:val="both"/>
              <w:rPr>
                <w:i/>
                <w:color w:val="000000" w:themeColor="text1"/>
                <w:sz w:val="24"/>
                <w:szCs w:val="24"/>
              </w:rPr>
            </w:pPr>
            <w:r w:rsidRPr="00C56257">
              <w:rPr>
                <w:color w:val="000000" w:themeColor="text1"/>
                <w:sz w:val="24"/>
                <w:szCs w:val="24"/>
              </w:rPr>
              <w:t>6440</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Pajişti</w:t>
            </w:r>
            <w:r w:rsidRPr="00C56257">
              <w:rPr>
                <w:color w:val="000000" w:themeColor="text1"/>
                <w:spacing w:val="-1"/>
                <w:sz w:val="24"/>
                <w:szCs w:val="24"/>
              </w:rPr>
              <w:t xml:space="preserve"> </w:t>
            </w:r>
            <w:r w:rsidRPr="00C56257">
              <w:rPr>
                <w:color w:val="000000" w:themeColor="text1"/>
                <w:sz w:val="24"/>
                <w:szCs w:val="24"/>
              </w:rPr>
              <w:t xml:space="preserve">aluviale din </w:t>
            </w:r>
            <w:r w:rsidRPr="00C56257">
              <w:rPr>
                <w:i/>
                <w:color w:val="000000" w:themeColor="text1"/>
                <w:sz w:val="24"/>
                <w:szCs w:val="24"/>
              </w:rPr>
              <w:t>Cnidion</w:t>
            </w:r>
            <w:r w:rsidRPr="00C56257">
              <w:rPr>
                <w:i/>
                <w:color w:val="000000" w:themeColor="text1"/>
                <w:spacing w:val="-1"/>
                <w:sz w:val="24"/>
                <w:szCs w:val="24"/>
              </w:rPr>
              <w:t xml:space="preserve"> </w:t>
            </w:r>
            <w:r w:rsidRPr="00C56257">
              <w:rPr>
                <w:i/>
                <w:color w:val="000000" w:themeColor="text1"/>
                <w:sz w:val="24"/>
                <w:szCs w:val="24"/>
              </w:rPr>
              <w:t>dubii</w:t>
            </w:r>
          </w:p>
        </w:tc>
        <w:tc>
          <w:tcPr>
            <w:tcW w:w="708" w:type="dxa"/>
            <w:shd w:val="clear" w:color="auto" w:fill="D9D9D9"/>
          </w:tcPr>
          <w:p w14:paraId="0B5982ED" w14:textId="77777777" w:rsidR="006735BF" w:rsidRPr="00C56257" w:rsidRDefault="006735BF" w:rsidP="008E33FD">
            <w:pPr>
              <w:pStyle w:val="TableParagraph"/>
              <w:spacing w:before="135"/>
              <w:ind w:left="9"/>
              <w:jc w:val="both"/>
              <w:rPr>
                <w:b/>
                <w:color w:val="000000" w:themeColor="text1"/>
                <w:sz w:val="24"/>
                <w:szCs w:val="24"/>
              </w:rPr>
            </w:pPr>
            <w:r w:rsidRPr="00C56257">
              <w:rPr>
                <w:b/>
                <w:color w:val="000000" w:themeColor="text1"/>
                <w:sz w:val="24"/>
                <w:szCs w:val="24"/>
              </w:rPr>
              <w:t>√</w:t>
            </w:r>
          </w:p>
        </w:tc>
        <w:tc>
          <w:tcPr>
            <w:tcW w:w="709" w:type="dxa"/>
            <w:shd w:val="clear" w:color="auto" w:fill="D9D9D9"/>
          </w:tcPr>
          <w:p w14:paraId="0400684A" w14:textId="77777777" w:rsidR="006735BF" w:rsidRPr="00C56257" w:rsidRDefault="006735BF" w:rsidP="008E33FD">
            <w:pPr>
              <w:pStyle w:val="TableParagraph"/>
              <w:spacing w:before="135"/>
              <w:ind w:left="14"/>
              <w:jc w:val="both"/>
              <w:rPr>
                <w:b/>
                <w:color w:val="000000" w:themeColor="text1"/>
                <w:sz w:val="24"/>
                <w:szCs w:val="24"/>
              </w:rPr>
            </w:pPr>
            <w:r w:rsidRPr="00C56257">
              <w:rPr>
                <w:b/>
                <w:color w:val="000000" w:themeColor="text1"/>
                <w:sz w:val="24"/>
                <w:szCs w:val="24"/>
              </w:rPr>
              <w:t>√</w:t>
            </w:r>
          </w:p>
        </w:tc>
        <w:tc>
          <w:tcPr>
            <w:tcW w:w="711" w:type="dxa"/>
            <w:shd w:val="clear" w:color="auto" w:fill="D9D9D9"/>
          </w:tcPr>
          <w:p w14:paraId="1EAD8D1B" w14:textId="77777777" w:rsidR="006735BF" w:rsidRPr="00C56257" w:rsidRDefault="006735BF" w:rsidP="008E33FD">
            <w:pPr>
              <w:pStyle w:val="TableParagraph"/>
              <w:spacing w:before="135"/>
              <w:ind w:left="10"/>
              <w:jc w:val="both"/>
              <w:rPr>
                <w:b/>
                <w:color w:val="000000" w:themeColor="text1"/>
                <w:sz w:val="24"/>
                <w:szCs w:val="24"/>
              </w:rPr>
            </w:pPr>
            <w:r w:rsidRPr="00C56257">
              <w:rPr>
                <w:b/>
                <w:color w:val="000000" w:themeColor="text1"/>
                <w:sz w:val="24"/>
                <w:szCs w:val="24"/>
              </w:rPr>
              <w:t>√</w:t>
            </w:r>
          </w:p>
        </w:tc>
        <w:tc>
          <w:tcPr>
            <w:tcW w:w="766" w:type="dxa"/>
            <w:shd w:val="clear" w:color="auto" w:fill="D9D9D9"/>
          </w:tcPr>
          <w:p w14:paraId="030B122B" w14:textId="77777777" w:rsidR="006735BF" w:rsidRPr="00C56257" w:rsidRDefault="006735BF" w:rsidP="008E33FD">
            <w:pPr>
              <w:pStyle w:val="TableParagraph"/>
              <w:spacing w:before="135"/>
              <w:ind w:left="12"/>
              <w:jc w:val="both"/>
              <w:rPr>
                <w:b/>
                <w:color w:val="000000" w:themeColor="text1"/>
                <w:sz w:val="24"/>
                <w:szCs w:val="24"/>
              </w:rPr>
            </w:pPr>
            <w:r w:rsidRPr="00C56257">
              <w:rPr>
                <w:b/>
                <w:color w:val="000000" w:themeColor="text1"/>
                <w:sz w:val="24"/>
                <w:szCs w:val="24"/>
              </w:rPr>
              <w:t>√</w:t>
            </w:r>
          </w:p>
        </w:tc>
        <w:tc>
          <w:tcPr>
            <w:tcW w:w="745" w:type="dxa"/>
            <w:shd w:val="clear" w:color="auto" w:fill="D9D9D9"/>
          </w:tcPr>
          <w:p w14:paraId="5AC4A189" w14:textId="77777777" w:rsidR="006735BF" w:rsidRPr="00C56257" w:rsidRDefault="006735BF" w:rsidP="008E33FD">
            <w:pPr>
              <w:pStyle w:val="TableParagraph"/>
              <w:spacing w:before="135"/>
              <w:ind w:left="9"/>
              <w:jc w:val="both"/>
              <w:rPr>
                <w:b/>
                <w:color w:val="000000" w:themeColor="text1"/>
                <w:sz w:val="24"/>
                <w:szCs w:val="24"/>
              </w:rPr>
            </w:pPr>
            <w:r w:rsidRPr="00C56257">
              <w:rPr>
                <w:b/>
                <w:color w:val="000000" w:themeColor="text1"/>
                <w:sz w:val="24"/>
                <w:szCs w:val="24"/>
              </w:rPr>
              <w:t>√</w:t>
            </w:r>
          </w:p>
        </w:tc>
      </w:tr>
      <w:tr w:rsidR="006735BF" w:rsidRPr="00C56257" w14:paraId="4F50AA30" w14:textId="77777777" w:rsidTr="00511A4E">
        <w:trPr>
          <w:trHeight w:val="551"/>
        </w:trPr>
        <w:tc>
          <w:tcPr>
            <w:tcW w:w="5907" w:type="dxa"/>
          </w:tcPr>
          <w:p w14:paraId="7865B54B" w14:textId="77777777" w:rsidR="006735BF" w:rsidRPr="00C56257" w:rsidRDefault="006735BF" w:rsidP="008E33FD">
            <w:pPr>
              <w:pStyle w:val="TableParagraph"/>
              <w:spacing w:line="268" w:lineRule="exact"/>
              <w:ind w:left="165"/>
              <w:jc w:val="both"/>
              <w:rPr>
                <w:i/>
                <w:color w:val="000000" w:themeColor="text1"/>
                <w:sz w:val="24"/>
                <w:szCs w:val="24"/>
              </w:rPr>
            </w:pPr>
            <w:r w:rsidRPr="00C56257">
              <w:rPr>
                <w:color w:val="000000" w:themeColor="text1"/>
                <w:sz w:val="24"/>
                <w:szCs w:val="24"/>
              </w:rPr>
              <w:t>6510</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Pajişti de</w:t>
            </w:r>
            <w:r w:rsidRPr="00C56257">
              <w:rPr>
                <w:color w:val="000000" w:themeColor="text1"/>
                <w:spacing w:val="-2"/>
                <w:sz w:val="24"/>
                <w:szCs w:val="24"/>
              </w:rPr>
              <w:t xml:space="preserve"> </w:t>
            </w:r>
            <w:r w:rsidRPr="00C56257">
              <w:rPr>
                <w:color w:val="000000" w:themeColor="text1"/>
                <w:sz w:val="24"/>
                <w:szCs w:val="24"/>
              </w:rPr>
              <w:t>altitudine</w:t>
            </w:r>
            <w:r w:rsidRPr="00C56257">
              <w:rPr>
                <w:color w:val="000000" w:themeColor="text1"/>
                <w:spacing w:val="-2"/>
                <w:sz w:val="24"/>
                <w:szCs w:val="24"/>
              </w:rPr>
              <w:t xml:space="preserve"> </w:t>
            </w:r>
            <w:r w:rsidRPr="00C56257">
              <w:rPr>
                <w:color w:val="000000" w:themeColor="text1"/>
                <w:sz w:val="24"/>
                <w:szCs w:val="24"/>
              </w:rPr>
              <w:t>joasă</w:t>
            </w:r>
            <w:r w:rsidRPr="00C56257">
              <w:rPr>
                <w:color w:val="000000" w:themeColor="text1"/>
                <w:spacing w:val="-2"/>
                <w:sz w:val="24"/>
                <w:szCs w:val="24"/>
              </w:rPr>
              <w:t xml:space="preserve"> </w:t>
            </w:r>
            <w:r w:rsidRPr="00C56257">
              <w:rPr>
                <w:color w:val="000000" w:themeColor="text1"/>
                <w:sz w:val="24"/>
                <w:szCs w:val="24"/>
              </w:rPr>
              <w:t>(</w:t>
            </w:r>
            <w:r w:rsidRPr="00C56257">
              <w:rPr>
                <w:i/>
                <w:color w:val="000000" w:themeColor="text1"/>
                <w:sz w:val="24"/>
                <w:szCs w:val="24"/>
              </w:rPr>
              <w:t>Alopecurus</w:t>
            </w:r>
            <w:r w:rsidRPr="00C56257">
              <w:rPr>
                <w:i/>
                <w:color w:val="000000" w:themeColor="text1"/>
                <w:spacing w:val="-1"/>
                <w:sz w:val="24"/>
                <w:szCs w:val="24"/>
              </w:rPr>
              <w:t xml:space="preserve"> </w:t>
            </w:r>
            <w:r w:rsidRPr="00C56257">
              <w:rPr>
                <w:i/>
                <w:color w:val="000000" w:themeColor="text1"/>
                <w:sz w:val="24"/>
                <w:szCs w:val="24"/>
              </w:rPr>
              <w:t>pratensis,</w:t>
            </w:r>
          </w:p>
          <w:p w14:paraId="70E8F2AF" w14:textId="77777777" w:rsidR="006735BF" w:rsidRPr="00C56257" w:rsidRDefault="006735BF" w:rsidP="008E33FD">
            <w:pPr>
              <w:pStyle w:val="TableParagraph"/>
              <w:spacing w:line="264" w:lineRule="exact"/>
              <w:ind w:left="165"/>
              <w:jc w:val="both"/>
              <w:rPr>
                <w:color w:val="000000" w:themeColor="text1"/>
                <w:sz w:val="24"/>
                <w:szCs w:val="24"/>
              </w:rPr>
            </w:pPr>
            <w:r w:rsidRPr="00C56257">
              <w:rPr>
                <w:i/>
                <w:color w:val="000000" w:themeColor="text1"/>
                <w:sz w:val="24"/>
                <w:szCs w:val="24"/>
              </w:rPr>
              <w:t>Sanguisorba officinalis</w:t>
            </w:r>
            <w:r w:rsidRPr="00C56257">
              <w:rPr>
                <w:color w:val="000000" w:themeColor="text1"/>
                <w:sz w:val="24"/>
                <w:szCs w:val="24"/>
              </w:rPr>
              <w:t>)</w:t>
            </w:r>
          </w:p>
        </w:tc>
        <w:tc>
          <w:tcPr>
            <w:tcW w:w="708" w:type="dxa"/>
            <w:shd w:val="clear" w:color="auto" w:fill="D9D9D9"/>
          </w:tcPr>
          <w:p w14:paraId="33B307E7" w14:textId="77777777" w:rsidR="006735BF" w:rsidRPr="00C56257" w:rsidRDefault="006735BF" w:rsidP="008E33FD">
            <w:pPr>
              <w:pStyle w:val="TableParagraph"/>
              <w:spacing w:before="135"/>
              <w:ind w:left="9"/>
              <w:jc w:val="both"/>
              <w:rPr>
                <w:b/>
                <w:color w:val="000000" w:themeColor="text1"/>
                <w:sz w:val="24"/>
                <w:szCs w:val="24"/>
              </w:rPr>
            </w:pPr>
            <w:r w:rsidRPr="00C56257">
              <w:rPr>
                <w:b/>
                <w:color w:val="000000" w:themeColor="text1"/>
                <w:sz w:val="24"/>
                <w:szCs w:val="24"/>
              </w:rPr>
              <w:t>√</w:t>
            </w:r>
          </w:p>
        </w:tc>
        <w:tc>
          <w:tcPr>
            <w:tcW w:w="709" w:type="dxa"/>
            <w:shd w:val="clear" w:color="auto" w:fill="D9D9D9"/>
          </w:tcPr>
          <w:p w14:paraId="76430B25" w14:textId="77777777" w:rsidR="006735BF" w:rsidRPr="00C56257" w:rsidRDefault="006735BF" w:rsidP="008E33FD">
            <w:pPr>
              <w:pStyle w:val="TableParagraph"/>
              <w:spacing w:before="135"/>
              <w:ind w:left="14"/>
              <w:jc w:val="both"/>
              <w:rPr>
                <w:b/>
                <w:color w:val="000000" w:themeColor="text1"/>
                <w:sz w:val="24"/>
                <w:szCs w:val="24"/>
              </w:rPr>
            </w:pPr>
            <w:r w:rsidRPr="00C56257">
              <w:rPr>
                <w:b/>
                <w:color w:val="000000" w:themeColor="text1"/>
                <w:sz w:val="24"/>
                <w:szCs w:val="24"/>
              </w:rPr>
              <w:t>√</w:t>
            </w:r>
          </w:p>
        </w:tc>
        <w:tc>
          <w:tcPr>
            <w:tcW w:w="711" w:type="dxa"/>
            <w:shd w:val="clear" w:color="auto" w:fill="D9D9D9"/>
          </w:tcPr>
          <w:p w14:paraId="050F8FAB" w14:textId="77777777" w:rsidR="006735BF" w:rsidRPr="00C56257" w:rsidRDefault="006735BF" w:rsidP="008E33FD">
            <w:pPr>
              <w:pStyle w:val="TableParagraph"/>
              <w:spacing w:before="135"/>
              <w:ind w:left="10"/>
              <w:jc w:val="both"/>
              <w:rPr>
                <w:b/>
                <w:color w:val="000000" w:themeColor="text1"/>
                <w:sz w:val="24"/>
                <w:szCs w:val="24"/>
              </w:rPr>
            </w:pPr>
            <w:r w:rsidRPr="00C56257">
              <w:rPr>
                <w:b/>
                <w:color w:val="000000" w:themeColor="text1"/>
                <w:sz w:val="24"/>
                <w:szCs w:val="24"/>
              </w:rPr>
              <w:t>√</w:t>
            </w:r>
          </w:p>
        </w:tc>
        <w:tc>
          <w:tcPr>
            <w:tcW w:w="766" w:type="dxa"/>
            <w:shd w:val="clear" w:color="auto" w:fill="D9D9D9"/>
          </w:tcPr>
          <w:p w14:paraId="41074519" w14:textId="77777777" w:rsidR="006735BF" w:rsidRPr="00C56257" w:rsidRDefault="006735BF" w:rsidP="008E33FD">
            <w:pPr>
              <w:pStyle w:val="TableParagraph"/>
              <w:spacing w:before="135"/>
              <w:ind w:left="12"/>
              <w:jc w:val="both"/>
              <w:rPr>
                <w:b/>
                <w:color w:val="000000" w:themeColor="text1"/>
                <w:sz w:val="24"/>
                <w:szCs w:val="24"/>
              </w:rPr>
            </w:pPr>
            <w:r w:rsidRPr="00C56257">
              <w:rPr>
                <w:b/>
                <w:color w:val="000000" w:themeColor="text1"/>
                <w:sz w:val="24"/>
                <w:szCs w:val="24"/>
              </w:rPr>
              <w:t>√</w:t>
            </w:r>
          </w:p>
        </w:tc>
        <w:tc>
          <w:tcPr>
            <w:tcW w:w="745" w:type="dxa"/>
            <w:shd w:val="clear" w:color="auto" w:fill="D9D9D9"/>
          </w:tcPr>
          <w:p w14:paraId="4EF2AFD7" w14:textId="77777777" w:rsidR="006735BF" w:rsidRPr="00C56257" w:rsidRDefault="006735BF" w:rsidP="008E33FD">
            <w:pPr>
              <w:pStyle w:val="TableParagraph"/>
              <w:spacing w:before="135"/>
              <w:ind w:left="9"/>
              <w:jc w:val="both"/>
              <w:rPr>
                <w:b/>
                <w:color w:val="000000" w:themeColor="text1"/>
                <w:sz w:val="24"/>
                <w:szCs w:val="24"/>
              </w:rPr>
            </w:pPr>
            <w:r w:rsidRPr="00C56257">
              <w:rPr>
                <w:b/>
                <w:color w:val="000000" w:themeColor="text1"/>
                <w:sz w:val="24"/>
                <w:szCs w:val="24"/>
              </w:rPr>
              <w:t>√</w:t>
            </w:r>
          </w:p>
        </w:tc>
      </w:tr>
      <w:tr w:rsidR="006735BF" w:rsidRPr="00C56257" w14:paraId="7FBDABDF" w14:textId="77777777" w:rsidTr="00511A4E">
        <w:trPr>
          <w:trHeight w:val="518"/>
        </w:trPr>
        <w:tc>
          <w:tcPr>
            <w:tcW w:w="5907" w:type="dxa"/>
          </w:tcPr>
          <w:p w14:paraId="649DE088" w14:textId="77777777" w:rsidR="006735BF" w:rsidRPr="00C56257" w:rsidRDefault="006735BF" w:rsidP="008E33FD">
            <w:pPr>
              <w:pStyle w:val="TableParagraph"/>
              <w:spacing w:before="114"/>
              <w:ind w:left="165"/>
              <w:jc w:val="both"/>
              <w:rPr>
                <w:color w:val="000000" w:themeColor="text1"/>
                <w:sz w:val="24"/>
                <w:szCs w:val="24"/>
              </w:rPr>
            </w:pPr>
            <w:r w:rsidRPr="00C56257">
              <w:rPr>
                <w:color w:val="000000" w:themeColor="text1"/>
                <w:sz w:val="24"/>
                <w:szCs w:val="24"/>
              </w:rPr>
              <w:t>6520</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1"/>
                <w:sz w:val="24"/>
                <w:szCs w:val="24"/>
              </w:rPr>
              <w:t xml:space="preserve"> </w:t>
            </w:r>
            <w:r w:rsidRPr="00C56257">
              <w:rPr>
                <w:color w:val="000000" w:themeColor="text1"/>
                <w:sz w:val="24"/>
                <w:szCs w:val="24"/>
              </w:rPr>
              <w:t>Fâneţe</w:t>
            </w:r>
            <w:r w:rsidRPr="00C56257">
              <w:rPr>
                <w:color w:val="000000" w:themeColor="text1"/>
                <w:spacing w:val="-1"/>
                <w:sz w:val="24"/>
                <w:szCs w:val="24"/>
              </w:rPr>
              <w:t xml:space="preserve"> </w:t>
            </w:r>
            <w:r w:rsidRPr="00C56257">
              <w:rPr>
                <w:color w:val="000000" w:themeColor="text1"/>
                <w:sz w:val="24"/>
                <w:szCs w:val="24"/>
              </w:rPr>
              <w:t>montane</w:t>
            </w:r>
          </w:p>
        </w:tc>
        <w:tc>
          <w:tcPr>
            <w:tcW w:w="708" w:type="dxa"/>
          </w:tcPr>
          <w:p w14:paraId="17BBAD3B" w14:textId="77777777" w:rsidR="006735BF" w:rsidRPr="00C56257" w:rsidRDefault="006735BF" w:rsidP="008E33FD">
            <w:pPr>
              <w:pStyle w:val="TableParagraph"/>
              <w:jc w:val="both"/>
              <w:rPr>
                <w:color w:val="000000" w:themeColor="text1"/>
                <w:sz w:val="24"/>
                <w:szCs w:val="24"/>
              </w:rPr>
            </w:pPr>
          </w:p>
        </w:tc>
        <w:tc>
          <w:tcPr>
            <w:tcW w:w="709" w:type="dxa"/>
          </w:tcPr>
          <w:p w14:paraId="15F17286" w14:textId="77777777" w:rsidR="006735BF" w:rsidRPr="00C56257" w:rsidRDefault="006735BF" w:rsidP="008E33FD">
            <w:pPr>
              <w:pStyle w:val="TableParagraph"/>
              <w:jc w:val="both"/>
              <w:rPr>
                <w:color w:val="000000" w:themeColor="text1"/>
                <w:sz w:val="24"/>
                <w:szCs w:val="24"/>
              </w:rPr>
            </w:pPr>
          </w:p>
        </w:tc>
        <w:tc>
          <w:tcPr>
            <w:tcW w:w="711" w:type="dxa"/>
            <w:shd w:val="clear" w:color="auto" w:fill="D9D9D9"/>
          </w:tcPr>
          <w:p w14:paraId="6AC33A18" w14:textId="77777777" w:rsidR="006735BF" w:rsidRPr="00C56257" w:rsidRDefault="006735BF" w:rsidP="008E33FD">
            <w:pPr>
              <w:pStyle w:val="TableParagraph"/>
              <w:spacing w:before="119"/>
              <w:ind w:left="10"/>
              <w:jc w:val="both"/>
              <w:rPr>
                <w:b/>
                <w:color w:val="000000" w:themeColor="text1"/>
                <w:sz w:val="24"/>
                <w:szCs w:val="24"/>
              </w:rPr>
            </w:pPr>
            <w:r w:rsidRPr="00C56257">
              <w:rPr>
                <w:b/>
                <w:color w:val="000000" w:themeColor="text1"/>
                <w:sz w:val="24"/>
                <w:szCs w:val="24"/>
              </w:rPr>
              <w:t>√</w:t>
            </w:r>
          </w:p>
        </w:tc>
        <w:tc>
          <w:tcPr>
            <w:tcW w:w="766" w:type="dxa"/>
          </w:tcPr>
          <w:p w14:paraId="5E98AC7E" w14:textId="77777777" w:rsidR="006735BF" w:rsidRPr="00C56257" w:rsidRDefault="006735BF" w:rsidP="008E33FD">
            <w:pPr>
              <w:pStyle w:val="TableParagraph"/>
              <w:jc w:val="both"/>
              <w:rPr>
                <w:color w:val="000000" w:themeColor="text1"/>
                <w:sz w:val="24"/>
                <w:szCs w:val="24"/>
              </w:rPr>
            </w:pPr>
          </w:p>
        </w:tc>
        <w:tc>
          <w:tcPr>
            <w:tcW w:w="745" w:type="dxa"/>
          </w:tcPr>
          <w:p w14:paraId="221E4EB1" w14:textId="77777777" w:rsidR="006735BF" w:rsidRPr="00C56257" w:rsidRDefault="006735BF" w:rsidP="008E33FD">
            <w:pPr>
              <w:pStyle w:val="TableParagraph"/>
              <w:jc w:val="both"/>
              <w:rPr>
                <w:color w:val="000000" w:themeColor="text1"/>
                <w:sz w:val="24"/>
                <w:szCs w:val="24"/>
              </w:rPr>
            </w:pPr>
          </w:p>
        </w:tc>
      </w:tr>
    </w:tbl>
    <w:p w14:paraId="2A778678" w14:textId="77777777" w:rsidR="00FC74DD" w:rsidRDefault="00FC74DD" w:rsidP="00FC74DD">
      <w:pPr>
        <w:pStyle w:val="BodyText"/>
        <w:spacing w:before="64"/>
        <w:ind w:left="0"/>
        <w:jc w:val="both"/>
        <w:rPr>
          <w:color w:val="000000" w:themeColor="text1"/>
          <w:sz w:val="24"/>
          <w:szCs w:val="24"/>
          <w:lang w:val="fr-FR"/>
        </w:rPr>
      </w:pPr>
    </w:p>
    <w:p w14:paraId="466E7832" w14:textId="77777777" w:rsidR="006735BF" w:rsidRPr="00C56257" w:rsidRDefault="006735BF" w:rsidP="00FC74DD">
      <w:pPr>
        <w:pStyle w:val="BodyText"/>
        <w:spacing w:before="64"/>
        <w:ind w:left="0"/>
        <w:jc w:val="both"/>
        <w:rPr>
          <w:color w:val="000000" w:themeColor="text1"/>
          <w:sz w:val="24"/>
          <w:szCs w:val="24"/>
          <w:lang w:val="fr-FR"/>
        </w:rPr>
      </w:pP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tabelul</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r w:rsidRPr="00C56257">
        <w:rPr>
          <w:color w:val="000000" w:themeColor="text1"/>
          <w:sz w:val="24"/>
          <w:szCs w:val="24"/>
          <w:lang w:val="fr-FR"/>
        </w:rPr>
        <w:t xml:space="preserve">mai </w:t>
      </w:r>
      <w:proofErr w:type="spellStart"/>
      <w:r w:rsidRPr="00C56257">
        <w:rPr>
          <w:color w:val="000000" w:themeColor="text1"/>
          <w:sz w:val="24"/>
          <w:szCs w:val="24"/>
          <w:lang w:val="fr-FR"/>
        </w:rPr>
        <w:t>jos</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 xml:space="preserve">redate </w:t>
      </w:r>
      <w:proofErr w:type="spellStart"/>
      <w:r w:rsidRPr="00C56257">
        <w:rPr>
          <w:color w:val="000000" w:themeColor="text1"/>
          <w:sz w:val="24"/>
          <w:szCs w:val="24"/>
          <w:lang w:val="fr-FR"/>
        </w:rPr>
        <w:t>perioadele</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optime</w:t>
      </w:r>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culegere</w:t>
      </w:r>
      <w:proofErr w:type="spellEnd"/>
      <w:r w:rsidRPr="00C56257">
        <w:rPr>
          <w:color w:val="000000" w:themeColor="text1"/>
          <w:spacing w:val="-3"/>
          <w:sz w:val="24"/>
          <w:szCs w:val="24"/>
          <w:lang w:val="fr-FR"/>
        </w:rPr>
        <w:t xml:space="preserve"> </w:t>
      </w:r>
      <w:r w:rsidRPr="00C56257">
        <w:rPr>
          <w:color w:val="000000" w:themeColor="text1"/>
          <w:sz w:val="24"/>
          <w:szCs w:val="24"/>
          <w:lang w:val="fr-FR"/>
        </w:rPr>
        <w:t>a</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datelor</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cadrul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habitatelor</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țintă</w:t>
      </w:r>
      <w:proofErr w:type="spellEnd"/>
    </w:p>
    <w:p w14:paraId="1705DE66" w14:textId="77777777" w:rsidR="006735BF" w:rsidRPr="00C56257" w:rsidRDefault="006735BF" w:rsidP="008E33FD">
      <w:pPr>
        <w:pStyle w:val="BodyText"/>
        <w:spacing w:before="8"/>
        <w:jc w:val="both"/>
        <w:rPr>
          <w:color w:val="000000" w:themeColor="text1"/>
          <w:sz w:val="24"/>
          <w:szCs w:val="24"/>
          <w:lang w:val="fr-FR"/>
        </w:rPr>
      </w:pPr>
    </w:p>
    <w:tbl>
      <w:tblPr>
        <w:tblW w:w="0" w:type="auto"/>
        <w:tblInd w:w="3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13"/>
        <w:gridCol w:w="2762"/>
        <w:gridCol w:w="2121"/>
        <w:gridCol w:w="2370"/>
      </w:tblGrid>
      <w:tr w:rsidR="006735BF" w:rsidRPr="00C56257" w14:paraId="75EA76EA" w14:textId="77777777" w:rsidTr="00511A4E">
        <w:trPr>
          <w:trHeight w:val="277"/>
        </w:trPr>
        <w:tc>
          <w:tcPr>
            <w:tcW w:w="2213" w:type="dxa"/>
          </w:tcPr>
          <w:p w14:paraId="5731A66D" w14:textId="77777777" w:rsidR="006735BF" w:rsidRPr="00C56257" w:rsidRDefault="006735BF" w:rsidP="008E33FD">
            <w:pPr>
              <w:pStyle w:val="TableParagraph"/>
              <w:spacing w:line="258" w:lineRule="exact"/>
              <w:ind w:left="530"/>
              <w:jc w:val="both"/>
              <w:rPr>
                <w:b/>
                <w:color w:val="000000" w:themeColor="text1"/>
                <w:sz w:val="24"/>
                <w:szCs w:val="24"/>
              </w:rPr>
            </w:pPr>
            <w:r w:rsidRPr="00C56257">
              <w:rPr>
                <w:b/>
                <w:color w:val="000000" w:themeColor="text1"/>
                <w:sz w:val="24"/>
                <w:szCs w:val="24"/>
              </w:rPr>
              <w:t>Tip</w:t>
            </w:r>
            <w:r w:rsidRPr="00C56257">
              <w:rPr>
                <w:b/>
                <w:color w:val="000000" w:themeColor="text1"/>
                <w:spacing w:val="-1"/>
                <w:sz w:val="24"/>
                <w:szCs w:val="24"/>
              </w:rPr>
              <w:t xml:space="preserve"> </w:t>
            </w:r>
            <w:r w:rsidRPr="00C56257">
              <w:rPr>
                <w:b/>
                <w:color w:val="000000" w:themeColor="text1"/>
                <w:sz w:val="24"/>
                <w:szCs w:val="24"/>
              </w:rPr>
              <w:t>habitat</w:t>
            </w:r>
          </w:p>
        </w:tc>
        <w:tc>
          <w:tcPr>
            <w:tcW w:w="2762" w:type="dxa"/>
          </w:tcPr>
          <w:p w14:paraId="26CA865B" w14:textId="77777777" w:rsidR="006735BF" w:rsidRPr="00C56257" w:rsidRDefault="006735BF" w:rsidP="008E33FD">
            <w:pPr>
              <w:pStyle w:val="TableParagraph"/>
              <w:spacing w:line="258" w:lineRule="exact"/>
              <w:ind w:left="400"/>
              <w:jc w:val="both"/>
              <w:rPr>
                <w:b/>
                <w:color w:val="000000" w:themeColor="text1"/>
                <w:sz w:val="24"/>
                <w:szCs w:val="24"/>
              </w:rPr>
            </w:pPr>
            <w:r w:rsidRPr="00C56257">
              <w:rPr>
                <w:b/>
                <w:color w:val="000000" w:themeColor="text1"/>
                <w:sz w:val="24"/>
                <w:szCs w:val="24"/>
              </w:rPr>
              <w:t>Tipul</w:t>
            </w:r>
            <w:r w:rsidRPr="00C56257">
              <w:rPr>
                <w:b/>
                <w:color w:val="000000" w:themeColor="text1"/>
                <w:spacing w:val="-3"/>
                <w:sz w:val="24"/>
                <w:szCs w:val="24"/>
              </w:rPr>
              <w:t xml:space="preserve"> </w:t>
            </w:r>
            <w:r w:rsidRPr="00C56257">
              <w:rPr>
                <w:b/>
                <w:color w:val="000000" w:themeColor="text1"/>
                <w:sz w:val="24"/>
                <w:szCs w:val="24"/>
              </w:rPr>
              <w:t>de</w:t>
            </w:r>
            <w:r w:rsidRPr="00C56257">
              <w:rPr>
                <w:b/>
                <w:color w:val="000000" w:themeColor="text1"/>
                <w:spacing w:val="-2"/>
                <w:sz w:val="24"/>
                <w:szCs w:val="24"/>
              </w:rPr>
              <w:t xml:space="preserve"> </w:t>
            </w:r>
            <w:r w:rsidRPr="00C56257">
              <w:rPr>
                <w:b/>
                <w:color w:val="000000" w:themeColor="text1"/>
                <w:sz w:val="24"/>
                <w:szCs w:val="24"/>
              </w:rPr>
              <w:t>fitocenoză</w:t>
            </w:r>
          </w:p>
        </w:tc>
        <w:tc>
          <w:tcPr>
            <w:tcW w:w="2121" w:type="dxa"/>
          </w:tcPr>
          <w:p w14:paraId="429113F8" w14:textId="77777777" w:rsidR="006735BF" w:rsidRPr="00C56257" w:rsidRDefault="006735BF" w:rsidP="008E33FD">
            <w:pPr>
              <w:pStyle w:val="TableParagraph"/>
              <w:spacing w:line="258" w:lineRule="exact"/>
              <w:ind w:left="132" w:right="119"/>
              <w:jc w:val="both"/>
              <w:rPr>
                <w:b/>
                <w:color w:val="000000" w:themeColor="text1"/>
                <w:sz w:val="24"/>
                <w:szCs w:val="24"/>
              </w:rPr>
            </w:pPr>
            <w:r w:rsidRPr="00C56257">
              <w:rPr>
                <w:b/>
                <w:color w:val="000000" w:themeColor="text1"/>
                <w:sz w:val="24"/>
                <w:szCs w:val="24"/>
              </w:rPr>
              <w:t>Aspectul</w:t>
            </w:r>
            <w:r w:rsidRPr="00C56257">
              <w:rPr>
                <w:b/>
                <w:color w:val="000000" w:themeColor="text1"/>
                <w:spacing w:val="-2"/>
                <w:sz w:val="24"/>
                <w:szCs w:val="24"/>
              </w:rPr>
              <w:t xml:space="preserve"> </w:t>
            </w:r>
            <w:r w:rsidRPr="00C56257">
              <w:rPr>
                <w:b/>
                <w:color w:val="000000" w:themeColor="text1"/>
                <w:sz w:val="24"/>
                <w:szCs w:val="24"/>
              </w:rPr>
              <w:t>surprins</w:t>
            </w:r>
          </w:p>
        </w:tc>
        <w:tc>
          <w:tcPr>
            <w:tcW w:w="2370" w:type="dxa"/>
          </w:tcPr>
          <w:p w14:paraId="52B7F2CD" w14:textId="77777777" w:rsidR="006735BF" w:rsidRPr="00C56257" w:rsidRDefault="006735BF" w:rsidP="008E33FD">
            <w:pPr>
              <w:pStyle w:val="TableParagraph"/>
              <w:spacing w:line="258" w:lineRule="exact"/>
              <w:ind w:left="320" w:right="303"/>
              <w:jc w:val="both"/>
              <w:rPr>
                <w:b/>
                <w:color w:val="000000" w:themeColor="text1"/>
                <w:sz w:val="24"/>
                <w:szCs w:val="24"/>
              </w:rPr>
            </w:pPr>
            <w:r w:rsidRPr="00C56257">
              <w:rPr>
                <w:b/>
                <w:color w:val="000000" w:themeColor="text1"/>
                <w:sz w:val="24"/>
                <w:szCs w:val="24"/>
              </w:rPr>
              <w:t>Perioada</w:t>
            </w:r>
            <w:r w:rsidRPr="00C56257">
              <w:rPr>
                <w:b/>
                <w:color w:val="000000" w:themeColor="text1"/>
                <w:spacing w:val="-3"/>
                <w:sz w:val="24"/>
                <w:szCs w:val="24"/>
              </w:rPr>
              <w:t xml:space="preserve"> </w:t>
            </w:r>
            <w:r w:rsidRPr="00C56257">
              <w:rPr>
                <w:b/>
                <w:color w:val="000000" w:themeColor="text1"/>
                <w:sz w:val="24"/>
                <w:szCs w:val="24"/>
              </w:rPr>
              <w:t>optimă</w:t>
            </w:r>
          </w:p>
        </w:tc>
      </w:tr>
      <w:tr w:rsidR="006735BF" w:rsidRPr="00C56257" w14:paraId="3B96A86A" w14:textId="77777777" w:rsidTr="00511A4E">
        <w:trPr>
          <w:trHeight w:val="275"/>
        </w:trPr>
        <w:tc>
          <w:tcPr>
            <w:tcW w:w="2213" w:type="dxa"/>
            <w:vMerge w:val="restart"/>
          </w:tcPr>
          <w:p w14:paraId="3EE0E40C" w14:textId="77777777" w:rsidR="006735BF" w:rsidRPr="00C56257" w:rsidRDefault="006735BF" w:rsidP="008E33FD">
            <w:pPr>
              <w:pStyle w:val="TableParagraph"/>
              <w:jc w:val="both"/>
              <w:rPr>
                <w:color w:val="000000" w:themeColor="text1"/>
                <w:sz w:val="24"/>
                <w:szCs w:val="24"/>
              </w:rPr>
            </w:pPr>
          </w:p>
          <w:p w14:paraId="54996FB5" w14:textId="77777777" w:rsidR="006735BF" w:rsidRPr="00C56257" w:rsidRDefault="006735BF" w:rsidP="008E33FD">
            <w:pPr>
              <w:pStyle w:val="TableParagraph"/>
              <w:jc w:val="both"/>
              <w:rPr>
                <w:color w:val="000000" w:themeColor="text1"/>
                <w:sz w:val="24"/>
                <w:szCs w:val="24"/>
              </w:rPr>
            </w:pPr>
          </w:p>
          <w:p w14:paraId="1D5F5A4F" w14:textId="77777777" w:rsidR="006735BF" w:rsidRPr="00C56257" w:rsidRDefault="006735BF" w:rsidP="008E33FD">
            <w:pPr>
              <w:pStyle w:val="TableParagraph"/>
              <w:jc w:val="both"/>
              <w:rPr>
                <w:color w:val="000000" w:themeColor="text1"/>
                <w:sz w:val="24"/>
                <w:szCs w:val="24"/>
              </w:rPr>
            </w:pPr>
          </w:p>
          <w:p w14:paraId="6E183D39" w14:textId="77777777" w:rsidR="006735BF" w:rsidRPr="00C56257" w:rsidRDefault="006735BF" w:rsidP="008E33FD">
            <w:pPr>
              <w:pStyle w:val="TableParagraph"/>
              <w:jc w:val="both"/>
              <w:rPr>
                <w:color w:val="000000" w:themeColor="text1"/>
                <w:sz w:val="24"/>
                <w:szCs w:val="24"/>
              </w:rPr>
            </w:pPr>
          </w:p>
          <w:p w14:paraId="32F19A36" w14:textId="77777777" w:rsidR="006735BF" w:rsidRPr="00C56257" w:rsidRDefault="006735BF" w:rsidP="008E33FD">
            <w:pPr>
              <w:pStyle w:val="TableParagraph"/>
              <w:jc w:val="both"/>
              <w:rPr>
                <w:color w:val="000000" w:themeColor="text1"/>
                <w:sz w:val="24"/>
                <w:szCs w:val="24"/>
              </w:rPr>
            </w:pPr>
          </w:p>
          <w:p w14:paraId="79B5CFAC" w14:textId="77777777" w:rsidR="006735BF" w:rsidRPr="00C56257" w:rsidRDefault="006735BF" w:rsidP="008E33FD">
            <w:pPr>
              <w:pStyle w:val="TableParagraph"/>
              <w:spacing w:before="7"/>
              <w:jc w:val="both"/>
              <w:rPr>
                <w:color w:val="000000" w:themeColor="text1"/>
                <w:sz w:val="24"/>
                <w:szCs w:val="24"/>
              </w:rPr>
            </w:pPr>
          </w:p>
          <w:p w14:paraId="4EECF351" w14:textId="77777777" w:rsidR="006735BF" w:rsidRPr="00C56257" w:rsidRDefault="006735BF" w:rsidP="008E33FD">
            <w:pPr>
              <w:pStyle w:val="TableParagraph"/>
              <w:ind w:left="647" w:right="247" w:hanging="372"/>
              <w:jc w:val="both"/>
              <w:rPr>
                <w:b/>
                <w:color w:val="000000" w:themeColor="text1"/>
                <w:sz w:val="24"/>
                <w:szCs w:val="24"/>
              </w:rPr>
            </w:pPr>
            <w:r w:rsidRPr="00C56257">
              <w:rPr>
                <w:b/>
                <w:color w:val="000000" w:themeColor="text1"/>
                <w:sz w:val="24"/>
                <w:szCs w:val="24"/>
              </w:rPr>
              <w:t>HABITATE DE</w:t>
            </w:r>
            <w:r w:rsidRPr="00C56257">
              <w:rPr>
                <w:b/>
                <w:color w:val="000000" w:themeColor="text1"/>
                <w:spacing w:val="-57"/>
                <w:sz w:val="24"/>
                <w:szCs w:val="24"/>
              </w:rPr>
              <w:t xml:space="preserve"> </w:t>
            </w:r>
            <w:r w:rsidRPr="00C56257">
              <w:rPr>
                <w:b/>
                <w:color w:val="000000" w:themeColor="text1"/>
                <w:sz w:val="24"/>
                <w:szCs w:val="24"/>
              </w:rPr>
              <w:t>PAJIŞTI</w:t>
            </w:r>
          </w:p>
        </w:tc>
        <w:tc>
          <w:tcPr>
            <w:tcW w:w="2762" w:type="dxa"/>
            <w:vMerge w:val="restart"/>
          </w:tcPr>
          <w:p w14:paraId="733F51C0" w14:textId="77777777" w:rsidR="006735BF" w:rsidRPr="00C56257" w:rsidRDefault="006735BF" w:rsidP="008E33FD">
            <w:pPr>
              <w:pStyle w:val="TableParagraph"/>
              <w:spacing w:before="1"/>
              <w:jc w:val="both"/>
              <w:rPr>
                <w:color w:val="000000" w:themeColor="text1"/>
                <w:sz w:val="24"/>
                <w:szCs w:val="24"/>
              </w:rPr>
            </w:pPr>
          </w:p>
          <w:p w14:paraId="5F301F18" w14:textId="77777777" w:rsidR="006735BF" w:rsidRPr="00C56257" w:rsidRDefault="006735BF" w:rsidP="008E33FD">
            <w:pPr>
              <w:pStyle w:val="TableParagraph"/>
              <w:ind w:left="372"/>
              <w:jc w:val="both"/>
              <w:rPr>
                <w:color w:val="000000" w:themeColor="text1"/>
                <w:sz w:val="24"/>
                <w:szCs w:val="24"/>
              </w:rPr>
            </w:pPr>
            <w:r w:rsidRPr="00C56257">
              <w:rPr>
                <w:color w:val="000000" w:themeColor="text1"/>
                <w:sz w:val="24"/>
                <w:szCs w:val="24"/>
              </w:rPr>
              <w:t>de</w:t>
            </w:r>
            <w:r w:rsidRPr="00C56257">
              <w:rPr>
                <w:color w:val="000000" w:themeColor="text1"/>
                <w:spacing w:val="-3"/>
                <w:sz w:val="24"/>
                <w:szCs w:val="24"/>
              </w:rPr>
              <w:t xml:space="preserve"> </w:t>
            </w:r>
            <w:r w:rsidRPr="00C56257">
              <w:rPr>
                <w:color w:val="000000" w:themeColor="text1"/>
                <w:sz w:val="24"/>
                <w:szCs w:val="24"/>
              </w:rPr>
              <w:t>stepă</w:t>
            </w:r>
            <w:r w:rsidRPr="00C56257">
              <w:rPr>
                <w:color w:val="000000" w:themeColor="text1"/>
                <w:spacing w:val="-3"/>
                <w:sz w:val="24"/>
                <w:szCs w:val="24"/>
              </w:rPr>
              <w:t xml:space="preserve"> </w:t>
            </w:r>
            <w:r w:rsidRPr="00C56257">
              <w:rPr>
                <w:color w:val="000000" w:themeColor="text1"/>
                <w:sz w:val="24"/>
                <w:szCs w:val="24"/>
              </w:rPr>
              <w:t>şi</w:t>
            </w:r>
            <w:r w:rsidRPr="00C56257">
              <w:rPr>
                <w:color w:val="000000" w:themeColor="text1"/>
                <w:spacing w:val="-3"/>
                <w:sz w:val="24"/>
                <w:szCs w:val="24"/>
              </w:rPr>
              <w:t xml:space="preserve"> </w:t>
            </w:r>
            <w:r w:rsidRPr="00C56257">
              <w:rPr>
                <w:color w:val="000000" w:themeColor="text1"/>
                <w:sz w:val="24"/>
                <w:szCs w:val="24"/>
              </w:rPr>
              <w:t>silvostepă</w:t>
            </w:r>
          </w:p>
        </w:tc>
        <w:tc>
          <w:tcPr>
            <w:tcW w:w="2121" w:type="dxa"/>
          </w:tcPr>
          <w:p w14:paraId="5425CEBC" w14:textId="77777777" w:rsidR="006735BF" w:rsidRPr="00C56257" w:rsidRDefault="006735BF" w:rsidP="008E33FD">
            <w:pPr>
              <w:pStyle w:val="TableParagraph"/>
              <w:spacing w:line="256" w:lineRule="exact"/>
              <w:ind w:left="128" w:right="119"/>
              <w:jc w:val="both"/>
              <w:rPr>
                <w:color w:val="000000" w:themeColor="text1"/>
                <w:sz w:val="24"/>
                <w:szCs w:val="24"/>
              </w:rPr>
            </w:pPr>
            <w:r w:rsidRPr="00C56257">
              <w:rPr>
                <w:color w:val="000000" w:themeColor="text1"/>
                <w:sz w:val="24"/>
                <w:szCs w:val="24"/>
              </w:rPr>
              <w:t>Vernal</w:t>
            </w:r>
          </w:p>
        </w:tc>
        <w:tc>
          <w:tcPr>
            <w:tcW w:w="2370" w:type="dxa"/>
          </w:tcPr>
          <w:p w14:paraId="4978D52B" w14:textId="77777777" w:rsidR="006735BF" w:rsidRPr="00C56257" w:rsidRDefault="006735BF" w:rsidP="008E33FD">
            <w:pPr>
              <w:pStyle w:val="TableParagraph"/>
              <w:spacing w:line="256" w:lineRule="exact"/>
              <w:ind w:left="313" w:right="303"/>
              <w:jc w:val="both"/>
              <w:rPr>
                <w:color w:val="000000" w:themeColor="text1"/>
                <w:sz w:val="24"/>
                <w:szCs w:val="24"/>
              </w:rPr>
            </w:pPr>
            <w:r w:rsidRPr="00C56257">
              <w:rPr>
                <w:color w:val="000000" w:themeColor="text1"/>
                <w:sz w:val="24"/>
                <w:szCs w:val="24"/>
              </w:rPr>
              <w:t>III-IV</w:t>
            </w:r>
          </w:p>
        </w:tc>
      </w:tr>
      <w:tr w:rsidR="006735BF" w:rsidRPr="00C56257" w14:paraId="1722294D" w14:textId="77777777" w:rsidTr="00511A4E">
        <w:trPr>
          <w:trHeight w:val="275"/>
        </w:trPr>
        <w:tc>
          <w:tcPr>
            <w:tcW w:w="2213" w:type="dxa"/>
            <w:vMerge/>
            <w:tcBorders>
              <w:top w:val="nil"/>
            </w:tcBorders>
          </w:tcPr>
          <w:p w14:paraId="1DC7C386" w14:textId="77777777" w:rsidR="006735BF" w:rsidRPr="00C56257" w:rsidRDefault="006735BF" w:rsidP="008E33FD">
            <w:pPr>
              <w:jc w:val="both"/>
              <w:rPr>
                <w:color w:val="000000" w:themeColor="text1"/>
              </w:rPr>
            </w:pPr>
          </w:p>
        </w:tc>
        <w:tc>
          <w:tcPr>
            <w:tcW w:w="2762" w:type="dxa"/>
            <w:vMerge/>
            <w:tcBorders>
              <w:top w:val="nil"/>
            </w:tcBorders>
          </w:tcPr>
          <w:p w14:paraId="13A4BD6E" w14:textId="77777777" w:rsidR="006735BF" w:rsidRPr="00C56257" w:rsidRDefault="006735BF" w:rsidP="008E33FD">
            <w:pPr>
              <w:jc w:val="both"/>
              <w:rPr>
                <w:color w:val="000000" w:themeColor="text1"/>
              </w:rPr>
            </w:pPr>
          </w:p>
        </w:tc>
        <w:tc>
          <w:tcPr>
            <w:tcW w:w="2121" w:type="dxa"/>
          </w:tcPr>
          <w:p w14:paraId="3203DEF5" w14:textId="77777777" w:rsidR="006735BF" w:rsidRPr="00C56257" w:rsidRDefault="006735BF" w:rsidP="008E33FD">
            <w:pPr>
              <w:pStyle w:val="TableParagraph"/>
              <w:spacing w:line="256" w:lineRule="exact"/>
              <w:ind w:left="130" w:right="119"/>
              <w:jc w:val="both"/>
              <w:rPr>
                <w:color w:val="000000" w:themeColor="text1"/>
                <w:sz w:val="24"/>
                <w:szCs w:val="24"/>
              </w:rPr>
            </w:pPr>
            <w:r w:rsidRPr="00C56257">
              <w:rPr>
                <w:color w:val="000000" w:themeColor="text1"/>
                <w:sz w:val="24"/>
                <w:szCs w:val="24"/>
              </w:rPr>
              <w:t>Estival</w:t>
            </w:r>
          </w:p>
        </w:tc>
        <w:tc>
          <w:tcPr>
            <w:tcW w:w="2370" w:type="dxa"/>
          </w:tcPr>
          <w:p w14:paraId="598D271B" w14:textId="77777777" w:rsidR="006735BF" w:rsidRPr="00C56257" w:rsidRDefault="006735BF" w:rsidP="008E33FD">
            <w:pPr>
              <w:pStyle w:val="TableParagraph"/>
              <w:spacing w:line="256" w:lineRule="exact"/>
              <w:ind w:left="320" w:right="302"/>
              <w:jc w:val="both"/>
              <w:rPr>
                <w:color w:val="000000" w:themeColor="text1"/>
                <w:sz w:val="24"/>
                <w:szCs w:val="24"/>
              </w:rPr>
            </w:pPr>
            <w:r w:rsidRPr="00C56257">
              <w:rPr>
                <w:color w:val="000000" w:themeColor="text1"/>
                <w:sz w:val="24"/>
                <w:szCs w:val="24"/>
              </w:rPr>
              <w:t>V-VIII</w:t>
            </w:r>
          </w:p>
        </w:tc>
      </w:tr>
      <w:tr w:rsidR="006735BF" w:rsidRPr="00C56257" w14:paraId="4E5F42E7" w14:textId="77777777" w:rsidTr="00511A4E">
        <w:trPr>
          <w:trHeight w:val="275"/>
        </w:trPr>
        <w:tc>
          <w:tcPr>
            <w:tcW w:w="2213" w:type="dxa"/>
            <w:vMerge/>
            <w:tcBorders>
              <w:top w:val="nil"/>
            </w:tcBorders>
          </w:tcPr>
          <w:p w14:paraId="1497376E" w14:textId="77777777" w:rsidR="006735BF" w:rsidRPr="00C56257" w:rsidRDefault="006735BF" w:rsidP="008E33FD">
            <w:pPr>
              <w:jc w:val="both"/>
              <w:rPr>
                <w:color w:val="000000" w:themeColor="text1"/>
              </w:rPr>
            </w:pPr>
          </w:p>
        </w:tc>
        <w:tc>
          <w:tcPr>
            <w:tcW w:w="2762" w:type="dxa"/>
            <w:vMerge/>
            <w:tcBorders>
              <w:top w:val="nil"/>
            </w:tcBorders>
          </w:tcPr>
          <w:p w14:paraId="0836433E" w14:textId="77777777" w:rsidR="006735BF" w:rsidRPr="00C56257" w:rsidRDefault="006735BF" w:rsidP="008E33FD">
            <w:pPr>
              <w:jc w:val="both"/>
              <w:rPr>
                <w:color w:val="000000" w:themeColor="text1"/>
              </w:rPr>
            </w:pPr>
          </w:p>
        </w:tc>
        <w:tc>
          <w:tcPr>
            <w:tcW w:w="2121" w:type="dxa"/>
          </w:tcPr>
          <w:p w14:paraId="24BE518E" w14:textId="77777777" w:rsidR="006735BF" w:rsidRPr="00C56257" w:rsidRDefault="006735BF" w:rsidP="008E33FD">
            <w:pPr>
              <w:pStyle w:val="TableParagraph"/>
              <w:spacing w:line="256" w:lineRule="exact"/>
              <w:ind w:left="131" w:right="119"/>
              <w:jc w:val="both"/>
              <w:rPr>
                <w:color w:val="000000" w:themeColor="text1"/>
                <w:sz w:val="24"/>
                <w:szCs w:val="24"/>
              </w:rPr>
            </w:pPr>
            <w:r w:rsidRPr="00C56257">
              <w:rPr>
                <w:color w:val="000000" w:themeColor="text1"/>
                <w:sz w:val="24"/>
                <w:szCs w:val="24"/>
              </w:rPr>
              <w:t>Autumnal</w:t>
            </w:r>
          </w:p>
        </w:tc>
        <w:tc>
          <w:tcPr>
            <w:tcW w:w="2370" w:type="dxa"/>
          </w:tcPr>
          <w:p w14:paraId="344B789F" w14:textId="77777777" w:rsidR="006735BF" w:rsidRPr="00C56257" w:rsidRDefault="006735BF" w:rsidP="008E33FD">
            <w:pPr>
              <w:pStyle w:val="TableParagraph"/>
              <w:spacing w:line="256" w:lineRule="exact"/>
              <w:ind w:left="320" w:right="298"/>
              <w:jc w:val="both"/>
              <w:rPr>
                <w:color w:val="000000" w:themeColor="text1"/>
                <w:sz w:val="24"/>
                <w:szCs w:val="24"/>
              </w:rPr>
            </w:pPr>
            <w:r w:rsidRPr="00C56257">
              <w:rPr>
                <w:color w:val="000000" w:themeColor="text1"/>
                <w:sz w:val="24"/>
                <w:szCs w:val="24"/>
              </w:rPr>
              <w:t>IX-XI</w:t>
            </w:r>
          </w:p>
        </w:tc>
      </w:tr>
      <w:tr w:rsidR="006735BF" w:rsidRPr="00C56257" w14:paraId="4DC7CEAB" w14:textId="77777777" w:rsidTr="00511A4E">
        <w:trPr>
          <w:trHeight w:val="275"/>
        </w:trPr>
        <w:tc>
          <w:tcPr>
            <w:tcW w:w="2213" w:type="dxa"/>
            <w:vMerge/>
            <w:tcBorders>
              <w:top w:val="nil"/>
            </w:tcBorders>
          </w:tcPr>
          <w:p w14:paraId="37967B46" w14:textId="77777777" w:rsidR="006735BF" w:rsidRPr="00C56257" w:rsidRDefault="006735BF" w:rsidP="008E33FD">
            <w:pPr>
              <w:jc w:val="both"/>
              <w:rPr>
                <w:color w:val="000000" w:themeColor="text1"/>
              </w:rPr>
            </w:pPr>
          </w:p>
        </w:tc>
        <w:tc>
          <w:tcPr>
            <w:tcW w:w="2762" w:type="dxa"/>
            <w:vMerge w:val="restart"/>
          </w:tcPr>
          <w:p w14:paraId="230400BA" w14:textId="77777777" w:rsidR="006735BF" w:rsidRPr="00C56257" w:rsidRDefault="006735BF" w:rsidP="008E33FD">
            <w:pPr>
              <w:pStyle w:val="TableParagraph"/>
              <w:spacing w:before="1"/>
              <w:jc w:val="both"/>
              <w:rPr>
                <w:color w:val="000000" w:themeColor="text1"/>
                <w:sz w:val="24"/>
                <w:szCs w:val="24"/>
              </w:rPr>
            </w:pPr>
          </w:p>
          <w:p w14:paraId="6B9CA04E" w14:textId="77777777" w:rsidR="006735BF" w:rsidRPr="00C56257" w:rsidRDefault="006735BF" w:rsidP="008E33FD">
            <w:pPr>
              <w:pStyle w:val="TableParagraph"/>
              <w:ind w:left="472"/>
              <w:jc w:val="both"/>
              <w:rPr>
                <w:color w:val="000000" w:themeColor="text1"/>
                <w:sz w:val="24"/>
                <w:szCs w:val="24"/>
              </w:rPr>
            </w:pPr>
            <w:r w:rsidRPr="00C56257">
              <w:rPr>
                <w:color w:val="000000" w:themeColor="text1"/>
                <w:sz w:val="24"/>
                <w:szCs w:val="24"/>
              </w:rPr>
              <w:t>de</w:t>
            </w:r>
            <w:r w:rsidRPr="00C56257">
              <w:rPr>
                <w:color w:val="000000" w:themeColor="text1"/>
                <w:spacing w:val="-2"/>
                <w:sz w:val="24"/>
                <w:szCs w:val="24"/>
              </w:rPr>
              <w:t xml:space="preserve"> </w:t>
            </w:r>
            <w:r w:rsidRPr="00C56257">
              <w:rPr>
                <w:color w:val="000000" w:themeColor="text1"/>
                <w:sz w:val="24"/>
                <w:szCs w:val="24"/>
              </w:rPr>
              <w:t>dealuri</w:t>
            </w:r>
            <w:r w:rsidRPr="00C56257">
              <w:rPr>
                <w:color w:val="000000" w:themeColor="text1"/>
                <w:spacing w:val="-1"/>
                <w:sz w:val="24"/>
                <w:szCs w:val="24"/>
              </w:rPr>
              <w:t xml:space="preserve"> </w:t>
            </w:r>
            <w:r w:rsidRPr="00C56257">
              <w:rPr>
                <w:color w:val="000000" w:themeColor="text1"/>
                <w:sz w:val="24"/>
                <w:szCs w:val="24"/>
              </w:rPr>
              <w:t>şi</w:t>
            </w:r>
            <w:r w:rsidRPr="00C56257">
              <w:rPr>
                <w:color w:val="000000" w:themeColor="text1"/>
                <w:spacing w:val="-1"/>
                <w:sz w:val="24"/>
                <w:szCs w:val="24"/>
              </w:rPr>
              <w:t xml:space="preserve"> </w:t>
            </w:r>
            <w:r w:rsidRPr="00C56257">
              <w:rPr>
                <w:color w:val="000000" w:themeColor="text1"/>
                <w:sz w:val="24"/>
                <w:szCs w:val="24"/>
              </w:rPr>
              <w:t>coline</w:t>
            </w:r>
          </w:p>
        </w:tc>
        <w:tc>
          <w:tcPr>
            <w:tcW w:w="2121" w:type="dxa"/>
          </w:tcPr>
          <w:p w14:paraId="72BECE23" w14:textId="77777777" w:rsidR="006735BF" w:rsidRPr="00C56257" w:rsidRDefault="006735BF" w:rsidP="008E33FD">
            <w:pPr>
              <w:pStyle w:val="TableParagraph"/>
              <w:spacing w:line="256" w:lineRule="exact"/>
              <w:ind w:left="128" w:right="119"/>
              <w:jc w:val="both"/>
              <w:rPr>
                <w:color w:val="000000" w:themeColor="text1"/>
                <w:sz w:val="24"/>
                <w:szCs w:val="24"/>
              </w:rPr>
            </w:pPr>
            <w:r w:rsidRPr="00C56257">
              <w:rPr>
                <w:color w:val="000000" w:themeColor="text1"/>
                <w:sz w:val="24"/>
                <w:szCs w:val="24"/>
              </w:rPr>
              <w:t>Vernal</w:t>
            </w:r>
          </w:p>
        </w:tc>
        <w:tc>
          <w:tcPr>
            <w:tcW w:w="2370" w:type="dxa"/>
          </w:tcPr>
          <w:p w14:paraId="1CF71405" w14:textId="77777777" w:rsidR="006735BF" w:rsidRPr="00C56257" w:rsidRDefault="006735BF" w:rsidP="008E33FD">
            <w:pPr>
              <w:pStyle w:val="TableParagraph"/>
              <w:spacing w:line="256" w:lineRule="exact"/>
              <w:ind w:left="313" w:right="303"/>
              <w:jc w:val="both"/>
              <w:rPr>
                <w:color w:val="000000" w:themeColor="text1"/>
                <w:sz w:val="24"/>
                <w:szCs w:val="24"/>
              </w:rPr>
            </w:pPr>
            <w:r w:rsidRPr="00C56257">
              <w:rPr>
                <w:color w:val="000000" w:themeColor="text1"/>
                <w:sz w:val="24"/>
                <w:szCs w:val="24"/>
              </w:rPr>
              <w:t>III-IV</w:t>
            </w:r>
          </w:p>
        </w:tc>
      </w:tr>
      <w:tr w:rsidR="006735BF" w:rsidRPr="00C56257" w14:paraId="66774452" w14:textId="77777777" w:rsidTr="00511A4E">
        <w:trPr>
          <w:trHeight w:val="275"/>
        </w:trPr>
        <w:tc>
          <w:tcPr>
            <w:tcW w:w="2213" w:type="dxa"/>
            <w:vMerge/>
            <w:tcBorders>
              <w:top w:val="nil"/>
            </w:tcBorders>
          </w:tcPr>
          <w:p w14:paraId="05506192" w14:textId="77777777" w:rsidR="006735BF" w:rsidRPr="00C56257" w:rsidRDefault="006735BF" w:rsidP="008E33FD">
            <w:pPr>
              <w:jc w:val="both"/>
              <w:rPr>
                <w:color w:val="000000" w:themeColor="text1"/>
              </w:rPr>
            </w:pPr>
          </w:p>
        </w:tc>
        <w:tc>
          <w:tcPr>
            <w:tcW w:w="2762" w:type="dxa"/>
            <w:vMerge/>
            <w:tcBorders>
              <w:top w:val="nil"/>
            </w:tcBorders>
          </w:tcPr>
          <w:p w14:paraId="77BBE3A5" w14:textId="77777777" w:rsidR="006735BF" w:rsidRPr="00C56257" w:rsidRDefault="006735BF" w:rsidP="008E33FD">
            <w:pPr>
              <w:jc w:val="both"/>
              <w:rPr>
                <w:color w:val="000000" w:themeColor="text1"/>
              </w:rPr>
            </w:pPr>
          </w:p>
        </w:tc>
        <w:tc>
          <w:tcPr>
            <w:tcW w:w="2121" w:type="dxa"/>
          </w:tcPr>
          <w:p w14:paraId="7E192753" w14:textId="77777777" w:rsidR="006735BF" w:rsidRPr="00C56257" w:rsidRDefault="006735BF" w:rsidP="008E33FD">
            <w:pPr>
              <w:pStyle w:val="TableParagraph"/>
              <w:spacing w:line="256" w:lineRule="exact"/>
              <w:ind w:left="130" w:right="119"/>
              <w:jc w:val="both"/>
              <w:rPr>
                <w:color w:val="000000" w:themeColor="text1"/>
                <w:sz w:val="24"/>
                <w:szCs w:val="24"/>
              </w:rPr>
            </w:pPr>
            <w:r w:rsidRPr="00C56257">
              <w:rPr>
                <w:color w:val="000000" w:themeColor="text1"/>
                <w:sz w:val="24"/>
                <w:szCs w:val="24"/>
              </w:rPr>
              <w:t>Estival</w:t>
            </w:r>
          </w:p>
        </w:tc>
        <w:tc>
          <w:tcPr>
            <w:tcW w:w="2370" w:type="dxa"/>
          </w:tcPr>
          <w:p w14:paraId="26069B0F" w14:textId="77777777" w:rsidR="006735BF" w:rsidRPr="00C56257" w:rsidRDefault="006735BF" w:rsidP="008E33FD">
            <w:pPr>
              <w:pStyle w:val="TableParagraph"/>
              <w:spacing w:line="256" w:lineRule="exact"/>
              <w:ind w:left="320" w:right="302"/>
              <w:jc w:val="both"/>
              <w:rPr>
                <w:color w:val="000000" w:themeColor="text1"/>
                <w:sz w:val="24"/>
                <w:szCs w:val="24"/>
              </w:rPr>
            </w:pPr>
            <w:r w:rsidRPr="00C56257">
              <w:rPr>
                <w:color w:val="000000" w:themeColor="text1"/>
                <w:sz w:val="24"/>
                <w:szCs w:val="24"/>
              </w:rPr>
              <w:t>V-VIII</w:t>
            </w:r>
          </w:p>
        </w:tc>
      </w:tr>
      <w:tr w:rsidR="006735BF" w:rsidRPr="00C56257" w14:paraId="570C666B" w14:textId="77777777" w:rsidTr="00511A4E">
        <w:trPr>
          <w:trHeight w:val="278"/>
        </w:trPr>
        <w:tc>
          <w:tcPr>
            <w:tcW w:w="2213" w:type="dxa"/>
            <w:vMerge/>
            <w:tcBorders>
              <w:top w:val="nil"/>
            </w:tcBorders>
          </w:tcPr>
          <w:p w14:paraId="0884EEA3" w14:textId="77777777" w:rsidR="006735BF" w:rsidRPr="00C56257" w:rsidRDefault="006735BF" w:rsidP="008E33FD">
            <w:pPr>
              <w:jc w:val="both"/>
              <w:rPr>
                <w:color w:val="000000" w:themeColor="text1"/>
              </w:rPr>
            </w:pPr>
          </w:p>
        </w:tc>
        <w:tc>
          <w:tcPr>
            <w:tcW w:w="2762" w:type="dxa"/>
            <w:vMerge/>
            <w:tcBorders>
              <w:top w:val="nil"/>
            </w:tcBorders>
          </w:tcPr>
          <w:p w14:paraId="6EC38574" w14:textId="77777777" w:rsidR="006735BF" w:rsidRPr="00C56257" w:rsidRDefault="006735BF" w:rsidP="008E33FD">
            <w:pPr>
              <w:jc w:val="both"/>
              <w:rPr>
                <w:color w:val="000000" w:themeColor="text1"/>
              </w:rPr>
            </w:pPr>
          </w:p>
        </w:tc>
        <w:tc>
          <w:tcPr>
            <w:tcW w:w="2121" w:type="dxa"/>
          </w:tcPr>
          <w:p w14:paraId="5DE3B3B7" w14:textId="77777777" w:rsidR="006735BF" w:rsidRPr="00C56257" w:rsidRDefault="006735BF" w:rsidP="008E33FD">
            <w:pPr>
              <w:pStyle w:val="TableParagraph"/>
              <w:spacing w:line="258" w:lineRule="exact"/>
              <w:ind w:left="131" w:right="119"/>
              <w:jc w:val="both"/>
              <w:rPr>
                <w:color w:val="000000" w:themeColor="text1"/>
                <w:sz w:val="24"/>
                <w:szCs w:val="24"/>
              </w:rPr>
            </w:pPr>
            <w:r w:rsidRPr="00C56257">
              <w:rPr>
                <w:color w:val="000000" w:themeColor="text1"/>
                <w:sz w:val="24"/>
                <w:szCs w:val="24"/>
              </w:rPr>
              <w:t>Autumnal</w:t>
            </w:r>
          </w:p>
        </w:tc>
        <w:tc>
          <w:tcPr>
            <w:tcW w:w="2370" w:type="dxa"/>
          </w:tcPr>
          <w:p w14:paraId="037267FF" w14:textId="77777777" w:rsidR="006735BF" w:rsidRPr="00C56257" w:rsidRDefault="006735BF" w:rsidP="008E33FD">
            <w:pPr>
              <w:pStyle w:val="TableParagraph"/>
              <w:spacing w:line="258" w:lineRule="exact"/>
              <w:ind w:left="320" w:right="298"/>
              <w:jc w:val="both"/>
              <w:rPr>
                <w:color w:val="000000" w:themeColor="text1"/>
                <w:sz w:val="24"/>
                <w:szCs w:val="24"/>
              </w:rPr>
            </w:pPr>
            <w:r w:rsidRPr="00C56257">
              <w:rPr>
                <w:color w:val="000000" w:themeColor="text1"/>
                <w:sz w:val="24"/>
                <w:szCs w:val="24"/>
              </w:rPr>
              <w:t>IX-XI</w:t>
            </w:r>
          </w:p>
        </w:tc>
      </w:tr>
      <w:tr w:rsidR="006735BF" w:rsidRPr="00C56257" w14:paraId="14F94BC3" w14:textId="77777777" w:rsidTr="00511A4E">
        <w:trPr>
          <w:trHeight w:val="275"/>
        </w:trPr>
        <w:tc>
          <w:tcPr>
            <w:tcW w:w="2213" w:type="dxa"/>
            <w:vMerge/>
            <w:tcBorders>
              <w:top w:val="nil"/>
            </w:tcBorders>
          </w:tcPr>
          <w:p w14:paraId="11C20D56" w14:textId="77777777" w:rsidR="006735BF" w:rsidRPr="00C56257" w:rsidRDefault="006735BF" w:rsidP="008E33FD">
            <w:pPr>
              <w:jc w:val="both"/>
              <w:rPr>
                <w:color w:val="000000" w:themeColor="text1"/>
              </w:rPr>
            </w:pPr>
          </w:p>
        </w:tc>
        <w:tc>
          <w:tcPr>
            <w:tcW w:w="2762" w:type="dxa"/>
            <w:vMerge w:val="restart"/>
          </w:tcPr>
          <w:p w14:paraId="5C865663" w14:textId="77777777" w:rsidR="006735BF" w:rsidRPr="00C56257" w:rsidRDefault="006735BF" w:rsidP="008E33FD">
            <w:pPr>
              <w:pStyle w:val="TableParagraph"/>
              <w:spacing w:before="1"/>
              <w:jc w:val="both"/>
              <w:rPr>
                <w:color w:val="000000" w:themeColor="text1"/>
                <w:sz w:val="24"/>
                <w:szCs w:val="24"/>
              </w:rPr>
            </w:pPr>
          </w:p>
          <w:p w14:paraId="28ACEC02" w14:textId="77777777" w:rsidR="006735BF" w:rsidRPr="00C56257" w:rsidRDefault="006735BF" w:rsidP="008E33FD">
            <w:pPr>
              <w:pStyle w:val="TableParagraph"/>
              <w:ind w:left="465"/>
              <w:jc w:val="both"/>
              <w:rPr>
                <w:color w:val="000000" w:themeColor="text1"/>
                <w:sz w:val="24"/>
                <w:szCs w:val="24"/>
              </w:rPr>
            </w:pPr>
            <w:r w:rsidRPr="00C56257">
              <w:rPr>
                <w:color w:val="000000" w:themeColor="text1"/>
                <w:sz w:val="24"/>
                <w:szCs w:val="24"/>
              </w:rPr>
              <w:t>de</w:t>
            </w:r>
            <w:r w:rsidRPr="00C56257">
              <w:rPr>
                <w:color w:val="000000" w:themeColor="text1"/>
                <w:spacing w:val="-2"/>
                <w:sz w:val="24"/>
                <w:szCs w:val="24"/>
              </w:rPr>
              <w:t xml:space="preserve"> </w:t>
            </w:r>
            <w:r w:rsidRPr="00C56257">
              <w:rPr>
                <w:color w:val="000000" w:themeColor="text1"/>
                <w:sz w:val="24"/>
                <w:szCs w:val="24"/>
              </w:rPr>
              <w:t>muncei</w:t>
            </w:r>
            <w:r w:rsidRPr="00C56257">
              <w:rPr>
                <w:color w:val="000000" w:themeColor="text1"/>
                <w:spacing w:val="-1"/>
                <w:sz w:val="24"/>
                <w:szCs w:val="24"/>
              </w:rPr>
              <w:t xml:space="preserve"> </w:t>
            </w:r>
            <w:r w:rsidRPr="00C56257">
              <w:rPr>
                <w:color w:val="000000" w:themeColor="text1"/>
                <w:sz w:val="24"/>
                <w:szCs w:val="24"/>
              </w:rPr>
              <w:t>şi</w:t>
            </w:r>
            <w:r w:rsidRPr="00C56257">
              <w:rPr>
                <w:color w:val="000000" w:themeColor="text1"/>
                <w:spacing w:val="-1"/>
                <w:sz w:val="24"/>
                <w:szCs w:val="24"/>
              </w:rPr>
              <w:t xml:space="preserve"> </w:t>
            </w:r>
            <w:r w:rsidRPr="00C56257">
              <w:rPr>
                <w:color w:val="000000" w:themeColor="text1"/>
                <w:sz w:val="24"/>
                <w:szCs w:val="24"/>
              </w:rPr>
              <w:t>munţi</w:t>
            </w:r>
          </w:p>
        </w:tc>
        <w:tc>
          <w:tcPr>
            <w:tcW w:w="2121" w:type="dxa"/>
          </w:tcPr>
          <w:p w14:paraId="0CE6CC9D" w14:textId="77777777" w:rsidR="006735BF" w:rsidRPr="00C56257" w:rsidRDefault="006735BF" w:rsidP="008E33FD">
            <w:pPr>
              <w:pStyle w:val="TableParagraph"/>
              <w:spacing w:line="256" w:lineRule="exact"/>
              <w:ind w:left="128" w:right="119"/>
              <w:jc w:val="both"/>
              <w:rPr>
                <w:color w:val="000000" w:themeColor="text1"/>
                <w:sz w:val="24"/>
                <w:szCs w:val="24"/>
              </w:rPr>
            </w:pPr>
            <w:r w:rsidRPr="00C56257">
              <w:rPr>
                <w:color w:val="000000" w:themeColor="text1"/>
                <w:sz w:val="24"/>
                <w:szCs w:val="24"/>
              </w:rPr>
              <w:t>Vernal</w:t>
            </w:r>
          </w:p>
        </w:tc>
        <w:tc>
          <w:tcPr>
            <w:tcW w:w="2370" w:type="dxa"/>
          </w:tcPr>
          <w:p w14:paraId="0D446C3E" w14:textId="77777777" w:rsidR="006735BF" w:rsidRPr="00C56257" w:rsidRDefault="006735BF" w:rsidP="008E33FD">
            <w:pPr>
              <w:pStyle w:val="TableParagraph"/>
              <w:spacing w:line="256" w:lineRule="exact"/>
              <w:ind w:left="318" w:right="303"/>
              <w:jc w:val="both"/>
              <w:rPr>
                <w:color w:val="000000" w:themeColor="text1"/>
                <w:sz w:val="24"/>
                <w:szCs w:val="24"/>
              </w:rPr>
            </w:pPr>
            <w:r w:rsidRPr="00C56257">
              <w:rPr>
                <w:color w:val="000000" w:themeColor="text1"/>
                <w:sz w:val="24"/>
                <w:szCs w:val="24"/>
              </w:rPr>
              <w:t>IV-V</w:t>
            </w:r>
          </w:p>
        </w:tc>
      </w:tr>
      <w:tr w:rsidR="006735BF" w:rsidRPr="00C56257" w14:paraId="415A97D5" w14:textId="77777777" w:rsidTr="00511A4E">
        <w:trPr>
          <w:trHeight w:val="275"/>
        </w:trPr>
        <w:tc>
          <w:tcPr>
            <w:tcW w:w="2213" w:type="dxa"/>
            <w:vMerge/>
            <w:tcBorders>
              <w:top w:val="nil"/>
            </w:tcBorders>
          </w:tcPr>
          <w:p w14:paraId="3ADC2506" w14:textId="77777777" w:rsidR="006735BF" w:rsidRPr="00C56257" w:rsidRDefault="006735BF" w:rsidP="008E33FD">
            <w:pPr>
              <w:jc w:val="both"/>
              <w:rPr>
                <w:color w:val="000000" w:themeColor="text1"/>
              </w:rPr>
            </w:pPr>
          </w:p>
        </w:tc>
        <w:tc>
          <w:tcPr>
            <w:tcW w:w="2762" w:type="dxa"/>
            <w:vMerge/>
            <w:tcBorders>
              <w:top w:val="nil"/>
            </w:tcBorders>
          </w:tcPr>
          <w:p w14:paraId="2A851EF6" w14:textId="77777777" w:rsidR="006735BF" w:rsidRPr="00C56257" w:rsidRDefault="006735BF" w:rsidP="008E33FD">
            <w:pPr>
              <w:jc w:val="both"/>
              <w:rPr>
                <w:color w:val="000000" w:themeColor="text1"/>
              </w:rPr>
            </w:pPr>
          </w:p>
        </w:tc>
        <w:tc>
          <w:tcPr>
            <w:tcW w:w="2121" w:type="dxa"/>
          </w:tcPr>
          <w:p w14:paraId="50019DA8" w14:textId="77777777" w:rsidR="006735BF" w:rsidRPr="00C56257" w:rsidRDefault="006735BF" w:rsidP="008E33FD">
            <w:pPr>
              <w:pStyle w:val="TableParagraph"/>
              <w:spacing w:line="256" w:lineRule="exact"/>
              <w:ind w:left="130" w:right="119"/>
              <w:jc w:val="both"/>
              <w:rPr>
                <w:color w:val="000000" w:themeColor="text1"/>
                <w:sz w:val="24"/>
                <w:szCs w:val="24"/>
              </w:rPr>
            </w:pPr>
            <w:r w:rsidRPr="00C56257">
              <w:rPr>
                <w:color w:val="000000" w:themeColor="text1"/>
                <w:sz w:val="24"/>
                <w:szCs w:val="24"/>
              </w:rPr>
              <w:t>Estival</w:t>
            </w:r>
          </w:p>
        </w:tc>
        <w:tc>
          <w:tcPr>
            <w:tcW w:w="2370" w:type="dxa"/>
          </w:tcPr>
          <w:p w14:paraId="690A0B26" w14:textId="77777777" w:rsidR="006735BF" w:rsidRPr="00C56257" w:rsidRDefault="006735BF" w:rsidP="008E33FD">
            <w:pPr>
              <w:pStyle w:val="TableParagraph"/>
              <w:spacing w:line="256" w:lineRule="exact"/>
              <w:ind w:left="320" w:right="301"/>
              <w:jc w:val="both"/>
              <w:rPr>
                <w:color w:val="000000" w:themeColor="text1"/>
                <w:sz w:val="24"/>
                <w:szCs w:val="24"/>
              </w:rPr>
            </w:pPr>
            <w:r w:rsidRPr="00C56257">
              <w:rPr>
                <w:color w:val="000000" w:themeColor="text1"/>
                <w:sz w:val="24"/>
                <w:szCs w:val="24"/>
              </w:rPr>
              <w:t>VI-VII</w:t>
            </w:r>
          </w:p>
        </w:tc>
      </w:tr>
      <w:tr w:rsidR="006735BF" w:rsidRPr="00C56257" w14:paraId="43737B4B" w14:textId="77777777" w:rsidTr="00511A4E">
        <w:trPr>
          <w:trHeight w:val="276"/>
        </w:trPr>
        <w:tc>
          <w:tcPr>
            <w:tcW w:w="2213" w:type="dxa"/>
            <w:vMerge/>
            <w:tcBorders>
              <w:top w:val="nil"/>
            </w:tcBorders>
          </w:tcPr>
          <w:p w14:paraId="4B7F96DA" w14:textId="77777777" w:rsidR="006735BF" w:rsidRPr="00C56257" w:rsidRDefault="006735BF" w:rsidP="008E33FD">
            <w:pPr>
              <w:jc w:val="both"/>
              <w:rPr>
                <w:color w:val="000000" w:themeColor="text1"/>
              </w:rPr>
            </w:pPr>
          </w:p>
        </w:tc>
        <w:tc>
          <w:tcPr>
            <w:tcW w:w="2762" w:type="dxa"/>
            <w:vMerge/>
            <w:tcBorders>
              <w:top w:val="nil"/>
            </w:tcBorders>
          </w:tcPr>
          <w:p w14:paraId="78CB062E" w14:textId="77777777" w:rsidR="006735BF" w:rsidRPr="00C56257" w:rsidRDefault="006735BF" w:rsidP="008E33FD">
            <w:pPr>
              <w:jc w:val="both"/>
              <w:rPr>
                <w:color w:val="000000" w:themeColor="text1"/>
              </w:rPr>
            </w:pPr>
          </w:p>
        </w:tc>
        <w:tc>
          <w:tcPr>
            <w:tcW w:w="2121" w:type="dxa"/>
          </w:tcPr>
          <w:p w14:paraId="1FB8FC83" w14:textId="77777777" w:rsidR="006735BF" w:rsidRPr="00C56257" w:rsidRDefault="006735BF" w:rsidP="008E33FD">
            <w:pPr>
              <w:pStyle w:val="TableParagraph"/>
              <w:spacing w:line="256" w:lineRule="exact"/>
              <w:ind w:left="131" w:right="119"/>
              <w:jc w:val="both"/>
              <w:rPr>
                <w:color w:val="000000" w:themeColor="text1"/>
                <w:sz w:val="24"/>
                <w:szCs w:val="24"/>
              </w:rPr>
            </w:pPr>
            <w:r w:rsidRPr="00C56257">
              <w:rPr>
                <w:color w:val="000000" w:themeColor="text1"/>
                <w:sz w:val="24"/>
                <w:szCs w:val="24"/>
              </w:rPr>
              <w:t>Autumnal</w:t>
            </w:r>
          </w:p>
        </w:tc>
        <w:tc>
          <w:tcPr>
            <w:tcW w:w="2370" w:type="dxa"/>
          </w:tcPr>
          <w:p w14:paraId="16BBF35A" w14:textId="77777777" w:rsidR="006735BF" w:rsidRPr="00C56257" w:rsidRDefault="006735BF" w:rsidP="008E33FD">
            <w:pPr>
              <w:pStyle w:val="TableParagraph"/>
              <w:spacing w:line="256" w:lineRule="exact"/>
              <w:ind w:left="318" w:right="303"/>
              <w:jc w:val="both"/>
              <w:rPr>
                <w:color w:val="000000" w:themeColor="text1"/>
                <w:sz w:val="24"/>
                <w:szCs w:val="24"/>
              </w:rPr>
            </w:pPr>
            <w:r w:rsidRPr="00C56257">
              <w:rPr>
                <w:color w:val="000000" w:themeColor="text1"/>
                <w:sz w:val="24"/>
                <w:szCs w:val="24"/>
              </w:rPr>
              <w:t>IX-X</w:t>
            </w:r>
          </w:p>
        </w:tc>
      </w:tr>
      <w:tr w:rsidR="006735BF" w:rsidRPr="00C56257" w14:paraId="7FF6803F" w14:textId="77777777" w:rsidTr="00511A4E">
        <w:trPr>
          <w:trHeight w:val="275"/>
        </w:trPr>
        <w:tc>
          <w:tcPr>
            <w:tcW w:w="2213" w:type="dxa"/>
            <w:vMerge/>
            <w:tcBorders>
              <w:top w:val="nil"/>
            </w:tcBorders>
          </w:tcPr>
          <w:p w14:paraId="404DBD8B" w14:textId="77777777" w:rsidR="006735BF" w:rsidRPr="00C56257" w:rsidRDefault="006735BF" w:rsidP="008E33FD">
            <w:pPr>
              <w:jc w:val="both"/>
              <w:rPr>
                <w:color w:val="000000" w:themeColor="text1"/>
              </w:rPr>
            </w:pPr>
          </w:p>
        </w:tc>
        <w:tc>
          <w:tcPr>
            <w:tcW w:w="2762" w:type="dxa"/>
            <w:vMerge w:val="restart"/>
          </w:tcPr>
          <w:p w14:paraId="016D5A69" w14:textId="77777777" w:rsidR="006735BF" w:rsidRPr="00C56257" w:rsidRDefault="006735BF" w:rsidP="008E33FD">
            <w:pPr>
              <w:pStyle w:val="TableParagraph"/>
              <w:spacing w:before="1"/>
              <w:jc w:val="both"/>
              <w:rPr>
                <w:color w:val="000000" w:themeColor="text1"/>
                <w:sz w:val="24"/>
                <w:szCs w:val="24"/>
              </w:rPr>
            </w:pPr>
          </w:p>
          <w:p w14:paraId="5B322A9C" w14:textId="77777777" w:rsidR="006735BF" w:rsidRPr="00C56257" w:rsidRDefault="006735BF" w:rsidP="008E33FD">
            <w:pPr>
              <w:pStyle w:val="TableParagraph"/>
              <w:ind w:left="489"/>
              <w:jc w:val="both"/>
              <w:rPr>
                <w:color w:val="000000" w:themeColor="text1"/>
                <w:sz w:val="24"/>
                <w:szCs w:val="24"/>
              </w:rPr>
            </w:pPr>
            <w:r w:rsidRPr="00C56257">
              <w:rPr>
                <w:color w:val="000000" w:themeColor="text1"/>
                <w:sz w:val="24"/>
                <w:szCs w:val="24"/>
              </w:rPr>
              <w:t>subalpine</w:t>
            </w:r>
            <w:r w:rsidRPr="00C56257">
              <w:rPr>
                <w:color w:val="000000" w:themeColor="text1"/>
                <w:spacing w:val="-4"/>
                <w:sz w:val="24"/>
                <w:szCs w:val="24"/>
              </w:rPr>
              <w:t xml:space="preserve"> </w:t>
            </w:r>
            <w:r w:rsidRPr="00C56257">
              <w:rPr>
                <w:color w:val="000000" w:themeColor="text1"/>
                <w:sz w:val="24"/>
                <w:szCs w:val="24"/>
              </w:rPr>
              <w:t>şi</w:t>
            </w:r>
            <w:r w:rsidRPr="00C56257">
              <w:rPr>
                <w:color w:val="000000" w:themeColor="text1"/>
                <w:spacing w:val="-4"/>
                <w:sz w:val="24"/>
                <w:szCs w:val="24"/>
              </w:rPr>
              <w:t xml:space="preserve"> </w:t>
            </w:r>
            <w:r w:rsidRPr="00C56257">
              <w:rPr>
                <w:color w:val="000000" w:themeColor="text1"/>
                <w:sz w:val="24"/>
                <w:szCs w:val="24"/>
              </w:rPr>
              <w:t>alpine</w:t>
            </w:r>
          </w:p>
        </w:tc>
        <w:tc>
          <w:tcPr>
            <w:tcW w:w="2121" w:type="dxa"/>
          </w:tcPr>
          <w:p w14:paraId="2E9992EB" w14:textId="77777777" w:rsidR="006735BF" w:rsidRPr="00C56257" w:rsidRDefault="006735BF" w:rsidP="008E33FD">
            <w:pPr>
              <w:pStyle w:val="TableParagraph"/>
              <w:spacing w:line="256" w:lineRule="exact"/>
              <w:ind w:left="128" w:right="119"/>
              <w:jc w:val="both"/>
              <w:rPr>
                <w:color w:val="000000" w:themeColor="text1"/>
                <w:sz w:val="24"/>
                <w:szCs w:val="24"/>
              </w:rPr>
            </w:pPr>
            <w:r w:rsidRPr="00C56257">
              <w:rPr>
                <w:color w:val="000000" w:themeColor="text1"/>
                <w:sz w:val="24"/>
                <w:szCs w:val="24"/>
              </w:rPr>
              <w:t>Vernal</w:t>
            </w:r>
          </w:p>
        </w:tc>
        <w:tc>
          <w:tcPr>
            <w:tcW w:w="2370" w:type="dxa"/>
          </w:tcPr>
          <w:p w14:paraId="54A6040E" w14:textId="77777777" w:rsidR="006735BF" w:rsidRPr="00C56257" w:rsidRDefault="006735BF" w:rsidP="008E33FD">
            <w:pPr>
              <w:pStyle w:val="TableParagraph"/>
              <w:spacing w:line="256" w:lineRule="exact"/>
              <w:ind w:left="320" w:right="298"/>
              <w:jc w:val="both"/>
              <w:rPr>
                <w:color w:val="000000" w:themeColor="text1"/>
                <w:sz w:val="24"/>
                <w:szCs w:val="24"/>
              </w:rPr>
            </w:pPr>
            <w:r w:rsidRPr="00C56257">
              <w:rPr>
                <w:color w:val="000000" w:themeColor="text1"/>
                <w:sz w:val="24"/>
                <w:szCs w:val="24"/>
              </w:rPr>
              <w:t>IV-VI</w:t>
            </w:r>
          </w:p>
        </w:tc>
      </w:tr>
      <w:tr w:rsidR="006735BF" w:rsidRPr="00C56257" w14:paraId="0129A0CC" w14:textId="77777777" w:rsidTr="00511A4E">
        <w:trPr>
          <w:trHeight w:val="275"/>
        </w:trPr>
        <w:tc>
          <w:tcPr>
            <w:tcW w:w="2213" w:type="dxa"/>
            <w:vMerge/>
            <w:tcBorders>
              <w:top w:val="nil"/>
            </w:tcBorders>
          </w:tcPr>
          <w:p w14:paraId="2EA2F80F" w14:textId="77777777" w:rsidR="006735BF" w:rsidRPr="00C56257" w:rsidRDefault="006735BF" w:rsidP="008E33FD">
            <w:pPr>
              <w:jc w:val="both"/>
              <w:rPr>
                <w:color w:val="000000" w:themeColor="text1"/>
              </w:rPr>
            </w:pPr>
          </w:p>
        </w:tc>
        <w:tc>
          <w:tcPr>
            <w:tcW w:w="2762" w:type="dxa"/>
            <w:vMerge/>
            <w:tcBorders>
              <w:top w:val="nil"/>
            </w:tcBorders>
          </w:tcPr>
          <w:p w14:paraId="3D132500" w14:textId="77777777" w:rsidR="006735BF" w:rsidRPr="00C56257" w:rsidRDefault="006735BF" w:rsidP="008E33FD">
            <w:pPr>
              <w:jc w:val="both"/>
              <w:rPr>
                <w:color w:val="000000" w:themeColor="text1"/>
              </w:rPr>
            </w:pPr>
          </w:p>
        </w:tc>
        <w:tc>
          <w:tcPr>
            <w:tcW w:w="2121" w:type="dxa"/>
          </w:tcPr>
          <w:p w14:paraId="227F4AC4" w14:textId="77777777" w:rsidR="006735BF" w:rsidRPr="00C56257" w:rsidRDefault="006735BF" w:rsidP="008E33FD">
            <w:pPr>
              <w:pStyle w:val="TableParagraph"/>
              <w:spacing w:line="256" w:lineRule="exact"/>
              <w:ind w:left="130" w:right="119"/>
              <w:jc w:val="both"/>
              <w:rPr>
                <w:color w:val="000000" w:themeColor="text1"/>
                <w:sz w:val="24"/>
                <w:szCs w:val="24"/>
              </w:rPr>
            </w:pPr>
            <w:r w:rsidRPr="00C56257">
              <w:rPr>
                <w:color w:val="000000" w:themeColor="text1"/>
                <w:sz w:val="24"/>
                <w:szCs w:val="24"/>
              </w:rPr>
              <w:t>Estival</w:t>
            </w:r>
          </w:p>
        </w:tc>
        <w:tc>
          <w:tcPr>
            <w:tcW w:w="2370" w:type="dxa"/>
          </w:tcPr>
          <w:p w14:paraId="08640BE9" w14:textId="77777777" w:rsidR="006735BF" w:rsidRPr="00C56257" w:rsidRDefault="006735BF" w:rsidP="008E33FD">
            <w:pPr>
              <w:pStyle w:val="TableParagraph"/>
              <w:spacing w:line="256" w:lineRule="exact"/>
              <w:ind w:left="320" w:right="300"/>
              <w:jc w:val="both"/>
              <w:rPr>
                <w:color w:val="000000" w:themeColor="text1"/>
                <w:sz w:val="24"/>
                <w:szCs w:val="24"/>
              </w:rPr>
            </w:pPr>
            <w:r w:rsidRPr="00C56257">
              <w:rPr>
                <w:color w:val="000000" w:themeColor="text1"/>
                <w:sz w:val="24"/>
                <w:szCs w:val="24"/>
              </w:rPr>
              <w:t>VII-VIII</w:t>
            </w:r>
          </w:p>
        </w:tc>
      </w:tr>
      <w:tr w:rsidR="006735BF" w:rsidRPr="00C56257" w14:paraId="2523EB46" w14:textId="77777777" w:rsidTr="00511A4E">
        <w:trPr>
          <w:trHeight w:val="277"/>
        </w:trPr>
        <w:tc>
          <w:tcPr>
            <w:tcW w:w="2213" w:type="dxa"/>
            <w:vMerge/>
            <w:tcBorders>
              <w:top w:val="nil"/>
            </w:tcBorders>
          </w:tcPr>
          <w:p w14:paraId="350A5999" w14:textId="77777777" w:rsidR="006735BF" w:rsidRPr="00C56257" w:rsidRDefault="006735BF" w:rsidP="008E33FD">
            <w:pPr>
              <w:jc w:val="both"/>
              <w:rPr>
                <w:color w:val="000000" w:themeColor="text1"/>
              </w:rPr>
            </w:pPr>
          </w:p>
        </w:tc>
        <w:tc>
          <w:tcPr>
            <w:tcW w:w="2762" w:type="dxa"/>
            <w:vMerge/>
            <w:tcBorders>
              <w:top w:val="nil"/>
            </w:tcBorders>
          </w:tcPr>
          <w:p w14:paraId="691C11DB" w14:textId="77777777" w:rsidR="006735BF" w:rsidRPr="00C56257" w:rsidRDefault="006735BF" w:rsidP="008E33FD">
            <w:pPr>
              <w:jc w:val="both"/>
              <w:rPr>
                <w:color w:val="000000" w:themeColor="text1"/>
              </w:rPr>
            </w:pPr>
          </w:p>
        </w:tc>
        <w:tc>
          <w:tcPr>
            <w:tcW w:w="2121" w:type="dxa"/>
          </w:tcPr>
          <w:p w14:paraId="74E5EAA4" w14:textId="77777777" w:rsidR="006735BF" w:rsidRPr="00C56257" w:rsidRDefault="006735BF" w:rsidP="008E33FD">
            <w:pPr>
              <w:pStyle w:val="TableParagraph"/>
              <w:spacing w:line="258" w:lineRule="exact"/>
              <w:ind w:left="131" w:right="119"/>
              <w:jc w:val="both"/>
              <w:rPr>
                <w:color w:val="000000" w:themeColor="text1"/>
                <w:sz w:val="24"/>
                <w:szCs w:val="24"/>
              </w:rPr>
            </w:pPr>
            <w:r w:rsidRPr="00C56257">
              <w:rPr>
                <w:color w:val="000000" w:themeColor="text1"/>
                <w:sz w:val="24"/>
                <w:szCs w:val="24"/>
              </w:rPr>
              <w:t>Autumnal</w:t>
            </w:r>
          </w:p>
        </w:tc>
        <w:tc>
          <w:tcPr>
            <w:tcW w:w="2370" w:type="dxa"/>
          </w:tcPr>
          <w:p w14:paraId="33678346" w14:textId="77777777" w:rsidR="006735BF" w:rsidRPr="00C56257" w:rsidRDefault="006735BF" w:rsidP="008E33FD">
            <w:pPr>
              <w:pStyle w:val="TableParagraph"/>
              <w:spacing w:line="258" w:lineRule="exact"/>
              <w:ind w:left="320" w:right="298"/>
              <w:jc w:val="both"/>
              <w:rPr>
                <w:color w:val="000000" w:themeColor="text1"/>
                <w:sz w:val="24"/>
                <w:szCs w:val="24"/>
              </w:rPr>
            </w:pPr>
            <w:r w:rsidRPr="00C56257">
              <w:rPr>
                <w:color w:val="000000" w:themeColor="text1"/>
                <w:sz w:val="24"/>
                <w:szCs w:val="24"/>
              </w:rPr>
              <w:t>IX-XI</w:t>
            </w:r>
          </w:p>
        </w:tc>
      </w:tr>
      <w:tr w:rsidR="006735BF" w:rsidRPr="00C56257" w14:paraId="0BD4A703" w14:textId="77777777" w:rsidTr="00511A4E">
        <w:trPr>
          <w:trHeight w:val="275"/>
        </w:trPr>
        <w:tc>
          <w:tcPr>
            <w:tcW w:w="2213" w:type="dxa"/>
            <w:vMerge/>
            <w:tcBorders>
              <w:top w:val="nil"/>
            </w:tcBorders>
          </w:tcPr>
          <w:p w14:paraId="6E05A3E9" w14:textId="77777777" w:rsidR="006735BF" w:rsidRPr="00C56257" w:rsidRDefault="006735BF" w:rsidP="008E33FD">
            <w:pPr>
              <w:jc w:val="both"/>
              <w:rPr>
                <w:color w:val="000000" w:themeColor="text1"/>
              </w:rPr>
            </w:pPr>
          </w:p>
        </w:tc>
        <w:tc>
          <w:tcPr>
            <w:tcW w:w="2762" w:type="dxa"/>
            <w:vMerge w:val="restart"/>
          </w:tcPr>
          <w:p w14:paraId="696E066C" w14:textId="77777777" w:rsidR="006735BF" w:rsidRPr="00C56257" w:rsidRDefault="006735BF" w:rsidP="008E33FD">
            <w:pPr>
              <w:pStyle w:val="TableParagraph"/>
              <w:spacing w:before="1"/>
              <w:jc w:val="both"/>
              <w:rPr>
                <w:color w:val="000000" w:themeColor="text1"/>
                <w:sz w:val="24"/>
                <w:szCs w:val="24"/>
              </w:rPr>
            </w:pPr>
          </w:p>
          <w:p w14:paraId="3CF942EA" w14:textId="77777777" w:rsidR="006735BF" w:rsidRPr="00C56257" w:rsidRDefault="006735BF" w:rsidP="008E33FD">
            <w:pPr>
              <w:pStyle w:val="TableParagraph"/>
              <w:ind w:left="472"/>
              <w:jc w:val="both"/>
              <w:rPr>
                <w:color w:val="000000" w:themeColor="text1"/>
                <w:sz w:val="24"/>
                <w:szCs w:val="24"/>
              </w:rPr>
            </w:pPr>
            <w:r w:rsidRPr="00C56257">
              <w:rPr>
                <w:color w:val="000000" w:themeColor="text1"/>
                <w:sz w:val="24"/>
                <w:szCs w:val="24"/>
              </w:rPr>
              <w:t>halofile</w:t>
            </w:r>
            <w:r w:rsidRPr="00C56257">
              <w:rPr>
                <w:color w:val="000000" w:themeColor="text1"/>
                <w:spacing w:val="-1"/>
                <w:sz w:val="24"/>
                <w:szCs w:val="24"/>
              </w:rPr>
              <w:t xml:space="preserve"> </w:t>
            </w:r>
            <w:r w:rsidRPr="00C56257">
              <w:rPr>
                <w:color w:val="000000" w:themeColor="text1"/>
                <w:sz w:val="24"/>
                <w:szCs w:val="24"/>
              </w:rPr>
              <w:t>şi</w:t>
            </w:r>
            <w:r w:rsidRPr="00C56257">
              <w:rPr>
                <w:color w:val="000000" w:themeColor="text1"/>
                <w:spacing w:val="-2"/>
                <w:sz w:val="24"/>
                <w:szCs w:val="24"/>
              </w:rPr>
              <w:t xml:space="preserve"> </w:t>
            </w:r>
            <w:r w:rsidRPr="00C56257">
              <w:rPr>
                <w:color w:val="000000" w:themeColor="text1"/>
                <w:sz w:val="24"/>
                <w:szCs w:val="24"/>
              </w:rPr>
              <w:t>de</w:t>
            </w:r>
            <w:r w:rsidRPr="00C56257">
              <w:rPr>
                <w:color w:val="000000" w:themeColor="text1"/>
                <w:spacing w:val="-1"/>
                <w:sz w:val="24"/>
                <w:szCs w:val="24"/>
              </w:rPr>
              <w:t xml:space="preserve"> </w:t>
            </w:r>
            <w:r w:rsidRPr="00C56257">
              <w:rPr>
                <w:color w:val="000000" w:themeColor="text1"/>
                <w:sz w:val="24"/>
                <w:szCs w:val="24"/>
              </w:rPr>
              <w:t>luncă</w:t>
            </w:r>
          </w:p>
        </w:tc>
        <w:tc>
          <w:tcPr>
            <w:tcW w:w="2121" w:type="dxa"/>
          </w:tcPr>
          <w:p w14:paraId="4188D124" w14:textId="77777777" w:rsidR="006735BF" w:rsidRPr="00C56257" w:rsidRDefault="006735BF" w:rsidP="008E33FD">
            <w:pPr>
              <w:pStyle w:val="TableParagraph"/>
              <w:spacing w:line="256" w:lineRule="exact"/>
              <w:ind w:left="128" w:right="119"/>
              <w:jc w:val="both"/>
              <w:rPr>
                <w:color w:val="000000" w:themeColor="text1"/>
                <w:sz w:val="24"/>
                <w:szCs w:val="24"/>
              </w:rPr>
            </w:pPr>
            <w:r w:rsidRPr="00C56257">
              <w:rPr>
                <w:color w:val="000000" w:themeColor="text1"/>
                <w:sz w:val="24"/>
                <w:szCs w:val="24"/>
              </w:rPr>
              <w:t>Vernal</w:t>
            </w:r>
          </w:p>
        </w:tc>
        <w:tc>
          <w:tcPr>
            <w:tcW w:w="2370" w:type="dxa"/>
          </w:tcPr>
          <w:p w14:paraId="38CC2C84" w14:textId="77777777" w:rsidR="006735BF" w:rsidRPr="00C56257" w:rsidRDefault="006735BF" w:rsidP="008E33FD">
            <w:pPr>
              <w:pStyle w:val="TableParagraph"/>
              <w:spacing w:line="256" w:lineRule="exact"/>
              <w:ind w:left="318" w:right="303"/>
              <w:jc w:val="both"/>
              <w:rPr>
                <w:color w:val="000000" w:themeColor="text1"/>
                <w:sz w:val="24"/>
                <w:szCs w:val="24"/>
              </w:rPr>
            </w:pPr>
            <w:r w:rsidRPr="00C56257">
              <w:rPr>
                <w:color w:val="000000" w:themeColor="text1"/>
                <w:sz w:val="24"/>
                <w:szCs w:val="24"/>
              </w:rPr>
              <w:t>III-V</w:t>
            </w:r>
          </w:p>
        </w:tc>
      </w:tr>
      <w:tr w:rsidR="006735BF" w:rsidRPr="00C56257" w14:paraId="092F436F" w14:textId="77777777" w:rsidTr="00511A4E">
        <w:trPr>
          <w:trHeight w:val="275"/>
        </w:trPr>
        <w:tc>
          <w:tcPr>
            <w:tcW w:w="2213" w:type="dxa"/>
            <w:vMerge/>
            <w:tcBorders>
              <w:top w:val="nil"/>
            </w:tcBorders>
          </w:tcPr>
          <w:p w14:paraId="7817D682" w14:textId="77777777" w:rsidR="006735BF" w:rsidRPr="00C56257" w:rsidRDefault="006735BF" w:rsidP="008E33FD">
            <w:pPr>
              <w:jc w:val="both"/>
              <w:rPr>
                <w:color w:val="000000" w:themeColor="text1"/>
              </w:rPr>
            </w:pPr>
          </w:p>
        </w:tc>
        <w:tc>
          <w:tcPr>
            <w:tcW w:w="2762" w:type="dxa"/>
            <w:vMerge/>
            <w:tcBorders>
              <w:top w:val="nil"/>
            </w:tcBorders>
          </w:tcPr>
          <w:p w14:paraId="458D30D0" w14:textId="77777777" w:rsidR="006735BF" w:rsidRPr="00C56257" w:rsidRDefault="006735BF" w:rsidP="008E33FD">
            <w:pPr>
              <w:jc w:val="both"/>
              <w:rPr>
                <w:color w:val="000000" w:themeColor="text1"/>
              </w:rPr>
            </w:pPr>
          </w:p>
        </w:tc>
        <w:tc>
          <w:tcPr>
            <w:tcW w:w="2121" w:type="dxa"/>
          </w:tcPr>
          <w:p w14:paraId="54967181" w14:textId="77777777" w:rsidR="006735BF" w:rsidRPr="00C56257" w:rsidRDefault="006735BF" w:rsidP="008E33FD">
            <w:pPr>
              <w:pStyle w:val="TableParagraph"/>
              <w:spacing w:line="256" w:lineRule="exact"/>
              <w:ind w:left="130" w:right="119"/>
              <w:jc w:val="both"/>
              <w:rPr>
                <w:color w:val="000000" w:themeColor="text1"/>
                <w:sz w:val="24"/>
                <w:szCs w:val="24"/>
              </w:rPr>
            </w:pPr>
            <w:r w:rsidRPr="00C56257">
              <w:rPr>
                <w:color w:val="000000" w:themeColor="text1"/>
                <w:sz w:val="24"/>
                <w:szCs w:val="24"/>
              </w:rPr>
              <w:t>Estival</w:t>
            </w:r>
          </w:p>
        </w:tc>
        <w:tc>
          <w:tcPr>
            <w:tcW w:w="2370" w:type="dxa"/>
          </w:tcPr>
          <w:p w14:paraId="2A8D48D1" w14:textId="77777777" w:rsidR="006735BF" w:rsidRPr="00C56257" w:rsidRDefault="006735BF" w:rsidP="008E33FD">
            <w:pPr>
              <w:pStyle w:val="TableParagraph"/>
              <w:spacing w:line="256" w:lineRule="exact"/>
              <w:ind w:left="318" w:right="303"/>
              <w:jc w:val="both"/>
              <w:rPr>
                <w:color w:val="000000" w:themeColor="text1"/>
                <w:sz w:val="24"/>
                <w:szCs w:val="24"/>
              </w:rPr>
            </w:pPr>
            <w:r w:rsidRPr="00C56257">
              <w:rPr>
                <w:color w:val="000000" w:themeColor="text1"/>
                <w:sz w:val="24"/>
                <w:szCs w:val="24"/>
              </w:rPr>
              <w:t>VI-VIII</w:t>
            </w:r>
          </w:p>
        </w:tc>
      </w:tr>
      <w:tr w:rsidR="006735BF" w:rsidRPr="00C56257" w14:paraId="1A19E1BF" w14:textId="77777777" w:rsidTr="00511A4E">
        <w:trPr>
          <w:trHeight w:val="275"/>
        </w:trPr>
        <w:tc>
          <w:tcPr>
            <w:tcW w:w="2213" w:type="dxa"/>
            <w:vMerge/>
            <w:tcBorders>
              <w:top w:val="nil"/>
            </w:tcBorders>
          </w:tcPr>
          <w:p w14:paraId="753AB411" w14:textId="77777777" w:rsidR="006735BF" w:rsidRPr="00C56257" w:rsidRDefault="006735BF" w:rsidP="008E33FD">
            <w:pPr>
              <w:jc w:val="both"/>
              <w:rPr>
                <w:color w:val="000000" w:themeColor="text1"/>
              </w:rPr>
            </w:pPr>
          </w:p>
        </w:tc>
        <w:tc>
          <w:tcPr>
            <w:tcW w:w="2762" w:type="dxa"/>
            <w:vMerge/>
            <w:tcBorders>
              <w:top w:val="nil"/>
            </w:tcBorders>
          </w:tcPr>
          <w:p w14:paraId="681AD999" w14:textId="77777777" w:rsidR="006735BF" w:rsidRPr="00C56257" w:rsidRDefault="006735BF" w:rsidP="008E33FD">
            <w:pPr>
              <w:jc w:val="both"/>
              <w:rPr>
                <w:color w:val="000000" w:themeColor="text1"/>
              </w:rPr>
            </w:pPr>
          </w:p>
        </w:tc>
        <w:tc>
          <w:tcPr>
            <w:tcW w:w="2121" w:type="dxa"/>
          </w:tcPr>
          <w:p w14:paraId="691AB24C" w14:textId="77777777" w:rsidR="006735BF" w:rsidRPr="00C56257" w:rsidRDefault="006735BF" w:rsidP="008E33FD">
            <w:pPr>
              <w:pStyle w:val="TableParagraph"/>
              <w:spacing w:line="256" w:lineRule="exact"/>
              <w:ind w:left="131" w:right="119"/>
              <w:jc w:val="both"/>
              <w:rPr>
                <w:color w:val="000000" w:themeColor="text1"/>
                <w:sz w:val="24"/>
                <w:szCs w:val="24"/>
              </w:rPr>
            </w:pPr>
            <w:r w:rsidRPr="00C56257">
              <w:rPr>
                <w:color w:val="000000" w:themeColor="text1"/>
                <w:sz w:val="24"/>
                <w:szCs w:val="24"/>
              </w:rPr>
              <w:t>Autumnal</w:t>
            </w:r>
          </w:p>
        </w:tc>
        <w:tc>
          <w:tcPr>
            <w:tcW w:w="2370" w:type="dxa"/>
          </w:tcPr>
          <w:p w14:paraId="40370725" w14:textId="77777777" w:rsidR="006735BF" w:rsidRPr="00C56257" w:rsidRDefault="006735BF" w:rsidP="008E33FD">
            <w:pPr>
              <w:pStyle w:val="TableParagraph"/>
              <w:spacing w:line="256" w:lineRule="exact"/>
              <w:ind w:left="320" w:right="298"/>
              <w:jc w:val="both"/>
              <w:rPr>
                <w:color w:val="000000" w:themeColor="text1"/>
                <w:sz w:val="24"/>
                <w:szCs w:val="24"/>
              </w:rPr>
            </w:pPr>
            <w:r w:rsidRPr="00C56257">
              <w:rPr>
                <w:color w:val="000000" w:themeColor="text1"/>
                <w:sz w:val="24"/>
                <w:szCs w:val="24"/>
              </w:rPr>
              <w:t>IX-XI</w:t>
            </w:r>
          </w:p>
        </w:tc>
      </w:tr>
    </w:tbl>
    <w:p w14:paraId="6DF624EA" w14:textId="77777777" w:rsidR="006735BF" w:rsidRPr="00C56257" w:rsidRDefault="006735BF" w:rsidP="008E33FD">
      <w:pPr>
        <w:pStyle w:val="BodyText"/>
        <w:jc w:val="both"/>
        <w:rPr>
          <w:color w:val="000000" w:themeColor="text1"/>
          <w:sz w:val="24"/>
          <w:szCs w:val="24"/>
        </w:rPr>
      </w:pPr>
    </w:p>
    <w:p w14:paraId="16F31E9F" w14:textId="77777777" w:rsidR="006735BF" w:rsidRPr="00C56257" w:rsidRDefault="006735BF" w:rsidP="008E33FD">
      <w:pPr>
        <w:pStyle w:val="BodyText"/>
        <w:spacing w:before="10"/>
        <w:jc w:val="both"/>
        <w:rPr>
          <w:color w:val="000000" w:themeColor="text1"/>
          <w:sz w:val="24"/>
          <w:szCs w:val="24"/>
        </w:rPr>
      </w:pPr>
    </w:p>
    <w:p w14:paraId="07EA65C0" w14:textId="77777777" w:rsidR="006735BF" w:rsidRPr="00C56257" w:rsidRDefault="006735BF" w:rsidP="00FC74DD">
      <w:pPr>
        <w:pStyle w:val="Heading2"/>
        <w:widowControl w:val="0"/>
        <w:tabs>
          <w:tab w:val="left" w:pos="1115"/>
        </w:tabs>
        <w:autoSpaceDE w:val="0"/>
        <w:autoSpaceDN w:val="0"/>
        <w:spacing w:before="1" w:beforeAutospacing="0" w:after="0" w:afterAutospacing="0"/>
        <w:jc w:val="both"/>
        <w:rPr>
          <w:color w:val="000000" w:themeColor="text1"/>
          <w:sz w:val="24"/>
          <w:szCs w:val="24"/>
        </w:rPr>
      </w:pPr>
      <w:proofErr w:type="spellStart"/>
      <w:r w:rsidRPr="00C56257">
        <w:rPr>
          <w:color w:val="000000" w:themeColor="text1"/>
          <w:sz w:val="24"/>
          <w:szCs w:val="24"/>
        </w:rPr>
        <w:t>Utilizarea</w:t>
      </w:r>
      <w:proofErr w:type="spellEnd"/>
      <w:r w:rsidRPr="00C56257">
        <w:rPr>
          <w:color w:val="000000" w:themeColor="text1"/>
          <w:spacing w:val="-6"/>
          <w:sz w:val="24"/>
          <w:szCs w:val="24"/>
        </w:rPr>
        <w:t xml:space="preserve"> </w:t>
      </w:r>
      <w:proofErr w:type="spellStart"/>
      <w:r w:rsidRPr="00C56257">
        <w:rPr>
          <w:color w:val="000000" w:themeColor="text1"/>
          <w:sz w:val="24"/>
          <w:szCs w:val="24"/>
        </w:rPr>
        <w:t>hărților</w:t>
      </w:r>
      <w:proofErr w:type="spellEnd"/>
    </w:p>
    <w:p w14:paraId="464E1BC4" w14:textId="77777777" w:rsidR="006735BF" w:rsidRPr="00C56257" w:rsidRDefault="006735BF" w:rsidP="00FC74DD">
      <w:pPr>
        <w:pStyle w:val="BodyText"/>
        <w:spacing w:before="155"/>
        <w:ind w:left="0" w:right="14"/>
        <w:jc w:val="both"/>
        <w:rPr>
          <w:color w:val="000000" w:themeColor="text1"/>
          <w:sz w:val="24"/>
          <w:szCs w:val="24"/>
        </w:rPr>
      </w:pPr>
      <w:proofErr w:type="spellStart"/>
      <w:r w:rsidRPr="00C56257">
        <w:rPr>
          <w:color w:val="000000" w:themeColor="text1"/>
          <w:sz w:val="24"/>
          <w:szCs w:val="24"/>
        </w:rPr>
        <w:t>Obiectivele</w:t>
      </w:r>
      <w:proofErr w:type="spellEnd"/>
      <w:r w:rsidRPr="00C56257">
        <w:rPr>
          <w:color w:val="000000" w:themeColor="text1"/>
          <w:sz w:val="24"/>
          <w:szCs w:val="24"/>
        </w:rPr>
        <w:t xml:space="preserve"> </w:t>
      </w:r>
      <w:proofErr w:type="spellStart"/>
      <w:r w:rsidRPr="00C56257">
        <w:rPr>
          <w:color w:val="000000" w:themeColor="text1"/>
          <w:sz w:val="24"/>
          <w:szCs w:val="24"/>
        </w:rPr>
        <w:t>specifice</w:t>
      </w:r>
      <w:proofErr w:type="spellEnd"/>
      <w:r w:rsidRPr="00C56257">
        <w:rPr>
          <w:color w:val="000000" w:themeColor="text1"/>
          <w:sz w:val="24"/>
          <w:szCs w:val="24"/>
        </w:rPr>
        <w:t xml:space="preserve"> </w:t>
      </w:r>
      <w:proofErr w:type="spellStart"/>
      <w:r w:rsidRPr="00C56257">
        <w:rPr>
          <w:color w:val="000000" w:themeColor="text1"/>
          <w:sz w:val="24"/>
          <w:szCs w:val="24"/>
        </w:rPr>
        <w:t>propuse</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cadrul</w:t>
      </w:r>
      <w:proofErr w:type="spellEnd"/>
      <w:r w:rsidRPr="00C56257">
        <w:rPr>
          <w:color w:val="000000" w:themeColor="text1"/>
          <w:sz w:val="24"/>
          <w:szCs w:val="24"/>
        </w:rPr>
        <w:t xml:space="preserve"> </w:t>
      </w:r>
      <w:proofErr w:type="spellStart"/>
      <w:r w:rsidRPr="00C56257">
        <w:rPr>
          <w:color w:val="000000" w:themeColor="text1"/>
          <w:sz w:val="24"/>
          <w:szCs w:val="24"/>
        </w:rPr>
        <w:t>programului</w:t>
      </w:r>
      <w:proofErr w:type="spellEnd"/>
      <w:r w:rsidRPr="00C56257">
        <w:rPr>
          <w:color w:val="000000" w:themeColor="text1"/>
          <w:sz w:val="24"/>
          <w:szCs w:val="24"/>
        </w:rPr>
        <w:t xml:space="preserve"> de </w:t>
      </w:r>
      <w:proofErr w:type="spellStart"/>
      <w:r w:rsidRPr="00C56257">
        <w:rPr>
          <w:color w:val="000000" w:themeColor="text1"/>
          <w:sz w:val="24"/>
          <w:szCs w:val="24"/>
        </w:rPr>
        <w:t>monitorizare</w:t>
      </w:r>
      <w:proofErr w:type="spellEnd"/>
      <w:r w:rsidRPr="00C56257">
        <w:rPr>
          <w:color w:val="000000" w:themeColor="text1"/>
          <w:sz w:val="24"/>
          <w:szCs w:val="24"/>
        </w:rPr>
        <w:t xml:space="preserve"> nu pot fi </w:t>
      </w:r>
      <w:proofErr w:type="spellStart"/>
      <w:r w:rsidRPr="00C56257">
        <w:rPr>
          <w:color w:val="000000" w:themeColor="text1"/>
          <w:sz w:val="24"/>
          <w:szCs w:val="24"/>
        </w:rPr>
        <w:t>atinse</w:t>
      </w:r>
      <w:proofErr w:type="spellEnd"/>
      <w:r w:rsidRPr="00C56257">
        <w:rPr>
          <w:color w:val="000000" w:themeColor="text1"/>
          <w:sz w:val="24"/>
          <w:szCs w:val="24"/>
        </w:rPr>
        <w:t xml:space="preserve"> </w:t>
      </w:r>
      <w:proofErr w:type="spellStart"/>
      <w:r w:rsidRPr="00C56257">
        <w:rPr>
          <w:color w:val="000000" w:themeColor="text1"/>
          <w:sz w:val="24"/>
          <w:szCs w:val="24"/>
        </w:rPr>
        <w:t>fără</w:t>
      </w:r>
      <w:proofErr w:type="spellEnd"/>
      <w:r w:rsidRPr="00C56257">
        <w:rPr>
          <w:color w:val="000000" w:themeColor="text1"/>
          <w:sz w:val="24"/>
          <w:szCs w:val="24"/>
        </w:rPr>
        <w:t xml:space="preserve"> o </w:t>
      </w:r>
      <w:proofErr w:type="spellStart"/>
      <w:r w:rsidRPr="00C56257">
        <w:rPr>
          <w:color w:val="000000" w:themeColor="text1"/>
          <w:sz w:val="24"/>
          <w:szCs w:val="24"/>
        </w:rPr>
        <w:t>alegere</w:t>
      </w:r>
      <w:proofErr w:type="spellEnd"/>
      <w:r w:rsidRPr="00C56257">
        <w:rPr>
          <w:color w:val="000000" w:themeColor="text1"/>
          <w:spacing w:val="1"/>
          <w:sz w:val="24"/>
          <w:szCs w:val="24"/>
        </w:rPr>
        <w:t xml:space="preserve"> </w:t>
      </w:r>
      <w:proofErr w:type="spellStart"/>
      <w:r w:rsidRPr="00C56257">
        <w:rPr>
          <w:color w:val="000000" w:themeColor="text1"/>
          <w:sz w:val="24"/>
          <w:szCs w:val="24"/>
        </w:rPr>
        <w:t>riguroasă</w:t>
      </w:r>
      <w:proofErr w:type="spellEnd"/>
      <w:r w:rsidRPr="00C56257">
        <w:rPr>
          <w:color w:val="000000" w:themeColor="text1"/>
          <w:sz w:val="24"/>
          <w:szCs w:val="24"/>
        </w:rPr>
        <w:t xml:space="preserve"> a </w:t>
      </w:r>
      <w:proofErr w:type="spellStart"/>
      <w:r w:rsidRPr="00C56257">
        <w:rPr>
          <w:color w:val="000000" w:themeColor="text1"/>
          <w:sz w:val="24"/>
          <w:szCs w:val="24"/>
        </w:rPr>
        <w:t>atributelor</w:t>
      </w:r>
      <w:proofErr w:type="spellEnd"/>
      <w:r w:rsidRPr="00C56257">
        <w:rPr>
          <w:color w:val="000000" w:themeColor="text1"/>
          <w:sz w:val="24"/>
          <w:szCs w:val="24"/>
        </w:rPr>
        <w:t xml:space="preserve"> care </w:t>
      </w:r>
      <w:proofErr w:type="spellStart"/>
      <w:r w:rsidRPr="00C56257">
        <w:rPr>
          <w:color w:val="000000" w:themeColor="text1"/>
          <w:sz w:val="24"/>
          <w:szCs w:val="24"/>
        </w:rPr>
        <w:t>trebuie</w:t>
      </w:r>
      <w:proofErr w:type="spellEnd"/>
      <w:r w:rsidRPr="00C56257">
        <w:rPr>
          <w:color w:val="000000" w:themeColor="text1"/>
          <w:sz w:val="24"/>
          <w:szCs w:val="24"/>
        </w:rPr>
        <w:t xml:space="preserve"> </w:t>
      </w:r>
      <w:proofErr w:type="spellStart"/>
      <w:r w:rsidRPr="00C56257">
        <w:rPr>
          <w:color w:val="000000" w:themeColor="text1"/>
          <w:sz w:val="24"/>
          <w:szCs w:val="24"/>
        </w:rPr>
        <w:t>măsurate</w:t>
      </w:r>
      <w:proofErr w:type="spellEnd"/>
      <w:r w:rsidRPr="00C56257">
        <w:rPr>
          <w:color w:val="000000" w:themeColor="text1"/>
          <w:sz w:val="24"/>
          <w:szCs w:val="24"/>
        </w:rPr>
        <w:t xml:space="preserve">, a </w:t>
      </w:r>
      <w:proofErr w:type="spellStart"/>
      <w:r w:rsidRPr="00C56257">
        <w:rPr>
          <w:color w:val="000000" w:themeColor="text1"/>
          <w:sz w:val="24"/>
          <w:szCs w:val="24"/>
        </w:rPr>
        <w:t>tipului</w:t>
      </w:r>
      <w:proofErr w:type="spellEnd"/>
      <w:r w:rsidRPr="00C56257">
        <w:rPr>
          <w:color w:val="000000" w:themeColor="text1"/>
          <w:sz w:val="24"/>
          <w:szCs w:val="24"/>
        </w:rPr>
        <w:t xml:space="preserve"> de date </w:t>
      </w:r>
      <w:proofErr w:type="spellStart"/>
      <w:r w:rsidRPr="00C56257">
        <w:rPr>
          <w:color w:val="000000" w:themeColor="text1"/>
          <w:sz w:val="24"/>
          <w:szCs w:val="24"/>
        </w:rPr>
        <w:t>colectate</w:t>
      </w:r>
      <w:proofErr w:type="spellEnd"/>
      <w:r w:rsidRPr="00C56257">
        <w:rPr>
          <w:color w:val="000000" w:themeColor="text1"/>
          <w:sz w:val="24"/>
          <w:szCs w:val="24"/>
        </w:rPr>
        <w:t xml:space="preserve"> </w:t>
      </w:r>
      <w:proofErr w:type="spellStart"/>
      <w:r w:rsidRPr="00C56257">
        <w:rPr>
          <w:color w:val="000000" w:themeColor="text1"/>
          <w:sz w:val="24"/>
          <w:szCs w:val="24"/>
        </w:rPr>
        <w:t>şi</w:t>
      </w:r>
      <w:proofErr w:type="spellEnd"/>
      <w:r w:rsidRPr="00C56257">
        <w:rPr>
          <w:color w:val="000000" w:themeColor="text1"/>
          <w:sz w:val="24"/>
          <w:szCs w:val="24"/>
        </w:rPr>
        <w:t xml:space="preserve"> a </w:t>
      </w:r>
      <w:proofErr w:type="spellStart"/>
      <w:r w:rsidRPr="00C56257">
        <w:rPr>
          <w:color w:val="000000" w:themeColor="text1"/>
          <w:sz w:val="24"/>
          <w:szCs w:val="24"/>
        </w:rPr>
        <w:t>metodelor</w:t>
      </w:r>
      <w:proofErr w:type="spellEnd"/>
      <w:r w:rsidRPr="00C56257">
        <w:rPr>
          <w:color w:val="000000" w:themeColor="text1"/>
          <w:sz w:val="24"/>
          <w:szCs w:val="24"/>
        </w:rPr>
        <w:t xml:space="preserve"> </w:t>
      </w:r>
      <w:proofErr w:type="spellStart"/>
      <w:r w:rsidRPr="00C56257">
        <w:rPr>
          <w:color w:val="000000" w:themeColor="text1"/>
          <w:sz w:val="24"/>
          <w:szCs w:val="24"/>
        </w:rPr>
        <w:t>utilizate</w:t>
      </w:r>
      <w:proofErr w:type="spellEnd"/>
      <w:r w:rsidRPr="00C56257">
        <w:rPr>
          <w:color w:val="000000" w:themeColor="text1"/>
          <w:spacing w:val="1"/>
          <w:sz w:val="24"/>
          <w:szCs w:val="24"/>
        </w:rPr>
        <w:t xml:space="preserve"> </w:t>
      </w:r>
      <w:proofErr w:type="spellStart"/>
      <w:r w:rsidRPr="00C56257">
        <w:rPr>
          <w:color w:val="000000" w:themeColor="text1"/>
          <w:sz w:val="24"/>
          <w:szCs w:val="24"/>
        </w:rPr>
        <w:t>pentru</w:t>
      </w:r>
      <w:proofErr w:type="spellEnd"/>
      <w:r w:rsidRPr="00C56257">
        <w:rPr>
          <w:color w:val="000000" w:themeColor="text1"/>
          <w:sz w:val="24"/>
          <w:szCs w:val="24"/>
        </w:rPr>
        <w:t xml:space="preserve"> </w:t>
      </w:r>
      <w:proofErr w:type="spellStart"/>
      <w:r w:rsidRPr="00C56257">
        <w:rPr>
          <w:color w:val="000000" w:themeColor="text1"/>
          <w:sz w:val="24"/>
          <w:szCs w:val="24"/>
        </w:rPr>
        <w:t>colectarea</w:t>
      </w:r>
      <w:proofErr w:type="spellEnd"/>
      <w:r w:rsidRPr="00C56257">
        <w:rPr>
          <w:color w:val="000000" w:themeColor="text1"/>
          <w:sz w:val="24"/>
          <w:szCs w:val="24"/>
        </w:rPr>
        <w:t xml:space="preserve"> </w:t>
      </w:r>
      <w:proofErr w:type="spellStart"/>
      <w:r w:rsidRPr="00C56257">
        <w:rPr>
          <w:color w:val="000000" w:themeColor="text1"/>
          <w:sz w:val="24"/>
          <w:szCs w:val="24"/>
        </w:rPr>
        <w:t>acestora</w:t>
      </w:r>
      <w:proofErr w:type="spellEnd"/>
      <w:r w:rsidRPr="00C56257">
        <w:rPr>
          <w:color w:val="000000" w:themeColor="text1"/>
          <w:sz w:val="24"/>
          <w:szCs w:val="24"/>
        </w:rPr>
        <w:t xml:space="preserve">. </w:t>
      </w:r>
      <w:proofErr w:type="spellStart"/>
      <w:r w:rsidRPr="00C56257">
        <w:rPr>
          <w:color w:val="000000" w:themeColor="text1"/>
          <w:sz w:val="24"/>
          <w:szCs w:val="24"/>
        </w:rPr>
        <w:t>Alegerea</w:t>
      </w:r>
      <w:proofErr w:type="spellEnd"/>
      <w:r w:rsidRPr="00C56257">
        <w:rPr>
          <w:color w:val="000000" w:themeColor="text1"/>
          <w:sz w:val="24"/>
          <w:szCs w:val="24"/>
        </w:rPr>
        <w:t xml:space="preserve"> </w:t>
      </w:r>
      <w:proofErr w:type="spellStart"/>
      <w:r w:rsidRPr="00C56257">
        <w:rPr>
          <w:color w:val="000000" w:themeColor="text1"/>
          <w:sz w:val="24"/>
          <w:szCs w:val="24"/>
        </w:rPr>
        <w:t>variabilelor</w:t>
      </w:r>
      <w:proofErr w:type="spellEnd"/>
      <w:r w:rsidRPr="00C56257">
        <w:rPr>
          <w:color w:val="000000" w:themeColor="text1"/>
          <w:sz w:val="24"/>
          <w:szCs w:val="24"/>
        </w:rPr>
        <w:t xml:space="preserve"> care </w:t>
      </w:r>
      <w:proofErr w:type="spellStart"/>
      <w:r w:rsidRPr="00C56257">
        <w:rPr>
          <w:color w:val="000000" w:themeColor="text1"/>
          <w:sz w:val="24"/>
          <w:szCs w:val="24"/>
        </w:rPr>
        <w:t>vor</w:t>
      </w:r>
      <w:proofErr w:type="spellEnd"/>
      <w:r w:rsidRPr="00C56257">
        <w:rPr>
          <w:color w:val="000000" w:themeColor="text1"/>
          <w:sz w:val="24"/>
          <w:szCs w:val="24"/>
        </w:rPr>
        <w:t xml:space="preserve"> fi </w:t>
      </w:r>
      <w:proofErr w:type="spellStart"/>
      <w:r w:rsidRPr="00C56257">
        <w:rPr>
          <w:color w:val="000000" w:themeColor="text1"/>
          <w:sz w:val="24"/>
          <w:szCs w:val="24"/>
        </w:rPr>
        <w:t>monitorizate</w:t>
      </w:r>
      <w:proofErr w:type="spellEnd"/>
      <w:r w:rsidRPr="00C56257">
        <w:rPr>
          <w:color w:val="000000" w:themeColor="text1"/>
          <w:sz w:val="24"/>
          <w:szCs w:val="24"/>
        </w:rPr>
        <w:t xml:space="preserve"> </w:t>
      </w:r>
      <w:proofErr w:type="spellStart"/>
      <w:r w:rsidRPr="00C56257">
        <w:rPr>
          <w:color w:val="000000" w:themeColor="text1"/>
          <w:sz w:val="24"/>
          <w:szCs w:val="24"/>
        </w:rPr>
        <w:t>şi</w:t>
      </w:r>
      <w:proofErr w:type="spellEnd"/>
      <w:r w:rsidRPr="00C56257">
        <w:rPr>
          <w:color w:val="000000" w:themeColor="text1"/>
          <w:sz w:val="24"/>
          <w:szCs w:val="24"/>
        </w:rPr>
        <w:t xml:space="preserve"> a </w:t>
      </w:r>
      <w:proofErr w:type="spellStart"/>
      <w:r w:rsidRPr="00C56257">
        <w:rPr>
          <w:color w:val="000000" w:themeColor="text1"/>
          <w:sz w:val="24"/>
          <w:szCs w:val="24"/>
        </w:rPr>
        <w:t>metodelor</w:t>
      </w:r>
      <w:proofErr w:type="spellEnd"/>
      <w:r w:rsidRPr="00C56257">
        <w:rPr>
          <w:color w:val="000000" w:themeColor="text1"/>
          <w:sz w:val="24"/>
          <w:szCs w:val="24"/>
        </w:rPr>
        <w:t xml:space="preserve"> de </w:t>
      </w:r>
      <w:proofErr w:type="spellStart"/>
      <w:r w:rsidRPr="00C56257">
        <w:rPr>
          <w:color w:val="000000" w:themeColor="text1"/>
          <w:sz w:val="24"/>
          <w:szCs w:val="24"/>
        </w:rPr>
        <w:t>lucru</w:t>
      </w:r>
      <w:proofErr w:type="spellEnd"/>
      <w:r w:rsidRPr="00C56257">
        <w:rPr>
          <w:color w:val="000000" w:themeColor="text1"/>
          <w:sz w:val="24"/>
          <w:szCs w:val="24"/>
        </w:rPr>
        <w:t xml:space="preserve"> se</w:t>
      </w:r>
      <w:r w:rsidRPr="00C56257">
        <w:rPr>
          <w:color w:val="000000" w:themeColor="text1"/>
          <w:spacing w:val="1"/>
          <w:sz w:val="24"/>
          <w:szCs w:val="24"/>
        </w:rPr>
        <w:t xml:space="preserve"> </w:t>
      </w:r>
      <w:proofErr w:type="spellStart"/>
      <w:r w:rsidRPr="00C56257">
        <w:rPr>
          <w:color w:val="000000" w:themeColor="text1"/>
          <w:sz w:val="24"/>
          <w:szCs w:val="24"/>
        </w:rPr>
        <w:t>va</w:t>
      </w:r>
      <w:proofErr w:type="spellEnd"/>
      <w:r w:rsidRPr="00C56257">
        <w:rPr>
          <w:color w:val="000000" w:themeColor="text1"/>
          <w:sz w:val="24"/>
          <w:szCs w:val="24"/>
        </w:rPr>
        <w:t xml:space="preserve"> face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același</w:t>
      </w:r>
      <w:proofErr w:type="spellEnd"/>
      <w:r w:rsidRPr="00C56257">
        <w:rPr>
          <w:color w:val="000000" w:themeColor="text1"/>
          <w:sz w:val="24"/>
          <w:szCs w:val="24"/>
        </w:rPr>
        <w:t xml:space="preserve"> </w:t>
      </w:r>
      <w:proofErr w:type="spellStart"/>
      <w:r w:rsidRPr="00C56257">
        <w:rPr>
          <w:color w:val="000000" w:themeColor="text1"/>
          <w:sz w:val="24"/>
          <w:szCs w:val="24"/>
        </w:rPr>
        <w:t>timp</w:t>
      </w:r>
      <w:proofErr w:type="spellEnd"/>
      <w:r w:rsidRPr="00C56257">
        <w:rPr>
          <w:color w:val="000000" w:themeColor="text1"/>
          <w:sz w:val="24"/>
          <w:szCs w:val="24"/>
        </w:rPr>
        <w:t xml:space="preserve"> cu </w:t>
      </w:r>
      <w:proofErr w:type="spellStart"/>
      <w:r w:rsidRPr="00C56257">
        <w:rPr>
          <w:color w:val="000000" w:themeColor="text1"/>
          <w:sz w:val="24"/>
          <w:szCs w:val="24"/>
        </w:rPr>
        <w:t>definirea</w:t>
      </w:r>
      <w:proofErr w:type="spellEnd"/>
      <w:r w:rsidRPr="00C56257">
        <w:rPr>
          <w:color w:val="000000" w:themeColor="text1"/>
          <w:sz w:val="24"/>
          <w:szCs w:val="24"/>
        </w:rPr>
        <w:t xml:space="preserve"> </w:t>
      </w:r>
      <w:proofErr w:type="spellStart"/>
      <w:r w:rsidRPr="00C56257">
        <w:rPr>
          <w:color w:val="000000" w:themeColor="text1"/>
          <w:sz w:val="24"/>
          <w:szCs w:val="24"/>
        </w:rPr>
        <w:t>obiectivelor</w:t>
      </w:r>
      <w:proofErr w:type="spellEnd"/>
      <w:r w:rsidRPr="00C56257">
        <w:rPr>
          <w:color w:val="000000" w:themeColor="text1"/>
          <w:sz w:val="24"/>
          <w:szCs w:val="24"/>
        </w:rPr>
        <w:t xml:space="preserve"> </w:t>
      </w:r>
      <w:proofErr w:type="spellStart"/>
      <w:r w:rsidRPr="00C56257">
        <w:rPr>
          <w:color w:val="000000" w:themeColor="text1"/>
          <w:sz w:val="24"/>
          <w:szCs w:val="24"/>
        </w:rPr>
        <w:t>principale</w:t>
      </w:r>
      <w:proofErr w:type="spellEnd"/>
      <w:r w:rsidRPr="00C56257">
        <w:rPr>
          <w:color w:val="000000" w:themeColor="text1"/>
          <w:sz w:val="24"/>
          <w:szCs w:val="24"/>
        </w:rPr>
        <w:t xml:space="preserve"> ale </w:t>
      </w:r>
      <w:proofErr w:type="spellStart"/>
      <w:r w:rsidRPr="00C56257">
        <w:rPr>
          <w:color w:val="000000" w:themeColor="text1"/>
          <w:sz w:val="24"/>
          <w:szCs w:val="24"/>
        </w:rPr>
        <w:t>ghidului</w:t>
      </w:r>
      <w:proofErr w:type="spellEnd"/>
      <w:r w:rsidRPr="00C56257">
        <w:rPr>
          <w:color w:val="000000" w:themeColor="text1"/>
          <w:sz w:val="24"/>
          <w:szCs w:val="24"/>
        </w:rPr>
        <w:t xml:space="preserve"> </w:t>
      </w:r>
      <w:proofErr w:type="spellStart"/>
      <w:r w:rsidRPr="00C56257">
        <w:rPr>
          <w:color w:val="000000" w:themeColor="text1"/>
          <w:sz w:val="24"/>
          <w:szCs w:val="24"/>
        </w:rPr>
        <w:t>sintetic</w:t>
      </w:r>
      <w:proofErr w:type="spellEnd"/>
      <w:r w:rsidRPr="00C56257">
        <w:rPr>
          <w:color w:val="000000" w:themeColor="text1"/>
          <w:sz w:val="24"/>
          <w:szCs w:val="24"/>
        </w:rPr>
        <w:t xml:space="preserve">, </w:t>
      </w:r>
      <w:proofErr w:type="spellStart"/>
      <w:r w:rsidRPr="00C56257">
        <w:rPr>
          <w:color w:val="000000" w:themeColor="text1"/>
          <w:sz w:val="24"/>
          <w:szCs w:val="24"/>
        </w:rPr>
        <w:t>cele</w:t>
      </w:r>
      <w:proofErr w:type="spellEnd"/>
      <w:r w:rsidRPr="00C56257">
        <w:rPr>
          <w:color w:val="000000" w:themeColor="text1"/>
          <w:sz w:val="24"/>
          <w:szCs w:val="24"/>
        </w:rPr>
        <w:t xml:space="preserve"> </w:t>
      </w:r>
      <w:proofErr w:type="spellStart"/>
      <w:r w:rsidRPr="00C56257">
        <w:rPr>
          <w:color w:val="000000" w:themeColor="text1"/>
          <w:sz w:val="24"/>
          <w:szCs w:val="24"/>
        </w:rPr>
        <w:t>două</w:t>
      </w:r>
      <w:proofErr w:type="spellEnd"/>
      <w:r w:rsidRPr="00C56257">
        <w:rPr>
          <w:color w:val="000000" w:themeColor="text1"/>
          <w:sz w:val="24"/>
          <w:szCs w:val="24"/>
        </w:rPr>
        <w:t xml:space="preserve"> </w:t>
      </w:r>
      <w:proofErr w:type="spellStart"/>
      <w:r w:rsidRPr="00C56257">
        <w:rPr>
          <w:color w:val="000000" w:themeColor="text1"/>
          <w:sz w:val="24"/>
          <w:szCs w:val="24"/>
        </w:rPr>
        <w:t>procese</w:t>
      </w:r>
      <w:proofErr w:type="spellEnd"/>
      <w:r w:rsidRPr="00C56257">
        <w:rPr>
          <w:color w:val="000000" w:themeColor="text1"/>
          <w:spacing w:val="1"/>
          <w:sz w:val="24"/>
          <w:szCs w:val="24"/>
        </w:rPr>
        <w:t xml:space="preserve"> </w:t>
      </w:r>
      <w:proofErr w:type="spellStart"/>
      <w:r w:rsidRPr="00C56257">
        <w:rPr>
          <w:color w:val="000000" w:themeColor="text1"/>
          <w:sz w:val="24"/>
          <w:szCs w:val="24"/>
        </w:rPr>
        <w:t>fiind</w:t>
      </w:r>
      <w:proofErr w:type="spellEnd"/>
      <w:r w:rsidRPr="00C56257">
        <w:rPr>
          <w:color w:val="000000" w:themeColor="text1"/>
          <w:spacing w:val="-1"/>
          <w:sz w:val="24"/>
          <w:szCs w:val="24"/>
        </w:rPr>
        <w:t xml:space="preserve"> </w:t>
      </w:r>
      <w:proofErr w:type="spellStart"/>
      <w:r w:rsidRPr="00C56257">
        <w:rPr>
          <w:color w:val="000000" w:themeColor="text1"/>
          <w:sz w:val="24"/>
          <w:szCs w:val="24"/>
        </w:rPr>
        <w:t>strâns</w:t>
      </w:r>
      <w:proofErr w:type="spellEnd"/>
      <w:r w:rsidRPr="00C56257">
        <w:rPr>
          <w:color w:val="000000" w:themeColor="text1"/>
          <w:sz w:val="24"/>
          <w:szCs w:val="24"/>
        </w:rPr>
        <w:t xml:space="preserve"> corelate</w:t>
      </w:r>
      <w:r w:rsidRPr="00C56257">
        <w:rPr>
          <w:color w:val="000000" w:themeColor="text1"/>
          <w:spacing w:val="-1"/>
          <w:sz w:val="24"/>
          <w:szCs w:val="24"/>
        </w:rPr>
        <w:t xml:space="preserve"> </w:t>
      </w:r>
      <w:proofErr w:type="spellStart"/>
      <w:r w:rsidRPr="00C56257">
        <w:rPr>
          <w:color w:val="000000" w:themeColor="text1"/>
          <w:sz w:val="24"/>
          <w:szCs w:val="24"/>
        </w:rPr>
        <w:t>între</w:t>
      </w:r>
      <w:proofErr w:type="spellEnd"/>
      <w:r w:rsidRPr="00C56257">
        <w:rPr>
          <w:color w:val="000000" w:themeColor="text1"/>
          <w:sz w:val="24"/>
          <w:szCs w:val="24"/>
        </w:rPr>
        <w:t xml:space="preserve"> </w:t>
      </w:r>
      <w:proofErr w:type="spellStart"/>
      <w:r w:rsidRPr="00C56257">
        <w:rPr>
          <w:color w:val="000000" w:themeColor="text1"/>
          <w:sz w:val="24"/>
          <w:szCs w:val="24"/>
        </w:rPr>
        <w:t>ele</w:t>
      </w:r>
      <w:proofErr w:type="spellEnd"/>
      <w:r w:rsidRPr="00C56257">
        <w:rPr>
          <w:color w:val="000000" w:themeColor="text1"/>
          <w:sz w:val="24"/>
          <w:szCs w:val="24"/>
        </w:rPr>
        <w:t>.</w:t>
      </w:r>
    </w:p>
    <w:p w14:paraId="3D8BFDB4" w14:textId="77777777" w:rsidR="006735BF" w:rsidRPr="00C56257" w:rsidRDefault="006735BF" w:rsidP="00FC74DD">
      <w:pPr>
        <w:pStyle w:val="BodyText"/>
        <w:spacing w:after="7"/>
        <w:ind w:left="0" w:right="14"/>
        <w:jc w:val="both"/>
        <w:rPr>
          <w:i/>
          <w:color w:val="000000" w:themeColor="text1"/>
          <w:sz w:val="24"/>
          <w:szCs w:val="24"/>
          <w:lang w:val="fr-FR"/>
        </w:rPr>
      </w:pPr>
      <w:proofErr w:type="spellStart"/>
      <w:r w:rsidRPr="00C56257">
        <w:rPr>
          <w:color w:val="000000" w:themeColor="text1"/>
          <w:sz w:val="24"/>
          <w:szCs w:val="24"/>
          <w:lang w:val="fr-FR"/>
        </w:rPr>
        <w:t>Exemplu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Harta</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distribuție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pentru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habitatul</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pajiști</w:t>
      </w:r>
      <w:proofErr w:type="spellEnd"/>
      <w:r w:rsidRPr="00C56257">
        <w:rPr>
          <w:color w:val="000000" w:themeColor="text1"/>
          <w:sz w:val="24"/>
          <w:szCs w:val="24"/>
          <w:lang w:val="fr-FR"/>
        </w:rPr>
        <w:t xml:space="preserve"> 6110 * - </w:t>
      </w:r>
      <w:proofErr w:type="spellStart"/>
      <w:r w:rsidRPr="00C56257">
        <w:rPr>
          <w:color w:val="000000" w:themeColor="text1"/>
          <w:sz w:val="24"/>
          <w:szCs w:val="24"/>
          <w:lang w:val="fr-FR"/>
        </w:rPr>
        <w:t>Comunităţi</w:t>
      </w:r>
      <w:proofErr w:type="spellEnd"/>
      <w:r w:rsidRPr="00C56257">
        <w:rPr>
          <w:color w:val="000000" w:themeColor="text1"/>
          <w:sz w:val="24"/>
          <w:szCs w:val="24"/>
          <w:lang w:val="fr-FR"/>
        </w:rPr>
        <w:t xml:space="preserve"> rupicole </w:t>
      </w:r>
      <w:proofErr w:type="spellStart"/>
      <w:r w:rsidRPr="00C56257">
        <w:rPr>
          <w:color w:val="000000" w:themeColor="text1"/>
          <w:sz w:val="24"/>
          <w:szCs w:val="24"/>
          <w:lang w:val="fr-FR"/>
        </w:rPr>
        <w:t>calcifile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sau</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pajişti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bazifile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din</w:t>
      </w:r>
      <w:proofErr w:type="spellEnd"/>
      <w:r w:rsidRPr="00C56257">
        <w:rPr>
          <w:color w:val="000000" w:themeColor="text1"/>
          <w:sz w:val="24"/>
          <w:szCs w:val="24"/>
          <w:lang w:val="fr-FR"/>
        </w:rPr>
        <w:t xml:space="preserve"> </w:t>
      </w:r>
      <w:proofErr w:type="spellStart"/>
      <w:r w:rsidRPr="00C56257">
        <w:rPr>
          <w:i/>
          <w:color w:val="000000" w:themeColor="text1"/>
          <w:sz w:val="24"/>
          <w:szCs w:val="24"/>
          <w:lang w:val="fr-FR"/>
        </w:rPr>
        <w:t>Alysso-Sedion</w:t>
      </w:r>
      <w:proofErr w:type="spellEnd"/>
      <w:r w:rsidRPr="00C56257">
        <w:rPr>
          <w:i/>
          <w:color w:val="000000" w:themeColor="text1"/>
          <w:sz w:val="24"/>
          <w:szCs w:val="24"/>
          <w:lang w:val="fr-FR"/>
        </w:rPr>
        <w:t xml:space="preserve"> </w:t>
      </w:r>
      <w:proofErr w:type="spellStart"/>
      <w:r w:rsidRPr="00C56257">
        <w:rPr>
          <w:i/>
          <w:color w:val="000000" w:themeColor="text1"/>
          <w:sz w:val="24"/>
          <w:szCs w:val="24"/>
          <w:lang w:val="fr-FR"/>
        </w:rPr>
        <w:t>albi</w:t>
      </w:r>
      <w:proofErr w:type="spellEnd"/>
    </w:p>
    <w:p w14:paraId="3E90B184" w14:textId="77777777" w:rsidR="006735BF" w:rsidRPr="00C56257" w:rsidRDefault="006735BF" w:rsidP="008E33FD">
      <w:pPr>
        <w:pStyle w:val="BodyText"/>
        <w:ind w:left="614"/>
        <w:jc w:val="both"/>
        <w:rPr>
          <w:color w:val="000000" w:themeColor="text1"/>
          <w:sz w:val="24"/>
          <w:szCs w:val="24"/>
        </w:rPr>
      </w:pPr>
      <w:r w:rsidRPr="00C56257">
        <w:rPr>
          <w:noProof/>
          <w:color w:val="000000" w:themeColor="text1"/>
          <w:sz w:val="24"/>
          <w:szCs w:val="24"/>
        </w:rPr>
        <w:lastRenderedPageBreak/>
        <w:drawing>
          <wp:inline distT="0" distB="0" distL="0" distR="0" wp14:anchorId="2C3E3571" wp14:editId="6994F9DA">
            <wp:extent cx="5668122" cy="3571875"/>
            <wp:effectExtent l="0" t="0" r="0" b="0"/>
            <wp:docPr id="66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0.jpeg"/>
                    <pic:cNvPicPr/>
                  </pic:nvPicPr>
                  <pic:blipFill>
                    <a:blip r:embed="rId65" cstate="print"/>
                    <a:stretch>
                      <a:fillRect/>
                    </a:stretch>
                  </pic:blipFill>
                  <pic:spPr>
                    <a:xfrm>
                      <a:off x="0" y="0"/>
                      <a:ext cx="5668122" cy="3571875"/>
                    </a:xfrm>
                    <a:prstGeom prst="rect">
                      <a:avLst/>
                    </a:prstGeom>
                  </pic:spPr>
                </pic:pic>
              </a:graphicData>
            </a:graphic>
          </wp:inline>
        </w:drawing>
      </w:r>
    </w:p>
    <w:p w14:paraId="4FF6E799" w14:textId="77777777" w:rsidR="006735BF" w:rsidRDefault="006735BF" w:rsidP="008E33FD">
      <w:pPr>
        <w:jc w:val="both"/>
        <w:rPr>
          <w:color w:val="000000" w:themeColor="text1"/>
        </w:rPr>
      </w:pPr>
    </w:p>
    <w:p w14:paraId="4E1FBFD5" w14:textId="77777777" w:rsidR="00487855" w:rsidRDefault="00487855" w:rsidP="008E33FD">
      <w:pPr>
        <w:jc w:val="both"/>
        <w:rPr>
          <w:color w:val="000000" w:themeColor="text1"/>
        </w:rPr>
      </w:pPr>
    </w:p>
    <w:p w14:paraId="330F33C2" w14:textId="77777777" w:rsidR="006735BF" w:rsidRPr="00C56257" w:rsidRDefault="006735BF" w:rsidP="00FC74DD">
      <w:pPr>
        <w:pStyle w:val="BodyText"/>
        <w:spacing w:before="64"/>
        <w:ind w:left="0" w:right="14"/>
        <w:jc w:val="both"/>
        <w:rPr>
          <w:color w:val="000000" w:themeColor="text1"/>
          <w:sz w:val="24"/>
          <w:szCs w:val="24"/>
          <w:lang w:val="fr-FR"/>
        </w:rPr>
      </w:pPr>
      <w:proofErr w:type="spellStart"/>
      <w:r w:rsidRPr="00C56257">
        <w:rPr>
          <w:color w:val="000000" w:themeColor="text1"/>
          <w:sz w:val="24"/>
          <w:szCs w:val="24"/>
          <w:lang w:val="fr-FR"/>
        </w:rPr>
        <w:t>Pentru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fiecare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obiectiv</w:t>
      </w:r>
      <w:proofErr w:type="spellEnd"/>
      <w:r w:rsidRPr="00C56257">
        <w:rPr>
          <w:color w:val="000000" w:themeColor="text1"/>
          <w:sz w:val="24"/>
          <w:szCs w:val="24"/>
          <w:lang w:val="fr-FR"/>
        </w:rPr>
        <w:t xml:space="preserve"> principal </w:t>
      </w:r>
      <w:proofErr w:type="spellStart"/>
      <w:r w:rsidRPr="00C56257">
        <w:rPr>
          <w:color w:val="000000" w:themeColor="text1"/>
          <w:sz w:val="24"/>
          <w:szCs w:val="24"/>
          <w:lang w:val="fr-FR"/>
        </w:rPr>
        <w:t>propus</w:t>
      </w:r>
      <w:proofErr w:type="spellEnd"/>
      <w:r w:rsidRPr="00C56257">
        <w:rPr>
          <w:color w:val="000000" w:themeColor="text1"/>
          <w:sz w:val="24"/>
          <w:szCs w:val="24"/>
          <w:lang w:val="fr-FR"/>
        </w:rPr>
        <w:t xml:space="preserve">, la </w:t>
      </w:r>
      <w:proofErr w:type="spellStart"/>
      <w:r w:rsidRPr="00C56257">
        <w:rPr>
          <w:color w:val="000000" w:themeColor="text1"/>
          <w:sz w:val="24"/>
          <w:szCs w:val="24"/>
          <w:lang w:val="fr-FR"/>
        </w:rPr>
        <w:t>nivelul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fiecărui</w:t>
      </w:r>
      <w:proofErr w:type="spellEnd"/>
      <w:r w:rsidRPr="00C56257">
        <w:rPr>
          <w:color w:val="000000" w:themeColor="text1"/>
          <w:sz w:val="24"/>
          <w:szCs w:val="24"/>
          <w:lang w:val="fr-FR"/>
        </w:rPr>
        <w:t xml:space="preserve"> habitat </w:t>
      </w:r>
      <w:proofErr w:type="spellStart"/>
      <w:r w:rsidRPr="00C56257">
        <w:rPr>
          <w:color w:val="000000" w:themeColor="text1"/>
          <w:sz w:val="24"/>
          <w:szCs w:val="24"/>
          <w:lang w:val="fr-FR"/>
        </w:rPr>
        <w:t>țintă</w:t>
      </w:r>
      <w:proofErr w:type="spellEnd"/>
      <w:r w:rsidRPr="00C56257">
        <w:rPr>
          <w:color w:val="000000" w:themeColor="text1"/>
          <w:sz w:val="24"/>
          <w:szCs w:val="24"/>
          <w:lang w:val="fr-FR"/>
        </w:rPr>
        <w:t xml:space="preserve">, se vor </w:t>
      </w:r>
      <w:proofErr w:type="spellStart"/>
      <w:r w:rsidRPr="00C56257">
        <w:rPr>
          <w:color w:val="000000" w:themeColor="text1"/>
          <w:sz w:val="24"/>
          <w:szCs w:val="24"/>
          <w:lang w:val="fr-FR"/>
        </w:rPr>
        <w:t>identifica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acele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caracteristici</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w:t>
      </w:r>
      <w:proofErr w:type="spellStart"/>
      <w:r w:rsidRPr="00C56257">
        <w:rPr>
          <w:color w:val="000000" w:themeColor="text1"/>
          <w:sz w:val="24"/>
          <w:szCs w:val="24"/>
          <w:lang w:val="fr-FR"/>
        </w:rPr>
        <w:t>atribute</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r w:rsidRPr="00C56257">
        <w:rPr>
          <w:color w:val="000000" w:themeColor="text1"/>
          <w:sz w:val="24"/>
          <w:szCs w:val="24"/>
          <w:lang w:val="fr-FR"/>
        </w:rPr>
        <w:t>ale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habitatului</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care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reflectă</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proprietățile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acestuia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pot</w:t>
      </w:r>
      <w:r w:rsidRPr="00C56257">
        <w:rPr>
          <w:color w:val="000000" w:themeColor="text1"/>
          <w:spacing w:val="1"/>
          <w:sz w:val="24"/>
          <w:szCs w:val="24"/>
          <w:lang w:val="fr-FR"/>
        </w:rPr>
        <w:t xml:space="preserve"> </w:t>
      </w:r>
      <w:r w:rsidRPr="00C56257">
        <w:rPr>
          <w:color w:val="000000" w:themeColor="text1"/>
          <w:sz w:val="24"/>
          <w:szCs w:val="24"/>
          <w:lang w:val="fr-FR"/>
        </w:rPr>
        <w:t>fi</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cuantificate</w:t>
      </w:r>
      <w:proofErr w:type="spellEnd"/>
      <w:r w:rsidR="00FC74DD">
        <w:rPr>
          <w:color w:val="000000" w:themeColor="text1"/>
          <w:sz w:val="24"/>
          <w:szCs w:val="24"/>
          <w:lang w:val="fr-FR"/>
        </w:rPr>
        <w:t xml:space="preserve">. </w:t>
      </w:r>
      <w:r w:rsidRPr="00C56257">
        <w:rPr>
          <w:color w:val="000000" w:themeColor="text1"/>
          <w:spacing w:val="-57"/>
          <w:sz w:val="24"/>
          <w:szCs w:val="24"/>
          <w:lang w:val="fr-FR"/>
        </w:rPr>
        <w:t xml:space="preserve"> </w:t>
      </w:r>
      <w:r w:rsidR="00FC74DD">
        <w:rPr>
          <w:color w:val="000000" w:themeColor="text1"/>
          <w:spacing w:val="-57"/>
          <w:sz w:val="24"/>
          <w:szCs w:val="24"/>
          <w:lang w:val="fr-FR"/>
        </w:rPr>
        <w:t xml:space="preserve"> </w:t>
      </w:r>
      <w:proofErr w:type="spellStart"/>
      <w:r w:rsidRPr="00C56257">
        <w:rPr>
          <w:color w:val="000000" w:themeColor="text1"/>
          <w:sz w:val="24"/>
          <w:szCs w:val="24"/>
          <w:lang w:val="fr-FR"/>
        </w:rPr>
        <w:t>Fiecărui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atribut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acolo</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unde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informațiile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existente</w:t>
      </w:r>
      <w:proofErr w:type="spellEnd"/>
      <w:r w:rsidRPr="00C56257">
        <w:rPr>
          <w:color w:val="000000" w:themeColor="text1"/>
          <w:sz w:val="24"/>
          <w:szCs w:val="24"/>
          <w:lang w:val="fr-FR"/>
        </w:rPr>
        <w:t xml:space="preserve"> permit </w:t>
      </w:r>
      <w:proofErr w:type="spellStart"/>
      <w:r w:rsidRPr="00C56257">
        <w:rPr>
          <w:color w:val="000000" w:themeColor="text1"/>
          <w:sz w:val="24"/>
          <w:szCs w:val="24"/>
          <w:lang w:val="fr-FR"/>
        </w:rPr>
        <w:t>acest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lucru</w:t>
      </w:r>
      <w:proofErr w:type="spellEnd"/>
      <w:r w:rsidRPr="00C56257">
        <w:rPr>
          <w:color w:val="000000" w:themeColor="text1"/>
          <w:sz w:val="24"/>
          <w:szCs w:val="24"/>
          <w:lang w:val="fr-FR"/>
        </w:rPr>
        <w:t xml:space="preserve">, i se va </w:t>
      </w:r>
      <w:proofErr w:type="spellStart"/>
      <w:r w:rsidRPr="00C56257">
        <w:rPr>
          <w:color w:val="000000" w:themeColor="text1"/>
          <w:sz w:val="24"/>
          <w:szCs w:val="24"/>
          <w:lang w:val="fr-FR"/>
        </w:rPr>
        <w:t>defini</w:t>
      </w:r>
      <w:proofErr w:type="spellEnd"/>
      <w:r w:rsidRPr="00C56257">
        <w:rPr>
          <w:color w:val="000000" w:themeColor="text1"/>
          <w:sz w:val="24"/>
          <w:szCs w:val="24"/>
          <w:lang w:val="fr-FR"/>
        </w:rPr>
        <w:t xml:space="preserve"> un </w:t>
      </w:r>
      <w:proofErr w:type="spellStart"/>
      <w:r w:rsidRPr="00C56257">
        <w:rPr>
          <w:color w:val="000000" w:themeColor="text1"/>
          <w:sz w:val="24"/>
          <w:szCs w:val="24"/>
          <w:lang w:val="fr-FR"/>
        </w:rPr>
        <w:t>interval</w:t>
      </w:r>
      <w:proofErr w:type="spellEnd"/>
      <w:r w:rsidRPr="00C56257">
        <w:rPr>
          <w:color w:val="000000" w:themeColor="text1"/>
          <w:sz w:val="24"/>
          <w:szCs w:val="24"/>
          <w:lang w:val="fr-FR"/>
        </w:rPr>
        <w:t xml:space="preserve"> 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valori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w:t>
      </w:r>
      <w:proofErr w:type="spellEnd"/>
      <w:r w:rsidRPr="00C56257">
        <w:rPr>
          <w:color w:val="000000" w:themeColor="text1"/>
          <w:sz w:val="24"/>
          <w:szCs w:val="24"/>
          <w:lang w:val="fr-FR"/>
        </w:rPr>
        <w:t xml:space="preserve"> care le </w:t>
      </w:r>
      <w:proofErr w:type="spellStart"/>
      <w:r w:rsidRPr="00C56257">
        <w:rPr>
          <w:color w:val="000000" w:themeColor="text1"/>
          <w:sz w:val="24"/>
          <w:szCs w:val="24"/>
          <w:lang w:val="fr-FR"/>
        </w:rPr>
        <w:t>poate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lua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fără</w:t>
      </w:r>
      <w:proofErr w:type="spellEnd"/>
      <w:r w:rsidRPr="00C56257">
        <w:rPr>
          <w:color w:val="000000" w:themeColor="text1"/>
          <w:sz w:val="24"/>
          <w:szCs w:val="24"/>
          <w:lang w:val="fr-FR"/>
        </w:rPr>
        <w:t xml:space="preserve"> ca </w:t>
      </w:r>
      <w:proofErr w:type="spellStart"/>
      <w:r w:rsidRPr="00C56257">
        <w:rPr>
          <w:color w:val="000000" w:themeColor="text1"/>
          <w:sz w:val="24"/>
          <w:szCs w:val="24"/>
          <w:lang w:val="fr-FR"/>
        </w:rPr>
        <w:t>proprietățile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habitatului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analizat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să</w:t>
      </w:r>
      <w:proofErr w:type="spellEnd"/>
      <w:r w:rsidRPr="00C56257">
        <w:rPr>
          <w:color w:val="000000" w:themeColor="text1"/>
          <w:sz w:val="24"/>
          <w:szCs w:val="24"/>
          <w:lang w:val="fr-FR"/>
        </w:rPr>
        <w:t xml:space="preserve"> fie </w:t>
      </w:r>
      <w:proofErr w:type="spellStart"/>
      <w:r w:rsidRPr="00C56257">
        <w:rPr>
          <w:color w:val="000000" w:themeColor="text1"/>
          <w:sz w:val="24"/>
          <w:szCs w:val="24"/>
          <w:lang w:val="fr-FR"/>
        </w:rPr>
        <w:t>alterate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uşurându</w:t>
      </w:r>
      <w:proofErr w:type="spellEnd"/>
      <w:r w:rsidRPr="00C56257">
        <w:rPr>
          <w:color w:val="000000" w:themeColor="text1"/>
          <w:sz w:val="24"/>
          <w:szCs w:val="24"/>
          <w:lang w:val="fr-FR"/>
        </w:rPr>
        <w:t xml:space="preserve">-se </w:t>
      </w:r>
      <w:proofErr w:type="spellStart"/>
      <w:r w:rsidRPr="00C56257">
        <w:rPr>
          <w:color w:val="000000" w:themeColor="text1"/>
          <w:sz w:val="24"/>
          <w:szCs w:val="24"/>
          <w:lang w:val="fr-FR"/>
        </w:rPr>
        <w:t>astfel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interpretarea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rezultatelor</w:t>
      </w:r>
      <w:proofErr w:type="spellEnd"/>
      <w:r w:rsidRPr="00C56257">
        <w:rPr>
          <w:color w:val="000000" w:themeColor="text1"/>
          <w:sz w:val="24"/>
          <w:szCs w:val="24"/>
          <w:lang w:val="fr-FR"/>
        </w:rPr>
        <w:t>.</w:t>
      </w:r>
    </w:p>
    <w:p w14:paraId="69416A19" w14:textId="77777777" w:rsidR="006735BF" w:rsidRPr="00C56257" w:rsidRDefault="006735BF" w:rsidP="00FC74DD">
      <w:pPr>
        <w:pStyle w:val="BodyText"/>
        <w:ind w:left="0" w:right="14"/>
        <w:jc w:val="both"/>
        <w:rPr>
          <w:color w:val="000000" w:themeColor="text1"/>
          <w:sz w:val="24"/>
          <w:szCs w:val="24"/>
          <w:lang w:val="fr-FR"/>
        </w:rPr>
      </w:pP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tabelul</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care</w:t>
      </w:r>
      <w:r w:rsidRPr="00C56257">
        <w:rPr>
          <w:color w:val="000000" w:themeColor="text1"/>
          <w:spacing w:val="-3"/>
          <w:sz w:val="24"/>
          <w:szCs w:val="24"/>
          <w:lang w:val="fr-FR"/>
        </w:rPr>
        <w:t xml:space="preserve"> </w:t>
      </w:r>
      <w:proofErr w:type="spellStart"/>
      <w:r w:rsidRPr="00C56257">
        <w:rPr>
          <w:color w:val="000000" w:themeColor="text1"/>
          <w:sz w:val="24"/>
          <w:szCs w:val="24"/>
          <w:lang w:val="fr-FR"/>
        </w:rPr>
        <w:t>urmează</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se</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regăsesc</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indicatorii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generali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din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cadrul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planului</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monitorizare</w:t>
      </w:r>
      <w:proofErr w:type="spellEnd"/>
    </w:p>
    <w:p w14:paraId="0D902C02" w14:textId="77777777" w:rsidR="006735BF" w:rsidRPr="00C56257" w:rsidRDefault="006735BF" w:rsidP="008E33FD">
      <w:pPr>
        <w:pStyle w:val="BodyText"/>
        <w:spacing w:before="8"/>
        <w:jc w:val="both"/>
        <w:rPr>
          <w:color w:val="000000" w:themeColor="text1"/>
          <w:sz w:val="24"/>
          <w:szCs w:val="24"/>
          <w:lang w:val="fr-FR"/>
        </w:rPr>
      </w:pPr>
    </w:p>
    <w:tbl>
      <w:tblPr>
        <w:tblW w:w="0" w:type="auto"/>
        <w:tblInd w:w="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04"/>
        <w:gridCol w:w="7101"/>
      </w:tblGrid>
      <w:tr w:rsidR="006735BF" w:rsidRPr="00C56257" w14:paraId="5F819083" w14:textId="77777777" w:rsidTr="00511A4E">
        <w:trPr>
          <w:trHeight w:val="424"/>
        </w:trPr>
        <w:tc>
          <w:tcPr>
            <w:tcW w:w="2204" w:type="dxa"/>
            <w:shd w:val="clear" w:color="auto" w:fill="D9D9D9"/>
          </w:tcPr>
          <w:p w14:paraId="6EF503EB" w14:textId="77777777" w:rsidR="006735BF" w:rsidRPr="00C56257" w:rsidRDefault="006735BF" w:rsidP="008E33FD">
            <w:pPr>
              <w:pStyle w:val="TableParagraph"/>
              <w:spacing w:before="71"/>
              <w:ind w:left="395"/>
              <w:jc w:val="both"/>
              <w:rPr>
                <w:b/>
                <w:color w:val="000000" w:themeColor="text1"/>
                <w:sz w:val="24"/>
                <w:szCs w:val="24"/>
              </w:rPr>
            </w:pPr>
            <w:r w:rsidRPr="00C56257">
              <w:rPr>
                <w:b/>
                <w:color w:val="000000" w:themeColor="text1"/>
                <w:sz w:val="24"/>
                <w:szCs w:val="24"/>
              </w:rPr>
              <w:t>Indicatori</w:t>
            </w:r>
          </w:p>
        </w:tc>
        <w:tc>
          <w:tcPr>
            <w:tcW w:w="7101" w:type="dxa"/>
            <w:shd w:val="clear" w:color="auto" w:fill="D9D9D9"/>
          </w:tcPr>
          <w:p w14:paraId="48A43B3E" w14:textId="77777777" w:rsidR="006735BF" w:rsidRPr="00C56257" w:rsidRDefault="006735BF" w:rsidP="008E33FD">
            <w:pPr>
              <w:pStyle w:val="TableParagraph"/>
              <w:spacing w:before="71"/>
              <w:ind w:left="395"/>
              <w:jc w:val="both"/>
              <w:rPr>
                <w:b/>
                <w:color w:val="000000" w:themeColor="text1"/>
                <w:sz w:val="24"/>
                <w:szCs w:val="24"/>
              </w:rPr>
            </w:pPr>
            <w:r w:rsidRPr="00C56257">
              <w:rPr>
                <w:b/>
                <w:color w:val="000000" w:themeColor="text1"/>
                <w:sz w:val="24"/>
                <w:szCs w:val="24"/>
              </w:rPr>
              <w:t>Compoziție</w:t>
            </w:r>
          </w:p>
        </w:tc>
      </w:tr>
      <w:tr w:rsidR="006735BF" w:rsidRPr="00C56257" w14:paraId="7791BFA8" w14:textId="77777777" w:rsidTr="00511A4E">
        <w:trPr>
          <w:trHeight w:val="827"/>
        </w:trPr>
        <w:tc>
          <w:tcPr>
            <w:tcW w:w="2204" w:type="dxa"/>
          </w:tcPr>
          <w:p w14:paraId="0891ED60" w14:textId="77777777" w:rsidR="006735BF" w:rsidRPr="00C56257" w:rsidRDefault="006735BF" w:rsidP="008E33FD">
            <w:pPr>
              <w:pStyle w:val="TableParagraph"/>
              <w:spacing w:before="133" w:line="237" w:lineRule="auto"/>
              <w:ind w:left="395" w:right="715"/>
              <w:jc w:val="both"/>
              <w:rPr>
                <w:color w:val="000000" w:themeColor="text1"/>
                <w:sz w:val="24"/>
                <w:szCs w:val="24"/>
              </w:rPr>
            </w:pPr>
            <w:r w:rsidRPr="00C56257">
              <w:rPr>
                <w:color w:val="000000" w:themeColor="text1"/>
                <w:sz w:val="24"/>
                <w:szCs w:val="24"/>
              </w:rPr>
              <w:t>La</w:t>
            </w:r>
            <w:r w:rsidRPr="00C56257">
              <w:rPr>
                <w:color w:val="000000" w:themeColor="text1"/>
                <w:spacing w:val="-9"/>
                <w:sz w:val="24"/>
                <w:szCs w:val="24"/>
              </w:rPr>
              <w:t xml:space="preserve"> </w:t>
            </w:r>
            <w:r w:rsidRPr="00C56257">
              <w:rPr>
                <w:color w:val="000000" w:themeColor="text1"/>
                <w:sz w:val="24"/>
                <w:szCs w:val="24"/>
              </w:rPr>
              <w:t>nivel</w:t>
            </w:r>
            <w:r w:rsidRPr="00C56257">
              <w:rPr>
                <w:color w:val="000000" w:themeColor="text1"/>
                <w:spacing w:val="-7"/>
                <w:sz w:val="24"/>
                <w:szCs w:val="24"/>
              </w:rPr>
              <w:t xml:space="preserve"> </w:t>
            </w:r>
            <w:r w:rsidRPr="00C56257">
              <w:rPr>
                <w:color w:val="000000" w:themeColor="text1"/>
                <w:sz w:val="24"/>
                <w:szCs w:val="24"/>
              </w:rPr>
              <w:t>de</w:t>
            </w:r>
            <w:r w:rsidRPr="00C56257">
              <w:rPr>
                <w:color w:val="000000" w:themeColor="text1"/>
                <w:spacing w:val="-57"/>
                <w:sz w:val="24"/>
                <w:szCs w:val="24"/>
              </w:rPr>
              <w:t xml:space="preserve"> </w:t>
            </w:r>
            <w:r w:rsidRPr="00C56257">
              <w:rPr>
                <w:color w:val="000000" w:themeColor="text1"/>
                <w:sz w:val="24"/>
                <w:szCs w:val="24"/>
              </w:rPr>
              <w:t>habitat</w:t>
            </w:r>
          </w:p>
        </w:tc>
        <w:tc>
          <w:tcPr>
            <w:tcW w:w="7101" w:type="dxa"/>
          </w:tcPr>
          <w:p w14:paraId="614C320C" w14:textId="77777777" w:rsidR="006735BF" w:rsidRPr="00C56257" w:rsidRDefault="006735BF" w:rsidP="009E63E5">
            <w:pPr>
              <w:pStyle w:val="TableParagraph"/>
              <w:numPr>
                <w:ilvl w:val="0"/>
                <w:numId w:val="146"/>
              </w:numPr>
              <w:tabs>
                <w:tab w:val="left" w:pos="367"/>
              </w:tabs>
              <w:spacing w:line="268" w:lineRule="exact"/>
              <w:jc w:val="both"/>
              <w:rPr>
                <w:color w:val="000000" w:themeColor="text1"/>
                <w:sz w:val="24"/>
                <w:szCs w:val="24"/>
              </w:rPr>
            </w:pPr>
            <w:r w:rsidRPr="00C56257">
              <w:rPr>
                <w:color w:val="000000" w:themeColor="text1"/>
                <w:sz w:val="24"/>
                <w:szCs w:val="24"/>
              </w:rPr>
              <w:t>proporția</w:t>
            </w:r>
            <w:r w:rsidRPr="00C56257">
              <w:rPr>
                <w:color w:val="000000" w:themeColor="text1"/>
                <w:spacing w:val="-2"/>
                <w:sz w:val="24"/>
                <w:szCs w:val="24"/>
              </w:rPr>
              <w:t xml:space="preserve"> </w:t>
            </w:r>
            <w:r w:rsidRPr="00C56257">
              <w:rPr>
                <w:color w:val="000000" w:themeColor="text1"/>
                <w:sz w:val="24"/>
                <w:szCs w:val="24"/>
              </w:rPr>
              <w:t>habitatului</w:t>
            </w:r>
            <w:r w:rsidRPr="00C56257">
              <w:rPr>
                <w:color w:val="000000" w:themeColor="text1"/>
                <w:spacing w:val="-2"/>
                <w:sz w:val="24"/>
                <w:szCs w:val="24"/>
              </w:rPr>
              <w:t xml:space="preserve"> </w:t>
            </w:r>
            <w:r w:rsidRPr="00C56257">
              <w:rPr>
                <w:color w:val="000000" w:themeColor="text1"/>
                <w:sz w:val="24"/>
                <w:szCs w:val="24"/>
              </w:rPr>
              <w:t>în</w:t>
            </w:r>
            <w:r w:rsidRPr="00C56257">
              <w:rPr>
                <w:color w:val="000000" w:themeColor="text1"/>
                <w:spacing w:val="-2"/>
                <w:sz w:val="24"/>
                <w:szCs w:val="24"/>
              </w:rPr>
              <w:t xml:space="preserve"> </w:t>
            </w:r>
            <w:r w:rsidRPr="00C56257">
              <w:rPr>
                <w:color w:val="000000" w:themeColor="text1"/>
                <w:sz w:val="24"/>
                <w:szCs w:val="24"/>
              </w:rPr>
              <w:t>cadrul</w:t>
            </w:r>
            <w:r w:rsidRPr="00C56257">
              <w:rPr>
                <w:color w:val="000000" w:themeColor="text1"/>
                <w:spacing w:val="-1"/>
                <w:sz w:val="24"/>
                <w:szCs w:val="24"/>
              </w:rPr>
              <w:t xml:space="preserve"> </w:t>
            </w:r>
            <w:r w:rsidRPr="00C56257">
              <w:rPr>
                <w:color w:val="000000" w:themeColor="text1"/>
                <w:sz w:val="24"/>
                <w:szCs w:val="24"/>
              </w:rPr>
              <w:t>arealului</w:t>
            </w:r>
            <w:r w:rsidRPr="00C56257">
              <w:rPr>
                <w:color w:val="000000" w:themeColor="text1"/>
                <w:spacing w:val="-2"/>
                <w:sz w:val="24"/>
                <w:szCs w:val="24"/>
              </w:rPr>
              <w:t xml:space="preserve"> </w:t>
            </w:r>
            <w:r w:rsidRPr="00C56257">
              <w:rPr>
                <w:color w:val="000000" w:themeColor="text1"/>
                <w:sz w:val="24"/>
                <w:szCs w:val="24"/>
              </w:rPr>
              <w:t>analizat</w:t>
            </w:r>
          </w:p>
          <w:p w14:paraId="4328DCB6" w14:textId="77777777" w:rsidR="006735BF" w:rsidRPr="00C56257" w:rsidRDefault="006735BF" w:rsidP="009E63E5">
            <w:pPr>
              <w:pStyle w:val="TableParagraph"/>
              <w:numPr>
                <w:ilvl w:val="0"/>
                <w:numId w:val="146"/>
              </w:numPr>
              <w:tabs>
                <w:tab w:val="left" w:pos="367"/>
              </w:tabs>
              <w:jc w:val="both"/>
              <w:rPr>
                <w:color w:val="000000" w:themeColor="text1"/>
                <w:sz w:val="24"/>
                <w:szCs w:val="24"/>
              </w:rPr>
            </w:pPr>
            <w:r w:rsidRPr="00C56257">
              <w:rPr>
                <w:color w:val="000000" w:themeColor="text1"/>
                <w:sz w:val="24"/>
                <w:szCs w:val="24"/>
              </w:rPr>
              <w:t>tipuri</w:t>
            </w:r>
            <w:r w:rsidRPr="00C56257">
              <w:rPr>
                <w:color w:val="000000" w:themeColor="text1"/>
                <w:spacing w:val="-3"/>
                <w:sz w:val="24"/>
                <w:szCs w:val="24"/>
              </w:rPr>
              <w:t xml:space="preserve"> </w:t>
            </w:r>
            <w:r w:rsidRPr="00C56257">
              <w:rPr>
                <w:color w:val="000000" w:themeColor="text1"/>
                <w:sz w:val="24"/>
                <w:szCs w:val="24"/>
              </w:rPr>
              <w:t>de</w:t>
            </w:r>
            <w:r w:rsidRPr="00C56257">
              <w:rPr>
                <w:color w:val="000000" w:themeColor="text1"/>
                <w:spacing w:val="-4"/>
                <w:sz w:val="24"/>
                <w:szCs w:val="24"/>
              </w:rPr>
              <w:t xml:space="preserve"> </w:t>
            </w:r>
            <w:r w:rsidRPr="00C56257">
              <w:rPr>
                <w:color w:val="000000" w:themeColor="text1"/>
                <w:sz w:val="24"/>
                <w:szCs w:val="24"/>
              </w:rPr>
              <w:t>asociații</w:t>
            </w:r>
            <w:r w:rsidRPr="00C56257">
              <w:rPr>
                <w:color w:val="000000" w:themeColor="text1"/>
                <w:spacing w:val="-2"/>
                <w:sz w:val="24"/>
                <w:szCs w:val="24"/>
              </w:rPr>
              <w:t xml:space="preserve"> </w:t>
            </w:r>
            <w:r w:rsidRPr="00C56257">
              <w:rPr>
                <w:color w:val="000000" w:themeColor="text1"/>
                <w:sz w:val="24"/>
                <w:szCs w:val="24"/>
              </w:rPr>
              <w:t>vegetale</w:t>
            </w:r>
            <w:r w:rsidRPr="00C56257">
              <w:rPr>
                <w:color w:val="000000" w:themeColor="text1"/>
                <w:spacing w:val="-2"/>
                <w:sz w:val="24"/>
                <w:szCs w:val="24"/>
              </w:rPr>
              <w:t xml:space="preserve"> </w:t>
            </w:r>
            <w:r w:rsidRPr="00C56257">
              <w:rPr>
                <w:color w:val="000000" w:themeColor="text1"/>
                <w:sz w:val="24"/>
                <w:szCs w:val="24"/>
              </w:rPr>
              <w:t>componente</w:t>
            </w:r>
          </w:p>
          <w:p w14:paraId="11A8109B" w14:textId="77777777" w:rsidR="006735BF" w:rsidRPr="00C56257" w:rsidRDefault="006735BF" w:rsidP="009E63E5">
            <w:pPr>
              <w:pStyle w:val="TableParagraph"/>
              <w:numPr>
                <w:ilvl w:val="0"/>
                <w:numId w:val="146"/>
              </w:numPr>
              <w:tabs>
                <w:tab w:val="left" w:pos="367"/>
              </w:tabs>
              <w:spacing w:line="264" w:lineRule="exact"/>
              <w:jc w:val="both"/>
              <w:rPr>
                <w:color w:val="000000" w:themeColor="text1"/>
                <w:sz w:val="24"/>
                <w:szCs w:val="24"/>
              </w:rPr>
            </w:pPr>
            <w:r w:rsidRPr="00C56257">
              <w:rPr>
                <w:color w:val="000000" w:themeColor="text1"/>
                <w:sz w:val="24"/>
                <w:szCs w:val="24"/>
              </w:rPr>
              <w:t>identificare,</w:t>
            </w:r>
            <w:r w:rsidRPr="00C56257">
              <w:rPr>
                <w:color w:val="000000" w:themeColor="text1"/>
                <w:spacing w:val="-3"/>
                <w:sz w:val="24"/>
                <w:szCs w:val="24"/>
              </w:rPr>
              <w:t xml:space="preserve"> </w:t>
            </w:r>
            <w:r w:rsidRPr="00C56257">
              <w:rPr>
                <w:color w:val="000000" w:themeColor="text1"/>
                <w:sz w:val="24"/>
                <w:szCs w:val="24"/>
              </w:rPr>
              <w:t>distribuție,</w:t>
            </w:r>
            <w:r w:rsidRPr="00C56257">
              <w:rPr>
                <w:color w:val="000000" w:themeColor="text1"/>
                <w:spacing w:val="-2"/>
                <w:sz w:val="24"/>
                <w:szCs w:val="24"/>
              </w:rPr>
              <w:t xml:space="preserve"> </w:t>
            </w:r>
            <w:r w:rsidRPr="00C56257">
              <w:rPr>
                <w:color w:val="000000" w:themeColor="text1"/>
                <w:sz w:val="24"/>
                <w:szCs w:val="24"/>
              </w:rPr>
              <w:t>diversitate,</w:t>
            </w:r>
            <w:r w:rsidRPr="00C56257">
              <w:rPr>
                <w:color w:val="000000" w:themeColor="text1"/>
                <w:spacing w:val="-2"/>
                <w:sz w:val="24"/>
                <w:szCs w:val="24"/>
              </w:rPr>
              <w:t xml:space="preserve"> </w:t>
            </w:r>
            <w:r w:rsidRPr="00C56257">
              <w:rPr>
                <w:color w:val="000000" w:themeColor="text1"/>
                <w:sz w:val="24"/>
                <w:szCs w:val="24"/>
              </w:rPr>
              <w:t>abundență</w:t>
            </w:r>
          </w:p>
        </w:tc>
      </w:tr>
      <w:tr w:rsidR="006735BF" w:rsidRPr="00C56257" w14:paraId="14567C1C" w14:textId="77777777" w:rsidTr="00511A4E">
        <w:trPr>
          <w:trHeight w:val="1104"/>
        </w:trPr>
        <w:tc>
          <w:tcPr>
            <w:tcW w:w="2204" w:type="dxa"/>
          </w:tcPr>
          <w:p w14:paraId="2D727676" w14:textId="77777777" w:rsidR="006735BF" w:rsidRPr="00C56257" w:rsidRDefault="006735BF" w:rsidP="008E33FD">
            <w:pPr>
              <w:pStyle w:val="TableParagraph"/>
              <w:spacing w:before="3"/>
              <w:jc w:val="both"/>
              <w:rPr>
                <w:color w:val="000000" w:themeColor="text1"/>
                <w:sz w:val="24"/>
                <w:szCs w:val="24"/>
              </w:rPr>
            </w:pPr>
          </w:p>
          <w:p w14:paraId="1B374C09" w14:textId="77777777" w:rsidR="006735BF" w:rsidRPr="00C56257" w:rsidRDefault="006735BF" w:rsidP="008E33FD">
            <w:pPr>
              <w:pStyle w:val="TableParagraph"/>
              <w:spacing w:before="1"/>
              <w:ind w:left="395" w:right="479"/>
              <w:jc w:val="both"/>
              <w:rPr>
                <w:color w:val="000000" w:themeColor="text1"/>
                <w:sz w:val="24"/>
                <w:szCs w:val="24"/>
              </w:rPr>
            </w:pPr>
            <w:r w:rsidRPr="00C56257">
              <w:rPr>
                <w:color w:val="000000" w:themeColor="text1"/>
                <w:sz w:val="24"/>
                <w:szCs w:val="24"/>
              </w:rPr>
              <w:t>Comunitate –</w:t>
            </w:r>
            <w:r w:rsidRPr="00C56257">
              <w:rPr>
                <w:color w:val="000000" w:themeColor="text1"/>
                <w:spacing w:val="-57"/>
                <w:sz w:val="24"/>
                <w:szCs w:val="24"/>
              </w:rPr>
              <w:t xml:space="preserve"> </w:t>
            </w:r>
            <w:r w:rsidRPr="00C56257">
              <w:rPr>
                <w:color w:val="000000" w:themeColor="text1"/>
                <w:sz w:val="24"/>
                <w:szCs w:val="24"/>
              </w:rPr>
              <w:t>ecosistem</w:t>
            </w:r>
          </w:p>
        </w:tc>
        <w:tc>
          <w:tcPr>
            <w:tcW w:w="7101" w:type="dxa"/>
          </w:tcPr>
          <w:p w14:paraId="336CAD78" w14:textId="77777777" w:rsidR="006735BF" w:rsidRPr="00C56257" w:rsidRDefault="006735BF" w:rsidP="009E63E5">
            <w:pPr>
              <w:pStyle w:val="TableParagraph"/>
              <w:numPr>
                <w:ilvl w:val="0"/>
                <w:numId w:val="145"/>
              </w:numPr>
              <w:tabs>
                <w:tab w:val="left" w:pos="367"/>
              </w:tabs>
              <w:spacing w:line="268" w:lineRule="exact"/>
              <w:jc w:val="both"/>
              <w:rPr>
                <w:color w:val="000000" w:themeColor="text1"/>
                <w:sz w:val="24"/>
                <w:szCs w:val="24"/>
              </w:rPr>
            </w:pPr>
            <w:r w:rsidRPr="00C56257">
              <w:rPr>
                <w:color w:val="000000" w:themeColor="text1"/>
                <w:sz w:val="24"/>
                <w:szCs w:val="24"/>
              </w:rPr>
              <w:t>identificarea</w:t>
            </w:r>
            <w:r w:rsidRPr="00C56257">
              <w:rPr>
                <w:color w:val="000000" w:themeColor="text1"/>
                <w:spacing w:val="-3"/>
                <w:sz w:val="24"/>
                <w:szCs w:val="24"/>
              </w:rPr>
              <w:t xml:space="preserve"> </w:t>
            </w:r>
            <w:r w:rsidRPr="00C56257">
              <w:rPr>
                <w:color w:val="000000" w:themeColor="text1"/>
                <w:sz w:val="24"/>
                <w:szCs w:val="24"/>
              </w:rPr>
              <w:t>de</w:t>
            </w:r>
            <w:r w:rsidRPr="00C56257">
              <w:rPr>
                <w:color w:val="000000" w:themeColor="text1"/>
                <w:spacing w:val="-2"/>
                <w:sz w:val="24"/>
                <w:szCs w:val="24"/>
              </w:rPr>
              <w:t xml:space="preserve"> </w:t>
            </w:r>
            <w:r w:rsidRPr="00C56257">
              <w:rPr>
                <w:color w:val="000000" w:themeColor="text1"/>
                <w:sz w:val="24"/>
                <w:szCs w:val="24"/>
              </w:rPr>
              <w:t>speciişi</w:t>
            </w:r>
            <w:r w:rsidRPr="00C56257">
              <w:rPr>
                <w:color w:val="000000" w:themeColor="text1"/>
                <w:spacing w:val="-2"/>
                <w:sz w:val="24"/>
                <w:szCs w:val="24"/>
              </w:rPr>
              <w:t xml:space="preserve"> </w:t>
            </w:r>
            <w:r w:rsidRPr="00C56257">
              <w:rPr>
                <w:color w:val="000000" w:themeColor="text1"/>
                <w:sz w:val="24"/>
                <w:szCs w:val="24"/>
              </w:rPr>
              <w:t>abundența</w:t>
            </w:r>
            <w:r w:rsidRPr="00C56257">
              <w:rPr>
                <w:color w:val="000000" w:themeColor="text1"/>
                <w:spacing w:val="-2"/>
                <w:sz w:val="24"/>
                <w:szCs w:val="24"/>
              </w:rPr>
              <w:t xml:space="preserve"> </w:t>
            </w:r>
            <w:r w:rsidRPr="00C56257">
              <w:rPr>
                <w:color w:val="000000" w:themeColor="text1"/>
                <w:sz w:val="24"/>
                <w:szCs w:val="24"/>
              </w:rPr>
              <w:t>relativă</w:t>
            </w:r>
          </w:p>
          <w:p w14:paraId="6B4790E9" w14:textId="77777777" w:rsidR="006735BF" w:rsidRPr="00C56257" w:rsidRDefault="006735BF" w:rsidP="008E33FD">
            <w:pPr>
              <w:pStyle w:val="TableParagraph"/>
              <w:ind w:left="227" w:right="219"/>
              <w:jc w:val="both"/>
              <w:rPr>
                <w:color w:val="000000" w:themeColor="text1"/>
                <w:sz w:val="24"/>
                <w:szCs w:val="24"/>
              </w:rPr>
            </w:pPr>
            <w:r w:rsidRPr="00C56257">
              <w:rPr>
                <w:color w:val="000000" w:themeColor="text1"/>
                <w:sz w:val="24"/>
                <w:szCs w:val="24"/>
              </w:rPr>
              <w:t>-frecvență, abundență, diversitatea în specii a comunității, proporțiile</w:t>
            </w:r>
            <w:r w:rsidRPr="00C56257">
              <w:rPr>
                <w:color w:val="000000" w:themeColor="text1"/>
                <w:spacing w:val="-58"/>
                <w:sz w:val="24"/>
                <w:szCs w:val="24"/>
              </w:rPr>
              <w:t xml:space="preserve"> </w:t>
            </w:r>
            <w:r w:rsidRPr="00C56257">
              <w:rPr>
                <w:color w:val="000000" w:themeColor="text1"/>
                <w:sz w:val="24"/>
                <w:szCs w:val="24"/>
              </w:rPr>
              <w:t>de</w:t>
            </w:r>
            <w:r w:rsidRPr="00C56257">
              <w:rPr>
                <w:color w:val="000000" w:themeColor="text1"/>
                <w:spacing w:val="-2"/>
                <w:sz w:val="24"/>
                <w:szCs w:val="24"/>
              </w:rPr>
              <w:t xml:space="preserve"> </w:t>
            </w:r>
            <w:r w:rsidRPr="00C56257">
              <w:rPr>
                <w:color w:val="000000" w:themeColor="text1"/>
                <w:sz w:val="24"/>
                <w:szCs w:val="24"/>
              </w:rPr>
              <w:t>specii</w:t>
            </w:r>
            <w:r w:rsidRPr="00C56257">
              <w:rPr>
                <w:color w:val="000000" w:themeColor="text1"/>
                <w:spacing w:val="-1"/>
                <w:sz w:val="24"/>
                <w:szCs w:val="24"/>
              </w:rPr>
              <w:t xml:space="preserve"> </w:t>
            </w:r>
            <w:r w:rsidRPr="00C56257">
              <w:rPr>
                <w:color w:val="000000" w:themeColor="text1"/>
                <w:sz w:val="24"/>
                <w:szCs w:val="24"/>
              </w:rPr>
              <w:t>endemice</w:t>
            </w:r>
            <w:r w:rsidRPr="00C56257">
              <w:rPr>
                <w:color w:val="000000" w:themeColor="text1"/>
                <w:spacing w:val="-1"/>
                <w:sz w:val="24"/>
                <w:szCs w:val="24"/>
              </w:rPr>
              <w:t xml:space="preserve"> </w:t>
            </w:r>
            <w:r w:rsidRPr="00C56257">
              <w:rPr>
                <w:color w:val="000000" w:themeColor="text1"/>
                <w:sz w:val="24"/>
                <w:szCs w:val="24"/>
              </w:rPr>
              <w:t>amenințate</w:t>
            </w:r>
            <w:r w:rsidRPr="00C56257">
              <w:rPr>
                <w:color w:val="000000" w:themeColor="text1"/>
                <w:spacing w:val="-1"/>
                <w:sz w:val="24"/>
                <w:szCs w:val="24"/>
              </w:rPr>
              <w:t xml:space="preserve"> </w:t>
            </w:r>
            <w:r w:rsidRPr="00C56257">
              <w:rPr>
                <w:color w:val="000000" w:themeColor="text1"/>
                <w:sz w:val="24"/>
                <w:szCs w:val="24"/>
              </w:rPr>
              <w:t>şi specii</w:t>
            </w:r>
            <w:r w:rsidRPr="00C56257">
              <w:rPr>
                <w:color w:val="000000" w:themeColor="text1"/>
                <w:spacing w:val="-1"/>
                <w:sz w:val="24"/>
                <w:szCs w:val="24"/>
              </w:rPr>
              <w:t xml:space="preserve"> </w:t>
            </w:r>
            <w:r w:rsidRPr="00C56257">
              <w:rPr>
                <w:color w:val="000000" w:themeColor="text1"/>
                <w:sz w:val="24"/>
                <w:szCs w:val="24"/>
              </w:rPr>
              <w:t>pe</w:t>
            </w:r>
            <w:r w:rsidRPr="00C56257">
              <w:rPr>
                <w:color w:val="000000" w:themeColor="text1"/>
                <w:spacing w:val="-1"/>
                <w:sz w:val="24"/>
                <w:szCs w:val="24"/>
              </w:rPr>
              <w:t xml:space="preserve"> </w:t>
            </w:r>
            <w:r w:rsidRPr="00C56257">
              <w:rPr>
                <w:color w:val="000000" w:themeColor="text1"/>
                <w:sz w:val="24"/>
                <w:szCs w:val="24"/>
              </w:rPr>
              <w:t>cale</w:t>
            </w:r>
            <w:r w:rsidRPr="00C56257">
              <w:rPr>
                <w:color w:val="000000" w:themeColor="text1"/>
                <w:spacing w:val="-1"/>
                <w:sz w:val="24"/>
                <w:szCs w:val="24"/>
              </w:rPr>
              <w:t xml:space="preserve"> </w:t>
            </w:r>
            <w:r w:rsidRPr="00C56257">
              <w:rPr>
                <w:color w:val="000000" w:themeColor="text1"/>
                <w:sz w:val="24"/>
                <w:szCs w:val="24"/>
              </w:rPr>
              <w:t>de</w:t>
            </w:r>
            <w:r w:rsidRPr="00C56257">
              <w:rPr>
                <w:color w:val="000000" w:themeColor="text1"/>
                <w:spacing w:val="1"/>
                <w:sz w:val="24"/>
                <w:szCs w:val="24"/>
              </w:rPr>
              <w:t xml:space="preserve"> </w:t>
            </w:r>
            <w:r w:rsidRPr="00C56257">
              <w:rPr>
                <w:color w:val="000000" w:themeColor="text1"/>
                <w:sz w:val="24"/>
                <w:szCs w:val="24"/>
              </w:rPr>
              <w:t>dispariție</w:t>
            </w:r>
          </w:p>
          <w:p w14:paraId="338F1CF4" w14:textId="77777777" w:rsidR="006735BF" w:rsidRPr="00C56257" w:rsidRDefault="006735BF" w:rsidP="009E63E5">
            <w:pPr>
              <w:pStyle w:val="TableParagraph"/>
              <w:numPr>
                <w:ilvl w:val="0"/>
                <w:numId w:val="145"/>
              </w:numPr>
              <w:tabs>
                <w:tab w:val="left" w:pos="367"/>
              </w:tabs>
              <w:spacing w:line="264" w:lineRule="exact"/>
              <w:jc w:val="both"/>
              <w:rPr>
                <w:color w:val="000000" w:themeColor="text1"/>
                <w:sz w:val="24"/>
                <w:szCs w:val="24"/>
              </w:rPr>
            </w:pPr>
            <w:r w:rsidRPr="00C56257">
              <w:rPr>
                <w:color w:val="000000" w:themeColor="text1"/>
                <w:sz w:val="24"/>
                <w:szCs w:val="24"/>
              </w:rPr>
              <w:t>dominanța</w:t>
            </w:r>
            <w:r w:rsidRPr="00C56257">
              <w:rPr>
                <w:color w:val="000000" w:themeColor="text1"/>
                <w:spacing w:val="-3"/>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diversitate,</w:t>
            </w:r>
            <w:r w:rsidRPr="00C56257">
              <w:rPr>
                <w:color w:val="000000" w:themeColor="text1"/>
                <w:spacing w:val="-1"/>
                <w:sz w:val="24"/>
                <w:szCs w:val="24"/>
              </w:rPr>
              <w:t xml:space="preserve"> </w:t>
            </w:r>
            <w:r w:rsidRPr="00C56257">
              <w:rPr>
                <w:color w:val="000000" w:themeColor="text1"/>
                <w:sz w:val="24"/>
                <w:szCs w:val="24"/>
              </w:rPr>
              <w:t>proporții</w:t>
            </w:r>
          </w:p>
        </w:tc>
      </w:tr>
      <w:tr w:rsidR="006735BF" w:rsidRPr="00C56257" w14:paraId="0948843C" w14:textId="77777777" w:rsidTr="00511A4E">
        <w:trPr>
          <w:trHeight w:val="551"/>
        </w:trPr>
        <w:tc>
          <w:tcPr>
            <w:tcW w:w="2204" w:type="dxa"/>
          </w:tcPr>
          <w:p w14:paraId="54E3EBE1" w14:textId="77777777" w:rsidR="006735BF" w:rsidRPr="00C56257" w:rsidRDefault="006735BF" w:rsidP="008E33FD">
            <w:pPr>
              <w:pStyle w:val="TableParagraph"/>
              <w:spacing w:before="131"/>
              <w:ind w:left="395"/>
              <w:jc w:val="both"/>
              <w:rPr>
                <w:color w:val="000000" w:themeColor="text1"/>
                <w:sz w:val="24"/>
                <w:szCs w:val="24"/>
              </w:rPr>
            </w:pPr>
            <w:r w:rsidRPr="00C56257">
              <w:rPr>
                <w:color w:val="000000" w:themeColor="text1"/>
                <w:sz w:val="24"/>
                <w:szCs w:val="24"/>
              </w:rPr>
              <w:t>Populație</w:t>
            </w:r>
            <w:r w:rsidRPr="00C56257">
              <w:rPr>
                <w:color w:val="000000" w:themeColor="text1"/>
                <w:spacing w:val="-2"/>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specii</w:t>
            </w:r>
          </w:p>
        </w:tc>
        <w:tc>
          <w:tcPr>
            <w:tcW w:w="7101" w:type="dxa"/>
          </w:tcPr>
          <w:p w14:paraId="46DCE8EF" w14:textId="77777777" w:rsidR="006735BF" w:rsidRPr="00C56257" w:rsidRDefault="006735BF" w:rsidP="009E63E5">
            <w:pPr>
              <w:pStyle w:val="TableParagraph"/>
              <w:numPr>
                <w:ilvl w:val="0"/>
                <w:numId w:val="144"/>
              </w:numPr>
              <w:tabs>
                <w:tab w:val="left" w:pos="535"/>
              </w:tabs>
              <w:spacing w:line="268" w:lineRule="exact"/>
              <w:jc w:val="both"/>
              <w:rPr>
                <w:color w:val="000000" w:themeColor="text1"/>
                <w:sz w:val="24"/>
                <w:szCs w:val="24"/>
              </w:rPr>
            </w:pPr>
            <w:r w:rsidRPr="00C56257">
              <w:rPr>
                <w:color w:val="000000" w:themeColor="text1"/>
                <w:sz w:val="24"/>
                <w:szCs w:val="24"/>
              </w:rPr>
              <w:t>abundența</w:t>
            </w:r>
            <w:r w:rsidRPr="00C56257">
              <w:rPr>
                <w:color w:val="000000" w:themeColor="text1"/>
                <w:spacing w:val="-1"/>
                <w:sz w:val="24"/>
                <w:szCs w:val="24"/>
              </w:rPr>
              <w:t xml:space="preserve"> </w:t>
            </w:r>
            <w:r w:rsidRPr="00C56257">
              <w:rPr>
                <w:color w:val="000000" w:themeColor="text1"/>
                <w:sz w:val="24"/>
                <w:szCs w:val="24"/>
              </w:rPr>
              <w:t>relativă</w:t>
            </w:r>
            <w:r w:rsidRPr="00C56257">
              <w:rPr>
                <w:color w:val="000000" w:themeColor="text1"/>
                <w:spacing w:val="-2"/>
                <w:sz w:val="24"/>
                <w:szCs w:val="24"/>
              </w:rPr>
              <w:t xml:space="preserve"> </w:t>
            </w:r>
            <w:r w:rsidRPr="00C56257">
              <w:rPr>
                <w:color w:val="000000" w:themeColor="text1"/>
                <w:sz w:val="24"/>
                <w:szCs w:val="24"/>
              </w:rPr>
              <w:t>şi</w:t>
            </w:r>
            <w:r w:rsidRPr="00C56257">
              <w:rPr>
                <w:color w:val="000000" w:themeColor="text1"/>
                <w:spacing w:val="-3"/>
                <w:sz w:val="24"/>
                <w:szCs w:val="24"/>
              </w:rPr>
              <w:t xml:space="preserve"> </w:t>
            </w:r>
            <w:r w:rsidRPr="00C56257">
              <w:rPr>
                <w:color w:val="000000" w:themeColor="text1"/>
                <w:sz w:val="24"/>
                <w:szCs w:val="24"/>
              </w:rPr>
              <w:t>absolută</w:t>
            </w:r>
          </w:p>
          <w:p w14:paraId="23E0FCA1" w14:textId="77777777" w:rsidR="006735BF" w:rsidRPr="00C56257" w:rsidRDefault="006735BF" w:rsidP="009E63E5">
            <w:pPr>
              <w:pStyle w:val="TableParagraph"/>
              <w:numPr>
                <w:ilvl w:val="0"/>
                <w:numId w:val="144"/>
              </w:numPr>
              <w:tabs>
                <w:tab w:val="left" w:pos="535"/>
              </w:tabs>
              <w:spacing w:line="264" w:lineRule="exact"/>
              <w:jc w:val="both"/>
              <w:rPr>
                <w:color w:val="000000" w:themeColor="text1"/>
                <w:sz w:val="24"/>
                <w:szCs w:val="24"/>
              </w:rPr>
            </w:pPr>
            <w:r w:rsidRPr="00C56257">
              <w:rPr>
                <w:color w:val="000000" w:themeColor="text1"/>
                <w:sz w:val="24"/>
                <w:szCs w:val="24"/>
              </w:rPr>
              <w:t>densitate</w:t>
            </w:r>
          </w:p>
        </w:tc>
      </w:tr>
    </w:tbl>
    <w:p w14:paraId="3E0599CF" w14:textId="77777777" w:rsidR="006735BF" w:rsidRPr="00C56257" w:rsidRDefault="006735BF" w:rsidP="008E33FD">
      <w:pPr>
        <w:pStyle w:val="BodyText"/>
        <w:jc w:val="both"/>
        <w:rPr>
          <w:color w:val="000000" w:themeColor="text1"/>
          <w:sz w:val="24"/>
          <w:szCs w:val="24"/>
        </w:rPr>
      </w:pPr>
    </w:p>
    <w:p w14:paraId="77EA73E3" w14:textId="77777777" w:rsidR="006735BF" w:rsidRDefault="006735BF" w:rsidP="00FC74DD">
      <w:pPr>
        <w:pStyle w:val="Heading2"/>
        <w:widowControl w:val="0"/>
        <w:tabs>
          <w:tab w:val="left" w:pos="1115"/>
        </w:tabs>
        <w:autoSpaceDE w:val="0"/>
        <w:autoSpaceDN w:val="0"/>
        <w:spacing w:before="0" w:beforeAutospacing="0" w:after="0" w:afterAutospacing="0"/>
        <w:jc w:val="both"/>
        <w:rPr>
          <w:color w:val="000000" w:themeColor="text1"/>
          <w:sz w:val="24"/>
          <w:szCs w:val="24"/>
          <w:lang w:val="fr-FR"/>
        </w:rPr>
      </w:pPr>
      <w:proofErr w:type="spellStart"/>
      <w:r w:rsidRPr="00C56257">
        <w:rPr>
          <w:color w:val="000000" w:themeColor="text1"/>
          <w:sz w:val="24"/>
          <w:szCs w:val="24"/>
          <w:lang w:val="fr-FR"/>
        </w:rPr>
        <w:t>Metoda</w:t>
      </w:r>
      <w:proofErr w:type="spellEnd"/>
      <w:r w:rsidRPr="00C56257">
        <w:rPr>
          <w:color w:val="000000" w:themeColor="text1"/>
          <w:spacing w:val="-4"/>
          <w:sz w:val="24"/>
          <w:szCs w:val="24"/>
          <w:lang w:val="fr-FR"/>
        </w:rPr>
        <w:t xml:space="preserve"> </w:t>
      </w:r>
      <w:r w:rsidRPr="00C56257">
        <w:rPr>
          <w:color w:val="000000" w:themeColor="text1"/>
          <w:sz w:val="24"/>
          <w:szCs w:val="24"/>
          <w:lang w:val="fr-FR"/>
        </w:rPr>
        <w:t>de</w:t>
      </w:r>
      <w:r w:rsidRPr="00C56257">
        <w:rPr>
          <w:color w:val="000000" w:themeColor="text1"/>
          <w:spacing w:val="-4"/>
          <w:sz w:val="24"/>
          <w:szCs w:val="24"/>
          <w:lang w:val="fr-FR"/>
        </w:rPr>
        <w:t xml:space="preserve"> </w:t>
      </w:r>
      <w:proofErr w:type="spellStart"/>
      <w:r w:rsidRPr="00C56257">
        <w:rPr>
          <w:color w:val="000000" w:themeColor="text1"/>
          <w:sz w:val="24"/>
          <w:szCs w:val="24"/>
          <w:lang w:val="fr-FR"/>
        </w:rPr>
        <w:t>evaluare</w:t>
      </w:r>
      <w:proofErr w:type="spellEnd"/>
      <w:r w:rsidRPr="00C56257">
        <w:rPr>
          <w:color w:val="000000" w:themeColor="text1"/>
          <w:spacing w:val="-4"/>
          <w:sz w:val="24"/>
          <w:szCs w:val="24"/>
          <w:lang w:val="fr-FR"/>
        </w:rPr>
        <w:t xml:space="preserve"> </w:t>
      </w:r>
      <w:proofErr w:type="spellStart"/>
      <w:r w:rsidRPr="00C56257">
        <w:rPr>
          <w:color w:val="000000" w:themeColor="text1"/>
          <w:sz w:val="24"/>
          <w:szCs w:val="24"/>
          <w:lang w:val="fr-FR"/>
        </w:rPr>
        <w:t>pe</w:t>
      </w:r>
      <w:proofErr w:type="spellEnd"/>
      <w:r w:rsidRPr="00C56257">
        <w:rPr>
          <w:color w:val="000000" w:themeColor="text1"/>
          <w:spacing w:val="-3"/>
          <w:sz w:val="24"/>
          <w:szCs w:val="24"/>
          <w:lang w:val="fr-FR"/>
        </w:rPr>
        <w:t xml:space="preserve"> </w:t>
      </w:r>
      <w:r w:rsidRPr="00C56257">
        <w:rPr>
          <w:color w:val="000000" w:themeColor="text1"/>
          <w:sz w:val="24"/>
          <w:szCs w:val="24"/>
          <w:lang w:val="fr-FR"/>
        </w:rPr>
        <w:t>plot</w:t>
      </w:r>
      <w:r w:rsidRPr="00C56257">
        <w:rPr>
          <w:color w:val="000000" w:themeColor="text1"/>
          <w:spacing w:val="-2"/>
          <w:sz w:val="24"/>
          <w:szCs w:val="24"/>
          <w:lang w:val="fr-FR"/>
        </w:rPr>
        <w:t xml:space="preserve"> </w:t>
      </w:r>
      <w:r w:rsidRPr="00C56257">
        <w:rPr>
          <w:color w:val="000000" w:themeColor="text1"/>
          <w:sz w:val="24"/>
          <w:szCs w:val="24"/>
          <w:lang w:val="fr-FR"/>
        </w:rPr>
        <w:t>de</w:t>
      </w:r>
      <w:r w:rsidRPr="00C56257">
        <w:rPr>
          <w:color w:val="000000" w:themeColor="text1"/>
          <w:spacing w:val="-4"/>
          <w:sz w:val="24"/>
          <w:szCs w:val="24"/>
          <w:lang w:val="fr-FR"/>
        </w:rPr>
        <w:t xml:space="preserve"> </w:t>
      </w:r>
      <w:proofErr w:type="spellStart"/>
      <w:r w:rsidRPr="00C56257">
        <w:rPr>
          <w:color w:val="000000" w:themeColor="text1"/>
          <w:sz w:val="24"/>
          <w:szCs w:val="24"/>
          <w:lang w:val="fr-FR"/>
        </w:rPr>
        <w:t>monitorizare</w:t>
      </w:r>
      <w:proofErr w:type="spellEnd"/>
    </w:p>
    <w:p w14:paraId="786CB58F" w14:textId="77777777" w:rsidR="00D54D46" w:rsidRPr="00D54D46" w:rsidRDefault="00D54D46" w:rsidP="00FC74DD">
      <w:pPr>
        <w:pStyle w:val="Heading2"/>
        <w:widowControl w:val="0"/>
        <w:tabs>
          <w:tab w:val="left" w:pos="1115"/>
        </w:tabs>
        <w:autoSpaceDE w:val="0"/>
        <w:autoSpaceDN w:val="0"/>
        <w:spacing w:before="0" w:beforeAutospacing="0" w:after="0" w:afterAutospacing="0"/>
        <w:jc w:val="both"/>
        <w:rPr>
          <w:b w:val="0"/>
          <w:color w:val="000000" w:themeColor="text1"/>
          <w:sz w:val="24"/>
          <w:szCs w:val="24"/>
          <w:lang w:val="fr-FR"/>
        </w:rPr>
      </w:pPr>
      <w:proofErr w:type="spellStart"/>
      <w:r w:rsidRPr="00D54D46">
        <w:rPr>
          <w:b w:val="0"/>
          <w:color w:val="000000" w:themeColor="text1"/>
          <w:sz w:val="24"/>
          <w:szCs w:val="24"/>
          <w:lang w:val="fr-FR"/>
        </w:rPr>
        <w:t>Hărțile</w:t>
      </w:r>
      <w:proofErr w:type="spellEnd"/>
      <w:r w:rsidRPr="00D54D46">
        <w:rPr>
          <w:b w:val="0"/>
          <w:color w:val="000000" w:themeColor="text1"/>
          <w:sz w:val="24"/>
          <w:szCs w:val="24"/>
          <w:lang w:val="fr-FR"/>
        </w:rPr>
        <w:t xml:space="preserve"> de </w:t>
      </w:r>
      <w:proofErr w:type="spellStart"/>
      <w:r w:rsidRPr="00D54D46">
        <w:rPr>
          <w:b w:val="0"/>
          <w:color w:val="000000" w:themeColor="text1"/>
          <w:sz w:val="24"/>
          <w:szCs w:val="24"/>
          <w:lang w:val="fr-FR"/>
        </w:rPr>
        <w:t>distribuție</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și</w:t>
      </w:r>
      <w:proofErr w:type="spellEnd"/>
      <w:r w:rsidRPr="00D54D46">
        <w:rPr>
          <w:b w:val="0"/>
          <w:color w:val="000000" w:themeColor="text1"/>
          <w:sz w:val="24"/>
          <w:szCs w:val="24"/>
          <w:lang w:val="fr-FR"/>
        </w:rPr>
        <w:t xml:space="preserve"> ale </w:t>
      </w:r>
      <w:proofErr w:type="spellStart"/>
      <w:r w:rsidRPr="00D54D46">
        <w:rPr>
          <w:b w:val="0"/>
          <w:color w:val="000000" w:themeColor="text1"/>
          <w:sz w:val="24"/>
          <w:szCs w:val="24"/>
          <w:lang w:val="fr-FR"/>
        </w:rPr>
        <w:t>arealului</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fiecărui</w:t>
      </w:r>
      <w:proofErr w:type="spellEnd"/>
      <w:r w:rsidRPr="00D54D46">
        <w:rPr>
          <w:b w:val="0"/>
          <w:color w:val="000000" w:themeColor="text1"/>
          <w:sz w:val="24"/>
          <w:szCs w:val="24"/>
          <w:lang w:val="fr-FR"/>
        </w:rPr>
        <w:t xml:space="preserve"> tip de habitat se vor </w:t>
      </w:r>
      <w:proofErr w:type="spellStart"/>
      <w:r w:rsidRPr="00D54D46">
        <w:rPr>
          <w:b w:val="0"/>
          <w:color w:val="000000" w:themeColor="text1"/>
          <w:sz w:val="24"/>
          <w:szCs w:val="24"/>
          <w:lang w:val="fr-FR"/>
        </w:rPr>
        <w:t>realiza</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în</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formatul</w:t>
      </w:r>
      <w:proofErr w:type="spellEnd"/>
      <w:r w:rsidRPr="00D54D46">
        <w:rPr>
          <w:b w:val="0"/>
          <w:color w:val="000000" w:themeColor="text1"/>
          <w:sz w:val="24"/>
          <w:szCs w:val="24"/>
          <w:lang w:val="fr-FR"/>
        </w:rPr>
        <w:t xml:space="preserve"> standard 10x10</w:t>
      </w:r>
      <w:r w:rsidRPr="00D54D46">
        <w:rPr>
          <w:b w:val="0"/>
          <w:color w:val="000000" w:themeColor="text1"/>
          <w:spacing w:val="1"/>
          <w:sz w:val="24"/>
          <w:szCs w:val="24"/>
          <w:lang w:val="fr-FR"/>
        </w:rPr>
        <w:t xml:space="preserve"> </w:t>
      </w:r>
      <w:r w:rsidRPr="00D54D46">
        <w:rPr>
          <w:b w:val="0"/>
          <w:color w:val="000000" w:themeColor="text1"/>
          <w:sz w:val="24"/>
          <w:szCs w:val="24"/>
          <w:lang w:val="fr-FR"/>
        </w:rPr>
        <w:t xml:space="preserve">km ETRS, </w:t>
      </w:r>
      <w:proofErr w:type="spellStart"/>
      <w:r w:rsidRPr="00D54D46">
        <w:rPr>
          <w:b w:val="0"/>
          <w:color w:val="000000" w:themeColor="text1"/>
          <w:sz w:val="24"/>
          <w:szCs w:val="24"/>
          <w:lang w:val="fr-FR"/>
        </w:rPr>
        <w:t>proiecţie</w:t>
      </w:r>
      <w:proofErr w:type="spellEnd"/>
      <w:r w:rsidRPr="00D54D46">
        <w:rPr>
          <w:b w:val="0"/>
          <w:color w:val="000000" w:themeColor="text1"/>
          <w:sz w:val="24"/>
          <w:szCs w:val="24"/>
          <w:lang w:val="fr-FR"/>
        </w:rPr>
        <w:t xml:space="preserve"> ETRS 5210. </w:t>
      </w:r>
      <w:proofErr w:type="spellStart"/>
      <w:r w:rsidRPr="00D54D46">
        <w:rPr>
          <w:b w:val="0"/>
          <w:color w:val="000000" w:themeColor="text1"/>
          <w:sz w:val="24"/>
          <w:szCs w:val="24"/>
          <w:lang w:val="fr-FR"/>
        </w:rPr>
        <w:t>Conform</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instrucțiunilor</w:t>
      </w:r>
      <w:proofErr w:type="spellEnd"/>
      <w:r w:rsidRPr="00D54D46">
        <w:rPr>
          <w:b w:val="0"/>
          <w:color w:val="000000" w:themeColor="text1"/>
          <w:sz w:val="24"/>
          <w:szCs w:val="24"/>
          <w:lang w:val="fr-FR"/>
        </w:rPr>
        <w:t xml:space="preserve"> CE nu este </w:t>
      </w:r>
      <w:proofErr w:type="spellStart"/>
      <w:r w:rsidRPr="00D54D46">
        <w:rPr>
          <w:b w:val="0"/>
          <w:color w:val="000000" w:themeColor="text1"/>
          <w:sz w:val="24"/>
          <w:szCs w:val="24"/>
          <w:lang w:val="fr-FR"/>
        </w:rPr>
        <w:t>permisa</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utilizarea</w:t>
      </w:r>
      <w:proofErr w:type="spellEnd"/>
      <w:r w:rsidRPr="00D54D46">
        <w:rPr>
          <w:b w:val="0"/>
          <w:color w:val="000000" w:themeColor="text1"/>
          <w:sz w:val="24"/>
          <w:szCs w:val="24"/>
          <w:lang w:val="fr-FR"/>
        </w:rPr>
        <w:t xml:space="preserve"> de date</w:t>
      </w:r>
      <w:r w:rsidRPr="00D54D46">
        <w:rPr>
          <w:b w:val="0"/>
          <w:color w:val="000000" w:themeColor="text1"/>
          <w:spacing w:val="1"/>
          <w:sz w:val="24"/>
          <w:szCs w:val="24"/>
          <w:lang w:val="fr-FR"/>
        </w:rPr>
        <w:t xml:space="preserve"> </w:t>
      </w:r>
      <w:proofErr w:type="spellStart"/>
      <w:r w:rsidRPr="00D54D46">
        <w:rPr>
          <w:b w:val="0"/>
          <w:color w:val="000000" w:themeColor="text1"/>
          <w:sz w:val="24"/>
          <w:szCs w:val="24"/>
          <w:lang w:val="fr-FR"/>
        </w:rPr>
        <w:t>atribut</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pentru</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indicarea</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prezenței</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unui</w:t>
      </w:r>
      <w:proofErr w:type="spellEnd"/>
      <w:r w:rsidRPr="00D54D46">
        <w:rPr>
          <w:b w:val="0"/>
          <w:color w:val="000000" w:themeColor="text1"/>
          <w:sz w:val="24"/>
          <w:szCs w:val="24"/>
          <w:lang w:val="fr-FR"/>
        </w:rPr>
        <w:t xml:space="preserve"> habitat </w:t>
      </w:r>
      <w:proofErr w:type="spellStart"/>
      <w:r w:rsidRPr="00D54D46">
        <w:rPr>
          <w:b w:val="0"/>
          <w:color w:val="000000" w:themeColor="text1"/>
          <w:sz w:val="24"/>
          <w:szCs w:val="24"/>
          <w:lang w:val="fr-FR"/>
        </w:rPr>
        <w:t>într</w:t>
      </w:r>
      <w:proofErr w:type="spellEnd"/>
      <w:r w:rsidRPr="00D54D46">
        <w:rPr>
          <w:b w:val="0"/>
          <w:color w:val="000000" w:themeColor="text1"/>
          <w:sz w:val="24"/>
          <w:szCs w:val="24"/>
          <w:lang w:val="fr-FR"/>
        </w:rPr>
        <w:t xml:space="preserve">-o </w:t>
      </w:r>
      <w:proofErr w:type="spellStart"/>
      <w:r w:rsidRPr="00D54D46">
        <w:rPr>
          <w:b w:val="0"/>
          <w:color w:val="000000" w:themeColor="text1"/>
          <w:sz w:val="24"/>
          <w:szCs w:val="24"/>
          <w:lang w:val="fr-FR"/>
        </w:rPr>
        <w:t>celula</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din</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grid</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Hărțile</w:t>
      </w:r>
      <w:proofErr w:type="spellEnd"/>
      <w:r w:rsidRPr="00D54D46">
        <w:rPr>
          <w:b w:val="0"/>
          <w:color w:val="000000" w:themeColor="text1"/>
          <w:sz w:val="24"/>
          <w:szCs w:val="24"/>
          <w:lang w:val="fr-FR"/>
        </w:rPr>
        <w:t xml:space="preserve"> de </w:t>
      </w:r>
      <w:proofErr w:type="spellStart"/>
      <w:r w:rsidRPr="00D54D46">
        <w:rPr>
          <w:b w:val="0"/>
          <w:color w:val="000000" w:themeColor="text1"/>
          <w:sz w:val="24"/>
          <w:szCs w:val="24"/>
          <w:lang w:val="fr-FR"/>
        </w:rPr>
        <w:t>distribuție</w:t>
      </w:r>
      <w:proofErr w:type="spellEnd"/>
      <w:r w:rsidRPr="00D54D46">
        <w:rPr>
          <w:b w:val="0"/>
          <w:color w:val="000000" w:themeColor="text1"/>
          <w:sz w:val="24"/>
          <w:szCs w:val="24"/>
          <w:lang w:val="fr-FR"/>
        </w:rPr>
        <w:t xml:space="preserve"> vor fi</w:t>
      </w:r>
      <w:r w:rsidRPr="00D54D46">
        <w:rPr>
          <w:b w:val="0"/>
          <w:color w:val="000000" w:themeColor="text1"/>
          <w:spacing w:val="1"/>
          <w:sz w:val="24"/>
          <w:szCs w:val="24"/>
          <w:lang w:val="fr-FR"/>
        </w:rPr>
        <w:t xml:space="preserve"> </w:t>
      </w:r>
      <w:proofErr w:type="spellStart"/>
      <w:r w:rsidRPr="00D54D46">
        <w:rPr>
          <w:b w:val="0"/>
          <w:color w:val="000000" w:themeColor="text1"/>
          <w:sz w:val="24"/>
          <w:szCs w:val="24"/>
          <w:lang w:val="fr-FR"/>
        </w:rPr>
        <w:t>completate</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cu</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metadatele</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necesare</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conform</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cu</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cerințele</w:t>
      </w:r>
      <w:proofErr w:type="spellEnd"/>
      <w:r w:rsidRPr="00D54D46">
        <w:rPr>
          <w:b w:val="0"/>
          <w:color w:val="000000" w:themeColor="text1"/>
          <w:sz w:val="24"/>
          <w:szCs w:val="24"/>
          <w:lang w:val="fr-FR"/>
        </w:rPr>
        <w:t xml:space="preserve"> CE, </w:t>
      </w:r>
      <w:proofErr w:type="spellStart"/>
      <w:r w:rsidRPr="00D54D46">
        <w:rPr>
          <w:b w:val="0"/>
          <w:color w:val="000000" w:themeColor="text1"/>
          <w:sz w:val="24"/>
          <w:szCs w:val="24"/>
          <w:lang w:val="fr-FR"/>
        </w:rPr>
        <w:t>și</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în</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concordanță</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cu</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specificațiile</w:t>
      </w:r>
      <w:proofErr w:type="spellEnd"/>
      <w:r w:rsidRPr="00D54D46">
        <w:rPr>
          <w:b w:val="0"/>
          <w:color w:val="000000" w:themeColor="text1"/>
          <w:spacing w:val="1"/>
          <w:sz w:val="24"/>
          <w:szCs w:val="24"/>
          <w:lang w:val="fr-FR"/>
        </w:rPr>
        <w:t xml:space="preserve"> </w:t>
      </w:r>
      <w:r w:rsidRPr="00D54D46">
        <w:rPr>
          <w:b w:val="0"/>
          <w:color w:val="000000" w:themeColor="text1"/>
          <w:sz w:val="24"/>
          <w:szCs w:val="24"/>
          <w:lang w:val="fr-FR"/>
        </w:rPr>
        <w:t xml:space="preserve">INSPIRE, </w:t>
      </w:r>
      <w:proofErr w:type="spellStart"/>
      <w:r w:rsidRPr="00D54D46">
        <w:rPr>
          <w:b w:val="0"/>
          <w:color w:val="000000" w:themeColor="text1"/>
          <w:sz w:val="24"/>
          <w:szCs w:val="24"/>
          <w:lang w:val="fr-FR"/>
        </w:rPr>
        <w:t>atunci</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când</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acestea</w:t>
      </w:r>
      <w:proofErr w:type="spellEnd"/>
      <w:r w:rsidRPr="00D54D46">
        <w:rPr>
          <w:b w:val="0"/>
          <w:color w:val="000000" w:themeColor="text1"/>
          <w:sz w:val="24"/>
          <w:szCs w:val="24"/>
          <w:lang w:val="fr-FR"/>
        </w:rPr>
        <w:t xml:space="preserve"> vor fi </w:t>
      </w:r>
      <w:proofErr w:type="spellStart"/>
      <w:r w:rsidRPr="00D54D46">
        <w:rPr>
          <w:b w:val="0"/>
          <w:color w:val="000000" w:themeColor="text1"/>
          <w:sz w:val="24"/>
          <w:szCs w:val="24"/>
          <w:lang w:val="fr-FR"/>
        </w:rPr>
        <w:t>disponibile</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pentru</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aceste</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tipuri</w:t>
      </w:r>
      <w:proofErr w:type="spellEnd"/>
      <w:r w:rsidRPr="00D54D46">
        <w:rPr>
          <w:b w:val="0"/>
          <w:color w:val="000000" w:themeColor="text1"/>
          <w:sz w:val="24"/>
          <w:szCs w:val="24"/>
          <w:lang w:val="fr-FR"/>
        </w:rPr>
        <w:t xml:space="preserve"> de date. </w:t>
      </w:r>
      <w:proofErr w:type="spellStart"/>
      <w:r w:rsidRPr="00D54D46">
        <w:rPr>
          <w:b w:val="0"/>
          <w:color w:val="000000" w:themeColor="text1"/>
          <w:sz w:val="24"/>
          <w:szCs w:val="24"/>
          <w:lang w:val="fr-FR"/>
        </w:rPr>
        <w:t>Metadatele</w:t>
      </w:r>
      <w:proofErr w:type="spellEnd"/>
      <w:r w:rsidRPr="00D54D46">
        <w:rPr>
          <w:b w:val="0"/>
          <w:color w:val="000000" w:themeColor="text1"/>
          <w:sz w:val="24"/>
          <w:szCs w:val="24"/>
          <w:lang w:val="fr-FR"/>
        </w:rPr>
        <w:t xml:space="preserve"> vor </w:t>
      </w:r>
      <w:proofErr w:type="spellStart"/>
      <w:r w:rsidRPr="00D54D46">
        <w:rPr>
          <w:b w:val="0"/>
          <w:color w:val="000000" w:themeColor="text1"/>
          <w:sz w:val="24"/>
          <w:szCs w:val="24"/>
          <w:lang w:val="fr-FR"/>
        </w:rPr>
        <w:t>conține</w:t>
      </w:r>
      <w:proofErr w:type="spellEnd"/>
      <w:r w:rsidRPr="00D54D46">
        <w:rPr>
          <w:b w:val="0"/>
          <w:color w:val="000000" w:themeColor="text1"/>
          <w:spacing w:val="1"/>
          <w:sz w:val="24"/>
          <w:szCs w:val="24"/>
          <w:lang w:val="fr-FR"/>
        </w:rPr>
        <w:t xml:space="preserve"> </w:t>
      </w:r>
      <w:proofErr w:type="spellStart"/>
      <w:r w:rsidRPr="00D54D46">
        <w:rPr>
          <w:b w:val="0"/>
          <w:color w:val="000000" w:themeColor="text1"/>
          <w:sz w:val="24"/>
          <w:szCs w:val="24"/>
          <w:lang w:val="fr-FR"/>
        </w:rPr>
        <w:t>între</w:t>
      </w:r>
      <w:proofErr w:type="spellEnd"/>
      <w:r w:rsidRPr="00D54D46">
        <w:rPr>
          <w:b w:val="0"/>
          <w:color w:val="000000" w:themeColor="text1"/>
          <w:spacing w:val="-3"/>
          <w:sz w:val="24"/>
          <w:szCs w:val="24"/>
          <w:lang w:val="fr-FR"/>
        </w:rPr>
        <w:t xml:space="preserve"> </w:t>
      </w:r>
      <w:proofErr w:type="spellStart"/>
      <w:r w:rsidRPr="00D54D46">
        <w:rPr>
          <w:b w:val="0"/>
          <w:color w:val="000000" w:themeColor="text1"/>
          <w:sz w:val="24"/>
          <w:szCs w:val="24"/>
          <w:lang w:val="fr-FR"/>
        </w:rPr>
        <w:t>altele</w:t>
      </w:r>
      <w:proofErr w:type="spellEnd"/>
      <w:r w:rsidRPr="00D54D46">
        <w:rPr>
          <w:b w:val="0"/>
          <w:color w:val="000000" w:themeColor="text1"/>
          <w:spacing w:val="-1"/>
          <w:sz w:val="24"/>
          <w:szCs w:val="24"/>
          <w:lang w:val="fr-FR"/>
        </w:rPr>
        <w:t xml:space="preserve"> </w:t>
      </w:r>
      <w:proofErr w:type="spellStart"/>
      <w:r w:rsidRPr="00D54D46">
        <w:rPr>
          <w:b w:val="0"/>
          <w:color w:val="000000" w:themeColor="text1"/>
          <w:sz w:val="24"/>
          <w:szCs w:val="24"/>
          <w:lang w:val="fr-FR"/>
        </w:rPr>
        <w:t>perioada</w:t>
      </w:r>
      <w:proofErr w:type="spellEnd"/>
      <w:r w:rsidRPr="00D54D46">
        <w:rPr>
          <w:b w:val="0"/>
          <w:color w:val="000000" w:themeColor="text1"/>
          <w:spacing w:val="-1"/>
          <w:sz w:val="24"/>
          <w:szCs w:val="24"/>
          <w:lang w:val="fr-FR"/>
        </w:rPr>
        <w:t xml:space="preserve"> </w:t>
      </w:r>
      <w:proofErr w:type="spellStart"/>
      <w:r w:rsidRPr="00D54D46">
        <w:rPr>
          <w:b w:val="0"/>
          <w:color w:val="000000" w:themeColor="text1"/>
          <w:sz w:val="24"/>
          <w:szCs w:val="24"/>
          <w:lang w:val="fr-FR"/>
        </w:rPr>
        <w:t>în</w:t>
      </w:r>
      <w:proofErr w:type="spellEnd"/>
      <w:r w:rsidRPr="00D54D46">
        <w:rPr>
          <w:b w:val="0"/>
          <w:color w:val="000000" w:themeColor="text1"/>
          <w:spacing w:val="-1"/>
          <w:sz w:val="24"/>
          <w:szCs w:val="24"/>
          <w:lang w:val="fr-FR"/>
        </w:rPr>
        <w:t xml:space="preserve"> </w:t>
      </w:r>
      <w:r w:rsidRPr="00D54D46">
        <w:rPr>
          <w:b w:val="0"/>
          <w:color w:val="000000" w:themeColor="text1"/>
          <w:sz w:val="24"/>
          <w:szCs w:val="24"/>
          <w:lang w:val="fr-FR"/>
        </w:rPr>
        <w:t>care</w:t>
      </w:r>
      <w:r w:rsidRPr="00D54D46">
        <w:rPr>
          <w:b w:val="0"/>
          <w:color w:val="000000" w:themeColor="text1"/>
          <w:spacing w:val="-2"/>
          <w:sz w:val="24"/>
          <w:szCs w:val="24"/>
          <w:lang w:val="fr-FR"/>
        </w:rPr>
        <w:t xml:space="preserve"> </w:t>
      </w:r>
      <w:r w:rsidRPr="00D54D46">
        <w:rPr>
          <w:b w:val="0"/>
          <w:color w:val="000000" w:themeColor="text1"/>
          <w:sz w:val="24"/>
          <w:szCs w:val="24"/>
          <w:lang w:val="fr-FR"/>
        </w:rPr>
        <w:t>au</w:t>
      </w:r>
      <w:r w:rsidRPr="00D54D46">
        <w:rPr>
          <w:b w:val="0"/>
          <w:color w:val="000000" w:themeColor="text1"/>
          <w:spacing w:val="-1"/>
          <w:sz w:val="24"/>
          <w:szCs w:val="24"/>
          <w:lang w:val="fr-FR"/>
        </w:rPr>
        <w:t xml:space="preserve"> </w:t>
      </w:r>
      <w:proofErr w:type="spellStart"/>
      <w:r w:rsidRPr="00D54D46">
        <w:rPr>
          <w:b w:val="0"/>
          <w:color w:val="000000" w:themeColor="text1"/>
          <w:sz w:val="24"/>
          <w:szCs w:val="24"/>
          <w:lang w:val="fr-FR"/>
        </w:rPr>
        <w:t>fost</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culese</w:t>
      </w:r>
      <w:proofErr w:type="spellEnd"/>
      <w:r w:rsidRPr="00D54D46">
        <w:rPr>
          <w:b w:val="0"/>
          <w:color w:val="000000" w:themeColor="text1"/>
          <w:spacing w:val="-2"/>
          <w:sz w:val="24"/>
          <w:szCs w:val="24"/>
          <w:lang w:val="fr-FR"/>
        </w:rPr>
        <w:t xml:space="preserve"> </w:t>
      </w:r>
      <w:proofErr w:type="spellStart"/>
      <w:r w:rsidRPr="00D54D46">
        <w:rPr>
          <w:b w:val="0"/>
          <w:color w:val="000000" w:themeColor="text1"/>
          <w:sz w:val="24"/>
          <w:szCs w:val="24"/>
          <w:lang w:val="fr-FR"/>
        </w:rPr>
        <w:t>datele</w:t>
      </w:r>
      <w:proofErr w:type="spellEnd"/>
      <w:r w:rsidRPr="00D54D46">
        <w:rPr>
          <w:b w:val="0"/>
          <w:color w:val="000000" w:themeColor="text1"/>
          <w:sz w:val="24"/>
          <w:szCs w:val="24"/>
          <w:lang w:val="fr-FR"/>
        </w:rPr>
        <w:t xml:space="preserve"> de</w:t>
      </w:r>
      <w:r w:rsidRPr="00D54D46">
        <w:rPr>
          <w:b w:val="0"/>
          <w:color w:val="000000" w:themeColor="text1"/>
          <w:spacing w:val="-2"/>
          <w:sz w:val="24"/>
          <w:szCs w:val="24"/>
          <w:lang w:val="fr-FR"/>
        </w:rPr>
        <w:t xml:space="preserve"> </w:t>
      </w:r>
      <w:proofErr w:type="spellStart"/>
      <w:r w:rsidRPr="00D54D46">
        <w:rPr>
          <w:b w:val="0"/>
          <w:color w:val="000000" w:themeColor="text1"/>
          <w:sz w:val="24"/>
          <w:szCs w:val="24"/>
          <w:lang w:val="fr-FR"/>
        </w:rPr>
        <w:t>distribuție</w:t>
      </w:r>
      <w:proofErr w:type="spellEnd"/>
      <w:r w:rsidRPr="00D54D46">
        <w:rPr>
          <w:b w:val="0"/>
          <w:color w:val="000000" w:themeColor="text1"/>
          <w:sz w:val="24"/>
          <w:szCs w:val="24"/>
          <w:lang w:val="fr-FR"/>
        </w:rPr>
        <w:t xml:space="preserve">, </w:t>
      </w:r>
      <w:proofErr w:type="spellStart"/>
      <w:r w:rsidRPr="00D54D46">
        <w:rPr>
          <w:b w:val="0"/>
          <w:color w:val="000000" w:themeColor="text1"/>
          <w:sz w:val="24"/>
          <w:szCs w:val="24"/>
          <w:lang w:val="fr-FR"/>
        </w:rPr>
        <w:t>sistemul</w:t>
      </w:r>
      <w:proofErr w:type="spellEnd"/>
      <w:r w:rsidRPr="00D54D46">
        <w:rPr>
          <w:b w:val="0"/>
          <w:color w:val="000000" w:themeColor="text1"/>
          <w:spacing w:val="-1"/>
          <w:sz w:val="24"/>
          <w:szCs w:val="24"/>
          <w:lang w:val="fr-FR"/>
        </w:rPr>
        <w:t xml:space="preserve"> </w:t>
      </w:r>
      <w:r w:rsidRPr="00D54D46">
        <w:rPr>
          <w:b w:val="0"/>
          <w:color w:val="000000" w:themeColor="text1"/>
          <w:sz w:val="24"/>
          <w:szCs w:val="24"/>
          <w:lang w:val="fr-FR"/>
        </w:rPr>
        <w:t>de</w:t>
      </w:r>
      <w:r w:rsidRPr="00D54D46">
        <w:rPr>
          <w:b w:val="0"/>
          <w:color w:val="000000" w:themeColor="text1"/>
          <w:spacing w:val="-2"/>
          <w:sz w:val="24"/>
          <w:szCs w:val="24"/>
          <w:lang w:val="fr-FR"/>
        </w:rPr>
        <w:t xml:space="preserve"> </w:t>
      </w:r>
      <w:proofErr w:type="spellStart"/>
      <w:r w:rsidRPr="00D54D46">
        <w:rPr>
          <w:b w:val="0"/>
          <w:color w:val="000000" w:themeColor="text1"/>
          <w:sz w:val="24"/>
          <w:szCs w:val="24"/>
          <w:lang w:val="fr-FR"/>
        </w:rPr>
        <w:t>proiecție</w:t>
      </w:r>
      <w:proofErr w:type="spellEnd"/>
      <w:r w:rsidRPr="00D54D46">
        <w:rPr>
          <w:b w:val="0"/>
          <w:color w:val="000000" w:themeColor="text1"/>
          <w:sz w:val="24"/>
          <w:szCs w:val="24"/>
          <w:lang w:val="fr-FR"/>
        </w:rPr>
        <w:t>, data,</w:t>
      </w:r>
      <w:r w:rsidRPr="00D54D46">
        <w:rPr>
          <w:b w:val="0"/>
          <w:color w:val="000000" w:themeColor="text1"/>
          <w:spacing w:val="1"/>
          <w:sz w:val="24"/>
          <w:szCs w:val="24"/>
          <w:lang w:val="fr-FR"/>
        </w:rPr>
        <w:t xml:space="preserve"> </w:t>
      </w:r>
      <w:proofErr w:type="spellStart"/>
      <w:r w:rsidRPr="00D54D46">
        <w:rPr>
          <w:b w:val="0"/>
          <w:color w:val="000000" w:themeColor="text1"/>
          <w:sz w:val="24"/>
          <w:szCs w:val="24"/>
          <w:lang w:val="fr-FR"/>
        </w:rPr>
        <w:t>etc</w:t>
      </w:r>
      <w:proofErr w:type="spellEnd"/>
    </w:p>
    <w:p w14:paraId="7D7E36F1" w14:textId="77777777" w:rsidR="006735BF" w:rsidRPr="00C56257" w:rsidRDefault="006735BF" w:rsidP="00FC74DD">
      <w:pPr>
        <w:pStyle w:val="BodyText"/>
        <w:spacing w:before="159" w:line="276" w:lineRule="auto"/>
        <w:ind w:left="0" w:right="14"/>
        <w:jc w:val="both"/>
        <w:rPr>
          <w:color w:val="000000" w:themeColor="text1"/>
          <w:sz w:val="24"/>
          <w:szCs w:val="24"/>
          <w:lang w:val="fr-FR"/>
        </w:rPr>
      </w:pPr>
      <w:r w:rsidRPr="00C56257">
        <w:rPr>
          <w:noProof/>
          <w:color w:val="000000" w:themeColor="text1"/>
          <w:sz w:val="24"/>
          <w:szCs w:val="24"/>
        </w:rPr>
        <w:lastRenderedPageBreak/>
        <w:drawing>
          <wp:anchor distT="0" distB="0" distL="0" distR="0" simplePos="0" relativeHeight="251657216" behindDoc="0" locked="0" layoutInCell="1" allowOverlap="1" wp14:anchorId="13421D2E" wp14:editId="6A662049">
            <wp:simplePos x="0" y="0"/>
            <wp:positionH relativeFrom="page">
              <wp:posOffset>1182369</wp:posOffset>
            </wp:positionH>
            <wp:positionV relativeFrom="paragraph">
              <wp:posOffset>1390308</wp:posOffset>
            </wp:positionV>
            <wp:extent cx="5254359" cy="3699891"/>
            <wp:effectExtent l="0" t="0" r="0" b="0"/>
            <wp:wrapTopAndBottom/>
            <wp:docPr id="666"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4.jpeg"/>
                    <pic:cNvPicPr/>
                  </pic:nvPicPr>
                  <pic:blipFill>
                    <a:blip r:embed="rId66" cstate="print"/>
                    <a:stretch>
                      <a:fillRect/>
                    </a:stretch>
                  </pic:blipFill>
                  <pic:spPr>
                    <a:xfrm>
                      <a:off x="0" y="0"/>
                      <a:ext cx="5254359" cy="3699891"/>
                    </a:xfrm>
                    <a:prstGeom prst="rect">
                      <a:avLst/>
                    </a:prstGeom>
                  </pic:spPr>
                </pic:pic>
              </a:graphicData>
            </a:graphic>
          </wp:anchor>
        </w:drawing>
      </w:r>
      <w:proofErr w:type="spellStart"/>
      <w:r w:rsidRPr="00C56257">
        <w:rPr>
          <w:color w:val="000000" w:themeColor="text1"/>
          <w:sz w:val="24"/>
          <w:szCs w:val="24"/>
          <w:lang w:val="fr-FR"/>
        </w:rPr>
        <w:t>Hărțile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distribuție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z w:val="24"/>
          <w:szCs w:val="24"/>
          <w:lang w:val="fr-FR"/>
        </w:rPr>
        <w:t xml:space="preserve"> ale </w:t>
      </w:r>
      <w:proofErr w:type="spellStart"/>
      <w:r w:rsidRPr="00C56257">
        <w:rPr>
          <w:color w:val="000000" w:themeColor="text1"/>
          <w:sz w:val="24"/>
          <w:szCs w:val="24"/>
          <w:lang w:val="fr-FR"/>
        </w:rPr>
        <w:t>arealului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fiecărui</w:t>
      </w:r>
      <w:proofErr w:type="spellEnd"/>
      <w:r w:rsidRPr="00C56257">
        <w:rPr>
          <w:color w:val="000000" w:themeColor="text1"/>
          <w:sz w:val="24"/>
          <w:szCs w:val="24"/>
          <w:lang w:val="fr-FR"/>
        </w:rPr>
        <w:t xml:space="preserve"> tip de habitat se vor </w:t>
      </w:r>
      <w:proofErr w:type="spellStart"/>
      <w:r w:rsidRPr="00C56257">
        <w:rPr>
          <w:color w:val="000000" w:themeColor="text1"/>
          <w:sz w:val="24"/>
          <w:szCs w:val="24"/>
          <w:lang w:val="fr-FR"/>
        </w:rPr>
        <w:t>realiza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formatul</w:t>
      </w:r>
      <w:proofErr w:type="spellEnd"/>
      <w:r w:rsidRPr="00C56257">
        <w:rPr>
          <w:color w:val="000000" w:themeColor="text1"/>
          <w:sz w:val="24"/>
          <w:szCs w:val="24"/>
          <w:lang w:val="fr-FR"/>
        </w:rPr>
        <w:t xml:space="preserve"> standard 10x10</w:t>
      </w:r>
      <w:r w:rsidRPr="00C56257">
        <w:rPr>
          <w:color w:val="000000" w:themeColor="text1"/>
          <w:spacing w:val="1"/>
          <w:sz w:val="24"/>
          <w:szCs w:val="24"/>
          <w:lang w:val="fr-FR"/>
        </w:rPr>
        <w:t xml:space="preserve"> </w:t>
      </w:r>
      <w:r w:rsidRPr="00C56257">
        <w:rPr>
          <w:color w:val="000000" w:themeColor="text1"/>
          <w:sz w:val="24"/>
          <w:szCs w:val="24"/>
          <w:lang w:val="fr-FR"/>
        </w:rPr>
        <w:t xml:space="preserve">km ETRS, </w:t>
      </w:r>
      <w:proofErr w:type="spellStart"/>
      <w:r w:rsidRPr="00C56257">
        <w:rPr>
          <w:color w:val="000000" w:themeColor="text1"/>
          <w:sz w:val="24"/>
          <w:szCs w:val="24"/>
          <w:lang w:val="fr-FR"/>
        </w:rPr>
        <w:t>proiecţie</w:t>
      </w:r>
      <w:proofErr w:type="spellEnd"/>
      <w:r w:rsidRPr="00C56257">
        <w:rPr>
          <w:color w:val="000000" w:themeColor="text1"/>
          <w:sz w:val="24"/>
          <w:szCs w:val="24"/>
          <w:lang w:val="fr-FR"/>
        </w:rPr>
        <w:t xml:space="preserve"> ETRS 5210. </w:t>
      </w:r>
      <w:proofErr w:type="spellStart"/>
      <w:r w:rsidRPr="00C56257">
        <w:rPr>
          <w:color w:val="000000" w:themeColor="text1"/>
          <w:sz w:val="24"/>
          <w:szCs w:val="24"/>
          <w:lang w:val="fr-FR"/>
        </w:rPr>
        <w:t>Conform</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instrucțiunilor</w:t>
      </w:r>
      <w:proofErr w:type="spellEnd"/>
      <w:r w:rsidRPr="00C56257">
        <w:rPr>
          <w:color w:val="000000" w:themeColor="text1"/>
          <w:sz w:val="24"/>
          <w:szCs w:val="24"/>
          <w:lang w:val="fr-FR"/>
        </w:rPr>
        <w:t xml:space="preserve"> CE nu este </w:t>
      </w:r>
      <w:proofErr w:type="spellStart"/>
      <w:r w:rsidRPr="00C56257">
        <w:rPr>
          <w:color w:val="000000" w:themeColor="text1"/>
          <w:sz w:val="24"/>
          <w:szCs w:val="24"/>
          <w:lang w:val="fr-FR"/>
        </w:rPr>
        <w:t>permisa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utilizarea</w:t>
      </w:r>
      <w:proofErr w:type="spellEnd"/>
      <w:r w:rsidRPr="00C56257">
        <w:rPr>
          <w:color w:val="000000" w:themeColor="text1"/>
          <w:sz w:val="24"/>
          <w:szCs w:val="24"/>
          <w:lang w:val="fr-FR"/>
        </w:rPr>
        <w:t xml:space="preserve"> de date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atribut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pentru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indicarea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prezenței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unui</w:t>
      </w:r>
      <w:proofErr w:type="spellEnd"/>
      <w:r w:rsidRPr="00C56257">
        <w:rPr>
          <w:color w:val="000000" w:themeColor="text1"/>
          <w:sz w:val="24"/>
          <w:szCs w:val="24"/>
          <w:lang w:val="fr-FR"/>
        </w:rPr>
        <w:t xml:space="preserve"> habitat </w:t>
      </w:r>
      <w:proofErr w:type="spellStart"/>
      <w:r w:rsidRPr="00C56257">
        <w:rPr>
          <w:color w:val="000000" w:themeColor="text1"/>
          <w:sz w:val="24"/>
          <w:szCs w:val="24"/>
          <w:lang w:val="fr-FR"/>
        </w:rPr>
        <w:t>într</w:t>
      </w:r>
      <w:proofErr w:type="spellEnd"/>
      <w:r w:rsidRPr="00C56257">
        <w:rPr>
          <w:color w:val="000000" w:themeColor="text1"/>
          <w:sz w:val="24"/>
          <w:szCs w:val="24"/>
          <w:lang w:val="fr-FR"/>
        </w:rPr>
        <w:t xml:space="preserve">-o </w:t>
      </w:r>
      <w:proofErr w:type="spellStart"/>
      <w:r w:rsidRPr="00C56257">
        <w:rPr>
          <w:color w:val="000000" w:themeColor="text1"/>
          <w:sz w:val="24"/>
          <w:szCs w:val="24"/>
          <w:lang w:val="fr-FR"/>
        </w:rPr>
        <w:t>celula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din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grid</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Hărțile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distribuție</w:t>
      </w:r>
      <w:proofErr w:type="spellEnd"/>
      <w:r w:rsidRPr="00C56257">
        <w:rPr>
          <w:color w:val="000000" w:themeColor="text1"/>
          <w:sz w:val="24"/>
          <w:szCs w:val="24"/>
          <w:lang w:val="fr-FR"/>
        </w:rPr>
        <w:t xml:space="preserve"> vor fi</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completate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metadatele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necesare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conform</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cerințele</w:t>
      </w:r>
      <w:proofErr w:type="spellEnd"/>
      <w:r w:rsidRPr="00C56257">
        <w:rPr>
          <w:color w:val="000000" w:themeColor="text1"/>
          <w:sz w:val="24"/>
          <w:szCs w:val="24"/>
          <w:lang w:val="fr-FR"/>
        </w:rPr>
        <w:t xml:space="preserve"> CE, </w:t>
      </w:r>
      <w:proofErr w:type="spellStart"/>
      <w:r w:rsidRPr="00C56257">
        <w:rPr>
          <w:color w:val="000000" w:themeColor="text1"/>
          <w:sz w:val="24"/>
          <w:szCs w:val="24"/>
          <w:lang w:val="fr-FR"/>
        </w:rPr>
        <w:t>și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concordanță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specificațiile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 xml:space="preserve">INSPIRE, </w:t>
      </w:r>
      <w:proofErr w:type="spellStart"/>
      <w:r w:rsidRPr="00C56257">
        <w:rPr>
          <w:color w:val="000000" w:themeColor="text1"/>
          <w:sz w:val="24"/>
          <w:szCs w:val="24"/>
          <w:lang w:val="fr-FR"/>
        </w:rPr>
        <w:t>atunci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când</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acestea</w:t>
      </w:r>
      <w:proofErr w:type="spellEnd"/>
      <w:r w:rsidRPr="00C56257">
        <w:rPr>
          <w:color w:val="000000" w:themeColor="text1"/>
          <w:sz w:val="24"/>
          <w:szCs w:val="24"/>
          <w:lang w:val="fr-FR"/>
        </w:rPr>
        <w:t xml:space="preserve"> vor fi </w:t>
      </w:r>
      <w:proofErr w:type="spellStart"/>
      <w:r w:rsidRPr="00C56257">
        <w:rPr>
          <w:color w:val="000000" w:themeColor="text1"/>
          <w:sz w:val="24"/>
          <w:szCs w:val="24"/>
          <w:lang w:val="fr-FR"/>
        </w:rPr>
        <w:t>disponibile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pentru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aceste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tipuri</w:t>
      </w:r>
      <w:proofErr w:type="spellEnd"/>
      <w:r w:rsidRPr="00C56257">
        <w:rPr>
          <w:color w:val="000000" w:themeColor="text1"/>
          <w:sz w:val="24"/>
          <w:szCs w:val="24"/>
          <w:lang w:val="fr-FR"/>
        </w:rPr>
        <w:t xml:space="preserve"> de date. </w:t>
      </w:r>
      <w:proofErr w:type="spellStart"/>
      <w:r w:rsidRPr="00C56257">
        <w:rPr>
          <w:color w:val="000000" w:themeColor="text1"/>
          <w:sz w:val="24"/>
          <w:szCs w:val="24"/>
          <w:lang w:val="fr-FR"/>
        </w:rPr>
        <w:t>Metadatele</w:t>
      </w:r>
      <w:proofErr w:type="spellEnd"/>
      <w:r w:rsidRPr="00C56257">
        <w:rPr>
          <w:color w:val="000000" w:themeColor="text1"/>
          <w:sz w:val="24"/>
          <w:szCs w:val="24"/>
          <w:lang w:val="fr-FR"/>
        </w:rPr>
        <w:t xml:space="preserve"> vor </w:t>
      </w:r>
      <w:proofErr w:type="spellStart"/>
      <w:r w:rsidRPr="00C56257">
        <w:rPr>
          <w:color w:val="000000" w:themeColor="text1"/>
          <w:sz w:val="24"/>
          <w:szCs w:val="24"/>
          <w:lang w:val="fr-FR"/>
        </w:rPr>
        <w:t>conține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între</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altele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perioada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care</w:t>
      </w:r>
      <w:r w:rsidRPr="00C56257">
        <w:rPr>
          <w:color w:val="000000" w:themeColor="text1"/>
          <w:spacing w:val="-2"/>
          <w:sz w:val="24"/>
          <w:szCs w:val="24"/>
          <w:lang w:val="fr-FR"/>
        </w:rPr>
        <w:t xml:space="preserve"> </w:t>
      </w:r>
      <w:r w:rsidRPr="00C56257">
        <w:rPr>
          <w:color w:val="000000" w:themeColor="text1"/>
          <w:sz w:val="24"/>
          <w:szCs w:val="24"/>
          <w:lang w:val="fr-FR"/>
        </w:rPr>
        <w:t>au</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fost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culese</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datele</w:t>
      </w:r>
      <w:proofErr w:type="spellEnd"/>
      <w:r w:rsidRPr="00C56257">
        <w:rPr>
          <w:color w:val="000000" w:themeColor="text1"/>
          <w:sz w:val="24"/>
          <w:szCs w:val="24"/>
          <w:lang w:val="fr-FR"/>
        </w:rPr>
        <w:t xml:space="preserve"> de</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distribuție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sistemul</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proiecție</w:t>
      </w:r>
      <w:proofErr w:type="spellEnd"/>
      <w:r w:rsidRPr="00C56257">
        <w:rPr>
          <w:color w:val="000000" w:themeColor="text1"/>
          <w:sz w:val="24"/>
          <w:szCs w:val="24"/>
          <w:lang w:val="fr-FR"/>
        </w:rPr>
        <w:t>, data,</w:t>
      </w:r>
      <w:r w:rsidRPr="00C56257">
        <w:rPr>
          <w:color w:val="000000" w:themeColor="text1"/>
          <w:spacing w:val="1"/>
          <w:sz w:val="24"/>
          <w:szCs w:val="24"/>
          <w:lang w:val="fr-FR"/>
        </w:rPr>
        <w:t xml:space="preserve"> </w:t>
      </w:r>
      <w:r w:rsidRPr="00C56257">
        <w:rPr>
          <w:color w:val="000000" w:themeColor="text1"/>
          <w:sz w:val="24"/>
          <w:szCs w:val="24"/>
          <w:lang w:val="fr-FR"/>
        </w:rPr>
        <w:t>etc.</w:t>
      </w:r>
    </w:p>
    <w:p w14:paraId="6E0EAF76" w14:textId="77777777" w:rsidR="006735BF" w:rsidRPr="00C56257" w:rsidRDefault="006735BF" w:rsidP="008E33FD">
      <w:pPr>
        <w:pStyle w:val="BodyText"/>
        <w:jc w:val="both"/>
        <w:rPr>
          <w:color w:val="000000" w:themeColor="text1"/>
          <w:sz w:val="24"/>
          <w:szCs w:val="24"/>
          <w:lang w:val="fr-FR"/>
        </w:rPr>
      </w:pPr>
    </w:p>
    <w:p w14:paraId="446E4212" w14:textId="77777777" w:rsidR="006735BF" w:rsidRPr="00C56257" w:rsidRDefault="006735BF" w:rsidP="008E33FD">
      <w:pPr>
        <w:pStyle w:val="BodyText"/>
        <w:spacing w:before="11"/>
        <w:jc w:val="both"/>
        <w:rPr>
          <w:color w:val="000000" w:themeColor="text1"/>
          <w:sz w:val="24"/>
          <w:szCs w:val="24"/>
          <w:lang w:val="fr-FR"/>
        </w:rPr>
      </w:pPr>
    </w:p>
    <w:p w14:paraId="54E97E49" w14:textId="77777777" w:rsidR="006735BF" w:rsidRPr="00C56257" w:rsidRDefault="006735BF" w:rsidP="00FC74DD">
      <w:pPr>
        <w:pStyle w:val="Heading2"/>
        <w:widowControl w:val="0"/>
        <w:tabs>
          <w:tab w:val="left" w:pos="1115"/>
        </w:tabs>
        <w:autoSpaceDE w:val="0"/>
        <w:autoSpaceDN w:val="0"/>
        <w:spacing w:before="0" w:beforeAutospacing="0" w:after="0" w:afterAutospacing="0"/>
        <w:jc w:val="both"/>
        <w:rPr>
          <w:color w:val="000000" w:themeColor="text1"/>
          <w:sz w:val="24"/>
          <w:szCs w:val="24"/>
        </w:rPr>
      </w:pPr>
      <w:proofErr w:type="spellStart"/>
      <w:r w:rsidRPr="00C56257">
        <w:rPr>
          <w:color w:val="000000" w:themeColor="text1"/>
          <w:sz w:val="24"/>
          <w:szCs w:val="24"/>
        </w:rPr>
        <w:t>Agregarea</w:t>
      </w:r>
      <w:proofErr w:type="spellEnd"/>
      <w:r w:rsidRPr="00C56257">
        <w:rPr>
          <w:color w:val="000000" w:themeColor="text1"/>
          <w:spacing w:val="-5"/>
          <w:sz w:val="24"/>
          <w:szCs w:val="24"/>
        </w:rPr>
        <w:t xml:space="preserve"> </w:t>
      </w:r>
      <w:proofErr w:type="spellStart"/>
      <w:r w:rsidRPr="00C56257">
        <w:rPr>
          <w:color w:val="000000" w:themeColor="text1"/>
          <w:sz w:val="24"/>
          <w:szCs w:val="24"/>
        </w:rPr>
        <w:t>informației</w:t>
      </w:r>
      <w:proofErr w:type="spellEnd"/>
      <w:r w:rsidRPr="00C56257">
        <w:rPr>
          <w:color w:val="000000" w:themeColor="text1"/>
          <w:spacing w:val="-5"/>
          <w:sz w:val="24"/>
          <w:szCs w:val="24"/>
        </w:rPr>
        <w:t xml:space="preserve"> </w:t>
      </w:r>
      <w:r w:rsidRPr="00C56257">
        <w:rPr>
          <w:color w:val="000000" w:themeColor="text1"/>
          <w:sz w:val="24"/>
          <w:szCs w:val="24"/>
        </w:rPr>
        <w:t>pe</w:t>
      </w:r>
      <w:r w:rsidRPr="00C56257">
        <w:rPr>
          <w:color w:val="000000" w:themeColor="text1"/>
          <w:spacing w:val="-5"/>
          <w:sz w:val="24"/>
          <w:szCs w:val="24"/>
        </w:rPr>
        <w:t xml:space="preserve"> </w:t>
      </w:r>
      <w:r w:rsidRPr="00C56257">
        <w:rPr>
          <w:color w:val="000000" w:themeColor="text1"/>
          <w:sz w:val="24"/>
          <w:szCs w:val="24"/>
        </w:rPr>
        <w:t>plot</w:t>
      </w:r>
      <w:r w:rsidRPr="00C56257">
        <w:rPr>
          <w:color w:val="000000" w:themeColor="text1"/>
          <w:spacing w:val="-4"/>
          <w:sz w:val="24"/>
          <w:szCs w:val="24"/>
        </w:rPr>
        <w:t xml:space="preserve"> </w:t>
      </w:r>
      <w:r w:rsidRPr="00C56257">
        <w:rPr>
          <w:color w:val="000000" w:themeColor="text1"/>
          <w:sz w:val="24"/>
          <w:szCs w:val="24"/>
        </w:rPr>
        <w:t>de</w:t>
      </w:r>
      <w:r w:rsidRPr="00C56257">
        <w:rPr>
          <w:color w:val="000000" w:themeColor="text1"/>
          <w:spacing w:val="-5"/>
          <w:sz w:val="24"/>
          <w:szCs w:val="24"/>
        </w:rPr>
        <w:t xml:space="preserve"> </w:t>
      </w:r>
      <w:proofErr w:type="spellStart"/>
      <w:r w:rsidRPr="00C56257">
        <w:rPr>
          <w:color w:val="000000" w:themeColor="text1"/>
          <w:sz w:val="24"/>
          <w:szCs w:val="24"/>
        </w:rPr>
        <w:t>monitorizare</w:t>
      </w:r>
      <w:proofErr w:type="spellEnd"/>
    </w:p>
    <w:p w14:paraId="1C9E96E1" w14:textId="77777777" w:rsidR="006735BF" w:rsidRPr="00C56257" w:rsidRDefault="006735BF" w:rsidP="00FC74DD">
      <w:pPr>
        <w:pStyle w:val="BodyText"/>
        <w:spacing w:before="157"/>
        <w:ind w:left="0"/>
        <w:jc w:val="both"/>
        <w:rPr>
          <w:color w:val="000000" w:themeColor="text1"/>
          <w:sz w:val="24"/>
          <w:szCs w:val="24"/>
          <w:lang w:val="fr-FR"/>
        </w:rPr>
      </w:pPr>
      <w:proofErr w:type="spellStart"/>
      <w:r w:rsidRPr="00C56257">
        <w:rPr>
          <w:color w:val="000000" w:themeColor="text1"/>
          <w:sz w:val="24"/>
          <w:szCs w:val="24"/>
          <w:lang w:val="fr-FR"/>
        </w:rPr>
        <w:t>Modul</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agregare</w:t>
      </w:r>
      <w:proofErr w:type="spellEnd"/>
      <w:r w:rsidRPr="00C56257">
        <w:rPr>
          <w:color w:val="000000" w:themeColor="text1"/>
          <w:sz w:val="24"/>
          <w:szCs w:val="24"/>
          <w:lang w:val="fr-FR"/>
        </w:rPr>
        <w:t xml:space="preserve"> a</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datelor</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se</w:t>
      </w:r>
      <w:r w:rsidRPr="00C56257">
        <w:rPr>
          <w:color w:val="000000" w:themeColor="text1"/>
          <w:spacing w:val="-1"/>
          <w:sz w:val="24"/>
          <w:szCs w:val="24"/>
          <w:lang w:val="fr-FR"/>
        </w:rPr>
        <w:t xml:space="preserve"> </w:t>
      </w:r>
      <w:r w:rsidRPr="00C56257">
        <w:rPr>
          <w:color w:val="000000" w:themeColor="text1"/>
          <w:sz w:val="24"/>
          <w:szCs w:val="24"/>
          <w:lang w:val="fr-FR"/>
        </w:rPr>
        <w:t>face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două</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etape</w:t>
      </w:r>
      <w:proofErr w:type="spellEnd"/>
      <w:r w:rsidRPr="00C56257">
        <w:rPr>
          <w:color w:val="000000" w:themeColor="text1"/>
          <w:sz w:val="24"/>
          <w:szCs w:val="24"/>
          <w:lang w:val="fr-FR"/>
        </w:rPr>
        <w:t>:</w:t>
      </w:r>
    </w:p>
    <w:p w14:paraId="0B0EFFD9" w14:textId="77777777" w:rsidR="006735BF" w:rsidRPr="00C56257" w:rsidRDefault="006735BF" w:rsidP="009E63E5">
      <w:pPr>
        <w:pStyle w:val="ListParagraph"/>
        <w:widowControl w:val="0"/>
        <w:numPr>
          <w:ilvl w:val="0"/>
          <w:numId w:val="143"/>
        </w:numPr>
        <w:tabs>
          <w:tab w:val="left" w:pos="713"/>
          <w:tab w:val="left" w:pos="714"/>
        </w:tabs>
        <w:autoSpaceDE w:val="0"/>
        <w:autoSpaceDN w:val="0"/>
        <w:spacing w:before="10" w:line="230" w:lineRule="auto"/>
        <w:ind w:left="0" w:right="252" w:firstLine="0"/>
        <w:jc w:val="both"/>
        <w:rPr>
          <w:rFonts w:ascii="Times New Roman" w:hAnsi="Times New Roman" w:cs="Times New Roman"/>
          <w:color w:val="000000" w:themeColor="text1"/>
          <w:sz w:val="24"/>
          <w:szCs w:val="24"/>
        </w:rPr>
      </w:pPr>
      <w:proofErr w:type="spellStart"/>
      <w:r w:rsidRPr="00C56257">
        <w:rPr>
          <w:rFonts w:ascii="Times New Roman" w:hAnsi="Times New Roman" w:cs="Times New Roman"/>
          <w:color w:val="000000" w:themeColor="text1"/>
          <w:sz w:val="24"/>
          <w:szCs w:val="24"/>
        </w:rPr>
        <w:t>Agregarea</w:t>
      </w:r>
      <w:proofErr w:type="spellEnd"/>
      <w:r w:rsidRPr="00C56257">
        <w:rPr>
          <w:rFonts w:ascii="Times New Roman" w:hAnsi="Times New Roman" w:cs="Times New Roman"/>
          <w:color w:val="000000" w:themeColor="text1"/>
          <w:spacing w:val="14"/>
          <w:sz w:val="24"/>
          <w:szCs w:val="24"/>
        </w:rPr>
        <w:t xml:space="preserve"> </w:t>
      </w:r>
      <w:proofErr w:type="spellStart"/>
      <w:r w:rsidRPr="00C56257">
        <w:rPr>
          <w:rFonts w:ascii="Times New Roman" w:hAnsi="Times New Roman" w:cs="Times New Roman"/>
          <w:color w:val="000000" w:themeColor="text1"/>
          <w:sz w:val="24"/>
          <w:szCs w:val="24"/>
        </w:rPr>
        <w:t>spațială</w:t>
      </w:r>
      <w:proofErr w:type="spellEnd"/>
      <w:r w:rsidRPr="00C56257">
        <w:rPr>
          <w:rFonts w:ascii="Times New Roman" w:hAnsi="Times New Roman" w:cs="Times New Roman"/>
          <w:color w:val="000000" w:themeColor="text1"/>
          <w:sz w:val="24"/>
          <w:szCs w:val="24"/>
        </w:rPr>
        <w:t>,</w:t>
      </w:r>
      <w:r w:rsidRPr="00C56257">
        <w:rPr>
          <w:rFonts w:ascii="Times New Roman" w:hAnsi="Times New Roman" w:cs="Times New Roman"/>
          <w:color w:val="000000" w:themeColor="text1"/>
          <w:spacing w:val="15"/>
          <w:sz w:val="24"/>
          <w:szCs w:val="24"/>
        </w:rPr>
        <w:t xml:space="preserve"> </w:t>
      </w:r>
      <w:proofErr w:type="spellStart"/>
      <w:r w:rsidRPr="00C56257">
        <w:rPr>
          <w:rFonts w:ascii="Times New Roman" w:hAnsi="Times New Roman" w:cs="Times New Roman"/>
          <w:color w:val="000000" w:themeColor="text1"/>
          <w:sz w:val="24"/>
          <w:szCs w:val="24"/>
        </w:rPr>
        <w:t>respectiv</w:t>
      </w:r>
      <w:proofErr w:type="spellEnd"/>
      <w:r w:rsidRPr="00C56257">
        <w:rPr>
          <w:rFonts w:ascii="Times New Roman" w:hAnsi="Times New Roman" w:cs="Times New Roman"/>
          <w:color w:val="000000" w:themeColor="text1"/>
          <w:spacing w:val="17"/>
          <w:sz w:val="24"/>
          <w:szCs w:val="24"/>
        </w:rPr>
        <w:t xml:space="preserve"> </w:t>
      </w:r>
      <w:proofErr w:type="spellStart"/>
      <w:r w:rsidRPr="00C56257">
        <w:rPr>
          <w:rFonts w:ascii="Times New Roman" w:hAnsi="Times New Roman" w:cs="Times New Roman"/>
          <w:color w:val="000000" w:themeColor="text1"/>
          <w:sz w:val="24"/>
          <w:szCs w:val="24"/>
        </w:rPr>
        <w:t>generarea</w:t>
      </w:r>
      <w:proofErr w:type="spellEnd"/>
      <w:r w:rsidRPr="00C56257">
        <w:rPr>
          <w:rFonts w:ascii="Times New Roman" w:hAnsi="Times New Roman" w:cs="Times New Roman"/>
          <w:color w:val="000000" w:themeColor="text1"/>
          <w:spacing w:val="14"/>
          <w:sz w:val="24"/>
          <w:szCs w:val="24"/>
        </w:rPr>
        <w:t xml:space="preserve"> </w:t>
      </w:r>
      <w:proofErr w:type="spellStart"/>
      <w:r w:rsidRPr="00C56257">
        <w:rPr>
          <w:rFonts w:ascii="Times New Roman" w:hAnsi="Times New Roman" w:cs="Times New Roman"/>
          <w:color w:val="000000" w:themeColor="text1"/>
          <w:sz w:val="24"/>
          <w:szCs w:val="24"/>
        </w:rPr>
        <w:t>hărților</w:t>
      </w:r>
      <w:proofErr w:type="spellEnd"/>
      <w:r w:rsidRPr="00C56257">
        <w:rPr>
          <w:rFonts w:ascii="Times New Roman" w:hAnsi="Times New Roman" w:cs="Times New Roman"/>
          <w:color w:val="000000" w:themeColor="text1"/>
          <w:spacing w:val="15"/>
          <w:sz w:val="24"/>
          <w:szCs w:val="24"/>
        </w:rPr>
        <w:t xml:space="preserve"> </w:t>
      </w:r>
      <w:proofErr w:type="spellStart"/>
      <w:r w:rsidRPr="00C56257">
        <w:rPr>
          <w:rFonts w:ascii="Times New Roman" w:hAnsi="Times New Roman" w:cs="Times New Roman"/>
          <w:color w:val="000000" w:themeColor="text1"/>
          <w:sz w:val="24"/>
          <w:szCs w:val="24"/>
        </w:rPr>
        <w:t>în</w:t>
      </w:r>
      <w:proofErr w:type="spellEnd"/>
      <w:r w:rsidRPr="00C56257">
        <w:rPr>
          <w:rFonts w:ascii="Times New Roman" w:hAnsi="Times New Roman" w:cs="Times New Roman"/>
          <w:color w:val="000000" w:themeColor="text1"/>
          <w:spacing w:val="15"/>
          <w:sz w:val="24"/>
          <w:szCs w:val="24"/>
        </w:rPr>
        <w:t xml:space="preserve"> </w:t>
      </w:r>
      <w:proofErr w:type="spellStart"/>
      <w:r w:rsidRPr="00C56257">
        <w:rPr>
          <w:rFonts w:ascii="Times New Roman" w:hAnsi="Times New Roman" w:cs="Times New Roman"/>
          <w:color w:val="000000" w:themeColor="text1"/>
          <w:sz w:val="24"/>
          <w:szCs w:val="24"/>
        </w:rPr>
        <w:t>conformitate</w:t>
      </w:r>
      <w:proofErr w:type="spellEnd"/>
      <w:r w:rsidRPr="00C56257">
        <w:rPr>
          <w:rFonts w:ascii="Times New Roman" w:hAnsi="Times New Roman" w:cs="Times New Roman"/>
          <w:color w:val="000000" w:themeColor="text1"/>
          <w:spacing w:val="14"/>
          <w:sz w:val="24"/>
          <w:szCs w:val="24"/>
        </w:rPr>
        <w:t xml:space="preserve"> </w:t>
      </w:r>
      <w:r w:rsidRPr="00C56257">
        <w:rPr>
          <w:rFonts w:ascii="Times New Roman" w:hAnsi="Times New Roman" w:cs="Times New Roman"/>
          <w:color w:val="000000" w:themeColor="text1"/>
          <w:sz w:val="24"/>
          <w:szCs w:val="24"/>
        </w:rPr>
        <w:t>cu</w:t>
      </w:r>
      <w:r w:rsidRPr="00C56257">
        <w:rPr>
          <w:rFonts w:ascii="Times New Roman" w:hAnsi="Times New Roman" w:cs="Times New Roman"/>
          <w:color w:val="000000" w:themeColor="text1"/>
          <w:spacing w:val="15"/>
          <w:sz w:val="24"/>
          <w:szCs w:val="24"/>
        </w:rPr>
        <w:t xml:space="preserve"> </w:t>
      </w:r>
      <w:proofErr w:type="spellStart"/>
      <w:r w:rsidRPr="00C56257">
        <w:rPr>
          <w:rFonts w:ascii="Times New Roman" w:hAnsi="Times New Roman" w:cs="Times New Roman"/>
          <w:color w:val="000000" w:themeColor="text1"/>
          <w:sz w:val="24"/>
          <w:szCs w:val="24"/>
        </w:rPr>
        <w:t>formatul</w:t>
      </w:r>
      <w:proofErr w:type="spellEnd"/>
      <w:r w:rsidRPr="00C56257">
        <w:rPr>
          <w:rFonts w:ascii="Times New Roman" w:hAnsi="Times New Roman" w:cs="Times New Roman"/>
          <w:color w:val="000000" w:themeColor="text1"/>
          <w:spacing w:val="16"/>
          <w:sz w:val="24"/>
          <w:szCs w:val="24"/>
        </w:rPr>
        <w:t xml:space="preserve"> </w:t>
      </w:r>
      <w:r w:rsidRPr="00C56257">
        <w:rPr>
          <w:rFonts w:ascii="Times New Roman" w:hAnsi="Times New Roman" w:cs="Times New Roman"/>
          <w:color w:val="000000" w:themeColor="text1"/>
          <w:sz w:val="24"/>
          <w:szCs w:val="24"/>
        </w:rPr>
        <w:t>de</w:t>
      </w:r>
      <w:r w:rsidRPr="00C56257">
        <w:rPr>
          <w:rFonts w:ascii="Times New Roman" w:hAnsi="Times New Roman" w:cs="Times New Roman"/>
          <w:color w:val="000000" w:themeColor="text1"/>
          <w:spacing w:val="14"/>
          <w:sz w:val="24"/>
          <w:szCs w:val="24"/>
        </w:rPr>
        <w:t xml:space="preserve"> </w:t>
      </w:r>
      <w:proofErr w:type="spellStart"/>
      <w:r w:rsidRPr="00C56257">
        <w:rPr>
          <w:rFonts w:ascii="Times New Roman" w:hAnsi="Times New Roman" w:cs="Times New Roman"/>
          <w:color w:val="000000" w:themeColor="text1"/>
          <w:sz w:val="24"/>
          <w:szCs w:val="24"/>
        </w:rPr>
        <w:t>raportare</w:t>
      </w:r>
      <w:proofErr w:type="spellEnd"/>
      <w:r w:rsidRPr="00C56257">
        <w:rPr>
          <w:rFonts w:ascii="Times New Roman" w:hAnsi="Times New Roman" w:cs="Times New Roman"/>
          <w:color w:val="000000" w:themeColor="text1"/>
          <w:spacing w:val="-57"/>
          <w:sz w:val="24"/>
          <w:szCs w:val="24"/>
        </w:rPr>
        <w:t xml:space="preserve"> </w:t>
      </w:r>
      <w:proofErr w:type="spellStart"/>
      <w:r w:rsidRPr="00C56257">
        <w:rPr>
          <w:rFonts w:ascii="Times New Roman" w:hAnsi="Times New Roman" w:cs="Times New Roman"/>
          <w:color w:val="000000" w:themeColor="text1"/>
          <w:sz w:val="24"/>
          <w:szCs w:val="24"/>
        </w:rPr>
        <w:t>pornind</w:t>
      </w:r>
      <w:proofErr w:type="spellEnd"/>
      <w:r w:rsidRPr="00C56257">
        <w:rPr>
          <w:rFonts w:ascii="Times New Roman" w:hAnsi="Times New Roman" w:cs="Times New Roman"/>
          <w:color w:val="000000" w:themeColor="text1"/>
          <w:spacing w:val="-1"/>
          <w:sz w:val="24"/>
          <w:szCs w:val="24"/>
        </w:rPr>
        <w:t xml:space="preserve"> </w:t>
      </w:r>
      <w:r w:rsidRPr="00C56257">
        <w:rPr>
          <w:rFonts w:ascii="Times New Roman" w:hAnsi="Times New Roman" w:cs="Times New Roman"/>
          <w:color w:val="000000" w:themeColor="text1"/>
          <w:sz w:val="24"/>
          <w:szCs w:val="24"/>
        </w:rPr>
        <w:t>de</w:t>
      </w:r>
      <w:r w:rsidRPr="00C56257">
        <w:rPr>
          <w:rFonts w:ascii="Times New Roman" w:hAnsi="Times New Roman" w:cs="Times New Roman"/>
          <w:color w:val="000000" w:themeColor="text1"/>
          <w:spacing w:val="-2"/>
          <w:sz w:val="24"/>
          <w:szCs w:val="24"/>
        </w:rPr>
        <w:t xml:space="preserve"> </w:t>
      </w:r>
      <w:r w:rsidRPr="00C56257">
        <w:rPr>
          <w:rFonts w:ascii="Times New Roman" w:hAnsi="Times New Roman" w:cs="Times New Roman"/>
          <w:color w:val="000000" w:themeColor="text1"/>
          <w:sz w:val="24"/>
          <w:szCs w:val="24"/>
        </w:rPr>
        <w:t xml:space="preserve">la </w:t>
      </w:r>
      <w:proofErr w:type="spellStart"/>
      <w:r w:rsidRPr="00C56257">
        <w:rPr>
          <w:rFonts w:ascii="Times New Roman" w:hAnsi="Times New Roman" w:cs="Times New Roman"/>
          <w:color w:val="000000" w:themeColor="text1"/>
          <w:sz w:val="24"/>
          <w:szCs w:val="24"/>
        </w:rPr>
        <w:t>datele</w:t>
      </w:r>
      <w:proofErr w:type="spellEnd"/>
      <w:r w:rsidRPr="00C56257">
        <w:rPr>
          <w:rFonts w:ascii="Times New Roman" w:hAnsi="Times New Roman" w:cs="Times New Roman"/>
          <w:color w:val="000000" w:themeColor="text1"/>
          <w:spacing w:val="-1"/>
          <w:sz w:val="24"/>
          <w:szCs w:val="24"/>
        </w:rPr>
        <w:t xml:space="preserve"> </w:t>
      </w:r>
      <w:proofErr w:type="spellStart"/>
      <w:r w:rsidRPr="00C56257">
        <w:rPr>
          <w:rFonts w:ascii="Times New Roman" w:hAnsi="Times New Roman" w:cs="Times New Roman"/>
          <w:color w:val="000000" w:themeColor="text1"/>
          <w:sz w:val="24"/>
          <w:szCs w:val="24"/>
        </w:rPr>
        <w:t>primare</w:t>
      </w:r>
      <w:proofErr w:type="spellEnd"/>
      <w:r w:rsidRPr="00C56257">
        <w:rPr>
          <w:rFonts w:ascii="Times New Roman" w:hAnsi="Times New Roman" w:cs="Times New Roman"/>
          <w:color w:val="000000" w:themeColor="text1"/>
          <w:sz w:val="24"/>
          <w:szCs w:val="24"/>
        </w:rPr>
        <w:t>/</w:t>
      </w:r>
      <w:proofErr w:type="spellStart"/>
      <w:r w:rsidRPr="00C56257">
        <w:rPr>
          <w:rFonts w:ascii="Times New Roman" w:hAnsi="Times New Roman" w:cs="Times New Roman"/>
          <w:color w:val="000000" w:themeColor="text1"/>
          <w:sz w:val="24"/>
          <w:szCs w:val="24"/>
        </w:rPr>
        <w:t>datele</w:t>
      </w:r>
      <w:proofErr w:type="spellEnd"/>
      <w:r w:rsidRPr="00C56257">
        <w:rPr>
          <w:rFonts w:ascii="Times New Roman" w:hAnsi="Times New Roman" w:cs="Times New Roman"/>
          <w:color w:val="000000" w:themeColor="text1"/>
          <w:spacing w:val="-1"/>
          <w:sz w:val="24"/>
          <w:szCs w:val="24"/>
        </w:rPr>
        <w:t xml:space="preserve"> </w:t>
      </w:r>
      <w:r w:rsidRPr="00C56257">
        <w:rPr>
          <w:rFonts w:ascii="Times New Roman" w:hAnsi="Times New Roman" w:cs="Times New Roman"/>
          <w:color w:val="000000" w:themeColor="text1"/>
          <w:sz w:val="24"/>
          <w:szCs w:val="24"/>
        </w:rPr>
        <w:t xml:space="preserve">din </w:t>
      </w:r>
      <w:proofErr w:type="spellStart"/>
      <w:r w:rsidRPr="00C56257">
        <w:rPr>
          <w:rFonts w:ascii="Times New Roman" w:hAnsi="Times New Roman" w:cs="Times New Roman"/>
          <w:color w:val="000000" w:themeColor="text1"/>
          <w:sz w:val="24"/>
          <w:szCs w:val="24"/>
        </w:rPr>
        <w:t>teren</w:t>
      </w:r>
      <w:proofErr w:type="spellEnd"/>
      <w:r w:rsidRPr="00C56257">
        <w:rPr>
          <w:rFonts w:ascii="Times New Roman" w:hAnsi="Times New Roman" w:cs="Times New Roman"/>
          <w:color w:val="000000" w:themeColor="text1"/>
          <w:sz w:val="24"/>
          <w:szCs w:val="24"/>
        </w:rPr>
        <w:t>.</w:t>
      </w:r>
    </w:p>
    <w:p w14:paraId="5979CD98" w14:textId="77777777" w:rsidR="006735BF" w:rsidRPr="00C56257" w:rsidRDefault="006735BF" w:rsidP="009E63E5">
      <w:pPr>
        <w:pStyle w:val="ListParagraph"/>
        <w:widowControl w:val="0"/>
        <w:numPr>
          <w:ilvl w:val="0"/>
          <w:numId w:val="143"/>
        </w:numPr>
        <w:tabs>
          <w:tab w:val="left" w:pos="713"/>
          <w:tab w:val="left" w:pos="714"/>
        </w:tabs>
        <w:autoSpaceDE w:val="0"/>
        <w:autoSpaceDN w:val="0"/>
        <w:spacing w:before="10" w:line="230" w:lineRule="auto"/>
        <w:ind w:left="0" w:right="249" w:firstLine="0"/>
        <w:jc w:val="both"/>
        <w:rPr>
          <w:rFonts w:ascii="Times New Roman" w:hAnsi="Times New Roman" w:cs="Times New Roman"/>
          <w:color w:val="000000" w:themeColor="text1"/>
          <w:sz w:val="24"/>
          <w:szCs w:val="24"/>
        </w:rPr>
      </w:pPr>
      <w:proofErr w:type="spellStart"/>
      <w:r w:rsidRPr="00C56257">
        <w:rPr>
          <w:rFonts w:ascii="Times New Roman" w:hAnsi="Times New Roman" w:cs="Times New Roman"/>
          <w:color w:val="000000" w:themeColor="text1"/>
          <w:sz w:val="24"/>
          <w:szCs w:val="24"/>
        </w:rPr>
        <w:t>Agregarea</w:t>
      </w:r>
      <w:proofErr w:type="spellEnd"/>
      <w:r w:rsidRPr="00C56257">
        <w:rPr>
          <w:rFonts w:ascii="Times New Roman" w:hAnsi="Times New Roman" w:cs="Times New Roman"/>
          <w:color w:val="000000" w:themeColor="text1"/>
          <w:spacing w:val="23"/>
          <w:sz w:val="24"/>
          <w:szCs w:val="24"/>
        </w:rPr>
        <w:t xml:space="preserve"> </w:t>
      </w:r>
      <w:r w:rsidRPr="00C56257">
        <w:rPr>
          <w:rFonts w:ascii="Times New Roman" w:hAnsi="Times New Roman" w:cs="Times New Roman"/>
          <w:color w:val="000000" w:themeColor="text1"/>
          <w:sz w:val="24"/>
          <w:szCs w:val="24"/>
        </w:rPr>
        <w:t>non-</w:t>
      </w:r>
      <w:proofErr w:type="spellStart"/>
      <w:r w:rsidRPr="00C56257">
        <w:rPr>
          <w:rFonts w:ascii="Times New Roman" w:hAnsi="Times New Roman" w:cs="Times New Roman"/>
          <w:color w:val="000000" w:themeColor="text1"/>
          <w:sz w:val="24"/>
          <w:szCs w:val="24"/>
        </w:rPr>
        <w:t>spațială</w:t>
      </w:r>
      <w:proofErr w:type="spellEnd"/>
      <w:r w:rsidRPr="00C56257">
        <w:rPr>
          <w:rFonts w:ascii="Times New Roman" w:hAnsi="Times New Roman" w:cs="Times New Roman"/>
          <w:color w:val="000000" w:themeColor="text1"/>
          <w:spacing w:val="25"/>
          <w:sz w:val="24"/>
          <w:szCs w:val="24"/>
        </w:rPr>
        <w:t xml:space="preserve"> </w:t>
      </w:r>
      <w:r w:rsidRPr="00C56257">
        <w:rPr>
          <w:rFonts w:ascii="Times New Roman" w:hAnsi="Times New Roman" w:cs="Times New Roman"/>
          <w:color w:val="000000" w:themeColor="text1"/>
          <w:sz w:val="24"/>
          <w:szCs w:val="24"/>
        </w:rPr>
        <w:t>care</w:t>
      </w:r>
      <w:r w:rsidRPr="00C56257">
        <w:rPr>
          <w:rFonts w:ascii="Times New Roman" w:hAnsi="Times New Roman" w:cs="Times New Roman"/>
          <w:color w:val="000000" w:themeColor="text1"/>
          <w:spacing w:val="22"/>
          <w:sz w:val="24"/>
          <w:szCs w:val="24"/>
        </w:rPr>
        <w:t xml:space="preserve"> </w:t>
      </w:r>
      <w:proofErr w:type="spellStart"/>
      <w:r w:rsidRPr="00C56257">
        <w:rPr>
          <w:rFonts w:ascii="Times New Roman" w:hAnsi="Times New Roman" w:cs="Times New Roman"/>
          <w:color w:val="000000" w:themeColor="text1"/>
          <w:sz w:val="24"/>
          <w:szCs w:val="24"/>
        </w:rPr>
        <w:t>presupune</w:t>
      </w:r>
      <w:proofErr w:type="spellEnd"/>
      <w:r w:rsidRPr="00C56257">
        <w:rPr>
          <w:rFonts w:ascii="Times New Roman" w:hAnsi="Times New Roman" w:cs="Times New Roman"/>
          <w:color w:val="000000" w:themeColor="text1"/>
          <w:spacing w:val="25"/>
          <w:sz w:val="24"/>
          <w:szCs w:val="24"/>
        </w:rPr>
        <w:t xml:space="preserve"> </w:t>
      </w:r>
      <w:proofErr w:type="spellStart"/>
      <w:r w:rsidRPr="00C56257">
        <w:rPr>
          <w:rFonts w:ascii="Times New Roman" w:hAnsi="Times New Roman" w:cs="Times New Roman"/>
          <w:color w:val="000000" w:themeColor="text1"/>
          <w:sz w:val="24"/>
          <w:szCs w:val="24"/>
        </w:rPr>
        <w:t>generarea</w:t>
      </w:r>
      <w:proofErr w:type="spellEnd"/>
      <w:r w:rsidRPr="00C56257">
        <w:rPr>
          <w:rFonts w:ascii="Times New Roman" w:hAnsi="Times New Roman" w:cs="Times New Roman"/>
          <w:color w:val="000000" w:themeColor="text1"/>
          <w:spacing w:val="23"/>
          <w:sz w:val="24"/>
          <w:szCs w:val="24"/>
        </w:rPr>
        <w:t xml:space="preserve"> </w:t>
      </w:r>
      <w:proofErr w:type="spellStart"/>
      <w:r w:rsidRPr="00C56257">
        <w:rPr>
          <w:rFonts w:ascii="Times New Roman" w:hAnsi="Times New Roman" w:cs="Times New Roman"/>
          <w:color w:val="000000" w:themeColor="text1"/>
          <w:sz w:val="24"/>
          <w:szCs w:val="24"/>
        </w:rPr>
        <w:t>fișierelor</w:t>
      </w:r>
      <w:proofErr w:type="spellEnd"/>
      <w:r w:rsidRPr="00C56257">
        <w:rPr>
          <w:rFonts w:ascii="Times New Roman" w:hAnsi="Times New Roman" w:cs="Times New Roman"/>
          <w:color w:val="000000" w:themeColor="text1"/>
          <w:spacing w:val="24"/>
          <w:sz w:val="24"/>
          <w:szCs w:val="24"/>
        </w:rPr>
        <w:t xml:space="preserve"> </w:t>
      </w:r>
      <w:proofErr w:type="spellStart"/>
      <w:r w:rsidRPr="00C56257">
        <w:rPr>
          <w:rFonts w:ascii="Times New Roman" w:hAnsi="Times New Roman" w:cs="Times New Roman"/>
          <w:color w:val="000000" w:themeColor="text1"/>
          <w:sz w:val="24"/>
          <w:szCs w:val="24"/>
        </w:rPr>
        <w:t>specifice</w:t>
      </w:r>
      <w:proofErr w:type="spellEnd"/>
      <w:r w:rsidRPr="00C56257">
        <w:rPr>
          <w:rFonts w:ascii="Times New Roman" w:hAnsi="Times New Roman" w:cs="Times New Roman"/>
          <w:color w:val="000000" w:themeColor="text1"/>
          <w:sz w:val="24"/>
          <w:szCs w:val="24"/>
        </w:rPr>
        <w:t>,</w:t>
      </w:r>
      <w:r w:rsidRPr="00C56257">
        <w:rPr>
          <w:rFonts w:ascii="Times New Roman" w:hAnsi="Times New Roman" w:cs="Times New Roman"/>
          <w:color w:val="000000" w:themeColor="text1"/>
          <w:spacing w:val="24"/>
          <w:sz w:val="24"/>
          <w:szCs w:val="24"/>
        </w:rPr>
        <w:t xml:space="preserve"> </w:t>
      </w:r>
      <w:proofErr w:type="spellStart"/>
      <w:r w:rsidRPr="00C56257">
        <w:rPr>
          <w:rFonts w:ascii="Times New Roman" w:hAnsi="Times New Roman" w:cs="Times New Roman"/>
          <w:color w:val="000000" w:themeColor="text1"/>
          <w:sz w:val="24"/>
          <w:szCs w:val="24"/>
        </w:rPr>
        <w:t>în</w:t>
      </w:r>
      <w:proofErr w:type="spellEnd"/>
      <w:r w:rsidRPr="00C56257">
        <w:rPr>
          <w:rFonts w:ascii="Times New Roman" w:hAnsi="Times New Roman" w:cs="Times New Roman"/>
          <w:color w:val="000000" w:themeColor="text1"/>
          <w:spacing w:val="26"/>
          <w:sz w:val="24"/>
          <w:szCs w:val="24"/>
        </w:rPr>
        <w:t xml:space="preserve"> </w:t>
      </w:r>
      <w:proofErr w:type="spellStart"/>
      <w:r w:rsidRPr="00C56257">
        <w:rPr>
          <w:rFonts w:ascii="Times New Roman" w:hAnsi="Times New Roman" w:cs="Times New Roman"/>
          <w:color w:val="000000" w:themeColor="text1"/>
          <w:sz w:val="24"/>
          <w:szCs w:val="24"/>
        </w:rPr>
        <w:t>conformitate</w:t>
      </w:r>
      <w:proofErr w:type="spellEnd"/>
      <w:r w:rsidRPr="00C56257">
        <w:rPr>
          <w:rFonts w:ascii="Times New Roman" w:hAnsi="Times New Roman" w:cs="Times New Roman"/>
          <w:color w:val="000000" w:themeColor="text1"/>
          <w:spacing w:val="23"/>
          <w:sz w:val="24"/>
          <w:szCs w:val="24"/>
        </w:rPr>
        <w:t xml:space="preserve"> </w:t>
      </w:r>
      <w:r w:rsidRPr="00C56257">
        <w:rPr>
          <w:rFonts w:ascii="Times New Roman" w:hAnsi="Times New Roman" w:cs="Times New Roman"/>
          <w:color w:val="000000" w:themeColor="text1"/>
          <w:sz w:val="24"/>
          <w:szCs w:val="24"/>
        </w:rPr>
        <w:t>cu</w:t>
      </w:r>
      <w:r w:rsidRPr="00C56257">
        <w:rPr>
          <w:rFonts w:ascii="Times New Roman" w:hAnsi="Times New Roman" w:cs="Times New Roman"/>
          <w:color w:val="000000" w:themeColor="text1"/>
          <w:spacing w:val="-57"/>
          <w:sz w:val="24"/>
          <w:szCs w:val="24"/>
        </w:rPr>
        <w:t xml:space="preserve"> </w:t>
      </w:r>
      <w:proofErr w:type="spellStart"/>
      <w:r w:rsidRPr="00C56257">
        <w:rPr>
          <w:rFonts w:ascii="Times New Roman" w:hAnsi="Times New Roman" w:cs="Times New Roman"/>
          <w:color w:val="000000" w:themeColor="text1"/>
          <w:sz w:val="24"/>
          <w:szCs w:val="24"/>
        </w:rPr>
        <w:t>formatul</w:t>
      </w:r>
      <w:proofErr w:type="spellEnd"/>
      <w:r w:rsidRPr="00C56257">
        <w:rPr>
          <w:rFonts w:ascii="Times New Roman" w:hAnsi="Times New Roman" w:cs="Times New Roman"/>
          <w:color w:val="000000" w:themeColor="text1"/>
          <w:spacing w:val="-1"/>
          <w:sz w:val="24"/>
          <w:szCs w:val="24"/>
        </w:rPr>
        <w:t xml:space="preserve"> </w:t>
      </w:r>
      <w:r w:rsidRPr="00C56257">
        <w:rPr>
          <w:rFonts w:ascii="Times New Roman" w:hAnsi="Times New Roman" w:cs="Times New Roman"/>
          <w:color w:val="000000" w:themeColor="text1"/>
          <w:sz w:val="24"/>
          <w:szCs w:val="24"/>
        </w:rPr>
        <w:t xml:space="preserve">de </w:t>
      </w:r>
      <w:proofErr w:type="spellStart"/>
      <w:r w:rsidRPr="00C56257">
        <w:rPr>
          <w:rFonts w:ascii="Times New Roman" w:hAnsi="Times New Roman" w:cs="Times New Roman"/>
          <w:color w:val="000000" w:themeColor="text1"/>
          <w:sz w:val="24"/>
          <w:szCs w:val="24"/>
        </w:rPr>
        <w:t>raportare</w:t>
      </w:r>
      <w:proofErr w:type="spellEnd"/>
      <w:r w:rsidRPr="00C56257">
        <w:rPr>
          <w:rFonts w:ascii="Times New Roman" w:hAnsi="Times New Roman" w:cs="Times New Roman"/>
          <w:color w:val="000000" w:themeColor="text1"/>
          <w:sz w:val="24"/>
          <w:szCs w:val="24"/>
        </w:rPr>
        <w:t xml:space="preserve">, </w:t>
      </w:r>
      <w:proofErr w:type="spellStart"/>
      <w:r w:rsidRPr="00C56257">
        <w:rPr>
          <w:rFonts w:ascii="Times New Roman" w:hAnsi="Times New Roman" w:cs="Times New Roman"/>
          <w:color w:val="000000" w:themeColor="text1"/>
          <w:sz w:val="24"/>
          <w:szCs w:val="24"/>
        </w:rPr>
        <w:t>pornind</w:t>
      </w:r>
      <w:proofErr w:type="spellEnd"/>
      <w:r w:rsidRPr="00C56257">
        <w:rPr>
          <w:rFonts w:ascii="Times New Roman" w:hAnsi="Times New Roman" w:cs="Times New Roman"/>
          <w:color w:val="000000" w:themeColor="text1"/>
          <w:sz w:val="24"/>
          <w:szCs w:val="24"/>
        </w:rPr>
        <w:t xml:space="preserve"> de</w:t>
      </w:r>
      <w:r w:rsidRPr="00C56257">
        <w:rPr>
          <w:rFonts w:ascii="Times New Roman" w:hAnsi="Times New Roman" w:cs="Times New Roman"/>
          <w:color w:val="000000" w:themeColor="text1"/>
          <w:spacing w:val="-2"/>
          <w:sz w:val="24"/>
          <w:szCs w:val="24"/>
        </w:rPr>
        <w:t xml:space="preserve"> </w:t>
      </w:r>
      <w:r w:rsidRPr="00C56257">
        <w:rPr>
          <w:rFonts w:ascii="Times New Roman" w:hAnsi="Times New Roman" w:cs="Times New Roman"/>
          <w:color w:val="000000" w:themeColor="text1"/>
          <w:sz w:val="24"/>
          <w:szCs w:val="24"/>
        </w:rPr>
        <w:t xml:space="preserve">la </w:t>
      </w:r>
      <w:proofErr w:type="spellStart"/>
      <w:r w:rsidRPr="00C56257">
        <w:rPr>
          <w:rFonts w:ascii="Times New Roman" w:hAnsi="Times New Roman" w:cs="Times New Roman"/>
          <w:color w:val="000000" w:themeColor="text1"/>
          <w:sz w:val="24"/>
          <w:szCs w:val="24"/>
        </w:rPr>
        <w:t>datele</w:t>
      </w:r>
      <w:proofErr w:type="spellEnd"/>
      <w:r w:rsidRPr="00C56257">
        <w:rPr>
          <w:rFonts w:ascii="Times New Roman" w:hAnsi="Times New Roman" w:cs="Times New Roman"/>
          <w:color w:val="000000" w:themeColor="text1"/>
          <w:spacing w:val="-1"/>
          <w:sz w:val="24"/>
          <w:szCs w:val="24"/>
        </w:rPr>
        <w:t xml:space="preserve"> </w:t>
      </w:r>
      <w:proofErr w:type="spellStart"/>
      <w:r w:rsidRPr="00C56257">
        <w:rPr>
          <w:rFonts w:ascii="Times New Roman" w:hAnsi="Times New Roman" w:cs="Times New Roman"/>
          <w:color w:val="000000" w:themeColor="text1"/>
          <w:sz w:val="24"/>
          <w:szCs w:val="24"/>
        </w:rPr>
        <w:t>primare</w:t>
      </w:r>
      <w:proofErr w:type="spellEnd"/>
      <w:r w:rsidRPr="00C56257">
        <w:rPr>
          <w:rFonts w:ascii="Times New Roman" w:hAnsi="Times New Roman" w:cs="Times New Roman"/>
          <w:color w:val="000000" w:themeColor="text1"/>
          <w:sz w:val="24"/>
          <w:szCs w:val="24"/>
        </w:rPr>
        <w:t>.</w:t>
      </w:r>
    </w:p>
    <w:p w14:paraId="30D12F0A" w14:textId="77777777" w:rsidR="006735BF" w:rsidRDefault="006735BF" w:rsidP="008E33FD">
      <w:pPr>
        <w:spacing w:line="230" w:lineRule="auto"/>
        <w:jc w:val="both"/>
        <w:rPr>
          <w:color w:val="000000" w:themeColor="text1"/>
        </w:rPr>
      </w:pPr>
    </w:p>
    <w:p w14:paraId="64065EE8" w14:textId="77777777" w:rsidR="006735BF" w:rsidRPr="00C56257" w:rsidRDefault="00F87C76" w:rsidP="00FC74DD">
      <w:pPr>
        <w:pStyle w:val="Heading1"/>
        <w:keepNext w:val="0"/>
        <w:keepLines w:val="0"/>
        <w:tabs>
          <w:tab w:val="left" w:pos="1115"/>
        </w:tabs>
        <w:adjustRightInd/>
        <w:spacing w:before="90"/>
        <w:jc w:val="both"/>
        <w:rPr>
          <w:rFonts w:ascii="Times New Roman" w:hAnsi="Times New Roman" w:cs="Times New Roman"/>
          <w:color w:val="000000" w:themeColor="text1"/>
          <w:sz w:val="24"/>
          <w:szCs w:val="24"/>
          <w:lang w:val="fr-FR"/>
        </w:rPr>
      </w:pPr>
      <w:r w:rsidRPr="00C56257">
        <w:rPr>
          <w:rFonts w:ascii="Times New Roman" w:hAnsi="Times New Roman" w:cs="Times New Roman"/>
          <w:color w:val="000000" w:themeColor="text1"/>
          <w:sz w:val="24"/>
          <w:szCs w:val="24"/>
          <w:lang w:val="fr-FR"/>
        </w:rPr>
        <w:t>Structura</w:t>
      </w:r>
      <w:r w:rsidR="006735BF" w:rsidRPr="00C56257">
        <w:rPr>
          <w:rFonts w:ascii="Times New Roman" w:hAnsi="Times New Roman" w:cs="Times New Roman"/>
          <w:color w:val="000000" w:themeColor="text1"/>
          <w:spacing w:val="-4"/>
          <w:sz w:val="24"/>
          <w:szCs w:val="24"/>
          <w:lang w:val="fr-FR"/>
        </w:rPr>
        <w:t xml:space="preserve"> </w:t>
      </w:r>
      <w:proofErr w:type="spellStart"/>
      <w:r w:rsidRPr="00C56257">
        <w:rPr>
          <w:rFonts w:ascii="Times New Roman" w:hAnsi="Times New Roman" w:cs="Times New Roman"/>
          <w:color w:val="000000" w:themeColor="text1"/>
          <w:sz w:val="24"/>
          <w:szCs w:val="24"/>
          <w:lang w:val="fr-FR"/>
        </w:rPr>
        <w:t>și</w:t>
      </w:r>
      <w:proofErr w:type="spellEnd"/>
      <w:r w:rsidR="006735BF" w:rsidRPr="00C56257">
        <w:rPr>
          <w:rFonts w:ascii="Times New Roman" w:hAnsi="Times New Roman" w:cs="Times New Roman"/>
          <w:color w:val="000000" w:themeColor="text1"/>
          <w:spacing w:val="-5"/>
          <w:sz w:val="24"/>
          <w:szCs w:val="24"/>
          <w:lang w:val="fr-FR"/>
        </w:rPr>
        <w:t xml:space="preserve"> </w:t>
      </w:r>
      <w:proofErr w:type="spellStart"/>
      <w:r w:rsidRPr="00C56257">
        <w:rPr>
          <w:rFonts w:ascii="Times New Roman" w:hAnsi="Times New Roman" w:cs="Times New Roman"/>
          <w:color w:val="000000" w:themeColor="text1"/>
          <w:sz w:val="24"/>
          <w:szCs w:val="24"/>
          <w:lang w:val="fr-FR"/>
        </w:rPr>
        <w:t>funcțiile</w:t>
      </w:r>
      <w:proofErr w:type="spellEnd"/>
      <w:r w:rsidR="006735BF" w:rsidRPr="00C56257">
        <w:rPr>
          <w:rFonts w:ascii="Times New Roman" w:hAnsi="Times New Roman" w:cs="Times New Roman"/>
          <w:color w:val="000000" w:themeColor="text1"/>
          <w:spacing w:val="-4"/>
          <w:sz w:val="24"/>
          <w:szCs w:val="24"/>
          <w:lang w:val="fr-FR"/>
        </w:rPr>
        <w:t xml:space="preserve"> </w:t>
      </w:r>
      <w:proofErr w:type="spellStart"/>
      <w:r w:rsidRPr="00C56257">
        <w:rPr>
          <w:rFonts w:ascii="Times New Roman" w:hAnsi="Times New Roman" w:cs="Times New Roman"/>
          <w:color w:val="000000" w:themeColor="text1"/>
          <w:sz w:val="24"/>
          <w:szCs w:val="24"/>
          <w:lang w:val="fr-FR"/>
        </w:rPr>
        <w:t>habitatelor</w:t>
      </w:r>
      <w:proofErr w:type="spellEnd"/>
      <w:r w:rsidR="006735BF" w:rsidRPr="00C56257">
        <w:rPr>
          <w:rFonts w:ascii="Times New Roman" w:hAnsi="Times New Roman" w:cs="Times New Roman"/>
          <w:color w:val="000000" w:themeColor="text1"/>
          <w:spacing w:val="-6"/>
          <w:sz w:val="24"/>
          <w:szCs w:val="24"/>
          <w:lang w:val="fr-FR"/>
        </w:rPr>
        <w:t xml:space="preserve"> </w:t>
      </w:r>
      <w:r w:rsidRPr="00C56257">
        <w:rPr>
          <w:rFonts w:ascii="Times New Roman" w:hAnsi="Times New Roman" w:cs="Times New Roman"/>
          <w:color w:val="000000" w:themeColor="text1"/>
          <w:sz w:val="24"/>
          <w:szCs w:val="24"/>
          <w:lang w:val="fr-FR"/>
        </w:rPr>
        <w:t xml:space="preserve">de </w:t>
      </w:r>
      <w:proofErr w:type="spellStart"/>
      <w:r w:rsidRPr="00C56257">
        <w:rPr>
          <w:rFonts w:ascii="Times New Roman" w:hAnsi="Times New Roman" w:cs="Times New Roman"/>
          <w:color w:val="000000" w:themeColor="text1"/>
          <w:sz w:val="24"/>
          <w:szCs w:val="24"/>
          <w:lang w:val="fr-FR"/>
        </w:rPr>
        <w:t>pajiști</w:t>
      </w:r>
      <w:proofErr w:type="spellEnd"/>
    </w:p>
    <w:p w14:paraId="6373E709" w14:textId="77777777" w:rsidR="006735BF" w:rsidRPr="00C56257" w:rsidRDefault="006735BF" w:rsidP="00FC74DD">
      <w:pPr>
        <w:pStyle w:val="BodyText"/>
        <w:spacing w:before="10"/>
        <w:jc w:val="both"/>
        <w:rPr>
          <w:b/>
          <w:color w:val="000000" w:themeColor="text1"/>
          <w:sz w:val="24"/>
          <w:szCs w:val="24"/>
          <w:lang w:val="fr-FR"/>
        </w:rPr>
      </w:pPr>
    </w:p>
    <w:p w14:paraId="70732EAA" w14:textId="77777777" w:rsidR="006735BF" w:rsidRPr="00814C24" w:rsidRDefault="006735BF" w:rsidP="00FC74DD">
      <w:pPr>
        <w:pStyle w:val="BodyText"/>
        <w:ind w:left="0"/>
        <w:jc w:val="both"/>
        <w:rPr>
          <w:color w:val="000000" w:themeColor="text1"/>
          <w:sz w:val="24"/>
          <w:szCs w:val="24"/>
          <w:lang w:val="fr-FR"/>
        </w:rPr>
      </w:pPr>
      <w:proofErr w:type="spellStart"/>
      <w:r w:rsidRPr="00814C24">
        <w:rPr>
          <w:color w:val="000000" w:themeColor="text1"/>
          <w:sz w:val="24"/>
          <w:szCs w:val="24"/>
          <w:lang w:val="fr-FR"/>
        </w:rPr>
        <w:t>Inventarierea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habitatelor</w:t>
      </w:r>
      <w:proofErr w:type="spellEnd"/>
      <w:r w:rsidRPr="00814C24">
        <w:rPr>
          <w:color w:val="000000" w:themeColor="text1"/>
          <w:sz w:val="24"/>
          <w:szCs w:val="24"/>
          <w:lang w:val="fr-FR"/>
        </w:rPr>
        <w:t xml:space="preserve"> se va </w:t>
      </w:r>
      <w:proofErr w:type="spellStart"/>
      <w:r w:rsidRPr="00814C24">
        <w:rPr>
          <w:color w:val="000000" w:themeColor="text1"/>
          <w:sz w:val="24"/>
          <w:szCs w:val="24"/>
          <w:lang w:val="fr-FR"/>
        </w:rPr>
        <w:t>realizape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baza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Manualului</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Interpretare</w:t>
      </w:r>
      <w:proofErr w:type="spellEnd"/>
      <w:r w:rsidRPr="00814C24">
        <w:rPr>
          <w:color w:val="000000" w:themeColor="text1"/>
          <w:sz w:val="24"/>
          <w:szCs w:val="24"/>
          <w:lang w:val="fr-FR"/>
        </w:rPr>
        <w:t xml:space="preserve"> a </w:t>
      </w:r>
      <w:proofErr w:type="spellStart"/>
      <w:r w:rsidRPr="00814C24">
        <w:rPr>
          <w:color w:val="000000" w:themeColor="text1"/>
          <w:sz w:val="24"/>
          <w:szCs w:val="24"/>
          <w:lang w:val="fr-FR"/>
        </w:rPr>
        <w:t>Habitatelor</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Naturale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din</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Uniunea</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Europeană</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(EUR</w:t>
      </w:r>
      <w:r w:rsidRPr="00814C24">
        <w:rPr>
          <w:color w:val="000000" w:themeColor="text1"/>
          <w:spacing w:val="1"/>
          <w:sz w:val="24"/>
          <w:szCs w:val="24"/>
          <w:lang w:val="fr-FR"/>
        </w:rPr>
        <w:t xml:space="preserve"> </w:t>
      </w:r>
      <w:r w:rsidRPr="00814C24">
        <w:rPr>
          <w:color w:val="000000" w:themeColor="text1"/>
          <w:sz w:val="24"/>
          <w:szCs w:val="24"/>
          <w:lang w:val="fr-FR"/>
        </w:rPr>
        <w:t>28)</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și</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după</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Şcoala</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Floristică</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Central</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Europeană</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(Braun–Blanquet),</w:t>
      </w:r>
      <w:r w:rsidRPr="00814C24">
        <w:rPr>
          <w:color w:val="000000" w:themeColor="text1"/>
          <w:spacing w:val="-57"/>
          <w:sz w:val="24"/>
          <w:szCs w:val="24"/>
          <w:lang w:val="fr-FR"/>
        </w:rPr>
        <w:t xml:space="preserve"> </w:t>
      </w:r>
      <w:proofErr w:type="spellStart"/>
      <w:r w:rsidRPr="00814C24">
        <w:rPr>
          <w:color w:val="000000" w:themeColor="text1"/>
          <w:sz w:val="24"/>
          <w:szCs w:val="24"/>
          <w:lang w:val="fr-FR"/>
        </w:rPr>
        <w:t>situație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care se vor face </w:t>
      </w:r>
      <w:proofErr w:type="spellStart"/>
      <w:r w:rsidRPr="00814C24">
        <w:rPr>
          <w:color w:val="000000" w:themeColor="text1"/>
          <w:sz w:val="24"/>
          <w:szCs w:val="24"/>
          <w:lang w:val="fr-FR"/>
        </w:rPr>
        <w:t>investigaţii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după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itinerar</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şi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staţionar</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2 </w:t>
      </w:r>
      <w:proofErr w:type="spellStart"/>
      <w:r w:rsidRPr="00814C24">
        <w:rPr>
          <w:color w:val="000000" w:themeColor="text1"/>
          <w:sz w:val="24"/>
          <w:szCs w:val="24"/>
          <w:lang w:val="fr-FR"/>
        </w:rPr>
        <w:t>etape</w:t>
      </w:r>
      <w:proofErr w:type="spellEnd"/>
      <w:r w:rsidRPr="00814C24">
        <w:rPr>
          <w:i/>
          <w:color w:val="000000" w:themeColor="text1"/>
          <w:sz w:val="24"/>
          <w:szCs w:val="24"/>
          <w:lang w:val="fr-FR"/>
        </w:rPr>
        <w:t>:</w:t>
      </w:r>
      <w:r w:rsidRPr="00814C24">
        <w:rPr>
          <w:i/>
          <w:color w:val="000000" w:themeColor="text1"/>
          <w:spacing w:val="1"/>
          <w:sz w:val="24"/>
          <w:szCs w:val="24"/>
          <w:lang w:val="fr-FR"/>
        </w:rPr>
        <w:t xml:space="preserve"> </w:t>
      </w:r>
      <w:proofErr w:type="spellStart"/>
      <w:r w:rsidRPr="00814C24">
        <w:rPr>
          <w:color w:val="000000" w:themeColor="text1"/>
          <w:sz w:val="24"/>
          <w:szCs w:val="24"/>
          <w:lang w:val="fr-FR"/>
        </w:rPr>
        <w:t>etapa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analitică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şi</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etapa</w:t>
      </w:r>
      <w:proofErr w:type="spellEnd"/>
      <w:r w:rsidRPr="00814C24">
        <w:rPr>
          <w:color w:val="000000" w:themeColor="text1"/>
          <w:spacing w:val="-3"/>
          <w:sz w:val="24"/>
          <w:szCs w:val="24"/>
          <w:lang w:val="fr-FR"/>
        </w:rPr>
        <w:t xml:space="preserve"> </w:t>
      </w:r>
      <w:proofErr w:type="spellStart"/>
      <w:r w:rsidRPr="00814C24">
        <w:rPr>
          <w:color w:val="000000" w:themeColor="text1"/>
          <w:sz w:val="24"/>
          <w:szCs w:val="24"/>
          <w:lang w:val="fr-FR"/>
        </w:rPr>
        <w:t>sintetică</w:t>
      </w:r>
      <w:proofErr w:type="spellEnd"/>
      <w:r w:rsidRPr="00814C24">
        <w:rPr>
          <w:color w:val="000000" w:themeColor="text1"/>
          <w:sz w:val="24"/>
          <w:szCs w:val="24"/>
          <w:lang w:val="fr-FR"/>
        </w:rPr>
        <w:t>.</w:t>
      </w:r>
    </w:p>
    <w:p w14:paraId="0DD22D44" w14:textId="77777777" w:rsidR="006735BF" w:rsidRPr="00814C24" w:rsidRDefault="006735BF" w:rsidP="00FC74DD">
      <w:pPr>
        <w:pStyle w:val="BodyText"/>
        <w:ind w:left="0"/>
        <w:jc w:val="both"/>
        <w:rPr>
          <w:color w:val="000000" w:themeColor="text1"/>
          <w:sz w:val="24"/>
          <w:szCs w:val="24"/>
          <w:lang w:val="fr-FR"/>
        </w:rPr>
      </w:pPr>
      <w:r w:rsidRPr="00814C24">
        <w:rPr>
          <w:color w:val="000000" w:themeColor="text1"/>
          <w:sz w:val="24"/>
          <w:szCs w:val="24"/>
          <w:lang w:val="fr-FR"/>
        </w:rPr>
        <w:t xml:space="preserve">Prin </w:t>
      </w:r>
      <w:proofErr w:type="spellStart"/>
      <w:r w:rsidRPr="00814C24">
        <w:rPr>
          <w:color w:val="000000" w:themeColor="text1"/>
          <w:sz w:val="24"/>
          <w:szCs w:val="24"/>
          <w:lang w:val="fr-FR"/>
        </w:rPr>
        <w:t>identificarea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speciilor</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cheie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edificatoare</w:t>
      </w:r>
      <w:proofErr w:type="spellEnd"/>
      <w:r w:rsidRPr="00814C24">
        <w:rPr>
          <w:color w:val="000000" w:themeColor="text1"/>
          <w:sz w:val="24"/>
          <w:szCs w:val="24"/>
          <w:lang w:val="fr-FR"/>
        </w:rPr>
        <w:t>/</w:t>
      </w:r>
      <w:proofErr w:type="spellStart"/>
      <w:r w:rsidRPr="00814C24">
        <w:rPr>
          <w:color w:val="000000" w:themeColor="text1"/>
          <w:sz w:val="24"/>
          <w:szCs w:val="24"/>
          <w:lang w:val="fr-FR"/>
        </w:rPr>
        <w:t>caracteristice</w:t>
      </w:r>
      <w:proofErr w:type="spellEnd"/>
      <w:r w:rsidRPr="00814C24">
        <w:rPr>
          <w:color w:val="000000" w:themeColor="text1"/>
          <w:sz w:val="24"/>
          <w:szCs w:val="24"/>
          <w:lang w:val="fr-FR"/>
        </w:rPr>
        <w:t xml:space="preserve">) a </w:t>
      </w:r>
      <w:proofErr w:type="spellStart"/>
      <w:r w:rsidRPr="00814C24">
        <w:rPr>
          <w:color w:val="000000" w:themeColor="text1"/>
          <w:sz w:val="24"/>
          <w:szCs w:val="24"/>
          <w:lang w:val="fr-FR"/>
        </w:rPr>
        <w:t>habitatelor</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interes</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comunitar</w:t>
      </w:r>
      <w:proofErr w:type="spellEnd"/>
      <w:r w:rsidRPr="00814C24">
        <w:rPr>
          <w:color w:val="000000" w:themeColor="text1"/>
          <w:sz w:val="24"/>
          <w:szCs w:val="24"/>
          <w:lang w:val="fr-FR"/>
        </w:rPr>
        <w:t xml:space="preserve"> se</w:t>
      </w:r>
      <w:r w:rsidRPr="00814C24">
        <w:rPr>
          <w:color w:val="000000" w:themeColor="text1"/>
          <w:spacing w:val="1"/>
          <w:sz w:val="24"/>
          <w:szCs w:val="24"/>
          <w:lang w:val="fr-FR"/>
        </w:rPr>
        <w:t xml:space="preserve"> </w:t>
      </w:r>
      <w:r w:rsidRPr="00814C24">
        <w:rPr>
          <w:color w:val="000000" w:themeColor="text1"/>
          <w:sz w:val="24"/>
          <w:szCs w:val="24"/>
          <w:lang w:val="fr-FR"/>
        </w:rPr>
        <w:t>vor</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efectua</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determinări</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folosind</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variabile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legate</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de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funcţiile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ecosistemului</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precum</w:t>
      </w:r>
      <w:proofErr w:type="spellEnd"/>
      <w:r w:rsidRPr="00814C24">
        <w:rPr>
          <w:color w:val="000000" w:themeColor="text1"/>
          <w:sz w:val="24"/>
          <w:szCs w:val="24"/>
          <w:lang w:val="fr-FR"/>
        </w:rPr>
        <w:t>:</w:t>
      </w:r>
      <w:r w:rsidRPr="00814C24">
        <w:rPr>
          <w:color w:val="000000" w:themeColor="text1"/>
          <w:spacing w:val="60"/>
          <w:sz w:val="24"/>
          <w:szCs w:val="24"/>
          <w:lang w:val="fr-FR"/>
        </w:rPr>
        <w:t xml:space="preserve"> </w:t>
      </w:r>
      <w:proofErr w:type="spellStart"/>
      <w:r w:rsidRPr="00814C24">
        <w:rPr>
          <w:color w:val="000000" w:themeColor="text1"/>
          <w:sz w:val="24"/>
          <w:szCs w:val="24"/>
          <w:lang w:val="fr-FR"/>
        </w:rPr>
        <w:t>perioada</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optimă</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monitorizare</w:t>
      </w:r>
      <w:proofErr w:type="spellEnd"/>
      <w:r w:rsidRPr="00814C24">
        <w:rPr>
          <w:color w:val="000000" w:themeColor="text1"/>
          <w:sz w:val="24"/>
          <w:szCs w:val="24"/>
          <w:lang w:val="fr-FR"/>
        </w:rPr>
        <w:t xml:space="preserve">, structura </w:t>
      </w:r>
      <w:proofErr w:type="spellStart"/>
      <w:r w:rsidRPr="00814C24">
        <w:rPr>
          <w:color w:val="000000" w:themeColor="text1"/>
          <w:sz w:val="24"/>
          <w:szCs w:val="24"/>
          <w:lang w:val="fr-FR"/>
        </w:rPr>
        <w:t>calitativă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şi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cantitativă</w:t>
      </w:r>
      <w:proofErr w:type="spellEnd"/>
      <w:r w:rsidRPr="00814C24">
        <w:rPr>
          <w:color w:val="000000" w:themeColor="text1"/>
          <w:sz w:val="24"/>
          <w:szCs w:val="24"/>
          <w:lang w:val="fr-FR"/>
        </w:rPr>
        <w:t xml:space="preserve"> a </w:t>
      </w:r>
      <w:proofErr w:type="spellStart"/>
      <w:r w:rsidRPr="00814C24">
        <w:rPr>
          <w:color w:val="000000" w:themeColor="text1"/>
          <w:sz w:val="24"/>
          <w:szCs w:val="24"/>
          <w:lang w:val="fr-FR"/>
        </w:rPr>
        <w:t>habitatului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identificat</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şi</w:t>
      </w:r>
      <w:proofErr w:type="spellEnd"/>
      <w:r w:rsidRPr="00814C24">
        <w:rPr>
          <w:color w:val="000000" w:themeColor="text1"/>
          <w:sz w:val="24"/>
          <w:szCs w:val="24"/>
          <w:lang w:val="fr-FR"/>
        </w:rPr>
        <w:t xml:space="preserve"> a </w:t>
      </w:r>
      <w:proofErr w:type="spellStart"/>
      <w:r w:rsidRPr="00814C24">
        <w:rPr>
          <w:color w:val="000000" w:themeColor="text1"/>
          <w:sz w:val="24"/>
          <w:szCs w:val="24"/>
          <w:lang w:val="fr-FR"/>
        </w:rPr>
        <w:t>speciilor</w:t>
      </w:r>
      <w:proofErr w:type="spellEnd"/>
      <w:r w:rsidRPr="00814C24">
        <w:rPr>
          <w:color w:val="000000" w:themeColor="text1"/>
          <w:sz w:val="24"/>
          <w:szCs w:val="24"/>
          <w:lang w:val="fr-FR"/>
        </w:rPr>
        <w:t xml:space="preserve"> de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floră</w:t>
      </w:r>
      <w:proofErr w:type="spellEnd"/>
      <w:r w:rsidRPr="00814C24">
        <w:rPr>
          <w:color w:val="000000" w:themeColor="text1"/>
          <w:spacing w:val="-2"/>
          <w:sz w:val="24"/>
          <w:szCs w:val="24"/>
          <w:lang w:val="fr-FR"/>
        </w:rPr>
        <w:t xml:space="preserve"> </w:t>
      </w:r>
      <w:proofErr w:type="spellStart"/>
      <w:r w:rsidRPr="00814C24">
        <w:rPr>
          <w:color w:val="000000" w:themeColor="text1"/>
          <w:sz w:val="24"/>
          <w:szCs w:val="24"/>
          <w:lang w:val="fr-FR"/>
        </w:rPr>
        <w:t>identificate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Datele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culese</w:t>
      </w:r>
      <w:proofErr w:type="spellEnd"/>
      <w:r w:rsidRPr="00814C24">
        <w:rPr>
          <w:color w:val="000000" w:themeColor="text1"/>
          <w:spacing w:val="-2"/>
          <w:sz w:val="24"/>
          <w:szCs w:val="24"/>
          <w:lang w:val="fr-FR"/>
        </w:rPr>
        <w:t xml:space="preserve"> </w:t>
      </w:r>
      <w:proofErr w:type="spellStart"/>
      <w:r w:rsidRPr="00814C24">
        <w:rPr>
          <w:color w:val="000000" w:themeColor="text1"/>
          <w:sz w:val="24"/>
          <w:szCs w:val="24"/>
          <w:lang w:val="fr-FR"/>
        </w:rPr>
        <w:t>din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teren</w:t>
      </w:r>
      <w:proofErr w:type="spellEnd"/>
      <w:r w:rsidRPr="00814C24">
        <w:rPr>
          <w:color w:val="000000" w:themeColor="text1"/>
          <w:sz w:val="24"/>
          <w:szCs w:val="24"/>
          <w:lang w:val="fr-FR"/>
        </w:rPr>
        <w:t xml:space="preserve"> vor</w:t>
      </w:r>
      <w:r w:rsidRPr="00814C24">
        <w:rPr>
          <w:color w:val="000000" w:themeColor="text1"/>
          <w:spacing w:val="-1"/>
          <w:sz w:val="24"/>
          <w:szCs w:val="24"/>
          <w:lang w:val="fr-FR"/>
        </w:rPr>
        <w:t xml:space="preserve"> </w:t>
      </w:r>
      <w:r w:rsidRPr="00814C24">
        <w:rPr>
          <w:color w:val="000000" w:themeColor="text1"/>
          <w:sz w:val="24"/>
          <w:szCs w:val="24"/>
          <w:lang w:val="fr-FR"/>
        </w:rPr>
        <w:t>fi</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trecute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fişele</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de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monitorizare</w:t>
      </w:r>
      <w:proofErr w:type="spellEnd"/>
      <w:r w:rsidRPr="00814C24">
        <w:rPr>
          <w:color w:val="000000" w:themeColor="text1"/>
          <w:sz w:val="24"/>
          <w:szCs w:val="24"/>
          <w:lang w:val="fr-FR"/>
        </w:rPr>
        <w:t>.</w:t>
      </w:r>
    </w:p>
    <w:p w14:paraId="531F46C5" w14:textId="77777777" w:rsidR="006735BF" w:rsidRPr="00814C24" w:rsidRDefault="006735BF" w:rsidP="00FC74DD">
      <w:pPr>
        <w:pStyle w:val="BodyText"/>
        <w:spacing w:before="1"/>
        <w:ind w:left="0"/>
        <w:jc w:val="both"/>
        <w:rPr>
          <w:color w:val="000000" w:themeColor="text1"/>
          <w:sz w:val="24"/>
          <w:szCs w:val="24"/>
          <w:lang w:val="fr-FR"/>
        </w:rPr>
      </w:pPr>
      <w:proofErr w:type="spellStart"/>
      <w:r w:rsidRPr="00814C24">
        <w:rPr>
          <w:color w:val="000000" w:themeColor="text1"/>
          <w:sz w:val="24"/>
          <w:szCs w:val="24"/>
          <w:lang w:val="fr-FR"/>
        </w:rPr>
        <w:t>Corelat</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formatul</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raportare</w:t>
      </w:r>
      <w:proofErr w:type="spellEnd"/>
      <w:r w:rsidRPr="00814C24">
        <w:rPr>
          <w:color w:val="000000" w:themeColor="text1"/>
          <w:sz w:val="24"/>
          <w:szCs w:val="24"/>
          <w:lang w:val="fr-FR"/>
        </w:rPr>
        <w:t xml:space="preserve">, structura </w:t>
      </w:r>
      <w:proofErr w:type="spellStart"/>
      <w:r w:rsidRPr="00814C24">
        <w:rPr>
          <w:color w:val="000000" w:themeColor="text1"/>
          <w:sz w:val="24"/>
          <w:szCs w:val="24"/>
          <w:lang w:val="fr-FR"/>
        </w:rPr>
        <w:t>și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funcțiile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oferă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rezultatul</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evaluării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stării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habitatului</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pentru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specii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folosind</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cele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patru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categorii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disponibile</w:t>
      </w:r>
      <w:proofErr w:type="spellEnd"/>
      <w:r w:rsidRPr="00814C24">
        <w:rPr>
          <w:color w:val="000000" w:themeColor="text1"/>
          <w:sz w:val="24"/>
          <w:szCs w:val="24"/>
          <w:lang w:val="fr-FR"/>
        </w:rPr>
        <w:t>: „</w:t>
      </w:r>
      <w:proofErr w:type="spellStart"/>
      <w:r w:rsidRPr="00814C24">
        <w:rPr>
          <w:b/>
          <w:color w:val="000000" w:themeColor="text1"/>
          <w:sz w:val="24"/>
          <w:szCs w:val="24"/>
          <w:lang w:val="fr-FR"/>
        </w:rPr>
        <w:t>favorabil</w:t>
      </w:r>
      <w:proofErr w:type="spellEnd"/>
      <w:r w:rsidRPr="00814C24">
        <w:rPr>
          <w:color w:val="000000" w:themeColor="text1"/>
          <w:sz w:val="24"/>
          <w:szCs w:val="24"/>
          <w:lang w:val="fr-FR"/>
        </w:rPr>
        <w:t>” (FV), „</w:t>
      </w:r>
      <w:proofErr w:type="spellStart"/>
      <w:r w:rsidRPr="00814C24">
        <w:rPr>
          <w:b/>
          <w:color w:val="000000" w:themeColor="text1"/>
          <w:sz w:val="24"/>
          <w:szCs w:val="24"/>
          <w:lang w:val="fr-FR"/>
        </w:rPr>
        <w:t>nefavorabil-inadecvat</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r w:rsidRPr="00814C24">
        <w:rPr>
          <w:color w:val="000000" w:themeColor="text1"/>
          <w:sz w:val="24"/>
          <w:szCs w:val="24"/>
          <w:lang w:val="fr-FR"/>
        </w:rPr>
        <w:t>(U1),</w:t>
      </w:r>
      <w:r w:rsidRPr="00814C24">
        <w:rPr>
          <w:color w:val="000000" w:themeColor="text1"/>
          <w:spacing w:val="-1"/>
          <w:sz w:val="24"/>
          <w:szCs w:val="24"/>
          <w:lang w:val="fr-FR"/>
        </w:rPr>
        <w:t xml:space="preserve"> </w:t>
      </w:r>
      <w:r w:rsidRPr="00814C24">
        <w:rPr>
          <w:color w:val="000000" w:themeColor="text1"/>
          <w:sz w:val="24"/>
          <w:szCs w:val="24"/>
          <w:lang w:val="fr-FR"/>
        </w:rPr>
        <w:t>„</w:t>
      </w:r>
      <w:proofErr w:type="spellStart"/>
      <w:r w:rsidRPr="00814C24">
        <w:rPr>
          <w:b/>
          <w:color w:val="000000" w:themeColor="text1"/>
          <w:sz w:val="24"/>
          <w:szCs w:val="24"/>
          <w:lang w:val="fr-FR"/>
        </w:rPr>
        <w:t>nefavorabil-rău</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r w:rsidRPr="00814C24">
        <w:rPr>
          <w:color w:val="000000" w:themeColor="text1"/>
          <w:sz w:val="24"/>
          <w:szCs w:val="24"/>
          <w:lang w:val="fr-FR"/>
        </w:rPr>
        <w:t>(U2)</w:t>
      </w:r>
      <w:r w:rsidRPr="00814C24">
        <w:rPr>
          <w:color w:val="000000" w:themeColor="text1"/>
          <w:spacing w:val="-3"/>
          <w:sz w:val="24"/>
          <w:szCs w:val="24"/>
          <w:lang w:val="fr-FR"/>
        </w:rPr>
        <w:t xml:space="preserve"> </w:t>
      </w:r>
      <w:proofErr w:type="spellStart"/>
      <w:r w:rsidRPr="00814C24">
        <w:rPr>
          <w:color w:val="000000" w:themeColor="text1"/>
          <w:sz w:val="24"/>
          <w:szCs w:val="24"/>
          <w:lang w:val="fr-FR"/>
        </w:rPr>
        <w:t>și</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w:t>
      </w:r>
      <w:proofErr w:type="spellStart"/>
      <w:r w:rsidRPr="00814C24">
        <w:rPr>
          <w:b/>
          <w:color w:val="000000" w:themeColor="text1"/>
          <w:sz w:val="24"/>
          <w:szCs w:val="24"/>
          <w:lang w:val="fr-FR"/>
        </w:rPr>
        <w:t>necunoscut</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r w:rsidRPr="00814C24">
        <w:rPr>
          <w:color w:val="000000" w:themeColor="text1"/>
          <w:sz w:val="24"/>
          <w:szCs w:val="24"/>
          <w:lang w:val="fr-FR"/>
        </w:rPr>
        <w:t>(XX),</w:t>
      </w:r>
      <w:r w:rsidRPr="00814C24">
        <w:rPr>
          <w:color w:val="000000" w:themeColor="text1"/>
          <w:spacing w:val="-1"/>
          <w:sz w:val="24"/>
          <w:szCs w:val="24"/>
          <w:lang w:val="fr-FR"/>
        </w:rPr>
        <w:t xml:space="preserve"> </w:t>
      </w:r>
      <w:r w:rsidRPr="00814C24">
        <w:rPr>
          <w:color w:val="000000" w:themeColor="text1"/>
          <w:sz w:val="24"/>
          <w:szCs w:val="24"/>
          <w:lang w:val="fr-FR"/>
        </w:rPr>
        <w:t xml:space="preserve">redate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tabelul</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de</w:t>
      </w:r>
      <w:r w:rsidRPr="00814C24">
        <w:rPr>
          <w:color w:val="000000" w:themeColor="text1"/>
          <w:spacing w:val="1"/>
          <w:sz w:val="24"/>
          <w:szCs w:val="24"/>
          <w:lang w:val="fr-FR"/>
        </w:rPr>
        <w:t xml:space="preserve"> </w:t>
      </w:r>
      <w:r w:rsidRPr="00814C24">
        <w:rPr>
          <w:color w:val="000000" w:themeColor="text1"/>
          <w:sz w:val="24"/>
          <w:szCs w:val="24"/>
          <w:lang w:val="fr-FR"/>
        </w:rPr>
        <w:t xml:space="preserve">mai </w:t>
      </w:r>
      <w:proofErr w:type="spellStart"/>
      <w:r w:rsidRPr="00814C24">
        <w:rPr>
          <w:color w:val="000000" w:themeColor="text1"/>
          <w:sz w:val="24"/>
          <w:szCs w:val="24"/>
          <w:lang w:val="fr-FR"/>
        </w:rPr>
        <w:t>jos</w:t>
      </w:r>
      <w:proofErr w:type="spellEnd"/>
      <w:r w:rsidRPr="00814C24">
        <w:rPr>
          <w:color w:val="000000" w:themeColor="text1"/>
          <w:sz w:val="24"/>
          <w:szCs w:val="24"/>
          <w:lang w:val="fr-FR"/>
        </w:rPr>
        <w:t>:</w:t>
      </w:r>
    </w:p>
    <w:p w14:paraId="71EACED4" w14:textId="77777777" w:rsidR="006735BF" w:rsidRPr="00814C24" w:rsidRDefault="006735BF" w:rsidP="008E33FD">
      <w:pPr>
        <w:pStyle w:val="BodyText"/>
        <w:spacing w:before="8"/>
        <w:jc w:val="both"/>
        <w:rPr>
          <w:color w:val="000000" w:themeColor="text1"/>
          <w:sz w:val="24"/>
          <w:szCs w:val="24"/>
          <w:lang w:val="fr-FR"/>
        </w:rPr>
      </w:pPr>
    </w:p>
    <w:tbl>
      <w:tblPr>
        <w:tblW w:w="0" w:type="auto"/>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0"/>
        <w:gridCol w:w="7985"/>
      </w:tblGrid>
      <w:tr w:rsidR="006735BF" w:rsidRPr="00814C24" w14:paraId="26E13E82" w14:textId="77777777" w:rsidTr="00FC74DD">
        <w:trPr>
          <w:trHeight w:val="551"/>
        </w:trPr>
        <w:tc>
          <w:tcPr>
            <w:tcW w:w="1810" w:type="dxa"/>
            <w:shd w:val="clear" w:color="auto" w:fill="DBE4F0"/>
          </w:tcPr>
          <w:p w14:paraId="580D7DFF" w14:textId="77777777" w:rsidR="006735BF" w:rsidRPr="00814C24" w:rsidRDefault="006735BF" w:rsidP="008E33FD">
            <w:pPr>
              <w:pStyle w:val="TableParagraph"/>
              <w:tabs>
                <w:tab w:val="left" w:pos="1458"/>
              </w:tabs>
              <w:spacing w:line="273" w:lineRule="exact"/>
              <w:ind w:left="108"/>
              <w:jc w:val="both"/>
              <w:rPr>
                <w:b/>
                <w:color w:val="000000" w:themeColor="text1"/>
                <w:sz w:val="24"/>
                <w:szCs w:val="24"/>
              </w:rPr>
            </w:pPr>
            <w:r w:rsidRPr="00814C24">
              <w:rPr>
                <w:b/>
                <w:color w:val="000000" w:themeColor="text1"/>
                <w:sz w:val="24"/>
                <w:szCs w:val="24"/>
              </w:rPr>
              <w:t>Starea</w:t>
            </w:r>
            <w:r w:rsidRPr="00814C24">
              <w:rPr>
                <w:b/>
                <w:color w:val="000000" w:themeColor="text1"/>
                <w:sz w:val="24"/>
                <w:szCs w:val="24"/>
              </w:rPr>
              <w:tab/>
              <w:t>de</w:t>
            </w:r>
          </w:p>
          <w:p w14:paraId="18A77788" w14:textId="77777777" w:rsidR="006735BF" w:rsidRPr="00814C24" w:rsidRDefault="006735BF" w:rsidP="008E33FD">
            <w:pPr>
              <w:pStyle w:val="TableParagraph"/>
              <w:spacing w:line="259" w:lineRule="exact"/>
              <w:ind w:left="108"/>
              <w:jc w:val="both"/>
              <w:rPr>
                <w:b/>
                <w:color w:val="000000" w:themeColor="text1"/>
                <w:sz w:val="24"/>
                <w:szCs w:val="24"/>
              </w:rPr>
            </w:pPr>
            <w:r w:rsidRPr="00814C24">
              <w:rPr>
                <w:b/>
                <w:color w:val="000000" w:themeColor="text1"/>
                <w:sz w:val="24"/>
                <w:szCs w:val="24"/>
              </w:rPr>
              <w:t>conservare</w:t>
            </w:r>
          </w:p>
        </w:tc>
        <w:tc>
          <w:tcPr>
            <w:tcW w:w="7985" w:type="dxa"/>
            <w:shd w:val="clear" w:color="auto" w:fill="DBE4F0"/>
          </w:tcPr>
          <w:p w14:paraId="6BA1525A" w14:textId="77777777" w:rsidR="006735BF" w:rsidRPr="00814C24" w:rsidRDefault="006735BF" w:rsidP="008E33FD">
            <w:pPr>
              <w:pStyle w:val="TableParagraph"/>
              <w:spacing w:before="135"/>
              <w:ind w:left="107"/>
              <w:jc w:val="both"/>
              <w:rPr>
                <w:b/>
                <w:color w:val="000000" w:themeColor="text1"/>
                <w:sz w:val="24"/>
                <w:szCs w:val="24"/>
              </w:rPr>
            </w:pPr>
            <w:r w:rsidRPr="00814C24">
              <w:rPr>
                <w:b/>
                <w:color w:val="000000" w:themeColor="text1"/>
                <w:sz w:val="24"/>
                <w:szCs w:val="24"/>
              </w:rPr>
              <w:t>Criterii</w:t>
            </w:r>
            <w:r w:rsidRPr="00814C24">
              <w:rPr>
                <w:b/>
                <w:color w:val="000000" w:themeColor="text1"/>
                <w:spacing w:val="-2"/>
                <w:sz w:val="24"/>
                <w:szCs w:val="24"/>
              </w:rPr>
              <w:t xml:space="preserve"> </w:t>
            </w:r>
            <w:r w:rsidRPr="00814C24">
              <w:rPr>
                <w:b/>
                <w:color w:val="000000" w:themeColor="text1"/>
                <w:sz w:val="24"/>
                <w:szCs w:val="24"/>
              </w:rPr>
              <w:t>de</w:t>
            </w:r>
            <w:r w:rsidRPr="00814C24">
              <w:rPr>
                <w:b/>
                <w:color w:val="000000" w:themeColor="text1"/>
                <w:spacing w:val="-2"/>
                <w:sz w:val="24"/>
                <w:szCs w:val="24"/>
              </w:rPr>
              <w:t xml:space="preserve"> </w:t>
            </w:r>
            <w:r w:rsidRPr="00814C24">
              <w:rPr>
                <w:b/>
                <w:color w:val="000000" w:themeColor="text1"/>
                <w:sz w:val="24"/>
                <w:szCs w:val="24"/>
              </w:rPr>
              <w:t>evaluare</w:t>
            </w:r>
          </w:p>
        </w:tc>
      </w:tr>
      <w:tr w:rsidR="006735BF" w:rsidRPr="00814C24" w14:paraId="1CF1E05C" w14:textId="77777777" w:rsidTr="00FC74DD">
        <w:trPr>
          <w:trHeight w:val="8566"/>
        </w:trPr>
        <w:tc>
          <w:tcPr>
            <w:tcW w:w="1810" w:type="dxa"/>
          </w:tcPr>
          <w:p w14:paraId="2A27C5CA" w14:textId="77777777" w:rsidR="006735BF" w:rsidRPr="00814C24" w:rsidRDefault="006735BF" w:rsidP="008E33FD">
            <w:pPr>
              <w:pStyle w:val="TableParagraph"/>
              <w:jc w:val="both"/>
              <w:rPr>
                <w:color w:val="000000" w:themeColor="text1"/>
                <w:sz w:val="24"/>
                <w:szCs w:val="24"/>
              </w:rPr>
            </w:pPr>
          </w:p>
          <w:p w14:paraId="52DB9193" w14:textId="77777777" w:rsidR="006735BF" w:rsidRPr="00814C24" w:rsidRDefault="006735BF" w:rsidP="008E33FD">
            <w:pPr>
              <w:pStyle w:val="TableParagraph"/>
              <w:jc w:val="both"/>
              <w:rPr>
                <w:color w:val="000000" w:themeColor="text1"/>
                <w:sz w:val="24"/>
                <w:szCs w:val="24"/>
              </w:rPr>
            </w:pPr>
          </w:p>
          <w:p w14:paraId="4C6CA146" w14:textId="77777777" w:rsidR="006735BF" w:rsidRPr="00814C24" w:rsidRDefault="006735BF" w:rsidP="008E33FD">
            <w:pPr>
              <w:pStyle w:val="TableParagraph"/>
              <w:jc w:val="both"/>
              <w:rPr>
                <w:color w:val="000000" w:themeColor="text1"/>
                <w:sz w:val="24"/>
                <w:szCs w:val="24"/>
              </w:rPr>
            </w:pPr>
          </w:p>
          <w:p w14:paraId="7E73D158" w14:textId="77777777" w:rsidR="006735BF" w:rsidRPr="00814C24" w:rsidRDefault="006735BF" w:rsidP="008E33FD">
            <w:pPr>
              <w:pStyle w:val="TableParagraph"/>
              <w:jc w:val="both"/>
              <w:rPr>
                <w:color w:val="000000" w:themeColor="text1"/>
                <w:sz w:val="24"/>
                <w:szCs w:val="24"/>
              </w:rPr>
            </w:pPr>
          </w:p>
          <w:p w14:paraId="3C3311C8" w14:textId="77777777" w:rsidR="006735BF" w:rsidRPr="00814C24" w:rsidRDefault="006735BF" w:rsidP="008E33FD">
            <w:pPr>
              <w:pStyle w:val="TableParagraph"/>
              <w:jc w:val="both"/>
              <w:rPr>
                <w:color w:val="000000" w:themeColor="text1"/>
                <w:sz w:val="24"/>
                <w:szCs w:val="24"/>
              </w:rPr>
            </w:pPr>
          </w:p>
          <w:p w14:paraId="0E3E0664" w14:textId="77777777" w:rsidR="006735BF" w:rsidRPr="00814C24" w:rsidRDefault="006735BF" w:rsidP="008E33FD">
            <w:pPr>
              <w:pStyle w:val="TableParagraph"/>
              <w:jc w:val="both"/>
              <w:rPr>
                <w:color w:val="000000" w:themeColor="text1"/>
                <w:sz w:val="24"/>
                <w:szCs w:val="24"/>
              </w:rPr>
            </w:pPr>
          </w:p>
          <w:p w14:paraId="7C87F0E8" w14:textId="77777777" w:rsidR="006735BF" w:rsidRPr="00814C24" w:rsidRDefault="006735BF" w:rsidP="008E33FD">
            <w:pPr>
              <w:pStyle w:val="TableParagraph"/>
              <w:jc w:val="both"/>
              <w:rPr>
                <w:color w:val="000000" w:themeColor="text1"/>
                <w:sz w:val="24"/>
                <w:szCs w:val="24"/>
              </w:rPr>
            </w:pPr>
          </w:p>
          <w:p w14:paraId="0631F889" w14:textId="77777777" w:rsidR="006735BF" w:rsidRPr="00814C24" w:rsidRDefault="006735BF" w:rsidP="008E33FD">
            <w:pPr>
              <w:pStyle w:val="TableParagraph"/>
              <w:jc w:val="both"/>
              <w:rPr>
                <w:color w:val="000000" w:themeColor="text1"/>
                <w:sz w:val="24"/>
                <w:szCs w:val="24"/>
              </w:rPr>
            </w:pPr>
          </w:p>
          <w:p w14:paraId="461843CF" w14:textId="77777777" w:rsidR="006735BF" w:rsidRPr="00814C24" w:rsidRDefault="006735BF" w:rsidP="008E33FD">
            <w:pPr>
              <w:pStyle w:val="TableParagraph"/>
              <w:jc w:val="both"/>
              <w:rPr>
                <w:color w:val="000000" w:themeColor="text1"/>
                <w:sz w:val="24"/>
                <w:szCs w:val="24"/>
              </w:rPr>
            </w:pPr>
          </w:p>
          <w:p w14:paraId="2BEE4434" w14:textId="77777777" w:rsidR="006735BF" w:rsidRPr="00814C24" w:rsidRDefault="006735BF" w:rsidP="008E33FD">
            <w:pPr>
              <w:pStyle w:val="TableParagraph"/>
              <w:jc w:val="both"/>
              <w:rPr>
                <w:color w:val="000000" w:themeColor="text1"/>
                <w:sz w:val="24"/>
                <w:szCs w:val="24"/>
              </w:rPr>
            </w:pPr>
          </w:p>
          <w:p w14:paraId="6EBB36DC" w14:textId="77777777" w:rsidR="006735BF" w:rsidRPr="00814C24" w:rsidRDefault="006735BF" w:rsidP="008E33FD">
            <w:pPr>
              <w:pStyle w:val="TableParagraph"/>
              <w:jc w:val="both"/>
              <w:rPr>
                <w:color w:val="000000" w:themeColor="text1"/>
                <w:sz w:val="24"/>
                <w:szCs w:val="24"/>
              </w:rPr>
            </w:pPr>
          </w:p>
          <w:p w14:paraId="1F348A10" w14:textId="77777777" w:rsidR="006735BF" w:rsidRPr="00814C24" w:rsidRDefault="006735BF" w:rsidP="008E33FD">
            <w:pPr>
              <w:pStyle w:val="TableParagraph"/>
              <w:jc w:val="both"/>
              <w:rPr>
                <w:color w:val="000000" w:themeColor="text1"/>
                <w:sz w:val="24"/>
                <w:szCs w:val="24"/>
              </w:rPr>
            </w:pPr>
          </w:p>
          <w:p w14:paraId="3DA15045" w14:textId="77777777" w:rsidR="006735BF" w:rsidRPr="00814C24" w:rsidRDefault="006735BF" w:rsidP="008E33FD">
            <w:pPr>
              <w:pStyle w:val="TableParagraph"/>
              <w:jc w:val="both"/>
              <w:rPr>
                <w:color w:val="000000" w:themeColor="text1"/>
                <w:sz w:val="24"/>
                <w:szCs w:val="24"/>
              </w:rPr>
            </w:pPr>
          </w:p>
          <w:p w14:paraId="70913357" w14:textId="77777777" w:rsidR="006735BF" w:rsidRPr="00814C24" w:rsidRDefault="006735BF" w:rsidP="008E33FD">
            <w:pPr>
              <w:pStyle w:val="TableParagraph"/>
              <w:spacing w:before="9"/>
              <w:jc w:val="both"/>
              <w:rPr>
                <w:color w:val="000000" w:themeColor="text1"/>
                <w:sz w:val="24"/>
                <w:szCs w:val="24"/>
              </w:rPr>
            </w:pPr>
          </w:p>
          <w:p w14:paraId="0D6B8D5D" w14:textId="77777777" w:rsidR="006735BF" w:rsidRPr="00814C24" w:rsidRDefault="006735BF" w:rsidP="008E33FD">
            <w:pPr>
              <w:pStyle w:val="TableParagraph"/>
              <w:ind w:left="108"/>
              <w:jc w:val="both"/>
              <w:rPr>
                <w:color w:val="000000" w:themeColor="text1"/>
                <w:sz w:val="24"/>
                <w:szCs w:val="24"/>
              </w:rPr>
            </w:pPr>
            <w:r w:rsidRPr="00814C24">
              <w:rPr>
                <w:color w:val="000000" w:themeColor="text1"/>
                <w:sz w:val="24"/>
                <w:szCs w:val="24"/>
              </w:rPr>
              <w:t>Favorabil</w:t>
            </w:r>
            <w:r w:rsidRPr="00814C24">
              <w:rPr>
                <w:color w:val="000000" w:themeColor="text1"/>
                <w:spacing w:val="-3"/>
                <w:sz w:val="24"/>
                <w:szCs w:val="24"/>
              </w:rPr>
              <w:t xml:space="preserve"> </w:t>
            </w:r>
            <w:r w:rsidRPr="00814C24">
              <w:rPr>
                <w:color w:val="000000" w:themeColor="text1"/>
                <w:sz w:val="24"/>
                <w:szCs w:val="24"/>
              </w:rPr>
              <w:t>(FV)</w:t>
            </w:r>
          </w:p>
        </w:tc>
        <w:tc>
          <w:tcPr>
            <w:tcW w:w="7985" w:type="dxa"/>
          </w:tcPr>
          <w:p w14:paraId="721AECE4" w14:textId="77777777" w:rsidR="006735BF" w:rsidRPr="00814C24" w:rsidRDefault="006735BF" w:rsidP="008E33FD">
            <w:pPr>
              <w:pStyle w:val="TableParagraph"/>
              <w:spacing w:line="268" w:lineRule="exact"/>
              <w:ind w:left="107"/>
              <w:jc w:val="both"/>
              <w:rPr>
                <w:color w:val="000000" w:themeColor="text1"/>
                <w:sz w:val="24"/>
                <w:szCs w:val="24"/>
              </w:rPr>
            </w:pPr>
            <w:r w:rsidRPr="00814C24">
              <w:rPr>
                <w:color w:val="000000" w:themeColor="text1"/>
                <w:sz w:val="24"/>
                <w:szCs w:val="24"/>
              </w:rPr>
              <w:t>În</w:t>
            </w:r>
            <w:r w:rsidRPr="00814C24">
              <w:rPr>
                <w:color w:val="000000" w:themeColor="text1"/>
                <w:spacing w:val="21"/>
                <w:sz w:val="24"/>
                <w:szCs w:val="24"/>
              </w:rPr>
              <w:t xml:space="preserve"> </w:t>
            </w:r>
            <w:r w:rsidRPr="00814C24">
              <w:rPr>
                <w:color w:val="000000" w:themeColor="text1"/>
                <w:sz w:val="24"/>
                <w:szCs w:val="24"/>
              </w:rPr>
              <w:t>conformitate</w:t>
            </w:r>
            <w:r w:rsidRPr="00814C24">
              <w:rPr>
                <w:color w:val="000000" w:themeColor="text1"/>
                <w:spacing w:val="23"/>
                <w:sz w:val="24"/>
                <w:szCs w:val="24"/>
              </w:rPr>
              <w:t xml:space="preserve"> </w:t>
            </w:r>
            <w:r w:rsidRPr="00814C24">
              <w:rPr>
                <w:color w:val="000000" w:themeColor="text1"/>
                <w:sz w:val="24"/>
                <w:szCs w:val="24"/>
              </w:rPr>
              <w:t>cu</w:t>
            </w:r>
            <w:r w:rsidRPr="00814C24">
              <w:rPr>
                <w:color w:val="000000" w:themeColor="text1"/>
                <w:spacing w:val="20"/>
                <w:sz w:val="24"/>
                <w:szCs w:val="24"/>
              </w:rPr>
              <w:t xml:space="preserve"> </w:t>
            </w:r>
            <w:r w:rsidRPr="00814C24">
              <w:rPr>
                <w:color w:val="000000" w:themeColor="text1"/>
                <w:sz w:val="24"/>
                <w:szCs w:val="24"/>
              </w:rPr>
              <w:t>matricea</w:t>
            </w:r>
            <w:r w:rsidRPr="00814C24">
              <w:rPr>
                <w:color w:val="000000" w:themeColor="text1"/>
                <w:spacing w:val="19"/>
                <w:sz w:val="24"/>
                <w:szCs w:val="24"/>
              </w:rPr>
              <w:t xml:space="preserve"> </w:t>
            </w:r>
            <w:r w:rsidRPr="00814C24">
              <w:rPr>
                <w:color w:val="000000" w:themeColor="text1"/>
                <w:sz w:val="24"/>
                <w:szCs w:val="24"/>
              </w:rPr>
              <w:t>de</w:t>
            </w:r>
            <w:r w:rsidRPr="00814C24">
              <w:rPr>
                <w:color w:val="000000" w:themeColor="text1"/>
                <w:spacing w:val="19"/>
                <w:sz w:val="24"/>
                <w:szCs w:val="24"/>
              </w:rPr>
              <w:t xml:space="preserve"> </w:t>
            </w:r>
            <w:r w:rsidRPr="00814C24">
              <w:rPr>
                <w:color w:val="000000" w:themeColor="text1"/>
                <w:sz w:val="24"/>
                <w:szCs w:val="24"/>
              </w:rPr>
              <w:t>evaluare</w:t>
            </w:r>
            <w:r w:rsidRPr="00814C24">
              <w:rPr>
                <w:color w:val="000000" w:themeColor="text1"/>
                <w:spacing w:val="20"/>
                <w:sz w:val="24"/>
                <w:szCs w:val="24"/>
              </w:rPr>
              <w:t xml:space="preserve"> </w:t>
            </w:r>
            <w:r w:rsidRPr="00814C24">
              <w:rPr>
                <w:color w:val="000000" w:themeColor="text1"/>
                <w:sz w:val="24"/>
                <w:szCs w:val="24"/>
              </w:rPr>
              <w:t>(anexa</w:t>
            </w:r>
            <w:r w:rsidRPr="00814C24">
              <w:rPr>
                <w:color w:val="000000" w:themeColor="text1"/>
                <w:spacing w:val="19"/>
                <w:sz w:val="24"/>
                <w:szCs w:val="24"/>
              </w:rPr>
              <w:t xml:space="preserve"> </w:t>
            </w:r>
            <w:r w:rsidRPr="00814C24">
              <w:rPr>
                <w:color w:val="000000" w:themeColor="text1"/>
                <w:sz w:val="24"/>
                <w:szCs w:val="24"/>
              </w:rPr>
              <w:t>E),</w:t>
            </w:r>
            <w:r w:rsidRPr="00814C24">
              <w:rPr>
                <w:color w:val="000000" w:themeColor="text1"/>
                <w:spacing w:val="20"/>
                <w:sz w:val="24"/>
                <w:szCs w:val="24"/>
              </w:rPr>
              <w:t xml:space="preserve"> </w:t>
            </w:r>
            <w:r w:rsidRPr="00814C24">
              <w:rPr>
                <w:color w:val="000000" w:themeColor="text1"/>
                <w:sz w:val="24"/>
                <w:szCs w:val="24"/>
              </w:rPr>
              <w:t>starea</w:t>
            </w:r>
            <w:r w:rsidRPr="00814C24">
              <w:rPr>
                <w:color w:val="000000" w:themeColor="text1"/>
                <w:spacing w:val="19"/>
                <w:sz w:val="24"/>
                <w:szCs w:val="24"/>
              </w:rPr>
              <w:t xml:space="preserve"> </w:t>
            </w:r>
            <w:r w:rsidRPr="00814C24">
              <w:rPr>
                <w:color w:val="000000" w:themeColor="text1"/>
                <w:sz w:val="24"/>
                <w:szCs w:val="24"/>
              </w:rPr>
              <w:t>și</w:t>
            </w:r>
            <w:r w:rsidRPr="00814C24">
              <w:rPr>
                <w:color w:val="000000" w:themeColor="text1"/>
                <w:spacing w:val="21"/>
                <w:sz w:val="24"/>
                <w:szCs w:val="24"/>
              </w:rPr>
              <w:t xml:space="preserve"> </w:t>
            </w:r>
            <w:r w:rsidRPr="00814C24">
              <w:rPr>
                <w:color w:val="000000" w:themeColor="text1"/>
                <w:sz w:val="24"/>
                <w:szCs w:val="24"/>
              </w:rPr>
              <w:t>funcțiile</w:t>
            </w:r>
            <w:r w:rsidRPr="00814C24">
              <w:rPr>
                <w:color w:val="000000" w:themeColor="text1"/>
                <w:spacing w:val="19"/>
                <w:sz w:val="24"/>
                <w:szCs w:val="24"/>
              </w:rPr>
              <w:t xml:space="preserve"> </w:t>
            </w:r>
            <w:r w:rsidRPr="00814C24">
              <w:rPr>
                <w:color w:val="000000" w:themeColor="text1"/>
                <w:sz w:val="24"/>
                <w:szCs w:val="24"/>
              </w:rPr>
              <w:t>sunt</w:t>
            </w:r>
          </w:p>
          <w:p w14:paraId="0DFEEB4E" w14:textId="77777777" w:rsidR="006735BF" w:rsidRPr="00814C24" w:rsidRDefault="006735BF" w:rsidP="008E33FD">
            <w:pPr>
              <w:pStyle w:val="TableParagraph"/>
              <w:ind w:left="107"/>
              <w:jc w:val="both"/>
              <w:rPr>
                <w:color w:val="000000" w:themeColor="text1"/>
                <w:sz w:val="24"/>
                <w:szCs w:val="24"/>
              </w:rPr>
            </w:pPr>
            <w:r w:rsidRPr="00814C24">
              <w:rPr>
                <w:color w:val="000000" w:themeColor="text1"/>
                <w:sz w:val="24"/>
                <w:szCs w:val="24"/>
              </w:rPr>
              <w:t>„favorabile”</w:t>
            </w:r>
            <w:r w:rsidRPr="00814C24">
              <w:rPr>
                <w:color w:val="000000" w:themeColor="text1"/>
                <w:spacing w:val="-4"/>
                <w:sz w:val="24"/>
                <w:szCs w:val="24"/>
              </w:rPr>
              <w:t xml:space="preserve"> </w:t>
            </w:r>
            <w:r w:rsidRPr="00814C24">
              <w:rPr>
                <w:color w:val="000000" w:themeColor="text1"/>
                <w:sz w:val="24"/>
                <w:szCs w:val="24"/>
              </w:rPr>
              <w:t>dacă:</w:t>
            </w:r>
          </w:p>
          <w:p w14:paraId="0795C836" w14:textId="77777777" w:rsidR="006735BF" w:rsidRPr="00814C24" w:rsidRDefault="006735BF" w:rsidP="009E63E5">
            <w:pPr>
              <w:pStyle w:val="TableParagraph"/>
              <w:numPr>
                <w:ilvl w:val="0"/>
                <w:numId w:val="142"/>
              </w:numPr>
              <w:tabs>
                <w:tab w:val="left" w:pos="828"/>
                <w:tab w:val="left" w:pos="829"/>
              </w:tabs>
              <w:spacing w:line="287" w:lineRule="exact"/>
              <w:ind w:left="828" w:hanging="362"/>
              <w:jc w:val="both"/>
              <w:rPr>
                <w:color w:val="000000" w:themeColor="text1"/>
                <w:sz w:val="24"/>
                <w:szCs w:val="24"/>
              </w:rPr>
            </w:pPr>
            <w:r w:rsidRPr="00814C24">
              <w:rPr>
                <w:color w:val="000000" w:themeColor="text1"/>
                <w:sz w:val="24"/>
                <w:szCs w:val="24"/>
              </w:rPr>
              <w:t>structura</w:t>
            </w:r>
            <w:r w:rsidRPr="00814C24">
              <w:rPr>
                <w:color w:val="000000" w:themeColor="text1"/>
                <w:spacing w:val="-4"/>
                <w:sz w:val="24"/>
                <w:szCs w:val="24"/>
              </w:rPr>
              <w:t xml:space="preserve"> </w:t>
            </w:r>
            <w:r w:rsidRPr="00814C24">
              <w:rPr>
                <w:color w:val="000000" w:themeColor="text1"/>
                <w:sz w:val="24"/>
                <w:szCs w:val="24"/>
              </w:rPr>
              <w:t>și</w:t>
            </w:r>
            <w:r w:rsidRPr="00814C24">
              <w:rPr>
                <w:color w:val="000000" w:themeColor="text1"/>
                <w:spacing w:val="-3"/>
                <w:sz w:val="24"/>
                <w:szCs w:val="24"/>
              </w:rPr>
              <w:t xml:space="preserve"> </w:t>
            </w:r>
            <w:r w:rsidRPr="00814C24">
              <w:rPr>
                <w:color w:val="000000" w:themeColor="text1"/>
                <w:sz w:val="24"/>
                <w:szCs w:val="24"/>
              </w:rPr>
              <w:t>funcțiile</w:t>
            </w:r>
            <w:r w:rsidRPr="00814C24">
              <w:rPr>
                <w:color w:val="000000" w:themeColor="text1"/>
                <w:spacing w:val="-2"/>
                <w:sz w:val="24"/>
                <w:szCs w:val="24"/>
              </w:rPr>
              <w:t xml:space="preserve"> </w:t>
            </w:r>
            <w:r w:rsidRPr="00814C24">
              <w:rPr>
                <w:color w:val="000000" w:themeColor="text1"/>
                <w:sz w:val="24"/>
                <w:szCs w:val="24"/>
              </w:rPr>
              <w:t>(inclusiv</w:t>
            </w:r>
            <w:r w:rsidRPr="00814C24">
              <w:rPr>
                <w:color w:val="000000" w:themeColor="text1"/>
                <w:spacing w:val="-2"/>
                <w:sz w:val="24"/>
                <w:szCs w:val="24"/>
              </w:rPr>
              <w:t xml:space="preserve"> </w:t>
            </w:r>
            <w:r w:rsidRPr="00814C24">
              <w:rPr>
                <w:color w:val="000000" w:themeColor="text1"/>
                <w:sz w:val="24"/>
                <w:szCs w:val="24"/>
              </w:rPr>
              <w:t>speciile</w:t>
            </w:r>
            <w:r w:rsidRPr="00814C24">
              <w:rPr>
                <w:color w:val="000000" w:themeColor="text1"/>
                <w:spacing w:val="-1"/>
                <w:sz w:val="24"/>
                <w:szCs w:val="24"/>
              </w:rPr>
              <w:t xml:space="preserve"> </w:t>
            </w:r>
            <w:r w:rsidRPr="00814C24">
              <w:rPr>
                <w:color w:val="000000" w:themeColor="text1"/>
                <w:sz w:val="24"/>
                <w:szCs w:val="24"/>
              </w:rPr>
              <w:t>tipice)</w:t>
            </w:r>
            <w:r w:rsidRPr="00814C24">
              <w:rPr>
                <w:color w:val="000000" w:themeColor="text1"/>
                <w:spacing w:val="-2"/>
                <w:sz w:val="24"/>
                <w:szCs w:val="24"/>
              </w:rPr>
              <w:t xml:space="preserve"> </w:t>
            </w:r>
            <w:r w:rsidRPr="00814C24">
              <w:rPr>
                <w:color w:val="000000" w:themeColor="text1"/>
                <w:sz w:val="24"/>
                <w:szCs w:val="24"/>
              </w:rPr>
              <w:t>sunt</w:t>
            </w:r>
            <w:r w:rsidRPr="00814C24">
              <w:rPr>
                <w:color w:val="000000" w:themeColor="text1"/>
                <w:spacing w:val="-3"/>
                <w:sz w:val="24"/>
                <w:szCs w:val="24"/>
              </w:rPr>
              <w:t xml:space="preserve"> </w:t>
            </w:r>
            <w:r w:rsidRPr="00814C24">
              <w:rPr>
                <w:color w:val="000000" w:themeColor="text1"/>
                <w:sz w:val="24"/>
                <w:szCs w:val="24"/>
              </w:rPr>
              <w:t>în</w:t>
            </w:r>
            <w:r w:rsidRPr="00814C24">
              <w:rPr>
                <w:color w:val="000000" w:themeColor="text1"/>
                <w:spacing w:val="-1"/>
                <w:sz w:val="24"/>
                <w:szCs w:val="24"/>
              </w:rPr>
              <w:t xml:space="preserve"> </w:t>
            </w:r>
            <w:r w:rsidRPr="00814C24">
              <w:rPr>
                <w:color w:val="000000" w:themeColor="text1"/>
                <w:sz w:val="24"/>
                <w:szCs w:val="24"/>
              </w:rPr>
              <w:t>stare</w:t>
            </w:r>
            <w:r w:rsidRPr="00814C24">
              <w:rPr>
                <w:color w:val="000000" w:themeColor="text1"/>
                <w:spacing w:val="-3"/>
                <w:sz w:val="24"/>
                <w:szCs w:val="24"/>
              </w:rPr>
              <w:t xml:space="preserve"> </w:t>
            </w:r>
            <w:r w:rsidRPr="00814C24">
              <w:rPr>
                <w:color w:val="000000" w:themeColor="text1"/>
                <w:sz w:val="24"/>
                <w:szCs w:val="24"/>
              </w:rPr>
              <w:t>bună;</w:t>
            </w:r>
            <w:r w:rsidRPr="00814C24">
              <w:rPr>
                <w:color w:val="000000" w:themeColor="text1"/>
                <w:spacing w:val="-1"/>
                <w:sz w:val="24"/>
                <w:szCs w:val="24"/>
              </w:rPr>
              <w:t xml:space="preserve"> </w:t>
            </w:r>
            <w:r w:rsidRPr="00814C24">
              <w:rPr>
                <w:color w:val="000000" w:themeColor="text1"/>
                <w:sz w:val="24"/>
                <w:szCs w:val="24"/>
              </w:rPr>
              <w:t>și</w:t>
            </w:r>
          </w:p>
          <w:p w14:paraId="182E6DED" w14:textId="77777777" w:rsidR="006735BF" w:rsidRPr="00814C24" w:rsidRDefault="006735BF" w:rsidP="009E63E5">
            <w:pPr>
              <w:pStyle w:val="TableParagraph"/>
              <w:numPr>
                <w:ilvl w:val="0"/>
                <w:numId w:val="142"/>
              </w:numPr>
              <w:tabs>
                <w:tab w:val="left" w:pos="828"/>
                <w:tab w:val="left" w:pos="829"/>
              </w:tabs>
              <w:spacing w:before="3" w:line="230" w:lineRule="auto"/>
              <w:ind w:right="2131" w:firstLine="360"/>
              <w:jc w:val="both"/>
              <w:rPr>
                <w:color w:val="000000" w:themeColor="text1"/>
                <w:sz w:val="24"/>
                <w:szCs w:val="24"/>
              </w:rPr>
            </w:pPr>
            <w:r w:rsidRPr="00814C24">
              <w:rPr>
                <w:color w:val="000000" w:themeColor="text1"/>
                <w:sz w:val="24"/>
                <w:szCs w:val="24"/>
              </w:rPr>
              <w:t>și</w:t>
            </w:r>
            <w:r w:rsidRPr="00814C24">
              <w:rPr>
                <w:color w:val="000000" w:themeColor="text1"/>
                <w:spacing w:val="-4"/>
                <w:sz w:val="24"/>
                <w:szCs w:val="24"/>
              </w:rPr>
              <w:t xml:space="preserve"> </w:t>
            </w:r>
            <w:r w:rsidRPr="00814C24">
              <w:rPr>
                <w:color w:val="000000" w:themeColor="text1"/>
                <w:sz w:val="24"/>
                <w:szCs w:val="24"/>
              </w:rPr>
              <w:t>nu</w:t>
            </w:r>
            <w:r w:rsidRPr="00814C24">
              <w:rPr>
                <w:color w:val="000000" w:themeColor="text1"/>
                <w:spacing w:val="-3"/>
                <w:sz w:val="24"/>
                <w:szCs w:val="24"/>
              </w:rPr>
              <w:t xml:space="preserve"> </w:t>
            </w:r>
            <w:r w:rsidRPr="00814C24">
              <w:rPr>
                <w:color w:val="000000" w:themeColor="text1"/>
                <w:sz w:val="24"/>
                <w:szCs w:val="24"/>
              </w:rPr>
              <w:t>există</w:t>
            </w:r>
            <w:r w:rsidRPr="00814C24">
              <w:rPr>
                <w:color w:val="000000" w:themeColor="text1"/>
                <w:spacing w:val="-3"/>
                <w:sz w:val="24"/>
                <w:szCs w:val="24"/>
              </w:rPr>
              <w:t xml:space="preserve"> </w:t>
            </w:r>
            <w:r w:rsidRPr="00814C24">
              <w:rPr>
                <w:color w:val="000000" w:themeColor="text1"/>
                <w:sz w:val="24"/>
                <w:szCs w:val="24"/>
              </w:rPr>
              <w:t>deteriorări</w:t>
            </w:r>
            <w:r w:rsidRPr="00814C24">
              <w:rPr>
                <w:color w:val="000000" w:themeColor="text1"/>
                <w:spacing w:val="-4"/>
                <w:sz w:val="24"/>
                <w:szCs w:val="24"/>
              </w:rPr>
              <w:t xml:space="preserve"> </w:t>
            </w:r>
            <w:r w:rsidRPr="00814C24">
              <w:rPr>
                <w:color w:val="000000" w:themeColor="text1"/>
                <w:sz w:val="24"/>
                <w:szCs w:val="24"/>
              </w:rPr>
              <w:t>/</w:t>
            </w:r>
            <w:r w:rsidRPr="00814C24">
              <w:rPr>
                <w:color w:val="000000" w:themeColor="text1"/>
                <w:spacing w:val="-3"/>
                <w:sz w:val="24"/>
                <w:szCs w:val="24"/>
              </w:rPr>
              <w:t xml:space="preserve"> </w:t>
            </w:r>
            <w:r w:rsidRPr="00814C24">
              <w:rPr>
                <w:color w:val="000000" w:themeColor="text1"/>
                <w:sz w:val="24"/>
                <w:szCs w:val="24"/>
              </w:rPr>
              <w:t>presiuni</w:t>
            </w:r>
            <w:r w:rsidRPr="00814C24">
              <w:rPr>
                <w:color w:val="000000" w:themeColor="text1"/>
                <w:spacing w:val="-3"/>
                <w:sz w:val="24"/>
                <w:szCs w:val="24"/>
              </w:rPr>
              <w:t xml:space="preserve"> </w:t>
            </w:r>
            <w:r w:rsidRPr="00814C24">
              <w:rPr>
                <w:color w:val="000000" w:themeColor="text1"/>
                <w:sz w:val="24"/>
                <w:szCs w:val="24"/>
              </w:rPr>
              <w:t>semnificative.</w:t>
            </w:r>
            <w:r w:rsidRPr="00814C24">
              <w:rPr>
                <w:color w:val="000000" w:themeColor="text1"/>
                <w:spacing w:val="-57"/>
                <w:sz w:val="24"/>
                <w:szCs w:val="24"/>
              </w:rPr>
              <w:t xml:space="preserve"> </w:t>
            </w:r>
            <w:r w:rsidRPr="00814C24">
              <w:rPr>
                <w:color w:val="000000" w:themeColor="text1"/>
                <w:sz w:val="24"/>
                <w:szCs w:val="24"/>
              </w:rPr>
              <w:t>Informațiisuplimentare:</w:t>
            </w:r>
          </w:p>
          <w:p w14:paraId="483BDA50" w14:textId="77777777" w:rsidR="006735BF" w:rsidRPr="00814C24" w:rsidRDefault="006735BF" w:rsidP="009E63E5">
            <w:pPr>
              <w:pStyle w:val="TableParagraph"/>
              <w:numPr>
                <w:ilvl w:val="0"/>
                <w:numId w:val="141"/>
              </w:numPr>
              <w:tabs>
                <w:tab w:val="left" w:pos="829"/>
              </w:tabs>
              <w:spacing w:before="1"/>
              <w:ind w:right="99"/>
              <w:jc w:val="both"/>
              <w:rPr>
                <w:color w:val="000000" w:themeColor="text1"/>
                <w:sz w:val="24"/>
                <w:szCs w:val="24"/>
              </w:rPr>
            </w:pPr>
            <w:r w:rsidRPr="00814C24">
              <w:rPr>
                <w:color w:val="000000" w:themeColor="text1"/>
                <w:sz w:val="24"/>
                <w:szCs w:val="24"/>
              </w:rPr>
              <w:t>Matricea</w:t>
            </w:r>
            <w:r w:rsidRPr="00814C24">
              <w:rPr>
                <w:color w:val="000000" w:themeColor="text1"/>
                <w:spacing w:val="1"/>
                <w:sz w:val="24"/>
                <w:szCs w:val="24"/>
              </w:rPr>
              <w:t xml:space="preserve"> </w:t>
            </w:r>
            <w:r w:rsidRPr="00814C24">
              <w:rPr>
                <w:color w:val="000000" w:themeColor="text1"/>
                <w:sz w:val="24"/>
                <w:szCs w:val="24"/>
              </w:rPr>
              <w:t>de</w:t>
            </w:r>
            <w:r w:rsidRPr="00814C24">
              <w:rPr>
                <w:color w:val="000000" w:themeColor="text1"/>
                <w:spacing w:val="1"/>
                <w:sz w:val="24"/>
                <w:szCs w:val="24"/>
              </w:rPr>
              <w:t xml:space="preserve"> </w:t>
            </w:r>
            <w:r w:rsidRPr="00814C24">
              <w:rPr>
                <w:color w:val="000000" w:themeColor="text1"/>
                <w:sz w:val="24"/>
                <w:szCs w:val="24"/>
              </w:rPr>
              <w:t>evaluare</w:t>
            </w:r>
            <w:r w:rsidRPr="00814C24">
              <w:rPr>
                <w:color w:val="000000" w:themeColor="text1"/>
                <w:spacing w:val="1"/>
                <w:sz w:val="24"/>
                <w:szCs w:val="24"/>
              </w:rPr>
              <w:t xml:space="preserve"> </w:t>
            </w:r>
            <w:r w:rsidRPr="00814C24">
              <w:rPr>
                <w:color w:val="000000" w:themeColor="text1"/>
                <w:sz w:val="24"/>
                <w:szCs w:val="24"/>
              </w:rPr>
              <w:t>afirmă</w:t>
            </w:r>
            <w:r w:rsidRPr="00814C24">
              <w:rPr>
                <w:color w:val="000000" w:themeColor="text1"/>
                <w:spacing w:val="1"/>
                <w:sz w:val="24"/>
                <w:szCs w:val="24"/>
              </w:rPr>
              <w:t xml:space="preserve"> </w:t>
            </w:r>
            <w:r w:rsidRPr="00814C24">
              <w:rPr>
                <w:color w:val="000000" w:themeColor="text1"/>
                <w:sz w:val="24"/>
                <w:szCs w:val="24"/>
              </w:rPr>
              <w:t>că,</w:t>
            </w:r>
            <w:r w:rsidRPr="00814C24">
              <w:rPr>
                <w:color w:val="000000" w:themeColor="text1"/>
                <w:spacing w:val="1"/>
                <w:sz w:val="24"/>
                <w:szCs w:val="24"/>
              </w:rPr>
              <w:t xml:space="preserve"> </w:t>
            </w:r>
            <w:r w:rsidRPr="00814C24">
              <w:rPr>
                <w:color w:val="000000" w:themeColor="text1"/>
                <w:sz w:val="24"/>
                <w:szCs w:val="24"/>
              </w:rPr>
              <w:t>dacă</w:t>
            </w:r>
            <w:r w:rsidRPr="00814C24">
              <w:rPr>
                <w:color w:val="000000" w:themeColor="text1"/>
                <w:spacing w:val="1"/>
                <w:sz w:val="24"/>
                <w:szCs w:val="24"/>
              </w:rPr>
              <w:t xml:space="preserve"> </w:t>
            </w:r>
            <w:r w:rsidRPr="00814C24">
              <w:rPr>
                <w:color w:val="000000" w:themeColor="text1"/>
                <w:sz w:val="24"/>
                <w:szCs w:val="24"/>
              </w:rPr>
              <w:t>mai</w:t>
            </w:r>
            <w:r w:rsidRPr="00814C24">
              <w:rPr>
                <w:color w:val="000000" w:themeColor="text1"/>
                <w:spacing w:val="1"/>
                <w:sz w:val="24"/>
                <w:szCs w:val="24"/>
              </w:rPr>
              <w:t xml:space="preserve"> </w:t>
            </w:r>
            <w:r w:rsidRPr="00814C24">
              <w:rPr>
                <w:color w:val="000000" w:themeColor="text1"/>
                <w:sz w:val="24"/>
                <w:szCs w:val="24"/>
              </w:rPr>
              <w:t>mult</w:t>
            </w:r>
            <w:r w:rsidRPr="00814C24">
              <w:rPr>
                <w:color w:val="000000" w:themeColor="text1"/>
                <w:spacing w:val="1"/>
                <w:sz w:val="24"/>
                <w:szCs w:val="24"/>
              </w:rPr>
              <w:t xml:space="preserve"> </w:t>
            </w:r>
            <w:r w:rsidRPr="00814C24">
              <w:rPr>
                <w:color w:val="000000" w:themeColor="text1"/>
                <w:sz w:val="24"/>
                <w:szCs w:val="24"/>
              </w:rPr>
              <w:t>de</w:t>
            </w:r>
            <w:r w:rsidRPr="00814C24">
              <w:rPr>
                <w:color w:val="000000" w:themeColor="text1"/>
                <w:spacing w:val="1"/>
                <w:sz w:val="24"/>
                <w:szCs w:val="24"/>
              </w:rPr>
              <w:t xml:space="preserve"> </w:t>
            </w:r>
            <w:r w:rsidRPr="00814C24">
              <w:rPr>
                <w:color w:val="000000" w:themeColor="text1"/>
                <w:sz w:val="24"/>
                <w:szCs w:val="24"/>
              </w:rPr>
              <w:t>25%</w:t>
            </w:r>
            <w:r w:rsidRPr="00814C24">
              <w:rPr>
                <w:color w:val="000000" w:themeColor="text1"/>
                <w:spacing w:val="60"/>
                <w:sz w:val="24"/>
                <w:szCs w:val="24"/>
              </w:rPr>
              <w:t xml:space="preserve"> </w:t>
            </w:r>
            <w:r w:rsidRPr="00814C24">
              <w:rPr>
                <w:color w:val="000000" w:themeColor="text1"/>
                <w:sz w:val="24"/>
                <w:szCs w:val="24"/>
              </w:rPr>
              <w:t>din</w:t>
            </w:r>
            <w:r w:rsidRPr="00814C24">
              <w:rPr>
                <w:color w:val="000000" w:themeColor="text1"/>
                <w:spacing w:val="1"/>
                <w:sz w:val="24"/>
                <w:szCs w:val="24"/>
              </w:rPr>
              <w:t xml:space="preserve"> </w:t>
            </w:r>
            <w:r w:rsidRPr="00814C24">
              <w:rPr>
                <w:color w:val="000000" w:themeColor="text1"/>
                <w:sz w:val="24"/>
                <w:szCs w:val="24"/>
              </w:rPr>
              <w:t>suprafața</w:t>
            </w:r>
            <w:r w:rsidRPr="00814C24">
              <w:rPr>
                <w:color w:val="000000" w:themeColor="text1"/>
                <w:spacing w:val="18"/>
                <w:sz w:val="24"/>
                <w:szCs w:val="24"/>
              </w:rPr>
              <w:t xml:space="preserve"> </w:t>
            </w:r>
            <w:r w:rsidRPr="00814C24">
              <w:rPr>
                <w:color w:val="000000" w:themeColor="text1"/>
                <w:sz w:val="24"/>
                <w:szCs w:val="24"/>
              </w:rPr>
              <w:t>de</w:t>
            </w:r>
            <w:r w:rsidRPr="00814C24">
              <w:rPr>
                <w:color w:val="000000" w:themeColor="text1"/>
                <w:spacing w:val="18"/>
                <w:sz w:val="24"/>
                <w:szCs w:val="24"/>
              </w:rPr>
              <w:t xml:space="preserve"> </w:t>
            </w:r>
            <w:r w:rsidRPr="00814C24">
              <w:rPr>
                <w:color w:val="000000" w:themeColor="text1"/>
                <w:sz w:val="24"/>
                <w:szCs w:val="24"/>
              </w:rPr>
              <w:t>tip</w:t>
            </w:r>
            <w:r w:rsidRPr="00814C24">
              <w:rPr>
                <w:color w:val="000000" w:themeColor="text1"/>
                <w:spacing w:val="19"/>
                <w:sz w:val="24"/>
                <w:szCs w:val="24"/>
              </w:rPr>
              <w:t xml:space="preserve"> </w:t>
            </w:r>
            <w:r w:rsidRPr="00814C24">
              <w:rPr>
                <w:color w:val="000000" w:themeColor="text1"/>
                <w:sz w:val="24"/>
                <w:szCs w:val="24"/>
              </w:rPr>
              <w:t>habitat</w:t>
            </w:r>
            <w:r w:rsidRPr="00814C24">
              <w:rPr>
                <w:color w:val="000000" w:themeColor="text1"/>
                <w:spacing w:val="22"/>
                <w:sz w:val="24"/>
                <w:szCs w:val="24"/>
              </w:rPr>
              <w:t xml:space="preserve"> </w:t>
            </w:r>
            <w:r w:rsidRPr="00814C24">
              <w:rPr>
                <w:color w:val="000000" w:themeColor="text1"/>
                <w:sz w:val="24"/>
                <w:szCs w:val="24"/>
              </w:rPr>
              <w:t>din</w:t>
            </w:r>
            <w:r w:rsidRPr="00814C24">
              <w:rPr>
                <w:color w:val="000000" w:themeColor="text1"/>
                <w:spacing w:val="19"/>
                <w:sz w:val="24"/>
                <w:szCs w:val="24"/>
              </w:rPr>
              <w:t xml:space="preserve"> </w:t>
            </w:r>
            <w:r w:rsidRPr="00814C24">
              <w:rPr>
                <w:color w:val="000000" w:themeColor="text1"/>
                <w:sz w:val="24"/>
                <w:szCs w:val="24"/>
              </w:rPr>
              <w:t>regiunea</w:t>
            </w:r>
            <w:r w:rsidRPr="00814C24">
              <w:rPr>
                <w:color w:val="000000" w:themeColor="text1"/>
                <w:spacing w:val="18"/>
                <w:sz w:val="24"/>
                <w:szCs w:val="24"/>
              </w:rPr>
              <w:t xml:space="preserve"> </w:t>
            </w:r>
            <w:r w:rsidRPr="00814C24">
              <w:rPr>
                <w:color w:val="000000" w:themeColor="text1"/>
                <w:sz w:val="24"/>
                <w:szCs w:val="24"/>
              </w:rPr>
              <w:t>evaluată</w:t>
            </w:r>
            <w:r w:rsidRPr="00814C24">
              <w:rPr>
                <w:color w:val="000000" w:themeColor="text1"/>
                <w:spacing w:val="20"/>
                <w:sz w:val="24"/>
                <w:szCs w:val="24"/>
              </w:rPr>
              <w:t xml:space="preserve"> </w:t>
            </w:r>
            <w:r w:rsidRPr="00814C24">
              <w:rPr>
                <w:color w:val="000000" w:themeColor="text1"/>
                <w:sz w:val="24"/>
                <w:szCs w:val="24"/>
              </w:rPr>
              <w:t>este</w:t>
            </w:r>
            <w:r w:rsidRPr="00814C24">
              <w:rPr>
                <w:color w:val="000000" w:themeColor="text1"/>
                <w:spacing w:val="19"/>
                <w:sz w:val="24"/>
                <w:szCs w:val="24"/>
              </w:rPr>
              <w:t xml:space="preserve"> </w:t>
            </w:r>
            <w:r w:rsidRPr="00814C24">
              <w:rPr>
                <w:color w:val="000000" w:themeColor="text1"/>
                <w:sz w:val="24"/>
                <w:szCs w:val="24"/>
              </w:rPr>
              <w:t>considerată</w:t>
            </w:r>
          </w:p>
          <w:p w14:paraId="3B331843" w14:textId="77777777" w:rsidR="006735BF" w:rsidRPr="00814C24" w:rsidRDefault="006735BF" w:rsidP="008E33FD">
            <w:pPr>
              <w:pStyle w:val="TableParagraph"/>
              <w:spacing w:before="1"/>
              <w:ind w:left="828" w:right="93"/>
              <w:jc w:val="both"/>
              <w:rPr>
                <w:color w:val="000000" w:themeColor="text1"/>
                <w:sz w:val="24"/>
                <w:szCs w:val="24"/>
              </w:rPr>
            </w:pPr>
            <w:r w:rsidRPr="00814C24">
              <w:rPr>
                <w:color w:val="000000" w:themeColor="text1"/>
                <w:sz w:val="24"/>
                <w:szCs w:val="24"/>
              </w:rPr>
              <w:t>„defavorabilă”</w:t>
            </w:r>
            <w:r w:rsidRPr="00814C24">
              <w:rPr>
                <w:color w:val="000000" w:themeColor="text1"/>
                <w:spacing w:val="1"/>
                <w:sz w:val="24"/>
                <w:szCs w:val="24"/>
              </w:rPr>
              <w:t xml:space="preserve"> </w:t>
            </w:r>
            <w:r w:rsidRPr="00814C24">
              <w:rPr>
                <w:color w:val="000000" w:themeColor="text1"/>
                <w:sz w:val="24"/>
                <w:szCs w:val="24"/>
              </w:rPr>
              <w:t>(adică</w:t>
            </w:r>
            <w:r w:rsidRPr="00814C24">
              <w:rPr>
                <w:color w:val="000000" w:themeColor="text1"/>
                <w:spacing w:val="1"/>
                <w:sz w:val="24"/>
                <w:szCs w:val="24"/>
              </w:rPr>
              <w:t xml:space="preserve"> </w:t>
            </w:r>
            <w:r w:rsidRPr="00814C24">
              <w:rPr>
                <w:color w:val="000000" w:themeColor="text1"/>
                <w:sz w:val="24"/>
                <w:szCs w:val="24"/>
              </w:rPr>
              <w:t>nu</w:t>
            </w:r>
            <w:r w:rsidRPr="00814C24">
              <w:rPr>
                <w:color w:val="000000" w:themeColor="text1"/>
                <w:spacing w:val="1"/>
                <w:sz w:val="24"/>
                <w:szCs w:val="24"/>
              </w:rPr>
              <w:t xml:space="preserve"> </w:t>
            </w:r>
            <w:r w:rsidRPr="00814C24">
              <w:rPr>
                <w:color w:val="000000" w:themeColor="text1"/>
                <w:sz w:val="24"/>
                <w:szCs w:val="24"/>
              </w:rPr>
              <w:t>este</w:t>
            </w:r>
            <w:r w:rsidRPr="00814C24">
              <w:rPr>
                <w:color w:val="000000" w:themeColor="text1"/>
                <w:spacing w:val="1"/>
                <w:sz w:val="24"/>
                <w:szCs w:val="24"/>
              </w:rPr>
              <w:t xml:space="preserve"> </w:t>
            </w:r>
            <w:r w:rsidRPr="00814C24">
              <w:rPr>
                <w:color w:val="000000" w:themeColor="text1"/>
                <w:sz w:val="24"/>
                <w:szCs w:val="24"/>
              </w:rPr>
              <w:t>în</w:t>
            </w:r>
            <w:r w:rsidRPr="00814C24">
              <w:rPr>
                <w:color w:val="000000" w:themeColor="text1"/>
                <w:spacing w:val="1"/>
                <w:sz w:val="24"/>
                <w:szCs w:val="24"/>
              </w:rPr>
              <w:t xml:space="preserve"> </w:t>
            </w:r>
            <w:r w:rsidRPr="00814C24">
              <w:rPr>
                <w:color w:val="000000" w:themeColor="text1"/>
                <w:sz w:val="24"/>
                <w:szCs w:val="24"/>
              </w:rPr>
              <w:t>stare</w:t>
            </w:r>
            <w:r w:rsidRPr="00814C24">
              <w:rPr>
                <w:color w:val="000000" w:themeColor="text1"/>
                <w:spacing w:val="1"/>
                <w:sz w:val="24"/>
                <w:szCs w:val="24"/>
              </w:rPr>
              <w:t xml:space="preserve"> </w:t>
            </w:r>
            <w:r w:rsidRPr="00814C24">
              <w:rPr>
                <w:color w:val="000000" w:themeColor="text1"/>
                <w:sz w:val="24"/>
                <w:szCs w:val="24"/>
              </w:rPr>
              <w:t>bună),</w:t>
            </w:r>
            <w:r w:rsidRPr="00814C24">
              <w:rPr>
                <w:color w:val="000000" w:themeColor="text1"/>
                <w:spacing w:val="1"/>
                <w:sz w:val="24"/>
                <w:szCs w:val="24"/>
              </w:rPr>
              <w:t xml:space="preserve"> </w:t>
            </w:r>
            <w:r w:rsidRPr="00814C24">
              <w:rPr>
                <w:color w:val="000000" w:themeColor="text1"/>
                <w:sz w:val="24"/>
                <w:szCs w:val="24"/>
              </w:rPr>
              <w:t>atunci</w:t>
            </w:r>
            <w:r w:rsidRPr="00814C24">
              <w:rPr>
                <w:color w:val="000000" w:themeColor="text1"/>
                <w:spacing w:val="1"/>
                <w:sz w:val="24"/>
                <w:szCs w:val="24"/>
              </w:rPr>
              <w:t xml:space="preserve"> </w:t>
            </w:r>
            <w:r w:rsidRPr="00814C24">
              <w:rPr>
                <w:color w:val="000000" w:themeColor="text1"/>
                <w:sz w:val="24"/>
                <w:szCs w:val="24"/>
              </w:rPr>
              <w:t>statutul</w:t>
            </w:r>
            <w:r w:rsidRPr="00814C24">
              <w:rPr>
                <w:color w:val="000000" w:themeColor="text1"/>
                <w:spacing w:val="1"/>
                <w:sz w:val="24"/>
                <w:szCs w:val="24"/>
              </w:rPr>
              <w:t xml:space="preserve"> </w:t>
            </w:r>
            <w:r w:rsidRPr="00814C24">
              <w:rPr>
                <w:color w:val="000000" w:themeColor="text1"/>
                <w:sz w:val="24"/>
                <w:szCs w:val="24"/>
              </w:rPr>
              <w:t>și</w:t>
            </w:r>
            <w:r w:rsidRPr="00814C24">
              <w:rPr>
                <w:color w:val="000000" w:themeColor="text1"/>
                <w:spacing w:val="1"/>
                <w:sz w:val="24"/>
                <w:szCs w:val="24"/>
              </w:rPr>
              <w:t xml:space="preserve"> </w:t>
            </w:r>
            <w:r w:rsidRPr="00814C24">
              <w:rPr>
                <w:color w:val="000000" w:themeColor="text1"/>
                <w:sz w:val="24"/>
                <w:szCs w:val="24"/>
              </w:rPr>
              <w:t>funcțiile sunt „nefavorabile-rele”. Cu toate acestea, nu oferă criterii</w:t>
            </w:r>
            <w:r w:rsidRPr="00814C24">
              <w:rPr>
                <w:color w:val="000000" w:themeColor="text1"/>
                <w:spacing w:val="1"/>
                <w:sz w:val="24"/>
                <w:szCs w:val="24"/>
              </w:rPr>
              <w:t xml:space="preserve"> </w:t>
            </w:r>
            <w:r w:rsidRPr="00814C24">
              <w:rPr>
                <w:color w:val="000000" w:themeColor="text1"/>
                <w:sz w:val="24"/>
                <w:szCs w:val="24"/>
              </w:rPr>
              <w:t>numerice</w:t>
            </w:r>
            <w:r w:rsidRPr="00814C24">
              <w:rPr>
                <w:color w:val="000000" w:themeColor="text1"/>
                <w:spacing w:val="1"/>
                <w:sz w:val="24"/>
                <w:szCs w:val="24"/>
              </w:rPr>
              <w:t xml:space="preserve"> </w:t>
            </w:r>
            <w:r w:rsidRPr="00814C24">
              <w:rPr>
                <w:color w:val="000000" w:themeColor="text1"/>
                <w:sz w:val="24"/>
                <w:szCs w:val="24"/>
              </w:rPr>
              <w:t>pentru</w:t>
            </w:r>
            <w:r w:rsidRPr="00814C24">
              <w:rPr>
                <w:color w:val="000000" w:themeColor="text1"/>
                <w:spacing w:val="1"/>
                <w:sz w:val="24"/>
                <w:szCs w:val="24"/>
              </w:rPr>
              <w:t xml:space="preserve"> </w:t>
            </w:r>
            <w:r w:rsidRPr="00814C24">
              <w:rPr>
                <w:color w:val="000000" w:themeColor="text1"/>
                <w:sz w:val="24"/>
                <w:szCs w:val="24"/>
              </w:rPr>
              <w:t>„favorabile”</w:t>
            </w:r>
            <w:r w:rsidRPr="00814C24">
              <w:rPr>
                <w:color w:val="000000" w:themeColor="text1"/>
                <w:spacing w:val="1"/>
                <w:sz w:val="24"/>
                <w:szCs w:val="24"/>
              </w:rPr>
              <w:t xml:space="preserve"> </w:t>
            </w:r>
            <w:r w:rsidRPr="00814C24">
              <w:rPr>
                <w:color w:val="000000" w:themeColor="text1"/>
                <w:sz w:val="24"/>
                <w:szCs w:val="24"/>
              </w:rPr>
              <w:t>sau</w:t>
            </w:r>
            <w:r w:rsidRPr="00814C24">
              <w:rPr>
                <w:color w:val="000000" w:themeColor="text1"/>
                <w:spacing w:val="1"/>
                <w:sz w:val="24"/>
                <w:szCs w:val="24"/>
              </w:rPr>
              <w:t xml:space="preserve"> </w:t>
            </w:r>
            <w:r w:rsidRPr="00814C24">
              <w:rPr>
                <w:color w:val="000000" w:themeColor="text1"/>
                <w:sz w:val="24"/>
                <w:szCs w:val="24"/>
              </w:rPr>
              <w:t>„nefavorabile-inadecvate”.</w:t>
            </w:r>
            <w:r w:rsidRPr="00814C24">
              <w:rPr>
                <w:color w:val="000000" w:themeColor="text1"/>
                <w:spacing w:val="60"/>
                <w:sz w:val="24"/>
                <w:szCs w:val="24"/>
              </w:rPr>
              <w:t xml:space="preserve"> </w:t>
            </w:r>
            <w:r w:rsidRPr="00814C24">
              <w:rPr>
                <w:color w:val="000000" w:themeColor="text1"/>
                <w:sz w:val="24"/>
                <w:szCs w:val="24"/>
              </w:rPr>
              <w:t>Se</w:t>
            </w:r>
            <w:r w:rsidRPr="00814C24">
              <w:rPr>
                <w:color w:val="000000" w:themeColor="text1"/>
                <w:spacing w:val="1"/>
                <w:sz w:val="24"/>
                <w:szCs w:val="24"/>
              </w:rPr>
              <w:t xml:space="preserve"> </w:t>
            </w:r>
            <w:r w:rsidRPr="00814C24">
              <w:rPr>
                <w:color w:val="000000" w:themeColor="text1"/>
                <w:sz w:val="24"/>
                <w:szCs w:val="24"/>
              </w:rPr>
              <w:t>pare că, în rapoartele anterioare, statele membre au utilizat praguri</w:t>
            </w:r>
            <w:r w:rsidRPr="00814C24">
              <w:rPr>
                <w:color w:val="000000" w:themeColor="text1"/>
                <w:spacing w:val="1"/>
                <w:sz w:val="24"/>
                <w:szCs w:val="24"/>
              </w:rPr>
              <w:t xml:space="preserve"> </w:t>
            </w:r>
            <w:r w:rsidRPr="00814C24">
              <w:rPr>
                <w:color w:val="000000" w:themeColor="text1"/>
                <w:sz w:val="24"/>
                <w:szCs w:val="24"/>
              </w:rPr>
              <w:t>foarte</w:t>
            </w:r>
            <w:r w:rsidRPr="00814C24">
              <w:rPr>
                <w:color w:val="000000" w:themeColor="text1"/>
                <w:spacing w:val="20"/>
                <w:sz w:val="24"/>
                <w:szCs w:val="24"/>
              </w:rPr>
              <w:t xml:space="preserve"> </w:t>
            </w:r>
            <w:r w:rsidRPr="00814C24">
              <w:rPr>
                <w:color w:val="000000" w:themeColor="text1"/>
                <w:sz w:val="24"/>
                <w:szCs w:val="24"/>
              </w:rPr>
              <w:t>diferite</w:t>
            </w:r>
            <w:r w:rsidRPr="00814C24">
              <w:rPr>
                <w:color w:val="000000" w:themeColor="text1"/>
                <w:spacing w:val="24"/>
                <w:sz w:val="24"/>
                <w:szCs w:val="24"/>
              </w:rPr>
              <w:t xml:space="preserve"> </w:t>
            </w:r>
            <w:r w:rsidRPr="00814C24">
              <w:rPr>
                <w:color w:val="000000" w:themeColor="text1"/>
                <w:sz w:val="24"/>
                <w:szCs w:val="24"/>
              </w:rPr>
              <w:t>ale</w:t>
            </w:r>
            <w:r w:rsidRPr="00814C24">
              <w:rPr>
                <w:color w:val="000000" w:themeColor="text1"/>
                <w:spacing w:val="22"/>
                <w:sz w:val="24"/>
                <w:szCs w:val="24"/>
              </w:rPr>
              <w:t xml:space="preserve"> </w:t>
            </w:r>
            <w:r w:rsidRPr="00814C24">
              <w:rPr>
                <w:color w:val="000000" w:themeColor="text1"/>
                <w:sz w:val="24"/>
                <w:szCs w:val="24"/>
              </w:rPr>
              <w:t>proporției</w:t>
            </w:r>
            <w:r w:rsidRPr="00814C24">
              <w:rPr>
                <w:color w:val="000000" w:themeColor="text1"/>
                <w:spacing w:val="23"/>
                <w:sz w:val="24"/>
                <w:szCs w:val="24"/>
              </w:rPr>
              <w:t xml:space="preserve"> </w:t>
            </w:r>
            <w:r w:rsidRPr="00814C24">
              <w:rPr>
                <w:color w:val="000000" w:themeColor="text1"/>
                <w:sz w:val="24"/>
                <w:szCs w:val="24"/>
              </w:rPr>
              <w:t>de</w:t>
            </w:r>
            <w:r w:rsidRPr="00814C24">
              <w:rPr>
                <w:color w:val="000000" w:themeColor="text1"/>
                <w:spacing w:val="21"/>
                <w:sz w:val="24"/>
                <w:szCs w:val="24"/>
              </w:rPr>
              <w:t xml:space="preserve"> </w:t>
            </w:r>
            <w:r w:rsidRPr="00814C24">
              <w:rPr>
                <w:color w:val="000000" w:themeColor="text1"/>
                <w:sz w:val="24"/>
                <w:szCs w:val="24"/>
              </w:rPr>
              <w:t>suprafață</w:t>
            </w:r>
            <w:r w:rsidRPr="00814C24">
              <w:rPr>
                <w:color w:val="000000" w:themeColor="text1"/>
                <w:spacing w:val="24"/>
                <w:sz w:val="24"/>
                <w:szCs w:val="24"/>
              </w:rPr>
              <w:t xml:space="preserve"> </w:t>
            </w:r>
            <w:r w:rsidRPr="00814C24">
              <w:rPr>
                <w:color w:val="000000" w:themeColor="text1"/>
                <w:sz w:val="24"/>
                <w:szCs w:val="24"/>
              </w:rPr>
              <w:t>a</w:t>
            </w:r>
            <w:r w:rsidRPr="00814C24">
              <w:rPr>
                <w:color w:val="000000" w:themeColor="text1"/>
                <w:spacing w:val="21"/>
                <w:sz w:val="24"/>
                <w:szCs w:val="24"/>
              </w:rPr>
              <w:t xml:space="preserve"> </w:t>
            </w:r>
            <w:r w:rsidRPr="00814C24">
              <w:rPr>
                <w:color w:val="000000" w:themeColor="text1"/>
                <w:sz w:val="24"/>
                <w:szCs w:val="24"/>
              </w:rPr>
              <w:t>habitatului</w:t>
            </w:r>
            <w:r w:rsidRPr="00814C24">
              <w:rPr>
                <w:color w:val="000000" w:themeColor="text1"/>
                <w:spacing w:val="23"/>
                <w:sz w:val="24"/>
                <w:szCs w:val="24"/>
              </w:rPr>
              <w:t xml:space="preserve"> </w:t>
            </w:r>
            <w:r w:rsidRPr="00814C24">
              <w:rPr>
                <w:color w:val="000000" w:themeColor="text1"/>
                <w:sz w:val="24"/>
                <w:szCs w:val="24"/>
              </w:rPr>
              <w:t>care</w:t>
            </w:r>
            <w:r w:rsidRPr="00814C24">
              <w:rPr>
                <w:color w:val="000000" w:themeColor="text1"/>
                <w:spacing w:val="21"/>
                <w:sz w:val="24"/>
                <w:szCs w:val="24"/>
              </w:rPr>
              <w:t xml:space="preserve"> </w:t>
            </w:r>
            <w:r w:rsidRPr="00814C24">
              <w:rPr>
                <w:color w:val="000000" w:themeColor="text1"/>
                <w:sz w:val="24"/>
                <w:szCs w:val="24"/>
              </w:rPr>
              <w:t>trebuie</w:t>
            </w:r>
            <w:r w:rsidRPr="00814C24">
              <w:rPr>
                <w:color w:val="000000" w:themeColor="text1"/>
                <w:spacing w:val="-58"/>
                <w:sz w:val="24"/>
                <w:szCs w:val="24"/>
              </w:rPr>
              <w:t xml:space="preserve"> </w:t>
            </w:r>
            <w:r w:rsidRPr="00814C24">
              <w:rPr>
                <w:color w:val="000000" w:themeColor="text1"/>
                <w:sz w:val="24"/>
                <w:szCs w:val="24"/>
              </w:rPr>
              <w:t>să</w:t>
            </w:r>
            <w:r w:rsidRPr="00814C24">
              <w:rPr>
                <w:color w:val="000000" w:themeColor="text1"/>
                <w:spacing w:val="1"/>
                <w:sz w:val="24"/>
                <w:szCs w:val="24"/>
              </w:rPr>
              <w:t xml:space="preserve"> </w:t>
            </w:r>
            <w:r w:rsidRPr="00814C24">
              <w:rPr>
                <w:color w:val="000000" w:themeColor="text1"/>
                <w:sz w:val="24"/>
                <w:szCs w:val="24"/>
              </w:rPr>
              <w:t>fie</w:t>
            </w:r>
            <w:r w:rsidRPr="00814C24">
              <w:rPr>
                <w:color w:val="000000" w:themeColor="text1"/>
                <w:spacing w:val="1"/>
                <w:sz w:val="24"/>
                <w:szCs w:val="24"/>
              </w:rPr>
              <w:t xml:space="preserve"> </w:t>
            </w:r>
            <w:r w:rsidRPr="00814C24">
              <w:rPr>
                <w:color w:val="000000" w:themeColor="text1"/>
                <w:sz w:val="24"/>
                <w:szCs w:val="24"/>
              </w:rPr>
              <w:t>în</w:t>
            </w:r>
            <w:r w:rsidRPr="00814C24">
              <w:rPr>
                <w:color w:val="000000" w:themeColor="text1"/>
                <w:spacing w:val="1"/>
                <w:sz w:val="24"/>
                <w:szCs w:val="24"/>
              </w:rPr>
              <w:t xml:space="preserve"> </w:t>
            </w:r>
            <w:r w:rsidRPr="00814C24">
              <w:rPr>
                <w:color w:val="000000" w:themeColor="text1"/>
                <w:sz w:val="24"/>
                <w:szCs w:val="24"/>
              </w:rPr>
              <w:t>stare</w:t>
            </w:r>
            <w:r w:rsidRPr="00814C24">
              <w:rPr>
                <w:color w:val="000000" w:themeColor="text1"/>
                <w:spacing w:val="1"/>
                <w:sz w:val="24"/>
                <w:szCs w:val="24"/>
              </w:rPr>
              <w:t xml:space="preserve"> </w:t>
            </w:r>
            <w:r w:rsidRPr="00814C24">
              <w:rPr>
                <w:color w:val="000000" w:themeColor="text1"/>
                <w:sz w:val="24"/>
                <w:szCs w:val="24"/>
              </w:rPr>
              <w:t>bună</w:t>
            </w:r>
            <w:r w:rsidRPr="00814C24">
              <w:rPr>
                <w:color w:val="000000" w:themeColor="text1"/>
                <w:spacing w:val="1"/>
                <w:sz w:val="24"/>
                <w:szCs w:val="24"/>
              </w:rPr>
              <w:t xml:space="preserve"> </w:t>
            </w:r>
            <w:r w:rsidRPr="00814C24">
              <w:rPr>
                <w:color w:val="000000" w:themeColor="text1"/>
                <w:sz w:val="24"/>
                <w:szCs w:val="24"/>
              </w:rPr>
              <w:t>pentru</w:t>
            </w:r>
            <w:r w:rsidRPr="00814C24">
              <w:rPr>
                <w:color w:val="000000" w:themeColor="text1"/>
                <w:spacing w:val="1"/>
                <w:sz w:val="24"/>
                <w:szCs w:val="24"/>
              </w:rPr>
              <w:t xml:space="preserve"> </w:t>
            </w:r>
            <w:r w:rsidRPr="00814C24">
              <w:rPr>
                <w:color w:val="000000" w:themeColor="text1"/>
                <w:sz w:val="24"/>
                <w:szCs w:val="24"/>
              </w:rPr>
              <w:t>a</w:t>
            </w:r>
            <w:r w:rsidRPr="00814C24">
              <w:rPr>
                <w:color w:val="000000" w:themeColor="text1"/>
                <w:spacing w:val="1"/>
                <w:sz w:val="24"/>
                <w:szCs w:val="24"/>
              </w:rPr>
              <w:t xml:space="preserve"> </w:t>
            </w:r>
            <w:r w:rsidRPr="00814C24">
              <w:rPr>
                <w:color w:val="000000" w:themeColor="text1"/>
                <w:sz w:val="24"/>
                <w:szCs w:val="24"/>
              </w:rPr>
              <w:t>justifica</w:t>
            </w:r>
            <w:r w:rsidRPr="00814C24">
              <w:rPr>
                <w:color w:val="000000" w:themeColor="text1"/>
                <w:spacing w:val="1"/>
                <w:sz w:val="24"/>
                <w:szCs w:val="24"/>
              </w:rPr>
              <w:t xml:space="preserve"> </w:t>
            </w:r>
            <w:r w:rsidRPr="00814C24">
              <w:rPr>
                <w:color w:val="000000" w:themeColor="text1"/>
                <w:sz w:val="24"/>
                <w:szCs w:val="24"/>
              </w:rPr>
              <w:t>evaluarea</w:t>
            </w:r>
            <w:r w:rsidRPr="00814C24">
              <w:rPr>
                <w:color w:val="000000" w:themeColor="text1"/>
                <w:spacing w:val="1"/>
                <w:sz w:val="24"/>
                <w:szCs w:val="24"/>
              </w:rPr>
              <w:t xml:space="preserve"> </w:t>
            </w:r>
            <w:r w:rsidRPr="00814C24">
              <w:rPr>
                <w:color w:val="000000" w:themeColor="text1"/>
                <w:sz w:val="24"/>
                <w:szCs w:val="24"/>
              </w:rPr>
              <w:t>structurii</w:t>
            </w:r>
            <w:r w:rsidRPr="00814C24">
              <w:rPr>
                <w:color w:val="000000" w:themeColor="text1"/>
                <w:spacing w:val="60"/>
                <w:sz w:val="24"/>
                <w:szCs w:val="24"/>
              </w:rPr>
              <w:t xml:space="preserve"> </w:t>
            </w:r>
            <w:r w:rsidRPr="00814C24">
              <w:rPr>
                <w:color w:val="000000" w:themeColor="text1"/>
                <w:sz w:val="24"/>
                <w:szCs w:val="24"/>
              </w:rPr>
              <w:t>și</w:t>
            </w:r>
            <w:r w:rsidRPr="00814C24">
              <w:rPr>
                <w:color w:val="000000" w:themeColor="text1"/>
                <w:spacing w:val="1"/>
                <w:sz w:val="24"/>
                <w:szCs w:val="24"/>
              </w:rPr>
              <w:t xml:space="preserve"> </w:t>
            </w:r>
            <w:r w:rsidRPr="00814C24">
              <w:rPr>
                <w:color w:val="000000" w:themeColor="text1"/>
                <w:sz w:val="24"/>
                <w:szCs w:val="24"/>
              </w:rPr>
              <w:t>funcțiilor ca fiind „favorabile”. În mod ideal, întreaga suprafață a</w:t>
            </w:r>
            <w:r w:rsidRPr="00814C24">
              <w:rPr>
                <w:color w:val="000000" w:themeColor="text1"/>
                <w:spacing w:val="1"/>
                <w:sz w:val="24"/>
                <w:szCs w:val="24"/>
              </w:rPr>
              <w:t xml:space="preserve"> </w:t>
            </w:r>
            <w:r w:rsidRPr="00814C24">
              <w:rPr>
                <w:color w:val="000000" w:themeColor="text1"/>
                <w:sz w:val="24"/>
                <w:szCs w:val="24"/>
              </w:rPr>
              <w:t>unui tip de habitat ar trebui să fie în stare bună pentru ca structura și</w:t>
            </w:r>
            <w:r w:rsidRPr="00814C24">
              <w:rPr>
                <w:color w:val="000000" w:themeColor="text1"/>
                <w:spacing w:val="-57"/>
                <w:sz w:val="24"/>
                <w:szCs w:val="24"/>
              </w:rPr>
              <w:t xml:space="preserve"> </w:t>
            </w:r>
            <w:r w:rsidRPr="00814C24">
              <w:rPr>
                <w:color w:val="000000" w:themeColor="text1"/>
                <w:sz w:val="24"/>
                <w:szCs w:val="24"/>
              </w:rPr>
              <w:t>funcțiile</w:t>
            </w:r>
            <w:r w:rsidRPr="00814C24">
              <w:rPr>
                <w:color w:val="000000" w:themeColor="text1"/>
                <w:spacing w:val="1"/>
                <w:sz w:val="24"/>
                <w:szCs w:val="24"/>
              </w:rPr>
              <w:t xml:space="preserve"> </w:t>
            </w:r>
            <w:r w:rsidRPr="00814C24">
              <w:rPr>
                <w:color w:val="000000" w:themeColor="text1"/>
                <w:sz w:val="24"/>
                <w:szCs w:val="24"/>
              </w:rPr>
              <w:t>să</w:t>
            </w:r>
            <w:r w:rsidRPr="00814C24">
              <w:rPr>
                <w:color w:val="000000" w:themeColor="text1"/>
                <w:spacing w:val="1"/>
                <w:sz w:val="24"/>
                <w:szCs w:val="24"/>
              </w:rPr>
              <w:t xml:space="preserve"> </w:t>
            </w:r>
            <w:r w:rsidRPr="00814C24">
              <w:rPr>
                <w:color w:val="000000" w:themeColor="text1"/>
                <w:sz w:val="24"/>
                <w:szCs w:val="24"/>
              </w:rPr>
              <w:t>fie</w:t>
            </w:r>
            <w:r w:rsidRPr="00814C24">
              <w:rPr>
                <w:color w:val="000000" w:themeColor="text1"/>
                <w:spacing w:val="1"/>
                <w:sz w:val="24"/>
                <w:szCs w:val="24"/>
              </w:rPr>
              <w:t xml:space="preserve"> </w:t>
            </w:r>
            <w:r w:rsidRPr="00814C24">
              <w:rPr>
                <w:color w:val="000000" w:themeColor="text1"/>
                <w:sz w:val="24"/>
                <w:szCs w:val="24"/>
              </w:rPr>
              <w:t>considerate</w:t>
            </w:r>
            <w:r w:rsidRPr="00814C24">
              <w:rPr>
                <w:color w:val="000000" w:themeColor="text1"/>
                <w:spacing w:val="1"/>
                <w:sz w:val="24"/>
                <w:szCs w:val="24"/>
              </w:rPr>
              <w:t xml:space="preserve"> </w:t>
            </w:r>
            <w:r w:rsidRPr="00814C24">
              <w:rPr>
                <w:color w:val="000000" w:themeColor="text1"/>
                <w:sz w:val="24"/>
                <w:szCs w:val="24"/>
              </w:rPr>
              <w:t>„favorabile”.</w:t>
            </w:r>
            <w:r w:rsidRPr="00814C24">
              <w:rPr>
                <w:color w:val="000000" w:themeColor="text1"/>
                <w:spacing w:val="1"/>
                <w:sz w:val="24"/>
                <w:szCs w:val="24"/>
              </w:rPr>
              <w:t xml:space="preserve"> </w:t>
            </w:r>
            <w:r w:rsidRPr="00814C24">
              <w:rPr>
                <w:color w:val="000000" w:themeColor="text1"/>
                <w:sz w:val="24"/>
                <w:szCs w:val="24"/>
              </w:rPr>
              <w:t>Cu</w:t>
            </w:r>
            <w:r w:rsidRPr="00814C24">
              <w:rPr>
                <w:color w:val="000000" w:themeColor="text1"/>
                <w:spacing w:val="1"/>
                <w:sz w:val="24"/>
                <w:szCs w:val="24"/>
              </w:rPr>
              <w:t xml:space="preserve"> </w:t>
            </w:r>
            <w:r w:rsidRPr="00814C24">
              <w:rPr>
                <w:color w:val="000000" w:themeColor="text1"/>
                <w:sz w:val="24"/>
                <w:szCs w:val="24"/>
              </w:rPr>
              <w:t>toate</w:t>
            </w:r>
            <w:r w:rsidRPr="00814C24">
              <w:rPr>
                <w:color w:val="000000" w:themeColor="text1"/>
                <w:spacing w:val="1"/>
                <w:sz w:val="24"/>
                <w:szCs w:val="24"/>
              </w:rPr>
              <w:t xml:space="preserve"> </w:t>
            </w:r>
            <w:r w:rsidRPr="00814C24">
              <w:rPr>
                <w:color w:val="000000" w:themeColor="text1"/>
                <w:sz w:val="24"/>
                <w:szCs w:val="24"/>
              </w:rPr>
              <w:t>acestea,</w:t>
            </w:r>
            <w:r w:rsidRPr="00814C24">
              <w:rPr>
                <w:color w:val="000000" w:themeColor="text1"/>
                <w:spacing w:val="60"/>
                <w:sz w:val="24"/>
                <w:szCs w:val="24"/>
              </w:rPr>
              <w:t xml:space="preserve"> </w:t>
            </w:r>
            <w:r w:rsidRPr="00814C24">
              <w:rPr>
                <w:color w:val="000000" w:themeColor="text1"/>
                <w:sz w:val="24"/>
                <w:szCs w:val="24"/>
              </w:rPr>
              <w:t>acest</w:t>
            </w:r>
            <w:r w:rsidRPr="00814C24">
              <w:rPr>
                <w:color w:val="000000" w:themeColor="text1"/>
                <w:spacing w:val="-57"/>
                <w:sz w:val="24"/>
                <w:szCs w:val="24"/>
              </w:rPr>
              <w:t xml:space="preserve"> </w:t>
            </w:r>
            <w:r w:rsidRPr="00814C24">
              <w:rPr>
                <w:color w:val="000000" w:themeColor="text1"/>
                <w:sz w:val="24"/>
                <w:szCs w:val="24"/>
              </w:rPr>
              <w:t>lucru este practic realizabil și ar putea fi acceptat să existe o parte</w:t>
            </w:r>
            <w:r w:rsidRPr="00814C24">
              <w:rPr>
                <w:color w:val="000000" w:themeColor="text1"/>
                <w:spacing w:val="1"/>
                <w:sz w:val="24"/>
                <w:szCs w:val="24"/>
              </w:rPr>
              <w:t xml:space="preserve"> </w:t>
            </w:r>
            <w:r w:rsidRPr="00814C24">
              <w:rPr>
                <w:color w:val="000000" w:themeColor="text1"/>
                <w:sz w:val="24"/>
                <w:szCs w:val="24"/>
              </w:rPr>
              <w:t>din tipul de habitat în condiții „nu bune”, dar totuși considerăm că</w:t>
            </w:r>
            <w:r w:rsidRPr="00814C24">
              <w:rPr>
                <w:color w:val="000000" w:themeColor="text1"/>
                <w:spacing w:val="1"/>
                <w:sz w:val="24"/>
                <w:szCs w:val="24"/>
              </w:rPr>
              <w:t xml:space="preserve"> </w:t>
            </w:r>
            <w:r w:rsidRPr="00814C24">
              <w:rPr>
                <w:color w:val="000000" w:themeColor="text1"/>
                <w:sz w:val="24"/>
                <w:szCs w:val="24"/>
              </w:rPr>
              <w:t>structura</w:t>
            </w:r>
            <w:r w:rsidRPr="00814C24">
              <w:rPr>
                <w:color w:val="000000" w:themeColor="text1"/>
                <w:spacing w:val="-3"/>
                <w:sz w:val="24"/>
                <w:szCs w:val="24"/>
              </w:rPr>
              <w:t xml:space="preserve"> </w:t>
            </w:r>
            <w:r w:rsidRPr="00814C24">
              <w:rPr>
                <w:color w:val="000000" w:themeColor="text1"/>
                <w:sz w:val="24"/>
                <w:szCs w:val="24"/>
              </w:rPr>
              <w:t>și</w:t>
            </w:r>
            <w:r w:rsidRPr="00814C24">
              <w:rPr>
                <w:color w:val="000000" w:themeColor="text1"/>
                <w:spacing w:val="-2"/>
                <w:sz w:val="24"/>
                <w:szCs w:val="24"/>
              </w:rPr>
              <w:t xml:space="preserve"> </w:t>
            </w:r>
            <w:r w:rsidRPr="00814C24">
              <w:rPr>
                <w:color w:val="000000" w:themeColor="text1"/>
                <w:sz w:val="24"/>
                <w:szCs w:val="24"/>
              </w:rPr>
              <w:t>funcțiile</w:t>
            </w:r>
            <w:r w:rsidRPr="00814C24">
              <w:rPr>
                <w:color w:val="000000" w:themeColor="text1"/>
                <w:spacing w:val="-1"/>
                <w:sz w:val="24"/>
                <w:szCs w:val="24"/>
              </w:rPr>
              <w:t xml:space="preserve"> </w:t>
            </w:r>
            <w:r w:rsidRPr="00814C24">
              <w:rPr>
                <w:color w:val="000000" w:themeColor="text1"/>
                <w:sz w:val="24"/>
                <w:szCs w:val="24"/>
              </w:rPr>
              <w:t>sunt</w:t>
            </w:r>
            <w:r w:rsidRPr="00814C24">
              <w:rPr>
                <w:color w:val="000000" w:themeColor="text1"/>
                <w:spacing w:val="1"/>
                <w:sz w:val="24"/>
                <w:szCs w:val="24"/>
              </w:rPr>
              <w:t xml:space="preserve"> </w:t>
            </w:r>
            <w:r w:rsidRPr="00814C24">
              <w:rPr>
                <w:color w:val="000000" w:themeColor="text1"/>
                <w:sz w:val="24"/>
                <w:szCs w:val="24"/>
              </w:rPr>
              <w:t>considerate „favorabile”.</w:t>
            </w:r>
          </w:p>
          <w:p w14:paraId="32369D14" w14:textId="77777777" w:rsidR="006735BF" w:rsidRPr="00814C24" w:rsidRDefault="006735BF" w:rsidP="008E33FD">
            <w:pPr>
              <w:pStyle w:val="TableParagraph"/>
              <w:ind w:left="467" w:right="96"/>
              <w:jc w:val="both"/>
              <w:rPr>
                <w:color w:val="000000" w:themeColor="text1"/>
                <w:sz w:val="24"/>
                <w:szCs w:val="24"/>
              </w:rPr>
            </w:pPr>
            <w:r w:rsidRPr="00814C24">
              <w:rPr>
                <w:color w:val="000000" w:themeColor="text1"/>
                <w:sz w:val="24"/>
                <w:szCs w:val="24"/>
              </w:rPr>
              <w:t>Se recomandă utilizarea unei valori indicative de 90% din suprafața de</w:t>
            </w:r>
            <w:r w:rsidRPr="00814C24">
              <w:rPr>
                <w:color w:val="000000" w:themeColor="text1"/>
                <w:spacing w:val="1"/>
                <w:sz w:val="24"/>
                <w:szCs w:val="24"/>
              </w:rPr>
              <w:t xml:space="preserve"> </w:t>
            </w:r>
            <w:r w:rsidRPr="00814C24">
              <w:rPr>
                <w:color w:val="000000" w:themeColor="text1"/>
                <w:sz w:val="24"/>
                <w:szCs w:val="24"/>
              </w:rPr>
              <w:t>tip habitat (câmpul 6.1) în condiții „bune” ca prag pentru a încheia</w:t>
            </w:r>
            <w:r w:rsidRPr="00814C24">
              <w:rPr>
                <w:color w:val="000000" w:themeColor="text1"/>
                <w:spacing w:val="1"/>
                <w:sz w:val="24"/>
                <w:szCs w:val="24"/>
              </w:rPr>
              <w:t xml:space="preserve"> </w:t>
            </w:r>
            <w:r w:rsidRPr="00814C24">
              <w:rPr>
                <w:color w:val="000000" w:themeColor="text1"/>
                <w:sz w:val="24"/>
                <w:szCs w:val="24"/>
              </w:rPr>
              <w:t>structura</w:t>
            </w:r>
            <w:r w:rsidRPr="00814C24">
              <w:rPr>
                <w:color w:val="000000" w:themeColor="text1"/>
                <w:spacing w:val="1"/>
                <w:sz w:val="24"/>
                <w:szCs w:val="24"/>
              </w:rPr>
              <w:t xml:space="preserve"> </w:t>
            </w:r>
            <w:r w:rsidRPr="00814C24">
              <w:rPr>
                <w:color w:val="000000" w:themeColor="text1"/>
                <w:sz w:val="24"/>
                <w:szCs w:val="24"/>
              </w:rPr>
              <w:t>și</w:t>
            </w:r>
            <w:r w:rsidRPr="00814C24">
              <w:rPr>
                <w:color w:val="000000" w:themeColor="text1"/>
                <w:spacing w:val="1"/>
                <w:sz w:val="24"/>
                <w:szCs w:val="24"/>
              </w:rPr>
              <w:t xml:space="preserve"> </w:t>
            </w:r>
            <w:r w:rsidRPr="00814C24">
              <w:rPr>
                <w:color w:val="000000" w:themeColor="text1"/>
                <w:sz w:val="24"/>
                <w:szCs w:val="24"/>
              </w:rPr>
              <w:t>funcțiile</w:t>
            </w:r>
            <w:r w:rsidRPr="00814C24">
              <w:rPr>
                <w:color w:val="000000" w:themeColor="text1"/>
                <w:spacing w:val="1"/>
                <w:sz w:val="24"/>
                <w:szCs w:val="24"/>
              </w:rPr>
              <w:t xml:space="preserve"> </w:t>
            </w:r>
            <w:r w:rsidRPr="00814C24">
              <w:rPr>
                <w:color w:val="000000" w:themeColor="text1"/>
                <w:sz w:val="24"/>
                <w:szCs w:val="24"/>
              </w:rPr>
              <w:t>„favorabile”.</w:t>
            </w:r>
            <w:r w:rsidRPr="00814C24">
              <w:rPr>
                <w:color w:val="000000" w:themeColor="text1"/>
                <w:spacing w:val="1"/>
                <w:sz w:val="24"/>
                <w:szCs w:val="24"/>
              </w:rPr>
              <w:t xml:space="preserve"> </w:t>
            </w:r>
            <w:r w:rsidRPr="00814C24">
              <w:rPr>
                <w:color w:val="000000" w:themeColor="text1"/>
                <w:sz w:val="24"/>
                <w:szCs w:val="24"/>
              </w:rPr>
              <w:t>Dacă</w:t>
            </w:r>
            <w:r w:rsidRPr="00814C24">
              <w:rPr>
                <w:color w:val="000000" w:themeColor="text1"/>
                <w:spacing w:val="1"/>
                <w:sz w:val="24"/>
                <w:szCs w:val="24"/>
              </w:rPr>
              <w:t xml:space="preserve"> </w:t>
            </w:r>
            <w:r w:rsidRPr="00814C24">
              <w:rPr>
                <w:color w:val="000000" w:themeColor="text1"/>
                <w:sz w:val="24"/>
                <w:szCs w:val="24"/>
              </w:rPr>
              <w:t>statul</w:t>
            </w:r>
            <w:r w:rsidRPr="00814C24">
              <w:rPr>
                <w:color w:val="000000" w:themeColor="text1"/>
                <w:spacing w:val="1"/>
                <w:sz w:val="24"/>
                <w:szCs w:val="24"/>
              </w:rPr>
              <w:t xml:space="preserve"> </w:t>
            </w:r>
            <w:r w:rsidRPr="00814C24">
              <w:rPr>
                <w:color w:val="000000" w:themeColor="text1"/>
                <w:sz w:val="24"/>
                <w:szCs w:val="24"/>
              </w:rPr>
              <w:t>membru</w:t>
            </w:r>
            <w:r w:rsidRPr="00814C24">
              <w:rPr>
                <w:color w:val="000000" w:themeColor="text1"/>
                <w:spacing w:val="1"/>
                <w:sz w:val="24"/>
                <w:szCs w:val="24"/>
              </w:rPr>
              <w:t xml:space="preserve"> </w:t>
            </w:r>
            <w:r w:rsidRPr="00814C24">
              <w:rPr>
                <w:color w:val="000000" w:themeColor="text1"/>
                <w:sz w:val="24"/>
                <w:szCs w:val="24"/>
              </w:rPr>
              <w:t>folosește</w:t>
            </w:r>
            <w:r w:rsidRPr="00814C24">
              <w:rPr>
                <w:color w:val="000000" w:themeColor="text1"/>
                <w:spacing w:val="1"/>
                <w:sz w:val="24"/>
                <w:szCs w:val="24"/>
              </w:rPr>
              <w:t xml:space="preserve"> </w:t>
            </w:r>
            <w:r w:rsidRPr="00814C24">
              <w:rPr>
                <w:color w:val="000000" w:themeColor="text1"/>
                <w:sz w:val="24"/>
                <w:szCs w:val="24"/>
              </w:rPr>
              <w:t>o</w:t>
            </w:r>
            <w:r w:rsidRPr="00814C24">
              <w:rPr>
                <w:color w:val="000000" w:themeColor="text1"/>
                <w:spacing w:val="1"/>
                <w:sz w:val="24"/>
                <w:szCs w:val="24"/>
              </w:rPr>
              <w:t xml:space="preserve"> </w:t>
            </w:r>
            <w:r w:rsidRPr="00814C24">
              <w:rPr>
                <w:color w:val="000000" w:themeColor="text1"/>
                <w:sz w:val="24"/>
                <w:szCs w:val="24"/>
              </w:rPr>
              <w:t>valoare</w:t>
            </w:r>
            <w:r w:rsidRPr="00814C24">
              <w:rPr>
                <w:color w:val="000000" w:themeColor="text1"/>
                <w:spacing w:val="1"/>
                <w:sz w:val="24"/>
                <w:szCs w:val="24"/>
              </w:rPr>
              <w:t xml:space="preserve"> </w:t>
            </w:r>
            <w:r w:rsidRPr="00814C24">
              <w:rPr>
                <w:color w:val="000000" w:themeColor="text1"/>
                <w:sz w:val="24"/>
                <w:szCs w:val="24"/>
              </w:rPr>
              <w:t>diferită,</w:t>
            </w:r>
            <w:r w:rsidRPr="00814C24">
              <w:rPr>
                <w:color w:val="000000" w:themeColor="text1"/>
                <w:spacing w:val="1"/>
                <w:sz w:val="24"/>
                <w:szCs w:val="24"/>
              </w:rPr>
              <w:t xml:space="preserve"> </w:t>
            </w:r>
            <w:r w:rsidRPr="00814C24">
              <w:rPr>
                <w:color w:val="000000" w:themeColor="text1"/>
                <w:sz w:val="24"/>
                <w:szCs w:val="24"/>
              </w:rPr>
              <w:t>aceasta</w:t>
            </w:r>
            <w:r w:rsidRPr="00814C24">
              <w:rPr>
                <w:color w:val="000000" w:themeColor="text1"/>
                <w:spacing w:val="1"/>
                <w:sz w:val="24"/>
                <w:szCs w:val="24"/>
              </w:rPr>
              <w:t xml:space="preserve"> </w:t>
            </w:r>
            <w:r w:rsidRPr="00814C24">
              <w:rPr>
                <w:color w:val="000000" w:themeColor="text1"/>
                <w:sz w:val="24"/>
                <w:szCs w:val="24"/>
              </w:rPr>
              <w:t>trebuie</w:t>
            </w:r>
            <w:r w:rsidRPr="00814C24">
              <w:rPr>
                <w:color w:val="000000" w:themeColor="text1"/>
                <w:spacing w:val="1"/>
                <w:sz w:val="24"/>
                <w:szCs w:val="24"/>
              </w:rPr>
              <w:t xml:space="preserve"> </w:t>
            </w:r>
            <w:r w:rsidRPr="00814C24">
              <w:rPr>
                <w:color w:val="000000" w:themeColor="text1"/>
                <w:sz w:val="24"/>
                <w:szCs w:val="24"/>
              </w:rPr>
              <w:t>notată</w:t>
            </w:r>
            <w:r w:rsidRPr="00814C24">
              <w:rPr>
                <w:color w:val="000000" w:themeColor="text1"/>
                <w:spacing w:val="1"/>
                <w:sz w:val="24"/>
                <w:szCs w:val="24"/>
              </w:rPr>
              <w:t xml:space="preserve"> </w:t>
            </w:r>
            <w:r w:rsidRPr="00814C24">
              <w:rPr>
                <w:color w:val="000000" w:themeColor="text1"/>
                <w:sz w:val="24"/>
                <w:szCs w:val="24"/>
              </w:rPr>
              <w:t>și</w:t>
            </w:r>
            <w:r w:rsidRPr="00814C24">
              <w:rPr>
                <w:color w:val="000000" w:themeColor="text1"/>
                <w:spacing w:val="1"/>
                <w:sz w:val="24"/>
                <w:szCs w:val="24"/>
              </w:rPr>
              <w:t xml:space="preserve"> </w:t>
            </w:r>
            <w:r w:rsidRPr="00814C24">
              <w:rPr>
                <w:color w:val="000000" w:themeColor="text1"/>
                <w:sz w:val="24"/>
                <w:szCs w:val="24"/>
              </w:rPr>
              <w:t>explicată</w:t>
            </w:r>
            <w:r w:rsidRPr="00814C24">
              <w:rPr>
                <w:color w:val="000000" w:themeColor="text1"/>
                <w:spacing w:val="1"/>
                <w:sz w:val="24"/>
                <w:szCs w:val="24"/>
              </w:rPr>
              <w:t xml:space="preserve"> </w:t>
            </w:r>
            <w:r w:rsidRPr="00814C24">
              <w:rPr>
                <w:color w:val="000000" w:themeColor="text1"/>
                <w:sz w:val="24"/>
                <w:szCs w:val="24"/>
              </w:rPr>
              <w:t>în</w:t>
            </w:r>
            <w:r w:rsidRPr="00814C24">
              <w:rPr>
                <w:color w:val="000000" w:themeColor="text1"/>
                <w:spacing w:val="1"/>
                <w:sz w:val="24"/>
                <w:szCs w:val="24"/>
              </w:rPr>
              <w:t xml:space="preserve"> </w:t>
            </w:r>
            <w:r w:rsidRPr="00814C24">
              <w:rPr>
                <w:color w:val="000000" w:themeColor="text1"/>
                <w:sz w:val="24"/>
                <w:szCs w:val="24"/>
              </w:rPr>
              <w:t>câmpul</w:t>
            </w:r>
            <w:r w:rsidRPr="00814C24">
              <w:rPr>
                <w:color w:val="000000" w:themeColor="text1"/>
                <w:spacing w:val="1"/>
                <w:sz w:val="24"/>
                <w:szCs w:val="24"/>
              </w:rPr>
              <w:t xml:space="preserve"> </w:t>
            </w:r>
            <w:r w:rsidRPr="00814C24">
              <w:rPr>
                <w:color w:val="000000" w:themeColor="text1"/>
                <w:sz w:val="24"/>
                <w:szCs w:val="24"/>
              </w:rPr>
              <w:t>10.8</w:t>
            </w:r>
            <w:r w:rsidRPr="00814C24">
              <w:rPr>
                <w:color w:val="000000" w:themeColor="text1"/>
                <w:spacing w:val="1"/>
                <w:sz w:val="24"/>
                <w:szCs w:val="24"/>
              </w:rPr>
              <w:t xml:space="preserve"> </w:t>
            </w:r>
            <w:r w:rsidRPr="00814C24">
              <w:rPr>
                <w:color w:val="000000" w:themeColor="text1"/>
                <w:sz w:val="24"/>
                <w:szCs w:val="24"/>
              </w:rPr>
              <w:t>Informații suplimentare ”. Această valoare indicativă ar putea fi, de</w:t>
            </w:r>
            <w:r w:rsidRPr="00814C24">
              <w:rPr>
                <w:color w:val="000000" w:themeColor="text1"/>
                <w:spacing w:val="1"/>
                <w:sz w:val="24"/>
                <w:szCs w:val="24"/>
              </w:rPr>
              <w:t xml:space="preserve"> </w:t>
            </w:r>
            <w:r w:rsidRPr="00814C24">
              <w:rPr>
                <w:color w:val="000000" w:themeColor="text1"/>
                <w:sz w:val="24"/>
                <w:szCs w:val="24"/>
              </w:rPr>
              <w:t>exemplu, adaptată în funcție de raritatea / abundența tipului de habitat</w:t>
            </w:r>
            <w:r w:rsidRPr="00814C24">
              <w:rPr>
                <w:color w:val="000000" w:themeColor="text1"/>
                <w:spacing w:val="1"/>
                <w:sz w:val="24"/>
                <w:szCs w:val="24"/>
              </w:rPr>
              <w:t xml:space="preserve"> </w:t>
            </w:r>
            <w:r w:rsidRPr="00814C24">
              <w:rPr>
                <w:color w:val="000000" w:themeColor="text1"/>
                <w:sz w:val="24"/>
                <w:szCs w:val="24"/>
              </w:rPr>
              <w:t>(pentru mai multe informații, a se vedea secțiunea „Starea tipului de</w:t>
            </w:r>
            <w:r w:rsidRPr="00814C24">
              <w:rPr>
                <w:color w:val="000000" w:themeColor="text1"/>
                <w:spacing w:val="1"/>
                <w:sz w:val="24"/>
                <w:szCs w:val="24"/>
              </w:rPr>
              <w:t xml:space="preserve"> </w:t>
            </w:r>
            <w:r w:rsidRPr="00814C24">
              <w:rPr>
                <w:color w:val="000000" w:themeColor="text1"/>
                <w:sz w:val="24"/>
                <w:szCs w:val="24"/>
              </w:rPr>
              <w:t>habitat” (în „6 Structura și funcțiile (inclusiv speciile tipice)” capitolul</w:t>
            </w:r>
            <w:r w:rsidRPr="00814C24">
              <w:rPr>
                <w:color w:val="000000" w:themeColor="text1"/>
                <w:spacing w:val="1"/>
                <w:sz w:val="24"/>
                <w:szCs w:val="24"/>
              </w:rPr>
              <w:t xml:space="preserve"> </w:t>
            </w:r>
            <w:r w:rsidRPr="00814C24">
              <w:rPr>
                <w:color w:val="000000" w:themeColor="text1"/>
                <w:sz w:val="24"/>
                <w:szCs w:val="24"/>
              </w:rPr>
              <w:t>din</w:t>
            </w:r>
            <w:r w:rsidRPr="00814C24">
              <w:rPr>
                <w:color w:val="000000" w:themeColor="text1"/>
                <w:spacing w:val="-1"/>
                <w:sz w:val="24"/>
                <w:szCs w:val="24"/>
              </w:rPr>
              <w:t xml:space="preserve"> </w:t>
            </w:r>
            <w:r w:rsidRPr="00814C24">
              <w:rPr>
                <w:color w:val="000000" w:themeColor="text1"/>
                <w:sz w:val="24"/>
                <w:szCs w:val="24"/>
              </w:rPr>
              <w:t>„Definiții și</w:t>
            </w:r>
            <w:r w:rsidRPr="00814C24">
              <w:rPr>
                <w:color w:val="000000" w:themeColor="text1"/>
                <w:spacing w:val="-1"/>
                <w:sz w:val="24"/>
                <w:szCs w:val="24"/>
              </w:rPr>
              <w:t xml:space="preserve"> </w:t>
            </w:r>
            <w:r w:rsidRPr="00814C24">
              <w:rPr>
                <w:color w:val="000000" w:themeColor="text1"/>
                <w:sz w:val="24"/>
                <w:szCs w:val="24"/>
              </w:rPr>
              <w:t>metode</w:t>
            </w:r>
            <w:r w:rsidRPr="00814C24">
              <w:rPr>
                <w:color w:val="000000" w:themeColor="text1"/>
                <w:spacing w:val="-1"/>
                <w:sz w:val="24"/>
                <w:szCs w:val="24"/>
              </w:rPr>
              <w:t xml:space="preserve"> </w:t>
            </w:r>
            <w:r w:rsidRPr="00814C24">
              <w:rPr>
                <w:color w:val="000000" w:themeColor="text1"/>
                <w:sz w:val="24"/>
                <w:szCs w:val="24"/>
              </w:rPr>
              <w:t>pentru</w:t>
            </w:r>
            <w:r w:rsidRPr="00814C24">
              <w:rPr>
                <w:color w:val="000000" w:themeColor="text1"/>
                <w:spacing w:val="-1"/>
                <w:sz w:val="24"/>
                <w:szCs w:val="24"/>
              </w:rPr>
              <w:t xml:space="preserve"> </w:t>
            </w:r>
            <w:r w:rsidRPr="00814C24">
              <w:rPr>
                <w:color w:val="000000" w:themeColor="text1"/>
                <w:sz w:val="24"/>
                <w:szCs w:val="24"/>
              </w:rPr>
              <w:t>raportarea</w:t>
            </w:r>
            <w:r w:rsidRPr="00814C24">
              <w:rPr>
                <w:color w:val="000000" w:themeColor="text1"/>
                <w:spacing w:val="-1"/>
                <w:sz w:val="24"/>
                <w:szCs w:val="24"/>
              </w:rPr>
              <w:t xml:space="preserve"> </w:t>
            </w:r>
            <w:r w:rsidRPr="00814C24">
              <w:rPr>
                <w:color w:val="000000" w:themeColor="text1"/>
                <w:sz w:val="24"/>
                <w:szCs w:val="24"/>
              </w:rPr>
              <w:t>habitatului 'parte).</w:t>
            </w:r>
          </w:p>
          <w:p w14:paraId="7434E0D4" w14:textId="77777777" w:rsidR="00FC74DD" w:rsidRPr="00FC74DD" w:rsidRDefault="006735BF" w:rsidP="009E63E5">
            <w:pPr>
              <w:pStyle w:val="TableParagraph"/>
              <w:numPr>
                <w:ilvl w:val="0"/>
                <w:numId w:val="141"/>
              </w:numPr>
              <w:tabs>
                <w:tab w:val="left" w:pos="829"/>
              </w:tabs>
              <w:spacing w:line="270" w:lineRule="atLeast"/>
              <w:ind w:right="100"/>
              <w:jc w:val="both"/>
              <w:rPr>
                <w:color w:val="000000" w:themeColor="text1"/>
                <w:sz w:val="24"/>
                <w:szCs w:val="24"/>
              </w:rPr>
            </w:pPr>
            <w:r w:rsidRPr="00814C24">
              <w:rPr>
                <w:color w:val="000000" w:themeColor="text1"/>
                <w:sz w:val="24"/>
                <w:szCs w:val="24"/>
              </w:rPr>
              <w:t>Deși</w:t>
            </w:r>
            <w:r w:rsidRPr="00814C24">
              <w:rPr>
                <w:color w:val="000000" w:themeColor="text1"/>
                <w:spacing w:val="1"/>
                <w:sz w:val="24"/>
                <w:szCs w:val="24"/>
              </w:rPr>
              <w:t xml:space="preserve"> </w:t>
            </w:r>
            <w:r w:rsidRPr="00814C24">
              <w:rPr>
                <w:color w:val="000000" w:themeColor="text1"/>
                <w:sz w:val="24"/>
                <w:szCs w:val="24"/>
              </w:rPr>
              <w:t>nu</w:t>
            </w:r>
            <w:r w:rsidRPr="00814C24">
              <w:rPr>
                <w:color w:val="000000" w:themeColor="text1"/>
                <w:spacing w:val="1"/>
                <w:sz w:val="24"/>
                <w:szCs w:val="24"/>
              </w:rPr>
              <w:t xml:space="preserve"> </w:t>
            </w:r>
            <w:r w:rsidRPr="00814C24">
              <w:rPr>
                <w:color w:val="000000" w:themeColor="text1"/>
                <w:sz w:val="24"/>
                <w:szCs w:val="24"/>
              </w:rPr>
              <w:t>este</w:t>
            </w:r>
            <w:r w:rsidRPr="00814C24">
              <w:rPr>
                <w:color w:val="000000" w:themeColor="text1"/>
                <w:spacing w:val="1"/>
                <w:sz w:val="24"/>
                <w:szCs w:val="24"/>
              </w:rPr>
              <w:t xml:space="preserve"> </w:t>
            </w:r>
            <w:r w:rsidRPr="00814C24">
              <w:rPr>
                <w:color w:val="000000" w:themeColor="text1"/>
                <w:sz w:val="24"/>
                <w:szCs w:val="24"/>
              </w:rPr>
              <w:t>specificat</w:t>
            </w:r>
            <w:r w:rsidRPr="00814C24">
              <w:rPr>
                <w:color w:val="000000" w:themeColor="text1"/>
                <w:spacing w:val="1"/>
                <w:sz w:val="24"/>
                <w:szCs w:val="24"/>
              </w:rPr>
              <w:t xml:space="preserve"> </w:t>
            </w:r>
            <w:r w:rsidRPr="00814C24">
              <w:rPr>
                <w:color w:val="000000" w:themeColor="text1"/>
                <w:sz w:val="24"/>
                <w:szCs w:val="24"/>
              </w:rPr>
              <w:t>clar</w:t>
            </w:r>
            <w:r w:rsidRPr="00814C24">
              <w:rPr>
                <w:color w:val="000000" w:themeColor="text1"/>
                <w:spacing w:val="1"/>
                <w:sz w:val="24"/>
                <w:szCs w:val="24"/>
              </w:rPr>
              <w:t xml:space="preserve"> </w:t>
            </w:r>
            <w:r w:rsidRPr="00814C24">
              <w:rPr>
                <w:color w:val="000000" w:themeColor="text1"/>
                <w:sz w:val="24"/>
                <w:szCs w:val="24"/>
              </w:rPr>
              <w:t>în</w:t>
            </w:r>
            <w:r w:rsidRPr="00814C24">
              <w:rPr>
                <w:color w:val="000000" w:themeColor="text1"/>
                <w:spacing w:val="1"/>
                <w:sz w:val="24"/>
                <w:szCs w:val="24"/>
              </w:rPr>
              <w:t xml:space="preserve"> </w:t>
            </w:r>
            <w:r w:rsidRPr="00814C24">
              <w:rPr>
                <w:color w:val="000000" w:themeColor="text1"/>
                <w:sz w:val="24"/>
                <w:szCs w:val="24"/>
              </w:rPr>
              <w:t>matricea</w:t>
            </w:r>
            <w:r w:rsidRPr="00814C24">
              <w:rPr>
                <w:color w:val="000000" w:themeColor="text1"/>
                <w:spacing w:val="1"/>
                <w:sz w:val="24"/>
                <w:szCs w:val="24"/>
              </w:rPr>
              <w:t xml:space="preserve"> </w:t>
            </w:r>
            <w:r w:rsidRPr="00814C24">
              <w:rPr>
                <w:color w:val="000000" w:themeColor="text1"/>
                <w:sz w:val="24"/>
                <w:szCs w:val="24"/>
              </w:rPr>
              <w:t>de</w:t>
            </w:r>
            <w:r w:rsidRPr="00814C24">
              <w:rPr>
                <w:color w:val="000000" w:themeColor="text1"/>
                <w:spacing w:val="1"/>
                <w:sz w:val="24"/>
                <w:szCs w:val="24"/>
              </w:rPr>
              <w:t xml:space="preserve"> </w:t>
            </w:r>
            <w:r w:rsidRPr="00814C24">
              <w:rPr>
                <w:color w:val="000000" w:themeColor="text1"/>
                <w:sz w:val="24"/>
                <w:szCs w:val="24"/>
              </w:rPr>
              <w:t>evaluare,</w:t>
            </w:r>
            <w:r w:rsidRPr="00814C24">
              <w:rPr>
                <w:color w:val="000000" w:themeColor="text1"/>
                <w:spacing w:val="1"/>
                <w:sz w:val="24"/>
                <w:szCs w:val="24"/>
              </w:rPr>
              <w:t xml:space="preserve"> </w:t>
            </w:r>
            <w:r w:rsidRPr="00814C24">
              <w:rPr>
                <w:color w:val="000000" w:themeColor="text1"/>
                <w:sz w:val="24"/>
                <w:szCs w:val="24"/>
              </w:rPr>
              <w:t>tendința</w:t>
            </w:r>
            <w:r w:rsidRPr="00814C24">
              <w:rPr>
                <w:color w:val="000000" w:themeColor="text1"/>
                <w:spacing w:val="1"/>
                <w:sz w:val="24"/>
                <w:szCs w:val="24"/>
              </w:rPr>
              <w:t xml:space="preserve"> </w:t>
            </w:r>
            <w:r w:rsidRPr="00814C24">
              <w:rPr>
                <w:color w:val="000000" w:themeColor="text1"/>
                <w:sz w:val="24"/>
                <w:szCs w:val="24"/>
              </w:rPr>
              <w:t>(tendința în zonă în stare bună (câmpul 6.4)) trebuie să fie stabilă</w:t>
            </w:r>
            <w:r w:rsidRPr="00814C24">
              <w:rPr>
                <w:color w:val="000000" w:themeColor="text1"/>
                <w:spacing w:val="1"/>
                <w:sz w:val="24"/>
                <w:szCs w:val="24"/>
              </w:rPr>
              <w:t xml:space="preserve"> </w:t>
            </w:r>
            <w:r w:rsidRPr="00814C24">
              <w:rPr>
                <w:color w:val="000000" w:themeColor="text1"/>
                <w:sz w:val="24"/>
                <w:szCs w:val="24"/>
              </w:rPr>
              <w:t>sau</w:t>
            </w:r>
            <w:r w:rsidRPr="00814C24">
              <w:rPr>
                <w:color w:val="000000" w:themeColor="text1"/>
                <w:spacing w:val="49"/>
                <w:sz w:val="24"/>
                <w:szCs w:val="24"/>
              </w:rPr>
              <w:t xml:space="preserve"> </w:t>
            </w:r>
            <w:r w:rsidRPr="00814C24">
              <w:rPr>
                <w:color w:val="000000" w:themeColor="text1"/>
                <w:sz w:val="24"/>
                <w:szCs w:val="24"/>
              </w:rPr>
              <w:t>în</w:t>
            </w:r>
            <w:r w:rsidRPr="00814C24">
              <w:rPr>
                <w:color w:val="000000" w:themeColor="text1"/>
                <w:spacing w:val="51"/>
                <w:sz w:val="24"/>
                <w:szCs w:val="24"/>
              </w:rPr>
              <w:t xml:space="preserve"> </w:t>
            </w:r>
            <w:r w:rsidRPr="00814C24">
              <w:rPr>
                <w:color w:val="000000" w:themeColor="text1"/>
                <w:sz w:val="24"/>
                <w:szCs w:val="24"/>
              </w:rPr>
              <w:t>creștere</w:t>
            </w:r>
            <w:r w:rsidRPr="00814C24">
              <w:rPr>
                <w:color w:val="000000" w:themeColor="text1"/>
                <w:spacing w:val="49"/>
                <w:sz w:val="24"/>
                <w:szCs w:val="24"/>
              </w:rPr>
              <w:t xml:space="preserve"> </w:t>
            </w:r>
            <w:r w:rsidRPr="00814C24">
              <w:rPr>
                <w:color w:val="000000" w:themeColor="text1"/>
                <w:sz w:val="24"/>
                <w:szCs w:val="24"/>
              </w:rPr>
              <w:t>pentru</w:t>
            </w:r>
            <w:r w:rsidRPr="00814C24">
              <w:rPr>
                <w:color w:val="000000" w:themeColor="text1"/>
                <w:spacing w:val="50"/>
                <w:sz w:val="24"/>
                <w:szCs w:val="24"/>
              </w:rPr>
              <w:t xml:space="preserve"> </w:t>
            </w:r>
            <w:r w:rsidRPr="00814C24">
              <w:rPr>
                <w:color w:val="000000" w:themeColor="text1"/>
                <w:sz w:val="24"/>
                <w:szCs w:val="24"/>
              </w:rPr>
              <w:t>ca</w:t>
            </w:r>
            <w:r w:rsidRPr="00814C24">
              <w:rPr>
                <w:color w:val="000000" w:themeColor="text1"/>
                <w:spacing w:val="49"/>
                <w:sz w:val="24"/>
                <w:szCs w:val="24"/>
              </w:rPr>
              <w:t xml:space="preserve"> </w:t>
            </w:r>
            <w:r w:rsidRPr="00814C24">
              <w:rPr>
                <w:color w:val="000000" w:themeColor="text1"/>
                <w:sz w:val="24"/>
                <w:szCs w:val="24"/>
              </w:rPr>
              <w:t>structura</w:t>
            </w:r>
            <w:r w:rsidRPr="00814C24">
              <w:rPr>
                <w:color w:val="000000" w:themeColor="text1"/>
                <w:spacing w:val="49"/>
                <w:sz w:val="24"/>
                <w:szCs w:val="24"/>
              </w:rPr>
              <w:t xml:space="preserve"> </w:t>
            </w:r>
            <w:r w:rsidRPr="00814C24">
              <w:rPr>
                <w:color w:val="000000" w:themeColor="text1"/>
                <w:sz w:val="24"/>
                <w:szCs w:val="24"/>
              </w:rPr>
              <w:t>și</w:t>
            </w:r>
            <w:r w:rsidRPr="00814C24">
              <w:rPr>
                <w:color w:val="000000" w:themeColor="text1"/>
                <w:spacing w:val="50"/>
                <w:sz w:val="24"/>
                <w:szCs w:val="24"/>
              </w:rPr>
              <w:t xml:space="preserve"> </w:t>
            </w:r>
            <w:r w:rsidRPr="00814C24">
              <w:rPr>
                <w:color w:val="000000" w:themeColor="text1"/>
                <w:sz w:val="24"/>
                <w:szCs w:val="24"/>
              </w:rPr>
              <w:t>funcțiile</w:t>
            </w:r>
            <w:r w:rsidRPr="00814C24">
              <w:rPr>
                <w:color w:val="000000" w:themeColor="text1"/>
                <w:spacing w:val="49"/>
                <w:sz w:val="24"/>
                <w:szCs w:val="24"/>
              </w:rPr>
              <w:t xml:space="preserve"> </w:t>
            </w:r>
            <w:r w:rsidRPr="00814C24">
              <w:rPr>
                <w:color w:val="000000" w:themeColor="text1"/>
                <w:sz w:val="24"/>
                <w:szCs w:val="24"/>
              </w:rPr>
              <w:t>să</w:t>
            </w:r>
            <w:r w:rsidRPr="00814C24">
              <w:rPr>
                <w:color w:val="000000" w:themeColor="text1"/>
                <w:spacing w:val="49"/>
                <w:sz w:val="24"/>
                <w:szCs w:val="24"/>
              </w:rPr>
              <w:t xml:space="preserve"> </w:t>
            </w:r>
            <w:r w:rsidRPr="00814C24">
              <w:rPr>
                <w:color w:val="000000" w:themeColor="text1"/>
                <w:sz w:val="24"/>
                <w:szCs w:val="24"/>
              </w:rPr>
              <w:t>fie</w:t>
            </w:r>
            <w:r w:rsidRPr="00814C24">
              <w:rPr>
                <w:color w:val="000000" w:themeColor="text1"/>
                <w:spacing w:val="49"/>
                <w:sz w:val="24"/>
                <w:szCs w:val="24"/>
              </w:rPr>
              <w:t xml:space="preserve"> </w:t>
            </w:r>
            <w:r w:rsidRPr="00814C24">
              <w:rPr>
                <w:color w:val="000000" w:themeColor="text1"/>
                <w:sz w:val="24"/>
                <w:szCs w:val="24"/>
              </w:rPr>
              <w:t>considerate</w:t>
            </w:r>
            <w:r w:rsidR="00FC74DD">
              <w:rPr>
                <w:color w:val="000000" w:themeColor="text1"/>
                <w:sz w:val="24"/>
                <w:szCs w:val="24"/>
              </w:rPr>
              <w:t xml:space="preserve"> </w:t>
            </w:r>
            <w:r w:rsidR="00FC74DD" w:rsidRPr="00FC74DD">
              <w:rPr>
                <w:color w:val="000000" w:themeColor="text1"/>
                <w:sz w:val="24"/>
                <w:szCs w:val="24"/>
              </w:rPr>
              <w:t>„favorabile”.</w:t>
            </w:r>
          </w:p>
          <w:p w14:paraId="2BA219AE" w14:textId="77777777" w:rsidR="00FC74DD" w:rsidRPr="00FC74DD" w:rsidRDefault="00FC74DD" w:rsidP="009E63E5">
            <w:pPr>
              <w:pStyle w:val="TableParagraph"/>
              <w:numPr>
                <w:ilvl w:val="0"/>
                <w:numId w:val="141"/>
              </w:numPr>
              <w:spacing w:line="270" w:lineRule="atLeast"/>
              <w:ind w:right="100"/>
              <w:rPr>
                <w:color w:val="000000" w:themeColor="text1"/>
              </w:rPr>
            </w:pPr>
            <w:r w:rsidRPr="00FC74DD">
              <w:rPr>
                <w:color w:val="000000" w:themeColor="text1"/>
              </w:rPr>
              <w:t>Deși nu este necesară o evaluare completă a stării de conservare a fiecărei specii tipice, specia generală ar trebui să fie „favorabilă” (nu amenințată), cel puțin în acest habitat, deoarece speciile pot fi tipice mai multor habitat.</w:t>
            </w:r>
          </w:p>
          <w:p w14:paraId="04BFFB03" w14:textId="77777777" w:rsidR="00FC74DD" w:rsidRPr="00FC74DD" w:rsidRDefault="00FC74DD" w:rsidP="009E63E5">
            <w:pPr>
              <w:pStyle w:val="TableParagraph"/>
              <w:numPr>
                <w:ilvl w:val="0"/>
                <w:numId w:val="141"/>
              </w:numPr>
              <w:spacing w:line="270" w:lineRule="atLeast"/>
              <w:ind w:right="100"/>
              <w:rPr>
                <w:color w:val="000000" w:themeColor="text1"/>
              </w:rPr>
            </w:pPr>
            <w:r w:rsidRPr="00FC74DD">
              <w:rPr>
                <w:color w:val="000000" w:themeColor="text1"/>
              </w:rPr>
              <w:t>Pentru ca un habitat să fie considerat „favorabil”, fragmentarea sau alte condiții nu au un impact semnificativ asupra proceselor ecologice.</w:t>
            </w:r>
          </w:p>
          <w:p w14:paraId="540D4A8D" w14:textId="77777777" w:rsidR="006735BF" w:rsidRPr="00FC74DD" w:rsidRDefault="00FC74DD" w:rsidP="009E63E5">
            <w:pPr>
              <w:pStyle w:val="TableParagraph"/>
              <w:numPr>
                <w:ilvl w:val="0"/>
                <w:numId w:val="141"/>
              </w:numPr>
              <w:spacing w:line="270" w:lineRule="atLeast"/>
              <w:ind w:right="100"/>
              <w:rPr>
                <w:color w:val="000000" w:themeColor="text1"/>
              </w:rPr>
            </w:pPr>
            <w:r w:rsidRPr="00FC74DD">
              <w:rPr>
                <w:color w:val="000000" w:themeColor="text1"/>
              </w:rPr>
              <w:t>Este posibil ca restaurarea să crească suprafața habitatului, dar a scăzut proporția de habitat în condiții „nu bune”, întrucât zona restaurată nu este încă în stare „bună”. În astfel de cazuri, dacă zona în stare „bună” este mai mică de 90% din suprafața habitatului, habitatul nu ar trebui să fie „favorabil” pentru parametrul Structura și funcțiile (a se vedea mai sus, punctul 1). Astfel de cazuri apar cel mai probabil în cazul în care zona habitatului este mai mică decât valoarea de referință și starea  generală de  conservare ar  fi fost</w:t>
            </w:r>
            <w:r>
              <w:rPr>
                <w:color w:val="000000" w:themeColor="text1"/>
              </w:rPr>
              <w:t xml:space="preserve"> </w:t>
            </w:r>
            <w:r w:rsidRPr="00FC74DD">
              <w:rPr>
                <w:color w:val="000000" w:themeColor="text1"/>
                <w:sz w:val="24"/>
                <w:szCs w:val="24"/>
              </w:rPr>
              <w:t>„defavorabilă” indiferent de structură și funcții.</w:t>
            </w:r>
          </w:p>
        </w:tc>
      </w:tr>
      <w:tr w:rsidR="006735BF" w:rsidRPr="00814C24" w14:paraId="43462BA3" w14:textId="77777777" w:rsidTr="00FC74DD">
        <w:trPr>
          <w:trHeight w:val="4713"/>
        </w:trPr>
        <w:tc>
          <w:tcPr>
            <w:tcW w:w="1810" w:type="dxa"/>
          </w:tcPr>
          <w:p w14:paraId="0638FACC" w14:textId="77777777" w:rsidR="006735BF" w:rsidRPr="00814C24" w:rsidRDefault="006735BF" w:rsidP="008E33FD">
            <w:pPr>
              <w:pStyle w:val="TableParagraph"/>
              <w:jc w:val="both"/>
              <w:rPr>
                <w:color w:val="000000" w:themeColor="text1"/>
                <w:sz w:val="24"/>
                <w:szCs w:val="24"/>
              </w:rPr>
            </w:pPr>
          </w:p>
          <w:p w14:paraId="52FA21A0" w14:textId="77777777" w:rsidR="006735BF" w:rsidRPr="00814C24" w:rsidRDefault="006735BF" w:rsidP="008E33FD">
            <w:pPr>
              <w:pStyle w:val="TableParagraph"/>
              <w:jc w:val="both"/>
              <w:rPr>
                <w:color w:val="000000" w:themeColor="text1"/>
                <w:sz w:val="24"/>
                <w:szCs w:val="24"/>
              </w:rPr>
            </w:pPr>
          </w:p>
          <w:p w14:paraId="60E8D5D5" w14:textId="77777777" w:rsidR="006735BF" w:rsidRPr="00814C24" w:rsidRDefault="006735BF" w:rsidP="008E33FD">
            <w:pPr>
              <w:pStyle w:val="TableParagraph"/>
              <w:jc w:val="both"/>
              <w:rPr>
                <w:color w:val="000000" w:themeColor="text1"/>
                <w:sz w:val="24"/>
                <w:szCs w:val="24"/>
              </w:rPr>
            </w:pPr>
          </w:p>
          <w:p w14:paraId="5F603CFF" w14:textId="77777777" w:rsidR="006735BF" w:rsidRPr="00814C24" w:rsidRDefault="006735BF" w:rsidP="008E33FD">
            <w:pPr>
              <w:pStyle w:val="TableParagraph"/>
              <w:jc w:val="both"/>
              <w:rPr>
                <w:color w:val="000000" w:themeColor="text1"/>
                <w:sz w:val="24"/>
                <w:szCs w:val="24"/>
              </w:rPr>
            </w:pPr>
          </w:p>
          <w:p w14:paraId="0A10DCB4" w14:textId="77777777" w:rsidR="006735BF" w:rsidRPr="00814C24" w:rsidRDefault="006735BF" w:rsidP="008E33FD">
            <w:pPr>
              <w:pStyle w:val="TableParagraph"/>
              <w:jc w:val="both"/>
              <w:rPr>
                <w:color w:val="000000" w:themeColor="text1"/>
                <w:sz w:val="24"/>
                <w:szCs w:val="24"/>
              </w:rPr>
            </w:pPr>
          </w:p>
          <w:p w14:paraId="43EFA59B" w14:textId="77777777" w:rsidR="006735BF" w:rsidRPr="00814C24" w:rsidRDefault="006735BF" w:rsidP="008E33FD">
            <w:pPr>
              <w:pStyle w:val="TableParagraph"/>
              <w:jc w:val="both"/>
              <w:rPr>
                <w:color w:val="000000" w:themeColor="text1"/>
                <w:sz w:val="24"/>
                <w:szCs w:val="24"/>
              </w:rPr>
            </w:pPr>
          </w:p>
          <w:p w14:paraId="5BB0F855" w14:textId="77777777" w:rsidR="006735BF" w:rsidRPr="00814C24" w:rsidRDefault="006735BF" w:rsidP="008E33FD">
            <w:pPr>
              <w:pStyle w:val="TableParagraph"/>
              <w:spacing w:before="6"/>
              <w:jc w:val="both"/>
              <w:rPr>
                <w:color w:val="000000" w:themeColor="text1"/>
                <w:sz w:val="24"/>
                <w:szCs w:val="24"/>
              </w:rPr>
            </w:pPr>
          </w:p>
          <w:p w14:paraId="2F33CA98" w14:textId="77777777" w:rsidR="006735BF" w:rsidRPr="00814C24" w:rsidRDefault="006735BF" w:rsidP="008E33FD">
            <w:pPr>
              <w:pStyle w:val="TableParagraph"/>
              <w:ind w:left="108" w:right="253"/>
              <w:jc w:val="both"/>
              <w:rPr>
                <w:color w:val="000000" w:themeColor="text1"/>
                <w:sz w:val="24"/>
                <w:szCs w:val="24"/>
              </w:rPr>
            </w:pPr>
            <w:r w:rsidRPr="00814C24">
              <w:rPr>
                <w:color w:val="000000" w:themeColor="text1"/>
                <w:sz w:val="24"/>
                <w:szCs w:val="24"/>
              </w:rPr>
              <w:t>Nefavorabil-</w:t>
            </w:r>
            <w:r w:rsidRPr="00814C24">
              <w:rPr>
                <w:color w:val="000000" w:themeColor="text1"/>
                <w:spacing w:val="1"/>
                <w:sz w:val="24"/>
                <w:szCs w:val="24"/>
              </w:rPr>
              <w:t xml:space="preserve"> </w:t>
            </w:r>
            <w:r w:rsidRPr="00814C24">
              <w:rPr>
                <w:color w:val="000000" w:themeColor="text1"/>
                <w:sz w:val="24"/>
                <w:szCs w:val="24"/>
              </w:rPr>
              <w:t>inadecvat</w:t>
            </w:r>
            <w:r w:rsidRPr="00814C24">
              <w:rPr>
                <w:color w:val="000000" w:themeColor="text1"/>
                <w:spacing w:val="-14"/>
                <w:sz w:val="24"/>
                <w:szCs w:val="24"/>
              </w:rPr>
              <w:t xml:space="preserve"> </w:t>
            </w:r>
            <w:r w:rsidRPr="00814C24">
              <w:rPr>
                <w:color w:val="000000" w:themeColor="text1"/>
                <w:sz w:val="24"/>
                <w:szCs w:val="24"/>
              </w:rPr>
              <w:t>(U1)</w:t>
            </w:r>
          </w:p>
        </w:tc>
        <w:tc>
          <w:tcPr>
            <w:tcW w:w="7985" w:type="dxa"/>
          </w:tcPr>
          <w:p w14:paraId="70EFEA67" w14:textId="77777777" w:rsidR="006735BF" w:rsidRPr="00814C24" w:rsidRDefault="006735BF" w:rsidP="008E33FD">
            <w:pPr>
              <w:pStyle w:val="TableParagraph"/>
              <w:spacing w:line="260" w:lineRule="exact"/>
              <w:ind w:left="107"/>
              <w:jc w:val="both"/>
              <w:rPr>
                <w:color w:val="000000" w:themeColor="text1"/>
                <w:sz w:val="24"/>
                <w:szCs w:val="24"/>
              </w:rPr>
            </w:pPr>
            <w:r w:rsidRPr="00814C24">
              <w:rPr>
                <w:color w:val="000000" w:themeColor="text1"/>
                <w:sz w:val="24"/>
                <w:szCs w:val="24"/>
              </w:rPr>
              <w:t>Conform</w:t>
            </w:r>
            <w:r w:rsidRPr="00814C24">
              <w:rPr>
                <w:color w:val="000000" w:themeColor="text1"/>
                <w:spacing w:val="71"/>
                <w:sz w:val="24"/>
                <w:szCs w:val="24"/>
              </w:rPr>
              <w:t xml:space="preserve"> </w:t>
            </w:r>
            <w:r w:rsidRPr="00814C24">
              <w:rPr>
                <w:color w:val="000000" w:themeColor="text1"/>
                <w:sz w:val="24"/>
                <w:szCs w:val="24"/>
              </w:rPr>
              <w:t xml:space="preserve">matricei  </w:t>
            </w:r>
            <w:r w:rsidRPr="00814C24">
              <w:rPr>
                <w:color w:val="000000" w:themeColor="text1"/>
                <w:spacing w:val="10"/>
                <w:sz w:val="24"/>
                <w:szCs w:val="24"/>
              </w:rPr>
              <w:t xml:space="preserve"> </w:t>
            </w:r>
            <w:r w:rsidRPr="00814C24">
              <w:rPr>
                <w:color w:val="000000" w:themeColor="text1"/>
                <w:sz w:val="24"/>
                <w:szCs w:val="24"/>
              </w:rPr>
              <w:t xml:space="preserve">de  </w:t>
            </w:r>
            <w:r w:rsidRPr="00814C24">
              <w:rPr>
                <w:color w:val="000000" w:themeColor="text1"/>
                <w:spacing w:val="11"/>
                <w:sz w:val="24"/>
                <w:szCs w:val="24"/>
              </w:rPr>
              <w:t xml:space="preserve"> </w:t>
            </w:r>
            <w:r w:rsidRPr="00814C24">
              <w:rPr>
                <w:color w:val="000000" w:themeColor="text1"/>
                <w:sz w:val="24"/>
                <w:szCs w:val="24"/>
              </w:rPr>
              <w:t xml:space="preserve">evaluare  </w:t>
            </w:r>
            <w:r w:rsidRPr="00814C24">
              <w:rPr>
                <w:color w:val="000000" w:themeColor="text1"/>
                <w:spacing w:val="8"/>
                <w:sz w:val="24"/>
                <w:szCs w:val="24"/>
              </w:rPr>
              <w:t xml:space="preserve"> </w:t>
            </w:r>
            <w:r w:rsidRPr="00814C24">
              <w:rPr>
                <w:color w:val="000000" w:themeColor="text1"/>
                <w:sz w:val="24"/>
                <w:szCs w:val="24"/>
              </w:rPr>
              <w:t xml:space="preserve">(anexa  </w:t>
            </w:r>
            <w:r w:rsidRPr="00814C24">
              <w:rPr>
                <w:color w:val="000000" w:themeColor="text1"/>
                <w:spacing w:val="8"/>
                <w:sz w:val="24"/>
                <w:szCs w:val="24"/>
              </w:rPr>
              <w:t xml:space="preserve"> </w:t>
            </w:r>
            <w:r w:rsidRPr="00814C24">
              <w:rPr>
                <w:color w:val="000000" w:themeColor="text1"/>
                <w:sz w:val="24"/>
                <w:szCs w:val="24"/>
              </w:rPr>
              <w:t xml:space="preserve">E),  </w:t>
            </w:r>
            <w:r w:rsidRPr="00814C24">
              <w:rPr>
                <w:color w:val="000000" w:themeColor="text1"/>
                <w:spacing w:val="9"/>
                <w:sz w:val="24"/>
                <w:szCs w:val="24"/>
              </w:rPr>
              <w:t xml:space="preserve"> </w:t>
            </w:r>
            <w:r w:rsidRPr="00814C24">
              <w:rPr>
                <w:color w:val="000000" w:themeColor="text1"/>
                <w:sz w:val="24"/>
                <w:szCs w:val="24"/>
              </w:rPr>
              <w:t xml:space="preserve">starea  </w:t>
            </w:r>
            <w:r w:rsidRPr="00814C24">
              <w:rPr>
                <w:color w:val="000000" w:themeColor="text1"/>
                <w:spacing w:val="8"/>
                <w:sz w:val="24"/>
                <w:szCs w:val="24"/>
              </w:rPr>
              <w:t xml:space="preserve"> </w:t>
            </w:r>
            <w:r w:rsidRPr="00814C24">
              <w:rPr>
                <w:color w:val="000000" w:themeColor="text1"/>
                <w:sz w:val="24"/>
                <w:szCs w:val="24"/>
              </w:rPr>
              <w:t xml:space="preserve">și  </w:t>
            </w:r>
            <w:r w:rsidRPr="00814C24">
              <w:rPr>
                <w:color w:val="000000" w:themeColor="text1"/>
                <w:spacing w:val="10"/>
                <w:sz w:val="24"/>
                <w:szCs w:val="24"/>
              </w:rPr>
              <w:t xml:space="preserve"> </w:t>
            </w:r>
            <w:r w:rsidRPr="00814C24">
              <w:rPr>
                <w:color w:val="000000" w:themeColor="text1"/>
                <w:sz w:val="24"/>
                <w:szCs w:val="24"/>
              </w:rPr>
              <w:t xml:space="preserve">funcțiile  </w:t>
            </w:r>
            <w:r w:rsidRPr="00814C24">
              <w:rPr>
                <w:color w:val="000000" w:themeColor="text1"/>
                <w:spacing w:val="8"/>
                <w:sz w:val="24"/>
                <w:szCs w:val="24"/>
              </w:rPr>
              <w:t xml:space="preserve"> </w:t>
            </w:r>
            <w:r w:rsidRPr="00814C24">
              <w:rPr>
                <w:color w:val="000000" w:themeColor="text1"/>
                <w:sz w:val="24"/>
                <w:szCs w:val="24"/>
              </w:rPr>
              <w:t>sunt</w:t>
            </w:r>
          </w:p>
          <w:p w14:paraId="3F0072AB" w14:textId="77777777" w:rsidR="006735BF" w:rsidRPr="00814C24" w:rsidRDefault="006735BF" w:rsidP="008E33FD">
            <w:pPr>
              <w:pStyle w:val="TableParagraph"/>
              <w:ind w:left="107"/>
              <w:jc w:val="both"/>
              <w:rPr>
                <w:color w:val="000000" w:themeColor="text1"/>
                <w:sz w:val="24"/>
                <w:szCs w:val="24"/>
              </w:rPr>
            </w:pPr>
            <w:r w:rsidRPr="00814C24">
              <w:rPr>
                <w:color w:val="000000" w:themeColor="text1"/>
                <w:sz w:val="24"/>
                <w:szCs w:val="24"/>
              </w:rPr>
              <w:t>„nefavorabile-inadecvate”</w:t>
            </w:r>
            <w:r w:rsidRPr="00814C24">
              <w:rPr>
                <w:color w:val="000000" w:themeColor="text1"/>
                <w:spacing w:val="-4"/>
                <w:sz w:val="24"/>
                <w:szCs w:val="24"/>
              </w:rPr>
              <w:t xml:space="preserve"> </w:t>
            </w:r>
            <w:r w:rsidRPr="00814C24">
              <w:rPr>
                <w:color w:val="000000" w:themeColor="text1"/>
                <w:sz w:val="24"/>
                <w:szCs w:val="24"/>
              </w:rPr>
              <w:t>dacă:</w:t>
            </w:r>
          </w:p>
          <w:p w14:paraId="0F3BF0B4" w14:textId="77777777" w:rsidR="006735BF" w:rsidRPr="00814C24" w:rsidRDefault="006735BF" w:rsidP="009E63E5">
            <w:pPr>
              <w:pStyle w:val="TableParagraph"/>
              <w:numPr>
                <w:ilvl w:val="0"/>
                <w:numId w:val="140"/>
              </w:numPr>
              <w:tabs>
                <w:tab w:val="left" w:pos="828"/>
                <w:tab w:val="left" w:pos="829"/>
              </w:tabs>
              <w:spacing w:line="286" w:lineRule="exact"/>
              <w:ind w:hanging="362"/>
              <w:jc w:val="both"/>
              <w:rPr>
                <w:color w:val="000000" w:themeColor="text1"/>
                <w:sz w:val="24"/>
                <w:szCs w:val="24"/>
              </w:rPr>
            </w:pPr>
            <w:r w:rsidRPr="00814C24">
              <w:rPr>
                <w:color w:val="000000" w:themeColor="text1"/>
                <w:sz w:val="24"/>
                <w:szCs w:val="24"/>
              </w:rPr>
              <w:t>orice</w:t>
            </w:r>
            <w:r w:rsidRPr="00814C24">
              <w:rPr>
                <w:color w:val="000000" w:themeColor="text1"/>
                <w:spacing w:val="53"/>
                <w:sz w:val="24"/>
                <w:szCs w:val="24"/>
              </w:rPr>
              <w:t xml:space="preserve"> </w:t>
            </w:r>
            <w:r w:rsidRPr="00814C24">
              <w:rPr>
                <w:color w:val="000000" w:themeColor="text1"/>
                <w:sz w:val="24"/>
                <w:szCs w:val="24"/>
              </w:rPr>
              <w:t>altă</w:t>
            </w:r>
            <w:r w:rsidRPr="00814C24">
              <w:rPr>
                <w:color w:val="000000" w:themeColor="text1"/>
                <w:spacing w:val="55"/>
                <w:sz w:val="24"/>
                <w:szCs w:val="24"/>
              </w:rPr>
              <w:t xml:space="preserve"> </w:t>
            </w:r>
            <w:r w:rsidRPr="00814C24">
              <w:rPr>
                <w:color w:val="000000" w:themeColor="text1"/>
                <w:sz w:val="24"/>
                <w:szCs w:val="24"/>
              </w:rPr>
              <w:t>combinație</w:t>
            </w:r>
            <w:r w:rsidRPr="00814C24">
              <w:rPr>
                <w:color w:val="000000" w:themeColor="text1"/>
                <w:spacing w:val="54"/>
                <w:sz w:val="24"/>
                <w:szCs w:val="24"/>
              </w:rPr>
              <w:t xml:space="preserve"> </w:t>
            </w:r>
            <w:r w:rsidRPr="00814C24">
              <w:rPr>
                <w:color w:val="000000" w:themeColor="text1"/>
                <w:sz w:val="24"/>
                <w:szCs w:val="24"/>
              </w:rPr>
              <w:t>(o</w:t>
            </w:r>
            <w:r w:rsidRPr="00814C24">
              <w:rPr>
                <w:color w:val="000000" w:themeColor="text1"/>
                <w:spacing w:val="57"/>
                <w:sz w:val="24"/>
                <w:szCs w:val="24"/>
              </w:rPr>
              <w:t xml:space="preserve"> </w:t>
            </w:r>
            <w:r w:rsidRPr="00814C24">
              <w:rPr>
                <w:color w:val="000000" w:themeColor="text1"/>
                <w:sz w:val="24"/>
                <w:szCs w:val="24"/>
              </w:rPr>
              <w:t>altă</w:t>
            </w:r>
            <w:r w:rsidRPr="00814C24">
              <w:rPr>
                <w:color w:val="000000" w:themeColor="text1"/>
                <w:spacing w:val="54"/>
                <w:sz w:val="24"/>
                <w:szCs w:val="24"/>
              </w:rPr>
              <w:t xml:space="preserve"> </w:t>
            </w:r>
            <w:r w:rsidRPr="00814C24">
              <w:rPr>
                <w:color w:val="000000" w:themeColor="text1"/>
                <w:sz w:val="24"/>
                <w:szCs w:val="24"/>
              </w:rPr>
              <w:t>combinație</w:t>
            </w:r>
            <w:r w:rsidRPr="00814C24">
              <w:rPr>
                <w:color w:val="000000" w:themeColor="text1"/>
                <w:spacing w:val="55"/>
                <w:sz w:val="24"/>
                <w:szCs w:val="24"/>
              </w:rPr>
              <w:t xml:space="preserve"> </w:t>
            </w:r>
            <w:r w:rsidRPr="00814C24">
              <w:rPr>
                <w:color w:val="000000" w:themeColor="text1"/>
                <w:sz w:val="24"/>
                <w:szCs w:val="24"/>
              </w:rPr>
              <w:t>de</w:t>
            </w:r>
            <w:r w:rsidRPr="00814C24">
              <w:rPr>
                <w:color w:val="000000" w:themeColor="text1"/>
                <w:spacing w:val="54"/>
                <w:sz w:val="24"/>
                <w:szCs w:val="24"/>
              </w:rPr>
              <w:t xml:space="preserve"> </w:t>
            </w:r>
            <w:r w:rsidRPr="00814C24">
              <w:rPr>
                <w:color w:val="000000" w:themeColor="text1"/>
                <w:sz w:val="24"/>
                <w:szCs w:val="24"/>
              </w:rPr>
              <w:t>criterii</w:t>
            </w:r>
            <w:r w:rsidRPr="00814C24">
              <w:rPr>
                <w:color w:val="000000" w:themeColor="text1"/>
                <w:spacing w:val="57"/>
                <w:sz w:val="24"/>
                <w:szCs w:val="24"/>
              </w:rPr>
              <w:t xml:space="preserve"> </w:t>
            </w:r>
            <w:r w:rsidRPr="00814C24">
              <w:rPr>
                <w:color w:val="000000" w:themeColor="text1"/>
                <w:sz w:val="24"/>
                <w:szCs w:val="24"/>
              </w:rPr>
              <w:t>decât</w:t>
            </w:r>
            <w:r w:rsidRPr="00814C24">
              <w:rPr>
                <w:color w:val="000000" w:themeColor="text1"/>
                <w:spacing w:val="56"/>
                <w:sz w:val="24"/>
                <w:szCs w:val="24"/>
              </w:rPr>
              <w:t xml:space="preserve"> </w:t>
            </w:r>
            <w:r w:rsidRPr="00814C24">
              <w:rPr>
                <w:color w:val="000000" w:themeColor="text1"/>
                <w:sz w:val="24"/>
                <w:szCs w:val="24"/>
              </w:rPr>
              <w:t>pentru</w:t>
            </w:r>
          </w:p>
          <w:p w14:paraId="098DD00F" w14:textId="77777777" w:rsidR="006735BF" w:rsidRPr="00814C24" w:rsidRDefault="006735BF" w:rsidP="008E33FD">
            <w:pPr>
              <w:pStyle w:val="TableParagraph"/>
              <w:spacing w:line="269" w:lineRule="exact"/>
              <w:ind w:left="828"/>
              <w:jc w:val="both"/>
              <w:rPr>
                <w:color w:val="000000" w:themeColor="text1"/>
                <w:sz w:val="24"/>
                <w:szCs w:val="24"/>
              </w:rPr>
            </w:pPr>
            <w:r w:rsidRPr="00814C24">
              <w:rPr>
                <w:color w:val="000000" w:themeColor="text1"/>
                <w:sz w:val="24"/>
                <w:szCs w:val="24"/>
              </w:rPr>
              <w:t>„favorabil”</w:t>
            </w:r>
            <w:r w:rsidRPr="00814C24">
              <w:rPr>
                <w:color w:val="000000" w:themeColor="text1"/>
                <w:spacing w:val="-3"/>
                <w:sz w:val="24"/>
                <w:szCs w:val="24"/>
              </w:rPr>
              <w:t xml:space="preserve"> </w:t>
            </w:r>
            <w:r w:rsidRPr="00814C24">
              <w:rPr>
                <w:color w:val="000000" w:themeColor="text1"/>
                <w:sz w:val="24"/>
                <w:szCs w:val="24"/>
              </w:rPr>
              <w:t>sau</w:t>
            </w:r>
            <w:r w:rsidRPr="00814C24">
              <w:rPr>
                <w:color w:val="000000" w:themeColor="text1"/>
                <w:spacing w:val="-2"/>
                <w:sz w:val="24"/>
                <w:szCs w:val="24"/>
              </w:rPr>
              <w:t xml:space="preserve"> </w:t>
            </w:r>
            <w:r w:rsidRPr="00814C24">
              <w:rPr>
                <w:color w:val="000000" w:themeColor="text1"/>
                <w:sz w:val="24"/>
                <w:szCs w:val="24"/>
              </w:rPr>
              <w:t>„nefavorabil-rău”).</w:t>
            </w:r>
          </w:p>
          <w:p w14:paraId="20737870" w14:textId="77777777" w:rsidR="006735BF" w:rsidRPr="00814C24" w:rsidRDefault="006735BF" w:rsidP="008E33FD">
            <w:pPr>
              <w:pStyle w:val="TableParagraph"/>
              <w:ind w:left="107"/>
              <w:jc w:val="both"/>
              <w:rPr>
                <w:color w:val="000000" w:themeColor="text1"/>
                <w:sz w:val="24"/>
                <w:szCs w:val="24"/>
              </w:rPr>
            </w:pPr>
            <w:r w:rsidRPr="00814C24">
              <w:rPr>
                <w:color w:val="000000" w:themeColor="text1"/>
                <w:sz w:val="24"/>
                <w:szCs w:val="24"/>
              </w:rPr>
              <w:t>Informații</w:t>
            </w:r>
            <w:r w:rsidR="00FC74DD">
              <w:rPr>
                <w:color w:val="000000" w:themeColor="text1"/>
                <w:sz w:val="24"/>
                <w:szCs w:val="24"/>
              </w:rPr>
              <w:t xml:space="preserve"> </w:t>
            </w:r>
            <w:r w:rsidRPr="00814C24">
              <w:rPr>
                <w:color w:val="000000" w:themeColor="text1"/>
                <w:sz w:val="24"/>
                <w:szCs w:val="24"/>
              </w:rPr>
              <w:t>suplimentare:</w:t>
            </w:r>
          </w:p>
          <w:p w14:paraId="08E021E1" w14:textId="77777777" w:rsidR="006735BF" w:rsidRPr="00814C24" w:rsidRDefault="006735BF" w:rsidP="009E63E5">
            <w:pPr>
              <w:pStyle w:val="TableParagraph"/>
              <w:numPr>
                <w:ilvl w:val="0"/>
                <w:numId w:val="140"/>
              </w:numPr>
              <w:tabs>
                <w:tab w:val="left" w:pos="829"/>
              </w:tabs>
              <w:spacing w:line="287" w:lineRule="exact"/>
              <w:ind w:hanging="362"/>
              <w:jc w:val="both"/>
              <w:rPr>
                <w:color w:val="000000" w:themeColor="text1"/>
                <w:sz w:val="24"/>
                <w:szCs w:val="24"/>
              </w:rPr>
            </w:pPr>
            <w:r w:rsidRPr="00814C24">
              <w:rPr>
                <w:color w:val="000000" w:themeColor="text1"/>
                <w:sz w:val="24"/>
                <w:szCs w:val="24"/>
              </w:rPr>
              <w:t>Matricea</w:t>
            </w:r>
            <w:r w:rsidRPr="00814C24">
              <w:rPr>
                <w:color w:val="000000" w:themeColor="text1"/>
                <w:spacing w:val="53"/>
                <w:sz w:val="24"/>
                <w:szCs w:val="24"/>
              </w:rPr>
              <w:t xml:space="preserve"> </w:t>
            </w:r>
            <w:r w:rsidRPr="00814C24">
              <w:rPr>
                <w:color w:val="000000" w:themeColor="text1"/>
                <w:sz w:val="24"/>
                <w:szCs w:val="24"/>
              </w:rPr>
              <w:t>de</w:t>
            </w:r>
            <w:r w:rsidRPr="00814C24">
              <w:rPr>
                <w:color w:val="000000" w:themeColor="text1"/>
                <w:spacing w:val="54"/>
                <w:sz w:val="24"/>
                <w:szCs w:val="24"/>
              </w:rPr>
              <w:t xml:space="preserve"> </w:t>
            </w:r>
            <w:r w:rsidRPr="00814C24">
              <w:rPr>
                <w:color w:val="000000" w:themeColor="text1"/>
                <w:sz w:val="24"/>
                <w:szCs w:val="24"/>
              </w:rPr>
              <w:t>evaluare</w:t>
            </w:r>
            <w:r w:rsidRPr="00814C24">
              <w:rPr>
                <w:color w:val="000000" w:themeColor="text1"/>
                <w:spacing w:val="52"/>
                <w:sz w:val="24"/>
                <w:szCs w:val="24"/>
              </w:rPr>
              <w:t xml:space="preserve"> </w:t>
            </w:r>
            <w:r w:rsidRPr="00814C24">
              <w:rPr>
                <w:color w:val="000000" w:themeColor="text1"/>
                <w:sz w:val="24"/>
                <w:szCs w:val="24"/>
              </w:rPr>
              <w:t>nu</w:t>
            </w:r>
            <w:r w:rsidRPr="00814C24">
              <w:rPr>
                <w:color w:val="000000" w:themeColor="text1"/>
                <w:spacing w:val="54"/>
                <w:sz w:val="24"/>
                <w:szCs w:val="24"/>
              </w:rPr>
              <w:t xml:space="preserve"> </w:t>
            </w:r>
            <w:r w:rsidRPr="00814C24">
              <w:rPr>
                <w:color w:val="000000" w:themeColor="text1"/>
                <w:sz w:val="24"/>
                <w:szCs w:val="24"/>
              </w:rPr>
              <w:t>include</w:t>
            </w:r>
            <w:r w:rsidRPr="00814C24">
              <w:rPr>
                <w:color w:val="000000" w:themeColor="text1"/>
                <w:spacing w:val="53"/>
                <w:sz w:val="24"/>
                <w:szCs w:val="24"/>
              </w:rPr>
              <w:t xml:space="preserve"> </w:t>
            </w:r>
            <w:r w:rsidRPr="00814C24">
              <w:rPr>
                <w:color w:val="000000" w:themeColor="text1"/>
                <w:sz w:val="24"/>
                <w:szCs w:val="24"/>
              </w:rPr>
              <w:t>criterii</w:t>
            </w:r>
            <w:r w:rsidRPr="00814C24">
              <w:rPr>
                <w:color w:val="000000" w:themeColor="text1"/>
                <w:spacing w:val="55"/>
                <w:sz w:val="24"/>
                <w:szCs w:val="24"/>
              </w:rPr>
              <w:t xml:space="preserve"> </w:t>
            </w:r>
            <w:r w:rsidRPr="00814C24">
              <w:rPr>
                <w:color w:val="000000" w:themeColor="text1"/>
                <w:sz w:val="24"/>
                <w:szCs w:val="24"/>
              </w:rPr>
              <w:t>explicite</w:t>
            </w:r>
            <w:r w:rsidRPr="00814C24">
              <w:rPr>
                <w:color w:val="000000" w:themeColor="text1"/>
                <w:spacing w:val="53"/>
                <w:sz w:val="24"/>
                <w:szCs w:val="24"/>
              </w:rPr>
              <w:t xml:space="preserve"> </w:t>
            </w:r>
            <w:r w:rsidRPr="00814C24">
              <w:rPr>
                <w:color w:val="000000" w:themeColor="text1"/>
                <w:sz w:val="24"/>
                <w:szCs w:val="24"/>
              </w:rPr>
              <w:t>pentru</w:t>
            </w:r>
            <w:r w:rsidRPr="00814C24">
              <w:rPr>
                <w:color w:val="000000" w:themeColor="text1"/>
                <w:spacing w:val="54"/>
                <w:sz w:val="24"/>
                <w:szCs w:val="24"/>
              </w:rPr>
              <w:t xml:space="preserve"> </w:t>
            </w:r>
            <w:r w:rsidRPr="00814C24">
              <w:rPr>
                <w:color w:val="000000" w:themeColor="text1"/>
                <w:sz w:val="24"/>
                <w:szCs w:val="24"/>
              </w:rPr>
              <w:t>statutul</w:t>
            </w:r>
          </w:p>
          <w:p w14:paraId="19806944" w14:textId="77777777" w:rsidR="006735BF" w:rsidRPr="00814C24" w:rsidRDefault="006735BF" w:rsidP="008E33FD">
            <w:pPr>
              <w:pStyle w:val="TableParagraph"/>
              <w:ind w:left="828" w:right="95"/>
              <w:jc w:val="both"/>
              <w:rPr>
                <w:color w:val="000000" w:themeColor="text1"/>
                <w:sz w:val="24"/>
                <w:szCs w:val="24"/>
              </w:rPr>
            </w:pPr>
            <w:r w:rsidRPr="00814C24">
              <w:rPr>
                <w:color w:val="000000" w:themeColor="text1"/>
                <w:sz w:val="24"/>
                <w:szCs w:val="24"/>
              </w:rPr>
              <w:t>„nefavorabil-inadecvat” al structurii și funcțiilor. Cu toate acestea,</w:t>
            </w:r>
            <w:r w:rsidRPr="00814C24">
              <w:rPr>
                <w:color w:val="000000" w:themeColor="text1"/>
                <w:spacing w:val="1"/>
                <w:sz w:val="24"/>
                <w:szCs w:val="24"/>
              </w:rPr>
              <w:t xml:space="preserve"> </w:t>
            </w:r>
            <w:r w:rsidRPr="00814C24">
              <w:rPr>
                <w:color w:val="000000" w:themeColor="text1"/>
                <w:sz w:val="24"/>
                <w:szCs w:val="24"/>
              </w:rPr>
              <w:t>luând în considerare criteriile pentru „favorabile” și „nefavorabile-</w:t>
            </w:r>
            <w:r w:rsidRPr="00814C24">
              <w:rPr>
                <w:color w:val="000000" w:themeColor="text1"/>
                <w:spacing w:val="1"/>
                <w:sz w:val="24"/>
                <w:szCs w:val="24"/>
              </w:rPr>
              <w:t xml:space="preserve"> </w:t>
            </w:r>
            <w:r w:rsidRPr="00814C24">
              <w:rPr>
                <w:color w:val="000000" w:themeColor="text1"/>
                <w:sz w:val="24"/>
                <w:szCs w:val="24"/>
              </w:rPr>
              <w:t>rele” și criterii complementare pentru statutul „favorabil”, statutul</w:t>
            </w:r>
            <w:r w:rsidRPr="00814C24">
              <w:rPr>
                <w:color w:val="000000" w:themeColor="text1"/>
                <w:spacing w:val="1"/>
                <w:sz w:val="24"/>
                <w:szCs w:val="24"/>
              </w:rPr>
              <w:t xml:space="preserve"> </w:t>
            </w:r>
            <w:r w:rsidRPr="00814C24">
              <w:rPr>
                <w:color w:val="000000" w:themeColor="text1"/>
                <w:sz w:val="24"/>
                <w:szCs w:val="24"/>
              </w:rPr>
              <w:t>de</w:t>
            </w:r>
            <w:r w:rsidRPr="00814C24">
              <w:rPr>
                <w:color w:val="000000" w:themeColor="text1"/>
                <w:spacing w:val="57"/>
                <w:sz w:val="24"/>
                <w:szCs w:val="24"/>
              </w:rPr>
              <w:t xml:space="preserve"> </w:t>
            </w:r>
            <w:r w:rsidRPr="00814C24">
              <w:rPr>
                <w:color w:val="000000" w:themeColor="text1"/>
                <w:sz w:val="24"/>
                <w:szCs w:val="24"/>
              </w:rPr>
              <w:t>Structura</w:t>
            </w:r>
            <w:r w:rsidRPr="00814C24">
              <w:rPr>
                <w:color w:val="000000" w:themeColor="text1"/>
                <w:spacing w:val="57"/>
                <w:sz w:val="24"/>
                <w:szCs w:val="24"/>
              </w:rPr>
              <w:t xml:space="preserve"> </w:t>
            </w:r>
            <w:r w:rsidRPr="00814C24">
              <w:rPr>
                <w:color w:val="000000" w:themeColor="text1"/>
                <w:sz w:val="24"/>
                <w:szCs w:val="24"/>
              </w:rPr>
              <w:t>și</w:t>
            </w:r>
            <w:r w:rsidRPr="00814C24">
              <w:rPr>
                <w:color w:val="000000" w:themeColor="text1"/>
                <w:spacing w:val="59"/>
                <w:sz w:val="24"/>
                <w:szCs w:val="24"/>
              </w:rPr>
              <w:t xml:space="preserve"> </w:t>
            </w:r>
            <w:r w:rsidRPr="00814C24">
              <w:rPr>
                <w:color w:val="000000" w:themeColor="text1"/>
                <w:sz w:val="24"/>
                <w:szCs w:val="24"/>
              </w:rPr>
              <w:t>funcțiile</w:t>
            </w:r>
            <w:r w:rsidRPr="00814C24">
              <w:rPr>
                <w:color w:val="000000" w:themeColor="text1"/>
                <w:spacing w:val="58"/>
                <w:sz w:val="24"/>
                <w:szCs w:val="24"/>
              </w:rPr>
              <w:t xml:space="preserve"> </w:t>
            </w:r>
            <w:r w:rsidRPr="00814C24">
              <w:rPr>
                <w:color w:val="000000" w:themeColor="text1"/>
                <w:sz w:val="24"/>
                <w:szCs w:val="24"/>
              </w:rPr>
              <w:t>ar</w:t>
            </w:r>
            <w:r w:rsidRPr="00814C24">
              <w:rPr>
                <w:color w:val="000000" w:themeColor="text1"/>
                <w:spacing w:val="58"/>
                <w:sz w:val="24"/>
                <w:szCs w:val="24"/>
              </w:rPr>
              <w:t xml:space="preserve"> </w:t>
            </w:r>
            <w:r w:rsidRPr="00814C24">
              <w:rPr>
                <w:color w:val="000000" w:themeColor="text1"/>
                <w:sz w:val="24"/>
                <w:szCs w:val="24"/>
              </w:rPr>
              <w:t>trebui</w:t>
            </w:r>
            <w:r w:rsidRPr="00814C24">
              <w:rPr>
                <w:color w:val="000000" w:themeColor="text1"/>
                <w:spacing w:val="59"/>
                <w:sz w:val="24"/>
                <w:szCs w:val="24"/>
              </w:rPr>
              <w:t xml:space="preserve"> </w:t>
            </w:r>
            <w:r w:rsidRPr="00814C24">
              <w:rPr>
                <w:color w:val="000000" w:themeColor="text1"/>
                <w:sz w:val="24"/>
                <w:szCs w:val="24"/>
              </w:rPr>
              <w:t>considerate</w:t>
            </w:r>
            <w:r w:rsidRPr="00814C24">
              <w:rPr>
                <w:color w:val="000000" w:themeColor="text1"/>
                <w:spacing w:val="57"/>
                <w:sz w:val="24"/>
                <w:szCs w:val="24"/>
              </w:rPr>
              <w:t xml:space="preserve"> </w:t>
            </w:r>
            <w:r w:rsidRPr="00814C24">
              <w:rPr>
                <w:color w:val="000000" w:themeColor="text1"/>
                <w:sz w:val="24"/>
                <w:szCs w:val="24"/>
              </w:rPr>
              <w:t>„nefavorabile-</w:t>
            </w:r>
            <w:r w:rsidRPr="00814C24">
              <w:rPr>
                <w:color w:val="000000" w:themeColor="text1"/>
                <w:spacing w:val="-58"/>
                <w:sz w:val="24"/>
                <w:szCs w:val="24"/>
              </w:rPr>
              <w:t xml:space="preserve"> </w:t>
            </w:r>
            <w:r w:rsidRPr="00814C24">
              <w:rPr>
                <w:color w:val="000000" w:themeColor="text1"/>
                <w:sz w:val="24"/>
                <w:szCs w:val="24"/>
              </w:rPr>
              <w:t>inadecvate”</w:t>
            </w:r>
            <w:r w:rsidRPr="00814C24">
              <w:rPr>
                <w:color w:val="000000" w:themeColor="text1"/>
                <w:spacing w:val="-2"/>
                <w:sz w:val="24"/>
                <w:szCs w:val="24"/>
              </w:rPr>
              <w:t xml:space="preserve"> </w:t>
            </w:r>
            <w:r w:rsidRPr="00814C24">
              <w:rPr>
                <w:color w:val="000000" w:themeColor="text1"/>
                <w:sz w:val="24"/>
                <w:szCs w:val="24"/>
              </w:rPr>
              <w:t>dacă:</w:t>
            </w:r>
          </w:p>
          <w:p w14:paraId="6E5315D7" w14:textId="77777777" w:rsidR="006735BF" w:rsidRPr="00814C24" w:rsidRDefault="006735BF" w:rsidP="009E63E5">
            <w:pPr>
              <w:pStyle w:val="TableParagraph"/>
              <w:numPr>
                <w:ilvl w:val="0"/>
                <w:numId w:val="140"/>
              </w:numPr>
              <w:tabs>
                <w:tab w:val="left" w:pos="828"/>
                <w:tab w:val="left" w:pos="829"/>
              </w:tabs>
              <w:spacing w:before="4" w:line="230" w:lineRule="auto"/>
              <w:ind w:right="98"/>
              <w:jc w:val="both"/>
              <w:rPr>
                <w:color w:val="000000" w:themeColor="text1"/>
                <w:sz w:val="24"/>
                <w:szCs w:val="24"/>
              </w:rPr>
            </w:pPr>
            <w:r w:rsidRPr="00814C24">
              <w:rPr>
                <w:color w:val="000000" w:themeColor="text1"/>
                <w:sz w:val="24"/>
                <w:szCs w:val="24"/>
              </w:rPr>
              <w:t>suprafața</w:t>
            </w:r>
            <w:r w:rsidRPr="00814C24">
              <w:rPr>
                <w:color w:val="000000" w:themeColor="text1"/>
                <w:spacing w:val="2"/>
                <w:sz w:val="24"/>
                <w:szCs w:val="24"/>
              </w:rPr>
              <w:t xml:space="preserve"> </w:t>
            </w:r>
            <w:r w:rsidRPr="00814C24">
              <w:rPr>
                <w:color w:val="000000" w:themeColor="text1"/>
                <w:sz w:val="24"/>
                <w:szCs w:val="24"/>
              </w:rPr>
              <w:t>habitatului</w:t>
            </w:r>
            <w:r w:rsidRPr="00814C24">
              <w:rPr>
                <w:color w:val="000000" w:themeColor="text1"/>
                <w:spacing w:val="3"/>
                <w:sz w:val="24"/>
                <w:szCs w:val="24"/>
              </w:rPr>
              <w:t xml:space="preserve"> </w:t>
            </w:r>
            <w:r w:rsidRPr="00814C24">
              <w:rPr>
                <w:color w:val="000000" w:themeColor="text1"/>
                <w:sz w:val="24"/>
                <w:szCs w:val="24"/>
              </w:rPr>
              <w:t>cu</w:t>
            </w:r>
            <w:r w:rsidRPr="00814C24">
              <w:rPr>
                <w:color w:val="000000" w:themeColor="text1"/>
                <w:spacing w:val="4"/>
                <w:sz w:val="24"/>
                <w:szCs w:val="24"/>
              </w:rPr>
              <w:t xml:space="preserve"> </w:t>
            </w:r>
            <w:r w:rsidRPr="00814C24">
              <w:rPr>
                <w:color w:val="000000" w:themeColor="text1"/>
                <w:sz w:val="24"/>
                <w:szCs w:val="24"/>
              </w:rPr>
              <w:t>condiții</w:t>
            </w:r>
            <w:r w:rsidRPr="00814C24">
              <w:rPr>
                <w:color w:val="000000" w:themeColor="text1"/>
                <w:spacing w:val="59"/>
                <w:sz w:val="24"/>
                <w:szCs w:val="24"/>
              </w:rPr>
              <w:t xml:space="preserve"> </w:t>
            </w:r>
            <w:r w:rsidRPr="00814C24">
              <w:rPr>
                <w:color w:val="000000" w:themeColor="text1"/>
                <w:sz w:val="24"/>
                <w:szCs w:val="24"/>
              </w:rPr>
              <w:t>„nefavorabile”</w:t>
            </w:r>
            <w:r w:rsidRPr="00814C24">
              <w:rPr>
                <w:color w:val="000000" w:themeColor="text1"/>
                <w:spacing w:val="3"/>
                <w:sz w:val="24"/>
                <w:szCs w:val="24"/>
              </w:rPr>
              <w:t xml:space="preserve"> </w:t>
            </w:r>
            <w:r w:rsidRPr="00814C24">
              <w:rPr>
                <w:color w:val="000000" w:themeColor="text1"/>
                <w:sz w:val="24"/>
                <w:szCs w:val="24"/>
              </w:rPr>
              <w:t>(„nu</w:t>
            </w:r>
            <w:r w:rsidRPr="00814C24">
              <w:rPr>
                <w:color w:val="000000" w:themeColor="text1"/>
                <w:spacing w:val="2"/>
                <w:sz w:val="24"/>
                <w:szCs w:val="24"/>
              </w:rPr>
              <w:t xml:space="preserve"> </w:t>
            </w:r>
            <w:r w:rsidRPr="00814C24">
              <w:rPr>
                <w:color w:val="000000" w:themeColor="text1"/>
                <w:sz w:val="24"/>
                <w:szCs w:val="24"/>
              </w:rPr>
              <w:t>este</w:t>
            </w:r>
            <w:r w:rsidRPr="00814C24">
              <w:rPr>
                <w:color w:val="000000" w:themeColor="text1"/>
                <w:spacing w:val="2"/>
                <w:sz w:val="24"/>
                <w:szCs w:val="24"/>
              </w:rPr>
              <w:t xml:space="preserve"> </w:t>
            </w:r>
            <w:r w:rsidRPr="00814C24">
              <w:rPr>
                <w:color w:val="000000" w:themeColor="text1"/>
                <w:sz w:val="24"/>
                <w:szCs w:val="24"/>
              </w:rPr>
              <w:t>bine”)</w:t>
            </w:r>
            <w:r w:rsidRPr="00814C24">
              <w:rPr>
                <w:color w:val="000000" w:themeColor="text1"/>
                <w:spacing w:val="-57"/>
                <w:sz w:val="24"/>
                <w:szCs w:val="24"/>
              </w:rPr>
              <w:t xml:space="preserve"> </w:t>
            </w:r>
            <w:r w:rsidRPr="00814C24">
              <w:rPr>
                <w:color w:val="000000" w:themeColor="text1"/>
                <w:sz w:val="24"/>
                <w:szCs w:val="24"/>
              </w:rPr>
              <w:t>(câmpul</w:t>
            </w:r>
            <w:r w:rsidRPr="00814C24">
              <w:rPr>
                <w:color w:val="000000" w:themeColor="text1"/>
                <w:spacing w:val="-1"/>
                <w:sz w:val="24"/>
                <w:szCs w:val="24"/>
              </w:rPr>
              <w:t xml:space="preserve"> </w:t>
            </w:r>
            <w:r w:rsidRPr="00814C24">
              <w:rPr>
                <w:color w:val="000000" w:themeColor="text1"/>
                <w:sz w:val="24"/>
                <w:szCs w:val="24"/>
              </w:rPr>
              <w:t>6.1)</w:t>
            </w:r>
            <w:r w:rsidRPr="00814C24">
              <w:rPr>
                <w:color w:val="000000" w:themeColor="text1"/>
                <w:spacing w:val="-1"/>
                <w:sz w:val="24"/>
                <w:szCs w:val="24"/>
              </w:rPr>
              <w:t xml:space="preserve"> </w:t>
            </w:r>
            <w:r w:rsidRPr="00814C24">
              <w:rPr>
                <w:color w:val="000000" w:themeColor="text1"/>
                <w:sz w:val="24"/>
                <w:szCs w:val="24"/>
              </w:rPr>
              <w:t>este</w:t>
            </w:r>
            <w:r w:rsidRPr="00814C24">
              <w:rPr>
                <w:color w:val="000000" w:themeColor="text1"/>
                <w:spacing w:val="-1"/>
                <w:sz w:val="24"/>
                <w:szCs w:val="24"/>
              </w:rPr>
              <w:t xml:space="preserve"> </w:t>
            </w:r>
            <w:r w:rsidRPr="00814C24">
              <w:rPr>
                <w:color w:val="000000" w:themeColor="text1"/>
                <w:sz w:val="24"/>
                <w:szCs w:val="24"/>
              </w:rPr>
              <w:t>mai mică</w:t>
            </w:r>
            <w:r w:rsidRPr="00814C24">
              <w:rPr>
                <w:color w:val="000000" w:themeColor="text1"/>
                <w:spacing w:val="-2"/>
                <w:sz w:val="24"/>
                <w:szCs w:val="24"/>
              </w:rPr>
              <w:t xml:space="preserve"> </w:t>
            </w:r>
            <w:r w:rsidRPr="00814C24">
              <w:rPr>
                <w:color w:val="000000" w:themeColor="text1"/>
                <w:sz w:val="24"/>
                <w:szCs w:val="24"/>
              </w:rPr>
              <w:t>de</w:t>
            </w:r>
            <w:r w:rsidRPr="00814C24">
              <w:rPr>
                <w:color w:val="000000" w:themeColor="text1"/>
                <w:spacing w:val="-1"/>
                <w:sz w:val="24"/>
                <w:szCs w:val="24"/>
              </w:rPr>
              <w:t xml:space="preserve"> </w:t>
            </w:r>
            <w:r w:rsidRPr="00814C24">
              <w:rPr>
                <w:color w:val="000000" w:themeColor="text1"/>
                <w:sz w:val="24"/>
                <w:szCs w:val="24"/>
              </w:rPr>
              <w:t>25%; și</w:t>
            </w:r>
          </w:p>
          <w:p w14:paraId="0479C588" w14:textId="77777777" w:rsidR="006735BF" w:rsidRPr="00814C24" w:rsidRDefault="006735BF" w:rsidP="009E63E5">
            <w:pPr>
              <w:pStyle w:val="TableParagraph"/>
              <w:numPr>
                <w:ilvl w:val="0"/>
                <w:numId w:val="140"/>
              </w:numPr>
              <w:tabs>
                <w:tab w:val="left" w:pos="828"/>
                <w:tab w:val="left" w:pos="829"/>
              </w:tabs>
              <w:spacing w:before="11" w:line="230" w:lineRule="auto"/>
              <w:ind w:right="101"/>
              <w:jc w:val="both"/>
              <w:rPr>
                <w:color w:val="000000" w:themeColor="text1"/>
                <w:sz w:val="24"/>
                <w:szCs w:val="24"/>
              </w:rPr>
            </w:pPr>
            <w:r w:rsidRPr="00814C24">
              <w:rPr>
                <w:color w:val="000000" w:themeColor="text1"/>
                <w:sz w:val="24"/>
                <w:szCs w:val="24"/>
              </w:rPr>
              <w:t>suprafața</w:t>
            </w:r>
            <w:r w:rsidRPr="00814C24">
              <w:rPr>
                <w:color w:val="000000" w:themeColor="text1"/>
                <w:spacing w:val="9"/>
                <w:sz w:val="24"/>
                <w:szCs w:val="24"/>
              </w:rPr>
              <w:t xml:space="preserve"> </w:t>
            </w:r>
            <w:r w:rsidRPr="00814C24">
              <w:rPr>
                <w:color w:val="000000" w:themeColor="text1"/>
                <w:sz w:val="24"/>
                <w:szCs w:val="24"/>
              </w:rPr>
              <w:t>habitatului</w:t>
            </w:r>
            <w:r w:rsidRPr="00814C24">
              <w:rPr>
                <w:color w:val="000000" w:themeColor="text1"/>
                <w:spacing w:val="7"/>
                <w:sz w:val="24"/>
                <w:szCs w:val="24"/>
              </w:rPr>
              <w:t xml:space="preserve"> </w:t>
            </w:r>
            <w:r w:rsidRPr="00814C24">
              <w:rPr>
                <w:color w:val="000000" w:themeColor="text1"/>
                <w:sz w:val="24"/>
                <w:szCs w:val="24"/>
              </w:rPr>
              <w:t>cu</w:t>
            </w:r>
            <w:r w:rsidRPr="00814C24">
              <w:rPr>
                <w:color w:val="000000" w:themeColor="text1"/>
                <w:spacing w:val="10"/>
                <w:sz w:val="24"/>
                <w:szCs w:val="24"/>
              </w:rPr>
              <w:t xml:space="preserve"> </w:t>
            </w:r>
            <w:r w:rsidRPr="00814C24">
              <w:rPr>
                <w:color w:val="000000" w:themeColor="text1"/>
                <w:sz w:val="24"/>
                <w:szCs w:val="24"/>
              </w:rPr>
              <w:t>condiții</w:t>
            </w:r>
            <w:r w:rsidRPr="00814C24">
              <w:rPr>
                <w:color w:val="000000" w:themeColor="text1"/>
                <w:spacing w:val="8"/>
                <w:sz w:val="24"/>
                <w:szCs w:val="24"/>
              </w:rPr>
              <w:t xml:space="preserve"> </w:t>
            </w:r>
            <w:r w:rsidRPr="00814C24">
              <w:rPr>
                <w:color w:val="000000" w:themeColor="text1"/>
                <w:sz w:val="24"/>
                <w:szCs w:val="24"/>
              </w:rPr>
              <w:t>„bune”</w:t>
            </w:r>
            <w:r w:rsidRPr="00814C24">
              <w:rPr>
                <w:color w:val="000000" w:themeColor="text1"/>
                <w:spacing w:val="6"/>
                <w:sz w:val="24"/>
                <w:szCs w:val="24"/>
              </w:rPr>
              <w:t xml:space="preserve"> </w:t>
            </w:r>
            <w:r w:rsidRPr="00814C24">
              <w:rPr>
                <w:color w:val="000000" w:themeColor="text1"/>
                <w:sz w:val="24"/>
                <w:szCs w:val="24"/>
              </w:rPr>
              <w:t>(câmpul</w:t>
            </w:r>
            <w:r w:rsidRPr="00814C24">
              <w:rPr>
                <w:color w:val="000000" w:themeColor="text1"/>
                <w:spacing w:val="9"/>
                <w:sz w:val="24"/>
                <w:szCs w:val="24"/>
              </w:rPr>
              <w:t xml:space="preserve"> </w:t>
            </w:r>
            <w:r w:rsidRPr="00814C24">
              <w:rPr>
                <w:color w:val="000000" w:themeColor="text1"/>
                <w:sz w:val="24"/>
                <w:szCs w:val="24"/>
              </w:rPr>
              <w:t>6.1)</w:t>
            </w:r>
            <w:r w:rsidRPr="00814C24">
              <w:rPr>
                <w:color w:val="000000" w:themeColor="text1"/>
                <w:spacing w:val="6"/>
                <w:sz w:val="24"/>
                <w:szCs w:val="24"/>
              </w:rPr>
              <w:t xml:space="preserve"> </w:t>
            </w:r>
            <w:r w:rsidRPr="00814C24">
              <w:rPr>
                <w:color w:val="000000" w:themeColor="text1"/>
                <w:sz w:val="24"/>
                <w:szCs w:val="24"/>
              </w:rPr>
              <w:t>este</w:t>
            </w:r>
            <w:r w:rsidRPr="00814C24">
              <w:rPr>
                <w:color w:val="000000" w:themeColor="text1"/>
                <w:spacing w:val="8"/>
                <w:sz w:val="24"/>
                <w:szCs w:val="24"/>
              </w:rPr>
              <w:t xml:space="preserve"> </w:t>
            </w:r>
            <w:r w:rsidRPr="00814C24">
              <w:rPr>
                <w:color w:val="000000" w:themeColor="text1"/>
                <w:sz w:val="24"/>
                <w:szCs w:val="24"/>
              </w:rPr>
              <w:t>mai</w:t>
            </w:r>
            <w:r w:rsidRPr="00814C24">
              <w:rPr>
                <w:color w:val="000000" w:themeColor="text1"/>
                <w:spacing w:val="9"/>
                <w:sz w:val="24"/>
                <w:szCs w:val="24"/>
              </w:rPr>
              <w:t xml:space="preserve"> </w:t>
            </w:r>
            <w:r w:rsidRPr="00814C24">
              <w:rPr>
                <w:color w:val="000000" w:themeColor="text1"/>
                <w:sz w:val="24"/>
                <w:szCs w:val="24"/>
              </w:rPr>
              <w:t>mică</w:t>
            </w:r>
            <w:r w:rsidRPr="00814C24">
              <w:rPr>
                <w:color w:val="000000" w:themeColor="text1"/>
                <w:spacing w:val="-57"/>
                <w:sz w:val="24"/>
                <w:szCs w:val="24"/>
              </w:rPr>
              <w:t xml:space="preserve"> </w:t>
            </w:r>
            <w:r w:rsidRPr="00814C24">
              <w:rPr>
                <w:color w:val="000000" w:themeColor="text1"/>
                <w:sz w:val="24"/>
                <w:szCs w:val="24"/>
              </w:rPr>
              <w:t>de</w:t>
            </w:r>
            <w:r w:rsidRPr="00814C24">
              <w:rPr>
                <w:color w:val="000000" w:themeColor="text1"/>
                <w:spacing w:val="-2"/>
                <w:sz w:val="24"/>
                <w:szCs w:val="24"/>
              </w:rPr>
              <w:t xml:space="preserve"> </w:t>
            </w:r>
            <w:r w:rsidRPr="00814C24">
              <w:rPr>
                <w:color w:val="000000" w:themeColor="text1"/>
                <w:sz w:val="24"/>
                <w:szCs w:val="24"/>
              </w:rPr>
              <w:t>90%; și</w:t>
            </w:r>
          </w:p>
          <w:p w14:paraId="4E9B9F96" w14:textId="77777777" w:rsidR="006735BF" w:rsidRPr="00814C24" w:rsidRDefault="006735BF" w:rsidP="009E63E5">
            <w:pPr>
              <w:pStyle w:val="TableParagraph"/>
              <w:numPr>
                <w:ilvl w:val="0"/>
                <w:numId w:val="140"/>
              </w:numPr>
              <w:tabs>
                <w:tab w:val="left" w:pos="828"/>
                <w:tab w:val="left" w:pos="829"/>
              </w:tabs>
              <w:spacing w:before="1" w:line="276" w:lineRule="exact"/>
              <w:ind w:right="100"/>
              <w:jc w:val="both"/>
              <w:rPr>
                <w:color w:val="000000" w:themeColor="text1"/>
                <w:sz w:val="24"/>
                <w:szCs w:val="24"/>
              </w:rPr>
            </w:pPr>
            <w:r w:rsidRPr="00814C24">
              <w:rPr>
                <w:color w:val="000000" w:themeColor="text1"/>
                <w:sz w:val="24"/>
                <w:szCs w:val="24"/>
              </w:rPr>
              <w:t>suprafața</w:t>
            </w:r>
            <w:r w:rsidRPr="00814C24">
              <w:rPr>
                <w:color w:val="000000" w:themeColor="text1"/>
                <w:spacing w:val="37"/>
                <w:sz w:val="24"/>
                <w:szCs w:val="24"/>
              </w:rPr>
              <w:t xml:space="preserve"> </w:t>
            </w:r>
            <w:r w:rsidRPr="00814C24">
              <w:rPr>
                <w:color w:val="000000" w:themeColor="text1"/>
                <w:sz w:val="24"/>
                <w:szCs w:val="24"/>
              </w:rPr>
              <w:t>habitatului</w:t>
            </w:r>
            <w:r w:rsidRPr="00814C24">
              <w:rPr>
                <w:color w:val="000000" w:themeColor="text1"/>
                <w:spacing w:val="38"/>
                <w:sz w:val="24"/>
                <w:szCs w:val="24"/>
              </w:rPr>
              <w:t xml:space="preserve"> </w:t>
            </w:r>
            <w:r w:rsidRPr="00814C24">
              <w:rPr>
                <w:color w:val="000000" w:themeColor="text1"/>
                <w:sz w:val="24"/>
                <w:szCs w:val="24"/>
              </w:rPr>
              <w:t>cu</w:t>
            </w:r>
            <w:r w:rsidRPr="00814C24">
              <w:rPr>
                <w:color w:val="000000" w:themeColor="text1"/>
                <w:spacing w:val="38"/>
                <w:sz w:val="24"/>
                <w:szCs w:val="24"/>
              </w:rPr>
              <w:t xml:space="preserve"> </w:t>
            </w:r>
            <w:r w:rsidRPr="00814C24">
              <w:rPr>
                <w:color w:val="000000" w:themeColor="text1"/>
                <w:sz w:val="24"/>
                <w:szCs w:val="24"/>
              </w:rPr>
              <w:t>condiție</w:t>
            </w:r>
            <w:r w:rsidRPr="00814C24">
              <w:rPr>
                <w:color w:val="000000" w:themeColor="text1"/>
                <w:spacing w:val="37"/>
                <w:sz w:val="24"/>
                <w:szCs w:val="24"/>
              </w:rPr>
              <w:t xml:space="preserve"> </w:t>
            </w:r>
            <w:r w:rsidRPr="00814C24">
              <w:rPr>
                <w:color w:val="000000" w:themeColor="text1"/>
                <w:sz w:val="24"/>
                <w:szCs w:val="24"/>
              </w:rPr>
              <w:t>„necunoscută”</w:t>
            </w:r>
            <w:r w:rsidRPr="00814C24">
              <w:rPr>
                <w:color w:val="000000" w:themeColor="text1"/>
                <w:spacing w:val="36"/>
                <w:sz w:val="24"/>
                <w:szCs w:val="24"/>
              </w:rPr>
              <w:t xml:space="preserve"> </w:t>
            </w:r>
            <w:r w:rsidRPr="00814C24">
              <w:rPr>
                <w:color w:val="000000" w:themeColor="text1"/>
                <w:sz w:val="24"/>
                <w:szCs w:val="24"/>
              </w:rPr>
              <w:t>(câmpul</w:t>
            </w:r>
            <w:r w:rsidRPr="00814C24">
              <w:rPr>
                <w:color w:val="000000" w:themeColor="text1"/>
                <w:spacing w:val="39"/>
                <w:sz w:val="24"/>
                <w:szCs w:val="24"/>
              </w:rPr>
              <w:t xml:space="preserve"> </w:t>
            </w:r>
            <w:r w:rsidRPr="00814C24">
              <w:rPr>
                <w:color w:val="000000" w:themeColor="text1"/>
                <w:sz w:val="24"/>
                <w:szCs w:val="24"/>
              </w:rPr>
              <w:t>6.1)</w:t>
            </w:r>
            <w:r w:rsidRPr="00814C24">
              <w:rPr>
                <w:color w:val="000000" w:themeColor="text1"/>
                <w:spacing w:val="36"/>
                <w:sz w:val="24"/>
                <w:szCs w:val="24"/>
              </w:rPr>
              <w:t xml:space="preserve"> </w:t>
            </w:r>
            <w:r w:rsidRPr="00814C24">
              <w:rPr>
                <w:color w:val="000000" w:themeColor="text1"/>
                <w:sz w:val="24"/>
                <w:szCs w:val="24"/>
              </w:rPr>
              <w:t>este</w:t>
            </w:r>
            <w:r w:rsidRPr="00814C24">
              <w:rPr>
                <w:color w:val="000000" w:themeColor="text1"/>
                <w:spacing w:val="-57"/>
                <w:sz w:val="24"/>
                <w:szCs w:val="24"/>
              </w:rPr>
              <w:t xml:space="preserve"> </w:t>
            </w:r>
            <w:r w:rsidRPr="00814C24">
              <w:rPr>
                <w:color w:val="000000" w:themeColor="text1"/>
                <w:sz w:val="24"/>
                <w:szCs w:val="24"/>
              </w:rPr>
              <w:t>mai</w:t>
            </w:r>
            <w:r w:rsidRPr="00814C24">
              <w:rPr>
                <w:color w:val="000000" w:themeColor="text1"/>
                <w:spacing w:val="-1"/>
                <w:sz w:val="24"/>
                <w:szCs w:val="24"/>
              </w:rPr>
              <w:t xml:space="preserve"> </w:t>
            </w:r>
            <w:r w:rsidRPr="00814C24">
              <w:rPr>
                <w:color w:val="000000" w:themeColor="text1"/>
                <w:sz w:val="24"/>
                <w:szCs w:val="24"/>
              </w:rPr>
              <w:t>mică</w:t>
            </w:r>
            <w:r w:rsidRPr="00814C24">
              <w:rPr>
                <w:color w:val="000000" w:themeColor="text1"/>
                <w:spacing w:val="-1"/>
                <w:sz w:val="24"/>
                <w:szCs w:val="24"/>
              </w:rPr>
              <w:t xml:space="preserve"> </w:t>
            </w:r>
            <w:r w:rsidRPr="00814C24">
              <w:rPr>
                <w:color w:val="000000" w:themeColor="text1"/>
                <w:sz w:val="24"/>
                <w:szCs w:val="24"/>
              </w:rPr>
              <w:t>de</w:t>
            </w:r>
            <w:r w:rsidRPr="00814C24">
              <w:rPr>
                <w:color w:val="000000" w:themeColor="text1"/>
                <w:spacing w:val="-1"/>
                <w:sz w:val="24"/>
                <w:szCs w:val="24"/>
              </w:rPr>
              <w:t xml:space="preserve"> </w:t>
            </w:r>
            <w:r w:rsidRPr="00814C24">
              <w:rPr>
                <w:color w:val="000000" w:themeColor="text1"/>
                <w:sz w:val="24"/>
                <w:szCs w:val="24"/>
              </w:rPr>
              <w:t>75%.</w:t>
            </w:r>
          </w:p>
        </w:tc>
      </w:tr>
      <w:tr w:rsidR="006735BF" w:rsidRPr="00814C24" w14:paraId="56C0C967" w14:textId="77777777" w:rsidTr="00FC74DD">
        <w:trPr>
          <w:trHeight w:val="1384"/>
        </w:trPr>
        <w:tc>
          <w:tcPr>
            <w:tcW w:w="1810" w:type="dxa"/>
          </w:tcPr>
          <w:p w14:paraId="7604E680" w14:textId="77777777" w:rsidR="006735BF" w:rsidRPr="00814C24" w:rsidRDefault="006735BF" w:rsidP="008E33FD">
            <w:pPr>
              <w:pStyle w:val="TableParagraph"/>
              <w:spacing w:before="8"/>
              <w:jc w:val="both"/>
              <w:rPr>
                <w:color w:val="000000" w:themeColor="text1"/>
                <w:sz w:val="24"/>
                <w:szCs w:val="24"/>
              </w:rPr>
            </w:pPr>
          </w:p>
          <w:p w14:paraId="350BB7FC" w14:textId="77777777" w:rsidR="006735BF" w:rsidRPr="00814C24" w:rsidRDefault="006735BF" w:rsidP="008E33FD">
            <w:pPr>
              <w:pStyle w:val="TableParagraph"/>
              <w:ind w:left="108" w:right="154"/>
              <w:jc w:val="both"/>
              <w:rPr>
                <w:color w:val="000000" w:themeColor="text1"/>
                <w:sz w:val="24"/>
                <w:szCs w:val="24"/>
              </w:rPr>
            </w:pPr>
            <w:r w:rsidRPr="00814C24">
              <w:rPr>
                <w:color w:val="000000" w:themeColor="text1"/>
                <w:spacing w:val="-1"/>
                <w:sz w:val="24"/>
                <w:szCs w:val="24"/>
              </w:rPr>
              <w:t>Nefavorabil-rău</w:t>
            </w:r>
            <w:r w:rsidRPr="00814C24">
              <w:rPr>
                <w:color w:val="000000" w:themeColor="text1"/>
                <w:spacing w:val="-57"/>
                <w:sz w:val="24"/>
                <w:szCs w:val="24"/>
              </w:rPr>
              <w:t xml:space="preserve"> </w:t>
            </w:r>
            <w:r w:rsidRPr="00814C24">
              <w:rPr>
                <w:color w:val="000000" w:themeColor="text1"/>
                <w:sz w:val="24"/>
                <w:szCs w:val="24"/>
              </w:rPr>
              <w:t>(U2)</w:t>
            </w:r>
          </w:p>
        </w:tc>
        <w:tc>
          <w:tcPr>
            <w:tcW w:w="7985" w:type="dxa"/>
          </w:tcPr>
          <w:p w14:paraId="1D9DFF36" w14:textId="77777777" w:rsidR="006735BF" w:rsidRPr="00814C24" w:rsidRDefault="006735BF" w:rsidP="008E33FD">
            <w:pPr>
              <w:pStyle w:val="TableParagraph"/>
              <w:spacing w:line="260" w:lineRule="exact"/>
              <w:ind w:left="107"/>
              <w:jc w:val="both"/>
              <w:rPr>
                <w:color w:val="000000" w:themeColor="text1"/>
                <w:sz w:val="24"/>
                <w:szCs w:val="24"/>
              </w:rPr>
            </w:pPr>
            <w:r w:rsidRPr="00814C24">
              <w:rPr>
                <w:color w:val="000000" w:themeColor="text1"/>
                <w:sz w:val="24"/>
                <w:szCs w:val="24"/>
              </w:rPr>
              <w:t>Conform</w:t>
            </w:r>
            <w:r w:rsidRPr="00814C24">
              <w:rPr>
                <w:color w:val="000000" w:themeColor="text1"/>
                <w:spacing w:val="71"/>
                <w:sz w:val="24"/>
                <w:szCs w:val="24"/>
              </w:rPr>
              <w:t xml:space="preserve"> </w:t>
            </w:r>
            <w:r w:rsidRPr="00814C24">
              <w:rPr>
                <w:color w:val="000000" w:themeColor="text1"/>
                <w:sz w:val="24"/>
                <w:szCs w:val="24"/>
              </w:rPr>
              <w:t xml:space="preserve">matricei  </w:t>
            </w:r>
            <w:r w:rsidRPr="00814C24">
              <w:rPr>
                <w:color w:val="000000" w:themeColor="text1"/>
                <w:spacing w:val="10"/>
                <w:sz w:val="24"/>
                <w:szCs w:val="24"/>
              </w:rPr>
              <w:t xml:space="preserve"> </w:t>
            </w:r>
            <w:r w:rsidRPr="00814C24">
              <w:rPr>
                <w:color w:val="000000" w:themeColor="text1"/>
                <w:sz w:val="24"/>
                <w:szCs w:val="24"/>
              </w:rPr>
              <w:t xml:space="preserve">de  </w:t>
            </w:r>
            <w:r w:rsidRPr="00814C24">
              <w:rPr>
                <w:color w:val="000000" w:themeColor="text1"/>
                <w:spacing w:val="11"/>
                <w:sz w:val="24"/>
                <w:szCs w:val="24"/>
              </w:rPr>
              <w:t xml:space="preserve"> </w:t>
            </w:r>
            <w:r w:rsidRPr="00814C24">
              <w:rPr>
                <w:color w:val="000000" w:themeColor="text1"/>
                <w:sz w:val="24"/>
                <w:szCs w:val="24"/>
              </w:rPr>
              <w:t xml:space="preserve">evaluare  </w:t>
            </w:r>
            <w:r w:rsidRPr="00814C24">
              <w:rPr>
                <w:color w:val="000000" w:themeColor="text1"/>
                <w:spacing w:val="8"/>
                <w:sz w:val="24"/>
                <w:szCs w:val="24"/>
              </w:rPr>
              <w:t xml:space="preserve"> </w:t>
            </w:r>
            <w:r w:rsidRPr="00814C24">
              <w:rPr>
                <w:color w:val="000000" w:themeColor="text1"/>
                <w:sz w:val="24"/>
                <w:szCs w:val="24"/>
              </w:rPr>
              <w:t xml:space="preserve">(anexa  </w:t>
            </w:r>
            <w:r w:rsidRPr="00814C24">
              <w:rPr>
                <w:color w:val="000000" w:themeColor="text1"/>
                <w:spacing w:val="8"/>
                <w:sz w:val="24"/>
                <w:szCs w:val="24"/>
              </w:rPr>
              <w:t xml:space="preserve"> </w:t>
            </w:r>
            <w:r w:rsidRPr="00814C24">
              <w:rPr>
                <w:color w:val="000000" w:themeColor="text1"/>
                <w:sz w:val="24"/>
                <w:szCs w:val="24"/>
              </w:rPr>
              <w:t xml:space="preserve">E),  </w:t>
            </w:r>
            <w:r w:rsidRPr="00814C24">
              <w:rPr>
                <w:color w:val="000000" w:themeColor="text1"/>
                <w:spacing w:val="9"/>
                <w:sz w:val="24"/>
                <w:szCs w:val="24"/>
              </w:rPr>
              <w:t xml:space="preserve"> </w:t>
            </w:r>
            <w:r w:rsidRPr="00814C24">
              <w:rPr>
                <w:color w:val="000000" w:themeColor="text1"/>
                <w:sz w:val="24"/>
                <w:szCs w:val="24"/>
              </w:rPr>
              <w:t xml:space="preserve">starea  </w:t>
            </w:r>
            <w:r w:rsidRPr="00814C24">
              <w:rPr>
                <w:color w:val="000000" w:themeColor="text1"/>
                <w:spacing w:val="8"/>
                <w:sz w:val="24"/>
                <w:szCs w:val="24"/>
              </w:rPr>
              <w:t xml:space="preserve"> </w:t>
            </w:r>
            <w:r w:rsidRPr="00814C24">
              <w:rPr>
                <w:color w:val="000000" w:themeColor="text1"/>
                <w:sz w:val="24"/>
                <w:szCs w:val="24"/>
              </w:rPr>
              <w:t xml:space="preserve">și  </w:t>
            </w:r>
            <w:r w:rsidRPr="00814C24">
              <w:rPr>
                <w:color w:val="000000" w:themeColor="text1"/>
                <w:spacing w:val="10"/>
                <w:sz w:val="24"/>
                <w:szCs w:val="24"/>
              </w:rPr>
              <w:t xml:space="preserve"> </w:t>
            </w:r>
            <w:r w:rsidRPr="00814C24">
              <w:rPr>
                <w:color w:val="000000" w:themeColor="text1"/>
                <w:sz w:val="24"/>
                <w:szCs w:val="24"/>
              </w:rPr>
              <w:t xml:space="preserve">funcțiile  </w:t>
            </w:r>
            <w:r w:rsidRPr="00814C24">
              <w:rPr>
                <w:color w:val="000000" w:themeColor="text1"/>
                <w:spacing w:val="8"/>
                <w:sz w:val="24"/>
                <w:szCs w:val="24"/>
              </w:rPr>
              <w:t xml:space="preserve"> </w:t>
            </w:r>
            <w:r w:rsidRPr="00814C24">
              <w:rPr>
                <w:color w:val="000000" w:themeColor="text1"/>
                <w:sz w:val="24"/>
                <w:szCs w:val="24"/>
              </w:rPr>
              <w:t>sunt</w:t>
            </w:r>
          </w:p>
          <w:p w14:paraId="51548B17" w14:textId="77777777" w:rsidR="006735BF" w:rsidRPr="00814C24" w:rsidRDefault="006735BF" w:rsidP="008E33FD">
            <w:pPr>
              <w:pStyle w:val="TableParagraph"/>
              <w:ind w:left="107"/>
              <w:jc w:val="both"/>
              <w:rPr>
                <w:color w:val="000000" w:themeColor="text1"/>
                <w:sz w:val="24"/>
                <w:szCs w:val="24"/>
              </w:rPr>
            </w:pPr>
            <w:r w:rsidRPr="00814C24">
              <w:rPr>
                <w:color w:val="000000" w:themeColor="text1"/>
                <w:sz w:val="24"/>
                <w:szCs w:val="24"/>
              </w:rPr>
              <w:t>„nefavorabile-rele”</w:t>
            </w:r>
            <w:r w:rsidRPr="00814C24">
              <w:rPr>
                <w:color w:val="000000" w:themeColor="text1"/>
                <w:spacing w:val="-4"/>
                <w:sz w:val="24"/>
                <w:szCs w:val="24"/>
              </w:rPr>
              <w:t xml:space="preserve"> </w:t>
            </w:r>
            <w:r w:rsidRPr="00814C24">
              <w:rPr>
                <w:color w:val="000000" w:themeColor="text1"/>
                <w:sz w:val="24"/>
                <w:szCs w:val="24"/>
              </w:rPr>
              <w:t>dacă:</w:t>
            </w:r>
          </w:p>
          <w:p w14:paraId="3368CE58" w14:textId="77777777" w:rsidR="006735BF" w:rsidRPr="00814C24" w:rsidRDefault="006735BF" w:rsidP="008E33FD">
            <w:pPr>
              <w:pStyle w:val="TableParagraph"/>
              <w:spacing w:line="276" w:lineRule="exact"/>
              <w:ind w:left="828" w:right="97" w:hanging="361"/>
              <w:jc w:val="both"/>
              <w:rPr>
                <w:color w:val="000000" w:themeColor="text1"/>
                <w:sz w:val="24"/>
                <w:szCs w:val="24"/>
              </w:rPr>
            </w:pPr>
            <w:r w:rsidRPr="00814C24">
              <w:rPr>
                <w:color w:val="000000" w:themeColor="text1"/>
                <w:sz w:val="24"/>
                <w:szCs w:val="24"/>
              </w:rPr>
              <w:t>-</w:t>
            </w:r>
            <w:r w:rsidRPr="00814C24">
              <w:rPr>
                <w:color w:val="000000" w:themeColor="text1"/>
                <w:spacing w:val="1"/>
                <w:sz w:val="24"/>
                <w:szCs w:val="24"/>
              </w:rPr>
              <w:t xml:space="preserve"> </w:t>
            </w:r>
            <w:r w:rsidRPr="00814C24">
              <w:rPr>
                <w:color w:val="000000" w:themeColor="text1"/>
                <w:sz w:val="24"/>
                <w:szCs w:val="24"/>
              </w:rPr>
              <w:t>mai mult de 25% din suprafață este defavorabilă („nu este bine” în</w:t>
            </w:r>
            <w:r w:rsidRPr="00814C24">
              <w:rPr>
                <w:color w:val="000000" w:themeColor="text1"/>
                <w:spacing w:val="1"/>
                <w:sz w:val="24"/>
                <w:szCs w:val="24"/>
              </w:rPr>
              <w:t xml:space="preserve"> </w:t>
            </w:r>
            <w:r w:rsidRPr="00814C24">
              <w:rPr>
                <w:color w:val="000000" w:themeColor="text1"/>
                <w:sz w:val="24"/>
                <w:szCs w:val="24"/>
              </w:rPr>
              <w:t>câmpul 6.1) în ceea ce privește structura și funcțiile sale specifice</w:t>
            </w:r>
            <w:r w:rsidRPr="00814C24">
              <w:rPr>
                <w:color w:val="000000" w:themeColor="text1"/>
                <w:spacing w:val="1"/>
                <w:sz w:val="24"/>
                <w:szCs w:val="24"/>
              </w:rPr>
              <w:t xml:space="preserve"> </w:t>
            </w:r>
            <w:r w:rsidRPr="00814C24">
              <w:rPr>
                <w:color w:val="000000" w:themeColor="text1"/>
                <w:sz w:val="24"/>
                <w:szCs w:val="24"/>
              </w:rPr>
              <w:t>(inclusiv</w:t>
            </w:r>
            <w:r w:rsidRPr="00814C24">
              <w:rPr>
                <w:color w:val="000000" w:themeColor="text1"/>
                <w:spacing w:val="-1"/>
                <w:sz w:val="24"/>
                <w:szCs w:val="24"/>
              </w:rPr>
              <w:t xml:space="preserve"> </w:t>
            </w:r>
            <w:r w:rsidRPr="00814C24">
              <w:rPr>
                <w:color w:val="000000" w:themeColor="text1"/>
                <w:sz w:val="24"/>
                <w:szCs w:val="24"/>
              </w:rPr>
              <w:t>speciile tipice).</w:t>
            </w:r>
          </w:p>
        </w:tc>
      </w:tr>
      <w:tr w:rsidR="001842B9" w:rsidRPr="00814C24" w14:paraId="1A288663" w14:textId="77777777" w:rsidTr="00FC74DD">
        <w:trPr>
          <w:trHeight w:val="1941"/>
        </w:trPr>
        <w:tc>
          <w:tcPr>
            <w:tcW w:w="1810" w:type="dxa"/>
          </w:tcPr>
          <w:p w14:paraId="3CFB608A" w14:textId="77777777" w:rsidR="006735BF" w:rsidRPr="00814C24" w:rsidRDefault="006735BF" w:rsidP="008E33FD">
            <w:pPr>
              <w:pStyle w:val="TableParagraph"/>
              <w:jc w:val="both"/>
              <w:rPr>
                <w:color w:val="000000" w:themeColor="text1"/>
                <w:sz w:val="24"/>
                <w:szCs w:val="24"/>
              </w:rPr>
            </w:pPr>
          </w:p>
          <w:p w14:paraId="12B36C19" w14:textId="77777777" w:rsidR="006735BF" w:rsidRPr="00814C24" w:rsidRDefault="006735BF" w:rsidP="008E33FD">
            <w:pPr>
              <w:pStyle w:val="TableParagraph"/>
              <w:spacing w:before="10"/>
              <w:jc w:val="both"/>
              <w:rPr>
                <w:color w:val="000000" w:themeColor="text1"/>
                <w:sz w:val="24"/>
                <w:szCs w:val="24"/>
              </w:rPr>
            </w:pPr>
          </w:p>
          <w:p w14:paraId="0846A605" w14:textId="77777777" w:rsidR="006735BF" w:rsidRPr="00814C24" w:rsidRDefault="006735BF" w:rsidP="008E33FD">
            <w:pPr>
              <w:pStyle w:val="TableParagraph"/>
              <w:ind w:left="108" w:right="549"/>
              <w:jc w:val="both"/>
              <w:rPr>
                <w:color w:val="000000" w:themeColor="text1"/>
                <w:sz w:val="24"/>
                <w:szCs w:val="24"/>
              </w:rPr>
            </w:pPr>
            <w:r w:rsidRPr="00814C24">
              <w:rPr>
                <w:color w:val="000000" w:themeColor="text1"/>
                <w:spacing w:val="-1"/>
                <w:sz w:val="24"/>
                <w:szCs w:val="24"/>
              </w:rPr>
              <w:t>Necunoscut</w:t>
            </w:r>
            <w:r w:rsidRPr="00814C24">
              <w:rPr>
                <w:color w:val="000000" w:themeColor="text1"/>
                <w:spacing w:val="-57"/>
                <w:sz w:val="24"/>
                <w:szCs w:val="24"/>
              </w:rPr>
              <w:t xml:space="preserve"> </w:t>
            </w:r>
            <w:r w:rsidRPr="00814C24">
              <w:rPr>
                <w:color w:val="000000" w:themeColor="text1"/>
                <w:sz w:val="24"/>
                <w:szCs w:val="24"/>
              </w:rPr>
              <w:t>(XX)</w:t>
            </w:r>
          </w:p>
        </w:tc>
        <w:tc>
          <w:tcPr>
            <w:tcW w:w="7985" w:type="dxa"/>
          </w:tcPr>
          <w:p w14:paraId="195BC45E" w14:textId="77777777" w:rsidR="006735BF" w:rsidRPr="00814C24" w:rsidRDefault="006735BF" w:rsidP="008E33FD">
            <w:pPr>
              <w:pStyle w:val="TableParagraph"/>
              <w:spacing w:line="260" w:lineRule="exact"/>
              <w:ind w:left="107"/>
              <w:jc w:val="both"/>
              <w:rPr>
                <w:color w:val="000000" w:themeColor="text1"/>
                <w:sz w:val="24"/>
                <w:szCs w:val="24"/>
              </w:rPr>
            </w:pPr>
            <w:r w:rsidRPr="00814C24">
              <w:rPr>
                <w:color w:val="000000" w:themeColor="text1"/>
                <w:sz w:val="24"/>
                <w:szCs w:val="24"/>
              </w:rPr>
              <w:t>Conform</w:t>
            </w:r>
            <w:r w:rsidRPr="00814C24">
              <w:rPr>
                <w:color w:val="000000" w:themeColor="text1"/>
                <w:spacing w:val="71"/>
                <w:sz w:val="24"/>
                <w:szCs w:val="24"/>
              </w:rPr>
              <w:t xml:space="preserve"> </w:t>
            </w:r>
            <w:r w:rsidRPr="00814C24">
              <w:rPr>
                <w:color w:val="000000" w:themeColor="text1"/>
                <w:sz w:val="24"/>
                <w:szCs w:val="24"/>
              </w:rPr>
              <w:t xml:space="preserve">matricei  </w:t>
            </w:r>
            <w:r w:rsidRPr="00814C24">
              <w:rPr>
                <w:color w:val="000000" w:themeColor="text1"/>
                <w:spacing w:val="10"/>
                <w:sz w:val="24"/>
                <w:szCs w:val="24"/>
              </w:rPr>
              <w:t xml:space="preserve"> </w:t>
            </w:r>
            <w:r w:rsidRPr="00814C24">
              <w:rPr>
                <w:color w:val="000000" w:themeColor="text1"/>
                <w:sz w:val="24"/>
                <w:szCs w:val="24"/>
              </w:rPr>
              <w:t xml:space="preserve">de  </w:t>
            </w:r>
            <w:r w:rsidRPr="00814C24">
              <w:rPr>
                <w:color w:val="000000" w:themeColor="text1"/>
                <w:spacing w:val="11"/>
                <w:sz w:val="24"/>
                <w:szCs w:val="24"/>
              </w:rPr>
              <w:t xml:space="preserve"> </w:t>
            </w:r>
            <w:r w:rsidRPr="00814C24">
              <w:rPr>
                <w:color w:val="000000" w:themeColor="text1"/>
                <w:sz w:val="24"/>
                <w:szCs w:val="24"/>
              </w:rPr>
              <w:t xml:space="preserve">evaluare  </w:t>
            </w:r>
            <w:r w:rsidRPr="00814C24">
              <w:rPr>
                <w:color w:val="000000" w:themeColor="text1"/>
                <w:spacing w:val="8"/>
                <w:sz w:val="24"/>
                <w:szCs w:val="24"/>
              </w:rPr>
              <w:t xml:space="preserve"> </w:t>
            </w:r>
            <w:r w:rsidRPr="00814C24">
              <w:rPr>
                <w:color w:val="000000" w:themeColor="text1"/>
                <w:sz w:val="24"/>
                <w:szCs w:val="24"/>
              </w:rPr>
              <w:t xml:space="preserve">(anexa  </w:t>
            </w:r>
            <w:r w:rsidRPr="00814C24">
              <w:rPr>
                <w:color w:val="000000" w:themeColor="text1"/>
                <w:spacing w:val="8"/>
                <w:sz w:val="24"/>
                <w:szCs w:val="24"/>
              </w:rPr>
              <w:t xml:space="preserve"> </w:t>
            </w:r>
            <w:r w:rsidRPr="00814C24">
              <w:rPr>
                <w:color w:val="000000" w:themeColor="text1"/>
                <w:sz w:val="24"/>
                <w:szCs w:val="24"/>
              </w:rPr>
              <w:t xml:space="preserve">E),  </w:t>
            </w:r>
            <w:r w:rsidRPr="00814C24">
              <w:rPr>
                <w:color w:val="000000" w:themeColor="text1"/>
                <w:spacing w:val="9"/>
                <w:sz w:val="24"/>
                <w:szCs w:val="24"/>
              </w:rPr>
              <w:t xml:space="preserve"> </w:t>
            </w:r>
            <w:r w:rsidRPr="00814C24">
              <w:rPr>
                <w:color w:val="000000" w:themeColor="text1"/>
                <w:sz w:val="24"/>
                <w:szCs w:val="24"/>
              </w:rPr>
              <w:t xml:space="preserve">starea  </w:t>
            </w:r>
            <w:r w:rsidRPr="00814C24">
              <w:rPr>
                <w:color w:val="000000" w:themeColor="text1"/>
                <w:spacing w:val="8"/>
                <w:sz w:val="24"/>
                <w:szCs w:val="24"/>
              </w:rPr>
              <w:t xml:space="preserve"> </w:t>
            </w:r>
            <w:r w:rsidRPr="00814C24">
              <w:rPr>
                <w:color w:val="000000" w:themeColor="text1"/>
                <w:sz w:val="24"/>
                <w:szCs w:val="24"/>
              </w:rPr>
              <w:t xml:space="preserve">și  </w:t>
            </w:r>
            <w:r w:rsidRPr="00814C24">
              <w:rPr>
                <w:color w:val="000000" w:themeColor="text1"/>
                <w:spacing w:val="10"/>
                <w:sz w:val="24"/>
                <w:szCs w:val="24"/>
              </w:rPr>
              <w:t xml:space="preserve"> </w:t>
            </w:r>
            <w:r w:rsidRPr="00814C24">
              <w:rPr>
                <w:color w:val="000000" w:themeColor="text1"/>
                <w:sz w:val="24"/>
                <w:szCs w:val="24"/>
              </w:rPr>
              <w:t xml:space="preserve">funcțiile  </w:t>
            </w:r>
            <w:r w:rsidRPr="00814C24">
              <w:rPr>
                <w:color w:val="000000" w:themeColor="text1"/>
                <w:spacing w:val="8"/>
                <w:sz w:val="24"/>
                <w:szCs w:val="24"/>
              </w:rPr>
              <w:t xml:space="preserve"> </w:t>
            </w:r>
            <w:r w:rsidRPr="00814C24">
              <w:rPr>
                <w:color w:val="000000" w:themeColor="text1"/>
                <w:sz w:val="24"/>
                <w:szCs w:val="24"/>
              </w:rPr>
              <w:t>sunt</w:t>
            </w:r>
          </w:p>
          <w:p w14:paraId="7089069D" w14:textId="77777777" w:rsidR="006735BF" w:rsidRPr="00814C24" w:rsidRDefault="006735BF" w:rsidP="008E33FD">
            <w:pPr>
              <w:pStyle w:val="TableParagraph"/>
              <w:ind w:left="107"/>
              <w:jc w:val="both"/>
              <w:rPr>
                <w:color w:val="000000" w:themeColor="text1"/>
                <w:sz w:val="24"/>
                <w:szCs w:val="24"/>
              </w:rPr>
            </w:pPr>
            <w:r w:rsidRPr="00814C24">
              <w:rPr>
                <w:color w:val="000000" w:themeColor="text1"/>
                <w:sz w:val="24"/>
                <w:szCs w:val="24"/>
              </w:rPr>
              <w:t>„necunoscute”</w:t>
            </w:r>
            <w:r w:rsidRPr="00814C24">
              <w:rPr>
                <w:color w:val="000000" w:themeColor="text1"/>
                <w:spacing w:val="-4"/>
                <w:sz w:val="24"/>
                <w:szCs w:val="24"/>
              </w:rPr>
              <w:t xml:space="preserve"> </w:t>
            </w:r>
            <w:r w:rsidRPr="00814C24">
              <w:rPr>
                <w:color w:val="000000" w:themeColor="text1"/>
                <w:sz w:val="24"/>
                <w:szCs w:val="24"/>
              </w:rPr>
              <w:t>dacă:</w:t>
            </w:r>
          </w:p>
          <w:p w14:paraId="53CFA547" w14:textId="77777777" w:rsidR="006735BF" w:rsidRPr="00814C24" w:rsidRDefault="006735BF" w:rsidP="008E33FD">
            <w:pPr>
              <w:pStyle w:val="TableParagraph"/>
              <w:tabs>
                <w:tab w:val="left" w:pos="828"/>
              </w:tabs>
              <w:spacing w:before="9" w:line="230" w:lineRule="auto"/>
              <w:ind w:left="107" w:right="1341" w:firstLine="360"/>
              <w:jc w:val="both"/>
              <w:rPr>
                <w:color w:val="000000" w:themeColor="text1"/>
                <w:sz w:val="24"/>
                <w:szCs w:val="24"/>
              </w:rPr>
            </w:pPr>
            <w:r w:rsidRPr="00814C24">
              <w:rPr>
                <w:color w:val="000000" w:themeColor="text1"/>
                <w:sz w:val="24"/>
                <w:szCs w:val="24"/>
              </w:rPr>
              <w:t>-</w:t>
            </w:r>
            <w:r w:rsidRPr="00814C24">
              <w:rPr>
                <w:color w:val="000000" w:themeColor="text1"/>
                <w:sz w:val="24"/>
                <w:szCs w:val="24"/>
              </w:rPr>
              <w:tab/>
              <w:t>nu există informații fiabile sau insuficiente disponibile.</w:t>
            </w:r>
            <w:r w:rsidRPr="00814C24">
              <w:rPr>
                <w:color w:val="000000" w:themeColor="text1"/>
                <w:spacing w:val="-58"/>
                <w:sz w:val="24"/>
                <w:szCs w:val="24"/>
              </w:rPr>
              <w:t xml:space="preserve"> </w:t>
            </w:r>
            <w:r w:rsidRPr="00814C24">
              <w:rPr>
                <w:color w:val="000000" w:themeColor="text1"/>
                <w:sz w:val="24"/>
                <w:szCs w:val="24"/>
              </w:rPr>
              <w:t>Informațiisuplimentare:</w:t>
            </w:r>
          </w:p>
          <w:p w14:paraId="60047287" w14:textId="77777777" w:rsidR="006735BF" w:rsidRPr="00814C24" w:rsidRDefault="006735BF" w:rsidP="008E33FD">
            <w:pPr>
              <w:pStyle w:val="TableParagraph"/>
              <w:tabs>
                <w:tab w:val="left" w:pos="828"/>
              </w:tabs>
              <w:spacing w:before="11" w:line="230" w:lineRule="auto"/>
              <w:ind w:left="912" w:right="99" w:hanging="360"/>
              <w:jc w:val="both"/>
              <w:rPr>
                <w:color w:val="000000" w:themeColor="text1"/>
                <w:sz w:val="24"/>
                <w:szCs w:val="24"/>
              </w:rPr>
            </w:pPr>
            <w:r w:rsidRPr="00814C24">
              <w:rPr>
                <w:color w:val="000000" w:themeColor="text1"/>
                <w:sz w:val="24"/>
                <w:szCs w:val="24"/>
              </w:rPr>
              <w:t>-</w:t>
            </w:r>
            <w:r w:rsidRPr="00814C24">
              <w:rPr>
                <w:color w:val="000000" w:themeColor="text1"/>
                <w:sz w:val="24"/>
                <w:szCs w:val="24"/>
              </w:rPr>
              <w:tab/>
              <w:t>Statutul</w:t>
            </w:r>
            <w:r w:rsidRPr="00814C24">
              <w:rPr>
                <w:color w:val="000000" w:themeColor="text1"/>
                <w:spacing w:val="1"/>
                <w:sz w:val="24"/>
                <w:szCs w:val="24"/>
              </w:rPr>
              <w:t xml:space="preserve"> </w:t>
            </w:r>
            <w:r w:rsidRPr="00814C24">
              <w:rPr>
                <w:color w:val="000000" w:themeColor="text1"/>
                <w:sz w:val="24"/>
                <w:szCs w:val="24"/>
              </w:rPr>
              <w:t>structurii</w:t>
            </w:r>
            <w:r w:rsidRPr="00814C24">
              <w:rPr>
                <w:color w:val="000000" w:themeColor="text1"/>
                <w:spacing w:val="1"/>
                <w:sz w:val="24"/>
                <w:szCs w:val="24"/>
              </w:rPr>
              <w:t xml:space="preserve"> </w:t>
            </w:r>
            <w:r w:rsidRPr="00814C24">
              <w:rPr>
                <w:color w:val="000000" w:themeColor="text1"/>
                <w:sz w:val="24"/>
                <w:szCs w:val="24"/>
              </w:rPr>
              <w:t>și</w:t>
            </w:r>
            <w:r w:rsidRPr="00814C24">
              <w:rPr>
                <w:color w:val="000000" w:themeColor="text1"/>
                <w:spacing w:val="1"/>
                <w:sz w:val="24"/>
                <w:szCs w:val="24"/>
              </w:rPr>
              <w:t xml:space="preserve"> </w:t>
            </w:r>
            <w:r w:rsidRPr="00814C24">
              <w:rPr>
                <w:color w:val="000000" w:themeColor="text1"/>
                <w:sz w:val="24"/>
                <w:szCs w:val="24"/>
              </w:rPr>
              <w:t>funcțiilor</w:t>
            </w:r>
            <w:r w:rsidRPr="00814C24">
              <w:rPr>
                <w:color w:val="000000" w:themeColor="text1"/>
                <w:spacing w:val="1"/>
                <w:sz w:val="24"/>
                <w:szCs w:val="24"/>
              </w:rPr>
              <w:t xml:space="preserve"> </w:t>
            </w:r>
            <w:r w:rsidRPr="00814C24">
              <w:rPr>
                <w:color w:val="000000" w:themeColor="text1"/>
                <w:sz w:val="24"/>
                <w:szCs w:val="24"/>
              </w:rPr>
              <w:t>ar</w:t>
            </w:r>
            <w:r w:rsidRPr="00814C24">
              <w:rPr>
                <w:color w:val="000000" w:themeColor="text1"/>
                <w:spacing w:val="1"/>
                <w:sz w:val="24"/>
                <w:szCs w:val="24"/>
              </w:rPr>
              <w:t xml:space="preserve"> </w:t>
            </w:r>
            <w:r w:rsidRPr="00814C24">
              <w:rPr>
                <w:color w:val="000000" w:themeColor="text1"/>
                <w:sz w:val="24"/>
                <w:szCs w:val="24"/>
              </w:rPr>
              <w:t>trebui</w:t>
            </w:r>
            <w:r w:rsidRPr="00814C24">
              <w:rPr>
                <w:color w:val="000000" w:themeColor="text1"/>
                <w:spacing w:val="1"/>
                <w:sz w:val="24"/>
                <w:szCs w:val="24"/>
              </w:rPr>
              <w:t xml:space="preserve"> </w:t>
            </w:r>
            <w:r w:rsidRPr="00814C24">
              <w:rPr>
                <w:color w:val="000000" w:themeColor="text1"/>
                <w:sz w:val="24"/>
                <w:szCs w:val="24"/>
              </w:rPr>
              <w:t>considerat</w:t>
            </w:r>
            <w:r w:rsidRPr="00814C24">
              <w:rPr>
                <w:color w:val="000000" w:themeColor="text1"/>
                <w:spacing w:val="1"/>
                <w:sz w:val="24"/>
                <w:szCs w:val="24"/>
              </w:rPr>
              <w:t xml:space="preserve"> </w:t>
            </w:r>
            <w:r w:rsidRPr="00814C24">
              <w:rPr>
                <w:color w:val="000000" w:themeColor="text1"/>
                <w:sz w:val="24"/>
                <w:szCs w:val="24"/>
              </w:rPr>
              <w:t>„necunoscut”</w:t>
            </w:r>
            <w:r w:rsidRPr="00814C24">
              <w:rPr>
                <w:color w:val="000000" w:themeColor="text1"/>
                <w:spacing w:val="-57"/>
                <w:sz w:val="24"/>
                <w:szCs w:val="24"/>
              </w:rPr>
              <w:t xml:space="preserve"> </w:t>
            </w:r>
            <w:r w:rsidRPr="00814C24">
              <w:rPr>
                <w:color w:val="000000" w:themeColor="text1"/>
                <w:sz w:val="24"/>
                <w:szCs w:val="24"/>
              </w:rPr>
              <w:t>dacă</w:t>
            </w:r>
            <w:r w:rsidRPr="00814C24">
              <w:rPr>
                <w:color w:val="000000" w:themeColor="text1"/>
                <w:spacing w:val="24"/>
                <w:sz w:val="24"/>
                <w:szCs w:val="24"/>
              </w:rPr>
              <w:t xml:space="preserve"> </w:t>
            </w:r>
            <w:r w:rsidRPr="00814C24">
              <w:rPr>
                <w:color w:val="000000" w:themeColor="text1"/>
                <w:sz w:val="24"/>
                <w:szCs w:val="24"/>
              </w:rPr>
              <w:t>mai</w:t>
            </w:r>
            <w:r w:rsidRPr="00814C24">
              <w:rPr>
                <w:color w:val="000000" w:themeColor="text1"/>
                <w:spacing w:val="25"/>
                <w:sz w:val="24"/>
                <w:szCs w:val="24"/>
              </w:rPr>
              <w:t xml:space="preserve"> </w:t>
            </w:r>
            <w:r w:rsidRPr="00814C24">
              <w:rPr>
                <w:color w:val="000000" w:themeColor="text1"/>
                <w:sz w:val="24"/>
                <w:szCs w:val="24"/>
              </w:rPr>
              <w:t>mult</w:t>
            </w:r>
            <w:r w:rsidRPr="00814C24">
              <w:rPr>
                <w:color w:val="000000" w:themeColor="text1"/>
                <w:spacing w:val="25"/>
                <w:sz w:val="24"/>
                <w:szCs w:val="24"/>
              </w:rPr>
              <w:t xml:space="preserve"> </w:t>
            </w:r>
            <w:r w:rsidRPr="00814C24">
              <w:rPr>
                <w:color w:val="000000" w:themeColor="text1"/>
                <w:sz w:val="24"/>
                <w:szCs w:val="24"/>
              </w:rPr>
              <w:t>de</w:t>
            </w:r>
            <w:r w:rsidRPr="00814C24">
              <w:rPr>
                <w:color w:val="000000" w:themeColor="text1"/>
                <w:spacing w:val="24"/>
                <w:sz w:val="24"/>
                <w:szCs w:val="24"/>
              </w:rPr>
              <w:t xml:space="preserve"> </w:t>
            </w:r>
            <w:r w:rsidRPr="00814C24">
              <w:rPr>
                <w:color w:val="000000" w:themeColor="text1"/>
                <w:sz w:val="24"/>
                <w:szCs w:val="24"/>
              </w:rPr>
              <w:t>75%</w:t>
            </w:r>
            <w:r w:rsidRPr="00814C24">
              <w:rPr>
                <w:color w:val="000000" w:themeColor="text1"/>
                <w:spacing w:val="24"/>
                <w:sz w:val="24"/>
                <w:szCs w:val="24"/>
              </w:rPr>
              <w:t xml:space="preserve"> </w:t>
            </w:r>
            <w:r w:rsidRPr="00814C24">
              <w:rPr>
                <w:color w:val="000000" w:themeColor="text1"/>
                <w:sz w:val="24"/>
                <w:szCs w:val="24"/>
              </w:rPr>
              <w:t>din</w:t>
            </w:r>
            <w:r w:rsidRPr="00814C24">
              <w:rPr>
                <w:color w:val="000000" w:themeColor="text1"/>
                <w:spacing w:val="25"/>
                <w:sz w:val="24"/>
                <w:szCs w:val="24"/>
              </w:rPr>
              <w:t xml:space="preserve"> </w:t>
            </w:r>
            <w:r w:rsidRPr="00814C24">
              <w:rPr>
                <w:color w:val="000000" w:themeColor="text1"/>
                <w:sz w:val="24"/>
                <w:szCs w:val="24"/>
              </w:rPr>
              <w:t>suprafața</w:t>
            </w:r>
            <w:r w:rsidRPr="00814C24">
              <w:rPr>
                <w:color w:val="000000" w:themeColor="text1"/>
                <w:spacing w:val="24"/>
                <w:sz w:val="24"/>
                <w:szCs w:val="24"/>
              </w:rPr>
              <w:t xml:space="preserve"> </w:t>
            </w:r>
            <w:r w:rsidRPr="00814C24">
              <w:rPr>
                <w:color w:val="000000" w:themeColor="text1"/>
                <w:sz w:val="24"/>
                <w:szCs w:val="24"/>
              </w:rPr>
              <w:t>habitatului</w:t>
            </w:r>
            <w:r w:rsidRPr="00814C24">
              <w:rPr>
                <w:color w:val="000000" w:themeColor="text1"/>
                <w:spacing w:val="25"/>
                <w:sz w:val="24"/>
                <w:szCs w:val="24"/>
              </w:rPr>
              <w:t xml:space="preserve"> </w:t>
            </w:r>
            <w:r w:rsidRPr="00814C24">
              <w:rPr>
                <w:color w:val="000000" w:themeColor="text1"/>
                <w:sz w:val="24"/>
                <w:szCs w:val="24"/>
              </w:rPr>
              <w:t>are</w:t>
            </w:r>
            <w:r w:rsidRPr="00814C24">
              <w:rPr>
                <w:color w:val="000000" w:themeColor="text1"/>
                <w:spacing w:val="23"/>
                <w:sz w:val="24"/>
                <w:szCs w:val="24"/>
              </w:rPr>
              <w:t xml:space="preserve"> </w:t>
            </w:r>
            <w:r w:rsidRPr="00814C24">
              <w:rPr>
                <w:color w:val="000000" w:themeColor="text1"/>
                <w:sz w:val="24"/>
                <w:szCs w:val="24"/>
              </w:rPr>
              <w:t>condiții</w:t>
            </w:r>
          </w:p>
          <w:p w14:paraId="25AA87CD" w14:textId="77777777" w:rsidR="006735BF" w:rsidRPr="00814C24" w:rsidRDefault="006735BF" w:rsidP="008E33FD">
            <w:pPr>
              <w:pStyle w:val="TableParagraph"/>
              <w:spacing w:before="1" w:line="272" w:lineRule="exact"/>
              <w:ind w:left="912"/>
              <w:jc w:val="both"/>
              <w:rPr>
                <w:color w:val="000000" w:themeColor="text1"/>
                <w:sz w:val="24"/>
                <w:szCs w:val="24"/>
              </w:rPr>
            </w:pPr>
            <w:r w:rsidRPr="00814C24">
              <w:rPr>
                <w:color w:val="000000" w:themeColor="text1"/>
                <w:sz w:val="24"/>
                <w:szCs w:val="24"/>
              </w:rPr>
              <w:t>„necunoscute”</w:t>
            </w:r>
            <w:r w:rsidRPr="00814C24">
              <w:rPr>
                <w:color w:val="000000" w:themeColor="text1"/>
                <w:spacing w:val="-3"/>
                <w:sz w:val="24"/>
                <w:szCs w:val="24"/>
              </w:rPr>
              <w:t xml:space="preserve"> </w:t>
            </w:r>
            <w:r w:rsidRPr="00814C24">
              <w:rPr>
                <w:color w:val="000000" w:themeColor="text1"/>
                <w:sz w:val="24"/>
                <w:szCs w:val="24"/>
              </w:rPr>
              <w:t>(câmpul 6.1).</w:t>
            </w:r>
          </w:p>
        </w:tc>
      </w:tr>
    </w:tbl>
    <w:p w14:paraId="1FB83F4F" w14:textId="77777777" w:rsidR="006735BF" w:rsidRPr="00814C24" w:rsidRDefault="006735BF" w:rsidP="00D54D46">
      <w:pPr>
        <w:pStyle w:val="Heading2"/>
        <w:widowControl w:val="0"/>
        <w:tabs>
          <w:tab w:val="left" w:pos="1186"/>
        </w:tabs>
        <w:autoSpaceDE w:val="0"/>
        <w:autoSpaceDN w:val="0"/>
        <w:spacing w:before="71" w:beforeAutospacing="0" w:after="0" w:afterAutospacing="0"/>
        <w:jc w:val="both"/>
        <w:rPr>
          <w:color w:val="000000" w:themeColor="text1"/>
          <w:sz w:val="24"/>
          <w:szCs w:val="24"/>
          <w:lang w:val="ro-RO"/>
        </w:rPr>
      </w:pPr>
      <w:r w:rsidRPr="00814C24">
        <w:rPr>
          <w:color w:val="000000" w:themeColor="text1"/>
          <w:sz w:val="24"/>
          <w:szCs w:val="24"/>
          <w:lang w:val="ro-RO"/>
        </w:rPr>
        <w:t>Principalele</w:t>
      </w:r>
      <w:r w:rsidRPr="00814C24">
        <w:rPr>
          <w:color w:val="000000" w:themeColor="text1"/>
          <w:spacing w:val="-5"/>
          <w:sz w:val="24"/>
          <w:szCs w:val="24"/>
          <w:lang w:val="ro-RO"/>
        </w:rPr>
        <w:t xml:space="preserve"> </w:t>
      </w:r>
      <w:r w:rsidRPr="00814C24">
        <w:rPr>
          <w:color w:val="000000" w:themeColor="text1"/>
          <w:sz w:val="24"/>
          <w:szCs w:val="24"/>
          <w:lang w:val="ro-RO"/>
        </w:rPr>
        <w:t>presiuni</w:t>
      </w:r>
      <w:r w:rsidRPr="00814C24">
        <w:rPr>
          <w:color w:val="000000" w:themeColor="text1"/>
          <w:spacing w:val="-5"/>
          <w:sz w:val="24"/>
          <w:szCs w:val="24"/>
          <w:lang w:val="ro-RO"/>
        </w:rPr>
        <w:t xml:space="preserve"> </w:t>
      </w:r>
      <w:r w:rsidRPr="00814C24">
        <w:rPr>
          <w:color w:val="000000" w:themeColor="text1"/>
          <w:sz w:val="24"/>
          <w:szCs w:val="24"/>
          <w:lang w:val="ro-RO"/>
        </w:rPr>
        <w:t>și</w:t>
      </w:r>
      <w:r w:rsidRPr="00814C24">
        <w:rPr>
          <w:color w:val="000000" w:themeColor="text1"/>
          <w:spacing w:val="-5"/>
          <w:sz w:val="24"/>
          <w:szCs w:val="24"/>
          <w:lang w:val="ro-RO"/>
        </w:rPr>
        <w:t xml:space="preserve"> </w:t>
      </w:r>
      <w:r w:rsidRPr="00814C24">
        <w:rPr>
          <w:color w:val="000000" w:themeColor="text1"/>
          <w:sz w:val="24"/>
          <w:szCs w:val="24"/>
          <w:lang w:val="ro-RO"/>
        </w:rPr>
        <w:t>amenințări</w:t>
      </w:r>
    </w:p>
    <w:p w14:paraId="7A618E24" w14:textId="77777777" w:rsidR="006735BF" w:rsidRPr="00814C24" w:rsidRDefault="006735BF" w:rsidP="00FC74DD">
      <w:pPr>
        <w:pStyle w:val="BodyText"/>
        <w:spacing w:before="225"/>
        <w:ind w:left="0" w:right="14"/>
        <w:jc w:val="both"/>
        <w:rPr>
          <w:color w:val="000000" w:themeColor="text1"/>
          <w:sz w:val="24"/>
          <w:szCs w:val="24"/>
        </w:rPr>
      </w:pPr>
      <w:r w:rsidRPr="00814C24">
        <w:rPr>
          <w:color w:val="000000" w:themeColor="text1"/>
          <w:sz w:val="24"/>
          <w:szCs w:val="24"/>
          <w:lang w:val="ro-RO"/>
        </w:rPr>
        <w:t>Din punct de vedere al identificării în timp a formelor de impact acestea trebuie clasificate în două</w:t>
      </w:r>
      <w:r w:rsidRPr="00814C24">
        <w:rPr>
          <w:color w:val="000000" w:themeColor="text1"/>
          <w:spacing w:val="1"/>
          <w:sz w:val="24"/>
          <w:szCs w:val="24"/>
          <w:lang w:val="ro-RO"/>
        </w:rPr>
        <w:t xml:space="preserve"> </w:t>
      </w:r>
      <w:r w:rsidRPr="00814C24">
        <w:rPr>
          <w:color w:val="000000" w:themeColor="text1"/>
          <w:sz w:val="24"/>
          <w:szCs w:val="24"/>
          <w:lang w:val="ro-RO"/>
        </w:rPr>
        <w:t xml:space="preserve">categorii: </w:t>
      </w:r>
      <w:r w:rsidRPr="00814C24">
        <w:rPr>
          <w:b/>
          <w:color w:val="000000" w:themeColor="text1"/>
          <w:sz w:val="24"/>
          <w:szCs w:val="24"/>
          <w:lang w:val="ro-RO"/>
        </w:rPr>
        <w:t>presiun</w:t>
      </w:r>
      <w:proofErr w:type="spellStart"/>
      <w:r w:rsidRPr="00814C24">
        <w:rPr>
          <w:b/>
          <w:color w:val="000000" w:themeColor="text1"/>
          <w:sz w:val="24"/>
          <w:szCs w:val="24"/>
        </w:rPr>
        <w:t>i</w:t>
      </w:r>
      <w:proofErr w:type="spellEnd"/>
      <w:r w:rsidRPr="00814C24">
        <w:rPr>
          <w:b/>
          <w:color w:val="000000" w:themeColor="text1"/>
          <w:spacing w:val="1"/>
          <w:sz w:val="24"/>
          <w:szCs w:val="24"/>
        </w:rPr>
        <w:t xml:space="preserve"> </w:t>
      </w:r>
      <w:proofErr w:type="spellStart"/>
      <w:r w:rsidRPr="00814C24">
        <w:rPr>
          <w:color w:val="000000" w:themeColor="text1"/>
          <w:sz w:val="24"/>
          <w:szCs w:val="24"/>
        </w:rPr>
        <w:t>şi</w:t>
      </w:r>
      <w:proofErr w:type="spellEnd"/>
      <w:r w:rsidRPr="00814C24">
        <w:rPr>
          <w:color w:val="000000" w:themeColor="text1"/>
          <w:sz w:val="24"/>
          <w:szCs w:val="24"/>
        </w:rPr>
        <w:t xml:space="preserve"> </w:t>
      </w:r>
      <w:proofErr w:type="spellStart"/>
      <w:r w:rsidRPr="00814C24">
        <w:rPr>
          <w:b/>
          <w:color w:val="000000" w:themeColor="text1"/>
          <w:sz w:val="24"/>
          <w:szCs w:val="24"/>
        </w:rPr>
        <w:t>ameninţări</w:t>
      </w:r>
      <w:proofErr w:type="spellEnd"/>
      <w:r w:rsidRPr="00814C24">
        <w:rPr>
          <w:color w:val="000000" w:themeColor="text1"/>
          <w:sz w:val="24"/>
          <w:szCs w:val="24"/>
        </w:rPr>
        <w:t>:</w:t>
      </w:r>
    </w:p>
    <w:p w14:paraId="0B96F01F" w14:textId="77777777" w:rsidR="006735BF" w:rsidRPr="00814C24" w:rsidRDefault="006735BF" w:rsidP="00FC74DD">
      <w:pPr>
        <w:pStyle w:val="BodyText"/>
        <w:ind w:left="0" w:right="14"/>
        <w:jc w:val="both"/>
        <w:rPr>
          <w:color w:val="000000" w:themeColor="text1"/>
          <w:sz w:val="24"/>
          <w:szCs w:val="24"/>
        </w:rPr>
      </w:pPr>
      <w:proofErr w:type="spellStart"/>
      <w:r w:rsidRPr="00814C24">
        <w:rPr>
          <w:b/>
          <w:color w:val="000000" w:themeColor="text1"/>
          <w:sz w:val="24"/>
          <w:szCs w:val="24"/>
        </w:rPr>
        <w:t>Presiunea</w:t>
      </w:r>
      <w:proofErr w:type="spellEnd"/>
      <w:r w:rsidRPr="00814C24">
        <w:rPr>
          <w:b/>
          <w:color w:val="000000" w:themeColor="text1"/>
          <w:sz w:val="24"/>
          <w:szCs w:val="24"/>
        </w:rPr>
        <w:t xml:space="preserve"> </w:t>
      </w:r>
      <w:r w:rsidRPr="00814C24">
        <w:rPr>
          <w:color w:val="000000" w:themeColor="text1"/>
          <w:sz w:val="24"/>
          <w:szCs w:val="24"/>
        </w:rPr>
        <w:t xml:space="preserve">(P) </w:t>
      </w:r>
      <w:proofErr w:type="spellStart"/>
      <w:r w:rsidRPr="00814C24">
        <w:rPr>
          <w:color w:val="000000" w:themeColor="text1"/>
          <w:sz w:val="24"/>
          <w:szCs w:val="24"/>
        </w:rPr>
        <w:t>reprezintă</w:t>
      </w:r>
      <w:proofErr w:type="spellEnd"/>
      <w:r w:rsidRPr="00814C24">
        <w:rPr>
          <w:color w:val="000000" w:themeColor="text1"/>
          <w:sz w:val="24"/>
          <w:szCs w:val="24"/>
        </w:rPr>
        <w:t xml:space="preserve"> </w:t>
      </w:r>
      <w:proofErr w:type="spellStart"/>
      <w:r w:rsidRPr="00814C24">
        <w:rPr>
          <w:color w:val="000000" w:themeColor="text1"/>
          <w:sz w:val="24"/>
          <w:szCs w:val="24"/>
        </w:rPr>
        <w:t>acea</w:t>
      </w:r>
      <w:proofErr w:type="spellEnd"/>
      <w:r w:rsidRPr="00814C24">
        <w:rPr>
          <w:color w:val="000000" w:themeColor="text1"/>
          <w:sz w:val="24"/>
          <w:szCs w:val="24"/>
        </w:rPr>
        <w:t xml:space="preserve"> </w:t>
      </w:r>
      <w:proofErr w:type="spellStart"/>
      <w:r w:rsidRPr="00814C24">
        <w:rPr>
          <w:color w:val="000000" w:themeColor="text1"/>
          <w:sz w:val="24"/>
          <w:szCs w:val="24"/>
        </w:rPr>
        <w:t>activitate</w:t>
      </w:r>
      <w:proofErr w:type="spellEnd"/>
      <w:r w:rsidRPr="00814C24">
        <w:rPr>
          <w:color w:val="000000" w:themeColor="text1"/>
          <w:sz w:val="24"/>
          <w:szCs w:val="24"/>
        </w:rPr>
        <w:t xml:space="preserve"> cu </w:t>
      </w:r>
      <w:proofErr w:type="spellStart"/>
      <w:r w:rsidRPr="00814C24">
        <w:rPr>
          <w:color w:val="000000" w:themeColor="text1"/>
          <w:sz w:val="24"/>
          <w:szCs w:val="24"/>
        </w:rPr>
        <w:t>potenţial</w:t>
      </w:r>
      <w:proofErr w:type="spellEnd"/>
      <w:r w:rsidRPr="00814C24">
        <w:rPr>
          <w:color w:val="000000" w:themeColor="text1"/>
          <w:sz w:val="24"/>
          <w:szCs w:val="24"/>
        </w:rPr>
        <w:t xml:space="preserve"> impact </w:t>
      </w:r>
      <w:proofErr w:type="spellStart"/>
      <w:r w:rsidRPr="00814C24">
        <w:rPr>
          <w:color w:val="000000" w:themeColor="text1"/>
          <w:sz w:val="24"/>
          <w:szCs w:val="24"/>
        </w:rPr>
        <w:t>negativ</w:t>
      </w:r>
      <w:proofErr w:type="spellEnd"/>
      <w:r w:rsidRPr="00814C24">
        <w:rPr>
          <w:color w:val="000000" w:themeColor="text1"/>
          <w:sz w:val="24"/>
          <w:szCs w:val="24"/>
        </w:rPr>
        <w:t xml:space="preserve"> </w:t>
      </w:r>
      <w:proofErr w:type="spellStart"/>
      <w:r w:rsidRPr="00814C24">
        <w:rPr>
          <w:color w:val="000000" w:themeColor="text1"/>
          <w:sz w:val="24"/>
          <w:szCs w:val="24"/>
        </w:rPr>
        <w:t>asupra</w:t>
      </w:r>
      <w:proofErr w:type="spellEnd"/>
      <w:r w:rsidRPr="00814C24">
        <w:rPr>
          <w:color w:val="000000" w:themeColor="text1"/>
          <w:sz w:val="24"/>
          <w:szCs w:val="24"/>
        </w:rPr>
        <w:t xml:space="preserve"> </w:t>
      </w:r>
      <w:proofErr w:type="spellStart"/>
      <w:r w:rsidRPr="00814C24">
        <w:rPr>
          <w:color w:val="000000" w:themeColor="text1"/>
          <w:sz w:val="24"/>
          <w:szCs w:val="24"/>
        </w:rPr>
        <w:t>stării</w:t>
      </w:r>
      <w:proofErr w:type="spellEnd"/>
      <w:r w:rsidRPr="00814C24">
        <w:rPr>
          <w:color w:val="000000" w:themeColor="text1"/>
          <w:sz w:val="24"/>
          <w:szCs w:val="24"/>
        </w:rPr>
        <w:t xml:space="preserve"> de </w:t>
      </w:r>
      <w:proofErr w:type="spellStart"/>
      <w:r w:rsidRPr="00814C24">
        <w:rPr>
          <w:color w:val="000000" w:themeColor="text1"/>
          <w:sz w:val="24"/>
          <w:szCs w:val="24"/>
        </w:rPr>
        <w:t>conservare</w:t>
      </w:r>
      <w:proofErr w:type="spellEnd"/>
      <w:r w:rsidRPr="00814C24">
        <w:rPr>
          <w:color w:val="000000" w:themeColor="text1"/>
          <w:sz w:val="24"/>
          <w:szCs w:val="24"/>
        </w:rPr>
        <w:t xml:space="preserve"> a</w:t>
      </w:r>
      <w:r w:rsidRPr="00814C24">
        <w:rPr>
          <w:color w:val="000000" w:themeColor="text1"/>
          <w:spacing w:val="1"/>
          <w:sz w:val="24"/>
          <w:szCs w:val="24"/>
        </w:rPr>
        <w:t xml:space="preserve"> </w:t>
      </w:r>
      <w:proofErr w:type="spellStart"/>
      <w:r w:rsidRPr="00814C24">
        <w:rPr>
          <w:color w:val="000000" w:themeColor="text1"/>
          <w:sz w:val="24"/>
          <w:szCs w:val="24"/>
        </w:rPr>
        <w:t>tipurilor</w:t>
      </w:r>
      <w:proofErr w:type="spellEnd"/>
      <w:r w:rsidRPr="00814C24">
        <w:rPr>
          <w:color w:val="000000" w:themeColor="text1"/>
          <w:sz w:val="24"/>
          <w:szCs w:val="24"/>
        </w:rPr>
        <w:t xml:space="preserve"> de </w:t>
      </w:r>
      <w:proofErr w:type="spellStart"/>
      <w:r w:rsidRPr="00814C24">
        <w:rPr>
          <w:color w:val="000000" w:themeColor="text1"/>
          <w:sz w:val="24"/>
          <w:szCs w:val="24"/>
        </w:rPr>
        <w:t>habitate</w:t>
      </w:r>
      <w:proofErr w:type="spellEnd"/>
      <w:r w:rsidRPr="00814C24">
        <w:rPr>
          <w:color w:val="000000" w:themeColor="text1"/>
          <w:sz w:val="24"/>
          <w:szCs w:val="24"/>
        </w:rPr>
        <w:t xml:space="preserve"> de </w:t>
      </w:r>
      <w:proofErr w:type="spellStart"/>
      <w:r w:rsidRPr="00814C24">
        <w:rPr>
          <w:color w:val="000000" w:themeColor="text1"/>
          <w:sz w:val="24"/>
          <w:szCs w:val="24"/>
        </w:rPr>
        <w:t>interes</w:t>
      </w:r>
      <w:proofErr w:type="spellEnd"/>
      <w:r w:rsidRPr="00814C24">
        <w:rPr>
          <w:color w:val="000000" w:themeColor="text1"/>
          <w:sz w:val="24"/>
          <w:szCs w:val="24"/>
        </w:rPr>
        <w:t xml:space="preserve"> </w:t>
      </w:r>
      <w:proofErr w:type="spellStart"/>
      <w:r w:rsidRPr="00814C24">
        <w:rPr>
          <w:color w:val="000000" w:themeColor="text1"/>
          <w:sz w:val="24"/>
          <w:szCs w:val="24"/>
        </w:rPr>
        <w:t>comunitar</w:t>
      </w:r>
      <w:proofErr w:type="spellEnd"/>
      <w:r w:rsidRPr="00814C24">
        <w:rPr>
          <w:color w:val="000000" w:themeColor="text1"/>
          <w:sz w:val="24"/>
          <w:szCs w:val="24"/>
        </w:rPr>
        <w:t xml:space="preserve">, care se </w:t>
      </w:r>
      <w:proofErr w:type="spellStart"/>
      <w:r w:rsidRPr="00814C24">
        <w:rPr>
          <w:color w:val="000000" w:themeColor="text1"/>
          <w:sz w:val="24"/>
          <w:szCs w:val="24"/>
        </w:rPr>
        <w:t>desfăşoară</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prezent</w:t>
      </w:r>
      <w:proofErr w:type="spellEnd"/>
      <w:r w:rsidRPr="00814C24">
        <w:rPr>
          <w:color w:val="000000" w:themeColor="text1"/>
          <w:sz w:val="24"/>
          <w:szCs w:val="24"/>
        </w:rPr>
        <w:t xml:space="preserve"> </w:t>
      </w:r>
      <w:proofErr w:type="spellStart"/>
      <w:r w:rsidRPr="00814C24">
        <w:rPr>
          <w:color w:val="000000" w:themeColor="text1"/>
          <w:sz w:val="24"/>
          <w:szCs w:val="24"/>
        </w:rPr>
        <w:t>sau</w:t>
      </w:r>
      <w:proofErr w:type="spellEnd"/>
      <w:r w:rsidRPr="00814C24">
        <w:rPr>
          <w:color w:val="000000" w:themeColor="text1"/>
          <w:sz w:val="24"/>
          <w:szCs w:val="24"/>
        </w:rPr>
        <w:t xml:space="preserve"> care s-a </w:t>
      </w:r>
      <w:proofErr w:type="spellStart"/>
      <w:r w:rsidRPr="00814C24">
        <w:rPr>
          <w:color w:val="000000" w:themeColor="text1"/>
          <w:sz w:val="24"/>
          <w:szCs w:val="24"/>
        </w:rPr>
        <w:t>derulat</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trecut</w:t>
      </w:r>
      <w:proofErr w:type="spellEnd"/>
      <w:r w:rsidRPr="00814C24">
        <w:rPr>
          <w:color w:val="000000" w:themeColor="text1"/>
          <w:sz w:val="24"/>
          <w:szCs w:val="24"/>
        </w:rPr>
        <w:t>,</w:t>
      </w:r>
      <w:r w:rsidRPr="00814C24">
        <w:rPr>
          <w:color w:val="000000" w:themeColor="text1"/>
          <w:spacing w:val="-57"/>
          <w:sz w:val="24"/>
          <w:szCs w:val="24"/>
        </w:rPr>
        <w:t xml:space="preserve"> </w:t>
      </w:r>
      <w:proofErr w:type="spellStart"/>
      <w:r w:rsidRPr="00814C24">
        <w:rPr>
          <w:color w:val="000000" w:themeColor="text1"/>
          <w:sz w:val="24"/>
          <w:szCs w:val="24"/>
        </w:rPr>
        <w:t>dar</w:t>
      </w:r>
      <w:proofErr w:type="spellEnd"/>
      <w:r w:rsidRPr="00814C24">
        <w:rPr>
          <w:color w:val="000000" w:themeColor="text1"/>
          <w:spacing w:val="-1"/>
          <w:sz w:val="24"/>
          <w:szCs w:val="24"/>
        </w:rPr>
        <w:t xml:space="preserve"> </w:t>
      </w:r>
      <w:r w:rsidRPr="00814C24">
        <w:rPr>
          <w:color w:val="000000" w:themeColor="text1"/>
          <w:sz w:val="24"/>
          <w:szCs w:val="24"/>
        </w:rPr>
        <w:t>ale</w:t>
      </w:r>
      <w:r w:rsidRPr="00814C24">
        <w:rPr>
          <w:color w:val="000000" w:themeColor="text1"/>
          <w:spacing w:val="1"/>
          <w:sz w:val="24"/>
          <w:szCs w:val="24"/>
        </w:rPr>
        <w:t xml:space="preserve"> </w:t>
      </w:r>
      <w:proofErr w:type="spellStart"/>
      <w:r w:rsidRPr="00814C24">
        <w:rPr>
          <w:color w:val="000000" w:themeColor="text1"/>
          <w:sz w:val="24"/>
          <w:szCs w:val="24"/>
        </w:rPr>
        <w:t>cărui</w:t>
      </w:r>
      <w:proofErr w:type="spellEnd"/>
      <w:r w:rsidRPr="00814C24">
        <w:rPr>
          <w:color w:val="000000" w:themeColor="text1"/>
          <w:spacing w:val="2"/>
          <w:sz w:val="24"/>
          <w:szCs w:val="24"/>
        </w:rPr>
        <w:t xml:space="preserve"> </w:t>
      </w:r>
      <w:proofErr w:type="spellStart"/>
      <w:r w:rsidRPr="00814C24">
        <w:rPr>
          <w:color w:val="000000" w:themeColor="text1"/>
          <w:sz w:val="24"/>
          <w:szCs w:val="24"/>
        </w:rPr>
        <w:t>efectele</w:t>
      </w:r>
      <w:proofErr w:type="spellEnd"/>
      <w:r w:rsidRPr="00814C24">
        <w:rPr>
          <w:color w:val="000000" w:themeColor="text1"/>
          <w:spacing w:val="-1"/>
          <w:sz w:val="24"/>
          <w:szCs w:val="24"/>
        </w:rPr>
        <w:t xml:space="preserve"> </w:t>
      </w:r>
      <w:r w:rsidRPr="00814C24">
        <w:rPr>
          <w:color w:val="000000" w:themeColor="text1"/>
          <w:sz w:val="24"/>
          <w:szCs w:val="24"/>
        </w:rPr>
        <w:t>negative</w:t>
      </w:r>
      <w:r w:rsidRPr="00814C24">
        <w:rPr>
          <w:color w:val="000000" w:themeColor="text1"/>
          <w:spacing w:val="-1"/>
          <w:sz w:val="24"/>
          <w:szCs w:val="24"/>
        </w:rPr>
        <w:t xml:space="preserve"> </w:t>
      </w:r>
      <w:proofErr w:type="spellStart"/>
      <w:r w:rsidRPr="00814C24">
        <w:rPr>
          <w:color w:val="000000" w:themeColor="text1"/>
          <w:sz w:val="24"/>
          <w:szCs w:val="24"/>
        </w:rPr>
        <w:t>încă</w:t>
      </w:r>
      <w:proofErr w:type="spellEnd"/>
      <w:r w:rsidRPr="00814C24">
        <w:rPr>
          <w:color w:val="000000" w:themeColor="text1"/>
          <w:spacing w:val="-2"/>
          <w:sz w:val="24"/>
          <w:szCs w:val="24"/>
        </w:rPr>
        <w:t xml:space="preserve"> </w:t>
      </w:r>
      <w:proofErr w:type="spellStart"/>
      <w:r w:rsidRPr="00814C24">
        <w:rPr>
          <w:color w:val="000000" w:themeColor="text1"/>
          <w:sz w:val="24"/>
          <w:szCs w:val="24"/>
        </w:rPr>
        <w:t>persistă</w:t>
      </w:r>
      <w:proofErr w:type="spellEnd"/>
      <w:r w:rsidRPr="00814C24">
        <w:rPr>
          <w:color w:val="000000" w:themeColor="text1"/>
          <w:sz w:val="24"/>
          <w:szCs w:val="24"/>
        </w:rPr>
        <w:t>.</w:t>
      </w:r>
    </w:p>
    <w:p w14:paraId="38867E40" w14:textId="77777777" w:rsidR="006735BF" w:rsidRPr="00814C24" w:rsidRDefault="006735BF" w:rsidP="00FC74DD">
      <w:pPr>
        <w:pStyle w:val="BodyText"/>
        <w:ind w:left="0" w:right="14"/>
        <w:jc w:val="both"/>
        <w:rPr>
          <w:color w:val="000000" w:themeColor="text1"/>
          <w:sz w:val="24"/>
          <w:szCs w:val="24"/>
        </w:rPr>
      </w:pPr>
      <w:proofErr w:type="spellStart"/>
      <w:r w:rsidRPr="00814C24">
        <w:rPr>
          <w:b/>
          <w:color w:val="000000" w:themeColor="text1"/>
          <w:sz w:val="24"/>
          <w:szCs w:val="24"/>
        </w:rPr>
        <w:t>Ameninţarea</w:t>
      </w:r>
      <w:proofErr w:type="spellEnd"/>
      <w:r w:rsidRPr="00814C24">
        <w:rPr>
          <w:b/>
          <w:color w:val="000000" w:themeColor="text1"/>
          <w:sz w:val="24"/>
          <w:szCs w:val="24"/>
        </w:rPr>
        <w:t xml:space="preserve"> </w:t>
      </w:r>
      <w:r w:rsidRPr="00814C24">
        <w:rPr>
          <w:color w:val="000000" w:themeColor="text1"/>
          <w:sz w:val="24"/>
          <w:szCs w:val="24"/>
        </w:rPr>
        <w:t xml:space="preserve">(A) </w:t>
      </w:r>
      <w:proofErr w:type="spellStart"/>
      <w:r w:rsidRPr="00814C24">
        <w:rPr>
          <w:color w:val="000000" w:themeColor="text1"/>
          <w:sz w:val="24"/>
          <w:szCs w:val="24"/>
        </w:rPr>
        <w:t>reprezintă</w:t>
      </w:r>
      <w:proofErr w:type="spellEnd"/>
      <w:r w:rsidRPr="00814C24">
        <w:rPr>
          <w:color w:val="000000" w:themeColor="text1"/>
          <w:sz w:val="24"/>
          <w:szCs w:val="24"/>
        </w:rPr>
        <w:t xml:space="preserve"> </w:t>
      </w:r>
      <w:proofErr w:type="spellStart"/>
      <w:r w:rsidRPr="00814C24">
        <w:rPr>
          <w:color w:val="000000" w:themeColor="text1"/>
          <w:sz w:val="24"/>
          <w:szCs w:val="24"/>
        </w:rPr>
        <w:t>acea</w:t>
      </w:r>
      <w:proofErr w:type="spellEnd"/>
      <w:r w:rsidRPr="00814C24">
        <w:rPr>
          <w:color w:val="000000" w:themeColor="text1"/>
          <w:sz w:val="24"/>
          <w:szCs w:val="24"/>
        </w:rPr>
        <w:t xml:space="preserve"> </w:t>
      </w:r>
      <w:proofErr w:type="spellStart"/>
      <w:r w:rsidRPr="00814C24">
        <w:rPr>
          <w:color w:val="000000" w:themeColor="text1"/>
          <w:sz w:val="24"/>
          <w:szCs w:val="24"/>
        </w:rPr>
        <w:t>activitate</w:t>
      </w:r>
      <w:proofErr w:type="spellEnd"/>
      <w:r w:rsidRPr="00814C24">
        <w:rPr>
          <w:color w:val="000000" w:themeColor="text1"/>
          <w:sz w:val="24"/>
          <w:szCs w:val="24"/>
        </w:rPr>
        <w:t xml:space="preserve"> cu </w:t>
      </w:r>
      <w:proofErr w:type="spellStart"/>
      <w:r w:rsidRPr="00814C24">
        <w:rPr>
          <w:color w:val="000000" w:themeColor="text1"/>
          <w:sz w:val="24"/>
          <w:szCs w:val="24"/>
        </w:rPr>
        <w:t>potenţial</w:t>
      </w:r>
      <w:proofErr w:type="spellEnd"/>
      <w:r w:rsidRPr="00814C24">
        <w:rPr>
          <w:color w:val="000000" w:themeColor="text1"/>
          <w:sz w:val="24"/>
          <w:szCs w:val="24"/>
        </w:rPr>
        <w:t xml:space="preserve"> impact </w:t>
      </w:r>
      <w:proofErr w:type="spellStart"/>
      <w:r w:rsidRPr="00814C24">
        <w:rPr>
          <w:color w:val="000000" w:themeColor="text1"/>
          <w:sz w:val="24"/>
          <w:szCs w:val="24"/>
        </w:rPr>
        <w:t>negativ</w:t>
      </w:r>
      <w:proofErr w:type="spellEnd"/>
      <w:r w:rsidRPr="00814C24">
        <w:rPr>
          <w:color w:val="000000" w:themeColor="text1"/>
          <w:sz w:val="24"/>
          <w:szCs w:val="24"/>
        </w:rPr>
        <w:t xml:space="preserve"> </w:t>
      </w:r>
      <w:proofErr w:type="spellStart"/>
      <w:r w:rsidRPr="00814C24">
        <w:rPr>
          <w:color w:val="000000" w:themeColor="text1"/>
          <w:sz w:val="24"/>
          <w:szCs w:val="24"/>
        </w:rPr>
        <w:t>asupra</w:t>
      </w:r>
      <w:proofErr w:type="spellEnd"/>
      <w:r w:rsidRPr="00814C24">
        <w:rPr>
          <w:color w:val="000000" w:themeColor="text1"/>
          <w:sz w:val="24"/>
          <w:szCs w:val="24"/>
        </w:rPr>
        <w:t xml:space="preserve"> </w:t>
      </w:r>
      <w:proofErr w:type="spellStart"/>
      <w:r w:rsidRPr="00814C24">
        <w:rPr>
          <w:color w:val="000000" w:themeColor="text1"/>
          <w:sz w:val="24"/>
          <w:szCs w:val="24"/>
        </w:rPr>
        <w:t>stării</w:t>
      </w:r>
      <w:proofErr w:type="spellEnd"/>
      <w:r w:rsidRPr="00814C24">
        <w:rPr>
          <w:color w:val="000000" w:themeColor="text1"/>
          <w:sz w:val="24"/>
          <w:szCs w:val="24"/>
        </w:rPr>
        <w:t xml:space="preserve"> de </w:t>
      </w:r>
      <w:proofErr w:type="spellStart"/>
      <w:r w:rsidRPr="00814C24">
        <w:rPr>
          <w:color w:val="000000" w:themeColor="text1"/>
          <w:sz w:val="24"/>
          <w:szCs w:val="24"/>
        </w:rPr>
        <w:t>conservare</w:t>
      </w:r>
      <w:proofErr w:type="spellEnd"/>
      <w:r w:rsidRPr="00814C24">
        <w:rPr>
          <w:color w:val="000000" w:themeColor="text1"/>
          <w:sz w:val="24"/>
          <w:szCs w:val="24"/>
        </w:rPr>
        <w:t xml:space="preserve"> a</w:t>
      </w:r>
      <w:r w:rsidRPr="00814C24">
        <w:rPr>
          <w:color w:val="000000" w:themeColor="text1"/>
          <w:spacing w:val="-57"/>
          <w:sz w:val="24"/>
          <w:szCs w:val="24"/>
        </w:rPr>
        <w:t xml:space="preserve"> </w:t>
      </w:r>
      <w:proofErr w:type="spellStart"/>
      <w:r w:rsidRPr="00814C24">
        <w:rPr>
          <w:color w:val="000000" w:themeColor="text1"/>
          <w:sz w:val="24"/>
          <w:szCs w:val="24"/>
        </w:rPr>
        <w:t>tipurilor</w:t>
      </w:r>
      <w:proofErr w:type="spellEnd"/>
      <w:r w:rsidRPr="00814C24">
        <w:rPr>
          <w:color w:val="000000" w:themeColor="text1"/>
          <w:sz w:val="24"/>
          <w:szCs w:val="24"/>
        </w:rPr>
        <w:t xml:space="preserve"> de </w:t>
      </w:r>
      <w:proofErr w:type="spellStart"/>
      <w:r w:rsidRPr="00814C24">
        <w:rPr>
          <w:color w:val="000000" w:themeColor="text1"/>
          <w:sz w:val="24"/>
          <w:szCs w:val="24"/>
        </w:rPr>
        <w:t>habitate</w:t>
      </w:r>
      <w:proofErr w:type="spellEnd"/>
      <w:r w:rsidRPr="00814C24">
        <w:rPr>
          <w:color w:val="000000" w:themeColor="text1"/>
          <w:sz w:val="24"/>
          <w:szCs w:val="24"/>
        </w:rPr>
        <w:t xml:space="preserve"> de </w:t>
      </w:r>
      <w:proofErr w:type="spellStart"/>
      <w:r w:rsidRPr="00814C24">
        <w:rPr>
          <w:color w:val="000000" w:themeColor="text1"/>
          <w:sz w:val="24"/>
          <w:szCs w:val="24"/>
        </w:rPr>
        <w:t>interes</w:t>
      </w:r>
      <w:proofErr w:type="spellEnd"/>
      <w:r w:rsidRPr="00814C24">
        <w:rPr>
          <w:color w:val="000000" w:themeColor="text1"/>
          <w:sz w:val="24"/>
          <w:szCs w:val="24"/>
        </w:rPr>
        <w:t xml:space="preserve"> </w:t>
      </w:r>
      <w:proofErr w:type="spellStart"/>
      <w:r w:rsidRPr="00814C24">
        <w:rPr>
          <w:color w:val="000000" w:themeColor="text1"/>
          <w:sz w:val="24"/>
          <w:szCs w:val="24"/>
        </w:rPr>
        <w:t>comunitar</w:t>
      </w:r>
      <w:proofErr w:type="spellEnd"/>
      <w:r w:rsidRPr="00814C24">
        <w:rPr>
          <w:color w:val="000000" w:themeColor="text1"/>
          <w:sz w:val="24"/>
          <w:szCs w:val="24"/>
        </w:rPr>
        <w:t xml:space="preserve">, care </w:t>
      </w:r>
      <w:proofErr w:type="spellStart"/>
      <w:r w:rsidRPr="00814C24">
        <w:rPr>
          <w:color w:val="000000" w:themeColor="text1"/>
          <w:sz w:val="24"/>
          <w:szCs w:val="24"/>
        </w:rPr>
        <w:t>este</w:t>
      </w:r>
      <w:proofErr w:type="spellEnd"/>
      <w:r w:rsidRPr="00814C24">
        <w:rPr>
          <w:color w:val="000000" w:themeColor="text1"/>
          <w:sz w:val="24"/>
          <w:szCs w:val="24"/>
        </w:rPr>
        <w:t xml:space="preserve"> </w:t>
      </w:r>
      <w:proofErr w:type="spellStart"/>
      <w:r w:rsidRPr="00814C24">
        <w:rPr>
          <w:color w:val="000000" w:themeColor="text1"/>
          <w:sz w:val="24"/>
          <w:szCs w:val="24"/>
        </w:rPr>
        <w:t>preconizată</w:t>
      </w:r>
      <w:proofErr w:type="spellEnd"/>
      <w:r w:rsidRPr="00814C24">
        <w:rPr>
          <w:color w:val="000000" w:themeColor="text1"/>
          <w:sz w:val="24"/>
          <w:szCs w:val="24"/>
        </w:rPr>
        <w:t xml:space="preserve"> </w:t>
      </w:r>
      <w:proofErr w:type="spellStart"/>
      <w:r w:rsidRPr="00814C24">
        <w:rPr>
          <w:color w:val="000000" w:themeColor="text1"/>
          <w:sz w:val="24"/>
          <w:szCs w:val="24"/>
        </w:rPr>
        <w:t>să</w:t>
      </w:r>
      <w:proofErr w:type="spellEnd"/>
      <w:r w:rsidRPr="00814C24">
        <w:rPr>
          <w:color w:val="000000" w:themeColor="text1"/>
          <w:sz w:val="24"/>
          <w:szCs w:val="24"/>
        </w:rPr>
        <w:t xml:space="preserve"> se </w:t>
      </w:r>
      <w:proofErr w:type="spellStart"/>
      <w:r w:rsidRPr="00814C24">
        <w:rPr>
          <w:color w:val="000000" w:themeColor="text1"/>
          <w:sz w:val="24"/>
          <w:szCs w:val="24"/>
        </w:rPr>
        <w:t>deruleze</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viitor</w:t>
      </w:r>
      <w:proofErr w:type="spellEnd"/>
      <w:r w:rsidRPr="00814C24">
        <w:rPr>
          <w:color w:val="000000" w:themeColor="text1"/>
          <w:sz w:val="24"/>
          <w:szCs w:val="24"/>
        </w:rPr>
        <w:t xml:space="preserve">. O </w:t>
      </w:r>
      <w:proofErr w:type="spellStart"/>
      <w:r w:rsidRPr="00814C24">
        <w:rPr>
          <w:color w:val="000000" w:themeColor="text1"/>
          <w:sz w:val="24"/>
          <w:szCs w:val="24"/>
        </w:rPr>
        <w:t>presiune</w:t>
      </w:r>
      <w:proofErr w:type="spellEnd"/>
      <w:r w:rsidRPr="00814C24">
        <w:rPr>
          <w:color w:val="000000" w:themeColor="text1"/>
          <w:spacing w:val="1"/>
          <w:sz w:val="24"/>
          <w:szCs w:val="24"/>
        </w:rPr>
        <w:t xml:space="preserve"> </w:t>
      </w:r>
      <w:proofErr w:type="spellStart"/>
      <w:r w:rsidRPr="00814C24">
        <w:rPr>
          <w:color w:val="000000" w:themeColor="text1"/>
          <w:sz w:val="24"/>
          <w:szCs w:val="24"/>
        </w:rPr>
        <w:t>poate</w:t>
      </w:r>
      <w:proofErr w:type="spellEnd"/>
      <w:r w:rsidRPr="00814C24">
        <w:rPr>
          <w:color w:val="000000" w:themeColor="text1"/>
          <w:sz w:val="24"/>
          <w:szCs w:val="24"/>
        </w:rPr>
        <w:t xml:space="preserve"> fi </w:t>
      </w:r>
      <w:proofErr w:type="spellStart"/>
      <w:r w:rsidRPr="00814C24">
        <w:rPr>
          <w:color w:val="000000" w:themeColor="text1"/>
          <w:sz w:val="24"/>
          <w:szCs w:val="24"/>
        </w:rPr>
        <w:t>considerată</w:t>
      </w:r>
      <w:proofErr w:type="spellEnd"/>
      <w:r w:rsidRPr="00814C24">
        <w:rPr>
          <w:color w:val="000000" w:themeColor="text1"/>
          <w:sz w:val="24"/>
          <w:szCs w:val="24"/>
        </w:rPr>
        <w:t xml:space="preserve"> </w:t>
      </w:r>
      <w:proofErr w:type="spellStart"/>
      <w:r w:rsidRPr="00814C24">
        <w:rPr>
          <w:color w:val="000000" w:themeColor="text1"/>
          <w:sz w:val="24"/>
          <w:szCs w:val="24"/>
        </w:rPr>
        <w:t>ameninţare</w:t>
      </w:r>
      <w:proofErr w:type="spellEnd"/>
      <w:r w:rsidRPr="00814C24">
        <w:rPr>
          <w:color w:val="000000" w:themeColor="text1"/>
          <w:sz w:val="24"/>
          <w:szCs w:val="24"/>
        </w:rPr>
        <w:t xml:space="preserve"> </w:t>
      </w:r>
      <w:proofErr w:type="spellStart"/>
      <w:r w:rsidRPr="00814C24">
        <w:rPr>
          <w:color w:val="000000" w:themeColor="text1"/>
          <w:sz w:val="24"/>
          <w:szCs w:val="24"/>
        </w:rPr>
        <w:t>dacă</w:t>
      </w:r>
      <w:proofErr w:type="spellEnd"/>
      <w:r w:rsidRPr="00814C24">
        <w:rPr>
          <w:color w:val="000000" w:themeColor="text1"/>
          <w:sz w:val="24"/>
          <w:szCs w:val="24"/>
        </w:rPr>
        <w:t xml:space="preserve"> se </w:t>
      </w:r>
      <w:proofErr w:type="spellStart"/>
      <w:r w:rsidRPr="00814C24">
        <w:rPr>
          <w:color w:val="000000" w:themeColor="text1"/>
          <w:sz w:val="24"/>
          <w:szCs w:val="24"/>
        </w:rPr>
        <w:t>preconizează</w:t>
      </w:r>
      <w:proofErr w:type="spellEnd"/>
      <w:r w:rsidRPr="00814C24">
        <w:rPr>
          <w:color w:val="000000" w:themeColor="text1"/>
          <w:sz w:val="24"/>
          <w:szCs w:val="24"/>
        </w:rPr>
        <w:t xml:space="preserve"> o </w:t>
      </w:r>
      <w:proofErr w:type="spellStart"/>
      <w:r w:rsidRPr="00814C24">
        <w:rPr>
          <w:color w:val="000000" w:themeColor="text1"/>
          <w:sz w:val="24"/>
          <w:szCs w:val="24"/>
        </w:rPr>
        <w:t>creştere</w:t>
      </w:r>
      <w:proofErr w:type="spellEnd"/>
      <w:r w:rsidRPr="00814C24">
        <w:rPr>
          <w:color w:val="000000" w:themeColor="text1"/>
          <w:sz w:val="24"/>
          <w:szCs w:val="24"/>
        </w:rPr>
        <w:t xml:space="preserve"> </w:t>
      </w:r>
      <w:proofErr w:type="spellStart"/>
      <w:r w:rsidRPr="00814C24">
        <w:rPr>
          <w:color w:val="000000" w:themeColor="text1"/>
          <w:sz w:val="24"/>
          <w:szCs w:val="24"/>
        </w:rPr>
        <w:t>semnificativă</w:t>
      </w:r>
      <w:proofErr w:type="spellEnd"/>
      <w:r w:rsidRPr="00814C24">
        <w:rPr>
          <w:color w:val="000000" w:themeColor="text1"/>
          <w:sz w:val="24"/>
          <w:szCs w:val="24"/>
        </w:rPr>
        <w:t xml:space="preserve"> a </w:t>
      </w:r>
      <w:proofErr w:type="spellStart"/>
      <w:r w:rsidRPr="00814C24">
        <w:rPr>
          <w:color w:val="000000" w:themeColor="text1"/>
          <w:sz w:val="24"/>
          <w:szCs w:val="24"/>
        </w:rPr>
        <w:t>intensităţii</w:t>
      </w:r>
      <w:proofErr w:type="spellEnd"/>
      <w:r w:rsidRPr="00814C24">
        <w:rPr>
          <w:color w:val="000000" w:themeColor="text1"/>
          <w:sz w:val="24"/>
          <w:szCs w:val="24"/>
        </w:rPr>
        <w:t xml:space="preserve"> </w:t>
      </w:r>
      <w:proofErr w:type="spellStart"/>
      <w:r w:rsidRPr="00814C24">
        <w:rPr>
          <w:color w:val="000000" w:themeColor="text1"/>
          <w:sz w:val="24"/>
          <w:szCs w:val="24"/>
        </w:rPr>
        <w:t>acesteia</w:t>
      </w:r>
      <w:proofErr w:type="spellEnd"/>
      <w:r w:rsidRPr="00814C24">
        <w:rPr>
          <w:color w:val="000000" w:themeColor="text1"/>
          <w:spacing w:val="1"/>
          <w:sz w:val="24"/>
          <w:szCs w:val="24"/>
        </w:rPr>
        <w:t xml:space="preserve"> </w:t>
      </w:r>
      <w:proofErr w:type="spellStart"/>
      <w:r w:rsidRPr="00814C24">
        <w:rPr>
          <w:color w:val="000000" w:themeColor="text1"/>
          <w:sz w:val="24"/>
          <w:szCs w:val="24"/>
        </w:rPr>
        <w:t>sau</w:t>
      </w:r>
      <w:proofErr w:type="spellEnd"/>
      <w:r w:rsidRPr="00814C24">
        <w:rPr>
          <w:color w:val="000000" w:themeColor="text1"/>
          <w:spacing w:val="-1"/>
          <w:sz w:val="24"/>
          <w:szCs w:val="24"/>
        </w:rPr>
        <w:t xml:space="preserve"> </w:t>
      </w:r>
      <w:r w:rsidRPr="00814C24">
        <w:rPr>
          <w:color w:val="000000" w:themeColor="text1"/>
          <w:sz w:val="24"/>
          <w:szCs w:val="24"/>
        </w:rPr>
        <w:t xml:space="preserve">o </w:t>
      </w:r>
      <w:proofErr w:type="spellStart"/>
      <w:r w:rsidRPr="00814C24">
        <w:rPr>
          <w:color w:val="000000" w:themeColor="text1"/>
          <w:sz w:val="24"/>
          <w:szCs w:val="24"/>
        </w:rPr>
        <w:t>schimbare</w:t>
      </w:r>
      <w:proofErr w:type="spellEnd"/>
      <w:r w:rsidRPr="00814C24">
        <w:rPr>
          <w:color w:val="000000" w:themeColor="text1"/>
          <w:sz w:val="24"/>
          <w:szCs w:val="24"/>
        </w:rPr>
        <w:t xml:space="preserve"> a</w:t>
      </w:r>
      <w:r w:rsidRPr="00814C24">
        <w:rPr>
          <w:color w:val="000000" w:themeColor="text1"/>
          <w:spacing w:val="-1"/>
          <w:sz w:val="24"/>
          <w:szCs w:val="24"/>
        </w:rPr>
        <w:t xml:space="preserve"> </w:t>
      </w:r>
      <w:proofErr w:type="spellStart"/>
      <w:r w:rsidRPr="00814C24">
        <w:rPr>
          <w:color w:val="000000" w:themeColor="text1"/>
          <w:sz w:val="24"/>
          <w:szCs w:val="24"/>
        </w:rPr>
        <w:t>localizării</w:t>
      </w:r>
      <w:proofErr w:type="spellEnd"/>
      <w:r w:rsidRPr="00814C24">
        <w:rPr>
          <w:color w:val="000000" w:themeColor="text1"/>
          <w:spacing w:val="2"/>
          <w:sz w:val="24"/>
          <w:szCs w:val="24"/>
        </w:rPr>
        <w:t xml:space="preserve"> </w:t>
      </w:r>
      <w:proofErr w:type="spellStart"/>
      <w:r w:rsidRPr="00814C24">
        <w:rPr>
          <w:color w:val="000000" w:themeColor="text1"/>
          <w:sz w:val="24"/>
          <w:szCs w:val="24"/>
        </w:rPr>
        <w:t>respectivei</w:t>
      </w:r>
      <w:proofErr w:type="spellEnd"/>
      <w:r w:rsidRPr="00814C24">
        <w:rPr>
          <w:color w:val="000000" w:themeColor="text1"/>
          <w:spacing w:val="1"/>
          <w:sz w:val="24"/>
          <w:szCs w:val="24"/>
        </w:rPr>
        <w:t xml:space="preserve"> </w:t>
      </w:r>
      <w:proofErr w:type="spellStart"/>
      <w:r w:rsidRPr="00814C24">
        <w:rPr>
          <w:color w:val="000000" w:themeColor="text1"/>
          <w:sz w:val="24"/>
          <w:szCs w:val="24"/>
        </w:rPr>
        <w:t>presiuni</w:t>
      </w:r>
      <w:proofErr w:type="spellEnd"/>
      <w:r w:rsidRPr="00814C24">
        <w:rPr>
          <w:color w:val="000000" w:themeColor="text1"/>
          <w:sz w:val="24"/>
          <w:szCs w:val="24"/>
        </w:rPr>
        <w:t>.</w:t>
      </w:r>
    </w:p>
    <w:p w14:paraId="1AA61E71" w14:textId="77777777" w:rsidR="006735BF" w:rsidRPr="00814C24" w:rsidRDefault="006735BF" w:rsidP="00FC74DD">
      <w:pPr>
        <w:pStyle w:val="BodyText"/>
        <w:spacing w:before="1"/>
        <w:ind w:left="0" w:right="14"/>
        <w:jc w:val="both"/>
        <w:rPr>
          <w:color w:val="000000" w:themeColor="text1"/>
          <w:sz w:val="24"/>
          <w:szCs w:val="24"/>
        </w:rPr>
      </w:pPr>
      <w:r w:rsidRPr="00814C24">
        <w:rPr>
          <w:color w:val="000000" w:themeColor="text1"/>
          <w:sz w:val="24"/>
          <w:szCs w:val="24"/>
        </w:rPr>
        <w:t xml:space="preserve">Este </w:t>
      </w:r>
      <w:proofErr w:type="spellStart"/>
      <w:r w:rsidRPr="00814C24">
        <w:rPr>
          <w:color w:val="000000" w:themeColor="text1"/>
          <w:sz w:val="24"/>
          <w:szCs w:val="24"/>
        </w:rPr>
        <w:t>recomandat</w:t>
      </w:r>
      <w:proofErr w:type="spellEnd"/>
      <w:r w:rsidRPr="00814C24">
        <w:rPr>
          <w:color w:val="000000" w:themeColor="text1"/>
          <w:sz w:val="24"/>
          <w:szCs w:val="24"/>
        </w:rPr>
        <w:t xml:space="preserve"> ca </w:t>
      </w:r>
      <w:proofErr w:type="spellStart"/>
      <w:r w:rsidRPr="00814C24">
        <w:rPr>
          <w:color w:val="000000" w:themeColor="text1"/>
          <w:sz w:val="24"/>
          <w:szCs w:val="24"/>
        </w:rPr>
        <w:t>durata</w:t>
      </w:r>
      <w:proofErr w:type="spellEnd"/>
      <w:r w:rsidRPr="00814C24">
        <w:rPr>
          <w:color w:val="000000" w:themeColor="text1"/>
          <w:sz w:val="24"/>
          <w:szCs w:val="24"/>
        </w:rPr>
        <w:t xml:space="preserve"> de </w:t>
      </w:r>
      <w:proofErr w:type="spellStart"/>
      <w:r w:rsidRPr="00814C24">
        <w:rPr>
          <w:color w:val="000000" w:themeColor="text1"/>
          <w:sz w:val="24"/>
          <w:szCs w:val="24"/>
        </w:rPr>
        <w:t>timp</w:t>
      </w:r>
      <w:proofErr w:type="spellEnd"/>
      <w:r w:rsidRPr="00814C24">
        <w:rPr>
          <w:color w:val="000000" w:themeColor="text1"/>
          <w:sz w:val="24"/>
          <w:szCs w:val="24"/>
        </w:rPr>
        <w:t xml:space="preserve"> </w:t>
      </w:r>
      <w:proofErr w:type="spellStart"/>
      <w:r w:rsidRPr="00814C24">
        <w:rPr>
          <w:color w:val="000000" w:themeColor="text1"/>
          <w:sz w:val="24"/>
          <w:szCs w:val="24"/>
        </w:rPr>
        <w:t>pentru</w:t>
      </w:r>
      <w:proofErr w:type="spellEnd"/>
      <w:r w:rsidRPr="00814C24">
        <w:rPr>
          <w:color w:val="000000" w:themeColor="text1"/>
          <w:sz w:val="24"/>
          <w:szCs w:val="24"/>
        </w:rPr>
        <w:t xml:space="preserve"> </w:t>
      </w:r>
      <w:proofErr w:type="spellStart"/>
      <w:r w:rsidRPr="00814C24">
        <w:rPr>
          <w:color w:val="000000" w:themeColor="text1"/>
          <w:sz w:val="24"/>
          <w:szCs w:val="24"/>
        </w:rPr>
        <w:t>cuantificarea</w:t>
      </w:r>
      <w:proofErr w:type="spellEnd"/>
      <w:r w:rsidRPr="00814C24">
        <w:rPr>
          <w:color w:val="000000" w:themeColor="text1"/>
          <w:sz w:val="24"/>
          <w:szCs w:val="24"/>
        </w:rPr>
        <w:t xml:space="preserve"> </w:t>
      </w:r>
      <w:proofErr w:type="spellStart"/>
      <w:r w:rsidRPr="00814C24">
        <w:rPr>
          <w:color w:val="000000" w:themeColor="text1"/>
          <w:sz w:val="24"/>
          <w:szCs w:val="24"/>
        </w:rPr>
        <w:t>presiunilor</w:t>
      </w:r>
      <w:proofErr w:type="spellEnd"/>
      <w:r w:rsidRPr="00814C24">
        <w:rPr>
          <w:color w:val="000000" w:themeColor="text1"/>
          <w:sz w:val="24"/>
          <w:szCs w:val="24"/>
        </w:rPr>
        <w:t xml:space="preserve"> </w:t>
      </w:r>
      <w:proofErr w:type="spellStart"/>
      <w:r w:rsidRPr="00814C24">
        <w:rPr>
          <w:color w:val="000000" w:themeColor="text1"/>
          <w:sz w:val="24"/>
          <w:szCs w:val="24"/>
        </w:rPr>
        <w:t>să</w:t>
      </w:r>
      <w:proofErr w:type="spellEnd"/>
      <w:r w:rsidRPr="00814C24">
        <w:rPr>
          <w:color w:val="000000" w:themeColor="text1"/>
          <w:sz w:val="24"/>
          <w:szCs w:val="24"/>
        </w:rPr>
        <w:t xml:space="preserve"> fie o </w:t>
      </w:r>
      <w:proofErr w:type="spellStart"/>
      <w:r w:rsidRPr="00814C24">
        <w:rPr>
          <w:color w:val="000000" w:themeColor="text1"/>
          <w:sz w:val="24"/>
          <w:szCs w:val="24"/>
        </w:rPr>
        <w:t>perioadă</w:t>
      </w:r>
      <w:proofErr w:type="spellEnd"/>
      <w:r w:rsidRPr="00814C24">
        <w:rPr>
          <w:color w:val="000000" w:themeColor="text1"/>
          <w:sz w:val="24"/>
          <w:szCs w:val="24"/>
        </w:rPr>
        <w:t xml:space="preserve"> de </w:t>
      </w:r>
      <w:proofErr w:type="spellStart"/>
      <w:r w:rsidRPr="00814C24">
        <w:rPr>
          <w:color w:val="000000" w:themeColor="text1"/>
          <w:sz w:val="24"/>
          <w:szCs w:val="24"/>
        </w:rPr>
        <w:t>raportare</w:t>
      </w:r>
      <w:proofErr w:type="spellEnd"/>
      <w:r w:rsidRPr="00814C24">
        <w:rPr>
          <w:color w:val="000000" w:themeColor="text1"/>
          <w:sz w:val="24"/>
          <w:szCs w:val="24"/>
        </w:rPr>
        <w:t>,</w:t>
      </w:r>
      <w:r w:rsidRPr="00814C24">
        <w:rPr>
          <w:color w:val="000000" w:themeColor="text1"/>
          <w:spacing w:val="1"/>
          <w:sz w:val="24"/>
          <w:szCs w:val="24"/>
        </w:rPr>
        <w:t xml:space="preserve"> </w:t>
      </w:r>
      <w:proofErr w:type="spellStart"/>
      <w:r w:rsidRPr="00814C24">
        <w:rPr>
          <w:color w:val="000000" w:themeColor="text1"/>
          <w:sz w:val="24"/>
          <w:szCs w:val="24"/>
        </w:rPr>
        <w:t>respectiv</w:t>
      </w:r>
      <w:proofErr w:type="spellEnd"/>
      <w:r w:rsidRPr="00814C24">
        <w:rPr>
          <w:color w:val="000000" w:themeColor="text1"/>
          <w:sz w:val="24"/>
          <w:szCs w:val="24"/>
        </w:rPr>
        <w:t xml:space="preserve"> </w:t>
      </w:r>
      <w:proofErr w:type="spellStart"/>
      <w:r w:rsidRPr="00814C24">
        <w:rPr>
          <w:color w:val="000000" w:themeColor="text1"/>
          <w:sz w:val="24"/>
          <w:szCs w:val="24"/>
        </w:rPr>
        <w:t>șase</w:t>
      </w:r>
      <w:proofErr w:type="spellEnd"/>
      <w:r w:rsidRPr="00814C24">
        <w:rPr>
          <w:color w:val="000000" w:themeColor="text1"/>
          <w:sz w:val="24"/>
          <w:szCs w:val="24"/>
        </w:rPr>
        <w:t xml:space="preserve"> ani,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timp</w:t>
      </w:r>
      <w:proofErr w:type="spellEnd"/>
      <w:r w:rsidRPr="00814C24">
        <w:rPr>
          <w:color w:val="000000" w:themeColor="text1"/>
          <w:sz w:val="24"/>
          <w:szCs w:val="24"/>
        </w:rPr>
        <w:t xml:space="preserve"> </w:t>
      </w:r>
      <w:proofErr w:type="spellStart"/>
      <w:r w:rsidRPr="00814C24">
        <w:rPr>
          <w:color w:val="000000" w:themeColor="text1"/>
          <w:sz w:val="24"/>
          <w:szCs w:val="24"/>
        </w:rPr>
        <w:t>ce</w:t>
      </w:r>
      <w:proofErr w:type="spellEnd"/>
      <w:r w:rsidRPr="00814C24">
        <w:rPr>
          <w:color w:val="000000" w:themeColor="text1"/>
          <w:sz w:val="24"/>
          <w:szCs w:val="24"/>
        </w:rPr>
        <w:t xml:space="preserve"> </w:t>
      </w:r>
      <w:proofErr w:type="spellStart"/>
      <w:r w:rsidRPr="00814C24">
        <w:rPr>
          <w:color w:val="000000" w:themeColor="text1"/>
          <w:sz w:val="24"/>
          <w:szCs w:val="24"/>
        </w:rPr>
        <w:t>pentru</w:t>
      </w:r>
      <w:proofErr w:type="spellEnd"/>
      <w:r w:rsidRPr="00814C24">
        <w:rPr>
          <w:color w:val="000000" w:themeColor="text1"/>
          <w:sz w:val="24"/>
          <w:szCs w:val="24"/>
        </w:rPr>
        <w:t xml:space="preserve"> </w:t>
      </w:r>
      <w:proofErr w:type="spellStart"/>
      <w:r w:rsidRPr="00814C24">
        <w:rPr>
          <w:color w:val="000000" w:themeColor="text1"/>
          <w:sz w:val="24"/>
          <w:szCs w:val="24"/>
        </w:rPr>
        <w:t>amenințări</w:t>
      </w:r>
      <w:proofErr w:type="spellEnd"/>
      <w:r w:rsidRPr="00814C24">
        <w:rPr>
          <w:color w:val="000000" w:themeColor="text1"/>
          <w:sz w:val="24"/>
          <w:szCs w:val="24"/>
        </w:rPr>
        <w:t xml:space="preserve"> </w:t>
      </w:r>
      <w:proofErr w:type="spellStart"/>
      <w:r w:rsidRPr="00814C24">
        <w:rPr>
          <w:color w:val="000000" w:themeColor="text1"/>
          <w:sz w:val="24"/>
          <w:szCs w:val="24"/>
        </w:rPr>
        <w:t>aceasta</w:t>
      </w:r>
      <w:proofErr w:type="spellEnd"/>
      <w:r w:rsidRPr="00814C24">
        <w:rPr>
          <w:color w:val="000000" w:themeColor="text1"/>
          <w:sz w:val="24"/>
          <w:szCs w:val="24"/>
        </w:rPr>
        <w:t xml:space="preserve"> </w:t>
      </w:r>
      <w:proofErr w:type="spellStart"/>
      <w:r w:rsidRPr="00814C24">
        <w:rPr>
          <w:color w:val="000000" w:themeColor="text1"/>
          <w:sz w:val="24"/>
          <w:szCs w:val="24"/>
        </w:rPr>
        <w:t>să</w:t>
      </w:r>
      <w:proofErr w:type="spellEnd"/>
      <w:r w:rsidRPr="00814C24">
        <w:rPr>
          <w:color w:val="000000" w:themeColor="text1"/>
          <w:sz w:val="24"/>
          <w:szCs w:val="24"/>
        </w:rPr>
        <w:t xml:space="preserve"> </w:t>
      </w:r>
      <w:proofErr w:type="spellStart"/>
      <w:r w:rsidRPr="00814C24">
        <w:rPr>
          <w:color w:val="000000" w:themeColor="text1"/>
          <w:sz w:val="24"/>
          <w:szCs w:val="24"/>
        </w:rPr>
        <w:t>acopere</w:t>
      </w:r>
      <w:proofErr w:type="spellEnd"/>
      <w:r w:rsidRPr="00814C24">
        <w:rPr>
          <w:color w:val="000000" w:themeColor="text1"/>
          <w:sz w:val="24"/>
          <w:szCs w:val="24"/>
        </w:rPr>
        <w:t xml:space="preserve"> </w:t>
      </w:r>
      <w:proofErr w:type="spellStart"/>
      <w:r w:rsidRPr="00814C24">
        <w:rPr>
          <w:color w:val="000000" w:themeColor="text1"/>
          <w:sz w:val="24"/>
          <w:szCs w:val="24"/>
        </w:rPr>
        <w:t>două</w:t>
      </w:r>
      <w:proofErr w:type="spellEnd"/>
      <w:r w:rsidRPr="00814C24">
        <w:rPr>
          <w:color w:val="000000" w:themeColor="text1"/>
          <w:spacing w:val="1"/>
          <w:sz w:val="24"/>
          <w:szCs w:val="24"/>
        </w:rPr>
        <w:t xml:space="preserve"> </w:t>
      </w:r>
      <w:proofErr w:type="spellStart"/>
      <w:r w:rsidRPr="00814C24">
        <w:rPr>
          <w:color w:val="000000" w:themeColor="text1"/>
          <w:sz w:val="24"/>
          <w:szCs w:val="24"/>
        </w:rPr>
        <w:t>perioade</w:t>
      </w:r>
      <w:proofErr w:type="spellEnd"/>
      <w:r w:rsidRPr="00814C24">
        <w:rPr>
          <w:color w:val="000000" w:themeColor="text1"/>
          <w:sz w:val="24"/>
          <w:szCs w:val="24"/>
        </w:rPr>
        <w:t xml:space="preserve"> </w:t>
      </w:r>
      <w:proofErr w:type="spellStart"/>
      <w:r w:rsidRPr="00814C24">
        <w:rPr>
          <w:color w:val="000000" w:themeColor="text1"/>
          <w:sz w:val="24"/>
          <w:szCs w:val="24"/>
        </w:rPr>
        <w:t>viitoare</w:t>
      </w:r>
      <w:proofErr w:type="spellEnd"/>
      <w:r w:rsidRPr="00814C24">
        <w:rPr>
          <w:color w:val="000000" w:themeColor="text1"/>
          <w:sz w:val="24"/>
          <w:szCs w:val="24"/>
        </w:rPr>
        <w:t xml:space="preserve"> de</w:t>
      </w:r>
      <w:r w:rsidRPr="00814C24">
        <w:rPr>
          <w:color w:val="000000" w:themeColor="text1"/>
          <w:spacing w:val="1"/>
          <w:sz w:val="24"/>
          <w:szCs w:val="24"/>
        </w:rPr>
        <w:t xml:space="preserve"> </w:t>
      </w:r>
      <w:proofErr w:type="spellStart"/>
      <w:r w:rsidRPr="00814C24">
        <w:rPr>
          <w:color w:val="000000" w:themeColor="text1"/>
          <w:sz w:val="24"/>
          <w:szCs w:val="24"/>
        </w:rPr>
        <w:t>raportare</w:t>
      </w:r>
      <w:proofErr w:type="spellEnd"/>
      <w:r w:rsidRPr="00814C24">
        <w:rPr>
          <w:color w:val="000000" w:themeColor="text1"/>
          <w:sz w:val="24"/>
          <w:szCs w:val="24"/>
        </w:rPr>
        <w:t xml:space="preserve">, </w:t>
      </w:r>
      <w:proofErr w:type="spellStart"/>
      <w:r w:rsidRPr="00814C24">
        <w:rPr>
          <w:color w:val="000000" w:themeColor="text1"/>
          <w:sz w:val="24"/>
          <w:szCs w:val="24"/>
        </w:rPr>
        <w:t>respectiv</w:t>
      </w:r>
      <w:proofErr w:type="spellEnd"/>
      <w:r w:rsidRPr="00814C24">
        <w:rPr>
          <w:color w:val="000000" w:themeColor="text1"/>
          <w:sz w:val="24"/>
          <w:szCs w:val="24"/>
        </w:rPr>
        <w:t xml:space="preserve"> 12 ani. </w:t>
      </w:r>
      <w:proofErr w:type="spellStart"/>
      <w:r w:rsidRPr="00814C24">
        <w:rPr>
          <w:color w:val="000000" w:themeColor="text1"/>
          <w:sz w:val="24"/>
          <w:szCs w:val="24"/>
        </w:rPr>
        <w:t>Importanța</w:t>
      </w:r>
      <w:proofErr w:type="spellEnd"/>
      <w:r w:rsidRPr="00814C24">
        <w:rPr>
          <w:color w:val="000000" w:themeColor="text1"/>
          <w:sz w:val="24"/>
          <w:szCs w:val="24"/>
        </w:rPr>
        <w:t xml:space="preserve"> </w:t>
      </w:r>
      <w:proofErr w:type="spellStart"/>
      <w:r w:rsidRPr="00814C24">
        <w:rPr>
          <w:color w:val="000000" w:themeColor="text1"/>
          <w:sz w:val="24"/>
          <w:szCs w:val="24"/>
        </w:rPr>
        <w:t>relativă</w:t>
      </w:r>
      <w:proofErr w:type="spellEnd"/>
      <w:r w:rsidRPr="00814C24">
        <w:rPr>
          <w:color w:val="000000" w:themeColor="text1"/>
          <w:sz w:val="24"/>
          <w:szCs w:val="24"/>
        </w:rPr>
        <w:t xml:space="preserve"> a </w:t>
      </w:r>
      <w:proofErr w:type="spellStart"/>
      <w:r w:rsidRPr="00814C24">
        <w:rPr>
          <w:color w:val="000000" w:themeColor="text1"/>
          <w:sz w:val="24"/>
          <w:szCs w:val="24"/>
        </w:rPr>
        <w:t>amenințărilor</w:t>
      </w:r>
      <w:proofErr w:type="spellEnd"/>
      <w:r w:rsidRPr="00814C24">
        <w:rPr>
          <w:color w:val="000000" w:themeColor="text1"/>
          <w:sz w:val="24"/>
          <w:szCs w:val="24"/>
        </w:rPr>
        <w:t xml:space="preserve"> </w:t>
      </w:r>
      <w:proofErr w:type="spellStart"/>
      <w:r w:rsidRPr="00814C24">
        <w:rPr>
          <w:color w:val="000000" w:themeColor="text1"/>
          <w:sz w:val="24"/>
          <w:szCs w:val="24"/>
        </w:rPr>
        <w:t>și</w:t>
      </w:r>
      <w:proofErr w:type="spellEnd"/>
      <w:r w:rsidRPr="00814C24">
        <w:rPr>
          <w:color w:val="000000" w:themeColor="text1"/>
          <w:sz w:val="24"/>
          <w:szCs w:val="24"/>
        </w:rPr>
        <w:t xml:space="preserve"> </w:t>
      </w:r>
      <w:proofErr w:type="spellStart"/>
      <w:r w:rsidRPr="00814C24">
        <w:rPr>
          <w:color w:val="000000" w:themeColor="text1"/>
          <w:sz w:val="24"/>
          <w:szCs w:val="24"/>
        </w:rPr>
        <w:t>presiunilor</w:t>
      </w:r>
      <w:proofErr w:type="spellEnd"/>
      <w:r w:rsidRPr="00814C24">
        <w:rPr>
          <w:color w:val="000000" w:themeColor="text1"/>
          <w:sz w:val="24"/>
          <w:szCs w:val="24"/>
        </w:rPr>
        <w:t xml:space="preserve"> </w:t>
      </w:r>
      <w:proofErr w:type="spellStart"/>
      <w:r w:rsidRPr="00814C24">
        <w:rPr>
          <w:color w:val="000000" w:themeColor="text1"/>
          <w:sz w:val="24"/>
          <w:szCs w:val="24"/>
        </w:rPr>
        <w:t>trebuie</w:t>
      </w:r>
      <w:proofErr w:type="spellEnd"/>
      <w:r w:rsidRPr="00814C24">
        <w:rPr>
          <w:color w:val="000000" w:themeColor="text1"/>
          <w:sz w:val="24"/>
          <w:szCs w:val="24"/>
        </w:rPr>
        <w:t xml:space="preserve"> </w:t>
      </w:r>
      <w:proofErr w:type="spellStart"/>
      <w:r w:rsidRPr="00814C24">
        <w:rPr>
          <w:color w:val="000000" w:themeColor="text1"/>
          <w:sz w:val="24"/>
          <w:szCs w:val="24"/>
        </w:rPr>
        <w:t>să</w:t>
      </w:r>
      <w:proofErr w:type="spellEnd"/>
      <w:r w:rsidRPr="00814C24">
        <w:rPr>
          <w:color w:val="000000" w:themeColor="text1"/>
          <w:sz w:val="24"/>
          <w:szCs w:val="24"/>
        </w:rPr>
        <w:t xml:space="preserve"> se </w:t>
      </w:r>
      <w:proofErr w:type="spellStart"/>
      <w:r w:rsidRPr="00814C24">
        <w:rPr>
          <w:color w:val="000000" w:themeColor="text1"/>
          <w:sz w:val="24"/>
          <w:szCs w:val="24"/>
        </w:rPr>
        <w:t>încadreze</w:t>
      </w:r>
      <w:proofErr w:type="spellEnd"/>
      <w:r w:rsidRPr="00814C24">
        <w:rPr>
          <w:color w:val="000000" w:themeColor="text1"/>
          <w:spacing w:val="1"/>
          <w:sz w:val="24"/>
          <w:szCs w:val="24"/>
        </w:rPr>
        <w:t xml:space="preserve"> </w:t>
      </w:r>
      <w:proofErr w:type="spellStart"/>
      <w:r w:rsidRPr="00814C24">
        <w:rPr>
          <w:color w:val="000000" w:themeColor="text1"/>
          <w:sz w:val="24"/>
          <w:szCs w:val="24"/>
        </w:rPr>
        <w:t>în</w:t>
      </w:r>
      <w:proofErr w:type="spellEnd"/>
      <w:r w:rsidRPr="00814C24">
        <w:rPr>
          <w:color w:val="000000" w:themeColor="text1"/>
          <w:spacing w:val="-1"/>
          <w:sz w:val="24"/>
          <w:szCs w:val="24"/>
        </w:rPr>
        <w:t xml:space="preserve"> </w:t>
      </w:r>
      <w:proofErr w:type="spellStart"/>
      <w:r w:rsidRPr="00814C24">
        <w:rPr>
          <w:color w:val="000000" w:themeColor="text1"/>
          <w:sz w:val="24"/>
          <w:szCs w:val="24"/>
        </w:rPr>
        <w:t>una</w:t>
      </w:r>
      <w:proofErr w:type="spellEnd"/>
      <w:r w:rsidRPr="00814C24">
        <w:rPr>
          <w:color w:val="000000" w:themeColor="text1"/>
          <w:sz w:val="24"/>
          <w:szCs w:val="24"/>
        </w:rPr>
        <w:t xml:space="preserve"> din </w:t>
      </w:r>
      <w:proofErr w:type="spellStart"/>
      <w:r w:rsidRPr="00814C24">
        <w:rPr>
          <w:color w:val="000000" w:themeColor="text1"/>
          <w:sz w:val="24"/>
          <w:szCs w:val="24"/>
        </w:rPr>
        <w:t>cele</w:t>
      </w:r>
      <w:proofErr w:type="spellEnd"/>
      <w:r w:rsidRPr="00814C24">
        <w:rPr>
          <w:color w:val="000000" w:themeColor="text1"/>
          <w:sz w:val="24"/>
          <w:szCs w:val="24"/>
        </w:rPr>
        <w:t xml:space="preserve"> </w:t>
      </w:r>
      <w:proofErr w:type="spellStart"/>
      <w:r w:rsidRPr="00814C24">
        <w:rPr>
          <w:color w:val="000000" w:themeColor="text1"/>
          <w:sz w:val="24"/>
          <w:szCs w:val="24"/>
        </w:rPr>
        <w:t>trei</w:t>
      </w:r>
      <w:proofErr w:type="spellEnd"/>
      <w:r w:rsidRPr="00814C24">
        <w:rPr>
          <w:color w:val="000000" w:themeColor="text1"/>
          <w:spacing w:val="2"/>
          <w:sz w:val="24"/>
          <w:szCs w:val="24"/>
        </w:rPr>
        <w:t xml:space="preserve"> </w:t>
      </w:r>
      <w:proofErr w:type="spellStart"/>
      <w:r w:rsidRPr="00814C24">
        <w:rPr>
          <w:color w:val="000000" w:themeColor="text1"/>
          <w:sz w:val="24"/>
          <w:szCs w:val="24"/>
        </w:rPr>
        <w:t>categorii</w:t>
      </w:r>
      <w:proofErr w:type="spellEnd"/>
      <w:r w:rsidRPr="00814C24">
        <w:rPr>
          <w:color w:val="000000" w:themeColor="text1"/>
          <w:sz w:val="24"/>
          <w:szCs w:val="24"/>
        </w:rPr>
        <w:t>:</w:t>
      </w:r>
    </w:p>
    <w:p w14:paraId="71EA8993" w14:textId="77777777" w:rsidR="006735BF" w:rsidRPr="00814C24" w:rsidRDefault="006735BF" w:rsidP="00D54D46">
      <w:pPr>
        <w:pStyle w:val="BodyText"/>
        <w:spacing w:before="8"/>
        <w:ind w:left="0"/>
        <w:jc w:val="both"/>
        <w:rPr>
          <w:color w:val="000000" w:themeColor="text1"/>
          <w:sz w:val="24"/>
          <w:szCs w:val="24"/>
        </w:rPr>
      </w:pPr>
    </w:p>
    <w:tbl>
      <w:tblPr>
        <w:tblW w:w="0" w:type="auto"/>
        <w:tblInd w:w="10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4"/>
        <w:gridCol w:w="3097"/>
        <w:gridCol w:w="4189"/>
      </w:tblGrid>
      <w:tr w:rsidR="006735BF" w:rsidRPr="00814C24" w14:paraId="56E7DD3A" w14:textId="77777777" w:rsidTr="00511A4E">
        <w:trPr>
          <w:trHeight w:val="275"/>
        </w:trPr>
        <w:tc>
          <w:tcPr>
            <w:tcW w:w="924" w:type="dxa"/>
          </w:tcPr>
          <w:p w14:paraId="4DACB2E7" w14:textId="77777777" w:rsidR="006735BF" w:rsidRPr="00814C24" w:rsidRDefault="006735BF" w:rsidP="008E33FD">
            <w:pPr>
              <w:pStyle w:val="TableParagraph"/>
              <w:spacing w:line="256" w:lineRule="exact"/>
              <w:ind w:left="107"/>
              <w:jc w:val="both"/>
              <w:rPr>
                <w:b/>
                <w:color w:val="000000" w:themeColor="text1"/>
                <w:sz w:val="24"/>
                <w:szCs w:val="24"/>
              </w:rPr>
            </w:pPr>
            <w:r w:rsidRPr="00814C24">
              <w:rPr>
                <w:b/>
                <w:color w:val="000000" w:themeColor="text1"/>
                <w:sz w:val="24"/>
                <w:szCs w:val="24"/>
              </w:rPr>
              <w:t>Codul</w:t>
            </w:r>
          </w:p>
        </w:tc>
        <w:tc>
          <w:tcPr>
            <w:tcW w:w="3097" w:type="dxa"/>
          </w:tcPr>
          <w:p w14:paraId="75583456" w14:textId="77777777" w:rsidR="006735BF" w:rsidRPr="00814C24" w:rsidRDefault="006735BF" w:rsidP="008E33FD">
            <w:pPr>
              <w:pStyle w:val="TableParagraph"/>
              <w:spacing w:line="256" w:lineRule="exact"/>
              <w:ind w:left="107"/>
              <w:jc w:val="both"/>
              <w:rPr>
                <w:b/>
                <w:color w:val="000000" w:themeColor="text1"/>
                <w:sz w:val="24"/>
                <w:szCs w:val="24"/>
              </w:rPr>
            </w:pPr>
            <w:r w:rsidRPr="00814C24">
              <w:rPr>
                <w:b/>
                <w:color w:val="000000" w:themeColor="text1"/>
                <w:sz w:val="24"/>
                <w:szCs w:val="24"/>
              </w:rPr>
              <w:t>Semnificația</w:t>
            </w:r>
          </w:p>
        </w:tc>
        <w:tc>
          <w:tcPr>
            <w:tcW w:w="4189" w:type="dxa"/>
          </w:tcPr>
          <w:p w14:paraId="53DCC113" w14:textId="77777777" w:rsidR="006735BF" w:rsidRPr="00814C24" w:rsidRDefault="006735BF" w:rsidP="008E33FD">
            <w:pPr>
              <w:pStyle w:val="TableParagraph"/>
              <w:spacing w:line="256" w:lineRule="exact"/>
              <w:ind w:left="107"/>
              <w:jc w:val="both"/>
              <w:rPr>
                <w:b/>
                <w:color w:val="000000" w:themeColor="text1"/>
                <w:sz w:val="24"/>
                <w:szCs w:val="24"/>
              </w:rPr>
            </w:pPr>
            <w:r w:rsidRPr="00814C24">
              <w:rPr>
                <w:b/>
                <w:color w:val="000000" w:themeColor="text1"/>
                <w:sz w:val="24"/>
                <w:szCs w:val="24"/>
              </w:rPr>
              <w:t>Observații</w:t>
            </w:r>
          </w:p>
        </w:tc>
      </w:tr>
      <w:tr w:rsidR="006735BF" w:rsidRPr="00814C24" w14:paraId="6791DB0F" w14:textId="77777777" w:rsidTr="00511A4E">
        <w:trPr>
          <w:trHeight w:val="830"/>
        </w:trPr>
        <w:tc>
          <w:tcPr>
            <w:tcW w:w="924" w:type="dxa"/>
          </w:tcPr>
          <w:p w14:paraId="181EE66B" w14:textId="77777777" w:rsidR="006735BF" w:rsidRPr="00814C24" w:rsidRDefault="006735BF" w:rsidP="008E33FD">
            <w:pPr>
              <w:pStyle w:val="TableParagraph"/>
              <w:spacing w:line="270" w:lineRule="exact"/>
              <w:ind w:left="107"/>
              <w:jc w:val="both"/>
              <w:rPr>
                <w:color w:val="000000" w:themeColor="text1"/>
                <w:sz w:val="24"/>
                <w:szCs w:val="24"/>
              </w:rPr>
            </w:pPr>
            <w:r w:rsidRPr="00814C24">
              <w:rPr>
                <w:color w:val="000000" w:themeColor="text1"/>
                <w:w w:val="99"/>
                <w:sz w:val="24"/>
                <w:szCs w:val="24"/>
              </w:rPr>
              <w:t>H</w:t>
            </w:r>
          </w:p>
        </w:tc>
        <w:tc>
          <w:tcPr>
            <w:tcW w:w="3097" w:type="dxa"/>
          </w:tcPr>
          <w:p w14:paraId="747A635F" w14:textId="77777777" w:rsidR="006735BF" w:rsidRPr="00814C24" w:rsidRDefault="006735BF" w:rsidP="008E33FD">
            <w:pPr>
              <w:pStyle w:val="TableParagraph"/>
              <w:spacing w:line="270" w:lineRule="exact"/>
              <w:ind w:left="107"/>
              <w:jc w:val="both"/>
              <w:rPr>
                <w:color w:val="000000" w:themeColor="text1"/>
                <w:sz w:val="24"/>
                <w:szCs w:val="24"/>
              </w:rPr>
            </w:pPr>
            <w:r w:rsidRPr="00814C24">
              <w:rPr>
                <w:color w:val="000000" w:themeColor="text1"/>
                <w:sz w:val="24"/>
                <w:szCs w:val="24"/>
              </w:rPr>
              <w:t>Importanță/impact</w:t>
            </w:r>
            <w:r w:rsidRPr="00814C24">
              <w:rPr>
                <w:color w:val="000000" w:themeColor="text1"/>
                <w:spacing w:val="-3"/>
                <w:sz w:val="24"/>
                <w:szCs w:val="24"/>
              </w:rPr>
              <w:t xml:space="preserve"> </w:t>
            </w:r>
            <w:r w:rsidRPr="00814C24">
              <w:rPr>
                <w:color w:val="000000" w:themeColor="text1"/>
                <w:sz w:val="24"/>
                <w:szCs w:val="24"/>
              </w:rPr>
              <w:t>mare</w:t>
            </w:r>
          </w:p>
        </w:tc>
        <w:tc>
          <w:tcPr>
            <w:tcW w:w="4189" w:type="dxa"/>
          </w:tcPr>
          <w:p w14:paraId="16431ED0" w14:textId="77777777" w:rsidR="006735BF" w:rsidRPr="00814C24" w:rsidRDefault="006735BF" w:rsidP="008E33FD">
            <w:pPr>
              <w:pStyle w:val="TableParagraph"/>
              <w:tabs>
                <w:tab w:val="left" w:pos="1407"/>
                <w:tab w:val="left" w:pos="2496"/>
                <w:tab w:val="left" w:pos="3252"/>
              </w:tabs>
              <w:spacing w:line="270" w:lineRule="exact"/>
              <w:ind w:left="107"/>
              <w:jc w:val="both"/>
              <w:rPr>
                <w:color w:val="000000" w:themeColor="text1"/>
                <w:sz w:val="24"/>
                <w:szCs w:val="24"/>
              </w:rPr>
            </w:pPr>
            <w:r w:rsidRPr="00814C24">
              <w:rPr>
                <w:color w:val="000000" w:themeColor="text1"/>
                <w:sz w:val="24"/>
                <w:szCs w:val="24"/>
              </w:rPr>
              <w:t>Influență</w:t>
            </w:r>
            <w:r w:rsidRPr="00814C24">
              <w:rPr>
                <w:color w:val="000000" w:themeColor="text1"/>
                <w:sz w:val="24"/>
                <w:szCs w:val="24"/>
              </w:rPr>
              <w:tab/>
              <w:t>directă</w:t>
            </w:r>
            <w:r w:rsidRPr="00814C24">
              <w:rPr>
                <w:color w:val="000000" w:themeColor="text1"/>
                <w:sz w:val="24"/>
                <w:szCs w:val="24"/>
              </w:rPr>
              <w:tab/>
              <w:t>sau</w:t>
            </w:r>
            <w:r w:rsidRPr="00814C24">
              <w:rPr>
                <w:color w:val="000000" w:themeColor="text1"/>
                <w:sz w:val="24"/>
                <w:szCs w:val="24"/>
              </w:rPr>
              <w:tab/>
              <w:t>imediată</w:t>
            </w:r>
          </w:p>
          <w:p w14:paraId="2801C93C" w14:textId="77777777" w:rsidR="006735BF" w:rsidRPr="00814C24" w:rsidRDefault="006735BF" w:rsidP="008E33FD">
            <w:pPr>
              <w:pStyle w:val="TableParagraph"/>
              <w:spacing w:line="270" w:lineRule="atLeast"/>
              <w:ind w:left="107" w:right="98"/>
              <w:jc w:val="both"/>
              <w:rPr>
                <w:color w:val="000000" w:themeColor="text1"/>
                <w:sz w:val="24"/>
                <w:szCs w:val="24"/>
              </w:rPr>
            </w:pPr>
            <w:r w:rsidRPr="00814C24">
              <w:rPr>
                <w:color w:val="000000" w:themeColor="text1"/>
                <w:sz w:val="24"/>
                <w:szCs w:val="24"/>
              </w:rPr>
              <w:t>semnificativă</w:t>
            </w:r>
            <w:r w:rsidRPr="00814C24">
              <w:rPr>
                <w:color w:val="000000" w:themeColor="text1"/>
                <w:spacing w:val="18"/>
                <w:sz w:val="24"/>
                <w:szCs w:val="24"/>
              </w:rPr>
              <w:t xml:space="preserve"> </w:t>
            </w:r>
            <w:r w:rsidRPr="00814C24">
              <w:rPr>
                <w:color w:val="000000" w:themeColor="text1"/>
                <w:sz w:val="24"/>
                <w:szCs w:val="24"/>
              </w:rPr>
              <w:t>și/sau</w:t>
            </w:r>
            <w:r w:rsidRPr="00814C24">
              <w:rPr>
                <w:color w:val="000000" w:themeColor="text1"/>
                <w:spacing w:val="20"/>
                <w:sz w:val="24"/>
                <w:szCs w:val="24"/>
              </w:rPr>
              <w:t xml:space="preserve"> </w:t>
            </w:r>
            <w:r w:rsidRPr="00814C24">
              <w:rPr>
                <w:color w:val="000000" w:themeColor="text1"/>
                <w:sz w:val="24"/>
                <w:szCs w:val="24"/>
              </w:rPr>
              <w:t>acţiune</w:t>
            </w:r>
            <w:r w:rsidRPr="00814C24">
              <w:rPr>
                <w:color w:val="000000" w:themeColor="text1"/>
                <w:spacing w:val="19"/>
                <w:sz w:val="24"/>
                <w:szCs w:val="24"/>
              </w:rPr>
              <w:t xml:space="preserve"> </w:t>
            </w:r>
            <w:r w:rsidRPr="00814C24">
              <w:rPr>
                <w:color w:val="000000" w:themeColor="text1"/>
                <w:sz w:val="24"/>
                <w:szCs w:val="24"/>
              </w:rPr>
              <w:t>pe</w:t>
            </w:r>
            <w:r w:rsidRPr="00814C24">
              <w:rPr>
                <w:color w:val="000000" w:themeColor="text1"/>
                <w:spacing w:val="18"/>
                <w:sz w:val="24"/>
                <w:szCs w:val="24"/>
              </w:rPr>
              <w:t xml:space="preserve"> </w:t>
            </w:r>
            <w:r w:rsidRPr="00814C24">
              <w:rPr>
                <w:color w:val="000000" w:themeColor="text1"/>
                <w:sz w:val="24"/>
                <w:szCs w:val="24"/>
              </w:rPr>
              <w:t>suprafețe</w:t>
            </w:r>
            <w:r w:rsidRPr="00814C24">
              <w:rPr>
                <w:color w:val="000000" w:themeColor="text1"/>
                <w:spacing w:val="-57"/>
                <w:sz w:val="24"/>
                <w:szCs w:val="24"/>
              </w:rPr>
              <w:t xml:space="preserve"> </w:t>
            </w:r>
            <w:r w:rsidRPr="00814C24">
              <w:rPr>
                <w:color w:val="000000" w:themeColor="text1"/>
                <w:sz w:val="24"/>
                <w:szCs w:val="24"/>
              </w:rPr>
              <w:t>mari</w:t>
            </w:r>
          </w:p>
        </w:tc>
      </w:tr>
      <w:tr w:rsidR="006735BF" w:rsidRPr="00814C24" w14:paraId="46D36EDF" w14:textId="77777777" w:rsidTr="00511A4E">
        <w:trPr>
          <w:trHeight w:val="1103"/>
        </w:trPr>
        <w:tc>
          <w:tcPr>
            <w:tcW w:w="924" w:type="dxa"/>
          </w:tcPr>
          <w:p w14:paraId="618DCD9A" w14:textId="77777777" w:rsidR="006735BF" w:rsidRPr="00814C24" w:rsidRDefault="006735BF" w:rsidP="008E33FD">
            <w:pPr>
              <w:pStyle w:val="TableParagraph"/>
              <w:spacing w:line="268" w:lineRule="exact"/>
              <w:ind w:left="107"/>
              <w:jc w:val="both"/>
              <w:rPr>
                <w:color w:val="000000" w:themeColor="text1"/>
                <w:sz w:val="24"/>
                <w:szCs w:val="24"/>
              </w:rPr>
            </w:pPr>
            <w:r w:rsidRPr="00814C24">
              <w:rPr>
                <w:color w:val="000000" w:themeColor="text1"/>
                <w:w w:val="99"/>
                <w:sz w:val="24"/>
                <w:szCs w:val="24"/>
              </w:rPr>
              <w:lastRenderedPageBreak/>
              <w:t>M</w:t>
            </w:r>
          </w:p>
        </w:tc>
        <w:tc>
          <w:tcPr>
            <w:tcW w:w="3097" w:type="dxa"/>
          </w:tcPr>
          <w:p w14:paraId="18157027" w14:textId="77777777" w:rsidR="006735BF" w:rsidRPr="00814C24" w:rsidRDefault="006735BF" w:rsidP="008E33FD">
            <w:pPr>
              <w:pStyle w:val="TableParagraph"/>
              <w:spacing w:line="268" w:lineRule="exact"/>
              <w:ind w:left="107"/>
              <w:jc w:val="both"/>
              <w:rPr>
                <w:color w:val="000000" w:themeColor="text1"/>
                <w:sz w:val="24"/>
                <w:szCs w:val="24"/>
              </w:rPr>
            </w:pPr>
            <w:r w:rsidRPr="00814C24">
              <w:rPr>
                <w:color w:val="000000" w:themeColor="text1"/>
                <w:sz w:val="24"/>
                <w:szCs w:val="24"/>
              </w:rPr>
              <w:t>Importanță/impact</w:t>
            </w:r>
            <w:r w:rsidRPr="00814C24">
              <w:rPr>
                <w:color w:val="000000" w:themeColor="text1"/>
                <w:spacing w:val="-3"/>
                <w:sz w:val="24"/>
                <w:szCs w:val="24"/>
              </w:rPr>
              <w:t xml:space="preserve"> </w:t>
            </w:r>
            <w:r w:rsidRPr="00814C24">
              <w:rPr>
                <w:color w:val="000000" w:themeColor="text1"/>
                <w:sz w:val="24"/>
                <w:szCs w:val="24"/>
              </w:rPr>
              <w:t>mediu</w:t>
            </w:r>
          </w:p>
        </w:tc>
        <w:tc>
          <w:tcPr>
            <w:tcW w:w="4189" w:type="dxa"/>
          </w:tcPr>
          <w:p w14:paraId="097C4E87" w14:textId="77777777" w:rsidR="006735BF" w:rsidRPr="00814C24" w:rsidRDefault="006735BF" w:rsidP="008E33FD">
            <w:pPr>
              <w:pStyle w:val="TableParagraph"/>
              <w:tabs>
                <w:tab w:val="left" w:pos="1252"/>
                <w:tab w:val="left" w:pos="2399"/>
                <w:tab w:val="left" w:pos="3529"/>
              </w:tabs>
              <w:ind w:left="107" w:right="97"/>
              <w:jc w:val="both"/>
              <w:rPr>
                <w:color w:val="000000" w:themeColor="text1"/>
                <w:sz w:val="24"/>
                <w:szCs w:val="24"/>
              </w:rPr>
            </w:pPr>
            <w:r w:rsidRPr="00814C24">
              <w:rPr>
                <w:color w:val="000000" w:themeColor="text1"/>
                <w:sz w:val="24"/>
                <w:szCs w:val="24"/>
              </w:rPr>
              <w:t>Influență</w:t>
            </w:r>
            <w:r w:rsidRPr="00814C24">
              <w:rPr>
                <w:color w:val="000000" w:themeColor="text1"/>
                <w:spacing w:val="33"/>
                <w:sz w:val="24"/>
                <w:szCs w:val="24"/>
              </w:rPr>
              <w:t xml:space="preserve"> </w:t>
            </w:r>
            <w:r w:rsidRPr="00814C24">
              <w:rPr>
                <w:color w:val="000000" w:themeColor="text1"/>
                <w:sz w:val="24"/>
                <w:szCs w:val="24"/>
              </w:rPr>
              <w:t>directă</w:t>
            </w:r>
            <w:r w:rsidRPr="00814C24">
              <w:rPr>
                <w:color w:val="000000" w:themeColor="text1"/>
                <w:spacing w:val="32"/>
                <w:sz w:val="24"/>
                <w:szCs w:val="24"/>
              </w:rPr>
              <w:t xml:space="preserve"> </w:t>
            </w:r>
            <w:r w:rsidRPr="00814C24">
              <w:rPr>
                <w:color w:val="000000" w:themeColor="text1"/>
                <w:sz w:val="24"/>
                <w:szCs w:val="24"/>
              </w:rPr>
              <w:t>sau</w:t>
            </w:r>
            <w:r w:rsidRPr="00814C24">
              <w:rPr>
                <w:color w:val="000000" w:themeColor="text1"/>
                <w:spacing w:val="33"/>
                <w:sz w:val="24"/>
                <w:szCs w:val="24"/>
              </w:rPr>
              <w:t xml:space="preserve"> </w:t>
            </w:r>
            <w:r w:rsidRPr="00814C24">
              <w:rPr>
                <w:color w:val="000000" w:themeColor="text1"/>
                <w:sz w:val="24"/>
                <w:szCs w:val="24"/>
              </w:rPr>
              <w:t>imediată</w:t>
            </w:r>
            <w:r w:rsidRPr="00814C24">
              <w:rPr>
                <w:color w:val="000000" w:themeColor="text1"/>
                <w:spacing w:val="33"/>
                <w:sz w:val="24"/>
                <w:szCs w:val="24"/>
              </w:rPr>
              <w:t xml:space="preserve"> </w:t>
            </w:r>
            <w:r w:rsidRPr="00814C24">
              <w:rPr>
                <w:color w:val="000000" w:themeColor="text1"/>
                <w:sz w:val="24"/>
                <w:szCs w:val="24"/>
              </w:rPr>
              <w:t>medie,</w:t>
            </w:r>
            <w:r w:rsidRPr="00814C24">
              <w:rPr>
                <w:color w:val="000000" w:themeColor="text1"/>
                <w:spacing w:val="33"/>
                <w:sz w:val="24"/>
                <w:szCs w:val="24"/>
              </w:rPr>
              <w:t xml:space="preserve"> </w:t>
            </w:r>
            <w:r w:rsidRPr="00814C24">
              <w:rPr>
                <w:color w:val="000000" w:themeColor="text1"/>
                <w:sz w:val="24"/>
                <w:szCs w:val="24"/>
              </w:rPr>
              <w:t>în</w:t>
            </w:r>
            <w:r w:rsidRPr="00814C24">
              <w:rPr>
                <w:color w:val="000000" w:themeColor="text1"/>
                <w:spacing w:val="-57"/>
                <w:sz w:val="24"/>
                <w:szCs w:val="24"/>
              </w:rPr>
              <w:t xml:space="preserve"> </w:t>
            </w:r>
            <w:r w:rsidRPr="00814C24">
              <w:rPr>
                <w:color w:val="000000" w:themeColor="text1"/>
                <w:sz w:val="24"/>
                <w:szCs w:val="24"/>
              </w:rPr>
              <w:t>principal</w:t>
            </w:r>
            <w:r w:rsidRPr="00814C24">
              <w:rPr>
                <w:color w:val="000000" w:themeColor="text1"/>
                <w:sz w:val="24"/>
                <w:szCs w:val="24"/>
              </w:rPr>
              <w:tab/>
              <w:t>influență</w:t>
            </w:r>
            <w:r w:rsidRPr="00814C24">
              <w:rPr>
                <w:color w:val="000000" w:themeColor="text1"/>
                <w:sz w:val="24"/>
                <w:szCs w:val="24"/>
              </w:rPr>
              <w:tab/>
              <w:t>indirectă</w:t>
            </w:r>
            <w:r w:rsidRPr="00814C24">
              <w:rPr>
                <w:color w:val="000000" w:themeColor="text1"/>
                <w:sz w:val="24"/>
                <w:szCs w:val="24"/>
              </w:rPr>
              <w:tab/>
              <w:t>și/sau</w:t>
            </w:r>
          </w:p>
          <w:p w14:paraId="00DD5A07" w14:textId="77777777" w:rsidR="006735BF" w:rsidRPr="00814C24" w:rsidRDefault="006735BF" w:rsidP="008E33FD">
            <w:pPr>
              <w:pStyle w:val="TableParagraph"/>
              <w:spacing w:line="270" w:lineRule="atLeast"/>
              <w:ind w:left="107"/>
              <w:jc w:val="both"/>
              <w:rPr>
                <w:color w:val="000000" w:themeColor="text1"/>
                <w:sz w:val="24"/>
                <w:szCs w:val="24"/>
              </w:rPr>
            </w:pPr>
            <w:r w:rsidRPr="00814C24">
              <w:rPr>
                <w:color w:val="000000" w:themeColor="text1"/>
                <w:sz w:val="24"/>
                <w:szCs w:val="24"/>
              </w:rPr>
              <w:t>acțiune</w:t>
            </w:r>
            <w:r w:rsidRPr="00814C24">
              <w:rPr>
                <w:color w:val="000000" w:themeColor="text1"/>
                <w:spacing w:val="8"/>
                <w:sz w:val="24"/>
                <w:szCs w:val="24"/>
              </w:rPr>
              <w:t xml:space="preserve"> </w:t>
            </w:r>
            <w:r w:rsidRPr="00814C24">
              <w:rPr>
                <w:color w:val="000000" w:themeColor="text1"/>
                <w:sz w:val="24"/>
                <w:szCs w:val="24"/>
              </w:rPr>
              <w:t>asupra</w:t>
            </w:r>
            <w:r w:rsidRPr="00814C24">
              <w:rPr>
                <w:color w:val="000000" w:themeColor="text1"/>
                <w:spacing w:val="8"/>
                <w:sz w:val="24"/>
                <w:szCs w:val="24"/>
              </w:rPr>
              <w:t xml:space="preserve"> </w:t>
            </w:r>
            <w:r w:rsidRPr="00814C24">
              <w:rPr>
                <w:color w:val="000000" w:themeColor="text1"/>
                <w:sz w:val="24"/>
                <w:szCs w:val="24"/>
              </w:rPr>
              <w:t>unei</w:t>
            </w:r>
            <w:r w:rsidRPr="00814C24">
              <w:rPr>
                <w:color w:val="000000" w:themeColor="text1"/>
                <w:spacing w:val="9"/>
                <w:sz w:val="24"/>
                <w:szCs w:val="24"/>
              </w:rPr>
              <w:t xml:space="preserve"> </w:t>
            </w:r>
            <w:r w:rsidRPr="00814C24">
              <w:rPr>
                <w:color w:val="000000" w:themeColor="text1"/>
                <w:sz w:val="24"/>
                <w:szCs w:val="24"/>
              </w:rPr>
              <w:t>părți</w:t>
            </w:r>
            <w:r w:rsidRPr="00814C24">
              <w:rPr>
                <w:color w:val="000000" w:themeColor="text1"/>
                <w:spacing w:val="9"/>
                <w:sz w:val="24"/>
                <w:szCs w:val="24"/>
              </w:rPr>
              <w:t xml:space="preserve"> </w:t>
            </w:r>
            <w:r w:rsidRPr="00814C24">
              <w:rPr>
                <w:color w:val="000000" w:themeColor="text1"/>
                <w:sz w:val="24"/>
                <w:szCs w:val="24"/>
              </w:rPr>
              <w:t>medii</w:t>
            </w:r>
            <w:r w:rsidRPr="00814C24">
              <w:rPr>
                <w:color w:val="000000" w:themeColor="text1"/>
                <w:spacing w:val="9"/>
                <w:sz w:val="24"/>
                <w:szCs w:val="24"/>
              </w:rPr>
              <w:t xml:space="preserve"> </w:t>
            </w:r>
            <w:r w:rsidRPr="00814C24">
              <w:rPr>
                <w:color w:val="000000" w:themeColor="text1"/>
                <w:sz w:val="24"/>
                <w:szCs w:val="24"/>
              </w:rPr>
              <w:t>din</w:t>
            </w:r>
            <w:r w:rsidRPr="00814C24">
              <w:rPr>
                <w:color w:val="000000" w:themeColor="text1"/>
                <w:spacing w:val="-57"/>
                <w:sz w:val="24"/>
                <w:szCs w:val="24"/>
              </w:rPr>
              <w:t xml:space="preserve"> </w:t>
            </w:r>
            <w:r w:rsidRPr="00814C24">
              <w:rPr>
                <w:color w:val="000000" w:themeColor="text1"/>
                <w:sz w:val="24"/>
                <w:szCs w:val="24"/>
              </w:rPr>
              <w:t>suprafață/doar</w:t>
            </w:r>
            <w:r w:rsidRPr="00814C24">
              <w:rPr>
                <w:color w:val="000000" w:themeColor="text1"/>
                <w:spacing w:val="-1"/>
                <w:sz w:val="24"/>
                <w:szCs w:val="24"/>
              </w:rPr>
              <w:t xml:space="preserve"> </w:t>
            </w:r>
            <w:r w:rsidRPr="00814C24">
              <w:rPr>
                <w:color w:val="000000" w:themeColor="text1"/>
                <w:sz w:val="24"/>
                <w:szCs w:val="24"/>
              </w:rPr>
              <w:t>la</w:t>
            </w:r>
            <w:r w:rsidRPr="00814C24">
              <w:rPr>
                <w:color w:val="000000" w:themeColor="text1"/>
                <w:spacing w:val="-2"/>
                <w:sz w:val="24"/>
                <w:szCs w:val="24"/>
              </w:rPr>
              <w:t xml:space="preserve"> </w:t>
            </w:r>
            <w:r w:rsidRPr="00814C24">
              <w:rPr>
                <w:color w:val="000000" w:themeColor="text1"/>
                <w:sz w:val="24"/>
                <w:szCs w:val="24"/>
              </w:rPr>
              <w:t>nivel</w:t>
            </w:r>
            <w:r w:rsidRPr="00814C24">
              <w:rPr>
                <w:color w:val="000000" w:themeColor="text1"/>
                <w:spacing w:val="-1"/>
                <w:sz w:val="24"/>
                <w:szCs w:val="24"/>
              </w:rPr>
              <w:t xml:space="preserve"> </w:t>
            </w:r>
            <w:r w:rsidRPr="00814C24">
              <w:rPr>
                <w:color w:val="000000" w:themeColor="text1"/>
                <w:sz w:val="24"/>
                <w:szCs w:val="24"/>
              </w:rPr>
              <w:t>regional</w:t>
            </w:r>
          </w:p>
        </w:tc>
      </w:tr>
      <w:tr w:rsidR="006735BF" w:rsidRPr="00814C24" w14:paraId="13132497" w14:textId="77777777" w:rsidTr="00511A4E">
        <w:trPr>
          <w:trHeight w:val="1103"/>
        </w:trPr>
        <w:tc>
          <w:tcPr>
            <w:tcW w:w="924" w:type="dxa"/>
          </w:tcPr>
          <w:p w14:paraId="385140EC" w14:textId="77777777" w:rsidR="006735BF" w:rsidRPr="00814C24" w:rsidRDefault="006735BF" w:rsidP="008E33FD">
            <w:pPr>
              <w:pStyle w:val="TableParagraph"/>
              <w:spacing w:line="268" w:lineRule="exact"/>
              <w:ind w:left="107"/>
              <w:jc w:val="both"/>
              <w:rPr>
                <w:color w:val="000000" w:themeColor="text1"/>
                <w:sz w:val="24"/>
                <w:szCs w:val="24"/>
              </w:rPr>
            </w:pPr>
            <w:r w:rsidRPr="00814C24">
              <w:rPr>
                <w:color w:val="000000" w:themeColor="text1"/>
                <w:sz w:val="24"/>
                <w:szCs w:val="24"/>
              </w:rPr>
              <w:t>L</w:t>
            </w:r>
          </w:p>
        </w:tc>
        <w:tc>
          <w:tcPr>
            <w:tcW w:w="3097" w:type="dxa"/>
          </w:tcPr>
          <w:p w14:paraId="20346FDC" w14:textId="77777777" w:rsidR="006735BF" w:rsidRPr="00814C24" w:rsidRDefault="006735BF" w:rsidP="008E33FD">
            <w:pPr>
              <w:pStyle w:val="TableParagraph"/>
              <w:spacing w:line="268" w:lineRule="exact"/>
              <w:ind w:left="107"/>
              <w:jc w:val="both"/>
              <w:rPr>
                <w:color w:val="000000" w:themeColor="text1"/>
                <w:sz w:val="24"/>
                <w:szCs w:val="24"/>
              </w:rPr>
            </w:pPr>
            <w:r w:rsidRPr="00814C24">
              <w:rPr>
                <w:color w:val="000000" w:themeColor="text1"/>
                <w:sz w:val="24"/>
                <w:szCs w:val="24"/>
              </w:rPr>
              <w:t>Importanță/impact</w:t>
            </w:r>
            <w:r w:rsidRPr="00814C24">
              <w:rPr>
                <w:color w:val="000000" w:themeColor="text1"/>
                <w:spacing w:val="-3"/>
                <w:sz w:val="24"/>
                <w:szCs w:val="24"/>
              </w:rPr>
              <w:t xml:space="preserve"> </w:t>
            </w:r>
            <w:r w:rsidRPr="00814C24">
              <w:rPr>
                <w:color w:val="000000" w:themeColor="text1"/>
                <w:sz w:val="24"/>
                <w:szCs w:val="24"/>
              </w:rPr>
              <w:t>redus</w:t>
            </w:r>
          </w:p>
        </w:tc>
        <w:tc>
          <w:tcPr>
            <w:tcW w:w="4189" w:type="dxa"/>
          </w:tcPr>
          <w:p w14:paraId="16B40166" w14:textId="77777777" w:rsidR="006735BF" w:rsidRPr="00814C24" w:rsidRDefault="006735BF" w:rsidP="008E33FD">
            <w:pPr>
              <w:pStyle w:val="TableParagraph"/>
              <w:ind w:left="107" w:right="97"/>
              <w:jc w:val="both"/>
              <w:rPr>
                <w:color w:val="000000" w:themeColor="text1"/>
                <w:sz w:val="24"/>
                <w:szCs w:val="24"/>
              </w:rPr>
            </w:pPr>
            <w:r w:rsidRPr="00814C24">
              <w:rPr>
                <w:color w:val="000000" w:themeColor="text1"/>
                <w:sz w:val="24"/>
                <w:szCs w:val="24"/>
              </w:rPr>
              <w:t>Influență</w:t>
            </w:r>
            <w:r w:rsidRPr="00814C24">
              <w:rPr>
                <w:color w:val="000000" w:themeColor="text1"/>
                <w:spacing w:val="1"/>
                <w:sz w:val="24"/>
                <w:szCs w:val="24"/>
              </w:rPr>
              <w:t xml:space="preserve"> </w:t>
            </w:r>
            <w:r w:rsidRPr="00814C24">
              <w:rPr>
                <w:color w:val="000000" w:themeColor="text1"/>
                <w:sz w:val="24"/>
                <w:szCs w:val="24"/>
              </w:rPr>
              <w:t>directă</w:t>
            </w:r>
            <w:r w:rsidRPr="00814C24">
              <w:rPr>
                <w:color w:val="000000" w:themeColor="text1"/>
                <w:spacing w:val="1"/>
                <w:sz w:val="24"/>
                <w:szCs w:val="24"/>
              </w:rPr>
              <w:t xml:space="preserve"> </w:t>
            </w:r>
            <w:r w:rsidRPr="00814C24">
              <w:rPr>
                <w:color w:val="000000" w:themeColor="text1"/>
                <w:sz w:val="24"/>
                <w:szCs w:val="24"/>
              </w:rPr>
              <w:t>sau</w:t>
            </w:r>
            <w:r w:rsidRPr="00814C24">
              <w:rPr>
                <w:color w:val="000000" w:themeColor="text1"/>
                <w:spacing w:val="1"/>
                <w:sz w:val="24"/>
                <w:szCs w:val="24"/>
              </w:rPr>
              <w:t xml:space="preserve"> </w:t>
            </w:r>
            <w:r w:rsidRPr="00814C24">
              <w:rPr>
                <w:color w:val="000000" w:themeColor="text1"/>
                <w:sz w:val="24"/>
                <w:szCs w:val="24"/>
              </w:rPr>
              <w:t>imediată</w:t>
            </w:r>
            <w:r w:rsidRPr="00814C24">
              <w:rPr>
                <w:color w:val="000000" w:themeColor="text1"/>
                <w:spacing w:val="1"/>
                <w:sz w:val="24"/>
                <w:szCs w:val="24"/>
              </w:rPr>
              <w:t xml:space="preserve"> </w:t>
            </w:r>
            <w:r w:rsidRPr="00814C24">
              <w:rPr>
                <w:color w:val="000000" w:themeColor="text1"/>
                <w:sz w:val="24"/>
                <w:szCs w:val="24"/>
              </w:rPr>
              <w:t>redusă,</w:t>
            </w:r>
            <w:r w:rsidRPr="00814C24">
              <w:rPr>
                <w:color w:val="000000" w:themeColor="text1"/>
                <w:spacing w:val="1"/>
                <w:sz w:val="24"/>
                <w:szCs w:val="24"/>
              </w:rPr>
              <w:t xml:space="preserve"> </w:t>
            </w:r>
            <w:r w:rsidRPr="00814C24">
              <w:rPr>
                <w:color w:val="000000" w:themeColor="text1"/>
                <w:sz w:val="24"/>
                <w:szCs w:val="24"/>
              </w:rPr>
              <w:t>influență</w:t>
            </w:r>
            <w:r w:rsidRPr="00814C24">
              <w:rPr>
                <w:color w:val="000000" w:themeColor="text1"/>
                <w:spacing w:val="1"/>
                <w:sz w:val="24"/>
                <w:szCs w:val="24"/>
              </w:rPr>
              <w:t xml:space="preserve"> </w:t>
            </w:r>
            <w:r w:rsidRPr="00814C24">
              <w:rPr>
                <w:color w:val="000000" w:themeColor="text1"/>
                <w:sz w:val="24"/>
                <w:szCs w:val="24"/>
              </w:rPr>
              <w:t>directă</w:t>
            </w:r>
            <w:r w:rsidRPr="00814C24">
              <w:rPr>
                <w:color w:val="000000" w:themeColor="text1"/>
                <w:spacing w:val="1"/>
                <w:sz w:val="24"/>
                <w:szCs w:val="24"/>
              </w:rPr>
              <w:t xml:space="preserve"> </w:t>
            </w:r>
            <w:r w:rsidRPr="00814C24">
              <w:rPr>
                <w:color w:val="000000" w:themeColor="text1"/>
                <w:sz w:val="24"/>
                <w:szCs w:val="24"/>
              </w:rPr>
              <w:t>și/sau</w:t>
            </w:r>
            <w:r w:rsidRPr="00814C24">
              <w:rPr>
                <w:color w:val="000000" w:themeColor="text1"/>
                <w:spacing w:val="1"/>
                <w:sz w:val="24"/>
                <w:szCs w:val="24"/>
              </w:rPr>
              <w:t xml:space="preserve"> </w:t>
            </w:r>
            <w:r w:rsidRPr="00814C24">
              <w:rPr>
                <w:color w:val="000000" w:themeColor="text1"/>
                <w:sz w:val="24"/>
                <w:szCs w:val="24"/>
              </w:rPr>
              <w:t>acțiune</w:t>
            </w:r>
            <w:r w:rsidRPr="00814C24">
              <w:rPr>
                <w:color w:val="000000" w:themeColor="text1"/>
                <w:spacing w:val="1"/>
                <w:sz w:val="24"/>
                <w:szCs w:val="24"/>
              </w:rPr>
              <w:t xml:space="preserve"> </w:t>
            </w:r>
            <w:r w:rsidRPr="00814C24">
              <w:rPr>
                <w:color w:val="000000" w:themeColor="text1"/>
                <w:sz w:val="24"/>
                <w:szCs w:val="24"/>
              </w:rPr>
              <w:t>asupra</w:t>
            </w:r>
            <w:r w:rsidRPr="00814C24">
              <w:rPr>
                <w:color w:val="000000" w:themeColor="text1"/>
                <w:spacing w:val="1"/>
                <w:sz w:val="24"/>
                <w:szCs w:val="24"/>
              </w:rPr>
              <w:t xml:space="preserve"> </w:t>
            </w:r>
            <w:r w:rsidRPr="00814C24">
              <w:rPr>
                <w:color w:val="000000" w:themeColor="text1"/>
                <w:sz w:val="24"/>
                <w:szCs w:val="24"/>
              </w:rPr>
              <w:t>unei</w:t>
            </w:r>
            <w:r w:rsidRPr="00814C24">
              <w:rPr>
                <w:color w:val="000000" w:themeColor="text1"/>
                <w:spacing w:val="19"/>
                <w:sz w:val="24"/>
                <w:szCs w:val="24"/>
              </w:rPr>
              <w:t xml:space="preserve"> </w:t>
            </w:r>
            <w:r w:rsidRPr="00814C24">
              <w:rPr>
                <w:color w:val="000000" w:themeColor="text1"/>
                <w:sz w:val="24"/>
                <w:szCs w:val="24"/>
              </w:rPr>
              <w:t>mici</w:t>
            </w:r>
            <w:r w:rsidRPr="00814C24">
              <w:rPr>
                <w:color w:val="000000" w:themeColor="text1"/>
                <w:spacing w:val="19"/>
                <w:sz w:val="24"/>
                <w:szCs w:val="24"/>
              </w:rPr>
              <w:t xml:space="preserve"> </w:t>
            </w:r>
            <w:r w:rsidRPr="00814C24">
              <w:rPr>
                <w:color w:val="000000" w:themeColor="text1"/>
                <w:sz w:val="24"/>
                <w:szCs w:val="24"/>
              </w:rPr>
              <w:t>părți</w:t>
            </w:r>
            <w:r w:rsidRPr="00814C24">
              <w:rPr>
                <w:color w:val="000000" w:themeColor="text1"/>
                <w:spacing w:val="19"/>
                <w:sz w:val="24"/>
                <w:szCs w:val="24"/>
              </w:rPr>
              <w:t xml:space="preserve"> </w:t>
            </w:r>
            <w:r w:rsidRPr="00814C24">
              <w:rPr>
                <w:color w:val="000000" w:themeColor="text1"/>
                <w:sz w:val="24"/>
                <w:szCs w:val="24"/>
              </w:rPr>
              <w:t>din</w:t>
            </w:r>
            <w:r w:rsidRPr="00814C24">
              <w:rPr>
                <w:color w:val="000000" w:themeColor="text1"/>
                <w:spacing w:val="21"/>
                <w:sz w:val="24"/>
                <w:szCs w:val="24"/>
              </w:rPr>
              <w:t xml:space="preserve"> </w:t>
            </w:r>
            <w:r w:rsidRPr="00814C24">
              <w:rPr>
                <w:color w:val="000000" w:themeColor="text1"/>
                <w:sz w:val="24"/>
                <w:szCs w:val="24"/>
              </w:rPr>
              <w:t>suprafață/</w:t>
            </w:r>
            <w:r w:rsidRPr="00814C24">
              <w:rPr>
                <w:color w:val="000000" w:themeColor="text1"/>
                <w:spacing w:val="19"/>
                <w:sz w:val="24"/>
                <w:szCs w:val="24"/>
              </w:rPr>
              <w:t xml:space="preserve"> </w:t>
            </w:r>
            <w:r w:rsidRPr="00814C24">
              <w:rPr>
                <w:color w:val="000000" w:themeColor="text1"/>
                <w:sz w:val="24"/>
                <w:szCs w:val="24"/>
              </w:rPr>
              <w:t>doar</w:t>
            </w:r>
            <w:r w:rsidRPr="00814C24">
              <w:rPr>
                <w:color w:val="000000" w:themeColor="text1"/>
                <w:spacing w:val="20"/>
                <w:sz w:val="24"/>
                <w:szCs w:val="24"/>
              </w:rPr>
              <w:t xml:space="preserve"> </w:t>
            </w:r>
            <w:r w:rsidRPr="00814C24">
              <w:rPr>
                <w:color w:val="000000" w:themeColor="text1"/>
                <w:sz w:val="24"/>
                <w:szCs w:val="24"/>
              </w:rPr>
              <w:t>la</w:t>
            </w:r>
          </w:p>
          <w:p w14:paraId="12A65B8E" w14:textId="77777777" w:rsidR="006735BF" w:rsidRPr="00814C24" w:rsidRDefault="006735BF" w:rsidP="008E33FD">
            <w:pPr>
              <w:pStyle w:val="TableParagraph"/>
              <w:spacing w:line="264" w:lineRule="exact"/>
              <w:ind w:left="107"/>
              <w:jc w:val="both"/>
              <w:rPr>
                <w:color w:val="000000" w:themeColor="text1"/>
                <w:sz w:val="24"/>
                <w:szCs w:val="24"/>
              </w:rPr>
            </w:pPr>
            <w:r w:rsidRPr="00814C24">
              <w:rPr>
                <w:color w:val="000000" w:themeColor="text1"/>
                <w:sz w:val="24"/>
                <w:szCs w:val="24"/>
              </w:rPr>
              <w:t>nivel</w:t>
            </w:r>
            <w:r w:rsidRPr="00814C24">
              <w:rPr>
                <w:color w:val="000000" w:themeColor="text1"/>
                <w:spacing w:val="-2"/>
                <w:sz w:val="24"/>
                <w:szCs w:val="24"/>
              </w:rPr>
              <w:t xml:space="preserve"> </w:t>
            </w:r>
            <w:r w:rsidRPr="00814C24">
              <w:rPr>
                <w:color w:val="000000" w:themeColor="text1"/>
                <w:sz w:val="24"/>
                <w:szCs w:val="24"/>
              </w:rPr>
              <w:t>regional</w:t>
            </w:r>
          </w:p>
        </w:tc>
      </w:tr>
    </w:tbl>
    <w:p w14:paraId="606F6BB4" w14:textId="77777777" w:rsidR="006735BF" w:rsidRPr="00814C24" w:rsidRDefault="006735BF" w:rsidP="008E33FD">
      <w:pPr>
        <w:pStyle w:val="BodyText"/>
        <w:jc w:val="both"/>
        <w:rPr>
          <w:color w:val="000000" w:themeColor="text1"/>
          <w:sz w:val="24"/>
          <w:szCs w:val="24"/>
        </w:rPr>
      </w:pPr>
    </w:p>
    <w:p w14:paraId="2D83B0BC" w14:textId="77777777" w:rsidR="006735BF" w:rsidRPr="00814C24" w:rsidRDefault="006735BF" w:rsidP="00FC74DD">
      <w:pPr>
        <w:pStyle w:val="Heading2"/>
        <w:spacing w:before="195"/>
        <w:jc w:val="both"/>
        <w:rPr>
          <w:b w:val="0"/>
          <w:color w:val="000000" w:themeColor="text1"/>
          <w:sz w:val="24"/>
          <w:szCs w:val="24"/>
          <w:lang w:val="fr-FR"/>
        </w:rPr>
      </w:pPr>
      <w:proofErr w:type="spellStart"/>
      <w:r w:rsidRPr="00814C24">
        <w:rPr>
          <w:color w:val="000000" w:themeColor="text1"/>
          <w:sz w:val="24"/>
          <w:szCs w:val="24"/>
          <w:lang w:val="fr-FR"/>
        </w:rPr>
        <w:t>Reprezentativitatea</w:t>
      </w:r>
      <w:proofErr w:type="spellEnd"/>
      <w:r w:rsidRPr="00814C24">
        <w:rPr>
          <w:color w:val="000000" w:themeColor="text1"/>
          <w:spacing w:val="-3"/>
          <w:sz w:val="24"/>
          <w:szCs w:val="24"/>
          <w:lang w:val="fr-FR"/>
        </w:rPr>
        <w:t xml:space="preserve"> </w:t>
      </w:r>
      <w:proofErr w:type="spellStart"/>
      <w:r w:rsidRPr="00814C24">
        <w:rPr>
          <w:color w:val="000000" w:themeColor="text1"/>
          <w:sz w:val="24"/>
          <w:szCs w:val="24"/>
          <w:lang w:val="fr-FR"/>
        </w:rPr>
        <w:t>habitatelor</w:t>
      </w:r>
      <w:proofErr w:type="spellEnd"/>
      <w:r w:rsidRPr="00814C24">
        <w:rPr>
          <w:color w:val="000000" w:themeColor="text1"/>
          <w:spacing w:val="-2"/>
          <w:sz w:val="24"/>
          <w:szCs w:val="24"/>
          <w:lang w:val="fr-FR"/>
        </w:rPr>
        <w:t xml:space="preserve"> </w:t>
      </w:r>
      <w:r w:rsidRPr="00814C24">
        <w:rPr>
          <w:color w:val="000000" w:themeColor="text1"/>
          <w:sz w:val="24"/>
          <w:szCs w:val="24"/>
          <w:lang w:val="fr-FR"/>
        </w:rPr>
        <w:t>de</w:t>
      </w:r>
      <w:r w:rsidRPr="00814C24">
        <w:rPr>
          <w:color w:val="000000" w:themeColor="text1"/>
          <w:spacing w:val="-2"/>
          <w:sz w:val="24"/>
          <w:szCs w:val="24"/>
          <w:lang w:val="fr-FR"/>
        </w:rPr>
        <w:t xml:space="preserve"> </w:t>
      </w:r>
      <w:proofErr w:type="spellStart"/>
      <w:r w:rsidRPr="00814C24">
        <w:rPr>
          <w:color w:val="000000" w:themeColor="text1"/>
          <w:sz w:val="24"/>
          <w:szCs w:val="24"/>
          <w:lang w:val="fr-FR"/>
        </w:rPr>
        <w:t>pajiști</w:t>
      </w:r>
      <w:proofErr w:type="spellEnd"/>
      <w:r w:rsidRPr="00814C24">
        <w:rPr>
          <w:color w:val="000000" w:themeColor="text1"/>
          <w:spacing w:val="-2"/>
          <w:sz w:val="24"/>
          <w:szCs w:val="24"/>
          <w:lang w:val="fr-FR"/>
        </w:rPr>
        <w:t xml:space="preserve"> </w:t>
      </w:r>
      <w:proofErr w:type="spellStart"/>
      <w:r w:rsidRPr="00814C24">
        <w:rPr>
          <w:color w:val="000000" w:themeColor="text1"/>
          <w:sz w:val="24"/>
          <w:szCs w:val="24"/>
          <w:lang w:val="fr-FR"/>
        </w:rPr>
        <w:t>pe</w:t>
      </w:r>
      <w:proofErr w:type="spellEnd"/>
      <w:r w:rsidRPr="00814C24">
        <w:rPr>
          <w:color w:val="000000" w:themeColor="text1"/>
          <w:spacing w:val="-3"/>
          <w:sz w:val="24"/>
          <w:szCs w:val="24"/>
          <w:lang w:val="fr-FR"/>
        </w:rPr>
        <w:t xml:space="preserve"> </w:t>
      </w:r>
      <w:proofErr w:type="spellStart"/>
      <w:r w:rsidRPr="00814C24">
        <w:rPr>
          <w:color w:val="000000" w:themeColor="text1"/>
          <w:sz w:val="24"/>
          <w:szCs w:val="24"/>
          <w:lang w:val="fr-FR"/>
        </w:rPr>
        <w:t>teritoriul</w:t>
      </w:r>
      <w:proofErr w:type="spellEnd"/>
      <w:r w:rsidRPr="00814C24">
        <w:rPr>
          <w:color w:val="000000" w:themeColor="text1"/>
          <w:spacing w:val="-3"/>
          <w:sz w:val="24"/>
          <w:szCs w:val="24"/>
          <w:lang w:val="fr-FR"/>
        </w:rPr>
        <w:t xml:space="preserve"> </w:t>
      </w:r>
      <w:proofErr w:type="spellStart"/>
      <w:r w:rsidRPr="00814C24">
        <w:rPr>
          <w:color w:val="000000" w:themeColor="text1"/>
          <w:sz w:val="24"/>
          <w:szCs w:val="24"/>
          <w:lang w:val="fr-FR"/>
        </w:rPr>
        <w:t>României</w:t>
      </w:r>
      <w:proofErr w:type="spellEnd"/>
    </w:p>
    <w:p w14:paraId="301FD5B1" w14:textId="77777777" w:rsidR="006735BF" w:rsidRPr="00814C24" w:rsidRDefault="006735BF" w:rsidP="00FC74DD">
      <w:pPr>
        <w:pStyle w:val="BodyText"/>
        <w:ind w:left="0" w:right="14"/>
        <w:jc w:val="both"/>
        <w:rPr>
          <w:color w:val="000000" w:themeColor="text1"/>
          <w:sz w:val="24"/>
          <w:szCs w:val="24"/>
          <w:lang w:val="fr-FR"/>
        </w:rPr>
      </w:pPr>
      <w:proofErr w:type="spellStart"/>
      <w:r w:rsidRPr="00814C24">
        <w:rPr>
          <w:color w:val="000000" w:themeColor="text1"/>
          <w:sz w:val="24"/>
          <w:szCs w:val="24"/>
          <w:lang w:val="fr-FR"/>
        </w:rPr>
        <w:t>Pajiştile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sunt</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terenuri</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acoperite</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vegetație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dominate</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ierburi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sau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fără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vegetatie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forestieră</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fiind</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printre</w:t>
      </w:r>
      <w:proofErr w:type="spellEnd"/>
      <w:r w:rsidRPr="00814C24">
        <w:rPr>
          <w:color w:val="000000" w:themeColor="text1"/>
          <w:spacing w:val="-2"/>
          <w:sz w:val="24"/>
          <w:szCs w:val="24"/>
          <w:lang w:val="fr-FR"/>
        </w:rPr>
        <w:t xml:space="preserve"> </w:t>
      </w:r>
      <w:proofErr w:type="spellStart"/>
      <w:r w:rsidRPr="00814C24">
        <w:rPr>
          <w:color w:val="000000" w:themeColor="text1"/>
          <w:sz w:val="24"/>
          <w:szCs w:val="24"/>
          <w:lang w:val="fr-FR"/>
        </w:rPr>
        <w:t>cele</w:t>
      </w:r>
      <w:proofErr w:type="spellEnd"/>
      <w:r w:rsidRPr="00814C24">
        <w:rPr>
          <w:color w:val="000000" w:themeColor="text1"/>
          <w:sz w:val="24"/>
          <w:szCs w:val="24"/>
          <w:lang w:val="fr-FR"/>
        </w:rPr>
        <w:t xml:space="preserve"> mai mari </w:t>
      </w:r>
      <w:proofErr w:type="spellStart"/>
      <w:r w:rsidRPr="00814C24">
        <w:rPr>
          <w:color w:val="000000" w:themeColor="text1"/>
          <w:sz w:val="24"/>
          <w:szCs w:val="24"/>
          <w:lang w:val="fr-FR"/>
        </w:rPr>
        <w:t>și</w:t>
      </w:r>
      <w:proofErr w:type="spellEnd"/>
      <w:r w:rsidRPr="00814C24">
        <w:rPr>
          <w:color w:val="000000" w:themeColor="text1"/>
          <w:sz w:val="24"/>
          <w:szCs w:val="24"/>
          <w:lang w:val="fr-FR"/>
        </w:rPr>
        <w:t xml:space="preserve"> mai </w:t>
      </w:r>
      <w:proofErr w:type="spellStart"/>
      <w:r w:rsidRPr="00814C24">
        <w:rPr>
          <w:color w:val="000000" w:themeColor="text1"/>
          <w:sz w:val="24"/>
          <w:szCs w:val="24"/>
          <w:lang w:val="fr-FR"/>
        </w:rPr>
        <w:t>variate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tipuri</w:t>
      </w:r>
      <w:proofErr w:type="spellEnd"/>
      <w:r w:rsidRPr="00814C24">
        <w:rPr>
          <w:color w:val="000000" w:themeColor="text1"/>
          <w:sz w:val="24"/>
          <w:szCs w:val="24"/>
          <w:lang w:val="fr-FR"/>
        </w:rPr>
        <w:t xml:space="preserve"> de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habitate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din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lume</w:t>
      </w:r>
      <w:proofErr w:type="spellEnd"/>
      <w:r w:rsidRPr="00814C24">
        <w:rPr>
          <w:color w:val="000000" w:themeColor="text1"/>
          <w:sz w:val="24"/>
          <w:szCs w:val="24"/>
          <w:lang w:val="fr-FR"/>
        </w:rPr>
        <w:t>.</w:t>
      </w:r>
    </w:p>
    <w:p w14:paraId="5055C662" w14:textId="77777777" w:rsidR="006735BF" w:rsidRPr="00814C24" w:rsidRDefault="006735BF" w:rsidP="00FC74DD">
      <w:pPr>
        <w:pStyle w:val="BodyText"/>
        <w:ind w:left="0" w:right="14"/>
        <w:jc w:val="both"/>
        <w:rPr>
          <w:color w:val="000000" w:themeColor="text1"/>
          <w:sz w:val="24"/>
          <w:szCs w:val="24"/>
          <w:lang w:val="fr-FR"/>
        </w:rPr>
      </w:pPr>
      <w:proofErr w:type="spellStart"/>
      <w:r w:rsidRPr="00814C24">
        <w:rPr>
          <w:color w:val="000000" w:themeColor="text1"/>
          <w:sz w:val="24"/>
          <w:szCs w:val="24"/>
          <w:lang w:val="fr-FR"/>
        </w:rPr>
        <w:t>Habitatele</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pajişti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conţin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tipuri</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vegetație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erbacee</w:t>
      </w:r>
      <w:proofErr w:type="spellEnd"/>
      <w:r w:rsidRPr="00814C24">
        <w:rPr>
          <w:color w:val="000000" w:themeColor="text1"/>
          <w:sz w:val="24"/>
          <w:szCs w:val="24"/>
          <w:lang w:val="fr-FR"/>
        </w:rPr>
        <w:t xml:space="preserve">, dar </w:t>
      </w:r>
      <w:proofErr w:type="spellStart"/>
      <w:r w:rsidRPr="00814C24">
        <w:rPr>
          <w:color w:val="000000" w:themeColor="text1"/>
          <w:sz w:val="24"/>
          <w:szCs w:val="24"/>
          <w:lang w:val="fr-FR"/>
        </w:rPr>
        <w:t>uneori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şi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ierburi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anuale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sau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perene</w:t>
      </w:r>
      <w:proofErr w:type="spellEnd"/>
      <w:r w:rsidRPr="00814C24">
        <w:rPr>
          <w:color w:val="000000" w:themeColor="text1"/>
          <w:sz w:val="24"/>
          <w:szCs w:val="24"/>
          <w:lang w:val="fr-FR"/>
        </w:rPr>
        <w:t xml:space="preserve"> care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inhabitează</w:t>
      </w:r>
      <w:proofErr w:type="spellEnd"/>
      <w:r w:rsidRPr="00814C24">
        <w:rPr>
          <w:color w:val="000000" w:themeColor="text1"/>
          <w:sz w:val="24"/>
          <w:szCs w:val="24"/>
          <w:lang w:val="fr-FR"/>
        </w:rPr>
        <w:t xml:space="preserve"> zone </w:t>
      </w:r>
      <w:proofErr w:type="spellStart"/>
      <w:r w:rsidRPr="00814C24">
        <w:rPr>
          <w:color w:val="000000" w:themeColor="text1"/>
          <w:sz w:val="24"/>
          <w:szCs w:val="24"/>
          <w:lang w:val="fr-FR"/>
        </w:rPr>
        <w:t>uscate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climatic</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sau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edafic</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sau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zone </w:t>
      </w:r>
      <w:proofErr w:type="spellStart"/>
      <w:r w:rsidRPr="00814C24">
        <w:rPr>
          <w:color w:val="000000" w:themeColor="text1"/>
          <w:sz w:val="24"/>
          <w:szCs w:val="24"/>
          <w:lang w:val="fr-FR"/>
        </w:rPr>
        <w:t>cu</w:t>
      </w:r>
      <w:proofErr w:type="spellEnd"/>
      <w:r w:rsidRPr="00814C24">
        <w:rPr>
          <w:color w:val="000000" w:themeColor="text1"/>
          <w:sz w:val="24"/>
          <w:szCs w:val="24"/>
          <w:lang w:val="fr-FR"/>
        </w:rPr>
        <w:t xml:space="preserve"> un </w:t>
      </w:r>
      <w:proofErr w:type="spellStart"/>
      <w:r w:rsidRPr="00814C24">
        <w:rPr>
          <w:color w:val="000000" w:themeColor="text1"/>
          <w:sz w:val="24"/>
          <w:szCs w:val="24"/>
          <w:lang w:val="fr-FR"/>
        </w:rPr>
        <w:t>conținut</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hidric</w:t>
      </w:r>
      <w:proofErr w:type="spellEnd"/>
      <w:r w:rsidRPr="00814C24">
        <w:rPr>
          <w:color w:val="000000" w:themeColor="text1"/>
          <w:sz w:val="24"/>
          <w:szCs w:val="24"/>
          <w:lang w:val="fr-FR"/>
        </w:rPr>
        <w:t xml:space="preserve"> mai </w:t>
      </w:r>
      <w:proofErr w:type="spellStart"/>
      <w:r w:rsidRPr="00814C24">
        <w:rPr>
          <w:color w:val="000000" w:themeColor="text1"/>
          <w:sz w:val="24"/>
          <w:szCs w:val="24"/>
          <w:lang w:val="fr-FR"/>
        </w:rPr>
        <w:t>ridicat</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conformitate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cu</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această</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definiție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generală</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există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două</w:t>
      </w:r>
      <w:proofErr w:type="spellEnd"/>
      <w:r w:rsidRPr="00814C24">
        <w:rPr>
          <w:color w:val="000000" w:themeColor="text1"/>
          <w:sz w:val="24"/>
          <w:szCs w:val="24"/>
          <w:lang w:val="fr-FR"/>
        </w:rPr>
        <w:t xml:space="preserve"> principale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situații</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din</w:t>
      </w:r>
      <w:proofErr w:type="spellEnd"/>
      <w:r w:rsidRPr="00814C24">
        <w:rPr>
          <w:color w:val="000000" w:themeColor="text1"/>
          <w:spacing w:val="60"/>
          <w:sz w:val="24"/>
          <w:szCs w:val="24"/>
          <w:lang w:val="fr-FR"/>
        </w:rPr>
        <w:t xml:space="preserve"> </w:t>
      </w:r>
      <w:proofErr w:type="spellStart"/>
      <w:r w:rsidRPr="00814C24">
        <w:rPr>
          <w:color w:val="000000" w:themeColor="text1"/>
          <w:sz w:val="24"/>
          <w:szCs w:val="24"/>
          <w:lang w:val="fr-FR"/>
        </w:rPr>
        <w:t>România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pacing w:val="60"/>
          <w:sz w:val="24"/>
          <w:szCs w:val="24"/>
          <w:lang w:val="fr-FR"/>
        </w:rPr>
        <w:t xml:space="preserve"> </w:t>
      </w:r>
      <w:r w:rsidRPr="00814C24">
        <w:rPr>
          <w:color w:val="000000" w:themeColor="text1"/>
          <w:sz w:val="24"/>
          <w:szCs w:val="24"/>
          <w:lang w:val="fr-FR"/>
        </w:rPr>
        <w:t>care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aceste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habitate</w:t>
      </w:r>
      <w:proofErr w:type="spellEnd"/>
      <w:r w:rsidRPr="00814C24">
        <w:rPr>
          <w:color w:val="000000" w:themeColor="text1"/>
          <w:sz w:val="24"/>
          <w:szCs w:val="24"/>
          <w:lang w:val="fr-FR"/>
        </w:rPr>
        <w:t xml:space="preserve"> pot exista: </w:t>
      </w:r>
      <w:proofErr w:type="spellStart"/>
      <w:r w:rsidRPr="00814C24">
        <w:rPr>
          <w:color w:val="000000" w:themeColor="text1"/>
          <w:sz w:val="24"/>
          <w:szCs w:val="24"/>
          <w:lang w:val="fr-FR"/>
        </w:rPr>
        <w:t>pajişti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naturale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și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pajiști</w:t>
      </w:r>
      <w:proofErr w:type="spellEnd"/>
      <w:r w:rsidRPr="00814C24">
        <w:rPr>
          <w:color w:val="000000" w:themeColor="text1"/>
          <w:sz w:val="24"/>
          <w:szCs w:val="24"/>
          <w:lang w:val="fr-FR"/>
        </w:rPr>
        <w:t xml:space="preserve"> semi-</w:t>
      </w:r>
      <w:proofErr w:type="spellStart"/>
      <w:r w:rsidRPr="00814C24">
        <w:rPr>
          <w:color w:val="000000" w:themeColor="text1"/>
          <w:sz w:val="24"/>
          <w:szCs w:val="24"/>
          <w:lang w:val="fr-FR"/>
        </w:rPr>
        <w:t>naturale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ambele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situații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activitatea</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antropică</w:t>
      </w:r>
      <w:proofErr w:type="spellEnd"/>
      <w:r w:rsidRPr="00814C24">
        <w:rPr>
          <w:color w:val="000000" w:themeColor="text1"/>
          <w:spacing w:val="-3"/>
          <w:sz w:val="24"/>
          <w:szCs w:val="24"/>
          <w:lang w:val="fr-FR"/>
        </w:rPr>
        <w:t xml:space="preserve"> </w:t>
      </w:r>
      <w:proofErr w:type="spellStart"/>
      <w:r w:rsidRPr="00814C24">
        <w:rPr>
          <w:color w:val="000000" w:themeColor="text1"/>
          <w:sz w:val="24"/>
          <w:szCs w:val="24"/>
          <w:lang w:val="fr-FR"/>
        </w:rPr>
        <w:t>influențează</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măsură</w:t>
      </w:r>
      <w:proofErr w:type="spellEnd"/>
      <w:r w:rsidRPr="00814C24">
        <w:rPr>
          <w:color w:val="000000" w:themeColor="text1"/>
          <w:spacing w:val="-3"/>
          <w:sz w:val="24"/>
          <w:szCs w:val="24"/>
          <w:lang w:val="fr-FR"/>
        </w:rPr>
        <w:t xml:space="preserve"> </w:t>
      </w:r>
      <w:r w:rsidRPr="00814C24">
        <w:rPr>
          <w:color w:val="000000" w:themeColor="text1"/>
          <w:sz w:val="24"/>
          <w:szCs w:val="24"/>
          <w:lang w:val="fr-FR"/>
        </w:rPr>
        <w:t>mai mare</w:t>
      </w:r>
      <w:r w:rsidRPr="00814C24">
        <w:rPr>
          <w:color w:val="000000" w:themeColor="text1"/>
          <w:spacing w:val="-2"/>
          <w:sz w:val="24"/>
          <w:szCs w:val="24"/>
          <w:lang w:val="fr-FR"/>
        </w:rPr>
        <w:t xml:space="preserve"> </w:t>
      </w:r>
      <w:proofErr w:type="spellStart"/>
      <w:r w:rsidRPr="00814C24">
        <w:rPr>
          <w:color w:val="000000" w:themeColor="text1"/>
          <w:sz w:val="24"/>
          <w:szCs w:val="24"/>
          <w:lang w:val="fr-FR"/>
        </w:rPr>
        <w:t>sau</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mai</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mică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compoziția</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floristică</w:t>
      </w:r>
      <w:proofErr w:type="spellEnd"/>
      <w:r w:rsidRPr="00814C24">
        <w:rPr>
          <w:color w:val="000000" w:themeColor="text1"/>
          <w:spacing w:val="-2"/>
          <w:sz w:val="24"/>
          <w:szCs w:val="24"/>
          <w:lang w:val="fr-FR"/>
        </w:rPr>
        <w:t xml:space="preserve"> </w:t>
      </w:r>
      <w:r w:rsidRPr="00814C24">
        <w:rPr>
          <w:color w:val="000000" w:themeColor="text1"/>
          <w:sz w:val="24"/>
          <w:szCs w:val="24"/>
          <w:lang w:val="fr-FR"/>
        </w:rPr>
        <w:t>a</w:t>
      </w:r>
      <w:r w:rsidRPr="00814C24">
        <w:rPr>
          <w:color w:val="000000" w:themeColor="text1"/>
          <w:spacing w:val="-2"/>
          <w:sz w:val="24"/>
          <w:szCs w:val="24"/>
          <w:lang w:val="fr-FR"/>
        </w:rPr>
        <w:t xml:space="preserve"> </w:t>
      </w:r>
      <w:proofErr w:type="spellStart"/>
      <w:r w:rsidRPr="00814C24">
        <w:rPr>
          <w:color w:val="000000" w:themeColor="text1"/>
          <w:sz w:val="24"/>
          <w:szCs w:val="24"/>
          <w:lang w:val="fr-FR"/>
        </w:rPr>
        <w:t>acestora</w:t>
      </w:r>
      <w:proofErr w:type="spellEnd"/>
      <w:r w:rsidRPr="00814C24">
        <w:rPr>
          <w:color w:val="000000" w:themeColor="text1"/>
          <w:sz w:val="24"/>
          <w:szCs w:val="24"/>
          <w:lang w:val="fr-FR"/>
        </w:rPr>
        <w:t>.</w:t>
      </w:r>
    </w:p>
    <w:p w14:paraId="05A88AB3" w14:textId="77777777" w:rsidR="006735BF" w:rsidRPr="00814C24" w:rsidRDefault="006735BF" w:rsidP="00FC74DD">
      <w:pPr>
        <w:pStyle w:val="BodyText"/>
        <w:ind w:left="0" w:right="14"/>
        <w:jc w:val="both"/>
        <w:rPr>
          <w:color w:val="000000" w:themeColor="text1"/>
          <w:sz w:val="24"/>
          <w:szCs w:val="24"/>
          <w:lang w:val="fr-FR"/>
        </w:rPr>
      </w:pP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România</w:t>
      </w:r>
      <w:proofErr w:type="spellEnd"/>
      <w:r w:rsidRPr="00814C24">
        <w:rPr>
          <w:color w:val="000000" w:themeColor="text1"/>
          <w:sz w:val="24"/>
          <w:szCs w:val="24"/>
          <w:lang w:val="fr-FR"/>
        </w:rPr>
        <w:t xml:space="preserve"> este </w:t>
      </w:r>
      <w:proofErr w:type="spellStart"/>
      <w:r w:rsidRPr="00814C24">
        <w:rPr>
          <w:color w:val="000000" w:themeColor="text1"/>
          <w:sz w:val="24"/>
          <w:szCs w:val="24"/>
          <w:lang w:val="fr-FR"/>
        </w:rPr>
        <w:t>prezentă</w:t>
      </w:r>
      <w:proofErr w:type="spellEnd"/>
      <w:r w:rsidRPr="00814C24">
        <w:rPr>
          <w:color w:val="000000" w:themeColor="text1"/>
          <w:sz w:val="24"/>
          <w:szCs w:val="24"/>
          <w:lang w:val="fr-FR"/>
        </w:rPr>
        <w:t xml:space="preserve"> o mare </w:t>
      </w:r>
      <w:proofErr w:type="spellStart"/>
      <w:r w:rsidRPr="00814C24">
        <w:rPr>
          <w:color w:val="000000" w:themeColor="text1"/>
          <w:sz w:val="24"/>
          <w:szCs w:val="24"/>
          <w:lang w:val="fr-FR"/>
        </w:rPr>
        <w:t>varietate</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tipuri</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pajişti</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exemplu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pajiști</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stepă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pajiști</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 xml:space="preserve">alpine, </w:t>
      </w:r>
      <w:proofErr w:type="spellStart"/>
      <w:r w:rsidRPr="00814C24">
        <w:rPr>
          <w:color w:val="000000" w:themeColor="text1"/>
          <w:sz w:val="24"/>
          <w:szCs w:val="24"/>
          <w:lang w:val="fr-FR"/>
        </w:rPr>
        <w:t>pajişti</w:t>
      </w:r>
      <w:proofErr w:type="spellEnd"/>
      <w:r w:rsidRPr="00814C24">
        <w:rPr>
          <w:color w:val="000000" w:themeColor="text1"/>
          <w:sz w:val="24"/>
          <w:szCs w:val="24"/>
          <w:lang w:val="fr-FR"/>
        </w:rPr>
        <w:t xml:space="preserve"> montane, </w:t>
      </w:r>
      <w:proofErr w:type="spellStart"/>
      <w:r w:rsidRPr="00814C24">
        <w:rPr>
          <w:color w:val="000000" w:themeColor="text1"/>
          <w:sz w:val="24"/>
          <w:szCs w:val="24"/>
          <w:lang w:val="fr-FR"/>
        </w:rPr>
        <w:t>pajişti</w:t>
      </w:r>
      <w:proofErr w:type="spellEnd"/>
      <w:r w:rsidRPr="00814C24">
        <w:rPr>
          <w:color w:val="000000" w:themeColor="text1"/>
          <w:sz w:val="24"/>
          <w:szCs w:val="24"/>
          <w:lang w:val="fr-FR"/>
        </w:rPr>
        <w:t xml:space="preserve"> azonale/</w:t>
      </w:r>
      <w:proofErr w:type="spellStart"/>
      <w:r w:rsidRPr="00814C24">
        <w:rPr>
          <w:color w:val="000000" w:themeColor="text1"/>
          <w:sz w:val="24"/>
          <w:szCs w:val="24"/>
          <w:lang w:val="fr-FR"/>
        </w:rPr>
        <w:t>extrazonale</w:t>
      </w:r>
      <w:proofErr w:type="spellEnd"/>
      <w:r w:rsidRPr="00814C24">
        <w:rPr>
          <w:color w:val="000000" w:themeColor="text1"/>
          <w:sz w:val="24"/>
          <w:szCs w:val="24"/>
          <w:lang w:val="fr-FR"/>
        </w:rPr>
        <w:t xml:space="preserve">) care </w:t>
      </w:r>
      <w:proofErr w:type="spellStart"/>
      <w:r w:rsidRPr="00814C24">
        <w:rPr>
          <w:color w:val="000000" w:themeColor="text1"/>
          <w:sz w:val="24"/>
          <w:szCs w:val="24"/>
          <w:lang w:val="fr-FR"/>
        </w:rPr>
        <w:t>diferă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funcţie</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compoziţia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şi</w:t>
      </w:r>
      <w:proofErr w:type="spellEnd"/>
      <w:r w:rsidRPr="00814C24">
        <w:rPr>
          <w:color w:val="000000" w:themeColor="text1"/>
          <w:sz w:val="24"/>
          <w:szCs w:val="24"/>
          <w:lang w:val="fr-FR"/>
        </w:rPr>
        <w:t xml:space="preserve"> structura</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specifică</w:t>
      </w:r>
      <w:proofErr w:type="spellEnd"/>
      <w:r w:rsidRPr="00814C24">
        <w:rPr>
          <w:color w:val="000000" w:themeColor="text1"/>
          <w:sz w:val="24"/>
          <w:szCs w:val="24"/>
          <w:lang w:val="fr-FR"/>
        </w:rPr>
        <w:t xml:space="preserve"> a </w:t>
      </w:r>
      <w:proofErr w:type="spellStart"/>
      <w:r w:rsidRPr="00814C24">
        <w:rPr>
          <w:color w:val="000000" w:themeColor="text1"/>
          <w:sz w:val="24"/>
          <w:szCs w:val="24"/>
          <w:lang w:val="fr-FR"/>
        </w:rPr>
        <w:t>fitocenozelor</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poziția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geografică</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tipul</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solului</w:t>
      </w:r>
      <w:proofErr w:type="spellEnd"/>
      <w:r w:rsidRPr="00814C24">
        <w:rPr>
          <w:color w:val="000000" w:themeColor="text1"/>
          <w:sz w:val="24"/>
          <w:szCs w:val="24"/>
          <w:lang w:val="fr-FR"/>
        </w:rPr>
        <w:t xml:space="preserve"> (pH, </w:t>
      </w:r>
      <w:proofErr w:type="spellStart"/>
      <w:r w:rsidRPr="00814C24">
        <w:rPr>
          <w:color w:val="000000" w:themeColor="text1"/>
          <w:sz w:val="24"/>
          <w:szCs w:val="24"/>
          <w:lang w:val="fr-FR"/>
        </w:rPr>
        <w:t>nutrienți</w:t>
      </w:r>
      <w:proofErr w:type="spellEnd"/>
      <w:r w:rsidRPr="00814C24">
        <w:rPr>
          <w:color w:val="000000" w:themeColor="text1"/>
          <w:sz w:val="24"/>
          <w:szCs w:val="24"/>
          <w:lang w:val="fr-FR"/>
        </w:rPr>
        <w:t xml:space="preserve"> etc.), microclimat </w:t>
      </w:r>
      <w:proofErr w:type="spellStart"/>
      <w:r w:rsidRPr="00814C24">
        <w:rPr>
          <w:color w:val="000000" w:themeColor="text1"/>
          <w:sz w:val="24"/>
          <w:szCs w:val="24"/>
          <w:lang w:val="fr-FR"/>
        </w:rPr>
        <w:t>şi</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 xml:space="preserve">macroclimat, </w:t>
      </w:r>
      <w:proofErr w:type="spellStart"/>
      <w:r w:rsidRPr="00814C24">
        <w:rPr>
          <w:color w:val="000000" w:themeColor="text1"/>
          <w:sz w:val="24"/>
          <w:szCs w:val="24"/>
          <w:lang w:val="fr-FR"/>
        </w:rPr>
        <w:t>echilibrul</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apei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pajişti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mezo-xerice</w:t>
      </w:r>
      <w:proofErr w:type="spellEnd"/>
      <w:r w:rsidRPr="00814C24">
        <w:rPr>
          <w:color w:val="000000" w:themeColor="text1"/>
          <w:sz w:val="24"/>
          <w:szCs w:val="24"/>
          <w:lang w:val="fr-FR"/>
        </w:rPr>
        <w:t>/</w:t>
      </w:r>
      <w:proofErr w:type="spellStart"/>
      <w:r w:rsidRPr="00814C24">
        <w:rPr>
          <w:color w:val="000000" w:themeColor="text1"/>
          <w:sz w:val="24"/>
          <w:szCs w:val="24"/>
          <w:lang w:val="fr-FR"/>
        </w:rPr>
        <w:t>xerice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şi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utilizarea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terenurilor</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naturale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păşuni</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fânețe</w:t>
      </w:r>
      <w:proofErr w:type="spellEnd"/>
      <w:r w:rsidRPr="00814C24">
        <w:rPr>
          <w:color w:val="000000" w:themeColor="text1"/>
          <w:sz w:val="24"/>
          <w:szCs w:val="24"/>
          <w:lang w:val="fr-FR"/>
        </w:rPr>
        <w:t>).</w:t>
      </w:r>
      <w:proofErr w:type="spellStart"/>
      <w:r w:rsidRPr="00814C24">
        <w:rPr>
          <w:color w:val="000000" w:themeColor="text1"/>
          <w:sz w:val="24"/>
          <w:szCs w:val="24"/>
          <w:lang w:val="fr-FR"/>
        </w:rPr>
        <w:t>Măsuri</w:t>
      </w:r>
      <w:proofErr w:type="spellEnd"/>
      <w:r w:rsidRPr="00814C24">
        <w:rPr>
          <w:color w:val="000000" w:themeColor="text1"/>
          <w:spacing w:val="-4"/>
          <w:sz w:val="24"/>
          <w:szCs w:val="24"/>
          <w:lang w:val="fr-FR"/>
        </w:rPr>
        <w:t xml:space="preserve"> </w:t>
      </w:r>
      <w:r w:rsidRPr="00814C24">
        <w:rPr>
          <w:color w:val="000000" w:themeColor="text1"/>
          <w:sz w:val="24"/>
          <w:szCs w:val="24"/>
          <w:lang w:val="fr-FR"/>
        </w:rPr>
        <w:t>de</w:t>
      </w:r>
      <w:r w:rsidRPr="00814C24">
        <w:rPr>
          <w:color w:val="000000" w:themeColor="text1"/>
          <w:spacing w:val="-2"/>
          <w:sz w:val="24"/>
          <w:szCs w:val="24"/>
          <w:lang w:val="fr-FR"/>
        </w:rPr>
        <w:t xml:space="preserve"> </w:t>
      </w:r>
      <w:proofErr w:type="spellStart"/>
      <w:r w:rsidRPr="00814C24">
        <w:rPr>
          <w:color w:val="000000" w:themeColor="text1"/>
          <w:sz w:val="24"/>
          <w:szCs w:val="24"/>
          <w:lang w:val="fr-FR"/>
        </w:rPr>
        <w:t>conservare</w:t>
      </w:r>
      <w:proofErr w:type="spellEnd"/>
    </w:p>
    <w:p w14:paraId="2DDDBA7D" w14:textId="77777777" w:rsidR="00F87C76" w:rsidRPr="00814C24" w:rsidRDefault="00F87C76" w:rsidP="00FC74DD">
      <w:pPr>
        <w:pStyle w:val="BodyText"/>
        <w:spacing w:before="160" w:line="276" w:lineRule="auto"/>
        <w:ind w:left="0" w:right="-76"/>
        <w:jc w:val="both"/>
        <w:rPr>
          <w:b/>
          <w:bCs/>
          <w:color w:val="000000" w:themeColor="text1"/>
          <w:sz w:val="24"/>
          <w:szCs w:val="24"/>
          <w:lang w:val="ro-RO"/>
        </w:rPr>
      </w:pPr>
      <w:r w:rsidRPr="00814C24">
        <w:rPr>
          <w:b/>
          <w:bCs/>
          <w:color w:val="000000" w:themeColor="text1"/>
          <w:sz w:val="24"/>
          <w:szCs w:val="24"/>
          <w:lang w:val="ro-RO"/>
        </w:rPr>
        <w:t>Măsuri de conservare</w:t>
      </w:r>
    </w:p>
    <w:p w14:paraId="2E480F80" w14:textId="77777777" w:rsidR="006735BF" w:rsidRPr="00814C24" w:rsidRDefault="006735BF" w:rsidP="00FC74DD">
      <w:pPr>
        <w:pStyle w:val="BodyText"/>
        <w:spacing w:before="160" w:line="276" w:lineRule="auto"/>
        <w:ind w:left="0" w:right="-76"/>
        <w:jc w:val="both"/>
        <w:rPr>
          <w:color w:val="000000" w:themeColor="text1"/>
          <w:sz w:val="24"/>
          <w:szCs w:val="24"/>
          <w:lang w:val="fr-FR"/>
        </w:rPr>
      </w:pPr>
      <w:r w:rsidRPr="00814C24">
        <w:rPr>
          <w:color w:val="000000" w:themeColor="text1"/>
          <w:sz w:val="24"/>
          <w:szCs w:val="24"/>
          <w:lang w:val="fr-FR"/>
        </w:rPr>
        <w:t xml:space="preserve">Lista </w:t>
      </w:r>
      <w:proofErr w:type="spellStart"/>
      <w:r w:rsidRPr="00814C24">
        <w:rPr>
          <w:color w:val="000000" w:themeColor="text1"/>
          <w:sz w:val="24"/>
          <w:szCs w:val="24"/>
          <w:lang w:val="fr-FR"/>
        </w:rPr>
        <w:t>măsurilor</w:t>
      </w:r>
      <w:proofErr w:type="spellEnd"/>
      <w:r w:rsidRPr="00814C24">
        <w:rPr>
          <w:color w:val="000000" w:themeColor="text1"/>
          <w:spacing w:val="-57"/>
          <w:sz w:val="24"/>
          <w:szCs w:val="24"/>
          <w:lang w:val="fr-FR"/>
        </w:rPr>
        <w:t xml:space="preserve"> </w:t>
      </w:r>
      <w:r w:rsidRPr="00814C24">
        <w:rPr>
          <w:color w:val="000000" w:themeColor="text1"/>
          <w:sz w:val="24"/>
          <w:szCs w:val="24"/>
          <w:lang w:val="fr-FR"/>
        </w:rPr>
        <w:t>de</w:t>
      </w:r>
      <w:r w:rsidRPr="00814C24">
        <w:rPr>
          <w:color w:val="000000" w:themeColor="text1"/>
          <w:spacing w:val="-2"/>
          <w:sz w:val="24"/>
          <w:szCs w:val="24"/>
          <w:lang w:val="fr-FR"/>
        </w:rPr>
        <w:t xml:space="preserve"> </w:t>
      </w:r>
      <w:proofErr w:type="spellStart"/>
      <w:r w:rsidRPr="00814C24">
        <w:rPr>
          <w:color w:val="000000" w:themeColor="text1"/>
          <w:sz w:val="24"/>
          <w:szCs w:val="24"/>
          <w:lang w:val="fr-FR"/>
        </w:rPr>
        <w:t>conservare</w:t>
      </w:r>
      <w:proofErr w:type="spellEnd"/>
      <w:r w:rsidRPr="00814C24">
        <w:rPr>
          <w:color w:val="000000" w:themeColor="text1"/>
          <w:spacing w:val="-2"/>
          <w:sz w:val="24"/>
          <w:szCs w:val="24"/>
          <w:lang w:val="fr-FR"/>
        </w:rPr>
        <w:t xml:space="preserve"> </w:t>
      </w:r>
      <w:r w:rsidRPr="00814C24">
        <w:rPr>
          <w:color w:val="000000" w:themeColor="text1"/>
          <w:sz w:val="24"/>
          <w:szCs w:val="24"/>
          <w:lang w:val="fr-FR"/>
        </w:rPr>
        <w:t>se</w:t>
      </w:r>
      <w:r w:rsidRPr="00814C24">
        <w:rPr>
          <w:color w:val="000000" w:themeColor="text1"/>
          <w:spacing w:val="-2"/>
          <w:sz w:val="24"/>
          <w:szCs w:val="24"/>
          <w:lang w:val="fr-FR"/>
        </w:rPr>
        <w:t xml:space="preserve"> </w:t>
      </w:r>
      <w:proofErr w:type="spellStart"/>
      <w:r w:rsidRPr="00814C24">
        <w:rPr>
          <w:color w:val="000000" w:themeColor="text1"/>
          <w:sz w:val="24"/>
          <w:szCs w:val="24"/>
          <w:lang w:val="fr-FR"/>
        </w:rPr>
        <w:t>regăsește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pe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portalul</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de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raportare</w:t>
      </w:r>
      <w:proofErr w:type="spellEnd"/>
      <w:r w:rsidRPr="00814C24">
        <w:rPr>
          <w:color w:val="000000" w:themeColor="text1"/>
          <w:sz w:val="24"/>
          <w:szCs w:val="24"/>
          <w:lang w:val="fr-FR"/>
        </w:rPr>
        <w:t xml:space="preserve"> al</w:t>
      </w:r>
      <w:r w:rsidRPr="00814C24">
        <w:rPr>
          <w:color w:val="000000" w:themeColor="text1"/>
          <w:spacing w:val="-1"/>
          <w:sz w:val="24"/>
          <w:szCs w:val="24"/>
          <w:lang w:val="fr-FR"/>
        </w:rPr>
        <w:t xml:space="preserve"> </w:t>
      </w:r>
      <w:r w:rsidRPr="00814C24">
        <w:rPr>
          <w:color w:val="000000" w:themeColor="text1"/>
          <w:sz w:val="24"/>
          <w:szCs w:val="24"/>
          <w:lang w:val="fr-FR"/>
        </w:rPr>
        <w:t xml:space="preserve">CE </w:t>
      </w:r>
      <w:proofErr w:type="spellStart"/>
      <w:r w:rsidRPr="00814C24">
        <w:rPr>
          <w:color w:val="000000" w:themeColor="text1"/>
          <w:sz w:val="24"/>
          <w:szCs w:val="24"/>
          <w:lang w:val="fr-FR"/>
        </w:rPr>
        <w:t>și</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pacing w:val="-1"/>
          <w:sz w:val="24"/>
          <w:szCs w:val="24"/>
          <w:lang w:val="fr-FR"/>
        </w:rPr>
        <w:t xml:space="preserve"> </w:t>
      </w:r>
      <w:proofErr w:type="spellStart"/>
      <w:r w:rsidR="00C97A4B" w:rsidRPr="00814C24">
        <w:rPr>
          <w:color w:val="000000" w:themeColor="text1"/>
          <w:sz w:val="24"/>
          <w:szCs w:val="24"/>
          <w:lang w:val="fr-FR"/>
        </w:rPr>
        <w:t>secțiunea</w:t>
      </w:r>
      <w:proofErr w:type="spellEnd"/>
      <w:r w:rsidR="00C97A4B" w:rsidRPr="00814C24">
        <w:rPr>
          <w:color w:val="000000" w:themeColor="text1"/>
          <w:sz w:val="24"/>
          <w:szCs w:val="24"/>
          <w:lang w:val="fr-FR"/>
        </w:rPr>
        <w:t xml:space="preserve"> </w:t>
      </w:r>
      <w:r w:rsidR="00910E00" w:rsidRPr="00814C24">
        <w:rPr>
          <w:color w:val="000000" w:themeColor="text1"/>
          <w:sz w:val="24"/>
          <w:szCs w:val="24"/>
          <w:lang w:val="fr-FR"/>
        </w:rPr>
        <w:t>6.5</w:t>
      </w:r>
      <w:r w:rsidR="00C97A4B" w:rsidRPr="00814C24">
        <w:rPr>
          <w:color w:val="000000" w:themeColor="text1"/>
          <w:sz w:val="24"/>
          <w:szCs w:val="24"/>
          <w:lang w:val="fr-FR"/>
        </w:rPr>
        <w:t xml:space="preserve"> la </w:t>
      </w:r>
      <w:proofErr w:type="spellStart"/>
      <w:r w:rsidR="00C97A4B" w:rsidRPr="00814C24">
        <w:rPr>
          <w:color w:val="000000" w:themeColor="text1"/>
          <w:sz w:val="24"/>
          <w:szCs w:val="24"/>
          <w:lang w:val="fr-FR"/>
        </w:rPr>
        <w:t>prezentrul</w:t>
      </w:r>
      <w:proofErr w:type="spellEnd"/>
      <w:r w:rsidR="00C97A4B" w:rsidRPr="00814C24">
        <w:rPr>
          <w:color w:val="000000" w:themeColor="text1"/>
          <w:sz w:val="24"/>
          <w:szCs w:val="24"/>
          <w:lang w:val="fr-FR"/>
        </w:rPr>
        <w:t xml:space="preserve"> </w:t>
      </w:r>
      <w:r w:rsidRPr="00814C24">
        <w:rPr>
          <w:color w:val="000000" w:themeColor="text1"/>
          <w:sz w:val="24"/>
          <w:szCs w:val="24"/>
          <w:lang w:val="fr-FR"/>
        </w:rPr>
        <w:t>document.</w:t>
      </w:r>
    </w:p>
    <w:p w14:paraId="1D875CEC" w14:textId="77777777" w:rsidR="006735BF" w:rsidRPr="00814C24" w:rsidRDefault="006735BF" w:rsidP="00FC74DD">
      <w:pPr>
        <w:pStyle w:val="BodyText"/>
        <w:spacing w:before="11"/>
        <w:ind w:left="0" w:right="-76"/>
        <w:jc w:val="both"/>
        <w:rPr>
          <w:color w:val="000000" w:themeColor="text1"/>
          <w:sz w:val="24"/>
          <w:szCs w:val="24"/>
          <w:lang w:val="fr-FR"/>
        </w:rPr>
      </w:pPr>
    </w:p>
    <w:p w14:paraId="6D047EC8" w14:textId="77777777" w:rsidR="006735BF" w:rsidRPr="00814C24" w:rsidRDefault="006735BF" w:rsidP="00FC74DD">
      <w:pPr>
        <w:pStyle w:val="Heading2"/>
        <w:widowControl w:val="0"/>
        <w:tabs>
          <w:tab w:val="left" w:pos="1191"/>
        </w:tabs>
        <w:autoSpaceDE w:val="0"/>
        <w:autoSpaceDN w:val="0"/>
        <w:spacing w:before="0" w:beforeAutospacing="0" w:after="0" w:afterAutospacing="0"/>
        <w:ind w:right="-76"/>
        <w:jc w:val="both"/>
        <w:rPr>
          <w:color w:val="000000" w:themeColor="text1"/>
          <w:sz w:val="24"/>
          <w:szCs w:val="24"/>
        </w:rPr>
      </w:pPr>
      <w:r w:rsidRPr="00814C24">
        <w:rPr>
          <w:color w:val="000000" w:themeColor="text1"/>
          <w:sz w:val="24"/>
          <w:szCs w:val="24"/>
        </w:rPr>
        <w:t>Perspective</w:t>
      </w:r>
    </w:p>
    <w:p w14:paraId="6080AF92" w14:textId="77777777" w:rsidR="006735BF" w:rsidRPr="00814C24" w:rsidRDefault="006735BF" w:rsidP="00FC74DD">
      <w:pPr>
        <w:spacing w:before="157"/>
        <w:ind w:right="-76"/>
        <w:jc w:val="both"/>
        <w:rPr>
          <w:color w:val="000000" w:themeColor="text1"/>
          <w:lang w:val="fr-FR"/>
        </w:rPr>
      </w:pPr>
      <w:r w:rsidRPr="00814C24">
        <w:rPr>
          <w:color w:val="000000" w:themeColor="text1"/>
        </w:rPr>
        <w:t>Corelat cu formatul de raportare, rezultatul evaluării stării perspectivelor se face folosind cele patru</w:t>
      </w:r>
      <w:r w:rsidRPr="00814C24">
        <w:rPr>
          <w:color w:val="000000" w:themeColor="text1"/>
          <w:spacing w:val="1"/>
        </w:rPr>
        <w:t xml:space="preserve"> </w:t>
      </w:r>
      <w:r w:rsidRPr="00814C24">
        <w:rPr>
          <w:color w:val="000000" w:themeColor="text1"/>
        </w:rPr>
        <w:t>categorii</w:t>
      </w:r>
      <w:r w:rsidRPr="00814C24">
        <w:rPr>
          <w:color w:val="000000" w:themeColor="text1"/>
          <w:spacing w:val="11"/>
        </w:rPr>
        <w:t xml:space="preserve"> </w:t>
      </w:r>
      <w:r w:rsidRPr="00814C24">
        <w:rPr>
          <w:color w:val="000000" w:themeColor="text1"/>
        </w:rPr>
        <w:t>disponibile:</w:t>
      </w:r>
      <w:r w:rsidRPr="00814C24">
        <w:rPr>
          <w:color w:val="000000" w:themeColor="text1"/>
          <w:spacing w:val="11"/>
        </w:rPr>
        <w:t xml:space="preserve"> </w:t>
      </w:r>
      <w:r w:rsidRPr="00814C24">
        <w:rPr>
          <w:color w:val="000000" w:themeColor="text1"/>
        </w:rPr>
        <w:t>„</w:t>
      </w:r>
      <w:r w:rsidRPr="00814C24">
        <w:rPr>
          <w:b/>
          <w:color w:val="000000" w:themeColor="text1"/>
        </w:rPr>
        <w:t>favorabil</w:t>
      </w:r>
      <w:r w:rsidRPr="00814C24">
        <w:rPr>
          <w:color w:val="000000" w:themeColor="text1"/>
        </w:rPr>
        <w:t>”</w:t>
      </w:r>
      <w:r w:rsidRPr="00814C24">
        <w:rPr>
          <w:color w:val="000000" w:themeColor="text1"/>
          <w:spacing w:val="10"/>
        </w:rPr>
        <w:t xml:space="preserve"> </w:t>
      </w:r>
      <w:r w:rsidRPr="00814C24">
        <w:rPr>
          <w:color w:val="000000" w:themeColor="text1"/>
        </w:rPr>
        <w:t>(FV),</w:t>
      </w:r>
      <w:r w:rsidRPr="00814C24">
        <w:rPr>
          <w:color w:val="000000" w:themeColor="text1"/>
          <w:spacing w:val="11"/>
        </w:rPr>
        <w:t xml:space="preserve"> </w:t>
      </w:r>
      <w:r w:rsidRPr="00814C24">
        <w:rPr>
          <w:color w:val="000000" w:themeColor="text1"/>
        </w:rPr>
        <w:t>„</w:t>
      </w:r>
      <w:r w:rsidRPr="00814C24">
        <w:rPr>
          <w:b/>
          <w:color w:val="000000" w:themeColor="text1"/>
        </w:rPr>
        <w:t>nefavorabil-inadecvat</w:t>
      </w:r>
      <w:r w:rsidRPr="00814C24">
        <w:rPr>
          <w:color w:val="000000" w:themeColor="text1"/>
        </w:rPr>
        <w:t>”</w:t>
      </w:r>
      <w:r w:rsidRPr="00814C24">
        <w:rPr>
          <w:color w:val="000000" w:themeColor="text1"/>
          <w:spacing w:val="11"/>
        </w:rPr>
        <w:t xml:space="preserve"> </w:t>
      </w:r>
      <w:r w:rsidRPr="00814C24">
        <w:rPr>
          <w:color w:val="000000" w:themeColor="text1"/>
        </w:rPr>
        <w:t>(U1),</w:t>
      </w:r>
      <w:r w:rsidRPr="00814C24">
        <w:rPr>
          <w:color w:val="000000" w:themeColor="text1"/>
          <w:spacing w:val="11"/>
        </w:rPr>
        <w:t xml:space="preserve"> </w:t>
      </w:r>
      <w:r w:rsidRPr="00814C24">
        <w:rPr>
          <w:color w:val="000000" w:themeColor="text1"/>
        </w:rPr>
        <w:t>„</w:t>
      </w:r>
      <w:r w:rsidRPr="00814C24">
        <w:rPr>
          <w:b/>
          <w:color w:val="000000" w:themeColor="text1"/>
        </w:rPr>
        <w:t>nefavorabil-rău</w:t>
      </w:r>
      <w:r w:rsidRPr="00814C24">
        <w:rPr>
          <w:color w:val="000000" w:themeColor="text1"/>
        </w:rPr>
        <w:t>”</w:t>
      </w:r>
      <w:r w:rsidRPr="00814C24">
        <w:rPr>
          <w:color w:val="000000" w:themeColor="text1"/>
          <w:spacing w:val="10"/>
        </w:rPr>
        <w:t xml:space="preserve"> </w:t>
      </w:r>
      <w:r w:rsidRPr="00814C24">
        <w:rPr>
          <w:color w:val="000000" w:themeColor="text1"/>
        </w:rPr>
        <w:t>(U2)</w:t>
      </w:r>
      <w:r w:rsidRPr="00814C24">
        <w:rPr>
          <w:color w:val="000000" w:themeColor="text1"/>
          <w:spacing w:val="10"/>
        </w:rPr>
        <w:t xml:space="preserve"> </w:t>
      </w:r>
      <w:r w:rsidRPr="00814C24">
        <w:rPr>
          <w:color w:val="000000" w:themeColor="text1"/>
        </w:rPr>
        <w:t>și</w:t>
      </w:r>
      <w:r w:rsidR="00D54D46" w:rsidRPr="00814C24">
        <w:rPr>
          <w:color w:val="000000" w:themeColor="text1"/>
        </w:rPr>
        <w:t xml:space="preserve"> </w:t>
      </w:r>
      <w:r w:rsidRPr="00814C24">
        <w:rPr>
          <w:color w:val="000000" w:themeColor="text1"/>
          <w:lang w:val="fr-FR"/>
        </w:rPr>
        <w:t>„</w:t>
      </w:r>
      <w:proofErr w:type="spellStart"/>
      <w:r w:rsidRPr="00814C24">
        <w:rPr>
          <w:b/>
          <w:color w:val="000000" w:themeColor="text1"/>
          <w:lang w:val="fr-FR"/>
        </w:rPr>
        <w:t>necunoscut</w:t>
      </w:r>
      <w:proofErr w:type="spellEnd"/>
      <w:r w:rsidRPr="00814C24">
        <w:rPr>
          <w:color w:val="000000" w:themeColor="text1"/>
          <w:lang w:val="fr-FR"/>
        </w:rPr>
        <w:t>”</w:t>
      </w:r>
      <w:r w:rsidRPr="00814C24">
        <w:rPr>
          <w:color w:val="000000" w:themeColor="text1"/>
          <w:spacing w:val="-3"/>
          <w:lang w:val="fr-FR"/>
        </w:rPr>
        <w:t xml:space="preserve"> </w:t>
      </w:r>
      <w:r w:rsidRPr="00814C24">
        <w:rPr>
          <w:color w:val="000000" w:themeColor="text1"/>
          <w:lang w:val="fr-FR"/>
        </w:rPr>
        <w:t>(XX)</w:t>
      </w:r>
      <w:r w:rsidRPr="00814C24">
        <w:rPr>
          <w:color w:val="000000" w:themeColor="text1"/>
          <w:spacing w:val="-1"/>
          <w:lang w:val="fr-FR"/>
        </w:rPr>
        <w:t xml:space="preserve"> </w:t>
      </w:r>
      <w:r w:rsidRPr="00814C24">
        <w:rPr>
          <w:color w:val="000000" w:themeColor="text1"/>
          <w:lang w:val="fr-FR"/>
        </w:rPr>
        <w:t>este</w:t>
      </w:r>
      <w:r w:rsidRPr="00814C24">
        <w:rPr>
          <w:color w:val="000000" w:themeColor="text1"/>
          <w:spacing w:val="-1"/>
          <w:lang w:val="fr-FR"/>
        </w:rPr>
        <w:t xml:space="preserve"> </w:t>
      </w:r>
      <w:proofErr w:type="spellStart"/>
      <w:r w:rsidRPr="00814C24">
        <w:rPr>
          <w:color w:val="000000" w:themeColor="text1"/>
          <w:lang w:val="fr-FR"/>
        </w:rPr>
        <w:t>redat</w:t>
      </w:r>
      <w:proofErr w:type="spellEnd"/>
      <w:r w:rsidRPr="00814C24">
        <w:rPr>
          <w:color w:val="000000" w:themeColor="text1"/>
          <w:spacing w:val="-1"/>
          <w:lang w:val="fr-FR"/>
        </w:rPr>
        <w:t xml:space="preserve"> </w:t>
      </w:r>
      <w:proofErr w:type="spellStart"/>
      <w:r w:rsidRPr="00814C24">
        <w:rPr>
          <w:color w:val="000000" w:themeColor="text1"/>
          <w:lang w:val="fr-FR"/>
        </w:rPr>
        <w:t>în</w:t>
      </w:r>
      <w:proofErr w:type="spellEnd"/>
      <w:r w:rsidRPr="00814C24">
        <w:rPr>
          <w:color w:val="000000" w:themeColor="text1"/>
          <w:spacing w:val="-2"/>
          <w:lang w:val="fr-FR"/>
        </w:rPr>
        <w:t xml:space="preserve"> </w:t>
      </w:r>
      <w:proofErr w:type="spellStart"/>
      <w:r w:rsidRPr="00814C24">
        <w:rPr>
          <w:color w:val="000000" w:themeColor="text1"/>
          <w:lang w:val="fr-FR"/>
        </w:rPr>
        <w:t>tabelul</w:t>
      </w:r>
      <w:proofErr w:type="spellEnd"/>
      <w:r w:rsidRPr="00814C24">
        <w:rPr>
          <w:color w:val="000000" w:themeColor="text1"/>
          <w:spacing w:val="-1"/>
          <w:lang w:val="fr-FR"/>
        </w:rPr>
        <w:t xml:space="preserve"> </w:t>
      </w:r>
      <w:r w:rsidRPr="00814C24">
        <w:rPr>
          <w:color w:val="000000" w:themeColor="text1"/>
          <w:lang w:val="fr-FR"/>
        </w:rPr>
        <w:t>de</w:t>
      </w:r>
      <w:r w:rsidRPr="00814C24">
        <w:rPr>
          <w:color w:val="000000" w:themeColor="text1"/>
          <w:spacing w:val="-2"/>
          <w:lang w:val="fr-FR"/>
        </w:rPr>
        <w:t xml:space="preserve"> </w:t>
      </w:r>
      <w:r w:rsidRPr="00814C24">
        <w:rPr>
          <w:color w:val="000000" w:themeColor="text1"/>
          <w:lang w:val="fr-FR"/>
        </w:rPr>
        <w:t>mai</w:t>
      </w:r>
      <w:r w:rsidRPr="00814C24">
        <w:rPr>
          <w:color w:val="000000" w:themeColor="text1"/>
          <w:spacing w:val="-2"/>
          <w:lang w:val="fr-FR"/>
        </w:rPr>
        <w:t xml:space="preserve"> </w:t>
      </w:r>
      <w:proofErr w:type="spellStart"/>
      <w:r w:rsidRPr="00814C24">
        <w:rPr>
          <w:color w:val="000000" w:themeColor="text1"/>
          <w:lang w:val="fr-FR"/>
        </w:rPr>
        <w:t>jos</w:t>
      </w:r>
      <w:proofErr w:type="spellEnd"/>
      <w:r w:rsidRPr="00814C24">
        <w:rPr>
          <w:color w:val="000000" w:themeColor="text1"/>
          <w:lang w:val="fr-FR"/>
        </w:rPr>
        <w:t>:</w:t>
      </w:r>
    </w:p>
    <w:p w14:paraId="43DC6A0D" w14:textId="77777777" w:rsidR="006735BF" w:rsidRPr="00814C24" w:rsidRDefault="006735BF" w:rsidP="008E33FD">
      <w:pPr>
        <w:pStyle w:val="BodyText"/>
        <w:spacing w:before="8"/>
        <w:jc w:val="both"/>
        <w:rPr>
          <w:color w:val="000000" w:themeColor="text1"/>
          <w:sz w:val="24"/>
          <w:szCs w:val="24"/>
          <w:lang w:val="fr-FR"/>
        </w:rPr>
      </w:pPr>
    </w:p>
    <w:tbl>
      <w:tblPr>
        <w:tblW w:w="9885" w:type="dxa"/>
        <w:tblInd w:w="1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10"/>
        <w:gridCol w:w="8075"/>
      </w:tblGrid>
      <w:tr w:rsidR="006735BF" w:rsidRPr="00814C24" w14:paraId="2B649D01" w14:textId="77777777" w:rsidTr="00FC74DD">
        <w:trPr>
          <w:trHeight w:val="549"/>
        </w:trPr>
        <w:tc>
          <w:tcPr>
            <w:tcW w:w="1810" w:type="dxa"/>
            <w:tcBorders>
              <w:left w:val="single" w:sz="4" w:space="0" w:color="000000"/>
              <w:bottom w:val="single" w:sz="4" w:space="0" w:color="000000"/>
              <w:right w:val="single" w:sz="4" w:space="0" w:color="000000"/>
            </w:tcBorders>
            <w:shd w:val="clear" w:color="auto" w:fill="DBE4F0"/>
          </w:tcPr>
          <w:p w14:paraId="79DD51C8" w14:textId="77777777" w:rsidR="006735BF" w:rsidRPr="00814C24" w:rsidRDefault="006735BF" w:rsidP="008E33FD">
            <w:pPr>
              <w:pStyle w:val="TableParagraph"/>
              <w:tabs>
                <w:tab w:val="left" w:pos="1458"/>
              </w:tabs>
              <w:spacing w:line="270" w:lineRule="exact"/>
              <w:ind w:left="108"/>
              <w:jc w:val="both"/>
              <w:rPr>
                <w:b/>
                <w:color w:val="000000" w:themeColor="text1"/>
                <w:sz w:val="24"/>
                <w:szCs w:val="24"/>
              </w:rPr>
            </w:pPr>
            <w:r w:rsidRPr="00814C24">
              <w:rPr>
                <w:b/>
                <w:color w:val="000000" w:themeColor="text1"/>
                <w:sz w:val="24"/>
                <w:szCs w:val="24"/>
              </w:rPr>
              <w:t>Starea</w:t>
            </w:r>
            <w:r w:rsidRPr="00814C24">
              <w:rPr>
                <w:b/>
                <w:color w:val="000000" w:themeColor="text1"/>
                <w:sz w:val="24"/>
                <w:szCs w:val="24"/>
              </w:rPr>
              <w:tab/>
              <w:t>de</w:t>
            </w:r>
          </w:p>
          <w:p w14:paraId="3A97566D" w14:textId="77777777" w:rsidR="006735BF" w:rsidRPr="00814C24" w:rsidRDefault="006735BF" w:rsidP="008E33FD">
            <w:pPr>
              <w:pStyle w:val="TableParagraph"/>
              <w:spacing w:line="259" w:lineRule="exact"/>
              <w:ind w:left="108"/>
              <w:jc w:val="both"/>
              <w:rPr>
                <w:b/>
                <w:color w:val="000000" w:themeColor="text1"/>
                <w:sz w:val="24"/>
                <w:szCs w:val="24"/>
              </w:rPr>
            </w:pPr>
            <w:r w:rsidRPr="00814C24">
              <w:rPr>
                <w:b/>
                <w:color w:val="000000" w:themeColor="text1"/>
                <w:sz w:val="24"/>
                <w:szCs w:val="24"/>
              </w:rPr>
              <w:t>conservare</w:t>
            </w:r>
          </w:p>
        </w:tc>
        <w:tc>
          <w:tcPr>
            <w:tcW w:w="8075" w:type="dxa"/>
            <w:tcBorders>
              <w:left w:val="single" w:sz="4" w:space="0" w:color="000000"/>
              <w:bottom w:val="single" w:sz="4" w:space="0" w:color="000000"/>
              <w:right w:val="single" w:sz="4" w:space="0" w:color="000000"/>
            </w:tcBorders>
            <w:shd w:val="clear" w:color="auto" w:fill="DBE4F0"/>
          </w:tcPr>
          <w:p w14:paraId="5ADB554F" w14:textId="77777777" w:rsidR="006735BF" w:rsidRPr="00814C24" w:rsidRDefault="006735BF" w:rsidP="008E33FD">
            <w:pPr>
              <w:pStyle w:val="TableParagraph"/>
              <w:spacing w:before="131"/>
              <w:ind w:left="107"/>
              <w:jc w:val="both"/>
              <w:rPr>
                <w:b/>
                <w:color w:val="000000" w:themeColor="text1"/>
                <w:sz w:val="24"/>
                <w:szCs w:val="24"/>
              </w:rPr>
            </w:pPr>
            <w:r w:rsidRPr="00814C24">
              <w:rPr>
                <w:b/>
                <w:color w:val="000000" w:themeColor="text1"/>
                <w:sz w:val="24"/>
                <w:szCs w:val="24"/>
              </w:rPr>
              <w:t>Criterii</w:t>
            </w:r>
            <w:r w:rsidRPr="00814C24">
              <w:rPr>
                <w:b/>
                <w:color w:val="000000" w:themeColor="text1"/>
                <w:spacing w:val="-2"/>
                <w:sz w:val="24"/>
                <w:szCs w:val="24"/>
              </w:rPr>
              <w:t xml:space="preserve"> </w:t>
            </w:r>
            <w:r w:rsidRPr="00814C24">
              <w:rPr>
                <w:b/>
                <w:color w:val="000000" w:themeColor="text1"/>
                <w:sz w:val="24"/>
                <w:szCs w:val="24"/>
              </w:rPr>
              <w:t>de</w:t>
            </w:r>
            <w:r w:rsidRPr="00814C24">
              <w:rPr>
                <w:b/>
                <w:color w:val="000000" w:themeColor="text1"/>
                <w:spacing w:val="-2"/>
                <w:sz w:val="24"/>
                <w:szCs w:val="24"/>
              </w:rPr>
              <w:t xml:space="preserve"> </w:t>
            </w:r>
            <w:r w:rsidRPr="00814C24">
              <w:rPr>
                <w:b/>
                <w:color w:val="000000" w:themeColor="text1"/>
                <w:sz w:val="24"/>
                <w:szCs w:val="24"/>
              </w:rPr>
              <w:t>evaluare</w:t>
            </w:r>
          </w:p>
        </w:tc>
      </w:tr>
      <w:tr w:rsidR="006735BF" w:rsidRPr="00814C24" w14:paraId="256E89CC" w14:textId="77777777" w:rsidTr="00FC74DD">
        <w:trPr>
          <w:trHeight w:val="2212"/>
        </w:trPr>
        <w:tc>
          <w:tcPr>
            <w:tcW w:w="1810" w:type="dxa"/>
            <w:tcBorders>
              <w:top w:val="single" w:sz="4" w:space="0" w:color="000000"/>
              <w:left w:val="single" w:sz="4" w:space="0" w:color="000000"/>
              <w:bottom w:val="single" w:sz="4" w:space="0" w:color="000000"/>
              <w:right w:val="single" w:sz="4" w:space="0" w:color="000000"/>
            </w:tcBorders>
          </w:tcPr>
          <w:p w14:paraId="4DE7F904" w14:textId="77777777" w:rsidR="006735BF" w:rsidRPr="00814C24" w:rsidRDefault="006735BF" w:rsidP="008E33FD">
            <w:pPr>
              <w:pStyle w:val="TableParagraph"/>
              <w:jc w:val="both"/>
              <w:rPr>
                <w:color w:val="000000" w:themeColor="text1"/>
                <w:sz w:val="24"/>
                <w:szCs w:val="24"/>
              </w:rPr>
            </w:pPr>
          </w:p>
          <w:p w14:paraId="5748FD7F" w14:textId="77777777" w:rsidR="006735BF" w:rsidRPr="00814C24" w:rsidRDefault="006735BF" w:rsidP="008E33FD">
            <w:pPr>
              <w:pStyle w:val="TableParagraph"/>
              <w:jc w:val="both"/>
              <w:rPr>
                <w:color w:val="000000" w:themeColor="text1"/>
                <w:sz w:val="24"/>
                <w:szCs w:val="24"/>
              </w:rPr>
            </w:pPr>
          </w:p>
          <w:p w14:paraId="2631D252" w14:textId="77777777" w:rsidR="006735BF" w:rsidRPr="00814C24" w:rsidRDefault="006735BF" w:rsidP="008E33FD">
            <w:pPr>
              <w:pStyle w:val="TableParagraph"/>
              <w:spacing w:before="4"/>
              <w:jc w:val="both"/>
              <w:rPr>
                <w:color w:val="000000" w:themeColor="text1"/>
                <w:sz w:val="24"/>
                <w:szCs w:val="24"/>
              </w:rPr>
            </w:pPr>
          </w:p>
          <w:p w14:paraId="605E5DD1" w14:textId="77777777" w:rsidR="006735BF" w:rsidRPr="00814C24" w:rsidRDefault="006735BF" w:rsidP="008E33FD">
            <w:pPr>
              <w:pStyle w:val="TableParagraph"/>
              <w:ind w:left="108"/>
              <w:jc w:val="both"/>
              <w:rPr>
                <w:color w:val="000000" w:themeColor="text1"/>
                <w:sz w:val="24"/>
                <w:szCs w:val="24"/>
              </w:rPr>
            </w:pPr>
            <w:r w:rsidRPr="00814C24">
              <w:rPr>
                <w:color w:val="000000" w:themeColor="text1"/>
                <w:sz w:val="24"/>
                <w:szCs w:val="24"/>
              </w:rPr>
              <w:t>Favorabil</w:t>
            </w:r>
            <w:r w:rsidRPr="00814C24">
              <w:rPr>
                <w:color w:val="000000" w:themeColor="text1"/>
                <w:spacing w:val="-3"/>
                <w:sz w:val="24"/>
                <w:szCs w:val="24"/>
              </w:rPr>
              <w:t xml:space="preserve"> </w:t>
            </w:r>
            <w:r w:rsidRPr="00814C24">
              <w:rPr>
                <w:color w:val="000000" w:themeColor="text1"/>
                <w:sz w:val="24"/>
                <w:szCs w:val="24"/>
              </w:rPr>
              <w:t>(FV)</w:t>
            </w:r>
          </w:p>
        </w:tc>
        <w:tc>
          <w:tcPr>
            <w:tcW w:w="8075" w:type="dxa"/>
            <w:tcBorders>
              <w:top w:val="single" w:sz="4" w:space="0" w:color="000000"/>
              <w:left w:val="single" w:sz="4" w:space="0" w:color="000000"/>
              <w:bottom w:val="single" w:sz="4" w:space="0" w:color="000000"/>
              <w:right w:val="single" w:sz="4" w:space="0" w:color="000000"/>
            </w:tcBorders>
          </w:tcPr>
          <w:p w14:paraId="1F420673" w14:textId="77777777" w:rsidR="006735BF" w:rsidRPr="00814C24" w:rsidRDefault="006735BF" w:rsidP="008E33FD">
            <w:pPr>
              <w:pStyle w:val="TableParagraph"/>
              <w:ind w:left="107"/>
              <w:jc w:val="both"/>
              <w:rPr>
                <w:color w:val="000000" w:themeColor="text1"/>
                <w:sz w:val="24"/>
                <w:szCs w:val="24"/>
              </w:rPr>
            </w:pPr>
            <w:r w:rsidRPr="00814C24">
              <w:rPr>
                <w:color w:val="000000" w:themeColor="text1"/>
                <w:sz w:val="24"/>
                <w:szCs w:val="24"/>
              </w:rPr>
              <w:t>Conform</w:t>
            </w:r>
            <w:r w:rsidRPr="00814C24">
              <w:rPr>
                <w:color w:val="000000" w:themeColor="text1"/>
                <w:spacing w:val="46"/>
                <w:sz w:val="24"/>
                <w:szCs w:val="24"/>
              </w:rPr>
              <w:t xml:space="preserve"> </w:t>
            </w:r>
            <w:r w:rsidRPr="00814C24">
              <w:rPr>
                <w:color w:val="000000" w:themeColor="text1"/>
                <w:sz w:val="24"/>
                <w:szCs w:val="24"/>
              </w:rPr>
              <w:t>matricei</w:t>
            </w:r>
            <w:r w:rsidRPr="00814C24">
              <w:rPr>
                <w:color w:val="000000" w:themeColor="text1"/>
                <w:spacing w:val="46"/>
                <w:sz w:val="24"/>
                <w:szCs w:val="24"/>
              </w:rPr>
              <w:t xml:space="preserve"> </w:t>
            </w:r>
            <w:r w:rsidRPr="00814C24">
              <w:rPr>
                <w:color w:val="000000" w:themeColor="text1"/>
                <w:sz w:val="24"/>
                <w:szCs w:val="24"/>
              </w:rPr>
              <w:t>de</w:t>
            </w:r>
            <w:r w:rsidRPr="00814C24">
              <w:rPr>
                <w:color w:val="000000" w:themeColor="text1"/>
                <w:spacing w:val="44"/>
                <w:sz w:val="24"/>
                <w:szCs w:val="24"/>
              </w:rPr>
              <w:t xml:space="preserve"> </w:t>
            </w:r>
            <w:r w:rsidRPr="00814C24">
              <w:rPr>
                <w:color w:val="000000" w:themeColor="text1"/>
                <w:sz w:val="24"/>
                <w:szCs w:val="24"/>
              </w:rPr>
              <w:t>evaluare</w:t>
            </w:r>
            <w:r w:rsidRPr="00814C24">
              <w:rPr>
                <w:color w:val="000000" w:themeColor="text1"/>
                <w:spacing w:val="44"/>
                <w:sz w:val="24"/>
                <w:szCs w:val="24"/>
              </w:rPr>
              <w:t xml:space="preserve"> </w:t>
            </w:r>
            <w:r w:rsidRPr="00814C24">
              <w:rPr>
                <w:color w:val="000000" w:themeColor="text1"/>
                <w:sz w:val="24"/>
                <w:szCs w:val="24"/>
              </w:rPr>
              <w:t>(anexa</w:t>
            </w:r>
            <w:r w:rsidRPr="00814C24">
              <w:rPr>
                <w:color w:val="000000" w:themeColor="text1"/>
                <w:spacing w:val="44"/>
                <w:sz w:val="24"/>
                <w:szCs w:val="24"/>
              </w:rPr>
              <w:t xml:space="preserve"> </w:t>
            </w:r>
            <w:r w:rsidRPr="00814C24">
              <w:rPr>
                <w:color w:val="000000" w:themeColor="text1"/>
                <w:sz w:val="24"/>
                <w:szCs w:val="24"/>
              </w:rPr>
              <w:t>E),</w:t>
            </w:r>
            <w:r w:rsidRPr="00814C24">
              <w:rPr>
                <w:color w:val="000000" w:themeColor="text1"/>
                <w:spacing w:val="46"/>
                <w:sz w:val="24"/>
                <w:szCs w:val="24"/>
              </w:rPr>
              <w:t xml:space="preserve"> </w:t>
            </w:r>
            <w:r w:rsidRPr="00814C24">
              <w:rPr>
                <w:color w:val="000000" w:themeColor="text1"/>
                <w:sz w:val="24"/>
                <w:szCs w:val="24"/>
              </w:rPr>
              <w:t>situația</w:t>
            </w:r>
            <w:r w:rsidRPr="00814C24">
              <w:rPr>
                <w:color w:val="000000" w:themeColor="text1"/>
                <w:spacing w:val="44"/>
                <w:sz w:val="24"/>
                <w:szCs w:val="24"/>
              </w:rPr>
              <w:t xml:space="preserve"> </w:t>
            </w:r>
            <w:r w:rsidRPr="00814C24">
              <w:rPr>
                <w:color w:val="000000" w:themeColor="text1"/>
                <w:sz w:val="24"/>
                <w:szCs w:val="24"/>
              </w:rPr>
              <w:t>perspectivelor</w:t>
            </w:r>
            <w:r w:rsidRPr="00814C24">
              <w:rPr>
                <w:color w:val="000000" w:themeColor="text1"/>
                <w:spacing w:val="45"/>
                <w:sz w:val="24"/>
                <w:szCs w:val="24"/>
              </w:rPr>
              <w:t xml:space="preserve"> </w:t>
            </w:r>
            <w:r w:rsidRPr="00814C24">
              <w:rPr>
                <w:color w:val="000000" w:themeColor="text1"/>
                <w:sz w:val="24"/>
                <w:szCs w:val="24"/>
              </w:rPr>
              <w:t>viitoare</w:t>
            </w:r>
            <w:r w:rsidRPr="00814C24">
              <w:rPr>
                <w:color w:val="000000" w:themeColor="text1"/>
                <w:spacing w:val="-57"/>
                <w:sz w:val="24"/>
                <w:szCs w:val="24"/>
              </w:rPr>
              <w:t xml:space="preserve"> </w:t>
            </w:r>
            <w:r w:rsidRPr="00814C24">
              <w:rPr>
                <w:color w:val="000000" w:themeColor="text1"/>
                <w:sz w:val="24"/>
                <w:szCs w:val="24"/>
              </w:rPr>
              <w:t>este</w:t>
            </w:r>
            <w:r w:rsidRPr="00814C24">
              <w:rPr>
                <w:color w:val="000000" w:themeColor="text1"/>
                <w:spacing w:val="-2"/>
                <w:sz w:val="24"/>
                <w:szCs w:val="24"/>
              </w:rPr>
              <w:t xml:space="preserve"> </w:t>
            </w:r>
            <w:r w:rsidRPr="00814C24">
              <w:rPr>
                <w:color w:val="000000" w:themeColor="text1"/>
                <w:sz w:val="24"/>
                <w:szCs w:val="24"/>
              </w:rPr>
              <w:t>„favorabilă”</w:t>
            </w:r>
            <w:r w:rsidRPr="00814C24">
              <w:rPr>
                <w:color w:val="000000" w:themeColor="text1"/>
                <w:spacing w:val="-1"/>
                <w:sz w:val="24"/>
                <w:szCs w:val="24"/>
              </w:rPr>
              <w:t xml:space="preserve"> </w:t>
            </w:r>
            <w:r w:rsidRPr="00814C24">
              <w:rPr>
                <w:color w:val="000000" w:themeColor="text1"/>
                <w:sz w:val="24"/>
                <w:szCs w:val="24"/>
              </w:rPr>
              <w:t>dacă:</w:t>
            </w:r>
          </w:p>
          <w:p w14:paraId="42FE365B" w14:textId="77777777" w:rsidR="006735BF" w:rsidRPr="00814C24" w:rsidRDefault="006735BF" w:rsidP="008E33FD">
            <w:pPr>
              <w:pStyle w:val="TableParagraph"/>
              <w:tabs>
                <w:tab w:val="left" w:pos="828"/>
              </w:tabs>
              <w:spacing w:before="1" w:line="230" w:lineRule="auto"/>
              <w:ind w:left="828" w:right="103" w:hanging="361"/>
              <w:jc w:val="both"/>
              <w:rPr>
                <w:color w:val="000000" w:themeColor="text1"/>
                <w:sz w:val="24"/>
                <w:szCs w:val="24"/>
              </w:rPr>
            </w:pPr>
            <w:r w:rsidRPr="00814C24">
              <w:rPr>
                <w:color w:val="000000" w:themeColor="text1"/>
                <w:sz w:val="24"/>
                <w:szCs w:val="24"/>
              </w:rPr>
              <w:t>-</w:t>
            </w:r>
            <w:r w:rsidRPr="00814C24">
              <w:rPr>
                <w:color w:val="000000" w:themeColor="text1"/>
                <w:sz w:val="24"/>
                <w:szCs w:val="24"/>
              </w:rPr>
              <w:tab/>
              <w:t>nu se</w:t>
            </w:r>
            <w:r w:rsidRPr="00814C24">
              <w:rPr>
                <w:color w:val="000000" w:themeColor="text1"/>
                <w:spacing w:val="2"/>
                <w:sz w:val="24"/>
                <w:szCs w:val="24"/>
              </w:rPr>
              <w:t xml:space="preserve"> </w:t>
            </w:r>
            <w:r w:rsidRPr="00814C24">
              <w:rPr>
                <w:color w:val="000000" w:themeColor="text1"/>
                <w:sz w:val="24"/>
                <w:szCs w:val="24"/>
              </w:rPr>
              <w:t>așteaptă</w:t>
            </w:r>
            <w:r w:rsidRPr="00814C24">
              <w:rPr>
                <w:color w:val="000000" w:themeColor="text1"/>
                <w:spacing w:val="2"/>
                <w:sz w:val="24"/>
                <w:szCs w:val="24"/>
              </w:rPr>
              <w:t xml:space="preserve"> </w:t>
            </w:r>
            <w:r w:rsidRPr="00814C24">
              <w:rPr>
                <w:color w:val="000000" w:themeColor="text1"/>
                <w:sz w:val="24"/>
                <w:szCs w:val="24"/>
              </w:rPr>
              <w:t>niciun</w:t>
            </w:r>
            <w:r w:rsidRPr="00814C24">
              <w:rPr>
                <w:color w:val="000000" w:themeColor="text1"/>
                <w:spacing w:val="1"/>
                <w:sz w:val="24"/>
                <w:szCs w:val="24"/>
              </w:rPr>
              <w:t xml:space="preserve"> </w:t>
            </w:r>
            <w:r w:rsidRPr="00814C24">
              <w:rPr>
                <w:color w:val="000000" w:themeColor="text1"/>
                <w:sz w:val="24"/>
                <w:szCs w:val="24"/>
              </w:rPr>
              <w:t>impact</w:t>
            </w:r>
            <w:r w:rsidRPr="00814C24">
              <w:rPr>
                <w:color w:val="000000" w:themeColor="text1"/>
                <w:spacing w:val="1"/>
                <w:sz w:val="24"/>
                <w:szCs w:val="24"/>
              </w:rPr>
              <w:t xml:space="preserve"> </w:t>
            </w:r>
            <w:r w:rsidRPr="00814C24">
              <w:rPr>
                <w:color w:val="000000" w:themeColor="text1"/>
                <w:sz w:val="24"/>
                <w:szCs w:val="24"/>
              </w:rPr>
              <w:t>semnificativ din</w:t>
            </w:r>
            <w:r w:rsidRPr="00814C24">
              <w:rPr>
                <w:color w:val="000000" w:themeColor="text1"/>
                <w:spacing w:val="4"/>
                <w:sz w:val="24"/>
                <w:szCs w:val="24"/>
              </w:rPr>
              <w:t xml:space="preserve"> </w:t>
            </w:r>
            <w:r w:rsidRPr="00814C24">
              <w:rPr>
                <w:color w:val="000000" w:themeColor="text1"/>
                <w:sz w:val="24"/>
                <w:szCs w:val="24"/>
              </w:rPr>
              <w:t>cauza amenințărilor la</w:t>
            </w:r>
            <w:r w:rsidRPr="00814C24">
              <w:rPr>
                <w:color w:val="000000" w:themeColor="text1"/>
                <w:spacing w:val="-57"/>
                <w:sz w:val="24"/>
                <w:szCs w:val="24"/>
              </w:rPr>
              <w:t xml:space="preserve"> </w:t>
            </w:r>
            <w:r w:rsidRPr="00814C24">
              <w:rPr>
                <w:color w:val="000000" w:themeColor="text1"/>
                <w:sz w:val="24"/>
                <w:szCs w:val="24"/>
              </w:rPr>
              <w:t>habitat</w:t>
            </w:r>
            <w:r w:rsidRPr="00814C24">
              <w:rPr>
                <w:color w:val="000000" w:themeColor="text1"/>
                <w:spacing w:val="-1"/>
                <w:sz w:val="24"/>
                <w:szCs w:val="24"/>
              </w:rPr>
              <w:t xml:space="preserve"> </w:t>
            </w:r>
            <w:r w:rsidRPr="00814C24">
              <w:rPr>
                <w:color w:val="000000" w:themeColor="text1"/>
                <w:sz w:val="24"/>
                <w:szCs w:val="24"/>
              </w:rPr>
              <w:t>și</w:t>
            </w:r>
            <w:r w:rsidRPr="00814C24">
              <w:rPr>
                <w:color w:val="000000" w:themeColor="text1"/>
                <w:spacing w:val="-1"/>
                <w:sz w:val="24"/>
                <w:szCs w:val="24"/>
              </w:rPr>
              <w:t xml:space="preserve"> </w:t>
            </w:r>
            <w:r w:rsidRPr="00814C24">
              <w:rPr>
                <w:color w:val="000000" w:themeColor="text1"/>
                <w:sz w:val="24"/>
                <w:szCs w:val="24"/>
              </w:rPr>
              <w:t>viabilitatea</w:t>
            </w:r>
            <w:r w:rsidRPr="00814C24">
              <w:rPr>
                <w:color w:val="000000" w:themeColor="text1"/>
                <w:spacing w:val="-2"/>
                <w:sz w:val="24"/>
                <w:szCs w:val="24"/>
              </w:rPr>
              <w:t xml:space="preserve"> </w:t>
            </w:r>
            <w:r w:rsidRPr="00814C24">
              <w:rPr>
                <w:color w:val="000000" w:themeColor="text1"/>
                <w:sz w:val="24"/>
                <w:szCs w:val="24"/>
              </w:rPr>
              <w:t>acestuia</w:t>
            </w:r>
            <w:r w:rsidRPr="00814C24">
              <w:rPr>
                <w:color w:val="000000" w:themeColor="text1"/>
                <w:spacing w:val="-1"/>
                <w:sz w:val="24"/>
                <w:szCs w:val="24"/>
              </w:rPr>
              <w:t xml:space="preserve"> </w:t>
            </w:r>
            <w:r w:rsidRPr="00814C24">
              <w:rPr>
                <w:color w:val="000000" w:themeColor="text1"/>
                <w:sz w:val="24"/>
                <w:szCs w:val="24"/>
              </w:rPr>
              <w:t>pe</w:t>
            </w:r>
            <w:r w:rsidRPr="00814C24">
              <w:rPr>
                <w:color w:val="000000" w:themeColor="text1"/>
                <w:spacing w:val="-2"/>
                <w:sz w:val="24"/>
                <w:szCs w:val="24"/>
              </w:rPr>
              <w:t xml:space="preserve"> </w:t>
            </w:r>
            <w:r w:rsidRPr="00814C24">
              <w:rPr>
                <w:color w:val="000000" w:themeColor="text1"/>
                <w:sz w:val="24"/>
                <w:szCs w:val="24"/>
              </w:rPr>
              <w:t>termen</w:t>
            </w:r>
            <w:r w:rsidRPr="00814C24">
              <w:rPr>
                <w:color w:val="000000" w:themeColor="text1"/>
                <w:spacing w:val="-1"/>
                <w:sz w:val="24"/>
                <w:szCs w:val="24"/>
              </w:rPr>
              <w:t xml:space="preserve"> </w:t>
            </w:r>
            <w:r w:rsidRPr="00814C24">
              <w:rPr>
                <w:color w:val="000000" w:themeColor="text1"/>
                <w:sz w:val="24"/>
                <w:szCs w:val="24"/>
              </w:rPr>
              <w:t>lung</w:t>
            </w:r>
            <w:r w:rsidRPr="00814C24">
              <w:rPr>
                <w:color w:val="000000" w:themeColor="text1"/>
                <w:spacing w:val="-4"/>
                <w:sz w:val="24"/>
                <w:szCs w:val="24"/>
              </w:rPr>
              <w:t xml:space="preserve"> </w:t>
            </w:r>
            <w:r w:rsidRPr="00814C24">
              <w:rPr>
                <w:color w:val="000000" w:themeColor="text1"/>
                <w:sz w:val="24"/>
                <w:szCs w:val="24"/>
              </w:rPr>
              <w:t>este</w:t>
            </w:r>
            <w:r w:rsidRPr="00814C24">
              <w:rPr>
                <w:color w:val="000000" w:themeColor="text1"/>
                <w:spacing w:val="1"/>
                <w:sz w:val="24"/>
                <w:szCs w:val="24"/>
              </w:rPr>
              <w:t xml:space="preserve"> </w:t>
            </w:r>
            <w:r w:rsidRPr="00814C24">
              <w:rPr>
                <w:color w:val="000000" w:themeColor="text1"/>
                <w:sz w:val="24"/>
                <w:szCs w:val="24"/>
              </w:rPr>
              <w:t>asigurată.</w:t>
            </w:r>
          </w:p>
          <w:p w14:paraId="2D780CF6" w14:textId="77777777" w:rsidR="006735BF" w:rsidRPr="00814C24" w:rsidRDefault="006735BF" w:rsidP="008E33FD">
            <w:pPr>
              <w:pStyle w:val="TableParagraph"/>
              <w:spacing w:before="1"/>
              <w:ind w:left="107"/>
              <w:jc w:val="both"/>
              <w:rPr>
                <w:color w:val="000000" w:themeColor="text1"/>
                <w:sz w:val="24"/>
                <w:szCs w:val="24"/>
              </w:rPr>
            </w:pPr>
            <w:r w:rsidRPr="00814C24">
              <w:rPr>
                <w:color w:val="000000" w:themeColor="text1"/>
                <w:sz w:val="24"/>
                <w:szCs w:val="24"/>
              </w:rPr>
              <w:t>Informațiisuplimentare:</w:t>
            </w:r>
          </w:p>
          <w:p w14:paraId="71961347" w14:textId="77777777" w:rsidR="006735BF" w:rsidRPr="00814C24" w:rsidRDefault="006735BF" w:rsidP="008E33FD">
            <w:pPr>
              <w:pStyle w:val="TableParagraph"/>
              <w:spacing w:line="270" w:lineRule="atLeast"/>
              <w:ind w:left="107" w:right="101"/>
              <w:jc w:val="both"/>
              <w:rPr>
                <w:color w:val="000000" w:themeColor="text1"/>
                <w:sz w:val="24"/>
                <w:szCs w:val="24"/>
              </w:rPr>
            </w:pPr>
            <w:r w:rsidRPr="00814C24">
              <w:rPr>
                <w:color w:val="000000" w:themeColor="text1"/>
                <w:sz w:val="24"/>
                <w:szCs w:val="24"/>
              </w:rPr>
              <w:t>Perspectivele de viitor ar trebui evaluate „favorabile” dacă toți parametrii</w:t>
            </w:r>
            <w:r w:rsidRPr="00814C24">
              <w:rPr>
                <w:color w:val="000000" w:themeColor="text1"/>
                <w:spacing w:val="1"/>
                <w:sz w:val="24"/>
                <w:szCs w:val="24"/>
              </w:rPr>
              <w:t xml:space="preserve"> </w:t>
            </w:r>
            <w:r w:rsidRPr="00814C24">
              <w:rPr>
                <w:color w:val="000000" w:themeColor="text1"/>
                <w:sz w:val="24"/>
                <w:szCs w:val="24"/>
              </w:rPr>
              <w:t>au perspective bune (câmpul 9.1) sau dacă perspectivele unui parametru</w:t>
            </w:r>
            <w:r w:rsidRPr="00814C24">
              <w:rPr>
                <w:color w:val="000000" w:themeColor="text1"/>
                <w:spacing w:val="1"/>
                <w:sz w:val="24"/>
                <w:szCs w:val="24"/>
              </w:rPr>
              <w:t xml:space="preserve"> </w:t>
            </w:r>
            <w:r w:rsidRPr="00814C24">
              <w:rPr>
                <w:color w:val="000000" w:themeColor="text1"/>
                <w:sz w:val="24"/>
                <w:szCs w:val="24"/>
              </w:rPr>
              <w:t>sunt</w:t>
            </w:r>
            <w:r w:rsidRPr="00814C24">
              <w:rPr>
                <w:color w:val="000000" w:themeColor="text1"/>
                <w:spacing w:val="-1"/>
                <w:sz w:val="24"/>
                <w:szCs w:val="24"/>
              </w:rPr>
              <w:t xml:space="preserve"> </w:t>
            </w:r>
            <w:r w:rsidRPr="00814C24">
              <w:rPr>
                <w:color w:val="000000" w:themeColor="text1"/>
                <w:sz w:val="24"/>
                <w:szCs w:val="24"/>
              </w:rPr>
              <w:t>„necunoscute”,</w:t>
            </w:r>
            <w:r w:rsidRPr="00814C24">
              <w:rPr>
                <w:color w:val="000000" w:themeColor="text1"/>
                <w:spacing w:val="-1"/>
                <w:sz w:val="24"/>
                <w:szCs w:val="24"/>
              </w:rPr>
              <w:t xml:space="preserve"> </w:t>
            </w:r>
            <w:r w:rsidRPr="00814C24">
              <w:rPr>
                <w:color w:val="000000" w:themeColor="text1"/>
                <w:sz w:val="24"/>
                <w:szCs w:val="24"/>
              </w:rPr>
              <w:t>în</w:t>
            </w:r>
            <w:r w:rsidRPr="00814C24">
              <w:rPr>
                <w:color w:val="000000" w:themeColor="text1"/>
                <w:spacing w:val="-1"/>
                <w:sz w:val="24"/>
                <w:szCs w:val="24"/>
              </w:rPr>
              <w:t xml:space="preserve"> </w:t>
            </w:r>
            <w:r w:rsidRPr="00814C24">
              <w:rPr>
                <w:color w:val="000000" w:themeColor="text1"/>
                <w:sz w:val="24"/>
                <w:szCs w:val="24"/>
              </w:rPr>
              <w:t>timp ce</w:t>
            </w:r>
            <w:r w:rsidRPr="00814C24">
              <w:rPr>
                <w:color w:val="000000" w:themeColor="text1"/>
                <w:spacing w:val="-2"/>
                <w:sz w:val="24"/>
                <w:szCs w:val="24"/>
              </w:rPr>
              <w:t xml:space="preserve"> </w:t>
            </w:r>
            <w:r w:rsidRPr="00814C24">
              <w:rPr>
                <w:color w:val="000000" w:themeColor="text1"/>
                <w:sz w:val="24"/>
                <w:szCs w:val="24"/>
              </w:rPr>
              <w:t>ceilalți</w:t>
            </w:r>
            <w:r w:rsidRPr="00814C24">
              <w:rPr>
                <w:color w:val="000000" w:themeColor="text1"/>
                <w:spacing w:val="-1"/>
                <w:sz w:val="24"/>
                <w:szCs w:val="24"/>
              </w:rPr>
              <w:t xml:space="preserve"> </w:t>
            </w:r>
            <w:r w:rsidRPr="00814C24">
              <w:rPr>
                <w:color w:val="000000" w:themeColor="text1"/>
                <w:sz w:val="24"/>
                <w:szCs w:val="24"/>
              </w:rPr>
              <w:t>parametri</w:t>
            </w:r>
            <w:r w:rsidRPr="00814C24">
              <w:rPr>
                <w:color w:val="000000" w:themeColor="text1"/>
                <w:spacing w:val="-1"/>
                <w:sz w:val="24"/>
                <w:szCs w:val="24"/>
              </w:rPr>
              <w:t xml:space="preserve"> </w:t>
            </w:r>
            <w:r w:rsidRPr="00814C24">
              <w:rPr>
                <w:color w:val="000000" w:themeColor="text1"/>
                <w:sz w:val="24"/>
                <w:szCs w:val="24"/>
              </w:rPr>
              <w:t>au perspective</w:t>
            </w:r>
            <w:r w:rsidRPr="00814C24">
              <w:rPr>
                <w:color w:val="000000" w:themeColor="text1"/>
                <w:spacing w:val="-2"/>
                <w:sz w:val="24"/>
                <w:szCs w:val="24"/>
              </w:rPr>
              <w:t xml:space="preserve"> </w:t>
            </w:r>
            <w:r w:rsidRPr="00814C24">
              <w:rPr>
                <w:color w:val="000000" w:themeColor="text1"/>
                <w:sz w:val="24"/>
                <w:szCs w:val="24"/>
              </w:rPr>
              <w:t>bune.</w:t>
            </w:r>
          </w:p>
        </w:tc>
      </w:tr>
      <w:tr w:rsidR="006735BF" w:rsidRPr="00814C24" w14:paraId="516C00DA" w14:textId="77777777" w:rsidTr="00FC74DD">
        <w:trPr>
          <w:trHeight w:val="3317"/>
        </w:trPr>
        <w:tc>
          <w:tcPr>
            <w:tcW w:w="1810" w:type="dxa"/>
            <w:tcBorders>
              <w:top w:val="single" w:sz="4" w:space="0" w:color="000000"/>
              <w:left w:val="single" w:sz="4" w:space="0" w:color="000000"/>
              <w:bottom w:val="single" w:sz="4" w:space="0" w:color="000000"/>
              <w:right w:val="single" w:sz="4" w:space="0" w:color="000000"/>
            </w:tcBorders>
          </w:tcPr>
          <w:p w14:paraId="1CA92C75" w14:textId="77777777" w:rsidR="006735BF" w:rsidRPr="00814C24" w:rsidRDefault="006735BF" w:rsidP="008E33FD">
            <w:pPr>
              <w:pStyle w:val="TableParagraph"/>
              <w:jc w:val="both"/>
              <w:rPr>
                <w:color w:val="000000" w:themeColor="text1"/>
                <w:sz w:val="24"/>
                <w:szCs w:val="24"/>
              </w:rPr>
            </w:pPr>
          </w:p>
          <w:p w14:paraId="211B33B6" w14:textId="77777777" w:rsidR="006735BF" w:rsidRPr="00814C24" w:rsidRDefault="006735BF" w:rsidP="008E33FD">
            <w:pPr>
              <w:pStyle w:val="TableParagraph"/>
              <w:jc w:val="both"/>
              <w:rPr>
                <w:color w:val="000000" w:themeColor="text1"/>
                <w:sz w:val="24"/>
                <w:szCs w:val="24"/>
              </w:rPr>
            </w:pPr>
          </w:p>
          <w:p w14:paraId="2B9B913B" w14:textId="77777777" w:rsidR="006735BF" w:rsidRPr="00814C24" w:rsidRDefault="006735BF" w:rsidP="008E33FD">
            <w:pPr>
              <w:pStyle w:val="TableParagraph"/>
              <w:jc w:val="both"/>
              <w:rPr>
                <w:color w:val="000000" w:themeColor="text1"/>
                <w:sz w:val="24"/>
                <w:szCs w:val="24"/>
              </w:rPr>
            </w:pPr>
          </w:p>
          <w:p w14:paraId="0A1F3C2F" w14:textId="77777777" w:rsidR="006735BF" w:rsidRPr="00814C24" w:rsidRDefault="006735BF" w:rsidP="008E33FD">
            <w:pPr>
              <w:pStyle w:val="TableParagraph"/>
              <w:jc w:val="both"/>
              <w:rPr>
                <w:color w:val="000000" w:themeColor="text1"/>
                <w:sz w:val="24"/>
                <w:szCs w:val="24"/>
              </w:rPr>
            </w:pPr>
          </w:p>
          <w:p w14:paraId="6B548FF1" w14:textId="77777777" w:rsidR="006735BF" w:rsidRPr="00814C24" w:rsidRDefault="006735BF" w:rsidP="008E33FD">
            <w:pPr>
              <w:pStyle w:val="TableParagraph"/>
              <w:spacing w:before="178"/>
              <w:ind w:left="108" w:right="253"/>
              <w:jc w:val="both"/>
              <w:rPr>
                <w:color w:val="000000" w:themeColor="text1"/>
                <w:sz w:val="24"/>
                <w:szCs w:val="24"/>
              </w:rPr>
            </w:pPr>
            <w:r w:rsidRPr="00814C24">
              <w:rPr>
                <w:color w:val="000000" w:themeColor="text1"/>
                <w:sz w:val="24"/>
                <w:szCs w:val="24"/>
              </w:rPr>
              <w:t>Nefavorabil-</w:t>
            </w:r>
            <w:r w:rsidRPr="00814C24">
              <w:rPr>
                <w:color w:val="000000" w:themeColor="text1"/>
                <w:spacing w:val="1"/>
                <w:sz w:val="24"/>
                <w:szCs w:val="24"/>
              </w:rPr>
              <w:t xml:space="preserve"> </w:t>
            </w:r>
            <w:r w:rsidRPr="00814C24">
              <w:rPr>
                <w:color w:val="000000" w:themeColor="text1"/>
                <w:sz w:val="24"/>
                <w:szCs w:val="24"/>
              </w:rPr>
              <w:t>inadecvat</w:t>
            </w:r>
            <w:r w:rsidRPr="00814C24">
              <w:rPr>
                <w:color w:val="000000" w:themeColor="text1"/>
                <w:spacing w:val="-14"/>
                <w:sz w:val="24"/>
                <w:szCs w:val="24"/>
              </w:rPr>
              <w:t xml:space="preserve"> </w:t>
            </w:r>
            <w:r w:rsidRPr="00814C24">
              <w:rPr>
                <w:color w:val="000000" w:themeColor="text1"/>
                <w:sz w:val="24"/>
                <w:szCs w:val="24"/>
              </w:rPr>
              <w:t>(U1)</w:t>
            </w:r>
          </w:p>
        </w:tc>
        <w:tc>
          <w:tcPr>
            <w:tcW w:w="8075" w:type="dxa"/>
            <w:tcBorders>
              <w:top w:val="single" w:sz="4" w:space="0" w:color="000000"/>
              <w:left w:val="single" w:sz="4" w:space="0" w:color="000000"/>
              <w:bottom w:val="single" w:sz="4" w:space="0" w:color="000000"/>
              <w:right w:val="single" w:sz="4" w:space="0" w:color="000000"/>
            </w:tcBorders>
          </w:tcPr>
          <w:p w14:paraId="26230B96" w14:textId="77777777" w:rsidR="006735BF" w:rsidRPr="00814C24" w:rsidRDefault="006735BF" w:rsidP="008E33FD">
            <w:pPr>
              <w:pStyle w:val="TableParagraph"/>
              <w:ind w:left="107" w:right="96"/>
              <w:jc w:val="both"/>
              <w:rPr>
                <w:color w:val="000000" w:themeColor="text1"/>
                <w:sz w:val="24"/>
                <w:szCs w:val="24"/>
              </w:rPr>
            </w:pPr>
            <w:r w:rsidRPr="00814C24">
              <w:rPr>
                <w:color w:val="000000" w:themeColor="text1"/>
                <w:sz w:val="24"/>
                <w:szCs w:val="24"/>
              </w:rPr>
              <w:t>Conform</w:t>
            </w:r>
            <w:r w:rsidRPr="00814C24">
              <w:rPr>
                <w:color w:val="000000" w:themeColor="text1"/>
                <w:spacing w:val="43"/>
                <w:sz w:val="24"/>
                <w:szCs w:val="24"/>
              </w:rPr>
              <w:t xml:space="preserve"> </w:t>
            </w:r>
            <w:r w:rsidRPr="00814C24">
              <w:rPr>
                <w:color w:val="000000" w:themeColor="text1"/>
                <w:sz w:val="24"/>
                <w:szCs w:val="24"/>
              </w:rPr>
              <w:t>matricei</w:t>
            </w:r>
            <w:r w:rsidRPr="00814C24">
              <w:rPr>
                <w:color w:val="000000" w:themeColor="text1"/>
                <w:spacing w:val="44"/>
                <w:sz w:val="24"/>
                <w:szCs w:val="24"/>
              </w:rPr>
              <w:t xml:space="preserve"> </w:t>
            </w:r>
            <w:r w:rsidRPr="00814C24">
              <w:rPr>
                <w:color w:val="000000" w:themeColor="text1"/>
                <w:sz w:val="24"/>
                <w:szCs w:val="24"/>
              </w:rPr>
              <w:t>de</w:t>
            </w:r>
            <w:r w:rsidRPr="00814C24">
              <w:rPr>
                <w:color w:val="000000" w:themeColor="text1"/>
                <w:spacing w:val="44"/>
                <w:sz w:val="24"/>
                <w:szCs w:val="24"/>
              </w:rPr>
              <w:t xml:space="preserve"> </w:t>
            </w:r>
            <w:r w:rsidRPr="00814C24">
              <w:rPr>
                <w:color w:val="000000" w:themeColor="text1"/>
                <w:sz w:val="24"/>
                <w:szCs w:val="24"/>
              </w:rPr>
              <w:t>evaluare</w:t>
            </w:r>
            <w:r w:rsidRPr="00814C24">
              <w:rPr>
                <w:color w:val="000000" w:themeColor="text1"/>
                <w:spacing w:val="45"/>
                <w:sz w:val="24"/>
                <w:szCs w:val="24"/>
              </w:rPr>
              <w:t xml:space="preserve"> </w:t>
            </w:r>
            <w:r w:rsidRPr="00814C24">
              <w:rPr>
                <w:color w:val="000000" w:themeColor="text1"/>
                <w:sz w:val="24"/>
                <w:szCs w:val="24"/>
              </w:rPr>
              <w:t>(anexa</w:t>
            </w:r>
            <w:r w:rsidRPr="00814C24">
              <w:rPr>
                <w:color w:val="000000" w:themeColor="text1"/>
                <w:spacing w:val="42"/>
                <w:sz w:val="24"/>
                <w:szCs w:val="24"/>
              </w:rPr>
              <w:t xml:space="preserve"> </w:t>
            </w:r>
            <w:r w:rsidRPr="00814C24">
              <w:rPr>
                <w:color w:val="000000" w:themeColor="text1"/>
                <w:sz w:val="24"/>
                <w:szCs w:val="24"/>
              </w:rPr>
              <w:t>E),</w:t>
            </w:r>
            <w:r w:rsidRPr="00814C24">
              <w:rPr>
                <w:color w:val="000000" w:themeColor="text1"/>
                <w:spacing w:val="44"/>
                <w:sz w:val="24"/>
                <w:szCs w:val="24"/>
              </w:rPr>
              <w:t xml:space="preserve"> </w:t>
            </w:r>
            <w:r w:rsidRPr="00814C24">
              <w:rPr>
                <w:color w:val="000000" w:themeColor="text1"/>
                <w:sz w:val="24"/>
                <w:szCs w:val="24"/>
              </w:rPr>
              <w:t>statutul</w:t>
            </w:r>
            <w:r w:rsidRPr="00814C24">
              <w:rPr>
                <w:color w:val="000000" w:themeColor="text1"/>
                <w:spacing w:val="43"/>
                <w:sz w:val="24"/>
                <w:szCs w:val="24"/>
              </w:rPr>
              <w:t xml:space="preserve"> </w:t>
            </w:r>
            <w:r w:rsidRPr="00814C24">
              <w:rPr>
                <w:color w:val="000000" w:themeColor="text1"/>
                <w:sz w:val="24"/>
                <w:szCs w:val="24"/>
              </w:rPr>
              <w:t>perspectivelor</w:t>
            </w:r>
            <w:r w:rsidRPr="00814C24">
              <w:rPr>
                <w:color w:val="000000" w:themeColor="text1"/>
                <w:spacing w:val="44"/>
                <w:sz w:val="24"/>
                <w:szCs w:val="24"/>
              </w:rPr>
              <w:t xml:space="preserve"> </w:t>
            </w:r>
            <w:r w:rsidRPr="00814C24">
              <w:rPr>
                <w:color w:val="000000" w:themeColor="text1"/>
                <w:sz w:val="24"/>
                <w:szCs w:val="24"/>
              </w:rPr>
              <w:t>viitoare</w:t>
            </w:r>
            <w:r w:rsidRPr="00814C24">
              <w:rPr>
                <w:color w:val="000000" w:themeColor="text1"/>
                <w:spacing w:val="-57"/>
                <w:sz w:val="24"/>
                <w:szCs w:val="24"/>
              </w:rPr>
              <w:t xml:space="preserve"> </w:t>
            </w:r>
            <w:r w:rsidRPr="00814C24">
              <w:rPr>
                <w:color w:val="000000" w:themeColor="text1"/>
                <w:sz w:val="24"/>
                <w:szCs w:val="24"/>
              </w:rPr>
              <w:t>este</w:t>
            </w:r>
            <w:r w:rsidRPr="00814C24">
              <w:rPr>
                <w:color w:val="000000" w:themeColor="text1"/>
                <w:spacing w:val="-2"/>
                <w:sz w:val="24"/>
                <w:szCs w:val="24"/>
              </w:rPr>
              <w:t xml:space="preserve"> </w:t>
            </w:r>
            <w:r w:rsidRPr="00814C24">
              <w:rPr>
                <w:color w:val="000000" w:themeColor="text1"/>
                <w:sz w:val="24"/>
                <w:szCs w:val="24"/>
              </w:rPr>
              <w:t>„nefavorabil-inadecvat” dacă:</w:t>
            </w:r>
          </w:p>
          <w:p w14:paraId="298036DC" w14:textId="77777777" w:rsidR="006735BF" w:rsidRPr="00814C24" w:rsidRDefault="006735BF" w:rsidP="008E33FD">
            <w:pPr>
              <w:pStyle w:val="TableParagraph"/>
              <w:tabs>
                <w:tab w:val="left" w:pos="828"/>
              </w:tabs>
              <w:spacing w:line="287" w:lineRule="exact"/>
              <w:ind w:left="467"/>
              <w:jc w:val="both"/>
              <w:rPr>
                <w:color w:val="000000" w:themeColor="text1"/>
                <w:sz w:val="24"/>
                <w:szCs w:val="24"/>
              </w:rPr>
            </w:pPr>
            <w:r w:rsidRPr="00814C24">
              <w:rPr>
                <w:color w:val="000000" w:themeColor="text1"/>
                <w:sz w:val="24"/>
                <w:szCs w:val="24"/>
              </w:rPr>
              <w:t>-</w:t>
            </w:r>
            <w:r w:rsidRPr="00814C24">
              <w:rPr>
                <w:color w:val="000000" w:themeColor="text1"/>
                <w:sz w:val="24"/>
                <w:szCs w:val="24"/>
              </w:rPr>
              <w:tab/>
              <w:t>orice</w:t>
            </w:r>
            <w:r w:rsidRPr="00814C24">
              <w:rPr>
                <w:color w:val="000000" w:themeColor="text1"/>
                <w:spacing w:val="53"/>
                <w:sz w:val="24"/>
                <w:szCs w:val="24"/>
              </w:rPr>
              <w:t xml:space="preserve"> </w:t>
            </w:r>
            <w:r w:rsidRPr="00814C24">
              <w:rPr>
                <w:color w:val="000000" w:themeColor="text1"/>
                <w:sz w:val="24"/>
                <w:szCs w:val="24"/>
              </w:rPr>
              <w:t>altă</w:t>
            </w:r>
            <w:r w:rsidRPr="00814C24">
              <w:rPr>
                <w:color w:val="000000" w:themeColor="text1"/>
                <w:spacing w:val="55"/>
                <w:sz w:val="24"/>
                <w:szCs w:val="24"/>
              </w:rPr>
              <w:t xml:space="preserve"> </w:t>
            </w:r>
            <w:r w:rsidRPr="00814C24">
              <w:rPr>
                <w:color w:val="000000" w:themeColor="text1"/>
                <w:sz w:val="24"/>
                <w:szCs w:val="24"/>
              </w:rPr>
              <w:t>combinație</w:t>
            </w:r>
            <w:r w:rsidRPr="00814C24">
              <w:rPr>
                <w:color w:val="000000" w:themeColor="text1"/>
                <w:spacing w:val="54"/>
                <w:sz w:val="24"/>
                <w:szCs w:val="24"/>
              </w:rPr>
              <w:t xml:space="preserve"> </w:t>
            </w:r>
            <w:r w:rsidRPr="00814C24">
              <w:rPr>
                <w:color w:val="000000" w:themeColor="text1"/>
                <w:sz w:val="24"/>
                <w:szCs w:val="24"/>
              </w:rPr>
              <w:t>(o</w:t>
            </w:r>
            <w:r w:rsidRPr="00814C24">
              <w:rPr>
                <w:color w:val="000000" w:themeColor="text1"/>
                <w:spacing w:val="57"/>
                <w:sz w:val="24"/>
                <w:szCs w:val="24"/>
              </w:rPr>
              <w:t xml:space="preserve"> </w:t>
            </w:r>
            <w:r w:rsidRPr="00814C24">
              <w:rPr>
                <w:color w:val="000000" w:themeColor="text1"/>
                <w:sz w:val="24"/>
                <w:szCs w:val="24"/>
              </w:rPr>
              <w:t>altă</w:t>
            </w:r>
            <w:r w:rsidRPr="00814C24">
              <w:rPr>
                <w:color w:val="000000" w:themeColor="text1"/>
                <w:spacing w:val="54"/>
                <w:sz w:val="24"/>
                <w:szCs w:val="24"/>
              </w:rPr>
              <w:t xml:space="preserve"> </w:t>
            </w:r>
            <w:r w:rsidRPr="00814C24">
              <w:rPr>
                <w:color w:val="000000" w:themeColor="text1"/>
                <w:sz w:val="24"/>
                <w:szCs w:val="24"/>
              </w:rPr>
              <w:t>combinație</w:t>
            </w:r>
            <w:r w:rsidRPr="00814C24">
              <w:rPr>
                <w:color w:val="000000" w:themeColor="text1"/>
                <w:spacing w:val="55"/>
                <w:sz w:val="24"/>
                <w:szCs w:val="24"/>
              </w:rPr>
              <w:t xml:space="preserve"> </w:t>
            </w:r>
            <w:r w:rsidRPr="00814C24">
              <w:rPr>
                <w:color w:val="000000" w:themeColor="text1"/>
                <w:sz w:val="24"/>
                <w:szCs w:val="24"/>
              </w:rPr>
              <w:t>de</w:t>
            </w:r>
            <w:r w:rsidRPr="00814C24">
              <w:rPr>
                <w:color w:val="000000" w:themeColor="text1"/>
                <w:spacing w:val="54"/>
                <w:sz w:val="24"/>
                <w:szCs w:val="24"/>
              </w:rPr>
              <w:t xml:space="preserve"> </w:t>
            </w:r>
            <w:r w:rsidRPr="00814C24">
              <w:rPr>
                <w:color w:val="000000" w:themeColor="text1"/>
                <w:sz w:val="24"/>
                <w:szCs w:val="24"/>
              </w:rPr>
              <w:t>criterii</w:t>
            </w:r>
            <w:r w:rsidRPr="00814C24">
              <w:rPr>
                <w:color w:val="000000" w:themeColor="text1"/>
                <w:spacing w:val="57"/>
                <w:sz w:val="24"/>
                <w:szCs w:val="24"/>
              </w:rPr>
              <w:t xml:space="preserve"> </w:t>
            </w:r>
            <w:r w:rsidRPr="00814C24">
              <w:rPr>
                <w:color w:val="000000" w:themeColor="text1"/>
                <w:sz w:val="24"/>
                <w:szCs w:val="24"/>
              </w:rPr>
              <w:t>decât</w:t>
            </w:r>
            <w:r w:rsidRPr="00814C24">
              <w:rPr>
                <w:color w:val="000000" w:themeColor="text1"/>
                <w:spacing w:val="56"/>
                <w:sz w:val="24"/>
                <w:szCs w:val="24"/>
              </w:rPr>
              <w:t xml:space="preserve"> </w:t>
            </w:r>
            <w:r w:rsidRPr="00814C24">
              <w:rPr>
                <w:color w:val="000000" w:themeColor="text1"/>
                <w:sz w:val="24"/>
                <w:szCs w:val="24"/>
              </w:rPr>
              <w:t>pentru</w:t>
            </w:r>
          </w:p>
          <w:p w14:paraId="36C566B2" w14:textId="77777777" w:rsidR="006735BF" w:rsidRPr="00814C24" w:rsidRDefault="006735BF" w:rsidP="008E33FD">
            <w:pPr>
              <w:pStyle w:val="TableParagraph"/>
              <w:spacing w:line="270" w:lineRule="exact"/>
              <w:ind w:left="828"/>
              <w:jc w:val="both"/>
              <w:rPr>
                <w:color w:val="000000" w:themeColor="text1"/>
                <w:sz w:val="24"/>
                <w:szCs w:val="24"/>
              </w:rPr>
            </w:pPr>
            <w:r w:rsidRPr="00814C24">
              <w:rPr>
                <w:color w:val="000000" w:themeColor="text1"/>
                <w:sz w:val="24"/>
                <w:szCs w:val="24"/>
              </w:rPr>
              <w:t>„favorabil”</w:t>
            </w:r>
            <w:r w:rsidRPr="00814C24">
              <w:rPr>
                <w:color w:val="000000" w:themeColor="text1"/>
                <w:spacing w:val="-3"/>
                <w:sz w:val="24"/>
                <w:szCs w:val="24"/>
              </w:rPr>
              <w:t xml:space="preserve"> </w:t>
            </w:r>
            <w:r w:rsidRPr="00814C24">
              <w:rPr>
                <w:color w:val="000000" w:themeColor="text1"/>
                <w:sz w:val="24"/>
                <w:szCs w:val="24"/>
              </w:rPr>
              <w:t>sau</w:t>
            </w:r>
            <w:r w:rsidRPr="00814C24">
              <w:rPr>
                <w:color w:val="000000" w:themeColor="text1"/>
                <w:spacing w:val="-2"/>
                <w:sz w:val="24"/>
                <w:szCs w:val="24"/>
              </w:rPr>
              <w:t xml:space="preserve"> </w:t>
            </w:r>
            <w:r w:rsidRPr="00814C24">
              <w:rPr>
                <w:color w:val="000000" w:themeColor="text1"/>
                <w:sz w:val="24"/>
                <w:szCs w:val="24"/>
              </w:rPr>
              <w:t>„nefavorabil-rău”).</w:t>
            </w:r>
          </w:p>
          <w:p w14:paraId="4E018D29" w14:textId="77777777" w:rsidR="006735BF" w:rsidRPr="00814C24" w:rsidRDefault="006735BF" w:rsidP="008E33FD">
            <w:pPr>
              <w:pStyle w:val="TableParagraph"/>
              <w:ind w:left="107"/>
              <w:jc w:val="both"/>
              <w:rPr>
                <w:color w:val="000000" w:themeColor="text1"/>
                <w:sz w:val="24"/>
                <w:szCs w:val="24"/>
              </w:rPr>
            </w:pPr>
            <w:r w:rsidRPr="00814C24">
              <w:rPr>
                <w:color w:val="000000" w:themeColor="text1"/>
                <w:sz w:val="24"/>
                <w:szCs w:val="24"/>
              </w:rPr>
              <w:t>Informațiisuplimentare:</w:t>
            </w:r>
          </w:p>
          <w:p w14:paraId="2C913736" w14:textId="77777777" w:rsidR="006735BF" w:rsidRPr="00814C24" w:rsidRDefault="006735BF" w:rsidP="008E33FD">
            <w:pPr>
              <w:pStyle w:val="TableParagraph"/>
              <w:tabs>
                <w:tab w:val="left" w:pos="1163"/>
                <w:tab w:val="left" w:pos="1594"/>
                <w:tab w:val="left" w:pos="2611"/>
                <w:tab w:val="left" w:pos="3055"/>
                <w:tab w:val="left" w:pos="3967"/>
                <w:tab w:val="left" w:pos="4811"/>
                <w:tab w:val="left" w:pos="5842"/>
                <w:tab w:val="left" w:pos="6657"/>
              </w:tabs>
              <w:ind w:left="107"/>
              <w:jc w:val="both"/>
              <w:rPr>
                <w:color w:val="000000" w:themeColor="text1"/>
                <w:sz w:val="24"/>
                <w:szCs w:val="24"/>
              </w:rPr>
            </w:pPr>
            <w:r w:rsidRPr="00814C24">
              <w:rPr>
                <w:color w:val="000000" w:themeColor="text1"/>
                <w:sz w:val="24"/>
                <w:szCs w:val="24"/>
              </w:rPr>
              <w:t>Matricea</w:t>
            </w:r>
            <w:r w:rsidRPr="00814C24">
              <w:rPr>
                <w:color w:val="000000" w:themeColor="text1"/>
                <w:sz w:val="24"/>
                <w:szCs w:val="24"/>
              </w:rPr>
              <w:tab/>
              <w:t>de</w:t>
            </w:r>
            <w:r w:rsidRPr="00814C24">
              <w:rPr>
                <w:color w:val="000000" w:themeColor="text1"/>
                <w:sz w:val="24"/>
                <w:szCs w:val="24"/>
              </w:rPr>
              <w:tab/>
              <w:t>evaluare</w:t>
            </w:r>
            <w:r w:rsidRPr="00814C24">
              <w:rPr>
                <w:color w:val="000000" w:themeColor="text1"/>
                <w:sz w:val="24"/>
                <w:szCs w:val="24"/>
              </w:rPr>
              <w:tab/>
              <w:t>nu</w:t>
            </w:r>
            <w:r w:rsidRPr="00814C24">
              <w:rPr>
                <w:color w:val="000000" w:themeColor="text1"/>
                <w:sz w:val="24"/>
                <w:szCs w:val="24"/>
              </w:rPr>
              <w:tab/>
              <w:t>include</w:t>
            </w:r>
            <w:r w:rsidRPr="00814C24">
              <w:rPr>
                <w:color w:val="000000" w:themeColor="text1"/>
                <w:sz w:val="24"/>
                <w:szCs w:val="24"/>
              </w:rPr>
              <w:tab/>
              <w:t>criterii</w:t>
            </w:r>
            <w:r w:rsidRPr="00814C24">
              <w:rPr>
                <w:color w:val="000000" w:themeColor="text1"/>
                <w:sz w:val="24"/>
                <w:szCs w:val="24"/>
              </w:rPr>
              <w:tab/>
              <w:t>explicite</w:t>
            </w:r>
            <w:r w:rsidRPr="00814C24">
              <w:rPr>
                <w:color w:val="000000" w:themeColor="text1"/>
                <w:sz w:val="24"/>
                <w:szCs w:val="24"/>
              </w:rPr>
              <w:tab/>
              <w:t>pentru</w:t>
            </w:r>
            <w:r w:rsidRPr="00814C24">
              <w:rPr>
                <w:color w:val="000000" w:themeColor="text1"/>
                <w:sz w:val="24"/>
                <w:szCs w:val="24"/>
              </w:rPr>
              <w:tab/>
              <w:t>statutul</w:t>
            </w:r>
          </w:p>
          <w:p w14:paraId="59FFD9DF" w14:textId="77777777" w:rsidR="006735BF" w:rsidRPr="00814C24" w:rsidRDefault="006735BF" w:rsidP="008E33FD">
            <w:pPr>
              <w:pStyle w:val="TableParagraph"/>
              <w:ind w:left="107" w:right="96"/>
              <w:jc w:val="both"/>
              <w:rPr>
                <w:color w:val="000000" w:themeColor="text1"/>
                <w:sz w:val="24"/>
                <w:szCs w:val="24"/>
              </w:rPr>
            </w:pPr>
            <w:r w:rsidRPr="00814C24">
              <w:rPr>
                <w:color w:val="000000" w:themeColor="text1"/>
                <w:sz w:val="24"/>
                <w:szCs w:val="24"/>
              </w:rPr>
              <w:t>„nefavorabil-inadecvat” al perspectivelor viitoare. Cu toate acestea, ținând</w:t>
            </w:r>
            <w:r w:rsidRPr="00814C24">
              <w:rPr>
                <w:color w:val="000000" w:themeColor="text1"/>
                <w:spacing w:val="1"/>
                <w:sz w:val="24"/>
                <w:szCs w:val="24"/>
              </w:rPr>
              <w:t xml:space="preserve"> </w:t>
            </w:r>
            <w:r w:rsidRPr="00814C24">
              <w:rPr>
                <w:color w:val="000000" w:themeColor="text1"/>
                <w:sz w:val="24"/>
                <w:szCs w:val="24"/>
              </w:rPr>
              <w:t>cont de metoda de evaluare a perspectivelor de viitor propuse în aceste</w:t>
            </w:r>
            <w:r w:rsidRPr="00814C24">
              <w:rPr>
                <w:color w:val="000000" w:themeColor="text1"/>
                <w:spacing w:val="1"/>
                <w:sz w:val="24"/>
                <w:szCs w:val="24"/>
              </w:rPr>
              <w:t xml:space="preserve"> </w:t>
            </w:r>
            <w:r w:rsidRPr="00814C24">
              <w:rPr>
                <w:color w:val="000000" w:themeColor="text1"/>
                <w:sz w:val="24"/>
                <w:szCs w:val="24"/>
              </w:rPr>
              <w:t>orientări,</w:t>
            </w:r>
            <w:r w:rsidRPr="00814C24">
              <w:rPr>
                <w:color w:val="000000" w:themeColor="text1"/>
                <w:spacing w:val="1"/>
                <w:sz w:val="24"/>
                <w:szCs w:val="24"/>
              </w:rPr>
              <w:t xml:space="preserve"> </w:t>
            </w:r>
            <w:r w:rsidRPr="00814C24">
              <w:rPr>
                <w:color w:val="000000" w:themeColor="text1"/>
                <w:sz w:val="24"/>
                <w:szCs w:val="24"/>
              </w:rPr>
              <w:t>statutul</w:t>
            </w:r>
            <w:r w:rsidRPr="00814C24">
              <w:rPr>
                <w:color w:val="000000" w:themeColor="text1"/>
                <w:spacing w:val="1"/>
                <w:sz w:val="24"/>
                <w:szCs w:val="24"/>
              </w:rPr>
              <w:t xml:space="preserve"> </w:t>
            </w:r>
            <w:r w:rsidRPr="00814C24">
              <w:rPr>
                <w:color w:val="000000" w:themeColor="text1"/>
                <w:sz w:val="24"/>
                <w:szCs w:val="24"/>
              </w:rPr>
              <w:t>ar</w:t>
            </w:r>
            <w:r w:rsidRPr="00814C24">
              <w:rPr>
                <w:color w:val="000000" w:themeColor="text1"/>
                <w:spacing w:val="1"/>
                <w:sz w:val="24"/>
                <w:szCs w:val="24"/>
              </w:rPr>
              <w:t xml:space="preserve"> </w:t>
            </w:r>
            <w:r w:rsidRPr="00814C24">
              <w:rPr>
                <w:color w:val="000000" w:themeColor="text1"/>
                <w:sz w:val="24"/>
                <w:szCs w:val="24"/>
              </w:rPr>
              <w:t>trebui</w:t>
            </w:r>
            <w:r w:rsidRPr="00814C24">
              <w:rPr>
                <w:color w:val="000000" w:themeColor="text1"/>
                <w:spacing w:val="1"/>
                <w:sz w:val="24"/>
                <w:szCs w:val="24"/>
              </w:rPr>
              <w:t xml:space="preserve"> </w:t>
            </w:r>
            <w:r w:rsidRPr="00814C24">
              <w:rPr>
                <w:color w:val="000000" w:themeColor="text1"/>
                <w:sz w:val="24"/>
                <w:szCs w:val="24"/>
              </w:rPr>
              <w:t>considerat</w:t>
            </w:r>
            <w:r w:rsidRPr="00814C24">
              <w:rPr>
                <w:color w:val="000000" w:themeColor="text1"/>
                <w:spacing w:val="1"/>
                <w:sz w:val="24"/>
                <w:szCs w:val="24"/>
              </w:rPr>
              <w:t xml:space="preserve"> </w:t>
            </w:r>
            <w:r w:rsidRPr="00814C24">
              <w:rPr>
                <w:color w:val="000000" w:themeColor="text1"/>
                <w:sz w:val="24"/>
                <w:szCs w:val="24"/>
              </w:rPr>
              <w:t>„nefavorabil-inadecvat”</w:t>
            </w:r>
            <w:r w:rsidRPr="00814C24">
              <w:rPr>
                <w:color w:val="000000" w:themeColor="text1"/>
                <w:spacing w:val="1"/>
                <w:sz w:val="24"/>
                <w:szCs w:val="24"/>
              </w:rPr>
              <w:t xml:space="preserve"> </w:t>
            </w:r>
            <w:r w:rsidRPr="00814C24">
              <w:rPr>
                <w:color w:val="000000" w:themeColor="text1"/>
                <w:sz w:val="24"/>
                <w:szCs w:val="24"/>
              </w:rPr>
              <w:t>dacă</w:t>
            </w:r>
            <w:r w:rsidRPr="00814C24">
              <w:rPr>
                <w:color w:val="000000" w:themeColor="text1"/>
                <w:spacing w:val="1"/>
                <w:sz w:val="24"/>
                <w:szCs w:val="24"/>
              </w:rPr>
              <w:t xml:space="preserve"> </w:t>
            </w:r>
            <w:r w:rsidRPr="00814C24">
              <w:rPr>
                <w:color w:val="000000" w:themeColor="text1"/>
                <w:sz w:val="24"/>
                <w:szCs w:val="24"/>
              </w:rPr>
              <w:t>perspectivele unuia sau mai multor parametri (câmpul 9.1) sunt „sărace”,</w:t>
            </w:r>
            <w:r w:rsidRPr="00814C24">
              <w:rPr>
                <w:color w:val="000000" w:themeColor="text1"/>
                <w:spacing w:val="1"/>
                <w:sz w:val="24"/>
                <w:szCs w:val="24"/>
              </w:rPr>
              <w:t xml:space="preserve"> </w:t>
            </w:r>
            <w:r w:rsidRPr="00814C24">
              <w:rPr>
                <w:color w:val="000000" w:themeColor="text1"/>
                <w:sz w:val="24"/>
                <w:szCs w:val="24"/>
              </w:rPr>
              <w:t>niciunul</w:t>
            </w:r>
            <w:r w:rsidRPr="00814C24">
              <w:rPr>
                <w:color w:val="000000" w:themeColor="text1"/>
                <w:spacing w:val="25"/>
                <w:sz w:val="24"/>
                <w:szCs w:val="24"/>
              </w:rPr>
              <w:t xml:space="preserve"> </w:t>
            </w:r>
            <w:r w:rsidRPr="00814C24">
              <w:rPr>
                <w:color w:val="000000" w:themeColor="text1"/>
                <w:sz w:val="24"/>
                <w:szCs w:val="24"/>
              </w:rPr>
              <w:t>nu</w:t>
            </w:r>
            <w:r w:rsidRPr="00814C24">
              <w:rPr>
                <w:color w:val="000000" w:themeColor="text1"/>
                <w:spacing w:val="25"/>
                <w:sz w:val="24"/>
                <w:szCs w:val="24"/>
              </w:rPr>
              <w:t xml:space="preserve"> </w:t>
            </w:r>
            <w:r w:rsidRPr="00814C24">
              <w:rPr>
                <w:color w:val="000000" w:themeColor="text1"/>
                <w:sz w:val="24"/>
                <w:szCs w:val="24"/>
              </w:rPr>
              <w:t>are</w:t>
            </w:r>
            <w:r w:rsidRPr="00814C24">
              <w:rPr>
                <w:color w:val="000000" w:themeColor="text1"/>
                <w:spacing w:val="23"/>
                <w:sz w:val="24"/>
                <w:szCs w:val="24"/>
              </w:rPr>
              <w:t xml:space="preserve"> </w:t>
            </w:r>
            <w:r w:rsidRPr="00814C24">
              <w:rPr>
                <w:color w:val="000000" w:themeColor="text1"/>
                <w:sz w:val="24"/>
                <w:szCs w:val="24"/>
              </w:rPr>
              <w:t>perspective</w:t>
            </w:r>
            <w:r w:rsidRPr="00814C24">
              <w:rPr>
                <w:color w:val="000000" w:themeColor="text1"/>
                <w:spacing w:val="25"/>
                <w:sz w:val="24"/>
                <w:szCs w:val="24"/>
              </w:rPr>
              <w:t xml:space="preserve"> </w:t>
            </w:r>
            <w:r w:rsidRPr="00814C24">
              <w:rPr>
                <w:color w:val="000000" w:themeColor="text1"/>
                <w:sz w:val="24"/>
                <w:szCs w:val="24"/>
              </w:rPr>
              <w:t>„proaste”.</w:t>
            </w:r>
            <w:r w:rsidRPr="00814C24">
              <w:rPr>
                <w:color w:val="000000" w:themeColor="text1"/>
                <w:spacing w:val="25"/>
                <w:sz w:val="24"/>
                <w:szCs w:val="24"/>
              </w:rPr>
              <w:t xml:space="preserve"> </w:t>
            </w:r>
            <w:r w:rsidRPr="00814C24">
              <w:rPr>
                <w:color w:val="000000" w:themeColor="text1"/>
                <w:sz w:val="24"/>
                <w:szCs w:val="24"/>
              </w:rPr>
              <w:t>și</w:t>
            </w:r>
            <w:r w:rsidRPr="00814C24">
              <w:rPr>
                <w:color w:val="000000" w:themeColor="text1"/>
                <w:spacing w:val="25"/>
                <w:sz w:val="24"/>
                <w:szCs w:val="24"/>
              </w:rPr>
              <w:t xml:space="preserve"> </w:t>
            </w:r>
            <w:r w:rsidRPr="00814C24">
              <w:rPr>
                <w:color w:val="000000" w:themeColor="text1"/>
                <w:sz w:val="24"/>
                <w:szCs w:val="24"/>
              </w:rPr>
              <w:t>există</w:t>
            </w:r>
            <w:r w:rsidRPr="00814C24">
              <w:rPr>
                <w:color w:val="000000" w:themeColor="text1"/>
                <w:spacing w:val="24"/>
                <w:sz w:val="24"/>
                <w:szCs w:val="24"/>
              </w:rPr>
              <w:t xml:space="preserve"> </w:t>
            </w:r>
            <w:r w:rsidRPr="00814C24">
              <w:rPr>
                <w:color w:val="000000" w:themeColor="text1"/>
                <w:sz w:val="24"/>
                <w:szCs w:val="24"/>
              </w:rPr>
              <w:t>cel</w:t>
            </w:r>
            <w:r w:rsidRPr="00814C24">
              <w:rPr>
                <w:color w:val="000000" w:themeColor="text1"/>
                <w:spacing w:val="26"/>
                <w:sz w:val="24"/>
                <w:szCs w:val="24"/>
              </w:rPr>
              <w:t xml:space="preserve"> </w:t>
            </w:r>
            <w:r w:rsidRPr="00814C24">
              <w:rPr>
                <w:color w:val="000000" w:themeColor="text1"/>
                <w:sz w:val="24"/>
                <w:szCs w:val="24"/>
              </w:rPr>
              <w:t>puțin</w:t>
            </w:r>
            <w:r w:rsidRPr="00814C24">
              <w:rPr>
                <w:color w:val="000000" w:themeColor="text1"/>
                <w:spacing w:val="25"/>
                <w:sz w:val="24"/>
                <w:szCs w:val="24"/>
              </w:rPr>
              <w:t xml:space="preserve"> </w:t>
            </w:r>
            <w:r w:rsidRPr="00814C24">
              <w:rPr>
                <w:color w:val="000000" w:themeColor="text1"/>
                <w:sz w:val="24"/>
                <w:szCs w:val="24"/>
              </w:rPr>
              <w:t>un</w:t>
            </w:r>
            <w:r w:rsidRPr="00814C24">
              <w:rPr>
                <w:color w:val="000000" w:themeColor="text1"/>
                <w:spacing w:val="25"/>
                <w:sz w:val="24"/>
                <w:szCs w:val="24"/>
              </w:rPr>
              <w:t xml:space="preserve"> </w:t>
            </w:r>
            <w:r w:rsidRPr="00814C24">
              <w:rPr>
                <w:color w:val="000000" w:themeColor="text1"/>
                <w:sz w:val="24"/>
                <w:szCs w:val="24"/>
              </w:rPr>
              <w:t>parametru</w:t>
            </w:r>
            <w:r w:rsidRPr="00814C24">
              <w:rPr>
                <w:color w:val="000000" w:themeColor="text1"/>
                <w:spacing w:val="27"/>
                <w:sz w:val="24"/>
                <w:szCs w:val="24"/>
              </w:rPr>
              <w:t xml:space="preserve"> </w:t>
            </w:r>
            <w:r w:rsidRPr="00814C24">
              <w:rPr>
                <w:color w:val="000000" w:themeColor="text1"/>
                <w:sz w:val="24"/>
                <w:szCs w:val="24"/>
              </w:rPr>
              <w:t>cu</w:t>
            </w:r>
          </w:p>
          <w:p w14:paraId="47563640" w14:textId="77777777" w:rsidR="006735BF" w:rsidRPr="00814C24" w:rsidRDefault="006735BF" w:rsidP="008E33FD">
            <w:pPr>
              <w:pStyle w:val="TableParagraph"/>
              <w:spacing w:line="264" w:lineRule="exact"/>
              <w:ind w:left="107"/>
              <w:jc w:val="both"/>
              <w:rPr>
                <w:color w:val="000000" w:themeColor="text1"/>
                <w:sz w:val="24"/>
                <w:szCs w:val="24"/>
              </w:rPr>
            </w:pPr>
            <w:r w:rsidRPr="00814C24">
              <w:rPr>
                <w:color w:val="000000" w:themeColor="text1"/>
                <w:sz w:val="24"/>
                <w:szCs w:val="24"/>
              </w:rPr>
              <w:t>perspective</w:t>
            </w:r>
            <w:r w:rsidRPr="00814C24">
              <w:rPr>
                <w:color w:val="000000" w:themeColor="text1"/>
                <w:spacing w:val="-3"/>
                <w:sz w:val="24"/>
                <w:szCs w:val="24"/>
              </w:rPr>
              <w:t xml:space="preserve"> </w:t>
            </w:r>
            <w:r w:rsidRPr="00814C24">
              <w:rPr>
                <w:color w:val="000000" w:themeColor="text1"/>
                <w:sz w:val="24"/>
                <w:szCs w:val="24"/>
              </w:rPr>
              <w:t>„necunoscute”.</w:t>
            </w:r>
          </w:p>
        </w:tc>
      </w:tr>
      <w:tr w:rsidR="006735BF" w:rsidRPr="00814C24" w14:paraId="42CAFC2C" w14:textId="77777777" w:rsidTr="00FC74DD">
        <w:trPr>
          <w:trHeight w:val="2212"/>
        </w:trPr>
        <w:tc>
          <w:tcPr>
            <w:tcW w:w="1810" w:type="dxa"/>
            <w:tcBorders>
              <w:top w:val="single" w:sz="4" w:space="0" w:color="000000"/>
              <w:left w:val="single" w:sz="4" w:space="0" w:color="000000"/>
              <w:bottom w:val="single" w:sz="4" w:space="0" w:color="000000"/>
              <w:right w:val="single" w:sz="4" w:space="0" w:color="000000"/>
            </w:tcBorders>
          </w:tcPr>
          <w:p w14:paraId="37698F9A" w14:textId="77777777" w:rsidR="006735BF" w:rsidRPr="00814C24" w:rsidRDefault="006735BF" w:rsidP="008E33FD">
            <w:pPr>
              <w:pStyle w:val="TableParagraph"/>
              <w:jc w:val="both"/>
              <w:rPr>
                <w:color w:val="000000" w:themeColor="text1"/>
                <w:sz w:val="24"/>
                <w:szCs w:val="24"/>
              </w:rPr>
            </w:pPr>
          </w:p>
          <w:p w14:paraId="67B6C9B4" w14:textId="77777777" w:rsidR="006735BF" w:rsidRPr="00814C24" w:rsidRDefault="006735BF" w:rsidP="008E33FD">
            <w:pPr>
              <w:pStyle w:val="TableParagraph"/>
              <w:jc w:val="both"/>
              <w:rPr>
                <w:color w:val="000000" w:themeColor="text1"/>
                <w:sz w:val="24"/>
                <w:szCs w:val="24"/>
              </w:rPr>
            </w:pPr>
          </w:p>
          <w:p w14:paraId="6A64F885" w14:textId="77777777" w:rsidR="006735BF" w:rsidRPr="00814C24" w:rsidRDefault="006735BF" w:rsidP="008E33FD">
            <w:pPr>
              <w:pStyle w:val="TableParagraph"/>
              <w:spacing w:before="224"/>
              <w:ind w:left="108" w:right="154"/>
              <w:jc w:val="both"/>
              <w:rPr>
                <w:color w:val="000000" w:themeColor="text1"/>
                <w:sz w:val="24"/>
                <w:szCs w:val="24"/>
              </w:rPr>
            </w:pPr>
            <w:r w:rsidRPr="00814C24">
              <w:rPr>
                <w:color w:val="000000" w:themeColor="text1"/>
                <w:spacing w:val="-1"/>
                <w:sz w:val="24"/>
                <w:szCs w:val="24"/>
              </w:rPr>
              <w:t>Nefavorabil-rău</w:t>
            </w:r>
            <w:r w:rsidRPr="00814C24">
              <w:rPr>
                <w:color w:val="000000" w:themeColor="text1"/>
                <w:spacing w:val="-57"/>
                <w:sz w:val="24"/>
                <w:szCs w:val="24"/>
              </w:rPr>
              <w:t xml:space="preserve"> </w:t>
            </w:r>
            <w:r w:rsidRPr="00814C24">
              <w:rPr>
                <w:color w:val="000000" w:themeColor="text1"/>
                <w:sz w:val="24"/>
                <w:szCs w:val="24"/>
              </w:rPr>
              <w:t>(U2)</w:t>
            </w:r>
          </w:p>
        </w:tc>
        <w:tc>
          <w:tcPr>
            <w:tcW w:w="8075" w:type="dxa"/>
            <w:tcBorders>
              <w:top w:val="single" w:sz="4" w:space="0" w:color="000000"/>
              <w:left w:val="single" w:sz="4" w:space="0" w:color="000000"/>
              <w:bottom w:val="single" w:sz="4" w:space="0" w:color="000000"/>
              <w:right w:val="single" w:sz="4" w:space="0" w:color="000000"/>
            </w:tcBorders>
          </w:tcPr>
          <w:p w14:paraId="3E9F095E" w14:textId="77777777" w:rsidR="006735BF" w:rsidRPr="00814C24" w:rsidRDefault="006735BF" w:rsidP="008E33FD">
            <w:pPr>
              <w:pStyle w:val="TableParagraph"/>
              <w:ind w:left="107" w:right="101"/>
              <w:jc w:val="both"/>
              <w:rPr>
                <w:color w:val="000000" w:themeColor="text1"/>
                <w:sz w:val="24"/>
                <w:szCs w:val="24"/>
              </w:rPr>
            </w:pPr>
            <w:r w:rsidRPr="00814C24">
              <w:rPr>
                <w:color w:val="000000" w:themeColor="text1"/>
                <w:sz w:val="24"/>
                <w:szCs w:val="24"/>
              </w:rPr>
              <w:t>Conform matricei de evaluare (anexa E), statutul perspectivelor de viitor</w:t>
            </w:r>
            <w:r w:rsidRPr="00814C24">
              <w:rPr>
                <w:color w:val="000000" w:themeColor="text1"/>
                <w:spacing w:val="1"/>
                <w:sz w:val="24"/>
                <w:szCs w:val="24"/>
              </w:rPr>
              <w:t xml:space="preserve"> </w:t>
            </w:r>
            <w:r w:rsidRPr="00814C24">
              <w:rPr>
                <w:color w:val="000000" w:themeColor="text1"/>
                <w:sz w:val="24"/>
                <w:szCs w:val="24"/>
              </w:rPr>
              <w:t>este</w:t>
            </w:r>
            <w:r w:rsidRPr="00814C24">
              <w:rPr>
                <w:color w:val="000000" w:themeColor="text1"/>
                <w:spacing w:val="-2"/>
                <w:sz w:val="24"/>
                <w:szCs w:val="24"/>
              </w:rPr>
              <w:t xml:space="preserve"> </w:t>
            </w:r>
            <w:r w:rsidRPr="00814C24">
              <w:rPr>
                <w:color w:val="000000" w:themeColor="text1"/>
                <w:sz w:val="24"/>
                <w:szCs w:val="24"/>
              </w:rPr>
              <w:t>„nefavorabil-rău”</w:t>
            </w:r>
            <w:r w:rsidRPr="00814C24">
              <w:rPr>
                <w:color w:val="000000" w:themeColor="text1"/>
                <w:spacing w:val="-1"/>
                <w:sz w:val="24"/>
                <w:szCs w:val="24"/>
              </w:rPr>
              <w:t xml:space="preserve"> </w:t>
            </w:r>
            <w:r w:rsidRPr="00814C24">
              <w:rPr>
                <w:color w:val="000000" w:themeColor="text1"/>
                <w:sz w:val="24"/>
                <w:szCs w:val="24"/>
              </w:rPr>
              <w:t>dacă:</w:t>
            </w:r>
          </w:p>
          <w:p w14:paraId="76372912" w14:textId="77777777" w:rsidR="006735BF" w:rsidRPr="00814C24" w:rsidRDefault="006735BF" w:rsidP="008E33FD">
            <w:pPr>
              <w:pStyle w:val="TableParagraph"/>
              <w:spacing w:line="235" w:lineRule="auto"/>
              <w:ind w:left="828" w:right="98" w:hanging="361"/>
              <w:jc w:val="both"/>
              <w:rPr>
                <w:color w:val="000000" w:themeColor="text1"/>
                <w:sz w:val="24"/>
                <w:szCs w:val="24"/>
              </w:rPr>
            </w:pPr>
            <w:r w:rsidRPr="00814C24">
              <w:rPr>
                <w:color w:val="000000" w:themeColor="text1"/>
                <w:sz w:val="24"/>
                <w:szCs w:val="24"/>
              </w:rPr>
              <w:t>-</w:t>
            </w:r>
            <w:r w:rsidRPr="00814C24">
              <w:rPr>
                <w:color w:val="000000" w:themeColor="text1"/>
                <w:spacing w:val="1"/>
                <w:sz w:val="24"/>
                <w:szCs w:val="24"/>
              </w:rPr>
              <w:t xml:space="preserve"> </w:t>
            </w:r>
            <w:r w:rsidRPr="00814C24">
              <w:rPr>
                <w:color w:val="000000" w:themeColor="text1"/>
                <w:sz w:val="24"/>
                <w:szCs w:val="24"/>
              </w:rPr>
              <w:t>Se așteaptă impacturi severe din cauza presiunilor și amenințărilor</w:t>
            </w:r>
            <w:r w:rsidRPr="00814C24">
              <w:rPr>
                <w:color w:val="000000" w:themeColor="text1"/>
                <w:spacing w:val="1"/>
                <w:sz w:val="24"/>
                <w:szCs w:val="24"/>
              </w:rPr>
              <w:t xml:space="preserve"> </w:t>
            </w:r>
            <w:r w:rsidRPr="00814C24">
              <w:rPr>
                <w:color w:val="000000" w:themeColor="text1"/>
                <w:sz w:val="24"/>
                <w:szCs w:val="24"/>
              </w:rPr>
              <w:t>asupra habitatului, perspectivele viitorului său sunt „proaste”, iar</w:t>
            </w:r>
            <w:r w:rsidRPr="00814C24">
              <w:rPr>
                <w:color w:val="000000" w:themeColor="text1"/>
                <w:spacing w:val="1"/>
                <w:sz w:val="24"/>
                <w:szCs w:val="24"/>
              </w:rPr>
              <w:t xml:space="preserve"> </w:t>
            </w:r>
            <w:r w:rsidRPr="00814C24">
              <w:rPr>
                <w:color w:val="000000" w:themeColor="text1"/>
                <w:sz w:val="24"/>
                <w:szCs w:val="24"/>
              </w:rPr>
              <w:t>viabilitatea</w:t>
            </w:r>
            <w:r w:rsidRPr="00814C24">
              <w:rPr>
                <w:color w:val="000000" w:themeColor="text1"/>
                <w:spacing w:val="-2"/>
                <w:sz w:val="24"/>
                <w:szCs w:val="24"/>
              </w:rPr>
              <w:t xml:space="preserve"> </w:t>
            </w:r>
            <w:r w:rsidRPr="00814C24">
              <w:rPr>
                <w:color w:val="000000" w:themeColor="text1"/>
                <w:sz w:val="24"/>
                <w:szCs w:val="24"/>
              </w:rPr>
              <w:t>pe</w:t>
            </w:r>
            <w:r w:rsidRPr="00814C24">
              <w:rPr>
                <w:color w:val="000000" w:themeColor="text1"/>
                <w:spacing w:val="-1"/>
                <w:sz w:val="24"/>
                <w:szCs w:val="24"/>
              </w:rPr>
              <w:t xml:space="preserve"> </w:t>
            </w:r>
            <w:r w:rsidRPr="00814C24">
              <w:rPr>
                <w:color w:val="000000" w:themeColor="text1"/>
                <w:sz w:val="24"/>
                <w:szCs w:val="24"/>
              </w:rPr>
              <w:t>termen lung</w:t>
            </w:r>
            <w:r w:rsidRPr="00814C24">
              <w:rPr>
                <w:color w:val="000000" w:themeColor="text1"/>
                <w:spacing w:val="-3"/>
                <w:sz w:val="24"/>
                <w:szCs w:val="24"/>
              </w:rPr>
              <w:t xml:space="preserve"> </w:t>
            </w:r>
            <w:r w:rsidRPr="00814C24">
              <w:rPr>
                <w:color w:val="000000" w:themeColor="text1"/>
                <w:sz w:val="24"/>
                <w:szCs w:val="24"/>
              </w:rPr>
              <w:t>nu</w:t>
            </w:r>
            <w:r w:rsidRPr="00814C24">
              <w:rPr>
                <w:color w:val="000000" w:themeColor="text1"/>
                <w:spacing w:val="-1"/>
                <w:sz w:val="24"/>
                <w:szCs w:val="24"/>
              </w:rPr>
              <w:t xml:space="preserve"> </w:t>
            </w:r>
            <w:r w:rsidRPr="00814C24">
              <w:rPr>
                <w:color w:val="000000" w:themeColor="text1"/>
                <w:sz w:val="24"/>
                <w:szCs w:val="24"/>
              </w:rPr>
              <w:t>este</w:t>
            </w:r>
            <w:r w:rsidRPr="00814C24">
              <w:rPr>
                <w:color w:val="000000" w:themeColor="text1"/>
                <w:spacing w:val="1"/>
                <w:sz w:val="24"/>
                <w:szCs w:val="24"/>
              </w:rPr>
              <w:t xml:space="preserve"> </w:t>
            </w:r>
            <w:r w:rsidRPr="00814C24">
              <w:rPr>
                <w:color w:val="000000" w:themeColor="text1"/>
                <w:sz w:val="24"/>
                <w:szCs w:val="24"/>
              </w:rPr>
              <w:t>asigurată.</w:t>
            </w:r>
          </w:p>
          <w:p w14:paraId="3D2F9425" w14:textId="77777777" w:rsidR="006735BF" w:rsidRPr="00814C24" w:rsidRDefault="006735BF" w:rsidP="008E33FD">
            <w:pPr>
              <w:pStyle w:val="TableParagraph"/>
              <w:ind w:left="107"/>
              <w:jc w:val="both"/>
              <w:rPr>
                <w:color w:val="000000" w:themeColor="text1"/>
                <w:sz w:val="24"/>
                <w:szCs w:val="24"/>
              </w:rPr>
            </w:pPr>
            <w:r w:rsidRPr="00814C24">
              <w:rPr>
                <w:color w:val="000000" w:themeColor="text1"/>
                <w:sz w:val="24"/>
                <w:szCs w:val="24"/>
              </w:rPr>
              <w:t>Informațiisuplimentare:</w:t>
            </w:r>
          </w:p>
          <w:p w14:paraId="65532BFA" w14:textId="77777777" w:rsidR="006735BF" w:rsidRPr="00814C24" w:rsidRDefault="006735BF" w:rsidP="008E33FD">
            <w:pPr>
              <w:pStyle w:val="TableParagraph"/>
              <w:spacing w:line="270" w:lineRule="atLeast"/>
              <w:ind w:left="107" w:right="95"/>
              <w:jc w:val="both"/>
              <w:rPr>
                <w:color w:val="000000" w:themeColor="text1"/>
                <w:sz w:val="24"/>
                <w:szCs w:val="24"/>
              </w:rPr>
            </w:pPr>
            <w:r w:rsidRPr="00814C24">
              <w:rPr>
                <w:color w:val="000000" w:themeColor="text1"/>
                <w:sz w:val="24"/>
                <w:szCs w:val="24"/>
              </w:rPr>
              <w:t>Perspectivele</w:t>
            </w:r>
            <w:r w:rsidRPr="00814C24">
              <w:rPr>
                <w:color w:val="000000" w:themeColor="text1"/>
                <w:spacing w:val="22"/>
                <w:sz w:val="24"/>
                <w:szCs w:val="24"/>
              </w:rPr>
              <w:t xml:space="preserve"> </w:t>
            </w:r>
            <w:r w:rsidRPr="00814C24">
              <w:rPr>
                <w:color w:val="000000" w:themeColor="text1"/>
                <w:sz w:val="24"/>
                <w:szCs w:val="24"/>
              </w:rPr>
              <w:t>de</w:t>
            </w:r>
            <w:r w:rsidRPr="00814C24">
              <w:rPr>
                <w:color w:val="000000" w:themeColor="text1"/>
                <w:spacing w:val="22"/>
                <w:sz w:val="24"/>
                <w:szCs w:val="24"/>
              </w:rPr>
              <w:t xml:space="preserve"> </w:t>
            </w:r>
            <w:r w:rsidRPr="00814C24">
              <w:rPr>
                <w:color w:val="000000" w:themeColor="text1"/>
                <w:sz w:val="24"/>
                <w:szCs w:val="24"/>
              </w:rPr>
              <w:t>viitor</w:t>
            </w:r>
            <w:r w:rsidRPr="00814C24">
              <w:rPr>
                <w:color w:val="000000" w:themeColor="text1"/>
                <w:spacing w:val="23"/>
                <w:sz w:val="24"/>
                <w:szCs w:val="24"/>
              </w:rPr>
              <w:t xml:space="preserve"> </w:t>
            </w:r>
            <w:r w:rsidRPr="00814C24">
              <w:rPr>
                <w:color w:val="000000" w:themeColor="text1"/>
                <w:sz w:val="24"/>
                <w:szCs w:val="24"/>
              </w:rPr>
              <w:t>ar</w:t>
            </w:r>
            <w:r w:rsidRPr="00814C24">
              <w:rPr>
                <w:color w:val="000000" w:themeColor="text1"/>
                <w:spacing w:val="23"/>
                <w:sz w:val="24"/>
                <w:szCs w:val="24"/>
              </w:rPr>
              <w:t xml:space="preserve"> </w:t>
            </w:r>
            <w:r w:rsidRPr="00814C24">
              <w:rPr>
                <w:color w:val="000000" w:themeColor="text1"/>
                <w:sz w:val="24"/>
                <w:szCs w:val="24"/>
              </w:rPr>
              <w:t>trebui</w:t>
            </w:r>
            <w:r w:rsidRPr="00814C24">
              <w:rPr>
                <w:color w:val="000000" w:themeColor="text1"/>
                <w:spacing w:val="24"/>
                <w:sz w:val="24"/>
                <w:szCs w:val="24"/>
              </w:rPr>
              <w:t xml:space="preserve"> </w:t>
            </w:r>
            <w:r w:rsidRPr="00814C24">
              <w:rPr>
                <w:color w:val="000000" w:themeColor="text1"/>
                <w:sz w:val="24"/>
                <w:szCs w:val="24"/>
              </w:rPr>
              <w:t>evaluate</w:t>
            </w:r>
            <w:r w:rsidRPr="00814C24">
              <w:rPr>
                <w:color w:val="000000" w:themeColor="text1"/>
                <w:spacing w:val="25"/>
                <w:sz w:val="24"/>
                <w:szCs w:val="24"/>
              </w:rPr>
              <w:t xml:space="preserve"> </w:t>
            </w:r>
            <w:r w:rsidRPr="00814C24">
              <w:rPr>
                <w:color w:val="000000" w:themeColor="text1"/>
                <w:sz w:val="24"/>
                <w:szCs w:val="24"/>
              </w:rPr>
              <w:t>ca</w:t>
            </w:r>
            <w:r w:rsidRPr="00814C24">
              <w:rPr>
                <w:color w:val="000000" w:themeColor="text1"/>
                <w:spacing w:val="22"/>
                <w:sz w:val="24"/>
                <w:szCs w:val="24"/>
              </w:rPr>
              <w:t xml:space="preserve"> </w:t>
            </w:r>
            <w:r w:rsidRPr="00814C24">
              <w:rPr>
                <w:color w:val="000000" w:themeColor="text1"/>
                <w:sz w:val="24"/>
                <w:szCs w:val="24"/>
              </w:rPr>
              <w:t>„nefavorabile-rele”</w:t>
            </w:r>
            <w:r w:rsidRPr="00814C24">
              <w:rPr>
                <w:color w:val="000000" w:themeColor="text1"/>
                <w:spacing w:val="22"/>
                <w:sz w:val="24"/>
                <w:szCs w:val="24"/>
              </w:rPr>
              <w:t xml:space="preserve"> </w:t>
            </w:r>
            <w:r w:rsidRPr="00814C24">
              <w:rPr>
                <w:color w:val="000000" w:themeColor="text1"/>
                <w:sz w:val="24"/>
                <w:szCs w:val="24"/>
              </w:rPr>
              <w:t>dacă</w:t>
            </w:r>
            <w:r w:rsidRPr="00814C24">
              <w:rPr>
                <w:color w:val="000000" w:themeColor="text1"/>
                <w:spacing w:val="22"/>
                <w:sz w:val="24"/>
                <w:szCs w:val="24"/>
              </w:rPr>
              <w:t xml:space="preserve"> </w:t>
            </w:r>
            <w:r w:rsidRPr="00814C24">
              <w:rPr>
                <w:color w:val="000000" w:themeColor="text1"/>
                <w:sz w:val="24"/>
                <w:szCs w:val="24"/>
              </w:rPr>
              <w:t>unul</w:t>
            </w:r>
            <w:r w:rsidRPr="00814C24">
              <w:rPr>
                <w:color w:val="000000" w:themeColor="text1"/>
                <w:spacing w:val="-57"/>
                <w:sz w:val="24"/>
                <w:szCs w:val="24"/>
              </w:rPr>
              <w:t xml:space="preserve"> </w:t>
            </w:r>
            <w:r w:rsidRPr="00814C24">
              <w:rPr>
                <w:color w:val="000000" w:themeColor="text1"/>
                <w:sz w:val="24"/>
                <w:szCs w:val="24"/>
              </w:rPr>
              <w:t>sau</w:t>
            </w:r>
            <w:r w:rsidRPr="00814C24">
              <w:rPr>
                <w:color w:val="000000" w:themeColor="text1"/>
                <w:spacing w:val="-1"/>
                <w:sz w:val="24"/>
                <w:szCs w:val="24"/>
              </w:rPr>
              <w:t xml:space="preserve"> </w:t>
            </w:r>
            <w:r w:rsidRPr="00814C24">
              <w:rPr>
                <w:color w:val="000000" w:themeColor="text1"/>
                <w:sz w:val="24"/>
                <w:szCs w:val="24"/>
              </w:rPr>
              <w:t>mai mulți parametri au perspective</w:t>
            </w:r>
            <w:r w:rsidRPr="00814C24">
              <w:rPr>
                <w:color w:val="000000" w:themeColor="text1"/>
                <w:spacing w:val="-2"/>
                <w:sz w:val="24"/>
                <w:szCs w:val="24"/>
              </w:rPr>
              <w:t xml:space="preserve"> </w:t>
            </w:r>
            <w:r w:rsidRPr="00814C24">
              <w:rPr>
                <w:color w:val="000000" w:themeColor="text1"/>
                <w:sz w:val="24"/>
                <w:szCs w:val="24"/>
              </w:rPr>
              <w:t>„proaste”</w:t>
            </w:r>
            <w:r w:rsidRPr="00814C24">
              <w:rPr>
                <w:color w:val="000000" w:themeColor="text1"/>
                <w:spacing w:val="-1"/>
                <w:sz w:val="24"/>
                <w:szCs w:val="24"/>
              </w:rPr>
              <w:t xml:space="preserve"> </w:t>
            </w:r>
            <w:r w:rsidRPr="00814C24">
              <w:rPr>
                <w:color w:val="000000" w:themeColor="text1"/>
                <w:sz w:val="24"/>
                <w:szCs w:val="24"/>
              </w:rPr>
              <w:t>(câmpul 9.1).</w:t>
            </w:r>
          </w:p>
        </w:tc>
      </w:tr>
      <w:tr w:rsidR="006735BF" w:rsidRPr="00814C24" w14:paraId="4A80F25C" w14:textId="77777777" w:rsidTr="00FC74DD">
        <w:trPr>
          <w:trHeight w:val="1936"/>
        </w:trPr>
        <w:tc>
          <w:tcPr>
            <w:tcW w:w="1810" w:type="dxa"/>
            <w:tcBorders>
              <w:top w:val="single" w:sz="4" w:space="0" w:color="000000"/>
              <w:left w:val="single" w:sz="4" w:space="0" w:color="000000"/>
              <w:bottom w:val="single" w:sz="4" w:space="0" w:color="000000"/>
              <w:right w:val="single" w:sz="4" w:space="0" w:color="000000"/>
            </w:tcBorders>
          </w:tcPr>
          <w:p w14:paraId="00390279" w14:textId="77777777" w:rsidR="006735BF" w:rsidRPr="00814C24" w:rsidRDefault="006735BF" w:rsidP="008E33FD">
            <w:pPr>
              <w:pStyle w:val="TableParagraph"/>
              <w:jc w:val="both"/>
              <w:rPr>
                <w:color w:val="000000" w:themeColor="text1"/>
                <w:sz w:val="24"/>
                <w:szCs w:val="24"/>
              </w:rPr>
            </w:pPr>
          </w:p>
          <w:p w14:paraId="2620914F" w14:textId="77777777" w:rsidR="006735BF" w:rsidRPr="00814C24" w:rsidRDefault="006735BF" w:rsidP="008E33FD">
            <w:pPr>
              <w:pStyle w:val="TableParagraph"/>
              <w:spacing w:before="4"/>
              <w:jc w:val="both"/>
              <w:rPr>
                <w:color w:val="000000" w:themeColor="text1"/>
                <w:sz w:val="24"/>
                <w:szCs w:val="24"/>
              </w:rPr>
            </w:pPr>
          </w:p>
          <w:p w14:paraId="4A7343C4" w14:textId="77777777" w:rsidR="006735BF" w:rsidRPr="00814C24" w:rsidRDefault="006735BF" w:rsidP="008E33FD">
            <w:pPr>
              <w:pStyle w:val="TableParagraph"/>
              <w:spacing w:before="1"/>
              <w:ind w:left="108" w:right="549"/>
              <w:jc w:val="both"/>
              <w:rPr>
                <w:color w:val="000000" w:themeColor="text1"/>
                <w:sz w:val="24"/>
                <w:szCs w:val="24"/>
              </w:rPr>
            </w:pPr>
            <w:r w:rsidRPr="00814C24">
              <w:rPr>
                <w:color w:val="000000" w:themeColor="text1"/>
                <w:spacing w:val="-1"/>
                <w:sz w:val="24"/>
                <w:szCs w:val="24"/>
              </w:rPr>
              <w:t>Necunoscut</w:t>
            </w:r>
            <w:r w:rsidRPr="00814C24">
              <w:rPr>
                <w:color w:val="000000" w:themeColor="text1"/>
                <w:spacing w:val="-57"/>
                <w:sz w:val="24"/>
                <w:szCs w:val="24"/>
              </w:rPr>
              <w:t xml:space="preserve"> </w:t>
            </w:r>
            <w:r w:rsidRPr="00814C24">
              <w:rPr>
                <w:color w:val="000000" w:themeColor="text1"/>
                <w:sz w:val="24"/>
                <w:szCs w:val="24"/>
              </w:rPr>
              <w:t>(XX)</w:t>
            </w:r>
          </w:p>
        </w:tc>
        <w:tc>
          <w:tcPr>
            <w:tcW w:w="8075" w:type="dxa"/>
            <w:tcBorders>
              <w:top w:val="single" w:sz="4" w:space="0" w:color="000000"/>
              <w:left w:val="single" w:sz="4" w:space="0" w:color="000000"/>
              <w:bottom w:val="single" w:sz="4" w:space="0" w:color="000000"/>
              <w:right w:val="single" w:sz="4" w:space="0" w:color="000000"/>
            </w:tcBorders>
          </w:tcPr>
          <w:p w14:paraId="42FB83AE" w14:textId="77777777" w:rsidR="006735BF" w:rsidRPr="00814C24" w:rsidRDefault="006735BF" w:rsidP="008E33FD">
            <w:pPr>
              <w:pStyle w:val="TableParagraph"/>
              <w:ind w:left="107" w:right="100"/>
              <w:jc w:val="both"/>
              <w:rPr>
                <w:color w:val="000000" w:themeColor="text1"/>
                <w:sz w:val="24"/>
                <w:szCs w:val="24"/>
              </w:rPr>
            </w:pPr>
            <w:r w:rsidRPr="00814C24">
              <w:rPr>
                <w:color w:val="000000" w:themeColor="text1"/>
                <w:sz w:val="24"/>
                <w:szCs w:val="24"/>
              </w:rPr>
              <w:t>Conform</w:t>
            </w:r>
            <w:r w:rsidRPr="00814C24">
              <w:rPr>
                <w:color w:val="000000" w:themeColor="text1"/>
                <w:spacing w:val="46"/>
                <w:sz w:val="24"/>
                <w:szCs w:val="24"/>
              </w:rPr>
              <w:t xml:space="preserve"> </w:t>
            </w:r>
            <w:r w:rsidRPr="00814C24">
              <w:rPr>
                <w:color w:val="000000" w:themeColor="text1"/>
                <w:sz w:val="24"/>
                <w:szCs w:val="24"/>
              </w:rPr>
              <w:t>matricei</w:t>
            </w:r>
            <w:r w:rsidRPr="00814C24">
              <w:rPr>
                <w:color w:val="000000" w:themeColor="text1"/>
                <w:spacing w:val="46"/>
                <w:sz w:val="24"/>
                <w:szCs w:val="24"/>
              </w:rPr>
              <w:t xml:space="preserve"> </w:t>
            </w:r>
            <w:r w:rsidRPr="00814C24">
              <w:rPr>
                <w:color w:val="000000" w:themeColor="text1"/>
                <w:sz w:val="24"/>
                <w:szCs w:val="24"/>
              </w:rPr>
              <w:t>de</w:t>
            </w:r>
            <w:r w:rsidRPr="00814C24">
              <w:rPr>
                <w:color w:val="000000" w:themeColor="text1"/>
                <w:spacing w:val="44"/>
                <w:sz w:val="24"/>
                <w:szCs w:val="24"/>
              </w:rPr>
              <w:t xml:space="preserve"> </w:t>
            </w:r>
            <w:r w:rsidRPr="00814C24">
              <w:rPr>
                <w:color w:val="000000" w:themeColor="text1"/>
                <w:sz w:val="24"/>
                <w:szCs w:val="24"/>
              </w:rPr>
              <w:t>evaluare</w:t>
            </w:r>
            <w:r w:rsidRPr="00814C24">
              <w:rPr>
                <w:color w:val="000000" w:themeColor="text1"/>
                <w:spacing w:val="44"/>
                <w:sz w:val="24"/>
                <w:szCs w:val="24"/>
              </w:rPr>
              <w:t xml:space="preserve"> </w:t>
            </w:r>
            <w:r w:rsidRPr="00814C24">
              <w:rPr>
                <w:color w:val="000000" w:themeColor="text1"/>
                <w:sz w:val="24"/>
                <w:szCs w:val="24"/>
              </w:rPr>
              <w:t>(anexa</w:t>
            </w:r>
            <w:r w:rsidRPr="00814C24">
              <w:rPr>
                <w:color w:val="000000" w:themeColor="text1"/>
                <w:spacing w:val="44"/>
                <w:sz w:val="24"/>
                <w:szCs w:val="24"/>
              </w:rPr>
              <w:t xml:space="preserve"> </w:t>
            </w:r>
            <w:r w:rsidRPr="00814C24">
              <w:rPr>
                <w:color w:val="000000" w:themeColor="text1"/>
                <w:sz w:val="24"/>
                <w:szCs w:val="24"/>
              </w:rPr>
              <w:t>E),</w:t>
            </w:r>
            <w:r w:rsidRPr="00814C24">
              <w:rPr>
                <w:color w:val="000000" w:themeColor="text1"/>
                <w:spacing w:val="46"/>
                <w:sz w:val="24"/>
                <w:szCs w:val="24"/>
              </w:rPr>
              <w:t xml:space="preserve"> </w:t>
            </w:r>
            <w:r w:rsidRPr="00814C24">
              <w:rPr>
                <w:color w:val="000000" w:themeColor="text1"/>
                <w:sz w:val="24"/>
                <w:szCs w:val="24"/>
              </w:rPr>
              <w:t>situația</w:t>
            </w:r>
            <w:r w:rsidRPr="00814C24">
              <w:rPr>
                <w:color w:val="000000" w:themeColor="text1"/>
                <w:spacing w:val="44"/>
                <w:sz w:val="24"/>
                <w:szCs w:val="24"/>
              </w:rPr>
              <w:t xml:space="preserve"> </w:t>
            </w:r>
            <w:r w:rsidRPr="00814C24">
              <w:rPr>
                <w:color w:val="000000" w:themeColor="text1"/>
                <w:sz w:val="24"/>
                <w:szCs w:val="24"/>
              </w:rPr>
              <w:t>perspectivelor</w:t>
            </w:r>
            <w:r w:rsidRPr="00814C24">
              <w:rPr>
                <w:color w:val="000000" w:themeColor="text1"/>
                <w:spacing w:val="45"/>
                <w:sz w:val="24"/>
                <w:szCs w:val="24"/>
              </w:rPr>
              <w:t xml:space="preserve"> </w:t>
            </w:r>
            <w:r w:rsidRPr="00814C24">
              <w:rPr>
                <w:color w:val="000000" w:themeColor="text1"/>
                <w:sz w:val="24"/>
                <w:szCs w:val="24"/>
              </w:rPr>
              <w:t>viitoare</w:t>
            </w:r>
            <w:r w:rsidRPr="00814C24">
              <w:rPr>
                <w:color w:val="000000" w:themeColor="text1"/>
                <w:spacing w:val="-58"/>
                <w:sz w:val="24"/>
                <w:szCs w:val="24"/>
              </w:rPr>
              <w:t xml:space="preserve"> </w:t>
            </w:r>
            <w:r w:rsidRPr="00814C24">
              <w:rPr>
                <w:color w:val="000000" w:themeColor="text1"/>
                <w:sz w:val="24"/>
                <w:szCs w:val="24"/>
              </w:rPr>
              <w:t>este</w:t>
            </w:r>
            <w:r w:rsidRPr="00814C24">
              <w:rPr>
                <w:color w:val="000000" w:themeColor="text1"/>
                <w:spacing w:val="-2"/>
                <w:sz w:val="24"/>
                <w:szCs w:val="24"/>
              </w:rPr>
              <w:t xml:space="preserve"> </w:t>
            </w:r>
            <w:r w:rsidRPr="00814C24">
              <w:rPr>
                <w:color w:val="000000" w:themeColor="text1"/>
                <w:sz w:val="24"/>
                <w:szCs w:val="24"/>
              </w:rPr>
              <w:t>„necunoscută”</w:t>
            </w:r>
            <w:r w:rsidRPr="00814C24">
              <w:rPr>
                <w:color w:val="000000" w:themeColor="text1"/>
                <w:spacing w:val="-1"/>
                <w:sz w:val="24"/>
                <w:szCs w:val="24"/>
              </w:rPr>
              <w:t xml:space="preserve"> </w:t>
            </w:r>
            <w:r w:rsidRPr="00814C24">
              <w:rPr>
                <w:color w:val="000000" w:themeColor="text1"/>
                <w:sz w:val="24"/>
                <w:szCs w:val="24"/>
              </w:rPr>
              <w:t>dacă:</w:t>
            </w:r>
          </w:p>
          <w:p w14:paraId="45F77D02" w14:textId="77777777" w:rsidR="006735BF" w:rsidRPr="00814C24" w:rsidRDefault="006735BF" w:rsidP="008E33FD">
            <w:pPr>
              <w:pStyle w:val="TableParagraph"/>
              <w:spacing w:before="1" w:line="230" w:lineRule="auto"/>
              <w:ind w:left="107" w:right="1341" w:firstLine="360"/>
              <w:jc w:val="both"/>
              <w:rPr>
                <w:color w:val="000000" w:themeColor="text1"/>
                <w:sz w:val="24"/>
                <w:szCs w:val="24"/>
              </w:rPr>
            </w:pPr>
            <w:r w:rsidRPr="00814C24">
              <w:rPr>
                <w:color w:val="000000" w:themeColor="text1"/>
                <w:sz w:val="24"/>
                <w:szCs w:val="24"/>
              </w:rPr>
              <w:t>-</w:t>
            </w:r>
            <w:r w:rsidRPr="00814C24">
              <w:rPr>
                <w:color w:val="000000" w:themeColor="text1"/>
                <w:spacing w:val="1"/>
                <w:sz w:val="24"/>
                <w:szCs w:val="24"/>
              </w:rPr>
              <w:t xml:space="preserve"> </w:t>
            </w:r>
            <w:r w:rsidRPr="00814C24">
              <w:rPr>
                <w:color w:val="000000" w:themeColor="text1"/>
                <w:sz w:val="24"/>
                <w:szCs w:val="24"/>
              </w:rPr>
              <w:t>nu există informații fiabile sau insuficiente disponibile.</w:t>
            </w:r>
            <w:r w:rsidRPr="00814C24">
              <w:rPr>
                <w:color w:val="000000" w:themeColor="text1"/>
                <w:spacing w:val="-57"/>
                <w:sz w:val="24"/>
                <w:szCs w:val="24"/>
              </w:rPr>
              <w:t xml:space="preserve"> </w:t>
            </w:r>
            <w:r w:rsidRPr="00814C24">
              <w:rPr>
                <w:color w:val="000000" w:themeColor="text1"/>
                <w:sz w:val="24"/>
                <w:szCs w:val="24"/>
              </w:rPr>
              <w:t>Observații</w:t>
            </w:r>
            <w:r w:rsidRPr="00814C24">
              <w:rPr>
                <w:color w:val="000000" w:themeColor="text1"/>
                <w:spacing w:val="-1"/>
                <w:sz w:val="24"/>
                <w:szCs w:val="24"/>
              </w:rPr>
              <w:t xml:space="preserve"> </w:t>
            </w:r>
            <w:r w:rsidRPr="00814C24">
              <w:rPr>
                <w:color w:val="000000" w:themeColor="text1"/>
                <w:sz w:val="24"/>
                <w:szCs w:val="24"/>
              </w:rPr>
              <w:t>complementare:</w:t>
            </w:r>
          </w:p>
          <w:p w14:paraId="4283848D" w14:textId="77777777" w:rsidR="006735BF" w:rsidRPr="00814C24" w:rsidRDefault="006735BF" w:rsidP="008E33FD">
            <w:pPr>
              <w:pStyle w:val="TableParagraph"/>
              <w:spacing w:line="270" w:lineRule="atLeast"/>
              <w:ind w:left="141" w:right="100" w:hanging="10"/>
              <w:jc w:val="both"/>
              <w:rPr>
                <w:color w:val="000000" w:themeColor="text1"/>
                <w:sz w:val="24"/>
                <w:szCs w:val="24"/>
              </w:rPr>
            </w:pPr>
            <w:r w:rsidRPr="00814C24">
              <w:rPr>
                <w:color w:val="000000" w:themeColor="text1"/>
                <w:sz w:val="24"/>
                <w:szCs w:val="24"/>
              </w:rPr>
              <w:t>Perspectivele</w:t>
            </w:r>
            <w:r w:rsidRPr="00814C24">
              <w:rPr>
                <w:color w:val="000000" w:themeColor="text1"/>
                <w:spacing w:val="36"/>
                <w:sz w:val="24"/>
                <w:szCs w:val="24"/>
              </w:rPr>
              <w:t xml:space="preserve"> </w:t>
            </w:r>
            <w:r w:rsidRPr="00814C24">
              <w:rPr>
                <w:color w:val="000000" w:themeColor="text1"/>
                <w:sz w:val="24"/>
                <w:szCs w:val="24"/>
              </w:rPr>
              <w:t>de</w:t>
            </w:r>
            <w:r w:rsidRPr="00814C24">
              <w:rPr>
                <w:color w:val="000000" w:themeColor="text1"/>
                <w:spacing w:val="37"/>
                <w:sz w:val="24"/>
                <w:szCs w:val="24"/>
              </w:rPr>
              <w:t xml:space="preserve"> </w:t>
            </w:r>
            <w:r w:rsidRPr="00814C24">
              <w:rPr>
                <w:color w:val="000000" w:themeColor="text1"/>
                <w:sz w:val="24"/>
                <w:szCs w:val="24"/>
              </w:rPr>
              <w:t>viitor</w:t>
            </w:r>
            <w:r w:rsidRPr="00814C24">
              <w:rPr>
                <w:color w:val="000000" w:themeColor="text1"/>
                <w:spacing w:val="37"/>
                <w:sz w:val="24"/>
                <w:szCs w:val="24"/>
              </w:rPr>
              <w:t xml:space="preserve"> </w:t>
            </w:r>
            <w:r w:rsidRPr="00814C24">
              <w:rPr>
                <w:color w:val="000000" w:themeColor="text1"/>
                <w:sz w:val="24"/>
                <w:szCs w:val="24"/>
              </w:rPr>
              <w:t>ar</w:t>
            </w:r>
            <w:r w:rsidRPr="00814C24">
              <w:rPr>
                <w:color w:val="000000" w:themeColor="text1"/>
                <w:spacing w:val="37"/>
                <w:sz w:val="24"/>
                <w:szCs w:val="24"/>
              </w:rPr>
              <w:t xml:space="preserve"> </w:t>
            </w:r>
            <w:r w:rsidRPr="00814C24">
              <w:rPr>
                <w:color w:val="000000" w:themeColor="text1"/>
                <w:sz w:val="24"/>
                <w:szCs w:val="24"/>
              </w:rPr>
              <w:t>trebui</w:t>
            </w:r>
            <w:r w:rsidRPr="00814C24">
              <w:rPr>
                <w:color w:val="000000" w:themeColor="text1"/>
                <w:spacing w:val="37"/>
                <w:sz w:val="24"/>
                <w:szCs w:val="24"/>
              </w:rPr>
              <w:t xml:space="preserve"> </w:t>
            </w:r>
            <w:r w:rsidRPr="00814C24">
              <w:rPr>
                <w:color w:val="000000" w:themeColor="text1"/>
                <w:sz w:val="24"/>
                <w:szCs w:val="24"/>
              </w:rPr>
              <w:t>evaluate</w:t>
            </w:r>
            <w:r w:rsidRPr="00814C24">
              <w:rPr>
                <w:color w:val="000000" w:themeColor="text1"/>
                <w:spacing w:val="39"/>
                <w:sz w:val="24"/>
                <w:szCs w:val="24"/>
              </w:rPr>
              <w:t xml:space="preserve"> </w:t>
            </w:r>
            <w:r w:rsidRPr="00814C24">
              <w:rPr>
                <w:color w:val="000000" w:themeColor="text1"/>
                <w:sz w:val="24"/>
                <w:szCs w:val="24"/>
              </w:rPr>
              <w:t>ca</w:t>
            </w:r>
            <w:r w:rsidRPr="00814C24">
              <w:rPr>
                <w:color w:val="000000" w:themeColor="text1"/>
                <w:spacing w:val="36"/>
                <w:sz w:val="24"/>
                <w:szCs w:val="24"/>
              </w:rPr>
              <w:t xml:space="preserve"> </w:t>
            </w:r>
            <w:r w:rsidRPr="00814C24">
              <w:rPr>
                <w:color w:val="000000" w:themeColor="text1"/>
                <w:sz w:val="24"/>
                <w:szCs w:val="24"/>
              </w:rPr>
              <w:t>„necunoscute”</w:t>
            </w:r>
            <w:r w:rsidRPr="00814C24">
              <w:rPr>
                <w:color w:val="000000" w:themeColor="text1"/>
                <w:spacing w:val="36"/>
                <w:sz w:val="24"/>
                <w:szCs w:val="24"/>
              </w:rPr>
              <w:t xml:space="preserve"> </w:t>
            </w:r>
            <w:r w:rsidRPr="00814C24">
              <w:rPr>
                <w:color w:val="000000" w:themeColor="text1"/>
                <w:sz w:val="24"/>
                <w:szCs w:val="24"/>
              </w:rPr>
              <w:t>dacă</w:t>
            </w:r>
            <w:r w:rsidRPr="00814C24">
              <w:rPr>
                <w:color w:val="000000" w:themeColor="text1"/>
                <w:spacing w:val="36"/>
                <w:sz w:val="24"/>
                <w:szCs w:val="24"/>
              </w:rPr>
              <w:t xml:space="preserve"> </w:t>
            </w:r>
            <w:r w:rsidRPr="00814C24">
              <w:rPr>
                <w:color w:val="000000" w:themeColor="text1"/>
                <w:sz w:val="24"/>
                <w:szCs w:val="24"/>
              </w:rPr>
              <w:t>doi</w:t>
            </w:r>
            <w:r w:rsidRPr="00814C24">
              <w:rPr>
                <w:color w:val="000000" w:themeColor="text1"/>
                <w:spacing w:val="38"/>
                <w:sz w:val="24"/>
                <w:szCs w:val="24"/>
              </w:rPr>
              <w:t xml:space="preserve"> </w:t>
            </w:r>
            <w:r w:rsidRPr="00814C24">
              <w:rPr>
                <w:color w:val="000000" w:themeColor="text1"/>
                <w:sz w:val="24"/>
                <w:szCs w:val="24"/>
              </w:rPr>
              <w:t>sau</w:t>
            </w:r>
            <w:r w:rsidRPr="00814C24">
              <w:rPr>
                <w:color w:val="000000" w:themeColor="text1"/>
                <w:spacing w:val="-58"/>
                <w:sz w:val="24"/>
                <w:szCs w:val="24"/>
              </w:rPr>
              <w:t xml:space="preserve"> </w:t>
            </w:r>
            <w:r w:rsidRPr="00814C24">
              <w:rPr>
                <w:color w:val="000000" w:themeColor="text1"/>
                <w:sz w:val="24"/>
                <w:szCs w:val="24"/>
              </w:rPr>
              <w:t>mai mulți parametri au perspective „necunoscute” și dacă niciun parametru</w:t>
            </w:r>
            <w:r w:rsidRPr="00814C24">
              <w:rPr>
                <w:color w:val="000000" w:themeColor="text1"/>
                <w:spacing w:val="-57"/>
                <w:sz w:val="24"/>
                <w:szCs w:val="24"/>
              </w:rPr>
              <w:t xml:space="preserve"> </w:t>
            </w:r>
            <w:r w:rsidRPr="00814C24">
              <w:rPr>
                <w:color w:val="000000" w:themeColor="text1"/>
                <w:sz w:val="24"/>
                <w:szCs w:val="24"/>
              </w:rPr>
              <w:t>nu</w:t>
            </w:r>
            <w:r w:rsidRPr="00814C24">
              <w:rPr>
                <w:color w:val="000000" w:themeColor="text1"/>
                <w:spacing w:val="-1"/>
                <w:sz w:val="24"/>
                <w:szCs w:val="24"/>
              </w:rPr>
              <w:t xml:space="preserve"> </w:t>
            </w:r>
            <w:r w:rsidRPr="00814C24">
              <w:rPr>
                <w:color w:val="000000" w:themeColor="text1"/>
                <w:sz w:val="24"/>
                <w:szCs w:val="24"/>
              </w:rPr>
              <w:t>are</w:t>
            </w:r>
            <w:r w:rsidRPr="00814C24">
              <w:rPr>
                <w:color w:val="000000" w:themeColor="text1"/>
                <w:spacing w:val="-2"/>
                <w:sz w:val="24"/>
                <w:szCs w:val="24"/>
              </w:rPr>
              <w:t xml:space="preserve"> </w:t>
            </w:r>
            <w:r w:rsidRPr="00814C24">
              <w:rPr>
                <w:color w:val="000000" w:themeColor="text1"/>
                <w:sz w:val="24"/>
                <w:szCs w:val="24"/>
              </w:rPr>
              <w:t>perspective</w:t>
            </w:r>
            <w:r w:rsidRPr="00814C24">
              <w:rPr>
                <w:color w:val="000000" w:themeColor="text1"/>
                <w:spacing w:val="-1"/>
                <w:sz w:val="24"/>
                <w:szCs w:val="24"/>
              </w:rPr>
              <w:t xml:space="preserve"> </w:t>
            </w:r>
            <w:r w:rsidRPr="00814C24">
              <w:rPr>
                <w:color w:val="000000" w:themeColor="text1"/>
                <w:sz w:val="24"/>
                <w:szCs w:val="24"/>
              </w:rPr>
              <w:t>„proaste”</w:t>
            </w:r>
            <w:r w:rsidRPr="00814C24">
              <w:rPr>
                <w:color w:val="000000" w:themeColor="text1"/>
                <w:spacing w:val="-2"/>
                <w:sz w:val="24"/>
                <w:szCs w:val="24"/>
              </w:rPr>
              <w:t xml:space="preserve"> </w:t>
            </w:r>
            <w:r w:rsidRPr="00814C24">
              <w:rPr>
                <w:color w:val="000000" w:themeColor="text1"/>
                <w:sz w:val="24"/>
                <w:szCs w:val="24"/>
              </w:rPr>
              <w:t>(câmpul 9.1).</w:t>
            </w:r>
          </w:p>
        </w:tc>
      </w:tr>
    </w:tbl>
    <w:p w14:paraId="4FDE84CB" w14:textId="77777777" w:rsidR="00F87C76" w:rsidRPr="00814C24" w:rsidRDefault="00F87C76" w:rsidP="008E33FD">
      <w:pPr>
        <w:pStyle w:val="Heading1"/>
        <w:keepNext w:val="0"/>
        <w:keepLines w:val="0"/>
        <w:tabs>
          <w:tab w:val="left" w:pos="1115"/>
        </w:tabs>
        <w:adjustRightInd/>
        <w:spacing w:before="70"/>
        <w:ind w:right="671"/>
        <w:jc w:val="both"/>
        <w:rPr>
          <w:rFonts w:ascii="Times New Roman" w:eastAsia="Times New Roman" w:hAnsi="Times New Roman" w:cs="Times New Roman"/>
          <w:color w:val="000000" w:themeColor="text1"/>
          <w:sz w:val="24"/>
          <w:szCs w:val="24"/>
          <w:lang w:val="ro-RO"/>
        </w:rPr>
      </w:pPr>
    </w:p>
    <w:p w14:paraId="269943A1" w14:textId="77777777" w:rsidR="006735BF" w:rsidRPr="00C56257" w:rsidRDefault="00F87C76" w:rsidP="00FC74DD">
      <w:pPr>
        <w:pStyle w:val="Heading1"/>
        <w:keepNext w:val="0"/>
        <w:keepLines w:val="0"/>
        <w:tabs>
          <w:tab w:val="left" w:pos="1115"/>
        </w:tabs>
        <w:adjustRightInd/>
        <w:spacing w:before="70"/>
        <w:ind w:right="-76"/>
        <w:jc w:val="both"/>
        <w:rPr>
          <w:rFonts w:ascii="Times New Roman" w:hAnsi="Times New Roman" w:cs="Times New Roman"/>
          <w:color w:val="000000" w:themeColor="text1"/>
          <w:sz w:val="24"/>
          <w:szCs w:val="24"/>
          <w:lang w:val="fr-FR"/>
        </w:rPr>
      </w:pPr>
      <w:proofErr w:type="spellStart"/>
      <w:r w:rsidRPr="00814C24">
        <w:rPr>
          <w:rFonts w:ascii="Times New Roman" w:hAnsi="Times New Roman" w:cs="Times New Roman"/>
          <w:color w:val="000000" w:themeColor="text1"/>
          <w:sz w:val="24"/>
          <w:szCs w:val="24"/>
          <w:lang w:val="fr-FR"/>
        </w:rPr>
        <w:t>Siturile</w:t>
      </w:r>
      <w:proofErr w:type="spellEnd"/>
      <w:r w:rsidR="006735BF" w:rsidRPr="00814C24">
        <w:rPr>
          <w:rFonts w:ascii="Times New Roman" w:hAnsi="Times New Roman" w:cs="Times New Roman"/>
          <w:color w:val="000000" w:themeColor="text1"/>
          <w:spacing w:val="-5"/>
          <w:sz w:val="24"/>
          <w:szCs w:val="24"/>
          <w:lang w:val="fr-FR"/>
        </w:rPr>
        <w:t xml:space="preserve"> </w:t>
      </w:r>
      <w:proofErr w:type="spellStart"/>
      <w:r w:rsidRPr="00814C24">
        <w:rPr>
          <w:rFonts w:ascii="Times New Roman" w:hAnsi="Times New Roman" w:cs="Times New Roman"/>
          <w:color w:val="000000" w:themeColor="text1"/>
          <w:sz w:val="24"/>
          <w:szCs w:val="24"/>
          <w:lang w:val="fr-FR"/>
        </w:rPr>
        <w:t>natura</w:t>
      </w:r>
      <w:proofErr w:type="spellEnd"/>
      <w:r w:rsidR="006735BF" w:rsidRPr="00814C24">
        <w:rPr>
          <w:rFonts w:ascii="Times New Roman" w:hAnsi="Times New Roman" w:cs="Times New Roman"/>
          <w:color w:val="000000" w:themeColor="text1"/>
          <w:spacing w:val="-5"/>
          <w:sz w:val="24"/>
          <w:szCs w:val="24"/>
          <w:lang w:val="fr-FR"/>
        </w:rPr>
        <w:t xml:space="preserve"> </w:t>
      </w:r>
      <w:r w:rsidR="006735BF" w:rsidRPr="00814C24">
        <w:rPr>
          <w:rFonts w:ascii="Times New Roman" w:hAnsi="Times New Roman" w:cs="Times New Roman"/>
          <w:color w:val="000000" w:themeColor="text1"/>
          <w:sz w:val="24"/>
          <w:szCs w:val="24"/>
          <w:lang w:val="fr-FR"/>
        </w:rPr>
        <w:t>2000</w:t>
      </w:r>
      <w:r w:rsidR="006735BF" w:rsidRPr="00814C24">
        <w:rPr>
          <w:rFonts w:ascii="Times New Roman" w:hAnsi="Times New Roman" w:cs="Times New Roman"/>
          <w:color w:val="000000" w:themeColor="text1"/>
          <w:spacing w:val="-4"/>
          <w:sz w:val="24"/>
          <w:szCs w:val="24"/>
          <w:lang w:val="fr-FR"/>
        </w:rPr>
        <w:t xml:space="preserve"> </w:t>
      </w:r>
      <w:r w:rsidRPr="00814C24">
        <w:rPr>
          <w:rFonts w:ascii="Times New Roman" w:hAnsi="Times New Roman" w:cs="Times New Roman"/>
          <w:color w:val="000000" w:themeColor="text1"/>
          <w:sz w:val="24"/>
          <w:szCs w:val="24"/>
          <w:lang w:val="fr-FR"/>
        </w:rPr>
        <w:t>(</w:t>
      </w:r>
      <w:proofErr w:type="spellStart"/>
      <w:r w:rsidRPr="00814C24">
        <w:rPr>
          <w:rFonts w:ascii="Times New Roman" w:hAnsi="Times New Roman" w:cs="Times New Roman"/>
          <w:color w:val="000000" w:themeColor="text1"/>
          <w:sz w:val="24"/>
          <w:szCs w:val="24"/>
          <w:lang w:val="fr-FR"/>
        </w:rPr>
        <w:t>p</w:t>
      </w:r>
      <w:r w:rsidR="00D54D46" w:rsidRPr="00814C24">
        <w:rPr>
          <w:rFonts w:ascii="Times New Roman" w:hAnsi="Times New Roman" w:cs="Times New Roman"/>
          <w:color w:val="000000" w:themeColor="text1"/>
          <w:sz w:val="24"/>
          <w:szCs w:val="24"/>
          <w:lang w:val="fr-FR"/>
        </w:rPr>
        <w:t>SCI</w:t>
      </w:r>
      <w:proofErr w:type="spellEnd"/>
      <w:r w:rsidRPr="00814C24">
        <w:rPr>
          <w:rFonts w:ascii="Times New Roman" w:hAnsi="Times New Roman" w:cs="Times New Roman"/>
          <w:color w:val="000000" w:themeColor="text1"/>
          <w:sz w:val="24"/>
          <w:szCs w:val="24"/>
          <w:lang w:val="fr-FR"/>
        </w:rPr>
        <w:t>,</w:t>
      </w:r>
      <w:r w:rsidR="006735BF" w:rsidRPr="00814C24">
        <w:rPr>
          <w:rFonts w:ascii="Times New Roman" w:hAnsi="Times New Roman" w:cs="Times New Roman"/>
          <w:color w:val="000000" w:themeColor="text1"/>
          <w:spacing w:val="-6"/>
          <w:sz w:val="24"/>
          <w:szCs w:val="24"/>
          <w:lang w:val="fr-FR"/>
        </w:rPr>
        <w:t xml:space="preserve"> </w:t>
      </w:r>
      <w:r w:rsidR="00D54D46" w:rsidRPr="00814C24">
        <w:rPr>
          <w:rFonts w:ascii="Times New Roman" w:hAnsi="Times New Roman" w:cs="Times New Roman"/>
          <w:color w:val="000000" w:themeColor="text1"/>
          <w:sz w:val="24"/>
          <w:szCs w:val="24"/>
          <w:lang w:val="fr-FR"/>
        </w:rPr>
        <w:t>SCI</w:t>
      </w:r>
      <w:r w:rsidRPr="00814C24">
        <w:rPr>
          <w:rFonts w:ascii="Times New Roman" w:hAnsi="Times New Roman" w:cs="Times New Roman"/>
          <w:color w:val="000000" w:themeColor="text1"/>
          <w:sz w:val="24"/>
          <w:szCs w:val="24"/>
          <w:lang w:val="fr-FR"/>
        </w:rPr>
        <w:t>)</w:t>
      </w:r>
      <w:r w:rsidR="006735BF" w:rsidRPr="00814C24">
        <w:rPr>
          <w:rFonts w:ascii="Times New Roman" w:hAnsi="Times New Roman" w:cs="Times New Roman"/>
          <w:color w:val="000000" w:themeColor="text1"/>
          <w:spacing w:val="-3"/>
          <w:sz w:val="24"/>
          <w:szCs w:val="24"/>
          <w:lang w:val="fr-FR"/>
        </w:rPr>
        <w:t xml:space="preserve"> </w:t>
      </w:r>
      <w:proofErr w:type="spellStart"/>
      <w:r w:rsidRPr="00814C24">
        <w:rPr>
          <w:rFonts w:ascii="Times New Roman" w:hAnsi="Times New Roman" w:cs="Times New Roman"/>
          <w:color w:val="000000" w:themeColor="text1"/>
          <w:sz w:val="24"/>
          <w:szCs w:val="24"/>
          <w:lang w:val="fr-FR"/>
        </w:rPr>
        <w:t>pentru</w:t>
      </w:r>
      <w:proofErr w:type="spellEnd"/>
      <w:r w:rsidR="006735BF" w:rsidRPr="00814C24">
        <w:rPr>
          <w:rFonts w:ascii="Times New Roman" w:hAnsi="Times New Roman" w:cs="Times New Roman"/>
          <w:color w:val="000000" w:themeColor="text1"/>
          <w:spacing w:val="-4"/>
          <w:sz w:val="24"/>
          <w:szCs w:val="24"/>
          <w:lang w:val="fr-FR"/>
        </w:rPr>
        <w:t xml:space="preserve"> </w:t>
      </w:r>
      <w:proofErr w:type="spellStart"/>
      <w:r w:rsidRPr="00814C24">
        <w:rPr>
          <w:rFonts w:ascii="Times New Roman" w:hAnsi="Times New Roman" w:cs="Times New Roman"/>
          <w:color w:val="000000" w:themeColor="text1"/>
          <w:sz w:val="24"/>
          <w:szCs w:val="24"/>
          <w:lang w:val="fr-FR"/>
        </w:rPr>
        <w:t>tipurile</w:t>
      </w:r>
      <w:proofErr w:type="spellEnd"/>
      <w:r w:rsidR="006735BF" w:rsidRPr="00C56257">
        <w:rPr>
          <w:rFonts w:ascii="Times New Roman" w:hAnsi="Times New Roman" w:cs="Times New Roman"/>
          <w:color w:val="000000" w:themeColor="text1"/>
          <w:spacing w:val="-3"/>
          <w:sz w:val="24"/>
          <w:szCs w:val="24"/>
          <w:lang w:val="fr-FR"/>
        </w:rPr>
        <w:t xml:space="preserve"> </w:t>
      </w:r>
      <w:r w:rsidRPr="00C56257">
        <w:rPr>
          <w:rFonts w:ascii="Times New Roman" w:hAnsi="Times New Roman" w:cs="Times New Roman"/>
          <w:color w:val="000000" w:themeColor="text1"/>
          <w:sz w:val="24"/>
          <w:szCs w:val="24"/>
          <w:lang w:val="fr-FR"/>
        </w:rPr>
        <w:t>de</w:t>
      </w:r>
      <w:r w:rsidR="006735BF" w:rsidRPr="00C56257">
        <w:rPr>
          <w:rFonts w:ascii="Times New Roman" w:hAnsi="Times New Roman" w:cs="Times New Roman"/>
          <w:color w:val="000000" w:themeColor="text1"/>
          <w:spacing w:val="-68"/>
          <w:sz w:val="24"/>
          <w:szCs w:val="24"/>
          <w:lang w:val="fr-FR"/>
        </w:rPr>
        <w:t xml:space="preserve"> </w:t>
      </w:r>
      <w:proofErr w:type="spellStart"/>
      <w:r w:rsidR="000F0C93" w:rsidRPr="00C56257">
        <w:rPr>
          <w:rFonts w:ascii="Times New Roman" w:hAnsi="Times New Roman" w:cs="Times New Roman"/>
          <w:color w:val="000000" w:themeColor="text1"/>
          <w:sz w:val="24"/>
          <w:szCs w:val="24"/>
          <w:lang w:val="fr-FR"/>
        </w:rPr>
        <w:t>habitate</w:t>
      </w:r>
      <w:proofErr w:type="spellEnd"/>
      <w:r w:rsidR="000F0C93" w:rsidRPr="00C56257">
        <w:rPr>
          <w:rFonts w:ascii="Times New Roman" w:hAnsi="Times New Roman" w:cs="Times New Roman"/>
          <w:color w:val="000000" w:themeColor="text1"/>
          <w:sz w:val="24"/>
          <w:szCs w:val="24"/>
          <w:lang w:val="fr-FR"/>
        </w:rPr>
        <w:t xml:space="preserve"> de </w:t>
      </w:r>
      <w:proofErr w:type="spellStart"/>
      <w:r w:rsidR="000F0C93" w:rsidRPr="00C56257">
        <w:rPr>
          <w:rFonts w:ascii="Times New Roman" w:hAnsi="Times New Roman" w:cs="Times New Roman"/>
          <w:color w:val="000000" w:themeColor="text1"/>
          <w:sz w:val="24"/>
          <w:szCs w:val="24"/>
          <w:lang w:val="fr-FR"/>
        </w:rPr>
        <w:t>pajiști</w:t>
      </w:r>
      <w:proofErr w:type="spellEnd"/>
      <w:r w:rsidR="000F0C93" w:rsidRPr="00C56257">
        <w:rPr>
          <w:rFonts w:ascii="Times New Roman" w:hAnsi="Times New Roman" w:cs="Times New Roman"/>
          <w:color w:val="000000" w:themeColor="text1"/>
          <w:sz w:val="24"/>
          <w:szCs w:val="24"/>
          <w:lang w:val="fr-FR"/>
        </w:rPr>
        <w:t xml:space="preserve"> </w:t>
      </w:r>
      <w:proofErr w:type="spellStart"/>
      <w:r w:rsidR="000F0C93" w:rsidRPr="00C56257">
        <w:rPr>
          <w:rFonts w:ascii="Times New Roman" w:hAnsi="Times New Roman" w:cs="Times New Roman"/>
          <w:color w:val="000000" w:themeColor="text1"/>
          <w:sz w:val="24"/>
          <w:szCs w:val="24"/>
          <w:lang w:val="fr-FR"/>
        </w:rPr>
        <w:t>din</w:t>
      </w:r>
      <w:proofErr w:type="spellEnd"/>
      <w:r w:rsidR="000F0C93" w:rsidRPr="00C56257">
        <w:rPr>
          <w:rFonts w:ascii="Times New Roman" w:hAnsi="Times New Roman" w:cs="Times New Roman"/>
          <w:color w:val="000000" w:themeColor="text1"/>
          <w:sz w:val="24"/>
          <w:szCs w:val="24"/>
          <w:lang w:val="fr-FR"/>
        </w:rPr>
        <w:t xml:space="preserve"> </w:t>
      </w:r>
      <w:proofErr w:type="spellStart"/>
      <w:r w:rsidR="000F0C93" w:rsidRPr="00C56257">
        <w:rPr>
          <w:rFonts w:ascii="Times New Roman" w:hAnsi="Times New Roman" w:cs="Times New Roman"/>
          <w:color w:val="000000" w:themeColor="text1"/>
          <w:sz w:val="24"/>
          <w:szCs w:val="24"/>
          <w:lang w:val="fr-FR"/>
        </w:rPr>
        <w:t>anexa</w:t>
      </w:r>
      <w:proofErr w:type="spellEnd"/>
      <w:r w:rsidR="000F0C93" w:rsidRPr="00C56257">
        <w:rPr>
          <w:rFonts w:ascii="Times New Roman" w:hAnsi="Times New Roman" w:cs="Times New Roman"/>
          <w:color w:val="000000" w:themeColor="text1"/>
          <w:sz w:val="24"/>
          <w:szCs w:val="24"/>
          <w:lang w:val="fr-FR"/>
        </w:rPr>
        <w:t xml:space="preserve"> I a </w:t>
      </w:r>
      <w:proofErr w:type="spellStart"/>
      <w:r w:rsidR="000F0C93" w:rsidRPr="00C56257">
        <w:rPr>
          <w:rFonts w:ascii="Times New Roman" w:hAnsi="Times New Roman" w:cs="Times New Roman"/>
          <w:color w:val="000000" w:themeColor="text1"/>
          <w:sz w:val="24"/>
          <w:szCs w:val="24"/>
          <w:lang w:val="fr-FR"/>
        </w:rPr>
        <w:t>D</w:t>
      </w:r>
      <w:r w:rsidRPr="00C56257">
        <w:rPr>
          <w:rFonts w:ascii="Times New Roman" w:hAnsi="Times New Roman" w:cs="Times New Roman"/>
          <w:color w:val="000000" w:themeColor="text1"/>
          <w:sz w:val="24"/>
          <w:szCs w:val="24"/>
          <w:lang w:val="fr-FR"/>
        </w:rPr>
        <w:t>irectivei</w:t>
      </w:r>
      <w:proofErr w:type="spellEnd"/>
      <w:r w:rsidR="006735BF" w:rsidRPr="00C56257">
        <w:rPr>
          <w:rFonts w:ascii="Times New Roman" w:hAnsi="Times New Roman" w:cs="Times New Roman"/>
          <w:color w:val="000000" w:themeColor="text1"/>
          <w:spacing w:val="1"/>
          <w:sz w:val="24"/>
          <w:szCs w:val="24"/>
          <w:lang w:val="fr-FR"/>
        </w:rPr>
        <w:t xml:space="preserve"> </w:t>
      </w:r>
      <w:proofErr w:type="spellStart"/>
      <w:r w:rsidR="000F0C93" w:rsidRPr="00C56257">
        <w:rPr>
          <w:rFonts w:ascii="Times New Roman" w:hAnsi="Times New Roman" w:cs="Times New Roman"/>
          <w:color w:val="000000" w:themeColor="text1"/>
          <w:sz w:val="24"/>
          <w:szCs w:val="24"/>
          <w:lang w:val="fr-FR"/>
        </w:rPr>
        <w:t>H</w:t>
      </w:r>
      <w:r w:rsidRPr="00C56257">
        <w:rPr>
          <w:rFonts w:ascii="Times New Roman" w:hAnsi="Times New Roman" w:cs="Times New Roman"/>
          <w:color w:val="000000" w:themeColor="text1"/>
          <w:sz w:val="24"/>
          <w:szCs w:val="24"/>
          <w:lang w:val="fr-FR"/>
        </w:rPr>
        <w:t>abitate</w:t>
      </w:r>
      <w:proofErr w:type="spellEnd"/>
    </w:p>
    <w:p w14:paraId="60C42FD5" w14:textId="77777777" w:rsidR="006735BF" w:rsidRPr="00C56257" w:rsidRDefault="006735BF" w:rsidP="00FC74DD">
      <w:pPr>
        <w:pStyle w:val="BodyText"/>
        <w:spacing w:before="11"/>
        <w:ind w:left="0" w:right="-76"/>
        <w:jc w:val="both"/>
        <w:rPr>
          <w:b/>
          <w:color w:val="000000" w:themeColor="text1"/>
          <w:sz w:val="24"/>
          <w:szCs w:val="24"/>
          <w:lang w:val="fr-FR"/>
        </w:rPr>
      </w:pPr>
    </w:p>
    <w:p w14:paraId="616BEEFF" w14:textId="77777777" w:rsidR="006735BF" w:rsidRPr="00C56257" w:rsidRDefault="00D54D46" w:rsidP="00FC74DD">
      <w:pPr>
        <w:pStyle w:val="BodyText"/>
        <w:spacing w:before="1"/>
        <w:ind w:left="0" w:right="-76"/>
        <w:jc w:val="both"/>
        <w:rPr>
          <w:color w:val="000000" w:themeColor="text1"/>
          <w:sz w:val="24"/>
          <w:szCs w:val="24"/>
        </w:rPr>
      </w:pPr>
      <w:proofErr w:type="spellStart"/>
      <w:r>
        <w:rPr>
          <w:color w:val="000000" w:themeColor="text1"/>
          <w:sz w:val="24"/>
          <w:szCs w:val="24"/>
        </w:rPr>
        <w:t>În</w:t>
      </w:r>
      <w:proofErr w:type="spellEnd"/>
      <w:r>
        <w:rPr>
          <w:color w:val="000000" w:themeColor="text1"/>
          <w:sz w:val="24"/>
          <w:szCs w:val="24"/>
        </w:rPr>
        <w:t xml:space="preserve"> </w:t>
      </w:r>
      <w:proofErr w:type="spellStart"/>
      <w:r w:rsidR="006735BF" w:rsidRPr="00C56257">
        <w:rPr>
          <w:color w:val="000000" w:themeColor="text1"/>
          <w:sz w:val="24"/>
          <w:szCs w:val="24"/>
        </w:rPr>
        <w:t>vederea</w:t>
      </w:r>
      <w:proofErr w:type="spellEnd"/>
      <w:r w:rsidR="006735BF" w:rsidRPr="00C56257">
        <w:rPr>
          <w:color w:val="000000" w:themeColor="text1"/>
          <w:spacing w:val="1"/>
          <w:sz w:val="24"/>
          <w:szCs w:val="24"/>
        </w:rPr>
        <w:t xml:space="preserve"> </w:t>
      </w:r>
      <w:proofErr w:type="spellStart"/>
      <w:r w:rsidR="006735BF" w:rsidRPr="00C56257">
        <w:rPr>
          <w:color w:val="000000" w:themeColor="text1"/>
          <w:sz w:val="24"/>
          <w:szCs w:val="24"/>
        </w:rPr>
        <w:t>stabilirii</w:t>
      </w:r>
      <w:proofErr w:type="spellEnd"/>
      <w:r w:rsidR="006735BF" w:rsidRPr="00C56257">
        <w:rPr>
          <w:color w:val="000000" w:themeColor="text1"/>
          <w:spacing w:val="1"/>
          <w:sz w:val="24"/>
          <w:szCs w:val="24"/>
        </w:rPr>
        <w:t xml:space="preserve"> </w:t>
      </w:r>
      <w:proofErr w:type="spellStart"/>
      <w:r w:rsidR="006735BF" w:rsidRPr="00C56257">
        <w:rPr>
          <w:color w:val="000000" w:themeColor="text1"/>
          <w:sz w:val="24"/>
          <w:szCs w:val="24"/>
        </w:rPr>
        <w:t>măsurilor</w:t>
      </w:r>
      <w:proofErr w:type="spellEnd"/>
      <w:r w:rsidR="006735BF" w:rsidRPr="00C56257">
        <w:rPr>
          <w:color w:val="000000" w:themeColor="text1"/>
          <w:spacing w:val="1"/>
          <w:sz w:val="24"/>
          <w:szCs w:val="24"/>
        </w:rPr>
        <w:t xml:space="preserve"> </w:t>
      </w:r>
      <w:proofErr w:type="spellStart"/>
      <w:r w:rsidR="006735BF" w:rsidRPr="00C56257">
        <w:rPr>
          <w:color w:val="000000" w:themeColor="text1"/>
          <w:sz w:val="24"/>
          <w:szCs w:val="24"/>
        </w:rPr>
        <w:t>specifice</w:t>
      </w:r>
      <w:proofErr w:type="spellEnd"/>
      <w:r w:rsidR="006735BF" w:rsidRPr="00C56257">
        <w:rPr>
          <w:color w:val="000000" w:themeColor="text1"/>
          <w:sz w:val="24"/>
          <w:szCs w:val="24"/>
        </w:rPr>
        <w:t>/</w:t>
      </w:r>
      <w:proofErr w:type="spellStart"/>
      <w:r w:rsidR="006735BF" w:rsidRPr="00C56257">
        <w:rPr>
          <w:color w:val="000000" w:themeColor="text1"/>
          <w:sz w:val="24"/>
          <w:szCs w:val="24"/>
        </w:rPr>
        <w:t>măsurilor</w:t>
      </w:r>
      <w:proofErr w:type="spellEnd"/>
      <w:r w:rsidR="006735BF" w:rsidRPr="00C56257">
        <w:rPr>
          <w:color w:val="000000" w:themeColor="text1"/>
          <w:spacing w:val="1"/>
          <w:sz w:val="24"/>
          <w:szCs w:val="24"/>
        </w:rPr>
        <w:t xml:space="preserve"> </w:t>
      </w:r>
      <w:r w:rsidR="006735BF" w:rsidRPr="00C56257">
        <w:rPr>
          <w:color w:val="000000" w:themeColor="text1"/>
          <w:sz w:val="24"/>
          <w:szCs w:val="24"/>
        </w:rPr>
        <w:t>de</w:t>
      </w:r>
      <w:r w:rsidR="006735BF" w:rsidRPr="00C56257">
        <w:rPr>
          <w:color w:val="000000" w:themeColor="text1"/>
          <w:spacing w:val="1"/>
          <w:sz w:val="24"/>
          <w:szCs w:val="24"/>
        </w:rPr>
        <w:t xml:space="preserve"> </w:t>
      </w:r>
      <w:r w:rsidR="006735BF" w:rsidRPr="00C56257">
        <w:rPr>
          <w:color w:val="000000" w:themeColor="text1"/>
          <w:sz w:val="24"/>
          <w:szCs w:val="24"/>
        </w:rPr>
        <w:t>management,</w:t>
      </w:r>
      <w:r w:rsidR="006735BF" w:rsidRPr="00C56257">
        <w:rPr>
          <w:color w:val="000000" w:themeColor="text1"/>
          <w:spacing w:val="1"/>
          <w:sz w:val="24"/>
          <w:szCs w:val="24"/>
        </w:rPr>
        <w:t xml:space="preserve"> </w:t>
      </w:r>
      <w:proofErr w:type="spellStart"/>
      <w:r w:rsidR="006735BF" w:rsidRPr="00C56257">
        <w:rPr>
          <w:color w:val="000000" w:themeColor="text1"/>
          <w:sz w:val="24"/>
          <w:szCs w:val="24"/>
        </w:rPr>
        <w:t>trebuie</w:t>
      </w:r>
      <w:proofErr w:type="spellEnd"/>
      <w:r w:rsidR="006735BF" w:rsidRPr="00C56257">
        <w:rPr>
          <w:color w:val="000000" w:themeColor="text1"/>
          <w:spacing w:val="1"/>
          <w:sz w:val="24"/>
          <w:szCs w:val="24"/>
        </w:rPr>
        <w:t xml:space="preserve"> </w:t>
      </w:r>
      <w:proofErr w:type="spellStart"/>
      <w:r w:rsidR="006735BF" w:rsidRPr="00C56257">
        <w:rPr>
          <w:color w:val="000000" w:themeColor="text1"/>
          <w:sz w:val="24"/>
          <w:szCs w:val="24"/>
        </w:rPr>
        <w:t>furnizate</w:t>
      </w:r>
      <w:proofErr w:type="spellEnd"/>
      <w:r w:rsidR="006735BF" w:rsidRPr="00C56257">
        <w:rPr>
          <w:color w:val="000000" w:themeColor="text1"/>
          <w:spacing w:val="1"/>
          <w:sz w:val="24"/>
          <w:szCs w:val="24"/>
        </w:rPr>
        <w:t xml:space="preserve"> </w:t>
      </w:r>
      <w:proofErr w:type="spellStart"/>
      <w:r w:rsidR="006735BF" w:rsidRPr="00C56257">
        <w:rPr>
          <w:color w:val="000000" w:themeColor="text1"/>
          <w:sz w:val="24"/>
          <w:szCs w:val="24"/>
        </w:rPr>
        <w:t>informaţii</w:t>
      </w:r>
      <w:proofErr w:type="spellEnd"/>
      <w:r w:rsidR="006735BF" w:rsidRPr="00C56257">
        <w:rPr>
          <w:color w:val="000000" w:themeColor="text1"/>
          <w:spacing w:val="1"/>
          <w:sz w:val="24"/>
          <w:szCs w:val="24"/>
        </w:rPr>
        <w:t xml:space="preserve"> </w:t>
      </w:r>
      <w:proofErr w:type="spellStart"/>
      <w:r w:rsidR="006735BF" w:rsidRPr="00C56257">
        <w:rPr>
          <w:color w:val="000000" w:themeColor="text1"/>
          <w:sz w:val="24"/>
          <w:szCs w:val="24"/>
        </w:rPr>
        <w:t>suplimentare</w:t>
      </w:r>
      <w:proofErr w:type="spellEnd"/>
      <w:r w:rsidR="006735BF" w:rsidRPr="00C56257">
        <w:rPr>
          <w:color w:val="000000" w:themeColor="text1"/>
          <w:spacing w:val="1"/>
          <w:sz w:val="24"/>
          <w:szCs w:val="24"/>
        </w:rPr>
        <w:t xml:space="preserve"> </w:t>
      </w:r>
      <w:proofErr w:type="spellStart"/>
      <w:r w:rsidR="006735BF" w:rsidRPr="00C56257">
        <w:rPr>
          <w:color w:val="000000" w:themeColor="text1"/>
          <w:sz w:val="24"/>
          <w:szCs w:val="24"/>
        </w:rPr>
        <w:t>privind</w:t>
      </w:r>
      <w:proofErr w:type="spellEnd"/>
      <w:r w:rsidR="006735BF" w:rsidRPr="00C56257">
        <w:rPr>
          <w:color w:val="000000" w:themeColor="text1"/>
          <w:spacing w:val="1"/>
          <w:sz w:val="24"/>
          <w:szCs w:val="24"/>
        </w:rPr>
        <w:t xml:space="preserve"> </w:t>
      </w:r>
      <w:proofErr w:type="spellStart"/>
      <w:r w:rsidR="006735BF" w:rsidRPr="00C56257">
        <w:rPr>
          <w:color w:val="000000" w:themeColor="text1"/>
          <w:sz w:val="24"/>
          <w:szCs w:val="24"/>
        </w:rPr>
        <w:t>indicarea</w:t>
      </w:r>
      <w:proofErr w:type="spellEnd"/>
      <w:r w:rsidR="006735BF" w:rsidRPr="00C56257">
        <w:rPr>
          <w:color w:val="000000" w:themeColor="text1"/>
          <w:spacing w:val="-57"/>
          <w:sz w:val="24"/>
          <w:szCs w:val="24"/>
        </w:rPr>
        <w:t xml:space="preserve"> </w:t>
      </w:r>
      <w:proofErr w:type="spellStart"/>
      <w:r w:rsidR="006735BF" w:rsidRPr="00C56257">
        <w:rPr>
          <w:color w:val="000000" w:themeColor="text1"/>
          <w:sz w:val="24"/>
          <w:szCs w:val="24"/>
        </w:rPr>
        <w:t>pentru</w:t>
      </w:r>
      <w:proofErr w:type="spellEnd"/>
      <w:r w:rsidR="006735BF" w:rsidRPr="00C56257">
        <w:rPr>
          <w:color w:val="000000" w:themeColor="text1"/>
          <w:sz w:val="24"/>
          <w:szCs w:val="24"/>
        </w:rPr>
        <w:t xml:space="preserve"> </w:t>
      </w:r>
      <w:proofErr w:type="spellStart"/>
      <w:r w:rsidR="006735BF" w:rsidRPr="00C56257">
        <w:rPr>
          <w:color w:val="000000" w:themeColor="text1"/>
          <w:sz w:val="24"/>
          <w:szCs w:val="24"/>
        </w:rPr>
        <w:t>fiecare</w:t>
      </w:r>
      <w:proofErr w:type="spellEnd"/>
      <w:r w:rsidR="006735BF" w:rsidRPr="00C56257">
        <w:rPr>
          <w:color w:val="000000" w:themeColor="text1"/>
          <w:sz w:val="24"/>
          <w:szCs w:val="24"/>
        </w:rPr>
        <w:t xml:space="preserve"> </w:t>
      </w:r>
      <w:proofErr w:type="spellStart"/>
      <w:r w:rsidR="006735BF" w:rsidRPr="00C56257">
        <w:rPr>
          <w:color w:val="000000" w:themeColor="text1"/>
          <w:sz w:val="24"/>
          <w:szCs w:val="24"/>
        </w:rPr>
        <w:t>activitate</w:t>
      </w:r>
      <w:proofErr w:type="spellEnd"/>
      <w:r w:rsidR="006735BF" w:rsidRPr="00C56257">
        <w:rPr>
          <w:color w:val="000000" w:themeColor="text1"/>
          <w:sz w:val="24"/>
          <w:szCs w:val="24"/>
        </w:rPr>
        <w:t xml:space="preserve"> cu impact </w:t>
      </w:r>
      <w:proofErr w:type="spellStart"/>
      <w:r w:rsidR="006735BF" w:rsidRPr="00C56257">
        <w:rPr>
          <w:color w:val="000000" w:themeColor="text1"/>
          <w:sz w:val="24"/>
          <w:szCs w:val="24"/>
        </w:rPr>
        <w:t>asupra</w:t>
      </w:r>
      <w:proofErr w:type="spellEnd"/>
      <w:r w:rsidR="006735BF" w:rsidRPr="00C56257">
        <w:rPr>
          <w:color w:val="000000" w:themeColor="text1"/>
          <w:sz w:val="24"/>
          <w:szCs w:val="24"/>
        </w:rPr>
        <w:t xml:space="preserve"> </w:t>
      </w:r>
      <w:proofErr w:type="spellStart"/>
      <w:r w:rsidR="006735BF" w:rsidRPr="00C56257">
        <w:rPr>
          <w:color w:val="000000" w:themeColor="text1"/>
          <w:sz w:val="24"/>
          <w:szCs w:val="24"/>
        </w:rPr>
        <w:t>speciilor</w:t>
      </w:r>
      <w:proofErr w:type="spellEnd"/>
      <w:r w:rsidR="006735BF" w:rsidRPr="00C56257">
        <w:rPr>
          <w:color w:val="000000" w:themeColor="text1"/>
          <w:sz w:val="24"/>
          <w:szCs w:val="24"/>
        </w:rPr>
        <w:t xml:space="preserve"> </w:t>
      </w:r>
      <w:proofErr w:type="spellStart"/>
      <w:r w:rsidR="006735BF" w:rsidRPr="00C56257">
        <w:rPr>
          <w:color w:val="000000" w:themeColor="text1"/>
          <w:sz w:val="24"/>
          <w:szCs w:val="24"/>
        </w:rPr>
        <w:t>şi</w:t>
      </w:r>
      <w:proofErr w:type="spellEnd"/>
      <w:r w:rsidR="006735BF" w:rsidRPr="00C56257">
        <w:rPr>
          <w:color w:val="000000" w:themeColor="text1"/>
          <w:sz w:val="24"/>
          <w:szCs w:val="24"/>
        </w:rPr>
        <w:t xml:space="preserve"> </w:t>
      </w:r>
      <w:proofErr w:type="spellStart"/>
      <w:r w:rsidR="006735BF" w:rsidRPr="00C56257">
        <w:rPr>
          <w:color w:val="000000" w:themeColor="text1"/>
          <w:sz w:val="24"/>
          <w:szCs w:val="24"/>
        </w:rPr>
        <w:t>tipurilor</w:t>
      </w:r>
      <w:proofErr w:type="spellEnd"/>
      <w:r w:rsidR="006735BF" w:rsidRPr="00C56257">
        <w:rPr>
          <w:color w:val="000000" w:themeColor="text1"/>
          <w:sz w:val="24"/>
          <w:szCs w:val="24"/>
        </w:rPr>
        <w:t xml:space="preserve"> de </w:t>
      </w:r>
      <w:proofErr w:type="spellStart"/>
      <w:r w:rsidR="006735BF" w:rsidRPr="00C56257">
        <w:rPr>
          <w:color w:val="000000" w:themeColor="text1"/>
          <w:sz w:val="24"/>
          <w:szCs w:val="24"/>
        </w:rPr>
        <w:t>habitate</w:t>
      </w:r>
      <w:proofErr w:type="spellEnd"/>
      <w:r w:rsidR="006735BF" w:rsidRPr="00C56257">
        <w:rPr>
          <w:color w:val="000000" w:themeColor="text1"/>
          <w:sz w:val="24"/>
          <w:szCs w:val="24"/>
        </w:rPr>
        <w:t xml:space="preserve"> </w:t>
      </w:r>
      <w:proofErr w:type="spellStart"/>
      <w:r w:rsidR="006735BF" w:rsidRPr="00C56257">
        <w:rPr>
          <w:color w:val="000000" w:themeColor="text1"/>
          <w:sz w:val="24"/>
          <w:szCs w:val="24"/>
        </w:rPr>
        <w:t>impactate</w:t>
      </w:r>
      <w:proofErr w:type="spellEnd"/>
      <w:r w:rsidR="006735BF" w:rsidRPr="00C56257">
        <w:rPr>
          <w:color w:val="000000" w:themeColor="text1"/>
          <w:sz w:val="24"/>
          <w:szCs w:val="24"/>
        </w:rPr>
        <w:t xml:space="preserve">, </w:t>
      </w:r>
      <w:proofErr w:type="spellStart"/>
      <w:r w:rsidR="006735BF" w:rsidRPr="00C56257">
        <w:rPr>
          <w:color w:val="000000" w:themeColor="text1"/>
          <w:sz w:val="24"/>
          <w:szCs w:val="24"/>
        </w:rPr>
        <w:t>inclusiv</w:t>
      </w:r>
      <w:proofErr w:type="spellEnd"/>
      <w:r w:rsidR="006735BF" w:rsidRPr="00C56257">
        <w:rPr>
          <w:color w:val="000000" w:themeColor="text1"/>
          <w:sz w:val="24"/>
          <w:szCs w:val="24"/>
        </w:rPr>
        <w:t xml:space="preserve"> a</w:t>
      </w:r>
      <w:r w:rsidR="006735BF" w:rsidRPr="00C56257">
        <w:rPr>
          <w:color w:val="000000" w:themeColor="text1"/>
          <w:spacing w:val="1"/>
          <w:sz w:val="24"/>
          <w:szCs w:val="24"/>
        </w:rPr>
        <w:t xml:space="preserve"> </w:t>
      </w:r>
      <w:proofErr w:type="spellStart"/>
      <w:r w:rsidR="006735BF" w:rsidRPr="00C56257">
        <w:rPr>
          <w:color w:val="000000" w:themeColor="text1"/>
          <w:sz w:val="24"/>
          <w:szCs w:val="24"/>
        </w:rPr>
        <w:t>intensităţii</w:t>
      </w:r>
      <w:proofErr w:type="spellEnd"/>
      <w:r w:rsidR="006735BF" w:rsidRPr="00C56257">
        <w:rPr>
          <w:color w:val="000000" w:themeColor="text1"/>
          <w:spacing w:val="-1"/>
          <w:sz w:val="24"/>
          <w:szCs w:val="24"/>
        </w:rPr>
        <w:t xml:space="preserve"> </w:t>
      </w:r>
      <w:proofErr w:type="spellStart"/>
      <w:r w:rsidR="006735BF" w:rsidRPr="00C56257">
        <w:rPr>
          <w:color w:val="000000" w:themeColor="text1"/>
          <w:sz w:val="24"/>
          <w:szCs w:val="24"/>
        </w:rPr>
        <w:t>impactului</w:t>
      </w:r>
      <w:proofErr w:type="spellEnd"/>
      <w:r w:rsidR="006735BF" w:rsidRPr="00C56257">
        <w:rPr>
          <w:color w:val="000000" w:themeColor="text1"/>
          <w:sz w:val="24"/>
          <w:szCs w:val="24"/>
        </w:rPr>
        <w:t xml:space="preserve"> </w:t>
      </w:r>
      <w:proofErr w:type="spellStart"/>
      <w:r w:rsidR="006735BF" w:rsidRPr="00C56257">
        <w:rPr>
          <w:color w:val="000000" w:themeColor="text1"/>
          <w:sz w:val="24"/>
          <w:szCs w:val="24"/>
        </w:rPr>
        <w:t>funcţie</w:t>
      </w:r>
      <w:proofErr w:type="spellEnd"/>
      <w:r w:rsidR="006735BF" w:rsidRPr="00C56257">
        <w:rPr>
          <w:color w:val="000000" w:themeColor="text1"/>
          <w:spacing w:val="-1"/>
          <w:sz w:val="24"/>
          <w:szCs w:val="24"/>
        </w:rPr>
        <w:t xml:space="preserve"> </w:t>
      </w:r>
      <w:r w:rsidR="006735BF" w:rsidRPr="00C56257">
        <w:rPr>
          <w:color w:val="000000" w:themeColor="text1"/>
          <w:sz w:val="24"/>
          <w:szCs w:val="24"/>
        </w:rPr>
        <w:t>de</w:t>
      </w:r>
      <w:r w:rsidR="006735BF" w:rsidRPr="00C56257">
        <w:rPr>
          <w:color w:val="000000" w:themeColor="text1"/>
          <w:spacing w:val="-1"/>
          <w:sz w:val="24"/>
          <w:szCs w:val="24"/>
        </w:rPr>
        <w:t xml:space="preserve"> </w:t>
      </w:r>
      <w:proofErr w:type="spellStart"/>
      <w:r w:rsidR="006735BF" w:rsidRPr="00C56257">
        <w:rPr>
          <w:color w:val="000000" w:themeColor="text1"/>
          <w:sz w:val="24"/>
          <w:szCs w:val="24"/>
        </w:rPr>
        <w:t>localizare</w:t>
      </w:r>
      <w:proofErr w:type="spellEnd"/>
      <w:r w:rsidR="006735BF" w:rsidRPr="00C56257">
        <w:rPr>
          <w:color w:val="000000" w:themeColor="text1"/>
          <w:sz w:val="24"/>
          <w:szCs w:val="24"/>
        </w:rPr>
        <w:t>.</w:t>
      </w:r>
    </w:p>
    <w:p w14:paraId="04BC86B4" w14:textId="77777777" w:rsidR="006735BF" w:rsidRPr="00C56257" w:rsidRDefault="006735BF" w:rsidP="00FC74DD">
      <w:pPr>
        <w:pStyle w:val="BodyText"/>
        <w:spacing w:before="1"/>
        <w:ind w:left="0" w:right="-76"/>
        <w:jc w:val="both"/>
        <w:rPr>
          <w:color w:val="000000" w:themeColor="text1"/>
          <w:sz w:val="24"/>
          <w:szCs w:val="24"/>
        </w:rPr>
      </w:pP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acest</w:t>
      </w:r>
      <w:proofErr w:type="spellEnd"/>
      <w:r w:rsidRPr="00C56257">
        <w:rPr>
          <w:color w:val="000000" w:themeColor="text1"/>
          <w:spacing w:val="-3"/>
          <w:sz w:val="24"/>
          <w:szCs w:val="24"/>
        </w:rPr>
        <w:t xml:space="preserve"> </w:t>
      </w:r>
      <w:proofErr w:type="spellStart"/>
      <w:r w:rsidRPr="00C56257">
        <w:rPr>
          <w:color w:val="000000" w:themeColor="text1"/>
          <w:sz w:val="24"/>
          <w:szCs w:val="24"/>
        </w:rPr>
        <w:t>sens</w:t>
      </w:r>
      <w:proofErr w:type="spellEnd"/>
      <w:r w:rsidRPr="00C56257">
        <w:rPr>
          <w:color w:val="000000" w:themeColor="text1"/>
          <w:sz w:val="24"/>
          <w:szCs w:val="24"/>
        </w:rPr>
        <w:t>,</w:t>
      </w:r>
      <w:r w:rsidRPr="00C56257">
        <w:rPr>
          <w:color w:val="000000" w:themeColor="text1"/>
          <w:spacing w:val="-1"/>
          <w:sz w:val="24"/>
          <w:szCs w:val="24"/>
        </w:rPr>
        <w:t xml:space="preserve"> </w:t>
      </w:r>
      <w:proofErr w:type="spellStart"/>
      <w:r w:rsidRPr="00C56257">
        <w:rPr>
          <w:color w:val="000000" w:themeColor="text1"/>
          <w:sz w:val="24"/>
          <w:szCs w:val="24"/>
        </w:rPr>
        <w:t>pentru</w:t>
      </w:r>
      <w:proofErr w:type="spellEnd"/>
      <w:r w:rsidRPr="00C56257">
        <w:rPr>
          <w:color w:val="000000" w:themeColor="text1"/>
          <w:spacing w:val="-2"/>
          <w:sz w:val="24"/>
          <w:szCs w:val="24"/>
        </w:rPr>
        <w:t xml:space="preserve"> </w:t>
      </w:r>
      <w:proofErr w:type="spellStart"/>
      <w:r w:rsidRPr="00C56257">
        <w:rPr>
          <w:color w:val="000000" w:themeColor="text1"/>
          <w:sz w:val="24"/>
          <w:szCs w:val="24"/>
        </w:rPr>
        <w:t>evaluarea</w:t>
      </w:r>
      <w:proofErr w:type="spellEnd"/>
      <w:r w:rsidRPr="00C56257">
        <w:rPr>
          <w:color w:val="000000" w:themeColor="text1"/>
          <w:spacing w:val="-2"/>
          <w:sz w:val="24"/>
          <w:szCs w:val="24"/>
        </w:rPr>
        <w:t xml:space="preserve"> </w:t>
      </w:r>
      <w:proofErr w:type="spellStart"/>
      <w:r w:rsidRPr="00C56257">
        <w:rPr>
          <w:color w:val="000000" w:themeColor="text1"/>
          <w:sz w:val="24"/>
          <w:szCs w:val="24"/>
        </w:rPr>
        <w:t>impacturilor</w:t>
      </w:r>
      <w:proofErr w:type="spellEnd"/>
      <w:r w:rsidRPr="00C56257">
        <w:rPr>
          <w:color w:val="000000" w:themeColor="text1"/>
          <w:spacing w:val="-2"/>
          <w:sz w:val="24"/>
          <w:szCs w:val="24"/>
        </w:rPr>
        <w:t xml:space="preserve"> </w:t>
      </w:r>
      <w:proofErr w:type="spellStart"/>
      <w:r w:rsidRPr="00C56257">
        <w:rPr>
          <w:color w:val="000000" w:themeColor="text1"/>
          <w:sz w:val="24"/>
          <w:szCs w:val="24"/>
        </w:rPr>
        <w:t>trebuie</w:t>
      </w:r>
      <w:proofErr w:type="spellEnd"/>
      <w:r w:rsidRPr="00C56257">
        <w:rPr>
          <w:color w:val="000000" w:themeColor="text1"/>
          <w:spacing w:val="-2"/>
          <w:sz w:val="24"/>
          <w:szCs w:val="24"/>
        </w:rPr>
        <w:t xml:space="preserve"> </w:t>
      </w:r>
      <w:proofErr w:type="spellStart"/>
      <w:r w:rsidRPr="00C56257">
        <w:rPr>
          <w:color w:val="000000" w:themeColor="text1"/>
          <w:sz w:val="24"/>
          <w:szCs w:val="24"/>
        </w:rPr>
        <w:t>furnizate</w:t>
      </w:r>
      <w:proofErr w:type="spellEnd"/>
      <w:r w:rsidRPr="00C56257">
        <w:rPr>
          <w:color w:val="000000" w:themeColor="text1"/>
          <w:spacing w:val="-2"/>
          <w:sz w:val="24"/>
          <w:szCs w:val="24"/>
        </w:rPr>
        <w:t xml:space="preserve"> </w:t>
      </w:r>
      <w:proofErr w:type="spellStart"/>
      <w:r w:rsidRPr="00C56257">
        <w:rPr>
          <w:color w:val="000000" w:themeColor="text1"/>
          <w:sz w:val="24"/>
          <w:szCs w:val="24"/>
        </w:rPr>
        <w:t>informaţiile</w:t>
      </w:r>
      <w:proofErr w:type="spellEnd"/>
      <w:r w:rsidRPr="00C56257">
        <w:rPr>
          <w:color w:val="000000" w:themeColor="text1"/>
          <w:spacing w:val="-1"/>
          <w:sz w:val="24"/>
          <w:szCs w:val="24"/>
        </w:rPr>
        <w:t xml:space="preserve"> </w:t>
      </w:r>
      <w:proofErr w:type="spellStart"/>
      <w:r w:rsidRPr="00C56257">
        <w:rPr>
          <w:color w:val="000000" w:themeColor="text1"/>
          <w:sz w:val="24"/>
          <w:szCs w:val="24"/>
        </w:rPr>
        <w:t>necesare</w:t>
      </w:r>
      <w:proofErr w:type="spellEnd"/>
      <w:r w:rsidRPr="00C56257">
        <w:rPr>
          <w:color w:val="000000" w:themeColor="text1"/>
          <w:spacing w:val="-3"/>
          <w:sz w:val="24"/>
          <w:szCs w:val="24"/>
        </w:rPr>
        <w:t xml:space="preserve"> </w:t>
      </w:r>
      <w:proofErr w:type="spellStart"/>
      <w:r w:rsidRPr="00C56257">
        <w:rPr>
          <w:color w:val="000000" w:themeColor="text1"/>
          <w:sz w:val="24"/>
          <w:szCs w:val="24"/>
        </w:rPr>
        <w:t>pentru</w:t>
      </w:r>
      <w:proofErr w:type="spellEnd"/>
      <w:r w:rsidRPr="00C56257">
        <w:rPr>
          <w:color w:val="000000" w:themeColor="text1"/>
          <w:sz w:val="24"/>
          <w:szCs w:val="24"/>
        </w:rPr>
        <w:t>:</w:t>
      </w:r>
    </w:p>
    <w:p w14:paraId="4F88679B" w14:textId="77777777" w:rsidR="00DF0CC0" w:rsidRPr="00C56257" w:rsidRDefault="00DF0CC0" w:rsidP="009E63E5">
      <w:pPr>
        <w:pStyle w:val="ListParagraph"/>
        <w:numPr>
          <w:ilvl w:val="0"/>
          <w:numId w:val="122"/>
        </w:numPr>
        <w:ind w:left="0" w:right="-76" w:firstLine="0"/>
        <w:jc w:val="both"/>
        <w:rPr>
          <w:rFonts w:ascii="Times New Roman" w:hAnsi="Times New Roman" w:cs="Times New Roman"/>
          <w:color w:val="000000" w:themeColor="text1"/>
          <w:sz w:val="24"/>
          <w:szCs w:val="24"/>
        </w:rPr>
      </w:pPr>
      <w:proofErr w:type="spellStart"/>
      <w:r w:rsidRPr="00C56257">
        <w:rPr>
          <w:rFonts w:ascii="Times New Roman" w:hAnsi="Times New Roman" w:cs="Times New Roman"/>
          <w:color w:val="000000" w:themeColor="text1"/>
          <w:sz w:val="24"/>
          <w:szCs w:val="24"/>
        </w:rPr>
        <w:t>Evaluarea</w:t>
      </w:r>
      <w:proofErr w:type="spellEnd"/>
      <w:r w:rsidRPr="00C56257">
        <w:rPr>
          <w:rFonts w:ascii="Times New Roman" w:hAnsi="Times New Roman" w:cs="Times New Roman"/>
          <w:color w:val="000000" w:themeColor="text1"/>
          <w:sz w:val="24"/>
          <w:szCs w:val="24"/>
        </w:rPr>
        <w:t xml:space="preserve"> </w:t>
      </w:r>
      <w:proofErr w:type="spellStart"/>
      <w:r w:rsidRPr="00C56257">
        <w:rPr>
          <w:rFonts w:ascii="Times New Roman" w:hAnsi="Times New Roman" w:cs="Times New Roman"/>
          <w:color w:val="000000" w:themeColor="text1"/>
          <w:sz w:val="24"/>
          <w:szCs w:val="24"/>
        </w:rPr>
        <w:t>activităţilor</w:t>
      </w:r>
      <w:proofErr w:type="spellEnd"/>
      <w:r w:rsidRPr="00C56257">
        <w:rPr>
          <w:rFonts w:ascii="Times New Roman" w:hAnsi="Times New Roman" w:cs="Times New Roman"/>
          <w:color w:val="000000" w:themeColor="text1"/>
          <w:sz w:val="24"/>
          <w:szCs w:val="24"/>
        </w:rPr>
        <w:t xml:space="preserve"> cu impact </w:t>
      </w:r>
      <w:proofErr w:type="spellStart"/>
      <w:r w:rsidRPr="00C56257">
        <w:rPr>
          <w:rFonts w:ascii="Times New Roman" w:hAnsi="Times New Roman" w:cs="Times New Roman"/>
          <w:color w:val="000000" w:themeColor="text1"/>
          <w:sz w:val="24"/>
          <w:szCs w:val="24"/>
        </w:rPr>
        <w:t>asupra</w:t>
      </w:r>
      <w:proofErr w:type="spellEnd"/>
      <w:r w:rsidRPr="00C56257">
        <w:rPr>
          <w:rFonts w:ascii="Times New Roman" w:hAnsi="Times New Roman" w:cs="Times New Roman"/>
          <w:color w:val="000000" w:themeColor="text1"/>
          <w:sz w:val="24"/>
          <w:szCs w:val="24"/>
        </w:rPr>
        <w:t xml:space="preserve"> </w:t>
      </w:r>
      <w:proofErr w:type="spellStart"/>
      <w:r w:rsidRPr="00C56257">
        <w:rPr>
          <w:rFonts w:ascii="Times New Roman" w:hAnsi="Times New Roman" w:cs="Times New Roman"/>
          <w:color w:val="000000" w:themeColor="text1"/>
          <w:sz w:val="24"/>
          <w:szCs w:val="24"/>
        </w:rPr>
        <w:t>ariei</w:t>
      </w:r>
      <w:proofErr w:type="spellEnd"/>
      <w:r w:rsidRPr="00C56257">
        <w:rPr>
          <w:rFonts w:ascii="Times New Roman" w:hAnsi="Times New Roman" w:cs="Times New Roman"/>
          <w:color w:val="000000" w:themeColor="text1"/>
          <w:sz w:val="24"/>
          <w:szCs w:val="24"/>
        </w:rPr>
        <w:t xml:space="preserve"> </w:t>
      </w:r>
      <w:proofErr w:type="spellStart"/>
      <w:r w:rsidRPr="00C56257">
        <w:rPr>
          <w:rFonts w:ascii="Times New Roman" w:hAnsi="Times New Roman" w:cs="Times New Roman"/>
          <w:color w:val="000000" w:themeColor="text1"/>
          <w:sz w:val="24"/>
          <w:szCs w:val="24"/>
        </w:rPr>
        <w:t>naturale</w:t>
      </w:r>
      <w:proofErr w:type="spellEnd"/>
      <w:r w:rsidRPr="00C56257">
        <w:rPr>
          <w:rFonts w:ascii="Times New Roman" w:hAnsi="Times New Roman" w:cs="Times New Roman"/>
          <w:color w:val="000000" w:themeColor="text1"/>
          <w:sz w:val="24"/>
          <w:szCs w:val="24"/>
        </w:rPr>
        <w:t xml:space="preserve"> </w:t>
      </w:r>
      <w:proofErr w:type="spellStart"/>
      <w:r w:rsidRPr="00C56257">
        <w:rPr>
          <w:rFonts w:ascii="Times New Roman" w:hAnsi="Times New Roman" w:cs="Times New Roman"/>
          <w:color w:val="000000" w:themeColor="text1"/>
          <w:sz w:val="24"/>
          <w:szCs w:val="24"/>
        </w:rPr>
        <w:t>protejate</w:t>
      </w:r>
      <w:proofErr w:type="spellEnd"/>
      <w:r w:rsidRPr="00C56257">
        <w:rPr>
          <w:rFonts w:ascii="Times New Roman" w:hAnsi="Times New Roman" w:cs="Times New Roman"/>
          <w:color w:val="000000" w:themeColor="text1"/>
          <w:sz w:val="24"/>
          <w:szCs w:val="24"/>
        </w:rPr>
        <w:t xml:space="preserve">, </w:t>
      </w:r>
      <w:proofErr w:type="spellStart"/>
      <w:r w:rsidRPr="00C56257">
        <w:rPr>
          <w:rFonts w:ascii="Times New Roman" w:hAnsi="Times New Roman" w:cs="Times New Roman"/>
          <w:color w:val="000000" w:themeColor="text1"/>
          <w:sz w:val="24"/>
          <w:szCs w:val="24"/>
        </w:rPr>
        <w:t>în</w:t>
      </w:r>
      <w:proofErr w:type="spellEnd"/>
      <w:r w:rsidRPr="00C56257">
        <w:rPr>
          <w:rFonts w:ascii="Times New Roman" w:hAnsi="Times New Roman" w:cs="Times New Roman"/>
          <w:color w:val="000000" w:themeColor="text1"/>
          <w:sz w:val="24"/>
          <w:szCs w:val="24"/>
        </w:rPr>
        <w:t xml:space="preserve"> general</w:t>
      </w:r>
    </w:p>
    <w:p w14:paraId="3EFB7256" w14:textId="77777777" w:rsidR="006735BF" w:rsidRPr="00C56257" w:rsidRDefault="006735BF" w:rsidP="009E63E5">
      <w:pPr>
        <w:pStyle w:val="ListParagraph"/>
        <w:widowControl w:val="0"/>
        <w:numPr>
          <w:ilvl w:val="0"/>
          <w:numId w:val="122"/>
        </w:numPr>
        <w:autoSpaceDE w:val="0"/>
        <w:autoSpaceDN w:val="0"/>
        <w:spacing w:before="1" w:line="293" w:lineRule="exact"/>
        <w:ind w:left="0" w:right="-76" w:firstLine="0"/>
        <w:jc w:val="both"/>
        <w:rPr>
          <w:rFonts w:ascii="Times New Roman" w:hAnsi="Times New Roman" w:cs="Times New Roman"/>
          <w:color w:val="000000" w:themeColor="text1"/>
          <w:sz w:val="24"/>
          <w:szCs w:val="24"/>
        </w:rPr>
      </w:pPr>
      <w:proofErr w:type="spellStart"/>
      <w:r w:rsidRPr="00C56257">
        <w:rPr>
          <w:rFonts w:ascii="Times New Roman" w:hAnsi="Times New Roman" w:cs="Times New Roman"/>
          <w:color w:val="000000" w:themeColor="text1"/>
          <w:sz w:val="24"/>
          <w:szCs w:val="24"/>
        </w:rPr>
        <w:t>Evaluarea</w:t>
      </w:r>
      <w:proofErr w:type="spellEnd"/>
      <w:r w:rsidRPr="00C56257">
        <w:rPr>
          <w:rFonts w:ascii="Times New Roman" w:hAnsi="Times New Roman" w:cs="Times New Roman"/>
          <w:color w:val="000000" w:themeColor="text1"/>
          <w:spacing w:val="-3"/>
          <w:sz w:val="24"/>
          <w:szCs w:val="24"/>
        </w:rPr>
        <w:t xml:space="preserve"> </w:t>
      </w:r>
      <w:proofErr w:type="spellStart"/>
      <w:r w:rsidRPr="00C56257">
        <w:rPr>
          <w:rFonts w:ascii="Times New Roman" w:hAnsi="Times New Roman" w:cs="Times New Roman"/>
          <w:color w:val="000000" w:themeColor="text1"/>
          <w:sz w:val="24"/>
          <w:szCs w:val="24"/>
        </w:rPr>
        <w:t>activităţilor</w:t>
      </w:r>
      <w:proofErr w:type="spellEnd"/>
      <w:r w:rsidRPr="00C56257">
        <w:rPr>
          <w:rFonts w:ascii="Times New Roman" w:hAnsi="Times New Roman" w:cs="Times New Roman"/>
          <w:color w:val="000000" w:themeColor="text1"/>
          <w:spacing w:val="-2"/>
          <w:sz w:val="24"/>
          <w:szCs w:val="24"/>
        </w:rPr>
        <w:t xml:space="preserve"> </w:t>
      </w:r>
      <w:r w:rsidRPr="00C56257">
        <w:rPr>
          <w:rFonts w:ascii="Times New Roman" w:hAnsi="Times New Roman" w:cs="Times New Roman"/>
          <w:color w:val="000000" w:themeColor="text1"/>
          <w:sz w:val="24"/>
          <w:szCs w:val="24"/>
        </w:rPr>
        <w:t>cu</w:t>
      </w:r>
      <w:r w:rsidRPr="00C56257">
        <w:rPr>
          <w:rFonts w:ascii="Times New Roman" w:hAnsi="Times New Roman" w:cs="Times New Roman"/>
          <w:color w:val="000000" w:themeColor="text1"/>
          <w:spacing w:val="-2"/>
          <w:sz w:val="24"/>
          <w:szCs w:val="24"/>
        </w:rPr>
        <w:t xml:space="preserve"> </w:t>
      </w:r>
      <w:r w:rsidRPr="00C56257">
        <w:rPr>
          <w:rFonts w:ascii="Times New Roman" w:hAnsi="Times New Roman" w:cs="Times New Roman"/>
          <w:color w:val="000000" w:themeColor="text1"/>
          <w:sz w:val="24"/>
          <w:szCs w:val="24"/>
        </w:rPr>
        <w:t>impact</w:t>
      </w:r>
      <w:r w:rsidRPr="00C56257">
        <w:rPr>
          <w:rFonts w:ascii="Times New Roman" w:hAnsi="Times New Roman" w:cs="Times New Roman"/>
          <w:color w:val="000000" w:themeColor="text1"/>
          <w:spacing w:val="-1"/>
          <w:sz w:val="24"/>
          <w:szCs w:val="24"/>
        </w:rPr>
        <w:t xml:space="preserve"> </w:t>
      </w:r>
      <w:proofErr w:type="spellStart"/>
      <w:r w:rsidRPr="00C56257">
        <w:rPr>
          <w:rFonts w:ascii="Times New Roman" w:hAnsi="Times New Roman" w:cs="Times New Roman"/>
          <w:color w:val="000000" w:themeColor="text1"/>
          <w:sz w:val="24"/>
          <w:szCs w:val="24"/>
        </w:rPr>
        <w:t>asupra</w:t>
      </w:r>
      <w:proofErr w:type="spellEnd"/>
      <w:r w:rsidRPr="00C56257">
        <w:rPr>
          <w:rFonts w:ascii="Times New Roman" w:hAnsi="Times New Roman" w:cs="Times New Roman"/>
          <w:color w:val="000000" w:themeColor="text1"/>
          <w:spacing w:val="-3"/>
          <w:sz w:val="24"/>
          <w:szCs w:val="24"/>
        </w:rPr>
        <w:t xml:space="preserve"> </w:t>
      </w:r>
      <w:proofErr w:type="spellStart"/>
      <w:r w:rsidRPr="00C56257">
        <w:rPr>
          <w:rFonts w:ascii="Times New Roman" w:hAnsi="Times New Roman" w:cs="Times New Roman"/>
          <w:color w:val="000000" w:themeColor="text1"/>
          <w:sz w:val="24"/>
          <w:szCs w:val="24"/>
        </w:rPr>
        <w:t>speciilor</w:t>
      </w:r>
      <w:proofErr w:type="spellEnd"/>
      <w:r w:rsidRPr="00C56257">
        <w:rPr>
          <w:rFonts w:ascii="Times New Roman" w:hAnsi="Times New Roman" w:cs="Times New Roman"/>
          <w:color w:val="000000" w:themeColor="text1"/>
          <w:sz w:val="24"/>
          <w:szCs w:val="24"/>
        </w:rPr>
        <w:t xml:space="preserve"> de</w:t>
      </w:r>
      <w:r w:rsidRPr="00C56257">
        <w:rPr>
          <w:rFonts w:ascii="Times New Roman" w:hAnsi="Times New Roman" w:cs="Times New Roman"/>
          <w:color w:val="000000" w:themeColor="text1"/>
          <w:spacing w:val="-3"/>
          <w:sz w:val="24"/>
          <w:szCs w:val="24"/>
        </w:rPr>
        <w:t xml:space="preserve"> </w:t>
      </w:r>
      <w:proofErr w:type="spellStart"/>
      <w:r w:rsidRPr="00C56257">
        <w:rPr>
          <w:rFonts w:ascii="Times New Roman" w:hAnsi="Times New Roman" w:cs="Times New Roman"/>
          <w:color w:val="000000" w:themeColor="text1"/>
          <w:sz w:val="24"/>
          <w:szCs w:val="24"/>
        </w:rPr>
        <w:t>interes</w:t>
      </w:r>
      <w:proofErr w:type="spellEnd"/>
      <w:r w:rsidRPr="00C56257">
        <w:rPr>
          <w:rFonts w:ascii="Times New Roman" w:hAnsi="Times New Roman" w:cs="Times New Roman"/>
          <w:color w:val="000000" w:themeColor="text1"/>
          <w:spacing w:val="-2"/>
          <w:sz w:val="24"/>
          <w:szCs w:val="24"/>
        </w:rPr>
        <w:t xml:space="preserve"> </w:t>
      </w:r>
      <w:r w:rsidRPr="00C56257">
        <w:rPr>
          <w:rFonts w:ascii="Times New Roman" w:hAnsi="Times New Roman" w:cs="Times New Roman"/>
          <w:color w:val="000000" w:themeColor="text1"/>
          <w:sz w:val="24"/>
          <w:szCs w:val="24"/>
        </w:rPr>
        <w:t>conservative</w:t>
      </w:r>
    </w:p>
    <w:p w14:paraId="4F5E1C97" w14:textId="77777777" w:rsidR="006735BF" w:rsidRPr="00C56257" w:rsidRDefault="006735BF" w:rsidP="009E63E5">
      <w:pPr>
        <w:pStyle w:val="ListParagraph"/>
        <w:widowControl w:val="0"/>
        <w:numPr>
          <w:ilvl w:val="0"/>
          <w:numId w:val="122"/>
        </w:numPr>
        <w:autoSpaceDE w:val="0"/>
        <w:autoSpaceDN w:val="0"/>
        <w:spacing w:line="293" w:lineRule="exact"/>
        <w:ind w:left="0" w:right="-76" w:firstLine="0"/>
        <w:jc w:val="both"/>
        <w:rPr>
          <w:rFonts w:ascii="Times New Roman" w:hAnsi="Times New Roman" w:cs="Times New Roman"/>
          <w:color w:val="000000" w:themeColor="text1"/>
          <w:sz w:val="24"/>
          <w:szCs w:val="24"/>
        </w:rPr>
      </w:pPr>
      <w:proofErr w:type="spellStart"/>
      <w:r w:rsidRPr="00C56257">
        <w:rPr>
          <w:rFonts w:ascii="Times New Roman" w:hAnsi="Times New Roman" w:cs="Times New Roman"/>
          <w:color w:val="000000" w:themeColor="text1"/>
          <w:sz w:val="24"/>
          <w:szCs w:val="24"/>
        </w:rPr>
        <w:t>Evaluarea</w:t>
      </w:r>
      <w:proofErr w:type="spellEnd"/>
      <w:r w:rsidRPr="00C56257">
        <w:rPr>
          <w:rFonts w:ascii="Times New Roman" w:hAnsi="Times New Roman" w:cs="Times New Roman"/>
          <w:color w:val="000000" w:themeColor="text1"/>
          <w:spacing w:val="-3"/>
          <w:sz w:val="24"/>
          <w:szCs w:val="24"/>
        </w:rPr>
        <w:t xml:space="preserve"> </w:t>
      </w:r>
      <w:proofErr w:type="spellStart"/>
      <w:r w:rsidRPr="00C56257">
        <w:rPr>
          <w:rFonts w:ascii="Times New Roman" w:hAnsi="Times New Roman" w:cs="Times New Roman"/>
          <w:color w:val="000000" w:themeColor="text1"/>
          <w:sz w:val="24"/>
          <w:szCs w:val="24"/>
        </w:rPr>
        <w:t>activităţilor</w:t>
      </w:r>
      <w:proofErr w:type="spellEnd"/>
      <w:r w:rsidRPr="00C56257">
        <w:rPr>
          <w:rFonts w:ascii="Times New Roman" w:hAnsi="Times New Roman" w:cs="Times New Roman"/>
          <w:color w:val="000000" w:themeColor="text1"/>
          <w:spacing w:val="-1"/>
          <w:sz w:val="24"/>
          <w:szCs w:val="24"/>
        </w:rPr>
        <w:t xml:space="preserve"> </w:t>
      </w:r>
      <w:r w:rsidRPr="00C56257">
        <w:rPr>
          <w:rFonts w:ascii="Times New Roman" w:hAnsi="Times New Roman" w:cs="Times New Roman"/>
          <w:color w:val="000000" w:themeColor="text1"/>
          <w:sz w:val="24"/>
          <w:szCs w:val="24"/>
        </w:rPr>
        <w:t>cu</w:t>
      </w:r>
      <w:r w:rsidRPr="00C56257">
        <w:rPr>
          <w:rFonts w:ascii="Times New Roman" w:hAnsi="Times New Roman" w:cs="Times New Roman"/>
          <w:color w:val="000000" w:themeColor="text1"/>
          <w:spacing w:val="-1"/>
          <w:sz w:val="24"/>
          <w:szCs w:val="24"/>
        </w:rPr>
        <w:t xml:space="preserve"> </w:t>
      </w:r>
      <w:r w:rsidRPr="00C56257">
        <w:rPr>
          <w:rFonts w:ascii="Times New Roman" w:hAnsi="Times New Roman" w:cs="Times New Roman"/>
          <w:color w:val="000000" w:themeColor="text1"/>
          <w:sz w:val="24"/>
          <w:szCs w:val="24"/>
        </w:rPr>
        <w:t>impact</w:t>
      </w:r>
      <w:r w:rsidRPr="00C56257">
        <w:rPr>
          <w:rFonts w:ascii="Times New Roman" w:hAnsi="Times New Roman" w:cs="Times New Roman"/>
          <w:color w:val="000000" w:themeColor="text1"/>
          <w:spacing w:val="-1"/>
          <w:sz w:val="24"/>
          <w:szCs w:val="24"/>
        </w:rPr>
        <w:t xml:space="preserve"> </w:t>
      </w:r>
      <w:proofErr w:type="spellStart"/>
      <w:r w:rsidRPr="00C56257">
        <w:rPr>
          <w:rFonts w:ascii="Times New Roman" w:hAnsi="Times New Roman" w:cs="Times New Roman"/>
          <w:color w:val="000000" w:themeColor="text1"/>
          <w:sz w:val="24"/>
          <w:szCs w:val="24"/>
        </w:rPr>
        <w:t>asupra</w:t>
      </w:r>
      <w:proofErr w:type="spellEnd"/>
      <w:r w:rsidRPr="00C56257">
        <w:rPr>
          <w:rFonts w:ascii="Times New Roman" w:hAnsi="Times New Roman" w:cs="Times New Roman"/>
          <w:color w:val="000000" w:themeColor="text1"/>
          <w:spacing w:val="-2"/>
          <w:sz w:val="24"/>
          <w:szCs w:val="24"/>
        </w:rPr>
        <w:t xml:space="preserve"> </w:t>
      </w:r>
      <w:proofErr w:type="spellStart"/>
      <w:r w:rsidRPr="00C56257">
        <w:rPr>
          <w:rFonts w:ascii="Times New Roman" w:hAnsi="Times New Roman" w:cs="Times New Roman"/>
          <w:color w:val="000000" w:themeColor="text1"/>
          <w:sz w:val="24"/>
          <w:szCs w:val="24"/>
        </w:rPr>
        <w:t>tipurilor</w:t>
      </w:r>
      <w:proofErr w:type="spellEnd"/>
      <w:r w:rsidRPr="00C56257">
        <w:rPr>
          <w:rFonts w:ascii="Times New Roman" w:hAnsi="Times New Roman" w:cs="Times New Roman"/>
          <w:color w:val="000000" w:themeColor="text1"/>
          <w:spacing w:val="-1"/>
          <w:sz w:val="24"/>
          <w:szCs w:val="24"/>
        </w:rPr>
        <w:t xml:space="preserve"> </w:t>
      </w:r>
      <w:r w:rsidRPr="00C56257">
        <w:rPr>
          <w:rFonts w:ascii="Times New Roman" w:hAnsi="Times New Roman" w:cs="Times New Roman"/>
          <w:color w:val="000000" w:themeColor="text1"/>
          <w:sz w:val="24"/>
          <w:szCs w:val="24"/>
        </w:rPr>
        <w:t>de</w:t>
      </w:r>
      <w:r w:rsidRPr="00C56257">
        <w:rPr>
          <w:rFonts w:ascii="Times New Roman" w:hAnsi="Times New Roman" w:cs="Times New Roman"/>
          <w:color w:val="000000" w:themeColor="text1"/>
          <w:spacing w:val="-3"/>
          <w:sz w:val="24"/>
          <w:szCs w:val="24"/>
        </w:rPr>
        <w:t xml:space="preserve"> </w:t>
      </w:r>
      <w:proofErr w:type="spellStart"/>
      <w:r w:rsidRPr="00C56257">
        <w:rPr>
          <w:rFonts w:ascii="Times New Roman" w:hAnsi="Times New Roman" w:cs="Times New Roman"/>
          <w:color w:val="000000" w:themeColor="text1"/>
          <w:sz w:val="24"/>
          <w:szCs w:val="24"/>
        </w:rPr>
        <w:t>habitate</w:t>
      </w:r>
      <w:proofErr w:type="spellEnd"/>
      <w:r w:rsidRPr="00C56257">
        <w:rPr>
          <w:rFonts w:ascii="Times New Roman" w:hAnsi="Times New Roman" w:cs="Times New Roman"/>
          <w:color w:val="000000" w:themeColor="text1"/>
          <w:spacing w:val="-1"/>
          <w:sz w:val="24"/>
          <w:szCs w:val="24"/>
        </w:rPr>
        <w:t xml:space="preserve"> </w:t>
      </w:r>
      <w:r w:rsidRPr="00C56257">
        <w:rPr>
          <w:rFonts w:ascii="Times New Roman" w:hAnsi="Times New Roman" w:cs="Times New Roman"/>
          <w:color w:val="000000" w:themeColor="text1"/>
          <w:sz w:val="24"/>
          <w:szCs w:val="24"/>
        </w:rPr>
        <w:t>de</w:t>
      </w:r>
      <w:r w:rsidRPr="00C56257">
        <w:rPr>
          <w:rFonts w:ascii="Times New Roman" w:hAnsi="Times New Roman" w:cs="Times New Roman"/>
          <w:color w:val="000000" w:themeColor="text1"/>
          <w:spacing w:val="-3"/>
          <w:sz w:val="24"/>
          <w:szCs w:val="24"/>
        </w:rPr>
        <w:t xml:space="preserve"> </w:t>
      </w:r>
      <w:proofErr w:type="spellStart"/>
      <w:r w:rsidRPr="00C56257">
        <w:rPr>
          <w:rFonts w:ascii="Times New Roman" w:hAnsi="Times New Roman" w:cs="Times New Roman"/>
          <w:color w:val="000000" w:themeColor="text1"/>
          <w:sz w:val="24"/>
          <w:szCs w:val="24"/>
        </w:rPr>
        <w:t>interes</w:t>
      </w:r>
      <w:proofErr w:type="spellEnd"/>
      <w:r w:rsidRPr="00C56257">
        <w:rPr>
          <w:rFonts w:ascii="Times New Roman" w:hAnsi="Times New Roman" w:cs="Times New Roman"/>
          <w:color w:val="000000" w:themeColor="text1"/>
          <w:spacing w:val="-2"/>
          <w:sz w:val="24"/>
          <w:szCs w:val="24"/>
        </w:rPr>
        <w:t xml:space="preserve"> </w:t>
      </w:r>
      <w:proofErr w:type="spellStart"/>
      <w:r w:rsidRPr="00C56257">
        <w:rPr>
          <w:rFonts w:ascii="Times New Roman" w:hAnsi="Times New Roman" w:cs="Times New Roman"/>
          <w:color w:val="000000" w:themeColor="text1"/>
          <w:sz w:val="24"/>
          <w:szCs w:val="24"/>
        </w:rPr>
        <w:t>conservativ</w:t>
      </w:r>
      <w:proofErr w:type="spellEnd"/>
      <w:r w:rsidRPr="00C56257">
        <w:rPr>
          <w:rFonts w:ascii="Times New Roman" w:hAnsi="Times New Roman" w:cs="Times New Roman"/>
          <w:color w:val="000000" w:themeColor="text1"/>
          <w:sz w:val="24"/>
          <w:szCs w:val="24"/>
        </w:rPr>
        <w:t>.</w:t>
      </w:r>
    </w:p>
    <w:p w14:paraId="687BB467" w14:textId="77777777" w:rsidR="006735BF" w:rsidRPr="00C56257" w:rsidRDefault="006735BF" w:rsidP="00182DE3">
      <w:pPr>
        <w:pStyle w:val="Heading2"/>
        <w:widowControl w:val="0"/>
        <w:tabs>
          <w:tab w:val="left" w:pos="270"/>
        </w:tabs>
        <w:autoSpaceDE w:val="0"/>
        <w:autoSpaceDN w:val="0"/>
        <w:spacing w:before="245" w:beforeAutospacing="0" w:after="0" w:afterAutospacing="0"/>
        <w:jc w:val="both"/>
        <w:rPr>
          <w:color w:val="000000" w:themeColor="text1"/>
          <w:sz w:val="24"/>
          <w:szCs w:val="24"/>
        </w:rPr>
      </w:pPr>
      <w:proofErr w:type="spellStart"/>
      <w:r w:rsidRPr="00C56257">
        <w:rPr>
          <w:color w:val="000000" w:themeColor="text1"/>
          <w:sz w:val="24"/>
          <w:szCs w:val="24"/>
        </w:rPr>
        <w:t>Relația</w:t>
      </w:r>
      <w:proofErr w:type="spellEnd"/>
      <w:r w:rsidRPr="00C56257">
        <w:rPr>
          <w:color w:val="000000" w:themeColor="text1"/>
          <w:spacing w:val="-5"/>
          <w:sz w:val="24"/>
          <w:szCs w:val="24"/>
        </w:rPr>
        <w:t xml:space="preserve"> </w:t>
      </w:r>
      <w:r w:rsidRPr="00C56257">
        <w:rPr>
          <w:color w:val="000000" w:themeColor="text1"/>
          <w:sz w:val="24"/>
          <w:szCs w:val="24"/>
        </w:rPr>
        <w:t>plot</w:t>
      </w:r>
      <w:r w:rsidRPr="00C56257">
        <w:rPr>
          <w:color w:val="000000" w:themeColor="text1"/>
          <w:spacing w:val="-5"/>
          <w:sz w:val="24"/>
          <w:szCs w:val="24"/>
        </w:rPr>
        <w:t xml:space="preserve"> </w:t>
      </w:r>
      <w:r w:rsidRPr="00C56257">
        <w:rPr>
          <w:color w:val="000000" w:themeColor="text1"/>
          <w:sz w:val="24"/>
          <w:szCs w:val="24"/>
        </w:rPr>
        <w:t>de</w:t>
      </w:r>
      <w:r w:rsidRPr="00C56257">
        <w:rPr>
          <w:color w:val="000000" w:themeColor="text1"/>
          <w:spacing w:val="-6"/>
          <w:sz w:val="24"/>
          <w:szCs w:val="24"/>
        </w:rPr>
        <w:t xml:space="preserve"> </w:t>
      </w:r>
      <w:proofErr w:type="spellStart"/>
      <w:r w:rsidRPr="00C56257">
        <w:rPr>
          <w:color w:val="000000" w:themeColor="text1"/>
          <w:sz w:val="24"/>
          <w:szCs w:val="24"/>
        </w:rPr>
        <w:t>monitorizare</w:t>
      </w:r>
      <w:proofErr w:type="spellEnd"/>
      <w:r w:rsidRPr="00C56257">
        <w:rPr>
          <w:color w:val="000000" w:themeColor="text1"/>
          <w:sz w:val="24"/>
          <w:szCs w:val="24"/>
        </w:rPr>
        <w:t>/</w:t>
      </w:r>
      <w:proofErr w:type="spellStart"/>
      <w:r w:rsidRPr="00C56257">
        <w:rPr>
          <w:color w:val="000000" w:themeColor="text1"/>
          <w:sz w:val="24"/>
          <w:szCs w:val="24"/>
        </w:rPr>
        <w:t>rețea</w:t>
      </w:r>
      <w:proofErr w:type="spellEnd"/>
      <w:r w:rsidRPr="00C56257">
        <w:rPr>
          <w:color w:val="000000" w:themeColor="text1"/>
          <w:spacing w:val="-5"/>
          <w:sz w:val="24"/>
          <w:szCs w:val="24"/>
        </w:rPr>
        <w:t xml:space="preserve"> </w:t>
      </w:r>
      <w:r w:rsidRPr="00C56257">
        <w:rPr>
          <w:color w:val="000000" w:themeColor="text1"/>
          <w:sz w:val="24"/>
          <w:szCs w:val="24"/>
        </w:rPr>
        <w:t>Natura</w:t>
      </w:r>
      <w:r w:rsidRPr="00C56257">
        <w:rPr>
          <w:color w:val="000000" w:themeColor="text1"/>
          <w:spacing w:val="-4"/>
          <w:sz w:val="24"/>
          <w:szCs w:val="24"/>
        </w:rPr>
        <w:t xml:space="preserve"> </w:t>
      </w:r>
      <w:r w:rsidRPr="00C56257">
        <w:rPr>
          <w:color w:val="000000" w:themeColor="text1"/>
          <w:sz w:val="24"/>
          <w:szCs w:val="24"/>
        </w:rPr>
        <w:t>2000</w:t>
      </w:r>
    </w:p>
    <w:p w14:paraId="6CC4D4AB" w14:textId="77777777" w:rsidR="006735BF" w:rsidRPr="00C56257" w:rsidRDefault="006735BF" w:rsidP="00182DE3">
      <w:pPr>
        <w:spacing w:before="157"/>
        <w:jc w:val="both"/>
        <w:rPr>
          <w:i/>
          <w:color w:val="000000" w:themeColor="text1"/>
        </w:rPr>
      </w:pPr>
      <w:r w:rsidRPr="00C56257">
        <w:rPr>
          <w:i/>
          <w:color w:val="000000" w:themeColor="text1"/>
        </w:rPr>
        <w:t>Acoperirea</w:t>
      </w:r>
      <w:r w:rsidRPr="00C56257">
        <w:rPr>
          <w:i/>
          <w:color w:val="000000" w:themeColor="text1"/>
          <w:spacing w:val="-1"/>
        </w:rPr>
        <w:t xml:space="preserve"> </w:t>
      </w:r>
      <w:r w:rsidRPr="00C56257">
        <w:rPr>
          <w:i/>
          <w:color w:val="000000" w:themeColor="text1"/>
        </w:rPr>
        <w:t>NATURA</w:t>
      </w:r>
      <w:r w:rsidRPr="00C56257">
        <w:rPr>
          <w:i/>
          <w:color w:val="000000" w:themeColor="text1"/>
          <w:spacing w:val="-2"/>
        </w:rPr>
        <w:t xml:space="preserve"> </w:t>
      </w:r>
      <w:r w:rsidRPr="00C56257">
        <w:rPr>
          <w:i/>
          <w:color w:val="000000" w:themeColor="text1"/>
        </w:rPr>
        <w:t>2000</w:t>
      </w:r>
      <w:r w:rsidRPr="00C56257">
        <w:rPr>
          <w:i/>
          <w:color w:val="000000" w:themeColor="text1"/>
          <w:spacing w:val="-1"/>
        </w:rPr>
        <w:t xml:space="preserve"> </w:t>
      </w:r>
      <w:r w:rsidRPr="00C56257">
        <w:rPr>
          <w:i/>
          <w:color w:val="000000" w:themeColor="text1"/>
        </w:rPr>
        <w:t>(pSCIs, SCI</w:t>
      </w:r>
      <w:r w:rsidRPr="00C56257">
        <w:rPr>
          <w:i/>
          <w:color w:val="000000" w:themeColor="text1"/>
          <w:spacing w:val="-1"/>
        </w:rPr>
        <w:t xml:space="preserve"> </w:t>
      </w:r>
      <w:r w:rsidRPr="00C56257">
        <w:rPr>
          <w:i/>
          <w:color w:val="000000" w:themeColor="text1"/>
        </w:rPr>
        <w:t>și</w:t>
      </w:r>
      <w:r w:rsidRPr="00C56257">
        <w:rPr>
          <w:i/>
          <w:color w:val="000000" w:themeColor="text1"/>
          <w:spacing w:val="-2"/>
        </w:rPr>
        <w:t xml:space="preserve"> </w:t>
      </w:r>
      <w:r w:rsidRPr="00C56257">
        <w:rPr>
          <w:i/>
          <w:color w:val="000000" w:themeColor="text1"/>
        </w:rPr>
        <w:t>SACs)</w:t>
      </w:r>
      <w:r w:rsidRPr="00C56257">
        <w:rPr>
          <w:i/>
          <w:color w:val="000000" w:themeColor="text1"/>
          <w:spacing w:val="-2"/>
        </w:rPr>
        <w:t xml:space="preserve"> </w:t>
      </w:r>
      <w:r w:rsidRPr="00C56257">
        <w:rPr>
          <w:i/>
          <w:color w:val="000000" w:themeColor="text1"/>
        </w:rPr>
        <w:t>pentru habitatele</w:t>
      </w:r>
      <w:r w:rsidRPr="00C56257">
        <w:rPr>
          <w:i/>
          <w:color w:val="000000" w:themeColor="text1"/>
          <w:spacing w:val="-1"/>
        </w:rPr>
        <w:t xml:space="preserve"> </w:t>
      </w:r>
      <w:r w:rsidRPr="00C56257">
        <w:rPr>
          <w:i/>
          <w:color w:val="000000" w:themeColor="text1"/>
        </w:rPr>
        <w:t>din</w:t>
      </w:r>
      <w:r w:rsidRPr="00C56257">
        <w:rPr>
          <w:i/>
          <w:color w:val="000000" w:themeColor="text1"/>
          <w:spacing w:val="-1"/>
        </w:rPr>
        <w:t xml:space="preserve"> </w:t>
      </w:r>
      <w:r w:rsidRPr="00C56257">
        <w:rPr>
          <w:i/>
          <w:color w:val="000000" w:themeColor="text1"/>
        </w:rPr>
        <w:t>anexa</w:t>
      </w:r>
      <w:r w:rsidRPr="00C56257">
        <w:rPr>
          <w:i/>
          <w:color w:val="000000" w:themeColor="text1"/>
          <w:spacing w:val="-1"/>
        </w:rPr>
        <w:t xml:space="preserve"> </w:t>
      </w:r>
      <w:r w:rsidRPr="00C56257">
        <w:rPr>
          <w:i/>
          <w:color w:val="000000" w:themeColor="text1"/>
        </w:rPr>
        <w:t>I</w:t>
      </w:r>
    </w:p>
    <w:p w14:paraId="561F8A9F" w14:textId="77777777" w:rsidR="006735BF" w:rsidRPr="00C56257" w:rsidRDefault="006735BF" w:rsidP="00182DE3">
      <w:pPr>
        <w:pStyle w:val="BodyText"/>
        <w:ind w:left="0"/>
        <w:jc w:val="both"/>
        <w:rPr>
          <w:color w:val="000000" w:themeColor="text1"/>
          <w:sz w:val="24"/>
          <w:szCs w:val="24"/>
          <w:lang w:val="ro-RO"/>
        </w:rPr>
      </w:pPr>
      <w:r w:rsidRPr="00C56257">
        <w:rPr>
          <w:color w:val="000000" w:themeColor="text1"/>
          <w:sz w:val="24"/>
          <w:szCs w:val="24"/>
          <w:lang w:val="ro-RO"/>
        </w:rPr>
        <w:t>Această secțiune oferă informații despre suprafața habitatului și tendința suprafeței în stare bună în</w:t>
      </w:r>
      <w:r w:rsidRPr="00C56257">
        <w:rPr>
          <w:color w:val="000000" w:themeColor="text1"/>
          <w:spacing w:val="1"/>
          <w:sz w:val="24"/>
          <w:szCs w:val="24"/>
          <w:lang w:val="ro-RO"/>
        </w:rPr>
        <w:t xml:space="preserve"> </w:t>
      </w:r>
      <w:r w:rsidRPr="00C56257">
        <w:rPr>
          <w:color w:val="000000" w:themeColor="text1"/>
          <w:sz w:val="24"/>
          <w:szCs w:val="24"/>
          <w:lang w:val="ro-RO"/>
        </w:rPr>
        <w:t>rețeaua Natura 2000. Informațiile solicitate ar trebui să acopere siturile de importanță comunitară</w:t>
      </w:r>
      <w:r w:rsidRPr="00C56257">
        <w:rPr>
          <w:color w:val="000000" w:themeColor="text1"/>
          <w:spacing w:val="1"/>
          <w:sz w:val="24"/>
          <w:szCs w:val="24"/>
          <w:lang w:val="ro-RO"/>
        </w:rPr>
        <w:t xml:space="preserve"> </w:t>
      </w:r>
      <w:r w:rsidRPr="00C56257">
        <w:rPr>
          <w:color w:val="000000" w:themeColor="text1"/>
          <w:sz w:val="24"/>
          <w:szCs w:val="24"/>
          <w:lang w:val="ro-RO"/>
        </w:rPr>
        <w:t>propuse (pSCI), siturile de importanță comunitară (SCI) și zonele speciale de conservare (SAC) ale</w:t>
      </w:r>
      <w:r w:rsidRPr="00C56257">
        <w:rPr>
          <w:color w:val="000000" w:themeColor="text1"/>
          <w:spacing w:val="1"/>
          <w:sz w:val="24"/>
          <w:szCs w:val="24"/>
          <w:lang w:val="ro-RO"/>
        </w:rPr>
        <w:t xml:space="preserve"> </w:t>
      </w:r>
      <w:r w:rsidRPr="00C56257">
        <w:rPr>
          <w:color w:val="000000" w:themeColor="text1"/>
          <w:sz w:val="24"/>
          <w:szCs w:val="24"/>
          <w:lang w:val="ro-RO"/>
        </w:rPr>
        <w:t>rețelei</w:t>
      </w:r>
      <w:r w:rsidRPr="00C56257">
        <w:rPr>
          <w:color w:val="000000" w:themeColor="text1"/>
          <w:spacing w:val="-1"/>
          <w:sz w:val="24"/>
          <w:szCs w:val="24"/>
          <w:lang w:val="ro-RO"/>
        </w:rPr>
        <w:t xml:space="preserve"> </w:t>
      </w:r>
      <w:r w:rsidRPr="00C56257">
        <w:rPr>
          <w:color w:val="000000" w:themeColor="text1"/>
          <w:sz w:val="24"/>
          <w:szCs w:val="24"/>
          <w:lang w:val="ro-RO"/>
        </w:rPr>
        <w:t>Natura</w:t>
      </w:r>
      <w:r w:rsidRPr="00C56257">
        <w:rPr>
          <w:color w:val="000000" w:themeColor="text1"/>
          <w:spacing w:val="-2"/>
          <w:sz w:val="24"/>
          <w:szCs w:val="24"/>
          <w:lang w:val="ro-RO"/>
        </w:rPr>
        <w:t xml:space="preserve"> </w:t>
      </w:r>
      <w:r w:rsidRPr="00C56257">
        <w:rPr>
          <w:color w:val="000000" w:themeColor="text1"/>
          <w:sz w:val="24"/>
          <w:szCs w:val="24"/>
          <w:lang w:val="ro-RO"/>
        </w:rPr>
        <w:t>2000 din regiunea</w:t>
      </w:r>
      <w:r w:rsidRPr="00C56257">
        <w:rPr>
          <w:color w:val="000000" w:themeColor="text1"/>
          <w:spacing w:val="-1"/>
          <w:sz w:val="24"/>
          <w:szCs w:val="24"/>
          <w:lang w:val="ro-RO"/>
        </w:rPr>
        <w:t xml:space="preserve"> </w:t>
      </w:r>
      <w:r w:rsidRPr="00C56257">
        <w:rPr>
          <w:color w:val="000000" w:themeColor="text1"/>
          <w:sz w:val="24"/>
          <w:szCs w:val="24"/>
          <w:lang w:val="ro-RO"/>
        </w:rPr>
        <w:t>biogeografică</w:t>
      </w:r>
      <w:r w:rsidRPr="00C56257">
        <w:rPr>
          <w:color w:val="000000" w:themeColor="text1"/>
          <w:spacing w:val="-2"/>
          <w:sz w:val="24"/>
          <w:szCs w:val="24"/>
          <w:lang w:val="ro-RO"/>
        </w:rPr>
        <w:t xml:space="preserve"> </w:t>
      </w:r>
      <w:r w:rsidRPr="00C56257">
        <w:rPr>
          <w:color w:val="000000" w:themeColor="text1"/>
          <w:sz w:val="24"/>
          <w:szCs w:val="24"/>
          <w:lang w:val="ro-RO"/>
        </w:rPr>
        <w:t>/</w:t>
      </w:r>
      <w:r w:rsidRPr="00C56257">
        <w:rPr>
          <w:color w:val="000000" w:themeColor="text1"/>
          <w:spacing w:val="2"/>
          <w:sz w:val="24"/>
          <w:szCs w:val="24"/>
          <w:lang w:val="ro-RO"/>
        </w:rPr>
        <w:t xml:space="preserve"> </w:t>
      </w:r>
      <w:r w:rsidRPr="00C56257">
        <w:rPr>
          <w:color w:val="000000" w:themeColor="text1"/>
          <w:sz w:val="24"/>
          <w:szCs w:val="24"/>
          <w:lang w:val="ro-RO"/>
        </w:rPr>
        <w:t>marină în cauză.</w:t>
      </w:r>
    </w:p>
    <w:p w14:paraId="1315E230" w14:textId="77777777" w:rsidR="006735BF" w:rsidRPr="00C56257" w:rsidRDefault="006735BF" w:rsidP="00182DE3">
      <w:pPr>
        <w:pStyle w:val="BodyText"/>
        <w:ind w:left="0"/>
        <w:jc w:val="both"/>
        <w:rPr>
          <w:color w:val="000000" w:themeColor="text1"/>
          <w:sz w:val="24"/>
          <w:szCs w:val="24"/>
          <w:lang w:val="fr-FR"/>
        </w:rPr>
      </w:pPr>
      <w:proofErr w:type="spellStart"/>
      <w:r w:rsidRPr="00C56257">
        <w:rPr>
          <w:color w:val="000000" w:themeColor="text1"/>
          <w:sz w:val="24"/>
          <w:szCs w:val="24"/>
          <w:lang w:val="fr-FR"/>
        </w:rPr>
        <w:t>Informațiile</w:t>
      </w:r>
      <w:proofErr w:type="spellEnd"/>
      <w:r w:rsidRPr="00C56257">
        <w:rPr>
          <w:color w:val="000000" w:themeColor="text1"/>
          <w:sz w:val="24"/>
          <w:szCs w:val="24"/>
          <w:lang w:val="fr-FR"/>
        </w:rPr>
        <w:t xml:space="preserve"> se </w:t>
      </w:r>
      <w:proofErr w:type="spellStart"/>
      <w:r w:rsidRPr="00C56257">
        <w:rPr>
          <w:color w:val="000000" w:themeColor="text1"/>
          <w:sz w:val="24"/>
          <w:szCs w:val="24"/>
          <w:lang w:val="fr-FR"/>
        </w:rPr>
        <w:t>referă</w:t>
      </w:r>
      <w:proofErr w:type="spellEnd"/>
      <w:r w:rsidRPr="00C56257">
        <w:rPr>
          <w:color w:val="000000" w:themeColor="text1"/>
          <w:sz w:val="24"/>
          <w:szCs w:val="24"/>
          <w:lang w:val="fr-FR"/>
        </w:rPr>
        <w:t xml:space="preserve"> la </w:t>
      </w:r>
      <w:proofErr w:type="spellStart"/>
      <w:r w:rsidRPr="00C56257">
        <w:rPr>
          <w:color w:val="000000" w:themeColor="text1"/>
          <w:sz w:val="24"/>
          <w:szCs w:val="24"/>
          <w:lang w:val="fr-FR"/>
        </w:rPr>
        <w:t>toate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pSCI-urile</w:t>
      </w:r>
      <w:proofErr w:type="spellEnd"/>
      <w:r w:rsidRPr="00C56257">
        <w:rPr>
          <w:color w:val="000000" w:themeColor="text1"/>
          <w:sz w:val="24"/>
          <w:szCs w:val="24"/>
          <w:lang w:val="fr-FR"/>
        </w:rPr>
        <w:t xml:space="preserve"> / SCI-</w:t>
      </w:r>
      <w:proofErr w:type="spellStart"/>
      <w:r w:rsidRPr="00C56257">
        <w:rPr>
          <w:color w:val="000000" w:themeColor="text1"/>
          <w:sz w:val="24"/>
          <w:szCs w:val="24"/>
          <w:lang w:val="fr-FR"/>
        </w:rPr>
        <w:t>urile</w:t>
      </w:r>
      <w:proofErr w:type="spellEnd"/>
      <w:r w:rsidRPr="00C56257">
        <w:rPr>
          <w:color w:val="000000" w:themeColor="text1"/>
          <w:sz w:val="24"/>
          <w:szCs w:val="24"/>
          <w:lang w:val="fr-FR"/>
        </w:rPr>
        <w:t xml:space="preserve"> / SAC-</w:t>
      </w:r>
      <w:proofErr w:type="spellStart"/>
      <w:r w:rsidRPr="00C56257">
        <w:rPr>
          <w:color w:val="000000" w:themeColor="text1"/>
          <w:sz w:val="24"/>
          <w:szCs w:val="24"/>
          <w:lang w:val="fr-FR"/>
        </w:rPr>
        <w:t>urile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care </w:t>
      </w:r>
      <w:proofErr w:type="spellStart"/>
      <w:r w:rsidRPr="00C56257">
        <w:rPr>
          <w:color w:val="000000" w:themeColor="text1"/>
          <w:sz w:val="24"/>
          <w:szCs w:val="24"/>
          <w:lang w:val="fr-FR"/>
        </w:rPr>
        <w:t>habitatele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din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anexa</w:t>
      </w:r>
      <w:proofErr w:type="spellEnd"/>
      <w:r w:rsidRPr="00C56257">
        <w:rPr>
          <w:color w:val="000000" w:themeColor="text1"/>
          <w:sz w:val="24"/>
          <w:szCs w:val="24"/>
          <w:lang w:val="fr-FR"/>
        </w:rPr>
        <w:t xml:space="preserve"> I </w:t>
      </w:r>
      <w:proofErr w:type="spellStart"/>
      <w:r w:rsidRPr="00C56257">
        <w:rPr>
          <w:color w:val="000000" w:themeColor="text1"/>
          <w:sz w:val="24"/>
          <w:szCs w:val="24"/>
          <w:lang w:val="fr-FR"/>
        </w:rPr>
        <w:t>sunt</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prezente</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r w:rsidRPr="00C56257">
        <w:rPr>
          <w:color w:val="000000" w:themeColor="text1"/>
          <w:sz w:val="24"/>
          <w:szCs w:val="24"/>
          <w:lang w:val="fr-FR"/>
        </w:rPr>
        <w:t xml:space="preserve">nu </w:t>
      </w:r>
      <w:proofErr w:type="spellStart"/>
      <w:r w:rsidRPr="00C56257">
        <w:rPr>
          <w:color w:val="000000" w:themeColor="text1"/>
          <w:sz w:val="24"/>
          <w:szCs w:val="24"/>
          <w:lang w:val="fr-FR"/>
        </w:rPr>
        <w:t>numai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acele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sit-uri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care</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habitatul</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 xml:space="preserve">este </w:t>
      </w:r>
      <w:proofErr w:type="spellStart"/>
      <w:r w:rsidRPr="00C56257">
        <w:rPr>
          <w:color w:val="000000" w:themeColor="text1"/>
          <w:sz w:val="24"/>
          <w:szCs w:val="24"/>
          <w:lang w:val="fr-FR"/>
        </w:rPr>
        <w:t>declarat</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obiectiv</w:t>
      </w:r>
      <w:proofErr w:type="spellEnd"/>
      <w:r w:rsidRPr="00C56257">
        <w:rPr>
          <w:color w:val="000000" w:themeColor="text1"/>
          <w:sz w:val="24"/>
          <w:szCs w:val="24"/>
          <w:lang w:val="fr-FR"/>
        </w:rPr>
        <w:t xml:space="preserve"> 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w:t>
      </w:r>
    </w:p>
    <w:p w14:paraId="4992F88B" w14:textId="77777777" w:rsidR="006735BF" w:rsidRPr="00C56257" w:rsidRDefault="006735BF" w:rsidP="00182DE3">
      <w:pPr>
        <w:jc w:val="both"/>
        <w:rPr>
          <w:i/>
          <w:color w:val="000000" w:themeColor="text1"/>
        </w:rPr>
      </w:pPr>
      <w:r w:rsidRPr="00C56257">
        <w:rPr>
          <w:i/>
          <w:color w:val="000000" w:themeColor="text1"/>
        </w:rPr>
        <w:t>Suprafața</w:t>
      </w:r>
      <w:r w:rsidRPr="00C56257">
        <w:rPr>
          <w:i/>
          <w:color w:val="000000" w:themeColor="text1"/>
          <w:spacing w:val="-1"/>
        </w:rPr>
        <w:t xml:space="preserve"> </w:t>
      </w:r>
      <w:r w:rsidRPr="00C56257">
        <w:rPr>
          <w:i/>
          <w:color w:val="000000" w:themeColor="text1"/>
        </w:rPr>
        <w:t>tipului de</w:t>
      </w:r>
      <w:r w:rsidRPr="00C56257">
        <w:rPr>
          <w:i/>
          <w:color w:val="000000" w:themeColor="text1"/>
          <w:spacing w:val="-1"/>
        </w:rPr>
        <w:t xml:space="preserve"> </w:t>
      </w:r>
      <w:r w:rsidRPr="00C56257">
        <w:rPr>
          <w:i/>
          <w:color w:val="000000" w:themeColor="text1"/>
        </w:rPr>
        <w:t>habitat din</w:t>
      </w:r>
      <w:r w:rsidRPr="00C56257">
        <w:rPr>
          <w:i/>
          <w:color w:val="000000" w:themeColor="text1"/>
          <w:spacing w:val="-1"/>
        </w:rPr>
        <w:t xml:space="preserve"> </w:t>
      </w:r>
      <w:r w:rsidRPr="00C56257">
        <w:rPr>
          <w:i/>
          <w:color w:val="000000" w:themeColor="text1"/>
        </w:rPr>
        <w:t>rețeaua pSCI,</w:t>
      </w:r>
      <w:r w:rsidRPr="00C56257">
        <w:rPr>
          <w:i/>
          <w:color w:val="000000" w:themeColor="text1"/>
          <w:spacing w:val="-1"/>
        </w:rPr>
        <w:t xml:space="preserve"> </w:t>
      </w:r>
      <w:r w:rsidRPr="00C56257">
        <w:rPr>
          <w:i/>
          <w:color w:val="000000" w:themeColor="text1"/>
        </w:rPr>
        <w:t>SCI și</w:t>
      </w:r>
      <w:r w:rsidRPr="00C56257">
        <w:rPr>
          <w:i/>
          <w:color w:val="000000" w:themeColor="text1"/>
          <w:spacing w:val="-2"/>
        </w:rPr>
        <w:t xml:space="preserve"> </w:t>
      </w:r>
      <w:r w:rsidRPr="00C56257">
        <w:rPr>
          <w:i/>
          <w:color w:val="000000" w:themeColor="text1"/>
        </w:rPr>
        <w:t>SAC</w:t>
      </w:r>
    </w:p>
    <w:p w14:paraId="2655D3AD" w14:textId="77777777" w:rsidR="006735BF" w:rsidRPr="00C56257" w:rsidRDefault="006735BF" w:rsidP="00182DE3">
      <w:pPr>
        <w:pStyle w:val="BodyText"/>
        <w:ind w:left="0" w:right="14"/>
        <w:jc w:val="both"/>
        <w:rPr>
          <w:color w:val="000000" w:themeColor="text1"/>
          <w:sz w:val="24"/>
          <w:szCs w:val="24"/>
        </w:rPr>
      </w:pPr>
      <w:r w:rsidRPr="00C56257">
        <w:rPr>
          <w:color w:val="000000" w:themeColor="text1"/>
          <w:sz w:val="24"/>
          <w:szCs w:val="24"/>
          <w:lang w:val="fr-FR"/>
        </w:rPr>
        <w:lastRenderedPageBreak/>
        <w:t xml:space="preserve">Se </w:t>
      </w:r>
      <w:proofErr w:type="spellStart"/>
      <w:r w:rsidRPr="00C56257">
        <w:rPr>
          <w:color w:val="000000" w:themeColor="text1"/>
          <w:sz w:val="24"/>
          <w:szCs w:val="24"/>
          <w:lang w:val="fr-FR"/>
        </w:rPr>
        <w:t>indică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suprafața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tipului</w:t>
      </w:r>
      <w:proofErr w:type="spellEnd"/>
      <w:r w:rsidRPr="00C56257">
        <w:rPr>
          <w:color w:val="000000" w:themeColor="text1"/>
          <w:sz w:val="24"/>
          <w:szCs w:val="24"/>
          <w:lang w:val="fr-FR"/>
        </w:rPr>
        <w:t xml:space="preserve"> de habitat </w:t>
      </w:r>
      <w:proofErr w:type="spellStart"/>
      <w:r w:rsidRPr="00C56257">
        <w:rPr>
          <w:color w:val="000000" w:themeColor="text1"/>
          <w:sz w:val="24"/>
          <w:szCs w:val="24"/>
          <w:lang w:val="fr-FR"/>
        </w:rPr>
        <w:t>din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rețea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din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regiunea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biogeografică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sau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marină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cauză</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inclusiv</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toate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siturile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care este </w:t>
      </w:r>
      <w:proofErr w:type="spellStart"/>
      <w:r w:rsidRPr="00C56257">
        <w:rPr>
          <w:color w:val="000000" w:themeColor="text1"/>
          <w:sz w:val="24"/>
          <w:szCs w:val="24"/>
          <w:lang w:val="fr-FR"/>
        </w:rPr>
        <w:t>prezent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tipul</w:t>
      </w:r>
      <w:proofErr w:type="spellEnd"/>
      <w:r w:rsidRPr="00C56257">
        <w:rPr>
          <w:color w:val="000000" w:themeColor="text1"/>
          <w:sz w:val="24"/>
          <w:szCs w:val="24"/>
          <w:lang w:val="fr-FR"/>
        </w:rPr>
        <w:t xml:space="preserve"> de habitat. </w:t>
      </w:r>
      <w:r w:rsidRPr="00C56257">
        <w:rPr>
          <w:color w:val="000000" w:themeColor="text1"/>
          <w:sz w:val="24"/>
          <w:szCs w:val="24"/>
        </w:rPr>
        <w:t xml:space="preserve">Se </w:t>
      </w:r>
      <w:proofErr w:type="spellStart"/>
      <w:r w:rsidRPr="00C56257">
        <w:rPr>
          <w:color w:val="000000" w:themeColor="text1"/>
          <w:sz w:val="24"/>
          <w:szCs w:val="24"/>
        </w:rPr>
        <w:t>urmăresc</w:t>
      </w:r>
      <w:proofErr w:type="spellEnd"/>
      <w:r w:rsidRPr="00C56257">
        <w:rPr>
          <w:color w:val="000000" w:themeColor="text1"/>
          <w:sz w:val="24"/>
          <w:szCs w:val="24"/>
        </w:rPr>
        <w:t xml:space="preserve"> </w:t>
      </w:r>
      <w:proofErr w:type="spellStart"/>
      <w:r w:rsidRPr="00C56257">
        <w:rPr>
          <w:color w:val="000000" w:themeColor="text1"/>
          <w:sz w:val="24"/>
          <w:szCs w:val="24"/>
        </w:rPr>
        <w:t>aceleași</w:t>
      </w:r>
      <w:proofErr w:type="spellEnd"/>
      <w:r w:rsidRPr="00C56257">
        <w:rPr>
          <w:color w:val="000000" w:themeColor="text1"/>
          <w:sz w:val="24"/>
          <w:szCs w:val="24"/>
        </w:rPr>
        <w:t xml:space="preserve"> </w:t>
      </w:r>
      <w:proofErr w:type="spellStart"/>
      <w:r w:rsidRPr="00C56257">
        <w:rPr>
          <w:color w:val="000000" w:themeColor="text1"/>
          <w:sz w:val="24"/>
          <w:szCs w:val="24"/>
        </w:rPr>
        <w:t>recomandări</w:t>
      </w:r>
      <w:proofErr w:type="spellEnd"/>
      <w:r w:rsidRPr="00C56257">
        <w:rPr>
          <w:color w:val="000000" w:themeColor="text1"/>
          <w:sz w:val="24"/>
          <w:szCs w:val="24"/>
        </w:rPr>
        <w:t xml:space="preserve"> ca </w:t>
      </w:r>
      <w:proofErr w:type="spellStart"/>
      <w:r w:rsidRPr="00C56257">
        <w:rPr>
          <w:color w:val="000000" w:themeColor="text1"/>
          <w:sz w:val="24"/>
          <w:szCs w:val="24"/>
        </w:rPr>
        <w:t>și</w:t>
      </w:r>
      <w:proofErr w:type="spellEnd"/>
      <w:r w:rsidRPr="00C56257">
        <w:rPr>
          <w:color w:val="000000" w:themeColor="text1"/>
          <w:spacing w:val="1"/>
          <w:sz w:val="24"/>
          <w:szCs w:val="24"/>
        </w:rPr>
        <w:t xml:space="preserve"> </w:t>
      </w:r>
      <w:proofErr w:type="spellStart"/>
      <w:r w:rsidRPr="00C56257">
        <w:rPr>
          <w:color w:val="000000" w:themeColor="text1"/>
          <w:sz w:val="24"/>
          <w:szCs w:val="24"/>
        </w:rPr>
        <w:t>pentru</w:t>
      </w:r>
      <w:proofErr w:type="spellEnd"/>
      <w:r w:rsidRPr="00C56257">
        <w:rPr>
          <w:color w:val="000000" w:themeColor="text1"/>
          <w:spacing w:val="-1"/>
          <w:sz w:val="24"/>
          <w:szCs w:val="24"/>
        </w:rPr>
        <w:t xml:space="preserve"> </w:t>
      </w:r>
      <w:proofErr w:type="spellStart"/>
      <w:r w:rsidRPr="00C56257">
        <w:rPr>
          <w:color w:val="000000" w:themeColor="text1"/>
          <w:sz w:val="24"/>
          <w:szCs w:val="24"/>
        </w:rPr>
        <w:t>suprafața</w:t>
      </w:r>
      <w:proofErr w:type="spellEnd"/>
      <w:r w:rsidRPr="00C56257">
        <w:rPr>
          <w:color w:val="000000" w:themeColor="text1"/>
          <w:sz w:val="24"/>
          <w:szCs w:val="24"/>
        </w:rPr>
        <w:t xml:space="preserve"> </w:t>
      </w:r>
      <w:proofErr w:type="spellStart"/>
      <w:r w:rsidRPr="00C56257">
        <w:rPr>
          <w:color w:val="000000" w:themeColor="text1"/>
          <w:sz w:val="24"/>
          <w:szCs w:val="24"/>
        </w:rPr>
        <w:t>habitatului</w:t>
      </w:r>
      <w:proofErr w:type="spellEnd"/>
      <w:r w:rsidRPr="00C56257">
        <w:rPr>
          <w:color w:val="000000" w:themeColor="text1"/>
          <w:sz w:val="24"/>
          <w:szCs w:val="24"/>
        </w:rPr>
        <w:t>.</w:t>
      </w:r>
    </w:p>
    <w:p w14:paraId="45A64BE5" w14:textId="77777777" w:rsidR="006735BF" w:rsidRPr="00C56257" w:rsidRDefault="006735BF" w:rsidP="008E33FD">
      <w:pPr>
        <w:pStyle w:val="BodyText"/>
        <w:spacing w:before="8" w:after="1"/>
        <w:jc w:val="both"/>
        <w:rPr>
          <w:color w:val="000000" w:themeColor="text1"/>
          <w:sz w:val="24"/>
          <w:szCs w:val="24"/>
        </w:rPr>
      </w:pPr>
    </w:p>
    <w:tbl>
      <w:tblPr>
        <w:tblW w:w="0" w:type="auto"/>
        <w:tblInd w:w="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706"/>
        <w:gridCol w:w="707"/>
        <w:gridCol w:w="706"/>
        <w:gridCol w:w="706"/>
        <w:gridCol w:w="706"/>
        <w:gridCol w:w="706"/>
        <w:gridCol w:w="1422"/>
        <w:gridCol w:w="2600"/>
      </w:tblGrid>
      <w:tr w:rsidR="006735BF" w:rsidRPr="00C56257" w14:paraId="5A58375A" w14:textId="77777777" w:rsidTr="00511A4E">
        <w:trPr>
          <w:trHeight w:val="506"/>
        </w:trPr>
        <w:tc>
          <w:tcPr>
            <w:tcW w:w="1385" w:type="dxa"/>
          </w:tcPr>
          <w:p w14:paraId="17BA64F0" w14:textId="77777777" w:rsidR="006735BF" w:rsidRPr="00C56257" w:rsidRDefault="006735BF" w:rsidP="008E33FD">
            <w:pPr>
              <w:pStyle w:val="TableParagraph"/>
              <w:spacing w:before="8"/>
              <w:jc w:val="both"/>
              <w:rPr>
                <w:color w:val="000000" w:themeColor="text1"/>
                <w:sz w:val="24"/>
                <w:szCs w:val="24"/>
              </w:rPr>
            </w:pPr>
          </w:p>
          <w:p w14:paraId="64BF0F5F" w14:textId="77777777" w:rsidR="006735BF" w:rsidRPr="00C56257" w:rsidRDefault="006735BF" w:rsidP="008E33FD">
            <w:pPr>
              <w:pStyle w:val="TableParagraph"/>
              <w:spacing w:before="1" w:line="236" w:lineRule="exact"/>
              <w:ind w:left="88" w:right="80"/>
              <w:jc w:val="both"/>
              <w:rPr>
                <w:b/>
                <w:color w:val="000000" w:themeColor="text1"/>
                <w:sz w:val="24"/>
                <w:szCs w:val="24"/>
              </w:rPr>
            </w:pPr>
            <w:r w:rsidRPr="00C56257">
              <w:rPr>
                <w:b/>
                <w:color w:val="000000" w:themeColor="text1"/>
                <w:sz w:val="24"/>
                <w:szCs w:val="24"/>
              </w:rPr>
              <w:t>Cod</w:t>
            </w:r>
            <w:r w:rsidRPr="00C56257">
              <w:rPr>
                <w:b/>
                <w:color w:val="000000" w:themeColor="text1"/>
                <w:spacing w:val="-2"/>
                <w:sz w:val="24"/>
                <w:szCs w:val="24"/>
              </w:rPr>
              <w:t xml:space="preserve"> </w:t>
            </w:r>
            <w:r w:rsidRPr="00C56257">
              <w:rPr>
                <w:b/>
                <w:color w:val="000000" w:themeColor="text1"/>
                <w:sz w:val="24"/>
                <w:szCs w:val="24"/>
              </w:rPr>
              <w:t>Habitat</w:t>
            </w:r>
          </w:p>
        </w:tc>
        <w:tc>
          <w:tcPr>
            <w:tcW w:w="706" w:type="dxa"/>
          </w:tcPr>
          <w:p w14:paraId="10BD9498" w14:textId="77777777" w:rsidR="006735BF" w:rsidRPr="00C56257" w:rsidRDefault="006735BF" w:rsidP="008E33FD">
            <w:pPr>
              <w:pStyle w:val="TableParagraph"/>
              <w:spacing w:before="8"/>
              <w:jc w:val="both"/>
              <w:rPr>
                <w:color w:val="000000" w:themeColor="text1"/>
                <w:sz w:val="24"/>
                <w:szCs w:val="24"/>
              </w:rPr>
            </w:pPr>
          </w:p>
          <w:p w14:paraId="53FA3FF8" w14:textId="77777777" w:rsidR="006735BF" w:rsidRPr="00C56257" w:rsidRDefault="006735BF" w:rsidP="008E33FD">
            <w:pPr>
              <w:pStyle w:val="TableParagraph"/>
              <w:spacing w:before="1" w:line="236" w:lineRule="exact"/>
              <w:ind w:left="90" w:right="85"/>
              <w:jc w:val="both"/>
              <w:rPr>
                <w:b/>
                <w:color w:val="000000" w:themeColor="text1"/>
                <w:sz w:val="24"/>
                <w:szCs w:val="24"/>
              </w:rPr>
            </w:pPr>
            <w:r w:rsidRPr="00C56257">
              <w:rPr>
                <w:b/>
                <w:color w:val="000000" w:themeColor="text1"/>
                <w:sz w:val="24"/>
                <w:szCs w:val="24"/>
              </w:rPr>
              <w:t>ALP</w:t>
            </w:r>
          </w:p>
        </w:tc>
        <w:tc>
          <w:tcPr>
            <w:tcW w:w="707" w:type="dxa"/>
          </w:tcPr>
          <w:p w14:paraId="4274E223" w14:textId="77777777" w:rsidR="006735BF" w:rsidRPr="00C56257" w:rsidRDefault="006735BF" w:rsidP="008E33FD">
            <w:pPr>
              <w:pStyle w:val="TableParagraph"/>
              <w:spacing w:before="8"/>
              <w:jc w:val="both"/>
              <w:rPr>
                <w:color w:val="000000" w:themeColor="text1"/>
                <w:sz w:val="24"/>
                <w:szCs w:val="24"/>
              </w:rPr>
            </w:pPr>
          </w:p>
          <w:p w14:paraId="191438C7" w14:textId="77777777" w:rsidR="006735BF" w:rsidRPr="00C56257" w:rsidRDefault="006735BF" w:rsidP="008E33FD">
            <w:pPr>
              <w:pStyle w:val="TableParagraph"/>
              <w:spacing w:before="1" w:line="236" w:lineRule="exact"/>
              <w:ind w:left="87" w:right="80"/>
              <w:jc w:val="both"/>
              <w:rPr>
                <w:b/>
                <w:color w:val="000000" w:themeColor="text1"/>
                <w:sz w:val="24"/>
                <w:szCs w:val="24"/>
              </w:rPr>
            </w:pPr>
            <w:r w:rsidRPr="00C56257">
              <w:rPr>
                <w:b/>
                <w:color w:val="000000" w:themeColor="text1"/>
                <w:sz w:val="24"/>
                <w:szCs w:val="24"/>
              </w:rPr>
              <w:t>CON</w:t>
            </w:r>
          </w:p>
        </w:tc>
        <w:tc>
          <w:tcPr>
            <w:tcW w:w="706" w:type="dxa"/>
          </w:tcPr>
          <w:p w14:paraId="37D2D886" w14:textId="77777777" w:rsidR="006735BF" w:rsidRPr="00C56257" w:rsidRDefault="006735BF" w:rsidP="008E33FD">
            <w:pPr>
              <w:pStyle w:val="TableParagraph"/>
              <w:spacing w:before="8"/>
              <w:jc w:val="both"/>
              <w:rPr>
                <w:color w:val="000000" w:themeColor="text1"/>
                <w:sz w:val="24"/>
                <w:szCs w:val="24"/>
              </w:rPr>
            </w:pPr>
          </w:p>
          <w:p w14:paraId="2EC9694B" w14:textId="77777777" w:rsidR="006735BF" w:rsidRPr="00C56257" w:rsidRDefault="006735BF" w:rsidP="008E33FD">
            <w:pPr>
              <w:pStyle w:val="TableParagraph"/>
              <w:spacing w:before="1" w:line="236" w:lineRule="exact"/>
              <w:ind w:left="94" w:right="85"/>
              <w:jc w:val="both"/>
              <w:rPr>
                <w:b/>
                <w:color w:val="000000" w:themeColor="text1"/>
                <w:sz w:val="24"/>
                <w:szCs w:val="24"/>
              </w:rPr>
            </w:pPr>
            <w:r w:rsidRPr="00C56257">
              <w:rPr>
                <w:b/>
                <w:color w:val="000000" w:themeColor="text1"/>
                <w:sz w:val="24"/>
                <w:szCs w:val="24"/>
              </w:rPr>
              <w:t>PAN</w:t>
            </w:r>
          </w:p>
        </w:tc>
        <w:tc>
          <w:tcPr>
            <w:tcW w:w="706" w:type="dxa"/>
          </w:tcPr>
          <w:p w14:paraId="7FD92933" w14:textId="77777777" w:rsidR="006735BF" w:rsidRPr="00C56257" w:rsidRDefault="006735BF" w:rsidP="008E33FD">
            <w:pPr>
              <w:pStyle w:val="TableParagraph"/>
              <w:spacing w:before="8"/>
              <w:jc w:val="both"/>
              <w:rPr>
                <w:color w:val="000000" w:themeColor="text1"/>
                <w:sz w:val="24"/>
                <w:szCs w:val="24"/>
              </w:rPr>
            </w:pPr>
          </w:p>
          <w:p w14:paraId="490E8A41" w14:textId="77777777" w:rsidR="006735BF" w:rsidRPr="00C56257" w:rsidRDefault="006735BF" w:rsidP="008E33FD">
            <w:pPr>
              <w:pStyle w:val="TableParagraph"/>
              <w:spacing w:before="1" w:line="236" w:lineRule="exact"/>
              <w:ind w:left="88" w:right="85"/>
              <w:jc w:val="both"/>
              <w:rPr>
                <w:b/>
                <w:color w:val="000000" w:themeColor="text1"/>
                <w:sz w:val="24"/>
                <w:szCs w:val="24"/>
              </w:rPr>
            </w:pPr>
            <w:r w:rsidRPr="00C56257">
              <w:rPr>
                <w:b/>
                <w:color w:val="000000" w:themeColor="text1"/>
                <w:sz w:val="24"/>
                <w:szCs w:val="24"/>
              </w:rPr>
              <w:t>STE</w:t>
            </w:r>
          </w:p>
        </w:tc>
        <w:tc>
          <w:tcPr>
            <w:tcW w:w="706" w:type="dxa"/>
          </w:tcPr>
          <w:p w14:paraId="4DDABBD9" w14:textId="77777777" w:rsidR="006735BF" w:rsidRPr="00C56257" w:rsidRDefault="006735BF" w:rsidP="008E33FD">
            <w:pPr>
              <w:pStyle w:val="TableParagraph"/>
              <w:spacing w:before="8"/>
              <w:jc w:val="both"/>
              <w:rPr>
                <w:color w:val="000000" w:themeColor="text1"/>
                <w:sz w:val="24"/>
                <w:szCs w:val="24"/>
              </w:rPr>
            </w:pPr>
          </w:p>
          <w:p w14:paraId="5B6564AC" w14:textId="77777777" w:rsidR="006735BF" w:rsidRPr="00C56257" w:rsidRDefault="006735BF" w:rsidP="008E33FD">
            <w:pPr>
              <w:pStyle w:val="TableParagraph"/>
              <w:spacing w:before="1" w:line="236" w:lineRule="exact"/>
              <w:ind w:left="89" w:right="85"/>
              <w:jc w:val="both"/>
              <w:rPr>
                <w:b/>
                <w:color w:val="000000" w:themeColor="text1"/>
                <w:sz w:val="24"/>
                <w:szCs w:val="24"/>
              </w:rPr>
            </w:pPr>
            <w:r w:rsidRPr="00C56257">
              <w:rPr>
                <w:b/>
                <w:color w:val="000000" w:themeColor="text1"/>
                <w:sz w:val="24"/>
                <w:szCs w:val="24"/>
              </w:rPr>
              <w:t>BLS</w:t>
            </w:r>
          </w:p>
        </w:tc>
        <w:tc>
          <w:tcPr>
            <w:tcW w:w="706" w:type="dxa"/>
          </w:tcPr>
          <w:p w14:paraId="5BD40974" w14:textId="77777777" w:rsidR="006735BF" w:rsidRPr="00C56257" w:rsidRDefault="006735BF" w:rsidP="008E33FD">
            <w:pPr>
              <w:pStyle w:val="TableParagraph"/>
              <w:spacing w:before="8"/>
              <w:jc w:val="both"/>
              <w:rPr>
                <w:color w:val="000000" w:themeColor="text1"/>
                <w:sz w:val="24"/>
                <w:szCs w:val="24"/>
              </w:rPr>
            </w:pPr>
          </w:p>
          <w:p w14:paraId="707B815A" w14:textId="77777777" w:rsidR="006735BF" w:rsidRPr="00C56257" w:rsidRDefault="006735BF" w:rsidP="008E33FD">
            <w:pPr>
              <w:pStyle w:val="TableParagraph"/>
              <w:spacing w:before="1" w:line="236" w:lineRule="exact"/>
              <w:ind w:left="94" w:right="85"/>
              <w:jc w:val="both"/>
              <w:rPr>
                <w:b/>
                <w:color w:val="000000" w:themeColor="text1"/>
                <w:sz w:val="24"/>
                <w:szCs w:val="24"/>
              </w:rPr>
            </w:pPr>
            <w:r w:rsidRPr="00C56257">
              <w:rPr>
                <w:b/>
                <w:color w:val="000000" w:themeColor="text1"/>
                <w:sz w:val="24"/>
                <w:szCs w:val="24"/>
              </w:rPr>
              <w:t>MBS</w:t>
            </w:r>
          </w:p>
        </w:tc>
        <w:tc>
          <w:tcPr>
            <w:tcW w:w="1422" w:type="dxa"/>
          </w:tcPr>
          <w:p w14:paraId="4D1E4E35" w14:textId="77777777" w:rsidR="006735BF" w:rsidRPr="00C56257" w:rsidRDefault="006735BF" w:rsidP="008E33FD">
            <w:pPr>
              <w:pStyle w:val="TableParagraph"/>
              <w:spacing w:before="8"/>
              <w:jc w:val="both"/>
              <w:rPr>
                <w:color w:val="000000" w:themeColor="text1"/>
                <w:sz w:val="24"/>
                <w:szCs w:val="24"/>
              </w:rPr>
            </w:pPr>
          </w:p>
          <w:p w14:paraId="1EAB327B" w14:textId="77777777" w:rsidR="006735BF" w:rsidRPr="00C56257" w:rsidRDefault="006735BF" w:rsidP="008E33FD">
            <w:pPr>
              <w:pStyle w:val="TableParagraph"/>
              <w:spacing w:before="1" w:line="236" w:lineRule="exact"/>
              <w:ind w:left="88" w:right="81"/>
              <w:jc w:val="both"/>
              <w:rPr>
                <w:b/>
                <w:color w:val="000000" w:themeColor="text1"/>
                <w:sz w:val="24"/>
                <w:szCs w:val="24"/>
              </w:rPr>
            </w:pPr>
            <w:r w:rsidRPr="00C56257">
              <w:rPr>
                <w:b/>
                <w:color w:val="000000" w:themeColor="text1"/>
                <w:sz w:val="24"/>
                <w:szCs w:val="24"/>
              </w:rPr>
              <w:t>Total</w:t>
            </w:r>
            <w:r w:rsidRPr="00C56257">
              <w:rPr>
                <w:b/>
                <w:color w:val="000000" w:themeColor="text1"/>
                <w:spacing w:val="-1"/>
                <w:sz w:val="24"/>
                <w:szCs w:val="24"/>
              </w:rPr>
              <w:t xml:space="preserve"> </w:t>
            </w:r>
            <w:r w:rsidRPr="00C56257">
              <w:rPr>
                <w:b/>
                <w:color w:val="000000" w:themeColor="text1"/>
                <w:sz w:val="24"/>
                <w:szCs w:val="24"/>
              </w:rPr>
              <w:t>ploturi</w:t>
            </w:r>
          </w:p>
        </w:tc>
        <w:tc>
          <w:tcPr>
            <w:tcW w:w="2600" w:type="dxa"/>
          </w:tcPr>
          <w:p w14:paraId="28BC4964" w14:textId="77777777" w:rsidR="006735BF" w:rsidRPr="00C56257" w:rsidRDefault="006735BF" w:rsidP="008E33FD">
            <w:pPr>
              <w:pStyle w:val="TableParagraph"/>
              <w:spacing w:line="252" w:lineRule="exact"/>
              <w:ind w:left="445" w:right="433" w:firstLine="141"/>
              <w:jc w:val="both"/>
              <w:rPr>
                <w:b/>
                <w:color w:val="000000" w:themeColor="text1"/>
                <w:sz w:val="24"/>
                <w:szCs w:val="24"/>
              </w:rPr>
            </w:pPr>
            <w:r w:rsidRPr="00C56257">
              <w:rPr>
                <w:b/>
                <w:color w:val="000000" w:themeColor="text1"/>
                <w:sz w:val="24"/>
                <w:szCs w:val="24"/>
              </w:rPr>
              <w:t>Ploturi in doua</w:t>
            </w:r>
            <w:r w:rsidRPr="00C56257">
              <w:rPr>
                <w:b/>
                <w:color w:val="000000" w:themeColor="text1"/>
                <w:spacing w:val="1"/>
                <w:sz w:val="24"/>
                <w:szCs w:val="24"/>
              </w:rPr>
              <w:t xml:space="preserve"> </w:t>
            </w:r>
            <w:r w:rsidRPr="00C56257">
              <w:rPr>
                <w:b/>
                <w:color w:val="000000" w:themeColor="text1"/>
                <w:sz w:val="24"/>
                <w:szCs w:val="24"/>
              </w:rPr>
              <w:t>bioregiuni</w:t>
            </w:r>
            <w:r w:rsidRPr="00C56257">
              <w:rPr>
                <w:b/>
                <w:color w:val="000000" w:themeColor="text1"/>
                <w:spacing w:val="-13"/>
                <w:sz w:val="24"/>
                <w:szCs w:val="24"/>
              </w:rPr>
              <w:t xml:space="preserve"> </w:t>
            </w:r>
            <w:r w:rsidRPr="00C56257">
              <w:rPr>
                <w:b/>
                <w:color w:val="000000" w:themeColor="text1"/>
                <w:sz w:val="24"/>
                <w:szCs w:val="24"/>
              </w:rPr>
              <w:t>diferite</w:t>
            </w:r>
          </w:p>
        </w:tc>
      </w:tr>
      <w:tr w:rsidR="006735BF" w:rsidRPr="00C56257" w14:paraId="6C3BCFD8" w14:textId="77777777" w:rsidTr="00511A4E">
        <w:trPr>
          <w:trHeight w:val="299"/>
        </w:trPr>
        <w:tc>
          <w:tcPr>
            <w:tcW w:w="1385" w:type="dxa"/>
          </w:tcPr>
          <w:p w14:paraId="0550501D" w14:textId="77777777" w:rsidR="006735BF" w:rsidRPr="00C56257" w:rsidRDefault="006735BF" w:rsidP="008E33FD">
            <w:pPr>
              <w:pStyle w:val="TableParagraph"/>
              <w:spacing w:before="20" w:line="259" w:lineRule="exact"/>
              <w:ind w:left="86" w:right="80"/>
              <w:jc w:val="both"/>
              <w:rPr>
                <w:b/>
                <w:color w:val="000000" w:themeColor="text1"/>
                <w:sz w:val="24"/>
                <w:szCs w:val="24"/>
              </w:rPr>
            </w:pPr>
            <w:r w:rsidRPr="00C56257">
              <w:rPr>
                <w:b/>
                <w:color w:val="000000" w:themeColor="text1"/>
                <w:sz w:val="24"/>
                <w:szCs w:val="24"/>
              </w:rPr>
              <w:t>6110*</w:t>
            </w:r>
          </w:p>
        </w:tc>
        <w:tc>
          <w:tcPr>
            <w:tcW w:w="706" w:type="dxa"/>
          </w:tcPr>
          <w:p w14:paraId="751E28E5" w14:textId="77777777" w:rsidR="006735BF" w:rsidRPr="00C56257" w:rsidRDefault="006735BF" w:rsidP="008E33FD">
            <w:pPr>
              <w:pStyle w:val="TableParagraph"/>
              <w:spacing w:before="15" w:line="264" w:lineRule="exact"/>
              <w:ind w:left="93" w:right="85"/>
              <w:jc w:val="both"/>
              <w:rPr>
                <w:color w:val="000000" w:themeColor="text1"/>
                <w:sz w:val="24"/>
                <w:szCs w:val="24"/>
              </w:rPr>
            </w:pPr>
            <w:r w:rsidRPr="00C56257">
              <w:rPr>
                <w:color w:val="000000" w:themeColor="text1"/>
                <w:sz w:val="24"/>
                <w:szCs w:val="24"/>
              </w:rPr>
              <w:t>11</w:t>
            </w:r>
          </w:p>
        </w:tc>
        <w:tc>
          <w:tcPr>
            <w:tcW w:w="707" w:type="dxa"/>
          </w:tcPr>
          <w:p w14:paraId="2113DA85" w14:textId="77777777" w:rsidR="006735BF" w:rsidRPr="00C56257" w:rsidRDefault="006735BF" w:rsidP="008E33FD">
            <w:pPr>
              <w:pStyle w:val="TableParagraph"/>
              <w:spacing w:before="15" w:line="264" w:lineRule="exact"/>
              <w:ind w:left="87" w:right="79"/>
              <w:jc w:val="both"/>
              <w:rPr>
                <w:color w:val="000000" w:themeColor="text1"/>
                <w:sz w:val="24"/>
                <w:szCs w:val="24"/>
              </w:rPr>
            </w:pPr>
            <w:r w:rsidRPr="00C56257">
              <w:rPr>
                <w:color w:val="000000" w:themeColor="text1"/>
                <w:sz w:val="24"/>
                <w:szCs w:val="24"/>
              </w:rPr>
              <w:t>19</w:t>
            </w:r>
          </w:p>
        </w:tc>
        <w:tc>
          <w:tcPr>
            <w:tcW w:w="706" w:type="dxa"/>
          </w:tcPr>
          <w:p w14:paraId="11B2E794" w14:textId="77777777" w:rsidR="006735BF" w:rsidRPr="00C56257" w:rsidRDefault="006735BF" w:rsidP="008E33FD">
            <w:pPr>
              <w:pStyle w:val="TableParagraph"/>
              <w:spacing w:before="15" w:line="264" w:lineRule="exact"/>
              <w:ind w:left="6"/>
              <w:jc w:val="both"/>
              <w:rPr>
                <w:color w:val="000000" w:themeColor="text1"/>
                <w:sz w:val="24"/>
                <w:szCs w:val="24"/>
              </w:rPr>
            </w:pPr>
            <w:r w:rsidRPr="00C56257">
              <w:rPr>
                <w:color w:val="000000" w:themeColor="text1"/>
                <w:sz w:val="24"/>
                <w:szCs w:val="24"/>
              </w:rPr>
              <w:t>0</w:t>
            </w:r>
          </w:p>
        </w:tc>
        <w:tc>
          <w:tcPr>
            <w:tcW w:w="706" w:type="dxa"/>
          </w:tcPr>
          <w:p w14:paraId="176AC247"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0</w:t>
            </w:r>
          </w:p>
        </w:tc>
        <w:tc>
          <w:tcPr>
            <w:tcW w:w="706" w:type="dxa"/>
          </w:tcPr>
          <w:p w14:paraId="75ABE965"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0</w:t>
            </w:r>
          </w:p>
        </w:tc>
        <w:tc>
          <w:tcPr>
            <w:tcW w:w="706" w:type="dxa"/>
          </w:tcPr>
          <w:p w14:paraId="5F25AC18" w14:textId="77777777" w:rsidR="006735BF" w:rsidRPr="00C56257" w:rsidRDefault="006735BF" w:rsidP="008E33FD">
            <w:pPr>
              <w:pStyle w:val="TableParagraph"/>
              <w:spacing w:before="15" w:line="264" w:lineRule="exact"/>
              <w:ind w:left="9"/>
              <w:jc w:val="both"/>
              <w:rPr>
                <w:color w:val="000000" w:themeColor="text1"/>
                <w:sz w:val="24"/>
                <w:szCs w:val="24"/>
              </w:rPr>
            </w:pPr>
            <w:r w:rsidRPr="00C56257">
              <w:rPr>
                <w:color w:val="000000" w:themeColor="text1"/>
                <w:sz w:val="24"/>
                <w:szCs w:val="24"/>
              </w:rPr>
              <w:t>0</w:t>
            </w:r>
          </w:p>
        </w:tc>
        <w:tc>
          <w:tcPr>
            <w:tcW w:w="1422" w:type="dxa"/>
          </w:tcPr>
          <w:p w14:paraId="4347FDD8" w14:textId="77777777" w:rsidR="006735BF" w:rsidRPr="00C56257" w:rsidRDefault="006735BF" w:rsidP="008E33FD">
            <w:pPr>
              <w:pStyle w:val="TableParagraph"/>
              <w:spacing w:before="15" w:line="264" w:lineRule="exact"/>
              <w:ind w:left="88" w:right="81"/>
              <w:jc w:val="both"/>
              <w:rPr>
                <w:color w:val="000000" w:themeColor="text1"/>
                <w:sz w:val="24"/>
                <w:szCs w:val="24"/>
              </w:rPr>
            </w:pPr>
            <w:r w:rsidRPr="00C56257">
              <w:rPr>
                <w:color w:val="000000" w:themeColor="text1"/>
                <w:sz w:val="24"/>
                <w:szCs w:val="24"/>
              </w:rPr>
              <w:t>23</w:t>
            </w:r>
          </w:p>
        </w:tc>
        <w:tc>
          <w:tcPr>
            <w:tcW w:w="2600" w:type="dxa"/>
          </w:tcPr>
          <w:p w14:paraId="3BE21B3D" w14:textId="77777777" w:rsidR="006735BF" w:rsidRPr="00C56257" w:rsidRDefault="006735BF" w:rsidP="008E33FD">
            <w:pPr>
              <w:pStyle w:val="TableParagraph"/>
              <w:spacing w:before="15" w:line="264" w:lineRule="exact"/>
              <w:ind w:right="1230"/>
              <w:jc w:val="both"/>
              <w:rPr>
                <w:color w:val="000000" w:themeColor="text1"/>
                <w:sz w:val="24"/>
                <w:szCs w:val="24"/>
              </w:rPr>
            </w:pPr>
            <w:r w:rsidRPr="00C56257">
              <w:rPr>
                <w:color w:val="000000" w:themeColor="text1"/>
                <w:sz w:val="24"/>
                <w:szCs w:val="24"/>
              </w:rPr>
              <w:t>7</w:t>
            </w:r>
          </w:p>
        </w:tc>
      </w:tr>
      <w:tr w:rsidR="006735BF" w:rsidRPr="00C56257" w14:paraId="0E609613" w14:textId="77777777" w:rsidTr="00511A4E">
        <w:trPr>
          <w:trHeight w:val="299"/>
        </w:trPr>
        <w:tc>
          <w:tcPr>
            <w:tcW w:w="1385" w:type="dxa"/>
          </w:tcPr>
          <w:p w14:paraId="4DA185C2" w14:textId="77777777" w:rsidR="006735BF" w:rsidRPr="00C56257" w:rsidRDefault="006735BF" w:rsidP="008E33FD">
            <w:pPr>
              <w:pStyle w:val="TableParagraph"/>
              <w:spacing w:before="20" w:line="259" w:lineRule="exact"/>
              <w:ind w:left="86" w:right="80"/>
              <w:jc w:val="both"/>
              <w:rPr>
                <w:b/>
                <w:color w:val="000000" w:themeColor="text1"/>
                <w:sz w:val="24"/>
                <w:szCs w:val="24"/>
              </w:rPr>
            </w:pPr>
            <w:r w:rsidRPr="00C56257">
              <w:rPr>
                <w:b/>
                <w:color w:val="000000" w:themeColor="text1"/>
                <w:sz w:val="24"/>
                <w:szCs w:val="24"/>
              </w:rPr>
              <w:t>6120*</w:t>
            </w:r>
          </w:p>
        </w:tc>
        <w:tc>
          <w:tcPr>
            <w:tcW w:w="706" w:type="dxa"/>
          </w:tcPr>
          <w:p w14:paraId="489539B8" w14:textId="77777777" w:rsidR="006735BF" w:rsidRPr="00C56257" w:rsidRDefault="006735BF" w:rsidP="008E33FD">
            <w:pPr>
              <w:pStyle w:val="TableParagraph"/>
              <w:spacing w:before="15" w:line="264" w:lineRule="exact"/>
              <w:ind w:left="8"/>
              <w:jc w:val="both"/>
              <w:rPr>
                <w:color w:val="000000" w:themeColor="text1"/>
                <w:sz w:val="24"/>
                <w:szCs w:val="24"/>
              </w:rPr>
            </w:pPr>
            <w:r w:rsidRPr="00C56257">
              <w:rPr>
                <w:color w:val="000000" w:themeColor="text1"/>
                <w:sz w:val="24"/>
                <w:szCs w:val="24"/>
              </w:rPr>
              <w:t>0</w:t>
            </w:r>
          </w:p>
        </w:tc>
        <w:tc>
          <w:tcPr>
            <w:tcW w:w="707" w:type="dxa"/>
          </w:tcPr>
          <w:p w14:paraId="1FD4244F" w14:textId="77777777" w:rsidR="006735BF" w:rsidRPr="00C56257" w:rsidRDefault="006735BF" w:rsidP="008E33FD">
            <w:pPr>
              <w:pStyle w:val="TableParagraph"/>
              <w:spacing w:before="15" w:line="264" w:lineRule="exact"/>
              <w:ind w:left="87" w:right="79"/>
              <w:jc w:val="both"/>
              <w:rPr>
                <w:color w:val="000000" w:themeColor="text1"/>
                <w:sz w:val="24"/>
                <w:szCs w:val="24"/>
              </w:rPr>
            </w:pPr>
            <w:r w:rsidRPr="00C56257">
              <w:rPr>
                <w:color w:val="000000" w:themeColor="text1"/>
                <w:sz w:val="24"/>
                <w:szCs w:val="24"/>
              </w:rPr>
              <w:t>13</w:t>
            </w:r>
          </w:p>
        </w:tc>
        <w:tc>
          <w:tcPr>
            <w:tcW w:w="706" w:type="dxa"/>
          </w:tcPr>
          <w:p w14:paraId="2881A3B9" w14:textId="77777777" w:rsidR="006735BF" w:rsidRPr="00C56257" w:rsidRDefault="006735BF" w:rsidP="008E33FD">
            <w:pPr>
              <w:pStyle w:val="TableParagraph"/>
              <w:spacing w:before="15" w:line="264" w:lineRule="exact"/>
              <w:ind w:left="6"/>
              <w:jc w:val="both"/>
              <w:rPr>
                <w:color w:val="000000" w:themeColor="text1"/>
                <w:sz w:val="24"/>
                <w:szCs w:val="24"/>
              </w:rPr>
            </w:pPr>
            <w:r w:rsidRPr="00C56257">
              <w:rPr>
                <w:color w:val="000000" w:themeColor="text1"/>
                <w:sz w:val="24"/>
                <w:szCs w:val="24"/>
              </w:rPr>
              <w:t>0</w:t>
            </w:r>
          </w:p>
        </w:tc>
        <w:tc>
          <w:tcPr>
            <w:tcW w:w="706" w:type="dxa"/>
          </w:tcPr>
          <w:p w14:paraId="1072AC74"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1</w:t>
            </w:r>
          </w:p>
        </w:tc>
        <w:tc>
          <w:tcPr>
            <w:tcW w:w="706" w:type="dxa"/>
          </w:tcPr>
          <w:p w14:paraId="1A4E931E"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1</w:t>
            </w:r>
          </w:p>
        </w:tc>
        <w:tc>
          <w:tcPr>
            <w:tcW w:w="706" w:type="dxa"/>
          </w:tcPr>
          <w:p w14:paraId="536EA97C" w14:textId="77777777" w:rsidR="006735BF" w:rsidRPr="00C56257" w:rsidRDefault="006735BF" w:rsidP="008E33FD">
            <w:pPr>
              <w:pStyle w:val="TableParagraph"/>
              <w:spacing w:before="15" w:line="264" w:lineRule="exact"/>
              <w:ind w:left="9"/>
              <w:jc w:val="both"/>
              <w:rPr>
                <w:color w:val="000000" w:themeColor="text1"/>
                <w:sz w:val="24"/>
                <w:szCs w:val="24"/>
              </w:rPr>
            </w:pPr>
            <w:r w:rsidRPr="00C56257">
              <w:rPr>
                <w:color w:val="000000" w:themeColor="text1"/>
                <w:sz w:val="24"/>
                <w:szCs w:val="24"/>
              </w:rPr>
              <w:t>0</w:t>
            </w:r>
          </w:p>
        </w:tc>
        <w:tc>
          <w:tcPr>
            <w:tcW w:w="1422" w:type="dxa"/>
          </w:tcPr>
          <w:p w14:paraId="5768CDBE" w14:textId="77777777" w:rsidR="006735BF" w:rsidRPr="00C56257" w:rsidRDefault="006735BF" w:rsidP="008E33FD">
            <w:pPr>
              <w:pStyle w:val="TableParagraph"/>
              <w:spacing w:before="15" w:line="264" w:lineRule="exact"/>
              <w:ind w:left="88" w:right="81"/>
              <w:jc w:val="both"/>
              <w:rPr>
                <w:color w:val="000000" w:themeColor="text1"/>
                <w:sz w:val="24"/>
                <w:szCs w:val="24"/>
              </w:rPr>
            </w:pPr>
            <w:r w:rsidRPr="00C56257">
              <w:rPr>
                <w:color w:val="000000" w:themeColor="text1"/>
                <w:sz w:val="24"/>
                <w:szCs w:val="24"/>
              </w:rPr>
              <w:t>15</w:t>
            </w:r>
          </w:p>
        </w:tc>
        <w:tc>
          <w:tcPr>
            <w:tcW w:w="2600" w:type="dxa"/>
          </w:tcPr>
          <w:p w14:paraId="6AA9C7BD" w14:textId="77777777" w:rsidR="006735BF" w:rsidRPr="00C56257" w:rsidRDefault="006735BF" w:rsidP="008E33FD">
            <w:pPr>
              <w:pStyle w:val="TableParagraph"/>
              <w:spacing w:before="15" w:line="264" w:lineRule="exact"/>
              <w:ind w:right="1230"/>
              <w:jc w:val="both"/>
              <w:rPr>
                <w:color w:val="000000" w:themeColor="text1"/>
                <w:sz w:val="24"/>
                <w:szCs w:val="24"/>
              </w:rPr>
            </w:pPr>
            <w:r w:rsidRPr="00C56257">
              <w:rPr>
                <w:color w:val="000000" w:themeColor="text1"/>
                <w:sz w:val="24"/>
                <w:szCs w:val="24"/>
              </w:rPr>
              <w:t>0</w:t>
            </w:r>
          </w:p>
        </w:tc>
      </w:tr>
      <w:tr w:rsidR="006735BF" w:rsidRPr="00C56257" w14:paraId="4EBA5794" w14:textId="77777777" w:rsidTr="00511A4E">
        <w:trPr>
          <w:trHeight w:val="300"/>
        </w:trPr>
        <w:tc>
          <w:tcPr>
            <w:tcW w:w="1385" w:type="dxa"/>
          </w:tcPr>
          <w:p w14:paraId="2A6A0669" w14:textId="77777777" w:rsidR="006735BF" w:rsidRPr="00C56257" w:rsidRDefault="006735BF" w:rsidP="008E33FD">
            <w:pPr>
              <w:pStyle w:val="TableParagraph"/>
              <w:spacing w:before="21" w:line="259" w:lineRule="exact"/>
              <w:ind w:left="87" w:right="80"/>
              <w:jc w:val="both"/>
              <w:rPr>
                <w:b/>
                <w:color w:val="000000" w:themeColor="text1"/>
                <w:sz w:val="24"/>
                <w:szCs w:val="24"/>
              </w:rPr>
            </w:pPr>
            <w:r w:rsidRPr="00C56257">
              <w:rPr>
                <w:b/>
                <w:color w:val="000000" w:themeColor="text1"/>
                <w:sz w:val="24"/>
                <w:szCs w:val="24"/>
              </w:rPr>
              <w:t>6150</w:t>
            </w:r>
          </w:p>
        </w:tc>
        <w:tc>
          <w:tcPr>
            <w:tcW w:w="706" w:type="dxa"/>
          </w:tcPr>
          <w:p w14:paraId="4084A3C4" w14:textId="77777777" w:rsidR="006735BF" w:rsidRPr="00C56257" w:rsidRDefault="006735BF" w:rsidP="008E33FD">
            <w:pPr>
              <w:pStyle w:val="TableParagraph"/>
              <w:spacing w:before="16" w:line="264" w:lineRule="exact"/>
              <w:ind w:left="93" w:right="85"/>
              <w:jc w:val="both"/>
              <w:rPr>
                <w:color w:val="000000" w:themeColor="text1"/>
                <w:sz w:val="24"/>
                <w:szCs w:val="24"/>
              </w:rPr>
            </w:pPr>
            <w:r w:rsidRPr="00C56257">
              <w:rPr>
                <w:color w:val="000000" w:themeColor="text1"/>
                <w:sz w:val="24"/>
                <w:szCs w:val="24"/>
              </w:rPr>
              <w:t>34</w:t>
            </w:r>
          </w:p>
        </w:tc>
        <w:tc>
          <w:tcPr>
            <w:tcW w:w="707" w:type="dxa"/>
          </w:tcPr>
          <w:p w14:paraId="3B8B63D4" w14:textId="77777777" w:rsidR="006735BF" w:rsidRPr="00C56257" w:rsidRDefault="006735BF" w:rsidP="008E33FD">
            <w:pPr>
              <w:pStyle w:val="TableParagraph"/>
              <w:spacing w:before="16" w:line="264" w:lineRule="exact"/>
              <w:ind w:left="8"/>
              <w:jc w:val="both"/>
              <w:rPr>
                <w:color w:val="000000" w:themeColor="text1"/>
                <w:sz w:val="24"/>
                <w:szCs w:val="24"/>
              </w:rPr>
            </w:pPr>
            <w:r w:rsidRPr="00C56257">
              <w:rPr>
                <w:color w:val="000000" w:themeColor="text1"/>
                <w:sz w:val="24"/>
                <w:szCs w:val="24"/>
              </w:rPr>
              <w:t>0</w:t>
            </w:r>
          </w:p>
        </w:tc>
        <w:tc>
          <w:tcPr>
            <w:tcW w:w="706" w:type="dxa"/>
          </w:tcPr>
          <w:p w14:paraId="6D819CBF" w14:textId="77777777" w:rsidR="006735BF" w:rsidRPr="00C56257" w:rsidRDefault="006735BF" w:rsidP="008E33FD">
            <w:pPr>
              <w:pStyle w:val="TableParagraph"/>
              <w:spacing w:before="16" w:line="264" w:lineRule="exact"/>
              <w:ind w:left="6"/>
              <w:jc w:val="both"/>
              <w:rPr>
                <w:color w:val="000000" w:themeColor="text1"/>
                <w:sz w:val="24"/>
                <w:szCs w:val="24"/>
              </w:rPr>
            </w:pPr>
            <w:r w:rsidRPr="00C56257">
              <w:rPr>
                <w:color w:val="000000" w:themeColor="text1"/>
                <w:sz w:val="24"/>
                <w:szCs w:val="24"/>
              </w:rPr>
              <w:t>0</w:t>
            </w:r>
          </w:p>
        </w:tc>
        <w:tc>
          <w:tcPr>
            <w:tcW w:w="706" w:type="dxa"/>
          </w:tcPr>
          <w:p w14:paraId="20673856" w14:textId="77777777" w:rsidR="006735BF" w:rsidRPr="00C56257" w:rsidRDefault="006735BF" w:rsidP="008E33FD">
            <w:pPr>
              <w:pStyle w:val="TableParagraph"/>
              <w:spacing w:before="16" w:line="264" w:lineRule="exact"/>
              <w:ind w:left="5"/>
              <w:jc w:val="both"/>
              <w:rPr>
                <w:color w:val="000000" w:themeColor="text1"/>
                <w:sz w:val="24"/>
                <w:szCs w:val="24"/>
              </w:rPr>
            </w:pPr>
            <w:r w:rsidRPr="00C56257">
              <w:rPr>
                <w:color w:val="000000" w:themeColor="text1"/>
                <w:sz w:val="24"/>
                <w:szCs w:val="24"/>
              </w:rPr>
              <w:t>0</w:t>
            </w:r>
          </w:p>
        </w:tc>
        <w:tc>
          <w:tcPr>
            <w:tcW w:w="706" w:type="dxa"/>
          </w:tcPr>
          <w:p w14:paraId="32E8F2EA" w14:textId="77777777" w:rsidR="006735BF" w:rsidRPr="00C56257" w:rsidRDefault="006735BF" w:rsidP="008E33FD">
            <w:pPr>
              <w:pStyle w:val="TableParagraph"/>
              <w:spacing w:before="16" w:line="264" w:lineRule="exact"/>
              <w:ind w:left="5"/>
              <w:jc w:val="both"/>
              <w:rPr>
                <w:color w:val="000000" w:themeColor="text1"/>
                <w:sz w:val="24"/>
                <w:szCs w:val="24"/>
              </w:rPr>
            </w:pPr>
            <w:r w:rsidRPr="00C56257">
              <w:rPr>
                <w:color w:val="000000" w:themeColor="text1"/>
                <w:sz w:val="24"/>
                <w:szCs w:val="24"/>
              </w:rPr>
              <w:t>0</w:t>
            </w:r>
          </w:p>
        </w:tc>
        <w:tc>
          <w:tcPr>
            <w:tcW w:w="706" w:type="dxa"/>
          </w:tcPr>
          <w:p w14:paraId="2DBBD346" w14:textId="77777777" w:rsidR="006735BF" w:rsidRPr="00C56257" w:rsidRDefault="006735BF" w:rsidP="008E33FD">
            <w:pPr>
              <w:pStyle w:val="TableParagraph"/>
              <w:spacing w:before="16" w:line="264" w:lineRule="exact"/>
              <w:ind w:left="9"/>
              <w:jc w:val="both"/>
              <w:rPr>
                <w:color w:val="000000" w:themeColor="text1"/>
                <w:sz w:val="24"/>
                <w:szCs w:val="24"/>
              </w:rPr>
            </w:pPr>
            <w:r w:rsidRPr="00C56257">
              <w:rPr>
                <w:color w:val="000000" w:themeColor="text1"/>
                <w:sz w:val="24"/>
                <w:szCs w:val="24"/>
              </w:rPr>
              <w:t>0</w:t>
            </w:r>
          </w:p>
        </w:tc>
        <w:tc>
          <w:tcPr>
            <w:tcW w:w="1422" w:type="dxa"/>
          </w:tcPr>
          <w:p w14:paraId="19A4FD39" w14:textId="77777777" w:rsidR="006735BF" w:rsidRPr="00C56257" w:rsidRDefault="006735BF" w:rsidP="008E33FD">
            <w:pPr>
              <w:pStyle w:val="TableParagraph"/>
              <w:spacing w:before="16" w:line="264" w:lineRule="exact"/>
              <w:ind w:left="88" w:right="81"/>
              <w:jc w:val="both"/>
              <w:rPr>
                <w:color w:val="000000" w:themeColor="text1"/>
                <w:sz w:val="24"/>
                <w:szCs w:val="24"/>
              </w:rPr>
            </w:pPr>
            <w:r w:rsidRPr="00C56257">
              <w:rPr>
                <w:color w:val="000000" w:themeColor="text1"/>
                <w:sz w:val="24"/>
                <w:szCs w:val="24"/>
              </w:rPr>
              <w:t>34</w:t>
            </w:r>
          </w:p>
        </w:tc>
        <w:tc>
          <w:tcPr>
            <w:tcW w:w="2600" w:type="dxa"/>
          </w:tcPr>
          <w:p w14:paraId="6993308C" w14:textId="77777777" w:rsidR="006735BF" w:rsidRPr="00C56257" w:rsidRDefault="006735BF" w:rsidP="008E33FD">
            <w:pPr>
              <w:pStyle w:val="TableParagraph"/>
              <w:spacing w:before="16" w:line="264" w:lineRule="exact"/>
              <w:ind w:right="1230"/>
              <w:jc w:val="both"/>
              <w:rPr>
                <w:color w:val="000000" w:themeColor="text1"/>
                <w:sz w:val="24"/>
                <w:szCs w:val="24"/>
              </w:rPr>
            </w:pPr>
            <w:r w:rsidRPr="00C56257">
              <w:rPr>
                <w:color w:val="000000" w:themeColor="text1"/>
                <w:sz w:val="24"/>
                <w:szCs w:val="24"/>
              </w:rPr>
              <w:t>0</w:t>
            </w:r>
          </w:p>
        </w:tc>
      </w:tr>
      <w:tr w:rsidR="006735BF" w:rsidRPr="00C56257" w14:paraId="4F5F4F01" w14:textId="77777777" w:rsidTr="00511A4E">
        <w:trPr>
          <w:trHeight w:val="299"/>
        </w:trPr>
        <w:tc>
          <w:tcPr>
            <w:tcW w:w="1385" w:type="dxa"/>
          </w:tcPr>
          <w:p w14:paraId="5DBEB81C" w14:textId="77777777" w:rsidR="006735BF" w:rsidRPr="00C56257" w:rsidRDefault="006735BF" w:rsidP="008E33FD">
            <w:pPr>
              <w:pStyle w:val="TableParagraph"/>
              <w:spacing w:before="20" w:line="259" w:lineRule="exact"/>
              <w:ind w:left="87" w:right="80"/>
              <w:jc w:val="both"/>
              <w:rPr>
                <w:b/>
                <w:color w:val="000000" w:themeColor="text1"/>
                <w:sz w:val="24"/>
                <w:szCs w:val="24"/>
              </w:rPr>
            </w:pPr>
            <w:r w:rsidRPr="00C56257">
              <w:rPr>
                <w:b/>
                <w:color w:val="000000" w:themeColor="text1"/>
                <w:sz w:val="24"/>
                <w:szCs w:val="24"/>
              </w:rPr>
              <w:t>6170</w:t>
            </w:r>
          </w:p>
        </w:tc>
        <w:tc>
          <w:tcPr>
            <w:tcW w:w="706" w:type="dxa"/>
          </w:tcPr>
          <w:p w14:paraId="78A9E0DC" w14:textId="77777777" w:rsidR="006735BF" w:rsidRPr="00C56257" w:rsidRDefault="006735BF" w:rsidP="008E33FD">
            <w:pPr>
              <w:pStyle w:val="TableParagraph"/>
              <w:spacing w:before="15" w:line="264" w:lineRule="exact"/>
              <w:ind w:left="93" w:right="85"/>
              <w:jc w:val="both"/>
              <w:rPr>
                <w:color w:val="000000" w:themeColor="text1"/>
                <w:sz w:val="24"/>
                <w:szCs w:val="24"/>
              </w:rPr>
            </w:pPr>
            <w:r w:rsidRPr="00C56257">
              <w:rPr>
                <w:color w:val="000000" w:themeColor="text1"/>
                <w:sz w:val="24"/>
                <w:szCs w:val="24"/>
              </w:rPr>
              <w:t>25</w:t>
            </w:r>
          </w:p>
        </w:tc>
        <w:tc>
          <w:tcPr>
            <w:tcW w:w="707" w:type="dxa"/>
          </w:tcPr>
          <w:p w14:paraId="28245E32" w14:textId="77777777" w:rsidR="006735BF" w:rsidRPr="00C56257" w:rsidRDefault="006735BF" w:rsidP="008E33FD">
            <w:pPr>
              <w:pStyle w:val="TableParagraph"/>
              <w:spacing w:before="15" w:line="264" w:lineRule="exact"/>
              <w:ind w:left="8"/>
              <w:jc w:val="both"/>
              <w:rPr>
                <w:color w:val="000000" w:themeColor="text1"/>
                <w:sz w:val="24"/>
                <w:szCs w:val="24"/>
              </w:rPr>
            </w:pPr>
            <w:r w:rsidRPr="00C56257">
              <w:rPr>
                <w:color w:val="000000" w:themeColor="text1"/>
                <w:sz w:val="24"/>
                <w:szCs w:val="24"/>
              </w:rPr>
              <w:t>0</w:t>
            </w:r>
          </w:p>
        </w:tc>
        <w:tc>
          <w:tcPr>
            <w:tcW w:w="706" w:type="dxa"/>
          </w:tcPr>
          <w:p w14:paraId="163E6AD3" w14:textId="77777777" w:rsidR="006735BF" w:rsidRPr="00C56257" w:rsidRDefault="006735BF" w:rsidP="008E33FD">
            <w:pPr>
              <w:pStyle w:val="TableParagraph"/>
              <w:spacing w:before="15" w:line="264" w:lineRule="exact"/>
              <w:ind w:left="6"/>
              <w:jc w:val="both"/>
              <w:rPr>
                <w:color w:val="000000" w:themeColor="text1"/>
                <w:sz w:val="24"/>
                <w:szCs w:val="24"/>
              </w:rPr>
            </w:pPr>
            <w:r w:rsidRPr="00C56257">
              <w:rPr>
                <w:color w:val="000000" w:themeColor="text1"/>
                <w:sz w:val="24"/>
                <w:szCs w:val="24"/>
              </w:rPr>
              <w:t>0</w:t>
            </w:r>
          </w:p>
        </w:tc>
        <w:tc>
          <w:tcPr>
            <w:tcW w:w="706" w:type="dxa"/>
          </w:tcPr>
          <w:p w14:paraId="7394DF24"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0</w:t>
            </w:r>
          </w:p>
        </w:tc>
        <w:tc>
          <w:tcPr>
            <w:tcW w:w="706" w:type="dxa"/>
          </w:tcPr>
          <w:p w14:paraId="314154A7"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0</w:t>
            </w:r>
          </w:p>
        </w:tc>
        <w:tc>
          <w:tcPr>
            <w:tcW w:w="706" w:type="dxa"/>
          </w:tcPr>
          <w:p w14:paraId="325945CA" w14:textId="77777777" w:rsidR="006735BF" w:rsidRPr="00C56257" w:rsidRDefault="006735BF" w:rsidP="008E33FD">
            <w:pPr>
              <w:pStyle w:val="TableParagraph"/>
              <w:spacing w:before="15" w:line="264" w:lineRule="exact"/>
              <w:ind w:left="9"/>
              <w:jc w:val="both"/>
              <w:rPr>
                <w:color w:val="000000" w:themeColor="text1"/>
                <w:sz w:val="24"/>
                <w:szCs w:val="24"/>
              </w:rPr>
            </w:pPr>
            <w:r w:rsidRPr="00C56257">
              <w:rPr>
                <w:color w:val="000000" w:themeColor="text1"/>
                <w:sz w:val="24"/>
                <w:szCs w:val="24"/>
              </w:rPr>
              <w:t>0</w:t>
            </w:r>
          </w:p>
        </w:tc>
        <w:tc>
          <w:tcPr>
            <w:tcW w:w="1422" w:type="dxa"/>
          </w:tcPr>
          <w:p w14:paraId="25D715ED" w14:textId="77777777" w:rsidR="006735BF" w:rsidRPr="00C56257" w:rsidRDefault="006735BF" w:rsidP="008E33FD">
            <w:pPr>
              <w:pStyle w:val="TableParagraph"/>
              <w:spacing w:before="15" w:line="264" w:lineRule="exact"/>
              <w:ind w:left="88" w:right="81"/>
              <w:jc w:val="both"/>
              <w:rPr>
                <w:color w:val="000000" w:themeColor="text1"/>
                <w:sz w:val="24"/>
                <w:szCs w:val="24"/>
              </w:rPr>
            </w:pPr>
            <w:r w:rsidRPr="00C56257">
              <w:rPr>
                <w:color w:val="000000" w:themeColor="text1"/>
                <w:sz w:val="24"/>
                <w:szCs w:val="24"/>
              </w:rPr>
              <w:t>25</w:t>
            </w:r>
          </w:p>
        </w:tc>
        <w:tc>
          <w:tcPr>
            <w:tcW w:w="2600" w:type="dxa"/>
          </w:tcPr>
          <w:p w14:paraId="4770D9C6" w14:textId="77777777" w:rsidR="006735BF" w:rsidRPr="00C56257" w:rsidRDefault="006735BF" w:rsidP="008E33FD">
            <w:pPr>
              <w:pStyle w:val="TableParagraph"/>
              <w:spacing w:before="15" w:line="264" w:lineRule="exact"/>
              <w:ind w:right="1230"/>
              <w:jc w:val="both"/>
              <w:rPr>
                <w:color w:val="000000" w:themeColor="text1"/>
                <w:sz w:val="24"/>
                <w:szCs w:val="24"/>
              </w:rPr>
            </w:pPr>
            <w:r w:rsidRPr="00C56257">
              <w:rPr>
                <w:color w:val="000000" w:themeColor="text1"/>
                <w:sz w:val="24"/>
                <w:szCs w:val="24"/>
              </w:rPr>
              <w:t>0</w:t>
            </w:r>
          </w:p>
        </w:tc>
      </w:tr>
      <w:tr w:rsidR="006735BF" w:rsidRPr="00C56257" w14:paraId="0046315A" w14:textId="77777777" w:rsidTr="00511A4E">
        <w:trPr>
          <w:trHeight w:val="299"/>
        </w:trPr>
        <w:tc>
          <w:tcPr>
            <w:tcW w:w="1385" w:type="dxa"/>
          </w:tcPr>
          <w:p w14:paraId="1666BD8C" w14:textId="77777777" w:rsidR="006735BF" w:rsidRPr="00C56257" w:rsidRDefault="006735BF" w:rsidP="008E33FD">
            <w:pPr>
              <w:pStyle w:val="TableParagraph"/>
              <w:spacing w:before="20" w:line="259" w:lineRule="exact"/>
              <w:ind w:left="87" w:right="80"/>
              <w:jc w:val="both"/>
              <w:rPr>
                <w:b/>
                <w:color w:val="000000" w:themeColor="text1"/>
                <w:sz w:val="24"/>
                <w:szCs w:val="24"/>
              </w:rPr>
            </w:pPr>
            <w:r w:rsidRPr="00C56257">
              <w:rPr>
                <w:b/>
                <w:color w:val="000000" w:themeColor="text1"/>
                <w:sz w:val="24"/>
                <w:szCs w:val="24"/>
              </w:rPr>
              <w:t>6190</w:t>
            </w:r>
          </w:p>
        </w:tc>
        <w:tc>
          <w:tcPr>
            <w:tcW w:w="706" w:type="dxa"/>
          </w:tcPr>
          <w:p w14:paraId="7E8251B6" w14:textId="77777777" w:rsidR="006735BF" w:rsidRPr="00C56257" w:rsidRDefault="006735BF" w:rsidP="008E33FD">
            <w:pPr>
              <w:pStyle w:val="TableParagraph"/>
              <w:spacing w:before="15" w:line="264" w:lineRule="exact"/>
              <w:ind w:left="93" w:right="85"/>
              <w:jc w:val="both"/>
              <w:rPr>
                <w:color w:val="000000" w:themeColor="text1"/>
                <w:sz w:val="24"/>
                <w:szCs w:val="24"/>
              </w:rPr>
            </w:pPr>
            <w:r w:rsidRPr="00C56257">
              <w:rPr>
                <w:color w:val="000000" w:themeColor="text1"/>
                <w:sz w:val="24"/>
                <w:szCs w:val="24"/>
              </w:rPr>
              <w:t>21</w:t>
            </w:r>
          </w:p>
        </w:tc>
        <w:tc>
          <w:tcPr>
            <w:tcW w:w="707" w:type="dxa"/>
          </w:tcPr>
          <w:p w14:paraId="6885B99C" w14:textId="77777777" w:rsidR="006735BF" w:rsidRPr="00C56257" w:rsidRDefault="006735BF" w:rsidP="008E33FD">
            <w:pPr>
              <w:pStyle w:val="TableParagraph"/>
              <w:spacing w:before="15" w:line="264" w:lineRule="exact"/>
              <w:ind w:left="87" w:right="79"/>
              <w:jc w:val="both"/>
              <w:rPr>
                <w:color w:val="000000" w:themeColor="text1"/>
                <w:sz w:val="24"/>
                <w:szCs w:val="24"/>
              </w:rPr>
            </w:pPr>
            <w:r w:rsidRPr="00C56257">
              <w:rPr>
                <w:color w:val="000000" w:themeColor="text1"/>
                <w:sz w:val="24"/>
                <w:szCs w:val="24"/>
              </w:rPr>
              <w:t>16</w:t>
            </w:r>
          </w:p>
        </w:tc>
        <w:tc>
          <w:tcPr>
            <w:tcW w:w="706" w:type="dxa"/>
          </w:tcPr>
          <w:p w14:paraId="6D2E97AC" w14:textId="77777777" w:rsidR="006735BF" w:rsidRPr="00C56257" w:rsidRDefault="006735BF" w:rsidP="008E33FD">
            <w:pPr>
              <w:pStyle w:val="TableParagraph"/>
              <w:spacing w:before="15" w:line="264" w:lineRule="exact"/>
              <w:ind w:left="6"/>
              <w:jc w:val="both"/>
              <w:rPr>
                <w:color w:val="000000" w:themeColor="text1"/>
                <w:sz w:val="24"/>
                <w:szCs w:val="24"/>
              </w:rPr>
            </w:pPr>
            <w:r w:rsidRPr="00C56257">
              <w:rPr>
                <w:color w:val="000000" w:themeColor="text1"/>
                <w:sz w:val="24"/>
                <w:szCs w:val="24"/>
              </w:rPr>
              <w:t>0</w:t>
            </w:r>
          </w:p>
        </w:tc>
        <w:tc>
          <w:tcPr>
            <w:tcW w:w="706" w:type="dxa"/>
          </w:tcPr>
          <w:p w14:paraId="2F7D80F2"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0</w:t>
            </w:r>
          </w:p>
        </w:tc>
        <w:tc>
          <w:tcPr>
            <w:tcW w:w="706" w:type="dxa"/>
          </w:tcPr>
          <w:p w14:paraId="7CC88745"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0</w:t>
            </w:r>
          </w:p>
        </w:tc>
        <w:tc>
          <w:tcPr>
            <w:tcW w:w="706" w:type="dxa"/>
          </w:tcPr>
          <w:p w14:paraId="33FA6D95" w14:textId="77777777" w:rsidR="006735BF" w:rsidRPr="00C56257" w:rsidRDefault="006735BF" w:rsidP="008E33FD">
            <w:pPr>
              <w:pStyle w:val="TableParagraph"/>
              <w:spacing w:before="15" w:line="264" w:lineRule="exact"/>
              <w:ind w:left="9"/>
              <w:jc w:val="both"/>
              <w:rPr>
                <w:color w:val="000000" w:themeColor="text1"/>
                <w:sz w:val="24"/>
                <w:szCs w:val="24"/>
              </w:rPr>
            </w:pPr>
            <w:r w:rsidRPr="00C56257">
              <w:rPr>
                <w:color w:val="000000" w:themeColor="text1"/>
                <w:sz w:val="24"/>
                <w:szCs w:val="24"/>
              </w:rPr>
              <w:t>0</w:t>
            </w:r>
          </w:p>
        </w:tc>
        <w:tc>
          <w:tcPr>
            <w:tcW w:w="1422" w:type="dxa"/>
          </w:tcPr>
          <w:p w14:paraId="294ACF5D" w14:textId="77777777" w:rsidR="006735BF" w:rsidRPr="00C56257" w:rsidRDefault="006735BF" w:rsidP="008E33FD">
            <w:pPr>
              <w:pStyle w:val="TableParagraph"/>
              <w:spacing w:before="15" w:line="264" w:lineRule="exact"/>
              <w:ind w:left="88" w:right="81"/>
              <w:jc w:val="both"/>
              <w:rPr>
                <w:color w:val="000000" w:themeColor="text1"/>
                <w:sz w:val="24"/>
                <w:szCs w:val="24"/>
              </w:rPr>
            </w:pPr>
            <w:r w:rsidRPr="00C56257">
              <w:rPr>
                <w:color w:val="000000" w:themeColor="text1"/>
                <w:sz w:val="24"/>
                <w:szCs w:val="24"/>
              </w:rPr>
              <w:t>30</w:t>
            </w:r>
          </w:p>
        </w:tc>
        <w:tc>
          <w:tcPr>
            <w:tcW w:w="2600" w:type="dxa"/>
          </w:tcPr>
          <w:p w14:paraId="3601DB48" w14:textId="77777777" w:rsidR="006735BF" w:rsidRPr="00C56257" w:rsidRDefault="006735BF" w:rsidP="008E33FD">
            <w:pPr>
              <w:pStyle w:val="TableParagraph"/>
              <w:spacing w:before="15" w:line="264" w:lineRule="exact"/>
              <w:ind w:right="1230"/>
              <w:jc w:val="both"/>
              <w:rPr>
                <w:color w:val="000000" w:themeColor="text1"/>
                <w:sz w:val="24"/>
                <w:szCs w:val="24"/>
              </w:rPr>
            </w:pPr>
            <w:r w:rsidRPr="00C56257">
              <w:rPr>
                <w:color w:val="000000" w:themeColor="text1"/>
                <w:sz w:val="24"/>
                <w:szCs w:val="24"/>
              </w:rPr>
              <w:t>7</w:t>
            </w:r>
          </w:p>
        </w:tc>
      </w:tr>
      <w:tr w:rsidR="006735BF" w:rsidRPr="00C56257" w14:paraId="0FC2ADB6" w14:textId="77777777" w:rsidTr="00511A4E">
        <w:trPr>
          <w:trHeight w:val="302"/>
        </w:trPr>
        <w:tc>
          <w:tcPr>
            <w:tcW w:w="1385" w:type="dxa"/>
          </w:tcPr>
          <w:p w14:paraId="1FDFF528" w14:textId="77777777" w:rsidR="006735BF" w:rsidRPr="00C56257" w:rsidRDefault="006735BF" w:rsidP="008E33FD">
            <w:pPr>
              <w:pStyle w:val="TableParagraph"/>
              <w:spacing w:before="23" w:line="259" w:lineRule="exact"/>
              <w:ind w:left="86" w:right="80"/>
              <w:jc w:val="both"/>
              <w:rPr>
                <w:b/>
                <w:color w:val="000000" w:themeColor="text1"/>
                <w:sz w:val="24"/>
                <w:szCs w:val="24"/>
              </w:rPr>
            </w:pPr>
            <w:r w:rsidRPr="00C56257">
              <w:rPr>
                <w:b/>
                <w:color w:val="000000" w:themeColor="text1"/>
                <w:sz w:val="24"/>
                <w:szCs w:val="24"/>
              </w:rPr>
              <w:t>6210*</w:t>
            </w:r>
          </w:p>
        </w:tc>
        <w:tc>
          <w:tcPr>
            <w:tcW w:w="706" w:type="dxa"/>
          </w:tcPr>
          <w:p w14:paraId="6DCCC07E" w14:textId="77777777" w:rsidR="006735BF" w:rsidRPr="00C56257" w:rsidRDefault="006735BF" w:rsidP="008E33FD">
            <w:pPr>
              <w:pStyle w:val="TableParagraph"/>
              <w:spacing w:before="18" w:line="264" w:lineRule="exact"/>
              <w:ind w:left="93" w:right="85"/>
              <w:jc w:val="both"/>
              <w:rPr>
                <w:color w:val="000000" w:themeColor="text1"/>
                <w:sz w:val="24"/>
                <w:szCs w:val="24"/>
              </w:rPr>
            </w:pPr>
            <w:r w:rsidRPr="00C56257">
              <w:rPr>
                <w:color w:val="000000" w:themeColor="text1"/>
                <w:sz w:val="24"/>
                <w:szCs w:val="24"/>
              </w:rPr>
              <w:t>20</w:t>
            </w:r>
          </w:p>
        </w:tc>
        <w:tc>
          <w:tcPr>
            <w:tcW w:w="707" w:type="dxa"/>
          </w:tcPr>
          <w:p w14:paraId="63019C81" w14:textId="77777777" w:rsidR="006735BF" w:rsidRPr="00C56257" w:rsidRDefault="006735BF" w:rsidP="008E33FD">
            <w:pPr>
              <w:pStyle w:val="TableParagraph"/>
              <w:spacing w:before="18" w:line="264" w:lineRule="exact"/>
              <w:ind w:left="87" w:right="79"/>
              <w:jc w:val="both"/>
              <w:rPr>
                <w:color w:val="000000" w:themeColor="text1"/>
                <w:sz w:val="24"/>
                <w:szCs w:val="24"/>
              </w:rPr>
            </w:pPr>
            <w:r w:rsidRPr="00C56257">
              <w:rPr>
                <w:color w:val="000000" w:themeColor="text1"/>
                <w:sz w:val="24"/>
                <w:szCs w:val="24"/>
              </w:rPr>
              <w:t>33</w:t>
            </w:r>
          </w:p>
        </w:tc>
        <w:tc>
          <w:tcPr>
            <w:tcW w:w="706" w:type="dxa"/>
          </w:tcPr>
          <w:p w14:paraId="4FDDEF15" w14:textId="77777777" w:rsidR="006735BF" w:rsidRPr="00C56257" w:rsidRDefault="006735BF" w:rsidP="008E33FD">
            <w:pPr>
              <w:pStyle w:val="TableParagraph"/>
              <w:spacing w:before="18" w:line="264" w:lineRule="exact"/>
              <w:ind w:left="6"/>
              <w:jc w:val="both"/>
              <w:rPr>
                <w:color w:val="000000" w:themeColor="text1"/>
                <w:sz w:val="24"/>
                <w:szCs w:val="24"/>
              </w:rPr>
            </w:pPr>
            <w:r w:rsidRPr="00C56257">
              <w:rPr>
                <w:color w:val="000000" w:themeColor="text1"/>
                <w:sz w:val="24"/>
                <w:szCs w:val="24"/>
              </w:rPr>
              <w:t>0</w:t>
            </w:r>
          </w:p>
        </w:tc>
        <w:tc>
          <w:tcPr>
            <w:tcW w:w="706" w:type="dxa"/>
          </w:tcPr>
          <w:p w14:paraId="1029D9E4" w14:textId="77777777" w:rsidR="006735BF" w:rsidRPr="00C56257" w:rsidRDefault="006735BF" w:rsidP="008E33FD">
            <w:pPr>
              <w:pStyle w:val="TableParagraph"/>
              <w:spacing w:before="18" w:line="264" w:lineRule="exact"/>
              <w:ind w:left="5"/>
              <w:jc w:val="both"/>
              <w:rPr>
                <w:color w:val="000000" w:themeColor="text1"/>
                <w:sz w:val="24"/>
                <w:szCs w:val="24"/>
              </w:rPr>
            </w:pPr>
            <w:r w:rsidRPr="00C56257">
              <w:rPr>
                <w:color w:val="000000" w:themeColor="text1"/>
                <w:sz w:val="24"/>
                <w:szCs w:val="24"/>
              </w:rPr>
              <w:t>0</w:t>
            </w:r>
          </w:p>
        </w:tc>
        <w:tc>
          <w:tcPr>
            <w:tcW w:w="706" w:type="dxa"/>
          </w:tcPr>
          <w:p w14:paraId="3098AA77" w14:textId="77777777" w:rsidR="006735BF" w:rsidRPr="00C56257" w:rsidRDefault="006735BF" w:rsidP="008E33FD">
            <w:pPr>
              <w:pStyle w:val="TableParagraph"/>
              <w:spacing w:before="18" w:line="264" w:lineRule="exact"/>
              <w:ind w:left="5"/>
              <w:jc w:val="both"/>
              <w:rPr>
                <w:color w:val="000000" w:themeColor="text1"/>
                <w:sz w:val="24"/>
                <w:szCs w:val="24"/>
              </w:rPr>
            </w:pPr>
            <w:r w:rsidRPr="00C56257">
              <w:rPr>
                <w:color w:val="000000" w:themeColor="text1"/>
                <w:sz w:val="24"/>
                <w:szCs w:val="24"/>
              </w:rPr>
              <w:t>0</w:t>
            </w:r>
          </w:p>
        </w:tc>
        <w:tc>
          <w:tcPr>
            <w:tcW w:w="706" w:type="dxa"/>
          </w:tcPr>
          <w:p w14:paraId="6BD05844" w14:textId="77777777" w:rsidR="006735BF" w:rsidRPr="00C56257" w:rsidRDefault="006735BF" w:rsidP="008E33FD">
            <w:pPr>
              <w:pStyle w:val="TableParagraph"/>
              <w:spacing w:before="18" w:line="264" w:lineRule="exact"/>
              <w:ind w:left="9"/>
              <w:jc w:val="both"/>
              <w:rPr>
                <w:color w:val="000000" w:themeColor="text1"/>
                <w:sz w:val="24"/>
                <w:szCs w:val="24"/>
              </w:rPr>
            </w:pPr>
            <w:r w:rsidRPr="00C56257">
              <w:rPr>
                <w:color w:val="000000" w:themeColor="text1"/>
                <w:sz w:val="24"/>
                <w:szCs w:val="24"/>
              </w:rPr>
              <w:t>0</w:t>
            </w:r>
          </w:p>
        </w:tc>
        <w:tc>
          <w:tcPr>
            <w:tcW w:w="1422" w:type="dxa"/>
          </w:tcPr>
          <w:p w14:paraId="32D71C05" w14:textId="77777777" w:rsidR="006735BF" w:rsidRPr="00C56257" w:rsidRDefault="006735BF" w:rsidP="008E33FD">
            <w:pPr>
              <w:pStyle w:val="TableParagraph"/>
              <w:spacing w:before="18" w:line="264" w:lineRule="exact"/>
              <w:ind w:left="88" w:right="81"/>
              <w:jc w:val="both"/>
              <w:rPr>
                <w:color w:val="000000" w:themeColor="text1"/>
                <w:sz w:val="24"/>
                <w:szCs w:val="24"/>
              </w:rPr>
            </w:pPr>
            <w:r w:rsidRPr="00C56257">
              <w:rPr>
                <w:color w:val="000000" w:themeColor="text1"/>
                <w:sz w:val="24"/>
                <w:szCs w:val="24"/>
              </w:rPr>
              <w:t>41</w:t>
            </w:r>
          </w:p>
        </w:tc>
        <w:tc>
          <w:tcPr>
            <w:tcW w:w="2600" w:type="dxa"/>
          </w:tcPr>
          <w:p w14:paraId="015AB447" w14:textId="77777777" w:rsidR="006735BF" w:rsidRPr="00C56257" w:rsidRDefault="006735BF" w:rsidP="008E33FD">
            <w:pPr>
              <w:pStyle w:val="TableParagraph"/>
              <w:spacing w:before="18" w:line="264" w:lineRule="exact"/>
              <w:ind w:right="1170"/>
              <w:jc w:val="both"/>
              <w:rPr>
                <w:color w:val="000000" w:themeColor="text1"/>
                <w:sz w:val="24"/>
                <w:szCs w:val="24"/>
              </w:rPr>
            </w:pPr>
            <w:r w:rsidRPr="00C56257">
              <w:rPr>
                <w:color w:val="000000" w:themeColor="text1"/>
                <w:sz w:val="24"/>
                <w:szCs w:val="24"/>
              </w:rPr>
              <w:t>12</w:t>
            </w:r>
          </w:p>
        </w:tc>
      </w:tr>
      <w:tr w:rsidR="006735BF" w:rsidRPr="00C56257" w14:paraId="2E1A9E88" w14:textId="77777777" w:rsidTr="00511A4E">
        <w:trPr>
          <w:trHeight w:val="299"/>
        </w:trPr>
        <w:tc>
          <w:tcPr>
            <w:tcW w:w="1385" w:type="dxa"/>
          </w:tcPr>
          <w:p w14:paraId="3A8ECF26" w14:textId="77777777" w:rsidR="006735BF" w:rsidRPr="00C56257" w:rsidRDefault="006735BF" w:rsidP="008E33FD">
            <w:pPr>
              <w:pStyle w:val="TableParagraph"/>
              <w:spacing w:before="20" w:line="259" w:lineRule="exact"/>
              <w:ind w:left="86" w:right="80"/>
              <w:jc w:val="both"/>
              <w:rPr>
                <w:b/>
                <w:color w:val="000000" w:themeColor="text1"/>
                <w:sz w:val="24"/>
                <w:szCs w:val="24"/>
              </w:rPr>
            </w:pPr>
            <w:r w:rsidRPr="00C56257">
              <w:rPr>
                <w:b/>
                <w:color w:val="000000" w:themeColor="text1"/>
                <w:sz w:val="24"/>
                <w:szCs w:val="24"/>
              </w:rPr>
              <w:t>6230*</w:t>
            </w:r>
          </w:p>
        </w:tc>
        <w:tc>
          <w:tcPr>
            <w:tcW w:w="706" w:type="dxa"/>
          </w:tcPr>
          <w:p w14:paraId="13ADB458" w14:textId="77777777" w:rsidR="006735BF" w:rsidRPr="00C56257" w:rsidRDefault="006735BF" w:rsidP="008E33FD">
            <w:pPr>
              <w:pStyle w:val="TableParagraph"/>
              <w:spacing w:before="15" w:line="264" w:lineRule="exact"/>
              <w:ind w:left="93" w:right="85"/>
              <w:jc w:val="both"/>
              <w:rPr>
                <w:color w:val="000000" w:themeColor="text1"/>
                <w:sz w:val="24"/>
                <w:szCs w:val="24"/>
              </w:rPr>
            </w:pPr>
            <w:r w:rsidRPr="00C56257">
              <w:rPr>
                <w:color w:val="000000" w:themeColor="text1"/>
                <w:sz w:val="24"/>
                <w:szCs w:val="24"/>
              </w:rPr>
              <w:t>48</w:t>
            </w:r>
          </w:p>
        </w:tc>
        <w:tc>
          <w:tcPr>
            <w:tcW w:w="707" w:type="dxa"/>
          </w:tcPr>
          <w:p w14:paraId="09EC535D" w14:textId="77777777" w:rsidR="006735BF" w:rsidRPr="00C56257" w:rsidRDefault="006735BF" w:rsidP="008E33FD">
            <w:pPr>
              <w:pStyle w:val="TableParagraph"/>
              <w:spacing w:before="15" w:line="264" w:lineRule="exact"/>
              <w:ind w:left="8"/>
              <w:jc w:val="both"/>
              <w:rPr>
                <w:color w:val="000000" w:themeColor="text1"/>
                <w:sz w:val="24"/>
                <w:szCs w:val="24"/>
              </w:rPr>
            </w:pPr>
            <w:r w:rsidRPr="00C56257">
              <w:rPr>
                <w:color w:val="000000" w:themeColor="text1"/>
                <w:sz w:val="24"/>
                <w:szCs w:val="24"/>
              </w:rPr>
              <w:t>0</w:t>
            </w:r>
          </w:p>
        </w:tc>
        <w:tc>
          <w:tcPr>
            <w:tcW w:w="706" w:type="dxa"/>
          </w:tcPr>
          <w:p w14:paraId="4A46BD86" w14:textId="77777777" w:rsidR="006735BF" w:rsidRPr="00C56257" w:rsidRDefault="006735BF" w:rsidP="008E33FD">
            <w:pPr>
              <w:pStyle w:val="TableParagraph"/>
              <w:spacing w:before="15" w:line="264" w:lineRule="exact"/>
              <w:ind w:left="6"/>
              <w:jc w:val="both"/>
              <w:rPr>
                <w:color w:val="000000" w:themeColor="text1"/>
                <w:sz w:val="24"/>
                <w:szCs w:val="24"/>
              </w:rPr>
            </w:pPr>
            <w:r w:rsidRPr="00C56257">
              <w:rPr>
                <w:color w:val="000000" w:themeColor="text1"/>
                <w:sz w:val="24"/>
                <w:szCs w:val="24"/>
              </w:rPr>
              <w:t>0</w:t>
            </w:r>
          </w:p>
        </w:tc>
        <w:tc>
          <w:tcPr>
            <w:tcW w:w="706" w:type="dxa"/>
          </w:tcPr>
          <w:p w14:paraId="16E19400"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0</w:t>
            </w:r>
          </w:p>
        </w:tc>
        <w:tc>
          <w:tcPr>
            <w:tcW w:w="706" w:type="dxa"/>
          </w:tcPr>
          <w:p w14:paraId="66F78111"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0</w:t>
            </w:r>
          </w:p>
        </w:tc>
        <w:tc>
          <w:tcPr>
            <w:tcW w:w="706" w:type="dxa"/>
          </w:tcPr>
          <w:p w14:paraId="401F4470" w14:textId="77777777" w:rsidR="006735BF" w:rsidRPr="00C56257" w:rsidRDefault="006735BF" w:rsidP="008E33FD">
            <w:pPr>
              <w:pStyle w:val="TableParagraph"/>
              <w:spacing w:before="15" w:line="264" w:lineRule="exact"/>
              <w:ind w:left="9"/>
              <w:jc w:val="both"/>
              <w:rPr>
                <w:color w:val="000000" w:themeColor="text1"/>
                <w:sz w:val="24"/>
                <w:szCs w:val="24"/>
              </w:rPr>
            </w:pPr>
            <w:r w:rsidRPr="00C56257">
              <w:rPr>
                <w:color w:val="000000" w:themeColor="text1"/>
                <w:sz w:val="24"/>
                <w:szCs w:val="24"/>
              </w:rPr>
              <w:t>0</w:t>
            </w:r>
          </w:p>
        </w:tc>
        <w:tc>
          <w:tcPr>
            <w:tcW w:w="1422" w:type="dxa"/>
          </w:tcPr>
          <w:p w14:paraId="0A915FAC" w14:textId="77777777" w:rsidR="006735BF" w:rsidRPr="00C56257" w:rsidRDefault="006735BF" w:rsidP="008E33FD">
            <w:pPr>
              <w:pStyle w:val="TableParagraph"/>
              <w:spacing w:before="15" w:line="264" w:lineRule="exact"/>
              <w:ind w:left="88" w:right="81"/>
              <w:jc w:val="both"/>
              <w:rPr>
                <w:color w:val="000000" w:themeColor="text1"/>
                <w:sz w:val="24"/>
                <w:szCs w:val="24"/>
              </w:rPr>
            </w:pPr>
            <w:r w:rsidRPr="00C56257">
              <w:rPr>
                <w:color w:val="000000" w:themeColor="text1"/>
                <w:sz w:val="24"/>
                <w:szCs w:val="24"/>
              </w:rPr>
              <w:t>48</w:t>
            </w:r>
          </w:p>
        </w:tc>
        <w:tc>
          <w:tcPr>
            <w:tcW w:w="2600" w:type="dxa"/>
          </w:tcPr>
          <w:p w14:paraId="060FFAF1" w14:textId="77777777" w:rsidR="006735BF" w:rsidRPr="00C56257" w:rsidRDefault="006735BF" w:rsidP="008E33FD">
            <w:pPr>
              <w:pStyle w:val="TableParagraph"/>
              <w:spacing w:before="15" w:line="264" w:lineRule="exact"/>
              <w:ind w:right="1230"/>
              <w:jc w:val="both"/>
              <w:rPr>
                <w:color w:val="000000" w:themeColor="text1"/>
                <w:sz w:val="24"/>
                <w:szCs w:val="24"/>
              </w:rPr>
            </w:pPr>
            <w:r w:rsidRPr="00C56257">
              <w:rPr>
                <w:color w:val="000000" w:themeColor="text1"/>
                <w:sz w:val="24"/>
                <w:szCs w:val="24"/>
              </w:rPr>
              <w:t>0</w:t>
            </w:r>
          </w:p>
        </w:tc>
      </w:tr>
      <w:tr w:rsidR="006735BF" w:rsidRPr="00C56257" w14:paraId="7A760B9D" w14:textId="77777777" w:rsidTr="00511A4E">
        <w:trPr>
          <w:trHeight w:val="299"/>
        </w:trPr>
        <w:tc>
          <w:tcPr>
            <w:tcW w:w="1385" w:type="dxa"/>
          </w:tcPr>
          <w:p w14:paraId="4E409CF9" w14:textId="77777777" w:rsidR="006735BF" w:rsidRPr="00C56257" w:rsidRDefault="006735BF" w:rsidP="008E33FD">
            <w:pPr>
              <w:pStyle w:val="TableParagraph"/>
              <w:spacing w:before="20" w:line="259" w:lineRule="exact"/>
              <w:ind w:left="86" w:right="80"/>
              <w:jc w:val="both"/>
              <w:rPr>
                <w:b/>
                <w:color w:val="000000" w:themeColor="text1"/>
                <w:sz w:val="24"/>
                <w:szCs w:val="24"/>
              </w:rPr>
            </w:pPr>
            <w:r w:rsidRPr="00C56257">
              <w:rPr>
                <w:b/>
                <w:color w:val="000000" w:themeColor="text1"/>
                <w:sz w:val="24"/>
                <w:szCs w:val="24"/>
              </w:rPr>
              <w:t>6240*</w:t>
            </w:r>
          </w:p>
        </w:tc>
        <w:tc>
          <w:tcPr>
            <w:tcW w:w="706" w:type="dxa"/>
          </w:tcPr>
          <w:p w14:paraId="1FD2E6EF" w14:textId="77777777" w:rsidR="006735BF" w:rsidRPr="00C56257" w:rsidRDefault="006735BF" w:rsidP="008E33FD">
            <w:pPr>
              <w:pStyle w:val="TableParagraph"/>
              <w:spacing w:before="15" w:line="264" w:lineRule="exact"/>
              <w:ind w:left="8"/>
              <w:jc w:val="both"/>
              <w:rPr>
                <w:color w:val="000000" w:themeColor="text1"/>
                <w:sz w:val="24"/>
                <w:szCs w:val="24"/>
              </w:rPr>
            </w:pPr>
            <w:r w:rsidRPr="00C56257">
              <w:rPr>
                <w:color w:val="000000" w:themeColor="text1"/>
                <w:sz w:val="24"/>
                <w:szCs w:val="24"/>
              </w:rPr>
              <w:t>0</w:t>
            </w:r>
          </w:p>
        </w:tc>
        <w:tc>
          <w:tcPr>
            <w:tcW w:w="707" w:type="dxa"/>
          </w:tcPr>
          <w:p w14:paraId="78F21691" w14:textId="77777777" w:rsidR="006735BF" w:rsidRPr="00C56257" w:rsidRDefault="006735BF" w:rsidP="008E33FD">
            <w:pPr>
              <w:pStyle w:val="TableParagraph"/>
              <w:spacing w:before="15" w:line="264" w:lineRule="exact"/>
              <w:ind w:left="87" w:right="79"/>
              <w:jc w:val="both"/>
              <w:rPr>
                <w:color w:val="000000" w:themeColor="text1"/>
                <w:sz w:val="24"/>
                <w:szCs w:val="24"/>
              </w:rPr>
            </w:pPr>
            <w:r w:rsidRPr="00C56257">
              <w:rPr>
                <w:color w:val="000000" w:themeColor="text1"/>
                <w:sz w:val="24"/>
                <w:szCs w:val="24"/>
              </w:rPr>
              <w:t>41</w:t>
            </w:r>
          </w:p>
        </w:tc>
        <w:tc>
          <w:tcPr>
            <w:tcW w:w="706" w:type="dxa"/>
          </w:tcPr>
          <w:p w14:paraId="7A58BE45" w14:textId="77777777" w:rsidR="006735BF" w:rsidRPr="00C56257" w:rsidRDefault="006735BF" w:rsidP="008E33FD">
            <w:pPr>
              <w:pStyle w:val="TableParagraph"/>
              <w:spacing w:before="15" w:line="264" w:lineRule="exact"/>
              <w:ind w:left="6"/>
              <w:jc w:val="both"/>
              <w:rPr>
                <w:color w:val="000000" w:themeColor="text1"/>
                <w:sz w:val="24"/>
                <w:szCs w:val="24"/>
              </w:rPr>
            </w:pPr>
            <w:r w:rsidRPr="00C56257">
              <w:rPr>
                <w:color w:val="000000" w:themeColor="text1"/>
                <w:sz w:val="24"/>
                <w:szCs w:val="24"/>
              </w:rPr>
              <w:t>0</w:t>
            </w:r>
          </w:p>
        </w:tc>
        <w:tc>
          <w:tcPr>
            <w:tcW w:w="706" w:type="dxa"/>
          </w:tcPr>
          <w:p w14:paraId="3988582D"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0</w:t>
            </w:r>
          </w:p>
        </w:tc>
        <w:tc>
          <w:tcPr>
            <w:tcW w:w="706" w:type="dxa"/>
          </w:tcPr>
          <w:p w14:paraId="3EAB7A9C"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0</w:t>
            </w:r>
          </w:p>
        </w:tc>
        <w:tc>
          <w:tcPr>
            <w:tcW w:w="706" w:type="dxa"/>
          </w:tcPr>
          <w:p w14:paraId="538B785B" w14:textId="77777777" w:rsidR="006735BF" w:rsidRPr="00C56257" w:rsidRDefault="006735BF" w:rsidP="008E33FD">
            <w:pPr>
              <w:pStyle w:val="TableParagraph"/>
              <w:spacing w:before="15" w:line="264" w:lineRule="exact"/>
              <w:ind w:left="9"/>
              <w:jc w:val="both"/>
              <w:rPr>
                <w:color w:val="000000" w:themeColor="text1"/>
                <w:sz w:val="24"/>
                <w:szCs w:val="24"/>
              </w:rPr>
            </w:pPr>
            <w:r w:rsidRPr="00C56257">
              <w:rPr>
                <w:color w:val="000000" w:themeColor="text1"/>
                <w:sz w:val="24"/>
                <w:szCs w:val="24"/>
              </w:rPr>
              <w:t>0</w:t>
            </w:r>
          </w:p>
        </w:tc>
        <w:tc>
          <w:tcPr>
            <w:tcW w:w="1422" w:type="dxa"/>
          </w:tcPr>
          <w:p w14:paraId="2895120D" w14:textId="77777777" w:rsidR="006735BF" w:rsidRPr="00C56257" w:rsidRDefault="006735BF" w:rsidP="008E33FD">
            <w:pPr>
              <w:pStyle w:val="TableParagraph"/>
              <w:spacing w:before="15" w:line="264" w:lineRule="exact"/>
              <w:ind w:left="88" w:right="81"/>
              <w:jc w:val="both"/>
              <w:rPr>
                <w:color w:val="000000" w:themeColor="text1"/>
                <w:sz w:val="24"/>
                <w:szCs w:val="24"/>
              </w:rPr>
            </w:pPr>
            <w:r w:rsidRPr="00C56257">
              <w:rPr>
                <w:color w:val="000000" w:themeColor="text1"/>
                <w:sz w:val="24"/>
                <w:szCs w:val="24"/>
              </w:rPr>
              <w:t>41</w:t>
            </w:r>
          </w:p>
        </w:tc>
        <w:tc>
          <w:tcPr>
            <w:tcW w:w="2600" w:type="dxa"/>
          </w:tcPr>
          <w:p w14:paraId="79E25223" w14:textId="77777777" w:rsidR="006735BF" w:rsidRPr="00C56257" w:rsidRDefault="006735BF" w:rsidP="008E33FD">
            <w:pPr>
              <w:pStyle w:val="TableParagraph"/>
              <w:spacing w:before="15" w:line="264" w:lineRule="exact"/>
              <w:ind w:right="1230"/>
              <w:jc w:val="both"/>
              <w:rPr>
                <w:color w:val="000000" w:themeColor="text1"/>
                <w:sz w:val="24"/>
                <w:szCs w:val="24"/>
              </w:rPr>
            </w:pPr>
            <w:r w:rsidRPr="00C56257">
              <w:rPr>
                <w:color w:val="000000" w:themeColor="text1"/>
                <w:sz w:val="24"/>
                <w:szCs w:val="24"/>
              </w:rPr>
              <w:t>0</w:t>
            </w:r>
          </w:p>
        </w:tc>
      </w:tr>
      <w:tr w:rsidR="006735BF" w:rsidRPr="00C56257" w14:paraId="297D3AB8" w14:textId="77777777" w:rsidTr="00511A4E">
        <w:trPr>
          <w:trHeight w:val="299"/>
        </w:trPr>
        <w:tc>
          <w:tcPr>
            <w:tcW w:w="1385" w:type="dxa"/>
          </w:tcPr>
          <w:p w14:paraId="1DA86C77" w14:textId="77777777" w:rsidR="006735BF" w:rsidRPr="00C56257" w:rsidRDefault="006735BF" w:rsidP="008E33FD">
            <w:pPr>
              <w:pStyle w:val="TableParagraph"/>
              <w:spacing w:before="20" w:line="259" w:lineRule="exact"/>
              <w:ind w:left="86" w:right="80"/>
              <w:jc w:val="both"/>
              <w:rPr>
                <w:b/>
                <w:color w:val="000000" w:themeColor="text1"/>
                <w:sz w:val="24"/>
                <w:szCs w:val="24"/>
              </w:rPr>
            </w:pPr>
            <w:r w:rsidRPr="00C56257">
              <w:rPr>
                <w:b/>
                <w:color w:val="000000" w:themeColor="text1"/>
                <w:sz w:val="24"/>
                <w:szCs w:val="24"/>
              </w:rPr>
              <w:t>62C0*</w:t>
            </w:r>
          </w:p>
        </w:tc>
        <w:tc>
          <w:tcPr>
            <w:tcW w:w="706" w:type="dxa"/>
          </w:tcPr>
          <w:p w14:paraId="6155D065" w14:textId="77777777" w:rsidR="006735BF" w:rsidRPr="00C56257" w:rsidRDefault="006735BF" w:rsidP="008E33FD">
            <w:pPr>
              <w:pStyle w:val="TableParagraph"/>
              <w:spacing w:before="15" w:line="264" w:lineRule="exact"/>
              <w:ind w:left="8"/>
              <w:jc w:val="both"/>
              <w:rPr>
                <w:color w:val="000000" w:themeColor="text1"/>
                <w:sz w:val="24"/>
                <w:szCs w:val="24"/>
              </w:rPr>
            </w:pPr>
            <w:r w:rsidRPr="00C56257">
              <w:rPr>
                <w:color w:val="000000" w:themeColor="text1"/>
                <w:sz w:val="24"/>
                <w:szCs w:val="24"/>
              </w:rPr>
              <w:t>0</w:t>
            </w:r>
          </w:p>
        </w:tc>
        <w:tc>
          <w:tcPr>
            <w:tcW w:w="707" w:type="dxa"/>
          </w:tcPr>
          <w:p w14:paraId="34289141" w14:textId="77777777" w:rsidR="006735BF" w:rsidRPr="00C56257" w:rsidRDefault="006735BF" w:rsidP="008E33FD">
            <w:pPr>
              <w:pStyle w:val="TableParagraph"/>
              <w:spacing w:before="15" w:line="264" w:lineRule="exact"/>
              <w:ind w:left="87" w:right="79"/>
              <w:jc w:val="both"/>
              <w:rPr>
                <w:color w:val="000000" w:themeColor="text1"/>
                <w:sz w:val="24"/>
                <w:szCs w:val="24"/>
              </w:rPr>
            </w:pPr>
            <w:r w:rsidRPr="00C56257">
              <w:rPr>
                <w:color w:val="000000" w:themeColor="text1"/>
                <w:sz w:val="24"/>
                <w:szCs w:val="24"/>
              </w:rPr>
              <w:t>31</w:t>
            </w:r>
          </w:p>
        </w:tc>
        <w:tc>
          <w:tcPr>
            <w:tcW w:w="706" w:type="dxa"/>
          </w:tcPr>
          <w:p w14:paraId="135926EF" w14:textId="77777777" w:rsidR="006735BF" w:rsidRPr="00C56257" w:rsidRDefault="006735BF" w:rsidP="008E33FD">
            <w:pPr>
              <w:pStyle w:val="TableParagraph"/>
              <w:spacing w:before="15" w:line="264" w:lineRule="exact"/>
              <w:ind w:left="6"/>
              <w:jc w:val="both"/>
              <w:rPr>
                <w:color w:val="000000" w:themeColor="text1"/>
                <w:sz w:val="24"/>
                <w:szCs w:val="24"/>
              </w:rPr>
            </w:pPr>
            <w:r w:rsidRPr="00C56257">
              <w:rPr>
                <w:color w:val="000000" w:themeColor="text1"/>
                <w:sz w:val="24"/>
                <w:szCs w:val="24"/>
              </w:rPr>
              <w:t>0</w:t>
            </w:r>
          </w:p>
        </w:tc>
        <w:tc>
          <w:tcPr>
            <w:tcW w:w="706" w:type="dxa"/>
          </w:tcPr>
          <w:p w14:paraId="5E375AC4" w14:textId="77777777" w:rsidR="006735BF" w:rsidRPr="00C56257" w:rsidRDefault="006735BF" w:rsidP="008E33FD">
            <w:pPr>
              <w:pStyle w:val="TableParagraph"/>
              <w:spacing w:before="15" w:line="264" w:lineRule="exact"/>
              <w:ind w:left="90" w:right="85"/>
              <w:jc w:val="both"/>
              <w:rPr>
                <w:color w:val="000000" w:themeColor="text1"/>
                <w:sz w:val="24"/>
                <w:szCs w:val="24"/>
              </w:rPr>
            </w:pPr>
            <w:r w:rsidRPr="00C56257">
              <w:rPr>
                <w:color w:val="000000" w:themeColor="text1"/>
                <w:sz w:val="24"/>
                <w:szCs w:val="24"/>
              </w:rPr>
              <w:t>29</w:t>
            </w:r>
          </w:p>
        </w:tc>
        <w:tc>
          <w:tcPr>
            <w:tcW w:w="706" w:type="dxa"/>
          </w:tcPr>
          <w:p w14:paraId="0CA1F709"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0</w:t>
            </w:r>
          </w:p>
        </w:tc>
        <w:tc>
          <w:tcPr>
            <w:tcW w:w="706" w:type="dxa"/>
          </w:tcPr>
          <w:p w14:paraId="3C8EC1FA" w14:textId="77777777" w:rsidR="006735BF" w:rsidRPr="00C56257" w:rsidRDefault="006735BF" w:rsidP="008E33FD">
            <w:pPr>
              <w:pStyle w:val="TableParagraph"/>
              <w:spacing w:before="15" w:line="264" w:lineRule="exact"/>
              <w:ind w:left="9"/>
              <w:jc w:val="both"/>
              <w:rPr>
                <w:color w:val="000000" w:themeColor="text1"/>
                <w:sz w:val="24"/>
                <w:szCs w:val="24"/>
              </w:rPr>
            </w:pPr>
            <w:r w:rsidRPr="00C56257">
              <w:rPr>
                <w:color w:val="000000" w:themeColor="text1"/>
                <w:sz w:val="24"/>
                <w:szCs w:val="24"/>
              </w:rPr>
              <w:t>0</w:t>
            </w:r>
          </w:p>
        </w:tc>
        <w:tc>
          <w:tcPr>
            <w:tcW w:w="1422" w:type="dxa"/>
          </w:tcPr>
          <w:p w14:paraId="4BB46604" w14:textId="77777777" w:rsidR="006735BF" w:rsidRPr="00C56257" w:rsidRDefault="006735BF" w:rsidP="008E33FD">
            <w:pPr>
              <w:pStyle w:val="TableParagraph"/>
              <w:spacing w:before="15" w:line="264" w:lineRule="exact"/>
              <w:ind w:left="88" w:right="81"/>
              <w:jc w:val="both"/>
              <w:rPr>
                <w:color w:val="000000" w:themeColor="text1"/>
                <w:sz w:val="24"/>
                <w:szCs w:val="24"/>
              </w:rPr>
            </w:pPr>
            <w:r w:rsidRPr="00C56257">
              <w:rPr>
                <w:color w:val="000000" w:themeColor="text1"/>
                <w:sz w:val="24"/>
                <w:szCs w:val="24"/>
              </w:rPr>
              <w:t>58</w:t>
            </w:r>
          </w:p>
        </w:tc>
        <w:tc>
          <w:tcPr>
            <w:tcW w:w="2600" w:type="dxa"/>
          </w:tcPr>
          <w:p w14:paraId="62BA8B41" w14:textId="77777777" w:rsidR="006735BF" w:rsidRPr="00C56257" w:rsidRDefault="006735BF" w:rsidP="008E33FD">
            <w:pPr>
              <w:pStyle w:val="TableParagraph"/>
              <w:spacing w:before="15" w:line="264" w:lineRule="exact"/>
              <w:ind w:right="1230"/>
              <w:jc w:val="both"/>
              <w:rPr>
                <w:color w:val="000000" w:themeColor="text1"/>
                <w:sz w:val="24"/>
                <w:szCs w:val="24"/>
              </w:rPr>
            </w:pPr>
            <w:r w:rsidRPr="00C56257">
              <w:rPr>
                <w:color w:val="000000" w:themeColor="text1"/>
                <w:sz w:val="24"/>
                <w:szCs w:val="24"/>
              </w:rPr>
              <w:t>2</w:t>
            </w:r>
          </w:p>
        </w:tc>
      </w:tr>
      <w:tr w:rsidR="006735BF" w:rsidRPr="00C56257" w14:paraId="7B35E389" w14:textId="77777777" w:rsidTr="00511A4E">
        <w:trPr>
          <w:trHeight w:val="299"/>
        </w:trPr>
        <w:tc>
          <w:tcPr>
            <w:tcW w:w="1385" w:type="dxa"/>
          </w:tcPr>
          <w:p w14:paraId="44427338" w14:textId="77777777" w:rsidR="006735BF" w:rsidRPr="00C56257" w:rsidRDefault="006735BF" w:rsidP="008E33FD">
            <w:pPr>
              <w:pStyle w:val="TableParagraph"/>
              <w:spacing w:before="20" w:line="259" w:lineRule="exact"/>
              <w:ind w:left="87" w:right="80"/>
              <w:jc w:val="both"/>
              <w:rPr>
                <w:b/>
                <w:color w:val="000000" w:themeColor="text1"/>
                <w:sz w:val="24"/>
                <w:szCs w:val="24"/>
              </w:rPr>
            </w:pPr>
            <w:r w:rsidRPr="00C56257">
              <w:rPr>
                <w:b/>
                <w:color w:val="000000" w:themeColor="text1"/>
                <w:sz w:val="24"/>
                <w:szCs w:val="24"/>
              </w:rPr>
              <w:t>6410</w:t>
            </w:r>
          </w:p>
        </w:tc>
        <w:tc>
          <w:tcPr>
            <w:tcW w:w="706" w:type="dxa"/>
          </w:tcPr>
          <w:p w14:paraId="444B0508" w14:textId="77777777" w:rsidR="006735BF" w:rsidRPr="00C56257" w:rsidRDefault="006735BF" w:rsidP="008E33FD">
            <w:pPr>
              <w:pStyle w:val="TableParagraph"/>
              <w:spacing w:before="15" w:line="264" w:lineRule="exact"/>
              <w:ind w:left="93" w:right="85"/>
              <w:jc w:val="both"/>
              <w:rPr>
                <w:color w:val="000000" w:themeColor="text1"/>
                <w:sz w:val="24"/>
                <w:szCs w:val="24"/>
              </w:rPr>
            </w:pPr>
            <w:r w:rsidRPr="00C56257">
              <w:rPr>
                <w:color w:val="000000" w:themeColor="text1"/>
                <w:sz w:val="24"/>
                <w:szCs w:val="24"/>
              </w:rPr>
              <w:t>20</w:t>
            </w:r>
          </w:p>
        </w:tc>
        <w:tc>
          <w:tcPr>
            <w:tcW w:w="707" w:type="dxa"/>
          </w:tcPr>
          <w:p w14:paraId="0D0CEE02" w14:textId="77777777" w:rsidR="006735BF" w:rsidRPr="00C56257" w:rsidRDefault="006735BF" w:rsidP="008E33FD">
            <w:pPr>
              <w:pStyle w:val="TableParagraph"/>
              <w:spacing w:before="15" w:line="264" w:lineRule="exact"/>
              <w:ind w:left="87" w:right="79"/>
              <w:jc w:val="both"/>
              <w:rPr>
                <w:color w:val="000000" w:themeColor="text1"/>
                <w:sz w:val="24"/>
                <w:szCs w:val="24"/>
              </w:rPr>
            </w:pPr>
            <w:r w:rsidRPr="00C56257">
              <w:rPr>
                <w:color w:val="000000" w:themeColor="text1"/>
                <w:sz w:val="24"/>
                <w:szCs w:val="24"/>
              </w:rPr>
              <w:t>20</w:t>
            </w:r>
          </w:p>
        </w:tc>
        <w:tc>
          <w:tcPr>
            <w:tcW w:w="706" w:type="dxa"/>
          </w:tcPr>
          <w:p w14:paraId="44137DFF" w14:textId="77777777" w:rsidR="006735BF" w:rsidRPr="00C56257" w:rsidRDefault="006735BF" w:rsidP="008E33FD">
            <w:pPr>
              <w:pStyle w:val="TableParagraph"/>
              <w:spacing w:before="15" w:line="264" w:lineRule="exact"/>
              <w:ind w:left="6"/>
              <w:jc w:val="both"/>
              <w:rPr>
                <w:color w:val="000000" w:themeColor="text1"/>
                <w:sz w:val="24"/>
                <w:szCs w:val="24"/>
              </w:rPr>
            </w:pPr>
            <w:r w:rsidRPr="00C56257">
              <w:rPr>
                <w:color w:val="000000" w:themeColor="text1"/>
                <w:sz w:val="24"/>
                <w:szCs w:val="24"/>
              </w:rPr>
              <w:t>1</w:t>
            </w:r>
          </w:p>
        </w:tc>
        <w:tc>
          <w:tcPr>
            <w:tcW w:w="706" w:type="dxa"/>
          </w:tcPr>
          <w:p w14:paraId="3AD56D1D"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2</w:t>
            </w:r>
          </w:p>
        </w:tc>
        <w:tc>
          <w:tcPr>
            <w:tcW w:w="706" w:type="dxa"/>
          </w:tcPr>
          <w:p w14:paraId="28C7C455"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3</w:t>
            </w:r>
          </w:p>
        </w:tc>
        <w:tc>
          <w:tcPr>
            <w:tcW w:w="706" w:type="dxa"/>
          </w:tcPr>
          <w:p w14:paraId="12C3BFB5" w14:textId="77777777" w:rsidR="006735BF" w:rsidRPr="00C56257" w:rsidRDefault="006735BF" w:rsidP="008E33FD">
            <w:pPr>
              <w:pStyle w:val="TableParagraph"/>
              <w:spacing w:before="15" w:line="264" w:lineRule="exact"/>
              <w:ind w:left="9"/>
              <w:jc w:val="both"/>
              <w:rPr>
                <w:color w:val="000000" w:themeColor="text1"/>
                <w:sz w:val="24"/>
                <w:szCs w:val="24"/>
              </w:rPr>
            </w:pPr>
            <w:r w:rsidRPr="00C56257">
              <w:rPr>
                <w:color w:val="000000" w:themeColor="text1"/>
                <w:sz w:val="24"/>
                <w:szCs w:val="24"/>
              </w:rPr>
              <w:t>0</w:t>
            </w:r>
          </w:p>
        </w:tc>
        <w:tc>
          <w:tcPr>
            <w:tcW w:w="1422" w:type="dxa"/>
          </w:tcPr>
          <w:p w14:paraId="7A9E3986" w14:textId="77777777" w:rsidR="006735BF" w:rsidRPr="00C56257" w:rsidRDefault="006735BF" w:rsidP="008E33FD">
            <w:pPr>
              <w:pStyle w:val="TableParagraph"/>
              <w:spacing w:before="15" w:line="264" w:lineRule="exact"/>
              <w:ind w:left="88" w:right="81"/>
              <w:jc w:val="both"/>
              <w:rPr>
                <w:color w:val="000000" w:themeColor="text1"/>
                <w:sz w:val="24"/>
                <w:szCs w:val="24"/>
              </w:rPr>
            </w:pPr>
            <w:r w:rsidRPr="00C56257">
              <w:rPr>
                <w:color w:val="000000" w:themeColor="text1"/>
                <w:sz w:val="24"/>
                <w:szCs w:val="24"/>
              </w:rPr>
              <w:t>35</w:t>
            </w:r>
          </w:p>
        </w:tc>
        <w:tc>
          <w:tcPr>
            <w:tcW w:w="2600" w:type="dxa"/>
          </w:tcPr>
          <w:p w14:paraId="2311C16B" w14:textId="77777777" w:rsidR="006735BF" w:rsidRPr="00C56257" w:rsidRDefault="006735BF" w:rsidP="008E33FD">
            <w:pPr>
              <w:pStyle w:val="TableParagraph"/>
              <w:spacing w:before="15" w:line="264" w:lineRule="exact"/>
              <w:ind w:right="1170"/>
              <w:jc w:val="both"/>
              <w:rPr>
                <w:color w:val="000000" w:themeColor="text1"/>
                <w:sz w:val="24"/>
                <w:szCs w:val="24"/>
              </w:rPr>
            </w:pPr>
            <w:r w:rsidRPr="00C56257">
              <w:rPr>
                <w:color w:val="000000" w:themeColor="text1"/>
                <w:sz w:val="24"/>
                <w:szCs w:val="24"/>
              </w:rPr>
              <w:t>11</w:t>
            </w:r>
          </w:p>
        </w:tc>
      </w:tr>
      <w:tr w:rsidR="006735BF" w:rsidRPr="00C56257" w14:paraId="32E4DFA5" w14:textId="77777777" w:rsidTr="00511A4E">
        <w:trPr>
          <w:trHeight w:val="299"/>
        </w:trPr>
        <w:tc>
          <w:tcPr>
            <w:tcW w:w="1385" w:type="dxa"/>
          </w:tcPr>
          <w:p w14:paraId="5D66EB6A" w14:textId="77777777" w:rsidR="006735BF" w:rsidRPr="00C56257" w:rsidRDefault="006735BF" w:rsidP="008E33FD">
            <w:pPr>
              <w:pStyle w:val="TableParagraph"/>
              <w:spacing w:before="20" w:line="259" w:lineRule="exact"/>
              <w:ind w:left="87" w:right="80"/>
              <w:jc w:val="both"/>
              <w:rPr>
                <w:b/>
                <w:color w:val="000000" w:themeColor="text1"/>
                <w:sz w:val="24"/>
                <w:szCs w:val="24"/>
              </w:rPr>
            </w:pPr>
            <w:r w:rsidRPr="00C56257">
              <w:rPr>
                <w:b/>
                <w:color w:val="000000" w:themeColor="text1"/>
                <w:sz w:val="24"/>
                <w:szCs w:val="24"/>
              </w:rPr>
              <w:t>6420</w:t>
            </w:r>
          </w:p>
        </w:tc>
        <w:tc>
          <w:tcPr>
            <w:tcW w:w="706" w:type="dxa"/>
          </w:tcPr>
          <w:p w14:paraId="50622A08" w14:textId="77777777" w:rsidR="006735BF" w:rsidRPr="00C56257" w:rsidRDefault="006735BF" w:rsidP="008E33FD">
            <w:pPr>
              <w:pStyle w:val="TableParagraph"/>
              <w:spacing w:before="15" w:line="264" w:lineRule="exact"/>
              <w:ind w:left="8"/>
              <w:jc w:val="both"/>
              <w:rPr>
                <w:color w:val="000000" w:themeColor="text1"/>
                <w:sz w:val="24"/>
                <w:szCs w:val="24"/>
              </w:rPr>
            </w:pPr>
            <w:r w:rsidRPr="00C56257">
              <w:rPr>
                <w:color w:val="000000" w:themeColor="text1"/>
                <w:sz w:val="24"/>
                <w:szCs w:val="24"/>
              </w:rPr>
              <w:t>0</w:t>
            </w:r>
          </w:p>
        </w:tc>
        <w:tc>
          <w:tcPr>
            <w:tcW w:w="707" w:type="dxa"/>
          </w:tcPr>
          <w:p w14:paraId="60F35DA8" w14:textId="77777777" w:rsidR="006735BF" w:rsidRPr="00C56257" w:rsidRDefault="006735BF" w:rsidP="008E33FD">
            <w:pPr>
              <w:pStyle w:val="TableParagraph"/>
              <w:spacing w:before="15" w:line="264" w:lineRule="exact"/>
              <w:ind w:left="8"/>
              <w:jc w:val="both"/>
              <w:rPr>
                <w:color w:val="000000" w:themeColor="text1"/>
                <w:sz w:val="24"/>
                <w:szCs w:val="24"/>
              </w:rPr>
            </w:pPr>
            <w:r w:rsidRPr="00C56257">
              <w:rPr>
                <w:color w:val="000000" w:themeColor="text1"/>
                <w:sz w:val="24"/>
                <w:szCs w:val="24"/>
              </w:rPr>
              <w:t>0</w:t>
            </w:r>
          </w:p>
        </w:tc>
        <w:tc>
          <w:tcPr>
            <w:tcW w:w="706" w:type="dxa"/>
          </w:tcPr>
          <w:p w14:paraId="735CCD52" w14:textId="77777777" w:rsidR="006735BF" w:rsidRPr="00C56257" w:rsidRDefault="006735BF" w:rsidP="008E33FD">
            <w:pPr>
              <w:pStyle w:val="TableParagraph"/>
              <w:spacing w:before="15" w:line="264" w:lineRule="exact"/>
              <w:ind w:left="6"/>
              <w:jc w:val="both"/>
              <w:rPr>
                <w:color w:val="000000" w:themeColor="text1"/>
                <w:sz w:val="24"/>
                <w:szCs w:val="24"/>
              </w:rPr>
            </w:pPr>
            <w:r w:rsidRPr="00C56257">
              <w:rPr>
                <w:color w:val="000000" w:themeColor="text1"/>
                <w:sz w:val="24"/>
                <w:szCs w:val="24"/>
              </w:rPr>
              <w:t>0</w:t>
            </w:r>
          </w:p>
        </w:tc>
        <w:tc>
          <w:tcPr>
            <w:tcW w:w="706" w:type="dxa"/>
          </w:tcPr>
          <w:p w14:paraId="4A3DB415"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0</w:t>
            </w:r>
          </w:p>
        </w:tc>
        <w:tc>
          <w:tcPr>
            <w:tcW w:w="706" w:type="dxa"/>
          </w:tcPr>
          <w:p w14:paraId="3C3255AF"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3</w:t>
            </w:r>
          </w:p>
        </w:tc>
        <w:tc>
          <w:tcPr>
            <w:tcW w:w="706" w:type="dxa"/>
          </w:tcPr>
          <w:p w14:paraId="720DDC0F" w14:textId="77777777" w:rsidR="006735BF" w:rsidRPr="00C56257" w:rsidRDefault="006735BF" w:rsidP="008E33FD">
            <w:pPr>
              <w:pStyle w:val="TableParagraph"/>
              <w:spacing w:before="15" w:line="264" w:lineRule="exact"/>
              <w:ind w:left="9"/>
              <w:jc w:val="both"/>
              <w:rPr>
                <w:color w:val="000000" w:themeColor="text1"/>
                <w:sz w:val="24"/>
                <w:szCs w:val="24"/>
              </w:rPr>
            </w:pPr>
            <w:r w:rsidRPr="00C56257">
              <w:rPr>
                <w:color w:val="000000" w:themeColor="text1"/>
                <w:sz w:val="24"/>
                <w:szCs w:val="24"/>
              </w:rPr>
              <w:t>0</w:t>
            </w:r>
          </w:p>
        </w:tc>
        <w:tc>
          <w:tcPr>
            <w:tcW w:w="1422" w:type="dxa"/>
          </w:tcPr>
          <w:p w14:paraId="18C02237" w14:textId="77777777" w:rsidR="006735BF" w:rsidRPr="00C56257" w:rsidRDefault="006735BF" w:rsidP="008E33FD">
            <w:pPr>
              <w:pStyle w:val="TableParagraph"/>
              <w:spacing w:before="15" w:line="264" w:lineRule="exact"/>
              <w:ind w:left="7"/>
              <w:jc w:val="both"/>
              <w:rPr>
                <w:color w:val="000000" w:themeColor="text1"/>
                <w:sz w:val="24"/>
                <w:szCs w:val="24"/>
              </w:rPr>
            </w:pPr>
            <w:r w:rsidRPr="00C56257">
              <w:rPr>
                <w:color w:val="000000" w:themeColor="text1"/>
                <w:sz w:val="24"/>
                <w:szCs w:val="24"/>
              </w:rPr>
              <w:t>3</w:t>
            </w:r>
          </w:p>
        </w:tc>
        <w:tc>
          <w:tcPr>
            <w:tcW w:w="2600" w:type="dxa"/>
          </w:tcPr>
          <w:p w14:paraId="1DED47B6" w14:textId="77777777" w:rsidR="006735BF" w:rsidRPr="00C56257" w:rsidRDefault="006735BF" w:rsidP="008E33FD">
            <w:pPr>
              <w:pStyle w:val="TableParagraph"/>
              <w:spacing w:before="15" w:line="264" w:lineRule="exact"/>
              <w:ind w:right="1230"/>
              <w:jc w:val="both"/>
              <w:rPr>
                <w:color w:val="000000" w:themeColor="text1"/>
                <w:sz w:val="24"/>
                <w:szCs w:val="24"/>
              </w:rPr>
            </w:pPr>
            <w:r w:rsidRPr="00C56257">
              <w:rPr>
                <w:color w:val="000000" w:themeColor="text1"/>
                <w:sz w:val="24"/>
                <w:szCs w:val="24"/>
              </w:rPr>
              <w:t>0</w:t>
            </w:r>
          </w:p>
        </w:tc>
      </w:tr>
      <w:tr w:rsidR="006735BF" w:rsidRPr="00C56257" w14:paraId="0CBCB867" w14:textId="77777777" w:rsidTr="00511A4E">
        <w:trPr>
          <w:trHeight w:val="299"/>
        </w:trPr>
        <w:tc>
          <w:tcPr>
            <w:tcW w:w="1385" w:type="dxa"/>
            <w:tcBorders>
              <w:bottom w:val="single" w:sz="6" w:space="0" w:color="000000"/>
            </w:tcBorders>
          </w:tcPr>
          <w:p w14:paraId="11647E35" w14:textId="77777777" w:rsidR="006735BF" w:rsidRPr="00C56257" w:rsidRDefault="006735BF" w:rsidP="008E33FD">
            <w:pPr>
              <w:pStyle w:val="TableParagraph"/>
              <w:spacing w:before="23" w:line="257" w:lineRule="exact"/>
              <w:ind w:left="87" w:right="80"/>
              <w:jc w:val="both"/>
              <w:rPr>
                <w:b/>
                <w:color w:val="000000" w:themeColor="text1"/>
                <w:sz w:val="24"/>
                <w:szCs w:val="24"/>
              </w:rPr>
            </w:pPr>
            <w:r w:rsidRPr="00C56257">
              <w:rPr>
                <w:b/>
                <w:color w:val="000000" w:themeColor="text1"/>
                <w:sz w:val="24"/>
                <w:szCs w:val="24"/>
              </w:rPr>
              <w:t>6430</w:t>
            </w:r>
          </w:p>
        </w:tc>
        <w:tc>
          <w:tcPr>
            <w:tcW w:w="706" w:type="dxa"/>
            <w:tcBorders>
              <w:bottom w:val="single" w:sz="6" w:space="0" w:color="000000"/>
            </w:tcBorders>
          </w:tcPr>
          <w:p w14:paraId="574A72BF" w14:textId="77777777" w:rsidR="006735BF" w:rsidRPr="00C56257" w:rsidRDefault="006735BF" w:rsidP="008E33FD">
            <w:pPr>
              <w:pStyle w:val="TableParagraph"/>
              <w:spacing w:before="18" w:line="262" w:lineRule="exact"/>
              <w:ind w:left="93" w:right="85"/>
              <w:jc w:val="both"/>
              <w:rPr>
                <w:color w:val="000000" w:themeColor="text1"/>
                <w:sz w:val="24"/>
                <w:szCs w:val="24"/>
              </w:rPr>
            </w:pPr>
            <w:r w:rsidRPr="00C56257">
              <w:rPr>
                <w:color w:val="000000" w:themeColor="text1"/>
                <w:sz w:val="24"/>
                <w:szCs w:val="24"/>
              </w:rPr>
              <w:t>69</w:t>
            </w:r>
          </w:p>
        </w:tc>
        <w:tc>
          <w:tcPr>
            <w:tcW w:w="707" w:type="dxa"/>
            <w:tcBorders>
              <w:bottom w:val="single" w:sz="6" w:space="0" w:color="000000"/>
            </w:tcBorders>
          </w:tcPr>
          <w:p w14:paraId="5E20EBC4" w14:textId="77777777" w:rsidR="006735BF" w:rsidRPr="00C56257" w:rsidRDefault="006735BF" w:rsidP="008E33FD">
            <w:pPr>
              <w:pStyle w:val="TableParagraph"/>
              <w:spacing w:before="18" w:line="262" w:lineRule="exact"/>
              <w:ind w:left="87" w:right="79"/>
              <w:jc w:val="both"/>
              <w:rPr>
                <w:color w:val="000000" w:themeColor="text1"/>
                <w:sz w:val="24"/>
                <w:szCs w:val="24"/>
              </w:rPr>
            </w:pPr>
            <w:r w:rsidRPr="00C56257">
              <w:rPr>
                <w:color w:val="000000" w:themeColor="text1"/>
                <w:sz w:val="24"/>
                <w:szCs w:val="24"/>
              </w:rPr>
              <w:t>81</w:t>
            </w:r>
          </w:p>
        </w:tc>
        <w:tc>
          <w:tcPr>
            <w:tcW w:w="706" w:type="dxa"/>
            <w:tcBorders>
              <w:bottom w:val="single" w:sz="6" w:space="0" w:color="000000"/>
            </w:tcBorders>
          </w:tcPr>
          <w:p w14:paraId="3001AB00" w14:textId="77777777" w:rsidR="006735BF" w:rsidRPr="00C56257" w:rsidRDefault="006735BF" w:rsidP="008E33FD">
            <w:pPr>
              <w:pStyle w:val="TableParagraph"/>
              <w:spacing w:before="18" w:line="262" w:lineRule="exact"/>
              <w:ind w:left="91" w:right="85"/>
              <w:jc w:val="both"/>
              <w:rPr>
                <w:color w:val="000000" w:themeColor="text1"/>
                <w:sz w:val="24"/>
                <w:szCs w:val="24"/>
              </w:rPr>
            </w:pPr>
            <w:r w:rsidRPr="00C56257">
              <w:rPr>
                <w:color w:val="000000" w:themeColor="text1"/>
                <w:sz w:val="24"/>
                <w:szCs w:val="24"/>
              </w:rPr>
              <w:t>19</w:t>
            </w:r>
          </w:p>
        </w:tc>
        <w:tc>
          <w:tcPr>
            <w:tcW w:w="706" w:type="dxa"/>
            <w:tcBorders>
              <w:bottom w:val="single" w:sz="6" w:space="0" w:color="000000"/>
            </w:tcBorders>
          </w:tcPr>
          <w:p w14:paraId="4B09EEF3" w14:textId="77777777" w:rsidR="006735BF" w:rsidRPr="00C56257" w:rsidRDefault="006735BF" w:rsidP="008E33FD">
            <w:pPr>
              <w:pStyle w:val="TableParagraph"/>
              <w:spacing w:before="18" w:line="262" w:lineRule="exact"/>
              <w:ind w:left="90" w:right="85"/>
              <w:jc w:val="both"/>
              <w:rPr>
                <w:color w:val="000000" w:themeColor="text1"/>
                <w:sz w:val="24"/>
                <w:szCs w:val="24"/>
              </w:rPr>
            </w:pPr>
            <w:r w:rsidRPr="00C56257">
              <w:rPr>
                <w:color w:val="000000" w:themeColor="text1"/>
                <w:sz w:val="24"/>
                <w:szCs w:val="24"/>
              </w:rPr>
              <w:t>26</w:t>
            </w:r>
          </w:p>
        </w:tc>
        <w:tc>
          <w:tcPr>
            <w:tcW w:w="706" w:type="dxa"/>
            <w:tcBorders>
              <w:bottom w:val="single" w:sz="6" w:space="0" w:color="000000"/>
            </w:tcBorders>
          </w:tcPr>
          <w:p w14:paraId="5720B2D9" w14:textId="77777777" w:rsidR="006735BF" w:rsidRPr="00C56257" w:rsidRDefault="006735BF" w:rsidP="008E33FD">
            <w:pPr>
              <w:pStyle w:val="TableParagraph"/>
              <w:spacing w:before="18" w:line="262" w:lineRule="exact"/>
              <w:ind w:left="5"/>
              <w:jc w:val="both"/>
              <w:rPr>
                <w:color w:val="000000" w:themeColor="text1"/>
                <w:sz w:val="24"/>
                <w:szCs w:val="24"/>
              </w:rPr>
            </w:pPr>
            <w:r w:rsidRPr="00C56257">
              <w:rPr>
                <w:color w:val="000000" w:themeColor="text1"/>
                <w:sz w:val="24"/>
                <w:szCs w:val="24"/>
              </w:rPr>
              <w:t>7</w:t>
            </w:r>
          </w:p>
        </w:tc>
        <w:tc>
          <w:tcPr>
            <w:tcW w:w="706" w:type="dxa"/>
            <w:tcBorders>
              <w:bottom w:val="single" w:sz="6" w:space="0" w:color="000000"/>
            </w:tcBorders>
          </w:tcPr>
          <w:p w14:paraId="1C7A0F1E" w14:textId="77777777" w:rsidR="006735BF" w:rsidRPr="00C56257" w:rsidRDefault="006735BF" w:rsidP="008E33FD">
            <w:pPr>
              <w:pStyle w:val="TableParagraph"/>
              <w:spacing w:before="18" w:line="262" w:lineRule="exact"/>
              <w:ind w:left="9"/>
              <w:jc w:val="both"/>
              <w:rPr>
                <w:color w:val="000000" w:themeColor="text1"/>
                <w:sz w:val="24"/>
                <w:szCs w:val="24"/>
              </w:rPr>
            </w:pPr>
            <w:r w:rsidRPr="00C56257">
              <w:rPr>
                <w:color w:val="000000" w:themeColor="text1"/>
                <w:sz w:val="24"/>
                <w:szCs w:val="24"/>
              </w:rPr>
              <w:t>0</w:t>
            </w:r>
          </w:p>
        </w:tc>
        <w:tc>
          <w:tcPr>
            <w:tcW w:w="1422" w:type="dxa"/>
            <w:tcBorders>
              <w:bottom w:val="single" w:sz="6" w:space="0" w:color="000000"/>
            </w:tcBorders>
          </w:tcPr>
          <w:p w14:paraId="11A2B50A" w14:textId="77777777" w:rsidR="006735BF" w:rsidRPr="00C56257" w:rsidRDefault="006735BF" w:rsidP="008E33FD">
            <w:pPr>
              <w:pStyle w:val="TableParagraph"/>
              <w:spacing w:before="18" w:line="262" w:lineRule="exact"/>
              <w:ind w:left="88" w:right="81"/>
              <w:jc w:val="both"/>
              <w:rPr>
                <w:color w:val="000000" w:themeColor="text1"/>
                <w:sz w:val="24"/>
                <w:szCs w:val="24"/>
              </w:rPr>
            </w:pPr>
            <w:r w:rsidRPr="00C56257">
              <w:rPr>
                <w:color w:val="000000" w:themeColor="text1"/>
                <w:sz w:val="24"/>
                <w:szCs w:val="24"/>
              </w:rPr>
              <w:t>164</w:t>
            </w:r>
          </w:p>
        </w:tc>
        <w:tc>
          <w:tcPr>
            <w:tcW w:w="2600" w:type="dxa"/>
            <w:tcBorders>
              <w:bottom w:val="single" w:sz="6" w:space="0" w:color="000000"/>
            </w:tcBorders>
          </w:tcPr>
          <w:p w14:paraId="2A07EA85" w14:textId="77777777" w:rsidR="006735BF" w:rsidRPr="00C56257" w:rsidRDefault="006735BF" w:rsidP="008E33FD">
            <w:pPr>
              <w:pStyle w:val="TableParagraph"/>
              <w:spacing w:before="18" w:line="262" w:lineRule="exact"/>
              <w:ind w:right="1170"/>
              <w:jc w:val="both"/>
              <w:rPr>
                <w:color w:val="000000" w:themeColor="text1"/>
                <w:sz w:val="24"/>
                <w:szCs w:val="24"/>
              </w:rPr>
            </w:pPr>
            <w:r w:rsidRPr="00C56257">
              <w:rPr>
                <w:color w:val="000000" w:themeColor="text1"/>
                <w:sz w:val="24"/>
                <w:szCs w:val="24"/>
              </w:rPr>
              <w:t>38</w:t>
            </w:r>
          </w:p>
        </w:tc>
      </w:tr>
      <w:tr w:rsidR="006735BF" w:rsidRPr="00C56257" w14:paraId="25CD9E28" w14:textId="77777777" w:rsidTr="00511A4E">
        <w:trPr>
          <w:trHeight w:val="297"/>
        </w:trPr>
        <w:tc>
          <w:tcPr>
            <w:tcW w:w="1385" w:type="dxa"/>
            <w:tcBorders>
              <w:top w:val="single" w:sz="6" w:space="0" w:color="000000"/>
            </w:tcBorders>
          </w:tcPr>
          <w:p w14:paraId="3EFAF0DB" w14:textId="77777777" w:rsidR="006735BF" w:rsidRPr="00C56257" w:rsidRDefault="006735BF" w:rsidP="008E33FD">
            <w:pPr>
              <w:pStyle w:val="TableParagraph"/>
              <w:spacing w:before="18" w:line="259" w:lineRule="exact"/>
              <w:ind w:left="87" w:right="80"/>
              <w:jc w:val="both"/>
              <w:rPr>
                <w:b/>
                <w:color w:val="000000" w:themeColor="text1"/>
                <w:sz w:val="24"/>
                <w:szCs w:val="24"/>
              </w:rPr>
            </w:pPr>
            <w:r w:rsidRPr="00C56257">
              <w:rPr>
                <w:b/>
                <w:color w:val="000000" w:themeColor="text1"/>
                <w:sz w:val="24"/>
                <w:szCs w:val="24"/>
              </w:rPr>
              <w:t>6440</w:t>
            </w:r>
          </w:p>
        </w:tc>
        <w:tc>
          <w:tcPr>
            <w:tcW w:w="706" w:type="dxa"/>
            <w:tcBorders>
              <w:top w:val="single" w:sz="6" w:space="0" w:color="000000"/>
            </w:tcBorders>
          </w:tcPr>
          <w:p w14:paraId="3BF6C632" w14:textId="77777777" w:rsidR="006735BF" w:rsidRPr="00C56257" w:rsidRDefault="006735BF" w:rsidP="008E33FD">
            <w:pPr>
              <w:pStyle w:val="TableParagraph"/>
              <w:spacing w:before="13" w:line="264" w:lineRule="exact"/>
              <w:ind w:left="93" w:right="85"/>
              <w:jc w:val="both"/>
              <w:rPr>
                <w:color w:val="000000" w:themeColor="text1"/>
                <w:sz w:val="24"/>
                <w:szCs w:val="24"/>
              </w:rPr>
            </w:pPr>
            <w:r w:rsidRPr="00C56257">
              <w:rPr>
                <w:color w:val="000000" w:themeColor="text1"/>
                <w:sz w:val="24"/>
                <w:szCs w:val="24"/>
              </w:rPr>
              <w:t>22</w:t>
            </w:r>
          </w:p>
        </w:tc>
        <w:tc>
          <w:tcPr>
            <w:tcW w:w="707" w:type="dxa"/>
            <w:tcBorders>
              <w:top w:val="single" w:sz="6" w:space="0" w:color="000000"/>
            </w:tcBorders>
          </w:tcPr>
          <w:p w14:paraId="051E2E54" w14:textId="77777777" w:rsidR="006735BF" w:rsidRPr="00C56257" w:rsidRDefault="006735BF" w:rsidP="008E33FD">
            <w:pPr>
              <w:pStyle w:val="TableParagraph"/>
              <w:spacing w:before="13" w:line="264" w:lineRule="exact"/>
              <w:ind w:left="87" w:right="79"/>
              <w:jc w:val="both"/>
              <w:rPr>
                <w:color w:val="000000" w:themeColor="text1"/>
                <w:sz w:val="24"/>
                <w:szCs w:val="24"/>
              </w:rPr>
            </w:pPr>
            <w:r w:rsidRPr="00C56257">
              <w:rPr>
                <w:color w:val="000000" w:themeColor="text1"/>
                <w:sz w:val="24"/>
                <w:szCs w:val="24"/>
              </w:rPr>
              <w:t>49</w:t>
            </w:r>
          </w:p>
        </w:tc>
        <w:tc>
          <w:tcPr>
            <w:tcW w:w="706" w:type="dxa"/>
            <w:tcBorders>
              <w:top w:val="single" w:sz="6" w:space="0" w:color="000000"/>
            </w:tcBorders>
          </w:tcPr>
          <w:p w14:paraId="71E40EE6" w14:textId="77777777" w:rsidR="006735BF" w:rsidRPr="00C56257" w:rsidRDefault="006735BF" w:rsidP="008E33FD">
            <w:pPr>
              <w:pStyle w:val="TableParagraph"/>
              <w:spacing w:before="13" w:line="264" w:lineRule="exact"/>
              <w:ind w:left="91" w:right="85"/>
              <w:jc w:val="both"/>
              <w:rPr>
                <w:color w:val="000000" w:themeColor="text1"/>
                <w:sz w:val="24"/>
                <w:szCs w:val="24"/>
              </w:rPr>
            </w:pPr>
            <w:r w:rsidRPr="00C56257">
              <w:rPr>
                <w:color w:val="000000" w:themeColor="text1"/>
                <w:sz w:val="24"/>
                <w:szCs w:val="24"/>
              </w:rPr>
              <w:t>12</w:t>
            </w:r>
          </w:p>
        </w:tc>
        <w:tc>
          <w:tcPr>
            <w:tcW w:w="706" w:type="dxa"/>
            <w:tcBorders>
              <w:top w:val="single" w:sz="6" w:space="0" w:color="000000"/>
            </w:tcBorders>
          </w:tcPr>
          <w:p w14:paraId="551C8B35" w14:textId="77777777" w:rsidR="006735BF" w:rsidRPr="00C56257" w:rsidRDefault="006735BF" w:rsidP="008E33FD">
            <w:pPr>
              <w:pStyle w:val="TableParagraph"/>
              <w:spacing w:before="13" w:line="264" w:lineRule="exact"/>
              <w:ind w:left="90" w:right="85"/>
              <w:jc w:val="both"/>
              <w:rPr>
                <w:color w:val="000000" w:themeColor="text1"/>
                <w:sz w:val="24"/>
                <w:szCs w:val="24"/>
              </w:rPr>
            </w:pPr>
            <w:r w:rsidRPr="00C56257">
              <w:rPr>
                <w:color w:val="000000" w:themeColor="text1"/>
                <w:sz w:val="24"/>
                <w:szCs w:val="24"/>
              </w:rPr>
              <w:t>13</w:t>
            </w:r>
          </w:p>
        </w:tc>
        <w:tc>
          <w:tcPr>
            <w:tcW w:w="706" w:type="dxa"/>
            <w:tcBorders>
              <w:top w:val="single" w:sz="6" w:space="0" w:color="000000"/>
            </w:tcBorders>
          </w:tcPr>
          <w:p w14:paraId="4315619F" w14:textId="77777777" w:rsidR="006735BF" w:rsidRPr="00C56257" w:rsidRDefault="006735BF" w:rsidP="008E33FD">
            <w:pPr>
              <w:pStyle w:val="TableParagraph"/>
              <w:spacing w:before="13" w:line="264" w:lineRule="exact"/>
              <w:ind w:left="5"/>
              <w:jc w:val="both"/>
              <w:rPr>
                <w:color w:val="000000" w:themeColor="text1"/>
                <w:sz w:val="24"/>
                <w:szCs w:val="24"/>
              </w:rPr>
            </w:pPr>
            <w:r w:rsidRPr="00C56257">
              <w:rPr>
                <w:color w:val="000000" w:themeColor="text1"/>
                <w:sz w:val="24"/>
                <w:szCs w:val="24"/>
              </w:rPr>
              <w:t>3</w:t>
            </w:r>
          </w:p>
        </w:tc>
        <w:tc>
          <w:tcPr>
            <w:tcW w:w="706" w:type="dxa"/>
            <w:tcBorders>
              <w:top w:val="single" w:sz="6" w:space="0" w:color="000000"/>
            </w:tcBorders>
          </w:tcPr>
          <w:p w14:paraId="264EE3C9" w14:textId="77777777" w:rsidR="006735BF" w:rsidRPr="00C56257" w:rsidRDefault="006735BF" w:rsidP="008E33FD">
            <w:pPr>
              <w:pStyle w:val="TableParagraph"/>
              <w:spacing w:before="13" w:line="264" w:lineRule="exact"/>
              <w:ind w:left="9"/>
              <w:jc w:val="both"/>
              <w:rPr>
                <w:color w:val="000000" w:themeColor="text1"/>
                <w:sz w:val="24"/>
                <w:szCs w:val="24"/>
              </w:rPr>
            </w:pPr>
            <w:r w:rsidRPr="00C56257">
              <w:rPr>
                <w:color w:val="000000" w:themeColor="text1"/>
                <w:sz w:val="24"/>
                <w:szCs w:val="24"/>
              </w:rPr>
              <w:t>0</w:t>
            </w:r>
          </w:p>
        </w:tc>
        <w:tc>
          <w:tcPr>
            <w:tcW w:w="1422" w:type="dxa"/>
            <w:tcBorders>
              <w:top w:val="single" w:sz="6" w:space="0" w:color="000000"/>
            </w:tcBorders>
          </w:tcPr>
          <w:p w14:paraId="3B855363" w14:textId="77777777" w:rsidR="006735BF" w:rsidRPr="00C56257" w:rsidRDefault="006735BF" w:rsidP="008E33FD">
            <w:pPr>
              <w:pStyle w:val="TableParagraph"/>
              <w:spacing w:before="13" w:line="264" w:lineRule="exact"/>
              <w:ind w:left="88" w:right="81"/>
              <w:jc w:val="both"/>
              <w:rPr>
                <w:color w:val="000000" w:themeColor="text1"/>
                <w:sz w:val="24"/>
                <w:szCs w:val="24"/>
              </w:rPr>
            </w:pPr>
            <w:r w:rsidRPr="00C56257">
              <w:rPr>
                <w:color w:val="000000" w:themeColor="text1"/>
                <w:sz w:val="24"/>
                <w:szCs w:val="24"/>
              </w:rPr>
              <w:t>84</w:t>
            </w:r>
          </w:p>
        </w:tc>
        <w:tc>
          <w:tcPr>
            <w:tcW w:w="2600" w:type="dxa"/>
            <w:tcBorders>
              <w:top w:val="single" w:sz="6" w:space="0" w:color="000000"/>
            </w:tcBorders>
          </w:tcPr>
          <w:p w14:paraId="04DCCDBE" w14:textId="77777777" w:rsidR="006735BF" w:rsidRPr="00C56257" w:rsidRDefault="006735BF" w:rsidP="008E33FD">
            <w:pPr>
              <w:pStyle w:val="TableParagraph"/>
              <w:spacing w:before="13" w:line="264" w:lineRule="exact"/>
              <w:ind w:right="1170"/>
              <w:jc w:val="both"/>
              <w:rPr>
                <w:color w:val="000000" w:themeColor="text1"/>
                <w:sz w:val="24"/>
                <w:szCs w:val="24"/>
              </w:rPr>
            </w:pPr>
            <w:r w:rsidRPr="00C56257">
              <w:rPr>
                <w:color w:val="000000" w:themeColor="text1"/>
                <w:sz w:val="24"/>
                <w:szCs w:val="24"/>
              </w:rPr>
              <w:t>15</w:t>
            </w:r>
          </w:p>
        </w:tc>
      </w:tr>
      <w:tr w:rsidR="006735BF" w:rsidRPr="00C56257" w14:paraId="546F79AE" w14:textId="77777777" w:rsidTr="00511A4E">
        <w:trPr>
          <w:trHeight w:val="299"/>
        </w:trPr>
        <w:tc>
          <w:tcPr>
            <w:tcW w:w="1385" w:type="dxa"/>
          </w:tcPr>
          <w:p w14:paraId="5C393DD8" w14:textId="77777777" w:rsidR="006735BF" w:rsidRPr="00C56257" w:rsidRDefault="006735BF" w:rsidP="008E33FD">
            <w:pPr>
              <w:pStyle w:val="TableParagraph"/>
              <w:spacing w:before="20" w:line="259" w:lineRule="exact"/>
              <w:ind w:left="87" w:right="80"/>
              <w:jc w:val="both"/>
              <w:rPr>
                <w:b/>
                <w:color w:val="000000" w:themeColor="text1"/>
                <w:sz w:val="24"/>
                <w:szCs w:val="24"/>
              </w:rPr>
            </w:pPr>
            <w:r w:rsidRPr="00C56257">
              <w:rPr>
                <w:b/>
                <w:color w:val="000000" w:themeColor="text1"/>
                <w:sz w:val="24"/>
                <w:szCs w:val="24"/>
              </w:rPr>
              <w:t>6510</w:t>
            </w:r>
          </w:p>
        </w:tc>
        <w:tc>
          <w:tcPr>
            <w:tcW w:w="706" w:type="dxa"/>
          </w:tcPr>
          <w:p w14:paraId="1B067517" w14:textId="77777777" w:rsidR="006735BF" w:rsidRPr="00C56257" w:rsidRDefault="006735BF" w:rsidP="008E33FD">
            <w:pPr>
              <w:pStyle w:val="TableParagraph"/>
              <w:spacing w:before="15" w:line="264" w:lineRule="exact"/>
              <w:ind w:left="93" w:right="85"/>
              <w:jc w:val="both"/>
              <w:rPr>
                <w:color w:val="000000" w:themeColor="text1"/>
                <w:sz w:val="24"/>
                <w:szCs w:val="24"/>
              </w:rPr>
            </w:pPr>
            <w:r w:rsidRPr="00C56257">
              <w:rPr>
                <w:color w:val="000000" w:themeColor="text1"/>
                <w:sz w:val="24"/>
                <w:szCs w:val="24"/>
              </w:rPr>
              <w:t>15</w:t>
            </w:r>
          </w:p>
        </w:tc>
        <w:tc>
          <w:tcPr>
            <w:tcW w:w="707" w:type="dxa"/>
          </w:tcPr>
          <w:p w14:paraId="61C6C33A" w14:textId="77777777" w:rsidR="006735BF" w:rsidRPr="00C56257" w:rsidRDefault="006735BF" w:rsidP="008E33FD">
            <w:pPr>
              <w:pStyle w:val="TableParagraph"/>
              <w:spacing w:before="15" w:line="264" w:lineRule="exact"/>
              <w:ind w:left="87" w:right="79"/>
              <w:jc w:val="both"/>
              <w:rPr>
                <w:color w:val="000000" w:themeColor="text1"/>
                <w:sz w:val="24"/>
                <w:szCs w:val="24"/>
              </w:rPr>
            </w:pPr>
            <w:r w:rsidRPr="00C56257">
              <w:rPr>
                <w:color w:val="000000" w:themeColor="text1"/>
                <w:sz w:val="24"/>
                <w:szCs w:val="24"/>
              </w:rPr>
              <w:t>34</w:t>
            </w:r>
          </w:p>
        </w:tc>
        <w:tc>
          <w:tcPr>
            <w:tcW w:w="706" w:type="dxa"/>
          </w:tcPr>
          <w:p w14:paraId="213C7A0A" w14:textId="77777777" w:rsidR="006735BF" w:rsidRPr="00C56257" w:rsidRDefault="006735BF" w:rsidP="008E33FD">
            <w:pPr>
              <w:pStyle w:val="TableParagraph"/>
              <w:spacing w:before="15" w:line="264" w:lineRule="exact"/>
              <w:ind w:left="6"/>
              <w:jc w:val="both"/>
              <w:rPr>
                <w:color w:val="000000" w:themeColor="text1"/>
                <w:sz w:val="24"/>
                <w:szCs w:val="24"/>
              </w:rPr>
            </w:pPr>
            <w:r w:rsidRPr="00C56257">
              <w:rPr>
                <w:color w:val="000000" w:themeColor="text1"/>
                <w:sz w:val="24"/>
                <w:szCs w:val="24"/>
              </w:rPr>
              <w:t>7</w:t>
            </w:r>
          </w:p>
        </w:tc>
        <w:tc>
          <w:tcPr>
            <w:tcW w:w="706" w:type="dxa"/>
          </w:tcPr>
          <w:p w14:paraId="28228FAD"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7</w:t>
            </w:r>
          </w:p>
        </w:tc>
        <w:tc>
          <w:tcPr>
            <w:tcW w:w="706" w:type="dxa"/>
          </w:tcPr>
          <w:p w14:paraId="50EEA29C"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4</w:t>
            </w:r>
          </w:p>
        </w:tc>
        <w:tc>
          <w:tcPr>
            <w:tcW w:w="706" w:type="dxa"/>
          </w:tcPr>
          <w:p w14:paraId="6DE10E70" w14:textId="77777777" w:rsidR="006735BF" w:rsidRPr="00C56257" w:rsidRDefault="006735BF" w:rsidP="008E33FD">
            <w:pPr>
              <w:pStyle w:val="TableParagraph"/>
              <w:spacing w:before="15" w:line="264" w:lineRule="exact"/>
              <w:ind w:left="9"/>
              <w:jc w:val="both"/>
              <w:rPr>
                <w:color w:val="000000" w:themeColor="text1"/>
                <w:sz w:val="24"/>
                <w:szCs w:val="24"/>
              </w:rPr>
            </w:pPr>
            <w:r w:rsidRPr="00C56257">
              <w:rPr>
                <w:color w:val="000000" w:themeColor="text1"/>
                <w:sz w:val="24"/>
                <w:szCs w:val="24"/>
              </w:rPr>
              <w:t>0</w:t>
            </w:r>
          </w:p>
        </w:tc>
        <w:tc>
          <w:tcPr>
            <w:tcW w:w="1422" w:type="dxa"/>
          </w:tcPr>
          <w:p w14:paraId="6DF3E1BC" w14:textId="77777777" w:rsidR="006735BF" w:rsidRPr="00C56257" w:rsidRDefault="006735BF" w:rsidP="008E33FD">
            <w:pPr>
              <w:pStyle w:val="TableParagraph"/>
              <w:spacing w:before="15" w:line="264" w:lineRule="exact"/>
              <w:ind w:left="88" w:right="81"/>
              <w:jc w:val="both"/>
              <w:rPr>
                <w:color w:val="000000" w:themeColor="text1"/>
                <w:sz w:val="24"/>
                <w:szCs w:val="24"/>
              </w:rPr>
            </w:pPr>
            <w:r w:rsidRPr="00C56257">
              <w:rPr>
                <w:color w:val="000000" w:themeColor="text1"/>
                <w:sz w:val="24"/>
                <w:szCs w:val="24"/>
              </w:rPr>
              <w:t>60</w:t>
            </w:r>
          </w:p>
        </w:tc>
        <w:tc>
          <w:tcPr>
            <w:tcW w:w="2600" w:type="dxa"/>
          </w:tcPr>
          <w:p w14:paraId="4027DDA9" w14:textId="77777777" w:rsidR="006735BF" w:rsidRPr="00C56257" w:rsidRDefault="006735BF" w:rsidP="008E33FD">
            <w:pPr>
              <w:pStyle w:val="TableParagraph"/>
              <w:spacing w:before="15" w:line="264" w:lineRule="exact"/>
              <w:ind w:right="1230"/>
              <w:jc w:val="both"/>
              <w:rPr>
                <w:color w:val="000000" w:themeColor="text1"/>
                <w:sz w:val="24"/>
                <w:szCs w:val="24"/>
              </w:rPr>
            </w:pPr>
            <w:r w:rsidRPr="00C56257">
              <w:rPr>
                <w:color w:val="000000" w:themeColor="text1"/>
                <w:sz w:val="24"/>
                <w:szCs w:val="24"/>
              </w:rPr>
              <w:t>7</w:t>
            </w:r>
          </w:p>
        </w:tc>
      </w:tr>
      <w:tr w:rsidR="006735BF" w:rsidRPr="00C56257" w14:paraId="36D5FEA3" w14:textId="77777777" w:rsidTr="00511A4E">
        <w:trPr>
          <w:trHeight w:val="299"/>
        </w:trPr>
        <w:tc>
          <w:tcPr>
            <w:tcW w:w="1385" w:type="dxa"/>
          </w:tcPr>
          <w:p w14:paraId="539BE785" w14:textId="77777777" w:rsidR="006735BF" w:rsidRPr="00C56257" w:rsidRDefault="006735BF" w:rsidP="008E33FD">
            <w:pPr>
              <w:pStyle w:val="TableParagraph"/>
              <w:spacing w:before="20" w:line="259" w:lineRule="exact"/>
              <w:ind w:left="87" w:right="80"/>
              <w:jc w:val="both"/>
              <w:rPr>
                <w:b/>
                <w:color w:val="000000" w:themeColor="text1"/>
                <w:sz w:val="24"/>
                <w:szCs w:val="24"/>
              </w:rPr>
            </w:pPr>
            <w:r w:rsidRPr="00C56257">
              <w:rPr>
                <w:b/>
                <w:color w:val="000000" w:themeColor="text1"/>
                <w:sz w:val="24"/>
                <w:szCs w:val="24"/>
              </w:rPr>
              <w:t>6520</w:t>
            </w:r>
          </w:p>
        </w:tc>
        <w:tc>
          <w:tcPr>
            <w:tcW w:w="706" w:type="dxa"/>
          </w:tcPr>
          <w:p w14:paraId="1F0DB4F5" w14:textId="77777777" w:rsidR="006735BF" w:rsidRPr="00C56257" w:rsidRDefault="006735BF" w:rsidP="008E33FD">
            <w:pPr>
              <w:pStyle w:val="TableParagraph"/>
              <w:spacing w:before="15" w:line="264" w:lineRule="exact"/>
              <w:ind w:left="93" w:right="85"/>
              <w:jc w:val="both"/>
              <w:rPr>
                <w:color w:val="000000" w:themeColor="text1"/>
                <w:sz w:val="24"/>
                <w:szCs w:val="24"/>
              </w:rPr>
            </w:pPr>
            <w:r w:rsidRPr="00C56257">
              <w:rPr>
                <w:color w:val="000000" w:themeColor="text1"/>
                <w:sz w:val="24"/>
                <w:szCs w:val="24"/>
              </w:rPr>
              <w:t>85</w:t>
            </w:r>
          </w:p>
        </w:tc>
        <w:tc>
          <w:tcPr>
            <w:tcW w:w="707" w:type="dxa"/>
          </w:tcPr>
          <w:p w14:paraId="6BE3D419" w14:textId="77777777" w:rsidR="006735BF" w:rsidRPr="00C56257" w:rsidRDefault="006735BF" w:rsidP="008E33FD">
            <w:pPr>
              <w:pStyle w:val="TableParagraph"/>
              <w:spacing w:before="15" w:line="264" w:lineRule="exact"/>
              <w:ind w:left="8"/>
              <w:jc w:val="both"/>
              <w:rPr>
                <w:color w:val="000000" w:themeColor="text1"/>
                <w:sz w:val="24"/>
                <w:szCs w:val="24"/>
              </w:rPr>
            </w:pPr>
            <w:r w:rsidRPr="00C56257">
              <w:rPr>
                <w:color w:val="000000" w:themeColor="text1"/>
                <w:sz w:val="24"/>
                <w:szCs w:val="24"/>
              </w:rPr>
              <w:t>0</w:t>
            </w:r>
          </w:p>
        </w:tc>
        <w:tc>
          <w:tcPr>
            <w:tcW w:w="706" w:type="dxa"/>
          </w:tcPr>
          <w:p w14:paraId="1E4CACA9" w14:textId="77777777" w:rsidR="006735BF" w:rsidRPr="00C56257" w:rsidRDefault="006735BF" w:rsidP="008E33FD">
            <w:pPr>
              <w:pStyle w:val="TableParagraph"/>
              <w:spacing w:before="15" w:line="264" w:lineRule="exact"/>
              <w:ind w:left="6"/>
              <w:jc w:val="both"/>
              <w:rPr>
                <w:color w:val="000000" w:themeColor="text1"/>
                <w:sz w:val="24"/>
                <w:szCs w:val="24"/>
              </w:rPr>
            </w:pPr>
            <w:r w:rsidRPr="00C56257">
              <w:rPr>
                <w:color w:val="000000" w:themeColor="text1"/>
                <w:sz w:val="24"/>
                <w:szCs w:val="24"/>
              </w:rPr>
              <w:t>0</w:t>
            </w:r>
          </w:p>
        </w:tc>
        <w:tc>
          <w:tcPr>
            <w:tcW w:w="706" w:type="dxa"/>
          </w:tcPr>
          <w:p w14:paraId="7E888052"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0</w:t>
            </w:r>
          </w:p>
        </w:tc>
        <w:tc>
          <w:tcPr>
            <w:tcW w:w="706" w:type="dxa"/>
          </w:tcPr>
          <w:p w14:paraId="55AFBB14" w14:textId="77777777" w:rsidR="006735BF" w:rsidRPr="00C56257" w:rsidRDefault="006735BF" w:rsidP="008E33FD">
            <w:pPr>
              <w:pStyle w:val="TableParagraph"/>
              <w:spacing w:before="15" w:line="264" w:lineRule="exact"/>
              <w:ind w:left="5"/>
              <w:jc w:val="both"/>
              <w:rPr>
                <w:color w:val="000000" w:themeColor="text1"/>
                <w:sz w:val="24"/>
                <w:szCs w:val="24"/>
              </w:rPr>
            </w:pPr>
            <w:r w:rsidRPr="00C56257">
              <w:rPr>
                <w:color w:val="000000" w:themeColor="text1"/>
                <w:sz w:val="24"/>
                <w:szCs w:val="24"/>
              </w:rPr>
              <w:t>0</w:t>
            </w:r>
          </w:p>
        </w:tc>
        <w:tc>
          <w:tcPr>
            <w:tcW w:w="706" w:type="dxa"/>
          </w:tcPr>
          <w:p w14:paraId="51A8E0AE" w14:textId="77777777" w:rsidR="006735BF" w:rsidRPr="00C56257" w:rsidRDefault="006735BF" w:rsidP="008E33FD">
            <w:pPr>
              <w:pStyle w:val="TableParagraph"/>
              <w:spacing w:before="15" w:line="264" w:lineRule="exact"/>
              <w:ind w:left="9"/>
              <w:jc w:val="both"/>
              <w:rPr>
                <w:color w:val="000000" w:themeColor="text1"/>
                <w:sz w:val="24"/>
                <w:szCs w:val="24"/>
              </w:rPr>
            </w:pPr>
            <w:r w:rsidRPr="00C56257">
              <w:rPr>
                <w:color w:val="000000" w:themeColor="text1"/>
                <w:sz w:val="24"/>
                <w:szCs w:val="24"/>
              </w:rPr>
              <w:t>0</w:t>
            </w:r>
          </w:p>
        </w:tc>
        <w:tc>
          <w:tcPr>
            <w:tcW w:w="1422" w:type="dxa"/>
          </w:tcPr>
          <w:p w14:paraId="56C05B0F" w14:textId="77777777" w:rsidR="006735BF" w:rsidRPr="00C56257" w:rsidRDefault="006735BF" w:rsidP="008E33FD">
            <w:pPr>
              <w:pStyle w:val="TableParagraph"/>
              <w:spacing w:before="15" w:line="264" w:lineRule="exact"/>
              <w:ind w:left="88" w:right="81"/>
              <w:jc w:val="both"/>
              <w:rPr>
                <w:color w:val="000000" w:themeColor="text1"/>
                <w:sz w:val="24"/>
                <w:szCs w:val="24"/>
              </w:rPr>
            </w:pPr>
            <w:r w:rsidRPr="00C56257">
              <w:rPr>
                <w:color w:val="000000" w:themeColor="text1"/>
                <w:sz w:val="24"/>
                <w:szCs w:val="24"/>
              </w:rPr>
              <w:t>85</w:t>
            </w:r>
          </w:p>
        </w:tc>
        <w:tc>
          <w:tcPr>
            <w:tcW w:w="2600" w:type="dxa"/>
          </w:tcPr>
          <w:p w14:paraId="2C724536" w14:textId="77777777" w:rsidR="006735BF" w:rsidRPr="00C56257" w:rsidRDefault="006735BF" w:rsidP="008E33FD">
            <w:pPr>
              <w:pStyle w:val="TableParagraph"/>
              <w:spacing w:before="15" w:line="264" w:lineRule="exact"/>
              <w:ind w:right="1230"/>
              <w:jc w:val="both"/>
              <w:rPr>
                <w:color w:val="000000" w:themeColor="text1"/>
                <w:sz w:val="24"/>
                <w:szCs w:val="24"/>
              </w:rPr>
            </w:pPr>
            <w:r w:rsidRPr="00C56257">
              <w:rPr>
                <w:color w:val="000000" w:themeColor="text1"/>
                <w:sz w:val="24"/>
                <w:szCs w:val="24"/>
              </w:rPr>
              <w:t>0</w:t>
            </w:r>
          </w:p>
        </w:tc>
      </w:tr>
    </w:tbl>
    <w:p w14:paraId="4A967AC5" w14:textId="77777777" w:rsidR="006735BF" w:rsidRPr="00C56257" w:rsidRDefault="006735BF" w:rsidP="008E33FD">
      <w:pPr>
        <w:pStyle w:val="BodyText"/>
        <w:spacing w:before="11"/>
        <w:jc w:val="both"/>
        <w:rPr>
          <w:color w:val="000000" w:themeColor="text1"/>
          <w:sz w:val="24"/>
          <w:szCs w:val="24"/>
        </w:rPr>
      </w:pPr>
    </w:p>
    <w:p w14:paraId="09F0C351" w14:textId="77777777" w:rsidR="006735BF" w:rsidRPr="00C56257" w:rsidRDefault="006735BF" w:rsidP="00182DE3">
      <w:pPr>
        <w:pStyle w:val="Heading2"/>
        <w:widowControl w:val="0"/>
        <w:autoSpaceDE w:val="0"/>
        <w:autoSpaceDN w:val="0"/>
        <w:spacing w:before="0" w:beforeAutospacing="0" w:after="0" w:afterAutospacing="0"/>
        <w:jc w:val="both"/>
        <w:rPr>
          <w:color w:val="000000" w:themeColor="text1"/>
          <w:sz w:val="24"/>
          <w:szCs w:val="24"/>
          <w:lang w:val="fr-FR"/>
        </w:rPr>
      </w:pPr>
      <w:proofErr w:type="spellStart"/>
      <w:r w:rsidRPr="00C56257">
        <w:rPr>
          <w:color w:val="000000" w:themeColor="text1"/>
          <w:sz w:val="24"/>
          <w:szCs w:val="24"/>
          <w:lang w:val="fr-FR"/>
        </w:rPr>
        <w:t>Ploturi</w:t>
      </w:r>
      <w:proofErr w:type="spellEnd"/>
      <w:r w:rsidRPr="00C56257">
        <w:rPr>
          <w:color w:val="000000" w:themeColor="text1"/>
          <w:spacing w:val="-5"/>
          <w:sz w:val="24"/>
          <w:szCs w:val="24"/>
          <w:lang w:val="fr-FR"/>
        </w:rPr>
        <w:t xml:space="preserve"> </w:t>
      </w:r>
      <w:r w:rsidRPr="00C56257">
        <w:rPr>
          <w:color w:val="000000" w:themeColor="text1"/>
          <w:sz w:val="24"/>
          <w:szCs w:val="24"/>
          <w:lang w:val="fr-FR"/>
        </w:rPr>
        <w:t>de</w:t>
      </w:r>
      <w:r w:rsidRPr="00C56257">
        <w:rPr>
          <w:color w:val="000000" w:themeColor="text1"/>
          <w:spacing w:val="-5"/>
          <w:sz w:val="24"/>
          <w:szCs w:val="24"/>
          <w:lang w:val="fr-FR"/>
        </w:rPr>
        <w:t xml:space="preserve"> </w:t>
      </w:r>
      <w:proofErr w:type="spellStart"/>
      <w:r w:rsidRPr="00C56257">
        <w:rPr>
          <w:color w:val="000000" w:themeColor="text1"/>
          <w:sz w:val="24"/>
          <w:szCs w:val="24"/>
          <w:lang w:val="fr-FR"/>
        </w:rPr>
        <w:t>monitorizare</w:t>
      </w:r>
      <w:proofErr w:type="spellEnd"/>
      <w:r w:rsidRPr="00C56257">
        <w:rPr>
          <w:color w:val="000000" w:themeColor="text1"/>
          <w:spacing w:val="-5"/>
          <w:sz w:val="24"/>
          <w:szCs w:val="24"/>
          <w:lang w:val="fr-FR"/>
        </w:rPr>
        <w:t xml:space="preserve"> </w:t>
      </w:r>
      <w:proofErr w:type="spellStart"/>
      <w:r w:rsidRPr="00C56257">
        <w:rPr>
          <w:color w:val="000000" w:themeColor="text1"/>
          <w:sz w:val="24"/>
          <w:szCs w:val="24"/>
          <w:lang w:val="fr-FR"/>
        </w:rPr>
        <w:t>din</w:t>
      </w:r>
      <w:proofErr w:type="spellEnd"/>
      <w:r w:rsidRPr="00C56257">
        <w:rPr>
          <w:color w:val="000000" w:themeColor="text1"/>
          <w:spacing w:val="-4"/>
          <w:sz w:val="24"/>
          <w:szCs w:val="24"/>
          <w:lang w:val="fr-FR"/>
        </w:rPr>
        <w:t xml:space="preserve"> </w:t>
      </w:r>
      <w:proofErr w:type="spellStart"/>
      <w:r w:rsidRPr="00C56257">
        <w:rPr>
          <w:color w:val="000000" w:themeColor="text1"/>
          <w:sz w:val="24"/>
          <w:szCs w:val="24"/>
          <w:lang w:val="fr-FR"/>
        </w:rPr>
        <w:t>rețeaua</w:t>
      </w:r>
      <w:proofErr w:type="spellEnd"/>
      <w:r w:rsidRPr="00C56257">
        <w:rPr>
          <w:color w:val="000000" w:themeColor="text1"/>
          <w:spacing w:val="-3"/>
          <w:sz w:val="24"/>
          <w:szCs w:val="24"/>
          <w:lang w:val="fr-FR"/>
        </w:rPr>
        <w:t xml:space="preserve"> </w:t>
      </w:r>
      <w:r w:rsidRPr="00C56257">
        <w:rPr>
          <w:color w:val="000000" w:themeColor="text1"/>
          <w:sz w:val="24"/>
          <w:szCs w:val="24"/>
          <w:lang w:val="fr-FR"/>
        </w:rPr>
        <w:t>Natura</w:t>
      </w:r>
      <w:r w:rsidRPr="00C56257">
        <w:rPr>
          <w:color w:val="000000" w:themeColor="text1"/>
          <w:spacing w:val="-6"/>
          <w:sz w:val="24"/>
          <w:szCs w:val="24"/>
          <w:lang w:val="fr-FR"/>
        </w:rPr>
        <w:t xml:space="preserve"> </w:t>
      </w:r>
      <w:r w:rsidRPr="00C56257">
        <w:rPr>
          <w:color w:val="000000" w:themeColor="text1"/>
          <w:sz w:val="24"/>
          <w:szCs w:val="24"/>
          <w:lang w:val="fr-FR"/>
        </w:rPr>
        <w:t>2000</w:t>
      </w:r>
    </w:p>
    <w:p w14:paraId="7481B58B" w14:textId="77777777" w:rsidR="006735BF" w:rsidRPr="00C56257" w:rsidRDefault="006735BF" w:rsidP="00182DE3">
      <w:pPr>
        <w:pStyle w:val="BodyText"/>
        <w:spacing w:before="157"/>
        <w:ind w:left="293"/>
        <w:jc w:val="both"/>
        <w:rPr>
          <w:color w:val="000000" w:themeColor="text1"/>
          <w:sz w:val="24"/>
          <w:szCs w:val="24"/>
          <w:lang w:val="fr-FR"/>
        </w:rPr>
      </w:pPr>
      <w:proofErr w:type="spellStart"/>
      <w:r w:rsidRPr="00C56257">
        <w:rPr>
          <w:color w:val="000000" w:themeColor="text1"/>
          <w:sz w:val="24"/>
          <w:szCs w:val="24"/>
          <w:lang w:val="fr-FR"/>
        </w:rPr>
        <w:t>Ploturile</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de</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monitorizare</w:t>
      </w:r>
      <w:proofErr w:type="spellEnd"/>
      <w:r w:rsidRPr="00C56257">
        <w:rPr>
          <w:color w:val="000000" w:themeColor="text1"/>
          <w:spacing w:val="-3"/>
          <w:sz w:val="24"/>
          <w:szCs w:val="24"/>
          <w:lang w:val="fr-FR"/>
        </w:rPr>
        <w:t xml:space="preserve"> </w:t>
      </w:r>
      <w:r w:rsidRPr="00C56257">
        <w:rPr>
          <w:color w:val="000000" w:themeColor="text1"/>
          <w:sz w:val="24"/>
          <w:szCs w:val="24"/>
          <w:lang w:val="fr-FR"/>
        </w:rPr>
        <w:t>se</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stabilesc</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corelație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cu</w:t>
      </w:r>
      <w:proofErr w:type="spellEnd"/>
      <w:r w:rsidRPr="00C56257">
        <w:rPr>
          <w:color w:val="000000" w:themeColor="text1"/>
          <w:sz w:val="24"/>
          <w:szCs w:val="24"/>
          <w:lang w:val="fr-FR"/>
        </w:rPr>
        <w:t>:</w:t>
      </w:r>
    </w:p>
    <w:p w14:paraId="2F1E7B66" w14:textId="77777777" w:rsidR="006735BF" w:rsidRPr="00C56257" w:rsidRDefault="006735BF" w:rsidP="009E63E5">
      <w:pPr>
        <w:pStyle w:val="ListParagraph"/>
        <w:widowControl w:val="0"/>
        <w:numPr>
          <w:ilvl w:val="0"/>
          <w:numId w:val="139"/>
        </w:numPr>
        <w:tabs>
          <w:tab w:val="left" w:pos="433"/>
        </w:tabs>
        <w:autoSpaceDE w:val="0"/>
        <w:autoSpaceDN w:val="0"/>
        <w:ind w:firstLine="0"/>
        <w:jc w:val="both"/>
        <w:rPr>
          <w:rFonts w:ascii="Times New Roman" w:hAnsi="Times New Roman" w:cs="Times New Roman"/>
          <w:color w:val="000000" w:themeColor="text1"/>
          <w:sz w:val="24"/>
          <w:szCs w:val="24"/>
          <w:lang w:val="fr-FR"/>
        </w:rPr>
      </w:pPr>
      <w:proofErr w:type="spellStart"/>
      <w:r w:rsidRPr="00C56257">
        <w:rPr>
          <w:rFonts w:ascii="Times New Roman" w:hAnsi="Times New Roman" w:cs="Times New Roman"/>
          <w:color w:val="000000" w:themeColor="text1"/>
          <w:sz w:val="24"/>
          <w:szCs w:val="24"/>
          <w:lang w:val="fr-FR"/>
        </w:rPr>
        <w:t>arealul</w:t>
      </w:r>
      <w:proofErr w:type="spellEnd"/>
      <w:r w:rsidRPr="00C56257">
        <w:rPr>
          <w:rFonts w:ascii="Times New Roman" w:hAnsi="Times New Roman" w:cs="Times New Roman"/>
          <w:color w:val="000000" w:themeColor="text1"/>
          <w:spacing w:val="-2"/>
          <w:sz w:val="24"/>
          <w:szCs w:val="24"/>
          <w:lang w:val="fr-FR"/>
        </w:rPr>
        <w:t xml:space="preserve"> </w:t>
      </w:r>
      <w:proofErr w:type="spellStart"/>
      <w:r w:rsidRPr="00C56257">
        <w:rPr>
          <w:rFonts w:ascii="Times New Roman" w:hAnsi="Times New Roman" w:cs="Times New Roman"/>
          <w:color w:val="000000" w:themeColor="text1"/>
          <w:sz w:val="24"/>
          <w:szCs w:val="24"/>
          <w:lang w:val="fr-FR"/>
        </w:rPr>
        <w:t>tipului</w:t>
      </w:r>
      <w:proofErr w:type="spellEnd"/>
      <w:r w:rsidRPr="00C56257">
        <w:rPr>
          <w:rFonts w:ascii="Times New Roman" w:hAnsi="Times New Roman" w:cs="Times New Roman"/>
          <w:color w:val="000000" w:themeColor="text1"/>
          <w:spacing w:val="-1"/>
          <w:sz w:val="24"/>
          <w:szCs w:val="24"/>
          <w:lang w:val="fr-FR"/>
        </w:rPr>
        <w:t xml:space="preserve"> </w:t>
      </w:r>
      <w:r w:rsidRPr="00C56257">
        <w:rPr>
          <w:rFonts w:ascii="Times New Roman" w:hAnsi="Times New Roman" w:cs="Times New Roman"/>
          <w:color w:val="000000" w:themeColor="text1"/>
          <w:sz w:val="24"/>
          <w:szCs w:val="24"/>
          <w:lang w:val="fr-FR"/>
        </w:rPr>
        <w:t>de</w:t>
      </w:r>
      <w:r w:rsidRPr="00C56257">
        <w:rPr>
          <w:rFonts w:ascii="Times New Roman" w:hAnsi="Times New Roman" w:cs="Times New Roman"/>
          <w:color w:val="000000" w:themeColor="text1"/>
          <w:spacing w:val="-2"/>
          <w:sz w:val="24"/>
          <w:szCs w:val="24"/>
          <w:lang w:val="fr-FR"/>
        </w:rPr>
        <w:t xml:space="preserve"> </w:t>
      </w:r>
      <w:r w:rsidRPr="00C56257">
        <w:rPr>
          <w:rFonts w:ascii="Times New Roman" w:hAnsi="Times New Roman" w:cs="Times New Roman"/>
          <w:color w:val="000000" w:themeColor="text1"/>
          <w:sz w:val="24"/>
          <w:szCs w:val="24"/>
          <w:lang w:val="fr-FR"/>
        </w:rPr>
        <w:t>habitat</w:t>
      </w:r>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din</w:t>
      </w:r>
      <w:proofErr w:type="spellEnd"/>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interiorul</w:t>
      </w:r>
      <w:proofErr w:type="spellEnd"/>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rețelei</w:t>
      </w:r>
      <w:proofErr w:type="spellEnd"/>
      <w:r w:rsidRPr="00C56257">
        <w:rPr>
          <w:rFonts w:ascii="Times New Roman" w:hAnsi="Times New Roman" w:cs="Times New Roman"/>
          <w:color w:val="000000" w:themeColor="text1"/>
          <w:spacing w:val="-2"/>
          <w:sz w:val="24"/>
          <w:szCs w:val="24"/>
          <w:lang w:val="fr-FR"/>
        </w:rPr>
        <w:t xml:space="preserve"> </w:t>
      </w:r>
      <w:proofErr w:type="spellStart"/>
      <w:r w:rsidRPr="00C56257">
        <w:rPr>
          <w:rFonts w:ascii="Times New Roman" w:hAnsi="Times New Roman" w:cs="Times New Roman"/>
          <w:color w:val="000000" w:themeColor="text1"/>
          <w:sz w:val="24"/>
          <w:szCs w:val="24"/>
          <w:lang w:val="fr-FR"/>
        </w:rPr>
        <w:t>pSCI</w:t>
      </w:r>
      <w:proofErr w:type="spellEnd"/>
      <w:r w:rsidRPr="00C56257">
        <w:rPr>
          <w:rFonts w:ascii="Times New Roman" w:hAnsi="Times New Roman" w:cs="Times New Roman"/>
          <w:color w:val="000000" w:themeColor="text1"/>
          <w:sz w:val="24"/>
          <w:szCs w:val="24"/>
          <w:lang w:val="fr-FR"/>
        </w:rPr>
        <w:t>,</w:t>
      </w:r>
      <w:r w:rsidRPr="00C56257">
        <w:rPr>
          <w:rFonts w:ascii="Times New Roman" w:hAnsi="Times New Roman" w:cs="Times New Roman"/>
          <w:color w:val="000000" w:themeColor="text1"/>
          <w:spacing w:val="-1"/>
          <w:sz w:val="24"/>
          <w:szCs w:val="24"/>
          <w:lang w:val="fr-FR"/>
        </w:rPr>
        <w:t xml:space="preserve"> </w:t>
      </w:r>
      <w:r w:rsidRPr="00C56257">
        <w:rPr>
          <w:rFonts w:ascii="Times New Roman" w:hAnsi="Times New Roman" w:cs="Times New Roman"/>
          <w:color w:val="000000" w:themeColor="text1"/>
          <w:sz w:val="24"/>
          <w:szCs w:val="24"/>
          <w:lang w:val="fr-FR"/>
        </w:rPr>
        <w:t>SCI</w:t>
      </w:r>
      <w:r w:rsidRPr="00C56257">
        <w:rPr>
          <w:rFonts w:ascii="Times New Roman" w:hAnsi="Times New Roman" w:cs="Times New Roman"/>
          <w:color w:val="000000" w:themeColor="text1"/>
          <w:spacing w:val="-5"/>
          <w:sz w:val="24"/>
          <w:szCs w:val="24"/>
          <w:lang w:val="fr-FR"/>
        </w:rPr>
        <w:t xml:space="preserve"> </w:t>
      </w:r>
      <w:proofErr w:type="spellStart"/>
      <w:r w:rsidRPr="00C56257">
        <w:rPr>
          <w:rFonts w:ascii="Times New Roman" w:hAnsi="Times New Roman" w:cs="Times New Roman"/>
          <w:color w:val="000000" w:themeColor="text1"/>
          <w:sz w:val="24"/>
          <w:szCs w:val="24"/>
          <w:lang w:val="fr-FR"/>
        </w:rPr>
        <w:t>și</w:t>
      </w:r>
      <w:proofErr w:type="spellEnd"/>
      <w:r w:rsidRPr="00C56257">
        <w:rPr>
          <w:rFonts w:ascii="Times New Roman" w:hAnsi="Times New Roman" w:cs="Times New Roman"/>
          <w:color w:val="000000" w:themeColor="text1"/>
          <w:spacing w:val="-2"/>
          <w:sz w:val="24"/>
          <w:szCs w:val="24"/>
          <w:lang w:val="fr-FR"/>
        </w:rPr>
        <w:t xml:space="preserve"> </w:t>
      </w:r>
      <w:r w:rsidRPr="00C56257">
        <w:rPr>
          <w:rFonts w:ascii="Times New Roman" w:hAnsi="Times New Roman" w:cs="Times New Roman"/>
          <w:color w:val="000000" w:themeColor="text1"/>
          <w:sz w:val="24"/>
          <w:szCs w:val="24"/>
          <w:lang w:val="fr-FR"/>
        </w:rPr>
        <w:t>SAC,</w:t>
      </w:r>
    </w:p>
    <w:p w14:paraId="3F70D318" w14:textId="77777777" w:rsidR="006735BF" w:rsidRPr="00C56257" w:rsidRDefault="006735BF" w:rsidP="00182DE3">
      <w:pPr>
        <w:pStyle w:val="BodyText"/>
        <w:ind w:left="293"/>
        <w:jc w:val="both"/>
        <w:rPr>
          <w:color w:val="000000" w:themeColor="text1"/>
          <w:sz w:val="24"/>
          <w:szCs w:val="24"/>
          <w:lang w:val="fr-FR"/>
        </w:rPr>
      </w:pPr>
      <w:r w:rsidRPr="00C56257">
        <w:rPr>
          <w:color w:val="000000" w:themeColor="text1"/>
          <w:sz w:val="24"/>
          <w:szCs w:val="24"/>
          <w:lang w:val="fr-FR"/>
        </w:rPr>
        <w:t>-</w:t>
      </w:r>
      <w:proofErr w:type="spellStart"/>
      <w:r w:rsidRPr="00C56257">
        <w:rPr>
          <w:color w:val="000000" w:themeColor="text1"/>
          <w:sz w:val="24"/>
          <w:szCs w:val="24"/>
          <w:lang w:val="fr-FR"/>
        </w:rPr>
        <w:t>modul</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de</w:t>
      </w:r>
      <w:r w:rsidRPr="00C56257">
        <w:rPr>
          <w:color w:val="000000" w:themeColor="text1"/>
          <w:spacing w:val="-3"/>
          <w:sz w:val="24"/>
          <w:szCs w:val="24"/>
          <w:lang w:val="fr-FR"/>
        </w:rPr>
        <w:t xml:space="preserve"> </w:t>
      </w:r>
      <w:proofErr w:type="spellStart"/>
      <w:r w:rsidRPr="00C56257">
        <w:rPr>
          <w:color w:val="000000" w:themeColor="text1"/>
          <w:sz w:val="24"/>
          <w:szCs w:val="24"/>
          <w:lang w:val="fr-FR"/>
        </w:rPr>
        <w:t>estimare</w:t>
      </w:r>
      <w:proofErr w:type="spellEnd"/>
      <w:r w:rsidRPr="00C56257">
        <w:rPr>
          <w:color w:val="000000" w:themeColor="text1"/>
          <w:sz w:val="24"/>
          <w:szCs w:val="24"/>
          <w:lang w:val="fr-FR"/>
        </w:rPr>
        <w:t>,</w:t>
      </w:r>
    </w:p>
    <w:p w14:paraId="665F0DCB" w14:textId="77777777" w:rsidR="006735BF" w:rsidRPr="00C56257" w:rsidRDefault="006735BF" w:rsidP="00182DE3">
      <w:pPr>
        <w:pStyle w:val="BodyText"/>
        <w:spacing w:before="1"/>
        <w:ind w:left="293"/>
        <w:jc w:val="both"/>
        <w:rPr>
          <w:color w:val="000000" w:themeColor="text1"/>
          <w:sz w:val="24"/>
          <w:szCs w:val="24"/>
          <w:lang w:val="fr-FR"/>
        </w:rPr>
      </w:pPr>
      <w:r w:rsidRPr="00C56257">
        <w:rPr>
          <w:color w:val="000000" w:themeColor="text1"/>
          <w:sz w:val="24"/>
          <w:szCs w:val="24"/>
          <w:lang w:val="fr-FR"/>
        </w:rPr>
        <w:t>-</w:t>
      </w:r>
      <w:proofErr w:type="spellStart"/>
      <w:r w:rsidRPr="00C56257">
        <w:rPr>
          <w:color w:val="000000" w:themeColor="text1"/>
          <w:sz w:val="24"/>
          <w:szCs w:val="24"/>
          <w:lang w:val="fr-FR"/>
        </w:rPr>
        <w:t>suprafața</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tipului</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r w:rsidRPr="00C56257">
        <w:rPr>
          <w:color w:val="000000" w:themeColor="text1"/>
          <w:sz w:val="24"/>
          <w:szCs w:val="24"/>
          <w:lang w:val="fr-FR"/>
        </w:rPr>
        <w:t>habitat</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din</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interiorul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rețelei</w:t>
      </w:r>
      <w:proofErr w:type="spellEnd"/>
      <w:r w:rsidRPr="00C56257">
        <w:rPr>
          <w:color w:val="000000" w:themeColor="text1"/>
          <w:sz w:val="24"/>
          <w:szCs w:val="24"/>
          <w:lang w:val="fr-FR"/>
        </w:rPr>
        <w:t>,</w:t>
      </w:r>
    </w:p>
    <w:p w14:paraId="67A108EC" w14:textId="77777777" w:rsidR="006735BF" w:rsidRPr="00C56257" w:rsidRDefault="006735BF" w:rsidP="00182DE3">
      <w:pPr>
        <w:pStyle w:val="BodyText"/>
        <w:ind w:left="293"/>
        <w:jc w:val="both"/>
        <w:rPr>
          <w:color w:val="000000" w:themeColor="text1"/>
          <w:sz w:val="24"/>
          <w:szCs w:val="24"/>
          <w:lang w:val="fr-FR"/>
        </w:rPr>
      </w:pPr>
      <w:r w:rsidRPr="00C56257">
        <w:rPr>
          <w:color w:val="000000" w:themeColor="text1"/>
          <w:sz w:val="24"/>
          <w:szCs w:val="24"/>
          <w:lang w:val="fr-FR"/>
        </w:rPr>
        <w:t>-</w:t>
      </w:r>
      <w:proofErr w:type="spellStart"/>
      <w:r w:rsidRPr="00C56257">
        <w:rPr>
          <w:color w:val="000000" w:themeColor="text1"/>
          <w:sz w:val="24"/>
          <w:szCs w:val="24"/>
          <w:lang w:val="fr-FR"/>
        </w:rPr>
        <w:t>metoda</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folosită</w:t>
      </w:r>
      <w:proofErr w:type="spellEnd"/>
      <w:r w:rsidRPr="00C56257">
        <w:rPr>
          <w:color w:val="000000" w:themeColor="text1"/>
          <w:sz w:val="24"/>
          <w:szCs w:val="24"/>
          <w:lang w:val="fr-FR"/>
        </w:rPr>
        <w:t>,</w:t>
      </w:r>
    </w:p>
    <w:p w14:paraId="27E04052" w14:textId="77777777" w:rsidR="006735BF" w:rsidRPr="00C56257" w:rsidRDefault="006735BF" w:rsidP="00182DE3">
      <w:pPr>
        <w:pStyle w:val="BodyText"/>
        <w:ind w:left="293"/>
        <w:jc w:val="both"/>
        <w:rPr>
          <w:color w:val="000000" w:themeColor="text1"/>
          <w:sz w:val="24"/>
          <w:szCs w:val="24"/>
          <w:lang w:val="fr-FR"/>
        </w:rPr>
      </w:pPr>
      <w:r w:rsidRPr="00C56257">
        <w:rPr>
          <w:color w:val="000000" w:themeColor="text1"/>
          <w:sz w:val="24"/>
          <w:szCs w:val="24"/>
          <w:lang w:val="fr-FR"/>
        </w:rPr>
        <w:t>-</w:t>
      </w:r>
      <w:proofErr w:type="spellStart"/>
      <w:r w:rsidRPr="00C56257">
        <w:rPr>
          <w:color w:val="000000" w:themeColor="text1"/>
          <w:sz w:val="24"/>
          <w:szCs w:val="24"/>
          <w:lang w:val="fr-FR"/>
        </w:rPr>
        <w:t>tendința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pe</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termen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scurt</w:t>
      </w:r>
      <w:proofErr w:type="spellEnd"/>
      <w:r w:rsidRPr="00C56257">
        <w:rPr>
          <w:color w:val="000000" w:themeColor="text1"/>
          <w:sz w:val="24"/>
          <w:szCs w:val="24"/>
          <w:lang w:val="fr-FR"/>
        </w:rPr>
        <w:t xml:space="preserve"> a</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habitatului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stare</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bună</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cadrul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rețelei</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w:t>
      </w:r>
      <w:proofErr w:type="spellStart"/>
      <w:r w:rsidRPr="00C56257">
        <w:rPr>
          <w:color w:val="000000" w:themeColor="text1"/>
          <w:sz w:val="24"/>
          <w:szCs w:val="24"/>
          <w:lang w:val="fr-FR"/>
        </w:rPr>
        <w:t>direcţia</w:t>
      </w:r>
      <w:proofErr w:type="spellEnd"/>
      <w:r w:rsidRPr="00C56257">
        <w:rPr>
          <w:color w:val="000000" w:themeColor="text1"/>
          <w:sz w:val="24"/>
          <w:szCs w:val="24"/>
          <w:lang w:val="fr-FR"/>
        </w:rPr>
        <w:t>),</w:t>
      </w:r>
    </w:p>
    <w:p w14:paraId="6110438F" w14:textId="77777777" w:rsidR="006735BF" w:rsidRPr="00C56257" w:rsidRDefault="006735BF" w:rsidP="00182DE3">
      <w:pPr>
        <w:pStyle w:val="BodyText"/>
        <w:ind w:left="293"/>
        <w:jc w:val="both"/>
        <w:rPr>
          <w:color w:val="000000" w:themeColor="text1"/>
          <w:sz w:val="24"/>
          <w:szCs w:val="24"/>
          <w:lang w:val="fr-FR"/>
        </w:rPr>
      </w:pPr>
      <w:r w:rsidRPr="00C56257">
        <w:rPr>
          <w:color w:val="000000" w:themeColor="text1"/>
          <w:sz w:val="24"/>
          <w:szCs w:val="24"/>
          <w:lang w:val="fr-FR"/>
        </w:rPr>
        <w:t>-</w:t>
      </w:r>
      <w:proofErr w:type="spellStart"/>
      <w:r w:rsidRPr="00C56257">
        <w:rPr>
          <w:color w:val="000000" w:themeColor="text1"/>
          <w:sz w:val="24"/>
          <w:szCs w:val="24"/>
          <w:lang w:val="fr-FR"/>
        </w:rPr>
        <w:t>tendința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pe</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termen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scurt</w:t>
      </w:r>
      <w:proofErr w:type="spellEnd"/>
      <w:r w:rsidRPr="00C56257">
        <w:rPr>
          <w:color w:val="000000" w:themeColor="text1"/>
          <w:sz w:val="24"/>
          <w:szCs w:val="24"/>
          <w:lang w:val="fr-FR"/>
        </w:rPr>
        <w:t xml:space="preserve"> a</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habitatului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stare</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bună</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cadrul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rețelei</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w:t>
      </w:r>
      <w:proofErr w:type="spellStart"/>
      <w:r w:rsidRPr="00C56257">
        <w:rPr>
          <w:color w:val="000000" w:themeColor="text1"/>
          <w:sz w:val="24"/>
          <w:szCs w:val="24"/>
          <w:lang w:val="fr-FR"/>
        </w:rPr>
        <w:t>metoda</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folosită</w:t>
      </w:r>
      <w:proofErr w:type="spellEnd"/>
      <w:r w:rsidRPr="00C56257">
        <w:rPr>
          <w:color w:val="000000" w:themeColor="text1"/>
          <w:sz w:val="24"/>
          <w:szCs w:val="24"/>
          <w:lang w:val="fr-FR"/>
        </w:rPr>
        <w:t>).</w:t>
      </w:r>
      <w:proofErr w:type="spellStart"/>
      <w:r w:rsidRPr="00C56257">
        <w:rPr>
          <w:color w:val="000000" w:themeColor="text1"/>
          <w:sz w:val="24"/>
          <w:szCs w:val="24"/>
          <w:lang w:val="fr-FR"/>
        </w:rPr>
        <w:t>În</w:t>
      </w:r>
      <w:proofErr w:type="spellEnd"/>
      <w:r w:rsidRPr="00C56257">
        <w:rPr>
          <w:color w:val="000000" w:themeColor="text1"/>
          <w:spacing w:val="44"/>
          <w:sz w:val="24"/>
          <w:szCs w:val="24"/>
          <w:lang w:val="fr-FR"/>
        </w:rPr>
        <w:t xml:space="preserve"> </w:t>
      </w:r>
      <w:proofErr w:type="spellStart"/>
      <w:r w:rsidRPr="00C56257">
        <w:rPr>
          <w:color w:val="000000" w:themeColor="text1"/>
          <w:sz w:val="24"/>
          <w:szCs w:val="24"/>
          <w:lang w:val="fr-FR"/>
        </w:rPr>
        <w:t>tabelul</w:t>
      </w:r>
      <w:proofErr w:type="spellEnd"/>
      <w:r w:rsidRPr="00C56257">
        <w:rPr>
          <w:color w:val="000000" w:themeColor="text1"/>
          <w:spacing w:val="42"/>
          <w:sz w:val="24"/>
          <w:szCs w:val="24"/>
          <w:lang w:val="fr-FR"/>
        </w:rPr>
        <w:t xml:space="preserve"> </w:t>
      </w:r>
      <w:r w:rsidRPr="00C56257">
        <w:rPr>
          <w:color w:val="000000" w:themeColor="text1"/>
          <w:sz w:val="24"/>
          <w:szCs w:val="24"/>
          <w:lang w:val="fr-FR"/>
        </w:rPr>
        <w:t>de</w:t>
      </w:r>
      <w:r w:rsidRPr="00C56257">
        <w:rPr>
          <w:color w:val="000000" w:themeColor="text1"/>
          <w:spacing w:val="41"/>
          <w:sz w:val="24"/>
          <w:szCs w:val="24"/>
          <w:lang w:val="fr-FR"/>
        </w:rPr>
        <w:t xml:space="preserve"> </w:t>
      </w:r>
      <w:r w:rsidRPr="00C56257">
        <w:rPr>
          <w:color w:val="000000" w:themeColor="text1"/>
          <w:sz w:val="24"/>
          <w:szCs w:val="24"/>
          <w:lang w:val="fr-FR"/>
        </w:rPr>
        <w:t>mai</w:t>
      </w:r>
      <w:r w:rsidRPr="00C56257">
        <w:rPr>
          <w:color w:val="000000" w:themeColor="text1"/>
          <w:spacing w:val="42"/>
          <w:sz w:val="24"/>
          <w:szCs w:val="24"/>
          <w:lang w:val="fr-FR"/>
        </w:rPr>
        <w:t xml:space="preserve"> </w:t>
      </w:r>
      <w:proofErr w:type="spellStart"/>
      <w:r w:rsidRPr="00C56257">
        <w:rPr>
          <w:color w:val="000000" w:themeColor="text1"/>
          <w:sz w:val="24"/>
          <w:szCs w:val="24"/>
          <w:lang w:val="fr-FR"/>
        </w:rPr>
        <w:t>jos</w:t>
      </w:r>
      <w:proofErr w:type="spellEnd"/>
      <w:r w:rsidRPr="00C56257">
        <w:rPr>
          <w:color w:val="000000" w:themeColor="text1"/>
          <w:spacing w:val="42"/>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pacing w:val="42"/>
          <w:sz w:val="24"/>
          <w:szCs w:val="24"/>
          <w:lang w:val="fr-FR"/>
        </w:rPr>
        <w:t xml:space="preserve"> </w:t>
      </w:r>
      <w:r w:rsidRPr="00C56257">
        <w:rPr>
          <w:color w:val="000000" w:themeColor="text1"/>
          <w:sz w:val="24"/>
          <w:szCs w:val="24"/>
          <w:lang w:val="fr-FR"/>
        </w:rPr>
        <w:t>redate</w:t>
      </w:r>
      <w:r w:rsidRPr="00C56257">
        <w:rPr>
          <w:color w:val="000000" w:themeColor="text1"/>
          <w:spacing w:val="41"/>
          <w:sz w:val="24"/>
          <w:szCs w:val="24"/>
          <w:lang w:val="fr-FR"/>
        </w:rPr>
        <w:t xml:space="preserve"> </w:t>
      </w:r>
      <w:proofErr w:type="spellStart"/>
      <w:r w:rsidRPr="00C56257">
        <w:rPr>
          <w:color w:val="000000" w:themeColor="text1"/>
          <w:sz w:val="24"/>
          <w:szCs w:val="24"/>
          <w:lang w:val="fr-FR"/>
        </w:rPr>
        <w:t>tipurile</w:t>
      </w:r>
      <w:proofErr w:type="spellEnd"/>
      <w:r w:rsidRPr="00C56257">
        <w:rPr>
          <w:color w:val="000000" w:themeColor="text1"/>
          <w:spacing w:val="41"/>
          <w:sz w:val="24"/>
          <w:szCs w:val="24"/>
          <w:lang w:val="fr-FR"/>
        </w:rPr>
        <w:t xml:space="preserve"> </w:t>
      </w:r>
      <w:r w:rsidRPr="00C56257">
        <w:rPr>
          <w:color w:val="000000" w:themeColor="text1"/>
          <w:sz w:val="24"/>
          <w:szCs w:val="24"/>
          <w:lang w:val="fr-FR"/>
        </w:rPr>
        <w:t>de</w:t>
      </w:r>
      <w:r w:rsidRPr="00C56257">
        <w:rPr>
          <w:color w:val="000000" w:themeColor="text1"/>
          <w:spacing w:val="41"/>
          <w:sz w:val="24"/>
          <w:szCs w:val="24"/>
          <w:lang w:val="fr-FR"/>
        </w:rPr>
        <w:t xml:space="preserve"> </w:t>
      </w:r>
      <w:proofErr w:type="spellStart"/>
      <w:r w:rsidRPr="00C56257">
        <w:rPr>
          <w:color w:val="000000" w:themeColor="text1"/>
          <w:sz w:val="24"/>
          <w:szCs w:val="24"/>
          <w:lang w:val="fr-FR"/>
        </w:rPr>
        <w:t>habitate</w:t>
      </w:r>
      <w:proofErr w:type="spellEnd"/>
      <w:r w:rsidRPr="00C56257">
        <w:rPr>
          <w:color w:val="000000" w:themeColor="text1"/>
          <w:spacing w:val="41"/>
          <w:sz w:val="24"/>
          <w:szCs w:val="24"/>
          <w:lang w:val="fr-FR"/>
        </w:rPr>
        <w:t xml:space="preserve"> </w:t>
      </w:r>
      <w:r w:rsidRPr="00C56257">
        <w:rPr>
          <w:color w:val="000000" w:themeColor="text1"/>
          <w:sz w:val="24"/>
          <w:szCs w:val="24"/>
          <w:lang w:val="fr-FR"/>
        </w:rPr>
        <w:t>de</w:t>
      </w:r>
      <w:r w:rsidRPr="00C56257">
        <w:rPr>
          <w:color w:val="000000" w:themeColor="text1"/>
          <w:spacing w:val="46"/>
          <w:sz w:val="24"/>
          <w:szCs w:val="24"/>
          <w:lang w:val="fr-FR"/>
        </w:rPr>
        <w:t xml:space="preserve"> </w:t>
      </w:r>
      <w:proofErr w:type="spellStart"/>
      <w:r w:rsidRPr="00C56257">
        <w:rPr>
          <w:color w:val="000000" w:themeColor="text1"/>
          <w:sz w:val="24"/>
          <w:szCs w:val="24"/>
          <w:lang w:val="fr-FR"/>
        </w:rPr>
        <w:t>pajiști</w:t>
      </w:r>
      <w:proofErr w:type="spellEnd"/>
      <w:r w:rsidRPr="00C56257">
        <w:rPr>
          <w:color w:val="000000" w:themeColor="text1"/>
          <w:spacing w:val="43"/>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pacing w:val="42"/>
          <w:sz w:val="24"/>
          <w:szCs w:val="24"/>
          <w:lang w:val="fr-FR"/>
        </w:rPr>
        <w:t xml:space="preserve"> </w:t>
      </w:r>
      <w:proofErr w:type="spellStart"/>
      <w:r w:rsidRPr="00C56257">
        <w:rPr>
          <w:color w:val="000000" w:themeColor="text1"/>
          <w:sz w:val="24"/>
          <w:szCs w:val="24"/>
          <w:lang w:val="fr-FR"/>
        </w:rPr>
        <w:t>siturile</w:t>
      </w:r>
      <w:proofErr w:type="spellEnd"/>
      <w:r w:rsidRPr="00C56257">
        <w:rPr>
          <w:color w:val="000000" w:themeColor="text1"/>
          <w:spacing w:val="41"/>
          <w:sz w:val="24"/>
          <w:szCs w:val="24"/>
          <w:lang w:val="fr-FR"/>
        </w:rPr>
        <w:t xml:space="preserve"> </w:t>
      </w:r>
      <w:r w:rsidRPr="00C56257">
        <w:rPr>
          <w:color w:val="000000" w:themeColor="text1"/>
          <w:sz w:val="24"/>
          <w:szCs w:val="24"/>
          <w:lang w:val="fr-FR"/>
        </w:rPr>
        <w:t>Natura2000,</w:t>
      </w:r>
      <w:r w:rsidRPr="00C56257">
        <w:rPr>
          <w:color w:val="000000" w:themeColor="text1"/>
          <w:spacing w:val="42"/>
          <w:sz w:val="24"/>
          <w:szCs w:val="24"/>
          <w:lang w:val="fr-FR"/>
        </w:rPr>
        <w:t xml:space="preserve"> </w:t>
      </w:r>
      <w:proofErr w:type="spellStart"/>
      <w:r w:rsidRPr="00C56257">
        <w:rPr>
          <w:color w:val="000000" w:themeColor="text1"/>
          <w:sz w:val="24"/>
          <w:szCs w:val="24"/>
          <w:lang w:val="fr-FR"/>
        </w:rPr>
        <w:t>respectiv</w:t>
      </w:r>
      <w:proofErr w:type="spellEnd"/>
      <w:r w:rsidRPr="00C56257">
        <w:rPr>
          <w:color w:val="000000" w:themeColor="text1"/>
          <w:spacing w:val="-57"/>
          <w:sz w:val="24"/>
          <w:szCs w:val="24"/>
          <w:lang w:val="fr-FR"/>
        </w:rPr>
        <w:t xml:space="preserve"> </w:t>
      </w:r>
      <w:proofErr w:type="spellStart"/>
      <w:r w:rsidRPr="00C56257">
        <w:rPr>
          <w:color w:val="000000" w:themeColor="text1"/>
          <w:sz w:val="24"/>
          <w:szCs w:val="24"/>
          <w:lang w:val="fr-FR"/>
        </w:rPr>
        <w:t>județele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care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acestea</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se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regăsesc</w:t>
      </w:r>
      <w:proofErr w:type="spellEnd"/>
      <w:r w:rsidRPr="00C56257">
        <w:rPr>
          <w:color w:val="000000" w:themeColor="text1"/>
          <w:sz w:val="24"/>
          <w:szCs w:val="24"/>
          <w:lang w:val="fr-FR"/>
        </w:rPr>
        <w:t>:</w:t>
      </w:r>
    </w:p>
    <w:p w14:paraId="47FCA083" w14:textId="77777777" w:rsidR="006735BF" w:rsidRPr="00C56257" w:rsidRDefault="006735BF" w:rsidP="008E33FD">
      <w:pPr>
        <w:pStyle w:val="BodyText"/>
        <w:spacing w:before="8"/>
        <w:jc w:val="both"/>
        <w:rPr>
          <w:color w:val="000000" w:themeColor="text1"/>
          <w:sz w:val="24"/>
          <w:szCs w:val="24"/>
          <w:lang w:val="fr-FR"/>
        </w:rPr>
      </w:pPr>
    </w:p>
    <w:p w14:paraId="41A69A15" w14:textId="77777777" w:rsidR="006735BF" w:rsidRPr="00C56257" w:rsidRDefault="006735BF" w:rsidP="008E33FD">
      <w:pPr>
        <w:pStyle w:val="Heading2"/>
        <w:widowControl w:val="0"/>
        <w:tabs>
          <w:tab w:val="left" w:pos="1194"/>
        </w:tabs>
        <w:autoSpaceDE w:val="0"/>
        <w:autoSpaceDN w:val="0"/>
        <w:spacing w:before="109" w:beforeAutospacing="0" w:after="0" w:afterAutospacing="0"/>
        <w:ind w:left="90" w:firstLine="90"/>
        <w:jc w:val="both"/>
        <w:rPr>
          <w:color w:val="000000" w:themeColor="text1"/>
          <w:sz w:val="24"/>
          <w:szCs w:val="24"/>
          <w:lang w:val="fr-FR"/>
        </w:rPr>
      </w:pPr>
      <w:proofErr w:type="spellStart"/>
      <w:r w:rsidRPr="00C56257">
        <w:rPr>
          <w:color w:val="000000" w:themeColor="text1"/>
          <w:sz w:val="24"/>
          <w:szCs w:val="24"/>
          <w:lang w:val="fr-FR"/>
        </w:rPr>
        <w:t>Ploturi</w:t>
      </w:r>
      <w:proofErr w:type="spellEnd"/>
      <w:r w:rsidRPr="00C56257">
        <w:rPr>
          <w:color w:val="000000" w:themeColor="text1"/>
          <w:spacing w:val="-5"/>
          <w:sz w:val="24"/>
          <w:szCs w:val="24"/>
          <w:lang w:val="fr-FR"/>
        </w:rPr>
        <w:t xml:space="preserve"> </w:t>
      </w:r>
      <w:r w:rsidRPr="00C56257">
        <w:rPr>
          <w:color w:val="000000" w:themeColor="text1"/>
          <w:sz w:val="24"/>
          <w:szCs w:val="24"/>
          <w:lang w:val="fr-FR"/>
        </w:rPr>
        <w:t>de</w:t>
      </w:r>
      <w:r w:rsidRPr="00C56257">
        <w:rPr>
          <w:color w:val="000000" w:themeColor="text1"/>
          <w:spacing w:val="-4"/>
          <w:sz w:val="24"/>
          <w:szCs w:val="24"/>
          <w:lang w:val="fr-FR"/>
        </w:rPr>
        <w:t xml:space="preserve"> </w:t>
      </w:r>
      <w:proofErr w:type="spellStart"/>
      <w:r w:rsidRPr="00C56257">
        <w:rPr>
          <w:color w:val="000000" w:themeColor="text1"/>
          <w:sz w:val="24"/>
          <w:szCs w:val="24"/>
          <w:lang w:val="fr-FR"/>
        </w:rPr>
        <w:t>monitorizare</w:t>
      </w:r>
      <w:proofErr w:type="spellEnd"/>
      <w:r w:rsidRPr="00C56257">
        <w:rPr>
          <w:color w:val="000000" w:themeColor="text1"/>
          <w:spacing w:val="-4"/>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4"/>
          <w:sz w:val="24"/>
          <w:szCs w:val="24"/>
          <w:lang w:val="fr-FR"/>
        </w:rPr>
        <w:t xml:space="preserve"> </w:t>
      </w:r>
      <w:proofErr w:type="spellStart"/>
      <w:r w:rsidRPr="00C56257">
        <w:rPr>
          <w:color w:val="000000" w:themeColor="text1"/>
          <w:sz w:val="24"/>
          <w:szCs w:val="24"/>
          <w:lang w:val="fr-FR"/>
        </w:rPr>
        <w:t>afara</w:t>
      </w:r>
      <w:proofErr w:type="spellEnd"/>
      <w:r w:rsidRPr="00C56257">
        <w:rPr>
          <w:color w:val="000000" w:themeColor="text1"/>
          <w:spacing w:val="-4"/>
          <w:sz w:val="24"/>
          <w:szCs w:val="24"/>
          <w:lang w:val="fr-FR"/>
        </w:rPr>
        <w:t xml:space="preserve"> </w:t>
      </w:r>
      <w:proofErr w:type="spellStart"/>
      <w:r w:rsidRPr="00C56257">
        <w:rPr>
          <w:color w:val="000000" w:themeColor="text1"/>
          <w:sz w:val="24"/>
          <w:szCs w:val="24"/>
          <w:lang w:val="fr-FR"/>
        </w:rPr>
        <w:t>rețelei</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Natura</w:t>
      </w:r>
      <w:r w:rsidRPr="00C56257">
        <w:rPr>
          <w:color w:val="000000" w:themeColor="text1"/>
          <w:spacing w:val="-3"/>
          <w:sz w:val="24"/>
          <w:szCs w:val="24"/>
          <w:lang w:val="fr-FR"/>
        </w:rPr>
        <w:t xml:space="preserve"> </w:t>
      </w:r>
      <w:r w:rsidRPr="00C56257">
        <w:rPr>
          <w:color w:val="000000" w:themeColor="text1"/>
          <w:sz w:val="24"/>
          <w:szCs w:val="24"/>
          <w:lang w:val="fr-FR"/>
        </w:rPr>
        <w:t>2000</w:t>
      </w:r>
    </w:p>
    <w:p w14:paraId="2F71DEF6" w14:textId="77777777" w:rsidR="006735BF" w:rsidRPr="00C56257" w:rsidRDefault="006735BF" w:rsidP="00182DE3">
      <w:pPr>
        <w:pStyle w:val="BodyText"/>
        <w:spacing w:before="157"/>
        <w:ind w:left="0" w:right="14"/>
        <w:jc w:val="both"/>
        <w:rPr>
          <w:color w:val="000000" w:themeColor="text1"/>
          <w:sz w:val="24"/>
          <w:szCs w:val="24"/>
          <w:lang w:val="fr-FR"/>
        </w:rPr>
      </w:pPr>
      <w:proofErr w:type="spellStart"/>
      <w:r w:rsidRPr="00C56257">
        <w:rPr>
          <w:color w:val="000000" w:themeColor="text1"/>
          <w:sz w:val="24"/>
          <w:szCs w:val="24"/>
          <w:lang w:val="fr-FR"/>
        </w:rPr>
        <w:t>Monitorizarea</w:t>
      </w:r>
      <w:proofErr w:type="spellEnd"/>
      <w:r w:rsidRPr="00C56257">
        <w:rPr>
          <w:color w:val="000000" w:themeColor="text1"/>
          <w:spacing w:val="14"/>
          <w:sz w:val="24"/>
          <w:szCs w:val="24"/>
          <w:lang w:val="fr-FR"/>
        </w:rPr>
        <w:t xml:space="preserve"> </w:t>
      </w:r>
      <w:proofErr w:type="spellStart"/>
      <w:r w:rsidRPr="00C56257">
        <w:rPr>
          <w:color w:val="000000" w:themeColor="text1"/>
          <w:sz w:val="24"/>
          <w:szCs w:val="24"/>
          <w:lang w:val="fr-FR"/>
        </w:rPr>
        <w:t>habitatelor</w:t>
      </w:r>
      <w:proofErr w:type="spellEnd"/>
      <w:r w:rsidRPr="00C56257">
        <w:rPr>
          <w:color w:val="000000" w:themeColor="text1"/>
          <w:spacing w:val="14"/>
          <w:sz w:val="24"/>
          <w:szCs w:val="24"/>
          <w:lang w:val="fr-FR"/>
        </w:rPr>
        <w:t xml:space="preserve"> </w:t>
      </w:r>
      <w:r w:rsidRPr="00C56257">
        <w:rPr>
          <w:color w:val="000000" w:themeColor="text1"/>
          <w:sz w:val="24"/>
          <w:szCs w:val="24"/>
          <w:lang w:val="fr-FR"/>
        </w:rPr>
        <w:t>de</w:t>
      </w:r>
      <w:r w:rsidRPr="00C56257">
        <w:rPr>
          <w:color w:val="000000" w:themeColor="text1"/>
          <w:spacing w:val="14"/>
          <w:sz w:val="24"/>
          <w:szCs w:val="24"/>
          <w:lang w:val="fr-FR"/>
        </w:rPr>
        <w:t xml:space="preserve"> </w:t>
      </w:r>
      <w:proofErr w:type="spellStart"/>
      <w:r w:rsidRPr="00C56257">
        <w:rPr>
          <w:color w:val="000000" w:themeColor="text1"/>
          <w:sz w:val="24"/>
          <w:szCs w:val="24"/>
          <w:lang w:val="fr-FR"/>
        </w:rPr>
        <w:t>interes</w:t>
      </w:r>
      <w:proofErr w:type="spellEnd"/>
      <w:r w:rsidRPr="00C56257">
        <w:rPr>
          <w:color w:val="000000" w:themeColor="text1"/>
          <w:spacing w:val="18"/>
          <w:sz w:val="24"/>
          <w:szCs w:val="24"/>
          <w:lang w:val="fr-FR"/>
        </w:rPr>
        <w:t xml:space="preserve"> </w:t>
      </w:r>
      <w:proofErr w:type="spellStart"/>
      <w:r w:rsidRPr="00C56257">
        <w:rPr>
          <w:color w:val="000000" w:themeColor="text1"/>
          <w:sz w:val="24"/>
          <w:szCs w:val="24"/>
          <w:lang w:val="fr-FR"/>
        </w:rPr>
        <w:t>comunitar</w:t>
      </w:r>
      <w:proofErr w:type="spellEnd"/>
      <w:r w:rsidRPr="00C56257">
        <w:rPr>
          <w:color w:val="000000" w:themeColor="text1"/>
          <w:spacing w:val="14"/>
          <w:sz w:val="24"/>
          <w:szCs w:val="24"/>
          <w:lang w:val="fr-FR"/>
        </w:rPr>
        <w:t xml:space="preserve"> </w:t>
      </w:r>
      <w:r w:rsidRPr="00C56257">
        <w:rPr>
          <w:color w:val="000000" w:themeColor="text1"/>
          <w:sz w:val="24"/>
          <w:szCs w:val="24"/>
          <w:lang w:val="fr-FR"/>
        </w:rPr>
        <w:t>se</w:t>
      </w:r>
      <w:r w:rsidRPr="00C56257">
        <w:rPr>
          <w:color w:val="000000" w:themeColor="text1"/>
          <w:spacing w:val="16"/>
          <w:sz w:val="24"/>
          <w:szCs w:val="24"/>
          <w:lang w:val="fr-FR"/>
        </w:rPr>
        <w:t xml:space="preserve"> </w:t>
      </w:r>
      <w:r w:rsidRPr="00C56257">
        <w:rPr>
          <w:color w:val="000000" w:themeColor="text1"/>
          <w:sz w:val="24"/>
          <w:szCs w:val="24"/>
          <w:lang w:val="fr-FR"/>
        </w:rPr>
        <w:t>face</w:t>
      </w:r>
      <w:r w:rsidRPr="00C56257">
        <w:rPr>
          <w:color w:val="000000" w:themeColor="text1"/>
          <w:spacing w:val="16"/>
          <w:sz w:val="24"/>
          <w:szCs w:val="24"/>
          <w:lang w:val="fr-FR"/>
        </w:rPr>
        <w:t xml:space="preserve"> </w:t>
      </w:r>
      <w:proofErr w:type="spellStart"/>
      <w:r w:rsidRPr="00C56257">
        <w:rPr>
          <w:color w:val="000000" w:themeColor="text1"/>
          <w:sz w:val="24"/>
          <w:szCs w:val="24"/>
          <w:lang w:val="fr-FR"/>
        </w:rPr>
        <w:t>atât</w:t>
      </w:r>
      <w:proofErr w:type="spellEnd"/>
      <w:r w:rsidRPr="00C56257">
        <w:rPr>
          <w:color w:val="000000" w:themeColor="text1"/>
          <w:spacing w:val="15"/>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6"/>
          <w:sz w:val="24"/>
          <w:szCs w:val="24"/>
          <w:lang w:val="fr-FR"/>
        </w:rPr>
        <w:t xml:space="preserve"> </w:t>
      </w:r>
      <w:proofErr w:type="spellStart"/>
      <w:r w:rsidRPr="00C56257">
        <w:rPr>
          <w:color w:val="000000" w:themeColor="text1"/>
          <w:sz w:val="24"/>
          <w:szCs w:val="24"/>
          <w:lang w:val="fr-FR"/>
        </w:rPr>
        <w:t>interiorul</w:t>
      </w:r>
      <w:proofErr w:type="spellEnd"/>
      <w:r w:rsidRPr="00C56257">
        <w:rPr>
          <w:color w:val="000000" w:themeColor="text1"/>
          <w:spacing w:val="16"/>
          <w:sz w:val="24"/>
          <w:szCs w:val="24"/>
          <w:lang w:val="fr-FR"/>
        </w:rPr>
        <w:t xml:space="preserve"> </w:t>
      </w:r>
      <w:proofErr w:type="spellStart"/>
      <w:r w:rsidRPr="00C56257">
        <w:rPr>
          <w:color w:val="000000" w:themeColor="text1"/>
          <w:sz w:val="24"/>
          <w:szCs w:val="24"/>
          <w:lang w:val="fr-FR"/>
        </w:rPr>
        <w:t>Rețelei</w:t>
      </w:r>
      <w:proofErr w:type="spellEnd"/>
      <w:r w:rsidRPr="00C56257">
        <w:rPr>
          <w:color w:val="000000" w:themeColor="text1"/>
          <w:spacing w:val="15"/>
          <w:sz w:val="24"/>
          <w:szCs w:val="24"/>
          <w:lang w:val="fr-FR"/>
        </w:rPr>
        <w:t xml:space="preserve"> </w:t>
      </w:r>
      <w:r w:rsidRPr="00C56257">
        <w:rPr>
          <w:color w:val="000000" w:themeColor="text1"/>
          <w:sz w:val="24"/>
          <w:szCs w:val="24"/>
          <w:lang w:val="fr-FR"/>
        </w:rPr>
        <w:t>Natura</w:t>
      </w:r>
      <w:r w:rsidRPr="00C56257">
        <w:rPr>
          <w:color w:val="000000" w:themeColor="text1"/>
          <w:spacing w:val="14"/>
          <w:sz w:val="24"/>
          <w:szCs w:val="24"/>
          <w:lang w:val="fr-FR"/>
        </w:rPr>
        <w:t xml:space="preserve"> </w:t>
      </w:r>
      <w:r w:rsidRPr="00C56257">
        <w:rPr>
          <w:color w:val="000000" w:themeColor="text1"/>
          <w:sz w:val="24"/>
          <w:szCs w:val="24"/>
          <w:lang w:val="fr-FR"/>
        </w:rPr>
        <w:t>2000,</w:t>
      </w:r>
      <w:r w:rsidRPr="00C56257">
        <w:rPr>
          <w:color w:val="000000" w:themeColor="text1"/>
          <w:spacing w:val="15"/>
          <w:sz w:val="24"/>
          <w:szCs w:val="24"/>
          <w:lang w:val="fr-FR"/>
        </w:rPr>
        <w:t xml:space="preserve"> </w:t>
      </w:r>
      <w:proofErr w:type="spellStart"/>
      <w:r w:rsidRPr="00C56257">
        <w:rPr>
          <w:color w:val="000000" w:themeColor="text1"/>
          <w:sz w:val="24"/>
          <w:szCs w:val="24"/>
          <w:lang w:val="fr-FR"/>
        </w:rPr>
        <w:t>cât</w:t>
      </w:r>
      <w:proofErr w:type="spellEnd"/>
      <w:r w:rsidRPr="00C56257">
        <w:rPr>
          <w:color w:val="000000" w:themeColor="text1"/>
          <w:spacing w:val="16"/>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pacing w:val="-57"/>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afara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rețelei</w:t>
      </w:r>
      <w:proofErr w:type="spellEnd"/>
      <w:r w:rsidRPr="00C56257">
        <w:rPr>
          <w:color w:val="000000" w:themeColor="text1"/>
          <w:sz w:val="24"/>
          <w:szCs w:val="24"/>
          <w:lang w:val="fr-FR"/>
        </w:rPr>
        <w:t xml:space="preserve"> Natura</w:t>
      </w:r>
      <w:r w:rsidRPr="00C56257">
        <w:rPr>
          <w:color w:val="000000" w:themeColor="text1"/>
          <w:spacing w:val="-2"/>
          <w:sz w:val="24"/>
          <w:szCs w:val="24"/>
          <w:lang w:val="fr-FR"/>
        </w:rPr>
        <w:t xml:space="preserve"> </w:t>
      </w:r>
      <w:r w:rsidRPr="00C56257">
        <w:rPr>
          <w:color w:val="000000" w:themeColor="text1"/>
          <w:sz w:val="24"/>
          <w:szCs w:val="24"/>
          <w:lang w:val="fr-FR"/>
        </w:rPr>
        <w:t>2000,</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scopul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evaluării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vederea</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raportării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către</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CE.</w:t>
      </w:r>
    </w:p>
    <w:p w14:paraId="3E835A36" w14:textId="77777777" w:rsidR="006735BF" w:rsidRPr="00C56257" w:rsidRDefault="006735BF" w:rsidP="00182DE3">
      <w:pPr>
        <w:pStyle w:val="BodyText"/>
        <w:ind w:left="0" w:right="14"/>
        <w:jc w:val="both"/>
        <w:rPr>
          <w:color w:val="000000" w:themeColor="text1"/>
          <w:sz w:val="24"/>
          <w:szCs w:val="24"/>
          <w:lang w:val="fr-FR"/>
        </w:rPr>
      </w:pP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esență</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acest</w:t>
      </w:r>
      <w:proofErr w:type="spellEnd"/>
      <w:r w:rsidRPr="00C56257">
        <w:rPr>
          <w:color w:val="000000" w:themeColor="text1"/>
          <w:spacing w:val="-3"/>
          <w:sz w:val="24"/>
          <w:szCs w:val="24"/>
          <w:lang w:val="fr-FR"/>
        </w:rPr>
        <w:t xml:space="preserve"> </w:t>
      </w:r>
      <w:proofErr w:type="spellStart"/>
      <w:r w:rsidRPr="00C56257">
        <w:rPr>
          <w:color w:val="000000" w:themeColor="text1"/>
          <w:sz w:val="24"/>
          <w:szCs w:val="24"/>
          <w:lang w:val="fr-FR"/>
        </w:rPr>
        <w:t>fapt</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se</w:t>
      </w:r>
      <w:r w:rsidRPr="00C56257">
        <w:rPr>
          <w:color w:val="000000" w:themeColor="text1"/>
          <w:spacing w:val="-3"/>
          <w:sz w:val="24"/>
          <w:szCs w:val="24"/>
          <w:lang w:val="fr-FR"/>
        </w:rPr>
        <w:t xml:space="preserve"> </w:t>
      </w:r>
      <w:proofErr w:type="spellStart"/>
      <w:r w:rsidRPr="00C56257">
        <w:rPr>
          <w:color w:val="000000" w:themeColor="text1"/>
          <w:sz w:val="24"/>
          <w:szCs w:val="24"/>
          <w:lang w:val="fr-FR"/>
        </w:rPr>
        <w:t>transpune</w:t>
      </w:r>
      <w:proofErr w:type="spellEnd"/>
      <w:r w:rsidRPr="00C56257">
        <w:rPr>
          <w:color w:val="000000" w:themeColor="text1"/>
          <w:spacing w:val="-4"/>
          <w:sz w:val="24"/>
          <w:szCs w:val="24"/>
          <w:lang w:val="fr-FR"/>
        </w:rPr>
        <w:t xml:space="preserve"> </w:t>
      </w:r>
      <w:proofErr w:type="spellStart"/>
      <w:r w:rsidRPr="00C56257">
        <w:rPr>
          <w:color w:val="000000" w:themeColor="text1"/>
          <w:sz w:val="24"/>
          <w:szCs w:val="24"/>
          <w:lang w:val="fr-FR"/>
        </w:rPr>
        <w:t>astfel</w:t>
      </w:r>
      <w:proofErr w:type="spellEnd"/>
      <w:r w:rsidRPr="00C56257">
        <w:rPr>
          <w:color w:val="000000" w:themeColor="text1"/>
          <w:sz w:val="24"/>
          <w:szCs w:val="24"/>
          <w:lang w:val="fr-FR"/>
        </w:rPr>
        <w:t>:</w:t>
      </w:r>
    </w:p>
    <w:p w14:paraId="50289119" w14:textId="77777777" w:rsidR="006735BF" w:rsidRPr="00C56257" w:rsidRDefault="006735BF" w:rsidP="009E63E5">
      <w:pPr>
        <w:pStyle w:val="ListParagraph"/>
        <w:widowControl w:val="0"/>
        <w:numPr>
          <w:ilvl w:val="0"/>
          <w:numId w:val="138"/>
        </w:numPr>
        <w:tabs>
          <w:tab w:val="left" w:pos="1014"/>
        </w:tabs>
        <w:autoSpaceDE w:val="0"/>
        <w:autoSpaceDN w:val="0"/>
        <w:ind w:left="0" w:right="14" w:firstLine="0"/>
        <w:jc w:val="both"/>
        <w:rPr>
          <w:rFonts w:ascii="Times New Roman" w:hAnsi="Times New Roman" w:cs="Times New Roman"/>
          <w:color w:val="000000" w:themeColor="text1"/>
          <w:sz w:val="24"/>
          <w:szCs w:val="24"/>
        </w:rPr>
      </w:pPr>
      <w:proofErr w:type="spellStart"/>
      <w:r w:rsidRPr="00C56257">
        <w:rPr>
          <w:rFonts w:ascii="Times New Roman" w:hAnsi="Times New Roman" w:cs="Times New Roman"/>
          <w:color w:val="000000" w:themeColor="text1"/>
          <w:sz w:val="24"/>
          <w:szCs w:val="24"/>
        </w:rPr>
        <w:t>Monitorizare</w:t>
      </w:r>
      <w:proofErr w:type="spellEnd"/>
      <w:r w:rsidRPr="00C56257">
        <w:rPr>
          <w:rFonts w:ascii="Times New Roman" w:hAnsi="Times New Roman" w:cs="Times New Roman"/>
          <w:color w:val="000000" w:themeColor="text1"/>
          <w:spacing w:val="-3"/>
          <w:sz w:val="24"/>
          <w:szCs w:val="24"/>
        </w:rPr>
        <w:t xml:space="preserve"> </w:t>
      </w:r>
      <w:proofErr w:type="spellStart"/>
      <w:r w:rsidRPr="00C56257">
        <w:rPr>
          <w:rFonts w:ascii="Times New Roman" w:hAnsi="Times New Roman" w:cs="Times New Roman"/>
          <w:color w:val="000000" w:themeColor="text1"/>
          <w:sz w:val="24"/>
          <w:szCs w:val="24"/>
        </w:rPr>
        <w:t>în</w:t>
      </w:r>
      <w:proofErr w:type="spellEnd"/>
      <w:r w:rsidRPr="00C56257">
        <w:rPr>
          <w:rFonts w:ascii="Times New Roman" w:hAnsi="Times New Roman" w:cs="Times New Roman"/>
          <w:color w:val="000000" w:themeColor="text1"/>
          <w:sz w:val="24"/>
          <w:szCs w:val="24"/>
        </w:rPr>
        <w:t xml:space="preserve"> </w:t>
      </w:r>
      <w:proofErr w:type="spellStart"/>
      <w:r w:rsidRPr="00C56257">
        <w:rPr>
          <w:rFonts w:ascii="Times New Roman" w:hAnsi="Times New Roman" w:cs="Times New Roman"/>
          <w:color w:val="000000" w:themeColor="text1"/>
          <w:sz w:val="24"/>
          <w:szCs w:val="24"/>
        </w:rPr>
        <w:t>ploturi</w:t>
      </w:r>
      <w:proofErr w:type="spellEnd"/>
      <w:r w:rsidRPr="00C56257">
        <w:rPr>
          <w:rFonts w:ascii="Times New Roman" w:hAnsi="Times New Roman" w:cs="Times New Roman"/>
          <w:color w:val="000000" w:themeColor="text1"/>
          <w:sz w:val="24"/>
          <w:szCs w:val="24"/>
        </w:rPr>
        <w:t xml:space="preserve"> </w:t>
      </w:r>
      <w:proofErr w:type="spellStart"/>
      <w:r w:rsidRPr="00C56257">
        <w:rPr>
          <w:rFonts w:ascii="Times New Roman" w:hAnsi="Times New Roman" w:cs="Times New Roman"/>
          <w:color w:val="000000" w:themeColor="text1"/>
          <w:sz w:val="24"/>
          <w:szCs w:val="24"/>
        </w:rPr>
        <w:t>numai</w:t>
      </w:r>
      <w:proofErr w:type="spellEnd"/>
      <w:r w:rsidRPr="00C56257">
        <w:rPr>
          <w:rFonts w:ascii="Times New Roman" w:hAnsi="Times New Roman" w:cs="Times New Roman"/>
          <w:color w:val="000000" w:themeColor="text1"/>
          <w:spacing w:val="-1"/>
          <w:sz w:val="24"/>
          <w:szCs w:val="24"/>
        </w:rPr>
        <w:t xml:space="preserve"> </w:t>
      </w:r>
      <w:proofErr w:type="spellStart"/>
      <w:r w:rsidRPr="00C56257">
        <w:rPr>
          <w:rFonts w:ascii="Times New Roman" w:hAnsi="Times New Roman" w:cs="Times New Roman"/>
          <w:color w:val="000000" w:themeColor="text1"/>
          <w:sz w:val="24"/>
          <w:szCs w:val="24"/>
        </w:rPr>
        <w:t>în</w:t>
      </w:r>
      <w:proofErr w:type="spellEnd"/>
      <w:r w:rsidRPr="00C56257">
        <w:rPr>
          <w:rFonts w:ascii="Times New Roman" w:hAnsi="Times New Roman" w:cs="Times New Roman"/>
          <w:color w:val="000000" w:themeColor="text1"/>
          <w:spacing w:val="-1"/>
          <w:sz w:val="24"/>
          <w:szCs w:val="24"/>
        </w:rPr>
        <w:t xml:space="preserve"> </w:t>
      </w:r>
      <w:proofErr w:type="spellStart"/>
      <w:r w:rsidRPr="00C56257">
        <w:rPr>
          <w:rFonts w:ascii="Times New Roman" w:hAnsi="Times New Roman" w:cs="Times New Roman"/>
          <w:color w:val="000000" w:themeColor="text1"/>
          <w:sz w:val="24"/>
          <w:szCs w:val="24"/>
        </w:rPr>
        <w:t>interiorul</w:t>
      </w:r>
      <w:proofErr w:type="spellEnd"/>
      <w:r w:rsidRPr="00C56257">
        <w:rPr>
          <w:rFonts w:ascii="Times New Roman" w:hAnsi="Times New Roman" w:cs="Times New Roman"/>
          <w:color w:val="000000" w:themeColor="text1"/>
          <w:sz w:val="24"/>
          <w:szCs w:val="24"/>
        </w:rPr>
        <w:t xml:space="preserve"> Natura</w:t>
      </w:r>
      <w:r w:rsidRPr="00C56257">
        <w:rPr>
          <w:rFonts w:ascii="Times New Roman" w:hAnsi="Times New Roman" w:cs="Times New Roman"/>
          <w:color w:val="000000" w:themeColor="text1"/>
          <w:spacing w:val="-1"/>
          <w:sz w:val="24"/>
          <w:szCs w:val="24"/>
        </w:rPr>
        <w:t xml:space="preserve"> </w:t>
      </w:r>
      <w:r w:rsidRPr="00C56257">
        <w:rPr>
          <w:rFonts w:ascii="Times New Roman" w:hAnsi="Times New Roman" w:cs="Times New Roman"/>
          <w:color w:val="000000" w:themeColor="text1"/>
          <w:sz w:val="24"/>
          <w:szCs w:val="24"/>
        </w:rPr>
        <w:t>2000;</w:t>
      </w:r>
    </w:p>
    <w:p w14:paraId="3F5350DC" w14:textId="77777777" w:rsidR="006735BF" w:rsidRPr="00C56257" w:rsidRDefault="006735BF" w:rsidP="009E63E5">
      <w:pPr>
        <w:pStyle w:val="ListParagraph"/>
        <w:widowControl w:val="0"/>
        <w:numPr>
          <w:ilvl w:val="0"/>
          <w:numId w:val="138"/>
        </w:numPr>
        <w:tabs>
          <w:tab w:val="left" w:pos="1014"/>
        </w:tabs>
        <w:autoSpaceDE w:val="0"/>
        <w:autoSpaceDN w:val="0"/>
        <w:ind w:left="0" w:right="14" w:firstLine="0"/>
        <w:jc w:val="both"/>
        <w:rPr>
          <w:rFonts w:ascii="Times New Roman" w:hAnsi="Times New Roman" w:cs="Times New Roman"/>
          <w:color w:val="000000" w:themeColor="text1"/>
          <w:sz w:val="24"/>
          <w:szCs w:val="24"/>
        </w:rPr>
      </w:pPr>
      <w:proofErr w:type="spellStart"/>
      <w:r w:rsidRPr="00C56257">
        <w:rPr>
          <w:rFonts w:ascii="Times New Roman" w:hAnsi="Times New Roman" w:cs="Times New Roman"/>
          <w:color w:val="000000" w:themeColor="text1"/>
          <w:sz w:val="24"/>
          <w:szCs w:val="24"/>
        </w:rPr>
        <w:t>Monitorizare</w:t>
      </w:r>
      <w:proofErr w:type="spellEnd"/>
      <w:r w:rsidRPr="00C56257">
        <w:rPr>
          <w:rFonts w:ascii="Times New Roman" w:hAnsi="Times New Roman" w:cs="Times New Roman"/>
          <w:color w:val="000000" w:themeColor="text1"/>
          <w:spacing w:val="-3"/>
          <w:sz w:val="24"/>
          <w:szCs w:val="24"/>
        </w:rPr>
        <w:t xml:space="preserve"> </w:t>
      </w:r>
      <w:proofErr w:type="spellStart"/>
      <w:r w:rsidRPr="00C56257">
        <w:rPr>
          <w:rFonts w:ascii="Times New Roman" w:hAnsi="Times New Roman" w:cs="Times New Roman"/>
          <w:color w:val="000000" w:themeColor="text1"/>
          <w:sz w:val="24"/>
          <w:szCs w:val="24"/>
        </w:rPr>
        <w:t>în</w:t>
      </w:r>
      <w:proofErr w:type="spellEnd"/>
      <w:r w:rsidRPr="00C56257">
        <w:rPr>
          <w:rFonts w:ascii="Times New Roman" w:hAnsi="Times New Roman" w:cs="Times New Roman"/>
          <w:color w:val="000000" w:themeColor="text1"/>
          <w:spacing w:val="-1"/>
          <w:sz w:val="24"/>
          <w:szCs w:val="24"/>
        </w:rPr>
        <w:t xml:space="preserve"> </w:t>
      </w:r>
      <w:proofErr w:type="spellStart"/>
      <w:r w:rsidRPr="00C56257">
        <w:rPr>
          <w:rFonts w:ascii="Times New Roman" w:hAnsi="Times New Roman" w:cs="Times New Roman"/>
          <w:color w:val="000000" w:themeColor="text1"/>
          <w:sz w:val="24"/>
          <w:szCs w:val="24"/>
        </w:rPr>
        <w:t>ploturi</w:t>
      </w:r>
      <w:proofErr w:type="spellEnd"/>
      <w:r w:rsidRPr="00C56257">
        <w:rPr>
          <w:rFonts w:ascii="Times New Roman" w:hAnsi="Times New Roman" w:cs="Times New Roman"/>
          <w:color w:val="000000" w:themeColor="text1"/>
          <w:sz w:val="24"/>
          <w:szCs w:val="24"/>
        </w:rPr>
        <w:t xml:space="preserve"> </w:t>
      </w:r>
      <w:proofErr w:type="spellStart"/>
      <w:r w:rsidRPr="00C56257">
        <w:rPr>
          <w:rFonts w:ascii="Times New Roman" w:hAnsi="Times New Roman" w:cs="Times New Roman"/>
          <w:color w:val="000000" w:themeColor="text1"/>
          <w:sz w:val="24"/>
          <w:szCs w:val="24"/>
        </w:rPr>
        <w:t>atât</w:t>
      </w:r>
      <w:proofErr w:type="spellEnd"/>
      <w:r w:rsidRPr="00C56257">
        <w:rPr>
          <w:rFonts w:ascii="Times New Roman" w:hAnsi="Times New Roman" w:cs="Times New Roman"/>
          <w:color w:val="000000" w:themeColor="text1"/>
          <w:spacing w:val="-1"/>
          <w:sz w:val="24"/>
          <w:szCs w:val="24"/>
        </w:rPr>
        <w:t xml:space="preserve"> </w:t>
      </w:r>
      <w:proofErr w:type="spellStart"/>
      <w:r w:rsidRPr="00C56257">
        <w:rPr>
          <w:rFonts w:ascii="Times New Roman" w:hAnsi="Times New Roman" w:cs="Times New Roman"/>
          <w:color w:val="000000" w:themeColor="text1"/>
          <w:sz w:val="24"/>
          <w:szCs w:val="24"/>
        </w:rPr>
        <w:t>în</w:t>
      </w:r>
      <w:proofErr w:type="spellEnd"/>
      <w:r w:rsidRPr="00C56257">
        <w:rPr>
          <w:rFonts w:ascii="Times New Roman" w:hAnsi="Times New Roman" w:cs="Times New Roman"/>
          <w:color w:val="000000" w:themeColor="text1"/>
          <w:spacing w:val="-1"/>
          <w:sz w:val="24"/>
          <w:szCs w:val="24"/>
        </w:rPr>
        <w:t xml:space="preserve"> </w:t>
      </w:r>
      <w:proofErr w:type="spellStart"/>
      <w:r w:rsidRPr="00C56257">
        <w:rPr>
          <w:rFonts w:ascii="Times New Roman" w:hAnsi="Times New Roman" w:cs="Times New Roman"/>
          <w:color w:val="000000" w:themeColor="text1"/>
          <w:sz w:val="24"/>
          <w:szCs w:val="24"/>
        </w:rPr>
        <w:t>interiorul</w:t>
      </w:r>
      <w:proofErr w:type="spellEnd"/>
      <w:r w:rsidRPr="00C56257">
        <w:rPr>
          <w:rFonts w:ascii="Times New Roman" w:hAnsi="Times New Roman" w:cs="Times New Roman"/>
          <w:color w:val="000000" w:themeColor="text1"/>
          <w:sz w:val="24"/>
          <w:szCs w:val="24"/>
        </w:rPr>
        <w:t xml:space="preserve">, </w:t>
      </w:r>
      <w:proofErr w:type="spellStart"/>
      <w:r w:rsidRPr="00C56257">
        <w:rPr>
          <w:rFonts w:ascii="Times New Roman" w:hAnsi="Times New Roman" w:cs="Times New Roman"/>
          <w:color w:val="000000" w:themeColor="text1"/>
          <w:sz w:val="24"/>
          <w:szCs w:val="24"/>
        </w:rPr>
        <w:t>cât</w:t>
      </w:r>
      <w:proofErr w:type="spellEnd"/>
      <w:r w:rsidRPr="00C56257">
        <w:rPr>
          <w:rFonts w:ascii="Times New Roman" w:hAnsi="Times New Roman" w:cs="Times New Roman"/>
          <w:color w:val="000000" w:themeColor="text1"/>
          <w:spacing w:val="-1"/>
          <w:sz w:val="24"/>
          <w:szCs w:val="24"/>
        </w:rPr>
        <w:t xml:space="preserve"> </w:t>
      </w:r>
      <w:proofErr w:type="spellStart"/>
      <w:r w:rsidRPr="00C56257">
        <w:rPr>
          <w:rFonts w:ascii="Times New Roman" w:hAnsi="Times New Roman" w:cs="Times New Roman"/>
          <w:color w:val="000000" w:themeColor="text1"/>
          <w:sz w:val="24"/>
          <w:szCs w:val="24"/>
        </w:rPr>
        <w:t>și</w:t>
      </w:r>
      <w:proofErr w:type="spellEnd"/>
      <w:r w:rsidRPr="00C56257">
        <w:rPr>
          <w:rFonts w:ascii="Times New Roman" w:hAnsi="Times New Roman" w:cs="Times New Roman"/>
          <w:color w:val="000000" w:themeColor="text1"/>
          <w:spacing w:val="-1"/>
          <w:sz w:val="24"/>
          <w:szCs w:val="24"/>
        </w:rPr>
        <w:t xml:space="preserve"> </w:t>
      </w:r>
      <w:proofErr w:type="spellStart"/>
      <w:r w:rsidRPr="00C56257">
        <w:rPr>
          <w:rFonts w:ascii="Times New Roman" w:hAnsi="Times New Roman" w:cs="Times New Roman"/>
          <w:color w:val="000000" w:themeColor="text1"/>
          <w:sz w:val="24"/>
          <w:szCs w:val="24"/>
        </w:rPr>
        <w:t>în</w:t>
      </w:r>
      <w:proofErr w:type="spellEnd"/>
      <w:r w:rsidRPr="00C56257">
        <w:rPr>
          <w:rFonts w:ascii="Times New Roman" w:hAnsi="Times New Roman" w:cs="Times New Roman"/>
          <w:color w:val="000000" w:themeColor="text1"/>
          <w:spacing w:val="-1"/>
          <w:sz w:val="24"/>
          <w:szCs w:val="24"/>
        </w:rPr>
        <w:t xml:space="preserve"> </w:t>
      </w:r>
      <w:r w:rsidRPr="00C56257">
        <w:rPr>
          <w:rFonts w:ascii="Times New Roman" w:hAnsi="Times New Roman" w:cs="Times New Roman"/>
          <w:color w:val="000000" w:themeColor="text1"/>
          <w:sz w:val="24"/>
          <w:szCs w:val="24"/>
        </w:rPr>
        <w:t>afara</w:t>
      </w:r>
      <w:r w:rsidRPr="00C56257">
        <w:rPr>
          <w:rFonts w:ascii="Times New Roman" w:hAnsi="Times New Roman" w:cs="Times New Roman"/>
          <w:color w:val="000000" w:themeColor="text1"/>
          <w:spacing w:val="-1"/>
          <w:sz w:val="24"/>
          <w:szCs w:val="24"/>
        </w:rPr>
        <w:t xml:space="preserve"> </w:t>
      </w:r>
      <w:r w:rsidRPr="00C56257">
        <w:rPr>
          <w:rFonts w:ascii="Times New Roman" w:hAnsi="Times New Roman" w:cs="Times New Roman"/>
          <w:color w:val="000000" w:themeColor="text1"/>
          <w:sz w:val="24"/>
          <w:szCs w:val="24"/>
        </w:rPr>
        <w:t>Natura</w:t>
      </w:r>
      <w:r w:rsidRPr="00C56257">
        <w:rPr>
          <w:rFonts w:ascii="Times New Roman" w:hAnsi="Times New Roman" w:cs="Times New Roman"/>
          <w:color w:val="000000" w:themeColor="text1"/>
          <w:spacing w:val="-2"/>
          <w:sz w:val="24"/>
          <w:szCs w:val="24"/>
        </w:rPr>
        <w:t xml:space="preserve"> </w:t>
      </w:r>
      <w:r w:rsidRPr="00C56257">
        <w:rPr>
          <w:rFonts w:ascii="Times New Roman" w:hAnsi="Times New Roman" w:cs="Times New Roman"/>
          <w:color w:val="000000" w:themeColor="text1"/>
          <w:sz w:val="24"/>
          <w:szCs w:val="24"/>
        </w:rPr>
        <w:t>2000;</w:t>
      </w:r>
    </w:p>
    <w:p w14:paraId="7A51ED85" w14:textId="77777777" w:rsidR="006735BF" w:rsidRPr="00C56257" w:rsidRDefault="006735BF" w:rsidP="009E63E5">
      <w:pPr>
        <w:pStyle w:val="ListParagraph"/>
        <w:widowControl w:val="0"/>
        <w:numPr>
          <w:ilvl w:val="0"/>
          <w:numId w:val="138"/>
        </w:numPr>
        <w:tabs>
          <w:tab w:val="left" w:pos="1014"/>
        </w:tabs>
        <w:autoSpaceDE w:val="0"/>
        <w:autoSpaceDN w:val="0"/>
        <w:ind w:left="0" w:right="14" w:firstLine="0"/>
        <w:jc w:val="both"/>
        <w:rPr>
          <w:rFonts w:ascii="Times New Roman" w:hAnsi="Times New Roman" w:cs="Times New Roman"/>
          <w:color w:val="000000" w:themeColor="text1"/>
          <w:sz w:val="24"/>
          <w:szCs w:val="24"/>
          <w:lang w:val="fr-FR"/>
        </w:rPr>
      </w:pPr>
      <w:proofErr w:type="spellStart"/>
      <w:r w:rsidRPr="00C56257">
        <w:rPr>
          <w:rFonts w:ascii="Times New Roman" w:hAnsi="Times New Roman" w:cs="Times New Roman"/>
          <w:color w:val="000000" w:themeColor="text1"/>
          <w:sz w:val="24"/>
          <w:szCs w:val="24"/>
          <w:lang w:val="fr-FR"/>
        </w:rPr>
        <w:t>Monitorizare</w:t>
      </w:r>
      <w:proofErr w:type="spellEnd"/>
      <w:r w:rsidRPr="00C56257">
        <w:rPr>
          <w:rFonts w:ascii="Times New Roman" w:hAnsi="Times New Roman" w:cs="Times New Roman"/>
          <w:color w:val="000000" w:themeColor="text1"/>
          <w:spacing w:val="-3"/>
          <w:sz w:val="24"/>
          <w:szCs w:val="24"/>
          <w:lang w:val="fr-FR"/>
        </w:rPr>
        <w:t xml:space="preserve"> </w:t>
      </w:r>
      <w:proofErr w:type="spellStart"/>
      <w:r w:rsidRPr="00C56257">
        <w:rPr>
          <w:rFonts w:ascii="Times New Roman" w:hAnsi="Times New Roman" w:cs="Times New Roman"/>
          <w:color w:val="000000" w:themeColor="text1"/>
          <w:sz w:val="24"/>
          <w:szCs w:val="24"/>
          <w:lang w:val="fr-FR"/>
        </w:rPr>
        <w:t>în</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ploturi</w:t>
      </w:r>
      <w:proofErr w:type="spellEnd"/>
      <w:r w:rsidRPr="00C56257">
        <w:rPr>
          <w:rFonts w:ascii="Times New Roman" w:hAnsi="Times New Roman" w:cs="Times New Roman"/>
          <w:color w:val="000000" w:themeColor="text1"/>
          <w:spacing w:val="1"/>
          <w:sz w:val="24"/>
          <w:szCs w:val="24"/>
          <w:lang w:val="fr-FR"/>
        </w:rPr>
        <w:t xml:space="preserve"> </w:t>
      </w:r>
      <w:proofErr w:type="spellStart"/>
      <w:r w:rsidRPr="00C56257">
        <w:rPr>
          <w:rFonts w:ascii="Times New Roman" w:hAnsi="Times New Roman" w:cs="Times New Roman"/>
          <w:color w:val="000000" w:themeColor="text1"/>
          <w:sz w:val="24"/>
          <w:szCs w:val="24"/>
          <w:lang w:val="fr-FR"/>
        </w:rPr>
        <w:t>numai</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în</w:t>
      </w:r>
      <w:proofErr w:type="spellEnd"/>
      <w:r w:rsidRPr="00C56257">
        <w:rPr>
          <w:rFonts w:ascii="Times New Roman" w:hAnsi="Times New Roman" w:cs="Times New Roman"/>
          <w:color w:val="000000" w:themeColor="text1"/>
          <w:sz w:val="24"/>
          <w:szCs w:val="24"/>
          <w:lang w:val="fr-FR"/>
        </w:rPr>
        <w:t xml:space="preserve"> </w:t>
      </w:r>
      <w:proofErr w:type="spellStart"/>
      <w:r w:rsidRPr="00C56257">
        <w:rPr>
          <w:rFonts w:ascii="Times New Roman" w:hAnsi="Times New Roman" w:cs="Times New Roman"/>
          <w:color w:val="000000" w:themeColor="text1"/>
          <w:sz w:val="24"/>
          <w:szCs w:val="24"/>
          <w:lang w:val="fr-FR"/>
        </w:rPr>
        <w:t>afara</w:t>
      </w:r>
      <w:proofErr w:type="spellEnd"/>
      <w:r w:rsidRPr="00C56257">
        <w:rPr>
          <w:rFonts w:ascii="Times New Roman" w:hAnsi="Times New Roman" w:cs="Times New Roman"/>
          <w:color w:val="000000" w:themeColor="text1"/>
          <w:spacing w:val="-1"/>
          <w:sz w:val="24"/>
          <w:szCs w:val="24"/>
          <w:lang w:val="fr-FR"/>
        </w:rPr>
        <w:t xml:space="preserve"> </w:t>
      </w:r>
      <w:r w:rsidRPr="00C56257">
        <w:rPr>
          <w:rFonts w:ascii="Times New Roman" w:hAnsi="Times New Roman" w:cs="Times New Roman"/>
          <w:color w:val="000000" w:themeColor="text1"/>
          <w:sz w:val="24"/>
          <w:szCs w:val="24"/>
          <w:lang w:val="fr-FR"/>
        </w:rPr>
        <w:t>Natura</w:t>
      </w:r>
      <w:r w:rsidRPr="00C56257">
        <w:rPr>
          <w:rFonts w:ascii="Times New Roman" w:hAnsi="Times New Roman" w:cs="Times New Roman"/>
          <w:color w:val="000000" w:themeColor="text1"/>
          <w:spacing w:val="-1"/>
          <w:sz w:val="24"/>
          <w:szCs w:val="24"/>
          <w:lang w:val="fr-FR"/>
        </w:rPr>
        <w:t xml:space="preserve"> </w:t>
      </w:r>
      <w:r w:rsidRPr="00C56257">
        <w:rPr>
          <w:rFonts w:ascii="Times New Roman" w:hAnsi="Times New Roman" w:cs="Times New Roman"/>
          <w:color w:val="000000" w:themeColor="text1"/>
          <w:sz w:val="24"/>
          <w:szCs w:val="24"/>
          <w:lang w:val="fr-FR"/>
        </w:rPr>
        <w:t>2000.</w:t>
      </w:r>
    </w:p>
    <w:p w14:paraId="34121335" w14:textId="77777777" w:rsidR="006735BF" w:rsidRPr="00C56257" w:rsidRDefault="006735BF" w:rsidP="00182DE3">
      <w:pPr>
        <w:pStyle w:val="BodyText"/>
        <w:ind w:left="0" w:right="14"/>
        <w:jc w:val="both"/>
        <w:rPr>
          <w:color w:val="000000" w:themeColor="text1"/>
          <w:sz w:val="24"/>
          <w:szCs w:val="24"/>
          <w:lang w:val="fr-FR"/>
        </w:rPr>
      </w:pPr>
      <w:proofErr w:type="spellStart"/>
      <w:r w:rsidRPr="00C56257">
        <w:rPr>
          <w:color w:val="000000" w:themeColor="text1"/>
          <w:sz w:val="24"/>
          <w:szCs w:val="24"/>
          <w:lang w:val="fr-FR"/>
        </w:rPr>
        <w:t>Datele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rezultate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urma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monitorizării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trebuie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surprindă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unde</w:t>
      </w:r>
      <w:proofErr w:type="spellEnd"/>
      <w:r w:rsidRPr="00C56257">
        <w:rPr>
          <w:color w:val="000000" w:themeColor="text1"/>
          <w:sz w:val="24"/>
          <w:szCs w:val="24"/>
          <w:lang w:val="fr-FR"/>
        </w:rPr>
        <w:t xml:space="preserve"> are </w:t>
      </w:r>
      <w:proofErr w:type="spellStart"/>
      <w:r w:rsidRPr="00C56257">
        <w:rPr>
          <w:color w:val="000000" w:themeColor="text1"/>
          <w:sz w:val="24"/>
          <w:szCs w:val="24"/>
          <w:lang w:val="fr-FR"/>
        </w:rPr>
        <w:t>loc</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principalul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obiectiv</w:t>
      </w:r>
      <w:proofErr w:type="spellEnd"/>
      <w:r w:rsidRPr="00C56257">
        <w:rPr>
          <w:color w:val="000000" w:themeColor="text1"/>
          <w:sz w:val="24"/>
          <w:szCs w:val="24"/>
          <w:lang w:val="fr-FR"/>
        </w:rPr>
        <w:t xml:space="preserve"> al</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acțiunii</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 xml:space="preserve">. Prin </w:t>
      </w:r>
      <w:proofErr w:type="spellStart"/>
      <w:r w:rsidRPr="00C56257">
        <w:rPr>
          <w:color w:val="000000" w:themeColor="text1"/>
          <w:sz w:val="24"/>
          <w:szCs w:val="24"/>
          <w:lang w:val="fr-FR"/>
        </w:rPr>
        <w:t>urmare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corelare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formatul</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raportare</w:t>
      </w:r>
      <w:proofErr w:type="spellEnd"/>
      <w:r w:rsidRPr="00C56257">
        <w:rPr>
          <w:color w:val="000000" w:themeColor="text1"/>
          <w:sz w:val="24"/>
          <w:szCs w:val="24"/>
          <w:lang w:val="fr-FR"/>
        </w:rPr>
        <w:t xml:space="preserve">, se </w:t>
      </w:r>
      <w:proofErr w:type="spellStart"/>
      <w:r w:rsidRPr="00C56257">
        <w:rPr>
          <w:color w:val="000000" w:themeColor="text1"/>
          <w:sz w:val="24"/>
          <w:szCs w:val="24"/>
          <w:lang w:val="fr-FR"/>
        </w:rPr>
        <w:t>alege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opțiunea</w:t>
      </w:r>
      <w:proofErr w:type="spellEnd"/>
      <w:r w:rsidRPr="00C56257">
        <w:rPr>
          <w:color w:val="000000" w:themeColor="text1"/>
          <w:sz w:val="24"/>
          <w:szCs w:val="24"/>
          <w:lang w:val="fr-FR"/>
        </w:rPr>
        <w:t xml:space="preserve"> (a) </w:t>
      </w:r>
      <w:proofErr w:type="spellStart"/>
      <w:r w:rsidRPr="00C56257">
        <w:rPr>
          <w:color w:val="000000" w:themeColor="text1"/>
          <w:sz w:val="24"/>
          <w:szCs w:val="24"/>
          <w:lang w:val="fr-FR"/>
        </w:rPr>
        <w:t>dacă</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toate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sau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marea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majoritate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dintre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măsurile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limitate</w:t>
      </w:r>
      <w:proofErr w:type="spellEnd"/>
      <w:r w:rsidRPr="00C56257">
        <w:rPr>
          <w:color w:val="000000" w:themeColor="text1"/>
          <w:sz w:val="24"/>
          <w:szCs w:val="24"/>
          <w:lang w:val="fr-FR"/>
        </w:rPr>
        <w:t xml:space="preserve"> la Natura 2000, </w:t>
      </w:r>
      <w:proofErr w:type="spellStart"/>
      <w:r w:rsidRPr="00C56257">
        <w:rPr>
          <w:color w:val="000000" w:themeColor="text1"/>
          <w:sz w:val="24"/>
          <w:szCs w:val="24"/>
          <w:lang w:val="fr-FR"/>
        </w:rPr>
        <w:t>opțiunea</w:t>
      </w:r>
      <w:proofErr w:type="spellEnd"/>
      <w:r w:rsidRPr="00C56257">
        <w:rPr>
          <w:color w:val="000000" w:themeColor="text1"/>
          <w:sz w:val="24"/>
          <w:szCs w:val="24"/>
          <w:lang w:val="fr-FR"/>
        </w:rPr>
        <w:t xml:space="preserve"> (b)</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dacă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există</w:t>
      </w:r>
      <w:proofErr w:type="spellEnd"/>
      <w:r w:rsidRPr="00C56257">
        <w:rPr>
          <w:color w:val="000000" w:themeColor="text1"/>
          <w:sz w:val="24"/>
          <w:szCs w:val="24"/>
          <w:lang w:val="fr-FR"/>
        </w:rPr>
        <w:t xml:space="preserve"> o </w:t>
      </w:r>
      <w:proofErr w:type="spellStart"/>
      <w:r w:rsidRPr="00C56257">
        <w:rPr>
          <w:color w:val="000000" w:themeColor="text1"/>
          <w:sz w:val="24"/>
          <w:szCs w:val="24"/>
          <w:lang w:val="fr-FR"/>
        </w:rPr>
        <w:t>investiție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proporțională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punerea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aplicare</w:t>
      </w:r>
      <w:proofErr w:type="spellEnd"/>
      <w:r w:rsidRPr="00C56257">
        <w:rPr>
          <w:color w:val="000000" w:themeColor="text1"/>
          <w:sz w:val="24"/>
          <w:szCs w:val="24"/>
          <w:lang w:val="fr-FR"/>
        </w:rPr>
        <w:t xml:space="preserve"> a </w:t>
      </w:r>
      <w:proofErr w:type="spellStart"/>
      <w:r w:rsidRPr="00C56257">
        <w:rPr>
          <w:color w:val="000000" w:themeColor="text1"/>
          <w:sz w:val="24"/>
          <w:szCs w:val="24"/>
          <w:lang w:val="fr-FR"/>
        </w:rPr>
        <w:t>măsurilor</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interiorul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afara</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 xml:space="preserve">Natura 2000 </w:t>
      </w:r>
      <w:proofErr w:type="spellStart"/>
      <w:r w:rsidRPr="00C56257">
        <w:rPr>
          <w:color w:val="000000" w:themeColor="text1"/>
          <w:sz w:val="24"/>
          <w:szCs w:val="24"/>
          <w:lang w:val="fr-FR"/>
        </w:rPr>
        <w:t>și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opțiunea</w:t>
      </w:r>
      <w:proofErr w:type="spellEnd"/>
      <w:r w:rsidRPr="00C56257">
        <w:rPr>
          <w:color w:val="000000" w:themeColor="text1"/>
          <w:sz w:val="24"/>
          <w:szCs w:val="24"/>
          <w:lang w:val="fr-FR"/>
        </w:rPr>
        <w:t xml:space="preserve"> (c ) </w:t>
      </w:r>
      <w:proofErr w:type="spellStart"/>
      <w:r w:rsidRPr="00C56257">
        <w:rPr>
          <w:color w:val="000000" w:themeColor="text1"/>
          <w:sz w:val="24"/>
          <w:szCs w:val="24"/>
          <w:lang w:val="fr-FR"/>
        </w:rPr>
        <w:t>dacă</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toate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sau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marea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majoritate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dintre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măsuri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luate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afara</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Natura</w:t>
      </w:r>
      <w:r w:rsidRPr="00C56257">
        <w:rPr>
          <w:color w:val="000000" w:themeColor="text1"/>
          <w:spacing w:val="-3"/>
          <w:sz w:val="24"/>
          <w:szCs w:val="24"/>
          <w:lang w:val="fr-FR"/>
        </w:rPr>
        <w:t xml:space="preserve"> </w:t>
      </w:r>
      <w:r w:rsidRPr="00C56257">
        <w:rPr>
          <w:color w:val="000000" w:themeColor="text1"/>
          <w:sz w:val="24"/>
          <w:szCs w:val="24"/>
          <w:lang w:val="fr-FR"/>
        </w:rPr>
        <w:t>2000.</w:t>
      </w:r>
    </w:p>
    <w:p w14:paraId="3477B6E4" w14:textId="77777777" w:rsidR="006735BF" w:rsidRPr="00C56257" w:rsidRDefault="006735BF" w:rsidP="00182DE3">
      <w:pPr>
        <w:pStyle w:val="BodyText"/>
        <w:tabs>
          <w:tab w:val="left" w:pos="9720"/>
        </w:tabs>
        <w:spacing w:before="1"/>
        <w:ind w:left="0" w:right="-76"/>
        <w:jc w:val="both"/>
        <w:rPr>
          <w:color w:val="000000" w:themeColor="text1"/>
          <w:sz w:val="24"/>
          <w:szCs w:val="24"/>
          <w:lang w:val="fr-FR"/>
        </w:rPr>
      </w:pPr>
      <w:proofErr w:type="spellStart"/>
      <w:r w:rsidRPr="00C56257">
        <w:rPr>
          <w:color w:val="000000" w:themeColor="text1"/>
          <w:sz w:val="24"/>
          <w:szCs w:val="24"/>
          <w:lang w:val="fr-FR"/>
        </w:rPr>
        <w:lastRenderedPageBreak/>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stadiul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actual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majoritatea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habitatelor</w:t>
      </w:r>
      <w:proofErr w:type="spellEnd"/>
      <w:r w:rsidRPr="00C56257">
        <w:rPr>
          <w:color w:val="000000" w:themeColor="text1"/>
          <w:sz w:val="24"/>
          <w:szCs w:val="24"/>
          <w:lang w:val="fr-FR"/>
        </w:rPr>
        <w:t xml:space="preserve"> care nu </w:t>
      </w:r>
      <w:proofErr w:type="spellStart"/>
      <w:r w:rsidRPr="00C56257">
        <w:rPr>
          <w:color w:val="000000" w:themeColor="text1"/>
          <w:sz w:val="24"/>
          <w:szCs w:val="24"/>
          <w:lang w:val="fr-FR"/>
        </w:rPr>
        <w:t>sunt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rețeaua</w:t>
      </w:r>
      <w:proofErr w:type="spellEnd"/>
      <w:r w:rsidRPr="00C56257">
        <w:rPr>
          <w:color w:val="000000" w:themeColor="text1"/>
          <w:sz w:val="24"/>
          <w:szCs w:val="24"/>
          <w:lang w:val="fr-FR"/>
        </w:rPr>
        <w:t xml:space="preserve"> Natura 2000, nu </w:t>
      </w:r>
      <w:proofErr w:type="spellStart"/>
      <w:r w:rsidRPr="00C56257">
        <w:rPr>
          <w:color w:val="000000" w:themeColor="text1"/>
          <w:sz w:val="24"/>
          <w:szCs w:val="24"/>
          <w:lang w:val="fr-FR"/>
        </w:rPr>
        <w:t>sunt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cartate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nici</w:t>
      </w:r>
      <w:proofErr w:type="spellEnd"/>
      <w:r w:rsidRPr="00C56257">
        <w:rPr>
          <w:color w:val="000000" w:themeColor="text1"/>
          <w:sz w:val="24"/>
          <w:szCs w:val="24"/>
          <w:lang w:val="fr-FR"/>
        </w:rPr>
        <w:t xml:space="preserve"> la</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nivel</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bioregiune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nici</w:t>
      </w:r>
      <w:proofErr w:type="spellEnd"/>
      <w:r w:rsidRPr="00C56257">
        <w:rPr>
          <w:color w:val="000000" w:themeColor="text1"/>
          <w:sz w:val="24"/>
          <w:szCs w:val="24"/>
          <w:lang w:val="fr-FR"/>
        </w:rPr>
        <w:t xml:space="preserve"> la</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nivel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național</w:t>
      </w:r>
      <w:proofErr w:type="spellEnd"/>
      <w:r w:rsidRPr="00C56257">
        <w:rPr>
          <w:color w:val="000000" w:themeColor="text1"/>
          <w:sz w:val="24"/>
          <w:szCs w:val="24"/>
          <w:lang w:val="fr-FR"/>
        </w:rPr>
        <w:t>.</w:t>
      </w:r>
    </w:p>
    <w:p w14:paraId="6FB00C1C" w14:textId="77777777" w:rsidR="00DF0CC0" w:rsidRPr="00C56257" w:rsidRDefault="00DF0CC0" w:rsidP="00F100E1">
      <w:pPr>
        <w:pStyle w:val="Heading1"/>
        <w:keepNext w:val="0"/>
        <w:keepLines w:val="0"/>
        <w:tabs>
          <w:tab w:val="left" w:pos="1448"/>
        </w:tabs>
        <w:adjustRightInd/>
        <w:spacing w:before="70" w:line="242" w:lineRule="auto"/>
        <w:ind w:left="1114" w:right="306"/>
        <w:jc w:val="both"/>
        <w:rPr>
          <w:rFonts w:ascii="Times New Roman" w:hAnsi="Times New Roman" w:cs="Times New Roman"/>
          <w:color w:val="000000" w:themeColor="text1"/>
          <w:sz w:val="24"/>
          <w:szCs w:val="24"/>
          <w:lang w:val="fr-FR"/>
        </w:rPr>
      </w:pPr>
    </w:p>
    <w:p w14:paraId="4FCD92B8" w14:textId="77777777" w:rsidR="006735BF" w:rsidRPr="00814C24" w:rsidRDefault="00DF0CC0" w:rsidP="00182DE3">
      <w:pPr>
        <w:pStyle w:val="Heading1"/>
        <w:keepNext w:val="0"/>
        <w:keepLines w:val="0"/>
        <w:tabs>
          <w:tab w:val="left" w:pos="1448"/>
        </w:tabs>
        <w:adjustRightInd/>
        <w:spacing w:before="70" w:line="242" w:lineRule="auto"/>
        <w:ind w:right="306"/>
        <w:jc w:val="both"/>
        <w:rPr>
          <w:rFonts w:ascii="Times New Roman" w:hAnsi="Times New Roman" w:cs="Times New Roman"/>
          <w:color w:val="000000" w:themeColor="text1"/>
          <w:sz w:val="24"/>
          <w:szCs w:val="24"/>
          <w:lang w:val="fr-FR"/>
        </w:rPr>
      </w:pPr>
      <w:proofErr w:type="spellStart"/>
      <w:r w:rsidRPr="00814C24">
        <w:rPr>
          <w:rFonts w:ascii="Times New Roman" w:hAnsi="Times New Roman" w:cs="Times New Roman"/>
          <w:color w:val="000000" w:themeColor="text1"/>
          <w:sz w:val="24"/>
          <w:szCs w:val="24"/>
          <w:lang w:val="fr-FR"/>
        </w:rPr>
        <w:t>Evaluarea</w:t>
      </w:r>
      <w:proofErr w:type="spellEnd"/>
      <w:r w:rsidRPr="00814C24">
        <w:rPr>
          <w:rFonts w:ascii="Times New Roman" w:hAnsi="Times New Roman" w:cs="Times New Roman"/>
          <w:color w:val="000000" w:themeColor="text1"/>
          <w:sz w:val="24"/>
          <w:szCs w:val="24"/>
          <w:lang w:val="fr-FR"/>
        </w:rPr>
        <w:t xml:space="preserve"> </w:t>
      </w:r>
      <w:proofErr w:type="spellStart"/>
      <w:r w:rsidRPr="00814C24">
        <w:rPr>
          <w:rFonts w:ascii="Times New Roman" w:hAnsi="Times New Roman" w:cs="Times New Roman"/>
          <w:color w:val="000000" w:themeColor="text1"/>
          <w:sz w:val="24"/>
          <w:szCs w:val="24"/>
          <w:lang w:val="fr-FR"/>
        </w:rPr>
        <w:t>stării</w:t>
      </w:r>
      <w:proofErr w:type="spellEnd"/>
      <w:r w:rsidRPr="00814C24">
        <w:rPr>
          <w:rFonts w:ascii="Times New Roman" w:hAnsi="Times New Roman" w:cs="Times New Roman"/>
          <w:color w:val="000000" w:themeColor="text1"/>
          <w:sz w:val="24"/>
          <w:szCs w:val="24"/>
          <w:lang w:val="fr-FR"/>
        </w:rPr>
        <w:t xml:space="preserve"> de </w:t>
      </w:r>
      <w:proofErr w:type="spellStart"/>
      <w:r w:rsidRPr="00814C24">
        <w:rPr>
          <w:rFonts w:ascii="Times New Roman" w:hAnsi="Times New Roman" w:cs="Times New Roman"/>
          <w:color w:val="000000" w:themeColor="text1"/>
          <w:sz w:val="24"/>
          <w:szCs w:val="24"/>
          <w:lang w:val="fr-FR"/>
        </w:rPr>
        <w:t>conservare</w:t>
      </w:r>
      <w:proofErr w:type="spellEnd"/>
      <w:r w:rsidRPr="00814C24">
        <w:rPr>
          <w:rFonts w:ascii="Times New Roman" w:hAnsi="Times New Roman" w:cs="Times New Roman"/>
          <w:color w:val="000000" w:themeColor="text1"/>
          <w:sz w:val="24"/>
          <w:szCs w:val="24"/>
          <w:lang w:val="fr-FR"/>
        </w:rPr>
        <w:t xml:space="preserve"> a </w:t>
      </w:r>
      <w:proofErr w:type="spellStart"/>
      <w:r w:rsidRPr="00814C24">
        <w:rPr>
          <w:rFonts w:ascii="Times New Roman" w:hAnsi="Times New Roman" w:cs="Times New Roman"/>
          <w:color w:val="000000" w:themeColor="text1"/>
          <w:sz w:val="24"/>
          <w:szCs w:val="24"/>
          <w:lang w:val="fr-FR"/>
        </w:rPr>
        <w:t>habitatelor</w:t>
      </w:r>
      <w:proofErr w:type="spellEnd"/>
      <w:r w:rsidRPr="00814C24">
        <w:rPr>
          <w:rFonts w:ascii="Times New Roman" w:hAnsi="Times New Roman" w:cs="Times New Roman"/>
          <w:color w:val="000000" w:themeColor="text1"/>
          <w:sz w:val="24"/>
          <w:szCs w:val="24"/>
          <w:lang w:val="fr-FR"/>
        </w:rPr>
        <w:t xml:space="preserve"> de </w:t>
      </w:r>
      <w:r w:rsidR="006735BF" w:rsidRPr="00814C24">
        <w:rPr>
          <w:rFonts w:ascii="Times New Roman" w:hAnsi="Times New Roman" w:cs="Times New Roman"/>
          <w:color w:val="000000" w:themeColor="text1"/>
          <w:spacing w:val="-68"/>
          <w:sz w:val="24"/>
          <w:szCs w:val="24"/>
          <w:lang w:val="fr-FR"/>
        </w:rPr>
        <w:t xml:space="preserve"> </w:t>
      </w:r>
      <w:proofErr w:type="spellStart"/>
      <w:r w:rsidRPr="00814C24">
        <w:rPr>
          <w:rFonts w:ascii="Times New Roman" w:hAnsi="Times New Roman" w:cs="Times New Roman"/>
          <w:color w:val="000000" w:themeColor="text1"/>
          <w:sz w:val="24"/>
          <w:szCs w:val="24"/>
          <w:lang w:val="fr-FR"/>
        </w:rPr>
        <w:t>pajiști</w:t>
      </w:r>
      <w:proofErr w:type="spellEnd"/>
    </w:p>
    <w:p w14:paraId="1C828320" w14:textId="77777777" w:rsidR="006735BF" w:rsidRPr="00814C24" w:rsidRDefault="006735BF" w:rsidP="00182DE3">
      <w:pPr>
        <w:pStyle w:val="BodyText"/>
        <w:spacing w:before="6"/>
        <w:ind w:left="0"/>
        <w:jc w:val="both"/>
        <w:rPr>
          <w:b/>
          <w:color w:val="000000" w:themeColor="text1"/>
          <w:sz w:val="24"/>
          <w:szCs w:val="24"/>
          <w:lang w:val="fr-FR"/>
        </w:rPr>
      </w:pPr>
    </w:p>
    <w:p w14:paraId="55ED13C7" w14:textId="77777777" w:rsidR="006735BF" w:rsidRPr="00814C24" w:rsidRDefault="006735BF" w:rsidP="00182DE3">
      <w:pPr>
        <w:pStyle w:val="Heading2"/>
        <w:widowControl w:val="0"/>
        <w:tabs>
          <w:tab w:val="left" w:pos="1232"/>
        </w:tabs>
        <w:autoSpaceDE w:val="0"/>
        <w:autoSpaceDN w:val="0"/>
        <w:spacing w:before="0" w:beforeAutospacing="0" w:after="0" w:afterAutospacing="0"/>
        <w:jc w:val="both"/>
        <w:rPr>
          <w:color w:val="000000" w:themeColor="text1"/>
          <w:sz w:val="24"/>
          <w:szCs w:val="24"/>
        </w:rPr>
      </w:pPr>
      <w:proofErr w:type="spellStart"/>
      <w:r w:rsidRPr="00814C24">
        <w:rPr>
          <w:color w:val="000000" w:themeColor="text1"/>
          <w:sz w:val="24"/>
          <w:szCs w:val="24"/>
        </w:rPr>
        <w:t>Metodologia</w:t>
      </w:r>
      <w:proofErr w:type="spellEnd"/>
      <w:r w:rsidRPr="00814C24">
        <w:rPr>
          <w:color w:val="000000" w:themeColor="text1"/>
          <w:spacing w:val="-3"/>
          <w:sz w:val="24"/>
          <w:szCs w:val="24"/>
        </w:rPr>
        <w:t xml:space="preserve"> </w:t>
      </w:r>
      <w:r w:rsidRPr="00814C24">
        <w:rPr>
          <w:color w:val="000000" w:themeColor="text1"/>
          <w:sz w:val="24"/>
          <w:szCs w:val="24"/>
        </w:rPr>
        <w:t>de</w:t>
      </w:r>
      <w:r w:rsidRPr="00814C24">
        <w:rPr>
          <w:color w:val="000000" w:themeColor="text1"/>
          <w:spacing w:val="-4"/>
          <w:sz w:val="24"/>
          <w:szCs w:val="24"/>
        </w:rPr>
        <w:t xml:space="preserve"> </w:t>
      </w:r>
      <w:proofErr w:type="spellStart"/>
      <w:r w:rsidRPr="00814C24">
        <w:rPr>
          <w:color w:val="000000" w:themeColor="text1"/>
          <w:sz w:val="24"/>
          <w:szCs w:val="24"/>
        </w:rPr>
        <w:t>agregare</w:t>
      </w:r>
      <w:proofErr w:type="spellEnd"/>
      <w:r w:rsidRPr="00814C24">
        <w:rPr>
          <w:color w:val="000000" w:themeColor="text1"/>
          <w:spacing w:val="-3"/>
          <w:sz w:val="24"/>
          <w:szCs w:val="24"/>
        </w:rPr>
        <w:t xml:space="preserve"> </w:t>
      </w:r>
      <w:r w:rsidRPr="00814C24">
        <w:rPr>
          <w:color w:val="000000" w:themeColor="text1"/>
          <w:sz w:val="24"/>
          <w:szCs w:val="24"/>
        </w:rPr>
        <w:t>a</w:t>
      </w:r>
      <w:r w:rsidRPr="00814C24">
        <w:rPr>
          <w:color w:val="000000" w:themeColor="text1"/>
          <w:spacing w:val="-3"/>
          <w:sz w:val="24"/>
          <w:szCs w:val="24"/>
        </w:rPr>
        <w:t xml:space="preserve"> </w:t>
      </w:r>
      <w:proofErr w:type="spellStart"/>
      <w:r w:rsidRPr="00814C24">
        <w:rPr>
          <w:color w:val="000000" w:themeColor="text1"/>
          <w:sz w:val="24"/>
          <w:szCs w:val="24"/>
        </w:rPr>
        <w:t>datelor</w:t>
      </w:r>
      <w:proofErr w:type="spellEnd"/>
    </w:p>
    <w:p w14:paraId="031C9921" w14:textId="77777777" w:rsidR="006735BF" w:rsidRPr="00814C24" w:rsidRDefault="006735BF" w:rsidP="00182DE3">
      <w:pPr>
        <w:pStyle w:val="BodyText"/>
        <w:spacing w:before="157"/>
        <w:ind w:left="0" w:right="14"/>
        <w:jc w:val="both"/>
        <w:rPr>
          <w:color w:val="000000" w:themeColor="text1"/>
          <w:sz w:val="24"/>
          <w:szCs w:val="24"/>
          <w:lang w:val="fr-FR"/>
        </w:rPr>
      </w:pPr>
      <w:proofErr w:type="spellStart"/>
      <w:r w:rsidRPr="00814C24">
        <w:rPr>
          <w:color w:val="000000" w:themeColor="text1"/>
          <w:sz w:val="24"/>
          <w:szCs w:val="24"/>
        </w:rPr>
        <w:t>Observațiile</w:t>
      </w:r>
      <w:proofErr w:type="spellEnd"/>
      <w:r w:rsidRPr="00814C24">
        <w:rPr>
          <w:color w:val="000000" w:themeColor="text1"/>
          <w:sz w:val="24"/>
          <w:szCs w:val="24"/>
        </w:rPr>
        <w:t xml:space="preserve"> </w:t>
      </w:r>
      <w:proofErr w:type="spellStart"/>
      <w:r w:rsidRPr="00814C24">
        <w:rPr>
          <w:color w:val="000000" w:themeColor="text1"/>
          <w:sz w:val="24"/>
          <w:szCs w:val="24"/>
        </w:rPr>
        <w:t>directe</w:t>
      </w:r>
      <w:proofErr w:type="spellEnd"/>
      <w:r w:rsidRPr="00814C24">
        <w:rPr>
          <w:color w:val="000000" w:themeColor="text1"/>
          <w:sz w:val="24"/>
          <w:szCs w:val="24"/>
        </w:rPr>
        <w:t xml:space="preserve"> evaluate de </w:t>
      </w:r>
      <w:proofErr w:type="spellStart"/>
      <w:r w:rsidRPr="00814C24">
        <w:rPr>
          <w:color w:val="000000" w:themeColor="text1"/>
          <w:sz w:val="24"/>
          <w:szCs w:val="24"/>
        </w:rPr>
        <w:t>către</w:t>
      </w:r>
      <w:proofErr w:type="spellEnd"/>
      <w:r w:rsidRPr="00814C24">
        <w:rPr>
          <w:color w:val="000000" w:themeColor="text1"/>
          <w:sz w:val="24"/>
          <w:szCs w:val="24"/>
        </w:rPr>
        <w:t xml:space="preserve"> </w:t>
      </w:r>
      <w:proofErr w:type="spellStart"/>
      <w:r w:rsidRPr="00814C24">
        <w:rPr>
          <w:color w:val="000000" w:themeColor="text1"/>
          <w:sz w:val="24"/>
          <w:szCs w:val="24"/>
        </w:rPr>
        <w:t>experții</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biodiversitate</w:t>
      </w:r>
      <w:proofErr w:type="spellEnd"/>
      <w:r w:rsidRPr="00814C24">
        <w:rPr>
          <w:color w:val="000000" w:themeColor="text1"/>
          <w:sz w:val="24"/>
          <w:szCs w:val="24"/>
        </w:rPr>
        <w:t xml:space="preserve">, </w:t>
      </w:r>
      <w:proofErr w:type="spellStart"/>
      <w:r w:rsidRPr="00814C24">
        <w:rPr>
          <w:color w:val="000000" w:themeColor="text1"/>
          <w:sz w:val="24"/>
          <w:szCs w:val="24"/>
        </w:rPr>
        <w:t>selectați</w:t>
      </w:r>
      <w:proofErr w:type="spellEnd"/>
      <w:r w:rsidRPr="00814C24">
        <w:rPr>
          <w:color w:val="000000" w:themeColor="text1"/>
          <w:sz w:val="24"/>
          <w:szCs w:val="24"/>
        </w:rPr>
        <w:t xml:space="preserve"> </w:t>
      </w:r>
      <w:proofErr w:type="spellStart"/>
      <w:r w:rsidRPr="00814C24">
        <w:rPr>
          <w:color w:val="000000" w:themeColor="text1"/>
          <w:sz w:val="24"/>
          <w:szCs w:val="24"/>
        </w:rPr>
        <w:t>pentru</w:t>
      </w:r>
      <w:proofErr w:type="spellEnd"/>
      <w:r w:rsidRPr="00814C24">
        <w:rPr>
          <w:color w:val="000000" w:themeColor="text1"/>
          <w:sz w:val="24"/>
          <w:szCs w:val="24"/>
        </w:rPr>
        <w:t xml:space="preserve"> </w:t>
      </w:r>
      <w:proofErr w:type="spellStart"/>
      <w:r w:rsidRPr="00814C24">
        <w:rPr>
          <w:color w:val="000000" w:themeColor="text1"/>
          <w:sz w:val="24"/>
          <w:szCs w:val="24"/>
        </w:rPr>
        <w:t>evaluarea</w:t>
      </w:r>
      <w:proofErr w:type="spellEnd"/>
      <w:r w:rsidRPr="00814C24">
        <w:rPr>
          <w:color w:val="000000" w:themeColor="text1"/>
          <w:sz w:val="24"/>
          <w:szCs w:val="24"/>
        </w:rPr>
        <w:t xml:space="preserve"> </w:t>
      </w:r>
      <w:proofErr w:type="spellStart"/>
      <w:r w:rsidRPr="00814C24">
        <w:rPr>
          <w:color w:val="000000" w:themeColor="text1"/>
          <w:sz w:val="24"/>
          <w:szCs w:val="24"/>
        </w:rPr>
        <w:t>habitatelor</w:t>
      </w:r>
      <w:proofErr w:type="spellEnd"/>
      <w:r w:rsidRPr="00814C24">
        <w:rPr>
          <w:color w:val="000000" w:themeColor="text1"/>
          <w:spacing w:val="-57"/>
          <w:sz w:val="24"/>
          <w:szCs w:val="24"/>
        </w:rPr>
        <w:t xml:space="preserve"> </w:t>
      </w:r>
      <w:proofErr w:type="spellStart"/>
      <w:r w:rsidRPr="00814C24">
        <w:rPr>
          <w:color w:val="000000" w:themeColor="text1"/>
          <w:sz w:val="24"/>
          <w:szCs w:val="24"/>
        </w:rPr>
        <w:t>țintă</w:t>
      </w:r>
      <w:proofErr w:type="spellEnd"/>
      <w:r w:rsidRPr="00814C24">
        <w:rPr>
          <w:color w:val="000000" w:themeColor="text1"/>
          <w:sz w:val="24"/>
          <w:szCs w:val="24"/>
        </w:rPr>
        <w:t xml:space="preserve">, </w:t>
      </w:r>
      <w:proofErr w:type="spellStart"/>
      <w:r w:rsidRPr="00814C24">
        <w:rPr>
          <w:color w:val="000000" w:themeColor="text1"/>
          <w:sz w:val="24"/>
          <w:szCs w:val="24"/>
        </w:rPr>
        <w:t>utilizează</w:t>
      </w:r>
      <w:proofErr w:type="spellEnd"/>
      <w:r w:rsidRPr="00814C24">
        <w:rPr>
          <w:color w:val="000000" w:themeColor="text1"/>
          <w:sz w:val="24"/>
          <w:szCs w:val="24"/>
        </w:rPr>
        <w:t xml:space="preserve"> </w:t>
      </w:r>
      <w:proofErr w:type="spellStart"/>
      <w:r w:rsidRPr="00814C24">
        <w:rPr>
          <w:color w:val="000000" w:themeColor="text1"/>
          <w:sz w:val="24"/>
          <w:szCs w:val="24"/>
        </w:rPr>
        <w:t>tehnologiile</w:t>
      </w:r>
      <w:proofErr w:type="spellEnd"/>
      <w:r w:rsidRPr="00814C24">
        <w:rPr>
          <w:color w:val="000000" w:themeColor="text1"/>
          <w:sz w:val="24"/>
          <w:szCs w:val="24"/>
        </w:rPr>
        <w:t xml:space="preserve"> de </w:t>
      </w:r>
      <w:proofErr w:type="spellStart"/>
      <w:r w:rsidRPr="00814C24">
        <w:rPr>
          <w:color w:val="000000" w:themeColor="text1"/>
          <w:sz w:val="24"/>
          <w:szCs w:val="24"/>
        </w:rPr>
        <w:t>ultimă</w:t>
      </w:r>
      <w:proofErr w:type="spellEnd"/>
      <w:r w:rsidRPr="00814C24">
        <w:rPr>
          <w:color w:val="000000" w:themeColor="text1"/>
          <w:sz w:val="24"/>
          <w:szCs w:val="24"/>
        </w:rPr>
        <w:t xml:space="preserve"> </w:t>
      </w:r>
      <w:proofErr w:type="spellStart"/>
      <w:r w:rsidRPr="00814C24">
        <w:rPr>
          <w:color w:val="000000" w:themeColor="text1"/>
          <w:sz w:val="24"/>
          <w:szCs w:val="24"/>
        </w:rPr>
        <w:t>generație</w:t>
      </w:r>
      <w:proofErr w:type="spellEnd"/>
      <w:r w:rsidRPr="00814C24">
        <w:rPr>
          <w:color w:val="000000" w:themeColor="text1"/>
          <w:sz w:val="24"/>
          <w:szCs w:val="24"/>
        </w:rPr>
        <w:t xml:space="preserve"> </w:t>
      </w:r>
      <w:proofErr w:type="spellStart"/>
      <w:r w:rsidRPr="00814C24">
        <w:rPr>
          <w:color w:val="000000" w:themeColor="text1"/>
          <w:sz w:val="24"/>
          <w:szCs w:val="24"/>
        </w:rPr>
        <w:t>atât</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ceea</w:t>
      </w:r>
      <w:proofErr w:type="spellEnd"/>
      <w:r w:rsidRPr="00814C24">
        <w:rPr>
          <w:color w:val="000000" w:themeColor="text1"/>
          <w:sz w:val="24"/>
          <w:szCs w:val="24"/>
        </w:rPr>
        <w:t xml:space="preserve"> </w:t>
      </w:r>
      <w:proofErr w:type="spellStart"/>
      <w:r w:rsidRPr="00814C24">
        <w:rPr>
          <w:color w:val="000000" w:themeColor="text1"/>
          <w:sz w:val="24"/>
          <w:szCs w:val="24"/>
        </w:rPr>
        <w:t>ce</w:t>
      </w:r>
      <w:proofErr w:type="spellEnd"/>
      <w:r w:rsidRPr="00814C24">
        <w:rPr>
          <w:color w:val="000000" w:themeColor="text1"/>
          <w:sz w:val="24"/>
          <w:szCs w:val="24"/>
        </w:rPr>
        <w:t xml:space="preserve"> </w:t>
      </w:r>
      <w:proofErr w:type="spellStart"/>
      <w:r w:rsidRPr="00814C24">
        <w:rPr>
          <w:color w:val="000000" w:themeColor="text1"/>
          <w:sz w:val="24"/>
          <w:szCs w:val="24"/>
        </w:rPr>
        <w:t>privește</w:t>
      </w:r>
      <w:proofErr w:type="spellEnd"/>
      <w:r w:rsidRPr="00814C24">
        <w:rPr>
          <w:color w:val="000000" w:themeColor="text1"/>
          <w:sz w:val="24"/>
          <w:szCs w:val="24"/>
        </w:rPr>
        <w:t xml:space="preserve"> </w:t>
      </w:r>
      <w:proofErr w:type="spellStart"/>
      <w:r w:rsidRPr="00814C24">
        <w:rPr>
          <w:color w:val="000000" w:themeColor="text1"/>
          <w:sz w:val="24"/>
          <w:szCs w:val="24"/>
        </w:rPr>
        <w:t>unități</w:t>
      </w:r>
      <w:proofErr w:type="spellEnd"/>
      <w:r w:rsidRPr="00814C24">
        <w:rPr>
          <w:color w:val="000000" w:themeColor="text1"/>
          <w:sz w:val="24"/>
          <w:szCs w:val="24"/>
        </w:rPr>
        <w:t xml:space="preserve"> GPS </w:t>
      </w:r>
      <w:proofErr w:type="spellStart"/>
      <w:r w:rsidRPr="00814C24">
        <w:rPr>
          <w:color w:val="000000" w:themeColor="text1"/>
          <w:sz w:val="24"/>
          <w:szCs w:val="24"/>
        </w:rPr>
        <w:t>și</w:t>
      </w:r>
      <w:proofErr w:type="spellEnd"/>
      <w:r w:rsidRPr="00814C24">
        <w:rPr>
          <w:color w:val="000000" w:themeColor="text1"/>
          <w:sz w:val="24"/>
          <w:szCs w:val="24"/>
        </w:rPr>
        <w:t xml:space="preserve"> </w:t>
      </w:r>
      <w:proofErr w:type="spellStart"/>
      <w:r w:rsidRPr="00814C24">
        <w:rPr>
          <w:color w:val="000000" w:themeColor="text1"/>
          <w:sz w:val="24"/>
          <w:szCs w:val="24"/>
        </w:rPr>
        <w:t>aplicații</w:t>
      </w:r>
      <w:proofErr w:type="spellEnd"/>
      <w:r w:rsidRPr="00814C24">
        <w:rPr>
          <w:color w:val="000000" w:themeColor="text1"/>
          <w:spacing w:val="1"/>
          <w:sz w:val="24"/>
          <w:szCs w:val="24"/>
        </w:rPr>
        <w:t xml:space="preserve"> </w:t>
      </w:r>
      <w:r w:rsidRPr="00814C24">
        <w:rPr>
          <w:color w:val="000000" w:themeColor="text1"/>
          <w:sz w:val="24"/>
          <w:szCs w:val="24"/>
        </w:rPr>
        <w:t>mobile</w:t>
      </w:r>
      <w:r w:rsidRPr="00814C24">
        <w:rPr>
          <w:color w:val="000000" w:themeColor="text1"/>
          <w:spacing w:val="14"/>
          <w:sz w:val="24"/>
          <w:szCs w:val="24"/>
        </w:rPr>
        <w:t xml:space="preserve"> </w:t>
      </w:r>
      <w:r w:rsidRPr="00814C24">
        <w:rPr>
          <w:color w:val="000000" w:themeColor="text1"/>
          <w:sz w:val="24"/>
          <w:szCs w:val="24"/>
        </w:rPr>
        <w:t>de</w:t>
      </w:r>
      <w:r w:rsidRPr="00814C24">
        <w:rPr>
          <w:color w:val="000000" w:themeColor="text1"/>
          <w:spacing w:val="14"/>
          <w:sz w:val="24"/>
          <w:szCs w:val="24"/>
        </w:rPr>
        <w:t xml:space="preserve"> </w:t>
      </w:r>
      <w:proofErr w:type="spellStart"/>
      <w:r w:rsidRPr="00814C24">
        <w:rPr>
          <w:color w:val="000000" w:themeColor="text1"/>
          <w:sz w:val="24"/>
          <w:szCs w:val="24"/>
        </w:rPr>
        <w:t>colectare</w:t>
      </w:r>
      <w:proofErr w:type="spellEnd"/>
      <w:r w:rsidRPr="00814C24">
        <w:rPr>
          <w:color w:val="000000" w:themeColor="text1"/>
          <w:spacing w:val="14"/>
          <w:sz w:val="24"/>
          <w:szCs w:val="24"/>
        </w:rPr>
        <w:t xml:space="preserve"> </w:t>
      </w:r>
      <w:r w:rsidRPr="00814C24">
        <w:rPr>
          <w:color w:val="000000" w:themeColor="text1"/>
          <w:sz w:val="24"/>
          <w:szCs w:val="24"/>
        </w:rPr>
        <w:t>a</w:t>
      </w:r>
      <w:r w:rsidRPr="00814C24">
        <w:rPr>
          <w:color w:val="000000" w:themeColor="text1"/>
          <w:spacing w:val="14"/>
          <w:sz w:val="24"/>
          <w:szCs w:val="24"/>
        </w:rPr>
        <w:t xml:space="preserve"> </w:t>
      </w:r>
      <w:proofErr w:type="spellStart"/>
      <w:r w:rsidRPr="00814C24">
        <w:rPr>
          <w:color w:val="000000" w:themeColor="text1"/>
          <w:sz w:val="24"/>
          <w:szCs w:val="24"/>
        </w:rPr>
        <w:t>datelor</w:t>
      </w:r>
      <w:proofErr w:type="spellEnd"/>
      <w:r w:rsidRPr="00814C24">
        <w:rPr>
          <w:color w:val="000000" w:themeColor="text1"/>
          <w:spacing w:val="14"/>
          <w:sz w:val="24"/>
          <w:szCs w:val="24"/>
        </w:rPr>
        <w:t xml:space="preserve"> </w:t>
      </w:r>
      <w:r w:rsidRPr="00814C24">
        <w:rPr>
          <w:color w:val="000000" w:themeColor="text1"/>
          <w:sz w:val="24"/>
          <w:szCs w:val="24"/>
        </w:rPr>
        <w:t>din</w:t>
      </w:r>
      <w:r w:rsidRPr="00814C24">
        <w:rPr>
          <w:color w:val="000000" w:themeColor="text1"/>
          <w:spacing w:val="16"/>
          <w:sz w:val="24"/>
          <w:szCs w:val="24"/>
        </w:rPr>
        <w:t xml:space="preserve"> </w:t>
      </w:r>
      <w:proofErr w:type="spellStart"/>
      <w:r w:rsidRPr="00814C24">
        <w:rPr>
          <w:color w:val="000000" w:themeColor="text1"/>
          <w:sz w:val="24"/>
          <w:szCs w:val="24"/>
        </w:rPr>
        <w:t>teren</w:t>
      </w:r>
      <w:proofErr w:type="spellEnd"/>
      <w:r w:rsidRPr="00814C24">
        <w:rPr>
          <w:color w:val="000000" w:themeColor="text1"/>
          <w:sz w:val="24"/>
          <w:szCs w:val="24"/>
        </w:rPr>
        <w:t>.</w:t>
      </w:r>
      <w:r w:rsidRPr="00814C24">
        <w:rPr>
          <w:color w:val="000000" w:themeColor="text1"/>
          <w:spacing w:val="15"/>
          <w:sz w:val="24"/>
          <w:szCs w:val="24"/>
        </w:rPr>
        <w:t xml:space="preserve"> </w:t>
      </w:r>
      <w:proofErr w:type="spellStart"/>
      <w:r w:rsidRPr="00814C24">
        <w:rPr>
          <w:color w:val="000000" w:themeColor="text1"/>
          <w:sz w:val="24"/>
          <w:szCs w:val="24"/>
          <w:lang w:val="fr-FR"/>
        </w:rPr>
        <w:t>Fișele</w:t>
      </w:r>
      <w:proofErr w:type="spellEnd"/>
      <w:r w:rsidRPr="00814C24">
        <w:rPr>
          <w:color w:val="000000" w:themeColor="text1"/>
          <w:spacing w:val="15"/>
          <w:sz w:val="24"/>
          <w:szCs w:val="24"/>
          <w:lang w:val="fr-FR"/>
        </w:rPr>
        <w:t xml:space="preserve"> </w:t>
      </w:r>
      <w:r w:rsidRPr="00814C24">
        <w:rPr>
          <w:color w:val="000000" w:themeColor="text1"/>
          <w:sz w:val="24"/>
          <w:szCs w:val="24"/>
          <w:lang w:val="fr-FR"/>
        </w:rPr>
        <w:t>de</w:t>
      </w:r>
      <w:r w:rsidRPr="00814C24">
        <w:rPr>
          <w:color w:val="000000" w:themeColor="text1"/>
          <w:spacing w:val="16"/>
          <w:sz w:val="24"/>
          <w:szCs w:val="24"/>
          <w:lang w:val="fr-FR"/>
        </w:rPr>
        <w:t xml:space="preserve"> </w:t>
      </w:r>
      <w:proofErr w:type="spellStart"/>
      <w:r w:rsidRPr="00814C24">
        <w:rPr>
          <w:color w:val="000000" w:themeColor="text1"/>
          <w:sz w:val="24"/>
          <w:szCs w:val="24"/>
          <w:lang w:val="fr-FR"/>
        </w:rPr>
        <w:t>teren</w:t>
      </w:r>
      <w:proofErr w:type="spellEnd"/>
      <w:r w:rsidRPr="00814C24">
        <w:rPr>
          <w:color w:val="000000" w:themeColor="text1"/>
          <w:spacing w:val="15"/>
          <w:sz w:val="24"/>
          <w:szCs w:val="24"/>
          <w:lang w:val="fr-FR"/>
        </w:rPr>
        <w:t xml:space="preserve"> </w:t>
      </w:r>
      <w:proofErr w:type="spellStart"/>
      <w:r w:rsidRPr="00814C24">
        <w:rPr>
          <w:color w:val="000000" w:themeColor="text1"/>
          <w:sz w:val="24"/>
          <w:szCs w:val="24"/>
          <w:lang w:val="fr-FR"/>
        </w:rPr>
        <w:t>completate</w:t>
      </w:r>
      <w:proofErr w:type="spellEnd"/>
      <w:r w:rsidRPr="00814C24">
        <w:rPr>
          <w:color w:val="000000" w:themeColor="text1"/>
          <w:spacing w:val="14"/>
          <w:sz w:val="24"/>
          <w:szCs w:val="24"/>
          <w:lang w:val="fr-FR"/>
        </w:rPr>
        <w:t xml:space="preserve"> </w:t>
      </w:r>
      <w:proofErr w:type="spellStart"/>
      <w:r w:rsidRPr="00814C24">
        <w:rPr>
          <w:color w:val="000000" w:themeColor="text1"/>
          <w:sz w:val="24"/>
          <w:szCs w:val="24"/>
          <w:lang w:val="fr-FR"/>
        </w:rPr>
        <w:t>descriu</w:t>
      </w:r>
      <w:proofErr w:type="spellEnd"/>
      <w:r w:rsidRPr="00814C24">
        <w:rPr>
          <w:color w:val="000000" w:themeColor="text1"/>
          <w:spacing w:val="17"/>
          <w:sz w:val="24"/>
          <w:szCs w:val="24"/>
          <w:lang w:val="fr-FR"/>
        </w:rPr>
        <w:t xml:space="preserve"> </w:t>
      </w:r>
      <w:proofErr w:type="spellStart"/>
      <w:r w:rsidRPr="00814C24">
        <w:rPr>
          <w:color w:val="000000" w:themeColor="text1"/>
          <w:sz w:val="24"/>
          <w:szCs w:val="24"/>
          <w:lang w:val="fr-FR"/>
        </w:rPr>
        <w:t>caracteristici</w:t>
      </w:r>
      <w:proofErr w:type="spellEnd"/>
      <w:r w:rsidRPr="00814C24">
        <w:rPr>
          <w:color w:val="000000" w:themeColor="text1"/>
          <w:spacing w:val="22"/>
          <w:sz w:val="24"/>
          <w:szCs w:val="24"/>
          <w:lang w:val="fr-FR"/>
        </w:rPr>
        <w:t xml:space="preserve"> </w:t>
      </w:r>
      <w:r w:rsidRPr="00814C24">
        <w:rPr>
          <w:color w:val="000000" w:themeColor="text1"/>
          <w:sz w:val="24"/>
          <w:szCs w:val="24"/>
          <w:lang w:val="fr-FR"/>
        </w:rPr>
        <w:t>structurale</w:t>
      </w:r>
      <w:r w:rsidRPr="00814C24">
        <w:rPr>
          <w:color w:val="000000" w:themeColor="text1"/>
          <w:spacing w:val="-58"/>
          <w:sz w:val="24"/>
          <w:szCs w:val="24"/>
          <w:lang w:val="fr-FR"/>
        </w:rPr>
        <w:t xml:space="preserve"> </w:t>
      </w:r>
      <w:proofErr w:type="spellStart"/>
      <w:r w:rsidRPr="00814C24">
        <w:rPr>
          <w:color w:val="000000" w:themeColor="text1"/>
          <w:sz w:val="24"/>
          <w:szCs w:val="24"/>
          <w:lang w:val="fr-FR"/>
        </w:rPr>
        <w:t>și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funcționale</w:t>
      </w:r>
      <w:proofErr w:type="spellEnd"/>
      <w:r w:rsidRPr="00814C24">
        <w:rPr>
          <w:color w:val="000000" w:themeColor="text1"/>
          <w:sz w:val="24"/>
          <w:szCs w:val="24"/>
          <w:lang w:val="fr-FR"/>
        </w:rPr>
        <w:t xml:space="preserve"> ale </w:t>
      </w:r>
      <w:proofErr w:type="spellStart"/>
      <w:r w:rsidRPr="00814C24">
        <w:rPr>
          <w:color w:val="000000" w:themeColor="text1"/>
          <w:sz w:val="24"/>
          <w:szCs w:val="24"/>
          <w:lang w:val="fr-FR"/>
        </w:rPr>
        <w:t>habitatelor</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precum</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și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presiuni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identificate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informațiile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astfel</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colectate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intră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într</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r w:rsidRPr="00814C24">
        <w:rPr>
          <w:color w:val="000000" w:themeColor="text1"/>
          <w:sz w:val="24"/>
          <w:szCs w:val="24"/>
          <w:lang w:val="fr-FR"/>
        </w:rPr>
        <w:t xml:space="preserve">un </w:t>
      </w:r>
      <w:proofErr w:type="spellStart"/>
      <w:r w:rsidRPr="00814C24">
        <w:rPr>
          <w:color w:val="000000" w:themeColor="text1"/>
          <w:sz w:val="24"/>
          <w:szCs w:val="24"/>
          <w:lang w:val="fr-FR"/>
        </w:rPr>
        <w:t>prim</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proces</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agregare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primul</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nivel</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care </w:t>
      </w:r>
      <w:proofErr w:type="spellStart"/>
      <w:r w:rsidRPr="00814C24">
        <w:rPr>
          <w:color w:val="000000" w:themeColor="text1"/>
          <w:sz w:val="24"/>
          <w:szCs w:val="24"/>
          <w:lang w:val="fr-FR"/>
        </w:rPr>
        <w:t>fiecare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fișă</w:t>
      </w:r>
      <w:proofErr w:type="spellEnd"/>
      <w:r w:rsidRPr="00814C24">
        <w:rPr>
          <w:color w:val="000000" w:themeColor="text1"/>
          <w:sz w:val="24"/>
          <w:szCs w:val="24"/>
          <w:lang w:val="fr-FR"/>
        </w:rPr>
        <w:t xml:space="preserve"> are </w:t>
      </w:r>
      <w:proofErr w:type="spellStart"/>
      <w:r w:rsidRPr="00814C24">
        <w:rPr>
          <w:color w:val="000000" w:themeColor="text1"/>
          <w:sz w:val="24"/>
          <w:szCs w:val="24"/>
          <w:lang w:val="fr-FR"/>
        </w:rPr>
        <w:t>asociat</w:t>
      </w:r>
      <w:proofErr w:type="spellEnd"/>
      <w:r w:rsidRPr="00814C24">
        <w:rPr>
          <w:color w:val="000000" w:themeColor="text1"/>
          <w:sz w:val="24"/>
          <w:szCs w:val="24"/>
          <w:lang w:val="fr-FR"/>
        </w:rPr>
        <w:t xml:space="preserve"> o </w:t>
      </w:r>
      <w:proofErr w:type="spellStart"/>
      <w:r w:rsidRPr="00814C24">
        <w:rPr>
          <w:color w:val="000000" w:themeColor="text1"/>
          <w:sz w:val="24"/>
          <w:szCs w:val="24"/>
          <w:lang w:val="fr-FR"/>
        </w:rPr>
        <w:t>localizare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stațială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cu</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precizie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metrică</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(1-3</w:t>
      </w:r>
      <w:r w:rsidRPr="00814C24">
        <w:rPr>
          <w:color w:val="000000" w:themeColor="text1"/>
          <w:spacing w:val="1"/>
          <w:sz w:val="24"/>
          <w:szCs w:val="24"/>
          <w:lang w:val="fr-FR"/>
        </w:rPr>
        <w:t xml:space="preserve"> </w:t>
      </w:r>
      <w:r w:rsidRPr="00814C24">
        <w:rPr>
          <w:color w:val="000000" w:themeColor="text1"/>
          <w:sz w:val="24"/>
          <w:szCs w:val="24"/>
          <w:lang w:val="fr-FR"/>
        </w:rPr>
        <w:t>m)</w:t>
      </w:r>
      <w:r w:rsidRPr="00814C24">
        <w:rPr>
          <w:color w:val="000000" w:themeColor="text1"/>
          <w:spacing w:val="1"/>
          <w:sz w:val="24"/>
          <w:szCs w:val="24"/>
          <w:lang w:val="fr-FR"/>
        </w:rPr>
        <w:t xml:space="preserve"> </w:t>
      </w:r>
      <w:r w:rsidRPr="00814C24">
        <w:rPr>
          <w:color w:val="000000" w:themeColor="text1"/>
          <w:sz w:val="24"/>
          <w:szCs w:val="24"/>
          <w:lang w:val="fr-FR"/>
        </w:rPr>
        <w:t>se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agregă</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într</w:t>
      </w:r>
      <w:proofErr w:type="spellEnd"/>
      <w:r w:rsidRPr="00814C24">
        <w:rPr>
          <w:color w:val="000000" w:themeColor="text1"/>
          <w:sz w:val="24"/>
          <w:szCs w:val="24"/>
          <w:lang w:val="fr-FR"/>
        </w:rPr>
        <w:t>-un</w:t>
      </w:r>
      <w:r w:rsidRPr="00814C24">
        <w:rPr>
          <w:color w:val="000000" w:themeColor="text1"/>
          <w:spacing w:val="1"/>
          <w:sz w:val="24"/>
          <w:szCs w:val="24"/>
          <w:lang w:val="fr-FR"/>
        </w:rPr>
        <w:t xml:space="preserve"> </w:t>
      </w:r>
      <w:r w:rsidRPr="00814C24">
        <w:rPr>
          <w:color w:val="000000" w:themeColor="text1"/>
          <w:sz w:val="24"/>
          <w:szCs w:val="24"/>
          <w:lang w:val="fr-FR"/>
        </w:rPr>
        <w:t>plot</w:t>
      </w:r>
      <w:r w:rsidRPr="00814C24">
        <w:rPr>
          <w:color w:val="000000" w:themeColor="text1"/>
          <w:spacing w:val="1"/>
          <w:sz w:val="24"/>
          <w:szCs w:val="24"/>
          <w:lang w:val="fr-FR"/>
        </w:rPr>
        <w:t xml:space="preserve"> </w:t>
      </w:r>
      <w:r w:rsidRPr="00814C24">
        <w:rPr>
          <w:color w:val="000000" w:themeColor="text1"/>
          <w:sz w:val="24"/>
          <w:szCs w:val="24"/>
          <w:lang w:val="fr-FR"/>
        </w:rPr>
        <w:t>de</w:t>
      </w:r>
      <w:r w:rsidRPr="00814C24">
        <w:rPr>
          <w:color w:val="000000" w:themeColor="text1"/>
          <w:spacing w:val="1"/>
          <w:sz w:val="24"/>
          <w:szCs w:val="24"/>
          <w:lang w:val="fr-FR"/>
        </w:rPr>
        <w:t xml:space="preserve"> </w:t>
      </w:r>
      <w:r w:rsidRPr="00814C24">
        <w:rPr>
          <w:color w:val="000000" w:themeColor="text1"/>
          <w:sz w:val="24"/>
          <w:szCs w:val="24"/>
          <w:lang w:val="fr-FR"/>
        </w:rPr>
        <w:t>10</w:t>
      </w:r>
      <w:r w:rsidRPr="00814C24">
        <w:rPr>
          <w:color w:val="000000" w:themeColor="text1"/>
          <w:spacing w:val="1"/>
          <w:sz w:val="24"/>
          <w:szCs w:val="24"/>
          <w:lang w:val="fr-FR"/>
        </w:rPr>
        <w:t xml:space="preserve"> </w:t>
      </w:r>
      <w:r w:rsidRPr="00814C24">
        <w:rPr>
          <w:color w:val="000000" w:themeColor="text1"/>
          <w:sz w:val="24"/>
          <w:szCs w:val="24"/>
          <w:lang w:val="fr-FR"/>
        </w:rPr>
        <w:t>x</w:t>
      </w:r>
      <w:r w:rsidRPr="00814C24">
        <w:rPr>
          <w:color w:val="000000" w:themeColor="text1"/>
          <w:spacing w:val="1"/>
          <w:sz w:val="24"/>
          <w:szCs w:val="24"/>
          <w:lang w:val="fr-FR"/>
        </w:rPr>
        <w:t xml:space="preserve"> </w:t>
      </w:r>
      <w:r w:rsidRPr="00814C24">
        <w:rPr>
          <w:color w:val="000000" w:themeColor="text1"/>
          <w:sz w:val="24"/>
          <w:szCs w:val="24"/>
          <w:lang w:val="fr-FR"/>
        </w:rPr>
        <w:t>10</w:t>
      </w:r>
      <w:r w:rsidRPr="00814C24">
        <w:rPr>
          <w:color w:val="000000" w:themeColor="text1"/>
          <w:spacing w:val="1"/>
          <w:sz w:val="24"/>
          <w:szCs w:val="24"/>
          <w:lang w:val="fr-FR"/>
        </w:rPr>
        <w:t xml:space="preserve"> </w:t>
      </w:r>
      <w:r w:rsidRPr="00814C24">
        <w:rPr>
          <w:color w:val="000000" w:themeColor="text1"/>
          <w:sz w:val="24"/>
          <w:szCs w:val="24"/>
          <w:lang w:val="fr-FR"/>
        </w:rPr>
        <w:t>km.</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Această</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agregare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permite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caracterizarea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variabilității</w:t>
      </w:r>
      <w:proofErr w:type="spellEnd"/>
      <w:r w:rsidRPr="00814C24">
        <w:rPr>
          <w:color w:val="000000" w:themeColor="text1"/>
          <w:sz w:val="24"/>
          <w:szCs w:val="24"/>
          <w:lang w:val="fr-FR"/>
        </w:rPr>
        <w:t xml:space="preserve"> interne a </w:t>
      </w:r>
      <w:proofErr w:type="spellStart"/>
      <w:r w:rsidRPr="00814C24">
        <w:rPr>
          <w:color w:val="000000" w:themeColor="text1"/>
          <w:sz w:val="24"/>
          <w:szCs w:val="24"/>
          <w:lang w:val="fr-FR"/>
        </w:rPr>
        <w:t>habitatului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țintă</w:t>
      </w:r>
      <w:proofErr w:type="spellEnd"/>
      <w:r w:rsidRPr="00814C24">
        <w:rPr>
          <w:color w:val="000000" w:themeColor="text1"/>
          <w:sz w:val="24"/>
          <w:szCs w:val="24"/>
          <w:lang w:val="fr-FR"/>
        </w:rPr>
        <w:t xml:space="preserve"> la </w:t>
      </w:r>
      <w:proofErr w:type="spellStart"/>
      <w:r w:rsidRPr="00814C24">
        <w:rPr>
          <w:color w:val="000000" w:themeColor="text1"/>
          <w:sz w:val="24"/>
          <w:szCs w:val="24"/>
          <w:lang w:val="fr-FR"/>
        </w:rPr>
        <w:t>nivelul</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unui</w:t>
      </w:r>
      <w:proofErr w:type="spellEnd"/>
      <w:r w:rsidRPr="00814C24">
        <w:rPr>
          <w:color w:val="000000" w:themeColor="text1"/>
          <w:sz w:val="24"/>
          <w:szCs w:val="24"/>
          <w:lang w:val="fr-FR"/>
        </w:rPr>
        <w:t xml:space="preserve"> plot. </w:t>
      </w:r>
      <w:proofErr w:type="spellStart"/>
      <w:r w:rsidRPr="00814C24">
        <w:rPr>
          <w:color w:val="000000" w:themeColor="text1"/>
          <w:sz w:val="24"/>
          <w:szCs w:val="24"/>
          <w:lang w:val="fr-FR"/>
        </w:rPr>
        <w:t>Plotul</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reprezintă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unitatea</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de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bază</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pentru</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evaluare</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Metodele</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de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evaluare</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se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realizează</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fie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prin</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evaluarea</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completă</w:t>
      </w:r>
      <w:proofErr w:type="spellEnd"/>
      <w:r w:rsidRPr="00814C24">
        <w:rPr>
          <w:color w:val="000000" w:themeColor="text1"/>
          <w:spacing w:val="60"/>
          <w:sz w:val="24"/>
          <w:szCs w:val="24"/>
          <w:lang w:val="fr-FR"/>
        </w:rPr>
        <w:t xml:space="preserve"> </w:t>
      </w:r>
      <w:r w:rsidRPr="00814C24">
        <w:rPr>
          <w:color w:val="000000" w:themeColor="text1"/>
          <w:sz w:val="24"/>
          <w:szCs w:val="24"/>
          <w:lang w:val="fr-FR"/>
        </w:rPr>
        <w:t>a</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habitatului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țintă</w:t>
      </w:r>
      <w:proofErr w:type="spellEnd"/>
      <w:r w:rsidRPr="00814C24">
        <w:rPr>
          <w:color w:val="000000" w:themeColor="text1"/>
          <w:sz w:val="24"/>
          <w:szCs w:val="24"/>
          <w:lang w:val="fr-FR"/>
        </w:rPr>
        <w:t xml:space="preserve"> (3 = Complete </w:t>
      </w:r>
      <w:proofErr w:type="spellStart"/>
      <w:r w:rsidRPr="00814C24">
        <w:rPr>
          <w:color w:val="000000" w:themeColor="text1"/>
          <w:sz w:val="24"/>
          <w:szCs w:val="24"/>
          <w:lang w:val="fr-FR"/>
        </w:rPr>
        <w:t>survey</w:t>
      </w:r>
      <w:proofErr w:type="spellEnd"/>
      <w:r w:rsidRPr="00814C24">
        <w:rPr>
          <w:color w:val="000000" w:themeColor="text1"/>
          <w:sz w:val="24"/>
          <w:szCs w:val="24"/>
          <w:lang w:val="fr-FR"/>
        </w:rPr>
        <w:t xml:space="preserve"> or a </w:t>
      </w:r>
      <w:proofErr w:type="spellStart"/>
      <w:r w:rsidRPr="00814C24">
        <w:rPr>
          <w:color w:val="000000" w:themeColor="text1"/>
          <w:sz w:val="24"/>
          <w:szCs w:val="24"/>
          <w:lang w:val="fr-FR"/>
        </w:rPr>
        <w:t>statistically</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robust</w:t>
      </w:r>
      <w:proofErr w:type="spellEnd"/>
      <w:r w:rsidRPr="00814C24">
        <w:rPr>
          <w:color w:val="000000" w:themeColor="text1"/>
          <w:spacing w:val="60"/>
          <w:sz w:val="24"/>
          <w:szCs w:val="24"/>
          <w:lang w:val="fr-FR"/>
        </w:rPr>
        <w:t xml:space="preserve"> </w:t>
      </w:r>
      <w:proofErr w:type="spellStart"/>
      <w:r w:rsidRPr="00814C24">
        <w:rPr>
          <w:color w:val="000000" w:themeColor="text1"/>
          <w:sz w:val="24"/>
          <w:szCs w:val="24"/>
          <w:lang w:val="fr-FR"/>
        </w:rPr>
        <w:t>estimate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când</w:t>
      </w:r>
      <w:proofErr w:type="spellEnd"/>
      <w:r w:rsidRPr="00814C24">
        <w:rPr>
          <w:color w:val="000000" w:themeColor="text1"/>
          <w:sz w:val="24"/>
          <w:szCs w:val="24"/>
          <w:lang w:val="fr-FR"/>
        </w:rPr>
        <w:t xml:space="preserve"> se </w:t>
      </w:r>
      <w:proofErr w:type="spellStart"/>
      <w:r w:rsidRPr="00814C24">
        <w:rPr>
          <w:color w:val="000000" w:themeColor="text1"/>
          <w:sz w:val="24"/>
          <w:szCs w:val="24"/>
          <w:lang w:val="fr-FR"/>
        </w:rPr>
        <w:t>evaluează</w:t>
      </w:r>
      <w:proofErr w:type="spellEnd"/>
      <w:r w:rsidRPr="00814C24">
        <w:rPr>
          <w:color w:val="000000" w:themeColor="text1"/>
          <w:sz w:val="24"/>
          <w:szCs w:val="24"/>
          <w:lang w:val="fr-FR"/>
        </w:rPr>
        <w:t xml:space="preserve"> un</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număr</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ploturi</w:t>
      </w:r>
      <w:proofErr w:type="spellEnd"/>
      <w:r w:rsidRPr="00814C24">
        <w:rPr>
          <w:color w:val="000000" w:themeColor="text1"/>
          <w:sz w:val="24"/>
          <w:szCs w:val="24"/>
          <w:lang w:val="fr-FR"/>
        </w:rPr>
        <w:t xml:space="preserve"> mai </w:t>
      </w:r>
      <w:proofErr w:type="spellStart"/>
      <w:r w:rsidRPr="00814C24">
        <w:rPr>
          <w:color w:val="000000" w:themeColor="text1"/>
          <w:sz w:val="24"/>
          <w:szCs w:val="24"/>
          <w:lang w:val="fr-FR"/>
        </w:rPr>
        <w:t>mic</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decât</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numărul</w:t>
      </w:r>
      <w:proofErr w:type="spellEnd"/>
      <w:r w:rsidRPr="00814C24">
        <w:rPr>
          <w:color w:val="000000" w:themeColor="text1"/>
          <w:sz w:val="24"/>
          <w:szCs w:val="24"/>
          <w:lang w:val="fr-FR"/>
        </w:rPr>
        <w:t xml:space="preserve"> total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care </w:t>
      </w:r>
      <w:proofErr w:type="spellStart"/>
      <w:r w:rsidRPr="00814C24">
        <w:rPr>
          <w:color w:val="000000" w:themeColor="text1"/>
          <w:sz w:val="24"/>
          <w:szCs w:val="24"/>
          <w:lang w:val="fr-FR"/>
        </w:rPr>
        <w:t>avem</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habitatul</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confirmat</w:t>
      </w:r>
      <w:proofErr w:type="spellEnd"/>
      <w:r w:rsidRPr="00814C24">
        <w:rPr>
          <w:color w:val="000000" w:themeColor="text1"/>
          <w:sz w:val="24"/>
          <w:szCs w:val="24"/>
          <w:lang w:val="fr-FR"/>
        </w:rPr>
        <w:t xml:space="preserve"> (2= </w:t>
      </w:r>
      <w:proofErr w:type="spellStart"/>
      <w:r w:rsidRPr="00814C24">
        <w:rPr>
          <w:color w:val="000000" w:themeColor="text1"/>
          <w:sz w:val="24"/>
          <w:szCs w:val="24"/>
          <w:lang w:val="fr-FR"/>
        </w:rPr>
        <w:t>Estimate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based</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 xml:space="preserve">on partial data </w:t>
      </w:r>
      <w:proofErr w:type="spellStart"/>
      <w:r w:rsidRPr="00814C24">
        <w:rPr>
          <w:color w:val="000000" w:themeColor="text1"/>
          <w:sz w:val="24"/>
          <w:szCs w:val="24"/>
          <w:lang w:val="fr-FR"/>
        </w:rPr>
        <w:t>with</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some</w:t>
      </w:r>
      <w:proofErr w:type="spellEnd"/>
      <w:r w:rsidRPr="00814C24">
        <w:rPr>
          <w:color w:val="000000" w:themeColor="text1"/>
          <w:sz w:val="24"/>
          <w:szCs w:val="24"/>
          <w:lang w:val="fr-FR"/>
        </w:rPr>
        <w:t xml:space="preserve"> extrapolation and/or </w:t>
      </w:r>
      <w:proofErr w:type="spellStart"/>
      <w:r w:rsidRPr="00814C24">
        <w:rPr>
          <w:color w:val="000000" w:themeColor="text1"/>
          <w:sz w:val="24"/>
          <w:szCs w:val="24"/>
          <w:lang w:val="fr-FR"/>
        </w:rPr>
        <w:t>modelling</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când</w:t>
      </w:r>
      <w:proofErr w:type="spellEnd"/>
      <w:r w:rsidRPr="00814C24">
        <w:rPr>
          <w:color w:val="000000" w:themeColor="text1"/>
          <w:sz w:val="24"/>
          <w:szCs w:val="24"/>
          <w:lang w:val="fr-FR"/>
        </w:rPr>
        <w:t xml:space="preserve"> se </w:t>
      </w:r>
      <w:proofErr w:type="spellStart"/>
      <w:r w:rsidRPr="00814C24">
        <w:rPr>
          <w:color w:val="000000" w:themeColor="text1"/>
          <w:sz w:val="24"/>
          <w:szCs w:val="24"/>
          <w:lang w:val="fr-FR"/>
        </w:rPr>
        <w:t>evaluează</w:t>
      </w:r>
      <w:proofErr w:type="spellEnd"/>
      <w:r w:rsidRPr="00814C24">
        <w:rPr>
          <w:color w:val="000000" w:themeColor="text1"/>
          <w:sz w:val="24"/>
          <w:szCs w:val="24"/>
          <w:lang w:val="fr-FR"/>
        </w:rPr>
        <w:t xml:space="preserve"> un </w:t>
      </w:r>
      <w:proofErr w:type="spellStart"/>
      <w:r w:rsidRPr="00814C24">
        <w:rPr>
          <w:color w:val="000000" w:themeColor="text1"/>
          <w:sz w:val="24"/>
          <w:szCs w:val="24"/>
          <w:lang w:val="fr-FR"/>
        </w:rPr>
        <w:t>număr</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foarte</w:t>
      </w:r>
      <w:proofErr w:type="spellEnd"/>
      <w:r w:rsidRPr="00814C24">
        <w:rPr>
          <w:color w:val="000000" w:themeColor="text1"/>
          <w:sz w:val="24"/>
          <w:szCs w:val="24"/>
          <w:lang w:val="fr-FR"/>
        </w:rPr>
        <w:t xml:space="preserve"> redus</w:t>
      </w:r>
      <w:r w:rsidRPr="00814C24">
        <w:rPr>
          <w:color w:val="000000" w:themeColor="text1"/>
          <w:spacing w:val="1"/>
          <w:sz w:val="24"/>
          <w:szCs w:val="24"/>
          <w:lang w:val="fr-FR"/>
        </w:rPr>
        <w:t xml:space="preserve"> </w:t>
      </w:r>
      <w:r w:rsidRPr="00814C24">
        <w:rPr>
          <w:color w:val="000000" w:themeColor="text1"/>
          <w:sz w:val="24"/>
          <w:szCs w:val="24"/>
          <w:lang w:val="fr-FR"/>
        </w:rPr>
        <w:t xml:space="preserve">de </w:t>
      </w:r>
      <w:proofErr w:type="spellStart"/>
      <w:r w:rsidRPr="00814C24">
        <w:rPr>
          <w:color w:val="000000" w:themeColor="text1"/>
          <w:sz w:val="24"/>
          <w:szCs w:val="24"/>
          <w:lang w:val="fr-FR"/>
        </w:rPr>
        <w:t>ploturi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și</w:t>
      </w:r>
      <w:proofErr w:type="spellEnd"/>
      <w:r w:rsidRPr="00814C24">
        <w:rPr>
          <w:color w:val="000000" w:themeColor="text1"/>
          <w:sz w:val="24"/>
          <w:szCs w:val="24"/>
          <w:lang w:val="fr-FR"/>
        </w:rPr>
        <w:t xml:space="preserve"> se </w:t>
      </w:r>
      <w:proofErr w:type="spellStart"/>
      <w:r w:rsidRPr="00814C24">
        <w:rPr>
          <w:color w:val="000000" w:themeColor="text1"/>
          <w:sz w:val="24"/>
          <w:szCs w:val="24"/>
          <w:lang w:val="fr-FR"/>
        </w:rPr>
        <w:t>utilizează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părerea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expertului</w:t>
      </w:r>
      <w:proofErr w:type="spellEnd"/>
      <w:r w:rsidRPr="00814C24">
        <w:rPr>
          <w:color w:val="000000" w:themeColor="text1"/>
          <w:sz w:val="24"/>
          <w:szCs w:val="24"/>
          <w:lang w:val="fr-FR"/>
        </w:rPr>
        <w:t xml:space="preserve"> (1 = </w:t>
      </w:r>
      <w:proofErr w:type="spellStart"/>
      <w:r w:rsidRPr="00814C24">
        <w:rPr>
          <w:color w:val="000000" w:themeColor="text1"/>
          <w:sz w:val="24"/>
          <w:szCs w:val="24"/>
          <w:lang w:val="fr-FR"/>
        </w:rPr>
        <w:t>Estimate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based</w:t>
      </w:r>
      <w:proofErr w:type="spellEnd"/>
      <w:r w:rsidRPr="00814C24">
        <w:rPr>
          <w:color w:val="000000" w:themeColor="text1"/>
          <w:sz w:val="24"/>
          <w:szCs w:val="24"/>
          <w:lang w:val="fr-FR"/>
        </w:rPr>
        <w:t xml:space="preserve"> on expert opinion </w:t>
      </w:r>
      <w:proofErr w:type="spellStart"/>
      <w:r w:rsidRPr="00814C24">
        <w:rPr>
          <w:color w:val="000000" w:themeColor="text1"/>
          <w:sz w:val="24"/>
          <w:szCs w:val="24"/>
          <w:lang w:val="fr-FR"/>
        </w:rPr>
        <w:t>with</w:t>
      </w:r>
      <w:proofErr w:type="spellEnd"/>
      <w:r w:rsidRPr="00814C24">
        <w:rPr>
          <w:color w:val="000000" w:themeColor="text1"/>
          <w:sz w:val="24"/>
          <w:szCs w:val="24"/>
          <w:lang w:val="fr-FR"/>
        </w:rPr>
        <w:t xml:space="preserve"> no or</w:t>
      </w:r>
      <w:r w:rsidRPr="00814C24">
        <w:rPr>
          <w:color w:val="000000" w:themeColor="text1"/>
          <w:spacing w:val="1"/>
          <w:sz w:val="24"/>
          <w:szCs w:val="24"/>
          <w:lang w:val="fr-FR"/>
        </w:rPr>
        <w:t xml:space="preserve"> </w:t>
      </w:r>
      <w:r w:rsidRPr="00814C24">
        <w:rPr>
          <w:color w:val="000000" w:themeColor="text1"/>
          <w:sz w:val="24"/>
          <w:szCs w:val="24"/>
          <w:lang w:val="fr-FR"/>
        </w:rPr>
        <w:t>minimal</w:t>
      </w:r>
      <w:r w:rsidRPr="00814C24">
        <w:rPr>
          <w:color w:val="000000" w:themeColor="text1"/>
          <w:spacing w:val="1"/>
          <w:sz w:val="24"/>
          <w:szCs w:val="24"/>
          <w:lang w:val="fr-FR"/>
        </w:rPr>
        <w:t xml:space="preserve"> </w:t>
      </w:r>
      <w:r w:rsidRPr="00814C24">
        <w:rPr>
          <w:color w:val="000000" w:themeColor="text1"/>
          <w:sz w:val="24"/>
          <w:szCs w:val="24"/>
          <w:lang w:val="fr-FR"/>
        </w:rPr>
        <w:t>sampling);</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atunci</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când</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nu</w:t>
      </w:r>
      <w:r w:rsidRPr="00814C24">
        <w:rPr>
          <w:color w:val="000000" w:themeColor="text1"/>
          <w:spacing w:val="1"/>
          <w:sz w:val="24"/>
          <w:szCs w:val="24"/>
          <w:lang w:val="fr-FR"/>
        </w:rPr>
        <w:t xml:space="preserve"> </w:t>
      </w:r>
      <w:r w:rsidRPr="00814C24">
        <w:rPr>
          <w:color w:val="000000" w:themeColor="text1"/>
          <w:sz w:val="24"/>
          <w:szCs w:val="24"/>
          <w:lang w:val="fr-FR"/>
        </w:rPr>
        <w:t>se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evaluează</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nici</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un</w:t>
      </w:r>
      <w:r w:rsidRPr="00814C24">
        <w:rPr>
          <w:color w:val="000000" w:themeColor="text1"/>
          <w:spacing w:val="1"/>
          <w:sz w:val="24"/>
          <w:szCs w:val="24"/>
          <w:lang w:val="fr-FR"/>
        </w:rPr>
        <w:t xml:space="preserve"> </w:t>
      </w:r>
      <w:r w:rsidRPr="00814C24">
        <w:rPr>
          <w:color w:val="000000" w:themeColor="text1"/>
          <w:sz w:val="24"/>
          <w:szCs w:val="24"/>
          <w:lang w:val="fr-FR"/>
        </w:rPr>
        <w:t>plot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raport</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se</w:t>
      </w:r>
      <w:r w:rsidRPr="00814C24">
        <w:rPr>
          <w:color w:val="000000" w:themeColor="text1"/>
          <w:spacing w:val="1"/>
          <w:sz w:val="24"/>
          <w:szCs w:val="24"/>
          <w:lang w:val="fr-FR"/>
        </w:rPr>
        <w:t xml:space="preserve"> </w:t>
      </w:r>
      <w:r w:rsidRPr="00814C24">
        <w:rPr>
          <w:color w:val="000000" w:themeColor="text1"/>
          <w:sz w:val="24"/>
          <w:szCs w:val="24"/>
          <w:lang w:val="fr-FR"/>
        </w:rPr>
        <w:t>va</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menționa</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„date</w:t>
      </w:r>
      <w:r w:rsidRPr="00814C24">
        <w:rPr>
          <w:color w:val="000000" w:themeColor="text1"/>
          <w:spacing w:val="-57"/>
          <w:sz w:val="24"/>
          <w:szCs w:val="24"/>
          <w:lang w:val="fr-FR"/>
        </w:rPr>
        <w:t xml:space="preserve"> </w:t>
      </w:r>
      <w:proofErr w:type="spellStart"/>
      <w:r w:rsidRPr="00814C24">
        <w:rPr>
          <w:color w:val="000000" w:themeColor="text1"/>
          <w:sz w:val="24"/>
          <w:szCs w:val="24"/>
          <w:lang w:val="fr-FR"/>
        </w:rPr>
        <w:t>inexistente</w:t>
      </w:r>
      <w:proofErr w:type="spellEnd"/>
      <w:r w:rsidRPr="00814C24">
        <w:rPr>
          <w:color w:val="000000" w:themeColor="text1"/>
          <w:sz w:val="24"/>
          <w:szCs w:val="24"/>
          <w:lang w:val="fr-FR"/>
        </w:rPr>
        <w:t>”</w:t>
      </w:r>
      <w:r w:rsidRPr="00814C24">
        <w:rPr>
          <w:color w:val="000000" w:themeColor="text1"/>
          <w:spacing w:val="-3"/>
          <w:sz w:val="24"/>
          <w:szCs w:val="24"/>
          <w:lang w:val="fr-FR"/>
        </w:rPr>
        <w:t xml:space="preserve"> </w:t>
      </w:r>
      <w:r w:rsidRPr="00814C24">
        <w:rPr>
          <w:color w:val="000000" w:themeColor="text1"/>
          <w:sz w:val="24"/>
          <w:szCs w:val="24"/>
          <w:lang w:val="fr-FR"/>
        </w:rPr>
        <w:t>(0 =</w:t>
      </w:r>
      <w:r w:rsidRPr="00814C24">
        <w:rPr>
          <w:color w:val="000000" w:themeColor="text1"/>
          <w:spacing w:val="-1"/>
          <w:sz w:val="24"/>
          <w:szCs w:val="24"/>
          <w:lang w:val="fr-FR"/>
        </w:rPr>
        <w:t xml:space="preserve"> </w:t>
      </w:r>
      <w:r w:rsidRPr="00814C24">
        <w:rPr>
          <w:color w:val="000000" w:themeColor="text1"/>
          <w:sz w:val="24"/>
          <w:szCs w:val="24"/>
          <w:lang w:val="fr-FR"/>
        </w:rPr>
        <w:t>Absent</w:t>
      </w:r>
      <w:r w:rsidRPr="00814C24">
        <w:rPr>
          <w:color w:val="000000" w:themeColor="text1"/>
          <w:spacing w:val="2"/>
          <w:sz w:val="24"/>
          <w:szCs w:val="24"/>
          <w:lang w:val="fr-FR"/>
        </w:rPr>
        <w:t xml:space="preserve"> </w:t>
      </w:r>
      <w:r w:rsidRPr="00814C24">
        <w:rPr>
          <w:color w:val="000000" w:themeColor="text1"/>
          <w:sz w:val="24"/>
          <w:szCs w:val="24"/>
          <w:lang w:val="fr-FR"/>
        </w:rPr>
        <w:t>data).</w:t>
      </w:r>
    </w:p>
    <w:p w14:paraId="7B2B46AD" w14:textId="77777777" w:rsidR="006735BF" w:rsidRPr="00814C24" w:rsidRDefault="006735BF" w:rsidP="008E33FD">
      <w:pPr>
        <w:pStyle w:val="BodyText"/>
        <w:jc w:val="both"/>
        <w:rPr>
          <w:color w:val="000000" w:themeColor="text1"/>
          <w:sz w:val="24"/>
          <w:szCs w:val="24"/>
          <w:lang w:val="fr-FR"/>
        </w:rPr>
      </w:pPr>
    </w:p>
    <w:p w14:paraId="464343D3" w14:textId="77777777" w:rsidR="006735BF" w:rsidRPr="00814C24" w:rsidRDefault="006735BF" w:rsidP="008E33FD">
      <w:pPr>
        <w:pStyle w:val="BodyText"/>
        <w:jc w:val="both"/>
        <w:rPr>
          <w:color w:val="000000" w:themeColor="text1"/>
          <w:sz w:val="24"/>
          <w:szCs w:val="24"/>
          <w:lang w:val="fr-FR"/>
        </w:rPr>
      </w:pPr>
    </w:p>
    <w:p w14:paraId="1D8DD27E" w14:textId="77777777" w:rsidR="006735BF" w:rsidRPr="00814C24" w:rsidRDefault="006735BF" w:rsidP="00182DE3">
      <w:pPr>
        <w:pStyle w:val="Heading2"/>
        <w:widowControl w:val="0"/>
        <w:tabs>
          <w:tab w:val="left" w:pos="1232"/>
        </w:tabs>
        <w:autoSpaceDE w:val="0"/>
        <w:autoSpaceDN w:val="0"/>
        <w:spacing w:before="0" w:beforeAutospacing="0" w:after="0" w:afterAutospacing="0"/>
        <w:jc w:val="both"/>
        <w:rPr>
          <w:color w:val="000000" w:themeColor="text1"/>
          <w:sz w:val="24"/>
          <w:szCs w:val="24"/>
        </w:rPr>
      </w:pPr>
      <w:proofErr w:type="spellStart"/>
      <w:r w:rsidRPr="00814C24">
        <w:rPr>
          <w:color w:val="000000" w:themeColor="text1"/>
          <w:sz w:val="24"/>
          <w:szCs w:val="24"/>
        </w:rPr>
        <w:t>Evaluarea</w:t>
      </w:r>
      <w:proofErr w:type="spellEnd"/>
      <w:r w:rsidRPr="00814C24">
        <w:rPr>
          <w:color w:val="000000" w:themeColor="text1"/>
          <w:spacing w:val="-4"/>
          <w:sz w:val="24"/>
          <w:szCs w:val="24"/>
        </w:rPr>
        <w:t xml:space="preserve"> </w:t>
      </w:r>
      <w:proofErr w:type="spellStart"/>
      <w:r w:rsidRPr="00814C24">
        <w:rPr>
          <w:color w:val="000000" w:themeColor="text1"/>
          <w:sz w:val="24"/>
          <w:szCs w:val="24"/>
        </w:rPr>
        <w:t>stării</w:t>
      </w:r>
      <w:proofErr w:type="spellEnd"/>
      <w:r w:rsidRPr="00814C24">
        <w:rPr>
          <w:color w:val="000000" w:themeColor="text1"/>
          <w:spacing w:val="-5"/>
          <w:sz w:val="24"/>
          <w:szCs w:val="24"/>
        </w:rPr>
        <w:t xml:space="preserve"> </w:t>
      </w:r>
      <w:r w:rsidRPr="00814C24">
        <w:rPr>
          <w:color w:val="000000" w:themeColor="text1"/>
          <w:sz w:val="24"/>
          <w:szCs w:val="24"/>
        </w:rPr>
        <w:t>de</w:t>
      </w:r>
      <w:r w:rsidRPr="00814C24">
        <w:rPr>
          <w:color w:val="000000" w:themeColor="text1"/>
          <w:spacing w:val="-4"/>
          <w:sz w:val="24"/>
          <w:szCs w:val="24"/>
        </w:rPr>
        <w:t xml:space="preserve"> </w:t>
      </w:r>
      <w:proofErr w:type="spellStart"/>
      <w:r w:rsidRPr="00814C24">
        <w:rPr>
          <w:color w:val="000000" w:themeColor="text1"/>
          <w:sz w:val="24"/>
          <w:szCs w:val="24"/>
        </w:rPr>
        <w:t>conservare</w:t>
      </w:r>
      <w:proofErr w:type="spellEnd"/>
      <w:r w:rsidRPr="00814C24">
        <w:rPr>
          <w:color w:val="000000" w:themeColor="text1"/>
          <w:spacing w:val="-4"/>
          <w:sz w:val="24"/>
          <w:szCs w:val="24"/>
        </w:rPr>
        <w:t xml:space="preserve"> </w:t>
      </w:r>
      <w:r w:rsidRPr="00814C24">
        <w:rPr>
          <w:color w:val="000000" w:themeColor="text1"/>
          <w:sz w:val="24"/>
          <w:szCs w:val="24"/>
        </w:rPr>
        <w:t>pe</w:t>
      </w:r>
      <w:r w:rsidRPr="00814C24">
        <w:rPr>
          <w:color w:val="000000" w:themeColor="text1"/>
          <w:spacing w:val="-4"/>
          <w:sz w:val="24"/>
          <w:szCs w:val="24"/>
        </w:rPr>
        <w:t xml:space="preserve"> </w:t>
      </w:r>
      <w:proofErr w:type="spellStart"/>
      <w:r w:rsidRPr="00814C24">
        <w:rPr>
          <w:color w:val="000000" w:themeColor="text1"/>
          <w:sz w:val="24"/>
          <w:szCs w:val="24"/>
        </w:rPr>
        <w:t>bioregiune</w:t>
      </w:r>
      <w:proofErr w:type="spellEnd"/>
    </w:p>
    <w:p w14:paraId="64D0E145" w14:textId="77777777" w:rsidR="006735BF" w:rsidRPr="00814C24" w:rsidRDefault="006735BF" w:rsidP="00182DE3">
      <w:pPr>
        <w:pStyle w:val="BodyText"/>
        <w:spacing w:before="157"/>
        <w:ind w:left="0" w:right="14"/>
        <w:jc w:val="both"/>
        <w:rPr>
          <w:color w:val="000000" w:themeColor="text1"/>
          <w:sz w:val="24"/>
          <w:szCs w:val="24"/>
        </w:rPr>
      </w:pPr>
      <w:proofErr w:type="spellStart"/>
      <w:r w:rsidRPr="00814C24">
        <w:rPr>
          <w:color w:val="000000" w:themeColor="text1"/>
          <w:sz w:val="24"/>
          <w:szCs w:val="24"/>
        </w:rPr>
        <w:t>Evaluarea</w:t>
      </w:r>
      <w:proofErr w:type="spellEnd"/>
      <w:r w:rsidRPr="00814C24">
        <w:rPr>
          <w:color w:val="000000" w:themeColor="text1"/>
          <w:sz w:val="24"/>
          <w:szCs w:val="24"/>
        </w:rPr>
        <w:t xml:space="preserve"> </w:t>
      </w:r>
      <w:proofErr w:type="spellStart"/>
      <w:r w:rsidRPr="00814C24">
        <w:rPr>
          <w:color w:val="000000" w:themeColor="text1"/>
          <w:sz w:val="24"/>
          <w:szCs w:val="24"/>
        </w:rPr>
        <w:t>stării</w:t>
      </w:r>
      <w:proofErr w:type="spellEnd"/>
      <w:r w:rsidRPr="00814C24">
        <w:rPr>
          <w:color w:val="000000" w:themeColor="text1"/>
          <w:sz w:val="24"/>
          <w:szCs w:val="24"/>
        </w:rPr>
        <w:t xml:space="preserve"> de </w:t>
      </w:r>
      <w:proofErr w:type="spellStart"/>
      <w:r w:rsidRPr="00814C24">
        <w:rPr>
          <w:color w:val="000000" w:themeColor="text1"/>
          <w:sz w:val="24"/>
          <w:szCs w:val="24"/>
        </w:rPr>
        <w:t>conservare</w:t>
      </w:r>
      <w:proofErr w:type="spellEnd"/>
      <w:r w:rsidRPr="00814C24">
        <w:rPr>
          <w:color w:val="000000" w:themeColor="text1"/>
          <w:sz w:val="24"/>
          <w:szCs w:val="24"/>
        </w:rPr>
        <w:t xml:space="preserve"> se </w:t>
      </w:r>
      <w:proofErr w:type="spellStart"/>
      <w:r w:rsidRPr="00814C24">
        <w:rPr>
          <w:color w:val="000000" w:themeColor="text1"/>
          <w:sz w:val="24"/>
          <w:szCs w:val="24"/>
        </w:rPr>
        <w:t>realizează</w:t>
      </w:r>
      <w:proofErr w:type="spellEnd"/>
      <w:r w:rsidRPr="00814C24">
        <w:rPr>
          <w:color w:val="000000" w:themeColor="text1"/>
          <w:sz w:val="24"/>
          <w:szCs w:val="24"/>
        </w:rPr>
        <w:t xml:space="preserve"> </w:t>
      </w:r>
      <w:proofErr w:type="spellStart"/>
      <w:r w:rsidRPr="00814C24">
        <w:rPr>
          <w:color w:val="000000" w:themeColor="text1"/>
          <w:sz w:val="24"/>
          <w:szCs w:val="24"/>
        </w:rPr>
        <w:t>într</w:t>
      </w:r>
      <w:proofErr w:type="spellEnd"/>
      <w:r w:rsidRPr="00814C24">
        <w:rPr>
          <w:color w:val="000000" w:themeColor="text1"/>
          <w:sz w:val="24"/>
          <w:szCs w:val="24"/>
        </w:rPr>
        <w:t xml:space="preserve">-un mod </w:t>
      </w:r>
      <w:proofErr w:type="spellStart"/>
      <w:r w:rsidRPr="00814C24">
        <w:rPr>
          <w:color w:val="000000" w:themeColor="text1"/>
          <w:sz w:val="24"/>
          <w:szCs w:val="24"/>
        </w:rPr>
        <w:t>gregar</w:t>
      </w:r>
      <w:proofErr w:type="spellEnd"/>
      <w:r w:rsidRPr="00814C24">
        <w:rPr>
          <w:color w:val="000000" w:themeColor="text1"/>
          <w:sz w:val="24"/>
          <w:szCs w:val="24"/>
        </w:rPr>
        <w:t xml:space="preserve"> </w:t>
      </w:r>
      <w:proofErr w:type="spellStart"/>
      <w:r w:rsidRPr="00814C24">
        <w:rPr>
          <w:color w:val="000000" w:themeColor="text1"/>
          <w:sz w:val="24"/>
          <w:szCs w:val="24"/>
        </w:rPr>
        <w:t>pentru</w:t>
      </w:r>
      <w:proofErr w:type="spellEnd"/>
      <w:r w:rsidRPr="00814C24">
        <w:rPr>
          <w:color w:val="000000" w:themeColor="text1"/>
          <w:sz w:val="24"/>
          <w:szCs w:val="24"/>
        </w:rPr>
        <w:t xml:space="preserve"> </w:t>
      </w:r>
      <w:proofErr w:type="spellStart"/>
      <w:r w:rsidRPr="00814C24">
        <w:rPr>
          <w:color w:val="000000" w:themeColor="text1"/>
          <w:sz w:val="24"/>
          <w:szCs w:val="24"/>
        </w:rPr>
        <w:t>fiecare</w:t>
      </w:r>
      <w:proofErr w:type="spellEnd"/>
      <w:r w:rsidRPr="00814C24">
        <w:rPr>
          <w:color w:val="000000" w:themeColor="text1"/>
          <w:sz w:val="24"/>
          <w:szCs w:val="24"/>
        </w:rPr>
        <w:t xml:space="preserve"> tip de habitat care a</w:t>
      </w:r>
      <w:r w:rsidRPr="00814C24">
        <w:rPr>
          <w:color w:val="000000" w:themeColor="text1"/>
          <w:spacing w:val="1"/>
          <w:sz w:val="24"/>
          <w:szCs w:val="24"/>
        </w:rPr>
        <w:t xml:space="preserve"> </w:t>
      </w:r>
      <w:proofErr w:type="spellStart"/>
      <w:r w:rsidRPr="00814C24">
        <w:rPr>
          <w:color w:val="000000" w:themeColor="text1"/>
          <w:sz w:val="24"/>
          <w:szCs w:val="24"/>
        </w:rPr>
        <w:t>fost</w:t>
      </w:r>
      <w:proofErr w:type="spellEnd"/>
      <w:r w:rsidRPr="00814C24">
        <w:rPr>
          <w:color w:val="000000" w:themeColor="text1"/>
          <w:sz w:val="24"/>
          <w:szCs w:val="24"/>
        </w:rPr>
        <w:t xml:space="preserve"> </w:t>
      </w:r>
      <w:proofErr w:type="spellStart"/>
      <w:r w:rsidRPr="00814C24">
        <w:rPr>
          <w:color w:val="000000" w:themeColor="text1"/>
          <w:sz w:val="24"/>
          <w:szCs w:val="24"/>
        </w:rPr>
        <w:t>inclus</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checklist, </w:t>
      </w:r>
      <w:proofErr w:type="spellStart"/>
      <w:r w:rsidRPr="00814C24">
        <w:rPr>
          <w:color w:val="000000" w:themeColor="text1"/>
          <w:sz w:val="24"/>
          <w:szCs w:val="24"/>
        </w:rPr>
        <w:t>raportarea</w:t>
      </w:r>
      <w:proofErr w:type="spellEnd"/>
      <w:r w:rsidRPr="00814C24">
        <w:rPr>
          <w:color w:val="000000" w:themeColor="text1"/>
          <w:sz w:val="24"/>
          <w:szCs w:val="24"/>
        </w:rPr>
        <w:t xml:space="preserve"> </w:t>
      </w:r>
      <w:proofErr w:type="spellStart"/>
      <w:r w:rsidRPr="00814C24">
        <w:rPr>
          <w:color w:val="000000" w:themeColor="text1"/>
          <w:sz w:val="24"/>
          <w:szCs w:val="24"/>
        </w:rPr>
        <w:t>realizându</w:t>
      </w:r>
      <w:proofErr w:type="spellEnd"/>
      <w:r w:rsidRPr="00814C24">
        <w:rPr>
          <w:color w:val="000000" w:themeColor="text1"/>
          <w:sz w:val="24"/>
          <w:szCs w:val="24"/>
        </w:rPr>
        <w:t xml:space="preserve">-se </w:t>
      </w:r>
      <w:proofErr w:type="spellStart"/>
      <w:r w:rsidRPr="00814C24">
        <w:rPr>
          <w:color w:val="000000" w:themeColor="text1"/>
          <w:sz w:val="24"/>
          <w:szCs w:val="24"/>
        </w:rPr>
        <w:t>pentru</w:t>
      </w:r>
      <w:proofErr w:type="spellEnd"/>
      <w:r w:rsidRPr="00814C24">
        <w:rPr>
          <w:color w:val="000000" w:themeColor="text1"/>
          <w:sz w:val="24"/>
          <w:szCs w:val="24"/>
        </w:rPr>
        <w:t xml:space="preserve"> </w:t>
      </w:r>
      <w:proofErr w:type="spellStart"/>
      <w:r w:rsidRPr="00814C24">
        <w:rPr>
          <w:color w:val="000000" w:themeColor="text1"/>
          <w:sz w:val="24"/>
          <w:szCs w:val="24"/>
        </w:rPr>
        <w:t>habitatele</w:t>
      </w:r>
      <w:proofErr w:type="spellEnd"/>
      <w:r w:rsidRPr="00814C24">
        <w:rPr>
          <w:color w:val="000000" w:themeColor="text1"/>
          <w:sz w:val="24"/>
          <w:szCs w:val="24"/>
        </w:rPr>
        <w:t xml:space="preserve"> </w:t>
      </w:r>
      <w:proofErr w:type="spellStart"/>
      <w:r w:rsidRPr="00814C24">
        <w:rPr>
          <w:color w:val="000000" w:themeColor="text1"/>
          <w:sz w:val="24"/>
          <w:szCs w:val="24"/>
        </w:rPr>
        <w:t>prezente</w:t>
      </w:r>
      <w:proofErr w:type="spellEnd"/>
      <w:r w:rsidRPr="00814C24">
        <w:rPr>
          <w:color w:val="000000" w:themeColor="text1"/>
          <w:sz w:val="24"/>
          <w:szCs w:val="24"/>
        </w:rPr>
        <w:t xml:space="preserve"> la </w:t>
      </w:r>
      <w:proofErr w:type="spellStart"/>
      <w:r w:rsidRPr="00814C24">
        <w:rPr>
          <w:color w:val="000000" w:themeColor="text1"/>
          <w:sz w:val="24"/>
          <w:szCs w:val="24"/>
        </w:rPr>
        <w:t>nivel</w:t>
      </w:r>
      <w:proofErr w:type="spellEnd"/>
      <w:r w:rsidRPr="00814C24">
        <w:rPr>
          <w:color w:val="000000" w:themeColor="text1"/>
          <w:sz w:val="24"/>
          <w:szCs w:val="24"/>
        </w:rPr>
        <w:t xml:space="preserve"> </w:t>
      </w:r>
      <w:proofErr w:type="spellStart"/>
      <w:r w:rsidRPr="00814C24">
        <w:rPr>
          <w:color w:val="000000" w:themeColor="text1"/>
          <w:sz w:val="24"/>
          <w:szCs w:val="24"/>
        </w:rPr>
        <w:t>național</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cele</w:t>
      </w:r>
      <w:proofErr w:type="spellEnd"/>
      <w:r w:rsidRPr="00814C24">
        <w:rPr>
          <w:color w:val="000000" w:themeColor="text1"/>
          <w:sz w:val="24"/>
          <w:szCs w:val="24"/>
        </w:rPr>
        <w:t xml:space="preserve"> 5</w:t>
      </w:r>
      <w:r w:rsidRPr="00814C24">
        <w:rPr>
          <w:color w:val="000000" w:themeColor="text1"/>
          <w:spacing w:val="-57"/>
          <w:sz w:val="24"/>
          <w:szCs w:val="24"/>
        </w:rPr>
        <w:t xml:space="preserve"> </w:t>
      </w:r>
      <w:proofErr w:type="spellStart"/>
      <w:r w:rsidRPr="00814C24">
        <w:rPr>
          <w:color w:val="000000" w:themeColor="text1"/>
          <w:sz w:val="24"/>
          <w:szCs w:val="24"/>
        </w:rPr>
        <w:t>bioregiuni</w:t>
      </w:r>
      <w:proofErr w:type="spellEnd"/>
      <w:r w:rsidRPr="00814C24">
        <w:rPr>
          <w:color w:val="000000" w:themeColor="text1"/>
          <w:spacing w:val="-1"/>
          <w:sz w:val="24"/>
          <w:szCs w:val="24"/>
        </w:rPr>
        <w:t xml:space="preserve"> </w:t>
      </w:r>
      <w:proofErr w:type="spellStart"/>
      <w:r w:rsidRPr="00814C24">
        <w:rPr>
          <w:color w:val="000000" w:themeColor="text1"/>
          <w:sz w:val="24"/>
          <w:szCs w:val="24"/>
        </w:rPr>
        <w:t>terestre</w:t>
      </w:r>
      <w:proofErr w:type="spellEnd"/>
      <w:r w:rsidRPr="00814C24">
        <w:rPr>
          <w:color w:val="000000" w:themeColor="text1"/>
          <w:spacing w:val="-1"/>
          <w:sz w:val="24"/>
          <w:szCs w:val="24"/>
        </w:rPr>
        <w:t xml:space="preserve"> </w:t>
      </w:r>
      <w:proofErr w:type="spellStart"/>
      <w:r w:rsidRPr="00814C24">
        <w:rPr>
          <w:color w:val="000000" w:themeColor="text1"/>
          <w:sz w:val="24"/>
          <w:szCs w:val="24"/>
        </w:rPr>
        <w:t>și</w:t>
      </w:r>
      <w:proofErr w:type="spellEnd"/>
      <w:r w:rsidRPr="00814C24">
        <w:rPr>
          <w:color w:val="000000" w:themeColor="text1"/>
          <w:spacing w:val="-1"/>
          <w:sz w:val="24"/>
          <w:szCs w:val="24"/>
        </w:rPr>
        <w:t xml:space="preserve"> </w:t>
      </w:r>
      <w:proofErr w:type="spellStart"/>
      <w:r w:rsidRPr="00814C24">
        <w:rPr>
          <w:color w:val="000000" w:themeColor="text1"/>
          <w:sz w:val="24"/>
          <w:szCs w:val="24"/>
        </w:rPr>
        <w:t>Regiunea</w:t>
      </w:r>
      <w:proofErr w:type="spellEnd"/>
      <w:r w:rsidRPr="00814C24">
        <w:rPr>
          <w:color w:val="000000" w:themeColor="text1"/>
          <w:spacing w:val="-2"/>
          <w:sz w:val="24"/>
          <w:szCs w:val="24"/>
        </w:rPr>
        <w:t xml:space="preserve"> </w:t>
      </w:r>
      <w:proofErr w:type="spellStart"/>
      <w:r w:rsidRPr="00814C24">
        <w:rPr>
          <w:color w:val="000000" w:themeColor="text1"/>
          <w:sz w:val="24"/>
          <w:szCs w:val="24"/>
        </w:rPr>
        <w:t>marină</w:t>
      </w:r>
      <w:proofErr w:type="spellEnd"/>
      <w:r w:rsidRPr="00814C24">
        <w:rPr>
          <w:color w:val="000000" w:themeColor="text1"/>
          <w:sz w:val="24"/>
          <w:szCs w:val="24"/>
        </w:rPr>
        <w:t xml:space="preserve"> Marea</w:t>
      </w:r>
      <w:r w:rsidRPr="00814C24">
        <w:rPr>
          <w:color w:val="000000" w:themeColor="text1"/>
          <w:spacing w:val="-1"/>
          <w:sz w:val="24"/>
          <w:szCs w:val="24"/>
        </w:rPr>
        <w:t xml:space="preserve"> </w:t>
      </w:r>
      <w:proofErr w:type="spellStart"/>
      <w:r w:rsidRPr="00814C24">
        <w:rPr>
          <w:color w:val="000000" w:themeColor="text1"/>
          <w:sz w:val="24"/>
          <w:szCs w:val="24"/>
        </w:rPr>
        <w:t>Neagră</w:t>
      </w:r>
      <w:proofErr w:type="spellEnd"/>
      <w:r w:rsidRPr="00814C24">
        <w:rPr>
          <w:color w:val="000000" w:themeColor="text1"/>
          <w:sz w:val="24"/>
          <w:szCs w:val="24"/>
        </w:rPr>
        <w:t>.</w:t>
      </w:r>
    </w:p>
    <w:p w14:paraId="3C5F086E" w14:textId="77777777" w:rsidR="006735BF" w:rsidRPr="00814C24" w:rsidRDefault="006735BF" w:rsidP="00182DE3">
      <w:pPr>
        <w:pStyle w:val="BodyText"/>
        <w:ind w:left="0" w:right="14"/>
        <w:jc w:val="both"/>
        <w:rPr>
          <w:color w:val="000000" w:themeColor="text1"/>
          <w:sz w:val="24"/>
          <w:szCs w:val="24"/>
          <w:lang w:val="fr-FR"/>
        </w:rPr>
      </w:pPr>
      <w:proofErr w:type="spellStart"/>
      <w:r w:rsidRPr="00814C24">
        <w:rPr>
          <w:color w:val="000000" w:themeColor="text1"/>
          <w:sz w:val="24"/>
          <w:szCs w:val="24"/>
        </w:rPr>
        <w:t>Simplificat</w:t>
      </w:r>
      <w:proofErr w:type="spellEnd"/>
      <w:r w:rsidRPr="00814C24">
        <w:rPr>
          <w:color w:val="000000" w:themeColor="text1"/>
          <w:sz w:val="24"/>
          <w:szCs w:val="24"/>
        </w:rPr>
        <w:t xml:space="preserve">, </w:t>
      </w:r>
      <w:proofErr w:type="spellStart"/>
      <w:r w:rsidRPr="00814C24">
        <w:rPr>
          <w:color w:val="000000" w:themeColor="text1"/>
          <w:sz w:val="24"/>
          <w:szCs w:val="24"/>
        </w:rPr>
        <w:t>starea</w:t>
      </w:r>
      <w:proofErr w:type="spellEnd"/>
      <w:r w:rsidRPr="00814C24">
        <w:rPr>
          <w:color w:val="000000" w:themeColor="text1"/>
          <w:sz w:val="24"/>
          <w:szCs w:val="24"/>
        </w:rPr>
        <w:t xml:space="preserve"> de </w:t>
      </w:r>
      <w:proofErr w:type="spellStart"/>
      <w:r w:rsidRPr="00814C24">
        <w:rPr>
          <w:color w:val="000000" w:themeColor="text1"/>
          <w:sz w:val="24"/>
          <w:szCs w:val="24"/>
        </w:rPr>
        <w:t>conservare</w:t>
      </w:r>
      <w:proofErr w:type="spellEnd"/>
      <w:r w:rsidRPr="00814C24">
        <w:rPr>
          <w:color w:val="000000" w:themeColor="text1"/>
          <w:sz w:val="24"/>
          <w:szCs w:val="24"/>
        </w:rPr>
        <w:t xml:space="preserve"> </w:t>
      </w:r>
      <w:proofErr w:type="spellStart"/>
      <w:r w:rsidRPr="00814C24">
        <w:rPr>
          <w:color w:val="000000" w:themeColor="text1"/>
          <w:sz w:val="24"/>
          <w:szCs w:val="24"/>
        </w:rPr>
        <w:t>favorabilă</w:t>
      </w:r>
      <w:proofErr w:type="spellEnd"/>
      <w:r w:rsidRPr="00814C24">
        <w:rPr>
          <w:color w:val="000000" w:themeColor="text1"/>
          <w:sz w:val="24"/>
          <w:szCs w:val="24"/>
        </w:rPr>
        <w:t xml:space="preserve"> </w:t>
      </w:r>
      <w:proofErr w:type="spellStart"/>
      <w:r w:rsidRPr="00814C24">
        <w:rPr>
          <w:color w:val="000000" w:themeColor="text1"/>
          <w:sz w:val="24"/>
          <w:szCs w:val="24"/>
        </w:rPr>
        <w:t>poate</w:t>
      </w:r>
      <w:proofErr w:type="spellEnd"/>
      <w:r w:rsidRPr="00814C24">
        <w:rPr>
          <w:color w:val="000000" w:themeColor="text1"/>
          <w:sz w:val="24"/>
          <w:szCs w:val="24"/>
        </w:rPr>
        <w:t xml:space="preserve"> fi </w:t>
      </w:r>
      <w:proofErr w:type="spellStart"/>
      <w:r w:rsidRPr="00814C24">
        <w:rPr>
          <w:color w:val="000000" w:themeColor="text1"/>
          <w:sz w:val="24"/>
          <w:szCs w:val="24"/>
        </w:rPr>
        <w:t>descrisă</w:t>
      </w:r>
      <w:proofErr w:type="spellEnd"/>
      <w:r w:rsidRPr="00814C24">
        <w:rPr>
          <w:color w:val="000000" w:themeColor="text1"/>
          <w:sz w:val="24"/>
          <w:szCs w:val="24"/>
        </w:rPr>
        <w:t xml:space="preserve"> ca </w:t>
      </w:r>
      <w:proofErr w:type="spellStart"/>
      <w:r w:rsidRPr="00814C24">
        <w:rPr>
          <w:color w:val="000000" w:themeColor="text1"/>
          <w:sz w:val="24"/>
          <w:szCs w:val="24"/>
        </w:rPr>
        <w:t>situaţia</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care un</w:t>
      </w:r>
      <w:r w:rsidRPr="00814C24">
        <w:rPr>
          <w:color w:val="000000" w:themeColor="text1"/>
          <w:spacing w:val="60"/>
          <w:sz w:val="24"/>
          <w:szCs w:val="24"/>
        </w:rPr>
        <w:t xml:space="preserve"> </w:t>
      </w:r>
      <w:r w:rsidRPr="00814C24">
        <w:rPr>
          <w:color w:val="000000" w:themeColor="text1"/>
          <w:sz w:val="24"/>
          <w:szCs w:val="24"/>
        </w:rPr>
        <w:t xml:space="preserve">tip de habitat </w:t>
      </w:r>
      <w:proofErr w:type="spellStart"/>
      <w:r w:rsidRPr="00814C24">
        <w:rPr>
          <w:color w:val="000000" w:themeColor="text1"/>
          <w:sz w:val="24"/>
          <w:szCs w:val="24"/>
        </w:rPr>
        <w:t>sau</w:t>
      </w:r>
      <w:proofErr w:type="spellEnd"/>
      <w:r w:rsidRPr="00814C24">
        <w:rPr>
          <w:color w:val="000000" w:themeColor="text1"/>
          <w:spacing w:val="1"/>
          <w:sz w:val="24"/>
          <w:szCs w:val="24"/>
        </w:rPr>
        <w:t xml:space="preserve"> </w:t>
      </w:r>
      <w:r w:rsidRPr="00814C24">
        <w:rPr>
          <w:color w:val="000000" w:themeColor="text1"/>
          <w:sz w:val="24"/>
          <w:szCs w:val="24"/>
        </w:rPr>
        <w:t xml:space="preserve">o specie </w:t>
      </w:r>
      <w:proofErr w:type="spellStart"/>
      <w:r w:rsidRPr="00814C24">
        <w:rPr>
          <w:color w:val="000000" w:themeColor="text1"/>
          <w:sz w:val="24"/>
          <w:szCs w:val="24"/>
        </w:rPr>
        <w:t>prosperă</w:t>
      </w:r>
      <w:proofErr w:type="spellEnd"/>
      <w:r w:rsidRPr="00814C24">
        <w:rPr>
          <w:color w:val="000000" w:themeColor="text1"/>
          <w:sz w:val="24"/>
          <w:szCs w:val="24"/>
        </w:rPr>
        <w:t xml:space="preserve"> (</w:t>
      </w:r>
      <w:proofErr w:type="spellStart"/>
      <w:r w:rsidRPr="00814C24">
        <w:rPr>
          <w:color w:val="000000" w:themeColor="text1"/>
          <w:sz w:val="24"/>
          <w:szCs w:val="24"/>
        </w:rPr>
        <w:t>atât</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ceea</w:t>
      </w:r>
      <w:proofErr w:type="spellEnd"/>
      <w:r w:rsidRPr="00814C24">
        <w:rPr>
          <w:color w:val="000000" w:themeColor="text1"/>
          <w:sz w:val="24"/>
          <w:szCs w:val="24"/>
        </w:rPr>
        <w:t xml:space="preserve"> </w:t>
      </w:r>
      <w:proofErr w:type="spellStart"/>
      <w:r w:rsidRPr="00814C24">
        <w:rPr>
          <w:color w:val="000000" w:themeColor="text1"/>
          <w:sz w:val="24"/>
          <w:szCs w:val="24"/>
        </w:rPr>
        <w:t>ce</w:t>
      </w:r>
      <w:proofErr w:type="spellEnd"/>
      <w:r w:rsidRPr="00814C24">
        <w:rPr>
          <w:color w:val="000000" w:themeColor="text1"/>
          <w:sz w:val="24"/>
          <w:szCs w:val="24"/>
        </w:rPr>
        <w:t xml:space="preserve"> </w:t>
      </w:r>
      <w:proofErr w:type="spellStart"/>
      <w:r w:rsidRPr="00814C24">
        <w:rPr>
          <w:color w:val="000000" w:themeColor="text1"/>
          <w:sz w:val="24"/>
          <w:szCs w:val="24"/>
        </w:rPr>
        <w:t>priveşte</w:t>
      </w:r>
      <w:proofErr w:type="spellEnd"/>
      <w:r w:rsidRPr="00814C24">
        <w:rPr>
          <w:color w:val="000000" w:themeColor="text1"/>
          <w:sz w:val="24"/>
          <w:szCs w:val="24"/>
        </w:rPr>
        <w:t xml:space="preserve"> </w:t>
      </w:r>
      <w:proofErr w:type="spellStart"/>
      <w:r w:rsidRPr="00814C24">
        <w:rPr>
          <w:color w:val="000000" w:themeColor="text1"/>
          <w:sz w:val="24"/>
          <w:szCs w:val="24"/>
        </w:rPr>
        <w:t>suprafaţa</w:t>
      </w:r>
      <w:proofErr w:type="spellEnd"/>
      <w:r w:rsidRPr="00814C24">
        <w:rPr>
          <w:color w:val="000000" w:themeColor="text1"/>
          <w:sz w:val="24"/>
          <w:szCs w:val="24"/>
        </w:rPr>
        <w:t xml:space="preserve"> </w:t>
      </w:r>
      <w:proofErr w:type="spellStart"/>
      <w:r w:rsidRPr="00814C24">
        <w:rPr>
          <w:color w:val="000000" w:themeColor="text1"/>
          <w:sz w:val="24"/>
          <w:szCs w:val="24"/>
        </w:rPr>
        <w:t>şi</w:t>
      </w:r>
      <w:proofErr w:type="spellEnd"/>
      <w:r w:rsidRPr="00814C24">
        <w:rPr>
          <w:color w:val="000000" w:themeColor="text1"/>
          <w:sz w:val="24"/>
          <w:szCs w:val="24"/>
        </w:rPr>
        <w:t xml:space="preserve"> </w:t>
      </w:r>
      <w:proofErr w:type="spellStart"/>
      <w:r w:rsidRPr="00814C24">
        <w:rPr>
          <w:color w:val="000000" w:themeColor="text1"/>
          <w:sz w:val="24"/>
          <w:szCs w:val="24"/>
        </w:rPr>
        <w:t>mărimea</w:t>
      </w:r>
      <w:proofErr w:type="spellEnd"/>
      <w:r w:rsidRPr="00814C24">
        <w:rPr>
          <w:color w:val="000000" w:themeColor="text1"/>
          <w:sz w:val="24"/>
          <w:szCs w:val="24"/>
        </w:rPr>
        <w:t xml:space="preserve"> </w:t>
      </w:r>
      <w:proofErr w:type="spellStart"/>
      <w:r w:rsidRPr="00814C24">
        <w:rPr>
          <w:color w:val="000000" w:themeColor="text1"/>
          <w:sz w:val="24"/>
          <w:szCs w:val="24"/>
        </w:rPr>
        <w:t>populaţiei</w:t>
      </w:r>
      <w:proofErr w:type="spellEnd"/>
      <w:r w:rsidRPr="00814C24">
        <w:rPr>
          <w:color w:val="000000" w:themeColor="text1"/>
          <w:sz w:val="24"/>
          <w:szCs w:val="24"/>
        </w:rPr>
        <w:t xml:space="preserve">, </w:t>
      </w:r>
      <w:proofErr w:type="spellStart"/>
      <w:r w:rsidRPr="00814C24">
        <w:rPr>
          <w:color w:val="000000" w:themeColor="text1"/>
          <w:sz w:val="24"/>
          <w:szCs w:val="24"/>
        </w:rPr>
        <w:t>cât</w:t>
      </w:r>
      <w:proofErr w:type="spellEnd"/>
      <w:r w:rsidRPr="00814C24">
        <w:rPr>
          <w:color w:val="000000" w:themeColor="text1"/>
          <w:sz w:val="24"/>
          <w:szCs w:val="24"/>
        </w:rPr>
        <w:t xml:space="preserve"> </w:t>
      </w:r>
      <w:proofErr w:type="spellStart"/>
      <w:r w:rsidRPr="00814C24">
        <w:rPr>
          <w:color w:val="000000" w:themeColor="text1"/>
          <w:sz w:val="24"/>
          <w:szCs w:val="24"/>
        </w:rPr>
        <w:t>şi</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ceea</w:t>
      </w:r>
      <w:proofErr w:type="spellEnd"/>
      <w:r w:rsidRPr="00814C24">
        <w:rPr>
          <w:color w:val="000000" w:themeColor="text1"/>
          <w:sz w:val="24"/>
          <w:szCs w:val="24"/>
        </w:rPr>
        <w:t xml:space="preserve"> </w:t>
      </w:r>
      <w:proofErr w:type="spellStart"/>
      <w:r w:rsidRPr="00814C24">
        <w:rPr>
          <w:color w:val="000000" w:themeColor="text1"/>
          <w:sz w:val="24"/>
          <w:szCs w:val="24"/>
        </w:rPr>
        <w:t>ce</w:t>
      </w:r>
      <w:proofErr w:type="spellEnd"/>
      <w:r w:rsidRPr="00814C24">
        <w:rPr>
          <w:color w:val="000000" w:themeColor="text1"/>
          <w:sz w:val="24"/>
          <w:szCs w:val="24"/>
        </w:rPr>
        <w:t xml:space="preserve"> </w:t>
      </w:r>
      <w:proofErr w:type="spellStart"/>
      <w:r w:rsidRPr="00814C24">
        <w:rPr>
          <w:color w:val="000000" w:themeColor="text1"/>
          <w:sz w:val="24"/>
          <w:szCs w:val="24"/>
        </w:rPr>
        <w:t>priveşte</w:t>
      </w:r>
      <w:proofErr w:type="spellEnd"/>
      <w:r w:rsidRPr="00814C24">
        <w:rPr>
          <w:color w:val="000000" w:themeColor="text1"/>
          <w:spacing w:val="1"/>
          <w:sz w:val="24"/>
          <w:szCs w:val="24"/>
        </w:rPr>
        <w:t xml:space="preserve"> </w:t>
      </w:r>
      <w:proofErr w:type="spellStart"/>
      <w:r w:rsidRPr="00814C24">
        <w:rPr>
          <w:color w:val="000000" w:themeColor="text1"/>
          <w:sz w:val="24"/>
          <w:szCs w:val="24"/>
        </w:rPr>
        <w:t>calitatea</w:t>
      </w:r>
      <w:proofErr w:type="spellEnd"/>
      <w:r w:rsidRPr="00814C24">
        <w:rPr>
          <w:color w:val="000000" w:themeColor="text1"/>
          <w:sz w:val="24"/>
          <w:szCs w:val="24"/>
        </w:rPr>
        <w:t xml:space="preserve"> </w:t>
      </w:r>
      <w:proofErr w:type="spellStart"/>
      <w:r w:rsidRPr="00814C24">
        <w:rPr>
          <w:color w:val="000000" w:themeColor="text1"/>
          <w:sz w:val="24"/>
          <w:szCs w:val="24"/>
        </w:rPr>
        <w:t>populaţiei</w:t>
      </w:r>
      <w:proofErr w:type="spellEnd"/>
      <w:r w:rsidRPr="00814C24">
        <w:rPr>
          <w:color w:val="000000" w:themeColor="text1"/>
          <w:sz w:val="24"/>
          <w:szCs w:val="24"/>
        </w:rPr>
        <w:t xml:space="preserve">, </w:t>
      </w:r>
      <w:proofErr w:type="spellStart"/>
      <w:r w:rsidRPr="00814C24">
        <w:rPr>
          <w:color w:val="000000" w:themeColor="text1"/>
          <w:sz w:val="24"/>
          <w:szCs w:val="24"/>
        </w:rPr>
        <w:t>inclusiv</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sensul</w:t>
      </w:r>
      <w:proofErr w:type="spellEnd"/>
      <w:r w:rsidRPr="00814C24">
        <w:rPr>
          <w:color w:val="000000" w:themeColor="text1"/>
          <w:sz w:val="24"/>
          <w:szCs w:val="24"/>
        </w:rPr>
        <w:t xml:space="preserve"> </w:t>
      </w:r>
      <w:proofErr w:type="spellStart"/>
      <w:r w:rsidRPr="00814C24">
        <w:rPr>
          <w:color w:val="000000" w:themeColor="text1"/>
          <w:sz w:val="24"/>
          <w:szCs w:val="24"/>
        </w:rPr>
        <w:t>capacităţii</w:t>
      </w:r>
      <w:proofErr w:type="spellEnd"/>
      <w:r w:rsidRPr="00814C24">
        <w:rPr>
          <w:color w:val="000000" w:themeColor="text1"/>
          <w:sz w:val="24"/>
          <w:szCs w:val="24"/>
        </w:rPr>
        <w:t xml:space="preserve"> de </w:t>
      </w:r>
      <w:proofErr w:type="spellStart"/>
      <w:r w:rsidRPr="00814C24">
        <w:rPr>
          <w:color w:val="000000" w:themeColor="text1"/>
          <w:sz w:val="24"/>
          <w:szCs w:val="24"/>
        </w:rPr>
        <w:t>reproducere</w:t>
      </w:r>
      <w:proofErr w:type="spellEnd"/>
      <w:r w:rsidRPr="00814C24">
        <w:rPr>
          <w:color w:val="000000" w:themeColor="text1"/>
          <w:sz w:val="24"/>
          <w:szCs w:val="24"/>
        </w:rPr>
        <w:t xml:space="preserve">, </w:t>
      </w:r>
      <w:proofErr w:type="spellStart"/>
      <w:r w:rsidRPr="00814C24">
        <w:rPr>
          <w:color w:val="000000" w:themeColor="text1"/>
          <w:sz w:val="24"/>
          <w:szCs w:val="24"/>
        </w:rPr>
        <w:t>structurii</w:t>
      </w:r>
      <w:proofErr w:type="spellEnd"/>
      <w:r w:rsidRPr="00814C24">
        <w:rPr>
          <w:color w:val="000000" w:themeColor="text1"/>
          <w:sz w:val="24"/>
          <w:szCs w:val="24"/>
        </w:rPr>
        <w:t xml:space="preserve"> pe </w:t>
      </w:r>
      <w:proofErr w:type="spellStart"/>
      <w:r w:rsidRPr="00814C24">
        <w:rPr>
          <w:color w:val="000000" w:themeColor="text1"/>
          <w:sz w:val="24"/>
          <w:szCs w:val="24"/>
        </w:rPr>
        <w:t>vârste</w:t>
      </w:r>
      <w:proofErr w:type="spellEnd"/>
      <w:r w:rsidRPr="00814C24">
        <w:rPr>
          <w:color w:val="000000" w:themeColor="text1"/>
          <w:sz w:val="24"/>
          <w:szCs w:val="24"/>
        </w:rPr>
        <w:t xml:space="preserve">, </w:t>
      </w:r>
      <w:proofErr w:type="spellStart"/>
      <w:r w:rsidRPr="00814C24">
        <w:rPr>
          <w:color w:val="000000" w:themeColor="text1"/>
          <w:sz w:val="24"/>
          <w:szCs w:val="24"/>
        </w:rPr>
        <w:t>mortalităţii</w:t>
      </w:r>
      <w:proofErr w:type="spellEnd"/>
      <w:r w:rsidRPr="00814C24">
        <w:rPr>
          <w:color w:val="000000" w:themeColor="text1"/>
          <w:sz w:val="24"/>
          <w:szCs w:val="24"/>
        </w:rPr>
        <w:t xml:space="preserve">) </w:t>
      </w:r>
      <w:proofErr w:type="spellStart"/>
      <w:r w:rsidRPr="00814C24">
        <w:rPr>
          <w:color w:val="000000" w:themeColor="text1"/>
          <w:sz w:val="24"/>
          <w:szCs w:val="24"/>
        </w:rPr>
        <w:t>şi</w:t>
      </w:r>
      <w:proofErr w:type="spellEnd"/>
      <w:r w:rsidRPr="00814C24">
        <w:rPr>
          <w:color w:val="000000" w:themeColor="text1"/>
          <w:spacing w:val="1"/>
          <w:sz w:val="24"/>
          <w:szCs w:val="24"/>
        </w:rPr>
        <w:t xml:space="preserve"> </w:t>
      </w:r>
      <w:proofErr w:type="spellStart"/>
      <w:r w:rsidRPr="00814C24">
        <w:rPr>
          <w:color w:val="000000" w:themeColor="text1"/>
          <w:sz w:val="24"/>
          <w:szCs w:val="24"/>
        </w:rPr>
        <w:t>există</w:t>
      </w:r>
      <w:proofErr w:type="spellEnd"/>
      <w:r w:rsidRPr="00814C24">
        <w:rPr>
          <w:color w:val="000000" w:themeColor="text1"/>
          <w:sz w:val="24"/>
          <w:szCs w:val="24"/>
        </w:rPr>
        <w:t xml:space="preserve"> </w:t>
      </w:r>
      <w:proofErr w:type="spellStart"/>
      <w:r w:rsidRPr="00814C24">
        <w:rPr>
          <w:color w:val="000000" w:themeColor="text1"/>
          <w:sz w:val="24"/>
          <w:szCs w:val="24"/>
        </w:rPr>
        <w:t>perspectivele</w:t>
      </w:r>
      <w:proofErr w:type="spellEnd"/>
      <w:r w:rsidRPr="00814C24">
        <w:rPr>
          <w:color w:val="000000" w:themeColor="text1"/>
          <w:sz w:val="24"/>
          <w:szCs w:val="24"/>
        </w:rPr>
        <w:t xml:space="preserve"> </w:t>
      </w:r>
      <w:proofErr w:type="spellStart"/>
      <w:r w:rsidRPr="00814C24">
        <w:rPr>
          <w:color w:val="000000" w:themeColor="text1"/>
          <w:sz w:val="24"/>
          <w:szCs w:val="24"/>
        </w:rPr>
        <w:t>să</w:t>
      </w:r>
      <w:proofErr w:type="spellEnd"/>
      <w:r w:rsidRPr="00814C24">
        <w:rPr>
          <w:color w:val="000000" w:themeColor="text1"/>
          <w:sz w:val="24"/>
          <w:szCs w:val="24"/>
        </w:rPr>
        <w:t xml:space="preserve"> </w:t>
      </w:r>
      <w:proofErr w:type="spellStart"/>
      <w:r w:rsidRPr="00814C24">
        <w:rPr>
          <w:color w:val="000000" w:themeColor="text1"/>
          <w:sz w:val="24"/>
          <w:szCs w:val="24"/>
        </w:rPr>
        <w:t>prospere</w:t>
      </w:r>
      <w:proofErr w:type="spellEnd"/>
      <w:r w:rsidRPr="00814C24">
        <w:rPr>
          <w:color w:val="000000" w:themeColor="text1"/>
          <w:sz w:val="24"/>
          <w:szCs w:val="24"/>
        </w:rPr>
        <w:t xml:space="preserve"> de </w:t>
      </w:r>
      <w:proofErr w:type="spellStart"/>
      <w:r w:rsidRPr="00814C24">
        <w:rPr>
          <w:color w:val="000000" w:themeColor="text1"/>
          <w:sz w:val="24"/>
          <w:szCs w:val="24"/>
        </w:rPr>
        <w:t>asemenea</w:t>
      </w:r>
      <w:proofErr w:type="spellEnd"/>
      <w:r w:rsidRPr="00814C24">
        <w:rPr>
          <w:color w:val="000000" w:themeColor="text1"/>
          <w:sz w:val="24"/>
          <w:szCs w:val="24"/>
        </w:rPr>
        <w:t xml:space="preserve"> </w:t>
      </w:r>
      <w:proofErr w:type="spellStart"/>
      <w:r w:rsidRPr="00814C24">
        <w:rPr>
          <w:color w:val="000000" w:themeColor="text1"/>
          <w:sz w:val="24"/>
          <w:szCs w:val="24"/>
        </w:rPr>
        <w:t>şi</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viitor</w:t>
      </w:r>
      <w:proofErr w:type="spellEnd"/>
      <w:r w:rsidRPr="00814C24">
        <w:rPr>
          <w:color w:val="000000" w:themeColor="text1"/>
          <w:sz w:val="24"/>
          <w:szCs w:val="24"/>
        </w:rPr>
        <w:t xml:space="preserve"> </w:t>
      </w:r>
      <w:proofErr w:type="spellStart"/>
      <w:r w:rsidRPr="00814C24">
        <w:rPr>
          <w:color w:val="000000" w:themeColor="text1"/>
          <w:sz w:val="24"/>
          <w:szCs w:val="24"/>
        </w:rPr>
        <w:t>fără</w:t>
      </w:r>
      <w:proofErr w:type="spellEnd"/>
      <w:r w:rsidRPr="00814C24">
        <w:rPr>
          <w:color w:val="000000" w:themeColor="text1"/>
          <w:sz w:val="24"/>
          <w:szCs w:val="24"/>
        </w:rPr>
        <w:t xml:space="preserve"> </w:t>
      </w:r>
      <w:proofErr w:type="spellStart"/>
      <w:r w:rsidRPr="00814C24">
        <w:rPr>
          <w:color w:val="000000" w:themeColor="text1"/>
          <w:sz w:val="24"/>
          <w:szCs w:val="24"/>
        </w:rPr>
        <w:t>modificări</w:t>
      </w:r>
      <w:proofErr w:type="spellEnd"/>
      <w:r w:rsidRPr="00814C24">
        <w:rPr>
          <w:color w:val="000000" w:themeColor="text1"/>
          <w:sz w:val="24"/>
          <w:szCs w:val="24"/>
        </w:rPr>
        <w:t xml:space="preserve"> </w:t>
      </w:r>
      <w:proofErr w:type="spellStart"/>
      <w:r w:rsidRPr="00814C24">
        <w:rPr>
          <w:color w:val="000000" w:themeColor="text1"/>
          <w:sz w:val="24"/>
          <w:szCs w:val="24"/>
        </w:rPr>
        <w:t>semnificative</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politicile</w:t>
      </w:r>
      <w:proofErr w:type="spellEnd"/>
      <w:r w:rsidRPr="00814C24">
        <w:rPr>
          <w:color w:val="000000" w:themeColor="text1"/>
          <w:sz w:val="24"/>
          <w:szCs w:val="24"/>
        </w:rPr>
        <w:t xml:space="preserve"> </w:t>
      </w:r>
      <w:proofErr w:type="spellStart"/>
      <w:r w:rsidRPr="00814C24">
        <w:rPr>
          <w:color w:val="000000" w:themeColor="text1"/>
          <w:sz w:val="24"/>
          <w:szCs w:val="24"/>
        </w:rPr>
        <w:t>şi</w:t>
      </w:r>
      <w:proofErr w:type="spellEnd"/>
      <w:r w:rsidRPr="00814C24">
        <w:rPr>
          <w:color w:val="000000" w:themeColor="text1"/>
          <w:spacing w:val="1"/>
          <w:sz w:val="24"/>
          <w:szCs w:val="24"/>
        </w:rPr>
        <w:t xml:space="preserve"> </w:t>
      </w:r>
      <w:proofErr w:type="spellStart"/>
      <w:r w:rsidRPr="00814C24">
        <w:rPr>
          <w:color w:val="000000" w:themeColor="text1"/>
          <w:sz w:val="24"/>
          <w:szCs w:val="24"/>
        </w:rPr>
        <w:t>managementul</w:t>
      </w:r>
      <w:proofErr w:type="spellEnd"/>
      <w:r w:rsidRPr="00814C24">
        <w:rPr>
          <w:color w:val="000000" w:themeColor="text1"/>
          <w:sz w:val="24"/>
          <w:szCs w:val="24"/>
        </w:rPr>
        <w:t xml:space="preserve"> existent. </w:t>
      </w:r>
      <w:proofErr w:type="spellStart"/>
      <w:r w:rsidRPr="00814C24">
        <w:rPr>
          <w:color w:val="000000" w:themeColor="text1"/>
          <w:sz w:val="24"/>
          <w:szCs w:val="24"/>
          <w:lang w:val="fr-FR"/>
        </w:rPr>
        <w:t>Faptul</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că</w:t>
      </w:r>
      <w:proofErr w:type="spellEnd"/>
      <w:r w:rsidRPr="00814C24">
        <w:rPr>
          <w:color w:val="000000" w:themeColor="text1"/>
          <w:sz w:val="24"/>
          <w:szCs w:val="24"/>
          <w:lang w:val="fr-FR"/>
        </w:rPr>
        <w:t xml:space="preserve"> un </w:t>
      </w:r>
      <w:proofErr w:type="spellStart"/>
      <w:r w:rsidRPr="00814C24">
        <w:rPr>
          <w:color w:val="000000" w:themeColor="text1"/>
          <w:sz w:val="24"/>
          <w:szCs w:val="24"/>
          <w:lang w:val="fr-FR"/>
        </w:rPr>
        <w:t>tip</w:t>
      </w:r>
      <w:proofErr w:type="spellEnd"/>
      <w:r w:rsidRPr="00814C24">
        <w:rPr>
          <w:color w:val="000000" w:themeColor="text1"/>
          <w:sz w:val="24"/>
          <w:szCs w:val="24"/>
          <w:lang w:val="fr-FR"/>
        </w:rPr>
        <w:t xml:space="preserve"> de habitat </w:t>
      </w:r>
      <w:proofErr w:type="spellStart"/>
      <w:r w:rsidRPr="00814C24">
        <w:rPr>
          <w:color w:val="000000" w:themeColor="text1"/>
          <w:sz w:val="24"/>
          <w:szCs w:val="24"/>
          <w:lang w:val="fr-FR"/>
        </w:rPr>
        <w:t>sau</w:t>
      </w:r>
      <w:proofErr w:type="spellEnd"/>
      <w:r w:rsidRPr="00814C24">
        <w:rPr>
          <w:color w:val="000000" w:themeColor="text1"/>
          <w:sz w:val="24"/>
          <w:szCs w:val="24"/>
          <w:lang w:val="fr-FR"/>
        </w:rPr>
        <w:t xml:space="preserve"> o </w:t>
      </w:r>
      <w:proofErr w:type="spellStart"/>
      <w:r w:rsidRPr="00814C24">
        <w:rPr>
          <w:color w:val="000000" w:themeColor="text1"/>
          <w:sz w:val="24"/>
          <w:szCs w:val="24"/>
          <w:lang w:val="fr-FR"/>
        </w:rPr>
        <w:t>specie</w:t>
      </w:r>
      <w:proofErr w:type="spellEnd"/>
      <w:r w:rsidRPr="00814C24">
        <w:rPr>
          <w:color w:val="000000" w:themeColor="text1"/>
          <w:sz w:val="24"/>
          <w:szCs w:val="24"/>
          <w:lang w:val="fr-FR"/>
        </w:rPr>
        <w:t xml:space="preserve"> nu</w:t>
      </w:r>
      <w:r w:rsidRPr="00814C24">
        <w:rPr>
          <w:color w:val="000000" w:themeColor="text1"/>
          <w:spacing w:val="60"/>
          <w:sz w:val="24"/>
          <w:szCs w:val="24"/>
          <w:lang w:val="fr-FR"/>
        </w:rPr>
        <w:t xml:space="preserve"> </w:t>
      </w:r>
      <w:proofErr w:type="spellStart"/>
      <w:r w:rsidRPr="00814C24">
        <w:rPr>
          <w:color w:val="000000" w:themeColor="text1"/>
          <w:sz w:val="24"/>
          <w:szCs w:val="24"/>
          <w:lang w:val="fr-FR"/>
        </w:rPr>
        <w:t>sunt</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ameninţate</w:t>
      </w:r>
      <w:proofErr w:type="spellEnd"/>
      <w:r w:rsidRPr="00814C24">
        <w:rPr>
          <w:color w:val="000000" w:themeColor="text1"/>
          <w:sz w:val="24"/>
          <w:szCs w:val="24"/>
          <w:lang w:val="fr-FR"/>
        </w:rPr>
        <w:t xml:space="preserve"> (ex: nu </w:t>
      </w:r>
      <w:proofErr w:type="spellStart"/>
      <w:r w:rsidRPr="00814C24">
        <w:rPr>
          <w:color w:val="000000" w:themeColor="text1"/>
          <w:sz w:val="24"/>
          <w:szCs w:val="24"/>
          <w:lang w:val="fr-FR"/>
        </w:rPr>
        <w:t>există</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nici</w:t>
      </w:r>
      <w:proofErr w:type="spellEnd"/>
      <w:r w:rsidRPr="00814C24">
        <w:rPr>
          <w:color w:val="000000" w:themeColor="text1"/>
          <w:sz w:val="24"/>
          <w:szCs w:val="24"/>
          <w:lang w:val="fr-FR"/>
        </w:rPr>
        <w:t xml:space="preserve"> un </w:t>
      </w:r>
      <w:proofErr w:type="spellStart"/>
      <w:r w:rsidRPr="00814C24">
        <w:rPr>
          <w:color w:val="000000" w:themeColor="text1"/>
          <w:sz w:val="24"/>
          <w:szCs w:val="24"/>
          <w:lang w:val="fr-FR"/>
        </w:rPr>
        <w:t>risc</w:t>
      </w:r>
      <w:proofErr w:type="spellEnd"/>
      <w:r w:rsidRPr="00814C24">
        <w:rPr>
          <w:color w:val="000000" w:themeColor="text1"/>
          <w:sz w:val="24"/>
          <w:szCs w:val="24"/>
          <w:lang w:val="fr-FR"/>
        </w:rPr>
        <w:t xml:space="preserve"> direct </w:t>
      </w:r>
      <w:proofErr w:type="spellStart"/>
      <w:r w:rsidRPr="00814C24">
        <w:rPr>
          <w:color w:val="000000" w:themeColor="text1"/>
          <w:sz w:val="24"/>
          <w:szCs w:val="24"/>
          <w:lang w:val="fr-FR"/>
        </w:rPr>
        <w:t>să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devină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extincte</w:t>
      </w:r>
      <w:proofErr w:type="spellEnd"/>
      <w:r w:rsidRPr="00814C24">
        <w:rPr>
          <w:color w:val="000000" w:themeColor="text1"/>
          <w:sz w:val="24"/>
          <w:szCs w:val="24"/>
          <w:lang w:val="fr-FR"/>
        </w:rPr>
        <w:t xml:space="preserve">) nu </w:t>
      </w:r>
      <w:proofErr w:type="spellStart"/>
      <w:r w:rsidRPr="00814C24">
        <w:rPr>
          <w:color w:val="000000" w:themeColor="text1"/>
          <w:sz w:val="24"/>
          <w:szCs w:val="24"/>
          <w:lang w:val="fr-FR"/>
        </w:rPr>
        <w:t>înseamnă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acestea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sunt</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stare</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conservare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favorabilă</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Obiectivul</w:t>
      </w:r>
      <w:proofErr w:type="spellEnd"/>
      <w:r w:rsidRPr="00814C24">
        <w:rPr>
          <w:color w:val="000000" w:themeColor="text1"/>
          <w:spacing w:val="16"/>
          <w:sz w:val="24"/>
          <w:szCs w:val="24"/>
          <w:lang w:val="fr-FR"/>
        </w:rPr>
        <w:t xml:space="preserve"> </w:t>
      </w:r>
      <w:proofErr w:type="spellStart"/>
      <w:r w:rsidRPr="00814C24">
        <w:rPr>
          <w:color w:val="000000" w:themeColor="text1"/>
          <w:sz w:val="24"/>
          <w:szCs w:val="24"/>
          <w:lang w:val="fr-FR"/>
        </w:rPr>
        <w:t>directivei</w:t>
      </w:r>
      <w:proofErr w:type="spellEnd"/>
      <w:r w:rsidRPr="00814C24">
        <w:rPr>
          <w:color w:val="000000" w:themeColor="text1"/>
          <w:spacing w:val="17"/>
          <w:sz w:val="24"/>
          <w:szCs w:val="24"/>
          <w:lang w:val="fr-FR"/>
        </w:rPr>
        <w:t xml:space="preserve"> </w:t>
      </w:r>
      <w:r w:rsidRPr="00814C24">
        <w:rPr>
          <w:color w:val="000000" w:themeColor="text1"/>
          <w:sz w:val="24"/>
          <w:szCs w:val="24"/>
          <w:lang w:val="fr-FR"/>
        </w:rPr>
        <w:t>este</w:t>
      </w:r>
      <w:r w:rsidRPr="00814C24">
        <w:rPr>
          <w:color w:val="000000" w:themeColor="text1"/>
          <w:spacing w:val="17"/>
          <w:sz w:val="24"/>
          <w:szCs w:val="24"/>
          <w:lang w:val="fr-FR"/>
        </w:rPr>
        <w:t xml:space="preserve"> </w:t>
      </w:r>
      <w:proofErr w:type="spellStart"/>
      <w:r w:rsidRPr="00814C24">
        <w:rPr>
          <w:color w:val="000000" w:themeColor="text1"/>
          <w:sz w:val="24"/>
          <w:szCs w:val="24"/>
          <w:lang w:val="fr-FR"/>
        </w:rPr>
        <w:t>definit</w:t>
      </w:r>
      <w:proofErr w:type="spellEnd"/>
      <w:r w:rsidRPr="00814C24">
        <w:rPr>
          <w:color w:val="000000" w:themeColor="text1"/>
          <w:spacing w:val="17"/>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pacing w:val="16"/>
          <w:sz w:val="24"/>
          <w:szCs w:val="24"/>
          <w:lang w:val="fr-FR"/>
        </w:rPr>
        <w:t xml:space="preserve"> </w:t>
      </w:r>
      <w:proofErr w:type="spellStart"/>
      <w:r w:rsidRPr="00814C24">
        <w:rPr>
          <w:color w:val="000000" w:themeColor="text1"/>
          <w:sz w:val="24"/>
          <w:szCs w:val="24"/>
          <w:lang w:val="fr-FR"/>
        </w:rPr>
        <w:t>termeni</w:t>
      </w:r>
      <w:proofErr w:type="spellEnd"/>
      <w:r w:rsidRPr="00814C24">
        <w:rPr>
          <w:color w:val="000000" w:themeColor="text1"/>
          <w:spacing w:val="17"/>
          <w:sz w:val="24"/>
          <w:szCs w:val="24"/>
          <w:lang w:val="fr-FR"/>
        </w:rPr>
        <w:t xml:space="preserve"> </w:t>
      </w:r>
      <w:proofErr w:type="spellStart"/>
      <w:r w:rsidRPr="00814C24">
        <w:rPr>
          <w:color w:val="000000" w:themeColor="text1"/>
          <w:sz w:val="24"/>
          <w:szCs w:val="24"/>
          <w:lang w:val="fr-FR"/>
        </w:rPr>
        <w:t>pozitivi</w:t>
      </w:r>
      <w:proofErr w:type="spellEnd"/>
      <w:r w:rsidRPr="00814C24">
        <w:rPr>
          <w:color w:val="000000" w:themeColor="text1"/>
          <w:sz w:val="24"/>
          <w:szCs w:val="24"/>
          <w:lang w:val="fr-FR"/>
        </w:rPr>
        <w:t>,</w:t>
      </w:r>
      <w:r w:rsidRPr="00814C24">
        <w:rPr>
          <w:color w:val="000000" w:themeColor="text1"/>
          <w:spacing w:val="16"/>
          <w:sz w:val="24"/>
          <w:szCs w:val="24"/>
          <w:lang w:val="fr-FR"/>
        </w:rPr>
        <w:t xml:space="preserve"> </w:t>
      </w:r>
      <w:proofErr w:type="spellStart"/>
      <w:r w:rsidRPr="00814C24">
        <w:rPr>
          <w:color w:val="000000" w:themeColor="text1"/>
          <w:sz w:val="24"/>
          <w:szCs w:val="24"/>
          <w:lang w:val="fr-FR"/>
        </w:rPr>
        <w:t>orientat</w:t>
      </w:r>
      <w:proofErr w:type="spellEnd"/>
      <w:r w:rsidRPr="00814C24">
        <w:rPr>
          <w:color w:val="000000" w:themeColor="text1"/>
          <w:spacing w:val="17"/>
          <w:sz w:val="24"/>
          <w:szCs w:val="24"/>
          <w:lang w:val="fr-FR"/>
        </w:rPr>
        <w:t xml:space="preserve"> </w:t>
      </w:r>
      <w:proofErr w:type="spellStart"/>
      <w:r w:rsidRPr="00814C24">
        <w:rPr>
          <w:color w:val="000000" w:themeColor="text1"/>
          <w:sz w:val="24"/>
          <w:szCs w:val="24"/>
          <w:lang w:val="fr-FR"/>
        </w:rPr>
        <w:t>spre</w:t>
      </w:r>
      <w:proofErr w:type="spellEnd"/>
      <w:r w:rsidRPr="00814C24">
        <w:rPr>
          <w:color w:val="000000" w:themeColor="text1"/>
          <w:spacing w:val="14"/>
          <w:sz w:val="24"/>
          <w:szCs w:val="24"/>
          <w:lang w:val="fr-FR"/>
        </w:rPr>
        <w:t xml:space="preserve"> </w:t>
      </w:r>
      <w:r w:rsidRPr="00814C24">
        <w:rPr>
          <w:color w:val="000000" w:themeColor="text1"/>
          <w:sz w:val="24"/>
          <w:szCs w:val="24"/>
          <w:lang w:val="fr-FR"/>
        </w:rPr>
        <w:t>o</w:t>
      </w:r>
      <w:r w:rsidRPr="00814C24">
        <w:rPr>
          <w:color w:val="000000" w:themeColor="text1"/>
          <w:spacing w:val="16"/>
          <w:sz w:val="24"/>
          <w:szCs w:val="24"/>
          <w:lang w:val="fr-FR"/>
        </w:rPr>
        <w:t xml:space="preserve"> </w:t>
      </w:r>
      <w:proofErr w:type="spellStart"/>
      <w:r w:rsidRPr="00814C24">
        <w:rPr>
          <w:color w:val="000000" w:themeColor="text1"/>
          <w:sz w:val="24"/>
          <w:szCs w:val="24"/>
          <w:lang w:val="fr-FR"/>
        </w:rPr>
        <w:t>situaţie</w:t>
      </w:r>
      <w:proofErr w:type="spellEnd"/>
      <w:r w:rsidRPr="00814C24">
        <w:rPr>
          <w:color w:val="000000" w:themeColor="text1"/>
          <w:spacing w:val="16"/>
          <w:sz w:val="24"/>
          <w:szCs w:val="24"/>
          <w:lang w:val="fr-FR"/>
        </w:rPr>
        <w:t xml:space="preserve"> </w:t>
      </w:r>
      <w:proofErr w:type="spellStart"/>
      <w:r w:rsidRPr="00814C24">
        <w:rPr>
          <w:color w:val="000000" w:themeColor="text1"/>
          <w:sz w:val="24"/>
          <w:szCs w:val="24"/>
          <w:lang w:val="fr-FR"/>
        </w:rPr>
        <w:t>favorabilă</w:t>
      </w:r>
      <w:proofErr w:type="spellEnd"/>
      <w:r w:rsidRPr="00814C24">
        <w:rPr>
          <w:color w:val="000000" w:themeColor="text1"/>
          <w:spacing w:val="15"/>
          <w:sz w:val="24"/>
          <w:szCs w:val="24"/>
          <w:lang w:val="fr-FR"/>
        </w:rPr>
        <w:t xml:space="preserve"> </w:t>
      </w:r>
      <w:r w:rsidRPr="00814C24">
        <w:rPr>
          <w:color w:val="000000" w:themeColor="text1"/>
          <w:sz w:val="24"/>
          <w:szCs w:val="24"/>
          <w:lang w:val="fr-FR"/>
        </w:rPr>
        <w:t>care</w:t>
      </w:r>
      <w:r w:rsidRPr="00814C24">
        <w:rPr>
          <w:color w:val="000000" w:themeColor="text1"/>
          <w:spacing w:val="16"/>
          <w:sz w:val="24"/>
          <w:szCs w:val="24"/>
          <w:lang w:val="fr-FR"/>
        </w:rPr>
        <w:t xml:space="preserve"> </w:t>
      </w:r>
      <w:proofErr w:type="spellStart"/>
      <w:r w:rsidRPr="00814C24">
        <w:rPr>
          <w:color w:val="000000" w:themeColor="text1"/>
          <w:sz w:val="24"/>
          <w:szCs w:val="24"/>
          <w:lang w:val="fr-FR"/>
        </w:rPr>
        <w:t>trebuie</w:t>
      </w:r>
      <w:proofErr w:type="spellEnd"/>
      <w:r w:rsidRPr="00814C24">
        <w:rPr>
          <w:color w:val="000000" w:themeColor="text1"/>
          <w:spacing w:val="-58"/>
          <w:sz w:val="24"/>
          <w:szCs w:val="24"/>
          <w:lang w:val="fr-FR"/>
        </w:rPr>
        <w:t xml:space="preserve"> </w:t>
      </w:r>
      <w:proofErr w:type="spellStart"/>
      <w:r w:rsidRPr="00814C24">
        <w:rPr>
          <w:color w:val="000000" w:themeColor="text1"/>
          <w:sz w:val="24"/>
          <w:szCs w:val="24"/>
          <w:lang w:val="fr-FR"/>
        </w:rPr>
        <w:t>să</w:t>
      </w:r>
      <w:proofErr w:type="spellEnd"/>
      <w:r w:rsidRPr="00814C24">
        <w:rPr>
          <w:color w:val="000000" w:themeColor="text1"/>
          <w:sz w:val="24"/>
          <w:szCs w:val="24"/>
          <w:lang w:val="fr-FR"/>
        </w:rPr>
        <w:t xml:space="preserve"> fie </w:t>
      </w:r>
      <w:proofErr w:type="spellStart"/>
      <w:r w:rsidRPr="00814C24">
        <w:rPr>
          <w:color w:val="000000" w:themeColor="text1"/>
          <w:sz w:val="24"/>
          <w:szCs w:val="24"/>
          <w:lang w:val="fr-FR"/>
        </w:rPr>
        <w:t>definită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atinsă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și</w:t>
      </w:r>
      <w:proofErr w:type="spellEnd"/>
      <w:r w:rsidRPr="00814C24">
        <w:rPr>
          <w:color w:val="000000" w:themeColor="text1"/>
          <w:sz w:val="24"/>
          <w:szCs w:val="24"/>
          <w:lang w:val="fr-FR"/>
        </w:rPr>
        <w:t>/</w:t>
      </w:r>
      <w:proofErr w:type="spellStart"/>
      <w:r w:rsidRPr="00814C24">
        <w:rPr>
          <w:color w:val="000000" w:themeColor="text1"/>
          <w:sz w:val="24"/>
          <w:szCs w:val="24"/>
          <w:lang w:val="fr-FR"/>
        </w:rPr>
        <w:t>sau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menţinută</w:t>
      </w:r>
      <w:proofErr w:type="spellEnd"/>
      <w:r w:rsidRPr="00814C24">
        <w:rPr>
          <w:color w:val="000000" w:themeColor="text1"/>
          <w:sz w:val="24"/>
          <w:szCs w:val="24"/>
          <w:lang w:val="fr-FR"/>
        </w:rPr>
        <w:t xml:space="preserve">. Prin </w:t>
      </w:r>
      <w:proofErr w:type="spellStart"/>
      <w:r w:rsidRPr="00814C24">
        <w:rPr>
          <w:color w:val="000000" w:themeColor="text1"/>
          <w:sz w:val="24"/>
          <w:szCs w:val="24"/>
          <w:lang w:val="fr-FR"/>
        </w:rPr>
        <w:t>urmare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obiectivul</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Directivei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Habitate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urmărește</w:t>
      </w:r>
      <w:proofErr w:type="spellEnd"/>
      <w:r w:rsidRPr="00814C24">
        <w:rPr>
          <w:color w:val="000000" w:themeColor="text1"/>
          <w:sz w:val="24"/>
          <w:szCs w:val="24"/>
          <w:lang w:val="fr-FR"/>
        </w:rPr>
        <w:t xml:space="preserve"> mai</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mult</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decât</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evitarea</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dispariţiei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tipurilor</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de</w:t>
      </w:r>
      <w:r w:rsidRPr="00814C24">
        <w:rPr>
          <w:color w:val="000000" w:themeColor="text1"/>
          <w:spacing w:val="-2"/>
          <w:sz w:val="24"/>
          <w:szCs w:val="24"/>
          <w:lang w:val="fr-FR"/>
        </w:rPr>
        <w:t xml:space="preserve"> </w:t>
      </w:r>
      <w:proofErr w:type="spellStart"/>
      <w:r w:rsidRPr="00814C24">
        <w:rPr>
          <w:color w:val="000000" w:themeColor="text1"/>
          <w:sz w:val="24"/>
          <w:szCs w:val="24"/>
          <w:lang w:val="fr-FR"/>
        </w:rPr>
        <w:t>habitate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sau</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speciilor</w:t>
      </w:r>
      <w:proofErr w:type="spellEnd"/>
      <w:r w:rsidRPr="00814C24">
        <w:rPr>
          <w:color w:val="000000" w:themeColor="text1"/>
          <w:sz w:val="24"/>
          <w:szCs w:val="24"/>
          <w:lang w:val="fr-FR"/>
        </w:rPr>
        <w:t>.</w:t>
      </w:r>
    </w:p>
    <w:p w14:paraId="24D3412C" w14:textId="77777777" w:rsidR="006735BF" w:rsidRPr="00814C24" w:rsidRDefault="006735BF" w:rsidP="00182DE3">
      <w:pPr>
        <w:pStyle w:val="BodyText"/>
        <w:spacing w:before="1"/>
        <w:ind w:left="0" w:right="14"/>
        <w:jc w:val="both"/>
        <w:rPr>
          <w:color w:val="000000" w:themeColor="text1"/>
          <w:sz w:val="24"/>
          <w:szCs w:val="24"/>
          <w:lang w:val="fr-FR"/>
        </w:rPr>
      </w:pPr>
      <w:proofErr w:type="spellStart"/>
      <w:r w:rsidRPr="00814C24">
        <w:rPr>
          <w:color w:val="000000" w:themeColor="text1"/>
          <w:sz w:val="24"/>
          <w:szCs w:val="24"/>
          <w:lang w:val="fr-FR"/>
        </w:rPr>
        <w:t>Starea</w:t>
      </w:r>
      <w:proofErr w:type="spellEnd"/>
      <w:r w:rsidRPr="00814C24">
        <w:rPr>
          <w:color w:val="000000" w:themeColor="text1"/>
          <w:spacing w:val="-3"/>
          <w:sz w:val="24"/>
          <w:szCs w:val="24"/>
          <w:lang w:val="fr-FR"/>
        </w:rPr>
        <w:t xml:space="preserve"> </w:t>
      </w:r>
      <w:r w:rsidRPr="00814C24">
        <w:rPr>
          <w:color w:val="000000" w:themeColor="text1"/>
          <w:sz w:val="24"/>
          <w:szCs w:val="24"/>
          <w:lang w:val="fr-FR"/>
        </w:rPr>
        <w:t xml:space="preserve">de </w:t>
      </w:r>
      <w:proofErr w:type="spellStart"/>
      <w:r w:rsidRPr="00814C24">
        <w:rPr>
          <w:color w:val="000000" w:themeColor="text1"/>
          <w:sz w:val="24"/>
          <w:szCs w:val="24"/>
          <w:lang w:val="fr-FR"/>
        </w:rPr>
        <w:t>conservare</w:t>
      </w:r>
      <w:proofErr w:type="spellEnd"/>
      <w:r w:rsidRPr="00814C24">
        <w:rPr>
          <w:color w:val="000000" w:themeColor="text1"/>
          <w:spacing w:val="-3"/>
          <w:sz w:val="24"/>
          <w:szCs w:val="24"/>
          <w:lang w:val="fr-FR"/>
        </w:rPr>
        <w:t xml:space="preserve"> </w:t>
      </w:r>
      <w:proofErr w:type="spellStart"/>
      <w:r w:rsidRPr="00814C24">
        <w:rPr>
          <w:color w:val="000000" w:themeColor="text1"/>
          <w:sz w:val="24"/>
          <w:szCs w:val="24"/>
          <w:lang w:val="fr-FR"/>
        </w:rPr>
        <w:t>nefavorabilă</w:t>
      </w:r>
      <w:proofErr w:type="spellEnd"/>
      <w:r w:rsidRPr="00814C24">
        <w:rPr>
          <w:color w:val="000000" w:themeColor="text1"/>
          <w:spacing w:val="-2"/>
          <w:sz w:val="24"/>
          <w:szCs w:val="24"/>
          <w:lang w:val="fr-FR"/>
        </w:rPr>
        <w:t xml:space="preserve"> </w:t>
      </w:r>
      <w:r w:rsidRPr="00814C24">
        <w:rPr>
          <w:color w:val="000000" w:themeColor="text1"/>
          <w:sz w:val="24"/>
          <w:szCs w:val="24"/>
          <w:lang w:val="fr-FR"/>
        </w:rPr>
        <w:t>este</w:t>
      </w:r>
      <w:r w:rsidRPr="00814C24">
        <w:rPr>
          <w:color w:val="000000" w:themeColor="text1"/>
          <w:spacing w:val="-2"/>
          <w:sz w:val="24"/>
          <w:szCs w:val="24"/>
          <w:lang w:val="fr-FR"/>
        </w:rPr>
        <w:t xml:space="preserve"> </w:t>
      </w:r>
      <w:proofErr w:type="spellStart"/>
      <w:r w:rsidRPr="00814C24">
        <w:rPr>
          <w:color w:val="000000" w:themeColor="text1"/>
          <w:sz w:val="24"/>
          <w:szCs w:val="24"/>
          <w:lang w:val="fr-FR"/>
        </w:rPr>
        <w:t>împărţită</w:t>
      </w:r>
      <w:proofErr w:type="spellEnd"/>
      <w:r w:rsidRPr="00814C24">
        <w:rPr>
          <w:color w:val="000000" w:themeColor="text1"/>
          <w:spacing w:val="-2"/>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două</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clase:</w:t>
      </w:r>
    </w:p>
    <w:p w14:paraId="57780D53" w14:textId="77777777" w:rsidR="006735BF" w:rsidRPr="00814C24" w:rsidRDefault="006735BF" w:rsidP="00182DE3">
      <w:pPr>
        <w:pStyle w:val="BodyText"/>
        <w:ind w:left="0" w:right="14"/>
        <w:jc w:val="both"/>
        <w:rPr>
          <w:color w:val="000000" w:themeColor="text1"/>
          <w:sz w:val="24"/>
          <w:szCs w:val="24"/>
          <w:lang w:val="fr-FR"/>
        </w:rPr>
      </w:pPr>
      <w:r w:rsidRPr="00814C24">
        <w:rPr>
          <w:color w:val="000000" w:themeColor="text1"/>
          <w:sz w:val="24"/>
          <w:szCs w:val="24"/>
          <w:lang w:val="fr-FR"/>
        </w:rPr>
        <w:t>„</w:t>
      </w:r>
      <w:proofErr w:type="spellStart"/>
      <w:r w:rsidRPr="00814C24">
        <w:rPr>
          <w:color w:val="000000" w:themeColor="text1"/>
          <w:sz w:val="24"/>
          <w:szCs w:val="24"/>
          <w:lang w:val="fr-FR"/>
        </w:rPr>
        <w:t>nefavorabil-inadecvat</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pentru</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situaţiile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care</w:t>
      </w:r>
      <w:r w:rsidRPr="00814C24">
        <w:rPr>
          <w:color w:val="000000" w:themeColor="text1"/>
          <w:spacing w:val="1"/>
          <w:sz w:val="24"/>
          <w:szCs w:val="24"/>
          <w:lang w:val="fr-FR"/>
        </w:rPr>
        <w:t xml:space="preserve"> </w:t>
      </w:r>
      <w:r w:rsidRPr="00814C24">
        <w:rPr>
          <w:color w:val="000000" w:themeColor="text1"/>
          <w:sz w:val="24"/>
          <w:szCs w:val="24"/>
          <w:lang w:val="fr-FR"/>
        </w:rPr>
        <w:t>este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necesară</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o</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schimbare</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a</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politicilor</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sau</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managementului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pentru</w:t>
      </w:r>
      <w:proofErr w:type="spellEnd"/>
      <w:r w:rsidRPr="00814C24">
        <w:rPr>
          <w:color w:val="000000" w:themeColor="text1"/>
          <w:sz w:val="24"/>
          <w:szCs w:val="24"/>
          <w:lang w:val="fr-FR"/>
        </w:rPr>
        <w:t xml:space="preserve"> a </w:t>
      </w:r>
      <w:proofErr w:type="spellStart"/>
      <w:r w:rsidRPr="00814C24">
        <w:rPr>
          <w:color w:val="000000" w:themeColor="text1"/>
          <w:sz w:val="24"/>
          <w:szCs w:val="24"/>
          <w:lang w:val="fr-FR"/>
        </w:rPr>
        <w:t>aduce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tipul</w:t>
      </w:r>
      <w:proofErr w:type="spellEnd"/>
      <w:r w:rsidRPr="00814C24">
        <w:rPr>
          <w:color w:val="000000" w:themeColor="text1"/>
          <w:sz w:val="24"/>
          <w:szCs w:val="24"/>
          <w:lang w:val="fr-FR"/>
        </w:rPr>
        <w:t xml:space="preserve"> de habitat </w:t>
      </w:r>
      <w:proofErr w:type="spellStart"/>
      <w:r w:rsidRPr="00814C24">
        <w:rPr>
          <w:color w:val="000000" w:themeColor="text1"/>
          <w:sz w:val="24"/>
          <w:szCs w:val="24"/>
          <w:lang w:val="fr-FR"/>
        </w:rPr>
        <w:t>sau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specia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stare</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conservare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favorabilă</w:t>
      </w:r>
      <w:proofErr w:type="spellEnd"/>
      <w:r w:rsidRPr="00814C24">
        <w:rPr>
          <w:color w:val="000000" w:themeColor="text1"/>
          <w:sz w:val="24"/>
          <w:szCs w:val="24"/>
          <w:lang w:val="fr-FR"/>
        </w:rPr>
        <w:t>, dar nu</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există</w:t>
      </w:r>
      <w:proofErr w:type="spellEnd"/>
      <w:r w:rsidRPr="00814C24">
        <w:rPr>
          <w:color w:val="000000" w:themeColor="text1"/>
          <w:spacing w:val="-2"/>
          <w:sz w:val="24"/>
          <w:szCs w:val="24"/>
          <w:lang w:val="fr-FR"/>
        </w:rPr>
        <w:t xml:space="preserve"> </w:t>
      </w:r>
      <w:proofErr w:type="spellStart"/>
      <w:r w:rsidRPr="00814C24">
        <w:rPr>
          <w:color w:val="000000" w:themeColor="text1"/>
          <w:sz w:val="24"/>
          <w:szCs w:val="24"/>
          <w:lang w:val="fr-FR"/>
        </w:rPr>
        <w:t>nici</w:t>
      </w:r>
      <w:proofErr w:type="spellEnd"/>
      <w:r w:rsidRPr="00814C24">
        <w:rPr>
          <w:color w:val="000000" w:themeColor="text1"/>
          <w:sz w:val="24"/>
          <w:szCs w:val="24"/>
          <w:lang w:val="fr-FR"/>
        </w:rPr>
        <w:t xml:space="preserve"> un </w:t>
      </w:r>
      <w:proofErr w:type="spellStart"/>
      <w:r w:rsidRPr="00814C24">
        <w:rPr>
          <w:color w:val="000000" w:themeColor="text1"/>
          <w:sz w:val="24"/>
          <w:szCs w:val="24"/>
          <w:lang w:val="fr-FR"/>
        </w:rPr>
        <w:t>pericol</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dispariţie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viitorul</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previzibil</w:t>
      </w:r>
      <w:proofErr w:type="spellEnd"/>
      <w:r w:rsidRPr="00814C24">
        <w:rPr>
          <w:color w:val="000000" w:themeColor="text1"/>
          <w:sz w:val="24"/>
          <w:szCs w:val="24"/>
          <w:lang w:val="fr-FR"/>
        </w:rPr>
        <w:t xml:space="preserve"> (ex: 50-100</w:t>
      </w:r>
      <w:r w:rsidRPr="00814C24">
        <w:rPr>
          <w:color w:val="000000" w:themeColor="text1"/>
          <w:spacing w:val="-1"/>
          <w:sz w:val="24"/>
          <w:szCs w:val="24"/>
          <w:lang w:val="fr-FR"/>
        </w:rPr>
        <w:t xml:space="preserve"> </w:t>
      </w:r>
      <w:r w:rsidRPr="00814C24">
        <w:rPr>
          <w:color w:val="000000" w:themeColor="text1"/>
          <w:sz w:val="24"/>
          <w:szCs w:val="24"/>
          <w:lang w:val="fr-FR"/>
        </w:rPr>
        <w:t>de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ani</w:t>
      </w:r>
      <w:proofErr w:type="spellEnd"/>
      <w:r w:rsidRPr="00814C24">
        <w:rPr>
          <w:color w:val="000000" w:themeColor="text1"/>
          <w:sz w:val="24"/>
          <w:szCs w:val="24"/>
          <w:lang w:val="fr-FR"/>
        </w:rPr>
        <w:t>);</w:t>
      </w:r>
    </w:p>
    <w:p w14:paraId="33A408E9" w14:textId="77777777" w:rsidR="006735BF" w:rsidRPr="00814C24" w:rsidRDefault="006735BF" w:rsidP="00182DE3">
      <w:pPr>
        <w:pStyle w:val="BodyText"/>
        <w:ind w:left="0" w:right="14"/>
        <w:jc w:val="both"/>
        <w:rPr>
          <w:color w:val="000000" w:themeColor="text1"/>
          <w:sz w:val="24"/>
          <w:szCs w:val="24"/>
          <w:lang w:val="fr-FR"/>
        </w:rPr>
      </w:pPr>
      <w:r w:rsidRPr="00814C24">
        <w:rPr>
          <w:color w:val="000000" w:themeColor="text1"/>
          <w:sz w:val="24"/>
          <w:szCs w:val="24"/>
          <w:lang w:val="fr-FR"/>
        </w:rPr>
        <w:t>„</w:t>
      </w:r>
      <w:proofErr w:type="spellStart"/>
      <w:r w:rsidRPr="00814C24">
        <w:rPr>
          <w:color w:val="000000" w:themeColor="text1"/>
          <w:sz w:val="24"/>
          <w:szCs w:val="24"/>
          <w:lang w:val="fr-FR"/>
        </w:rPr>
        <w:t>nefavorabil-rău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pentru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situaţiile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care </w:t>
      </w:r>
      <w:proofErr w:type="spellStart"/>
      <w:r w:rsidRPr="00814C24">
        <w:rPr>
          <w:color w:val="000000" w:themeColor="text1"/>
          <w:sz w:val="24"/>
          <w:szCs w:val="24"/>
          <w:lang w:val="fr-FR"/>
        </w:rPr>
        <w:t>tipul</w:t>
      </w:r>
      <w:proofErr w:type="spellEnd"/>
      <w:r w:rsidRPr="00814C24">
        <w:rPr>
          <w:color w:val="000000" w:themeColor="text1"/>
          <w:sz w:val="24"/>
          <w:szCs w:val="24"/>
          <w:lang w:val="fr-FR"/>
        </w:rPr>
        <w:t xml:space="preserve"> de habitat </w:t>
      </w:r>
      <w:proofErr w:type="spellStart"/>
      <w:r w:rsidRPr="00814C24">
        <w:rPr>
          <w:color w:val="000000" w:themeColor="text1"/>
          <w:sz w:val="24"/>
          <w:szCs w:val="24"/>
          <w:lang w:val="fr-FR"/>
        </w:rPr>
        <w:t>sau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specia</w:t>
      </w:r>
      <w:proofErr w:type="spellEnd"/>
      <w:r w:rsidRPr="00814C24">
        <w:rPr>
          <w:color w:val="000000" w:themeColor="text1"/>
          <w:sz w:val="24"/>
          <w:szCs w:val="24"/>
          <w:lang w:val="fr-FR"/>
        </w:rPr>
        <w:t xml:space="preserve"> este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pericol</w:t>
      </w:r>
      <w:proofErr w:type="spellEnd"/>
      <w:r w:rsidRPr="00814C24">
        <w:rPr>
          <w:color w:val="000000" w:themeColor="text1"/>
          <w:sz w:val="24"/>
          <w:szCs w:val="24"/>
          <w:lang w:val="fr-FR"/>
        </w:rPr>
        <w:t xml:space="preserve"> de a </w:t>
      </w:r>
      <w:proofErr w:type="spellStart"/>
      <w:r w:rsidRPr="00814C24">
        <w:rPr>
          <w:color w:val="000000" w:themeColor="text1"/>
          <w:sz w:val="24"/>
          <w:szCs w:val="24"/>
          <w:lang w:val="fr-FR"/>
        </w:rPr>
        <w:t>dispare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viitorul</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previzibil</w:t>
      </w:r>
      <w:proofErr w:type="spellEnd"/>
      <w:r w:rsidRPr="00814C24">
        <w:rPr>
          <w:color w:val="000000" w:themeColor="text1"/>
          <w:sz w:val="24"/>
          <w:szCs w:val="24"/>
          <w:lang w:val="fr-FR"/>
        </w:rPr>
        <w:t xml:space="preserve"> (ex: 50-100 de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ani</w:t>
      </w:r>
      <w:proofErr w:type="spellEnd"/>
      <w:r w:rsidRPr="00814C24">
        <w:rPr>
          <w:color w:val="000000" w:themeColor="text1"/>
          <w:sz w:val="24"/>
          <w:szCs w:val="24"/>
          <w:lang w:val="fr-FR"/>
        </w:rPr>
        <w:t>).</w:t>
      </w:r>
    </w:p>
    <w:p w14:paraId="36F6B1BB" w14:textId="77777777" w:rsidR="006735BF" w:rsidRPr="00814C24" w:rsidRDefault="006735BF" w:rsidP="00182DE3">
      <w:pPr>
        <w:pStyle w:val="BodyText"/>
        <w:ind w:left="0" w:right="14"/>
        <w:jc w:val="both"/>
        <w:rPr>
          <w:color w:val="000000" w:themeColor="text1"/>
          <w:sz w:val="24"/>
          <w:szCs w:val="24"/>
          <w:lang w:val="fr-FR"/>
        </w:rPr>
      </w:pPr>
      <w:proofErr w:type="spellStart"/>
      <w:r w:rsidRPr="00814C24">
        <w:rPr>
          <w:color w:val="000000" w:themeColor="text1"/>
          <w:sz w:val="24"/>
          <w:szCs w:val="24"/>
          <w:lang w:val="fr-FR"/>
        </w:rPr>
        <w:t>Pentru</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toate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situaţiile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care</w:t>
      </w:r>
      <w:r w:rsidRPr="00814C24">
        <w:rPr>
          <w:color w:val="000000" w:themeColor="text1"/>
          <w:spacing w:val="1"/>
          <w:sz w:val="24"/>
          <w:szCs w:val="24"/>
          <w:lang w:val="fr-FR"/>
        </w:rPr>
        <w:t xml:space="preserve"> </w:t>
      </w:r>
      <w:r w:rsidRPr="00814C24">
        <w:rPr>
          <w:color w:val="000000" w:themeColor="text1"/>
          <w:sz w:val="24"/>
          <w:szCs w:val="24"/>
          <w:lang w:val="fr-FR"/>
        </w:rPr>
        <w:t>nu</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există</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suficiente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informaţii</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pentru</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a</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realiza</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o</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evaluare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corespunzătoare</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starea</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de</w:t>
      </w:r>
      <w:r w:rsidRPr="00814C24">
        <w:rPr>
          <w:color w:val="000000" w:themeColor="text1"/>
          <w:spacing w:val="-2"/>
          <w:sz w:val="24"/>
          <w:szCs w:val="24"/>
          <w:lang w:val="fr-FR"/>
        </w:rPr>
        <w:t xml:space="preserve"> </w:t>
      </w:r>
      <w:proofErr w:type="spellStart"/>
      <w:r w:rsidRPr="00814C24">
        <w:rPr>
          <w:color w:val="000000" w:themeColor="text1"/>
          <w:sz w:val="24"/>
          <w:szCs w:val="24"/>
          <w:lang w:val="fr-FR"/>
        </w:rPr>
        <w:t>conservare</w:t>
      </w:r>
      <w:proofErr w:type="spellEnd"/>
      <w:r w:rsidRPr="00814C24">
        <w:rPr>
          <w:color w:val="000000" w:themeColor="text1"/>
          <w:sz w:val="24"/>
          <w:szCs w:val="24"/>
          <w:lang w:val="fr-FR"/>
        </w:rPr>
        <w:t xml:space="preserve"> este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considerată</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w:t>
      </w:r>
      <w:proofErr w:type="spellStart"/>
      <w:r w:rsidRPr="00814C24">
        <w:rPr>
          <w:color w:val="000000" w:themeColor="text1"/>
          <w:sz w:val="24"/>
          <w:szCs w:val="24"/>
          <w:lang w:val="fr-FR"/>
        </w:rPr>
        <w:t>necunoscută</w:t>
      </w:r>
      <w:proofErr w:type="spellEnd"/>
      <w:r w:rsidRPr="00814C24">
        <w:rPr>
          <w:color w:val="000000" w:themeColor="text1"/>
          <w:sz w:val="24"/>
          <w:szCs w:val="24"/>
          <w:lang w:val="fr-FR"/>
        </w:rPr>
        <w:t>”.</w:t>
      </w:r>
    </w:p>
    <w:p w14:paraId="310D19AB" w14:textId="77777777" w:rsidR="006735BF" w:rsidRPr="00814C24" w:rsidRDefault="006735BF" w:rsidP="00182DE3">
      <w:pPr>
        <w:pStyle w:val="BodyText"/>
        <w:ind w:left="0" w:right="14"/>
        <w:jc w:val="both"/>
        <w:rPr>
          <w:color w:val="000000" w:themeColor="text1"/>
          <w:sz w:val="24"/>
          <w:szCs w:val="24"/>
          <w:lang w:val="fr-FR"/>
        </w:rPr>
      </w:pPr>
      <w:proofErr w:type="spellStart"/>
      <w:r w:rsidRPr="00814C24">
        <w:rPr>
          <w:color w:val="000000" w:themeColor="text1"/>
          <w:sz w:val="24"/>
          <w:szCs w:val="24"/>
          <w:lang w:val="fr-FR"/>
        </w:rPr>
        <w:t>Pentru</w:t>
      </w:r>
      <w:proofErr w:type="spellEnd"/>
      <w:r w:rsidRPr="00814C24">
        <w:rPr>
          <w:color w:val="000000" w:themeColor="text1"/>
          <w:sz w:val="24"/>
          <w:szCs w:val="24"/>
          <w:lang w:val="fr-FR"/>
        </w:rPr>
        <w:t xml:space="preserve"> o </w:t>
      </w:r>
      <w:proofErr w:type="spellStart"/>
      <w:r w:rsidRPr="00814C24">
        <w:rPr>
          <w:color w:val="000000" w:themeColor="text1"/>
          <w:sz w:val="24"/>
          <w:szCs w:val="24"/>
          <w:lang w:val="fr-FR"/>
        </w:rPr>
        <w:t>reprezentare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grafică</w:t>
      </w:r>
      <w:proofErr w:type="spellEnd"/>
      <w:r w:rsidRPr="00814C24">
        <w:rPr>
          <w:color w:val="000000" w:themeColor="text1"/>
          <w:sz w:val="24"/>
          <w:szCs w:val="24"/>
          <w:lang w:val="fr-FR"/>
        </w:rPr>
        <w:t xml:space="preserve"> a </w:t>
      </w:r>
      <w:proofErr w:type="spellStart"/>
      <w:r w:rsidRPr="00814C24">
        <w:rPr>
          <w:color w:val="000000" w:themeColor="text1"/>
          <w:sz w:val="24"/>
          <w:szCs w:val="24"/>
          <w:lang w:val="fr-FR"/>
        </w:rPr>
        <w:t>celor</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patru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stări</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conservare</w:t>
      </w:r>
      <w:proofErr w:type="spellEnd"/>
      <w:r w:rsidRPr="00814C24">
        <w:rPr>
          <w:color w:val="000000" w:themeColor="text1"/>
          <w:sz w:val="24"/>
          <w:szCs w:val="24"/>
          <w:lang w:val="fr-FR"/>
        </w:rPr>
        <w:t xml:space="preserve">, a </w:t>
      </w:r>
      <w:proofErr w:type="spellStart"/>
      <w:r w:rsidRPr="00814C24">
        <w:rPr>
          <w:color w:val="000000" w:themeColor="text1"/>
          <w:sz w:val="24"/>
          <w:szCs w:val="24"/>
          <w:lang w:val="fr-FR"/>
        </w:rPr>
        <w:t>fost</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adoptat</w:t>
      </w:r>
      <w:proofErr w:type="spellEnd"/>
      <w:r w:rsidRPr="00814C24">
        <w:rPr>
          <w:color w:val="000000" w:themeColor="text1"/>
          <w:sz w:val="24"/>
          <w:szCs w:val="24"/>
          <w:lang w:val="fr-FR"/>
        </w:rPr>
        <w:t xml:space="preserve"> un </w:t>
      </w:r>
      <w:proofErr w:type="spellStart"/>
      <w:r w:rsidRPr="00814C24">
        <w:rPr>
          <w:color w:val="000000" w:themeColor="text1"/>
          <w:sz w:val="24"/>
          <w:szCs w:val="24"/>
          <w:lang w:val="fr-FR"/>
        </w:rPr>
        <w:t>sistem</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codificare</w:t>
      </w:r>
      <w:proofErr w:type="spellEnd"/>
      <w:r w:rsidRPr="00814C24">
        <w:rPr>
          <w:color w:val="000000" w:themeColor="text1"/>
          <w:spacing w:val="-57"/>
          <w:sz w:val="24"/>
          <w:szCs w:val="24"/>
          <w:lang w:val="fr-FR"/>
        </w:rPr>
        <w:t xml:space="preserve"> </w:t>
      </w:r>
      <w:proofErr w:type="spellStart"/>
      <w:r w:rsidRPr="00814C24">
        <w:rPr>
          <w:color w:val="000000" w:themeColor="text1"/>
          <w:sz w:val="24"/>
          <w:szCs w:val="24"/>
          <w:lang w:val="fr-FR"/>
        </w:rPr>
        <w:t>pe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culori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prin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intermediul</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îndrumarului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Comisiei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Europene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Evaluarea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și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raportarea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conformitate</w:t>
      </w:r>
      <w:proofErr w:type="spellEnd"/>
      <w:r w:rsidRPr="00814C24">
        <w:rPr>
          <w:color w:val="000000" w:themeColor="text1"/>
          <w:spacing w:val="-57"/>
          <w:sz w:val="24"/>
          <w:szCs w:val="24"/>
          <w:lang w:val="fr-FR"/>
        </w:rPr>
        <w:t xml:space="preserve"> </w:t>
      </w:r>
      <w:proofErr w:type="spellStart"/>
      <w:r w:rsidRPr="00814C24">
        <w:rPr>
          <w:color w:val="000000" w:themeColor="text1"/>
          <w:sz w:val="24"/>
          <w:szCs w:val="24"/>
          <w:lang w:val="fr-FR"/>
        </w:rPr>
        <w:t>cu</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Articolul</w:t>
      </w:r>
      <w:proofErr w:type="spellEnd"/>
      <w:r w:rsidRPr="00814C24">
        <w:rPr>
          <w:color w:val="000000" w:themeColor="text1"/>
          <w:sz w:val="24"/>
          <w:szCs w:val="24"/>
          <w:lang w:val="fr-FR"/>
        </w:rPr>
        <w:t xml:space="preserve"> 17</w:t>
      </w:r>
      <w:r w:rsidRPr="00814C24">
        <w:rPr>
          <w:color w:val="000000" w:themeColor="text1"/>
          <w:spacing w:val="-1"/>
          <w:sz w:val="24"/>
          <w:szCs w:val="24"/>
          <w:lang w:val="fr-FR"/>
        </w:rPr>
        <w:t xml:space="preserve"> </w:t>
      </w:r>
      <w:r w:rsidRPr="00814C24">
        <w:rPr>
          <w:color w:val="000000" w:themeColor="text1"/>
          <w:sz w:val="24"/>
          <w:szCs w:val="24"/>
          <w:lang w:val="fr-FR"/>
        </w:rPr>
        <w:t xml:space="preserve">al </w:t>
      </w:r>
      <w:proofErr w:type="spellStart"/>
      <w:r w:rsidRPr="00814C24">
        <w:rPr>
          <w:color w:val="000000" w:themeColor="text1"/>
          <w:sz w:val="24"/>
          <w:szCs w:val="24"/>
          <w:lang w:val="fr-FR"/>
        </w:rPr>
        <w:t>Directivei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Habitate</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r w:rsidRPr="00814C24">
        <w:rPr>
          <w:color w:val="000000" w:themeColor="text1"/>
          <w:sz w:val="24"/>
          <w:szCs w:val="24"/>
          <w:lang w:val="fr-FR"/>
        </w:rPr>
        <w:t xml:space="preserve">Formate de </w:t>
      </w:r>
      <w:proofErr w:type="spellStart"/>
      <w:r w:rsidRPr="00814C24">
        <w:rPr>
          <w:color w:val="000000" w:themeColor="text1"/>
          <w:sz w:val="24"/>
          <w:szCs w:val="24"/>
          <w:lang w:val="fr-FR"/>
        </w:rPr>
        <w:t>raportare</w:t>
      </w:r>
      <w:proofErr w:type="spellEnd"/>
      <w:r w:rsidRPr="00814C24">
        <w:rPr>
          <w:color w:val="000000" w:themeColor="text1"/>
          <w:spacing w:val="-2"/>
          <w:sz w:val="24"/>
          <w:szCs w:val="24"/>
          <w:lang w:val="fr-FR"/>
        </w:rPr>
        <w:t xml:space="preserve"> </w:t>
      </w:r>
      <w:proofErr w:type="spellStart"/>
      <w:r w:rsidRPr="00814C24">
        <w:rPr>
          <w:color w:val="000000" w:themeColor="text1"/>
          <w:sz w:val="24"/>
          <w:szCs w:val="24"/>
          <w:lang w:val="fr-FR"/>
        </w:rPr>
        <w:t>pentru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Perioada</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2012)</w:t>
      </w:r>
      <w:r w:rsidRPr="00814C24">
        <w:rPr>
          <w:color w:val="000000" w:themeColor="text1"/>
          <w:spacing w:val="58"/>
          <w:sz w:val="24"/>
          <w:szCs w:val="24"/>
          <w:lang w:val="fr-FR"/>
        </w:rPr>
        <w:t xml:space="preserve"> </w:t>
      </w:r>
      <w:r w:rsidRPr="00814C24">
        <w:rPr>
          <w:color w:val="000000" w:themeColor="text1"/>
          <w:sz w:val="24"/>
          <w:szCs w:val="24"/>
          <w:lang w:val="fr-FR"/>
        </w:rPr>
        <w:t>:</w:t>
      </w:r>
    </w:p>
    <w:p w14:paraId="5E9E7A94" w14:textId="77777777" w:rsidR="006735BF" w:rsidRPr="00814C24" w:rsidRDefault="006735BF" w:rsidP="009E63E5">
      <w:pPr>
        <w:pStyle w:val="BodyText"/>
        <w:numPr>
          <w:ilvl w:val="0"/>
          <w:numId w:val="186"/>
        </w:numPr>
        <w:spacing w:line="274" w:lineRule="exact"/>
        <w:ind w:right="14"/>
        <w:jc w:val="both"/>
        <w:rPr>
          <w:color w:val="000000" w:themeColor="text1"/>
          <w:sz w:val="24"/>
          <w:szCs w:val="24"/>
          <w:lang w:val="fr-FR"/>
        </w:rPr>
      </w:pPr>
      <w:proofErr w:type="spellStart"/>
      <w:r w:rsidRPr="00814C24">
        <w:rPr>
          <w:color w:val="000000" w:themeColor="text1"/>
          <w:sz w:val="24"/>
          <w:szCs w:val="24"/>
          <w:lang w:val="fr-FR"/>
        </w:rPr>
        <w:t>roşu</w:t>
      </w:r>
      <w:proofErr w:type="spellEnd"/>
      <w:r w:rsidRPr="00814C24">
        <w:rPr>
          <w:color w:val="000000" w:themeColor="text1"/>
          <w:spacing w:val="-2"/>
          <w:sz w:val="24"/>
          <w:szCs w:val="24"/>
          <w:lang w:val="fr-FR"/>
        </w:rPr>
        <w:t xml:space="preserve"> </w:t>
      </w:r>
      <w:proofErr w:type="spellStart"/>
      <w:r w:rsidRPr="00814C24">
        <w:rPr>
          <w:color w:val="000000" w:themeColor="text1"/>
          <w:sz w:val="24"/>
          <w:szCs w:val="24"/>
          <w:lang w:val="fr-FR"/>
        </w:rPr>
        <w:t>pentru</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w:t>
      </w:r>
      <w:proofErr w:type="spellStart"/>
      <w:r w:rsidRPr="00814C24">
        <w:rPr>
          <w:color w:val="000000" w:themeColor="text1"/>
          <w:sz w:val="24"/>
          <w:szCs w:val="24"/>
          <w:lang w:val="fr-FR"/>
        </w:rPr>
        <w:t>nefavorabil-rău</w:t>
      </w:r>
      <w:proofErr w:type="spellEnd"/>
      <w:r w:rsidRPr="00814C24">
        <w:rPr>
          <w:color w:val="000000" w:themeColor="text1"/>
          <w:sz w:val="24"/>
          <w:szCs w:val="24"/>
          <w:lang w:val="fr-FR"/>
        </w:rPr>
        <w:t>”;</w:t>
      </w:r>
    </w:p>
    <w:p w14:paraId="00D16838" w14:textId="77777777" w:rsidR="00182DE3" w:rsidRDefault="006735BF" w:rsidP="009E63E5">
      <w:pPr>
        <w:pStyle w:val="BodyText"/>
        <w:numPr>
          <w:ilvl w:val="0"/>
          <w:numId w:val="186"/>
        </w:numPr>
        <w:ind w:right="14"/>
        <w:jc w:val="both"/>
        <w:rPr>
          <w:color w:val="000000" w:themeColor="text1"/>
          <w:sz w:val="24"/>
          <w:szCs w:val="24"/>
          <w:lang w:val="fr-FR"/>
        </w:rPr>
      </w:pPr>
      <w:proofErr w:type="spellStart"/>
      <w:r w:rsidRPr="00814C24">
        <w:rPr>
          <w:color w:val="000000" w:themeColor="text1"/>
          <w:sz w:val="24"/>
          <w:szCs w:val="24"/>
          <w:lang w:val="fr-FR"/>
        </w:rPr>
        <w:t>portocaliu</w:t>
      </w:r>
      <w:proofErr w:type="spellEnd"/>
      <w:r w:rsidRPr="00814C24">
        <w:rPr>
          <w:color w:val="000000" w:themeColor="text1"/>
          <w:spacing w:val="-3"/>
          <w:sz w:val="24"/>
          <w:szCs w:val="24"/>
          <w:lang w:val="fr-FR"/>
        </w:rPr>
        <w:t xml:space="preserve"> </w:t>
      </w:r>
      <w:proofErr w:type="spellStart"/>
      <w:r w:rsidRPr="00814C24">
        <w:rPr>
          <w:color w:val="000000" w:themeColor="text1"/>
          <w:sz w:val="24"/>
          <w:szCs w:val="24"/>
          <w:lang w:val="fr-FR"/>
        </w:rPr>
        <w:t>pentru</w:t>
      </w:r>
      <w:proofErr w:type="spellEnd"/>
      <w:r w:rsidRPr="00814C24">
        <w:rPr>
          <w:color w:val="000000" w:themeColor="text1"/>
          <w:spacing w:val="-2"/>
          <w:sz w:val="24"/>
          <w:szCs w:val="24"/>
          <w:lang w:val="fr-FR"/>
        </w:rPr>
        <w:t xml:space="preserve"> </w:t>
      </w:r>
      <w:r w:rsidRPr="00814C24">
        <w:rPr>
          <w:color w:val="000000" w:themeColor="text1"/>
          <w:sz w:val="24"/>
          <w:szCs w:val="24"/>
          <w:lang w:val="fr-FR"/>
        </w:rPr>
        <w:t>„</w:t>
      </w:r>
      <w:proofErr w:type="spellStart"/>
      <w:r w:rsidRPr="00814C24">
        <w:rPr>
          <w:color w:val="000000" w:themeColor="text1"/>
          <w:sz w:val="24"/>
          <w:szCs w:val="24"/>
          <w:lang w:val="fr-FR"/>
        </w:rPr>
        <w:t>nefavorabil-inadecvat</w:t>
      </w:r>
      <w:proofErr w:type="spellEnd"/>
      <w:r w:rsidRPr="00814C24">
        <w:rPr>
          <w:color w:val="000000" w:themeColor="text1"/>
          <w:sz w:val="24"/>
          <w:szCs w:val="24"/>
          <w:lang w:val="fr-FR"/>
        </w:rPr>
        <w:t>”;</w:t>
      </w:r>
    </w:p>
    <w:p w14:paraId="7C97E7C2" w14:textId="77777777" w:rsidR="00182DE3" w:rsidRPr="00182DE3" w:rsidRDefault="006735BF" w:rsidP="009E63E5">
      <w:pPr>
        <w:pStyle w:val="BodyText"/>
        <w:numPr>
          <w:ilvl w:val="0"/>
          <w:numId w:val="186"/>
        </w:numPr>
        <w:ind w:right="14"/>
        <w:jc w:val="both"/>
        <w:rPr>
          <w:color w:val="000000" w:themeColor="text1"/>
          <w:sz w:val="24"/>
          <w:szCs w:val="24"/>
          <w:lang w:val="fr-FR"/>
        </w:rPr>
      </w:pPr>
      <w:proofErr w:type="spellStart"/>
      <w:r w:rsidRPr="00182DE3">
        <w:rPr>
          <w:color w:val="000000" w:themeColor="text1"/>
          <w:sz w:val="24"/>
          <w:szCs w:val="24"/>
        </w:rPr>
        <w:t>verde</w:t>
      </w:r>
      <w:proofErr w:type="spellEnd"/>
      <w:r w:rsidRPr="00182DE3">
        <w:rPr>
          <w:color w:val="000000" w:themeColor="text1"/>
          <w:spacing w:val="-4"/>
          <w:sz w:val="24"/>
          <w:szCs w:val="24"/>
        </w:rPr>
        <w:t xml:space="preserve"> </w:t>
      </w:r>
      <w:proofErr w:type="spellStart"/>
      <w:r w:rsidRPr="00182DE3">
        <w:rPr>
          <w:color w:val="000000" w:themeColor="text1"/>
          <w:sz w:val="24"/>
          <w:szCs w:val="24"/>
        </w:rPr>
        <w:t>pentru</w:t>
      </w:r>
      <w:proofErr w:type="spellEnd"/>
      <w:r w:rsidRPr="00182DE3">
        <w:rPr>
          <w:color w:val="000000" w:themeColor="text1"/>
          <w:spacing w:val="-1"/>
          <w:sz w:val="24"/>
          <w:szCs w:val="24"/>
        </w:rPr>
        <w:t xml:space="preserve"> </w:t>
      </w:r>
      <w:r w:rsidRPr="00182DE3">
        <w:rPr>
          <w:color w:val="000000" w:themeColor="text1"/>
          <w:sz w:val="24"/>
          <w:szCs w:val="24"/>
        </w:rPr>
        <w:t>„</w:t>
      </w:r>
      <w:proofErr w:type="spellStart"/>
      <w:r w:rsidRPr="00182DE3">
        <w:rPr>
          <w:color w:val="000000" w:themeColor="text1"/>
          <w:sz w:val="24"/>
          <w:szCs w:val="24"/>
        </w:rPr>
        <w:t>favorabil</w:t>
      </w:r>
      <w:proofErr w:type="spellEnd"/>
      <w:r w:rsidRPr="00182DE3">
        <w:rPr>
          <w:color w:val="000000" w:themeColor="text1"/>
          <w:sz w:val="24"/>
          <w:szCs w:val="24"/>
        </w:rPr>
        <w:t>”;</w:t>
      </w:r>
    </w:p>
    <w:p w14:paraId="6AA2FF40" w14:textId="77777777" w:rsidR="006735BF" w:rsidRPr="00182DE3" w:rsidRDefault="006735BF" w:rsidP="009E63E5">
      <w:pPr>
        <w:pStyle w:val="BodyText"/>
        <w:numPr>
          <w:ilvl w:val="0"/>
          <w:numId w:val="186"/>
        </w:numPr>
        <w:ind w:right="14" w:firstLine="0"/>
        <w:jc w:val="both"/>
        <w:rPr>
          <w:color w:val="000000" w:themeColor="text1"/>
          <w:sz w:val="24"/>
          <w:szCs w:val="24"/>
          <w:lang w:val="fr-FR"/>
        </w:rPr>
      </w:pPr>
      <w:proofErr w:type="spellStart"/>
      <w:r w:rsidRPr="00182DE3">
        <w:rPr>
          <w:color w:val="000000" w:themeColor="text1"/>
          <w:sz w:val="24"/>
          <w:szCs w:val="24"/>
        </w:rPr>
        <w:lastRenderedPageBreak/>
        <w:t>gri</w:t>
      </w:r>
      <w:proofErr w:type="spellEnd"/>
      <w:r w:rsidRPr="00182DE3">
        <w:rPr>
          <w:color w:val="000000" w:themeColor="text1"/>
          <w:spacing w:val="-2"/>
          <w:sz w:val="24"/>
          <w:szCs w:val="24"/>
        </w:rPr>
        <w:t xml:space="preserve"> </w:t>
      </w:r>
      <w:proofErr w:type="spellStart"/>
      <w:r w:rsidRPr="00182DE3">
        <w:rPr>
          <w:color w:val="000000" w:themeColor="text1"/>
          <w:sz w:val="24"/>
          <w:szCs w:val="24"/>
        </w:rPr>
        <w:t>pentru</w:t>
      </w:r>
      <w:proofErr w:type="spellEnd"/>
      <w:r w:rsidRPr="00182DE3">
        <w:rPr>
          <w:color w:val="000000" w:themeColor="text1"/>
          <w:spacing w:val="-2"/>
          <w:sz w:val="24"/>
          <w:szCs w:val="24"/>
        </w:rPr>
        <w:t xml:space="preserve"> </w:t>
      </w:r>
      <w:r w:rsidRPr="00182DE3">
        <w:rPr>
          <w:color w:val="000000" w:themeColor="text1"/>
          <w:sz w:val="24"/>
          <w:szCs w:val="24"/>
        </w:rPr>
        <w:t>„</w:t>
      </w:r>
      <w:proofErr w:type="spellStart"/>
      <w:r w:rsidRPr="00182DE3">
        <w:rPr>
          <w:color w:val="000000" w:themeColor="text1"/>
          <w:sz w:val="24"/>
          <w:szCs w:val="24"/>
        </w:rPr>
        <w:t>necunoscut</w:t>
      </w:r>
      <w:proofErr w:type="spellEnd"/>
      <w:r w:rsidRPr="00182DE3">
        <w:rPr>
          <w:color w:val="000000" w:themeColor="text1"/>
          <w:sz w:val="24"/>
          <w:szCs w:val="24"/>
        </w:rPr>
        <w:t>”.</w:t>
      </w:r>
    </w:p>
    <w:p w14:paraId="0A2736B6" w14:textId="77777777" w:rsidR="006735BF" w:rsidRPr="00814C24" w:rsidRDefault="006735BF" w:rsidP="00182DE3">
      <w:pPr>
        <w:pStyle w:val="BodyText"/>
        <w:spacing w:before="40"/>
        <w:ind w:left="0" w:right="14"/>
        <w:jc w:val="both"/>
        <w:rPr>
          <w:color w:val="000000" w:themeColor="text1"/>
          <w:sz w:val="24"/>
          <w:szCs w:val="24"/>
        </w:rPr>
      </w:pPr>
      <w:proofErr w:type="spellStart"/>
      <w:r w:rsidRPr="00814C24">
        <w:rPr>
          <w:color w:val="000000" w:themeColor="text1"/>
          <w:sz w:val="24"/>
          <w:szCs w:val="24"/>
        </w:rPr>
        <w:t>Având</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pacing w:val="1"/>
          <w:sz w:val="24"/>
          <w:szCs w:val="24"/>
        </w:rPr>
        <w:t xml:space="preserve"> </w:t>
      </w:r>
      <w:proofErr w:type="spellStart"/>
      <w:r w:rsidRPr="00814C24">
        <w:rPr>
          <w:color w:val="000000" w:themeColor="text1"/>
          <w:sz w:val="24"/>
          <w:szCs w:val="24"/>
        </w:rPr>
        <w:t>vedere</w:t>
      </w:r>
      <w:proofErr w:type="spellEnd"/>
      <w:r w:rsidRPr="00814C24">
        <w:rPr>
          <w:color w:val="000000" w:themeColor="text1"/>
          <w:spacing w:val="1"/>
          <w:sz w:val="24"/>
          <w:szCs w:val="24"/>
        </w:rPr>
        <w:t xml:space="preserve"> </w:t>
      </w:r>
      <w:proofErr w:type="spellStart"/>
      <w:r w:rsidRPr="00814C24">
        <w:rPr>
          <w:color w:val="000000" w:themeColor="text1"/>
          <w:sz w:val="24"/>
          <w:szCs w:val="24"/>
        </w:rPr>
        <w:t>că</w:t>
      </w:r>
      <w:proofErr w:type="spellEnd"/>
      <w:r w:rsidRPr="00814C24">
        <w:rPr>
          <w:color w:val="000000" w:themeColor="text1"/>
          <w:sz w:val="24"/>
          <w:szCs w:val="24"/>
        </w:rPr>
        <w:t xml:space="preserve"> </w:t>
      </w:r>
      <w:proofErr w:type="spellStart"/>
      <w:r w:rsidRPr="00814C24">
        <w:rPr>
          <w:color w:val="000000" w:themeColor="text1"/>
          <w:sz w:val="24"/>
          <w:szCs w:val="24"/>
        </w:rPr>
        <w:t>speciile</w:t>
      </w:r>
      <w:proofErr w:type="spellEnd"/>
      <w:r w:rsidRPr="00814C24">
        <w:rPr>
          <w:color w:val="000000" w:themeColor="text1"/>
          <w:sz w:val="24"/>
          <w:szCs w:val="24"/>
        </w:rPr>
        <w:t xml:space="preserve"> </w:t>
      </w:r>
      <w:proofErr w:type="spellStart"/>
      <w:r w:rsidRPr="00814C24">
        <w:rPr>
          <w:color w:val="000000" w:themeColor="text1"/>
          <w:sz w:val="24"/>
          <w:szCs w:val="24"/>
        </w:rPr>
        <w:t>şi</w:t>
      </w:r>
      <w:proofErr w:type="spellEnd"/>
      <w:r w:rsidRPr="00814C24">
        <w:rPr>
          <w:color w:val="000000" w:themeColor="text1"/>
          <w:spacing w:val="1"/>
          <w:sz w:val="24"/>
          <w:szCs w:val="24"/>
        </w:rPr>
        <w:t xml:space="preserve"> </w:t>
      </w:r>
      <w:proofErr w:type="spellStart"/>
      <w:r w:rsidRPr="00814C24">
        <w:rPr>
          <w:color w:val="000000" w:themeColor="text1"/>
          <w:sz w:val="24"/>
          <w:szCs w:val="24"/>
        </w:rPr>
        <w:t>tipurile</w:t>
      </w:r>
      <w:proofErr w:type="spellEnd"/>
      <w:r w:rsidRPr="00814C24">
        <w:rPr>
          <w:color w:val="000000" w:themeColor="text1"/>
          <w:sz w:val="24"/>
          <w:szCs w:val="24"/>
        </w:rPr>
        <w:t xml:space="preserve"> de </w:t>
      </w:r>
      <w:proofErr w:type="spellStart"/>
      <w:r w:rsidRPr="00814C24">
        <w:rPr>
          <w:color w:val="000000" w:themeColor="text1"/>
          <w:sz w:val="24"/>
          <w:szCs w:val="24"/>
        </w:rPr>
        <w:t>habitatele</w:t>
      </w:r>
      <w:proofErr w:type="spellEnd"/>
      <w:r w:rsidRPr="00814C24">
        <w:rPr>
          <w:color w:val="000000" w:themeColor="text1"/>
          <w:sz w:val="24"/>
          <w:szCs w:val="24"/>
        </w:rPr>
        <w:t xml:space="preserve"> de</w:t>
      </w:r>
      <w:r w:rsidRPr="00814C24">
        <w:rPr>
          <w:color w:val="000000" w:themeColor="text1"/>
          <w:spacing w:val="1"/>
          <w:sz w:val="24"/>
          <w:szCs w:val="24"/>
        </w:rPr>
        <w:t xml:space="preserve"> </w:t>
      </w:r>
      <w:proofErr w:type="spellStart"/>
      <w:r w:rsidRPr="00814C24">
        <w:rPr>
          <w:color w:val="000000" w:themeColor="text1"/>
          <w:sz w:val="24"/>
          <w:szCs w:val="24"/>
        </w:rPr>
        <w:t>importanţă</w:t>
      </w:r>
      <w:proofErr w:type="spellEnd"/>
      <w:r w:rsidRPr="00814C24">
        <w:rPr>
          <w:color w:val="000000" w:themeColor="text1"/>
          <w:spacing w:val="1"/>
          <w:sz w:val="24"/>
          <w:szCs w:val="24"/>
        </w:rPr>
        <w:t xml:space="preserve"> </w:t>
      </w:r>
      <w:proofErr w:type="spellStart"/>
      <w:r w:rsidRPr="00814C24">
        <w:rPr>
          <w:color w:val="000000" w:themeColor="text1"/>
          <w:sz w:val="24"/>
          <w:szCs w:val="24"/>
        </w:rPr>
        <w:t>comunitară</w:t>
      </w:r>
      <w:proofErr w:type="spellEnd"/>
      <w:r w:rsidRPr="00814C24">
        <w:rPr>
          <w:color w:val="000000" w:themeColor="text1"/>
          <w:sz w:val="24"/>
          <w:szCs w:val="24"/>
        </w:rPr>
        <w:t xml:space="preserve"> au</w:t>
      </w:r>
      <w:r w:rsidRPr="00814C24">
        <w:rPr>
          <w:color w:val="000000" w:themeColor="text1"/>
          <w:spacing w:val="60"/>
          <w:sz w:val="24"/>
          <w:szCs w:val="24"/>
        </w:rPr>
        <w:t xml:space="preserve"> </w:t>
      </w:r>
      <w:proofErr w:type="spellStart"/>
      <w:r w:rsidRPr="00814C24">
        <w:rPr>
          <w:color w:val="000000" w:themeColor="text1"/>
          <w:sz w:val="24"/>
          <w:szCs w:val="24"/>
        </w:rPr>
        <w:t>fost</w:t>
      </w:r>
      <w:proofErr w:type="spellEnd"/>
      <w:r w:rsidRPr="00814C24">
        <w:rPr>
          <w:color w:val="000000" w:themeColor="text1"/>
          <w:sz w:val="24"/>
          <w:szCs w:val="24"/>
        </w:rPr>
        <w:t xml:space="preserve"> </w:t>
      </w:r>
      <w:proofErr w:type="spellStart"/>
      <w:r w:rsidRPr="00814C24">
        <w:rPr>
          <w:color w:val="000000" w:themeColor="text1"/>
          <w:sz w:val="24"/>
          <w:szCs w:val="24"/>
        </w:rPr>
        <w:t>listate</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pacing w:val="1"/>
          <w:sz w:val="24"/>
          <w:szCs w:val="24"/>
        </w:rPr>
        <w:t xml:space="preserve"> </w:t>
      </w:r>
      <w:proofErr w:type="spellStart"/>
      <w:r w:rsidRPr="00814C24">
        <w:rPr>
          <w:color w:val="000000" w:themeColor="text1"/>
          <w:sz w:val="24"/>
          <w:szCs w:val="24"/>
        </w:rPr>
        <w:t>cadrul</w:t>
      </w:r>
      <w:proofErr w:type="spellEnd"/>
      <w:r w:rsidRPr="00814C24">
        <w:rPr>
          <w:color w:val="000000" w:themeColor="text1"/>
          <w:sz w:val="24"/>
          <w:szCs w:val="24"/>
        </w:rPr>
        <w:t xml:space="preserve"> </w:t>
      </w:r>
      <w:proofErr w:type="spellStart"/>
      <w:r w:rsidRPr="00814C24">
        <w:rPr>
          <w:color w:val="000000" w:themeColor="text1"/>
          <w:sz w:val="24"/>
          <w:szCs w:val="24"/>
        </w:rPr>
        <w:t>anexelor</w:t>
      </w:r>
      <w:proofErr w:type="spellEnd"/>
      <w:r w:rsidRPr="00814C24">
        <w:rPr>
          <w:color w:val="000000" w:themeColor="text1"/>
          <w:sz w:val="24"/>
          <w:szCs w:val="24"/>
        </w:rPr>
        <w:t xml:space="preserve"> </w:t>
      </w:r>
      <w:proofErr w:type="spellStart"/>
      <w:r w:rsidRPr="00814C24">
        <w:rPr>
          <w:color w:val="000000" w:themeColor="text1"/>
          <w:sz w:val="24"/>
          <w:szCs w:val="24"/>
        </w:rPr>
        <w:t>Directivei</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urma</w:t>
      </w:r>
      <w:proofErr w:type="spellEnd"/>
      <w:r w:rsidRPr="00814C24">
        <w:rPr>
          <w:color w:val="000000" w:themeColor="text1"/>
          <w:sz w:val="24"/>
          <w:szCs w:val="24"/>
        </w:rPr>
        <w:t xml:space="preserve"> </w:t>
      </w:r>
      <w:proofErr w:type="spellStart"/>
      <w:r w:rsidRPr="00814C24">
        <w:rPr>
          <w:color w:val="000000" w:themeColor="text1"/>
          <w:sz w:val="24"/>
          <w:szCs w:val="24"/>
        </w:rPr>
        <w:t>unor</w:t>
      </w:r>
      <w:proofErr w:type="spellEnd"/>
      <w:r w:rsidRPr="00814C24">
        <w:rPr>
          <w:color w:val="000000" w:themeColor="text1"/>
          <w:sz w:val="24"/>
          <w:szCs w:val="24"/>
        </w:rPr>
        <w:t xml:space="preserve"> </w:t>
      </w:r>
      <w:proofErr w:type="spellStart"/>
      <w:r w:rsidRPr="00814C24">
        <w:rPr>
          <w:color w:val="000000" w:themeColor="text1"/>
          <w:sz w:val="24"/>
          <w:szCs w:val="24"/>
        </w:rPr>
        <w:t>studii</w:t>
      </w:r>
      <w:proofErr w:type="spellEnd"/>
      <w:r w:rsidRPr="00814C24">
        <w:rPr>
          <w:color w:val="000000" w:themeColor="text1"/>
          <w:sz w:val="24"/>
          <w:szCs w:val="24"/>
        </w:rPr>
        <w:t xml:space="preserve"> </w:t>
      </w:r>
      <w:proofErr w:type="spellStart"/>
      <w:r w:rsidRPr="00814C24">
        <w:rPr>
          <w:color w:val="000000" w:themeColor="text1"/>
          <w:sz w:val="24"/>
          <w:szCs w:val="24"/>
        </w:rPr>
        <w:t>și</w:t>
      </w:r>
      <w:proofErr w:type="spellEnd"/>
      <w:r w:rsidRPr="00814C24">
        <w:rPr>
          <w:color w:val="000000" w:themeColor="text1"/>
          <w:sz w:val="24"/>
          <w:szCs w:val="24"/>
        </w:rPr>
        <w:t xml:space="preserve"> </w:t>
      </w:r>
      <w:proofErr w:type="spellStart"/>
      <w:r w:rsidRPr="00814C24">
        <w:rPr>
          <w:color w:val="000000" w:themeColor="text1"/>
          <w:sz w:val="24"/>
          <w:szCs w:val="24"/>
        </w:rPr>
        <w:t>aprecieri</w:t>
      </w:r>
      <w:proofErr w:type="spellEnd"/>
      <w:r w:rsidRPr="00814C24">
        <w:rPr>
          <w:color w:val="000000" w:themeColor="text1"/>
          <w:sz w:val="24"/>
          <w:szCs w:val="24"/>
        </w:rPr>
        <w:t xml:space="preserve"> </w:t>
      </w:r>
      <w:proofErr w:type="spellStart"/>
      <w:r w:rsidRPr="00814C24">
        <w:rPr>
          <w:color w:val="000000" w:themeColor="text1"/>
          <w:sz w:val="24"/>
          <w:szCs w:val="24"/>
        </w:rPr>
        <w:t>prin</w:t>
      </w:r>
      <w:proofErr w:type="spellEnd"/>
      <w:r w:rsidRPr="00814C24">
        <w:rPr>
          <w:color w:val="000000" w:themeColor="text1"/>
          <w:sz w:val="24"/>
          <w:szCs w:val="24"/>
        </w:rPr>
        <w:t xml:space="preserve"> care s-a </w:t>
      </w:r>
      <w:proofErr w:type="spellStart"/>
      <w:r w:rsidRPr="00814C24">
        <w:rPr>
          <w:color w:val="000000" w:themeColor="text1"/>
          <w:sz w:val="24"/>
          <w:szCs w:val="24"/>
        </w:rPr>
        <w:t>constatat</w:t>
      </w:r>
      <w:proofErr w:type="spellEnd"/>
      <w:r w:rsidRPr="00814C24">
        <w:rPr>
          <w:color w:val="000000" w:themeColor="text1"/>
          <w:sz w:val="24"/>
          <w:szCs w:val="24"/>
        </w:rPr>
        <w:t xml:space="preserve"> </w:t>
      </w:r>
      <w:proofErr w:type="spellStart"/>
      <w:r w:rsidRPr="00814C24">
        <w:rPr>
          <w:color w:val="000000" w:themeColor="text1"/>
          <w:sz w:val="24"/>
          <w:szCs w:val="24"/>
        </w:rPr>
        <w:t>că</w:t>
      </w:r>
      <w:proofErr w:type="spellEnd"/>
      <w:r w:rsidRPr="00814C24">
        <w:rPr>
          <w:color w:val="000000" w:themeColor="text1"/>
          <w:sz w:val="24"/>
          <w:szCs w:val="24"/>
        </w:rPr>
        <w:t xml:space="preserve"> sunt </w:t>
      </w:r>
      <w:proofErr w:type="spellStart"/>
      <w:r w:rsidRPr="00814C24">
        <w:rPr>
          <w:color w:val="000000" w:themeColor="text1"/>
          <w:sz w:val="24"/>
          <w:szCs w:val="24"/>
        </w:rPr>
        <w:t>ameninţate</w:t>
      </w:r>
      <w:proofErr w:type="spellEnd"/>
      <w:r w:rsidRPr="00814C24">
        <w:rPr>
          <w:color w:val="000000" w:themeColor="text1"/>
          <w:sz w:val="24"/>
          <w:szCs w:val="24"/>
        </w:rPr>
        <w:t>,</w:t>
      </w:r>
      <w:r w:rsidRPr="00814C24">
        <w:rPr>
          <w:color w:val="000000" w:themeColor="text1"/>
          <w:spacing w:val="1"/>
          <w:sz w:val="24"/>
          <w:szCs w:val="24"/>
        </w:rPr>
        <w:t xml:space="preserve"> </w:t>
      </w:r>
      <w:r w:rsidRPr="00814C24">
        <w:rPr>
          <w:color w:val="000000" w:themeColor="text1"/>
          <w:sz w:val="24"/>
          <w:szCs w:val="24"/>
        </w:rPr>
        <w:t xml:space="preserve">rare </w:t>
      </w:r>
      <w:proofErr w:type="spellStart"/>
      <w:r w:rsidRPr="00814C24">
        <w:rPr>
          <w:color w:val="000000" w:themeColor="text1"/>
          <w:sz w:val="24"/>
          <w:szCs w:val="24"/>
        </w:rPr>
        <w:t>sau</w:t>
      </w:r>
      <w:proofErr w:type="spellEnd"/>
      <w:r w:rsidRPr="00814C24">
        <w:rPr>
          <w:color w:val="000000" w:themeColor="text1"/>
          <w:sz w:val="24"/>
          <w:szCs w:val="24"/>
        </w:rPr>
        <w:t xml:space="preserve"> </w:t>
      </w:r>
      <w:proofErr w:type="spellStart"/>
      <w:r w:rsidRPr="00814C24">
        <w:rPr>
          <w:color w:val="000000" w:themeColor="text1"/>
          <w:sz w:val="24"/>
          <w:szCs w:val="24"/>
        </w:rPr>
        <w:t>endemice</w:t>
      </w:r>
      <w:proofErr w:type="spellEnd"/>
      <w:r w:rsidRPr="00814C24">
        <w:rPr>
          <w:color w:val="000000" w:themeColor="text1"/>
          <w:sz w:val="24"/>
          <w:szCs w:val="24"/>
        </w:rPr>
        <w:t xml:space="preserve">, nu </w:t>
      </w:r>
      <w:proofErr w:type="spellStart"/>
      <w:r w:rsidRPr="00814C24">
        <w:rPr>
          <w:color w:val="000000" w:themeColor="text1"/>
          <w:sz w:val="24"/>
          <w:szCs w:val="24"/>
        </w:rPr>
        <w:t>ar</w:t>
      </w:r>
      <w:proofErr w:type="spellEnd"/>
      <w:r w:rsidRPr="00814C24">
        <w:rPr>
          <w:color w:val="000000" w:themeColor="text1"/>
          <w:sz w:val="24"/>
          <w:szCs w:val="24"/>
        </w:rPr>
        <w:t xml:space="preserve"> </w:t>
      </w:r>
      <w:proofErr w:type="spellStart"/>
      <w:r w:rsidRPr="00814C24">
        <w:rPr>
          <w:color w:val="000000" w:themeColor="text1"/>
          <w:sz w:val="24"/>
          <w:szCs w:val="24"/>
        </w:rPr>
        <w:t>trebui</w:t>
      </w:r>
      <w:proofErr w:type="spellEnd"/>
      <w:r w:rsidRPr="00814C24">
        <w:rPr>
          <w:color w:val="000000" w:themeColor="text1"/>
          <w:sz w:val="24"/>
          <w:szCs w:val="24"/>
        </w:rPr>
        <w:t xml:space="preserve"> </w:t>
      </w:r>
      <w:proofErr w:type="spellStart"/>
      <w:r w:rsidRPr="00814C24">
        <w:rPr>
          <w:color w:val="000000" w:themeColor="text1"/>
          <w:sz w:val="24"/>
          <w:szCs w:val="24"/>
        </w:rPr>
        <w:t>să</w:t>
      </w:r>
      <w:proofErr w:type="spellEnd"/>
      <w:r w:rsidRPr="00814C24">
        <w:rPr>
          <w:color w:val="000000" w:themeColor="text1"/>
          <w:sz w:val="24"/>
          <w:szCs w:val="24"/>
        </w:rPr>
        <w:t xml:space="preserve"> </w:t>
      </w:r>
      <w:proofErr w:type="spellStart"/>
      <w:r w:rsidRPr="00814C24">
        <w:rPr>
          <w:color w:val="000000" w:themeColor="text1"/>
          <w:sz w:val="24"/>
          <w:szCs w:val="24"/>
        </w:rPr>
        <w:t>surprindă</w:t>
      </w:r>
      <w:proofErr w:type="spellEnd"/>
      <w:r w:rsidRPr="00814C24">
        <w:rPr>
          <w:color w:val="000000" w:themeColor="text1"/>
          <w:sz w:val="24"/>
          <w:szCs w:val="24"/>
        </w:rPr>
        <w:t xml:space="preserve"> pe </w:t>
      </w:r>
      <w:proofErr w:type="spellStart"/>
      <w:r w:rsidRPr="00814C24">
        <w:rPr>
          <w:color w:val="000000" w:themeColor="text1"/>
          <w:sz w:val="24"/>
          <w:szCs w:val="24"/>
        </w:rPr>
        <w:t>nimeni</w:t>
      </w:r>
      <w:proofErr w:type="spellEnd"/>
      <w:r w:rsidRPr="00814C24">
        <w:rPr>
          <w:color w:val="000000" w:themeColor="text1"/>
          <w:sz w:val="24"/>
          <w:szCs w:val="24"/>
        </w:rPr>
        <w:t xml:space="preserve"> </w:t>
      </w:r>
      <w:proofErr w:type="spellStart"/>
      <w:r w:rsidRPr="00814C24">
        <w:rPr>
          <w:color w:val="000000" w:themeColor="text1"/>
          <w:sz w:val="24"/>
          <w:szCs w:val="24"/>
        </w:rPr>
        <w:t>faptul</w:t>
      </w:r>
      <w:proofErr w:type="spellEnd"/>
      <w:r w:rsidRPr="00814C24">
        <w:rPr>
          <w:color w:val="000000" w:themeColor="text1"/>
          <w:sz w:val="24"/>
          <w:szCs w:val="24"/>
        </w:rPr>
        <w:t xml:space="preserve"> </w:t>
      </w:r>
      <w:proofErr w:type="spellStart"/>
      <w:r w:rsidRPr="00814C24">
        <w:rPr>
          <w:color w:val="000000" w:themeColor="text1"/>
          <w:sz w:val="24"/>
          <w:szCs w:val="24"/>
        </w:rPr>
        <w:t>că</w:t>
      </w:r>
      <w:proofErr w:type="spellEnd"/>
      <w:r w:rsidRPr="00814C24">
        <w:rPr>
          <w:color w:val="000000" w:themeColor="text1"/>
          <w:sz w:val="24"/>
          <w:szCs w:val="24"/>
        </w:rPr>
        <w:t xml:space="preserve"> </w:t>
      </w:r>
      <w:proofErr w:type="spellStart"/>
      <w:r w:rsidRPr="00814C24">
        <w:rPr>
          <w:color w:val="000000" w:themeColor="text1"/>
          <w:sz w:val="24"/>
          <w:szCs w:val="24"/>
        </w:rPr>
        <w:t>majoritatea</w:t>
      </w:r>
      <w:proofErr w:type="spellEnd"/>
      <w:r w:rsidRPr="00814C24">
        <w:rPr>
          <w:color w:val="000000" w:themeColor="text1"/>
          <w:sz w:val="24"/>
          <w:szCs w:val="24"/>
        </w:rPr>
        <w:t xml:space="preserve"> </w:t>
      </w:r>
      <w:proofErr w:type="spellStart"/>
      <w:r w:rsidRPr="00814C24">
        <w:rPr>
          <w:color w:val="000000" w:themeColor="text1"/>
          <w:sz w:val="24"/>
          <w:szCs w:val="24"/>
        </w:rPr>
        <w:t>dintre</w:t>
      </w:r>
      <w:proofErr w:type="spellEnd"/>
      <w:r w:rsidRPr="00814C24">
        <w:rPr>
          <w:color w:val="000000" w:themeColor="text1"/>
          <w:sz w:val="24"/>
          <w:szCs w:val="24"/>
        </w:rPr>
        <w:t xml:space="preserve"> </w:t>
      </w:r>
      <w:proofErr w:type="spellStart"/>
      <w:r w:rsidRPr="00814C24">
        <w:rPr>
          <w:color w:val="000000" w:themeColor="text1"/>
          <w:sz w:val="24"/>
          <w:szCs w:val="24"/>
        </w:rPr>
        <w:t>acestea</w:t>
      </w:r>
      <w:proofErr w:type="spellEnd"/>
      <w:r w:rsidRPr="00814C24">
        <w:rPr>
          <w:color w:val="000000" w:themeColor="text1"/>
          <w:sz w:val="24"/>
          <w:szCs w:val="24"/>
        </w:rPr>
        <w:t xml:space="preserve"> se</w:t>
      </w:r>
      <w:r w:rsidRPr="00814C24">
        <w:rPr>
          <w:color w:val="000000" w:themeColor="text1"/>
          <w:spacing w:val="1"/>
          <w:sz w:val="24"/>
          <w:szCs w:val="24"/>
        </w:rPr>
        <w:t xml:space="preserve"> </w:t>
      </w:r>
      <w:proofErr w:type="spellStart"/>
      <w:r w:rsidRPr="00814C24">
        <w:rPr>
          <w:color w:val="000000" w:themeColor="text1"/>
          <w:sz w:val="24"/>
          <w:szCs w:val="24"/>
        </w:rPr>
        <w:t>încadrează</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categoriile</w:t>
      </w:r>
      <w:proofErr w:type="spellEnd"/>
      <w:r w:rsidRPr="00814C24">
        <w:rPr>
          <w:color w:val="000000" w:themeColor="text1"/>
          <w:sz w:val="24"/>
          <w:szCs w:val="24"/>
        </w:rPr>
        <w:t xml:space="preserve">   „</w:t>
      </w:r>
      <w:proofErr w:type="spellStart"/>
      <w:r w:rsidRPr="00814C24">
        <w:rPr>
          <w:color w:val="000000" w:themeColor="text1"/>
          <w:sz w:val="24"/>
          <w:szCs w:val="24"/>
        </w:rPr>
        <w:t>nefavorabil-inadecvat</w:t>
      </w:r>
      <w:proofErr w:type="spellEnd"/>
      <w:r w:rsidRPr="00814C24">
        <w:rPr>
          <w:color w:val="000000" w:themeColor="text1"/>
          <w:sz w:val="24"/>
          <w:szCs w:val="24"/>
        </w:rPr>
        <w:t>” (</w:t>
      </w:r>
      <w:proofErr w:type="spellStart"/>
      <w:r w:rsidRPr="00814C24">
        <w:rPr>
          <w:color w:val="000000" w:themeColor="text1"/>
          <w:sz w:val="24"/>
          <w:szCs w:val="24"/>
        </w:rPr>
        <w:t>portocoliu</w:t>
      </w:r>
      <w:proofErr w:type="spellEnd"/>
      <w:r w:rsidRPr="00814C24">
        <w:rPr>
          <w:color w:val="000000" w:themeColor="text1"/>
          <w:sz w:val="24"/>
          <w:szCs w:val="24"/>
        </w:rPr>
        <w:t xml:space="preserve">) </w:t>
      </w:r>
      <w:proofErr w:type="spellStart"/>
      <w:r w:rsidRPr="00814C24">
        <w:rPr>
          <w:color w:val="000000" w:themeColor="text1"/>
          <w:sz w:val="24"/>
          <w:szCs w:val="24"/>
        </w:rPr>
        <w:t>sau</w:t>
      </w:r>
      <w:proofErr w:type="spellEnd"/>
      <w:r w:rsidRPr="00814C24">
        <w:rPr>
          <w:color w:val="000000" w:themeColor="text1"/>
          <w:sz w:val="24"/>
          <w:szCs w:val="24"/>
        </w:rPr>
        <w:t xml:space="preserve"> „</w:t>
      </w:r>
      <w:proofErr w:type="spellStart"/>
      <w:r w:rsidRPr="00814C24">
        <w:rPr>
          <w:color w:val="000000" w:themeColor="text1"/>
          <w:sz w:val="24"/>
          <w:szCs w:val="24"/>
        </w:rPr>
        <w:t>nefavorabil-rău</w:t>
      </w:r>
      <w:proofErr w:type="spellEnd"/>
      <w:r w:rsidRPr="00814C24">
        <w:rPr>
          <w:color w:val="000000" w:themeColor="text1"/>
          <w:sz w:val="24"/>
          <w:szCs w:val="24"/>
        </w:rPr>
        <w:t>”(</w:t>
      </w:r>
      <w:proofErr w:type="spellStart"/>
      <w:r w:rsidRPr="00814C24">
        <w:rPr>
          <w:color w:val="000000" w:themeColor="text1"/>
          <w:sz w:val="24"/>
          <w:szCs w:val="24"/>
        </w:rPr>
        <w:t>roșu</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ceea</w:t>
      </w:r>
      <w:proofErr w:type="spellEnd"/>
      <w:r w:rsidRPr="00814C24">
        <w:rPr>
          <w:color w:val="000000" w:themeColor="text1"/>
          <w:spacing w:val="1"/>
          <w:sz w:val="24"/>
          <w:szCs w:val="24"/>
        </w:rPr>
        <w:t xml:space="preserve"> </w:t>
      </w:r>
      <w:proofErr w:type="spellStart"/>
      <w:r w:rsidRPr="00814C24">
        <w:rPr>
          <w:color w:val="000000" w:themeColor="text1"/>
          <w:sz w:val="24"/>
          <w:szCs w:val="24"/>
        </w:rPr>
        <w:t>ce</w:t>
      </w:r>
      <w:proofErr w:type="spellEnd"/>
      <w:r w:rsidRPr="00814C24">
        <w:rPr>
          <w:color w:val="000000" w:themeColor="text1"/>
          <w:sz w:val="24"/>
          <w:szCs w:val="24"/>
        </w:rPr>
        <w:t xml:space="preserve"> </w:t>
      </w:r>
      <w:proofErr w:type="spellStart"/>
      <w:r w:rsidRPr="00814C24">
        <w:rPr>
          <w:color w:val="000000" w:themeColor="text1"/>
          <w:sz w:val="24"/>
          <w:szCs w:val="24"/>
        </w:rPr>
        <w:t>privește</w:t>
      </w:r>
      <w:proofErr w:type="spellEnd"/>
      <w:r w:rsidRPr="00814C24">
        <w:rPr>
          <w:color w:val="000000" w:themeColor="text1"/>
          <w:sz w:val="24"/>
          <w:szCs w:val="24"/>
        </w:rPr>
        <w:t xml:space="preserve"> </w:t>
      </w:r>
      <w:proofErr w:type="spellStart"/>
      <w:r w:rsidRPr="00814C24">
        <w:rPr>
          <w:color w:val="000000" w:themeColor="text1"/>
          <w:sz w:val="24"/>
          <w:szCs w:val="24"/>
        </w:rPr>
        <w:t>starea</w:t>
      </w:r>
      <w:proofErr w:type="spellEnd"/>
      <w:r w:rsidRPr="00814C24">
        <w:rPr>
          <w:color w:val="000000" w:themeColor="text1"/>
          <w:sz w:val="24"/>
          <w:szCs w:val="24"/>
        </w:rPr>
        <w:t xml:space="preserve"> lor de </w:t>
      </w:r>
      <w:proofErr w:type="spellStart"/>
      <w:r w:rsidRPr="00814C24">
        <w:rPr>
          <w:color w:val="000000" w:themeColor="text1"/>
          <w:sz w:val="24"/>
          <w:szCs w:val="24"/>
        </w:rPr>
        <w:t>conservare</w:t>
      </w:r>
      <w:proofErr w:type="spellEnd"/>
      <w:r w:rsidRPr="00814C24">
        <w:rPr>
          <w:color w:val="000000" w:themeColor="text1"/>
          <w:sz w:val="24"/>
          <w:szCs w:val="24"/>
        </w:rPr>
        <w:t xml:space="preserve">. </w:t>
      </w:r>
      <w:proofErr w:type="spellStart"/>
      <w:r w:rsidRPr="00814C24">
        <w:rPr>
          <w:color w:val="000000" w:themeColor="text1"/>
          <w:sz w:val="24"/>
          <w:szCs w:val="24"/>
        </w:rPr>
        <w:t>Deasemenea</w:t>
      </w:r>
      <w:proofErr w:type="spellEnd"/>
      <w:r w:rsidRPr="00814C24">
        <w:rPr>
          <w:color w:val="000000" w:themeColor="text1"/>
          <w:sz w:val="24"/>
          <w:szCs w:val="24"/>
        </w:rPr>
        <w:t xml:space="preserve">, </w:t>
      </w:r>
      <w:proofErr w:type="spellStart"/>
      <w:r w:rsidRPr="00814C24">
        <w:rPr>
          <w:color w:val="000000" w:themeColor="text1"/>
          <w:sz w:val="24"/>
          <w:szCs w:val="24"/>
        </w:rPr>
        <w:t>ţinând</w:t>
      </w:r>
      <w:proofErr w:type="spellEnd"/>
      <w:r w:rsidRPr="00814C24">
        <w:rPr>
          <w:color w:val="000000" w:themeColor="text1"/>
          <w:sz w:val="24"/>
          <w:szCs w:val="24"/>
        </w:rPr>
        <w:t xml:space="preserve"> </w:t>
      </w:r>
      <w:proofErr w:type="spellStart"/>
      <w:r w:rsidRPr="00814C24">
        <w:rPr>
          <w:color w:val="000000" w:themeColor="text1"/>
          <w:sz w:val="24"/>
          <w:szCs w:val="24"/>
        </w:rPr>
        <w:t>cont</w:t>
      </w:r>
      <w:proofErr w:type="spellEnd"/>
      <w:r w:rsidRPr="00814C24">
        <w:rPr>
          <w:color w:val="000000" w:themeColor="text1"/>
          <w:sz w:val="24"/>
          <w:szCs w:val="24"/>
        </w:rPr>
        <w:t xml:space="preserve"> de </w:t>
      </w:r>
      <w:proofErr w:type="spellStart"/>
      <w:r w:rsidRPr="00814C24">
        <w:rPr>
          <w:color w:val="000000" w:themeColor="text1"/>
          <w:sz w:val="24"/>
          <w:szCs w:val="24"/>
        </w:rPr>
        <w:t>faptul</w:t>
      </w:r>
      <w:proofErr w:type="spellEnd"/>
      <w:r w:rsidRPr="00814C24">
        <w:rPr>
          <w:color w:val="000000" w:themeColor="text1"/>
          <w:sz w:val="24"/>
          <w:szCs w:val="24"/>
        </w:rPr>
        <w:t xml:space="preserve"> </w:t>
      </w:r>
      <w:proofErr w:type="spellStart"/>
      <w:r w:rsidRPr="00814C24">
        <w:rPr>
          <w:color w:val="000000" w:themeColor="text1"/>
          <w:sz w:val="24"/>
          <w:szCs w:val="24"/>
        </w:rPr>
        <w:t>că</w:t>
      </w:r>
      <w:proofErr w:type="spellEnd"/>
      <w:r w:rsidRPr="00814C24">
        <w:rPr>
          <w:color w:val="000000" w:themeColor="text1"/>
          <w:sz w:val="24"/>
          <w:szCs w:val="24"/>
        </w:rPr>
        <w:t xml:space="preserve"> </w:t>
      </w:r>
      <w:proofErr w:type="spellStart"/>
      <w:r w:rsidRPr="00814C24">
        <w:rPr>
          <w:color w:val="000000" w:themeColor="text1"/>
          <w:sz w:val="24"/>
          <w:szCs w:val="24"/>
        </w:rPr>
        <w:t>este</w:t>
      </w:r>
      <w:proofErr w:type="spellEnd"/>
      <w:r w:rsidRPr="00814C24">
        <w:rPr>
          <w:color w:val="000000" w:themeColor="text1"/>
          <w:sz w:val="24"/>
          <w:szCs w:val="24"/>
        </w:rPr>
        <w:t xml:space="preserve"> </w:t>
      </w:r>
      <w:proofErr w:type="spellStart"/>
      <w:r w:rsidRPr="00814C24">
        <w:rPr>
          <w:color w:val="000000" w:themeColor="text1"/>
          <w:sz w:val="24"/>
          <w:szCs w:val="24"/>
        </w:rPr>
        <w:t>necesară</w:t>
      </w:r>
      <w:proofErr w:type="spellEnd"/>
      <w:r w:rsidRPr="00814C24">
        <w:rPr>
          <w:color w:val="000000" w:themeColor="text1"/>
          <w:spacing w:val="1"/>
          <w:sz w:val="24"/>
          <w:szCs w:val="24"/>
        </w:rPr>
        <w:t xml:space="preserve"> </w:t>
      </w:r>
      <w:r w:rsidRPr="00814C24">
        <w:rPr>
          <w:color w:val="000000" w:themeColor="text1"/>
          <w:sz w:val="24"/>
          <w:szCs w:val="24"/>
        </w:rPr>
        <w:t xml:space="preserve">o </w:t>
      </w:r>
      <w:proofErr w:type="spellStart"/>
      <w:r w:rsidRPr="00814C24">
        <w:rPr>
          <w:color w:val="000000" w:themeColor="text1"/>
          <w:sz w:val="24"/>
          <w:szCs w:val="24"/>
        </w:rPr>
        <w:t>lungă</w:t>
      </w:r>
      <w:proofErr w:type="spellEnd"/>
      <w:r w:rsidRPr="00814C24">
        <w:rPr>
          <w:color w:val="000000" w:themeColor="text1"/>
          <w:spacing w:val="1"/>
          <w:sz w:val="24"/>
          <w:szCs w:val="24"/>
        </w:rPr>
        <w:t xml:space="preserve"> </w:t>
      </w:r>
      <w:proofErr w:type="spellStart"/>
      <w:r w:rsidRPr="00814C24">
        <w:rPr>
          <w:color w:val="000000" w:themeColor="text1"/>
          <w:sz w:val="24"/>
          <w:szCs w:val="24"/>
        </w:rPr>
        <w:t>perioadă</w:t>
      </w:r>
      <w:proofErr w:type="spellEnd"/>
      <w:r w:rsidRPr="00814C24">
        <w:rPr>
          <w:color w:val="000000" w:themeColor="text1"/>
          <w:sz w:val="24"/>
          <w:szCs w:val="24"/>
        </w:rPr>
        <w:t xml:space="preserve"> de </w:t>
      </w:r>
      <w:proofErr w:type="spellStart"/>
      <w:r w:rsidRPr="00814C24">
        <w:rPr>
          <w:color w:val="000000" w:themeColor="text1"/>
          <w:sz w:val="24"/>
          <w:szCs w:val="24"/>
        </w:rPr>
        <w:t>timp</w:t>
      </w:r>
      <w:proofErr w:type="spellEnd"/>
      <w:r w:rsidRPr="00814C24">
        <w:rPr>
          <w:color w:val="000000" w:themeColor="text1"/>
          <w:sz w:val="24"/>
          <w:szCs w:val="24"/>
        </w:rPr>
        <w:t xml:space="preserve"> </w:t>
      </w:r>
      <w:proofErr w:type="spellStart"/>
      <w:r w:rsidRPr="00814C24">
        <w:rPr>
          <w:color w:val="000000" w:themeColor="text1"/>
          <w:sz w:val="24"/>
          <w:szCs w:val="24"/>
        </w:rPr>
        <w:t>pentru</w:t>
      </w:r>
      <w:proofErr w:type="spellEnd"/>
      <w:r w:rsidRPr="00814C24">
        <w:rPr>
          <w:color w:val="000000" w:themeColor="text1"/>
          <w:sz w:val="24"/>
          <w:szCs w:val="24"/>
        </w:rPr>
        <w:t xml:space="preserve"> ca o specie </w:t>
      </w:r>
      <w:proofErr w:type="spellStart"/>
      <w:r w:rsidRPr="00814C24">
        <w:rPr>
          <w:color w:val="000000" w:themeColor="text1"/>
          <w:sz w:val="24"/>
          <w:szCs w:val="24"/>
        </w:rPr>
        <w:t>sau</w:t>
      </w:r>
      <w:proofErr w:type="spellEnd"/>
      <w:r w:rsidRPr="00814C24">
        <w:rPr>
          <w:color w:val="000000" w:themeColor="text1"/>
          <w:sz w:val="24"/>
          <w:szCs w:val="24"/>
        </w:rPr>
        <w:t xml:space="preserve"> un tip de habitat </w:t>
      </w:r>
      <w:proofErr w:type="spellStart"/>
      <w:r w:rsidRPr="00814C24">
        <w:rPr>
          <w:color w:val="000000" w:themeColor="text1"/>
          <w:sz w:val="24"/>
          <w:szCs w:val="24"/>
        </w:rPr>
        <w:t>să</w:t>
      </w:r>
      <w:proofErr w:type="spellEnd"/>
      <w:r w:rsidRPr="00814C24">
        <w:rPr>
          <w:color w:val="000000" w:themeColor="text1"/>
          <w:sz w:val="24"/>
          <w:szCs w:val="24"/>
        </w:rPr>
        <w:t xml:space="preserve"> </w:t>
      </w:r>
      <w:proofErr w:type="spellStart"/>
      <w:r w:rsidRPr="00814C24">
        <w:rPr>
          <w:color w:val="000000" w:themeColor="text1"/>
          <w:sz w:val="24"/>
          <w:szCs w:val="24"/>
        </w:rPr>
        <w:t>ajungă</w:t>
      </w:r>
      <w:proofErr w:type="spellEnd"/>
      <w:r w:rsidRPr="00814C24">
        <w:rPr>
          <w:color w:val="000000" w:themeColor="text1"/>
          <w:sz w:val="24"/>
          <w:szCs w:val="24"/>
        </w:rPr>
        <w:t xml:space="preserve"> </w:t>
      </w:r>
      <w:proofErr w:type="spellStart"/>
      <w:r w:rsidRPr="00814C24">
        <w:rPr>
          <w:color w:val="000000" w:themeColor="text1"/>
          <w:sz w:val="24"/>
          <w:szCs w:val="24"/>
        </w:rPr>
        <w:t>într</w:t>
      </w:r>
      <w:proofErr w:type="spellEnd"/>
      <w:r w:rsidRPr="00814C24">
        <w:rPr>
          <w:color w:val="000000" w:themeColor="text1"/>
          <w:sz w:val="24"/>
          <w:szCs w:val="24"/>
        </w:rPr>
        <w:t xml:space="preserve">-o stare de </w:t>
      </w:r>
      <w:proofErr w:type="spellStart"/>
      <w:r w:rsidRPr="00814C24">
        <w:rPr>
          <w:color w:val="000000" w:themeColor="text1"/>
          <w:sz w:val="24"/>
          <w:szCs w:val="24"/>
        </w:rPr>
        <w:t>conservare</w:t>
      </w:r>
      <w:proofErr w:type="spellEnd"/>
      <w:r w:rsidRPr="00814C24">
        <w:rPr>
          <w:color w:val="000000" w:themeColor="text1"/>
          <w:spacing w:val="1"/>
          <w:sz w:val="24"/>
          <w:szCs w:val="24"/>
        </w:rPr>
        <w:t xml:space="preserve"> </w:t>
      </w:r>
      <w:proofErr w:type="spellStart"/>
      <w:r w:rsidRPr="00814C24">
        <w:rPr>
          <w:color w:val="000000" w:themeColor="text1"/>
          <w:sz w:val="24"/>
          <w:szCs w:val="24"/>
        </w:rPr>
        <w:t>favorabilă</w:t>
      </w:r>
      <w:proofErr w:type="spellEnd"/>
      <w:r w:rsidRPr="00814C24">
        <w:rPr>
          <w:color w:val="000000" w:themeColor="text1"/>
          <w:sz w:val="24"/>
          <w:szCs w:val="24"/>
        </w:rPr>
        <w:t xml:space="preserve">, nu </w:t>
      </w:r>
      <w:proofErr w:type="spellStart"/>
      <w:r w:rsidRPr="00814C24">
        <w:rPr>
          <w:color w:val="000000" w:themeColor="text1"/>
          <w:sz w:val="24"/>
          <w:szCs w:val="24"/>
        </w:rPr>
        <w:t>ar</w:t>
      </w:r>
      <w:proofErr w:type="spellEnd"/>
      <w:r w:rsidRPr="00814C24">
        <w:rPr>
          <w:color w:val="000000" w:themeColor="text1"/>
          <w:sz w:val="24"/>
          <w:szCs w:val="24"/>
        </w:rPr>
        <w:t xml:space="preserve"> </w:t>
      </w:r>
      <w:proofErr w:type="spellStart"/>
      <w:r w:rsidRPr="00814C24">
        <w:rPr>
          <w:color w:val="000000" w:themeColor="text1"/>
          <w:sz w:val="24"/>
          <w:szCs w:val="24"/>
        </w:rPr>
        <w:t>trebui</w:t>
      </w:r>
      <w:proofErr w:type="spellEnd"/>
      <w:r w:rsidRPr="00814C24">
        <w:rPr>
          <w:color w:val="000000" w:themeColor="text1"/>
          <w:sz w:val="24"/>
          <w:szCs w:val="24"/>
        </w:rPr>
        <w:t xml:space="preserve"> </w:t>
      </w:r>
      <w:proofErr w:type="spellStart"/>
      <w:r w:rsidRPr="00814C24">
        <w:rPr>
          <w:color w:val="000000" w:themeColor="text1"/>
          <w:sz w:val="24"/>
          <w:szCs w:val="24"/>
        </w:rPr>
        <w:t>să</w:t>
      </w:r>
      <w:proofErr w:type="spellEnd"/>
      <w:r w:rsidRPr="00814C24">
        <w:rPr>
          <w:color w:val="000000" w:themeColor="text1"/>
          <w:sz w:val="24"/>
          <w:szCs w:val="24"/>
        </w:rPr>
        <w:t xml:space="preserve"> fie </w:t>
      </w:r>
      <w:proofErr w:type="spellStart"/>
      <w:r w:rsidRPr="00814C24">
        <w:rPr>
          <w:color w:val="000000" w:themeColor="text1"/>
          <w:sz w:val="24"/>
          <w:szCs w:val="24"/>
        </w:rPr>
        <w:t>surprinzător</w:t>
      </w:r>
      <w:proofErr w:type="spellEnd"/>
      <w:r w:rsidRPr="00814C24">
        <w:rPr>
          <w:color w:val="000000" w:themeColor="text1"/>
          <w:sz w:val="24"/>
          <w:szCs w:val="24"/>
        </w:rPr>
        <w:t xml:space="preserve"> </w:t>
      </w:r>
      <w:proofErr w:type="spellStart"/>
      <w:r w:rsidRPr="00814C24">
        <w:rPr>
          <w:color w:val="000000" w:themeColor="text1"/>
          <w:sz w:val="24"/>
          <w:szCs w:val="24"/>
        </w:rPr>
        <w:t>faptul</w:t>
      </w:r>
      <w:proofErr w:type="spellEnd"/>
      <w:r w:rsidRPr="00814C24">
        <w:rPr>
          <w:color w:val="000000" w:themeColor="text1"/>
          <w:sz w:val="24"/>
          <w:szCs w:val="24"/>
        </w:rPr>
        <w:t xml:space="preserve"> </w:t>
      </w:r>
      <w:proofErr w:type="spellStart"/>
      <w:r w:rsidRPr="00814C24">
        <w:rPr>
          <w:color w:val="000000" w:themeColor="text1"/>
          <w:sz w:val="24"/>
          <w:szCs w:val="24"/>
        </w:rPr>
        <w:t>că</w:t>
      </w:r>
      <w:proofErr w:type="spellEnd"/>
      <w:r w:rsidRPr="00814C24">
        <w:rPr>
          <w:color w:val="000000" w:themeColor="text1"/>
          <w:sz w:val="24"/>
          <w:szCs w:val="24"/>
        </w:rPr>
        <w:t xml:space="preserve"> </w:t>
      </w:r>
      <w:proofErr w:type="spellStart"/>
      <w:r w:rsidRPr="00814C24">
        <w:rPr>
          <w:color w:val="000000" w:themeColor="text1"/>
          <w:sz w:val="24"/>
          <w:szCs w:val="24"/>
        </w:rPr>
        <w:t>respectiva</w:t>
      </w:r>
      <w:proofErr w:type="spellEnd"/>
      <w:r w:rsidRPr="00814C24">
        <w:rPr>
          <w:color w:val="000000" w:themeColor="text1"/>
          <w:sz w:val="24"/>
          <w:szCs w:val="24"/>
        </w:rPr>
        <w:t xml:space="preserve"> specie </w:t>
      </w:r>
      <w:proofErr w:type="spellStart"/>
      <w:r w:rsidRPr="00814C24">
        <w:rPr>
          <w:color w:val="000000" w:themeColor="text1"/>
          <w:sz w:val="24"/>
          <w:szCs w:val="24"/>
        </w:rPr>
        <w:t>sau</w:t>
      </w:r>
      <w:proofErr w:type="spellEnd"/>
      <w:r w:rsidRPr="00814C24">
        <w:rPr>
          <w:color w:val="000000" w:themeColor="text1"/>
          <w:sz w:val="24"/>
          <w:szCs w:val="24"/>
        </w:rPr>
        <w:t xml:space="preserve"> </w:t>
      </w:r>
      <w:proofErr w:type="spellStart"/>
      <w:r w:rsidRPr="00814C24">
        <w:rPr>
          <w:color w:val="000000" w:themeColor="text1"/>
          <w:sz w:val="24"/>
          <w:szCs w:val="24"/>
        </w:rPr>
        <w:t>respectivul</w:t>
      </w:r>
      <w:proofErr w:type="spellEnd"/>
      <w:r w:rsidRPr="00814C24">
        <w:rPr>
          <w:color w:val="000000" w:themeColor="text1"/>
          <w:sz w:val="24"/>
          <w:szCs w:val="24"/>
        </w:rPr>
        <w:t xml:space="preserve"> tip de habitat</w:t>
      </w:r>
      <w:r w:rsidRPr="00814C24">
        <w:rPr>
          <w:color w:val="000000" w:themeColor="text1"/>
          <w:spacing w:val="1"/>
          <w:sz w:val="24"/>
          <w:szCs w:val="24"/>
        </w:rPr>
        <w:t xml:space="preserve"> </w:t>
      </w:r>
      <w:proofErr w:type="spellStart"/>
      <w:r w:rsidRPr="00814C24">
        <w:rPr>
          <w:color w:val="000000" w:themeColor="text1"/>
          <w:sz w:val="24"/>
          <w:szCs w:val="24"/>
        </w:rPr>
        <w:t>rămâne</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starea</w:t>
      </w:r>
      <w:proofErr w:type="spellEnd"/>
      <w:r w:rsidRPr="00814C24">
        <w:rPr>
          <w:color w:val="000000" w:themeColor="text1"/>
          <w:sz w:val="24"/>
          <w:szCs w:val="24"/>
        </w:rPr>
        <w:t xml:space="preserve"> de </w:t>
      </w:r>
      <w:proofErr w:type="spellStart"/>
      <w:r w:rsidRPr="00814C24">
        <w:rPr>
          <w:color w:val="000000" w:themeColor="text1"/>
          <w:sz w:val="24"/>
          <w:szCs w:val="24"/>
        </w:rPr>
        <w:t>conservare</w:t>
      </w:r>
      <w:proofErr w:type="spellEnd"/>
      <w:r w:rsidRPr="00814C24">
        <w:rPr>
          <w:color w:val="000000" w:themeColor="text1"/>
          <w:sz w:val="24"/>
          <w:szCs w:val="24"/>
        </w:rPr>
        <w:t xml:space="preserve"> </w:t>
      </w:r>
      <w:proofErr w:type="spellStart"/>
      <w:r w:rsidRPr="00814C24">
        <w:rPr>
          <w:color w:val="000000" w:themeColor="text1"/>
          <w:sz w:val="24"/>
          <w:szCs w:val="24"/>
        </w:rPr>
        <w:t>nefavorabilă</w:t>
      </w:r>
      <w:proofErr w:type="spellEnd"/>
      <w:r w:rsidRPr="00814C24">
        <w:rPr>
          <w:color w:val="000000" w:themeColor="text1"/>
          <w:sz w:val="24"/>
          <w:szCs w:val="24"/>
        </w:rPr>
        <w:t xml:space="preserve"> un </w:t>
      </w:r>
      <w:proofErr w:type="spellStart"/>
      <w:r w:rsidRPr="00814C24">
        <w:rPr>
          <w:color w:val="000000" w:themeColor="text1"/>
          <w:sz w:val="24"/>
          <w:szCs w:val="24"/>
        </w:rPr>
        <w:t>timp</w:t>
      </w:r>
      <w:proofErr w:type="spellEnd"/>
      <w:r w:rsidRPr="00814C24">
        <w:rPr>
          <w:color w:val="000000" w:themeColor="text1"/>
          <w:sz w:val="24"/>
          <w:szCs w:val="24"/>
        </w:rPr>
        <w:t xml:space="preserve"> </w:t>
      </w:r>
      <w:proofErr w:type="spellStart"/>
      <w:r w:rsidRPr="00814C24">
        <w:rPr>
          <w:color w:val="000000" w:themeColor="text1"/>
          <w:sz w:val="24"/>
          <w:szCs w:val="24"/>
        </w:rPr>
        <w:t>îndelungat</w:t>
      </w:r>
      <w:proofErr w:type="spellEnd"/>
      <w:r w:rsidRPr="00814C24">
        <w:rPr>
          <w:color w:val="000000" w:themeColor="text1"/>
          <w:sz w:val="24"/>
          <w:szCs w:val="24"/>
        </w:rPr>
        <w:t xml:space="preserve">, </w:t>
      </w:r>
      <w:proofErr w:type="spellStart"/>
      <w:r w:rsidRPr="00814C24">
        <w:rPr>
          <w:color w:val="000000" w:themeColor="text1"/>
          <w:sz w:val="24"/>
          <w:szCs w:val="24"/>
        </w:rPr>
        <w:t>chiar</w:t>
      </w:r>
      <w:proofErr w:type="spellEnd"/>
      <w:r w:rsidRPr="00814C24">
        <w:rPr>
          <w:color w:val="000000" w:themeColor="text1"/>
          <w:sz w:val="24"/>
          <w:szCs w:val="24"/>
        </w:rPr>
        <w:t xml:space="preserve"> </w:t>
      </w:r>
      <w:proofErr w:type="spellStart"/>
      <w:r w:rsidRPr="00814C24">
        <w:rPr>
          <w:color w:val="000000" w:themeColor="text1"/>
          <w:sz w:val="24"/>
          <w:szCs w:val="24"/>
        </w:rPr>
        <w:t>dacă</w:t>
      </w:r>
      <w:proofErr w:type="spellEnd"/>
      <w:r w:rsidRPr="00814C24">
        <w:rPr>
          <w:color w:val="000000" w:themeColor="text1"/>
          <w:sz w:val="24"/>
          <w:szCs w:val="24"/>
        </w:rPr>
        <w:t xml:space="preserve"> la </w:t>
      </w:r>
      <w:proofErr w:type="spellStart"/>
      <w:r w:rsidRPr="00814C24">
        <w:rPr>
          <w:color w:val="000000" w:themeColor="text1"/>
          <w:sz w:val="24"/>
          <w:szCs w:val="24"/>
        </w:rPr>
        <w:t>nivelul</w:t>
      </w:r>
      <w:proofErr w:type="spellEnd"/>
      <w:r w:rsidRPr="00814C24">
        <w:rPr>
          <w:color w:val="000000" w:themeColor="text1"/>
          <w:sz w:val="24"/>
          <w:szCs w:val="24"/>
        </w:rPr>
        <w:t xml:space="preserve"> </w:t>
      </w:r>
      <w:proofErr w:type="spellStart"/>
      <w:r w:rsidRPr="00814C24">
        <w:rPr>
          <w:color w:val="000000" w:themeColor="text1"/>
          <w:sz w:val="24"/>
          <w:szCs w:val="24"/>
        </w:rPr>
        <w:t>ariei</w:t>
      </w:r>
      <w:proofErr w:type="spellEnd"/>
      <w:r w:rsidRPr="00814C24">
        <w:rPr>
          <w:color w:val="000000" w:themeColor="text1"/>
          <w:sz w:val="24"/>
          <w:szCs w:val="24"/>
        </w:rPr>
        <w:t xml:space="preserve"> </w:t>
      </w:r>
      <w:proofErr w:type="spellStart"/>
      <w:r w:rsidRPr="00814C24">
        <w:rPr>
          <w:color w:val="000000" w:themeColor="text1"/>
          <w:sz w:val="24"/>
          <w:szCs w:val="24"/>
        </w:rPr>
        <w:t>naturale</w:t>
      </w:r>
      <w:proofErr w:type="spellEnd"/>
      <w:r w:rsidRPr="00814C24">
        <w:rPr>
          <w:color w:val="000000" w:themeColor="text1"/>
          <w:spacing w:val="1"/>
          <w:sz w:val="24"/>
          <w:szCs w:val="24"/>
        </w:rPr>
        <w:t xml:space="preserve"> </w:t>
      </w:r>
      <w:proofErr w:type="spellStart"/>
      <w:r w:rsidRPr="00814C24">
        <w:rPr>
          <w:color w:val="000000" w:themeColor="text1"/>
          <w:sz w:val="24"/>
          <w:szCs w:val="24"/>
        </w:rPr>
        <w:t>protejate</w:t>
      </w:r>
      <w:proofErr w:type="spellEnd"/>
      <w:r w:rsidRPr="00814C24">
        <w:rPr>
          <w:color w:val="000000" w:themeColor="text1"/>
          <w:spacing w:val="-1"/>
          <w:sz w:val="24"/>
          <w:szCs w:val="24"/>
        </w:rPr>
        <w:t xml:space="preserve"> </w:t>
      </w:r>
      <w:r w:rsidRPr="00814C24">
        <w:rPr>
          <w:color w:val="000000" w:themeColor="text1"/>
          <w:sz w:val="24"/>
          <w:szCs w:val="24"/>
        </w:rPr>
        <w:t>respective</w:t>
      </w:r>
      <w:r w:rsidRPr="00814C24">
        <w:rPr>
          <w:color w:val="000000" w:themeColor="text1"/>
          <w:spacing w:val="-1"/>
          <w:sz w:val="24"/>
          <w:szCs w:val="24"/>
        </w:rPr>
        <w:t xml:space="preserve"> </w:t>
      </w:r>
      <w:r w:rsidRPr="00814C24">
        <w:rPr>
          <w:color w:val="000000" w:themeColor="text1"/>
          <w:sz w:val="24"/>
          <w:szCs w:val="24"/>
        </w:rPr>
        <w:t>sunt</w:t>
      </w:r>
      <w:r w:rsidRPr="00814C24">
        <w:rPr>
          <w:color w:val="000000" w:themeColor="text1"/>
          <w:spacing w:val="2"/>
          <w:sz w:val="24"/>
          <w:szCs w:val="24"/>
        </w:rPr>
        <w:t xml:space="preserve"> </w:t>
      </w:r>
      <w:proofErr w:type="spellStart"/>
      <w:r w:rsidRPr="00814C24">
        <w:rPr>
          <w:color w:val="000000" w:themeColor="text1"/>
          <w:sz w:val="24"/>
          <w:szCs w:val="24"/>
        </w:rPr>
        <w:t>luate</w:t>
      </w:r>
      <w:proofErr w:type="spellEnd"/>
      <w:r w:rsidRPr="00814C24">
        <w:rPr>
          <w:color w:val="000000" w:themeColor="text1"/>
          <w:spacing w:val="-1"/>
          <w:sz w:val="24"/>
          <w:szCs w:val="24"/>
        </w:rPr>
        <w:t xml:space="preserve"> </w:t>
      </w:r>
      <w:proofErr w:type="spellStart"/>
      <w:r w:rsidRPr="00814C24">
        <w:rPr>
          <w:color w:val="000000" w:themeColor="text1"/>
          <w:sz w:val="24"/>
          <w:szCs w:val="24"/>
        </w:rPr>
        <w:t>măsuri</w:t>
      </w:r>
      <w:proofErr w:type="spellEnd"/>
      <w:r w:rsidRPr="00814C24">
        <w:rPr>
          <w:color w:val="000000" w:themeColor="text1"/>
          <w:spacing w:val="-1"/>
          <w:sz w:val="24"/>
          <w:szCs w:val="24"/>
        </w:rPr>
        <w:t xml:space="preserve"> </w:t>
      </w:r>
      <w:proofErr w:type="spellStart"/>
      <w:r w:rsidRPr="00814C24">
        <w:rPr>
          <w:color w:val="000000" w:themeColor="text1"/>
          <w:sz w:val="24"/>
          <w:szCs w:val="24"/>
        </w:rPr>
        <w:t>corespunzătoare</w:t>
      </w:r>
      <w:proofErr w:type="spellEnd"/>
      <w:r w:rsidRPr="00814C24">
        <w:rPr>
          <w:color w:val="000000" w:themeColor="text1"/>
          <w:sz w:val="24"/>
          <w:szCs w:val="24"/>
        </w:rPr>
        <w:t>.</w:t>
      </w:r>
    </w:p>
    <w:p w14:paraId="1D6A8C48" w14:textId="77777777" w:rsidR="006735BF" w:rsidRPr="00814C24" w:rsidRDefault="006735BF" w:rsidP="008E33FD">
      <w:pPr>
        <w:pStyle w:val="BodyText"/>
        <w:jc w:val="both"/>
        <w:rPr>
          <w:color w:val="000000" w:themeColor="text1"/>
          <w:sz w:val="24"/>
          <w:szCs w:val="24"/>
        </w:rPr>
      </w:pPr>
    </w:p>
    <w:p w14:paraId="1B94676C" w14:textId="77777777" w:rsidR="006735BF" w:rsidRPr="00814C24" w:rsidRDefault="006735BF" w:rsidP="008E33FD">
      <w:pPr>
        <w:pStyle w:val="BodyText"/>
        <w:spacing w:before="7"/>
        <w:jc w:val="both"/>
        <w:rPr>
          <w:color w:val="000000" w:themeColor="text1"/>
          <w:sz w:val="24"/>
          <w:szCs w:val="24"/>
        </w:rPr>
      </w:pPr>
    </w:p>
    <w:p w14:paraId="275055BB" w14:textId="77777777" w:rsidR="006735BF" w:rsidRPr="00814C24" w:rsidRDefault="006735BF" w:rsidP="00182DE3">
      <w:pPr>
        <w:pStyle w:val="Heading2"/>
        <w:widowControl w:val="0"/>
        <w:tabs>
          <w:tab w:val="left" w:pos="1232"/>
        </w:tabs>
        <w:autoSpaceDE w:val="0"/>
        <w:autoSpaceDN w:val="0"/>
        <w:spacing w:before="0" w:beforeAutospacing="0" w:after="0" w:afterAutospacing="0"/>
        <w:jc w:val="both"/>
        <w:rPr>
          <w:color w:val="000000" w:themeColor="text1"/>
          <w:sz w:val="24"/>
          <w:szCs w:val="24"/>
        </w:rPr>
      </w:pPr>
      <w:proofErr w:type="spellStart"/>
      <w:r w:rsidRPr="00814C24">
        <w:rPr>
          <w:color w:val="000000" w:themeColor="text1"/>
          <w:sz w:val="24"/>
          <w:szCs w:val="24"/>
        </w:rPr>
        <w:t>Evaluarea</w:t>
      </w:r>
      <w:proofErr w:type="spellEnd"/>
      <w:r w:rsidRPr="00814C24">
        <w:rPr>
          <w:color w:val="000000" w:themeColor="text1"/>
          <w:spacing w:val="-4"/>
          <w:sz w:val="24"/>
          <w:szCs w:val="24"/>
        </w:rPr>
        <w:t xml:space="preserve"> </w:t>
      </w:r>
      <w:proofErr w:type="spellStart"/>
      <w:r w:rsidRPr="00814C24">
        <w:rPr>
          <w:color w:val="000000" w:themeColor="text1"/>
          <w:sz w:val="24"/>
          <w:szCs w:val="24"/>
        </w:rPr>
        <w:t>tendințelor</w:t>
      </w:r>
      <w:proofErr w:type="spellEnd"/>
      <w:r w:rsidRPr="00814C24">
        <w:rPr>
          <w:color w:val="000000" w:themeColor="text1"/>
          <w:spacing w:val="-2"/>
          <w:sz w:val="24"/>
          <w:szCs w:val="24"/>
        </w:rPr>
        <w:t xml:space="preserve"> </w:t>
      </w:r>
      <w:r w:rsidRPr="00814C24">
        <w:rPr>
          <w:color w:val="000000" w:themeColor="text1"/>
          <w:sz w:val="24"/>
          <w:szCs w:val="24"/>
        </w:rPr>
        <w:t>pe</w:t>
      </w:r>
      <w:r w:rsidRPr="00814C24">
        <w:rPr>
          <w:color w:val="000000" w:themeColor="text1"/>
          <w:spacing w:val="-2"/>
          <w:sz w:val="24"/>
          <w:szCs w:val="24"/>
        </w:rPr>
        <w:t xml:space="preserve"> </w:t>
      </w:r>
      <w:r w:rsidRPr="00814C24">
        <w:rPr>
          <w:color w:val="000000" w:themeColor="text1"/>
          <w:sz w:val="24"/>
          <w:szCs w:val="24"/>
        </w:rPr>
        <w:t>termen</w:t>
      </w:r>
      <w:r w:rsidRPr="00814C24">
        <w:rPr>
          <w:color w:val="000000" w:themeColor="text1"/>
          <w:spacing w:val="-3"/>
          <w:sz w:val="24"/>
          <w:szCs w:val="24"/>
        </w:rPr>
        <w:t xml:space="preserve"> </w:t>
      </w:r>
      <w:proofErr w:type="spellStart"/>
      <w:r w:rsidRPr="00814C24">
        <w:rPr>
          <w:color w:val="000000" w:themeColor="text1"/>
          <w:sz w:val="24"/>
          <w:szCs w:val="24"/>
        </w:rPr>
        <w:t>scurt</w:t>
      </w:r>
      <w:proofErr w:type="spellEnd"/>
    </w:p>
    <w:p w14:paraId="4FF5A2F3" w14:textId="77777777" w:rsidR="006735BF" w:rsidRPr="00814C24" w:rsidRDefault="006735BF" w:rsidP="00182DE3">
      <w:pPr>
        <w:pStyle w:val="BodyText"/>
        <w:spacing w:before="155"/>
        <w:ind w:left="0" w:right="253"/>
        <w:jc w:val="both"/>
        <w:rPr>
          <w:color w:val="000000" w:themeColor="text1"/>
          <w:sz w:val="24"/>
          <w:szCs w:val="24"/>
        </w:rPr>
      </w:pPr>
      <w:proofErr w:type="spellStart"/>
      <w:r w:rsidRPr="00814C24">
        <w:rPr>
          <w:color w:val="000000" w:themeColor="text1"/>
          <w:sz w:val="24"/>
          <w:szCs w:val="24"/>
        </w:rPr>
        <w:t>Având</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vedere</w:t>
      </w:r>
      <w:proofErr w:type="spellEnd"/>
      <w:r w:rsidRPr="00814C24">
        <w:rPr>
          <w:color w:val="000000" w:themeColor="text1"/>
          <w:sz w:val="24"/>
          <w:szCs w:val="24"/>
        </w:rPr>
        <w:t xml:space="preserve"> </w:t>
      </w:r>
      <w:proofErr w:type="spellStart"/>
      <w:r w:rsidRPr="00814C24">
        <w:rPr>
          <w:color w:val="000000" w:themeColor="text1"/>
          <w:sz w:val="24"/>
          <w:szCs w:val="24"/>
        </w:rPr>
        <w:t>că</w:t>
      </w:r>
      <w:proofErr w:type="spellEnd"/>
      <w:r w:rsidRPr="00814C24">
        <w:rPr>
          <w:color w:val="000000" w:themeColor="text1"/>
          <w:sz w:val="24"/>
          <w:szCs w:val="24"/>
        </w:rPr>
        <w:t xml:space="preserve"> </w:t>
      </w:r>
      <w:proofErr w:type="spellStart"/>
      <w:r w:rsidRPr="00814C24">
        <w:rPr>
          <w:color w:val="000000" w:themeColor="text1"/>
          <w:sz w:val="24"/>
          <w:szCs w:val="24"/>
        </w:rPr>
        <w:t>România</w:t>
      </w:r>
      <w:proofErr w:type="spellEnd"/>
      <w:r w:rsidRPr="00814C24">
        <w:rPr>
          <w:color w:val="000000" w:themeColor="text1"/>
          <w:sz w:val="24"/>
          <w:szCs w:val="24"/>
        </w:rPr>
        <w:t xml:space="preserve"> </w:t>
      </w:r>
      <w:proofErr w:type="spellStart"/>
      <w:r w:rsidRPr="00814C24">
        <w:rPr>
          <w:color w:val="000000" w:themeColor="text1"/>
          <w:sz w:val="24"/>
          <w:szCs w:val="24"/>
        </w:rPr>
        <w:t>este</w:t>
      </w:r>
      <w:proofErr w:type="spellEnd"/>
      <w:r w:rsidRPr="00814C24">
        <w:rPr>
          <w:color w:val="000000" w:themeColor="text1"/>
          <w:sz w:val="24"/>
          <w:szCs w:val="24"/>
        </w:rPr>
        <w:t xml:space="preserve"> la a </w:t>
      </w:r>
      <w:proofErr w:type="spellStart"/>
      <w:r w:rsidRPr="00814C24">
        <w:rPr>
          <w:color w:val="000000" w:themeColor="text1"/>
          <w:sz w:val="24"/>
          <w:szCs w:val="24"/>
        </w:rPr>
        <w:t>doua</w:t>
      </w:r>
      <w:proofErr w:type="spellEnd"/>
      <w:r w:rsidRPr="00814C24">
        <w:rPr>
          <w:color w:val="000000" w:themeColor="text1"/>
          <w:sz w:val="24"/>
          <w:szCs w:val="24"/>
        </w:rPr>
        <w:t xml:space="preserve"> </w:t>
      </w:r>
      <w:proofErr w:type="spellStart"/>
      <w:r w:rsidRPr="00814C24">
        <w:rPr>
          <w:color w:val="000000" w:themeColor="text1"/>
          <w:sz w:val="24"/>
          <w:szCs w:val="24"/>
        </w:rPr>
        <w:t>raportare</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baza</w:t>
      </w:r>
      <w:proofErr w:type="spellEnd"/>
      <w:r w:rsidRPr="00814C24">
        <w:rPr>
          <w:color w:val="000000" w:themeColor="text1"/>
          <w:sz w:val="24"/>
          <w:szCs w:val="24"/>
        </w:rPr>
        <w:t xml:space="preserve"> art. 17 al </w:t>
      </w:r>
      <w:proofErr w:type="spellStart"/>
      <w:r w:rsidRPr="00814C24">
        <w:rPr>
          <w:color w:val="000000" w:themeColor="text1"/>
          <w:sz w:val="24"/>
          <w:szCs w:val="24"/>
        </w:rPr>
        <w:t>Directivei</w:t>
      </w:r>
      <w:proofErr w:type="spellEnd"/>
      <w:r w:rsidRPr="00814C24">
        <w:rPr>
          <w:color w:val="000000" w:themeColor="text1"/>
          <w:sz w:val="24"/>
          <w:szCs w:val="24"/>
        </w:rPr>
        <w:t xml:space="preserve"> </w:t>
      </w:r>
      <w:proofErr w:type="spellStart"/>
      <w:r w:rsidRPr="00814C24">
        <w:rPr>
          <w:color w:val="000000" w:themeColor="text1"/>
          <w:sz w:val="24"/>
          <w:szCs w:val="24"/>
        </w:rPr>
        <w:t>Habitate</w:t>
      </w:r>
      <w:proofErr w:type="spellEnd"/>
      <w:r w:rsidRPr="00814C24">
        <w:rPr>
          <w:color w:val="000000" w:themeColor="text1"/>
          <w:sz w:val="24"/>
          <w:szCs w:val="24"/>
        </w:rPr>
        <w:t>, prima</w:t>
      </w:r>
      <w:r w:rsidRPr="00814C24">
        <w:rPr>
          <w:color w:val="000000" w:themeColor="text1"/>
          <w:spacing w:val="1"/>
          <w:sz w:val="24"/>
          <w:szCs w:val="24"/>
        </w:rPr>
        <w:t xml:space="preserve"> </w:t>
      </w:r>
      <w:proofErr w:type="spellStart"/>
      <w:r w:rsidRPr="00814C24">
        <w:rPr>
          <w:color w:val="000000" w:themeColor="text1"/>
          <w:sz w:val="24"/>
          <w:szCs w:val="24"/>
        </w:rPr>
        <w:t>raportare</w:t>
      </w:r>
      <w:proofErr w:type="spellEnd"/>
      <w:r w:rsidRPr="00814C24">
        <w:rPr>
          <w:color w:val="000000" w:themeColor="text1"/>
          <w:sz w:val="24"/>
          <w:szCs w:val="24"/>
        </w:rPr>
        <w:t xml:space="preserve"> </w:t>
      </w:r>
      <w:proofErr w:type="spellStart"/>
      <w:r w:rsidRPr="00814C24">
        <w:rPr>
          <w:color w:val="000000" w:themeColor="text1"/>
          <w:sz w:val="24"/>
          <w:szCs w:val="24"/>
        </w:rPr>
        <w:t>rămânând</w:t>
      </w:r>
      <w:proofErr w:type="spellEnd"/>
      <w:r w:rsidRPr="00814C24">
        <w:rPr>
          <w:color w:val="000000" w:themeColor="text1"/>
          <w:sz w:val="24"/>
          <w:szCs w:val="24"/>
        </w:rPr>
        <w:t xml:space="preserve"> de </w:t>
      </w:r>
      <w:proofErr w:type="spellStart"/>
      <w:r w:rsidRPr="00814C24">
        <w:rPr>
          <w:color w:val="000000" w:themeColor="text1"/>
          <w:sz w:val="24"/>
          <w:szCs w:val="24"/>
        </w:rPr>
        <w:t>referință</w:t>
      </w:r>
      <w:proofErr w:type="spellEnd"/>
      <w:r w:rsidRPr="00814C24">
        <w:rPr>
          <w:color w:val="000000" w:themeColor="text1"/>
          <w:sz w:val="24"/>
          <w:szCs w:val="24"/>
        </w:rPr>
        <w:t xml:space="preserve"> </w:t>
      </w:r>
      <w:proofErr w:type="spellStart"/>
      <w:r w:rsidRPr="00814C24">
        <w:rPr>
          <w:color w:val="000000" w:themeColor="text1"/>
          <w:sz w:val="24"/>
          <w:szCs w:val="24"/>
        </w:rPr>
        <w:t>pentru</w:t>
      </w:r>
      <w:proofErr w:type="spellEnd"/>
      <w:r w:rsidRPr="00814C24">
        <w:rPr>
          <w:color w:val="000000" w:themeColor="text1"/>
          <w:sz w:val="24"/>
          <w:szCs w:val="24"/>
        </w:rPr>
        <w:t xml:space="preserve"> </w:t>
      </w:r>
      <w:proofErr w:type="spellStart"/>
      <w:r w:rsidRPr="00814C24">
        <w:rPr>
          <w:color w:val="000000" w:themeColor="text1"/>
          <w:sz w:val="24"/>
          <w:szCs w:val="24"/>
        </w:rPr>
        <w:t>următoarele</w:t>
      </w:r>
      <w:proofErr w:type="spellEnd"/>
      <w:r w:rsidRPr="00814C24">
        <w:rPr>
          <w:color w:val="000000" w:themeColor="text1"/>
          <w:sz w:val="24"/>
          <w:szCs w:val="24"/>
        </w:rPr>
        <w:t xml:space="preserve"> </w:t>
      </w:r>
      <w:proofErr w:type="spellStart"/>
      <w:r w:rsidRPr="00814C24">
        <w:rPr>
          <w:color w:val="000000" w:themeColor="text1"/>
          <w:sz w:val="24"/>
          <w:szCs w:val="24"/>
        </w:rPr>
        <w:t>rapoarte</w:t>
      </w:r>
      <w:proofErr w:type="spellEnd"/>
      <w:r w:rsidRPr="00814C24">
        <w:rPr>
          <w:color w:val="000000" w:themeColor="text1"/>
          <w:sz w:val="24"/>
          <w:szCs w:val="24"/>
        </w:rPr>
        <w:t xml:space="preserve">, s-a </w:t>
      </w:r>
      <w:proofErr w:type="spellStart"/>
      <w:r w:rsidRPr="00814C24">
        <w:rPr>
          <w:color w:val="000000" w:themeColor="text1"/>
          <w:sz w:val="24"/>
          <w:szCs w:val="24"/>
        </w:rPr>
        <w:t>realizat</w:t>
      </w:r>
      <w:proofErr w:type="spellEnd"/>
      <w:r w:rsidRPr="00814C24">
        <w:rPr>
          <w:color w:val="000000" w:themeColor="text1"/>
          <w:sz w:val="24"/>
          <w:szCs w:val="24"/>
        </w:rPr>
        <w:t xml:space="preserve"> </w:t>
      </w:r>
      <w:proofErr w:type="spellStart"/>
      <w:r w:rsidRPr="00814C24">
        <w:rPr>
          <w:color w:val="000000" w:themeColor="text1"/>
          <w:sz w:val="24"/>
          <w:szCs w:val="24"/>
        </w:rPr>
        <w:t>evaluarea</w:t>
      </w:r>
      <w:proofErr w:type="spellEnd"/>
      <w:r w:rsidRPr="00814C24">
        <w:rPr>
          <w:color w:val="000000" w:themeColor="text1"/>
          <w:sz w:val="24"/>
          <w:szCs w:val="24"/>
        </w:rPr>
        <w:t xml:space="preserve"> </w:t>
      </w:r>
      <w:proofErr w:type="spellStart"/>
      <w:r w:rsidRPr="00814C24">
        <w:rPr>
          <w:color w:val="000000" w:themeColor="text1"/>
          <w:sz w:val="24"/>
          <w:szCs w:val="24"/>
        </w:rPr>
        <w:t>tendințelor</w:t>
      </w:r>
      <w:proofErr w:type="spellEnd"/>
      <w:r w:rsidRPr="00814C24">
        <w:rPr>
          <w:color w:val="000000" w:themeColor="text1"/>
          <w:sz w:val="24"/>
          <w:szCs w:val="24"/>
        </w:rPr>
        <w:t xml:space="preserve"> pe</w:t>
      </w:r>
      <w:r w:rsidRPr="00814C24">
        <w:rPr>
          <w:color w:val="000000" w:themeColor="text1"/>
          <w:spacing w:val="1"/>
          <w:sz w:val="24"/>
          <w:szCs w:val="24"/>
        </w:rPr>
        <w:t xml:space="preserve"> </w:t>
      </w:r>
      <w:r w:rsidRPr="00814C24">
        <w:rPr>
          <w:color w:val="000000" w:themeColor="text1"/>
          <w:sz w:val="24"/>
          <w:szCs w:val="24"/>
        </w:rPr>
        <w:t xml:space="preserve">termen </w:t>
      </w:r>
      <w:proofErr w:type="spellStart"/>
      <w:r w:rsidRPr="00814C24">
        <w:rPr>
          <w:color w:val="000000" w:themeColor="text1"/>
          <w:sz w:val="24"/>
          <w:szCs w:val="24"/>
        </w:rPr>
        <w:t>scurt</w:t>
      </w:r>
      <w:proofErr w:type="spellEnd"/>
      <w:r w:rsidRPr="00814C24">
        <w:rPr>
          <w:color w:val="000000" w:themeColor="text1"/>
          <w:sz w:val="24"/>
          <w:szCs w:val="24"/>
        </w:rPr>
        <w:t xml:space="preserve"> a </w:t>
      </w:r>
      <w:proofErr w:type="spellStart"/>
      <w:r w:rsidRPr="00814C24">
        <w:rPr>
          <w:color w:val="000000" w:themeColor="text1"/>
          <w:sz w:val="24"/>
          <w:szCs w:val="24"/>
        </w:rPr>
        <w:t>stării</w:t>
      </w:r>
      <w:proofErr w:type="spellEnd"/>
      <w:r w:rsidRPr="00814C24">
        <w:rPr>
          <w:color w:val="000000" w:themeColor="text1"/>
          <w:sz w:val="24"/>
          <w:szCs w:val="24"/>
        </w:rPr>
        <w:t xml:space="preserve"> de </w:t>
      </w:r>
      <w:proofErr w:type="spellStart"/>
      <w:r w:rsidRPr="00814C24">
        <w:rPr>
          <w:color w:val="000000" w:themeColor="text1"/>
          <w:sz w:val="24"/>
          <w:szCs w:val="24"/>
        </w:rPr>
        <w:t>conservare</w:t>
      </w:r>
      <w:proofErr w:type="spellEnd"/>
      <w:r w:rsidRPr="00814C24">
        <w:rPr>
          <w:color w:val="000000" w:themeColor="text1"/>
          <w:sz w:val="24"/>
          <w:szCs w:val="24"/>
        </w:rPr>
        <w:t xml:space="preserve"> cu </w:t>
      </w:r>
      <w:proofErr w:type="spellStart"/>
      <w:r w:rsidRPr="00814C24">
        <w:rPr>
          <w:color w:val="000000" w:themeColor="text1"/>
          <w:sz w:val="24"/>
          <w:szCs w:val="24"/>
        </w:rPr>
        <w:t>utilizarea</w:t>
      </w:r>
      <w:proofErr w:type="spellEnd"/>
      <w:r w:rsidRPr="00814C24">
        <w:rPr>
          <w:color w:val="000000" w:themeColor="text1"/>
          <w:sz w:val="24"/>
          <w:szCs w:val="24"/>
        </w:rPr>
        <w:t xml:space="preserve"> </w:t>
      </w:r>
      <w:proofErr w:type="spellStart"/>
      <w:r w:rsidRPr="00814C24">
        <w:rPr>
          <w:color w:val="000000" w:themeColor="text1"/>
          <w:sz w:val="24"/>
          <w:szCs w:val="24"/>
        </w:rPr>
        <w:t>doar</w:t>
      </w:r>
      <w:proofErr w:type="spellEnd"/>
      <w:r w:rsidRPr="00814C24">
        <w:rPr>
          <w:color w:val="000000" w:themeColor="text1"/>
          <w:sz w:val="24"/>
          <w:szCs w:val="24"/>
        </w:rPr>
        <w:t xml:space="preserve"> a </w:t>
      </w:r>
      <w:proofErr w:type="spellStart"/>
      <w:r w:rsidRPr="00814C24">
        <w:rPr>
          <w:color w:val="000000" w:themeColor="text1"/>
          <w:sz w:val="24"/>
          <w:szCs w:val="24"/>
        </w:rPr>
        <w:t>unui</w:t>
      </w:r>
      <w:proofErr w:type="spellEnd"/>
      <w:r w:rsidRPr="00814C24">
        <w:rPr>
          <w:color w:val="000000" w:themeColor="text1"/>
          <w:sz w:val="24"/>
          <w:szCs w:val="24"/>
        </w:rPr>
        <w:t xml:space="preserve"> </w:t>
      </w:r>
      <w:proofErr w:type="spellStart"/>
      <w:r w:rsidRPr="00814C24">
        <w:rPr>
          <w:color w:val="000000" w:themeColor="text1"/>
          <w:sz w:val="24"/>
          <w:szCs w:val="24"/>
        </w:rPr>
        <w:t>ciclu</w:t>
      </w:r>
      <w:proofErr w:type="spellEnd"/>
      <w:r w:rsidRPr="00814C24">
        <w:rPr>
          <w:color w:val="000000" w:themeColor="text1"/>
          <w:sz w:val="24"/>
          <w:szCs w:val="24"/>
        </w:rPr>
        <w:t xml:space="preserve"> de </w:t>
      </w:r>
      <w:proofErr w:type="spellStart"/>
      <w:r w:rsidRPr="00814C24">
        <w:rPr>
          <w:color w:val="000000" w:themeColor="text1"/>
          <w:sz w:val="24"/>
          <w:szCs w:val="24"/>
        </w:rPr>
        <w:t>raportare</w:t>
      </w:r>
      <w:proofErr w:type="spellEnd"/>
      <w:r w:rsidRPr="00814C24">
        <w:rPr>
          <w:color w:val="000000" w:themeColor="text1"/>
          <w:sz w:val="24"/>
          <w:szCs w:val="24"/>
        </w:rPr>
        <w:t xml:space="preserve">, </w:t>
      </w:r>
      <w:proofErr w:type="spellStart"/>
      <w:r w:rsidRPr="00814C24">
        <w:rPr>
          <w:color w:val="000000" w:themeColor="text1"/>
          <w:sz w:val="24"/>
          <w:szCs w:val="24"/>
        </w:rPr>
        <w:t>spre</w:t>
      </w:r>
      <w:proofErr w:type="spellEnd"/>
      <w:r w:rsidRPr="00814C24">
        <w:rPr>
          <w:color w:val="000000" w:themeColor="text1"/>
          <w:sz w:val="24"/>
          <w:szCs w:val="24"/>
        </w:rPr>
        <w:t xml:space="preserve"> </w:t>
      </w:r>
      <w:proofErr w:type="spellStart"/>
      <w:r w:rsidRPr="00814C24">
        <w:rPr>
          <w:color w:val="000000" w:themeColor="text1"/>
          <w:sz w:val="24"/>
          <w:szCs w:val="24"/>
        </w:rPr>
        <w:t>deosebire</w:t>
      </w:r>
      <w:proofErr w:type="spellEnd"/>
      <w:r w:rsidRPr="00814C24">
        <w:rPr>
          <w:color w:val="000000" w:themeColor="text1"/>
          <w:sz w:val="24"/>
          <w:szCs w:val="24"/>
        </w:rPr>
        <w:t xml:space="preserve"> de</w:t>
      </w:r>
      <w:r w:rsidRPr="00814C24">
        <w:rPr>
          <w:color w:val="000000" w:themeColor="text1"/>
          <w:spacing w:val="1"/>
          <w:sz w:val="24"/>
          <w:szCs w:val="24"/>
        </w:rPr>
        <w:t xml:space="preserve"> </w:t>
      </w:r>
      <w:proofErr w:type="spellStart"/>
      <w:r w:rsidRPr="00814C24">
        <w:rPr>
          <w:color w:val="000000" w:themeColor="text1"/>
          <w:sz w:val="24"/>
          <w:szCs w:val="24"/>
        </w:rPr>
        <w:t>metoda</w:t>
      </w:r>
      <w:proofErr w:type="spellEnd"/>
      <w:r w:rsidRPr="00814C24">
        <w:rPr>
          <w:color w:val="000000" w:themeColor="text1"/>
          <w:spacing w:val="-2"/>
          <w:sz w:val="24"/>
          <w:szCs w:val="24"/>
        </w:rPr>
        <w:t xml:space="preserve"> </w:t>
      </w:r>
      <w:proofErr w:type="spellStart"/>
      <w:r w:rsidRPr="00814C24">
        <w:rPr>
          <w:color w:val="000000" w:themeColor="text1"/>
          <w:sz w:val="24"/>
          <w:szCs w:val="24"/>
        </w:rPr>
        <w:t>recomandată</w:t>
      </w:r>
      <w:proofErr w:type="spellEnd"/>
      <w:r w:rsidRPr="00814C24">
        <w:rPr>
          <w:color w:val="000000" w:themeColor="text1"/>
          <w:sz w:val="24"/>
          <w:szCs w:val="24"/>
        </w:rPr>
        <w:t>.</w:t>
      </w:r>
    </w:p>
    <w:p w14:paraId="1D793113" w14:textId="77777777" w:rsidR="006735BF" w:rsidRPr="00814C24" w:rsidRDefault="006735BF" w:rsidP="00182DE3">
      <w:pPr>
        <w:pStyle w:val="BodyText"/>
        <w:ind w:left="0" w:right="250"/>
        <w:jc w:val="both"/>
        <w:rPr>
          <w:color w:val="000000" w:themeColor="text1"/>
          <w:sz w:val="24"/>
          <w:szCs w:val="24"/>
        </w:rPr>
      </w:pPr>
      <w:proofErr w:type="spellStart"/>
      <w:r w:rsidRPr="00814C24">
        <w:rPr>
          <w:color w:val="000000" w:themeColor="text1"/>
          <w:sz w:val="24"/>
          <w:szCs w:val="24"/>
        </w:rPr>
        <w:t>Metoda</w:t>
      </w:r>
      <w:proofErr w:type="spellEnd"/>
      <w:r w:rsidRPr="00814C24">
        <w:rPr>
          <w:color w:val="000000" w:themeColor="text1"/>
          <w:sz w:val="24"/>
          <w:szCs w:val="24"/>
        </w:rPr>
        <w:t xml:space="preserve"> de </w:t>
      </w:r>
      <w:proofErr w:type="spellStart"/>
      <w:r w:rsidRPr="00814C24">
        <w:rPr>
          <w:color w:val="000000" w:themeColor="text1"/>
          <w:sz w:val="24"/>
          <w:szCs w:val="24"/>
        </w:rPr>
        <w:t>evaluare</w:t>
      </w:r>
      <w:proofErr w:type="spellEnd"/>
      <w:r w:rsidRPr="00814C24">
        <w:rPr>
          <w:color w:val="000000" w:themeColor="text1"/>
          <w:sz w:val="24"/>
          <w:szCs w:val="24"/>
        </w:rPr>
        <w:t xml:space="preserve"> a </w:t>
      </w:r>
      <w:proofErr w:type="spellStart"/>
      <w:r w:rsidRPr="00814C24">
        <w:rPr>
          <w:color w:val="000000" w:themeColor="text1"/>
          <w:sz w:val="24"/>
          <w:szCs w:val="24"/>
        </w:rPr>
        <w:t>tendințelor</w:t>
      </w:r>
      <w:proofErr w:type="spellEnd"/>
      <w:r w:rsidRPr="00814C24">
        <w:rPr>
          <w:color w:val="000000" w:themeColor="text1"/>
          <w:sz w:val="24"/>
          <w:szCs w:val="24"/>
        </w:rPr>
        <w:t xml:space="preserve"> de </w:t>
      </w:r>
      <w:proofErr w:type="spellStart"/>
      <w:r w:rsidRPr="00814C24">
        <w:rPr>
          <w:color w:val="000000" w:themeColor="text1"/>
          <w:sz w:val="24"/>
          <w:szCs w:val="24"/>
        </w:rPr>
        <w:t>evoluție</w:t>
      </w:r>
      <w:proofErr w:type="spellEnd"/>
      <w:r w:rsidRPr="00814C24">
        <w:rPr>
          <w:color w:val="000000" w:themeColor="text1"/>
          <w:sz w:val="24"/>
          <w:szCs w:val="24"/>
        </w:rPr>
        <w:t xml:space="preserve"> pe termen </w:t>
      </w:r>
      <w:proofErr w:type="spellStart"/>
      <w:r w:rsidRPr="00814C24">
        <w:rPr>
          <w:color w:val="000000" w:themeColor="text1"/>
          <w:sz w:val="24"/>
          <w:szCs w:val="24"/>
        </w:rPr>
        <w:t>scurt</w:t>
      </w:r>
      <w:proofErr w:type="spellEnd"/>
      <w:r w:rsidRPr="00814C24">
        <w:rPr>
          <w:color w:val="000000" w:themeColor="text1"/>
          <w:sz w:val="24"/>
          <w:szCs w:val="24"/>
        </w:rPr>
        <w:t xml:space="preserve"> </w:t>
      </w:r>
      <w:proofErr w:type="spellStart"/>
      <w:r w:rsidRPr="00814C24">
        <w:rPr>
          <w:color w:val="000000" w:themeColor="text1"/>
          <w:sz w:val="24"/>
          <w:szCs w:val="24"/>
        </w:rPr>
        <w:t>utilizează</w:t>
      </w:r>
      <w:proofErr w:type="spellEnd"/>
      <w:r w:rsidRPr="00814C24">
        <w:rPr>
          <w:color w:val="000000" w:themeColor="text1"/>
          <w:sz w:val="24"/>
          <w:szCs w:val="24"/>
        </w:rPr>
        <w:t xml:space="preserve"> </w:t>
      </w:r>
      <w:proofErr w:type="spellStart"/>
      <w:r w:rsidRPr="00814C24">
        <w:rPr>
          <w:color w:val="000000" w:themeColor="text1"/>
          <w:sz w:val="24"/>
          <w:szCs w:val="24"/>
        </w:rPr>
        <w:t>tendința</w:t>
      </w:r>
      <w:proofErr w:type="spellEnd"/>
      <w:r w:rsidRPr="00814C24">
        <w:rPr>
          <w:color w:val="000000" w:themeColor="text1"/>
          <w:sz w:val="24"/>
          <w:szCs w:val="24"/>
        </w:rPr>
        <w:t xml:space="preserve"> </w:t>
      </w:r>
      <w:proofErr w:type="spellStart"/>
      <w:r w:rsidRPr="00814C24">
        <w:rPr>
          <w:color w:val="000000" w:themeColor="text1"/>
          <w:sz w:val="24"/>
          <w:szCs w:val="24"/>
        </w:rPr>
        <w:t>observată</w:t>
      </w:r>
      <w:proofErr w:type="spellEnd"/>
      <w:r w:rsidRPr="00814C24">
        <w:rPr>
          <w:color w:val="000000" w:themeColor="text1"/>
          <w:sz w:val="24"/>
          <w:szCs w:val="24"/>
        </w:rPr>
        <w:t xml:space="preserve"> </w:t>
      </w:r>
      <w:proofErr w:type="spellStart"/>
      <w:r w:rsidRPr="00814C24">
        <w:rPr>
          <w:color w:val="000000" w:themeColor="text1"/>
          <w:sz w:val="24"/>
          <w:szCs w:val="24"/>
        </w:rPr>
        <w:t>pentru</w:t>
      </w:r>
      <w:proofErr w:type="spellEnd"/>
      <w:r w:rsidRPr="00814C24">
        <w:rPr>
          <w:color w:val="000000" w:themeColor="text1"/>
          <w:spacing w:val="1"/>
          <w:sz w:val="24"/>
          <w:szCs w:val="24"/>
        </w:rPr>
        <w:t xml:space="preserve"> </w:t>
      </w:r>
      <w:proofErr w:type="spellStart"/>
      <w:r w:rsidRPr="00814C24">
        <w:rPr>
          <w:color w:val="000000" w:themeColor="text1"/>
          <w:sz w:val="24"/>
          <w:szCs w:val="24"/>
        </w:rPr>
        <w:t>parametrii</w:t>
      </w:r>
      <w:proofErr w:type="spellEnd"/>
      <w:r w:rsidRPr="00814C24">
        <w:rPr>
          <w:color w:val="000000" w:themeColor="text1"/>
          <w:sz w:val="24"/>
          <w:szCs w:val="24"/>
        </w:rPr>
        <w:t xml:space="preserve"> de stare precum areal de </w:t>
      </w:r>
      <w:proofErr w:type="spellStart"/>
      <w:r w:rsidRPr="00814C24">
        <w:rPr>
          <w:color w:val="000000" w:themeColor="text1"/>
          <w:sz w:val="24"/>
          <w:szCs w:val="24"/>
        </w:rPr>
        <w:t>distribuție</w:t>
      </w:r>
      <w:proofErr w:type="spellEnd"/>
      <w:r w:rsidRPr="00814C24">
        <w:rPr>
          <w:color w:val="000000" w:themeColor="text1"/>
          <w:sz w:val="24"/>
          <w:szCs w:val="24"/>
        </w:rPr>
        <w:t xml:space="preserve"> </w:t>
      </w:r>
      <w:proofErr w:type="spellStart"/>
      <w:r w:rsidRPr="00814C24">
        <w:rPr>
          <w:color w:val="000000" w:themeColor="text1"/>
          <w:sz w:val="24"/>
          <w:szCs w:val="24"/>
        </w:rPr>
        <w:t>și</w:t>
      </w:r>
      <w:proofErr w:type="spellEnd"/>
      <w:r w:rsidRPr="00814C24">
        <w:rPr>
          <w:color w:val="000000" w:themeColor="text1"/>
          <w:sz w:val="24"/>
          <w:szCs w:val="24"/>
        </w:rPr>
        <w:t xml:space="preserve"> </w:t>
      </w:r>
      <w:proofErr w:type="spellStart"/>
      <w:r w:rsidRPr="00814C24">
        <w:rPr>
          <w:color w:val="000000" w:themeColor="text1"/>
          <w:sz w:val="24"/>
          <w:szCs w:val="24"/>
        </w:rPr>
        <w:t>structură</w:t>
      </w:r>
      <w:proofErr w:type="spellEnd"/>
      <w:r w:rsidRPr="00814C24">
        <w:rPr>
          <w:color w:val="000000" w:themeColor="text1"/>
          <w:sz w:val="24"/>
          <w:szCs w:val="24"/>
        </w:rPr>
        <w:t xml:space="preserve"> </w:t>
      </w:r>
      <w:proofErr w:type="spellStart"/>
      <w:r w:rsidRPr="00814C24">
        <w:rPr>
          <w:color w:val="000000" w:themeColor="text1"/>
          <w:sz w:val="24"/>
          <w:szCs w:val="24"/>
        </w:rPr>
        <w:t>și</w:t>
      </w:r>
      <w:proofErr w:type="spellEnd"/>
      <w:r w:rsidRPr="00814C24">
        <w:rPr>
          <w:color w:val="000000" w:themeColor="text1"/>
          <w:sz w:val="24"/>
          <w:szCs w:val="24"/>
        </w:rPr>
        <w:t xml:space="preserve"> </w:t>
      </w:r>
      <w:proofErr w:type="spellStart"/>
      <w:r w:rsidRPr="00814C24">
        <w:rPr>
          <w:color w:val="000000" w:themeColor="text1"/>
          <w:sz w:val="24"/>
          <w:szCs w:val="24"/>
        </w:rPr>
        <w:t>funcții</w:t>
      </w:r>
      <w:proofErr w:type="spellEnd"/>
      <w:r w:rsidRPr="00814C24">
        <w:rPr>
          <w:color w:val="000000" w:themeColor="text1"/>
          <w:sz w:val="24"/>
          <w:szCs w:val="24"/>
        </w:rPr>
        <w:t xml:space="preserve"> </w:t>
      </w:r>
      <w:proofErr w:type="spellStart"/>
      <w:r w:rsidRPr="00814C24">
        <w:rPr>
          <w:color w:val="000000" w:themeColor="text1"/>
          <w:sz w:val="24"/>
          <w:szCs w:val="24"/>
        </w:rPr>
        <w:t>raportate</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urmă</w:t>
      </w:r>
      <w:proofErr w:type="spellEnd"/>
      <w:r w:rsidRPr="00814C24">
        <w:rPr>
          <w:color w:val="000000" w:themeColor="text1"/>
          <w:sz w:val="24"/>
          <w:szCs w:val="24"/>
        </w:rPr>
        <w:t xml:space="preserve"> cu 2 </w:t>
      </w:r>
      <w:proofErr w:type="spellStart"/>
      <w:r w:rsidRPr="00814C24">
        <w:rPr>
          <w:color w:val="000000" w:themeColor="text1"/>
          <w:sz w:val="24"/>
          <w:szCs w:val="24"/>
        </w:rPr>
        <w:t>cicluri</w:t>
      </w:r>
      <w:proofErr w:type="spellEnd"/>
      <w:r w:rsidRPr="00814C24">
        <w:rPr>
          <w:color w:val="000000" w:themeColor="text1"/>
          <w:sz w:val="24"/>
          <w:szCs w:val="24"/>
        </w:rPr>
        <w:t xml:space="preserve"> de</w:t>
      </w:r>
      <w:r w:rsidRPr="00814C24">
        <w:rPr>
          <w:color w:val="000000" w:themeColor="text1"/>
          <w:spacing w:val="1"/>
          <w:sz w:val="24"/>
          <w:szCs w:val="24"/>
        </w:rPr>
        <w:t xml:space="preserve"> </w:t>
      </w:r>
      <w:proofErr w:type="spellStart"/>
      <w:r w:rsidRPr="00814C24">
        <w:rPr>
          <w:color w:val="000000" w:themeColor="text1"/>
          <w:sz w:val="24"/>
          <w:szCs w:val="24"/>
        </w:rPr>
        <w:t>raportare</w:t>
      </w:r>
      <w:proofErr w:type="spellEnd"/>
      <w:r w:rsidRPr="00814C24">
        <w:rPr>
          <w:color w:val="000000" w:themeColor="text1"/>
          <w:spacing w:val="1"/>
          <w:sz w:val="24"/>
          <w:szCs w:val="24"/>
        </w:rPr>
        <w:t xml:space="preserve"> </w:t>
      </w:r>
      <w:r w:rsidRPr="00814C24">
        <w:rPr>
          <w:color w:val="000000" w:themeColor="text1"/>
          <w:sz w:val="24"/>
          <w:szCs w:val="24"/>
        </w:rPr>
        <w:t>(de</w:t>
      </w:r>
      <w:r w:rsidRPr="00814C24">
        <w:rPr>
          <w:color w:val="000000" w:themeColor="text1"/>
          <w:spacing w:val="1"/>
          <w:sz w:val="24"/>
          <w:szCs w:val="24"/>
        </w:rPr>
        <w:t xml:space="preserve"> </w:t>
      </w:r>
      <w:r w:rsidRPr="00814C24">
        <w:rPr>
          <w:color w:val="000000" w:themeColor="text1"/>
          <w:sz w:val="24"/>
          <w:szCs w:val="24"/>
        </w:rPr>
        <w:t>6</w:t>
      </w:r>
      <w:r w:rsidRPr="00814C24">
        <w:rPr>
          <w:color w:val="000000" w:themeColor="text1"/>
          <w:spacing w:val="1"/>
          <w:sz w:val="24"/>
          <w:szCs w:val="24"/>
        </w:rPr>
        <w:t xml:space="preserve"> </w:t>
      </w:r>
      <w:r w:rsidRPr="00814C24">
        <w:rPr>
          <w:color w:val="000000" w:themeColor="text1"/>
          <w:sz w:val="24"/>
          <w:szCs w:val="24"/>
        </w:rPr>
        <w:t>ani).</w:t>
      </w:r>
      <w:r w:rsidRPr="00814C24">
        <w:rPr>
          <w:color w:val="000000" w:themeColor="text1"/>
          <w:spacing w:val="1"/>
          <w:sz w:val="24"/>
          <w:szCs w:val="24"/>
        </w:rPr>
        <w:t xml:space="preserve"> </w:t>
      </w:r>
      <w:proofErr w:type="spellStart"/>
      <w:r w:rsidRPr="00814C24">
        <w:rPr>
          <w:color w:val="000000" w:themeColor="text1"/>
          <w:sz w:val="24"/>
          <w:szCs w:val="24"/>
        </w:rPr>
        <w:t>Tendința</w:t>
      </w:r>
      <w:proofErr w:type="spellEnd"/>
      <w:r w:rsidRPr="00814C24">
        <w:rPr>
          <w:color w:val="000000" w:themeColor="text1"/>
          <w:spacing w:val="1"/>
          <w:sz w:val="24"/>
          <w:szCs w:val="24"/>
        </w:rPr>
        <w:t xml:space="preserve"> </w:t>
      </w:r>
      <w:proofErr w:type="spellStart"/>
      <w:r w:rsidRPr="00814C24">
        <w:rPr>
          <w:color w:val="000000" w:themeColor="text1"/>
          <w:sz w:val="24"/>
          <w:szCs w:val="24"/>
        </w:rPr>
        <w:t>fiind</w:t>
      </w:r>
      <w:proofErr w:type="spellEnd"/>
      <w:r w:rsidRPr="00814C24">
        <w:rPr>
          <w:color w:val="000000" w:themeColor="text1"/>
          <w:spacing w:val="1"/>
          <w:sz w:val="24"/>
          <w:szCs w:val="24"/>
        </w:rPr>
        <w:t xml:space="preserve"> </w:t>
      </w:r>
      <w:proofErr w:type="spellStart"/>
      <w:r w:rsidRPr="00814C24">
        <w:rPr>
          <w:color w:val="000000" w:themeColor="text1"/>
          <w:sz w:val="24"/>
          <w:szCs w:val="24"/>
        </w:rPr>
        <w:t>evaluată</w:t>
      </w:r>
      <w:proofErr w:type="spellEnd"/>
      <w:r w:rsidRPr="00814C24">
        <w:rPr>
          <w:color w:val="000000" w:themeColor="text1"/>
          <w:spacing w:val="1"/>
          <w:sz w:val="24"/>
          <w:szCs w:val="24"/>
        </w:rPr>
        <w:t xml:space="preserve"> </w:t>
      </w:r>
      <w:proofErr w:type="spellStart"/>
      <w:r w:rsidRPr="00814C24">
        <w:rPr>
          <w:color w:val="000000" w:themeColor="text1"/>
          <w:sz w:val="24"/>
          <w:szCs w:val="24"/>
        </w:rPr>
        <w:t>utilizând</w:t>
      </w:r>
      <w:proofErr w:type="spellEnd"/>
      <w:r w:rsidRPr="00814C24">
        <w:rPr>
          <w:color w:val="000000" w:themeColor="text1"/>
          <w:spacing w:val="1"/>
          <w:sz w:val="24"/>
          <w:szCs w:val="24"/>
        </w:rPr>
        <w:t xml:space="preserve"> </w:t>
      </w:r>
      <w:proofErr w:type="spellStart"/>
      <w:r w:rsidRPr="00814C24">
        <w:rPr>
          <w:color w:val="000000" w:themeColor="text1"/>
          <w:sz w:val="24"/>
          <w:szCs w:val="24"/>
        </w:rPr>
        <w:t>indicatori</w:t>
      </w:r>
      <w:proofErr w:type="spellEnd"/>
      <w:r w:rsidRPr="00814C24">
        <w:rPr>
          <w:color w:val="000000" w:themeColor="text1"/>
          <w:spacing w:val="1"/>
          <w:sz w:val="24"/>
          <w:szCs w:val="24"/>
        </w:rPr>
        <w:t xml:space="preserve"> </w:t>
      </w:r>
      <w:proofErr w:type="spellStart"/>
      <w:r w:rsidRPr="00814C24">
        <w:rPr>
          <w:color w:val="000000" w:themeColor="text1"/>
          <w:sz w:val="24"/>
          <w:szCs w:val="24"/>
        </w:rPr>
        <w:t>calitativi</w:t>
      </w:r>
      <w:proofErr w:type="spellEnd"/>
      <w:r w:rsidRPr="00814C24">
        <w:rPr>
          <w:color w:val="000000" w:themeColor="text1"/>
          <w:spacing w:val="1"/>
          <w:sz w:val="24"/>
          <w:szCs w:val="24"/>
        </w:rPr>
        <w:t xml:space="preserve"> </w:t>
      </w:r>
      <w:r w:rsidRPr="00814C24">
        <w:rPr>
          <w:color w:val="000000" w:themeColor="text1"/>
          <w:sz w:val="24"/>
          <w:szCs w:val="24"/>
        </w:rPr>
        <w:t>precum:</w:t>
      </w:r>
      <w:r w:rsidRPr="00814C24">
        <w:rPr>
          <w:color w:val="000000" w:themeColor="text1"/>
          <w:spacing w:val="1"/>
          <w:sz w:val="24"/>
          <w:szCs w:val="24"/>
        </w:rPr>
        <w:t xml:space="preserve"> </w:t>
      </w:r>
      <w:proofErr w:type="spellStart"/>
      <w:r w:rsidRPr="00814C24">
        <w:rPr>
          <w:color w:val="000000" w:themeColor="text1"/>
          <w:sz w:val="24"/>
          <w:szCs w:val="24"/>
        </w:rPr>
        <w:t>stabilă</w:t>
      </w:r>
      <w:proofErr w:type="spellEnd"/>
      <w:r w:rsidRPr="00814C24">
        <w:rPr>
          <w:color w:val="000000" w:themeColor="text1"/>
          <w:sz w:val="24"/>
          <w:szCs w:val="24"/>
        </w:rPr>
        <w:t>,</w:t>
      </w:r>
      <w:r w:rsidRPr="00814C24">
        <w:rPr>
          <w:color w:val="000000" w:themeColor="text1"/>
          <w:spacing w:val="60"/>
          <w:sz w:val="24"/>
          <w:szCs w:val="24"/>
        </w:rPr>
        <w:t xml:space="preserve"> </w:t>
      </w:r>
      <w:proofErr w:type="spellStart"/>
      <w:r w:rsidRPr="00814C24">
        <w:rPr>
          <w:color w:val="000000" w:themeColor="text1"/>
          <w:sz w:val="24"/>
          <w:szCs w:val="24"/>
        </w:rPr>
        <w:t>în</w:t>
      </w:r>
      <w:proofErr w:type="spellEnd"/>
      <w:r w:rsidRPr="00814C24">
        <w:rPr>
          <w:color w:val="000000" w:themeColor="text1"/>
          <w:spacing w:val="1"/>
          <w:sz w:val="24"/>
          <w:szCs w:val="24"/>
        </w:rPr>
        <w:t xml:space="preserve"> </w:t>
      </w:r>
      <w:proofErr w:type="spellStart"/>
      <w:r w:rsidRPr="00814C24">
        <w:rPr>
          <w:color w:val="000000" w:themeColor="text1"/>
          <w:sz w:val="24"/>
          <w:szCs w:val="24"/>
        </w:rPr>
        <w:t>refacere</w:t>
      </w:r>
      <w:proofErr w:type="spellEnd"/>
      <w:r w:rsidRPr="00814C24">
        <w:rPr>
          <w:color w:val="000000" w:themeColor="text1"/>
          <w:sz w:val="24"/>
          <w:szCs w:val="24"/>
        </w:rPr>
        <w:t>,</w:t>
      </w:r>
      <w:r w:rsidRPr="00814C24">
        <w:rPr>
          <w:color w:val="000000" w:themeColor="text1"/>
          <w:spacing w:val="-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declin</w:t>
      </w:r>
      <w:proofErr w:type="spellEnd"/>
      <w:r w:rsidRPr="00814C24">
        <w:rPr>
          <w:color w:val="000000" w:themeColor="text1"/>
          <w:sz w:val="24"/>
          <w:szCs w:val="24"/>
        </w:rPr>
        <w:t xml:space="preserve"> </w:t>
      </w:r>
      <w:proofErr w:type="spellStart"/>
      <w:r w:rsidRPr="00814C24">
        <w:rPr>
          <w:color w:val="000000" w:themeColor="text1"/>
          <w:sz w:val="24"/>
          <w:szCs w:val="24"/>
        </w:rPr>
        <w:t>și</w:t>
      </w:r>
      <w:proofErr w:type="spellEnd"/>
      <w:r w:rsidRPr="00814C24">
        <w:rPr>
          <w:color w:val="000000" w:themeColor="text1"/>
          <w:sz w:val="24"/>
          <w:szCs w:val="24"/>
        </w:rPr>
        <w:t xml:space="preserve"> </w:t>
      </w:r>
      <w:proofErr w:type="spellStart"/>
      <w:r w:rsidRPr="00814C24">
        <w:rPr>
          <w:color w:val="000000" w:themeColor="text1"/>
          <w:sz w:val="24"/>
          <w:szCs w:val="24"/>
        </w:rPr>
        <w:t>necunoscut</w:t>
      </w:r>
      <w:proofErr w:type="spellEnd"/>
      <w:r w:rsidRPr="00814C24">
        <w:rPr>
          <w:color w:val="000000" w:themeColor="text1"/>
          <w:sz w:val="24"/>
          <w:szCs w:val="24"/>
        </w:rPr>
        <w:t>.</w:t>
      </w:r>
    </w:p>
    <w:p w14:paraId="4D5C75DA" w14:textId="77777777" w:rsidR="006735BF" w:rsidRPr="00814C24" w:rsidRDefault="006735BF" w:rsidP="00182DE3">
      <w:pPr>
        <w:pStyle w:val="BodyText"/>
        <w:ind w:left="0" w:right="248"/>
        <w:jc w:val="both"/>
        <w:rPr>
          <w:color w:val="000000" w:themeColor="text1"/>
          <w:sz w:val="24"/>
          <w:szCs w:val="24"/>
        </w:rPr>
      </w:pPr>
      <w:proofErr w:type="spellStart"/>
      <w:r w:rsidRPr="00814C24">
        <w:rPr>
          <w:color w:val="000000" w:themeColor="text1"/>
          <w:sz w:val="24"/>
          <w:szCs w:val="24"/>
        </w:rPr>
        <w:t>Evaluarea</w:t>
      </w:r>
      <w:proofErr w:type="spellEnd"/>
      <w:r w:rsidRPr="00814C24">
        <w:rPr>
          <w:color w:val="000000" w:themeColor="text1"/>
          <w:sz w:val="24"/>
          <w:szCs w:val="24"/>
        </w:rPr>
        <w:t xml:space="preserve"> </w:t>
      </w:r>
      <w:proofErr w:type="spellStart"/>
      <w:r w:rsidRPr="00814C24">
        <w:rPr>
          <w:color w:val="000000" w:themeColor="text1"/>
          <w:sz w:val="24"/>
          <w:szCs w:val="24"/>
        </w:rPr>
        <w:t>tendințelor</w:t>
      </w:r>
      <w:proofErr w:type="spellEnd"/>
      <w:r w:rsidRPr="00814C24">
        <w:rPr>
          <w:color w:val="000000" w:themeColor="text1"/>
          <w:sz w:val="24"/>
          <w:szCs w:val="24"/>
        </w:rPr>
        <w:t xml:space="preserve"> pe termen </w:t>
      </w:r>
      <w:proofErr w:type="spellStart"/>
      <w:r w:rsidRPr="00814C24">
        <w:rPr>
          <w:color w:val="000000" w:themeColor="text1"/>
          <w:sz w:val="24"/>
          <w:szCs w:val="24"/>
        </w:rPr>
        <w:t>scurt</w:t>
      </w:r>
      <w:proofErr w:type="spellEnd"/>
      <w:r w:rsidRPr="00814C24">
        <w:rPr>
          <w:color w:val="000000" w:themeColor="text1"/>
          <w:spacing w:val="1"/>
          <w:sz w:val="24"/>
          <w:szCs w:val="24"/>
        </w:rPr>
        <w:t xml:space="preserve"> </w:t>
      </w:r>
      <w:proofErr w:type="spellStart"/>
      <w:r w:rsidRPr="00814C24">
        <w:rPr>
          <w:color w:val="000000" w:themeColor="text1"/>
          <w:sz w:val="24"/>
          <w:szCs w:val="24"/>
        </w:rPr>
        <w:t>reprezintă</w:t>
      </w:r>
      <w:proofErr w:type="spellEnd"/>
      <w:r w:rsidRPr="00814C24">
        <w:rPr>
          <w:color w:val="000000" w:themeColor="text1"/>
          <w:sz w:val="24"/>
          <w:szCs w:val="24"/>
        </w:rPr>
        <w:t xml:space="preserve"> de </w:t>
      </w:r>
      <w:proofErr w:type="spellStart"/>
      <w:r w:rsidRPr="00814C24">
        <w:rPr>
          <w:color w:val="000000" w:themeColor="text1"/>
          <w:sz w:val="24"/>
          <w:szCs w:val="24"/>
        </w:rPr>
        <w:t>asemenea</w:t>
      </w:r>
      <w:proofErr w:type="spellEnd"/>
      <w:r w:rsidRPr="00814C24">
        <w:rPr>
          <w:color w:val="000000" w:themeColor="text1"/>
          <w:sz w:val="24"/>
          <w:szCs w:val="24"/>
        </w:rPr>
        <w:t xml:space="preserve"> </w:t>
      </w:r>
      <w:proofErr w:type="spellStart"/>
      <w:r w:rsidRPr="00814C24">
        <w:rPr>
          <w:color w:val="000000" w:themeColor="text1"/>
          <w:sz w:val="24"/>
          <w:szCs w:val="24"/>
        </w:rPr>
        <w:t>cheie</w:t>
      </w:r>
      <w:proofErr w:type="spellEnd"/>
      <w:r w:rsidRPr="00814C24">
        <w:rPr>
          <w:color w:val="000000" w:themeColor="text1"/>
          <w:sz w:val="24"/>
          <w:szCs w:val="24"/>
        </w:rPr>
        <w:t xml:space="preserve"> de control </w:t>
      </w:r>
      <w:proofErr w:type="spellStart"/>
      <w:r w:rsidRPr="00814C24">
        <w:rPr>
          <w:color w:val="000000" w:themeColor="text1"/>
          <w:sz w:val="24"/>
          <w:szCs w:val="24"/>
        </w:rPr>
        <w:t>pentru</w:t>
      </w:r>
      <w:proofErr w:type="spellEnd"/>
      <w:r w:rsidRPr="00814C24">
        <w:rPr>
          <w:color w:val="000000" w:themeColor="text1"/>
          <w:sz w:val="24"/>
          <w:szCs w:val="24"/>
        </w:rPr>
        <w:t xml:space="preserve"> </w:t>
      </w:r>
      <w:proofErr w:type="spellStart"/>
      <w:r w:rsidRPr="00814C24">
        <w:rPr>
          <w:color w:val="000000" w:themeColor="text1"/>
          <w:sz w:val="24"/>
          <w:szCs w:val="24"/>
        </w:rPr>
        <w:t>analiza</w:t>
      </w:r>
      <w:proofErr w:type="spellEnd"/>
      <w:r w:rsidRPr="00814C24">
        <w:rPr>
          <w:color w:val="000000" w:themeColor="text1"/>
          <w:sz w:val="24"/>
          <w:szCs w:val="24"/>
        </w:rPr>
        <w:t xml:space="preserve"> de</w:t>
      </w:r>
      <w:r w:rsidRPr="00814C24">
        <w:rPr>
          <w:color w:val="000000" w:themeColor="text1"/>
          <w:spacing w:val="1"/>
          <w:sz w:val="24"/>
          <w:szCs w:val="24"/>
        </w:rPr>
        <w:t xml:space="preserve"> </w:t>
      </w:r>
      <w:proofErr w:type="spellStart"/>
      <w:r w:rsidRPr="00814C24">
        <w:rPr>
          <w:color w:val="000000" w:themeColor="text1"/>
          <w:sz w:val="24"/>
          <w:szCs w:val="24"/>
        </w:rPr>
        <w:t>calitate</w:t>
      </w:r>
      <w:proofErr w:type="spellEnd"/>
      <w:r w:rsidRPr="00814C24">
        <w:rPr>
          <w:color w:val="000000" w:themeColor="text1"/>
          <w:spacing w:val="-2"/>
          <w:sz w:val="24"/>
          <w:szCs w:val="24"/>
        </w:rPr>
        <w:t xml:space="preserve"> </w:t>
      </w:r>
      <w:r w:rsidRPr="00814C24">
        <w:rPr>
          <w:color w:val="000000" w:themeColor="text1"/>
          <w:sz w:val="24"/>
          <w:szCs w:val="24"/>
        </w:rPr>
        <w:t>a</w:t>
      </w:r>
      <w:r w:rsidRPr="00814C24">
        <w:rPr>
          <w:color w:val="000000" w:themeColor="text1"/>
          <w:spacing w:val="-1"/>
          <w:sz w:val="24"/>
          <w:szCs w:val="24"/>
        </w:rPr>
        <w:t xml:space="preserve"> </w:t>
      </w:r>
      <w:proofErr w:type="spellStart"/>
      <w:r w:rsidRPr="00814C24">
        <w:rPr>
          <w:color w:val="000000" w:themeColor="text1"/>
          <w:sz w:val="24"/>
          <w:szCs w:val="24"/>
        </w:rPr>
        <w:t>rezultatelor</w:t>
      </w:r>
      <w:proofErr w:type="spellEnd"/>
      <w:r w:rsidRPr="00814C24">
        <w:rPr>
          <w:color w:val="000000" w:themeColor="text1"/>
          <w:spacing w:val="-1"/>
          <w:sz w:val="24"/>
          <w:szCs w:val="24"/>
        </w:rPr>
        <w:t xml:space="preserve"> </w:t>
      </w:r>
      <w:proofErr w:type="spellStart"/>
      <w:r w:rsidRPr="00814C24">
        <w:rPr>
          <w:color w:val="000000" w:themeColor="text1"/>
          <w:sz w:val="24"/>
          <w:szCs w:val="24"/>
        </w:rPr>
        <w:t>raportării</w:t>
      </w:r>
      <w:proofErr w:type="spellEnd"/>
      <w:r w:rsidRPr="00814C24">
        <w:rPr>
          <w:color w:val="000000" w:themeColor="text1"/>
          <w:sz w:val="24"/>
          <w:szCs w:val="24"/>
        </w:rPr>
        <w:t xml:space="preserve"> </w:t>
      </w:r>
      <w:proofErr w:type="spellStart"/>
      <w:r w:rsidRPr="00814C24">
        <w:rPr>
          <w:color w:val="000000" w:themeColor="text1"/>
          <w:sz w:val="24"/>
          <w:szCs w:val="24"/>
        </w:rPr>
        <w:t>succesive</w:t>
      </w:r>
      <w:proofErr w:type="spellEnd"/>
      <w:r w:rsidRPr="00814C24">
        <w:rPr>
          <w:color w:val="000000" w:themeColor="text1"/>
          <w:sz w:val="24"/>
          <w:szCs w:val="24"/>
        </w:rPr>
        <w:t>.</w:t>
      </w:r>
    </w:p>
    <w:p w14:paraId="6F21FEC4" w14:textId="77777777" w:rsidR="006735BF" w:rsidRPr="00814C24" w:rsidRDefault="006735BF" w:rsidP="008E33FD">
      <w:pPr>
        <w:pStyle w:val="BodyText"/>
        <w:jc w:val="both"/>
        <w:rPr>
          <w:color w:val="000000" w:themeColor="text1"/>
          <w:sz w:val="24"/>
          <w:szCs w:val="24"/>
        </w:rPr>
      </w:pPr>
    </w:p>
    <w:p w14:paraId="0637857D" w14:textId="77777777" w:rsidR="006735BF" w:rsidRPr="00814C24" w:rsidRDefault="00182DE3" w:rsidP="00182DE3">
      <w:pPr>
        <w:pStyle w:val="Heading2"/>
        <w:widowControl w:val="0"/>
        <w:tabs>
          <w:tab w:val="left" w:pos="360"/>
        </w:tabs>
        <w:autoSpaceDE w:val="0"/>
        <w:autoSpaceDN w:val="0"/>
        <w:spacing w:before="0" w:beforeAutospacing="0" w:after="0" w:afterAutospacing="0"/>
        <w:jc w:val="both"/>
        <w:rPr>
          <w:color w:val="000000" w:themeColor="text1"/>
          <w:sz w:val="24"/>
          <w:szCs w:val="24"/>
        </w:rPr>
      </w:pPr>
      <w:proofErr w:type="spellStart"/>
      <w:r>
        <w:rPr>
          <w:color w:val="000000" w:themeColor="text1"/>
          <w:sz w:val="24"/>
          <w:szCs w:val="24"/>
        </w:rPr>
        <w:t>E</w:t>
      </w:r>
      <w:r w:rsidR="006735BF" w:rsidRPr="00814C24">
        <w:rPr>
          <w:color w:val="000000" w:themeColor="text1"/>
          <w:sz w:val="24"/>
          <w:szCs w:val="24"/>
        </w:rPr>
        <w:t>valuarea</w:t>
      </w:r>
      <w:proofErr w:type="spellEnd"/>
      <w:r w:rsidR="006735BF" w:rsidRPr="00814C24">
        <w:rPr>
          <w:color w:val="000000" w:themeColor="text1"/>
          <w:spacing w:val="-5"/>
          <w:sz w:val="24"/>
          <w:szCs w:val="24"/>
        </w:rPr>
        <w:t xml:space="preserve"> </w:t>
      </w:r>
      <w:proofErr w:type="spellStart"/>
      <w:r w:rsidR="006735BF" w:rsidRPr="00814C24">
        <w:rPr>
          <w:color w:val="000000" w:themeColor="text1"/>
          <w:sz w:val="24"/>
          <w:szCs w:val="24"/>
        </w:rPr>
        <w:t>tendințelor</w:t>
      </w:r>
      <w:proofErr w:type="spellEnd"/>
      <w:r w:rsidR="006735BF" w:rsidRPr="00814C24">
        <w:rPr>
          <w:color w:val="000000" w:themeColor="text1"/>
          <w:spacing w:val="-2"/>
          <w:sz w:val="24"/>
          <w:szCs w:val="24"/>
        </w:rPr>
        <w:t xml:space="preserve"> </w:t>
      </w:r>
      <w:r w:rsidR="006735BF" w:rsidRPr="00814C24">
        <w:rPr>
          <w:color w:val="000000" w:themeColor="text1"/>
          <w:sz w:val="24"/>
          <w:szCs w:val="24"/>
        </w:rPr>
        <w:t>pe</w:t>
      </w:r>
      <w:r w:rsidR="006735BF" w:rsidRPr="00814C24">
        <w:rPr>
          <w:color w:val="000000" w:themeColor="text1"/>
          <w:spacing w:val="-2"/>
          <w:sz w:val="24"/>
          <w:szCs w:val="24"/>
        </w:rPr>
        <w:t xml:space="preserve"> </w:t>
      </w:r>
      <w:r w:rsidR="006735BF" w:rsidRPr="00814C24">
        <w:rPr>
          <w:color w:val="000000" w:themeColor="text1"/>
          <w:sz w:val="24"/>
          <w:szCs w:val="24"/>
        </w:rPr>
        <w:t>termen</w:t>
      </w:r>
      <w:r w:rsidR="006735BF" w:rsidRPr="00814C24">
        <w:rPr>
          <w:color w:val="000000" w:themeColor="text1"/>
          <w:spacing w:val="-3"/>
          <w:sz w:val="24"/>
          <w:szCs w:val="24"/>
        </w:rPr>
        <w:t xml:space="preserve"> </w:t>
      </w:r>
      <w:r w:rsidR="006735BF" w:rsidRPr="00814C24">
        <w:rPr>
          <w:color w:val="000000" w:themeColor="text1"/>
          <w:sz w:val="24"/>
          <w:szCs w:val="24"/>
        </w:rPr>
        <w:t>lung</w:t>
      </w:r>
    </w:p>
    <w:p w14:paraId="1B08CFA0" w14:textId="77777777" w:rsidR="006735BF" w:rsidRPr="00814C24" w:rsidRDefault="006735BF" w:rsidP="00182DE3">
      <w:pPr>
        <w:pStyle w:val="BodyText"/>
        <w:spacing w:before="157"/>
        <w:ind w:left="0" w:right="14"/>
        <w:jc w:val="both"/>
        <w:rPr>
          <w:color w:val="000000" w:themeColor="text1"/>
          <w:sz w:val="24"/>
          <w:szCs w:val="24"/>
        </w:rPr>
      </w:pPr>
      <w:proofErr w:type="spellStart"/>
      <w:r w:rsidRPr="00814C24">
        <w:rPr>
          <w:color w:val="000000" w:themeColor="text1"/>
          <w:sz w:val="24"/>
          <w:szCs w:val="24"/>
        </w:rPr>
        <w:t>Având</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vedere</w:t>
      </w:r>
      <w:proofErr w:type="spellEnd"/>
      <w:r w:rsidRPr="00814C24">
        <w:rPr>
          <w:color w:val="000000" w:themeColor="text1"/>
          <w:sz w:val="24"/>
          <w:szCs w:val="24"/>
        </w:rPr>
        <w:t xml:space="preserve"> </w:t>
      </w:r>
      <w:proofErr w:type="spellStart"/>
      <w:r w:rsidRPr="00814C24">
        <w:rPr>
          <w:color w:val="000000" w:themeColor="text1"/>
          <w:sz w:val="24"/>
          <w:szCs w:val="24"/>
        </w:rPr>
        <w:t>că</w:t>
      </w:r>
      <w:proofErr w:type="spellEnd"/>
      <w:r w:rsidRPr="00814C24">
        <w:rPr>
          <w:color w:val="000000" w:themeColor="text1"/>
          <w:sz w:val="24"/>
          <w:szCs w:val="24"/>
        </w:rPr>
        <w:t xml:space="preserve"> </w:t>
      </w:r>
      <w:proofErr w:type="spellStart"/>
      <w:r w:rsidRPr="00814C24">
        <w:rPr>
          <w:color w:val="000000" w:themeColor="text1"/>
          <w:sz w:val="24"/>
          <w:szCs w:val="24"/>
        </w:rPr>
        <w:t>România</w:t>
      </w:r>
      <w:proofErr w:type="spellEnd"/>
      <w:r w:rsidRPr="00814C24">
        <w:rPr>
          <w:color w:val="000000" w:themeColor="text1"/>
          <w:sz w:val="24"/>
          <w:szCs w:val="24"/>
        </w:rPr>
        <w:t xml:space="preserve"> </w:t>
      </w:r>
      <w:proofErr w:type="spellStart"/>
      <w:r w:rsidRPr="00814C24">
        <w:rPr>
          <w:color w:val="000000" w:themeColor="text1"/>
          <w:sz w:val="24"/>
          <w:szCs w:val="24"/>
        </w:rPr>
        <w:t>este</w:t>
      </w:r>
      <w:proofErr w:type="spellEnd"/>
      <w:r w:rsidRPr="00814C24">
        <w:rPr>
          <w:color w:val="000000" w:themeColor="text1"/>
          <w:sz w:val="24"/>
          <w:szCs w:val="24"/>
        </w:rPr>
        <w:t xml:space="preserve"> la a </w:t>
      </w:r>
      <w:proofErr w:type="spellStart"/>
      <w:r w:rsidRPr="00814C24">
        <w:rPr>
          <w:color w:val="000000" w:themeColor="text1"/>
          <w:sz w:val="24"/>
          <w:szCs w:val="24"/>
        </w:rPr>
        <w:t>doua</w:t>
      </w:r>
      <w:proofErr w:type="spellEnd"/>
      <w:r w:rsidRPr="00814C24">
        <w:rPr>
          <w:color w:val="000000" w:themeColor="text1"/>
          <w:sz w:val="24"/>
          <w:szCs w:val="24"/>
        </w:rPr>
        <w:t xml:space="preserve"> </w:t>
      </w:r>
      <w:proofErr w:type="spellStart"/>
      <w:r w:rsidRPr="00814C24">
        <w:rPr>
          <w:color w:val="000000" w:themeColor="text1"/>
          <w:sz w:val="24"/>
          <w:szCs w:val="24"/>
        </w:rPr>
        <w:t>raportare</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baza</w:t>
      </w:r>
      <w:proofErr w:type="spellEnd"/>
      <w:r w:rsidRPr="00814C24">
        <w:rPr>
          <w:color w:val="000000" w:themeColor="text1"/>
          <w:sz w:val="24"/>
          <w:szCs w:val="24"/>
        </w:rPr>
        <w:t xml:space="preserve"> art. 17 al </w:t>
      </w:r>
      <w:proofErr w:type="spellStart"/>
      <w:r w:rsidRPr="00814C24">
        <w:rPr>
          <w:color w:val="000000" w:themeColor="text1"/>
          <w:sz w:val="24"/>
          <w:szCs w:val="24"/>
        </w:rPr>
        <w:t>Directivei</w:t>
      </w:r>
      <w:proofErr w:type="spellEnd"/>
      <w:r w:rsidRPr="00814C24">
        <w:rPr>
          <w:color w:val="000000" w:themeColor="text1"/>
          <w:sz w:val="24"/>
          <w:szCs w:val="24"/>
        </w:rPr>
        <w:t xml:space="preserve"> </w:t>
      </w:r>
      <w:proofErr w:type="spellStart"/>
      <w:r w:rsidRPr="00814C24">
        <w:rPr>
          <w:color w:val="000000" w:themeColor="text1"/>
          <w:sz w:val="24"/>
          <w:szCs w:val="24"/>
        </w:rPr>
        <w:t>Habitate</w:t>
      </w:r>
      <w:proofErr w:type="spellEnd"/>
      <w:r w:rsidRPr="00814C24">
        <w:rPr>
          <w:color w:val="000000" w:themeColor="text1"/>
          <w:sz w:val="24"/>
          <w:szCs w:val="24"/>
        </w:rPr>
        <w:t>, prima</w:t>
      </w:r>
      <w:r w:rsidRPr="00814C24">
        <w:rPr>
          <w:color w:val="000000" w:themeColor="text1"/>
          <w:spacing w:val="1"/>
          <w:sz w:val="24"/>
          <w:szCs w:val="24"/>
        </w:rPr>
        <w:t xml:space="preserve"> </w:t>
      </w:r>
      <w:proofErr w:type="spellStart"/>
      <w:r w:rsidRPr="00814C24">
        <w:rPr>
          <w:color w:val="000000" w:themeColor="text1"/>
          <w:sz w:val="24"/>
          <w:szCs w:val="24"/>
        </w:rPr>
        <w:t>raportare</w:t>
      </w:r>
      <w:proofErr w:type="spellEnd"/>
      <w:r w:rsidRPr="00814C24">
        <w:rPr>
          <w:color w:val="000000" w:themeColor="text1"/>
          <w:sz w:val="24"/>
          <w:szCs w:val="24"/>
        </w:rPr>
        <w:t xml:space="preserve"> </w:t>
      </w:r>
      <w:proofErr w:type="spellStart"/>
      <w:r w:rsidRPr="00814C24">
        <w:rPr>
          <w:color w:val="000000" w:themeColor="text1"/>
          <w:sz w:val="24"/>
          <w:szCs w:val="24"/>
        </w:rPr>
        <w:t>rămânând</w:t>
      </w:r>
      <w:proofErr w:type="spellEnd"/>
      <w:r w:rsidRPr="00814C24">
        <w:rPr>
          <w:color w:val="000000" w:themeColor="text1"/>
          <w:sz w:val="24"/>
          <w:szCs w:val="24"/>
        </w:rPr>
        <w:t xml:space="preserve"> de </w:t>
      </w:r>
      <w:proofErr w:type="spellStart"/>
      <w:r w:rsidRPr="00814C24">
        <w:rPr>
          <w:color w:val="000000" w:themeColor="text1"/>
          <w:sz w:val="24"/>
          <w:szCs w:val="24"/>
        </w:rPr>
        <w:t>referință</w:t>
      </w:r>
      <w:proofErr w:type="spellEnd"/>
      <w:r w:rsidRPr="00814C24">
        <w:rPr>
          <w:color w:val="000000" w:themeColor="text1"/>
          <w:sz w:val="24"/>
          <w:szCs w:val="24"/>
        </w:rPr>
        <w:t xml:space="preserve"> </w:t>
      </w:r>
      <w:proofErr w:type="spellStart"/>
      <w:r w:rsidRPr="00814C24">
        <w:rPr>
          <w:color w:val="000000" w:themeColor="text1"/>
          <w:sz w:val="24"/>
          <w:szCs w:val="24"/>
        </w:rPr>
        <w:t>pentru</w:t>
      </w:r>
      <w:proofErr w:type="spellEnd"/>
      <w:r w:rsidRPr="00814C24">
        <w:rPr>
          <w:color w:val="000000" w:themeColor="text1"/>
          <w:sz w:val="24"/>
          <w:szCs w:val="24"/>
        </w:rPr>
        <w:t xml:space="preserve"> </w:t>
      </w:r>
      <w:proofErr w:type="spellStart"/>
      <w:r w:rsidRPr="00814C24">
        <w:rPr>
          <w:color w:val="000000" w:themeColor="text1"/>
          <w:sz w:val="24"/>
          <w:szCs w:val="24"/>
        </w:rPr>
        <w:t>următoarele</w:t>
      </w:r>
      <w:proofErr w:type="spellEnd"/>
      <w:r w:rsidRPr="00814C24">
        <w:rPr>
          <w:color w:val="000000" w:themeColor="text1"/>
          <w:sz w:val="24"/>
          <w:szCs w:val="24"/>
        </w:rPr>
        <w:t xml:space="preserve"> </w:t>
      </w:r>
      <w:proofErr w:type="spellStart"/>
      <w:r w:rsidRPr="00814C24">
        <w:rPr>
          <w:color w:val="000000" w:themeColor="text1"/>
          <w:sz w:val="24"/>
          <w:szCs w:val="24"/>
        </w:rPr>
        <w:t>rapoarte</w:t>
      </w:r>
      <w:proofErr w:type="spellEnd"/>
      <w:r w:rsidRPr="00814C24">
        <w:rPr>
          <w:color w:val="000000" w:themeColor="text1"/>
          <w:sz w:val="24"/>
          <w:szCs w:val="24"/>
        </w:rPr>
        <w:t xml:space="preserve">, s-a </w:t>
      </w:r>
      <w:proofErr w:type="spellStart"/>
      <w:r w:rsidRPr="00814C24">
        <w:rPr>
          <w:color w:val="000000" w:themeColor="text1"/>
          <w:sz w:val="24"/>
          <w:szCs w:val="24"/>
        </w:rPr>
        <w:t>realizat</w:t>
      </w:r>
      <w:proofErr w:type="spellEnd"/>
      <w:r w:rsidRPr="00814C24">
        <w:rPr>
          <w:color w:val="000000" w:themeColor="text1"/>
          <w:sz w:val="24"/>
          <w:szCs w:val="24"/>
        </w:rPr>
        <w:t xml:space="preserve"> </w:t>
      </w:r>
      <w:proofErr w:type="spellStart"/>
      <w:r w:rsidRPr="00814C24">
        <w:rPr>
          <w:color w:val="000000" w:themeColor="text1"/>
          <w:sz w:val="24"/>
          <w:szCs w:val="24"/>
        </w:rPr>
        <w:t>evaluarea</w:t>
      </w:r>
      <w:proofErr w:type="spellEnd"/>
      <w:r w:rsidRPr="00814C24">
        <w:rPr>
          <w:color w:val="000000" w:themeColor="text1"/>
          <w:sz w:val="24"/>
          <w:szCs w:val="24"/>
        </w:rPr>
        <w:t xml:space="preserve"> </w:t>
      </w:r>
      <w:proofErr w:type="spellStart"/>
      <w:r w:rsidRPr="00814C24">
        <w:rPr>
          <w:color w:val="000000" w:themeColor="text1"/>
          <w:sz w:val="24"/>
          <w:szCs w:val="24"/>
        </w:rPr>
        <w:t>tendințelor</w:t>
      </w:r>
      <w:proofErr w:type="spellEnd"/>
      <w:r w:rsidRPr="00814C24">
        <w:rPr>
          <w:color w:val="000000" w:themeColor="text1"/>
          <w:sz w:val="24"/>
          <w:szCs w:val="24"/>
        </w:rPr>
        <w:t xml:space="preserve"> pe</w:t>
      </w:r>
      <w:r w:rsidRPr="00814C24">
        <w:rPr>
          <w:color w:val="000000" w:themeColor="text1"/>
          <w:spacing w:val="1"/>
          <w:sz w:val="24"/>
          <w:szCs w:val="24"/>
        </w:rPr>
        <w:t xml:space="preserve"> </w:t>
      </w:r>
      <w:r w:rsidRPr="00814C24">
        <w:rPr>
          <w:color w:val="000000" w:themeColor="text1"/>
          <w:sz w:val="24"/>
          <w:szCs w:val="24"/>
        </w:rPr>
        <w:t>termen lung</w:t>
      </w:r>
      <w:r w:rsidRPr="00814C24">
        <w:rPr>
          <w:color w:val="000000" w:themeColor="text1"/>
          <w:spacing w:val="1"/>
          <w:sz w:val="24"/>
          <w:szCs w:val="24"/>
        </w:rPr>
        <w:t xml:space="preserve"> </w:t>
      </w:r>
      <w:r w:rsidRPr="00814C24">
        <w:rPr>
          <w:color w:val="000000" w:themeColor="text1"/>
          <w:sz w:val="24"/>
          <w:szCs w:val="24"/>
        </w:rPr>
        <w:t xml:space="preserve">a </w:t>
      </w:r>
      <w:proofErr w:type="spellStart"/>
      <w:r w:rsidRPr="00814C24">
        <w:rPr>
          <w:color w:val="000000" w:themeColor="text1"/>
          <w:sz w:val="24"/>
          <w:szCs w:val="24"/>
        </w:rPr>
        <w:t>stării</w:t>
      </w:r>
      <w:proofErr w:type="spellEnd"/>
      <w:r w:rsidRPr="00814C24">
        <w:rPr>
          <w:color w:val="000000" w:themeColor="text1"/>
          <w:sz w:val="24"/>
          <w:szCs w:val="24"/>
        </w:rPr>
        <w:t xml:space="preserve"> de </w:t>
      </w:r>
      <w:proofErr w:type="spellStart"/>
      <w:r w:rsidRPr="00814C24">
        <w:rPr>
          <w:color w:val="000000" w:themeColor="text1"/>
          <w:sz w:val="24"/>
          <w:szCs w:val="24"/>
        </w:rPr>
        <w:t>conservare</w:t>
      </w:r>
      <w:proofErr w:type="spellEnd"/>
      <w:r w:rsidRPr="00814C24">
        <w:rPr>
          <w:color w:val="000000" w:themeColor="text1"/>
          <w:sz w:val="24"/>
          <w:szCs w:val="24"/>
        </w:rPr>
        <w:t xml:space="preserve"> cu </w:t>
      </w:r>
      <w:proofErr w:type="spellStart"/>
      <w:r w:rsidRPr="00814C24">
        <w:rPr>
          <w:color w:val="000000" w:themeColor="text1"/>
          <w:sz w:val="24"/>
          <w:szCs w:val="24"/>
        </w:rPr>
        <w:t>utilizarea</w:t>
      </w:r>
      <w:proofErr w:type="spellEnd"/>
      <w:r w:rsidRPr="00814C24">
        <w:rPr>
          <w:color w:val="000000" w:themeColor="text1"/>
          <w:sz w:val="24"/>
          <w:szCs w:val="24"/>
        </w:rPr>
        <w:t xml:space="preserve"> </w:t>
      </w:r>
      <w:proofErr w:type="spellStart"/>
      <w:r w:rsidRPr="00814C24">
        <w:rPr>
          <w:color w:val="000000" w:themeColor="text1"/>
          <w:sz w:val="24"/>
          <w:szCs w:val="24"/>
        </w:rPr>
        <w:t>doar</w:t>
      </w:r>
      <w:proofErr w:type="spellEnd"/>
      <w:r w:rsidRPr="00814C24">
        <w:rPr>
          <w:color w:val="000000" w:themeColor="text1"/>
          <w:sz w:val="24"/>
          <w:szCs w:val="24"/>
        </w:rPr>
        <w:t xml:space="preserve"> a </w:t>
      </w:r>
      <w:proofErr w:type="spellStart"/>
      <w:r w:rsidRPr="00814C24">
        <w:rPr>
          <w:color w:val="000000" w:themeColor="text1"/>
          <w:sz w:val="24"/>
          <w:szCs w:val="24"/>
        </w:rPr>
        <w:t>unui</w:t>
      </w:r>
      <w:proofErr w:type="spellEnd"/>
      <w:r w:rsidRPr="00814C24">
        <w:rPr>
          <w:color w:val="000000" w:themeColor="text1"/>
          <w:sz w:val="24"/>
          <w:szCs w:val="24"/>
        </w:rPr>
        <w:t xml:space="preserve"> </w:t>
      </w:r>
      <w:proofErr w:type="spellStart"/>
      <w:r w:rsidRPr="00814C24">
        <w:rPr>
          <w:color w:val="000000" w:themeColor="text1"/>
          <w:sz w:val="24"/>
          <w:szCs w:val="24"/>
        </w:rPr>
        <w:t>ciclu</w:t>
      </w:r>
      <w:proofErr w:type="spellEnd"/>
      <w:r w:rsidRPr="00814C24">
        <w:rPr>
          <w:color w:val="000000" w:themeColor="text1"/>
          <w:sz w:val="24"/>
          <w:szCs w:val="24"/>
        </w:rPr>
        <w:t xml:space="preserve"> de </w:t>
      </w:r>
      <w:proofErr w:type="spellStart"/>
      <w:r w:rsidRPr="00814C24">
        <w:rPr>
          <w:color w:val="000000" w:themeColor="text1"/>
          <w:sz w:val="24"/>
          <w:szCs w:val="24"/>
        </w:rPr>
        <w:t>raportare</w:t>
      </w:r>
      <w:proofErr w:type="spellEnd"/>
      <w:r w:rsidRPr="00814C24">
        <w:rPr>
          <w:color w:val="000000" w:themeColor="text1"/>
          <w:sz w:val="24"/>
          <w:szCs w:val="24"/>
        </w:rPr>
        <w:t xml:space="preserve">, </w:t>
      </w:r>
      <w:proofErr w:type="spellStart"/>
      <w:r w:rsidRPr="00814C24">
        <w:rPr>
          <w:color w:val="000000" w:themeColor="text1"/>
          <w:sz w:val="24"/>
          <w:szCs w:val="24"/>
        </w:rPr>
        <w:t>spre</w:t>
      </w:r>
      <w:proofErr w:type="spellEnd"/>
      <w:r w:rsidRPr="00814C24">
        <w:rPr>
          <w:color w:val="000000" w:themeColor="text1"/>
          <w:sz w:val="24"/>
          <w:szCs w:val="24"/>
        </w:rPr>
        <w:t xml:space="preserve"> </w:t>
      </w:r>
      <w:proofErr w:type="spellStart"/>
      <w:r w:rsidRPr="00814C24">
        <w:rPr>
          <w:color w:val="000000" w:themeColor="text1"/>
          <w:sz w:val="24"/>
          <w:szCs w:val="24"/>
        </w:rPr>
        <w:t>deosebire</w:t>
      </w:r>
      <w:proofErr w:type="spellEnd"/>
      <w:r w:rsidRPr="00814C24">
        <w:rPr>
          <w:color w:val="000000" w:themeColor="text1"/>
          <w:sz w:val="24"/>
          <w:szCs w:val="24"/>
        </w:rPr>
        <w:t xml:space="preserve"> de</w:t>
      </w:r>
      <w:r w:rsidRPr="00814C24">
        <w:rPr>
          <w:color w:val="000000" w:themeColor="text1"/>
          <w:spacing w:val="1"/>
          <w:sz w:val="24"/>
          <w:szCs w:val="24"/>
        </w:rPr>
        <w:t xml:space="preserve"> </w:t>
      </w:r>
      <w:proofErr w:type="spellStart"/>
      <w:r w:rsidRPr="00814C24">
        <w:rPr>
          <w:color w:val="000000" w:themeColor="text1"/>
          <w:sz w:val="24"/>
          <w:szCs w:val="24"/>
        </w:rPr>
        <w:t>metoda</w:t>
      </w:r>
      <w:proofErr w:type="spellEnd"/>
      <w:r w:rsidRPr="00814C24">
        <w:rPr>
          <w:color w:val="000000" w:themeColor="text1"/>
          <w:spacing w:val="-2"/>
          <w:sz w:val="24"/>
          <w:szCs w:val="24"/>
        </w:rPr>
        <w:t xml:space="preserve"> </w:t>
      </w:r>
      <w:proofErr w:type="spellStart"/>
      <w:r w:rsidRPr="00814C24">
        <w:rPr>
          <w:color w:val="000000" w:themeColor="text1"/>
          <w:sz w:val="24"/>
          <w:szCs w:val="24"/>
        </w:rPr>
        <w:t>recomandată</w:t>
      </w:r>
      <w:proofErr w:type="spellEnd"/>
      <w:r w:rsidRPr="00814C24">
        <w:rPr>
          <w:color w:val="000000" w:themeColor="text1"/>
          <w:sz w:val="24"/>
          <w:szCs w:val="24"/>
        </w:rPr>
        <w:t>.</w:t>
      </w:r>
    </w:p>
    <w:p w14:paraId="3C11DDFB" w14:textId="77777777" w:rsidR="006735BF" w:rsidRPr="00814C24" w:rsidRDefault="006735BF" w:rsidP="00182DE3">
      <w:pPr>
        <w:pStyle w:val="BodyText"/>
        <w:spacing w:before="1"/>
        <w:ind w:left="0" w:right="14"/>
        <w:jc w:val="both"/>
        <w:rPr>
          <w:color w:val="000000" w:themeColor="text1"/>
          <w:sz w:val="24"/>
          <w:szCs w:val="24"/>
        </w:rPr>
      </w:pPr>
      <w:proofErr w:type="spellStart"/>
      <w:r w:rsidRPr="00814C24">
        <w:rPr>
          <w:color w:val="000000" w:themeColor="text1"/>
          <w:sz w:val="24"/>
          <w:szCs w:val="24"/>
        </w:rPr>
        <w:t>Metoda</w:t>
      </w:r>
      <w:proofErr w:type="spellEnd"/>
      <w:r w:rsidRPr="00814C24">
        <w:rPr>
          <w:color w:val="000000" w:themeColor="text1"/>
          <w:sz w:val="24"/>
          <w:szCs w:val="24"/>
        </w:rPr>
        <w:t xml:space="preserve"> de </w:t>
      </w:r>
      <w:proofErr w:type="spellStart"/>
      <w:r w:rsidRPr="00814C24">
        <w:rPr>
          <w:color w:val="000000" w:themeColor="text1"/>
          <w:sz w:val="24"/>
          <w:szCs w:val="24"/>
        </w:rPr>
        <w:t>evaluare</w:t>
      </w:r>
      <w:proofErr w:type="spellEnd"/>
      <w:r w:rsidRPr="00814C24">
        <w:rPr>
          <w:color w:val="000000" w:themeColor="text1"/>
          <w:sz w:val="24"/>
          <w:szCs w:val="24"/>
        </w:rPr>
        <w:t xml:space="preserve"> a </w:t>
      </w:r>
      <w:proofErr w:type="spellStart"/>
      <w:r w:rsidRPr="00814C24">
        <w:rPr>
          <w:color w:val="000000" w:themeColor="text1"/>
          <w:sz w:val="24"/>
          <w:szCs w:val="24"/>
        </w:rPr>
        <w:t>tendințelor</w:t>
      </w:r>
      <w:proofErr w:type="spellEnd"/>
      <w:r w:rsidRPr="00814C24">
        <w:rPr>
          <w:color w:val="000000" w:themeColor="text1"/>
          <w:sz w:val="24"/>
          <w:szCs w:val="24"/>
        </w:rPr>
        <w:t xml:space="preserve"> de </w:t>
      </w:r>
      <w:proofErr w:type="spellStart"/>
      <w:r w:rsidRPr="00814C24">
        <w:rPr>
          <w:color w:val="000000" w:themeColor="text1"/>
          <w:sz w:val="24"/>
          <w:szCs w:val="24"/>
        </w:rPr>
        <w:t>evoluție</w:t>
      </w:r>
      <w:proofErr w:type="spellEnd"/>
      <w:r w:rsidRPr="00814C24">
        <w:rPr>
          <w:color w:val="000000" w:themeColor="text1"/>
          <w:sz w:val="24"/>
          <w:szCs w:val="24"/>
        </w:rPr>
        <w:t xml:space="preserve"> pe termen lung </w:t>
      </w:r>
      <w:proofErr w:type="spellStart"/>
      <w:r w:rsidRPr="00814C24">
        <w:rPr>
          <w:color w:val="000000" w:themeColor="text1"/>
          <w:sz w:val="24"/>
          <w:szCs w:val="24"/>
        </w:rPr>
        <w:t>utilizează</w:t>
      </w:r>
      <w:proofErr w:type="spellEnd"/>
      <w:r w:rsidRPr="00814C24">
        <w:rPr>
          <w:color w:val="000000" w:themeColor="text1"/>
          <w:sz w:val="24"/>
          <w:szCs w:val="24"/>
        </w:rPr>
        <w:t xml:space="preserve"> </w:t>
      </w:r>
      <w:proofErr w:type="spellStart"/>
      <w:r w:rsidRPr="00814C24">
        <w:rPr>
          <w:color w:val="000000" w:themeColor="text1"/>
          <w:sz w:val="24"/>
          <w:szCs w:val="24"/>
        </w:rPr>
        <w:t>tendința</w:t>
      </w:r>
      <w:proofErr w:type="spellEnd"/>
      <w:r w:rsidRPr="00814C24">
        <w:rPr>
          <w:color w:val="000000" w:themeColor="text1"/>
          <w:sz w:val="24"/>
          <w:szCs w:val="24"/>
        </w:rPr>
        <w:t xml:space="preserve"> </w:t>
      </w:r>
      <w:proofErr w:type="spellStart"/>
      <w:r w:rsidRPr="00814C24">
        <w:rPr>
          <w:color w:val="000000" w:themeColor="text1"/>
          <w:sz w:val="24"/>
          <w:szCs w:val="24"/>
        </w:rPr>
        <w:t>observată</w:t>
      </w:r>
      <w:proofErr w:type="spellEnd"/>
      <w:r w:rsidRPr="00814C24">
        <w:rPr>
          <w:color w:val="000000" w:themeColor="text1"/>
          <w:sz w:val="24"/>
          <w:szCs w:val="24"/>
        </w:rPr>
        <w:t xml:space="preserve"> </w:t>
      </w:r>
      <w:proofErr w:type="spellStart"/>
      <w:r w:rsidRPr="00814C24">
        <w:rPr>
          <w:color w:val="000000" w:themeColor="text1"/>
          <w:sz w:val="24"/>
          <w:szCs w:val="24"/>
        </w:rPr>
        <w:t>pentru</w:t>
      </w:r>
      <w:proofErr w:type="spellEnd"/>
      <w:r w:rsidRPr="00814C24">
        <w:rPr>
          <w:color w:val="000000" w:themeColor="text1"/>
          <w:spacing w:val="1"/>
          <w:sz w:val="24"/>
          <w:szCs w:val="24"/>
        </w:rPr>
        <w:t xml:space="preserve"> </w:t>
      </w:r>
      <w:proofErr w:type="spellStart"/>
      <w:r w:rsidRPr="00814C24">
        <w:rPr>
          <w:color w:val="000000" w:themeColor="text1"/>
          <w:sz w:val="24"/>
          <w:szCs w:val="24"/>
        </w:rPr>
        <w:t>parametrii</w:t>
      </w:r>
      <w:proofErr w:type="spellEnd"/>
      <w:r w:rsidRPr="00814C24">
        <w:rPr>
          <w:color w:val="000000" w:themeColor="text1"/>
          <w:sz w:val="24"/>
          <w:szCs w:val="24"/>
        </w:rPr>
        <w:t xml:space="preserve"> de stare precum areal de </w:t>
      </w:r>
      <w:proofErr w:type="spellStart"/>
      <w:r w:rsidRPr="00814C24">
        <w:rPr>
          <w:color w:val="000000" w:themeColor="text1"/>
          <w:sz w:val="24"/>
          <w:szCs w:val="24"/>
        </w:rPr>
        <w:t>distribuție</w:t>
      </w:r>
      <w:proofErr w:type="spellEnd"/>
      <w:r w:rsidRPr="00814C24">
        <w:rPr>
          <w:color w:val="000000" w:themeColor="text1"/>
          <w:sz w:val="24"/>
          <w:szCs w:val="24"/>
        </w:rPr>
        <w:t xml:space="preserve"> </w:t>
      </w:r>
      <w:proofErr w:type="spellStart"/>
      <w:r w:rsidRPr="00814C24">
        <w:rPr>
          <w:color w:val="000000" w:themeColor="text1"/>
          <w:sz w:val="24"/>
          <w:szCs w:val="24"/>
        </w:rPr>
        <w:t>și</w:t>
      </w:r>
      <w:proofErr w:type="spellEnd"/>
      <w:r w:rsidRPr="00814C24">
        <w:rPr>
          <w:color w:val="000000" w:themeColor="text1"/>
          <w:sz w:val="24"/>
          <w:szCs w:val="24"/>
        </w:rPr>
        <w:t xml:space="preserve"> </w:t>
      </w:r>
      <w:proofErr w:type="spellStart"/>
      <w:r w:rsidRPr="00814C24">
        <w:rPr>
          <w:color w:val="000000" w:themeColor="text1"/>
          <w:sz w:val="24"/>
          <w:szCs w:val="24"/>
        </w:rPr>
        <w:t>structură</w:t>
      </w:r>
      <w:proofErr w:type="spellEnd"/>
      <w:r w:rsidRPr="00814C24">
        <w:rPr>
          <w:color w:val="000000" w:themeColor="text1"/>
          <w:sz w:val="24"/>
          <w:szCs w:val="24"/>
        </w:rPr>
        <w:t xml:space="preserve"> </w:t>
      </w:r>
      <w:proofErr w:type="spellStart"/>
      <w:r w:rsidRPr="00814C24">
        <w:rPr>
          <w:color w:val="000000" w:themeColor="text1"/>
          <w:sz w:val="24"/>
          <w:szCs w:val="24"/>
        </w:rPr>
        <w:t>și</w:t>
      </w:r>
      <w:proofErr w:type="spellEnd"/>
      <w:r w:rsidRPr="00814C24">
        <w:rPr>
          <w:color w:val="000000" w:themeColor="text1"/>
          <w:sz w:val="24"/>
          <w:szCs w:val="24"/>
        </w:rPr>
        <w:t xml:space="preserve"> </w:t>
      </w:r>
      <w:proofErr w:type="spellStart"/>
      <w:r w:rsidRPr="00814C24">
        <w:rPr>
          <w:color w:val="000000" w:themeColor="text1"/>
          <w:sz w:val="24"/>
          <w:szCs w:val="24"/>
        </w:rPr>
        <w:t>funcții</w:t>
      </w:r>
      <w:proofErr w:type="spellEnd"/>
      <w:r w:rsidRPr="00814C24">
        <w:rPr>
          <w:color w:val="000000" w:themeColor="text1"/>
          <w:sz w:val="24"/>
          <w:szCs w:val="24"/>
        </w:rPr>
        <w:t xml:space="preserve"> </w:t>
      </w:r>
      <w:proofErr w:type="spellStart"/>
      <w:r w:rsidRPr="00814C24">
        <w:rPr>
          <w:color w:val="000000" w:themeColor="text1"/>
          <w:sz w:val="24"/>
          <w:szCs w:val="24"/>
        </w:rPr>
        <w:t>raportate</w:t>
      </w:r>
      <w:proofErr w:type="spellEnd"/>
      <w:r w:rsidRPr="00814C24">
        <w:rPr>
          <w:color w:val="000000" w:themeColor="text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urmă</w:t>
      </w:r>
      <w:proofErr w:type="spellEnd"/>
      <w:r w:rsidRPr="00814C24">
        <w:rPr>
          <w:color w:val="000000" w:themeColor="text1"/>
          <w:sz w:val="24"/>
          <w:szCs w:val="24"/>
        </w:rPr>
        <w:t xml:space="preserve"> cu 4 </w:t>
      </w:r>
      <w:proofErr w:type="spellStart"/>
      <w:r w:rsidRPr="00814C24">
        <w:rPr>
          <w:color w:val="000000" w:themeColor="text1"/>
          <w:sz w:val="24"/>
          <w:szCs w:val="24"/>
        </w:rPr>
        <w:t>cicluri</w:t>
      </w:r>
      <w:proofErr w:type="spellEnd"/>
      <w:r w:rsidRPr="00814C24">
        <w:rPr>
          <w:color w:val="000000" w:themeColor="text1"/>
          <w:sz w:val="24"/>
          <w:szCs w:val="24"/>
        </w:rPr>
        <w:t xml:space="preserve"> de</w:t>
      </w:r>
      <w:r w:rsidRPr="00814C24">
        <w:rPr>
          <w:color w:val="000000" w:themeColor="text1"/>
          <w:spacing w:val="1"/>
          <w:sz w:val="24"/>
          <w:szCs w:val="24"/>
        </w:rPr>
        <w:t xml:space="preserve"> </w:t>
      </w:r>
      <w:proofErr w:type="spellStart"/>
      <w:r w:rsidRPr="00814C24">
        <w:rPr>
          <w:color w:val="000000" w:themeColor="text1"/>
          <w:sz w:val="24"/>
          <w:szCs w:val="24"/>
        </w:rPr>
        <w:t>raportare</w:t>
      </w:r>
      <w:proofErr w:type="spellEnd"/>
      <w:r w:rsidRPr="00814C24">
        <w:rPr>
          <w:color w:val="000000" w:themeColor="text1"/>
          <w:spacing w:val="1"/>
          <w:sz w:val="24"/>
          <w:szCs w:val="24"/>
        </w:rPr>
        <w:t xml:space="preserve"> </w:t>
      </w:r>
      <w:r w:rsidRPr="00814C24">
        <w:rPr>
          <w:color w:val="000000" w:themeColor="text1"/>
          <w:sz w:val="24"/>
          <w:szCs w:val="24"/>
        </w:rPr>
        <w:t>(de</w:t>
      </w:r>
      <w:r w:rsidRPr="00814C24">
        <w:rPr>
          <w:color w:val="000000" w:themeColor="text1"/>
          <w:spacing w:val="1"/>
          <w:sz w:val="24"/>
          <w:szCs w:val="24"/>
        </w:rPr>
        <w:t xml:space="preserve"> </w:t>
      </w:r>
      <w:r w:rsidRPr="00814C24">
        <w:rPr>
          <w:color w:val="000000" w:themeColor="text1"/>
          <w:sz w:val="24"/>
          <w:szCs w:val="24"/>
        </w:rPr>
        <w:t>6</w:t>
      </w:r>
      <w:r w:rsidRPr="00814C24">
        <w:rPr>
          <w:color w:val="000000" w:themeColor="text1"/>
          <w:spacing w:val="1"/>
          <w:sz w:val="24"/>
          <w:szCs w:val="24"/>
        </w:rPr>
        <w:t xml:space="preserve"> </w:t>
      </w:r>
      <w:r w:rsidRPr="00814C24">
        <w:rPr>
          <w:color w:val="000000" w:themeColor="text1"/>
          <w:sz w:val="24"/>
          <w:szCs w:val="24"/>
        </w:rPr>
        <w:t>ani).</w:t>
      </w:r>
      <w:r w:rsidRPr="00814C24">
        <w:rPr>
          <w:color w:val="000000" w:themeColor="text1"/>
          <w:spacing w:val="1"/>
          <w:sz w:val="24"/>
          <w:szCs w:val="24"/>
        </w:rPr>
        <w:t xml:space="preserve"> </w:t>
      </w:r>
      <w:proofErr w:type="spellStart"/>
      <w:r w:rsidRPr="00814C24">
        <w:rPr>
          <w:color w:val="000000" w:themeColor="text1"/>
          <w:sz w:val="24"/>
          <w:szCs w:val="24"/>
        </w:rPr>
        <w:t>Tendința</w:t>
      </w:r>
      <w:proofErr w:type="spellEnd"/>
      <w:r w:rsidRPr="00814C24">
        <w:rPr>
          <w:color w:val="000000" w:themeColor="text1"/>
          <w:spacing w:val="1"/>
          <w:sz w:val="24"/>
          <w:szCs w:val="24"/>
        </w:rPr>
        <w:t xml:space="preserve"> </w:t>
      </w:r>
      <w:proofErr w:type="spellStart"/>
      <w:r w:rsidRPr="00814C24">
        <w:rPr>
          <w:color w:val="000000" w:themeColor="text1"/>
          <w:sz w:val="24"/>
          <w:szCs w:val="24"/>
        </w:rPr>
        <w:t>fiind</w:t>
      </w:r>
      <w:proofErr w:type="spellEnd"/>
      <w:r w:rsidRPr="00814C24">
        <w:rPr>
          <w:color w:val="000000" w:themeColor="text1"/>
          <w:spacing w:val="1"/>
          <w:sz w:val="24"/>
          <w:szCs w:val="24"/>
        </w:rPr>
        <w:t xml:space="preserve"> </w:t>
      </w:r>
      <w:proofErr w:type="spellStart"/>
      <w:r w:rsidRPr="00814C24">
        <w:rPr>
          <w:color w:val="000000" w:themeColor="text1"/>
          <w:sz w:val="24"/>
          <w:szCs w:val="24"/>
        </w:rPr>
        <w:t>evaluată</w:t>
      </w:r>
      <w:proofErr w:type="spellEnd"/>
      <w:r w:rsidRPr="00814C24">
        <w:rPr>
          <w:color w:val="000000" w:themeColor="text1"/>
          <w:spacing w:val="1"/>
          <w:sz w:val="24"/>
          <w:szCs w:val="24"/>
        </w:rPr>
        <w:t xml:space="preserve"> </w:t>
      </w:r>
      <w:proofErr w:type="spellStart"/>
      <w:r w:rsidRPr="00814C24">
        <w:rPr>
          <w:color w:val="000000" w:themeColor="text1"/>
          <w:sz w:val="24"/>
          <w:szCs w:val="24"/>
        </w:rPr>
        <w:t>utilizând</w:t>
      </w:r>
      <w:proofErr w:type="spellEnd"/>
      <w:r w:rsidRPr="00814C24">
        <w:rPr>
          <w:color w:val="000000" w:themeColor="text1"/>
          <w:spacing w:val="1"/>
          <w:sz w:val="24"/>
          <w:szCs w:val="24"/>
        </w:rPr>
        <w:t xml:space="preserve"> </w:t>
      </w:r>
      <w:proofErr w:type="spellStart"/>
      <w:r w:rsidRPr="00814C24">
        <w:rPr>
          <w:color w:val="000000" w:themeColor="text1"/>
          <w:sz w:val="24"/>
          <w:szCs w:val="24"/>
        </w:rPr>
        <w:t>indicatori</w:t>
      </w:r>
      <w:proofErr w:type="spellEnd"/>
      <w:r w:rsidRPr="00814C24">
        <w:rPr>
          <w:color w:val="000000" w:themeColor="text1"/>
          <w:spacing w:val="1"/>
          <w:sz w:val="24"/>
          <w:szCs w:val="24"/>
        </w:rPr>
        <w:t xml:space="preserve"> </w:t>
      </w:r>
      <w:proofErr w:type="spellStart"/>
      <w:r w:rsidRPr="00814C24">
        <w:rPr>
          <w:color w:val="000000" w:themeColor="text1"/>
          <w:sz w:val="24"/>
          <w:szCs w:val="24"/>
        </w:rPr>
        <w:t>calitativi</w:t>
      </w:r>
      <w:proofErr w:type="spellEnd"/>
      <w:r w:rsidRPr="00814C24">
        <w:rPr>
          <w:color w:val="000000" w:themeColor="text1"/>
          <w:spacing w:val="1"/>
          <w:sz w:val="24"/>
          <w:szCs w:val="24"/>
        </w:rPr>
        <w:t xml:space="preserve"> </w:t>
      </w:r>
      <w:r w:rsidRPr="00814C24">
        <w:rPr>
          <w:color w:val="000000" w:themeColor="text1"/>
          <w:sz w:val="24"/>
          <w:szCs w:val="24"/>
        </w:rPr>
        <w:t>precum:</w:t>
      </w:r>
      <w:r w:rsidRPr="00814C24">
        <w:rPr>
          <w:color w:val="000000" w:themeColor="text1"/>
          <w:spacing w:val="1"/>
          <w:sz w:val="24"/>
          <w:szCs w:val="24"/>
        </w:rPr>
        <w:t xml:space="preserve"> </w:t>
      </w:r>
      <w:proofErr w:type="spellStart"/>
      <w:r w:rsidRPr="00814C24">
        <w:rPr>
          <w:color w:val="000000" w:themeColor="text1"/>
          <w:sz w:val="24"/>
          <w:szCs w:val="24"/>
        </w:rPr>
        <w:t>stabilă</w:t>
      </w:r>
      <w:proofErr w:type="spellEnd"/>
      <w:r w:rsidRPr="00814C24">
        <w:rPr>
          <w:color w:val="000000" w:themeColor="text1"/>
          <w:sz w:val="24"/>
          <w:szCs w:val="24"/>
        </w:rPr>
        <w:t>,</w:t>
      </w:r>
      <w:r w:rsidRPr="00814C24">
        <w:rPr>
          <w:color w:val="000000" w:themeColor="text1"/>
          <w:spacing w:val="60"/>
          <w:sz w:val="24"/>
          <w:szCs w:val="24"/>
        </w:rPr>
        <w:t xml:space="preserve"> </w:t>
      </w:r>
      <w:proofErr w:type="spellStart"/>
      <w:r w:rsidRPr="00814C24">
        <w:rPr>
          <w:color w:val="000000" w:themeColor="text1"/>
          <w:sz w:val="24"/>
          <w:szCs w:val="24"/>
        </w:rPr>
        <w:t>în</w:t>
      </w:r>
      <w:proofErr w:type="spellEnd"/>
      <w:r w:rsidRPr="00814C24">
        <w:rPr>
          <w:color w:val="000000" w:themeColor="text1"/>
          <w:spacing w:val="1"/>
          <w:sz w:val="24"/>
          <w:szCs w:val="24"/>
        </w:rPr>
        <w:t xml:space="preserve"> </w:t>
      </w:r>
      <w:proofErr w:type="spellStart"/>
      <w:r w:rsidRPr="00814C24">
        <w:rPr>
          <w:color w:val="000000" w:themeColor="text1"/>
          <w:sz w:val="24"/>
          <w:szCs w:val="24"/>
        </w:rPr>
        <w:t>refacere</w:t>
      </w:r>
      <w:proofErr w:type="spellEnd"/>
      <w:r w:rsidRPr="00814C24">
        <w:rPr>
          <w:color w:val="000000" w:themeColor="text1"/>
          <w:sz w:val="24"/>
          <w:szCs w:val="24"/>
        </w:rPr>
        <w:t>,</w:t>
      </w:r>
      <w:r w:rsidRPr="00814C24">
        <w:rPr>
          <w:color w:val="000000" w:themeColor="text1"/>
          <w:spacing w:val="-1"/>
          <w:sz w:val="24"/>
          <w:szCs w:val="24"/>
        </w:rPr>
        <w:t xml:space="preserve"> </w:t>
      </w:r>
      <w:proofErr w:type="spellStart"/>
      <w:r w:rsidRPr="00814C24">
        <w:rPr>
          <w:color w:val="000000" w:themeColor="text1"/>
          <w:sz w:val="24"/>
          <w:szCs w:val="24"/>
        </w:rPr>
        <w:t>în</w:t>
      </w:r>
      <w:proofErr w:type="spellEnd"/>
      <w:r w:rsidRPr="00814C24">
        <w:rPr>
          <w:color w:val="000000" w:themeColor="text1"/>
          <w:sz w:val="24"/>
          <w:szCs w:val="24"/>
        </w:rPr>
        <w:t xml:space="preserve"> </w:t>
      </w:r>
      <w:proofErr w:type="spellStart"/>
      <w:r w:rsidRPr="00814C24">
        <w:rPr>
          <w:color w:val="000000" w:themeColor="text1"/>
          <w:sz w:val="24"/>
          <w:szCs w:val="24"/>
        </w:rPr>
        <w:t>declin</w:t>
      </w:r>
      <w:proofErr w:type="spellEnd"/>
      <w:r w:rsidRPr="00814C24">
        <w:rPr>
          <w:color w:val="000000" w:themeColor="text1"/>
          <w:sz w:val="24"/>
          <w:szCs w:val="24"/>
        </w:rPr>
        <w:t xml:space="preserve"> </w:t>
      </w:r>
      <w:proofErr w:type="spellStart"/>
      <w:r w:rsidRPr="00814C24">
        <w:rPr>
          <w:color w:val="000000" w:themeColor="text1"/>
          <w:sz w:val="24"/>
          <w:szCs w:val="24"/>
        </w:rPr>
        <w:t>și</w:t>
      </w:r>
      <w:proofErr w:type="spellEnd"/>
      <w:r w:rsidRPr="00814C24">
        <w:rPr>
          <w:color w:val="000000" w:themeColor="text1"/>
          <w:sz w:val="24"/>
          <w:szCs w:val="24"/>
        </w:rPr>
        <w:t xml:space="preserve"> </w:t>
      </w:r>
      <w:proofErr w:type="spellStart"/>
      <w:r w:rsidRPr="00814C24">
        <w:rPr>
          <w:color w:val="000000" w:themeColor="text1"/>
          <w:sz w:val="24"/>
          <w:szCs w:val="24"/>
        </w:rPr>
        <w:t>necunoscut</w:t>
      </w:r>
      <w:proofErr w:type="spellEnd"/>
      <w:r w:rsidRPr="00814C24">
        <w:rPr>
          <w:color w:val="000000" w:themeColor="text1"/>
          <w:sz w:val="24"/>
          <w:szCs w:val="24"/>
        </w:rPr>
        <w:t>.</w:t>
      </w:r>
    </w:p>
    <w:p w14:paraId="147DAA26" w14:textId="77777777" w:rsidR="006735BF" w:rsidRPr="00814C24" w:rsidRDefault="006735BF" w:rsidP="00182DE3">
      <w:pPr>
        <w:pStyle w:val="BodyText"/>
        <w:ind w:left="0" w:right="14"/>
        <w:jc w:val="both"/>
        <w:rPr>
          <w:color w:val="000000" w:themeColor="text1"/>
          <w:sz w:val="24"/>
          <w:szCs w:val="24"/>
        </w:rPr>
      </w:pPr>
      <w:proofErr w:type="spellStart"/>
      <w:r w:rsidRPr="00814C24">
        <w:rPr>
          <w:color w:val="000000" w:themeColor="text1"/>
          <w:sz w:val="24"/>
          <w:szCs w:val="24"/>
        </w:rPr>
        <w:t>Evaluarea</w:t>
      </w:r>
      <w:proofErr w:type="spellEnd"/>
      <w:r w:rsidRPr="00814C24">
        <w:rPr>
          <w:color w:val="000000" w:themeColor="text1"/>
          <w:sz w:val="24"/>
          <w:szCs w:val="24"/>
        </w:rPr>
        <w:t xml:space="preserve"> </w:t>
      </w:r>
      <w:proofErr w:type="spellStart"/>
      <w:r w:rsidRPr="00814C24">
        <w:rPr>
          <w:color w:val="000000" w:themeColor="text1"/>
          <w:sz w:val="24"/>
          <w:szCs w:val="24"/>
        </w:rPr>
        <w:t>tendințelor</w:t>
      </w:r>
      <w:proofErr w:type="spellEnd"/>
      <w:r w:rsidRPr="00814C24">
        <w:rPr>
          <w:color w:val="000000" w:themeColor="text1"/>
          <w:sz w:val="24"/>
          <w:szCs w:val="24"/>
        </w:rPr>
        <w:t xml:space="preserve"> pe termen lung</w:t>
      </w:r>
      <w:r w:rsidRPr="00814C24">
        <w:rPr>
          <w:color w:val="000000" w:themeColor="text1"/>
          <w:spacing w:val="1"/>
          <w:sz w:val="24"/>
          <w:szCs w:val="24"/>
        </w:rPr>
        <w:t xml:space="preserve"> </w:t>
      </w:r>
      <w:proofErr w:type="spellStart"/>
      <w:r w:rsidRPr="00814C24">
        <w:rPr>
          <w:color w:val="000000" w:themeColor="text1"/>
          <w:sz w:val="24"/>
          <w:szCs w:val="24"/>
        </w:rPr>
        <w:t>reprezintă</w:t>
      </w:r>
      <w:proofErr w:type="spellEnd"/>
      <w:r w:rsidRPr="00814C24">
        <w:rPr>
          <w:color w:val="000000" w:themeColor="text1"/>
          <w:sz w:val="24"/>
          <w:szCs w:val="24"/>
        </w:rPr>
        <w:t xml:space="preserve"> de </w:t>
      </w:r>
      <w:proofErr w:type="spellStart"/>
      <w:r w:rsidRPr="00814C24">
        <w:rPr>
          <w:color w:val="000000" w:themeColor="text1"/>
          <w:sz w:val="24"/>
          <w:szCs w:val="24"/>
        </w:rPr>
        <w:t>asemenea</w:t>
      </w:r>
      <w:proofErr w:type="spellEnd"/>
      <w:r w:rsidRPr="00814C24">
        <w:rPr>
          <w:color w:val="000000" w:themeColor="text1"/>
          <w:sz w:val="24"/>
          <w:szCs w:val="24"/>
        </w:rPr>
        <w:t xml:space="preserve"> </w:t>
      </w:r>
      <w:proofErr w:type="spellStart"/>
      <w:r w:rsidRPr="00814C24">
        <w:rPr>
          <w:color w:val="000000" w:themeColor="text1"/>
          <w:sz w:val="24"/>
          <w:szCs w:val="24"/>
        </w:rPr>
        <w:t>cheie</w:t>
      </w:r>
      <w:proofErr w:type="spellEnd"/>
      <w:r w:rsidRPr="00814C24">
        <w:rPr>
          <w:color w:val="000000" w:themeColor="text1"/>
          <w:sz w:val="24"/>
          <w:szCs w:val="24"/>
        </w:rPr>
        <w:t xml:space="preserve"> de control </w:t>
      </w:r>
      <w:proofErr w:type="spellStart"/>
      <w:r w:rsidRPr="00814C24">
        <w:rPr>
          <w:color w:val="000000" w:themeColor="text1"/>
          <w:sz w:val="24"/>
          <w:szCs w:val="24"/>
        </w:rPr>
        <w:t>pentru</w:t>
      </w:r>
      <w:proofErr w:type="spellEnd"/>
      <w:r w:rsidRPr="00814C24">
        <w:rPr>
          <w:color w:val="000000" w:themeColor="text1"/>
          <w:sz w:val="24"/>
          <w:szCs w:val="24"/>
        </w:rPr>
        <w:t xml:space="preserve"> </w:t>
      </w:r>
      <w:proofErr w:type="spellStart"/>
      <w:r w:rsidRPr="00814C24">
        <w:rPr>
          <w:color w:val="000000" w:themeColor="text1"/>
          <w:sz w:val="24"/>
          <w:szCs w:val="24"/>
        </w:rPr>
        <w:t>analiza</w:t>
      </w:r>
      <w:proofErr w:type="spellEnd"/>
      <w:r w:rsidRPr="00814C24">
        <w:rPr>
          <w:color w:val="000000" w:themeColor="text1"/>
          <w:sz w:val="24"/>
          <w:szCs w:val="24"/>
        </w:rPr>
        <w:t xml:space="preserve"> de</w:t>
      </w:r>
      <w:r w:rsidRPr="00814C24">
        <w:rPr>
          <w:color w:val="000000" w:themeColor="text1"/>
          <w:spacing w:val="1"/>
          <w:sz w:val="24"/>
          <w:szCs w:val="24"/>
        </w:rPr>
        <w:t xml:space="preserve"> </w:t>
      </w:r>
      <w:proofErr w:type="spellStart"/>
      <w:r w:rsidRPr="00814C24">
        <w:rPr>
          <w:color w:val="000000" w:themeColor="text1"/>
          <w:sz w:val="24"/>
          <w:szCs w:val="24"/>
        </w:rPr>
        <w:t>calitate</w:t>
      </w:r>
      <w:proofErr w:type="spellEnd"/>
      <w:r w:rsidRPr="00814C24">
        <w:rPr>
          <w:color w:val="000000" w:themeColor="text1"/>
          <w:spacing w:val="-2"/>
          <w:sz w:val="24"/>
          <w:szCs w:val="24"/>
        </w:rPr>
        <w:t xml:space="preserve"> </w:t>
      </w:r>
      <w:r w:rsidRPr="00814C24">
        <w:rPr>
          <w:color w:val="000000" w:themeColor="text1"/>
          <w:sz w:val="24"/>
          <w:szCs w:val="24"/>
        </w:rPr>
        <w:t>a</w:t>
      </w:r>
      <w:r w:rsidRPr="00814C24">
        <w:rPr>
          <w:color w:val="000000" w:themeColor="text1"/>
          <w:spacing w:val="-1"/>
          <w:sz w:val="24"/>
          <w:szCs w:val="24"/>
        </w:rPr>
        <w:t xml:space="preserve"> </w:t>
      </w:r>
      <w:proofErr w:type="spellStart"/>
      <w:r w:rsidRPr="00814C24">
        <w:rPr>
          <w:color w:val="000000" w:themeColor="text1"/>
          <w:sz w:val="24"/>
          <w:szCs w:val="24"/>
        </w:rPr>
        <w:t>rezultatelor</w:t>
      </w:r>
      <w:proofErr w:type="spellEnd"/>
      <w:r w:rsidRPr="00814C24">
        <w:rPr>
          <w:color w:val="000000" w:themeColor="text1"/>
          <w:spacing w:val="-1"/>
          <w:sz w:val="24"/>
          <w:szCs w:val="24"/>
        </w:rPr>
        <w:t xml:space="preserve"> </w:t>
      </w:r>
      <w:proofErr w:type="spellStart"/>
      <w:r w:rsidRPr="00814C24">
        <w:rPr>
          <w:color w:val="000000" w:themeColor="text1"/>
          <w:sz w:val="24"/>
          <w:szCs w:val="24"/>
        </w:rPr>
        <w:t>raportării</w:t>
      </w:r>
      <w:proofErr w:type="spellEnd"/>
      <w:r w:rsidRPr="00814C24">
        <w:rPr>
          <w:color w:val="000000" w:themeColor="text1"/>
          <w:sz w:val="24"/>
          <w:szCs w:val="24"/>
        </w:rPr>
        <w:t xml:space="preserve"> </w:t>
      </w:r>
      <w:proofErr w:type="spellStart"/>
      <w:r w:rsidRPr="00814C24">
        <w:rPr>
          <w:color w:val="000000" w:themeColor="text1"/>
          <w:sz w:val="24"/>
          <w:szCs w:val="24"/>
        </w:rPr>
        <w:t>succesive</w:t>
      </w:r>
      <w:proofErr w:type="spellEnd"/>
      <w:r w:rsidRPr="00814C24">
        <w:rPr>
          <w:color w:val="000000" w:themeColor="text1"/>
          <w:sz w:val="24"/>
          <w:szCs w:val="24"/>
        </w:rPr>
        <w:t>.</w:t>
      </w:r>
    </w:p>
    <w:p w14:paraId="33F51D9E" w14:textId="77777777" w:rsidR="006735BF" w:rsidRPr="00814C24" w:rsidRDefault="006735BF" w:rsidP="008E33FD">
      <w:pPr>
        <w:pStyle w:val="BodyText"/>
        <w:spacing w:before="6"/>
        <w:jc w:val="both"/>
        <w:rPr>
          <w:color w:val="000000" w:themeColor="text1"/>
          <w:sz w:val="24"/>
          <w:szCs w:val="24"/>
        </w:rPr>
      </w:pPr>
    </w:p>
    <w:p w14:paraId="5D7DF782" w14:textId="77777777" w:rsidR="006735BF" w:rsidRPr="00814C24" w:rsidRDefault="006735BF" w:rsidP="00182DE3">
      <w:pPr>
        <w:pStyle w:val="Heading2"/>
        <w:widowControl w:val="0"/>
        <w:tabs>
          <w:tab w:val="left" w:pos="1232"/>
        </w:tabs>
        <w:autoSpaceDE w:val="0"/>
        <w:autoSpaceDN w:val="0"/>
        <w:spacing w:before="0" w:beforeAutospacing="0" w:after="0" w:afterAutospacing="0"/>
        <w:jc w:val="both"/>
        <w:rPr>
          <w:color w:val="000000" w:themeColor="text1"/>
          <w:sz w:val="24"/>
          <w:szCs w:val="24"/>
        </w:rPr>
      </w:pPr>
      <w:proofErr w:type="spellStart"/>
      <w:r w:rsidRPr="00814C24">
        <w:rPr>
          <w:color w:val="000000" w:themeColor="text1"/>
          <w:sz w:val="24"/>
          <w:szCs w:val="24"/>
        </w:rPr>
        <w:t>Evaluarea</w:t>
      </w:r>
      <w:proofErr w:type="spellEnd"/>
      <w:r w:rsidRPr="00814C24">
        <w:rPr>
          <w:color w:val="000000" w:themeColor="text1"/>
          <w:spacing w:val="-6"/>
          <w:sz w:val="24"/>
          <w:szCs w:val="24"/>
        </w:rPr>
        <w:t xml:space="preserve"> </w:t>
      </w:r>
      <w:proofErr w:type="spellStart"/>
      <w:r w:rsidRPr="00814C24">
        <w:rPr>
          <w:color w:val="000000" w:themeColor="text1"/>
          <w:sz w:val="24"/>
          <w:szCs w:val="24"/>
        </w:rPr>
        <w:t>presiunilor</w:t>
      </w:r>
      <w:proofErr w:type="spellEnd"/>
      <w:r w:rsidRPr="00814C24">
        <w:rPr>
          <w:color w:val="000000" w:themeColor="text1"/>
          <w:spacing w:val="-6"/>
          <w:sz w:val="24"/>
          <w:szCs w:val="24"/>
        </w:rPr>
        <w:t xml:space="preserve"> </w:t>
      </w:r>
      <w:proofErr w:type="spellStart"/>
      <w:r w:rsidRPr="00814C24">
        <w:rPr>
          <w:color w:val="000000" w:themeColor="text1"/>
          <w:sz w:val="24"/>
          <w:szCs w:val="24"/>
        </w:rPr>
        <w:t>si</w:t>
      </w:r>
      <w:proofErr w:type="spellEnd"/>
      <w:r w:rsidRPr="00814C24">
        <w:rPr>
          <w:color w:val="000000" w:themeColor="text1"/>
          <w:spacing w:val="-6"/>
          <w:sz w:val="24"/>
          <w:szCs w:val="24"/>
        </w:rPr>
        <w:t xml:space="preserve"> </w:t>
      </w:r>
      <w:proofErr w:type="spellStart"/>
      <w:r w:rsidRPr="00814C24">
        <w:rPr>
          <w:color w:val="000000" w:themeColor="text1"/>
          <w:sz w:val="24"/>
          <w:szCs w:val="24"/>
        </w:rPr>
        <w:t>amenințărilor</w:t>
      </w:r>
      <w:proofErr w:type="spellEnd"/>
    </w:p>
    <w:p w14:paraId="448D3082" w14:textId="77777777" w:rsidR="006735BF" w:rsidRPr="00814C24" w:rsidRDefault="006735BF" w:rsidP="00182DE3">
      <w:pPr>
        <w:pStyle w:val="BodyText"/>
        <w:spacing w:before="157"/>
        <w:ind w:left="0" w:right="14"/>
        <w:jc w:val="both"/>
        <w:rPr>
          <w:color w:val="000000" w:themeColor="text1"/>
          <w:sz w:val="24"/>
          <w:szCs w:val="24"/>
          <w:lang w:val="fr-FR"/>
        </w:rPr>
      </w:pPr>
      <w:r w:rsidRPr="00814C24">
        <w:rPr>
          <w:color w:val="000000" w:themeColor="text1"/>
          <w:sz w:val="24"/>
          <w:szCs w:val="24"/>
          <w:lang w:val="fr-FR"/>
        </w:rPr>
        <w:t xml:space="preserve">Se </w:t>
      </w:r>
      <w:proofErr w:type="spellStart"/>
      <w:r w:rsidRPr="00814C24">
        <w:rPr>
          <w:color w:val="000000" w:themeColor="text1"/>
          <w:sz w:val="24"/>
          <w:szCs w:val="24"/>
          <w:lang w:val="fr-FR"/>
        </w:rPr>
        <w:t>utilizează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nomenclatorul</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presiuni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și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amenințări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agreat</w:t>
      </w:r>
      <w:proofErr w:type="spellEnd"/>
      <w:r w:rsidRPr="00814C24">
        <w:rPr>
          <w:color w:val="000000" w:themeColor="text1"/>
          <w:sz w:val="24"/>
          <w:szCs w:val="24"/>
          <w:lang w:val="fr-FR"/>
        </w:rPr>
        <w:t xml:space="preserve"> la </w:t>
      </w:r>
      <w:proofErr w:type="spellStart"/>
      <w:r w:rsidRPr="00814C24">
        <w:rPr>
          <w:color w:val="000000" w:themeColor="text1"/>
          <w:sz w:val="24"/>
          <w:szCs w:val="24"/>
          <w:lang w:val="fr-FR"/>
        </w:rPr>
        <w:t>nivel</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european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atașat</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prezentului</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document.</w:t>
      </w:r>
    </w:p>
    <w:p w14:paraId="778AD5D9" w14:textId="77777777" w:rsidR="006735BF" w:rsidRPr="00814C24" w:rsidRDefault="006735BF" w:rsidP="00182DE3">
      <w:pPr>
        <w:pStyle w:val="BodyText"/>
        <w:ind w:left="0" w:right="14"/>
        <w:jc w:val="both"/>
        <w:rPr>
          <w:color w:val="000000" w:themeColor="text1"/>
          <w:sz w:val="24"/>
          <w:szCs w:val="24"/>
          <w:lang w:val="fr-FR"/>
        </w:rPr>
      </w:pPr>
      <w:proofErr w:type="spellStart"/>
      <w:r w:rsidRPr="00814C24">
        <w:rPr>
          <w:color w:val="000000" w:themeColor="text1"/>
          <w:sz w:val="24"/>
          <w:szCs w:val="24"/>
          <w:lang w:val="fr-FR"/>
        </w:rPr>
        <w:t>Presiunile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observate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studiul</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teren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sunt</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evaluate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stabilindu</w:t>
      </w:r>
      <w:proofErr w:type="spellEnd"/>
      <w:r w:rsidRPr="00814C24">
        <w:rPr>
          <w:color w:val="000000" w:themeColor="text1"/>
          <w:sz w:val="24"/>
          <w:szCs w:val="24"/>
          <w:lang w:val="fr-FR"/>
        </w:rPr>
        <w:t xml:space="preserve">-se </w:t>
      </w:r>
      <w:proofErr w:type="spellStart"/>
      <w:r w:rsidRPr="00814C24">
        <w:rPr>
          <w:color w:val="000000" w:themeColor="text1"/>
          <w:sz w:val="24"/>
          <w:szCs w:val="24"/>
          <w:lang w:val="fr-FR"/>
        </w:rPr>
        <w:t>intensitatea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specifică</w:t>
      </w:r>
      <w:proofErr w:type="spellEnd"/>
      <w:r w:rsidRPr="00814C24">
        <w:rPr>
          <w:color w:val="000000" w:themeColor="text1"/>
          <w:sz w:val="24"/>
          <w:szCs w:val="24"/>
          <w:lang w:val="fr-FR"/>
        </w:rPr>
        <w:t xml:space="preserve"> a </w:t>
      </w:r>
      <w:proofErr w:type="spellStart"/>
      <w:r w:rsidRPr="00814C24">
        <w:rPr>
          <w:color w:val="000000" w:themeColor="text1"/>
          <w:sz w:val="24"/>
          <w:szCs w:val="24"/>
          <w:lang w:val="fr-FR"/>
        </w:rPr>
        <w:t>fiecăreia</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ce</w:t>
      </w:r>
      <w:r w:rsidRPr="00814C24">
        <w:rPr>
          <w:color w:val="000000" w:themeColor="text1"/>
          <w:spacing w:val="30"/>
          <w:sz w:val="24"/>
          <w:szCs w:val="24"/>
          <w:lang w:val="fr-FR"/>
        </w:rPr>
        <w:t xml:space="preserve"> </w:t>
      </w:r>
      <w:r w:rsidRPr="00814C24">
        <w:rPr>
          <w:color w:val="000000" w:themeColor="text1"/>
          <w:sz w:val="24"/>
          <w:szCs w:val="24"/>
          <w:lang w:val="fr-FR"/>
        </w:rPr>
        <w:t>se</w:t>
      </w:r>
      <w:r w:rsidRPr="00814C24">
        <w:rPr>
          <w:color w:val="000000" w:themeColor="text1"/>
          <w:spacing w:val="34"/>
          <w:sz w:val="24"/>
          <w:szCs w:val="24"/>
          <w:lang w:val="fr-FR"/>
        </w:rPr>
        <w:t xml:space="preserve"> </w:t>
      </w:r>
      <w:proofErr w:type="spellStart"/>
      <w:r w:rsidRPr="00814C24">
        <w:rPr>
          <w:color w:val="000000" w:themeColor="text1"/>
          <w:sz w:val="24"/>
          <w:szCs w:val="24"/>
          <w:lang w:val="fr-FR"/>
        </w:rPr>
        <w:t>exercită</w:t>
      </w:r>
      <w:proofErr w:type="spellEnd"/>
      <w:r w:rsidRPr="00814C24">
        <w:rPr>
          <w:color w:val="000000" w:themeColor="text1"/>
          <w:spacing w:val="31"/>
          <w:sz w:val="24"/>
          <w:szCs w:val="24"/>
          <w:lang w:val="fr-FR"/>
        </w:rPr>
        <w:t xml:space="preserve"> </w:t>
      </w:r>
      <w:proofErr w:type="spellStart"/>
      <w:r w:rsidRPr="00814C24">
        <w:rPr>
          <w:color w:val="000000" w:themeColor="text1"/>
          <w:sz w:val="24"/>
          <w:szCs w:val="24"/>
          <w:lang w:val="fr-FR"/>
        </w:rPr>
        <w:t>asupra</w:t>
      </w:r>
      <w:proofErr w:type="spellEnd"/>
      <w:r w:rsidRPr="00814C24">
        <w:rPr>
          <w:color w:val="000000" w:themeColor="text1"/>
          <w:spacing w:val="30"/>
          <w:sz w:val="24"/>
          <w:szCs w:val="24"/>
          <w:lang w:val="fr-FR"/>
        </w:rPr>
        <w:t xml:space="preserve"> </w:t>
      </w:r>
      <w:proofErr w:type="spellStart"/>
      <w:r w:rsidRPr="00814C24">
        <w:rPr>
          <w:color w:val="000000" w:themeColor="text1"/>
          <w:sz w:val="24"/>
          <w:szCs w:val="24"/>
          <w:lang w:val="fr-FR"/>
        </w:rPr>
        <w:t>habitatului</w:t>
      </w:r>
      <w:proofErr w:type="spellEnd"/>
      <w:r w:rsidRPr="00814C24">
        <w:rPr>
          <w:color w:val="000000" w:themeColor="text1"/>
          <w:spacing w:val="32"/>
          <w:sz w:val="24"/>
          <w:szCs w:val="24"/>
          <w:lang w:val="fr-FR"/>
        </w:rPr>
        <w:t xml:space="preserve"> </w:t>
      </w:r>
      <w:proofErr w:type="spellStart"/>
      <w:r w:rsidRPr="00814C24">
        <w:rPr>
          <w:color w:val="000000" w:themeColor="text1"/>
          <w:sz w:val="24"/>
          <w:szCs w:val="24"/>
          <w:lang w:val="fr-FR"/>
        </w:rPr>
        <w:t>țintă</w:t>
      </w:r>
      <w:proofErr w:type="spellEnd"/>
      <w:r w:rsidRPr="00814C24">
        <w:rPr>
          <w:color w:val="000000" w:themeColor="text1"/>
          <w:sz w:val="24"/>
          <w:szCs w:val="24"/>
          <w:lang w:val="fr-FR"/>
        </w:rPr>
        <w:t>.</w:t>
      </w:r>
      <w:r w:rsidRPr="00814C24">
        <w:rPr>
          <w:color w:val="000000" w:themeColor="text1"/>
          <w:spacing w:val="30"/>
          <w:sz w:val="24"/>
          <w:szCs w:val="24"/>
          <w:lang w:val="fr-FR"/>
        </w:rPr>
        <w:t xml:space="preserve"> </w:t>
      </w:r>
      <w:proofErr w:type="spellStart"/>
      <w:r w:rsidRPr="00814C24">
        <w:rPr>
          <w:color w:val="000000" w:themeColor="text1"/>
          <w:sz w:val="24"/>
          <w:szCs w:val="24"/>
          <w:lang w:val="fr-FR"/>
        </w:rPr>
        <w:t>Categoriile</w:t>
      </w:r>
      <w:proofErr w:type="spellEnd"/>
      <w:r w:rsidRPr="00814C24">
        <w:rPr>
          <w:color w:val="000000" w:themeColor="text1"/>
          <w:spacing w:val="31"/>
          <w:sz w:val="24"/>
          <w:szCs w:val="24"/>
          <w:lang w:val="fr-FR"/>
        </w:rPr>
        <w:t xml:space="preserve"> </w:t>
      </w:r>
      <w:r w:rsidRPr="00814C24">
        <w:rPr>
          <w:color w:val="000000" w:themeColor="text1"/>
          <w:sz w:val="24"/>
          <w:szCs w:val="24"/>
          <w:lang w:val="fr-FR"/>
        </w:rPr>
        <w:t>de</w:t>
      </w:r>
      <w:r w:rsidRPr="00814C24">
        <w:rPr>
          <w:color w:val="000000" w:themeColor="text1"/>
          <w:spacing w:val="33"/>
          <w:sz w:val="24"/>
          <w:szCs w:val="24"/>
          <w:lang w:val="fr-FR"/>
        </w:rPr>
        <w:t xml:space="preserve"> </w:t>
      </w:r>
      <w:proofErr w:type="spellStart"/>
      <w:r w:rsidRPr="00814C24">
        <w:rPr>
          <w:color w:val="000000" w:themeColor="text1"/>
          <w:sz w:val="24"/>
          <w:szCs w:val="24"/>
          <w:lang w:val="fr-FR"/>
        </w:rPr>
        <w:t>evaluare</w:t>
      </w:r>
      <w:proofErr w:type="spellEnd"/>
      <w:r w:rsidRPr="00814C24">
        <w:rPr>
          <w:color w:val="000000" w:themeColor="text1"/>
          <w:spacing w:val="31"/>
          <w:sz w:val="24"/>
          <w:szCs w:val="24"/>
          <w:lang w:val="fr-FR"/>
        </w:rPr>
        <w:t xml:space="preserve"> </w:t>
      </w:r>
      <w:r w:rsidRPr="00814C24">
        <w:rPr>
          <w:color w:val="000000" w:themeColor="text1"/>
          <w:sz w:val="24"/>
          <w:szCs w:val="24"/>
          <w:lang w:val="fr-FR"/>
        </w:rPr>
        <w:t>a</w:t>
      </w:r>
      <w:r w:rsidRPr="00814C24">
        <w:rPr>
          <w:color w:val="000000" w:themeColor="text1"/>
          <w:spacing w:val="33"/>
          <w:sz w:val="24"/>
          <w:szCs w:val="24"/>
          <w:lang w:val="fr-FR"/>
        </w:rPr>
        <w:t xml:space="preserve"> </w:t>
      </w:r>
      <w:proofErr w:type="spellStart"/>
      <w:r w:rsidRPr="00814C24">
        <w:rPr>
          <w:color w:val="000000" w:themeColor="text1"/>
          <w:sz w:val="24"/>
          <w:szCs w:val="24"/>
          <w:lang w:val="fr-FR"/>
        </w:rPr>
        <w:t>intensității</w:t>
      </w:r>
      <w:proofErr w:type="spellEnd"/>
      <w:r w:rsidRPr="00814C24">
        <w:rPr>
          <w:color w:val="000000" w:themeColor="text1"/>
          <w:spacing w:val="32"/>
          <w:sz w:val="24"/>
          <w:szCs w:val="24"/>
          <w:lang w:val="fr-FR"/>
        </w:rPr>
        <w:t xml:space="preserve"> </w:t>
      </w:r>
      <w:proofErr w:type="spellStart"/>
      <w:r w:rsidRPr="00814C24">
        <w:rPr>
          <w:color w:val="000000" w:themeColor="text1"/>
          <w:sz w:val="24"/>
          <w:szCs w:val="24"/>
          <w:lang w:val="fr-FR"/>
        </w:rPr>
        <w:t>sunt</w:t>
      </w:r>
      <w:proofErr w:type="spellEnd"/>
      <w:r w:rsidRPr="00814C24">
        <w:rPr>
          <w:color w:val="000000" w:themeColor="text1"/>
          <w:spacing w:val="31"/>
          <w:sz w:val="24"/>
          <w:szCs w:val="24"/>
          <w:lang w:val="fr-FR"/>
        </w:rPr>
        <w:t xml:space="preserve"> </w:t>
      </w:r>
      <w:r w:rsidRPr="00814C24">
        <w:rPr>
          <w:color w:val="000000" w:themeColor="text1"/>
          <w:sz w:val="24"/>
          <w:szCs w:val="24"/>
          <w:lang w:val="fr-FR"/>
        </w:rPr>
        <w:t>de</w:t>
      </w:r>
      <w:r w:rsidRPr="00814C24">
        <w:rPr>
          <w:color w:val="000000" w:themeColor="text1"/>
          <w:spacing w:val="31"/>
          <w:sz w:val="24"/>
          <w:szCs w:val="24"/>
          <w:lang w:val="fr-FR"/>
        </w:rPr>
        <w:t xml:space="preserve"> </w:t>
      </w:r>
      <w:proofErr w:type="spellStart"/>
      <w:r w:rsidRPr="00814C24">
        <w:rPr>
          <w:color w:val="000000" w:themeColor="text1"/>
          <w:sz w:val="24"/>
          <w:szCs w:val="24"/>
          <w:lang w:val="fr-FR"/>
        </w:rPr>
        <w:t>asemenea</w:t>
      </w:r>
      <w:proofErr w:type="spellEnd"/>
      <w:r w:rsidRPr="00814C24">
        <w:rPr>
          <w:color w:val="000000" w:themeColor="text1"/>
          <w:spacing w:val="31"/>
          <w:sz w:val="24"/>
          <w:szCs w:val="24"/>
          <w:lang w:val="fr-FR"/>
        </w:rPr>
        <w:t xml:space="preserve"> </w:t>
      </w:r>
      <w:r w:rsidRPr="00814C24">
        <w:rPr>
          <w:color w:val="000000" w:themeColor="text1"/>
          <w:sz w:val="24"/>
          <w:szCs w:val="24"/>
          <w:lang w:val="fr-FR"/>
        </w:rPr>
        <w:t>de</w:t>
      </w:r>
      <w:r w:rsidRPr="00814C24">
        <w:rPr>
          <w:color w:val="000000" w:themeColor="text1"/>
          <w:spacing w:val="-58"/>
          <w:sz w:val="24"/>
          <w:szCs w:val="24"/>
          <w:lang w:val="fr-FR"/>
        </w:rPr>
        <w:t xml:space="preserve"> </w:t>
      </w:r>
      <w:proofErr w:type="spellStart"/>
      <w:r w:rsidRPr="00814C24">
        <w:rPr>
          <w:color w:val="000000" w:themeColor="text1"/>
          <w:sz w:val="24"/>
          <w:szCs w:val="24"/>
          <w:lang w:val="fr-FR"/>
        </w:rPr>
        <w:t>nivel</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calitativ</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respectiv</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intensitate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mică</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intensitate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medie</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intensitate</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mare,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intensitate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necunoscută</w:t>
      </w:r>
      <w:proofErr w:type="spellEnd"/>
      <w:r w:rsidRPr="00814C24">
        <w:rPr>
          <w:color w:val="000000" w:themeColor="text1"/>
          <w:sz w:val="24"/>
          <w:szCs w:val="24"/>
          <w:lang w:val="fr-FR"/>
        </w:rPr>
        <w:t>.</w:t>
      </w:r>
    </w:p>
    <w:p w14:paraId="243AD1E1" w14:textId="77777777" w:rsidR="006735BF" w:rsidRPr="00814C24" w:rsidRDefault="006735BF" w:rsidP="00182DE3">
      <w:pPr>
        <w:pStyle w:val="BodyText"/>
        <w:spacing w:before="1"/>
        <w:ind w:left="0" w:right="14"/>
        <w:jc w:val="both"/>
        <w:rPr>
          <w:color w:val="000000" w:themeColor="text1"/>
          <w:sz w:val="24"/>
          <w:szCs w:val="24"/>
          <w:lang w:val="fr-FR"/>
        </w:rPr>
      </w:pPr>
      <w:proofErr w:type="spellStart"/>
      <w:r w:rsidRPr="00814C24">
        <w:rPr>
          <w:color w:val="000000" w:themeColor="text1"/>
          <w:sz w:val="24"/>
          <w:szCs w:val="24"/>
          <w:lang w:val="fr-FR"/>
        </w:rPr>
        <w:t>Amenințările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estimate</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urma</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analizei</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presiunilor</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existente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observate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teren</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sunt</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evaluate</w:t>
      </w:r>
      <w:proofErr w:type="spellEnd"/>
      <w:r w:rsidRPr="00814C24">
        <w:rPr>
          <w:color w:val="000000" w:themeColor="text1"/>
          <w:sz w:val="24"/>
          <w:szCs w:val="24"/>
          <w:lang w:val="fr-FR"/>
        </w:rPr>
        <w:t>,</w:t>
      </w:r>
      <w:r w:rsidRPr="00814C24">
        <w:rPr>
          <w:color w:val="000000" w:themeColor="text1"/>
          <w:spacing w:val="-57"/>
          <w:sz w:val="24"/>
          <w:szCs w:val="24"/>
          <w:lang w:val="fr-FR"/>
        </w:rPr>
        <w:t xml:space="preserve"> </w:t>
      </w:r>
      <w:proofErr w:type="spellStart"/>
      <w:r w:rsidRPr="00814C24">
        <w:rPr>
          <w:color w:val="000000" w:themeColor="text1"/>
          <w:sz w:val="24"/>
          <w:szCs w:val="24"/>
          <w:lang w:val="fr-FR"/>
        </w:rPr>
        <w:t>stabilindu</w:t>
      </w:r>
      <w:proofErr w:type="spellEnd"/>
      <w:r w:rsidRPr="00814C24">
        <w:rPr>
          <w:color w:val="000000" w:themeColor="text1"/>
          <w:sz w:val="24"/>
          <w:szCs w:val="24"/>
          <w:lang w:val="fr-FR"/>
        </w:rPr>
        <w:t>-se</w:t>
      </w:r>
      <w:r w:rsidRPr="00814C24">
        <w:rPr>
          <w:color w:val="000000" w:themeColor="text1"/>
          <w:spacing w:val="13"/>
          <w:sz w:val="24"/>
          <w:szCs w:val="24"/>
          <w:lang w:val="fr-FR"/>
        </w:rPr>
        <w:t xml:space="preserve"> </w:t>
      </w:r>
      <w:proofErr w:type="spellStart"/>
      <w:r w:rsidRPr="00814C24">
        <w:rPr>
          <w:color w:val="000000" w:themeColor="text1"/>
          <w:sz w:val="24"/>
          <w:szCs w:val="24"/>
          <w:lang w:val="fr-FR"/>
        </w:rPr>
        <w:t>intensitatea</w:t>
      </w:r>
      <w:proofErr w:type="spellEnd"/>
      <w:r w:rsidRPr="00814C24">
        <w:rPr>
          <w:color w:val="000000" w:themeColor="text1"/>
          <w:spacing w:val="16"/>
          <w:sz w:val="24"/>
          <w:szCs w:val="24"/>
          <w:lang w:val="fr-FR"/>
        </w:rPr>
        <w:t xml:space="preserve"> </w:t>
      </w:r>
      <w:proofErr w:type="spellStart"/>
      <w:r w:rsidRPr="00814C24">
        <w:rPr>
          <w:color w:val="000000" w:themeColor="text1"/>
          <w:sz w:val="24"/>
          <w:szCs w:val="24"/>
          <w:lang w:val="fr-FR"/>
        </w:rPr>
        <w:t>specifică</w:t>
      </w:r>
      <w:proofErr w:type="spellEnd"/>
      <w:r w:rsidRPr="00814C24">
        <w:rPr>
          <w:color w:val="000000" w:themeColor="text1"/>
          <w:spacing w:val="14"/>
          <w:sz w:val="24"/>
          <w:szCs w:val="24"/>
          <w:lang w:val="fr-FR"/>
        </w:rPr>
        <w:t xml:space="preserve"> </w:t>
      </w:r>
      <w:r w:rsidRPr="00814C24">
        <w:rPr>
          <w:color w:val="000000" w:themeColor="text1"/>
          <w:sz w:val="24"/>
          <w:szCs w:val="24"/>
          <w:lang w:val="fr-FR"/>
        </w:rPr>
        <w:t>a</w:t>
      </w:r>
      <w:r w:rsidRPr="00814C24">
        <w:rPr>
          <w:color w:val="000000" w:themeColor="text1"/>
          <w:spacing w:val="16"/>
          <w:sz w:val="24"/>
          <w:szCs w:val="24"/>
          <w:lang w:val="fr-FR"/>
        </w:rPr>
        <w:t xml:space="preserve"> </w:t>
      </w:r>
      <w:proofErr w:type="spellStart"/>
      <w:r w:rsidRPr="00814C24">
        <w:rPr>
          <w:color w:val="000000" w:themeColor="text1"/>
          <w:sz w:val="24"/>
          <w:szCs w:val="24"/>
          <w:lang w:val="fr-FR"/>
        </w:rPr>
        <w:t>fiecăreia</w:t>
      </w:r>
      <w:proofErr w:type="spellEnd"/>
      <w:r w:rsidRPr="00814C24">
        <w:rPr>
          <w:color w:val="000000" w:themeColor="text1"/>
          <w:spacing w:val="15"/>
          <w:sz w:val="24"/>
          <w:szCs w:val="24"/>
          <w:lang w:val="fr-FR"/>
        </w:rPr>
        <w:t xml:space="preserve"> </w:t>
      </w:r>
      <w:r w:rsidRPr="00814C24">
        <w:rPr>
          <w:color w:val="000000" w:themeColor="text1"/>
          <w:sz w:val="24"/>
          <w:szCs w:val="24"/>
          <w:lang w:val="fr-FR"/>
        </w:rPr>
        <w:t>ce</w:t>
      </w:r>
      <w:r w:rsidRPr="00814C24">
        <w:rPr>
          <w:color w:val="000000" w:themeColor="text1"/>
          <w:spacing w:val="17"/>
          <w:sz w:val="24"/>
          <w:szCs w:val="24"/>
          <w:lang w:val="fr-FR"/>
        </w:rPr>
        <w:t xml:space="preserve"> </w:t>
      </w:r>
      <w:r w:rsidRPr="00814C24">
        <w:rPr>
          <w:color w:val="000000" w:themeColor="text1"/>
          <w:sz w:val="24"/>
          <w:szCs w:val="24"/>
          <w:lang w:val="fr-FR"/>
        </w:rPr>
        <w:t>se</w:t>
      </w:r>
      <w:r w:rsidRPr="00814C24">
        <w:rPr>
          <w:color w:val="000000" w:themeColor="text1"/>
          <w:spacing w:val="14"/>
          <w:sz w:val="24"/>
          <w:szCs w:val="24"/>
          <w:lang w:val="fr-FR"/>
        </w:rPr>
        <w:t xml:space="preserve"> </w:t>
      </w:r>
      <w:proofErr w:type="spellStart"/>
      <w:r w:rsidRPr="00814C24">
        <w:rPr>
          <w:color w:val="000000" w:themeColor="text1"/>
          <w:sz w:val="24"/>
          <w:szCs w:val="24"/>
          <w:lang w:val="fr-FR"/>
        </w:rPr>
        <w:t>exercită</w:t>
      </w:r>
      <w:proofErr w:type="spellEnd"/>
      <w:r w:rsidRPr="00814C24">
        <w:rPr>
          <w:color w:val="000000" w:themeColor="text1"/>
          <w:spacing w:val="17"/>
          <w:sz w:val="24"/>
          <w:szCs w:val="24"/>
          <w:lang w:val="fr-FR"/>
        </w:rPr>
        <w:t xml:space="preserve"> </w:t>
      </w:r>
      <w:proofErr w:type="spellStart"/>
      <w:r w:rsidRPr="00814C24">
        <w:rPr>
          <w:color w:val="000000" w:themeColor="text1"/>
          <w:sz w:val="24"/>
          <w:szCs w:val="24"/>
          <w:lang w:val="fr-FR"/>
        </w:rPr>
        <w:t>asupra</w:t>
      </w:r>
      <w:proofErr w:type="spellEnd"/>
      <w:r w:rsidRPr="00814C24">
        <w:rPr>
          <w:color w:val="000000" w:themeColor="text1"/>
          <w:spacing w:val="16"/>
          <w:sz w:val="24"/>
          <w:szCs w:val="24"/>
          <w:lang w:val="fr-FR"/>
        </w:rPr>
        <w:t xml:space="preserve"> </w:t>
      </w:r>
      <w:proofErr w:type="spellStart"/>
      <w:r w:rsidRPr="00814C24">
        <w:rPr>
          <w:color w:val="000000" w:themeColor="text1"/>
          <w:sz w:val="24"/>
          <w:szCs w:val="24"/>
          <w:lang w:val="fr-FR"/>
        </w:rPr>
        <w:t>habitatului</w:t>
      </w:r>
      <w:proofErr w:type="spellEnd"/>
      <w:r w:rsidRPr="00814C24">
        <w:rPr>
          <w:color w:val="000000" w:themeColor="text1"/>
          <w:spacing w:val="16"/>
          <w:sz w:val="24"/>
          <w:szCs w:val="24"/>
          <w:lang w:val="fr-FR"/>
        </w:rPr>
        <w:t xml:space="preserve"> </w:t>
      </w:r>
      <w:proofErr w:type="spellStart"/>
      <w:r w:rsidRPr="00814C24">
        <w:rPr>
          <w:color w:val="000000" w:themeColor="text1"/>
          <w:sz w:val="24"/>
          <w:szCs w:val="24"/>
          <w:lang w:val="fr-FR"/>
        </w:rPr>
        <w:t>țintă</w:t>
      </w:r>
      <w:proofErr w:type="spellEnd"/>
      <w:r w:rsidRPr="00814C24">
        <w:rPr>
          <w:color w:val="000000" w:themeColor="text1"/>
          <w:sz w:val="24"/>
          <w:szCs w:val="24"/>
          <w:lang w:val="fr-FR"/>
        </w:rPr>
        <w:t>.</w:t>
      </w:r>
      <w:r w:rsidRPr="00814C24">
        <w:rPr>
          <w:color w:val="000000" w:themeColor="text1"/>
          <w:spacing w:val="15"/>
          <w:sz w:val="24"/>
          <w:szCs w:val="24"/>
          <w:lang w:val="fr-FR"/>
        </w:rPr>
        <w:t xml:space="preserve"> </w:t>
      </w:r>
      <w:proofErr w:type="spellStart"/>
      <w:r w:rsidRPr="00814C24">
        <w:rPr>
          <w:color w:val="000000" w:themeColor="text1"/>
          <w:sz w:val="24"/>
          <w:szCs w:val="24"/>
          <w:lang w:val="fr-FR"/>
        </w:rPr>
        <w:t>Categoriile</w:t>
      </w:r>
      <w:proofErr w:type="spellEnd"/>
      <w:r w:rsidRPr="00814C24">
        <w:rPr>
          <w:color w:val="000000" w:themeColor="text1"/>
          <w:spacing w:val="15"/>
          <w:sz w:val="24"/>
          <w:szCs w:val="24"/>
          <w:lang w:val="fr-FR"/>
        </w:rPr>
        <w:t xml:space="preserve"> </w:t>
      </w:r>
      <w:r w:rsidRPr="00814C24">
        <w:rPr>
          <w:color w:val="000000" w:themeColor="text1"/>
          <w:sz w:val="24"/>
          <w:szCs w:val="24"/>
          <w:lang w:val="fr-FR"/>
        </w:rPr>
        <w:t xml:space="preserve">de </w:t>
      </w:r>
      <w:proofErr w:type="spellStart"/>
      <w:r w:rsidRPr="00814C24">
        <w:rPr>
          <w:color w:val="000000" w:themeColor="text1"/>
          <w:sz w:val="24"/>
          <w:szCs w:val="24"/>
          <w:lang w:val="fr-FR"/>
        </w:rPr>
        <w:t>evaluare</w:t>
      </w:r>
      <w:proofErr w:type="spellEnd"/>
      <w:r w:rsidRPr="00814C24">
        <w:rPr>
          <w:color w:val="000000" w:themeColor="text1"/>
          <w:spacing w:val="35"/>
          <w:sz w:val="24"/>
          <w:szCs w:val="24"/>
          <w:lang w:val="fr-FR"/>
        </w:rPr>
        <w:t xml:space="preserve"> </w:t>
      </w:r>
      <w:r w:rsidRPr="00814C24">
        <w:rPr>
          <w:color w:val="000000" w:themeColor="text1"/>
          <w:sz w:val="24"/>
          <w:szCs w:val="24"/>
          <w:lang w:val="fr-FR"/>
        </w:rPr>
        <w:t>a</w:t>
      </w:r>
      <w:r w:rsidRPr="00814C24">
        <w:rPr>
          <w:color w:val="000000" w:themeColor="text1"/>
          <w:spacing w:val="36"/>
          <w:sz w:val="24"/>
          <w:szCs w:val="24"/>
          <w:lang w:val="fr-FR"/>
        </w:rPr>
        <w:t xml:space="preserve"> </w:t>
      </w:r>
      <w:proofErr w:type="spellStart"/>
      <w:r w:rsidRPr="00814C24">
        <w:rPr>
          <w:color w:val="000000" w:themeColor="text1"/>
          <w:sz w:val="24"/>
          <w:szCs w:val="24"/>
          <w:lang w:val="fr-FR"/>
        </w:rPr>
        <w:t>intensității</w:t>
      </w:r>
      <w:proofErr w:type="spellEnd"/>
      <w:r w:rsidRPr="00814C24">
        <w:rPr>
          <w:color w:val="000000" w:themeColor="text1"/>
          <w:spacing w:val="36"/>
          <w:sz w:val="24"/>
          <w:szCs w:val="24"/>
          <w:lang w:val="fr-FR"/>
        </w:rPr>
        <w:t xml:space="preserve"> </w:t>
      </w:r>
      <w:proofErr w:type="spellStart"/>
      <w:r w:rsidRPr="00814C24">
        <w:rPr>
          <w:color w:val="000000" w:themeColor="text1"/>
          <w:sz w:val="24"/>
          <w:szCs w:val="24"/>
          <w:lang w:val="fr-FR"/>
        </w:rPr>
        <w:t>sunt</w:t>
      </w:r>
      <w:proofErr w:type="spellEnd"/>
      <w:r w:rsidRPr="00814C24">
        <w:rPr>
          <w:color w:val="000000" w:themeColor="text1"/>
          <w:spacing w:val="37"/>
          <w:sz w:val="24"/>
          <w:szCs w:val="24"/>
          <w:lang w:val="fr-FR"/>
        </w:rPr>
        <w:t xml:space="preserve"> </w:t>
      </w:r>
      <w:r w:rsidRPr="00814C24">
        <w:rPr>
          <w:color w:val="000000" w:themeColor="text1"/>
          <w:sz w:val="24"/>
          <w:szCs w:val="24"/>
          <w:lang w:val="fr-FR"/>
        </w:rPr>
        <w:t>de</w:t>
      </w:r>
      <w:r w:rsidRPr="00814C24">
        <w:rPr>
          <w:color w:val="000000" w:themeColor="text1"/>
          <w:spacing w:val="36"/>
          <w:sz w:val="24"/>
          <w:szCs w:val="24"/>
          <w:lang w:val="fr-FR"/>
        </w:rPr>
        <w:t xml:space="preserve"> </w:t>
      </w:r>
      <w:proofErr w:type="spellStart"/>
      <w:r w:rsidRPr="00814C24">
        <w:rPr>
          <w:color w:val="000000" w:themeColor="text1"/>
          <w:sz w:val="24"/>
          <w:szCs w:val="24"/>
          <w:lang w:val="fr-FR"/>
        </w:rPr>
        <w:t>asemenea</w:t>
      </w:r>
      <w:proofErr w:type="spellEnd"/>
      <w:r w:rsidRPr="00814C24">
        <w:rPr>
          <w:color w:val="000000" w:themeColor="text1"/>
          <w:spacing w:val="35"/>
          <w:sz w:val="24"/>
          <w:szCs w:val="24"/>
          <w:lang w:val="fr-FR"/>
        </w:rPr>
        <w:t xml:space="preserve"> </w:t>
      </w:r>
      <w:r w:rsidRPr="00814C24">
        <w:rPr>
          <w:color w:val="000000" w:themeColor="text1"/>
          <w:sz w:val="24"/>
          <w:szCs w:val="24"/>
          <w:lang w:val="fr-FR"/>
        </w:rPr>
        <w:t>de</w:t>
      </w:r>
      <w:r w:rsidRPr="00814C24">
        <w:rPr>
          <w:color w:val="000000" w:themeColor="text1"/>
          <w:spacing w:val="36"/>
          <w:sz w:val="24"/>
          <w:szCs w:val="24"/>
          <w:lang w:val="fr-FR"/>
        </w:rPr>
        <w:t xml:space="preserve"> </w:t>
      </w:r>
      <w:proofErr w:type="spellStart"/>
      <w:r w:rsidRPr="00814C24">
        <w:rPr>
          <w:color w:val="000000" w:themeColor="text1"/>
          <w:sz w:val="24"/>
          <w:szCs w:val="24"/>
          <w:lang w:val="fr-FR"/>
        </w:rPr>
        <w:t>nivel</w:t>
      </w:r>
      <w:proofErr w:type="spellEnd"/>
      <w:r w:rsidRPr="00814C24">
        <w:rPr>
          <w:color w:val="000000" w:themeColor="text1"/>
          <w:spacing w:val="38"/>
          <w:sz w:val="24"/>
          <w:szCs w:val="24"/>
          <w:lang w:val="fr-FR"/>
        </w:rPr>
        <w:t xml:space="preserve"> </w:t>
      </w:r>
      <w:proofErr w:type="spellStart"/>
      <w:r w:rsidRPr="00814C24">
        <w:rPr>
          <w:color w:val="000000" w:themeColor="text1"/>
          <w:sz w:val="24"/>
          <w:szCs w:val="24"/>
          <w:lang w:val="fr-FR"/>
        </w:rPr>
        <w:t>calitativ</w:t>
      </w:r>
      <w:proofErr w:type="spellEnd"/>
      <w:r w:rsidRPr="00814C24">
        <w:rPr>
          <w:color w:val="000000" w:themeColor="text1"/>
          <w:sz w:val="24"/>
          <w:szCs w:val="24"/>
          <w:lang w:val="fr-FR"/>
        </w:rPr>
        <w:t>,</w:t>
      </w:r>
      <w:r w:rsidRPr="00814C24">
        <w:rPr>
          <w:color w:val="000000" w:themeColor="text1"/>
          <w:spacing w:val="37"/>
          <w:sz w:val="24"/>
          <w:szCs w:val="24"/>
          <w:lang w:val="fr-FR"/>
        </w:rPr>
        <w:t xml:space="preserve"> </w:t>
      </w:r>
      <w:proofErr w:type="spellStart"/>
      <w:r w:rsidRPr="00814C24">
        <w:rPr>
          <w:color w:val="000000" w:themeColor="text1"/>
          <w:sz w:val="24"/>
          <w:szCs w:val="24"/>
          <w:lang w:val="fr-FR"/>
        </w:rPr>
        <w:t>respectiv</w:t>
      </w:r>
      <w:proofErr w:type="spellEnd"/>
      <w:r w:rsidRPr="00814C24">
        <w:rPr>
          <w:color w:val="000000" w:themeColor="text1"/>
          <w:sz w:val="24"/>
          <w:szCs w:val="24"/>
          <w:lang w:val="fr-FR"/>
        </w:rPr>
        <w:t>:</w:t>
      </w:r>
      <w:r w:rsidRPr="00814C24">
        <w:rPr>
          <w:color w:val="000000" w:themeColor="text1"/>
          <w:spacing w:val="37"/>
          <w:sz w:val="24"/>
          <w:szCs w:val="24"/>
          <w:lang w:val="fr-FR"/>
        </w:rPr>
        <w:t xml:space="preserve"> </w:t>
      </w:r>
      <w:proofErr w:type="spellStart"/>
      <w:r w:rsidRPr="00814C24">
        <w:rPr>
          <w:color w:val="000000" w:themeColor="text1"/>
          <w:sz w:val="24"/>
          <w:szCs w:val="24"/>
          <w:lang w:val="fr-FR"/>
        </w:rPr>
        <w:t>intensitate</w:t>
      </w:r>
      <w:proofErr w:type="spellEnd"/>
      <w:r w:rsidRPr="00814C24">
        <w:rPr>
          <w:color w:val="000000" w:themeColor="text1"/>
          <w:spacing w:val="35"/>
          <w:sz w:val="24"/>
          <w:szCs w:val="24"/>
          <w:lang w:val="fr-FR"/>
        </w:rPr>
        <w:t xml:space="preserve"> </w:t>
      </w:r>
      <w:proofErr w:type="spellStart"/>
      <w:r w:rsidRPr="00814C24">
        <w:rPr>
          <w:color w:val="000000" w:themeColor="text1"/>
          <w:sz w:val="24"/>
          <w:szCs w:val="24"/>
          <w:lang w:val="fr-FR"/>
        </w:rPr>
        <w:t>mică</w:t>
      </w:r>
      <w:proofErr w:type="spellEnd"/>
      <w:r w:rsidRPr="00814C24">
        <w:rPr>
          <w:color w:val="000000" w:themeColor="text1"/>
          <w:sz w:val="24"/>
          <w:szCs w:val="24"/>
          <w:lang w:val="fr-FR"/>
        </w:rPr>
        <w:t>,</w:t>
      </w:r>
      <w:r w:rsidRPr="00814C24">
        <w:rPr>
          <w:color w:val="000000" w:themeColor="text1"/>
          <w:spacing w:val="37"/>
          <w:sz w:val="24"/>
          <w:szCs w:val="24"/>
          <w:lang w:val="fr-FR"/>
        </w:rPr>
        <w:t xml:space="preserve"> </w:t>
      </w:r>
      <w:proofErr w:type="spellStart"/>
      <w:r w:rsidRPr="00814C24">
        <w:rPr>
          <w:color w:val="000000" w:themeColor="text1"/>
          <w:sz w:val="24"/>
          <w:szCs w:val="24"/>
          <w:lang w:val="fr-FR"/>
        </w:rPr>
        <w:t>intensitate</w:t>
      </w:r>
      <w:proofErr w:type="spellEnd"/>
      <w:r w:rsidRPr="00814C24">
        <w:rPr>
          <w:color w:val="000000" w:themeColor="text1"/>
          <w:spacing w:val="-57"/>
          <w:sz w:val="24"/>
          <w:szCs w:val="24"/>
          <w:lang w:val="fr-FR"/>
        </w:rPr>
        <w:t xml:space="preserve"> </w:t>
      </w:r>
      <w:proofErr w:type="spellStart"/>
      <w:r w:rsidRPr="00814C24">
        <w:rPr>
          <w:color w:val="000000" w:themeColor="text1"/>
          <w:sz w:val="24"/>
          <w:szCs w:val="24"/>
          <w:lang w:val="fr-FR"/>
        </w:rPr>
        <w:t>medie</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intensitate</w:t>
      </w:r>
      <w:proofErr w:type="spellEnd"/>
      <w:r w:rsidRPr="00814C24">
        <w:rPr>
          <w:color w:val="000000" w:themeColor="text1"/>
          <w:sz w:val="24"/>
          <w:szCs w:val="24"/>
          <w:lang w:val="fr-FR"/>
        </w:rPr>
        <w:t xml:space="preserve"> mare, </w:t>
      </w:r>
      <w:proofErr w:type="spellStart"/>
      <w:r w:rsidRPr="00814C24">
        <w:rPr>
          <w:color w:val="000000" w:themeColor="text1"/>
          <w:sz w:val="24"/>
          <w:szCs w:val="24"/>
          <w:lang w:val="fr-FR"/>
        </w:rPr>
        <w:t>intensitate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necunoscută</w:t>
      </w:r>
      <w:proofErr w:type="spellEnd"/>
      <w:r w:rsidRPr="00814C24">
        <w:rPr>
          <w:color w:val="000000" w:themeColor="text1"/>
          <w:sz w:val="24"/>
          <w:szCs w:val="24"/>
          <w:lang w:val="fr-FR"/>
        </w:rPr>
        <w:t>.</w:t>
      </w:r>
    </w:p>
    <w:p w14:paraId="7F927BE0" w14:textId="77777777" w:rsidR="006735BF" w:rsidRPr="00814C24" w:rsidRDefault="006735BF" w:rsidP="008E33FD">
      <w:pPr>
        <w:pStyle w:val="BodyText"/>
        <w:spacing w:before="6"/>
        <w:jc w:val="both"/>
        <w:rPr>
          <w:color w:val="000000" w:themeColor="text1"/>
          <w:sz w:val="24"/>
          <w:szCs w:val="24"/>
          <w:lang w:val="fr-FR"/>
        </w:rPr>
      </w:pPr>
    </w:p>
    <w:p w14:paraId="31A74A18" w14:textId="77777777" w:rsidR="00182DE3" w:rsidRDefault="00182DE3" w:rsidP="008E33FD">
      <w:pPr>
        <w:pStyle w:val="Heading2"/>
        <w:widowControl w:val="0"/>
        <w:tabs>
          <w:tab w:val="left" w:pos="1232"/>
        </w:tabs>
        <w:autoSpaceDE w:val="0"/>
        <w:autoSpaceDN w:val="0"/>
        <w:spacing w:before="0" w:beforeAutospacing="0" w:after="0" w:afterAutospacing="0"/>
        <w:ind w:left="270"/>
        <w:jc w:val="both"/>
        <w:rPr>
          <w:color w:val="000000" w:themeColor="text1"/>
          <w:sz w:val="24"/>
          <w:szCs w:val="24"/>
        </w:rPr>
      </w:pPr>
    </w:p>
    <w:p w14:paraId="79D24F29" w14:textId="77777777" w:rsidR="00182DE3" w:rsidRDefault="00182DE3" w:rsidP="008E33FD">
      <w:pPr>
        <w:pStyle w:val="Heading2"/>
        <w:widowControl w:val="0"/>
        <w:tabs>
          <w:tab w:val="left" w:pos="1232"/>
        </w:tabs>
        <w:autoSpaceDE w:val="0"/>
        <w:autoSpaceDN w:val="0"/>
        <w:spacing w:before="0" w:beforeAutospacing="0" w:after="0" w:afterAutospacing="0"/>
        <w:ind w:left="270"/>
        <w:jc w:val="both"/>
        <w:rPr>
          <w:color w:val="000000" w:themeColor="text1"/>
          <w:sz w:val="24"/>
          <w:szCs w:val="24"/>
        </w:rPr>
      </w:pPr>
    </w:p>
    <w:p w14:paraId="1433CCEF" w14:textId="77777777" w:rsidR="006735BF" w:rsidRPr="00814C24" w:rsidRDefault="006735BF" w:rsidP="00182DE3">
      <w:pPr>
        <w:pStyle w:val="Heading2"/>
        <w:widowControl w:val="0"/>
        <w:tabs>
          <w:tab w:val="left" w:pos="1232"/>
        </w:tabs>
        <w:autoSpaceDE w:val="0"/>
        <w:autoSpaceDN w:val="0"/>
        <w:spacing w:before="0" w:beforeAutospacing="0" w:after="0" w:afterAutospacing="0"/>
        <w:jc w:val="both"/>
        <w:rPr>
          <w:color w:val="000000" w:themeColor="text1"/>
          <w:sz w:val="24"/>
          <w:szCs w:val="24"/>
        </w:rPr>
      </w:pPr>
      <w:proofErr w:type="spellStart"/>
      <w:r w:rsidRPr="00814C24">
        <w:rPr>
          <w:color w:val="000000" w:themeColor="text1"/>
          <w:sz w:val="24"/>
          <w:szCs w:val="24"/>
        </w:rPr>
        <w:lastRenderedPageBreak/>
        <w:t>Agregarea</w:t>
      </w:r>
      <w:proofErr w:type="spellEnd"/>
      <w:r w:rsidRPr="00814C24">
        <w:rPr>
          <w:color w:val="000000" w:themeColor="text1"/>
          <w:sz w:val="24"/>
          <w:szCs w:val="24"/>
        </w:rPr>
        <w:t xml:space="preserve"> </w:t>
      </w:r>
      <w:proofErr w:type="spellStart"/>
      <w:r w:rsidRPr="00814C24">
        <w:rPr>
          <w:color w:val="000000" w:themeColor="text1"/>
          <w:sz w:val="24"/>
          <w:szCs w:val="24"/>
        </w:rPr>
        <w:t>informației</w:t>
      </w:r>
      <w:proofErr w:type="spellEnd"/>
      <w:r w:rsidRPr="00814C24">
        <w:rPr>
          <w:color w:val="000000" w:themeColor="text1"/>
          <w:sz w:val="24"/>
          <w:szCs w:val="24"/>
        </w:rPr>
        <w:t xml:space="preserve"> din </w:t>
      </w:r>
      <w:proofErr w:type="spellStart"/>
      <w:r w:rsidRPr="00814C24">
        <w:rPr>
          <w:color w:val="000000" w:themeColor="text1"/>
          <w:sz w:val="24"/>
          <w:szCs w:val="24"/>
        </w:rPr>
        <w:t>ploturi</w:t>
      </w:r>
      <w:proofErr w:type="spellEnd"/>
      <w:r w:rsidRPr="00814C24">
        <w:rPr>
          <w:color w:val="000000" w:themeColor="text1"/>
          <w:sz w:val="24"/>
          <w:szCs w:val="24"/>
        </w:rPr>
        <w:t xml:space="preserve"> pe </w:t>
      </w:r>
      <w:proofErr w:type="spellStart"/>
      <w:r w:rsidRPr="00814C24">
        <w:rPr>
          <w:color w:val="000000" w:themeColor="text1"/>
          <w:sz w:val="24"/>
          <w:szCs w:val="24"/>
        </w:rPr>
        <w:t>bioregiune</w:t>
      </w:r>
      <w:proofErr w:type="spellEnd"/>
    </w:p>
    <w:p w14:paraId="2249BC2D" w14:textId="77777777" w:rsidR="006735BF" w:rsidRPr="00814C24" w:rsidRDefault="006735BF" w:rsidP="00182DE3">
      <w:pPr>
        <w:pStyle w:val="BodyText"/>
        <w:spacing w:before="157"/>
        <w:ind w:left="0"/>
        <w:jc w:val="both"/>
        <w:rPr>
          <w:color w:val="000000" w:themeColor="text1"/>
          <w:sz w:val="24"/>
          <w:szCs w:val="24"/>
          <w:lang w:val="fr-FR"/>
        </w:rPr>
      </w:pPr>
      <w:proofErr w:type="spellStart"/>
      <w:r w:rsidRPr="00814C24">
        <w:rPr>
          <w:color w:val="000000" w:themeColor="text1"/>
          <w:sz w:val="24"/>
          <w:szCs w:val="24"/>
          <w:lang w:val="fr-FR"/>
        </w:rPr>
        <w:t>Modul</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de</w:t>
      </w:r>
      <w:r w:rsidRPr="00814C24">
        <w:rPr>
          <w:color w:val="000000" w:themeColor="text1"/>
          <w:spacing w:val="-2"/>
          <w:sz w:val="24"/>
          <w:szCs w:val="24"/>
          <w:lang w:val="fr-FR"/>
        </w:rPr>
        <w:t xml:space="preserve"> </w:t>
      </w:r>
      <w:proofErr w:type="spellStart"/>
      <w:r w:rsidRPr="00814C24">
        <w:rPr>
          <w:color w:val="000000" w:themeColor="text1"/>
          <w:sz w:val="24"/>
          <w:szCs w:val="24"/>
          <w:lang w:val="fr-FR"/>
        </w:rPr>
        <w:t>agregare</w:t>
      </w:r>
      <w:proofErr w:type="spellEnd"/>
      <w:r w:rsidRPr="00814C24">
        <w:rPr>
          <w:color w:val="000000" w:themeColor="text1"/>
          <w:sz w:val="24"/>
          <w:szCs w:val="24"/>
          <w:lang w:val="fr-FR"/>
        </w:rPr>
        <w:t xml:space="preserve"> a</w:t>
      </w:r>
      <w:r w:rsidRPr="00814C24">
        <w:rPr>
          <w:color w:val="000000" w:themeColor="text1"/>
          <w:spacing w:val="-2"/>
          <w:sz w:val="24"/>
          <w:szCs w:val="24"/>
          <w:lang w:val="fr-FR"/>
        </w:rPr>
        <w:t xml:space="preserve"> </w:t>
      </w:r>
      <w:proofErr w:type="spellStart"/>
      <w:r w:rsidRPr="00814C24">
        <w:rPr>
          <w:color w:val="000000" w:themeColor="text1"/>
          <w:sz w:val="24"/>
          <w:szCs w:val="24"/>
          <w:lang w:val="fr-FR"/>
        </w:rPr>
        <w:t>datelor</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se</w:t>
      </w:r>
      <w:r w:rsidRPr="00814C24">
        <w:rPr>
          <w:color w:val="000000" w:themeColor="text1"/>
          <w:spacing w:val="-1"/>
          <w:sz w:val="24"/>
          <w:szCs w:val="24"/>
          <w:lang w:val="fr-FR"/>
        </w:rPr>
        <w:t xml:space="preserve"> </w:t>
      </w:r>
      <w:r w:rsidRPr="00814C24">
        <w:rPr>
          <w:color w:val="000000" w:themeColor="text1"/>
          <w:sz w:val="24"/>
          <w:szCs w:val="24"/>
          <w:lang w:val="fr-FR"/>
        </w:rPr>
        <w:t>face</w:t>
      </w:r>
      <w:r w:rsidRPr="00814C24">
        <w:rPr>
          <w:color w:val="000000" w:themeColor="text1"/>
          <w:spacing w:val="-2"/>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două</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etape</w:t>
      </w:r>
      <w:proofErr w:type="spellEnd"/>
      <w:r w:rsidRPr="00814C24">
        <w:rPr>
          <w:color w:val="000000" w:themeColor="text1"/>
          <w:sz w:val="24"/>
          <w:szCs w:val="24"/>
          <w:lang w:val="fr-FR"/>
        </w:rPr>
        <w:t>:</w:t>
      </w:r>
    </w:p>
    <w:p w14:paraId="01C4CB8A" w14:textId="77777777" w:rsidR="006735BF" w:rsidRPr="00814C24" w:rsidRDefault="006735BF" w:rsidP="00182DE3">
      <w:pPr>
        <w:pStyle w:val="BodyText"/>
        <w:ind w:left="0" w:right="14"/>
        <w:jc w:val="both"/>
        <w:rPr>
          <w:color w:val="000000" w:themeColor="text1"/>
          <w:sz w:val="24"/>
          <w:szCs w:val="24"/>
          <w:lang w:val="fr-FR"/>
        </w:rPr>
      </w:pPr>
      <w:proofErr w:type="spellStart"/>
      <w:r w:rsidRPr="00814C24">
        <w:rPr>
          <w:color w:val="000000" w:themeColor="text1"/>
          <w:sz w:val="24"/>
          <w:szCs w:val="24"/>
          <w:lang w:val="fr-FR"/>
        </w:rPr>
        <w:t>Agregarea</w:t>
      </w:r>
      <w:proofErr w:type="spellEnd"/>
      <w:r w:rsidRPr="00814C24">
        <w:rPr>
          <w:color w:val="000000" w:themeColor="text1"/>
          <w:spacing w:val="5"/>
          <w:sz w:val="24"/>
          <w:szCs w:val="24"/>
          <w:lang w:val="fr-FR"/>
        </w:rPr>
        <w:t xml:space="preserve"> </w:t>
      </w:r>
      <w:proofErr w:type="spellStart"/>
      <w:r w:rsidRPr="00814C24">
        <w:rPr>
          <w:color w:val="000000" w:themeColor="text1"/>
          <w:sz w:val="24"/>
          <w:szCs w:val="24"/>
          <w:lang w:val="fr-FR"/>
        </w:rPr>
        <w:t>spațială</w:t>
      </w:r>
      <w:proofErr w:type="spellEnd"/>
      <w:r w:rsidRPr="00814C24">
        <w:rPr>
          <w:color w:val="000000" w:themeColor="text1"/>
          <w:sz w:val="24"/>
          <w:szCs w:val="24"/>
          <w:lang w:val="fr-FR"/>
        </w:rPr>
        <w:t>,</w:t>
      </w:r>
      <w:r w:rsidRPr="00814C24">
        <w:rPr>
          <w:color w:val="000000" w:themeColor="text1"/>
          <w:spacing w:val="4"/>
          <w:sz w:val="24"/>
          <w:szCs w:val="24"/>
          <w:lang w:val="fr-FR"/>
        </w:rPr>
        <w:t xml:space="preserve"> </w:t>
      </w:r>
      <w:proofErr w:type="spellStart"/>
      <w:r w:rsidRPr="00814C24">
        <w:rPr>
          <w:color w:val="000000" w:themeColor="text1"/>
          <w:sz w:val="24"/>
          <w:szCs w:val="24"/>
          <w:lang w:val="fr-FR"/>
        </w:rPr>
        <w:t>respectiv</w:t>
      </w:r>
      <w:proofErr w:type="spellEnd"/>
      <w:r w:rsidRPr="00814C24">
        <w:rPr>
          <w:color w:val="000000" w:themeColor="text1"/>
          <w:spacing w:val="4"/>
          <w:sz w:val="24"/>
          <w:szCs w:val="24"/>
          <w:lang w:val="fr-FR"/>
        </w:rPr>
        <w:t xml:space="preserve"> </w:t>
      </w:r>
      <w:proofErr w:type="spellStart"/>
      <w:r w:rsidRPr="00814C24">
        <w:rPr>
          <w:color w:val="000000" w:themeColor="text1"/>
          <w:sz w:val="24"/>
          <w:szCs w:val="24"/>
          <w:lang w:val="fr-FR"/>
        </w:rPr>
        <w:t>generarea</w:t>
      </w:r>
      <w:proofErr w:type="spellEnd"/>
      <w:r w:rsidRPr="00814C24">
        <w:rPr>
          <w:color w:val="000000" w:themeColor="text1"/>
          <w:spacing w:val="4"/>
          <w:sz w:val="24"/>
          <w:szCs w:val="24"/>
          <w:lang w:val="fr-FR"/>
        </w:rPr>
        <w:t xml:space="preserve"> </w:t>
      </w:r>
      <w:proofErr w:type="spellStart"/>
      <w:r w:rsidRPr="00814C24">
        <w:rPr>
          <w:color w:val="000000" w:themeColor="text1"/>
          <w:sz w:val="24"/>
          <w:szCs w:val="24"/>
          <w:lang w:val="fr-FR"/>
        </w:rPr>
        <w:t>hărților</w:t>
      </w:r>
      <w:proofErr w:type="spellEnd"/>
      <w:r w:rsidRPr="00814C24">
        <w:rPr>
          <w:color w:val="000000" w:themeColor="text1"/>
          <w:spacing w:val="4"/>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pacing w:val="7"/>
          <w:sz w:val="24"/>
          <w:szCs w:val="24"/>
          <w:lang w:val="fr-FR"/>
        </w:rPr>
        <w:t xml:space="preserve"> </w:t>
      </w:r>
      <w:proofErr w:type="spellStart"/>
      <w:r w:rsidRPr="00814C24">
        <w:rPr>
          <w:color w:val="000000" w:themeColor="text1"/>
          <w:sz w:val="24"/>
          <w:szCs w:val="24"/>
          <w:lang w:val="fr-FR"/>
        </w:rPr>
        <w:t>conformitate</w:t>
      </w:r>
      <w:proofErr w:type="spellEnd"/>
      <w:r w:rsidRPr="00814C24">
        <w:rPr>
          <w:color w:val="000000" w:themeColor="text1"/>
          <w:spacing w:val="4"/>
          <w:sz w:val="24"/>
          <w:szCs w:val="24"/>
          <w:lang w:val="fr-FR"/>
        </w:rPr>
        <w:t xml:space="preserve"> </w:t>
      </w:r>
      <w:proofErr w:type="spellStart"/>
      <w:r w:rsidRPr="00814C24">
        <w:rPr>
          <w:color w:val="000000" w:themeColor="text1"/>
          <w:sz w:val="24"/>
          <w:szCs w:val="24"/>
          <w:lang w:val="fr-FR"/>
        </w:rPr>
        <w:t>cu</w:t>
      </w:r>
      <w:proofErr w:type="spellEnd"/>
      <w:r w:rsidRPr="00814C24">
        <w:rPr>
          <w:color w:val="000000" w:themeColor="text1"/>
          <w:spacing w:val="7"/>
          <w:sz w:val="24"/>
          <w:szCs w:val="24"/>
          <w:lang w:val="fr-FR"/>
        </w:rPr>
        <w:t xml:space="preserve"> </w:t>
      </w:r>
      <w:proofErr w:type="spellStart"/>
      <w:r w:rsidRPr="00814C24">
        <w:rPr>
          <w:color w:val="000000" w:themeColor="text1"/>
          <w:sz w:val="24"/>
          <w:szCs w:val="24"/>
          <w:lang w:val="fr-FR"/>
        </w:rPr>
        <w:t>formatul</w:t>
      </w:r>
      <w:proofErr w:type="spellEnd"/>
      <w:r w:rsidRPr="00814C24">
        <w:rPr>
          <w:color w:val="000000" w:themeColor="text1"/>
          <w:spacing w:val="7"/>
          <w:sz w:val="24"/>
          <w:szCs w:val="24"/>
          <w:lang w:val="fr-FR"/>
        </w:rPr>
        <w:t xml:space="preserve"> </w:t>
      </w:r>
      <w:r w:rsidRPr="00814C24">
        <w:rPr>
          <w:color w:val="000000" w:themeColor="text1"/>
          <w:sz w:val="24"/>
          <w:szCs w:val="24"/>
          <w:lang w:val="fr-FR"/>
        </w:rPr>
        <w:t>de</w:t>
      </w:r>
      <w:r w:rsidRPr="00814C24">
        <w:rPr>
          <w:color w:val="000000" w:themeColor="text1"/>
          <w:spacing w:val="4"/>
          <w:sz w:val="24"/>
          <w:szCs w:val="24"/>
          <w:lang w:val="fr-FR"/>
        </w:rPr>
        <w:t xml:space="preserve"> </w:t>
      </w:r>
      <w:proofErr w:type="spellStart"/>
      <w:r w:rsidRPr="00814C24">
        <w:rPr>
          <w:color w:val="000000" w:themeColor="text1"/>
          <w:sz w:val="24"/>
          <w:szCs w:val="24"/>
          <w:lang w:val="fr-FR"/>
        </w:rPr>
        <w:t>raportare</w:t>
      </w:r>
      <w:proofErr w:type="spellEnd"/>
      <w:r w:rsidRPr="00814C24">
        <w:rPr>
          <w:color w:val="000000" w:themeColor="text1"/>
          <w:spacing w:val="4"/>
          <w:sz w:val="24"/>
          <w:szCs w:val="24"/>
          <w:lang w:val="fr-FR"/>
        </w:rPr>
        <w:t xml:space="preserve"> </w:t>
      </w:r>
      <w:proofErr w:type="spellStart"/>
      <w:r w:rsidRPr="00814C24">
        <w:rPr>
          <w:color w:val="000000" w:themeColor="text1"/>
          <w:sz w:val="24"/>
          <w:szCs w:val="24"/>
          <w:lang w:val="fr-FR"/>
        </w:rPr>
        <w:t>pornind</w:t>
      </w:r>
      <w:proofErr w:type="spellEnd"/>
      <w:r w:rsidRPr="00814C24">
        <w:rPr>
          <w:color w:val="000000" w:themeColor="text1"/>
          <w:spacing w:val="4"/>
          <w:sz w:val="24"/>
          <w:szCs w:val="24"/>
          <w:lang w:val="fr-FR"/>
        </w:rPr>
        <w:t xml:space="preserve"> </w:t>
      </w:r>
      <w:r w:rsidRPr="00814C24">
        <w:rPr>
          <w:color w:val="000000" w:themeColor="text1"/>
          <w:sz w:val="24"/>
          <w:szCs w:val="24"/>
          <w:lang w:val="fr-FR"/>
        </w:rPr>
        <w:t>de</w:t>
      </w:r>
      <w:r w:rsidRPr="00814C24">
        <w:rPr>
          <w:color w:val="000000" w:themeColor="text1"/>
          <w:spacing w:val="-57"/>
          <w:sz w:val="24"/>
          <w:szCs w:val="24"/>
          <w:lang w:val="fr-FR"/>
        </w:rPr>
        <w:t xml:space="preserve"> </w:t>
      </w:r>
      <w:r w:rsidRPr="00814C24">
        <w:rPr>
          <w:color w:val="000000" w:themeColor="text1"/>
          <w:sz w:val="24"/>
          <w:szCs w:val="24"/>
          <w:lang w:val="fr-FR"/>
        </w:rPr>
        <w:t xml:space="preserve">la </w:t>
      </w:r>
      <w:proofErr w:type="spellStart"/>
      <w:r w:rsidRPr="00814C24">
        <w:rPr>
          <w:color w:val="000000" w:themeColor="text1"/>
          <w:sz w:val="24"/>
          <w:szCs w:val="24"/>
          <w:lang w:val="fr-FR"/>
        </w:rPr>
        <w:t>ploturile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evaluate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și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estimate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sintetizându</w:t>
      </w:r>
      <w:proofErr w:type="spellEnd"/>
      <w:r w:rsidRPr="00814C24">
        <w:rPr>
          <w:color w:val="000000" w:themeColor="text1"/>
          <w:sz w:val="24"/>
          <w:szCs w:val="24"/>
          <w:lang w:val="fr-FR"/>
        </w:rPr>
        <w:t xml:space="preserve">-se la </w:t>
      </w:r>
      <w:proofErr w:type="spellStart"/>
      <w:r w:rsidRPr="00814C24">
        <w:rPr>
          <w:color w:val="000000" w:themeColor="text1"/>
          <w:sz w:val="24"/>
          <w:szCs w:val="24"/>
          <w:lang w:val="fr-FR"/>
        </w:rPr>
        <w:t>nivel</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bioregiune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și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respectiv</w:t>
      </w:r>
      <w:proofErr w:type="spellEnd"/>
      <w:r w:rsidRPr="00814C24">
        <w:rPr>
          <w:color w:val="000000" w:themeColor="text1"/>
          <w:sz w:val="24"/>
          <w:szCs w:val="24"/>
          <w:lang w:val="fr-FR"/>
        </w:rPr>
        <w:t xml:space="preserve"> la </w:t>
      </w:r>
      <w:proofErr w:type="spellStart"/>
      <w:r w:rsidRPr="00814C24">
        <w:rPr>
          <w:color w:val="000000" w:themeColor="text1"/>
          <w:sz w:val="24"/>
          <w:szCs w:val="24"/>
          <w:lang w:val="fr-FR"/>
        </w:rPr>
        <w:t>nivel</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național</w:t>
      </w:r>
      <w:proofErr w:type="spellEnd"/>
      <w:r w:rsidRPr="00814C24">
        <w:rPr>
          <w:color w:val="000000" w:themeColor="text1"/>
          <w:sz w:val="24"/>
          <w:szCs w:val="24"/>
          <w:lang w:val="fr-FR"/>
        </w:rPr>
        <w:t>.</w:t>
      </w:r>
      <w:r w:rsidRPr="00814C24">
        <w:rPr>
          <w:color w:val="000000" w:themeColor="text1"/>
          <w:spacing w:val="-57"/>
          <w:sz w:val="24"/>
          <w:szCs w:val="24"/>
          <w:lang w:val="fr-FR"/>
        </w:rPr>
        <w:t xml:space="preserve"> </w:t>
      </w:r>
      <w:proofErr w:type="spellStart"/>
      <w:r w:rsidRPr="00814C24">
        <w:rPr>
          <w:color w:val="000000" w:themeColor="text1"/>
          <w:sz w:val="24"/>
          <w:szCs w:val="24"/>
          <w:lang w:val="fr-FR"/>
        </w:rPr>
        <w:t>Agregarea</w:t>
      </w:r>
      <w:proofErr w:type="spellEnd"/>
      <w:r w:rsidRPr="00814C24">
        <w:rPr>
          <w:color w:val="000000" w:themeColor="text1"/>
          <w:sz w:val="24"/>
          <w:szCs w:val="24"/>
          <w:lang w:val="fr-FR"/>
        </w:rPr>
        <w:t xml:space="preserve"> non-</w:t>
      </w:r>
      <w:proofErr w:type="spellStart"/>
      <w:r w:rsidRPr="00814C24">
        <w:rPr>
          <w:color w:val="000000" w:themeColor="text1"/>
          <w:sz w:val="24"/>
          <w:szCs w:val="24"/>
          <w:lang w:val="fr-FR"/>
        </w:rPr>
        <w:t>spațială</w:t>
      </w:r>
      <w:proofErr w:type="spellEnd"/>
      <w:r w:rsidRPr="00814C24">
        <w:rPr>
          <w:color w:val="000000" w:themeColor="text1"/>
          <w:sz w:val="24"/>
          <w:szCs w:val="24"/>
          <w:lang w:val="fr-FR"/>
        </w:rPr>
        <w:t xml:space="preserve"> care </w:t>
      </w:r>
      <w:proofErr w:type="spellStart"/>
      <w:r w:rsidRPr="00814C24">
        <w:rPr>
          <w:color w:val="000000" w:themeColor="text1"/>
          <w:sz w:val="24"/>
          <w:szCs w:val="24"/>
          <w:lang w:val="fr-FR"/>
        </w:rPr>
        <w:t>presupune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generarea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fișierelor</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specifice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conformitate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formatul</w:t>
      </w:r>
      <w:proofErr w:type="spellEnd"/>
      <w:r w:rsidRPr="00814C24">
        <w:rPr>
          <w:color w:val="000000" w:themeColor="text1"/>
          <w:sz w:val="24"/>
          <w:szCs w:val="24"/>
          <w:lang w:val="fr-FR"/>
        </w:rPr>
        <w:t xml:space="preserve"> de</w:t>
      </w:r>
      <w:r w:rsidRPr="00814C24">
        <w:rPr>
          <w:color w:val="000000" w:themeColor="text1"/>
          <w:spacing w:val="-57"/>
          <w:sz w:val="24"/>
          <w:szCs w:val="24"/>
          <w:lang w:val="fr-FR"/>
        </w:rPr>
        <w:t xml:space="preserve"> </w:t>
      </w:r>
      <w:proofErr w:type="spellStart"/>
      <w:r w:rsidRPr="00814C24">
        <w:rPr>
          <w:color w:val="000000" w:themeColor="text1"/>
          <w:sz w:val="24"/>
          <w:szCs w:val="24"/>
          <w:lang w:val="fr-FR"/>
        </w:rPr>
        <w:t>raportare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pornind</w:t>
      </w:r>
      <w:proofErr w:type="spellEnd"/>
      <w:r w:rsidRPr="00814C24">
        <w:rPr>
          <w:color w:val="000000" w:themeColor="text1"/>
          <w:sz w:val="24"/>
          <w:szCs w:val="24"/>
          <w:lang w:val="fr-FR"/>
        </w:rPr>
        <w:t xml:space="preserve"> de la </w:t>
      </w:r>
      <w:proofErr w:type="spellStart"/>
      <w:r w:rsidRPr="00814C24">
        <w:rPr>
          <w:color w:val="000000" w:themeColor="text1"/>
          <w:sz w:val="24"/>
          <w:szCs w:val="24"/>
          <w:lang w:val="fr-FR"/>
        </w:rPr>
        <w:t>datele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agregate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primar</w:t>
      </w:r>
      <w:proofErr w:type="spellEnd"/>
      <w:r w:rsidRPr="00814C24">
        <w:rPr>
          <w:color w:val="000000" w:themeColor="text1"/>
          <w:sz w:val="24"/>
          <w:szCs w:val="24"/>
          <w:lang w:val="fr-FR"/>
        </w:rPr>
        <w:t xml:space="preserve">, prima </w:t>
      </w:r>
      <w:proofErr w:type="spellStart"/>
      <w:r w:rsidRPr="00814C24">
        <w:rPr>
          <w:color w:val="000000" w:themeColor="text1"/>
          <w:sz w:val="24"/>
          <w:szCs w:val="24"/>
          <w:lang w:val="fr-FR"/>
        </w:rPr>
        <w:t>agregare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fiind</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prezentată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subcapitolul</w:t>
      </w:r>
      <w:proofErr w:type="spellEnd"/>
      <w:r w:rsidRPr="00814C24">
        <w:rPr>
          <w:color w:val="000000" w:themeColor="text1"/>
          <w:sz w:val="24"/>
          <w:szCs w:val="24"/>
          <w:lang w:val="fr-FR"/>
        </w:rPr>
        <w:t xml:space="preserve"> 4.1.</w:t>
      </w:r>
      <w:r w:rsidRPr="00814C24">
        <w:rPr>
          <w:color w:val="000000" w:themeColor="text1"/>
          <w:spacing w:val="1"/>
          <w:sz w:val="24"/>
          <w:szCs w:val="24"/>
          <w:lang w:val="fr-FR"/>
        </w:rPr>
        <w:t xml:space="preserve"> </w:t>
      </w:r>
      <w:r w:rsidRPr="00814C24">
        <w:rPr>
          <w:color w:val="000000" w:themeColor="text1"/>
          <w:sz w:val="24"/>
          <w:szCs w:val="24"/>
          <w:lang w:val="fr-FR"/>
        </w:rPr>
        <w:t>Al</w:t>
      </w:r>
      <w:r w:rsidRPr="00814C24">
        <w:rPr>
          <w:color w:val="000000" w:themeColor="text1"/>
          <w:spacing w:val="37"/>
          <w:sz w:val="24"/>
          <w:szCs w:val="24"/>
          <w:lang w:val="fr-FR"/>
        </w:rPr>
        <w:t xml:space="preserve"> </w:t>
      </w:r>
      <w:proofErr w:type="spellStart"/>
      <w:r w:rsidRPr="00814C24">
        <w:rPr>
          <w:color w:val="000000" w:themeColor="text1"/>
          <w:sz w:val="24"/>
          <w:szCs w:val="24"/>
          <w:lang w:val="fr-FR"/>
        </w:rPr>
        <w:t>doilea</w:t>
      </w:r>
      <w:proofErr w:type="spellEnd"/>
      <w:r w:rsidRPr="00814C24">
        <w:rPr>
          <w:color w:val="000000" w:themeColor="text1"/>
          <w:spacing w:val="36"/>
          <w:sz w:val="24"/>
          <w:szCs w:val="24"/>
          <w:lang w:val="fr-FR"/>
        </w:rPr>
        <w:t xml:space="preserve"> </w:t>
      </w:r>
      <w:proofErr w:type="spellStart"/>
      <w:r w:rsidRPr="00814C24">
        <w:rPr>
          <w:color w:val="000000" w:themeColor="text1"/>
          <w:sz w:val="24"/>
          <w:szCs w:val="24"/>
          <w:lang w:val="fr-FR"/>
        </w:rPr>
        <w:t>nivel</w:t>
      </w:r>
      <w:proofErr w:type="spellEnd"/>
      <w:r w:rsidRPr="00814C24">
        <w:rPr>
          <w:color w:val="000000" w:themeColor="text1"/>
          <w:spacing w:val="37"/>
          <w:sz w:val="24"/>
          <w:szCs w:val="24"/>
          <w:lang w:val="fr-FR"/>
        </w:rPr>
        <w:t xml:space="preserve"> </w:t>
      </w:r>
      <w:r w:rsidRPr="00814C24">
        <w:rPr>
          <w:color w:val="000000" w:themeColor="text1"/>
          <w:sz w:val="24"/>
          <w:szCs w:val="24"/>
          <w:lang w:val="fr-FR"/>
        </w:rPr>
        <w:t>de</w:t>
      </w:r>
      <w:r w:rsidRPr="00814C24">
        <w:rPr>
          <w:color w:val="000000" w:themeColor="text1"/>
          <w:spacing w:val="37"/>
          <w:sz w:val="24"/>
          <w:szCs w:val="24"/>
          <w:lang w:val="fr-FR"/>
        </w:rPr>
        <w:t xml:space="preserve"> </w:t>
      </w:r>
      <w:proofErr w:type="spellStart"/>
      <w:r w:rsidRPr="00814C24">
        <w:rPr>
          <w:color w:val="000000" w:themeColor="text1"/>
          <w:sz w:val="24"/>
          <w:szCs w:val="24"/>
          <w:lang w:val="fr-FR"/>
        </w:rPr>
        <w:t>agregare</w:t>
      </w:r>
      <w:proofErr w:type="spellEnd"/>
      <w:r w:rsidRPr="00814C24">
        <w:rPr>
          <w:color w:val="000000" w:themeColor="text1"/>
          <w:spacing w:val="35"/>
          <w:sz w:val="24"/>
          <w:szCs w:val="24"/>
          <w:lang w:val="fr-FR"/>
        </w:rPr>
        <w:t xml:space="preserve"> </w:t>
      </w:r>
      <w:r w:rsidRPr="00814C24">
        <w:rPr>
          <w:color w:val="000000" w:themeColor="text1"/>
          <w:sz w:val="24"/>
          <w:szCs w:val="24"/>
          <w:lang w:val="fr-FR"/>
        </w:rPr>
        <w:t>este</w:t>
      </w:r>
      <w:r w:rsidRPr="00814C24">
        <w:rPr>
          <w:color w:val="000000" w:themeColor="text1"/>
          <w:spacing w:val="36"/>
          <w:sz w:val="24"/>
          <w:szCs w:val="24"/>
          <w:lang w:val="fr-FR"/>
        </w:rPr>
        <w:t xml:space="preserve"> </w:t>
      </w:r>
      <w:r w:rsidRPr="00814C24">
        <w:rPr>
          <w:color w:val="000000" w:themeColor="text1"/>
          <w:sz w:val="24"/>
          <w:szCs w:val="24"/>
          <w:lang w:val="fr-FR"/>
        </w:rPr>
        <w:t>al</w:t>
      </w:r>
      <w:r w:rsidRPr="00814C24">
        <w:rPr>
          <w:color w:val="000000" w:themeColor="text1"/>
          <w:spacing w:val="38"/>
          <w:sz w:val="24"/>
          <w:szCs w:val="24"/>
          <w:lang w:val="fr-FR"/>
        </w:rPr>
        <w:t xml:space="preserve"> </w:t>
      </w:r>
      <w:proofErr w:type="spellStart"/>
      <w:r w:rsidRPr="00814C24">
        <w:rPr>
          <w:color w:val="000000" w:themeColor="text1"/>
          <w:sz w:val="24"/>
          <w:szCs w:val="24"/>
          <w:lang w:val="fr-FR"/>
        </w:rPr>
        <w:t>atributelor</w:t>
      </w:r>
      <w:proofErr w:type="spellEnd"/>
      <w:r w:rsidRPr="00814C24">
        <w:rPr>
          <w:color w:val="000000" w:themeColor="text1"/>
          <w:spacing w:val="41"/>
          <w:sz w:val="24"/>
          <w:szCs w:val="24"/>
          <w:lang w:val="fr-FR"/>
        </w:rPr>
        <w:t xml:space="preserve"> </w:t>
      </w:r>
      <w:proofErr w:type="spellStart"/>
      <w:r w:rsidRPr="00814C24">
        <w:rPr>
          <w:color w:val="000000" w:themeColor="text1"/>
          <w:sz w:val="24"/>
          <w:szCs w:val="24"/>
          <w:lang w:val="fr-FR"/>
        </w:rPr>
        <w:t>specifice</w:t>
      </w:r>
      <w:proofErr w:type="spellEnd"/>
      <w:r w:rsidRPr="00814C24">
        <w:rPr>
          <w:color w:val="000000" w:themeColor="text1"/>
          <w:spacing w:val="35"/>
          <w:sz w:val="24"/>
          <w:szCs w:val="24"/>
          <w:lang w:val="fr-FR"/>
        </w:rPr>
        <w:t xml:space="preserve"> </w:t>
      </w:r>
      <w:proofErr w:type="spellStart"/>
      <w:r w:rsidRPr="00814C24">
        <w:rPr>
          <w:color w:val="000000" w:themeColor="text1"/>
          <w:sz w:val="24"/>
          <w:szCs w:val="24"/>
          <w:lang w:val="fr-FR"/>
        </w:rPr>
        <w:t>habitatelor</w:t>
      </w:r>
      <w:proofErr w:type="spellEnd"/>
      <w:r w:rsidRPr="00814C24">
        <w:rPr>
          <w:color w:val="000000" w:themeColor="text1"/>
          <w:spacing w:val="37"/>
          <w:sz w:val="24"/>
          <w:szCs w:val="24"/>
          <w:lang w:val="fr-FR"/>
        </w:rPr>
        <w:t xml:space="preserve"> </w:t>
      </w:r>
      <w:proofErr w:type="spellStart"/>
      <w:r w:rsidRPr="00814C24">
        <w:rPr>
          <w:color w:val="000000" w:themeColor="text1"/>
          <w:sz w:val="24"/>
          <w:szCs w:val="24"/>
          <w:lang w:val="fr-FR"/>
        </w:rPr>
        <w:t>țintă</w:t>
      </w:r>
      <w:proofErr w:type="spellEnd"/>
      <w:r w:rsidRPr="00814C24">
        <w:rPr>
          <w:color w:val="000000" w:themeColor="text1"/>
          <w:spacing w:val="36"/>
          <w:sz w:val="24"/>
          <w:szCs w:val="24"/>
          <w:lang w:val="fr-FR"/>
        </w:rPr>
        <w:t xml:space="preserve"> </w:t>
      </w:r>
      <w:r w:rsidRPr="00814C24">
        <w:rPr>
          <w:color w:val="000000" w:themeColor="text1"/>
          <w:sz w:val="24"/>
          <w:szCs w:val="24"/>
          <w:lang w:val="fr-FR"/>
        </w:rPr>
        <w:t>la</w:t>
      </w:r>
      <w:r w:rsidRPr="00814C24">
        <w:rPr>
          <w:color w:val="000000" w:themeColor="text1"/>
          <w:spacing w:val="37"/>
          <w:sz w:val="24"/>
          <w:szCs w:val="24"/>
          <w:lang w:val="fr-FR"/>
        </w:rPr>
        <w:t xml:space="preserve"> </w:t>
      </w:r>
      <w:proofErr w:type="spellStart"/>
      <w:r w:rsidRPr="00814C24">
        <w:rPr>
          <w:color w:val="000000" w:themeColor="text1"/>
          <w:sz w:val="24"/>
          <w:szCs w:val="24"/>
          <w:lang w:val="fr-FR"/>
        </w:rPr>
        <w:t>nivel</w:t>
      </w:r>
      <w:proofErr w:type="spellEnd"/>
      <w:r w:rsidRPr="00814C24">
        <w:rPr>
          <w:color w:val="000000" w:themeColor="text1"/>
          <w:spacing w:val="38"/>
          <w:sz w:val="24"/>
          <w:szCs w:val="24"/>
          <w:lang w:val="fr-FR"/>
        </w:rPr>
        <w:t xml:space="preserve"> </w:t>
      </w:r>
      <w:r w:rsidRPr="00814C24">
        <w:rPr>
          <w:color w:val="000000" w:themeColor="text1"/>
          <w:sz w:val="24"/>
          <w:szCs w:val="24"/>
          <w:lang w:val="fr-FR"/>
        </w:rPr>
        <w:t>de</w:t>
      </w:r>
      <w:r w:rsidRPr="00814C24">
        <w:rPr>
          <w:color w:val="000000" w:themeColor="text1"/>
          <w:spacing w:val="36"/>
          <w:sz w:val="24"/>
          <w:szCs w:val="24"/>
          <w:lang w:val="fr-FR"/>
        </w:rPr>
        <w:t xml:space="preserve"> </w:t>
      </w:r>
      <w:r w:rsidRPr="00814C24">
        <w:rPr>
          <w:color w:val="000000" w:themeColor="text1"/>
          <w:sz w:val="24"/>
          <w:szCs w:val="24"/>
          <w:lang w:val="fr-FR"/>
        </w:rPr>
        <w:t>plot</w:t>
      </w:r>
      <w:r w:rsidRPr="00814C24">
        <w:rPr>
          <w:color w:val="000000" w:themeColor="text1"/>
          <w:spacing w:val="37"/>
          <w:sz w:val="24"/>
          <w:szCs w:val="24"/>
          <w:lang w:val="fr-FR"/>
        </w:rPr>
        <w:t xml:space="preserve"> </w:t>
      </w:r>
      <w:r w:rsidRPr="00814C24">
        <w:rPr>
          <w:color w:val="000000" w:themeColor="text1"/>
          <w:sz w:val="24"/>
          <w:szCs w:val="24"/>
          <w:lang w:val="fr-FR"/>
        </w:rPr>
        <w:t>ce</w:t>
      </w:r>
      <w:r w:rsidRPr="00814C24">
        <w:rPr>
          <w:color w:val="000000" w:themeColor="text1"/>
          <w:spacing w:val="37"/>
          <w:sz w:val="24"/>
          <w:szCs w:val="24"/>
          <w:lang w:val="fr-FR"/>
        </w:rPr>
        <w:t xml:space="preserve"> </w:t>
      </w:r>
      <w:proofErr w:type="spellStart"/>
      <w:r w:rsidRPr="00814C24">
        <w:rPr>
          <w:color w:val="000000" w:themeColor="text1"/>
          <w:sz w:val="24"/>
          <w:szCs w:val="24"/>
          <w:lang w:val="fr-FR"/>
        </w:rPr>
        <w:t>sunt</w:t>
      </w:r>
      <w:proofErr w:type="spellEnd"/>
      <w:r w:rsidRPr="00814C24">
        <w:rPr>
          <w:color w:val="000000" w:themeColor="text1"/>
          <w:spacing w:val="-57"/>
          <w:sz w:val="24"/>
          <w:szCs w:val="24"/>
          <w:lang w:val="fr-FR"/>
        </w:rPr>
        <w:t xml:space="preserve"> </w:t>
      </w:r>
      <w:proofErr w:type="spellStart"/>
      <w:r w:rsidRPr="00814C24">
        <w:rPr>
          <w:color w:val="000000" w:themeColor="text1"/>
          <w:sz w:val="24"/>
          <w:szCs w:val="24"/>
          <w:lang w:val="fr-FR"/>
        </w:rPr>
        <w:t>ulterior</w:t>
      </w:r>
      <w:proofErr w:type="spellEnd"/>
      <w:r w:rsidRPr="00814C24">
        <w:rPr>
          <w:color w:val="000000" w:themeColor="text1"/>
          <w:spacing w:val="-2"/>
          <w:sz w:val="24"/>
          <w:szCs w:val="24"/>
          <w:lang w:val="fr-FR"/>
        </w:rPr>
        <w:t xml:space="preserve"> </w:t>
      </w:r>
      <w:proofErr w:type="spellStart"/>
      <w:r w:rsidRPr="00814C24">
        <w:rPr>
          <w:color w:val="000000" w:themeColor="text1"/>
          <w:sz w:val="24"/>
          <w:szCs w:val="24"/>
          <w:lang w:val="fr-FR"/>
        </w:rPr>
        <w:t>corelate</w:t>
      </w:r>
      <w:proofErr w:type="spellEnd"/>
      <w:r w:rsidRPr="00814C24">
        <w:rPr>
          <w:color w:val="000000" w:themeColor="text1"/>
          <w:sz w:val="24"/>
          <w:szCs w:val="24"/>
          <w:lang w:val="fr-FR"/>
        </w:rPr>
        <w:t xml:space="preserve"> la</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nivel</w:t>
      </w:r>
      <w:proofErr w:type="spellEnd"/>
      <w:r w:rsidRPr="00814C24">
        <w:rPr>
          <w:color w:val="000000" w:themeColor="text1"/>
          <w:spacing w:val="2"/>
          <w:sz w:val="24"/>
          <w:szCs w:val="24"/>
          <w:lang w:val="fr-FR"/>
        </w:rPr>
        <w:t xml:space="preserve"> </w:t>
      </w:r>
      <w:r w:rsidRPr="00814C24">
        <w:rPr>
          <w:color w:val="000000" w:themeColor="text1"/>
          <w:sz w:val="24"/>
          <w:szCs w:val="24"/>
          <w:lang w:val="fr-FR"/>
        </w:rPr>
        <w:t>de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bioregiune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vederea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raportării</w:t>
      </w:r>
      <w:proofErr w:type="spellEnd"/>
      <w:r w:rsidRPr="00814C24">
        <w:rPr>
          <w:color w:val="000000" w:themeColor="text1"/>
          <w:sz w:val="24"/>
          <w:szCs w:val="24"/>
          <w:lang w:val="fr-FR"/>
        </w:rPr>
        <w:t>.</w:t>
      </w:r>
    </w:p>
    <w:p w14:paraId="75C121A8" w14:textId="77777777" w:rsidR="006735BF" w:rsidRPr="00C56257" w:rsidRDefault="006735BF" w:rsidP="00182DE3">
      <w:pPr>
        <w:pStyle w:val="BodyText"/>
        <w:spacing w:before="1"/>
        <w:ind w:left="0" w:right="14"/>
        <w:jc w:val="both"/>
        <w:rPr>
          <w:color w:val="000000" w:themeColor="text1"/>
          <w:sz w:val="24"/>
          <w:szCs w:val="24"/>
          <w:lang w:val="fr-FR"/>
        </w:rPr>
      </w:pPr>
      <w:proofErr w:type="spellStart"/>
      <w:r w:rsidRPr="00814C24">
        <w:rPr>
          <w:color w:val="000000" w:themeColor="text1"/>
          <w:sz w:val="24"/>
          <w:szCs w:val="24"/>
          <w:lang w:val="fr-FR"/>
        </w:rPr>
        <w:t>Informațiile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din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gridurile</w:t>
      </w:r>
      <w:proofErr w:type="spellEnd"/>
      <w:r w:rsidRPr="00814C24">
        <w:rPr>
          <w:color w:val="000000" w:themeColor="text1"/>
          <w:sz w:val="24"/>
          <w:szCs w:val="24"/>
          <w:lang w:val="fr-FR"/>
        </w:rPr>
        <w:t xml:space="preserve"> de 10 x 10 km (</w:t>
      </w:r>
      <w:proofErr w:type="spellStart"/>
      <w:r w:rsidRPr="00814C24">
        <w:rPr>
          <w:color w:val="000000" w:themeColor="text1"/>
          <w:sz w:val="24"/>
          <w:szCs w:val="24"/>
          <w:lang w:val="fr-FR"/>
        </w:rPr>
        <w:t>ploturi</w:t>
      </w:r>
      <w:proofErr w:type="spellEnd"/>
      <w:r w:rsidRPr="00814C24">
        <w:rPr>
          <w:color w:val="000000" w:themeColor="text1"/>
          <w:sz w:val="24"/>
          <w:szCs w:val="24"/>
          <w:lang w:val="fr-FR"/>
        </w:rPr>
        <w:t xml:space="preserve">) la </w:t>
      </w:r>
      <w:proofErr w:type="spellStart"/>
      <w:r w:rsidRPr="00814C24">
        <w:rPr>
          <w:color w:val="000000" w:themeColor="text1"/>
          <w:sz w:val="24"/>
          <w:szCs w:val="24"/>
          <w:lang w:val="fr-FR"/>
        </w:rPr>
        <w:t>nivel</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bioregiune</w:t>
      </w:r>
      <w:proofErr w:type="spellEnd"/>
      <w:r w:rsidRPr="00814C24">
        <w:rPr>
          <w:color w:val="000000" w:themeColor="text1"/>
          <w:sz w:val="24"/>
          <w:szCs w:val="24"/>
          <w:lang w:val="fr-FR"/>
        </w:rPr>
        <w:t xml:space="preserve"> se </w:t>
      </w:r>
      <w:proofErr w:type="spellStart"/>
      <w:r w:rsidRPr="00814C24">
        <w:rPr>
          <w:color w:val="000000" w:themeColor="text1"/>
          <w:sz w:val="24"/>
          <w:szCs w:val="24"/>
          <w:lang w:val="fr-FR"/>
        </w:rPr>
        <w:t>mediază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pentru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fiecare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categorie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dintre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parametrii</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stare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utilizându</w:t>
      </w:r>
      <w:proofErr w:type="spellEnd"/>
      <w:r w:rsidRPr="00814C24">
        <w:rPr>
          <w:color w:val="000000" w:themeColor="text1"/>
          <w:sz w:val="24"/>
          <w:szCs w:val="24"/>
          <w:lang w:val="fr-FR"/>
        </w:rPr>
        <w:t xml:space="preserve">-se o </w:t>
      </w:r>
      <w:proofErr w:type="spellStart"/>
      <w:r w:rsidRPr="00814C24">
        <w:rPr>
          <w:color w:val="000000" w:themeColor="text1"/>
          <w:sz w:val="24"/>
          <w:szCs w:val="24"/>
          <w:lang w:val="fr-FR"/>
        </w:rPr>
        <w:t>medie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ponderată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pentru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asumarea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deciziei</w:t>
      </w:r>
      <w:proofErr w:type="spellEnd"/>
      <w:r w:rsidRPr="00814C24">
        <w:rPr>
          <w:color w:val="000000" w:themeColor="text1"/>
          <w:sz w:val="24"/>
          <w:szCs w:val="24"/>
          <w:lang w:val="fr-FR"/>
        </w:rPr>
        <w:t xml:space="preserve"> finale.</w:t>
      </w:r>
      <w:r w:rsidRPr="00814C24">
        <w:rPr>
          <w:color w:val="000000" w:themeColor="text1"/>
          <w:spacing w:val="-57"/>
          <w:sz w:val="24"/>
          <w:szCs w:val="24"/>
          <w:lang w:val="fr-FR"/>
        </w:rPr>
        <w:t xml:space="preserve"> </w:t>
      </w:r>
      <w:proofErr w:type="spellStart"/>
      <w:r w:rsidRPr="00814C24">
        <w:rPr>
          <w:color w:val="000000" w:themeColor="text1"/>
          <w:sz w:val="24"/>
          <w:szCs w:val="24"/>
          <w:lang w:val="fr-FR"/>
        </w:rPr>
        <w:t>Spre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exemplificare</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compoziția</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specifică</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ceea</w:t>
      </w:r>
      <w:proofErr w:type="spellEnd"/>
      <w:r w:rsidRPr="00814C24">
        <w:rPr>
          <w:color w:val="000000" w:themeColor="text1"/>
          <w:spacing w:val="1"/>
          <w:sz w:val="24"/>
          <w:szCs w:val="24"/>
          <w:lang w:val="fr-FR"/>
        </w:rPr>
        <w:t xml:space="preserve"> </w:t>
      </w:r>
      <w:r w:rsidRPr="00814C24">
        <w:rPr>
          <w:color w:val="000000" w:themeColor="text1"/>
          <w:sz w:val="24"/>
          <w:szCs w:val="24"/>
          <w:lang w:val="fr-FR"/>
        </w:rPr>
        <w:t>ce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reprezintă</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unul</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dintre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parametrii</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esențiali</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pacing w:val="-57"/>
          <w:sz w:val="24"/>
          <w:szCs w:val="24"/>
          <w:lang w:val="fr-FR"/>
        </w:rPr>
        <w:t xml:space="preserve"> </w:t>
      </w:r>
      <w:proofErr w:type="spellStart"/>
      <w:r w:rsidRPr="00814C24">
        <w:rPr>
          <w:color w:val="000000" w:themeColor="text1"/>
          <w:sz w:val="24"/>
          <w:szCs w:val="24"/>
          <w:lang w:val="fr-FR"/>
        </w:rPr>
        <w:t>evaluarea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structurii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habitatelor</w:t>
      </w:r>
      <w:proofErr w:type="spellEnd"/>
      <w:r w:rsidRPr="00814C24">
        <w:rPr>
          <w:color w:val="000000" w:themeColor="text1"/>
          <w:sz w:val="24"/>
          <w:szCs w:val="24"/>
          <w:lang w:val="fr-FR"/>
        </w:rPr>
        <w:t xml:space="preserve"> va </w:t>
      </w:r>
      <w:proofErr w:type="spellStart"/>
      <w:r w:rsidRPr="00814C24">
        <w:rPr>
          <w:color w:val="000000" w:themeColor="text1"/>
          <w:sz w:val="24"/>
          <w:szCs w:val="24"/>
          <w:lang w:val="fr-FR"/>
        </w:rPr>
        <w:t>avea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valori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diferite</w:t>
      </w:r>
      <w:proofErr w:type="spellEnd"/>
      <w:r w:rsidRPr="00814C24">
        <w:rPr>
          <w:color w:val="000000" w:themeColor="text1"/>
          <w:sz w:val="24"/>
          <w:szCs w:val="24"/>
          <w:lang w:val="fr-FR"/>
        </w:rPr>
        <w:t xml:space="preserve"> de la un plot la </w:t>
      </w:r>
      <w:proofErr w:type="spellStart"/>
      <w:r w:rsidRPr="00814C24">
        <w:rPr>
          <w:color w:val="000000" w:themeColor="text1"/>
          <w:sz w:val="24"/>
          <w:szCs w:val="24"/>
          <w:lang w:val="fr-FR"/>
        </w:rPr>
        <w:t>altul</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ceea</w:t>
      </w:r>
      <w:proofErr w:type="spellEnd"/>
      <w:r w:rsidRPr="00814C24">
        <w:rPr>
          <w:color w:val="000000" w:themeColor="text1"/>
          <w:sz w:val="24"/>
          <w:szCs w:val="24"/>
          <w:lang w:val="fr-FR"/>
        </w:rPr>
        <w:t xml:space="preserve"> ce </w:t>
      </w:r>
      <w:proofErr w:type="spellStart"/>
      <w:r w:rsidRPr="00814C24">
        <w:rPr>
          <w:color w:val="000000" w:themeColor="text1"/>
          <w:sz w:val="24"/>
          <w:szCs w:val="24"/>
          <w:lang w:val="fr-FR"/>
        </w:rPr>
        <w:t>impune</w:t>
      </w:r>
      <w:proofErr w:type="spellEnd"/>
      <w:r w:rsidRPr="00814C24">
        <w:rPr>
          <w:color w:val="000000" w:themeColor="text1"/>
          <w:sz w:val="24"/>
          <w:szCs w:val="24"/>
          <w:lang w:val="fr-FR"/>
        </w:rPr>
        <w:t xml:space="preserve"> ca </w:t>
      </w:r>
      <w:proofErr w:type="spellStart"/>
      <w:r w:rsidRPr="00814C24">
        <w:rPr>
          <w:color w:val="000000" w:themeColor="text1"/>
          <w:sz w:val="24"/>
          <w:szCs w:val="24"/>
          <w:lang w:val="fr-FR"/>
        </w:rPr>
        <w:t>din</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punct</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vedere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sistematic</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să</w:t>
      </w:r>
      <w:proofErr w:type="spellEnd"/>
      <w:r w:rsidRPr="00814C24">
        <w:rPr>
          <w:color w:val="000000" w:themeColor="text1"/>
          <w:sz w:val="24"/>
          <w:szCs w:val="24"/>
          <w:lang w:val="fr-FR"/>
        </w:rPr>
        <w:t xml:space="preserve"> fie </w:t>
      </w:r>
      <w:proofErr w:type="spellStart"/>
      <w:r w:rsidRPr="00814C24">
        <w:rPr>
          <w:color w:val="000000" w:themeColor="text1"/>
          <w:sz w:val="24"/>
          <w:szCs w:val="24"/>
          <w:lang w:val="fr-FR"/>
        </w:rPr>
        <w:t>grupate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pe</w:t>
      </w:r>
      <w:proofErr w:type="spellEnd"/>
      <w:r w:rsidRPr="00814C24">
        <w:rPr>
          <w:color w:val="000000" w:themeColor="text1"/>
          <w:sz w:val="24"/>
          <w:szCs w:val="24"/>
          <w:lang w:val="fr-FR"/>
        </w:rPr>
        <w:t xml:space="preserve"> clase de </w:t>
      </w:r>
      <w:proofErr w:type="spellStart"/>
      <w:r w:rsidRPr="00814C24">
        <w:rPr>
          <w:color w:val="000000" w:themeColor="text1"/>
          <w:sz w:val="24"/>
          <w:szCs w:val="24"/>
          <w:lang w:val="fr-FR"/>
        </w:rPr>
        <w:t>bogăție</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specii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diferită</w:t>
      </w:r>
      <w:proofErr w:type="spellEnd"/>
      <w:r w:rsidRPr="00814C24">
        <w:rPr>
          <w:color w:val="000000" w:themeColor="text1"/>
          <w:sz w:val="24"/>
          <w:szCs w:val="24"/>
          <w:lang w:val="fr-FR"/>
        </w:rPr>
        <w:t xml:space="preserve"> (mare, </w:t>
      </w:r>
      <w:proofErr w:type="spellStart"/>
      <w:r w:rsidRPr="00814C24">
        <w:rPr>
          <w:color w:val="000000" w:themeColor="text1"/>
          <w:sz w:val="24"/>
          <w:szCs w:val="24"/>
          <w:lang w:val="fr-FR"/>
        </w:rPr>
        <w:t>medie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mică</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ponderea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fiecărei</w:t>
      </w:r>
      <w:proofErr w:type="spellEnd"/>
      <w:r w:rsidRPr="00814C24">
        <w:rPr>
          <w:color w:val="000000" w:themeColor="text1"/>
          <w:sz w:val="24"/>
          <w:szCs w:val="24"/>
          <w:lang w:val="fr-FR"/>
        </w:rPr>
        <w:t xml:space="preserve"> clase </w:t>
      </w:r>
      <w:proofErr w:type="spellStart"/>
      <w:r w:rsidRPr="00814C24">
        <w:rPr>
          <w:color w:val="000000" w:themeColor="text1"/>
          <w:sz w:val="24"/>
          <w:szCs w:val="24"/>
          <w:lang w:val="fr-FR"/>
        </w:rPr>
        <w:t>fiind</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cea</w:t>
      </w:r>
      <w:proofErr w:type="spellEnd"/>
      <w:r w:rsidRPr="00814C24">
        <w:rPr>
          <w:color w:val="000000" w:themeColor="text1"/>
          <w:sz w:val="24"/>
          <w:szCs w:val="24"/>
          <w:lang w:val="fr-FR"/>
        </w:rPr>
        <w:t xml:space="preserve"> care va duce la </w:t>
      </w:r>
      <w:proofErr w:type="spellStart"/>
      <w:r w:rsidRPr="00814C24">
        <w:rPr>
          <w:color w:val="000000" w:themeColor="text1"/>
          <w:sz w:val="24"/>
          <w:szCs w:val="24"/>
          <w:lang w:val="fr-FR"/>
        </w:rPr>
        <w:t>decizia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specifică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fiecărei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bioregiuni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Astfel</w:t>
      </w:r>
      <w:proofErr w:type="spellEnd"/>
      <w:r w:rsidRPr="00814C24">
        <w:rPr>
          <w:color w:val="000000" w:themeColor="text1"/>
          <w:sz w:val="24"/>
          <w:szCs w:val="24"/>
          <w:lang w:val="fr-FR"/>
        </w:rPr>
        <w:t>, de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exemplu</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dacă</w:t>
      </w:r>
      <w:proofErr w:type="spellEnd"/>
      <w:r w:rsidRPr="00814C24">
        <w:rPr>
          <w:color w:val="000000" w:themeColor="text1"/>
          <w:sz w:val="24"/>
          <w:szCs w:val="24"/>
          <w:lang w:val="fr-FR"/>
        </w:rPr>
        <w:t xml:space="preserve"> la </w:t>
      </w:r>
      <w:proofErr w:type="spellStart"/>
      <w:r w:rsidRPr="00814C24">
        <w:rPr>
          <w:color w:val="000000" w:themeColor="text1"/>
          <w:sz w:val="24"/>
          <w:szCs w:val="24"/>
          <w:lang w:val="fr-FR"/>
        </w:rPr>
        <w:t>habitatul</w:t>
      </w:r>
      <w:proofErr w:type="spellEnd"/>
      <w:r w:rsidRPr="00814C24">
        <w:rPr>
          <w:color w:val="000000" w:themeColor="text1"/>
          <w:sz w:val="24"/>
          <w:szCs w:val="24"/>
          <w:lang w:val="fr-FR"/>
        </w:rPr>
        <w:t xml:space="preserve"> 6110* </w:t>
      </w:r>
      <w:proofErr w:type="spellStart"/>
      <w:r w:rsidRPr="00814C24">
        <w:rPr>
          <w:color w:val="000000" w:themeColor="text1"/>
          <w:sz w:val="24"/>
          <w:szCs w:val="24"/>
          <w:lang w:val="fr-FR"/>
        </w:rPr>
        <w:t>vom</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obține</w:t>
      </w:r>
      <w:proofErr w:type="spellEnd"/>
      <w:r w:rsidRPr="00814C24">
        <w:rPr>
          <w:color w:val="000000" w:themeColor="text1"/>
          <w:sz w:val="24"/>
          <w:szCs w:val="24"/>
          <w:lang w:val="fr-FR"/>
        </w:rPr>
        <w:t xml:space="preserve"> 23 de </w:t>
      </w:r>
      <w:proofErr w:type="spellStart"/>
      <w:r w:rsidRPr="00814C24">
        <w:rPr>
          <w:color w:val="000000" w:themeColor="text1"/>
          <w:sz w:val="24"/>
          <w:szCs w:val="24"/>
          <w:lang w:val="fr-FR"/>
        </w:rPr>
        <w:t>ploturi</w:t>
      </w:r>
      <w:proofErr w:type="spellEnd"/>
      <w:r w:rsidRPr="00814C24">
        <w:rPr>
          <w:color w:val="000000" w:themeColor="text1"/>
          <w:sz w:val="24"/>
          <w:szCs w:val="24"/>
          <w:lang w:val="fr-FR"/>
        </w:rPr>
        <w:t xml:space="preserve"> care se </w:t>
      </w:r>
      <w:proofErr w:type="spellStart"/>
      <w:r w:rsidRPr="00814C24">
        <w:rPr>
          <w:color w:val="000000" w:themeColor="text1"/>
          <w:sz w:val="24"/>
          <w:szCs w:val="24"/>
          <w:lang w:val="fr-FR"/>
        </w:rPr>
        <w:t>încadrează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clasa</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compoziție</w:t>
      </w:r>
      <w:proofErr w:type="spellEnd"/>
      <w:r w:rsidRPr="00814C24">
        <w:rPr>
          <w:color w:val="000000" w:themeColor="text1"/>
          <w:spacing w:val="-57"/>
          <w:sz w:val="24"/>
          <w:szCs w:val="24"/>
          <w:lang w:val="fr-FR"/>
        </w:rPr>
        <w:t xml:space="preserve"> </w:t>
      </w:r>
      <w:proofErr w:type="spellStart"/>
      <w:r w:rsidRPr="00814C24">
        <w:rPr>
          <w:color w:val="000000" w:themeColor="text1"/>
          <w:sz w:val="24"/>
          <w:szCs w:val="24"/>
          <w:lang w:val="fr-FR"/>
        </w:rPr>
        <w:t>specifică</w:t>
      </w:r>
      <w:proofErr w:type="spellEnd"/>
      <w:r w:rsidRPr="00814C24">
        <w:rPr>
          <w:color w:val="000000" w:themeColor="text1"/>
          <w:sz w:val="24"/>
          <w:szCs w:val="24"/>
          <w:lang w:val="fr-FR"/>
        </w:rPr>
        <w:t xml:space="preserve"> mare (12 </w:t>
      </w:r>
      <w:proofErr w:type="spellStart"/>
      <w:r w:rsidRPr="00814C24">
        <w:rPr>
          <w:color w:val="000000" w:themeColor="text1"/>
          <w:sz w:val="24"/>
          <w:szCs w:val="24"/>
          <w:lang w:val="fr-FR"/>
        </w:rPr>
        <w:t>specii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caracteristice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iar</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clasa</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compoziție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medie</w:t>
      </w:r>
      <w:proofErr w:type="spellEnd"/>
      <w:r w:rsidRPr="00814C24">
        <w:rPr>
          <w:color w:val="000000" w:themeColor="text1"/>
          <w:sz w:val="24"/>
          <w:szCs w:val="24"/>
          <w:lang w:val="fr-FR"/>
        </w:rPr>
        <w:t xml:space="preserve"> (7 </w:t>
      </w:r>
      <w:proofErr w:type="spellStart"/>
      <w:r w:rsidRPr="00814C24">
        <w:rPr>
          <w:color w:val="000000" w:themeColor="text1"/>
          <w:sz w:val="24"/>
          <w:szCs w:val="24"/>
          <w:lang w:val="fr-FR"/>
        </w:rPr>
        <w:t>specii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caracteristice</w:t>
      </w:r>
      <w:proofErr w:type="spellEnd"/>
      <w:r w:rsidRPr="00814C24">
        <w:rPr>
          <w:color w:val="000000" w:themeColor="text1"/>
          <w:sz w:val="24"/>
          <w:szCs w:val="24"/>
          <w:lang w:val="fr-FR"/>
        </w:rPr>
        <w:t>)</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vom</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avea</w:t>
      </w:r>
      <w:proofErr w:type="spellEnd"/>
      <w:r w:rsidRPr="00814C24">
        <w:rPr>
          <w:color w:val="000000" w:themeColor="text1"/>
          <w:sz w:val="24"/>
          <w:szCs w:val="24"/>
          <w:lang w:val="fr-FR"/>
        </w:rPr>
        <w:t xml:space="preserve"> 7</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ploturi</w:t>
      </w:r>
      <w:proofErr w:type="spellEnd"/>
      <w:r w:rsidRPr="00814C24">
        <w:rPr>
          <w:color w:val="000000" w:themeColor="text1"/>
          <w:sz w:val="24"/>
          <w:szCs w:val="24"/>
          <w:lang w:val="fr-FR"/>
        </w:rPr>
        <w:t xml:space="preserve"> care se </w:t>
      </w:r>
      <w:proofErr w:type="spellStart"/>
      <w:r w:rsidRPr="00814C24">
        <w:rPr>
          <w:color w:val="000000" w:themeColor="text1"/>
          <w:sz w:val="24"/>
          <w:szCs w:val="24"/>
          <w:lang w:val="fr-FR"/>
        </w:rPr>
        <w:t>încadrează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aceasta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apoi</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clasa</w:t>
      </w:r>
      <w:proofErr w:type="spellEnd"/>
      <w:r w:rsidRPr="00814C24">
        <w:rPr>
          <w:color w:val="000000" w:themeColor="text1"/>
          <w:sz w:val="24"/>
          <w:szCs w:val="24"/>
          <w:lang w:val="fr-FR"/>
        </w:rPr>
        <w:t xml:space="preserve"> de </w:t>
      </w:r>
      <w:proofErr w:type="spellStart"/>
      <w:r w:rsidRPr="00814C24">
        <w:rPr>
          <w:color w:val="000000" w:themeColor="text1"/>
          <w:sz w:val="24"/>
          <w:szCs w:val="24"/>
          <w:lang w:val="fr-FR"/>
        </w:rPr>
        <w:t>compoziție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mică</w:t>
      </w:r>
      <w:proofErr w:type="spellEnd"/>
      <w:r w:rsidRPr="00814C24">
        <w:rPr>
          <w:color w:val="000000" w:themeColor="text1"/>
          <w:sz w:val="24"/>
          <w:szCs w:val="24"/>
          <w:lang w:val="fr-FR"/>
        </w:rPr>
        <w:t xml:space="preserve"> (3 </w:t>
      </w:r>
      <w:proofErr w:type="spellStart"/>
      <w:r w:rsidRPr="00814C24">
        <w:rPr>
          <w:color w:val="000000" w:themeColor="text1"/>
          <w:sz w:val="24"/>
          <w:szCs w:val="24"/>
          <w:lang w:val="fr-FR"/>
        </w:rPr>
        <w:t>specii</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caracteristice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putem</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deduce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că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raportul</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pe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bioregiunea</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țintă</w:t>
      </w:r>
      <w:proofErr w:type="spellEnd"/>
      <w:r w:rsidRPr="00814C24">
        <w:rPr>
          <w:color w:val="000000" w:themeColor="text1"/>
          <w:sz w:val="24"/>
          <w:szCs w:val="24"/>
          <w:lang w:val="fr-FR"/>
        </w:rPr>
        <w:t xml:space="preserve"> este </w:t>
      </w:r>
      <w:proofErr w:type="spellStart"/>
      <w:r w:rsidRPr="00814C24">
        <w:rPr>
          <w:color w:val="000000" w:themeColor="text1"/>
          <w:sz w:val="24"/>
          <w:szCs w:val="24"/>
          <w:lang w:val="fr-FR"/>
        </w:rPr>
        <w:t>considerat</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stare</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favorabilă</w:t>
      </w:r>
      <w:proofErr w:type="spellEnd"/>
      <w:r w:rsidRPr="00814C24">
        <w:rPr>
          <w:color w:val="000000" w:themeColor="text1"/>
          <w:sz w:val="24"/>
          <w:szCs w:val="24"/>
          <w:lang w:val="fr-FR"/>
        </w:rPr>
        <w:t xml:space="preserve"> </w:t>
      </w:r>
      <w:proofErr w:type="spellStart"/>
      <w:r w:rsidRPr="00814C24">
        <w:rPr>
          <w:color w:val="000000" w:themeColor="text1"/>
          <w:sz w:val="24"/>
          <w:szCs w:val="24"/>
          <w:lang w:val="fr-FR"/>
        </w:rPr>
        <w:t>în</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ceea</w:t>
      </w:r>
      <w:proofErr w:type="spellEnd"/>
      <w:r w:rsidRPr="00814C24">
        <w:rPr>
          <w:color w:val="000000" w:themeColor="text1"/>
          <w:spacing w:val="-2"/>
          <w:sz w:val="24"/>
          <w:szCs w:val="24"/>
          <w:lang w:val="fr-FR"/>
        </w:rPr>
        <w:t xml:space="preserve"> </w:t>
      </w:r>
      <w:r w:rsidRPr="00814C24">
        <w:rPr>
          <w:color w:val="000000" w:themeColor="text1"/>
          <w:sz w:val="24"/>
          <w:szCs w:val="24"/>
          <w:lang w:val="fr-FR"/>
        </w:rPr>
        <w:t>ce</w:t>
      </w:r>
      <w:r w:rsidRPr="00814C24">
        <w:rPr>
          <w:color w:val="000000" w:themeColor="text1"/>
          <w:spacing w:val="-1"/>
          <w:sz w:val="24"/>
          <w:szCs w:val="24"/>
          <w:lang w:val="fr-FR"/>
        </w:rPr>
        <w:t xml:space="preserve"> </w:t>
      </w:r>
      <w:proofErr w:type="spellStart"/>
      <w:r w:rsidRPr="00814C24">
        <w:rPr>
          <w:color w:val="000000" w:themeColor="text1"/>
          <w:sz w:val="24"/>
          <w:szCs w:val="24"/>
          <w:lang w:val="fr-FR"/>
        </w:rPr>
        <w:t>privește</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evaluarea</w:t>
      </w:r>
      <w:proofErr w:type="spellEnd"/>
      <w:r w:rsidRPr="00814C24">
        <w:rPr>
          <w:color w:val="000000" w:themeColor="text1"/>
          <w:spacing w:val="-1"/>
          <w:sz w:val="24"/>
          <w:szCs w:val="24"/>
          <w:lang w:val="fr-FR"/>
        </w:rPr>
        <w:t xml:space="preserve"> </w:t>
      </w:r>
      <w:proofErr w:type="spellStart"/>
      <w:r w:rsidRPr="00814C24">
        <w:rPr>
          <w:color w:val="000000" w:themeColor="text1"/>
          <w:sz w:val="24"/>
          <w:szCs w:val="24"/>
          <w:lang w:val="fr-FR"/>
        </w:rPr>
        <w:t>structurii</w:t>
      </w:r>
      <w:proofErr w:type="spellEnd"/>
      <w:r w:rsidRPr="00814C24">
        <w:rPr>
          <w:color w:val="000000" w:themeColor="text1"/>
          <w:sz w:val="24"/>
          <w:szCs w:val="24"/>
          <w:lang w:val="fr-FR"/>
        </w:rPr>
        <w:t>.</w:t>
      </w:r>
    </w:p>
    <w:p w14:paraId="0D35108A" w14:textId="77777777" w:rsidR="006735BF" w:rsidRPr="00C56257" w:rsidRDefault="006735BF" w:rsidP="00182DE3">
      <w:pPr>
        <w:pStyle w:val="BodyText"/>
        <w:spacing w:before="1"/>
        <w:ind w:left="0" w:right="14"/>
        <w:jc w:val="both"/>
        <w:rPr>
          <w:color w:val="000000" w:themeColor="text1"/>
          <w:sz w:val="24"/>
          <w:szCs w:val="24"/>
          <w:lang w:val="fr-FR"/>
        </w:rPr>
      </w:pPr>
      <w:r w:rsidRPr="00C56257">
        <w:rPr>
          <w:color w:val="000000" w:themeColor="text1"/>
          <w:sz w:val="24"/>
          <w:szCs w:val="24"/>
          <w:lang w:val="fr-FR"/>
        </w:rPr>
        <w:t>Al</w:t>
      </w:r>
      <w:r w:rsidRPr="00C56257">
        <w:rPr>
          <w:color w:val="000000" w:themeColor="text1"/>
          <w:spacing w:val="31"/>
          <w:sz w:val="24"/>
          <w:szCs w:val="24"/>
          <w:lang w:val="fr-FR"/>
        </w:rPr>
        <w:t xml:space="preserve"> </w:t>
      </w:r>
      <w:proofErr w:type="spellStart"/>
      <w:r w:rsidRPr="00C56257">
        <w:rPr>
          <w:color w:val="000000" w:themeColor="text1"/>
          <w:sz w:val="24"/>
          <w:szCs w:val="24"/>
          <w:lang w:val="fr-FR"/>
        </w:rPr>
        <w:t>treilea</w:t>
      </w:r>
      <w:proofErr w:type="spellEnd"/>
      <w:r w:rsidRPr="00C56257">
        <w:rPr>
          <w:color w:val="000000" w:themeColor="text1"/>
          <w:spacing w:val="30"/>
          <w:sz w:val="24"/>
          <w:szCs w:val="24"/>
          <w:lang w:val="fr-FR"/>
        </w:rPr>
        <w:t xml:space="preserve"> </w:t>
      </w:r>
      <w:proofErr w:type="spellStart"/>
      <w:r w:rsidRPr="00C56257">
        <w:rPr>
          <w:color w:val="000000" w:themeColor="text1"/>
          <w:sz w:val="24"/>
          <w:szCs w:val="24"/>
          <w:lang w:val="fr-FR"/>
        </w:rPr>
        <w:t>nivel</w:t>
      </w:r>
      <w:proofErr w:type="spellEnd"/>
      <w:r w:rsidRPr="00C56257">
        <w:rPr>
          <w:color w:val="000000" w:themeColor="text1"/>
          <w:spacing w:val="32"/>
          <w:sz w:val="24"/>
          <w:szCs w:val="24"/>
          <w:lang w:val="fr-FR"/>
        </w:rPr>
        <w:t xml:space="preserve"> </w:t>
      </w:r>
      <w:r w:rsidRPr="00C56257">
        <w:rPr>
          <w:color w:val="000000" w:themeColor="text1"/>
          <w:sz w:val="24"/>
          <w:szCs w:val="24"/>
          <w:lang w:val="fr-FR"/>
        </w:rPr>
        <w:t>de</w:t>
      </w:r>
      <w:r w:rsidRPr="00C56257">
        <w:rPr>
          <w:color w:val="000000" w:themeColor="text1"/>
          <w:spacing w:val="30"/>
          <w:sz w:val="24"/>
          <w:szCs w:val="24"/>
          <w:lang w:val="fr-FR"/>
        </w:rPr>
        <w:t xml:space="preserve"> </w:t>
      </w:r>
      <w:proofErr w:type="spellStart"/>
      <w:r w:rsidRPr="00C56257">
        <w:rPr>
          <w:color w:val="000000" w:themeColor="text1"/>
          <w:sz w:val="24"/>
          <w:szCs w:val="24"/>
          <w:lang w:val="fr-FR"/>
        </w:rPr>
        <w:t>agregare</w:t>
      </w:r>
      <w:proofErr w:type="spellEnd"/>
      <w:r w:rsidRPr="00C56257">
        <w:rPr>
          <w:color w:val="000000" w:themeColor="text1"/>
          <w:spacing w:val="30"/>
          <w:sz w:val="24"/>
          <w:szCs w:val="24"/>
          <w:lang w:val="fr-FR"/>
        </w:rPr>
        <w:t xml:space="preserve"> </w:t>
      </w:r>
      <w:r w:rsidRPr="00C56257">
        <w:rPr>
          <w:color w:val="000000" w:themeColor="text1"/>
          <w:sz w:val="24"/>
          <w:szCs w:val="24"/>
          <w:lang w:val="fr-FR"/>
        </w:rPr>
        <w:t>este</w:t>
      </w:r>
      <w:r w:rsidRPr="00C56257">
        <w:rPr>
          <w:color w:val="000000" w:themeColor="text1"/>
          <w:spacing w:val="31"/>
          <w:sz w:val="24"/>
          <w:szCs w:val="24"/>
          <w:lang w:val="fr-FR"/>
        </w:rPr>
        <w:t xml:space="preserve"> </w:t>
      </w:r>
      <w:r w:rsidRPr="00C56257">
        <w:rPr>
          <w:color w:val="000000" w:themeColor="text1"/>
          <w:sz w:val="24"/>
          <w:szCs w:val="24"/>
          <w:lang w:val="fr-FR"/>
        </w:rPr>
        <w:t>al</w:t>
      </w:r>
      <w:r w:rsidRPr="00C56257">
        <w:rPr>
          <w:color w:val="000000" w:themeColor="text1"/>
          <w:spacing w:val="32"/>
          <w:sz w:val="24"/>
          <w:szCs w:val="24"/>
          <w:lang w:val="fr-FR"/>
        </w:rPr>
        <w:t xml:space="preserve"> </w:t>
      </w:r>
      <w:proofErr w:type="spellStart"/>
      <w:r w:rsidRPr="00C56257">
        <w:rPr>
          <w:color w:val="000000" w:themeColor="text1"/>
          <w:sz w:val="24"/>
          <w:szCs w:val="24"/>
          <w:lang w:val="fr-FR"/>
        </w:rPr>
        <w:t>atributelor</w:t>
      </w:r>
      <w:proofErr w:type="spellEnd"/>
      <w:r w:rsidRPr="00C56257">
        <w:rPr>
          <w:color w:val="000000" w:themeColor="text1"/>
          <w:spacing w:val="31"/>
          <w:sz w:val="24"/>
          <w:szCs w:val="24"/>
          <w:lang w:val="fr-FR"/>
        </w:rPr>
        <w:t xml:space="preserve"> </w:t>
      </w:r>
      <w:r w:rsidRPr="00C56257">
        <w:rPr>
          <w:color w:val="000000" w:themeColor="text1"/>
          <w:sz w:val="24"/>
          <w:szCs w:val="24"/>
          <w:lang w:val="fr-FR"/>
        </w:rPr>
        <w:t>la</w:t>
      </w:r>
      <w:r w:rsidRPr="00C56257">
        <w:rPr>
          <w:color w:val="000000" w:themeColor="text1"/>
          <w:spacing w:val="34"/>
          <w:sz w:val="24"/>
          <w:szCs w:val="24"/>
          <w:lang w:val="fr-FR"/>
        </w:rPr>
        <w:t xml:space="preserve"> </w:t>
      </w:r>
      <w:proofErr w:type="spellStart"/>
      <w:r w:rsidRPr="00C56257">
        <w:rPr>
          <w:color w:val="000000" w:themeColor="text1"/>
          <w:sz w:val="24"/>
          <w:szCs w:val="24"/>
          <w:lang w:val="fr-FR"/>
        </w:rPr>
        <w:t>nivel</w:t>
      </w:r>
      <w:proofErr w:type="spellEnd"/>
      <w:r w:rsidRPr="00C56257">
        <w:rPr>
          <w:color w:val="000000" w:themeColor="text1"/>
          <w:spacing w:val="31"/>
          <w:sz w:val="24"/>
          <w:szCs w:val="24"/>
          <w:lang w:val="fr-FR"/>
        </w:rPr>
        <w:t xml:space="preserve"> </w:t>
      </w:r>
      <w:proofErr w:type="spellStart"/>
      <w:r w:rsidRPr="00C56257">
        <w:rPr>
          <w:color w:val="000000" w:themeColor="text1"/>
          <w:sz w:val="24"/>
          <w:szCs w:val="24"/>
          <w:lang w:val="fr-FR"/>
        </w:rPr>
        <w:t>național</w:t>
      </w:r>
      <w:proofErr w:type="spellEnd"/>
      <w:r w:rsidRPr="00C56257">
        <w:rPr>
          <w:color w:val="000000" w:themeColor="text1"/>
          <w:spacing w:val="32"/>
          <w:sz w:val="24"/>
          <w:szCs w:val="24"/>
          <w:lang w:val="fr-FR"/>
        </w:rPr>
        <w:t xml:space="preserve"> </w:t>
      </w:r>
      <w:proofErr w:type="spellStart"/>
      <w:r w:rsidRPr="00C56257">
        <w:rPr>
          <w:color w:val="000000" w:themeColor="text1"/>
          <w:sz w:val="24"/>
          <w:szCs w:val="24"/>
          <w:lang w:val="fr-FR"/>
        </w:rPr>
        <w:t>rezultate</w:t>
      </w:r>
      <w:proofErr w:type="spellEnd"/>
      <w:r w:rsidRPr="00C56257">
        <w:rPr>
          <w:color w:val="000000" w:themeColor="text1"/>
          <w:spacing w:val="28"/>
          <w:sz w:val="24"/>
          <w:szCs w:val="24"/>
          <w:lang w:val="fr-FR"/>
        </w:rPr>
        <w:t xml:space="preserve"> </w:t>
      </w:r>
      <w:proofErr w:type="spellStart"/>
      <w:r w:rsidRPr="00C56257">
        <w:rPr>
          <w:color w:val="000000" w:themeColor="text1"/>
          <w:sz w:val="24"/>
          <w:szCs w:val="24"/>
          <w:lang w:val="fr-FR"/>
        </w:rPr>
        <w:t>din</w:t>
      </w:r>
      <w:proofErr w:type="spellEnd"/>
      <w:r w:rsidRPr="00C56257">
        <w:rPr>
          <w:color w:val="000000" w:themeColor="text1"/>
          <w:spacing w:val="32"/>
          <w:sz w:val="24"/>
          <w:szCs w:val="24"/>
          <w:lang w:val="fr-FR"/>
        </w:rPr>
        <w:t xml:space="preserve"> </w:t>
      </w:r>
      <w:proofErr w:type="spellStart"/>
      <w:r w:rsidRPr="00C56257">
        <w:rPr>
          <w:color w:val="000000" w:themeColor="text1"/>
          <w:sz w:val="24"/>
          <w:szCs w:val="24"/>
          <w:lang w:val="fr-FR"/>
        </w:rPr>
        <w:t>agregarea</w:t>
      </w:r>
      <w:proofErr w:type="spellEnd"/>
      <w:r w:rsidRPr="00C56257">
        <w:rPr>
          <w:color w:val="000000" w:themeColor="text1"/>
          <w:spacing w:val="30"/>
          <w:sz w:val="24"/>
          <w:szCs w:val="24"/>
          <w:lang w:val="fr-FR"/>
        </w:rPr>
        <w:t xml:space="preserve"> </w:t>
      </w:r>
      <w:proofErr w:type="spellStart"/>
      <w:r w:rsidRPr="00C56257">
        <w:rPr>
          <w:color w:val="000000" w:themeColor="text1"/>
          <w:sz w:val="24"/>
          <w:szCs w:val="24"/>
          <w:lang w:val="fr-FR"/>
        </w:rPr>
        <w:t>datelor</w:t>
      </w:r>
      <w:proofErr w:type="spellEnd"/>
      <w:r w:rsidRPr="00C56257">
        <w:rPr>
          <w:color w:val="000000" w:themeColor="text1"/>
          <w:spacing w:val="31"/>
          <w:sz w:val="24"/>
          <w:szCs w:val="24"/>
          <w:lang w:val="fr-FR"/>
        </w:rPr>
        <w:t xml:space="preserve"> </w:t>
      </w:r>
      <w:r w:rsidRPr="00C56257">
        <w:rPr>
          <w:color w:val="000000" w:themeColor="text1"/>
          <w:sz w:val="24"/>
          <w:szCs w:val="24"/>
          <w:lang w:val="fr-FR"/>
        </w:rPr>
        <w:t>la</w:t>
      </w:r>
      <w:r w:rsidRPr="00C56257">
        <w:rPr>
          <w:color w:val="000000" w:themeColor="text1"/>
          <w:spacing w:val="-58"/>
          <w:sz w:val="24"/>
          <w:szCs w:val="24"/>
          <w:lang w:val="fr-FR"/>
        </w:rPr>
        <w:t xml:space="preserve"> </w:t>
      </w:r>
      <w:proofErr w:type="spellStart"/>
      <w:r w:rsidRPr="00C56257">
        <w:rPr>
          <w:color w:val="000000" w:themeColor="text1"/>
          <w:sz w:val="24"/>
          <w:szCs w:val="24"/>
          <w:lang w:val="fr-FR"/>
        </w:rPr>
        <w:t>nivel</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bioregiune</w:t>
      </w:r>
      <w:proofErr w:type="spellEnd"/>
      <w:r w:rsidRPr="00C56257">
        <w:rPr>
          <w:color w:val="000000" w:themeColor="text1"/>
          <w:sz w:val="24"/>
          <w:szCs w:val="24"/>
          <w:lang w:val="fr-FR"/>
        </w:rPr>
        <w:t>.</w:t>
      </w:r>
    </w:p>
    <w:p w14:paraId="47C834E8" w14:textId="77777777" w:rsidR="006735BF" w:rsidRPr="00C56257" w:rsidRDefault="006735BF" w:rsidP="00182DE3">
      <w:pPr>
        <w:pStyle w:val="BodyText"/>
        <w:ind w:left="0" w:right="14"/>
        <w:jc w:val="both"/>
        <w:rPr>
          <w:color w:val="000000" w:themeColor="text1"/>
          <w:sz w:val="24"/>
          <w:szCs w:val="24"/>
          <w:lang w:val="fr-FR"/>
        </w:rPr>
      </w:pPr>
    </w:p>
    <w:p w14:paraId="66A279A7" w14:textId="77777777" w:rsidR="006735BF" w:rsidRPr="00D54D46" w:rsidRDefault="001842B9" w:rsidP="00182DE3">
      <w:pPr>
        <w:pStyle w:val="BodyText"/>
        <w:ind w:left="0" w:right="14"/>
        <w:jc w:val="both"/>
        <w:rPr>
          <w:b/>
          <w:color w:val="000000" w:themeColor="text1"/>
          <w:sz w:val="24"/>
          <w:szCs w:val="24"/>
          <w:lang w:val="fr-FR"/>
        </w:rPr>
      </w:pPr>
      <w:proofErr w:type="spellStart"/>
      <w:r w:rsidRPr="00D54D46">
        <w:rPr>
          <w:b/>
          <w:color w:val="000000" w:themeColor="text1"/>
          <w:sz w:val="24"/>
          <w:szCs w:val="24"/>
          <w:lang w:val="fr-FR"/>
        </w:rPr>
        <w:t>Planul</w:t>
      </w:r>
      <w:proofErr w:type="spellEnd"/>
      <w:r w:rsidRPr="00D54D46">
        <w:rPr>
          <w:b/>
          <w:color w:val="000000" w:themeColor="text1"/>
          <w:spacing w:val="-5"/>
          <w:sz w:val="24"/>
          <w:szCs w:val="24"/>
          <w:lang w:val="fr-FR"/>
        </w:rPr>
        <w:t xml:space="preserve"> </w:t>
      </w:r>
      <w:r w:rsidRPr="00D54D46">
        <w:rPr>
          <w:b/>
          <w:color w:val="000000" w:themeColor="text1"/>
          <w:sz w:val="24"/>
          <w:szCs w:val="24"/>
          <w:lang w:val="fr-FR"/>
        </w:rPr>
        <w:t>de</w:t>
      </w:r>
      <w:r w:rsidRPr="00D54D46">
        <w:rPr>
          <w:b/>
          <w:color w:val="000000" w:themeColor="text1"/>
          <w:spacing w:val="-3"/>
          <w:sz w:val="24"/>
          <w:szCs w:val="24"/>
          <w:lang w:val="fr-FR"/>
        </w:rPr>
        <w:t xml:space="preserve"> </w:t>
      </w:r>
      <w:proofErr w:type="spellStart"/>
      <w:r w:rsidRPr="00D54D46">
        <w:rPr>
          <w:b/>
          <w:color w:val="000000" w:themeColor="text1"/>
          <w:sz w:val="24"/>
          <w:szCs w:val="24"/>
          <w:lang w:val="fr-FR"/>
        </w:rPr>
        <w:t>monitorizare</w:t>
      </w:r>
      <w:proofErr w:type="spellEnd"/>
      <w:r w:rsidRPr="00D54D46">
        <w:rPr>
          <w:b/>
          <w:color w:val="000000" w:themeColor="text1"/>
          <w:spacing w:val="-3"/>
          <w:sz w:val="24"/>
          <w:szCs w:val="24"/>
          <w:lang w:val="fr-FR"/>
        </w:rPr>
        <w:t xml:space="preserve"> </w:t>
      </w:r>
      <w:r w:rsidRPr="00D54D46">
        <w:rPr>
          <w:b/>
          <w:color w:val="000000" w:themeColor="text1"/>
          <w:sz w:val="24"/>
          <w:szCs w:val="24"/>
          <w:lang w:val="fr-FR"/>
        </w:rPr>
        <w:t>a</w:t>
      </w:r>
      <w:r w:rsidRPr="00D54D46">
        <w:rPr>
          <w:b/>
          <w:color w:val="000000" w:themeColor="text1"/>
          <w:spacing w:val="-2"/>
          <w:sz w:val="24"/>
          <w:szCs w:val="24"/>
          <w:lang w:val="fr-FR"/>
        </w:rPr>
        <w:t xml:space="preserve"> </w:t>
      </w:r>
      <w:proofErr w:type="spellStart"/>
      <w:r w:rsidRPr="00D54D46">
        <w:rPr>
          <w:b/>
          <w:color w:val="000000" w:themeColor="text1"/>
          <w:sz w:val="24"/>
          <w:szCs w:val="24"/>
          <w:lang w:val="fr-FR"/>
        </w:rPr>
        <w:t>habitatelor</w:t>
      </w:r>
      <w:proofErr w:type="spellEnd"/>
      <w:r w:rsidRPr="00D54D46">
        <w:rPr>
          <w:b/>
          <w:color w:val="000000" w:themeColor="text1"/>
          <w:sz w:val="24"/>
          <w:szCs w:val="24"/>
          <w:lang w:val="fr-FR"/>
        </w:rPr>
        <w:t xml:space="preserve"> de </w:t>
      </w:r>
      <w:proofErr w:type="spellStart"/>
      <w:r w:rsidRPr="00D54D46">
        <w:rPr>
          <w:b/>
          <w:color w:val="000000" w:themeColor="text1"/>
          <w:sz w:val="24"/>
          <w:szCs w:val="24"/>
          <w:lang w:val="fr-FR"/>
        </w:rPr>
        <w:t>pajiști</w:t>
      </w:r>
      <w:proofErr w:type="spellEnd"/>
      <w:r w:rsidR="00D54D46" w:rsidRPr="00D54D46">
        <w:rPr>
          <w:b/>
          <w:color w:val="000000" w:themeColor="text1"/>
          <w:sz w:val="24"/>
          <w:szCs w:val="24"/>
          <w:lang w:val="fr-FR"/>
        </w:rPr>
        <w:t xml:space="preserve"> </w:t>
      </w:r>
      <w:r w:rsidR="006735BF" w:rsidRPr="00D54D46">
        <w:rPr>
          <w:b/>
          <w:color w:val="000000" w:themeColor="text1"/>
          <w:sz w:val="24"/>
          <w:szCs w:val="24"/>
          <w:lang w:val="fr-FR"/>
        </w:rPr>
        <w:t xml:space="preserve">este parte a </w:t>
      </w:r>
      <w:proofErr w:type="spellStart"/>
      <w:r w:rsidR="006735BF" w:rsidRPr="00D54D46">
        <w:rPr>
          <w:b/>
          <w:color w:val="000000" w:themeColor="text1"/>
          <w:sz w:val="24"/>
          <w:szCs w:val="24"/>
          <w:lang w:val="fr-FR"/>
        </w:rPr>
        <w:t>metodologiei</w:t>
      </w:r>
      <w:proofErr w:type="spellEnd"/>
      <w:r w:rsidR="006735BF" w:rsidRPr="00D54D46">
        <w:rPr>
          <w:b/>
          <w:color w:val="000000" w:themeColor="text1"/>
          <w:sz w:val="24"/>
          <w:szCs w:val="24"/>
          <w:lang w:val="fr-FR"/>
        </w:rPr>
        <w:t xml:space="preserve"> de </w:t>
      </w:r>
      <w:proofErr w:type="spellStart"/>
      <w:r w:rsidR="006735BF" w:rsidRPr="00D54D46">
        <w:rPr>
          <w:b/>
          <w:color w:val="000000" w:themeColor="text1"/>
          <w:sz w:val="24"/>
          <w:szCs w:val="24"/>
          <w:lang w:val="fr-FR"/>
        </w:rPr>
        <w:t>monitorizare</w:t>
      </w:r>
      <w:proofErr w:type="spellEnd"/>
      <w:r w:rsidR="006735BF" w:rsidRPr="00D54D46">
        <w:rPr>
          <w:b/>
          <w:color w:val="000000" w:themeColor="text1"/>
          <w:sz w:val="24"/>
          <w:szCs w:val="24"/>
          <w:lang w:val="fr-FR"/>
        </w:rPr>
        <w:t xml:space="preserve"> </w:t>
      </w:r>
      <w:proofErr w:type="spellStart"/>
      <w:r w:rsidR="006735BF" w:rsidRPr="00D54D46">
        <w:rPr>
          <w:b/>
          <w:color w:val="000000" w:themeColor="text1"/>
          <w:sz w:val="24"/>
          <w:szCs w:val="24"/>
          <w:lang w:val="fr-FR"/>
        </w:rPr>
        <w:t>și</w:t>
      </w:r>
      <w:proofErr w:type="spellEnd"/>
      <w:r w:rsidR="006735BF" w:rsidRPr="00D54D46">
        <w:rPr>
          <w:b/>
          <w:color w:val="000000" w:themeColor="text1"/>
          <w:sz w:val="24"/>
          <w:szCs w:val="24"/>
          <w:lang w:val="fr-FR"/>
        </w:rPr>
        <w:t xml:space="preserve"> </w:t>
      </w:r>
      <w:proofErr w:type="spellStart"/>
      <w:r w:rsidR="006735BF" w:rsidRPr="00D54D46">
        <w:rPr>
          <w:b/>
          <w:color w:val="000000" w:themeColor="text1"/>
          <w:sz w:val="24"/>
          <w:szCs w:val="24"/>
          <w:lang w:val="fr-FR"/>
        </w:rPr>
        <w:t>sunt</w:t>
      </w:r>
      <w:proofErr w:type="spellEnd"/>
      <w:r w:rsidR="006735BF" w:rsidRPr="00D54D46">
        <w:rPr>
          <w:b/>
          <w:color w:val="000000" w:themeColor="text1"/>
          <w:spacing w:val="1"/>
          <w:sz w:val="24"/>
          <w:szCs w:val="24"/>
          <w:lang w:val="fr-FR"/>
        </w:rPr>
        <w:t xml:space="preserve"> </w:t>
      </w:r>
      <w:r w:rsidR="006735BF" w:rsidRPr="00D54D46">
        <w:rPr>
          <w:b/>
          <w:color w:val="000000" w:themeColor="text1"/>
          <w:sz w:val="24"/>
          <w:szCs w:val="24"/>
          <w:lang w:val="fr-FR"/>
        </w:rPr>
        <w:t xml:space="preserve">redate </w:t>
      </w:r>
      <w:proofErr w:type="spellStart"/>
      <w:r w:rsidR="006735BF" w:rsidRPr="00D54D46">
        <w:rPr>
          <w:b/>
          <w:color w:val="000000" w:themeColor="text1"/>
          <w:sz w:val="24"/>
          <w:szCs w:val="24"/>
          <w:lang w:val="fr-FR"/>
        </w:rPr>
        <w:t>următoarele</w:t>
      </w:r>
      <w:proofErr w:type="spellEnd"/>
      <w:r w:rsidR="006735BF" w:rsidRPr="00D54D46">
        <w:rPr>
          <w:b/>
          <w:color w:val="000000" w:themeColor="text1"/>
          <w:sz w:val="24"/>
          <w:szCs w:val="24"/>
          <w:lang w:val="fr-FR"/>
        </w:rPr>
        <w:t xml:space="preserve"> </w:t>
      </w:r>
      <w:proofErr w:type="spellStart"/>
      <w:r w:rsidR="006735BF" w:rsidRPr="00D54D46">
        <w:rPr>
          <w:b/>
          <w:color w:val="000000" w:themeColor="text1"/>
          <w:sz w:val="24"/>
          <w:szCs w:val="24"/>
          <w:lang w:val="fr-FR"/>
        </w:rPr>
        <w:t>elemente</w:t>
      </w:r>
      <w:proofErr w:type="spellEnd"/>
      <w:r w:rsidR="006735BF" w:rsidRPr="00D54D46">
        <w:rPr>
          <w:b/>
          <w:color w:val="000000" w:themeColor="text1"/>
          <w:sz w:val="24"/>
          <w:szCs w:val="24"/>
          <w:lang w:val="fr-FR"/>
        </w:rPr>
        <w:t xml:space="preserve">: </w:t>
      </w:r>
      <w:proofErr w:type="spellStart"/>
      <w:r w:rsidR="006735BF" w:rsidRPr="00D54D46">
        <w:rPr>
          <w:b/>
          <w:color w:val="000000" w:themeColor="text1"/>
          <w:sz w:val="24"/>
          <w:szCs w:val="24"/>
          <w:lang w:val="fr-FR"/>
        </w:rPr>
        <w:t>codul</w:t>
      </w:r>
      <w:proofErr w:type="spellEnd"/>
      <w:r w:rsidR="006735BF" w:rsidRPr="00D54D46">
        <w:rPr>
          <w:b/>
          <w:color w:val="000000" w:themeColor="text1"/>
          <w:sz w:val="24"/>
          <w:szCs w:val="24"/>
          <w:lang w:val="fr-FR"/>
        </w:rPr>
        <w:t xml:space="preserve"> Natura 2000 </w:t>
      </w:r>
      <w:proofErr w:type="spellStart"/>
      <w:r w:rsidR="006735BF" w:rsidRPr="00D54D46">
        <w:rPr>
          <w:b/>
          <w:color w:val="000000" w:themeColor="text1"/>
          <w:sz w:val="24"/>
          <w:szCs w:val="24"/>
          <w:lang w:val="fr-FR"/>
        </w:rPr>
        <w:t>și</w:t>
      </w:r>
      <w:proofErr w:type="spellEnd"/>
      <w:r w:rsidR="006735BF" w:rsidRPr="00D54D46">
        <w:rPr>
          <w:b/>
          <w:color w:val="000000" w:themeColor="text1"/>
          <w:sz w:val="24"/>
          <w:szCs w:val="24"/>
          <w:lang w:val="fr-FR"/>
        </w:rPr>
        <w:t xml:space="preserve"> </w:t>
      </w:r>
      <w:proofErr w:type="spellStart"/>
      <w:r w:rsidR="006735BF" w:rsidRPr="00D54D46">
        <w:rPr>
          <w:b/>
          <w:color w:val="000000" w:themeColor="text1"/>
          <w:sz w:val="24"/>
          <w:szCs w:val="24"/>
          <w:lang w:val="fr-FR"/>
        </w:rPr>
        <w:t>denumirea</w:t>
      </w:r>
      <w:proofErr w:type="spellEnd"/>
      <w:r w:rsidR="006735BF" w:rsidRPr="00D54D46">
        <w:rPr>
          <w:b/>
          <w:color w:val="000000" w:themeColor="text1"/>
          <w:sz w:val="24"/>
          <w:szCs w:val="24"/>
          <w:lang w:val="fr-FR"/>
        </w:rPr>
        <w:t xml:space="preserve"> </w:t>
      </w:r>
      <w:proofErr w:type="spellStart"/>
      <w:r w:rsidR="006735BF" w:rsidRPr="00D54D46">
        <w:rPr>
          <w:b/>
          <w:color w:val="000000" w:themeColor="text1"/>
          <w:sz w:val="24"/>
          <w:szCs w:val="24"/>
          <w:lang w:val="fr-FR"/>
        </w:rPr>
        <w:t>habitatului</w:t>
      </w:r>
      <w:proofErr w:type="spellEnd"/>
      <w:r w:rsidR="006735BF" w:rsidRPr="00D54D46">
        <w:rPr>
          <w:b/>
          <w:color w:val="000000" w:themeColor="text1"/>
          <w:sz w:val="24"/>
          <w:szCs w:val="24"/>
          <w:lang w:val="fr-FR"/>
        </w:rPr>
        <w:t xml:space="preserve">, </w:t>
      </w:r>
      <w:proofErr w:type="spellStart"/>
      <w:r w:rsidR="006735BF" w:rsidRPr="00D54D46">
        <w:rPr>
          <w:b/>
          <w:color w:val="000000" w:themeColor="text1"/>
          <w:sz w:val="24"/>
          <w:szCs w:val="24"/>
          <w:lang w:val="fr-FR"/>
        </w:rPr>
        <w:t>perioadele</w:t>
      </w:r>
      <w:proofErr w:type="spellEnd"/>
      <w:r w:rsidR="006735BF" w:rsidRPr="00D54D46">
        <w:rPr>
          <w:b/>
          <w:color w:val="000000" w:themeColor="text1"/>
          <w:sz w:val="24"/>
          <w:szCs w:val="24"/>
          <w:lang w:val="fr-FR"/>
        </w:rPr>
        <w:t xml:space="preserve"> optime de</w:t>
      </w:r>
      <w:r w:rsidR="006735BF" w:rsidRPr="00D54D46">
        <w:rPr>
          <w:b/>
          <w:color w:val="000000" w:themeColor="text1"/>
          <w:spacing w:val="1"/>
          <w:sz w:val="24"/>
          <w:szCs w:val="24"/>
          <w:lang w:val="fr-FR"/>
        </w:rPr>
        <w:t xml:space="preserve"> </w:t>
      </w:r>
      <w:proofErr w:type="spellStart"/>
      <w:r w:rsidR="006735BF" w:rsidRPr="00D54D46">
        <w:rPr>
          <w:b/>
          <w:color w:val="000000" w:themeColor="text1"/>
          <w:sz w:val="24"/>
          <w:szCs w:val="24"/>
          <w:lang w:val="fr-FR"/>
        </w:rPr>
        <w:t>monitorizare</w:t>
      </w:r>
      <w:proofErr w:type="spellEnd"/>
      <w:r w:rsidR="006735BF" w:rsidRPr="00D54D46">
        <w:rPr>
          <w:b/>
          <w:color w:val="000000" w:themeColor="text1"/>
          <w:sz w:val="24"/>
          <w:szCs w:val="24"/>
          <w:lang w:val="fr-FR"/>
        </w:rPr>
        <w:t>,</w:t>
      </w:r>
      <w:r w:rsidR="006735BF" w:rsidRPr="00D54D46">
        <w:rPr>
          <w:b/>
          <w:color w:val="000000" w:themeColor="text1"/>
          <w:spacing w:val="-1"/>
          <w:sz w:val="24"/>
          <w:szCs w:val="24"/>
          <w:lang w:val="fr-FR"/>
        </w:rPr>
        <w:t xml:space="preserve"> </w:t>
      </w:r>
      <w:proofErr w:type="spellStart"/>
      <w:r w:rsidR="006735BF" w:rsidRPr="00D54D46">
        <w:rPr>
          <w:b/>
          <w:color w:val="000000" w:themeColor="text1"/>
          <w:sz w:val="24"/>
          <w:szCs w:val="24"/>
          <w:lang w:val="fr-FR"/>
        </w:rPr>
        <w:t>metoda</w:t>
      </w:r>
      <w:proofErr w:type="spellEnd"/>
      <w:r w:rsidR="006735BF" w:rsidRPr="00D54D46">
        <w:rPr>
          <w:b/>
          <w:color w:val="000000" w:themeColor="text1"/>
          <w:spacing w:val="-1"/>
          <w:sz w:val="24"/>
          <w:szCs w:val="24"/>
          <w:lang w:val="fr-FR"/>
        </w:rPr>
        <w:t xml:space="preserve"> </w:t>
      </w:r>
      <w:proofErr w:type="spellStart"/>
      <w:r w:rsidR="006735BF" w:rsidRPr="00D54D46">
        <w:rPr>
          <w:b/>
          <w:color w:val="000000" w:themeColor="text1"/>
          <w:sz w:val="24"/>
          <w:szCs w:val="24"/>
          <w:lang w:val="fr-FR"/>
        </w:rPr>
        <w:t>utilizată</w:t>
      </w:r>
      <w:proofErr w:type="spellEnd"/>
      <w:r w:rsidR="006735BF" w:rsidRPr="00D54D46">
        <w:rPr>
          <w:b/>
          <w:color w:val="000000" w:themeColor="text1"/>
          <w:sz w:val="24"/>
          <w:szCs w:val="24"/>
          <w:lang w:val="fr-FR"/>
        </w:rPr>
        <w:t xml:space="preserve"> </w:t>
      </w:r>
      <w:proofErr w:type="spellStart"/>
      <w:r w:rsidR="006735BF" w:rsidRPr="00D54D46">
        <w:rPr>
          <w:b/>
          <w:color w:val="000000" w:themeColor="text1"/>
          <w:sz w:val="24"/>
          <w:szCs w:val="24"/>
          <w:lang w:val="fr-FR"/>
        </w:rPr>
        <w:t>și</w:t>
      </w:r>
      <w:proofErr w:type="spellEnd"/>
      <w:r w:rsidR="006735BF" w:rsidRPr="00D54D46">
        <w:rPr>
          <w:b/>
          <w:color w:val="000000" w:themeColor="text1"/>
          <w:spacing w:val="-1"/>
          <w:sz w:val="24"/>
          <w:szCs w:val="24"/>
          <w:lang w:val="fr-FR"/>
        </w:rPr>
        <w:t xml:space="preserve"> </w:t>
      </w:r>
      <w:proofErr w:type="spellStart"/>
      <w:r w:rsidR="006735BF" w:rsidRPr="00D54D46">
        <w:rPr>
          <w:b/>
          <w:color w:val="000000" w:themeColor="text1"/>
          <w:sz w:val="24"/>
          <w:szCs w:val="24"/>
          <w:lang w:val="fr-FR"/>
        </w:rPr>
        <w:t>anumite</w:t>
      </w:r>
      <w:proofErr w:type="spellEnd"/>
      <w:r w:rsidR="006735BF" w:rsidRPr="00D54D46">
        <w:rPr>
          <w:b/>
          <w:color w:val="000000" w:themeColor="text1"/>
          <w:sz w:val="24"/>
          <w:szCs w:val="24"/>
          <w:lang w:val="fr-FR"/>
        </w:rPr>
        <w:t xml:space="preserve"> </w:t>
      </w:r>
      <w:proofErr w:type="spellStart"/>
      <w:r w:rsidR="006735BF" w:rsidRPr="00D54D46">
        <w:rPr>
          <w:b/>
          <w:color w:val="000000" w:themeColor="text1"/>
          <w:sz w:val="24"/>
          <w:szCs w:val="24"/>
          <w:lang w:val="fr-FR"/>
        </w:rPr>
        <w:t>observații</w:t>
      </w:r>
      <w:proofErr w:type="spellEnd"/>
      <w:r w:rsidR="006735BF" w:rsidRPr="00D54D46">
        <w:rPr>
          <w:b/>
          <w:color w:val="000000" w:themeColor="text1"/>
          <w:spacing w:val="-1"/>
          <w:sz w:val="24"/>
          <w:szCs w:val="24"/>
          <w:lang w:val="fr-FR"/>
        </w:rPr>
        <w:t xml:space="preserve"> </w:t>
      </w:r>
      <w:r w:rsidR="006735BF" w:rsidRPr="00D54D46">
        <w:rPr>
          <w:b/>
          <w:color w:val="000000" w:themeColor="text1"/>
          <w:sz w:val="24"/>
          <w:szCs w:val="24"/>
          <w:lang w:val="fr-FR"/>
        </w:rPr>
        <w:t>(de</w:t>
      </w:r>
      <w:r w:rsidR="006735BF" w:rsidRPr="00D54D46">
        <w:rPr>
          <w:b/>
          <w:color w:val="000000" w:themeColor="text1"/>
          <w:spacing w:val="-2"/>
          <w:sz w:val="24"/>
          <w:szCs w:val="24"/>
          <w:lang w:val="fr-FR"/>
        </w:rPr>
        <w:t xml:space="preserve"> </w:t>
      </w:r>
      <w:r w:rsidR="006735BF" w:rsidRPr="00D54D46">
        <w:rPr>
          <w:b/>
          <w:color w:val="000000" w:themeColor="text1"/>
          <w:sz w:val="24"/>
          <w:szCs w:val="24"/>
          <w:lang w:val="fr-FR"/>
        </w:rPr>
        <w:t xml:space="preserve">la </w:t>
      </w:r>
      <w:proofErr w:type="spellStart"/>
      <w:r w:rsidR="006735BF" w:rsidRPr="00D54D46">
        <w:rPr>
          <w:b/>
          <w:color w:val="000000" w:themeColor="text1"/>
          <w:sz w:val="24"/>
          <w:szCs w:val="24"/>
          <w:lang w:val="fr-FR"/>
        </w:rPr>
        <w:t>caz</w:t>
      </w:r>
      <w:proofErr w:type="spellEnd"/>
      <w:r w:rsidR="006735BF" w:rsidRPr="00D54D46">
        <w:rPr>
          <w:b/>
          <w:color w:val="000000" w:themeColor="text1"/>
          <w:spacing w:val="1"/>
          <w:sz w:val="24"/>
          <w:szCs w:val="24"/>
          <w:lang w:val="fr-FR"/>
        </w:rPr>
        <w:t xml:space="preserve"> </w:t>
      </w:r>
      <w:r w:rsidR="006735BF" w:rsidRPr="00D54D46">
        <w:rPr>
          <w:b/>
          <w:color w:val="000000" w:themeColor="text1"/>
          <w:sz w:val="24"/>
          <w:szCs w:val="24"/>
          <w:lang w:val="fr-FR"/>
        </w:rPr>
        <w:t xml:space="preserve">la </w:t>
      </w:r>
      <w:proofErr w:type="spellStart"/>
      <w:r w:rsidR="006735BF" w:rsidRPr="00D54D46">
        <w:rPr>
          <w:b/>
          <w:color w:val="000000" w:themeColor="text1"/>
          <w:sz w:val="24"/>
          <w:szCs w:val="24"/>
          <w:lang w:val="fr-FR"/>
        </w:rPr>
        <w:t>caz</w:t>
      </w:r>
      <w:proofErr w:type="spellEnd"/>
      <w:r w:rsidR="006735BF" w:rsidRPr="00D54D46">
        <w:rPr>
          <w:b/>
          <w:color w:val="000000" w:themeColor="text1"/>
          <w:sz w:val="24"/>
          <w:szCs w:val="24"/>
          <w:lang w:val="fr-FR"/>
        </w:rPr>
        <w:t>).</w:t>
      </w:r>
    </w:p>
    <w:p w14:paraId="0221DF8D" w14:textId="77777777" w:rsidR="001842B9" w:rsidRPr="00C56257" w:rsidRDefault="001842B9" w:rsidP="008E33FD">
      <w:pPr>
        <w:pStyle w:val="TableParagraph"/>
        <w:spacing w:before="2"/>
        <w:jc w:val="both"/>
        <w:rPr>
          <w:b/>
          <w:color w:val="000000" w:themeColor="text1"/>
          <w:sz w:val="24"/>
          <w:szCs w:val="24"/>
        </w:rPr>
        <w:sectPr w:rsidR="001842B9" w:rsidRPr="00C56257" w:rsidSect="00D54D46">
          <w:headerReference w:type="even" r:id="rId67"/>
          <w:headerReference w:type="default" r:id="rId68"/>
          <w:footerReference w:type="default" r:id="rId69"/>
          <w:headerReference w:type="first" r:id="rId70"/>
          <w:pgSz w:w="11910" w:h="16840"/>
          <w:pgMar w:top="1411" w:right="840" w:bottom="1598" w:left="1066" w:header="0" w:footer="1411" w:gutter="0"/>
          <w:cols w:space="708"/>
        </w:sectPr>
      </w:pPr>
    </w:p>
    <w:tbl>
      <w:tblPr>
        <w:tblW w:w="14894" w:type="dxa"/>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07"/>
        <w:gridCol w:w="586"/>
        <w:gridCol w:w="558"/>
        <w:gridCol w:w="572"/>
        <w:gridCol w:w="567"/>
        <w:gridCol w:w="569"/>
        <w:gridCol w:w="569"/>
        <w:gridCol w:w="517"/>
        <w:gridCol w:w="567"/>
        <w:gridCol w:w="569"/>
        <w:gridCol w:w="567"/>
        <w:gridCol w:w="567"/>
        <w:gridCol w:w="514"/>
        <w:gridCol w:w="2564"/>
        <w:gridCol w:w="220"/>
        <w:gridCol w:w="2181"/>
      </w:tblGrid>
      <w:tr w:rsidR="001842B9" w:rsidRPr="00C56257" w14:paraId="1BBC0951" w14:textId="77777777" w:rsidTr="001842B9">
        <w:trPr>
          <w:trHeight w:val="525"/>
        </w:trPr>
        <w:tc>
          <w:tcPr>
            <w:tcW w:w="14894" w:type="dxa"/>
            <w:gridSpan w:val="16"/>
            <w:shd w:val="clear" w:color="auto" w:fill="D9D9D9"/>
          </w:tcPr>
          <w:p w14:paraId="6889DC91" w14:textId="77777777" w:rsidR="001842B9" w:rsidRPr="00C56257" w:rsidRDefault="001842B9" w:rsidP="008E33FD">
            <w:pPr>
              <w:pStyle w:val="TableParagraph"/>
              <w:spacing w:before="2"/>
              <w:jc w:val="both"/>
              <w:rPr>
                <w:b/>
                <w:color w:val="000000" w:themeColor="text1"/>
                <w:sz w:val="24"/>
                <w:szCs w:val="24"/>
              </w:rPr>
            </w:pPr>
            <w:r w:rsidRPr="00C56257">
              <w:rPr>
                <w:b/>
                <w:color w:val="000000" w:themeColor="text1"/>
                <w:sz w:val="24"/>
                <w:szCs w:val="24"/>
              </w:rPr>
              <w:lastRenderedPageBreak/>
              <w:t>Tabel–Planul de monitorizare a habitatelor de pajiști</w:t>
            </w:r>
          </w:p>
          <w:p w14:paraId="0BDF974D" w14:textId="77777777" w:rsidR="001842B9" w:rsidRPr="00C56257" w:rsidRDefault="001842B9" w:rsidP="008E33FD">
            <w:pPr>
              <w:pStyle w:val="TableParagraph"/>
              <w:spacing w:before="2"/>
              <w:jc w:val="both"/>
              <w:rPr>
                <w:b/>
                <w:color w:val="000000" w:themeColor="text1"/>
                <w:sz w:val="24"/>
                <w:szCs w:val="24"/>
              </w:rPr>
            </w:pPr>
          </w:p>
        </w:tc>
      </w:tr>
      <w:tr w:rsidR="001842B9" w:rsidRPr="00C56257" w14:paraId="54E68853" w14:textId="77777777" w:rsidTr="001842B9">
        <w:trPr>
          <w:trHeight w:val="525"/>
        </w:trPr>
        <w:tc>
          <w:tcPr>
            <w:tcW w:w="3207" w:type="dxa"/>
            <w:vMerge w:val="restart"/>
            <w:shd w:val="clear" w:color="auto" w:fill="D9D9D9"/>
          </w:tcPr>
          <w:p w14:paraId="17BE1F93" w14:textId="77777777" w:rsidR="006735BF" w:rsidRPr="00C56257" w:rsidRDefault="006735BF" w:rsidP="008E33FD">
            <w:pPr>
              <w:pStyle w:val="TableParagraph"/>
              <w:spacing w:before="2"/>
              <w:jc w:val="both"/>
              <w:rPr>
                <w:b/>
                <w:color w:val="000000" w:themeColor="text1"/>
                <w:sz w:val="24"/>
                <w:szCs w:val="24"/>
              </w:rPr>
            </w:pPr>
          </w:p>
          <w:p w14:paraId="73CE1840" w14:textId="77777777" w:rsidR="006735BF" w:rsidRPr="00C56257" w:rsidRDefault="006735BF" w:rsidP="008E33FD">
            <w:pPr>
              <w:pStyle w:val="TableParagraph"/>
              <w:ind w:left="79"/>
              <w:jc w:val="both"/>
              <w:rPr>
                <w:b/>
                <w:color w:val="000000" w:themeColor="text1"/>
                <w:sz w:val="24"/>
                <w:szCs w:val="24"/>
              </w:rPr>
            </w:pPr>
            <w:r w:rsidRPr="00C56257">
              <w:rPr>
                <w:b/>
                <w:color w:val="000000" w:themeColor="text1"/>
                <w:sz w:val="24"/>
                <w:szCs w:val="24"/>
              </w:rPr>
              <w:t>Denumirea</w:t>
            </w:r>
            <w:r w:rsidRPr="00C56257">
              <w:rPr>
                <w:b/>
                <w:color w:val="000000" w:themeColor="text1"/>
                <w:spacing w:val="-1"/>
                <w:sz w:val="24"/>
                <w:szCs w:val="24"/>
              </w:rPr>
              <w:t xml:space="preserve"> </w:t>
            </w:r>
            <w:r w:rsidRPr="00C56257">
              <w:rPr>
                <w:b/>
                <w:color w:val="000000" w:themeColor="text1"/>
                <w:sz w:val="24"/>
                <w:szCs w:val="24"/>
              </w:rPr>
              <w:t>şi codul Natura</w:t>
            </w:r>
            <w:r w:rsidRPr="00C56257">
              <w:rPr>
                <w:b/>
                <w:color w:val="000000" w:themeColor="text1"/>
                <w:spacing w:val="-1"/>
                <w:sz w:val="24"/>
                <w:szCs w:val="24"/>
              </w:rPr>
              <w:t xml:space="preserve"> </w:t>
            </w:r>
            <w:r w:rsidRPr="00C56257">
              <w:rPr>
                <w:b/>
                <w:color w:val="000000" w:themeColor="text1"/>
                <w:sz w:val="24"/>
                <w:szCs w:val="24"/>
              </w:rPr>
              <w:t>2000</w:t>
            </w:r>
          </w:p>
        </w:tc>
        <w:tc>
          <w:tcPr>
            <w:tcW w:w="6722" w:type="dxa"/>
            <w:gridSpan w:val="12"/>
            <w:shd w:val="clear" w:color="auto" w:fill="D9D9D9"/>
          </w:tcPr>
          <w:p w14:paraId="448544E3" w14:textId="77777777" w:rsidR="006735BF" w:rsidRPr="00C56257" w:rsidRDefault="006735BF" w:rsidP="008E33FD">
            <w:pPr>
              <w:pStyle w:val="TableParagraph"/>
              <w:spacing w:before="135"/>
              <w:ind w:left="1814"/>
              <w:jc w:val="both"/>
              <w:rPr>
                <w:b/>
                <w:color w:val="000000" w:themeColor="text1"/>
                <w:sz w:val="24"/>
                <w:szCs w:val="24"/>
              </w:rPr>
            </w:pPr>
            <w:r w:rsidRPr="00C56257">
              <w:rPr>
                <w:b/>
                <w:color w:val="000000" w:themeColor="text1"/>
                <w:sz w:val="24"/>
                <w:szCs w:val="24"/>
              </w:rPr>
              <w:t>Perioade</w:t>
            </w:r>
            <w:r w:rsidRPr="00C56257">
              <w:rPr>
                <w:b/>
                <w:color w:val="000000" w:themeColor="text1"/>
                <w:spacing w:val="-1"/>
                <w:sz w:val="24"/>
                <w:szCs w:val="24"/>
              </w:rPr>
              <w:t xml:space="preserve"> </w:t>
            </w:r>
            <w:r w:rsidRPr="00C56257">
              <w:rPr>
                <w:b/>
                <w:color w:val="000000" w:themeColor="text1"/>
                <w:sz w:val="24"/>
                <w:szCs w:val="24"/>
              </w:rPr>
              <w:t>optime</w:t>
            </w:r>
            <w:r w:rsidRPr="00C56257">
              <w:rPr>
                <w:b/>
                <w:color w:val="000000" w:themeColor="text1"/>
                <w:spacing w:val="-1"/>
                <w:sz w:val="24"/>
                <w:szCs w:val="24"/>
              </w:rPr>
              <w:t xml:space="preserve"> </w:t>
            </w:r>
            <w:r w:rsidRPr="00C56257">
              <w:rPr>
                <w:b/>
                <w:color w:val="000000" w:themeColor="text1"/>
                <w:sz w:val="24"/>
                <w:szCs w:val="24"/>
              </w:rPr>
              <w:t>de</w:t>
            </w:r>
            <w:r w:rsidRPr="00C56257">
              <w:rPr>
                <w:b/>
                <w:color w:val="000000" w:themeColor="text1"/>
                <w:spacing w:val="-3"/>
                <w:sz w:val="24"/>
                <w:szCs w:val="24"/>
              </w:rPr>
              <w:t xml:space="preserve"> </w:t>
            </w:r>
            <w:r w:rsidRPr="00C56257">
              <w:rPr>
                <w:b/>
                <w:color w:val="000000" w:themeColor="text1"/>
                <w:sz w:val="24"/>
                <w:szCs w:val="24"/>
              </w:rPr>
              <w:t>monitorizare</w:t>
            </w:r>
          </w:p>
        </w:tc>
        <w:tc>
          <w:tcPr>
            <w:tcW w:w="2784" w:type="dxa"/>
            <w:gridSpan w:val="2"/>
            <w:vMerge w:val="restart"/>
            <w:shd w:val="clear" w:color="auto" w:fill="D9D9D9"/>
          </w:tcPr>
          <w:p w14:paraId="47B09932" w14:textId="77777777" w:rsidR="006735BF" w:rsidRPr="00C56257" w:rsidRDefault="006735BF" w:rsidP="008E33FD">
            <w:pPr>
              <w:pStyle w:val="TableParagraph"/>
              <w:spacing w:before="2"/>
              <w:jc w:val="both"/>
              <w:rPr>
                <w:b/>
                <w:color w:val="000000" w:themeColor="text1"/>
                <w:sz w:val="24"/>
                <w:szCs w:val="24"/>
              </w:rPr>
            </w:pPr>
          </w:p>
          <w:p w14:paraId="5CF2001C" w14:textId="77777777" w:rsidR="006735BF" w:rsidRPr="00C56257" w:rsidRDefault="006735BF" w:rsidP="008E33FD">
            <w:pPr>
              <w:pStyle w:val="TableParagraph"/>
              <w:ind w:left="611"/>
              <w:jc w:val="both"/>
              <w:rPr>
                <w:b/>
                <w:color w:val="000000" w:themeColor="text1"/>
                <w:sz w:val="24"/>
                <w:szCs w:val="24"/>
              </w:rPr>
            </w:pPr>
            <w:r w:rsidRPr="00C56257">
              <w:rPr>
                <w:b/>
                <w:color w:val="000000" w:themeColor="text1"/>
                <w:sz w:val="24"/>
                <w:szCs w:val="24"/>
              </w:rPr>
              <w:t>Metoda</w:t>
            </w:r>
            <w:r w:rsidRPr="00C56257">
              <w:rPr>
                <w:b/>
                <w:color w:val="000000" w:themeColor="text1"/>
                <w:spacing w:val="-3"/>
                <w:sz w:val="24"/>
                <w:szCs w:val="24"/>
              </w:rPr>
              <w:t xml:space="preserve"> </w:t>
            </w:r>
            <w:r w:rsidRPr="00C56257">
              <w:rPr>
                <w:b/>
                <w:color w:val="000000" w:themeColor="text1"/>
                <w:sz w:val="24"/>
                <w:szCs w:val="24"/>
              </w:rPr>
              <w:t>utilizată</w:t>
            </w:r>
          </w:p>
        </w:tc>
        <w:tc>
          <w:tcPr>
            <w:tcW w:w="2181" w:type="dxa"/>
            <w:vMerge w:val="restart"/>
            <w:shd w:val="clear" w:color="auto" w:fill="D9D9D9"/>
          </w:tcPr>
          <w:p w14:paraId="4AFB100F" w14:textId="77777777" w:rsidR="006735BF" w:rsidRPr="00C56257" w:rsidRDefault="006735BF" w:rsidP="008E33FD">
            <w:pPr>
              <w:pStyle w:val="TableParagraph"/>
              <w:spacing w:before="2"/>
              <w:jc w:val="both"/>
              <w:rPr>
                <w:b/>
                <w:color w:val="000000" w:themeColor="text1"/>
                <w:sz w:val="24"/>
                <w:szCs w:val="24"/>
              </w:rPr>
            </w:pPr>
          </w:p>
          <w:p w14:paraId="1CA3D9C8" w14:textId="77777777" w:rsidR="006735BF" w:rsidRPr="00C56257" w:rsidRDefault="006735BF" w:rsidP="008E33FD">
            <w:pPr>
              <w:pStyle w:val="TableParagraph"/>
              <w:ind w:left="845" w:right="850"/>
              <w:jc w:val="both"/>
              <w:rPr>
                <w:b/>
                <w:color w:val="000000" w:themeColor="text1"/>
                <w:sz w:val="24"/>
                <w:szCs w:val="24"/>
              </w:rPr>
            </w:pPr>
            <w:r w:rsidRPr="00C56257">
              <w:rPr>
                <w:b/>
                <w:color w:val="000000" w:themeColor="text1"/>
                <w:sz w:val="24"/>
                <w:szCs w:val="24"/>
              </w:rPr>
              <w:t>Obs.</w:t>
            </w:r>
          </w:p>
        </w:tc>
      </w:tr>
      <w:tr w:rsidR="001842B9" w:rsidRPr="00C56257" w14:paraId="7FA1A992" w14:textId="77777777" w:rsidTr="001842B9">
        <w:trPr>
          <w:trHeight w:val="253"/>
        </w:trPr>
        <w:tc>
          <w:tcPr>
            <w:tcW w:w="3207" w:type="dxa"/>
            <w:vMerge/>
            <w:tcBorders>
              <w:top w:val="nil"/>
            </w:tcBorders>
            <w:shd w:val="clear" w:color="auto" w:fill="D9D9D9"/>
          </w:tcPr>
          <w:p w14:paraId="2B08BA9C" w14:textId="77777777" w:rsidR="006735BF" w:rsidRPr="00C56257" w:rsidRDefault="006735BF" w:rsidP="008E33FD">
            <w:pPr>
              <w:jc w:val="both"/>
              <w:rPr>
                <w:color w:val="000000" w:themeColor="text1"/>
              </w:rPr>
            </w:pPr>
          </w:p>
        </w:tc>
        <w:tc>
          <w:tcPr>
            <w:tcW w:w="586" w:type="dxa"/>
            <w:shd w:val="clear" w:color="auto" w:fill="D9D9D9"/>
          </w:tcPr>
          <w:p w14:paraId="08EBC014" w14:textId="77777777" w:rsidR="006735BF" w:rsidRPr="00C56257" w:rsidRDefault="006735BF" w:rsidP="008E33FD">
            <w:pPr>
              <w:pStyle w:val="TableParagraph"/>
              <w:spacing w:line="234" w:lineRule="exact"/>
              <w:ind w:left="28"/>
              <w:jc w:val="both"/>
              <w:rPr>
                <w:color w:val="000000" w:themeColor="text1"/>
                <w:sz w:val="24"/>
                <w:szCs w:val="24"/>
              </w:rPr>
            </w:pPr>
            <w:r w:rsidRPr="00C56257">
              <w:rPr>
                <w:color w:val="000000" w:themeColor="text1"/>
                <w:sz w:val="24"/>
                <w:szCs w:val="24"/>
              </w:rPr>
              <w:t>I</w:t>
            </w:r>
          </w:p>
        </w:tc>
        <w:tc>
          <w:tcPr>
            <w:tcW w:w="558" w:type="dxa"/>
            <w:shd w:val="clear" w:color="auto" w:fill="D9D9D9"/>
          </w:tcPr>
          <w:p w14:paraId="573464BB" w14:textId="77777777" w:rsidR="006735BF" w:rsidRPr="00C56257" w:rsidRDefault="006735BF" w:rsidP="008E33FD">
            <w:pPr>
              <w:pStyle w:val="TableParagraph"/>
              <w:spacing w:line="234" w:lineRule="exact"/>
              <w:ind w:left="27"/>
              <w:jc w:val="both"/>
              <w:rPr>
                <w:color w:val="000000" w:themeColor="text1"/>
                <w:sz w:val="24"/>
                <w:szCs w:val="24"/>
              </w:rPr>
            </w:pPr>
            <w:r w:rsidRPr="00C56257">
              <w:rPr>
                <w:color w:val="000000" w:themeColor="text1"/>
                <w:sz w:val="24"/>
                <w:szCs w:val="24"/>
              </w:rPr>
              <w:t>II</w:t>
            </w:r>
          </w:p>
        </w:tc>
        <w:tc>
          <w:tcPr>
            <w:tcW w:w="572" w:type="dxa"/>
            <w:shd w:val="clear" w:color="auto" w:fill="D9D9D9"/>
          </w:tcPr>
          <w:p w14:paraId="10092CE2" w14:textId="77777777" w:rsidR="006735BF" w:rsidRPr="00C56257" w:rsidRDefault="006735BF" w:rsidP="008E33FD">
            <w:pPr>
              <w:pStyle w:val="TableParagraph"/>
              <w:spacing w:line="234" w:lineRule="exact"/>
              <w:ind w:left="27"/>
              <w:jc w:val="both"/>
              <w:rPr>
                <w:color w:val="000000" w:themeColor="text1"/>
                <w:sz w:val="24"/>
                <w:szCs w:val="24"/>
              </w:rPr>
            </w:pPr>
            <w:r w:rsidRPr="00C56257">
              <w:rPr>
                <w:color w:val="000000" w:themeColor="text1"/>
                <w:sz w:val="24"/>
                <w:szCs w:val="24"/>
              </w:rPr>
              <w:t>III</w:t>
            </w:r>
          </w:p>
        </w:tc>
        <w:tc>
          <w:tcPr>
            <w:tcW w:w="567" w:type="dxa"/>
            <w:shd w:val="clear" w:color="auto" w:fill="D9D9D9"/>
          </w:tcPr>
          <w:p w14:paraId="4B0B9080" w14:textId="77777777" w:rsidR="006735BF" w:rsidRPr="00C56257" w:rsidRDefault="006735BF" w:rsidP="008E33FD">
            <w:pPr>
              <w:pStyle w:val="TableParagraph"/>
              <w:spacing w:line="234" w:lineRule="exact"/>
              <w:ind w:left="26"/>
              <w:jc w:val="both"/>
              <w:rPr>
                <w:color w:val="000000" w:themeColor="text1"/>
                <w:sz w:val="24"/>
                <w:szCs w:val="24"/>
              </w:rPr>
            </w:pPr>
            <w:r w:rsidRPr="00C56257">
              <w:rPr>
                <w:color w:val="000000" w:themeColor="text1"/>
                <w:sz w:val="24"/>
                <w:szCs w:val="24"/>
              </w:rPr>
              <w:t>IV</w:t>
            </w:r>
          </w:p>
        </w:tc>
        <w:tc>
          <w:tcPr>
            <w:tcW w:w="569" w:type="dxa"/>
            <w:shd w:val="clear" w:color="auto" w:fill="D9D9D9"/>
          </w:tcPr>
          <w:p w14:paraId="15B35366" w14:textId="77777777" w:rsidR="006735BF" w:rsidRPr="00C56257" w:rsidRDefault="006735BF" w:rsidP="008E33FD">
            <w:pPr>
              <w:pStyle w:val="TableParagraph"/>
              <w:spacing w:line="234" w:lineRule="exact"/>
              <w:ind w:left="25"/>
              <w:jc w:val="both"/>
              <w:rPr>
                <w:color w:val="000000" w:themeColor="text1"/>
                <w:sz w:val="24"/>
                <w:szCs w:val="24"/>
              </w:rPr>
            </w:pPr>
            <w:r w:rsidRPr="00C56257">
              <w:rPr>
                <w:color w:val="000000" w:themeColor="text1"/>
                <w:sz w:val="24"/>
                <w:szCs w:val="24"/>
              </w:rPr>
              <w:t>V</w:t>
            </w:r>
          </w:p>
        </w:tc>
        <w:tc>
          <w:tcPr>
            <w:tcW w:w="569" w:type="dxa"/>
            <w:shd w:val="clear" w:color="auto" w:fill="D9D9D9"/>
          </w:tcPr>
          <w:p w14:paraId="1B931BD1" w14:textId="77777777" w:rsidR="006735BF" w:rsidRPr="00C56257" w:rsidRDefault="006735BF" w:rsidP="008E33FD">
            <w:pPr>
              <w:pStyle w:val="TableParagraph"/>
              <w:spacing w:line="234" w:lineRule="exact"/>
              <w:ind w:left="23"/>
              <w:jc w:val="both"/>
              <w:rPr>
                <w:color w:val="000000" w:themeColor="text1"/>
                <w:sz w:val="24"/>
                <w:szCs w:val="24"/>
              </w:rPr>
            </w:pPr>
            <w:r w:rsidRPr="00C56257">
              <w:rPr>
                <w:color w:val="000000" w:themeColor="text1"/>
                <w:sz w:val="24"/>
                <w:szCs w:val="24"/>
              </w:rPr>
              <w:t>VI</w:t>
            </w:r>
          </w:p>
        </w:tc>
        <w:tc>
          <w:tcPr>
            <w:tcW w:w="517" w:type="dxa"/>
            <w:shd w:val="clear" w:color="auto" w:fill="D9D9D9"/>
          </w:tcPr>
          <w:p w14:paraId="759ED765" w14:textId="77777777" w:rsidR="006735BF" w:rsidRPr="00C56257" w:rsidRDefault="006735BF" w:rsidP="008E33FD">
            <w:pPr>
              <w:pStyle w:val="TableParagraph"/>
              <w:spacing w:line="234" w:lineRule="exact"/>
              <w:ind w:left="23"/>
              <w:jc w:val="both"/>
              <w:rPr>
                <w:color w:val="000000" w:themeColor="text1"/>
                <w:sz w:val="24"/>
                <w:szCs w:val="24"/>
              </w:rPr>
            </w:pPr>
            <w:r w:rsidRPr="00C56257">
              <w:rPr>
                <w:color w:val="000000" w:themeColor="text1"/>
                <w:sz w:val="24"/>
                <w:szCs w:val="24"/>
              </w:rPr>
              <w:t>VII</w:t>
            </w:r>
          </w:p>
        </w:tc>
        <w:tc>
          <w:tcPr>
            <w:tcW w:w="567" w:type="dxa"/>
            <w:shd w:val="clear" w:color="auto" w:fill="D9D9D9"/>
          </w:tcPr>
          <w:p w14:paraId="69BA3FEA" w14:textId="77777777" w:rsidR="006735BF" w:rsidRPr="00C56257" w:rsidRDefault="006735BF" w:rsidP="008E33FD">
            <w:pPr>
              <w:pStyle w:val="TableParagraph"/>
              <w:spacing w:line="234" w:lineRule="exact"/>
              <w:ind w:left="22"/>
              <w:jc w:val="both"/>
              <w:rPr>
                <w:color w:val="000000" w:themeColor="text1"/>
                <w:sz w:val="24"/>
                <w:szCs w:val="24"/>
              </w:rPr>
            </w:pPr>
            <w:r w:rsidRPr="00C56257">
              <w:rPr>
                <w:color w:val="000000" w:themeColor="text1"/>
                <w:sz w:val="24"/>
                <w:szCs w:val="24"/>
              </w:rPr>
              <w:t>VIII</w:t>
            </w:r>
          </w:p>
        </w:tc>
        <w:tc>
          <w:tcPr>
            <w:tcW w:w="569" w:type="dxa"/>
            <w:shd w:val="clear" w:color="auto" w:fill="D9D9D9"/>
          </w:tcPr>
          <w:p w14:paraId="2932E886" w14:textId="77777777" w:rsidR="006735BF" w:rsidRPr="00C56257" w:rsidRDefault="006735BF" w:rsidP="008E33FD">
            <w:pPr>
              <w:pStyle w:val="TableParagraph"/>
              <w:spacing w:line="234" w:lineRule="exact"/>
              <w:ind w:left="24"/>
              <w:jc w:val="both"/>
              <w:rPr>
                <w:color w:val="000000" w:themeColor="text1"/>
                <w:sz w:val="24"/>
                <w:szCs w:val="24"/>
              </w:rPr>
            </w:pPr>
            <w:r w:rsidRPr="00C56257">
              <w:rPr>
                <w:color w:val="000000" w:themeColor="text1"/>
                <w:sz w:val="24"/>
                <w:szCs w:val="24"/>
              </w:rPr>
              <w:t>IX</w:t>
            </w:r>
          </w:p>
        </w:tc>
        <w:tc>
          <w:tcPr>
            <w:tcW w:w="567" w:type="dxa"/>
            <w:shd w:val="clear" w:color="auto" w:fill="D9D9D9"/>
          </w:tcPr>
          <w:p w14:paraId="210F2177" w14:textId="77777777" w:rsidR="006735BF" w:rsidRPr="00C56257" w:rsidRDefault="006735BF" w:rsidP="008E33FD">
            <w:pPr>
              <w:pStyle w:val="TableParagraph"/>
              <w:spacing w:line="234" w:lineRule="exact"/>
              <w:ind w:left="21"/>
              <w:jc w:val="both"/>
              <w:rPr>
                <w:color w:val="000000" w:themeColor="text1"/>
                <w:sz w:val="24"/>
                <w:szCs w:val="24"/>
              </w:rPr>
            </w:pPr>
            <w:r w:rsidRPr="00C56257">
              <w:rPr>
                <w:color w:val="000000" w:themeColor="text1"/>
                <w:sz w:val="24"/>
                <w:szCs w:val="24"/>
              </w:rPr>
              <w:t>X</w:t>
            </w:r>
          </w:p>
        </w:tc>
        <w:tc>
          <w:tcPr>
            <w:tcW w:w="567" w:type="dxa"/>
            <w:shd w:val="clear" w:color="auto" w:fill="D9D9D9"/>
          </w:tcPr>
          <w:p w14:paraId="5C83A254" w14:textId="77777777" w:rsidR="006735BF" w:rsidRPr="00C56257" w:rsidRDefault="006735BF" w:rsidP="008E33FD">
            <w:pPr>
              <w:pStyle w:val="TableParagraph"/>
              <w:spacing w:line="234" w:lineRule="exact"/>
              <w:ind w:left="23"/>
              <w:jc w:val="both"/>
              <w:rPr>
                <w:color w:val="000000" w:themeColor="text1"/>
                <w:sz w:val="24"/>
                <w:szCs w:val="24"/>
              </w:rPr>
            </w:pPr>
            <w:r w:rsidRPr="00C56257">
              <w:rPr>
                <w:color w:val="000000" w:themeColor="text1"/>
                <w:sz w:val="24"/>
                <w:szCs w:val="24"/>
              </w:rPr>
              <w:t>XI</w:t>
            </w:r>
          </w:p>
        </w:tc>
        <w:tc>
          <w:tcPr>
            <w:tcW w:w="514" w:type="dxa"/>
            <w:shd w:val="clear" w:color="auto" w:fill="D9D9D9"/>
          </w:tcPr>
          <w:p w14:paraId="40F75106" w14:textId="77777777" w:rsidR="006735BF" w:rsidRPr="00C56257" w:rsidRDefault="006735BF" w:rsidP="008E33FD">
            <w:pPr>
              <w:pStyle w:val="TableParagraph"/>
              <w:spacing w:line="234" w:lineRule="exact"/>
              <w:ind w:left="22"/>
              <w:jc w:val="both"/>
              <w:rPr>
                <w:color w:val="000000" w:themeColor="text1"/>
                <w:sz w:val="24"/>
                <w:szCs w:val="24"/>
              </w:rPr>
            </w:pPr>
            <w:r w:rsidRPr="00C56257">
              <w:rPr>
                <w:color w:val="000000" w:themeColor="text1"/>
                <w:sz w:val="24"/>
                <w:szCs w:val="24"/>
              </w:rPr>
              <w:t>XII</w:t>
            </w:r>
          </w:p>
        </w:tc>
        <w:tc>
          <w:tcPr>
            <w:tcW w:w="2784" w:type="dxa"/>
            <w:gridSpan w:val="2"/>
            <w:vMerge/>
            <w:tcBorders>
              <w:top w:val="nil"/>
            </w:tcBorders>
            <w:shd w:val="clear" w:color="auto" w:fill="D9D9D9"/>
          </w:tcPr>
          <w:p w14:paraId="6AEC2B38" w14:textId="77777777" w:rsidR="006735BF" w:rsidRPr="00C56257" w:rsidRDefault="006735BF" w:rsidP="008E33FD">
            <w:pPr>
              <w:jc w:val="both"/>
              <w:rPr>
                <w:color w:val="000000" w:themeColor="text1"/>
              </w:rPr>
            </w:pPr>
          </w:p>
        </w:tc>
        <w:tc>
          <w:tcPr>
            <w:tcW w:w="2181" w:type="dxa"/>
            <w:vMerge/>
            <w:tcBorders>
              <w:top w:val="nil"/>
            </w:tcBorders>
            <w:shd w:val="clear" w:color="auto" w:fill="D9D9D9"/>
          </w:tcPr>
          <w:p w14:paraId="0142ED99" w14:textId="77777777" w:rsidR="006735BF" w:rsidRPr="00C56257" w:rsidRDefault="006735BF" w:rsidP="008E33FD">
            <w:pPr>
              <w:jc w:val="both"/>
              <w:rPr>
                <w:color w:val="000000" w:themeColor="text1"/>
              </w:rPr>
            </w:pPr>
          </w:p>
        </w:tc>
      </w:tr>
      <w:tr w:rsidR="001842B9" w:rsidRPr="00C56257" w14:paraId="1EAD58C6" w14:textId="77777777" w:rsidTr="001842B9">
        <w:trPr>
          <w:trHeight w:val="1519"/>
        </w:trPr>
        <w:tc>
          <w:tcPr>
            <w:tcW w:w="3207" w:type="dxa"/>
          </w:tcPr>
          <w:p w14:paraId="77F33F92" w14:textId="77777777" w:rsidR="006735BF" w:rsidRPr="00C56257" w:rsidRDefault="006735BF" w:rsidP="008E33FD">
            <w:pPr>
              <w:pStyle w:val="TableParagraph"/>
              <w:spacing w:before="5"/>
              <w:jc w:val="both"/>
              <w:rPr>
                <w:b/>
                <w:color w:val="000000" w:themeColor="text1"/>
                <w:sz w:val="24"/>
                <w:szCs w:val="24"/>
              </w:rPr>
            </w:pPr>
          </w:p>
          <w:p w14:paraId="49DAC13E" w14:textId="77777777" w:rsidR="006735BF" w:rsidRPr="00C56257" w:rsidRDefault="006735BF" w:rsidP="008E33FD">
            <w:pPr>
              <w:pStyle w:val="TableParagraph"/>
              <w:ind w:left="26" w:right="466"/>
              <w:jc w:val="both"/>
              <w:rPr>
                <w:i/>
                <w:color w:val="000000" w:themeColor="text1"/>
                <w:sz w:val="24"/>
                <w:szCs w:val="24"/>
              </w:rPr>
            </w:pPr>
            <w:r w:rsidRPr="00C56257">
              <w:rPr>
                <w:color w:val="000000" w:themeColor="text1"/>
                <w:sz w:val="24"/>
                <w:szCs w:val="24"/>
              </w:rPr>
              <w:t>6110 * - Comunităţi rupicole</w:t>
            </w:r>
            <w:r w:rsidRPr="00C56257">
              <w:rPr>
                <w:color w:val="000000" w:themeColor="text1"/>
                <w:spacing w:val="1"/>
                <w:sz w:val="24"/>
                <w:szCs w:val="24"/>
              </w:rPr>
              <w:t xml:space="preserve"> </w:t>
            </w:r>
            <w:r w:rsidRPr="00C56257">
              <w:rPr>
                <w:color w:val="000000" w:themeColor="text1"/>
                <w:sz w:val="24"/>
                <w:szCs w:val="24"/>
              </w:rPr>
              <w:t>calcifile sau pajişti bazifile din</w:t>
            </w:r>
            <w:r w:rsidRPr="00C56257">
              <w:rPr>
                <w:color w:val="000000" w:themeColor="text1"/>
                <w:spacing w:val="-52"/>
                <w:sz w:val="24"/>
                <w:szCs w:val="24"/>
              </w:rPr>
              <w:t xml:space="preserve"> </w:t>
            </w:r>
            <w:r w:rsidRPr="00C56257">
              <w:rPr>
                <w:i/>
                <w:color w:val="000000" w:themeColor="text1"/>
                <w:sz w:val="24"/>
                <w:szCs w:val="24"/>
              </w:rPr>
              <w:t>Alysso-Sedionalbi</w:t>
            </w:r>
          </w:p>
        </w:tc>
        <w:tc>
          <w:tcPr>
            <w:tcW w:w="586" w:type="dxa"/>
          </w:tcPr>
          <w:p w14:paraId="68345571" w14:textId="77777777" w:rsidR="006735BF" w:rsidRPr="00C56257" w:rsidRDefault="006735BF" w:rsidP="008E33FD">
            <w:pPr>
              <w:pStyle w:val="TableParagraph"/>
              <w:jc w:val="both"/>
              <w:rPr>
                <w:color w:val="000000" w:themeColor="text1"/>
                <w:sz w:val="24"/>
                <w:szCs w:val="24"/>
              </w:rPr>
            </w:pPr>
          </w:p>
        </w:tc>
        <w:tc>
          <w:tcPr>
            <w:tcW w:w="558" w:type="dxa"/>
          </w:tcPr>
          <w:p w14:paraId="3ABEBBCC" w14:textId="77777777" w:rsidR="006735BF" w:rsidRPr="00C56257" w:rsidRDefault="006735BF" w:rsidP="008E33FD">
            <w:pPr>
              <w:pStyle w:val="TableParagraph"/>
              <w:jc w:val="both"/>
              <w:rPr>
                <w:color w:val="000000" w:themeColor="text1"/>
                <w:sz w:val="24"/>
                <w:szCs w:val="24"/>
              </w:rPr>
            </w:pPr>
          </w:p>
        </w:tc>
        <w:tc>
          <w:tcPr>
            <w:tcW w:w="572" w:type="dxa"/>
            <w:shd w:val="clear" w:color="auto" w:fill="BEBEBE"/>
          </w:tcPr>
          <w:p w14:paraId="42376297"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61CE20C2"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3BCB8D84"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0B00CF08" w14:textId="77777777" w:rsidR="006735BF" w:rsidRPr="00C56257" w:rsidRDefault="006735BF" w:rsidP="008E33FD">
            <w:pPr>
              <w:pStyle w:val="TableParagraph"/>
              <w:jc w:val="both"/>
              <w:rPr>
                <w:color w:val="000000" w:themeColor="text1"/>
                <w:sz w:val="24"/>
                <w:szCs w:val="24"/>
              </w:rPr>
            </w:pPr>
          </w:p>
        </w:tc>
        <w:tc>
          <w:tcPr>
            <w:tcW w:w="517" w:type="dxa"/>
            <w:shd w:val="clear" w:color="auto" w:fill="BEBEBE"/>
          </w:tcPr>
          <w:p w14:paraId="391323B9"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2E4E446E"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0BA3E9BC"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2A4A867F" w14:textId="77777777" w:rsidR="006735BF" w:rsidRPr="00C56257" w:rsidRDefault="006735BF" w:rsidP="008E33FD">
            <w:pPr>
              <w:pStyle w:val="TableParagraph"/>
              <w:jc w:val="both"/>
              <w:rPr>
                <w:color w:val="000000" w:themeColor="text1"/>
                <w:sz w:val="24"/>
                <w:szCs w:val="24"/>
              </w:rPr>
            </w:pPr>
          </w:p>
        </w:tc>
        <w:tc>
          <w:tcPr>
            <w:tcW w:w="567" w:type="dxa"/>
          </w:tcPr>
          <w:p w14:paraId="08168EA1" w14:textId="77777777" w:rsidR="006735BF" w:rsidRPr="00C56257" w:rsidRDefault="006735BF" w:rsidP="008E33FD">
            <w:pPr>
              <w:pStyle w:val="TableParagraph"/>
              <w:jc w:val="both"/>
              <w:rPr>
                <w:color w:val="000000" w:themeColor="text1"/>
                <w:sz w:val="24"/>
                <w:szCs w:val="24"/>
              </w:rPr>
            </w:pPr>
          </w:p>
        </w:tc>
        <w:tc>
          <w:tcPr>
            <w:tcW w:w="514" w:type="dxa"/>
          </w:tcPr>
          <w:p w14:paraId="646A7DD1" w14:textId="77777777" w:rsidR="006735BF" w:rsidRPr="00C56257" w:rsidRDefault="006735BF" w:rsidP="008E33FD">
            <w:pPr>
              <w:pStyle w:val="TableParagraph"/>
              <w:jc w:val="both"/>
              <w:rPr>
                <w:color w:val="000000" w:themeColor="text1"/>
                <w:sz w:val="24"/>
                <w:szCs w:val="24"/>
              </w:rPr>
            </w:pPr>
          </w:p>
        </w:tc>
        <w:tc>
          <w:tcPr>
            <w:tcW w:w="2564" w:type="dxa"/>
            <w:tcBorders>
              <w:right w:val="nil"/>
            </w:tcBorders>
          </w:tcPr>
          <w:p w14:paraId="6469B821" w14:textId="77777777" w:rsidR="006735BF" w:rsidRPr="00C56257" w:rsidRDefault="006735BF" w:rsidP="008E33FD">
            <w:pPr>
              <w:pStyle w:val="TableParagraph"/>
              <w:spacing w:before="6"/>
              <w:jc w:val="both"/>
              <w:rPr>
                <w:b/>
                <w:color w:val="000000" w:themeColor="text1"/>
                <w:sz w:val="24"/>
                <w:szCs w:val="24"/>
              </w:rPr>
            </w:pPr>
          </w:p>
          <w:p w14:paraId="46C9B7D5" w14:textId="77777777" w:rsidR="006735BF" w:rsidRPr="00C56257" w:rsidRDefault="006735BF" w:rsidP="008E33FD">
            <w:pPr>
              <w:pStyle w:val="TableParagraph"/>
              <w:spacing w:line="253" w:lineRule="exact"/>
              <w:ind w:left="22"/>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439E4B28" w14:textId="77777777" w:rsidR="006735BF" w:rsidRPr="00C56257" w:rsidRDefault="006735BF" w:rsidP="009E63E5">
            <w:pPr>
              <w:pStyle w:val="TableParagraph"/>
              <w:numPr>
                <w:ilvl w:val="0"/>
                <w:numId w:val="137"/>
              </w:numPr>
              <w:tabs>
                <w:tab w:val="left" w:pos="280"/>
              </w:tabs>
              <w:ind w:right="89" w:firstLine="0"/>
              <w:jc w:val="both"/>
              <w:rPr>
                <w:color w:val="000000" w:themeColor="text1"/>
                <w:sz w:val="24"/>
                <w:szCs w:val="24"/>
              </w:rPr>
            </w:pPr>
            <w:r w:rsidRPr="00C56257">
              <w:rPr>
                <w:color w:val="000000" w:themeColor="text1"/>
                <w:sz w:val="24"/>
                <w:szCs w:val="24"/>
              </w:rPr>
              <w:t>metoda</w:t>
            </w:r>
            <w:r w:rsidRPr="00C56257">
              <w:rPr>
                <w:color w:val="000000" w:themeColor="text1"/>
                <w:spacing w:val="12"/>
                <w:sz w:val="24"/>
                <w:szCs w:val="24"/>
              </w:rPr>
              <w:t xml:space="preserve"> </w:t>
            </w:r>
            <w:r w:rsidRPr="00C56257">
              <w:rPr>
                <w:color w:val="000000" w:themeColor="text1"/>
                <w:sz w:val="24"/>
                <w:szCs w:val="24"/>
              </w:rPr>
              <w:t>releveelor</w:t>
            </w:r>
            <w:r w:rsidRPr="00C56257">
              <w:rPr>
                <w:color w:val="000000" w:themeColor="text1"/>
                <w:spacing w:val="11"/>
                <w:sz w:val="24"/>
                <w:szCs w:val="24"/>
              </w:rPr>
              <w:t xml:space="preserve">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2AB62323" w14:textId="77777777" w:rsidR="006735BF" w:rsidRPr="00C56257" w:rsidRDefault="006735BF" w:rsidP="009E63E5">
            <w:pPr>
              <w:pStyle w:val="TableParagraph"/>
              <w:numPr>
                <w:ilvl w:val="0"/>
                <w:numId w:val="137"/>
              </w:numPr>
              <w:tabs>
                <w:tab w:val="left" w:pos="261"/>
              </w:tabs>
              <w:ind w:left="260" w:hanging="239"/>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20" w:type="dxa"/>
            <w:tcBorders>
              <w:left w:val="nil"/>
            </w:tcBorders>
          </w:tcPr>
          <w:p w14:paraId="286EB4E2" w14:textId="77777777" w:rsidR="006735BF" w:rsidRPr="00C56257" w:rsidRDefault="006735BF" w:rsidP="008E33FD">
            <w:pPr>
              <w:pStyle w:val="TableParagraph"/>
              <w:jc w:val="both"/>
              <w:rPr>
                <w:b/>
                <w:color w:val="000000" w:themeColor="text1"/>
                <w:sz w:val="24"/>
                <w:szCs w:val="24"/>
              </w:rPr>
            </w:pPr>
          </w:p>
          <w:p w14:paraId="3A1DFA4C" w14:textId="77777777" w:rsidR="006735BF" w:rsidRPr="00C56257" w:rsidRDefault="006735BF" w:rsidP="008E33FD">
            <w:pPr>
              <w:pStyle w:val="TableParagraph"/>
              <w:spacing w:before="6"/>
              <w:jc w:val="both"/>
              <w:rPr>
                <w:b/>
                <w:color w:val="000000" w:themeColor="text1"/>
                <w:sz w:val="24"/>
                <w:szCs w:val="24"/>
              </w:rPr>
            </w:pPr>
          </w:p>
          <w:p w14:paraId="2B18184B" w14:textId="77777777" w:rsidR="006735BF" w:rsidRPr="00C56257" w:rsidRDefault="006735BF" w:rsidP="008E33FD">
            <w:pPr>
              <w:pStyle w:val="TableParagraph"/>
              <w:ind w:right="26"/>
              <w:jc w:val="both"/>
              <w:rPr>
                <w:color w:val="000000" w:themeColor="text1"/>
                <w:sz w:val="24"/>
                <w:szCs w:val="24"/>
              </w:rPr>
            </w:pPr>
            <w:r w:rsidRPr="00C56257">
              <w:rPr>
                <w:color w:val="000000" w:themeColor="text1"/>
                <w:sz w:val="24"/>
                <w:szCs w:val="24"/>
              </w:rPr>
              <w:t>a</w:t>
            </w:r>
          </w:p>
        </w:tc>
        <w:tc>
          <w:tcPr>
            <w:tcW w:w="2181" w:type="dxa"/>
          </w:tcPr>
          <w:p w14:paraId="5668B130" w14:textId="77777777" w:rsidR="006735BF" w:rsidRPr="00C56257" w:rsidRDefault="006735BF" w:rsidP="008E33FD">
            <w:pPr>
              <w:pStyle w:val="TableParagraph"/>
              <w:ind w:left="20" w:right="11"/>
              <w:jc w:val="both"/>
              <w:rPr>
                <w:color w:val="000000" w:themeColor="text1"/>
                <w:sz w:val="24"/>
                <w:szCs w:val="24"/>
              </w:rPr>
            </w:pPr>
            <w:r w:rsidRPr="00C56257">
              <w:rPr>
                <w:color w:val="000000" w:themeColor="text1"/>
                <w:sz w:val="24"/>
                <w:szCs w:val="24"/>
              </w:rPr>
              <w:t>Min 6 relevee/ transecte</w:t>
            </w:r>
            <w:r w:rsidRPr="00C56257">
              <w:rPr>
                <w:color w:val="000000" w:themeColor="text1"/>
                <w:spacing w:val="-52"/>
                <w:sz w:val="24"/>
                <w:szCs w:val="24"/>
              </w:rPr>
              <w:t xml:space="preserve"> </w:t>
            </w:r>
            <w:r w:rsidRPr="00C56257">
              <w:rPr>
                <w:color w:val="000000" w:themeColor="text1"/>
                <w:sz w:val="24"/>
                <w:szCs w:val="24"/>
              </w:rPr>
              <w:t>de monitorizare în</w:t>
            </w:r>
            <w:r w:rsidRPr="00C56257">
              <w:rPr>
                <w:color w:val="000000" w:themeColor="text1"/>
                <w:spacing w:val="1"/>
                <w:sz w:val="24"/>
                <w:szCs w:val="24"/>
              </w:rPr>
              <w:t xml:space="preserve"> </w:t>
            </w:r>
            <w:r w:rsidRPr="00C56257">
              <w:rPr>
                <w:color w:val="000000" w:themeColor="text1"/>
                <w:sz w:val="24"/>
                <w:szCs w:val="24"/>
              </w:rPr>
              <w:t>cadrul ariilor naturale</w:t>
            </w:r>
            <w:r w:rsidRPr="00C56257">
              <w:rPr>
                <w:color w:val="000000" w:themeColor="text1"/>
                <w:spacing w:val="1"/>
                <w:sz w:val="24"/>
                <w:szCs w:val="24"/>
              </w:rPr>
              <w:t xml:space="preserve"> </w:t>
            </w:r>
            <w:r w:rsidRPr="00C56257">
              <w:rPr>
                <w:color w:val="000000" w:themeColor="text1"/>
                <w:sz w:val="24"/>
                <w:szCs w:val="24"/>
              </w:rPr>
              <w:t>țintă</w:t>
            </w:r>
            <w:r w:rsidRPr="00C56257">
              <w:rPr>
                <w:color w:val="000000" w:themeColor="text1"/>
                <w:spacing w:val="-1"/>
                <w:sz w:val="24"/>
                <w:szCs w:val="24"/>
              </w:rPr>
              <w:t xml:space="preserve"> </w:t>
            </w:r>
            <w:r w:rsidRPr="00C56257">
              <w:rPr>
                <w:color w:val="000000" w:themeColor="text1"/>
                <w:sz w:val="24"/>
                <w:szCs w:val="24"/>
              </w:rPr>
              <w:t>şi</w:t>
            </w:r>
            <w:r w:rsidRPr="00C56257">
              <w:rPr>
                <w:color w:val="000000" w:themeColor="text1"/>
                <w:spacing w:val="-4"/>
                <w:sz w:val="24"/>
                <w:szCs w:val="24"/>
              </w:rPr>
              <w:t xml:space="preserve"> </w:t>
            </w:r>
            <w:r w:rsidRPr="00C56257">
              <w:rPr>
                <w:color w:val="000000" w:themeColor="text1"/>
                <w:sz w:val="24"/>
                <w:szCs w:val="24"/>
              </w:rPr>
              <w:t>în</w:t>
            </w:r>
            <w:r w:rsidRPr="00C56257">
              <w:rPr>
                <w:color w:val="000000" w:themeColor="text1"/>
                <w:spacing w:val="-1"/>
                <w:sz w:val="24"/>
                <w:szCs w:val="24"/>
              </w:rPr>
              <w:t xml:space="preserve"> </w:t>
            </w:r>
            <w:r w:rsidRPr="00C56257">
              <w:rPr>
                <w:color w:val="000000" w:themeColor="text1"/>
                <w:sz w:val="24"/>
                <w:szCs w:val="24"/>
              </w:rPr>
              <w:t>afara</w:t>
            </w:r>
            <w:r w:rsidRPr="00C56257">
              <w:rPr>
                <w:color w:val="000000" w:themeColor="text1"/>
                <w:spacing w:val="-2"/>
                <w:sz w:val="24"/>
                <w:szCs w:val="24"/>
              </w:rPr>
              <w:t xml:space="preserve"> </w:t>
            </w:r>
            <w:r w:rsidRPr="00C56257">
              <w:rPr>
                <w:color w:val="000000" w:themeColor="text1"/>
                <w:sz w:val="24"/>
                <w:szCs w:val="24"/>
              </w:rPr>
              <w:t>acestora</w:t>
            </w:r>
          </w:p>
          <w:p w14:paraId="09626445" w14:textId="77777777" w:rsidR="006735BF" w:rsidRPr="00C56257" w:rsidRDefault="006735BF" w:rsidP="008E33FD">
            <w:pPr>
              <w:pStyle w:val="TableParagraph"/>
              <w:spacing w:line="252" w:lineRule="exact"/>
              <w:ind w:left="20" w:right="408"/>
              <w:jc w:val="both"/>
              <w:rPr>
                <w:color w:val="000000" w:themeColor="text1"/>
                <w:sz w:val="24"/>
                <w:szCs w:val="24"/>
              </w:rPr>
            </w:pPr>
            <w:r w:rsidRPr="00C56257">
              <w:rPr>
                <w:color w:val="000000" w:themeColor="text1"/>
                <w:sz w:val="24"/>
                <w:szCs w:val="24"/>
              </w:rPr>
              <w:t>în situația prezenței</w:t>
            </w:r>
            <w:r w:rsidRPr="00C56257">
              <w:rPr>
                <w:color w:val="000000" w:themeColor="text1"/>
                <w:spacing w:val="-52"/>
                <w:sz w:val="24"/>
                <w:szCs w:val="24"/>
              </w:rPr>
              <w:t xml:space="preserve"> </w:t>
            </w:r>
            <w:r w:rsidRPr="00C56257">
              <w:rPr>
                <w:color w:val="000000" w:themeColor="text1"/>
                <w:sz w:val="24"/>
                <w:szCs w:val="24"/>
              </w:rPr>
              <w:t>habitatului.</w:t>
            </w:r>
          </w:p>
        </w:tc>
      </w:tr>
      <w:tr w:rsidR="001842B9" w:rsidRPr="00C56257" w14:paraId="4456F90F" w14:textId="77777777" w:rsidTr="001842B9">
        <w:trPr>
          <w:trHeight w:val="1516"/>
        </w:trPr>
        <w:tc>
          <w:tcPr>
            <w:tcW w:w="3207" w:type="dxa"/>
          </w:tcPr>
          <w:p w14:paraId="7B33761F" w14:textId="77777777" w:rsidR="006735BF" w:rsidRPr="00C56257" w:rsidRDefault="006735BF" w:rsidP="008E33FD">
            <w:pPr>
              <w:pStyle w:val="TableParagraph"/>
              <w:jc w:val="both"/>
              <w:rPr>
                <w:b/>
                <w:color w:val="000000" w:themeColor="text1"/>
                <w:sz w:val="24"/>
                <w:szCs w:val="24"/>
              </w:rPr>
            </w:pPr>
          </w:p>
          <w:p w14:paraId="00478D6F" w14:textId="77777777" w:rsidR="006735BF" w:rsidRPr="00C56257" w:rsidRDefault="006735BF" w:rsidP="008E33FD">
            <w:pPr>
              <w:pStyle w:val="TableParagraph"/>
              <w:spacing w:before="5"/>
              <w:jc w:val="both"/>
              <w:rPr>
                <w:b/>
                <w:color w:val="000000" w:themeColor="text1"/>
                <w:sz w:val="24"/>
                <w:szCs w:val="24"/>
              </w:rPr>
            </w:pPr>
          </w:p>
          <w:p w14:paraId="54098CB3" w14:textId="77777777" w:rsidR="006735BF" w:rsidRPr="00C56257" w:rsidRDefault="006735BF" w:rsidP="008E33FD">
            <w:pPr>
              <w:pStyle w:val="TableParagraph"/>
              <w:ind w:left="26" w:right="285"/>
              <w:jc w:val="both"/>
              <w:rPr>
                <w:color w:val="000000" w:themeColor="text1"/>
                <w:sz w:val="24"/>
                <w:szCs w:val="24"/>
              </w:rPr>
            </w:pPr>
            <w:r w:rsidRPr="00C56257">
              <w:rPr>
                <w:color w:val="000000" w:themeColor="text1"/>
                <w:sz w:val="24"/>
                <w:szCs w:val="24"/>
              </w:rPr>
              <w:t>6120* - Pajişti xerice pe nisipuri</w:t>
            </w:r>
            <w:r w:rsidRPr="00C56257">
              <w:rPr>
                <w:color w:val="000000" w:themeColor="text1"/>
                <w:spacing w:val="-52"/>
                <w:sz w:val="24"/>
                <w:szCs w:val="24"/>
              </w:rPr>
              <w:t xml:space="preserve"> </w:t>
            </w:r>
            <w:r w:rsidRPr="00C56257">
              <w:rPr>
                <w:color w:val="000000" w:themeColor="text1"/>
                <w:sz w:val="24"/>
                <w:szCs w:val="24"/>
              </w:rPr>
              <w:t>calcaroase</w:t>
            </w:r>
          </w:p>
        </w:tc>
        <w:tc>
          <w:tcPr>
            <w:tcW w:w="586" w:type="dxa"/>
          </w:tcPr>
          <w:p w14:paraId="0D67A3C5" w14:textId="77777777" w:rsidR="006735BF" w:rsidRPr="00C56257" w:rsidRDefault="006735BF" w:rsidP="008E33FD">
            <w:pPr>
              <w:pStyle w:val="TableParagraph"/>
              <w:jc w:val="both"/>
              <w:rPr>
                <w:color w:val="000000" w:themeColor="text1"/>
                <w:sz w:val="24"/>
                <w:szCs w:val="24"/>
              </w:rPr>
            </w:pPr>
          </w:p>
        </w:tc>
        <w:tc>
          <w:tcPr>
            <w:tcW w:w="558" w:type="dxa"/>
          </w:tcPr>
          <w:p w14:paraId="5C027E47" w14:textId="77777777" w:rsidR="006735BF" w:rsidRPr="00C56257" w:rsidRDefault="006735BF" w:rsidP="008E33FD">
            <w:pPr>
              <w:pStyle w:val="TableParagraph"/>
              <w:jc w:val="both"/>
              <w:rPr>
                <w:color w:val="000000" w:themeColor="text1"/>
                <w:sz w:val="24"/>
                <w:szCs w:val="24"/>
              </w:rPr>
            </w:pPr>
          </w:p>
        </w:tc>
        <w:tc>
          <w:tcPr>
            <w:tcW w:w="572" w:type="dxa"/>
            <w:shd w:val="clear" w:color="auto" w:fill="BEBEBE"/>
          </w:tcPr>
          <w:p w14:paraId="66B34F18"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07EE3BBE"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59768A57"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33A60CCA" w14:textId="77777777" w:rsidR="006735BF" w:rsidRPr="00C56257" w:rsidRDefault="006735BF" w:rsidP="008E33FD">
            <w:pPr>
              <w:pStyle w:val="TableParagraph"/>
              <w:jc w:val="both"/>
              <w:rPr>
                <w:color w:val="000000" w:themeColor="text1"/>
                <w:sz w:val="24"/>
                <w:szCs w:val="24"/>
              </w:rPr>
            </w:pPr>
          </w:p>
        </w:tc>
        <w:tc>
          <w:tcPr>
            <w:tcW w:w="517" w:type="dxa"/>
            <w:shd w:val="clear" w:color="auto" w:fill="BEBEBE"/>
          </w:tcPr>
          <w:p w14:paraId="04456B6A"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763686AA"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24D91AB3"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37E21115"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76B6141D" w14:textId="77777777" w:rsidR="006735BF" w:rsidRPr="00C56257" w:rsidRDefault="006735BF" w:rsidP="008E33FD">
            <w:pPr>
              <w:pStyle w:val="TableParagraph"/>
              <w:jc w:val="both"/>
              <w:rPr>
                <w:color w:val="000000" w:themeColor="text1"/>
                <w:sz w:val="24"/>
                <w:szCs w:val="24"/>
              </w:rPr>
            </w:pPr>
          </w:p>
        </w:tc>
        <w:tc>
          <w:tcPr>
            <w:tcW w:w="514" w:type="dxa"/>
          </w:tcPr>
          <w:p w14:paraId="422E934C" w14:textId="77777777" w:rsidR="006735BF" w:rsidRPr="00C56257" w:rsidRDefault="006735BF" w:rsidP="008E33FD">
            <w:pPr>
              <w:pStyle w:val="TableParagraph"/>
              <w:jc w:val="both"/>
              <w:rPr>
                <w:color w:val="000000" w:themeColor="text1"/>
                <w:sz w:val="24"/>
                <w:szCs w:val="24"/>
              </w:rPr>
            </w:pPr>
          </w:p>
        </w:tc>
        <w:tc>
          <w:tcPr>
            <w:tcW w:w="2564" w:type="dxa"/>
            <w:tcBorders>
              <w:right w:val="nil"/>
            </w:tcBorders>
          </w:tcPr>
          <w:p w14:paraId="0FD5A0B5" w14:textId="77777777" w:rsidR="006735BF" w:rsidRPr="00C56257" w:rsidRDefault="006735BF" w:rsidP="008E33FD">
            <w:pPr>
              <w:pStyle w:val="TableParagraph"/>
              <w:spacing w:before="4"/>
              <w:jc w:val="both"/>
              <w:rPr>
                <w:b/>
                <w:color w:val="000000" w:themeColor="text1"/>
                <w:sz w:val="24"/>
                <w:szCs w:val="24"/>
              </w:rPr>
            </w:pPr>
          </w:p>
          <w:p w14:paraId="1182E7EB" w14:textId="77777777" w:rsidR="006735BF" w:rsidRPr="00C56257" w:rsidRDefault="006735BF" w:rsidP="008E33FD">
            <w:pPr>
              <w:pStyle w:val="TableParagraph"/>
              <w:ind w:left="22"/>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6607E3A2" w14:textId="77777777" w:rsidR="006735BF" w:rsidRPr="00C56257" w:rsidRDefault="006735BF" w:rsidP="009E63E5">
            <w:pPr>
              <w:pStyle w:val="TableParagraph"/>
              <w:numPr>
                <w:ilvl w:val="0"/>
                <w:numId w:val="136"/>
              </w:numPr>
              <w:tabs>
                <w:tab w:val="left" w:pos="280"/>
              </w:tabs>
              <w:spacing w:before="1"/>
              <w:ind w:right="89" w:firstLine="0"/>
              <w:jc w:val="both"/>
              <w:rPr>
                <w:color w:val="000000" w:themeColor="text1"/>
                <w:sz w:val="24"/>
                <w:szCs w:val="24"/>
              </w:rPr>
            </w:pPr>
            <w:r w:rsidRPr="00C56257">
              <w:rPr>
                <w:color w:val="000000" w:themeColor="text1"/>
                <w:sz w:val="24"/>
                <w:szCs w:val="24"/>
              </w:rPr>
              <w:t>metoda</w:t>
            </w:r>
            <w:r w:rsidRPr="00C56257">
              <w:rPr>
                <w:color w:val="000000" w:themeColor="text1"/>
                <w:spacing w:val="11"/>
                <w:sz w:val="24"/>
                <w:szCs w:val="24"/>
              </w:rPr>
              <w:t xml:space="preserve"> </w:t>
            </w:r>
            <w:r w:rsidRPr="00C56257">
              <w:rPr>
                <w:color w:val="000000" w:themeColor="text1"/>
                <w:sz w:val="24"/>
                <w:szCs w:val="24"/>
              </w:rPr>
              <w:t>releveelor</w:t>
            </w:r>
            <w:r w:rsidRPr="00C56257">
              <w:rPr>
                <w:color w:val="000000" w:themeColor="text1"/>
                <w:spacing w:val="11"/>
                <w:sz w:val="24"/>
                <w:szCs w:val="24"/>
              </w:rPr>
              <w:t xml:space="preserve">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57B49FB5" w14:textId="77777777" w:rsidR="006735BF" w:rsidRPr="00C56257" w:rsidRDefault="006735BF" w:rsidP="009E63E5">
            <w:pPr>
              <w:pStyle w:val="TableParagraph"/>
              <w:numPr>
                <w:ilvl w:val="0"/>
                <w:numId w:val="136"/>
              </w:numPr>
              <w:tabs>
                <w:tab w:val="left" w:pos="261"/>
              </w:tabs>
              <w:spacing w:line="251" w:lineRule="exact"/>
              <w:ind w:left="260" w:hanging="239"/>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20" w:type="dxa"/>
            <w:tcBorders>
              <w:left w:val="nil"/>
            </w:tcBorders>
          </w:tcPr>
          <w:p w14:paraId="475FC522" w14:textId="77777777" w:rsidR="006735BF" w:rsidRPr="00C56257" w:rsidRDefault="006735BF" w:rsidP="008E33FD">
            <w:pPr>
              <w:pStyle w:val="TableParagraph"/>
              <w:jc w:val="both"/>
              <w:rPr>
                <w:b/>
                <w:color w:val="000000" w:themeColor="text1"/>
                <w:sz w:val="24"/>
                <w:szCs w:val="24"/>
              </w:rPr>
            </w:pPr>
          </w:p>
          <w:p w14:paraId="401A9626" w14:textId="77777777" w:rsidR="006735BF" w:rsidRPr="00C56257" w:rsidRDefault="006735BF" w:rsidP="008E33FD">
            <w:pPr>
              <w:pStyle w:val="TableParagraph"/>
              <w:spacing w:before="5"/>
              <w:jc w:val="both"/>
              <w:rPr>
                <w:b/>
                <w:color w:val="000000" w:themeColor="text1"/>
                <w:sz w:val="24"/>
                <w:szCs w:val="24"/>
              </w:rPr>
            </w:pPr>
          </w:p>
          <w:p w14:paraId="56FEFFC1" w14:textId="77777777" w:rsidR="006735BF" w:rsidRPr="00C56257" w:rsidRDefault="006735BF" w:rsidP="008E33FD">
            <w:pPr>
              <w:pStyle w:val="TableParagraph"/>
              <w:ind w:right="27"/>
              <w:jc w:val="both"/>
              <w:rPr>
                <w:color w:val="000000" w:themeColor="text1"/>
                <w:sz w:val="24"/>
                <w:szCs w:val="24"/>
              </w:rPr>
            </w:pPr>
            <w:r w:rsidRPr="00C56257">
              <w:rPr>
                <w:color w:val="000000" w:themeColor="text1"/>
                <w:sz w:val="24"/>
                <w:szCs w:val="24"/>
              </w:rPr>
              <w:t>a</w:t>
            </w:r>
          </w:p>
        </w:tc>
        <w:tc>
          <w:tcPr>
            <w:tcW w:w="2181" w:type="dxa"/>
          </w:tcPr>
          <w:p w14:paraId="0FA661B0" w14:textId="77777777" w:rsidR="006735BF" w:rsidRPr="00C56257" w:rsidRDefault="006735BF" w:rsidP="008E33FD">
            <w:pPr>
              <w:pStyle w:val="TableParagraph"/>
              <w:ind w:left="20" w:right="11"/>
              <w:jc w:val="both"/>
              <w:rPr>
                <w:color w:val="000000" w:themeColor="text1"/>
                <w:sz w:val="24"/>
                <w:szCs w:val="24"/>
              </w:rPr>
            </w:pPr>
            <w:r w:rsidRPr="00C56257">
              <w:rPr>
                <w:color w:val="000000" w:themeColor="text1"/>
                <w:sz w:val="24"/>
                <w:szCs w:val="24"/>
              </w:rPr>
              <w:t>Min 7 relevee/ transecte</w:t>
            </w:r>
            <w:r w:rsidRPr="00C56257">
              <w:rPr>
                <w:color w:val="000000" w:themeColor="text1"/>
                <w:spacing w:val="-52"/>
                <w:sz w:val="24"/>
                <w:szCs w:val="24"/>
              </w:rPr>
              <w:t xml:space="preserve"> </w:t>
            </w:r>
            <w:r w:rsidRPr="00C56257">
              <w:rPr>
                <w:color w:val="000000" w:themeColor="text1"/>
                <w:sz w:val="24"/>
                <w:szCs w:val="24"/>
              </w:rPr>
              <w:t>de monitorizare în</w:t>
            </w:r>
            <w:r w:rsidRPr="00C56257">
              <w:rPr>
                <w:color w:val="000000" w:themeColor="text1"/>
                <w:spacing w:val="1"/>
                <w:sz w:val="24"/>
                <w:szCs w:val="24"/>
              </w:rPr>
              <w:t xml:space="preserve"> </w:t>
            </w:r>
            <w:r w:rsidRPr="00C56257">
              <w:rPr>
                <w:color w:val="000000" w:themeColor="text1"/>
                <w:sz w:val="24"/>
                <w:szCs w:val="24"/>
              </w:rPr>
              <w:t>cadrul ariilor naturale</w:t>
            </w:r>
            <w:r w:rsidRPr="00C56257">
              <w:rPr>
                <w:color w:val="000000" w:themeColor="text1"/>
                <w:spacing w:val="1"/>
                <w:sz w:val="24"/>
                <w:szCs w:val="24"/>
              </w:rPr>
              <w:t xml:space="preserve"> </w:t>
            </w:r>
            <w:r w:rsidRPr="00C56257">
              <w:rPr>
                <w:color w:val="000000" w:themeColor="text1"/>
                <w:sz w:val="24"/>
                <w:szCs w:val="24"/>
              </w:rPr>
              <w:t>țintă şi în afara acestora</w:t>
            </w:r>
            <w:r w:rsidRPr="00C56257">
              <w:rPr>
                <w:color w:val="000000" w:themeColor="text1"/>
                <w:spacing w:val="-52"/>
                <w:sz w:val="24"/>
                <w:szCs w:val="24"/>
              </w:rPr>
              <w:t xml:space="preserve"> </w:t>
            </w:r>
            <w:r w:rsidRPr="00C56257">
              <w:rPr>
                <w:color w:val="000000" w:themeColor="text1"/>
                <w:sz w:val="24"/>
                <w:szCs w:val="24"/>
              </w:rPr>
              <w:t>în</w:t>
            </w:r>
            <w:r w:rsidRPr="00C56257">
              <w:rPr>
                <w:color w:val="000000" w:themeColor="text1"/>
                <w:spacing w:val="-1"/>
                <w:sz w:val="24"/>
                <w:szCs w:val="24"/>
              </w:rPr>
              <w:t xml:space="preserve"> </w:t>
            </w:r>
            <w:r w:rsidRPr="00C56257">
              <w:rPr>
                <w:color w:val="000000" w:themeColor="text1"/>
                <w:sz w:val="24"/>
                <w:szCs w:val="24"/>
              </w:rPr>
              <w:t>situația</w:t>
            </w:r>
            <w:r w:rsidRPr="00C56257">
              <w:rPr>
                <w:color w:val="000000" w:themeColor="text1"/>
                <w:spacing w:val="-1"/>
                <w:sz w:val="24"/>
                <w:szCs w:val="24"/>
              </w:rPr>
              <w:t xml:space="preserve"> </w:t>
            </w:r>
            <w:r w:rsidRPr="00C56257">
              <w:rPr>
                <w:color w:val="000000" w:themeColor="text1"/>
                <w:sz w:val="24"/>
                <w:szCs w:val="24"/>
              </w:rPr>
              <w:t>prezenței</w:t>
            </w:r>
          </w:p>
          <w:p w14:paraId="7CFE56DB" w14:textId="77777777" w:rsidR="006735BF" w:rsidRPr="00C56257" w:rsidRDefault="006735BF" w:rsidP="008E33FD">
            <w:pPr>
              <w:pStyle w:val="TableParagraph"/>
              <w:spacing w:line="238" w:lineRule="exact"/>
              <w:ind w:left="20"/>
              <w:jc w:val="both"/>
              <w:rPr>
                <w:color w:val="000000" w:themeColor="text1"/>
                <w:sz w:val="24"/>
                <w:szCs w:val="24"/>
              </w:rPr>
            </w:pPr>
            <w:r w:rsidRPr="00C56257">
              <w:rPr>
                <w:color w:val="000000" w:themeColor="text1"/>
                <w:sz w:val="24"/>
                <w:szCs w:val="24"/>
              </w:rPr>
              <w:t>habitatului.</w:t>
            </w:r>
          </w:p>
        </w:tc>
      </w:tr>
      <w:tr w:rsidR="001842B9" w:rsidRPr="00C56257" w14:paraId="0F80B4F6" w14:textId="77777777" w:rsidTr="001842B9">
        <w:trPr>
          <w:trHeight w:val="1518"/>
        </w:trPr>
        <w:tc>
          <w:tcPr>
            <w:tcW w:w="3207" w:type="dxa"/>
          </w:tcPr>
          <w:p w14:paraId="579D84B2" w14:textId="77777777" w:rsidR="006735BF" w:rsidRPr="00C56257" w:rsidRDefault="006735BF" w:rsidP="008E33FD">
            <w:pPr>
              <w:pStyle w:val="TableParagraph"/>
              <w:jc w:val="both"/>
              <w:rPr>
                <w:b/>
                <w:color w:val="000000" w:themeColor="text1"/>
                <w:sz w:val="24"/>
                <w:szCs w:val="24"/>
              </w:rPr>
            </w:pPr>
          </w:p>
          <w:p w14:paraId="50F88F1C" w14:textId="77777777" w:rsidR="006735BF" w:rsidRPr="00C56257" w:rsidRDefault="006735BF" w:rsidP="008E33FD">
            <w:pPr>
              <w:pStyle w:val="TableParagraph"/>
              <w:spacing w:before="5"/>
              <w:jc w:val="both"/>
              <w:rPr>
                <w:b/>
                <w:color w:val="000000" w:themeColor="text1"/>
                <w:sz w:val="24"/>
                <w:szCs w:val="24"/>
              </w:rPr>
            </w:pPr>
          </w:p>
          <w:p w14:paraId="6A96F4F8" w14:textId="77777777" w:rsidR="006735BF" w:rsidRPr="00C56257" w:rsidRDefault="006735BF" w:rsidP="008E33FD">
            <w:pPr>
              <w:pStyle w:val="TableParagraph"/>
              <w:ind w:left="26" w:right="218"/>
              <w:jc w:val="both"/>
              <w:rPr>
                <w:color w:val="000000" w:themeColor="text1"/>
                <w:sz w:val="24"/>
                <w:szCs w:val="24"/>
              </w:rPr>
            </w:pPr>
            <w:r w:rsidRPr="00C56257">
              <w:rPr>
                <w:color w:val="000000" w:themeColor="text1"/>
                <w:sz w:val="24"/>
                <w:szCs w:val="24"/>
              </w:rPr>
              <w:t>6150 - Pajişti boreale şi alpine pe</w:t>
            </w:r>
            <w:r w:rsidRPr="00C56257">
              <w:rPr>
                <w:color w:val="000000" w:themeColor="text1"/>
                <w:spacing w:val="-52"/>
                <w:sz w:val="24"/>
                <w:szCs w:val="24"/>
              </w:rPr>
              <w:t xml:space="preserve"> </w:t>
            </w:r>
            <w:r w:rsidRPr="00C56257">
              <w:rPr>
                <w:color w:val="000000" w:themeColor="text1"/>
                <w:sz w:val="24"/>
                <w:szCs w:val="24"/>
              </w:rPr>
              <w:t>substrate</w:t>
            </w:r>
            <w:r w:rsidRPr="00C56257">
              <w:rPr>
                <w:color w:val="000000" w:themeColor="text1"/>
                <w:spacing w:val="-3"/>
                <w:sz w:val="24"/>
                <w:szCs w:val="24"/>
              </w:rPr>
              <w:t xml:space="preserve"> </w:t>
            </w:r>
            <w:r w:rsidRPr="00C56257">
              <w:rPr>
                <w:color w:val="000000" w:themeColor="text1"/>
                <w:sz w:val="24"/>
                <w:szCs w:val="24"/>
              </w:rPr>
              <w:t>siliciose</w:t>
            </w:r>
          </w:p>
        </w:tc>
        <w:tc>
          <w:tcPr>
            <w:tcW w:w="586" w:type="dxa"/>
          </w:tcPr>
          <w:p w14:paraId="3C40B918" w14:textId="77777777" w:rsidR="006735BF" w:rsidRPr="00C56257" w:rsidRDefault="006735BF" w:rsidP="008E33FD">
            <w:pPr>
              <w:pStyle w:val="TableParagraph"/>
              <w:jc w:val="both"/>
              <w:rPr>
                <w:color w:val="000000" w:themeColor="text1"/>
                <w:sz w:val="24"/>
                <w:szCs w:val="24"/>
              </w:rPr>
            </w:pPr>
          </w:p>
        </w:tc>
        <w:tc>
          <w:tcPr>
            <w:tcW w:w="558" w:type="dxa"/>
          </w:tcPr>
          <w:p w14:paraId="1A098FE2" w14:textId="77777777" w:rsidR="006735BF" w:rsidRPr="00C56257" w:rsidRDefault="006735BF" w:rsidP="008E33FD">
            <w:pPr>
              <w:pStyle w:val="TableParagraph"/>
              <w:jc w:val="both"/>
              <w:rPr>
                <w:color w:val="000000" w:themeColor="text1"/>
                <w:sz w:val="24"/>
                <w:szCs w:val="24"/>
              </w:rPr>
            </w:pPr>
          </w:p>
        </w:tc>
        <w:tc>
          <w:tcPr>
            <w:tcW w:w="572" w:type="dxa"/>
            <w:shd w:val="clear" w:color="auto" w:fill="BEBEBE"/>
          </w:tcPr>
          <w:p w14:paraId="7BE1937C"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17E3F9B4"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1FEF3965"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3779AAB6" w14:textId="77777777" w:rsidR="006735BF" w:rsidRPr="00C56257" w:rsidRDefault="006735BF" w:rsidP="008E33FD">
            <w:pPr>
              <w:pStyle w:val="TableParagraph"/>
              <w:jc w:val="both"/>
              <w:rPr>
                <w:color w:val="000000" w:themeColor="text1"/>
                <w:sz w:val="24"/>
                <w:szCs w:val="24"/>
              </w:rPr>
            </w:pPr>
          </w:p>
        </w:tc>
        <w:tc>
          <w:tcPr>
            <w:tcW w:w="517" w:type="dxa"/>
            <w:shd w:val="clear" w:color="auto" w:fill="BEBEBE"/>
          </w:tcPr>
          <w:p w14:paraId="5196EBD9"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25E2B49B"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053770CF"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3AEF6827"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0D7B676E" w14:textId="77777777" w:rsidR="006735BF" w:rsidRPr="00C56257" w:rsidRDefault="006735BF" w:rsidP="008E33FD">
            <w:pPr>
              <w:pStyle w:val="TableParagraph"/>
              <w:jc w:val="both"/>
              <w:rPr>
                <w:color w:val="000000" w:themeColor="text1"/>
                <w:sz w:val="24"/>
                <w:szCs w:val="24"/>
              </w:rPr>
            </w:pPr>
          </w:p>
        </w:tc>
        <w:tc>
          <w:tcPr>
            <w:tcW w:w="514" w:type="dxa"/>
          </w:tcPr>
          <w:p w14:paraId="523B9078" w14:textId="77777777" w:rsidR="006735BF" w:rsidRPr="00C56257" w:rsidRDefault="006735BF" w:rsidP="008E33FD">
            <w:pPr>
              <w:pStyle w:val="TableParagraph"/>
              <w:jc w:val="both"/>
              <w:rPr>
                <w:color w:val="000000" w:themeColor="text1"/>
                <w:sz w:val="24"/>
                <w:szCs w:val="24"/>
              </w:rPr>
            </w:pPr>
          </w:p>
        </w:tc>
        <w:tc>
          <w:tcPr>
            <w:tcW w:w="2564" w:type="dxa"/>
            <w:tcBorders>
              <w:right w:val="nil"/>
            </w:tcBorders>
          </w:tcPr>
          <w:p w14:paraId="52223D8F" w14:textId="77777777" w:rsidR="006735BF" w:rsidRPr="00C56257" w:rsidRDefault="006735BF" w:rsidP="008E33FD">
            <w:pPr>
              <w:pStyle w:val="TableParagraph"/>
              <w:spacing w:before="6"/>
              <w:jc w:val="both"/>
              <w:rPr>
                <w:b/>
                <w:color w:val="000000" w:themeColor="text1"/>
                <w:sz w:val="24"/>
                <w:szCs w:val="24"/>
              </w:rPr>
            </w:pPr>
          </w:p>
          <w:p w14:paraId="06A07B5B" w14:textId="77777777" w:rsidR="006735BF" w:rsidRPr="00C56257" w:rsidRDefault="006735BF" w:rsidP="008E33FD">
            <w:pPr>
              <w:pStyle w:val="TableParagraph"/>
              <w:spacing w:line="252" w:lineRule="exact"/>
              <w:ind w:left="22"/>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55A914D2" w14:textId="77777777" w:rsidR="006735BF" w:rsidRPr="00C56257" w:rsidRDefault="006735BF" w:rsidP="009E63E5">
            <w:pPr>
              <w:pStyle w:val="TableParagraph"/>
              <w:numPr>
                <w:ilvl w:val="0"/>
                <w:numId w:val="135"/>
              </w:numPr>
              <w:tabs>
                <w:tab w:val="left" w:pos="280"/>
              </w:tabs>
              <w:ind w:right="89" w:firstLine="0"/>
              <w:jc w:val="both"/>
              <w:rPr>
                <w:color w:val="000000" w:themeColor="text1"/>
                <w:sz w:val="24"/>
                <w:szCs w:val="24"/>
              </w:rPr>
            </w:pPr>
            <w:r w:rsidRPr="00C56257">
              <w:rPr>
                <w:color w:val="000000" w:themeColor="text1"/>
                <w:sz w:val="24"/>
                <w:szCs w:val="24"/>
              </w:rPr>
              <w:t>metoda</w:t>
            </w:r>
            <w:r w:rsidRPr="00C56257">
              <w:rPr>
                <w:color w:val="000000" w:themeColor="text1"/>
                <w:spacing w:val="11"/>
                <w:sz w:val="24"/>
                <w:szCs w:val="24"/>
              </w:rPr>
              <w:t xml:space="preserve"> </w:t>
            </w:r>
            <w:r w:rsidRPr="00C56257">
              <w:rPr>
                <w:color w:val="000000" w:themeColor="text1"/>
                <w:sz w:val="24"/>
                <w:szCs w:val="24"/>
              </w:rPr>
              <w:t>releveelor</w:t>
            </w:r>
            <w:r w:rsidRPr="00C56257">
              <w:rPr>
                <w:color w:val="000000" w:themeColor="text1"/>
                <w:spacing w:val="11"/>
                <w:sz w:val="24"/>
                <w:szCs w:val="24"/>
              </w:rPr>
              <w:t xml:space="preserve">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5290900F" w14:textId="77777777" w:rsidR="006735BF" w:rsidRPr="00C56257" w:rsidRDefault="006735BF" w:rsidP="009E63E5">
            <w:pPr>
              <w:pStyle w:val="TableParagraph"/>
              <w:numPr>
                <w:ilvl w:val="0"/>
                <w:numId w:val="135"/>
              </w:numPr>
              <w:tabs>
                <w:tab w:val="left" w:pos="261"/>
              </w:tabs>
              <w:ind w:left="260" w:hanging="239"/>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20" w:type="dxa"/>
            <w:tcBorders>
              <w:left w:val="nil"/>
            </w:tcBorders>
          </w:tcPr>
          <w:p w14:paraId="0EF36C24" w14:textId="77777777" w:rsidR="006735BF" w:rsidRPr="00C56257" w:rsidRDefault="006735BF" w:rsidP="008E33FD">
            <w:pPr>
              <w:pStyle w:val="TableParagraph"/>
              <w:jc w:val="both"/>
              <w:rPr>
                <w:b/>
                <w:color w:val="000000" w:themeColor="text1"/>
                <w:sz w:val="24"/>
                <w:szCs w:val="24"/>
              </w:rPr>
            </w:pPr>
          </w:p>
          <w:p w14:paraId="2B8848A4" w14:textId="77777777" w:rsidR="006735BF" w:rsidRPr="00C56257" w:rsidRDefault="006735BF" w:rsidP="008E33FD">
            <w:pPr>
              <w:pStyle w:val="TableParagraph"/>
              <w:spacing w:before="5"/>
              <w:jc w:val="both"/>
              <w:rPr>
                <w:b/>
                <w:color w:val="000000" w:themeColor="text1"/>
                <w:sz w:val="24"/>
                <w:szCs w:val="24"/>
              </w:rPr>
            </w:pPr>
          </w:p>
          <w:p w14:paraId="265791D3" w14:textId="77777777" w:rsidR="006735BF" w:rsidRPr="00C56257" w:rsidRDefault="006735BF" w:rsidP="008E33FD">
            <w:pPr>
              <w:pStyle w:val="TableParagraph"/>
              <w:ind w:right="27"/>
              <w:jc w:val="both"/>
              <w:rPr>
                <w:color w:val="000000" w:themeColor="text1"/>
                <w:sz w:val="24"/>
                <w:szCs w:val="24"/>
              </w:rPr>
            </w:pPr>
            <w:r w:rsidRPr="00C56257">
              <w:rPr>
                <w:color w:val="000000" w:themeColor="text1"/>
                <w:sz w:val="24"/>
                <w:szCs w:val="24"/>
              </w:rPr>
              <w:t>a</w:t>
            </w:r>
          </w:p>
        </w:tc>
        <w:tc>
          <w:tcPr>
            <w:tcW w:w="2181" w:type="dxa"/>
          </w:tcPr>
          <w:p w14:paraId="088201C1" w14:textId="77777777" w:rsidR="006735BF" w:rsidRPr="00C56257" w:rsidRDefault="006735BF" w:rsidP="008E33FD">
            <w:pPr>
              <w:pStyle w:val="TableParagraph"/>
              <w:ind w:left="20" w:right="11"/>
              <w:jc w:val="both"/>
              <w:rPr>
                <w:color w:val="000000" w:themeColor="text1"/>
                <w:sz w:val="24"/>
                <w:szCs w:val="24"/>
              </w:rPr>
            </w:pPr>
            <w:r w:rsidRPr="00C56257">
              <w:rPr>
                <w:color w:val="000000" w:themeColor="text1"/>
                <w:sz w:val="24"/>
                <w:szCs w:val="24"/>
              </w:rPr>
              <w:t>Min 7 relevee/ transecte</w:t>
            </w:r>
            <w:r w:rsidRPr="00C56257">
              <w:rPr>
                <w:color w:val="000000" w:themeColor="text1"/>
                <w:spacing w:val="-52"/>
                <w:sz w:val="24"/>
                <w:szCs w:val="24"/>
              </w:rPr>
              <w:t xml:space="preserve"> </w:t>
            </w:r>
            <w:r w:rsidRPr="00C56257">
              <w:rPr>
                <w:color w:val="000000" w:themeColor="text1"/>
                <w:sz w:val="24"/>
                <w:szCs w:val="24"/>
              </w:rPr>
              <w:t>de monitorizare în</w:t>
            </w:r>
            <w:r w:rsidRPr="00C56257">
              <w:rPr>
                <w:color w:val="000000" w:themeColor="text1"/>
                <w:spacing w:val="1"/>
                <w:sz w:val="24"/>
                <w:szCs w:val="24"/>
              </w:rPr>
              <w:t xml:space="preserve"> </w:t>
            </w:r>
            <w:r w:rsidRPr="00C56257">
              <w:rPr>
                <w:color w:val="000000" w:themeColor="text1"/>
                <w:sz w:val="24"/>
                <w:szCs w:val="24"/>
              </w:rPr>
              <w:t>cadrul ariilor naturale</w:t>
            </w:r>
            <w:r w:rsidRPr="00C56257">
              <w:rPr>
                <w:color w:val="000000" w:themeColor="text1"/>
                <w:spacing w:val="1"/>
                <w:sz w:val="24"/>
                <w:szCs w:val="24"/>
              </w:rPr>
              <w:t xml:space="preserve"> </w:t>
            </w:r>
            <w:r w:rsidRPr="00C56257">
              <w:rPr>
                <w:color w:val="000000" w:themeColor="text1"/>
                <w:sz w:val="24"/>
                <w:szCs w:val="24"/>
              </w:rPr>
              <w:t>țintă</w:t>
            </w:r>
            <w:r w:rsidRPr="00C56257">
              <w:rPr>
                <w:color w:val="000000" w:themeColor="text1"/>
                <w:spacing w:val="-1"/>
                <w:sz w:val="24"/>
                <w:szCs w:val="24"/>
              </w:rPr>
              <w:t xml:space="preserve"> </w:t>
            </w:r>
            <w:r w:rsidRPr="00C56257">
              <w:rPr>
                <w:color w:val="000000" w:themeColor="text1"/>
                <w:sz w:val="24"/>
                <w:szCs w:val="24"/>
              </w:rPr>
              <w:t>şi</w:t>
            </w:r>
            <w:r w:rsidRPr="00C56257">
              <w:rPr>
                <w:color w:val="000000" w:themeColor="text1"/>
                <w:spacing w:val="-4"/>
                <w:sz w:val="24"/>
                <w:szCs w:val="24"/>
              </w:rPr>
              <w:t xml:space="preserve"> </w:t>
            </w:r>
            <w:r w:rsidRPr="00C56257">
              <w:rPr>
                <w:color w:val="000000" w:themeColor="text1"/>
                <w:sz w:val="24"/>
                <w:szCs w:val="24"/>
              </w:rPr>
              <w:t>în</w:t>
            </w:r>
            <w:r w:rsidRPr="00C56257">
              <w:rPr>
                <w:color w:val="000000" w:themeColor="text1"/>
                <w:spacing w:val="-1"/>
                <w:sz w:val="24"/>
                <w:szCs w:val="24"/>
              </w:rPr>
              <w:t xml:space="preserve"> </w:t>
            </w:r>
            <w:r w:rsidRPr="00C56257">
              <w:rPr>
                <w:color w:val="000000" w:themeColor="text1"/>
                <w:sz w:val="24"/>
                <w:szCs w:val="24"/>
              </w:rPr>
              <w:t>afara</w:t>
            </w:r>
            <w:r w:rsidRPr="00C56257">
              <w:rPr>
                <w:color w:val="000000" w:themeColor="text1"/>
                <w:spacing w:val="-2"/>
                <w:sz w:val="24"/>
                <w:szCs w:val="24"/>
              </w:rPr>
              <w:t xml:space="preserve"> </w:t>
            </w:r>
            <w:r w:rsidRPr="00C56257">
              <w:rPr>
                <w:color w:val="000000" w:themeColor="text1"/>
                <w:sz w:val="24"/>
                <w:szCs w:val="24"/>
              </w:rPr>
              <w:t>acestora</w:t>
            </w:r>
          </w:p>
          <w:p w14:paraId="7E8A0221" w14:textId="77777777" w:rsidR="006735BF" w:rsidRPr="00C56257" w:rsidRDefault="006735BF" w:rsidP="008E33FD">
            <w:pPr>
              <w:pStyle w:val="TableParagraph"/>
              <w:spacing w:line="252" w:lineRule="exact"/>
              <w:ind w:left="20" w:right="408"/>
              <w:jc w:val="both"/>
              <w:rPr>
                <w:color w:val="000000" w:themeColor="text1"/>
                <w:sz w:val="24"/>
                <w:szCs w:val="24"/>
              </w:rPr>
            </w:pPr>
            <w:r w:rsidRPr="00C56257">
              <w:rPr>
                <w:color w:val="000000" w:themeColor="text1"/>
                <w:sz w:val="24"/>
                <w:szCs w:val="24"/>
              </w:rPr>
              <w:t>în situația prezenței</w:t>
            </w:r>
            <w:r w:rsidRPr="00C56257">
              <w:rPr>
                <w:color w:val="000000" w:themeColor="text1"/>
                <w:spacing w:val="-52"/>
                <w:sz w:val="24"/>
                <w:szCs w:val="24"/>
              </w:rPr>
              <w:t xml:space="preserve"> </w:t>
            </w:r>
            <w:r w:rsidRPr="00C56257">
              <w:rPr>
                <w:color w:val="000000" w:themeColor="text1"/>
                <w:sz w:val="24"/>
                <w:szCs w:val="24"/>
              </w:rPr>
              <w:t>habitatului.</w:t>
            </w:r>
          </w:p>
        </w:tc>
      </w:tr>
      <w:tr w:rsidR="001842B9" w:rsidRPr="00C56257" w14:paraId="0BB6310D" w14:textId="77777777" w:rsidTr="001842B9">
        <w:trPr>
          <w:trHeight w:val="1516"/>
        </w:trPr>
        <w:tc>
          <w:tcPr>
            <w:tcW w:w="3207" w:type="dxa"/>
          </w:tcPr>
          <w:p w14:paraId="57AAF657" w14:textId="77777777" w:rsidR="006735BF" w:rsidRPr="00C56257" w:rsidRDefault="006735BF" w:rsidP="008E33FD">
            <w:pPr>
              <w:pStyle w:val="TableParagraph"/>
              <w:jc w:val="both"/>
              <w:rPr>
                <w:b/>
                <w:color w:val="000000" w:themeColor="text1"/>
                <w:sz w:val="24"/>
                <w:szCs w:val="24"/>
              </w:rPr>
            </w:pPr>
          </w:p>
          <w:p w14:paraId="54B9518E" w14:textId="77777777" w:rsidR="006735BF" w:rsidRPr="00C56257" w:rsidRDefault="006735BF" w:rsidP="008E33FD">
            <w:pPr>
              <w:pStyle w:val="TableParagraph"/>
              <w:spacing w:before="6"/>
              <w:jc w:val="both"/>
              <w:rPr>
                <w:b/>
                <w:color w:val="000000" w:themeColor="text1"/>
                <w:sz w:val="24"/>
                <w:szCs w:val="24"/>
              </w:rPr>
            </w:pPr>
          </w:p>
          <w:p w14:paraId="647A8847" w14:textId="77777777" w:rsidR="006735BF" w:rsidRPr="00C56257" w:rsidRDefault="006735BF" w:rsidP="008E33FD">
            <w:pPr>
              <w:pStyle w:val="TableParagraph"/>
              <w:ind w:left="26" w:right="420"/>
              <w:jc w:val="both"/>
              <w:rPr>
                <w:color w:val="000000" w:themeColor="text1"/>
                <w:sz w:val="24"/>
                <w:szCs w:val="24"/>
              </w:rPr>
            </w:pPr>
            <w:r w:rsidRPr="00C56257">
              <w:rPr>
                <w:color w:val="000000" w:themeColor="text1"/>
                <w:sz w:val="24"/>
                <w:szCs w:val="24"/>
              </w:rPr>
              <w:t>6170 - Pajişti calcifile alpine şi</w:t>
            </w:r>
            <w:r w:rsidRPr="00C56257">
              <w:rPr>
                <w:color w:val="000000" w:themeColor="text1"/>
                <w:spacing w:val="-52"/>
                <w:sz w:val="24"/>
                <w:szCs w:val="24"/>
              </w:rPr>
              <w:t xml:space="preserve"> </w:t>
            </w:r>
            <w:r w:rsidRPr="00C56257">
              <w:rPr>
                <w:color w:val="000000" w:themeColor="text1"/>
                <w:sz w:val="24"/>
                <w:szCs w:val="24"/>
              </w:rPr>
              <w:t>subalpine</w:t>
            </w:r>
          </w:p>
        </w:tc>
        <w:tc>
          <w:tcPr>
            <w:tcW w:w="586" w:type="dxa"/>
          </w:tcPr>
          <w:p w14:paraId="4BCB07E0" w14:textId="77777777" w:rsidR="006735BF" w:rsidRPr="00C56257" w:rsidRDefault="006735BF" w:rsidP="008E33FD">
            <w:pPr>
              <w:pStyle w:val="TableParagraph"/>
              <w:jc w:val="both"/>
              <w:rPr>
                <w:color w:val="000000" w:themeColor="text1"/>
                <w:sz w:val="24"/>
                <w:szCs w:val="24"/>
              </w:rPr>
            </w:pPr>
          </w:p>
        </w:tc>
        <w:tc>
          <w:tcPr>
            <w:tcW w:w="558" w:type="dxa"/>
          </w:tcPr>
          <w:p w14:paraId="46F9EE6C" w14:textId="77777777" w:rsidR="006735BF" w:rsidRPr="00C56257" w:rsidRDefault="006735BF" w:rsidP="008E33FD">
            <w:pPr>
              <w:pStyle w:val="TableParagraph"/>
              <w:jc w:val="both"/>
              <w:rPr>
                <w:color w:val="000000" w:themeColor="text1"/>
                <w:sz w:val="24"/>
                <w:szCs w:val="24"/>
              </w:rPr>
            </w:pPr>
          </w:p>
        </w:tc>
        <w:tc>
          <w:tcPr>
            <w:tcW w:w="572" w:type="dxa"/>
            <w:shd w:val="clear" w:color="auto" w:fill="BEBEBE"/>
          </w:tcPr>
          <w:p w14:paraId="7D3C7B19"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144B746E"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2DBE6DAA"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7D81D418" w14:textId="77777777" w:rsidR="006735BF" w:rsidRPr="00C56257" w:rsidRDefault="006735BF" w:rsidP="008E33FD">
            <w:pPr>
              <w:pStyle w:val="TableParagraph"/>
              <w:jc w:val="both"/>
              <w:rPr>
                <w:color w:val="000000" w:themeColor="text1"/>
                <w:sz w:val="24"/>
                <w:szCs w:val="24"/>
              </w:rPr>
            </w:pPr>
          </w:p>
        </w:tc>
        <w:tc>
          <w:tcPr>
            <w:tcW w:w="517" w:type="dxa"/>
            <w:shd w:val="clear" w:color="auto" w:fill="BEBEBE"/>
          </w:tcPr>
          <w:p w14:paraId="78B2858A"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73BA03D4"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4231D03B"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0C0E36C9"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18587E36" w14:textId="77777777" w:rsidR="006735BF" w:rsidRPr="00C56257" w:rsidRDefault="006735BF" w:rsidP="008E33FD">
            <w:pPr>
              <w:pStyle w:val="TableParagraph"/>
              <w:jc w:val="both"/>
              <w:rPr>
                <w:color w:val="000000" w:themeColor="text1"/>
                <w:sz w:val="24"/>
                <w:szCs w:val="24"/>
              </w:rPr>
            </w:pPr>
          </w:p>
        </w:tc>
        <w:tc>
          <w:tcPr>
            <w:tcW w:w="514" w:type="dxa"/>
          </w:tcPr>
          <w:p w14:paraId="15EE9225" w14:textId="77777777" w:rsidR="006735BF" w:rsidRPr="00C56257" w:rsidRDefault="006735BF" w:rsidP="008E33FD">
            <w:pPr>
              <w:pStyle w:val="TableParagraph"/>
              <w:jc w:val="both"/>
              <w:rPr>
                <w:color w:val="000000" w:themeColor="text1"/>
                <w:sz w:val="24"/>
                <w:szCs w:val="24"/>
              </w:rPr>
            </w:pPr>
          </w:p>
        </w:tc>
        <w:tc>
          <w:tcPr>
            <w:tcW w:w="2564" w:type="dxa"/>
            <w:tcBorders>
              <w:right w:val="nil"/>
            </w:tcBorders>
          </w:tcPr>
          <w:p w14:paraId="7C695594" w14:textId="77777777" w:rsidR="006735BF" w:rsidRPr="00C56257" w:rsidRDefault="006735BF" w:rsidP="008E33FD">
            <w:pPr>
              <w:pStyle w:val="TableParagraph"/>
              <w:spacing w:before="4"/>
              <w:jc w:val="both"/>
              <w:rPr>
                <w:b/>
                <w:color w:val="000000" w:themeColor="text1"/>
                <w:sz w:val="24"/>
                <w:szCs w:val="24"/>
              </w:rPr>
            </w:pPr>
          </w:p>
          <w:p w14:paraId="7004FB2F" w14:textId="77777777" w:rsidR="006735BF" w:rsidRPr="00C56257" w:rsidRDefault="006735BF" w:rsidP="008E33FD">
            <w:pPr>
              <w:pStyle w:val="TableParagraph"/>
              <w:ind w:left="22"/>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0A2533FC" w14:textId="77777777" w:rsidR="006735BF" w:rsidRPr="00C56257" w:rsidRDefault="006735BF" w:rsidP="009E63E5">
            <w:pPr>
              <w:pStyle w:val="TableParagraph"/>
              <w:numPr>
                <w:ilvl w:val="0"/>
                <w:numId w:val="134"/>
              </w:numPr>
              <w:tabs>
                <w:tab w:val="left" w:pos="280"/>
              </w:tabs>
              <w:spacing w:before="2"/>
              <w:ind w:right="89" w:firstLine="0"/>
              <w:jc w:val="both"/>
              <w:rPr>
                <w:color w:val="000000" w:themeColor="text1"/>
                <w:sz w:val="24"/>
                <w:szCs w:val="24"/>
              </w:rPr>
            </w:pPr>
            <w:r w:rsidRPr="00C56257">
              <w:rPr>
                <w:color w:val="000000" w:themeColor="text1"/>
                <w:sz w:val="24"/>
                <w:szCs w:val="24"/>
              </w:rPr>
              <w:t>metoda</w:t>
            </w:r>
            <w:r w:rsidRPr="00C56257">
              <w:rPr>
                <w:color w:val="000000" w:themeColor="text1"/>
                <w:spacing w:val="11"/>
                <w:sz w:val="24"/>
                <w:szCs w:val="24"/>
              </w:rPr>
              <w:t xml:space="preserve"> </w:t>
            </w:r>
            <w:r w:rsidRPr="00C56257">
              <w:rPr>
                <w:color w:val="000000" w:themeColor="text1"/>
                <w:sz w:val="24"/>
                <w:szCs w:val="24"/>
              </w:rPr>
              <w:t>releveelor</w:t>
            </w:r>
            <w:r w:rsidRPr="00C56257">
              <w:rPr>
                <w:color w:val="000000" w:themeColor="text1"/>
                <w:spacing w:val="11"/>
                <w:sz w:val="24"/>
                <w:szCs w:val="24"/>
              </w:rPr>
              <w:t xml:space="preserve">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50481267" w14:textId="77777777" w:rsidR="006735BF" w:rsidRPr="00C56257" w:rsidRDefault="006735BF" w:rsidP="009E63E5">
            <w:pPr>
              <w:pStyle w:val="TableParagraph"/>
              <w:numPr>
                <w:ilvl w:val="0"/>
                <w:numId w:val="134"/>
              </w:numPr>
              <w:tabs>
                <w:tab w:val="left" w:pos="261"/>
              </w:tabs>
              <w:ind w:left="260" w:hanging="239"/>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20" w:type="dxa"/>
            <w:tcBorders>
              <w:left w:val="nil"/>
            </w:tcBorders>
          </w:tcPr>
          <w:p w14:paraId="77F6DAAC" w14:textId="77777777" w:rsidR="006735BF" w:rsidRPr="00C56257" w:rsidRDefault="006735BF" w:rsidP="008E33FD">
            <w:pPr>
              <w:pStyle w:val="TableParagraph"/>
              <w:jc w:val="both"/>
              <w:rPr>
                <w:b/>
                <w:color w:val="000000" w:themeColor="text1"/>
                <w:sz w:val="24"/>
                <w:szCs w:val="24"/>
              </w:rPr>
            </w:pPr>
          </w:p>
          <w:p w14:paraId="542FEFD8" w14:textId="77777777" w:rsidR="006735BF" w:rsidRPr="00C56257" w:rsidRDefault="006735BF" w:rsidP="008E33FD">
            <w:pPr>
              <w:pStyle w:val="TableParagraph"/>
              <w:spacing w:before="6"/>
              <w:jc w:val="both"/>
              <w:rPr>
                <w:b/>
                <w:color w:val="000000" w:themeColor="text1"/>
                <w:sz w:val="24"/>
                <w:szCs w:val="24"/>
              </w:rPr>
            </w:pPr>
          </w:p>
          <w:p w14:paraId="4E1118F2" w14:textId="77777777" w:rsidR="006735BF" w:rsidRPr="00C56257" w:rsidRDefault="006735BF" w:rsidP="008E33FD">
            <w:pPr>
              <w:pStyle w:val="TableParagraph"/>
              <w:ind w:right="27"/>
              <w:jc w:val="both"/>
              <w:rPr>
                <w:color w:val="000000" w:themeColor="text1"/>
                <w:sz w:val="24"/>
                <w:szCs w:val="24"/>
              </w:rPr>
            </w:pPr>
            <w:r w:rsidRPr="00C56257">
              <w:rPr>
                <w:color w:val="000000" w:themeColor="text1"/>
                <w:sz w:val="24"/>
                <w:szCs w:val="24"/>
              </w:rPr>
              <w:t>a</w:t>
            </w:r>
          </w:p>
        </w:tc>
        <w:tc>
          <w:tcPr>
            <w:tcW w:w="2181" w:type="dxa"/>
          </w:tcPr>
          <w:p w14:paraId="00F6CFD7" w14:textId="77777777" w:rsidR="006735BF" w:rsidRPr="00C56257" w:rsidRDefault="006735BF" w:rsidP="008E33FD">
            <w:pPr>
              <w:pStyle w:val="TableParagraph"/>
              <w:ind w:left="20" w:right="11"/>
              <w:jc w:val="both"/>
              <w:rPr>
                <w:color w:val="000000" w:themeColor="text1"/>
                <w:sz w:val="24"/>
                <w:szCs w:val="24"/>
              </w:rPr>
            </w:pPr>
            <w:r w:rsidRPr="00C56257">
              <w:rPr>
                <w:color w:val="000000" w:themeColor="text1"/>
                <w:sz w:val="24"/>
                <w:szCs w:val="24"/>
              </w:rPr>
              <w:t>Min 7 relevee/ transecte</w:t>
            </w:r>
            <w:r w:rsidRPr="00C56257">
              <w:rPr>
                <w:color w:val="000000" w:themeColor="text1"/>
                <w:spacing w:val="-52"/>
                <w:sz w:val="24"/>
                <w:szCs w:val="24"/>
              </w:rPr>
              <w:t xml:space="preserve"> </w:t>
            </w:r>
            <w:r w:rsidRPr="00C56257">
              <w:rPr>
                <w:color w:val="000000" w:themeColor="text1"/>
                <w:sz w:val="24"/>
                <w:szCs w:val="24"/>
              </w:rPr>
              <w:t>de monitorizare în</w:t>
            </w:r>
            <w:r w:rsidRPr="00C56257">
              <w:rPr>
                <w:color w:val="000000" w:themeColor="text1"/>
                <w:spacing w:val="1"/>
                <w:sz w:val="24"/>
                <w:szCs w:val="24"/>
              </w:rPr>
              <w:t xml:space="preserve"> </w:t>
            </w:r>
            <w:r w:rsidRPr="00C56257">
              <w:rPr>
                <w:color w:val="000000" w:themeColor="text1"/>
                <w:sz w:val="24"/>
                <w:szCs w:val="24"/>
              </w:rPr>
              <w:t>cadrul ariilor naturale</w:t>
            </w:r>
            <w:r w:rsidRPr="00C56257">
              <w:rPr>
                <w:color w:val="000000" w:themeColor="text1"/>
                <w:spacing w:val="1"/>
                <w:sz w:val="24"/>
                <w:szCs w:val="24"/>
              </w:rPr>
              <w:t xml:space="preserve"> </w:t>
            </w:r>
            <w:r w:rsidRPr="00C56257">
              <w:rPr>
                <w:color w:val="000000" w:themeColor="text1"/>
                <w:sz w:val="24"/>
                <w:szCs w:val="24"/>
              </w:rPr>
              <w:t>țintă</w:t>
            </w:r>
            <w:r w:rsidRPr="00C56257">
              <w:rPr>
                <w:color w:val="000000" w:themeColor="text1"/>
                <w:spacing w:val="-1"/>
                <w:sz w:val="24"/>
                <w:szCs w:val="24"/>
              </w:rPr>
              <w:t xml:space="preserve"> </w:t>
            </w:r>
            <w:r w:rsidRPr="00C56257">
              <w:rPr>
                <w:color w:val="000000" w:themeColor="text1"/>
                <w:sz w:val="24"/>
                <w:szCs w:val="24"/>
              </w:rPr>
              <w:t>şi</w:t>
            </w:r>
            <w:r w:rsidRPr="00C56257">
              <w:rPr>
                <w:color w:val="000000" w:themeColor="text1"/>
                <w:spacing w:val="-4"/>
                <w:sz w:val="24"/>
                <w:szCs w:val="24"/>
              </w:rPr>
              <w:t xml:space="preserve"> </w:t>
            </w:r>
            <w:r w:rsidRPr="00C56257">
              <w:rPr>
                <w:color w:val="000000" w:themeColor="text1"/>
                <w:sz w:val="24"/>
                <w:szCs w:val="24"/>
              </w:rPr>
              <w:t>în</w:t>
            </w:r>
            <w:r w:rsidRPr="00C56257">
              <w:rPr>
                <w:color w:val="000000" w:themeColor="text1"/>
                <w:spacing w:val="-1"/>
                <w:sz w:val="24"/>
                <w:szCs w:val="24"/>
              </w:rPr>
              <w:t xml:space="preserve"> </w:t>
            </w:r>
            <w:r w:rsidRPr="00C56257">
              <w:rPr>
                <w:color w:val="000000" w:themeColor="text1"/>
                <w:sz w:val="24"/>
                <w:szCs w:val="24"/>
              </w:rPr>
              <w:t>afara</w:t>
            </w:r>
            <w:r w:rsidRPr="00C56257">
              <w:rPr>
                <w:color w:val="000000" w:themeColor="text1"/>
                <w:spacing w:val="-2"/>
                <w:sz w:val="24"/>
                <w:szCs w:val="24"/>
              </w:rPr>
              <w:t xml:space="preserve"> </w:t>
            </w:r>
            <w:r w:rsidRPr="00C56257">
              <w:rPr>
                <w:color w:val="000000" w:themeColor="text1"/>
                <w:sz w:val="24"/>
                <w:szCs w:val="24"/>
              </w:rPr>
              <w:t>acestora</w:t>
            </w:r>
          </w:p>
          <w:p w14:paraId="17900901" w14:textId="77777777" w:rsidR="006735BF" w:rsidRPr="00C56257" w:rsidRDefault="006735BF" w:rsidP="008E33FD">
            <w:pPr>
              <w:pStyle w:val="TableParagraph"/>
              <w:spacing w:line="252" w:lineRule="exact"/>
              <w:ind w:left="20" w:right="408"/>
              <w:jc w:val="both"/>
              <w:rPr>
                <w:color w:val="000000" w:themeColor="text1"/>
                <w:sz w:val="24"/>
                <w:szCs w:val="24"/>
              </w:rPr>
            </w:pPr>
            <w:r w:rsidRPr="00C56257">
              <w:rPr>
                <w:color w:val="000000" w:themeColor="text1"/>
                <w:sz w:val="24"/>
                <w:szCs w:val="24"/>
              </w:rPr>
              <w:t xml:space="preserve">în situația </w:t>
            </w:r>
            <w:r w:rsidRPr="00C56257">
              <w:rPr>
                <w:color w:val="000000" w:themeColor="text1"/>
                <w:sz w:val="24"/>
                <w:szCs w:val="24"/>
              </w:rPr>
              <w:lastRenderedPageBreak/>
              <w:t>prezenței</w:t>
            </w:r>
            <w:r w:rsidRPr="00C56257">
              <w:rPr>
                <w:color w:val="000000" w:themeColor="text1"/>
                <w:spacing w:val="-52"/>
                <w:sz w:val="24"/>
                <w:szCs w:val="24"/>
              </w:rPr>
              <w:t xml:space="preserve"> </w:t>
            </w:r>
            <w:r w:rsidRPr="00C56257">
              <w:rPr>
                <w:color w:val="000000" w:themeColor="text1"/>
                <w:sz w:val="24"/>
                <w:szCs w:val="24"/>
              </w:rPr>
              <w:t>habitatului.</w:t>
            </w:r>
          </w:p>
        </w:tc>
      </w:tr>
      <w:tr w:rsidR="001842B9" w:rsidRPr="00C56257" w14:paraId="3AF0148B" w14:textId="77777777" w:rsidTr="001842B9">
        <w:trPr>
          <w:trHeight w:val="1012"/>
        </w:trPr>
        <w:tc>
          <w:tcPr>
            <w:tcW w:w="3207" w:type="dxa"/>
          </w:tcPr>
          <w:p w14:paraId="67847BDA" w14:textId="77777777" w:rsidR="006735BF" w:rsidRPr="00C56257" w:rsidRDefault="006735BF" w:rsidP="008E33FD">
            <w:pPr>
              <w:pStyle w:val="TableParagraph"/>
              <w:spacing w:before="6"/>
              <w:jc w:val="both"/>
              <w:rPr>
                <w:b/>
                <w:color w:val="000000" w:themeColor="text1"/>
                <w:sz w:val="24"/>
                <w:szCs w:val="24"/>
              </w:rPr>
            </w:pPr>
          </w:p>
          <w:p w14:paraId="60903E43" w14:textId="77777777" w:rsidR="006735BF" w:rsidRPr="00C56257" w:rsidRDefault="006735BF" w:rsidP="008E33FD">
            <w:pPr>
              <w:pStyle w:val="TableParagraph"/>
              <w:ind w:left="26" w:right="81"/>
              <w:jc w:val="both"/>
              <w:rPr>
                <w:color w:val="000000" w:themeColor="text1"/>
                <w:sz w:val="24"/>
                <w:szCs w:val="24"/>
              </w:rPr>
            </w:pPr>
            <w:r w:rsidRPr="00C56257">
              <w:rPr>
                <w:color w:val="000000" w:themeColor="text1"/>
                <w:sz w:val="24"/>
                <w:szCs w:val="24"/>
              </w:rPr>
              <w:t>6190 - Pajişti panonice de stâncării</w:t>
            </w:r>
            <w:r w:rsidRPr="00C56257">
              <w:rPr>
                <w:color w:val="000000" w:themeColor="text1"/>
                <w:spacing w:val="-52"/>
                <w:sz w:val="24"/>
                <w:szCs w:val="24"/>
              </w:rPr>
              <w:t xml:space="preserve"> </w:t>
            </w:r>
            <w:r w:rsidRPr="00C56257">
              <w:rPr>
                <w:color w:val="000000" w:themeColor="text1"/>
                <w:sz w:val="24"/>
                <w:szCs w:val="24"/>
              </w:rPr>
              <w:t>(</w:t>
            </w:r>
            <w:r w:rsidRPr="00C56257">
              <w:rPr>
                <w:i/>
                <w:color w:val="000000" w:themeColor="text1"/>
                <w:sz w:val="24"/>
                <w:szCs w:val="24"/>
              </w:rPr>
              <w:t>Stipo-Festucetalia</w:t>
            </w:r>
            <w:r w:rsidRPr="00C56257">
              <w:rPr>
                <w:i/>
                <w:color w:val="000000" w:themeColor="text1"/>
                <w:spacing w:val="-4"/>
                <w:sz w:val="24"/>
                <w:szCs w:val="24"/>
              </w:rPr>
              <w:t xml:space="preserve"> </w:t>
            </w:r>
            <w:r w:rsidRPr="00C56257">
              <w:rPr>
                <w:i/>
                <w:color w:val="000000" w:themeColor="text1"/>
                <w:sz w:val="24"/>
                <w:szCs w:val="24"/>
              </w:rPr>
              <w:t>pallentis</w:t>
            </w:r>
            <w:r w:rsidRPr="00C56257">
              <w:rPr>
                <w:color w:val="000000" w:themeColor="text1"/>
                <w:sz w:val="24"/>
                <w:szCs w:val="24"/>
              </w:rPr>
              <w:t>);</w:t>
            </w:r>
          </w:p>
        </w:tc>
        <w:tc>
          <w:tcPr>
            <w:tcW w:w="586" w:type="dxa"/>
          </w:tcPr>
          <w:p w14:paraId="18B16D41" w14:textId="77777777" w:rsidR="006735BF" w:rsidRPr="00C56257" w:rsidRDefault="006735BF" w:rsidP="008E33FD">
            <w:pPr>
              <w:pStyle w:val="TableParagraph"/>
              <w:jc w:val="both"/>
              <w:rPr>
                <w:color w:val="000000" w:themeColor="text1"/>
                <w:sz w:val="24"/>
                <w:szCs w:val="24"/>
              </w:rPr>
            </w:pPr>
          </w:p>
        </w:tc>
        <w:tc>
          <w:tcPr>
            <w:tcW w:w="558" w:type="dxa"/>
          </w:tcPr>
          <w:p w14:paraId="69B91314" w14:textId="77777777" w:rsidR="006735BF" w:rsidRPr="00C56257" w:rsidRDefault="006735BF" w:rsidP="008E33FD">
            <w:pPr>
              <w:pStyle w:val="TableParagraph"/>
              <w:jc w:val="both"/>
              <w:rPr>
                <w:color w:val="000000" w:themeColor="text1"/>
                <w:sz w:val="24"/>
                <w:szCs w:val="24"/>
              </w:rPr>
            </w:pPr>
          </w:p>
        </w:tc>
        <w:tc>
          <w:tcPr>
            <w:tcW w:w="572" w:type="dxa"/>
            <w:shd w:val="clear" w:color="auto" w:fill="BEBEBE"/>
          </w:tcPr>
          <w:p w14:paraId="7C1DD681"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1FBB16D0"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6766FE74"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753CA09F" w14:textId="77777777" w:rsidR="006735BF" w:rsidRPr="00C56257" w:rsidRDefault="006735BF" w:rsidP="008E33FD">
            <w:pPr>
              <w:pStyle w:val="TableParagraph"/>
              <w:jc w:val="both"/>
              <w:rPr>
                <w:color w:val="000000" w:themeColor="text1"/>
                <w:sz w:val="24"/>
                <w:szCs w:val="24"/>
              </w:rPr>
            </w:pPr>
          </w:p>
        </w:tc>
        <w:tc>
          <w:tcPr>
            <w:tcW w:w="517" w:type="dxa"/>
            <w:shd w:val="clear" w:color="auto" w:fill="BEBEBE"/>
          </w:tcPr>
          <w:p w14:paraId="31EAF6F6"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1E11174E"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10B7E04F"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7924E96C"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181BD351" w14:textId="77777777" w:rsidR="006735BF" w:rsidRPr="00C56257" w:rsidRDefault="006735BF" w:rsidP="008E33FD">
            <w:pPr>
              <w:pStyle w:val="TableParagraph"/>
              <w:jc w:val="both"/>
              <w:rPr>
                <w:color w:val="000000" w:themeColor="text1"/>
                <w:sz w:val="24"/>
                <w:szCs w:val="24"/>
              </w:rPr>
            </w:pPr>
          </w:p>
        </w:tc>
        <w:tc>
          <w:tcPr>
            <w:tcW w:w="514" w:type="dxa"/>
          </w:tcPr>
          <w:p w14:paraId="7E86804C" w14:textId="77777777" w:rsidR="006735BF" w:rsidRPr="00C56257" w:rsidRDefault="006735BF" w:rsidP="008E33FD">
            <w:pPr>
              <w:pStyle w:val="TableParagraph"/>
              <w:jc w:val="both"/>
              <w:rPr>
                <w:color w:val="000000" w:themeColor="text1"/>
                <w:sz w:val="24"/>
                <w:szCs w:val="24"/>
              </w:rPr>
            </w:pPr>
          </w:p>
        </w:tc>
        <w:tc>
          <w:tcPr>
            <w:tcW w:w="2564" w:type="dxa"/>
            <w:tcBorders>
              <w:right w:val="nil"/>
            </w:tcBorders>
          </w:tcPr>
          <w:p w14:paraId="08F4D475" w14:textId="77777777" w:rsidR="006735BF" w:rsidRPr="00C56257" w:rsidRDefault="006735BF" w:rsidP="008E33FD">
            <w:pPr>
              <w:pStyle w:val="TableParagraph"/>
              <w:spacing w:line="248" w:lineRule="exact"/>
              <w:ind w:left="22"/>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33872EE6" w14:textId="77777777" w:rsidR="006735BF" w:rsidRPr="00C56257" w:rsidRDefault="006735BF" w:rsidP="009E63E5">
            <w:pPr>
              <w:pStyle w:val="TableParagraph"/>
              <w:numPr>
                <w:ilvl w:val="0"/>
                <w:numId w:val="133"/>
              </w:numPr>
              <w:tabs>
                <w:tab w:val="left" w:pos="280"/>
              </w:tabs>
              <w:ind w:right="89" w:firstLine="0"/>
              <w:jc w:val="both"/>
              <w:rPr>
                <w:color w:val="000000" w:themeColor="text1"/>
                <w:sz w:val="24"/>
                <w:szCs w:val="24"/>
              </w:rPr>
            </w:pPr>
            <w:r w:rsidRPr="00C56257">
              <w:rPr>
                <w:color w:val="000000" w:themeColor="text1"/>
                <w:sz w:val="24"/>
                <w:szCs w:val="24"/>
              </w:rPr>
              <w:t>metoda</w:t>
            </w:r>
            <w:r w:rsidRPr="00C56257">
              <w:rPr>
                <w:color w:val="000000" w:themeColor="text1"/>
                <w:spacing w:val="11"/>
                <w:sz w:val="24"/>
                <w:szCs w:val="24"/>
              </w:rPr>
              <w:t xml:space="preserve"> </w:t>
            </w:r>
            <w:r w:rsidRPr="00C56257">
              <w:rPr>
                <w:color w:val="000000" w:themeColor="text1"/>
                <w:sz w:val="24"/>
                <w:szCs w:val="24"/>
              </w:rPr>
              <w:t>releveelor</w:t>
            </w:r>
            <w:r w:rsidRPr="00C56257">
              <w:rPr>
                <w:color w:val="000000" w:themeColor="text1"/>
                <w:spacing w:val="11"/>
                <w:sz w:val="24"/>
                <w:szCs w:val="24"/>
              </w:rPr>
              <w:t xml:space="preserve">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641EEF57" w14:textId="77777777" w:rsidR="006735BF" w:rsidRPr="00C56257" w:rsidRDefault="006735BF" w:rsidP="009E63E5">
            <w:pPr>
              <w:pStyle w:val="TableParagraph"/>
              <w:numPr>
                <w:ilvl w:val="0"/>
                <w:numId w:val="133"/>
              </w:numPr>
              <w:tabs>
                <w:tab w:val="left" w:pos="261"/>
              </w:tabs>
              <w:spacing w:line="238" w:lineRule="exact"/>
              <w:ind w:left="260" w:hanging="239"/>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20" w:type="dxa"/>
            <w:tcBorders>
              <w:left w:val="nil"/>
            </w:tcBorders>
          </w:tcPr>
          <w:p w14:paraId="11D0C8E1" w14:textId="77777777" w:rsidR="006735BF" w:rsidRPr="00C56257" w:rsidRDefault="006735BF" w:rsidP="008E33FD">
            <w:pPr>
              <w:pStyle w:val="TableParagraph"/>
              <w:spacing w:before="6"/>
              <w:jc w:val="both"/>
              <w:rPr>
                <w:b/>
                <w:color w:val="000000" w:themeColor="text1"/>
                <w:sz w:val="24"/>
                <w:szCs w:val="24"/>
              </w:rPr>
            </w:pPr>
          </w:p>
          <w:p w14:paraId="11B72546" w14:textId="77777777" w:rsidR="006735BF" w:rsidRPr="00C56257" w:rsidRDefault="006735BF" w:rsidP="008E33FD">
            <w:pPr>
              <w:pStyle w:val="TableParagraph"/>
              <w:ind w:right="27"/>
              <w:jc w:val="both"/>
              <w:rPr>
                <w:color w:val="000000" w:themeColor="text1"/>
                <w:sz w:val="24"/>
                <w:szCs w:val="24"/>
              </w:rPr>
            </w:pPr>
            <w:r w:rsidRPr="00C56257">
              <w:rPr>
                <w:color w:val="000000" w:themeColor="text1"/>
                <w:sz w:val="24"/>
                <w:szCs w:val="24"/>
              </w:rPr>
              <w:t>a</w:t>
            </w:r>
          </w:p>
        </w:tc>
        <w:tc>
          <w:tcPr>
            <w:tcW w:w="2181" w:type="dxa"/>
          </w:tcPr>
          <w:p w14:paraId="3A1DB77C" w14:textId="77777777" w:rsidR="006735BF" w:rsidRPr="00C56257" w:rsidRDefault="006735BF" w:rsidP="008E33FD">
            <w:pPr>
              <w:pStyle w:val="TableParagraph"/>
              <w:ind w:left="20" w:right="11"/>
              <w:jc w:val="both"/>
              <w:rPr>
                <w:color w:val="000000" w:themeColor="text1"/>
                <w:sz w:val="24"/>
                <w:szCs w:val="24"/>
              </w:rPr>
            </w:pPr>
            <w:r w:rsidRPr="00C56257">
              <w:rPr>
                <w:color w:val="000000" w:themeColor="text1"/>
                <w:sz w:val="24"/>
                <w:szCs w:val="24"/>
              </w:rPr>
              <w:t>Min 7 relevee/ transecte</w:t>
            </w:r>
            <w:r w:rsidRPr="00C56257">
              <w:rPr>
                <w:color w:val="000000" w:themeColor="text1"/>
                <w:spacing w:val="-52"/>
                <w:sz w:val="24"/>
                <w:szCs w:val="24"/>
              </w:rPr>
              <w:t xml:space="preserve"> </w:t>
            </w:r>
            <w:r w:rsidRPr="00C56257">
              <w:rPr>
                <w:color w:val="000000" w:themeColor="text1"/>
                <w:sz w:val="24"/>
                <w:szCs w:val="24"/>
              </w:rPr>
              <w:t>de monitorizare în</w:t>
            </w:r>
            <w:r w:rsidRPr="00C56257">
              <w:rPr>
                <w:color w:val="000000" w:themeColor="text1"/>
                <w:spacing w:val="1"/>
                <w:sz w:val="24"/>
                <w:szCs w:val="24"/>
              </w:rPr>
              <w:t xml:space="preserve"> </w:t>
            </w:r>
            <w:r w:rsidRPr="00C56257">
              <w:rPr>
                <w:color w:val="000000" w:themeColor="text1"/>
                <w:sz w:val="24"/>
                <w:szCs w:val="24"/>
              </w:rPr>
              <w:t>cadrul</w:t>
            </w:r>
            <w:r w:rsidRPr="00C56257">
              <w:rPr>
                <w:color w:val="000000" w:themeColor="text1"/>
                <w:spacing w:val="-1"/>
                <w:sz w:val="24"/>
                <w:szCs w:val="24"/>
              </w:rPr>
              <w:t xml:space="preserve"> </w:t>
            </w:r>
            <w:r w:rsidRPr="00C56257">
              <w:rPr>
                <w:color w:val="000000" w:themeColor="text1"/>
                <w:sz w:val="24"/>
                <w:szCs w:val="24"/>
              </w:rPr>
              <w:t>ariilor</w:t>
            </w:r>
            <w:r w:rsidRPr="00C56257">
              <w:rPr>
                <w:color w:val="000000" w:themeColor="text1"/>
                <w:spacing w:val="-2"/>
                <w:sz w:val="24"/>
                <w:szCs w:val="24"/>
              </w:rPr>
              <w:t xml:space="preserve"> </w:t>
            </w:r>
            <w:r w:rsidRPr="00C56257">
              <w:rPr>
                <w:color w:val="000000" w:themeColor="text1"/>
                <w:sz w:val="24"/>
                <w:szCs w:val="24"/>
              </w:rPr>
              <w:t>naturale</w:t>
            </w:r>
          </w:p>
          <w:p w14:paraId="2114EDB6" w14:textId="77777777" w:rsidR="006735BF" w:rsidRPr="00C56257" w:rsidRDefault="006735BF" w:rsidP="008E33FD">
            <w:pPr>
              <w:pStyle w:val="TableParagraph"/>
              <w:spacing w:line="237" w:lineRule="exact"/>
              <w:ind w:left="20"/>
              <w:jc w:val="both"/>
              <w:rPr>
                <w:color w:val="000000" w:themeColor="text1"/>
                <w:sz w:val="24"/>
                <w:szCs w:val="24"/>
              </w:rPr>
            </w:pPr>
            <w:r w:rsidRPr="00C56257">
              <w:rPr>
                <w:color w:val="000000" w:themeColor="text1"/>
                <w:sz w:val="24"/>
                <w:szCs w:val="24"/>
              </w:rPr>
              <w:t>țintă</w:t>
            </w:r>
            <w:r w:rsidRPr="00C56257">
              <w:rPr>
                <w:color w:val="000000" w:themeColor="text1"/>
                <w:spacing w:val="-1"/>
                <w:sz w:val="24"/>
                <w:szCs w:val="24"/>
              </w:rPr>
              <w:t xml:space="preserve"> </w:t>
            </w:r>
            <w:r w:rsidRPr="00C56257">
              <w:rPr>
                <w:color w:val="000000" w:themeColor="text1"/>
                <w:sz w:val="24"/>
                <w:szCs w:val="24"/>
              </w:rPr>
              <w:t>şi</w:t>
            </w:r>
            <w:r w:rsidRPr="00C56257">
              <w:rPr>
                <w:color w:val="000000" w:themeColor="text1"/>
                <w:spacing w:val="-3"/>
                <w:sz w:val="24"/>
                <w:szCs w:val="24"/>
              </w:rPr>
              <w:t xml:space="preserve"> </w:t>
            </w:r>
            <w:r w:rsidRPr="00C56257">
              <w:rPr>
                <w:color w:val="000000" w:themeColor="text1"/>
                <w:sz w:val="24"/>
                <w:szCs w:val="24"/>
              </w:rPr>
              <w:t>în</w:t>
            </w:r>
            <w:r w:rsidRPr="00C56257">
              <w:rPr>
                <w:color w:val="000000" w:themeColor="text1"/>
                <w:spacing w:val="-2"/>
                <w:sz w:val="24"/>
                <w:szCs w:val="24"/>
              </w:rPr>
              <w:t xml:space="preserve"> </w:t>
            </w:r>
            <w:r w:rsidRPr="00C56257">
              <w:rPr>
                <w:color w:val="000000" w:themeColor="text1"/>
                <w:sz w:val="24"/>
                <w:szCs w:val="24"/>
              </w:rPr>
              <w:t>afara</w:t>
            </w:r>
            <w:r w:rsidRPr="00C56257">
              <w:rPr>
                <w:color w:val="000000" w:themeColor="text1"/>
                <w:spacing w:val="-1"/>
                <w:sz w:val="24"/>
                <w:szCs w:val="24"/>
              </w:rPr>
              <w:t xml:space="preserve"> </w:t>
            </w:r>
            <w:r w:rsidRPr="00C56257">
              <w:rPr>
                <w:color w:val="000000" w:themeColor="text1"/>
                <w:sz w:val="24"/>
                <w:szCs w:val="24"/>
              </w:rPr>
              <w:t>acestora</w:t>
            </w:r>
          </w:p>
        </w:tc>
      </w:tr>
      <w:tr w:rsidR="001842B9" w:rsidRPr="00C56257" w14:paraId="66FE0CC2" w14:textId="77777777" w:rsidTr="001842B9">
        <w:trPr>
          <w:trHeight w:val="525"/>
        </w:trPr>
        <w:tc>
          <w:tcPr>
            <w:tcW w:w="3207" w:type="dxa"/>
            <w:vMerge w:val="restart"/>
            <w:shd w:val="clear" w:color="auto" w:fill="D9D9D9"/>
          </w:tcPr>
          <w:p w14:paraId="2750DF88" w14:textId="77777777" w:rsidR="006735BF" w:rsidRPr="00C56257" w:rsidRDefault="006735BF" w:rsidP="008E33FD">
            <w:pPr>
              <w:pStyle w:val="TableParagraph"/>
              <w:spacing w:before="3"/>
              <w:jc w:val="both"/>
              <w:rPr>
                <w:b/>
                <w:color w:val="000000" w:themeColor="text1"/>
                <w:sz w:val="24"/>
                <w:szCs w:val="24"/>
              </w:rPr>
            </w:pPr>
          </w:p>
          <w:p w14:paraId="649C1F5F" w14:textId="77777777" w:rsidR="006735BF" w:rsidRPr="00C56257" w:rsidRDefault="006735BF" w:rsidP="008E33FD">
            <w:pPr>
              <w:pStyle w:val="TableParagraph"/>
              <w:ind w:left="79"/>
              <w:jc w:val="both"/>
              <w:rPr>
                <w:b/>
                <w:color w:val="000000" w:themeColor="text1"/>
                <w:sz w:val="24"/>
                <w:szCs w:val="24"/>
              </w:rPr>
            </w:pPr>
            <w:r w:rsidRPr="00C56257">
              <w:rPr>
                <w:b/>
                <w:color w:val="000000" w:themeColor="text1"/>
                <w:sz w:val="24"/>
                <w:szCs w:val="24"/>
              </w:rPr>
              <w:t>Denumirea</w:t>
            </w:r>
            <w:r w:rsidRPr="00C56257">
              <w:rPr>
                <w:b/>
                <w:color w:val="000000" w:themeColor="text1"/>
                <w:spacing w:val="-1"/>
                <w:sz w:val="24"/>
                <w:szCs w:val="24"/>
              </w:rPr>
              <w:t xml:space="preserve"> </w:t>
            </w:r>
            <w:r w:rsidRPr="00C56257">
              <w:rPr>
                <w:b/>
                <w:color w:val="000000" w:themeColor="text1"/>
                <w:sz w:val="24"/>
                <w:szCs w:val="24"/>
              </w:rPr>
              <w:t>şi codul Natura</w:t>
            </w:r>
            <w:r w:rsidRPr="00C56257">
              <w:rPr>
                <w:b/>
                <w:color w:val="000000" w:themeColor="text1"/>
                <w:spacing w:val="-1"/>
                <w:sz w:val="24"/>
                <w:szCs w:val="24"/>
              </w:rPr>
              <w:t xml:space="preserve"> </w:t>
            </w:r>
            <w:r w:rsidRPr="00C56257">
              <w:rPr>
                <w:b/>
                <w:color w:val="000000" w:themeColor="text1"/>
                <w:sz w:val="24"/>
                <w:szCs w:val="24"/>
              </w:rPr>
              <w:t>2000</w:t>
            </w:r>
          </w:p>
        </w:tc>
        <w:tc>
          <w:tcPr>
            <w:tcW w:w="6722" w:type="dxa"/>
            <w:gridSpan w:val="12"/>
            <w:shd w:val="clear" w:color="auto" w:fill="D9D9D9"/>
          </w:tcPr>
          <w:p w14:paraId="546C7DD7" w14:textId="77777777" w:rsidR="006735BF" w:rsidRPr="00C56257" w:rsidRDefault="006735BF" w:rsidP="008E33FD">
            <w:pPr>
              <w:pStyle w:val="TableParagraph"/>
              <w:spacing w:before="135"/>
              <w:ind w:left="1814"/>
              <w:jc w:val="both"/>
              <w:rPr>
                <w:b/>
                <w:color w:val="000000" w:themeColor="text1"/>
                <w:sz w:val="24"/>
                <w:szCs w:val="24"/>
              </w:rPr>
            </w:pPr>
            <w:r w:rsidRPr="00C56257">
              <w:rPr>
                <w:b/>
                <w:color w:val="000000" w:themeColor="text1"/>
                <w:sz w:val="24"/>
                <w:szCs w:val="24"/>
              </w:rPr>
              <w:t>Perioade</w:t>
            </w:r>
            <w:r w:rsidRPr="00C56257">
              <w:rPr>
                <w:b/>
                <w:color w:val="000000" w:themeColor="text1"/>
                <w:spacing w:val="-1"/>
                <w:sz w:val="24"/>
                <w:szCs w:val="24"/>
              </w:rPr>
              <w:t xml:space="preserve"> </w:t>
            </w:r>
            <w:r w:rsidRPr="00C56257">
              <w:rPr>
                <w:b/>
                <w:color w:val="000000" w:themeColor="text1"/>
                <w:sz w:val="24"/>
                <w:szCs w:val="24"/>
              </w:rPr>
              <w:t>optime</w:t>
            </w:r>
            <w:r w:rsidRPr="00C56257">
              <w:rPr>
                <w:b/>
                <w:color w:val="000000" w:themeColor="text1"/>
                <w:spacing w:val="-1"/>
                <w:sz w:val="24"/>
                <w:szCs w:val="24"/>
              </w:rPr>
              <w:t xml:space="preserve"> </w:t>
            </w:r>
            <w:r w:rsidRPr="00C56257">
              <w:rPr>
                <w:b/>
                <w:color w:val="000000" w:themeColor="text1"/>
                <w:sz w:val="24"/>
                <w:szCs w:val="24"/>
              </w:rPr>
              <w:t>de</w:t>
            </w:r>
            <w:r w:rsidRPr="00C56257">
              <w:rPr>
                <w:b/>
                <w:color w:val="000000" w:themeColor="text1"/>
                <w:spacing w:val="-3"/>
                <w:sz w:val="24"/>
                <w:szCs w:val="24"/>
              </w:rPr>
              <w:t xml:space="preserve"> </w:t>
            </w:r>
            <w:r w:rsidRPr="00C56257">
              <w:rPr>
                <w:b/>
                <w:color w:val="000000" w:themeColor="text1"/>
                <w:sz w:val="24"/>
                <w:szCs w:val="24"/>
              </w:rPr>
              <w:t>monitorizare</w:t>
            </w:r>
          </w:p>
        </w:tc>
        <w:tc>
          <w:tcPr>
            <w:tcW w:w="2782" w:type="dxa"/>
            <w:gridSpan w:val="2"/>
            <w:vMerge w:val="restart"/>
            <w:shd w:val="clear" w:color="auto" w:fill="D9D9D9"/>
          </w:tcPr>
          <w:p w14:paraId="61248462" w14:textId="77777777" w:rsidR="006735BF" w:rsidRPr="00C56257" w:rsidRDefault="006735BF" w:rsidP="008E33FD">
            <w:pPr>
              <w:pStyle w:val="TableParagraph"/>
              <w:spacing w:before="3"/>
              <w:jc w:val="both"/>
              <w:rPr>
                <w:b/>
                <w:color w:val="000000" w:themeColor="text1"/>
                <w:sz w:val="24"/>
                <w:szCs w:val="24"/>
              </w:rPr>
            </w:pPr>
          </w:p>
          <w:p w14:paraId="50F7974A" w14:textId="77777777" w:rsidR="006735BF" w:rsidRPr="00C56257" w:rsidRDefault="006735BF" w:rsidP="008E33FD">
            <w:pPr>
              <w:pStyle w:val="TableParagraph"/>
              <w:ind w:left="611"/>
              <w:jc w:val="both"/>
              <w:rPr>
                <w:b/>
                <w:color w:val="000000" w:themeColor="text1"/>
                <w:sz w:val="24"/>
                <w:szCs w:val="24"/>
              </w:rPr>
            </w:pPr>
            <w:r w:rsidRPr="00C56257">
              <w:rPr>
                <w:b/>
                <w:color w:val="000000" w:themeColor="text1"/>
                <w:sz w:val="24"/>
                <w:szCs w:val="24"/>
              </w:rPr>
              <w:t>Metoda</w:t>
            </w:r>
            <w:r w:rsidRPr="00C56257">
              <w:rPr>
                <w:b/>
                <w:color w:val="000000" w:themeColor="text1"/>
                <w:spacing w:val="-3"/>
                <w:sz w:val="24"/>
                <w:szCs w:val="24"/>
              </w:rPr>
              <w:t xml:space="preserve"> </w:t>
            </w:r>
            <w:r w:rsidRPr="00C56257">
              <w:rPr>
                <w:b/>
                <w:color w:val="000000" w:themeColor="text1"/>
                <w:sz w:val="24"/>
                <w:szCs w:val="24"/>
              </w:rPr>
              <w:t>utilizată</w:t>
            </w:r>
          </w:p>
        </w:tc>
        <w:tc>
          <w:tcPr>
            <w:tcW w:w="2179" w:type="dxa"/>
            <w:vMerge w:val="restart"/>
            <w:shd w:val="clear" w:color="auto" w:fill="D9D9D9"/>
          </w:tcPr>
          <w:p w14:paraId="4573DD1B" w14:textId="77777777" w:rsidR="006735BF" w:rsidRPr="00C56257" w:rsidRDefault="006735BF" w:rsidP="008E33FD">
            <w:pPr>
              <w:pStyle w:val="TableParagraph"/>
              <w:spacing w:before="3"/>
              <w:jc w:val="both"/>
              <w:rPr>
                <w:b/>
                <w:color w:val="000000" w:themeColor="text1"/>
                <w:sz w:val="24"/>
                <w:szCs w:val="24"/>
              </w:rPr>
            </w:pPr>
          </w:p>
          <w:p w14:paraId="08F62BE1" w14:textId="77777777" w:rsidR="006735BF" w:rsidRPr="00C56257" w:rsidRDefault="006735BF" w:rsidP="008E33FD">
            <w:pPr>
              <w:pStyle w:val="TableParagraph"/>
              <w:ind w:left="846" w:right="847"/>
              <w:jc w:val="both"/>
              <w:rPr>
                <w:b/>
                <w:color w:val="000000" w:themeColor="text1"/>
                <w:sz w:val="24"/>
                <w:szCs w:val="24"/>
              </w:rPr>
            </w:pPr>
            <w:r w:rsidRPr="00C56257">
              <w:rPr>
                <w:b/>
                <w:color w:val="000000" w:themeColor="text1"/>
                <w:sz w:val="24"/>
                <w:szCs w:val="24"/>
              </w:rPr>
              <w:t>Obs.</w:t>
            </w:r>
          </w:p>
        </w:tc>
      </w:tr>
      <w:tr w:rsidR="001842B9" w:rsidRPr="00C56257" w14:paraId="0CE08DDD" w14:textId="77777777" w:rsidTr="001842B9">
        <w:trPr>
          <w:trHeight w:val="253"/>
        </w:trPr>
        <w:tc>
          <w:tcPr>
            <w:tcW w:w="3207" w:type="dxa"/>
            <w:vMerge/>
            <w:tcBorders>
              <w:top w:val="nil"/>
            </w:tcBorders>
            <w:shd w:val="clear" w:color="auto" w:fill="D9D9D9"/>
          </w:tcPr>
          <w:p w14:paraId="3B3C6D41" w14:textId="77777777" w:rsidR="006735BF" w:rsidRPr="00C56257" w:rsidRDefault="006735BF" w:rsidP="008E33FD">
            <w:pPr>
              <w:jc w:val="both"/>
              <w:rPr>
                <w:color w:val="000000" w:themeColor="text1"/>
              </w:rPr>
            </w:pPr>
          </w:p>
        </w:tc>
        <w:tc>
          <w:tcPr>
            <w:tcW w:w="586" w:type="dxa"/>
            <w:shd w:val="clear" w:color="auto" w:fill="D9D9D9"/>
          </w:tcPr>
          <w:p w14:paraId="18383D58" w14:textId="77777777" w:rsidR="006735BF" w:rsidRPr="00C56257" w:rsidRDefault="006735BF" w:rsidP="008E33FD">
            <w:pPr>
              <w:pStyle w:val="TableParagraph"/>
              <w:spacing w:line="234" w:lineRule="exact"/>
              <w:ind w:left="28"/>
              <w:jc w:val="both"/>
              <w:rPr>
                <w:color w:val="000000" w:themeColor="text1"/>
                <w:sz w:val="24"/>
                <w:szCs w:val="24"/>
              </w:rPr>
            </w:pPr>
            <w:r w:rsidRPr="00C56257">
              <w:rPr>
                <w:color w:val="000000" w:themeColor="text1"/>
                <w:sz w:val="24"/>
                <w:szCs w:val="24"/>
              </w:rPr>
              <w:t>I</w:t>
            </w:r>
          </w:p>
        </w:tc>
        <w:tc>
          <w:tcPr>
            <w:tcW w:w="558" w:type="dxa"/>
            <w:shd w:val="clear" w:color="auto" w:fill="D9D9D9"/>
          </w:tcPr>
          <w:p w14:paraId="40960D92" w14:textId="77777777" w:rsidR="006735BF" w:rsidRPr="00C56257" w:rsidRDefault="006735BF" w:rsidP="008E33FD">
            <w:pPr>
              <w:pStyle w:val="TableParagraph"/>
              <w:spacing w:line="234" w:lineRule="exact"/>
              <w:ind w:left="27"/>
              <w:jc w:val="both"/>
              <w:rPr>
                <w:color w:val="000000" w:themeColor="text1"/>
                <w:sz w:val="24"/>
                <w:szCs w:val="24"/>
              </w:rPr>
            </w:pPr>
            <w:r w:rsidRPr="00C56257">
              <w:rPr>
                <w:color w:val="000000" w:themeColor="text1"/>
                <w:sz w:val="24"/>
                <w:szCs w:val="24"/>
              </w:rPr>
              <w:t>II</w:t>
            </w:r>
          </w:p>
        </w:tc>
        <w:tc>
          <w:tcPr>
            <w:tcW w:w="572" w:type="dxa"/>
            <w:shd w:val="clear" w:color="auto" w:fill="D9D9D9"/>
          </w:tcPr>
          <w:p w14:paraId="57936125" w14:textId="77777777" w:rsidR="006735BF" w:rsidRPr="00C56257" w:rsidRDefault="006735BF" w:rsidP="008E33FD">
            <w:pPr>
              <w:pStyle w:val="TableParagraph"/>
              <w:spacing w:line="234" w:lineRule="exact"/>
              <w:ind w:left="27"/>
              <w:jc w:val="both"/>
              <w:rPr>
                <w:color w:val="000000" w:themeColor="text1"/>
                <w:sz w:val="24"/>
                <w:szCs w:val="24"/>
              </w:rPr>
            </w:pPr>
            <w:r w:rsidRPr="00C56257">
              <w:rPr>
                <w:color w:val="000000" w:themeColor="text1"/>
                <w:sz w:val="24"/>
                <w:szCs w:val="24"/>
              </w:rPr>
              <w:t>III</w:t>
            </w:r>
          </w:p>
        </w:tc>
        <w:tc>
          <w:tcPr>
            <w:tcW w:w="567" w:type="dxa"/>
            <w:shd w:val="clear" w:color="auto" w:fill="D9D9D9"/>
          </w:tcPr>
          <w:p w14:paraId="4C02B0BE" w14:textId="77777777" w:rsidR="006735BF" w:rsidRPr="00C56257" w:rsidRDefault="006735BF" w:rsidP="008E33FD">
            <w:pPr>
              <w:pStyle w:val="TableParagraph"/>
              <w:spacing w:line="234" w:lineRule="exact"/>
              <w:ind w:left="26"/>
              <w:jc w:val="both"/>
              <w:rPr>
                <w:color w:val="000000" w:themeColor="text1"/>
                <w:sz w:val="24"/>
                <w:szCs w:val="24"/>
              </w:rPr>
            </w:pPr>
            <w:r w:rsidRPr="00C56257">
              <w:rPr>
                <w:color w:val="000000" w:themeColor="text1"/>
                <w:sz w:val="24"/>
                <w:szCs w:val="24"/>
              </w:rPr>
              <w:t>IV</w:t>
            </w:r>
          </w:p>
        </w:tc>
        <w:tc>
          <w:tcPr>
            <w:tcW w:w="569" w:type="dxa"/>
            <w:shd w:val="clear" w:color="auto" w:fill="D9D9D9"/>
          </w:tcPr>
          <w:p w14:paraId="1E433CDF" w14:textId="77777777" w:rsidR="006735BF" w:rsidRPr="00C56257" w:rsidRDefault="006735BF" w:rsidP="008E33FD">
            <w:pPr>
              <w:pStyle w:val="TableParagraph"/>
              <w:spacing w:line="234" w:lineRule="exact"/>
              <w:ind w:left="25"/>
              <w:jc w:val="both"/>
              <w:rPr>
                <w:color w:val="000000" w:themeColor="text1"/>
                <w:sz w:val="24"/>
                <w:szCs w:val="24"/>
              </w:rPr>
            </w:pPr>
            <w:r w:rsidRPr="00C56257">
              <w:rPr>
                <w:color w:val="000000" w:themeColor="text1"/>
                <w:sz w:val="24"/>
                <w:szCs w:val="24"/>
              </w:rPr>
              <w:t>V</w:t>
            </w:r>
          </w:p>
        </w:tc>
        <w:tc>
          <w:tcPr>
            <w:tcW w:w="569" w:type="dxa"/>
            <w:shd w:val="clear" w:color="auto" w:fill="D9D9D9"/>
          </w:tcPr>
          <w:p w14:paraId="1482F44E" w14:textId="77777777" w:rsidR="006735BF" w:rsidRPr="00C56257" w:rsidRDefault="006735BF" w:rsidP="008E33FD">
            <w:pPr>
              <w:pStyle w:val="TableParagraph"/>
              <w:spacing w:line="234" w:lineRule="exact"/>
              <w:ind w:left="23"/>
              <w:jc w:val="both"/>
              <w:rPr>
                <w:color w:val="000000" w:themeColor="text1"/>
                <w:sz w:val="24"/>
                <w:szCs w:val="24"/>
              </w:rPr>
            </w:pPr>
            <w:r w:rsidRPr="00C56257">
              <w:rPr>
                <w:color w:val="000000" w:themeColor="text1"/>
                <w:sz w:val="24"/>
                <w:szCs w:val="24"/>
              </w:rPr>
              <w:t>VI</w:t>
            </w:r>
          </w:p>
        </w:tc>
        <w:tc>
          <w:tcPr>
            <w:tcW w:w="517" w:type="dxa"/>
            <w:shd w:val="clear" w:color="auto" w:fill="D9D9D9"/>
          </w:tcPr>
          <w:p w14:paraId="7EE31E23" w14:textId="77777777" w:rsidR="006735BF" w:rsidRPr="00C56257" w:rsidRDefault="006735BF" w:rsidP="008E33FD">
            <w:pPr>
              <w:pStyle w:val="TableParagraph"/>
              <w:spacing w:line="234" w:lineRule="exact"/>
              <w:ind w:left="23"/>
              <w:jc w:val="both"/>
              <w:rPr>
                <w:color w:val="000000" w:themeColor="text1"/>
                <w:sz w:val="24"/>
                <w:szCs w:val="24"/>
              </w:rPr>
            </w:pPr>
            <w:r w:rsidRPr="00C56257">
              <w:rPr>
                <w:color w:val="000000" w:themeColor="text1"/>
                <w:sz w:val="24"/>
                <w:szCs w:val="24"/>
              </w:rPr>
              <w:t>VII</w:t>
            </w:r>
          </w:p>
        </w:tc>
        <w:tc>
          <w:tcPr>
            <w:tcW w:w="567" w:type="dxa"/>
            <w:shd w:val="clear" w:color="auto" w:fill="D9D9D9"/>
          </w:tcPr>
          <w:p w14:paraId="6A0821B1" w14:textId="77777777" w:rsidR="006735BF" w:rsidRPr="00C56257" w:rsidRDefault="006735BF" w:rsidP="008E33FD">
            <w:pPr>
              <w:pStyle w:val="TableParagraph"/>
              <w:spacing w:line="234" w:lineRule="exact"/>
              <w:ind w:left="22"/>
              <w:jc w:val="both"/>
              <w:rPr>
                <w:color w:val="000000" w:themeColor="text1"/>
                <w:sz w:val="24"/>
                <w:szCs w:val="24"/>
              </w:rPr>
            </w:pPr>
            <w:r w:rsidRPr="00C56257">
              <w:rPr>
                <w:color w:val="000000" w:themeColor="text1"/>
                <w:sz w:val="24"/>
                <w:szCs w:val="24"/>
              </w:rPr>
              <w:t>VIII</w:t>
            </w:r>
          </w:p>
        </w:tc>
        <w:tc>
          <w:tcPr>
            <w:tcW w:w="569" w:type="dxa"/>
            <w:shd w:val="clear" w:color="auto" w:fill="D9D9D9"/>
          </w:tcPr>
          <w:p w14:paraId="5501829A" w14:textId="77777777" w:rsidR="006735BF" w:rsidRPr="00C56257" w:rsidRDefault="006735BF" w:rsidP="008E33FD">
            <w:pPr>
              <w:pStyle w:val="TableParagraph"/>
              <w:spacing w:line="234" w:lineRule="exact"/>
              <w:ind w:left="24"/>
              <w:jc w:val="both"/>
              <w:rPr>
                <w:color w:val="000000" w:themeColor="text1"/>
                <w:sz w:val="24"/>
                <w:szCs w:val="24"/>
              </w:rPr>
            </w:pPr>
            <w:r w:rsidRPr="00C56257">
              <w:rPr>
                <w:color w:val="000000" w:themeColor="text1"/>
                <w:sz w:val="24"/>
                <w:szCs w:val="24"/>
              </w:rPr>
              <w:t>IX</w:t>
            </w:r>
          </w:p>
        </w:tc>
        <w:tc>
          <w:tcPr>
            <w:tcW w:w="567" w:type="dxa"/>
            <w:shd w:val="clear" w:color="auto" w:fill="D9D9D9"/>
          </w:tcPr>
          <w:p w14:paraId="35FC3F17" w14:textId="77777777" w:rsidR="006735BF" w:rsidRPr="00C56257" w:rsidRDefault="006735BF" w:rsidP="008E33FD">
            <w:pPr>
              <w:pStyle w:val="TableParagraph"/>
              <w:spacing w:line="234" w:lineRule="exact"/>
              <w:ind w:left="21"/>
              <w:jc w:val="both"/>
              <w:rPr>
                <w:color w:val="000000" w:themeColor="text1"/>
                <w:sz w:val="24"/>
                <w:szCs w:val="24"/>
              </w:rPr>
            </w:pPr>
            <w:r w:rsidRPr="00C56257">
              <w:rPr>
                <w:color w:val="000000" w:themeColor="text1"/>
                <w:sz w:val="24"/>
                <w:szCs w:val="24"/>
              </w:rPr>
              <w:t>X</w:t>
            </w:r>
          </w:p>
        </w:tc>
        <w:tc>
          <w:tcPr>
            <w:tcW w:w="567" w:type="dxa"/>
            <w:shd w:val="clear" w:color="auto" w:fill="D9D9D9"/>
          </w:tcPr>
          <w:p w14:paraId="290D1379" w14:textId="77777777" w:rsidR="006735BF" w:rsidRPr="00C56257" w:rsidRDefault="006735BF" w:rsidP="008E33FD">
            <w:pPr>
              <w:pStyle w:val="TableParagraph"/>
              <w:spacing w:line="234" w:lineRule="exact"/>
              <w:ind w:left="23"/>
              <w:jc w:val="both"/>
              <w:rPr>
                <w:color w:val="000000" w:themeColor="text1"/>
                <w:sz w:val="24"/>
                <w:szCs w:val="24"/>
              </w:rPr>
            </w:pPr>
            <w:r w:rsidRPr="00C56257">
              <w:rPr>
                <w:color w:val="000000" w:themeColor="text1"/>
                <w:sz w:val="24"/>
                <w:szCs w:val="24"/>
              </w:rPr>
              <w:t>XI</w:t>
            </w:r>
          </w:p>
        </w:tc>
        <w:tc>
          <w:tcPr>
            <w:tcW w:w="514" w:type="dxa"/>
            <w:shd w:val="clear" w:color="auto" w:fill="D9D9D9"/>
          </w:tcPr>
          <w:p w14:paraId="75B0D2AF" w14:textId="77777777" w:rsidR="006735BF" w:rsidRPr="00C56257" w:rsidRDefault="006735BF" w:rsidP="008E33FD">
            <w:pPr>
              <w:pStyle w:val="TableParagraph"/>
              <w:spacing w:line="234" w:lineRule="exact"/>
              <w:ind w:left="22"/>
              <w:jc w:val="both"/>
              <w:rPr>
                <w:color w:val="000000" w:themeColor="text1"/>
                <w:sz w:val="24"/>
                <w:szCs w:val="24"/>
              </w:rPr>
            </w:pPr>
            <w:r w:rsidRPr="00C56257">
              <w:rPr>
                <w:color w:val="000000" w:themeColor="text1"/>
                <w:sz w:val="24"/>
                <w:szCs w:val="24"/>
              </w:rPr>
              <w:t>XII</w:t>
            </w:r>
          </w:p>
        </w:tc>
        <w:tc>
          <w:tcPr>
            <w:tcW w:w="2782" w:type="dxa"/>
            <w:gridSpan w:val="2"/>
            <w:vMerge/>
            <w:tcBorders>
              <w:top w:val="nil"/>
            </w:tcBorders>
            <w:shd w:val="clear" w:color="auto" w:fill="D9D9D9"/>
          </w:tcPr>
          <w:p w14:paraId="1B8F7997" w14:textId="77777777" w:rsidR="006735BF" w:rsidRPr="00C56257" w:rsidRDefault="006735BF" w:rsidP="008E33FD">
            <w:pPr>
              <w:jc w:val="both"/>
              <w:rPr>
                <w:color w:val="000000" w:themeColor="text1"/>
              </w:rPr>
            </w:pPr>
          </w:p>
        </w:tc>
        <w:tc>
          <w:tcPr>
            <w:tcW w:w="2179" w:type="dxa"/>
            <w:vMerge/>
            <w:tcBorders>
              <w:top w:val="nil"/>
            </w:tcBorders>
            <w:shd w:val="clear" w:color="auto" w:fill="D9D9D9"/>
          </w:tcPr>
          <w:p w14:paraId="6A384CA0" w14:textId="77777777" w:rsidR="006735BF" w:rsidRPr="00C56257" w:rsidRDefault="006735BF" w:rsidP="008E33FD">
            <w:pPr>
              <w:jc w:val="both"/>
              <w:rPr>
                <w:color w:val="000000" w:themeColor="text1"/>
              </w:rPr>
            </w:pPr>
          </w:p>
        </w:tc>
      </w:tr>
      <w:tr w:rsidR="001842B9" w:rsidRPr="00C56257" w14:paraId="399542D9" w14:textId="77777777" w:rsidTr="001842B9">
        <w:trPr>
          <w:trHeight w:val="505"/>
        </w:trPr>
        <w:tc>
          <w:tcPr>
            <w:tcW w:w="3207" w:type="dxa"/>
          </w:tcPr>
          <w:p w14:paraId="1DAF14CE" w14:textId="77777777" w:rsidR="006735BF" w:rsidRPr="00C56257" w:rsidRDefault="006735BF" w:rsidP="008E33FD">
            <w:pPr>
              <w:pStyle w:val="TableParagraph"/>
              <w:jc w:val="both"/>
              <w:rPr>
                <w:color w:val="000000" w:themeColor="text1"/>
                <w:sz w:val="24"/>
                <w:szCs w:val="24"/>
              </w:rPr>
            </w:pPr>
          </w:p>
        </w:tc>
        <w:tc>
          <w:tcPr>
            <w:tcW w:w="586" w:type="dxa"/>
          </w:tcPr>
          <w:p w14:paraId="60BDDB2E" w14:textId="77777777" w:rsidR="006735BF" w:rsidRPr="00C56257" w:rsidRDefault="006735BF" w:rsidP="008E33FD">
            <w:pPr>
              <w:pStyle w:val="TableParagraph"/>
              <w:jc w:val="both"/>
              <w:rPr>
                <w:color w:val="000000" w:themeColor="text1"/>
                <w:sz w:val="24"/>
                <w:szCs w:val="24"/>
              </w:rPr>
            </w:pPr>
          </w:p>
        </w:tc>
        <w:tc>
          <w:tcPr>
            <w:tcW w:w="558" w:type="dxa"/>
          </w:tcPr>
          <w:p w14:paraId="6E8E6453" w14:textId="77777777" w:rsidR="006735BF" w:rsidRPr="00C56257" w:rsidRDefault="006735BF" w:rsidP="008E33FD">
            <w:pPr>
              <w:pStyle w:val="TableParagraph"/>
              <w:jc w:val="both"/>
              <w:rPr>
                <w:color w:val="000000" w:themeColor="text1"/>
                <w:sz w:val="24"/>
                <w:szCs w:val="24"/>
              </w:rPr>
            </w:pPr>
          </w:p>
        </w:tc>
        <w:tc>
          <w:tcPr>
            <w:tcW w:w="572" w:type="dxa"/>
            <w:shd w:val="clear" w:color="auto" w:fill="BEBEBE"/>
          </w:tcPr>
          <w:p w14:paraId="67ABC494"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43A1487E"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1D66E4BD"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0F61EDC5" w14:textId="77777777" w:rsidR="006735BF" w:rsidRPr="00C56257" w:rsidRDefault="006735BF" w:rsidP="008E33FD">
            <w:pPr>
              <w:pStyle w:val="TableParagraph"/>
              <w:jc w:val="both"/>
              <w:rPr>
                <w:color w:val="000000" w:themeColor="text1"/>
                <w:sz w:val="24"/>
                <w:szCs w:val="24"/>
              </w:rPr>
            </w:pPr>
          </w:p>
        </w:tc>
        <w:tc>
          <w:tcPr>
            <w:tcW w:w="517" w:type="dxa"/>
            <w:shd w:val="clear" w:color="auto" w:fill="BEBEBE"/>
          </w:tcPr>
          <w:p w14:paraId="3AEB6081"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72E208B5"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6474EB68"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7477E519"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369CD4A3" w14:textId="77777777" w:rsidR="006735BF" w:rsidRPr="00C56257" w:rsidRDefault="006735BF" w:rsidP="008E33FD">
            <w:pPr>
              <w:pStyle w:val="TableParagraph"/>
              <w:jc w:val="both"/>
              <w:rPr>
                <w:color w:val="000000" w:themeColor="text1"/>
                <w:sz w:val="24"/>
                <w:szCs w:val="24"/>
              </w:rPr>
            </w:pPr>
          </w:p>
        </w:tc>
        <w:tc>
          <w:tcPr>
            <w:tcW w:w="514" w:type="dxa"/>
          </w:tcPr>
          <w:p w14:paraId="39964210" w14:textId="77777777" w:rsidR="006735BF" w:rsidRPr="00C56257" w:rsidRDefault="006735BF" w:rsidP="008E33FD">
            <w:pPr>
              <w:pStyle w:val="TableParagraph"/>
              <w:jc w:val="both"/>
              <w:rPr>
                <w:color w:val="000000" w:themeColor="text1"/>
                <w:sz w:val="24"/>
                <w:szCs w:val="24"/>
              </w:rPr>
            </w:pPr>
          </w:p>
        </w:tc>
        <w:tc>
          <w:tcPr>
            <w:tcW w:w="2782" w:type="dxa"/>
            <w:gridSpan w:val="2"/>
          </w:tcPr>
          <w:p w14:paraId="54713947" w14:textId="77777777" w:rsidR="006735BF" w:rsidRPr="00C56257" w:rsidRDefault="006735BF" w:rsidP="008E33FD">
            <w:pPr>
              <w:pStyle w:val="TableParagraph"/>
              <w:jc w:val="both"/>
              <w:rPr>
                <w:color w:val="000000" w:themeColor="text1"/>
                <w:sz w:val="24"/>
                <w:szCs w:val="24"/>
              </w:rPr>
            </w:pPr>
          </w:p>
        </w:tc>
        <w:tc>
          <w:tcPr>
            <w:tcW w:w="2179" w:type="dxa"/>
          </w:tcPr>
          <w:p w14:paraId="16AF2DFD" w14:textId="77777777" w:rsidR="006735BF" w:rsidRPr="00C56257" w:rsidRDefault="006735BF" w:rsidP="008E33FD">
            <w:pPr>
              <w:pStyle w:val="TableParagraph"/>
              <w:spacing w:line="246" w:lineRule="exact"/>
              <w:ind w:left="22"/>
              <w:jc w:val="both"/>
              <w:rPr>
                <w:color w:val="000000" w:themeColor="text1"/>
                <w:sz w:val="24"/>
                <w:szCs w:val="24"/>
              </w:rPr>
            </w:pPr>
            <w:r w:rsidRPr="00C56257">
              <w:rPr>
                <w:color w:val="000000" w:themeColor="text1"/>
                <w:sz w:val="24"/>
                <w:szCs w:val="24"/>
              </w:rPr>
              <w:t>în</w:t>
            </w:r>
            <w:r w:rsidRPr="00C56257">
              <w:rPr>
                <w:color w:val="000000" w:themeColor="text1"/>
                <w:spacing w:val="-3"/>
                <w:sz w:val="24"/>
                <w:szCs w:val="24"/>
              </w:rPr>
              <w:t xml:space="preserve"> </w:t>
            </w:r>
            <w:r w:rsidRPr="00C56257">
              <w:rPr>
                <w:color w:val="000000" w:themeColor="text1"/>
                <w:sz w:val="24"/>
                <w:szCs w:val="24"/>
              </w:rPr>
              <w:t>situația</w:t>
            </w:r>
            <w:r w:rsidRPr="00C56257">
              <w:rPr>
                <w:color w:val="000000" w:themeColor="text1"/>
                <w:spacing w:val="-2"/>
                <w:sz w:val="24"/>
                <w:szCs w:val="24"/>
              </w:rPr>
              <w:t xml:space="preserve"> </w:t>
            </w:r>
            <w:r w:rsidRPr="00C56257">
              <w:rPr>
                <w:color w:val="000000" w:themeColor="text1"/>
                <w:sz w:val="24"/>
                <w:szCs w:val="24"/>
              </w:rPr>
              <w:t>prezenței</w:t>
            </w:r>
          </w:p>
          <w:p w14:paraId="59840A8A" w14:textId="77777777" w:rsidR="006735BF" w:rsidRPr="00C56257" w:rsidRDefault="006735BF" w:rsidP="008E33FD">
            <w:pPr>
              <w:pStyle w:val="TableParagraph"/>
              <w:spacing w:line="240" w:lineRule="exact"/>
              <w:ind w:left="22"/>
              <w:jc w:val="both"/>
              <w:rPr>
                <w:color w:val="000000" w:themeColor="text1"/>
                <w:sz w:val="24"/>
                <w:szCs w:val="24"/>
              </w:rPr>
            </w:pPr>
            <w:r w:rsidRPr="00C56257">
              <w:rPr>
                <w:color w:val="000000" w:themeColor="text1"/>
                <w:sz w:val="24"/>
                <w:szCs w:val="24"/>
              </w:rPr>
              <w:t>habitatului.</w:t>
            </w:r>
          </w:p>
        </w:tc>
      </w:tr>
      <w:tr w:rsidR="001842B9" w:rsidRPr="00C56257" w14:paraId="78D3676D" w14:textId="77777777" w:rsidTr="001842B9">
        <w:trPr>
          <w:trHeight w:val="1519"/>
        </w:trPr>
        <w:tc>
          <w:tcPr>
            <w:tcW w:w="3207" w:type="dxa"/>
          </w:tcPr>
          <w:p w14:paraId="2E325C32" w14:textId="77777777" w:rsidR="006735BF" w:rsidRPr="00C56257" w:rsidRDefault="006735BF" w:rsidP="008E33FD">
            <w:pPr>
              <w:pStyle w:val="TableParagraph"/>
              <w:spacing w:before="4"/>
              <w:jc w:val="both"/>
              <w:rPr>
                <w:b/>
                <w:color w:val="000000" w:themeColor="text1"/>
                <w:sz w:val="24"/>
                <w:szCs w:val="24"/>
              </w:rPr>
            </w:pPr>
          </w:p>
          <w:p w14:paraId="5D07AA14" w14:textId="77777777" w:rsidR="006735BF" w:rsidRPr="00C56257" w:rsidRDefault="006735BF" w:rsidP="008E33FD">
            <w:pPr>
              <w:pStyle w:val="TableParagraph"/>
              <w:ind w:left="26" w:right="84"/>
              <w:jc w:val="both"/>
              <w:rPr>
                <w:color w:val="000000" w:themeColor="text1"/>
                <w:sz w:val="24"/>
                <w:szCs w:val="24"/>
              </w:rPr>
            </w:pPr>
            <w:r w:rsidRPr="00C56257">
              <w:rPr>
                <w:color w:val="000000" w:themeColor="text1"/>
                <w:sz w:val="24"/>
                <w:szCs w:val="24"/>
              </w:rPr>
              <w:t>6210* - Pajişti uscate seminaturale</w:t>
            </w:r>
            <w:r w:rsidRPr="00C56257">
              <w:rPr>
                <w:color w:val="000000" w:themeColor="text1"/>
                <w:spacing w:val="-52"/>
                <w:sz w:val="24"/>
                <w:szCs w:val="24"/>
              </w:rPr>
              <w:t xml:space="preserve"> </w:t>
            </w:r>
            <w:r w:rsidRPr="00C56257">
              <w:rPr>
                <w:color w:val="000000" w:themeColor="text1"/>
                <w:sz w:val="24"/>
                <w:szCs w:val="24"/>
              </w:rPr>
              <w:t>şi faciesuri cu tufărişuri pe</w:t>
            </w:r>
            <w:r w:rsidRPr="00C56257">
              <w:rPr>
                <w:color w:val="000000" w:themeColor="text1"/>
                <w:spacing w:val="1"/>
                <w:sz w:val="24"/>
                <w:szCs w:val="24"/>
              </w:rPr>
              <w:t xml:space="preserve"> </w:t>
            </w:r>
            <w:r w:rsidRPr="00C56257">
              <w:rPr>
                <w:color w:val="000000" w:themeColor="text1"/>
                <w:sz w:val="24"/>
                <w:szCs w:val="24"/>
              </w:rPr>
              <w:t>substrate calcaroase (</w:t>
            </w:r>
            <w:r w:rsidRPr="00C56257">
              <w:rPr>
                <w:i/>
                <w:color w:val="000000" w:themeColor="text1"/>
                <w:sz w:val="24"/>
                <w:szCs w:val="24"/>
              </w:rPr>
              <w:t>Festuco-</w:t>
            </w:r>
            <w:r w:rsidRPr="00C56257">
              <w:rPr>
                <w:i/>
                <w:color w:val="000000" w:themeColor="text1"/>
                <w:spacing w:val="1"/>
                <w:sz w:val="24"/>
                <w:szCs w:val="24"/>
              </w:rPr>
              <w:t xml:space="preserve"> </w:t>
            </w:r>
            <w:r w:rsidRPr="00C56257">
              <w:rPr>
                <w:i/>
                <w:color w:val="000000" w:themeColor="text1"/>
                <w:sz w:val="24"/>
                <w:szCs w:val="24"/>
              </w:rPr>
              <w:t>Brometalia</w:t>
            </w:r>
            <w:r w:rsidRPr="00C56257">
              <w:rPr>
                <w:color w:val="000000" w:themeColor="text1"/>
                <w:sz w:val="24"/>
                <w:szCs w:val="24"/>
              </w:rPr>
              <w:t>)</w:t>
            </w:r>
          </w:p>
        </w:tc>
        <w:tc>
          <w:tcPr>
            <w:tcW w:w="586" w:type="dxa"/>
          </w:tcPr>
          <w:p w14:paraId="0A1498C9" w14:textId="77777777" w:rsidR="006735BF" w:rsidRPr="00C56257" w:rsidRDefault="006735BF" w:rsidP="008E33FD">
            <w:pPr>
              <w:pStyle w:val="TableParagraph"/>
              <w:jc w:val="both"/>
              <w:rPr>
                <w:color w:val="000000" w:themeColor="text1"/>
                <w:sz w:val="24"/>
                <w:szCs w:val="24"/>
              </w:rPr>
            </w:pPr>
          </w:p>
        </w:tc>
        <w:tc>
          <w:tcPr>
            <w:tcW w:w="558" w:type="dxa"/>
          </w:tcPr>
          <w:p w14:paraId="5336107D" w14:textId="77777777" w:rsidR="006735BF" w:rsidRPr="00C56257" w:rsidRDefault="006735BF" w:rsidP="008E33FD">
            <w:pPr>
              <w:pStyle w:val="TableParagraph"/>
              <w:jc w:val="both"/>
              <w:rPr>
                <w:color w:val="000000" w:themeColor="text1"/>
                <w:sz w:val="24"/>
                <w:szCs w:val="24"/>
              </w:rPr>
            </w:pPr>
          </w:p>
        </w:tc>
        <w:tc>
          <w:tcPr>
            <w:tcW w:w="572" w:type="dxa"/>
            <w:shd w:val="clear" w:color="auto" w:fill="BEBEBE"/>
          </w:tcPr>
          <w:p w14:paraId="5C237176"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56C4A4D7"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50F4B84D"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574F46E6" w14:textId="77777777" w:rsidR="006735BF" w:rsidRPr="00C56257" w:rsidRDefault="006735BF" w:rsidP="008E33FD">
            <w:pPr>
              <w:pStyle w:val="TableParagraph"/>
              <w:jc w:val="both"/>
              <w:rPr>
                <w:color w:val="000000" w:themeColor="text1"/>
                <w:sz w:val="24"/>
                <w:szCs w:val="24"/>
              </w:rPr>
            </w:pPr>
          </w:p>
        </w:tc>
        <w:tc>
          <w:tcPr>
            <w:tcW w:w="517" w:type="dxa"/>
            <w:shd w:val="clear" w:color="auto" w:fill="BEBEBE"/>
          </w:tcPr>
          <w:p w14:paraId="175FD919"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53184B01"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660244AC"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00115620"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3421C2B9" w14:textId="77777777" w:rsidR="006735BF" w:rsidRPr="00C56257" w:rsidRDefault="006735BF" w:rsidP="008E33FD">
            <w:pPr>
              <w:pStyle w:val="TableParagraph"/>
              <w:jc w:val="both"/>
              <w:rPr>
                <w:color w:val="000000" w:themeColor="text1"/>
                <w:sz w:val="24"/>
                <w:szCs w:val="24"/>
              </w:rPr>
            </w:pPr>
          </w:p>
        </w:tc>
        <w:tc>
          <w:tcPr>
            <w:tcW w:w="514" w:type="dxa"/>
          </w:tcPr>
          <w:p w14:paraId="0E37F66C" w14:textId="77777777" w:rsidR="006735BF" w:rsidRPr="00C56257" w:rsidRDefault="006735BF" w:rsidP="008E33FD">
            <w:pPr>
              <w:pStyle w:val="TableParagraph"/>
              <w:jc w:val="both"/>
              <w:rPr>
                <w:color w:val="000000" w:themeColor="text1"/>
                <w:sz w:val="24"/>
                <w:szCs w:val="24"/>
              </w:rPr>
            </w:pPr>
          </w:p>
        </w:tc>
        <w:tc>
          <w:tcPr>
            <w:tcW w:w="2563" w:type="dxa"/>
            <w:tcBorders>
              <w:right w:val="nil"/>
            </w:tcBorders>
          </w:tcPr>
          <w:p w14:paraId="13F54BBA" w14:textId="77777777" w:rsidR="006735BF" w:rsidRPr="00C56257" w:rsidRDefault="006735BF" w:rsidP="008E33FD">
            <w:pPr>
              <w:pStyle w:val="TableParagraph"/>
              <w:spacing w:before="4"/>
              <w:jc w:val="both"/>
              <w:rPr>
                <w:b/>
                <w:color w:val="000000" w:themeColor="text1"/>
                <w:sz w:val="24"/>
                <w:szCs w:val="24"/>
              </w:rPr>
            </w:pPr>
          </w:p>
          <w:p w14:paraId="4466E4C7" w14:textId="77777777" w:rsidR="006735BF" w:rsidRPr="00C56257" w:rsidRDefault="006735BF" w:rsidP="008E33FD">
            <w:pPr>
              <w:pStyle w:val="TableParagraph"/>
              <w:ind w:left="22"/>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3A6387B3" w14:textId="77777777" w:rsidR="006735BF" w:rsidRPr="00C56257" w:rsidRDefault="006735BF" w:rsidP="009E63E5">
            <w:pPr>
              <w:pStyle w:val="TableParagraph"/>
              <w:numPr>
                <w:ilvl w:val="0"/>
                <w:numId w:val="132"/>
              </w:numPr>
              <w:tabs>
                <w:tab w:val="left" w:pos="280"/>
              </w:tabs>
              <w:spacing w:before="1"/>
              <w:ind w:right="88" w:firstLine="0"/>
              <w:jc w:val="both"/>
              <w:rPr>
                <w:color w:val="000000" w:themeColor="text1"/>
                <w:sz w:val="24"/>
                <w:szCs w:val="24"/>
              </w:rPr>
            </w:pPr>
            <w:r w:rsidRPr="00C56257">
              <w:rPr>
                <w:color w:val="000000" w:themeColor="text1"/>
                <w:sz w:val="24"/>
                <w:szCs w:val="24"/>
              </w:rPr>
              <w:t>metoda</w:t>
            </w:r>
            <w:r w:rsidRPr="00C56257">
              <w:rPr>
                <w:color w:val="000000" w:themeColor="text1"/>
                <w:spacing w:val="11"/>
                <w:sz w:val="24"/>
                <w:szCs w:val="24"/>
              </w:rPr>
              <w:t xml:space="preserve"> </w:t>
            </w:r>
            <w:r w:rsidRPr="00C56257">
              <w:rPr>
                <w:color w:val="000000" w:themeColor="text1"/>
                <w:sz w:val="24"/>
                <w:szCs w:val="24"/>
              </w:rPr>
              <w:t>releveelor</w:t>
            </w:r>
            <w:r w:rsidRPr="00C56257">
              <w:rPr>
                <w:color w:val="000000" w:themeColor="text1"/>
                <w:spacing w:val="11"/>
                <w:sz w:val="24"/>
                <w:szCs w:val="24"/>
              </w:rPr>
              <w:t xml:space="preserve">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1759BCF7" w14:textId="77777777" w:rsidR="006735BF" w:rsidRPr="00C56257" w:rsidRDefault="006735BF" w:rsidP="009E63E5">
            <w:pPr>
              <w:pStyle w:val="TableParagraph"/>
              <w:numPr>
                <w:ilvl w:val="0"/>
                <w:numId w:val="132"/>
              </w:numPr>
              <w:tabs>
                <w:tab w:val="left" w:pos="261"/>
              </w:tabs>
              <w:spacing w:before="1"/>
              <w:ind w:left="260" w:hanging="239"/>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19" w:type="dxa"/>
            <w:tcBorders>
              <w:left w:val="nil"/>
            </w:tcBorders>
          </w:tcPr>
          <w:p w14:paraId="68B30886" w14:textId="77777777" w:rsidR="006735BF" w:rsidRPr="00C56257" w:rsidRDefault="006735BF" w:rsidP="008E33FD">
            <w:pPr>
              <w:pStyle w:val="TableParagraph"/>
              <w:jc w:val="both"/>
              <w:rPr>
                <w:b/>
                <w:color w:val="000000" w:themeColor="text1"/>
                <w:sz w:val="24"/>
                <w:szCs w:val="24"/>
              </w:rPr>
            </w:pPr>
          </w:p>
          <w:p w14:paraId="375AF0BF" w14:textId="77777777" w:rsidR="006735BF" w:rsidRPr="00C56257" w:rsidRDefault="006735BF" w:rsidP="008E33FD">
            <w:pPr>
              <w:pStyle w:val="TableParagraph"/>
              <w:spacing w:before="5"/>
              <w:jc w:val="both"/>
              <w:rPr>
                <w:b/>
                <w:color w:val="000000" w:themeColor="text1"/>
                <w:sz w:val="24"/>
                <w:szCs w:val="24"/>
              </w:rPr>
            </w:pPr>
          </w:p>
          <w:p w14:paraId="36D290BA" w14:textId="77777777" w:rsidR="006735BF" w:rsidRPr="00C56257" w:rsidRDefault="006735BF" w:rsidP="008E33FD">
            <w:pPr>
              <w:pStyle w:val="TableParagraph"/>
              <w:ind w:right="25"/>
              <w:jc w:val="both"/>
              <w:rPr>
                <w:color w:val="000000" w:themeColor="text1"/>
                <w:sz w:val="24"/>
                <w:szCs w:val="24"/>
              </w:rPr>
            </w:pPr>
            <w:r w:rsidRPr="00C56257">
              <w:rPr>
                <w:color w:val="000000" w:themeColor="text1"/>
                <w:sz w:val="24"/>
                <w:szCs w:val="24"/>
              </w:rPr>
              <w:t>a</w:t>
            </w:r>
          </w:p>
        </w:tc>
        <w:tc>
          <w:tcPr>
            <w:tcW w:w="2179" w:type="dxa"/>
          </w:tcPr>
          <w:p w14:paraId="4706F208" w14:textId="77777777" w:rsidR="006735BF" w:rsidRPr="00C56257" w:rsidRDefault="006735BF" w:rsidP="008E33FD">
            <w:pPr>
              <w:pStyle w:val="TableParagraph"/>
              <w:ind w:left="22" w:right="7"/>
              <w:jc w:val="both"/>
              <w:rPr>
                <w:color w:val="000000" w:themeColor="text1"/>
                <w:sz w:val="24"/>
                <w:szCs w:val="24"/>
              </w:rPr>
            </w:pPr>
            <w:r w:rsidRPr="00C56257">
              <w:rPr>
                <w:color w:val="000000" w:themeColor="text1"/>
                <w:sz w:val="24"/>
                <w:szCs w:val="24"/>
              </w:rPr>
              <w:t>Min 7 relevee/ transecte</w:t>
            </w:r>
            <w:r w:rsidRPr="00C56257">
              <w:rPr>
                <w:color w:val="000000" w:themeColor="text1"/>
                <w:spacing w:val="-52"/>
                <w:sz w:val="24"/>
                <w:szCs w:val="24"/>
              </w:rPr>
              <w:t xml:space="preserve"> </w:t>
            </w:r>
            <w:r w:rsidRPr="00C56257">
              <w:rPr>
                <w:color w:val="000000" w:themeColor="text1"/>
                <w:sz w:val="24"/>
                <w:szCs w:val="24"/>
              </w:rPr>
              <w:t>de monitorizare în</w:t>
            </w:r>
            <w:r w:rsidRPr="00C56257">
              <w:rPr>
                <w:color w:val="000000" w:themeColor="text1"/>
                <w:spacing w:val="1"/>
                <w:sz w:val="24"/>
                <w:szCs w:val="24"/>
              </w:rPr>
              <w:t xml:space="preserve"> </w:t>
            </w:r>
            <w:r w:rsidRPr="00C56257">
              <w:rPr>
                <w:color w:val="000000" w:themeColor="text1"/>
                <w:sz w:val="24"/>
                <w:szCs w:val="24"/>
              </w:rPr>
              <w:t>cadrul ariilor naturale</w:t>
            </w:r>
            <w:r w:rsidRPr="00C56257">
              <w:rPr>
                <w:color w:val="000000" w:themeColor="text1"/>
                <w:spacing w:val="1"/>
                <w:sz w:val="24"/>
                <w:szCs w:val="24"/>
              </w:rPr>
              <w:t xml:space="preserve"> </w:t>
            </w:r>
            <w:r w:rsidRPr="00C56257">
              <w:rPr>
                <w:color w:val="000000" w:themeColor="text1"/>
                <w:sz w:val="24"/>
                <w:szCs w:val="24"/>
              </w:rPr>
              <w:t>țintă şi în afara acestora</w:t>
            </w:r>
            <w:r w:rsidRPr="00C56257">
              <w:rPr>
                <w:color w:val="000000" w:themeColor="text1"/>
                <w:spacing w:val="-52"/>
                <w:sz w:val="24"/>
                <w:szCs w:val="24"/>
              </w:rPr>
              <w:t xml:space="preserve"> </w:t>
            </w:r>
            <w:r w:rsidRPr="00C56257">
              <w:rPr>
                <w:color w:val="000000" w:themeColor="text1"/>
                <w:sz w:val="24"/>
                <w:szCs w:val="24"/>
              </w:rPr>
              <w:t>în</w:t>
            </w:r>
            <w:r w:rsidRPr="00C56257">
              <w:rPr>
                <w:color w:val="000000" w:themeColor="text1"/>
                <w:spacing w:val="-1"/>
                <w:sz w:val="24"/>
                <w:szCs w:val="24"/>
              </w:rPr>
              <w:t xml:space="preserve"> </w:t>
            </w:r>
            <w:r w:rsidRPr="00C56257">
              <w:rPr>
                <w:color w:val="000000" w:themeColor="text1"/>
                <w:sz w:val="24"/>
                <w:szCs w:val="24"/>
              </w:rPr>
              <w:t>situația</w:t>
            </w:r>
            <w:r w:rsidRPr="00C56257">
              <w:rPr>
                <w:color w:val="000000" w:themeColor="text1"/>
                <w:spacing w:val="-1"/>
                <w:sz w:val="24"/>
                <w:szCs w:val="24"/>
              </w:rPr>
              <w:t xml:space="preserve"> </w:t>
            </w:r>
            <w:r w:rsidRPr="00C56257">
              <w:rPr>
                <w:color w:val="000000" w:themeColor="text1"/>
                <w:sz w:val="24"/>
                <w:szCs w:val="24"/>
              </w:rPr>
              <w:t>prezenței</w:t>
            </w:r>
          </w:p>
          <w:p w14:paraId="707FFB2A" w14:textId="77777777" w:rsidR="006735BF" w:rsidRPr="00C56257" w:rsidRDefault="006735BF" w:rsidP="008E33FD">
            <w:pPr>
              <w:pStyle w:val="TableParagraph"/>
              <w:spacing w:line="240" w:lineRule="exact"/>
              <w:ind w:left="22"/>
              <w:jc w:val="both"/>
              <w:rPr>
                <w:color w:val="000000" w:themeColor="text1"/>
                <w:sz w:val="24"/>
                <w:szCs w:val="24"/>
              </w:rPr>
            </w:pPr>
            <w:r w:rsidRPr="00C56257">
              <w:rPr>
                <w:color w:val="000000" w:themeColor="text1"/>
                <w:sz w:val="24"/>
                <w:szCs w:val="24"/>
              </w:rPr>
              <w:t>habitatului.</w:t>
            </w:r>
          </w:p>
        </w:tc>
      </w:tr>
      <w:tr w:rsidR="001842B9" w:rsidRPr="00C56257" w14:paraId="0021DC2B" w14:textId="77777777" w:rsidTr="001842B9">
        <w:trPr>
          <w:trHeight w:val="1516"/>
        </w:trPr>
        <w:tc>
          <w:tcPr>
            <w:tcW w:w="3207" w:type="dxa"/>
          </w:tcPr>
          <w:p w14:paraId="6133B376" w14:textId="77777777" w:rsidR="006735BF" w:rsidRPr="00C56257" w:rsidRDefault="006735BF" w:rsidP="008E33FD">
            <w:pPr>
              <w:pStyle w:val="TableParagraph"/>
              <w:spacing w:before="4"/>
              <w:jc w:val="both"/>
              <w:rPr>
                <w:b/>
                <w:color w:val="000000" w:themeColor="text1"/>
                <w:sz w:val="24"/>
                <w:szCs w:val="24"/>
              </w:rPr>
            </w:pPr>
          </w:p>
          <w:p w14:paraId="1778A13E" w14:textId="77777777" w:rsidR="006735BF" w:rsidRPr="00C56257" w:rsidRDefault="006735BF" w:rsidP="008E33FD">
            <w:pPr>
              <w:pStyle w:val="TableParagraph"/>
              <w:spacing w:before="1"/>
              <w:ind w:left="26" w:right="212"/>
              <w:jc w:val="both"/>
              <w:rPr>
                <w:color w:val="000000" w:themeColor="text1"/>
                <w:sz w:val="24"/>
                <w:szCs w:val="24"/>
              </w:rPr>
            </w:pPr>
            <w:r w:rsidRPr="00C56257">
              <w:rPr>
                <w:color w:val="000000" w:themeColor="text1"/>
                <w:sz w:val="24"/>
                <w:szCs w:val="24"/>
              </w:rPr>
              <w:t>6230 - Pajişti montane de Nardus</w:t>
            </w:r>
            <w:r w:rsidRPr="00C56257">
              <w:rPr>
                <w:color w:val="000000" w:themeColor="text1"/>
                <w:spacing w:val="-52"/>
                <w:sz w:val="24"/>
                <w:szCs w:val="24"/>
              </w:rPr>
              <w:t xml:space="preserve"> </w:t>
            </w:r>
            <w:r w:rsidRPr="00C56257">
              <w:rPr>
                <w:color w:val="000000" w:themeColor="text1"/>
                <w:sz w:val="24"/>
                <w:szCs w:val="24"/>
              </w:rPr>
              <w:t>bogate în specii, pe substrate</w:t>
            </w:r>
            <w:r w:rsidRPr="00C56257">
              <w:rPr>
                <w:color w:val="000000" w:themeColor="text1"/>
                <w:spacing w:val="1"/>
                <w:sz w:val="24"/>
                <w:szCs w:val="24"/>
              </w:rPr>
              <w:t xml:space="preserve"> </w:t>
            </w:r>
            <w:r w:rsidRPr="00C56257">
              <w:rPr>
                <w:color w:val="000000" w:themeColor="text1"/>
                <w:sz w:val="24"/>
                <w:szCs w:val="24"/>
              </w:rPr>
              <w:t>silicioase</w:t>
            </w:r>
          </w:p>
        </w:tc>
        <w:tc>
          <w:tcPr>
            <w:tcW w:w="586" w:type="dxa"/>
          </w:tcPr>
          <w:p w14:paraId="09CE862B" w14:textId="77777777" w:rsidR="006735BF" w:rsidRPr="00C56257" w:rsidRDefault="006735BF" w:rsidP="008E33FD">
            <w:pPr>
              <w:pStyle w:val="TableParagraph"/>
              <w:jc w:val="both"/>
              <w:rPr>
                <w:color w:val="000000" w:themeColor="text1"/>
                <w:sz w:val="24"/>
                <w:szCs w:val="24"/>
              </w:rPr>
            </w:pPr>
          </w:p>
        </w:tc>
        <w:tc>
          <w:tcPr>
            <w:tcW w:w="558" w:type="dxa"/>
          </w:tcPr>
          <w:p w14:paraId="52FDCD67" w14:textId="77777777" w:rsidR="006735BF" w:rsidRPr="00C56257" w:rsidRDefault="006735BF" w:rsidP="008E33FD">
            <w:pPr>
              <w:pStyle w:val="TableParagraph"/>
              <w:jc w:val="both"/>
              <w:rPr>
                <w:color w:val="000000" w:themeColor="text1"/>
                <w:sz w:val="24"/>
                <w:szCs w:val="24"/>
              </w:rPr>
            </w:pPr>
          </w:p>
        </w:tc>
        <w:tc>
          <w:tcPr>
            <w:tcW w:w="572" w:type="dxa"/>
            <w:shd w:val="clear" w:color="auto" w:fill="BEBEBE"/>
          </w:tcPr>
          <w:p w14:paraId="6DBDC195"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23B850D0"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710113C0"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515FA4EF" w14:textId="77777777" w:rsidR="006735BF" w:rsidRPr="00C56257" w:rsidRDefault="006735BF" w:rsidP="008E33FD">
            <w:pPr>
              <w:pStyle w:val="TableParagraph"/>
              <w:jc w:val="both"/>
              <w:rPr>
                <w:color w:val="000000" w:themeColor="text1"/>
                <w:sz w:val="24"/>
                <w:szCs w:val="24"/>
              </w:rPr>
            </w:pPr>
          </w:p>
        </w:tc>
        <w:tc>
          <w:tcPr>
            <w:tcW w:w="517" w:type="dxa"/>
            <w:shd w:val="clear" w:color="auto" w:fill="BEBEBE"/>
          </w:tcPr>
          <w:p w14:paraId="5D474C26"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13413A27"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4860B6AB"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414CA96B" w14:textId="77777777" w:rsidR="006735BF" w:rsidRPr="00C56257" w:rsidRDefault="006735BF" w:rsidP="008E33FD">
            <w:pPr>
              <w:pStyle w:val="TableParagraph"/>
              <w:jc w:val="both"/>
              <w:rPr>
                <w:color w:val="000000" w:themeColor="text1"/>
                <w:sz w:val="24"/>
                <w:szCs w:val="24"/>
              </w:rPr>
            </w:pPr>
          </w:p>
        </w:tc>
        <w:tc>
          <w:tcPr>
            <w:tcW w:w="567" w:type="dxa"/>
          </w:tcPr>
          <w:p w14:paraId="350C4BE8" w14:textId="77777777" w:rsidR="006735BF" w:rsidRPr="00C56257" w:rsidRDefault="006735BF" w:rsidP="008E33FD">
            <w:pPr>
              <w:pStyle w:val="TableParagraph"/>
              <w:jc w:val="both"/>
              <w:rPr>
                <w:color w:val="000000" w:themeColor="text1"/>
                <w:sz w:val="24"/>
                <w:szCs w:val="24"/>
              </w:rPr>
            </w:pPr>
          </w:p>
        </w:tc>
        <w:tc>
          <w:tcPr>
            <w:tcW w:w="514" w:type="dxa"/>
          </w:tcPr>
          <w:p w14:paraId="33C8DB8C" w14:textId="77777777" w:rsidR="006735BF" w:rsidRPr="00C56257" w:rsidRDefault="006735BF" w:rsidP="008E33FD">
            <w:pPr>
              <w:pStyle w:val="TableParagraph"/>
              <w:jc w:val="both"/>
              <w:rPr>
                <w:color w:val="000000" w:themeColor="text1"/>
                <w:sz w:val="24"/>
                <w:szCs w:val="24"/>
              </w:rPr>
            </w:pPr>
          </w:p>
        </w:tc>
        <w:tc>
          <w:tcPr>
            <w:tcW w:w="2563" w:type="dxa"/>
            <w:tcBorders>
              <w:right w:val="nil"/>
            </w:tcBorders>
          </w:tcPr>
          <w:p w14:paraId="3B9B62A6" w14:textId="77777777" w:rsidR="006735BF" w:rsidRPr="00C56257" w:rsidRDefault="006735BF" w:rsidP="008E33FD">
            <w:pPr>
              <w:pStyle w:val="TableParagraph"/>
              <w:spacing w:before="4"/>
              <w:jc w:val="both"/>
              <w:rPr>
                <w:b/>
                <w:color w:val="000000" w:themeColor="text1"/>
                <w:sz w:val="24"/>
                <w:szCs w:val="24"/>
              </w:rPr>
            </w:pPr>
          </w:p>
          <w:p w14:paraId="53245D82" w14:textId="77777777" w:rsidR="006735BF" w:rsidRPr="00C56257" w:rsidRDefault="006735BF" w:rsidP="008E33FD">
            <w:pPr>
              <w:pStyle w:val="TableParagraph"/>
              <w:spacing w:line="252" w:lineRule="exact"/>
              <w:ind w:left="22"/>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352430F3" w14:textId="77777777" w:rsidR="006735BF" w:rsidRPr="00C56257" w:rsidRDefault="006735BF" w:rsidP="009E63E5">
            <w:pPr>
              <w:pStyle w:val="TableParagraph"/>
              <w:numPr>
                <w:ilvl w:val="0"/>
                <w:numId w:val="131"/>
              </w:numPr>
              <w:tabs>
                <w:tab w:val="left" w:pos="280"/>
              </w:tabs>
              <w:ind w:right="88" w:firstLine="0"/>
              <w:jc w:val="both"/>
              <w:rPr>
                <w:color w:val="000000" w:themeColor="text1"/>
                <w:sz w:val="24"/>
                <w:szCs w:val="24"/>
              </w:rPr>
            </w:pPr>
            <w:r w:rsidRPr="00C56257">
              <w:rPr>
                <w:color w:val="000000" w:themeColor="text1"/>
                <w:sz w:val="24"/>
                <w:szCs w:val="24"/>
              </w:rPr>
              <w:t>metoda</w:t>
            </w:r>
            <w:r w:rsidRPr="00C56257">
              <w:rPr>
                <w:color w:val="000000" w:themeColor="text1"/>
                <w:spacing w:val="11"/>
                <w:sz w:val="24"/>
                <w:szCs w:val="24"/>
              </w:rPr>
              <w:t xml:space="preserve"> </w:t>
            </w:r>
            <w:r w:rsidRPr="00C56257">
              <w:rPr>
                <w:color w:val="000000" w:themeColor="text1"/>
                <w:sz w:val="24"/>
                <w:szCs w:val="24"/>
              </w:rPr>
              <w:t>releveelor</w:t>
            </w:r>
            <w:r w:rsidRPr="00C56257">
              <w:rPr>
                <w:color w:val="000000" w:themeColor="text1"/>
                <w:spacing w:val="11"/>
                <w:sz w:val="24"/>
                <w:szCs w:val="24"/>
              </w:rPr>
              <w:t xml:space="preserve">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4876A342" w14:textId="77777777" w:rsidR="006735BF" w:rsidRPr="00C56257" w:rsidRDefault="006735BF" w:rsidP="009E63E5">
            <w:pPr>
              <w:pStyle w:val="TableParagraph"/>
              <w:numPr>
                <w:ilvl w:val="0"/>
                <w:numId w:val="131"/>
              </w:numPr>
              <w:tabs>
                <w:tab w:val="left" w:pos="261"/>
              </w:tabs>
              <w:ind w:left="260" w:hanging="239"/>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19" w:type="dxa"/>
            <w:tcBorders>
              <w:left w:val="nil"/>
            </w:tcBorders>
          </w:tcPr>
          <w:p w14:paraId="0A61F1AC" w14:textId="77777777" w:rsidR="006735BF" w:rsidRPr="00C56257" w:rsidRDefault="006735BF" w:rsidP="008E33FD">
            <w:pPr>
              <w:pStyle w:val="TableParagraph"/>
              <w:jc w:val="both"/>
              <w:rPr>
                <w:b/>
                <w:color w:val="000000" w:themeColor="text1"/>
                <w:sz w:val="24"/>
                <w:szCs w:val="24"/>
              </w:rPr>
            </w:pPr>
          </w:p>
          <w:p w14:paraId="6A810D07" w14:textId="77777777" w:rsidR="006735BF" w:rsidRPr="00C56257" w:rsidRDefault="006735BF" w:rsidP="008E33FD">
            <w:pPr>
              <w:pStyle w:val="TableParagraph"/>
              <w:spacing w:before="3"/>
              <w:jc w:val="both"/>
              <w:rPr>
                <w:b/>
                <w:color w:val="000000" w:themeColor="text1"/>
                <w:sz w:val="24"/>
                <w:szCs w:val="24"/>
              </w:rPr>
            </w:pPr>
          </w:p>
          <w:p w14:paraId="73DDB290" w14:textId="77777777" w:rsidR="006735BF" w:rsidRPr="00C56257" w:rsidRDefault="006735BF" w:rsidP="008E33FD">
            <w:pPr>
              <w:pStyle w:val="TableParagraph"/>
              <w:ind w:right="25"/>
              <w:jc w:val="both"/>
              <w:rPr>
                <w:color w:val="000000" w:themeColor="text1"/>
                <w:sz w:val="24"/>
                <w:szCs w:val="24"/>
              </w:rPr>
            </w:pPr>
            <w:r w:rsidRPr="00C56257">
              <w:rPr>
                <w:color w:val="000000" w:themeColor="text1"/>
                <w:sz w:val="24"/>
                <w:szCs w:val="24"/>
              </w:rPr>
              <w:t>a</w:t>
            </w:r>
          </w:p>
        </w:tc>
        <w:tc>
          <w:tcPr>
            <w:tcW w:w="2179" w:type="dxa"/>
          </w:tcPr>
          <w:p w14:paraId="1B18232B" w14:textId="77777777" w:rsidR="006735BF" w:rsidRPr="00C56257" w:rsidRDefault="006735BF" w:rsidP="008E33FD">
            <w:pPr>
              <w:pStyle w:val="TableParagraph"/>
              <w:ind w:left="22" w:right="7"/>
              <w:jc w:val="both"/>
              <w:rPr>
                <w:color w:val="000000" w:themeColor="text1"/>
                <w:sz w:val="24"/>
                <w:szCs w:val="24"/>
              </w:rPr>
            </w:pPr>
            <w:r w:rsidRPr="00C56257">
              <w:rPr>
                <w:color w:val="000000" w:themeColor="text1"/>
                <w:sz w:val="24"/>
                <w:szCs w:val="24"/>
              </w:rPr>
              <w:t>Min 7 relevee/ transecte</w:t>
            </w:r>
            <w:r w:rsidRPr="00C56257">
              <w:rPr>
                <w:color w:val="000000" w:themeColor="text1"/>
                <w:spacing w:val="-52"/>
                <w:sz w:val="24"/>
                <w:szCs w:val="24"/>
              </w:rPr>
              <w:t xml:space="preserve"> </w:t>
            </w:r>
            <w:r w:rsidRPr="00C56257">
              <w:rPr>
                <w:color w:val="000000" w:themeColor="text1"/>
                <w:sz w:val="24"/>
                <w:szCs w:val="24"/>
              </w:rPr>
              <w:t>de monitorizare în</w:t>
            </w:r>
            <w:r w:rsidRPr="00C56257">
              <w:rPr>
                <w:color w:val="000000" w:themeColor="text1"/>
                <w:spacing w:val="1"/>
                <w:sz w:val="24"/>
                <w:szCs w:val="24"/>
              </w:rPr>
              <w:t xml:space="preserve"> </w:t>
            </w:r>
            <w:r w:rsidRPr="00C56257">
              <w:rPr>
                <w:color w:val="000000" w:themeColor="text1"/>
                <w:sz w:val="24"/>
                <w:szCs w:val="24"/>
              </w:rPr>
              <w:t>cadrul ariilor naturale</w:t>
            </w:r>
            <w:r w:rsidRPr="00C56257">
              <w:rPr>
                <w:color w:val="000000" w:themeColor="text1"/>
                <w:spacing w:val="1"/>
                <w:sz w:val="24"/>
                <w:szCs w:val="24"/>
              </w:rPr>
              <w:t xml:space="preserve"> </w:t>
            </w:r>
            <w:r w:rsidRPr="00C56257">
              <w:rPr>
                <w:color w:val="000000" w:themeColor="text1"/>
                <w:sz w:val="24"/>
                <w:szCs w:val="24"/>
              </w:rPr>
              <w:t>țintă şi în afara acestora</w:t>
            </w:r>
            <w:r w:rsidRPr="00C56257">
              <w:rPr>
                <w:color w:val="000000" w:themeColor="text1"/>
                <w:spacing w:val="-52"/>
                <w:sz w:val="24"/>
                <w:szCs w:val="24"/>
              </w:rPr>
              <w:t xml:space="preserve"> </w:t>
            </w:r>
            <w:r w:rsidRPr="00C56257">
              <w:rPr>
                <w:color w:val="000000" w:themeColor="text1"/>
                <w:sz w:val="24"/>
                <w:szCs w:val="24"/>
              </w:rPr>
              <w:t>în</w:t>
            </w:r>
            <w:r w:rsidRPr="00C56257">
              <w:rPr>
                <w:color w:val="000000" w:themeColor="text1"/>
                <w:spacing w:val="-1"/>
                <w:sz w:val="24"/>
                <w:szCs w:val="24"/>
              </w:rPr>
              <w:t xml:space="preserve"> </w:t>
            </w:r>
            <w:r w:rsidRPr="00C56257">
              <w:rPr>
                <w:color w:val="000000" w:themeColor="text1"/>
                <w:sz w:val="24"/>
                <w:szCs w:val="24"/>
              </w:rPr>
              <w:t>situația</w:t>
            </w:r>
            <w:r w:rsidRPr="00C56257">
              <w:rPr>
                <w:color w:val="000000" w:themeColor="text1"/>
                <w:spacing w:val="-1"/>
                <w:sz w:val="24"/>
                <w:szCs w:val="24"/>
              </w:rPr>
              <w:t xml:space="preserve"> </w:t>
            </w:r>
            <w:r w:rsidRPr="00C56257">
              <w:rPr>
                <w:color w:val="000000" w:themeColor="text1"/>
                <w:sz w:val="24"/>
                <w:szCs w:val="24"/>
              </w:rPr>
              <w:t>prezenței</w:t>
            </w:r>
          </w:p>
          <w:p w14:paraId="0809EEFC" w14:textId="77777777" w:rsidR="006735BF" w:rsidRPr="00C56257" w:rsidRDefault="006735BF" w:rsidP="008E33FD">
            <w:pPr>
              <w:pStyle w:val="TableParagraph"/>
              <w:spacing w:line="238" w:lineRule="exact"/>
              <w:ind w:left="22"/>
              <w:jc w:val="both"/>
              <w:rPr>
                <w:color w:val="000000" w:themeColor="text1"/>
                <w:sz w:val="24"/>
                <w:szCs w:val="24"/>
              </w:rPr>
            </w:pPr>
            <w:r w:rsidRPr="00C56257">
              <w:rPr>
                <w:color w:val="000000" w:themeColor="text1"/>
                <w:sz w:val="24"/>
                <w:szCs w:val="24"/>
              </w:rPr>
              <w:t>habitatului.</w:t>
            </w:r>
          </w:p>
        </w:tc>
      </w:tr>
      <w:tr w:rsidR="001842B9" w:rsidRPr="00C56257" w14:paraId="79609BE8" w14:textId="77777777" w:rsidTr="001842B9">
        <w:trPr>
          <w:trHeight w:val="1519"/>
        </w:trPr>
        <w:tc>
          <w:tcPr>
            <w:tcW w:w="3207" w:type="dxa"/>
          </w:tcPr>
          <w:p w14:paraId="2E080DF4" w14:textId="77777777" w:rsidR="006735BF" w:rsidRPr="00C56257" w:rsidRDefault="006735BF" w:rsidP="008E33FD">
            <w:pPr>
              <w:pStyle w:val="TableParagraph"/>
              <w:jc w:val="both"/>
              <w:rPr>
                <w:b/>
                <w:color w:val="000000" w:themeColor="text1"/>
                <w:sz w:val="24"/>
                <w:szCs w:val="24"/>
              </w:rPr>
            </w:pPr>
          </w:p>
          <w:p w14:paraId="060C0331" w14:textId="77777777" w:rsidR="006735BF" w:rsidRPr="00C56257" w:rsidRDefault="006735BF" w:rsidP="008E33FD">
            <w:pPr>
              <w:pStyle w:val="TableParagraph"/>
              <w:spacing w:before="6"/>
              <w:jc w:val="both"/>
              <w:rPr>
                <w:b/>
                <w:color w:val="000000" w:themeColor="text1"/>
                <w:sz w:val="24"/>
                <w:szCs w:val="24"/>
              </w:rPr>
            </w:pPr>
          </w:p>
          <w:p w14:paraId="15E31D7C" w14:textId="77777777" w:rsidR="006735BF" w:rsidRPr="00C56257" w:rsidRDefault="006735BF" w:rsidP="008E33FD">
            <w:pPr>
              <w:pStyle w:val="TableParagraph"/>
              <w:ind w:left="26"/>
              <w:jc w:val="both"/>
              <w:rPr>
                <w:color w:val="000000" w:themeColor="text1"/>
                <w:sz w:val="24"/>
                <w:szCs w:val="24"/>
              </w:rPr>
            </w:pPr>
            <w:r w:rsidRPr="00C56257">
              <w:rPr>
                <w:color w:val="000000" w:themeColor="text1"/>
                <w:sz w:val="24"/>
                <w:szCs w:val="24"/>
              </w:rPr>
              <w:t>62C0*</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4"/>
                <w:sz w:val="24"/>
                <w:szCs w:val="24"/>
              </w:rPr>
              <w:t xml:space="preserve"> </w:t>
            </w:r>
            <w:r w:rsidRPr="00C56257">
              <w:rPr>
                <w:color w:val="000000" w:themeColor="text1"/>
                <w:sz w:val="24"/>
                <w:szCs w:val="24"/>
              </w:rPr>
              <w:t>Stepe ponto -sarmatice</w:t>
            </w:r>
          </w:p>
        </w:tc>
        <w:tc>
          <w:tcPr>
            <w:tcW w:w="586" w:type="dxa"/>
          </w:tcPr>
          <w:p w14:paraId="44EED7BE" w14:textId="77777777" w:rsidR="006735BF" w:rsidRPr="00C56257" w:rsidRDefault="006735BF" w:rsidP="008E33FD">
            <w:pPr>
              <w:pStyle w:val="TableParagraph"/>
              <w:jc w:val="both"/>
              <w:rPr>
                <w:color w:val="000000" w:themeColor="text1"/>
                <w:sz w:val="24"/>
                <w:szCs w:val="24"/>
              </w:rPr>
            </w:pPr>
          </w:p>
        </w:tc>
        <w:tc>
          <w:tcPr>
            <w:tcW w:w="558" w:type="dxa"/>
          </w:tcPr>
          <w:p w14:paraId="19D7689F" w14:textId="77777777" w:rsidR="006735BF" w:rsidRPr="00C56257" w:rsidRDefault="006735BF" w:rsidP="008E33FD">
            <w:pPr>
              <w:pStyle w:val="TableParagraph"/>
              <w:jc w:val="both"/>
              <w:rPr>
                <w:color w:val="000000" w:themeColor="text1"/>
                <w:sz w:val="24"/>
                <w:szCs w:val="24"/>
              </w:rPr>
            </w:pPr>
          </w:p>
        </w:tc>
        <w:tc>
          <w:tcPr>
            <w:tcW w:w="572" w:type="dxa"/>
            <w:shd w:val="clear" w:color="auto" w:fill="BEBEBE"/>
          </w:tcPr>
          <w:p w14:paraId="77D55202"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4DB8040C"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27801ACD"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7890E729" w14:textId="77777777" w:rsidR="006735BF" w:rsidRPr="00C56257" w:rsidRDefault="006735BF" w:rsidP="008E33FD">
            <w:pPr>
              <w:pStyle w:val="TableParagraph"/>
              <w:jc w:val="both"/>
              <w:rPr>
                <w:color w:val="000000" w:themeColor="text1"/>
                <w:sz w:val="24"/>
                <w:szCs w:val="24"/>
              </w:rPr>
            </w:pPr>
          </w:p>
        </w:tc>
        <w:tc>
          <w:tcPr>
            <w:tcW w:w="517" w:type="dxa"/>
            <w:shd w:val="clear" w:color="auto" w:fill="BEBEBE"/>
          </w:tcPr>
          <w:p w14:paraId="6A01150A"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4691184B"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475DD228"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75542B5C"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391058AA" w14:textId="77777777" w:rsidR="006735BF" w:rsidRPr="00C56257" w:rsidRDefault="006735BF" w:rsidP="008E33FD">
            <w:pPr>
              <w:pStyle w:val="TableParagraph"/>
              <w:jc w:val="both"/>
              <w:rPr>
                <w:color w:val="000000" w:themeColor="text1"/>
                <w:sz w:val="24"/>
                <w:szCs w:val="24"/>
              </w:rPr>
            </w:pPr>
          </w:p>
        </w:tc>
        <w:tc>
          <w:tcPr>
            <w:tcW w:w="514" w:type="dxa"/>
          </w:tcPr>
          <w:p w14:paraId="43264F7E" w14:textId="77777777" w:rsidR="006735BF" w:rsidRPr="00C56257" w:rsidRDefault="006735BF" w:rsidP="008E33FD">
            <w:pPr>
              <w:pStyle w:val="TableParagraph"/>
              <w:jc w:val="both"/>
              <w:rPr>
                <w:color w:val="000000" w:themeColor="text1"/>
                <w:sz w:val="24"/>
                <w:szCs w:val="24"/>
              </w:rPr>
            </w:pPr>
          </w:p>
        </w:tc>
        <w:tc>
          <w:tcPr>
            <w:tcW w:w="2563" w:type="dxa"/>
            <w:tcBorders>
              <w:right w:val="nil"/>
            </w:tcBorders>
          </w:tcPr>
          <w:p w14:paraId="2FC47788" w14:textId="77777777" w:rsidR="006735BF" w:rsidRPr="00C56257" w:rsidRDefault="006735BF" w:rsidP="008E33FD">
            <w:pPr>
              <w:pStyle w:val="TableParagraph"/>
              <w:spacing w:before="6"/>
              <w:jc w:val="both"/>
              <w:rPr>
                <w:b/>
                <w:color w:val="000000" w:themeColor="text1"/>
                <w:sz w:val="24"/>
                <w:szCs w:val="24"/>
              </w:rPr>
            </w:pPr>
          </w:p>
          <w:p w14:paraId="1F2A5F52" w14:textId="77777777" w:rsidR="006735BF" w:rsidRPr="00C56257" w:rsidRDefault="006735BF" w:rsidP="008E33FD">
            <w:pPr>
              <w:pStyle w:val="TableParagraph"/>
              <w:spacing w:before="1" w:line="252" w:lineRule="exact"/>
              <w:ind w:left="22"/>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37978822" w14:textId="77777777" w:rsidR="006735BF" w:rsidRPr="00C56257" w:rsidRDefault="006735BF" w:rsidP="009E63E5">
            <w:pPr>
              <w:pStyle w:val="TableParagraph"/>
              <w:numPr>
                <w:ilvl w:val="0"/>
                <w:numId w:val="130"/>
              </w:numPr>
              <w:tabs>
                <w:tab w:val="left" w:pos="280"/>
              </w:tabs>
              <w:ind w:right="88" w:firstLine="0"/>
              <w:jc w:val="both"/>
              <w:rPr>
                <w:color w:val="000000" w:themeColor="text1"/>
                <w:sz w:val="24"/>
                <w:szCs w:val="24"/>
              </w:rPr>
            </w:pPr>
            <w:r w:rsidRPr="00C56257">
              <w:rPr>
                <w:color w:val="000000" w:themeColor="text1"/>
                <w:sz w:val="24"/>
                <w:szCs w:val="24"/>
              </w:rPr>
              <w:t>metoda</w:t>
            </w:r>
            <w:r w:rsidRPr="00C56257">
              <w:rPr>
                <w:color w:val="000000" w:themeColor="text1"/>
                <w:spacing w:val="11"/>
                <w:sz w:val="24"/>
                <w:szCs w:val="24"/>
              </w:rPr>
              <w:t xml:space="preserve"> </w:t>
            </w:r>
            <w:r w:rsidRPr="00C56257">
              <w:rPr>
                <w:color w:val="000000" w:themeColor="text1"/>
                <w:sz w:val="24"/>
                <w:szCs w:val="24"/>
              </w:rPr>
              <w:t>releveelor</w:t>
            </w:r>
            <w:r w:rsidRPr="00C56257">
              <w:rPr>
                <w:color w:val="000000" w:themeColor="text1"/>
                <w:spacing w:val="11"/>
                <w:sz w:val="24"/>
                <w:szCs w:val="24"/>
              </w:rPr>
              <w:t xml:space="preserve">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4B4E54CC" w14:textId="77777777" w:rsidR="006735BF" w:rsidRPr="00C56257" w:rsidRDefault="006735BF" w:rsidP="009E63E5">
            <w:pPr>
              <w:pStyle w:val="TableParagraph"/>
              <w:numPr>
                <w:ilvl w:val="0"/>
                <w:numId w:val="130"/>
              </w:numPr>
              <w:tabs>
                <w:tab w:val="left" w:pos="261"/>
              </w:tabs>
              <w:ind w:left="260" w:hanging="239"/>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19" w:type="dxa"/>
            <w:tcBorders>
              <w:left w:val="nil"/>
            </w:tcBorders>
          </w:tcPr>
          <w:p w14:paraId="1717E4C9" w14:textId="77777777" w:rsidR="006735BF" w:rsidRPr="00C56257" w:rsidRDefault="006735BF" w:rsidP="008E33FD">
            <w:pPr>
              <w:pStyle w:val="TableParagraph"/>
              <w:jc w:val="both"/>
              <w:rPr>
                <w:b/>
                <w:color w:val="000000" w:themeColor="text1"/>
                <w:sz w:val="24"/>
                <w:szCs w:val="24"/>
              </w:rPr>
            </w:pPr>
          </w:p>
          <w:p w14:paraId="0AB0C239" w14:textId="77777777" w:rsidR="006735BF" w:rsidRPr="00C56257" w:rsidRDefault="006735BF" w:rsidP="008E33FD">
            <w:pPr>
              <w:pStyle w:val="TableParagraph"/>
              <w:spacing w:before="5"/>
              <w:jc w:val="both"/>
              <w:rPr>
                <w:b/>
                <w:color w:val="000000" w:themeColor="text1"/>
                <w:sz w:val="24"/>
                <w:szCs w:val="24"/>
              </w:rPr>
            </w:pPr>
          </w:p>
          <w:p w14:paraId="3A17B7F5" w14:textId="77777777" w:rsidR="006735BF" w:rsidRPr="00C56257" w:rsidRDefault="006735BF" w:rsidP="008E33FD">
            <w:pPr>
              <w:pStyle w:val="TableParagraph"/>
              <w:spacing w:before="1"/>
              <w:ind w:right="25"/>
              <w:jc w:val="both"/>
              <w:rPr>
                <w:color w:val="000000" w:themeColor="text1"/>
                <w:sz w:val="24"/>
                <w:szCs w:val="24"/>
              </w:rPr>
            </w:pPr>
            <w:r w:rsidRPr="00C56257">
              <w:rPr>
                <w:color w:val="000000" w:themeColor="text1"/>
                <w:sz w:val="24"/>
                <w:szCs w:val="24"/>
              </w:rPr>
              <w:t>a</w:t>
            </w:r>
          </w:p>
        </w:tc>
        <w:tc>
          <w:tcPr>
            <w:tcW w:w="2179" w:type="dxa"/>
          </w:tcPr>
          <w:p w14:paraId="3AF91522" w14:textId="77777777" w:rsidR="006735BF" w:rsidRPr="00C56257" w:rsidRDefault="006735BF" w:rsidP="008E33FD">
            <w:pPr>
              <w:pStyle w:val="TableParagraph"/>
              <w:ind w:left="22" w:right="7"/>
              <w:jc w:val="both"/>
              <w:rPr>
                <w:color w:val="000000" w:themeColor="text1"/>
                <w:sz w:val="24"/>
                <w:szCs w:val="24"/>
              </w:rPr>
            </w:pPr>
            <w:r w:rsidRPr="00C56257">
              <w:rPr>
                <w:color w:val="000000" w:themeColor="text1"/>
                <w:sz w:val="24"/>
                <w:szCs w:val="24"/>
              </w:rPr>
              <w:t>Min 8 relevee/ transecte</w:t>
            </w:r>
            <w:r w:rsidRPr="00C56257">
              <w:rPr>
                <w:color w:val="000000" w:themeColor="text1"/>
                <w:spacing w:val="-52"/>
                <w:sz w:val="24"/>
                <w:szCs w:val="24"/>
              </w:rPr>
              <w:t xml:space="preserve"> </w:t>
            </w:r>
            <w:r w:rsidRPr="00C56257">
              <w:rPr>
                <w:color w:val="000000" w:themeColor="text1"/>
                <w:sz w:val="24"/>
                <w:szCs w:val="24"/>
              </w:rPr>
              <w:t>de monitorizare în</w:t>
            </w:r>
            <w:r w:rsidRPr="00C56257">
              <w:rPr>
                <w:color w:val="000000" w:themeColor="text1"/>
                <w:spacing w:val="1"/>
                <w:sz w:val="24"/>
                <w:szCs w:val="24"/>
              </w:rPr>
              <w:t xml:space="preserve"> </w:t>
            </w:r>
            <w:r w:rsidRPr="00C56257">
              <w:rPr>
                <w:color w:val="000000" w:themeColor="text1"/>
                <w:sz w:val="24"/>
                <w:szCs w:val="24"/>
              </w:rPr>
              <w:t>cadrul ariilor naturale</w:t>
            </w:r>
            <w:r w:rsidRPr="00C56257">
              <w:rPr>
                <w:color w:val="000000" w:themeColor="text1"/>
                <w:spacing w:val="1"/>
                <w:sz w:val="24"/>
                <w:szCs w:val="24"/>
              </w:rPr>
              <w:t xml:space="preserve"> </w:t>
            </w:r>
            <w:r w:rsidRPr="00C56257">
              <w:rPr>
                <w:color w:val="000000" w:themeColor="text1"/>
                <w:sz w:val="24"/>
                <w:szCs w:val="24"/>
              </w:rPr>
              <w:t>țintă</w:t>
            </w:r>
            <w:r w:rsidRPr="00C56257">
              <w:rPr>
                <w:color w:val="000000" w:themeColor="text1"/>
                <w:spacing w:val="-1"/>
                <w:sz w:val="24"/>
                <w:szCs w:val="24"/>
              </w:rPr>
              <w:t xml:space="preserve"> </w:t>
            </w:r>
            <w:r w:rsidRPr="00C56257">
              <w:rPr>
                <w:color w:val="000000" w:themeColor="text1"/>
                <w:sz w:val="24"/>
                <w:szCs w:val="24"/>
              </w:rPr>
              <w:t>şi</w:t>
            </w:r>
            <w:r w:rsidRPr="00C56257">
              <w:rPr>
                <w:color w:val="000000" w:themeColor="text1"/>
                <w:spacing w:val="-4"/>
                <w:sz w:val="24"/>
                <w:szCs w:val="24"/>
              </w:rPr>
              <w:t xml:space="preserve"> </w:t>
            </w:r>
            <w:r w:rsidRPr="00C56257">
              <w:rPr>
                <w:color w:val="000000" w:themeColor="text1"/>
                <w:sz w:val="24"/>
                <w:szCs w:val="24"/>
              </w:rPr>
              <w:t>în</w:t>
            </w:r>
            <w:r w:rsidRPr="00C56257">
              <w:rPr>
                <w:color w:val="000000" w:themeColor="text1"/>
                <w:spacing w:val="-1"/>
                <w:sz w:val="24"/>
                <w:szCs w:val="24"/>
              </w:rPr>
              <w:t xml:space="preserve"> </w:t>
            </w:r>
            <w:r w:rsidRPr="00C56257">
              <w:rPr>
                <w:color w:val="000000" w:themeColor="text1"/>
                <w:sz w:val="24"/>
                <w:szCs w:val="24"/>
              </w:rPr>
              <w:t>afara</w:t>
            </w:r>
            <w:r w:rsidRPr="00C56257">
              <w:rPr>
                <w:color w:val="000000" w:themeColor="text1"/>
                <w:spacing w:val="-2"/>
                <w:sz w:val="24"/>
                <w:szCs w:val="24"/>
              </w:rPr>
              <w:t xml:space="preserve"> </w:t>
            </w:r>
            <w:r w:rsidRPr="00C56257">
              <w:rPr>
                <w:color w:val="000000" w:themeColor="text1"/>
                <w:sz w:val="24"/>
                <w:szCs w:val="24"/>
              </w:rPr>
              <w:t>acestora</w:t>
            </w:r>
          </w:p>
          <w:p w14:paraId="00AC9F1C" w14:textId="77777777" w:rsidR="006735BF" w:rsidRPr="00C56257" w:rsidRDefault="006735BF" w:rsidP="008E33FD">
            <w:pPr>
              <w:pStyle w:val="TableParagraph"/>
              <w:spacing w:line="252" w:lineRule="exact"/>
              <w:ind w:left="22" w:right="404"/>
              <w:jc w:val="both"/>
              <w:rPr>
                <w:color w:val="000000" w:themeColor="text1"/>
                <w:sz w:val="24"/>
                <w:szCs w:val="24"/>
              </w:rPr>
            </w:pPr>
            <w:r w:rsidRPr="00C56257">
              <w:rPr>
                <w:color w:val="000000" w:themeColor="text1"/>
                <w:sz w:val="24"/>
                <w:szCs w:val="24"/>
              </w:rPr>
              <w:t>în situația prezenței</w:t>
            </w:r>
            <w:r w:rsidRPr="00C56257">
              <w:rPr>
                <w:color w:val="000000" w:themeColor="text1"/>
                <w:spacing w:val="-52"/>
                <w:sz w:val="24"/>
                <w:szCs w:val="24"/>
              </w:rPr>
              <w:t xml:space="preserve"> </w:t>
            </w:r>
            <w:r w:rsidRPr="00C56257">
              <w:rPr>
                <w:color w:val="000000" w:themeColor="text1"/>
                <w:sz w:val="24"/>
                <w:szCs w:val="24"/>
              </w:rPr>
              <w:t>habitatului.</w:t>
            </w:r>
          </w:p>
        </w:tc>
      </w:tr>
      <w:tr w:rsidR="001842B9" w:rsidRPr="00C56257" w14:paraId="097F2E67" w14:textId="77777777" w:rsidTr="001842B9">
        <w:trPr>
          <w:trHeight w:val="1517"/>
        </w:trPr>
        <w:tc>
          <w:tcPr>
            <w:tcW w:w="3207" w:type="dxa"/>
          </w:tcPr>
          <w:p w14:paraId="0A4A0FF7" w14:textId="77777777" w:rsidR="006735BF" w:rsidRPr="00C56257" w:rsidRDefault="006735BF" w:rsidP="008E33FD">
            <w:pPr>
              <w:pStyle w:val="TableParagraph"/>
              <w:jc w:val="both"/>
              <w:rPr>
                <w:b/>
                <w:color w:val="000000" w:themeColor="text1"/>
                <w:sz w:val="24"/>
                <w:szCs w:val="24"/>
              </w:rPr>
            </w:pPr>
          </w:p>
          <w:p w14:paraId="56533F56" w14:textId="77777777" w:rsidR="006735BF" w:rsidRPr="00C56257" w:rsidRDefault="006735BF" w:rsidP="008E33FD">
            <w:pPr>
              <w:pStyle w:val="TableParagraph"/>
              <w:spacing w:before="3"/>
              <w:jc w:val="both"/>
              <w:rPr>
                <w:b/>
                <w:color w:val="000000" w:themeColor="text1"/>
                <w:sz w:val="24"/>
                <w:szCs w:val="24"/>
              </w:rPr>
            </w:pPr>
          </w:p>
          <w:p w14:paraId="52B1A074" w14:textId="77777777" w:rsidR="006735BF" w:rsidRPr="00C56257" w:rsidRDefault="006735BF" w:rsidP="008E33FD">
            <w:pPr>
              <w:pStyle w:val="TableParagraph"/>
              <w:spacing w:before="1"/>
              <w:ind w:left="26"/>
              <w:jc w:val="both"/>
              <w:rPr>
                <w:color w:val="000000" w:themeColor="text1"/>
                <w:sz w:val="24"/>
                <w:szCs w:val="24"/>
              </w:rPr>
            </w:pPr>
            <w:r w:rsidRPr="00C56257">
              <w:rPr>
                <w:color w:val="000000" w:themeColor="text1"/>
                <w:sz w:val="24"/>
                <w:szCs w:val="24"/>
              </w:rPr>
              <w:t>6240*</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4"/>
                <w:sz w:val="24"/>
                <w:szCs w:val="24"/>
              </w:rPr>
              <w:t xml:space="preserve"> </w:t>
            </w:r>
            <w:r w:rsidRPr="00C56257">
              <w:rPr>
                <w:color w:val="000000" w:themeColor="text1"/>
                <w:sz w:val="24"/>
                <w:szCs w:val="24"/>
              </w:rPr>
              <w:t>Pajişti</w:t>
            </w:r>
            <w:r w:rsidRPr="00C56257">
              <w:rPr>
                <w:color w:val="000000" w:themeColor="text1"/>
                <w:spacing w:val="-2"/>
                <w:sz w:val="24"/>
                <w:szCs w:val="24"/>
              </w:rPr>
              <w:t xml:space="preserve"> </w:t>
            </w:r>
            <w:r w:rsidRPr="00C56257">
              <w:rPr>
                <w:color w:val="000000" w:themeColor="text1"/>
                <w:sz w:val="24"/>
                <w:szCs w:val="24"/>
              </w:rPr>
              <w:t>stepice</w:t>
            </w:r>
            <w:r w:rsidRPr="00C56257">
              <w:rPr>
                <w:color w:val="000000" w:themeColor="text1"/>
                <w:spacing w:val="-1"/>
                <w:sz w:val="24"/>
                <w:szCs w:val="24"/>
              </w:rPr>
              <w:t xml:space="preserve"> </w:t>
            </w:r>
            <w:r w:rsidRPr="00C56257">
              <w:rPr>
                <w:color w:val="000000" w:themeColor="text1"/>
                <w:sz w:val="24"/>
                <w:szCs w:val="24"/>
              </w:rPr>
              <w:t>subpanonice</w:t>
            </w:r>
          </w:p>
        </w:tc>
        <w:tc>
          <w:tcPr>
            <w:tcW w:w="586" w:type="dxa"/>
          </w:tcPr>
          <w:p w14:paraId="036576A8" w14:textId="77777777" w:rsidR="006735BF" w:rsidRPr="00C56257" w:rsidRDefault="006735BF" w:rsidP="008E33FD">
            <w:pPr>
              <w:pStyle w:val="TableParagraph"/>
              <w:jc w:val="both"/>
              <w:rPr>
                <w:color w:val="000000" w:themeColor="text1"/>
                <w:sz w:val="24"/>
                <w:szCs w:val="24"/>
              </w:rPr>
            </w:pPr>
          </w:p>
        </w:tc>
        <w:tc>
          <w:tcPr>
            <w:tcW w:w="558" w:type="dxa"/>
          </w:tcPr>
          <w:p w14:paraId="6685CFD0" w14:textId="77777777" w:rsidR="006735BF" w:rsidRPr="00C56257" w:rsidRDefault="006735BF" w:rsidP="008E33FD">
            <w:pPr>
              <w:pStyle w:val="TableParagraph"/>
              <w:jc w:val="both"/>
              <w:rPr>
                <w:color w:val="000000" w:themeColor="text1"/>
                <w:sz w:val="24"/>
                <w:szCs w:val="24"/>
              </w:rPr>
            </w:pPr>
          </w:p>
        </w:tc>
        <w:tc>
          <w:tcPr>
            <w:tcW w:w="572" w:type="dxa"/>
            <w:shd w:val="clear" w:color="auto" w:fill="BEBEBE"/>
          </w:tcPr>
          <w:p w14:paraId="36825506"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4104A7B0"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6AA1E2FA"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5F8D7B11" w14:textId="77777777" w:rsidR="006735BF" w:rsidRPr="00C56257" w:rsidRDefault="006735BF" w:rsidP="008E33FD">
            <w:pPr>
              <w:pStyle w:val="TableParagraph"/>
              <w:jc w:val="both"/>
              <w:rPr>
                <w:color w:val="000000" w:themeColor="text1"/>
                <w:sz w:val="24"/>
                <w:szCs w:val="24"/>
              </w:rPr>
            </w:pPr>
          </w:p>
        </w:tc>
        <w:tc>
          <w:tcPr>
            <w:tcW w:w="517" w:type="dxa"/>
            <w:shd w:val="clear" w:color="auto" w:fill="BEBEBE"/>
          </w:tcPr>
          <w:p w14:paraId="51B72ABE"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7AEFA69E"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56D7F54E"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35EA9F8E"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04F7EBD9" w14:textId="77777777" w:rsidR="006735BF" w:rsidRPr="00C56257" w:rsidRDefault="006735BF" w:rsidP="008E33FD">
            <w:pPr>
              <w:pStyle w:val="TableParagraph"/>
              <w:jc w:val="both"/>
              <w:rPr>
                <w:color w:val="000000" w:themeColor="text1"/>
                <w:sz w:val="24"/>
                <w:szCs w:val="24"/>
              </w:rPr>
            </w:pPr>
          </w:p>
        </w:tc>
        <w:tc>
          <w:tcPr>
            <w:tcW w:w="514" w:type="dxa"/>
          </w:tcPr>
          <w:p w14:paraId="361F8E78" w14:textId="77777777" w:rsidR="006735BF" w:rsidRPr="00C56257" w:rsidRDefault="006735BF" w:rsidP="008E33FD">
            <w:pPr>
              <w:pStyle w:val="TableParagraph"/>
              <w:jc w:val="both"/>
              <w:rPr>
                <w:color w:val="000000" w:themeColor="text1"/>
                <w:sz w:val="24"/>
                <w:szCs w:val="24"/>
              </w:rPr>
            </w:pPr>
          </w:p>
        </w:tc>
        <w:tc>
          <w:tcPr>
            <w:tcW w:w="2563" w:type="dxa"/>
            <w:tcBorders>
              <w:right w:val="nil"/>
            </w:tcBorders>
          </w:tcPr>
          <w:p w14:paraId="73A952A1" w14:textId="77777777" w:rsidR="006735BF" w:rsidRPr="00C56257" w:rsidRDefault="006735BF" w:rsidP="008E33FD">
            <w:pPr>
              <w:pStyle w:val="TableParagraph"/>
              <w:spacing w:before="4"/>
              <w:jc w:val="both"/>
              <w:rPr>
                <w:b/>
                <w:color w:val="000000" w:themeColor="text1"/>
                <w:sz w:val="24"/>
                <w:szCs w:val="24"/>
              </w:rPr>
            </w:pPr>
          </w:p>
          <w:p w14:paraId="41D3DDCE" w14:textId="77777777" w:rsidR="006735BF" w:rsidRPr="00C56257" w:rsidRDefault="006735BF" w:rsidP="008E33FD">
            <w:pPr>
              <w:pStyle w:val="TableParagraph"/>
              <w:ind w:left="22"/>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77F0F04A" w14:textId="77777777" w:rsidR="006735BF" w:rsidRPr="00C56257" w:rsidRDefault="006735BF" w:rsidP="009E63E5">
            <w:pPr>
              <w:pStyle w:val="TableParagraph"/>
              <w:numPr>
                <w:ilvl w:val="0"/>
                <w:numId w:val="129"/>
              </w:numPr>
              <w:tabs>
                <w:tab w:val="left" w:pos="280"/>
              </w:tabs>
              <w:spacing w:before="1"/>
              <w:ind w:right="88" w:firstLine="0"/>
              <w:jc w:val="both"/>
              <w:rPr>
                <w:color w:val="000000" w:themeColor="text1"/>
                <w:sz w:val="24"/>
                <w:szCs w:val="24"/>
              </w:rPr>
            </w:pPr>
            <w:r w:rsidRPr="00C56257">
              <w:rPr>
                <w:color w:val="000000" w:themeColor="text1"/>
                <w:sz w:val="24"/>
                <w:szCs w:val="24"/>
              </w:rPr>
              <w:t>metoda</w:t>
            </w:r>
            <w:r w:rsidRPr="00C56257">
              <w:rPr>
                <w:color w:val="000000" w:themeColor="text1"/>
                <w:spacing w:val="11"/>
                <w:sz w:val="24"/>
                <w:szCs w:val="24"/>
              </w:rPr>
              <w:t xml:space="preserve"> </w:t>
            </w:r>
            <w:r w:rsidRPr="00C56257">
              <w:rPr>
                <w:color w:val="000000" w:themeColor="text1"/>
                <w:sz w:val="24"/>
                <w:szCs w:val="24"/>
              </w:rPr>
              <w:t>releveelor</w:t>
            </w:r>
            <w:r w:rsidRPr="00C56257">
              <w:rPr>
                <w:color w:val="000000" w:themeColor="text1"/>
                <w:spacing w:val="11"/>
                <w:sz w:val="24"/>
                <w:szCs w:val="24"/>
              </w:rPr>
              <w:t xml:space="preserve">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713F3985" w14:textId="77777777" w:rsidR="006735BF" w:rsidRPr="00C56257" w:rsidRDefault="006735BF" w:rsidP="009E63E5">
            <w:pPr>
              <w:pStyle w:val="TableParagraph"/>
              <w:numPr>
                <w:ilvl w:val="0"/>
                <w:numId w:val="129"/>
              </w:numPr>
              <w:tabs>
                <w:tab w:val="left" w:pos="261"/>
              </w:tabs>
              <w:spacing w:before="1"/>
              <w:ind w:left="260" w:hanging="239"/>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19" w:type="dxa"/>
            <w:tcBorders>
              <w:left w:val="nil"/>
            </w:tcBorders>
          </w:tcPr>
          <w:p w14:paraId="218EA039" w14:textId="77777777" w:rsidR="006735BF" w:rsidRPr="00C56257" w:rsidRDefault="006735BF" w:rsidP="008E33FD">
            <w:pPr>
              <w:pStyle w:val="TableParagraph"/>
              <w:jc w:val="both"/>
              <w:rPr>
                <w:b/>
                <w:color w:val="000000" w:themeColor="text1"/>
                <w:sz w:val="24"/>
                <w:szCs w:val="24"/>
              </w:rPr>
            </w:pPr>
          </w:p>
          <w:p w14:paraId="77A57CC0" w14:textId="77777777" w:rsidR="006735BF" w:rsidRPr="00C56257" w:rsidRDefault="006735BF" w:rsidP="008E33FD">
            <w:pPr>
              <w:pStyle w:val="TableParagraph"/>
              <w:spacing w:before="5"/>
              <w:jc w:val="both"/>
              <w:rPr>
                <w:b/>
                <w:color w:val="000000" w:themeColor="text1"/>
                <w:sz w:val="24"/>
                <w:szCs w:val="24"/>
              </w:rPr>
            </w:pPr>
          </w:p>
          <w:p w14:paraId="22AFCDFC" w14:textId="77777777" w:rsidR="006735BF" w:rsidRPr="00C56257" w:rsidRDefault="006735BF" w:rsidP="008E33FD">
            <w:pPr>
              <w:pStyle w:val="TableParagraph"/>
              <w:ind w:right="25"/>
              <w:jc w:val="both"/>
              <w:rPr>
                <w:color w:val="000000" w:themeColor="text1"/>
                <w:sz w:val="24"/>
                <w:szCs w:val="24"/>
              </w:rPr>
            </w:pPr>
            <w:r w:rsidRPr="00C56257">
              <w:rPr>
                <w:color w:val="000000" w:themeColor="text1"/>
                <w:sz w:val="24"/>
                <w:szCs w:val="24"/>
              </w:rPr>
              <w:t>a</w:t>
            </w:r>
          </w:p>
        </w:tc>
        <w:tc>
          <w:tcPr>
            <w:tcW w:w="2179" w:type="dxa"/>
          </w:tcPr>
          <w:p w14:paraId="4D7DF651" w14:textId="77777777" w:rsidR="006735BF" w:rsidRPr="00C56257" w:rsidRDefault="006735BF" w:rsidP="008E33FD">
            <w:pPr>
              <w:pStyle w:val="TableParagraph"/>
              <w:ind w:left="22" w:right="7"/>
              <w:jc w:val="both"/>
              <w:rPr>
                <w:color w:val="000000" w:themeColor="text1"/>
                <w:sz w:val="24"/>
                <w:szCs w:val="24"/>
              </w:rPr>
            </w:pPr>
            <w:r w:rsidRPr="00C56257">
              <w:rPr>
                <w:color w:val="000000" w:themeColor="text1"/>
                <w:sz w:val="24"/>
                <w:szCs w:val="24"/>
              </w:rPr>
              <w:t>Min 7 relevee/ transecte</w:t>
            </w:r>
            <w:r w:rsidRPr="00C56257">
              <w:rPr>
                <w:color w:val="000000" w:themeColor="text1"/>
                <w:spacing w:val="-52"/>
                <w:sz w:val="24"/>
                <w:szCs w:val="24"/>
              </w:rPr>
              <w:t xml:space="preserve"> </w:t>
            </w:r>
            <w:r w:rsidRPr="00C56257">
              <w:rPr>
                <w:color w:val="000000" w:themeColor="text1"/>
                <w:sz w:val="24"/>
                <w:szCs w:val="24"/>
              </w:rPr>
              <w:t>de monitorizare în</w:t>
            </w:r>
            <w:r w:rsidRPr="00C56257">
              <w:rPr>
                <w:color w:val="000000" w:themeColor="text1"/>
                <w:spacing w:val="1"/>
                <w:sz w:val="24"/>
                <w:szCs w:val="24"/>
              </w:rPr>
              <w:t xml:space="preserve"> </w:t>
            </w:r>
            <w:r w:rsidRPr="00C56257">
              <w:rPr>
                <w:color w:val="000000" w:themeColor="text1"/>
                <w:sz w:val="24"/>
                <w:szCs w:val="24"/>
              </w:rPr>
              <w:t>cadrul ariilor naturale</w:t>
            </w:r>
            <w:r w:rsidRPr="00C56257">
              <w:rPr>
                <w:color w:val="000000" w:themeColor="text1"/>
                <w:spacing w:val="1"/>
                <w:sz w:val="24"/>
                <w:szCs w:val="24"/>
              </w:rPr>
              <w:t xml:space="preserve"> </w:t>
            </w:r>
            <w:r w:rsidRPr="00C56257">
              <w:rPr>
                <w:color w:val="000000" w:themeColor="text1"/>
                <w:sz w:val="24"/>
                <w:szCs w:val="24"/>
              </w:rPr>
              <w:t>țintă şi în afara acestora</w:t>
            </w:r>
            <w:r w:rsidRPr="00C56257">
              <w:rPr>
                <w:color w:val="000000" w:themeColor="text1"/>
                <w:spacing w:val="-52"/>
                <w:sz w:val="24"/>
                <w:szCs w:val="24"/>
              </w:rPr>
              <w:t xml:space="preserve"> </w:t>
            </w:r>
            <w:r w:rsidRPr="00C56257">
              <w:rPr>
                <w:color w:val="000000" w:themeColor="text1"/>
                <w:sz w:val="24"/>
                <w:szCs w:val="24"/>
              </w:rPr>
              <w:t>în</w:t>
            </w:r>
            <w:r w:rsidRPr="00C56257">
              <w:rPr>
                <w:color w:val="000000" w:themeColor="text1"/>
                <w:spacing w:val="-1"/>
                <w:sz w:val="24"/>
                <w:szCs w:val="24"/>
              </w:rPr>
              <w:t xml:space="preserve"> </w:t>
            </w:r>
            <w:r w:rsidRPr="00C56257">
              <w:rPr>
                <w:color w:val="000000" w:themeColor="text1"/>
                <w:sz w:val="24"/>
                <w:szCs w:val="24"/>
              </w:rPr>
              <w:t>situația</w:t>
            </w:r>
            <w:r w:rsidRPr="00C56257">
              <w:rPr>
                <w:color w:val="000000" w:themeColor="text1"/>
                <w:spacing w:val="-1"/>
                <w:sz w:val="24"/>
                <w:szCs w:val="24"/>
              </w:rPr>
              <w:t xml:space="preserve"> </w:t>
            </w:r>
            <w:r w:rsidRPr="00C56257">
              <w:rPr>
                <w:color w:val="000000" w:themeColor="text1"/>
                <w:sz w:val="24"/>
                <w:szCs w:val="24"/>
              </w:rPr>
              <w:t>prezenței</w:t>
            </w:r>
          </w:p>
          <w:p w14:paraId="745F5CFC" w14:textId="77777777" w:rsidR="006735BF" w:rsidRPr="00C56257" w:rsidRDefault="006735BF" w:rsidP="008E33FD">
            <w:pPr>
              <w:pStyle w:val="TableParagraph"/>
              <w:spacing w:line="238" w:lineRule="exact"/>
              <w:ind w:left="22"/>
              <w:jc w:val="both"/>
              <w:rPr>
                <w:color w:val="000000" w:themeColor="text1"/>
                <w:sz w:val="24"/>
                <w:szCs w:val="24"/>
              </w:rPr>
            </w:pPr>
            <w:r w:rsidRPr="00C56257">
              <w:rPr>
                <w:color w:val="000000" w:themeColor="text1"/>
                <w:sz w:val="24"/>
                <w:szCs w:val="24"/>
              </w:rPr>
              <w:t>habitatului.</w:t>
            </w:r>
          </w:p>
        </w:tc>
      </w:tr>
      <w:tr w:rsidR="001842B9" w:rsidRPr="00C56257" w14:paraId="5A0BDC73" w14:textId="77777777" w:rsidTr="001842B9">
        <w:trPr>
          <w:trHeight w:val="1518"/>
        </w:trPr>
        <w:tc>
          <w:tcPr>
            <w:tcW w:w="3207" w:type="dxa"/>
          </w:tcPr>
          <w:p w14:paraId="6F23ECD2" w14:textId="77777777" w:rsidR="006735BF" w:rsidRPr="00C56257" w:rsidRDefault="006735BF" w:rsidP="008E33FD">
            <w:pPr>
              <w:pStyle w:val="TableParagraph"/>
              <w:spacing w:before="7"/>
              <w:jc w:val="both"/>
              <w:rPr>
                <w:b/>
                <w:color w:val="000000" w:themeColor="text1"/>
                <w:sz w:val="24"/>
                <w:szCs w:val="24"/>
              </w:rPr>
            </w:pPr>
          </w:p>
          <w:p w14:paraId="50413876" w14:textId="77777777" w:rsidR="006735BF" w:rsidRPr="00C56257" w:rsidRDefault="006735BF" w:rsidP="008E33FD">
            <w:pPr>
              <w:pStyle w:val="TableParagraph"/>
              <w:ind w:left="26" w:right="144"/>
              <w:jc w:val="both"/>
              <w:rPr>
                <w:color w:val="000000" w:themeColor="text1"/>
                <w:sz w:val="24"/>
                <w:szCs w:val="24"/>
              </w:rPr>
            </w:pPr>
            <w:r w:rsidRPr="00C56257">
              <w:rPr>
                <w:color w:val="000000" w:themeColor="text1"/>
                <w:sz w:val="24"/>
                <w:szCs w:val="24"/>
              </w:rPr>
              <w:t xml:space="preserve">6410 - Pajişti cu </w:t>
            </w:r>
            <w:r w:rsidRPr="00C56257">
              <w:rPr>
                <w:i/>
                <w:color w:val="000000" w:themeColor="text1"/>
                <w:sz w:val="24"/>
                <w:szCs w:val="24"/>
              </w:rPr>
              <w:t xml:space="preserve">Molinia </w:t>
            </w:r>
            <w:r w:rsidRPr="00C56257">
              <w:rPr>
                <w:color w:val="000000" w:themeColor="text1"/>
                <w:sz w:val="24"/>
                <w:szCs w:val="24"/>
              </w:rPr>
              <w:t>pe soluri</w:t>
            </w:r>
            <w:r w:rsidRPr="00C56257">
              <w:rPr>
                <w:color w:val="000000" w:themeColor="text1"/>
                <w:spacing w:val="-52"/>
                <w:sz w:val="24"/>
                <w:szCs w:val="24"/>
              </w:rPr>
              <w:t xml:space="preserve"> </w:t>
            </w:r>
            <w:r w:rsidRPr="00C56257">
              <w:rPr>
                <w:color w:val="000000" w:themeColor="text1"/>
                <w:sz w:val="24"/>
                <w:szCs w:val="24"/>
              </w:rPr>
              <w:t>calcaroase, turboase sau luto-</w:t>
            </w:r>
            <w:r w:rsidRPr="00C56257">
              <w:rPr>
                <w:color w:val="000000" w:themeColor="text1"/>
                <w:spacing w:val="1"/>
                <w:sz w:val="24"/>
                <w:szCs w:val="24"/>
              </w:rPr>
              <w:t xml:space="preserve"> </w:t>
            </w:r>
            <w:r w:rsidRPr="00C56257">
              <w:rPr>
                <w:color w:val="000000" w:themeColor="text1"/>
                <w:sz w:val="24"/>
                <w:szCs w:val="24"/>
              </w:rPr>
              <w:t>argiloase</w:t>
            </w:r>
            <w:r w:rsidRPr="00C56257">
              <w:rPr>
                <w:color w:val="000000" w:themeColor="text1"/>
                <w:spacing w:val="-3"/>
                <w:sz w:val="24"/>
                <w:szCs w:val="24"/>
              </w:rPr>
              <w:t xml:space="preserve"> </w:t>
            </w:r>
            <w:r w:rsidRPr="00C56257">
              <w:rPr>
                <w:color w:val="000000" w:themeColor="text1"/>
                <w:sz w:val="24"/>
                <w:szCs w:val="24"/>
              </w:rPr>
              <w:t>(</w:t>
            </w:r>
            <w:r w:rsidRPr="00C56257">
              <w:rPr>
                <w:i/>
                <w:color w:val="000000" w:themeColor="text1"/>
                <w:sz w:val="24"/>
                <w:szCs w:val="24"/>
              </w:rPr>
              <w:t>Molinion</w:t>
            </w:r>
            <w:r w:rsidRPr="00C56257">
              <w:rPr>
                <w:i/>
                <w:color w:val="000000" w:themeColor="text1"/>
                <w:spacing w:val="-1"/>
                <w:sz w:val="24"/>
                <w:szCs w:val="24"/>
              </w:rPr>
              <w:t xml:space="preserve"> </w:t>
            </w:r>
            <w:r w:rsidRPr="00C56257">
              <w:rPr>
                <w:i/>
                <w:color w:val="000000" w:themeColor="text1"/>
                <w:sz w:val="24"/>
                <w:szCs w:val="24"/>
              </w:rPr>
              <w:t>caeruleae</w:t>
            </w:r>
            <w:r w:rsidRPr="00C56257">
              <w:rPr>
                <w:color w:val="000000" w:themeColor="text1"/>
                <w:sz w:val="24"/>
                <w:szCs w:val="24"/>
              </w:rPr>
              <w:t>)</w:t>
            </w:r>
          </w:p>
        </w:tc>
        <w:tc>
          <w:tcPr>
            <w:tcW w:w="586" w:type="dxa"/>
          </w:tcPr>
          <w:p w14:paraId="711FF097" w14:textId="77777777" w:rsidR="006735BF" w:rsidRPr="00C56257" w:rsidRDefault="006735BF" w:rsidP="008E33FD">
            <w:pPr>
              <w:pStyle w:val="TableParagraph"/>
              <w:jc w:val="both"/>
              <w:rPr>
                <w:color w:val="000000" w:themeColor="text1"/>
                <w:sz w:val="24"/>
                <w:szCs w:val="24"/>
              </w:rPr>
            </w:pPr>
          </w:p>
        </w:tc>
        <w:tc>
          <w:tcPr>
            <w:tcW w:w="558" w:type="dxa"/>
          </w:tcPr>
          <w:p w14:paraId="715DB602" w14:textId="77777777" w:rsidR="006735BF" w:rsidRPr="00C56257" w:rsidRDefault="006735BF" w:rsidP="008E33FD">
            <w:pPr>
              <w:pStyle w:val="TableParagraph"/>
              <w:jc w:val="both"/>
              <w:rPr>
                <w:color w:val="000000" w:themeColor="text1"/>
                <w:sz w:val="24"/>
                <w:szCs w:val="24"/>
              </w:rPr>
            </w:pPr>
          </w:p>
        </w:tc>
        <w:tc>
          <w:tcPr>
            <w:tcW w:w="572" w:type="dxa"/>
            <w:shd w:val="clear" w:color="auto" w:fill="BEBEBE"/>
          </w:tcPr>
          <w:p w14:paraId="331C4CF5"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5FC131F0"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11A5A359"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1A785B09" w14:textId="77777777" w:rsidR="006735BF" w:rsidRPr="00C56257" w:rsidRDefault="006735BF" w:rsidP="008E33FD">
            <w:pPr>
              <w:pStyle w:val="TableParagraph"/>
              <w:jc w:val="both"/>
              <w:rPr>
                <w:color w:val="000000" w:themeColor="text1"/>
                <w:sz w:val="24"/>
                <w:szCs w:val="24"/>
              </w:rPr>
            </w:pPr>
          </w:p>
        </w:tc>
        <w:tc>
          <w:tcPr>
            <w:tcW w:w="517" w:type="dxa"/>
            <w:shd w:val="clear" w:color="auto" w:fill="BEBEBE"/>
          </w:tcPr>
          <w:p w14:paraId="1649299C"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0FCE0823"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6E1ADE9C"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17DAF3D8" w14:textId="77777777" w:rsidR="006735BF" w:rsidRPr="00C56257" w:rsidRDefault="006735BF" w:rsidP="008E33FD">
            <w:pPr>
              <w:pStyle w:val="TableParagraph"/>
              <w:jc w:val="both"/>
              <w:rPr>
                <w:color w:val="000000" w:themeColor="text1"/>
                <w:sz w:val="24"/>
                <w:szCs w:val="24"/>
              </w:rPr>
            </w:pPr>
          </w:p>
        </w:tc>
        <w:tc>
          <w:tcPr>
            <w:tcW w:w="567" w:type="dxa"/>
          </w:tcPr>
          <w:p w14:paraId="45C971F8" w14:textId="77777777" w:rsidR="006735BF" w:rsidRPr="00C56257" w:rsidRDefault="006735BF" w:rsidP="008E33FD">
            <w:pPr>
              <w:pStyle w:val="TableParagraph"/>
              <w:jc w:val="both"/>
              <w:rPr>
                <w:color w:val="000000" w:themeColor="text1"/>
                <w:sz w:val="24"/>
                <w:szCs w:val="24"/>
              </w:rPr>
            </w:pPr>
          </w:p>
        </w:tc>
        <w:tc>
          <w:tcPr>
            <w:tcW w:w="514" w:type="dxa"/>
          </w:tcPr>
          <w:p w14:paraId="5C262264" w14:textId="77777777" w:rsidR="006735BF" w:rsidRPr="00C56257" w:rsidRDefault="006735BF" w:rsidP="008E33FD">
            <w:pPr>
              <w:pStyle w:val="TableParagraph"/>
              <w:jc w:val="both"/>
              <w:rPr>
                <w:color w:val="000000" w:themeColor="text1"/>
                <w:sz w:val="24"/>
                <w:szCs w:val="24"/>
              </w:rPr>
            </w:pPr>
          </w:p>
        </w:tc>
        <w:tc>
          <w:tcPr>
            <w:tcW w:w="2563" w:type="dxa"/>
            <w:tcBorders>
              <w:right w:val="nil"/>
            </w:tcBorders>
          </w:tcPr>
          <w:p w14:paraId="3E02345D" w14:textId="77777777" w:rsidR="006735BF" w:rsidRPr="00C56257" w:rsidRDefault="006735BF" w:rsidP="008E33FD">
            <w:pPr>
              <w:pStyle w:val="TableParagraph"/>
              <w:spacing w:before="6"/>
              <w:jc w:val="both"/>
              <w:rPr>
                <w:b/>
                <w:color w:val="000000" w:themeColor="text1"/>
                <w:sz w:val="24"/>
                <w:szCs w:val="24"/>
              </w:rPr>
            </w:pPr>
          </w:p>
          <w:p w14:paraId="759FAC0C" w14:textId="77777777" w:rsidR="006735BF" w:rsidRPr="00C56257" w:rsidRDefault="006735BF" w:rsidP="008E33FD">
            <w:pPr>
              <w:pStyle w:val="TableParagraph"/>
              <w:spacing w:line="252" w:lineRule="exact"/>
              <w:ind w:left="22"/>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09984784" w14:textId="77777777" w:rsidR="006735BF" w:rsidRPr="00C56257" w:rsidRDefault="006735BF" w:rsidP="009E63E5">
            <w:pPr>
              <w:pStyle w:val="TableParagraph"/>
              <w:numPr>
                <w:ilvl w:val="0"/>
                <w:numId w:val="128"/>
              </w:numPr>
              <w:tabs>
                <w:tab w:val="left" w:pos="280"/>
              </w:tabs>
              <w:ind w:right="88" w:firstLine="0"/>
              <w:jc w:val="both"/>
              <w:rPr>
                <w:color w:val="000000" w:themeColor="text1"/>
                <w:sz w:val="24"/>
                <w:szCs w:val="24"/>
              </w:rPr>
            </w:pPr>
            <w:r w:rsidRPr="00C56257">
              <w:rPr>
                <w:color w:val="000000" w:themeColor="text1"/>
                <w:sz w:val="24"/>
                <w:szCs w:val="24"/>
              </w:rPr>
              <w:t>metoda</w:t>
            </w:r>
            <w:r w:rsidRPr="00C56257">
              <w:rPr>
                <w:color w:val="000000" w:themeColor="text1"/>
                <w:spacing w:val="11"/>
                <w:sz w:val="24"/>
                <w:szCs w:val="24"/>
              </w:rPr>
              <w:t xml:space="preserve"> </w:t>
            </w:r>
            <w:r w:rsidRPr="00C56257">
              <w:rPr>
                <w:color w:val="000000" w:themeColor="text1"/>
                <w:sz w:val="24"/>
                <w:szCs w:val="24"/>
              </w:rPr>
              <w:t>releveelor</w:t>
            </w:r>
            <w:r w:rsidRPr="00C56257">
              <w:rPr>
                <w:color w:val="000000" w:themeColor="text1"/>
                <w:spacing w:val="11"/>
                <w:sz w:val="24"/>
                <w:szCs w:val="24"/>
              </w:rPr>
              <w:t xml:space="preserve">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31FC4FDF" w14:textId="77777777" w:rsidR="006735BF" w:rsidRPr="00C56257" w:rsidRDefault="006735BF" w:rsidP="009E63E5">
            <w:pPr>
              <w:pStyle w:val="TableParagraph"/>
              <w:numPr>
                <w:ilvl w:val="0"/>
                <w:numId w:val="128"/>
              </w:numPr>
              <w:tabs>
                <w:tab w:val="left" w:pos="261"/>
              </w:tabs>
              <w:ind w:left="260" w:hanging="239"/>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19" w:type="dxa"/>
            <w:tcBorders>
              <w:left w:val="nil"/>
            </w:tcBorders>
          </w:tcPr>
          <w:p w14:paraId="3790EB57" w14:textId="77777777" w:rsidR="006735BF" w:rsidRPr="00C56257" w:rsidRDefault="006735BF" w:rsidP="008E33FD">
            <w:pPr>
              <w:pStyle w:val="TableParagraph"/>
              <w:jc w:val="both"/>
              <w:rPr>
                <w:b/>
                <w:color w:val="000000" w:themeColor="text1"/>
                <w:sz w:val="24"/>
                <w:szCs w:val="24"/>
              </w:rPr>
            </w:pPr>
          </w:p>
          <w:p w14:paraId="4DA12D77" w14:textId="77777777" w:rsidR="006735BF" w:rsidRPr="00C56257" w:rsidRDefault="006735BF" w:rsidP="008E33FD">
            <w:pPr>
              <w:pStyle w:val="TableParagraph"/>
              <w:spacing w:before="5"/>
              <w:jc w:val="both"/>
              <w:rPr>
                <w:b/>
                <w:color w:val="000000" w:themeColor="text1"/>
                <w:sz w:val="24"/>
                <w:szCs w:val="24"/>
              </w:rPr>
            </w:pPr>
          </w:p>
          <w:p w14:paraId="3B5A054C" w14:textId="77777777" w:rsidR="006735BF" w:rsidRPr="00C56257" w:rsidRDefault="006735BF" w:rsidP="008E33FD">
            <w:pPr>
              <w:pStyle w:val="TableParagraph"/>
              <w:ind w:right="25"/>
              <w:jc w:val="both"/>
              <w:rPr>
                <w:color w:val="000000" w:themeColor="text1"/>
                <w:sz w:val="24"/>
                <w:szCs w:val="24"/>
              </w:rPr>
            </w:pPr>
            <w:r w:rsidRPr="00C56257">
              <w:rPr>
                <w:color w:val="000000" w:themeColor="text1"/>
                <w:sz w:val="24"/>
                <w:szCs w:val="24"/>
              </w:rPr>
              <w:t>a</w:t>
            </w:r>
          </w:p>
        </w:tc>
        <w:tc>
          <w:tcPr>
            <w:tcW w:w="2179" w:type="dxa"/>
          </w:tcPr>
          <w:p w14:paraId="078A1100" w14:textId="77777777" w:rsidR="006735BF" w:rsidRPr="00C56257" w:rsidRDefault="006735BF" w:rsidP="008E33FD">
            <w:pPr>
              <w:pStyle w:val="TableParagraph"/>
              <w:ind w:left="22" w:right="7"/>
              <w:jc w:val="both"/>
              <w:rPr>
                <w:color w:val="000000" w:themeColor="text1"/>
                <w:sz w:val="24"/>
                <w:szCs w:val="24"/>
              </w:rPr>
            </w:pPr>
            <w:r w:rsidRPr="00C56257">
              <w:rPr>
                <w:color w:val="000000" w:themeColor="text1"/>
                <w:sz w:val="24"/>
                <w:szCs w:val="24"/>
              </w:rPr>
              <w:t>Min 7 relevee/ transecte</w:t>
            </w:r>
            <w:r w:rsidRPr="00C56257">
              <w:rPr>
                <w:color w:val="000000" w:themeColor="text1"/>
                <w:spacing w:val="-52"/>
                <w:sz w:val="24"/>
                <w:szCs w:val="24"/>
              </w:rPr>
              <w:t xml:space="preserve"> </w:t>
            </w:r>
            <w:r w:rsidRPr="00C56257">
              <w:rPr>
                <w:color w:val="000000" w:themeColor="text1"/>
                <w:sz w:val="24"/>
                <w:szCs w:val="24"/>
              </w:rPr>
              <w:t>de monitorizare în</w:t>
            </w:r>
            <w:r w:rsidRPr="00C56257">
              <w:rPr>
                <w:color w:val="000000" w:themeColor="text1"/>
                <w:spacing w:val="1"/>
                <w:sz w:val="24"/>
                <w:szCs w:val="24"/>
              </w:rPr>
              <w:t xml:space="preserve"> </w:t>
            </w:r>
            <w:r w:rsidRPr="00C56257">
              <w:rPr>
                <w:color w:val="000000" w:themeColor="text1"/>
                <w:sz w:val="24"/>
                <w:szCs w:val="24"/>
              </w:rPr>
              <w:t>cadrul ariilor naturale</w:t>
            </w:r>
            <w:r w:rsidRPr="00C56257">
              <w:rPr>
                <w:color w:val="000000" w:themeColor="text1"/>
                <w:spacing w:val="1"/>
                <w:sz w:val="24"/>
                <w:szCs w:val="24"/>
              </w:rPr>
              <w:t xml:space="preserve"> </w:t>
            </w:r>
            <w:r w:rsidRPr="00C56257">
              <w:rPr>
                <w:color w:val="000000" w:themeColor="text1"/>
                <w:sz w:val="24"/>
                <w:szCs w:val="24"/>
              </w:rPr>
              <w:t>țintă şi în afara acestora</w:t>
            </w:r>
            <w:r w:rsidRPr="00C56257">
              <w:rPr>
                <w:color w:val="000000" w:themeColor="text1"/>
                <w:spacing w:val="-52"/>
                <w:sz w:val="24"/>
                <w:szCs w:val="24"/>
              </w:rPr>
              <w:t xml:space="preserve"> </w:t>
            </w:r>
            <w:r w:rsidRPr="00C56257">
              <w:rPr>
                <w:color w:val="000000" w:themeColor="text1"/>
                <w:sz w:val="24"/>
                <w:szCs w:val="24"/>
              </w:rPr>
              <w:t>în</w:t>
            </w:r>
            <w:r w:rsidRPr="00C56257">
              <w:rPr>
                <w:color w:val="000000" w:themeColor="text1"/>
                <w:spacing w:val="-1"/>
                <w:sz w:val="24"/>
                <w:szCs w:val="24"/>
              </w:rPr>
              <w:t xml:space="preserve"> </w:t>
            </w:r>
            <w:r w:rsidRPr="00C56257">
              <w:rPr>
                <w:color w:val="000000" w:themeColor="text1"/>
                <w:sz w:val="24"/>
                <w:szCs w:val="24"/>
              </w:rPr>
              <w:t>situația</w:t>
            </w:r>
            <w:r w:rsidRPr="00C56257">
              <w:rPr>
                <w:color w:val="000000" w:themeColor="text1"/>
                <w:spacing w:val="-1"/>
                <w:sz w:val="24"/>
                <w:szCs w:val="24"/>
              </w:rPr>
              <w:t xml:space="preserve"> </w:t>
            </w:r>
            <w:r w:rsidRPr="00C56257">
              <w:rPr>
                <w:color w:val="000000" w:themeColor="text1"/>
                <w:sz w:val="24"/>
                <w:szCs w:val="24"/>
              </w:rPr>
              <w:t>prezenței</w:t>
            </w:r>
          </w:p>
          <w:p w14:paraId="56BADF0D" w14:textId="77777777" w:rsidR="006735BF" w:rsidRPr="00C56257" w:rsidRDefault="006735BF" w:rsidP="008E33FD">
            <w:pPr>
              <w:pStyle w:val="TableParagraph"/>
              <w:spacing w:line="238" w:lineRule="exact"/>
              <w:ind w:left="22"/>
              <w:jc w:val="both"/>
              <w:rPr>
                <w:color w:val="000000" w:themeColor="text1"/>
                <w:sz w:val="24"/>
                <w:szCs w:val="24"/>
              </w:rPr>
            </w:pPr>
            <w:r w:rsidRPr="00C56257">
              <w:rPr>
                <w:color w:val="000000" w:themeColor="text1"/>
                <w:sz w:val="24"/>
                <w:szCs w:val="24"/>
              </w:rPr>
              <w:t>habitatului.</w:t>
            </w:r>
          </w:p>
        </w:tc>
      </w:tr>
    </w:tbl>
    <w:p w14:paraId="141502BE" w14:textId="77777777" w:rsidR="001842B9" w:rsidRPr="00C56257" w:rsidRDefault="001842B9" w:rsidP="008E33FD">
      <w:pPr>
        <w:pStyle w:val="TableParagraph"/>
        <w:spacing w:before="3"/>
        <w:jc w:val="both"/>
        <w:rPr>
          <w:b/>
          <w:color w:val="000000" w:themeColor="text1"/>
          <w:sz w:val="24"/>
          <w:szCs w:val="24"/>
        </w:rPr>
        <w:sectPr w:rsidR="001842B9" w:rsidRPr="00C56257" w:rsidSect="00E1608A">
          <w:pgSz w:w="16840" w:h="11910" w:orient="landscape"/>
          <w:pgMar w:top="1066" w:right="1411" w:bottom="245" w:left="1598" w:header="0" w:footer="1412" w:gutter="0"/>
          <w:cols w:space="708"/>
          <w:docGrid w:linePitch="326"/>
        </w:sectPr>
      </w:pPr>
    </w:p>
    <w:tbl>
      <w:tblPr>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07"/>
        <w:gridCol w:w="586"/>
        <w:gridCol w:w="558"/>
        <w:gridCol w:w="572"/>
        <w:gridCol w:w="567"/>
        <w:gridCol w:w="569"/>
        <w:gridCol w:w="569"/>
        <w:gridCol w:w="517"/>
        <w:gridCol w:w="567"/>
        <w:gridCol w:w="569"/>
        <w:gridCol w:w="567"/>
        <w:gridCol w:w="567"/>
        <w:gridCol w:w="514"/>
        <w:gridCol w:w="2563"/>
        <w:gridCol w:w="219"/>
        <w:gridCol w:w="2179"/>
      </w:tblGrid>
      <w:tr w:rsidR="006735BF" w:rsidRPr="00C56257" w14:paraId="67FD8FC2" w14:textId="77777777" w:rsidTr="00511A4E">
        <w:trPr>
          <w:trHeight w:val="525"/>
        </w:trPr>
        <w:tc>
          <w:tcPr>
            <w:tcW w:w="3207" w:type="dxa"/>
            <w:vMerge w:val="restart"/>
            <w:shd w:val="clear" w:color="auto" w:fill="D9D9D9"/>
          </w:tcPr>
          <w:p w14:paraId="0516FA22" w14:textId="77777777" w:rsidR="006735BF" w:rsidRPr="00C56257" w:rsidRDefault="006735BF" w:rsidP="008E33FD">
            <w:pPr>
              <w:pStyle w:val="TableParagraph"/>
              <w:spacing w:before="3"/>
              <w:jc w:val="both"/>
              <w:rPr>
                <w:b/>
                <w:color w:val="000000" w:themeColor="text1"/>
                <w:sz w:val="24"/>
                <w:szCs w:val="24"/>
              </w:rPr>
            </w:pPr>
          </w:p>
          <w:p w14:paraId="5D86AC49" w14:textId="77777777" w:rsidR="006735BF" w:rsidRPr="00C56257" w:rsidRDefault="006735BF" w:rsidP="008E33FD">
            <w:pPr>
              <w:pStyle w:val="TableParagraph"/>
              <w:ind w:left="79"/>
              <w:jc w:val="both"/>
              <w:rPr>
                <w:b/>
                <w:color w:val="000000" w:themeColor="text1"/>
                <w:sz w:val="24"/>
                <w:szCs w:val="24"/>
              </w:rPr>
            </w:pPr>
            <w:r w:rsidRPr="00C56257">
              <w:rPr>
                <w:b/>
                <w:color w:val="000000" w:themeColor="text1"/>
                <w:sz w:val="24"/>
                <w:szCs w:val="24"/>
              </w:rPr>
              <w:t>Denumirea</w:t>
            </w:r>
            <w:r w:rsidRPr="00C56257">
              <w:rPr>
                <w:b/>
                <w:color w:val="000000" w:themeColor="text1"/>
                <w:spacing w:val="-1"/>
                <w:sz w:val="24"/>
                <w:szCs w:val="24"/>
              </w:rPr>
              <w:t xml:space="preserve"> </w:t>
            </w:r>
            <w:r w:rsidRPr="00C56257">
              <w:rPr>
                <w:b/>
                <w:color w:val="000000" w:themeColor="text1"/>
                <w:sz w:val="24"/>
                <w:szCs w:val="24"/>
              </w:rPr>
              <w:t>şi codul Natura</w:t>
            </w:r>
            <w:r w:rsidRPr="00C56257">
              <w:rPr>
                <w:b/>
                <w:color w:val="000000" w:themeColor="text1"/>
                <w:spacing w:val="-1"/>
                <w:sz w:val="24"/>
                <w:szCs w:val="24"/>
              </w:rPr>
              <w:t xml:space="preserve"> </w:t>
            </w:r>
            <w:r w:rsidRPr="00C56257">
              <w:rPr>
                <w:b/>
                <w:color w:val="000000" w:themeColor="text1"/>
                <w:sz w:val="24"/>
                <w:szCs w:val="24"/>
              </w:rPr>
              <w:t>2000</w:t>
            </w:r>
          </w:p>
        </w:tc>
        <w:tc>
          <w:tcPr>
            <w:tcW w:w="6722" w:type="dxa"/>
            <w:gridSpan w:val="12"/>
            <w:shd w:val="clear" w:color="auto" w:fill="D9D9D9"/>
          </w:tcPr>
          <w:p w14:paraId="128C66BB" w14:textId="77777777" w:rsidR="006735BF" w:rsidRPr="00C56257" w:rsidRDefault="006735BF" w:rsidP="008E33FD">
            <w:pPr>
              <w:pStyle w:val="TableParagraph"/>
              <w:spacing w:before="135"/>
              <w:ind w:left="1814"/>
              <w:jc w:val="both"/>
              <w:rPr>
                <w:b/>
                <w:color w:val="000000" w:themeColor="text1"/>
                <w:sz w:val="24"/>
                <w:szCs w:val="24"/>
              </w:rPr>
            </w:pPr>
            <w:r w:rsidRPr="00C56257">
              <w:rPr>
                <w:b/>
                <w:color w:val="000000" w:themeColor="text1"/>
                <w:sz w:val="24"/>
                <w:szCs w:val="24"/>
              </w:rPr>
              <w:t>Perioade</w:t>
            </w:r>
            <w:r w:rsidRPr="00C56257">
              <w:rPr>
                <w:b/>
                <w:color w:val="000000" w:themeColor="text1"/>
                <w:spacing w:val="-1"/>
                <w:sz w:val="24"/>
                <w:szCs w:val="24"/>
              </w:rPr>
              <w:t xml:space="preserve"> </w:t>
            </w:r>
            <w:r w:rsidRPr="00C56257">
              <w:rPr>
                <w:b/>
                <w:color w:val="000000" w:themeColor="text1"/>
                <w:sz w:val="24"/>
                <w:szCs w:val="24"/>
              </w:rPr>
              <w:t>optime</w:t>
            </w:r>
            <w:r w:rsidRPr="00C56257">
              <w:rPr>
                <w:b/>
                <w:color w:val="000000" w:themeColor="text1"/>
                <w:spacing w:val="-1"/>
                <w:sz w:val="24"/>
                <w:szCs w:val="24"/>
              </w:rPr>
              <w:t xml:space="preserve"> </w:t>
            </w:r>
            <w:r w:rsidRPr="00C56257">
              <w:rPr>
                <w:b/>
                <w:color w:val="000000" w:themeColor="text1"/>
                <w:sz w:val="24"/>
                <w:szCs w:val="24"/>
              </w:rPr>
              <w:t>de</w:t>
            </w:r>
            <w:r w:rsidRPr="00C56257">
              <w:rPr>
                <w:b/>
                <w:color w:val="000000" w:themeColor="text1"/>
                <w:spacing w:val="-3"/>
                <w:sz w:val="24"/>
                <w:szCs w:val="24"/>
              </w:rPr>
              <w:t xml:space="preserve"> </w:t>
            </w:r>
            <w:r w:rsidRPr="00C56257">
              <w:rPr>
                <w:b/>
                <w:color w:val="000000" w:themeColor="text1"/>
                <w:sz w:val="24"/>
                <w:szCs w:val="24"/>
              </w:rPr>
              <w:t>monitorizare</w:t>
            </w:r>
          </w:p>
        </w:tc>
        <w:tc>
          <w:tcPr>
            <w:tcW w:w="2782" w:type="dxa"/>
            <w:gridSpan w:val="2"/>
            <w:vMerge w:val="restart"/>
            <w:shd w:val="clear" w:color="auto" w:fill="D9D9D9"/>
          </w:tcPr>
          <w:p w14:paraId="2F4DD13A" w14:textId="77777777" w:rsidR="006735BF" w:rsidRPr="00C56257" w:rsidRDefault="006735BF" w:rsidP="008E33FD">
            <w:pPr>
              <w:pStyle w:val="TableParagraph"/>
              <w:spacing w:before="3"/>
              <w:jc w:val="both"/>
              <w:rPr>
                <w:b/>
                <w:color w:val="000000" w:themeColor="text1"/>
                <w:sz w:val="24"/>
                <w:szCs w:val="24"/>
              </w:rPr>
            </w:pPr>
          </w:p>
          <w:p w14:paraId="576067E0" w14:textId="77777777" w:rsidR="006735BF" w:rsidRPr="00C56257" w:rsidRDefault="006735BF" w:rsidP="008E33FD">
            <w:pPr>
              <w:pStyle w:val="TableParagraph"/>
              <w:ind w:left="611"/>
              <w:jc w:val="both"/>
              <w:rPr>
                <w:b/>
                <w:color w:val="000000" w:themeColor="text1"/>
                <w:sz w:val="24"/>
                <w:szCs w:val="24"/>
              </w:rPr>
            </w:pPr>
            <w:r w:rsidRPr="00C56257">
              <w:rPr>
                <w:b/>
                <w:color w:val="000000" w:themeColor="text1"/>
                <w:sz w:val="24"/>
                <w:szCs w:val="24"/>
              </w:rPr>
              <w:t>Metoda</w:t>
            </w:r>
            <w:r w:rsidRPr="00C56257">
              <w:rPr>
                <w:b/>
                <w:color w:val="000000" w:themeColor="text1"/>
                <w:spacing w:val="-3"/>
                <w:sz w:val="24"/>
                <w:szCs w:val="24"/>
              </w:rPr>
              <w:t xml:space="preserve"> </w:t>
            </w:r>
            <w:r w:rsidRPr="00C56257">
              <w:rPr>
                <w:b/>
                <w:color w:val="000000" w:themeColor="text1"/>
                <w:sz w:val="24"/>
                <w:szCs w:val="24"/>
              </w:rPr>
              <w:t>utilizată</w:t>
            </w:r>
          </w:p>
        </w:tc>
        <w:tc>
          <w:tcPr>
            <w:tcW w:w="2179" w:type="dxa"/>
            <w:vMerge w:val="restart"/>
            <w:shd w:val="clear" w:color="auto" w:fill="D9D9D9"/>
          </w:tcPr>
          <w:p w14:paraId="287DD2FE" w14:textId="77777777" w:rsidR="006735BF" w:rsidRPr="00C56257" w:rsidRDefault="006735BF" w:rsidP="008E33FD">
            <w:pPr>
              <w:pStyle w:val="TableParagraph"/>
              <w:spacing w:before="3"/>
              <w:jc w:val="both"/>
              <w:rPr>
                <w:b/>
                <w:color w:val="000000" w:themeColor="text1"/>
                <w:sz w:val="24"/>
                <w:szCs w:val="24"/>
              </w:rPr>
            </w:pPr>
          </w:p>
          <w:p w14:paraId="7E143336" w14:textId="77777777" w:rsidR="006735BF" w:rsidRPr="00C56257" w:rsidRDefault="006735BF" w:rsidP="008E33FD">
            <w:pPr>
              <w:pStyle w:val="TableParagraph"/>
              <w:ind w:left="846" w:right="847"/>
              <w:jc w:val="both"/>
              <w:rPr>
                <w:b/>
                <w:color w:val="000000" w:themeColor="text1"/>
                <w:sz w:val="24"/>
                <w:szCs w:val="24"/>
              </w:rPr>
            </w:pPr>
            <w:r w:rsidRPr="00C56257">
              <w:rPr>
                <w:b/>
                <w:color w:val="000000" w:themeColor="text1"/>
                <w:sz w:val="24"/>
                <w:szCs w:val="24"/>
              </w:rPr>
              <w:t>Obs.</w:t>
            </w:r>
          </w:p>
        </w:tc>
      </w:tr>
      <w:tr w:rsidR="006735BF" w:rsidRPr="00C56257" w14:paraId="3E408153" w14:textId="77777777" w:rsidTr="00511A4E">
        <w:trPr>
          <w:trHeight w:val="253"/>
        </w:trPr>
        <w:tc>
          <w:tcPr>
            <w:tcW w:w="3207" w:type="dxa"/>
            <w:vMerge/>
            <w:tcBorders>
              <w:top w:val="nil"/>
            </w:tcBorders>
            <w:shd w:val="clear" w:color="auto" w:fill="D9D9D9"/>
          </w:tcPr>
          <w:p w14:paraId="0580EA1C" w14:textId="77777777" w:rsidR="006735BF" w:rsidRPr="00C56257" w:rsidRDefault="006735BF" w:rsidP="008E33FD">
            <w:pPr>
              <w:jc w:val="both"/>
              <w:rPr>
                <w:color w:val="000000" w:themeColor="text1"/>
              </w:rPr>
            </w:pPr>
          </w:p>
        </w:tc>
        <w:tc>
          <w:tcPr>
            <w:tcW w:w="586" w:type="dxa"/>
            <w:shd w:val="clear" w:color="auto" w:fill="D9D9D9"/>
          </w:tcPr>
          <w:p w14:paraId="3DA1E57A" w14:textId="77777777" w:rsidR="006735BF" w:rsidRPr="00C56257" w:rsidRDefault="006735BF" w:rsidP="008E33FD">
            <w:pPr>
              <w:pStyle w:val="TableParagraph"/>
              <w:spacing w:line="234" w:lineRule="exact"/>
              <w:ind w:left="28"/>
              <w:jc w:val="both"/>
              <w:rPr>
                <w:color w:val="000000" w:themeColor="text1"/>
                <w:sz w:val="24"/>
                <w:szCs w:val="24"/>
              </w:rPr>
            </w:pPr>
            <w:r w:rsidRPr="00C56257">
              <w:rPr>
                <w:color w:val="000000" w:themeColor="text1"/>
                <w:sz w:val="24"/>
                <w:szCs w:val="24"/>
              </w:rPr>
              <w:t>I</w:t>
            </w:r>
          </w:p>
        </w:tc>
        <w:tc>
          <w:tcPr>
            <w:tcW w:w="558" w:type="dxa"/>
            <w:shd w:val="clear" w:color="auto" w:fill="D9D9D9"/>
          </w:tcPr>
          <w:p w14:paraId="06ED40BB" w14:textId="77777777" w:rsidR="006735BF" w:rsidRPr="00C56257" w:rsidRDefault="006735BF" w:rsidP="008E33FD">
            <w:pPr>
              <w:pStyle w:val="TableParagraph"/>
              <w:spacing w:line="234" w:lineRule="exact"/>
              <w:ind w:left="27"/>
              <w:jc w:val="both"/>
              <w:rPr>
                <w:color w:val="000000" w:themeColor="text1"/>
                <w:sz w:val="24"/>
                <w:szCs w:val="24"/>
              </w:rPr>
            </w:pPr>
            <w:r w:rsidRPr="00C56257">
              <w:rPr>
                <w:color w:val="000000" w:themeColor="text1"/>
                <w:sz w:val="24"/>
                <w:szCs w:val="24"/>
              </w:rPr>
              <w:t>II</w:t>
            </w:r>
          </w:p>
        </w:tc>
        <w:tc>
          <w:tcPr>
            <w:tcW w:w="572" w:type="dxa"/>
            <w:shd w:val="clear" w:color="auto" w:fill="D9D9D9"/>
          </w:tcPr>
          <w:p w14:paraId="56D8FD61" w14:textId="77777777" w:rsidR="006735BF" w:rsidRPr="00C56257" w:rsidRDefault="006735BF" w:rsidP="008E33FD">
            <w:pPr>
              <w:pStyle w:val="TableParagraph"/>
              <w:spacing w:line="234" w:lineRule="exact"/>
              <w:ind w:left="27"/>
              <w:jc w:val="both"/>
              <w:rPr>
                <w:color w:val="000000" w:themeColor="text1"/>
                <w:sz w:val="24"/>
                <w:szCs w:val="24"/>
              </w:rPr>
            </w:pPr>
            <w:r w:rsidRPr="00C56257">
              <w:rPr>
                <w:color w:val="000000" w:themeColor="text1"/>
                <w:sz w:val="24"/>
                <w:szCs w:val="24"/>
              </w:rPr>
              <w:t>III</w:t>
            </w:r>
          </w:p>
        </w:tc>
        <w:tc>
          <w:tcPr>
            <w:tcW w:w="567" w:type="dxa"/>
            <w:shd w:val="clear" w:color="auto" w:fill="D9D9D9"/>
          </w:tcPr>
          <w:p w14:paraId="5D7D5BF6" w14:textId="77777777" w:rsidR="006735BF" w:rsidRPr="00C56257" w:rsidRDefault="006735BF" w:rsidP="008E33FD">
            <w:pPr>
              <w:pStyle w:val="TableParagraph"/>
              <w:spacing w:line="234" w:lineRule="exact"/>
              <w:ind w:left="26"/>
              <w:jc w:val="both"/>
              <w:rPr>
                <w:color w:val="000000" w:themeColor="text1"/>
                <w:sz w:val="24"/>
                <w:szCs w:val="24"/>
              </w:rPr>
            </w:pPr>
            <w:r w:rsidRPr="00C56257">
              <w:rPr>
                <w:color w:val="000000" w:themeColor="text1"/>
                <w:sz w:val="24"/>
                <w:szCs w:val="24"/>
              </w:rPr>
              <w:t>IV</w:t>
            </w:r>
          </w:p>
        </w:tc>
        <w:tc>
          <w:tcPr>
            <w:tcW w:w="569" w:type="dxa"/>
            <w:shd w:val="clear" w:color="auto" w:fill="D9D9D9"/>
          </w:tcPr>
          <w:p w14:paraId="2D3DD186" w14:textId="77777777" w:rsidR="006735BF" w:rsidRPr="00C56257" w:rsidRDefault="006735BF" w:rsidP="008E33FD">
            <w:pPr>
              <w:pStyle w:val="TableParagraph"/>
              <w:spacing w:line="234" w:lineRule="exact"/>
              <w:ind w:left="25"/>
              <w:jc w:val="both"/>
              <w:rPr>
                <w:color w:val="000000" w:themeColor="text1"/>
                <w:sz w:val="24"/>
                <w:szCs w:val="24"/>
              </w:rPr>
            </w:pPr>
            <w:r w:rsidRPr="00C56257">
              <w:rPr>
                <w:color w:val="000000" w:themeColor="text1"/>
                <w:sz w:val="24"/>
                <w:szCs w:val="24"/>
              </w:rPr>
              <w:t>V</w:t>
            </w:r>
          </w:p>
        </w:tc>
        <w:tc>
          <w:tcPr>
            <w:tcW w:w="569" w:type="dxa"/>
            <w:shd w:val="clear" w:color="auto" w:fill="D9D9D9"/>
          </w:tcPr>
          <w:p w14:paraId="379BBD66" w14:textId="77777777" w:rsidR="006735BF" w:rsidRPr="00C56257" w:rsidRDefault="006735BF" w:rsidP="008E33FD">
            <w:pPr>
              <w:pStyle w:val="TableParagraph"/>
              <w:spacing w:line="234" w:lineRule="exact"/>
              <w:ind w:left="23"/>
              <w:jc w:val="both"/>
              <w:rPr>
                <w:color w:val="000000" w:themeColor="text1"/>
                <w:sz w:val="24"/>
                <w:szCs w:val="24"/>
              </w:rPr>
            </w:pPr>
            <w:r w:rsidRPr="00C56257">
              <w:rPr>
                <w:color w:val="000000" w:themeColor="text1"/>
                <w:sz w:val="24"/>
                <w:szCs w:val="24"/>
              </w:rPr>
              <w:t>VI</w:t>
            </w:r>
          </w:p>
        </w:tc>
        <w:tc>
          <w:tcPr>
            <w:tcW w:w="517" w:type="dxa"/>
            <w:shd w:val="clear" w:color="auto" w:fill="D9D9D9"/>
          </w:tcPr>
          <w:p w14:paraId="6CBDC2FA" w14:textId="77777777" w:rsidR="006735BF" w:rsidRPr="00C56257" w:rsidRDefault="006735BF" w:rsidP="008E33FD">
            <w:pPr>
              <w:pStyle w:val="TableParagraph"/>
              <w:spacing w:line="234" w:lineRule="exact"/>
              <w:ind w:left="23"/>
              <w:jc w:val="both"/>
              <w:rPr>
                <w:color w:val="000000" w:themeColor="text1"/>
                <w:sz w:val="24"/>
                <w:szCs w:val="24"/>
              </w:rPr>
            </w:pPr>
            <w:r w:rsidRPr="00C56257">
              <w:rPr>
                <w:color w:val="000000" w:themeColor="text1"/>
                <w:sz w:val="24"/>
                <w:szCs w:val="24"/>
              </w:rPr>
              <w:t>VII</w:t>
            </w:r>
          </w:p>
        </w:tc>
        <w:tc>
          <w:tcPr>
            <w:tcW w:w="567" w:type="dxa"/>
            <w:shd w:val="clear" w:color="auto" w:fill="D9D9D9"/>
          </w:tcPr>
          <w:p w14:paraId="46EDD141" w14:textId="77777777" w:rsidR="006735BF" w:rsidRPr="00C56257" w:rsidRDefault="006735BF" w:rsidP="008E33FD">
            <w:pPr>
              <w:pStyle w:val="TableParagraph"/>
              <w:spacing w:line="234" w:lineRule="exact"/>
              <w:ind w:left="22"/>
              <w:jc w:val="both"/>
              <w:rPr>
                <w:color w:val="000000" w:themeColor="text1"/>
                <w:sz w:val="24"/>
                <w:szCs w:val="24"/>
              </w:rPr>
            </w:pPr>
            <w:r w:rsidRPr="00C56257">
              <w:rPr>
                <w:color w:val="000000" w:themeColor="text1"/>
                <w:sz w:val="24"/>
                <w:szCs w:val="24"/>
              </w:rPr>
              <w:t>VIII</w:t>
            </w:r>
          </w:p>
        </w:tc>
        <w:tc>
          <w:tcPr>
            <w:tcW w:w="569" w:type="dxa"/>
            <w:shd w:val="clear" w:color="auto" w:fill="D9D9D9"/>
          </w:tcPr>
          <w:p w14:paraId="2C817BC3" w14:textId="77777777" w:rsidR="006735BF" w:rsidRPr="00C56257" w:rsidRDefault="006735BF" w:rsidP="008E33FD">
            <w:pPr>
              <w:pStyle w:val="TableParagraph"/>
              <w:spacing w:line="234" w:lineRule="exact"/>
              <w:ind w:left="24"/>
              <w:jc w:val="both"/>
              <w:rPr>
                <w:color w:val="000000" w:themeColor="text1"/>
                <w:sz w:val="24"/>
                <w:szCs w:val="24"/>
              </w:rPr>
            </w:pPr>
            <w:r w:rsidRPr="00C56257">
              <w:rPr>
                <w:color w:val="000000" w:themeColor="text1"/>
                <w:sz w:val="24"/>
                <w:szCs w:val="24"/>
              </w:rPr>
              <w:t>IX</w:t>
            </w:r>
          </w:p>
        </w:tc>
        <w:tc>
          <w:tcPr>
            <w:tcW w:w="567" w:type="dxa"/>
            <w:shd w:val="clear" w:color="auto" w:fill="D9D9D9"/>
          </w:tcPr>
          <w:p w14:paraId="7E75B6D0" w14:textId="77777777" w:rsidR="006735BF" w:rsidRPr="00C56257" w:rsidRDefault="006735BF" w:rsidP="008E33FD">
            <w:pPr>
              <w:pStyle w:val="TableParagraph"/>
              <w:spacing w:line="234" w:lineRule="exact"/>
              <w:ind w:left="21"/>
              <w:jc w:val="both"/>
              <w:rPr>
                <w:color w:val="000000" w:themeColor="text1"/>
                <w:sz w:val="24"/>
                <w:szCs w:val="24"/>
              </w:rPr>
            </w:pPr>
            <w:r w:rsidRPr="00C56257">
              <w:rPr>
                <w:color w:val="000000" w:themeColor="text1"/>
                <w:sz w:val="24"/>
                <w:szCs w:val="24"/>
              </w:rPr>
              <w:t>X</w:t>
            </w:r>
          </w:p>
        </w:tc>
        <w:tc>
          <w:tcPr>
            <w:tcW w:w="567" w:type="dxa"/>
            <w:shd w:val="clear" w:color="auto" w:fill="D9D9D9"/>
          </w:tcPr>
          <w:p w14:paraId="04F334A4" w14:textId="77777777" w:rsidR="006735BF" w:rsidRPr="00C56257" w:rsidRDefault="006735BF" w:rsidP="008E33FD">
            <w:pPr>
              <w:pStyle w:val="TableParagraph"/>
              <w:spacing w:line="234" w:lineRule="exact"/>
              <w:ind w:left="23"/>
              <w:jc w:val="both"/>
              <w:rPr>
                <w:color w:val="000000" w:themeColor="text1"/>
                <w:sz w:val="24"/>
                <w:szCs w:val="24"/>
              </w:rPr>
            </w:pPr>
            <w:r w:rsidRPr="00C56257">
              <w:rPr>
                <w:color w:val="000000" w:themeColor="text1"/>
                <w:sz w:val="24"/>
                <w:szCs w:val="24"/>
              </w:rPr>
              <w:t>XI</w:t>
            </w:r>
          </w:p>
        </w:tc>
        <w:tc>
          <w:tcPr>
            <w:tcW w:w="514" w:type="dxa"/>
            <w:shd w:val="clear" w:color="auto" w:fill="D9D9D9"/>
          </w:tcPr>
          <w:p w14:paraId="01371A6D" w14:textId="77777777" w:rsidR="006735BF" w:rsidRPr="00C56257" w:rsidRDefault="006735BF" w:rsidP="008E33FD">
            <w:pPr>
              <w:pStyle w:val="TableParagraph"/>
              <w:spacing w:line="234" w:lineRule="exact"/>
              <w:ind w:left="22"/>
              <w:jc w:val="both"/>
              <w:rPr>
                <w:color w:val="000000" w:themeColor="text1"/>
                <w:sz w:val="24"/>
                <w:szCs w:val="24"/>
              </w:rPr>
            </w:pPr>
            <w:r w:rsidRPr="00C56257">
              <w:rPr>
                <w:color w:val="000000" w:themeColor="text1"/>
                <w:sz w:val="24"/>
                <w:szCs w:val="24"/>
              </w:rPr>
              <w:t>XII</w:t>
            </w:r>
          </w:p>
        </w:tc>
        <w:tc>
          <w:tcPr>
            <w:tcW w:w="2782" w:type="dxa"/>
            <w:gridSpan w:val="2"/>
            <w:vMerge/>
            <w:tcBorders>
              <w:top w:val="nil"/>
            </w:tcBorders>
            <w:shd w:val="clear" w:color="auto" w:fill="D9D9D9"/>
          </w:tcPr>
          <w:p w14:paraId="39FD6678" w14:textId="77777777" w:rsidR="006735BF" w:rsidRPr="00C56257" w:rsidRDefault="006735BF" w:rsidP="008E33FD">
            <w:pPr>
              <w:jc w:val="both"/>
              <w:rPr>
                <w:color w:val="000000" w:themeColor="text1"/>
              </w:rPr>
            </w:pPr>
          </w:p>
        </w:tc>
        <w:tc>
          <w:tcPr>
            <w:tcW w:w="2179" w:type="dxa"/>
            <w:vMerge/>
            <w:tcBorders>
              <w:top w:val="nil"/>
            </w:tcBorders>
            <w:shd w:val="clear" w:color="auto" w:fill="D9D9D9"/>
          </w:tcPr>
          <w:p w14:paraId="4950DD24" w14:textId="77777777" w:rsidR="006735BF" w:rsidRPr="00C56257" w:rsidRDefault="006735BF" w:rsidP="008E33FD">
            <w:pPr>
              <w:jc w:val="both"/>
              <w:rPr>
                <w:color w:val="000000" w:themeColor="text1"/>
              </w:rPr>
            </w:pPr>
          </w:p>
        </w:tc>
      </w:tr>
      <w:tr w:rsidR="006735BF" w:rsidRPr="00C56257" w14:paraId="5E7C95AF" w14:textId="77777777" w:rsidTr="00511A4E">
        <w:trPr>
          <w:trHeight w:val="1518"/>
        </w:trPr>
        <w:tc>
          <w:tcPr>
            <w:tcW w:w="3207" w:type="dxa"/>
          </w:tcPr>
          <w:p w14:paraId="4BAE1F6C" w14:textId="77777777" w:rsidR="006735BF" w:rsidRPr="00C56257" w:rsidRDefault="006735BF" w:rsidP="008E33FD">
            <w:pPr>
              <w:pStyle w:val="TableParagraph"/>
              <w:spacing w:before="4"/>
              <w:jc w:val="both"/>
              <w:rPr>
                <w:b/>
                <w:color w:val="000000" w:themeColor="text1"/>
                <w:sz w:val="24"/>
                <w:szCs w:val="24"/>
              </w:rPr>
            </w:pPr>
          </w:p>
          <w:p w14:paraId="71F85D01" w14:textId="77777777" w:rsidR="006735BF" w:rsidRPr="00C56257" w:rsidRDefault="006735BF" w:rsidP="008E33FD">
            <w:pPr>
              <w:pStyle w:val="TableParagraph"/>
              <w:spacing w:before="1"/>
              <w:ind w:left="26" w:right="656"/>
              <w:jc w:val="both"/>
              <w:rPr>
                <w:i/>
                <w:color w:val="000000" w:themeColor="text1"/>
                <w:sz w:val="24"/>
                <w:szCs w:val="24"/>
              </w:rPr>
            </w:pPr>
            <w:r w:rsidRPr="00C56257">
              <w:rPr>
                <w:color w:val="000000" w:themeColor="text1"/>
                <w:sz w:val="24"/>
                <w:szCs w:val="24"/>
              </w:rPr>
              <w:t>6420 - Pajişti mediteraneene</w:t>
            </w:r>
            <w:r w:rsidRPr="00C56257">
              <w:rPr>
                <w:color w:val="000000" w:themeColor="text1"/>
                <w:spacing w:val="-52"/>
                <w:sz w:val="24"/>
                <w:szCs w:val="24"/>
              </w:rPr>
              <w:t xml:space="preserve"> </w:t>
            </w:r>
            <w:r w:rsidRPr="00C56257">
              <w:rPr>
                <w:color w:val="000000" w:themeColor="text1"/>
                <w:sz w:val="24"/>
                <w:szCs w:val="24"/>
              </w:rPr>
              <w:t>umede cu ierburi înalte din</w:t>
            </w:r>
            <w:r w:rsidRPr="00C56257">
              <w:rPr>
                <w:color w:val="000000" w:themeColor="text1"/>
                <w:spacing w:val="1"/>
                <w:sz w:val="24"/>
                <w:szCs w:val="24"/>
              </w:rPr>
              <w:t xml:space="preserve"> </w:t>
            </w:r>
            <w:r w:rsidRPr="00C56257">
              <w:rPr>
                <w:i/>
                <w:color w:val="000000" w:themeColor="text1"/>
                <w:sz w:val="24"/>
                <w:szCs w:val="24"/>
              </w:rPr>
              <w:t>Molinio-Holoschoenion</w:t>
            </w:r>
          </w:p>
        </w:tc>
        <w:tc>
          <w:tcPr>
            <w:tcW w:w="586" w:type="dxa"/>
          </w:tcPr>
          <w:p w14:paraId="6014E958" w14:textId="77777777" w:rsidR="006735BF" w:rsidRPr="00C56257" w:rsidRDefault="006735BF" w:rsidP="008E33FD">
            <w:pPr>
              <w:pStyle w:val="TableParagraph"/>
              <w:jc w:val="both"/>
              <w:rPr>
                <w:color w:val="000000" w:themeColor="text1"/>
                <w:sz w:val="24"/>
                <w:szCs w:val="24"/>
              </w:rPr>
            </w:pPr>
          </w:p>
        </w:tc>
        <w:tc>
          <w:tcPr>
            <w:tcW w:w="558" w:type="dxa"/>
          </w:tcPr>
          <w:p w14:paraId="1D48CA16" w14:textId="77777777" w:rsidR="006735BF" w:rsidRPr="00C56257" w:rsidRDefault="006735BF" w:rsidP="008E33FD">
            <w:pPr>
              <w:pStyle w:val="TableParagraph"/>
              <w:jc w:val="both"/>
              <w:rPr>
                <w:color w:val="000000" w:themeColor="text1"/>
                <w:sz w:val="24"/>
                <w:szCs w:val="24"/>
              </w:rPr>
            </w:pPr>
          </w:p>
        </w:tc>
        <w:tc>
          <w:tcPr>
            <w:tcW w:w="572" w:type="dxa"/>
            <w:shd w:val="clear" w:color="auto" w:fill="BEBEBE"/>
          </w:tcPr>
          <w:p w14:paraId="0C7D5DCD"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4084309A"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2A496774"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5D128902" w14:textId="77777777" w:rsidR="006735BF" w:rsidRPr="00C56257" w:rsidRDefault="006735BF" w:rsidP="008E33FD">
            <w:pPr>
              <w:pStyle w:val="TableParagraph"/>
              <w:jc w:val="both"/>
              <w:rPr>
                <w:color w:val="000000" w:themeColor="text1"/>
                <w:sz w:val="24"/>
                <w:szCs w:val="24"/>
              </w:rPr>
            </w:pPr>
          </w:p>
        </w:tc>
        <w:tc>
          <w:tcPr>
            <w:tcW w:w="517" w:type="dxa"/>
            <w:shd w:val="clear" w:color="auto" w:fill="BEBEBE"/>
          </w:tcPr>
          <w:p w14:paraId="2B1EF096"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5D0082AE"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77A24565"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274D1B05"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541254E0" w14:textId="77777777" w:rsidR="006735BF" w:rsidRPr="00C56257" w:rsidRDefault="006735BF" w:rsidP="008E33FD">
            <w:pPr>
              <w:pStyle w:val="TableParagraph"/>
              <w:jc w:val="both"/>
              <w:rPr>
                <w:color w:val="000000" w:themeColor="text1"/>
                <w:sz w:val="24"/>
                <w:szCs w:val="24"/>
              </w:rPr>
            </w:pPr>
          </w:p>
        </w:tc>
        <w:tc>
          <w:tcPr>
            <w:tcW w:w="514" w:type="dxa"/>
          </w:tcPr>
          <w:p w14:paraId="5E4EE8D8" w14:textId="77777777" w:rsidR="006735BF" w:rsidRPr="00C56257" w:rsidRDefault="006735BF" w:rsidP="008E33FD">
            <w:pPr>
              <w:pStyle w:val="TableParagraph"/>
              <w:jc w:val="both"/>
              <w:rPr>
                <w:color w:val="000000" w:themeColor="text1"/>
                <w:sz w:val="24"/>
                <w:szCs w:val="24"/>
              </w:rPr>
            </w:pPr>
          </w:p>
        </w:tc>
        <w:tc>
          <w:tcPr>
            <w:tcW w:w="2563" w:type="dxa"/>
            <w:tcBorders>
              <w:right w:val="nil"/>
            </w:tcBorders>
          </w:tcPr>
          <w:p w14:paraId="14478DA6" w14:textId="77777777" w:rsidR="006735BF" w:rsidRPr="00C56257" w:rsidRDefault="006735BF" w:rsidP="008E33FD">
            <w:pPr>
              <w:pStyle w:val="TableParagraph"/>
              <w:spacing w:before="4"/>
              <w:jc w:val="both"/>
              <w:rPr>
                <w:b/>
                <w:color w:val="000000" w:themeColor="text1"/>
                <w:sz w:val="24"/>
                <w:szCs w:val="24"/>
              </w:rPr>
            </w:pPr>
          </w:p>
          <w:p w14:paraId="1811D15B" w14:textId="77777777" w:rsidR="006735BF" w:rsidRPr="00C56257" w:rsidRDefault="006735BF" w:rsidP="008E33FD">
            <w:pPr>
              <w:pStyle w:val="TableParagraph"/>
              <w:ind w:left="22"/>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2"/>
                <w:sz w:val="24"/>
                <w:szCs w:val="24"/>
              </w:rPr>
              <w:t xml:space="preserve"> </w:t>
            </w:r>
            <w:r w:rsidRPr="00C56257">
              <w:rPr>
                <w:color w:val="000000" w:themeColor="text1"/>
                <w:sz w:val="24"/>
                <w:szCs w:val="24"/>
              </w:rPr>
              <w:t>prin:</w:t>
            </w:r>
          </w:p>
          <w:p w14:paraId="7E993E70" w14:textId="77777777" w:rsidR="006735BF" w:rsidRPr="00C56257" w:rsidRDefault="006735BF" w:rsidP="009E63E5">
            <w:pPr>
              <w:pStyle w:val="TableParagraph"/>
              <w:numPr>
                <w:ilvl w:val="0"/>
                <w:numId w:val="127"/>
              </w:numPr>
              <w:tabs>
                <w:tab w:val="left" w:pos="280"/>
              </w:tabs>
              <w:spacing w:before="1"/>
              <w:ind w:right="88" w:firstLine="0"/>
              <w:jc w:val="both"/>
              <w:rPr>
                <w:color w:val="000000" w:themeColor="text1"/>
                <w:sz w:val="24"/>
                <w:szCs w:val="24"/>
              </w:rPr>
            </w:pPr>
            <w:r w:rsidRPr="00C56257">
              <w:rPr>
                <w:color w:val="000000" w:themeColor="text1"/>
                <w:sz w:val="24"/>
                <w:szCs w:val="24"/>
              </w:rPr>
              <w:t>metoda</w:t>
            </w:r>
            <w:r w:rsidRPr="00C56257">
              <w:rPr>
                <w:color w:val="000000" w:themeColor="text1"/>
                <w:spacing w:val="11"/>
                <w:sz w:val="24"/>
                <w:szCs w:val="24"/>
              </w:rPr>
              <w:t xml:space="preserve"> </w:t>
            </w:r>
            <w:r w:rsidRPr="00C56257">
              <w:rPr>
                <w:color w:val="000000" w:themeColor="text1"/>
                <w:sz w:val="24"/>
                <w:szCs w:val="24"/>
              </w:rPr>
              <w:t>releveelor</w:t>
            </w:r>
            <w:r w:rsidRPr="00C56257">
              <w:rPr>
                <w:color w:val="000000" w:themeColor="text1"/>
                <w:spacing w:val="11"/>
                <w:sz w:val="24"/>
                <w:szCs w:val="24"/>
              </w:rPr>
              <w:t xml:space="preserve">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57FD393C" w14:textId="77777777" w:rsidR="006735BF" w:rsidRPr="00C56257" w:rsidRDefault="006735BF" w:rsidP="009E63E5">
            <w:pPr>
              <w:pStyle w:val="TableParagraph"/>
              <w:numPr>
                <w:ilvl w:val="0"/>
                <w:numId w:val="127"/>
              </w:numPr>
              <w:tabs>
                <w:tab w:val="left" w:pos="261"/>
              </w:tabs>
              <w:spacing w:before="1"/>
              <w:ind w:left="260" w:hanging="239"/>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19" w:type="dxa"/>
            <w:tcBorders>
              <w:left w:val="nil"/>
            </w:tcBorders>
          </w:tcPr>
          <w:p w14:paraId="28899807" w14:textId="77777777" w:rsidR="006735BF" w:rsidRPr="00C56257" w:rsidRDefault="006735BF" w:rsidP="008E33FD">
            <w:pPr>
              <w:pStyle w:val="TableParagraph"/>
              <w:jc w:val="both"/>
              <w:rPr>
                <w:b/>
                <w:color w:val="000000" w:themeColor="text1"/>
                <w:sz w:val="24"/>
                <w:szCs w:val="24"/>
              </w:rPr>
            </w:pPr>
          </w:p>
          <w:p w14:paraId="419A073B" w14:textId="77777777" w:rsidR="006735BF" w:rsidRPr="00C56257" w:rsidRDefault="006735BF" w:rsidP="008E33FD">
            <w:pPr>
              <w:pStyle w:val="TableParagraph"/>
              <w:spacing w:before="5"/>
              <w:jc w:val="both"/>
              <w:rPr>
                <w:b/>
                <w:color w:val="000000" w:themeColor="text1"/>
                <w:sz w:val="24"/>
                <w:szCs w:val="24"/>
              </w:rPr>
            </w:pPr>
          </w:p>
          <w:p w14:paraId="4D142F3C" w14:textId="77777777" w:rsidR="006735BF" w:rsidRPr="00C56257" w:rsidRDefault="006735BF" w:rsidP="008E33FD">
            <w:pPr>
              <w:pStyle w:val="TableParagraph"/>
              <w:ind w:right="25"/>
              <w:jc w:val="both"/>
              <w:rPr>
                <w:color w:val="000000" w:themeColor="text1"/>
                <w:sz w:val="24"/>
                <w:szCs w:val="24"/>
              </w:rPr>
            </w:pPr>
            <w:r w:rsidRPr="00C56257">
              <w:rPr>
                <w:color w:val="000000" w:themeColor="text1"/>
                <w:sz w:val="24"/>
                <w:szCs w:val="24"/>
              </w:rPr>
              <w:t>a</w:t>
            </w:r>
          </w:p>
        </w:tc>
        <w:tc>
          <w:tcPr>
            <w:tcW w:w="2179" w:type="dxa"/>
          </w:tcPr>
          <w:p w14:paraId="1A64F19B" w14:textId="77777777" w:rsidR="006735BF" w:rsidRPr="00C56257" w:rsidRDefault="006735BF" w:rsidP="008E33FD">
            <w:pPr>
              <w:pStyle w:val="TableParagraph"/>
              <w:ind w:left="22" w:right="7"/>
              <w:jc w:val="both"/>
              <w:rPr>
                <w:color w:val="000000" w:themeColor="text1"/>
                <w:sz w:val="24"/>
                <w:szCs w:val="24"/>
              </w:rPr>
            </w:pPr>
            <w:r w:rsidRPr="00C56257">
              <w:rPr>
                <w:color w:val="000000" w:themeColor="text1"/>
                <w:sz w:val="24"/>
                <w:szCs w:val="24"/>
              </w:rPr>
              <w:t>Min 7 relevee/ transecte</w:t>
            </w:r>
            <w:r w:rsidRPr="00C56257">
              <w:rPr>
                <w:color w:val="000000" w:themeColor="text1"/>
                <w:spacing w:val="-52"/>
                <w:sz w:val="24"/>
                <w:szCs w:val="24"/>
              </w:rPr>
              <w:t xml:space="preserve"> </w:t>
            </w:r>
            <w:r w:rsidRPr="00C56257">
              <w:rPr>
                <w:color w:val="000000" w:themeColor="text1"/>
                <w:sz w:val="24"/>
                <w:szCs w:val="24"/>
              </w:rPr>
              <w:t>de monitorizare în</w:t>
            </w:r>
            <w:r w:rsidRPr="00C56257">
              <w:rPr>
                <w:color w:val="000000" w:themeColor="text1"/>
                <w:spacing w:val="1"/>
                <w:sz w:val="24"/>
                <w:szCs w:val="24"/>
              </w:rPr>
              <w:t xml:space="preserve"> </w:t>
            </w:r>
            <w:r w:rsidRPr="00C56257">
              <w:rPr>
                <w:color w:val="000000" w:themeColor="text1"/>
                <w:sz w:val="24"/>
                <w:szCs w:val="24"/>
              </w:rPr>
              <w:t>cadrul ariilor naturale</w:t>
            </w:r>
            <w:r w:rsidRPr="00C56257">
              <w:rPr>
                <w:color w:val="000000" w:themeColor="text1"/>
                <w:spacing w:val="1"/>
                <w:sz w:val="24"/>
                <w:szCs w:val="24"/>
              </w:rPr>
              <w:t xml:space="preserve"> </w:t>
            </w:r>
            <w:r w:rsidRPr="00C56257">
              <w:rPr>
                <w:color w:val="000000" w:themeColor="text1"/>
                <w:sz w:val="24"/>
                <w:szCs w:val="24"/>
              </w:rPr>
              <w:t>țintă</w:t>
            </w:r>
            <w:r w:rsidRPr="00C56257">
              <w:rPr>
                <w:color w:val="000000" w:themeColor="text1"/>
                <w:spacing w:val="-1"/>
                <w:sz w:val="24"/>
                <w:szCs w:val="24"/>
              </w:rPr>
              <w:t xml:space="preserve"> </w:t>
            </w:r>
            <w:r w:rsidRPr="00C56257">
              <w:rPr>
                <w:color w:val="000000" w:themeColor="text1"/>
                <w:sz w:val="24"/>
                <w:szCs w:val="24"/>
              </w:rPr>
              <w:t>şi</w:t>
            </w:r>
            <w:r w:rsidRPr="00C56257">
              <w:rPr>
                <w:color w:val="000000" w:themeColor="text1"/>
                <w:spacing w:val="-4"/>
                <w:sz w:val="24"/>
                <w:szCs w:val="24"/>
              </w:rPr>
              <w:t xml:space="preserve"> </w:t>
            </w:r>
            <w:r w:rsidRPr="00C56257">
              <w:rPr>
                <w:color w:val="000000" w:themeColor="text1"/>
                <w:sz w:val="24"/>
                <w:szCs w:val="24"/>
              </w:rPr>
              <w:t>în</w:t>
            </w:r>
            <w:r w:rsidRPr="00C56257">
              <w:rPr>
                <w:color w:val="000000" w:themeColor="text1"/>
                <w:spacing w:val="-1"/>
                <w:sz w:val="24"/>
                <w:szCs w:val="24"/>
              </w:rPr>
              <w:t xml:space="preserve"> </w:t>
            </w:r>
            <w:r w:rsidRPr="00C56257">
              <w:rPr>
                <w:color w:val="000000" w:themeColor="text1"/>
                <w:sz w:val="24"/>
                <w:szCs w:val="24"/>
              </w:rPr>
              <w:t>afara</w:t>
            </w:r>
            <w:r w:rsidRPr="00C56257">
              <w:rPr>
                <w:color w:val="000000" w:themeColor="text1"/>
                <w:spacing w:val="-2"/>
                <w:sz w:val="24"/>
                <w:szCs w:val="24"/>
              </w:rPr>
              <w:t xml:space="preserve"> </w:t>
            </w:r>
            <w:r w:rsidRPr="00C56257">
              <w:rPr>
                <w:color w:val="000000" w:themeColor="text1"/>
                <w:sz w:val="24"/>
                <w:szCs w:val="24"/>
              </w:rPr>
              <w:t>acestora</w:t>
            </w:r>
          </w:p>
          <w:p w14:paraId="2D9594DC" w14:textId="77777777" w:rsidR="006735BF" w:rsidRPr="00C56257" w:rsidRDefault="006735BF" w:rsidP="008E33FD">
            <w:pPr>
              <w:pStyle w:val="TableParagraph"/>
              <w:spacing w:line="252" w:lineRule="exact"/>
              <w:ind w:left="22" w:right="404"/>
              <w:jc w:val="both"/>
              <w:rPr>
                <w:color w:val="000000" w:themeColor="text1"/>
                <w:sz w:val="24"/>
                <w:szCs w:val="24"/>
              </w:rPr>
            </w:pPr>
            <w:r w:rsidRPr="00C56257">
              <w:rPr>
                <w:color w:val="000000" w:themeColor="text1"/>
                <w:sz w:val="24"/>
                <w:szCs w:val="24"/>
              </w:rPr>
              <w:t>în situația prezenței</w:t>
            </w:r>
            <w:r w:rsidRPr="00C56257">
              <w:rPr>
                <w:color w:val="000000" w:themeColor="text1"/>
                <w:spacing w:val="-52"/>
                <w:sz w:val="24"/>
                <w:szCs w:val="24"/>
              </w:rPr>
              <w:t xml:space="preserve"> </w:t>
            </w:r>
            <w:r w:rsidRPr="00C56257">
              <w:rPr>
                <w:color w:val="000000" w:themeColor="text1"/>
                <w:sz w:val="24"/>
                <w:szCs w:val="24"/>
              </w:rPr>
              <w:t>habitatului.</w:t>
            </w:r>
          </w:p>
        </w:tc>
      </w:tr>
      <w:tr w:rsidR="006735BF" w:rsidRPr="00C56257" w14:paraId="7406912A" w14:textId="77777777" w:rsidTr="00511A4E">
        <w:trPr>
          <w:trHeight w:val="1516"/>
        </w:trPr>
        <w:tc>
          <w:tcPr>
            <w:tcW w:w="3207" w:type="dxa"/>
          </w:tcPr>
          <w:p w14:paraId="6C874BA3" w14:textId="77777777" w:rsidR="006735BF" w:rsidRPr="00C56257" w:rsidRDefault="006735BF" w:rsidP="008E33FD">
            <w:pPr>
              <w:pStyle w:val="TableParagraph"/>
              <w:spacing w:before="5"/>
              <w:jc w:val="both"/>
              <w:rPr>
                <w:b/>
                <w:color w:val="000000" w:themeColor="text1"/>
                <w:sz w:val="24"/>
                <w:szCs w:val="24"/>
              </w:rPr>
            </w:pPr>
          </w:p>
          <w:p w14:paraId="1D6DB017" w14:textId="77777777" w:rsidR="006735BF" w:rsidRPr="00C56257" w:rsidRDefault="006735BF" w:rsidP="008E33FD">
            <w:pPr>
              <w:pStyle w:val="TableParagraph"/>
              <w:ind w:left="26" w:right="41"/>
              <w:jc w:val="both"/>
              <w:rPr>
                <w:color w:val="000000" w:themeColor="text1"/>
                <w:sz w:val="24"/>
                <w:szCs w:val="24"/>
              </w:rPr>
            </w:pPr>
            <w:r w:rsidRPr="00C56257">
              <w:rPr>
                <w:color w:val="000000" w:themeColor="text1"/>
                <w:sz w:val="24"/>
                <w:szCs w:val="24"/>
              </w:rPr>
              <w:t>6430 - Comunităţi de lizieră cu</w:t>
            </w:r>
            <w:r w:rsidRPr="00C56257">
              <w:rPr>
                <w:color w:val="000000" w:themeColor="text1"/>
                <w:spacing w:val="1"/>
                <w:sz w:val="24"/>
                <w:szCs w:val="24"/>
              </w:rPr>
              <w:t xml:space="preserve"> </w:t>
            </w:r>
            <w:r w:rsidRPr="00C56257">
              <w:rPr>
                <w:color w:val="000000" w:themeColor="text1"/>
                <w:sz w:val="24"/>
                <w:szCs w:val="24"/>
              </w:rPr>
              <w:t>ierburi înalte higrofile de la câmpie</w:t>
            </w:r>
            <w:r w:rsidRPr="00C56257">
              <w:rPr>
                <w:color w:val="000000" w:themeColor="text1"/>
                <w:spacing w:val="-53"/>
                <w:sz w:val="24"/>
                <w:szCs w:val="24"/>
              </w:rPr>
              <w:t xml:space="preserve"> </w:t>
            </w:r>
            <w:r w:rsidRPr="00C56257">
              <w:rPr>
                <w:color w:val="000000" w:themeColor="text1"/>
                <w:sz w:val="24"/>
                <w:szCs w:val="24"/>
              </w:rPr>
              <w:t>până</w:t>
            </w:r>
            <w:r w:rsidRPr="00C56257">
              <w:rPr>
                <w:color w:val="000000" w:themeColor="text1"/>
                <w:spacing w:val="-3"/>
                <w:sz w:val="24"/>
                <w:szCs w:val="24"/>
              </w:rPr>
              <w:t xml:space="preserve"> </w:t>
            </w:r>
            <w:r w:rsidRPr="00C56257">
              <w:rPr>
                <w:color w:val="000000" w:themeColor="text1"/>
                <w:sz w:val="24"/>
                <w:szCs w:val="24"/>
              </w:rPr>
              <w:t>în</w:t>
            </w:r>
            <w:r w:rsidRPr="00C56257">
              <w:rPr>
                <w:color w:val="000000" w:themeColor="text1"/>
                <w:spacing w:val="-1"/>
                <w:sz w:val="24"/>
                <w:szCs w:val="24"/>
              </w:rPr>
              <w:t xml:space="preserve"> </w:t>
            </w:r>
            <w:r w:rsidRPr="00C56257">
              <w:rPr>
                <w:color w:val="000000" w:themeColor="text1"/>
                <w:sz w:val="24"/>
                <w:szCs w:val="24"/>
              </w:rPr>
              <w:t>etajele montan şi</w:t>
            </w:r>
            <w:r w:rsidRPr="00C56257">
              <w:rPr>
                <w:color w:val="000000" w:themeColor="text1"/>
                <w:spacing w:val="1"/>
                <w:sz w:val="24"/>
                <w:szCs w:val="24"/>
              </w:rPr>
              <w:t xml:space="preserve"> </w:t>
            </w:r>
            <w:r w:rsidRPr="00C56257">
              <w:rPr>
                <w:color w:val="000000" w:themeColor="text1"/>
                <w:sz w:val="24"/>
                <w:szCs w:val="24"/>
              </w:rPr>
              <w:t>alpin</w:t>
            </w:r>
          </w:p>
        </w:tc>
        <w:tc>
          <w:tcPr>
            <w:tcW w:w="586" w:type="dxa"/>
          </w:tcPr>
          <w:p w14:paraId="14093035" w14:textId="77777777" w:rsidR="006735BF" w:rsidRPr="00C56257" w:rsidRDefault="006735BF" w:rsidP="008E33FD">
            <w:pPr>
              <w:pStyle w:val="TableParagraph"/>
              <w:jc w:val="both"/>
              <w:rPr>
                <w:color w:val="000000" w:themeColor="text1"/>
                <w:sz w:val="24"/>
                <w:szCs w:val="24"/>
              </w:rPr>
            </w:pPr>
          </w:p>
        </w:tc>
        <w:tc>
          <w:tcPr>
            <w:tcW w:w="558" w:type="dxa"/>
          </w:tcPr>
          <w:p w14:paraId="3F8B3087" w14:textId="77777777" w:rsidR="006735BF" w:rsidRPr="00C56257" w:rsidRDefault="006735BF" w:rsidP="008E33FD">
            <w:pPr>
              <w:pStyle w:val="TableParagraph"/>
              <w:jc w:val="both"/>
              <w:rPr>
                <w:color w:val="000000" w:themeColor="text1"/>
                <w:sz w:val="24"/>
                <w:szCs w:val="24"/>
              </w:rPr>
            </w:pPr>
          </w:p>
        </w:tc>
        <w:tc>
          <w:tcPr>
            <w:tcW w:w="572" w:type="dxa"/>
            <w:shd w:val="clear" w:color="auto" w:fill="BEBEBE"/>
          </w:tcPr>
          <w:p w14:paraId="59D18BA0"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56E65822"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5DCFF67A"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0E2F9644" w14:textId="77777777" w:rsidR="006735BF" w:rsidRPr="00C56257" w:rsidRDefault="006735BF" w:rsidP="008E33FD">
            <w:pPr>
              <w:pStyle w:val="TableParagraph"/>
              <w:jc w:val="both"/>
              <w:rPr>
                <w:color w:val="000000" w:themeColor="text1"/>
                <w:sz w:val="24"/>
                <w:szCs w:val="24"/>
              </w:rPr>
            </w:pPr>
          </w:p>
        </w:tc>
        <w:tc>
          <w:tcPr>
            <w:tcW w:w="517" w:type="dxa"/>
            <w:shd w:val="clear" w:color="auto" w:fill="BEBEBE"/>
          </w:tcPr>
          <w:p w14:paraId="52A4706A"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097977D1"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13F63038"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66A49D06"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5428D05C" w14:textId="77777777" w:rsidR="006735BF" w:rsidRPr="00C56257" w:rsidRDefault="006735BF" w:rsidP="008E33FD">
            <w:pPr>
              <w:pStyle w:val="TableParagraph"/>
              <w:jc w:val="both"/>
              <w:rPr>
                <w:color w:val="000000" w:themeColor="text1"/>
                <w:sz w:val="24"/>
                <w:szCs w:val="24"/>
              </w:rPr>
            </w:pPr>
          </w:p>
        </w:tc>
        <w:tc>
          <w:tcPr>
            <w:tcW w:w="514" w:type="dxa"/>
          </w:tcPr>
          <w:p w14:paraId="3CCE49D1" w14:textId="77777777" w:rsidR="006735BF" w:rsidRPr="00C56257" w:rsidRDefault="006735BF" w:rsidP="008E33FD">
            <w:pPr>
              <w:pStyle w:val="TableParagraph"/>
              <w:jc w:val="both"/>
              <w:rPr>
                <w:color w:val="000000" w:themeColor="text1"/>
                <w:sz w:val="24"/>
                <w:szCs w:val="24"/>
              </w:rPr>
            </w:pPr>
          </w:p>
        </w:tc>
        <w:tc>
          <w:tcPr>
            <w:tcW w:w="2563" w:type="dxa"/>
            <w:tcBorders>
              <w:right w:val="nil"/>
            </w:tcBorders>
          </w:tcPr>
          <w:p w14:paraId="50F29C15" w14:textId="77777777" w:rsidR="006735BF" w:rsidRPr="00C56257" w:rsidRDefault="006735BF" w:rsidP="008E33FD">
            <w:pPr>
              <w:pStyle w:val="TableParagraph"/>
              <w:spacing w:before="4"/>
              <w:jc w:val="both"/>
              <w:rPr>
                <w:b/>
                <w:color w:val="000000" w:themeColor="text1"/>
                <w:sz w:val="24"/>
                <w:szCs w:val="24"/>
              </w:rPr>
            </w:pPr>
          </w:p>
          <w:p w14:paraId="065AC493" w14:textId="77777777" w:rsidR="006735BF" w:rsidRPr="00C56257" w:rsidRDefault="006735BF" w:rsidP="008E33FD">
            <w:pPr>
              <w:pStyle w:val="TableParagraph"/>
              <w:ind w:left="22"/>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6333E0F1" w14:textId="77777777" w:rsidR="006735BF" w:rsidRPr="00C56257" w:rsidRDefault="006735BF" w:rsidP="009E63E5">
            <w:pPr>
              <w:pStyle w:val="TableParagraph"/>
              <w:numPr>
                <w:ilvl w:val="0"/>
                <w:numId w:val="126"/>
              </w:numPr>
              <w:tabs>
                <w:tab w:val="left" w:pos="280"/>
              </w:tabs>
              <w:spacing w:before="2"/>
              <w:ind w:right="88" w:firstLine="0"/>
              <w:jc w:val="both"/>
              <w:rPr>
                <w:color w:val="000000" w:themeColor="text1"/>
                <w:sz w:val="24"/>
                <w:szCs w:val="24"/>
              </w:rPr>
            </w:pPr>
            <w:r w:rsidRPr="00C56257">
              <w:rPr>
                <w:color w:val="000000" w:themeColor="text1"/>
                <w:sz w:val="24"/>
                <w:szCs w:val="24"/>
              </w:rPr>
              <w:t>metoda</w:t>
            </w:r>
            <w:r w:rsidRPr="00C56257">
              <w:rPr>
                <w:color w:val="000000" w:themeColor="text1"/>
                <w:spacing w:val="11"/>
                <w:sz w:val="24"/>
                <w:szCs w:val="24"/>
              </w:rPr>
              <w:t xml:space="preserve"> </w:t>
            </w:r>
            <w:r w:rsidRPr="00C56257">
              <w:rPr>
                <w:color w:val="000000" w:themeColor="text1"/>
                <w:sz w:val="24"/>
                <w:szCs w:val="24"/>
              </w:rPr>
              <w:t>releveelor</w:t>
            </w:r>
            <w:r w:rsidRPr="00C56257">
              <w:rPr>
                <w:color w:val="000000" w:themeColor="text1"/>
                <w:spacing w:val="11"/>
                <w:sz w:val="24"/>
                <w:szCs w:val="24"/>
              </w:rPr>
              <w:t xml:space="preserve">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58495777" w14:textId="77777777" w:rsidR="006735BF" w:rsidRPr="00C56257" w:rsidRDefault="006735BF" w:rsidP="009E63E5">
            <w:pPr>
              <w:pStyle w:val="TableParagraph"/>
              <w:numPr>
                <w:ilvl w:val="0"/>
                <w:numId w:val="126"/>
              </w:numPr>
              <w:tabs>
                <w:tab w:val="left" w:pos="261"/>
              </w:tabs>
              <w:spacing w:line="251" w:lineRule="exact"/>
              <w:ind w:left="260" w:hanging="239"/>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19" w:type="dxa"/>
            <w:tcBorders>
              <w:left w:val="nil"/>
            </w:tcBorders>
          </w:tcPr>
          <w:p w14:paraId="10AD48E0" w14:textId="77777777" w:rsidR="006735BF" w:rsidRPr="00C56257" w:rsidRDefault="006735BF" w:rsidP="008E33FD">
            <w:pPr>
              <w:pStyle w:val="TableParagraph"/>
              <w:jc w:val="both"/>
              <w:rPr>
                <w:b/>
                <w:color w:val="000000" w:themeColor="text1"/>
                <w:sz w:val="24"/>
                <w:szCs w:val="24"/>
              </w:rPr>
            </w:pPr>
          </w:p>
          <w:p w14:paraId="62D16847" w14:textId="77777777" w:rsidR="006735BF" w:rsidRPr="00C56257" w:rsidRDefault="006735BF" w:rsidP="008E33FD">
            <w:pPr>
              <w:pStyle w:val="TableParagraph"/>
              <w:spacing w:before="6"/>
              <w:jc w:val="both"/>
              <w:rPr>
                <w:b/>
                <w:color w:val="000000" w:themeColor="text1"/>
                <w:sz w:val="24"/>
                <w:szCs w:val="24"/>
              </w:rPr>
            </w:pPr>
          </w:p>
          <w:p w14:paraId="169A60C2" w14:textId="77777777" w:rsidR="006735BF" w:rsidRPr="00C56257" w:rsidRDefault="006735BF" w:rsidP="008E33FD">
            <w:pPr>
              <w:pStyle w:val="TableParagraph"/>
              <w:ind w:right="25"/>
              <w:jc w:val="both"/>
              <w:rPr>
                <w:color w:val="000000" w:themeColor="text1"/>
                <w:sz w:val="24"/>
                <w:szCs w:val="24"/>
              </w:rPr>
            </w:pPr>
            <w:r w:rsidRPr="00C56257">
              <w:rPr>
                <w:color w:val="000000" w:themeColor="text1"/>
                <w:sz w:val="24"/>
                <w:szCs w:val="24"/>
              </w:rPr>
              <w:t>a</w:t>
            </w:r>
          </w:p>
        </w:tc>
        <w:tc>
          <w:tcPr>
            <w:tcW w:w="2179" w:type="dxa"/>
          </w:tcPr>
          <w:p w14:paraId="3B7EBAB5" w14:textId="77777777" w:rsidR="006735BF" w:rsidRPr="00C56257" w:rsidRDefault="006735BF" w:rsidP="008E33FD">
            <w:pPr>
              <w:pStyle w:val="TableParagraph"/>
              <w:ind w:left="22" w:right="7"/>
              <w:jc w:val="both"/>
              <w:rPr>
                <w:color w:val="000000" w:themeColor="text1"/>
                <w:sz w:val="24"/>
                <w:szCs w:val="24"/>
              </w:rPr>
            </w:pPr>
            <w:r w:rsidRPr="00C56257">
              <w:rPr>
                <w:color w:val="000000" w:themeColor="text1"/>
                <w:sz w:val="24"/>
                <w:szCs w:val="24"/>
              </w:rPr>
              <w:t>Min 8 relevee/ transecte</w:t>
            </w:r>
            <w:r w:rsidRPr="00C56257">
              <w:rPr>
                <w:color w:val="000000" w:themeColor="text1"/>
                <w:spacing w:val="-52"/>
                <w:sz w:val="24"/>
                <w:szCs w:val="24"/>
              </w:rPr>
              <w:t xml:space="preserve"> </w:t>
            </w:r>
            <w:r w:rsidRPr="00C56257">
              <w:rPr>
                <w:color w:val="000000" w:themeColor="text1"/>
                <w:sz w:val="24"/>
                <w:szCs w:val="24"/>
              </w:rPr>
              <w:t>de monitorizare în</w:t>
            </w:r>
            <w:r w:rsidRPr="00C56257">
              <w:rPr>
                <w:color w:val="000000" w:themeColor="text1"/>
                <w:spacing w:val="1"/>
                <w:sz w:val="24"/>
                <w:szCs w:val="24"/>
              </w:rPr>
              <w:t xml:space="preserve"> </w:t>
            </w:r>
            <w:r w:rsidRPr="00C56257">
              <w:rPr>
                <w:color w:val="000000" w:themeColor="text1"/>
                <w:sz w:val="24"/>
                <w:szCs w:val="24"/>
              </w:rPr>
              <w:t>cadrul ariilor naturale</w:t>
            </w:r>
            <w:r w:rsidRPr="00C56257">
              <w:rPr>
                <w:color w:val="000000" w:themeColor="text1"/>
                <w:spacing w:val="1"/>
                <w:sz w:val="24"/>
                <w:szCs w:val="24"/>
              </w:rPr>
              <w:t xml:space="preserve"> </w:t>
            </w:r>
            <w:r w:rsidRPr="00C56257">
              <w:rPr>
                <w:color w:val="000000" w:themeColor="text1"/>
                <w:sz w:val="24"/>
                <w:szCs w:val="24"/>
              </w:rPr>
              <w:t>țintă şi în afara acestora</w:t>
            </w:r>
            <w:r w:rsidRPr="00C56257">
              <w:rPr>
                <w:color w:val="000000" w:themeColor="text1"/>
                <w:spacing w:val="-52"/>
                <w:sz w:val="24"/>
                <w:szCs w:val="24"/>
              </w:rPr>
              <w:t xml:space="preserve"> </w:t>
            </w:r>
            <w:r w:rsidRPr="00C56257">
              <w:rPr>
                <w:color w:val="000000" w:themeColor="text1"/>
                <w:sz w:val="24"/>
                <w:szCs w:val="24"/>
              </w:rPr>
              <w:t>în</w:t>
            </w:r>
            <w:r w:rsidRPr="00C56257">
              <w:rPr>
                <w:color w:val="000000" w:themeColor="text1"/>
                <w:spacing w:val="-1"/>
                <w:sz w:val="24"/>
                <w:szCs w:val="24"/>
              </w:rPr>
              <w:t xml:space="preserve"> </w:t>
            </w:r>
            <w:r w:rsidRPr="00C56257">
              <w:rPr>
                <w:color w:val="000000" w:themeColor="text1"/>
                <w:sz w:val="24"/>
                <w:szCs w:val="24"/>
              </w:rPr>
              <w:t>situația</w:t>
            </w:r>
            <w:r w:rsidRPr="00C56257">
              <w:rPr>
                <w:color w:val="000000" w:themeColor="text1"/>
                <w:spacing w:val="-1"/>
                <w:sz w:val="24"/>
                <w:szCs w:val="24"/>
              </w:rPr>
              <w:t xml:space="preserve"> </w:t>
            </w:r>
            <w:r w:rsidRPr="00C56257">
              <w:rPr>
                <w:color w:val="000000" w:themeColor="text1"/>
                <w:sz w:val="24"/>
                <w:szCs w:val="24"/>
              </w:rPr>
              <w:t>prezenței</w:t>
            </w:r>
          </w:p>
          <w:p w14:paraId="07CD8F7E" w14:textId="77777777" w:rsidR="006735BF" w:rsidRPr="00C56257" w:rsidRDefault="006735BF" w:rsidP="008E33FD">
            <w:pPr>
              <w:pStyle w:val="TableParagraph"/>
              <w:spacing w:line="238" w:lineRule="exact"/>
              <w:ind w:left="22"/>
              <w:jc w:val="both"/>
              <w:rPr>
                <w:color w:val="000000" w:themeColor="text1"/>
                <w:sz w:val="24"/>
                <w:szCs w:val="24"/>
              </w:rPr>
            </w:pPr>
            <w:r w:rsidRPr="00C56257">
              <w:rPr>
                <w:color w:val="000000" w:themeColor="text1"/>
                <w:sz w:val="24"/>
                <w:szCs w:val="24"/>
              </w:rPr>
              <w:t>habitatului.</w:t>
            </w:r>
          </w:p>
        </w:tc>
      </w:tr>
      <w:tr w:rsidR="006735BF" w:rsidRPr="00C56257" w14:paraId="1145821D" w14:textId="77777777" w:rsidTr="00511A4E">
        <w:trPr>
          <w:trHeight w:val="1519"/>
        </w:trPr>
        <w:tc>
          <w:tcPr>
            <w:tcW w:w="3207" w:type="dxa"/>
          </w:tcPr>
          <w:p w14:paraId="3AFBE188" w14:textId="77777777" w:rsidR="006735BF" w:rsidRPr="00C56257" w:rsidRDefault="006735BF" w:rsidP="008E33FD">
            <w:pPr>
              <w:pStyle w:val="TableParagraph"/>
              <w:jc w:val="both"/>
              <w:rPr>
                <w:b/>
                <w:color w:val="000000" w:themeColor="text1"/>
                <w:sz w:val="24"/>
                <w:szCs w:val="24"/>
              </w:rPr>
            </w:pPr>
          </w:p>
          <w:p w14:paraId="6C08002F" w14:textId="77777777" w:rsidR="006735BF" w:rsidRPr="00C56257" w:rsidRDefault="006735BF" w:rsidP="008E33FD">
            <w:pPr>
              <w:pStyle w:val="TableParagraph"/>
              <w:spacing w:before="5"/>
              <w:jc w:val="both"/>
              <w:rPr>
                <w:b/>
                <w:color w:val="000000" w:themeColor="text1"/>
                <w:sz w:val="24"/>
                <w:szCs w:val="24"/>
              </w:rPr>
            </w:pPr>
          </w:p>
          <w:p w14:paraId="09FC0CDB" w14:textId="77777777" w:rsidR="006735BF" w:rsidRPr="00C56257" w:rsidRDefault="006735BF" w:rsidP="008E33FD">
            <w:pPr>
              <w:pStyle w:val="TableParagraph"/>
              <w:ind w:left="26" w:right="126"/>
              <w:jc w:val="both"/>
              <w:rPr>
                <w:i/>
                <w:color w:val="000000" w:themeColor="text1"/>
                <w:sz w:val="24"/>
                <w:szCs w:val="24"/>
              </w:rPr>
            </w:pPr>
            <w:r w:rsidRPr="00C56257">
              <w:rPr>
                <w:color w:val="000000" w:themeColor="text1"/>
                <w:sz w:val="24"/>
                <w:szCs w:val="24"/>
              </w:rPr>
              <w:t xml:space="preserve">6440 - Pajişti aluviale din </w:t>
            </w:r>
            <w:r w:rsidRPr="00C56257">
              <w:rPr>
                <w:i/>
                <w:color w:val="000000" w:themeColor="text1"/>
                <w:sz w:val="24"/>
                <w:szCs w:val="24"/>
              </w:rPr>
              <w:t>Cnidion</w:t>
            </w:r>
            <w:r w:rsidRPr="00C56257">
              <w:rPr>
                <w:i/>
                <w:color w:val="000000" w:themeColor="text1"/>
                <w:spacing w:val="-52"/>
                <w:sz w:val="24"/>
                <w:szCs w:val="24"/>
              </w:rPr>
              <w:t xml:space="preserve"> </w:t>
            </w:r>
            <w:r w:rsidRPr="00C56257">
              <w:rPr>
                <w:i/>
                <w:color w:val="000000" w:themeColor="text1"/>
                <w:sz w:val="24"/>
                <w:szCs w:val="24"/>
              </w:rPr>
              <w:t>dubii</w:t>
            </w:r>
          </w:p>
        </w:tc>
        <w:tc>
          <w:tcPr>
            <w:tcW w:w="586" w:type="dxa"/>
          </w:tcPr>
          <w:p w14:paraId="2585D1C0" w14:textId="77777777" w:rsidR="006735BF" w:rsidRPr="00C56257" w:rsidRDefault="006735BF" w:rsidP="008E33FD">
            <w:pPr>
              <w:pStyle w:val="TableParagraph"/>
              <w:jc w:val="both"/>
              <w:rPr>
                <w:color w:val="000000" w:themeColor="text1"/>
                <w:sz w:val="24"/>
                <w:szCs w:val="24"/>
              </w:rPr>
            </w:pPr>
          </w:p>
        </w:tc>
        <w:tc>
          <w:tcPr>
            <w:tcW w:w="558" w:type="dxa"/>
          </w:tcPr>
          <w:p w14:paraId="19CC8254" w14:textId="77777777" w:rsidR="006735BF" w:rsidRPr="00C56257" w:rsidRDefault="006735BF" w:rsidP="008E33FD">
            <w:pPr>
              <w:pStyle w:val="TableParagraph"/>
              <w:jc w:val="both"/>
              <w:rPr>
                <w:color w:val="000000" w:themeColor="text1"/>
                <w:sz w:val="24"/>
                <w:szCs w:val="24"/>
              </w:rPr>
            </w:pPr>
          </w:p>
        </w:tc>
        <w:tc>
          <w:tcPr>
            <w:tcW w:w="572" w:type="dxa"/>
            <w:shd w:val="clear" w:color="auto" w:fill="BEBEBE"/>
          </w:tcPr>
          <w:p w14:paraId="55B0803E"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6F34BF69"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55A006C5"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7730957F" w14:textId="77777777" w:rsidR="006735BF" w:rsidRPr="00C56257" w:rsidRDefault="006735BF" w:rsidP="008E33FD">
            <w:pPr>
              <w:pStyle w:val="TableParagraph"/>
              <w:jc w:val="both"/>
              <w:rPr>
                <w:color w:val="000000" w:themeColor="text1"/>
                <w:sz w:val="24"/>
                <w:szCs w:val="24"/>
              </w:rPr>
            </w:pPr>
          </w:p>
        </w:tc>
        <w:tc>
          <w:tcPr>
            <w:tcW w:w="517" w:type="dxa"/>
            <w:shd w:val="clear" w:color="auto" w:fill="BEBEBE"/>
          </w:tcPr>
          <w:p w14:paraId="1DE4127D"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51A607DF"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6988D445"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4144483D"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73941896" w14:textId="77777777" w:rsidR="006735BF" w:rsidRPr="00C56257" w:rsidRDefault="006735BF" w:rsidP="008E33FD">
            <w:pPr>
              <w:pStyle w:val="TableParagraph"/>
              <w:jc w:val="both"/>
              <w:rPr>
                <w:color w:val="000000" w:themeColor="text1"/>
                <w:sz w:val="24"/>
                <w:szCs w:val="24"/>
              </w:rPr>
            </w:pPr>
          </w:p>
        </w:tc>
        <w:tc>
          <w:tcPr>
            <w:tcW w:w="514" w:type="dxa"/>
          </w:tcPr>
          <w:p w14:paraId="138016D3" w14:textId="77777777" w:rsidR="006735BF" w:rsidRPr="00C56257" w:rsidRDefault="006735BF" w:rsidP="008E33FD">
            <w:pPr>
              <w:pStyle w:val="TableParagraph"/>
              <w:jc w:val="both"/>
              <w:rPr>
                <w:color w:val="000000" w:themeColor="text1"/>
                <w:sz w:val="24"/>
                <w:szCs w:val="24"/>
              </w:rPr>
            </w:pPr>
          </w:p>
        </w:tc>
        <w:tc>
          <w:tcPr>
            <w:tcW w:w="2563" w:type="dxa"/>
            <w:tcBorders>
              <w:right w:val="nil"/>
            </w:tcBorders>
          </w:tcPr>
          <w:p w14:paraId="33F85885" w14:textId="77777777" w:rsidR="006735BF" w:rsidRPr="00C56257" w:rsidRDefault="006735BF" w:rsidP="008E33FD">
            <w:pPr>
              <w:pStyle w:val="TableParagraph"/>
              <w:spacing w:before="6"/>
              <w:jc w:val="both"/>
              <w:rPr>
                <w:b/>
                <w:color w:val="000000" w:themeColor="text1"/>
                <w:sz w:val="24"/>
                <w:szCs w:val="24"/>
              </w:rPr>
            </w:pPr>
          </w:p>
          <w:p w14:paraId="5968C52D" w14:textId="77777777" w:rsidR="006735BF" w:rsidRPr="00C56257" w:rsidRDefault="006735BF" w:rsidP="008E33FD">
            <w:pPr>
              <w:pStyle w:val="TableParagraph"/>
              <w:spacing w:line="252" w:lineRule="exact"/>
              <w:ind w:left="22"/>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2361278A" w14:textId="77777777" w:rsidR="006735BF" w:rsidRPr="00C56257" w:rsidRDefault="006735BF" w:rsidP="009E63E5">
            <w:pPr>
              <w:pStyle w:val="TableParagraph"/>
              <w:numPr>
                <w:ilvl w:val="0"/>
                <w:numId w:val="125"/>
              </w:numPr>
              <w:tabs>
                <w:tab w:val="left" w:pos="280"/>
              </w:tabs>
              <w:ind w:right="88" w:firstLine="0"/>
              <w:jc w:val="both"/>
              <w:rPr>
                <w:color w:val="000000" w:themeColor="text1"/>
                <w:sz w:val="24"/>
                <w:szCs w:val="24"/>
              </w:rPr>
            </w:pPr>
            <w:r w:rsidRPr="00C56257">
              <w:rPr>
                <w:color w:val="000000" w:themeColor="text1"/>
                <w:sz w:val="24"/>
                <w:szCs w:val="24"/>
              </w:rPr>
              <w:t>metoda</w:t>
            </w:r>
            <w:r w:rsidRPr="00C56257">
              <w:rPr>
                <w:color w:val="000000" w:themeColor="text1"/>
                <w:spacing w:val="11"/>
                <w:sz w:val="24"/>
                <w:szCs w:val="24"/>
              </w:rPr>
              <w:t xml:space="preserve"> </w:t>
            </w:r>
            <w:r w:rsidRPr="00C56257">
              <w:rPr>
                <w:color w:val="000000" w:themeColor="text1"/>
                <w:sz w:val="24"/>
                <w:szCs w:val="24"/>
              </w:rPr>
              <w:t>releveelor</w:t>
            </w:r>
            <w:r w:rsidRPr="00C56257">
              <w:rPr>
                <w:color w:val="000000" w:themeColor="text1"/>
                <w:spacing w:val="11"/>
                <w:sz w:val="24"/>
                <w:szCs w:val="24"/>
              </w:rPr>
              <w:t xml:space="preserve">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6136AAF4" w14:textId="77777777" w:rsidR="006735BF" w:rsidRPr="00C56257" w:rsidRDefault="006735BF" w:rsidP="009E63E5">
            <w:pPr>
              <w:pStyle w:val="TableParagraph"/>
              <w:numPr>
                <w:ilvl w:val="0"/>
                <w:numId w:val="125"/>
              </w:numPr>
              <w:tabs>
                <w:tab w:val="left" w:pos="261"/>
              </w:tabs>
              <w:spacing w:before="1"/>
              <w:ind w:left="260" w:hanging="239"/>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19" w:type="dxa"/>
            <w:tcBorders>
              <w:left w:val="nil"/>
            </w:tcBorders>
          </w:tcPr>
          <w:p w14:paraId="094939F8" w14:textId="77777777" w:rsidR="006735BF" w:rsidRPr="00C56257" w:rsidRDefault="006735BF" w:rsidP="008E33FD">
            <w:pPr>
              <w:pStyle w:val="TableParagraph"/>
              <w:jc w:val="both"/>
              <w:rPr>
                <w:b/>
                <w:color w:val="000000" w:themeColor="text1"/>
                <w:sz w:val="24"/>
                <w:szCs w:val="24"/>
              </w:rPr>
            </w:pPr>
          </w:p>
          <w:p w14:paraId="5941A513" w14:textId="77777777" w:rsidR="006735BF" w:rsidRPr="00C56257" w:rsidRDefault="006735BF" w:rsidP="008E33FD">
            <w:pPr>
              <w:pStyle w:val="TableParagraph"/>
              <w:spacing w:before="5"/>
              <w:jc w:val="both"/>
              <w:rPr>
                <w:b/>
                <w:color w:val="000000" w:themeColor="text1"/>
                <w:sz w:val="24"/>
                <w:szCs w:val="24"/>
              </w:rPr>
            </w:pPr>
          </w:p>
          <w:p w14:paraId="4666BCC4" w14:textId="77777777" w:rsidR="006735BF" w:rsidRPr="00C56257" w:rsidRDefault="006735BF" w:rsidP="008E33FD">
            <w:pPr>
              <w:pStyle w:val="TableParagraph"/>
              <w:ind w:right="25"/>
              <w:jc w:val="both"/>
              <w:rPr>
                <w:color w:val="000000" w:themeColor="text1"/>
                <w:sz w:val="24"/>
                <w:szCs w:val="24"/>
              </w:rPr>
            </w:pPr>
            <w:r w:rsidRPr="00C56257">
              <w:rPr>
                <w:color w:val="000000" w:themeColor="text1"/>
                <w:sz w:val="24"/>
                <w:szCs w:val="24"/>
              </w:rPr>
              <w:t>a</w:t>
            </w:r>
          </w:p>
        </w:tc>
        <w:tc>
          <w:tcPr>
            <w:tcW w:w="2179" w:type="dxa"/>
          </w:tcPr>
          <w:p w14:paraId="6E64967F" w14:textId="77777777" w:rsidR="006735BF" w:rsidRPr="00C56257" w:rsidRDefault="006735BF" w:rsidP="008E33FD">
            <w:pPr>
              <w:pStyle w:val="TableParagraph"/>
              <w:ind w:left="22" w:right="7"/>
              <w:jc w:val="both"/>
              <w:rPr>
                <w:color w:val="000000" w:themeColor="text1"/>
                <w:sz w:val="24"/>
                <w:szCs w:val="24"/>
              </w:rPr>
            </w:pPr>
            <w:r w:rsidRPr="00C56257">
              <w:rPr>
                <w:color w:val="000000" w:themeColor="text1"/>
                <w:sz w:val="24"/>
                <w:szCs w:val="24"/>
              </w:rPr>
              <w:t>Min 7 relevee/ transecte</w:t>
            </w:r>
            <w:r w:rsidRPr="00C56257">
              <w:rPr>
                <w:color w:val="000000" w:themeColor="text1"/>
                <w:spacing w:val="-52"/>
                <w:sz w:val="24"/>
                <w:szCs w:val="24"/>
              </w:rPr>
              <w:t xml:space="preserve"> </w:t>
            </w:r>
            <w:r w:rsidRPr="00C56257">
              <w:rPr>
                <w:color w:val="000000" w:themeColor="text1"/>
                <w:sz w:val="24"/>
                <w:szCs w:val="24"/>
              </w:rPr>
              <w:t>de monitorizare în</w:t>
            </w:r>
            <w:r w:rsidRPr="00C56257">
              <w:rPr>
                <w:color w:val="000000" w:themeColor="text1"/>
                <w:spacing w:val="1"/>
                <w:sz w:val="24"/>
                <w:szCs w:val="24"/>
              </w:rPr>
              <w:t xml:space="preserve"> </w:t>
            </w:r>
            <w:r w:rsidRPr="00C56257">
              <w:rPr>
                <w:color w:val="000000" w:themeColor="text1"/>
                <w:sz w:val="24"/>
                <w:szCs w:val="24"/>
              </w:rPr>
              <w:t>cadrul ariilor naturale</w:t>
            </w:r>
            <w:r w:rsidRPr="00C56257">
              <w:rPr>
                <w:color w:val="000000" w:themeColor="text1"/>
                <w:spacing w:val="1"/>
                <w:sz w:val="24"/>
                <w:szCs w:val="24"/>
              </w:rPr>
              <w:t xml:space="preserve"> </w:t>
            </w:r>
            <w:r w:rsidRPr="00C56257">
              <w:rPr>
                <w:color w:val="000000" w:themeColor="text1"/>
                <w:sz w:val="24"/>
                <w:szCs w:val="24"/>
              </w:rPr>
              <w:t>țintă</w:t>
            </w:r>
            <w:r w:rsidRPr="00C56257">
              <w:rPr>
                <w:color w:val="000000" w:themeColor="text1"/>
                <w:spacing w:val="-1"/>
                <w:sz w:val="24"/>
                <w:szCs w:val="24"/>
              </w:rPr>
              <w:t xml:space="preserve"> </w:t>
            </w:r>
            <w:r w:rsidRPr="00C56257">
              <w:rPr>
                <w:color w:val="000000" w:themeColor="text1"/>
                <w:sz w:val="24"/>
                <w:szCs w:val="24"/>
              </w:rPr>
              <w:t>şi</w:t>
            </w:r>
            <w:r w:rsidRPr="00C56257">
              <w:rPr>
                <w:color w:val="000000" w:themeColor="text1"/>
                <w:spacing w:val="-4"/>
                <w:sz w:val="24"/>
                <w:szCs w:val="24"/>
              </w:rPr>
              <w:t xml:space="preserve"> </w:t>
            </w:r>
            <w:r w:rsidRPr="00C56257">
              <w:rPr>
                <w:color w:val="000000" w:themeColor="text1"/>
                <w:sz w:val="24"/>
                <w:szCs w:val="24"/>
              </w:rPr>
              <w:t>în</w:t>
            </w:r>
            <w:r w:rsidRPr="00C56257">
              <w:rPr>
                <w:color w:val="000000" w:themeColor="text1"/>
                <w:spacing w:val="-1"/>
                <w:sz w:val="24"/>
                <w:szCs w:val="24"/>
              </w:rPr>
              <w:t xml:space="preserve"> </w:t>
            </w:r>
            <w:r w:rsidRPr="00C56257">
              <w:rPr>
                <w:color w:val="000000" w:themeColor="text1"/>
                <w:sz w:val="24"/>
                <w:szCs w:val="24"/>
              </w:rPr>
              <w:t>afara</w:t>
            </w:r>
            <w:r w:rsidRPr="00C56257">
              <w:rPr>
                <w:color w:val="000000" w:themeColor="text1"/>
                <w:spacing w:val="-2"/>
                <w:sz w:val="24"/>
                <w:szCs w:val="24"/>
              </w:rPr>
              <w:t xml:space="preserve"> </w:t>
            </w:r>
            <w:r w:rsidRPr="00C56257">
              <w:rPr>
                <w:color w:val="000000" w:themeColor="text1"/>
                <w:sz w:val="24"/>
                <w:szCs w:val="24"/>
              </w:rPr>
              <w:t>acestora</w:t>
            </w:r>
          </w:p>
          <w:p w14:paraId="23EE8A89" w14:textId="77777777" w:rsidR="006735BF" w:rsidRPr="00C56257" w:rsidRDefault="006735BF" w:rsidP="008E33FD">
            <w:pPr>
              <w:pStyle w:val="TableParagraph"/>
              <w:spacing w:line="252" w:lineRule="exact"/>
              <w:ind w:left="22" w:right="404"/>
              <w:jc w:val="both"/>
              <w:rPr>
                <w:color w:val="000000" w:themeColor="text1"/>
                <w:sz w:val="24"/>
                <w:szCs w:val="24"/>
              </w:rPr>
            </w:pPr>
            <w:r w:rsidRPr="00C56257">
              <w:rPr>
                <w:color w:val="000000" w:themeColor="text1"/>
                <w:sz w:val="24"/>
                <w:szCs w:val="24"/>
              </w:rPr>
              <w:t>în situația prezenței</w:t>
            </w:r>
            <w:r w:rsidRPr="00C56257">
              <w:rPr>
                <w:color w:val="000000" w:themeColor="text1"/>
                <w:spacing w:val="-52"/>
                <w:sz w:val="24"/>
                <w:szCs w:val="24"/>
              </w:rPr>
              <w:t xml:space="preserve"> </w:t>
            </w:r>
            <w:r w:rsidRPr="00C56257">
              <w:rPr>
                <w:color w:val="000000" w:themeColor="text1"/>
                <w:sz w:val="24"/>
                <w:szCs w:val="24"/>
              </w:rPr>
              <w:t>habitatului.</w:t>
            </w:r>
          </w:p>
        </w:tc>
      </w:tr>
      <w:tr w:rsidR="006735BF" w:rsidRPr="00C56257" w14:paraId="11AE3015" w14:textId="77777777" w:rsidTr="00511A4E">
        <w:trPr>
          <w:trHeight w:val="1517"/>
        </w:trPr>
        <w:tc>
          <w:tcPr>
            <w:tcW w:w="3207" w:type="dxa"/>
          </w:tcPr>
          <w:p w14:paraId="329D4BEE" w14:textId="77777777" w:rsidR="006735BF" w:rsidRPr="00C56257" w:rsidRDefault="006735BF" w:rsidP="008E33FD">
            <w:pPr>
              <w:pStyle w:val="TableParagraph"/>
              <w:spacing w:before="4"/>
              <w:jc w:val="both"/>
              <w:rPr>
                <w:b/>
                <w:color w:val="000000" w:themeColor="text1"/>
                <w:sz w:val="24"/>
                <w:szCs w:val="24"/>
              </w:rPr>
            </w:pPr>
          </w:p>
          <w:p w14:paraId="5776C88B" w14:textId="77777777" w:rsidR="006735BF" w:rsidRPr="00C56257" w:rsidRDefault="006735BF" w:rsidP="008E33FD">
            <w:pPr>
              <w:pStyle w:val="TableParagraph"/>
              <w:spacing w:before="1"/>
              <w:ind w:left="26" w:right="322"/>
              <w:jc w:val="both"/>
              <w:rPr>
                <w:color w:val="000000" w:themeColor="text1"/>
                <w:sz w:val="24"/>
                <w:szCs w:val="24"/>
              </w:rPr>
            </w:pPr>
            <w:r w:rsidRPr="00C56257">
              <w:rPr>
                <w:color w:val="000000" w:themeColor="text1"/>
                <w:sz w:val="24"/>
                <w:szCs w:val="24"/>
              </w:rPr>
              <w:t>6510 - Pajişti de altitudine joasă</w:t>
            </w:r>
            <w:r w:rsidRPr="00C56257">
              <w:rPr>
                <w:color w:val="000000" w:themeColor="text1"/>
                <w:spacing w:val="-52"/>
                <w:sz w:val="24"/>
                <w:szCs w:val="24"/>
              </w:rPr>
              <w:t xml:space="preserve"> </w:t>
            </w:r>
            <w:r w:rsidRPr="00C56257">
              <w:rPr>
                <w:color w:val="000000" w:themeColor="text1"/>
                <w:sz w:val="24"/>
                <w:szCs w:val="24"/>
              </w:rPr>
              <w:t>(</w:t>
            </w:r>
            <w:r w:rsidRPr="00C56257">
              <w:rPr>
                <w:i/>
                <w:color w:val="000000" w:themeColor="text1"/>
                <w:sz w:val="24"/>
                <w:szCs w:val="24"/>
              </w:rPr>
              <w:t>Alopecurus pratensis,</w:t>
            </w:r>
            <w:r w:rsidRPr="00C56257">
              <w:rPr>
                <w:i/>
                <w:color w:val="000000" w:themeColor="text1"/>
                <w:spacing w:val="1"/>
                <w:sz w:val="24"/>
                <w:szCs w:val="24"/>
              </w:rPr>
              <w:t xml:space="preserve"> </w:t>
            </w:r>
            <w:r w:rsidRPr="00C56257">
              <w:rPr>
                <w:i/>
                <w:color w:val="000000" w:themeColor="text1"/>
                <w:sz w:val="24"/>
                <w:szCs w:val="24"/>
              </w:rPr>
              <w:t>Sanguisorba</w:t>
            </w:r>
            <w:r w:rsidRPr="00C56257">
              <w:rPr>
                <w:i/>
                <w:color w:val="000000" w:themeColor="text1"/>
                <w:spacing w:val="-4"/>
                <w:sz w:val="24"/>
                <w:szCs w:val="24"/>
              </w:rPr>
              <w:t xml:space="preserve"> </w:t>
            </w:r>
            <w:r w:rsidRPr="00C56257">
              <w:rPr>
                <w:i/>
                <w:color w:val="000000" w:themeColor="text1"/>
                <w:sz w:val="24"/>
                <w:szCs w:val="24"/>
              </w:rPr>
              <w:t>officinalis</w:t>
            </w:r>
            <w:r w:rsidRPr="00C56257">
              <w:rPr>
                <w:color w:val="000000" w:themeColor="text1"/>
                <w:sz w:val="24"/>
                <w:szCs w:val="24"/>
              </w:rPr>
              <w:t>)</w:t>
            </w:r>
          </w:p>
        </w:tc>
        <w:tc>
          <w:tcPr>
            <w:tcW w:w="586" w:type="dxa"/>
          </w:tcPr>
          <w:p w14:paraId="02F86999" w14:textId="77777777" w:rsidR="006735BF" w:rsidRPr="00C56257" w:rsidRDefault="006735BF" w:rsidP="008E33FD">
            <w:pPr>
              <w:pStyle w:val="TableParagraph"/>
              <w:jc w:val="both"/>
              <w:rPr>
                <w:color w:val="000000" w:themeColor="text1"/>
                <w:sz w:val="24"/>
                <w:szCs w:val="24"/>
              </w:rPr>
            </w:pPr>
          </w:p>
        </w:tc>
        <w:tc>
          <w:tcPr>
            <w:tcW w:w="558" w:type="dxa"/>
          </w:tcPr>
          <w:p w14:paraId="0EF7B1AE" w14:textId="77777777" w:rsidR="006735BF" w:rsidRPr="00C56257" w:rsidRDefault="006735BF" w:rsidP="008E33FD">
            <w:pPr>
              <w:pStyle w:val="TableParagraph"/>
              <w:jc w:val="both"/>
              <w:rPr>
                <w:color w:val="000000" w:themeColor="text1"/>
                <w:sz w:val="24"/>
                <w:szCs w:val="24"/>
              </w:rPr>
            </w:pPr>
          </w:p>
        </w:tc>
        <w:tc>
          <w:tcPr>
            <w:tcW w:w="572" w:type="dxa"/>
            <w:shd w:val="clear" w:color="auto" w:fill="BEBEBE"/>
          </w:tcPr>
          <w:p w14:paraId="4F68224D"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68F8B664"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287A130A"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6E393202" w14:textId="77777777" w:rsidR="006735BF" w:rsidRPr="00C56257" w:rsidRDefault="006735BF" w:rsidP="008E33FD">
            <w:pPr>
              <w:pStyle w:val="TableParagraph"/>
              <w:jc w:val="both"/>
              <w:rPr>
                <w:color w:val="000000" w:themeColor="text1"/>
                <w:sz w:val="24"/>
                <w:szCs w:val="24"/>
              </w:rPr>
            </w:pPr>
          </w:p>
        </w:tc>
        <w:tc>
          <w:tcPr>
            <w:tcW w:w="517" w:type="dxa"/>
            <w:shd w:val="clear" w:color="auto" w:fill="BEBEBE"/>
          </w:tcPr>
          <w:p w14:paraId="23406C97"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7992AC0D"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0ADF6EB4"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38A6AC29"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6D276048" w14:textId="77777777" w:rsidR="006735BF" w:rsidRPr="00C56257" w:rsidRDefault="006735BF" w:rsidP="008E33FD">
            <w:pPr>
              <w:pStyle w:val="TableParagraph"/>
              <w:jc w:val="both"/>
              <w:rPr>
                <w:color w:val="000000" w:themeColor="text1"/>
                <w:sz w:val="24"/>
                <w:szCs w:val="24"/>
              </w:rPr>
            </w:pPr>
          </w:p>
        </w:tc>
        <w:tc>
          <w:tcPr>
            <w:tcW w:w="514" w:type="dxa"/>
          </w:tcPr>
          <w:p w14:paraId="1AA59DA0" w14:textId="77777777" w:rsidR="006735BF" w:rsidRPr="00C56257" w:rsidRDefault="006735BF" w:rsidP="008E33FD">
            <w:pPr>
              <w:pStyle w:val="TableParagraph"/>
              <w:jc w:val="both"/>
              <w:rPr>
                <w:color w:val="000000" w:themeColor="text1"/>
                <w:sz w:val="24"/>
                <w:szCs w:val="24"/>
              </w:rPr>
            </w:pPr>
          </w:p>
        </w:tc>
        <w:tc>
          <w:tcPr>
            <w:tcW w:w="2563" w:type="dxa"/>
            <w:tcBorders>
              <w:right w:val="nil"/>
            </w:tcBorders>
          </w:tcPr>
          <w:p w14:paraId="5E9CB327" w14:textId="77777777" w:rsidR="006735BF" w:rsidRPr="00C56257" w:rsidRDefault="006735BF" w:rsidP="008E33FD">
            <w:pPr>
              <w:pStyle w:val="TableParagraph"/>
              <w:spacing w:before="4"/>
              <w:jc w:val="both"/>
              <w:rPr>
                <w:b/>
                <w:color w:val="000000" w:themeColor="text1"/>
                <w:sz w:val="24"/>
                <w:szCs w:val="24"/>
              </w:rPr>
            </w:pPr>
          </w:p>
          <w:p w14:paraId="3C91C991" w14:textId="77777777" w:rsidR="006735BF" w:rsidRPr="00C56257" w:rsidRDefault="006735BF" w:rsidP="008E33FD">
            <w:pPr>
              <w:pStyle w:val="TableParagraph"/>
              <w:ind w:left="22"/>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3FEE96D1" w14:textId="77777777" w:rsidR="006735BF" w:rsidRPr="00C56257" w:rsidRDefault="006735BF" w:rsidP="009E63E5">
            <w:pPr>
              <w:pStyle w:val="TableParagraph"/>
              <w:numPr>
                <w:ilvl w:val="0"/>
                <w:numId w:val="124"/>
              </w:numPr>
              <w:tabs>
                <w:tab w:val="left" w:pos="280"/>
              </w:tabs>
              <w:spacing w:before="1"/>
              <w:ind w:right="88" w:firstLine="0"/>
              <w:jc w:val="both"/>
              <w:rPr>
                <w:color w:val="000000" w:themeColor="text1"/>
                <w:sz w:val="24"/>
                <w:szCs w:val="24"/>
              </w:rPr>
            </w:pPr>
            <w:r w:rsidRPr="00C56257">
              <w:rPr>
                <w:color w:val="000000" w:themeColor="text1"/>
                <w:sz w:val="24"/>
                <w:szCs w:val="24"/>
              </w:rPr>
              <w:t>metoda</w:t>
            </w:r>
            <w:r w:rsidRPr="00C56257">
              <w:rPr>
                <w:color w:val="000000" w:themeColor="text1"/>
                <w:spacing w:val="11"/>
                <w:sz w:val="24"/>
                <w:szCs w:val="24"/>
              </w:rPr>
              <w:t xml:space="preserve"> </w:t>
            </w:r>
            <w:r w:rsidRPr="00C56257">
              <w:rPr>
                <w:color w:val="000000" w:themeColor="text1"/>
                <w:sz w:val="24"/>
                <w:szCs w:val="24"/>
              </w:rPr>
              <w:t>releveelor</w:t>
            </w:r>
            <w:r w:rsidRPr="00C56257">
              <w:rPr>
                <w:color w:val="000000" w:themeColor="text1"/>
                <w:spacing w:val="11"/>
                <w:sz w:val="24"/>
                <w:szCs w:val="24"/>
              </w:rPr>
              <w:t xml:space="preserve">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3F1CB348" w14:textId="77777777" w:rsidR="006735BF" w:rsidRPr="00C56257" w:rsidRDefault="006735BF" w:rsidP="009E63E5">
            <w:pPr>
              <w:pStyle w:val="TableParagraph"/>
              <w:numPr>
                <w:ilvl w:val="0"/>
                <w:numId w:val="124"/>
              </w:numPr>
              <w:tabs>
                <w:tab w:val="left" w:pos="261"/>
              </w:tabs>
              <w:spacing w:before="1"/>
              <w:ind w:left="260" w:hanging="239"/>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19" w:type="dxa"/>
            <w:tcBorders>
              <w:left w:val="nil"/>
            </w:tcBorders>
          </w:tcPr>
          <w:p w14:paraId="4B16A573" w14:textId="77777777" w:rsidR="006735BF" w:rsidRPr="00C56257" w:rsidRDefault="006735BF" w:rsidP="008E33FD">
            <w:pPr>
              <w:pStyle w:val="TableParagraph"/>
              <w:jc w:val="both"/>
              <w:rPr>
                <w:b/>
                <w:color w:val="000000" w:themeColor="text1"/>
                <w:sz w:val="24"/>
                <w:szCs w:val="24"/>
              </w:rPr>
            </w:pPr>
          </w:p>
          <w:p w14:paraId="3ED613E1" w14:textId="77777777" w:rsidR="006735BF" w:rsidRPr="00C56257" w:rsidRDefault="006735BF" w:rsidP="008E33FD">
            <w:pPr>
              <w:pStyle w:val="TableParagraph"/>
              <w:spacing w:before="5"/>
              <w:jc w:val="both"/>
              <w:rPr>
                <w:b/>
                <w:color w:val="000000" w:themeColor="text1"/>
                <w:sz w:val="24"/>
                <w:szCs w:val="24"/>
              </w:rPr>
            </w:pPr>
          </w:p>
          <w:p w14:paraId="35C5762E" w14:textId="77777777" w:rsidR="006735BF" w:rsidRPr="00C56257" w:rsidRDefault="006735BF" w:rsidP="008E33FD">
            <w:pPr>
              <w:pStyle w:val="TableParagraph"/>
              <w:ind w:right="25"/>
              <w:jc w:val="both"/>
              <w:rPr>
                <w:color w:val="000000" w:themeColor="text1"/>
                <w:sz w:val="24"/>
                <w:szCs w:val="24"/>
              </w:rPr>
            </w:pPr>
            <w:r w:rsidRPr="00C56257">
              <w:rPr>
                <w:color w:val="000000" w:themeColor="text1"/>
                <w:sz w:val="24"/>
                <w:szCs w:val="24"/>
              </w:rPr>
              <w:t>a</w:t>
            </w:r>
          </w:p>
        </w:tc>
        <w:tc>
          <w:tcPr>
            <w:tcW w:w="2179" w:type="dxa"/>
          </w:tcPr>
          <w:p w14:paraId="73539B93" w14:textId="77777777" w:rsidR="006735BF" w:rsidRPr="00C56257" w:rsidRDefault="006735BF" w:rsidP="008E33FD">
            <w:pPr>
              <w:pStyle w:val="TableParagraph"/>
              <w:ind w:left="22" w:right="7"/>
              <w:jc w:val="both"/>
              <w:rPr>
                <w:color w:val="000000" w:themeColor="text1"/>
                <w:sz w:val="24"/>
                <w:szCs w:val="24"/>
              </w:rPr>
            </w:pPr>
            <w:r w:rsidRPr="00C56257">
              <w:rPr>
                <w:color w:val="000000" w:themeColor="text1"/>
                <w:sz w:val="24"/>
                <w:szCs w:val="24"/>
              </w:rPr>
              <w:t>Min 8 relevee/ transecte</w:t>
            </w:r>
            <w:r w:rsidRPr="00C56257">
              <w:rPr>
                <w:color w:val="000000" w:themeColor="text1"/>
                <w:spacing w:val="-52"/>
                <w:sz w:val="24"/>
                <w:szCs w:val="24"/>
              </w:rPr>
              <w:t xml:space="preserve"> </w:t>
            </w:r>
            <w:r w:rsidRPr="00C56257">
              <w:rPr>
                <w:color w:val="000000" w:themeColor="text1"/>
                <w:sz w:val="24"/>
                <w:szCs w:val="24"/>
              </w:rPr>
              <w:t>de monitorizare în</w:t>
            </w:r>
            <w:r w:rsidRPr="00C56257">
              <w:rPr>
                <w:color w:val="000000" w:themeColor="text1"/>
                <w:spacing w:val="1"/>
                <w:sz w:val="24"/>
                <w:szCs w:val="24"/>
              </w:rPr>
              <w:t xml:space="preserve"> </w:t>
            </w:r>
            <w:r w:rsidRPr="00C56257">
              <w:rPr>
                <w:color w:val="000000" w:themeColor="text1"/>
                <w:sz w:val="24"/>
                <w:szCs w:val="24"/>
              </w:rPr>
              <w:t>cadrul ariilor naturale</w:t>
            </w:r>
            <w:r w:rsidRPr="00C56257">
              <w:rPr>
                <w:color w:val="000000" w:themeColor="text1"/>
                <w:spacing w:val="1"/>
                <w:sz w:val="24"/>
                <w:szCs w:val="24"/>
              </w:rPr>
              <w:t xml:space="preserve"> </w:t>
            </w:r>
            <w:r w:rsidRPr="00C56257">
              <w:rPr>
                <w:color w:val="000000" w:themeColor="text1"/>
                <w:sz w:val="24"/>
                <w:szCs w:val="24"/>
              </w:rPr>
              <w:t>țintă şi în afara acestora</w:t>
            </w:r>
            <w:r w:rsidRPr="00C56257">
              <w:rPr>
                <w:color w:val="000000" w:themeColor="text1"/>
                <w:spacing w:val="-52"/>
                <w:sz w:val="24"/>
                <w:szCs w:val="24"/>
              </w:rPr>
              <w:t xml:space="preserve"> </w:t>
            </w:r>
            <w:r w:rsidRPr="00C56257">
              <w:rPr>
                <w:color w:val="000000" w:themeColor="text1"/>
                <w:sz w:val="24"/>
                <w:szCs w:val="24"/>
              </w:rPr>
              <w:t>în</w:t>
            </w:r>
            <w:r w:rsidRPr="00C56257">
              <w:rPr>
                <w:color w:val="000000" w:themeColor="text1"/>
                <w:spacing w:val="-1"/>
                <w:sz w:val="24"/>
                <w:szCs w:val="24"/>
              </w:rPr>
              <w:t xml:space="preserve"> </w:t>
            </w:r>
            <w:r w:rsidRPr="00C56257">
              <w:rPr>
                <w:color w:val="000000" w:themeColor="text1"/>
                <w:sz w:val="24"/>
                <w:szCs w:val="24"/>
              </w:rPr>
              <w:t>situația</w:t>
            </w:r>
            <w:r w:rsidRPr="00C56257">
              <w:rPr>
                <w:color w:val="000000" w:themeColor="text1"/>
                <w:spacing w:val="-1"/>
                <w:sz w:val="24"/>
                <w:szCs w:val="24"/>
              </w:rPr>
              <w:t xml:space="preserve"> </w:t>
            </w:r>
            <w:r w:rsidRPr="00C56257">
              <w:rPr>
                <w:color w:val="000000" w:themeColor="text1"/>
                <w:sz w:val="24"/>
                <w:szCs w:val="24"/>
              </w:rPr>
              <w:t>prezenței</w:t>
            </w:r>
          </w:p>
          <w:p w14:paraId="69844093" w14:textId="77777777" w:rsidR="006735BF" w:rsidRPr="00C56257" w:rsidRDefault="006735BF" w:rsidP="008E33FD">
            <w:pPr>
              <w:pStyle w:val="TableParagraph"/>
              <w:spacing w:line="238" w:lineRule="exact"/>
              <w:ind w:left="22"/>
              <w:jc w:val="both"/>
              <w:rPr>
                <w:color w:val="000000" w:themeColor="text1"/>
                <w:sz w:val="24"/>
                <w:szCs w:val="24"/>
              </w:rPr>
            </w:pPr>
            <w:r w:rsidRPr="00C56257">
              <w:rPr>
                <w:color w:val="000000" w:themeColor="text1"/>
                <w:sz w:val="24"/>
                <w:szCs w:val="24"/>
              </w:rPr>
              <w:t>habitatului.</w:t>
            </w:r>
          </w:p>
        </w:tc>
      </w:tr>
      <w:tr w:rsidR="006735BF" w:rsidRPr="00C56257" w14:paraId="5E48A6B6" w14:textId="77777777" w:rsidTr="00511A4E">
        <w:trPr>
          <w:trHeight w:val="1518"/>
        </w:trPr>
        <w:tc>
          <w:tcPr>
            <w:tcW w:w="3207" w:type="dxa"/>
          </w:tcPr>
          <w:p w14:paraId="62773F96" w14:textId="77777777" w:rsidR="006735BF" w:rsidRPr="00C56257" w:rsidRDefault="006735BF" w:rsidP="008E33FD">
            <w:pPr>
              <w:pStyle w:val="TableParagraph"/>
              <w:jc w:val="both"/>
              <w:rPr>
                <w:b/>
                <w:color w:val="000000" w:themeColor="text1"/>
                <w:sz w:val="24"/>
                <w:szCs w:val="24"/>
              </w:rPr>
            </w:pPr>
          </w:p>
          <w:p w14:paraId="13CF52E8" w14:textId="77777777" w:rsidR="006735BF" w:rsidRPr="00C56257" w:rsidRDefault="006735BF" w:rsidP="008E33FD">
            <w:pPr>
              <w:pStyle w:val="TableParagraph"/>
              <w:spacing w:before="6"/>
              <w:jc w:val="both"/>
              <w:rPr>
                <w:b/>
                <w:color w:val="000000" w:themeColor="text1"/>
                <w:sz w:val="24"/>
                <w:szCs w:val="24"/>
              </w:rPr>
            </w:pPr>
          </w:p>
          <w:p w14:paraId="13AC59F6" w14:textId="77777777" w:rsidR="006735BF" w:rsidRPr="00C56257" w:rsidRDefault="006735BF" w:rsidP="008E33FD">
            <w:pPr>
              <w:pStyle w:val="TableParagraph"/>
              <w:ind w:left="26"/>
              <w:jc w:val="both"/>
              <w:rPr>
                <w:color w:val="000000" w:themeColor="text1"/>
                <w:sz w:val="24"/>
                <w:szCs w:val="24"/>
              </w:rPr>
            </w:pPr>
            <w:r w:rsidRPr="00C56257">
              <w:rPr>
                <w:color w:val="000000" w:themeColor="text1"/>
                <w:sz w:val="24"/>
                <w:szCs w:val="24"/>
              </w:rPr>
              <w:t>6520</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4"/>
                <w:sz w:val="24"/>
                <w:szCs w:val="24"/>
              </w:rPr>
              <w:t xml:space="preserve"> </w:t>
            </w:r>
            <w:r w:rsidRPr="00C56257">
              <w:rPr>
                <w:color w:val="000000" w:themeColor="text1"/>
                <w:sz w:val="24"/>
                <w:szCs w:val="24"/>
              </w:rPr>
              <w:t>Fâneţe montane</w:t>
            </w:r>
          </w:p>
        </w:tc>
        <w:tc>
          <w:tcPr>
            <w:tcW w:w="586" w:type="dxa"/>
          </w:tcPr>
          <w:p w14:paraId="5603F760" w14:textId="77777777" w:rsidR="006735BF" w:rsidRPr="00C56257" w:rsidRDefault="006735BF" w:rsidP="008E33FD">
            <w:pPr>
              <w:pStyle w:val="TableParagraph"/>
              <w:jc w:val="both"/>
              <w:rPr>
                <w:color w:val="000000" w:themeColor="text1"/>
                <w:sz w:val="24"/>
                <w:szCs w:val="24"/>
              </w:rPr>
            </w:pPr>
          </w:p>
        </w:tc>
        <w:tc>
          <w:tcPr>
            <w:tcW w:w="558" w:type="dxa"/>
          </w:tcPr>
          <w:p w14:paraId="713602E0" w14:textId="77777777" w:rsidR="006735BF" w:rsidRPr="00C56257" w:rsidRDefault="006735BF" w:rsidP="008E33FD">
            <w:pPr>
              <w:pStyle w:val="TableParagraph"/>
              <w:jc w:val="both"/>
              <w:rPr>
                <w:color w:val="000000" w:themeColor="text1"/>
                <w:sz w:val="24"/>
                <w:szCs w:val="24"/>
              </w:rPr>
            </w:pPr>
          </w:p>
        </w:tc>
        <w:tc>
          <w:tcPr>
            <w:tcW w:w="572" w:type="dxa"/>
            <w:shd w:val="clear" w:color="auto" w:fill="BEBEBE"/>
          </w:tcPr>
          <w:p w14:paraId="401945E2"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249AC858"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61049841"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0851EFFA" w14:textId="77777777" w:rsidR="006735BF" w:rsidRPr="00C56257" w:rsidRDefault="006735BF" w:rsidP="008E33FD">
            <w:pPr>
              <w:pStyle w:val="TableParagraph"/>
              <w:jc w:val="both"/>
              <w:rPr>
                <w:color w:val="000000" w:themeColor="text1"/>
                <w:sz w:val="24"/>
                <w:szCs w:val="24"/>
              </w:rPr>
            </w:pPr>
          </w:p>
        </w:tc>
        <w:tc>
          <w:tcPr>
            <w:tcW w:w="517" w:type="dxa"/>
            <w:shd w:val="clear" w:color="auto" w:fill="BEBEBE"/>
          </w:tcPr>
          <w:p w14:paraId="4A6FEEAF"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43249780" w14:textId="77777777" w:rsidR="006735BF" w:rsidRPr="00C56257" w:rsidRDefault="006735BF" w:rsidP="008E33FD">
            <w:pPr>
              <w:pStyle w:val="TableParagraph"/>
              <w:jc w:val="both"/>
              <w:rPr>
                <w:color w:val="000000" w:themeColor="text1"/>
                <w:sz w:val="24"/>
                <w:szCs w:val="24"/>
              </w:rPr>
            </w:pPr>
          </w:p>
        </w:tc>
        <w:tc>
          <w:tcPr>
            <w:tcW w:w="569" w:type="dxa"/>
            <w:shd w:val="clear" w:color="auto" w:fill="BEBEBE"/>
          </w:tcPr>
          <w:p w14:paraId="6DD4E0DD"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1AC3768C" w14:textId="77777777" w:rsidR="006735BF" w:rsidRPr="00C56257" w:rsidRDefault="006735BF" w:rsidP="008E33FD">
            <w:pPr>
              <w:pStyle w:val="TableParagraph"/>
              <w:jc w:val="both"/>
              <w:rPr>
                <w:color w:val="000000" w:themeColor="text1"/>
                <w:sz w:val="24"/>
                <w:szCs w:val="24"/>
              </w:rPr>
            </w:pPr>
          </w:p>
        </w:tc>
        <w:tc>
          <w:tcPr>
            <w:tcW w:w="567" w:type="dxa"/>
            <w:shd w:val="clear" w:color="auto" w:fill="BEBEBE"/>
          </w:tcPr>
          <w:p w14:paraId="57A7A0DD" w14:textId="77777777" w:rsidR="006735BF" w:rsidRPr="00C56257" w:rsidRDefault="006735BF" w:rsidP="008E33FD">
            <w:pPr>
              <w:pStyle w:val="TableParagraph"/>
              <w:jc w:val="both"/>
              <w:rPr>
                <w:color w:val="000000" w:themeColor="text1"/>
                <w:sz w:val="24"/>
                <w:szCs w:val="24"/>
              </w:rPr>
            </w:pPr>
          </w:p>
        </w:tc>
        <w:tc>
          <w:tcPr>
            <w:tcW w:w="514" w:type="dxa"/>
          </w:tcPr>
          <w:p w14:paraId="54D32D7A" w14:textId="77777777" w:rsidR="006735BF" w:rsidRPr="00C56257" w:rsidRDefault="006735BF" w:rsidP="008E33FD">
            <w:pPr>
              <w:pStyle w:val="TableParagraph"/>
              <w:jc w:val="both"/>
              <w:rPr>
                <w:color w:val="000000" w:themeColor="text1"/>
                <w:sz w:val="24"/>
                <w:szCs w:val="24"/>
              </w:rPr>
            </w:pPr>
          </w:p>
        </w:tc>
        <w:tc>
          <w:tcPr>
            <w:tcW w:w="2563" w:type="dxa"/>
            <w:tcBorders>
              <w:right w:val="nil"/>
            </w:tcBorders>
          </w:tcPr>
          <w:p w14:paraId="44849070" w14:textId="77777777" w:rsidR="006735BF" w:rsidRPr="00C56257" w:rsidRDefault="006735BF" w:rsidP="008E33FD">
            <w:pPr>
              <w:pStyle w:val="TableParagraph"/>
              <w:spacing w:before="6"/>
              <w:jc w:val="both"/>
              <w:rPr>
                <w:b/>
                <w:color w:val="000000" w:themeColor="text1"/>
                <w:sz w:val="24"/>
                <w:szCs w:val="24"/>
              </w:rPr>
            </w:pPr>
          </w:p>
          <w:p w14:paraId="2CA600D7" w14:textId="77777777" w:rsidR="006735BF" w:rsidRPr="00C56257" w:rsidRDefault="006735BF" w:rsidP="008E33FD">
            <w:pPr>
              <w:pStyle w:val="TableParagraph"/>
              <w:spacing w:line="252" w:lineRule="exact"/>
              <w:ind w:left="22"/>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777AFE03" w14:textId="77777777" w:rsidR="006735BF" w:rsidRPr="00C56257" w:rsidRDefault="006735BF" w:rsidP="009E63E5">
            <w:pPr>
              <w:pStyle w:val="TableParagraph"/>
              <w:numPr>
                <w:ilvl w:val="0"/>
                <w:numId w:val="123"/>
              </w:numPr>
              <w:tabs>
                <w:tab w:val="left" w:pos="280"/>
              </w:tabs>
              <w:ind w:right="88" w:firstLine="0"/>
              <w:jc w:val="both"/>
              <w:rPr>
                <w:color w:val="000000" w:themeColor="text1"/>
                <w:sz w:val="24"/>
                <w:szCs w:val="24"/>
              </w:rPr>
            </w:pPr>
            <w:r w:rsidRPr="00C56257">
              <w:rPr>
                <w:color w:val="000000" w:themeColor="text1"/>
                <w:sz w:val="24"/>
                <w:szCs w:val="24"/>
              </w:rPr>
              <w:t>metoda</w:t>
            </w:r>
            <w:r w:rsidRPr="00C56257">
              <w:rPr>
                <w:color w:val="000000" w:themeColor="text1"/>
                <w:spacing w:val="11"/>
                <w:sz w:val="24"/>
                <w:szCs w:val="24"/>
              </w:rPr>
              <w:t xml:space="preserve"> </w:t>
            </w:r>
            <w:r w:rsidRPr="00C56257">
              <w:rPr>
                <w:color w:val="000000" w:themeColor="text1"/>
                <w:sz w:val="24"/>
                <w:szCs w:val="24"/>
              </w:rPr>
              <w:t>releveelor</w:t>
            </w:r>
            <w:r w:rsidRPr="00C56257">
              <w:rPr>
                <w:color w:val="000000" w:themeColor="text1"/>
                <w:spacing w:val="11"/>
                <w:sz w:val="24"/>
                <w:szCs w:val="24"/>
              </w:rPr>
              <w:t xml:space="preserve">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446FA4FD" w14:textId="77777777" w:rsidR="006735BF" w:rsidRPr="00C56257" w:rsidRDefault="006735BF" w:rsidP="009E63E5">
            <w:pPr>
              <w:pStyle w:val="TableParagraph"/>
              <w:numPr>
                <w:ilvl w:val="0"/>
                <w:numId w:val="123"/>
              </w:numPr>
              <w:tabs>
                <w:tab w:val="left" w:pos="261"/>
              </w:tabs>
              <w:ind w:left="260" w:hanging="239"/>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19" w:type="dxa"/>
            <w:tcBorders>
              <w:left w:val="nil"/>
            </w:tcBorders>
          </w:tcPr>
          <w:p w14:paraId="0A1946F8" w14:textId="77777777" w:rsidR="006735BF" w:rsidRPr="00C56257" w:rsidRDefault="006735BF" w:rsidP="008E33FD">
            <w:pPr>
              <w:pStyle w:val="TableParagraph"/>
              <w:jc w:val="both"/>
              <w:rPr>
                <w:b/>
                <w:color w:val="000000" w:themeColor="text1"/>
                <w:sz w:val="24"/>
                <w:szCs w:val="24"/>
              </w:rPr>
            </w:pPr>
          </w:p>
          <w:p w14:paraId="06C44F65" w14:textId="77777777" w:rsidR="006735BF" w:rsidRPr="00C56257" w:rsidRDefault="006735BF" w:rsidP="008E33FD">
            <w:pPr>
              <w:pStyle w:val="TableParagraph"/>
              <w:spacing w:before="5"/>
              <w:jc w:val="both"/>
              <w:rPr>
                <w:b/>
                <w:color w:val="000000" w:themeColor="text1"/>
                <w:sz w:val="24"/>
                <w:szCs w:val="24"/>
              </w:rPr>
            </w:pPr>
          </w:p>
          <w:p w14:paraId="34268B1E" w14:textId="77777777" w:rsidR="006735BF" w:rsidRPr="00C56257" w:rsidRDefault="006735BF" w:rsidP="008E33FD">
            <w:pPr>
              <w:pStyle w:val="TableParagraph"/>
              <w:ind w:right="25"/>
              <w:jc w:val="both"/>
              <w:rPr>
                <w:color w:val="000000" w:themeColor="text1"/>
                <w:sz w:val="24"/>
                <w:szCs w:val="24"/>
              </w:rPr>
            </w:pPr>
            <w:r w:rsidRPr="00C56257">
              <w:rPr>
                <w:color w:val="000000" w:themeColor="text1"/>
                <w:sz w:val="24"/>
                <w:szCs w:val="24"/>
              </w:rPr>
              <w:t>a</w:t>
            </w:r>
          </w:p>
        </w:tc>
        <w:tc>
          <w:tcPr>
            <w:tcW w:w="2179" w:type="dxa"/>
          </w:tcPr>
          <w:p w14:paraId="45B3C4EE" w14:textId="77777777" w:rsidR="006735BF" w:rsidRPr="00C56257" w:rsidRDefault="006735BF" w:rsidP="008E33FD">
            <w:pPr>
              <w:pStyle w:val="TableParagraph"/>
              <w:ind w:left="22" w:right="7"/>
              <w:jc w:val="both"/>
              <w:rPr>
                <w:color w:val="000000" w:themeColor="text1"/>
                <w:sz w:val="24"/>
                <w:szCs w:val="24"/>
              </w:rPr>
            </w:pPr>
            <w:r w:rsidRPr="00C56257">
              <w:rPr>
                <w:color w:val="000000" w:themeColor="text1"/>
                <w:sz w:val="24"/>
                <w:szCs w:val="24"/>
              </w:rPr>
              <w:t>Min 6 relevee/ transecte</w:t>
            </w:r>
            <w:r w:rsidRPr="00C56257">
              <w:rPr>
                <w:color w:val="000000" w:themeColor="text1"/>
                <w:spacing w:val="-52"/>
                <w:sz w:val="24"/>
                <w:szCs w:val="24"/>
              </w:rPr>
              <w:t xml:space="preserve"> </w:t>
            </w:r>
            <w:r w:rsidRPr="00C56257">
              <w:rPr>
                <w:color w:val="000000" w:themeColor="text1"/>
                <w:sz w:val="24"/>
                <w:szCs w:val="24"/>
              </w:rPr>
              <w:t>de monitorizare în</w:t>
            </w:r>
            <w:r w:rsidRPr="00C56257">
              <w:rPr>
                <w:color w:val="000000" w:themeColor="text1"/>
                <w:spacing w:val="1"/>
                <w:sz w:val="24"/>
                <w:szCs w:val="24"/>
              </w:rPr>
              <w:t xml:space="preserve"> </w:t>
            </w:r>
            <w:r w:rsidRPr="00C56257">
              <w:rPr>
                <w:color w:val="000000" w:themeColor="text1"/>
                <w:sz w:val="24"/>
                <w:szCs w:val="24"/>
              </w:rPr>
              <w:t>cadrul ariilor naturale</w:t>
            </w:r>
            <w:r w:rsidRPr="00C56257">
              <w:rPr>
                <w:color w:val="000000" w:themeColor="text1"/>
                <w:spacing w:val="1"/>
                <w:sz w:val="24"/>
                <w:szCs w:val="24"/>
              </w:rPr>
              <w:t xml:space="preserve"> </w:t>
            </w:r>
            <w:r w:rsidRPr="00C56257">
              <w:rPr>
                <w:color w:val="000000" w:themeColor="text1"/>
                <w:sz w:val="24"/>
                <w:szCs w:val="24"/>
              </w:rPr>
              <w:t>țintă şi în afara acestora</w:t>
            </w:r>
            <w:r w:rsidRPr="00C56257">
              <w:rPr>
                <w:color w:val="000000" w:themeColor="text1"/>
                <w:spacing w:val="-52"/>
                <w:sz w:val="24"/>
                <w:szCs w:val="24"/>
              </w:rPr>
              <w:t xml:space="preserve"> </w:t>
            </w:r>
            <w:r w:rsidRPr="00C56257">
              <w:rPr>
                <w:color w:val="000000" w:themeColor="text1"/>
                <w:sz w:val="24"/>
                <w:szCs w:val="24"/>
              </w:rPr>
              <w:t>în</w:t>
            </w:r>
            <w:r w:rsidRPr="00C56257">
              <w:rPr>
                <w:color w:val="000000" w:themeColor="text1"/>
                <w:spacing w:val="-1"/>
                <w:sz w:val="24"/>
                <w:szCs w:val="24"/>
              </w:rPr>
              <w:t xml:space="preserve"> </w:t>
            </w:r>
            <w:r w:rsidRPr="00C56257">
              <w:rPr>
                <w:color w:val="000000" w:themeColor="text1"/>
                <w:sz w:val="24"/>
                <w:szCs w:val="24"/>
              </w:rPr>
              <w:t>situația</w:t>
            </w:r>
            <w:r w:rsidRPr="00C56257">
              <w:rPr>
                <w:color w:val="000000" w:themeColor="text1"/>
                <w:spacing w:val="-1"/>
                <w:sz w:val="24"/>
                <w:szCs w:val="24"/>
              </w:rPr>
              <w:t xml:space="preserve"> </w:t>
            </w:r>
            <w:r w:rsidRPr="00C56257">
              <w:rPr>
                <w:color w:val="000000" w:themeColor="text1"/>
                <w:sz w:val="24"/>
                <w:szCs w:val="24"/>
              </w:rPr>
              <w:t>prezenței</w:t>
            </w:r>
          </w:p>
          <w:p w14:paraId="1C96BFCC" w14:textId="77777777" w:rsidR="006735BF" w:rsidRPr="00C56257" w:rsidRDefault="006735BF" w:rsidP="008E33FD">
            <w:pPr>
              <w:pStyle w:val="TableParagraph"/>
              <w:spacing w:line="238" w:lineRule="exact"/>
              <w:ind w:left="22"/>
              <w:jc w:val="both"/>
              <w:rPr>
                <w:color w:val="000000" w:themeColor="text1"/>
                <w:sz w:val="24"/>
                <w:szCs w:val="24"/>
              </w:rPr>
            </w:pPr>
            <w:r w:rsidRPr="00C56257">
              <w:rPr>
                <w:color w:val="000000" w:themeColor="text1"/>
                <w:sz w:val="24"/>
                <w:szCs w:val="24"/>
              </w:rPr>
              <w:t>habitatului.</w:t>
            </w:r>
          </w:p>
        </w:tc>
      </w:tr>
    </w:tbl>
    <w:p w14:paraId="24307766" w14:textId="77777777" w:rsidR="00C509C8" w:rsidRPr="00C56257" w:rsidRDefault="00C509C8" w:rsidP="008E33FD">
      <w:pPr>
        <w:spacing w:after="160" w:line="259" w:lineRule="auto"/>
        <w:jc w:val="both"/>
        <w:rPr>
          <w:bCs/>
          <w:color w:val="000000" w:themeColor="text1"/>
        </w:rPr>
      </w:pPr>
    </w:p>
    <w:p w14:paraId="72615161" w14:textId="77777777" w:rsidR="006735BF" w:rsidRPr="00C56257" w:rsidRDefault="006735BF" w:rsidP="008E33FD">
      <w:pPr>
        <w:spacing w:after="160" w:line="259" w:lineRule="auto"/>
        <w:jc w:val="both"/>
        <w:rPr>
          <w:bCs/>
          <w:color w:val="000000" w:themeColor="text1"/>
        </w:rPr>
        <w:sectPr w:rsidR="006735BF" w:rsidRPr="00C56257" w:rsidSect="00E1608A">
          <w:pgSz w:w="16840" w:h="11910" w:orient="landscape"/>
          <w:pgMar w:top="1066" w:right="1411" w:bottom="245" w:left="1598" w:header="0" w:footer="1412" w:gutter="0"/>
          <w:cols w:space="708"/>
          <w:docGrid w:linePitch="326"/>
        </w:sectPr>
      </w:pPr>
    </w:p>
    <w:p w14:paraId="1A7BE177" w14:textId="77777777" w:rsidR="00910E00" w:rsidRDefault="00910E00" w:rsidP="008E33FD">
      <w:pPr>
        <w:spacing w:before="92"/>
        <w:ind w:left="460" w:right="991"/>
        <w:jc w:val="both"/>
        <w:rPr>
          <w:b/>
          <w:bCs/>
          <w:color w:val="000000" w:themeColor="text1"/>
        </w:rPr>
      </w:pPr>
      <w:r>
        <w:rPr>
          <w:b/>
          <w:bCs/>
          <w:color w:val="000000" w:themeColor="text1"/>
        </w:rPr>
        <w:lastRenderedPageBreak/>
        <w:t>6.2.</w:t>
      </w:r>
      <w:r w:rsidR="00FC65BA" w:rsidRPr="00FC65BA">
        <w:rPr>
          <w:color w:val="365F91"/>
          <w:sz w:val="22"/>
          <w:szCs w:val="22"/>
        </w:rPr>
        <w:t xml:space="preserve"> </w:t>
      </w:r>
      <w:r w:rsidR="00FC65BA" w:rsidRPr="00FC65BA">
        <w:rPr>
          <w:b/>
          <w:bCs/>
          <w:color w:val="000000" w:themeColor="text1"/>
        </w:rPr>
        <w:t xml:space="preserve">Metodologiile de monitorizare a </w:t>
      </w:r>
      <w:r w:rsidR="00FC65BA">
        <w:rPr>
          <w:b/>
          <w:bCs/>
          <w:color w:val="000000" w:themeColor="text1"/>
        </w:rPr>
        <w:t xml:space="preserve">stării de conservare a </w:t>
      </w:r>
      <w:r w:rsidR="00FC65BA" w:rsidRPr="00FC65BA">
        <w:rPr>
          <w:b/>
          <w:bCs/>
          <w:color w:val="000000" w:themeColor="text1"/>
        </w:rPr>
        <w:t>habitatelor de pajiști</w:t>
      </w:r>
    </w:p>
    <w:p w14:paraId="1D854303" w14:textId="77777777" w:rsidR="0092497B" w:rsidRDefault="0092497B" w:rsidP="0092497B">
      <w:pPr>
        <w:pStyle w:val="BodyText"/>
        <w:spacing w:line="274" w:lineRule="exact"/>
        <w:ind w:left="0"/>
        <w:jc w:val="both"/>
        <w:rPr>
          <w:rFonts w:eastAsia="Times New Roman"/>
          <w:bCs/>
          <w:color w:val="000000" w:themeColor="text1"/>
          <w:sz w:val="24"/>
          <w:szCs w:val="24"/>
          <w:lang w:val="ro-RO"/>
        </w:rPr>
      </w:pPr>
    </w:p>
    <w:p w14:paraId="1C688715" w14:textId="77777777" w:rsidR="0092497B" w:rsidRPr="00C56257" w:rsidRDefault="0092497B" w:rsidP="0092497B">
      <w:pPr>
        <w:pStyle w:val="BodyText"/>
        <w:spacing w:line="274" w:lineRule="exact"/>
        <w:ind w:left="0"/>
        <w:jc w:val="both"/>
        <w:rPr>
          <w:rFonts w:eastAsia="Times New Roman"/>
          <w:b/>
          <w:color w:val="000000" w:themeColor="text1"/>
          <w:sz w:val="24"/>
          <w:szCs w:val="24"/>
          <w:lang w:val="ro-RO"/>
        </w:rPr>
      </w:pPr>
      <w:r w:rsidRPr="0017673F">
        <w:rPr>
          <w:rFonts w:eastAsia="Times New Roman"/>
          <w:bCs/>
          <w:color w:val="000000" w:themeColor="text1"/>
          <w:sz w:val="24"/>
          <w:szCs w:val="24"/>
          <w:lang w:val="ro-RO"/>
        </w:rPr>
        <w:t xml:space="preserve">Metodologia pentru colectarea datelor din teren </w:t>
      </w:r>
      <w:r>
        <w:rPr>
          <w:rFonts w:eastAsia="Times New Roman"/>
          <w:bCs/>
          <w:color w:val="000000" w:themeColor="text1"/>
          <w:sz w:val="24"/>
          <w:szCs w:val="24"/>
          <w:lang w:val="ro-RO"/>
        </w:rPr>
        <w:t xml:space="preserve"> și pentru evaluarea stăr</w:t>
      </w:r>
      <w:r w:rsidRPr="00E12F5B">
        <w:rPr>
          <w:rFonts w:eastAsia="Times New Roman"/>
          <w:bCs/>
          <w:color w:val="000000" w:themeColor="text1"/>
          <w:sz w:val="24"/>
          <w:szCs w:val="24"/>
          <w:lang w:val="ro-RO"/>
        </w:rPr>
        <w:t>ii de conservare</w:t>
      </w:r>
      <w:r>
        <w:rPr>
          <w:rFonts w:eastAsia="Times New Roman"/>
          <w:bCs/>
          <w:color w:val="000000" w:themeColor="text1"/>
          <w:sz w:val="24"/>
          <w:szCs w:val="24"/>
          <w:lang w:val="ro-RO"/>
        </w:rPr>
        <w:t xml:space="preserve"> </w:t>
      </w:r>
      <w:r w:rsidRPr="0017673F">
        <w:rPr>
          <w:rFonts w:eastAsia="Times New Roman"/>
          <w:bCs/>
          <w:color w:val="000000" w:themeColor="text1"/>
          <w:sz w:val="24"/>
          <w:szCs w:val="24"/>
          <w:lang w:val="ro-RO"/>
        </w:rPr>
        <w:t>sunt descrise la pct 2.2  pentru  grupele de habitate: sărături, dune continentale, apă dulce, pajiști, mlaștini și turbării, grohotișuri și stâncării</w:t>
      </w:r>
      <w:r w:rsidRPr="0017673F">
        <w:rPr>
          <w:rFonts w:eastAsia="Times New Roman"/>
          <w:b/>
          <w:color w:val="000000" w:themeColor="text1"/>
          <w:sz w:val="24"/>
          <w:szCs w:val="24"/>
          <w:lang w:val="ro-RO"/>
        </w:rPr>
        <w:t>.</w:t>
      </w:r>
    </w:p>
    <w:p w14:paraId="711304EC" w14:textId="77777777" w:rsidR="0092497B" w:rsidRPr="00814C24" w:rsidRDefault="0092497B" w:rsidP="00182DE3">
      <w:pPr>
        <w:spacing w:before="92"/>
        <w:ind w:right="519"/>
        <w:jc w:val="both"/>
        <w:rPr>
          <w:color w:val="000000" w:themeColor="text1"/>
        </w:rPr>
      </w:pPr>
    </w:p>
    <w:p w14:paraId="01B0B8D7" w14:textId="77777777" w:rsidR="00487855" w:rsidRPr="00C56257" w:rsidRDefault="00D54D46" w:rsidP="008E33FD">
      <w:pPr>
        <w:spacing w:before="92"/>
        <w:ind w:left="460" w:right="991"/>
        <w:jc w:val="both"/>
        <w:rPr>
          <w:b/>
          <w:color w:val="000000" w:themeColor="text1"/>
        </w:rPr>
      </w:pPr>
      <w:r>
        <w:rPr>
          <w:b/>
          <w:bCs/>
          <w:color w:val="000000" w:themeColor="text1"/>
        </w:rPr>
        <w:t>6.3</w:t>
      </w:r>
      <w:r w:rsidR="00C509C8" w:rsidRPr="00C56257">
        <w:rPr>
          <w:b/>
          <w:bCs/>
          <w:color w:val="000000" w:themeColor="text1"/>
        </w:rPr>
        <w:t xml:space="preserve">. Lista cu </w:t>
      </w:r>
      <w:r w:rsidR="00DF0CC0" w:rsidRPr="00C56257">
        <w:rPr>
          <w:b/>
          <w:bCs/>
          <w:color w:val="000000" w:themeColor="text1"/>
        </w:rPr>
        <w:t>siturile de importanță c</w:t>
      </w:r>
      <w:r w:rsidR="00C509C8" w:rsidRPr="00C56257">
        <w:rPr>
          <w:b/>
          <w:bCs/>
          <w:color w:val="000000" w:themeColor="text1"/>
        </w:rPr>
        <w:t>omunitară pentru habitatele de pajiști</w:t>
      </w:r>
      <w:r w:rsidR="00C263E5" w:rsidRPr="00C56257">
        <w:rPr>
          <w:b/>
          <w:bCs/>
          <w:color w:val="000000" w:themeColor="text1"/>
        </w:rPr>
        <w:t xml:space="preserve">  </w:t>
      </w:r>
    </w:p>
    <w:p w14:paraId="73AFC12E" w14:textId="77777777" w:rsidR="00C263E5" w:rsidRPr="00C56257" w:rsidRDefault="00C263E5" w:rsidP="008E33FD">
      <w:pPr>
        <w:pStyle w:val="BodyText"/>
        <w:spacing w:before="5"/>
        <w:jc w:val="both"/>
        <w:rPr>
          <w:color w:val="000000" w:themeColor="text1"/>
          <w:sz w:val="24"/>
          <w:szCs w:val="24"/>
          <w:lang w:val="fr-FR"/>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10"/>
        <w:gridCol w:w="2410"/>
        <w:gridCol w:w="3885"/>
      </w:tblGrid>
      <w:tr w:rsidR="00C263E5" w:rsidRPr="007B3C6A" w14:paraId="363A4A81" w14:textId="77777777" w:rsidTr="007B3C6A">
        <w:trPr>
          <w:trHeight w:val="553"/>
        </w:trPr>
        <w:tc>
          <w:tcPr>
            <w:tcW w:w="3410" w:type="dxa"/>
          </w:tcPr>
          <w:p w14:paraId="389300F1" w14:textId="77777777" w:rsidR="00C263E5" w:rsidRPr="007B3C6A" w:rsidRDefault="00C263E5" w:rsidP="007B3C6A">
            <w:pPr>
              <w:pStyle w:val="TableParagraph"/>
              <w:ind w:right="2006"/>
              <w:rPr>
                <w:b/>
                <w:color w:val="000000" w:themeColor="text1"/>
                <w:sz w:val="24"/>
                <w:szCs w:val="24"/>
              </w:rPr>
            </w:pPr>
            <w:r w:rsidRPr="007B3C6A">
              <w:rPr>
                <w:b/>
                <w:color w:val="000000" w:themeColor="text1"/>
                <w:sz w:val="24"/>
                <w:szCs w:val="24"/>
              </w:rPr>
              <w:t>Tip</w:t>
            </w:r>
            <w:r w:rsidRPr="007B3C6A">
              <w:rPr>
                <w:b/>
                <w:color w:val="000000" w:themeColor="text1"/>
                <w:spacing w:val="-1"/>
                <w:sz w:val="24"/>
                <w:szCs w:val="24"/>
              </w:rPr>
              <w:t xml:space="preserve"> </w:t>
            </w:r>
            <w:r w:rsidRPr="007B3C6A">
              <w:rPr>
                <w:b/>
                <w:color w:val="000000" w:themeColor="text1"/>
                <w:sz w:val="24"/>
                <w:szCs w:val="24"/>
              </w:rPr>
              <w:t>habitat</w:t>
            </w:r>
            <w:r w:rsidRPr="007B3C6A">
              <w:rPr>
                <w:b/>
                <w:color w:val="000000" w:themeColor="text1"/>
                <w:spacing w:val="-2"/>
                <w:sz w:val="24"/>
                <w:szCs w:val="24"/>
              </w:rPr>
              <w:t xml:space="preserve"> </w:t>
            </w:r>
            <w:r w:rsidRPr="007B3C6A">
              <w:rPr>
                <w:b/>
                <w:color w:val="000000" w:themeColor="text1"/>
                <w:sz w:val="24"/>
                <w:szCs w:val="24"/>
              </w:rPr>
              <w:t>Natura</w:t>
            </w:r>
            <w:r w:rsidRPr="007B3C6A">
              <w:rPr>
                <w:b/>
                <w:color w:val="000000" w:themeColor="text1"/>
                <w:spacing w:val="-2"/>
                <w:sz w:val="24"/>
                <w:szCs w:val="24"/>
              </w:rPr>
              <w:t xml:space="preserve"> </w:t>
            </w:r>
            <w:r w:rsidR="00487855" w:rsidRPr="007B3C6A">
              <w:rPr>
                <w:b/>
                <w:color w:val="000000" w:themeColor="text1"/>
                <w:spacing w:val="-2"/>
                <w:sz w:val="24"/>
                <w:szCs w:val="24"/>
              </w:rPr>
              <w:t>2</w:t>
            </w:r>
            <w:r w:rsidRPr="007B3C6A">
              <w:rPr>
                <w:b/>
                <w:color w:val="000000" w:themeColor="text1"/>
                <w:sz w:val="24"/>
                <w:szCs w:val="24"/>
              </w:rPr>
              <w:t>000</w:t>
            </w:r>
          </w:p>
        </w:tc>
        <w:tc>
          <w:tcPr>
            <w:tcW w:w="2410" w:type="dxa"/>
          </w:tcPr>
          <w:p w14:paraId="7A97F870" w14:textId="77777777" w:rsidR="007B3C6A" w:rsidRDefault="007B3C6A" w:rsidP="007B3C6A">
            <w:pPr>
              <w:pStyle w:val="TableParagraph"/>
              <w:ind w:left="468" w:right="143" w:hanging="296"/>
              <w:rPr>
                <w:b/>
                <w:color w:val="000000" w:themeColor="text1"/>
                <w:sz w:val="24"/>
                <w:szCs w:val="24"/>
              </w:rPr>
            </w:pPr>
          </w:p>
          <w:p w14:paraId="3322C731" w14:textId="77777777" w:rsidR="00C263E5" w:rsidRPr="007B3C6A" w:rsidRDefault="00487855" w:rsidP="007B3C6A">
            <w:pPr>
              <w:pStyle w:val="TableParagraph"/>
              <w:ind w:left="468" w:right="143" w:hanging="296"/>
              <w:rPr>
                <w:b/>
                <w:color w:val="000000" w:themeColor="text1"/>
                <w:sz w:val="24"/>
                <w:szCs w:val="24"/>
              </w:rPr>
            </w:pPr>
            <w:r w:rsidRPr="007B3C6A">
              <w:rPr>
                <w:b/>
                <w:color w:val="000000" w:themeColor="text1"/>
                <w:sz w:val="24"/>
                <w:szCs w:val="24"/>
              </w:rPr>
              <w:t xml:space="preserve">Cod </w:t>
            </w:r>
            <w:r w:rsidR="00C263E5" w:rsidRPr="007B3C6A">
              <w:rPr>
                <w:b/>
                <w:color w:val="000000" w:themeColor="text1"/>
                <w:sz w:val="24"/>
                <w:szCs w:val="24"/>
              </w:rPr>
              <w:t>Sit Natura</w:t>
            </w:r>
            <w:r w:rsidR="00C263E5" w:rsidRPr="007B3C6A">
              <w:rPr>
                <w:b/>
                <w:color w:val="000000" w:themeColor="text1"/>
                <w:spacing w:val="-57"/>
                <w:sz w:val="24"/>
                <w:szCs w:val="24"/>
              </w:rPr>
              <w:t xml:space="preserve"> </w:t>
            </w:r>
            <w:r w:rsidR="00C263E5" w:rsidRPr="007B3C6A">
              <w:rPr>
                <w:b/>
                <w:color w:val="000000" w:themeColor="text1"/>
                <w:sz w:val="24"/>
                <w:szCs w:val="24"/>
              </w:rPr>
              <w:t>2000</w:t>
            </w:r>
          </w:p>
        </w:tc>
        <w:tc>
          <w:tcPr>
            <w:tcW w:w="3885" w:type="dxa"/>
          </w:tcPr>
          <w:p w14:paraId="584068DC" w14:textId="77777777" w:rsidR="007B3C6A" w:rsidRDefault="007B3C6A" w:rsidP="007B3C6A">
            <w:pPr>
              <w:pStyle w:val="TableParagraph"/>
              <w:ind w:left="91" w:right="83"/>
              <w:rPr>
                <w:b/>
                <w:color w:val="000000" w:themeColor="text1"/>
                <w:sz w:val="24"/>
                <w:szCs w:val="24"/>
              </w:rPr>
            </w:pPr>
          </w:p>
          <w:p w14:paraId="3A039365" w14:textId="77777777" w:rsidR="00C263E5" w:rsidRPr="007B3C6A" w:rsidRDefault="00487855" w:rsidP="007B3C6A">
            <w:pPr>
              <w:pStyle w:val="TableParagraph"/>
              <w:ind w:left="91" w:right="83"/>
              <w:rPr>
                <w:b/>
                <w:color w:val="000000" w:themeColor="text1"/>
                <w:sz w:val="24"/>
                <w:szCs w:val="24"/>
              </w:rPr>
            </w:pPr>
            <w:r w:rsidRPr="007B3C6A">
              <w:rPr>
                <w:b/>
                <w:color w:val="000000" w:themeColor="text1"/>
                <w:sz w:val="24"/>
                <w:szCs w:val="24"/>
              </w:rPr>
              <w:t>Nume Sit Natura</w:t>
            </w:r>
            <w:r w:rsidRPr="007B3C6A">
              <w:rPr>
                <w:b/>
                <w:color w:val="000000" w:themeColor="text1"/>
                <w:spacing w:val="-57"/>
                <w:sz w:val="24"/>
                <w:szCs w:val="24"/>
              </w:rPr>
              <w:t xml:space="preserve"> </w:t>
            </w:r>
            <w:r w:rsidRPr="007B3C6A">
              <w:rPr>
                <w:b/>
                <w:color w:val="000000" w:themeColor="text1"/>
                <w:sz w:val="24"/>
                <w:szCs w:val="24"/>
              </w:rPr>
              <w:t>2000</w:t>
            </w:r>
          </w:p>
        </w:tc>
      </w:tr>
      <w:tr w:rsidR="00487855" w:rsidRPr="00C56257" w14:paraId="4A81D5EE" w14:textId="77777777" w:rsidTr="00487855">
        <w:trPr>
          <w:trHeight w:val="275"/>
        </w:trPr>
        <w:tc>
          <w:tcPr>
            <w:tcW w:w="3410" w:type="dxa"/>
            <w:vMerge w:val="restart"/>
          </w:tcPr>
          <w:p w14:paraId="75491545" w14:textId="77777777" w:rsidR="00487855" w:rsidRPr="00C56257" w:rsidRDefault="00487855" w:rsidP="00487855">
            <w:pPr>
              <w:pStyle w:val="TableParagraph"/>
              <w:jc w:val="both"/>
              <w:rPr>
                <w:color w:val="000000" w:themeColor="text1"/>
                <w:sz w:val="24"/>
                <w:szCs w:val="24"/>
              </w:rPr>
            </w:pPr>
          </w:p>
          <w:p w14:paraId="0FC1F32D" w14:textId="77777777" w:rsidR="00487855" w:rsidRPr="00C56257" w:rsidRDefault="00487855" w:rsidP="00487855">
            <w:pPr>
              <w:pStyle w:val="TableParagraph"/>
              <w:jc w:val="both"/>
              <w:rPr>
                <w:color w:val="000000" w:themeColor="text1"/>
                <w:sz w:val="24"/>
                <w:szCs w:val="24"/>
              </w:rPr>
            </w:pPr>
          </w:p>
          <w:p w14:paraId="1E9AC99C" w14:textId="77777777" w:rsidR="00487855" w:rsidRPr="00C56257" w:rsidRDefault="00487855" w:rsidP="00487855">
            <w:pPr>
              <w:pStyle w:val="TableParagraph"/>
              <w:jc w:val="both"/>
              <w:rPr>
                <w:color w:val="000000" w:themeColor="text1"/>
                <w:sz w:val="24"/>
                <w:szCs w:val="24"/>
              </w:rPr>
            </w:pPr>
          </w:p>
          <w:p w14:paraId="33352B5B" w14:textId="77777777" w:rsidR="00487855" w:rsidRPr="00C56257" w:rsidRDefault="00487855" w:rsidP="00487855">
            <w:pPr>
              <w:pStyle w:val="TableParagraph"/>
              <w:jc w:val="both"/>
              <w:rPr>
                <w:color w:val="000000" w:themeColor="text1"/>
                <w:sz w:val="24"/>
                <w:szCs w:val="24"/>
              </w:rPr>
            </w:pPr>
          </w:p>
          <w:p w14:paraId="19CD190E" w14:textId="77777777" w:rsidR="00487855" w:rsidRPr="00C56257" w:rsidRDefault="00487855" w:rsidP="00487855">
            <w:pPr>
              <w:pStyle w:val="TableParagraph"/>
              <w:jc w:val="both"/>
              <w:rPr>
                <w:color w:val="000000" w:themeColor="text1"/>
                <w:sz w:val="24"/>
                <w:szCs w:val="24"/>
              </w:rPr>
            </w:pPr>
          </w:p>
          <w:p w14:paraId="6C46DD23" w14:textId="77777777" w:rsidR="00487855" w:rsidRPr="00C56257" w:rsidRDefault="00487855" w:rsidP="00487855">
            <w:pPr>
              <w:pStyle w:val="TableParagraph"/>
              <w:jc w:val="both"/>
              <w:rPr>
                <w:color w:val="000000" w:themeColor="text1"/>
                <w:sz w:val="24"/>
                <w:szCs w:val="24"/>
              </w:rPr>
            </w:pPr>
          </w:p>
          <w:p w14:paraId="759E8A9D" w14:textId="77777777" w:rsidR="00487855" w:rsidRPr="00C56257" w:rsidRDefault="00487855" w:rsidP="00487855">
            <w:pPr>
              <w:pStyle w:val="TableParagraph"/>
              <w:spacing w:before="205"/>
              <w:ind w:left="108"/>
              <w:jc w:val="both"/>
              <w:rPr>
                <w:color w:val="000000" w:themeColor="text1"/>
                <w:sz w:val="24"/>
                <w:szCs w:val="24"/>
              </w:rPr>
            </w:pPr>
            <w:r w:rsidRPr="00C56257">
              <w:rPr>
                <w:color w:val="000000" w:themeColor="text1"/>
                <w:sz w:val="24"/>
                <w:szCs w:val="24"/>
              </w:rPr>
              <w:t>6110</w:t>
            </w:r>
            <w:r w:rsidRPr="00C56257">
              <w:rPr>
                <w:color w:val="000000" w:themeColor="text1"/>
                <w:spacing w:val="-2"/>
                <w:sz w:val="24"/>
                <w:szCs w:val="24"/>
              </w:rPr>
              <w:t xml:space="preserve"> </w:t>
            </w:r>
            <w:r w:rsidRPr="00C56257">
              <w:rPr>
                <w:color w:val="000000" w:themeColor="text1"/>
                <w:sz w:val="24"/>
                <w:szCs w:val="24"/>
              </w:rPr>
              <w:t>*</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Comunităţi</w:t>
            </w:r>
            <w:r w:rsidRPr="00C56257">
              <w:rPr>
                <w:color w:val="000000" w:themeColor="text1"/>
                <w:spacing w:val="-1"/>
                <w:sz w:val="24"/>
                <w:szCs w:val="24"/>
              </w:rPr>
              <w:t xml:space="preserve"> </w:t>
            </w:r>
            <w:r w:rsidRPr="00C56257">
              <w:rPr>
                <w:color w:val="000000" w:themeColor="text1"/>
                <w:sz w:val="24"/>
                <w:szCs w:val="24"/>
              </w:rPr>
              <w:t>rupicole</w:t>
            </w:r>
            <w:r w:rsidRPr="00C56257">
              <w:rPr>
                <w:color w:val="000000" w:themeColor="text1"/>
                <w:spacing w:val="-1"/>
                <w:sz w:val="24"/>
                <w:szCs w:val="24"/>
              </w:rPr>
              <w:t xml:space="preserve"> </w:t>
            </w:r>
            <w:r w:rsidRPr="00C56257">
              <w:rPr>
                <w:color w:val="000000" w:themeColor="text1"/>
                <w:sz w:val="24"/>
                <w:szCs w:val="24"/>
              </w:rPr>
              <w:t>calcifile</w:t>
            </w:r>
            <w:r w:rsidRPr="00C56257">
              <w:rPr>
                <w:color w:val="000000" w:themeColor="text1"/>
                <w:spacing w:val="-1"/>
                <w:sz w:val="24"/>
                <w:szCs w:val="24"/>
              </w:rPr>
              <w:t xml:space="preserve"> </w:t>
            </w:r>
            <w:r w:rsidRPr="00C56257">
              <w:rPr>
                <w:color w:val="000000" w:themeColor="text1"/>
                <w:sz w:val="24"/>
                <w:szCs w:val="24"/>
              </w:rPr>
              <w:t>sau</w:t>
            </w:r>
            <w:r w:rsidRPr="00C56257">
              <w:rPr>
                <w:color w:val="000000" w:themeColor="text1"/>
                <w:spacing w:val="-1"/>
                <w:sz w:val="24"/>
                <w:szCs w:val="24"/>
              </w:rPr>
              <w:t xml:space="preserve"> </w:t>
            </w:r>
            <w:r w:rsidRPr="00C56257">
              <w:rPr>
                <w:color w:val="000000" w:themeColor="text1"/>
                <w:sz w:val="24"/>
                <w:szCs w:val="24"/>
              </w:rPr>
              <w:t>pajişti</w:t>
            </w:r>
            <w:r w:rsidRPr="00C56257">
              <w:rPr>
                <w:color w:val="000000" w:themeColor="text1"/>
                <w:spacing w:val="-1"/>
                <w:sz w:val="24"/>
                <w:szCs w:val="24"/>
              </w:rPr>
              <w:t xml:space="preserve"> </w:t>
            </w:r>
            <w:r w:rsidRPr="00C56257">
              <w:rPr>
                <w:color w:val="000000" w:themeColor="text1"/>
                <w:sz w:val="24"/>
                <w:szCs w:val="24"/>
              </w:rPr>
              <w:t>bazifile</w:t>
            </w:r>
            <w:r w:rsidRPr="00C56257">
              <w:rPr>
                <w:color w:val="000000" w:themeColor="text1"/>
                <w:spacing w:val="-1"/>
                <w:sz w:val="24"/>
                <w:szCs w:val="24"/>
              </w:rPr>
              <w:t xml:space="preserve"> </w:t>
            </w:r>
            <w:r w:rsidRPr="00C56257">
              <w:rPr>
                <w:color w:val="000000" w:themeColor="text1"/>
                <w:sz w:val="24"/>
                <w:szCs w:val="24"/>
              </w:rPr>
              <w:t>din</w:t>
            </w:r>
          </w:p>
          <w:p w14:paraId="5E388F76" w14:textId="77777777" w:rsidR="00487855" w:rsidRPr="00C56257" w:rsidRDefault="00487855" w:rsidP="00487855">
            <w:pPr>
              <w:pStyle w:val="TableParagraph"/>
              <w:ind w:left="108"/>
              <w:jc w:val="both"/>
              <w:rPr>
                <w:i/>
                <w:color w:val="000000" w:themeColor="text1"/>
                <w:sz w:val="24"/>
                <w:szCs w:val="24"/>
              </w:rPr>
            </w:pPr>
            <w:r w:rsidRPr="00C56257">
              <w:rPr>
                <w:i/>
                <w:color w:val="000000" w:themeColor="text1"/>
                <w:sz w:val="24"/>
                <w:szCs w:val="24"/>
              </w:rPr>
              <w:t>Alysso-Sedion</w:t>
            </w:r>
            <w:r w:rsidRPr="00C56257">
              <w:rPr>
                <w:i/>
                <w:color w:val="000000" w:themeColor="text1"/>
                <w:spacing w:val="-2"/>
                <w:sz w:val="24"/>
                <w:szCs w:val="24"/>
              </w:rPr>
              <w:t xml:space="preserve"> </w:t>
            </w:r>
            <w:r w:rsidRPr="00C56257">
              <w:rPr>
                <w:i/>
                <w:color w:val="000000" w:themeColor="text1"/>
                <w:sz w:val="24"/>
                <w:szCs w:val="24"/>
              </w:rPr>
              <w:t>albi</w:t>
            </w:r>
          </w:p>
        </w:tc>
        <w:tc>
          <w:tcPr>
            <w:tcW w:w="2410" w:type="dxa"/>
            <w:vAlign w:val="bottom"/>
          </w:tcPr>
          <w:p w14:paraId="3AE48765" w14:textId="77777777" w:rsidR="00487855" w:rsidRPr="007B3C6A" w:rsidRDefault="00487855" w:rsidP="00487855">
            <w:pPr>
              <w:pStyle w:val="TableParagraph"/>
              <w:ind w:left="93" w:right="87"/>
              <w:jc w:val="both"/>
              <w:rPr>
                <w:color w:val="000000" w:themeColor="text1"/>
              </w:rPr>
            </w:pPr>
            <w:r w:rsidRPr="007B3C6A">
              <w:rPr>
                <w:color w:val="000000"/>
              </w:rPr>
              <w:t>ROSCI0002</w:t>
            </w:r>
          </w:p>
        </w:tc>
        <w:tc>
          <w:tcPr>
            <w:tcW w:w="3885" w:type="dxa"/>
            <w:vAlign w:val="bottom"/>
          </w:tcPr>
          <w:p w14:paraId="6C2B0C40" w14:textId="77777777" w:rsidR="00487855" w:rsidRPr="007B3C6A" w:rsidRDefault="00487855" w:rsidP="00487855">
            <w:pPr>
              <w:pStyle w:val="TableParagraph"/>
              <w:ind w:left="91" w:right="84"/>
              <w:jc w:val="both"/>
              <w:rPr>
                <w:color w:val="000000" w:themeColor="text1"/>
              </w:rPr>
            </w:pPr>
            <w:r w:rsidRPr="007B3C6A">
              <w:rPr>
                <w:color w:val="000000"/>
              </w:rPr>
              <w:t>Apuseni</w:t>
            </w:r>
          </w:p>
        </w:tc>
      </w:tr>
      <w:tr w:rsidR="00487855" w:rsidRPr="00C56257" w14:paraId="15A0954C" w14:textId="77777777" w:rsidTr="00487855">
        <w:trPr>
          <w:trHeight w:val="275"/>
        </w:trPr>
        <w:tc>
          <w:tcPr>
            <w:tcW w:w="3410" w:type="dxa"/>
            <w:vMerge/>
            <w:tcBorders>
              <w:top w:val="nil"/>
            </w:tcBorders>
          </w:tcPr>
          <w:p w14:paraId="71F8EDD7" w14:textId="77777777" w:rsidR="00487855" w:rsidRPr="00C56257" w:rsidRDefault="00487855" w:rsidP="00487855">
            <w:pPr>
              <w:jc w:val="both"/>
              <w:rPr>
                <w:color w:val="000000" w:themeColor="text1"/>
              </w:rPr>
            </w:pPr>
          </w:p>
        </w:tc>
        <w:tc>
          <w:tcPr>
            <w:tcW w:w="2410" w:type="dxa"/>
            <w:vAlign w:val="bottom"/>
          </w:tcPr>
          <w:p w14:paraId="75C93DE6" w14:textId="77777777" w:rsidR="00487855" w:rsidRPr="007B3C6A" w:rsidRDefault="00487855" w:rsidP="00487855">
            <w:pPr>
              <w:pStyle w:val="TableParagraph"/>
              <w:ind w:left="93" w:right="87"/>
              <w:jc w:val="both"/>
              <w:rPr>
                <w:color w:val="000000" w:themeColor="text1"/>
              </w:rPr>
            </w:pPr>
            <w:r w:rsidRPr="007B3C6A">
              <w:rPr>
                <w:color w:val="000000"/>
              </w:rPr>
              <w:t>ROSCI0013</w:t>
            </w:r>
          </w:p>
        </w:tc>
        <w:tc>
          <w:tcPr>
            <w:tcW w:w="3885" w:type="dxa"/>
            <w:vAlign w:val="bottom"/>
          </w:tcPr>
          <w:p w14:paraId="445896DE" w14:textId="77777777" w:rsidR="00487855" w:rsidRPr="007B3C6A" w:rsidRDefault="00487855" w:rsidP="00487855">
            <w:pPr>
              <w:pStyle w:val="TableParagraph"/>
              <w:ind w:left="91" w:right="85"/>
              <w:jc w:val="both"/>
              <w:rPr>
                <w:color w:val="000000" w:themeColor="text1"/>
              </w:rPr>
            </w:pPr>
            <w:r w:rsidRPr="007B3C6A">
              <w:rPr>
                <w:color w:val="000000"/>
              </w:rPr>
              <w:t>Bucegi</w:t>
            </w:r>
          </w:p>
        </w:tc>
      </w:tr>
      <w:tr w:rsidR="00487855" w:rsidRPr="00C56257" w14:paraId="71399853" w14:textId="77777777" w:rsidTr="00487855">
        <w:trPr>
          <w:trHeight w:val="275"/>
        </w:trPr>
        <w:tc>
          <w:tcPr>
            <w:tcW w:w="3410" w:type="dxa"/>
            <w:vMerge/>
            <w:tcBorders>
              <w:top w:val="nil"/>
            </w:tcBorders>
          </w:tcPr>
          <w:p w14:paraId="4C8C457F" w14:textId="77777777" w:rsidR="00487855" w:rsidRPr="00C56257" w:rsidRDefault="00487855" w:rsidP="00487855">
            <w:pPr>
              <w:jc w:val="both"/>
              <w:rPr>
                <w:color w:val="000000" w:themeColor="text1"/>
              </w:rPr>
            </w:pPr>
          </w:p>
        </w:tc>
        <w:tc>
          <w:tcPr>
            <w:tcW w:w="2410" w:type="dxa"/>
            <w:vAlign w:val="bottom"/>
          </w:tcPr>
          <w:p w14:paraId="3C52FE84" w14:textId="77777777" w:rsidR="00487855" w:rsidRPr="007B3C6A" w:rsidRDefault="00487855" w:rsidP="00487855">
            <w:pPr>
              <w:pStyle w:val="TableParagraph"/>
              <w:ind w:left="93" w:right="87"/>
              <w:jc w:val="both"/>
              <w:rPr>
                <w:color w:val="000000" w:themeColor="text1"/>
              </w:rPr>
            </w:pPr>
            <w:r w:rsidRPr="007B3C6A">
              <w:rPr>
                <w:color w:val="000000"/>
              </w:rPr>
              <w:t>ROSCI0024</w:t>
            </w:r>
          </w:p>
        </w:tc>
        <w:tc>
          <w:tcPr>
            <w:tcW w:w="3885" w:type="dxa"/>
            <w:vAlign w:val="bottom"/>
          </w:tcPr>
          <w:p w14:paraId="56FADE93" w14:textId="77777777" w:rsidR="00487855" w:rsidRPr="007B3C6A" w:rsidRDefault="00487855" w:rsidP="00487855">
            <w:pPr>
              <w:pStyle w:val="TableParagraph"/>
              <w:ind w:left="91" w:right="82"/>
              <w:jc w:val="both"/>
              <w:rPr>
                <w:color w:val="000000" w:themeColor="text1"/>
              </w:rPr>
            </w:pPr>
            <w:r w:rsidRPr="007B3C6A">
              <w:rPr>
                <w:color w:val="000000"/>
              </w:rPr>
              <w:t>Ceahlău</w:t>
            </w:r>
          </w:p>
        </w:tc>
      </w:tr>
      <w:tr w:rsidR="00487855" w:rsidRPr="00C56257" w14:paraId="50424E3A" w14:textId="77777777" w:rsidTr="00487855">
        <w:trPr>
          <w:trHeight w:val="275"/>
        </w:trPr>
        <w:tc>
          <w:tcPr>
            <w:tcW w:w="3410" w:type="dxa"/>
            <w:vMerge/>
            <w:tcBorders>
              <w:top w:val="nil"/>
            </w:tcBorders>
          </w:tcPr>
          <w:p w14:paraId="499589B5" w14:textId="77777777" w:rsidR="00487855" w:rsidRPr="00C56257" w:rsidRDefault="00487855" w:rsidP="00487855">
            <w:pPr>
              <w:jc w:val="both"/>
              <w:rPr>
                <w:color w:val="000000" w:themeColor="text1"/>
              </w:rPr>
            </w:pPr>
          </w:p>
        </w:tc>
        <w:tc>
          <w:tcPr>
            <w:tcW w:w="2410" w:type="dxa"/>
            <w:vAlign w:val="bottom"/>
          </w:tcPr>
          <w:p w14:paraId="08D0D1C7" w14:textId="77777777" w:rsidR="00487855" w:rsidRPr="007B3C6A" w:rsidRDefault="00487855" w:rsidP="00487855">
            <w:pPr>
              <w:pStyle w:val="TableParagraph"/>
              <w:ind w:left="93" w:right="87"/>
              <w:jc w:val="both"/>
              <w:rPr>
                <w:color w:val="000000" w:themeColor="text1"/>
              </w:rPr>
            </w:pPr>
            <w:r w:rsidRPr="007B3C6A">
              <w:rPr>
                <w:color w:val="000000"/>
              </w:rPr>
              <w:t>ROSCI0031</w:t>
            </w:r>
          </w:p>
        </w:tc>
        <w:tc>
          <w:tcPr>
            <w:tcW w:w="3885" w:type="dxa"/>
            <w:vAlign w:val="bottom"/>
          </w:tcPr>
          <w:p w14:paraId="4E0C7DC8" w14:textId="77777777" w:rsidR="00487855" w:rsidRPr="007B3C6A" w:rsidRDefault="00487855" w:rsidP="00487855">
            <w:pPr>
              <w:pStyle w:val="TableParagraph"/>
              <w:ind w:left="91" w:right="80"/>
              <w:jc w:val="both"/>
              <w:rPr>
                <w:color w:val="000000" w:themeColor="text1"/>
              </w:rPr>
            </w:pPr>
            <w:r w:rsidRPr="007B3C6A">
              <w:rPr>
                <w:color w:val="000000"/>
              </w:rPr>
              <w:t>Cheile Nerei - Beușnița</w:t>
            </w:r>
          </w:p>
        </w:tc>
      </w:tr>
      <w:tr w:rsidR="00487855" w:rsidRPr="00C56257" w14:paraId="5CC94CA1" w14:textId="77777777" w:rsidTr="00487855">
        <w:trPr>
          <w:trHeight w:val="276"/>
        </w:trPr>
        <w:tc>
          <w:tcPr>
            <w:tcW w:w="3410" w:type="dxa"/>
            <w:vMerge/>
            <w:tcBorders>
              <w:top w:val="nil"/>
            </w:tcBorders>
          </w:tcPr>
          <w:p w14:paraId="1ABFE87B" w14:textId="77777777" w:rsidR="00487855" w:rsidRPr="00C56257" w:rsidRDefault="00487855" w:rsidP="00487855">
            <w:pPr>
              <w:jc w:val="both"/>
              <w:rPr>
                <w:color w:val="000000" w:themeColor="text1"/>
              </w:rPr>
            </w:pPr>
          </w:p>
        </w:tc>
        <w:tc>
          <w:tcPr>
            <w:tcW w:w="2410" w:type="dxa"/>
            <w:vAlign w:val="bottom"/>
          </w:tcPr>
          <w:p w14:paraId="4F466F41" w14:textId="77777777" w:rsidR="00487855" w:rsidRPr="007B3C6A" w:rsidRDefault="00487855" w:rsidP="001278CC">
            <w:pPr>
              <w:pStyle w:val="TableParagraph"/>
              <w:ind w:left="93" w:right="87"/>
              <w:jc w:val="both"/>
              <w:rPr>
                <w:color w:val="000000" w:themeColor="text1"/>
              </w:rPr>
            </w:pPr>
            <w:r w:rsidRPr="007B3C6A">
              <w:rPr>
                <w:color w:val="000000"/>
              </w:rPr>
              <w:t>ROS</w:t>
            </w:r>
            <w:r w:rsidR="001278CC">
              <w:rPr>
                <w:color w:val="000000"/>
              </w:rPr>
              <w:t>AC</w:t>
            </w:r>
            <w:r w:rsidRPr="007B3C6A">
              <w:rPr>
                <w:color w:val="000000"/>
              </w:rPr>
              <w:t>0032</w:t>
            </w:r>
          </w:p>
        </w:tc>
        <w:tc>
          <w:tcPr>
            <w:tcW w:w="3885" w:type="dxa"/>
            <w:vAlign w:val="bottom"/>
          </w:tcPr>
          <w:p w14:paraId="5C26EFC5" w14:textId="77777777" w:rsidR="00487855" w:rsidRPr="007B3C6A" w:rsidRDefault="00487855" w:rsidP="00487855">
            <w:pPr>
              <w:pStyle w:val="TableParagraph"/>
              <w:ind w:left="91" w:right="84"/>
              <w:jc w:val="both"/>
              <w:rPr>
                <w:color w:val="000000" w:themeColor="text1"/>
              </w:rPr>
            </w:pPr>
            <w:r w:rsidRPr="007B3C6A">
              <w:rPr>
                <w:color w:val="000000"/>
              </w:rPr>
              <w:t>Cheile Rudăriei</w:t>
            </w:r>
          </w:p>
        </w:tc>
      </w:tr>
      <w:tr w:rsidR="00487855" w:rsidRPr="00C56257" w14:paraId="24C4C0C1" w14:textId="77777777" w:rsidTr="00487855">
        <w:trPr>
          <w:trHeight w:val="277"/>
        </w:trPr>
        <w:tc>
          <w:tcPr>
            <w:tcW w:w="3410" w:type="dxa"/>
            <w:vMerge/>
            <w:tcBorders>
              <w:top w:val="nil"/>
            </w:tcBorders>
          </w:tcPr>
          <w:p w14:paraId="318DA431" w14:textId="77777777" w:rsidR="00487855" w:rsidRPr="00C56257" w:rsidRDefault="00487855" w:rsidP="00487855">
            <w:pPr>
              <w:jc w:val="both"/>
              <w:rPr>
                <w:color w:val="000000" w:themeColor="text1"/>
              </w:rPr>
            </w:pPr>
          </w:p>
        </w:tc>
        <w:tc>
          <w:tcPr>
            <w:tcW w:w="2410" w:type="dxa"/>
            <w:vAlign w:val="bottom"/>
          </w:tcPr>
          <w:p w14:paraId="21E0AE44" w14:textId="77777777" w:rsidR="00487855" w:rsidRPr="007B3C6A" w:rsidRDefault="00487855" w:rsidP="001278CC">
            <w:pPr>
              <w:pStyle w:val="TableParagraph"/>
              <w:spacing w:line="258" w:lineRule="exact"/>
              <w:ind w:left="94" w:right="86"/>
              <w:jc w:val="both"/>
              <w:rPr>
                <w:color w:val="000000" w:themeColor="text1"/>
              </w:rPr>
            </w:pPr>
            <w:r w:rsidRPr="007B3C6A">
              <w:rPr>
                <w:color w:val="000000"/>
              </w:rPr>
              <w:t>ROS</w:t>
            </w:r>
            <w:r w:rsidR="001278CC">
              <w:rPr>
                <w:color w:val="000000"/>
              </w:rPr>
              <w:t>AC</w:t>
            </w:r>
            <w:r w:rsidRPr="007B3C6A">
              <w:rPr>
                <w:color w:val="000000"/>
              </w:rPr>
              <w:t>0034</w:t>
            </w:r>
          </w:p>
        </w:tc>
        <w:tc>
          <w:tcPr>
            <w:tcW w:w="3885" w:type="dxa"/>
            <w:vAlign w:val="bottom"/>
          </w:tcPr>
          <w:p w14:paraId="438A1E9A" w14:textId="77777777" w:rsidR="00487855" w:rsidRPr="007B3C6A" w:rsidRDefault="00487855" w:rsidP="00487855">
            <w:pPr>
              <w:pStyle w:val="TableParagraph"/>
              <w:spacing w:line="258" w:lineRule="exact"/>
              <w:ind w:left="91" w:right="81"/>
              <w:jc w:val="both"/>
              <w:rPr>
                <w:color w:val="000000" w:themeColor="text1"/>
              </w:rPr>
            </w:pPr>
            <w:r w:rsidRPr="007B3C6A">
              <w:rPr>
                <w:color w:val="000000"/>
              </w:rPr>
              <w:t>Cheile Turenilor</w:t>
            </w:r>
          </w:p>
        </w:tc>
      </w:tr>
      <w:tr w:rsidR="00487855" w:rsidRPr="00C56257" w14:paraId="78456511" w14:textId="77777777" w:rsidTr="00487855">
        <w:trPr>
          <w:trHeight w:val="275"/>
        </w:trPr>
        <w:tc>
          <w:tcPr>
            <w:tcW w:w="3410" w:type="dxa"/>
            <w:vMerge/>
            <w:tcBorders>
              <w:top w:val="nil"/>
            </w:tcBorders>
          </w:tcPr>
          <w:p w14:paraId="2B23788B" w14:textId="77777777" w:rsidR="00487855" w:rsidRPr="00C56257" w:rsidRDefault="00487855" w:rsidP="00487855">
            <w:pPr>
              <w:jc w:val="both"/>
              <w:rPr>
                <w:color w:val="000000" w:themeColor="text1"/>
              </w:rPr>
            </w:pPr>
          </w:p>
        </w:tc>
        <w:tc>
          <w:tcPr>
            <w:tcW w:w="2410" w:type="dxa"/>
            <w:vAlign w:val="bottom"/>
          </w:tcPr>
          <w:p w14:paraId="0AD42A77" w14:textId="77777777" w:rsidR="00487855" w:rsidRPr="007B3C6A" w:rsidRDefault="00487855" w:rsidP="001278CC">
            <w:pPr>
              <w:pStyle w:val="TableParagraph"/>
              <w:ind w:left="93" w:right="87"/>
              <w:jc w:val="both"/>
              <w:rPr>
                <w:color w:val="000000" w:themeColor="text1"/>
              </w:rPr>
            </w:pPr>
            <w:r w:rsidRPr="007B3C6A">
              <w:rPr>
                <w:color w:val="000000"/>
              </w:rPr>
              <w:t>ROS</w:t>
            </w:r>
            <w:r w:rsidR="001278CC">
              <w:rPr>
                <w:color w:val="000000"/>
              </w:rPr>
              <w:t>AC</w:t>
            </w:r>
            <w:r w:rsidRPr="007B3C6A">
              <w:rPr>
                <w:color w:val="000000"/>
              </w:rPr>
              <w:t>0035</w:t>
            </w:r>
          </w:p>
        </w:tc>
        <w:tc>
          <w:tcPr>
            <w:tcW w:w="3885" w:type="dxa"/>
            <w:vAlign w:val="bottom"/>
          </w:tcPr>
          <w:p w14:paraId="086DD307" w14:textId="77777777" w:rsidR="00487855" w:rsidRPr="007B3C6A" w:rsidRDefault="00487855" w:rsidP="00487855">
            <w:pPr>
              <w:pStyle w:val="TableParagraph"/>
              <w:ind w:left="91" w:right="81"/>
              <w:jc w:val="both"/>
              <w:rPr>
                <w:color w:val="000000" w:themeColor="text1"/>
              </w:rPr>
            </w:pPr>
            <w:r w:rsidRPr="007B3C6A">
              <w:rPr>
                <w:color w:val="000000"/>
              </w:rPr>
              <w:t>Cheile Turzii</w:t>
            </w:r>
          </w:p>
        </w:tc>
      </w:tr>
      <w:tr w:rsidR="00487855" w:rsidRPr="00C56257" w14:paraId="6C3A8D2F" w14:textId="77777777" w:rsidTr="00487855">
        <w:trPr>
          <w:trHeight w:val="275"/>
        </w:trPr>
        <w:tc>
          <w:tcPr>
            <w:tcW w:w="3410" w:type="dxa"/>
            <w:vMerge/>
            <w:tcBorders>
              <w:top w:val="nil"/>
            </w:tcBorders>
          </w:tcPr>
          <w:p w14:paraId="19433FDA" w14:textId="77777777" w:rsidR="00487855" w:rsidRPr="00C56257" w:rsidRDefault="00487855" w:rsidP="00487855">
            <w:pPr>
              <w:jc w:val="both"/>
              <w:rPr>
                <w:color w:val="000000" w:themeColor="text1"/>
              </w:rPr>
            </w:pPr>
          </w:p>
        </w:tc>
        <w:tc>
          <w:tcPr>
            <w:tcW w:w="2410" w:type="dxa"/>
            <w:vAlign w:val="bottom"/>
          </w:tcPr>
          <w:p w14:paraId="43F55FA4" w14:textId="77777777" w:rsidR="00487855" w:rsidRPr="007B3C6A" w:rsidRDefault="00487855" w:rsidP="00487855">
            <w:pPr>
              <w:pStyle w:val="TableParagraph"/>
              <w:ind w:left="93" w:right="87"/>
              <w:jc w:val="both"/>
              <w:rPr>
                <w:color w:val="000000" w:themeColor="text1"/>
              </w:rPr>
            </w:pPr>
            <w:r w:rsidRPr="007B3C6A">
              <w:rPr>
                <w:color w:val="000000"/>
              </w:rPr>
              <w:t>ROSCI0042</w:t>
            </w:r>
          </w:p>
        </w:tc>
        <w:tc>
          <w:tcPr>
            <w:tcW w:w="3885" w:type="dxa"/>
            <w:vAlign w:val="bottom"/>
          </w:tcPr>
          <w:p w14:paraId="3763016D" w14:textId="77777777" w:rsidR="00487855" w:rsidRPr="007B3C6A" w:rsidRDefault="00487855" w:rsidP="00487855">
            <w:pPr>
              <w:pStyle w:val="TableParagraph"/>
              <w:ind w:left="91" w:right="81"/>
              <w:jc w:val="both"/>
              <w:rPr>
                <w:color w:val="000000" w:themeColor="text1"/>
              </w:rPr>
            </w:pPr>
            <w:r w:rsidRPr="007B3C6A">
              <w:rPr>
                <w:color w:val="000000"/>
              </w:rPr>
              <w:t>Codru Moma</w:t>
            </w:r>
          </w:p>
        </w:tc>
      </w:tr>
      <w:tr w:rsidR="00487855" w:rsidRPr="00C56257" w14:paraId="12EA6FD4" w14:textId="77777777" w:rsidTr="00487855">
        <w:trPr>
          <w:trHeight w:val="275"/>
        </w:trPr>
        <w:tc>
          <w:tcPr>
            <w:tcW w:w="3410" w:type="dxa"/>
            <w:vMerge/>
            <w:tcBorders>
              <w:top w:val="nil"/>
            </w:tcBorders>
          </w:tcPr>
          <w:p w14:paraId="1D473512" w14:textId="77777777" w:rsidR="00487855" w:rsidRPr="00C56257" w:rsidRDefault="00487855" w:rsidP="00487855">
            <w:pPr>
              <w:jc w:val="both"/>
              <w:rPr>
                <w:color w:val="000000" w:themeColor="text1"/>
              </w:rPr>
            </w:pPr>
          </w:p>
        </w:tc>
        <w:tc>
          <w:tcPr>
            <w:tcW w:w="2410" w:type="dxa"/>
            <w:vAlign w:val="bottom"/>
          </w:tcPr>
          <w:p w14:paraId="4FCBA3B8" w14:textId="77777777" w:rsidR="00487855" w:rsidRPr="007B3C6A" w:rsidRDefault="00487855" w:rsidP="00487855">
            <w:pPr>
              <w:pStyle w:val="TableParagraph"/>
              <w:ind w:left="93" w:right="87"/>
              <w:jc w:val="both"/>
              <w:rPr>
                <w:color w:val="000000" w:themeColor="text1"/>
              </w:rPr>
            </w:pPr>
            <w:r w:rsidRPr="007B3C6A">
              <w:rPr>
                <w:color w:val="000000"/>
              </w:rPr>
              <w:t>ROSCI0069</w:t>
            </w:r>
          </w:p>
        </w:tc>
        <w:tc>
          <w:tcPr>
            <w:tcW w:w="3885" w:type="dxa"/>
            <w:vAlign w:val="bottom"/>
          </w:tcPr>
          <w:p w14:paraId="52549BD1" w14:textId="77777777" w:rsidR="00487855" w:rsidRPr="007B3C6A" w:rsidRDefault="00487855" w:rsidP="00487855">
            <w:pPr>
              <w:pStyle w:val="TableParagraph"/>
              <w:ind w:left="91" w:right="79"/>
              <w:jc w:val="both"/>
              <w:rPr>
                <w:color w:val="000000" w:themeColor="text1"/>
              </w:rPr>
            </w:pPr>
            <w:r w:rsidRPr="007B3C6A">
              <w:rPr>
                <w:color w:val="000000"/>
              </w:rPr>
              <w:t>Domogled - Valea Cernei</w:t>
            </w:r>
          </w:p>
        </w:tc>
      </w:tr>
      <w:tr w:rsidR="00487855" w:rsidRPr="00C56257" w14:paraId="3BEC90D7" w14:textId="77777777" w:rsidTr="00487855">
        <w:trPr>
          <w:trHeight w:val="275"/>
        </w:trPr>
        <w:tc>
          <w:tcPr>
            <w:tcW w:w="3410" w:type="dxa"/>
            <w:vMerge/>
            <w:tcBorders>
              <w:top w:val="nil"/>
            </w:tcBorders>
          </w:tcPr>
          <w:p w14:paraId="46D0D5C2" w14:textId="77777777" w:rsidR="00487855" w:rsidRPr="00C56257" w:rsidRDefault="00487855" w:rsidP="00487855">
            <w:pPr>
              <w:jc w:val="both"/>
              <w:rPr>
                <w:color w:val="000000" w:themeColor="text1"/>
              </w:rPr>
            </w:pPr>
          </w:p>
        </w:tc>
        <w:tc>
          <w:tcPr>
            <w:tcW w:w="2410" w:type="dxa"/>
            <w:vAlign w:val="bottom"/>
          </w:tcPr>
          <w:p w14:paraId="54A540BA" w14:textId="77777777" w:rsidR="00487855" w:rsidRPr="007B3C6A" w:rsidRDefault="00487855" w:rsidP="00487855">
            <w:pPr>
              <w:pStyle w:val="TableParagraph"/>
              <w:ind w:left="93" w:right="87"/>
              <w:jc w:val="both"/>
              <w:rPr>
                <w:color w:val="000000" w:themeColor="text1"/>
              </w:rPr>
            </w:pPr>
            <w:r w:rsidRPr="007B3C6A">
              <w:rPr>
                <w:color w:val="000000"/>
              </w:rPr>
              <w:t>ROSCI0087</w:t>
            </w:r>
          </w:p>
        </w:tc>
        <w:tc>
          <w:tcPr>
            <w:tcW w:w="3885" w:type="dxa"/>
            <w:vAlign w:val="bottom"/>
          </w:tcPr>
          <w:p w14:paraId="62B103D3" w14:textId="77777777" w:rsidR="00487855" w:rsidRPr="007B3C6A" w:rsidRDefault="00487855" w:rsidP="00487855">
            <w:pPr>
              <w:pStyle w:val="TableParagraph"/>
              <w:ind w:left="91" w:right="85"/>
              <w:jc w:val="both"/>
              <w:rPr>
                <w:color w:val="000000" w:themeColor="text1"/>
              </w:rPr>
            </w:pPr>
            <w:r w:rsidRPr="007B3C6A">
              <w:rPr>
                <w:color w:val="000000"/>
              </w:rPr>
              <w:t>Grădiștea Muncelului - Cioclovina</w:t>
            </w:r>
          </w:p>
        </w:tc>
      </w:tr>
      <w:tr w:rsidR="00487855" w:rsidRPr="00C56257" w14:paraId="30432B14" w14:textId="77777777" w:rsidTr="00487855">
        <w:trPr>
          <w:trHeight w:val="275"/>
        </w:trPr>
        <w:tc>
          <w:tcPr>
            <w:tcW w:w="3410" w:type="dxa"/>
            <w:vMerge/>
            <w:tcBorders>
              <w:top w:val="nil"/>
            </w:tcBorders>
          </w:tcPr>
          <w:p w14:paraId="7D7D641D" w14:textId="77777777" w:rsidR="00487855" w:rsidRPr="00C56257" w:rsidRDefault="00487855" w:rsidP="00487855">
            <w:pPr>
              <w:jc w:val="both"/>
              <w:rPr>
                <w:color w:val="000000" w:themeColor="text1"/>
              </w:rPr>
            </w:pPr>
          </w:p>
        </w:tc>
        <w:tc>
          <w:tcPr>
            <w:tcW w:w="2410" w:type="dxa"/>
            <w:vAlign w:val="bottom"/>
          </w:tcPr>
          <w:p w14:paraId="4E76AED6" w14:textId="77777777" w:rsidR="00487855" w:rsidRPr="007B3C6A" w:rsidRDefault="00487855" w:rsidP="007977D1">
            <w:pPr>
              <w:pStyle w:val="TableParagraph"/>
              <w:ind w:left="93" w:right="87"/>
              <w:jc w:val="both"/>
              <w:rPr>
                <w:color w:val="000000" w:themeColor="text1"/>
              </w:rPr>
            </w:pPr>
            <w:r w:rsidRPr="007B3C6A">
              <w:rPr>
                <w:color w:val="000000"/>
              </w:rPr>
              <w:t>ROS</w:t>
            </w:r>
            <w:r w:rsidR="007977D1">
              <w:rPr>
                <w:color w:val="000000"/>
              </w:rPr>
              <w:t>AC</w:t>
            </w:r>
            <w:r w:rsidRPr="007B3C6A">
              <w:rPr>
                <w:color w:val="000000"/>
              </w:rPr>
              <w:t>0194</w:t>
            </w:r>
          </w:p>
        </w:tc>
        <w:tc>
          <w:tcPr>
            <w:tcW w:w="3885" w:type="dxa"/>
            <w:vAlign w:val="bottom"/>
          </w:tcPr>
          <w:p w14:paraId="3A1E1CC9" w14:textId="77777777" w:rsidR="00487855" w:rsidRPr="007B3C6A" w:rsidRDefault="00487855" w:rsidP="00487855">
            <w:pPr>
              <w:pStyle w:val="TableParagraph"/>
              <w:ind w:left="91" w:right="83"/>
              <w:jc w:val="both"/>
              <w:rPr>
                <w:color w:val="000000" w:themeColor="text1"/>
              </w:rPr>
            </w:pPr>
            <w:r w:rsidRPr="007B3C6A">
              <w:rPr>
                <w:color w:val="000000"/>
              </w:rPr>
              <w:t>Piatra Craiului</w:t>
            </w:r>
          </w:p>
        </w:tc>
      </w:tr>
      <w:tr w:rsidR="00487855" w:rsidRPr="00C56257" w14:paraId="5A9FBDEF" w14:textId="77777777" w:rsidTr="00487855">
        <w:trPr>
          <w:trHeight w:val="275"/>
        </w:trPr>
        <w:tc>
          <w:tcPr>
            <w:tcW w:w="3410" w:type="dxa"/>
            <w:vMerge/>
            <w:tcBorders>
              <w:top w:val="nil"/>
            </w:tcBorders>
          </w:tcPr>
          <w:p w14:paraId="1BD872DD" w14:textId="77777777" w:rsidR="00487855" w:rsidRPr="00C56257" w:rsidRDefault="00487855" w:rsidP="00487855">
            <w:pPr>
              <w:jc w:val="both"/>
              <w:rPr>
                <w:color w:val="000000" w:themeColor="text1"/>
              </w:rPr>
            </w:pPr>
          </w:p>
        </w:tc>
        <w:tc>
          <w:tcPr>
            <w:tcW w:w="2410" w:type="dxa"/>
            <w:vAlign w:val="bottom"/>
          </w:tcPr>
          <w:p w14:paraId="59BB3E88" w14:textId="77777777" w:rsidR="00487855" w:rsidRPr="007B3C6A" w:rsidRDefault="00487855" w:rsidP="00487855">
            <w:pPr>
              <w:pStyle w:val="TableParagraph"/>
              <w:ind w:left="93" w:right="87"/>
              <w:jc w:val="both"/>
              <w:rPr>
                <w:color w:val="000000" w:themeColor="text1"/>
              </w:rPr>
            </w:pPr>
            <w:r w:rsidRPr="007B3C6A">
              <w:rPr>
                <w:color w:val="000000"/>
              </w:rPr>
              <w:t>ROSCI0206</w:t>
            </w:r>
          </w:p>
        </w:tc>
        <w:tc>
          <w:tcPr>
            <w:tcW w:w="3885" w:type="dxa"/>
            <w:vAlign w:val="bottom"/>
          </w:tcPr>
          <w:p w14:paraId="7F5AD4B9" w14:textId="77777777" w:rsidR="00487855" w:rsidRPr="007B3C6A" w:rsidRDefault="00487855" w:rsidP="00487855">
            <w:pPr>
              <w:pStyle w:val="TableParagraph"/>
              <w:ind w:left="91" w:right="84"/>
              <w:jc w:val="both"/>
              <w:rPr>
                <w:color w:val="000000" w:themeColor="text1"/>
              </w:rPr>
            </w:pPr>
            <w:r w:rsidRPr="007B3C6A">
              <w:rPr>
                <w:color w:val="000000"/>
              </w:rPr>
              <w:t>Porțile de Fier</w:t>
            </w:r>
          </w:p>
        </w:tc>
      </w:tr>
      <w:tr w:rsidR="00487855" w:rsidRPr="00C56257" w14:paraId="5091B469" w14:textId="77777777" w:rsidTr="00487855">
        <w:trPr>
          <w:trHeight w:val="278"/>
        </w:trPr>
        <w:tc>
          <w:tcPr>
            <w:tcW w:w="3410" w:type="dxa"/>
            <w:vMerge/>
            <w:tcBorders>
              <w:top w:val="nil"/>
            </w:tcBorders>
          </w:tcPr>
          <w:p w14:paraId="3D465610" w14:textId="77777777" w:rsidR="00487855" w:rsidRPr="00C56257" w:rsidRDefault="00487855" w:rsidP="00487855">
            <w:pPr>
              <w:jc w:val="both"/>
              <w:rPr>
                <w:color w:val="000000" w:themeColor="text1"/>
              </w:rPr>
            </w:pPr>
          </w:p>
        </w:tc>
        <w:tc>
          <w:tcPr>
            <w:tcW w:w="2410" w:type="dxa"/>
            <w:vAlign w:val="bottom"/>
          </w:tcPr>
          <w:p w14:paraId="4E606E4A" w14:textId="77777777" w:rsidR="00487855" w:rsidRPr="007B3C6A" w:rsidRDefault="00487855" w:rsidP="00487855">
            <w:pPr>
              <w:pStyle w:val="TableParagraph"/>
              <w:spacing w:line="258" w:lineRule="exact"/>
              <w:ind w:left="93" w:right="87"/>
              <w:jc w:val="both"/>
              <w:rPr>
                <w:color w:val="000000" w:themeColor="text1"/>
              </w:rPr>
            </w:pPr>
            <w:r w:rsidRPr="007B3C6A">
              <w:rPr>
                <w:color w:val="000000"/>
              </w:rPr>
              <w:t>ROSCI0226</w:t>
            </w:r>
          </w:p>
        </w:tc>
        <w:tc>
          <w:tcPr>
            <w:tcW w:w="3885" w:type="dxa"/>
            <w:vAlign w:val="bottom"/>
          </w:tcPr>
          <w:p w14:paraId="6473FBDA" w14:textId="77777777" w:rsidR="00487855" w:rsidRPr="007B3C6A" w:rsidRDefault="00487855" w:rsidP="00487855">
            <w:pPr>
              <w:pStyle w:val="TableParagraph"/>
              <w:spacing w:line="258" w:lineRule="exact"/>
              <w:ind w:left="91" w:right="79"/>
              <w:jc w:val="both"/>
              <w:rPr>
                <w:color w:val="000000" w:themeColor="text1"/>
              </w:rPr>
            </w:pPr>
            <w:r w:rsidRPr="007B3C6A">
              <w:rPr>
                <w:color w:val="000000"/>
              </w:rPr>
              <w:t>Semenic - Cheile Carașului</w:t>
            </w:r>
          </w:p>
        </w:tc>
      </w:tr>
      <w:tr w:rsidR="00487855" w:rsidRPr="00C56257" w14:paraId="057C295C" w14:textId="77777777" w:rsidTr="00487855">
        <w:trPr>
          <w:trHeight w:val="275"/>
        </w:trPr>
        <w:tc>
          <w:tcPr>
            <w:tcW w:w="3410" w:type="dxa"/>
            <w:vMerge/>
            <w:tcBorders>
              <w:top w:val="nil"/>
            </w:tcBorders>
          </w:tcPr>
          <w:p w14:paraId="00C2EE4D" w14:textId="77777777" w:rsidR="00487855" w:rsidRPr="00C56257" w:rsidRDefault="00487855" w:rsidP="00487855">
            <w:pPr>
              <w:jc w:val="both"/>
              <w:rPr>
                <w:color w:val="000000" w:themeColor="text1"/>
              </w:rPr>
            </w:pPr>
          </w:p>
        </w:tc>
        <w:tc>
          <w:tcPr>
            <w:tcW w:w="2410" w:type="dxa"/>
            <w:vAlign w:val="bottom"/>
          </w:tcPr>
          <w:p w14:paraId="513C9E65" w14:textId="77777777" w:rsidR="00487855" w:rsidRPr="007B3C6A" w:rsidRDefault="00487855" w:rsidP="007977D1">
            <w:pPr>
              <w:pStyle w:val="TableParagraph"/>
              <w:ind w:left="93" w:right="87"/>
              <w:jc w:val="both"/>
              <w:rPr>
                <w:color w:val="000000" w:themeColor="text1"/>
              </w:rPr>
            </w:pPr>
            <w:r w:rsidRPr="007B3C6A">
              <w:rPr>
                <w:color w:val="000000"/>
              </w:rPr>
              <w:t>ROS</w:t>
            </w:r>
            <w:r w:rsidR="007977D1">
              <w:rPr>
                <w:color w:val="000000"/>
              </w:rPr>
              <w:t>AC</w:t>
            </w:r>
            <w:r w:rsidRPr="007B3C6A">
              <w:rPr>
                <w:color w:val="000000"/>
              </w:rPr>
              <w:t>0234</w:t>
            </w:r>
          </w:p>
        </w:tc>
        <w:tc>
          <w:tcPr>
            <w:tcW w:w="3885" w:type="dxa"/>
            <w:vAlign w:val="bottom"/>
          </w:tcPr>
          <w:p w14:paraId="1D9558CB" w14:textId="77777777" w:rsidR="00487855" w:rsidRPr="007B3C6A" w:rsidRDefault="00487855" w:rsidP="00487855">
            <w:pPr>
              <w:pStyle w:val="TableParagraph"/>
              <w:ind w:left="91" w:right="79"/>
              <w:jc w:val="both"/>
              <w:rPr>
                <w:color w:val="000000" w:themeColor="text1"/>
              </w:rPr>
            </w:pPr>
            <w:r w:rsidRPr="007B3C6A">
              <w:rPr>
                <w:color w:val="000000"/>
              </w:rPr>
              <w:t>Stânca Ștefănești</w:t>
            </w:r>
          </w:p>
        </w:tc>
      </w:tr>
      <w:tr w:rsidR="00487855" w:rsidRPr="00C56257" w14:paraId="27A6CAAE" w14:textId="77777777" w:rsidTr="00487855">
        <w:trPr>
          <w:trHeight w:val="275"/>
        </w:trPr>
        <w:tc>
          <w:tcPr>
            <w:tcW w:w="3410" w:type="dxa"/>
            <w:vMerge/>
            <w:tcBorders>
              <w:top w:val="nil"/>
            </w:tcBorders>
          </w:tcPr>
          <w:p w14:paraId="074B5816" w14:textId="77777777" w:rsidR="00487855" w:rsidRPr="00C56257" w:rsidRDefault="00487855" w:rsidP="00487855">
            <w:pPr>
              <w:jc w:val="both"/>
              <w:rPr>
                <w:color w:val="000000" w:themeColor="text1"/>
              </w:rPr>
            </w:pPr>
          </w:p>
        </w:tc>
        <w:tc>
          <w:tcPr>
            <w:tcW w:w="2410" w:type="dxa"/>
            <w:vAlign w:val="bottom"/>
          </w:tcPr>
          <w:p w14:paraId="707EF72A" w14:textId="77777777" w:rsidR="00487855" w:rsidRPr="007B3C6A" w:rsidRDefault="00487855" w:rsidP="007977D1">
            <w:pPr>
              <w:pStyle w:val="TableParagraph"/>
              <w:ind w:left="93" w:right="87"/>
              <w:jc w:val="both"/>
              <w:rPr>
                <w:color w:val="000000" w:themeColor="text1"/>
              </w:rPr>
            </w:pPr>
            <w:r w:rsidRPr="007B3C6A">
              <w:rPr>
                <w:color w:val="000000"/>
              </w:rPr>
              <w:t>ROS</w:t>
            </w:r>
            <w:r w:rsidR="007977D1">
              <w:rPr>
                <w:color w:val="000000"/>
              </w:rPr>
              <w:t>AC</w:t>
            </w:r>
            <w:r w:rsidRPr="007B3C6A">
              <w:rPr>
                <w:color w:val="000000"/>
              </w:rPr>
              <w:t>0304</w:t>
            </w:r>
          </w:p>
        </w:tc>
        <w:tc>
          <w:tcPr>
            <w:tcW w:w="3885" w:type="dxa"/>
            <w:vAlign w:val="bottom"/>
          </w:tcPr>
          <w:p w14:paraId="51DD08C8" w14:textId="77777777" w:rsidR="00487855" w:rsidRPr="007B3C6A" w:rsidRDefault="00487855" w:rsidP="00487855">
            <w:pPr>
              <w:pStyle w:val="TableParagraph"/>
              <w:ind w:left="91" w:right="79"/>
              <w:jc w:val="both"/>
              <w:rPr>
                <w:color w:val="000000" w:themeColor="text1"/>
              </w:rPr>
            </w:pPr>
            <w:r w:rsidRPr="007B3C6A">
              <w:rPr>
                <w:color w:val="000000"/>
              </w:rPr>
              <w:t>Hârtibaciu Sud - Vest</w:t>
            </w:r>
          </w:p>
        </w:tc>
      </w:tr>
      <w:tr w:rsidR="00487855" w:rsidRPr="00C56257" w14:paraId="79E49236" w14:textId="77777777" w:rsidTr="00487855">
        <w:trPr>
          <w:trHeight w:val="275"/>
        </w:trPr>
        <w:tc>
          <w:tcPr>
            <w:tcW w:w="3410" w:type="dxa"/>
            <w:vMerge w:val="restart"/>
          </w:tcPr>
          <w:p w14:paraId="44BA4FE0" w14:textId="77777777" w:rsidR="00487855" w:rsidRPr="00C56257" w:rsidRDefault="00487855" w:rsidP="00487855">
            <w:pPr>
              <w:pStyle w:val="TableParagraph"/>
              <w:jc w:val="both"/>
              <w:rPr>
                <w:color w:val="000000" w:themeColor="text1"/>
                <w:sz w:val="24"/>
                <w:szCs w:val="24"/>
              </w:rPr>
            </w:pPr>
          </w:p>
          <w:p w14:paraId="3A9715F9" w14:textId="77777777" w:rsidR="00487855" w:rsidRPr="00C56257" w:rsidRDefault="00487855" w:rsidP="00487855">
            <w:pPr>
              <w:pStyle w:val="TableParagraph"/>
              <w:jc w:val="both"/>
              <w:rPr>
                <w:color w:val="000000" w:themeColor="text1"/>
                <w:sz w:val="24"/>
                <w:szCs w:val="24"/>
              </w:rPr>
            </w:pPr>
          </w:p>
          <w:p w14:paraId="5132C3E1" w14:textId="77777777" w:rsidR="00487855" w:rsidRPr="00C56257" w:rsidRDefault="00487855" w:rsidP="00487855">
            <w:pPr>
              <w:pStyle w:val="TableParagraph"/>
              <w:spacing w:before="3"/>
              <w:jc w:val="both"/>
              <w:rPr>
                <w:color w:val="000000" w:themeColor="text1"/>
                <w:sz w:val="24"/>
                <w:szCs w:val="24"/>
              </w:rPr>
            </w:pPr>
          </w:p>
          <w:p w14:paraId="23916116" w14:textId="77777777" w:rsidR="00487855" w:rsidRPr="00C56257" w:rsidRDefault="00487855" w:rsidP="00487855">
            <w:pPr>
              <w:pStyle w:val="TableParagraph"/>
              <w:ind w:left="108"/>
              <w:jc w:val="both"/>
              <w:rPr>
                <w:color w:val="000000" w:themeColor="text1"/>
                <w:sz w:val="24"/>
                <w:szCs w:val="24"/>
              </w:rPr>
            </w:pPr>
            <w:r w:rsidRPr="00C56257">
              <w:rPr>
                <w:color w:val="000000" w:themeColor="text1"/>
                <w:sz w:val="24"/>
                <w:szCs w:val="24"/>
              </w:rPr>
              <w:t>6120*</w:t>
            </w:r>
            <w:r w:rsidRPr="00C56257">
              <w:rPr>
                <w:color w:val="000000" w:themeColor="text1"/>
                <w:spacing w:val="-2"/>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Pajişti</w:t>
            </w:r>
            <w:r w:rsidRPr="00C56257">
              <w:rPr>
                <w:color w:val="000000" w:themeColor="text1"/>
                <w:spacing w:val="-4"/>
                <w:sz w:val="24"/>
                <w:szCs w:val="24"/>
              </w:rPr>
              <w:t xml:space="preserve"> </w:t>
            </w:r>
            <w:r w:rsidRPr="00C56257">
              <w:rPr>
                <w:color w:val="000000" w:themeColor="text1"/>
                <w:sz w:val="24"/>
                <w:szCs w:val="24"/>
              </w:rPr>
              <w:t>xerice</w:t>
            </w:r>
            <w:r w:rsidRPr="00C56257">
              <w:rPr>
                <w:color w:val="000000" w:themeColor="text1"/>
                <w:spacing w:val="-2"/>
                <w:sz w:val="24"/>
                <w:szCs w:val="24"/>
              </w:rPr>
              <w:t xml:space="preserve"> </w:t>
            </w:r>
            <w:r w:rsidRPr="00C56257">
              <w:rPr>
                <w:color w:val="000000" w:themeColor="text1"/>
                <w:sz w:val="24"/>
                <w:szCs w:val="24"/>
              </w:rPr>
              <w:t>pe</w:t>
            </w:r>
            <w:r w:rsidRPr="00C56257">
              <w:rPr>
                <w:color w:val="000000" w:themeColor="text1"/>
                <w:spacing w:val="-1"/>
                <w:sz w:val="24"/>
                <w:szCs w:val="24"/>
              </w:rPr>
              <w:t xml:space="preserve"> </w:t>
            </w:r>
            <w:r w:rsidRPr="00C56257">
              <w:rPr>
                <w:color w:val="000000" w:themeColor="text1"/>
                <w:sz w:val="24"/>
                <w:szCs w:val="24"/>
              </w:rPr>
              <w:t>nisipuri</w:t>
            </w:r>
            <w:r w:rsidRPr="00C56257">
              <w:rPr>
                <w:color w:val="000000" w:themeColor="text1"/>
                <w:spacing w:val="-1"/>
                <w:sz w:val="24"/>
                <w:szCs w:val="24"/>
              </w:rPr>
              <w:t xml:space="preserve"> </w:t>
            </w:r>
            <w:r w:rsidRPr="00C56257">
              <w:rPr>
                <w:color w:val="000000" w:themeColor="text1"/>
                <w:sz w:val="24"/>
                <w:szCs w:val="24"/>
              </w:rPr>
              <w:t>calcaroase</w:t>
            </w:r>
          </w:p>
        </w:tc>
        <w:tc>
          <w:tcPr>
            <w:tcW w:w="2410" w:type="dxa"/>
            <w:vAlign w:val="bottom"/>
          </w:tcPr>
          <w:p w14:paraId="1B46545F" w14:textId="77777777" w:rsidR="00487855" w:rsidRPr="007B3C6A" w:rsidRDefault="00487855" w:rsidP="00487855">
            <w:pPr>
              <w:pStyle w:val="TableParagraph"/>
              <w:ind w:left="93" w:right="87"/>
              <w:jc w:val="both"/>
              <w:rPr>
                <w:color w:val="000000" w:themeColor="text1"/>
              </w:rPr>
            </w:pPr>
            <w:r w:rsidRPr="007B3C6A">
              <w:rPr>
                <w:color w:val="000000"/>
              </w:rPr>
              <w:t>ROSCI0020</w:t>
            </w:r>
          </w:p>
        </w:tc>
        <w:tc>
          <w:tcPr>
            <w:tcW w:w="3885" w:type="dxa"/>
            <w:vAlign w:val="bottom"/>
          </w:tcPr>
          <w:p w14:paraId="741F9002" w14:textId="77777777" w:rsidR="00487855" w:rsidRPr="007B3C6A" w:rsidRDefault="00487855" w:rsidP="00487855">
            <w:pPr>
              <w:pStyle w:val="TableParagraph"/>
              <w:ind w:left="91" w:right="82"/>
              <w:jc w:val="both"/>
              <w:rPr>
                <w:color w:val="000000" w:themeColor="text1"/>
              </w:rPr>
            </w:pPr>
            <w:r w:rsidRPr="007B3C6A">
              <w:rPr>
                <w:color w:val="000000"/>
              </w:rPr>
              <w:t>Câmpia Careiului</w:t>
            </w:r>
          </w:p>
        </w:tc>
      </w:tr>
      <w:tr w:rsidR="00487855" w:rsidRPr="00C56257" w14:paraId="3E4A4B47" w14:textId="77777777" w:rsidTr="00487855">
        <w:trPr>
          <w:trHeight w:val="275"/>
        </w:trPr>
        <w:tc>
          <w:tcPr>
            <w:tcW w:w="3410" w:type="dxa"/>
            <w:vMerge/>
            <w:tcBorders>
              <w:top w:val="nil"/>
            </w:tcBorders>
          </w:tcPr>
          <w:p w14:paraId="50CA1AA0" w14:textId="77777777" w:rsidR="00487855" w:rsidRPr="00C56257" w:rsidRDefault="00487855" w:rsidP="00487855">
            <w:pPr>
              <w:jc w:val="both"/>
              <w:rPr>
                <w:color w:val="000000" w:themeColor="text1"/>
              </w:rPr>
            </w:pPr>
          </w:p>
        </w:tc>
        <w:tc>
          <w:tcPr>
            <w:tcW w:w="2410" w:type="dxa"/>
            <w:vAlign w:val="bottom"/>
          </w:tcPr>
          <w:p w14:paraId="746C5373" w14:textId="77777777" w:rsidR="00487855" w:rsidRPr="007B3C6A" w:rsidRDefault="00487855" w:rsidP="007977D1">
            <w:pPr>
              <w:pStyle w:val="TableParagraph"/>
              <w:ind w:left="93" w:right="87"/>
              <w:jc w:val="both"/>
              <w:rPr>
                <w:color w:val="000000" w:themeColor="text1"/>
              </w:rPr>
            </w:pPr>
            <w:r w:rsidRPr="007B3C6A">
              <w:rPr>
                <w:color w:val="000000"/>
              </w:rPr>
              <w:t>ROS</w:t>
            </w:r>
            <w:r w:rsidR="007977D1">
              <w:rPr>
                <w:color w:val="000000"/>
              </w:rPr>
              <w:t>AC</w:t>
            </w:r>
            <w:r w:rsidRPr="007B3C6A">
              <w:rPr>
                <w:color w:val="000000"/>
              </w:rPr>
              <w:t>0039</w:t>
            </w:r>
          </w:p>
        </w:tc>
        <w:tc>
          <w:tcPr>
            <w:tcW w:w="3885" w:type="dxa"/>
            <w:vAlign w:val="bottom"/>
          </w:tcPr>
          <w:p w14:paraId="7ACA4F1F" w14:textId="77777777" w:rsidR="00487855" w:rsidRPr="007B3C6A" w:rsidRDefault="00487855" w:rsidP="00487855">
            <w:pPr>
              <w:pStyle w:val="TableParagraph"/>
              <w:ind w:left="91" w:right="82"/>
              <w:jc w:val="both"/>
              <w:rPr>
                <w:color w:val="000000" w:themeColor="text1"/>
              </w:rPr>
            </w:pPr>
            <w:r w:rsidRPr="007B3C6A">
              <w:rPr>
                <w:color w:val="000000"/>
              </w:rPr>
              <w:t>Ciuperceni - Desa</w:t>
            </w:r>
          </w:p>
        </w:tc>
      </w:tr>
      <w:tr w:rsidR="00487855" w:rsidRPr="00C56257" w14:paraId="4BB6A81C" w14:textId="77777777" w:rsidTr="00487855">
        <w:trPr>
          <w:trHeight w:val="277"/>
        </w:trPr>
        <w:tc>
          <w:tcPr>
            <w:tcW w:w="3410" w:type="dxa"/>
            <w:vMerge/>
            <w:tcBorders>
              <w:top w:val="nil"/>
            </w:tcBorders>
          </w:tcPr>
          <w:p w14:paraId="4336B5BD" w14:textId="77777777" w:rsidR="00487855" w:rsidRPr="00C56257" w:rsidRDefault="00487855" w:rsidP="00487855">
            <w:pPr>
              <w:jc w:val="both"/>
              <w:rPr>
                <w:color w:val="000000" w:themeColor="text1"/>
              </w:rPr>
            </w:pPr>
          </w:p>
        </w:tc>
        <w:tc>
          <w:tcPr>
            <w:tcW w:w="2410" w:type="dxa"/>
            <w:vAlign w:val="bottom"/>
          </w:tcPr>
          <w:p w14:paraId="24E6F06C" w14:textId="77777777" w:rsidR="00487855" w:rsidRPr="007B3C6A" w:rsidRDefault="00487855" w:rsidP="007977D1">
            <w:pPr>
              <w:pStyle w:val="TableParagraph"/>
              <w:spacing w:line="258" w:lineRule="exact"/>
              <w:ind w:left="93" w:right="87"/>
              <w:jc w:val="both"/>
              <w:rPr>
                <w:color w:val="000000" w:themeColor="text1"/>
              </w:rPr>
            </w:pPr>
            <w:r w:rsidRPr="007B3C6A">
              <w:rPr>
                <w:color w:val="000000"/>
              </w:rPr>
              <w:t>ROS</w:t>
            </w:r>
            <w:r w:rsidR="007977D1">
              <w:rPr>
                <w:color w:val="000000"/>
              </w:rPr>
              <w:t>AC</w:t>
            </w:r>
            <w:r w:rsidRPr="007B3C6A">
              <w:rPr>
                <w:color w:val="000000"/>
              </w:rPr>
              <w:t>0045</w:t>
            </w:r>
          </w:p>
        </w:tc>
        <w:tc>
          <w:tcPr>
            <w:tcW w:w="3885" w:type="dxa"/>
            <w:vAlign w:val="bottom"/>
          </w:tcPr>
          <w:p w14:paraId="4AA23421" w14:textId="77777777" w:rsidR="00487855" w:rsidRPr="007B3C6A" w:rsidRDefault="00487855" w:rsidP="00487855">
            <w:pPr>
              <w:pStyle w:val="TableParagraph"/>
              <w:spacing w:line="258" w:lineRule="exact"/>
              <w:ind w:left="91" w:right="84"/>
              <w:jc w:val="both"/>
              <w:rPr>
                <w:color w:val="000000" w:themeColor="text1"/>
              </w:rPr>
            </w:pPr>
            <w:r w:rsidRPr="007B3C6A">
              <w:rPr>
                <w:color w:val="000000"/>
              </w:rPr>
              <w:t>Coridorul Jiului</w:t>
            </w:r>
          </w:p>
        </w:tc>
      </w:tr>
      <w:tr w:rsidR="00487855" w:rsidRPr="00C56257" w14:paraId="0B017FC6" w14:textId="77777777" w:rsidTr="00487855">
        <w:trPr>
          <w:trHeight w:val="275"/>
        </w:trPr>
        <w:tc>
          <w:tcPr>
            <w:tcW w:w="3410" w:type="dxa"/>
            <w:vMerge/>
            <w:tcBorders>
              <w:top w:val="nil"/>
            </w:tcBorders>
          </w:tcPr>
          <w:p w14:paraId="395C1702" w14:textId="77777777" w:rsidR="00487855" w:rsidRPr="00C56257" w:rsidRDefault="00487855" w:rsidP="00487855">
            <w:pPr>
              <w:jc w:val="both"/>
              <w:rPr>
                <w:color w:val="000000" w:themeColor="text1"/>
              </w:rPr>
            </w:pPr>
          </w:p>
        </w:tc>
        <w:tc>
          <w:tcPr>
            <w:tcW w:w="2410" w:type="dxa"/>
            <w:vAlign w:val="bottom"/>
          </w:tcPr>
          <w:p w14:paraId="1CEB8397" w14:textId="77777777" w:rsidR="00487855" w:rsidRPr="007B3C6A" w:rsidRDefault="00487855" w:rsidP="007977D1">
            <w:pPr>
              <w:pStyle w:val="TableParagraph"/>
              <w:ind w:left="93" w:right="87"/>
              <w:jc w:val="both"/>
              <w:rPr>
                <w:color w:val="000000" w:themeColor="text1"/>
              </w:rPr>
            </w:pPr>
            <w:r w:rsidRPr="007B3C6A">
              <w:rPr>
                <w:color w:val="000000"/>
              </w:rPr>
              <w:t>ROS</w:t>
            </w:r>
            <w:r w:rsidR="007977D1">
              <w:rPr>
                <w:color w:val="000000"/>
              </w:rPr>
              <w:t>AC</w:t>
            </w:r>
            <w:r w:rsidRPr="007B3C6A">
              <w:rPr>
                <w:color w:val="000000"/>
              </w:rPr>
              <w:t>0064</w:t>
            </w:r>
          </w:p>
        </w:tc>
        <w:tc>
          <w:tcPr>
            <w:tcW w:w="3885" w:type="dxa"/>
            <w:vAlign w:val="bottom"/>
          </w:tcPr>
          <w:p w14:paraId="122405DC" w14:textId="77777777" w:rsidR="00487855" w:rsidRPr="007B3C6A" w:rsidRDefault="00487855" w:rsidP="00487855">
            <w:pPr>
              <w:pStyle w:val="TableParagraph"/>
              <w:ind w:left="91" w:right="83"/>
              <w:jc w:val="both"/>
              <w:rPr>
                <w:color w:val="000000" w:themeColor="text1"/>
              </w:rPr>
            </w:pPr>
            <w:r w:rsidRPr="007B3C6A">
              <w:rPr>
                <w:color w:val="000000"/>
              </w:rPr>
              <w:t>Defileul Mureșului</w:t>
            </w:r>
          </w:p>
        </w:tc>
      </w:tr>
      <w:tr w:rsidR="00487855" w:rsidRPr="00C56257" w14:paraId="2F9DC394" w14:textId="77777777" w:rsidTr="00487855">
        <w:trPr>
          <w:trHeight w:val="275"/>
        </w:trPr>
        <w:tc>
          <w:tcPr>
            <w:tcW w:w="3410" w:type="dxa"/>
            <w:vMerge/>
            <w:tcBorders>
              <w:top w:val="nil"/>
            </w:tcBorders>
          </w:tcPr>
          <w:p w14:paraId="538F80E8" w14:textId="77777777" w:rsidR="00487855" w:rsidRPr="00C56257" w:rsidRDefault="00487855" w:rsidP="00487855">
            <w:pPr>
              <w:jc w:val="both"/>
              <w:rPr>
                <w:color w:val="000000" w:themeColor="text1"/>
              </w:rPr>
            </w:pPr>
          </w:p>
        </w:tc>
        <w:tc>
          <w:tcPr>
            <w:tcW w:w="2410" w:type="dxa"/>
            <w:vAlign w:val="bottom"/>
          </w:tcPr>
          <w:p w14:paraId="4351240A" w14:textId="77777777" w:rsidR="00487855" w:rsidRPr="007B3C6A" w:rsidRDefault="00487855" w:rsidP="00487855">
            <w:pPr>
              <w:pStyle w:val="TableParagraph"/>
              <w:ind w:left="93" w:right="87"/>
              <w:jc w:val="both"/>
              <w:rPr>
                <w:color w:val="000000" w:themeColor="text1"/>
              </w:rPr>
            </w:pPr>
            <w:r w:rsidRPr="007B3C6A">
              <w:rPr>
                <w:color w:val="000000"/>
              </w:rPr>
              <w:t>ROSCI0065</w:t>
            </w:r>
          </w:p>
        </w:tc>
        <w:tc>
          <w:tcPr>
            <w:tcW w:w="3885" w:type="dxa"/>
            <w:vAlign w:val="bottom"/>
          </w:tcPr>
          <w:p w14:paraId="1AE072B8" w14:textId="77777777" w:rsidR="00487855" w:rsidRPr="007B3C6A" w:rsidRDefault="00487855" w:rsidP="00487855">
            <w:pPr>
              <w:pStyle w:val="TableParagraph"/>
              <w:ind w:left="91" w:right="79"/>
              <w:jc w:val="both"/>
              <w:rPr>
                <w:color w:val="000000" w:themeColor="text1"/>
              </w:rPr>
            </w:pPr>
            <w:r w:rsidRPr="007B3C6A">
              <w:rPr>
                <w:color w:val="000000"/>
              </w:rPr>
              <w:t>Delta Dunării</w:t>
            </w:r>
          </w:p>
        </w:tc>
      </w:tr>
      <w:tr w:rsidR="00487855" w:rsidRPr="00C56257" w14:paraId="7CBA758C" w14:textId="77777777" w:rsidTr="00487855">
        <w:trPr>
          <w:trHeight w:val="275"/>
        </w:trPr>
        <w:tc>
          <w:tcPr>
            <w:tcW w:w="3410" w:type="dxa"/>
            <w:vMerge/>
            <w:tcBorders>
              <w:top w:val="nil"/>
            </w:tcBorders>
          </w:tcPr>
          <w:p w14:paraId="5264CA39" w14:textId="77777777" w:rsidR="00487855" w:rsidRPr="00C56257" w:rsidRDefault="00487855" w:rsidP="00487855">
            <w:pPr>
              <w:jc w:val="both"/>
              <w:rPr>
                <w:color w:val="000000" w:themeColor="text1"/>
              </w:rPr>
            </w:pPr>
          </w:p>
        </w:tc>
        <w:tc>
          <w:tcPr>
            <w:tcW w:w="2410" w:type="dxa"/>
            <w:vAlign w:val="bottom"/>
          </w:tcPr>
          <w:p w14:paraId="7FAED527" w14:textId="77777777" w:rsidR="00487855" w:rsidRPr="007B3C6A" w:rsidRDefault="00487855" w:rsidP="007977D1">
            <w:pPr>
              <w:pStyle w:val="TableParagraph"/>
              <w:ind w:left="93" w:right="87"/>
              <w:jc w:val="both"/>
              <w:rPr>
                <w:color w:val="000000" w:themeColor="text1"/>
              </w:rPr>
            </w:pPr>
            <w:r w:rsidRPr="007B3C6A">
              <w:rPr>
                <w:color w:val="000000"/>
              </w:rPr>
              <w:t>ROS</w:t>
            </w:r>
            <w:r w:rsidR="007977D1">
              <w:rPr>
                <w:color w:val="000000"/>
              </w:rPr>
              <w:t>AC</w:t>
            </w:r>
            <w:r w:rsidRPr="007B3C6A">
              <w:rPr>
                <w:color w:val="000000"/>
              </w:rPr>
              <w:t>0072</w:t>
            </w:r>
          </w:p>
        </w:tc>
        <w:tc>
          <w:tcPr>
            <w:tcW w:w="3885" w:type="dxa"/>
            <w:vAlign w:val="bottom"/>
          </w:tcPr>
          <w:p w14:paraId="7134414F" w14:textId="77777777" w:rsidR="00487855" w:rsidRPr="007B3C6A" w:rsidRDefault="00487855" w:rsidP="00487855">
            <w:pPr>
              <w:pStyle w:val="TableParagraph"/>
              <w:ind w:left="91" w:right="84"/>
              <w:jc w:val="both"/>
              <w:rPr>
                <w:color w:val="000000" w:themeColor="text1"/>
              </w:rPr>
            </w:pPr>
            <w:r w:rsidRPr="007B3C6A">
              <w:rPr>
                <w:color w:val="000000"/>
              </w:rPr>
              <w:t>Dunele de nisip de la Hanul Conachi</w:t>
            </w:r>
          </w:p>
        </w:tc>
      </w:tr>
      <w:tr w:rsidR="00487855" w:rsidRPr="00C56257" w14:paraId="14F41B80" w14:textId="77777777" w:rsidTr="00487855">
        <w:trPr>
          <w:trHeight w:val="275"/>
        </w:trPr>
        <w:tc>
          <w:tcPr>
            <w:tcW w:w="3410" w:type="dxa"/>
            <w:vMerge/>
            <w:tcBorders>
              <w:top w:val="nil"/>
            </w:tcBorders>
          </w:tcPr>
          <w:p w14:paraId="183C73D3" w14:textId="77777777" w:rsidR="00487855" w:rsidRPr="00C56257" w:rsidRDefault="00487855" w:rsidP="00487855">
            <w:pPr>
              <w:jc w:val="both"/>
              <w:rPr>
                <w:color w:val="000000" w:themeColor="text1"/>
              </w:rPr>
            </w:pPr>
          </w:p>
        </w:tc>
        <w:tc>
          <w:tcPr>
            <w:tcW w:w="2410" w:type="dxa"/>
            <w:vAlign w:val="bottom"/>
          </w:tcPr>
          <w:p w14:paraId="623411C9" w14:textId="77777777" w:rsidR="00487855" w:rsidRPr="007B3C6A" w:rsidRDefault="00487855" w:rsidP="007977D1">
            <w:pPr>
              <w:pStyle w:val="TableParagraph"/>
              <w:ind w:left="93" w:right="87"/>
              <w:jc w:val="both"/>
              <w:rPr>
                <w:color w:val="000000"/>
              </w:rPr>
            </w:pPr>
            <w:r w:rsidRPr="007B3C6A">
              <w:rPr>
                <w:color w:val="000000"/>
              </w:rPr>
              <w:t>ROS</w:t>
            </w:r>
            <w:r w:rsidR="007977D1">
              <w:rPr>
                <w:color w:val="000000"/>
              </w:rPr>
              <w:t>AC</w:t>
            </w:r>
            <w:r w:rsidRPr="007B3C6A">
              <w:rPr>
                <w:color w:val="000000"/>
              </w:rPr>
              <w:t>0111</w:t>
            </w:r>
          </w:p>
        </w:tc>
        <w:tc>
          <w:tcPr>
            <w:tcW w:w="3885" w:type="dxa"/>
            <w:vAlign w:val="bottom"/>
          </w:tcPr>
          <w:p w14:paraId="029B2557" w14:textId="77777777" w:rsidR="00487855" w:rsidRPr="007B3C6A" w:rsidRDefault="00487855" w:rsidP="00487855">
            <w:pPr>
              <w:pStyle w:val="TableParagraph"/>
              <w:ind w:left="91" w:right="84"/>
              <w:jc w:val="both"/>
              <w:rPr>
                <w:color w:val="000000"/>
              </w:rPr>
            </w:pPr>
            <w:r w:rsidRPr="007B3C6A">
              <w:rPr>
                <w:color w:val="000000"/>
              </w:rPr>
              <w:t>Mestecănișul de la Reci</w:t>
            </w:r>
          </w:p>
        </w:tc>
      </w:tr>
      <w:tr w:rsidR="00487855" w:rsidRPr="00C56257" w14:paraId="11F8B9C5" w14:textId="77777777" w:rsidTr="00487855">
        <w:trPr>
          <w:trHeight w:val="275"/>
        </w:trPr>
        <w:tc>
          <w:tcPr>
            <w:tcW w:w="3410" w:type="dxa"/>
            <w:vMerge/>
            <w:tcBorders>
              <w:top w:val="nil"/>
            </w:tcBorders>
          </w:tcPr>
          <w:p w14:paraId="73CFCD60" w14:textId="77777777" w:rsidR="00487855" w:rsidRPr="00C56257" w:rsidRDefault="00487855" w:rsidP="00487855">
            <w:pPr>
              <w:jc w:val="both"/>
              <w:rPr>
                <w:color w:val="000000" w:themeColor="text1"/>
              </w:rPr>
            </w:pPr>
          </w:p>
        </w:tc>
        <w:tc>
          <w:tcPr>
            <w:tcW w:w="2410" w:type="dxa"/>
            <w:vAlign w:val="bottom"/>
          </w:tcPr>
          <w:p w14:paraId="0606BE7C" w14:textId="77777777" w:rsidR="00487855" w:rsidRPr="007B3C6A" w:rsidRDefault="00487855" w:rsidP="00487855">
            <w:pPr>
              <w:pStyle w:val="TableParagraph"/>
              <w:ind w:left="93" w:right="87"/>
              <w:jc w:val="both"/>
              <w:rPr>
                <w:color w:val="000000" w:themeColor="text1"/>
              </w:rPr>
            </w:pPr>
            <w:r w:rsidRPr="007B3C6A">
              <w:rPr>
                <w:color w:val="000000"/>
              </w:rPr>
              <w:t>ROSCI0206</w:t>
            </w:r>
          </w:p>
        </w:tc>
        <w:tc>
          <w:tcPr>
            <w:tcW w:w="3885" w:type="dxa"/>
            <w:vAlign w:val="bottom"/>
          </w:tcPr>
          <w:p w14:paraId="4BC65005" w14:textId="77777777" w:rsidR="00487855" w:rsidRPr="007B3C6A" w:rsidRDefault="00487855" w:rsidP="00487855">
            <w:pPr>
              <w:pStyle w:val="TableParagraph"/>
              <w:ind w:left="91" w:right="82"/>
              <w:jc w:val="both"/>
              <w:rPr>
                <w:color w:val="000000" w:themeColor="text1"/>
              </w:rPr>
            </w:pPr>
            <w:r w:rsidRPr="007B3C6A">
              <w:rPr>
                <w:color w:val="000000"/>
              </w:rPr>
              <w:t>Porțile de Fier</w:t>
            </w:r>
          </w:p>
        </w:tc>
      </w:tr>
      <w:tr w:rsidR="00487855" w:rsidRPr="00C56257" w14:paraId="32AE4931" w14:textId="77777777" w:rsidTr="00487855">
        <w:trPr>
          <w:trHeight w:val="275"/>
        </w:trPr>
        <w:tc>
          <w:tcPr>
            <w:tcW w:w="3410" w:type="dxa"/>
            <w:vMerge/>
            <w:tcBorders>
              <w:top w:val="nil"/>
            </w:tcBorders>
          </w:tcPr>
          <w:p w14:paraId="0DFB67E7" w14:textId="77777777" w:rsidR="00487855" w:rsidRPr="00C56257" w:rsidRDefault="00487855" w:rsidP="00487855">
            <w:pPr>
              <w:jc w:val="both"/>
              <w:rPr>
                <w:color w:val="000000" w:themeColor="text1"/>
              </w:rPr>
            </w:pPr>
          </w:p>
        </w:tc>
        <w:tc>
          <w:tcPr>
            <w:tcW w:w="2410" w:type="dxa"/>
            <w:vAlign w:val="bottom"/>
          </w:tcPr>
          <w:p w14:paraId="00CDB847" w14:textId="77777777" w:rsidR="00487855" w:rsidRPr="007B3C6A" w:rsidRDefault="00487855" w:rsidP="007977D1">
            <w:pPr>
              <w:pStyle w:val="TableParagraph"/>
              <w:ind w:left="93" w:right="87"/>
              <w:jc w:val="both"/>
              <w:rPr>
                <w:color w:val="000000" w:themeColor="text1"/>
              </w:rPr>
            </w:pPr>
            <w:r w:rsidRPr="007B3C6A">
              <w:rPr>
                <w:color w:val="000000"/>
              </w:rPr>
              <w:t>ROS</w:t>
            </w:r>
            <w:r w:rsidR="007977D1">
              <w:rPr>
                <w:color w:val="000000"/>
              </w:rPr>
              <w:t>AC</w:t>
            </w:r>
            <w:r w:rsidRPr="007B3C6A">
              <w:rPr>
                <w:color w:val="000000"/>
              </w:rPr>
              <w:t>0214</w:t>
            </w:r>
          </w:p>
        </w:tc>
        <w:tc>
          <w:tcPr>
            <w:tcW w:w="3885" w:type="dxa"/>
            <w:vAlign w:val="bottom"/>
          </w:tcPr>
          <w:p w14:paraId="6F232779" w14:textId="77777777" w:rsidR="00487855" w:rsidRPr="007B3C6A" w:rsidRDefault="00487855" w:rsidP="00487855">
            <w:pPr>
              <w:pStyle w:val="TableParagraph"/>
              <w:ind w:left="91" w:right="79"/>
              <w:jc w:val="both"/>
              <w:rPr>
                <w:color w:val="000000" w:themeColor="text1"/>
              </w:rPr>
            </w:pPr>
            <w:r w:rsidRPr="007B3C6A">
              <w:rPr>
                <w:color w:val="000000"/>
              </w:rPr>
              <w:t>Râul Tur</w:t>
            </w:r>
          </w:p>
        </w:tc>
      </w:tr>
      <w:tr w:rsidR="00487855" w:rsidRPr="00C56257" w14:paraId="3519EA8F" w14:textId="77777777" w:rsidTr="00487855">
        <w:trPr>
          <w:trHeight w:val="277"/>
        </w:trPr>
        <w:tc>
          <w:tcPr>
            <w:tcW w:w="3410" w:type="dxa"/>
            <w:vMerge w:val="restart"/>
          </w:tcPr>
          <w:p w14:paraId="633AA1F5" w14:textId="77777777" w:rsidR="00487855" w:rsidRPr="00C56257" w:rsidRDefault="00487855" w:rsidP="00487855">
            <w:pPr>
              <w:pStyle w:val="TableParagraph"/>
              <w:jc w:val="both"/>
              <w:rPr>
                <w:color w:val="000000" w:themeColor="text1"/>
                <w:sz w:val="24"/>
                <w:szCs w:val="24"/>
              </w:rPr>
            </w:pPr>
          </w:p>
          <w:p w14:paraId="5B6426F1" w14:textId="77777777" w:rsidR="00487855" w:rsidRPr="00C56257" w:rsidRDefault="00487855" w:rsidP="00487855">
            <w:pPr>
              <w:pStyle w:val="TableParagraph"/>
              <w:jc w:val="both"/>
              <w:rPr>
                <w:color w:val="000000" w:themeColor="text1"/>
                <w:sz w:val="24"/>
                <w:szCs w:val="24"/>
              </w:rPr>
            </w:pPr>
          </w:p>
          <w:p w14:paraId="2C36DDD1" w14:textId="77777777" w:rsidR="00487855" w:rsidRPr="00C56257" w:rsidRDefault="00487855" w:rsidP="00487855">
            <w:pPr>
              <w:pStyle w:val="TableParagraph"/>
              <w:jc w:val="both"/>
              <w:rPr>
                <w:color w:val="000000" w:themeColor="text1"/>
                <w:sz w:val="24"/>
                <w:szCs w:val="24"/>
              </w:rPr>
            </w:pPr>
          </w:p>
          <w:p w14:paraId="4FE874D7" w14:textId="77777777" w:rsidR="00487855" w:rsidRPr="00C56257" w:rsidRDefault="00487855" w:rsidP="00487855">
            <w:pPr>
              <w:pStyle w:val="TableParagraph"/>
              <w:jc w:val="both"/>
              <w:rPr>
                <w:color w:val="000000" w:themeColor="text1"/>
                <w:sz w:val="24"/>
                <w:szCs w:val="24"/>
              </w:rPr>
            </w:pPr>
          </w:p>
          <w:p w14:paraId="23D734BF" w14:textId="77777777" w:rsidR="00487855" w:rsidRPr="00C56257" w:rsidRDefault="00487855" w:rsidP="00487855">
            <w:pPr>
              <w:pStyle w:val="TableParagraph"/>
              <w:jc w:val="both"/>
              <w:rPr>
                <w:color w:val="000000" w:themeColor="text1"/>
                <w:sz w:val="24"/>
                <w:szCs w:val="24"/>
              </w:rPr>
            </w:pPr>
          </w:p>
          <w:p w14:paraId="120F58A9" w14:textId="77777777" w:rsidR="00487855" w:rsidRPr="00C56257" w:rsidRDefault="00487855" w:rsidP="00487855">
            <w:pPr>
              <w:pStyle w:val="TableParagraph"/>
              <w:jc w:val="both"/>
              <w:rPr>
                <w:color w:val="000000" w:themeColor="text1"/>
                <w:sz w:val="24"/>
                <w:szCs w:val="24"/>
              </w:rPr>
            </w:pPr>
          </w:p>
          <w:p w14:paraId="71C8F3A1" w14:textId="77777777" w:rsidR="00487855" w:rsidRPr="00C56257" w:rsidRDefault="00487855" w:rsidP="00487855">
            <w:pPr>
              <w:pStyle w:val="TableParagraph"/>
              <w:spacing w:before="10"/>
              <w:jc w:val="both"/>
              <w:rPr>
                <w:color w:val="000000" w:themeColor="text1"/>
                <w:sz w:val="24"/>
                <w:szCs w:val="24"/>
              </w:rPr>
            </w:pPr>
          </w:p>
          <w:p w14:paraId="45375615" w14:textId="77777777" w:rsidR="00487855" w:rsidRPr="00C56257" w:rsidRDefault="00487855" w:rsidP="00487855">
            <w:pPr>
              <w:pStyle w:val="TableParagraph"/>
              <w:ind w:left="108"/>
              <w:jc w:val="both"/>
              <w:rPr>
                <w:color w:val="000000" w:themeColor="text1"/>
                <w:sz w:val="24"/>
                <w:szCs w:val="24"/>
              </w:rPr>
            </w:pPr>
            <w:r w:rsidRPr="00C56257">
              <w:rPr>
                <w:color w:val="000000" w:themeColor="text1"/>
                <w:sz w:val="24"/>
                <w:szCs w:val="24"/>
              </w:rPr>
              <w:t>6150</w:t>
            </w:r>
            <w:r w:rsidRPr="00C56257">
              <w:rPr>
                <w:color w:val="000000" w:themeColor="text1"/>
                <w:spacing w:val="-2"/>
                <w:sz w:val="24"/>
                <w:szCs w:val="24"/>
              </w:rPr>
              <w:t xml:space="preserve"> </w:t>
            </w:r>
            <w:r w:rsidRPr="00C56257">
              <w:rPr>
                <w:color w:val="000000" w:themeColor="text1"/>
                <w:sz w:val="24"/>
                <w:szCs w:val="24"/>
              </w:rPr>
              <w:t>-</w:t>
            </w:r>
            <w:r w:rsidRPr="00C56257">
              <w:rPr>
                <w:color w:val="000000" w:themeColor="text1"/>
                <w:spacing w:val="-3"/>
                <w:sz w:val="24"/>
                <w:szCs w:val="24"/>
              </w:rPr>
              <w:t xml:space="preserve"> </w:t>
            </w:r>
            <w:r w:rsidRPr="00C56257">
              <w:rPr>
                <w:color w:val="000000" w:themeColor="text1"/>
                <w:sz w:val="24"/>
                <w:szCs w:val="24"/>
              </w:rPr>
              <w:t>Pajişti</w:t>
            </w:r>
            <w:r w:rsidRPr="00C56257">
              <w:rPr>
                <w:color w:val="000000" w:themeColor="text1"/>
                <w:spacing w:val="-2"/>
                <w:sz w:val="24"/>
                <w:szCs w:val="24"/>
              </w:rPr>
              <w:t xml:space="preserve"> </w:t>
            </w:r>
            <w:r w:rsidRPr="00C56257">
              <w:rPr>
                <w:color w:val="000000" w:themeColor="text1"/>
                <w:sz w:val="24"/>
                <w:szCs w:val="24"/>
              </w:rPr>
              <w:t>boreale</w:t>
            </w:r>
            <w:r w:rsidRPr="00C56257">
              <w:rPr>
                <w:color w:val="000000" w:themeColor="text1"/>
                <w:spacing w:val="-1"/>
                <w:sz w:val="24"/>
                <w:szCs w:val="24"/>
              </w:rPr>
              <w:t xml:space="preserve"> </w:t>
            </w:r>
            <w:r w:rsidRPr="00C56257">
              <w:rPr>
                <w:color w:val="000000" w:themeColor="text1"/>
                <w:sz w:val="24"/>
                <w:szCs w:val="24"/>
              </w:rPr>
              <w:t>şi</w:t>
            </w:r>
            <w:r w:rsidRPr="00C56257">
              <w:rPr>
                <w:color w:val="000000" w:themeColor="text1"/>
                <w:spacing w:val="-3"/>
                <w:sz w:val="24"/>
                <w:szCs w:val="24"/>
              </w:rPr>
              <w:t xml:space="preserve"> </w:t>
            </w:r>
            <w:r w:rsidRPr="00C56257">
              <w:rPr>
                <w:color w:val="000000" w:themeColor="text1"/>
                <w:sz w:val="24"/>
                <w:szCs w:val="24"/>
              </w:rPr>
              <w:t>alpine</w:t>
            </w:r>
            <w:r w:rsidRPr="00C56257">
              <w:rPr>
                <w:color w:val="000000" w:themeColor="text1"/>
                <w:spacing w:val="-3"/>
                <w:sz w:val="24"/>
                <w:szCs w:val="24"/>
              </w:rPr>
              <w:t xml:space="preserve"> </w:t>
            </w:r>
            <w:r w:rsidRPr="00C56257">
              <w:rPr>
                <w:color w:val="000000" w:themeColor="text1"/>
                <w:sz w:val="24"/>
                <w:szCs w:val="24"/>
              </w:rPr>
              <w:t>pe</w:t>
            </w:r>
            <w:r w:rsidRPr="00C56257">
              <w:rPr>
                <w:color w:val="000000" w:themeColor="text1"/>
                <w:spacing w:val="-2"/>
                <w:sz w:val="24"/>
                <w:szCs w:val="24"/>
              </w:rPr>
              <w:t xml:space="preserve"> </w:t>
            </w:r>
            <w:r w:rsidRPr="00C56257">
              <w:rPr>
                <w:color w:val="000000" w:themeColor="text1"/>
                <w:sz w:val="24"/>
                <w:szCs w:val="24"/>
              </w:rPr>
              <w:t>substrate</w:t>
            </w:r>
            <w:r w:rsidRPr="00C56257">
              <w:rPr>
                <w:color w:val="000000" w:themeColor="text1"/>
                <w:spacing w:val="-2"/>
                <w:sz w:val="24"/>
                <w:szCs w:val="24"/>
              </w:rPr>
              <w:t xml:space="preserve"> </w:t>
            </w:r>
            <w:r w:rsidRPr="00C56257">
              <w:rPr>
                <w:color w:val="000000" w:themeColor="text1"/>
                <w:sz w:val="24"/>
                <w:szCs w:val="24"/>
              </w:rPr>
              <w:t>siliciose</w:t>
            </w:r>
          </w:p>
        </w:tc>
        <w:tc>
          <w:tcPr>
            <w:tcW w:w="2410" w:type="dxa"/>
            <w:vAlign w:val="bottom"/>
          </w:tcPr>
          <w:p w14:paraId="76EE415C" w14:textId="77777777" w:rsidR="00487855" w:rsidRPr="007B3C6A" w:rsidRDefault="00487855" w:rsidP="00487855">
            <w:pPr>
              <w:pStyle w:val="TableParagraph"/>
              <w:spacing w:line="258" w:lineRule="exact"/>
              <w:ind w:left="93" w:right="87"/>
              <w:jc w:val="both"/>
              <w:rPr>
                <w:color w:val="000000" w:themeColor="text1"/>
              </w:rPr>
            </w:pPr>
            <w:r w:rsidRPr="007B3C6A">
              <w:rPr>
                <w:color w:val="000000"/>
              </w:rPr>
              <w:t>ROSCI0002</w:t>
            </w:r>
          </w:p>
        </w:tc>
        <w:tc>
          <w:tcPr>
            <w:tcW w:w="3885" w:type="dxa"/>
            <w:vAlign w:val="bottom"/>
          </w:tcPr>
          <w:p w14:paraId="2D4E6F8B" w14:textId="77777777" w:rsidR="00487855" w:rsidRPr="007B3C6A" w:rsidRDefault="00487855" w:rsidP="00487855">
            <w:pPr>
              <w:pStyle w:val="TableParagraph"/>
              <w:spacing w:line="258" w:lineRule="exact"/>
              <w:ind w:left="91" w:right="83"/>
              <w:jc w:val="both"/>
              <w:rPr>
                <w:color w:val="000000" w:themeColor="text1"/>
              </w:rPr>
            </w:pPr>
            <w:r w:rsidRPr="007B3C6A">
              <w:rPr>
                <w:color w:val="000000"/>
              </w:rPr>
              <w:t>Apuseni</w:t>
            </w:r>
          </w:p>
        </w:tc>
      </w:tr>
      <w:tr w:rsidR="00487855" w:rsidRPr="00C56257" w14:paraId="77D93FBB" w14:textId="77777777" w:rsidTr="00487855">
        <w:trPr>
          <w:trHeight w:val="275"/>
        </w:trPr>
        <w:tc>
          <w:tcPr>
            <w:tcW w:w="3410" w:type="dxa"/>
            <w:vMerge/>
            <w:tcBorders>
              <w:top w:val="nil"/>
            </w:tcBorders>
          </w:tcPr>
          <w:p w14:paraId="3E48393B" w14:textId="77777777" w:rsidR="00487855" w:rsidRPr="00C56257" w:rsidRDefault="00487855" w:rsidP="00487855">
            <w:pPr>
              <w:jc w:val="both"/>
              <w:rPr>
                <w:color w:val="000000" w:themeColor="text1"/>
              </w:rPr>
            </w:pPr>
          </w:p>
        </w:tc>
        <w:tc>
          <w:tcPr>
            <w:tcW w:w="2410" w:type="dxa"/>
            <w:vAlign w:val="bottom"/>
          </w:tcPr>
          <w:p w14:paraId="73C858A2" w14:textId="77777777" w:rsidR="00487855" w:rsidRPr="007B3C6A" w:rsidRDefault="00487855" w:rsidP="00487855">
            <w:pPr>
              <w:pStyle w:val="TableParagraph"/>
              <w:ind w:left="93" w:right="87"/>
              <w:jc w:val="both"/>
              <w:rPr>
                <w:color w:val="000000" w:themeColor="text1"/>
              </w:rPr>
            </w:pPr>
            <w:r w:rsidRPr="007B3C6A">
              <w:rPr>
                <w:color w:val="000000"/>
              </w:rPr>
              <w:t>ROSCI0019</w:t>
            </w:r>
          </w:p>
        </w:tc>
        <w:tc>
          <w:tcPr>
            <w:tcW w:w="3885" w:type="dxa"/>
            <w:vAlign w:val="bottom"/>
          </w:tcPr>
          <w:p w14:paraId="67FD34A3" w14:textId="77777777" w:rsidR="00487855" w:rsidRPr="007B3C6A" w:rsidRDefault="00487855" w:rsidP="00487855">
            <w:pPr>
              <w:pStyle w:val="TableParagraph"/>
              <w:ind w:left="91" w:right="79"/>
              <w:jc w:val="both"/>
              <w:rPr>
                <w:color w:val="000000" w:themeColor="text1"/>
              </w:rPr>
            </w:pPr>
            <w:r w:rsidRPr="007B3C6A">
              <w:rPr>
                <w:color w:val="000000"/>
              </w:rPr>
              <w:t>Călimani - Gurghiu</w:t>
            </w:r>
          </w:p>
        </w:tc>
      </w:tr>
      <w:tr w:rsidR="00487855" w:rsidRPr="00C56257" w14:paraId="13A81CC1" w14:textId="77777777" w:rsidTr="00487855">
        <w:trPr>
          <w:trHeight w:val="275"/>
        </w:trPr>
        <w:tc>
          <w:tcPr>
            <w:tcW w:w="3410" w:type="dxa"/>
            <w:vMerge/>
            <w:tcBorders>
              <w:top w:val="nil"/>
            </w:tcBorders>
          </w:tcPr>
          <w:p w14:paraId="646EE610" w14:textId="77777777" w:rsidR="00487855" w:rsidRPr="00C56257" w:rsidRDefault="00487855" w:rsidP="00487855">
            <w:pPr>
              <w:jc w:val="both"/>
              <w:rPr>
                <w:color w:val="000000" w:themeColor="text1"/>
              </w:rPr>
            </w:pPr>
          </w:p>
        </w:tc>
        <w:tc>
          <w:tcPr>
            <w:tcW w:w="2410" w:type="dxa"/>
            <w:vAlign w:val="bottom"/>
          </w:tcPr>
          <w:p w14:paraId="0D7CDAD8" w14:textId="77777777" w:rsidR="00487855" w:rsidRPr="007B3C6A" w:rsidRDefault="00487855" w:rsidP="007977D1">
            <w:pPr>
              <w:pStyle w:val="TableParagraph"/>
              <w:ind w:left="93" w:right="87"/>
              <w:jc w:val="both"/>
              <w:rPr>
                <w:color w:val="000000" w:themeColor="text1"/>
              </w:rPr>
            </w:pPr>
            <w:r w:rsidRPr="007B3C6A">
              <w:rPr>
                <w:color w:val="000000"/>
              </w:rPr>
              <w:t>ROS</w:t>
            </w:r>
            <w:r w:rsidR="007977D1">
              <w:rPr>
                <w:color w:val="000000"/>
              </w:rPr>
              <w:t>AC</w:t>
            </w:r>
            <w:r w:rsidRPr="007B3C6A">
              <w:rPr>
                <w:color w:val="000000"/>
              </w:rPr>
              <w:t>0046</w:t>
            </w:r>
          </w:p>
        </w:tc>
        <w:tc>
          <w:tcPr>
            <w:tcW w:w="3885" w:type="dxa"/>
            <w:vAlign w:val="bottom"/>
          </w:tcPr>
          <w:p w14:paraId="09E43A95" w14:textId="77777777" w:rsidR="00487855" w:rsidRPr="007B3C6A" w:rsidRDefault="00487855" w:rsidP="00487855">
            <w:pPr>
              <w:pStyle w:val="TableParagraph"/>
              <w:ind w:left="91" w:right="80"/>
              <w:jc w:val="both"/>
              <w:rPr>
                <w:color w:val="000000" w:themeColor="text1"/>
              </w:rPr>
            </w:pPr>
            <w:r w:rsidRPr="007B3C6A">
              <w:rPr>
                <w:color w:val="000000"/>
              </w:rPr>
              <w:t>Cozia</w:t>
            </w:r>
          </w:p>
        </w:tc>
      </w:tr>
      <w:tr w:rsidR="00487855" w:rsidRPr="00C56257" w14:paraId="6E21E8BC" w14:textId="77777777" w:rsidTr="00487855">
        <w:trPr>
          <w:trHeight w:val="276"/>
        </w:trPr>
        <w:tc>
          <w:tcPr>
            <w:tcW w:w="3410" w:type="dxa"/>
            <w:vMerge/>
            <w:tcBorders>
              <w:top w:val="nil"/>
            </w:tcBorders>
          </w:tcPr>
          <w:p w14:paraId="3363DB8D" w14:textId="77777777" w:rsidR="00487855" w:rsidRPr="00C56257" w:rsidRDefault="00487855" w:rsidP="00487855">
            <w:pPr>
              <w:jc w:val="both"/>
              <w:rPr>
                <w:color w:val="000000" w:themeColor="text1"/>
              </w:rPr>
            </w:pPr>
          </w:p>
        </w:tc>
        <w:tc>
          <w:tcPr>
            <w:tcW w:w="2410" w:type="dxa"/>
            <w:vAlign w:val="bottom"/>
          </w:tcPr>
          <w:p w14:paraId="18EA75FC" w14:textId="77777777" w:rsidR="00487855" w:rsidRPr="007B3C6A" w:rsidRDefault="00487855" w:rsidP="007977D1">
            <w:pPr>
              <w:pStyle w:val="TableParagraph"/>
              <w:ind w:left="93" w:right="87"/>
              <w:jc w:val="both"/>
              <w:rPr>
                <w:color w:val="000000" w:themeColor="text1"/>
              </w:rPr>
            </w:pPr>
            <w:r w:rsidRPr="007B3C6A">
              <w:rPr>
                <w:color w:val="000000"/>
              </w:rPr>
              <w:t>ROS</w:t>
            </w:r>
            <w:r w:rsidR="007977D1">
              <w:rPr>
                <w:color w:val="000000"/>
              </w:rPr>
              <w:t>AC</w:t>
            </w:r>
            <w:r w:rsidRPr="007B3C6A">
              <w:rPr>
                <w:color w:val="000000"/>
              </w:rPr>
              <w:t>0085</w:t>
            </w:r>
          </w:p>
        </w:tc>
        <w:tc>
          <w:tcPr>
            <w:tcW w:w="3885" w:type="dxa"/>
            <w:vAlign w:val="bottom"/>
          </w:tcPr>
          <w:p w14:paraId="75BCFC24" w14:textId="77777777" w:rsidR="00487855" w:rsidRPr="007B3C6A" w:rsidRDefault="00487855" w:rsidP="00487855">
            <w:pPr>
              <w:pStyle w:val="TableParagraph"/>
              <w:ind w:left="91" w:right="82"/>
              <w:jc w:val="both"/>
              <w:rPr>
                <w:color w:val="000000" w:themeColor="text1"/>
              </w:rPr>
            </w:pPr>
            <w:r w:rsidRPr="007B3C6A">
              <w:rPr>
                <w:color w:val="000000"/>
              </w:rPr>
              <w:t>Frumoasa</w:t>
            </w:r>
          </w:p>
        </w:tc>
      </w:tr>
      <w:tr w:rsidR="00487855" w:rsidRPr="00C56257" w14:paraId="3D111482" w14:textId="77777777" w:rsidTr="00487855">
        <w:trPr>
          <w:trHeight w:val="275"/>
        </w:trPr>
        <w:tc>
          <w:tcPr>
            <w:tcW w:w="3410" w:type="dxa"/>
            <w:vMerge/>
            <w:tcBorders>
              <w:top w:val="nil"/>
            </w:tcBorders>
          </w:tcPr>
          <w:p w14:paraId="25EA77A6" w14:textId="77777777" w:rsidR="00487855" w:rsidRPr="00C56257" w:rsidRDefault="00487855" w:rsidP="00487855">
            <w:pPr>
              <w:jc w:val="both"/>
              <w:rPr>
                <w:color w:val="000000" w:themeColor="text1"/>
              </w:rPr>
            </w:pPr>
          </w:p>
        </w:tc>
        <w:tc>
          <w:tcPr>
            <w:tcW w:w="2410" w:type="dxa"/>
            <w:vAlign w:val="bottom"/>
          </w:tcPr>
          <w:p w14:paraId="2EFCDED1" w14:textId="77777777" w:rsidR="00487855" w:rsidRPr="007B3C6A" w:rsidRDefault="00487855" w:rsidP="007977D1">
            <w:pPr>
              <w:pStyle w:val="TableParagraph"/>
              <w:ind w:left="93" w:right="87"/>
              <w:jc w:val="both"/>
              <w:rPr>
                <w:color w:val="000000" w:themeColor="text1"/>
              </w:rPr>
            </w:pPr>
            <w:r w:rsidRPr="007B3C6A">
              <w:rPr>
                <w:color w:val="000000"/>
              </w:rPr>
              <w:t>ROS</w:t>
            </w:r>
            <w:r w:rsidR="007977D1">
              <w:rPr>
                <w:color w:val="000000"/>
              </w:rPr>
              <w:t>AC</w:t>
            </w:r>
            <w:r w:rsidRPr="007B3C6A">
              <w:rPr>
                <w:color w:val="000000"/>
              </w:rPr>
              <w:t>0102</w:t>
            </w:r>
          </w:p>
        </w:tc>
        <w:tc>
          <w:tcPr>
            <w:tcW w:w="3885" w:type="dxa"/>
            <w:vAlign w:val="bottom"/>
          </w:tcPr>
          <w:p w14:paraId="35FCC4A7" w14:textId="77777777" w:rsidR="00487855" w:rsidRPr="007B3C6A" w:rsidRDefault="00487855" w:rsidP="00487855">
            <w:pPr>
              <w:pStyle w:val="TableParagraph"/>
              <w:ind w:left="91" w:right="81"/>
              <w:jc w:val="both"/>
              <w:rPr>
                <w:color w:val="000000" w:themeColor="text1"/>
              </w:rPr>
            </w:pPr>
            <w:r w:rsidRPr="007B3C6A">
              <w:rPr>
                <w:color w:val="000000"/>
              </w:rPr>
              <w:t>Leaota</w:t>
            </w:r>
          </w:p>
        </w:tc>
      </w:tr>
      <w:tr w:rsidR="00487855" w:rsidRPr="00C56257" w14:paraId="5BC65AD4" w14:textId="77777777" w:rsidTr="00487855">
        <w:trPr>
          <w:trHeight w:val="275"/>
        </w:trPr>
        <w:tc>
          <w:tcPr>
            <w:tcW w:w="3410" w:type="dxa"/>
            <w:vMerge/>
            <w:tcBorders>
              <w:top w:val="nil"/>
            </w:tcBorders>
          </w:tcPr>
          <w:p w14:paraId="534C90E6" w14:textId="77777777" w:rsidR="00487855" w:rsidRPr="00C56257" w:rsidRDefault="00487855" w:rsidP="00487855">
            <w:pPr>
              <w:jc w:val="both"/>
              <w:rPr>
                <w:color w:val="000000" w:themeColor="text1"/>
              </w:rPr>
            </w:pPr>
          </w:p>
        </w:tc>
        <w:tc>
          <w:tcPr>
            <w:tcW w:w="2410" w:type="dxa"/>
            <w:vAlign w:val="bottom"/>
          </w:tcPr>
          <w:p w14:paraId="3B5FA0F2" w14:textId="77777777" w:rsidR="00487855" w:rsidRPr="007B3C6A" w:rsidRDefault="00487855" w:rsidP="007977D1">
            <w:pPr>
              <w:pStyle w:val="TableParagraph"/>
              <w:ind w:left="93" w:right="87"/>
              <w:jc w:val="both"/>
              <w:rPr>
                <w:color w:val="000000" w:themeColor="text1"/>
              </w:rPr>
            </w:pPr>
            <w:r w:rsidRPr="007B3C6A">
              <w:rPr>
                <w:color w:val="000000"/>
              </w:rPr>
              <w:t>ROS</w:t>
            </w:r>
            <w:r w:rsidR="007977D1">
              <w:rPr>
                <w:color w:val="000000"/>
              </w:rPr>
              <w:t>AC</w:t>
            </w:r>
            <w:r w:rsidRPr="007B3C6A">
              <w:rPr>
                <w:color w:val="000000"/>
              </w:rPr>
              <w:t>0122</w:t>
            </w:r>
          </w:p>
        </w:tc>
        <w:tc>
          <w:tcPr>
            <w:tcW w:w="3885" w:type="dxa"/>
            <w:vAlign w:val="bottom"/>
          </w:tcPr>
          <w:p w14:paraId="5EAE3223" w14:textId="77777777" w:rsidR="00487855" w:rsidRPr="007B3C6A" w:rsidRDefault="00487855" w:rsidP="00487855">
            <w:pPr>
              <w:pStyle w:val="TableParagraph"/>
              <w:ind w:left="91" w:right="84"/>
              <w:jc w:val="both"/>
              <w:rPr>
                <w:color w:val="000000" w:themeColor="text1"/>
              </w:rPr>
            </w:pPr>
            <w:r w:rsidRPr="007B3C6A">
              <w:rPr>
                <w:color w:val="000000"/>
              </w:rPr>
              <w:t>Munții Făgăraș</w:t>
            </w:r>
          </w:p>
        </w:tc>
      </w:tr>
      <w:tr w:rsidR="00487855" w:rsidRPr="00C56257" w14:paraId="1E485A2F" w14:textId="77777777" w:rsidTr="00487855">
        <w:trPr>
          <w:trHeight w:val="275"/>
        </w:trPr>
        <w:tc>
          <w:tcPr>
            <w:tcW w:w="3410" w:type="dxa"/>
            <w:vMerge/>
            <w:tcBorders>
              <w:top w:val="nil"/>
            </w:tcBorders>
          </w:tcPr>
          <w:p w14:paraId="6397695B" w14:textId="77777777" w:rsidR="00487855" w:rsidRPr="00C56257" w:rsidRDefault="00487855" w:rsidP="00487855">
            <w:pPr>
              <w:jc w:val="both"/>
              <w:rPr>
                <w:color w:val="000000" w:themeColor="text1"/>
              </w:rPr>
            </w:pPr>
          </w:p>
        </w:tc>
        <w:tc>
          <w:tcPr>
            <w:tcW w:w="2410" w:type="dxa"/>
            <w:vAlign w:val="bottom"/>
          </w:tcPr>
          <w:p w14:paraId="42B1A8F1" w14:textId="77777777" w:rsidR="00487855" w:rsidRPr="007B3C6A" w:rsidRDefault="00487855" w:rsidP="007977D1">
            <w:pPr>
              <w:pStyle w:val="TableParagraph"/>
              <w:ind w:left="94" w:right="87"/>
              <w:jc w:val="both"/>
              <w:rPr>
                <w:color w:val="000000" w:themeColor="text1"/>
              </w:rPr>
            </w:pPr>
            <w:r w:rsidRPr="007B3C6A">
              <w:rPr>
                <w:color w:val="000000"/>
              </w:rPr>
              <w:t>ROS</w:t>
            </w:r>
            <w:r w:rsidR="007977D1">
              <w:rPr>
                <w:color w:val="000000"/>
              </w:rPr>
              <w:t>AC</w:t>
            </w:r>
            <w:r w:rsidRPr="007B3C6A">
              <w:rPr>
                <w:color w:val="000000"/>
              </w:rPr>
              <w:t>0124</w:t>
            </w:r>
          </w:p>
        </w:tc>
        <w:tc>
          <w:tcPr>
            <w:tcW w:w="3885" w:type="dxa"/>
            <w:vAlign w:val="bottom"/>
          </w:tcPr>
          <w:p w14:paraId="34AAFA12" w14:textId="77777777" w:rsidR="00487855" w:rsidRPr="007B3C6A" w:rsidRDefault="00487855" w:rsidP="00487855">
            <w:pPr>
              <w:pStyle w:val="TableParagraph"/>
              <w:ind w:left="91" w:right="80"/>
              <w:jc w:val="both"/>
              <w:rPr>
                <w:color w:val="000000" w:themeColor="text1"/>
              </w:rPr>
            </w:pPr>
            <w:r w:rsidRPr="007B3C6A">
              <w:rPr>
                <w:color w:val="000000"/>
              </w:rPr>
              <w:t>Munții Maramureșului</w:t>
            </w:r>
          </w:p>
        </w:tc>
      </w:tr>
      <w:tr w:rsidR="00487855" w:rsidRPr="00C56257" w14:paraId="18D3463A" w14:textId="77777777" w:rsidTr="00487855">
        <w:trPr>
          <w:trHeight w:val="277"/>
        </w:trPr>
        <w:tc>
          <w:tcPr>
            <w:tcW w:w="3410" w:type="dxa"/>
            <w:vMerge/>
            <w:tcBorders>
              <w:top w:val="nil"/>
            </w:tcBorders>
          </w:tcPr>
          <w:p w14:paraId="58B88827" w14:textId="77777777" w:rsidR="00487855" w:rsidRPr="00C56257" w:rsidRDefault="00487855" w:rsidP="00487855">
            <w:pPr>
              <w:jc w:val="both"/>
              <w:rPr>
                <w:color w:val="000000" w:themeColor="text1"/>
              </w:rPr>
            </w:pPr>
          </w:p>
        </w:tc>
        <w:tc>
          <w:tcPr>
            <w:tcW w:w="2410" w:type="dxa"/>
            <w:vAlign w:val="bottom"/>
          </w:tcPr>
          <w:p w14:paraId="3A4C1A28" w14:textId="77777777" w:rsidR="00487855" w:rsidRPr="007B3C6A" w:rsidRDefault="00487855" w:rsidP="007977D1">
            <w:pPr>
              <w:pStyle w:val="TableParagraph"/>
              <w:spacing w:line="258" w:lineRule="exact"/>
              <w:ind w:left="93" w:right="87"/>
              <w:jc w:val="both"/>
              <w:rPr>
                <w:color w:val="000000" w:themeColor="text1"/>
              </w:rPr>
            </w:pPr>
            <w:r w:rsidRPr="007B3C6A">
              <w:rPr>
                <w:color w:val="000000"/>
              </w:rPr>
              <w:t>ROS</w:t>
            </w:r>
            <w:r w:rsidR="007977D1">
              <w:rPr>
                <w:color w:val="000000"/>
              </w:rPr>
              <w:t>AC</w:t>
            </w:r>
            <w:r w:rsidRPr="007B3C6A">
              <w:rPr>
                <w:color w:val="000000"/>
              </w:rPr>
              <w:t>0125</w:t>
            </w:r>
          </w:p>
        </w:tc>
        <w:tc>
          <w:tcPr>
            <w:tcW w:w="3885" w:type="dxa"/>
            <w:vAlign w:val="bottom"/>
          </w:tcPr>
          <w:p w14:paraId="14945025" w14:textId="77777777" w:rsidR="00487855" w:rsidRPr="007B3C6A" w:rsidRDefault="00487855" w:rsidP="00487855">
            <w:pPr>
              <w:pStyle w:val="TableParagraph"/>
              <w:spacing w:line="258" w:lineRule="exact"/>
              <w:ind w:left="91" w:right="82"/>
              <w:jc w:val="both"/>
              <w:rPr>
                <w:color w:val="000000" w:themeColor="text1"/>
              </w:rPr>
            </w:pPr>
            <w:r w:rsidRPr="007B3C6A">
              <w:rPr>
                <w:color w:val="000000"/>
              </w:rPr>
              <w:t>Munții Rodnei</w:t>
            </w:r>
          </w:p>
        </w:tc>
      </w:tr>
      <w:tr w:rsidR="00487855" w:rsidRPr="00C56257" w14:paraId="4399929F" w14:textId="77777777" w:rsidTr="00487855">
        <w:trPr>
          <w:trHeight w:val="275"/>
        </w:trPr>
        <w:tc>
          <w:tcPr>
            <w:tcW w:w="3410" w:type="dxa"/>
            <w:vMerge/>
            <w:tcBorders>
              <w:top w:val="nil"/>
            </w:tcBorders>
          </w:tcPr>
          <w:p w14:paraId="7C39EE0B" w14:textId="77777777" w:rsidR="00487855" w:rsidRPr="00C56257" w:rsidRDefault="00487855" w:rsidP="00487855">
            <w:pPr>
              <w:jc w:val="both"/>
              <w:rPr>
                <w:color w:val="000000" w:themeColor="text1"/>
              </w:rPr>
            </w:pPr>
          </w:p>
        </w:tc>
        <w:tc>
          <w:tcPr>
            <w:tcW w:w="2410" w:type="dxa"/>
            <w:vAlign w:val="bottom"/>
          </w:tcPr>
          <w:p w14:paraId="556E0711" w14:textId="77777777" w:rsidR="00487855" w:rsidRPr="007B3C6A" w:rsidRDefault="00487855" w:rsidP="00487855">
            <w:pPr>
              <w:pStyle w:val="TableParagraph"/>
              <w:ind w:left="93" w:right="87"/>
              <w:jc w:val="both"/>
              <w:rPr>
                <w:color w:val="000000" w:themeColor="text1"/>
              </w:rPr>
            </w:pPr>
            <w:r w:rsidRPr="007B3C6A">
              <w:rPr>
                <w:color w:val="000000"/>
              </w:rPr>
              <w:t>ROSCI0126</w:t>
            </w:r>
          </w:p>
        </w:tc>
        <w:tc>
          <w:tcPr>
            <w:tcW w:w="3885" w:type="dxa"/>
            <w:vAlign w:val="bottom"/>
          </w:tcPr>
          <w:p w14:paraId="791206BE" w14:textId="77777777" w:rsidR="00487855" w:rsidRPr="007B3C6A" w:rsidRDefault="00487855" w:rsidP="00487855">
            <w:pPr>
              <w:pStyle w:val="TableParagraph"/>
              <w:ind w:left="91" w:right="82"/>
              <w:jc w:val="both"/>
              <w:rPr>
                <w:color w:val="000000" w:themeColor="text1"/>
              </w:rPr>
            </w:pPr>
            <w:r w:rsidRPr="007B3C6A">
              <w:rPr>
                <w:color w:val="000000"/>
              </w:rPr>
              <w:t>Munții Țarcu</w:t>
            </w:r>
          </w:p>
        </w:tc>
      </w:tr>
      <w:tr w:rsidR="00487855" w:rsidRPr="00C56257" w14:paraId="788C9050" w14:textId="77777777" w:rsidTr="00487855">
        <w:trPr>
          <w:trHeight w:val="275"/>
        </w:trPr>
        <w:tc>
          <w:tcPr>
            <w:tcW w:w="3410" w:type="dxa"/>
            <w:vMerge/>
            <w:tcBorders>
              <w:top w:val="nil"/>
            </w:tcBorders>
          </w:tcPr>
          <w:p w14:paraId="759AB14E" w14:textId="77777777" w:rsidR="00487855" w:rsidRPr="00C56257" w:rsidRDefault="00487855" w:rsidP="00487855">
            <w:pPr>
              <w:jc w:val="both"/>
              <w:rPr>
                <w:color w:val="000000" w:themeColor="text1"/>
              </w:rPr>
            </w:pPr>
          </w:p>
        </w:tc>
        <w:tc>
          <w:tcPr>
            <w:tcW w:w="2410" w:type="dxa"/>
            <w:vAlign w:val="bottom"/>
          </w:tcPr>
          <w:p w14:paraId="4A90EB7B" w14:textId="77777777" w:rsidR="00487855" w:rsidRPr="007B3C6A" w:rsidRDefault="00487855" w:rsidP="007977D1">
            <w:pPr>
              <w:pStyle w:val="TableParagraph"/>
              <w:ind w:left="93" w:right="87"/>
              <w:jc w:val="both"/>
              <w:rPr>
                <w:color w:val="000000" w:themeColor="text1"/>
              </w:rPr>
            </w:pPr>
            <w:r w:rsidRPr="007B3C6A">
              <w:rPr>
                <w:color w:val="000000"/>
              </w:rPr>
              <w:t>ROS</w:t>
            </w:r>
            <w:r w:rsidR="007977D1">
              <w:rPr>
                <w:color w:val="000000"/>
              </w:rPr>
              <w:t>AC</w:t>
            </w:r>
            <w:r w:rsidRPr="007B3C6A">
              <w:rPr>
                <w:color w:val="000000"/>
              </w:rPr>
              <w:t>0188</w:t>
            </w:r>
          </w:p>
        </w:tc>
        <w:tc>
          <w:tcPr>
            <w:tcW w:w="3885" w:type="dxa"/>
            <w:vAlign w:val="bottom"/>
          </w:tcPr>
          <w:p w14:paraId="34A6A820" w14:textId="77777777" w:rsidR="00487855" w:rsidRPr="007B3C6A" w:rsidRDefault="00487855" w:rsidP="00487855">
            <w:pPr>
              <w:pStyle w:val="TableParagraph"/>
              <w:ind w:left="91" w:right="79"/>
              <w:jc w:val="both"/>
              <w:rPr>
                <w:color w:val="000000" w:themeColor="text1"/>
              </w:rPr>
            </w:pPr>
            <w:r w:rsidRPr="007B3C6A">
              <w:rPr>
                <w:color w:val="000000"/>
              </w:rPr>
              <w:t>Parâng</w:t>
            </w:r>
          </w:p>
        </w:tc>
      </w:tr>
      <w:tr w:rsidR="00487855" w:rsidRPr="00C56257" w14:paraId="1337F534" w14:textId="77777777" w:rsidTr="00487855">
        <w:trPr>
          <w:trHeight w:val="275"/>
        </w:trPr>
        <w:tc>
          <w:tcPr>
            <w:tcW w:w="3410" w:type="dxa"/>
            <w:vMerge/>
            <w:tcBorders>
              <w:top w:val="nil"/>
            </w:tcBorders>
          </w:tcPr>
          <w:p w14:paraId="43895236" w14:textId="77777777" w:rsidR="00487855" w:rsidRPr="00C56257" w:rsidRDefault="00487855" w:rsidP="00487855">
            <w:pPr>
              <w:jc w:val="both"/>
              <w:rPr>
                <w:color w:val="000000" w:themeColor="text1"/>
              </w:rPr>
            </w:pPr>
          </w:p>
        </w:tc>
        <w:tc>
          <w:tcPr>
            <w:tcW w:w="2410" w:type="dxa"/>
            <w:vAlign w:val="bottom"/>
          </w:tcPr>
          <w:p w14:paraId="0623B2EB" w14:textId="77777777" w:rsidR="00487855" w:rsidRPr="007B3C6A" w:rsidRDefault="007977D1" w:rsidP="00487855">
            <w:pPr>
              <w:pStyle w:val="TableParagraph"/>
              <w:ind w:left="93" w:right="87"/>
              <w:jc w:val="both"/>
              <w:rPr>
                <w:color w:val="000000" w:themeColor="text1"/>
              </w:rPr>
            </w:pPr>
            <w:r>
              <w:rPr>
                <w:color w:val="000000"/>
              </w:rPr>
              <w:t>ROSAC</w:t>
            </w:r>
            <w:r w:rsidR="00487855" w:rsidRPr="007B3C6A">
              <w:rPr>
                <w:color w:val="000000"/>
              </w:rPr>
              <w:t>0196</w:t>
            </w:r>
          </w:p>
        </w:tc>
        <w:tc>
          <w:tcPr>
            <w:tcW w:w="3885" w:type="dxa"/>
            <w:vAlign w:val="bottom"/>
          </w:tcPr>
          <w:p w14:paraId="229397EC" w14:textId="77777777" w:rsidR="00487855" w:rsidRPr="007B3C6A" w:rsidRDefault="00487855" w:rsidP="00487855">
            <w:pPr>
              <w:pStyle w:val="TableParagraph"/>
              <w:ind w:left="91" w:right="81"/>
              <w:jc w:val="both"/>
              <w:rPr>
                <w:color w:val="000000" w:themeColor="text1"/>
              </w:rPr>
            </w:pPr>
            <w:r w:rsidRPr="007B3C6A">
              <w:rPr>
                <w:color w:val="000000"/>
              </w:rPr>
              <w:t>Pietrosul Broștenilor - Cheile Zugrenilor</w:t>
            </w:r>
          </w:p>
        </w:tc>
      </w:tr>
      <w:tr w:rsidR="00487855" w:rsidRPr="00C56257" w14:paraId="1E2AD511" w14:textId="77777777" w:rsidTr="00487855">
        <w:trPr>
          <w:trHeight w:val="275"/>
        </w:trPr>
        <w:tc>
          <w:tcPr>
            <w:tcW w:w="3410" w:type="dxa"/>
            <w:vMerge/>
            <w:tcBorders>
              <w:top w:val="nil"/>
            </w:tcBorders>
          </w:tcPr>
          <w:p w14:paraId="64C695C5" w14:textId="77777777" w:rsidR="00487855" w:rsidRPr="00C56257" w:rsidRDefault="00487855" w:rsidP="00487855">
            <w:pPr>
              <w:jc w:val="both"/>
              <w:rPr>
                <w:color w:val="000000" w:themeColor="text1"/>
              </w:rPr>
            </w:pPr>
          </w:p>
        </w:tc>
        <w:tc>
          <w:tcPr>
            <w:tcW w:w="2410" w:type="dxa"/>
            <w:vAlign w:val="bottom"/>
          </w:tcPr>
          <w:p w14:paraId="316C8427" w14:textId="77777777" w:rsidR="00487855" w:rsidRPr="007B3C6A" w:rsidRDefault="00487855" w:rsidP="007977D1">
            <w:pPr>
              <w:pStyle w:val="TableParagraph"/>
              <w:ind w:left="93" w:right="87"/>
              <w:jc w:val="both"/>
              <w:rPr>
                <w:color w:val="000000" w:themeColor="text1"/>
              </w:rPr>
            </w:pPr>
            <w:r w:rsidRPr="007B3C6A">
              <w:rPr>
                <w:color w:val="000000"/>
              </w:rPr>
              <w:t>ROS</w:t>
            </w:r>
            <w:r w:rsidR="007977D1">
              <w:rPr>
                <w:color w:val="000000"/>
              </w:rPr>
              <w:t>AC</w:t>
            </w:r>
            <w:r w:rsidRPr="007B3C6A">
              <w:rPr>
                <w:color w:val="000000"/>
              </w:rPr>
              <w:t>0208</w:t>
            </w:r>
          </w:p>
        </w:tc>
        <w:tc>
          <w:tcPr>
            <w:tcW w:w="3885" w:type="dxa"/>
            <w:vAlign w:val="bottom"/>
          </w:tcPr>
          <w:p w14:paraId="2B16A0FD" w14:textId="77777777" w:rsidR="00487855" w:rsidRPr="007B3C6A" w:rsidRDefault="00487855" w:rsidP="00487855">
            <w:pPr>
              <w:pStyle w:val="TableParagraph"/>
              <w:ind w:left="91" w:right="83"/>
              <w:jc w:val="both"/>
              <w:rPr>
                <w:color w:val="000000" w:themeColor="text1"/>
              </w:rPr>
            </w:pPr>
            <w:r w:rsidRPr="007B3C6A">
              <w:rPr>
                <w:color w:val="000000"/>
              </w:rPr>
              <w:t>Putna - Vrancea</w:t>
            </w:r>
          </w:p>
        </w:tc>
      </w:tr>
      <w:tr w:rsidR="00487855" w:rsidRPr="00C56257" w14:paraId="47D87A12" w14:textId="77777777" w:rsidTr="00487855">
        <w:trPr>
          <w:trHeight w:val="275"/>
        </w:trPr>
        <w:tc>
          <w:tcPr>
            <w:tcW w:w="3410" w:type="dxa"/>
            <w:vMerge/>
            <w:tcBorders>
              <w:top w:val="nil"/>
            </w:tcBorders>
          </w:tcPr>
          <w:p w14:paraId="6C3CA7C4" w14:textId="77777777" w:rsidR="00487855" w:rsidRPr="00C56257" w:rsidRDefault="00487855" w:rsidP="00487855">
            <w:pPr>
              <w:jc w:val="both"/>
              <w:rPr>
                <w:color w:val="000000" w:themeColor="text1"/>
              </w:rPr>
            </w:pPr>
          </w:p>
        </w:tc>
        <w:tc>
          <w:tcPr>
            <w:tcW w:w="2410" w:type="dxa"/>
            <w:vAlign w:val="bottom"/>
          </w:tcPr>
          <w:p w14:paraId="6DFD0C0D" w14:textId="77777777" w:rsidR="00487855" w:rsidRPr="007B3C6A" w:rsidRDefault="00487855" w:rsidP="00F17D6A">
            <w:pPr>
              <w:pStyle w:val="TableParagraph"/>
              <w:ind w:left="93" w:right="87"/>
              <w:jc w:val="both"/>
              <w:rPr>
                <w:color w:val="000000" w:themeColor="text1"/>
              </w:rPr>
            </w:pPr>
            <w:r w:rsidRPr="007B3C6A">
              <w:rPr>
                <w:color w:val="000000"/>
              </w:rPr>
              <w:t>ROS</w:t>
            </w:r>
            <w:r w:rsidR="00F17D6A">
              <w:rPr>
                <w:color w:val="000000"/>
              </w:rPr>
              <w:t>AC</w:t>
            </w:r>
            <w:r w:rsidRPr="007B3C6A">
              <w:rPr>
                <w:color w:val="000000"/>
              </w:rPr>
              <w:t>0212</w:t>
            </w:r>
          </w:p>
        </w:tc>
        <w:tc>
          <w:tcPr>
            <w:tcW w:w="3885" w:type="dxa"/>
            <w:vAlign w:val="bottom"/>
          </w:tcPr>
          <w:p w14:paraId="1FC446AF" w14:textId="77777777" w:rsidR="00487855" w:rsidRPr="007B3C6A" w:rsidRDefault="00487855" w:rsidP="00487855">
            <w:pPr>
              <w:pStyle w:val="TableParagraph"/>
              <w:ind w:left="91" w:right="82"/>
              <w:jc w:val="both"/>
              <w:rPr>
                <w:color w:val="000000" w:themeColor="text1"/>
              </w:rPr>
            </w:pPr>
            <w:r w:rsidRPr="007B3C6A">
              <w:rPr>
                <w:color w:val="000000"/>
              </w:rPr>
              <w:t>Rarău - Giumalău</w:t>
            </w:r>
          </w:p>
        </w:tc>
      </w:tr>
      <w:tr w:rsidR="00487855" w:rsidRPr="00C56257" w14:paraId="2CD52A3A" w14:textId="77777777" w:rsidTr="00487855">
        <w:trPr>
          <w:trHeight w:val="278"/>
        </w:trPr>
        <w:tc>
          <w:tcPr>
            <w:tcW w:w="3410" w:type="dxa"/>
            <w:vMerge/>
            <w:tcBorders>
              <w:top w:val="nil"/>
            </w:tcBorders>
          </w:tcPr>
          <w:p w14:paraId="56CFDDDA" w14:textId="77777777" w:rsidR="00487855" w:rsidRPr="00C56257" w:rsidRDefault="00487855" w:rsidP="00487855">
            <w:pPr>
              <w:jc w:val="both"/>
              <w:rPr>
                <w:color w:val="000000" w:themeColor="text1"/>
              </w:rPr>
            </w:pPr>
          </w:p>
        </w:tc>
        <w:tc>
          <w:tcPr>
            <w:tcW w:w="2410" w:type="dxa"/>
            <w:vAlign w:val="bottom"/>
          </w:tcPr>
          <w:p w14:paraId="7F7EE1D0" w14:textId="77777777" w:rsidR="00487855" w:rsidRPr="007B3C6A" w:rsidRDefault="00487855" w:rsidP="00F17D6A">
            <w:pPr>
              <w:pStyle w:val="TableParagraph"/>
              <w:spacing w:line="258" w:lineRule="exact"/>
              <w:ind w:left="93" w:right="87"/>
              <w:jc w:val="both"/>
              <w:rPr>
                <w:color w:val="000000" w:themeColor="text1"/>
              </w:rPr>
            </w:pPr>
            <w:r w:rsidRPr="007B3C6A">
              <w:rPr>
                <w:color w:val="000000"/>
              </w:rPr>
              <w:t>ROS</w:t>
            </w:r>
            <w:r w:rsidR="00F17D6A">
              <w:rPr>
                <w:color w:val="000000"/>
              </w:rPr>
              <w:t>AC</w:t>
            </w:r>
            <w:r w:rsidRPr="007B3C6A">
              <w:rPr>
                <w:color w:val="000000"/>
              </w:rPr>
              <w:t>0233</w:t>
            </w:r>
          </w:p>
        </w:tc>
        <w:tc>
          <w:tcPr>
            <w:tcW w:w="3885" w:type="dxa"/>
            <w:vAlign w:val="bottom"/>
          </w:tcPr>
          <w:p w14:paraId="41A9DECD" w14:textId="77777777" w:rsidR="00487855" w:rsidRPr="007B3C6A" w:rsidRDefault="00487855" w:rsidP="00487855">
            <w:pPr>
              <w:pStyle w:val="TableParagraph"/>
              <w:spacing w:line="258" w:lineRule="exact"/>
              <w:ind w:left="90" w:right="85"/>
              <w:jc w:val="both"/>
              <w:rPr>
                <w:color w:val="000000" w:themeColor="text1"/>
              </w:rPr>
            </w:pPr>
            <w:r w:rsidRPr="007B3C6A">
              <w:rPr>
                <w:color w:val="000000"/>
              </w:rPr>
              <w:t>Someșul Rece</w:t>
            </w:r>
          </w:p>
        </w:tc>
      </w:tr>
      <w:tr w:rsidR="00487855" w:rsidRPr="00C56257" w14:paraId="57F14EA3" w14:textId="77777777" w:rsidTr="00487855">
        <w:trPr>
          <w:trHeight w:val="275"/>
        </w:trPr>
        <w:tc>
          <w:tcPr>
            <w:tcW w:w="3410" w:type="dxa"/>
            <w:vMerge/>
            <w:tcBorders>
              <w:top w:val="nil"/>
            </w:tcBorders>
          </w:tcPr>
          <w:p w14:paraId="08C1BF0D" w14:textId="77777777" w:rsidR="00487855" w:rsidRPr="00C56257" w:rsidRDefault="00487855" w:rsidP="00487855">
            <w:pPr>
              <w:jc w:val="both"/>
              <w:rPr>
                <w:color w:val="000000" w:themeColor="text1"/>
              </w:rPr>
            </w:pPr>
          </w:p>
        </w:tc>
        <w:tc>
          <w:tcPr>
            <w:tcW w:w="2410" w:type="dxa"/>
            <w:vAlign w:val="bottom"/>
          </w:tcPr>
          <w:p w14:paraId="0BCB103F" w14:textId="77777777" w:rsidR="00487855" w:rsidRPr="007B3C6A" w:rsidRDefault="00487855" w:rsidP="006D54D7">
            <w:pPr>
              <w:pStyle w:val="TableParagraph"/>
              <w:ind w:left="93" w:right="87"/>
              <w:jc w:val="both"/>
              <w:rPr>
                <w:color w:val="000000" w:themeColor="text1"/>
              </w:rPr>
            </w:pPr>
            <w:r w:rsidRPr="007B3C6A">
              <w:rPr>
                <w:color w:val="000000"/>
              </w:rPr>
              <w:t>ROS</w:t>
            </w:r>
            <w:r w:rsidR="006D54D7">
              <w:rPr>
                <w:color w:val="000000"/>
              </w:rPr>
              <w:t>AC</w:t>
            </w:r>
            <w:r w:rsidRPr="007B3C6A">
              <w:rPr>
                <w:color w:val="000000"/>
              </w:rPr>
              <w:t>0263</w:t>
            </w:r>
          </w:p>
        </w:tc>
        <w:tc>
          <w:tcPr>
            <w:tcW w:w="3885" w:type="dxa"/>
            <w:vAlign w:val="bottom"/>
          </w:tcPr>
          <w:p w14:paraId="083AEF0C" w14:textId="77777777" w:rsidR="00487855" w:rsidRPr="007B3C6A" w:rsidRDefault="00487855" w:rsidP="00487855">
            <w:pPr>
              <w:pStyle w:val="TableParagraph"/>
              <w:ind w:left="91" w:right="81"/>
              <w:jc w:val="both"/>
              <w:rPr>
                <w:color w:val="000000" w:themeColor="text1"/>
              </w:rPr>
            </w:pPr>
            <w:r w:rsidRPr="007B3C6A">
              <w:rPr>
                <w:color w:val="000000"/>
              </w:rPr>
              <w:t>Valea Ierii</w:t>
            </w:r>
          </w:p>
        </w:tc>
      </w:tr>
      <w:tr w:rsidR="00487855" w:rsidRPr="00C56257" w14:paraId="0C41F137" w14:textId="77777777" w:rsidTr="00487855">
        <w:trPr>
          <w:trHeight w:val="276"/>
        </w:trPr>
        <w:tc>
          <w:tcPr>
            <w:tcW w:w="3410" w:type="dxa"/>
            <w:vMerge w:val="restart"/>
          </w:tcPr>
          <w:p w14:paraId="5F62B4A8" w14:textId="77777777" w:rsidR="00487855" w:rsidRPr="00C56257" w:rsidRDefault="00487855" w:rsidP="00487855">
            <w:pPr>
              <w:pStyle w:val="TableParagraph"/>
              <w:jc w:val="both"/>
              <w:rPr>
                <w:color w:val="000000" w:themeColor="text1"/>
                <w:sz w:val="24"/>
                <w:szCs w:val="24"/>
              </w:rPr>
            </w:pPr>
          </w:p>
          <w:p w14:paraId="68B96B05" w14:textId="77777777" w:rsidR="00487855" w:rsidRPr="00C56257" w:rsidRDefault="00487855" w:rsidP="00487855">
            <w:pPr>
              <w:pStyle w:val="TableParagraph"/>
              <w:jc w:val="both"/>
              <w:rPr>
                <w:color w:val="000000" w:themeColor="text1"/>
                <w:sz w:val="24"/>
                <w:szCs w:val="24"/>
              </w:rPr>
            </w:pPr>
          </w:p>
          <w:p w14:paraId="2C4B7E6D" w14:textId="77777777" w:rsidR="00487855" w:rsidRPr="00C56257" w:rsidRDefault="00487855" w:rsidP="00487855">
            <w:pPr>
              <w:pStyle w:val="TableParagraph"/>
              <w:jc w:val="both"/>
              <w:rPr>
                <w:color w:val="000000" w:themeColor="text1"/>
                <w:sz w:val="24"/>
                <w:szCs w:val="24"/>
              </w:rPr>
            </w:pPr>
          </w:p>
          <w:p w14:paraId="673DECBE" w14:textId="77777777" w:rsidR="00487855" w:rsidRPr="00C56257" w:rsidRDefault="00487855" w:rsidP="00487855">
            <w:pPr>
              <w:pStyle w:val="TableParagraph"/>
              <w:jc w:val="both"/>
              <w:rPr>
                <w:color w:val="000000" w:themeColor="text1"/>
                <w:sz w:val="24"/>
                <w:szCs w:val="24"/>
              </w:rPr>
            </w:pPr>
          </w:p>
          <w:p w14:paraId="4DB02A5C" w14:textId="77777777" w:rsidR="00487855" w:rsidRPr="00C56257" w:rsidRDefault="00487855" w:rsidP="00487855">
            <w:pPr>
              <w:pStyle w:val="TableParagraph"/>
              <w:jc w:val="both"/>
              <w:rPr>
                <w:color w:val="000000" w:themeColor="text1"/>
                <w:sz w:val="24"/>
                <w:szCs w:val="24"/>
              </w:rPr>
            </w:pPr>
          </w:p>
          <w:p w14:paraId="7A55F67E" w14:textId="77777777" w:rsidR="00487855" w:rsidRPr="00C56257" w:rsidRDefault="00487855" w:rsidP="00487855">
            <w:pPr>
              <w:pStyle w:val="TableParagraph"/>
              <w:jc w:val="both"/>
              <w:rPr>
                <w:color w:val="000000" w:themeColor="text1"/>
                <w:sz w:val="24"/>
                <w:szCs w:val="24"/>
              </w:rPr>
            </w:pPr>
          </w:p>
          <w:p w14:paraId="4EDE2F44" w14:textId="77777777" w:rsidR="00487855" w:rsidRPr="00C56257" w:rsidRDefault="00487855" w:rsidP="00487855">
            <w:pPr>
              <w:pStyle w:val="TableParagraph"/>
              <w:jc w:val="both"/>
              <w:rPr>
                <w:color w:val="000000" w:themeColor="text1"/>
                <w:sz w:val="24"/>
                <w:szCs w:val="24"/>
              </w:rPr>
            </w:pPr>
          </w:p>
          <w:p w14:paraId="3CC82855" w14:textId="77777777" w:rsidR="00487855" w:rsidRPr="00C56257" w:rsidRDefault="00487855" w:rsidP="00487855">
            <w:pPr>
              <w:pStyle w:val="TableParagraph"/>
              <w:jc w:val="both"/>
              <w:rPr>
                <w:color w:val="000000" w:themeColor="text1"/>
                <w:sz w:val="24"/>
                <w:szCs w:val="24"/>
              </w:rPr>
            </w:pPr>
          </w:p>
          <w:p w14:paraId="65C01C8B" w14:textId="77777777" w:rsidR="00487855" w:rsidRPr="00C56257" w:rsidRDefault="00487855" w:rsidP="00487855">
            <w:pPr>
              <w:pStyle w:val="TableParagraph"/>
              <w:jc w:val="both"/>
              <w:rPr>
                <w:color w:val="000000" w:themeColor="text1"/>
                <w:sz w:val="24"/>
                <w:szCs w:val="24"/>
              </w:rPr>
            </w:pPr>
          </w:p>
          <w:p w14:paraId="1613EE45" w14:textId="77777777" w:rsidR="00487855" w:rsidRPr="00C56257" w:rsidRDefault="00487855" w:rsidP="00487855">
            <w:pPr>
              <w:pStyle w:val="TableParagraph"/>
              <w:spacing w:before="4"/>
              <w:jc w:val="both"/>
              <w:rPr>
                <w:color w:val="000000" w:themeColor="text1"/>
                <w:sz w:val="24"/>
                <w:szCs w:val="24"/>
              </w:rPr>
            </w:pPr>
          </w:p>
          <w:p w14:paraId="15A88484" w14:textId="77777777" w:rsidR="00487855" w:rsidRPr="00C56257" w:rsidRDefault="00487855" w:rsidP="00487855">
            <w:pPr>
              <w:pStyle w:val="TableParagraph"/>
              <w:ind w:left="108"/>
              <w:jc w:val="both"/>
              <w:rPr>
                <w:color w:val="000000" w:themeColor="text1"/>
                <w:sz w:val="24"/>
                <w:szCs w:val="24"/>
              </w:rPr>
            </w:pPr>
            <w:r w:rsidRPr="00C56257">
              <w:rPr>
                <w:color w:val="000000" w:themeColor="text1"/>
                <w:sz w:val="24"/>
                <w:szCs w:val="24"/>
              </w:rPr>
              <w:t>6170</w:t>
            </w:r>
            <w:r w:rsidRPr="00C56257">
              <w:rPr>
                <w:color w:val="000000" w:themeColor="text1"/>
                <w:spacing w:val="-2"/>
                <w:sz w:val="24"/>
                <w:szCs w:val="24"/>
              </w:rPr>
              <w:t xml:space="preserve"> </w:t>
            </w:r>
            <w:r w:rsidRPr="00C56257">
              <w:rPr>
                <w:color w:val="000000" w:themeColor="text1"/>
                <w:sz w:val="24"/>
                <w:szCs w:val="24"/>
              </w:rPr>
              <w:t>-</w:t>
            </w:r>
            <w:r w:rsidRPr="00C56257">
              <w:rPr>
                <w:color w:val="000000" w:themeColor="text1"/>
                <w:spacing w:val="-3"/>
                <w:sz w:val="24"/>
                <w:szCs w:val="24"/>
              </w:rPr>
              <w:t xml:space="preserve"> </w:t>
            </w:r>
            <w:r w:rsidRPr="00C56257">
              <w:rPr>
                <w:color w:val="000000" w:themeColor="text1"/>
                <w:sz w:val="24"/>
                <w:szCs w:val="24"/>
              </w:rPr>
              <w:t>Pajişti</w:t>
            </w:r>
            <w:r w:rsidRPr="00C56257">
              <w:rPr>
                <w:color w:val="000000" w:themeColor="text1"/>
                <w:spacing w:val="-2"/>
                <w:sz w:val="24"/>
                <w:szCs w:val="24"/>
              </w:rPr>
              <w:t xml:space="preserve"> </w:t>
            </w:r>
            <w:r w:rsidRPr="00C56257">
              <w:rPr>
                <w:color w:val="000000" w:themeColor="text1"/>
                <w:sz w:val="24"/>
                <w:szCs w:val="24"/>
              </w:rPr>
              <w:t>calcifile</w:t>
            </w:r>
            <w:r w:rsidRPr="00C56257">
              <w:rPr>
                <w:color w:val="000000" w:themeColor="text1"/>
                <w:spacing w:val="-3"/>
                <w:sz w:val="24"/>
                <w:szCs w:val="24"/>
              </w:rPr>
              <w:t xml:space="preserve"> </w:t>
            </w:r>
            <w:r w:rsidRPr="00C56257">
              <w:rPr>
                <w:color w:val="000000" w:themeColor="text1"/>
                <w:sz w:val="24"/>
                <w:szCs w:val="24"/>
              </w:rPr>
              <w:t>alpine</w:t>
            </w:r>
            <w:r w:rsidRPr="00C56257">
              <w:rPr>
                <w:color w:val="000000" w:themeColor="text1"/>
                <w:spacing w:val="-2"/>
                <w:sz w:val="24"/>
                <w:szCs w:val="24"/>
              </w:rPr>
              <w:t xml:space="preserve"> </w:t>
            </w:r>
            <w:r w:rsidRPr="00C56257">
              <w:rPr>
                <w:color w:val="000000" w:themeColor="text1"/>
                <w:sz w:val="24"/>
                <w:szCs w:val="24"/>
              </w:rPr>
              <w:t>şi</w:t>
            </w:r>
            <w:r w:rsidRPr="00C56257">
              <w:rPr>
                <w:color w:val="000000" w:themeColor="text1"/>
                <w:spacing w:val="-3"/>
                <w:sz w:val="24"/>
                <w:szCs w:val="24"/>
              </w:rPr>
              <w:t xml:space="preserve"> </w:t>
            </w:r>
            <w:r w:rsidRPr="00C56257">
              <w:rPr>
                <w:color w:val="000000" w:themeColor="text1"/>
                <w:sz w:val="24"/>
                <w:szCs w:val="24"/>
              </w:rPr>
              <w:t>subalpine</w:t>
            </w:r>
          </w:p>
        </w:tc>
        <w:tc>
          <w:tcPr>
            <w:tcW w:w="2410" w:type="dxa"/>
            <w:vAlign w:val="bottom"/>
          </w:tcPr>
          <w:p w14:paraId="7CF07F4F" w14:textId="77777777" w:rsidR="00487855" w:rsidRPr="007B3C6A" w:rsidRDefault="00487855" w:rsidP="00487855">
            <w:pPr>
              <w:pStyle w:val="TableParagraph"/>
              <w:ind w:left="93" w:right="87"/>
              <w:jc w:val="both"/>
              <w:rPr>
                <w:color w:val="000000" w:themeColor="text1"/>
              </w:rPr>
            </w:pPr>
            <w:r w:rsidRPr="007B3C6A">
              <w:rPr>
                <w:color w:val="000000"/>
              </w:rPr>
              <w:t>ROSCI0002</w:t>
            </w:r>
          </w:p>
        </w:tc>
        <w:tc>
          <w:tcPr>
            <w:tcW w:w="3885" w:type="dxa"/>
            <w:vAlign w:val="bottom"/>
          </w:tcPr>
          <w:p w14:paraId="31510538" w14:textId="77777777" w:rsidR="00487855" w:rsidRPr="007B3C6A" w:rsidRDefault="00487855" w:rsidP="00487855">
            <w:pPr>
              <w:pStyle w:val="TableParagraph"/>
              <w:ind w:left="91" w:right="85"/>
              <w:jc w:val="both"/>
              <w:rPr>
                <w:color w:val="000000" w:themeColor="text1"/>
              </w:rPr>
            </w:pPr>
            <w:r w:rsidRPr="007B3C6A">
              <w:rPr>
                <w:color w:val="000000"/>
              </w:rPr>
              <w:t>Apuseni</w:t>
            </w:r>
          </w:p>
        </w:tc>
      </w:tr>
      <w:tr w:rsidR="00487855" w:rsidRPr="00C56257" w14:paraId="406E1979" w14:textId="77777777" w:rsidTr="00487855">
        <w:trPr>
          <w:trHeight w:val="275"/>
        </w:trPr>
        <w:tc>
          <w:tcPr>
            <w:tcW w:w="3410" w:type="dxa"/>
            <w:vMerge/>
            <w:tcBorders>
              <w:top w:val="nil"/>
            </w:tcBorders>
          </w:tcPr>
          <w:p w14:paraId="58CF837A" w14:textId="77777777" w:rsidR="00487855" w:rsidRPr="00C56257" w:rsidRDefault="00487855" w:rsidP="00487855">
            <w:pPr>
              <w:jc w:val="both"/>
              <w:rPr>
                <w:color w:val="000000" w:themeColor="text1"/>
              </w:rPr>
            </w:pPr>
          </w:p>
        </w:tc>
        <w:tc>
          <w:tcPr>
            <w:tcW w:w="2410" w:type="dxa"/>
            <w:vAlign w:val="bottom"/>
          </w:tcPr>
          <w:p w14:paraId="2BF3B783" w14:textId="77777777" w:rsidR="00487855" w:rsidRPr="007B3C6A" w:rsidRDefault="00487855" w:rsidP="00487855">
            <w:pPr>
              <w:pStyle w:val="TableParagraph"/>
              <w:ind w:left="93" w:right="87"/>
              <w:jc w:val="both"/>
              <w:rPr>
                <w:color w:val="000000" w:themeColor="text1"/>
              </w:rPr>
            </w:pPr>
            <w:r w:rsidRPr="007B3C6A">
              <w:rPr>
                <w:color w:val="000000"/>
              </w:rPr>
              <w:t>ROSCI0013</w:t>
            </w:r>
          </w:p>
        </w:tc>
        <w:tc>
          <w:tcPr>
            <w:tcW w:w="3885" w:type="dxa"/>
            <w:vAlign w:val="bottom"/>
          </w:tcPr>
          <w:p w14:paraId="3FD3EE69" w14:textId="77777777" w:rsidR="00487855" w:rsidRPr="007B3C6A" w:rsidRDefault="00487855" w:rsidP="00487855">
            <w:pPr>
              <w:pStyle w:val="TableParagraph"/>
              <w:ind w:left="89" w:right="85"/>
              <w:jc w:val="both"/>
              <w:rPr>
                <w:color w:val="000000" w:themeColor="text1"/>
              </w:rPr>
            </w:pPr>
            <w:r w:rsidRPr="007B3C6A">
              <w:rPr>
                <w:color w:val="000000"/>
              </w:rPr>
              <w:t>Bucegi</w:t>
            </w:r>
          </w:p>
        </w:tc>
      </w:tr>
      <w:tr w:rsidR="00487855" w:rsidRPr="00C56257" w14:paraId="4795E9DA" w14:textId="77777777" w:rsidTr="00487855">
        <w:trPr>
          <w:trHeight w:val="275"/>
        </w:trPr>
        <w:tc>
          <w:tcPr>
            <w:tcW w:w="3410" w:type="dxa"/>
            <w:vMerge/>
            <w:tcBorders>
              <w:top w:val="nil"/>
            </w:tcBorders>
          </w:tcPr>
          <w:p w14:paraId="5AD3FCF0" w14:textId="77777777" w:rsidR="00487855" w:rsidRPr="00C56257" w:rsidRDefault="00487855" w:rsidP="00487855">
            <w:pPr>
              <w:jc w:val="both"/>
              <w:rPr>
                <w:color w:val="000000" w:themeColor="text1"/>
              </w:rPr>
            </w:pPr>
          </w:p>
        </w:tc>
        <w:tc>
          <w:tcPr>
            <w:tcW w:w="2410" w:type="dxa"/>
            <w:vAlign w:val="bottom"/>
          </w:tcPr>
          <w:p w14:paraId="119B760E" w14:textId="77777777" w:rsidR="00487855" w:rsidRPr="007B3C6A" w:rsidRDefault="00487855" w:rsidP="006D54D7">
            <w:pPr>
              <w:pStyle w:val="TableParagraph"/>
              <w:ind w:left="93" w:right="87"/>
              <w:jc w:val="both"/>
              <w:rPr>
                <w:color w:val="000000" w:themeColor="text1"/>
              </w:rPr>
            </w:pPr>
            <w:r w:rsidRPr="007B3C6A">
              <w:rPr>
                <w:color w:val="000000"/>
              </w:rPr>
              <w:t>ROS</w:t>
            </w:r>
            <w:r w:rsidR="006D54D7">
              <w:rPr>
                <w:color w:val="000000"/>
              </w:rPr>
              <w:t>AC</w:t>
            </w:r>
            <w:r w:rsidRPr="007B3C6A">
              <w:rPr>
                <w:color w:val="000000"/>
              </w:rPr>
              <w:t>0015</w:t>
            </w:r>
          </w:p>
        </w:tc>
        <w:tc>
          <w:tcPr>
            <w:tcW w:w="3885" w:type="dxa"/>
            <w:vAlign w:val="bottom"/>
          </w:tcPr>
          <w:p w14:paraId="140CBC06" w14:textId="77777777" w:rsidR="00487855" w:rsidRPr="007B3C6A" w:rsidRDefault="00487855" w:rsidP="00487855">
            <w:pPr>
              <w:pStyle w:val="TableParagraph"/>
              <w:ind w:left="91" w:right="82"/>
              <w:jc w:val="both"/>
              <w:rPr>
                <w:color w:val="000000" w:themeColor="text1"/>
              </w:rPr>
            </w:pPr>
            <w:r w:rsidRPr="007B3C6A">
              <w:rPr>
                <w:color w:val="000000"/>
              </w:rPr>
              <w:t>Buila - Vânturarița</w:t>
            </w:r>
          </w:p>
        </w:tc>
      </w:tr>
      <w:tr w:rsidR="00487855" w:rsidRPr="00C56257" w14:paraId="1D4A8185" w14:textId="77777777" w:rsidTr="00487855">
        <w:trPr>
          <w:trHeight w:val="277"/>
        </w:trPr>
        <w:tc>
          <w:tcPr>
            <w:tcW w:w="3410" w:type="dxa"/>
            <w:vMerge/>
            <w:tcBorders>
              <w:top w:val="nil"/>
            </w:tcBorders>
          </w:tcPr>
          <w:p w14:paraId="5D392876" w14:textId="77777777" w:rsidR="00487855" w:rsidRPr="00C56257" w:rsidRDefault="00487855" w:rsidP="00487855">
            <w:pPr>
              <w:jc w:val="both"/>
              <w:rPr>
                <w:color w:val="000000" w:themeColor="text1"/>
              </w:rPr>
            </w:pPr>
          </w:p>
        </w:tc>
        <w:tc>
          <w:tcPr>
            <w:tcW w:w="2410" w:type="dxa"/>
            <w:vAlign w:val="bottom"/>
          </w:tcPr>
          <w:p w14:paraId="74D20FA8" w14:textId="77777777" w:rsidR="00487855" w:rsidRPr="007B3C6A" w:rsidRDefault="00487855" w:rsidP="00487855">
            <w:pPr>
              <w:pStyle w:val="TableParagraph"/>
              <w:spacing w:line="258" w:lineRule="exact"/>
              <w:ind w:left="93" w:right="87"/>
              <w:jc w:val="both"/>
              <w:rPr>
                <w:color w:val="000000" w:themeColor="text1"/>
              </w:rPr>
            </w:pPr>
            <w:r w:rsidRPr="007B3C6A">
              <w:rPr>
                <w:color w:val="000000"/>
              </w:rPr>
              <w:t>ROSCI0019</w:t>
            </w:r>
          </w:p>
        </w:tc>
        <w:tc>
          <w:tcPr>
            <w:tcW w:w="3885" w:type="dxa"/>
            <w:vAlign w:val="bottom"/>
          </w:tcPr>
          <w:p w14:paraId="39AF833D" w14:textId="77777777" w:rsidR="00487855" w:rsidRPr="007B3C6A" w:rsidRDefault="00487855" w:rsidP="00487855">
            <w:pPr>
              <w:pStyle w:val="TableParagraph"/>
              <w:spacing w:line="258" w:lineRule="exact"/>
              <w:ind w:left="91" w:right="80"/>
              <w:jc w:val="both"/>
              <w:rPr>
                <w:color w:val="000000" w:themeColor="text1"/>
              </w:rPr>
            </w:pPr>
            <w:r w:rsidRPr="007B3C6A">
              <w:rPr>
                <w:color w:val="000000"/>
              </w:rPr>
              <w:t>Călimani - Gurghiu</w:t>
            </w:r>
          </w:p>
        </w:tc>
      </w:tr>
      <w:tr w:rsidR="00487855" w:rsidRPr="00C56257" w14:paraId="70D037C2" w14:textId="77777777" w:rsidTr="00487855">
        <w:trPr>
          <w:trHeight w:val="275"/>
        </w:trPr>
        <w:tc>
          <w:tcPr>
            <w:tcW w:w="3410" w:type="dxa"/>
            <w:vMerge/>
            <w:tcBorders>
              <w:top w:val="nil"/>
            </w:tcBorders>
          </w:tcPr>
          <w:p w14:paraId="4E57944C" w14:textId="77777777" w:rsidR="00487855" w:rsidRPr="00C56257" w:rsidRDefault="00487855" w:rsidP="00487855">
            <w:pPr>
              <w:jc w:val="both"/>
              <w:rPr>
                <w:color w:val="000000" w:themeColor="text1"/>
              </w:rPr>
            </w:pPr>
          </w:p>
        </w:tc>
        <w:tc>
          <w:tcPr>
            <w:tcW w:w="2410" w:type="dxa"/>
            <w:vAlign w:val="bottom"/>
          </w:tcPr>
          <w:p w14:paraId="10E0FE4E" w14:textId="77777777" w:rsidR="00487855" w:rsidRPr="007B3C6A" w:rsidRDefault="00487855" w:rsidP="00487855">
            <w:pPr>
              <w:pStyle w:val="TableParagraph"/>
              <w:ind w:left="93" w:right="87"/>
              <w:jc w:val="both"/>
              <w:rPr>
                <w:color w:val="000000" w:themeColor="text1"/>
              </w:rPr>
            </w:pPr>
            <w:r w:rsidRPr="007B3C6A">
              <w:rPr>
                <w:color w:val="000000"/>
              </w:rPr>
              <w:t>ROSCI0024</w:t>
            </w:r>
          </w:p>
        </w:tc>
        <w:tc>
          <w:tcPr>
            <w:tcW w:w="3885" w:type="dxa"/>
            <w:vAlign w:val="bottom"/>
          </w:tcPr>
          <w:p w14:paraId="2288AFE2" w14:textId="77777777" w:rsidR="00487855" w:rsidRPr="007B3C6A" w:rsidRDefault="00487855" w:rsidP="00487855">
            <w:pPr>
              <w:pStyle w:val="TableParagraph"/>
              <w:ind w:left="91" w:right="84"/>
              <w:jc w:val="both"/>
              <w:rPr>
                <w:color w:val="000000" w:themeColor="text1"/>
              </w:rPr>
            </w:pPr>
            <w:r w:rsidRPr="007B3C6A">
              <w:rPr>
                <w:color w:val="000000"/>
              </w:rPr>
              <w:t>Ceahlău</w:t>
            </w:r>
          </w:p>
        </w:tc>
      </w:tr>
      <w:tr w:rsidR="00487855" w:rsidRPr="00C56257" w14:paraId="32E0C9A4" w14:textId="77777777" w:rsidTr="00487855">
        <w:trPr>
          <w:trHeight w:val="275"/>
        </w:trPr>
        <w:tc>
          <w:tcPr>
            <w:tcW w:w="3410" w:type="dxa"/>
            <w:vMerge/>
            <w:tcBorders>
              <w:top w:val="nil"/>
            </w:tcBorders>
          </w:tcPr>
          <w:p w14:paraId="7EF7F254" w14:textId="77777777" w:rsidR="00487855" w:rsidRPr="00C56257" w:rsidRDefault="00487855" w:rsidP="00487855">
            <w:pPr>
              <w:jc w:val="both"/>
              <w:rPr>
                <w:color w:val="000000" w:themeColor="text1"/>
              </w:rPr>
            </w:pPr>
          </w:p>
        </w:tc>
        <w:tc>
          <w:tcPr>
            <w:tcW w:w="2410" w:type="dxa"/>
            <w:vAlign w:val="bottom"/>
          </w:tcPr>
          <w:p w14:paraId="09186D3E" w14:textId="77777777" w:rsidR="00487855" w:rsidRPr="007B3C6A" w:rsidRDefault="00487855" w:rsidP="006D54D7">
            <w:pPr>
              <w:pStyle w:val="TableParagraph"/>
              <w:ind w:left="93" w:right="87"/>
              <w:jc w:val="both"/>
              <w:rPr>
                <w:color w:val="000000" w:themeColor="text1"/>
              </w:rPr>
            </w:pPr>
            <w:r w:rsidRPr="007B3C6A">
              <w:rPr>
                <w:color w:val="000000"/>
              </w:rPr>
              <w:t>ROS</w:t>
            </w:r>
            <w:r w:rsidR="006D54D7">
              <w:rPr>
                <w:color w:val="000000"/>
              </w:rPr>
              <w:t>AC</w:t>
            </w:r>
            <w:r w:rsidRPr="007B3C6A">
              <w:rPr>
                <w:color w:val="000000"/>
              </w:rPr>
              <w:t>0027</w:t>
            </w:r>
          </w:p>
        </w:tc>
        <w:tc>
          <w:tcPr>
            <w:tcW w:w="3885" w:type="dxa"/>
            <w:vAlign w:val="bottom"/>
          </w:tcPr>
          <w:p w14:paraId="09238638" w14:textId="77777777" w:rsidR="00487855" w:rsidRPr="007B3C6A" w:rsidRDefault="00487855" w:rsidP="00487855">
            <w:pPr>
              <w:pStyle w:val="TableParagraph"/>
              <w:ind w:left="91" w:right="82"/>
              <w:jc w:val="both"/>
              <w:rPr>
                <w:color w:val="000000" w:themeColor="text1"/>
              </w:rPr>
            </w:pPr>
            <w:r w:rsidRPr="007B3C6A">
              <w:rPr>
                <w:color w:val="000000"/>
              </w:rPr>
              <w:t>Cheile Bicazului - Hășmaș</w:t>
            </w:r>
          </w:p>
        </w:tc>
      </w:tr>
      <w:tr w:rsidR="00487855" w:rsidRPr="00C56257" w14:paraId="3EB834F6" w14:textId="77777777" w:rsidTr="00487855">
        <w:trPr>
          <w:trHeight w:val="275"/>
        </w:trPr>
        <w:tc>
          <w:tcPr>
            <w:tcW w:w="3410" w:type="dxa"/>
            <w:vMerge/>
            <w:tcBorders>
              <w:top w:val="nil"/>
            </w:tcBorders>
          </w:tcPr>
          <w:p w14:paraId="74A4745D" w14:textId="77777777" w:rsidR="00487855" w:rsidRPr="00C56257" w:rsidRDefault="00487855" w:rsidP="00487855">
            <w:pPr>
              <w:jc w:val="both"/>
              <w:rPr>
                <w:color w:val="000000" w:themeColor="text1"/>
              </w:rPr>
            </w:pPr>
          </w:p>
        </w:tc>
        <w:tc>
          <w:tcPr>
            <w:tcW w:w="2410" w:type="dxa"/>
            <w:vAlign w:val="bottom"/>
          </w:tcPr>
          <w:p w14:paraId="6411012E" w14:textId="77777777" w:rsidR="00487855" w:rsidRPr="007B3C6A" w:rsidRDefault="00487855" w:rsidP="00487855">
            <w:pPr>
              <w:pStyle w:val="TableParagraph"/>
              <w:ind w:left="93" w:right="87"/>
              <w:jc w:val="both"/>
              <w:rPr>
                <w:color w:val="000000" w:themeColor="text1"/>
              </w:rPr>
            </w:pPr>
            <w:r w:rsidRPr="007B3C6A">
              <w:rPr>
                <w:color w:val="000000"/>
              </w:rPr>
              <w:t>ROSCI0038</w:t>
            </w:r>
          </w:p>
        </w:tc>
        <w:tc>
          <w:tcPr>
            <w:tcW w:w="3885" w:type="dxa"/>
            <w:vAlign w:val="bottom"/>
          </w:tcPr>
          <w:p w14:paraId="7B67230A" w14:textId="77777777" w:rsidR="00487855" w:rsidRPr="007B3C6A" w:rsidRDefault="00487855" w:rsidP="00487855">
            <w:pPr>
              <w:pStyle w:val="TableParagraph"/>
              <w:ind w:left="91" w:right="80"/>
              <w:jc w:val="both"/>
              <w:rPr>
                <w:color w:val="000000" w:themeColor="text1"/>
              </w:rPr>
            </w:pPr>
            <w:r w:rsidRPr="007B3C6A">
              <w:rPr>
                <w:color w:val="000000"/>
              </w:rPr>
              <w:t>Ciucaș</w:t>
            </w:r>
          </w:p>
        </w:tc>
      </w:tr>
      <w:tr w:rsidR="00487855" w:rsidRPr="00C56257" w14:paraId="296CC597" w14:textId="77777777" w:rsidTr="00487855">
        <w:trPr>
          <w:trHeight w:val="275"/>
        </w:trPr>
        <w:tc>
          <w:tcPr>
            <w:tcW w:w="3410" w:type="dxa"/>
            <w:vMerge/>
            <w:tcBorders>
              <w:top w:val="nil"/>
            </w:tcBorders>
          </w:tcPr>
          <w:p w14:paraId="3BD4A4CC" w14:textId="77777777" w:rsidR="00487855" w:rsidRPr="00C56257" w:rsidRDefault="00487855" w:rsidP="00487855">
            <w:pPr>
              <w:jc w:val="both"/>
              <w:rPr>
                <w:color w:val="000000" w:themeColor="text1"/>
              </w:rPr>
            </w:pPr>
          </w:p>
        </w:tc>
        <w:tc>
          <w:tcPr>
            <w:tcW w:w="2410" w:type="dxa"/>
            <w:vAlign w:val="bottom"/>
          </w:tcPr>
          <w:p w14:paraId="67C3015F" w14:textId="77777777" w:rsidR="00487855" w:rsidRPr="007B3C6A" w:rsidRDefault="00487855" w:rsidP="00487855">
            <w:pPr>
              <w:pStyle w:val="TableParagraph"/>
              <w:ind w:left="93" w:right="87"/>
              <w:jc w:val="both"/>
              <w:rPr>
                <w:color w:val="000000" w:themeColor="text1"/>
              </w:rPr>
            </w:pPr>
            <w:r w:rsidRPr="007B3C6A">
              <w:rPr>
                <w:color w:val="000000"/>
              </w:rPr>
              <w:t>ROSCI0069</w:t>
            </w:r>
          </w:p>
        </w:tc>
        <w:tc>
          <w:tcPr>
            <w:tcW w:w="3885" w:type="dxa"/>
            <w:vAlign w:val="bottom"/>
          </w:tcPr>
          <w:p w14:paraId="3F187C7E" w14:textId="77777777" w:rsidR="00487855" w:rsidRPr="007B3C6A" w:rsidRDefault="00487855" w:rsidP="00487855">
            <w:pPr>
              <w:pStyle w:val="TableParagraph"/>
              <w:ind w:left="91" w:right="80"/>
              <w:jc w:val="both"/>
              <w:rPr>
                <w:color w:val="000000" w:themeColor="text1"/>
              </w:rPr>
            </w:pPr>
            <w:r w:rsidRPr="007B3C6A">
              <w:rPr>
                <w:color w:val="000000"/>
              </w:rPr>
              <w:t>Domogled - Valea Cernei</w:t>
            </w:r>
          </w:p>
        </w:tc>
      </w:tr>
      <w:tr w:rsidR="00487855" w:rsidRPr="00C56257" w14:paraId="7D9CB9E8" w14:textId="77777777" w:rsidTr="00487855">
        <w:trPr>
          <w:trHeight w:val="275"/>
        </w:trPr>
        <w:tc>
          <w:tcPr>
            <w:tcW w:w="3410" w:type="dxa"/>
            <w:vMerge/>
            <w:tcBorders>
              <w:top w:val="nil"/>
            </w:tcBorders>
          </w:tcPr>
          <w:p w14:paraId="4CE50733" w14:textId="77777777" w:rsidR="00487855" w:rsidRPr="00C56257" w:rsidRDefault="00487855" w:rsidP="00487855">
            <w:pPr>
              <w:jc w:val="both"/>
              <w:rPr>
                <w:color w:val="000000" w:themeColor="text1"/>
              </w:rPr>
            </w:pPr>
          </w:p>
        </w:tc>
        <w:tc>
          <w:tcPr>
            <w:tcW w:w="2410" w:type="dxa"/>
            <w:vAlign w:val="bottom"/>
          </w:tcPr>
          <w:p w14:paraId="09520519" w14:textId="77777777" w:rsidR="00487855" w:rsidRPr="007B3C6A" w:rsidRDefault="00487855" w:rsidP="006D54D7">
            <w:pPr>
              <w:pStyle w:val="TableParagraph"/>
              <w:ind w:left="93" w:right="87"/>
              <w:jc w:val="both"/>
              <w:rPr>
                <w:color w:val="000000" w:themeColor="text1"/>
              </w:rPr>
            </w:pPr>
            <w:r w:rsidRPr="007B3C6A">
              <w:rPr>
                <w:color w:val="000000"/>
              </w:rPr>
              <w:t>ROS</w:t>
            </w:r>
            <w:r w:rsidR="006D54D7">
              <w:rPr>
                <w:color w:val="000000"/>
              </w:rPr>
              <w:t>AC</w:t>
            </w:r>
            <w:r w:rsidRPr="007B3C6A">
              <w:rPr>
                <w:color w:val="000000"/>
              </w:rPr>
              <w:t>0121</w:t>
            </w:r>
          </w:p>
        </w:tc>
        <w:tc>
          <w:tcPr>
            <w:tcW w:w="3885" w:type="dxa"/>
            <w:vAlign w:val="bottom"/>
          </w:tcPr>
          <w:p w14:paraId="2A9A5432" w14:textId="77777777" w:rsidR="00487855" w:rsidRPr="007B3C6A" w:rsidRDefault="00487855" w:rsidP="00487855">
            <w:pPr>
              <w:pStyle w:val="TableParagraph"/>
              <w:ind w:left="91" w:right="83"/>
              <w:jc w:val="both"/>
              <w:rPr>
                <w:color w:val="000000" w:themeColor="text1"/>
              </w:rPr>
            </w:pPr>
            <w:r w:rsidRPr="007B3C6A">
              <w:rPr>
                <w:color w:val="000000"/>
              </w:rPr>
              <w:t>Muntele Vulcan</w:t>
            </w:r>
          </w:p>
        </w:tc>
      </w:tr>
      <w:tr w:rsidR="00487855" w:rsidRPr="00C56257" w14:paraId="08EFFF0E" w14:textId="77777777" w:rsidTr="00487855">
        <w:trPr>
          <w:trHeight w:val="277"/>
        </w:trPr>
        <w:tc>
          <w:tcPr>
            <w:tcW w:w="3410" w:type="dxa"/>
            <w:vMerge/>
            <w:tcBorders>
              <w:top w:val="nil"/>
            </w:tcBorders>
          </w:tcPr>
          <w:p w14:paraId="0094FEE2" w14:textId="77777777" w:rsidR="00487855" w:rsidRPr="00C56257" w:rsidRDefault="00487855" w:rsidP="00487855">
            <w:pPr>
              <w:jc w:val="both"/>
              <w:rPr>
                <w:color w:val="000000" w:themeColor="text1"/>
              </w:rPr>
            </w:pPr>
          </w:p>
        </w:tc>
        <w:tc>
          <w:tcPr>
            <w:tcW w:w="2410" w:type="dxa"/>
            <w:vAlign w:val="bottom"/>
          </w:tcPr>
          <w:p w14:paraId="6F02D27B" w14:textId="77777777" w:rsidR="00487855" w:rsidRPr="007B3C6A" w:rsidRDefault="006D54D7" w:rsidP="00487855">
            <w:pPr>
              <w:pStyle w:val="TableParagraph"/>
              <w:spacing w:line="258" w:lineRule="exact"/>
              <w:ind w:left="93" w:right="87"/>
              <w:jc w:val="both"/>
              <w:rPr>
                <w:color w:val="000000" w:themeColor="text1"/>
              </w:rPr>
            </w:pPr>
            <w:r>
              <w:rPr>
                <w:color w:val="000000"/>
              </w:rPr>
              <w:t>ROSAC</w:t>
            </w:r>
            <w:r w:rsidR="00487855" w:rsidRPr="007B3C6A">
              <w:rPr>
                <w:color w:val="000000"/>
              </w:rPr>
              <w:t>0122</w:t>
            </w:r>
          </w:p>
        </w:tc>
        <w:tc>
          <w:tcPr>
            <w:tcW w:w="3885" w:type="dxa"/>
            <w:vAlign w:val="bottom"/>
          </w:tcPr>
          <w:p w14:paraId="5A51A33B" w14:textId="77777777" w:rsidR="00487855" w:rsidRPr="007B3C6A" w:rsidRDefault="00487855" w:rsidP="00487855">
            <w:pPr>
              <w:pStyle w:val="TableParagraph"/>
              <w:spacing w:line="258" w:lineRule="exact"/>
              <w:ind w:left="91" w:right="82"/>
              <w:jc w:val="both"/>
              <w:rPr>
                <w:color w:val="000000" w:themeColor="text1"/>
              </w:rPr>
            </w:pPr>
            <w:r w:rsidRPr="007B3C6A">
              <w:rPr>
                <w:color w:val="000000"/>
              </w:rPr>
              <w:t>Munții Făgăraș</w:t>
            </w:r>
          </w:p>
        </w:tc>
      </w:tr>
      <w:tr w:rsidR="00487855" w:rsidRPr="00C56257" w14:paraId="0D67B9E5" w14:textId="77777777" w:rsidTr="00487855">
        <w:trPr>
          <w:trHeight w:val="275"/>
        </w:trPr>
        <w:tc>
          <w:tcPr>
            <w:tcW w:w="3410" w:type="dxa"/>
            <w:vMerge/>
            <w:tcBorders>
              <w:top w:val="nil"/>
            </w:tcBorders>
          </w:tcPr>
          <w:p w14:paraId="7A186FC9" w14:textId="77777777" w:rsidR="00487855" w:rsidRPr="00C56257" w:rsidRDefault="00487855" w:rsidP="00487855">
            <w:pPr>
              <w:jc w:val="both"/>
              <w:rPr>
                <w:color w:val="000000" w:themeColor="text1"/>
              </w:rPr>
            </w:pPr>
          </w:p>
        </w:tc>
        <w:tc>
          <w:tcPr>
            <w:tcW w:w="2410" w:type="dxa"/>
            <w:vAlign w:val="bottom"/>
          </w:tcPr>
          <w:p w14:paraId="16855899" w14:textId="77777777" w:rsidR="00487855" w:rsidRPr="007B3C6A" w:rsidRDefault="006D54D7" w:rsidP="00487855">
            <w:pPr>
              <w:pStyle w:val="TableParagraph"/>
              <w:ind w:left="93" w:right="87"/>
              <w:jc w:val="both"/>
              <w:rPr>
                <w:color w:val="000000" w:themeColor="text1"/>
              </w:rPr>
            </w:pPr>
            <w:r>
              <w:rPr>
                <w:color w:val="000000"/>
              </w:rPr>
              <w:t>ROSAC</w:t>
            </w:r>
            <w:r w:rsidR="00487855" w:rsidRPr="007B3C6A">
              <w:rPr>
                <w:color w:val="000000"/>
              </w:rPr>
              <w:t>0125</w:t>
            </w:r>
          </w:p>
        </w:tc>
        <w:tc>
          <w:tcPr>
            <w:tcW w:w="3885" w:type="dxa"/>
            <w:vAlign w:val="bottom"/>
          </w:tcPr>
          <w:p w14:paraId="14A4B2B0" w14:textId="77777777" w:rsidR="00487855" w:rsidRPr="007B3C6A" w:rsidRDefault="00487855" w:rsidP="00487855">
            <w:pPr>
              <w:pStyle w:val="TableParagraph"/>
              <w:ind w:left="91" w:right="79"/>
              <w:jc w:val="both"/>
              <w:rPr>
                <w:color w:val="000000" w:themeColor="text1"/>
              </w:rPr>
            </w:pPr>
            <w:r w:rsidRPr="007B3C6A">
              <w:rPr>
                <w:color w:val="000000"/>
              </w:rPr>
              <w:t>Munții Rodnei</w:t>
            </w:r>
          </w:p>
        </w:tc>
      </w:tr>
      <w:tr w:rsidR="00487855" w:rsidRPr="00C56257" w14:paraId="69F40DE4" w14:textId="77777777" w:rsidTr="00487855">
        <w:trPr>
          <w:trHeight w:val="276"/>
        </w:trPr>
        <w:tc>
          <w:tcPr>
            <w:tcW w:w="3410" w:type="dxa"/>
            <w:vMerge/>
            <w:tcBorders>
              <w:top w:val="nil"/>
            </w:tcBorders>
          </w:tcPr>
          <w:p w14:paraId="5F534342" w14:textId="77777777" w:rsidR="00487855" w:rsidRPr="00C56257" w:rsidRDefault="00487855" w:rsidP="00487855">
            <w:pPr>
              <w:jc w:val="both"/>
              <w:rPr>
                <w:color w:val="000000" w:themeColor="text1"/>
              </w:rPr>
            </w:pPr>
          </w:p>
        </w:tc>
        <w:tc>
          <w:tcPr>
            <w:tcW w:w="2410" w:type="dxa"/>
            <w:vAlign w:val="bottom"/>
          </w:tcPr>
          <w:p w14:paraId="1848163E" w14:textId="77777777" w:rsidR="00487855" w:rsidRPr="007B3C6A" w:rsidRDefault="00487855" w:rsidP="00487855">
            <w:pPr>
              <w:pStyle w:val="TableParagraph"/>
              <w:ind w:left="93" w:right="87"/>
              <w:jc w:val="both"/>
              <w:rPr>
                <w:color w:val="000000" w:themeColor="text1"/>
              </w:rPr>
            </w:pPr>
            <w:r w:rsidRPr="007B3C6A">
              <w:rPr>
                <w:color w:val="000000"/>
              </w:rPr>
              <w:t>ROSCI0126</w:t>
            </w:r>
          </w:p>
        </w:tc>
        <w:tc>
          <w:tcPr>
            <w:tcW w:w="3885" w:type="dxa"/>
            <w:vAlign w:val="bottom"/>
          </w:tcPr>
          <w:p w14:paraId="208A0525" w14:textId="77777777" w:rsidR="00487855" w:rsidRPr="007B3C6A" w:rsidRDefault="00487855" w:rsidP="00487855">
            <w:pPr>
              <w:pStyle w:val="TableParagraph"/>
              <w:ind w:left="90" w:right="85"/>
              <w:jc w:val="both"/>
              <w:rPr>
                <w:color w:val="000000" w:themeColor="text1"/>
              </w:rPr>
            </w:pPr>
            <w:r w:rsidRPr="007B3C6A">
              <w:rPr>
                <w:color w:val="000000"/>
              </w:rPr>
              <w:t>Munții Țarcu</w:t>
            </w:r>
          </w:p>
        </w:tc>
      </w:tr>
      <w:tr w:rsidR="00487855" w:rsidRPr="00C56257" w14:paraId="1AE62398" w14:textId="77777777" w:rsidTr="00487855">
        <w:trPr>
          <w:trHeight w:val="275"/>
        </w:trPr>
        <w:tc>
          <w:tcPr>
            <w:tcW w:w="3410" w:type="dxa"/>
            <w:vMerge/>
            <w:tcBorders>
              <w:top w:val="nil"/>
            </w:tcBorders>
          </w:tcPr>
          <w:p w14:paraId="52C5DF89" w14:textId="77777777" w:rsidR="00487855" w:rsidRPr="00C56257" w:rsidRDefault="00487855" w:rsidP="00487855">
            <w:pPr>
              <w:jc w:val="both"/>
              <w:rPr>
                <w:color w:val="000000" w:themeColor="text1"/>
              </w:rPr>
            </w:pPr>
          </w:p>
        </w:tc>
        <w:tc>
          <w:tcPr>
            <w:tcW w:w="2410" w:type="dxa"/>
            <w:vAlign w:val="bottom"/>
          </w:tcPr>
          <w:p w14:paraId="0C1D6057" w14:textId="77777777" w:rsidR="00487855" w:rsidRPr="007B3C6A" w:rsidRDefault="006D54D7" w:rsidP="00487855">
            <w:pPr>
              <w:pStyle w:val="TableParagraph"/>
              <w:ind w:left="93" w:right="87"/>
              <w:jc w:val="both"/>
              <w:rPr>
                <w:color w:val="000000" w:themeColor="text1"/>
              </w:rPr>
            </w:pPr>
            <w:r>
              <w:rPr>
                <w:color w:val="000000"/>
              </w:rPr>
              <w:t>ROSAC</w:t>
            </w:r>
            <w:r w:rsidR="00487855" w:rsidRPr="007B3C6A">
              <w:rPr>
                <w:color w:val="000000"/>
              </w:rPr>
              <w:t>0128</w:t>
            </w:r>
          </w:p>
        </w:tc>
        <w:tc>
          <w:tcPr>
            <w:tcW w:w="3885" w:type="dxa"/>
            <w:vAlign w:val="bottom"/>
          </w:tcPr>
          <w:p w14:paraId="5E05ADB7" w14:textId="77777777" w:rsidR="00487855" w:rsidRPr="007B3C6A" w:rsidRDefault="00487855" w:rsidP="00487855">
            <w:pPr>
              <w:pStyle w:val="TableParagraph"/>
              <w:ind w:left="91" w:right="79"/>
              <w:jc w:val="both"/>
              <w:rPr>
                <w:color w:val="000000" w:themeColor="text1"/>
              </w:rPr>
            </w:pPr>
            <w:r w:rsidRPr="007B3C6A">
              <w:rPr>
                <w:color w:val="000000"/>
              </w:rPr>
              <w:t>Nordul Gorjului de Est</w:t>
            </w:r>
          </w:p>
        </w:tc>
      </w:tr>
      <w:tr w:rsidR="00487855" w:rsidRPr="00C56257" w14:paraId="69DDD2AC" w14:textId="77777777" w:rsidTr="00487855">
        <w:trPr>
          <w:trHeight w:val="275"/>
        </w:trPr>
        <w:tc>
          <w:tcPr>
            <w:tcW w:w="3410" w:type="dxa"/>
            <w:vMerge/>
            <w:tcBorders>
              <w:top w:val="nil"/>
            </w:tcBorders>
          </w:tcPr>
          <w:p w14:paraId="09F03718" w14:textId="77777777" w:rsidR="00487855" w:rsidRPr="00C56257" w:rsidRDefault="00487855" w:rsidP="00487855">
            <w:pPr>
              <w:jc w:val="both"/>
              <w:rPr>
                <w:color w:val="000000" w:themeColor="text1"/>
              </w:rPr>
            </w:pPr>
          </w:p>
        </w:tc>
        <w:tc>
          <w:tcPr>
            <w:tcW w:w="2410" w:type="dxa"/>
            <w:vAlign w:val="bottom"/>
          </w:tcPr>
          <w:p w14:paraId="5F7E4206" w14:textId="77777777" w:rsidR="00487855" w:rsidRPr="007B3C6A" w:rsidRDefault="006D54D7" w:rsidP="00487855">
            <w:pPr>
              <w:pStyle w:val="TableParagraph"/>
              <w:ind w:left="93" w:right="87"/>
              <w:jc w:val="both"/>
              <w:rPr>
                <w:color w:val="000000" w:themeColor="text1"/>
              </w:rPr>
            </w:pPr>
            <w:r>
              <w:rPr>
                <w:color w:val="000000"/>
              </w:rPr>
              <w:t>ROSAC</w:t>
            </w:r>
            <w:r w:rsidR="00487855" w:rsidRPr="007B3C6A">
              <w:rPr>
                <w:color w:val="000000"/>
              </w:rPr>
              <w:t>0129</w:t>
            </w:r>
          </w:p>
        </w:tc>
        <w:tc>
          <w:tcPr>
            <w:tcW w:w="3885" w:type="dxa"/>
            <w:vAlign w:val="bottom"/>
          </w:tcPr>
          <w:p w14:paraId="09B7C3C3" w14:textId="77777777" w:rsidR="00487855" w:rsidRPr="007B3C6A" w:rsidRDefault="00487855" w:rsidP="00487855">
            <w:pPr>
              <w:pStyle w:val="TableParagraph"/>
              <w:ind w:left="91" w:right="84"/>
              <w:jc w:val="both"/>
              <w:rPr>
                <w:color w:val="000000" w:themeColor="text1"/>
              </w:rPr>
            </w:pPr>
            <w:r w:rsidRPr="007B3C6A">
              <w:rPr>
                <w:color w:val="000000"/>
              </w:rPr>
              <w:t>Nordul Gorjului de Vest</w:t>
            </w:r>
          </w:p>
        </w:tc>
      </w:tr>
      <w:tr w:rsidR="00487855" w:rsidRPr="00C56257" w14:paraId="41689136" w14:textId="77777777" w:rsidTr="00487855">
        <w:trPr>
          <w:trHeight w:val="275"/>
        </w:trPr>
        <w:tc>
          <w:tcPr>
            <w:tcW w:w="3410" w:type="dxa"/>
            <w:vMerge/>
            <w:tcBorders>
              <w:top w:val="nil"/>
            </w:tcBorders>
          </w:tcPr>
          <w:p w14:paraId="7DE81195" w14:textId="77777777" w:rsidR="00487855" w:rsidRPr="00C56257" w:rsidRDefault="00487855" w:rsidP="00487855">
            <w:pPr>
              <w:jc w:val="both"/>
              <w:rPr>
                <w:color w:val="000000" w:themeColor="text1"/>
              </w:rPr>
            </w:pPr>
          </w:p>
        </w:tc>
        <w:tc>
          <w:tcPr>
            <w:tcW w:w="2410" w:type="dxa"/>
            <w:vAlign w:val="bottom"/>
          </w:tcPr>
          <w:p w14:paraId="4AF7800F" w14:textId="77777777" w:rsidR="00487855" w:rsidRPr="007B3C6A" w:rsidRDefault="006D54D7" w:rsidP="00487855">
            <w:pPr>
              <w:pStyle w:val="TableParagraph"/>
              <w:ind w:left="93" w:right="87"/>
              <w:jc w:val="both"/>
              <w:rPr>
                <w:color w:val="000000" w:themeColor="text1"/>
              </w:rPr>
            </w:pPr>
            <w:r>
              <w:rPr>
                <w:color w:val="000000"/>
              </w:rPr>
              <w:t>ROSAC</w:t>
            </w:r>
            <w:r w:rsidR="00487855" w:rsidRPr="007B3C6A">
              <w:rPr>
                <w:color w:val="000000"/>
              </w:rPr>
              <w:t>0188</w:t>
            </w:r>
          </w:p>
        </w:tc>
        <w:tc>
          <w:tcPr>
            <w:tcW w:w="3885" w:type="dxa"/>
            <w:vAlign w:val="bottom"/>
          </w:tcPr>
          <w:p w14:paraId="13F88DE7" w14:textId="77777777" w:rsidR="00487855" w:rsidRPr="007B3C6A" w:rsidRDefault="00487855" w:rsidP="00487855">
            <w:pPr>
              <w:pStyle w:val="TableParagraph"/>
              <w:ind w:left="91" w:right="79"/>
              <w:jc w:val="both"/>
              <w:rPr>
                <w:color w:val="000000" w:themeColor="text1"/>
              </w:rPr>
            </w:pPr>
            <w:r w:rsidRPr="007B3C6A">
              <w:rPr>
                <w:color w:val="000000"/>
              </w:rPr>
              <w:t>Parâng</w:t>
            </w:r>
          </w:p>
        </w:tc>
      </w:tr>
      <w:tr w:rsidR="00487855" w:rsidRPr="00C56257" w14:paraId="68A87CBB" w14:textId="77777777" w:rsidTr="00487855">
        <w:trPr>
          <w:trHeight w:val="278"/>
        </w:trPr>
        <w:tc>
          <w:tcPr>
            <w:tcW w:w="3410" w:type="dxa"/>
            <w:vMerge/>
            <w:tcBorders>
              <w:top w:val="nil"/>
            </w:tcBorders>
          </w:tcPr>
          <w:p w14:paraId="6397AA98" w14:textId="77777777" w:rsidR="00487855" w:rsidRPr="00C56257" w:rsidRDefault="00487855" w:rsidP="00487855">
            <w:pPr>
              <w:jc w:val="both"/>
              <w:rPr>
                <w:color w:val="000000" w:themeColor="text1"/>
              </w:rPr>
            </w:pPr>
          </w:p>
        </w:tc>
        <w:tc>
          <w:tcPr>
            <w:tcW w:w="2410" w:type="dxa"/>
            <w:vAlign w:val="bottom"/>
          </w:tcPr>
          <w:p w14:paraId="4C786B39" w14:textId="77777777" w:rsidR="00487855" w:rsidRPr="007B3C6A" w:rsidRDefault="006D54D7" w:rsidP="00487855">
            <w:pPr>
              <w:pStyle w:val="TableParagraph"/>
              <w:spacing w:line="258" w:lineRule="exact"/>
              <w:ind w:left="93" w:right="87"/>
              <w:jc w:val="both"/>
              <w:rPr>
                <w:color w:val="000000" w:themeColor="text1"/>
              </w:rPr>
            </w:pPr>
            <w:r>
              <w:rPr>
                <w:color w:val="000000"/>
              </w:rPr>
              <w:t>ROSAC</w:t>
            </w:r>
            <w:r w:rsidR="00487855" w:rsidRPr="007B3C6A">
              <w:rPr>
                <w:color w:val="000000"/>
              </w:rPr>
              <w:t>0194</w:t>
            </w:r>
          </w:p>
        </w:tc>
        <w:tc>
          <w:tcPr>
            <w:tcW w:w="3885" w:type="dxa"/>
            <w:vAlign w:val="bottom"/>
          </w:tcPr>
          <w:p w14:paraId="42B65A06" w14:textId="77777777" w:rsidR="00487855" w:rsidRPr="007B3C6A" w:rsidRDefault="00487855" w:rsidP="00487855">
            <w:pPr>
              <w:pStyle w:val="TableParagraph"/>
              <w:spacing w:line="258" w:lineRule="exact"/>
              <w:ind w:left="91" w:right="83"/>
              <w:jc w:val="both"/>
              <w:rPr>
                <w:color w:val="000000" w:themeColor="text1"/>
              </w:rPr>
            </w:pPr>
            <w:r w:rsidRPr="007B3C6A">
              <w:rPr>
                <w:color w:val="000000"/>
              </w:rPr>
              <w:t>Piatra Craiului</w:t>
            </w:r>
          </w:p>
        </w:tc>
      </w:tr>
      <w:tr w:rsidR="00487855" w:rsidRPr="00C56257" w14:paraId="46B1B58C" w14:textId="77777777" w:rsidTr="00487855">
        <w:trPr>
          <w:trHeight w:val="275"/>
        </w:trPr>
        <w:tc>
          <w:tcPr>
            <w:tcW w:w="3410" w:type="dxa"/>
            <w:vMerge/>
            <w:tcBorders>
              <w:top w:val="nil"/>
            </w:tcBorders>
          </w:tcPr>
          <w:p w14:paraId="22C608FF" w14:textId="77777777" w:rsidR="00487855" w:rsidRPr="00C56257" w:rsidRDefault="00487855" w:rsidP="00487855">
            <w:pPr>
              <w:jc w:val="both"/>
              <w:rPr>
                <w:color w:val="000000" w:themeColor="text1"/>
              </w:rPr>
            </w:pPr>
          </w:p>
        </w:tc>
        <w:tc>
          <w:tcPr>
            <w:tcW w:w="2410" w:type="dxa"/>
            <w:vAlign w:val="bottom"/>
          </w:tcPr>
          <w:p w14:paraId="2253EA2B" w14:textId="77777777" w:rsidR="00487855" w:rsidRPr="007B3C6A" w:rsidRDefault="00487855" w:rsidP="00487855">
            <w:pPr>
              <w:pStyle w:val="TableParagraph"/>
              <w:ind w:left="93" w:right="87"/>
              <w:jc w:val="both"/>
              <w:rPr>
                <w:color w:val="000000" w:themeColor="text1"/>
              </w:rPr>
            </w:pPr>
            <w:r w:rsidRPr="007B3C6A">
              <w:rPr>
                <w:color w:val="000000"/>
              </w:rPr>
              <w:t>ROSCI0207</w:t>
            </w:r>
          </w:p>
        </w:tc>
        <w:tc>
          <w:tcPr>
            <w:tcW w:w="3885" w:type="dxa"/>
            <w:vAlign w:val="bottom"/>
          </w:tcPr>
          <w:p w14:paraId="084B2AB2" w14:textId="77777777" w:rsidR="00487855" w:rsidRPr="007B3C6A" w:rsidRDefault="00487855" w:rsidP="00487855">
            <w:pPr>
              <w:pStyle w:val="TableParagraph"/>
              <w:ind w:left="91" w:right="82"/>
              <w:jc w:val="both"/>
              <w:rPr>
                <w:color w:val="000000" w:themeColor="text1"/>
              </w:rPr>
            </w:pPr>
            <w:r w:rsidRPr="007B3C6A">
              <w:rPr>
                <w:color w:val="000000"/>
              </w:rPr>
              <w:t>Postăvarul</w:t>
            </w:r>
          </w:p>
        </w:tc>
      </w:tr>
      <w:tr w:rsidR="00487855" w:rsidRPr="00C56257" w14:paraId="3AD00EA9" w14:textId="77777777" w:rsidTr="00487855">
        <w:trPr>
          <w:trHeight w:val="275"/>
        </w:trPr>
        <w:tc>
          <w:tcPr>
            <w:tcW w:w="3410" w:type="dxa"/>
            <w:vMerge/>
            <w:tcBorders>
              <w:top w:val="nil"/>
            </w:tcBorders>
          </w:tcPr>
          <w:p w14:paraId="2A8E8F42" w14:textId="77777777" w:rsidR="00487855" w:rsidRPr="00C56257" w:rsidRDefault="00487855" w:rsidP="00487855">
            <w:pPr>
              <w:jc w:val="both"/>
              <w:rPr>
                <w:color w:val="000000" w:themeColor="text1"/>
              </w:rPr>
            </w:pPr>
          </w:p>
        </w:tc>
        <w:tc>
          <w:tcPr>
            <w:tcW w:w="2410" w:type="dxa"/>
            <w:vAlign w:val="bottom"/>
          </w:tcPr>
          <w:p w14:paraId="3A1A90D2" w14:textId="77777777" w:rsidR="00487855" w:rsidRPr="007B3C6A" w:rsidRDefault="00487855" w:rsidP="006D54D7">
            <w:pPr>
              <w:pStyle w:val="TableParagraph"/>
              <w:ind w:left="93" w:right="87"/>
              <w:jc w:val="both"/>
              <w:rPr>
                <w:color w:val="000000" w:themeColor="text1"/>
              </w:rPr>
            </w:pPr>
            <w:r w:rsidRPr="007B3C6A">
              <w:rPr>
                <w:color w:val="000000"/>
              </w:rPr>
              <w:t>ROS</w:t>
            </w:r>
            <w:r w:rsidR="006D54D7">
              <w:rPr>
                <w:color w:val="000000"/>
              </w:rPr>
              <w:t>AC</w:t>
            </w:r>
            <w:r w:rsidRPr="007B3C6A">
              <w:rPr>
                <w:color w:val="000000"/>
              </w:rPr>
              <w:t>0212</w:t>
            </w:r>
          </w:p>
        </w:tc>
        <w:tc>
          <w:tcPr>
            <w:tcW w:w="3885" w:type="dxa"/>
            <w:vAlign w:val="bottom"/>
          </w:tcPr>
          <w:p w14:paraId="2832AAD2" w14:textId="77777777" w:rsidR="00487855" w:rsidRPr="007B3C6A" w:rsidRDefault="00487855" w:rsidP="00487855">
            <w:pPr>
              <w:pStyle w:val="TableParagraph"/>
              <w:ind w:left="90" w:right="85"/>
              <w:jc w:val="both"/>
              <w:rPr>
                <w:color w:val="000000" w:themeColor="text1"/>
              </w:rPr>
            </w:pPr>
            <w:r w:rsidRPr="007B3C6A">
              <w:rPr>
                <w:color w:val="000000"/>
              </w:rPr>
              <w:t>Rarău - Giumalău</w:t>
            </w:r>
          </w:p>
        </w:tc>
      </w:tr>
      <w:tr w:rsidR="00487855" w:rsidRPr="00C56257" w14:paraId="25109AB4" w14:textId="77777777" w:rsidTr="00487855">
        <w:trPr>
          <w:trHeight w:val="275"/>
        </w:trPr>
        <w:tc>
          <w:tcPr>
            <w:tcW w:w="3410" w:type="dxa"/>
            <w:vMerge/>
            <w:tcBorders>
              <w:top w:val="nil"/>
            </w:tcBorders>
          </w:tcPr>
          <w:p w14:paraId="5ACF3119" w14:textId="77777777" w:rsidR="00487855" w:rsidRPr="00C56257" w:rsidRDefault="00487855" w:rsidP="00487855">
            <w:pPr>
              <w:jc w:val="both"/>
              <w:rPr>
                <w:color w:val="000000" w:themeColor="text1"/>
              </w:rPr>
            </w:pPr>
          </w:p>
        </w:tc>
        <w:tc>
          <w:tcPr>
            <w:tcW w:w="2410" w:type="dxa"/>
            <w:vAlign w:val="bottom"/>
          </w:tcPr>
          <w:p w14:paraId="599B85C4" w14:textId="77777777" w:rsidR="00487855" w:rsidRPr="007B3C6A" w:rsidRDefault="00487855" w:rsidP="006D54D7">
            <w:pPr>
              <w:pStyle w:val="TableParagraph"/>
              <w:ind w:left="93" w:right="87"/>
              <w:jc w:val="both"/>
              <w:rPr>
                <w:color w:val="000000" w:themeColor="text1"/>
              </w:rPr>
            </w:pPr>
            <w:r w:rsidRPr="007B3C6A">
              <w:rPr>
                <w:color w:val="000000"/>
              </w:rPr>
              <w:t>ROS</w:t>
            </w:r>
            <w:r w:rsidR="006D54D7">
              <w:rPr>
                <w:color w:val="000000"/>
              </w:rPr>
              <w:t>AC</w:t>
            </w:r>
            <w:r w:rsidRPr="007B3C6A">
              <w:rPr>
                <w:color w:val="000000"/>
              </w:rPr>
              <w:t>0239</w:t>
            </w:r>
          </w:p>
        </w:tc>
        <w:tc>
          <w:tcPr>
            <w:tcW w:w="3885" w:type="dxa"/>
            <w:vAlign w:val="bottom"/>
          </w:tcPr>
          <w:p w14:paraId="3E678971" w14:textId="77777777" w:rsidR="00487855" w:rsidRPr="007B3C6A" w:rsidRDefault="00487855" w:rsidP="00487855">
            <w:pPr>
              <w:pStyle w:val="TableParagraph"/>
              <w:ind w:left="90" w:right="85"/>
              <w:jc w:val="both"/>
              <w:rPr>
                <w:color w:val="000000" w:themeColor="text1"/>
              </w:rPr>
            </w:pPr>
            <w:r w:rsidRPr="007B3C6A">
              <w:rPr>
                <w:color w:val="000000"/>
              </w:rPr>
              <w:t>Târnovu Mare - Latorița</w:t>
            </w:r>
          </w:p>
        </w:tc>
      </w:tr>
      <w:tr w:rsidR="00487855" w:rsidRPr="00C56257" w14:paraId="07DEBDF1" w14:textId="77777777" w:rsidTr="00487855">
        <w:trPr>
          <w:trHeight w:val="275"/>
        </w:trPr>
        <w:tc>
          <w:tcPr>
            <w:tcW w:w="3410" w:type="dxa"/>
            <w:vMerge/>
            <w:tcBorders>
              <w:top w:val="nil"/>
            </w:tcBorders>
          </w:tcPr>
          <w:p w14:paraId="090BBF64" w14:textId="77777777" w:rsidR="00487855" w:rsidRPr="00C56257" w:rsidRDefault="00487855" w:rsidP="00487855">
            <w:pPr>
              <w:jc w:val="both"/>
              <w:rPr>
                <w:color w:val="000000" w:themeColor="text1"/>
              </w:rPr>
            </w:pPr>
          </w:p>
        </w:tc>
        <w:tc>
          <w:tcPr>
            <w:tcW w:w="2410" w:type="dxa"/>
            <w:vAlign w:val="bottom"/>
          </w:tcPr>
          <w:p w14:paraId="22BA0432" w14:textId="77777777" w:rsidR="00487855" w:rsidRPr="007B3C6A" w:rsidRDefault="00487855" w:rsidP="006D54D7">
            <w:pPr>
              <w:pStyle w:val="TableParagraph"/>
              <w:ind w:left="93" w:right="87"/>
              <w:jc w:val="both"/>
              <w:rPr>
                <w:color w:val="000000" w:themeColor="text1"/>
              </w:rPr>
            </w:pPr>
            <w:r w:rsidRPr="007B3C6A">
              <w:rPr>
                <w:color w:val="000000"/>
              </w:rPr>
              <w:t>ROS</w:t>
            </w:r>
            <w:r w:rsidR="006D54D7">
              <w:rPr>
                <w:color w:val="000000"/>
              </w:rPr>
              <w:t>AC</w:t>
            </w:r>
            <w:r w:rsidRPr="007B3C6A">
              <w:rPr>
                <w:color w:val="000000"/>
              </w:rPr>
              <w:t>0253</w:t>
            </w:r>
          </w:p>
        </w:tc>
        <w:tc>
          <w:tcPr>
            <w:tcW w:w="3885" w:type="dxa"/>
            <w:vAlign w:val="bottom"/>
          </w:tcPr>
          <w:p w14:paraId="553FB3BA" w14:textId="77777777" w:rsidR="00487855" w:rsidRPr="007B3C6A" w:rsidRDefault="00487855" w:rsidP="00487855">
            <w:pPr>
              <w:pStyle w:val="TableParagraph"/>
              <w:ind w:left="91" w:right="84"/>
              <w:jc w:val="both"/>
              <w:rPr>
                <w:color w:val="000000" w:themeColor="text1"/>
              </w:rPr>
            </w:pPr>
            <w:r w:rsidRPr="007B3C6A">
              <w:rPr>
                <w:color w:val="000000"/>
              </w:rPr>
              <w:t>Trascău</w:t>
            </w:r>
          </w:p>
        </w:tc>
      </w:tr>
      <w:tr w:rsidR="00487855" w:rsidRPr="00C56257" w14:paraId="6B7DE03E" w14:textId="77777777" w:rsidTr="00487855">
        <w:trPr>
          <w:trHeight w:val="275"/>
        </w:trPr>
        <w:tc>
          <w:tcPr>
            <w:tcW w:w="3410" w:type="dxa"/>
            <w:vMerge/>
            <w:tcBorders>
              <w:top w:val="nil"/>
            </w:tcBorders>
          </w:tcPr>
          <w:p w14:paraId="07297217" w14:textId="77777777" w:rsidR="00487855" w:rsidRPr="00C56257" w:rsidRDefault="00487855" w:rsidP="00487855">
            <w:pPr>
              <w:jc w:val="both"/>
              <w:rPr>
                <w:color w:val="000000" w:themeColor="text1"/>
              </w:rPr>
            </w:pPr>
          </w:p>
        </w:tc>
        <w:tc>
          <w:tcPr>
            <w:tcW w:w="2410" w:type="dxa"/>
            <w:vAlign w:val="bottom"/>
          </w:tcPr>
          <w:p w14:paraId="5C0A7DEC" w14:textId="77777777" w:rsidR="00487855" w:rsidRPr="007B3C6A" w:rsidRDefault="00487855" w:rsidP="00487855">
            <w:pPr>
              <w:pStyle w:val="TableParagraph"/>
              <w:ind w:left="93" w:right="87"/>
              <w:jc w:val="both"/>
              <w:rPr>
                <w:color w:val="000000" w:themeColor="text1"/>
              </w:rPr>
            </w:pPr>
            <w:r w:rsidRPr="007B3C6A">
              <w:rPr>
                <w:color w:val="000000"/>
              </w:rPr>
              <w:t>ROSCI0323</w:t>
            </w:r>
          </w:p>
        </w:tc>
        <w:tc>
          <w:tcPr>
            <w:tcW w:w="3885" w:type="dxa"/>
            <w:vAlign w:val="bottom"/>
          </w:tcPr>
          <w:p w14:paraId="198DAEF6" w14:textId="77777777" w:rsidR="00487855" w:rsidRPr="007B3C6A" w:rsidRDefault="00487855" w:rsidP="00487855">
            <w:pPr>
              <w:pStyle w:val="TableParagraph"/>
              <w:ind w:left="91" w:right="84"/>
              <w:jc w:val="both"/>
              <w:rPr>
                <w:color w:val="000000" w:themeColor="text1"/>
              </w:rPr>
            </w:pPr>
            <w:r w:rsidRPr="007B3C6A">
              <w:rPr>
                <w:color w:val="000000"/>
              </w:rPr>
              <w:t>Munții Ciucului</w:t>
            </w:r>
          </w:p>
        </w:tc>
      </w:tr>
      <w:tr w:rsidR="00487855" w:rsidRPr="00C56257" w14:paraId="65001E3B" w14:textId="77777777" w:rsidTr="00487855">
        <w:trPr>
          <w:trHeight w:val="278"/>
        </w:trPr>
        <w:tc>
          <w:tcPr>
            <w:tcW w:w="3410" w:type="dxa"/>
            <w:vMerge w:val="restart"/>
          </w:tcPr>
          <w:p w14:paraId="5710924C" w14:textId="77777777" w:rsidR="00487855" w:rsidRPr="00C56257" w:rsidRDefault="00487855" w:rsidP="00487855">
            <w:pPr>
              <w:pStyle w:val="TableParagraph"/>
              <w:jc w:val="both"/>
              <w:rPr>
                <w:color w:val="000000" w:themeColor="text1"/>
                <w:sz w:val="24"/>
                <w:szCs w:val="24"/>
              </w:rPr>
            </w:pPr>
          </w:p>
          <w:p w14:paraId="31C95D7A" w14:textId="77777777" w:rsidR="00487855" w:rsidRPr="00C56257" w:rsidRDefault="00487855" w:rsidP="00487855">
            <w:pPr>
              <w:pStyle w:val="TableParagraph"/>
              <w:jc w:val="both"/>
              <w:rPr>
                <w:color w:val="000000" w:themeColor="text1"/>
                <w:sz w:val="24"/>
                <w:szCs w:val="24"/>
              </w:rPr>
            </w:pPr>
          </w:p>
          <w:p w14:paraId="1513F26E" w14:textId="77777777" w:rsidR="00487855" w:rsidRPr="00C56257" w:rsidRDefault="00487855" w:rsidP="00487855">
            <w:pPr>
              <w:pStyle w:val="TableParagraph"/>
              <w:jc w:val="both"/>
              <w:rPr>
                <w:color w:val="000000" w:themeColor="text1"/>
                <w:sz w:val="24"/>
                <w:szCs w:val="24"/>
              </w:rPr>
            </w:pPr>
          </w:p>
          <w:p w14:paraId="39482906" w14:textId="77777777" w:rsidR="00487855" w:rsidRPr="00C56257" w:rsidRDefault="00487855" w:rsidP="00487855">
            <w:pPr>
              <w:pStyle w:val="TableParagraph"/>
              <w:jc w:val="both"/>
              <w:rPr>
                <w:color w:val="000000" w:themeColor="text1"/>
                <w:sz w:val="24"/>
                <w:szCs w:val="24"/>
              </w:rPr>
            </w:pPr>
          </w:p>
          <w:p w14:paraId="205A9476" w14:textId="77777777" w:rsidR="00487855" w:rsidRPr="00C56257" w:rsidRDefault="00487855" w:rsidP="00487855">
            <w:pPr>
              <w:pStyle w:val="TableParagraph"/>
              <w:jc w:val="both"/>
              <w:rPr>
                <w:color w:val="000000" w:themeColor="text1"/>
                <w:sz w:val="24"/>
                <w:szCs w:val="24"/>
              </w:rPr>
            </w:pPr>
          </w:p>
          <w:p w14:paraId="4DFE3F12" w14:textId="77777777" w:rsidR="00487855" w:rsidRPr="00C56257" w:rsidRDefault="00487855" w:rsidP="00487855">
            <w:pPr>
              <w:pStyle w:val="TableParagraph"/>
              <w:spacing w:before="220"/>
              <w:ind w:left="108"/>
              <w:jc w:val="both"/>
              <w:rPr>
                <w:color w:val="000000" w:themeColor="text1"/>
                <w:sz w:val="24"/>
                <w:szCs w:val="24"/>
              </w:rPr>
            </w:pPr>
            <w:r w:rsidRPr="00C56257">
              <w:rPr>
                <w:color w:val="000000" w:themeColor="text1"/>
                <w:sz w:val="24"/>
                <w:szCs w:val="24"/>
              </w:rPr>
              <w:t>6190</w:t>
            </w:r>
            <w:r w:rsidRPr="00C56257">
              <w:rPr>
                <w:color w:val="000000" w:themeColor="text1"/>
                <w:spacing w:val="-2"/>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Pajişti</w:t>
            </w:r>
            <w:r w:rsidRPr="00C56257">
              <w:rPr>
                <w:color w:val="000000" w:themeColor="text1"/>
                <w:spacing w:val="-1"/>
                <w:sz w:val="24"/>
                <w:szCs w:val="24"/>
              </w:rPr>
              <w:t xml:space="preserve"> </w:t>
            </w:r>
            <w:r w:rsidRPr="00C56257">
              <w:rPr>
                <w:color w:val="000000" w:themeColor="text1"/>
                <w:sz w:val="24"/>
                <w:szCs w:val="24"/>
              </w:rPr>
              <w:t>panonice</w:t>
            </w:r>
            <w:r w:rsidRPr="00C56257">
              <w:rPr>
                <w:color w:val="000000" w:themeColor="text1"/>
                <w:spacing w:val="-3"/>
                <w:sz w:val="24"/>
                <w:szCs w:val="24"/>
              </w:rPr>
              <w:t xml:space="preserve"> </w:t>
            </w:r>
            <w:r w:rsidRPr="00C56257">
              <w:rPr>
                <w:color w:val="000000" w:themeColor="text1"/>
                <w:sz w:val="24"/>
                <w:szCs w:val="24"/>
              </w:rPr>
              <w:t>de</w:t>
            </w:r>
            <w:r w:rsidRPr="00C56257">
              <w:rPr>
                <w:color w:val="000000" w:themeColor="text1"/>
                <w:spacing w:val="-2"/>
                <w:sz w:val="24"/>
                <w:szCs w:val="24"/>
              </w:rPr>
              <w:t xml:space="preserve"> </w:t>
            </w:r>
            <w:r w:rsidRPr="00C56257">
              <w:rPr>
                <w:color w:val="000000" w:themeColor="text1"/>
                <w:sz w:val="24"/>
                <w:szCs w:val="24"/>
              </w:rPr>
              <w:t>stâncării</w:t>
            </w:r>
            <w:r w:rsidRPr="00C56257">
              <w:rPr>
                <w:color w:val="000000" w:themeColor="text1"/>
                <w:spacing w:val="-1"/>
                <w:sz w:val="24"/>
                <w:szCs w:val="24"/>
              </w:rPr>
              <w:t xml:space="preserve"> </w:t>
            </w:r>
            <w:r w:rsidRPr="00C56257">
              <w:rPr>
                <w:color w:val="000000" w:themeColor="text1"/>
                <w:sz w:val="24"/>
                <w:szCs w:val="24"/>
              </w:rPr>
              <w:t>(</w:t>
            </w:r>
            <w:r w:rsidRPr="00C56257">
              <w:rPr>
                <w:i/>
                <w:color w:val="000000" w:themeColor="text1"/>
                <w:sz w:val="24"/>
                <w:szCs w:val="24"/>
              </w:rPr>
              <w:t>Stipo-Festucetalia</w:t>
            </w:r>
            <w:r w:rsidRPr="00C56257">
              <w:rPr>
                <w:i/>
                <w:color w:val="000000" w:themeColor="text1"/>
                <w:spacing w:val="-1"/>
                <w:sz w:val="24"/>
                <w:szCs w:val="24"/>
              </w:rPr>
              <w:t xml:space="preserve"> </w:t>
            </w:r>
            <w:r w:rsidRPr="00C56257">
              <w:rPr>
                <w:i/>
                <w:color w:val="000000" w:themeColor="text1"/>
                <w:sz w:val="24"/>
                <w:szCs w:val="24"/>
              </w:rPr>
              <w:t>pallentis</w:t>
            </w:r>
            <w:r w:rsidRPr="00C56257">
              <w:rPr>
                <w:color w:val="000000" w:themeColor="text1"/>
                <w:sz w:val="24"/>
                <w:szCs w:val="24"/>
              </w:rPr>
              <w:t>)</w:t>
            </w:r>
          </w:p>
        </w:tc>
        <w:tc>
          <w:tcPr>
            <w:tcW w:w="2410" w:type="dxa"/>
            <w:vAlign w:val="bottom"/>
          </w:tcPr>
          <w:p w14:paraId="2DC664F7" w14:textId="77777777" w:rsidR="00487855" w:rsidRPr="007B3C6A" w:rsidRDefault="00487855" w:rsidP="00487855">
            <w:pPr>
              <w:pStyle w:val="TableParagraph"/>
              <w:spacing w:line="258" w:lineRule="exact"/>
              <w:ind w:left="93" w:right="87"/>
              <w:jc w:val="both"/>
              <w:rPr>
                <w:color w:val="000000" w:themeColor="text1"/>
              </w:rPr>
            </w:pPr>
            <w:r w:rsidRPr="007B3C6A">
              <w:rPr>
                <w:color w:val="000000"/>
              </w:rPr>
              <w:t>ROSCI0002</w:t>
            </w:r>
          </w:p>
        </w:tc>
        <w:tc>
          <w:tcPr>
            <w:tcW w:w="3885" w:type="dxa"/>
            <w:vAlign w:val="bottom"/>
          </w:tcPr>
          <w:p w14:paraId="2F1C1FE3" w14:textId="77777777" w:rsidR="00487855" w:rsidRPr="007B3C6A" w:rsidRDefault="00487855" w:rsidP="00487855">
            <w:pPr>
              <w:pStyle w:val="TableParagraph"/>
              <w:spacing w:line="258" w:lineRule="exact"/>
              <w:ind w:left="91" w:right="82"/>
              <w:jc w:val="both"/>
              <w:rPr>
                <w:color w:val="000000" w:themeColor="text1"/>
              </w:rPr>
            </w:pPr>
            <w:r w:rsidRPr="007B3C6A">
              <w:rPr>
                <w:color w:val="000000"/>
              </w:rPr>
              <w:t>Apuseni</w:t>
            </w:r>
          </w:p>
        </w:tc>
      </w:tr>
      <w:tr w:rsidR="00487855" w:rsidRPr="00C56257" w14:paraId="33D36353" w14:textId="77777777" w:rsidTr="00487855">
        <w:trPr>
          <w:trHeight w:val="275"/>
        </w:trPr>
        <w:tc>
          <w:tcPr>
            <w:tcW w:w="3410" w:type="dxa"/>
            <w:vMerge/>
            <w:tcBorders>
              <w:top w:val="nil"/>
            </w:tcBorders>
          </w:tcPr>
          <w:p w14:paraId="5094A44F" w14:textId="77777777" w:rsidR="00487855" w:rsidRPr="00C56257" w:rsidRDefault="00487855" w:rsidP="00487855">
            <w:pPr>
              <w:jc w:val="both"/>
              <w:rPr>
                <w:color w:val="000000" w:themeColor="text1"/>
              </w:rPr>
            </w:pPr>
          </w:p>
        </w:tc>
        <w:tc>
          <w:tcPr>
            <w:tcW w:w="2410" w:type="dxa"/>
            <w:vAlign w:val="bottom"/>
          </w:tcPr>
          <w:p w14:paraId="71705399" w14:textId="77777777" w:rsidR="00487855" w:rsidRPr="007B3C6A" w:rsidRDefault="00487855" w:rsidP="006D54D7">
            <w:pPr>
              <w:pStyle w:val="TableParagraph"/>
              <w:ind w:left="93" w:right="87"/>
              <w:jc w:val="both"/>
              <w:rPr>
                <w:color w:val="000000" w:themeColor="text1"/>
              </w:rPr>
            </w:pPr>
            <w:r w:rsidRPr="007B3C6A">
              <w:rPr>
                <w:color w:val="000000"/>
              </w:rPr>
              <w:t>ROS</w:t>
            </w:r>
            <w:r w:rsidR="006D54D7">
              <w:rPr>
                <w:color w:val="000000"/>
              </w:rPr>
              <w:t>AC</w:t>
            </w:r>
            <w:r w:rsidRPr="007B3C6A">
              <w:rPr>
                <w:color w:val="000000"/>
              </w:rPr>
              <w:t>0015</w:t>
            </w:r>
          </w:p>
        </w:tc>
        <w:tc>
          <w:tcPr>
            <w:tcW w:w="3885" w:type="dxa"/>
            <w:vAlign w:val="bottom"/>
          </w:tcPr>
          <w:p w14:paraId="7D43F9CF" w14:textId="77777777" w:rsidR="00487855" w:rsidRPr="007B3C6A" w:rsidRDefault="00487855" w:rsidP="00487855">
            <w:pPr>
              <w:pStyle w:val="TableParagraph"/>
              <w:ind w:left="91" w:right="80"/>
              <w:jc w:val="both"/>
              <w:rPr>
                <w:color w:val="000000" w:themeColor="text1"/>
              </w:rPr>
            </w:pPr>
            <w:r w:rsidRPr="007B3C6A">
              <w:rPr>
                <w:color w:val="000000"/>
              </w:rPr>
              <w:t>Buila - Vânturarița</w:t>
            </w:r>
          </w:p>
        </w:tc>
      </w:tr>
      <w:tr w:rsidR="00487855" w:rsidRPr="00C56257" w14:paraId="3863E057" w14:textId="77777777" w:rsidTr="00487855">
        <w:trPr>
          <w:trHeight w:val="275"/>
        </w:trPr>
        <w:tc>
          <w:tcPr>
            <w:tcW w:w="3410" w:type="dxa"/>
            <w:vMerge/>
            <w:tcBorders>
              <w:top w:val="nil"/>
            </w:tcBorders>
          </w:tcPr>
          <w:p w14:paraId="4F963AFF" w14:textId="77777777" w:rsidR="00487855" w:rsidRPr="00C56257" w:rsidRDefault="00487855" w:rsidP="00487855">
            <w:pPr>
              <w:jc w:val="both"/>
              <w:rPr>
                <w:color w:val="000000" w:themeColor="text1"/>
              </w:rPr>
            </w:pPr>
          </w:p>
        </w:tc>
        <w:tc>
          <w:tcPr>
            <w:tcW w:w="2410" w:type="dxa"/>
            <w:vAlign w:val="bottom"/>
          </w:tcPr>
          <w:p w14:paraId="51622C4A" w14:textId="77777777" w:rsidR="00487855" w:rsidRPr="007B3C6A" w:rsidRDefault="00487855" w:rsidP="006D54D7">
            <w:pPr>
              <w:pStyle w:val="TableParagraph"/>
              <w:ind w:left="93" w:right="87"/>
              <w:jc w:val="both"/>
              <w:rPr>
                <w:color w:val="000000" w:themeColor="text1"/>
              </w:rPr>
            </w:pPr>
            <w:r w:rsidRPr="007B3C6A">
              <w:rPr>
                <w:color w:val="000000"/>
              </w:rPr>
              <w:t>ROS</w:t>
            </w:r>
            <w:r w:rsidR="006D54D7">
              <w:rPr>
                <w:color w:val="000000"/>
              </w:rPr>
              <w:t>AC</w:t>
            </w:r>
            <w:r w:rsidRPr="007B3C6A">
              <w:rPr>
                <w:color w:val="000000"/>
              </w:rPr>
              <w:t>0027</w:t>
            </w:r>
          </w:p>
        </w:tc>
        <w:tc>
          <w:tcPr>
            <w:tcW w:w="3885" w:type="dxa"/>
            <w:vAlign w:val="bottom"/>
          </w:tcPr>
          <w:p w14:paraId="3E4A030D" w14:textId="77777777" w:rsidR="00487855" w:rsidRPr="007B3C6A" w:rsidRDefault="00487855" w:rsidP="00487855">
            <w:pPr>
              <w:pStyle w:val="TableParagraph"/>
              <w:ind w:left="90" w:right="85"/>
              <w:jc w:val="both"/>
              <w:rPr>
                <w:color w:val="000000" w:themeColor="text1"/>
              </w:rPr>
            </w:pPr>
            <w:r w:rsidRPr="007B3C6A">
              <w:rPr>
                <w:color w:val="000000"/>
              </w:rPr>
              <w:t>Cheile Bicazului - Hășmaș</w:t>
            </w:r>
          </w:p>
        </w:tc>
      </w:tr>
      <w:tr w:rsidR="00487855" w:rsidRPr="00C56257" w14:paraId="776BDA77" w14:textId="77777777" w:rsidTr="00487855">
        <w:trPr>
          <w:trHeight w:val="275"/>
        </w:trPr>
        <w:tc>
          <w:tcPr>
            <w:tcW w:w="3410" w:type="dxa"/>
            <w:vMerge/>
            <w:tcBorders>
              <w:top w:val="nil"/>
            </w:tcBorders>
          </w:tcPr>
          <w:p w14:paraId="6AA2428B" w14:textId="77777777" w:rsidR="00487855" w:rsidRPr="00C56257" w:rsidRDefault="00487855" w:rsidP="00487855">
            <w:pPr>
              <w:jc w:val="both"/>
              <w:rPr>
                <w:color w:val="000000" w:themeColor="text1"/>
              </w:rPr>
            </w:pPr>
          </w:p>
        </w:tc>
        <w:tc>
          <w:tcPr>
            <w:tcW w:w="2410" w:type="dxa"/>
            <w:vAlign w:val="bottom"/>
          </w:tcPr>
          <w:p w14:paraId="6DDFBFA3" w14:textId="77777777" w:rsidR="00487855" w:rsidRPr="007B3C6A" w:rsidRDefault="00487855" w:rsidP="00487855">
            <w:pPr>
              <w:pStyle w:val="TableParagraph"/>
              <w:ind w:left="93" w:right="87"/>
              <w:jc w:val="both"/>
              <w:rPr>
                <w:color w:val="000000" w:themeColor="text1"/>
              </w:rPr>
            </w:pPr>
            <w:r w:rsidRPr="007B3C6A">
              <w:rPr>
                <w:color w:val="000000"/>
              </w:rPr>
              <w:t>ROSCI0029</w:t>
            </w:r>
          </w:p>
        </w:tc>
        <w:tc>
          <w:tcPr>
            <w:tcW w:w="3885" w:type="dxa"/>
            <w:vAlign w:val="bottom"/>
          </w:tcPr>
          <w:p w14:paraId="3BC7B4B2" w14:textId="77777777" w:rsidR="00487855" w:rsidRPr="007B3C6A" w:rsidRDefault="00487855" w:rsidP="00487855">
            <w:pPr>
              <w:pStyle w:val="TableParagraph"/>
              <w:ind w:left="91" w:right="81"/>
              <w:jc w:val="both"/>
              <w:rPr>
                <w:color w:val="000000" w:themeColor="text1"/>
              </w:rPr>
            </w:pPr>
            <w:r w:rsidRPr="007B3C6A">
              <w:rPr>
                <w:color w:val="000000"/>
              </w:rPr>
              <w:t>Cheile Glodului, Cibului și Măzii</w:t>
            </w:r>
          </w:p>
        </w:tc>
      </w:tr>
      <w:tr w:rsidR="00487855" w:rsidRPr="00C56257" w14:paraId="28F77FEC" w14:textId="77777777" w:rsidTr="00487855">
        <w:trPr>
          <w:trHeight w:val="275"/>
        </w:trPr>
        <w:tc>
          <w:tcPr>
            <w:tcW w:w="3410" w:type="dxa"/>
            <w:vMerge/>
            <w:tcBorders>
              <w:top w:val="nil"/>
            </w:tcBorders>
          </w:tcPr>
          <w:p w14:paraId="7FA90435" w14:textId="77777777" w:rsidR="00487855" w:rsidRPr="00C56257" w:rsidRDefault="00487855" w:rsidP="00487855">
            <w:pPr>
              <w:jc w:val="both"/>
              <w:rPr>
                <w:color w:val="000000" w:themeColor="text1"/>
              </w:rPr>
            </w:pPr>
          </w:p>
        </w:tc>
        <w:tc>
          <w:tcPr>
            <w:tcW w:w="2410" w:type="dxa"/>
            <w:vAlign w:val="bottom"/>
          </w:tcPr>
          <w:p w14:paraId="1213648F" w14:textId="77777777" w:rsidR="00487855" w:rsidRPr="007B3C6A" w:rsidRDefault="00487855" w:rsidP="00487855">
            <w:pPr>
              <w:pStyle w:val="TableParagraph"/>
              <w:ind w:left="94" w:right="87"/>
              <w:jc w:val="both"/>
              <w:rPr>
                <w:color w:val="000000" w:themeColor="text1"/>
              </w:rPr>
            </w:pPr>
            <w:r w:rsidRPr="007B3C6A">
              <w:rPr>
                <w:color w:val="000000"/>
              </w:rPr>
              <w:t>ROSCI0031</w:t>
            </w:r>
          </w:p>
        </w:tc>
        <w:tc>
          <w:tcPr>
            <w:tcW w:w="3885" w:type="dxa"/>
            <w:vAlign w:val="bottom"/>
          </w:tcPr>
          <w:p w14:paraId="0D058CCE" w14:textId="77777777" w:rsidR="00487855" w:rsidRPr="007B3C6A" w:rsidRDefault="00487855" w:rsidP="00487855">
            <w:pPr>
              <w:pStyle w:val="TableParagraph"/>
              <w:ind w:left="91" w:right="83"/>
              <w:jc w:val="both"/>
              <w:rPr>
                <w:color w:val="000000" w:themeColor="text1"/>
              </w:rPr>
            </w:pPr>
            <w:r w:rsidRPr="007B3C6A">
              <w:rPr>
                <w:color w:val="000000"/>
              </w:rPr>
              <w:t>Cheile Nerei - Beușnița</w:t>
            </w:r>
          </w:p>
        </w:tc>
      </w:tr>
      <w:tr w:rsidR="00487855" w:rsidRPr="00C56257" w14:paraId="275D41BA" w14:textId="77777777" w:rsidTr="00487855">
        <w:trPr>
          <w:trHeight w:val="275"/>
        </w:trPr>
        <w:tc>
          <w:tcPr>
            <w:tcW w:w="3410" w:type="dxa"/>
            <w:vMerge/>
            <w:tcBorders>
              <w:top w:val="nil"/>
            </w:tcBorders>
          </w:tcPr>
          <w:p w14:paraId="39F34658" w14:textId="77777777" w:rsidR="00487855" w:rsidRPr="00C56257" w:rsidRDefault="00487855" w:rsidP="00487855">
            <w:pPr>
              <w:jc w:val="both"/>
              <w:rPr>
                <w:color w:val="000000" w:themeColor="text1"/>
              </w:rPr>
            </w:pPr>
          </w:p>
        </w:tc>
        <w:tc>
          <w:tcPr>
            <w:tcW w:w="2410" w:type="dxa"/>
            <w:vAlign w:val="bottom"/>
          </w:tcPr>
          <w:p w14:paraId="44DE6DFE" w14:textId="77777777" w:rsidR="00487855" w:rsidRPr="007B3C6A" w:rsidRDefault="006D54D7" w:rsidP="00487855">
            <w:pPr>
              <w:pStyle w:val="TableParagraph"/>
              <w:ind w:left="93" w:right="87"/>
              <w:jc w:val="both"/>
              <w:rPr>
                <w:color w:val="000000" w:themeColor="text1"/>
              </w:rPr>
            </w:pPr>
            <w:r>
              <w:rPr>
                <w:color w:val="000000"/>
              </w:rPr>
              <w:t>ROSAC</w:t>
            </w:r>
            <w:r w:rsidR="00487855" w:rsidRPr="007B3C6A">
              <w:rPr>
                <w:color w:val="000000"/>
              </w:rPr>
              <w:t>0032</w:t>
            </w:r>
          </w:p>
        </w:tc>
        <w:tc>
          <w:tcPr>
            <w:tcW w:w="3885" w:type="dxa"/>
            <w:vAlign w:val="bottom"/>
          </w:tcPr>
          <w:p w14:paraId="242E82D1" w14:textId="77777777" w:rsidR="00487855" w:rsidRPr="007B3C6A" w:rsidRDefault="00487855" w:rsidP="00487855">
            <w:pPr>
              <w:pStyle w:val="TableParagraph"/>
              <w:ind w:left="91" w:right="79"/>
              <w:jc w:val="both"/>
              <w:rPr>
                <w:color w:val="000000" w:themeColor="text1"/>
              </w:rPr>
            </w:pPr>
            <w:r w:rsidRPr="007B3C6A">
              <w:rPr>
                <w:color w:val="000000"/>
              </w:rPr>
              <w:t>Cheile Rudăriei</w:t>
            </w:r>
          </w:p>
        </w:tc>
      </w:tr>
      <w:tr w:rsidR="00487855" w:rsidRPr="00C56257" w14:paraId="5DD1973A" w14:textId="77777777" w:rsidTr="00487855">
        <w:trPr>
          <w:trHeight w:val="277"/>
        </w:trPr>
        <w:tc>
          <w:tcPr>
            <w:tcW w:w="3410" w:type="dxa"/>
            <w:vMerge/>
            <w:tcBorders>
              <w:top w:val="nil"/>
            </w:tcBorders>
          </w:tcPr>
          <w:p w14:paraId="3FAF4015" w14:textId="77777777" w:rsidR="00487855" w:rsidRPr="00C56257" w:rsidRDefault="00487855" w:rsidP="00487855">
            <w:pPr>
              <w:jc w:val="both"/>
              <w:rPr>
                <w:color w:val="000000" w:themeColor="text1"/>
              </w:rPr>
            </w:pPr>
          </w:p>
        </w:tc>
        <w:tc>
          <w:tcPr>
            <w:tcW w:w="2410" w:type="dxa"/>
            <w:vAlign w:val="bottom"/>
          </w:tcPr>
          <w:p w14:paraId="413A325B" w14:textId="77777777" w:rsidR="00487855" w:rsidRPr="007B3C6A" w:rsidRDefault="006D54D7" w:rsidP="00487855">
            <w:pPr>
              <w:pStyle w:val="TableParagraph"/>
              <w:spacing w:line="258" w:lineRule="exact"/>
              <w:ind w:left="93" w:right="87"/>
              <w:jc w:val="both"/>
              <w:rPr>
                <w:color w:val="000000" w:themeColor="text1"/>
              </w:rPr>
            </w:pPr>
            <w:r>
              <w:rPr>
                <w:color w:val="000000"/>
              </w:rPr>
              <w:t>ROSAC</w:t>
            </w:r>
            <w:r w:rsidR="00487855" w:rsidRPr="007B3C6A">
              <w:rPr>
                <w:color w:val="000000"/>
              </w:rPr>
              <w:t>0035</w:t>
            </w:r>
          </w:p>
        </w:tc>
        <w:tc>
          <w:tcPr>
            <w:tcW w:w="3885" w:type="dxa"/>
            <w:vAlign w:val="bottom"/>
          </w:tcPr>
          <w:p w14:paraId="70AAA6E5" w14:textId="77777777" w:rsidR="00487855" w:rsidRPr="007B3C6A" w:rsidRDefault="00487855" w:rsidP="00487855">
            <w:pPr>
              <w:pStyle w:val="TableParagraph"/>
              <w:spacing w:line="258" w:lineRule="exact"/>
              <w:ind w:left="91" w:right="79"/>
              <w:jc w:val="both"/>
              <w:rPr>
                <w:color w:val="000000" w:themeColor="text1"/>
              </w:rPr>
            </w:pPr>
            <w:r w:rsidRPr="007B3C6A">
              <w:rPr>
                <w:color w:val="000000"/>
              </w:rPr>
              <w:t>Cheile Turzii</w:t>
            </w:r>
          </w:p>
        </w:tc>
      </w:tr>
      <w:tr w:rsidR="00487855" w:rsidRPr="00C56257" w14:paraId="5AD60057" w14:textId="77777777" w:rsidTr="00487855">
        <w:trPr>
          <w:trHeight w:val="275"/>
        </w:trPr>
        <w:tc>
          <w:tcPr>
            <w:tcW w:w="3410" w:type="dxa"/>
            <w:vMerge/>
            <w:tcBorders>
              <w:top w:val="nil"/>
            </w:tcBorders>
          </w:tcPr>
          <w:p w14:paraId="4CA3659C" w14:textId="77777777" w:rsidR="00487855" w:rsidRPr="00C56257" w:rsidRDefault="00487855" w:rsidP="00487855">
            <w:pPr>
              <w:jc w:val="both"/>
              <w:rPr>
                <w:color w:val="000000" w:themeColor="text1"/>
              </w:rPr>
            </w:pPr>
          </w:p>
        </w:tc>
        <w:tc>
          <w:tcPr>
            <w:tcW w:w="2410" w:type="dxa"/>
            <w:vAlign w:val="bottom"/>
          </w:tcPr>
          <w:p w14:paraId="337DEDD6" w14:textId="77777777" w:rsidR="00487855" w:rsidRPr="007B3C6A" w:rsidRDefault="00487855" w:rsidP="00487855">
            <w:pPr>
              <w:pStyle w:val="TableParagraph"/>
              <w:ind w:left="93" w:right="87"/>
              <w:jc w:val="both"/>
              <w:rPr>
                <w:color w:val="000000" w:themeColor="text1"/>
              </w:rPr>
            </w:pPr>
            <w:r w:rsidRPr="007B3C6A">
              <w:rPr>
                <w:color w:val="000000"/>
              </w:rPr>
              <w:t>ROSCI0063</w:t>
            </w:r>
          </w:p>
        </w:tc>
        <w:tc>
          <w:tcPr>
            <w:tcW w:w="3885" w:type="dxa"/>
            <w:vAlign w:val="bottom"/>
          </w:tcPr>
          <w:p w14:paraId="0119EE42" w14:textId="77777777" w:rsidR="00487855" w:rsidRPr="007B3C6A" w:rsidRDefault="00487855" w:rsidP="00487855">
            <w:pPr>
              <w:pStyle w:val="TableParagraph"/>
              <w:ind w:left="91" w:right="79"/>
              <w:jc w:val="both"/>
              <w:rPr>
                <w:color w:val="000000" w:themeColor="text1"/>
              </w:rPr>
            </w:pPr>
            <w:r w:rsidRPr="007B3C6A">
              <w:rPr>
                <w:color w:val="000000"/>
              </w:rPr>
              <w:t>Defileul Jiului</w:t>
            </w:r>
          </w:p>
        </w:tc>
      </w:tr>
      <w:tr w:rsidR="00487855" w:rsidRPr="00C56257" w14:paraId="1121061A" w14:textId="77777777" w:rsidTr="00487855">
        <w:trPr>
          <w:trHeight w:val="275"/>
        </w:trPr>
        <w:tc>
          <w:tcPr>
            <w:tcW w:w="3410" w:type="dxa"/>
            <w:vMerge/>
            <w:tcBorders>
              <w:top w:val="nil"/>
            </w:tcBorders>
          </w:tcPr>
          <w:p w14:paraId="5ED7E372" w14:textId="77777777" w:rsidR="00487855" w:rsidRPr="00C56257" w:rsidRDefault="00487855" w:rsidP="00487855">
            <w:pPr>
              <w:jc w:val="both"/>
              <w:rPr>
                <w:color w:val="000000" w:themeColor="text1"/>
              </w:rPr>
            </w:pPr>
          </w:p>
        </w:tc>
        <w:tc>
          <w:tcPr>
            <w:tcW w:w="2410" w:type="dxa"/>
            <w:vAlign w:val="bottom"/>
          </w:tcPr>
          <w:p w14:paraId="1B3D698D" w14:textId="77777777" w:rsidR="00487855" w:rsidRPr="007B3C6A" w:rsidRDefault="00487855" w:rsidP="006D54D7">
            <w:pPr>
              <w:pStyle w:val="TableParagraph"/>
              <w:ind w:left="93" w:right="87"/>
              <w:jc w:val="both"/>
              <w:rPr>
                <w:color w:val="000000" w:themeColor="text1"/>
              </w:rPr>
            </w:pPr>
            <w:r w:rsidRPr="007B3C6A">
              <w:rPr>
                <w:color w:val="000000"/>
              </w:rPr>
              <w:t>ROS</w:t>
            </w:r>
            <w:r w:rsidR="006D54D7">
              <w:rPr>
                <w:color w:val="000000"/>
              </w:rPr>
              <w:t>AC</w:t>
            </w:r>
            <w:r w:rsidRPr="007B3C6A">
              <w:rPr>
                <w:color w:val="000000"/>
              </w:rPr>
              <w:t>0069</w:t>
            </w:r>
          </w:p>
        </w:tc>
        <w:tc>
          <w:tcPr>
            <w:tcW w:w="3885" w:type="dxa"/>
            <w:vAlign w:val="bottom"/>
          </w:tcPr>
          <w:p w14:paraId="1E071799" w14:textId="77777777" w:rsidR="00487855" w:rsidRPr="007B3C6A" w:rsidRDefault="00487855" w:rsidP="00487855">
            <w:pPr>
              <w:pStyle w:val="TableParagraph"/>
              <w:ind w:left="91" w:right="82"/>
              <w:jc w:val="both"/>
              <w:rPr>
                <w:color w:val="000000" w:themeColor="text1"/>
              </w:rPr>
            </w:pPr>
            <w:r w:rsidRPr="007B3C6A">
              <w:rPr>
                <w:color w:val="000000"/>
              </w:rPr>
              <w:t>Domogled - Valea Cernei</w:t>
            </w:r>
          </w:p>
        </w:tc>
      </w:tr>
      <w:tr w:rsidR="00487855" w:rsidRPr="00C56257" w14:paraId="4B3CDB64" w14:textId="77777777" w:rsidTr="00487855">
        <w:trPr>
          <w:trHeight w:val="275"/>
        </w:trPr>
        <w:tc>
          <w:tcPr>
            <w:tcW w:w="3410" w:type="dxa"/>
            <w:vMerge/>
            <w:tcBorders>
              <w:top w:val="nil"/>
            </w:tcBorders>
          </w:tcPr>
          <w:p w14:paraId="3AF3CBCB" w14:textId="77777777" w:rsidR="00487855" w:rsidRPr="00C56257" w:rsidRDefault="00487855" w:rsidP="00487855">
            <w:pPr>
              <w:jc w:val="both"/>
              <w:rPr>
                <w:color w:val="000000" w:themeColor="text1"/>
              </w:rPr>
            </w:pPr>
          </w:p>
        </w:tc>
        <w:tc>
          <w:tcPr>
            <w:tcW w:w="2410" w:type="dxa"/>
            <w:vAlign w:val="bottom"/>
          </w:tcPr>
          <w:p w14:paraId="35DDF500" w14:textId="77777777" w:rsidR="00487855" w:rsidRPr="007B3C6A" w:rsidRDefault="00487855" w:rsidP="006D54D7">
            <w:pPr>
              <w:pStyle w:val="TableParagraph"/>
              <w:ind w:left="93" w:right="87"/>
              <w:jc w:val="both"/>
              <w:rPr>
                <w:color w:val="000000" w:themeColor="text1"/>
              </w:rPr>
            </w:pPr>
            <w:r w:rsidRPr="007B3C6A">
              <w:rPr>
                <w:color w:val="000000"/>
              </w:rPr>
              <w:t>ROS</w:t>
            </w:r>
            <w:r w:rsidR="006D54D7">
              <w:rPr>
                <w:color w:val="000000"/>
              </w:rPr>
              <w:t>AC</w:t>
            </w:r>
            <w:r w:rsidRPr="007B3C6A">
              <w:rPr>
                <w:color w:val="000000"/>
              </w:rPr>
              <w:t>0074</w:t>
            </w:r>
          </w:p>
        </w:tc>
        <w:tc>
          <w:tcPr>
            <w:tcW w:w="3885" w:type="dxa"/>
            <w:vAlign w:val="bottom"/>
          </w:tcPr>
          <w:p w14:paraId="1F0CDB11" w14:textId="77777777" w:rsidR="00487855" w:rsidRPr="007B3C6A" w:rsidRDefault="00487855" w:rsidP="00487855">
            <w:pPr>
              <w:pStyle w:val="TableParagraph"/>
              <w:ind w:left="91" w:right="79"/>
              <w:jc w:val="both"/>
              <w:rPr>
                <w:color w:val="000000" w:themeColor="text1"/>
              </w:rPr>
            </w:pPr>
            <w:r w:rsidRPr="007B3C6A">
              <w:rPr>
                <w:color w:val="000000"/>
              </w:rPr>
              <w:t>Făgetul Clujului - Valea Morii</w:t>
            </w:r>
          </w:p>
        </w:tc>
      </w:tr>
      <w:tr w:rsidR="00487855" w:rsidRPr="00C56257" w14:paraId="3B501AB7" w14:textId="77777777" w:rsidTr="00487855">
        <w:trPr>
          <w:trHeight w:val="275"/>
        </w:trPr>
        <w:tc>
          <w:tcPr>
            <w:tcW w:w="3410" w:type="dxa"/>
            <w:vMerge/>
            <w:tcBorders>
              <w:top w:val="nil"/>
            </w:tcBorders>
          </w:tcPr>
          <w:p w14:paraId="78B9585A" w14:textId="77777777" w:rsidR="00487855" w:rsidRPr="00C56257" w:rsidRDefault="00487855" w:rsidP="00487855">
            <w:pPr>
              <w:jc w:val="both"/>
              <w:rPr>
                <w:color w:val="000000" w:themeColor="text1"/>
              </w:rPr>
            </w:pPr>
          </w:p>
        </w:tc>
        <w:tc>
          <w:tcPr>
            <w:tcW w:w="2410" w:type="dxa"/>
            <w:vAlign w:val="bottom"/>
          </w:tcPr>
          <w:p w14:paraId="797F6A68" w14:textId="77777777" w:rsidR="00487855" w:rsidRPr="007B3C6A" w:rsidRDefault="00487855" w:rsidP="006D54D7">
            <w:pPr>
              <w:pStyle w:val="TableParagraph"/>
              <w:ind w:left="93" w:right="87"/>
              <w:jc w:val="both"/>
              <w:rPr>
                <w:color w:val="000000" w:themeColor="text1"/>
              </w:rPr>
            </w:pPr>
            <w:r w:rsidRPr="007B3C6A">
              <w:rPr>
                <w:color w:val="000000"/>
              </w:rPr>
              <w:t>ROS</w:t>
            </w:r>
            <w:r w:rsidR="006D54D7">
              <w:rPr>
                <w:color w:val="000000"/>
              </w:rPr>
              <w:t>AC</w:t>
            </w:r>
            <w:r w:rsidRPr="007B3C6A">
              <w:rPr>
                <w:color w:val="000000"/>
              </w:rPr>
              <w:t>0124</w:t>
            </w:r>
          </w:p>
        </w:tc>
        <w:tc>
          <w:tcPr>
            <w:tcW w:w="3885" w:type="dxa"/>
            <w:vAlign w:val="bottom"/>
          </w:tcPr>
          <w:p w14:paraId="2821FF69" w14:textId="77777777" w:rsidR="00487855" w:rsidRPr="007B3C6A" w:rsidRDefault="00487855" w:rsidP="00487855">
            <w:pPr>
              <w:pStyle w:val="TableParagraph"/>
              <w:ind w:left="91" w:right="84"/>
              <w:jc w:val="both"/>
              <w:rPr>
                <w:color w:val="000000" w:themeColor="text1"/>
              </w:rPr>
            </w:pPr>
            <w:r w:rsidRPr="007B3C6A">
              <w:rPr>
                <w:color w:val="000000"/>
              </w:rPr>
              <w:t>Munții Maramureșului</w:t>
            </w:r>
          </w:p>
        </w:tc>
      </w:tr>
      <w:tr w:rsidR="00487855" w:rsidRPr="00C56257" w14:paraId="1B6C575C" w14:textId="77777777" w:rsidTr="00487855">
        <w:trPr>
          <w:trHeight w:val="275"/>
        </w:trPr>
        <w:tc>
          <w:tcPr>
            <w:tcW w:w="3410" w:type="dxa"/>
            <w:vMerge/>
            <w:tcBorders>
              <w:top w:val="nil"/>
            </w:tcBorders>
          </w:tcPr>
          <w:p w14:paraId="0B1DA178" w14:textId="77777777" w:rsidR="00487855" w:rsidRPr="00C56257" w:rsidRDefault="00487855" w:rsidP="00487855">
            <w:pPr>
              <w:jc w:val="both"/>
              <w:rPr>
                <w:color w:val="000000" w:themeColor="text1"/>
              </w:rPr>
            </w:pPr>
          </w:p>
        </w:tc>
        <w:tc>
          <w:tcPr>
            <w:tcW w:w="2410" w:type="dxa"/>
            <w:vAlign w:val="bottom"/>
          </w:tcPr>
          <w:p w14:paraId="0AC83AE9" w14:textId="77777777" w:rsidR="00487855" w:rsidRPr="007B3C6A" w:rsidRDefault="00487855" w:rsidP="00487855">
            <w:pPr>
              <w:pStyle w:val="TableParagraph"/>
              <w:ind w:left="93" w:right="87"/>
              <w:jc w:val="both"/>
              <w:rPr>
                <w:color w:val="000000" w:themeColor="text1"/>
              </w:rPr>
            </w:pPr>
            <w:r w:rsidRPr="007B3C6A">
              <w:rPr>
                <w:color w:val="000000"/>
              </w:rPr>
              <w:t>ROSCI0206</w:t>
            </w:r>
          </w:p>
        </w:tc>
        <w:tc>
          <w:tcPr>
            <w:tcW w:w="3885" w:type="dxa"/>
            <w:vAlign w:val="bottom"/>
          </w:tcPr>
          <w:p w14:paraId="3E88A69B" w14:textId="77777777" w:rsidR="00487855" w:rsidRPr="007B3C6A" w:rsidRDefault="00487855" w:rsidP="00487855">
            <w:pPr>
              <w:pStyle w:val="TableParagraph"/>
              <w:ind w:left="91" w:right="81"/>
              <w:jc w:val="both"/>
              <w:rPr>
                <w:color w:val="000000" w:themeColor="text1"/>
              </w:rPr>
            </w:pPr>
            <w:r w:rsidRPr="007B3C6A">
              <w:rPr>
                <w:color w:val="000000"/>
              </w:rPr>
              <w:t>Porțile de Fier</w:t>
            </w:r>
          </w:p>
        </w:tc>
      </w:tr>
      <w:tr w:rsidR="00487855" w:rsidRPr="00C56257" w14:paraId="4C949496" w14:textId="77777777" w:rsidTr="00487855">
        <w:trPr>
          <w:trHeight w:val="276"/>
        </w:trPr>
        <w:tc>
          <w:tcPr>
            <w:tcW w:w="3410" w:type="dxa"/>
            <w:vMerge/>
            <w:tcBorders>
              <w:top w:val="nil"/>
            </w:tcBorders>
          </w:tcPr>
          <w:p w14:paraId="2660301A" w14:textId="77777777" w:rsidR="00487855" w:rsidRPr="00C56257" w:rsidRDefault="00487855" w:rsidP="00487855">
            <w:pPr>
              <w:jc w:val="both"/>
              <w:rPr>
                <w:color w:val="000000" w:themeColor="text1"/>
              </w:rPr>
            </w:pPr>
          </w:p>
        </w:tc>
        <w:tc>
          <w:tcPr>
            <w:tcW w:w="2410" w:type="dxa"/>
            <w:vAlign w:val="bottom"/>
          </w:tcPr>
          <w:p w14:paraId="53221A74" w14:textId="77777777" w:rsidR="00487855" w:rsidRPr="007B3C6A" w:rsidRDefault="00487855" w:rsidP="00487855">
            <w:pPr>
              <w:pStyle w:val="TableParagraph"/>
              <w:ind w:left="93" w:right="87"/>
              <w:jc w:val="both"/>
              <w:rPr>
                <w:color w:val="000000" w:themeColor="text1"/>
              </w:rPr>
            </w:pPr>
            <w:r w:rsidRPr="007B3C6A">
              <w:rPr>
                <w:color w:val="000000"/>
              </w:rPr>
              <w:t>ROSCI0226</w:t>
            </w:r>
          </w:p>
        </w:tc>
        <w:tc>
          <w:tcPr>
            <w:tcW w:w="3885" w:type="dxa"/>
            <w:vAlign w:val="bottom"/>
          </w:tcPr>
          <w:p w14:paraId="5E5DB924" w14:textId="77777777" w:rsidR="00487855" w:rsidRPr="007B3C6A" w:rsidRDefault="00487855" w:rsidP="00487855">
            <w:pPr>
              <w:pStyle w:val="TableParagraph"/>
              <w:ind w:left="91" w:right="80"/>
              <w:jc w:val="both"/>
              <w:rPr>
                <w:color w:val="000000" w:themeColor="text1"/>
              </w:rPr>
            </w:pPr>
            <w:r w:rsidRPr="007B3C6A">
              <w:rPr>
                <w:color w:val="000000"/>
              </w:rPr>
              <w:t>Semenic - Cheile Carașului</w:t>
            </w:r>
          </w:p>
        </w:tc>
      </w:tr>
      <w:tr w:rsidR="00487855" w:rsidRPr="00C56257" w14:paraId="24FC2B62" w14:textId="77777777" w:rsidTr="00487855">
        <w:trPr>
          <w:trHeight w:val="276"/>
        </w:trPr>
        <w:tc>
          <w:tcPr>
            <w:tcW w:w="3410" w:type="dxa"/>
            <w:vMerge/>
            <w:tcBorders>
              <w:top w:val="nil"/>
            </w:tcBorders>
          </w:tcPr>
          <w:p w14:paraId="7B1517A7" w14:textId="77777777" w:rsidR="00487855" w:rsidRPr="00C56257" w:rsidRDefault="00487855" w:rsidP="00487855">
            <w:pPr>
              <w:jc w:val="both"/>
              <w:rPr>
                <w:color w:val="000000" w:themeColor="text1"/>
              </w:rPr>
            </w:pPr>
          </w:p>
        </w:tc>
        <w:tc>
          <w:tcPr>
            <w:tcW w:w="2410" w:type="dxa"/>
            <w:vAlign w:val="bottom"/>
          </w:tcPr>
          <w:p w14:paraId="733967B6" w14:textId="77777777" w:rsidR="00487855" w:rsidRPr="007B3C6A" w:rsidRDefault="00487855" w:rsidP="006D54D7">
            <w:pPr>
              <w:pStyle w:val="TableParagraph"/>
              <w:ind w:left="93" w:right="87"/>
              <w:jc w:val="both"/>
              <w:rPr>
                <w:color w:val="000000"/>
              </w:rPr>
            </w:pPr>
            <w:r w:rsidRPr="007B3C6A">
              <w:rPr>
                <w:color w:val="000000"/>
              </w:rPr>
              <w:t>ROS</w:t>
            </w:r>
            <w:r w:rsidR="006D54D7">
              <w:rPr>
                <w:color w:val="000000"/>
              </w:rPr>
              <w:t>AC</w:t>
            </w:r>
            <w:r w:rsidRPr="007B3C6A">
              <w:rPr>
                <w:color w:val="000000"/>
              </w:rPr>
              <w:t>0253</w:t>
            </w:r>
          </w:p>
        </w:tc>
        <w:tc>
          <w:tcPr>
            <w:tcW w:w="3885" w:type="dxa"/>
            <w:vAlign w:val="bottom"/>
          </w:tcPr>
          <w:p w14:paraId="7C4CAFAB" w14:textId="77777777" w:rsidR="00487855" w:rsidRPr="007B3C6A" w:rsidRDefault="00487855" w:rsidP="00487855">
            <w:pPr>
              <w:pStyle w:val="TableParagraph"/>
              <w:ind w:left="91" w:right="80"/>
              <w:jc w:val="both"/>
              <w:rPr>
                <w:color w:val="000000"/>
              </w:rPr>
            </w:pPr>
            <w:r w:rsidRPr="007B3C6A">
              <w:rPr>
                <w:color w:val="000000"/>
              </w:rPr>
              <w:t>Trascău</w:t>
            </w:r>
          </w:p>
        </w:tc>
      </w:tr>
      <w:tr w:rsidR="00487855" w:rsidRPr="00C56257" w14:paraId="6B73BD8C" w14:textId="77777777" w:rsidTr="00487855">
        <w:trPr>
          <w:trHeight w:val="277"/>
        </w:trPr>
        <w:tc>
          <w:tcPr>
            <w:tcW w:w="3410" w:type="dxa"/>
            <w:vMerge/>
            <w:tcBorders>
              <w:top w:val="nil"/>
            </w:tcBorders>
          </w:tcPr>
          <w:p w14:paraId="7919169B" w14:textId="77777777" w:rsidR="00487855" w:rsidRPr="00C56257" w:rsidRDefault="00487855" w:rsidP="00487855">
            <w:pPr>
              <w:jc w:val="both"/>
              <w:rPr>
                <w:color w:val="000000" w:themeColor="text1"/>
              </w:rPr>
            </w:pPr>
          </w:p>
        </w:tc>
        <w:tc>
          <w:tcPr>
            <w:tcW w:w="2410" w:type="dxa"/>
            <w:vAlign w:val="bottom"/>
          </w:tcPr>
          <w:p w14:paraId="52852780" w14:textId="77777777" w:rsidR="00487855" w:rsidRPr="007B3C6A" w:rsidRDefault="00487855" w:rsidP="006D54D7">
            <w:pPr>
              <w:pStyle w:val="TableParagraph"/>
              <w:spacing w:line="258" w:lineRule="exact"/>
              <w:ind w:left="93" w:right="87"/>
              <w:jc w:val="both"/>
              <w:rPr>
                <w:color w:val="000000" w:themeColor="text1"/>
              </w:rPr>
            </w:pPr>
            <w:r w:rsidRPr="007B3C6A">
              <w:rPr>
                <w:color w:val="000000"/>
              </w:rPr>
              <w:t>ROS</w:t>
            </w:r>
            <w:r w:rsidR="006D54D7">
              <w:rPr>
                <w:color w:val="000000"/>
              </w:rPr>
              <w:t>AC</w:t>
            </w:r>
            <w:r w:rsidRPr="007B3C6A">
              <w:rPr>
                <w:color w:val="000000"/>
              </w:rPr>
              <w:t>0304</w:t>
            </w:r>
          </w:p>
        </w:tc>
        <w:tc>
          <w:tcPr>
            <w:tcW w:w="3885" w:type="dxa"/>
            <w:vAlign w:val="bottom"/>
          </w:tcPr>
          <w:p w14:paraId="5949489E" w14:textId="77777777" w:rsidR="00487855" w:rsidRPr="007B3C6A" w:rsidRDefault="00487855" w:rsidP="00487855">
            <w:pPr>
              <w:pStyle w:val="TableParagraph"/>
              <w:spacing w:line="258" w:lineRule="exact"/>
              <w:ind w:left="91" w:right="79"/>
              <w:jc w:val="both"/>
              <w:rPr>
                <w:color w:val="000000" w:themeColor="text1"/>
              </w:rPr>
            </w:pPr>
            <w:r w:rsidRPr="007B3C6A">
              <w:rPr>
                <w:color w:val="000000"/>
              </w:rPr>
              <w:t>Hârtibaciu Sud - Vest</w:t>
            </w:r>
          </w:p>
        </w:tc>
      </w:tr>
      <w:tr w:rsidR="00487855" w:rsidRPr="00C56257" w14:paraId="15438533" w14:textId="77777777" w:rsidTr="00487855">
        <w:trPr>
          <w:trHeight w:val="275"/>
        </w:trPr>
        <w:tc>
          <w:tcPr>
            <w:tcW w:w="3410" w:type="dxa"/>
            <w:vMerge w:val="restart"/>
          </w:tcPr>
          <w:p w14:paraId="523B9021" w14:textId="77777777" w:rsidR="00487855" w:rsidRPr="00C56257" w:rsidRDefault="00487855" w:rsidP="00487855">
            <w:pPr>
              <w:pStyle w:val="TableParagraph"/>
              <w:jc w:val="both"/>
              <w:rPr>
                <w:color w:val="000000" w:themeColor="text1"/>
                <w:sz w:val="24"/>
                <w:szCs w:val="24"/>
              </w:rPr>
            </w:pPr>
          </w:p>
          <w:p w14:paraId="52152DF6" w14:textId="77777777" w:rsidR="00487855" w:rsidRPr="00C56257" w:rsidRDefault="00487855" w:rsidP="00487855">
            <w:pPr>
              <w:pStyle w:val="TableParagraph"/>
              <w:jc w:val="both"/>
              <w:rPr>
                <w:color w:val="000000" w:themeColor="text1"/>
                <w:sz w:val="24"/>
                <w:szCs w:val="24"/>
              </w:rPr>
            </w:pPr>
          </w:p>
          <w:p w14:paraId="11910665" w14:textId="77777777" w:rsidR="00487855" w:rsidRPr="00C56257" w:rsidRDefault="00487855" w:rsidP="00487855">
            <w:pPr>
              <w:pStyle w:val="TableParagraph"/>
              <w:jc w:val="both"/>
              <w:rPr>
                <w:color w:val="000000" w:themeColor="text1"/>
                <w:sz w:val="24"/>
                <w:szCs w:val="24"/>
              </w:rPr>
            </w:pPr>
          </w:p>
          <w:p w14:paraId="03AF03DF" w14:textId="77777777" w:rsidR="00487855" w:rsidRPr="00C56257" w:rsidRDefault="00487855" w:rsidP="00487855">
            <w:pPr>
              <w:pStyle w:val="TableParagraph"/>
              <w:spacing w:before="7"/>
              <w:jc w:val="both"/>
              <w:rPr>
                <w:color w:val="000000" w:themeColor="text1"/>
                <w:sz w:val="24"/>
                <w:szCs w:val="24"/>
              </w:rPr>
            </w:pPr>
          </w:p>
          <w:p w14:paraId="6C3437CF" w14:textId="77777777" w:rsidR="00487855" w:rsidRPr="00C56257" w:rsidRDefault="00487855" w:rsidP="00487855">
            <w:pPr>
              <w:pStyle w:val="TableParagraph"/>
              <w:ind w:left="108"/>
              <w:jc w:val="both"/>
              <w:rPr>
                <w:color w:val="000000" w:themeColor="text1"/>
                <w:sz w:val="24"/>
                <w:szCs w:val="24"/>
              </w:rPr>
            </w:pPr>
            <w:r w:rsidRPr="00C56257">
              <w:rPr>
                <w:color w:val="000000" w:themeColor="text1"/>
                <w:sz w:val="24"/>
                <w:szCs w:val="24"/>
              </w:rPr>
              <w:t>6210*</w:t>
            </w:r>
            <w:r w:rsidRPr="00C56257">
              <w:rPr>
                <w:color w:val="000000" w:themeColor="text1"/>
                <w:spacing w:val="-2"/>
                <w:sz w:val="24"/>
                <w:szCs w:val="24"/>
              </w:rPr>
              <w:t xml:space="preserve"> </w:t>
            </w:r>
            <w:r w:rsidRPr="00C56257">
              <w:rPr>
                <w:color w:val="000000" w:themeColor="text1"/>
                <w:sz w:val="24"/>
                <w:szCs w:val="24"/>
              </w:rPr>
              <w:t>-</w:t>
            </w:r>
            <w:r w:rsidRPr="00C56257">
              <w:rPr>
                <w:color w:val="000000" w:themeColor="text1"/>
                <w:spacing w:val="-3"/>
                <w:sz w:val="24"/>
                <w:szCs w:val="24"/>
              </w:rPr>
              <w:t xml:space="preserve"> </w:t>
            </w:r>
            <w:r w:rsidRPr="00C56257">
              <w:rPr>
                <w:color w:val="000000" w:themeColor="text1"/>
                <w:sz w:val="24"/>
                <w:szCs w:val="24"/>
              </w:rPr>
              <w:t>Pajişti</w:t>
            </w:r>
            <w:r w:rsidRPr="00C56257">
              <w:rPr>
                <w:color w:val="000000" w:themeColor="text1"/>
                <w:spacing w:val="-2"/>
                <w:sz w:val="24"/>
                <w:szCs w:val="24"/>
              </w:rPr>
              <w:t xml:space="preserve"> </w:t>
            </w:r>
            <w:r w:rsidRPr="00C56257">
              <w:rPr>
                <w:color w:val="000000" w:themeColor="text1"/>
                <w:sz w:val="24"/>
                <w:szCs w:val="24"/>
              </w:rPr>
              <w:t>uscate</w:t>
            </w:r>
            <w:r w:rsidRPr="00C56257">
              <w:rPr>
                <w:color w:val="000000" w:themeColor="text1"/>
                <w:spacing w:val="-2"/>
                <w:sz w:val="24"/>
                <w:szCs w:val="24"/>
              </w:rPr>
              <w:t xml:space="preserve"> </w:t>
            </w:r>
            <w:r w:rsidRPr="00C56257">
              <w:rPr>
                <w:color w:val="000000" w:themeColor="text1"/>
                <w:sz w:val="24"/>
                <w:szCs w:val="24"/>
              </w:rPr>
              <w:t>seminaturale</w:t>
            </w:r>
            <w:r w:rsidRPr="00C56257">
              <w:rPr>
                <w:color w:val="000000" w:themeColor="text1"/>
                <w:spacing w:val="-2"/>
                <w:sz w:val="24"/>
                <w:szCs w:val="24"/>
              </w:rPr>
              <w:t xml:space="preserve"> </w:t>
            </w:r>
            <w:r w:rsidRPr="00C56257">
              <w:rPr>
                <w:color w:val="000000" w:themeColor="text1"/>
                <w:sz w:val="24"/>
                <w:szCs w:val="24"/>
              </w:rPr>
              <w:t>şi</w:t>
            </w:r>
            <w:r w:rsidRPr="00C56257">
              <w:rPr>
                <w:color w:val="000000" w:themeColor="text1"/>
                <w:spacing w:val="-3"/>
                <w:sz w:val="24"/>
                <w:szCs w:val="24"/>
              </w:rPr>
              <w:t xml:space="preserve"> </w:t>
            </w:r>
            <w:r w:rsidRPr="00C56257">
              <w:rPr>
                <w:color w:val="000000" w:themeColor="text1"/>
                <w:sz w:val="24"/>
                <w:szCs w:val="24"/>
              </w:rPr>
              <w:t>faciesuri</w:t>
            </w:r>
            <w:r w:rsidRPr="00C56257">
              <w:rPr>
                <w:color w:val="000000" w:themeColor="text1"/>
                <w:spacing w:val="-3"/>
                <w:sz w:val="24"/>
                <w:szCs w:val="24"/>
              </w:rPr>
              <w:t xml:space="preserve"> </w:t>
            </w:r>
            <w:r w:rsidRPr="00C56257">
              <w:rPr>
                <w:color w:val="000000" w:themeColor="text1"/>
                <w:sz w:val="24"/>
                <w:szCs w:val="24"/>
              </w:rPr>
              <w:t>cu tufărişuri</w:t>
            </w:r>
            <w:r w:rsidRPr="00C56257">
              <w:rPr>
                <w:color w:val="000000" w:themeColor="text1"/>
                <w:spacing w:val="-2"/>
                <w:sz w:val="24"/>
                <w:szCs w:val="24"/>
              </w:rPr>
              <w:t xml:space="preserve"> </w:t>
            </w:r>
            <w:r w:rsidRPr="00C56257">
              <w:rPr>
                <w:color w:val="000000" w:themeColor="text1"/>
                <w:sz w:val="24"/>
                <w:szCs w:val="24"/>
              </w:rPr>
              <w:t>pe</w:t>
            </w:r>
            <w:r w:rsidRPr="00C56257">
              <w:rPr>
                <w:color w:val="000000" w:themeColor="text1"/>
                <w:spacing w:val="-57"/>
                <w:sz w:val="24"/>
                <w:szCs w:val="24"/>
              </w:rPr>
              <w:t xml:space="preserve"> </w:t>
            </w:r>
            <w:r w:rsidRPr="00C56257">
              <w:rPr>
                <w:color w:val="000000" w:themeColor="text1"/>
                <w:sz w:val="24"/>
                <w:szCs w:val="24"/>
              </w:rPr>
              <w:t>substrate</w:t>
            </w:r>
            <w:r w:rsidRPr="00C56257">
              <w:rPr>
                <w:color w:val="000000" w:themeColor="text1"/>
                <w:spacing w:val="-1"/>
                <w:sz w:val="24"/>
                <w:szCs w:val="24"/>
              </w:rPr>
              <w:t xml:space="preserve"> </w:t>
            </w:r>
            <w:r w:rsidRPr="00C56257">
              <w:rPr>
                <w:color w:val="000000" w:themeColor="text1"/>
                <w:sz w:val="24"/>
                <w:szCs w:val="24"/>
              </w:rPr>
              <w:t>calcaroase</w:t>
            </w:r>
            <w:r w:rsidRPr="00C56257">
              <w:rPr>
                <w:color w:val="000000" w:themeColor="text1"/>
                <w:spacing w:val="-1"/>
                <w:sz w:val="24"/>
                <w:szCs w:val="24"/>
              </w:rPr>
              <w:t xml:space="preserve"> </w:t>
            </w:r>
            <w:r w:rsidRPr="00C56257">
              <w:rPr>
                <w:color w:val="000000" w:themeColor="text1"/>
                <w:sz w:val="24"/>
                <w:szCs w:val="24"/>
              </w:rPr>
              <w:t>(</w:t>
            </w:r>
            <w:r w:rsidRPr="00C56257">
              <w:rPr>
                <w:i/>
                <w:color w:val="000000" w:themeColor="text1"/>
                <w:sz w:val="24"/>
                <w:szCs w:val="24"/>
              </w:rPr>
              <w:t>Festuco-Brometalia</w:t>
            </w:r>
            <w:r w:rsidRPr="00C56257">
              <w:rPr>
                <w:color w:val="000000" w:themeColor="text1"/>
                <w:sz w:val="24"/>
                <w:szCs w:val="24"/>
              </w:rPr>
              <w:t>)</w:t>
            </w:r>
          </w:p>
        </w:tc>
        <w:tc>
          <w:tcPr>
            <w:tcW w:w="2410" w:type="dxa"/>
            <w:vAlign w:val="bottom"/>
          </w:tcPr>
          <w:p w14:paraId="2A4DEA13" w14:textId="77777777" w:rsidR="00487855" w:rsidRPr="007B3C6A" w:rsidRDefault="00487855" w:rsidP="00487855">
            <w:pPr>
              <w:pStyle w:val="TableParagraph"/>
              <w:ind w:left="93" w:right="87"/>
              <w:jc w:val="both"/>
              <w:rPr>
                <w:color w:val="000000" w:themeColor="text1"/>
              </w:rPr>
            </w:pPr>
            <w:r w:rsidRPr="007B3C6A">
              <w:rPr>
                <w:color w:val="000000"/>
              </w:rPr>
              <w:t>ROSCI0002</w:t>
            </w:r>
          </w:p>
        </w:tc>
        <w:tc>
          <w:tcPr>
            <w:tcW w:w="3885" w:type="dxa"/>
            <w:vAlign w:val="bottom"/>
          </w:tcPr>
          <w:p w14:paraId="0A19A7B5" w14:textId="77777777" w:rsidR="00487855" w:rsidRPr="007B3C6A" w:rsidRDefault="00487855" w:rsidP="00487855">
            <w:pPr>
              <w:pStyle w:val="TableParagraph"/>
              <w:ind w:left="91" w:right="79"/>
              <w:jc w:val="both"/>
              <w:rPr>
                <w:color w:val="000000" w:themeColor="text1"/>
              </w:rPr>
            </w:pPr>
            <w:r w:rsidRPr="007B3C6A">
              <w:rPr>
                <w:color w:val="000000"/>
              </w:rPr>
              <w:t>Apuseni</w:t>
            </w:r>
          </w:p>
        </w:tc>
      </w:tr>
      <w:tr w:rsidR="00487855" w:rsidRPr="00C56257" w14:paraId="7986572E" w14:textId="77777777" w:rsidTr="00487855">
        <w:trPr>
          <w:trHeight w:val="275"/>
        </w:trPr>
        <w:tc>
          <w:tcPr>
            <w:tcW w:w="3410" w:type="dxa"/>
            <w:vMerge/>
            <w:tcBorders>
              <w:top w:val="nil"/>
            </w:tcBorders>
          </w:tcPr>
          <w:p w14:paraId="5A59C314" w14:textId="77777777" w:rsidR="00487855" w:rsidRPr="00C56257" w:rsidRDefault="00487855" w:rsidP="00487855">
            <w:pPr>
              <w:jc w:val="both"/>
              <w:rPr>
                <w:color w:val="000000" w:themeColor="text1"/>
              </w:rPr>
            </w:pPr>
          </w:p>
        </w:tc>
        <w:tc>
          <w:tcPr>
            <w:tcW w:w="2410" w:type="dxa"/>
            <w:vAlign w:val="bottom"/>
          </w:tcPr>
          <w:p w14:paraId="409DB008" w14:textId="77777777" w:rsidR="00487855" w:rsidRPr="007B3C6A" w:rsidRDefault="00487855" w:rsidP="00487855">
            <w:pPr>
              <w:pStyle w:val="TableParagraph"/>
              <w:ind w:left="93" w:right="87"/>
              <w:jc w:val="both"/>
              <w:rPr>
                <w:color w:val="000000" w:themeColor="text1"/>
              </w:rPr>
            </w:pPr>
            <w:r w:rsidRPr="007B3C6A">
              <w:rPr>
                <w:color w:val="000000"/>
              </w:rPr>
              <w:t>ROSCI0031</w:t>
            </w:r>
          </w:p>
        </w:tc>
        <w:tc>
          <w:tcPr>
            <w:tcW w:w="3885" w:type="dxa"/>
            <w:vAlign w:val="bottom"/>
          </w:tcPr>
          <w:p w14:paraId="7C76ED9B" w14:textId="77777777" w:rsidR="00487855" w:rsidRPr="007B3C6A" w:rsidRDefault="00487855" w:rsidP="00487855">
            <w:pPr>
              <w:pStyle w:val="TableParagraph"/>
              <w:ind w:left="91" w:right="82"/>
              <w:jc w:val="both"/>
              <w:rPr>
                <w:color w:val="000000" w:themeColor="text1"/>
              </w:rPr>
            </w:pPr>
            <w:r w:rsidRPr="007B3C6A">
              <w:rPr>
                <w:color w:val="000000"/>
              </w:rPr>
              <w:t>Cheile Nerei - Beușnița</w:t>
            </w:r>
          </w:p>
        </w:tc>
      </w:tr>
      <w:tr w:rsidR="00487855" w:rsidRPr="00C56257" w14:paraId="0F87D49F" w14:textId="77777777" w:rsidTr="00487855">
        <w:trPr>
          <w:trHeight w:val="275"/>
        </w:trPr>
        <w:tc>
          <w:tcPr>
            <w:tcW w:w="3410" w:type="dxa"/>
            <w:vMerge/>
            <w:tcBorders>
              <w:top w:val="nil"/>
            </w:tcBorders>
          </w:tcPr>
          <w:p w14:paraId="31CB73ED" w14:textId="77777777" w:rsidR="00487855" w:rsidRPr="00C56257" w:rsidRDefault="00487855" w:rsidP="00487855">
            <w:pPr>
              <w:jc w:val="both"/>
              <w:rPr>
                <w:color w:val="000000" w:themeColor="text1"/>
              </w:rPr>
            </w:pPr>
          </w:p>
        </w:tc>
        <w:tc>
          <w:tcPr>
            <w:tcW w:w="2410" w:type="dxa"/>
            <w:vAlign w:val="bottom"/>
          </w:tcPr>
          <w:p w14:paraId="652B1A72" w14:textId="77777777" w:rsidR="00487855" w:rsidRPr="007B3C6A" w:rsidRDefault="00487855" w:rsidP="006D54D7">
            <w:pPr>
              <w:pStyle w:val="TableParagraph"/>
              <w:ind w:left="93" w:right="87"/>
              <w:jc w:val="both"/>
              <w:rPr>
                <w:color w:val="000000" w:themeColor="text1"/>
              </w:rPr>
            </w:pPr>
            <w:r w:rsidRPr="007B3C6A">
              <w:rPr>
                <w:color w:val="000000"/>
              </w:rPr>
              <w:t>ROS</w:t>
            </w:r>
            <w:r w:rsidR="006D54D7">
              <w:rPr>
                <w:color w:val="000000"/>
              </w:rPr>
              <w:t>AC</w:t>
            </w:r>
            <w:r w:rsidRPr="007B3C6A">
              <w:rPr>
                <w:color w:val="000000"/>
              </w:rPr>
              <w:t>0035</w:t>
            </w:r>
          </w:p>
        </w:tc>
        <w:tc>
          <w:tcPr>
            <w:tcW w:w="3885" w:type="dxa"/>
            <w:vAlign w:val="bottom"/>
          </w:tcPr>
          <w:p w14:paraId="41A26EF7" w14:textId="77777777" w:rsidR="00487855" w:rsidRPr="007B3C6A" w:rsidRDefault="00487855" w:rsidP="00487855">
            <w:pPr>
              <w:pStyle w:val="TableParagraph"/>
              <w:ind w:left="91" w:right="85"/>
              <w:jc w:val="both"/>
              <w:rPr>
                <w:color w:val="000000" w:themeColor="text1"/>
              </w:rPr>
            </w:pPr>
            <w:r w:rsidRPr="007B3C6A">
              <w:rPr>
                <w:color w:val="000000"/>
              </w:rPr>
              <w:t>Cheile Turzii</w:t>
            </w:r>
          </w:p>
        </w:tc>
      </w:tr>
      <w:tr w:rsidR="00487855" w:rsidRPr="00C56257" w14:paraId="3C638E0F" w14:textId="77777777" w:rsidTr="00487855">
        <w:trPr>
          <w:trHeight w:val="275"/>
        </w:trPr>
        <w:tc>
          <w:tcPr>
            <w:tcW w:w="3410" w:type="dxa"/>
            <w:vMerge/>
            <w:tcBorders>
              <w:top w:val="nil"/>
            </w:tcBorders>
          </w:tcPr>
          <w:p w14:paraId="68F497E6" w14:textId="77777777" w:rsidR="00487855" w:rsidRPr="00C56257" w:rsidRDefault="00487855" w:rsidP="00487855">
            <w:pPr>
              <w:jc w:val="both"/>
              <w:rPr>
                <w:color w:val="000000" w:themeColor="text1"/>
              </w:rPr>
            </w:pPr>
          </w:p>
        </w:tc>
        <w:tc>
          <w:tcPr>
            <w:tcW w:w="2410" w:type="dxa"/>
            <w:vAlign w:val="bottom"/>
          </w:tcPr>
          <w:p w14:paraId="0A743EFB" w14:textId="77777777" w:rsidR="00487855" w:rsidRPr="007B3C6A" w:rsidRDefault="00487855"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0036</w:t>
            </w:r>
          </w:p>
        </w:tc>
        <w:tc>
          <w:tcPr>
            <w:tcW w:w="3885" w:type="dxa"/>
            <w:vAlign w:val="bottom"/>
          </w:tcPr>
          <w:p w14:paraId="28A0D04B" w14:textId="77777777" w:rsidR="00487855" w:rsidRPr="007B3C6A" w:rsidRDefault="00487855" w:rsidP="00487855">
            <w:pPr>
              <w:pStyle w:val="TableParagraph"/>
              <w:ind w:left="91" w:right="81"/>
              <w:jc w:val="both"/>
              <w:rPr>
                <w:color w:val="000000" w:themeColor="text1"/>
              </w:rPr>
            </w:pPr>
            <w:r w:rsidRPr="007B3C6A">
              <w:rPr>
                <w:color w:val="000000"/>
              </w:rPr>
              <w:t>Cheile Vârghișului</w:t>
            </w:r>
          </w:p>
        </w:tc>
      </w:tr>
      <w:tr w:rsidR="00487855" w:rsidRPr="00C56257" w14:paraId="5DD0946A" w14:textId="77777777" w:rsidTr="00487855">
        <w:trPr>
          <w:trHeight w:val="275"/>
        </w:trPr>
        <w:tc>
          <w:tcPr>
            <w:tcW w:w="3410" w:type="dxa"/>
            <w:vMerge/>
            <w:tcBorders>
              <w:top w:val="nil"/>
            </w:tcBorders>
          </w:tcPr>
          <w:p w14:paraId="524DB3DC" w14:textId="77777777" w:rsidR="00487855" w:rsidRPr="00C56257" w:rsidRDefault="00487855" w:rsidP="00487855">
            <w:pPr>
              <w:jc w:val="both"/>
              <w:rPr>
                <w:color w:val="000000" w:themeColor="text1"/>
              </w:rPr>
            </w:pPr>
          </w:p>
        </w:tc>
        <w:tc>
          <w:tcPr>
            <w:tcW w:w="2410" w:type="dxa"/>
            <w:vAlign w:val="bottom"/>
          </w:tcPr>
          <w:p w14:paraId="09F9D3AB" w14:textId="77777777" w:rsidR="00487855" w:rsidRPr="007B3C6A" w:rsidRDefault="00487855"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0061</w:t>
            </w:r>
          </w:p>
        </w:tc>
        <w:tc>
          <w:tcPr>
            <w:tcW w:w="3885" w:type="dxa"/>
            <w:vAlign w:val="bottom"/>
          </w:tcPr>
          <w:p w14:paraId="503A0B4E" w14:textId="77777777" w:rsidR="00487855" w:rsidRPr="007B3C6A" w:rsidRDefault="00487855" w:rsidP="00487855">
            <w:pPr>
              <w:pStyle w:val="TableParagraph"/>
              <w:ind w:left="91" w:right="81"/>
              <w:jc w:val="both"/>
              <w:rPr>
                <w:color w:val="000000" w:themeColor="text1"/>
              </w:rPr>
            </w:pPr>
            <w:r w:rsidRPr="007B3C6A">
              <w:rPr>
                <w:color w:val="000000"/>
              </w:rPr>
              <w:t>Defileul Crișului Negru</w:t>
            </w:r>
          </w:p>
        </w:tc>
      </w:tr>
      <w:tr w:rsidR="00487855" w:rsidRPr="00C56257" w14:paraId="752398C8" w14:textId="77777777" w:rsidTr="00487855">
        <w:trPr>
          <w:trHeight w:val="277"/>
        </w:trPr>
        <w:tc>
          <w:tcPr>
            <w:tcW w:w="3410" w:type="dxa"/>
            <w:vMerge/>
            <w:tcBorders>
              <w:top w:val="nil"/>
            </w:tcBorders>
          </w:tcPr>
          <w:p w14:paraId="25DA819F" w14:textId="77777777" w:rsidR="00487855" w:rsidRPr="00C56257" w:rsidRDefault="00487855" w:rsidP="00487855">
            <w:pPr>
              <w:jc w:val="both"/>
              <w:rPr>
                <w:color w:val="000000" w:themeColor="text1"/>
              </w:rPr>
            </w:pPr>
          </w:p>
        </w:tc>
        <w:tc>
          <w:tcPr>
            <w:tcW w:w="2410" w:type="dxa"/>
            <w:vAlign w:val="bottom"/>
          </w:tcPr>
          <w:p w14:paraId="4AAB85CE" w14:textId="77777777" w:rsidR="00487855" w:rsidRPr="007B3C6A" w:rsidRDefault="000521DB" w:rsidP="00487855">
            <w:pPr>
              <w:pStyle w:val="TableParagraph"/>
              <w:spacing w:line="258" w:lineRule="exact"/>
              <w:ind w:left="93" w:right="87"/>
              <w:jc w:val="both"/>
              <w:rPr>
                <w:color w:val="000000" w:themeColor="text1"/>
              </w:rPr>
            </w:pPr>
            <w:r>
              <w:rPr>
                <w:color w:val="000000"/>
              </w:rPr>
              <w:t>ROSAC0069</w:t>
            </w:r>
          </w:p>
        </w:tc>
        <w:tc>
          <w:tcPr>
            <w:tcW w:w="3885" w:type="dxa"/>
            <w:vAlign w:val="bottom"/>
          </w:tcPr>
          <w:p w14:paraId="31390FE5" w14:textId="77777777" w:rsidR="00487855" w:rsidRPr="007B3C6A" w:rsidRDefault="00487855" w:rsidP="00487855">
            <w:pPr>
              <w:pStyle w:val="TableParagraph"/>
              <w:spacing w:line="258" w:lineRule="exact"/>
              <w:ind w:left="91" w:right="83"/>
              <w:jc w:val="both"/>
              <w:rPr>
                <w:color w:val="000000" w:themeColor="text1"/>
              </w:rPr>
            </w:pPr>
            <w:r w:rsidRPr="007B3C6A">
              <w:rPr>
                <w:color w:val="000000"/>
              </w:rPr>
              <w:t>Domogled - Valea Cernei</w:t>
            </w:r>
          </w:p>
        </w:tc>
      </w:tr>
      <w:tr w:rsidR="00487855" w:rsidRPr="00C56257" w14:paraId="4C058746" w14:textId="77777777" w:rsidTr="00487855">
        <w:trPr>
          <w:trHeight w:val="275"/>
        </w:trPr>
        <w:tc>
          <w:tcPr>
            <w:tcW w:w="3410" w:type="dxa"/>
            <w:vMerge/>
            <w:tcBorders>
              <w:top w:val="nil"/>
            </w:tcBorders>
          </w:tcPr>
          <w:p w14:paraId="71A933A1" w14:textId="77777777" w:rsidR="00487855" w:rsidRPr="00C56257" w:rsidRDefault="00487855" w:rsidP="00487855">
            <w:pPr>
              <w:jc w:val="both"/>
              <w:rPr>
                <w:color w:val="000000" w:themeColor="text1"/>
              </w:rPr>
            </w:pPr>
          </w:p>
        </w:tc>
        <w:tc>
          <w:tcPr>
            <w:tcW w:w="2410" w:type="dxa"/>
            <w:vAlign w:val="bottom"/>
          </w:tcPr>
          <w:p w14:paraId="032E94D0" w14:textId="77777777" w:rsidR="00487855" w:rsidRPr="007B3C6A" w:rsidRDefault="00487855"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0074</w:t>
            </w:r>
          </w:p>
        </w:tc>
        <w:tc>
          <w:tcPr>
            <w:tcW w:w="3885" w:type="dxa"/>
            <w:vAlign w:val="bottom"/>
          </w:tcPr>
          <w:p w14:paraId="2D0FA3A4" w14:textId="77777777" w:rsidR="00487855" w:rsidRPr="007B3C6A" w:rsidRDefault="00487855" w:rsidP="00487855">
            <w:pPr>
              <w:pStyle w:val="TableParagraph"/>
              <w:ind w:left="91" w:right="84"/>
              <w:jc w:val="both"/>
              <w:rPr>
                <w:color w:val="000000" w:themeColor="text1"/>
              </w:rPr>
            </w:pPr>
            <w:r w:rsidRPr="007B3C6A">
              <w:rPr>
                <w:color w:val="000000"/>
              </w:rPr>
              <w:t>Făgetul Clujului - Valea Morii</w:t>
            </w:r>
          </w:p>
        </w:tc>
      </w:tr>
      <w:tr w:rsidR="00487855" w:rsidRPr="00C56257" w14:paraId="231382C4" w14:textId="77777777" w:rsidTr="00487855">
        <w:trPr>
          <w:trHeight w:val="275"/>
        </w:trPr>
        <w:tc>
          <w:tcPr>
            <w:tcW w:w="3410" w:type="dxa"/>
            <w:vMerge/>
            <w:tcBorders>
              <w:top w:val="nil"/>
            </w:tcBorders>
          </w:tcPr>
          <w:p w14:paraId="0B2357DB" w14:textId="77777777" w:rsidR="00487855" w:rsidRPr="00C56257" w:rsidRDefault="00487855" w:rsidP="00487855">
            <w:pPr>
              <w:jc w:val="both"/>
              <w:rPr>
                <w:color w:val="000000" w:themeColor="text1"/>
              </w:rPr>
            </w:pPr>
          </w:p>
        </w:tc>
        <w:tc>
          <w:tcPr>
            <w:tcW w:w="2410" w:type="dxa"/>
            <w:vAlign w:val="bottom"/>
          </w:tcPr>
          <w:p w14:paraId="65EE34B6" w14:textId="77777777" w:rsidR="00487855" w:rsidRPr="007B3C6A" w:rsidRDefault="00487855" w:rsidP="00487855">
            <w:pPr>
              <w:pStyle w:val="TableParagraph"/>
              <w:ind w:left="93" w:right="87"/>
              <w:jc w:val="both"/>
              <w:rPr>
                <w:color w:val="000000" w:themeColor="text1"/>
              </w:rPr>
            </w:pPr>
            <w:r w:rsidRPr="007B3C6A">
              <w:rPr>
                <w:color w:val="000000"/>
              </w:rPr>
              <w:t>ROSCI0087</w:t>
            </w:r>
          </w:p>
        </w:tc>
        <w:tc>
          <w:tcPr>
            <w:tcW w:w="3885" w:type="dxa"/>
            <w:vAlign w:val="bottom"/>
          </w:tcPr>
          <w:p w14:paraId="7E69273E" w14:textId="77777777" w:rsidR="00487855" w:rsidRPr="007B3C6A" w:rsidRDefault="00487855" w:rsidP="00487855">
            <w:pPr>
              <w:pStyle w:val="TableParagraph"/>
              <w:ind w:left="91" w:right="79"/>
              <w:jc w:val="both"/>
              <w:rPr>
                <w:color w:val="000000" w:themeColor="text1"/>
              </w:rPr>
            </w:pPr>
            <w:r w:rsidRPr="007B3C6A">
              <w:rPr>
                <w:color w:val="000000"/>
              </w:rPr>
              <w:t>Grădiștea Muncelului - Cioclovina</w:t>
            </w:r>
          </w:p>
        </w:tc>
      </w:tr>
      <w:tr w:rsidR="00487855" w:rsidRPr="00C56257" w14:paraId="2073F3F6" w14:textId="77777777" w:rsidTr="00487855">
        <w:trPr>
          <w:trHeight w:val="275"/>
        </w:trPr>
        <w:tc>
          <w:tcPr>
            <w:tcW w:w="3410" w:type="dxa"/>
            <w:vMerge/>
            <w:tcBorders>
              <w:top w:val="nil"/>
            </w:tcBorders>
          </w:tcPr>
          <w:p w14:paraId="3E8C5BD1" w14:textId="77777777" w:rsidR="00487855" w:rsidRPr="00C56257" w:rsidRDefault="00487855" w:rsidP="00487855">
            <w:pPr>
              <w:jc w:val="both"/>
              <w:rPr>
                <w:color w:val="000000" w:themeColor="text1"/>
              </w:rPr>
            </w:pPr>
          </w:p>
        </w:tc>
        <w:tc>
          <w:tcPr>
            <w:tcW w:w="2410" w:type="dxa"/>
            <w:vAlign w:val="bottom"/>
          </w:tcPr>
          <w:p w14:paraId="29AB26C3" w14:textId="77777777" w:rsidR="00487855" w:rsidRPr="007B3C6A" w:rsidRDefault="00487855"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0093</w:t>
            </w:r>
          </w:p>
        </w:tc>
        <w:tc>
          <w:tcPr>
            <w:tcW w:w="3885" w:type="dxa"/>
            <w:vAlign w:val="bottom"/>
          </w:tcPr>
          <w:p w14:paraId="25FAC568" w14:textId="77777777" w:rsidR="00487855" w:rsidRPr="007B3C6A" w:rsidRDefault="00487855" w:rsidP="00487855">
            <w:pPr>
              <w:pStyle w:val="TableParagraph"/>
              <w:ind w:left="91" w:right="79"/>
              <w:jc w:val="both"/>
              <w:rPr>
                <w:color w:val="000000" w:themeColor="text1"/>
              </w:rPr>
            </w:pPr>
            <w:r w:rsidRPr="007B3C6A">
              <w:rPr>
                <w:color w:val="000000"/>
              </w:rPr>
              <w:t>Insulele Stepice Șura Mică - Slimnic</w:t>
            </w:r>
          </w:p>
        </w:tc>
      </w:tr>
      <w:tr w:rsidR="00487855" w:rsidRPr="00C56257" w14:paraId="367A9C26" w14:textId="77777777" w:rsidTr="00487855">
        <w:trPr>
          <w:trHeight w:val="275"/>
        </w:trPr>
        <w:tc>
          <w:tcPr>
            <w:tcW w:w="3410" w:type="dxa"/>
            <w:vMerge/>
            <w:tcBorders>
              <w:top w:val="nil"/>
            </w:tcBorders>
          </w:tcPr>
          <w:p w14:paraId="1B62DB4B" w14:textId="77777777" w:rsidR="00487855" w:rsidRPr="00C56257" w:rsidRDefault="00487855" w:rsidP="00487855">
            <w:pPr>
              <w:jc w:val="both"/>
              <w:rPr>
                <w:color w:val="000000" w:themeColor="text1"/>
              </w:rPr>
            </w:pPr>
          </w:p>
        </w:tc>
        <w:tc>
          <w:tcPr>
            <w:tcW w:w="2410" w:type="dxa"/>
            <w:vAlign w:val="bottom"/>
          </w:tcPr>
          <w:p w14:paraId="3A838531" w14:textId="77777777" w:rsidR="00487855" w:rsidRPr="007B3C6A" w:rsidRDefault="00487855"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0099</w:t>
            </w:r>
          </w:p>
        </w:tc>
        <w:tc>
          <w:tcPr>
            <w:tcW w:w="3885" w:type="dxa"/>
            <w:vAlign w:val="bottom"/>
          </w:tcPr>
          <w:p w14:paraId="62998470" w14:textId="77777777" w:rsidR="00487855" w:rsidRPr="007B3C6A" w:rsidRDefault="00487855" w:rsidP="00487855">
            <w:pPr>
              <w:pStyle w:val="TableParagraph"/>
              <w:ind w:left="91" w:right="79"/>
              <w:jc w:val="both"/>
              <w:rPr>
                <w:color w:val="000000" w:themeColor="text1"/>
              </w:rPr>
            </w:pPr>
            <w:r w:rsidRPr="007B3C6A">
              <w:rPr>
                <w:color w:val="000000"/>
              </w:rPr>
              <w:t>Lacul Știucilor - Sic - Puini - Bonțida</w:t>
            </w:r>
          </w:p>
        </w:tc>
      </w:tr>
      <w:tr w:rsidR="005861C0" w:rsidRPr="00C56257" w14:paraId="1A789C97" w14:textId="77777777" w:rsidTr="00487855">
        <w:trPr>
          <w:trHeight w:val="278"/>
        </w:trPr>
        <w:tc>
          <w:tcPr>
            <w:tcW w:w="3410" w:type="dxa"/>
            <w:vMerge/>
            <w:tcBorders>
              <w:top w:val="nil"/>
            </w:tcBorders>
          </w:tcPr>
          <w:p w14:paraId="18C52105" w14:textId="77777777" w:rsidR="005861C0" w:rsidRPr="00C56257" w:rsidRDefault="005861C0" w:rsidP="005861C0">
            <w:pPr>
              <w:jc w:val="both"/>
              <w:rPr>
                <w:color w:val="000000" w:themeColor="text1"/>
              </w:rPr>
            </w:pPr>
          </w:p>
        </w:tc>
        <w:tc>
          <w:tcPr>
            <w:tcW w:w="2410" w:type="dxa"/>
            <w:vAlign w:val="bottom"/>
          </w:tcPr>
          <w:p w14:paraId="5D906DAB" w14:textId="77777777" w:rsidR="005861C0" w:rsidRPr="007B3C6A" w:rsidRDefault="005861C0" w:rsidP="000C620A">
            <w:pPr>
              <w:pStyle w:val="TableParagraph"/>
              <w:spacing w:line="258" w:lineRule="exact"/>
              <w:ind w:left="93" w:right="87"/>
              <w:jc w:val="both"/>
              <w:rPr>
                <w:color w:val="000000" w:themeColor="text1"/>
              </w:rPr>
            </w:pPr>
            <w:r w:rsidRPr="007B3C6A">
              <w:rPr>
                <w:color w:val="000000"/>
              </w:rPr>
              <w:t>ROS</w:t>
            </w:r>
            <w:r w:rsidR="000C620A">
              <w:rPr>
                <w:color w:val="000000"/>
              </w:rPr>
              <w:t>AC</w:t>
            </w:r>
            <w:r w:rsidRPr="007B3C6A">
              <w:rPr>
                <w:color w:val="000000"/>
              </w:rPr>
              <w:t>0118</w:t>
            </w:r>
          </w:p>
        </w:tc>
        <w:tc>
          <w:tcPr>
            <w:tcW w:w="3885" w:type="dxa"/>
            <w:vAlign w:val="bottom"/>
          </w:tcPr>
          <w:p w14:paraId="08CC2373" w14:textId="77777777" w:rsidR="005861C0" w:rsidRPr="007B3C6A" w:rsidRDefault="005861C0" w:rsidP="005861C0">
            <w:pPr>
              <w:pStyle w:val="TableParagraph"/>
              <w:spacing w:line="258" w:lineRule="exact"/>
              <w:ind w:left="91" w:right="79"/>
              <w:jc w:val="both"/>
              <w:rPr>
                <w:color w:val="000000" w:themeColor="text1"/>
              </w:rPr>
            </w:pPr>
            <w:r w:rsidRPr="007B3C6A">
              <w:rPr>
                <w:color w:val="000000"/>
              </w:rPr>
              <w:t>Movilele de la Păucea</w:t>
            </w:r>
          </w:p>
        </w:tc>
      </w:tr>
      <w:tr w:rsidR="005861C0" w:rsidRPr="00C56257" w14:paraId="714BAA3C" w14:textId="77777777" w:rsidTr="00487855">
        <w:trPr>
          <w:trHeight w:val="275"/>
        </w:trPr>
        <w:tc>
          <w:tcPr>
            <w:tcW w:w="3410" w:type="dxa"/>
            <w:vMerge/>
            <w:tcBorders>
              <w:top w:val="nil"/>
            </w:tcBorders>
          </w:tcPr>
          <w:p w14:paraId="201C0DF8" w14:textId="77777777" w:rsidR="005861C0" w:rsidRPr="00C56257" w:rsidRDefault="005861C0" w:rsidP="005861C0">
            <w:pPr>
              <w:jc w:val="both"/>
              <w:rPr>
                <w:color w:val="000000" w:themeColor="text1"/>
              </w:rPr>
            </w:pPr>
          </w:p>
        </w:tc>
        <w:tc>
          <w:tcPr>
            <w:tcW w:w="2410" w:type="dxa"/>
            <w:vAlign w:val="bottom"/>
          </w:tcPr>
          <w:p w14:paraId="6F50B703" w14:textId="77777777" w:rsidR="005861C0" w:rsidRPr="007B3C6A" w:rsidRDefault="000C620A" w:rsidP="005861C0">
            <w:pPr>
              <w:pStyle w:val="TableParagraph"/>
              <w:ind w:left="93" w:right="87"/>
              <w:jc w:val="both"/>
              <w:rPr>
                <w:color w:val="000000" w:themeColor="text1"/>
              </w:rPr>
            </w:pPr>
            <w:r>
              <w:rPr>
                <w:color w:val="000000"/>
              </w:rPr>
              <w:t>ROSAC</w:t>
            </w:r>
            <w:r w:rsidR="005861C0" w:rsidRPr="007B3C6A">
              <w:rPr>
                <w:color w:val="000000"/>
              </w:rPr>
              <w:t>0128</w:t>
            </w:r>
          </w:p>
        </w:tc>
        <w:tc>
          <w:tcPr>
            <w:tcW w:w="3885" w:type="dxa"/>
            <w:vAlign w:val="bottom"/>
          </w:tcPr>
          <w:p w14:paraId="0689D8B7" w14:textId="77777777" w:rsidR="005861C0" w:rsidRPr="007B3C6A" w:rsidRDefault="005861C0" w:rsidP="005861C0">
            <w:pPr>
              <w:pStyle w:val="TableParagraph"/>
              <w:ind w:left="91" w:right="80"/>
              <w:jc w:val="both"/>
              <w:rPr>
                <w:color w:val="000000" w:themeColor="text1"/>
              </w:rPr>
            </w:pPr>
            <w:r w:rsidRPr="007B3C6A">
              <w:rPr>
                <w:color w:val="000000"/>
              </w:rPr>
              <w:t>Nordul Gorjului de Est</w:t>
            </w:r>
          </w:p>
        </w:tc>
      </w:tr>
      <w:tr w:rsidR="005861C0" w:rsidRPr="00C56257" w14:paraId="282BEA68" w14:textId="77777777" w:rsidTr="00487855">
        <w:trPr>
          <w:trHeight w:val="275"/>
        </w:trPr>
        <w:tc>
          <w:tcPr>
            <w:tcW w:w="3410" w:type="dxa"/>
            <w:vMerge/>
            <w:tcBorders>
              <w:top w:val="nil"/>
            </w:tcBorders>
          </w:tcPr>
          <w:p w14:paraId="7ECEC41E" w14:textId="77777777" w:rsidR="005861C0" w:rsidRPr="00C56257" w:rsidRDefault="005861C0" w:rsidP="005861C0">
            <w:pPr>
              <w:jc w:val="both"/>
              <w:rPr>
                <w:color w:val="000000" w:themeColor="text1"/>
              </w:rPr>
            </w:pPr>
          </w:p>
        </w:tc>
        <w:tc>
          <w:tcPr>
            <w:tcW w:w="2410" w:type="dxa"/>
            <w:vAlign w:val="bottom"/>
          </w:tcPr>
          <w:p w14:paraId="5D46AAB5" w14:textId="77777777" w:rsidR="005861C0" w:rsidRPr="007B3C6A" w:rsidRDefault="005861C0"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0129</w:t>
            </w:r>
          </w:p>
        </w:tc>
        <w:tc>
          <w:tcPr>
            <w:tcW w:w="3885" w:type="dxa"/>
            <w:vAlign w:val="bottom"/>
          </w:tcPr>
          <w:p w14:paraId="7B0FCCAC" w14:textId="77777777" w:rsidR="005861C0" w:rsidRPr="007B3C6A" w:rsidRDefault="005861C0" w:rsidP="005861C0">
            <w:pPr>
              <w:pStyle w:val="TableParagraph"/>
              <w:ind w:left="91" w:right="81"/>
              <w:jc w:val="both"/>
              <w:rPr>
                <w:color w:val="000000" w:themeColor="text1"/>
              </w:rPr>
            </w:pPr>
            <w:r w:rsidRPr="007B3C6A">
              <w:rPr>
                <w:color w:val="000000"/>
              </w:rPr>
              <w:t>Nordul Gorjului de Vest</w:t>
            </w:r>
          </w:p>
        </w:tc>
      </w:tr>
      <w:tr w:rsidR="005861C0" w:rsidRPr="00C56257" w14:paraId="73AC77CB" w14:textId="77777777" w:rsidTr="00487855">
        <w:trPr>
          <w:trHeight w:val="277"/>
        </w:trPr>
        <w:tc>
          <w:tcPr>
            <w:tcW w:w="3410" w:type="dxa"/>
            <w:vMerge/>
            <w:tcBorders>
              <w:top w:val="nil"/>
            </w:tcBorders>
          </w:tcPr>
          <w:p w14:paraId="37CC5E71" w14:textId="77777777" w:rsidR="005861C0" w:rsidRPr="00C56257" w:rsidRDefault="005861C0" w:rsidP="005861C0">
            <w:pPr>
              <w:jc w:val="both"/>
              <w:rPr>
                <w:color w:val="000000" w:themeColor="text1"/>
              </w:rPr>
            </w:pPr>
          </w:p>
        </w:tc>
        <w:tc>
          <w:tcPr>
            <w:tcW w:w="2410" w:type="dxa"/>
            <w:vAlign w:val="bottom"/>
          </w:tcPr>
          <w:p w14:paraId="364FD38B" w14:textId="77777777" w:rsidR="005861C0" w:rsidRPr="007B3C6A" w:rsidRDefault="005861C0" w:rsidP="000C620A">
            <w:pPr>
              <w:pStyle w:val="TableParagraph"/>
              <w:spacing w:line="258" w:lineRule="exact"/>
              <w:ind w:left="94" w:right="86"/>
              <w:jc w:val="both"/>
              <w:rPr>
                <w:color w:val="000000" w:themeColor="text1"/>
              </w:rPr>
            </w:pPr>
            <w:r w:rsidRPr="007B3C6A">
              <w:rPr>
                <w:color w:val="000000"/>
              </w:rPr>
              <w:t>ROS</w:t>
            </w:r>
            <w:r w:rsidR="000C620A">
              <w:rPr>
                <w:color w:val="000000"/>
              </w:rPr>
              <w:t>AC</w:t>
            </w:r>
            <w:r w:rsidRPr="007B3C6A">
              <w:rPr>
                <w:color w:val="000000"/>
              </w:rPr>
              <w:t>0198</w:t>
            </w:r>
          </w:p>
        </w:tc>
        <w:tc>
          <w:tcPr>
            <w:tcW w:w="3885" w:type="dxa"/>
            <w:vAlign w:val="bottom"/>
          </w:tcPr>
          <w:p w14:paraId="2F7341B5" w14:textId="77777777" w:rsidR="005861C0" w:rsidRPr="007B3C6A" w:rsidRDefault="005861C0" w:rsidP="005861C0">
            <w:pPr>
              <w:pStyle w:val="TableParagraph"/>
              <w:spacing w:line="258" w:lineRule="exact"/>
              <w:ind w:left="91" w:right="81"/>
              <w:jc w:val="both"/>
              <w:rPr>
                <w:color w:val="000000" w:themeColor="text1"/>
              </w:rPr>
            </w:pPr>
            <w:r w:rsidRPr="007B3C6A">
              <w:rPr>
                <w:color w:val="000000"/>
              </w:rPr>
              <w:t>Platoul Mehedinți</w:t>
            </w:r>
          </w:p>
        </w:tc>
      </w:tr>
      <w:tr w:rsidR="005861C0" w:rsidRPr="00C56257" w14:paraId="29DF0E07" w14:textId="77777777" w:rsidTr="00E14BA2">
        <w:trPr>
          <w:trHeight w:val="275"/>
        </w:trPr>
        <w:tc>
          <w:tcPr>
            <w:tcW w:w="3410" w:type="dxa"/>
            <w:vMerge/>
            <w:tcBorders>
              <w:top w:val="nil"/>
            </w:tcBorders>
          </w:tcPr>
          <w:p w14:paraId="3A7CAC0B" w14:textId="77777777" w:rsidR="005861C0" w:rsidRPr="00C56257" w:rsidRDefault="005861C0" w:rsidP="005861C0">
            <w:pPr>
              <w:jc w:val="both"/>
              <w:rPr>
                <w:color w:val="000000" w:themeColor="text1"/>
              </w:rPr>
            </w:pPr>
          </w:p>
        </w:tc>
        <w:tc>
          <w:tcPr>
            <w:tcW w:w="2410" w:type="dxa"/>
            <w:vAlign w:val="bottom"/>
          </w:tcPr>
          <w:p w14:paraId="5BE1013B" w14:textId="77777777" w:rsidR="005861C0" w:rsidRPr="007B3C6A" w:rsidRDefault="005861C0" w:rsidP="005861C0">
            <w:pPr>
              <w:pStyle w:val="TableParagraph"/>
              <w:ind w:left="93" w:right="87"/>
              <w:jc w:val="both"/>
              <w:rPr>
                <w:color w:val="000000" w:themeColor="text1"/>
              </w:rPr>
            </w:pPr>
            <w:r w:rsidRPr="007B3C6A">
              <w:rPr>
                <w:color w:val="000000"/>
              </w:rPr>
              <w:t>ROSCI0206</w:t>
            </w:r>
          </w:p>
        </w:tc>
        <w:tc>
          <w:tcPr>
            <w:tcW w:w="3885" w:type="dxa"/>
            <w:vAlign w:val="bottom"/>
          </w:tcPr>
          <w:p w14:paraId="61F9091A" w14:textId="77777777" w:rsidR="005861C0" w:rsidRPr="007B3C6A" w:rsidRDefault="005861C0" w:rsidP="005861C0">
            <w:pPr>
              <w:pStyle w:val="TableParagraph"/>
              <w:ind w:left="91" w:right="81"/>
              <w:jc w:val="both"/>
              <w:rPr>
                <w:color w:val="000000" w:themeColor="text1"/>
              </w:rPr>
            </w:pPr>
            <w:r w:rsidRPr="007B3C6A">
              <w:rPr>
                <w:color w:val="000000"/>
              </w:rPr>
              <w:t>Porțile de Fier</w:t>
            </w:r>
          </w:p>
        </w:tc>
      </w:tr>
      <w:tr w:rsidR="005861C0" w:rsidRPr="00C56257" w14:paraId="6D706B35" w14:textId="77777777" w:rsidTr="00E14BA2">
        <w:trPr>
          <w:trHeight w:val="275"/>
        </w:trPr>
        <w:tc>
          <w:tcPr>
            <w:tcW w:w="3410" w:type="dxa"/>
            <w:vMerge/>
            <w:tcBorders>
              <w:top w:val="nil"/>
            </w:tcBorders>
          </w:tcPr>
          <w:p w14:paraId="6D29E560" w14:textId="77777777" w:rsidR="005861C0" w:rsidRPr="00C56257" w:rsidRDefault="005861C0" w:rsidP="005861C0">
            <w:pPr>
              <w:jc w:val="both"/>
              <w:rPr>
                <w:color w:val="000000" w:themeColor="text1"/>
              </w:rPr>
            </w:pPr>
          </w:p>
        </w:tc>
        <w:tc>
          <w:tcPr>
            <w:tcW w:w="2410" w:type="dxa"/>
            <w:vAlign w:val="bottom"/>
          </w:tcPr>
          <w:p w14:paraId="7B5194F9" w14:textId="77777777" w:rsidR="005861C0" w:rsidRPr="007B3C6A" w:rsidRDefault="005861C0" w:rsidP="005861C0">
            <w:pPr>
              <w:pStyle w:val="TableParagraph"/>
              <w:ind w:left="93" w:right="87"/>
              <w:jc w:val="both"/>
              <w:rPr>
                <w:color w:val="000000" w:themeColor="text1"/>
              </w:rPr>
            </w:pPr>
            <w:r w:rsidRPr="007B3C6A">
              <w:rPr>
                <w:color w:val="000000"/>
              </w:rPr>
              <w:t>ROSCI0211</w:t>
            </w:r>
          </w:p>
        </w:tc>
        <w:tc>
          <w:tcPr>
            <w:tcW w:w="3885" w:type="dxa"/>
            <w:vAlign w:val="bottom"/>
          </w:tcPr>
          <w:p w14:paraId="03CD1377" w14:textId="77777777" w:rsidR="005861C0" w:rsidRPr="007B3C6A" w:rsidRDefault="005861C0" w:rsidP="005861C0">
            <w:pPr>
              <w:pStyle w:val="TableParagraph"/>
              <w:ind w:left="91" w:right="84"/>
              <w:jc w:val="both"/>
              <w:rPr>
                <w:color w:val="000000" w:themeColor="text1"/>
              </w:rPr>
            </w:pPr>
            <w:r w:rsidRPr="007B3C6A">
              <w:rPr>
                <w:color w:val="000000"/>
              </w:rPr>
              <w:t>Podișul Secașelor</w:t>
            </w:r>
          </w:p>
        </w:tc>
      </w:tr>
      <w:tr w:rsidR="005861C0" w:rsidRPr="00C56257" w14:paraId="4E0BAE1C" w14:textId="77777777" w:rsidTr="00E14BA2">
        <w:trPr>
          <w:trHeight w:val="275"/>
        </w:trPr>
        <w:tc>
          <w:tcPr>
            <w:tcW w:w="3410" w:type="dxa"/>
            <w:vMerge/>
            <w:tcBorders>
              <w:top w:val="nil"/>
            </w:tcBorders>
          </w:tcPr>
          <w:p w14:paraId="0CCDCC30" w14:textId="77777777" w:rsidR="005861C0" w:rsidRPr="00C56257" w:rsidRDefault="005861C0" w:rsidP="005861C0">
            <w:pPr>
              <w:jc w:val="both"/>
              <w:rPr>
                <w:color w:val="000000" w:themeColor="text1"/>
              </w:rPr>
            </w:pPr>
          </w:p>
        </w:tc>
        <w:tc>
          <w:tcPr>
            <w:tcW w:w="2410" w:type="dxa"/>
            <w:vAlign w:val="bottom"/>
          </w:tcPr>
          <w:p w14:paraId="4E1F11B2" w14:textId="77777777" w:rsidR="005861C0" w:rsidRPr="007B3C6A" w:rsidRDefault="005861C0" w:rsidP="005861C0">
            <w:pPr>
              <w:pStyle w:val="TableParagraph"/>
              <w:ind w:left="93" w:right="87"/>
              <w:jc w:val="both"/>
              <w:rPr>
                <w:color w:val="000000" w:themeColor="text1"/>
              </w:rPr>
            </w:pPr>
            <w:r w:rsidRPr="007B3C6A">
              <w:rPr>
                <w:color w:val="000000"/>
              </w:rPr>
              <w:t>ROSCI0226</w:t>
            </w:r>
          </w:p>
        </w:tc>
        <w:tc>
          <w:tcPr>
            <w:tcW w:w="3885" w:type="dxa"/>
            <w:vAlign w:val="bottom"/>
          </w:tcPr>
          <w:p w14:paraId="18F6C5B7" w14:textId="77777777" w:rsidR="005861C0" w:rsidRPr="007B3C6A" w:rsidRDefault="005861C0" w:rsidP="005861C0">
            <w:pPr>
              <w:pStyle w:val="TableParagraph"/>
              <w:ind w:left="91" w:right="84"/>
              <w:jc w:val="both"/>
              <w:rPr>
                <w:color w:val="000000" w:themeColor="text1"/>
              </w:rPr>
            </w:pPr>
            <w:r w:rsidRPr="007B3C6A">
              <w:rPr>
                <w:color w:val="000000"/>
              </w:rPr>
              <w:t>Semenic - Cheile Carașului</w:t>
            </w:r>
          </w:p>
        </w:tc>
      </w:tr>
      <w:tr w:rsidR="005861C0" w:rsidRPr="00C56257" w14:paraId="215261B3" w14:textId="77777777" w:rsidTr="00E14BA2">
        <w:trPr>
          <w:trHeight w:val="275"/>
        </w:trPr>
        <w:tc>
          <w:tcPr>
            <w:tcW w:w="3410" w:type="dxa"/>
            <w:vMerge/>
            <w:tcBorders>
              <w:top w:val="nil"/>
            </w:tcBorders>
          </w:tcPr>
          <w:p w14:paraId="31233D97" w14:textId="77777777" w:rsidR="005861C0" w:rsidRPr="00C56257" w:rsidRDefault="005861C0" w:rsidP="005861C0">
            <w:pPr>
              <w:jc w:val="both"/>
              <w:rPr>
                <w:color w:val="000000" w:themeColor="text1"/>
              </w:rPr>
            </w:pPr>
          </w:p>
        </w:tc>
        <w:tc>
          <w:tcPr>
            <w:tcW w:w="2410" w:type="dxa"/>
            <w:vAlign w:val="bottom"/>
          </w:tcPr>
          <w:p w14:paraId="2FFEA665" w14:textId="77777777" w:rsidR="005861C0" w:rsidRPr="007B3C6A" w:rsidRDefault="005861C0"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0227</w:t>
            </w:r>
          </w:p>
        </w:tc>
        <w:tc>
          <w:tcPr>
            <w:tcW w:w="3885" w:type="dxa"/>
            <w:vAlign w:val="bottom"/>
          </w:tcPr>
          <w:p w14:paraId="574230AE" w14:textId="77777777" w:rsidR="005861C0" w:rsidRPr="007B3C6A" w:rsidRDefault="005861C0" w:rsidP="005861C0">
            <w:pPr>
              <w:pStyle w:val="TableParagraph"/>
              <w:ind w:left="91" w:right="79"/>
              <w:jc w:val="both"/>
              <w:rPr>
                <w:color w:val="000000" w:themeColor="text1"/>
              </w:rPr>
            </w:pPr>
            <w:r w:rsidRPr="007B3C6A">
              <w:rPr>
                <w:color w:val="000000"/>
              </w:rPr>
              <w:t>Sighișoara - Târnava Mare</w:t>
            </w:r>
          </w:p>
        </w:tc>
      </w:tr>
      <w:tr w:rsidR="005861C0" w:rsidRPr="00C56257" w14:paraId="73198A0F" w14:textId="77777777" w:rsidTr="00E14BA2">
        <w:trPr>
          <w:trHeight w:val="275"/>
        </w:trPr>
        <w:tc>
          <w:tcPr>
            <w:tcW w:w="3410" w:type="dxa"/>
            <w:vMerge/>
            <w:tcBorders>
              <w:top w:val="nil"/>
            </w:tcBorders>
          </w:tcPr>
          <w:p w14:paraId="707AC560" w14:textId="77777777" w:rsidR="005861C0" w:rsidRPr="00C56257" w:rsidRDefault="005861C0" w:rsidP="005861C0">
            <w:pPr>
              <w:jc w:val="both"/>
              <w:rPr>
                <w:color w:val="000000" w:themeColor="text1"/>
              </w:rPr>
            </w:pPr>
          </w:p>
        </w:tc>
        <w:tc>
          <w:tcPr>
            <w:tcW w:w="2410" w:type="dxa"/>
            <w:vAlign w:val="bottom"/>
          </w:tcPr>
          <w:p w14:paraId="30F2DA4E" w14:textId="77777777" w:rsidR="005861C0" w:rsidRPr="007B3C6A" w:rsidRDefault="005861C0" w:rsidP="005861C0">
            <w:pPr>
              <w:pStyle w:val="TableParagraph"/>
              <w:ind w:left="93" w:right="87"/>
              <w:jc w:val="both"/>
              <w:rPr>
                <w:color w:val="000000" w:themeColor="text1"/>
              </w:rPr>
            </w:pPr>
            <w:r w:rsidRPr="007B3C6A">
              <w:rPr>
                <w:color w:val="000000"/>
              </w:rPr>
              <w:t>ROSCI0235</w:t>
            </w:r>
          </w:p>
        </w:tc>
        <w:tc>
          <w:tcPr>
            <w:tcW w:w="3885" w:type="dxa"/>
            <w:vAlign w:val="bottom"/>
          </w:tcPr>
          <w:p w14:paraId="6FADA17F" w14:textId="77777777" w:rsidR="005861C0" w:rsidRPr="007B3C6A" w:rsidRDefault="005861C0" w:rsidP="005861C0">
            <w:pPr>
              <w:pStyle w:val="TableParagraph"/>
              <w:ind w:left="91" w:right="82"/>
              <w:jc w:val="both"/>
              <w:rPr>
                <w:color w:val="000000" w:themeColor="text1"/>
              </w:rPr>
            </w:pPr>
            <w:r w:rsidRPr="007B3C6A">
              <w:rPr>
                <w:color w:val="000000"/>
              </w:rPr>
              <w:t>Stânca Tohani</w:t>
            </w:r>
          </w:p>
        </w:tc>
      </w:tr>
      <w:tr w:rsidR="005861C0" w:rsidRPr="00C56257" w14:paraId="71A43644" w14:textId="77777777" w:rsidTr="00E14BA2">
        <w:trPr>
          <w:trHeight w:val="277"/>
        </w:trPr>
        <w:tc>
          <w:tcPr>
            <w:tcW w:w="3410" w:type="dxa"/>
            <w:vMerge/>
            <w:tcBorders>
              <w:top w:val="nil"/>
            </w:tcBorders>
          </w:tcPr>
          <w:p w14:paraId="35D24448" w14:textId="77777777" w:rsidR="005861C0" w:rsidRPr="00C56257" w:rsidRDefault="005861C0" w:rsidP="005861C0">
            <w:pPr>
              <w:jc w:val="both"/>
              <w:rPr>
                <w:color w:val="000000" w:themeColor="text1"/>
              </w:rPr>
            </w:pPr>
          </w:p>
        </w:tc>
        <w:tc>
          <w:tcPr>
            <w:tcW w:w="2410" w:type="dxa"/>
            <w:vAlign w:val="bottom"/>
          </w:tcPr>
          <w:p w14:paraId="5E92481C" w14:textId="77777777" w:rsidR="005861C0" w:rsidRPr="007B3C6A" w:rsidRDefault="005861C0" w:rsidP="000C620A">
            <w:pPr>
              <w:pStyle w:val="TableParagraph"/>
              <w:spacing w:line="258" w:lineRule="exact"/>
              <w:ind w:left="93" w:right="87"/>
              <w:jc w:val="both"/>
              <w:rPr>
                <w:color w:val="000000" w:themeColor="text1"/>
              </w:rPr>
            </w:pPr>
            <w:r w:rsidRPr="007B3C6A">
              <w:rPr>
                <w:color w:val="000000"/>
              </w:rPr>
              <w:t>ROS</w:t>
            </w:r>
            <w:r w:rsidR="000C620A">
              <w:rPr>
                <w:color w:val="000000"/>
              </w:rPr>
              <w:t>AC</w:t>
            </w:r>
            <w:r w:rsidRPr="007B3C6A">
              <w:rPr>
                <w:color w:val="000000"/>
              </w:rPr>
              <w:t>0238</w:t>
            </w:r>
          </w:p>
        </w:tc>
        <w:tc>
          <w:tcPr>
            <w:tcW w:w="3885" w:type="dxa"/>
            <w:vAlign w:val="bottom"/>
          </w:tcPr>
          <w:p w14:paraId="2CE53EBA" w14:textId="77777777" w:rsidR="005861C0" w:rsidRPr="007B3C6A" w:rsidRDefault="005861C0" w:rsidP="005861C0">
            <w:pPr>
              <w:pStyle w:val="TableParagraph"/>
              <w:spacing w:line="258" w:lineRule="exact"/>
              <w:ind w:left="91" w:right="80"/>
              <w:jc w:val="both"/>
              <w:rPr>
                <w:color w:val="000000" w:themeColor="text1"/>
              </w:rPr>
            </w:pPr>
            <w:r w:rsidRPr="007B3C6A">
              <w:rPr>
                <w:color w:val="000000"/>
              </w:rPr>
              <w:t>Suatu - Cojocna - Crairât</w:t>
            </w:r>
          </w:p>
        </w:tc>
      </w:tr>
      <w:tr w:rsidR="005861C0" w:rsidRPr="00C56257" w14:paraId="4DE8AF67" w14:textId="77777777" w:rsidTr="00E14BA2">
        <w:trPr>
          <w:trHeight w:val="275"/>
        </w:trPr>
        <w:tc>
          <w:tcPr>
            <w:tcW w:w="3410" w:type="dxa"/>
            <w:vMerge/>
            <w:tcBorders>
              <w:top w:val="nil"/>
            </w:tcBorders>
          </w:tcPr>
          <w:p w14:paraId="43C2C098" w14:textId="77777777" w:rsidR="005861C0" w:rsidRPr="00C56257" w:rsidRDefault="005861C0" w:rsidP="005861C0">
            <w:pPr>
              <w:jc w:val="both"/>
              <w:rPr>
                <w:color w:val="000000" w:themeColor="text1"/>
              </w:rPr>
            </w:pPr>
          </w:p>
        </w:tc>
        <w:tc>
          <w:tcPr>
            <w:tcW w:w="2410" w:type="dxa"/>
            <w:vAlign w:val="bottom"/>
          </w:tcPr>
          <w:p w14:paraId="216364A8" w14:textId="77777777" w:rsidR="005861C0" w:rsidRPr="007B3C6A" w:rsidRDefault="005861C0"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0239</w:t>
            </w:r>
          </w:p>
        </w:tc>
        <w:tc>
          <w:tcPr>
            <w:tcW w:w="3885" w:type="dxa"/>
            <w:vAlign w:val="bottom"/>
          </w:tcPr>
          <w:p w14:paraId="7D1947E9" w14:textId="77777777" w:rsidR="005861C0" w:rsidRPr="007B3C6A" w:rsidRDefault="005861C0" w:rsidP="005861C0">
            <w:pPr>
              <w:pStyle w:val="TableParagraph"/>
              <w:ind w:left="91" w:right="81"/>
              <w:jc w:val="both"/>
              <w:rPr>
                <w:color w:val="000000" w:themeColor="text1"/>
              </w:rPr>
            </w:pPr>
            <w:r w:rsidRPr="007B3C6A">
              <w:rPr>
                <w:color w:val="000000"/>
              </w:rPr>
              <w:t>Târnovu Mare - Latorița</w:t>
            </w:r>
          </w:p>
        </w:tc>
      </w:tr>
      <w:tr w:rsidR="005861C0" w:rsidRPr="00C56257" w14:paraId="255F0A54" w14:textId="77777777" w:rsidTr="00E14BA2">
        <w:trPr>
          <w:trHeight w:val="276"/>
        </w:trPr>
        <w:tc>
          <w:tcPr>
            <w:tcW w:w="3410" w:type="dxa"/>
            <w:vMerge/>
            <w:tcBorders>
              <w:top w:val="nil"/>
            </w:tcBorders>
          </w:tcPr>
          <w:p w14:paraId="729DE2B3" w14:textId="77777777" w:rsidR="005861C0" w:rsidRPr="00C56257" w:rsidRDefault="005861C0" w:rsidP="005861C0">
            <w:pPr>
              <w:jc w:val="both"/>
              <w:rPr>
                <w:color w:val="000000" w:themeColor="text1"/>
              </w:rPr>
            </w:pPr>
          </w:p>
        </w:tc>
        <w:tc>
          <w:tcPr>
            <w:tcW w:w="2410" w:type="dxa"/>
            <w:vAlign w:val="bottom"/>
          </w:tcPr>
          <w:p w14:paraId="2E0ED687" w14:textId="77777777" w:rsidR="005861C0" w:rsidRPr="007B3C6A" w:rsidRDefault="005861C0"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0297</w:t>
            </w:r>
          </w:p>
        </w:tc>
        <w:tc>
          <w:tcPr>
            <w:tcW w:w="3885" w:type="dxa"/>
            <w:vAlign w:val="bottom"/>
          </w:tcPr>
          <w:p w14:paraId="0A48C94B" w14:textId="77777777" w:rsidR="005861C0" w:rsidRPr="007B3C6A" w:rsidRDefault="005861C0" w:rsidP="005861C0">
            <w:pPr>
              <w:pStyle w:val="TableParagraph"/>
              <w:ind w:left="91" w:right="83"/>
              <w:jc w:val="both"/>
              <w:rPr>
                <w:color w:val="000000" w:themeColor="text1"/>
              </w:rPr>
            </w:pPr>
            <w:r w:rsidRPr="007B3C6A">
              <w:rPr>
                <w:color w:val="000000"/>
              </w:rPr>
              <w:t>Dealurile Târnavei Mici - Bicheș</w:t>
            </w:r>
          </w:p>
        </w:tc>
      </w:tr>
      <w:tr w:rsidR="005861C0" w:rsidRPr="00C56257" w14:paraId="621FB434" w14:textId="77777777" w:rsidTr="00E14BA2">
        <w:trPr>
          <w:trHeight w:val="275"/>
        </w:trPr>
        <w:tc>
          <w:tcPr>
            <w:tcW w:w="3410" w:type="dxa"/>
            <w:vMerge/>
            <w:tcBorders>
              <w:top w:val="nil"/>
            </w:tcBorders>
          </w:tcPr>
          <w:p w14:paraId="4A1C0850" w14:textId="77777777" w:rsidR="005861C0" w:rsidRPr="00C56257" w:rsidRDefault="005861C0" w:rsidP="005861C0">
            <w:pPr>
              <w:jc w:val="both"/>
              <w:rPr>
                <w:color w:val="000000" w:themeColor="text1"/>
              </w:rPr>
            </w:pPr>
          </w:p>
        </w:tc>
        <w:tc>
          <w:tcPr>
            <w:tcW w:w="2410" w:type="dxa"/>
            <w:vAlign w:val="bottom"/>
          </w:tcPr>
          <w:p w14:paraId="3077D010" w14:textId="77777777" w:rsidR="005861C0" w:rsidRPr="007B3C6A" w:rsidRDefault="005861C0" w:rsidP="005861C0">
            <w:pPr>
              <w:pStyle w:val="TableParagraph"/>
              <w:ind w:left="93" w:right="87"/>
              <w:jc w:val="both"/>
              <w:rPr>
                <w:color w:val="000000" w:themeColor="text1"/>
              </w:rPr>
            </w:pPr>
            <w:r w:rsidRPr="007B3C6A">
              <w:rPr>
                <w:color w:val="000000"/>
              </w:rPr>
              <w:t>ROSCI0301</w:t>
            </w:r>
          </w:p>
        </w:tc>
        <w:tc>
          <w:tcPr>
            <w:tcW w:w="3885" w:type="dxa"/>
            <w:vAlign w:val="bottom"/>
          </w:tcPr>
          <w:p w14:paraId="7F75B7F8" w14:textId="77777777" w:rsidR="005861C0" w:rsidRPr="007B3C6A" w:rsidRDefault="005861C0" w:rsidP="005861C0">
            <w:pPr>
              <w:pStyle w:val="TableParagraph"/>
              <w:ind w:left="91" w:right="80"/>
              <w:jc w:val="both"/>
              <w:rPr>
                <w:color w:val="000000" w:themeColor="text1"/>
              </w:rPr>
            </w:pPr>
            <w:r w:rsidRPr="007B3C6A">
              <w:rPr>
                <w:color w:val="000000" w:themeColor="text1"/>
              </w:rPr>
              <w:t>Bogata</w:t>
            </w:r>
          </w:p>
        </w:tc>
      </w:tr>
      <w:tr w:rsidR="005861C0" w:rsidRPr="00C56257" w14:paraId="14D1A053" w14:textId="77777777" w:rsidTr="00E14BA2">
        <w:trPr>
          <w:trHeight w:val="275"/>
        </w:trPr>
        <w:tc>
          <w:tcPr>
            <w:tcW w:w="3410" w:type="dxa"/>
            <w:vMerge/>
            <w:tcBorders>
              <w:top w:val="nil"/>
            </w:tcBorders>
          </w:tcPr>
          <w:p w14:paraId="75512CB1" w14:textId="77777777" w:rsidR="005861C0" w:rsidRPr="00C56257" w:rsidRDefault="005861C0" w:rsidP="005861C0">
            <w:pPr>
              <w:jc w:val="both"/>
              <w:rPr>
                <w:color w:val="000000" w:themeColor="text1"/>
              </w:rPr>
            </w:pPr>
          </w:p>
        </w:tc>
        <w:tc>
          <w:tcPr>
            <w:tcW w:w="2410" w:type="dxa"/>
            <w:vAlign w:val="bottom"/>
          </w:tcPr>
          <w:p w14:paraId="462C8187" w14:textId="77777777" w:rsidR="005861C0" w:rsidRPr="007B3C6A" w:rsidRDefault="005861C0"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0304</w:t>
            </w:r>
          </w:p>
        </w:tc>
        <w:tc>
          <w:tcPr>
            <w:tcW w:w="3885" w:type="dxa"/>
            <w:vAlign w:val="bottom"/>
          </w:tcPr>
          <w:p w14:paraId="3472025E" w14:textId="77777777" w:rsidR="005861C0" w:rsidRPr="007B3C6A" w:rsidRDefault="005861C0" w:rsidP="005861C0">
            <w:pPr>
              <w:pStyle w:val="TableParagraph"/>
              <w:ind w:left="91" w:right="79"/>
              <w:jc w:val="both"/>
              <w:rPr>
                <w:color w:val="000000" w:themeColor="text1"/>
              </w:rPr>
            </w:pPr>
            <w:r w:rsidRPr="007B3C6A">
              <w:rPr>
                <w:color w:val="000000"/>
              </w:rPr>
              <w:t>Hârtibaciu Sud - Vest</w:t>
            </w:r>
          </w:p>
        </w:tc>
      </w:tr>
      <w:tr w:rsidR="005861C0" w:rsidRPr="00C56257" w14:paraId="19F85AA7" w14:textId="77777777" w:rsidTr="00E14BA2">
        <w:trPr>
          <w:trHeight w:val="275"/>
        </w:trPr>
        <w:tc>
          <w:tcPr>
            <w:tcW w:w="3410" w:type="dxa"/>
            <w:vMerge/>
            <w:tcBorders>
              <w:top w:val="nil"/>
            </w:tcBorders>
          </w:tcPr>
          <w:p w14:paraId="49005144" w14:textId="77777777" w:rsidR="005861C0" w:rsidRPr="00C56257" w:rsidRDefault="005861C0" w:rsidP="005861C0">
            <w:pPr>
              <w:jc w:val="both"/>
              <w:rPr>
                <w:color w:val="000000" w:themeColor="text1"/>
              </w:rPr>
            </w:pPr>
          </w:p>
        </w:tc>
        <w:tc>
          <w:tcPr>
            <w:tcW w:w="2410" w:type="dxa"/>
            <w:vAlign w:val="bottom"/>
          </w:tcPr>
          <w:p w14:paraId="2C3A71A0" w14:textId="77777777" w:rsidR="005861C0" w:rsidRPr="007B3C6A" w:rsidRDefault="005861C0" w:rsidP="005861C0">
            <w:pPr>
              <w:pStyle w:val="TableParagraph"/>
              <w:ind w:left="93" w:right="87"/>
              <w:jc w:val="both"/>
              <w:rPr>
                <w:color w:val="000000" w:themeColor="text1"/>
              </w:rPr>
            </w:pPr>
            <w:r w:rsidRPr="007B3C6A">
              <w:rPr>
                <w:color w:val="000000"/>
              </w:rPr>
              <w:t>ROSCI0323</w:t>
            </w:r>
          </w:p>
        </w:tc>
        <w:tc>
          <w:tcPr>
            <w:tcW w:w="3885" w:type="dxa"/>
            <w:vAlign w:val="bottom"/>
          </w:tcPr>
          <w:p w14:paraId="5925CB62" w14:textId="77777777" w:rsidR="005861C0" w:rsidRPr="007B3C6A" w:rsidRDefault="005861C0" w:rsidP="005861C0">
            <w:pPr>
              <w:pStyle w:val="TableParagraph"/>
              <w:ind w:left="89" w:right="85"/>
              <w:jc w:val="both"/>
              <w:rPr>
                <w:color w:val="000000" w:themeColor="text1"/>
              </w:rPr>
            </w:pPr>
            <w:r w:rsidRPr="007B3C6A">
              <w:rPr>
                <w:color w:val="000000"/>
              </w:rPr>
              <w:t>Munții Ciucului</w:t>
            </w:r>
          </w:p>
        </w:tc>
      </w:tr>
      <w:tr w:rsidR="005861C0" w:rsidRPr="00C56257" w14:paraId="627958B1" w14:textId="77777777" w:rsidTr="00E14BA2">
        <w:trPr>
          <w:trHeight w:val="278"/>
        </w:trPr>
        <w:tc>
          <w:tcPr>
            <w:tcW w:w="3410" w:type="dxa"/>
            <w:vMerge/>
            <w:tcBorders>
              <w:top w:val="nil"/>
            </w:tcBorders>
          </w:tcPr>
          <w:p w14:paraId="67BA694B" w14:textId="77777777" w:rsidR="005861C0" w:rsidRPr="00C56257" w:rsidRDefault="005861C0" w:rsidP="005861C0">
            <w:pPr>
              <w:jc w:val="both"/>
              <w:rPr>
                <w:color w:val="000000" w:themeColor="text1"/>
              </w:rPr>
            </w:pPr>
          </w:p>
        </w:tc>
        <w:tc>
          <w:tcPr>
            <w:tcW w:w="2410" w:type="dxa"/>
            <w:vAlign w:val="bottom"/>
          </w:tcPr>
          <w:p w14:paraId="75665E06" w14:textId="77777777" w:rsidR="005861C0" w:rsidRPr="007B3C6A" w:rsidRDefault="005861C0" w:rsidP="005861C0">
            <w:pPr>
              <w:pStyle w:val="TableParagraph"/>
              <w:spacing w:line="258" w:lineRule="exact"/>
              <w:ind w:left="93" w:right="87"/>
              <w:jc w:val="both"/>
              <w:rPr>
                <w:color w:val="000000" w:themeColor="text1"/>
              </w:rPr>
            </w:pPr>
            <w:r w:rsidRPr="007B3C6A">
              <w:rPr>
                <w:color w:val="000000"/>
              </w:rPr>
              <w:t>ROSCI0396</w:t>
            </w:r>
          </w:p>
        </w:tc>
        <w:tc>
          <w:tcPr>
            <w:tcW w:w="3885" w:type="dxa"/>
            <w:vAlign w:val="bottom"/>
          </w:tcPr>
          <w:p w14:paraId="73320F14" w14:textId="77777777" w:rsidR="005861C0" w:rsidRPr="007B3C6A" w:rsidRDefault="005861C0" w:rsidP="005861C0">
            <w:pPr>
              <w:pStyle w:val="TableParagraph"/>
              <w:spacing w:line="258" w:lineRule="exact"/>
              <w:ind w:left="91" w:right="83"/>
              <w:jc w:val="both"/>
              <w:rPr>
                <w:color w:val="000000" w:themeColor="text1"/>
              </w:rPr>
            </w:pPr>
            <w:r w:rsidRPr="007B3C6A">
              <w:rPr>
                <w:color w:val="000000"/>
              </w:rPr>
              <w:t>Dealul Pădurea Murei - Sângeorzu Nou</w:t>
            </w:r>
          </w:p>
        </w:tc>
      </w:tr>
      <w:tr w:rsidR="005861C0" w:rsidRPr="00C56257" w14:paraId="48B3F3EF" w14:textId="77777777" w:rsidTr="00E14BA2">
        <w:trPr>
          <w:trHeight w:val="275"/>
        </w:trPr>
        <w:tc>
          <w:tcPr>
            <w:tcW w:w="3410" w:type="dxa"/>
            <w:vMerge/>
            <w:tcBorders>
              <w:top w:val="nil"/>
            </w:tcBorders>
          </w:tcPr>
          <w:p w14:paraId="644C63D4" w14:textId="77777777" w:rsidR="005861C0" w:rsidRPr="00C56257" w:rsidRDefault="005861C0" w:rsidP="005861C0">
            <w:pPr>
              <w:jc w:val="both"/>
              <w:rPr>
                <w:color w:val="000000" w:themeColor="text1"/>
              </w:rPr>
            </w:pPr>
          </w:p>
        </w:tc>
        <w:tc>
          <w:tcPr>
            <w:tcW w:w="2410" w:type="dxa"/>
            <w:vAlign w:val="bottom"/>
          </w:tcPr>
          <w:p w14:paraId="619E9A93" w14:textId="77777777" w:rsidR="005861C0" w:rsidRPr="007B3C6A" w:rsidRDefault="005861C0" w:rsidP="005861C0">
            <w:pPr>
              <w:pStyle w:val="TableParagraph"/>
              <w:ind w:left="93" w:right="87"/>
              <w:jc w:val="both"/>
              <w:rPr>
                <w:color w:val="000000" w:themeColor="text1"/>
              </w:rPr>
            </w:pPr>
            <w:r w:rsidRPr="007B3C6A">
              <w:rPr>
                <w:color w:val="000000"/>
              </w:rPr>
              <w:t>ROSCI0406</w:t>
            </w:r>
          </w:p>
        </w:tc>
        <w:tc>
          <w:tcPr>
            <w:tcW w:w="3885" w:type="dxa"/>
            <w:vAlign w:val="bottom"/>
          </w:tcPr>
          <w:p w14:paraId="1C9CDC16" w14:textId="77777777" w:rsidR="005861C0" w:rsidRPr="007B3C6A" w:rsidRDefault="005861C0" w:rsidP="005861C0">
            <w:pPr>
              <w:pStyle w:val="TableParagraph"/>
              <w:ind w:left="91" w:right="81"/>
              <w:jc w:val="both"/>
              <w:rPr>
                <w:color w:val="000000" w:themeColor="text1"/>
              </w:rPr>
            </w:pPr>
            <w:r w:rsidRPr="007B3C6A">
              <w:rPr>
                <w:color w:val="000000"/>
              </w:rPr>
              <w:t>Zarandul de Est</w:t>
            </w:r>
          </w:p>
        </w:tc>
      </w:tr>
      <w:tr w:rsidR="005861C0" w:rsidRPr="00C56257" w14:paraId="36F3E470" w14:textId="77777777" w:rsidTr="00E14BA2">
        <w:trPr>
          <w:trHeight w:val="275"/>
        </w:trPr>
        <w:tc>
          <w:tcPr>
            <w:tcW w:w="3410" w:type="dxa"/>
            <w:vMerge/>
            <w:tcBorders>
              <w:top w:val="nil"/>
            </w:tcBorders>
          </w:tcPr>
          <w:p w14:paraId="3AA1FDA7" w14:textId="77777777" w:rsidR="005861C0" w:rsidRPr="00C56257" w:rsidRDefault="005861C0" w:rsidP="005861C0">
            <w:pPr>
              <w:jc w:val="both"/>
              <w:rPr>
                <w:color w:val="000000" w:themeColor="text1"/>
              </w:rPr>
            </w:pPr>
          </w:p>
        </w:tc>
        <w:tc>
          <w:tcPr>
            <w:tcW w:w="2410" w:type="dxa"/>
            <w:vAlign w:val="bottom"/>
          </w:tcPr>
          <w:p w14:paraId="738CC3BC" w14:textId="77777777" w:rsidR="005861C0" w:rsidRPr="007B3C6A" w:rsidRDefault="005861C0" w:rsidP="005861C0">
            <w:pPr>
              <w:pStyle w:val="TableParagraph"/>
              <w:ind w:left="93" w:right="87"/>
              <w:jc w:val="both"/>
              <w:rPr>
                <w:color w:val="000000" w:themeColor="text1"/>
              </w:rPr>
            </w:pPr>
            <w:r w:rsidRPr="007B3C6A">
              <w:rPr>
                <w:color w:val="000000"/>
              </w:rPr>
              <w:t>ROSCI0410</w:t>
            </w:r>
          </w:p>
        </w:tc>
        <w:tc>
          <w:tcPr>
            <w:tcW w:w="3885" w:type="dxa"/>
            <w:vAlign w:val="bottom"/>
          </w:tcPr>
          <w:p w14:paraId="7A3DFBDA" w14:textId="77777777" w:rsidR="005861C0" w:rsidRPr="007B3C6A" w:rsidRDefault="005861C0" w:rsidP="005861C0">
            <w:pPr>
              <w:pStyle w:val="TableParagraph"/>
              <w:ind w:left="91" w:right="83"/>
              <w:jc w:val="both"/>
              <w:rPr>
                <w:color w:val="000000" w:themeColor="text1"/>
              </w:rPr>
            </w:pPr>
            <w:r w:rsidRPr="007B3C6A">
              <w:rPr>
                <w:color w:val="000000"/>
              </w:rPr>
              <w:t>Fânațele de la Sucutard</w:t>
            </w:r>
          </w:p>
        </w:tc>
      </w:tr>
      <w:tr w:rsidR="005861C0" w:rsidRPr="00C56257" w14:paraId="2585B19F" w14:textId="77777777" w:rsidTr="00E14BA2">
        <w:trPr>
          <w:trHeight w:val="275"/>
        </w:trPr>
        <w:tc>
          <w:tcPr>
            <w:tcW w:w="3410" w:type="dxa"/>
            <w:vMerge/>
            <w:tcBorders>
              <w:top w:val="nil"/>
            </w:tcBorders>
          </w:tcPr>
          <w:p w14:paraId="458F7B79" w14:textId="77777777" w:rsidR="005861C0" w:rsidRPr="00C56257" w:rsidRDefault="005861C0" w:rsidP="005861C0">
            <w:pPr>
              <w:jc w:val="both"/>
              <w:rPr>
                <w:color w:val="000000" w:themeColor="text1"/>
              </w:rPr>
            </w:pPr>
          </w:p>
        </w:tc>
        <w:tc>
          <w:tcPr>
            <w:tcW w:w="2410" w:type="dxa"/>
            <w:vAlign w:val="bottom"/>
          </w:tcPr>
          <w:p w14:paraId="2C80A22E" w14:textId="77777777" w:rsidR="005861C0" w:rsidRPr="007B3C6A" w:rsidRDefault="005861C0" w:rsidP="005861C0">
            <w:pPr>
              <w:pStyle w:val="TableParagraph"/>
              <w:ind w:left="93" w:right="87"/>
              <w:jc w:val="both"/>
              <w:rPr>
                <w:color w:val="000000" w:themeColor="text1"/>
              </w:rPr>
            </w:pPr>
            <w:r w:rsidRPr="007B3C6A">
              <w:rPr>
                <w:color w:val="000000"/>
              </w:rPr>
              <w:t>ROSCI0416</w:t>
            </w:r>
          </w:p>
        </w:tc>
        <w:tc>
          <w:tcPr>
            <w:tcW w:w="3885" w:type="dxa"/>
            <w:vAlign w:val="bottom"/>
          </w:tcPr>
          <w:p w14:paraId="5DDA94A7" w14:textId="77777777" w:rsidR="005861C0" w:rsidRPr="007B3C6A" w:rsidRDefault="005861C0" w:rsidP="005861C0">
            <w:pPr>
              <w:pStyle w:val="TableParagraph"/>
              <w:ind w:left="91" w:right="79"/>
              <w:jc w:val="both"/>
              <w:rPr>
                <w:color w:val="000000" w:themeColor="text1"/>
              </w:rPr>
            </w:pPr>
            <w:r w:rsidRPr="007B3C6A">
              <w:rPr>
                <w:color w:val="000000"/>
              </w:rPr>
              <w:t>Măgura Bătarci</w:t>
            </w:r>
          </w:p>
        </w:tc>
      </w:tr>
      <w:tr w:rsidR="005861C0" w:rsidRPr="00C56257" w14:paraId="10D32468" w14:textId="77777777" w:rsidTr="00E14BA2">
        <w:trPr>
          <w:trHeight w:val="275"/>
        </w:trPr>
        <w:tc>
          <w:tcPr>
            <w:tcW w:w="3410" w:type="dxa"/>
            <w:vMerge/>
            <w:tcBorders>
              <w:top w:val="nil"/>
            </w:tcBorders>
          </w:tcPr>
          <w:p w14:paraId="14FBEA45" w14:textId="77777777" w:rsidR="005861C0" w:rsidRPr="00C56257" w:rsidRDefault="005861C0" w:rsidP="005861C0">
            <w:pPr>
              <w:jc w:val="both"/>
              <w:rPr>
                <w:color w:val="000000" w:themeColor="text1"/>
              </w:rPr>
            </w:pPr>
          </w:p>
        </w:tc>
        <w:tc>
          <w:tcPr>
            <w:tcW w:w="2410" w:type="dxa"/>
            <w:vAlign w:val="bottom"/>
          </w:tcPr>
          <w:p w14:paraId="1F5713D0" w14:textId="77777777" w:rsidR="005861C0" w:rsidRPr="007B3C6A" w:rsidRDefault="005861C0" w:rsidP="005861C0">
            <w:pPr>
              <w:pStyle w:val="TableParagraph"/>
              <w:ind w:left="94" w:right="87"/>
              <w:jc w:val="both"/>
              <w:rPr>
                <w:color w:val="000000" w:themeColor="text1"/>
              </w:rPr>
            </w:pPr>
            <w:r w:rsidRPr="007B3C6A">
              <w:rPr>
                <w:color w:val="000000"/>
              </w:rPr>
              <w:t>ROSCI0418</w:t>
            </w:r>
          </w:p>
        </w:tc>
        <w:tc>
          <w:tcPr>
            <w:tcW w:w="3885" w:type="dxa"/>
            <w:vAlign w:val="bottom"/>
          </w:tcPr>
          <w:p w14:paraId="6A9FD59F" w14:textId="77777777" w:rsidR="005861C0" w:rsidRPr="007B3C6A" w:rsidRDefault="005861C0" w:rsidP="005861C0">
            <w:pPr>
              <w:pStyle w:val="TableParagraph"/>
              <w:ind w:left="91" w:right="85"/>
              <w:jc w:val="both"/>
              <w:rPr>
                <w:color w:val="000000" w:themeColor="text1"/>
              </w:rPr>
            </w:pPr>
            <w:r w:rsidRPr="007B3C6A">
              <w:rPr>
                <w:color w:val="000000"/>
              </w:rPr>
              <w:t>Movilele de la Iacobeni</w:t>
            </w:r>
          </w:p>
        </w:tc>
      </w:tr>
      <w:tr w:rsidR="005861C0" w:rsidRPr="00C56257" w14:paraId="609800CD" w14:textId="77777777" w:rsidTr="00E14BA2">
        <w:trPr>
          <w:trHeight w:val="275"/>
        </w:trPr>
        <w:tc>
          <w:tcPr>
            <w:tcW w:w="3410" w:type="dxa"/>
            <w:vMerge/>
            <w:tcBorders>
              <w:top w:val="nil"/>
            </w:tcBorders>
          </w:tcPr>
          <w:p w14:paraId="0F2875FD" w14:textId="77777777" w:rsidR="005861C0" w:rsidRPr="00C56257" w:rsidRDefault="005861C0" w:rsidP="005861C0">
            <w:pPr>
              <w:jc w:val="both"/>
              <w:rPr>
                <w:color w:val="000000" w:themeColor="text1"/>
              </w:rPr>
            </w:pPr>
          </w:p>
        </w:tc>
        <w:tc>
          <w:tcPr>
            <w:tcW w:w="2410" w:type="dxa"/>
            <w:vAlign w:val="bottom"/>
          </w:tcPr>
          <w:p w14:paraId="1E4313F9" w14:textId="77777777" w:rsidR="005861C0" w:rsidRPr="007B3C6A" w:rsidRDefault="005861C0" w:rsidP="005861C0">
            <w:pPr>
              <w:pStyle w:val="TableParagraph"/>
              <w:ind w:left="93" w:right="87"/>
              <w:jc w:val="both"/>
              <w:rPr>
                <w:color w:val="000000" w:themeColor="text1"/>
              </w:rPr>
            </w:pPr>
            <w:r w:rsidRPr="007B3C6A">
              <w:rPr>
                <w:color w:val="000000"/>
              </w:rPr>
              <w:t>ROSCI0428</w:t>
            </w:r>
          </w:p>
        </w:tc>
        <w:tc>
          <w:tcPr>
            <w:tcW w:w="3885" w:type="dxa"/>
            <w:vAlign w:val="bottom"/>
          </w:tcPr>
          <w:p w14:paraId="0E61FF9E" w14:textId="77777777" w:rsidR="005861C0" w:rsidRPr="007B3C6A" w:rsidRDefault="005861C0" w:rsidP="005861C0">
            <w:pPr>
              <w:pStyle w:val="TableParagraph"/>
              <w:ind w:left="91" w:right="81"/>
              <w:jc w:val="both"/>
              <w:rPr>
                <w:color w:val="000000" w:themeColor="text1"/>
              </w:rPr>
            </w:pPr>
            <w:r w:rsidRPr="007B3C6A">
              <w:rPr>
                <w:color w:val="000000"/>
              </w:rPr>
              <w:t>Pajiștile de la Mănărade</w:t>
            </w:r>
          </w:p>
        </w:tc>
      </w:tr>
      <w:tr w:rsidR="005861C0" w:rsidRPr="00C56257" w14:paraId="023C1A73" w14:textId="77777777" w:rsidTr="00E14BA2">
        <w:trPr>
          <w:trHeight w:val="275"/>
        </w:trPr>
        <w:tc>
          <w:tcPr>
            <w:tcW w:w="3410" w:type="dxa"/>
            <w:vMerge/>
            <w:tcBorders>
              <w:top w:val="nil"/>
            </w:tcBorders>
          </w:tcPr>
          <w:p w14:paraId="42639F59" w14:textId="77777777" w:rsidR="005861C0" w:rsidRPr="00C56257" w:rsidRDefault="005861C0" w:rsidP="005861C0">
            <w:pPr>
              <w:jc w:val="both"/>
              <w:rPr>
                <w:color w:val="000000" w:themeColor="text1"/>
              </w:rPr>
            </w:pPr>
          </w:p>
        </w:tc>
        <w:tc>
          <w:tcPr>
            <w:tcW w:w="2410" w:type="dxa"/>
            <w:vAlign w:val="bottom"/>
          </w:tcPr>
          <w:p w14:paraId="02E5023C" w14:textId="77777777" w:rsidR="005861C0" w:rsidRPr="007B3C6A" w:rsidRDefault="005861C0" w:rsidP="005861C0">
            <w:pPr>
              <w:pStyle w:val="TableParagraph"/>
              <w:ind w:left="93" w:right="87"/>
              <w:jc w:val="both"/>
              <w:rPr>
                <w:color w:val="000000" w:themeColor="text1"/>
              </w:rPr>
            </w:pPr>
            <w:r w:rsidRPr="007B3C6A">
              <w:rPr>
                <w:color w:val="000000"/>
              </w:rPr>
              <w:t>ROSCI0429</w:t>
            </w:r>
          </w:p>
        </w:tc>
        <w:tc>
          <w:tcPr>
            <w:tcW w:w="3885" w:type="dxa"/>
            <w:vAlign w:val="bottom"/>
          </w:tcPr>
          <w:p w14:paraId="269376AA" w14:textId="77777777" w:rsidR="005861C0" w:rsidRPr="007B3C6A" w:rsidRDefault="005861C0" w:rsidP="005861C0">
            <w:pPr>
              <w:pStyle w:val="TableParagraph"/>
              <w:ind w:left="91" w:right="81"/>
              <w:jc w:val="both"/>
              <w:rPr>
                <w:color w:val="000000" w:themeColor="text1"/>
              </w:rPr>
            </w:pPr>
            <w:r w:rsidRPr="007B3C6A">
              <w:rPr>
                <w:color w:val="000000"/>
              </w:rPr>
              <w:t>Pajiștile de la Moriști și Cojocna</w:t>
            </w:r>
          </w:p>
        </w:tc>
      </w:tr>
      <w:tr w:rsidR="005861C0" w:rsidRPr="00C56257" w14:paraId="7AE00D35" w14:textId="77777777" w:rsidTr="00E14BA2">
        <w:trPr>
          <w:trHeight w:val="275"/>
        </w:trPr>
        <w:tc>
          <w:tcPr>
            <w:tcW w:w="3410" w:type="dxa"/>
            <w:vMerge/>
            <w:tcBorders>
              <w:top w:val="nil"/>
            </w:tcBorders>
          </w:tcPr>
          <w:p w14:paraId="56CF6B38" w14:textId="77777777" w:rsidR="005861C0" w:rsidRPr="00C56257" w:rsidRDefault="005861C0" w:rsidP="005861C0">
            <w:pPr>
              <w:jc w:val="both"/>
              <w:rPr>
                <w:color w:val="000000" w:themeColor="text1"/>
              </w:rPr>
            </w:pPr>
          </w:p>
        </w:tc>
        <w:tc>
          <w:tcPr>
            <w:tcW w:w="2410" w:type="dxa"/>
            <w:vAlign w:val="bottom"/>
          </w:tcPr>
          <w:p w14:paraId="6E511B16" w14:textId="77777777" w:rsidR="005861C0" w:rsidRPr="007B3C6A" w:rsidRDefault="005861C0" w:rsidP="005861C0">
            <w:pPr>
              <w:pStyle w:val="TableParagraph"/>
              <w:ind w:left="93" w:right="87"/>
              <w:jc w:val="both"/>
              <w:rPr>
                <w:color w:val="000000" w:themeColor="text1"/>
              </w:rPr>
            </w:pPr>
            <w:r w:rsidRPr="007B3C6A">
              <w:rPr>
                <w:color w:val="000000"/>
              </w:rPr>
              <w:t>ROSCI0430</w:t>
            </w:r>
          </w:p>
        </w:tc>
        <w:tc>
          <w:tcPr>
            <w:tcW w:w="3885" w:type="dxa"/>
            <w:vAlign w:val="bottom"/>
          </w:tcPr>
          <w:p w14:paraId="3889005F" w14:textId="77777777" w:rsidR="005861C0" w:rsidRPr="007B3C6A" w:rsidRDefault="005861C0" w:rsidP="005861C0">
            <w:pPr>
              <w:pStyle w:val="TableParagraph"/>
              <w:ind w:left="91" w:right="85"/>
              <w:jc w:val="both"/>
              <w:rPr>
                <w:color w:val="000000" w:themeColor="text1"/>
              </w:rPr>
            </w:pPr>
            <w:r w:rsidRPr="007B3C6A">
              <w:rPr>
                <w:color w:val="000000"/>
              </w:rPr>
              <w:t>Pajiștile de la Tiur</w:t>
            </w:r>
          </w:p>
        </w:tc>
      </w:tr>
      <w:tr w:rsidR="005861C0" w:rsidRPr="00C56257" w14:paraId="59DE2F8B" w14:textId="77777777" w:rsidTr="00E14BA2">
        <w:trPr>
          <w:trHeight w:val="278"/>
        </w:trPr>
        <w:tc>
          <w:tcPr>
            <w:tcW w:w="3410" w:type="dxa"/>
            <w:vMerge/>
            <w:tcBorders>
              <w:top w:val="nil"/>
            </w:tcBorders>
          </w:tcPr>
          <w:p w14:paraId="00679C26" w14:textId="77777777" w:rsidR="005861C0" w:rsidRPr="00C56257" w:rsidRDefault="005861C0" w:rsidP="005861C0">
            <w:pPr>
              <w:jc w:val="both"/>
              <w:rPr>
                <w:color w:val="000000" w:themeColor="text1"/>
              </w:rPr>
            </w:pPr>
          </w:p>
        </w:tc>
        <w:tc>
          <w:tcPr>
            <w:tcW w:w="2410" w:type="dxa"/>
            <w:vAlign w:val="bottom"/>
          </w:tcPr>
          <w:p w14:paraId="21DE14E1" w14:textId="77777777" w:rsidR="005861C0" w:rsidRPr="007B3C6A" w:rsidRDefault="005861C0" w:rsidP="005861C0">
            <w:pPr>
              <w:pStyle w:val="TableParagraph"/>
              <w:spacing w:line="258" w:lineRule="exact"/>
              <w:ind w:left="93" w:right="87"/>
              <w:jc w:val="both"/>
              <w:rPr>
                <w:color w:val="000000" w:themeColor="text1"/>
              </w:rPr>
            </w:pPr>
            <w:r w:rsidRPr="007B3C6A">
              <w:rPr>
                <w:color w:val="000000"/>
              </w:rPr>
              <w:t>ROSCI0431</w:t>
            </w:r>
          </w:p>
        </w:tc>
        <w:tc>
          <w:tcPr>
            <w:tcW w:w="3885" w:type="dxa"/>
            <w:vAlign w:val="bottom"/>
          </w:tcPr>
          <w:p w14:paraId="5FD3C29F" w14:textId="77777777" w:rsidR="005861C0" w:rsidRPr="007B3C6A" w:rsidRDefault="005861C0" w:rsidP="005861C0">
            <w:pPr>
              <w:pStyle w:val="TableParagraph"/>
              <w:spacing w:line="258" w:lineRule="exact"/>
              <w:ind w:left="91" w:right="79"/>
              <w:jc w:val="both"/>
              <w:rPr>
                <w:color w:val="000000" w:themeColor="text1"/>
              </w:rPr>
            </w:pPr>
            <w:r w:rsidRPr="007B3C6A">
              <w:rPr>
                <w:color w:val="000000"/>
              </w:rPr>
              <w:t>Pajiștile dintre Șeica Mare și Veșeud</w:t>
            </w:r>
          </w:p>
        </w:tc>
      </w:tr>
      <w:tr w:rsidR="005861C0" w:rsidRPr="00C56257" w14:paraId="7CB2BE93" w14:textId="77777777" w:rsidTr="00E14BA2">
        <w:trPr>
          <w:trHeight w:val="275"/>
        </w:trPr>
        <w:tc>
          <w:tcPr>
            <w:tcW w:w="3410" w:type="dxa"/>
            <w:vMerge w:val="restart"/>
          </w:tcPr>
          <w:p w14:paraId="3BD2C2E9" w14:textId="77777777" w:rsidR="005861C0" w:rsidRPr="00C56257" w:rsidRDefault="005861C0" w:rsidP="005861C0">
            <w:pPr>
              <w:pStyle w:val="TableParagraph"/>
              <w:jc w:val="both"/>
              <w:rPr>
                <w:color w:val="000000" w:themeColor="text1"/>
                <w:sz w:val="24"/>
                <w:szCs w:val="24"/>
              </w:rPr>
            </w:pPr>
          </w:p>
          <w:p w14:paraId="1F8C2F33" w14:textId="77777777" w:rsidR="005861C0" w:rsidRPr="00C56257" w:rsidRDefault="005861C0" w:rsidP="005861C0">
            <w:pPr>
              <w:pStyle w:val="TableParagraph"/>
              <w:jc w:val="both"/>
              <w:rPr>
                <w:color w:val="000000" w:themeColor="text1"/>
                <w:sz w:val="24"/>
                <w:szCs w:val="24"/>
              </w:rPr>
            </w:pPr>
          </w:p>
          <w:p w14:paraId="5FFB8719" w14:textId="77777777" w:rsidR="005861C0" w:rsidRPr="00C56257" w:rsidRDefault="005861C0" w:rsidP="005861C0">
            <w:pPr>
              <w:pStyle w:val="TableParagraph"/>
              <w:jc w:val="both"/>
              <w:rPr>
                <w:color w:val="000000" w:themeColor="text1"/>
                <w:sz w:val="24"/>
                <w:szCs w:val="24"/>
              </w:rPr>
            </w:pPr>
          </w:p>
          <w:p w14:paraId="4F7AC68A" w14:textId="77777777" w:rsidR="005861C0" w:rsidRPr="00C56257" w:rsidRDefault="005861C0" w:rsidP="005861C0">
            <w:pPr>
              <w:pStyle w:val="TableParagraph"/>
              <w:jc w:val="both"/>
              <w:rPr>
                <w:color w:val="000000" w:themeColor="text1"/>
                <w:sz w:val="24"/>
                <w:szCs w:val="24"/>
              </w:rPr>
            </w:pPr>
          </w:p>
          <w:p w14:paraId="341F6AA9" w14:textId="77777777" w:rsidR="005861C0" w:rsidRPr="00C56257" w:rsidRDefault="005861C0" w:rsidP="005861C0">
            <w:pPr>
              <w:pStyle w:val="TableParagraph"/>
              <w:jc w:val="both"/>
              <w:rPr>
                <w:color w:val="000000" w:themeColor="text1"/>
                <w:sz w:val="24"/>
                <w:szCs w:val="24"/>
              </w:rPr>
            </w:pPr>
          </w:p>
          <w:p w14:paraId="344B96A8" w14:textId="77777777" w:rsidR="005861C0" w:rsidRPr="00C56257" w:rsidRDefault="005861C0" w:rsidP="005861C0">
            <w:pPr>
              <w:pStyle w:val="TableParagraph"/>
              <w:jc w:val="both"/>
              <w:rPr>
                <w:color w:val="000000" w:themeColor="text1"/>
                <w:sz w:val="24"/>
                <w:szCs w:val="24"/>
              </w:rPr>
            </w:pPr>
          </w:p>
          <w:p w14:paraId="52DF8CE3" w14:textId="77777777" w:rsidR="005861C0" w:rsidRPr="00C56257" w:rsidRDefault="005861C0" w:rsidP="005861C0">
            <w:pPr>
              <w:pStyle w:val="TableParagraph"/>
              <w:jc w:val="both"/>
              <w:rPr>
                <w:color w:val="000000" w:themeColor="text1"/>
                <w:sz w:val="24"/>
                <w:szCs w:val="24"/>
              </w:rPr>
            </w:pPr>
          </w:p>
          <w:p w14:paraId="652CC2D8" w14:textId="77777777" w:rsidR="005861C0" w:rsidRPr="00C56257" w:rsidRDefault="005861C0" w:rsidP="005861C0">
            <w:pPr>
              <w:pStyle w:val="TableParagraph"/>
              <w:jc w:val="both"/>
              <w:rPr>
                <w:color w:val="000000" w:themeColor="text1"/>
                <w:sz w:val="24"/>
                <w:szCs w:val="24"/>
              </w:rPr>
            </w:pPr>
          </w:p>
          <w:p w14:paraId="013BC545" w14:textId="77777777" w:rsidR="005861C0" w:rsidRPr="00C56257" w:rsidRDefault="005861C0" w:rsidP="005861C0">
            <w:pPr>
              <w:pStyle w:val="TableParagraph"/>
              <w:jc w:val="both"/>
              <w:rPr>
                <w:color w:val="000000" w:themeColor="text1"/>
                <w:sz w:val="24"/>
                <w:szCs w:val="24"/>
              </w:rPr>
            </w:pPr>
          </w:p>
          <w:p w14:paraId="6D0B91A6" w14:textId="77777777" w:rsidR="005861C0" w:rsidRPr="00C56257" w:rsidRDefault="005861C0" w:rsidP="005861C0">
            <w:pPr>
              <w:pStyle w:val="TableParagraph"/>
              <w:spacing w:before="2"/>
              <w:jc w:val="both"/>
              <w:rPr>
                <w:color w:val="000000" w:themeColor="text1"/>
                <w:sz w:val="24"/>
                <w:szCs w:val="24"/>
              </w:rPr>
            </w:pPr>
          </w:p>
          <w:p w14:paraId="6FDF863D" w14:textId="77777777" w:rsidR="005861C0" w:rsidRPr="00C56257" w:rsidRDefault="005861C0" w:rsidP="005861C0">
            <w:pPr>
              <w:pStyle w:val="TableParagraph"/>
              <w:spacing w:before="1"/>
              <w:ind w:left="108" w:right="404"/>
              <w:jc w:val="both"/>
              <w:rPr>
                <w:color w:val="000000" w:themeColor="text1"/>
                <w:sz w:val="24"/>
                <w:szCs w:val="24"/>
              </w:rPr>
            </w:pPr>
            <w:r w:rsidRPr="00C56257">
              <w:rPr>
                <w:color w:val="000000" w:themeColor="text1"/>
                <w:sz w:val="24"/>
                <w:szCs w:val="24"/>
              </w:rPr>
              <w:t>6230</w:t>
            </w:r>
            <w:r w:rsidRPr="00C56257">
              <w:rPr>
                <w:color w:val="000000" w:themeColor="text1"/>
                <w:spacing w:val="-2"/>
                <w:sz w:val="24"/>
                <w:szCs w:val="24"/>
              </w:rPr>
              <w:t xml:space="preserve"> </w:t>
            </w:r>
            <w:r w:rsidRPr="00C56257">
              <w:rPr>
                <w:color w:val="000000" w:themeColor="text1"/>
                <w:sz w:val="24"/>
                <w:szCs w:val="24"/>
              </w:rPr>
              <w:t>-</w:t>
            </w:r>
            <w:r w:rsidRPr="00C56257">
              <w:rPr>
                <w:color w:val="000000" w:themeColor="text1"/>
                <w:spacing w:val="-3"/>
                <w:sz w:val="24"/>
                <w:szCs w:val="24"/>
              </w:rPr>
              <w:t xml:space="preserve"> </w:t>
            </w:r>
            <w:r w:rsidRPr="00C56257">
              <w:rPr>
                <w:color w:val="000000" w:themeColor="text1"/>
                <w:sz w:val="24"/>
                <w:szCs w:val="24"/>
              </w:rPr>
              <w:t>Pajişti</w:t>
            </w:r>
            <w:r w:rsidRPr="00C56257">
              <w:rPr>
                <w:color w:val="000000" w:themeColor="text1"/>
                <w:spacing w:val="-1"/>
                <w:sz w:val="24"/>
                <w:szCs w:val="24"/>
              </w:rPr>
              <w:t xml:space="preserve"> </w:t>
            </w:r>
            <w:r w:rsidRPr="00C56257">
              <w:rPr>
                <w:color w:val="000000" w:themeColor="text1"/>
                <w:sz w:val="24"/>
                <w:szCs w:val="24"/>
              </w:rPr>
              <w:t>montane</w:t>
            </w:r>
            <w:r w:rsidRPr="00C56257">
              <w:rPr>
                <w:color w:val="000000" w:themeColor="text1"/>
                <w:spacing w:val="-3"/>
                <w:sz w:val="24"/>
                <w:szCs w:val="24"/>
              </w:rPr>
              <w:t xml:space="preserve"> </w:t>
            </w:r>
            <w:r w:rsidRPr="00C56257">
              <w:rPr>
                <w:color w:val="000000" w:themeColor="text1"/>
                <w:sz w:val="24"/>
                <w:szCs w:val="24"/>
              </w:rPr>
              <w:t>de</w:t>
            </w:r>
            <w:r w:rsidRPr="00C56257">
              <w:rPr>
                <w:color w:val="000000" w:themeColor="text1"/>
                <w:spacing w:val="-3"/>
                <w:sz w:val="24"/>
                <w:szCs w:val="24"/>
              </w:rPr>
              <w:t xml:space="preserve"> </w:t>
            </w:r>
            <w:r w:rsidRPr="00C56257">
              <w:rPr>
                <w:color w:val="000000" w:themeColor="text1"/>
                <w:sz w:val="24"/>
                <w:szCs w:val="24"/>
              </w:rPr>
              <w:t>Nardus</w:t>
            </w:r>
            <w:r w:rsidRPr="00C56257">
              <w:rPr>
                <w:color w:val="000000" w:themeColor="text1"/>
                <w:spacing w:val="-1"/>
                <w:sz w:val="24"/>
                <w:szCs w:val="24"/>
              </w:rPr>
              <w:t xml:space="preserve"> </w:t>
            </w:r>
            <w:r w:rsidRPr="00C56257">
              <w:rPr>
                <w:color w:val="000000" w:themeColor="text1"/>
                <w:sz w:val="24"/>
                <w:szCs w:val="24"/>
              </w:rPr>
              <w:t>bogate</w:t>
            </w:r>
            <w:r w:rsidRPr="00C56257">
              <w:rPr>
                <w:color w:val="000000" w:themeColor="text1"/>
                <w:spacing w:val="-2"/>
                <w:sz w:val="24"/>
                <w:szCs w:val="24"/>
              </w:rPr>
              <w:t xml:space="preserve"> </w:t>
            </w:r>
            <w:r w:rsidRPr="00C56257">
              <w:rPr>
                <w:color w:val="000000" w:themeColor="text1"/>
                <w:sz w:val="24"/>
                <w:szCs w:val="24"/>
              </w:rPr>
              <w:t>în</w:t>
            </w:r>
            <w:r w:rsidRPr="00C56257">
              <w:rPr>
                <w:color w:val="000000" w:themeColor="text1"/>
                <w:spacing w:val="-2"/>
                <w:sz w:val="24"/>
                <w:szCs w:val="24"/>
              </w:rPr>
              <w:t xml:space="preserve"> </w:t>
            </w:r>
            <w:r w:rsidRPr="00C56257">
              <w:rPr>
                <w:color w:val="000000" w:themeColor="text1"/>
                <w:sz w:val="24"/>
                <w:szCs w:val="24"/>
              </w:rPr>
              <w:t>specii,</w:t>
            </w:r>
            <w:r w:rsidRPr="00C56257">
              <w:rPr>
                <w:color w:val="000000" w:themeColor="text1"/>
                <w:spacing w:val="-1"/>
                <w:sz w:val="24"/>
                <w:szCs w:val="24"/>
              </w:rPr>
              <w:t xml:space="preserve"> </w:t>
            </w:r>
            <w:r w:rsidRPr="00C56257">
              <w:rPr>
                <w:color w:val="000000" w:themeColor="text1"/>
                <w:sz w:val="24"/>
                <w:szCs w:val="24"/>
              </w:rPr>
              <w:t>pe</w:t>
            </w:r>
            <w:r w:rsidRPr="00C56257">
              <w:rPr>
                <w:color w:val="000000" w:themeColor="text1"/>
                <w:spacing w:val="-3"/>
                <w:sz w:val="24"/>
                <w:szCs w:val="24"/>
              </w:rPr>
              <w:t xml:space="preserve"> </w:t>
            </w:r>
            <w:r w:rsidRPr="00C56257">
              <w:rPr>
                <w:color w:val="000000" w:themeColor="text1"/>
                <w:sz w:val="24"/>
                <w:szCs w:val="24"/>
              </w:rPr>
              <w:t>substrate</w:t>
            </w:r>
            <w:r w:rsidRPr="00C56257">
              <w:rPr>
                <w:color w:val="000000" w:themeColor="text1"/>
                <w:spacing w:val="-57"/>
                <w:sz w:val="24"/>
                <w:szCs w:val="24"/>
              </w:rPr>
              <w:t xml:space="preserve"> </w:t>
            </w:r>
            <w:r w:rsidRPr="00C56257">
              <w:rPr>
                <w:color w:val="000000" w:themeColor="text1"/>
                <w:sz w:val="24"/>
                <w:szCs w:val="24"/>
              </w:rPr>
              <w:t>silicioase</w:t>
            </w:r>
          </w:p>
        </w:tc>
        <w:tc>
          <w:tcPr>
            <w:tcW w:w="2410" w:type="dxa"/>
            <w:vAlign w:val="bottom"/>
          </w:tcPr>
          <w:p w14:paraId="6D2DBDFB" w14:textId="77777777" w:rsidR="005861C0" w:rsidRPr="007B3C6A" w:rsidRDefault="005861C0" w:rsidP="005861C0">
            <w:pPr>
              <w:pStyle w:val="TableParagraph"/>
              <w:ind w:left="93" w:right="87"/>
              <w:jc w:val="both"/>
              <w:rPr>
                <w:color w:val="000000" w:themeColor="text1"/>
              </w:rPr>
            </w:pPr>
            <w:r w:rsidRPr="007B3C6A">
              <w:rPr>
                <w:color w:val="000000"/>
              </w:rPr>
              <w:t>ROSCI0002</w:t>
            </w:r>
          </w:p>
        </w:tc>
        <w:tc>
          <w:tcPr>
            <w:tcW w:w="3885" w:type="dxa"/>
            <w:vAlign w:val="bottom"/>
          </w:tcPr>
          <w:p w14:paraId="0EDE2EB6" w14:textId="77777777" w:rsidR="005861C0" w:rsidRPr="007B3C6A" w:rsidRDefault="005861C0" w:rsidP="005861C0">
            <w:pPr>
              <w:pStyle w:val="TableParagraph"/>
              <w:ind w:left="90" w:right="85"/>
              <w:jc w:val="both"/>
              <w:rPr>
                <w:color w:val="000000" w:themeColor="text1"/>
              </w:rPr>
            </w:pPr>
            <w:r w:rsidRPr="007B3C6A">
              <w:rPr>
                <w:color w:val="000000"/>
              </w:rPr>
              <w:t>Apuseni</w:t>
            </w:r>
          </w:p>
        </w:tc>
      </w:tr>
      <w:tr w:rsidR="005861C0" w:rsidRPr="00C56257" w14:paraId="5C13C73E" w14:textId="77777777" w:rsidTr="00E14BA2">
        <w:trPr>
          <w:trHeight w:val="275"/>
        </w:trPr>
        <w:tc>
          <w:tcPr>
            <w:tcW w:w="3410" w:type="dxa"/>
            <w:vMerge/>
            <w:tcBorders>
              <w:top w:val="nil"/>
            </w:tcBorders>
          </w:tcPr>
          <w:p w14:paraId="70461206" w14:textId="77777777" w:rsidR="005861C0" w:rsidRPr="00C56257" w:rsidRDefault="005861C0" w:rsidP="005861C0">
            <w:pPr>
              <w:jc w:val="both"/>
              <w:rPr>
                <w:color w:val="000000" w:themeColor="text1"/>
              </w:rPr>
            </w:pPr>
          </w:p>
        </w:tc>
        <w:tc>
          <w:tcPr>
            <w:tcW w:w="2410" w:type="dxa"/>
            <w:vAlign w:val="bottom"/>
          </w:tcPr>
          <w:p w14:paraId="4B2E5D80" w14:textId="77777777" w:rsidR="005861C0" w:rsidRPr="007B3C6A" w:rsidRDefault="005861C0" w:rsidP="005861C0">
            <w:pPr>
              <w:pStyle w:val="TableParagraph"/>
              <w:ind w:left="93" w:right="87"/>
              <w:jc w:val="both"/>
              <w:rPr>
                <w:color w:val="000000" w:themeColor="text1"/>
              </w:rPr>
            </w:pPr>
            <w:r w:rsidRPr="007B3C6A">
              <w:rPr>
                <w:color w:val="000000"/>
              </w:rPr>
              <w:t>ROSCI0013</w:t>
            </w:r>
          </w:p>
        </w:tc>
        <w:tc>
          <w:tcPr>
            <w:tcW w:w="3885" w:type="dxa"/>
            <w:vAlign w:val="bottom"/>
          </w:tcPr>
          <w:p w14:paraId="4CC5D1F0" w14:textId="77777777" w:rsidR="005861C0" w:rsidRPr="007B3C6A" w:rsidRDefault="005861C0" w:rsidP="005861C0">
            <w:pPr>
              <w:pStyle w:val="TableParagraph"/>
              <w:ind w:left="91" w:right="81"/>
              <w:jc w:val="both"/>
              <w:rPr>
                <w:color w:val="000000" w:themeColor="text1"/>
              </w:rPr>
            </w:pPr>
            <w:r w:rsidRPr="007B3C6A">
              <w:rPr>
                <w:color w:val="000000"/>
              </w:rPr>
              <w:t>Bucegi</w:t>
            </w:r>
          </w:p>
        </w:tc>
      </w:tr>
      <w:tr w:rsidR="005861C0" w:rsidRPr="00C56257" w14:paraId="598EBDCC" w14:textId="77777777" w:rsidTr="00E14BA2">
        <w:trPr>
          <w:trHeight w:val="275"/>
        </w:trPr>
        <w:tc>
          <w:tcPr>
            <w:tcW w:w="3410" w:type="dxa"/>
            <w:vMerge/>
            <w:tcBorders>
              <w:top w:val="nil"/>
            </w:tcBorders>
          </w:tcPr>
          <w:p w14:paraId="7DCF744E" w14:textId="77777777" w:rsidR="005861C0" w:rsidRPr="00C56257" w:rsidRDefault="005861C0" w:rsidP="005861C0">
            <w:pPr>
              <w:jc w:val="both"/>
              <w:rPr>
                <w:color w:val="000000" w:themeColor="text1"/>
              </w:rPr>
            </w:pPr>
          </w:p>
        </w:tc>
        <w:tc>
          <w:tcPr>
            <w:tcW w:w="2410" w:type="dxa"/>
            <w:vAlign w:val="bottom"/>
          </w:tcPr>
          <w:p w14:paraId="1AADCBED" w14:textId="77777777" w:rsidR="005861C0" w:rsidRPr="007B3C6A" w:rsidRDefault="005861C0"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0015</w:t>
            </w:r>
          </w:p>
        </w:tc>
        <w:tc>
          <w:tcPr>
            <w:tcW w:w="3885" w:type="dxa"/>
            <w:vAlign w:val="bottom"/>
          </w:tcPr>
          <w:p w14:paraId="1874F2AE" w14:textId="77777777" w:rsidR="005861C0" w:rsidRPr="007B3C6A" w:rsidRDefault="005861C0" w:rsidP="005861C0">
            <w:pPr>
              <w:pStyle w:val="TableParagraph"/>
              <w:ind w:left="91" w:right="80"/>
              <w:jc w:val="both"/>
              <w:rPr>
                <w:color w:val="000000" w:themeColor="text1"/>
              </w:rPr>
            </w:pPr>
            <w:r w:rsidRPr="007B3C6A">
              <w:rPr>
                <w:color w:val="000000"/>
              </w:rPr>
              <w:t>Buila - Vânturarița</w:t>
            </w:r>
          </w:p>
        </w:tc>
      </w:tr>
      <w:tr w:rsidR="005861C0" w:rsidRPr="00C56257" w14:paraId="1CDC97F6" w14:textId="77777777" w:rsidTr="00E14BA2">
        <w:trPr>
          <w:trHeight w:val="275"/>
        </w:trPr>
        <w:tc>
          <w:tcPr>
            <w:tcW w:w="3410" w:type="dxa"/>
            <w:vMerge/>
            <w:tcBorders>
              <w:top w:val="nil"/>
            </w:tcBorders>
          </w:tcPr>
          <w:p w14:paraId="54142AFA" w14:textId="77777777" w:rsidR="005861C0" w:rsidRPr="00C56257" w:rsidRDefault="005861C0" w:rsidP="005861C0">
            <w:pPr>
              <w:jc w:val="both"/>
              <w:rPr>
                <w:color w:val="000000" w:themeColor="text1"/>
              </w:rPr>
            </w:pPr>
          </w:p>
        </w:tc>
        <w:tc>
          <w:tcPr>
            <w:tcW w:w="2410" w:type="dxa"/>
            <w:vAlign w:val="bottom"/>
          </w:tcPr>
          <w:p w14:paraId="24C199EE" w14:textId="77777777" w:rsidR="005861C0" w:rsidRPr="007B3C6A" w:rsidRDefault="005861C0" w:rsidP="005861C0">
            <w:pPr>
              <w:pStyle w:val="TableParagraph"/>
              <w:ind w:left="93" w:right="87"/>
              <w:jc w:val="both"/>
              <w:rPr>
                <w:color w:val="000000" w:themeColor="text1"/>
              </w:rPr>
            </w:pPr>
            <w:r w:rsidRPr="007B3C6A">
              <w:rPr>
                <w:color w:val="000000"/>
              </w:rPr>
              <w:t>ROSCI0019</w:t>
            </w:r>
          </w:p>
        </w:tc>
        <w:tc>
          <w:tcPr>
            <w:tcW w:w="3885" w:type="dxa"/>
            <w:vAlign w:val="bottom"/>
          </w:tcPr>
          <w:p w14:paraId="323B0286" w14:textId="77777777" w:rsidR="005861C0" w:rsidRPr="007B3C6A" w:rsidRDefault="005861C0" w:rsidP="005861C0">
            <w:pPr>
              <w:pStyle w:val="TableParagraph"/>
              <w:ind w:left="91" w:right="81"/>
              <w:jc w:val="both"/>
              <w:rPr>
                <w:color w:val="000000" w:themeColor="text1"/>
              </w:rPr>
            </w:pPr>
            <w:r w:rsidRPr="007B3C6A">
              <w:rPr>
                <w:color w:val="000000"/>
              </w:rPr>
              <w:t>Călimani - Gurghiu</w:t>
            </w:r>
          </w:p>
        </w:tc>
      </w:tr>
      <w:tr w:rsidR="005861C0" w:rsidRPr="00C56257" w14:paraId="0A8D79BC" w14:textId="77777777" w:rsidTr="00E14BA2">
        <w:trPr>
          <w:trHeight w:val="275"/>
        </w:trPr>
        <w:tc>
          <w:tcPr>
            <w:tcW w:w="3410" w:type="dxa"/>
            <w:vMerge/>
            <w:tcBorders>
              <w:top w:val="nil"/>
            </w:tcBorders>
          </w:tcPr>
          <w:p w14:paraId="55BE8491" w14:textId="77777777" w:rsidR="005861C0" w:rsidRPr="00C56257" w:rsidRDefault="005861C0" w:rsidP="005861C0">
            <w:pPr>
              <w:jc w:val="both"/>
              <w:rPr>
                <w:color w:val="000000" w:themeColor="text1"/>
              </w:rPr>
            </w:pPr>
          </w:p>
        </w:tc>
        <w:tc>
          <w:tcPr>
            <w:tcW w:w="2410" w:type="dxa"/>
            <w:vAlign w:val="bottom"/>
          </w:tcPr>
          <w:p w14:paraId="08F0A477" w14:textId="77777777" w:rsidR="005861C0" w:rsidRPr="007B3C6A" w:rsidRDefault="005861C0" w:rsidP="005861C0">
            <w:pPr>
              <w:pStyle w:val="TableParagraph"/>
              <w:ind w:left="93" w:right="87"/>
              <w:jc w:val="both"/>
              <w:rPr>
                <w:color w:val="000000" w:themeColor="text1"/>
              </w:rPr>
            </w:pPr>
            <w:r w:rsidRPr="007B3C6A">
              <w:rPr>
                <w:color w:val="000000"/>
              </w:rPr>
              <w:t>ROSCI0024</w:t>
            </w:r>
          </w:p>
        </w:tc>
        <w:tc>
          <w:tcPr>
            <w:tcW w:w="3885" w:type="dxa"/>
            <w:vAlign w:val="bottom"/>
          </w:tcPr>
          <w:p w14:paraId="12E23164" w14:textId="77777777" w:rsidR="005861C0" w:rsidRPr="007B3C6A" w:rsidRDefault="005861C0" w:rsidP="005861C0">
            <w:pPr>
              <w:pStyle w:val="TableParagraph"/>
              <w:ind w:left="91" w:right="82"/>
              <w:jc w:val="both"/>
              <w:rPr>
                <w:color w:val="000000" w:themeColor="text1"/>
              </w:rPr>
            </w:pPr>
            <w:r w:rsidRPr="007B3C6A">
              <w:rPr>
                <w:color w:val="000000"/>
              </w:rPr>
              <w:t>Ceahlău</w:t>
            </w:r>
          </w:p>
        </w:tc>
      </w:tr>
      <w:tr w:rsidR="005861C0" w:rsidRPr="00C56257" w14:paraId="6C0B96BF" w14:textId="77777777" w:rsidTr="00E14BA2">
        <w:trPr>
          <w:trHeight w:val="277"/>
        </w:trPr>
        <w:tc>
          <w:tcPr>
            <w:tcW w:w="3410" w:type="dxa"/>
            <w:vMerge/>
            <w:tcBorders>
              <w:top w:val="nil"/>
            </w:tcBorders>
          </w:tcPr>
          <w:p w14:paraId="7083E1CF" w14:textId="77777777" w:rsidR="005861C0" w:rsidRPr="00C56257" w:rsidRDefault="005861C0" w:rsidP="005861C0">
            <w:pPr>
              <w:jc w:val="both"/>
              <w:rPr>
                <w:color w:val="000000" w:themeColor="text1"/>
              </w:rPr>
            </w:pPr>
          </w:p>
        </w:tc>
        <w:tc>
          <w:tcPr>
            <w:tcW w:w="2410" w:type="dxa"/>
            <w:vAlign w:val="bottom"/>
          </w:tcPr>
          <w:p w14:paraId="0E7AAB1A" w14:textId="77777777" w:rsidR="005861C0" w:rsidRPr="007B3C6A" w:rsidRDefault="005861C0" w:rsidP="005861C0">
            <w:pPr>
              <w:pStyle w:val="TableParagraph"/>
              <w:spacing w:line="258" w:lineRule="exact"/>
              <w:ind w:left="93" w:right="87"/>
              <w:jc w:val="both"/>
              <w:rPr>
                <w:color w:val="000000" w:themeColor="text1"/>
              </w:rPr>
            </w:pPr>
            <w:r w:rsidRPr="007B3C6A">
              <w:rPr>
                <w:color w:val="000000"/>
              </w:rPr>
              <w:t>ROSCI0038</w:t>
            </w:r>
          </w:p>
        </w:tc>
        <w:tc>
          <w:tcPr>
            <w:tcW w:w="3885" w:type="dxa"/>
            <w:vAlign w:val="bottom"/>
          </w:tcPr>
          <w:p w14:paraId="1302C350" w14:textId="77777777" w:rsidR="005861C0" w:rsidRPr="007B3C6A" w:rsidRDefault="005861C0" w:rsidP="005861C0">
            <w:pPr>
              <w:pStyle w:val="TableParagraph"/>
              <w:spacing w:line="258" w:lineRule="exact"/>
              <w:ind w:left="91" w:right="82"/>
              <w:jc w:val="both"/>
              <w:rPr>
                <w:color w:val="000000" w:themeColor="text1"/>
              </w:rPr>
            </w:pPr>
            <w:r w:rsidRPr="007B3C6A">
              <w:rPr>
                <w:color w:val="000000"/>
              </w:rPr>
              <w:t>Ciucaș</w:t>
            </w:r>
          </w:p>
        </w:tc>
      </w:tr>
      <w:tr w:rsidR="005861C0" w:rsidRPr="00C56257" w14:paraId="4F57AE28" w14:textId="77777777" w:rsidTr="00E14BA2">
        <w:trPr>
          <w:trHeight w:val="275"/>
        </w:trPr>
        <w:tc>
          <w:tcPr>
            <w:tcW w:w="3410" w:type="dxa"/>
            <w:vMerge/>
            <w:tcBorders>
              <w:top w:val="nil"/>
            </w:tcBorders>
          </w:tcPr>
          <w:p w14:paraId="13A3108E" w14:textId="77777777" w:rsidR="005861C0" w:rsidRPr="00C56257" w:rsidRDefault="005861C0" w:rsidP="005861C0">
            <w:pPr>
              <w:jc w:val="both"/>
              <w:rPr>
                <w:color w:val="000000" w:themeColor="text1"/>
              </w:rPr>
            </w:pPr>
          </w:p>
        </w:tc>
        <w:tc>
          <w:tcPr>
            <w:tcW w:w="2410" w:type="dxa"/>
            <w:vAlign w:val="bottom"/>
          </w:tcPr>
          <w:p w14:paraId="71BED21A" w14:textId="77777777" w:rsidR="005861C0" w:rsidRPr="007B3C6A" w:rsidRDefault="005861C0"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0046</w:t>
            </w:r>
          </w:p>
        </w:tc>
        <w:tc>
          <w:tcPr>
            <w:tcW w:w="3885" w:type="dxa"/>
            <w:vAlign w:val="bottom"/>
          </w:tcPr>
          <w:p w14:paraId="408F2A54" w14:textId="77777777" w:rsidR="005861C0" w:rsidRPr="007B3C6A" w:rsidRDefault="005861C0" w:rsidP="005861C0">
            <w:pPr>
              <w:pStyle w:val="TableParagraph"/>
              <w:ind w:left="91" w:right="82"/>
              <w:jc w:val="both"/>
              <w:rPr>
                <w:color w:val="000000" w:themeColor="text1"/>
              </w:rPr>
            </w:pPr>
            <w:r w:rsidRPr="007B3C6A">
              <w:rPr>
                <w:color w:val="000000"/>
              </w:rPr>
              <w:t>Cozia</w:t>
            </w:r>
          </w:p>
        </w:tc>
      </w:tr>
      <w:tr w:rsidR="005861C0" w:rsidRPr="00C56257" w14:paraId="3D634B33" w14:textId="77777777" w:rsidTr="00E14BA2">
        <w:trPr>
          <w:trHeight w:val="275"/>
        </w:trPr>
        <w:tc>
          <w:tcPr>
            <w:tcW w:w="3410" w:type="dxa"/>
            <w:vMerge/>
            <w:tcBorders>
              <w:top w:val="nil"/>
            </w:tcBorders>
          </w:tcPr>
          <w:p w14:paraId="71C125F8" w14:textId="77777777" w:rsidR="005861C0" w:rsidRPr="00C56257" w:rsidRDefault="005861C0" w:rsidP="005861C0">
            <w:pPr>
              <w:jc w:val="both"/>
              <w:rPr>
                <w:color w:val="000000" w:themeColor="text1"/>
              </w:rPr>
            </w:pPr>
          </w:p>
        </w:tc>
        <w:tc>
          <w:tcPr>
            <w:tcW w:w="2410" w:type="dxa"/>
            <w:vAlign w:val="bottom"/>
          </w:tcPr>
          <w:p w14:paraId="19DA9B73" w14:textId="77777777" w:rsidR="005861C0" w:rsidRPr="007B3C6A" w:rsidRDefault="005861C0" w:rsidP="000C620A">
            <w:pPr>
              <w:pStyle w:val="TableParagraph"/>
              <w:ind w:left="94" w:right="87"/>
              <w:jc w:val="both"/>
              <w:rPr>
                <w:color w:val="000000" w:themeColor="text1"/>
              </w:rPr>
            </w:pPr>
            <w:r w:rsidRPr="007B3C6A">
              <w:rPr>
                <w:color w:val="000000"/>
              </w:rPr>
              <w:t>ROS</w:t>
            </w:r>
            <w:r w:rsidR="000C620A">
              <w:rPr>
                <w:color w:val="000000"/>
              </w:rPr>
              <w:t>AC</w:t>
            </w:r>
            <w:r w:rsidRPr="007B3C6A">
              <w:rPr>
                <w:color w:val="000000"/>
              </w:rPr>
              <w:t>0047</w:t>
            </w:r>
          </w:p>
        </w:tc>
        <w:tc>
          <w:tcPr>
            <w:tcW w:w="3885" w:type="dxa"/>
            <w:vAlign w:val="bottom"/>
          </w:tcPr>
          <w:p w14:paraId="728A4418" w14:textId="77777777" w:rsidR="005861C0" w:rsidRPr="007B3C6A" w:rsidRDefault="005861C0" w:rsidP="005861C0">
            <w:pPr>
              <w:pStyle w:val="TableParagraph"/>
              <w:ind w:left="91" w:right="81"/>
              <w:jc w:val="both"/>
              <w:rPr>
                <w:color w:val="000000" w:themeColor="text1"/>
              </w:rPr>
            </w:pPr>
            <w:r w:rsidRPr="007B3C6A">
              <w:rPr>
                <w:color w:val="000000"/>
              </w:rPr>
              <w:t>Creasta Nemirei</w:t>
            </w:r>
          </w:p>
        </w:tc>
      </w:tr>
      <w:tr w:rsidR="005861C0" w:rsidRPr="00C56257" w14:paraId="4D65B5F5" w14:textId="77777777" w:rsidTr="00E14BA2">
        <w:trPr>
          <w:trHeight w:val="275"/>
        </w:trPr>
        <w:tc>
          <w:tcPr>
            <w:tcW w:w="3410" w:type="dxa"/>
            <w:vMerge/>
            <w:tcBorders>
              <w:top w:val="nil"/>
            </w:tcBorders>
          </w:tcPr>
          <w:p w14:paraId="2548AE62" w14:textId="77777777" w:rsidR="005861C0" w:rsidRPr="00C56257" w:rsidRDefault="005861C0" w:rsidP="005861C0">
            <w:pPr>
              <w:jc w:val="both"/>
              <w:rPr>
                <w:color w:val="000000" w:themeColor="text1"/>
              </w:rPr>
            </w:pPr>
          </w:p>
        </w:tc>
        <w:tc>
          <w:tcPr>
            <w:tcW w:w="2410" w:type="dxa"/>
            <w:vAlign w:val="bottom"/>
          </w:tcPr>
          <w:p w14:paraId="7056AAAF" w14:textId="77777777" w:rsidR="005861C0" w:rsidRPr="007B3C6A" w:rsidRDefault="005861C0" w:rsidP="005861C0">
            <w:pPr>
              <w:pStyle w:val="TableParagraph"/>
              <w:ind w:left="93" w:right="87"/>
              <w:jc w:val="both"/>
              <w:rPr>
                <w:color w:val="000000" w:themeColor="text1"/>
              </w:rPr>
            </w:pPr>
            <w:r w:rsidRPr="007B3C6A">
              <w:rPr>
                <w:color w:val="000000"/>
              </w:rPr>
              <w:t>ROSCI0063</w:t>
            </w:r>
          </w:p>
        </w:tc>
        <w:tc>
          <w:tcPr>
            <w:tcW w:w="3885" w:type="dxa"/>
            <w:vAlign w:val="bottom"/>
          </w:tcPr>
          <w:p w14:paraId="47DEE78C" w14:textId="77777777" w:rsidR="005861C0" w:rsidRPr="007B3C6A" w:rsidRDefault="005861C0" w:rsidP="005861C0">
            <w:pPr>
              <w:pStyle w:val="TableParagraph"/>
              <w:ind w:left="91" w:right="83"/>
              <w:jc w:val="both"/>
              <w:rPr>
                <w:color w:val="000000" w:themeColor="text1"/>
              </w:rPr>
            </w:pPr>
            <w:r w:rsidRPr="007B3C6A">
              <w:rPr>
                <w:color w:val="000000"/>
              </w:rPr>
              <w:t>Defileul Jiului</w:t>
            </w:r>
          </w:p>
        </w:tc>
      </w:tr>
      <w:tr w:rsidR="005861C0" w:rsidRPr="00C56257" w14:paraId="7AB976DD" w14:textId="77777777" w:rsidTr="00E14BA2">
        <w:trPr>
          <w:trHeight w:val="275"/>
        </w:trPr>
        <w:tc>
          <w:tcPr>
            <w:tcW w:w="3410" w:type="dxa"/>
            <w:vMerge/>
            <w:tcBorders>
              <w:top w:val="nil"/>
            </w:tcBorders>
          </w:tcPr>
          <w:p w14:paraId="52025883" w14:textId="77777777" w:rsidR="005861C0" w:rsidRPr="00C56257" w:rsidRDefault="005861C0" w:rsidP="005861C0">
            <w:pPr>
              <w:jc w:val="both"/>
              <w:rPr>
                <w:color w:val="000000" w:themeColor="text1"/>
              </w:rPr>
            </w:pPr>
          </w:p>
        </w:tc>
        <w:tc>
          <w:tcPr>
            <w:tcW w:w="2410" w:type="dxa"/>
            <w:vAlign w:val="bottom"/>
          </w:tcPr>
          <w:p w14:paraId="3F0A71A2" w14:textId="77777777" w:rsidR="005861C0" w:rsidRPr="007B3C6A" w:rsidRDefault="005861C0"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0085</w:t>
            </w:r>
          </w:p>
        </w:tc>
        <w:tc>
          <w:tcPr>
            <w:tcW w:w="3885" w:type="dxa"/>
            <w:vAlign w:val="bottom"/>
          </w:tcPr>
          <w:p w14:paraId="0EB617BD" w14:textId="77777777" w:rsidR="005861C0" w:rsidRPr="007B3C6A" w:rsidRDefault="005861C0" w:rsidP="005861C0">
            <w:pPr>
              <w:pStyle w:val="TableParagraph"/>
              <w:ind w:left="90" w:right="85"/>
              <w:jc w:val="both"/>
              <w:rPr>
                <w:color w:val="000000" w:themeColor="text1"/>
              </w:rPr>
            </w:pPr>
            <w:r w:rsidRPr="007B3C6A">
              <w:rPr>
                <w:color w:val="000000"/>
              </w:rPr>
              <w:t>Frumoasa</w:t>
            </w:r>
          </w:p>
        </w:tc>
      </w:tr>
      <w:tr w:rsidR="005861C0" w:rsidRPr="00C56257" w14:paraId="67D5AA47" w14:textId="77777777" w:rsidTr="00E14BA2">
        <w:trPr>
          <w:trHeight w:val="275"/>
        </w:trPr>
        <w:tc>
          <w:tcPr>
            <w:tcW w:w="3410" w:type="dxa"/>
            <w:vMerge/>
            <w:tcBorders>
              <w:top w:val="nil"/>
            </w:tcBorders>
          </w:tcPr>
          <w:p w14:paraId="3811E7E2" w14:textId="77777777" w:rsidR="005861C0" w:rsidRPr="00C56257" w:rsidRDefault="005861C0" w:rsidP="005861C0">
            <w:pPr>
              <w:jc w:val="both"/>
              <w:rPr>
                <w:color w:val="000000" w:themeColor="text1"/>
              </w:rPr>
            </w:pPr>
          </w:p>
        </w:tc>
        <w:tc>
          <w:tcPr>
            <w:tcW w:w="2410" w:type="dxa"/>
            <w:vAlign w:val="bottom"/>
          </w:tcPr>
          <w:p w14:paraId="21F99CA6" w14:textId="77777777" w:rsidR="005861C0" w:rsidRPr="007B3C6A" w:rsidRDefault="005861C0" w:rsidP="005861C0">
            <w:pPr>
              <w:pStyle w:val="TableParagraph"/>
              <w:ind w:left="93" w:right="87"/>
              <w:jc w:val="both"/>
              <w:rPr>
                <w:color w:val="000000" w:themeColor="text1"/>
              </w:rPr>
            </w:pPr>
            <w:r w:rsidRPr="007B3C6A">
              <w:rPr>
                <w:color w:val="000000"/>
              </w:rPr>
              <w:t>ROSCI0087</w:t>
            </w:r>
          </w:p>
        </w:tc>
        <w:tc>
          <w:tcPr>
            <w:tcW w:w="3885" w:type="dxa"/>
            <w:vAlign w:val="bottom"/>
          </w:tcPr>
          <w:p w14:paraId="7FFB5415" w14:textId="77777777" w:rsidR="005861C0" w:rsidRPr="007B3C6A" w:rsidRDefault="005861C0" w:rsidP="005861C0">
            <w:pPr>
              <w:pStyle w:val="TableParagraph"/>
              <w:ind w:left="91" w:right="84"/>
              <w:jc w:val="both"/>
              <w:rPr>
                <w:color w:val="000000" w:themeColor="text1"/>
              </w:rPr>
            </w:pPr>
            <w:r w:rsidRPr="007B3C6A">
              <w:rPr>
                <w:color w:val="000000"/>
              </w:rPr>
              <w:t>Grădiștea Muncelului - Cioclovina</w:t>
            </w:r>
          </w:p>
        </w:tc>
      </w:tr>
      <w:tr w:rsidR="005861C0" w:rsidRPr="00C56257" w14:paraId="254A0503" w14:textId="77777777" w:rsidTr="00E14BA2">
        <w:trPr>
          <w:trHeight w:val="276"/>
        </w:trPr>
        <w:tc>
          <w:tcPr>
            <w:tcW w:w="3410" w:type="dxa"/>
            <w:vMerge/>
            <w:tcBorders>
              <w:top w:val="nil"/>
            </w:tcBorders>
          </w:tcPr>
          <w:p w14:paraId="0AF2615A" w14:textId="77777777" w:rsidR="005861C0" w:rsidRPr="00C56257" w:rsidRDefault="005861C0" w:rsidP="005861C0">
            <w:pPr>
              <w:jc w:val="both"/>
              <w:rPr>
                <w:color w:val="000000" w:themeColor="text1"/>
              </w:rPr>
            </w:pPr>
          </w:p>
        </w:tc>
        <w:tc>
          <w:tcPr>
            <w:tcW w:w="2410" w:type="dxa"/>
            <w:vAlign w:val="bottom"/>
          </w:tcPr>
          <w:p w14:paraId="0F8D8154" w14:textId="77777777" w:rsidR="005861C0" w:rsidRPr="007B3C6A" w:rsidRDefault="005861C0" w:rsidP="005861C0">
            <w:pPr>
              <w:pStyle w:val="TableParagraph"/>
              <w:ind w:left="93" w:right="87"/>
              <w:jc w:val="both"/>
              <w:rPr>
                <w:color w:val="000000" w:themeColor="text1"/>
              </w:rPr>
            </w:pPr>
            <w:r w:rsidRPr="007B3C6A">
              <w:rPr>
                <w:color w:val="000000"/>
              </w:rPr>
              <w:t>ROSCI0089</w:t>
            </w:r>
          </w:p>
        </w:tc>
        <w:tc>
          <w:tcPr>
            <w:tcW w:w="3885" w:type="dxa"/>
            <w:vAlign w:val="bottom"/>
          </w:tcPr>
          <w:p w14:paraId="42A73FDE" w14:textId="77777777" w:rsidR="005861C0" w:rsidRPr="007B3C6A" w:rsidRDefault="005861C0" w:rsidP="005861C0">
            <w:pPr>
              <w:pStyle w:val="TableParagraph"/>
              <w:ind w:left="91" w:right="82"/>
              <w:jc w:val="both"/>
              <w:rPr>
                <w:color w:val="000000" w:themeColor="text1"/>
              </w:rPr>
            </w:pPr>
            <w:r w:rsidRPr="007B3C6A">
              <w:rPr>
                <w:color w:val="000000"/>
              </w:rPr>
              <w:t>Gutâi - Creasta Cocoșului</w:t>
            </w:r>
          </w:p>
        </w:tc>
      </w:tr>
      <w:tr w:rsidR="005861C0" w:rsidRPr="00C56257" w14:paraId="36005B18" w14:textId="77777777" w:rsidTr="00E14BA2">
        <w:trPr>
          <w:trHeight w:val="277"/>
        </w:trPr>
        <w:tc>
          <w:tcPr>
            <w:tcW w:w="3410" w:type="dxa"/>
            <w:vMerge/>
            <w:tcBorders>
              <w:top w:val="nil"/>
            </w:tcBorders>
          </w:tcPr>
          <w:p w14:paraId="23AF0401" w14:textId="77777777" w:rsidR="005861C0" w:rsidRPr="00C56257" w:rsidRDefault="005861C0" w:rsidP="005861C0">
            <w:pPr>
              <w:jc w:val="both"/>
              <w:rPr>
                <w:color w:val="000000" w:themeColor="text1"/>
              </w:rPr>
            </w:pPr>
          </w:p>
        </w:tc>
        <w:tc>
          <w:tcPr>
            <w:tcW w:w="2410" w:type="dxa"/>
            <w:vAlign w:val="bottom"/>
          </w:tcPr>
          <w:p w14:paraId="0C3971E2" w14:textId="77777777" w:rsidR="005861C0" w:rsidRPr="007B3C6A" w:rsidRDefault="005861C0" w:rsidP="000C620A">
            <w:pPr>
              <w:pStyle w:val="TableParagraph"/>
              <w:spacing w:line="258" w:lineRule="exact"/>
              <w:ind w:left="93" w:right="87"/>
              <w:jc w:val="both"/>
              <w:rPr>
                <w:color w:val="000000" w:themeColor="text1"/>
              </w:rPr>
            </w:pPr>
            <w:r w:rsidRPr="007B3C6A">
              <w:rPr>
                <w:color w:val="000000"/>
              </w:rPr>
              <w:t>ROS</w:t>
            </w:r>
            <w:r w:rsidR="000C620A">
              <w:rPr>
                <w:color w:val="000000"/>
              </w:rPr>
              <w:t>AC</w:t>
            </w:r>
            <w:r w:rsidRPr="007B3C6A">
              <w:rPr>
                <w:color w:val="000000"/>
              </w:rPr>
              <w:t>0119</w:t>
            </w:r>
          </w:p>
        </w:tc>
        <w:tc>
          <w:tcPr>
            <w:tcW w:w="3885" w:type="dxa"/>
            <w:vAlign w:val="bottom"/>
          </w:tcPr>
          <w:p w14:paraId="12D2A493" w14:textId="77777777" w:rsidR="005861C0" w:rsidRPr="007B3C6A" w:rsidRDefault="005861C0" w:rsidP="005861C0">
            <w:pPr>
              <w:pStyle w:val="TableParagraph"/>
              <w:spacing w:line="258" w:lineRule="exact"/>
              <w:ind w:left="91" w:right="79"/>
              <w:jc w:val="both"/>
              <w:rPr>
                <w:color w:val="000000" w:themeColor="text1"/>
              </w:rPr>
            </w:pPr>
            <w:r w:rsidRPr="007B3C6A">
              <w:rPr>
                <w:color w:val="000000"/>
              </w:rPr>
              <w:t>Muntele Mare</w:t>
            </w:r>
          </w:p>
        </w:tc>
      </w:tr>
      <w:tr w:rsidR="005861C0" w:rsidRPr="00C56257" w14:paraId="735A5C9C" w14:textId="77777777" w:rsidTr="00E14BA2">
        <w:trPr>
          <w:trHeight w:val="275"/>
        </w:trPr>
        <w:tc>
          <w:tcPr>
            <w:tcW w:w="3410" w:type="dxa"/>
            <w:vMerge/>
            <w:tcBorders>
              <w:top w:val="nil"/>
            </w:tcBorders>
          </w:tcPr>
          <w:p w14:paraId="46B36A54" w14:textId="77777777" w:rsidR="005861C0" w:rsidRPr="00C56257" w:rsidRDefault="005861C0" w:rsidP="005861C0">
            <w:pPr>
              <w:jc w:val="both"/>
              <w:rPr>
                <w:color w:val="000000" w:themeColor="text1"/>
              </w:rPr>
            </w:pPr>
          </w:p>
        </w:tc>
        <w:tc>
          <w:tcPr>
            <w:tcW w:w="2410" w:type="dxa"/>
            <w:vAlign w:val="bottom"/>
          </w:tcPr>
          <w:p w14:paraId="6C0304B6" w14:textId="77777777" w:rsidR="005861C0" w:rsidRPr="007B3C6A" w:rsidRDefault="005861C0"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0122</w:t>
            </w:r>
          </w:p>
        </w:tc>
        <w:tc>
          <w:tcPr>
            <w:tcW w:w="3885" w:type="dxa"/>
            <w:vAlign w:val="bottom"/>
          </w:tcPr>
          <w:p w14:paraId="4AD89F0C" w14:textId="77777777" w:rsidR="005861C0" w:rsidRPr="007B3C6A" w:rsidRDefault="005861C0" w:rsidP="005861C0">
            <w:pPr>
              <w:pStyle w:val="TableParagraph"/>
              <w:ind w:left="91" w:right="81"/>
              <w:jc w:val="both"/>
              <w:rPr>
                <w:color w:val="000000" w:themeColor="text1"/>
              </w:rPr>
            </w:pPr>
            <w:r w:rsidRPr="007B3C6A">
              <w:rPr>
                <w:color w:val="000000"/>
              </w:rPr>
              <w:t>Munții Făgăraș</w:t>
            </w:r>
          </w:p>
        </w:tc>
      </w:tr>
      <w:tr w:rsidR="005861C0" w:rsidRPr="00C56257" w14:paraId="385A13FF" w14:textId="77777777" w:rsidTr="00E14BA2">
        <w:trPr>
          <w:trHeight w:val="275"/>
        </w:trPr>
        <w:tc>
          <w:tcPr>
            <w:tcW w:w="3410" w:type="dxa"/>
            <w:vMerge/>
            <w:tcBorders>
              <w:top w:val="nil"/>
            </w:tcBorders>
          </w:tcPr>
          <w:p w14:paraId="6C9FB0EC" w14:textId="77777777" w:rsidR="005861C0" w:rsidRPr="00C56257" w:rsidRDefault="005861C0" w:rsidP="005861C0">
            <w:pPr>
              <w:jc w:val="both"/>
              <w:rPr>
                <w:color w:val="000000" w:themeColor="text1"/>
              </w:rPr>
            </w:pPr>
          </w:p>
        </w:tc>
        <w:tc>
          <w:tcPr>
            <w:tcW w:w="2410" w:type="dxa"/>
            <w:vAlign w:val="bottom"/>
          </w:tcPr>
          <w:p w14:paraId="45534F6F" w14:textId="77777777" w:rsidR="005861C0" w:rsidRPr="007B3C6A" w:rsidRDefault="005861C0"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0124</w:t>
            </w:r>
          </w:p>
        </w:tc>
        <w:tc>
          <w:tcPr>
            <w:tcW w:w="3885" w:type="dxa"/>
            <w:vAlign w:val="bottom"/>
          </w:tcPr>
          <w:p w14:paraId="281B3F59" w14:textId="77777777" w:rsidR="005861C0" w:rsidRPr="007B3C6A" w:rsidRDefault="005861C0" w:rsidP="005861C0">
            <w:pPr>
              <w:pStyle w:val="TableParagraph"/>
              <w:ind w:left="91" w:right="84"/>
              <w:jc w:val="both"/>
              <w:rPr>
                <w:color w:val="000000" w:themeColor="text1"/>
              </w:rPr>
            </w:pPr>
            <w:r w:rsidRPr="007B3C6A">
              <w:rPr>
                <w:color w:val="000000"/>
              </w:rPr>
              <w:t>Munții Maramureșului</w:t>
            </w:r>
          </w:p>
        </w:tc>
      </w:tr>
      <w:tr w:rsidR="005861C0" w:rsidRPr="00C56257" w14:paraId="43FDEAC1" w14:textId="77777777" w:rsidTr="00E14BA2">
        <w:trPr>
          <w:trHeight w:val="275"/>
        </w:trPr>
        <w:tc>
          <w:tcPr>
            <w:tcW w:w="3410" w:type="dxa"/>
            <w:vMerge/>
            <w:tcBorders>
              <w:top w:val="nil"/>
            </w:tcBorders>
          </w:tcPr>
          <w:p w14:paraId="72BDEF3B" w14:textId="77777777" w:rsidR="005861C0" w:rsidRPr="00C56257" w:rsidRDefault="005861C0" w:rsidP="005861C0">
            <w:pPr>
              <w:jc w:val="both"/>
              <w:rPr>
                <w:color w:val="000000" w:themeColor="text1"/>
              </w:rPr>
            </w:pPr>
          </w:p>
        </w:tc>
        <w:tc>
          <w:tcPr>
            <w:tcW w:w="2410" w:type="dxa"/>
            <w:vAlign w:val="bottom"/>
          </w:tcPr>
          <w:p w14:paraId="7B8FA337" w14:textId="77777777" w:rsidR="005861C0" w:rsidRPr="007B3C6A" w:rsidRDefault="005861C0" w:rsidP="005861C0">
            <w:pPr>
              <w:pStyle w:val="TableParagraph"/>
              <w:ind w:left="93" w:right="87"/>
              <w:jc w:val="both"/>
              <w:rPr>
                <w:color w:val="000000" w:themeColor="text1"/>
              </w:rPr>
            </w:pPr>
            <w:r w:rsidRPr="007B3C6A">
              <w:rPr>
                <w:color w:val="000000"/>
              </w:rPr>
              <w:t>ROSCI0125</w:t>
            </w:r>
          </w:p>
        </w:tc>
        <w:tc>
          <w:tcPr>
            <w:tcW w:w="3885" w:type="dxa"/>
            <w:vAlign w:val="bottom"/>
          </w:tcPr>
          <w:p w14:paraId="50756DB0" w14:textId="77777777" w:rsidR="005861C0" w:rsidRPr="007B3C6A" w:rsidRDefault="005861C0" w:rsidP="005861C0">
            <w:pPr>
              <w:pStyle w:val="TableParagraph"/>
              <w:ind w:left="91" w:right="81"/>
              <w:jc w:val="both"/>
              <w:rPr>
                <w:color w:val="000000" w:themeColor="text1"/>
              </w:rPr>
            </w:pPr>
            <w:r w:rsidRPr="007B3C6A">
              <w:rPr>
                <w:color w:val="000000"/>
              </w:rPr>
              <w:t>Munții Rodnei</w:t>
            </w:r>
          </w:p>
        </w:tc>
      </w:tr>
      <w:tr w:rsidR="005861C0" w:rsidRPr="00C56257" w14:paraId="6FCB8A1C" w14:textId="77777777" w:rsidTr="00E14BA2">
        <w:trPr>
          <w:trHeight w:val="275"/>
        </w:trPr>
        <w:tc>
          <w:tcPr>
            <w:tcW w:w="3410" w:type="dxa"/>
            <w:vMerge/>
            <w:tcBorders>
              <w:top w:val="nil"/>
            </w:tcBorders>
          </w:tcPr>
          <w:p w14:paraId="7F23C494" w14:textId="77777777" w:rsidR="005861C0" w:rsidRPr="00C56257" w:rsidRDefault="005861C0" w:rsidP="005861C0">
            <w:pPr>
              <w:jc w:val="both"/>
              <w:rPr>
                <w:color w:val="000000" w:themeColor="text1"/>
              </w:rPr>
            </w:pPr>
          </w:p>
        </w:tc>
        <w:tc>
          <w:tcPr>
            <w:tcW w:w="2410" w:type="dxa"/>
            <w:vAlign w:val="bottom"/>
          </w:tcPr>
          <w:p w14:paraId="1A395323" w14:textId="77777777" w:rsidR="005861C0" w:rsidRPr="007B3C6A" w:rsidRDefault="005861C0" w:rsidP="005861C0">
            <w:pPr>
              <w:pStyle w:val="TableParagraph"/>
              <w:ind w:left="93" w:right="87"/>
              <w:jc w:val="both"/>
              <w:rPr>
                <w:color w:val="000000" w:themeColor="text1"/>
              </w:rPr>
            </w:pPr>
            <w:r w:rsidRPr="007B3C6A">
              <w:rPr>
                <w:color w:val="000000"/>
              </w:rPr>
              <w:t>ROSCI0126</w:t>
            </w:r>
          </w:p>
        </w:tc>
        <w:tc>
          <w:tcPr>
            <w:tcW w:w="3885" w:type="dxa"/>
            <w:vAlign w:val="bottom"/>
          </w:tcPr>
          <w:p w14:paraId="24371273" w14:textId="77777777" w:rsidR="005861C0" w:rsidRPr="007B3C6A" w:rsidRDefault="005861C0" w:rsidP="005861C0">
            <w:pPr>
              <w:pStyle w:val="TableParagraph"/>
              <w:ind w:left="91" w:right="79"/>
              <w:jc w:val="both"/>
              <w:rPr>
                <w:color w:val="000000" w:themeColor="text1"/>
              </w:rPr>
            </w:pPr>
            <w:r w:rsidRPr="007B3C6A">
              <w:rPr>
                <w:color w:val="000000"/>
              </w:rPr>
              <w:t>Munții Țarcu</w:t>
            </w:r>
          </w:p>
        </w:tc>
      </w:tr>
      <w:tr w:rsidR="005861C0" w:rsidRPr="00C56257" w14:paraId="6582079F" w14:textId="77777777" w:rsidTr="00E14BA2">
        <w:trPr>
          <w:trHeight w:val="275"/>
        </w:trPr>
        <w:tc>
          <w:tcPr>
            <w:tcW w:w="3410" w:type="dxa"/>
            <w:vMerge/>
            <w:tcBorders>
              <w:top w:val="nil"/>
            </w:tcBorders>
          </w:tcPr>
          <w:p w14:paraId="6E7E472F" w14:textId="77777777" w:rsidR="005861C0" w:rsidRPr="00C56257" w:rsidRDefault="005861C0" w:rsidP="005861C0">
            <w:pPr>
              <w:jc w:val="both"/>
              <w:rPr>
                <w:color w:val="000000" w:themeColor="text1"/>
              </w:rPr>
            </w:pPr>
          </w:p>
        </w:tc>
        <w:tc>
          <w:tcPr>
            <w:tcW w:w="2410" w:type="dxa"/>
            <w:vAlign w:val="bottom"/>
          </w:tcPr>
          <w:p w14:paraId="7D7DCF61" w14:textId="77777777" w:rsidR="005861C0" w:rsidRPr="007B3C6A" w:rsidRDefault="005861C0"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0188</w:t>
            </w:r>
          </w:p>
        </w:tc>
        <w:tc>
          <w:tcPr>
            <w:tcW w:w="3885" w:type="dxa"/>
            <w:vAlign w:val="bottom"/>
          </w:tcPr>
          <w:p w14:paraId="5E89BF70" w14:textId="77777777" w:rsidR="005861C0" w:rsidRPr="007B3C6A" w:rsidRDefault="005861C0" w:rsidP="005861C0">
            <w:pPr>
              <w:pStyle w:val="TableParagraph"/>
              <w:ind w:left="91" w:right="82"/>
              <w:jc w:val="both"/>
              <w:rPr>
                <w:color w:val="000000" w:themeColor="text1"/>
              </w:rPr>
            </w:pPr>
            <w:r w:rsidRPr="007B3C6A">
              <w:rPr>
                <w:color w:val="000000"/>
              </w:rPr>
              <w:t>Parâng</w:t>
            </w:r>
          </w:p>
        </w:tc>
      </w:tr>
      <w:tr w:rsidR="005861C0" w:rsidRPr="00C56257" w14:paraId="25ABB13F" w14:textId="77777777" w:rsidTr="00E14BA2">
        <w:trPr>
          <w:trHeight w:val="277"/>
        </w:trPr>
        <w:tc>
          <w:tcPr>
            <w:tcW w:w="3410" w:type="dxa"/>
            <w:vMerge/>
            <w:tcBorders>
              <w:top w:val="nil"/>
            </w:tcBorders>
          </w:tcPr>
          <w:p w14:paraId="486B5A18" w14:textId="77777777" w:rsidR="005861C0" w:rsidRPr="00C56257" w:rsidRDefault="005861C0" w:rsidP="005861C0">
            <w:pPr>
              <w:jc w:val="both"/>
              <w:rPr>
                <w:color w:val="000000" w:themeColor="text1"/>
              </w:rPr>
            </w:pPr>
          </w:p>
        </w:tc>
        <w:tc>
          <w:tcPr>
            <w:tcW w:w="2410" w:type="dxa"/>
            <w:vAlign w:val="bottom"/>
          </w:tcPr>
          <w:p w14:paraId="596C23CF" w14:textId="77777777" w:rsidR="005861C0" w:rsidRPr="007B3C6A" w:rsidRDefault="005861C0" w:rsidP="005861C0">
            <w:pPr>
              <w:pStyle w:val="TableParagraph"/>
              <w:spacing w:line="258" w:lineRule="exact"/>
              <w:ind w:left="93" w:right="87"/>
              <w:jc w:val="both"/>
              <w:rPr>
                <w:color w:val="000000" w:themeColor="text1"/>
              </w:rPr>
            </w:pPr>
            <w:r w:rsidRPr="007B3C6A">
              <w:rPr>
                <w:color w:val="000000"/>
              </w:rPr>
              <w:t>ROSCI0195</w:t>
            </w:r>
          </w:p>
        </w:tc>
        <w:tc>
          <w:tcPr>
            <w:tcW w:w="3885" w:type="dxa"/>
            <w:vAlign w:val="bottom"/>
          </w:tcPr>
          <w:p w14:paraId="24A694EB" w14:textId="77777777" w:rsidR="005861C0" w:rsidRPr="007B3C6A" w:rsidRDefault="005861C0" w:rsidP="005861C0">
            <w:pPr>
              <w:pStyle w:val="TableParagraph"/>
              <w:spacing w:line="258" w:lineRule="exact"/>
              <w:ind w:left="91" w:right="81"/>
              <w:jc w:val="both"/>
              <w:rPr>
                <w:color w:val="000000" w:themeColor="text1"/>
              </w:rPr>
            </w:pPr>
            <w:r w:rsidRPr="007B3C6A">
              <w:rPr>
                <w:color w:val="000000"/>
              </w:rPr>
              <w:t>Piatra Mare</w:t>
            </w:r>
          </w:p>
        </w:tc>
      </w:tr>
      <w:tr w:rsidR="005861C0" w:rsidRPr="00C56257" w14:paraId="689248AA" w14:textId="77777777" w:rsidTr="00E14BA2">
        <w:trPr>
          <w:trHeight w:val="275"/>
        </w:trPr>
        <w:tc>
          <w:tcPr>
            <w:tcW w:w="3410" w:type="dxa"/>
            <w:vMerge/>
            <w:tcBorders>
              <w:top w:val="nil"/>
            </w:tcBorders>
          </w:tcPr>
          <w:p w14:paraId="46BB885E" w14:textId="77777777" w:rsidR="005861C0" w:rsidRPr="00C56257" w:rsidRDefault="005861C0" w:rsidP="005861C0">
            <w:pPr>
              <w:jc w:val="both"/>
              <w:rPr>
                <w:color w:val="000000" w:themeColor="text1"/>
              </w:rPr>
            </w:pPr>
          </w:p>
        </w:tc>
        <w:tc>
          <w:tcPr>
            <w:tcW w:w="2410" w:type="dxa"/>
            <w:vAlign w:val="bottom"/>
          </w:tcPr>
          <w:p w14:paraId="236B46C2" w14:textId="77777777" w:rsidR="005861C0" w:rsidRPr="007B3C6A" w:rsidRDefault="005861C0"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0208</w:t>
            </w:r>
          </w:p>
        </w:tc>
        <w:tc>
          <w:tcPr>
            <w:tcW w:w="3885" w:type="dxa"/>
            <w:vAlign w:val="bottom"/>
          </w:tcPr>
          <w:p w14:paraId="65863453" w14:textId="77777777" w:rsidR="005861C0" w:rsidRPr="007B3C6A" w:rsidRDefault="005861C0" w:rsidP="005861C0">
            <w:pPr>
              <w:pStyle w:val="TableParagraph"/>
              <w:ind w:left="90" w:right="85"/>
              <w:jc w:val="both"/>
              <w:rPr>
                <w:color w:val="000000" w:themeColor="text1"/>
              </w:rPr>
            </w:pPr>
            <w:r w:rsidRPr="007B3C6A">
              <w:rPr>
                <w:color w:val="000000"/>
              </w:rPr>
              <w:t>Putna - Vrancea</w:t>
            </w:r>
          </w:p>
        </w:tc>
      </w:tr>
      <w:tr w:rsidR="005861C0" w:rsidRPr="00C56257" w14:paraId="16988C6E" w14:textId="77777777" w:rsidTr="00E14BA2">
        <w:trPr>
          <w:trHeight w:val="275"/>
        </w:trPr>
        <w:tc>
          <w:tcPr>
            <w:tcW w:w="3410" w:type="dxa"/>
            <w:vMerge/>
            <w:tcBorders>
              <w:top w:val="nil"/>
            </w:tcBorders>
          </w:tcPr>
          <w:p w14:paraId="4EFA8CE8" w14:textId="77777777" w:rsidR="005861C0" w:rsidRPr="00C56257" w:rsidRDefault="005861C0" w:rsidP="005861C0">
            <w:pPr>
              <w:jc w:val="both"/>
              <w:rPr>
                <w:color w:val="000000" w:themeColor="text1"/>
              </w:rPr>
            </w:pPr>
          </w:p>
        </w:tc>
        <w:tc>
          <w:tcPr>
            <w:tcW w:w="2410" w:type="dxa"/>
            <w:vAlign w:val="bottom"/>
          </w:tcPr>
          <w:p w14:paraId="7CFC7060" w14:textId="77777777" w:rsidR="005861C0" w:rsidRPr="007B3C6A" w:rsidRDefault="005861C0"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0212</w:t>
            </w:r>
          </w:p>
        </w:tc>
        <w:tc>
          <w:tcPr>
            <w:tcW w:w="3885" w:type="dxa"/>
            <w:vAlign w:val="bottom"/>
          </w:tcPr>
          <w:p w14:paraId="7B7019BE" w14:textId="77777777" w:rsidR="005861C0" w:rsidRPr="007B3C6A" w:rsidRDefault="005861C0" w:rsidP="005861C0">
            <w:pPr>
              <w:pStyle w:val="TableParagraph"/>
              <w:ind w:left="89" w:right="85"/>
              <w:jc w:val="both"/>
              <w:rPr>
                <w:color w:val="000000" w:themeColor="text1"/>
              </w:rPr>
            </w:pPr>
            <w:r w:rsidRPr="007B3C6A">
              <w:rPr>
                <w:color w:val="000000"/>
              </w:rPr>
              <w:t>Rarău - Giumalău</w:t>
            </w:r>
          </w:p>
        </w:tc>
      </w:tr>
      <w:tr w:rsidR="005861C0" w:rsidRPr="00C56257" w14:paraId="2C97A124" w14:textId="77777777" w:rsidTr="00E14BA2">
        <w:trPr>
          <w:trHeight w:val="275"/>
        </w:trPr>
        <w:tc>
          <w:tcPr>
            <w:tcW w:w="3410" w:type="dxa"/>
            <w:vMerge/>
            <w:tcBorders>
              <w:top w:val="nil"/>
            </w:tcBorders>
          </w:tcPr>
          <w:p w14:paraId="75501BEB" w14:textId="77777777" w:rsidR="005861C0" w:rsidRPr="00C56257" w:rsidRDefault="005861C0" w:rsidP="005861C0">
            <w:pPr>
              <w:jc w:val="both"/>
              <w:rPr>
                <w:color w:val="000000" w:themeColor="text1"/>
              </w:rPr>
            </w:pPr>
          </w:p>
        </w:tc>
        <w:tc>
          <w:tcPr>
            <w:tcW w:w="2410" w:type="dxa"/>
            <w:vAlign w:val="bottom"/>
          </w:tcPr>
          <w:p w14:paraId="1D4BFCE9" w14:textId="77777777" w:rsidR="005861C0" w:rsidRPr="007B3C6A" w:rsidRDefault="005861C0" w:rsidP="005861C0">
            <w:pPr>
              <w:pStyle w:val="TableParagraph"/>
              <w:ind w:left="94" w:right="86"/>
              <w:jc w:val="both"/>
              <w:rPr>
                <w:color w:val="000000" w:themeColor="text1"/>
              </w:rPr>
            </w:pPr>
            <w:r w:rsidRPr="007B3C6A">
              <w:rPr>
                <w:color w:val="000000"/>
              </w:rPr>
              <w:t>ROSCI0241</w:t>
            </w:r>
          </w:p>
        </w:tc>
        <w:tc>
          <w:tcPr>
            <w:tcW w:w="3885" w:type="dxa"/>
            <w:vAlign w:val="bottom"/>
          </w:tcPr>
          <w:p w14:paraId="073237E9" w14:textId="77777777" w:rsidR="005861C0" w:rsidRPr="007B3C6A" w:rsidRDefault="005861C0" w:rsidP="005861C0">
            <w:pPr>
              <w:pStyle w:val="TableParagraph"/>
              <w:ind w:left="91" w:right="81"/>
              <w:jc w:val="both"/>
              <w:rPr>
                <w:color w:val="000000" w:themeColor="text1"/>
              </w:rPr>
            </w:pPr>
            <w:r w:rsidRPr="007B3C6A">
              <w:rPr>
                <w:color w:val="000000"/>
              </w:rPr>
              <w:t>Tinovul Apa Lină - Honcsok</w:t>
            </w:r>
          </w:p>
        </w:tc>
      </w:tr>
      <w:tr w:rsidR="005861C0" w:rsidRPr="00C56257" w14:paraId="674DCE7D" w14:textId="77777777" w:rsidTr="00E14BA2">
        <w:trPr>
          <w:trHeight w:val="275"/>
        </w:trPr>
        <w:tc>
          <w:tcPr>
            <w:tcW w:w="3410" w:type="dxa"/>
            <w:vMerge/>
            <w:tcBorders>
              <w:top w:val="nil"/>
            </w:tcBorders>
          </w:tcPr>
          <w:p w14:paraId="500D9E18" w14:textId="77777777" w:rsidR="005861C0" w:rsidRPr="00C56257" w:rsidRDefault="005861C0" w:rsidP="005861C0">
            <w:pPr>
              <w:jc w:val="both"/>
              <w:rPr>
                <w:color w:val="000000" w:themeColor="text1"/>
              </w:rPr>
            </w:pPr>
          </w:p>
        </w:tc>
        <w:tc>
          <w:tcPr>
            <w:tcW w:w="2410" w:type="dxa"/>
            <w:vAlign w:val="bottom"/>
          </w:tcPr>
          <w:p w14:paraId="3576EB84" w14:textId="77777777" w:rsidR="005861C0" w:rsidRPr="007B3C6A" w:rsidRDefault="005861C0"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0260</w:t>
            </w:r>
          </w:p>
        </w:tc>
        <w:tc>
          <w:tcPr>
            <w:tcW w:w="3885" w:type="dxa"/>
            <w:vAlign w:val="bottom"/>
          </w:tcPr>
          <w:p w14:paraId="2E35F6E7" w14:textId="77777777" w:rsidR="005861C0" w:rsidRPr="007B3C6A" w:rsidRDefault="005861C0" w:rsidP="005861C0">
            <w:pPr>
              <w:pStyle w:val="TableParagraph"/>
              <w:ind w:left="91" w:right="80"/>
              <w:jc w:val="both"/>
              <w:rPr>
                <w:color w:val="000000" w:themeColor="text1"/>
              </w:rPr>
            </w:pPr>
            <w:r w:rsidRPr="007B3C6A">
              <w:rPr>
                <w:color w:val="000000"/>
              </w:rPr>
              <w:t>Valea Cepelor</w:t>
            </w:r>
          </w:p>
        </w:tc>
      </w:tr>
      <w:tr w:rsidR="005861C0" w:rsidRPr="00C56257" w14:paraId="0E2F454B" w14:textId="77777777" w:rsidTr="00E14BA2">
        <w:trPr>
          <w:trHeight w:val="275"/>
        </w:trPr>
        <w:tc>
          <w:tcPr>
            <w:tcW w:w="3410" w:type="dxa"/>
            <w:vMerge/>
            <w:tcBorders>
              <w:top w:val="nil"/>
            </w:tcBorders>
          </w:tcPr>
          <w:p w14:paraId="2EF771B2" w14:textId="77777777" w:rsidR="005861C0" w:rsidRPr="00C56257" w:rsidRDefault="005861C0" w:rsidP="005861C0">
            <w:pPr>
              <w:jc w:val="both"/>
              <w:rPr>
                <w:color w:val="000000" w:themeColor="text1"/>
              </w:rPr>
            </w:pPr>
          </w:p>
        </w:tc>
        <w:tc>
          <w:tcPr>
            <w:tcW w:w="2410" w:type="dxa"/>
            <w:vAlign w:val="bottom"/>
          </w:tcPr>
          <w:p w14:paraId="65D17CCC" w14:textId="77777777" w:rsidR="005861C0" w:rsidRPr="007B3C6A" w:rsidRDefault="005861C0" w:rsidP="000C620A">
            <w:pPr>
              <w:pStyle w:val="TableParagraph"/>
              <w:ind w:left="93" w:right="87"/>
              <w:jc w:val="both"/>
              <w:rPr>
                <w:color w:val="000000"/>
              </w:rPr>
            </w:pPr>
            <w:r w:rsidRPr="007B3C6A">
              <w:rPr>
                <w:color w:val="000000"/>
              </w:rPr>
              <w:t>ROS</w:t>
            </w:r>
            <w:r w:rsidR="000C620A">
              <w:rPr>
                <w:color w:val="000000"/>
              </w:rPr>
              <w:t>AC</w:t>
            </w:r>
            <w:r w:rsidRPr="007B3C6A">
              <w:rPr>
                <w:color w:val="000000"/>
              </w:rPr>
              <w:t>0270</w:t>
            </w:r>
          </w:p>
        </w:tc>
        <w:tc>
          <w:tcPr>
            <w:tcW w:w="3885" w:type="dxa"/>
            <w:vAlign w:val="bottom"/>
          </w:tcPr>
          <w:p w14:paraId="30AD94B9" w14:textId="77777777" w:rsidR="005861C0" w:rsidRPr="007B3C6A" w:rsidRDefault="005861C0" w:rsidP="005861C0">
            <w:pPr>
              <w:pStyle w:val="TableParagraph"/>
              <w:ind w:left="91" w:right="80"/>
              <w:jc w:val="both"/>
              <w:rPr>
                <w:color w:val="000000"/>
              </w:rPr>
            </w:pPr>
            <w:r w:rsidRPr="007B3C6A">
              <w:rPr>
                <w:color w:val="000000"/>
              </w:rPr>
              <w:t>Vânători-Neamț</w:t>
            </w:r>
          </w:p>
        </w:tc>
      </w:tr>
      <w:tr w:rsidR="005861C0" w:rsidRPr="00C56257" w14:paraId="2598D10C" w14:textId="77777777" w:rsidTr="00E14BA2">
        <w:trPr>
          <w:trHeight w:val="275"/>
        </w:trPr>
        <w:tc>
          <w:tcPr>
            <w:tcW w:w="3410" w:type="dxa"/>
            <w:vMerge/>
            <w:tcBorders>
              <w:top w:val="nil"/>
            </w:tcBorders>
          </w:tcPr>
          <w:p w14:paraId="4681F7AE" w14:textId="77777777" w:rsidR="005861C0" w:rsidRPr="00C56257" w:rsidRDefault="005861C0" w:rsidP="005861C0">
            <w:pPr>
              <w:jc w:val="both"/>
              <w:rPr>
                <w:color w:val="000000" w:themeColor="text1"/>
              </w:rPr>
            </w:pPr>
          </w:p>
        </w:tc>
        <w:tc>
          <w:tcPr>
            <w:tcW w:w="2410" w:type="dxa"/>
            <w:vAlign w:val="bottom"/>
          </w:tcPr>
          <w:p w14:paraId="0307B936" w14:textId="77777777" w:rsidR="005861C0" w:rsidRPr="007B3C6A" w:rsidRDefault="005861C0" w:rsidP="005861C0">
            <w:pPr>
              <w:pStyle w:val="TableParagraph"/>
              <w:ind w:left="93" w:right="87"/>
              <w:jc w:val="both"/>
              <w:rPr>
                <w:color w:val="000000"/>
              </w:rPr>
            </w:pPr>
            <w:r w:rsidRPr="007B3C6A">
              <w:rPr>
                <w:color w:val="000000"/>
              </w:rPr>
              <w:t>ROSCI0323</w:t>
            </w:r>
          </w:p>
        </w:tc>
        <w:tc>
          <w:tcPr>
            <w:tcW w:w="3885" w:type="dxa"/>
            <w:vAlign w:val="bottom"/>
          </w:tcPr>
          <w:p w14:paraId="5A590EC7" w14:textId="77777777" w:rsidR="005861C0" w:rsidRPr="007B3C6A" w:rsidRDefault="005861C0" w:rsidP="005861C0">
            <w:pPr>
              <w:pStyle w:val="TableParagraph"/>
              <w:ind w:left="91" w:right="80"/>
              <w:jc w:val="both"/>
              <w:rPr>
                <w:color w:val="000000"/>
              </w:rPr>
            </w:pPr>
            <w:r w:rsidRPr="007B3C6A">
              <w:rPr>
                <w:color w:val="000000"/>
              </w:rPr>
              <w:t>Munții Ciucului</w:t>
            </w:r>
          </w:p>
        </w:tc>
      </w:tr>
      <w:tr w:rsidR="005861C0" w:rsidRPr="00C56257" w14:paraId="68F4F301" w14:textId="77777777" w:rsidTr="00E14BA2">
        <w:trPr>
          <w:trHeight w:val="278"/>
        </w:trPr>
        <w:tc>
          <w:tcPr>
            <w:tcW w:w="3410" w:type="dxa"/>
            <w:vMerge/>
            <w:tcBorders>
              <w:top w:val="nil"/>
            </w:tcBorders>
          </w:tcPr>
          <w:p w14:paraId="7298814A" w14:textId="77777777" w:rsidR="005861C0" w:rsidRPr="00C56257" w:rsidRDefault="005861C0" w:rsidP="005861C0">
            <w:pPr>
              <w:jc w:val="both"/>
              <w:rPr>
                <w:color w:val="000000" w:themeColor="text1"/>
              </w:rPr>
            </w:pPr>
          </w:p>
        </w:tc>
        <w:tc>
          <w:tcPr>
            <w:tcW w:w="2410" w:type="dxa"/>
            <w:vAlign w:val="bottom"/>
          </w:tcPr>
          <w:p w14:paraId="5FA4DC1B" w14:textId="77777777" w:rsidR="005861C0" w:rsidRPr="007B3C6A" w:rsidRDefault="005861C0" w:rsidP="005861C0">
            <w:pPr>
              <w:pStyle w:val="TableParagraph"/>
              <w:spacing w:line="258" w:lineRule="exact"/>
              <w:ind w:left="93" w:right="87"/>
              <w:jc w:val="both"/>
              <w:rPr>
                <w:color w:val="000000" w:themeColor="text1"/>
              </w:rPr>
            </w:pPr>
            <w:r w:rsidRPr="007B3C6A">
              <w:rPr>
                <w:color w:val="000000"/>
              </w:rPr>
              <w:t>ROSCI0381</w:t>
            </w:r>
          </w:p>
        </w:tc>
        <w:tc>
          <w:tcPr>
            <w:tcW w:w="3885" w:type="dxa"/>
            <w:vAlign w:val="bottom"/>
          </w:tcPr>
          <w:p w14:paraId="529CEB1F" w14:textId="77777777" w:rsidR="005861C0" w:rsidRPr="007B3C6A" w:rsidRDefault="005861C0" w:rsidP="005861C0">
            <w:pPr>
              <w:pStyle w:val="TableParagraph"/>
              <w:spacing w:line="258" w:lineRule="exact"/>
              <w:ind w:left="91" w:right="84"/>
              <w:jc w:val="both"/>
              <w:rPr>
                <w:color w:val="000000" w:themeColor="text1"/>
              </w:rPr>
            </w:pPr>
            <w:r w:rsidRPr="007B3C6A">
              <w:rPr>
                <w:color w:val="000000"/>
              </w:rPr>
              <w:t>Râul Târgului - Argeșel - Râușor</w:t>
            </w:r>
          </w:p>
        </w:tc>
      </w:tr>
      <w:tr w:rsidR="00116BEE" w:rsidRPr="00C56257" w14:paraId="45327A82" w14:textId="77777777" w:rsidTr="00E14BA2">
        <w:trPr>
          <w:trHeight w:val="276"/>
        </w:trPr>
        <w:tc>
          <w:tcPr>
            <w:tcW w:w="3410" w:type="dxa"/>
            <w:vMerge w:val="restart"/>
          </w:tcPr>
          <w:p w14:paraId="181B590A" w14:textId="77777777" w:rsidR="00116BEE" w:rsidRPr="00C56257" w:rsidRDefault="00116BEE" w:rsidP="00116BEE">
            <w:pPr>
              <w:pStyle w:val="TableParagraph"/>
              <w:jc w:val="both"/>
              <w:rPr>
                <w:color w:val="000000" w:themeColor="text1"/>
                <w:sz w:val="24"/>
                <w:szCs w:val="24"/>
              </w:rPr>
            </w:pPr>
          </w:p>
          <w:p w14:paraId="6C3388C8" w14:textId="77777777" w:rsidR="00116BEE" w:rsidRPr="00C56257" w:rsidRDefault="00116BEE" w:rsidP="00116BEE">
            <w:pPr>
              <w:pStyle w:val="TableParagraph"/>
              <w:jc w:val="both"/>
              <w:rPr>
                <w:color w:val="000000" w:themeColor="text1"/>
                <w:sz w:val="24"/>
                <w:szCs w:val="24"/>
              </w:rPr>
            </w:pPr>
          </w:p>
          <w:p w14:paraId="10134AAF" w14:textId="77777777" w:rsidR="00116BEE" w:rsidRPr="00C56257" w:rsidRDefault="00116BEE" w:rsidP="00116BEE">
            <w:pPr>
              <w:pStyle w:val="TableParagraph"/>
              <w:jc w:val="both"/>
              <w:rPr>
                <w:color w:val="000000" w:themeColor="text1"/>
                <w:sz w:val="24"/>
                <w:szCs w:val="24"/>
              </w:rPr>
            </w:pPr>
          </w:p>
          <w:p w14:paraId="4F24CFF3" w14:textId="77777777" w:rsidR="00116BEE" w:rsidRPr="00C56257" w:rsidRDefault="00116BEE" w:rsidP="00116BEE">
            <w:pPr>
              <w:pStyle w:val="TableParagraph"/>
              <w:jc w:val="both"/>
              <w:rPr>
                <w:color w:val="000000" w:themeColor="text1"/>
                <w:sz w:val="24"/>
                <w:szCs w:val="24"/>
              </w:rPr>
            </w:pPr>
          </w:p>
          <w:p w14:paraId="524A75D7" w14:textId="77777777" w:rsidR="00116BEE" w:rsidRPr="00C56257" w:rsidRDefault="00116BEE" w:rsidP="00116BEE">
            <w:pPr>
              <w:pStyle w:val="TableParagraph"/>
              <w:jc w:val="both"/>
              <w:rPr>
                <w:color w:val="000000" w:themeColor="text1"/>
                <w:sz w:val="24"/>
                <w:szCs w:val="24"/>
              </w:rPr>
            </w:pPr>
          </w:p>
          <w:p w14:paraId="0D97ADC6" w14:textId="77777777" w:rsidR="00116BEE" w:rsidRPr="00C56257" w:rsidRDefault="00116BEE" w:rsidP="00116BEE">
            <w:pPr>
              <w:pStyle w:val="TableParagraph"/>
              <w:jc w:val="both"/>
              <w:rPr>
                <w:color w:val="000000" w:themeColor="text1"/>
                <w:sz w:val="24"/>
                <w:szCs w:val="24"/>
              </w:rPr>
            </w:pPr>
          </w:p>
          <w:p w14:paraId="0EF2314A" w14:textId="77777777" w:rsidR="00116BEE" w:rsidRPr="00C56257" w:rsidRDefault="00116BEE" w:rsidP="00116BEE">
            <w:pPr>
              <w:pStyle w:val="TableParagraph"/>
              <w:jc w:val="both"/>
              <w:rPr>
                <w:color w:val="000000" w:themeColor="text1"/>
                <w:sz w:val="24"/>
                <w:szCs w:val="24"/>
              </w:rPr>
            </w:pPr>
          </w:p>
          <w:p w14:paraId="7C59ABBC" w14:textId="77777777" w:rsidR="00116BEE" w:rsidRPr="00C56257" w:rsidRDefault="00116BEE" w:rsidP="00116BEE">
            <w:pPr>
              <w:pStyle w:val="TableParagraph"/>
              <w:jc w:val="both"/>
              <w:rPr>
                <w:color w:val="000000" w:themeColor="text1"/>
                <w:sz w:val="24"/>
                <w:szCs w:val="24"/>
              </w:rPr>
            </w:pPr>
          </w:p>
          <w:p w14:paraId="171E52EB" w14:textId="77777777" w:rsidR="00116BEE" w:rsidRPr="00C56257" w:rsidRDefault="00116BEE" w:rsidP="00116BEE">
            <w:pPr>
              <w:pStyle w:val="TableParagraph"/>
              <w:jc w:val="both"/>
              <w:rPr>
                <w:color w:val="000000" w:themeColor="text1"/>
                <w:sz w:val="24"/>
                <w:szCs w:val="24"/>
              </w:rPr>
            </w:pPr>
          </w:p>
          <w:p w14:paraId="015FD286" w14:textId="77777777" w:rsidR="00116BEE" w:rsidRPr="00C56257" w:rsidRDefault="00116BEE" w:rsidP="00116BEE">
            <w:pPr>
              <w:pStyle w:val="TableParagraph"/>
              <w:jc w:val="both"/>
              <w:rPr>
                <w:color w:val="000000" w:themeColor="text1"/>
                <w:sz w:val="24"/>
                <w:szCs w:val="24"/>
              </w:rPr>
            </w:pPr>
          </w:p>
          <w:p w14:paraId="541C074A" w14:textId="77777777" w:rsidR="00116BEE" w:rsidRPr="00C56257" w:rsidRDefault="00116BEE" w:rsidP="00116BEE">
            <w:pPr>
              <w:pStyle w:val="TableParagraph"/>
              <w:jc w:val="both"/>
              <w:rPr>
                <w:color w:val="000000" w:themeColor="text1"/>
                <w:sz w:val="24"/>
                <w:szCs w:val="24"/>
              </w:rPr>
            </w:pPr>
          </w:p>
          <w:p w14:paraId="52508CF5" w14:textId="77777777" w:rsidR="00116BEE" w:rsidRPr="00C56257" w:rsidRDefault="00116BEE" w:rsidP="00116BEE">
            <w:pPr>
              <w:pStyle w:val="TableParagraph"/>
              <w:jc w:val="both"/>
              <w:rPr>
                <w:color w:val="000000" w:themeColor="text1"/>
                <w:sz w:val="24"/>
                <w:szCs w:val="24"/>
              </w:rPr>
            </w:pPr>
          </w:p>
          <w:p w14:paraId="773C6798" w14:textId="77777777" w:rsidR="00116BEE" w:rsidRPr="00C56257" w:rsidRDefault="00116BEE" w:rsidP="00116BEE">
            <w:pPr>
              <w:pStyle w:val="TableParagraph"/>
              <w:jc w:val="both"/>
              <w:rPr>
                <w:color w:val="000000" w:themeColor="text1"/>
                <w:sz w:val="24"/>
                <w:szCs w:val="24"/>
              </w:rPr>
            </w:pPr>
          </w:p>
          <w:p w14:paraId="635F3531" w14:textId="77777777" w:rsidR="00116BEE" w:rsidRPr="00C56257" w:rsidRDefault="00116BEE" w:rsidP="00116BEE">
            <w:pPr>
              <w:pStyle w:val="TableParagraph"/>
              <w:jc w:val="both"/>
              <w:rPr>
                <w:color w:val="000000" w:themeColor="text1"/>
                <w:sz w:val="24"/>
                <w:szCs w:val="24"/>
              </w:rPr>
            </w:pPr>
          </w:p>
          <w:p w14:paraId="5688861F" w14:textId="77777777" w:rsidR="00116BEE" w:rsidRPr="00C56257" w:rsidRDefault="00116BEE" w:rsidP="00116BEE">
            <w:pPr>
              <w:pStyle w:val="TableParagraph"/>
              <w:jc w:val="both"/>
              <w:rPr>
                <w:color w:val="000000" w:themeColor="text1"/>
                <w:sz w:val="24"/>
                <w:szCs w:val="24"/>
              </w:rPr>
            </w:pPr>
          </w:p>
          <w:p w14:paraId="4E8E2DA0" w14:textId="77777777" w:rsidR="00116BEE" w:rsidRPr="00C56257" w:rsidRDefault="00116BEE" w:rsidP="00116BEE">
            <w:pPr>
              <w:pStyle w:val="TableParagraph"/>
              <w:jc w:val="both"/>
              <w:rPr>
                <w:color w:val="000000" w:themeColor="text1"/>
                <w:sz w:val="24"/>
                <w:szCs w:val="24"/>
              </w:rPr>
            </w:pPr>
          </w:p>
          <w:p w14:paraId="3F792F36" w14:textId="77777777" w:rsidR="00116BEE" w:rsidRPr="00C56257" w:rsidRDefault="00116BEE" w:rsidP="00116BEE">
            <w:pPr>
              <w:pStyle w:val="TableParagraph"/>
              <w:spacing w:before="218"/>
              <w:ind w:left="108"/>
              <w:jc w:val="both"/>
              <w:rPr>
                <w:color w:val="000000" w:themeColor="text1"/>
                <w:sz w:val="24"/>
                <w:szCs w:val="24"/>
              </w:rPr>
            </w:pPr>
            <w:r w:rsidRPr="00C56257">
              <w:rPr>
                <w:color w:val="000000" w:themeColor="text1"/>
                <w:sz w:val="24"/>
                <w:szCs w:val="24"/>
              </w:rPr>
              <w:t>62C0*</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1"/>
                <w:sz w:val="24"/>
                <w:szCs w:val="24"/>
              </w:rPr>
              <w:t xml:space="preserve"> </w:t>
            </w:r>
            <w:r w:rsidRPr="00C56257">
              <w:rPr>
                <w:color w:val="000000" w:themeColor="text1"/>
                <w:sz w:val="24"/>
                <w:szCs w:val="24"/>
              </w:rPr>
              <w:t>Stepe</w:t>
            </w:r>
            <w:r w:rsidRPr="00C56257">
              <w:rPr>
                <w:color w:val="000000" w:themeColor="text1"/>
                <w:spacing w:val="-2"/>
                <w:sz w:val="24"/>
                <w:szCs w:val="24"/>
              </w:rPr>
              <w:t xml:space="preserve"> </w:t>
            </w:r>
            <w:r w:rsidRPr="00C56257">
              <w:rPr>
                <w:color w:val="000000" w:themeColor="text1"/>
                <w:sz w:val="24"/>
                <w:szCs w:val="24"/>
              </w:rPr>
              <w:t>ponto-sarmatice</w:t>
            </w:r>
          </w:p>
        </w:tc>
        <w:tc>
          <w:tcPr>
            <w:tcW w:w="2410" w:type="dxa"/>
            <w:vAlign w:val="bottom"/>
          </w:tcPr>
          <w:p w14:paraId="27150D86" w14:textId="77777777" w:rsidR="00116BEE" w:rsidRPr="007B3C6A" w:rsidRDefault="00116BEE" w:rsidP="00116BEE">
            <w:pPr>
              <w:pStyle w:val="TableParagraph"/>
              <w:ind w:left="93" w:right="87"/>
              <w:jc w:val="both"/>
              <w:rPr>
                <w:color w:val="000000" w:themeColor="text1"/>
              </w:rPr>
            </w:pPr>
            <w:r w:rsidRPr="007B3C6A">
              <w:rPr>
                <w:color w:val="000000"/>
              </w:rPr>
              <w:t>ROSCI0012</w:t>
            </w:r>
          </w:p>
        </w:tc>
        <w:tc>
          <w:tcPr>
            <w:tcW w:w="3885" w:type="dxa"/>
            <w:vAlign w:val="bottom"/>
          </w:tcPr>
          <w:p w14:paraId="6DB49E86" w14:textId="77777777" w:rsidR="00116BEE" w:rsidRPr="007B3C6A" w:rsidRDefault="00116BEE" w:rsidP="00116BEE">
            <w:pPr>
              <w:pStyle w:val="TableParagraph"/>
              <w:ind w:left="91" w:right="82"/>
              <w:jc w:val="both"/>
              <w:rPr>
                <w:color w:val="000000" w:themeColor="text1"/>
              </w:rPr>
            </w:pPr>
            <w:r w:rsidRPr="007B3C6A">
              <w:rPr>
                <w:color w:val="000000"/>
              </w:rPr>
              <w:t>Brațul Măcin</w:t>
            </w:r>
          </w:p>
        </w:tc>
      </w:tr>
      <w:tr w:rsidR="00116BEE" w:rsidRPr="00C56257" w14:paraId="50AFFAC4" w14:textId="77777777" w:rsidTr="00E14BA2">
        <w:trPr>
          <w:trHeight w:val="275"/>
        </w:trPr>
        <w:tc>
          <w:tcPr>
            <w:tcW w:w="3410" w:type="dxa"/>
            <w:vMerge/>
            <w:tcBorders>
              <w:top w:val="nil"/>
            </w:tcBorders>
          </w:tcPr>
          <w:p w14:paraId="3C92A292" w14:textId="77777777" w:rsidR="00116BEE" w:rsidRPr="00C56257" w:rsidRDefault="00116BEE" w:rsidP="00116BEE">
            <w:pPr>
              <w:jc w:val="both"/>
              <w:rPr>
                <w:color w:val="000000" w:themeColor="text1"/>
              </w:rPr>
            </w:pPr>
          </w:p>
        </w:tc>
        <w:tc>
          <w:tcPr>
            <w:tcW w:w="2410" w:type="dxa"/>
            <w:vAlign w:val="bottom"/>
          </w:tcPr>
          <w:p w14:paraId="6073909B" w14:textId="77777777" w:rsidR="00116BEE" w:rsidRPr="007B3C6A" w:rsidRDefault="00116BEE" w:rsidP="000C620A">
            <w:pPr>
              <w:pStyle w:val="TableParagraph"/>
              <w:ind w:left="93" w:right="87"/>
              <w:jc w:val="both"/>
              <w:rPr>
                <w:color w:val="000000" w:themeColor="text1"/>
              </w:rPr>
            </w:pPr>
            <w:r w:rsidRPr="007B3C6A">
              <w:rPr>
                <w:color w:val="000000"/>
              </w:rPr>
              <w:t>ROS</w:t>
            </w:r>
            <w:r w:rsidR="000C620A">
              <w:rPr>
                <w:color w:val="000000"/>
              </w:rPr>
              <w:t>AC</w:t>
            </w:r>
            <w:r w:rsidRPr="007B3C6A">
              <w:rPr>
                <w:color w:val="000000"/>
              </w:rPr>
              <w:t>0022</w:t>
            </w:r>
          </w:p>
        </w:tc>
        <w:tc>
          <w:tcPr>
            <w:tcW w:w="3885" w:type="dxa"/>
            <w:vAlign w:val="bottom"/>
          </w:tcPr>
          <w:p w14:paraId="4C7F74C8" w14:textId="77777777" w:rsidR="00116BEE" w:rsidRPr="007B3C6A" w:rsidRDefault="00116BEE" w:rsidP="00116BEE">
            <w:pPr>
              <w:pStyle w:val="TableParagraph"/>
              <w:ind w:left="91" w:right="83"/>
              <w:jc w:val="both"/>
              <w:rPr>
                <w:color w:val="000000" w:themeColor="text1"/>
              </w:rPr>
            </w:pPr>
            <w:r w:rsidRPr="007B3C6A">
              <w:rPr>
                <w:color w:val="000000"/>
              </w:rPr>
              <w:t>Canaralele Dunării</w:t>
            </w:r>
          </w:p>
        </w:tc>
      </w:tr>
      <w:tr w:rsidR="00116BEE" w:rsidRPr="00C56257" w14:paraId="3D59996A" w14:textId="77777777" w:rsidTr="00E14BA2">
        <w:trPr>
          <w:trHeight w:val="275"/>
        </w:trPr>
        <w:tc>
          <w:tcPr>
            <w:tcW w:w="3410" w:type="dxa"/>
            <w:vMerge/>
            <w:tcBorders>
              <w:top w:val="nil"/>
            </w:tcBorders>
          </w:tcPr>
          <w:p w14:paraId="0A341071" w14:textId="77777777" w:rsidR="00116BEE" w:rsidRPr="00C56257" w:rsidRDefault="00116BEE" w:rsidP="00116BEE">
            <w:pPr>
              <w:jc w:val="both"/>
              <w:rPr>
                <w:color w:val="000000" w:themeColor="text1"/>
              </w:rPr>
            </w:pPr>
          </w:p>
        </w:tc>
        <w:tc>
          <w:tcPr>
            <w:tcW w:w="2410" w:type="dxa"/>
            <w:vAlign w:val="bottom"/>
          </w:tcPr>
          <w:p w14:paraId="0A676D5C" w14:textId="77777777" w:rsidR="00116BEE" w:rsidRPr="007B3C6A" w:rsidRDefault="00116BEE" w:rsidP="00116BEE">
            <w:pPr>
              <w:pStyle w:val="TableParagraph"/>
              <w:ind w:left="93" w:right="87"/>
              <w:jc w:val="both"/>
              <w:rPr>
                <w:color w:val="000000" w:themeColor="text1"/>
              </w:rPr>
            </w:pPr>
            <w:r w:rsidRPr="007B3C6A">
              <w:rPr>
                <w:color w:val="000000"/>
              </w:rPr>
              <w:t>ROSCI0041</w:t>
            </w:r>
          </w:p>
        </w:tc>
        <w:tc>
          <w:tcPr>
            <w:tcW w:w="3885" w:type="dxa"/>
            <w:vAlign w:val="bottom"/>
          </w:tcPr>
          <w:p w14:paraId="3CDB1FA4" w14:textId="77777777" w:rsidR="00116BEE" w:rsidRPr="007B3C6A" w:rsidRDefault="00116BEE" w:rsidP="00116BEE">
            <w:pPr>
              <w:pStyle w:val="TableParagraph"/>
              <w:ind w:left="86" w:right="85"/>
              <w:jc w:val="both"/>
              <w:rPr>
                <w:color w:val="000000" w:themeColor="text1"/>
              </w:rPr>
            </w:pPr>
            <w:r w:rsidRPr="007B3C6A">
              <w:rPr>
                <w:color w:val="000000"/>
              </w:rPr>
              <w:t>Coasta Rupturile Tanacu</w:t>
            </w:r>
          </w:p>
        </w:tc>
      </w:tr>
      <w:tr w:rsidR="00116BEE" w:rsidRPr="00C56257" w14:paraId="24861CC6" w14:textId="77777777" w:rsidTr="00E14BA2">
        <w:trPr>
          <w:trHeight w:val="277"/>
        </w:trPr>
        <w:tc>
          <w:tcPr>
            <w:tcW w:w="3410" w:type="dxa"/>
            <w:vMerge/>
            <w:tcBorders>
              <w:top w:val="nil"/>
            </w:tcBorders>
          </w:tcPr>
          <w:p w14:paraId="315F523F" w14:textId="77777777" w:rsidR="00116BEE" w:rsidRPr="00C56257" w:rsidRDefault="00116BEE" w:rsidP="00116BEE">
            <w:pPr>
              <w:jc w:val="both"/>
              <w:rPr>
                <w:color w:val="000000" w:themeColor="text1"/>
              </w:rPr>
            </w:pPr>
          </w:p>
        </w:tc>
        <w:tc>
          <w:tcPr>
            <w:tcW w:w="2410" w:type="dxa"/>
            <w:vAlign w:val="bottom"/>
          </w:tcPr>
          <w:p w14:paraId="30E31374" w14:textId="77777777" w:rsidR="00116BEE" w:rsidRPr="007B3C6A" w:rsidRDefault="00116BEE" w:rsidP="005D6815">
            <w:pPr>
              <w:pStyle w:val="TableParagraph"/>
              <w:spacing w:line="258" w:lineRule="exact"/>
              <w:ind w:left="93" w:right="87"/>
              <w:jc w:val="both"/>
              <w:rPr>
                <w:color w:val="000000" w:themeColor="text1"/>
              </w:rPr>
            </w:pPr>
            <w:r w:rsidRPr="007B3C6A">
              <w:rPr>
                <w:color w:val="000000"/>
              </w:rPr>
              <w:t>ROS</w:t>
            </w:r>
            <w:r w:rsidR="005D6815">
              <w:rPr>
                <w:color w:val="000000"/>
              </w:rPr>
              <w:t>AC</w:t>
            </w:r>
            <w:r w:rsidRPr="007B3C6A">
              <w:rPr>
                <w:color w:val="000000"/>
              </w:rPr>
              <w:t>0053</w:t>
            </w:r>
          </w:p>
        </w:tc>
        <w:tc>
          <w:tcPr>
            <w:tcW w:w="3885" w:type="dxa"/>
            <w:vAlign w:val="bottom"/>
          </w:tcPr>
          <w:p w14:paraId="126E1772" w14:textId="77777777" w:rsidR="00116BEE" w:rsidRPr="007B3C6A" w:rsidRDefault="00116BEE" w:rsidP="00116BEE">
            <w:pPr>
              <w:pStyle w:val="TableParagraph"/>
              <w:spacing w:line="258" w:lineRule="exact"/>
              <w:ind w:left="91" w:right="83"/>
              <w:jc w:val="both"/>
              <w:rPr>
                <w:color w:val="000000" w:themeColor="text1"/>
              </w:rPr>
            </w:pPr>
            <w:r w:rsidRPr="007B3C6A">
              <w:rPr>
                <w:color w:val="000000"/>
              </w:rPr>
              <w:t>Dealul Alah Bair</w:t>
            </w:r>
          </w:p>
        </w:tc>
      </w:tr>
      <w:tr w:rsidR="00116BEE" w:rsidRPr="00C56257" w14:paraId="43186BC9" w14:textId="77777777" w:rsidTr="00E14BA2">
        <w:trPr>
          <w:trHeight w:val="275"/>
        </w:trPr>
        <w:tc>
          <w:tcPr>
            <w:tcW w:w="3410" w:type="dxa"/>
            <w:vMerge/>
            <w:tcBorders>
              <w:top w:val="nil"/>
            </w:tcBorders>
          </w:tcPr>
          <w:p w14:paraId="480A9FC9" w14:textId="77777777" w:rsidR="00116BEE" w:rsidRPr="00C56257" w:rsidRDefault="00116BEE" w:rsidP="00116BEE">
            <w:pPr>
              <w:jc w:val="both"/>
              <w:rPr>
                <w:color w:val="000000" w:themeColor="text1"/>
              </w:rPr>
            </w:pPr>
          </w:p>
        </w:tc>
        <w:tc>
          <w:tcPr>
            <w:tcW w:w="2410" w:type="dxa"/>
            <w:vAlign w:val="bottom"/>
          </w:tcPr>
          <w:p w14:paraId="5AA0C346" w14:textId="77777777" w:rsidR="00116BEE" w:rsidRPr="007B3C6A" w:rsidRDefault="00116BEE" w:rsidP="005D6815">
            <w:pPr>
              <w:pStyle w:val="TableParagraph"/>
              <w:ind w:left="93" w:right="87"/>
              <w:jc w:val="both"/>
              <w:rPr>
                <w:color w:val="000000" w:themeColor="text1"/>
              </w:rPr>
            </w:pPr>
            <w:r w:rsidRPr="007B3C6A">
              <w:rPr>
                <w:color w:val="000000"/>
              </w:rPr>
              <w:t>ROS</w:t>
            </w:r>
            <w:r w:rsidR="005D6815">
              <w:rPr>
                <w:color w:val="000000"/>
              </w:rPr>
              <w:t>AC</w:t>
            </w:r>
            <w:r w:rsidRPr="007B3C6A">
              <w:rPr>
                <w:color w:val="000000"/>
              </w:rPr>
              <w:t>0057</w:t>
            </w:r>
          </w:p>
        </w:tc>
        <w:tc>
          <w:tcPr>
            <w:tcW w:w="3885" w:type="dxa"/>
            <w:vAlign w:val="bottom"/>
          </w:tcPr>
          <w:p w14:paraId="64704BCA" w14:textId="77777777" w:rsidR="00116BEE" w:rsidRPr="007B3C6A" w:rsidRDefault="00116BEE" w:rsidP="00116BEE">
            <w:pPr>
              <w:pStyle w:val="TableParagraph"/>
              <w:ind w:left="91" w:right="77"/>
              <w:jc w:val="both"/>
              <w:rPr>
                <w:color w:val="000000" w:themeColor="text1"/>
              </w:rPr>
            </w:pPr>
            <w:r w:rsidRPr="007B3C6A">
              <w:rPr>
                <w:color w:val="000000"/>
              </w:rPr>
              <w:t>Dealul Istrița</w:t>
            </w:r>
          </w:p>
        </w:tc>
      </w:tr>
      <w:tr w:rsidR="00116BEE" w:rsidRPr="00C56257" w14:paraId="207A7006" w14:textId="77777777" w:rsidTr="00E14BA2">
        <w:trPr>
          <w:trHeight w:val="275"/>
        </w:trPr>
        <w:tc>
          <w:tcPr>
            <w:tcW w:w="3410" w:type="dxa"/>
            <w:vMerge/>
            <w:tcBorders>
              <w:top w:val="nil"/>
            </w:tcBorders>
          </w:tcPr>
          <w:p w14:paraId="1AEBCAF9" w14:textId="77777777" w:rsidR="00116BEE" w:rsidRPr="00C56257" w:rsidRDefault="00116BEE" w:rsidP="00116BEE">
            <w:pPr>
              <w:jc w:val="both"/>
              <w:rPr>
                <w:color w:val="000000" w:themeColor="text1"/>
              </w:rPr>
            </w:pPr>
          </w:p>
        </w:tc>
        <w:tc>
          <w:tcPr>
            <w:tcW w:w="2410" w:type="dxa"/>
            <w:vAlign w:val="bottom"/>
          </w:tcPr>
          <w:p w14:paraId="62D67AD6" w14:textId="77777777" w:rsidR="00116BEE" w:rsidRPr="007B3C6A" w:rsidRDefault="00116BEE" w:rsidP="005D6815">
            <w:pPr>
              <w:pStyle w:val="TableParagraph"/>
              <w:ind w:left="93" w:right="87"/>
              <w:jc w:val="both"/>
              <w:rPr>
                <w:color w:val="000000" w:themeColor="text1"/>
              </w:rPr>
            </w:pPr>
            <w:r w:rsidRPr="007B3C6A">
              <w:rPr>
                <w:color w:val="000000"/>
              </w:rPr>
              <w:t>ROS</w:t>
            </w:r>
            <w:r w:rsidR="005D6815">
              <w:rPr>
                <w:color w:val="000000"/>
              </w:rPr>
              <w:t>AC</w:t>
            </w:r>
            <w:r w:rsidRPr="007B3C6A">
              <w:rPr>
                <w:color w:val="000000"/>
              </w:rPr>
              <w:t>0058</w:t>
            </w:r>
          </w:p>
        </w:tc>
        <w:tc>
          <w:tcPr>
            <w:tcW w:w="3885" w:type="dxa"/>
            <w:vAlign w:val="bottom"/>
          </w:tcPr>
          <w:p w14:paraId="59334F6A" w14:textId="77777777" w:rsidR="00116BEE" w:rsidRPr="007B3C6A" w:rsidRDefault="00116BEE" w:rsidP="00116BEE">
            <w:pPr>
              <w:pStyle w:val="TableParagraph"/>
              <w:ind w:left="91" w:right="80"/>
              <w:jc w:val="both"/>
              <w:rPr>
                <w:color w:val="000000" w:themeColor="text1"/>
              </w:rPr>
            </w:pPr>
            <w:r w:rsidRPr="007B3C6A">
              <w:rPr>
                <w:color w:val="000000"/>
              </w:rPr>
              <w:t>Dealul lui Dumnezeu</w:t>
            </w:r>
          </w:p>
        </w:tc>
      </w:tr>
      <w:tr w:rsidR="00116BEE" w:rsidRPr="00C56257" w14:paraId="125D97C2" w14:textId="77777777" w:rsidTr="00E14BA2">
        <w:trPr>
          <w:trHeight w:val="275"/>
        </w:trPr>
        <w:tc>
          <w:tcPr>
            <w:tcW w:w="3410" w:type="dxa"/>
            <w:vMerge/>
            <w:tcBorders>
              <w:top w:val="nil"/>
            </w:tcBorders>
          </w:tcPr>
          <w:p w14:paraId="142859D8" w14:textId="77777777" w:rsidR="00116BEE" w:rsidRPr="00C56257" w:rsidRDefault="00116BEE" w:rsidP="00116BEE">
            <w:pPr>
              <w:jc w:val="both"/>
              <w:rPr>
                <w:color w:val="000000" w:themeColor="text1"/>
              </w:rPr>
            </w:pPr>
          </w:p>
        </w:tc>
        <w:tc>
          <w:tcPr>
            <w:tcW w:w="2410" w:type="dxa"/>
            <w:vAlign w:val="bottom"/>
          </w:tcPr>
          <w:p w14:paraId="6B0B67C4" w14:textId="77777777" w:rsidR="00116BEE" w:rsidRPr="007B3C6A" w:rsidRDefault="00116BEE" w:rsidP="005D6815">
            <w:pPr>
              <w:pStyle w:val="TableParagraph"/>
              <w:ind w:left="93" w:right="87"/>
              <w:jc w:val="both"/>
              <w:rPr>
                <w:color w:val="000000" w:themeColor="text1"/>
              </w:rPr>
            </w:pPr>
            <w:r w:rsidRPr="007B3C6A">
              <w:rPr>
                <w:color w:val="000000"/>
              </w:rPr>
              <w:t>ROS</w:t>
            </w:r>
            <w:r w:rsidR="005D6815">
              <w:rPr>
                <w:color w:val="000000"/>
              </w:rPr>
              <w:t>AC</w:t>
            </w:r>
            <w:r w:rsidRPr="007B3C6A">
              <w:rPr>
                <w:color w:val="000000"/>
              </w:rPr>
              <w:t>0059</w:t>
            </w:r>
          </w:p>
        </w:tc>
        <w:tc>
          <w:tcPr>
            <w:tcW w:w="3885" w:type="dxa"/>
            <w:vAlign w:val="bottom"/>
          </w:tcPr>
          <w:p w14:paraId="2F98C22A" w14:textId="77777777" w:rsidR="00116BEE" w:rsidRPr="007B3C6A" w:rsidRDefault="00116BEE" w:rsidP="00116BEE">
            <w:pPr>
              <w:pStyle w:val="TableParagraph"/>
              <w:ind w:left="91" w:right="80"/>
              <w:jc w:val="both"/>
              <w:rPr>
                <w:color w:val="000000" w:themeColor="text1"/>
              </w:rPr>
            </w:pPr>
            <w:r w:rsidRPr="007B3C6A">
              <w:rPr>
                <w:color w:val="000000"/>
              </w:rPr>
              <w:t>Dealul Perchiu</w:t>
            </w:r>
          </w:p>
        </w:tc>
      </w:tr>
      <w:tr w:rsidR="00116BEE" w:rsidRPr="00C56257" w14:paraId="07D3CEF3" w14:textId="77777777" w:rsidTr="00E14BA2">
        <w:trPr>
          <w:trHeight w:val="275"/>
        </w:trPr>
        <w:tc>
          <w:tcPr>
            <w:tcW w:w="3410" w:type="dxa"/>
            <w:vMerge/>
            <w:tcBorders>
              <w:top w:val="nil"/>
            </w:tcBorders>
          </w:tcPr>
          <w:p w14:paraId="2B93A06E" w14:textId="77777777" w:rsidR="00116BEE" w:rsidRPr="00C56257" w:rsidRDefault="00116BEE" w:rsidP="00116BEE">
            <w:pPr>
              <w:jc w:val="both"/>
              <w:rPr>
                <w:color w:val="000000" w:themeColor="text1"/>
              </w:rPr>
            </w:pPr>
          </w:p>
        </w:tc>
        <w:tc>
          <w:tcPr>
            <w:tcW w:w="2410" w:type="dxa"/>
            <w:vAlign w:val="bottom"/>
          </w:tcPr>
          <w:p w14:paraId="597E6337" w14:textId="77777777" w:rsidR="00116BEE" w:rsidRPr="007B3C6A" w:rsidRDefault="00116BEE" w:rsidP="005D6815">
            <w:pPr>
              <w:pStyle w:val="TableParagraph"/>
              <w:ind w:left="93" w:right="87"/>
              <w:jc w:val="both"/>
              <w:rPr>
                <w:color w:val="000000" w:themeColor="text1"/>
              </w:rPr>
            </w:pPr>
            <w:r w:rsidRPr="007B3C6A">
              <w:rPr>
                <w:color w:val="000000"/>
              </w:rPr>
              <w:t>ROS</w:t>
            </w:r>
            <w:r w:rsidR="005D6815">
              <w:rPr>
                <w:color w:val="000000"/>
              </w:rPr>
              <w:t>AC</w:t>
            </w:r>
            <w:r w:rsidRPr="007B3C6A">
              <w:rPr>
                <w:color w:val="000000"/>
              </w:rPr>
              <w:t>0060</w:t>
            </w:r>
          </w:p>
        </w:tc>
        <w:tc>
          <w:tcPr>
            <w:tcW w:w="3885" w:type="dxa"/>
            <w:vAlign w:val="bottom"/>
          </w:tcPr>
          <w:p w14:paraId="60B12B37" w14:textId="77777777" w:rsidR="00116BEE" w:rsidRPr="007B3C6A" w:rsidRDefault="00116BEE" w:rsidP="00116BEE">
            <w:pPr>
              <w:pStyle w:val="TableParagraph"/>
              <w:ind w:left="91" w:right="80"/>
              <w:jc w:val="both"/>
              <w:rPr>
                <w:color w:val="000000" w:themeColor="text1"/>
              </w:rPr>
            </w:pPr>
            <w:r w:rsidRPr="007B3C6A">
              <w:rPr>
                <w:color w:val="000000"/>
              </w:rPr>
              <w:t>Dealurile Agighiolului</w:t>
            </w:r>
          </w:p>
        </w:tc>
      </w:tr>
      <w:tr w:rsidR="00116BEE" w:rsidRPr="00C56257" w14:paraId="7C49F31B" w14:textId="77777777" w:rsidTr="00E14BA2">
        <w:trPr>
          <w:trHeight w:val="275"/>
        </w:trPr>
        <w:tc>
          <w:tcPr>
            <w:tcW w:w="3410" w:type="dxa"/>
            <w:vMerge/>
            <w:tcBorders>
              <w:top w:val="nil"/>
            </w:tcBorders>
          </w:tcPr>
          <w:p w14:paraId="63B6FE51" w14:textId="77777777" w:rsidR="00116BEE" w:rsidRPr="00C56257" w:rsidRDefault="00116BEE" w:rsidP="00116BEE">
            <w:pPr>
              <w:jc w:val="both"/>
              <w:rPr>
                <w:color w:val="000000" w:themeColor="text1"/>
              </w:rPr>
            </w:pPr>
          </w:p>
        </w:tc>
        <w:tc>
          <w:tcPr>
            <w:tcW w:w="2410" w:type="dxa"/>
            <w:vAlign w:val="bottom"/>
          </w:tcPr>
          <w:p w14:paraId="7E47528C" w14:textId="77777777" w:rsidR="00116BEE" w:rsidRPr="007B3C6A" w:rsidRDefault="00116BEE" w:rsidP="00116BEE">
            <w:pPr>
              <w:pStyle w:val="TableParagraph"/>
              <w:ind w:left="93" w:right="87"/>
              <w:jc w:val="both"/>
              <w:rPr>
                <w:color w:val="000000" w:themeColor="text1"/>
              </w:rPr>
            </w:pPr>
            <w:r w:rsidRPr="007B3C6A">
              <w:rPr>
                <w:color w:val="000000"/>
              </w:rPr>
              <w:t>ROSCI0065</w:t>
            </w:r>
          </w:p>
        </w:tc>
        <w:tc>
          <w:tcPr>
            <w:tcW w:w="3885" w:type="dxa"/>
            <w:vAlign w:val="bottom"/>
          </w:tcPr>
          <w:p w14:paraId="1136BEFF" w14:textId="77777777" w:rsidR="00116BEE" w:rsidRPr="007B3C6A" w:rsidRDefault="00116BEE" w:rsidP="00116BEE">
            <w:pPr>
              <w:pStyle w:val="TableParagraph"/>
              <w:ind w:left="86" w:right="85"/>
              <w:jc w:val="both"/>
              <w:rPr>
                <w:color w:val="000000" w:themeColor="text1"/>
              </w:rPr>
            </w:pPr>
            <w:r w:rsidRPr="007B3C6A">
              <w:rPr>
                <w:color w:val="000000"/>
              </w:rPr>
              <w:t>Delta Dunării</w:t>
            </w:r>
          </w:p>
        </w:tc>
      </w:tr>
      <w:tr w:rsidR="00116BEE" w:rsidRPr="00C56257" w14:paraId="081B7C11" w14:textId="77777777" w:rsidTr="00E14BA2">
        <w:trPr>
          <w:trHeight w:val="277"/>
        </w:trPr>
        <w:tc>
          <w:tcPr>
            <w:tcW w:w="3410" w:type="dxa"/>
            <w:vMerge/>
            <w:tcBorders>
              <w:top w:val="nil"/>
            </w:tcBorders>
          </w:tcPr>
          <w:p w14:paraId="3C005509" w14:textId="77777777" w:rsidR="00116BEE" w:rsidRPr="00C56257" w:rsidRDefault="00116BEE" w:rsidP="00116BEE">
            <w:pPr>
              <w:jc w:val="both"/>
              <w:rPr>
                <w:color w:val="000000" w:themeColor="text1"/>
              </w:rPr>
            </w:pPr>
          </w:p>
        </w:tc>
        <w:tc>
          <w:tcPr>
            <w:tcW w:w="2410" w:type="dxa"/>
            <w:vAlign w:val="bottom"/>
          </w:tcPr>
          <w:p w14:paraId="73CB086B" w14:textId="77777777" w:rsidR="00116BEE" w:rsidRPr="007B3C6A" w:rsidRDefault="00116BEE" w:rsidP="005D6815">
            <w:pPr>
              <w:pStyle w:val="TableParagraph"/>
              <w:spacing w:line="258" w:lineRule="exact"/>
              <w:ind w:left="93" w:right="87"/>
              <w:jc w:val="both"/>
              <w:rPr>
                <w:color w:val="000000" w:themeColor="text1"/>
              </w:rPr>
            </w:pPr>
            <w:r w:rsidRPr="007B3C6A">
              <w:rPr>
                <w:color w:val="000000"/>
              </w:rPr>
              <w:t>ROS</w:t>
            </w:r>
            <w:r w:rsidR="005D6815">
              <w:rPr>
                <w:color w:val="000000"/>
              </w:rPr>
              <w:t>AC</w:t>
            </w:r>
            <w:r w:rsidRPr="007B3C6A">
              <w:rPr>
                <w:color w:val="000000"/>
              </w:rPr>
              <w:t>0067</w:t>
            </w:r>
          </w:p>
        </w:tc>
        <w:tc>
          <w:tcPr>
            <w:tcW w:w="3885" w:type="dxa"/>
            <w:vAlign w:val="bottom"/>
          </w:tcPr>
          <w:p w14:paraId="4F0EDC05" w14:textId="77777777" w:rsidR="00116BEE" w:rsidRPr="007B3C6A" w:rsidRDefault="00116BEE" w:rsidP="00116BEE">
            <w:pPr>
              <w:pStyle w:val="TableParagraph"/>
              <w:spacing w:line="258" w:lineRule="exact"/>
              <w:ind w:left="90" w:right="85"/>
              <w:jc w:val="both"/>
              <w:rPr>
                <w:color w:val="000000" w:themeColor="text1"/>
              </w:rPr>
            </w:pPr>
            <w:r w:rsidRPr="007B3C6A">
              <w:rPr>
                <w:color w:val="000000"/>
              </w:rPr>
              <w:t>Deniz Tepe</w:t>
            </w:r>
          </w:p>
        </w:tc>
      </w:tr>
      <w:tr w:rsidR="00116BEE" w:rsidRPr="00C56257" w14:paraId="4A27559F" w14:textId="77777777" w:rsidTr="007B3C6A">
        <w:trPr>
          <w:trHeight w:val="275"/>
        </w:trPr>
        <w:tc>
          <w:tcPr>
            <w:tcW w:w="3410" w:type="dxa"/>
            <w:vMerge/>
            <w:tcBorders>
              <w:top w:val="nil"/>
            </w:tcBorders>
          </w:tcPr>
          <w:p w14:paraId="21736042" w14:textId="77777777" w:rsidR="00116BEE" w:rsidRPr="00C56257" w:rsidRDefault="00116BEE" w:rsidP="00116BEE">
            <w:pPr>
              <w:jc w:val="both"/>
              <w:rPr>
                <w:color w:val="000000" w:themeColor="text1"/>
              </w:rPr>
            </w:pPr>
          </w:p>
        </w:tc>
        <w:tc>
          <w:tcPr>
            <w:tcW w:w="2410" w:type="dxa"/>
          </w:tcPr>
          <w:p w14:paraId="624093C6" w14:textId="77777777" w:rsidR="00116BEE" w:rsidRPr="007B3C6A" w:rsidRDefault="00116BEE" w:rsidP="005D6815">
            <w:pPr>
              <w:pStyle w:val="TableParagraph"/>
              <w:ind w:left="93" w:right="87"/>
              <w:rPr>
                <w:color w:val="000000" w:themeColor="text1"/>
              </w:rPr>
            </w:pPr>
            <w:r w:rsidRPr="007B3C6A">
              <w:rPr>
                <w:color w:val="000000"/>
              </w:rPr>
              <w:t>ROS</w:t>
            </w:r>
            <w:r w:rsidR="005D6815">
              <w:rPr>
                <w:color w:val="000000"/>
              </w:rPr>
              <w:t>AC</w:t>
            </w:r>
            <w:r w:rsidRPr="007B3C6A">
              <w:rPr>
                <w:color w:val="000000"/>
              </w:rPr>
              <w:t>0071</w:t>
            </w:r>
          </w:p>
        </w:tc>
        <w:tc>
          <w:tcPr>
            <w:tcW w:w="3885" w:type="dxa"/>
          </w:tcPr>
          <w:p w14:paraId="6271FDED" w14:textId="77777777" w:rsidR="00116BEE" w:rsidRPr="007B3C6A" w:rsidRDefault="00116BEE" w:rsidP="007B3C6A">
            <w:pPr>
              <w:pStyle w:val="TableParagraph"/>
              <w:ind w:left="91" w:right="84"/>
              <w:rPr>
                <w:color w:val="000000" w:themeColor="text1"/>
              </w:rPr>
            </w:pPr>
            <w:r w:rsidRPr="007B3C6A">
              <w:rPr>
                <w:color w:val="000000"/>
              </w:rPr>
              <w:t>Dumbrăveni - Valea Urluia - Lacul Vederoasa</w:t>
            </w:r>
          </w:p>
        </w:tc>
      </w:tr>
      <w:tr w:rsidR="00116BEE" w:rsidRPr="00C56257" w14:paraId="6114ACF5" w14:textId="77777777" w:rsidTr="007B3C6A">
        <w:trPr>
          <w:trHeight w:val="276"/>
        </w:trPr>
        <w:tc>
          <w:tcPr>
            <w:tcW w:w="3410" w:type="dxa"/>
            <w:vMerge/>
            <w:tcBorders>
              <w:top w:val="nil"/>
            </w:tcBorders>
          </w:tcPr>
          <w:p w14:paraId="620C9D82" w14:textId="77777777" w:rsidR="00116BEE" w:rsidRPr="00C56257" w:rsidRDefault="00116BEE" w:rsidP="00116BEE">
            <w:pPr>
              <w:jc w:val="both"/>
              <w:rPr>
                <w:color w:val="000000" w:themeColor="text1"/>
              </w:rPr>
            </w:pPr>
          </w:p>
        </w:tc>
        <w:tc>
          <w:tcPr>
            <w:tcW w:w="2410" w:type="dxa"/>
          </w:tcPr>
          <w:p w14:paraId="190381E2" w14:textId="77777777" w:rsidR="00116BEE" w:rsidRPr="007B3C6A" w:rsidRDefault="00116BEE" w:rsidP="007B3C6A">
            <w:pPr>
              <w:pStyle w:val="TableParagraph"/>
              <w:ind w:left="93" w:right="87"/>
              <w:rPr>
                <w:color w:val="000000" w:themeColor="text1"/>
              </w:rPr>
            </w:pPr>
            <w:r w:rsidRPr="007B3C6A">
              <w:rPr>
                <w:color w:val="000000"/>
              </w:rPr>
              <w:t>ROSCI0077</w:t>
            </w:r>
          </w:p>
        </w:tc>
        <w:tc>
          <w:tcPr>
            <w:tcW w:w="3885" w:type="dxa"/>
          </w:tcPr>
          <w:p w14:paraId="369A8608" w14:textId="77777777" w:rsidR="00116BEE" w:rsidRPr="007B3C6A" w:rsidRDefault="00116BEE" w:rsidP="007B3C6A">
            <w:pPr>
              <w:pStyle w:val="TableParagraph"/>
              <w:ind w:left="91" w:right="82"/>
              <w:rPr>
                <w:color w:val="000000" w:themeColor="text1"/>
              </w:rPr>
            </w:pPr>
            <w:r w:rsidRPr="007B3C6A">
              <w:rPr>
                <w:color w:val="000000"/>
              </w:rPr>
              <w:t>Fânațele Bârca</w:t>
            </w:r>
          </w:p>
        </w:tc>
      </w:tr>
      <w:tr w:rsidR="00116BEE" w:rsidRPr="00C56257" w14:paraId="152BB19C" w14:textId="77777777" w:rsidTr="007B3C6A">
        <w:trPr>
          <w:trHeight w:val="275"/>
        </w:trPr>
        <w:tc>
          <w:tcPr>
            <w:tcW w:w="3410" w:type="dxa"/>
            <w:vMerge/>
            <w:tcBorders>
              <w:top w:val="nil"/>
            </w:tcBorders>
          </w:tcPr>
          <w:p w14:paraId="713C1ADA" w14:textId="77777777" w:rsidR="00116BEE" w:rsidRPr="00C56257" w:rsidRDefault="00116BEE" w:rsidP="00116BEE">
            <w:pPr>
              <w:jc w:val="both"/>
              <w:rPr>
                <w:color w:val="000000" w:themeColor="text1"/>
              </w:rPr>
            </w:pPr>
          </w:p>
        </w:tc>
        <w:tc>
          <w:tcPr>
            <w:tcW w:w="2410" w:type="dxa"/>
          </w:tcPr>
          <w:p w14:paraId="29DF13F5" w14:textId="77777777" w:rsidR="00116BEE" w:rsidRPr="007B3C6A" w:rsidRDefault="00116BEE" w:rsidP="005D6815">
            <w:pPr>
              <w:pStyle w:val="TableParagraph"/>
              <w:ind w:left="93" w:right="87"/>
              <w:rPr>
                <w:color w:val="000000" w:themeColor="text1"/>
              </w:rPr>
            </w:pPr>
            <w:r w:rsidRPr="007B3C6A">
              <w:rPr>
                <w:color w:val="000000"/>
              </w:rPr>
              <w:t>ROS</w:t>
            </w:r>
            <w:r w:rsidR="005D6815">
              <w:rPr>
                <w:color w:val="000000"/>
              </w:rPr>
              <w:t>AC</w:t>
            </w:r>
            <w:r w:rsidRPr="007B3C6A">
              <w:rPr>
                <w:color w:val="000000"/>
              </w:rPr>
              <w:t>0080</w:t>
            </w:r>
          </w:p>
        </w:tc>
        <w:tc>
          <w:tcPr>
            <w:tcW w:w="3885" w:type="dxa"/>
          </w:tcPr>
          <w:p w14:paraId="6E0D7418" w14:textId="77777777" w:rsidR="00116BEE" w:rsidRPr="007B3C6A" w:rsidRDefault="00116BEE" w:rsidP="007B3C6A">
            <w:pPr>
              <w:pStyle w:val="TableParagraph"/>
              <w:ind w:left="91" w:right="80"/>
              <w:rPr>
                <w:color w:val="000000" w:themeColor="text1"/>
              </w:rPr>
            </w:pPr>
            <w:r w:rsidRPr="007B3C6A">
              <w:rPr>
                <w:color w:val="000000"/>
              </w:rPr>
              <w:t>Fânațurile de la Glodeni</w:t>
            </w:r>
          </w:p>
        </w:tc>
      </w:tr>
      <w:tr w:rsidR="00116BEE" w:rsidRPr="00C56257" w14:paraId="4CAD76A7" w14:textId="77777777" w:rsidTr="007B3C6A">
        <w:trPr>
          <w:trHeight w:val="275"/>
        </w:trPr>
        <w:tc>
          <w:tcPr>
            <w:tcW w:w="3410" w:type="dxa"/>
            <w:vMerge/>
            <w:tcBorders>
              <w:top w:val="nil"/>
            </w:tcBorders>
          </w:tcPr>
          <w:p w14:paraId="48496EEF" w14:textId="77777777" w:rsidR="00116BEE" w:rsidRPr="00C56257" w:rsidRDefault="00116BEE" w:rsidP="00116BEE">
            <w:pPr>
              <w:jc w:val="both"/>
              <w:rPr>
                <w:color w:val="000000" w:themeColor="text1"/>
              </w:rPr>
            </w:pPr>
          </w:p>
        </w:tc>
        <w:tc>
          <w:tcPr>
            <w:tcW w:w="2410" w:type="dxa"/>
          </w:tcPr>
          <w:p w14:paraId="4431A8AE" w14:textId="77777777" w:rsidR="00116BEE" w:rsidRPr="007B3C6A" w:rsidRDefault="00116BEE" w:rsidP="005D6815">
            <w:pPr>
              <w:pStyle w:val="TableParagraph"/>
              <w:ind w:left="93" w:right="87"/>
              <w:rPr>
                <w:color w:val="000000" w:themeColor="text1"/>
              </w:rPr>
            </w:pPr>
            <w:r w:rsidRPr="007B3C6A">
              <w:rPr>
                <w:color w:val="000000"/>
              </w:rPr>
              <w:t>ROS</w:t>
            </w:r>
            <w:r w:rsidR="005D6815">
              <w:rPr>
                <w:color w:val="000000"/>
              </w:rPr>
              <w:t>AC</w:t>
            </w:r>
            <w:r w:rsidRPr="007B3C6A">
              <w:rPr>
                <w:color w:val="000000"/>
              </w:rPr>
              <w:t>0081</w:t>
            </w:r>
          </w:p>
        </w:tc>
        <w:tc>
          <w:tcPr>
            <w:tcW w:w="3885" w:type="dxa"/>
          </w:tcPr>
          <w:p w14:paraId="4020FD98" w14:textId="77777777" w:rsidR="00116BEE" w:rsidRPr="007B3C6A" w:rsidRDefault="00116BEE" w:rsidP="007B3C6A">
            <w:pPr>
              <w:pStyle w:val="TableParagraph"/>
              <w:ind w:left="86" w:right="85"/>
              <w:rPr>
                <w:color w:val="000000" w:themeColor="text1"/>
              </w:rPr>
            </w:pPr>
            <w:r w:rsidRPr="007B3C6A">
              <w:rPr>
                <w:color w:val="000000"/>
              </w:rPr>
              <w:t>Fânețele seculare Frumoasa</w:t>
            </w:r>
          </w:p>
        </w:tc>
      </w:tr>
      <w:tr w:rsidR="00116BEE" w:rsidRPr="00C56257" w14:paraId="09342961" w14:textId="77777777" w:rsidTr="007B3C6A">
        <w:trPr>
          <w:trHeight w:val="275"/>
        </w:trPr>
        <w:tc>
          <w:tcPr>
            <w:tcW w:w="3410" w:type="dxa"/>
            <w:vMerge/>
            <w:tcBorders>
              <w:top w:val="nil"/>
            </w:tcBorders>
          </w:tcPr>
          <w:p w14:paraId="35ADB49E" w14:textId="77777777" w:rsidR="00116BEE" w:rsidRPr="00C56257" w:rsidRDefault="00116BEE" w:rsidP="00116BEE">
            <w:pPr>
              <w:jc w:val="both"/>
              <w:rPr>
                <w:color w:val="000000" w:themeColor="text1"/>
              </w:rPr>
            </w:pPr>
          </w:p>
        </w:tc>
        <w:tc>
          <w:tcPr>
            <w:tcW w:w="2410" w:type="dxa"/>
          </w:tcPr>
          <w:p w14:paraId="63F6E3F8" w14:textId="77777777" w:rsidR="00116BEE" w:rsidRPr="007B3C6A" w:rsidRDefault="00116BEE" w:rsidP="007B3C6A">
            <w:pPr>
              <w:pStyle w:val="TableParagraph"/>
              <w:ind w:left="93" w:right="87"/>
              <w:rPr>
                <w:color w:val="000000" w:themeColor="text1"/>
              </w:rPr>
            </w:pPr>
            <w:r w:rsidRPr="007B3C6A">
              <w:rPr>
                <w:color w:val="000000"/>
              </w:rPr>
              <w:t>ROSCI0082</w:t>
            </w:r>
          </w:p>
        </w:tc>
        <w:tc>
          <w:tcPr>
            <w:tcW w:w="3885" w:type="dxa"/>
          </w:tcPr>
          <w:p w14:paraId="11948161" w14:textId="77777777" w:rsidR="00116BEE" w:rsidRPr="007B3C6A" w:rsidRDefault="00116BEE" w:rsidP="007B3C6A">
            <w:pPr>
              <w:pStyle w:val="TableParagraph"/>
              <w:ind w:left="91" w:right="80"/>
              <w:rPr>
                <w:color w:val="000000" w:themeColor="text1"/>
              </w:rPr>
            </w:pPr>
            <w:r w:rsidRPr="007B3C6A">
              <w:rPr>
                <w:color w:val="000000"/>
              </w:rPr>
              <w:t>Fânețele seculare Ponoare</w:t>
            </w:r>
          </w:p>
        </w:tc>
      </w:tr>
      <w:tr w:rsidR="00116BEE" w:rsidRPr="00C56257" w14:paraId="3DE5C239" w14:textId="77777777" w:rsidTr="007B3C6A">
        <w:trPr>
          <w:trHeight w:val="278"/>
        </w:trPr>
        <w:tc>
          <w:tcPr>
            <w:tcW w:w="3410" w:type="dxa"/>
            <w:vMerge/>
            <w:tcBorders>
              <w:top w:val="nil"/>
            </w:tcBorders>
          </w:tcPr>
          <w:p w14:paraId="31241820" w14:textId="77777777" w:rsidR="00116BEE" w:rsidRPr="00C56257" w:rsidRDefault="00116BEE" w:rsidP="00116BEE">
            <w:pPr>
              <w:jc w:val="both"/>
              <w:rPr>
                <w:color w:val="000000" w:themeColor="text1"/>
              </w:rPr>
            </w:pPr>
          </w:p>
        </w:tc>
        <w:tc>
          <w:tcPr>
            <w:tcW w:w="2410" w:type="dxa"/>
          </w:tcPr>
          <w:p w14:paraId="50BE4BB5" w14:textId="77777777" w:rsidR="00116BEE" w:rsidRPr="007B3C6A" w:rsidRDefault="00116BEE" w:rsidP="007B3C6A">
            <w:pPr>
              <w:pStyle w:val="TableParagraph"/>
              <w:spacing w:line="258" w:lineRule="exact"/>
              <w:ind w:left="93" w:right="87"/>
              <w:rPr>
                <w:color w:val="000000" w:themeColor="text1"/>
              </w:rPr>
            </w:pPr>
            <w:r w:rsidRPr="007B3C6A">
              <w:rPr>
                <w:color w:val="000000"/>
              </w:rPr>
              <w:t>ROSCI0083</w:t>
            </w:r>
          </w:p>
        </w:tc>
        <w:tc>
          <w:tcPr>
            <w:tcW w:w="3885" w:type="dxa"/>
          </w:tcPr>
          <w:p w14:paraId="2F6B2E8E" w14:textId="77777777" w:rsidR="00116BEE" w:rsidRPr="007B3C6A" w:rsidRDefault="00116BEE" w:rsidP="007B3C6A">
            <w:pPr>
              <w:pStyle w:val="TableParagraph"/>
              <w:spacing w:line="258" w:lineRule="exact"/>
              <w:ind w:left="91" w:right="77"/>
              <w:rPr>
                <w:color w:val="000000" w:themeColor="text1"/>
              </w:rPr>
            </w:pPr>
            <w:r w:rsidRPr="007B3C6A">
              <w:rPr>
                <w:color w:val="000000"/>
              </w:rPr>
              <w:t>Fântânița Murfatlar</w:t>
            </w:r>
          </w:p>
        </w:tc>
      </w:tr>
      <w:tr w:rsidR="00116BEE" w:rsidRPr="00C56257" w14:paraId="2AF7F443" w14:textId="77777777" w:rsidTr="007B3C6A">
        <w:trPr>
          <w:trHeight w:val="275"/>
        </w:trPr>
        <w:tc>
          <w:tcPr>
            <w:tcW w:w="3410" w:type="dxa"/>
            <w:vMerge/>
            <w:tcBorders>
              <w:top w:val="nil"/>
            </w:tcBorders>
          </w:tcPr>
          <w:p w14:paraId="3258C6DF" w14:textId="77777777" w:rsidR="00116BEE" w:rsidRPr="00C56257" w:rsidRDefault="00116BEE" w:rsidP="00116BEE">
            <w:pPr>
              <w:jc w:val="both"/>
              <w:rPr>
                <w:color w:val="000000" w:themeColor="text1"/>
              </w:rPr>
            </w:pPr>
          </w:p>
        </w:tc>
        <w:tc>
          <w:tcPr>
            <w:tcW w:w="2410" w:type="dxa"/>
          </w:tcPr>
          <w:p w14:paraId="12D21B67" w14:textId="77777777" w:rsidR="00116BEE" w:rsidRPr="007B3C6A" w:rsidRDefault="00116BEE" w:rsidP="005D6815">
            <w:pPr>
              <w:pStyle w:val="TableParagraph"/>
              <w:ind w:left="93" w:right="87"/>
              <w:rPr>
                <w:color w:val="000000" w:themeColor="text1"/>
              </w:rPr>
            </w:pPr>
            <w:r w:rsidRPr="007B3C6A">
              <w:rPr>
                <w:color w:val="000000"/>
              </w:rPr>
              <w:t>ROS</w:t>
            </w:r>
            <w:r w:rsidR="005D6815">
              <w:rPr>
                <w:color w:val="000000"/>
              </w:rPr>
              <w:t>AC</w:t>
            </w:r>
            <w:r w:rsidRPr="007B3C6A">
              <w:rPr>
                <w:color w:val="000000"/>
              </w:rPr>
              <w:t>0099</w:t>
            </w:r>
          </w:p>
        </w:tc>
        <w:tc>
          <w:tcPr>
            <w:tcW w:w="3885" w:type="dxa"/>
          </w:tcPr>
          <w:p w14:paraId="2171EF59" w14:textId="77777777" w:rsidR="00116BEE" w:rsidRPr="007B3C6A" w:rsidRDefault="00116BEE" w:rsidP="007B3C6A">
            <w:pPr>
              <w:pStyle w:val="TableParagraph"/>
              <w:ind w:left="91" w:right="77"/>
              <w:rPr>
                <w:color w:val="000000" w:themeColor="text1"/>
              </w:rPr>
            </w:pPr>
            <w:r w:rsidRPr="007B3C6A">
              <w:rPr>
                <w:color w:val="000000"/>
              </w:rPr>
              <w:t>Lacul Știucilor - Sic - Puini - Bonțida</w:t>
            </w:r>
          </w:p>
        </w:tc>
      </w:tr>
      <w:tr w:rsidR="00116BEE" w:rsidRPr="00C56257" w14:paraId="728E2F30" w14:textId="77777777" w:rsidTr="007B3C6A">
        <w:trPr>
          <w:trHeight w:val="275"/>
        </w:trPr>
        <w:tc>
          <w:tcPr>
            <w:tcW w:w="3410" w:type="dxa"/>
            <w:vMerge/>
            <w:tcBorders>
              <w:top w:val="nil"/>
            </w:tcBorders>
          </w:tcPr>
          <w:p w14:paraId="05627A65" w14:textId="77777777" w:rsidR="00116BEE" w:rsidRPr="00C56257" w:rsidRDefault="00116BEE" w:rsidP="00116BEE">
            <w:pPr>
              <w:jc w:val="both"/>
              <w:rPr>
                <w:color w:val="000000" w:themeColor="text1"/>
              </w:rPr>
            </w:pPr>
          </w:p>
        </w:tc>
        <w:tc>
          <w:tcPr>
            <w:tcW w:w="2410" w:type="dxa"/>
          </w:tcPr>
          <w:p w14:paraId="2DFE362E" w14:textId="77777777" w:rsidR="00116BEE" w:rsidRPr="007B3C6A" w:rsidRDefault="00116BEE" w:rsidP="005D6815">
            <w:pPr>
              <w:pStyle w:val="TableParagraph"/>
              <w:ind w:left="93" w:right="87"/>
              <w:rPr>
                <w:color w:val="000000" w:themeColor="text1"/>
              </w:rPr>
            </w:pPr>
            <w:r w:rsidRPr="007B3C6A">
              <w:rPr>
                <w:color w:val="000000"/>
              </w:rPr>
              <w:t>ROS</w:t>
            </w:r>
            <w:r w:rsidR="005D6815">
              <w:rPr>
                <w:color w:val="000000"/>
              </w:rPr>
              <w:t>AC</w:t>
            </w:r>
            <w:r w:rsidRPr="007B3C6A">
              <w:rPr>
                <w:color w:val="000000"/>
              </w:rPr>
              <w:t>0103</w:t>
            </w:r>
          </w:p>
        </w:tc>
        <w:tc>
          <w:tcPr>
            <w:tcW w:w="3885" w:type="dxa"/>
          </w:tcPr>
          <w:p w14:paraId="0C71531D" w14:textId="77777777" w:rsidR="00116BEE" w:rsidRPr="007B3C6A" w:rsidRDefault="00116BEE" w:rsidP="007B3C6A">
            <w:pPr>
              <w:pStyle w:val="TableParagraph"/>
              <w:ind w:left="91" w:right="79"/>
              <w:rPr>
                <w:color w:val="000000" w:themeColor="text1"/>
              </w:rPr>
            </w:pPr>
            <w:r w:rsidRPr="007B3C6A">
              <w:rPr>
                <w:color w:val="000000"/>
              </w:rPr>
              <w:t>Lunca Buzăului</w:t>
            </w:r>
          </w:p>
        </w:tc>
      </w:tr>
      <w:tr w:rsidR="00116BEE" w:rsidRPr="00C56257" w14:paraId="230DAB39" w14:textId="77777777" w:rsidTr="007B3C6A">
        <w:trPr>
          <w:trHeight w:val="275"/>
        </w:trPr>
        <w:tc>
          <w:tcPr>
            <w:tcW w:w="3410" w:type="dxa"/>
            <w:vMerge/>
            <w:tcBorders>
              <w:top w:val="nil"/>
            </w:tcBorders>
          </w:tcPr>
          <w:p w14:paraId="53B5325B" w14:textId="77777777" w:rsidR="00116BEE" w:rsidRPr="00C56257" w:rsidRDefault="00116BEE" w:rsidP="00116BEE">
            <w:pPr>
              <w:jc w:val="both"/>
              <w:rPr>
                <w:color w:val="000000" w:themeColor="text1"/>
              </w:rPr>
            </w:pPr>
          </w:p>
        </w:tc>
        <w:tc>
          <w:tcPr>
            <w:tcW w:w="2410" w:type="dxa"/>
          </w:tcPr>
          <w:p w14:paraId="6959B8E1" w14:textId="77777777" w:rsidR="00116BEE" w:rsidRPr="007B3C6A" w:rsidRDefault="00116BEE" w:rsidP="005D6815">
            <w:pPr>
              <w:pStyle w:val="TableParagraph"/>
              <w:ind w:left="93" w:right="87"/>
              <w:rPr>
                <w:color w:val="000000" w:themeColor="text1"/>
              </w:rPr>
            </w:pPr>
            <w:r w:rsidRPr="007B3C6A">
              <w:rPr>
                <w:color w:val="000000"/>
              </w:rPr>
              <w:t>ROS</w:t>
            </w:r>
            <w:r w:rsidR="005D6815">
              <w:rPr>
                <w:color w:val="000000"/>
              </w:rPr>
              <w:t>AC</w:t>
            </w:r>
            <w:r w:rsidRPr="007B3C6A">
              <w:rPr>
                <w:color w:val="000000"/>
              </w:rPr>
              <w:t>0117</w:t>
            </w:r>
          </w:p>
        </w:tc>
        <w:tc>
          <w:tcPr>
            <w:tcW w:w="3885" w:type="dxa"/>
          </w:tcPr>
          <w:p w14:paraId="32167831" w14:textId="77777777" w:rsidR="00116BEE" w:rsidRPr="007B3C6A" w:rsidRDefault="00116BEE" w:rsidP="007B3C6A">
            <w:pPr>
              <w:pStyle w:val="TableParagraph"/>
              <w:ind w:left="91" w:right="80"/>
              <w:rPr>
                <w:color w:val="000000" w:themeColor="text1"/>
              </w:rPr>
            </w:pPr>
            <w:r w:rsidRPr="007B3C6A">
              <w:rPr>
                <w:color w:val="000000"/>
              </w:rPr>
              <w:t>Movila lui Burcel</w:t>
            </w:r>
          </w:p>
        </w:tc>
      </w:tr>
      <w:tr w:rsidR="00116BEE" w:rsidRPr="00C56257" w14:paraId="2E2159C7" w14:textId="77777777" w:rsidTr="00E14BA2">
        <w:trPr>
          <w:trHeight w:val="275"/>
        </w:trPr>
        <w:tc>
          <w:tcPr>
            <w:tcW w:w="3410" w:type="dxa"/>
            <w:vMerge/>
            <w:tcBorders>
              <w:top w:val="nil"/>
            </w:tcBorders>
          </w:tcPr>
          <w:p w14:paraId="5E6E5EC1" w14:textId="77777777" w:rsidR="00116BEE" w:rsidRPr="00C56257" w:rsidRDefault="00116BEE" w:rsidP="00116BEE">
            <w:pPr>
              <w:jc w:val="both"/>
              <w:rPr>
                <w:color w:val="000000" w:themeColor="text1"/>
              </w:rPr>
            </w:pPr>
          </w:p>
        </w:tc>
        <w:tc>
          <w:tcPr>
            <w:tcW w:w="2410" w:type="dxa"/>
            <w:vAlign w:val="bottom"/>
          </w:tcPr>
          <w:p w14:paraId="4B360308" w14:textId="77777777" w:rsidR="00116BEE" w:rsidRPr="007B3C6A" w:rsidRDefault="00116BEE" w:rsidP="00116BEE">
            <w:pPr>
              <w:pStyle w:val="TableParagraph"/>
              <w:ind w:left="93" w:right="87"/>
              <w:jc w:val="both"/>
              <w:rPr>
                <w:color w:val="000000" w:themeColor="text1"/>
              </w:rPr>
            </w:pPr>
            <w:r w:rsidRPr="007B3C6A">
              <w:rPr>
                <w:color w:val="000000"/>
              </w:rPr>
              <w:t>ROSCI0123</w:t>
            </w:r>
          </w:p>
        </w:tc>
        <w:tc>
          <w:tcPr>
            <w:tcW w:w="3885" w:type="dxa"/>
            <w:vAlign w:val="bottom"/>
          </w:tcPr>
          <w:p w14:paraId="721F197A" w14:textId="77777777" w:rsidR="00116BEE" w:rsidRPr="007B3C6A" w:rsidRDefault="00116BEE" w:rsidP="00116BEE">
            <w:pPr>
              <w:pStyle w:val="TableParagraph"/>
              <w:ind w:left="91" w:right="80"/>
              <w:jc w:val="both"/>
              <w:rPr>
                <w:color w:val="000000" w:themeColor="text1"/>
              </w:rPr>
            </w:pPr>
            <w:r w:rsidRPr="007B3C6A">
              <w:rPr>
                <w:color w:val="000000"/>
              </w:rPr>
              <w:t>Munții Măcinului</w:t>
            </w:r>
          </w:p>
        </w:tc>
      </w:tr>
      <w:tr w:rsidR="00116BEE" w:rsidRPr="00C56257" w14:paraId="71D4D2D9" w14:textId="77777777" w:rsidTr="00E14BA2">
        <w:trPr>
          <w:trHeight w:val="275"/>
        </w:trPr>
        <w:tc>
          <w:tcPr>
            <w:tcW w:w="3410" w:type="dxa"/>
            <w:vMerge/>
            <w:tcBorders>
              <w:top w:val="nil"/>
            </w:tcBorders>
          </w:tcPr>
          <w:p w14:paraId="507DF5E4" w14:textId="77777777" w:rsidR="00116BEE" w:rsidRPr="00C56257" w:rsidRDefault="00116BEE" w:rsidP="00116BEE">
            <w:pPr>
              <w:jc w:val="both"/>
              <w:rPr>
                <w:color w:val="000000" w:themeColor="text1"/>
              </w:rPr>
            </w:pPr>
          </w:p>
        </w:tc>
        <w:tc>
          <w:tcPr>
            <w:tcW w:w="2410" w:type="dxa"/>
            <w:vAlign w:val="bottom"/>
          </w:tcPr>
          <w:p w14:paraId="0B4F1A6D" w14:textId="77777777" w:rsidR="00116BEE" w:rsidRPr="007B3C6A" w:rsidRDefault="00116BEE" w:rsidP="005D6815">
            <w:pPr>
              <w:pStyle w:val="TableParagraph"/>
              <w:ind w:left="93" w:right="87"/>
              <w:jc w:val="both"/>
              <w:rPr>
                <w:color w:val="000000" w:themeColor="text1"/>
              </w:rPr>
            </w:pPr>
            <w:r w:rsidRPr="007B3C6A">
              <w:rPr>
                <w:color w:val="000000"/>
              </w:rPr>
              <w:t>ROS</w:t>
            </w:r>
            <w:r w:rsidR="005D6815">
              <w:rPr>
                <w:color w:val="000000"/>
              </w:rPr>
              <w:t>AC</w:t>
            </w:r>
            <w:r w:rsidRPr="007B3C6A">
              <w:rPr>
                <w:color w:val="000000"/>
              </w:rPr>
              <w:t>0139</w:t>
            </w:r>
          </w:p>
        </w:tc>
        <w:tc>
          <w:tcPr>
            <w:tcW w:w="3885" w:type="dxa"/>
            <w:vAlign w:val="bottom"/>
          </w:tcPr>
          <w:p w14:paraId="74B57EF7" w14:textId="77777777" w:rsidR="00116BEE" w:rsidRPr="007B3C6A" w:rsidRDefault="00116BEE" w:rsidP="00116BEE">
            <w:pPr>
              <w:pStyle w:val="TableParagraph"/>
              <w:ind w:left="91" w:right="80"/>
              <w:jc w:val="both"/>
              <w:rPr>
                <w:color w:val="000000" w:themeColor="text1"/>
              </w:rPr>
            </w:pPr>
            <w:r w:rsidRPr="007B3C6A">
              <w:rPr>
                <w:color w:val="000000"/>
              </w:rPr>
              <w:t>Pădurea Breana - Roșcani</w:t>
            </w:r>
          </w:p>
        </w:tc>
      </w:tr>
      <w:tr w:rsidR="00116BEE" w:rsidRPr="00C56257" w14:paraId="534F7B06" w14:textId="77777777" w:rsidTr="00E14BA2">
        <w:trPr>
          <w:trHeight w:val="275"/>
        </w:trPr>
        <w:tc>
          <w:tcPr>
            <w:tcW w:w="3410" w:type="dxa"/>
            <w:vMerge/>
            <w:tcBorders>
              <w:top w:val="nil"/>
            </w:tcBorders>
          </w:tcPr>
          <w:p w14:paraId="0CA9B842" w14:textId="77777777" w:rsidR="00116BEE" w:rsidRPr="00C56257" w:rsidRDefault="00116BEE" w:rsidP="00116BEE">
            <w:pPr>
              <w:jc w:val="both"/>
              <w:rPr>
                <w:color w:val="000000" w:themeColor="text1"/>
              </w:rPr>
            </w:pPr>
          </w:p>
        </w:tc>
        <w:tc>
          <w:tcPr>
            <w:tcW w:w="2410" w:type="dxa"/>
            <w:vAlign w:val="bottom"/>
          </w:tcPr>
          <w:p w14:paraId="660E8554" w14:textId="77777777" w:rsidR="00116BEE" w:rsidRPr="007B3C6A" w:rsidRDefault="00116BEE" w:rsidP="005D6815">
            <w:pPr>
              <w:pStyle w:val="TableParagraph"/>
              <w:ind w:left="93" w:right="87"/>
              <w:jc w:val="both"/>
              <w:rPr>
                <w:color w:val="000000" w:themeColor="text1"/>
              </w:rPr>
            </w:pPr>
            <w:r w:rsidRPr="007B3C6A">
              <w:rPr>
                <w:color w:val="000000"/>
              </w:rPr>
              <w:t>ROS</w:t>
            </w:r>
            <w:r w:rsidR="005D6815">
              <w:rPr>
                <w:color w:val="000000"/>
              </w:rPr>
              <w:t>AC</w:t>
            </w:r>
            <w:r w:rsidRPr="007B3C6A">
              <w:rPr>
                <w:color w:val="000000"/>
              </w:rPr>
              <w:t>0149</w:t>
            </w:r>
          </w:p>
        </w:tc>
        <w:tc>
          <w:tcPr>
            <w:tcW w:w="3885" w:type="dxa"/>
            <w:vAlign w:val="bottom"/>
          </w:tcPr>
          <w:p w14:paraId="561DE10C" w14:textId="77777777" w:rsidR="00116BEE" w:rsidRPr="007B3C6A" w:rsidRDefault="00116BEE" w:rsidP="00116BEE">
            <w:pPr>
              <w:pStyle w:val="TableParagraph"/>
              <w:ind w:left="91" w:right="83"/>
              <w:jc w:val="both"/>
              <w:rPr>
                <w:color w:val="000000" w:themeColor="text1"/>
              </w:rPr>
            </w:pPr>
            <w:r w:rsidRPr="007B3C6A">
              <w:rPr>
                <w:color w:val="000000"/>
              </w:rPr>
              <w:t>Pădurea Eseschioi - Lacul Bugeac</w:t>
            </w:r>
          </w:p>
        </w:tc>
      </w:tr>
      <w:tr w:rsidR="00116BEE" w:rsidRPr="00C56257" w14:paraId="18B957AE" w14:textId="77777777" w:rsidTr="00E14BA2">
        <w:trPr>
          <w:trHeight w:val="278"/>
        </w:trPr>
        <w:tc>
          <w:tcPr>
            <w:tcW w:w="3410" w:type="dxa"/>
            <w:vMerge/>
            <w:tcBorders>
              <w:top w:val="nil"/>
            </w:tcBorders>
          </w:tcPr>
          <w:p w14:paraId="2B2F8413" w14:textId="77777777" w:rsidR="00116BEE" w:rsidRPr="00C56257" w:rsidRDefault="00116BEE" w:rsidP="00116BEE">
            <w:pPr>
              <w:jc w:val="both"/>
              <w:rPr>
                <w:color w:val="000000" w:themeColor="text1"/>
              </w:rPr>
            </w:pPr>
          </w:p>
        </w:tc>
        <w:tc>
          <w:tcPr>
            <w:tcW w:w="2410" w:type="dxa"/>
            <w:vAlign w:val="bottom"/>
          </w:tcPr>
          <w:p w14:paraId="58EAA025" w14:textId="77777777" w:rsidR="00116BEE" w:rsidRPr="007B3C6A" w:rsidRDefault="00116BEE" w:rsidP="00116BEE">
            <w:pPr>
              <w:pStyle w:val="TableParagraph"/>
              <w:spacing w:line="258" w:lineRule="exact"/>
              <w:ind w:left="93" w:right="87"/>
              <w:jc w:val="both"/>
              <w:rPr>
                <w:color w:val="000000" w:themeColor="text1"/>
              </w:rPr>
            </w:pPr>
            <w:r w:rsidRPr="007B3C6A">
              <w:rPr>
                <w:color w:val="000000"/>
              </w:rPr>
              <w:t>ROSCI0157</w:t>
            </w:r>
          </w:p>
        </w:tc>
        <w:tc>
          <w:tcPr>
            <w:tcW w:w="3885" w:type="dxa"/>
            <w:vAlign w:val="bottom"/>
          </w:tcPr>
          <w:p w14:paraId="3C0EA414" w14:textId="77777777" w:rsidR="00116BEE" w:rsidRPr="007B3C6A" w:rsidRDefault="00116BEE" w:rsidP="00116BEE">
            <w:pPr>
              <w:pStyle w:val="TableParagraph"/>
              <w:spacing w:line="258" w:lineRule="exact"/>
              <w:ind w:left="86" w:right="85"/>
              <w:jc w:val="both"/>
              <w:rPr>
                <w:color w:val="000000" w:themeColor="text1"/>
              </w:rPr>
            </w:pPr>
            <w:r w:rsidRPr="007B3C6A">
              <w:rPr>
                <w:color w:val="000000"/>
              </w:rPr>
              <w:t>Pădurea Hagieni - Cotul Văii</w:t>
            </w:r>
          </w:p>
        </w:tc>
      </w:tr>
      <w:tr w:rsidR="00116BEE" w:rsidRPr="00C56257" w14:paraId="3BCBA335" w14:textId="77777777" w:rsidTr="00E14BA2">
        <w:trPr>
          <w:trHeight w:val="275"/>
        </w:trPr>
        <w:tc>
          <w:tcPr>
            <w:tcW w:w="3410" w:type="dxa"/>
            <w:vMerge/>
            <w:tcBorders>
              <w:top w:val="nil"/>
            </w:tcBorders>
          </w:tcPr>
          <w:p w14:paraId="19655B78" w14:textId="77777777" w:rsidR="00116BEE" w:rsidRPr="00C56257" w:rsidRDefault="00116BEE" w:rsidP="00116BEE">
            <w:pPr>
              <w:jc w:val="both"/>
              <w:rPr>
                <w:color w:val="000000" w:themeColor="text1"/>
              </w:rPr>
            </w:pPr>
          </w:p>
        </w:tc>
        <w:tc>
          <w:tcPr>
            <w:tcW w:w="2410" w:type="dxa"/>
            <w:vAlign w:val="bottom"/>
          </w:tcPr>
          <w:p w14:paraId="6072D957" w14:textId="77777777" w:rsidR="00116BEE" w:rsidRPr="007B3C6A" w:rsidRDefault="00116BEE" w:rsidP="005D6815">
            <w:pPr>
              <w:pStyle w:val="TableParagraph"/>
              <w:ind w:left="93" w:right="87"/>
              <w:jc w:val="both"/>
              <w:rPr>
                <w:color w:val="000000" w:themeColor="text1"/>
              </w:rPr>
            </w:pPr>
            <w:r w:rsidRPr="007B3C6A">
              <w:rPr>
                <w:color w:val="000000"/>
              </w:rPr>
              <w:t>ROS</w:t>
            </w:r>
            <w:r w:rsidR="005D6815">
              <w:rPr>
                <w:color w:val="000000"/>
              </w:rPr>
              <w:t>AC</w:t>
            </w:r>
            <w:r w:rsidRPr="007B3C6A">
              <w:rPr>
                <w:color w:val="000000"/>
              </w:rPr>
              <w:t>0167</w:t>
            </w:r>
          </w:p>
        </w:tc>
        <w:tc>
          <w:tcPr>
            <w:tcW w:w="3885" w:type="dxa"/>
            <w:vAlign w:val="bottom"/>
          </w:tcPr>
          <w:p w14:paraId="3108DB23" w14:textId="77777777" w:rsidR="00116BEE" w:rsidRPr="007B3C6A" w:rsidRDefault="00116BEE" w:rsidP="00116BEE">
            <w:pPr>
              <w:pStyle w:val="TableParagraph"/>
              <w:ind w:left="91" w:right="80"/>
              <w:jc w:val="both"/>
              <w:rPr>
                <w:color w:val="000000" w:themeColor="text1"/>
              </w:rPr>
            </w:pPr>
            <w:r w:rsidRPr="007B3C6A">
              <w:rPr>
                <w:color w:val="000000"/>
              </w:rPr>
              <w:t>Pădurea Roșcani</w:t>
            </w:r>
          </w:p>
        </w:tc>
      </w:tr>
      <w:tr w:rsidR="00116BEE" w:rsidRPr="00C56257" w14:paraId="6A517060" w14:textId="77777777" w:rsidTr="00E14BA2">
        <w:trPr>
          <w:trHeight w:val="275"/>
        </w:trPr>
        <w:tc>
          <w:tcPr>
            <w:tcW w:w="3410" w:type="dxa"/>
            <w:vMerge/>
            <w:tcBorders>
              <w:top w:val="nil"/>
            </w:tcBorders>
          </w:tcPr>
          <w:p w14:paraId="0E410BC3" w14:textId="77777777" w:rsidR="00116BEE" w:rsidRPr="00C56257" w:rsidRDefault="00116BEE" w:rsidP="00116BEE">
            <w:pPr>
              <w:jc w:val="both"/>
              <w:rPr>
                <w:color w:val="000000" w:themeColor="text1"/>
              </w:rPr>
            </w:pPr>
          </w:p>
        </w:tc>
        <w:tc>
          <w:tcPr>
            <w:tcW w:w="2410" w:type="dxa"/>
            <w:vAlign w:val="bottom"/>
          </w:tcPr>
          <w:p w14:paraId="706CF3B4" w14:textId="77777777" w:rsidR="00116BEE" w:rsidRPr="007B3C6A" w:rsidRDefault="00116BEE" w:rsidP="005D6815">
            <w:pPr>
              <w:pStyle w:val="TableParagraph"/>
              <w:ind w:left="93" w:right="87"/>
              <w:jc w:val="both"/>
              <w:rPr>
                <w:color w:val="000000" w:themeColor="text1"/>
              </w:rPr>
            </w:pPr>
            <w:r w:rsidRPr="007B3C6A">
              <w:rPr>
                <w:color w:val="000000"/>
              </w:rPr>
              <w:t>ROS</w:t>
            </w:r>
            <w:r w:rsidR="005D6815">
              <w:rPr>
                <w:color w:val="000000"/>
              </w:rPr>
              <w:t>AC</w:t>
            </w:r>
            <w:r w:rsidRPr="007B3C6A">
              <w:rPr>
                <w:color w:val="000000"/>
              </w:rPr>
              <w:t>0171</w:t>
            </w:r>
          </w:p>
        </w:tc>
        <w:tc>
          <w:tcPr>
            <w:tcW w:w="3885" w:type="dxa"/>
            <w:vAlign w:val="bottom"/>
          </w:tcPr>
          <w:p w14:paraId="1ECE459E" w14:textId="77777777" w:rsidR="00116BEE" w:rsidRPr="007B3C6A" w:rsidRDefault="00116BEE" w:rsidP="00116BEE">
            <w:pPr>
              <w:pStyle w:val="TableParagraph"/>
              <w:ind w:left="91" w:right="77"/>
              <w:jc w:val="both"/>
              <w:rPr>
                <w:color w:val="000000" w:themeColor="text1"/>
              </w:rPr>
            </w:pPr>
            <w:r w:rsidRPr="007B3C6A">
              <w:rPr>
                <w:color w:val="000000"/>
              </w:rPr>
              <w:t>Pădurea și pajiștile de la Mârzești</w:t>
            </w:r>
          </w:p>
        </w:tc>
      </w:tr>
      <w:tr w:rsidR="00116BEE" w:rsidRPr="00C56257" w14:paraId="59129331" w14:textId="77777777" w:rsidTr="00E14BA2">
        <w:trPr>
          <w:trHeight w:val="275"/>
        </w:trPr>
        <w:tc>
          <w:tcPr>
            <w:tcW w:w="3410" w:type="dxa"/>
            <w:vMerge/>
            <w:tcBorders>
              <w:top w:val="nil"/>
            </w:tcBorders>
          </w:tcPr>
          <w:p w14:paraId="5150F2A2" w14:textId="77777777" w:rsidR="00116BEE" w:rsidRPr="00C56257" w:rsidRDefault="00116BEE" w:rsidP="00116BEE">
            <w:pPr>
              <w:jc w:val="both"/>
              <w:rPr>
                <w:color w:val="000000" w:themeColor="text1"/>
              </w:rPr>
            </w:pPr>
          </w:p>
        </w:tc>
        <w:tc>
          <w:tcPr>
            <w:tcW w:w="2410" w:type="dxa"/>
            <w:vAlign w:val="bottom"/>
          </w:tcPr>
          <w:p w14:paraId="29790FF0" w14:textId="77777777" w:rsidR="00116BEE" w:rsidRPr="007B3C6A" w:rsidRDefault="00116BEE" w:rsidP="005D6815">
            <w:pPr>
              <w:pStyle w:val="TableParagraph"/>
              <w:ind w:left="93" w:right="87"/>
              <w:jc w:val="both"/>
              <w:rPr>
                <w:color w:val="000000" w:themeColor="text1"/>
              </w:rPr>
            </w:pPr>
            <w:r w:rsidRPr="007B3C6A">
              <w:rPr>
                <w:color w:val="000000"/>
              </w:rPr>
              <w:t>ROS</w:t>
            </w:r>
            <w:r w:rsidR="005D6815">
              <w:rPr>
                <w:color w:val="000000"/>
              </w:rPr>
              <w:t>AC</w:t>
            </w:r>
            <w:r w:rsidRPr="007B3C6A">
              <w:rPr>
                <w:color w:val="000000"/>
              </w:rPr>
              <w:t>0172</w:t>
            </w:r>
          </w:p>
        </w:tc>
        <w:tc>
          <w:tcPr>
            <w:tcW w:w="3885" w:type="dxa"/>
            <w:vAlign w:val="bottom"/>
          </w:tcPr>
          <w:p w14:paraId="246530EC" w14:textId="77777777" w:rsidR="00116BEE" w:rsidRPr="007B3C6A" w:rsidRDefault="00116BEE" w:rsidP="00116BEE">
            <w:pPr>
              <w:pStyle w:val="TableParagraph"/>
              <w:ind w:left="91" w:right="83"/>
              <w:jc w:val="both"/>
              <w:rPr>
                <w:color w:val="000000" w:themeColor="text1"/>
              </w:rPr>
            </w:pPr>
            <w:r w:rsidRPr="007B3C6A">
              <w:rPr>
                <w:color w:val="000000"/>
              </w:rPr>
              <w:t>Pădurea și Valea Canaraua Fetii - Iortmac</w:t>
            </w:r>
          </w:p>
        </w:tc>
      </w:tr>
      <w:tr w:rsidR="00116BEE" w:rsidRPr="00C56257" w14:paraId="52F66E58" w14:textId="77777777" w:rsidTr="00E14BA2">
        <w:trPr>
          <w:trHeight w:val="275"/>
        </w:trPr>
        <w:tc>
          <w:tcPr>
            <w:tcW w:w="3410" w:type="dxa"/>
            <w:vMerge/>
            <w:tcBorders>
              <w:top w:val="nil"/>
            </w:tcBorders>
          </w:tcPr>
          <w:p w14:paraId="38A5A740" w14:textId="77777777" w:rsidR="00116BEE" w:rsidRPr="00C56257" w:rsidRDefault="00116BEE" w:rsidP="00116BEE">
            <w:pPr>
              <w:jc w:val="both"/>
              <w:rPr>
                <w:color w:val="000000" w:themeColor="text1"/>
              </w:rPr>
            </w:pPr>
          </w:p>
        </w:tc>
        <w:tc>
          <w:tcPr>
            <w:tcW w:w="2410" w:type="dxa"/>
            <w:vAlign w:val="bottom"/>
          </w:tcPr>
          <w:p w14:paraId="460E2408" w14:textId="77777777" w:rsidR="00116BEE" w:rsidRPr="007B3C6A" w:rsidRDefault="00116BEE" w:rsidP="00116BEE">
            <w:pPr>
              <w:pStyle w:val="TableParagraph"/>
              <w:ind w:left="93" w:right="87"/>
              <w:jc w:val="both"/>
              <w:rPr>
                <w:color w:val="000000" w:themeColor="text1"/>
              </w:rPr>
            </w:pPr>
            <w:r w:rsidRPr="007B3C6A">
              <w:rPr>
                <w:color w:val="000000"/>
              </w:rPr>
              <w:t>ROSCI0177</w:t>
            </w:r>
          </w:p>
        </w:tc>
        <w:tc>
          <w:tcPr>
            <w:tcW w:w="3885" w:type="dxa"/>
            <w:vAlign w:val="bottom"/>
          </w:tcPr>
          <w:p w14:paraId="27892252" w14:textId="77777777" w:rsidR="00116BEE" w:rsidRPr="007B3C6A" w:rsidRDefault="00116BEE" w:rsidP="00116BEE">
            <w:pPr>
              <w:pStyle w:val="TableParagraph"/>
              <w:ind w:left="91" w:right="85"/>
              <w:jc w:val="both"/>
              <w:rPr>
                <w:color w:val="000000" w:themeColor="text1"/>
              </w:rPr>
            </w:pPr>
            <w:r w:rsidRPr="007B3C6A">
              <w:rPr>
                <w:color w:val="000000"/>
              </w:rPr>
              <w:t>Pădurea Topana</w:t>
            </w:r>
          </w:p>
        </w:tc>
      </w:tr>
      <w:tr w:rsidR="00116BEE" w:rsidRPr="00C56257" w14:paraId="5C9106DD" w14:textId="77777777" w:rsidTr="00E14BA2">
        <w:trPr>
          <w:trHeight w:val="275"/>
        </w:trPr>
        <w:tc>
          <w:tcPr>
            <w:tcW w:w="3410" w:type="dxa"/>
            <w:vMerge/>
            <w:tcBorders>
              <w:top w:val="nil"/>
            </w:tcBorders>
          </w:tcPr>
          <w:p w14:paraId="52F3F58B" w14:textId="77777777" w:rsidR="00116BEE" w:rsidRPr="00C56257" w:rsidRDefault="00116BEE" w:rsidP="00116BEE">
            <w:pPr>
              <w:jc w:val="both"/>
              <w:rPr>
                <w:color w:val="000000" w:themeColor="text1"/>
              </w:rPr>
            </w:pPr>
          </w:p>
        </w:tc>
        <w:tc>
          <w:tcPr>
            <w:tcW w:w="2410" w:type="dxa"/>
            <w:vAlign w:val="bottom"/>
          </w:tcPr>
          <w:p w14:paraId="741FAB96" w14:textId="77777777" w:rsidR="00116BEE" w:rsidRPr="007B3C6A" w:rsidRDefault="00116BEE" w:rsidP="00116BEE">
            <w:pPr>
              <w:pStyle w:val="TableParagraph"/>
              <w:ind w:left="93" w:right="87"/>
              <w:jc w:val="both"/>
              <w:rPr>
                <w:color w:val="000000" w:themeColor="text1"/>
              </w:rPr>
            </w:pPr>
            <w:r w:rsidRPr="007B3C6A">
              <w:rPr>
                <w:color w:val="000000"/>
              </w:rPr>
              <w:t>ROSCI0201</w:t>
            </w:r>
          </w:p>
        </w:tc>
        <w:tc>
          <w:tcPr>
            <w:tcW w:w="3885" w:type="dxa"/>
            <w:vAlign w:val="bottom"/>
          </w:tcPr>
          <w:p w14:paraId="7E068E60" w14:textId="77777777" w:rsidR="00116BEE" w:rsidRPr="007B3C6A" w:rsidRDefault="00116BEE" w:rsidP="00116BEE">
            <w:pPr>
              <w:pStyle w:val="TableParagraph"/>
              <w:ind w:left="86" w:right="85"/>
              <w:jc w:val="both"/>
              <w:rPr>
                <w:color w:val="000000" w:themeColor="text1"/>
              </w:rPr>
            </w:pPr>
            <w:r w:rsidRPr="007B3C6A">
              <w:rPr>
                <w:color w:val="000000"/>
              </w:rPr>
              <w:t>Podișul Nord Dobrogean</w:t>
            </w:r>
          </w:p>
        </w:tc>
      </w:tr>
      <w:tr w:rsidR="00116BEE" w:rsidRPr="00C56257" w14:paraId="5A4DD01F" w14:textId="77777777" w:rsidTr="007B3C6A">
        <w:trPr>
          <w:trHeight w:val="277"/>
        </w:trPr>
        <w:tc>
          <w:tcPr>
            <w:tcW w:w="3410" w:type="dxa"/>
            <w:vMerge/>
            <w:tcBorders>
              <w:top w:val="nil"/>
            </w:tcBorders>
          </w:tcPr>
          <w:p w14:paraId="42C12E37" w14:textId="77777777" w:rsidR="00116BEE" w:rsidRPr="00C56257" w:rsidRDefault="00116BEE" w:rsidP="00116BEE">
            <w:pPr>
              <w:jc w:val="both"/>
              <w:rPr>
                <w:color w:val="000000" w:themeColor="text1"/>
              </w:rPr>
            </w:pPr>
          </w:p>
        </w:tc>
        <w:tc>
          <w:tcPr>
            <w:tcW w:w="2410" w:type="dxa"/>
          </w:tcPr>
          <w:p w14:paraId="0816DD55" w14:textId="77777777" w:rsidR="00116BEE" w:rsidRPr="007B3C6A" w:rsidRDefault="00116BEE" w:rsidP="005D6815">
            <w:pPr>
              <w:pStyle w:val="TableParagraph"/>
              <w:spacing w:line="258" w:lineRule="exact"/>
              <w:ind w:left="94" w:right="86"/>
              <w:rPr>
                <w:color w:val="000000" w:themeColor="text1"/>
              </w:rPr>
            </w:pPr>
            <w:r w:rsidRPr="007B3C6A">
              <w:rPr>
                <w:color w:val="000000"/>
              </w:rPr>
              <w:t>ROS</w:t>
            </w:r>
            <w:r w:rsidR="005D6815">
              <w:rPr>
                <w:color w:val="000000"/>
              </w:rPr>
              <w:t>AC</w:t>
            </w:r>
            <w:r w:rsidRPr="007B3C6A">
              <w:rPr>
                <w:color w:val="000000"/>
              </w:rPr>
              <w:t>0202</w:t>
            </w:r>
          </w:p>
        </w:tc>
        <w:tc>
          <w:tcPr>
            <w:tcW w:w="3885" w:type="dxa"/>
          </w:tcPr>
          <w:p w14:paraId="7035C830" w14:textId="77777777" w:rsidR="00116BEE" w:rsidRPr="007B3C6A" w:rsidRDefault="00116BEE" w:rsidP="007B3C6A">
            <w:pPr>
              <w:pStyle w:val="TableParagraph"/>
              <w:spacing w:line="258" w:lineRule="exact"/>
              <w:ind w:left="91" w:right="80"/>
              <w:rPr>
                <w:color w:val="000000" w:themeColor="text1"/>
              </w:rPr>
            </w:pPr>
            <w:r w:rsidRPr="007B3C6A">
              <w:rPr>
                <w:color w:val="000000"/>
              </w:rPr>
              <w:t>Silvostepa Olteniei</w:t>
            </w:r>
          </w:p>
        </w:tc>
      </w:tr>
      <w:tr w:rsidR="00365F5B" w:rsidRPr="00C56257" w14:paraId="492EE178" w14:textId="77777777" w:rsidTr="007B3C6A">
        <w:trPr>
          <w:trHeight w:val="275"/>
        </w:trPr>
        <w:tc>
          <w:tcPr>
            <w:tcW w:w="3410" w:type="dxa"/>
            <w:vMerge/>
            <w:tcBorders>
              <w:top w:val="nil"/>
            </w:tcBorders>
          </w:tcPr>
          <w:p w14:paraId="76362AAC" w14:textId="77777777" w:rsidR="00365F5B" w:rsidRPr="00C56257" w:rsidRDefault="00365F5B" w:rsidP="00365F5B">
            <w:pPr>
              <w:jc w:val="both"/>
              <w:rPr>
                <w:color w:val="000000" w:themeColor="text1"/>
              </w:rPr>
            </w:pPr>
          </w:p>
        </w:tc>
        <w:tc>
          <w:tcPr>
            <w:tcW w:w="2410" w:type="dxa"/>
          </w:tcPr>
          <w:p w14:paraId="170FFA87" w14:textId="77777777" w:rsidR="00365F5B" w:rsidRPr="007B3C6A" w:rsidRDefault="00365F5B" w:rsidP="005D6815">
            <w:pPr>
              <w:pStyle w:val="TableParagraph"/>
              <w:ind w:left="93" w:right="87"/>
              <w:rPr>
                <w:color w:val="000000" w:themeColor="text1"/>
              </w:rPr>
            </w:pPr>
            <w:r w:rsidRPr="007B3C6A">
              <w:rPr>
                <w:color w:val="000000"/>
              </w:rPr>
              <w:t>ROS</w:t>
            </w:r>
            <w:r w:rsidR="005D6815">
              <w:rPr>
                <w:color w:val="000000"/>
              </w:rPr>
              <w:t>AC</w:t>
            </w:r>
            <w:r w:rsidRPr="007B3C6A">
              <w:rPr>
                <w:color w:val="000000"/>
              </w:rPr>
              <w:t>0215</w:t>
            </w:r>
          </w:p>
        </w:tc>
        <w:tc>
          <w:tcPr>
            <w:tcW w:w="3885" w:type="dxa"/>
          </w:tcPr>
          <w:p w14:paraId="5B0AD233" w14:textId="77777777" w:rsidR="00365F5B" w:rsidRPr="007B3C6A" w:rsidRDefault="00365F5B" w:rsidP="007B3C6A">
            <w:pPr>
              <w:pStyle w:val="TableParagraph"/>
              <w:ind w:left="91" w:right="79"/>
              <w:rPr>
                <w:color w:val="000000" w:themeColor="text1"/>
              </w:rPr>
            </w:pPr>
            <w:r w:rsidRPr="007B3C6A">
              <w:rPr>
                <w:color w:val="000000"/>
              </w:rPr>
              <w:t>Recifii Jurasici Cheia</w:t>
            </w:r>
          </w:p>
        </w:tc>
      </w:tr>
      <w:tr w:rsidR="00365F5B" w:rsidRPr="00C56257" w14:paraId="695D8A20" w14:textId="77777777" w:rsidTr="007B3C6A">
        <w:trPr>
          <w:trHeight w:val="275"/>
        </w:trPr>
        <w:tc>
          <w:tcPr>
            <w:tcW w:w="3410" w:type="dxa"/>
            <w:vMerge/>
            <w:tcBorders>
              <w:top w:val="nil"/>
            </w:tcBorders>
          </w:tcPr>
          <w:p w14:paraId="268C847F" w14:textId="77777777" w:rsidR="00365F5B" w:rsidRPr="00C56257" w:rsidRDefault="00365F5B" w:rsidP="00365F5B">
            <w:pPr>
              <w:jc w:val="both"/>
              <w:rPr>
                <w:color w:val="000000" w:themeColor="text1"/>
              </w:rPr>
            </w:pPr>
          </w:p>
        </w:tc>
        <w:tc>
          <w:tcPr>
            <w:tcW w:w="2410" w:type="dxa"/>
          </w:tcPr>
          <w:p w14:paraId="77C3D60C" w14:textId="77777777" w:rsidR="00365F5B" w:rsidRPr="007B3C6A" w:rsidRDefault="00365F5B" w:rsidP="007B3C6A">
            <w:pPr>
              <w:pStyle w:val="TableParagraph"/>
              <w:ind w:left="93" w:right="87"/>
              <w:rPr>
                <w:color w:val="000000" w:themeColor="text1"/>
              </w:rPr>
            </w:pPr>
            <w:r w:rsidRPr="007B3C6A">
              <w:rPr>
                <w:color w:val="000000"/>
              </w:rPr>
              <w:t>ROSCI0265</w:t>
            </w:r>
          </w:p>
        </w:tc>
        <w:tc>
          <w:tcPr>
            <w:tcW w:w="3885" w:type="dxa"/>
          </w:tcPr>
          <w:p w14:paraId="2EF7895D" w14:textId="77777777" w:rsidR="00365F5B" w:rsidRPr="007B3C6A" w:rsidRDefault="00365F5B" w:rsidP="007B3C6A">
            <w:pPr>
              <w:pStyle w:val="TableParagraph"/>
              <w:ind w:left="91" w:right="79"/>
              <w:rPr>
                <w:color w:val="000000" w:themeColor="text1"/>
              </w:rPr>
            </w:pPr>
            <w:r w:rsidRPr="007B3C6A">
              <w:rPr>
                <w:color w:val="000000"/>
              </w:rPr>
              <w:t>Valea lui David</w:t>
            </w:r>
          </w:p>
        </w:tc>
      </w:tr>
      <w:tr w:rsidR="00365F5B" w:rsidRPr="00C56257" w14:paraId="6065A52E" w14:textId="77777777" w:rsidTr="007B3C6A">
        <w:trPr>
          <w:trHeight w:val="275"/>
        </w:trPr>
        <w:tc>
          <w:tcPr>
            <w:tcW w:w="3410" w:type="dxa"/>
            <w:vMerge/>
            <w:tcBorders>
              <w:top w:val="nil"/>
            </w:tcBorders>
          </w:tcPr>
          <w:p w14:paraId="4488E98E" w14:textId="77777777" w:rsidR="00365F5B" w:rsidRPr="00C56257" w:rsidRDefault="00365F5B" w:rsidP="00365F5B">
            <w:pPr>
              <w:jc w:val="both"/>
              <w:rPr>
                <w:color w:val="000000" w:themeColor="text1"/>
              </w:rPr>
            </w:pPr>
          </w:p>
        </w:tc>
        <w:tc>
          <w:tcPr>
            <w:tcW w:w="2410" w:type="dxa"/>
          </w:tcPr>
          <w:p w14:paraId="5374D70F" w14:textId="77777777" w:rsidR="00365F5B" w:rsidRPr="007B3C6A" w:rsidRDefault="00365F5B" w:rsidP="005D6815">
            <w:pPr>
              <w:pStyle w:val="TableParagraph"/>
              <w:ind w:left="93" w:right="87"/>
              <w:rPr>
                <w:color w:val="000000" w:themeColor="text1"/>
              </w:rPr>
            </w:pPr>
            <w:r w:rsidRPr="007B3C6A">
              <w:rPr>
                <w:color w:val="000000"/>
              </w:rPr>
              <w:t>ROS</w:t>
            </w:r>
            <w:r w:rsidR="005D6815">
              <w:rPr>
                <w:color w:val="000000"/>
              </w:rPr>
              <w:t>AC</w:t>
            </w:r>
            <w:r w:rsidRPr="007B3C6A">
              <w:rPr>
                <w:color w:val="000000"/>
              </w:rPr>
              <w:t>0272</w:t>
            </w:r>
          </w:p>
        </w:tc>
        <w:tc>
          <w:tcPr>
            <w:tcW w:w="3885" w:type="dxa"/>
          </w:tcPr>
          <w:p w14:paraId="446B388F" w14:textId="77777777" w:rsidR="00365F5B" w:rsidRPr="007B3C6A" w:rsidRDefault="00365F5B" w:rsidP="007B3C6A">
            <w:pPr>
              <w:pStyle w:val="TableParagraph"/>
              <w:ind w:left="91" w:right="79"/>
              <w:rPr>
                <w:color w:val="000000" w:themeColor="text1"/>
              </w:rPr>
            </w:pPr>
            <w:r w:rsidRPr="007B3C6A">
              <w:rPr>
                <w:color w:val="000000"/>
              </w:rPr>
              <w:t>Vulcanii Noroioși de la Pâclele Mari și Pâclele Mici</w:t>
            </w:r>
          </w:p>
        </w:tc>
      </w:tr>
      <w:tr w:rsidR="00365F5B" w:rsidRPr="00C56257" w14:paraId="62129B2E" w14:textId="77777777" w:rsidTr="007B3C6A">
        <w:trPr>
          <w:trHeight w:val="275"/>
        </w:trPr>
        <w:tc>
          <w:tcPr>
            <w:tcW w:w="3410" w:type="dxa"/>
            <w:vMerge/>
            <w:tcBorders>
              <w:top w:val="nil"/>
            </w:tcBorders>
          </w:tcPr>
          <w:p w14:paraId="367ED0BE" w14:textId="77777777" w:rsidR="00365F5B" w:rsidRPr="00C56257" w:rsidRDefault="00365F5B" w:rsidP="00365F5B">
            <w:pPr>
              <w:jc w:val="both"/>
              <w:rPr>
                <w:color w:val="000000" w:themeColor="text1"/>
              </w:rPr>
            </w:pPr>
          </w:p>
        </w:tc>
        <w:tc>
          <w:tcPr>
            <w:tcW w:w="2410" w:type="dxa"/>
          </w:tcPr>
          <w:p w14:paraId="3A1AEC9B" w14:textId="77777777" w:rsidR="00365F5B" w:rsidRPr="007B3C6A" w:rsidRDefault="00365F5B" w:rsidP="007B3C6A">
            <w:pPr>
              <w:pStyle w:val="TableParagraph"/>
              <w:ind w:left="93" w:right="87"/>
              <w:rPr>
                <w:color w:val="000000" w:themeColor="text1"/>
              </w:rPr>
            </w:pPr>
            <w:r w:rsidRPr="007B3C6A">
              <w:rPr>
                <w:color w:val="000000"/>
              </w:rPr>
              <w:t>ROSCI0278</w:t>
            </w:r>
          </w:p>
        </w:tc>
        <w:tc>
          <w:tcPr>
            <w:tcW w:w="3885" w:type="dxa"/>
          </w:tcPr>
          <w:p w14:paraId="35F3B925" w14:textId="77777777" w:rsidR="00365F5B" w:rsidRPr="007B3C6A" w:rsidRDefault="00365F5B" w:rsidP="007B3C6A">
            <w:pPr>
              <w:pStyle w:val="TableParagraph"/>
              <w:ind w:left="91" w:right="79"/>
              <w:rPr>
                <w:color w:val="000000" w:themeColor="text1"/>
              </w:rPr>
            </w:pPr>
            <w:r w:rsidRPr="007B3C6A">
              <w:rPr>
                <w:color w:val="000000"/>
              </w:rPr>
              <w:t>Bordușani - Borcea</w:t>
            </w:r>
          </w:p>
        </w:tc>
      </w:tr>
      <w:tr w:rsidR="00365F5B" w:rsidRPr="00C56257" w14:paraId="2A2433C8" w14:textId="77777777" w:rsidTr="007B3C6A">
        <w:trPr>
          <w:trHeight w:val="275"/>
        </w:trPr>
        <w:tc>
          <w:tcPr>
            <w:tcW w:w="3410" w:type="dxa"/>
            <w:vMerge/>
            <w:tcBorders>
              <w:top w:val="nil"/>
            </w:tcBorders>
          </w:tcPr>
          <w:p w14:paraId="7ED80C46" w14:textId="77777777" w:rsidR="00365F5B" w:rsidRPr="00C56257" w:rsidRDefault="00365F5B" w:rsidP="00365F5B">
            <w:pPr>
              <w:jc w:val="both"/>
              <w:rPr>
                <w:color w:val="000000" w:themeColor="text1"/>
              </w:rPr>
            </w:pPr>
          </w:p>
        </w:tc>
        <w:tc>
          <w:tcPr>
            <w:tcW w:w="2410" w:type="dxa"/>
          </w:tcPr>
          <w:p w14:paraId="415BCE18" w14:textId="77777777" w:rsidR="00365F5B" w:rsidRPr="007B3C6A" w:rsidRDefault="00365F5B" w:rsidP="007B3C6A">
            <w:pPr>
              <w:pStyle w:val="TableParagraph"/>
              <w:ind w:left="93" w:right="87"/>
              <w:rPr>
                <w:color w:val="000000" w:themeColor="text1"/>
              </w:rPr>
            </w:pPr>
            <w:r w:rsidRPr="007B3C6A">
              <w:rPr>
                <w:color w:val="000000"/>
              </w:rPr>
              <w:t>ROSCI0286</w:t>
            </w:r>
          </w:p>
        </w:tc>
        <w:tc>
          <w:tcPr>
            <w:tcW w:w="3885" w:type="dxa"/>
          </w:tcPr>
          <w:p w14:paraId="79FE4183" w14:textId="77777777" w:rsidR="00365F5B" w:rsidRPr="007B3C6A" w:rsidRDefault="00365F5B" w:rsidP="007B3C6A">
            <w:pPr>
              <w:pStyle w:val="TableParagraph"/>
              <w:ind w:left="91" w:right="79"/>
              <w:rPr>
                <w:color w:val="000000" w:themeColor="text1"/>
              </w:rPr>
            </w:pPr>
            <w:r w:rsidRPr="007B3C6A">
              <w:rPr>
                <w:color w:val="000000"/>
              </w:rPr>
              <w:t>Colinele Elanului</w:t>
            </w:r>
          </w:p>
        </w:tc>
      </w:tr>
      <w:tr w:rsidR="00365F5B" w:rsidRPr="00C56257" w14:paraId="15B39430" w14:textId="77777777" w:rsidTr="007B3C6A">
        <w:trPr>
          <w:trHeight w:val="275"/>
        </w:trPr>
        <w:tc>
          <w:tcPr>
            <w:tcW w:w="3410" w:type="dxa"/>
            <w:vMerge/>
            <w:tcBorders>
              <w:top w:val="nil"/>
            </w:tcBorders>
          </w:tcPr>
          <w:p w14:paraId="49E3366E" w14:textId="77777777" w:rsidR="00365F5B" w:rsidRPr="00C56257" w:rsidRDefault="00365F5B" w:rsidP="00365F5B">
            <w:pPr>
              <w:jc w:val="both"/>
              <w:rPr>
                <w:color w:val="000000" w:themeColor="text1"/>
              </w:rPr>
            </w:pPr>
          </w:p>
        </w:tc>
        <w:tc>
          <w:tcPr>
            <w:tcW w:w="2410" w:type="dxa"/>
          </w:tcPr>
          <w:p w14:paraId="2CABEB56" w14:textId="77777777" w:rsidR="00365F5B" w:rsidRPr="007B3C6A" w:rsidRDefault="00365F5B" w:rsidP="007B3C6A">
            <w:pPr>
              <w:pStyle w:val="TableParagraph"/>
              <w:ind w:left="93" w:right="87"/>
              <w:rPr>
                <w:color w:val="000000" w:themeColor="text1"/>
              </w:rPr>
            </w:pPr>
            <w:r w:rsidRPr="007B3C6A">
              <w:rPr>
                <w:color w:val="000000"/>
              </w:rPr>
              <w:t>ROSCI0301</w:t>
            </w:r>
          </w:p>
        </w:tc>
        <w:tc>
          <w:tcPr>
            <w:tcW w:w="3885" w:type="dxa"/>
          </w:tcPr>
          <w:p w14:paraId="5A6FFFC2" w14:textId="77777777" w:rsidR="00365F5B" w:rsidRPr="007B3C6A" w:rsidRDefault="00365F5B" w:rsidP="007B3C6A">
            <w:pPr>
              <w:pStyle w:val="TableParagraph"/>
              <w:ind w:left="89" w:right="85"/>
              <w:rPr>
                <w:color w:val="000000" w:themeColor="text1"/>
              </w:rPr>
            </w:pPr>
            <w:r w:rsidRPr="007B3C6A">
              <w:rPr>
                <w:color w:val="000000"/>
              </w:rPr>
              <w:t>Bogata</w:t>
            </w:r>
          </w:p>
        </w:tc>
      </w:tr>
      <w:tr w:rsidR="00365F5B" w:rsidRPr="00C56257" w14:paraId="700C95E2" w14:textId="77777777" w:rsidTr="007B3C6A">
        <w:trPr>
          <w:trHeight w:val="275"/>
        </w:trPr>
        <w:tc>
          <w:tcPr>
            <w:tcW w:w="3410" w:type="dxa"/>
            <w:vMerge/>
            <w:tcBorders>
              <w:top w:val="nil"/>
            </w:tcBorders>
          </w:tcPr>
          <w:p w14:paraId="2548BFB2" w14:textId="77777777" w:rsidR="00365F5B" w:rsidRPr="00C56257" w:rsidRDefault="00365F5B" w:rsidP="00365F5B">
            <w:pPr>
              <w:jc w:val="both"/>
              <w:rPr>
                <w:color w:val="000000" w:themeColor="text1"/>
              </w:rPr>
            </w:pPr>
          </w:p>
        </w:tc>
        <w:tc>
          <w:tcPr>
            <w:tcW w:w="2410" w:type="dxa"/>
          </w:tcPr>
          <w:p w14:paraId="72EEC35D" w14:textId="77777777" w:rsidR="00365F5B" w:rsidRPr="007B3C6A" w:rsidRDefault="00365F5B" w:rsidP="007B3C6A">
            <w:pPr>
              <w:pStyle w:val="TableParagraph"/>
              <w:ind w:left="93" w:right="87"/>
              <w:rPr>
                <w:color w:val="000000" w:themeColor="text1"/>
              </w:rPr>
            </w:pPr>
            <w:r w:rsidRPr="007B3C6A">
              <w:rPr>
                <w:color w:val="000000"/>
              </w:rPr>
              <w:t>ROSCI0335</w:t>
            </w:r>
          </w:p>
        </w:tc>
        <w:tc>
          <w:tcPr>
            <w:tcW w:w="3885" w:type="dxa"/>
          </w:tcPr>
          <w:p w14:paraId="4CC9AD5D" w14:textId="77777777" w:rsidR="00365F5B" w:rsidRPr="007B3C6A" w:rsidRDefault="00365F5B" w:rsidP="007B3C6A">
            <w:pPr>
              <w:pStyle w:val="TableParagraph"/>
              <w:ind w:left="91" w:right="80"/>
              <w:rPr>
                <w:color w:val="000000" w:themeColor="text1"/>
              </w:rPr>
            </w:pPr>
            <w:r w:rsidRPr="007B3C6A">
              <w:rPr>
                <w:color w:val="000000"/>
              </w:rPr>
              <w:t>Pădurea Dobrina - Huși</w:t>
            </w:r>
          </w:p>
        </w:tc>
      </w:tr>
      <w:tr w:rsidR="00365F5B" w:rsidRPr="00C56257" w14:paraId="6D446E97" w14:textId="77777777" w:rsidTr="007B3C6A">
        <w:trPr>
          <w:trHeight w:val="275"/>
        </w:trPr>
        <w:tc>
          <w:tcPr>
            <w:tcW w:w="3410" w:type="dxa"/>
            <w:vMerge/>
            <w:tcBorders>
              <w:top w:val="nil"/>
            </w:tcBorders>
          </w:tcPr>
          <w:p w14:paraId="2DDEFBC9" w14:textId="77777777" w:rsidR="00365F5B" w:rsidRPr="00C56257" w:rsidRDefault="00365F5B" w:rsidP="00365F5B">
            <w:pPr>
              <w:jc w:val="both"/>
              <w:rPr>
                <w:color w:val="000000" w:themeColor="text1"/>
              </w:rPr>
            </w:pPr>
          </w:p>
        </w:tc>
        <w:tc>
          <w:tcPr>
            <w:tcW w:w="2410" w:type="dxa"/>
          </w:tcPr>
          <w:p w14:paraId="5E6E0B16" w14:textId="77777777" w:rsidR="00365F5B" w:rsidRPr="007B3C6A" w:rsidRDefault="00365F5B" w:rsidP="007B3C6A">
            <w:pPr>
              <w:pStyle w:val="TableParagraph"/>
              <w:ind w:left="93" w:right="87"/>
              <w:rPr>
                <w:color w:val="000000" w:themeColor="text1"/>
              </w:rPr>
            </w:pPr>
            <w:r w:rsidRPr="007B3C6A">
              <w:rPr>
                <w:color w:val="000000"/>
              </w:rPr>
              <w:t>ROSCI0340</w:t>
            </w:r>
          </w:p>
        </w:tc>
        <w:tc>
          <w:tcPr>
            <w:tcW w:w="3885" w:type="dxa"/>
          </w:tcPr>
          <w:p w14:paraId="3EAC2641" w14:textId="77777777" w:rsidR="00365F5B" w:rsidRPr="007B3C6A" w:rsidRDefault="00365F5B" w:rsidP="007B3C6A">
            <w:pPr>
              <w:pStyle w:val="TableParagraph"/>
              <w:ind w:left="91" w:right="82"/>
              <w:rPr>
                <w:color w:val="000000" w:themeColor="text1"/>
              </w:rPr>
            </w:pPr>
            <w:r w:rsidRPr="007B3C6A">
              <w:rPr>
                <w:color w:val="000000"/>
              </w:rPr>
              <w:t>Cuiugiuc</w:t>
            </w:r>
          </w:p>
        </w:tc>
      </w:tr>
      <w:tr w:rsidR="00365F5B" w:rsidRPr="00C56257" w14:paraId="4B26514A" w14:textId="77777777" w:rsidTr="007B3C6A">
        <w:trPr>
          <w:trHeight w:val="275"/>
        </w:trPr>
        <w:tc>
          <w:tcPr>
            <w:tcW w:w="3410" w:type="dxa"/>
            <w:vMerge/>
            <w:tcBorders>
              <w:top w:val="nil"/>
            </w:tcBorders>
          </w:tcPr>
          <w:p w14:paraId="75539508" w14:textId="77777777" w:rsidR="00365F5B" w:rsidRPr="00C56257" w:rsidRDefault="00365F5B" w:rsidP="00365F5B">
            <w:pPr>
              <w:jc w:val="both"/>
              <w:rPr>
                <w:color w:val="000000" w:themeColor="text1"/>
              </w:rPr>
            </w:pPr>
          </w:p>
        </w:tc>
        <w:tc>
          <w:tcPr>
            <w:tcW w:w="2410" w:type="dxa"/>
          </w:tcPr>
          <w:p w14:paraId="22894F9D" w14:textId="77777777" w:rsidR="00365F5B" w:rsidRPr="007B3C6A" w:rsidRDefault="00365F5B" w:rsidP="007B3C6A">
            <w:pPr>
              <w:pStyle w:val="TableParagraph"/>
              <w:ind w:left="93" w:right="87"/>
              <w:rPr>
                <w:color w:val="000000" w:themeColor="text1"/>
              </w:rPr>
            </w:pPr>
            <w:r w:rsidRPr="007B3C6A">
              <w:rPr>
                <w:color w:val="000000"/>
              </w:rPr>
              <w:t>ROSCI0399</w:t>
            </w:r>
          </w:p>
        </w:tc>
        <w:tc>
          <w:tcPr>
            <w:tcW w:w="3885" w:type="dxa"/>
          </w:tcPr>
          <w:p w14:paraId="08C00FAF" w14:textId="77777777" w:rsidR="00365F5B" w:rsidRPr="007B3C6A" w:rsidRDefault="00365F5B" w:rsidP="007B3C6A">
            <w:pPr>
              <w:pStyle w:val="TableParagraph"/>
              <w:ind w:left="91" w:right="80"/>
              <w:rPr>
                <w:color w:val="000000" w:themeColor="text1"/>
              </w:rPr>
            </w:pPr>
            <w:r w:rsidRPr="007B3C6A">
              <w:rPr>
                <w:color w:val="000000"/>
              </w:rPr>
              <w:t>Suharau - Darabani</w:t>
            </w:r>
          </w:p>
        </w:tc>
      </w:tr>
      <w:tr w:rsidR="00365F5B" w:rsidRPr="00C56257" w14:paraId="11A8389F" w14:textId="77777777" w:rsidTr="007B3C6A">
        <w:trPr>
          <w:trHeight w:val="275"/>
        </w:trPr>
        <w:tc>
          <w:tcPr>
            <w:tcW w:w="3410" w:type="dxa"/>
            <w:vMerge/>
            <w:tcBorders>
              <w:top w:val="nil"/>
            </w:tcBorders>
          </w:tcPr>
          <w:p w14:paraId="18095DE0" w14:textId="77777777" w:rsidR="00365F5B" w:rsidRPr="00C56257" w:rsidRDefault="00365F5B" w:rsidP="00365F5B">
            <w:pPr>
              <w:jc w:val="both"/>
              <w:rPr>
                <w:color w:val="000000" w:themeColor="text1"/>
              </w:rPr>
            </w:pPr>
          </w:p>
        </w:tc>
        <w:tc>
          <w:tcPr>
            <w:tcW w:w="2410" w:type="dxa"/>
          </w:tcPr>
          <w:p w14:paraId="3A63139F" w14:textId="77777777" w:rsidR="00365F5B" w:rsidRPr="007B3C6A" w:rsidRDefault="00365F5B" w:rsidP="007B3C6A">
            <w:pPr>
              <w:pStyle w:val="TableParagraph"/>
              <w:ind w:left="93" w:right="87"/>
              <w:rPr>
                <w:color w:val="000000" w:themeColor="text1"/>
              </w:rPr>
            </w:pPr>
            <w:r w:rsidRPr="007B3C6A">
              <w:rPr>
                <w:color w:val="000000"/>
              </w:rPr>
              <w:t>ROSCI0431</w:t>
            </w:r>
          </w:p>
        </w:tc>
        <w:tc>
          <w:tcPr>
            <w:tcW w:w="3885" w:type="dxa"/>
          </w:tcPr>
          <w:p w14:paraId="05F48BEA" w14:textId="77777777" w:rsidR="00365F5B" w:rsidRPr="007B3C6A" w:rsidRDefault="00365F5B" w:rsidP="007B3C6A">
            <w:pPr>
              <w:pStyle w:val="TableParagraph"/>
              <w:ind w:left="91" w:right="79"/>
              <w:rPr>
                <w:color w:val="000000" w:themeColor="text1"/>
              </w:rPr>
            </w:pPr>
            <w:r w:rsidRPr="007B3C6A">
              <w:rPr>
                <w:color w:val="000000"/>
              </w:rPr>
              <w:t>Pajiștile dintre Șeica Mare și Veșeud</w:t>
            </w:r>
          </w:p>
        </w:tc>
      </w:tr>
      <w:tr w:rsidR="008762FD" w:rsidRPr="00C56257" w14:paraId="2F4BACBA" w14:textId="77777777" w:rsidTr="00993B86">
        <w:trPr>
          <w:trHeight w:val="275"/>
        </w:trPr>
        <w:tc>
          <w:tcPr>
            <w:tcW w:w="3410" w:type="dxa"/>
            <w:vMerge w:val="restart"/>
          </w:tcPr>
          <w:p w14:paraId="7D90F078" w14:textId="77777777" w:rsidR="008762FD" w:rsidRPr="00C56257" w:rsidRDefault="008762FD" w:rsidP="00365F5B">
            <w:pPr>
              <w:pStyle w:val="TableParagraph"/>
              <w:jc w:val="both"/>
              <w:rPr>
                <w:color w:val="000000" w:themeColor="text1"/>
                <w:sz w:val="24"/>
                <w:szCs w:val="24"/>
              </w:rPr>
            </w:pPr>
          </w:p>
          <w:p w14:paraId="3C661B16" w14:textId="77777777" w:rsidR="008762FD" w:rsidRPr="00C56257" w:rsidRDefault="008762FD" w:rsidP="00365F5B">
            <w:pPr>
              <w:pStyle w:val="TableParagraph"/>
              <w:jc w:val="both"/>
              <w:rPr>
                <w:color w:val="000000" w:themeColor="text1"/>
                <w:sz w:val="24"/>
                <w:szCs w:val="24"/>
              </w:rPr>
            </w:pPr>
          </w:p>
          <w:p w14:paraId="3429FF9F" w14:textId="77777777" w:rsidR="008762FD" w:rsidRPr="00C56257" w:rsidRDefault="008762FD" w:rsidP="00365F5B">
            <w:pPr>
              <w:pStyle w:val="TableParagraph"/>
              <w:jc w:val="both"/>
              <w:rPr>
                <w:color w:val="000000" w:themeColor="text1"/>
                <w:sz w:val="24"/>
                <w:szCs w:val="24"/>
              </w:rPr>
            </w:pPr>
          </w:p>
          <w:p w14:paraId="4A404E6D" w14:textId="77777777" w:rsidR="008762FD" w:rsidRPr="00C56257" w:rsidRDefault="008762FD" w:rsidP="00365F5B">
            <w:pPr>
              <w:pStyle w:val="TableParagraph"/>
              <w:spacing w:before="1"/>
              <w:jc w:val="both"/>
              <w:rPr>
                <w:color w:val="000000" w:themeColor="text1"/>
                <w:sz w:val="24"/>
                <w:szCs w:val="24"/>
              </w:rPr>
            </w:pPr>
          </w:p>
          <w:p w14:paraId="200D995F" w14:textId="77777777" w:rsidR="008762FD" w:rsidRPr="00C56257" w:rsidRDefault="008762FD" w:rsidP="00365F5B">
            <w:pPr>
              <w:pStyle w:val="TableParagraph"/>
              <w:ind w:left="108"/>
              <w:jc w:val="both"/>
              <w:rPr>
                <w:color w:val="000000" w:themeColor="text1"/>
                <w:sz w:val="24"/>
                <w:szCs w:val="24"/>
              </w:rPr>
            </w:pPr>
            <w:r w:rsidRPr="00C56257">
              <w:rPr>
                <w:color w:val="000000" w:themeColor="text1"/>
                <w:sz w:val="24"/>
                <w:szCs w:val="24"/>
              </w:rPr>
              <w:t>6240*</w:t>
            </w:r>
            <w:r w:rsidRPr="00C56257">
              <w:rPr>
                <w:color w:val="000000" w:themeColor="text1"/>
                <w:spacing w:val="-3"/>
                <w:sz w:val="24"/>
                <w:szCs w:val="24"/>
              </w:rPr>
              <w:t xml:space="preserve"> </w:t>
            </w:r>
            <w:r w:rsidRPr="00C56257">
              <w:rPr>
                <w:color w:val="000000" w:themeColor="text1"/>
                <w:sz w:val="24"/>
                <w:szCs w:val="24"/>
              </w:rPr>
              <w:t>-</w:t>
            </w:r>
            <w:r w:rsidRPr="00C56257">
              <w:rPr>
                <w:color w:val="000000" w:themeColor="text1"/>
                <w:spacing w:val="-4"/>
                <w:sz w:val="24"/>
                <w:szCs w:val="24"/>
              </w:rPr>
              <w:t xml:space="preserve"> </w:t>
            </w:r>
            <w:r w:rsidRPr="00C56257">
              <w:rPr>
                <w:color w:val="000000" w:themeColor="text1"/>
                <w:sz w:val="24"/>
                <w:szCs w:val="24"/>
              </w:rPr>
              <w:t>Pajişti</w:t>
            </w:r>
            <w:r w:rsidRPr="00C56257">
              <w:rPr>
                <w:color w:val="000000" w:themeColor="text1"/>
                <w:spacing w:val="-2"/>
                <w:sz w:val="24"/>
                <w:szCs w:val="24"/>
              </w:rPr>
              <w:t xml:space="preserve"> </w:t>
            </w:r>
            <w:r w:rsidRPr="00C56257">
              <w:rPr>
                <w:color w:val="000000" w:themeColor="text1"/>
                <w:sz w:val="24"/>
                <w:szCs w:val="24"/>
              </w:rPr>
              <w:t>stepice</w:t>
            </w:r>
            <w:r w:rsidRPr="00C56257">
              <w:rPr>
                <w:color w:val="000000" w:themeColor="text1"/>
                <w:spacing w:val="-4"/>
                <w:sz w:val="24"/>
                <w:szCs w:val="24"/>
              </w:rPr>
              <w:t xml:space="preserve"> </w:t>
            </w:r>
            <w:r w:rsidRPr="00C56257">
              <w:rPr>
                <w:color w:val="000000" w:themeColor="text1"/>
                <w:sz w:val="24"/>
                <w:szCs w:val="24"/>
              </w:rPr>
              <w:t>subpanonice</w:t>
            </w:r>
          </w:p>
        </w:tc>
        <w:tc>
          <w:tcPr>
            <w:tcW w:w="2410" w:type="dxa"/>
            <w:vAlign w:val="bottom"/>
          </w:tcPr>
          <w:p w14:paraId="44C188F5" w14:textId="77777777" w:rsidR="008762FD" w:rsidRPr="008762FD" w:rsidRDefault="008762FD" w:rsidP="008762FD">
            <w:pPr>
              <w:pStyle w:val="TableParagraph"/>
              <w:ind w:left="93" w:right="87"/>
              <w:rPr>
                <w:color w:val="000000"/>
              </w:rPr>
            </w:pPr>
            <w:r w:rsidRPr="008762FD">
              <w:rPr>
                <w:color w:val="000000"/>
              </w:rPr>
              <w:t>ROSCI0019</w:t>
            </w:r>
          </w:p>
        </w:tc>
        <w:tc>
          <w:tcPr>
            <w:tcW w:w="3885" w:type="dxa"/>
            <w:vAlign w:val="bottom"/>
          </w:tcPr>
          <w:p w14:paraId="4FB008BA" w14:textId="77777777" w:rsidR="008762FD" w:rsidRPr="008762FD" w:rsidRDefault="008762FD" w:rsidP="008762FD">
            <w:pPr>
              <w:pStyle w:val="TableParagraph"/>
              <w:ind w:left="91" w:right="80"/>
              <w:rPr>
                <w:color w:val="000000"/>
              </w:rPr>
            </w:pPr>
            <w:r w:rsidRPr="008762FD">
              <w:rPr>
                <w:color w:val="000000"/>
              </w:rPr>
              <w:t>Călimani - Gurghiu</w:t>
            </w:r>
          </w:p>
        </w:tc>
      </w:tr>
      <w:tr w:rsidR="008762FD" w:rsidRPr="00C56257" w14:paraId="4D835D23" w14:textId="77777777" w:rsidTr="00993B86">
        <w:trPr>
          <w:trHeight w:val="275"/>
        </w:trPr>
        <w:tc>
          <w:tcPr>
            <w:tcW w:w="3410" w:type="dxa"/>
            <w:vMerge/>
            <w:tcBorders>
              <w:top w:val="nil"/>
            </w:tcBorders>
          </w:tcPr>
          <w:p w14:paraId="052E174B" w14:textId="77777777" w:rsidR="008762FD" w:rsidRPr="00C56257" w:rsidRDefault="008762FD" w:rsidP="00365F5B">
            <w:pPr>
              <w:jc w:val="both"/>
              <w:rPr>
                <w:color w:val="000000" w:themeColor="text1"/>
              </w:rPr>
            </w:pPr>
          </w:p>
        </w:tc>
        <w:tc>
          <w:tcPr>
            <w:tcW w:w="2410" w:type="dxa"/>
            <w:vAlign w:val="bottom"/>
          </w:tcPr>
          <w:p w14:paraId="544042CE" w14:textId="77777777" w:rsidR="008762FD" w:rsidRPr="008762FD" w:rsidRDefault="008762FD" w:rsidP="005D6815">
            <w:pPr>
              <w:pStyle w:val="TableParagraph"/>
              <w:ind w:left="93" w:right="87"/>
              <w:rPr>
                <w:color w:val="000000"/>
              </w:rPr>
            </w:pPr>
            <w:r w:rsidRPr="008762FD">
              <w:rPr>
                <w:color w:val="000000"/>
              </w:rPr>
              <w:t>ROS</w:t>
            </w:r>
            <w:r w:rsidR="005D6815">
              <w:rPr>
                <w:color w:val="000000"/>
              </w:rPr>
              <w:t>AC</w:t>
            </w:r>
            <w:r w:rsidRPr="008762FD">
              <w:rPr>
                <w:color w:val="000000"/>
              </w:rPr>
              <w:t>0035</w:t>
            </w:r>
          </w:p>
        </w:tc>
        <w:tc>
          <w:tcPr>
            <w:tcW w:w="3885" w:type="dxa"/>
            <w:vAlign w:val="bottom"/>
          </w:tcPr>
          <w:p w14:paraId="404FB945" w14:textId="77777777" w:rsidR="008762FD" w:rsidRPr="008762FD" w:rsidRDefault="008762FD" w:rsidP="008762FD">
            <w:pPr>
              <w:pStyle w:val="TableParagraph"/>
              <w:ind w:left="91" w:right="84"/>
              <w:rPr>
                <w:color w:val="000000"/>
              </w:rPr>
            </w:pPr>
            <w:r w:rsidRPr="008762FD">
              <w:rPr>
                <w:color w:val="000000"/>
              </w:rPr>
              <w:t>Cheile Turzii</w:t>
            </w:r>
          </w:p>
        </w:tc>
      </w:tr>
      <w:tr w:rsidR="008762FD" w:rsidRPr="00C56257" w14:paraId="30186AEF" w14:textId="77777777" w:rsidTr="00993B86">
        <w:trPr>
          <w:trHeight w:val="275"/>
        </w:trPr>
        <w:tc>
          <w:tcPr>
            <w:tcW w:w="3410" w:type="dxa"/>
            <w:vMerge/>
            <w:tcBorders>
              <w:top w:val="nil"/>
            </w:tcBorders>
          </w:tcPr>
          <w:p w14:paraId="4398F616" w14:textId="77777777" w:rsidR="008762FD" w:rsidRPr="00C56257" w:rsidRDefault="008762FD" w:rsidP="00365F5B">
            <w:pPr>
              <w:jc w:val="both"/>
              <w:rPr>
                <w:color w:val="000000" w:themeColor="text1"/>
              </w:rPr>
            </w:pPr>
          </w:p>
        </w:tc>
        <w:tc>
          <w:tcPr>
            <w:tcW w:w="2410" w:type="dxa"/>
            <w:vAlign w:val="bottom"/>
          </w:tcPr>
          <w:p w14:paraId="5E2572D2" w14:textId="77777777" w:rsidR="008762FD" w:rsidRPr="008762FD" w:rsidRDefault="008762FD" w:rsidP="008762FD">
            <w:pPr>
              <w:pStyle w:val="TableParagraph"/>
              <w:ind w:left="93" w:right="87"/>
              <w:rPr>
                <w:color w:val="000000"/>
              </w:rPr>
            </w:pPr>
            <w:r w:rsidRPr="008762FD">
              <w:rPr>
                <w:color w:val="000000"/>
              </w:rPr>
              <w:t>ROSCI0040</w:t>
            </w:r>
          </w:p>
        </w:tc>
        <w:tc>
          <w:tcPr>
            <w:tcW w:w="3885" w:type="dxa"/>
            <w:vAlign w:val="bottom"/>
          </w:tcPr>
          <w:p w14:paraId="5DB2D168" w14:textId="77777777" w:rsidR="008762FD" w:rsidRPr="008762FD" w:rsidRDefault="008762FD" w:rsidP="008762FD">
            <w:pPr>
              <w:pStyle w:val="TableParagraph"/>
              <w:ind w:left="91" w:right="80"/>
              <w:rPr>
                <w:color w:val="000000"/>
              </w:rPr>
            </w:pPr>
            <w:r w:rsidRPr="008762FD">
              <w:rPr>
                <w:color w:val="000000"/>
              </w:rPr>
              <w:t>Coasta Lunii</w:t>
            </w:r>
          </w:p>
        </w:tc>
      </w:tr>
      <w:tr w:rsidR="008762FD" w:rsidRPr="00C56257" w14:paraId="6EDC94FB" w14:textId="77777777" w:rsidTr="00993B86">
        <w:trPr>
          <w:trHeight w:val="275"/>
        </w:trPr>
        <w:tc>
          <w:tcPr>
            <w:tcW w:w="3410" w:type="dxa"/>
            <w:vMerge/>
            <w:tcBorders>
              <w:top w:val="nil"/>
            </w:tcBorders>
          </w:tcPr>
          <w:p w14:paraId="33CB18BC" w14:textId="77777777" w:rsidR="008762FD" w:rsidRPr="00C56257" w:rsidRDefault="008762FD" w:rsidP="00365F5B">
            <w:pPr>
              <w:jc w:val="both"/>
              <w:rPr>
                <w:color w:val="000000" w:themeColor="text1"/>
              </w:rPr>
            </w:pPr>
          </w:p>
        </w:tc>
        <w:tc>
          <w:tcPr>
            <w:tcW w:w="2410" w:type="dxa"/>
            <w:vAlign w:val="bottom"/>
          </w:tcPr>
          <w:p w14:paraId="1180A9D5" w14:textId="77777777" w:rsidR="008762FD" w:rsidRPr="008762FD" w:rsidRDefault="008762FD" w:rsidP="008762FD">
            <w:pPr>
              <w:pStyle w:val="TableParagraph"/>
              <w:ind w:left="93" w:right="87"/>
              <w:rPr>
                <w:color w:val="000000"/>
              </w:rPr>
            </w:pPr>
            <w:r w:rsidRPr="008762FD">
              <w:rPr>
                <w:color w:val="000000"/>
              </w:rPr>
              <w:t>ROSCI0079</w:t>
            </w:r>
          </w:p>
        </w:tc>
        <w:tc>
          <w:tcPr>
            <w:tcW w:w="3885" w:type="dxa"/>
            <w:vAlign w:val="bottom"/>
          </w:tcPr>
          <w:p w14:paraId="10001970" w14:textId="77777777" w:rsidR="008762FD" w:rsidRPr="008762FD" w:rsidRDefault="008762FD" w:rsidP="008762FD">
            <w:pPr>
              <w:pStyle w:val="TableParagraph"/>
              <w:ind w:left="91" w:right="82"/>
              <w:rPr>
                <w:color w:val="000000"/>
              </w:rPr>
            </w:pPr>
            <w:r w:rsidRPr="008762FD">
              <w:rPr>
                <w:color w:val="000000"/>
              </w:rPr>
              <w:t>Fânațele de pe Dealul Corhan - Săbed</w:t>
            </w:r>
          </w:p>
        </w:tc>
      </w:tr>
      <w:tr w:rsidR="008762FD" w:rsidRPr="00C56257" w14:paraId="4B6009B2" w14:textId="77777777" w:rsidTr="00993B86">
        <w:trPr>
          <w:trHeight w:val="277"/>
        </w:trPr>
        <w:tc>
          <w:tcPr>
            <w:tcW w:w="3410" w:type="dxa"/>
            <w:vMerge/>
            <w:tcBorders>
              <w:top w:val="nil"/>
            </w:tcBorders>
          </w:tcPr>
          <w:p w14:paraId="1F4C6356" w14:textId="77777777" w:rsidR="008762FD" w:rsidRPr="00C56257" w:rsidRDefault="008762FD" w:rsidP="00365F5B">
            <w:pPr>
              <w:jc w:val="both"/>
              <w:rPr>
                <w:color w:val="000000" w:themeColor="text1"/>
              </w:rPr>
            </w:pPr>
          </w:p>
        </w:tc>
        <w:tc>
          <w:tcPr>
            <w:tcW w:w="2410" w:type="dxa"/>
            <w:vAlign w:val="bottom"/>
          </w:tcPr>
          <w:p w14:paraId="508BA159" w14:textId="77777777" w:rsidR="008762FD" w:rsidRPr="008762FD" w:rsidRDefault="008762FD" w:rsidP="008762FD">
            <w:pPr>
              <w:pStyle w:val="TableParagraph"/>
              <w:ind w:left="93" w:right="87"/>
              <w:rPr>
                <w:color w:val="000000"/>
              </w:rPr>
            </w:pPr>
            <w:r w:rsidRPr="008762FD">
              <w:rPr>
                <w:color w:val="000000"/>
              </w:rPr>
              <w:t>ROSCI0093</w:t>
            </w:r>
          </w:p>
        </w:tc>
        <w:tc>
          <w:tcPr>
            <w:tcW w:w="3885" w:type="dxa"/>
            <w:vAlign w:val="bottom"/>
          </w:tcPr>
          <w:p w14:paraId="17B9BBA3" w14:textId="77777777" w:rsidR="008762FD" w:rsidRPr="008762FD" w:rsidRDefault="008762FD" w:rsidP="008762FD">
            <w:pPr>
              <w:pStyle w:val="TableParagraph"/>
              <w:ind w:left="91" w:right="82"/>
              <w:rPr>
                <w:color w:val="000000"/>
              </w:rPr>
            </w:pPr>
            <w:r w:rsidRPr="008762FD">
              <w:rPr>
                <w:color w:val="000000"/>
              </w:rPr>
              <w:t>Insulele Stepice Șura Mică - Slimnic</w:t>
            </w:r>
          </w:p>
        </w:tc>
      </w:tr>
      <w:tr w:rsidR="008762FD" w:rsidRPr="00C56257" w14:paraId="246E07AF" w14:textId="77777777" w:rsidTr="00993B86">
        <w:trPr>
          <w:trHeight w:val="275"/>
        </w:trPr>
        <w:tc>
          <w:tcPr>
            <w:tcW w:w="3410" w:type="dxa"/>
            <w:vMerge/>
            <w:tcBorders>
              <w:top w:val="nil"/>
            </w:tcBorders>
          </w:tcPr>
          <w:p w14:paraId="3E60D552" w14:textId="77777777" w:rsidR="008762FD" w:rsidRPr="00C56257" w:rsidRDefault="008762FD" w:rsidP="00365F5B">
            <w:pPr>
              <w:jc w:val="both"/>
              <w:rPr>
                <w:color w:val="000000" w:themeColor="text1"/>
              </w:rPr>
            </w:pPr>
          </w:p>
        </w:tc>
        <w:tc>
          <w:tcPr>
            <w:tcW w:w="2410" w:type="dxa"/>
            <w:vAlign w:val="bottom"/>
          </w:tcPr>
          <w:p w14:paraId="23E47498" w14:textId="77777777" w:rsidR="008762FD" w:rsidRPr="008762FD" w:rsidRDefault="008762FD" w:rsidP="005D6815">
            <w:pPr>
              <w:pStyle w:val="TableParagraph"/>
              <w:ind w:left="93" w:right="87"/>
              <w:rPr>
                <w:color w:val="000000"/>
              </w:rPr>
            </w:pPr>
            <w:r w:rsidRPr="008762FD">
              <w:rPr>
                <w:color w:val="000000"/>
              </w:rPr>
              <w:t>ROS</w:t>
            </w:r>
            <w:r w:rsidR="005D6815">
              <w:rPr>
                <w:color w:val="000000"/>
              </w:rPr>
              <w:t>AC</w:t>
            </w:r>
            <w:r w:rsidRPr="008762FD">
              <w:rPr>
                <w:color w:val="000000"/>
              </w:rPr>
              <w:t>0099</w:t>
            </w:r>
          </w:p>
        </w:tc>
        <w:tc>
          <w:tcPr>
            <w:tcW w:w="3885" w:type="dxa"/>
            <w:vAlign w:val="bottom"/>
          </w:tcPr>
          <w:p w14:paraId="0E59C1D7" w14:textId="77777777" w:rsidR="008762FD" w:rsidRPr="008762FD" w:rsidRDefault="008762FD" w:rsidP="008762FD">
            <w:pPr>
              <w:pStyle w:val="TableParagraph"/>
              <w:ind w:left="91" w:right="81"/>
              <w:rPr>
                <w:color w:val="000000"/>
              </w:rPr>
            </w:pPr>
            <w:r w:rsidRPr="008762FD">
              <w:rPr>
                <w:color w:val="000000"/>
              </w:rPr>
              <w:t>Lacul Știucilor - Sic - Puini - Bonțida</w:t>
            </w:r>
          </w:p>
        </w:tc>
      </w:tr>
      <w:tr w:rsidR="008762FD" w:rsidRPr="00C56257" w14:paraId="29332AEB" w14:textId="77777777" w:rsidTr="00993B86">
        <w:trPr>
          <w:trHeight w:val="275"/>
        </w:trPr>
        <w:tc>
          <w:tcPr>
            <w:tcW w:w="3410" w:type="dxa"/>
            <w:vMerge/>
            <w:tcBorders>
              <w:top w:val="nil"/>
            </w:tcBorders>
          </w:tcPr>
          <w:p w14:paraId="2C298F5B" w14:textId="77777777" w:rsidR="008762FD" w:rsidRPr="00C56257" w:rsidRDefault="008762FD" w:rsidP="00365F5B">
            <w:pPr>
              <w:jc w:val="both"/>
              <w:rPr>
                <w:color w:val="000000" w:themeColor="text1"/>
              </w:rPr>
            </w:pPr>
          </w:p>
        </w:tc>
        <w:tc>
          <w:tcPr>
            <w:tcW w:w="2410" w:type="dxa"/>
            <w:vAlign w:val="bottom"/>
          </w:tcPr>
          <w:p w14:paraId="516D542C" w14:textId="77777777" w:rsidR="008762FD" w:rsidRPr="008762FD" w:rsidRDefault="008762FD" w:rsidP="005D6815">
            <w:pPr>
              <w:pStyle w:val="TableParagraph"/>
              <w:ind w:left="93" w:right="87"/>
              <w:rPr>
                <w:color w:val="000000"/>
              </w:rPr>
            </w:pPr>
            <w:r w:rsidRPr="008762FD">
              <w:rPr>
                <w:color w:val="000000"/>
              </w:rPr>
              <w:t>ROS</w:t>
            </w:r>
            <w:r w:rsidR="005D6815">
              <w:rPr>
                <w:color w:val="000000"/>
              </w:rPr>
              <w:t>AC</w:t>
            </w:r>
            <w:r w:rsidRPr="008762FD">
              <w:rPr>
                <w:color w:val="000000"/>
              </w:rPr>
              <w:t>0147</w:t>
            </w:r>
          </w:p>
        </w:tc>
        <w:tc>
          <w:tcPr>
            <w:tcW w:w="3885" w:type="dxa"/>
            <w:vAlign w:val="bottom"/>
          </w:tcPr>
          <w:p w14:paraId="6A430C13" w14:textId="77777777" w:rsidR="008762FD" w:rsidRPr="008762FD" w:rsidRDefault="008762FD" w:rsidP="008762FD">
            <w:pPr>
              <w:pStyle w:val="TableParagraph"/>
              <w:ind w:left="91" w:right="85"/>
              <w:rPr>
                <w:color w:val="000000"/>
              </w:rPr>
            </w:pPr>
            <w:r w:rsidRPr="008762FD">
              <w:rPr>
                <w:color w:val="000000"/>
              </w:rPr>
              <w:t>Pădurea de stejar pufos de la Mirăslău</w:t>
            </w:r>
          </w:p>
        </w:tc>
      </w:tr>
      <w:tr w:rsidR="008762FD" w:rsidRPr="00C56257" w14:paraId="10EE1C90" w14:textId="77777777" w:rsidTr="00993B86">
        <w:trPr>
          <w:trHeight w:val="275"/>
        </w:trPr>
        <w:tc>
          <w:tcPr>
            <w:tcW w:w="3410" w:type="dxa"/>
            <w:vMerge/>
            <w:tcBorders>
              <w:top w:val="nil"/>
            </w:tcBorders>
          </w:tcPr>
          <w:p w14:paraId="2B023012" w14:textId="77777777" w:rsidR="008762FD" w:rsidRPr="00C56257" w:rsidRDefault="008762FD" w:rsidP="00365F5B">
            <w:pPr>
              <w:jc w:val="both"/>
              <w:rPr>
                <w:color w:val="000000" w:themeColor="text1"/>
              </w:rPr>
            </w:pPr>
          </w:p>
        </w:tc>
        <w:tc>
          <w:tcPr>
            <w:tcW w:w="2410" w:type="dxa"/>
            <w:vAlign w:val="bottom"/>
          </w:tcPr>
          <w:p w14:paraId="0DFAECF2" w14:textId="77777777" w:rsidR="008762FD" w:rsidRPr="008762FD" w:rsidRDefault="008762FD" w:rsidP="005D6815">
            <w:pPr>
              <w:pStyle w:val="TableParagraph"/>
              <w:ind w:left="93" w:right="87"/>
              <w:rPr>
                <w:color w:val="000000"/>
              </w:rPr>
            </w:pPr>
            <w:r w:rsidRPr="008762FD">
              <w:rPr>
                <w:color w:val="000000"/>
              </w:rPr>
              <w:t>ROS</w:t>
            </w:r>
            <w:r w:rsidR="005D6815">
              <w:rPr>
                <w:color w:val="000000"/>
              </w:rPr>
              <w:t>AC</w:t>
            </w:r>
            <w:r w:rsidRPr="008762FD">
              <w:rPr>
                <w:color w:val="000000"/>
              </w:rPr>
              <w:t>0187</w:t>
            </w:r>
          </w:p>
        </w:tc>
        <w:tc>
          <w:tcPr>
            <w:tcW w:w="3885" w:type="dxa"/>
            <w:vAlign w:val="bottom"/>
          </w:tcPr>
          <w:p w14:paraId="6E60C18C" w14:textId="77777777" w:rsidR="008762FD" w:rsidRPr="008762FD" w:rsidRDefault="008762FD" w:rsidP="008762FD">
            <w:pPr>
              <w:pStyle w:val="TableParagraph"/>
              <w:ind w:left="91" w:right="84"/>
              <w:rPr>
                <w:color w:val="000000"/>
              </w:rPr>
            </w:pPr>
            <w:r w:rsidRPr="008762FD">
              <w:rPr>
                <w:color w:val="000000"/>
              </w:rPr>
              <w:t>Pajiștile lui Suciu</w:t>
            </w:r>
          </w:p>
        </w:tc>
      </w:tr>
      <w:tr w:rsidR="008762FD" w:rsidRPr="00C56257" w14:paraId="59632E1A" w14:textId="77777777" w:rsidTr="00993B86">
        <w:trPr>
          <w:trHeight w:val="275"/>
        </w:trPr>
        <w:tc>
          <w:tcPr>
            <w:tcW w:w="3410" w:type="dxa"/>
            <w:vMerge/>
            <w:tcBorders>
              <w:top w:val="nil"/>
            </w:tcBorders>
          </w:tcPr>
          <w:p w14:paraId="19CA67CD" w14:textId="77777777" w:rsidR="008762FD" w:rsidRPr="00C56257" w:rsidRDefault="008762FD" w:rsidP="00365F5B">
            <w:pPr>
              <w:jc w:val="both"/>
              <w:rPr>
                <w:color w:val="000000" w:themeColor="text1"/>
              </w:rPr>
            </w:pPr>
          </w:p>
        </w:tc>
        <w:tc>
          <w:tcPr>
            <w:tcW w:w="2410" w:type="dxa"/>
            <w:vAlign w:val="bottom"/>
          </w:tcPr>
          <w:p w14:paraId="04FCF2C0" w14:textId="77777777" w:rsidR="008762FD" w:rsidRPr="008762FD" w:rsidRDefault="008762FD" w:rsidP="008762FD">
            <w:pPr>
              <w:pStyle w:val="TableParagraph"/>
              <w:ind w:left="93" w:right="87"/>
              <w:rPr>
                <w:color w:val="000000"/>
              </w:rPr>
            </w:pPr>
            <w:r w:rsidRPr="008762FD">
              <w:rPr>
                <w:color w:val="000000"/>
              </w:rPr>
              <w:t>ROSCI0210</w:t>
            </w:r>
          </w:p>
        </w:tc>
        <w:tc>
          <w:tcPr>
            <w:tcW w:w="3885" w:type="dxa"/>
            <w:vAlign w:val="bottom"/>
          </w:tcPr>
          <w:p w14:paraId="76F969F7" w14:textId="77777777" w:rsidR="008762FD" w:rsidRPr="008762FD" w:rsidRDefault="008762FD" w:rsidP="008762FD">
            <w:pPr>
              <w:pStyle w:val="TableParagraph"/>
              <w:ind w:left="91" w:right="84"/>
              <w:rPr>
                <w:color w:val="000000"/>
              </w:rPr>
            </w:pPr>
            <w:r w:rsidRPr="008762FD">
              <w:rPr>
                <w:color w:val="000000"/>
              </w:rPr>
              <w:t>Râpa Lechința</w:t>
            </w:r>
          </w:p>
        </w:tc>
      </w:tr>
      <w:tr w:rsidR="008762FD" w:rsidRPr="00C56257" w14:paraId="467AEF48" w14:textId="77777777" w:rsidTr="00993B86">
        <w:trPr>
          <w:trHeight w:val="278"/>
        </w:trPr>
        <w:tc>
          <w:tcPr>
            <w:tcW w:w="3410" w:type="dxa"/>
            <w:vMerge/>
            <w:tcBorders>
              <w:top w:val="nil"/>
            </w:tcBorders>
          </w:tcPr>
          <w:p w14:paraId="4CEC8192" w14:textId="77777777" w:rsidR="008762FD" w:rsidRPr="00C56257" w:rsidRDefault="008762FD" w:rsidP="00365F5B">
            <w:pPr>
              <w:jc w:val="both"/>
              <w:rPr>
                <w:color w:val="000000" w:themeColor="text1"/>
              </w:rPr>
            </w:pPr>
          </w:p>
        </w:tc>
        <w:tc>
          <w:tcPr>
            <w:tcW w:w="2410" w:type="dxa"/>
            <w:vAlign w:val="bottom"/>
          </w:tcPr>
          <w:p w14:paraId="2833ADFC" w14:textId="77777777" w:rsidR="008762FD" w:rsidRPr="008762FD" w:rsidRDefault="008762FD" w:rsidP="005D6815">
            <w:pPr>
              <w:pStyle w:val="TableParagraph"/>
              <w:ind w:left="93" w:right="87"/>
              <w:rPr>
                <w:color w:val="000000"/>
              </w:rPr>
            </w:pPr>
            <w:r w:rsidRPr="008762FD">
              <w:rPr>
                <w:color w:val="000000"/>
              </w:rPr>
              <w:t>ROS</w:t>
            </w:r>
            <w:r w:rsidR="005D6815">
              <w:rPr>
                <w:color w:val="000000"/>
              </w:rPr>
              <w:t>CI</w:t>
            </w:r>
            <w:r w:rsidRPr="008762FD">
              <w:rPr>
                <w:color w:val="000000"/>
              </w:rPr>
              <w:t>0211</w:t>
            </w:r>
          </w:p>
        </w:tc>
        <w:tc>
          <w:tcPr>
            <w:tcW w:w="3885" w:type="dxa"/>
            <w:vAlign w:val="bottom"/>
          </w:tcPr>
          <w:p w14:paraId="61A65E42" w14:textId="77777777" w:rsidR="008762FD" w:rsidRPr="008762FD" w:rsidRDefault="008762FD" w:rsidP="008762FD">
            <w:pPr>
              <w:pStyle w:val="TableParagraph"/>
              <w:ind w:left="91" w:right="85"/>
              <w:rPr>
                <w:color w:val="000000"/>
              </w:rPr>
            </w:pPr>
            <w:r w:rsidRPr="008762FD">
              <w:rPr>
                <w:color w:val="000000"/>
              </w:rPr>
              <w:t>Podișul Secașelor</w:t>
            </w:r>
          </w:p>
        </w:tc>
      </w:tr>
      <w:tr w:rsidR="008762FD" w:rsidRPr="00C56257" w14:paraId="0D17DA87" w14:textId="77777777" w:rsidTr="00993B86">
        <w:trPr>
          <w:trHeight w:val="276"/>
        </w:trPr>
        <w:tc>
          <w:tcPr>
            <w:tcW w:w="3410" w:type="dxa"/>
            <w:vMerge w:val="restart"/>
          </w:tcPr>
          <w:p w14:paraId="753A66CF" w14:textId="77777777" w:rsidR="008762FD" w:rsidRPr="00C56257" w:rsidRDefault="008762FD" w:rsidP="00365F5B">
            <w:pPr>
              <w:pStyle w:val="TableParagraph"/>
              <w:jc w:val="both"/>
              <w:rPr>
                <w:color w:val="000000" w:themeColor="text1"/>
                <w:sz w:val="24"/>
                <w:szCs w:val="24"/>
              </w:rPr>
            </w:pPr>
          </w:p>
        </w:tc>
        <w:tc>
          <w:tcPr>
            <w:tcW w:w="2410" w:type="dxa"/>
            <w:vAlign w:val="bottom"/>
          </w:tcPr>
          <w:p w14:paraId="5C87023E" w14:textId="77777777" w:rsidR="008762FD" w:rsidRPr="008762FD" w:rsidRDefault="008762FD" w:rsidP="0070304E">
            <w:pPr>
              <w:pStyle w:val="TableParagraph"/>
              <w:ind w:left="93" w:right="87"/>
              <w:rPr>
                <w:color w:val="000000"/>
              </w:rPr>
            </w:pPr>
            <w:r w:rsidRPr="008762FD">
              <w:rPr>
                <w:color w:val="000000"/>
              </w:rPr>
              <w:t>ROS</w:t>
            </w:r>
            <w:r w:rsidR="0070304E">
              <w:rPr>
                <w:color w:val="000000"/>
              </w:rPr>
              <w:t>AC</w:t>
            </w:r>
            <w:r w:rsidRPr="008762FD">
              <w:rPr>
                <w:color w:val="000000"/>
              </w:rPr>
              <w:t>0214</w:t>
            </w:r>
          </w:p>
        </w:tc>
        <w:tc>
          <w:tcPr>
            <w:tcW w:w="3885" w:type="dxa"/>
            <w:vAlign w:val="bottom"/>
          </w:tcPr>
          <w:p w14:paraId="426DE5DB" w14:textId="77777777" w:rsidR="008762FD" w:rsidRPr="008762FD" w:rsidRDefault="008762FD" w:rsidP="008762FD">
            <w:pPr>
              <w:pStyle w:val="TableParagraph"/>
              <w:ind w:left="91" w:right="85"/>
              <w:rPr>
                <w:color w:val="000000"/>
              </w:rPr>
            </w:pPr>
            <w:r w:rsidRPr="008762FD">
              <w:rPr>
                <w:color w:val="000000"/>
              </w:rPr>
              <w:t>Râul Tur</w:t>
            </w:r>
          </w:p>
        </w:tc>
      </w:tr>
      <w:tr w:rsidR="008762FD" w:rsidRPr="00C56257" w14:paraId="14873FC0" w14:textId="77777777" w:rsidTr="00993B86">
        <w:trPr>
          <w:trHeight w:val="275"/>
        </w:trPr>
        <w:tc>
          <w:tcPr>
            <w:tcW w:w="3410" w:type="dxa"/>
            <w:vMerge/>
            <w:tcBorders>
              <w:top w:val="nil"/>
            </w:tcBorders>
          </w:tcPr>
          <w:p w14:paraId="672729F5" w14:textId="77777777" w:rsidR="008762FD" w:rsidRPr="00C56257" w:rsidRDefault="008762FD" w:rsidP="00365F5B">
            <w:pPr>
              <w:jc w:val="both"/>
              <w:rPr>
                <w:color w:val="000000" w:themeColor="text1"/>
              </w:rPr>
            </w:pPr>
          </w:p>
        </w:tc>
        <w:tc>
          <w:tcPr>
            <w:tcW w:w="2410" w:type="dxa"/>
            <w:vAlign w:val="bottom"/>
          </w:tcPr>
          <w:p w14:paraId="64818FB1" w14:textId="77777777" w:rsidR="008762FD" w:rsidRPr="008762FD" w:rsidRDefault="008762FD" w:rsidP="0070304E">
            <w:pPr>
              <w:pStyle w:val="TableParagraph"/>
              <w:ind w:left="93" w:right="87"/>
              <w:rPr>
                <w:color w:val="000000"/>
              </w:rPr>
            </w:pPr>
            <w:r w:rsidRPr="008762FD">
              <w:rPr>
                <w:color w:val="000000"/>
              </w:rPr>
              <w:t>ROS</w:t>
            </w:r>
            <w:r w:rsidR="0070304E">
              <w:rPr>
                <w:color w:val="000000"/>
              </w:rPr>
              <w:t>AC</w:t>
            </w:r>
            <w:r w:rsidRPr="008762FD">
              <w:rPr>
                <w:color w:val="000000"/>
              </w:rPr>
              <w:t>0218</w:t>
            </w:r>
          </w:p>
        </w:tc>
        <w:tc>
          <w:tcPr>
            <w:tcW w:w="3885" w:type="dxa"/>
            <w:vAlign w:val="bottom"/>
          </w:tcPr>
          <w:p w14:paraId="59726486" w14:textId="77777777" w:rsidR="008762FD" w:rsidRPr="008762FD" w:rsidRDefault="008762FD" w:rsidP="008762FD">
            <w:pPr>
              <w:pStyle w:val="TableParagraph"/>
              <w:ind w:left="91" w:right="82"/>
              <w:rPr>
                <w:color w:val="000000"/>
              </w:rPr>
            </w:pPr>
            <w:r w:rsidRPr="008762FD">
              <w:rPr>
                <w:color w:val="000000"/>
              </w:rPr>
              <w:t>Dealul Mocrei - Rovina - Ineu</w:t>
            </w:r>
          </w:p>
        </w:tc>
      </w:tr>
      <w:tr w:rsidR="008762FD" w:rsidRPr="00C56257" w14:paraId="6465FFA0" w14:textId="77777777" w:rsidTr="00993B86">
        <w:trPr>
          <w:trHeight w:val="275"/>
        </w:trPr>
        <w:tc>
          <w:tcPr>
            <w:tcW w:w="3410" w:type="dxa"/>
            <w:vMerge/>
            <w:tcBorders>
              <w:top w:val="nil"/>
            </w:tcBorders>
          </w:tcPr>
          <w:p w14:paraId="23A55EC6" w14:textId="77777777" w:rsidR="008762FD" w:rsidRPr="00C56257" w:rsidRDefault="008762FD" w:rsidP="00365F5B">
            <w:pPr>
              <w:jc w:val="both"/>
              <w:rPr>
                <w:color w:val="000000" w:themeColor="text1"/>
              </w:rPr>
            </w:pPr>
          </w:p>
        </w:tc>
        <w:tc>
          <w:tcPr>
            <w:tcW w:w="2410" w:type="dxa"/>
            <w:vAlign w:val="bottom"/>
          </w:tcPr>
          <w:p w14:paraId="1A31AA59" w14:textId="77777777" w:rsidR="008762FD" w:rsidRPr="008762FD" w:rsidRDefault="008762FD" w:rsidP="0070304E">
            <w:pPr>
              <w:pStyle w:val="TableParagraph"/>
              <w:ind w:left="93" w:right="87"/>
              <w:rPr>
                <w:color w:val="000000"/>
              </w:rPr>
            </w:pPr>
            <w:r w:rsidRPr="008762FD">
              <w:rPr>
                <w:color w:val="000000"/>
              </w:rPr>
              <w:t>ROS</w:t>
            </w:r>
            <w:r w:rsidR="0070304E">
              <w:rPr>
                <w:color w:val="000000"/>
              </w:rPr>
              <w:t>AC</w:t>
            </w:r>
            <w:r w:rsidRPr="008762FD">
              <w:rPr>
                <w:color w:val="000000"/>
              </w:rPr>
              <w:t>0227</w:t>
            </w:r>
          </w:p>
        </w:tc>
        <w:tc>
          <w:tcPr>
            <w:tcW w:w="3885" w:type="dxa"/>
            <w:vAlign w:val="bottom"/>
          </w:tcPr>
          <w:p w14:paraId="7E60D8B1" w14:textId="77777777" w:rsidR="008762FD" w:rsidRPr="008762FD" w:rsidRDefault="008762FD" w:rsidP="008762FD">
            <w:pPr>
              <w:pStyle w:val="TableParagraph"/>
              <w:ind w:left="91" w:right="84"/>
              <w:rPr>
                <w:color w:val="000000"/>
              </w:rPr>
            </w:pPr>
            <w:r w:rsidRPr="008762FD">
              <w:rPr>
                <w:color w:val="000000"/>
              </w:rPr>
              <w:t>Sighișoara - Târnava Mare</w:t>
            </w:r>
          </w:p>
        </w:tc>
      </w:tr>
      <w:tr w:rsidR="008762FD" w:rsidRPr="00C56257" w14:paraId="33A43BF5" w14:textId="77777777" w:rsidTr="00993B86">
        <w:trPr>
          <w:trHeight w:val="277"/>
        </w:trPr>
        <w:tc>
          <w:tcPr>
            <w:tcW w:w="3410" w:type="dxa"/>
            <w:vMerge/>
            <w:tcBorders>
              <w:top w:val="nil"/>
            </w:tcBorders>
          </w:tcPr>
          <w:p w14:paraId="380C8ABF" w14:textId="77777777" w:rsidR="008762FD" w:rsidRPr="00C56257" w:rsidRDefault="008762FD" w:rsidP="00365F5B">
            <w:pPr>
              <w:jc w:val="both"/>
              <w:rPr>
                <w:color w:val="000000" w:themeColor="text1"/>
              </w:rPr>
            </w:pPr>
          </w:p>
        </w:tc>
        <w:tc>
          <w:tcPr>
            <w:tcW w:w="2410" w:type="dxa"/>
            <w:vAlign w:val="bottom"/>
          </w:tcPr>
          <w:p w14:paraId="54339142" w14:textId="77777777" w:rsidR="008762FD" w:rsidRPr="008762FD" w:rsidRDefault="008762FD" w:rsidP="008762FD">
            <w:pPr>
              <w:pStyle w:val="TableParagraph"/>
              <w:ind w:left="93" w:right="87"/>
              <w:rPr>
                <w:color w:val="000000"/>
              </w:rPr>
            </w:pPr>
            <w:r w:rsidRPr="008762FD">
              <w:rPr>
                <w:color w:val="000000"/>
              </w:rPr>
              <w:t>ROSCI0236</w:t>
            </w:r>
          </w:p>
        </w:tc>
        <w:tc>
          <w:tcPr>
            <w:tcW w:w="3885" w:type="dxa"/>
            <w:vAlign w:val="bottom"/>
          </w:tcPr>
          <w:p w14:paraId="595882F1" w14:textId="77777777" w:rsidR="008762FD" w:rsidRPr="008762FD" w:rsidRDefault="008762FD" w:rsidP="008762FD">
            <w:pPr>
              <w:pStyle w:val="TableParagraph"/>
              <w:ind w:left="91" w:right="81"/>
              <w:rPr>
                <w:color w:val="000000"/>
              </w:rPr>
            </w:pPr>
            <w:r w:rsidRPr="008762FD">
              <w:rPr>
                <w:color w:val="000000"/>
              </w:rPr>
              <w:t>Strei - Hațeg</w:t>
            </w:r>
          </w:p>
        </w:tc>
      </w:tr>
      <w:tr w:rsidR="008762FD" w:rsidRPr="00C56257" w14:paraId="3E567C5E" w14:textId="77777777" w:rsidTr="00993B86">
        <w:trPr>
          <w:trHeight w:val="275"/>
        </w:trPr>
        <w:tc>
          <w:tcPr>
            <w:tcW w:w="3410" w:type="dxa"/>
            <w:vMerge/>
            <w:tcBorders>
              <w:top w:val="nil"/>
            </w:tcBorders>
          </w:tcPr>
          <w:p w14:paraId="3E9CE8C4" w14:textId="77777777" w:rsidR="008762FD" w:rsidRPr="00C56257" w:rsidRDefault="008762FD" w:rsidP="00365F5B">
            <w:pPr>
              <w:jc w:val="both"/>
              <w:rPr>
                <w:color w:val="000000" w:themeColor="text1"/>
              </w:rPr>
            </w:pPr>
          </w:p>
        </w:tc>
        <w:tc>
          <w:tcPr>
            <w:tcW w:w="2410" w:type="dxa"/>
            <w:vAlign w:val="bottom"/>
          </w:tcPr>
          <w:p w14:paraId="249A7AFA" w14:textId="77777777" w:rsidR="008762FD" w:rsidRPr="008762FD" w:rsidRDefault="008762FD" w:rsidP="0070304E">
            <w:pPr>
              <w:pStyle w:val="TableParagraph"/>
              <w:ind w:left="93" w:right="87"/>
              <w:rPr>
                <w:color w:val="000000"/>
              </w:rPr>
            </w:pPr>
            <w:r w:rsidRPr="008762FD">
              <w:rPr>
                <w:color w:val="000000"/>
              </w:rPr>
              <w:t>ROS</w:t>
            </w:r>
            <w:r w:rsidR="0070304E">
              <w:rPr>
                <w:color w:val="000000"/>
              </w:rPr>
              <w:t>AC</w:t>
            </w:r>
            <w:r w:rsidRPr="008762FD">
              <w:rPr>
                <w:color w:val="000000"/>
              </w:rPr>
              <w:t>0238</w:t>
            </w:r>
          </w:p>
        </w:tc>
        <w:tc>
          <w:tcPr>
            <w:tcW w:w="3885" w:type="dxa"/>
            <w:vAlign w:val="bottom"/>
          </w:tcPr>
          <w:p w14:paraId="556C7F24" w14:textId="77777777" w:rsidR="008762FD" w:rsidRPr="008762FD" w:rsidRDefault="008762FD" w:rsidP="008762FD">
            <w:pPr>
              <w:pStyle w:val="TableParagraph"/>
              <w:ind w:left="91" w:right="84"/>
              <w:rPr>
                <w:color w:val="000000"/>
              </w:rPr>
            </w:pPr>
            <w:r w:rsidRPr="008762FD">
              <w:rPr>
                <w:color w:val="000000"/>
              </w:rPr>
              <w:t>Suatu - Cojocna - Crairât</w:t>
            </w:r>
          </w:p>
        </w:tc>
      </w:tr>
      <w:tr w:rsidR="008762FD" w:rsidRPr="00C56257" w14:paraId="24E8C5D0" w14:textId="77777777" w:rsidTr="00993B86">
        <w:trPr>
          <w:trHeight w:val="275"/>
        </w:trPr>
        <w:tc>
          <w:tcPr>
            <w:tcW w:w="3410" w:type="dxa"/>
            <w:vMerge/>
            <w:tcBorders>
              <w:top w:val="nil"/>
            </w:tcBorders>
          </w:tcPr>
          <w:p w14:paraId="16EDF865" w14:textId="77777777" w:rsidR="008762FD" w:rsidRPr="00C56257" w:rsidRDefault="008762FD" w:rsidP="00365F5B">
            <w:pPr>
              <w:jc w:val="both"/>
              <w:rPr>
                <w:color w:val="000000" w:themeColor="text1"/>
              </w:rPr>
            </w:pPr>
          </w:p>
        </w:tc>
        <w:tc>
          <w:tcPr>
            <w:tcW w:w="2410" w:type="dxa"/>
            <w:vAlign w:val="bottom"/>
          </w:tcPr>
          <w:p w14:paraId="425EF0CA" w14:textId="77777777" w:rsidR="008762FD" w:rsidRPr="008762FD" w:rsidRDefault="008762FD" w:rsidP="0070304E">
            <w:pPr>
              <w:pStyle w:val="TableParagraph"/>
              <w:ind w:left="93" w:right="87"/>
              <w:rPr>
                <w:color w:val="000000"/>
              </w:rPr>
            </w:pPr>
            <w:r w:rsidRPr="008762FD">
              <w:rPr>
                <w:color w:val="000000"/>
              </w:rPr>
              <w:t>ROS</w:t>
            </w:r>
            <w:r w:rsidR="0070304E">
              <w:rPr>
                <w:color w:val="000000"/>
              </w:rPr>
              <w:t>AC</w:t>
            </w:r>
            <w:r w:rsidRPr="008762FD">
              <w:rPr>
                <w:color w:val="000000"/>
              </w:rPr>
              <w:t>0295</w:t>
            </w:r>
          </w:p>
        </w:tc>
        <w:tc>
          <w:tcPr>
            <w:tcW w:w="3885" w:type="dxa"/>
            <w:vAlign w:val="bottom"/>
          </w:tcPr>
          <w:p w14:paraId="4F4854C4" w14:textId="77777777" w:rsidR="008762FD" w:rsidRPr="008762FD" w:rsidRDefault="008762FD" w:rsidP="008762FD">
            <w:pPr>
              <w:pStyle w:val="TableParagraph"/>
              <w:ind w:left="91" w:right="81"/>
              <w:rPr>
                <w:color w:val="000000"/>
              </w:rPr>
            </w:pPr>
            <w:r w:rsidRPr="008762FD">
              <w:rPr>
                <w:color w:val="000000"/>
              </w:rPr>
              <w:t>Dealurile Clujului de Est</w:t>
            </w:r>
          </w:p>
        </w:tc>
      </w:tr>
      <w:tr w:rsidR="008762FD" w:rsidRPr="00C56257" w14:paraId="1CC87FDA" w14:textId="77777777" w:rsidTr="00993B86">
        <w:trPr>
          <w:trHeight w:val="275"/>
        </w:trPr>
        <w:tc>
          <w:tcPr>
            <w:tcW w:w="3410" w:type="dxa"/>
            <w:vMerge/>
            <w:tcBorders>
              <w:top w:val="nil"/>
            </w:tcBorders>
          </w:tcPr>
          <w:p w14:paraId="10F9718A" w14:textId="77777777" w:rsidR="008762FD" w:rsidRPr="00C56257" w:rsidRDefault="008762FD" w:rsidP="00365F5B">
            <w:pPr>
              <w:jc w:val="both"/>
              <w:rPr>
                <w:color w:val="000000" w:themeColor="text1"/>
              </w:rPr>
            </w:pPr>
          </w:p>
        </w:tc>
        <w:tc>
          <w:tcPr>
            <w:tcW w:w="2410" w:type="dxa"/>
            <w:vAlign w:val="bottom"/>
          </w:tcPr>
          <w:p w14:paraId="4C857EB8" w14:textId="77777777" w:rsidR="008762FD" w:rsidRPr="008762FD" w:rsidRDefault="008762FD" w:rsidP="0070304E">
            <w:pPr>
              <w:pStyle w:val="TableParagraph"/>
              <w:ind w:left="93" w:right="87"/>
              <w:rPr>
                <w:color w:val="000000"/>
              </w:rPr>
            </w:pPr>
            <w:r w:rsidRPr="008762FD">
              <w:rPr>
                <w:color w:val="000000"/>
              </w:rPr>
              <w:t>ROS</w:t>
            </w:r>
            <w:r w:rsidR="0070304E">
              <w:rPr>
                <w:color w:val="000000"/>
              </w:rPr>
              <w:t>AC</w:t>
            </w:r>
            <w:r w:rsidRPr="008762FD">
              <w:rPr>
                <w:color w:val="000000"/>
              </w:rPr>
              <w:t>0297</w:t>
            </w:r>
          </w:p>
        </w:tc>
        <w:tc>
          <w:tcPr>
            <w:tcW w:w="3885" w:type="dxa"/>
            <w:vAlign w:val="bottom"/>
          </w:tcPr>
          <w:p w14:paraId="385B2C8A" w14:textId="77777777" w:rsidR="008762FD" w:rsidRPr="008762FD" w:rsidRDefault="008762FD" w:rsidP="008762FD">
            <w:pPr>
              <w:pStyle w:val="TableParagraph"/>
              <w:ind w:left="91" w:right="79"/>
              <w:rPr>
                <w:color w:val="000000"/>
              </w:rPr>
            </w:pPr>
            <w:r w:rsidRPr="008762FD">
              <w:rPr>
                <w:color w:val="000000"/>
              </w:rPr>
              <w:t>Dealurile Târnavei Mici - Bicheș</w:t>
            </w:r>
          </w:p>
        </w:tc>
      </w:tr>
      <w:tr w:rsidR="008762FD" w:rsidRPr="00C56257" w14:paraId="3432F6B0" w14:textId="77777777" w:rsidTr="00993B86">
        <w:trPr>
          <w:trHeight w:val="275"/>
        </w:trPr>
        <w:tc>
          <w:tcPr>
            <w:tcW w:w="3410" w:type="dxa"/>
            <w:vMerge/>
            <w:tcBorders>
              <w:top w:val="nil"/>
            </w:tcBorders>
          </w:tcPr>
          <w:p w14:paraId="52DDA03E" w14:textId="77777777" w:rsidR="008762FD" w:rsidRPr="00C56257" w:rsidRDefault="008762FD" w:rsidP="00365F5B">
            <w:pPr>
              <w:jc w:val="both"/>
              <w:rPr>
                <w:color w:val="000000" w:themeColor="text1"/>
              </w:rPr>
            </w:pPr>
          </w:p>
        </w:tc>
        <w:tc>
          <w:tcPr>
            <w:tcW w:w="2410" w:type="dxa"/>
            <w:vAlign w:val="bottom"/>
          </w:tcPr>
          <w:p w14:paraId="1B594065" w14:textId="77777777" w:rsidR="008762FD" w:rsidRPr="008762FD" w:rsidRDefault="008762FD" w:rsidP="0070304E">
            <w:pPr>
              <w:pStyle w:val="TableParagraph"/>
              <w:ind w:left="93" w:right="87"/>
              <w:rPr>
                <w:color w:val="000000"/>
              </w:rPr>
            </w:pPr>
            <w:r w:rsidRPr="008762FD">
              <w:rPr>
                <w:color w:val="000000"/>
              </w:rPr>
              <w:t>ROS</w:t>
            </w:r>
            <w:r w:rsidR="0070304E">
              <w:rPr>
                <w:color w:val="000000"/>
              </w:rPr>
              <w:t>AC</w:t>
            </w:r>
            <w:r w:rsidRPr="008762FD">
              <w:rPr>
                <w:color w:val="000000"/>
              </w:rPr>
              <w:t>0300</w:t>
            </w:r>
          </w:p>
        </w:tc>
        <w:tc>
          <w:tcPr>
            <w:tcW w:w="3885" w:type="dxa"/>
            <w:vAlign w:val="bottom"/>
          </w:tcPr>
          <w:p w14:paraId="4A081C50" w14:textId="77777777" w:rsidR="008762FD" w:rsidRPr="008762FD" w:rsidRDefault="008762FD" w:rsidP="008762FD">
            <w:pPr>
              <w:pStyle w:val="TableParagraph"/>
              <w:ind w:left="91" w:right="81"/>
              <w:rPr>
                <w:color w:val="000000"/>
              </w:rPr>
            </w:pPr>
            <w:r w:rsidRPr="008762FD">
              <w:rPr>
                <w:color w:val="000000"/>
              </w:rPr>
              <w:t>Fânațele Pietroasa - Podeni</w:t>
            </w:r>
          </w:p>
        </w:tc>
      </w:tr>
      <w:tr w:rsidR="008762FD" w:rsidRPr="00C56257" w14:paraId="041B7D38" w14:textId="77777777" w:rsidTr="00993B86">
        <w:trPr>
          <w:trHeight w:val="275"/>
        </w:trPr>
        <w:tc>
          <w:tcPr>
            <w:tcW w:w="3410" w:type="dxa"/>
            <w:vMerge/>
            <w:tcBorders>
              <w:top w:val="nil"/>
            </w:tcBorders>
          </w:tcPr>
          <w:p w14:paraId="222E9EAC" w14:textId="77777777" w:rsidR="008762FD" w:rsidRPr="00C56257" w:rsidRDefault="008762FD" w:rsidP="00365F5B">
            <w:pPr>
              <w:jc w:val="both"/>
              <w:rPr>
                <w:color w:val="000000" w:themeColor="text1"/>
              </w:rPr>
            </w:pPr>
          </w:p>
        </w:tc>
        <w:tc>
          <w:tcPr>
            <w:tcW w:w="2410" w:type="dxa"/>
            <w:vAlign w:val="bottom"/>
          </w:tcPr>
          <w:p w14:paraId="7189F310" w14:textId="77777777" w:rsidR="008762FD" w:rsidRPr="008762FD" w:rsidRDefault="008762FD" w:rsidP="008762FD">
            <w:pPr>
              <w:pStyle w:val="TableParagraph"/>
              <w:ind w:left="93" w:right="87"/>
              <w:rPr>
                <w:color w:val="000000"/>
              </w:rPr>
            </w:pPr>
            <w:r w:rsidRPr="008762FD">
              <w:rPr>
                <w:color w:val="000000"/>
              </w:rPr>
              <w:t>ROSCI0301</w:t>
            </w:r>
          </w:p>
        </w:tc>
        <w:tc>
          <w:tcPr>
            <w:tcW w:w="3885" w:type="dxa"/>
            <w:vAlign w:val="bottom"/>
          </w:tcPr>
          <w:p w14:paraId="543EB10F" w14:textId="77777777" w:rsidR="008762FD" w:rsidRPr="008762FD" w:rsidRDefault="008762FD" w:rsidP="008762FD">
            <w:pPr>
              <w:pStyle w:val="TableParagraph"/>
              <w:ind w:left="91" w:right="84"/>
              <w:rPr>
                <w:color w:val="000000"/>
              </w:rPr>
            </w:pPr>
            <w:r w:rsidRPr="008762FD">
              <w:rPr>
                <w:color w:val="000000"/>
              </w:rPr>
              <w:t>Bogata</w:t>
            </w:r>
          </w:p>
        </w:tc>
      </w:tr>
      <w:tr w:rsidR="008762FD" w:rsidRPr="00C56257" w14:paraId="4B5C0606" w14:textId="77777777" w:rsidTr="00993B86">
        <w:trPr>
          <w:trHeight w:val="277"/>
        </w:trPr>
        <w:tc>
          <w:tcPr>
            <w:tcW w:w="3410" w:type="dxa"/>
            <w:vMerge/>
            <w:tcBorders>
              <w:top w:val="nil"/>
            </w:tcBorders>
          </w:tcPr>
          <w:p w14:paraId="2D9F8EFB" w14:textId="77777777" w:rsidR="008762FD" w:rsidRPr="00C56257" w:rsidRDefault="008762FD" w:rsidP="00365F5B">
            <w:pPr>
              <w:jc w:val="both"/>
              <w:rPr>
                <w:color w:val="000000" w:themeColor="text1"/>
              </w:rPr>
            </w:pPr>
          </w:p>
        </w:tc>
        <w:tc>
          <w:tcPr>
            <w:tcW w:w="2410" w:type="dxa"/>
            <w:vAlign w:val="bottom"/>
          </w:tcPr>
          <w:p w14:paraId="5D3D1184" w14:textId="77777777" w:rsidR="008762FD" w:rsidRPr="008762FD" w:rsidRDefault="008762FD" w:rsidP="0070304E">
            <w:pPr>
              <w:pStyle w:val="TableParagraph"/>
              <w:ind w:left="93" w:right="87"/>
              <w:rPr>
                <w:color w:val="000000"/>
              </w:rPr>
            </w:pPr>
            <w:r w:rsidRPr="008762FD">
              <w:rPr>
                <w:color w:val="000000"/>
              </w:rPr>
              <w:t>ROS</w:t>
            </w:r>
            <w:r w:rsidR="0070304E">
              <w:rPr>
                <w:color w:val="000000"/>
              </w:rPr>
              <w:t>AC</w:t>
            </w:r>
            <w:r w:rsidRPr="008762FD">
              <w:rPr>
                <w:color w:val="000000"/>
              </w:rPr>
              <w:t>0322</w:t>
            </w:r>
          </w:p>
        </w:tc>
        <w:tc>
          <w:tcPr>
            <w:tcW w:w="3885" w:type="dxa"/>
            <w:vAlign w:val="bottom"/>
          </w:tcPr>
          <w:p w14:paraId="0AD5E918" w14:textId="77777777" w:rsidR="008762FD" w:rsidRPr="008762FD" w:rsidRDefault="008762FD" w:rsidP="008762FD">
            <w:pPr>
              <w:pStyle w:val="TableParagraph"/>
              <w:ind w:left="91" w:right="81"/>
              <w:rPr>
                <w:color w:val="000000"/>
              </w:rPr>
            </w:pPr>
            <w:r w:rsidRPr="008762FD">
              <w:rPr>
                <w:color w:val="000000"/>
              </w:rPr>
              <w:t>Muntele Șes</w:t>
            </w:r>
          </w:p>
        </w:tc>
      </w:tr>
      <w:tr w:rsidR="008762FD" w:rsidRPr="00C56257" w14:paraId="46593719" w14:textId="77777777" w:rsidTr="008762FD">
        <w:trPr>
          <w:trHeight w:val="275"/>
        </w:trPr>
        <w:tc>
          <w:tcPr>
            <w:tcW w:w="3410" w:type="dxa"/>
            <w:vMerge/>
            <w:tcBorders>
              <w:top w:val="nil"/>
            </w:tcBorders>
          </w:tcPr>
          <w:p w14:paraId="245FF8E3" w14:textId="77777777" w:rsidR="008762FD" w:rsidRPr="00C56257" w:rsidRDefault="008762FD" w:rsidP="00365F5B">
            <w:pPr>
              <w:jc w:val="both"/>
              <w:rPr>
                <w:color w:val="000000" w:themeColor="text1"/>
              </w:rPr>
            </w:pPr>
          </w:p>
        </w:tc>
        <w:tc>
          <w:tcPr>
            <w:tcW w:w="2410" w:type="dxa"/>
          </w:tcPr>
          <w:p w14:paraId="10DBD4BD" w14:textId="77777777" w:rsidR="008762FD" w:rsidRPr="008762FD" w:rsidRDefault="008762FD" w:rsidP="008762FD">
            <w:pPr>
              <w:pStyle w:val="TableParagraph"/>
              <w:ind w:left="93" w:right="87"/>
              <w:rPr>
                <w:color w:val="000000"/>
              </w:rPr>
            </w:pPr>
            <w:r w:rsidRPr="008762FD">
              <w:rPr>
                <w:color w:val="000000"/>
              </w:rPr>
              <w:t>ROSCI0331</w:t>
            </w:r>
          </w:p>
        </w:tc>
        <w:tc>
          <w:tcPr>
            <w:tcW w:w="3885" w:type="dxa"/>
          </w:tcPr>
          <w:p w14:paraId="5C7D19F2" w14:textId="77777777" w:rsidR="008762FD" w:rsidRPr="008762FD" w:rsidRDefault="008762FD" w:rsidP="008762FD">
            <w:pPr>
              <w:pStyle w:val="TableParagraph"/>
              <w:ind w:left="91" w:right="83"/>
              <w:rPr>
                <w:color w:val="000000"/>
              </w:rPr>
            </w:pPr>
            <w:r w:rsidRPr="008762FD">
              <w:rPr>
                <w:color w:val="000000"/>
              </w:rPr>
              <w:t>Pajiștile Balda - Frata - Miheșu de Câmpie</w:t>
            </w:r>
          </w:p>
        </w:tc>
      </w:tr>
      <w:tr w:rsidR="008762FD" w:rsidRPr="00C56257" w14:paraId="43A330AB" w14:textId="77777777" w:rsidTr="00993B86">
        <w:trPr>
          <w:trHeight w:val="276"/>
        </w:trPr>
        <w:tc>
          <w:tcPr>
            <w:tcW w:w="3410" w:type="dxa"/>
            <w:vMerge/>
            <w:tcBorders>
              <w:top w:val="nil"/>
            </w:tcBorders>
          </w:tcPr>
          <w:p w14:paraId="67A3A048" w14:textId="77777777" w:rsidR="008762FD" w:rsidRPr="00C56257" w:rsidRDefault="008762FD" w:rsidP="00365F5B">
            <w:pPr>
              <w:jc w:val="both"/>
              <w:rPr>
                <w:color w:val="000000" w:themeColor="text1"/>
              </w:rPr>
            </w:pPr>
          </w:p>
        </w:tc>
        <w:tc>
          <w:tcPr>
            <w:tcW w:w="2410" w:type="dxa"/>
            <w:vAlign w:val="bottom"/>
          </w:tcPr>
          <w:p w14:paraId="0B48E112" w14:textId="77777777" w:rsidR="008762FD" w:rsidRPr="008762FD" w:rsidRDefault="008762FD" w:rsidP="0070304E">
            <w:pPr>
              <w:pStyle w:val="TableParagraph"/>
              <w:ind w:left="93" w:right="87"/>
              <w:rPr>
                <w:color w:val="000000"/>
              </w:rPr>
            </w:pPr>
            <w:r w:rsidRPr="008762FD">
              <w:rPr>
                <w:color w:val="000000"/>
              </w:rPr>
              <w:t>ROS</w:t>
            </w:r>
            <w:r w:rsidR="0070304E">
              <w:rPr>
                <w:color w:val="000000"/>
              </w:rPr>
              <w:t>AC</w:t>
            </w:r>
            <w:r w:rsidRPr="008762FD">
              <w:rPr>
                <w:color w:val="000000"/>
              </w:rPr>
              <w:t>0333</w:t>
            </w:r>
          </w:p>
        </w:tc>
        <w:tc>
          <w:tcPr>
            <w:tcW w:w="3885" w:type="dxa"/>
            <w:vAlign w:val="bottom"/>
          </w:tcPr>
          <w:p w14:paraId="05EF2D22" w14:textId="77777777" w:rsidR="008762FD" w:rsidRPr="008762FD" w:rsidRDefault="008762FD" w:rsidP="008762FD">
            <w:pPr>
              <w:pStyle w:val="TableParagraph"/>
              <w:ind w:left="91" w:right="85"/>
              <w:rPr>
                <w:color w:val="000000"/>
              </w:rPr>
            </w:pPr>
            <w:r w:rsidRPr="008762FD">
              <w:rPr>
                <w:color w:val="000000"/>
              </w:rPr>
              <w:t>Pajiștile Sărmășel - Milaș - Urmeniș</w:t>
            </w:r>
          </w:p>
        </w:tc>
      </w:tr>
      <w:tr w:rsidR="008762FD" w:rsidRPr="00C56257" w14:paraId="781B9813" w14:textId="77777777" w:rsidTr="00993B86">
        <w:trPr>
          <w:trHeight w:val="275"/>
        </w:trPr>
        <w:tc>
          <w:tcPr>
            <w:tcW w:w="3410" w:type="dxa"/>
            <w:vMerge/>
            <w:tcBorders>
              <w:top w:val="nil"/>
            </w:tcBorders>
          </w:tcPr>
          <w:p w14:paraId="668ED640" w14:textId="77777777" w:rsidR="008762FD" w:rsidRPr="00C56257" w:rsidRDefault="008762FD" w:rsidP="00365F5B">
            <w:pPr>
              <w:jc w:val="both"/>
              <w:rPr>
                <w:color w:val="000000" w:themeColor="text1"/>
              </w:rPr>
            </w:pPr>
          </w:p>
        </w:tc>
        <w:tc>
          <w:tcPr>
            <w:tcW w:w="2410" w:type="dxa"/>
            <w:vAlign w:val="bottom"/>
          </w:tcPr>
          <w:p w14:paraId="10BE560E" w14:textId="77777777" w:rsidR="008762FD" w:rsidRPr="008762FD" w:rsidRDefault="008762FD" w:rsidP="008762FD">
            <w:pPr>
              <w:pStyle w:val="TableParagraph"/>
              <w:ind w:left="93" w:right="87"/>
              <w:rPr>
                <w:color w:val="000000"/>
              </w:rPr>
            </w:pPr>
            <w:r w:rsidRPr="008762FD">
              <w:rPr>
                <w:color w:val="000000"/>
              </w:rPr>
              <w:t>ROSCI0346</w:t>
            </w:r>
          </w:p>
        </w:tc>
        <w:tc>
          <w:tcPr>
            <w:tcW w:w="3885" w:type="dxa"/>
            <w:vAlign w:val="bottom"/>
          </w:tcPr>
          <w:p w14:paraId="70F813C6" w14:textId="77777777" w:rsidR="008762FD" w:rsidRPr="008762FD" w:rsidRDefault="008762FD" w:rsidP="008762FD">
            <w:pPr>
              <w:pStyle w:val="TableParagraph"/>
              <w:ind w:left="91" w:right="81"/>
              <w:rPr>
                <w:color w:val="000000"/>
              </w:rPr>
            </w:pPr>
            <w:r w:rsidRPr="008762FD">
              <w:rPr>
                <w:color w:val="000000"/>
              </w:rPr>
              <w:t>Pajiștea Ciacova</w:t>
            </w:r>
          </w:p>
        </w:tc>
      </w:tr>
      <w:tr w:rsidR="008762FD" w:rsidRPr="00C56257" w14:paraId="13545BE8" w14:textId="77777777" w:rsidTr="00993B86">
        <w:trPr>
          <w:trHeight w:val="275"/>
        </w:trPr>
        <w:tc>
          <w:tcPr>
            <w:tcW w:w="3410" w:type="dxa"/>
            <w:vMerge/>
            <w:tcBorders>
              <w:top w:val="nil"/>
            </w:tcBorders>
          </w:tcPr>
          <w:p w14:paraId="55A60890" w14:textId="77777777" w:rsidR="008762FD" w:rsidRPr="00C56257" w:rsidRDefault="008762FD" w:rsidP="00365F5B">
            <w:pPr>
              <w:jc w:val="both"/>
              <w:rPr>
                <w:color w:val="000000" w:themeColor="text1"/>
              </w:rPr>
            </w:pPr>
          </w:p>
        </w:tc>
        <w:tc>
          <w:tcPr>
            <w:tcW w:w="2410" w:type="dxa"/>
            <w:vAlign w:val="bottom"/>
          </w:tcPr>
          <w:p w14:paraId="5DA3594C" w14:textId="77777777" w:rsidR="008762FD" w:rsidRPr="008762FD" w:rsidRDefault="008762FD" w:rsidP="008762FD">
            <w:pPr>
              <w:pStyle w:val="TableParagraph"/>
              <w:ind w:left="93" w:right="87"/>
              <w:rPr>
                <w:color w:val="000000"/>
              </w:rPr>
            </w:pPr>
            <w:r w:rsidRPr="008762FD">
              <w:rPr>
                <w:color w:val="000000"/>
              </w:rPr>
              <w:t>ROSCI0348</w:t>
            </w:r>
          </w:p>
        </w:tc>
        <w:tc>
          <w:tcPr>
            <w:tcW w:w="3885" w:type="dxa"/>
            <w:vAlign w:val="bottom"/>
          </w:tcPr>
          <w:p w14:paraId="5EA5A268" w14:textId="77777777" w:rsidR="008762FD" w:rsidRPr="008762FD" w:rsidRDefault="008762FD" w:rsidP="008762FD">
            <w:pPr>
              <w:pStyle w:val="TableParagraph"/>
              <w:ind w:left="91" w:right="83"/>
              <w:rPr>
                <w:color w:val="000000"/>
              </w:rPr>
            </w:pPr>
            <w:r w:rsidRPr="008762FD">
              <w:rPr>
                <w:color w:val="000000"/>
              </w:rPr>
              <w:t>Pajiștea Jebel</w:t>
            </w:r>
          </w:p>
        </w:tc>
      </w:tr>
      <w:tr w:rsidR="008762FD" w:rsidRPr="00C56257" w14:paraId="0E70A88B" w14:textId="77777777" w:rsidTr="00993B86">
        <w:trPr>
          <w:trHeight w:val="275"/>
        </w:trPr>
        <w:tc>
          <w:tcPr>
            <w:tcW w:w="3410" w:type="dxa"/>
            <w:vMerge/>
            <w:tcBorders>
              <w:top w:val="nil"/>
            </w:tcBorders>
          </w:tcPr>
          <w:p w14:paraId="26568AE1" w14:textId="77777777" w:rsidR="008762FD" w:rsidRPr="00C56257" w:rsidRDefault="008762FD" w:rsidP="00365F5B">
            <w:pPr>
              <w:jc w:val="both"/>
              <w:rPr>
                <w:color w:val="000000" w:themeColor="text1"/>
              </w:rPr>
            </w:pPr>
          </w:p>
        </w:tc>
        <w:tc>
          <w:tcPr>
            <w:tcW w:w="2410" w:type="dxa"/>
            <w:vAlign w:val="bottom"/>
          </w:tcPr>
          <w:p w14:paraId="611AAB09" w14:textId="77777777" w:rsidR="008762FD" w:rsidRPr="008762FD" w:rsidRDefault="008762FD" w:rsidP="008762FD">
            <w:pPr>
              <w:pStyle w:val="TableParagraph"/>
              <w:ind w:left="93" w:right="87"/>
              <w:rPr>
                <w:color w:val="000000"/>
              </w:rPr>
            </w:pPr>
            <w:r w:rsidRPr="008762FD">
              <w:rPr>
                <w:color w:val="000000"/>
              </w:rPr>
              <w:t>ROSCI0396</w:t>
            </w:r>
          </w:p>
        </w:tc>
        <w:tc>
          <w:tcPr>
            <w:tcW w:w="3885" w:type="dxa"/>
            <w:vAlign w:val="bottom"/>
          </w:tcPr>
          <w:p w14:paraId="5720552E" w14:textId="77777777" w:rsidR="008762FD" w:rsidRPr="008762FD" w:rsidRDefault="008762FD" w:rsidP="008762FD">
            <w:pPr>
              <w:pStyle w:val="TableParagraph"/>
              <w:ind w:left="91" w:right="80"/>
              <w:rPr>
                <w:color w:val="000000"/>
              </w:rPr>
            </w:pPr>
            <w:r w:rsidRPr="008762FD">
              <w:rPr>
                <w:color w:val="000000"/>
              </w:rPr>
              <w:t>Dealul Pădurea Murei - Sângeorzu Nou</w:t>
            </w:r>
          </w:p>
        </w:tc>
      </w:tr>
      <w:tr w:rsidR="008762FD" w:rsidRPr="00C56257" w14:paraId="45FD4017" w14:textId="77777777" w:rsidTr="00993B86">
        <w:trPr>
          <w:trHeight w:val="278"/>
        </w:trPr>
        <w:tc>
          <w:tcPr>
            <w:tcW w:w="3410" w:type="dxa"/>
            <w:vMerge/>
            <w:tcBorders>
              <w:top w:val="nil"/>
            </w:tcBorders>
          </w:tcPr>
          <w:p w14:paraId="12FEA661" w14:textId="77777777" w:rsidR="008762FD" w:rsidRPr="00C56257" w:rsidRDefault="008762FD" w:rsidP="00365F5B">
            <w:pPr>
              <w:jc w:val="both"/>
              <w:rPr>
                <w:color w:val="000000" w:themeColor="text1"/>
              </w:rPr>
            </w:pPr>
          </w:p>
        </w:tc>
        <w:tc>
          <w:tcPr>
            <w:tcW w:w="2410" w:type="dxa"/>
            <w:vAlign w:val="bottom"/>
          </w:tcPr>
          <w:p w14:paraId="4E418E76" w14:textId="77777777" w:rsidR="008762FD" w:rsidRPr="008762FD" w:rsidRDefault="008762FD" w:rsidP="008762FD">
            <w:pPr>
              <w:pStyle w:val="TableParagraph"/>
              <w:ind w:left="93" w:right="87"/>
              <w:rPr>
                <w:color w:val="000000"/>
              </w:rPr>
            </w:pPr>
            <w:r w:rsidRPr="008762FD">
              <w:rPr>
                <w:color w:val="000000"/>
              </w:rPr>
              <w:t>ROSCI0402</w:t>
            </w:r>
          </w:p>
        </w:tc>
        <w:tc>
          <w:tcPr>
            <w:tcW w:w="3885" w:type="dxa"/>
            <w:vAlign w:val="bottom"/>
          </w:tcPr>
          <w:p w14:paraId="440319B0" w14:textId="77777777" w:rsidR="008762FD" w:rsidRPr="008762FD" w:rsidRDefault="008762FD" w:rsidP="008762FD">
            <w:pPr>
              <w:pStyle w:val="TableParagraph"/>
              <w:ind w:left="89" w:right="85"/>
              <w:rPr>
                <w:color w:val="000000"/>
              </w:rPr>
            </w:pPr>
            <w:r w:rsidRPr="008762FD">
              <w:rPr>
                <w:color w:val="000000"/>
              </w:rPr>
              <w:t>Valea din Sânandrei</w:t>
            </w:r>
          </w:p>
        </w:tc>
      </w:tr>
      <w:tr w:rsidR="008762FD" w:rsidRPr="00C56257" w14:paraId="000ECBD8" w14:textId="77777777" w:rsidTr="00993B86">
        <w:trPr>
          <w:trHeight w:val="275"/>
        </w:trPr>
        <w:tc>
          <w:tcPr>
            <w:tcW w:w="3410" w:type="dxa"/>
            <w:vMerge/>
            <w:tcBorders>
              <w:top w:val="nil"/>
            </w:tcBorders>
          </w:tcPr>
          <w:p w14:paraId="1F909351" w14:textId="77777777" w:rsidR="008762FD" w:rsidRPr="00C56257" w:rsidRDefault="008762FD" w:rsidP="00365F5B">
            <w:pPr>
              <w:jc w:val="both"/>
              <w:rPr>
                <w:color w:val="000000" w:themeColor="text1"/>
              </w:rPr>
            </w:pPr>
          </w:p>
        </w:tc>
        <w:tc>
          <w:tcPr>
            <w:tcW w:w="2410" w:type="dxa"/>
            <w:vAlign w:val="bottom"/>
          </w:tcPr>
          <w:p w14:paraId="08703F8E" w14:textId="77777777" w:rsidR="008762FD" w:rsidRPr="008762FD" w:rsidRDefault="008762FD" w:rsidP="008762FD">
            <w:pPr>
              <w:pStyle w:val="TableParagraph"/>
              <w:ind w:left="93" w:right="87"/>
              <w:rPr>
                <w:color w:val="000000"/>
              </w:rPr>
            </w:pPr>
            <w:r w:rsidRPr="008762FD">
              <w:rPr>
                <w:color w:val="000000"/>
              </w:rPr>
              <w:t>ROSCI0408</w:t>
            </w:r>
          </w:p>
        </w:tc>
        <w:tc>
          <w:tcPr>
            <w:tcW w:w="3885" w:type="dxa"/>
            <w:vAlign w:val="bottom"/>
          </w:tcPr>
          <w:p w14:paraId="5542D5BE" w14:textId="77777777" w:rsidR="008762FD" w:rsidRPr="008762FD" w:rsidRDefault="008762FD" w:rsidP="008762FD">
            <w:pPr>
              <w:pStyle w:val="TableParagraph"/>
              <w:ind w:left="91" w:right="83"/>
              <w:rPr>
                <w:color w:val="000000"/>
              </w:rPr>
            </w:pPr>
            <w:r w:rsidRPr="008762FD">
              <w:rPr>
                <w:color w:val="000000"/>
              </w:rPr>
              <w:t>Zau de Câmpie</w:t>
            </w:r>
          </w:p>
        </w:tc>
      </w:tr>
      <w:tr w:rsidR="008762FD" w:rsidRPr="00C56257" w14:paraId="03EB6FAB" w14:textId="77777777" w:rsidTr="00993B86">
        <w:trPr>
          <w:trHeight w:val="275"/>
        </w:trPr>
        <w:tc>
          <w:tcPr>
            <w:tcW w:w="3410" w:type="dxa"/>
            <w:vMerge/>
            <w:tcBorders>
              <w:top w:val="nil"/>
            </w:tcBorders>
          </w:tcPr>
          <w:p w14:paraId="52AECD92" w14:textId="77777777" w:rsidR="008762FD" w:rsidRPr="00C56257" w:rsidRDefault="008762FD" w:rsidP="00365F5B">
            <w:pPr>
              <w:jc w:val="both"/>
              <w:rPr>
                <w:color w:val="000000" w:themeColor="text1"/>
              </w:rPr>
            </w:pPr>
          </w:p>
        </w:tc>
        <w:tc>
          <w:tcPr>
            <w:tcW w:w="2410" w:type="dxa"/>
            <w:vAlign w:val="bottom"/>
          </w:tcPr>
          <w:p w14:paraId="17114B69" w14:textId="77777777" w:rsidR="008762FD" w:rsidRPr="008762FD" w:rsidRDefault="008762FD" w:rsidP="008762FD">
            <w:pPr>
              <w:pStyle w:val="TableParagraph"/>
              <w:ind w:left="93" w:right="87"/>
              <w:rPr>
                <w:color w:val="000000"/>
              </w:rPr>
            </w:pPr>
            <w:r w:rsidRPr="008762FD">
              <w:rPr>
                <w:color w:val="000000"/>
              </w:rPr>
              <w:t>ROSCI0416</w:t>
            </w:r>
          </w:p>
        </w:tc>
        <w:tc>
          <w:tcPr>
            <w:tcW w:w="3885" w:type="dxa"/>
            <w:vAlign w:val="bottom"/>
          </w:tcPr>
          <w:p w14:paraId="0D86B571" w14:textId="77777777" w:rsidR="008762FD" w:rsidRPr="008762FD" w:rsidRDefault="008762FD" w:rsidP="008762FD">
            <w:pPr>
              <w:pStyle w:val="TableParagraph"/>
              <w:ind w:left="91" w:right="79"/>
              <w:rPr>
                <w:color w:val="000000"/>
              </w:rPr>
            </w:pPr>
            <w:r w:rsidRPr="008762FD">
              <w:rPr>
                <w:color w:val="000000"/>
              </w:rPr>
              <w:t>Măgura Bătarci</w:t>
            </w:r>
          </w:p>
        </w:tc>
      </w:tr>
      <w:tr w:rsidR="008762FD" w:rsidRPr="00C56257" w14:paraId="16B70A90" w14:textId="77777777" w:rsidTr="00993B86">
        <w:trPr>
          <w:trHeight w:val="275"/>
        </w:trPr>
        <w:tc>
          <w:tcPr>
            <w:tcW w:w="3410" w:type="dxa"/>
            <w:vMerge/>
            <w:tcBorders>
              <w:top w:val="nil"/>
            </w:tcBorders>
          </w:tcPr>
          <w:p w14:paraId="7A27AEC3" w14:textId="77777777" w:rsidR="008762FD" w:rsidRPr="00C56257" w:rsidRDefault="008762FD" w:rsidP="00365F5B">
            <w:pPr>
              <w:jc w:val="both"/>
              <w:rPr>
                <w:color w:val="000000" w:themeColor="text1"/>
              </w:rPr>
            </w:pPr>
          </w:p>
        </w:tc>
        <w:tc>
          <w:tcPr>
            <w:tcW w:w="2410" w:type="dxa"/>
            <w:vAlign w:val="bottom"/>
          </w:tcPr>
          <w:p w14:paraId="5F685F28" w14:textId="77777777" w:rsidR="008762FD" w:rsidRPr="008762FD" w:rsidRDefault="008762FD" w:rsidP="008762FD">
            <w:pPr>
              <w:pStyle w:val="TableParagraph"/>
              <w:ind w:left="93" w:right="87"/>
              <w:rPr>
                <w:color w:val="000000"/>
              </w:rPr>
            </w:pPr>
            <w:r w:rsidRPr="008762FD">
              <w:rPr>
                <w:color w:val="000000"/>
              </w:rPr>
              <w:t>ROSCI0418</w:t>
            </w:r>
          </w:p>
        </w:tc>
        <w:tc>
          <w:tcPr>
            <w:tcW w:w="3885" w:type="dxa"/>
            <w:vAlign w:val="bottom"/>
          </w:tcPr>
          <w:p w14:paraId="42176629" w14:textId="77777777" w:rsidR="008762FD" w:rsidRPr="008762FD" w:rsidRDefault="008762FD" w:rsidP="008762FD">
            <w:pPr>
              <w:pStyle w:val="TableParagraph"/>
              <w:ind w:left="91" w:right="81"/>
              <w:rPr>
                <w:color w:val="000000"/>
              </w:rPr>
            </w:pPr>
            <w:r w:rsidRPr="008762FD">
              <w:rPr>
                <w:color w:val="000000"/>
              </w:rPr>
              <w:t>Movilele de la Iacobeni</w:t>
            </w:r>
          </w:p>
        </w:tc>
      </w:tr>
      <w:tr w:rsidR="008762FD" w:rsidRPr="00C56257" w14:paraId="272CF28F" w14:textId="77777777" w:rsidTr="00993B86">
        <w:trPr>
          <w:trHeight w:val="275"/>
        </w:trPr>
        <w:tc>
          <w:tcPr>
            <w:tcW w:w="3410" w:type="dxa"/>
            <w:vMerge/>
            <w:tcBorders>
              <w:top w:val="nil"/>
            </w:tcBorders>
          </w:tcPr>
          <w:p w14:paraId="071CFDB9" w14:textId="77777777" w:rsidR="008762FD" w:rsidRPr="00C56257" w:rsidRDefault="008762FD" w:rsidP="00365F5B">
            <w:pPr>
              <w:jc w:val="both"/>
              <w:rPr>
                <w:color w:val="000000" w:themeColor="text1"/>
              </w:rPr>
            </w:pPr>
          </w:p>
        </w:tc>
        <w:tc>
          <w:tcPr>
            <w:tcW w:w="2410" w:type="dxa"/>
            <w:vAlign w:val="bottom"/>
          </w:tcPr>
          <w:p w14:paraId="7E3E59A7" w14:textId="77777777" w:rsidR="008762FD" w:rsidRPr="008762FD" w:rsidRDefault="008762FD" w:rsidP="008762FD">
            <w:pPr>
              <w:pStyle w:val="TableParagraph"/>
              <w:ind w:left="93" w:right="87"/>
              <w:rPr>
                <w:color w:val="000000"/>
              </w:rPr>
            </w:pPr>
            <w:r w:rsidRPr="008762FD">
              <w:rPr>
                <w:color w:val="000000"/>
              </w:rPr>
              <w:t>ROSCI0429</w:t>
            </w:r>
          </w:p>
        </w:tc>
        <w:tc>
          <w:tcPr>
            <w:tcW w:w="3885" w:type="dxa"/>
            <w:vAlign w:val="bottom"/>
          </w:tcPr>
          <w:p w14:paraId="39024564" w14:textId="77777777" w:rsidR="008762FD" w:rsidRPr="008762FD" w:rsidRDefault="008762FD" w:rsidP="008762FD">
            <w:pPr>
              <w:pStyle w:val="TableParagraph"/>
              <w:ind w:left="91" w:right="85"/>
              <w:rPr>
                <w:color w:val="000000"/>
              </w:rPr>
            </w:pPr>
            <w:r w:rsidRPr="008762FD">
              <w:rPr>
                <w:color w:val="000000"/>
              </w:rPr>
              <w:t>Pajiștile de la Moriști și Cojocna</w:t>
            </w:r>
          </w:p>
        </w:tc>
      </w:tr>
      <w:tr w:rsidR="008762FD" w:rsidRPr="00C56257" w14:paraId="1F5F4CE3" w14:textId="77777777" w:rsidTr="00993B86">
        <w:trPr>
          <w:trHeight w:val="275"/>
        </w:trPr>
        <w:tc>
          <w:tcPr>
            <w:tcW w:w="3410" w:type="dxa"/>
            <w:vMerge/>
            <w:tcBorders>
              <w:top w:val="nil"/>
            </w:tcBorders>
          </w:tcPr>
          <w:p w14:paraId="02621AA4" w14:textId="77777777" w:rsidR="008762FD" w:rsidRPr="00C56257" w:rsidRDefault="008762FD" w:rsidP="00365F5B">
            <w:pPr>
              <w:jc w:val="both"/>
              <w:rPr>
                <w:color w:val="000000" w:themeColor="text1"/>
              </w:rPr>
            </w:pPr>
          </w:p>
        </w:tc>
        <w:tc>
          <w:tcPr>
            <w:tcW w:w="2410" w:type="dxa"/>
            <w:vAlign w:val="bottom"/>
          </w:tcPr>
          <w:p w14:paraId="08A4AC05" w14:textId="77777777" w:rsidR="008762FD" w:rsidRPr="008762FD" w:rsidRDefault="008762FD" w:rsidP="008762FD">
            <w:pPr>
              <w:pStyle w:val="TableParagraph"/>
              <w:ind w:left="93" w:right="87"/>
              <w:rPr>
                <w:color w:val="000000"/>
              </w:rPr>
            </w:pPr>
            <w:r w:rsidRPr="008762FD">
              <w:rPr>
                <w:color w:val="000000"/>
              </w:rPr>
              <w:t>ROSCI0430</w:t>
            </w:r>
          </w:p>
        </w:tc>
        <w:tc>
          <w:tcPr>
            <w:tcW w:w="3885" w:type="dxa"/>
            <w:vAlign w:val="bottom"/>
          </w:tcPr>
          <w:p w14:paraId="3067F644" w14:textId="77777777" w:rsidR="008762FD" w:rsidRPr="008762FD" w:rsidRDefault="008762FD" w:rsidP="008762FD">
            <w:pPr>
              <w:pStyle w:val="TableParagraph"/>
              <w:ind w:left="91" w:right="85"/>
              <w:rPr>
                <w:color w:val="000000"/>
              </w:rPr>
            </w:pPr>
            <w:r w:rsidRPr="008762FD">
              <w:rPr>
                <w:color w:val="000000"/>
              </w:rPr>
              <w:t>Pajiștile de la Tiur</w:t>
            </w:r>
          </w:p>
        </w:tc>
      </w:tr>
      <w:tr w:rsidR="008762FD" w:rsidRPr="00C56257" w14:paraId="60E7951F" w14:textId="77777777" w:rsidTr="00993B86">
        <w:trPr>
          <w:trHeight w:val="275"/>
        </w:trPr>
        <w:tc>
          <w:tcPr>
            <w:tcW w:w="3410" w:type="dxa"/>
            <w:vMerge/>
            <w:tcBorders>
              <w:top w:val="nil"/>
            </w:tcBorders>
          </w:tcPr>
          <w:p w14:paraId="261561EB" w14:textId="77777777" w:rsidR="008762FD" w:rsidRPr="00C56257" w:rsidRDefault="008762FD" w:rsidP="00365F5B">
            <w:pPr>
              <w:jc w:val="both"/>
              <w:rPr>
                <w:color w:val="000000" w:themeColor="text1"/>
              </w:rPr>
            </w:pPr>
          </w:p>
        </w:tc>
        <w:tc>
          <w:tcPr>
            <w:tcW w:w="2410" w:type="dxa"/>
            <w:vAlign w:val="bottom"/>
          </w:tcPr>
          <w:p w14:paraId="1D5A2E1B" w14:textId="77777777" w:rsidR="008762FD" w:rsidRPr="008762FD" w:rsidRDefault="008762FD" w:rsidP="008762FD">
            <w:pPr>
              <w:pStyle w:val="TableParagraph"/>
              <w:ind w:left="93" w:right="87"/>
              <w:rPr>
                <w:color w:val="000000"/>
              </w:rPr>
            </w:pPr>
            <w:r w:rsidRPr="008762FD">
              <w:rPr>
                <w:color w:val="000000"/>
              </w:rPr>
              <w:t>ROSCI0431</w:t>
            </w:r>
          </w:p>
        </w:tc>
        <w:tc>
          <w:tcPr>
            <w:tcW w:w="3885" w:type="dxa"/>
            <w:vAlign w:val="bottom"/>
          </w:tcPr>
          <w:p w14:paraId="27A786B5" w14:textId="77777777" w:rsidR="008762FD" w:rsidRPr="008762FD" w:rsidRDefault="008762FD" w:rsidP="008762FD">
            <w:pPr>
              <w:pStyle w:val="TableParagraph"/>
              <w:ind w:left="91" w:right="79"/>
              <w:rPr>
                <w:color w:val="000000"/>
              </w:rPr>
            </w:pPr>
            <w:r w:rsidRPr="008762FD">
              <w:rPr>
                <w:color w:val="000000"/>
              </w:rPr>
              <w:t>Pajiștile dintre Șeica Mare și Veșeud</w:t>
            </w:r>
          </w:p>
        </w:tc>
      </w:tr>
      <w:tr w:rsidR="008F7FDC" w:rsidRPr="00C56257" w14:paraId="082E8601" w14:textId="77777777" w:rsidTr="008F7FDC">
        <w:trPr>
          <w:trHeight w:val="275"/>
        </w:trPr>
        <w:tc>
          <w:tcPr>
            <w:tcW w:w="3410" w:type="dxa"/>
            <w:vMerge w:val="restart"/>
          </w:tcPr>
          <w:p w14:paraId="2F50B3C5" w14:textId="77777777" w:rsidR="008F7FDC" w:rsidRPr="00C56257" w:rsidRDefault="008F7FDC" w:rsidP="00365F5B">
            <w:pPr>
              <w:pStyle w:val="TableParagraph"/>
              <w:jc w:val="both"/>
              <w:rPr>
                <w:color w:val="000000" w:themeColor="text1"/>
                <w:sz w:val="24"/>
                <w:szCs w:val="24"/>
              </w:rPr>
            </w:pPr>
          </w:p>
          <w:p w14:paraId="460D6522" w14:textId="77777777" w:rsidR="008F7FDC" w:rsidRPr="00C56257" w:rsidRDefault="008F7FDC" w:rsidP="00365F5B">
            <w:pPr>
              <w:pStyle w:val="TableParagraph"/>
              <w:jc w:val="both"/>
              <w:rPr>
                <w:color w:val="000000" w:themeColor="text1"/>
                <w:sz w:val="24"/>
                <w:szCs w:val="24"/>
              </w:rPr>
            </w:pPr>
          </w:p>
          <w:p w14:paraId="0AED97A8" w14:textId="77777777" w:rsidR="008F7FDC" w:rsidRPr="00C56257" w:rsidRDefault="008F7FDC" w:rsidP="00365F5B">
            <w:pPr>
              <w:pStyle w:val="TableParagraph"/>
              <w:jc w:val="both"/>
              <w:rPr>
                <w:color w:val="000000" w:themeColor="text1"/>
                <w:sz w:val="24"/>
                <w:szCs w:val="24"/>
              </w:rPr>
            </w:pPr>
          </w:p>
          <w:p w14:paraId="57DFB463" w14:textId="77777777" w:rsidR="008F7FDC" w:rsidRPr="00C56257" w:rsidRDefault="008F7FDC" w:rsidP="00365F5B">
            <w:pPr>
              <w:pStyle w:val="TableParagraph"/>
              <w:jc w:val="both"/>
              <w:rPr>
                <w:color w:val="000000" w:themeColor="text1"/>
                <w:sz w:val="24"/>
                <w:szCs w:val="24"/>
              </w:rPr>
            </w:pPr>
          </w:p>
          <w:p w14:paraId="3C18282F" w14:textId="77777777" w:rsidR="008F7FDC" w:rsidRPr="00C56257" w:rsidRDefault="008F7FDC" w:rsidP="00365F5B">
            <w:pPr>
              <w:pStyle w:val="TableParagraph"/>
              <w:jc w:val="both"/>
              <w:rPr>
                <w:color w:val="000000" w:themeColor="text1"/>
                <w:sz w:val="24"/>
                <w:szCs w:val="24"/>
              </w:rPr>
            </w:pPr>
          </w:p>
          <w:p w14:paraId="05CA7456" w14:textId="77777777" w:rsidR="008F7FDC" w:rsidRPr="00C56257" w:rsidRDefault="008F7FDC" w:rsidP="00365F5B">
            <w:pPr>
              <w:pStyle w:val="TableParagraph"/>
              <w:jc w:val="both"/>
              <w:rPr>
                <w:color w:val="000000" w:themeColor="text1"/>
                <w:sz w:val="24"/>
                <w:szCs w:val="24"/>
              </w:rPr>
            </w:pPr>
          </w:p>
          <w:p w14:paraId="42DDB1E0" w14:textId="77777777" w:rsidR="008F7FDC" w:rsidRPr="00C56257" w:rsidRDefault="008F7FDC" w:rsidP="00365F5B">
            <w:pPr>
              <w:pStyle w:val="TableParagraph"/>
              <w:jc w:val="both"/>
              <w:rPr>
                <w:color w:val="000000" w:themeColor="text1"/>
                <w:sz w:val="24"/>
                <w:szCs w:val="24"/>
              </w:rPr>
            </w:pPr>
          </w:p>
          <w:p w14:paraId="4DFDC5C7" w14:textId="77777777" w:rsidR="008F7FDC" w:rsidRPr="00C56257" w:rsidRDefault="008F7FDC" w:rsidP="00365F5B">
            <w:pPr>
              <w:pStyle w:val="TableParagraph"/>
              <w:jc w:val="both"/>
              <w:rPr>
                <w:color w:val="000000" w:themeColor="text1"/>
                <w:sz w:val="24"/>
                <w:szCs w:val="24"/>
              </w:rPr>
            </w:pPr>
          </w:p>
          <w:p w14:paraId="1B99303F" w14:textId="77777777" w:rsidR="008F7FDC" w:rsidRPr="00C56257" w:rsidRDefault="008F7FDC" w:rsidP="00365F5B">
            <w:pPr>
              <w:pStyle w:val="TableParagraph"/>
              <w:jc w:val="both"/>
              <w:rPr>
                <w:color w:val="000000" w:themeColor="text1"/>
                <w:sz w:val="24"/>
                <w:szCs w:val="24"/>
              </w:rPr>
            </w:pPr>
          </w:p>
          <w:p w14:paraId="5EDCA944" w14:textId="77777777" w:rsidR="008F7FDC" w:rsidRPr="00C56257" w:rsidRDefault="008F7FDC" w:rsidP="00365F5B">
            <w:pPr>
              <w:pStyle w:val="TableParagraph"/>
              <w:jc w:val="both"/>
              <w:rPr>
                <w:color w:val="000000" w:themeColor="text1"/>
                <w:sz w:val="24"/>
                <w:szCs w:val="24"/>
              </w:rPr>
            </w:pPr>
          </w:p>
          <w:p w14:paraId="52568160" w14:textId="77777777" w:rsidR="008F7FDC" w:rsidRPr="00C56257" w:rsidRDefault="008F7FDC" w:rsidP="00365F5B">
            <w:pPr>
              <w:pStyle w:val="TableParagraph"/>
              <w:spacing w:before="3"/>
              <w:jc w:val="both"/>
              <w:rPr>
                <w:color w:val="000000" w:themeColor="text1"/>
                <w:sz w:val="24"/>
                <w:szCs w:val="24"/>
              </w:rPr>
            </w:pPr>
          </w:p>
          <w:p w14:paraId="5BAE1A63" w14:textId="77777777" w:rsidR="008F7FDC" w:rsidRPr="00C56257" w:rsidRDefault="008F7FDC" w:rsidP="00365F5B">
            <w:pPr>
              <w:pStyle w:val="TableParagraph"/>
              <w:ind w:left="108" w:right="249"/>
              <w:jc w:val="both"/>
              <w:rPr>
                <w:color w:val="000000" w:themeColor="text1"/>
                <w:sz w:val="24"/>
                <w:szCs w:val="24"/>
              </w:rPr>
            </w:pPr>
            <w:r w:rsidRPr="00C56257">
              <w:rPr>
                <w:color w:val="000000" w:themeColor="text1"/>
                <w:sz w:val="24"/>
                <w:szCs w:val="24"/>
              </w:rPr>
              <w:t xml:space="preserve">6410 - Pajişti cu </w:t>
            </w:r>
            <w:r w:rsidRPr="00C56257">
              <w:rPr>
                <w:i/>
                <w:color w:val="000000" w:themeColor="text1"/>
                <w:sz w:val="24"/>
                <w:szCs w:val="24"/>
              </w:rPr>
              <w:t xml:space="preserve">Molinia </w:t>
            </w:r>
            <w:r w:rsidRPr="00C56257">
              <w:rPr>
                <w:color w:val="000000" w:themeColor="text1"/>
                <w:sz w:val="24"/>
                <w:szCs w:val="24"/>
              </w:rPr>
              <w:t>pe soluri calcaroase, turboase sau luto-</w:t>
            </w:r>
            <w:r w:rsidRPr="00C56257">
              <w:rPr>
                <w:color w:val="000000" w:themeColor="text1"/>
                <w:spacing w:val="-58"/>
                <w:sz w:val="24"/>
                <w:szCs w:val="24"/>
              </w:rPr>
              <w:t xml:space="preserve"> </w:t>
            </w:r>
            <w:r w:rsidRPr="00C56257">
              <w:rPr>
                <w:color w:val="000000" w:themeColor="text1"/>
                <w:sz w:val="24"/>
                <w:szCs w:val="24"/>
              </w:rPr>
              <w:t>argiloase</w:t>
            </w:r>
            <w:r w:rsidRPr="00C56257">
              <w:rPr>
                <w:color w:val="000000" w:themeColor="text1"/>
                <w:spacing w:val="-2"/>
                <w:sz w:val="24"/>
                <w:szCs w:val="24"/>
              </w:rPr>
              <w:t xml:space="preserve"> </w:t>
            </w:r>
            <w:r w:rsidRPr="00C56257">
              <w:rPr>
                <w:color w:val="000000" w:themeColor="text1"/>
                <w:sz w:val="24"/>
                <w:szCs w:val="24"/>
              </w:rPr>
              <w:t>(</w:t>
            </w:r>
            <w:r w:rsidRPr="00C56257">
              <w:rPr>
                <w:i/>
                <w:color w:val="000000" w:themeColor="text1"/>
                <w:sz w:val="24"/>
                <w:szCs w:val="24"/>
              </w:rPr>
              <w:t>Molinion caeruleae</w:t>
            </w:r>
            <w:r w:rsidRPr="00C56257">
              <w:rPr>
                <w:color w:val="000000" w:themeColor="text1"/>
                <w:sz w:val="24"/>
                <w:szCs w:val="24"/>
              </w:rPr>
              <w:t>)</w:t>
            </w:r>
          </w:p>
        </w:tc>
        <w:tc>
          <w:tcPr>
            <w:tcW w:w="2410" w:type="dxa"/>
          </w:tcPr>
          <w:p w14:paraId="413731FD" w14:textId="77777777" w:rsidR="008F7FDC" w:rsidRPr="008F7FDC" w:rsidRDefault="008F7FDC" w:rsidP="008F7FDC">
            <w:pPr>
              <w:pStyle w:val="TableParagraph"/>
              <w:ind w:left="93" w:right="87"/>
              <w:rPr>
                <w:color w:val="000000" w:themeColor="text1"/>
              </w:rPr>
            </w:pPr>
            <w:r w:rsidRPr="008F7FDC">
              <w:rPr>
                <w:color w:val="000000"/>
              </w:rPr>
              <w:t>ROSCI0002</w:t>
            </w:r>
          </w:p>
        </w:tc>
        <w:tc>
          <w:tcPr>
            <w:tcW w:w="3885" w:type="dxa"/>
          </w:tcPr>
          <w:p w14:paraId="7D859192" w14:textId="77777777" w:rsidR="008F7FDC" w:rsidRPr="008F7FDC" w:rsidRDefault="008F7FDC" w:rsidP="008F7FDC">
            <w:pPr>
              <w:pStyle w:val="TableParagraph"/>
              <w:ind w:left="91" w:right="79"/>
              <w:rPr>
                <w:color w:val="000000" w:themeColor="text1"/>
              </w:rPr>
            </w:pPr>
            <w:r w:rsidRPr="008F7FDC">
              <w:rPr>
                <w:color w:val="000000"/>
              </w:rPr>
              <w:t>Apuseni</w:t>
            </w:r>
          </w:p>
        </w:tc>
      </w:tr>
      <w:tr w:rsidR="008F7FDC" w:rsidRPr="00C56257" w14:paraId="6A8126ED" w14:textId="77777777" w:rsidTr="008F7FDC">
        <w:trPr>
          <w:trHeight w:val="278"/>
        </w:trPr>
        <w:tc>
          <w:tcPr>
            <w:tcW w:w="3410" w:type="dxa"/>
            <w:vMerge/>
            <w:tcBorders>
              <w:top w:val="nil"/>
            </w:tcBorders>
          </w:tcPr>
          <w:p w14:paraId="7BD7807E" w14:textId="77777777" w:rsidR="008F7FDC" w:rsidRPr="00C56257" w:rsidRDefault="008F7FDC" w:rsidP="00365F5B">
            <w:pPr>
              <w:jc w:val="both"/>
              <w:rPr>
                <w:color w:val="000000" w:themeColor="text1"/>
              </w:rPr>
            </w:pPr>
          </w:p>
        </w:tc>
        <w:tc>
          <w:tcPr>
            <w:tcW w:w="2410" w:type="dxa"/>
          </w:tcPr>
          <w:p w14:paraId="15696174" w14:textId="77777777" w:rsidR="008F7FDC" w:rsidRPr="008F7FDC" w:rsidRDefault="008F7FDC" w:rsidP="008F7FDC">
            <w:pPr>
              <w:pStyle w:val="TableParagraph"/>
              <w:spacing w:line="258" w:lineRule="exact"/>
              <w:ind w:left="93" w:right="87"/>
              <w:rPr>
                <w:color w:val="000000" w:themeColor="text1"/>
              </w:rPr>
            </w:pPr>
            <w:r w:rsidRPr="008F7FDC">
              <w:rPr>
                <w:color w:val="000000"/>
              </w:rPr>
              <w:t>ROSCI0006</w:t>
            </w:r>
          </w:p>
        </w:tc>
        <w:tc>
          <w:tcPr>
            <w:tcW w:w="3885" w:type="dxa"/>
          </w:tcPr>
          <w:p w14:paraId="06CC6667" w14:textId="77777777" w:rsidR="008F7FDC" w:rsidRPr="008F7FDC" w:rsidRDefault="008F7FDC" w:rsidP="008F7FDC">
            <w:pPr>
              <w:pStyle w:val="TableParagraph"/>
              <w:spacing w:line="258" w:lineRule="exact"/>
              <w:ind w:left="89" w:right="85"/>
              <w:rPr>
                <w:color w:val="000000" w:themeColor="text1"/>
              </w:rPr>
            </w:pPr>
            <w:r w:rsidRPr="008F7FDC">
              <w:rPr>
                <w:color w:val="000000"/>
              </w:rPr>
              <w:t>Balta Mică a Brăilei</w:t>
            </w:r>
          </w:p>
        </w:tc>
      </w:tr>
      <w:tr w:rsidR="008F7FDC" w:rsidRPr="00C56257" w14:paraId="240978A8" w14:textId="77777777" w:rsidTr="008F7FDC">
        <w:trPr>
          <w:trHeight w:val="275"/>
        </w:trPr>
        <w:tc>
          <w:tcPr>
            <w:tcW w:w="3410" w:type="dxa"/>
            <w:vMerge/>
            <w:tcBorders>
              <w:top w:val="nil"/>
            </w:tcBorders>
          </w:tcPr>
          <w:p w14:paraId="77BF440F" w14:textId="77777777" w:rsidR="008F7FDC" w:rsidRPr="00C56257" w:rsidRDefault="008F7FDC" w:rsidP="00365F5B">
            <w:pPr>
              <w:jc w:val="both"/>
              <w:rPr>
                <w:color w:val="000000" w:themeColor="text1"/>
              </w:rPr>
            </w:pPr>
          </w:p>
        </w:tc>
        <w:tc>
          <w:tcPr>
            <w:tcW w:w="2410" w:type="dxa"/>
          </w:tcPr>
          <w:p w14:paraId="7FA2FE36" w14:textId="77777777" w:rsidR="008F7FDC" w:rsidRPr="008F7FDC" w:rsidRDefault="008F7FDC" w:rsidP="008F7FDC">
            <w:pPr>
              <w:pStyle w:val="TableParagraph"/>
              <w:ind w:left="93" w:right="87"/>
              <w:rPr>
                <w:color w:val="000000" w:themeColor="text1"/>
              </w:rPr>
            </w:pPr>
            <w:r w:rsidRPr="008F7FDC">
              <w:rPr>
                <w:color w:val="000000"/>
              </w:rPr>
              <w:t>ROSCI0007</w:t>
            </w:r>
          </w:p>
        </w:tc>
        <w:tc>
          <w:tcPr>
            <w:tcW w:w="3885" w:type="dxa"/>
          </w:tcPr>
          <w:p w14:paraId="2AFF6D1B" w14:textId="77777777" w:rsidR="008F7FDC" w:rsidRPr="008F7FDC" w:rsidRDefault="008F7FDC" w:rsidP="008F7FDC">
            <w:pPr>
              <w:pStyle w:val="TableParagraph"/>
              <w:ind w:left="91" w:right="85"/>
              <w:rPr>
                <w:color w:val="000000" w:themeColor="text1"/>
              </w:rPr>
            </w:pPr>
            <w:r w:rsidRPr="008F7FDC">
              <w:rPr>
                <w:color w:val="000000"/>
              </w:rPr>
              <w:t>Bazinul Ciucului de Jos</w:t>
            </w:r>
          </w:p>
        </w:tc>
      </w:tr>
      <w:tr w:rsidR="008F7FDC" w:rsidRPr="00C56257" w14:paraId="038630B5" w14:textId="77777777" w:rsidTr="008F7FDC">
        <w:trPr>
          <w:trHeight w:val="275"/>
        </w:trPr>
        <w:tc>
          <w:tcPr>
            <w:tcW w:w="3410" w:type="dxa"/>
            <w:vMerge/>
            <w:tcBorders>
              <w:top w:val="nil"/>
            </w:tcBorders>
          </w:tcPr>
          <w:p w14:paraId="1A668253" w14:textId="77777777" w:rsidR="008F7FDC" w:rsidRPr="00C56257" w:rsidRDefault="008F7FDC" w:rsidP="00365F5B">
            <w:pPr>
              <w:jc w:val="both"/>
              <w:rPr>
                <w:color w:val="000000" w:themeColor="text1"/>
              </w:rPr>
            </w:pPr>
          </w:p>
        </w:tc>
        <w:tc>
          <w:tcPr>
            <w:tcW w:w="2410" w:type="dxa"/>
          </w:tcPr>
          <w:p w14:paraId="69A273F4" w14:textId="77777777" w:rsidR="008F7FDC" w:rsidRPr="008F7FDC" w:rsidRDefault="008F7FDC" w:rsidP="008F7FDC">
            <w:pPr>
              <w:pStyle w:val="TableParagraph"/>
              <w:ind w:left="93" w:right="87"/>
              <w:rPr>
                <w:color w:val="000000" w:themeColor="text1"/>
              </w:rPr>
            </w:pPr>
            <w:r w:rsidRPr="008F7FDC">
              <w:rPr>
                <w:color w:val="000000"/>
              </w:rPr>
              <w:t>ROSCI0019</w:t>
            </w:r>
          </w:p>
        </w:tc>
        <w:tc>
          <w:tcPr>
            <w:tcW w:w="3885" w:type="dxa"/>
          </w:tcPr>
          <w:p w14:paraId="184754A0" w14:textId="77777777" w:rsidR="008F7FDC" w:rsidRPr="008F7FDC" w:rsidRDefault="008F7FDC" w:rsidP="008F7FDC">
            <w:pPr>
              <w:pStyle w:val="TableParagraph"/>
              <w:ind w:left="91" w:right="81"/>
              <w:rPr>
                <w:color w:val="000000" w:themeColor="text1"/>
              </w:rPr>
            </w:pPr>
            <w:r w:rsidRPr="008F7FDC">
              <w:rPr>
                <w:color w:val="000000"/>
              </w:rPr>
              <w:t>Călimani - Gurghiu</w:t>
            </w:r>
          </w:p>
        </w:tc>
      </w:tr>
      <w:tr w:rsidR="008F7FDC" w:rsidRPr="00C56257" w14:paraId="1F8DAB00" w14:textId="77777777" w:rsidTr="008F7FDC">
        <w:trPr>
          <w:trHeight w:val="275"/>
        </w:trPr>
        <w:tc>
          <w:tcPr>
            <w:tcW w:w="3410" w:type="dxa"/>
            <w:vMerge/>
            <w:tcBorders>
              <w:top w:val="nil"/>
            </w:tcBorders>
          </w:tcPr>
          <w:p w14:paraId="4E07342B" w14:textId="77777777" w:rsidR="008F7FDC" w:rsidRPr="00C56257" w:rsidRDefault="008F7FDC" w:rsidP="00365F5B">
            <w:pPr>
              <w:jc w:val="both"/>
              <w:rPr>
                <w:color w:val="000000" w:themeColor="text1"/>
              </w:rPr>
            </w:pPr>
          </w:p>
        </w:tc>
        <w:tc>
          <w:tcPr>
            <w:tcW w:w="2410" w:type="dxa"/>
          </w:tcPr>
          <w:p w14:paraId="05693A1B" w14:textId="77777777" w:rsidR="008F7FDC" w:rsidRPr="008F7FDC" w:rsidRDefault="008F7FDC" w:rsidP="008F7FDC">
            <w:pPr>
              <w:pStyle w:val="TableParagraph"/>
              <w:ind w:left="93" w:right="87"/>
              <w:rPr>
                <w:color w:val="000000" w:themeColor="text1"/>
              </w:rPr>
            </w:pPr>
            <w:r w:rsidRPr="008F7FDC">
              <w:rPr>
                <w:color w:val="000000"/>
              </w:rPr>
              <w:t>ROSCI0020</w:t>
            </w:r>
          </w:p>
        </w:tc>
        <w:tc>
          <w:tcPr>
            <w:tcW w:w="3885" w:type="dxa"/>
          </w:tcPr>
          <w:p w14:paraId="30E6C12D" w14:textId="77777777" w:rsidR="008F7FDC" w:rsidRPr="008F7FDC" w:rsidRDefault="008F7FDC" w:rsidP="008F7FDC">
            <w:pPr>
              <w:pStyle w:val="TableParagraph"/>
              <w:ind w:left="91" w:right="83"/>
              <w:rPr>
                <w:color w:val="000000" w:themeColor="text1"/>
              </w:rPr>
            </w:pPr>
            <w:r w:rsidRPr="008F7FDC">
              <w:rPr>
                <w:color w:val="000000"/>
              </w:rPr>
              <w:t>Câmpia Careiului</w:t>
            </w:r>
          </w:p>
        </w:tc>
      </w:tr>
      <w:tr w:rsidR="008F7FDC" w:rsidRPr="00C56257" w14:paraId="1F7920B4" w14:textId="77777777" w:rsidTr="008F7FDC">
        <w:trPr>
          <w:trHeight w:val="275"/>
        </w:trPr>
        <w:tc>
          <w:tcPr>
            <w:tcW w:w="3410" w:type="dxa"/>
            <w:vMerge/>
            <w:tcBorders>
              <w:top w:val="nil"/>
            </w:tcBorders>
          </w:tcPr>
          <w:p w14:paraId="18E5D5B3" w14:textId="77777777" w:rsidR="008F7FDC" w:rsidRPr="00C56257" w:rsidRDefault="008F7FDC" w:rsidP="00365F5B">
            <w:pPr>
              <w:jc w:val="both"/>
              <w:rPr>
                <w:color w:val="000000" w:themeColor="text1"/>
              </w:rPr>
            </w:pPr>
          </w:p>
        </w:tc>
        <w:tc>
          <w:tcPr>
            <w:tcW w:w="2410" w:type="dxa"/>
          </w:tcPr>
          <w:p w14:paraId="4443FE6E" w14:textId="77777777" w:rsidR="008F7FDC" w:rsidRPr="008F7FDC" w:rsidRDefault="008F7FDC" w:rsidP="008F7FDC">
            <w:pPr>
              <w:pStyle w:val="TableParagraph"/>
              <w:ind w:left="93" w:right="87"/>
              <w:rPr>
                <w:color w:val="000000" w:themeColor="text1"/>
              </w:rPr>
            </w:pPr>
            <w:r w:rsidRPr="008F7FDC">
              <w:rPr>
                <w:color w:val="000000"/>
              </w:rPr>
              <w:t>ROSCI0063</w:t>
            </w:r>
          </w:p>
        </w:tc>
        <w:tc>
          <w:tcPr>
            <w:tcW w:w="3885" w:type="dxa"/>
          </w:tcPr>
          <w:p w14:paraId="7F84A9F5" w14:textId="77777777" w:rsidR="008F7FDC" w:rsidRPr="008F7FDC" w:rsidRDefault="008F7FDC" w:rsidP="008F7FDC">
            <w:pPr>
              <w:pStyle w:val="TableParagraph"/>
              <w:ind w:left="91" w:right="79"/>
              <w:rPr>
                <w:color w:val="000000" w:themeColor="text1"/>
              </w:rPr>
            </w:pPr>
            <w:r w:rsidRPr="008F7FDC">
              <w:rPr>
                <w:color w:val="000000"/>
              </w:rPr>
              <w:t>Defileul Jiului</w:t>
            </w:r>
          </w:p>
        </w:tc>
      </w:tr>
      <w:tr w:rsidR="008F7FDC" w:rsidRPr="00C56257" w14:paraId="36AC7350" w14:textId="77777777" w:rsidTr="008F7FDC">
        <w:trPr>
          <w:trHeight w:val="275"/>
        </w:trPr>
        <w:tc>
          <w:tcPr>
            <w:tcW w:w="3410" w:type="dxa"/>
            <w:vMerge/>
            <w:tcBorders>
              <w:top w:val="nil"/>
            </w:tcBorders>
          </w:tcPr>
          <w:p w14:paraId="04E8673F" w14:textId="77777777" w:rsidR="008F7FDC" w:rsidRPr="00C56257" w:rsidRDefault="008F7FDC" w:rsidP="00365F5B">
            <w:pPr>
              <w:jc w:val="both"/>
              <w:rPr>
                <w:color w:val="000000" w:themeColor="text1"/>
              </w:rPr>
            </w:pPr>
          </w:p>
        </w:tc>
        <w:tc>
          <w:tcPr>
            <w:tcW w:w="2410" w:type="dxa"/>
          </w:tcPr>
          <w:p w14:paraId="62CD84CC" w14:textId="77777777" w:rsidR="008F7FDC" w:rsidRPr="008F7FDC" w:rsidRDefault="008F7FDC" w:rsidP="008F7FDC">
            <w:pPr>
              <w:pStyle w:val="TableParagraph"/>
              <w:ind w:left="93" w:right="87"/>
              <w:rPr>
                <w:color w:val="000000" w:themeColor="text1"/>
              </w:rPr>
            </w:pPr>
            <w:r w:rsidRPr="008F7FDC">
              <w:rPr>
                <w:color w:val="000000"/>
              </w:rPr>
              <w:t>ROSCI0065</w:t>
            </w:r>
          </w:p>
        </w:tc>
        <w:tc>
          <w:tcPr>
            <w:tcW w:w="3885" w:type="dxa"/>
          </w:tcPr>
          <w:p w14:paraId="016C66B2" w14:textId="77777777" w:rsidR="008F7FDC" w:rsidRPr="008F7FDC" w:rsidRDefault="008F7FDC" w:rsidP="008F7FDC">
            <w:pPr>
              <w:pStyle w:val="TableParagraph"/>
              <w:ind w:left="91" w:right="85"/>
              <w:rPr>
                <w:color w:val="000000" w:themeColor="text1"/>
              </w:rPr>
            </w:pPr>
            <w:r w:rsidRPr="008F7FDC">
              <w:rPr>
                <w:color w:val="000000"/>
              </w:rPr>
              <w:t>Delta Dunării</w:t>
            </w:r>
          </w:p>
        </w:tc>
      </w:tr>
      <w:tr w:rsidR="008F7FDC" w:rsidRPr="00C56257" w14:paraId="0B5A0BD3" w14:textId="77777777" w:rsidTr="008F7FDC">
        <w:trPr>
          <w:trHeight w:val="277"/>
        </w:trPr>
        <w:tc>
          <w:tcPr>
            <w:tcW w:w="3410" w:type="dxa"/>
            <w:vMerge/>
            <w:tcBorders>
              <w:top w:val="nil"/>
            </w:tcBorders>
          </w:tcPr>
          <w:p w14:paraId="10D083D5" w14:textId="77777777" w:rsidR="008F7FDC" w:rsidRPr="00C56257" w:rsidRDefault="008F7FDC" w:rsidP="00365F5B">
            <w:pPr>
              <w:jc w:val="both"/>
              <w:rPr>
                <w:color w:val="000000" w:themeColor="text1"/>
              </w:rPr>
            </w:pPr>
          </w:p>
        </w:tc>
        <w:tc>
          <w:tcPr>
            <w:tcW w:w="2410" w:type="dxa"/>
          </w:tcPr>
          <w:p w14:paraId="2A5E3110" w14:textId="77777777" w:rsidR="008F7FDC" w:rsidRPr="008F7FDC" w:rsidRDefault="000521DB" w:rsidP="008F7FDC">
            <w:pPr>
              <w:pStyle w:val="TableParagraph"/>
              <w:spacing w:line="258" w:lineRule="exact"/>
              <w:ind w:left="93" w:right="87"/>
              <w:rPr>
                <w:color w:val="000000" w:themeColor="text1"/>
              </w:rPr>
            </w:pPr>
            <w:r>
              <w:rPr>
                <w:color w:val="000000"/>
              </w:rPr>
              <w:t>ROSAC0069</w:t>
            </w:r>
          </w:p>
        </w:tc>
        <w:tc>
          <w:tcPr>
            <w:tcW w:w="3885" w:type="dxa"/>
          </w:tcPr>
          <w:p w14:paraId="7A8CEC81" w14:textId="77777777" w:rsidR="008F7FDC" w:rsidRPr="008F7FDC" w:rsidRDefault="008F7FDC" w:rsidP="008F7FDC">
            <w:pPr>
              <w:pStyle w:val="TableParagraph"/>
              <w:spacing w:line="258" w:lineRule="exact"/>
              <w:ind w:left="91" w:right="85"/>
              <w:rPr>
                <w:color w:val="000000" w:themeColor="text1"/>
              </w:rPr>
            </w:pPr>
            <w:r w:rsidRPr="008F7FDC">
              <w:rPr>
                <w:color w:val="000000"/>
              </w:rPr>
              <w:t>Domogled - Valea Cernei</w:t>
            </w:r>
          </w:p>
        </w:tc>
      </w:tr>
      <w:tr w:rsidR="008F7FDC" w:rsidRPr="00C56257" w14:paraId="17AB80F4" w14:textId="77777777" w:rsidTr="008F7FDC">
        <w:trPr>
          <w:trHeight w:val="275"/>
        </w:trPr>
        <w:tc>
          <w:tcPr>
            <w:tcW w:w="3410" w:type="dxa"/>
            <w:vMerge/>
            <w:tcBorders>
              <w:top w:val="nil"/>
            </w:tcBorders>
          </w:tcPr>
          <w:p w14:paraId="188453FA" w14:textId="77777777" w:rsidR="008F7FDC" w:rsidRPr="00C56257" w:rsidRDefault="008F7FDC" w:rsidP="00365F5B">
            <w:pPr>
              <w:jc w:val="both"/>
              <w:rPr>
                <w:color w:val="000000" w:themeColor="text1"/>
              </w:rPr>
            </w:pPr>
          </w:p>
        </w:tc>
        <w:tc>
          <w:tcPr>
            <w:tcW w:w="2410" w:type="dxa"/>
          </w:tcPr>
          <w:p w14:paraId="27966BBF" w14:textId="77777777" w:rsidR="008F7FDC" w:rsidRPr="008F7FDC" w:rsidRDefault="008F7FDC" w:rsidP="0070304E">
            <w:pPr>
              <w:pStyle w:val="TableParagraph"/>
              <w:ind w:left="93" w:right="87"/>
              <w:rPr>
                <w:color w:val="000000" w:themeColor="text1"/>
              </w:rPr>
            </w:pPr>
            <w:r w:rsidRPr="008F7FDC">
              <w:rPr>
                <w:color w:val="000000"/>
              </w:rPr>
              <w:t>ROS</w:t>
            </w:r>
            <w:r w:rsidR="0070304E">
              <w:rPr>
                <w:color w:val="000000"/>
              </w:rPr>
              <w:t>AC</w:t>
            </w:r>
            <w:r w:rsidRPr="008F7FDC">
              <w:rPr>
                <w:color w:val="000000"/>
              </w:rPr>
              <w:t>0074</w:t>
            </w:r>
          </w:p>
        </w:tc>
        <w:tc>
          <w:tcPr>
            <w:tcW w:w="3885" w:type="dxa"/>
          </w:tcPr>
          <w:p w14:paraId="50B054A1" w14:textId="77777777" w:rsidR="008F7FDC" w:rsidRPr="008F7FDC" w:rsidRDefault="008F7FDC" w:rsidP="008F7FDC">
            <w:pPr>
              <w:pStyle w:val="TableParagraph"/>
              <w:ind w:left="91" w:right="81"/>
              <w:rPr>
                <w:color w:val="000000" w:themeColor="text1"/>
              </w:rPr>
            </w:pPr>
            <w:r w:rsidRPr="008F7FDC">
              <w:rPr>
                <w:color w:val="000000"/>
              </w:rPr>
              <w:t>Făgetul Clujului - Valea Morii</w:t>
            </w:r>
          </w:p>
        </w:tc>
      </w:tr>
      <w:tr w:rsidR="008F7FDC" w:rsidRPr="00C56257" w14:paraId="2FA7AF32" w14:textId="77777777" w:rsidTr="008F7FDC">
        <w:trPr>
          <w:trHeight w:val="275"/>
        </w:trPr>
        <w:tc>
          <w:tcPr>
            <w:tcW w:w="3410" w:type="dxa"/>
            <w:vMerge/>
            <w:tcBorders>
              <w:top w:val="nil"/>
            </w:tcBorders>
          </w:tcPr>
          <w:p w14:paraId="297EC9AA" w14:textId="77777777" w:rsidR="008F7FDC" w:rsidRPr="00C56257" w:rsidRDefault="008F7FDC" w:rsidP="00365F5B">
            <w:pPr>
              <w:jc w:val="both"/>
              <w:rPr>
                <w:color w:val="000000" w:themeColor="text1"/>
              </w:rPr>
            </w:pPr>
          </w:p>
        </w:tc>
        <w:tc>
          <w:tcPr>
            <w:tcW w:w="2410" w:type="dxa"/>
          </w:tcPr>
          <w:p w14:paraId="000B3B01" w14:textId="77777777" w:rsidR="008F7FDC" w:rsidRPr="008F7FDC" w:rsidRDefault="008F7FDC" w:rsidP="0070304E">
            <w:pPr>
              <w:pStyle w:val="TableParagraph"/>
              <w:ind w:left="93" w:right="87"/>
              <w:rPr>
                <w:color w:val="000000" w:themeColor="text1"/>
              </w:rPr>
            </w:pPr>
            <w:r w:rsidRPr="008F7FDC">
              <w:rPr>
                <w:color w:val="000000"/>
              </w:rPr>
              <w:t>ROS</w:t>
            </w:r>
            <w:r w:rsidR="0070304E">
              <w:rPr>
                <w:color w:val="000000"/>
              </w:rPr>
              <w:t>AC</w:t>
            </w:r>
            <w:r w:rsidRPr="008F7FDC">
              <w:rPr>
                <w:color w:val="000000"/>
              </w:rPr>
              <w:t>0082</w:t>
            </w:r>
          </w:p>
        </w:tc>
        <w:tc>
          <w:tcPr>
            <w:tcW w:w="3885" w:type="dxa"/>
          </w:tcPr>
          <w:p w14:paraId="49E34A56" w14:textId="77777777" w:rsidR="008F7FDC" w:rsidRPr="008F7FDC" w:rsidRDefault="008F7FDC" w:rsidP="008F7FDC">
            <w:pPr>
              <w:pStyle w:val="TableParagraph"/>
              <w:ind w:left="91" w:right="79"/>
              <w:rPr>
                <w:color w:val="000000" w:themeColor="text1"/>
              </w:rPr>
            </w:pPr>
            <w:r w:rsidRPr="008F7FDC">
              <w:rPr>
                <w:color w:val="000000"/>
              </w:rPr>
              <w:t>Fânețele seculare Ponoare</w:t>
            </w:r>
          </w:p>
        </w:tc>
      </w:tr>
      <w:tr w:rsidR="008F7FDC" w:rsidRPr="00C56257" w14:paraId="47A48714" w14:textId="77777777" w:rsidTr="008F7FDC">
        <w:trPr>
          <w:trHeight w:val="275"/>
        </w:trPr>
        <w:tc>
          <w:tcPr>
            <w:tcW w:w="3410" w:type="dxa"/>
            <w:vMerge/>
            <w:tcBorders>
              <w:top w:val="nil"/>
            </w:tcBorders>
          </w:tcPr>
          <w:p w14:paraId="4EF8CC22" w14:textId="77777777" w:rsidR="008F7FDC" w:rsidRPr="00C56257" w:rsidRDefault="008F7FDC" w:rsidP="00365F5B">
            <w:pPr>
              <w:jc w:val="both"/>
              <w:rPr>
                <w:color w:val="000000" w:themeColor="text1"/>
              </w:rPr>
            </w:pPr>
          </w:p>
        </w:tc>
        <w:tc>
          <w:tcPr>
            <w:tcW w:w="2410" w:type="dxa"/>
          </w:tcPr>
          <w:p w14:paraId="39BC0C51" w14:textId="77777777" w:rsidR="008F7FDC" w:rsidRPr="008F7FDC" w:rsidRDefault="008F7FDC" w:rsidP="0070304E">
            <w:pPr>
              <w:pStyle w:val="TableParagraph"/>
              <w:ind w:left="93" w:right="87"/>
              <w:rPr>
                <w:color w:val="000000" w:themeColor="text1"/>
              </w:rPr>
            </w:pPr>
            <w:r w:rsidRPr="008F7FDC">
              <w:rPr>
                <w:color w:val="000000"/>
              </w:rPr>
              <w:t>ROS</w:t>
            </w:r>
            <w:r w:rsidR="0070304E">
              <w:rPr>
                <w:color w:val="000000"/>
              </w:rPr>
              <w:t>AC</w:t>
            </w:r>
            <w:r w:rsidRPr="008F7FDC">
              <w:rPr>
                <w:color w:val="000000"/>
              </w:rPr>
              <w:t>0085</w:t>
            </w:r>
          </w:p>
        </w:tc>
        <w:tc>
          <w:tcPr>
            <w:tcW w:w="3885" w:type="dxa"/>
          </w:tcPr>
          <w:p w14:paraId="7E3162B4" w14:textId="77777777" w:rsidR="008F7FDC" w:rsidRPr="008F7FDC" w:rsidRDefault="008F7FDC" w:rsidP="008F7FDC">
            <w:pPr>
              <w:pStyle w:val="TableParagraph"/>
              <w:ind w:left="91" w:right="80"/>
              <w:rPr>
                <w:color w:val="000000" w:themeColor="text1"/>
              </w:rPr>
            </w:pPr>
            <w:r w:rsidRPr="008F7FDC">
              <w:rPr>
                <w:color w:val="000000"/>
              </w:rPr>
              <w:t>Frumoasa</w:t>
            </w:r>
          </w:p>
        </w:tc>
      </w:tr>
      <w:tr w:rsidR="008F7FDC" w:rsidRPr="00C56257" w14:paraId="0126772C" w14:textId="77777777" w:rsidTr="008F7FDC">
        <w:trPr>
          <w:trHeight w:val="275"/>
        </w:trPr>
        <w:tc>
          <w:tcPr>
            <w:tcW w:w="3410" w:type="dxa"/>
            <w:vMerge/>
            <w:tcBorders>
              <w:top w:val="nil"/>
            </w:tcBorders>
          </w:tcPr>
          <w:p w14:paraId="0DDEF57E" w14:textId="77777777" w:rsidR="008F7FDC" w:rsidRPr="00C56257" w:rsidRDefault="008F7FDC" w:rsidP="00365F5B">
            <w:pPr>
              <w:jc w:val="both"/>
              <w:rPr>
                <w:color w:val="000000" w:themeColor="text1"/>
              </w:rPr>
            </w:pPr>
          </w:p>
        </w:tc>
        <w:tc>
          <w:tcPr>
            <w:tcW w:w="2410" w:type="dxa"/>
          </w:tcPr>
          <w:p w14:paraId="3D7C937A" w14:textId="77777777" w:rsidR="008F7FDC" w:rsidRPr="008F7FDC" w:rsidRDefault="008F7FDC" w:rsidP="008F7FDC">
            <w:pPr>
              <w:pStyle w:val="TableParagraph"/>
              <w:ind w:left="93" w:right="87"/>
              <w:rPr>
                <w:color w:val="000000" w:themeColor="text1"/>
              </w:rPr>
            </w:pPr>
            <w:r w:rsidRPr="008F7FDC">
              <w:rPr>
                <w:color w:val="000000"/>
              </w:rPr>
              <w:t>ROSCI0087</w:t>
            </w:r>
          </w:p>
        </w:tc>
        <w:tc>
          <w:tcPr>
            <w:tcW w:w="3885" w:type="dxa"/>
          </w:tcPr>
          <w:p w14:paraId="6F328BB4" w14:textId="77777777" w:rsidR="008F7FDC" w:rsidRPr="008F7FDC" w:rsidRDefault="008F7FDC" w:rsidP="008F7FDC">
            <w:pPr>
              <w:pStyle w:val="TableParagraph"/>
              <w:ind w:left="91" w:right="81"/>
              <w:rPr>
                <w:color w:val="000000" w:themeColor="text1"/>
              </w:rPr>
            </w:pPr>
            <w:r w:rsidRPr="008F7FDC">
              <w:rPr>
                <w:color w:val="000000"/>
              </w:rPr>
              <w:t>Grădiștea Muncelului - Cioclovina</w:t>
            </w:r>
          </w:p>
        </w:tc>
      </w:tr>
      <w:tr w:rsidR="008F7FDC" w:rsidRPr="00C56257" w14:paraId="2E09BAFF" w14:textId="77777777" w:rsidTr="008F7FDC">
        <w:trPr>
          <w:trHeight w:val="275"/>
        </w:trPr>
        <w:tc>
          <w:tcPr>
            <w:tcW w:w="3410" w:type="dxa"/>
            <w:vMerge/>
            <w:tcBorders>
              <w:top w:val="nil"/>
            </w:tcBorders>
          </w:tcPr>
          <w:p w14:paraId="3BB69359" w14:textId="77777777" w:rsidR="008F7FDC" w:rsidRPr="00C56257" w:rsidRDefault="008F7FDC" w:rsidP="00365F5B">
            <w:pPr>
              <w:jc w:val="both"/>
              <w:rPr>
                <w:color w:val="000000" w:themeColor="text1"/>
              </w:rPr>
            </w:pPr>
          </w:p>
        </w:tc>
        <w:tc>
          <w:tcPr>
            <w:tcW w:w="2410" w:type="dxa"/>
          </w:tcPr>
          <w:p w14:paraId="663F984B" w14:textId="77777777" w:rsidR="008F7FDC" w:rsidRPr="008F7FDC" w:rsidRDefault="008F7FDC" w:rsidP="008F7FDC">
            <w:pPr>
              <w:pStyle w:val="TableParagraph"/>
              <w:ind w:left="93" w:right="87"/>
              <w:rPr>
                <w:color w:val="000000" w:themeColor="text1"/>
              </w:rPr>
            </w:pPr>
            <w:r w:rsidRPr="008F7FDC">
              <w:rPr>
                <w:color w:val="000000"/>
              </w:rPr>
              <w:t>ROSCI0089</w:t>
            </w:r>
          </w:p>
        </w:tc>
        <w:tc>
          <w:tcPr>
            <w:tcW w:w="3885" w:type="dxa"/>
          </w:tcPr>
          <w:p w14:paraId="30C26E2E" w14:textId="77777777" w:rsidR="008F7FDC" w:rsidRPr="008F7FDC" w:rsidRDefault="008F7FDC" w:rsidP="008F7FDC">
            <w:pPr>
              <w:pStyle w:val="TableParagraph"/>
              <w:ind w:left="91" w:right="83"/>
              <w:rPr>
                <w:color w:val="000000" w:themeColor="text1"/>
              </w:rPr>
            </w:pPr>
            <w:r w:rsidRPr="008F7FDC">
              <w:rPr>
                <w:color w:val="000000"/>
              </w:rPr>
              <w:t>Gutâi - Creasta Cocoșului</w:t>
            </w:r>
          </w:p>
        </w:tc>
      </w:tr>
      <w:tr w:rsidR="008F7FDC" w:rsidRPr="00C56257" w14:paraId="680DCA8B" w14:textId="77777777" w:rsidTr="008F7FDC">
        <w:trPr>
          <w:trHeight w:val="276"/>
        </w:trPr>
        <w:tc>
          <w:tcPr>
            <w:tcW w:w="3410" w:type="dxa"/>
            <w:vMerge/>
            <w:tcBorders>
              <w:top w:val="nil"/>
            </w:tcBorders>
          </w:tcPr>
          <w:p w14:paraId="46578BC6" w14:textId="77777777" w:rsidR="008F7FDC" w:rsidRPr="00C56257" w:rsidRDefault="008F7FDC" w:rsidP="00365F5B">
            <w:pPr>
              <w:jc w:val="both"/>
              <w:rPr>
                <w:color w:val="000000" w:themeColor="text1"/>
              </w:rPr>
            </w:pPr>
          </w:p>
        </w:tc>
        <w:tc>
          <w:tcPr>
            <w:tcW w:w="2410" w:type="dxa"/>
          </w:tcPr>
          <w:p w14:paraId="2799FB2E" w14:textId="77777777" w:rsidR="008F7FDC" w:rsidRPr="008F7FDC" w:rsidRDefault="008F7FDC" w:rsidP="008F7FDC">
            <w:pPr>
              <w:pStyle w:val="TableParagraph"/>
              <w:ind w:left="93" w:right="87"/>
              <w:rPr>
                <w:color w:val="000000" w:themeColor="text1"/>
              </w:rPr>
            </w:pPr>
            <w:r w:rsidRPr="008F7FDC">
              <w:rPr>
                <w:color w:val="000000"/>
              </w:rPr>
              <w:t>ROSCI0092</w:t>
            </w:r>
          </w:p>
        </w:tc>
        <w:tc>
          <w:tcPr>
            <w:tcW w:w="3885" w:type="dxa"/>
          </w:tcPr>
          <w:p w14:paraId="5945DBCA" w14:textId="77777777" w:rsidR="008F7FDC" w:rsidRPr="008F7FDC" w:rsidRDefault="008F7FDC" w:rsidP="008F7FDC">
            <w:pPr>
              <w:pStyle w:val="TableParagraph"/>
              <w:ind w:left="90" w:right="85"/>
              <w:rPr>
                <w:color w:val="000000" w:themeColor="text1"/>
              </w:rPr>
            </w:pPr>
            <w:r w:rsidRPr="008F7FDC">
              <w:rPr>
                <w:color w:val="000000"/>
              </w:rPr>
              <w:t>Igniș</w:t>
            </w:r>
          </w:p>
        </w:tc>
      </w:tr>
      <w:tr w:rsidR="008F7FDC" w:rsidRPr="00C56257" w14:paraId="19B95B96" w14:textId="77777777" w:rsidTr="008F7FDC">
        <w:trPr>
          <w:trHeight w:val="277"/>
        </w:trPr>
        <w:tc>
          <w:tcPr>
            <w:tcW w:w="3410" w:type="dxa"/>
            <w:vMerge/>
            <w:tcBorders>
              <w:top w:val="nil"/>
            </w:tcBorders>
          </w:tcPr>
          <w:p w14:paraId="7420217E" w14:textId="77777777" w:rsidR="008F7FDC" w:rsidRPr="00C56257" w:rsidRDefault="008F7FDC" w:rsidP="00365F5B">
            <w:pPr>
              <w:jc w:val="both"/>
              <w:rPr>
                <w:color w:val="000000" w:themeColor="text1"/>
              </w:rPr>
            </w:pPr>
          </w:p>
        </w:tc>
        <w:tc>
          <w:tcPr>
            <w:tcW w:w="2410" w:type="dxa"/>
          </w:tcPr>
          <w:p w14:paraId="0FB1C74D" w14:textId="77777777" w:rsidR="008F7FDC" w:rsidRPr="008F7FDC" w:rsidRDefault="008F7FDC" w:rsidP="0070304E">
            <w:pPr>
              <w:pStyle w:val="TableParagraph"/>
              <w:spacing w:line="258" w:lineRule="exact"/>
              <w:ind w:left="93" w:right="87"/>
              <w:rPr>
                <w:color w:val="000000" w:themeColor="text1"/>
              </w:rPr>
            </w:pPr>
            <w:r w:rsidRPr="008F7FDC">
              <w:rPr>
                <w:color w:val="000000"/>
              </w:rPr>
              <w:t>ROS</w:t>
            </w:r>
            <w:r w:rsidR="0070304E">
              <w:rPr>
                <w:color w:val="000000"/>
              </w:rPr>
              <w:t>AC</w:t>
            </w:r>
            <w:r w:rsidRPr="008F7FDC">
              <w:rPr>
                <w:color w:val="000000"/>
              </w:rPr>
              <w:t>0093</w:t>
            </w:r>
          </w:p>
        </w:tc>
        <w:tc>
          <w:tcPr>
            <w:tcW w:w="3885" w:type="dxa"/>
          </w:tcPr>
          <w:p w14:paraId="3237976F" w14:textId="77777777" w:rsidR="008F7FDC" w:rsidRPr="008F7FDC" w:rsidRDefault="008F7FDC" w:rsidP="008F7FDC">
            <w:pPr>
              <w:pStyle w:val="TableParagraph"/>
              <w:spacing w:line="258" w:lineRule="exact"/>
              <w:ind w:left="91" w:right="83"/>
              <w:rPr>
                <w:color w:val="000000" w:themeColor="text1"/>
              </w:rPr>
            </w:pPr>
            <w:r w:rsidRPr="008F7FDC">
              <w:rPr>
                <w:color w:val="000000"/>
              </w:rPr>
              <w:t>Insulele Stepice Șura Mică - Slimnic</w:t>
            </w:r>
          </w:p>
        </w:tc>
      </w:tr>
      <w:tr w:rsidR="008F7FDC" w:rsidRPr="00C56257" w14:paraId="240800C2" w14:textId="77777777" w:rsidTr="008F7FDC">
        <w:trPr>
          <w:trHeight w:val="275"/>
        </w:trPr>
        <w:tc>
          <w:tcPr>
            <w:tcW w:w="3410" w:type="dxa"/>
            <w:vMerge/>
            <w:tcBorders>
              <w:top w:val="nil"/>
            </w:tcBorders>
          </w:tcPr>
          <w:p w14:paraId="76FB504C" w14:textId="77777777" w:rsidR="008F7FDC" w:rsidRPr="00C56257" w:rsidRDefault="008F7FDC" w:rsidP="00365F5B">
            <w:pPr>
              <w:jc w:val="both"/>
              <w:rPr>
                <w:color w:val="000000" w:themeColor="text1"/>
              </w:rPr>
            </w:pPr>
          </w:p>
        </w:tc>
        <w:tc>
          <w:tcPr>
            <w:tcW w:w="2410" w:type="dxa"/>
          </w:tcPr>
          <w:p w14:paraId="22446667" w14:textId="77777777" w:rsidR="008F7FDC" w:rsidRPr="008F7FDC" w:rsidRDefault="008F7FDC" w:rsidP="0070304E">
            <w:pPr>
              <w:pStyle w:val="TableParagraph"/>
              <w:ind w:left="93" w:right="87"/>
              <w:rPr>
                <w:color w:val="000000" w:themeColor="text1"/>
              </w:rPr>
            </w:pPr>
            <w:r w:rsidRPr="008F7FDC">
              <w:rPr>
                <w:color w:val="000000"/>
              </w:rPr>
              <w:t>ROS</w:t>
            </w:r>
            <w:r w:rsidR="0070304E">
              <w:rPr>
                <w:color w:val="000000"/>
              </w:rPr>
              <w:t>AC</w:t>
            </w:r>
            <w:r w:rsidRPr="008F7FDC">
              <w:rPr>
                <w:color w:val="000000"/>
              </w:rPr>
              <w:t>0096</w:t>
            </w:r>
          </w:p>
        </w:tc>
        <w:tc>
          <w:tcPr>
            <w:tcW w:w="3885" w:type="dxa"/>
          </w:tcPr>
          <w:p w14:paraId="35193B62" w14:textId="77777777" w:rsidR="008F7FDC" w:rsidRPr="008F7FDC" w:rsidRDefault="008F7FDC" w:rsidP="008F7FDC">
            <w:pPr>
              <w:pStyle w:val="TableParagraph"/>
              <w:ind w:left="91" w:right="85"/>
              <w:rPr>
                <w:color w:val="000000" w:themeColor="text1"/>
              </w:rPr>
            </w:pPr>
            <w:r w:rsidRPr="008F7FDC">
              <w:rPr>
                <w:color w:val="000000"/>
              </w:rPr>
              <w:t>Lacul Bâlbâitoarea</w:t>
            </w:r>
          </w:p>
        </w:tc>
      </w:tr>
      <w:tr w:rsidR="008F7FDC" w:rsidRPr="00C56257" w14:paraId="7E28FBE8" w14:textId="77777777" w:rsidTr="008F7FDC">
        <w:trPr>
          <w:trHeight w:val="275"/>
        </w:trPr>
        <w:tc>
          <w:tcPr>
            <w:tcW w:w="3410" w:type="dxa"/>
            <w:vMerge/>
            <w:tcBorders>
              <w:top w:val="nil"/>
            </w:tcBorders>
          </w:tcPr>
          <w:p w14:paraId="6211EA5E" w14:textId="77777777" w:rsidR="008F7FDC" w:rsidRPr="00C56257" w:rsidRDefault="008F7FDC" w:rsidP="00365F5B">
            <w:pPr>
              <w:jc w:val="both"/>
              <w:rPr>
                <w:color w:val="000000" w:themeColor="text1"/>
              </w:rPr>
            </w:pPr>
          </w:p>
        </w:tc>
        <w:tc>
          <w:tcPr>
            <w:tcW w:w="2410" w:type="dxa"/>
          </w:tcPr>
          <w:p w14:paraId="6458F475" w14:textId="77777777" w:rsidR="008F7FDC" w:rsidRPr="008F7FDC" w:rsidRDefault="008F7FDC" w:rsidP="0070304E">
            <w:pPr>
              <w:pStyle w:val="TableParagraph"/>
              <w:ind w:left="93" w:right="87"/>
              <w:rPr>
                <w:color w:val="000000" w:themeColor="text1"/>
              </w:rPr>
            </w:pPr>
            <w:r w:rsidRPr="008F7FDC">
              <w:rPr>
                <w:color w:val="000000"/>
              </w:rPr>
              <w:t>ROS</w:t>
            </w:r>
            <w:r w:rsidR="0070304E">
              <w:rPr>
                <w:color w:val="000000"/>
              </w:rPr>
              <w:t>AC</w:t>
            </w:r>
            <w:r w:rsidRPr="008F7FDC">
              <w:rPr>
                <w:color w:val="000000"/>
              </w:rPr>
              <w:t>0113</w:t>
            </w:r>
          </w:p>
        </w:tc>
        <w:tc>
          <w:tcPr>
            <w:tcW w:w="3885" w:type="dxa"/>
          </w:tcPr>
          <w:p w14:paraId="43A72450" w14:textId="77777777" w:rsidR="008F7FDC" w:rsidRPr="008F7FDC" w:rsidRDefault="008F7FDC" w:rsidP="008F7FDC">
            <w:pPr>
              <w:pStyle w:val="TableParagraph"/>
              <w:ind w:left="91" w:right="84"/>
              <w:rPr>
                <w:color w:val="000000" w:themeColor="text1"/>
              </w:rPr>
            </w:pPr>
            <w:r w:rsidRPr="008F7FDC">
              <w:rPr>
                <w:color w:val="000000"/>
              </w:rPr>
              <w:t>Mlaștina după Luncă</w:t>
            </w:r>
          </w:p>
        </w:tc>
      </w:tr>
      <w:tr w:rsidR="008F7FDC" w:rsidRPr="00C56257" w14:paraId="5D8468F0" w14:textId="77777777" w:rsidTr="008F7FDC">
        <w:trPr>
          <w:trHeight w:val="275"/>
        </w:trPr>
        <w:tc>
          <w:tcPr>
            <w:tcW w:w="3410" w:type="dxa"/>
            <w:vMerge/>
            <w:tcBorders>
              <w:top w:val="nil"/>
            </w:tcBorders>
          </w:tcPr>
          <w:p w14:paraId="0554F43D" w14:textId="77777777" w:rsidR="008F7FDC" w:rsidRPr="00C56257" w:rsidRDefault="008F7FDC" w:rsidP="00365F5B">
            <w:pPr>
              <w:jc w:val="both"/>
              <w:rPr>
                <w:color w:val="000000" w:themeColor="text1"/>
              </w:rPr>
            </w:pPr>
          </w:p>
        </w:tc>
        <w:tc>
          <w:tcPr>
            <w:tcW w:w="2410" w:type="dxa"/>
          </w:tcPr>
          <w:p w14:paraId="272A6C81" w14:textId="77777777" w:rsidR="008F7FDC" w:rsidRPr="008F7FDC" w:rsidRDefault="008F7FDC" w:rsidP="0070304E">
            <w:pPr>
              <w:pStyle w:val="TableParagraph"/>
              <w:ind w:left="93" w:right="87"/>
              <w:rPr>
                <w:color w:val="000000" w:themeColor="text1"/>
              </w:rPr>
            </w:pPr>
            <w:r w:rsidRPr="008F7FDC">
              <w:rPr>
                <w:color w:val="000000"/>
              </w:rPr>
              <w:t>ROS</w:t>
            </w:r>
            <w:r w:rsidR="0070304E">
              <w:rPr>
                <w:color w:val="000000"/>
              </w:rPr>
              <w:t>AC</w:t>
            </w:r>
            <w:r w:rsidRPr="008F7FDC">
              <w:rPr>
                <w:color w:val="000000"/>
              </w:rPr>
              <w:t>0122</w:t>
            </w:r>
          </w:p>
        </w:tc>
        <w:tc>
          <w:tcPr>
            <w:tcW w:w="3885" w:type="dxa"/>
          </w:tcPr>
          <w:p w14:paraId="21914803" w14:textId="77777777" w:rsidR="008F7FDC" w:rsidRPr="008F7FDC" w:rsidRDefault="008F7FDC" w:rsidP="008F7FDC">
            <w:pPr>
              <w:pStyle w:val="TableParagraph"/>
              <w:ind w:left="91" w:right="80"/>
              <w:rPr>
                <w:color w:val="000000" w:themeColor="text1"/>
              </w:rPr>
            </w:pPr>
            <w:r w:rsidRPr="008F7FDC">
              <w:rPr>
                <w:color w:val="000000"/>
              </w:rPr>
              <w:t>Munții Făgăraș</w:t>
            </w:r>
          </w:p>
        </w:tc>
      </w:tr>
      <w:tr w:rsidR="008F7FDC" w:rsidRPr="00C56257" w14:paraId="04BCEBF8" w14:textId="77777777" w:rsidTr="008F7FDC">
        <w:trPr>
          <w:trHeight w:val="275"/>
        </w:trPr>
        <w:tc>
          <w:tcPr>
            <w:tcW w:w="3410" w:type="dxa"/>
            <w:vMerge/>
            <w:tcBorders>
              <w:top w:val="nil"/>
            </w:tcBorders>
          </w:tcPr>
          <w:p w14:paraId="3BBAB4D3" w14:textId="77777777" w:rsidR="008F7FDC" w:rsidRPr="00C56257" w:rsidRDefault="008F7FDC" w:rsidP="00365F5B">
            <w:pPr>
              <w:jc w:val="both"/>
              <w:rPr>
                <w:color w:val="000000" w:themeColor="text1"/>
              </w:rPr>
            </w:pPr>
          </w:p>
        </w:tc>
        <w:tc>
          <w:tcPr>
            <w:tcW w:w="2410" w:type="dxa"/>
          </w:tcPr>
          <w:p w14:paraId="04B7E33D" w14:textId="77777777" w:rsidR="008F7FDC" w:rsidRPr="008F7FDC" w:rsidRDefault="008F7FDC" w:rsidP="0070304E">
            <w:pPr>
              <w:pStyle w:val="TableParagraph"/>
              <w:ind w:left="93" w:right="87"/>
              <w:rPr>
                <w:color w:val="000000" w:themeColor="text1"/>
              </w:rPr>
            </w:pPr>
            <w:r w:rsidRPr="008F7FDC">
              <w:rPr>
                <w:color w:val="000000"/>
              </w:rPr>
              <w:t>ROS</w:t>
            </w:r>
            <w:r w:rsidR="0070304E">
              <w:rPr>
                <w:color w:val="000000"/>
              </w:rPr>
              <w:t>AC</w:t>
            </w:r>
            <w:r w:rsidRPr="008F7FDC">
              <w:rPr>
                <w:color w:val="000000"/>
              </w:rPr>
              <w:t>0124</w:t>
            </w:r>
          </w:p>
        </w:tc>
        <w:tc>
          <w:tcPr>
            <w:tcW w:w="3885" w:type="dxa"/>
          </w:tcPr>
          <w:p w14:paraId="1D9553CF" w14:textId="77777777" w:rsidR="008F7FDC" w:rsidRPr="008F7FDC" w:rsidRDefault="008F7FDC" w:rsidP="008F7FDC">
            <w:pPr>
              <w:pStyle w:val="TableParagraph"/>
              <w:ind w:left="91" w:right="81"/>
              <w:rPr>
                <w:color w:val="000000" w:themeColor="text1"/>
              </w:rPr>
            </w:pPr>
            <w:r w:rsidRPr="008F7FDC">
              <w:rPr>
                <w:color w:val="000000"/>
              </w:rPr>
              <w:t>Munții Maramureșului</w:t>
            </w:r>
          </w:p>
        </w:tc>
      </w:tr>
      <w:tr w:rsidR="008F7FDC" w:rsidRPr="00C56257" w14:paraId="3FAF7E74" w14:textId="77777777" w:rsidTr="008F7FDC">
        <w:trPr>
          <w:trHeight w:val="275"/>
        </w:trPr>
        <w:tc>
          <w:tcPr>
            <w:tcW w:w="3410" w:type="dxa"/>
            <w:vMerge/>
            <w:tcBorders>
              <w:top w:val="nil"/>
            </w:tcBorders>
          </w:tcPr>
          <w:p w14:paraId="5EB52C4F" w14:textId="77777777" w:rsidR="008F7FDC" w:rsidRPr="00C56257" w:rsidRDefault="008F7FDC" w:rsidP="00365F5B">
            <w:pPr>
              <w:jc w:val="both"/>
              <w:rPr>
                <w:color w:val="000000" w:themeColor="text1"/>
              </w:rPr>
            </w:pPr>
          </w:p>
        </w:tc>
        <w:tc>
          <w:tcPr>
            <w:tcW w:w="2410" w:type="dxa"/>
          </w:tcPr>
          <w:p w14:paraId="6771BAC6" w14:textId="77777777" w:rsidR="008F7FDC" w:rsidRPr="008F7FDC" w:rsidRDefault="008F7FDC" w:rsidP="0070304E">
            <w:pPr>
              <w:pStyle w:val="TableParagraph"/>
              <w:ind w:left="93" w:right="87"/>
              <w:rPr>
                <w:color w:val="000000" w:themeColor="text1"/>
              </w:rPr>
            </w:pPr>
            <w:r w:rsidRPr="008F7FDC">
              <w:rPr>
                <w:color w:val="000000"/>
              </w:rPr>
              <w:t>ROS</w:t>
            </w:r>
            <w:r w:rsidR="0070304E">
              <w:rPr>
                <w:color w:val="000000"/>
              </w:rPr>
              <w:t>AC</w:t>
            </w:r>
            <w:r w:rsidRPr="008F7FDC">
              <w:rPr>
                <w:color w:val="000000"/>
              </w:rPr>
              <w:t>0205</w:t>
            </w:r>
          </w:p>
        </w:tc>
        <w:tc>
          <w:tcPr>
            <w:tcW w:w="3885" w:type="dxa"/>
          </w:tcPr>
          <w:p w14:paraId="1117233C" w14:textId="77777777" w:rsidR="008F7FDC" w:rsidRPr="008F7FDC" w:rsidRDefault="008F7FDC" w:rsidP="008F7FDC">
            <w:pPr>
              <w:pStyle w:val="TableParagraph"/>
              <w:ind w:left="91" w:right="80"/>
              <w:rPr>
                <w:color w:val="000000" w:themeColor="text1"/>
              </w:rPr>
            </w:pPr>
            <w:r w:rsidRPr="008F7FDC">
              <w:rPr>
                <w:color w:val="000000"/>
              </w:rPr>
              <w:t>Poienile cu narcise de la Dumbrava Vadului</w:t>
            </w:r>
          </w:p>
        </w:tc>
      </w:tr>
      <w:tr w:rsidR="008F7FDC" w:rsidRPr="00C56257" w14:paraId="17359F13" w14:textId="77777777" w:rsidTr="008F7FDC">
        <w:trPr>
          <w:trHeight w:val="277"/>
        </w:trPr>
        <w:tc>
          <w:tcPr>
            <w:tcW w:w="3410" w:type="dxa"/>
            <w:vMerge/>
            <w:tcBorders>
              <w:top w:val="nil"/>
            </w:tcBorders>
          </w:tcPr>
          <w:p w14:paraId="4A92F0D2" w14:textId="77777777" w:rsidR="008F7FDC" w:rsidRPr="00C56257" w:rsidRDefault="008F7FDC" w:rsidP="00365F5B">
            <w:pPr>
              <w:jc w:val="both"/>
              <w:rPr>
                <w:color w:val="000000" w:themeColor="text1"/>
              </w:rPr>
            </w:pPr>
          </w:p>
        </w:tc>
        <w:tc>
          <w:tcPr>
            <w:tcW w:w="2410" w:type="dxa"/>
          </w:tcPr>
          <w:p w14:paraId="022D897A" w14:textId="77777777" w:rsidR="008F7FDC" w:rsidRPr="008F7FDC" w:rsidRDefault="008F7FDC" w:rsidP="0070304E">
            <w:pPr>
              <w:pStyle w:val="TableParagraph"/>
              <w:spacing w:line="258" w:lineRule="exact"/>
              <w:ind w:left="93" w:right="87"/>
              <w:rPr>
                <w:color w:val="000000" w:themeColor="text1"/>
              </w:rPr>
            </w:pPr>
            <w:r w:rsidRPr="008F7FDC">
              <w:rPr>
                <w:color w:val="000000"/>
              </w:rPr>
              <w:t>ROS</w:t>
            </w:r>
            <w:r w:rsidR="0070304E">
              <w:rPr>
                <w:color w:val="000000"/>
              </w:rPr>
              <w:t>AC</w:t>
            </w:r>
            <w:r w:rsidRPr="008F7FDC">
              <w:rPr>
                <w:color w:val="000000"/>
              </w:rPr>
              <w:t>0214</w:t>
            </w:r>
          </w:p>
        </w:tc>
        <w:tc>
          <w:tcPr>
            <w:tcW w:w="3885" w:type="dxa"/>
          </w:tcPr>
          <w:p w14:paraId="27FFB0FD" w14:textId="77777777" w:rsidR="008F7FDC" w:rsidRPr="008F7FDC" w:rsidRDefault="008F7FDC" w:rsidP="008F7FDC">
            <w:pPr>
              <w:pStyle w:val="TableParagraph"/>
              <w:spacing w:line="258" w:lineRule="exact"/>
              <w:ind w:left="91" w:right="82"/>
              <w:rPr>
                <w:color w:val="000000" w:themeColor="text1"/>
              </w:rPr>
            </w:pPr>
            <w:r w:rsidRPr="008F7FDC">
              <w:rPr>
                <w:color w:val="000000"/>
              </w:rPr>
              <w:t>Râul Tur</w:t>
            </w:r>
          </w:p>
        </w:tc>
      </w:tr>
      <w:tr w:rsidR="008F7FDC" w:rsidRPr="00C56257" w14:paraId="559A4ADA" w14:textId="77777777" w:rsidTr="008F7FDC">
        <w:trPr>
          <w:trHeight w:val="275"/>
        </w:trPr>
        <w:tc>
          <w:tcPr>
            <w:tcW w:w="3410" w:type="dxa"/>
            <w:vMerge/>
            <w:tcBorders>
              <w:top w:val="nil"/>
            </w:tcBorders>
          </w:tcPr>
          <w:p w14:paraId="7F24591D" w14:textId="77777777" w:rsidR="008F7FDC" w:rsidRPr="00C56257" w:rsidRDefault="008F7FDC" w:rsidP="00365F5B">
            <w:pPr>
              <w:jc w:val="both"/>
              <w:rPr>
                <w:color w:val="000000" w:themeColor="text1"/>
              </w:rPr>
            </w:pPr>
          </w:p>
        </w:tc>
        <w:tc>
          <w:tcPr>
            <w:tcW w:w="2410" w:type="dxa"/>
          </w:tcPr>
          <w:p w14:paraId="307BBD19" w14:textId="77777777" w:rsidR="008F7FDC" w:rsidRPr="008F7FDC" w:rsidRDefault="008F7FDC" w:rsidP="008F7FDC">
            <w:pPr>
              <w:pStyle w:val="TableParagraph"/>
              <w:ind w:left="93" w:right="87"/>
              <w:rPr>
                <w:color w:val="000000" w:themeColor="text1"/>
              </w:rPr>
            </w:pPr>
            <w:r w:rsidRPr="008F7FDC">
              <w:rPr>
                <w:color w:val="000000"/>
              </w:rPr>
              <w:t>ROSCI0226</w:t>
            </w:r>
          </w:p>
        </w:tc>
        <w:tc>
          <w:tcPr>
            <w:tcW w:w="3885" w:type="dxa"/>
          </w:tcPr>
          <w:p w14:paraId="161242D3" w14:textId="77777777" w:rsidR="008F7FDC" w:rsidRPr="008F7FDC" w:rsidRDefault="008F7FDC" w:rsidP="008F7FDC">
            <w:pPr>
              <w:pStyle w:val="TableParagraph"/>
              <w:ind w:left="91" w:right="81"/>
              <w:rPr>
                <w:color w:val="000000" w:themeColor="text1"/>
              </w:rPr>
            </w:pPr>
            <w:r w:rsidRPr="008F7FDC">
              <w:rPr>
                <w:color w:val="000000"/>
              </w:rPr>
              <w:t>Semenic - Cheile Carașului</w:t>
            </w:r>
          </w:p>
        </w:tc>
      </w:tr>
      <w:tr w:rsidR="008F7FDC" w:rsidRPr="00C56257" w14:paraId="53DF6F5E" w14:textId="77777777" w:rsidTr="008F7FDC">
        <w:trPr>
          <w:trHeight w:val="275"/>
        </w:trPr>
        <w:tc>
          <w:tcPr>
            <w:tcW w:w="3410" w:type="dxa"/>
            <w:vMerge/>
            <w:tcBorders>
              <w:top w:val="nil"/>
            </w:tcBorders>
          </w:tcPr>
          <w:p w14:paraId="1B3681DC" w14:textId="77777777" w:rsidR="008F7FDC" w:rsidRPr="00C56257" w:rsidRDefault="008F7FDC" w:rsidP="00365F5B">
            <w:pPr>
              <w:jc w:val="both"/>
              <w:rPr>
                <w:color w:val="000000" w:themeColor="text1"/>
              </w:rPr>
            </w:pPr>
          </w:p>
        </w:tc>
        <w:tc>
          <w:tcPr>
            <w:tcW w:w="2410" w:type="dxa"/>
          </w:tcPr>
          <w:p w14:paraId="1520A7A5" w14:textId="77777777" w:rsidR="008F7FDC" w:rsidRPr="008F7FDC" w:rsidRDefault="008F7FDC" w:rsidP="008F7FDC">
            <w:pPr>
              <w:pStyle w:val="TableParagraph"/>
              <w:ind w:left="93" w:right="87"/>
              <w:rPr>
                <w:color w:val="000000" w:themeColor="text1"/>
              </w:rPr>
            </w:pPr>
            <w:r w:rsidRPr="008F7FDC">
              <w:rPr>
                <w:color w:val="000000"/>
              </w:rPr>
              <w:t>ROSCI0241</w:t>
            </w:r>
          </w:p>
        </w:tc>
        <w:tc>
          <w:tcPr>
            <w:tcW w:w="3885" w:type="dxa"/>
          </w:tcPr>
          <w:p w14:paraId="20CC2CCD" w14:textId="77777777" w:rsidR="008F7FDC" w:rsidRPr="008F7FDC" w:rsidRDefault="008F7FDC" w:rsidP="008F7FDC">
            <w:pPr>
              <w:pStyle w:val="TableParagraph"/>
              <w:ind w:left="91" w:right="81"/>
              <w:rPr>
                <w:color w:val="000000" w:themeColor="text1"/>
              </w:rPr>
            </w:pPr>
            <w:r w:rsidRPr="008F7FDC">
              <w:rPr>
                <w:color w:val="000000"/>
              </w:rPr>
              <w:t>Tinovul Apa Lină - Honcsok</w:t>
            </w:r>
          </w:p>
        </w:tc>
      </w:tr>
      <w:tr w:rsidR="008F7FDC" w:rsidRPr="00C56257" w14:paraId="4C9E3A9D" w14:textId="77777777" w:rsidTr="008F7FDC">
        <w:trPr>
          <w:trHeight w:val="275"/>
        </w:trPr>
        <w:tc>
          <w:tcPr>
            <w:tcW w:w="3410" w:type="dxa"/>
            <w:vMerge/>
            <w:tcBorders>
              <w:top w:val="nil"/>
            </w:tcBorders>
          </w:tcPr>
          <w:p w14:paraId="3DC03A25" w14:textId="77777777" w:rsidR="008F7FDC" w:rsidRPr="00C56257" w:rsidRDefault="008F7FDC" w:rsidP="00365F5B">
            <w:pPr>
              <w:jc w:val="both"/>
              <w:rPr>
                <w:color w:val="000000" w:themeColor="text1"/>
              </w:rPr>
            </w:pPr>
          </w:p>
        </w:tc>
        <w:tc>
          <w:tcPr>
            <w:tcW w:w="2410" w:type="dxa"/>
          </w:tcPr>
          <w:p w14:paraId="128384D8" w14:textId="77777777" w:rsidR="008F7FDC" w:rsidRPr="008F7FDC" w:rsidRDefault="008F7FDC" w:rsidP="00172455">
            <w:pPr>
              <w:pStyle w:val="TableParagraph"/>
              <w:ind w:left="93" w:right="87"/>
              <w:rPr>
                <w:color w:val="000000" w:themeColor="text1"/>
              </w:rPr>
            </w:pPr>
            <w:r w:rsidRPr="008F7FDC">
              <w:rPr>
                <w:color w:val="000000"/>
              </w:rPr>
              <w:t>ROS</w:t>
            </w:r>
            <w:r w:rsidR="00172455">
              <w:rPr>
                <w:color w:val="000000"/>
              </w:rPr>
              <w:t>AC</w:t>
            </w:r>
            <w:r w:rsidRPr="008F7FDC">
              <w:rPr>
                <w:color w:val="000000"/>
              </w:rPr>
              <w:t>0279</w:t>
            </w:r>
          </w:p>
        </w:tc>
        <w:tc>
          <w:tcPr>
            <w:tcW w:w="3885" w:type="dxa"/>
          </w:tcPr>
          <w:p w14:paraId="5A8C1F6B" w14:textId="77777777" w:rsidR="008F7FDC" w:rsidRPr="008F7FDC" w:rsidRDefault="008F7FDC" w:rsidP="008F7FDC">
            <w:pPr>
              <w:pStyle w:val="TableParagraph"/>
              <w:ind w:left="91" w:right="82"/>
              <w:rPr>
                <w:color w:val="000000" w:themeColor="text1"/>
              </w:rPr>
            </w:pPr>
            <w:r w:rsidRPr="008F7FDC">
              <w:rPr>
                <w:color w:val="000000"/>
              </w:rPr>
              <w:t>Borzont</w:t>
            </w:r>
          </w:p>
        </w:tc>
      </w:tr>
      <w:tr w:rsidR="008F7FDC" w:rsidRPr="00C56257" w14:paraId="29A80A3C" w14:textId="77777777" w:rsidTr="008F7FDC">
        <w:trPr>
          <w:trHeight w:val="275"/>
        </w:trPr>
        <w:tc>
          <w:tcPr>
            <w:tcW w:w="3410" w:type="dxa"/>
            <w:vMerge/>
            <w:tcBorders>
              <w:top w:val="nil"/>
            </w:tcBorders>
          </w:tcPr>
          <w:p w14:paraId="6D3B84B4" w14:textId="77777777" w:rsidR="008F7FDC" w:rsidRPr="00C56257" w:rsidRDefault="008F7FDC" w:rsidP="00365F5B">
            <w:pPr>
              <w:jc w:val="both"/>
              <w:rPr>
                <w:color w:val="000000" w:themeColor="text1"/>
              </w:rPr>
            </w:pPr>
          </w:p>
        </w:tc>
        <w:tc>
          <w:tcPr>
            <w:tcW w:w="2410" w:type="dxa"/>
          </w:tcPr>
          <w:p w14:paraId="1F5EEE45" w14:textId="77777777" w:rsidR="008F7FDC" w:rsidRPr="008F7FDC" w:rsidRDefault="008F7FDC" w:rsidP="008F7FDC">
            <w:pPr>
              <w:pStyle w:val="TableParagraph"/>
              <w:ind w:left="93" w:right="87"/>
              <w:rPr>
                <w:color w:val="000000" w:themeColor="text1"/>
              </w:rPr>
            </w:pPr>
            <w:r w:rsidRPr="008F7FDC">
              <w:rPr>
                <w:color w:val="000000"/>
              </w:rPr>
              <w:t>ROSCI0282</w:t>
            </w:r>
          </w:p>
        </w:tc>
        <w:tc>
          <w:tcPr>
            <w:tcW w:w="3885" w:type="dxa"/>
          </w:tcPr>
          <w:p w14:paraId="17E790BB" w14:textId="77777777" w:rsidR="008F7FDC" w:rsidRPr="008F7FDC" w:rsidRDefault="008F7FDC" w:rsidP="008F7FDC">
            <w:pPr>
              <w:pStyle w:val="TableParagraph"/>
              <w:ind w:left="91" w:right="81"/>
              <w:rPr>
                <w:color w:val="000000" w:themeColor="text1"/>
              </w:rPr>
            </w:pPr>
            <w:r w:rsidRPr="008F7FDC">
              <w:rPr>
                <w:color w:val="000000"/>
              </w:rPr>
              <w:t>Arpașu de Sus</w:t>
            </w:r>
          </w:p>
        </w:tc>
      </w:tr>
      <w:tr w:rsidR="008F7FDC" w:rsidRPr="00C56257" w14:paraId="40D67D7B" w14:textId="77777777" w:rsidTr="008F7FDC">
        <w:trPr>
          <w:trHeight w:val="275"/>
        </w:trPr>
        <w:tc>
          <w:tcPr>
            <w:tcW w:w="3410" w:type="dxa"/>
            <w:vMerge/>
            <w:tcBorders>
              <w:top w:val="nil"/>
            </w:tcBorders>
          </w:tcPr>
          <w:p w14:paraId="2E9D7165" w14:textId="77777777" w:rsidR="008F7FDC" w:rsidRPr="00C56257" w:rsidRDefault="008F7FDC" w:rsidP="00365F5B">
            <w:pPr>
              <w:jc w:val="both"/>
              <w:rPr>
                <w:color w:val="000000" w:themeColor="text1"/>
              </w:rPr>
            </w:pPr>
          </w:p>
        </w:tc>
        <w:tc>
          <w:tcPr>
            <w:tcW w:w="2410" w:type="dxa"/>
          </w:tcPr>
          <w:p w14:paraId="6914021C" w14:textId="77777777" w:rsidR="008F7FDC" w:rsidRPr="008F7FDC" w:rsidRDefault="008F7FDC" w:rsidP="00172455">
            <w:pPr>
              <w:pStyle w:val="TableParagraph"/>
              <w:ind w:left="93" w:right="87"/>
              <w:rPr>
                <w:color w:val="000000"/>
              </w:rPr>
            </w:pPr>
            <w:r w:rsidRPr="008F7FDC">
              <w:rPr>
                <w:color w:val="000000"/>
              </w:rPr>
              <w:t>ROS</w:t>
            </w:r>
            <w:r w:rsidR="00172455">
              <w:rPr>
                <w:color w:val="000000"/>
              </w:rPr>
              <w:t>AC</w:t>
            </w:r>
            <w:r w:rsidRPr="008F7FDC">
              <w:rPr>
                <w:color w:val="000000"/>
              </w:rPr>
              <w:t>0295</w:t>
            </w:r>
          </w:p>
        </w:tc>
        <w:tc>
          <w:tcPr>
            <w:tcW w:w="3885" w:type="dxa"/>
          </w:tcPr>
          <w:p w14:paraId="3FA1E4E2" w14:textId="77777777" w:rsidR="008F7FDC" w:rsidRPr="008F7FDC" w:rsidRDefault="008F7FDC" w:rsidP="008F7FDC">
            <w:pPr>
              <w:pStyle w:val="TableParagraph"/>
              <w:ind w:left="91" w:right="81"/>
              <w:rPr>
                <w:color w:val="000000"/>
              </w:rPr>
            </w:pPr>
            <w:r w:rsidRPr="008F7FDC">
              <w:rPr>
                <w:color w:val="000000"/>
              </w:rPr>
              <w:t>Dealurile Clujului de Est</w:t>
            </w:r>
          </w:p>
        </w:tc>
      </w:tr>
      <w:tr w:rsidR="008F7FDC" w:rsidRPr="00C56257" w14:paraId="7128273C" w14:textId="77777777" w:rsidTr="008F7FDC">
        <w:trPr>
          <w:trHeight w:val="275"/>
        </w:trPr>
        <w:tc>
          <w:tcPr>
            <w:tcW w:w="3410" w:type="dxa"/>
            <w:vMerge/>
            <w:tcBorders>
              <w:top w:val="nil"/>
            </w:tcBorders>
          </w:tcPr>
          <w:p w14:paraId="7F98A72E" w14:textId="77777777" w:rsidR="008F7FDC" w:rsidRPr="00C56257" w:rsidRDefault="008F7FDC" w:rsidP="00365F5B">
            <w:pPr>
              <w:jc w:val="both"/>
              <w:rPr>
                <w:color w:val="000000" w:themeColor="text1"/>
              </w:rPr>
            </w:pPr>
          </w:p>
        </w:tc>
        <w:tc>
          <w:tcPr>
            <w:tcW w:w="2410" w:type="dxa"/>
          </w:tcPr>
          <w:p w14:paraId="1E528533" w14:textId="77777777" w:rsidR="008F7FDC" w:rsidRPr="008F7FDC" w:rsidRDefault="008F7FDC" w:rsidP="00172455">
            <w:pPr>
              <w:pStyle w:val="TableParagraph"/>
              <w:ind w:left="93" w:right="87"/>
              <w:rPr>
                <w:color w:val="000000"/>
              </w:rPr>
            </w:pPr>
            <w:r w:rsidRPr="008F7FDC">
              <w:rPr>
                <w:color w:val="000000"/>
              </w:rPr>
              <w:t>ROS</w:t>
            </w:r>
            <w:r w:rsidR="00172455">
              <w:rPr>
                <w:color w:val="000000"/>
              </w:rPr>
              <w:t>AC</w:t>
            </w:r>
            <w:r w:rsidRPr="008F7FDC">
              <w:rPr>
                <w:color w:val="000000"/>
              </w:rPr>
              <w:t>0300</w:t>
            </w:r>
          </w:p>
        </w:tc>
        <w:tc>
          <w:tcPr>
            <w:tcW w:w="3885" w:type="dxa"/>
          </w:tcPr>
          <w:p w14:paraId="5ECCC82C" w14:textId="77777777" w:rsidR="008F7FDC" w:rsidRPr="008F7FDC" w:rsidRDefault="008F7FDC" w:rsidP="008F7FDC">
            <w:pPr>
              <w:pStyle w:val="TableParagraph"/>
              <w:ind w:left="91" w:right="81"/>
              <w:rPr>
                <w:color w:val="000000"/>
              </w:rPr>
            </w:pPr>
            <w:r w:rsidRPr="008F7FDC">
              <w:rPr>
                <w:color w:val="000000"/>
              </w:rPr>
              <w:t>Fânațele Pietroasa - Podeni</w:t>
            </w:r>
          </w:p>
        </w:tc>
      </w:tr>
      <w:tr w:rsidR="008F7FDC" w:rsidRPr="00C56257" w14:paraId="211249E7" w14:textId="77777777" w:rsidTr="008F7FDC">
        <w:trPr>
          <w:trHeight w:val="278"/>
        </w:trPr>
        <w:tc>
          <w:tcPr>
            <w:tcW w:w="3410" w:type="dxa"/>
            <w:vMerge/>
            <w:tcBorders>
              <w:top w:val="nil"/>
            </w:tcBorders>
          </w:tcPr>
          <w:p w14:paraId="2C760E2D" w14:textId="77777777" w:rsidR="008F7FDC" w:rsidRPr="00C56257" w:rsidRDefault="008F7FDC" w:rsidP="00365F5B">
            <w:pPr>
              <w:jc w:val="both"/>
              <w:rPr>
                <w:color w:val="000000" w:themeColor="text1"/>
              </w:rPr>
            </w:pPr>
          </w:p>
        </w:tc>
        <w:tc>
          <w:tcPr>
            <w:tcW w:w="2410" w:type="dxa"/>
          </w:tcPr>
          <w:p w14:paraId="480AA50C" w14:textId="77777777" w:rsidR="008F7FDC" w:rsidRPr="008F7FDC" w:rsidRDefault="008F7FDC" w:rsidP="008F7FDC">
            <w:pPr>
              <w:pStyle w:val="TableParagraph"/>
              <w:spacing w:line="258" w:lineRule="exact"/>
              <w:ind w:left="93" w:right="87"/>
              <w:rPr>
                <w:color w:val="000000" w:themeColor="text1"/>
              </w:rPr>
            </w:pPr>
            <w:r w:rsidRPr="008F7FDC">
              <w:rPr>
                <w:color w:val="000000"/>
              </w:rPr>
              <w:t>ROSCI0320</w:t>
            </w:r>
          </w:p>
        </w:tc>
        <w:tc>
          <w:tcPr>
            <w:tcW w:w="3885" w:type="dxa"/>
          </w:tcPr>
          <w:p w14:paraId="5B6A88E3" w14:textId="77777777" w:rsidR="008F7FDC" w:rsidRPr="008F7FDC" w:rsidRDefault="008F7FDC" w:rsidP="008F7FDC">
            <w:pPr>
              <w:pStyle w:val="TableParagraph"/>
              <w:spacing w:line="258" w:lineRule="exact"/>
              <w:ind w:left="91" w:right="79"/>
              <w:rPr>
                <w:color w:val="000000" w:themeColor="text1"/>
              </w:rPr>
            </w:pPr>
            <w:r w:rsidRPr="008F7FDC">
              <w:rPr>
                <w:color w:val="000000"/>
              </w:rPr>
              <w:t>Mociar</w:t>
            </w:r>
          </w:p>
        </w:tc>
      </w:tr>
      <w:tr w:rsidR="008F7FDC" w:rsidRPr="00C56257" w14:paraId="1118DECE" w14:textId="77777777" w:rsidTr="008F7FDC">
        <w:trPr>
          <w:trHeight w:val="553"/>
        </w:trPr>
        <w:tc>
          <w:tcPr>
            <w:tcW w:w="3410" w:type="dxa"/>
          </w:tcPr>
          <w:p w14:paraId="55A9E9CD" w14:textId="77777777" w:rsidR="008F7FDC" w:rsidRPr="00C56257" w:rsidRDefault="008F7FDC" w:rsidP="00365F5B">
            <w:pPr>
              <w:pStyle w:val="TableParagraph"/>
              <w:spacing w:line="270" w:lineRule="exact"/>
              <w:ind w:left="108"/>
              <w:jc w:val="both"/>
              <w:rPr>
                <w:i/>
                <w:color w:val="000000" w:themeColor="text1"/>
                <w:sz w:val="24"/>
                <w:szCs w:val="24"/>
              </w:rPr>
            </w:pPr>
            <w:r w:rsidRPr="00C56257">
              <w:rPr>
                <w:color w:val="000000" w:themeColor="text1"/>
                <w:sz w:val="24"/>
                <w:szCs w:val="24"/>
              </w:rPr>
              <w:t>6420</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Pajişti</w:t>
            </w:r>
            <w:r w:rsidRPr="00C56257">
              <w:rPr>
                <w:color w:val="000000" w:themeColor="text1"/>
                <w:spacing w:val="-1"/>
                <w:sz w:val="24"/>
                <w:szCs w:val="24"/>
              </w:rPr>
              <w:t xml:space="preserve"> </w:t>
            </w:r>
            <w:r w:rsidRPr="00C56257">
              <w:rPr>
                <w:color w:val="000000" w:themeColor="text1"/>
                <w:sz w:val="24"/>
                <w:szCs w:val="24"/>
              </w:rPr>
              <w:t>mediteraneene</w:t>
            </w:r>
            <w:r w:rsidRPr="00C56257">
              <w:rPr>
                <w:color w:val="000000" w:themeColor="text1"/>
                <w:spacing w:val="-2"/>
                <w:sz w:val="24"/>
                <w:szCs w:val="24"/>
              </w:rPr>
              <w:t xml:space="preserve"> </w:t>
            </w:r>
            <w:r w:rsidRPr="00C56257">
              <w:rPr>
                <w:color w:val="000000" w:themeColor="text1"/>
                <w:sz w:val="24"/>
                <w:szCs w:val="24"/>
              </w:rPr>
              <w:t>umede cu</w:t>
            </w:r>
            <w:r w:rsidRPr="00C56257">
              <w:rPr>
                <w:color w:val="000000" w:themeColor="text1"/>
                <w:spacing w:val="-1"/>
                <w:sz w:val="24"/>
                <w:szCs w:val="24"/>
              </w:rPr>
              <w:t xml:space="preserve"> </w:t>
            </w:r>
            <w:r w:rsidRPr="00C56257">
              <w:rPr>
                <w:color w:val="000000" w:themeColor="text1"/>
                <w:sz w:val="24"/>
                <w:szCs w:val="24"/>
              </w:rPr>
              <w:t>ierburi</w:t>
            </w:r>
            <w:r w:rsidRPr="00C56257">
              <w:rPr>
                <w:color w:val="000000" w:themeColor="text1"/>
                <w:spacing w:val="-1"/>
                <w:sz w:val="24"/>
                <w:szCs w:val="24"/>
              </w:rPr>
              <w:t xml:space="preserve"> </w:t>
            </w:r>
            <w:r w:rsidRPr="00C56257">
              <w:rPr>
                <w:color w:val="000000" w:themeColor="text1"/>
                <w:sz w:val="24"/>
                <w:szCs w:val="24"/>
              </w:rPr>
              <w:t>înalte</w:t>
            </w:r>
            <w:r w:rsidRPr="00C56257">
              <w:rPr>
                <w:color w:val="000000" w:themeColor="text1"/>
                <w:spacing w:val="-2"/>
                <w:sz w:val="24"/>
                <w:szCs w:val="24"/>
              </w:rPr>
              <w:t xml:space="preserve"> </w:t>
            </w:r>
            <w:r w:rsidRPr="00C56257">
              <w:rPr>
                <w:color w:val="000000" w:themeColor="text1"/>
                <w:sz w:val="24"/>
                <w:szCs w:val="24"/>
              </w:rPr>
              <w:t>din</w:t>
            </w:r>
            <w:r w:rsidRPr="00C56257">
              <w:rPr>
                <w:color w:val="000000" w:themeColor="text1"/>
                <w:spacing w:val="1"/>
                <w:sz w:val="24"/>
                <w:szCs w:val="24"/>
              </w:rPr>
              <w:t xml:space="preserve"> </w:t>
            </w:r>
            <w:r w:rsidRPr="00C56257">
              <w:rPr>
                <w:i/>
                <w:color w:val="000000" w:themeColor="text1"/>
                <w:sz w:val="24"/>
                <w:szCs w:val="24"/>
              </w:rPr>
              <w:t>Molinio-</w:t>
            </w:r>
          </w:p>
          <w:p w14:paraId="727B30DD" w14:textId="77777777" w:rsidR="008F7FDC" w:rsidRPr="00C56257" w:rsidRDefault="008F7FDC" w:rsidP="00365F5B">
            <w:pPr>
              <w:pStyle w:val="TableParagraph"/>
              <w:spacing w:line="264" w:lineRule="exact"/>
              <w:ind w:left="108"/>
              <w:jc w:val="both"/>
              <w:rPr>
                <w:i/>
                <w:color w:val="000000" w:themeColor="text1"/>
                <w:sz w:val="24"/>
                <w:szCs w:val="24"/>
              </w:rPr>
            </w:pPr>
            <w:r w:rsidRPr="00C56257">
              <w:rPr>
                <w:i/>
                <w:color w:val="000000" w:themeColor="text1"/>
                <w:sz w:val="24"/>
                <w:szCs w:val="24"/>
              </w:rPr>
              <w:t>Holoschoenion</w:t>
            </w:r>
          </w:p>
        </w:tc>
        <w:tc>
          <w:tcPr>
            <w:tcW w:w="2410" w:type="dxa"/>
          </w:tcPr>
          <w:p w14:paraId="7B0E94DA" w14:textId="77777777" w:rsidR="008F7FDC" w:rsidRPr="008F7FDC" w:rsidRDefault="008F7FDC" w:rsidP="008F7FDC">
            <w:pPr>
              <w:pStyle w:val="TableParagraph"/>
              <w:spacing w:before="131"/>
              <w:ind w:left="93" w:right="87"/>
              <w:rPr>
                <w:color w:val="000000" w:themeColor="text1"/>
              </w:rPr>
            </w:pPr>
            <w:r w:rsidRPr="008F7FDC">
              <w:rPr>
                <w:color w:val="000000"/>
              </w:rPr>
              <w:t>ROSCI0065</w:t>
            </w:r>
          </w:p>
        </w:tc>
        <w:tc>
          <w:tcPr>
            <w:tcW w:w="3885" w:type="dxa"/>
          </w:tcPr>
          <w:p w14:paraId="79717816" w14:textId="77777777" w:rsidR="008F7FDC" w:rsidRPr="008F7FDC" w:rsidRDefault="008F7FDC" w:rsidP="008F7FDC">
            <w:pPr>
              <w:pStyle w:val="TableParagraph"/>
              <w:spacing w:before="131"/>
              <w:ind w:left="91" w:right="79"/>
              <w:rPr>
                <w:color w:val="000000" w:themeColor="text1"/>
              </w:rPr>
            </w:pPr>
            <w:r w:rsidRPr="008F7FDC">
              <w:rPr>
                <w:color w:val="000000"/>
              </w:rPr>
              <w:t>Delta Dunării</w:t>
            </w:r>
          </w:p>
        </w:tc>
      </w:tr>
      <w:tr w:rsidR="003E3ED2" w:rsidRPr="00C56257" w14:paraId="306D082E" w14:textId="77777777" w:rsidTr="00993B86">
        <w:trPr>
          <w:trHeight w:val="275"/>
        </w:trPr>
        <w:tc>
          <w:tcPr>
            <w:tcW w:w="3410" w:type="dxa"/>
            <w:vMerge w:val="restart"/>
          </w:tcPr>
          <w:p w14:paraId="02282D3A" w14:textId="77777777" w:rsidR="003E3ED2" w:rsidRPr="00C56257" w:rsidRDefault="003E3ED2" w:rsidP="00365F5B">
            <w:pPr>
              <w:pStyle w:val="TableParagraph"/>
              <w:jc w:val="both"/>
              <w:rPr>
                <w:color w:val="000000" w:themeColor="text1"/>
                <w:sz w:val="24"/>
                <w:szCs w:val="24"/>
              </w:rPr>
            </w:pPr>
          </w:p>
          <w:p w14:paraId="5A5BB9E0" w14:textId="77777777" w:rsidR="003E3ED2" w:rsidRPr="00C56257" w:rsidRDefault="003E3ED2" w:rsidP="00365F5B">
            <w:pPr>
              <w:pStyle w:val="TableParagraph"/>
              <w:jc w:val="both"/>
              <w:rPr>
                <w:color w:val="000000" w:themeColor="text1"/>
                <w:sz w:val="24"/>
                <w:szCs w:val="24"/>
              </w:rPr>
            </w:pPr>
          </w:p>
          <w:p w14:paraId="0BF69BE0" w14:textId="77777777" w:rsidR="003E3ED2" w:rsidRPr="00C56257" w:rsidRDefault="003E3ED2" w:rsidP="00365F5B">
            <w:pPr>
              <w:pStyle w:val="TableParagraph"/>
              <w:jc w:val="both"/>
              <w:rPr>
                <w:color w:val="000000" w:themeColor="text1"/>
                <w:sz w:val="24"/>
                <w:szCs w:val="24"/>
              </w:rPr>
            </w:pPr>
          </w:p>
          <w:p w14:paraId="0EC68E29" w14:textId="77777777" w:rsidR="003E3ED2" w:rsidRPr="00C56257" w:rsidRDefault="003E3ED2" w:rsidP="00365F5B">
            <w:pPr>
              <w:pStyle w:val="TableParagraph"/>
              <w:jc w:val="both"/>
              <w:rPr>
                <w:color w:val="000000" w:themeColor="text1"/>
                <w:sz w:val="24"/>
                <w:szCs w:val="24"/>
              </w:rPr>
            </w:pPr>
          </w:p>
          <w:p w14:paraId="72486DB1" w14:textId="77777777" w:rsidR="003E3ED2" w:rsidRPr="00C56257" w:rsidRDefault="003E3ED2" w:rsidP="00365F5B">
            <w:pPr>
              <w:pStyle w:val="TableParagraph"/>
              <w:jc w:val="both"/>
              <w:rPr>
                <w:color w:val="000000" w:themeColor="text1"/>
                <w:sz w:val="24"/>
                <w:szCs w:val="24"/>
              </w:rPr>
            </w:pPr>
          </w:p>
          <w:p w14:paraId="5FA52559" w14:textId="77777777" w:rsidR="003E3ED2" w:rsidRPr="00C56257" w:rsidRDefault="003E3ED2" w:rsidP="00365F5B">
            <w:pPr>
              <w:pStyle w:val="TableParagraph"/>
              <w:jc w:val="both"/>
              <w:rPr>
                <w:color w:val="000000" w:themeColor="text1"/>
                <w:sz w:val="24"/>
                <w:szCs w:val="24"/>
              </w:rPr>
            </w:pPr>
          </w:p>
          <w:p w14:paraId="5D969F85" w14:textId="77777777" w:rsidR="003E3ED2" w:rsidRPr="00C56257" w:rsidRDefault="003E3ED2" w:rsidP="00365F5B">
            <w:pPr>
              <w:pStyle w:val="TableParagraph"/>
              <w:jc w:val="both"/>
              <w:rPr>
                <w:color w:val="000000" w:themeColor="text1"/>
                <w:sz w:val="24"/>
                <w:szCs w:val="24"/>
              </w:rPr>
            </w:pPr>
          </w:p>
          <w:p w14:paraId="7672A980" w14:textId="77777777" w:rsidR="003E3ED2" w:rsidRPr="00C56257" w:rsidRDefault="003E3ED2" w:rsidP="00365F5B">
            <w:pPr>
              <w:pStyle w:val="TableParagraph"/>
              <w:jc w:val="both"/>
              <w:rPr>
                <w:color w:val="000000" w:themeColor="text1"/>
                <w:sz w:val="24"/>
                <w:szCs w:val="24"/>
              </w:rPr>
            </w:pPr>
          </w:p>
          <w:p w14:paraId="27DD7AD4" w14:textId="77777777" w:rsidR="003E3ED2" w:rsidRPr="00C56257" w:rsidRDefault="003E3ED2" w:rsidP="00365F5B">
            <w:pPr>
              <w:pStyle w:val="TableParagraph"/>
              <w:jc w:val="both"/>
              <w:rPr>
                <w:color w:val="000000" w:themeColor="text1"/>
                <w:sz w:val="24"/>
                <w:szCs w:val="24"/>
              </w:rPr>
            </w:pPr>
          </w:p>
          <w:p w14:paraId="76BDDD12" w14:textId="77777777" w:rsidR="003E3ED2" w:rsidRPr="00C56257" w:rsidRDefault="003E3ED2" w:rsidP="00365F5B">
            <w:pPr>
              <w:pStyle w:val="TableParagraph"/>
              <w:jc w:val="both"/>
              <w:rPr>
                <w:color w:val="000000" w:themeColor="text1"/>
                <w:sz w:val="24"/>
                <w:szCs w:val="24"/>
              </w:rPr>
            </w:pPr>
          </w:p>
          <w:p w14:paraId="6CD6F55F" w14:textId="77777777" w:rsidR="003E3ED2" w:rsidRPr="00C56257" w:rsidRDefault="003E3ED2" w:rsidP="00365F5B">
            <w:pPr>
              <w:pStyle w:val="TableParagraph"/>
              <w:jc w:val="both"/>
              <w:rPr>
                <w:color w:val="000000" w:themeColor="text1"/>
                <w:sz w:val="24"/>
                <w:szCs w:val="24"/>
              </w:rPr>
            </w:pPr>
          </w:p>
          <w:p w14:paraId="0D9024D7" w14:textId="77777777" w:rsidR="003E3ED2" w:rsidRPr="00C56257" w:rsidRDefault="003E3ED2" w:rsidP="00365F5B">
            <w:pPr>
              <w:pStyle w:val="TableParagraph"/>
              <w:jc w:val="both"/>
              <w:rPr>
                <w:color w:val="000000" w:themeColor="text1"/>
                <w:sz w:val="24"/>
                <w:szCs w:val="24"/>
              </w:rPr>
            </w:pPr>
          </w:p>
          <w:p w14:paraId="6DE21229" w14:textId="77777777" w:rsidR="003E3ED2" w:rsidRPr="00C56257" w:rsidRDefault="003E3ED2" w:rsidP="00365F5B">
            <w:pPr>
              <w:pStyle w:val="TableParagraph"/>
              <w:jc w:val="both"/>
              <w:rPr>
                <w:color w:val="000000" w:themeColor="text1"/>
                <w:sz w:val="24"/>
                <w:szCs w:val="24"/>
              </w:rPr>
            </w:pPr>
          </w:p>
          <w:p w14:paraId="14DFA8BB" w14:textId="77777777" w:rsidR="003E3ED2" w:rsidRPr="00C56257" w:rsidRDefault="003E3ED2" w:rsidP="00365F5B">
            <w:pPr>
              <w:pStyle w:val="TableParagraph"/>
              <w:jc w:val="both"/>
              <w:rPr>
                <w:color w:val="000000" w:themeColor="text1"/>
                <w:sz w:val="24"/>
                <w:szCs w:val="24"/>
              </w:rPr>
            </w:pPr>
          </w:p>
          <w:p w14:paraId="6358CEE5" w14:textId="77777777" w:rsidR="003E3ED2" w:rsidRPr="00C56257" w:rsidRDefault="003E3ED2" w:rsidP="00365F5B">
            <w:pPr>
              <w:pStyle w:val="TableParagraph"/>
              <w:jc w:val="both"/>
              <w:rPr>
                <w:color w:val="000000" w:themeColor="text1"/>
                <w:sz w:val="24"/>
                <w:szCs w:val="24"/>
              </w:rPr>
            </w:pPr>
          </w:p>
          <w:p w14:paraId="61061389" w14:textId="77777777" w:rsidR="003E3ED2" w:rsidRPr="00C56257" w:rsidRDefault="003E3ED2" w:rsidP="00365F5B">
            <w:pPr>
              <w:pStyle w:val="TableParagraph"/>
              <w:jc w:val="both"/>
              <w:rPr>
                <w:color w:val="000000" w:themeColor="text1"/>
                <w:sz w:val="24"/>
                <w:szCs w:val="24"/>
              </w:rPr>
            </w:pPr>
          </w:p>
          <w:p w14:paraId="412861A3" w14:textId="77777777" w:rsidR="003E3ED2" w:rsidRPr="00C56257" w:rsidRDefault="003E3ED2" w:rsidP="00365F5B">
            <w:pPr>
              <w:pStyle w:val="TableParagraph"/>
              <w:jc w:val="both"/>
              <w:rPr>
                <w:color w:val="000000" w:themeColor="text1"/>
                <w:sz w:val="24"/>
                <w:szCs w:val="24"/>
              </w:rPr>
            </w:pPr>
          </w:p>
          <w:p w14:paraId="45366F26" w14:textId="77777777" w:rsidR="003E3ED2" w:rsidRPr="00C56257" w:rsidRDefault="003E3ED2" w:rsidP="00365F5B">
            <w:pPr>
              <w:pStyle w:val="TableParagraph"/>
              <w:jc w:val="both"/>
              <w:rPr>
                <w:color w:val="000000" w:themeColor="text1"/>
                <w:sz w:val="24"/>
                <w:szCs w:val="24"/>
              </w:rPr>
            </w:pPr>
          </w:p>
          <w:p w14:paraId="5452E2D7" w14:textId="77777777" w:rsidR="003E3ED2" w:rsidRPr="00C56257" w:rsidRDefault="003E3ED2" w:rsidP="00365F5B">
            <w:pPr>
              <w:pStyle w:val="TableParagraph"/>
              <w:spacing w:before="198"/>
              <w:ind w:left="108" w:right="736"/>
              <w:jc w:val="both"/>
              <w:rPr>
                <w:color w:val="000000" w:themeColor="text1"/>
                <w:sz w:val="24"/>
                <w:szCs w:val="24"/>
              </w:rPr>
            </w:pPr>
            <w:r w:rsidRPr="00C56257">
              <w:rPr>
                <w:color w:val="000000" w:themeColor="text1"/>
                <w:sz w:val="24"/>
                <w:szCs w:val="24"/>
              </w:rPr>
              <w:t>6430</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Comunităţi</w:t>
            </w:r>
            <w:r w:rsidRPr="00C56257">
              <w:rPr>
                <w:color w:val="000000" w:themeColor="text1"/>
                <w:spacing w:val="-1"/>
                <w:sz w:val="24"/>
                <w:szCs w:val="24"/>
              </w:rPr>
              <w:t xml:space="preserve"> </w:t>
            </w:r>
            <w:r w:rsidRPr="00C56257">
              <w:rPr>
                <w:color w:val="000000" w:themeColor="text1"/>
                <w:sz w:val="24"/>
                <w:szCs w:val="24"/>
              </w:rPr>
              <w:t>de lizieră</w:t>
            </w:r>
            <w:r w:rsidRPr="00C56257">
              <w:rPr>
                <w:color w:val="000000" w:themeColor="text1"/>
                <w:spacing w:val="-3"/>
                <w:sz w:val="24"/>
                <w:szCs w:val="24"/>
              </w:rPr>
              <w:t xml:space="preserve"> </w:t>
            </w:r>
            <w:r w:rsidRPr="00C56257">
              <w:rPr>
                <w:color w:val="000000" w:themeColor="text1"/>
                <w:sz w:val="24"/>
                <w:szCs w:val="24"/>
              </w:rPr>
              <w:t>cu</w:t>
            </w:r>
            <w:r w:rsidRPr="00C56257">
              <w:rPr>
                <w:color w:val="000000" w:themeColor="text1"/>
                <w:spacing w:val="-1"/>
                <w:sz w:val="24"/>
                <w:szCs w:val="24"/>
              </w:rPr>
              <w:t xml:space="preserve"> </w:t>
            </w:r>
            <w:r w:rsidRPr="00C56257">
              <w:rPr>
                <w:color w:val="000000" w:themeColor="text1"/>
                <w:sz w:val="24"/>
                <w:szCs w:val="24"/>
              </w:rPr>
              <w:t>ierburi înalte</w:t>
            </w:r>
            <w:r w:rsidRPr="00C56257">
              <w:rPr>
                <w:color w:val="000000" w:themeColor="text1"/>
                <w:spacing w:val="-2"/>
                <w:sz w:val="24"/>
                <w:szCs w:val="24"/>
              </w:rPr>
              <w:t xml:space="preserve"> </w:t>
            </w:r>
            <w:r w:rsidRPr="00C56257">
              <w:rPr>
                <w:color w:val="000000" w:themeColor="text1"/>
                <w:sz w:val="24"/>
                <w:szCs w:val="24"/>
              </w:rPr>
              <w:t>higrofile</w:t>
            </w:r>
            <w:r w:rsidRPr="00C56257">
              <w:rPr>
                <w:color w:val="000000" w:themeColor="text1"/>
                <w:spacing w:val="-2"/>
                <w:sz w:val="24"/>
                <w:szCs w:val="24"/>
              </w:rPr>
              <w:t xml:space="preserve"> </w:t>
            </w:r>
            <w:r w:rsidRPr="00C56257">
              <w:rPr>
                <w:color w:val="000000" w:themeColor="text1"/>
                <w:sz w:val="24"/>
                <w:szCs w:val="24"/>
              </w:rPr>
              <w:t>de</w:t>
            </w:r>
            <w:r w:rsidRPr="00C56257">
              <w:rPr>
                <w:color w:val="000000" w:themeColor="text1"/>
                <w:spacing w:val="-1"/>
                <w:sz w:val="24"/>
                <w:szCs w:val="24"/>
              </w:rPr>
              <w:t xml:space="preserve"> </w:t>
            </w:r>
            <w:r w:rsidRPr="00C56257">
              <w:rPr>
                <w:color w:val="000000" w:themeColor="text1"/>
                <w:sz w:val="24"/>
                <w:szCs w:val="24"/>
              </w:rPr>
              <w:t>la</w:t>
            </w:r>
            <w:r w:rsidRPr="00C56257">
              <w:rPr>
                <w:color w:val="000000" w:themeColor="text1"/>
                <w:spacing w:val="-57"/>
                <w:sz w:val="24"/>
                <w:szCs w:val="24"/>
              </w:rPr>
              <w:t xml:space="preserve"> </w:t>
            </w:r>
            <w:r w:rsidRPr="00C56257">
              <w:rPr>
                <w:color w:val="000000" w:themeColor="text1"/>
                <w:sz w:val="24"/>
                <w:szCs w:val="24"/>
              </w:rPr>
              <w:t>câmpie</w:t>
            </w:r>
            <w:r w:rsidRPr="00C56257">
              <w:rPr>
                <w:color w:val="000000" w:themeColor="text1"/>
                <w:spacing w:val="-2"/>
                <w:sz w:val="24"/>
                <w:szCs w:val="24"/>
              </w:rPr>
              <w:t xml:space="preserve"> </w:t>
            </w:r>
            <w:r w:rsidRPr="00C56257">
              <w:rPr>
                <w:color w:val="000000" w:themeColor="text1"/>
                <w:sz w:val="24"/>
                <w:szCs w:val="24"/>
              </w:rPr>
              <w:t>până</w:t>
            </w:r>
            <w:r w:rsidRPr="00C56257">
              <w:rPr>
                <w:color w:val="000000" w:themeColor="text1"/>
                <w:spacing w:val="-1"/>
                <w:sz w:val="24"/>
                <w:szCs w:val="24"/>
              </w:rPr>
              <w:t xml:space="preserve"> </w:t>
            </w:r>
            <w:r w:rsidRPr="00C56257">
              <w:rPr>
                <w:color w:val="000000" w:themeColor="text1"/>
                <w:sz w:val="24"/>
                <w:szCs w:val="24"/>
              </w:rPr>
              <w:t>în etajele</w:t>
            </w:r>
            <w:r w:rsidRPr="00C56257">
              <w:rPr>
                <w:color w:val="000000" w:themeColor="text1"/>
                <w:spacing w:val="-1"/>
                <w:sz w:val="24"/>
                <w:szCs w:val="24"/>
              </w:rPr>
              <w:t xml:space="preserve"> </w:t>
            </w:r>
            <w:r w:rsidRPr="00C56257">
              <w:rPr>
                <w:color w:val="000000" w:themeColor="text1"/>
                <w:sz w:val="24"/>
                <w:szCs w:val="24"/>
              </w:rPr>
              <w:t>montan şi</w:t>
            </w:r>
            <w:r w:rsidRPr="00C56257">
              <w:rPr>
                <w:color w:val="000000" w:themeColor="text1"/>
                <w:spacing w:val="-1"/>
                <w:sz w:val="24"/>
                <w:szCs w:val="24"/>
              </w:rPr>
              <w:t xml:space="preserve"> </w:t>
            </w:r>
            <w:r w:rsidRPr="00C56257">
              <w:rPr>
                <w:color w:val="000000" w:themeColor="text1"/>
                <w:sz w:val="24"/>
                <w:szCs w:val="24"/>
              </w:rPr>
              <w:t>alpin</w:t>
            </w:r>
          </w:p>
        </w:tc>
        <w:tc>
          <w:tcPr>
            <w:tcW w:w="2410" w:type="dxa"/>
            <w:vAlign w:val="bottom"/>
          </w:tcPr>
          <w:p w14:paraId="0AD52A60" w14:textId="77777777" w:rsidR="003E3ED2" w:rsidRPr="003E3ED2" w:rsidRDefault="003E3ED2" w:rsidP="00365F5B">
            <w:pPr>
              <w:pStyle w:val="TableParagraph"/>
              <w:ind w:left="93" w:right="87"/>
              <w:jc w:val="both"/>
              <w:rPr>
                <w:color w:val="000000" w:themeColor="text1"/>
              </w:rPr>
            </w:pPr>
            <w:r w:rsidRPr="003E3ED2">
              <w:rPr>
                <w:color w:val="000000"/>
              </w:rPr>
              <w:t>ROSCI0002</w:t>
            </w:r>
          </w:p>
        </w:tc>
        <w:tc>
          <w:tcPr>
            <w:tcW w:w="3885" w:type="dxa"/>
            <w:vAlign w:val="bottom"/>
          </w:tcPr>
          <w:p w14:paraId="2EC7574E" w14:textId="77777777" w:rsidR="003E3ED2" w:rsidRPr="003E3ED2" w:rsidRDefault="003E3ED2" w:rsidP="00365F5B">
            <w:pPr>
              <w:pStyle w:val="TableParagraph"/>
              <w:ind w:left="91" w:right="82"/>
              <w:jc w:val="both"/>
              <w:rPr>
                <w:color w:val="000000" w:themeColor="text1"/>
              </w:rPr>
            </w:pPr>
            <w:r w:rsidRPr="003E3ED2">
              <w:rPr>
                <w:color w:val="000000"/>
              </w:rPr>
              <w:t>Apuseni</w:t>
            </w:r>
          </w:p>
        </w:tc>
      </w:tr>
      <w:tr w:rsidR="003E3ED2" w:rsidRPr="00C56257" w14:paraId="025F2FA4" w14:textId="77777777" w:rsidTr="00993B86">
        <w:trPr>
          <w:trHeight w:val="275"/>
        </w:trPr>
        <w:tc>
          <w:tcPr>
            <w:tcW w:w="3410" w:type="dxa"/>
            <w:vMerge/>
            <w:tcBorders>
              <w:top w:val="nil"/>
            </w:tcBorders>
          </w:tcPr>
          <w:p w14:paraId="61DF9311" w14:textId="77777777" w:rsidR="003E3ED2" w:rsidRPr="00C56257" w:rsidRDefault="003E3ED2" w:rsidP="00365F5B">
            <w:pPr>
              <w:jc w:val="both"/>
              <w:rPr>
                <w:color w:val="000000" w:themeColor="text1"/>
              </w:rPr>
            </w:pPr>
          </w:p>
        </w:tc>
        <w:tc>
          <w:tcPr>
            <w:tcW w:w="2410" w:type="dxa"/>
            <w:vAlign w:val="bottom"/>
          </w:tcPr>
          <w:p w14:paraId="5919E285" w14:textId="77777777" w:rsidR="003E3ED2" w:rsidRPr="003E3ED2" w:rsidRDefault="003E3ED2" w:rsidP="00365F5B">
            <w:pPr>
              <w:pStyle w:val="TableParagraph"/>
              <w:ind w:left="93" w:right="87"/>
              <w:jc w:val="both"/>
              <w:rPr>
                <w:color w:val="000000" w:themeColor="text1"/>
              </w:rPr>
            </w:pPr>
            <w:r w:rsidRPr="003E3ED2">
              <w:rPr>
                <w:color w:val="000000"/>
              </w:rPr>
              <w:t>ROSCI0006</w:t>
            </w:r>
          </w:p>
        </w:tc>
        <w:tc>
          <w:tcPr>
            <w:tcW w:w="3885" w:type="dxa"/>
            <w:vAlign w:val="bottom"/>
          </w:tcPr>
          <w:p w14:paraId="5113DF02" w14:textId="77777777" w:rsidR="003E3ED2" w:rsidRPr="003E3ED2" w:rsidRDefault="003E3ED2" w:rsidP="00365F5B">
            <w:pPr>
              <w:pStyle w:val="TableParagraph"/>
              <w:ind w:left="91" w:right="84"/>
              <w:jc w:val="both"/>
              <w:rPr>
                <w:color w:val="000000" w:themeColor="text1"/>
              </w:rPr>
            </w:pPr>
            <w:r w:rsidRPr="003E3ED2">
              <w:rPr>
                <w:color w:val="000000"/>
              </w:rPr>
              <w:t>Balta Mică a Brăilei</w:t>
            </w:r>
          </w:p>
        </w:tc>
      </w:tr>
      <w:tr w:rsidR="003E3ED2" w:rsidRPr="00C56257" w14:paraId="08B53244" w14:textId="77777777" w:rsidTr="00993B86">
        <w:trPr>
          <w:trHeight w:val="275"/>
        </w:trPr>
        <w:tc>
          <w:tcPr>
            <w:tcW w:w="3410" w:type="dxa"/>
            <w:vMerge/>
            <w:tcBorders>
              <w:top w:val="nil"/>
            </w:tcBorders>
          </w:tcPr>
          <w:p w14:paraId="18B346E0" w14:textId="77777777" w:rsidR="003E3ED2" w:rsidRPr="00C56257" w:rsidRDefault="003E3ED2" w:rsidP="00365F5B">
            <w:pPr>
              <w:jc w:val="both"/>
              <w:rPr>
                <w:color w:val="000000" w:themeColor="text1"/>
              </w:rPr>
            </w:pPr>
          </w:p>
        </w:tc>
        <w:tc>
          <w:tcPr>
            <w:tcW w:w="2410" w:type="dxa"/>
            <w:vAlign w:val="bottom"/>
          </w:tcPr>
          <w:p w14:paraId="30B2BDDE" w14:textId="77777777" w:rsidR="003E3ED2" w:rsidRPr="003E3ED2" w:rsidRDefault="003E3ED2" w:rsidP="00365F5B">
            <w:pPr>
              <w:pStyle w:val="TableParagraph"/>
              <w:ind w:left="93" w:right="87"/>
              <w:jc w:val="both"/>
              <w:rPr>
                <w:color w:val="000000" w:themeColor="text1"/>
              </w:rPr>
            </w:pPr>
            <w:r w:rsidRPr="003E3ED2">
              <w:rPr>
                <w:color w:val="000000"/>
              </w:rPr>
              <w:t>ROSCI0007</w:t>
            </w:r>
          </w:p>
        </w:tc>
        <w:tc>
          <w:tcPr>
            <w:tcW w:w="3885" w:type="dxa"/>
            <w:vAlign w:val="bottom"/>
          </w:tcPr>
          <w:p w14:paraId="542ACADC" w14:textId="77777777" w:rsidR="003E3ED2" w:rsidRPr="003E3ED2" w:rsidRDefault="003E3ED2" w:rsidP="00365F5B">
            <w:pPr>
              <w:pStyle w:val="TableParagraph"/>
              <w:ind w:left="91" w:right="79"/>
              <w:jc w:val="both"/>
              <w:rPr>
                <w:color w:val="000000" w:themeColor="text1"/>
              </w:rPr>
            </w:pPr>
            <w:r w:rsidRPr="003E3ED2">
              <w:rPr>
                <w:color w:val="000000"/>
              </w:rPr>
              <w:t>Bazinul Ciucului de Jos</w:t>
            </w:r>
          </w:p>
        </w:tc>
      </w:tr>
      <w:tr w:rsidR="003E3ED2" w:rsidRPr="00C56257" w14:paraId="41663284" w14:textId="77777777" w:rsidTr="00993B86">
        <w:trPr>
          <w:trHeight w:val="275"/>
        </w:trPr>
        <w:tc>
          <w:tcPr>
            <w:tcW w:w="3410" w:type="dxa"/>
            <w:vMerge/>
            <w:tcBorders>
              <w:top w:val="nil"/>
            </w:tcBorders>
          </w:tcPr>
          <w:p w14:paraId="2A56141A" w14:textId="77777777" w:rsidR="003E3ED2" w:rsidRPr="00C56257" w:rsidRDefault="003E3ED2" w:rsidP="00365F5B">
            <w:pPr>
              <w:jc w:val="both"/>
              <w:rPr>
                <w:color w:val="000000" w:themeColor="text1"/>
              </w:rPr>
            </w:pPr>
          </w:p>
        </w:tc>
        <w:tc>
          <w:tcPr>
            <w:tcW w:w="2410" w:type="dxa"/>
            <w:vAlign w:val="bottom"/>
          </w:tcPr>
          <w:p w14:paraId="434DE22B" w14:textId="77777777" w:rsidR="003E3ED2" w:rsidRPr="003E3ED2" w:rsidRDefault="003E3ED2" w:rsidP="00365F5B">
            <w:pPr>
              <w:pStyle w:val="TableParagraph"/>
              <w:ind w:left="93" w:right="87"/>
              <w:jc w:val="both"/>
              <w:rPr>
                <w:color w:val="000000" w:themeColor="text1"/>
              </w:rPr>
            </w:pPr>
            <w:r w:rsidRPr="003E3ED2">
              <w:rPr>
                <w:color w:val="000000"/>
              </w:rPr>
              <w:t>ROSCI0012</w:t>
            </w:r>
          </w:p>
        </w:tc>
        <w:tc>
          <w:tcPr>
            <w:tcW w:w="3885" w:type="dxa"/>
            <w:vAlign w:val="bottom"/>
          </w:tcPr>
          <w:p w14:paraId="1DEA525B" w14:textId="77777777" w:rsidR="003E3ED2" w:rsidRPr="003E3ED2" w:rsidRDefault="003E3ED2" w:rsidP="00365F5B">
            <w:pPr>
              <w:pStyle w:val="TableParagraph"/>
              <w:ind w:left="91" w:right="83"/>
              <w:jc w:val="both"/>
              <w:rPr>
                <w:color w:val="000000" w:themeColor="text1"/>
              </w:rPr>
            </w:pPr>
            <w:r w:rsidRPr="003E3ED2">
              <w:rPr>
                <w:color w:val="000000"/>
              </w:rPr>
              <w:t>Brațul Măcin</w:t>
            </w:r>
          </w:p>
        </w:tc>
      </w:tr>
      <w:tr w:rsidR="003E3ED2" w:rsidRPr="00C56257" w14:paraId="0035E61C" w14:textId="77777777" w:rsidTr="00993B86">
        <w:trPr>
          <w:trHeight w:val="275"/>
        </w:trPr>
        <w:tc>
          <w:tcPr>
            <w:tcW w:w="3410" w:type="dxa"/>
            <w:vMerge/>
            <w:tcBorders>
              <w:top w:val="nil"/>
            </w:tcBorders>
          </w:tcPr>
          <w:p w14:paraId="08ACDA68" w14:textId="77777777" w:rsidR="003E3ED2" w:rsidRPr="00C56257" w:rsidRDefault="003E3ED2" w:rsidP="00365F5B">
            <w:pPr>
              <w:jc w:val="both"/>
              <w:rPr>
                <w:color w:val="000000" w:themeColor="text1"/>
              </w:rPr>
            </w:pPr>
          </w:p>
        </w:tc>
        <w:tc>
          <w:tcPr>
            <w:tcW w:w="2410" w:type="dxa"/>
            <w:vAlign w:val="bottom"/>
          </w:tcPr>
          <w:p w14:paraId="6A438332" w14:textId="77777777" w:rsidR="003E3ED2" w:rsidRPr="003E3ED2" w:rsidRDefault="003E3ED2" w:rsidP="00365F5B">
            <w:pPr>
              <w:pStyle w:val="TableParagraph"/>
              <w:ind w:left="94" w:right="86"/>
              <w:jc w:val="both"/>
              <w:rPr>
                <w:color w:val="000000" w:themeColor="text1"/>
              </w:rPr>
            </w:pPr>
            <w:r w:rsidRPr="003E3ED2">
              <w:rPr>
                <w:color w:val="000000"/>
              </w:rPr>
              <w:t>ROSCI0013</w:t>
            </w:r>
          </w:p>
        </w:tc>
        <w:tc>
          <w:tcPr>
            <w:tcW w:w="3885" w:type="dxa"/>
            <w:vAlign w:val="bottom"/>
          </w:tcPr>
          <w:p w14:paraId="3B0D16F1" w14:textId="77777777" w:rsidR="003E3ED2" w:rsidRPr="003E3ED2" w:rsidRDefault="003E3ED2" w:rsidP="00365F5B">
            <w:pPr>
              <w:pStyle w:val="TableParagraph"/>
              <w:ind w:left="91" w:right="85"/>
              <w:jc w:val="both"/>
              <w:rPr>
                <w:color w:val="000000" w:themeColor="text1"/>
              </w:rPr>
            </w:pPr>
            <w:r w:rsidRPr="003E3ED2">
              <w:rPr>
                <w:color w:val="000000"/>
              </w:rPr>
              <w:t>Bucegi</w:t>
            </w:r>
          </w:p>
        </w:tc>
      </w:tr>
      <w:tr w:rsidR="003E3ED2" w:rsidRPr="00C56257" w14:paraId="7A99293B" w14:textId="77777777" w:rsidTr="00993B86">
        <w:trPr>
          <w:trHeight w:val="277"/>
        </w:trPr>
        <w:tc>
          <w:tcPr>
            <w:tcW w:w="3410" w:type="dxa"/>
            <w:vMerge/>
            <w:tcBorders>
              <w:top w:val="nil"/>
            </w:tcBorders>
          </w:tcPr>
          <w:p w14:paraId="2EC96962" w14:textId="77777777" w:rsidR="003E3ED2" w:rsidRPr="00C56257" w:rsidRDefault="003E3ED2" w:rsidP="00365F5B">
            <w:pPr>
              <w:jc w:val="both"/>
              <w:rPr>
                <w:color w:val="000000" w:themeColor="text1"/>
              </w:rPr>
            </w:pPr>
          </w:p>
        </w:tc>
        <w:tc>
          <w:tcPr>
            <w:tcW w:w="2410" w:type="dxa"/>
            <w:vAlign w:val="bottom"/>
          </w:tcPr>
          <w:p w14:paraId="7FDCAAB1" w14:textId="77777777" w:rsidR="003E3ED2" w:rsidRPr="003E3ED2" w:rsidRDefault="003E3ED2" w:rsidP="00172455">
            <w:pPr>
              <w:pStyle w:val="TableParagraph"/>
              <w:spacing w:line="258" w:lineRule="exact"/>
              <w:ind w:left="93" w:right="87"/>
              <w:jc w:val="both"/>
              <w:rPr>
                <w:color w:val="000000" w:themeColor="text1"/>
              </w:rPr>
            </w:pPr>
            <w:r w:rsidRPr="003E3ED2">
              <w:rPr>
                <w:color w:val="000000"/>
              </w:rPr>
              <w:t>ROS</w:t>
            </w:r>
            <w:r w:rsidR="00172455">
              <w:rPr>
                <w:color w:val="000000"/>
              </w:rPr>
              <w:t>AC</w:t>
            </w:r>
            <w:r w:rsidRPr="003E3ED2">
              <w:rPr>
                <w:color w:val="000000"/>
              </w:rPr>
              <w:t>0015</w:t>
            </w:r>
          </w:p>
        </w:tc>
        <w:tc>
          <w:tcPr>
            <w:tcW w:w="3885" w:type="dxa"/>
            <w:vAlign w:val="bottom"/>
          </w:tcPr>
          <w:p w14:paraId="4F8D4B93" w14:textId="77777777" w:rsidR="003E3ED2" w:rsidRPr="003E3ED2" w:rsidRDefault="003E3ED2" w:rsidP="00365F5B">
            <w:pPr>
              <w:pStyle w:val="TableParagraph"/>
              <w:spacing w:line="258" w:lineRule="exact"/>
              <w:ind w:left="91" w:right="85"/>
              <w:jc w:val="both"/>
              <w:rPr>
                <w:color w:val="000000" w:themeColor="text1"/>
              </w:rPr>
            </w:pPr>
            <w:r w:rsidRPr="003E3ED2">
              <w:rPr>
                <w:color w:val="000000"/>
              </w:rPr>
              <w:t>Buila - Vânturarița</w:t>
            </w:r>
          </w:p>
        </w:tc>
      </w:tr>
      <w:tr w:rsidR="003E3ED2" w:rsidRPr="00C56257" w14:paraId="42025B60" w14:textId="77777777" w:rsidTr="00993B86">
        <w:trPr>
          <w:trHeight w:val="276"/>
        </w:trPr>
        <w:tc>
          <w:tcPr>
            <w:tcW w:w="3410" w:type="dxa"/>
            <w:vMerge/>
            <w:tcBorders>
              <w:top w:val="nil"/>
            </w:tcBorders>
          </w:tcPr>
          <w:p w14:paraId="60CFACAD" w14:textId="77777777" w:rsidR="003E3ED2" w:rsidRPr="00C56257" w:rsidRDefault="003E3ED2" w:rsidP="00365F5B">
            <w:pPr>
              <w:jc w:val="both"/>
              <w:rPr>
                <w:color w:val="000000" w:themeColor="text1"/>
              </w:rPr>
            </w:pPr>
          </w:p>
        </w:tc>
        <w:tc>
          <w:tcPr>
            <w:tcW w:w="2410" w:type="dxa"/>
            <w:vAlign w:val="bottom"/>
          </w:tcPr>
          <w:p w14:paraId="1A204696" w14:textId="77777777" w:rsidR="003E3ED2" w:rsidRPr="003E3ED2" w:rsidRDefault="003E3ED2" w:rsidP="00365F5B">
            <w:pPr>
              <w:pStyle w:val="TableParagraph"/>
              <w:ind w:left="93" w:right="87"/>
              <w:jc w:val="both"/>
              <w:rPr>
                <w:color w:val="000000" w:themeColor="text1"/>
              </w:rPr>
            </w:pPr>
            <w:r w:rsidRPr="003E3ED2">
              <w:rPr>
                <w:color w:val="000000"/>
              </w:rPr>
              <w:t>ROSCI0016</w:t>
            </w:r>
          </w:p>
        </w:tc>
        <w:tc>
          <w:tcPr>
            <w:tcW w:w="3885" w:type="dxa"/>
            <w:vAlign w:val="bottom"/>
          </w:tcPr>
          <w:p w14:paraId="6340A4E2" w14:textId="77777777" w:rsidR="003E3ED2" w:rsidRPr="003E3ED2" w:rsidRDefault="003E3ED2" w:rsidP="00365F5B">
            <w:pPr>
              <w:pStyle w:val="TableParagraph"/>
              <w:ind w:left="91" w:right="80"/>
              <w:jc w:val="both"/>
              <w:rPr>
                <w:color w:val="000000" w:themeColor="text1"/>
              </w:rPr>
            </w:pPr>
            <w:r w:rsidRPr="003E3ED2">
              <w:rPr>
                <w:color w:val="000000"/>
              </w:rPr>
              <w:t>Buteasa</w:t>
            </w:r>
          </w:p>
        </w:tc>
      </w:tr>
      <w:tr w:rsidR="003E3ED2" w:rsidRPr="00C56257" w14:paraId="54D27369" w14:textId="77777777" w:rsidTr="00993B86">
        <w:trPr>
          <w:trHeight w:val="275"/>
        </w:trPr>
        <w:tc>
          <w:tcPr>
            <w:tcW w:w="3410" w:type="dxa"/>
            <w:vMerge/>
            <w:tcBorders>
              <w:top w:val="nil"/>
            </w:tcBorders>
          </w:tcPr>
          <w:p w14:paraId="6F785394" w14:textId="77777777" w:rsidR="003E3ED2" w:rsidRPr="00C56257" w:rsidRDefault="003E3ED2" w:rsidP="00365F5B">
            <w:pPr>
              <w:jc w:val="both"/>
              <w:rPr>
                <w:color w:val="000000" w:themeColor="text1"/>
              </w:rPr>
            </w:pPr>
          </w:p>
        </w:tc>
        <w:tc>
          <w:tcPr>
            <w:tcW w:w="2410" w:type="dxa"/>
            <w:vAlign w:val="bottom"/>
          </w:tcPr>
          <w:p w14:paraId="762B4F92" w14:textId="77777777" w:rsidR="003E3ED2" w:rsidRPr="003E3ED2" w:rsidRDefault="003E3ED2" w:rsidP="00365F5B">
            <w:pPr>
              <w:pStyle w:val="TableParagraph"/>
              <w:ind w:left="93" w:right="87"/>
              <w:jc w:val="both"/>
              <w:rPr>
                <w:color w:val="000000" w:themeColor="text1"/>
              </w:rPr>
            </w:pPr>
            <w:r w:rsidRPr="003E3ED2">
              <w:rPr>
                <w:color w:val="000000"/>
              </w:rPr>
              <w:t>ROSCI0019</w:t>
            </w:r>
          </w:p>
        </w:tc>
        <w:tc>
          <w:tcPr>
            <w:tcW w:w="3885" w:type="dxa"/>
            <w:vAlign w:val="bottom"/>
          </w:tcPr>
          <w:p w14:paraId="76988926" w14:textId="77777777" w:rsidR="003E3ED2" w:rsidRPr="003E3ED2" w:rsidRDefault="003E3ED2" w:rsidP="00365F5B">
            <w:pPr>
              <w:pStyle w:val="TableParagraph"/>
              <w:ind w:left="91" w:right="85"/>
              <w:jc w:val="both"/>
              <w:rPr>
                <w:color w:val="000000" w:themeColor="text1"/>
              </w:rPr>
            </w:pPr>
            <w:r w:rsidRPr="003E3ED2">
              <w:rPr>
                <w:color w:val="000000"/>
              </w:rPr>
              <w:t>Călimani - Gurghiu</w:t>
            </w:r>
          </w:p>
        </w:tc>
      </w:tr>
      <w:tr w:rsidR="003E3ED2" w:rsidRPr="00C56257" w14:paraId="646D33E5" w14:textId="77777777" w:rsidTr="00993B86">
        <w:trPr>
          <w:trHeight w:val="275"/>
        </w:trPr>
        <w:tc>
          <w:tcPr>
            <w:tcW w:w="3410" w:type="dxa"/>
            <w:vMerge/>
            <w:tcBorders>
              <w:top w:val="nil"/>
            </w:tcBorders>
          </w:tcPr>
          <w:p w14:paraId="28A25FAF" w14:textId="77777777" w:rsidR="003E3ED2" w:rsidRPr="00C56257" w:rsidRDefault="003E3ED2" w:rsidP="00365F5B">
            <w:pPr>
              <w:jc w:val="both"/>
              <w:rPr>
                <w:color w:val="000000" w:themeColor="text1"/>
              </w:rPr>
            </w:pPr>
          </w:p>
        </w:tc>
        <w:tc>
          <w:tcPr>
            <w:tcW w:w="2410" w:type="dxa"/>
            <w:vAlign w:val="bottom"/>
          </w:tcPr>
          <w:p w14:paraId="783D7C8F" w14:textId="77777777" w:rsidR="003E3ED2" w:rsidRPr="003E3ED2" w:rsidRDefault="003E3ED2" w:rsidP="00365F5B">
            <w:pPr>
              <w:pStyle w:val="TableParagraph"/>
              <w:ind w:left="93" w:right="87"/>
              <w:jc w:val="both"/>
              <w:rPr>
                <w:color w:val="000000" w:themeColor="text1"/>
              </w:rPr>
            </w:pPr>
            <w:r w:rsidRPr="003E3ED2">
              <w:rPr>
                <w:color w:val="000000"/>
              </w:rPr>
              <w:t>ROSCI0020</w:t>
            </w:r>
          </w:p>
        </w:tc>
        <w:tc>
          <w:tcPr>
            <w:tcW w:w="3885" w:type="dxa"/>
            <w:vAlign w:val="bottom"/>
          </w:tcPr>
          <w:p w14:paraId="69E07ECB" w14:textId="77777777" w:rsidR="003E3ED2" w:rsidRPr="003E3ED2" w:rsidRDefault="003E3ED2" w:rsidP="00365F5B">
            <w:pPr>
              <w:pStyle w:val="TableParagraph"/>
              <w:ind w:left="91" w:right="82"/>
              <w:jc w:val="both"/>
              <w:rPr>
                <w:color w:val="000000" w:themeColor="text1"/>
              </w:rPr>
            </w:pPr>
            <w:r w:rsidRPr="003E3ED2">
              <w:rPr>
                <w:color w:val="000000"/>
              </w:rPr>
              <w:t>Câmpia Careiului</w:t>
            </w:r>
          </w:p>
        </w:tc>
      </w:tr>
      <w:tr w:rsidR="003E3ED2" w:rsidRPr="00C56257" w14:paraId="38C8BAAE" w14:textId="77777777" w:rsidTr="00993B86">
        <w:trPr>
          <w:trHeight w:val="275"/>
        </w:trPr>
        <w:tc>
          <w:tcPr>
            <w:tcW w:w="3410" w:type="dxa"/>
            <w:vMerge/>
            <w:tcBorders>
              <w:top w:val="nil"/>
            </w:tcBorders>
          </w:tcPr>
          <w:p w14:paraId="4C6CC596" w14:textId="77777777" w:rsidR="003E3ED2" w:rsidRPr="00C56257" w:rsidRDefault="003E3ED2" w:rsidP="00365F5B">
            <w:pPr>
              <w:jc w:val="both"/>
              <w:rPr>
                <w:color w:val="000000" w:themeColor="text1"/>
              </w:rPr>
            </w:pPr>
          </w:p>
        </w:tc>
        <w:tc>
          <w:tcPr>
            <w:tcW w:w="2410" w:type="dxa"/>
            <w:vAlign w:val="bottom"/>
          </w:tcPr>
          <w:p w14:paraId="03E4ECD4" w14:textId="77777777" w:rsidR="003E3ED2" w:rsidRPr="003E3ED2" w:rsidRDefault="003E3ED2" w:rsidP="00365F5B">
            <w:pPr>
              <w:pStyle w:val="TableParagraph"/>
              <w:ind w:left="93" w:right="87"/>
              <w:jc w:val="both"/>
              <w:rPr>
                <w:color w:val="000000" w:themeColor="text1"/>
              </w:rPr>
            </w:pPr>
            <w:r w:rsidRPr="003E3ED2">
              <w:rPr>
                <w:color w:val="000000"/>
              </w:rPr>
              <w:t>ROSCI0021</w:t>
            </w:r>
          </w:p>
        </w:tc>
        <w:tc>
          <w:tcPr>
            <w:tcW w:w="3885" w:type="dxa"/>
            <w:vAlign w:val="bottom"/>
          </w:tcPr>
          <w:p w14:paraId="005E329F" w14:textId="77777777" w:rsidR="003E3ED2" w:rsidRPr="003E3ED2" w:rsidRDefault="003E3ED2" w:rsidP="00365F5B">
            <w:pPr>
              <w:pStyle w:val="TableParagraph"/>
              <w:ind w:left="90" w:right="85"/>
              <w:jc w:val="both"/>
              <w:rPr>
                <w:color w:val="000000" w:themeColor="text1"/>
              </w:rPr>
            </w:pPr>
            <w:r w:rsidRPr="003E3ED2">
              <w:rPr>
                <w:color w:val="000000"/>
              </w:rPr>
              <w:t>Câmpia Ierului</w:t>
            </w:r>
          </w:p>
        </w:tc>
      </w:tr>
      <w:tr w:rsidR="003E3ED2" w:rsidRPr="00C56257" w14:paraId="3195F800" w14:textId="77777777" w:rsidTr="00993B86">
        <w:trPr>
          <w:trHeight w:val="275"/>
        </w:trPr>
        <w:tc>
          <w:tcPr>
            <w:tcW w:w="3410" w:type="dxa"/>
            <w:vMerge/>
            <w:tcBorders>
              <w:top w:val="nil"/>
            </w:tcBorders>
          </w:tcPr>
          <w:p w14:paraId="07AE728B" w14:textId="77777777" w:rsidR="003E3ED2" w:rsidRPr="00C56257" w:rsidRDefault="003E3ED2" w:rsidP="00365F5B">
            <w:pPr>
              <w:jc w:val="both"/>
              <w:rPr>
                <w:color w:val="000000" w:themeColor="text1"/>
              </w:rPr>
            </w:pPr>
          </w:p>
        </w:tc>
        <w:tc>
          <w:tcPr>
            <w:tcW w:w="2410" w:type="dxa"/>
            <w:vAlign w:val="bottom"/>
          </w:tcPr>
          <w:p w14:paraId="4A6CEB61" w14:textId="77777777" w:rsidR="003E3ED2" w:rsidRPr="003E3ED2" w:rsidRDefault="003E3ED2" w:rsidP="00172455">
            <w:pPr>
              <w:pStyle w:val="TableParagraph"/>
              <w:ind w:left="93" w:right="87"/>
              <w:jc w:val="both"/>
              <w:rPr>
                <w:color w:val="000000" w:themeColor="text1"/>
              </w:rPr>
            </w:pPr>
            <w:r w:rsidRPr="003E3ED2">
              <w:rPr>
                <w:color w:val="000000"/>
              </w:rPr>
              <w:t>ROS</w:t>
            </w:r>
            <w:r w:rsidR="00172455">
              <w:rPr>
                <w:color w:val="000000"/>
              </w:rPr>
              <w:t>AC</w:t>
            </w:r>
            <w:r w:rsidRPr="003E3ED2">
              <w:rPr>
                <w:color w:val="000000"/>
              </w:rPr>
              <w:t>0022</w:t>
            </w:r>
          </w:p>
        </w:tc>
        <w:tc>
          <w:tcPr>
            <w:tcW w:w="3885" w:type="dxa"/>
            <w:vAlign w:val="bottom"/>
          </w:tcPr>
          <w:p w14:paraId="4F8EBA82" w14:textId="77777777" w:rsidR="003E3ED2" w:rsidRPr="003E3ED2" w:rsidRDefault="003E3ED2" w:rsidP="00365F5B">
            <w:pPr>
              <w:pStyle w:val="TableParagraph"/>
              <w:ind w:left="91" w:right="82"/>
              <w:jc w:val="both"/>
              <w:rPr>
                <w:color w:val="000000" w:themeColor="text1"/>
              </w:rPr>
            </w:pPr>
            <w:r w:rsidRPr="003E3ED2">
              <w:rPr>
                <w:color w:val="000000"/>
              </w:rPr>
              <w:t>Canaralele Dunării</w:t>
            </w:r>
          </w:p>
        </w:tc>
      </w:tr>
      <w:tr w:rsidR="003E3ED2" w:rsidRPr="00C56257" w14:paraId="484BEBF8" w14:textId="77777777" w:rsidTr="00993B86">
        <w:trPr>
          <w:trHeight w:val="277"/>
        </w:trPr>
        <w:tc>
          <w:tcPr>
            <w:tcW w:w="3410" w:type="dxa"/>
            <w:vMerge/>
            <w:tcBorders>
              <w:top w:val="nil"/>
            </w:tcBorders>
          </w:tcPr>
          <w:p w14:paraId="6157EB9E" w14:textId="77777777" w:rsidR="003E3ED2" w:rsidRPr="00C56257" w:rsidRDefault="003E3ED2" w:rsidP="00365F5B">
            <w:pPr>
              <w:jc w:val="both"/>
              <w:rPr>
                <w:color w:val="000000" w:themeColor="text1"/>
              </w:rPr>
            </w:pPr>
          </w:p>
        </w:tc>
        <w:tc>
          <w:tcPr>
            <w:tcW w:w="2410" w:type="dxa"/>
            <w:vAlign w:val="bottom"/>
          </w:tcPr>
          <w:p w14:paraId="04F70184" w14:textId="77777777" w:rsidR="003E3ED2" w:rsidRPr="003E3ED2" w:rsidRDefault="003E3ED2" w:rsidP="00365F5B">
            <w:pPr>
              <w:pStyle w:val="TableParagraph"/>
              <w:spacing w:line="258" w:lineRule="exact"/>
              <w:ind w:left="93" w:right="87"/>
              <w:jc w:val="both"/>
              <w:rPr>
                <w:color w:val="000000" w:themeColor="text1"/>
              </w:rPr>
            </w:pPr>
            <w:r w:rsidRPr="003E3ED2">
              <w:rPr>
                <w:color w:val="000000"/>
              </w:rPr>
              <w:t>ROSCI0024</w:t>
            </w:r>
          </w:p>
        </w:tc>
        <w:tc>
          <w:tcPr>
            <w:tcW w:w="3885" w:type="dxa"/>
            <w:vAlign w:val="bottom"/>
          </w:tcPr>
          <w:p w14:paraId="1301D4C3" w14:textId="77777777" w:rsidR="003E3ED2" w:rsidRPr="003E3ED2" w:rsidRDefault="003E3ED2" w:rsidP="00365F5B">
            <w:pPr>
              <w:pStyle w:val="TableParagraph"/>
              <w:spacing w:line="258" w:lineRule="exact"/>
              <w:ind w:left="89" w:right="85"/>
              <w:jc w:val="both"/>
              <w:rPr>
                <w:color w:val="000000" w:themeColor="text1"/>
              </w:rPr>
            </w:pPr>
            <w:r w:rsidRPr="003E3ED2">
              <w:rPr>
                <w:color w:val="000000"/>
              </w:rPr>
              <w:t>Ceahlău</w:t>
            </w:r>
          </w:p>
        </w:tc>
      </w:tr>
      <w:tr w:rsidR="003E3ED2" w:rsidRPr="00C56257" w14:paraId="7E334C6C" w14:textId="77777777" w:rsidTr="00993B86">
        <w:trPr>
          <w:trHeight w:val="275"/>
        </w:trPr>
        <w:tc>
          <w:tcPr>
            <w:tcW w:w="3410" w:type="dxa"/>
            <w:vMerge/>
            <w:tcBorders>
              <w:top w:val="nil"/>
            </w:tcBorders>
          </w:tcPr>
          <w:p w14:paraId="23A86C9A" w14:textId="77777777" w:rsidR="003E3ED2" w:rsidRPr="00C56257" w:rsidRDefault="003E3ED2" w:rsidP="00365F5B">
            <w:pPr>
              <w:jc w:val="both"/>
              <w:rPr>
                <w:color w:val="000000" w:themeColor="text1"/>
              </w:rPr>
            </w:pPr>
          </w:p>
        </w:tc>
        <w:tc>
          <w:tcPr>
            <w:tcW w:w="2410" w:type="dxa"/>
            <w:vAlign w:val="bottom"/>
          </w:tcPr>
          <w:p w14:paraId="0F5B0BD1" w14:textId="77777777" w:rsidR="003E3ED2" w:rsidRPr="003E3ED2" w:rsidRDefault="003E3ED2" w:rsidP="00365F5B">
            <w:pPr>
              <w:pStyle w:val="TableParagraph"/>
              <w:ind w:left="93" w:right="87"/>
              <w:jc w:val="both"/>
              <w:rPr>
                <w:color w:val="000000" w:themeColor="text1"/>
              </w:rPr>
            </w:pPr>
            <w:r w:rsidRPr="003E3ED2">
              <w:rPr>
                <w:color w:val="000000"/>
              </w:rPr>
              <w:t>ROSCI0025</w:t>
            </w:r>
          </w:p>
        </w:tc>
        <w:tc>
          <w:tcPr>
            <w:tcW w:w="3885" w:type="dxa"/>
            <w:vAlign w:val="bottom"/>
          </w:tcPr>
          <w:p w14:paraId="32E1096C" w14:textId="77777777" w:rsidR="003E3ED2" w:rsidRPr="003E3ED2" w:rsidRDefault="003E3ED2" w:rsidP="00365F5B">
            <w:pPr>
              <w:pStyle w:val="TableParagraph"/>
              <w:ind w:left="91" w:right="81"/>
              <w:jc w:val="both"/>
              <w:rPr>
                <w:color w:val="000000" w:themeColor="text1"/>
              </w:rPr>
            </w:pPr>
            <w:r w:rsidRPr="003E3ED2">
              <w:rPr>
                <w:color w:val="000000"/>
              </w:rPr>
              <w:t>Cefa</w:t>
            </w:r>
          </w:p>
        </w:tc>
      </w:tr>
      <w:tr w:rsidR="003E3ED2" w:rsidRPr="00C56257" w14:paraId="4EAE2F3E" w14:textId="77777777" w:rsidTr="00993B86">
        <w:trPr>
          <w:trHeight w:val="275"/>
        </w:trPr>
        <w:tc>
          <w:tcPr>
            <w:tcW w:w="3410" w:type="dxa"/>
            <w:vMerge/>
            <w:tcBorders>
              <w:top w:val="nil"/>
            </w:tcBorders>
          </w:tcPr>
          <w:p w14:paraId="1107C36C" w14:textId="77777777" w:rsidR="003E3ED2" w:rsidRPr="00C56257" w:rsidRDefault="003E3ED2" w:rsidP="00365F5B">
            <w:pPr>
              <w:jc w:val="both"/>
              <w:rPr>
                <w:color w:val="000000" w:themeColor="text1"/>
              </w:rPr>
            </w:pPr>
          </w:p>
        </w:tc>
        <w:tc>
          <w:tcPr>
            <w:tcW w:w="2410" w:type="dxa"/>
            <w:vAlign w:val="bottom"/>
          </w:tcPr>
          <w:p w14:paraId="71E0C732" w14:textId="77777777" w:rsidR="003E3ED2" w:rsidRPr="003E3ED2" w:rsidRDefault="003E3ED2" w:rsidP="00172455">
            <w:pPr>
              <w:pStyle w:val="TableParagraph"/>
              <w:ind w:left="93" w:right="87"/>
              <w:jc w:val="both"/>
              <w:rPr>
                <w:color w:val="000000" w:themeColor="text1"/>
              </w:rPr>
            </w:pPr>
            <w:r w:rsidRPr="003E3ED2">
              <w:rPr>
                <w:color w:val="000000"/>
              </w:rPr>
              <w:t>ROS</w:t>
            </w:r>
            <w:r w:rsidR="00172455">
              <w:rPr>
                <w:color w:val="000000"/>
              </w:rPr>
              <w:t>AC</w:t>
            </w:r>
            <w:r w:rsidRPr="003E3ED2">
              <w:rPr>
                <w:color w:val="000000"/>
              </w:rPr>
              <w:t>0027</w:t>
            </w:r>
          </w:p>
        </w:tc>
        <w:tc>
          <w:tcPr>
            <w:tcW w:w="3885" w:type="dxa"/>
            <w:vAlign w:val="bottom"/>
          </w:tcPr>
          <w:p w14:paraId="5746B582" w14:textId="77777777" w:rsidR="003E3ED2" w:rsidRPr="003E3ED2" w:rsidRDefault="003E3ED2" w:rsidP="00365F5B">
            <w:pPr>
              <w:pStyle w:val="TableParagraph"/>
              <w:ind w:left="91" w:right="80"/>
              <w:jc w:val="both"/>
              <w:rPr>
                <w:color w:val="000000" w:themeColor="text1"/>
              </w:rPr>
            </w:pPr>
            <w:r w:rsidRPr="003E3ED2">
              <w:rPr>
                <w:color w:val="000000"/>
              </w:rPr>
              <w:t>Cheile Bicazului - Hășmaș</w:t>
            </w:r>
          </w:p>
        </w:tc>
      </w:tr>
      <w:tr w:rsidR="003E3ED2" w:rsidRPr="00C56257" w14:paraId="7D0FD58E" w14:textId="77777777" w:rsidTr="00993B86">
        <w:trPr>
          <w:trHeight w:val="275"/>
        </w:trPr>
        <w:tc>
          <w:tcPr>
            <w:tcW w:w="3410" w:type="dxa"/>
            <w:vMerge/>
            <w:tcBorders>
              <w:top w:val="nil"/>
            </w:tcBorders>
          </w:tcPr>
          <w:p w14:paraId="0B573066" w14:textId="77777777" w:rsidR="003E3ED2" w:rsidRPr="00C56257" w:rsidRDefault="003E3ED2" w:rsidP="00365F5B">
            <w:pPr>
              <w:jc w:val="both"/>
              <w:rPr>
                <w:color w:val="000000" w:themeColor="text1"/>
              </w:rPr>
            </w:pPr>
          </w:p>
        </w:tc>
        <w:tc>
          <w:tcPr>
            <w:tcW w:w="2410" w:type="dxa"/>
            <w:vAlign w:val="bottom"/>
          </w:tcPr>
          <w:p w14:paraId="2AE8687C" w14:textId="77777777" w:rsidR="003E3ED2" w:rsidRPr="003E3ED2" w:rsidRDefault="003E3ED2" w:rsidP="00365F5B">
            <w:pPr>
              <w:pStyle w:val="TableParagraph"/>
              <w:ind w:left="93" w:right="87"/>
              <w:jc w:val="both"/>
              <w:rPr>
                <w:color w:val="000000" w:themeColor="text1"/>
              </w:rPr>
            </w:pPr>
            <w:r w:rsidRPr="003E3ED2">
              <w:rPr>
                <w:color w:val="000000"/>
              </w:rPr>
              <w:t>ROSCI0030</w:t>
            </w:r>
          </w:p>
        </w:tc>
        <w:tc>
          <w:tcPr>
            <w:tcW w:w="3885" w:type="dxa"/>
            <w:vAlign w:val="bottom"/>
          </w:tcPr>
          <w:p w14:paraId="30FD3610" w14:textId="77777777" w:rsidR="003E3ED2" w:rsidRPr="003E3ED2" w:rsidRDefault="003E3ED2" w:rsidP="00365F5B">
            <w:pPr>
              <w:pStyle w:val="TableParagraph"/>
              <w:ind w:left="91" w:right="82"/>
              <w:jc w:val="both"/>
              <w:rPr>
                <w:color w:val="000000" w:themeColor="text1"/>
              </w:rPr>
            </w:pPr>
            <w:r w:rsidRPr="003E3ED2">
              <w:rPr>
                <w:color w:val="000000"/>
              </w:rPr>
              <w:t>Cheile Lăpușului</w:t>
            </w:r>
          </w:p>
        </w:tc>
      </w:tr>
      <w:tr w:rsidR="003E3ED2" w:rsidRPr="00C56257" w14:paraId="5D886CF7" w14:textId="77777777" w:rsidTr="00993B86">
        <w:trPr>
          <w:trHeight w:val="275"/>
        </w:trPr>
        <w:tc>
          <w:tcPr>
            <w:tcW w:w="3410" w:type="dxa"/>
            <w:vMerge/>
            <w:tcBorders>
              <w:top w:val="nil"/>
            </w:tcBorders>
          </w:tcPr>
          <w:p w14:paraId="6380AF4E" w14:textId="77777777" w:rsidR="003E3ED2" w:rsidRPr="00C56257" w:rsidRDefault="003E3ED2" w:rsidP="00365F5B">
            <w:pPr>
              <w:jc w:val="both"/>
              <w:rPr>
                <w:color w:val="000000" w:themeColor="text1"/>
              </w:rPr>
            </w:pPr>
          </w:p>
        </w:tc>
        <w:tc>
          <w:tcPr>
            <w:tcW w:w="2410" w:type="dxa"/>
            <w:vAlign w:val="bottom"/>
          </w:tcPr>
          <w:p w14:paraId="5AD233F4" w14:textId="77777777" w:rsidR="003E3ED2" w:rsidRPr="003E3ED2" w:rsidRDefault="003E3ED2" w:rsidP="00365F5B">
            <w:pPr>
              <w:pStyle w:val="TableParagraph"/>
              <w:ind w:left="93" w:right="87"/>
              <w:jc w:val="both"/>
              <w:rPr>
                <w:color w:val="000000" w:themeColor="text1"/>
              </w:rPr>
            </w:pPr>
            <w:r w:rsidRPr="003E3ED2">
              <w:rPr>
                <w:color w:val="000000"/>
              </w:rPr>
              <w:t>ROSCI0031</w:t>
            </w:r>
          </w:p>
        </w:tc>
        <w:tc>
          <w:tcPr>
            <w:tcW w:w="3885" w:type="dxa"/>
            <w:vAlign w:val="bottom"/>
          </w:tcPr>
          <w:p w14:paraId="4D1FF1B4" w14:textId="77777777" w:rsidR="003E3ED2" w:rsidRPr="003E3ED2" w:rsidRDefault="003E3ED2" w:rsidP="00365F5B">
            <w:pPr>
              <w:pStyle w:val="TableParagraph"/>
              <w:ind w:left="91" w:right="85"/>
              <w:jc w:val="both"/>
              <w:rPr>
                <w:color w:val="000000" w:themeColor="text1"/>
              </w:rPr>
            </w:pPr>
            <w:r w:rsidRPr="003E3ED2">
              <w:rPr>
                <w:color w:val="000000"/>
              </w:rPr>
              <w:t>Cheile Nerei - Beușnița</w:t>
            </w:r>
          </w:p>
        </w:tc>
      </w:tr>
      <w:tr w:rsidR="003E3ED2" w:rsidRPr="00C56257" w14:paraId="6F11A098" w14:textId="77777777" w:rsidTr="00993B86">
        <w:trPr>
          <w:trHeight w:val="275"/>
        </w:trPr>
        <w:tc>
          <w:tcPr>
            <w:tcW w:w="3410" w:type="dxa"/>
            <w:vMerge/>
            <w:tcBorders>
              <w:top w:val="nil"/>
            </w:tcBorders>
          </w:tcPr>
          <w:p w14:paraId="55C9331E" w14:textId="77777777" w:rsidR="003E3ED2" w:rsidRPr="00C56257" w:rsidRDefault="003E3ED2" w:rsidP="00365F5B">
            <w:pPr>
              <w:jc w:val="both"/>
              <w:rPr>
                <w:color w:val="000000" w:themeColor="text1"/>
              </w:rPr>
            </w:pPr>
          </w:p>
        </w:tc>
        <w:tc>
          <w:tcPr>
            <w:tcW w:w="2410" w:type="dxa"/>
            <w:vAlign w:val="bottom"/>
          </w:tcPr>
          <w:p w14:paraId="22BAFB9D" w14:textId="77777777" w:rsidR="003E3ED2" w:rsidRPr="003E3ED2" w:rsidRDefault="003E3ED2" w:rsidP="00172455">
            <w:pPr>
              <w:pStyle w:val="TableParagraph"/>
              <w:ind w:left="93" w:right="87"/>
              <w:jc w:val="both"/>
              <w:rPr>
                <w:color w:val="000000" w:themeColor="text1"/>
              </w:rPr>
            </w:pPr>
            <w:r w:rsidRPr="003E3ED2">
              <w:rPr>
                <w:color w:val="000000"/>
              </w:rPr>
              <w:t>ROS</w:t>
            </w:r>
            <w:r w:rsidR="00172455">
              <w:rPr>
                <w:color w:val="000000"/>
              </w:rPr>
              <w:t>AC</w:t>
            </w:r>
            <w:r w:rsidRPr="003E3ED2">
              <w:rPr>
                <w:color w:val="000000"/>
              </w:rPr>
              <w:t>0035</w:t>
            </w:r>
          </w:p>
        </w:tc>
        <w:tc>
          <w:tcPr>
            <w:tcW w:w="3885" w:type="dxa"/>
            <w:vAlign w:val="bottom"/>
          </w:tcPr>
          <w:p w14:paraId="7A537738" w14:textId="77777777" w:rsidR="003E3ED2" w:rsidRPr="003E3ED2" w:rsidRDefault="003E3ED2" w:rsidP="00365F5B">
            <w:pPr>
              <w:pStyle w:val="TableParagraph"/>
              <w:ind w:left="91" w:right="81"/>
              <w:jc w:val="both"/>
              <w:rPr>
                <w:color w:val="000000" w:themeColor="text1"/>
              </w:rPr>
            </w:pPr>
            <w:r w:rsidRPr="003E3ED2">
              <w:rPr>
                <w:color w:val="000000"/>
              </w:rPr>
              <w:t>Cheile Turzii</w:t>
            </w:r>
          </w:p>
        </w:tc>
      </w:tr>
      <w:tr w:rsidR="003E3ED2" w:rsidRPr="00C56257" w14:paraId="0AC76542" w14:textId="77777777" w:rsidTr="00993B86">
        <w:trPr>
          <w:trHeight w:val="275"/>
        </w:trPr>
        <w:tc>
          <w:tcPr>
            <w:tcW w:w="3410" w:type="dxa"/>
            <w:vMerge/>
            <w:tcBorders>
              <w:top w:val="nil"/>
            </w:tcBorders>
          </w:tcPr>
          <w:p w14:paraId="124ACDCC" w14:textId="77777777" w:rsidR="003E3ED2" w:rsidRPr="00C56257" w:rsidRDefault="003E3ED2" w:rsidP="00365F5B">
            <w:pPr>
              <w:jc w:val="both"/>
              <w:rPr>
                <w:color w:val="000000" w:themeColor="text1"/>
              </w:rPr>
            </w:pPr>
          </w:p>
        </w:tc>
        <w:tc>
          <w:tcPr>
            <w:tcW w:w="2410" w:type="dxa"/>
            <w:vAlign w:val="bottom"/>
          </w:tcPr>
          <w:p w14:paraId="5AC5D836" w14:textId="77777777" w:rsidR="003E3ED2" w:rsidRPr="003E3ED2" w:rsidRDefault="003E3ED2" w:rsidP="00365F5B">
            <w:pPr>
              <w:pStyle w:val="TableParagraph"/>
              <w:ind w:left="93" w:right="87"/>
              <w:jc w:val="both"/>
              <w:rPr>
                <w:color w:val="000000" w:themeColor="text1"/>
              </w:rPr>
            </w:pPr>
            <w:r w:rsidRPr="003E3ED2">
              <w:rPr>
                <w:color w:val="000000"/>
              </w:rPr>
              <w:t>ROSCI0038</w:t>
            </w:r>
          </w:p>
        </w:tc>
        <w:tc>
          <w:tcPr>
            <w:tcW w:w="3885" w:type="dxa"/>
            <w:vAlign w:val="bottom"/>
          </w:tcPr>
          <w:p w14:paraId="730465EF" w14:textId="77777777" w:rsidR="003E3ED2" w:rsidRPr="003E3ED2" w:rsidRDefault="003E3ED2" w:rsidP="00365F5B">
            <w:pPr>
              <w:pStyle w:val="TableParagraph"/>
              <w:ind w:left="91" w:right="80"/>
              <w:jc w:val="both"/>
              <w:rPr>
                <w:color w:val="000000" w:themeColor="text1"/>
              </w:rPr>
            </w:pPr>
            <w:r w:rsidRPr="003E3ED2">
              <w:rPr>
                <w:color w:val="000000"/>
              </w:rPr>
              <w:t>Ciucaș</w:t>
            </w:r>
          </w:p>
        </w:tc>
      </w:tr>
      <w:tr w:rsidR="003E3ED2" w:rsidRPr="00C56257" w14:paraId="30EF89EC" w14:textId="77777777" w:rsidTr="00993B86">
        <w:trPr>
          <w:trHeight w:val="278"/>
        </w:trPr>
        <w:tc>
          <w:tcPr>
            <w:tcW w:w="3410" w:type="dxa"/>
            <w:vMerge/>
            <w:tcBorders>
              <w:top w:val="nil"/>
            </w:tcBorders>
          </w:tcPr>
          <w:p w14:paraId="1E8449F4" w14:textId="77777777" w:rsidR="003E3ED2" w:rsidRPr="00C56257" w:rsidRDefault="003E3ED2" w:rsidP="00365F5B">
            <w:pPr>
              <w:jc w:val="both"/>
              <w:rPr>
                <w:color w:val="000000" w:themeColor="text1"/>
              </w:rPr>
            </w:pPr>
          </w:p>
        </w:tc>
        <w:tc>
          <w:tcPr>
            <w:tcW w:w="2410" w:type="dxa"/>
            <w:vAlign w:val="bottom"/>
          </w:tcPr>
          <w:p w14:paraId="5415D93A" w14:textId="77777777" w:rsidR="003E3ED2" w:rsidRPr="003E3ED2" w:rsidRDefault="003E3ED2" w:rsidP="00365F5B">
            <w:pPr>
              <w:pStyle w:val="TableParagraph"/>
              <w:spacing w:line="258" w:lineRule="exact"/>
              <w:ind w:left="93" w:right="87"/>
              <w:jc w:val="both"/>
              <w:rPr>
                <w:color w:val="000000" w:themeColor="text1"/>
              </w:rPr>
            </w:pPr>
            <w:r w:rsidRPr="003E3ED2">
              <w:rPr>
                <w:color w:val="000000"/>
              </w:rPr>
              <w:t>ROSCI0043</w:t>
            </w:r>
          </w:p>
        </w:tc>
        <w:tc>
          <w:tcPr>
            <w:tcW w:w="3885" w:type="dxa"/>
            <w:vAlign w:val="bottom"/>
          </w:tcPr>
          <w:p w14:paraId="653B59C3" w14:textId="77777777" w:rsidR="003E3ED2" w:rsidRPr="003E3ED2" w:rsidRDefault="003E3ED2" w:rsidP="00365F5B">
            <w:pPr>
              <w:pStyle w:val="TableParagraph"/>
              <w:spacing w:line="258" w:lineRule="exact"/>
              <w:ind w:left="89" w:right="85"/>
              <w:jc w:val="both"/>
              <w:rPr>
                <w:color w:val="000000" w:themeColor="text1"/>
              </w:rPr>
            </w:pPr>
            <w:r w:rsidRPr="003E3ED2">
              <w:rPr>
                <w:color w:val="000000"/>
              </w:rPr>
              <w:t>Comana</w:t>
            </w:r>
          </w:p>
        </w:tc>
      </w:tr>
      <w:tr w:rsidR="003E3ED2" w:rsidRPr="00C56257" w14:paraId="58652D20" w14:textId="77777777" w:rsidTr="00993B86">
        <w:trPr>
          <w:trHeight w:val="275"/>
        </w:trPr>
        <w:tc>
          <w:tcPr>
            <w:tcW w:w="3410" w:type="dxa"/>
            <w:vMerge/>
            <w:tcBorders>
              <w:top w:val="nil"/>
            </w:tcBorders>
          </w:tcPr>
          <w:p w14:paraId="708AF4C7" w14:textId="77777777" w:rsidR="003E3ED2" w:rsidRPr="00C56257" w:rsidRDefault="003E3ED2" w:rsidP="00365F5B">
            <w:pPr>
              <w:jc w:val="both"/>
              <w:rPr>
                <w:color w:val="000000" w:themeColor="text1"/>
              </w:rPr>
            </w:pPr>
          </w:p>
        </w:tc>
        <w:tc>
          <w:tcPr>
            <w:tcW w:w="2410" w:type="dxa"/>
            <w:vAlign w:val="bottom"/>
          </w:tcPr>
          <w:p w14:paraId="1DDD7287" w14:textId="77777777" w:rsidR="003E3ED2" w:rsidRPr="003E3ED2" w:rsidRDefault="003E3ED2" w:rsidP="00172455">
            <w:pPr>
              <w:pStyle w:val="TableParagraph"/>
              <w:ind w:left="93" w:right="87"/>
              <w:jc w:val="both"/>
              <w:rPr>
                <w:color w:val="000000" w:themeColor="text1"/>
              </w:rPr>
            </w:pPr>
            <w:r w:rsidRPr="003E3ED2">
              <w:rPr>
                <w:color w:val="000000"/>
              </w:rPr>
              <w:t>ROS</w:t>
            </w:r>
            <w:r w:rsidR="00172455">
              <w:rPr>
                <w:color w:val="000000"/>
              </w:rPr>
              <w:t>AC</w:t>
            </w:r>
            <w:r w:rsidRPr="003E3ED2">
              <w:rPr>
                <w:color w:val="000000"/>
              </w:rPr>
              <w:t>0045</w:t>
            </w:r>
          </w:p>
        </w:tc>
        <w:tc>
          <w:tcPr>
            <w:tcW w:w="3885" w:type="dxa"/>
            <w:vAlign w:val="bottom"/>
          </w:tcPr>
          <w:p w14:paraId="537F5ED0" w14:textId="77777777" w:rsidR="003E3ED2" w:rsidRPr="003E3ED2" w:rsidRDefault="003E3ED2" w:rsidP="00365F5B">
            <w:pPr>
              <w:pStyle w:val="TableParagraph"/>
              <w:ind w:left="91" w:right="84"/>
              <w:jc w:val="both"/>
              <w:rPr>
                <w:color w:val="000000" w:themeColor="text1"/>
              </w:rPr>
            </w:pPr>
            <w:r w:rsidRPr="003E3ED2">
              <w:rPr>
                <w:color w:val="000000"/>
              </w:rPr>
              <w:t>Coridorul Jiului</w:t>
            </w:r>
          </w:p>
        </w:tc>
      </w:tr>
      <w:tr w:rsidR="003E3ED2" w:rsidRPr="00C56257" w14:paraId="60368846" w14:textId="77777777" w:rsidTr="00993B86">
        <w:trPr>
          <w:trHeight w:val="275"/>
        </w:trPr>
        <w:tc>
          <w:tcPr>
            <w:tcW w:w="3410" w:type="dxa"/>
            <w:vMerge/>
            <w:tcBorders>
              <w:top w:val="nil"/>
            </w:tcBorders>
          </w:tcPr>
          <w:p w14:paraId="3C80FD1E" w14:textId="77777777" w:rsidR="003E3ED2" w:rsidRPr="00C56257" w:rsidRDefault="003E3ED2" w:rsidP="00365F5B">
            <w:pPr>
              <w:jc w:val="both"/>
              <w:rPr>
                <w:color w:val="000000" w:themeColor="text1"/>
              </w:rPr>
            </w:pPr>
          </w:p>
        </w:tc>
        <w:tc>
          <w:tcPr>
            <w:tcW w:w="2410" w:type="dxa"/>
            <w:vAlign w:val="bottom"/>
          </w:tcPr>
          <w:p w14:paraId="3B7B2F3B" w14:textId="77777777" w:rsidR="003E3ED2" w:rsidRPr="003E3ED2" w:rsidRDefault="003E3ED2" w:rsidP="00172455">
            <w:pPr>
              <w:pStyle w:val="TableParagraph"/>
              <w:ind w:left="94" w:right="86"/>
              <w:jc w:val="both"/>
              <w:rPr>
                <w:color w:val="000000" w:themeColor="text1"/>
              </w:rPr>
            </w:pPr>
            <w:r w:rsidRPr="003E3ED2">
              <w:rPr>
                <w:color w:val="000000"/>
              </w:rPr>
              <w:t>ROS</w:t>
            </w:r>
            <w:r w:rsidR="00172455">
              <w:rPr>
                <w:color w:val="000000"/>
              </w:rPr>
              <w:t>AC</w:t>
            </w:r>
            <w:r w:rsidRPr="003E3ED2">
              <w:rPr>
                <w:color w:val="000000"/>
              </w:rPr>
              <w:t>0046</w:t>
            </w:r>
          </w:p>
        </w:tc>
        <w:tc>
          <w:tcPr>
            <w:tcW w:w="3885" w:type="dxa"/>
            <w:vAlign w:val="bottom"/>
          </w:tcPr>
          <w:p w14:paraId="7FCFC146" w14:textId="77777777" w:rsidR="003E3ED2" w:rsidRPr="003E3ED2" w:rsidRDefault="003E3ED2" w:rsidP="00365F5B">
            <w:pPr>
              <w:pStyle w:val="TableParagraph"/>
              <w:ind w:left="91" w:right="82"/>
              <w:jc w:val="both"/>
              <w:rPr>
                <w:color w:val="000000" w:themeColor="text1"/>
              </w:rPr>
            </w:pPr>
            <w:r w:rsidRPr="003E3ED2">
              <w:rPr>
                <w:color w:val="000000"/>
              </w:rPr>
              <w:t>Cozia</w:t>
            </w:r>
          </w:p>
        </w:tc>
      </w:tr>
      <w:tr w:rsidR="003E3ED2" w:rsidRPr="00C56257" w14:paraId="290A3DF5" w14:textId="77777777" w:rsidTr="00993B86">
        <w:trPr>
          <w:trHeight w:val="275"/>
        </w:trPr>
        <w:tc>
          <w:tcPr>
            <w:tcW w:w="3410" w:type="dxa"/>
            <w:vMerge/>
            <w:tcBorders>
              <w:top w:val="nil"/>
            </w:tcBorders>
          </w:tcPr>
          <w:p w14:paraId="2716CA5C" w14:textId="77777777" w:rsidR="003E3ED2" w:rsidRPr="00C56257" w:rsidRDefault="003E3ED2" w:rsidP="00365F5B">
            <w:pPr>
              <w:jc w:val="both"/>
              <w:rPr>
                <w:color w:val="000000" w:themeColor="text1"/>
              </w:rPr>
            </w:pPr>
          </w:p>
        </w:tc>
        <w:tc>
          <w:tcPr>
            <w:tcW w:w="2410" w:type="dxa"/>
            <w:vAlign w:val="bottom"/>
          </w:tcPr>
          <w:p w14:paraId="305DF899" w14:textId="77777777" w:rsidR="003E3ED2" w:rsidRPr="003E3ED2" w:rsidRDefault="003E3ED2" w:rsidP="00172455">
            <w:pPr>
              <w:pStyle w:val="TableParagraph"/>
              <w:ind w:left="93" w:right="87"/>
              <w:jc w:val="both"/>
              <w:rPr>
                <w:color w:val="000000" w:themeColor="text1"/>
              </w:rPr>
            </w:pPr>
            <w:r w:rsidRPr="003E3ED2">
              <w:rPr>
                <w:color w:val="000000"/>
              </w:rPr>
              <w:t>ROS</w:t>
            </w:r>
            <w:r w:rsidR="00172455">
              <w:rPr>
                <w:color w:val="000000"/>
              </w:rPr>
              <w:t>AC</w:t>
            </w:r>
            <w:r w:rsidRPr="003E3ED2">
              <w:rPr>
                <w:color w:val="000000"/>
              </w:rPr>
              <w:t>0047</w:t>
            </w:r>
          </w:p>
        </w:tc>
        <w:tc>
          <w:tcPr>
            <w:tcW w:w="3885" w:type="dxa"/>
            <w:vAlign w:val="bottom"/>
          </w:tcPr>
          <w:p w14:paraId="2016E2DF" w14:textId="77777777" w:rsidR="003E3ED2" w:rsidRPr="003E3ED2" w:rsidRDefault="003E3ED2" w:rsidP="00365F5B">
            <w:pPr>
              <w:pStyle w:val="TableParagraph"/>
              <w:ind w:left="91" w:right="84"/>
              <w:jc w:val="both"/>
              <w:rPr>
                <w:color w:val="000000" w:themeColor="text1"/>
              </w:rPr>
            </w:pPr>
            <w:r w:rsidRPr="003E3ED2">
              <w:rPr>
                <w:color w:val="000000"/>
              </w:rPr>
              <w:t>Creasta Nemirei</w:t>
            </w:r>
          </w:p>
        </w:tc>
      </w:tr>
      <w:tr w:rsidR="003E3ED2" w:rsidRPr="00C56257" w14:paraId="286421B0" w14:textId="77777777" w:rsidTr="00993B86">
        <w:trPr>
          <w:trHeight w:val="275"/>
        </w:trPr>
        <w:tc>
          <w:tcPr>
            <w:tcW w:w="3410" w:type="dxa"/>
            <w:vMerge/>
            <w:tcBorders>
              <w:top w:val="nil"/>
            </w:tcBorders>
          </w:tcPr>
          <w:p w14:paraId="08F7BBA5" w14:textId="77777777" w:rsidR="003E3ED2" w:rsidRPr="00C56257" w:rsidRDefault="003E3ED2" w:rsidP="00365F5B">
            <w:pPr>
              <w:jc w:val="both"/>
              <w:rPr>
                <w:color w:val="000000" w:themeColor="text1"/>
              </w:rPr>
            </w:pPr>
          </w:p>
        </w:tc>
        <w:tc>
          <w:tcPr>
            <w:tcW w:w="2410" w:type="dxa"/>
            <w:vAlign w:val="bottom"/>
          </w:tcPr>
          <w:p w14:paraId="22E6620A" w14:textId="77777777" w:rsidR="003E3ED2" w:rsidRPr="003E3ED2" w:rsidRDefault="003E3ED2" w:rsidP="00172455">
            <w:pPr>
              <w:pStyle w:val="TableParagraph"/>
              <w:ind w:left="93" w:right="87"/>
              <w:jc w:val="both"/>
              <w:rPr>
                <w:color w:val="000000" w:themeColor="text1"/>
              </w:rPr>
            </w:pPr>
            <w:r w:rsidRPr="003E3ED2">
              <w:rPr>
                <w:color w:val="000000"/>
              </w:rPr>
              <w:t>ROS</w:t>
            </w:r>
            <w:r w:rsidR="00172455">
              <w:rPr>
                <w:color w:val="000000"/>
              </w:rPr>
              <w:t>AC</w:t>
            </w:r>
            <w:r w:rsidRPr="003E3ED2">
              <w:rPr>
                <w:color w:val="000000"/>
              </w:rPr>
              <w:t>0048</w:t>
            </w:r>
          </w:p>
        </w:tc>
        <w:tc>
          <w:tcPr>
            <w:tcW w:w="3885" w:type="dxa"/>
            <w:vAlign w:val="bottom"/>
          </w:tcPr>
          <w:p w14:paraId="7B4BDCD7" w14:textId="77777777" w:rsidR="003E3ED2" w:rsidRPr="003E3ED2" w:rsidRDefault="003E3ED2" w:rsidP="00365F5B">
            <w:pPr>
              <w:pStyle w:val="TableParagraph"/>
              <w:ind w:left="91" w:right="84"/>
              <w:jc w:val="both"/>
              <w:rPr>
                <w:color w:val="000000" w:themeColor="text1"/>
              </w:rPr>
            </w:pPr>
            <w:r w:rsidRPr="003E3ED2">
              <w:rPr>
                <w:color w:val="000000"/>
              </w:rPr>
              <w:t>Crișul Alb</w:t>
            </w:r>
          </w:p>
        </w:tc>
      </w:tr>
      <w:tr w:rsidR="003E3ED2" w:rsidRPr="00C56257" w14:paraId="16144A48" w14:textId="77777777" w:rsidTr="00993B86">
        <w:trPr>
          <w:trHeight w:val="275"/>
        </w:trPr>
        <w:tc>
          <w:tcPr>
            <w:tcW w:w="3410" w:type="dxa"/>
            <w:vMerge/>
            <w:tcBorders>
              <w:top w:val="nil"/>
            </w:tcBorders>
          </w:tcPr>
          <w:p w14:paraId="246D20E6" w14:textId="77777777" w:rsidR="003E3ED2" w:rsidRPr="00C56257" w:rsidRDefault="003E3ED2" w:rsidP="00365F5B">
            <w:pPr>
              <w:jc w:val="both"/>
              <w:rPr>
                <w:color w:val="000000" w:themeColor="text1"/>
              </w:rPr>
            </w:pPr>
          </w:p>
        </w:tc>
        <w:tc>
          <w:tcPr>
            <w:tcW w:w="2410" w:type="dxa"/>
            <w:vAlign w:val="bottom"/>
          </w:tcPr>
          <w:p w14:paraId="0993E7BB" w14:textId="77777777" w:rsidR="003E3ED2" w:rsidRPr="003E3ED2" w:rsidRDefault="003E3ED2" w:rsidP="00172455">
            <w:pPr>
              <w:pStyle w:val="TableParagraph"/>
              <w:ind w:left="93" w:right="87"/>
              <w:jc w:val="both"/>
              <w:rPr>
                <w:color w:val="000000" w:themeColor="text1"/>
              </w:rPr>
            </w:pPr>
            <w:r w:rsidRPr="003E3ED2">
              <w:rPr>
                <w:color w:val="000000"/>
              </w:rPr>
              <w:t>ROS</w:t>
            </w:r>
            <w:r w:rsidR="00172455">
              <w:rPr>
                <w:color w:val="000000"/>
              </w:rPr>
              <w:t>AC</w:t>
            </w:r>
            <w:r w:rsidRPr="003E3ED2">
              <w:rPr>
                <w:color w:val="000000"/>
              </w:rPr>
              <w:t>0049</w:t>
            </w:r>
          </w:p>
        </w:tc>
        <w:tc>
          <w:tcPr>
            <w:tcW w:w="3885" w:type="dxa"/>
            <w:vAlign w:val="bottom"/>
          </w:tcPr>
          <w:p w14:paraId="0A2DB20D" w14:textId="77777777" w:rsidR="003E3ED2" w:rsidRPr="003E3ED2" w:rsidRDefault="003E3ED2" w:rsidP="00365F5B">
            <w:pPr>
              <w:pStyle w:val="TableParagraph"/>
              <w:ind w:left="91" w:right="80"/>
              <w:jc w:val="both"/>
              <w:rPr>
                <w:color w:val="000000" w:themeColor="text1"/>
              </w:rPr>
            </w:pPr>
            <w:r w:rsidRPr="003E3ED2">
              <w:rPr>
                <w:color w:val="000000"/>
              </w:rPr>
              <w:t>Crișul Negru</w:t>
            </w:r>
          </w:p>
        </w:tc>
      </w:tr>
      <w:tr w:rsidR="003E3ED2" w:rsidRPr="00C56257" w14:paraId="2F6BD743" w14:textId="77777777" w:rsidTr="00993B86">
        <w:trPr>
          <w:trHeight w:val="277"/>
        </w:trPr>
        <w:tc>
          <w:tcPr>
            <w:tcW w:w="3410" w:type="dxa"/>
            <w:vMerge/>
            <w:tcBorders>
              <w:top w:val="nil"/>
            </w:tcBorders>
          </w:tcPr>
          <w:p w14:paraId="2372706B" w14:textId="77777777" w:rsidR="003E3ED2" w:rsidRPr="00C56257" w:rsidRDefault="003E3ED2" w:rsidP="00365F5B">
            <w:pPr>
              <w:jc w:val="both"/>
              <w:rPr>
                <w:color w:val="000000" w:themeColor="text1"/>
              </w:rPr>
            </w:pPr>
          </w:p>
        </w:tc>
        <w:tc>
          <w:tcPr>
            <w:tcW w:w="2410" w:type="dxa"/>
            <w:vAlign w:val="bottom"/>
          </w:tcPr>
          <w:p w14:paraId="784F7E8D" w14:textId="77777777" w:rsidR="003E3ED2" w:rsidRPr="003E3ED2" w:rsidRDefault="003E3ED2" w:rsidP="00172455">
            <w:pPr>
              <w:pStyle w:val="TableParagraph"/>
              <w:spacing w:line="258" w:lineRule="exact"/>
              <w:ind w:left="93" w:right="87"/>
              <w:jc w:val="both"/>
              <w:rPr>
                <w:color w:val="000000" w:themeColor="text1"/>
              </w:rPr>
            </w:pPr>
            <w:r w:rsidRPr="003E3ED2">
              <w:rPr>
                <w:color w:val="000000"/>
              </w:rPr>
              <w:t>ROS</w:t>
            </w:r>
            <w:r w:rsidR="00172455">
              <w:rPr>
                <w:color w:val="000000"/>
              </w:rPr>
              <w:t>AC</w:t>
            </w:r>
            <w:r w:rsidRPr="003E3ED2">
              <w:rPr>
                <w:color w:val="000000"/>
              </w:rPr>
              <w:t>0050</w:t>
            </w:r>
          </w:p>
        </w:tc>
        <w:tc>
          <w:tcPr>
            <w:tcW w:w="3885" w:type="dxa"/>
            <w:vAlign w:val="bottom"/>
          </w:tcPr>
          <w:p w14:paraId="1CB6E495" w14:textId="77777777" w:rsidR="003E3ED2" w:rsidRPr="003E3ED2" w:rsidRDefault="003E3ED2" w:rsidP="00365F5B">
            <w:pPr>
              <w:pStyle w:val="TableParagraph"/>
              <w:spacing w:line="258" w:lineRule="exact"/>
              <w:ind w:left="91" w:right="84"/>
              <w:jc w:val="both"/>
              <w:rPr>
                <w:color w:val="000000" w:themeColor="text1"/>
              </w:rPr>
            </w:pPr>
            <w:r w:rsidRPr="003E3ED2">
              <w:rPr>
                <w:color w:val="000000"/>
              </w:rPr>
              <w:t>Crișul Repede amonte de Oradea</w:t>
            </w:r>
          </w:p>
        </w:tc>
      </w:tr>
      <w:tr w:rsidR="003E3ED2" w:rsidRPr="00C56257" w14:paraId="052D29D8" w14:textId="77777777" w:rsidTr="00993B86">
        <w:trPr>
          <w:trHeight w:val="275"/>
        </w:trPr>
        <w:tc>
          <w:tcPr>
            <w:tcW w:w="3410" w:type="dxa"/>
            <w:vMerge/>
            <w:tcBorders>
              <w:top w:val="nil"/>
            </w:tcBorders>
          </w:tcPr>
          <w:p w14:paraId="572DE27B" w14:textId="77777777" w:rsidR="003E3ED2" w:rsidRPr="00C56257" w:rsidRDefault="003E3ED2" w:rsidP="00365F5B">
            <w:pPr>
              <w:jc w:val="both"/>
              <w:rPr>
                <w:color w:val="000000" w:themeColor="text1"/>
              </w:rPr>
            </w:pPr>
          </w:p>
        </w:tc>
        <w:tc>
          <w:tcPr>
            <w:tcW w:w="2410" w:type="dxa"/>
            <w:vAlign w:val="bottom"/>
          </w:tcPr>
          <w:p w14:paraId="16566AEB" w14:textId="77777777" w:rsidR="003E3ED2" w:rsidRPr="003E3ED2" w:rsidRDefault="003E3ED2" w:rsidP="00172455">
            <w:pPr>
              <w:pStyle w:val="TableParagraph"/>
              <w:ind w:left="93" w:right="87"/>
              <w:jc w:val="both"/>
              <w:rPr>
                <w:color w:val="000000" w:themeColor="text1"/>
              </w:rPr>
            </w:pPr>
            <w:r w:rsidRPr="003E3ED2">
              <w:rPr>
                <w:color w:val="000000"/>
              </w:rPr>
              <w:t>ROS</w:t>
            </w:r>
            <w:r w:rsidR="00172455">
              <w:rPr>
                <w:color w:val="000000"/>
              </w:rPr>
              <w:t>AC</w:t>
            </w:r>
            <w:r w:rsidRPr="003E3ED2">
              <w:rPr>
                <w:color w:val="000000"/>
              </w:rPr>
              <w:t>0062</w:t>
            </w:r>
          </w:p>
        </w:tc>
        <w:tc>
          <w:tcPr>
            <w:tcW w:w="3885" w:type="dxa"/>
            <w:vAlign w:val="bottom"/>
          </w:tcPr>
          <w:p w14:paraId="0C5071DF" w14:textId="77777777" w:rsidR="003E3ED2" w:rsidRPr="003E3ED2" w:rsidRDefault="003E3ED2" w:rsidP="00365F5B">
            <w:pPr>
              <w:pStyle w:val="TableParagraph"/>
              <w:ind w:left="91" w:right="81"/>
              <w:jc w:val="both"/>
              <w:rPr>
                <w:color w:val="000000" w:themeColor="text1"/>
              </w:rPr>
            </w:pPr>
            <w:r w:rsidRPr="003E3ED2">
              <w:rPr>
                <w:color w:val="000000"/>
              </w:rPr>
              <w:t>Defileul Crișului Repede - Pădurea Craiului</w:t>
            </w:r>
          </w:p>
        </w:tc>
      </w:tr>
      <w:tr w:rsidR="003E3ED2" w:rsidRPr="00C56257" w14:paraId="5B0198A1" w14:textId="77777777" w:rsidTr="00993B86">
        <w:trPr>
          <w:trHeight w:val="275"/>
        </w:trPr>
        <w:tc>
          <w:tcPr>
            <w:tcW w:w="3410" w:type="dxa"/>
            <w:vMerge/>
            <w:tcBorders>
              <w:top w:val="nil"/>
            </w:tcBorders>
          </w:tcPr>
          <w:p w14:paraId="30AAEEEE" w14:textId="77777777" w:rsidR="003E3ED2" w:rsidRPr="00C56257" w:rsidRDefault="003E3ED2" w:rsidP="00365F5B">
            <w:pPr>
              <w:jc w:val="both"/>
              <w:rPr>
                <w:color w:val="000000" w:themeColor="text1"/>
              </w:rPr>
            </w:pPr>
          </w:p>
        </w:tc>
        <w:tc>
          <w:tcPr>
            <w:tcW w:w="2410" w:type="dxa"/>
            <w:vAlign w:val="bottom"/>
          </w:tcPr>
          <w:p w14:paraId="289CE16D" w14:textId="77777777" w:rsidR="003E3ED2" w:rsidRPr="003E3ED2" w:rsidRDefault="003E3ED2" w:rsidP="00365F5B">
            <w:pPr>
              <w:pStyle w:val="TableParagraph"/>
              <w:ind w:left="93" w:right="87"/>
              <w:jc w:val="both"/>
              <w:rPr>
                <w:color w:val="000000" w:themeColor="text1"/>
              </w:rPr>
            </w:pPr>
            <w:r w:rsidRPr="003E3ED2">
              <w:rPr>
                <w:color w:val="000000"/>
              </w:rPr>
              <w:t>ROSCI0063</w:t>
            </w:r>
          </w:p>
        </w:tc>
        <w:tc>
          <w:tcPr>
            <w:tcW w:w="3885" w:type="dxa"/>
            <w:vAlign w:val="bottom"/>
          </w:tcPr>
          <w:p w14:paraId="2580D895" w14:textId="77777777" w:rsidR="003E3ED2" w:rsidRPr="003E3ED2" w:rsidRDefault="003E3ED2" w:rsidP="00365F5B">
            <w:pPr>
              <w:pStyle w:val="TableParagraph"/>
              <w:ind w:left="91" w:right="83"/>
              <w:jc w:val="both"/>
              <w:rPr>
                <w:color w:val="000000" w:themeColor="text1"/>
              </w:rPr>
            </w:pPr>
            <w:r w:rsidRPr="003E3ED2">
              <w:rPr>
                <w:color w:val="000000"/>
              </w:rPr>
              <w:t>Defileul Jiului</w:t>
            </w:r>
          </w:p>
        </w:tc>
      </w:tr>
      <w:tr w:rsidR="003E3ED2" w:rsidRPr="00C56257" w14:paraId="759DD67C" w14:textId="77777777" w:rsidTr="00993B86">
        <w:trPr>
          <w:trHeight w:val="275"/>
        </w:trPr>
        <w:tc>
          <w:tcPr>
            <w:tcW w:w="3410" w:type="dxa"/>
            <w:vMerge/>
            <w:tcBorders>
              <w:top w:val="nil"/>
            </w:tcBorders>
          </w:tcPr>
          <w:p w14:paraId="674943C9" w14:textId="77777777" w:rsidR="003E3ED2" w:rsidRPr="00C56257" w:rsidRDefault="003E3ED2" w:rsidP="00365F5B">
            <w:pPr>
              <w:jc w:val="both"/>
              <w:rPr>
                <w:color w:val="000000" w:themeColor="text1"/>
              </w:rPr>
            </w:pPr>
          </w:p>
        </w:tc>
        <w:tc>
          <w:tcPr>
            <w:tcW w:w="2410" w:type="dxa"/>
            <w:vAlign w:val="bottom"/>
          </w:tcPr>
          <w:p w14:paraId="00BA540F" w14:textId="77777777" w:rsidR="003E3ED2" w:rsidRPr="003E3ED2" w:rsidRDefault="003E3ED2" w:rsidP="00365F5B">
            <w:pPr>
              <w:pStyle w:val="TableParagraph"/>
              <w:ind w:left="93" w:right="87"/>
              <w:jc w:val="both"/>
              <w:rPr>
                <w:color w:val="000000" w:themeColor="text1"/>
              </w:rPr>
            </w:pPr>
            <w:r w:rsidRPr="003E3ED2">
              <w:rPr>
                <w:color w:val="000000"/>
              </w:rPr>
              <w:t>ROSCI0065</w:t>
            </w:r>
          </w:p>
        </w:tc>
        <w:tc>
          <w:tcPr>
            <w:tcW w:w="3885" w:type="dxa"/>
            <w:vAlign w:val="bottom"/>
          </w:tcPr>
          <w:p w14:paraId="0737755B" w14:textId="77777777" w:rsidR="003E3ED2" w:rsidRPr="003E3ED2" w:rsidRDefault="003E3ED2" w:rsidP="00365F5B">
            <w:pPr>
              <w:pStyle w:val="TableParagraph"/>
              <w:ind w:left="91" w:right="80"/>
              <w:jc w:val="both"/>
              <w:rPr>
                <w:color w:val="000000" w:themeColor="text1"/>
              </w:rPr>
            </w:pPr>
            <w:r w:rsidRPr="003E3ED2">
              <w:rPr>
                <w:color w:val="000000"/>
              </w:rPr>
              <w:t>Delta Dunării</w:t>
            </w:r>
          </w:p>
        </w:tc>
      </w:tr>
      <w:tr w:rsidR="003E3ED2" w:rsidRPr="00C56257" w14:paraId="4A22E973" w14:textId="77777777" w:rsidTr="00993B86">
        <w:trPr>
          <w:trHeight w:val="275"/>
        </w:trPr>
        <w:tc>
          <w:tcPr>
            <w:tcW w:w="3410" w:type="dxa"/>
            <w:vMerge/>
            <w:tcBorders>
              <w:top w:val="nil"/>
            </w:tcBorders>
          </w:tcPr>
          <w:p w14:paraId="433A41C1" w14:textId="77777777" w:rsidR="003E3ED2" w:rsidRPr="00C56257" w:rsidRDefault="003E3ED2" w:rsidP="00365F5B">
            <w:pPr>
              <w:jc w:val="both"/>
              <w:rPr>
                <w:color w:val="000000" w:themeColor="text1"/>
              </w:rPr>
            </w:pPr>
          </w:p>
        </w:tc>
        <w:tc>
          <w:tcPr>
            <w:tcW w:w="2410" w:type="dxa"/>
            <w:vAlign w:val="bottom"/>
          </w:tcPr>
          <w:p w14:paraId="2CF95E29" w14:textId="77777777" w:rsidR="003E3ED2" w:rsidRPr="003E3ED2" w:rsidRDefault="003E3ED2" w:rsidP="00172455">
            <w:pPr>
              <w:pStyle w:val="TableParagraph"/>
              <w:ind w:left="93" w:right="87"/>
              <w:jc w:val="both"/>
              <w:rPr>
                <w:color w:val="000000" w:themeColor="text1"/>
              </w:rPr>
            </w:pPr>
            <w:r w:rsidRPr="003E3ED2">
              <w:rPr>
                <w:color w:val="000000"/>
              </w:rPr>
              <w:t>ROS</w:t>
            </w:r>
            <w:r w:rsidR="00172455">
              <w:rPr>
                <w:color w:val="000000"/>
              </w:rPr>
              <w:t>AC</w:t>
            </w:r>
            <w:r w:rsidRPr="003E3ED2">
              <w:rPr>
                <w:color w:val="000000"/>
              </w:rPr>
              <w:t>0068</w:t>
            </w:r>
          </w:p>
        </w:tc>
        <w:tc>
          <w:tcPr>
            <w:tcW w:w="3885" w:type="dxa"/>
            <w:vAlign w:val="bottom"/>
          </w:tcPr>
          <w:p w14:paraId="759E0496" w14:textId="77777777" w:rsidR="003E3ED2" w:rsidRPr="003E3ED2" w:rsidRDefault="003E3ED2" w:rsidP="00365F5B">
            <w:pPr>
              <w:pStyle w:val="TableParagraph"/>
              <w:ind w:left="89" w:right="85"/>
              <w:jc w:val="both"/>
              <w:rPr>
                <w:color w:val="000000" w:themeColor="text1"/>
              </w:rPr>
            </w:pPr>
            <w:r w:rsidRPr="003E3ED2">
              <w:rPr>
                <w:color w:val="000000"/>
              </w:rPr>
              <w:t>Diosig</w:t>
            </w:r>
          </w:p>
        </w:tc>
      </w:tr>
      <w:tr w:rsidR="003E3ED2" w:rsidRPr="00C56257" w14:paraId="47743864" w14:textId="77777777" w:rsidTr="00993B86">
        <w:trPr>
          <w:trHeight w:val="276"/>
        </w:trPr>
        <w:tc>
          <w:tcPr>
            <w:tcW w:w="3410" w:type="dxa"/>
            <w:vMerge/>
            <w:tcBorders>
              <w:top w:val="nil"/>
            </w:tcBorders>
          </w:tcPr>
          <w:p w14:paraId="3862BD77" w14:textId="77777777" w:rsidR="003E3ED2" w:rsidRPr="00C56257" w:rsidRDefault="003E3ED2" w:rsidP="00365F5B">
            <w:pPr>
              <w:jc w:val="both"/>
              <w:rPr>
                <w:color w:val="000000" w:themeColor="text1"/>
              </w:rPr>
            </w:pPr>
          </w:p>
        </w:tc>
        <w:tc>
          <w:tcPr>
            <w:tcW w:w="2410" w:type="dxa"/>
            <w:vAlign w:val="bottom"/>
          </w:tcPr>
          <w:p w14:paraId="3F0B4C28" w14:textId="77777777" w:rsidR="003E3ED2" w:rsidRPr="003E3ED2" w:rsidRDefault="000521DB" w:rsidP="00365F5B">
            <w:pPr>
              <w:pStyle w:val="TableParagraph"/>
              <w:ind w:left="93" w:right="87"/>
              <w:jc w:val="both"/>
              <w:rPr>
                <w:color w:val="000000" w:themeColor="text1"/>
              </w:rPr>
            </w:pPr>
            <w:r>
              <w:rPr>
                <w:color w:val="000000"/>
              </w:rPr>
              <w:t>ROSAC0069</w:t>
            </w:r>
          </w:p>
        </w:tc>
        <w:tc>
          <w:tcPr>
            <w:tcW w:w="3885" w:type="dxa"/>
            <w:vAlign w:val="bottom"/>
          </w:tcPr>
          <w:p w14:paraId="2F7570C6" w14:textId="77777777" w:rsidR="003E3ED2" w:rsidRPr="003E3ED2" w:rsidRDefault="003E3ED2" w:rsidP="00365F5B">
            <w:pPr>
              <w:pStyle w:val="TableParagraph"/>
              <w:ind w:left="91" w:right="84"/>
              <w:jc w:val="both"/>
              <w:rPr>
                <w:color w:val="000000" w:themeColor="text1"/>
              </w:rPr>
            </w:pPr>
            <w:r w:rsidRPr="003E3ED2">
              <w:rPr>
                <w:color w:val="000000"/>
              </w:rPr>
              <w:t>Domogled - Valea Cernei</w:t>
            </w:r>
          </w:p>
        </w:tc>
      </w:tr>
      <w:tr w:rsidR="003E3ED2" w:rsidRPr="00C56257" w14:paraId="32F3E972" w14:textId="77777777" w:rsidTr="00993B86">
        <w:trPr>
          <w:trHeight w:val="275"/>
        </w:trPr>
        <w:tc>
          <w:tcPr>
            <w:tcW w:w="3410" w:type="dxa"/>
            <w:vMerge/>
            <w:tcBorders>
              <w:top w:val="nil"/>
            </w:tcBorders>
          </w:tcPr>
          <w:p w14:paraId="50A433B6" w14:textId="77777777" w:rsidR="003E3ED2" w:rsidRPr="00C56257" w:rsidRDefault="003E3ED2" w:rsidP="00365F5B">
            <w:pPr>
              <w:jc w:val="both"/>
              <w:rPr>
                <w:color w:val="000000" w:themeColor="text1"/>
              </w:rPr>
            </w:pPr>
          </w:p>
        </w:tc>
        <w:tc>
          <w:tcPr>
            <w:tcW w:w="2410" w:type="dxa"/>
            <w:vAlign w:val="bottom"/>
          </w:tcPr>
          <w:p w14:paraId="4660AFB9" w14:textId="77777777" w:rsidR="003E3ED2" w:rsidRPr="003E3ED2" w:rsidRDefault="003E3ED2" w:rsidP="00172455">
            <w:pPr>
              <w:pStyle w:val="TableParagraph"/>
              <w:ind w:left="93" w:right="87"/>
              <w:jc w:val="both"/>
              <w:rPr>
                <w:color w:val="000000" w:themeColor="text1"/>
              </w:rPr>
            </w:pPr>
            <w:r w:rsidRPr="003E3ED2">
              <w:rPr>
                <w:color w:val="000000"/>
              </w:rPr>
              <w:t>ROS</w:t>
            </w:r>
            <w:r w:rsidR="00172455">
              <w:rPr>
                <w:color w:val="000000"/>
              </w:rPr>
              <w:t>AC</w:t>
            </w:r>
            <w:r w:rsidRPr="003E3ED2">
              <w:rPr>
                <w:color w:val="000000"/>
              </w:rPr>
              <w:t>0071</w:t>
            </w:r>
          </w:p>
        </w:tc>
        <w:tc>
          <w:tcPr>
            <w:tcW w:w="3885" w:type="dxa"/>
            <w:vAlign w:val="bottom"/>
          </w:tcPr>
          <w:p w14:paraId="0642278C" w14:textId="77777777" w:rsidR="003E3ED2" w:rsidRPr="003E3ED2" w:rsidRDefault="003E3ED2" w:rsidP="00365F5B">
            <w:pPr>
              <w:pStyle w:val="TableParagraph"/>
              <w:ind w:left="91" w:right="79"/>
              <w:jc w:val="both"/>
              <w:rPr>
                <w:color w:val="000000" w:themeColor="text1"/>
              </w:rPr>
            </w:pPr>
            <w:r w:rsidRPr="003E3ED2">
              <w:rPr>
                <w:color w:val="000000"/>
              </w:rPr>
              <w:t>Dumbrăveni - Valea Urluia - Lacul Vederoasa</w:t>
            </w:r>
          </w:p>
        </w:tc>
      </w:tr>
      <w:tr w:rsidR="003E3ED2" w:rsidRPr="00C56257" w14:paraId="4CAF383E" w14:textId="77777777" w:rsidTr="00993B86">
        <w:trPr>
          <w:trHeight w:val="277"/>
        </w:trPr>
        <w:tc>
          <w:tcPr>
            <w:tcW w:w="3410" w:type="dxa"/>
            <w:vMerge/>
            <w:tcBorders>
              <w:top w:val="nil"/>
            </w:tcBorders>
          </w:tcPr>
          <w:p w14:paraId="524F8E1C" w14:textId="77777777" w:rsidR="003E3ED2" w:rsidRPr="00C56257" w:rsidRDefault="003E3ED2" w:rsidP="00365F5B">
            <w:pPr>
              <w:jc w:val="both"/>
              <w:rPr>
                <w:color w:val="000000" w:themeColor="text1"/>
              </w:rPr>
            </w:pPr>
          </w:p>
        </w:tc>
        <w:tc>
          <w:tcPr>
            <w:tcW w:w="2410" w:type="dxa"/>
            <w:vAlign w:val="bottom"/>
          </w:tcPr>
          <w:p w14:paraId="510B9DE4" w14:textId="77777777" w:rsidR="003E3ED2" w:rsidRPr="003E3ED2" w:rsidRDefault="003E3ED2" w:rsidP="00365F5B">
            <w:pPr>
              <w:pStyle w:val="TableParagraph"/>
              <w:spacing w:line="258" w:lineRule="exact"/>
              <w:ind w:left="93" w:right="87"/>
              <w:jc w:val="both"/>
              <w:rPr>
                <w:color w:val="000000" w:themeColor="text1"/>
              </w:rPr>
            </w:pPr>
            <w:r w:rsidRPr="003E3ED2">
              <w:rPr>
                <w:color w:val="000000"/>
              </w:rPr>
              <w:t>ROSCI0077</w:t>
            </w:r>
          </w:p>
        </w:tc>
        <w:tc>
          <w:tcPr>
            <w:tcW w:w="3885" w:type="dxa"/>
            <w:vAlign w:val="bottom"/>
          </w:tcPr>
          <w:p w14:paraId="45B505E0" w14:textId="77777777" w:rsidR="003E3ED2" w:rsidRPr="003E3ED2" w:rsidRDefault="003E3ED2" w:rsidP="00365F5B">
            <w:pPr>
              <w:pStyle w:val="TableParagraph"/>
              <w:spacing w:line="258" w:lineRule="exact"/>
              <w:ind w:left="91" w:right="82"/>
              <w:jc w:val="both"/>
              <w:rPr>
                <w:color w:val="000000" w:themeColor="text1"/>
              </w:rPr>
            </w:pPr>
            <w:r w:rsidRPr="003E3ED2">
              <w:rPr>
                <w:color w:val="000000"/>
              </w:rPr>
              <w:t>Fânațele Bârca</w:t>
            </w:r>
          </w:p>
        </w:tc>
      </w:tr>
      <w:tr w:rsidR="003E3ED2" w:rsidRPr="00C56257" w14:paraId="27B2020C" w14:textId="77777777" w:rsidTr="00993B86">
        <w:trPr>
          <w:trHeight w:val="275"/>
        </w:trPr>
        <w:tc>
          <w:tcPr>
            <w:tcW w:w="3410" w:type="dxa"/>
            <w:vMerge/>
            <w:tcBorders>
              <w:top w:val="nil"/>
            </w:tcBorders>
          </w:tcPr>
          <w:p w14:paraId="790D8281" w14:textId="77777777" w:rsidR="003E3ED2" w:rsidRPr="00C56257" w:rsidRDefault="003E3ED2" w:rsidP="00365F5B">
            <w:pPr>
              <w:jc w:val="both"/>
              <w:rPr>
                <w:color w:val="000000" w:themeColor="text1"/>
              </w:rPr>
            </w:pPr>
          </w:p>
        </w:tc>
        <w:tc>
          <w:tcPr>
            <w:tcW w:w="2410" w:type="dxa"/>
            <w:vAlign w:val="bottom"/>
          </w:tcPr>
          <w:p w14:paraId="165482DB"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0085</w:t>
            </w:r>
          </w:p>
        </w:tc>
        <w:tc>
          <w:tcPr>
            <w:tcW w:w="3885" w:type="dxa"/>
            <w:vAlign w:val="bottom"/>
          </w:tcPr>
          <w:p w14:paraId="432CC5EE" w14:textId="77777777" w:rsidR="003E3ED2" w:rsidRPr="003E3ED2" w:rsidRDefault="003E3ED2" w:rsidP="00365F5B">
            <w:pPr>
              <w:pStyle w:val="TableParagraph"/>
              <w:ind w:left="91" w:right="81"/>
              <w:jc w:val="both"/>
              <w:rPr>
                <w:color w:val="000000" w:themeColor="text1"/>
              </w:rPr>
            </w:pPr>
            <w:r w:rsidRPr="003E3ED2">
              <w:rPr>
                <w:color w:val="000000"/>
              </w:rPr>
              <w:t>Frumoasa</w:t>
            </w:r>
          </w:p>
        </w:tc>
      </w:tr>
      <w:tr w:rsidR="003E3ED2" w:rsidRPr="00C56257" w14:paraId="0FF177BC" w14:textId="77777777" w:rsidTr="00993B86">
        <w:trPr>
          <w:trHeight w:val="275"/>
        </w:trPr>
        <w:tc>
          <w:tcPr>
            <w:tcW w:w="3410" w:type="dxa"/>
            <w:vMerge/>
            <w:tcBorders>
              <w:top w:val="nil"/>
            </w:tcBorders>
          </w:tcPr>
          <w:p w14:paraId="73053DE1" w14:textId="77777777" w:rsidR="003E3ED2" w:rsidRPr="00C56257" w:rsidRDefault="003E3ED2" w:rsidP="00365F5B">
            <w:pPr>
              <w:jc w:val="both"/>
              <w:rPr>
                <w:color w:val="000000" w:themeColor="text1"/>
              </w:rPr>
            </w:pPr>
          </w:p>
        </w:tc>
        <w:tc>
          <w:tcPr>
            <w:tcW w:w="2410" w:type="dxa"/>
            <w:vAlign w:val="bottom"/>
          </w:tcPr>
          <w:p w14:paraId="2B23D16F" w14:textId="77777777" w:rsidR="003E3ED2" w:rsidRPr="003E3ED2" w:rsidRDefault="003E3ED2" w:rsidP="00365F5B">
            <w:pPr>
              <w:pStyle w:val="TableParagraph"/>
              <w:ind w:left="93" w:right="87"/>
              <w:jc w:val="both"/>
              <w:rPr>
                <w:color w:val="000000" w:themeColor="text1"/>
              </w:rPr>
            </w:pPr>
            <w:r w:rsidRPr="003E3ED2">
              <w:rPr>
                <w:color w:val="000000"/>
              </w:rPr>
              <w:t>ROSCI0087</w:t>
            </w:r>
          </w:p>
        </w:tc>
        <w:tc>
          <w:tcPr>
            <w:tcW w:w="3885" w:type="dxa"/>
            <w:vAlign w:val="bottom"/>
          </w:tcPr>
          <w:p w14:paraId="182649FF" w14:textId="77777777" w:rsidR="003E3ED2" w:rsidRPr="003E3ED2" w:rsidRDefault="003E3ED2" w:rsidP="00365F5B">
            <w:pPr>
              <w:pStyle w:val="TableParagraph"/>
              <w:ind w:left="90" w:right="85"/>
              <w:jc w:val="both"/>
              <w:rPr>
                <w:color w:val="000000" w:themeColor="text1"/>
              </w:rPr>
            </w:pPr>
            <w:r w:rsidRPr="003E3ED2">
              <w:rPr>
                <w:color w:val="000000"/>
              </w:rPr>
              <w:t>Grădiștea Muncelului - Cioclovina</w:t>
            </w:r>
          </w:p>
        </w:tc>
      </w:tr>
      <w:tr w:rsidR="003E3ED2" w:rsidRPr="00C56257" w14:paraId="6C856FCE" w14:textId="77777777" w:rsidTr="00993B86">
        <w:trPr>
          <w:trHeight w:val="275"/>
        </w:trPr>
        <w:tc>
          <w:tcPr>
            <w:tcW w:w="3410" w:type="dxa"/>
            <w:vMerge/>
            <w:tcBorders>
              <w:top w:val="nil"/>
            </w:tcBorders>
          </w:tcPr>
          <w:p w14:paraId="3D8B0E56" w14:textId="77777777" w:rsidR="003E3ED2" w:rsidRPr="00C56257" w:rsidRDefault="003E3ED2" w:rsidP="00365F5B">
            <w:pPr>
              <w:jc w:val="both"/>
              <w:rPr>
                <w:color w:val="000000" w:themeColor="text1"/>
              </w:rPr>
            </w:pPr>
          </w:p>
        </w:tc>
        <w:tc>
          <w:tcPr>
            <w:tcW w:w="2410" w:type="dxa"/>
            <w:vAlign w:val="bottom"/>
          </w:tcPr>
          <w:p w14:paraId="1AB1C512" w14:textId="77777777" w:rsidR="003E3ED2" w:rsidRPr="003E3ED2" w:rsidRDefault="003E3ED2" w:rsidP="00365F5B">
            <w:pPr>
              <w:pStyle w:val="TableParagraph"/>
              <w:ind w:left="93" w:right="87"/>
              <w:jc w:val="both"/>
              <w:rPr>
                <w:color w:val="000000" w:themeColor="text1"/>
              </w:rPr>
            </w:pPr>
            <w:r w:rsidRPr="003E3ED2">
              <w:rPr>
                <w:color w:val="000000"/>
              </w:rPr>
              <w:t>ROSCI0089</w:t>
            </w:r>
          </w:p>
        </w:tc>
        <w:tc>
          <w:tcPr>
            <w:tcW w:w="3885" w:type="dxa"/>
            <w:vAlign w:val="bottom"/>
          </w:tcPr>
          <w:p w14:paraId="30E2167C" w14:textId="77777777" w:rsidR="003E3ED2" w:rsidRPr="003E3ED2" w:rsidRDefault="003E3ED2" w:rsidP="00365F5B">
            <w:pPr>
              <w:pStyle w:val="TableParagraph"/>
              <w:ind w:left="90" w:right="85"/>
              <w:jc w:val="both"/>
              <w:rPr>
                <w:color w:val="000000" w:themeColor="text1"/>
              </w:rPr>
            </w:pPr>
            <w:r w:rsidRPr="003E3ED2">
              <w:rPr>
                <w:color w:val="000000"/>
              </w:rPr>
              <w:t>Gutâi - Creasta Cocoșului</w:t>
            </w:r>
          </w:p>
        </w:tc>
      </w:tr>
      <w:tr w:rsidR="003E3ED2" w:rsidRPr="00C56257" w14:paraId="2EB8C24E" w14:textId="77777777" w:rsidTr="00993B86">
        <w:trPr>
          <w:trHeight w:val="275"/>
        </w:trPr>
        <w:tc>
          <w:tcPr>
            <w:tcW w:w="3410" w:type="dxa"/>
            <w:vMerge/>
            <w:tcBorders>
              <w:top w:val="nil"/>
            </w:tcBorders>
          </w:tcPr>
          <w:p w14:paraId="561F2D18" w14:textId="77777777" w:rsidR="003E3ED2" w:rsidRPr="00C56257" w:rsidRDefault="003E3ED2" w:rsidP="00365F5B">
            <w:pPr>
              <w:jc w:val="both"/>
              <w:rPr>
                <w:color w:val="000000" w:themeColor="text1"/>
              </w:rPr>
            </w:pPr>
          </w:p>
        </w:tc>
        <w:tc>
          <w:tcPr>
            <w:tcW w:w="2410" w:type="dxa"/>
            <w:vAlign w:val="bottom"/>
          </w:tcPr>
          <w:p w14:paraId="0511C3EB" w14:textId="77777777" w:rsidR="003E3ED2" w:rsidRPr="003E3ED2" w:rsidRDefault="003E3ED2" w:rsidP="00AE0E73">
            <w:pPr>
              <w:pStyle w:val="TableParagraph"/>
              <w:ind w:left="94" w:right="87"/>
              <w:jc w:val="both"/>
              <w:rPr>
                <w:color w:val="000000" w:themeColor="text1"/>
              </w:rPr>
            </w:pPr>
            <w:r w:rsidRPr="003E3ED2">
              <w:rPr>
                <w:color w:val="000000"/>
              </w:rPr>
              <w:t>ROS</w:t>
            </w:r>
            <w:r w:rsidR="00AE0E73">
              <w:rPr>
                <w:color w:val="000000"/>
              </w:rPr>
              <w:t>AC</w:t>
            </w:r>
            <w:r w:rsidRPr="003E3ED2">
              <w:rPr>
                <w:color w:val="000000"/>
              </w:rPr>
              <w:t>0090</w:t>
            </w:r>
          </w:p>
        </w:tc>
        <w:tc>
          <w:tcPr>
            <w:tcW w:w="3885" w:type="dxa"/>
            <w:vAlign w:val="bottom"/>
          </w:tcPr>
          <w:p w14:paraId="1595CBD1" w14:textId="77777777" w:rsidR="003E3ED2" w:rsidRPr="003E3ED2" w:rsidRDefault="003E3ED2" w:rsidP="00365F5B">
            <w:pPr>
              <w:pStyle w:val="TableParagraph"/>
              <w:ind w:left="91" w:right="79"/>
              <w:jc w:val="both"/>
              <w:rPr>
                <w:color w:val="000000" w:themeColor="text1"/>
              </w:rPr>
            </w:pPr>
            <w:r w:rsidRPr="003E3ED2">
              <w:rPr>
                <w:color w:val="000000"/>
              </w:rPr>
              <w:t>Harghita Mădăraș</w:t>
            </w:r>
          </w:p>
        </w:tc>
      </w:tr>
      <w:tr w:rsidR="003E3ED2" w:rsidRPr="00C56257" w14:paraId="4AFA94EB" w14:textId="77777777" w:rsidTr="00993B86">
        <w:trPr>
          <w:trHeight w:val="275"/>
        </w:trPr>
        <w:tc>
          <w:tcPr>
            <w:tcW w:w="3410" w:type="dxa"/>
            <w:vMerge/>
            <w:tcBorders>
              <w:top w:val="nil"/>
            </w:tcBorders>
          </w:tcPr>
          <w:p w14:paraId="0102F8B7" w14:textId="77777777" w:rsidR="003E3ED2" w:rsidRPr="00C56257" w:rsidRDefault="003E3ED2" w:rsidP="00365F5B">
            <w:pPr>
              <w:jc w:val="both"/>
              <w:rPr>
                <w:color w:val="000000" w:themeColor="text1"/>
              </w:rPr>
            </w:pPr>
          </w:p>
        </w:tc>
        <w:tc>
          <w:tcPr>
            <w:tcW w:w="2410" w:type="dxa"/>
            <w:vAlign w:val="bottom"/>
          </w:tcPr>
          <w:p w14:paraId="6A0C37CE" w14:textId="77777777" w:rsidR="003E3ED2" w:rsidRPr="003E3ED2" w:rsidRDefault="003E3ED2" w:rsidP="00365F5B">
            <w:pPr>
              <w:pStyle w:val="TableParagraph"/>
              <w:ind w:left="93" w:right="87"/>
              <w:jc w:val="both"/>
              <w:rPr>
                <w:color w:val="000000" w:themeColor="text1"/>
              </w:rPr>
            </w:pPr>
            <w:r w:rsidRPr="003E3ED2">
              <w:rPr>
                <w:color w:val="000000"/>
              </w:rPr>
              <w:t>ROSCI0092</w:t>
            </w:r>
          </w:p>
        </w:tc>
        <w:tc>
          <w:tcPr>
            <w:tcW w:w="3885" w:type="dxa"/>
            <w:vAlign w:val="bottom"/>
          </w:tcPr>
          <w:p w14:paraId="71C5C3EF" w14:textId="77777777" w:rsidR="003E3ED2" w:rsidRPr="003E3ED2" w:rsidRDefault="003E3ED2" w:rsidP="00365F5B">
            <w:pPr>
              <w:pStyle w:val="TableParagraph"/>
              <w:ind w:left="91" w:right="80"/>
              <w:jc w:val="both"/>
              <w:rPr>
                <w:color w:val="000000" w:themeColor="text1"/>
              </w:rPr>
            </w:pPr>
            <w:r w:rsidRPr="003E3ED2">
              <w:rPr>
                <w:color w:val="000000"/>
              </w:rPr>
              <w:t>Igniș</w:t>
            </w:r>
          </w:p>
        </w:tc>
      </w:tr>
      <w:tr w:rsidR="003E3ED2" w:rsidRPr="00C56257" w14:paraId="42BBC665" w14:textId="77777777" w:rsidTr="00993B86">
        <w:trPr>
          <w:trHeight w:val="278"/>
        </w:trPr>
        <w:tc>
          <w:tcPr>
            <w:tcW w:w="3410" w:type="dxa"/>
            <w:vMerge/>
            <w:tcBorders>
              <w:top w:val="nil"/>
            </w:tcBorders>
          </w:tcPr>
          <w:p w14:paraId="0A2FE732" w14:textId="77777777" w:rsidR="003E3ED2" w:rsidRPr="00C56257" w:rsidRDefault="003E3ED2" w:rsidP="00365F5B">
            <w:pPr>
              <w:jc w:val="both"/>
              <w:rPr>
                <w:color w:val="000000" w:themeColor="text1"/>
              </w:rPr>
            </w:pPr>
          </w:p>
        </w:tc>
        <w:tc>
          <w:tcPr>
            <w:tcW w:w="2410" w:type="dxa"/>
            <w:vAlign w:val="bottom"/>
          </w:tcPr>
          <w:p w14:paraId="6AC52B40" w14:textId="77777777" w:rsidR="003E3ED2" w:rsidRPr="003E3ED2" w:rsidRDefault="003E3ED2" w:rsidP="00AE0E73">
            <w:pPr>
              <w:pStyle w:val="TableParagraph"/>
              <w:spacing w:line="258" w:lineRule="exact"/>
              <w:ind w:left="93" w:right="87"/>
              <w:jc w:val="both"/>
              <w:rPr>
                <w:color w:val="000000" w:themeColor="text1"/>
              </w:rPr>
            </w:pPr>
            <w:r w:rsidRPr="003E3ED2">
              <w:rPr>
                <w:color w:val="000000"/>
              </w:rPr>
              <w:t>ROS</w:t>
            </w:r>
            <w:r w:rsidR="00AE0E73">
              <w:rPr>
                <w:color w:val="000000"/>
              </w:rPr>
              <w:t>AC</w:t>
            </w:r>
            <w:r w:rsidRPr="003E3ED2">
              <w:rPr>
                <w:color w:val="000000"/>
              </w:rPr>
              <w:t>0093</w:t>
            </w:r>
          </w:p>
        </w:tc>
        <w:tc>
          <w:tcPr>
            <w:tcW w:w="3885" w:type="dxa"/>
            <w:vAlign w:val="bottom"/>
          </w:tcPr>
          <w:p w14:paraId="29191808" w14:textId="77777777" w:rsidR="003E3ED2" w:rsidRPr="003E3ED2" w:rsidRDefault="003E3ED2" w:rsidP="00365F5B">
            <w:pPr>
              <w:pStyle w:val="TableParagraph"/>
              <w:spacing w:line="258" w:lineRule="exact"/>
              <w:ind w:left="91" w:right="79"/>
              <w:jc w:val="both"/>
              <w:rPr>
                <w:color w:val="000000" w:themeColor="text1"/>
              </w:rPr>
            </w:pPr>
            <w:r w:rsidRPr="003E3ED2">
              <w:rPr>
                <w:color w:val="000000"/>
              </w:rPr>
              <w:t>Insulele Stepice Șura Mică - Slimnic</w:t>
            </w:r>
          </w:p>
        </w:tc>
      </w:tr>
      <w:tr w:rsidR="003E3ED2" w:rsidRPr="00C56257" w14:paraId="18FB49C1" w14:textId="77777777" w:rsidTr="00993B86">
        <w:trPr>
          <w:trHeight w:val="275"/>
        </w:trPr>
        <w:tc>
          <w:tcPr>
            <w:tcW w:w="3410" w:type="dxa"/>
            <w:vMerge/>
            <w:tcBorders>
              <w:top w:val="nil"/>
            </w:tcBorders>
          </w:tcPr>
          <w:p w14:paraId="38B6E237" w14:textId="77777777" w:rsidR="003E3ED2" w:rsidRPr="00C56257" w:rsidRDefault="003E3ED2" w:rsidP="00365F5B">
            <w:pPr>
              <w:jc w:val="both"/>
              <w:rPr>
                <w:color w:val="000000" w:themeColor="text1"/>
              </w:rPr>
            </w:pPr>
          </w:p>
        </w:tc>
        <w:tc>
          <w:tcPr>
            <w:tcW w:w="2410" w:type="dxa"/>
            <w:vAlign w:val="bottom"/>
          </w:tcPr>
          <w:p w14:paraId="5B11236F"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0099</w:t>
            </w:r>
          </w:p>
        </w:tc>
        <w:tc>
          <w:tcPr>
            <w:tcW w:w="3885" w:type="dxa"/>
            <w:vAlign w:val="bottom"/>
          </w:tcPr>
          <w:p w14:paraId="3B892FCB" w14:textId="77777777" w:rsidR="003E3ED2" w:rsidRPr="003E3ED2" w:rsidRDefault="003E3ED2" w:rsidP="00365F5B">
            <w:pPr>
              <w:pStyle w:val="TableParagraph"/>
              <w:ind w:left="86" w:right="85"/>
              <w:jc w:val="both"/>
              <w:rPr>
                <w:color w:val="000000" w:themeColor="text1"/>
              </w:rPr>
            </w:pPr>
            <w:r w:rsidRPr="003E3ED2">
              <w:rPr>
                <w:color w:val="000000"/>
              </w:rPr>
              <w:t>Lacul Știucilor - Sic - Puini - Bonțida</w:t>
            </w:r>
          </w:p>
        </w:tc>
      </w:tr>
      <w:tr w:rsidR="003E3ED2" w:rsidRPr="00C56257" w14:paraId="738847F7" w14:textId="77777777" w:rsidTr="00993B86">
        <w:trPr>
          <w:trHeight w:val="275"/>
        </w:trPr>
        <w:tc>
          <w:tcPr>
            <w:tcW w:w="3410" w:type="dxa"/>
            <w:vMerge/>
            <w:tcBorders>
              <w:top w:val="nil"/>
            </w:tcBorders>
          </w:tcPr>
          <w:p w14:paraId="7B491DC4" w14:textId="77777777" w:rsidR="003E3ED2" w:rsidRPr="00C56257" w:rsidRDefault="003E3ED2" w:rsidP="00365F5B">
            <w:pPr>
              <w:jc w:val="both"/>
              <w:rPr>
                <w:color w:val="000000" w:themeColor="text1"/>
              </w:rPr>
            </w:pPr>
          </w:p>
        </w:tc>
        <w:tc>
          <w:tcPr>
            <w:tcW w:w="2410" w:type="dxa"/>
            <w:vAlign w:val="bottom"/>
          </w:tcPr>
          <w:p w14:paraId="3F07F24C"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0103</w:t>
            </w:r>
          </w:p>
        </w:tc>
        <w:tc>
          <w:tcPr>
            <w:tcW w:w="3885" w:type="dxa"/>
            <w:vAlign w:val="bottom"/>
          </w:tcPr>
          <w:p w14:paraId="2EE71E75" w14:textId="77777777" w:rsidR="003E3ED2" w:rsidRPr="003E3ED2" w:rsidRDefault="003E3ED2" w:rsidP="00365F5B">
            <w:pPr>
              <w:pStyle w:val="TableParagraph"/>
              <w:ind w:left="91" w:right="81"/>
              <w:jc w:val="both"/>
              <w:rPr>
                <w:color w:val="000000" w:themeColor="text1"/>
              </w:rPr>
            </w:pPr>
            <w:r w:rsidRPr="003E3ED2">
              <w:rPr>
                <w:color w:val="000000"/>
              </w:rPr>
              <w:t>Lunca Buzăului</w:t>
            </w:r>
          </w:p>
        </w:tc>
      </w:tr>
      <w:tr w:rsidR="003E3ED2" w:rsidRPr="00C56257" w14:paraId="0BD4FB97" w14:textId="77777777" w:rsidTr="00993B86">
        <w:trPr>
          <w:trHeight w:val="275"/>
        </w:trPr>
        <w:tc>
          <w:tcPr>
            <w:tcW w:w="3410" w:type="dxa"/>
            <w:vMerge/>
            <w:tcBorders>
              <w:top w:val="nil"/>
            </w:tcBorders>
          </w:tcPr>
          <w:p w14:paraId="4E3DCA49" w14:textId="77777777" w:rsidR="003E3ED2" w:rsidRPr="00C56257" w:rsidRDefault="003E3ED2" w:rsidP="00365F5B">
            <w:pPr>
              <w:jc w:val="both"/>
              <w:rPr>
                <w:color w:val="000000" w:themeColor="text1"/>
              </w:rPr>
            </w:pPr>
          </w:p>
        </w:tc>
        <w:tc>
          <w:tcPr>
            <w:tcW w:w="2410" w:type="dxa"/>
            <w:vAlign w:val="bottom"/>
          </w:tcPr>
          <w:p w14:paraId="33864097" w14:textId="77777777" w:rsidR="003E3ED2" w:rsidRPr="003E3ED2" w:rsidRDefault="003E3ED2" w:rsidP="00365F5B">
            <w:pPr>
              <w:pStyle w:val="TableParagraph"/>
              <w:ind w:left="93" w:right="87"/>
              <w:jc w:val="both"/>
              <w:rPr>
                <w:color w:val="000000" w:themeColor="text1"/>
              </w:rPr>
            </w:pPr>
            <w:r w:rsidRPr="003E3ED2">
              <w:rPr>
                <w:color w:val="000000"/>
              </w:rPr>
              <w:t>ROSCI0105</w:t>
            </w:r>
          </w:p>
        </w:tc>
        <w:tc>
          <w:tcPr>
            <w:tcW w:w="3885" w:type="dxa"/>
            <w:vAlign w:val="bottom"/>
          </w:tcPr>
          <w:p w14:paraId="4068B42D" w14:textId="77777777" w:rsidR="003E3ED2" w:rsidRPr="003E3ED2" w:rsidRDefault="003E3ED2" w:rsidP="00365F5B">
            <w:pPr>
              <w:pStyle w:val="TableParagraph"/>
              <w:ind w:left="86" w:right="85"/>
              <w:jc w:val="both"/>
              <w:rPr>
                <w:color w:val="000000" w:themeColor="text1"/>
              </w:rPr>
            </w:pPr>
            <w:r w:rsidRPr="003E3ED2">
              <w:rPr>
                <w:color w:val="000000"/>
              </w:rPr>
              <w:t>Lunca Joasă a Prutului</w:t>
            </w:r>
          </w:p>
        </w:tc>
      </w:tr>
      <w:tr w:rsidR="003E3ED2" w:rsidRPr="00C56257" w14:paraId="63A6C6EE" w14:textId="77777777" w:rsidTr="00993B86">
        <w:trPr>
          <w:trHeight w:val="275"/>
        </w:trPr>
        <w:tc>
          <w:tcPr>
            <w:tcW w:w="3410" w:type="dxa"/>
            <w:vMerge/>
            <w:tcBorders>
              <w:top w:val="nil"/>
            </w:tcBorders>
          </w:tcPr>
          <w:p w14:paraId="04C49026" w14:textId="77777777" w:rsidR="003E3ED2" w:rsidRPr="00C56257" w:rsidRDefault="003E3ED2" w:rsidP="00365F5B">
            <w:pPr>
              <w:jc w:val="both"/>
              <w:rPr>
                <w:color w:val="000000" w:themeColor="text1"/>
              </w:rPr>
            </w:pPr>
          </w:p>
        </w:tc>
        <w:tc>
          <w:tcPr>
            <w:tcW w:w="2410" w:type="dxa"/>
            <w:vAlign w:val="bottom"/>
          </w:tcPr>
          <w:p w14:paraId="03DAAF71" w14:textId="77777777" w:rsidR="003E3ED2" w:rsidRPr="003E3ED2" w:rsidRDefault="003E3ED2" w:rsidP="00AE0E73">
            <w:pPr>
              <w:pStyle w:val="TableParagraph"/>
              <w:ind w:left="93" w:right="87"/>
              <w:jc w:val="both"/>
              <w:rPr>
                <w:color w:val="000000"/>
              </w:rPr>
            </w:pPr>
            <w:r w:rsidRPr="003E3ED2">
              <w:rPr>
                <w:color w:val="000000"/>
              </w:rPr>
              <w:t>ROS</w:t>
            </w:r>
            <w:r w:rsidR="00AE0E73">
              <w:rPr>
                <w:color w:val="000000"/>
              </w:rPr>
              <w:t>AC</w:t>
            </w:r>
            <w:r w:rsidRPr="003E3ED2">
              <w:rPr>
                <w:color w:val="000000"/>
              </w:rPr>
              <w:t>0108</w:t>
            </w:r>
          </w:p>
        </w:tc>
        <w:tc>
          <w:tcPr>
            <w:tcW w:w="3885" w:type="dxa"/>
            <w:vAlign w:val="bottom"/>
          </w:tcPr>
          <w:p w14:paraId="778926EA" w14:textId="77777777" w:rsidR="003E3ED2" w:rsidRPr="003E3ED2" w:rsidRDefault="003E3ED2" w:rsidP="00365F5B">
            <w:pPr>
              <w:pStyle w:val="TableParagraph"/>
              <w:ind w:left="86" w:right="85"/>
              <w:jc w:val="both"/>
              <w:rPr>
                <w:color w:val="000000"/>
              </w:rPr>
            </w:pPr>
            <w:r w:rsidRPr="003E3ED2">
              <w:rPr>
                <w:color w:val="000000"/>
              </w:rPr>
              <w:t>Lunca Mureșului Inferior</w:t>
            </w:r>
          </w:p>
        </w:tc>
      </w:tr>
      <w:tr w:rsidR="003E3ED2" w:rsidRPr="00C56257" w14:paraId="50DB006E" w14:textId="77777777" w:rsidTr="00993B86">
        <w:trPr>
          <w:trHeight w:val="275"/>
        </w:trPr>
        <w:tc>
          <w:tcPr>
            <w:tcW w:w="3410" w:type="dxa"/>
            <w:vMerge/>
            <w:tcBorders>
              <w:top w:val="nil"/>
            </w:tcBorders>
          </w:tcPr>
          <w:p w14:paraId="102A9645" w14:textId="77777777" w:rsidR="003E3ED2" w:rsidRPr="00C56257" w:rsidRDefault="003E3ED2" w:rsidP="00365F5B">
            <w:pPr>
              <w:jc w:val="both"/>
              <w:rPr>
                <w:color w:val="000000" w:themeColor="text1"/>
              </w:rPr>
            </w:pPr>
          </w:p>
        </w:tc>
        <w:tc>
          <w:tcPr>
            <w:tcW w:w="2410" w:type="dxa"/>
            <w:vAlign w:val="bottom"/>
          </w:tcPr>
          <w:p w14:paraId="4CD38791" w14:textId="77777777" w:rsidR="003E3ED2" w:rsidRPr="003E3ED2" w:rsidRDefault="003E3ED2" w:rsidP="00365F5B">
            <w:pPr>
              <w:pStyle w:val="TableParagraph"/>
              <w:ind w:left="93" w:right="87"/>
              <w:jc w:val="both"/>
              <w:rPr>
                <w:color w:val="000000"/>
              </w:rPr>
            </w:pPr>
            <w:r w:rsidRPr="003E3ED2">
              <w:rPr>
                <w:color w:val="000000"/>
              </w:rPr>
              <w:t>ROSCI0109</w:t>
            </w:r>
          </w:p>
        </w:tc>
        <w:tc>
          <w:tcPr>
            <w:tcW w:w="3885" w:type="dxa"/>
            <w:vAlign w:val="bottom"/>
          </w:tcPr>
          <w:p w14:paraId="6A04AFD9" w14:textId="77777777" w:rsidR="003E3ED2" w:rsidRPr="003E3ED2" w:rsidRDefault="003E3ED2" w:rsidP="00365F5B">
            <w:pPr>
              <w:pStyle w:val="TableParagraph"/>
              <w:ind w:left="86" w:right="85"/>
              <w:jc w:val="both"/>
              <w:rPr>
                <w:color w:val="000000"/>
              </w:rPr>
            </w:pPr>
            <w:r w:rsidRPr="003E3ED2">
              <w:rPr>
                <w:color w:val="000000"/>
              </w:rPr>
              <w:t>Lunca Timișului</w:t>
            </w:r>
          </w:p>
        </w:tc>
      </w:tr>
      <w:tr w:rsidR="003E3ED2" w:rsidRPr="00C56257" w14:paraId="7F9B4BA0" w14:textId="77777777" w:rsidTr="00993B86">
        <w:trPr>
          <w:trHeight w:val="275"/>
        </w:trPr>
        <w:tc>
          <w:tcPr>
            <w:tcW w:w="3410" w:type="dxa"/>
            <w:vMerge/>
            <w:tcBorders>
              <w:top w:val="nil"/>
            </w:tcBorders>
          </w:tcPr>
          <w:p w14:paraId="7CAC6BAD" w14:textId="77777777" w:rsidR="003E3ED2" w:rsidRPr="00C56257" w:rsidRDefault="003E3ED2" w:rsidP="00365F5B">
            <w:pPr>
              <w:jc w:val="both"/>
              <w:rPr>
                <w:color w:val="000000" w:themeColor="text1"/>
              </w:rPr>
            </w:pPr>
          </w:p>
        </w:tc>
        <w:tc>
          <w:tcPr>
            <w:tcW w:w="2410" w:type="dxa"/>
            <w:vAlign w:val="bottom"/>
          </w:tcPr>
          <w:p w14:paraId="7DABC561" w14:textId="77777777" w:rsidR="003E3ED2" w:rsidRPr="003E3ED2" w:rsidRDefault="003E3ED2" w:rsidP="00AE0E73">
            <w:pPr>
              <w:pStyle w:val="TableParagraph"/>
              <w:ind w:left="93" w:right="87"/>
              <w:jc w:val="both"/>
              <w:rPr>
                <w:color w:val="000000"/>
              </w:rPr>
            </w:pPr>
            <w:r w:rsidRPr="003E3ED2">
              <w:rPr>
                <w:color w:val="000000"/>
              </w:rPr>
              <w:t>ROS</w:t>
            </w:r>
            <w:r w:rsidR="00AE0E73">
              <w:rPr>
                <w:color w:val="000000"/>
              </w:rPr>
              <w:t>AC</w:t>
            </w:r>
            <w:r w:rsidRPr="003E3ED2">
              <w:rPr>
                <w:color w:val="000000"/>
              </w:rPr>
              <w:t>0111</w:t>
            </w:r>
          </w:p>
        </w:tc>
        <w:tc>
          <w:tcPr>
            <w:tcW w:w="3885" w:type="dxa"/>
            <w:vAlign w:val="bottom"/>
          </w:tcPr>
          <w:p w14:paraId="41C00C0E" w14:textId="77777777" w:rsidR="003E3ED2" w:rsidRPr="003E3ED2" w:rsidRDefault="003E3ED2" w:rsidP="00365F5B">
            <w:pPr>
              <w:pStyle w:val="TableParagraph"/>
              <w:ind w:left="86" w:right="85"/>
              <w:jc w:val="both"/>
              <w:rPr>
                <w:color w:val="000000"/>
              </w:rPr>
            </w:pPr>
            <w:r w:rsidRPr="003E3ED2">
              <w:rPr>
                <w:color w:val="000000"/>
              </w:rPr>
              <w:t>Mestecănișul de la Reci</w:t>
            </w:r>
          </w:p>
        </w:tc>
      </w:tr>
      <w:tr w:rsidR="003E3ED2" w:rsidRPr="00C56257" w14:paraId="0FE8E8BC" w14:textId="77777777" w:rsidTr="00993B86">
        <w:trPr>
          <w:trHeight w:val="275"/>
        </w:trPr>
        <w:tc>
          <w:tcPr>
            <w:tcW w:w="3410" w:type="dxa"/>
            <w:vMerge/>
            <w:tcBorders>
              <w:top w:val="nil"/>
            </w:tcBorders>
          </w:tcPr>
          <w:p w14:paraId="03B13177" w14:textId="77777777" w:rsidR="003E3ED2" w:rsidRPr="00C56257" w:rsidRDefault="003E3ED2" w:rsidP="00365F5B">
            <w:pPr>
              <w:jc w:val="both"/>
              <w:rPr>
                <w:color w:val="000000" w:themeColor="text1"/>
              </w:rPr>
            </w:pPr>
          </w:p>
        </w:tc>
        <w:tc>
          <w:tcPr>
            <w:tcW w:w="2410" w:type="dxa"/>
            <w:vAlign w:val="bottom"/>
          </w:tcPr>
          <w:p w14:paraId="3FC34AEB" w14:textId="77777777" w:rsidR="003E3ED2" w:rsidRPr="003E3ED2" w:rsidRDefault="003E3ED2" w:rsidP="00AE0E73">
            <w:pPr>
              <w:pStyle w:val="TableParagraph"/>
              <w:ind w:left="93" w:right="87"/>
              <w:jc w:val="both"/>
              <w:rPr>
                <w:color w:val="000000"/>
              </w:rPr>
            </w:pPr>
            <w:r w:rsidRPr="003E3ED2">
              <w:rPr>
                <w:color w:val="000000"/>
              </w:rPr>
              <w:t>ROS</w:t>
            </w:r>
            <w:r w:rsidR="00AE0E73">
              <w:rPr>
                <w:color w:val="000000"/>
              </w:rPr>
              <w:t>AC</w:t>
            </w:r>
            <w:r w:rsidRPr="003E3ED2">
              <w:rPr>
                <w:color w:val="000000"/>
              </w:rPr>
              <w:t>0122</w:t>
            </w:r>
          </w:p>
        </w:tc>
        <w:tc>
          <w:tcPr>
            <w:tcW w:w="3885" w:type="dxa"/>
            <w:vAlign w:val="bottom"/>
          </w:tcPr>
          <w:p w14:paraId="421DE50D" w14:textId="77777777" w:rsidR="003E3ED2" w:rsidRPr="003E3ED2" w:rsidRDefault="003E3ED2" w:rsidP="00365F5B">
            <w:pPr>
              <w:pStyle w:val="TableParagraph"/>
              <w:ind w:left="86" w:right="85"/>
              <w:jc w:val="both"/>
              <w:rPr>
                <w:color w:val="000000"/>
              </w:rPr>
            </w:pPr>
            <w:r w:rsidRPr="003E3ED2">
              <w:rPr>
                <w:color w:val="000000"/>
              </w:rPr>
              <w:t>Munții Făgăraș</w:t>
            </w:r>
          </w:p>
        </w:tc>
      </w:tr>
      <w:tr w:rsidR="003E3ED2" w:rsidRPr="00C56257" w14:paraId="22E9408D" w14:textId="77777777" w:rsidTr="00993B86">
        <w:trPr>
          <w:trHeight w:val="275"/>
        </w:trPr>
        <w:tc>
          <w:tcPr>
            <w:tcW w:w="3410" w:type="dxa"/>
            <w:vMerge/>
            <w:tcBorders>
              <w:top w:val="nil"/>
            </w:tcBorders>
          </w:tcPr>
          <w:p w14:paraId="753532EF" w14:textId="77777777" w:rsidR="003E3ED2" w:rsidRPr="00C56257" w:rsidRDefault="003E3ED2" w:rsidP="00365F5B">
            <w:pPr>
              <w:jc w:val="both"/>
              <w:rPr>
                <w:color w:val="000000" w:themeColor="text1"/>
              </w:rPr>
            </w:pPr>
          </w:p>
        </w:tc>
        <w:tc>
          <w:tcPr>
            <w:tcW w:w="2410" w:type="dxa"/>
            <w:vAlign w:val="bottom"/>
          </w:tcPr>
          <w:p w14:paraId="14EFF556" w14:textId="77777777" w:rsidR="003E3ED2" w:rsidRPr="003E3ED2" w:rsidRDefault="003E3ED2" w:rsidP="00AE0E73">
            <w:pPr>
              <w:pStyle w:val="TableParagraph"/>
              <w:ind w:left="93" w:right="87"/>
              <w:jc w:val="both"/>
              <w:rPr>
                <w:color w:val="000000"/>
              </w:rPr>
            </w:pPr>
            <w:r w:rsidRPr="003E3ED2">
              <w:rPr>
                <w:color w:val="000000"/>
              </w:rPr>
              <w:t>ROS</w:t>
            </w:r>
            <w:r w:rsidR="00AE0E73">
              <w:rPr>
                <w:color w:val="000000"/>
              </w:rPr>
              <w:t>AC</w:t>
            </w:r>
            <w:r w:rsidRPr="003E3ED2">
              <w:rPr>
                <w:color w:val="000000"/>
              </w:rPr>
              <w:t>0124</w:t>
            </w:r>
          </w:p>
        </w:tc>
        <w:tc>
          <w:tcPr>
            <w:tcW w:w="3885" w:type="dxa"/>
            <w:vAlign w:val="bottom"/>
          </w:tcPr>
          <w:p w14:paraId="54A3971E" w14:textId="77777777" w:rsidR="003E3ED2" w:rsidRPr="003E3ED2" w:rsidRDefault="003E3ED2" w:rsidP="00365F5B">
            <w:pPr>
              <w:pStyle w:val="TableParagraph"/>
              <w:ind w:left="86" w:right="85"/>
              <w:jc w:val="both"/>
              <w:rPr>
                <w:color w:val="000000"/>
              </w:rPr>
            </w:pPr>
            <w:r w:rsidRPr="003E3ED2">
              <w:rPr>
                <w:color w:val="000000"/>
              </w:rPr>
              <w:t>Munții Maramureșului</w:t>
            </w:r>
          </w:p>
        </w:tc>
      </w:tr>
      <w:tr w:rsidR="003E3ED2" w:rsidRPr="00C56257" w14:paraId="70187318" w14:textId="77777777" w:rsidTr="00993B86">
        <w:trPr>
          <w:trHeight w:val="275"/>
        </w:trPr>
        <w:tc>
          <w:tcPr>
            <w:tcW w:w="3410" w:type="dxa"/>
            <w:vMerge/>
            <w:tcBorders>
              <w:top w:val="nil"/>
            </w:tcBorders>
          </w:tcPr>
          <w:p w14:paraId="695E3537" w14:textId="77777777" w:rsidR="003E3ED2" w:rsidRPr="00C56257" w:rsidRDefault="003E3ED2" w:rsidP="00365F5B">
            <w:pPr>
              <w:jc w:val="both"/>
              <w:rPr>
                <w:color w:val="000000" w:themeColor="text1"/>
              </w:rPr>
            </w:pPr>
          </w:p>
        </w:tc>
        <w:tc>
          <w:tcPr>
            <w:tcW w:w="2410" w:type="dxa"/>
            <w:vAlign w:val="bottom"/>
          </w:tcPr>
          <w:p w14:paraId="5E2C7092" w14:textId="77777777" w:rsidR="003E3ED2" w:rsidRPr="003E3ED2" w:rsidRDefault="003E3ED2" w:rsidP="00365F5B">
            <w:pPr>
              <w:pStyle w:val="TableParagraph"/>
              <w:ind w:left="93" w:right="87"/>
              <w:jc w:val="both"/>
              <w:rPr>
                <w:color w:val="000000" w:themeColor="text1"/>
              </w:rPr>
            </w:pPr>
            <w:r w:rsidRPr="003E3ED2">
              <w:rPr>
                <w:color w:val="000000"/>
              </w:rPr>
              <w:t>ROSCI0125</w:t>
            </w:r>
          </w:p>
        </w:tc>
        <w:tc>
          <w:tcPr>
            <w:tcW w:w="3885" w:type="dxa"/>
            <w:vAlign w:val="bottom"/>
          </w:tcPr>
          <w:p w14:paraId="69E778F6" w14:textId="77777777" w:rsidR="003E3ED2" w:rsidRPr="003E3ED2" w:rsidRDefault="003E3ED2" w:rsidP="00365F5B">
            <w:pPr>
              <w:pStyle w:val="TableParagraph"/>
              <w:ind w:left="91" w:right="80"/>
              <w:jc w:val="both"/>
              <w:rPr>
                <w:color w:val="000000" w:themeColor="text1"/>
              </w:rPr>
            </w:pPr>
            <w:r w:rsidRPr="003E3ED2">
              <w:rPr>
                <w:color w:val="000000"/>
              </w:rPr>
              <w:t>Munții Rodnei</w:t>
            </w:r>
          </w:p>
        </w:tc>
      </w:tr>
      <w:tr w:rsidR="003E3ED2" w:rsidRPr="00C56257" w14:paraId="3A678F7A" w14:textId="77777777" w:rsidTr="00993B86">
        <w:trPr>
          <w:trHeight w:val="275"/>
        </w:trPr>
        <w:tc>
          <w:tcPr>
            <w:tcW w:w="3410" w:type="dxa"/>
            <w:vMerge/>
            <w:tcBorders>
              <w:top w:val="nil"/>
            </w:tcBorders>
          </w:tcPr>
          <w:p w14:paraId="750457FA" w14:textId="77777777" w:rsidR="003E3ED2" w:rsidRPr="00C56257" w:rsidRDefault="003E3ED2" w:rsidP="00365F5B">
            <w:pPr>
              <w:jc w:val="both"/>
              <w:rPr>
                <w:color w:val="000000" w:themeColor="text1"/>
              </w:rPr>
            </w:pPr>
          </w:p>
        </w:tc>
        <w:tc>
          <w:tcPr>
            <w:tcW w:w="2410" w:type="dxa"/>
            <w:vAlign w:val="bottom"/>
          </w:tcPr>
          <w:p w14:paraId="42B00031" w14:textId="77777777" w:rsidR="003E3ED2" w:rsidRPr="003E3ED2" w:rsidRDefault="003E3ED2" w:rsidP="00365F5B">
            <w:pPr>
              <w:pStyle w:val="TableParagraph"/>
              <w:ind w:left="93" w:right="87"/>
              <w:jc w:val="both"/>
              <w:rPr>
                <w:color w:val="000000" w:themeColor="text1"/>
              </w:rPr>
            </w:pPr>
            <w:r w:rsidRPr="003E3ED2">
              <w:rPr>
                <w:color w:val="000000"/>
              </w:rPr>
              <w:t>ROSCI0126</w:t>
            </w:r>
          </w:p>
        </w:tc>
        <w:tc>
          <w:tcPr>
            <w:tcW w:w="3885" w:type="dxa"/>
            <w:vAlign w:val="bottom"/>
          </w:tcPr>
          <w:p w14:paraId="750420B4" w14:textId="77777777" w:rsidR="003E3ED2" w:rsidRPr="003E3ED2" w:rsidRDefault="003E3ED2" w:rsidP="00365F5B">
            <w:pPr>
              <w:pStyle w:val="TableParagraph"/>
              <w:ind w:left="89" w:right="85"/>
              <w:jc w:val="both"/>
              <w:rPr>
                <w:color w:val="000000" w:themeColor="text1"/>
              </w:rPr>
            </w:pPr>
            <w:r w:rsidRPr="003E3ED2">
              <w:rPr>
                <w:color w:val="000000"/>
              </w:rPr>
              <w:t>Munții Țarcu</w:t>
            </w:r>
          </w:p>
        </w:tc>
      </w:tr>
      <w:tr w:rsidR="003E3ED2" w:rsidRPr="00C56257" w14:paraId="3DE348FA" w14:textId="77777777" w:rsidTr="00993B86">
        <w:trPr>
          <w:trHeight w:val="275"/>
        </w:trPr>
        <w:tc>
          <w:tcPr>
            <w:tcW w:w="3410" w:type="dxa"/>
            <w:vMerge/>
            <w:tcBorders>
              <w:top w:val="nil"/>
            </w:tcBorders>
          </w:tcPr>
          <w:p w14:paraId="31F81F5A" w14:textId="77777777" w:rsidR="003E3ED2" w:rsidRPr="00C56257" w:rsidRDefault="003E3ED2" w:rsidP="00365F5B">
            <w:pPr>
              <w:jc w:val="both"/>
              <w:rPr>
                <w:color w:val="000000" w:themeColor="text1"/>
              </w:rPr>
            </w:pPr>
          </w:p>
        </w:tc>
        <w:tc>
          <w:tcPr>
            <w:tcW w:w="2410" w:type="dxa"/>
            <w:vAlign w:val="bottom"/>
          </w:tcPr>
          <w:p w14:paraId="16D785FB"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0128</w:t>
            </w:r>
          </w:p>
        </w:tc>
        <w:tc>
          <w:tcPr>
            <w:tcW w:w="3885" w:type="dxa"/>
            <w:vAlign w:val="bottom"/>
          </w:tcPr>
          <w:p w14:paraId="653BB032" w14:textId="77777777" w:rsidR="003E3ED2" w:rsidRPr="003E3ED2" w:rsidRDefault="003E3ED2" w:rsidP="00365F5B">
            <w:pPr>
              <w:pStyle w:val="TableParagraph"/>
              <w:ind w:left="91" w:right="81"/>
              <w:jc w:val="both"/>
              <w:rPr>
                <w:color w:val="000000" w:themeColor="text1"/>
              </w:rPr>
            </w:pPr>
            <w:r w:rsidRPr="003E3ED2">
              <w:rPr>
                <w:color w:val="000000"/>
              </w:rPr>
              <w:t>Nordul Gorjului de Est</w:t>
            </w:r>
          </w:p>
        </w:tc>
      </w:tr>
      <w:tr w:rsidR="003E3ED2" w:rsidRPr="00C56257" w14:paraId="07A56E51" w14:textId="77777777" w:rsidTr="00993B86">
        <w:trPr>
          <w:trHeight w:val="275"/>
        </w:trPr>
        <w:tc>
          <w:tcPr>
            <w:tcW w:w="3410" w:type="dxa"/>
            <w:vMerge/>
            <w:tcBorders>
              <w:top w:val="nil"/>
            </w:tcBorders>
          </w:tcPr>
          <w:p w14:paraId="53737E5A" w14:textId="77777777" w:rsidR="003E3ED2" w:rsidRPr="00C56257" w:rsidRDefault="003E3ED2" w:rsidP="00365F5B">
            <w:pPr>
              <w:jc w:val="both"/>
              <w:rPr>
                <w:color w:val="000000" w:themeColor="text1"/>
              </w:rPr>
            </w:pPr>
          </w:p>
        </w:tc>
        <w:tc>
          <w:tcPr>
            <w:tcW w:w="2410" w:type="dxa"/>
            <w:vAlign w:val="bottom"/>
          </w:tcPr>
          <w:p w14:paraId="10C3333E"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0129</w:t>
            </w:r>
          </w:p>
        </w:tc>
        <w:tc>
          <w:tcPr>
            <w:tcW w:w="3885" w:type="dxa"/>
            <w:vAlign w:val="bottom"/>
          </w:tcPr>
          <w:p w14:paraId="2B917E42" w14:textId="77777777" w:rsidR="003E3ED2" w:rsidRPr="003E3ED2" w:rsidRDefault="003E3ED2" w:rsidP="00365F5B">
            <w:pPr>
              <w:pStyle w:val="TableParagraph"/>
              <w:ind w:left="91" w:right="81"/>
              <w:jc w:val="both"/>
              <w:rPr>
                <w:color w:val="000000" w:themeColor="text1"/>
              </w:rPr>
            </w:pPr>
            <w:r w:rsidRPr="003E3ED2">
              <w:rPr>
                <w:color w:val="000000"/>
              </w:rPr>
              <w:t>Nordul Gorjului de Vest</w:t>
            </w:r>
          </w:p>
        </w:tc>
      </w:tr>
      <w:tr w:rsidR="003E3ED2" w:rsidRPr="00C56257" w14:paraId="02D2502C" w14:textId="77777777" w:rsidTr="00993B86">
        <w:trPr>
          <w:trHeight w:val="278"/>
        </w:trPr>
        <w:tc>
          <w:tcPr>
            <w:tcW w:w="3410" w:type="dxa"/>
            <w:vMerge/>
            <w:tcBorders>
              <w:top w:val="nil"/>
            </w:tcBorders>
          </w:tcPr>
          <w:p w14:paraId="7085BFB6" w14:textId="77777777" w:rsidR="003E3ED2" w:rsidRPr="00C56257" w:rsidRDefault="003E3ED2" w:rsidP="00365F5B">
            <w:pPr>
              <w:jc w:val="both"/>
              <w:rPr>
                <w:color w:val="000000" w:themeColor="text1"/>
              </w:rPr>
            </w:pPr>
          </w:p>
        </w:tc>
        <w:tc>
          <w:tcPr>
            <w:tcW w:w="2410" w:type="dxa"/>
            <w:vAlign w:val="bottom"/>
          </w:tcPr>
          <w:p w14:paraId="5618A25A" w14:textId="77777777" w:rsidR="003E3ED2" w:rsidRPr="003E3ED2" w:rsidRDefault="003E3ED2" w:rsidP="00AE0E73">
            <w:pPr>
              <w:pStyle w:val="TableParagraph"/>
              <w:spacing w:line="258" w:lineRule="exact"/>
              <w:ind w:left="93" w:right="87"/>
              <w:jc w:val="both"/>
              <w:rPr>
                <w:color w:val="000000" w:themeColor="text1"/>
              </w:rPr>
            </w:pPr>
            <w:r w:rsidRPr="003E3ED2">
              <w:rPr>
                <w:color w:val="000000"/>
              </w:rPr>
              <w:t>ROS</w:t>
            </w:r>
            <w:r w:rsidR="00AE0E73">
              <w:rPr>
                <w:color w:val="000000"/>
              </w:rPr>
              <w:t>AC</w:t>
            </w:r>
            <w:r w:rsidRPr="003E3ED2">
              <w:rPr>
                <w:color w:val="000000"/>
              </w:rPr>
              <w:t>0149</w:t>
            </w:r>
          </w:p>
        </w:tc>
        <w:tc>
          <w:tcPr>
            <w:tcW w:w="3885" w:type="dxa"/>
            <w:vAlign w:val="bottom"/>
          </w:tcPr>
          <w:p w14:paraId="0A192CA4" w14:textId="77777777" w:rsidR="003E3ED2" w:rsidRPr="003E3ED2" w:rsidRDefault="003E3ED2" w:rsidP="00365F5B">
            <w:pPr>
              <w:pStyle w:val="TableParagraph"/>
              <w:spacing w:line="258" w:lineRule="exact"/>
              <w:ind w:left="89" w:right="85"/>
              <w:jc w:val="both"/>
              <w:rPr>
                <w:color w:val="000000" w:themeColor="text1"/>
              </w:rPr>
            </w:pPr>
            <w:r w:rsidRPr="003E3ED2">
              <w:rPr>
                <w:color w:val="000000"/>
              </w:rPr>
              <w:t>Pădurea Eseschioi - Lacul Bugeac</w:t>
            </w:r>
          </w:p>
        </w:tc>
      </w:tr>
      <w:tr w:rsidR="003E3ED2" w:rsidRPr="00C56257" w14:paraId="4B1D6126" w14:textId="77777777" w:rsidTr="00993B86">
        <w:trPr>
          <w:trHeight w:val="275"/>
        </w:trPr>
        <w:tc>
          <w:tcPr>
            <w:tcW w:w="3410" w:type="dxa"/>
            <w:vMerge/>
            <w:tcBorders>
              <w:top w:val="nil"/>
            </w:tcBorders>
          </w:tcPr>
          <w:p w14:paraId="595A4B20" w14:textId="77777777" w:rsidR="003E3ED2" w:rsidRPr="00C56257" w:rsidRDefault="003E3ED2" w:rsidP="00365F5B">
            <w:pPr>
              <w:jc w:val="both"/>
              <w:rPr>
                <w:color w:val="000000" w:themeColor="text1"/>
              </w:rPr>
            </w:pPr>
          </w:p>
        </w:tc>
        <w:tc>
          <w:tcPr>
            <w:tcW w:w="2410" w:type="dxa"/>
            <w:vAlign w:val="bottom"/>
          </w:tcPr>
          <w:p w14:paraId="7800EBBB" w14:textId="77777777" w:rsidR="003E3ED2" w:rsidRPr="003E3ED2" w:rsidRDefault="003E3ED2" w:rsidP="00365F5B">
            <w:pPr>
              <w:pStyle w:val="TableParagraph"/>
              <w:ind w:left="93" w:right="87"/>
              <w:jc w:val="both"/>
              <w:rPr>
                <w:color w:val="000000" w:themeColor="text1"/>
              </w:rPr>
            </w:pPr>
            <w:r w:rsidRPr="003E3ED2">
              <w:rPr>
                <w:color w:val="000000"/>
              </w:rPr>
              <w:t>ROSCI0156</w:t>
            </w:r>
          </w:p>
        </w:tc>
        <w:tc>
          <w:tcPr>
            <w:tcW w:w="3885" w:type="dxa"/>
            <w:vAlign w:val="bottom"/>
          </w:tcPr>
          <w:p w14:paraId="5660655C" w14:textId="77777777" w:rsidR="003E3ED2" w:rsidRPr="003E3ED2" w:rsidRDefault="003E3ED2" w:rsidP="00365F5B">
            <w:pPr>
              <w:pStyle w:val="TableParagraph"/>
              <w:ind w:left="91" w:right="79"/>
              <w:jc w:val="both"/>
              <w:rPr>
                <w:color w:val="000000" w:themeColor="text1"/>
              </w:rPr>
            </w:pPr>
            <w:r w:rsidRPr="003E3ED2">
              <w:rPr>
                <w:color w:val="000000"/>
              </w:rPr>
              <w:t>Munții Goșman</w:t>
            </w:r>
          </w:p>
        </w:tc>
      </w:tr>
      <w:tr w:rsidR="003E3ED2" w:rsidRPr="00C56257" w14:paraId="261DC1DE" w14:textId="77777777" w:rsidTr="00993B86">
        <w:trPr>
          <w:trHeight w:val="275"/>
        </w:trPr>
        <w:tc>
          <w:tcPr>
            <w:tcW w:w="3410" w:type="dxa"/>
            <w:vMerge/>
            <w:tcBorders>
              <w:top w:val="nil"/>
            </w:tcBorders>
          </w:tcPr>
          <w:p w14:paraId="4124C9C5" w14:textId="77777777" w:rsidR="003E3ED2" w:rsidRPr="00C56257" w:rsidRDefault="003E3ED2" w:rsidP="00365F5B">
            <w:pPr>
              <w:jc w:val="both"/>
              <w:rPr>
                <w:color w:val="000000" w:themeColor="text1"/>
              </w:rPr>
            </w:pPr>
          </w:p>
        </w:tc>
        <w:tc>
          <w:tcPr>
            <w:tcW w:w="2410" w:type="dxa"/>
            <w:vAlign w:val="bottom"/>
          </w:tcPr>
          <w:p w14:paraId="3B5D51AD"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0157</w:t>
            </w:r>
          </w:p>
        </w:tc>
        <w:tc>
          <w:tcPr>
            <w:tcW w:w="3885" w:type="dxa"/>
            <w:vAlign w:val="bottom"/>
          </w:tcPr>
          <w:p w14:paraId="06131BCA" w14:textId="77777777" w:rsidR="003E3ED2" w:rsidRPr="003E3ED2" w:rsidRDefault="003E3ED2" w:rsidP="00365F5B">
            <w:pPr>
              <w:pStyle w:val="TableParagraph"/>
              <w:ind w:left="91" w:right="82"/>
              <w:jc w:val="both"/>
              <w:rPr>
                <w:color w:val="000000" w:themeColor="text1"/>
              </w:rPr>
            </w:pPr>
            <w:r w:rsidRPr="003E3ED2">
              <w:rPr>
                <w:color w:val="000000"/>
              </w:rPr>
              <w:t>Pădurea Hagieni - Cotul Văii</w:t>
            </w:r>
          </w:p>
        </w:tc>
      </w:tr>
      <w:tr w:rsidR="003E3ED2" w:rsidRPr="00C56257" w14:paraId="314AAFCA" w14:textId="77777777" w:rsidTr="00993B86">
        <w:trPr>
          <w:trHeight w:val="275"/>
        </w:trPr>
        <w:tc>
          <w:tcPr>
            <w:tcW w:w="3410" w:type="dxa"/>
            <w:vMerge/>
            <w:tcBorders>
              <w:top w:val="nil"/>
            </w:tcBorders>
          </w:tcPr>
          <w:p w14:paraId="5EA31EF0" w14:textId="77777777" w:rsidR="003E3ED2" w:rsidRPr="00C56257" w:rsidRDefault="003E3ED2" w:rsidP="00365F5B">
            <w:pPr>
              <w:jc w:val="both"/>
              <w:rPr>
                <w:color w:val="000000" w:themeColor="text1"/>
              </w:rPr>
            </w:pPr>
          </w:p>
        </w:tc>
        <w:tc>
          <w:tcPr>
            <w:tcW w:w="2410" w:type="dxa"/>
            <w:vAlign w:val="bottom"/>
          </w:tcPr>
          <w:p w14:paraId="32E6CD5B" w14:textId="77777777" w:rsidR="003E3ED2" w:rsidRPr="003E3ED2" w:rsidRDefault="003E3ED2" w:rsidP="00AE0E73">
            <w:pPr>
              <w:pStyle w:val="TableParagraph"/>
              <w:ind w:left="94" w:right="86"/>
              <w:jc w:val="both"/>
              <w:rPr>
                <w:color w:val="000000" w:themeColor="text1"/>
              </w:rPr>
            </w:pPr>
            <w:r w:rsidRPr="003E3ED2">
              <w:rPr>
                <w:color w:val="000000"/>
              </w:rPr>
              <w:t>ROS</w:t>
            </w:r>
            <w:r w:rsidR="00AE0E73">
              <w:rPr>
                <w:color w:val="000000"/>
              </w:rPr>
              <w:t>AC</w:t>
            </w:r>
            <w:r w:rsidRPr="003E3ED2">
              <w:rPr>
                <w:color w:val="000000"/>
              </w:rPr>
              <w:t>0162</w:t>
            </w:r>
          </w:p>
        </w:tc>
        <w:tc>
          <w:tcPr>
            <w:tcW w:w="3885" w:type="dxa"/>
            <w:vAlign w:val="bottom"/>
          </w:tcPr>
          <w:p w14:paraId="5B60F2AD" w14:textId="77777777" w:rsidR="003E3ED2" w:rsidRPr="003E3ED2" w:rsidRDefault="003E3ED2" w:rsidP="00365F5B">
            <w:pPr>
              <w:pStyle w:val="TableParagraph"/>
              <w:ind w:left="91" w:right="82"/>
              <w:jc w:val="both"/>
              <w:rPr>
                <w:color w:val="000000" w:themeColor="text1"/>
              </w:rPr>
            </w:pPr>
            <w:r w:rsidRPr="003E3ED2">
              <w:rPr>
                <w:color w:val="000000"/>
              </w:rPr>
              <w:t>Lunca Siretului Inferior</w:t>
            </w:r>
          </w:p>
        </w:tc>
      </w:tr>
      <w:tr w:rsidR="003E3ED2" w:rsidRPr="00C56257" w14:paraId="09DB45F6" w14:textId="77777777" w:rsidTr="00993B86">
        <w:trPr>
          <w:trHeight w:val="275"/>
        </w:trPr>
        <w:tc>
          <w:tcPr>
            <w:tcW w:w="3410" w:type="dxa"/>
            <w:vMerge/>
            <w:tcBorders>
              <w:top w:val="nil"/>
            </w:tcBorders>
          </w:tcPr>
          <w:p w14:paraId="1946A32A" w14:textId="77777777" w:rsidR="003E3ED2" w:rsidRPr="00C56257" w:rsidRDefault="003E3ED2" w:rsidP="00365F5B">
            <w:pPr>
              <w:jc w:val="both"/>
              <w:rPr>
                <w:color w:val="000000" w:themeColor="text1"/>
              </w:rPr>
            </w:pPr>
          </w:p>
        </w:tc>
        <w:tc>
          <w:tcPr>
            <w:tcW w:w="2410" w:type="dxa"/>
            <w:vAlign w:val="bottom"/>
          </w:tcPr>
          <w:p w14:paraId="45EE4060"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0172</w:t>
            </w:r>
          </w:p>
        </w:tc>
        <w:tc>
          <w:tcPr>
            <w:tcW w:w="3885" w:type="dxa"/>
            <w:vAlign w:val="bottom"/>
          </w:tcPr>
          <w:p w14:paraId="60286C9A" w14:textId="77777777" w:rsidR="003E3ED2" w:rsidRPr="003E3ED2" w:rsidRDefault="003E3ED2" w:rsidP="00365F5B">
            <w:pPr>
              <w:pStyle w:val="TableParagraph"/>
              <w:ind w:left="91" w:right="79"/>
              <w:jc w:val="both"/>
              <w:rPr>
                <w:color w:val="000000" w:themeColor="text1"/>
              </w:rPr>
            </w:pPr>
            <w:r w:rsidRPr="003E3ED2">
              <w:rPr>
                <w:color w:val="000000"/>
              </w:rPr>
              <w:t>Pădurea și Valea Canaraua Fetii - Iortmac</w:t>
            </w:r>
          </w:p>
        </w:tc>
      </w:tr>
      <w:tr w:rsidR="003E3ED2" w:rsidRPr="00C56257" w14:paraId="0BED9D8B" w14:textId="77777777" w:rsidTr="00993B86">
        <w:trPr>
          <w:trHeight w:val="275"/>
        </w:trPr>
        <w:tc>
          <w:tcPr>
            <w:tcW w:w="3410" w:type="dxa"/>
            <w:vMerge/>
            <w:tcBorders>
              <w:top w:val="nil"/>
            </w:tcBorders>
          </w:tcPr>
          <w:p w14:paraId="3C17A511" w14:textId="77777777" w:rsidR="003E3ED2" w:rsidRPr="00C56257" w:rsidRDefault="003E3ED2" w:rsidP="00365F5B">
            <w:pPr>
              <w:jc w:val="both"/>
              <w:rPr>
                <w:color w:val="000000" w:themeColor="text1"/>
              </w:rPr>
            </w:pPr>
          </w:p>
        </w:tc>
        <w:tc>
          <w:tcPr>
            <w:tcW w:w="2410" w:type="dxa"/>
            <w:vAlign w:val="bottom"/>
          </w:tcPr>
          <w:p w14:paraId="72244794" w14:textId="77777777" w:rsidR="003E3ED2" w:rsidRPr="003E3ED2" w:rsidRDefault="003E3ED2" w:rsidP="00365F5B">
            <w:pPr>
              <w:pStyle w:val="TableParagraph"/>
              <w:ind w:left="93" w:right="87"/>
              <w:jc w:val="both"/>
              <w:rPr>
                <w:color w:val="000000" w:themeColor="text1"/>
              </w:rPr>
            </w:pPr>
            <w:r w:rsidRPr="003E3ED2">
              <w:rPr>
                <w:color w:val="000000"/>
              </w:rPr>
              <w:t>ROSCI0182</w:t>
            </w:r>
          </w:p>
        </w:tc>
        <w:tc>
          <w:tcPr>
            <w:tcW w:w="3885" w:type="dxa"/>
            <w:vAlign w:val="bottom"/>
          </w:tcPr>
          <w:p w14:paraId="74DAE0C3" w14:textId="77777777" w:rsidR="003E3ED2" w:rsidRPr="003E3ED2" w:rsidRDefault="003E3ED2" w:rsidP="00365F5B">
            <w:pPr>
              <w:pStyle w:val="TableParagraph"/>
              <w:ind w:left="91" w:right="84"/>
              <w:jc w:val="both"/>
              <w:rPr>
                <w:color w:val="000000" w:themeColor="text1"/>
              </w:rPr>
            </w:pPr>
            <w:r w:rsidRPr="003E3ED2">
              <w:rPr>
                <w:color w:val="000000"/>
              </w:rPr>
              <w:t>Pădurea Verdele</w:t>
            </w:r>
          </w:p>
        </w:tc>
      </w:tr>
      <w:tr w:rsidR="003E3ED2" w:rsidRPr="00C56257" w14:paraId="35C07806" w14:textId="77777777" w:rsidTr="00993B86">
        <w:trPr>
          <w:trHeight w:val="277"/>
        </w:trPr>
        <w:tc>
          <w:tcPr>
            <w:tcW w:w="3410" w:type="dxa"/>
            <w:vMerge/>
            <w:tcBorders>
              <w:top w:val="nil"/>
            </w:tcBorders>
          </w:tcPr>
          <w:p w14:paraId="35C184FC" w14:textId="77777777" w:rsidR="003E3ED2" w:rsidRPr="00C56257" w:rsidRDefault="003E3ED2" w:rsidP="00365F5B">
            <w:pPr>
              <w:jc w:val="both"/>
              <w:rPr>
                <w:color w:val="000000" w:themeColor="text1"/>
              </w:rPr>
            </w:pPr>
          </w:p>
        </w:tc>
        <w:tc>
          <w:tcPr>
            <w:tcW w:w="2410" w:type="dxa"/>
            <w:vAlign w:val="bottom"/>
          </w:tcPr>
          <w:p w14:paraId="5C1786D2" w14:textId="77777777" w:rsidR="003E3ED2" w:rsidRPr="003E3ED2" w:rsidRDefault="003E3ED2" w:rsidP="00AE0E73">
            <w:pPr>
              <w:pStyle w:val="TableParagraph"/>
              <w:spacing w:line="258" w:lineRule="exact"/>
              <w:ind w:left="93" w:right="87"/>
              <w:jc w:val="both"/>
              <w:rPr>
                <w:color w:val="000000" w:themeColor="text1"/>
              </w:rPr>
            </w:pPr>
            <w:r w:rsidRPr="003E3ED2">
              <w:rPr>
                <w:color w:val="000000"/>
              </w:rPr>
              <w:t>ROS</w:t>
            </w:r>
            <w:r w:rsidR="00AE0E73">
              <w:rPr>
                <w:color w:val="000000"/>
              </w:rPr>
              <w:t>AC</w:t>
            </w:r>
            <w:r w:rsidRPr="003E3ED2">
              <w:rPr>
                <w:color w:val="000000"/>
              </w:rPr>
              <w:t>0188</w:t>
            </w:r>
          </w:p>
        </w:tc>
        <w:tc>
          <w:tcPr>
            <w:tcW w:w="3885" w:type="dxa"/>
            <w:vAlign w:val="bottom"/>
          </w:tcPr>
          <w:p w14:paraId="0D9C06E0" w14:textId="77777777" w:rsidR="003E3ED2" w:rsidRPr="003E3ED2" w:rsidRDefault="003E3ED2" w:rsidP="00365F5B">
            <w:pPr>
              <w:pStyle w:val="TableParagraph"/>
              <w:spacing w:line="258" w:lineRule="exact"/>
              <w:ind w:left="91" w:right="84"/>
              <w:jc w:val="both"/>
              <w:rPr>
                <w:color w:val="000000" w:themeColor="text1"/>
              </w:rPr>
            </w:pPr>
            <w:r w:rsidRPr="003E3ED2">
              <w:rPr>
                <w:color w:val="000000"/>
              </w:rPr>
              <w:t>Parâng</w:t>
            </w:r>
          </w:p>
        </w:tc>
      </w:tr>
      <w:tr w:rsidR="003E3ED2" w:rsidRPr="00C56257" w14:paraId="7241D522" w14:textId="77777777" w:rsidTr="00993B86">
        <w:trPr>
          <w:trHeight w:val="275"/>
        </w:trPr>
        <w:tc>
          <w:tcPr>
            <w:tcW w:w="3410" w:type="dxa"/>
            <w:vMerge/>
            <w:tcBorders>
              <w:top w:val="nil"/>
            </w:tcBorders>
          </w:tcPr>
          <w:p w14:paraId="33C93DF2" w14:textId="77777777" w:rsidR="003E3ED2" w:rsidRPr="00C56257" w:rsidRDefault="003E3ED2" w:rsidP="00365F5B">
            <w:pPr>
              <w:jc w:val="both"/>
              <w:rPr>
                <w:color w:val="000000" w:themeColor="text1"/>
              </w:rPr>
            </w:pPr>
          </w:p>
        </w:tc>
        <w:tc>
          <w:tcPr>
            <w:tcW w:w="2410" w:type="dxa"/>
            <w:vAlign w:val="bottom"/>
          </w:tcPr>
          <w:p w14:paraId="4A5A367E"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0190</w:t>
            </w:r>
          </w:p>
        </w:tc>
        <w:tc>
          <w:tcPr>
            <w:tcW w:w="3885" w:type="dxa"/>
            <w:vAlign w:val="bottom"/>
          </w:tcPr>
          <w:p w14:paraId="01E967DA" w14:textId="77777777" w:rsidR="003E3ED2" w:rsidRPr="003E3ED2" w:rsidRDefault="003E3ED2" w:rsidP="00365F5B">
            <w:pPr>
              <w:pStyle w:val="TableParagraph"/>
              <w:ind w:left="91" w:right="84"/>
              <w:jc w:val="both"/>
              <w:rPr>
                <w:color w:val="000000" w:themeColor="text1"/>
              </w:rPr>
            </w:pPr>
            <w:r w:rsidRPr="003E3ED2">
              <w:rPr>
                <w:color w:val="000000"/>
              </w:rPr>
              <w:t>Penteleu</w:t>
            </w:r>
          </w:p>
        </w:tc>
      </w:tr>
      <w:tr w:rsidR="003E3ED2" w:rsidRPr="00C56257" w14:paraId="403FDC03" w14:textId="77777777" w:rsidTr="00993B86">
        <w:trPr>
          <w:trHeight w:val="275"/>
        </w:trPr>
        <w:tc>
          <w:tcPr>
            <w:tcW w:w="3410" w:type="dxa"/>
            <w:vMerge/>
            <w:tcBorders>
              <w:top w:val="nil"/>
            </w:tcBorders>
          </w:tcPr>
          <w:p w14:paraId="629A695F" w14:textId="77777777" w:rsidR="003E3ED2" w:rsidRPr="00C56257" w:rsidRDefault="003E3ED2" w:rsidP="00365F5B">
            <w:pPr>
              <w:jc w:val="both"/>
              <w:rPr>
                <w:color w:val="000000" w:themeColor="text1"/>
              </w:rPr>
            </w:pPr>
          </w:p>
        </w:tc>
        <w:tc>
          <w:tcPr>
            <w:tcW w:w="2410" w:type="dxa"/>
            <w:vAlign w:val="bottom"/>
          </w:tcPr>
          <w:p w14:paraId="58C94132"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0194</w:t>
            </w:r>
          </w:p>
        </w:tc>
        <w:tc>
          <w:tcPr>
            <w:tcW w:w="3885" w:type="dxa"/>
            <w:vAlign w:val="bottom"/>
          </w:tcPr>
          <w:p w14:paraId="3BD6F348" w14:textId="77777777" w:rsidR="003E3ED2" w:rsidRPr="003E3ED2" w:rsidRDefault="003E3ED2" w:rsidP="00365F5B">
            <w:pPr>
              <w:pStyle w:val="TableParagraph"/>
              <w:ind w:left="91" w:right="85"/>
              <w:jc w:val="both"/>
              <w:rPr>
                <w:color w:val="000000" w:themeColor="text1"/>
              </w:rPr>
            </w:pPr>
            <w:r w:rsidRPr="003E3ED2">
              <w:rPr>
                <w:color w:val="000000"/>
              </w:rPr>
              <w:t>Piatra Craiului</w:t>
            </w:r>
          </w:p>
        </w:tc>
      </w:tr>
      <w:tr w:rsidR="003E3ED2" w:rsidRPr="00C56257" w14:paraId="65CA5FF3" w14:textId="77777777" w:rsidTr="00993B86">
        <w:trPr>
          <w:trHeight w:val="275"/>
        </w:trPr>
        <w:tc>
          <w:tcPr>
            <w:tcW w:w="3410" w:type="dxa"/>
            <w:vMerge/>
            <w:tcBorders>
              <w:top w:val="nil"/>
            </w:tcBorders>
          </w:tcPr>
          <w:p w14:paraId="6CE8242C" w14:textId="77777777" w:rsidR="003E3ED2" w:rsidRPr="00C56257" w:rsidRDefault="003E3ED2" w:rsidP="00365F5B">
            <w:pPr>
              <w:jc w:val="both"/>
              <w:rPr>
                <w:color w:val="000000" w:themeColor="text1"/>
              </w:rPr>
            </w:pPr>
          </w:p>
        </w:tc>
        <w:tc>
          <w:tcPr>
            <w:tcW w:w="2410" w:type="dxa"/>
            <w:vAlign w:val="bottom"/>
          </w:tcPr>
          <w:p w14:paraId="20C097F5"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0196</w:t>
            </w:r>
          </w:p>
        </w:tc>
        <w:tc>
          <w:tcPr>
            <w:tcW w:w="3885" w:type="dxa"/>
            <w:vAlign w:val="bottom"/>
          </w:tcPr>
          <w:p w14:paraId="1792621B" w14:textId="77777777" w:rsidR="003E3ED2" w:rsidRPr="003E3ED2" w:rsidRDefault="003E3ED2" w:rsidP="00365F5B">
            <w:pPr>
              <w:pStyle w:val="TableParagraph"/>
              <w:ind w:left="91" w:right="82"/>
              <w:jc w:val="both"/>
              <w:rPr>
                <w:color w:val="000000" w:themeColor="text1"/>
              </w:rPr>
            </w:pPr>
            <w:r w:rsidRPr="003E3ED2">
              <w:rPr>
                <w:color w:val="000000"/>
              </w:rPr>
              <w:t>Pietrosul Broștenilor - Cheile Zugrenilor</w:t>
            </w:r>
          </w:p>
        </w:tc>
      </w:tr>
      <w:tr w:rsidR="003E3ED2" w:rsidRPr="00C56257" w14:paraId="17FE7224" w14:textId="77777777" w:rsidTr="00993B86">
        <w:trPr>
          <w:trHeight w:val="275"/>
        </w:trPr>
        <w:tc>
          <w:tcPr>
            <w:tcW w:w="3410" w:type="dxa"/>
            <w:vMerge/>
            <w:tcBorders>
              <w:top w:val="nil"/>
            </w:tcBorders>
          </w:tcPr>
          <w:p w14:paraId="1FCFEBAF" w14:textId="77777777" w:rsidR="003E3ED2" w:rsidRPr="00C56257" w:rsidRDefault="003E3ED2" w:rsidP="00365F5B">
            <w:pPr>
              <w:jc w:val="both"/>
              <w:rPr>
                <w:color w:val="000000" w:themeColor="text1"/>
              </w:rPr>
            </w:pPr>
          </w:p>
        </w:tc>
        <w:tc>
          <w:tcPr>
            <w:tcW w:w="2410" w:type="dxa"/>
            <w:vAlign w:val="bottom"/>
          </w:tcPr>
          <w:p w14:paraId="06915C77"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0198</w:t>
            </w:r>
          </w:p>
        </w:tc>
        <w:tc>
          <w:tcPr>
            <w:tcW w:w="3885" w:type="dxa"/>
            <w:vAlign w:val="bottom"/>
          </w:tcPr>
          <w:p w14:paraId="1194E413" w14:textId="77777777" w:rsidR="003E3ED2" w:rsidRPr="003E3ED2" w:rsidRDefault="003E3ED2" w:rsidP="00365F5B">
            <w:pPr>
              <w:pStyle w:val="TableParagraph"/>
              <w:ind w:left="91" w:right="80"/>
              <w:jc w:val="both"/>
              <w:rPr>
                <w:color w:val="000000" w:themeColor="text1"/>
              </w:rPr>
            </w:pPr>
            <w:r w:rsidRPr="003E3ED2">
              <w:rPr>
                <w:color w:val="000000"/>
              </w:rPr>
              <w:t>Platoul Mehedinți</w:t>
            </w:r>
          </w:p>
        </w:tc>
      </w:tr>
      <w:tr w:rsidR="003E3ED2" w:rsidRPr="00C56257" w14:paraId="074F6758" w14:textId="77777777" w:rsidTr="00993B86">
        <w:trPr>
          <w:trHeight w:val="275"/>
        </w:trPr>
        <w:tc>
          <w:tcPr>
            <w:tcW w:w="3410" w:type="dxa"/>
            <w:vMerge/>
            <w:tcBorders>
              <w:top w:val="nil"/>
            </w:tcBorders>
          </w:tcPr>
          <w:p w14:paraId="176D7C43" w14:textId="77777777" w:rsidR="003E3ED2" w:rsidRPr="00C56257" w:rsidRDefault="003E3ED2" w:rsidP="00365F5B">
            <w:pPr>
              <w:jc w:val="both"/>
              <w:rPr>
                <w:color w:val="000000" w:themeColor="text1"/>
              </w:rPr>
            </w:pPr>
          </w:p>
        </w:tc>
        <w:tc>
          <w:tcPr>
            <w:tcW w:w="2410" w:type="dxa"/>
            <w:vAlign w:val="bottom"/>
          </w:tcPr>
          <w:p w14:paraId="5E44DE1F"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0205</w:t>
            </w:r>
          </w:p>
        </w:tc>
        <w:tc>
          <w:tcPr>
            <w:tcW w:w="3885" w:type="dxa"/>
            <w:vAlign w:val="bottom"/>
          </w:tcPr>
          <w:p w14:paraId="130A258E" w14:textId="77777777" w:rsidR="003E3ED2" w:rsidRPr="003E3ED2" w:rsidRDefault="003E3ED2" w:rsidP="00365F5B">
            <w:pPr>
              <w:pStyle w:val="TableParagraph"/>
              <w:ind w:left="91" w:right="79"/>
              <w:jc w:val="both"/>
              <w:rPr>
                <w:color w:val="000000" w:themeColor="text1"/>
              </w:rPr>
            </w:pPr>
            <w:r w:rsidRPr="003E3ED2">
              <w:rPr>
                <w:color w:val="000000"/>
              </w:rPr>
              <w:t>Poienile cu narcise de la Dumbrava Vadului</w:t>
            </w:r>
          </w:p>
        </w:tc>
      </w:tr>
      <w:tr w:rsidR="003E3ED2" w:rsidRPr="00C56257" w14:paraId="7510F783" w14:textId="77777777" w:rsidTr="00993B86">
        <w:trPr>
          <w:trHeight w:val="276"/>
        </w:trPr>
        <w:tc>
          <w:tcPr>
            <w:tcW w:w="3410" w:type="dxa"/>
            <w:vMerge/>
            <w:tcBorders>
              <w:top w:val="nil"/>
            </w:tcBorders>
          </w:tcPr>
          <w:p w14:paraId="0C3C5BA3" w14:textId="77777777" w:rsidR="003E3ED2" w:rsidRPr="00C56257" w:rsidRDefault="003E3ED2" w:rsidP="00365F5B">
            <w:pPr>
              <w:jc w:val="both"/>
              <w:rPr>
                <w:color w:val="000000" w:themeColor="text1"/>
              </w:rPr>
            </w:pPr>
          </w:p>
        </w:tc>
        <w:tc>
          <w:tcPr>
            <w:tcW w:w="2410" w:type="dxa"/>
            <w:vAlign w:val="bottom"/>
          </w:tcPr>
          <w:p w14:paraId="02942654" w14:textId="77777777" w:rsidR="003E3ED2" w:rsidRPr="003E3ED2" w:rsidRDefault="003E3ED2" w:rsidP="00365F5B">
            <w:pPr>
              <w:pStyle w:val="TableParagraph"/>
              <w:ind w:left="93" w:right="87"/>
              <w:jc w:val="both"/>
              <w:rPr>
                <w:color w:val="000000" w:themeColor="text1"/>
              </w:rPr>
            </w:pPr>
            <w:r w:rsidRPr="003E3ED2">
              <w:rPr>
                <w:color w:val="000000"/>
              </w:rPr>
              <w:t>ROSCI0206</w:t>
            </w:r>
          </w:p>
        </w:tc>
        <w:tc>
          <w:tcPr>
            <w:tcW w:w="3885" w:type="dxa"/>
            <w:vAlign w:val="bottom"/>
          </w:tcPr>
          <w:p w14:paraId="088F1B24" w14:textId="77777777" w:rsidR="003E3ED2" w:rsidRPr="003E3ED2" w:rsidRDefault="003E3ED2" w:rsidP="00365F5B">
            <w:pPr>
              <w:pStyle w:val="TableParagraph"/>
              <w:ind w:left="89" w:right="85"/>
              <w:jc w:val="both"/>
              <w:rPr>
                <w:color w:val="000000" w:themeColor="text1"/>
              </w:rPr>
            </w:pPr>
            <w:r w:rsidRPr="003E3ED2">
              <w:rPr>
                <w:color w:val="000000"/>
              </w:rPr>
              <w:t>Porțile de Fier</w:t>
            </w:r>
          </w:p>
        </w:tc>
      </w:tr>
      <w:tr w:rsidR="003E3ED2" w:rsidRPr="00C56257" w14:paraId="642BBD85" w14:textId="77777777" w:rsidTr="00993B86">
        <w:trPr>
          <w:trHeight w:val="277"/>
        </w:trPr>
        <w:tc>
          <w:tcPr>
            <w:tcW w:w="3410" w:type="dxa"/>
            <w:vMerge/>
            <w:tcBorders>
              <w:top w:val="nil"/>
            </w:tcBorders>
          </w:tcPr>
          <w:p w14:paraId="26F45FB5" w14:textId="77777777" w:rsidR="003E3ED2" w:rsidRPr="00C56257" w:rsidRDefault="003E3ED2" w:rsidP="00365F5B">
            <w:pPr>
              <w:jc w:val="both"/>
              <w:rPr>
                <w:color w:val="000000" w:themeColor="text1"/>
              </w:rPr>
            </w:pPr>
          </w:p>
        </w:tc>
        <w:tc>
          <w:tcPr>
            <w:tcW w:w="2410" w:type="dxa"/>
            <w:vAlign w:val="bottom"/>
          </w:tcPr>
          <w:p w14:paraId="08086884" w14:textId="77777777" w:rsidR="003E3ED2" w:rsidRPr="003E3ED2" w:rsidRDefault="003E3ED2" w:rsidP="00365F5B">
            <w:pPr>
              <w:pStyle w:val="TableParagraph"/>
              <w:spacing w:line="258" w:lineRule="exact"/>
              <w:ind w:left="93" w:right="87"/>
              <w:jc w:val="both"/>
              <w:rPr>
                <w:color w:val="000000" w:themeColor="text1"/>
              </w:rPr>
            </w:pPr>
            <w:r w:rsidRPr="003E3ED2">
              <w:rPr>
                <w:color w:val="000000"/>
              </w:rPr>
              <w:t>ROSCI0207</w:t>
            </w:r>
          </w:p>
        </w:tc>
        <w:tc>
          <w:tcPr>
            <w:tcW w:w="3885" w:type="dxa"/>
            <w:vAlign w:val="bottom"/>
          </w:tcPr>
          <w:p w14:paraId="459E478D" w14:textId="77777777" w:rsidR="003E3ED2" w:rsidRPr="003E3ED2" w:rsidRDefault="003E3ED2" w:rsidP="00365F5B">
            <w:pPr>
              <w:pStyle w:val="TableParagraph"/>
              <w:spacing w:line="258" w:lineRule="exact"/>
              <w:ind w:left="91" w:right="84"/>
              <w:jc w:val="both"/>
              <w:rPr>
                <w:color w:val="000000" w:themeColor="text1"/>
              </w:rPr>
            </w:pPr>
            <w:r w:rsidRPr="003E3ED2">
              <w:rPr>
                <w:color w:val="000000"/>
              </w:rPr>
              <w:t>Postăvarul</w:t>
            </w:r>
          </w:p>
        </w:tc>
      </w:tr>
      <w:tr w:rsidR="003E3ED2" w:rsidRPr="00C56257" w14:paraId="5B246990" w14:textId="77777777" w:rsidTr="00993B86">
        <w:trPr>
          <w:trHeight w:val="275"/>
        </w:trPr>
        <w:tc>
          <w:tcPr>
            <w:tcW w:w="3410" w:type="dxa"/>
            <w:vMerge/>
            <w:tcBorders>
              <w:top w:val="nil"/>
            </w:tcBorders>
          </w:tcPr>
          <w:p w14:paraId="7D127439" w14:textId="77777777" w:rsidR="003E3ED2" w:rsidRPr="00C56257" w:rsidRDefault="003E3ED2" w:rsidP="00365F5B">
            <w:pPr>
              <w:jc w:val="both"/>
              <w:rPr>
                <w:color w:val="000000" w:themeColor="text1"/>
              </w:rPr>
            </w:pPr>
          </w:p>
        </w:tc>
        <w:tc>
          <w:tcPr>
            <w:tcW w:w="2410" w:type="dxa"/>
            <w:vAlign w:val="bottom"/>
          </w:tcPr>
          <w:p w14:paraId="4801B7E7"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0208</w:t>
            </w:r>
          </w:p>
        </w:tc>
        <w:tc>
          <w:tcPr>
            <w:tcW w:w="3885" w:type="dxa"/>
            <w:vAlign w:val="bottom"/>
          </w:tcPr>
          <w:p w14:paraId="04F8E2E0" w14:textId="77777777" w:rsidR="003E3ED2" w:rsidRPr="003E3ED2" w:rsidRDefault="003E3ED2" w:rsidP="00365F5B">
            <w:pPr>
              <w:pStyle w:val="TableParagraph"/>
              <w:ind w:left="86" w:right="85"/>
              <w:jc w:val="both"/>
              <w:rPr>
                <w:color w:val="000000" w:themeColor="text1"/>
              </w:rPr>
            </w:pPr>
            <w:r w:rsidRPr="003E3ED2">
              <w:rPr>
                <w:color w:val="000000"/>
              </w:rPr>
              <w:t>Putna - Vrancea</w:t>
            </w:r>
          </w:p>
        </w:tc>
      </w:tr>
      <w:tr w:rsidR="003E3ED2" w:rsidRPr="00C56257" w14:paraId="1747C272" w14:textId="77777777" w:rsidTr="00993B86">
        <w:trPr>
          <w:trHeight w:val="275"/>
        </w:trPr>
        <w:tc>
          <w:tcPr>
            <w:tcW w:w="3410" w:type="dxa"/>
            <w:vMerge/>
            <w:tcBorders>
              <w:top w:val="nil"/>
            </w:tcBorders>
          </w:tcPr>
          <w:p w14:paraId="1EF2B060" w14:textId="77777777" w:rsidR="003E3ED2" w:rsidRPr="00C56257" w:rsidRDefault="003E3ED2" w:rsidP="00365F5B">
            <w:pPr>
              <w:jc w:val="both"/>
              <w:rPr>
                <w:color w:val="000000" w:themeColor="text1"/>
              </w:rPr>
            </w:pPr>
          </w:p>
        </w:tc>
        <w:tc>
          <w:tcPr>
            <w:tcW w:w="2410" w:type="dxa"/>
            <w:vAlign w:val="bottom"/>
          </w:tcPr>
          <w:p w14:paraId="5F651E67"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0212</w:t>
            </w:r>
          </w:p>
        </w:tc>
        <w:tc>
          <w:tcPr>
            <w:tcW w:w="3885" w:type="dxa"/>
            <w:vAlign w:val="bottom"/>
          </w:tcPr>
          <w:p w14:paraId="454C32DB" w14:textId="77777777" w:rsidR="003E3ED2" w:rsidRPr="003E3ED2" w:rsidRDefault="003E3ED2" w:rsidP="00365F5B">
            <w:pPr>
              <w:pStyle w:val="TableParagraph"/>
              <w:ind w:left="91" w:right="84"/>
              <w:jc w:val="both"/>
              <w:rPr>
                <w:color w:val="000000" w:themeColor="text1"/>
              </w:rPr>
            </w:pPr>
            <w:r w:rsidRPr="003E3ED2">
              <w:rPr>
                <w:color w:val="000000"/>
              </w:rPr>
              <w:t>Rarău - Giumalău</w:t>
            </w:r>
          </w:p>
        </w:tc>
      </w:tr>
      <w:tr w:rsidR="003E3ED2" w:rsidRPr="00C56257" w14:paraId="6BA0B89D" w14:textId="77777777" w:rsidTr="00993B86">
        <w:trPr>
          <w:trHeight w:val="275"/>
        </w:trPr>
        <w:tc>
          <w:tcPr>
            <w:tcW w:w="3410" w:type="dxa"/>
            <w:vMerge/>
            <w:tcBorders>
              <w:top w:val="nil"/>
            </w:tcBorders>
          </w:tcPr>
          <w:p w14:paraId="36FB3C72" w14:textId="77777777" w:rsidR="003E3ED2" w:rsidRPr="00C56257" w:rsidRDefault="003E3ED2" w:rsidP="00365F5B">
            <w:pPr>
              <w:jc w:val="both"/>
              <w:rPr>
                <w:color w:val="000000" w:themeColor="text1"/>
              </w:rPr>
            </w:pPr>
          </w:p>
        </w:tc>
        <w:tc>
          <w:tcPr>
            <w:tcW w:w="2410" w:type="dxa"/>
            <w:vAlign w:val="bottom"/>
          </w:tcPr>
          <w:p w14:paraId="5F4AC19F" w14:textId="77777777" w:rsidR="003E3ED2" w:rsidRPr="003E3ED2" w:rsidRDefault="003E3ED2" w:rsidP="00365F5B">
            <w:pPr>
              <w:pStyle w:val="TableParagraph"/>
              <w:ind w:left="93" w:right="87"/>
              <w:jc w:val="both"/>
              <w:rPr>
                <w:color w:val="000000" w:themeColor="text1"/>
              </w:rPr>
            </w:pPr>
            <w:r w:rsidRPr="003E3ED2">
              <w:rPr>
                <w:color w:val="000000"/>
              </w:rPr>
              <w:t>ROSCI0213</w:t>
            </w:r>
          </w:p>
        </w:tc>
        <w:tc>
          <w:tcPr>
            <w:tcW w:w="3885" w:type="dxa"/>
            <w:vAlign w:val="bottom"/>
          </w:tcPr>
          <w:p w14:paraId="51F2D34B" w14:textId="77777777" w:rsidR="003E3ED2" w:rsidRPr="003E3ED2" w:rsidRDefault="003E3ED2" w:rsidP="00365F5B">
            <w:pPr>
              <w:pStyle w:val="TableParagraph"/>
              <w:ind w:left="91" w:right="80"/>
              <w:jc w:val="both"/>
              <w:rPr>
                <w:color w:val="000000" w:themeColor="text1"/>
              </w:rPr>
            </w:pPr>
            <w:r w:rsidRPr="003E3ED2">
              <w:rPr>
                <w:color w:val="000000"/>
              </w:rPr>
              <w:t>Râul Prut</w:t>
            </w:r>
          </w:p>
        </w:tc>
      </w:tr>
      <w:tr w:rsidR="003E3ED2" w:rsidRPr="00C56257" w14:paraId="1333589E" w14:textId="77777777" w:rsidTr="00993B86">
        <w:trPr>
          <w:trHeight w:val="275"/>
        </w:trPr>
        <w:tc>
          <w:tcPr>
            <w:tcW w:w="3410" w:type="dxa"/>
            <w:vMerge/>
            <w:tcBorders>
              <w:top w:val="nil"/>
            </w:tcBorders>
          </w:tcPr>
          <w:p w14:paraId="0FD74D1C" w14:textId="77777777" w:rsidR="003E3ED2" w:rsidRPr="00C56257" w:rsidRDefault="003E3ED2" w:rsidP="00365F5B">
            <w:pPr>
              <w:jc w:val="both"/>
              <w:rPr>
                <w:color w:val="000000" w:themeColor="text1"/>
              </w:rPr>
            </w:pPr>
          </w:p>
        </w:tc>
        <w:tc>
          <w:tcPr>
            <w:tcW w:w="2410" w:type="dxa"/>
            <w:vAlign w:val="bottom"/>
          </w:tcPr>
          <w:p w14:paraId="51B5D834"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0214</w:t>
            </w:r>
          </w:p>
        </w:tc>
        <w:tc>
          <w:tcPr>
            <w:tcW w:w="3885" w:type="dxa"/>
            <w:vAlign w:val="bottom"/>
          </w:tcPr>
          <w:p w14:paraId="48342319" w14:textId="77777777" w:rsidR="003E3ED2" w:rsidRPr="003E3ED2" w:rsidRDefault="003E3ED2" w:rsidP="00365F5B">
            <w:pPr>
              <w:pStyle w:val="TableParagraph"/>
              <w:ind w:left="91" w:right="85"/>
              <w:jc w:val="both"/>
              <w:rPr>
                <w:color w:val="000000" w:themeColor="text1"/>
              </w:rPr>
            </w:pPr>
            <w:r w:rsidRPr="003E3ED2">
              <w:rPr>
                <w:color w:val="000000"/>
              </w:rPr>
              <w:t>Râul Tur</w:t>
            </w:r>
          </w:p>
        </w:tc>
      </w:tr>
      <w:tr w:rsidR="003E3ED2" w:rsidRPr="00C56257" w14:paraId="06C2192E" w14:textId="77777777" w:rsidTr="00993B86">
        <w:trPr>
          <w:trHeight w:val="275"/>
        </w:trPr>
        <w:tc>
          <w:tcPr>
            <w:tcW w:w="3410" w:type="dxa"/>
            <w:vMerge/>
            <w:tcBorders>
              <w:top w:val="nil"/>
            </w:tcBorders>
          </w:tcPr>
          <w:p w14:paraId="33DB5368" w14:textId="77777777" w:rsidR="003E3ED2" w:rsidRPr="00C56257" w:rsidRDefault="003E3ED2" w:rsidP="00365F5B">
            <w:pPr>
              <w:jc w:val="both"/>
              <w:rPr>
                <w:color w:val="000000" w:themeColor="text1"/>
              </w:rPr>
            </w:pPr>
          </w:p>
        </w:tc>
        <w:tc>
          <w:tcPr>
            <w:tcW w:w="2410" w:type="dxa"/>
            <w:vAlign w:val="bottom"/>
          </w:tcPr>
          <w:p w14:paraId="001B847E"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0221</w:t>
            </w:r>
          </w:p>
        </w:tc>
        <w:tc>
          <w:tcPr>
            <w:tcW w:w="3885" w:type="dxa"/>
            <w:vAlign w:val="bottom"/>
          </w:tcPr>
          <w:p w14:paraId="3AB682BB" w14:textId="77777777" w:rsidR="003E3ED2" w:rsidRPr="003E3ED2" w:rsidRDefault="003E3ED2" w:rsidP="00365F5B">
            <w:pPr>
              <w:pStyle w:val="TableParagraph"/>
              <w:ind w:left="91" w:right="85"/>
              <w:jc w:val="both"/>
              <w:rPr>
                <w:color w:val="000000" w:themeColor="text1"/>
              </w:rPr>
            </w:pPr>
            <w:r w:rsidRPr="003E3ED2">
              <w:rPr>
                <w:color w:val="000000"/>
              </w:rPr>
              <w:t>Sărăturile din Valea Ilenei</w:t>
            </w:r>
          </w:p>
        </w:tc>
      </w:tr>
      <w:tr w:rsidR="003E3ED2" w:rsidRPr="00C56257" w14:paraId="2D1F6F54" w14:textId="77777777" w:rsidTr="00993B86">
        <w:trPr>
          <w:trHeight w:val="277"/>
        </w:trPr>
        <w:tc>
          <w:tcPr>
            <w:tcW w:w="3410" w:type="dxa"/>
            <w:vMerge/>
            <w:tcBorders>
              <w:top w:val="nil"/>
            </w:tcBorders>
          </w:tcPr>
          <w:p w14:paraId="5F4CA205" w14:textId="77777777" w:rsidR="003E3ED2" w:rsidRPr="00C56257" w:rsidRDefault="003E3ED2" w:rsidP="00365F5B">
            <w:pPr>
              <w:jc w:val="both"/>
              <w:rPr>
                <w:color w:val="000000" w:themeColor="text1"/>
              </w:rPr>
            </w:pPr>
          </w:p>
        </w:tc>
        <w:tc>
          <w:tcPr>
            <w:tcW w:w="2410" w:type="dxa"/>
            <w:vAlign w:val="bottom"/>
          </w:tcPr>
          <w:p w14:paraId="19F08F62" w14:textId="77777777" w:rsidR="003E3ED2" w:rsidRPr="003E3ED2" w:rsidRDefault="003E3ED2" w:rsidP="00365F5B">
            <w:pPr>
              <w:pStyle w:val="TableParagraph"/>
              <w:spacing w:line="258" w:lineRule="exact"/>
              <w:ind w:left="93" w:right="87"/>
              <w:jc w:val="both"/>
              <w:rPr>
                <w:color w:val="000000" w:themeColor="text1"/>
              </w:rPr>
            </w:pPr>
            <w:r w:rsidRPr="003E3ED2">
              <w:rPr>
                <w:color w:val="000000"/>
              </w:rPr>
              <w:t>ROSCI0222</w:t>
            </w:r>
          </w:p>
        </w:tc>
        <w:tc>
          <w:tcPr>
            <w:tcW w:w="3885" w:type="dxa"/>
            <w:vAlign w:val="bottom"/>
          </w:tcPr>
          <w:p w14:paraId="3CB955DA" w14:textId="77777777" w:rsidR="003E3ED2" w:rsidRPr="003E3ED2" w:rsidRDefault="003E3ED2" w:rsidP="00365F5B">
            <w:pPr>
              <w:pStyle w:val="TableParagraph"/>
              <w:spacing w:line="258" w:lineRule="exact"/>
              <w:ind w:left="89" w:right="85"/>
              <w:jc w:val="both"/>
              <w:rPr>
                <w:color w:val="000000" w:themeColor="text1"/>
              </w:rPr>
            </w:pPr>
            <w:r w:rsidRPr="003E3ED2">
              <w:rPr>
                <w:color w:val="000000"/>
              </w:rPr>
              <w:t>Sărăturile Jijia Inferioară - Prut</w:t>
            </w:r>
          </w:p>
        </w:tc>
      </w:tr>
      <w:tr w:rsidR="003E3ED2" w:rsidRPr="00C56257" w14:paraId="6C8C8CCC" w14:textId="77777777" w:rsidTr="00993B86">
        <w:trPr>
          <w:trHeight w:val="275"/>
        </w:trPr>
        <w:tc>
          <w:tcPr>
            <w:tcW w:w="3410" w:type="dxa"/>
            <w:vMerge/>
            <w:tcBorders>
              <w:top w:val="nil"/>
            </w:tcBorders>
          </w:tcPr>
          <w:p w14:paraId="29FEA8E8" w14:textId="77777777" w:rsidR="003E3ED2" w:rsidRPr="00C56257" w:rsidRDefault="003E3ED2" w:rsidP="00365F5B">
            <w:pPr>
              <w:jc w:val="both"/>
              <w:rPr>
                <w:color w:val="000000" w:themeColor="text1"/>
              </w:rPr>
            </w:pPr>
          </w:p>
        </w:tc>
        <w:tc>
          <w:tcPr>
            <w:tcW w:w="2410" w:type="dxa"/>
            <w:vAlign w:val="bottom"/>
          </w:tcPr>
          <w:p w14:paraId="29A29962" w14:textId="77777777" w:rsidR="003E3ED2" w:rsidRPr="003E3ED2" w:rsidRDefault="003E3ED2" w:rsidP="00365F5B">
            <w:pPr>
              <w:pStyle w:val="TableParagraph"/>
              <w:ind w:left="93" w:right="87"/>
              <w:jc w:val="both"/>
              <w:rPr>
                <w:color w:val="000000" w:themeColor="text1"/>
              </w:rPr>
            </w:pPr>
            <w:r w:rsidRPr="003E3ED2">
              <w:rPr>
                <w:color w:val="000000"/>
              </w:rPr>
              <w:t>ROSCI0226</w:t>
            </w:r>
          </w:p>
        </w:tc>
        <w:tc>
          <w:tcPr>
            <w:tcW w:w="3885" w:type="dxa"/>
            <w:vAlign w:val="bottom"/>
          </w:tcPr>
          <w:p w14:paraId="5DE31AEB" w14:textId="77777777" w:rsidR="003E3ED2" w:rsidRPr="003E3ED2" w:rsidRDefault="003E3ED2" w:rsidP="00365F5B">
            <w:pPr>
              <w:pStyle w:val="TableParagraph"/>
              <w:ind w:left="91" w:right="84"/>
              <w:jc w:val="both"/>
              <w:rPr>
                <w:color w:val="000000" w:themeColor="text1"/>
              </w:rPr>
            </w:pPr>
            <w:r w:rsidRPr="003E3ED2">
              <w:rPr>
                <w:color w:val="000000"/>
              </w:rPr>
              <w:t>Semenic - Cheile Carașului</w:t>
            </w:r>
          </w:p>
        </w:tc>
      </w:tr>
      <w:tr w:rsidR="003E3ED2" w:rsidRPr="00C56257" w14:paraId="068EAACD" w14:textId="77777777" w:rsidTr="00993B86">
        <w:trPr>
          <w:trHeight w:val="275"/>
        </w:trPr>
        <w:tc>
          <w:tcPr>
            <w:tcW w:w="3410" w:type="dxa"/>
            <w:vMerge/>
            <w:tcBorders>
              <w:top w:val="nil"/>
            </w:tcBorders>
          </w:tcPr>
          <w:p w14:paraId="67026FBC" w14:textId="77777777" w:rsidR="003E3ED2" w:rsidRPr="00C56257" w:rsidRDefault="003E3ED2" w:rsidP="00365F5B">
            <w:pPr>
              <w:jc w:val="both"/>
              <w:rPr>
                <w:color w:val="000000" w:themeColor="text1"/>
              </w:rPr>
            </w:pPr>
          </w:p>
        </w:tc>
        <w:tc>
          <w:tcPr>
            <w:tcW w:w="2410" w:type="dxa"/>
            <w:vAlign w:val="bottom"/>
          </w:tcPr>
          <w:p w14:paraId="6385626D"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0227</w:t>
            </w:r>
          </w:p>
        </w:tc>
        <w:tc>
          <w:tcPr>
            <w:tcW w:w="3885" w:type="dxa"/>
            <w:vAlign w:val="bottom"/>
          </w:tcPr>
          <w:p w14:paraId="0F1DD55B" w14:textId="77777777" w:rsidR="003E3ED2" w:rsidRPr="003E3ED2" w:rsidRDefault="003E3ED2" w:rsidP="00365F5B">
            <w:pPr>
              <w:pStyle w:val="TableParagraph"/>
              <w:ind w:left="91" w:right="80"/>
              <w:jc w:val="both"/>
              <w:rPr>
                <w:color w:val="000000" w:themeColor="text1"/>
              </w:rPr>
            </w:pPr>
            <w:r w:rsidRPr="003E3ED2">
              <w:rPr>
                <w:color w:val="000000"/>
              </w:rPr>
              <w:t>Sighișoara - Târnava Mare</w:t>
            </w:r>
          </w:p>
        </w:tc>
      </w:tr>
      <w:tr w:rsidR="003E3ED2" w:rsidRPr="00C56257" w14:paraId="0D813FD2" w14:textId="77777777" w:rsidTr="00993B86">
        <w:trPr>
          <w:trHeight w:val="275"/>
        </w:trPr>
        <w:tc>
          <w:tcPr>
            <w:tcW w:w="3410" w:type="dxa"/>
            <w:vMerge/>
            <w:tcBorders>
              <w:top w:val="nil"/>
            </w:tcBorders>
          </w:tcPr>
          <w:p w14:paraId="2A3B2A6E" w14:textId="77777777" w:rsidR="003E3ED2" w:rsidRPr="00C56257" w:rsidRDefault="003E3ED2" w:rsidP="00365F5B">
            <w:pPr>
              <w:jc w:val="both"/>
              <w:rPr>
                <w:color w:val="000000" w:themeColor="text1"/>
              </w:rPr>
            </w:pPr>
          </w:p>
        </w:tc>
        <w:tc>
          <w:tcPr>
            <w:tcW w:w="2410" w:type="dxa"/>
            <w:vAlign w:val="bottom"/>
          </w:tcPr>
          <w:p w14:paraId="3AD77B07"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0229</w:t>
            </w:r>
          </w:p>
        </w:tc>
        <w:tc>
          <w:tcPr>
            <w:tcW w:w="3885" w:type="dxa"/>
            <w:vAlign w:val="bottom"/>
          </w:tcPr>
          <w:p w14:paraId="779796CD" w14:textId="77777777" w:rsidR="003E3ED2" w:rsidRPr="003E3ED2" w:rsidRDefault="003E3ED2" w:rsidP="00365F5B">
            <w:pPr>
              <w:pStyle w:val="TableParagraph"/>
              <w:ind w:left="91" w:right="81"/>
              <w:jc w:val="both"/>
              <w:rPr>
                <w:color w:val="000000" w:themeColor="text1"/>
              </w:rPr>
            </w:pPr>
            <w:r w:rsidRPr="003E3ED2">
              <w:rPr>
                <w:color w:val="000000"/>
              </w:rPr>
              <w:t>Siriu</w:t>
            </w:r>
          </w:p>
        </w:tc>
      </w:tr>
      <w:tr w:rsidR="003E3ED2" w:rsidRPr="00C56257" w14:paraId="33E48028" w14:textId="77777777" w:rsidTr="00993B86">
        <w:trPr>
          <w:trHeight w:val="275"/>
        </w:trPr>
        <w:tc>
          <w:tcPr>
            <w:tcW w:w="3410" w:type="dxa"/>
            <w:vMerge/>
            <w:tcBorders>
              <w:top w:val="nil"/>
            </w:tcBorders>
          </w:tcPr>
          <w:p w14:paraId="327A0CD1" w14:textId="77777777" w:rsidR="003E3ED2" w:rsidRPr="00C56257" w:rsidRDefault="003E3ED2" w:rsidP="00365F5B">
            <w:pPr>
              <w:jc w:val="both"/>
              <w:rPr>
                <w:color w:val="000000" w:themeColor="text1"/>
              </w:rPr>
            </w:pPr>
          </w:p>
        </w:tc>
        <w:tc>
          <w:tcPr>
            <w:tcW w:w="2410" w:type="dxa"/>
            <w:vAlign w:val="bottom"/>
          </w:tcPr>
          <w:p w14:paraId="0F4A8A3E"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0239</w:t>
            </w:r>
          </w:p>
        </w:tc>
        <w:tc>
          <w:tcPr>
            <w:tcW w:w="3885" w:type="dxa"/>
            <w:vAlign w:val="bottom"/>
          </w:tcPr>
          <w:p w14:paraId="39A6179C" w14:textId="77777777" w:rsidR="003E3ED2" w:rsidRPr="003E3ED2" w:rsidRDefault="003E3ED2" w:rsidP="00365F5B">
            <w:pPr>
              <w:pStyle w:val="TableParagraph"/>
              <w:ind w:left="91" w:right="82"/>
              <w:jc w:val="both"/>
              <w:rPr>
                <w:color w:val="000000" w:themeColor="text1"/>
              </w:rPr>
            </w:pPr>
            <w:r w:rsidRPr="003E3ED2">
              <w:rPr>
                <w:color w:val="000000"/>
              </w:rPr>
              <w:t>Târnovu Mare - Latorița</w:t>
            </w:r>
          </w:p>
        </w:tc>
      </w:tr>
      <w:tr w:rsidR="003E3ED2" w:rsidRPr="00C56257" w14:paraId="4EEA4F7C" w14:textId="77777777" w:rsidTr="00993B86">
        <w:trPr>
          <w:trHeight w:val="278"/>
        </w:trPr>
        <w:tc>
          <w:tcPr>
            <w:tcW w:w="3410" w:type="dxa"/>
            <w:vMerge/>
            <w:tcBorders>
              <w:top w:val="nil"/>
            </w:tcBorders>
          </w:tcPr>
          <w:p w14:paraId="6015591E" w14:textId="77777777" w:rsidR="003E3ED2" w:rsidRPr="00C56257" w:rsidRDefault="003E3ED2" w:rsidP="00365F5B">
            <w:pPr>
              <w:jc w:val="both"/>
              <w:rPr>
                <w:color w:val="000000" w:themeColor="text1"/>
              </w:rPr>
            </w:pPr>
          </w:p>
        </w:tc>
        <w:tc>
          <w:tcPr>
            <w:tcW w:w="2410" w:type="dxa"/>
            <w:vAlign w:val="bottom"/>
          </w:tcPr>
          <w:p w14:paraId="2E08C4E4" w14:textId="77777777" w:rsidR="003E3ED2" w:rsidRPr="003E3ED2" w:rsidRDefault="003E3ED2" w:rsidP="00AE0E73">
            <w:pPr>
              <w:pStyle w:val="TableParagraph"/>
              <w:spacing w:line="258" w:lineRule="exact"/>
              <w:ind w:left="93" w:right="87"/>
              <w:jc w:val="both"/>
              <w:rPr>
                <w:color w:val="000000" w:themeColor="text1"/>
              </w:rPr>
            </w:pPr>
            <w:r w:rsidRPr="003E3ED2">
              <w:rPr>
                <w:color w:val="000000"/>
              </w:rPr>
              <w:t>ROS</w:t>
            </w:r>
            <w:r w:rsidR="00AE0E73">
              <w:rPr>
                <w:color w:val="000000"/>
              </w:rPr>
              <w:t>AC</w:t>
            </w:r>
            <w:r w:rsidRPr="003E3ED2">
              <w:rPr>
                <w:color w:val="000000"/>
              </w:rPr>
              <w:t>0247</w:t>
            </w:r>
          </w:p>
        </w:tc>
        <w:tc>
          <w:tcPr>
            <w:tcW w:w="3885" w:type="dxa"/>
            <w:vAlign w:val="bottom"/>
          </w:tcPr>
          <w:p w14:paraId="2176355F" w14:textId="77777777" w:rsidR="003E3ED2" w:rsidRPr="003E3ED2" w:rsidRDefault="003E3ED2" w:rsidP="00365F5B">
            <w:pPr>
              <w:pStyle w:val="TableParagraph"/>
              <w:spacing w:line="258" w:lineRule="exact"/>
              <w:ind w:left="90" w:right="85"/>
              <w:jc w:val="both"/>
              <w:rPr>
                <w:color w:val="000000" w:themeColor="text1"/>
              </w:rPr>
            </w:pPr>
            <w:r w:rsidRPr="003E3ED2">
              <w:rPr>
                <w:color w:val="000000"/>
              </w:rPr>
              <w:t>Tinovul Mare Poiana Stampei</w:t>
            </w:r>
          </w:p>
        </w:tc>
      </w:tr>
      <w:tr w:rsidR="003E3ED2" w:rsidRPr="00C56257" w14:paraId="27127F6F" w14:textId="77777777" w:rsidTr="00993B86">
        <w:trPr>
          <w:trHeight w:val="275"/>
        </w:trPr>
        <w:tc>
          <w:tcPr>
            <w:tcW w:w="3410" w:type="dxa"/>
            <w:vMerge/>
            <w:tcBorders>
              <w:top w:val="nil"/>
            </w:tcBorders>
          </w:tcPr>
          <w:p w14:paraId="0DF816F3" w14:textId="77777777" w:rsidR="003E3ED2" w:rsidRPr="00C56257" w:rsidRDefault="003E3ED2" w:rsidP="00365F5B">
            <w:pPr>
              <w:jc w:val="both"/>
              <w:rPr>
                <w:color w:val="000000" w:themeColor="text1"/>
              </w:rPr>
            </w:pPr>
          </w:p>
        </w:tc>
        <w:tc>
          <w:tcPr>
            <w:tcW w:w="2410" w:type="dxa"/>
            <w:vAlign w:val="bottom"/>
          </w:tcPr>
          <w:p w14:paraId="01952606" w14:textId="77777777" w:rsidR="003E3ED2" w:rsidRPr="003E3ED2" w:rsidRDefault="003E3ED2" w:rsidP="00365F5B">
            <w:pPr>
              <w:pStyle w:val="TableParagraph"/>
              <w:ind w:left="93" w:right="87"/>
              <w:jc w:val="both"/>
              <w:rPr>
                <w:color w:val="000000" w:themeColor="text1"/>
              </w:rPr>
            </w:pPr>
            <w:r w:rsidRPr="003E3ED2">
              <w:rPr>
                <w:color w:val="000000"/>
              </w:rPr>
              <w:t>ROSCI0280</w:t>
            </w:r>
          </w:p>
        </w:tc>
        <w:tc>
          <w:tcPr>
            <w:tcW w:w="3885" w:type="dxa"/>
            <w:vAlign w:val="bottom"/>
          </w:tcPr>
          <w:p w14:paraId="51E05B11" w14:textId="77777777" w:rsidR="003E3ED2" w:rsidRPr="003E3ED2" w:rsidRDefault="003E3ED2" w:rsidP="00365F5B">
            <w:pPr>
              <w:pStyle w:val="TableParagraph"/>
              <w:ind w:left="91" w:right="82"/>
              <w:jc w:val="both"/>
              <w:rPr>
                <w:color w:val="000000" w:themeColor="text1"/>
              </w:rPr>
            </w:pPr>
            <w:r w:rsidRPr="003E3ED2">
              <w:rPr>
                <w:color w:val="000000"/>
              </w:rPr>
              <w:t>Buzăul Superior</w:t>
            </w:r>
          </w:p>
        </w:tc>
      </w:tr>
      <w:tr w:rsidR="003E3ED2" w:rsidRPr="00C56257" w14:paraId="07EB5248" w14:textId="77777777" w:rsidTr="00993B86">
        <w:trPr>
          <w:trHeight w:val="275"/>
        </w:trPr>
        <w:tc>
          <w:tcPr>
            <w:tcW w:w="3410" w:type="dxa"/>
            <w:vMerge/>
            <w:tcBorders>
              <w:top w:val="nil"/>
            </w:tcBorders>
          </w:tcPr>
          <w:p w14:paraId="0BAF859E" w14:textId="77777777" w:rsidR="003E3ED2" w:rsidRPr="00C56257" w:rsidRDefault="003E3ED2" w:rsidP="00365F5B">
            <w:pPr>
              <w:jc w:val="both"/>
              <w:rPr>
                <w:color w:val="000000" w:themeColor="text1"/>
              </w:rPr>
            </w:pPr>
          </w:p>
        </w:tc>
        <w:tc>
          <w:tcPr>
            <w:tcW w:w="2410" w:type="dxa"/>
            <w:vAlign w:val="bottom"/>
          </w:tcPr>
          <w:p w14:paraId="67A5AC07"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0283</w:t>
            </w:r>
          </w:p>
        </w:tc>
        <w:tc>
          <w:tcPr>
            <w:tcW w:w="3885" w:type="dxa"/>
            <w:vAlign w:val="bottom"/>
          </w:tcPr>
          <w:p w14:paraId="59C57A22" w14:textId="77777777" w:rsidR="003E3ED2" w:rsidRPr="003E3ED2" w:rsidRDefault="003E3ED2" w:rsidP="00365F5B">
            <w:pPr>
              <w:pStyle w:val="TableParagraph"/>
              <w:ind w:left="91" w:right="82"/>
              <w:jc w:val="both"/>
              <w:rPr>
                <w:color w:val="000000" w:themeColor="text1"/>
              </w:rPr>
            </w:pPr>
            <w:r w:rsidRPr="003E3ED2">
              <w:rPr>
                <w:color w:val="000000"/>
              </w:rPr>
              <w:t>Cheile Doftanei</w:t>
            </w:r>
          </w:p>
        </w:tc>
      </w:tr>
      <w:tr w:rsidR="003E3ED2" w:rsidRPr="00C56257" w14:paraId="5494DB12" w14:textId="77777777" w:rsidTr="00993B86">
        <w:trPr>
          <w:trHeight w:val="275"/>
        </w:trPr>
        <w:tc>
          <w:tcPr>
            <w:tcW w:w="3410" w:type="dxa"/>
            <w:vMerge/>
            <w:tcBorders>
              <w:top w:val="nil"/>
            </w:tcBorders>
          </w:tcPr>
          <w:p w14:paraId="69C04528" w14:textId="77777777" w:rsidR="003E3ED2" w:rsidRPr="00C56257" w:rsidRDefault="003E3ED2" w:rsidP="00365F5B">
            <w:pPr>
              <w:jc w:val="both"/>
              <w:rPr>
                <w:color w:val="000000" w:themeColor="text1"/>
              </w:rPr>
            </w:pPr>
          </w:p>
        </w:tc>
        <w:tc>
          <w:tcPr>
            <w:tcW w:w="2410" w:type="dxa"/>
            <w:vAlign w:val="bottom"/>
          </w:tcPr>
          <w:p w14:paraId="102A07CB" w14:textId="77777777" w:rsidR="003E3ED2" w:rsidRPr="003E3ED2" w:rsidRDefault="003E3ED2" w:rsidP="00365F5B">
            <w:pPr>
              <w:pStyle w:val="TableParagraph"/>
              <w:ind w:left="93" w:right="87"/>
              <w:jc w:val="both"/>
              <w:rPr>
                <w:color w:val="000000" w:themeColor="text1"/>
              </w:rPr>
            </w:pPr>
            <w:r w:rsidRPr="003E3ED2">
              <w:rPr>
                <w:color w:val="000000"/>
              </w:rPr>
              <w:t>ROSCI0285</w:t>
            </w:r>
          </w:p>
        </w:tc>
        <w:tc>
          <w:tcPr>
            <w:tcW w:w="3885" w:type="dxa"/>
            <w:vAlign w:val="bottom"/>
          </w:tcPr>
          <w:p w14:paraId="3779BEAE" w14:textId="77777777" w:rsidR="003E3ED2" w:rsidRPr="003E3ED2" w:rsidRDefault="003E3ED2" w:rsidP="00365F5B">
            <w:pPr>
              <w:pStyle w:val="TableParagraph"/>
              <w:ind w:left="91" w:right="82"/>
              <w:jc w:val="both"/>
              <w:rPr>
                <w:color w:val="000000" w:themeColor="text1"/>
              </w:rPr>
            </w:pPr>
            <w:r w:rsidRPr="003E3ED2">
              <w:rPr>
                <w:color w:val="000000"/>
              </w:rPr>
              <w:t>Codrii seculari de la Strâmbu - Băiuț</w:t>
            </w:r>
          </w:p>
        </w:tc>
      </w:tr>
      <w:tr w:rsidR="003E3ED2" w:rsidRPr="00C56257" w14:paraId="72CEA12D" w14:textId="77777777" w:rsidTr="00993B86">
        <w:trPr>
          <w:trHeight w:val="275"/>
        </w:trPr>
        <w:tc>
          <w:tcPr>
            <w:tcW w:w="3410" w:type="dxa"/>
            <w:vMerge/>
            <w:tcBorders>
              <w:top w:val="nil"/>
            </w:tcBorders>
          </w:tcPr>
          <w:p w14:paraId="6DA534C7" w14:textId="77777777" w:rsidR="003E3ED2" w:rsidRPr="00C56257" w:rsidRDefault="003E3ED2" w:rsidP="00365F5B">
            <w:pPr>
              <w:jc w:val="both"/>
              <w:rPr>
                <w:color w:val="000000" w:themeColor="text1"/>
              </w:rPr>
            </w:pPr>
          </w:p>
        </w:tc>
        <w:tc>
          <w:tcPr>
            <w:tcW w:w="2410" w:type="dxa"/>
            <w:vAlign w:val="bottom"/>
          </w:tcPr>
          <w:p w14:paraId="75E69E11" w14:textId="77777777" w:rsidR="003E3ED2" w:rsidRPr="003E3ED2" w:rsidRDefault="003E3ED2" w:rsidP="00365F5B">
            <w:pPr>
              <w:pStyle w:val="TableParagraph"/>
              <w:ind w:left="93" w:right="87"/>
              <w:jc w:val="both"/>
              <w:rPr>
                <w:color w:val="000000" w:themeColor="text1"/>
              </w:rPr>
            </w:pPr>
            <w:r w:rsidRPr="003E3ED2">
              <w:rPr>
                <w:color w:val="000000"/>
              </w:rPr>
              <w:t>ROSCI0290</w:t>
            </w:r>
          </w:p>
        </w:tc>
        <w:tc>
          <w:tcPr>
            <w:tcW w:w="3885" w:type="dxa"/>
            <w:vAlign w:val="bottom"/>
          </w:tcPr>
          <w:p w14:paraId="2B4AE20C" w14:textId="77777777" w:rsidR="003E3ED2" w:rsidRPr="003E3ED2" w:rsidRDefault="003E3ED2" w:rsidP="00365F5B">
            <w:pPr>
              <w:pStyle w:val="TableParagraph"/>
              <w:ind w:left="91" w:right="82"/>
              <w:jc w:val="both"/>
              <w:rPr>
                <w:color w:val="000000" w:themeColor="text1"/>
              </w:rPr>
            </w:pPr>
            <w:r w:rsidRPr="003E3ED2">
              <w:rPr>
                <w:color w:val="000000"/>
              </w:rPr>
              <w:t>Coridorul Ialomiței</w:t>
            </w:r>
          </w:p>
        </w:tc>
      </w:tr>
      <w:tr w:rsidR="003E3ED2" w:rsidRPr="00C56257" w14:paraId="3A3A5271" w14:textId="77777777" w:rsidTr="00993B86">
        <w:trPr>
          <w:trHeight w:val="275"/>
        </w:trPr>
        <w:tc>
          <w:tcPr>
            <w:tcW w:w="3410" w:type="dxa"/>
            <w:vMerge/>
            <w:tcBorders>
              <w:top w:val="nil"/>
            </w:tcBorders>
          </w:tcPr>
          <w:p w14:paraId="7C0A2BBD" w14:textId="77777777" w:rsidR="003E3ED2" w:rsidRPr="00C56257" w:rsidRDefault="003E3ED2" w:rsidP="00365F5B">
            <w:pPr>
              <w:jc w:val="both"/>
              <w:rPr>
                <w:color w:val="000000" w:themeColor="text1"/>
              </w:rPr>
            </w:pPr>
          </w:p>
        </w:tc>
        <w:tc>
          <w:tcPr>
            <w:tcW w:w="2410" w:type="dxa"/>
            <w:vAlign w:val="bottom"/>
          </w:tcPr>
          <w:p w14:paraId="2D3CDD2F"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0294</w:t>
            </w:r>
          </w:p>
        </w:tc>
        <w:tc>
          <w:tcPr>
            <w:tcW w:w="3885" w:type="dxa"/>
            <w:vAlign w:val="bottom"/>
          </w:tcPr>
          <w:p w14:paraId="12FE20BB" w14:textId="77777777" w:rsidR="003E3ED2" w:rsidRPr="003E3ED2" w:rsidRDefault="003E3ED2" w:rsidP="00365F5B">
            <w:pPr>
              <w:pStyle w:val="TableParagraph"/>
              <w:ind w:left="91" w:right="82"/>
              <w:jc w:val="both"/>
              <w:rPr>
                <w:color w:val="000000" w:themeColor="text1"/>
              </w:rPr>
            </w:pPr>
            <w:r w:rsidRPr="003E3ED2">
              <w:rPr>
                <w:color w:val="000000"/>
              </w:rPr>
              <w:t>Crișul Alb între Gurahonț și Ineu</w:t>
            </w:r>
          </w:p>
        </w:tc>
      </w:tr>
      <w:tr w:rsidR="003E3ED2" w:rsidRPr="00C56257" w14:paraId="75224F1A" w14:textId="77777777" w:rsidTr="00993B86">
        <w:trPr>
          <w:trHeight w:val="275"/>
        </w:trPr>
        <w:tc>
          <w:tcPr>
            <w:tcW w:w="3410" w:type="dxa"/>
            <w:vMerge/>
            <w:tcBorders>
              <w:top w:val="nil"/>
            </w:tcBorders>
          </w:tcPr>
          <w:p w14:paraId="6A798ED7" w14:textId="77777777" w:rsidR="003E3ED2" w:rsidRPr="00C56257" w:rsidRDefault="003E3ED2" w:rsidP="00365F5B">
            <w:pPr>
              <w:jc w:val="both"/>
              <w:rPr>
                <w:color w:val="000000" w:themeColor="text1"/>
              </w:rPr>
            </w:pPr>
          </w:p>
        </w:tc>
        <w:tc>
          <w:tcPr>
            <w:tcW w:w="2410" w:type="dxa"/>
            <w:vAlign w:val="bottom"/>
          </w:tcPr>
          <w:p w14:paraId="5469CD7C" w14:textId="77777777" w:rsidR="003E3ED2" w:rsidRPr="003E3ED2" w:rsidRDefault="003E3ED2" w:rsidP="00365F5B">
            <w:pPr>
              <w:pStyle w:val="TableParagraph"/>
              <w:ind w:left="93" w:right="87"/>
              <w:jc w:val="both"/>
              <w:rPr>
                <w:color w:val="000000" w:themeColor="text1"/>
              </w:rPr>
            </w:pPr>
            <w:r w:rsidRPr="003E3ED2">
              <w:rPr>
                <w:color w:val="000000"/>
              </w:rPr>
              <w:t>ROSCI0316</w:t>
            </w:r>
          </w:p>
        </w:tc>
        <w:tc>
          <w:tcPr>
            <w:tcW w:w="3885" w:type="dxa"/>
            <w:vAlign w:val="bottom"/>
          </w:tcPr>
          <w:p w14:paraId="79FCDFCA" w14:textId="77777777" w:rsidR="003E3ED2" w:rsidRPr="003E3ED2" w:rsidRDefault="003E3ED2" w:rsidP="00365F5B">
            <w:pPr>
              <w:pStyle w:val="TableParagraph"/>
              <w:ind w:left="91" w:right="82"/>
              <w:jc w:val="both"/>
              <w:rPr>
                <w:color w:val="000000" w:themeColor="text1"/>
              </w:rPr>
            </w:pPr>
            <w:r w:rsidRPr="003E3ED2">
              <w:rPr>
                <w:color w:val="000000"/>
              </w:rPr>
              <w:t>Lunca Râului Doamnei</w:t>
            </w:r>
          </w:p>
        </w:tc>
      </w:tr>
      <w:tr w:rsidR="003E3ED2" w:rsidRPr="00C56257" w14:paraId="2FCE268F" w14:textId="77777777" w:rsidTr="00993B86">
        <w:trPr>
          <w:trHeight w:val="275"/>
        </w:trPr>
        <w:tc>
          <w:tcPr>
            <w:tcW w:w="3410" w:type="dxa"/>
            <w:vMerge/>
            <w:tcBorders>
              <w:top w:val="nil"/>
            </w:tcBorders>
          </w:tcPr>
          <w:p w14:paraId="40418910" w14:textId="77777777" w:rsidR="003E3ED2" w:rsidRPr="00C56257" w:rsidRDefault="003E3ED2" w:rsidP="00365F5B">
            <w:pPr>
              <w:jc w:val="both"/>
              <w:rPr>
                <w:color w:val="000000" w:themeColor="text1"/>
              </w:rPr>
            </w:pPr>
          </w:p>
        </w:tc>
        <w:tc>
          <w:tcPr>
            <w:tcW w:w="2410" w:type="dxa"/>
            <w:vAlign w:val="bottom"/>
          </w:tcPr>
          <w:p w14:paraId="2D3404F4"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0318</w:t>
            </w:r>
          </w:p>
        </w:tc>
        <w:tc>
          <w:tcPr>
            <w:tcW w:w="3885" w:type="dxa"/>
            <w:vAlign w:val="bottom"/>
          </w:tcPr>
          <w:p w14:paraId="3FAECBD3" w14:textId="77777777" w:rsidR="003E3ED2" w:rsidRPr="003E3ED2" w:rsidRDefault="003E3ED2" w:rsidP="00365F5B">
            <w:pPr>
              <w:pStyle w:val="TableParagraph"/>
              <w:ind w:left="91" w:right="82"/>
              <w:jc w:val="both"/>
              <w:rPr>
                <w:color w:val="000000" w:themeColor="text1"/>
              </w:rPr>
            </w:pPr>
            <w:r w:rsidRPr="003E3ED2">
              <w:rPr>
                <w:color w:val="000000"/>
              </w:rPr>
              <w:t>Măgura Târgu Ocna</w:t>
            </w:r>
          </w:p>
        </w:tc>
      </w:tr>
      <w:tr w:rsidR="003E3ED2" w:rsidRPr="00C56257" w14:paraId="44C52D2C" w14:textId="77777777" w:rsidTr="00993B86">
        <w:trPr>
          <w:trHeight w:val="275"/>
        </w:trPr>
        <w:tc>
          <w:tcPr>
            <w:tcW w:w="3410" w:type="dxa"/>
            <w:vMerge/>
            <w:tcBorders>
              <w:top w:val="nil"/>
            </w:tcBorders>
          </w:tcPr>
          <w:p w14:paraId="12AA0BAD" w14:textId="77777777" w:rsidR="003E3ED2" w:rsidRPr="00C56257" w:rsidRDefault="003E3ED2" w:rsidP="00365F5B">
            <w:pPr>
              <w:jc w:val="both"/>
              <w:rPr>
                <w:color w:val="000000" w:themeColor="text1"/>
              </w:rPr>
            </w:pPr>
          </w:p>
        </w:tc>
        <w:tc>
          <w:tcPr>
            <w:tcW w:w="2410" w:type="dxa"/>
            <w:vAlign w:val="bottom"/>
          </w:tcPr>
          <w:p w14:paraId="208EA984"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0322</w:t>
            </w:r>
          </w:p>
        </w:tc>
        <w:tc>
          <w:tcPr>
            <w:tcW w:w="3885" w:type="dxa"/>
            <w:vAlign w:val="bottom"/>
          </w:tcPr>
          <w:p w14:paraId="1C09F33D" w14:textId="77777777" w:rsidR="003E3ED2" w:rsidRPr="003E3ED2" w:rsidRDefault="003E3ED2" w:rsidP="00365F5B">
            <w:pPr>
              <w:pStyle w:val="TableParagraph"/>
              <w:ind w:left="91" w:right="82"/>
              <w:jc w:val="both"/>
              <w:rPr>
                <w:color w:val="000000" w:themeColor="text1"/>
              </w:rPr>
            </w:pPr>
            <w:r w:rsidRPr="003E3ED2">
              <w:rPr>
                <w:color w:val="000000"/>
              </w:rPr>
              <w:t>Muntele Șes</w:t>
            </w:r>
          </w:p>
        </w:tc>
      </w:tr>
      <w:tr w:rsidR="003E3ED2" w:rsidRPr="00C56257" w14:paraId="08591C83" w14:textId="77777777" w:rsidTr="00993B86">
        <w:trPr>
          <w:trHeight w:val="275"/>
        </w:trPr>
        <w:tc>
          <w:tcPr>
            <w:tcW w:w="3410" w:type="dxa"/>
            <w:vMerge/>
            <w:tcBorders>
              <w:top w:val="nil"/>
            </w:tcBorders>
          </w:tcPr>
          <w:p w14:paraId="5B62CBCC" w14:textId="77777777" w:rsidR="003E3ED2" w:rsidRPr="00C56257" w:rsidRDefault="003E3ED2" w:rsidP="00365F5B">
            <w:pPr>
              <w:jc w:val="both"/>
              <w:rPr>
                <w:color w:val="000000" w:themeColor="text1"/>
              </w:rPr>
            </w:pPr>
          </w:p>
        </w:tc>
        <w:tc>
          <w:tcPr>
            <w:tcW w:w="2410" w:type="dxa"/>
            <w:vAlign w:val="bottom"/>
          </w:tcPr>
          <w:p w14:paraId="783130A4" w14:textId="77777777" w:rsidR="003E3ED2" w:rsidRPr="003E3ED2" w:rsidRDefault="003E3ED2" w:rsidP="00365F5B">
            <w:pPr>
              <w:pStyle w:val="TableParagraph"/>
              <w:ind w:left="93" w:right="87"/>
              <w:jc w:val="both"/>
              <w:rPr>
                <w:color w:val="000000" w:themeColor="text1"/>
              </w:rPr>
            </w:pPr>
            <w:r w:rsidRPr="003E3ED2">
              <w:rPr>
                <w:color w:val="000000"/>
              </w:rPr>
              <w:t>ROSCI0323</w:t>
            </w:r>
          </w:p>
        </w:tc>
        <w:tc>
          <w:tcPr>
            <w:tcW w:w="3885" w:type="dxa"/>
            <w:vAlign w:val="bottom"/>
          </w:tcPr>
          <w:p w14:paraId="1223F420" w14:textId="77777777" w:rsidR="003E3ED2" w:rsidRPr="003E3ED2" w:rsidRDefault="003E3ED2" w:rsidP="00365F5B">
            <w:pPr>
              <w:pStyle w:val="TableParagraph"/>
              <w:ind w:left="91" w:right="81"/>
              <w:jc w:val="both"/>
              <w:rPr>
                <w:color w:val="000000" w:themeColor="text1"/>
              </w:rPr>
            </w:pPr>
            <w:r w:rsidRPr="003E3ED2">
              <w:rPr>
                <w:color w:val="000000"/>
              </w:rPr>
              <w:t>Munții Ciucului</w:t>
            </w:r>
          </w:p>
        </w:tc>
      </w:tr>
      <w:tr w:rsidR="003E3ED2" w:rsidRPr="00C56257" w14:paraId="672F6473" w14:textId="77777777" w:rsidTr="00993B86">
        <w:trPr>
          <w:trHeight w:val="277"/>
        </w:trPr>
        <w:tc>
          <w:tcPr>
            <w:tcW w:w="3410" w:type="dxa"/>
            <w:vMerge/>
            <w:tcBorders>
              <w:top w:val="nil"/>
            </w:tcBorders>
          </w:tcPr>
          <w:p w14:paraId="5DA7797F" w14:textId="77777777" w:rsidR="003E3ED2" w:rsidRPr="00C56257" w:rsidRDefault="003E3ED2" w:rsidP="00365F5B">
            <w:pPr>
              <w:jc w:val="both"/>
              <w:rPr>
                <w:color w:val="000000" w:themeColor="text1"/>
              </w:rPr>
            </w:pPr>
          </w:p>
        </w:tc>
        <w:tc>
          <w:tcPr>
            <w:tcW w:w="2410" w:type="dxa"/>
            <w:vAlign w:val="bottom"/>
          </w:tcPr>
          <w:p w14:paraId="7CECE7E8" w14:textId="77777777" w:rsidR="003E3ED2" w:rsidRPr="003E3ED2" w:rsidRDefault="003E3ED2" w:rsidP="00AE0E73">
            <w:pPr>
              <w:pStyle w:val="TableParagraph"/>
              <w:spacing w:line="258" w:lineRule="exact"/>
              <w:ind w:left="93" w:right="87"/>
              <w:jc w:val="both"/>
              <w:rPr>
                <w:color w:val="000000" w:themeColor="text1"/>
              </w:rPr>
            </w:pPr>
            <w:r w:rsidRPr="003E3ED2">
              <w:rPr>
                <w:color w:val="000000"/>
              </w:rPr>
              <w:t>ROS</w:t>
            </w:r>
            <w:r w:rsidR="00AE0E73">
              <w:rPr>
                <w:color w:val="000000"/>
              </w:rPr>
              <w:t>AC</w:t>
            </w:r>
            <w:r w:rsidRPr="003E3ED2">
              <w:rPr>
                <w:color w:val="000000"/>
              </w:rPr>
              <w:t>0326</w:t>
            </w:r>
          </w:p>
        </w:tc>
        <w:tc>
          <w:tcPr>
            <w:tcW w:w="3885" w:type="dxa"/>
            <w:vAlign w:val="bottom"/>
          </w:tcPr>
          <w:p w14:paraId="2789A944" w14:textId="77777777" w:rsidR="003E3ED2" w:rsidRPr="003E3ED2" w:rsidRDefault="003E3ED2" w:rsidP="00365F5B">
            <w:pPr>
              <w:pStyle w:val="TableParagraph"/>
              <w:spacing w:line="258" w:lineRule="exact"/>
              <w:ind w:left="91" w:right="80"/>
              <w:jc w:val="both"/>
              <w:rPr>
                <w:color w:val="000000" w:themeColor="text1"/>
              </w:rPr>
            </w:pPr>
            <w:r w:rsidRPr="003E3ED2">
              <w:rPr>
                <w:color w:val="000000"/>
              </w:rPr>
              <w:t>Muscelele Argeșului</w:t>
            </w:r>
          </w:p>
        </w:tc>
      </w:tr>
      <w:tr w:rsidR="003E3ED2" w:rsidRPr="00C56257" w14:paraId="5DD2C991" w14:textId="77777777" w:rsidTr="00993B86">
        <w:trPr>
          <w:trHeight w:val="275"/>
        </w:trPr>
        <w:tc>
          <w:tcPr>
            <w:tcW w:w="3410" w:type="dxa"/>
            <w:vMerge/>
            <w:tcBorders>
              <w:top w:val="nil"/>
            </w:tcBorders>
          </w:tcPr>
          <w:p w14:paraId="202D8C4F" w14:textId="77777777" w:rsidR="003E3ED2" w:rsidRPr="00C56257" w:rsidRDefault="003E3ED2" w:rsidP="00365F5B">
            <w:pPr>
              <w:jc w:val="both"/>
              <w:rPr>
                <w:color w:val="000000" w:themeColor="text1"/>
              </w:rPr>
            </w:pPr>
          </w:p>
        </w:tc>
        <w:tc>
          <w:tcPr>
            <w:tcW w:w="2410" w:type="dxa"/>
            <w:vAlign w:val="bottom"/>
          </w:tcPr>
          <w:p w14:paraId="0E6C8832" w14:textId="77777777" w:rsidR="003E3ED2" w:rsidRPr="003E3ED2" w:rsidRDefault="003E3ED2" w:rsidP="00365F5B">
            <w:pPr>
              <w:pStyle w:val="TableParagraph"/>
              <w:ind w:left="93" w:right="87"/>
              <w:jc w:val="both"/>
              <w:rPr>
                <w:color w:val="000000" w:themeColor="text1"/>
              </w:rPr>
            </w:pPr>
            <w:r w:rsidRPr="003E3ED2">
              <w:rPr>
                <w:color w:val="000000"/>
              </w:rPr>
              <w:t>ROSCI0328</w:t>
            </w:r>
          </w:p>
        </w:tc>
        <w:tc>
          <w:tcPr>
            <w:tcW w:w="3885" w:type="dxa"/>
            <w:vAlign w:val="bottom"/>
          </w:tcPr>
          <w:p w14:paraId="74B1A34D" w14:textId="77777777" w:rsidR="003E3ED2" w:rsidRPr="003E3ED2" w:rsidRDefault="003E3ED2" w:rsidP="00365F5B">
            <w:pPr>
              <w:pStyle w:val="TableParagraph"/>
              <w:ind w:left="91" w:right="85"/>
              <w:jc w:val="both"/>
              <w:rPr>
                <w:color w:val="000000" w:themeColor="text1"/>
              </w:rPr>
            </w:pPr>
            <w:r w:rsidRPr="003E3ED2">
              <w:rPr>
                <w:color w:val="000000"/>
              </w:rPr>
              <w:t>Obcinele Bucovinei</w:t>
            </w:r>
          </w:p>
        </w:tc>
      </w:tr>
      <w:tr w:rsidR="003E3ED2" w:rsidRPr="00C56257" w14:paraId="62ED68B5" w14:textId="77777777" w:rsidTr="00993B86">
        <w:trPr>
          <w:trHeight w:val="275"/>
        </w:trPr>
        <w:tc>
          <w:tcPr>
            <w:tcW w:w="3410" w:type="dxa"/>
            <w:vMerge/>
            <w:tcBorders>
              <w:top w:val="nil"/>
            </w:tcBorders>
          </w:tcPr>
          <w:p w14:paraId="7A8B9E9B" w14:textId="77777777" w:rsidR="003E3ED2" w:rsidRPr="00C56257" w:rsidRDefault="003E3ED2" w:rsidP="00365F5B">
            <w:pPr>
              <w:jc w:val="both"/>
              <w:rPr>
                <w:color w:val="000000" w:themeColor="text1"/>
              </w:rPr>
            </w:pPr>
          </w:p>
        </w:tc>
        <w:tc>
          <w:tcPr>
            <w:tcW w:w="2410" w:type="dxa"/>
            <w:vAlign w:val="bottom"/>
          </w:tcPr>
          <w:p w14:paraId="5950A5D4"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0344</w:t>
            </w:r>
          </w:p>
        </w:tc>
        <w:tc>
          <w:tcPr>
            <w:tcW w:w="3885" w:type="dxa"/>
            <w:vAlign w:val="bottom"/>
          </w:tcPr>
          <w:p w14:paraId="05F6AA3C" w14:textId="77777777" w:rsidR="003E3ED2" w:rsidRPr="003E3ED2" w:rsidRDefault="003E3ED2" w:rsidP="00365F5B">
            <w:pPr>
              <w:pStyle w:val="TableParagraph"/>
              <w:ind w:left="91" w:right="81"/>
              <w:jc w:val="both"/>
              <w:rPr>
                <w:color w:val="000000" w:themeColor="text1"/>
              </w:rPr>
            </w:pPr>
            <w:r w:rsidRPr="003E3ED2">
              <w:rPr>
                <w:color w:val="000000"/>
              </w:rPr>
              <w:t>Pădurile din Sudul Piemontului Cândești</w:t>
            </w:r>
          </w:p>
        </w:tc>
      </w:tr>
      <w:tr w:rsidR="003E3ED2" w:rsidRPr="00C56257" w14:paraId="62B9F5E4" w14:textId="77777777" w:rsidTr="00993B86">
        <w:trPr>
          <w:trHeight w:val="275"/>
        </w:trPr>
        <w:tc>
          <w:tcPr>
            <w:tcW w:w="3410" w:type="dxa"/>
            <w:vMerge/>
            <w:tcBorders>
              <w:top w:val="nil"/>
            </w:tcBorders>
          </w:tcPr>
          <w:p w14:paraId="48D6C856" w14:textId="77777777" w:rsidR="003E3ED2" w:rsidRPr="00C56257" w:rsidRDefault="003E3ED2" w:rsidP="00365F5B">
            <w:pPr>
              <w:jc w:val="both"/>
              <w:rPr>
                <w:color w:val="000000" w:themeColor="text1"/>
              </w:rPr>
            </w:pPr>
          </w:p>
        </w:tc>
        <w:tc>
          <w:tcPr>
            <w:tcW w:w="2410" w:type="dxa"/>
            <w:vAlign w:val="bottom"/>
          </w:tcPr>
          <w:p w14:paraId="72D06A40"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0350</w:t>
            </w:r>
          </w:p>
        </w:tc>
        <w:tc>
          <w:tcPr>
            <w:tcW w:w="3885" w:type="dxa"/>
            <w:vAlign w:val="bottom"/>
          </w:tcPr>
          <w:p w14:paraId="4088FF61" w14:textId="77777777" w:rsidR="003E3ED2" w:rsidRPr="003E3ED2" w:rsidRDefault="003E3ED2" w:rsidP="00365F5B">
            <w:pPr>
              <w:pStyle w:val="TableParagraph"/>
              <w:ind w:left="91" w:right="85"/>
              <w:jc w:val="both"/>
              <w:rPr>
                <w:color w:val="000000" w:themeColor="text1"/>
              </w:rPr>
            </w:pPr>
            <w:r w:rsidRPr="003E3ED2">
              <w:rPr>
                <w:color w:val="000000"/>
              </w:rPr>
              <w:t>Lunca Teuzului</w:t>
            </w:r>
          </w:p>
        </w:tc>
      </w:tr>
      <w:tr w:rsidR="003E3ED2" w:rsidRPr="00C56257" w14:paraId="276F9953" w14:textId="77777777" w:rsidTr="00993B86">
        <w:trPr>
          <w:trHeight w:val="275"/>
        </w:trPr>
        <w:tc>
          <w:tcPr>
            <w:tcW w:w="3410" w:type="dxa"/>
            <w:vMerge/>
            <w:tcBorders>
              <w:top w:val="nil"/>
            </w:tcBorders>
          </w:tcPr>
          <w:p w14:paraId="131B1AE0" w14:textId="77777777" w:rsidR="003E3ED2" w:rsidRPr="00C56257" w:rsidRDefault="003E3ED2" w:rsidP="00365F5B">
            <w:pPr>
              <w:jc w:val="both"/>
              <w:rPr>
                <w:color w:val="000000" w:themeColor="text1"/>
              </w:rPr>
            </w:pPr>
          </w:p>
        </w:tc>
        <w:tc>
          <w:tcPr>
            <w:tcW w:w="2410" w:type="dxa"/>
            <w:vAlign w:val="bottom"/>
          </w:tcPr>
          <w:p w14:paraId="11E2BE32" w14:textId="77777777" w:rsidR="003E3ED2" w:rsidRPr="003E3ED2" w:rsidRDefault="003E3ED2" w:rsidP="00AE0E73">
            <w:pPr>
              <w:pStyle w:val="TableParagraph"/>
              <w:ind w:left="93" w:right="87"/>
              <w:jc w:val="both"/>
              <w:rPr>
                <w:color w:val="000000" w:themeColor="text1"/>
              </w:rPr>
            </w:pPr>
            <w:r w:rsidRPr="003E3ED2">
              <w:rPr>
                <w:color w:val="000000"/>
              </w:rPr>
              <w:t>ROS</w:t>
            </w:r>
            <w:r w:rsidR="00AE0E73">
              <w:rPr>
                <w:color w:val="000000"/>
              </w:rPr>
              <w:t>AC</w:t>
            </w:r>
            <w:r w:rsidRPr="003E3ED2">
              <w:rPr>
                <w:color w:val="000000"/>
              </w:rPr>
              <w:t>0354</w:t>
            </w:r>
          </w:p>
        </w:tc>
        <w:tc>
          <w:tcPr>
            <w:tcW w:w="3885" w:type="dxa"/>
            <w:vAlign w:val="bottom"/>
          </w:tcPr>
          <w:p w14:paraId="42A74E32" w14:textId="77777777" w:rsidR="003E3ED2" w:rsidRPr="003E3ED2" w:rsidRDefault="003E3ED2" w:rsidP="00365F5B">
            <w:pPr>
              <w:pStyle w:val="TableParagraph"/>
              <w:ind w:left="91" w:right="81"/>
              <w:jc w:val="both"/>
              <w:rPr>
                <w:color w:val="000000" w:themeColor="text1"/>
              </w:rPr>
            </w:pPr>
            <w:r w:rsidRPr="003E3ED2">
              <w:rPr>
                <w:color w:val="000000"/>
              </w:rPr>
              <w:t>Platforma Cotmeana</w:t>
            </w:r>
          </w:p>
        </w:tc>
      </w:tr>
      <w:tr w:rsidR="003E3ED2" w:rsidRPr="00C56257" w14:paraId="74BE728A" w14:textId="77777777" w:rsidTr="00993B86">
        <w:trPr>
          <w:trHeight w:val="275"/>
        </w:trPr>
        <w:tc>
          <w:tcPr>
            <w:tcW w:w="3410" w:type="dxa"/>
            <w:vMerge/>
            <w:tcBorders>
              <w:top w:val="nil"/>
            </w:tcBorders>
          </w:tcPr>
          <w:p w14:paraId="7F59D1BA" w14:textId="77777777" w:rsidR="003E3ED2" w:rsidRPr="00C56257" w:rsidRDefault="003E3ED2" w:rsidP="00365F5B">
            <w:pPr>
              <w:jc w:val="both"/>
              <w:rPr>
                <w:color w:val="000000" w:themeColor="text1"/>
              </w:rPr>
            </w:pPr>
          </w:p>
        </w:tc>
        <w:tc>
          <w:tcPr>
            <w:tcW w:w="2410" w:type="dxa"/>
            <w:vAlign w:val="bottom"/>
          </w:tcPr>
          <w:p w14:paraId="33CFBED6" w14:textId="77777777" w:rsidR="003E3ED2" w:rsidRPr="003E3ED2" w:rsidRDefault="003E3ED2" w:rsidP="00365F5B">
            <w:pPr>
              <w:pStyle w:val="TableParagraph"/>
              <w:ind w:left="93" w:right="87"/>
              <w:jc w:val="both"/>
              <w:rPr>
                <w:color w:val="000000"/>
              </w:rPr>
            </w:pPr>
            <w:r w:rsidRPr="003E3ED2">
              <w:rPr>
                <w:color w:val="000000"/>
              </w:rPr>
              <w:t>ROSCI0381</w:t>
            </w:r>
          </w:p>
        </w:tc>
        <w:tc>
          <w:tcPr>
            <w:tcW w:w="3885" w:type="dxa"/>
            <w:vAlign w:val="bottom"/>
          </w:tcPr>
          <w:p w14:paraId="43D8F1BB" w14:textId="77777777" w:rsidR="003E3ED2" w:rsidRPr="003E3ED2" w:rsidRDefault="003E3ED2" w:rsidP="00365F5B">
            <w:pPr>
              <w:pStyle w:val="TableParagraph"/>
              <w:ind w:left="91" w:right="81"/>
              <w:jc w:val="both"/>
              <w:rPr>
                <w:color w:val="000000"/>
              </w:rPr>
            </w:pPr>
            <w:r w:rsidRPr="003E3ED2">
              <w:rPr>
                <w:color w:val="000000"/>
              </w:rPr>
              <w:t>Râul Târgului - Argeșel - Râușor</w:t>
            </w:r>
          </w:p>
        </w:tc>
      </w:tr>
      <w:tr w:rsidR="003E3ED2" w:rsidRPr="00C56257" w14:paraId="05F5F7A7" w14:textId="77777777" w:rsidTr="00993B86">
        <w:trPr>
          <w:trHeight w:val="275"/>
        </w:trPr>
        <w:tc>
          <w:tcPr>
            <w:tcW w:w="3410" w:type="dxa"/>
            <w:vMerge/>
            <w:tcBorders>
              <w:top w:val="nil"/>
            </w:tcBorders>
          </w:tcPr>
          <w:p w14:paraId="493D0FA5" w14:textId="77777777" w:rsidR="003E3ED2" w:rsidRPr="00C56257" w:rsidRDefault="003E3ED2" w:rsidP="00365F5B">
            <w:pPr>
              <w:jc w:val="both"/>
              <w:rPr>
                <w:color w:val="000000" w:themeColor="text1"/>
              </w:rPr>
            </w:pPr>
          </w:p>
        </w:tc>
        <w:tc>
          <w:tcPr>
            <w:tcW w:w="2410" w:type="dxa"/>
            <w:vAlign w:val="bottom"/>
          </w:tcPr>
          <w:p w14:paraId="468DFBFE" w14:textId="77777777" w:rsidR="003E3ED2" w:rsidRPr="003E3ED2" w:rsidRDefault="003E3ED2" w:rsidP="00365F5B">
            <w:pPr>
              <w:pStyle w:val="TableParagraph"/>
              <w:ind w:left="93" w:right="87"/>
              <w:jc w:val="both"/>
              <w:rPr>
                <w:color w:val="000000"/>
              </w:rPr>
            </w:pPr>
            <w:r w:rsidRPr="003E3ED2">
              <w:rPr>
                <w:color w:val="000000"/>
              </w:rPr>
              <w:t>ROSCI0386</w:t>
            </w:r>
          </w:p>
        </w:tc>
        <w:tc>
          <w:tcPr>
            <w:tcW w:w="3885" w:type="dxa"/>
            <w:vAlign w:val="bottom"/>
          </w:tcPr>
          <w:p w14:paraId="50090AF3" w14:textId="77777777" w:rsidR="003E3ED2" w:rsidRPr="003E3ED2" w:rsidRDefault="003E3ED2" w:rsidP="00365F5B">
            <w:pPr>
              <w:pStyle w:val="TableParagraph"/>
              <w:ind w:left="91" w:right="81"/>
              <w:jc w:val="both"/>
              <w:rPr>
                <w:color w:val="000000"/>
              </w:rPr>
            </w:pPr>
            <w:r w:rsidRPr="003E3ED2">
              <w:rPr>
                <w:color w:val="000000"/>
              </w:rPr>
              <w:t>Râul Vedea</w:t>
            </w:r>
          </w:p>
        </w:tc>
      </w:tr>
      <w:tr w:rsidR="003E3ED2" w:rsidRPr="00C56257" w14:paraId="1F701B8A" w14:textId="77777777" w:rsidTr="00993B86">
        <w:trPr>
          <w:trHeight w:val="275"/>
        </w:trPr>
        <w:tc>
          <w:tcPr>
            <w:tcW w:w="3410" w:type="dxa"/>
            <w:vMerge/>
            <w:tcBorders>
              <w:top w:val="nil"/>
            </w:tcBorders>
          </w:tcPr>
          <w:p w14:paraId="482A804F" w14:textId="77777777" w:rsidR="003E3ED2" w:rsidRPr="00C56257" w:rsidRDefault="003E3ED2" w:rsidP="00365F5B">
            <w:pPr>
              <w:jc w:val="both"/>
              <w:rPr>
                <w:color w:val="000000" w:themeColor="text1"/>
              </w:rPr>
            </w:pPr>
          </w:p>
        </w:tc>
        <w:tc>
          <w:tcPr>
            <w:tcW w:w="2410" w:type="dxa"/>
            <w:vAlign w:val="bottom"/>
          </w:tcPr>
          <w:p w14:paraId="21892AD9" w14:textId="77777777" w:rsidR="003E3ED2" w:rsidRPr="003E3ED2" w:rsidRDefault="003E3ED2" w:rsidP="00AE0E73">
            <w:pPr>
              <w:pStyle w:val="TableParagraph"/>
              <w:ind w:left="93" w:right="87"/>
              <w:jc w:val="both"/>
              <w:rPr>
                <w:color w:val="000000"/>
              </w:rPr>
            </w:pPr>
            <w:r w:rsidRPr="003E3ED2">
              <w:rPr>
                <w:color w:val="000000"/>
              </w:rPr>
              <w:t>ROS</w:t>
            </w:r>
            <w:r w:rsidR="00AE0E73">
              <w:rPr>
                <w:color w:val="000000"/>
              </w:rPr>
              <w:t>AC</w:t>
            </w:r>
            <w:r w:rsidRPr="003E3ED2">
              <w:rPr>
                <w:color w:val="000000"/>
              </w:rPr>
              <w:t>0391</w:t>
            </w:r>
          </w:p>
        </w:tc>
        <w:tc>
          <w:tcPr>
            <w:tcW w:w="3885" w:type="dxa"/>
            <w:vAlign w:val="bottom"/>
          </w:tcPr>
          <w:p w14:paraId="263D79A3" w14:textId="77777777" w:rsidR="003E3ED2" w:rsidRPr="003E3ED2" w:rsidRDefault="003E3ED2" w:rsidP="00365F5B">
            <w:pPr>
              <w:pStyle w:val="TableParagraph"/>
              <w:ind w:left="91" w:right="81"/>
              <w:jc w:val="both"/>
              <w:rPr>
                <w:color w:val="000000"/>
              </w:rPr>
            </w:pPr>
            <w:r w:rsidRPr="003E3ED2">
              <w:rPr>
                <w:color w:val="000000"/>
              </w:rPr>
              <w:t>Siretul Mijlociu - Bucecea</w:t>
            </w:r>
          </w:p>
        </w:tc>
      </w:tr>
      <w:tr w:rsidR="003E3ED2" w:rsidRPr="00C56257" w14:paraId="0F31D9FD" w14:textId="77777777" w:rsidTr="00993B86">
        <w:trPr>
          <w:trHeight w:val="275"/>
        </w:trPr>
        <w:tc>
          <w:tcPr>
            <w:tcW w:w="3410" w:type="dxa"/>
            <w:vMerge/>
            <w:tcBorders>
              <w:top w:val="nil"/>
            </w:tcBorders>
          </w:tcPr>
          <w:p w14:paraId="2ADD2EE3" w14:textId="77777777" w:rsidR="003E3ED2" w:rsidRPr="00C56257" w:rsidRDefault="003E3ED2" w:rsidP="00365F5B">
            <w:pPr>
              <w:jc w:val="both"/>
              <w:rPr>
                <w:color w:val="000000" w:themeColor="text1"/>
              </w:rPr>
            </w:pPr>
          </w:p>
        </w:tc>
        <w:tc>
          <w:tcPr>
            <w:tcW w:w="2410" w:type="dxa"/>
            <w:vAlign w:val="bottom"/>
          </w:tcPr>
          <w:p w14:paraId="025C8553" w14:textId="77777777" w:rsidR="003E3ED2" w:rsidRPr="003E3ED2" w:rsidRDefault="003E3ED2" w:rsidP="00AE0E73">
            <w:pPr>
              <w:pStyle w:val="TableParagraph"/>
              <w:ind w:left="93" w:right="87"/>
              <w:jc w:val="both"/>
              <w:rPr>
                <w:color w:val="000000"/>
              </w:rPr>
            </w:pPr>
            <w:r w:rsidRPr="003E3ED2">
              <w:rPr>
                <w:color w:val="000000"/>
              </w:rPr>
              <w:t>ROS</w:t>
            </w:r>
            <w:r w:rsidR="00AE0E73">
              <w:rPr>
                <w:color w:val="000000"/>
              </w:rPr>
              <w:t>AC</w:t>
            </w:r>
            <w:r w:rsidRPr="003E3ED2">
              <w:rPr>
                <w:color w:val="000000"/>
              </w:rPr>
              <w:t>0395</w:t>
            </w:r>
          </w:p>
        </w:tc>
        <w:tc>
          <w:tcPr>
            <w:tcW w:w="3885" w:type="dxa"/>
            <w:vAlign w:val="bottom"/>
          </w:tcPr>
          <w:p w14:paraId="32735FE0" w14:textId="77777777" w:rsidR="003E3ED2" w:rsidRPr="003E3ED2" w:rsidRDefault="003E3ED2" w:rsidP="00365F5B">
            <w:pPr>
              <w:pStyle w:val="TableParagraph"/>
              <w:ind w:left="91" w:right="81"/>
              <w:jc w:val="both"/>
              <w:rPr>
                <w:color w:val="000000"/>
              </w:rPr>
            </w:pPr>
            <w:r w:rsidRPr="003E3ED2">
              <w:rPr>
                <w:color w:val="000000"/>
              </w:rPr>
              <w:t>Soveja</w:t>
            </w:r>
          </w:p>
        </w:tc>
      </w:tr>
      <w:tr w:rsidR="003E3ED2" w:rsidRPr="00C56257" w14:paraId="2030F339" w14:textId="77777777" w:rsidTr="00993B86">
        <w:trPr>
          <w:trHeight w:val="275"/>
        </w:trPr>
        <w:tc>
          <w:tcPr>
            <w:tcW w:w="3410" w:type="dxa"/>
            <w:vMerge/>
            <w:tcBorders>
              <w:top w:val="nil"/>
            </w:tcBorders>
          </w:tcPr>
          <w:p w14:paraId="06847F94" w14:textId="77777777" w:rsidR="003E3ED2" w:rsidRPr="00C56257" w:rsidRDefault="003E3ED2" w:rsidP="00365F5B">
            <w:pPr>
              <w:jc w:val="both"/>
              <w:rPr>
                <w:color w:val="000000" w:themeColor="text1"/>
              </w:rPr>
            </w:pPr>
          </w:p>
        </w:tc>
        <w:tc>
          <w:tcPr>
            <w:tcW w:w="2410" w:type="dxa"/>
            <w:vAlign w:val="bottom"/>
          </w:tcPr>
          <w:p w14:paraId="241EFAE1" w14:textId="77777777" w:rsidR="003E3ED2" w:rsidRPr="003E3ED2" w:rsidRDefault="003E3ED2" w:rsidP="00365F5B">
            <w:pPr>
              <w:pStyle w:val="TableParagraph"/>
              <w:ind w:left="93" w:right="87"/>
              <w:jc w:val="both"/>
              <w:rPr>
                <w:color w:val="000000" w:themeColor="text1"/>
              </w:rPr>
            </w:pPr>
            <w:r w:rsidRPr="003E3ED2">
              <w:rPr>
                <w:color w:val="000000"/>
              </w:rPr>
              <w:t>ROSCI0409</w:t>
            </w:r>
          </w:p>
        </w:tc>
        <w:tc>
          <w:tcPr>
            <w:tcW w:w="3885" w:type="dxa"/>
            <w:vAlign w:val="bottom"/>
          </w:tcPr>
          <w:p w14:paraId="538B405C" w14:textId="77777777" w:rsidR="003E3ED2" w:rsidRPr="003E3ED2" w:rsidRDefault="003E3ED2" w:rsidP="00365F5B">
            <w:pPr>
              <w:pStyle w:val="TableParagraph"/>
              <w:ind w:left="91" w:right="83"/>
              <w:jc w:val="both"/>
              <w:rPr>
                <w:color w:val="000000" w:themeColor="text1"/>
              </w:rPr>
            </w:pPr>
            <w:r w:rsidRPr="003E3ED2">
              <w:rPr>
                <w:color w:val="000000"/>
              </w:rPr>
              <w:t>Fânațele de la Bogdana</w:t>
            </w:r>
          </w:p>
        </w:tc>
      </w:tr>
      <w:tr w:rsidR="003E3ED2" w:rsidRPr="00C56257" w14:paraId="15B379C0" w14:textId="77777777" w:rsidTr="00993B86">
        <w:trPr>
          <w:trHeight w:val="277"/>
        </w:trPr>
        <w:tc>
          <w:tcPr>
            <w:tcW w:w="3410" w:type="dxa"/>
            <w:vMerge w:val="restart"/>
          </w:tcPr>
          <w:p w14:paraId="10EF9778" w14:textId="77777777" w:rsidR="003E3ED2" w:rsidRPr="00C56257" w:rsidRDefault="003E3ED2" w:rsidP="00365F5B">
            <w:pPr>
              <w:pStyle w:val="TableParagraph"/>
              <w:jc w:val="both"/>
              <w:rPr>
                <w:color w:val="000000" w:themeColor="text1"/>
                <w:sz w:val="24"/>
                <w:szCs w:val="24"/>
              </w:rPr>
            </w:pPr>
          </w:p>
          <w:p w14:paraId="52928E31" w14:textId="77777777" w:rsidR="003E3ED2" w:rsidRPr="00C56257" w:rsidRDefault="003E3ED2" w:rsidP="00365F5B">
            <w:pPr>
              <w:pStyle w:val="TableParagraph"/>
              <w:jc w:val="both"/>
              <w:rPr>
                <w:color w:val="000000" w:themeColor="text1"/>
                <w:sz w:val="24"/>
                <w:szCs w:val="24"/>
              </w:rPr>
            </w:pPr>
          </w:p>
          <w:p w14:paraId="5B65BF19" w14:textId="77777777" w:rsidR="003E3ED2" w:rsidRPr="00C56257" w:rsidRDefault="003E3ED2" w:rsidP="00365F5B">
            <w:pPr>
              <w:pStyle w:val="TableParagraph"/>
              <w:jc w:val="both"/>
              <w:rPr>
                <w:color w:val="000000" w:themeColor="text1"/>
                <w:sz w:val="24"/>
                <w:szCs w:val="24"/>
              </w:rPr>
            </w:pPr>
          </w:p>
          <w:p w14:paraId="6960FEFE" w14:textId="77777777" w:rsidR="003E3ED2" w:rsidRPr="00C56257" w:rsidRDefault="003E3ED2" w:rsidP="00365F5B">
            <w:pPr>
              <w:pStyle w:val="TableParagraph"/>
              <w:jc w:val="both"/>
              <w:rPr>
                <w:color w:val="000000" w:themeColor="text1"/>
                <w:sz w:val="24"/>
                <w:szCs w:val="24"/>
              </w:rPr>
            </w:pPr>
          </w:p>
          <w:p w14:paraId="4923391B" w14:textId="77777777" w:rsidR="003E3ED2" w:rsidRPr="00C56257" w:rsidRDefault="003E3ED2" w:rsidP="00365F5B">
            <w:pPr>
              <w:pStyle w:val="TableParagraph"/>
              <w:jc w:val="both"/>
              <w:rPr>
                <w:color w:val="000000" w:themeColor="text1"/>
                <w:sz w:val="24"/>
                <w:szCs w:val="24"/>
              </w:rPr>
            </w:pPr>
          </w:p>
          <w:p w14:paraId="67528AB0" w14:textId="77777777" w:rsidR="003E3ED2" w:rsidRPr="00C56257" w:rsidRDefault="003E3ED2" w:rsidP="00365F5B">
            <w:pPr>
              <w:pStyle w:val="TableParagraph"/>
              <w:jc w:val="both"/>
              <w:rPr>
                <w:color w:val="000000" w:themeColor="text1"/>
                <w:sz w:val="24"/>
                <w:szCs w:val="24"/>
              </w:rPr>
            </w:pPr>
          </w:p>
          <w:p w14:paraId="649F5F85" w14:textId="77777777" w:rsidR="003E3ED2" w:rsidRPr="00C56257" w:rsidRDefault="003E3ED2" w:rsidP="00365F5B">
            <w:pPr>
              <w:pStyle w:val="TableParagraph"/>
              <w:jc w:val="both"/>
              <w:rPr>
                <w:color w:val="000000" w:themeColor="text1"/>
                <w:sz w:val="24"/>
                <w:szCs w:val="24"/>
              </w:rPr>
            </w:pPr>
          </w:p>
          <w:p w14:paraId="51206C7F" w14:textId="77777777" w:rsidR="003E3ED2" w:rsidRPr="00C56257" w:rsidRDefault="003E3ED2" w:rsidP="00365F5B">
            <w:pPr>
              <w:pStyle w:val="TableParagraph"/>
              <w:jc w:val="both"/>
              <w:rPr>
                <w:color w:val="000000" w:themeColor="text1"/>
                <w:sz w:val="24"/>
                <w:szCs w:val="24"/>
              </w:rPr>
            </w:pPr>
          </w:p>
          <w:p w14:paraId="63EF35A7" w14:textId="77777777" w:rsidR="003E3ED2" w:rsidRPr="00C56257" w:rsidRDefault="003E3ED2" w:rsidP="00365F5B">
            <w:pPr>
              <w:pStyle w:val="TableParagraph"/>
              <w:jc w:val="both"/>
              <w:rPr>
                <w:color w:val="000000" w:themeColor="text1"/>
                <w:sz w:val="24"/>
                <w:szCs w:val="24"/>
              </w:rPr>
            </w:pPr>
          </w:p>
          <w:p w14:paraId="6AEA289F" w14:textId="77777777" w:rsidR="003E3ED2" w:rsidRPr="00C56257" w:rsidRDefault="003E3ED2" w:rsidP="00365F5B">
            <w:pPr>
              <w:pStyle w:val="TableParagraph"/>
              <w:jc w:val="both"/>
              <w:rPr>
                <w:color w:val="000000" w:themeColor="text1"/>
                <w:sz w:val="24"/>
                <w:szCs w:val="24"/>
              </w:rPr>
            </w:pPr>
          </w:p>
          <w:p w14:paraId="34255D9D" w14:textId="77777777" w:rsidR="003E3ED2" w:rsidRPr="00C56257" w:rsidRDefault="003E3ED2" w:rsidP="00365F5B">
            <w:pPr>
              <w:pStyle w:val="TableParagraph"/>
              <w:jc w:val="both"/>
              <w:rPr>
                <w:color w:val="000000" w:themeColor="text1"/>
                <w:sz w:val="24"/>
                <w:szCs w:val="24"/>
              </w:rPr>
            </w:pPr>
          </w:p>
          <w:p w14:paraId="188521A3" w14:textId="77777777" w:rsidR="003E3ED2" w:rsidRPr="00C56257" w:rsidRDefault="003E3ED2" w:rsidP="00365F5B">
            <w:pPr>
              <w:pStyle w:val="TableParagraph"/>
              <w:jc w:val="both"/>
              <w:rPr>
                <w:color w:val="000000" w:themeColor="text1"/>
                <w:sz w:val="24"/>
                <w:szCs w:val="24"/>
              </w:rPr>
            </w:pPr>
          </w:p>
          <w:p w14:paraId="46681646" w14:textId="77777777" w:rsidR="003E3ED2" w:rsidRPr="00C56257" w:rsidRDefault="003E3ED2" w:rsidP="00365F5B">
            <w:pPr>
              <w:pStyle w:val="TableParagraph"/>
              <w:spacing w:before="1"/>
              <w:jc w:val="both"/>
              <w:rPr>
                <w:color w:val="000000" w:themeColor="text1"/>
                <w:sz w:val="24"/>
                <w:szCs w:val="24"/>
              </w:rPr>
            </w:pPr>
          </w:p>
          <w:p w14:paraId="222B4DC7" w14:textId="77777777" w:rsidR="003E3ED2" w:rsidRPr="00C56257" w:rsidRDefault="003E3ED2" w:rsidP="00365F5B">
            <w:pPr>
              <w:pStyle w:val="TableParagraph"/>
              <w:ind w:left="108"/>
              <w:jc w:val="both"/>
              <w:rPr>
                <w:i/>
                <w:color w:val="000000" w:themeColor="text1"/>
                <w:sz w:val="24"/>
                <w:szCs w:val="24"/>
              </w:rPr>
            </w:pPr>
            <w:r w:rsidRPr="00C56257">
              <w:rPr>
                <w:color w:val="000000" w:themeColor="text1"/>
                <w:sz w:val="24"/>
                <w:szCs w:val="24"/>
              </w:rPr>
              <w:t>6440</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Pajişti</w:t>
            </w:r>
            <w:r w:rsidRPr="00C56257">
              <w:rPr>
                <w:color w:val="000000" w:themeColor="text1"/>
                <w:spacing w:val="-1"/>
                <w:sz w:val="24"/>
                <w:szCs w:val="24"/>
              </w:rPr>
              <w:t xml:space="preserve"> </w:t>
            </w:r>
            <w:r w:rsidRPr="00C56257">
              <w:rPr>
                <w:color w:val="000000" w:themeColor="text1"/>
                <w:sz w:val="24"/>
                <w:szCs w:val="24"/>
              </w:rPr>
              <w:t xml:space="preserve">aluviale din </w:t>
            </w:r>
            <w:r w:rsidRPr="00C56257">
              <w:rPr>
                <w:i/>
                <w:color w:val="000000" w:themeColor="text1"/>
                <w:sz w:val="24"/>
                <w:szCs w:val="24"/>
              </w:rPr>
              <w:t>Cnidion</w:t>
            </w:r>
            <w:r w:rsidRPr="00C56257">
              <w:rPr>
                <w:i/>
                <w:color w:val="000000" w:themeColor="text1"/>
                <w:spacing w:val="-1"/>
                <w:sz w:val="24"/>
                <w:szCs w:val="24"/>
              </w:rPr>
              <w:t xml:space="preserve"> </w:t>
            </w:r>
            <w:r w:rsidRPr="00C56257">
              <w:rPr>
                <w:i/>
                <w:color w:val="000000" w:themeColor="text1"/>
                <w:sz w:val="24"/>
                <w:szCs w:val="24"/>
              </w:rPr>
              <w:t>dubii</w:t>
            </w:r>
          </w:p>
        </w:tc>
        <w:tc>
          <w:tcPr>
            <w:tcW w:w="2410" w:type="dxa"/>
            <w:vAlign w:val="bottom"/>
          </w:tcPr>
          <w:p w14:paraId="725396AB" w14:textId="77777777" w:rsidR="003E3ED2" w:rsidRPr="003E3ED2" w:rsidRDefault="003E3ED2" w:rsidP="00365F5B">
            <w:pPr>
              <w:pStyle w:val="TableParagraph"/>
              <w:spacing w:line="258" w:lineRule="exact"/>
              <w:ind w:left="93" w:right="87"/>
              <w:jc w:val="both"/>
              <w:rPr>
                <w:color w:val="000000" w:themeColor="text1"/>
              </w:rPr>
            </w:pPr>
            <w:r w:rsidRPr="003E3ED2">
              <w:rPr>
                <w:color w:val="000000"/>
              </w:rPr>
              <w:t>ROSCI0006</w:t>
            </w:r>
          </w:p>
        </w:tc>
        <w:tc>
          <w:tcPr>
            <w:tcW w:w="3885" w:type="dxa"/>
            <w:vAlign w:val="bottom"/>
          </w:tcPr>
          <w:p w14:paraId="0BC813FD" w14:textId="77777777" w:rsidR="003E3ED2" w:rsidRPr="003E3ED2" w:rsidRDefault="003E3ED2" w:rsidP="00365F5B">
            <w:pPr>
              <w:pStyle w:val="TableParagraph"/>
              <w:spacing w:line="258" w:lineRule="exact"/>
              <w:ind w:left="91" w:right="85"/>
              <w:jc w:val="both"/>
              <w:rPr>
                <w:color w:val="000000" w:themeColor="text1"/>
              </w:rPr>
            </w:pPr>
            <w:r w:rsidRPr="003E3ED2">
              <w:rPr>
                <w:color w:val="000000"/>
              </w:rPr>
              <w:t>Balta Mică a Brăilei</w:t>
            </w:r>
          </w:p>
        </w:tc>
      </w:tr>
      <w:tr w:rsidR="003E3ED2" w:rsidRPr="00C56257" w14:paraId="6ACFC246" w14:textId="77777777" w:rsidTr="00993B86">
        <w:trPr>
          <w:trHeight w:val="275"/>
        </w:trPr>
        <w:tc>
          <w:tcPr>
            <w:tcW w:w="3410" w:type="dxa"/>
            <w:vMerge/>
            <w:tcBorders>
              <w:top w:val="nil"/>
            </w:tcBorders>
          </w:tcPr>
          <w:p w14:paraId="21526E01" w14:textId="77777777" w:rsidR="003E3ED2" w:rsidRPr="00C56257" w:rsidRDefault="003E3ED2" w:rsidP="00365F5B">
            <w:pPr>
              <w:jc w:val="both"/>
              <w:rPr>
                <w:color w:val="000000" w:themeColor="text1"/>
              </w:rPr>
            </w:pPr>
          </w:p>
        </w:tc>
        <w:tc>
          <w:tcPr>
            <w:tcW w:w="2410" w:type="dxa"/>
            <w:vAlign w:val="bottom"/>
          </w:tcPr>
          <w:p w14:paraId="7252D921" w14:textId="77777777" w:rsidR="003E3ED2" w:rsidRPr="003E3ED2" w:rsidRDefault="003E3ED2" w:rsidP="00365F5B">
            <w:pPr>
              <w:pStyle w:val="TableParagraph"/>
              <w:ind w:left="93" w:right="87"/>
              <w:jc w:val="both"/>
              <w:rPr>
                <w:color w:val="000000" w:themeColor="text1"/>
              </w:rPr>
            </w:pPr>
            <w:r w:rsidRPr="003E3ED2">
              <w:rPr>
                <w:color w:val="000000"/>
              </w:rPr>
              <w:t>ROSCI0007</w:t>
            </w:r>
          </w:p>
        </w:tc>
        <w:tc>
          <w:tcPr>
            <w:tcW w:w="3885" w:type="dxa"/>
            <w:vAlign w:val="bottom"/>
          </w:tcPr>
          <w:p w14:paraId="6F60ACBD" w14:textId="77777777" w:rsidR="003E3ED2" w:rsidRPr="003E3ED2" w:rsidRDefault="003E3ED2" w:rsidP="00365F5B">
            <w:pPr>
              <w:pStyle w:val="TableParagraph"/>
              <w:ind w:left="91" w:right="82"/>
              <w:jc w:val="both"/>
              <w:rPr>
                <w:color w:val="000000" w:themeColor="text1"/>
              </w:rPr>
            </w:pPr>
            <w:r w:rsidRPr="003E3ED2">
              <w:rPr>
                <w:color w:val="000000"/>
              </w:rPr>
              <w:t>Bazinul Ciucului de Jos</w:t>
            </w:r>
          </w:p>
        </w:tc>
      </w:tr>
      <w:tr w:rsidR="003E3ED2" w:rsidRPr="00C56257" w14:paraId="0A5C803B" w14:textId="77777777" w:rsidTr="00993B86">
        <w:trPr>
          <w:trHeight w:val="276"/>
        </w:trPr>
        <w:tc>
          <w:tcPr>
            <w:tcW w:w="3410" w:type="dxa"/>
            <w:vMerge/>
            <w:tcBorders>
              <w:top w:val="nil"/>
            </w:tcBorders>
          </w:tcPr>
          <w:p w14:paraId="3F5CDBC2" w14:textId="77777777" w:rsidR="003E3ED2" w:rsidRPr="00C56257" w:rsidRDefault="003E3ED2" w:rsidP="00365F5B">
            <w:pPr>
              <w:jc w:val="both"/>
              <w:rPr>
                <w:color w:val="000000" w:themeColor="text1"/>
              </w:rPr>
            </w:pPr>
          </w:p>
        </w:tc>
        <w:tc>
          <w:tcPr>
            <w:tcW w:w="2410" w:type="dxa"/>
            <w:vAlign w:val="bottom"/>
          </w:tcPr>
          <w:p w14:paraId="686783B5" w14:textId="77777777" w:rsidR="003E3ED2" w:rsidRPr="003E3ED2" w:rsidRDefault="003E3ED2" w:rsidP="00365F5B">
            <w:pPr>
              <w:pStyle w:val="TableParagraph"/>
              <w:ind w:left="93" w:right="87"/>
              <w:jc w:val="both"/>
              <w:rPr>
                <w:color w:val="000000" w:themeColor="text1"/>
              </w:rPr>
            </w:pPr>
            <w:r w:rsidRPr="003E3ED2">
              <w:rPr>
                <w:color w:val="000000"/>
              </w:rPr>
              <w:t>ROSCI0012</w:t>
            </w:r>
          </w:p>
        </w:tc>
        <w:tc>
          <w:tcPr>
            <w:tcW w:w="3885" w:type="dxa"/>
            <w:vAlign w:val="bottom"/>
          </w:tcPr>
          <w:p w14:paraId="6634959C" w14:textId="77777777" w:rsidR="003E3ED2" w:rsidRPr="003E3ED2" w:rsidRDefault="003E3ED2" w:rsidP="00365F5B">
            <w:pPr>
              <w:pStyle w:val="TableParagraph"/>
              <w:ind w:left="91" w:right="85"/>
              <w:jc w:val="both"/>
              <w:rPr>
                <w:color w:val="000000" w:themeColor="text1"/>
              </w:rPr>
            </w:pPr>
            <w:r w:rsidRPr="003E3ED2">
              <w:rPr>
                <w:color w:val="000000"/>
              </w:rPr>
              <w:t>Brațul Măcin</w:t>
            </w:r>
          </w:p>
        </w:tc>
      </w:tr>
      <w:tr w:rsidR="003E3ED2" w:rsidRPr="00C56257" w14:paraId="6848F474" w14:textId="77777777" w:rsidTr="00993B86">
        <w:trPr>
          <w:trHeight w:val="275"/>
        </w:trPr>
        <w:tc>
          <w:tcPr>
            <w:tcW w:w="3410" w:type="dxa"/>
            <w:vMerge/>
            <w:tcBorders>
              <w:top w:val="nil"/>
            </w:tcBorders>
          </w:tcPr>
          <w:p w14:paraId="19B002E5" w14:textId="77777777" w:rsidR="003E3ED2" w:rsidRPr="00C56257" w:rsidRDefault="003E3ED2" w:rsidP="00365F5B">
            <w:pPr>
              <w:jc w:val="both"/>
              <w:rPr>
                <w:color w:val="000000" w:themeColor="text1"/>
              </w:rPr>
            </w:pPr>
          </w:p>
        </w:tc>
        <w:tc>
          <w:tcPr>
            <w:tcW w:w="2410" w:type="dxa"/>
            <w:vAlign w:val="bottom"/>
          </w:tcPr>
          <w:p w14:paraId="106BCC28" w14:textId="77777777" w:rsidR="003E3ED2" w:rsidRPr="003E3ED2" w:rsidRDefault="003E3ED2" w:rsidP="00365F5B">
            <w:pPr>
              <w:pStyle w:val="TableParagraph"/>
              <w:ind w:left="93" w:right="87"/>
              <w:jc w:val="both"/>
              <w:rPr>
                <w:color w:val="000000" w:themeColor="text1"/>
              </w:rPr>
            </w:pPr>
            <w:r w:rsidRPr="003E3ED2">
              <w:rPr>
                <w:color w:val="000000"/>
              </w:rPr>
              <w:t>ROSCI0019</w:t>
            </w:r>
          </w:p>
        </w:tc>
        <w:tc>
          <w:tcPr>
            <w:tcW w:w="3885" w:type="dxa"/>
            <w:vAlign w:val="bottom"/>
          </w:tcPr>
          <w:p w14:paraId="1283E084" w14:textId="77777777" w:rsidR="003E3ED2" w:rsidRPr="003E3ED2" w:rsidRDefault="003E3ED2" w:rsidP="00365F5B">
            <w:pPr>
              <w:pStyle w:val="TableParagraph"/>
              <w:ind w:left="91" w:right="85"/>
              <w:jc w:val="both"/>
              <w:rPr>
                <w:color w:val="000000" w:themeColor="text1"/>
              </w:rPr>
            </w:pPr>
            <w:r w:rsidRPr="003E3ED2">
              <w:rPr>
                <w:color w:val="000000"/>
              </w:rPr>
              <w:t>Călimani - Gurghiu</w:t>
            </w:r>
          </w:p>
        </w:tc>
      </w:tr>
      <w:tr w:rsidR="003E3ED2" w:rsidRPr="00C56257" w14:paraId="2EB1B2C0" w14:textId="77777777" w:rsidTr="00993B86">
        <w:trPr>
          <w:trHeight w:val="275"/>
        </w:trPr>
        <w:tc>
          <w:tcPr>
            <w:tcW w:w="3410" w:type="dxa"/>
            <w:vMerge/>
            <w:tcBorders>
              <w:top w:val="nil"/>
            </w:tcBorders>
          </w:tcPr>
          <w:p w14:paraId="51D6F170" w14:textId="77777777" w:rsidR="003E3ED2" w:rsidRPr="00C56257" w:rsidRDefault="003E3ED2" w:rsidP="00365F5B">
            <w:pPr>
              <w:jc w:val="both"/>
              <w:rPr>
                <w:color w:val="000000" w:themeColor="text1"/>
              </w:rPr>
            </w:pPr>
          </w:p>
        </w:tc>
        <w:tc>
          <w:tcPr>
            <w:tcW w:w="2410" w:type="dxa"/>
            <w:vAlign w:val="bottom"/>
          </w:tcPr>
          <w:p w14:paraId="3DF933B9" w14:textId="77777777" w:rsidR="003E3ED2" w:rsidRPr="003E3ED2" w:rsidRDefault="003E3ED2" w:rsidP="00365F5B">
            <w:pPr>
              <w:pStyle w:val="TableParagraph"/>
              <w:ind w:left="93" w:right="87"/>
              <w:jc w:val="both"/>
              <w:rPr>
                <w:color w:val="000000" w:themeColor="text1"/>
              </w:rPr>
            </w:pPr>
            <w:r w:rsidRPr="003E3ED2">
              <w:rPr>
                <w:color w:val="000000"/>
              </w:rPr>
              <w:t>ROSCI0020</w:t>
            </w:r>
          </w:p>
        </w:tc>
        <w:tc>
          <w:tcPr>
            <w:tcW w:w="3885" w:type="dxa"/>
            <w:vAlign w:val="bottom"/>
          </w:tcPr>
          <w:p w14:paraId="1C42187A" w14:textId="77777777" w:rsidR="003E3ED2" w:rsidRPr="003E3ED2" w:rsidRDefault="003E3ED2" w:rsidP="00365F5B">
            <w:pPr>
              <w:pStyle w:val="TableParagraph"/>
              <w:ind w:left="89" w:right="85"/>
              <w:jc w:val="both"/>
              <w:rPr>
                <w:color w:val="000000" w:themeColor="text1"/>
              </w:rPr>
            </w:pPr>
            <w:r w:rsidRPr="003E3ED2">
              <w:rPr>
                <w:color w:val="000000"/>
              </w:rPr>
              <w:t>Câmpia Careiului</w:t>
            </w:r>
          </w:p>
        </w:tc>
      </w:tr>
      <w:tr w:rsidR="003E3ED2" w:rsidRPr="00C56257" w14:paraId="617644F3" w14:textId="77777777" w:rsidTr="00993B86">
        <w:trPr>
          <w:trHeight w:val="275"/>
        </w:trPr>
        <w:tc>
          <w:tcPr>
            <w:tcW w:w="3410" w:type="dxa"/>
            <w:vMerge/>
            <w:tcBorders>
              <w:top w:val="nil"/>
            </w:tcBorders>
          </w:tcPr>
          <w:p w14:paraId="72232C97" w14:textId="77777777" w:rsidR="003E3ED2" w:rsidRPr="00C56257" w:rsidRDefault="003E3ED2" w:rsidP="00365F5B">
            <w:pPr>
              <w:jc w:val="both"/>
              <w:rPr>
                <w:color w:val="000000" w:themeColor="text1"/>
              </w:rPr>
            </w:pPr>
          </w:p>
        </w:tc>
        <w:tc>
          <w:tcPr>
            <w:tcW w:w="2410" w:type="dxa"/>
            <w:vAlign w:val="bottom"/>
          </w:tcPr>
          <w:p w14:paraId="4A728993" w14:textId="77777777" w:rsidR="003E3ED2" w:rsidRPr="003E3ED2" w:rsidRDefault="003E3ED2" w:rsidP="00365F5B">
            <w:pPr>
              <w:pStyle w:val="TableParagraph"/>
              <w:ind w:left="93" w:right="87"/>
              <w:jc w:val="both"/>
              <w:rPr>
                <w:color w:val="000000" w:themeColor="text1"/>
              </w:rPr>
            </w:pPr>
            <w:r w:rsidRPr="003E3ED2">
              <w:rPr>
                <w:color w:val="000000"/>
              </w:rPr>
              <w:t>ROSCI0022</w:t>
            </w:r>
          </w:p>
        </w:tc>
        <w:tc>
          <w:tcPr>
            <w:tcW w:w="3885" w:type="dxa"/>
            <w:vAlign w:val="bottom"/>
          </w:tcPr>
          <w:p w14:paraId="2714BBD3" w14:textId="77777777" w:rsidR="003E3ED2" w:rsidRPr="003E3ED2" w:rsidRDefault="003E3ED2" w:rsidP="00365F5B">
            <w:pPr>
              <w:pStyle w:val="TableParagraph"/>
              <w:ind w:left="91" w:right="82"/>
              <w:jc w:val="both"/>
              <w:rPr>
                <w:color w:val="000000" w:themeColor="text1"/>
              </w:rPr>
            </w:pPr>
            <w:r w:rsidRPr="003E3ED2">
              <w:rPr>
                <w:color w:val="000000"/>
              </w:rPr>
              <w:t>Canaralele Dunării</w:t>
            </w:r>
          </w:p>
        </w:tc>
      </w:tr>
      <w:tr w:rsidR="003E3ED2" w:rsidRPr="00C56257" w14:paraId="64BEA975" w14:textId="77777777" w:rsidTr="00993B86">
        <w:trPr>
          <w:trHeight w:val="278"/>
        </w:trPr>
        <w:tc>
          <w:tcPr>
            <w:tcW w:w="3410" w:type="dxa"/>
            <w:vMerge/>
            <w:tcBorders>
              <w:top w:val="nil"/>
            </w:tcBorders>
          </w:tcPr>
          <w:p w14:paraId="113FFA11" w14:textId="77777777" w:rsidR="003E3ED2" w:rsidRPr="00C56257" w:rsidRDefault="003E3ED2" w:rsidP="00365F5B">
            <w:pPr>
              <w:jc w:val="both"/>
              <w:rPr>
                <w:color w:val="000000" w:themeColor="text1"/>
              </w:rPr>
            </w:pPr>
          </w:p>
        </w:tc>
        <w:tc>
          <w:tcPr>
            <w:tcW w:w="2410" w:type="dxa"/>
            <w:vAlign w:val="bottom"/>
          </w:tcPr>
          <w:p w14:paraId="5E692535" w14:textId="77777777" w:rsidR="003E3ED2" w:rsidRPr="003E3ED2" w:rsidRDefault="003E3ED2" w:rsidP="00365F5B">
            <w:pPr>
              <w:pStyle w:val="TableParagraph"/>
              <w:spacing w:line="258" w:lineRule="exact"/>
              <w:ind w:left="93" w:right="87"/>
              <w:jc w:val="both"/>
              <w:rPr>
                <w:color w:val="000000" w:themeColor="text1"/>
              </w:rPr>
            </w:pPr>
            <w:r w:rsidRPr="003E3ED2">
              <w:rPr>
                <w:color w:val="000000"/>
              </w:rPr>
              <w:t>ROSCI0027</w:t>
            </w:r>
          </w:p>
        </w:tc>
        <w:tc>
          <w:tcPr>
            <w:tcW w:w="3885" w:type="dxa"/>
            <w:vAlign w:val="bottom"/>
          </w:tcPr>
          <w:p w14:paraId="02C54397" w14:textId="77777777" w:rsidR="003E3ED2" w:rsidRPr="003E3ED2" w:rsidRDefault="003E3ED2" w:rsidP="00365F5B">
            <w:pPr>
              <w:pStyle w:val="TableParagraph"/>
              <w:spacing w:line="258" w:lineRule="exact"/>
              <w:ind w:left="91" w:right="82"/>
              <w:jc w:val="both"/>
              <w:rPr>
                <w:color w:val="000000" w:themeColor="text1"/>
              </w:rPr>
            </w:pPr>
            <w:r w:rsidRPr="003E3ED2">
              <w:rPr>
                <w:color w:val="000000"/>
              </w:rPr>
              <w:t>Cheile Bicazului - Hășmaș</w:t>
            </w:r>
          </w:p>
        </w:tc>
      </w:tr>
      <w:tr w:rsidR="003E3ED2" w:rsidRPr="00C56257" w14:paraId="3CC961D7" w14:textId="77777777" w:rsidTr="00993B86">
        <w:trPr>
          <w:trHeight w:val="275"/>
        </w:trPr>
        <w:tc>
          <w:tcPr>
            <w:tcW w:w="3410" w:type="dxa"/>
            <w:vMerge/>
            <w:tcBorders>
              <w:top w:val="nil"/>
            </w:tcBorders>
          </w:tcPr>
          <w:p w14:paraId="0177D0CA" w14:textId="77777777" w:rsidR="003E3ED2" w:rsidRPr="00C56257" w:rsidRDefault="003E3ED2" w:rsidP="00365F5B">
            <w:pPr>
              <w:jc w:val="both"/>
              <w:rPr>
                <w:color w:val="000000" w:themeColor="text1"/>
              </w:rPr>
            </w:pPr>
          </w:p>
        </w:tc>
        <w:tc>
          <w:tcPr>
            <w:tcW w:w="2410" w:type="dxa"/>
            <w:vAlign w:val="bottom"/>
          </w:tcPr>
          <w:p w14:paraId="6C919359" w14:textId="77777777" w:rsidR="003E3ED2" w:rsidRPr="003E3ED2" w:rsidRDefault="00807DA8" w:rsidP="00365F5B">
            <w:pPr>
              <w:pStyle w:val="TableParagraph"/>
              <w:ind w:left="93" w:right="87"/>
              <w:jc w:val="both"/>
              <w:rPr>
                <w:color w:val="000000" w:themeColor="text1"/>
              </w:rPr>
            </w:pPr>
            <w:r>
              <w:rPr>
                <w:color w:val="000000"/>
              </w:rPr>
              <w:t>ROSAC</w:t>
            </w:r>
            <w:r w:rsidR="003E3ED2" w:rsidRPr="003E3ED2">
              <w:rPr>
                <w:color w:val="000000"/>
              </w:rPr>
              <w:t>0039</w:t>
            </w:r>
          </w:p>
        </w:tc>
        <w:tc>
          <w:tcPr>
            <w:tcW w:w="3885" w:type="dxa"/>
            <w:vAlign w:val="bottom"/>
          </w:tcPr>
          <w:p w14:paraId="27CE9F7E" w14:textId="77777777" w:rsidR="003E3ED2" w:rsidRPr="003E3ED2" w:rsidRDefault="003E3ED2" w:rsidP="00365F5B">
            <w:pPr>
              <w:pStyle w:val="TableParagraph"/>
              <w:ind w:left="91" w:right="84"/>
              <w:jc w:val="both"/>
              <w:rPr>
                <w:color w:val="000000" w:themeColor="text1"/>
              </w:rPr>
            </w:pPr>
            <w:r w:rsidRPr="003E3ED2">
              <w:rPr>
                <w:color w:val="000000"/>
              </w:rPr>
              <w:t>Ciuperceni - Desa</w:t>
            </w:r>
          </w:p>
        </w:tc>
      </w:tr>
      <w:tr w:rsidR="003E3ED2" w:rsidRPr="00C56257" w14:paraId="3BA2CA2E" w14:textId="77777777" w:rsidTr="00993B86">
        <w:trPr>
          <w:trHeight w:val="275"/>
        </w:trPr>
        <w:tc>
          <w:tcPr>
            <w:tcW w:w="3410" w:type="dxa"/>
            <w:vMerge/>
            <w:tcBorders>
              <w:top w:val="nil"/>
            </w:tcBorders>
          </w:tcPr>
          <w:p w14:paraId="14BB505F" w14:textId="77777777" w:rsidR="003E3ED2" w:rsidRPr="00C56257" w:rsidRDefault="003E3ED2" w:rsidP="00365F5B">
            <w:pPr>
              <w:jc w:val="both"/>
              <w:rPr>
                <w:color w:val="000000" w:themeColor="text1"/>
              </w:rPr>
            </w:pPr>
          </w:p>
        </w:tc>
        <w:tc>
          <w:tcPr>
            <w:tcW w:w="2410" w:type="dxa"/>
            <w:vAlign w:val="bottom"/>
          </w:tcPr>
          <w:p w14:paraId="71070920" w14:textId="77777777" w:rsidR="003E3ED2" w:rsidRPr="003E3ED2" w:rsidRDefault="003E3ED2" w:rsidP="00365F5B">
            <w:pPr>
              <w:pStyle w:val="TableParagraph"/>
              <w:ind w:left="93" w:right="87"/>
              <w:jc w:val="both"/>
              <w:rPr>
                <w:color w:val="000000" w:themeColor="text1"/>
              </w:rPr>
            </w:pPr>
            <w:r w:rsidRPr="003E3ED2">
              <w:rPr>
                <w:color w:val="000000"/>
              </w:rPr>
              <w:t>ROSCI0044</w:t>
            </w:r>
          </w:p>
        </w:tc>
        <w:tc>
          <w:tcPr>
            <w:tcW w:w="3885" w:type="dxa"/>
            <w:vAlign w:val="bottom"/>
          </w:tcPr>
          <w:p w14:paraId="35F60ECE" w14:textId="77777777" w:rsidR="003E3ED2" w:rsidRPr="003E3ED2" w:rsidRDefault="003E3ED2" w:rsidP="00365F5B">
            <w:pPr>
              <w:pStyle w:val="TableParagraph"/>
              <w:ind w:left="91" w:right="85"/>
              <w:jc w:val="both"/>
              <w:rPr>
                <w:color w:val="000000" w:themeColor="text1"/>
              </w:rPr>
            </w:pPr>
            <w:r w:rsidRPr="003E3ED2">
              <w:rPr>
                <w:color w:val="000000"/>
              </w:rPr>
              <w:t>Corabia - Turnu Măgurele</w:t>
            </w:r>
          </w:p>
        </w:tc>
      </w:tr>
      <w:tr w:rsidR="003E3ED2" w:rsidRPr="00C56257" w14:paraId="27D70AAB" w14:textId="77777777" w:rsidTr="00993B86">
        <w:trPr>
          <w:trHeight w:val="275"/>
        </w:trPr>
        <w:tc>
          <w:tcPr>
            <w:tcW w:w="3410" w:type="dxa"/>
            <w:vMerge/>
            <w:tcBorders>
              <w:top w:val="nil"/>
            </w:tcBorders>
          </w:tcPr>
          <w:p w14:paraId="6F331C47" w14:textId="77777777" w:rsidR="003E3ED2" w:rsidRPr="00C56257" w:rsidRDefault="003E3ED2" w:rsidP="00365F5B">
            <w:pPr>
              <w:jc w:val="both"/>
              <w:rPr>
                <w:color w:val="000000" w:themeColor="text1"/>
              </w:rPr>
            </w:pPr>
          </w:p>
        </w:tc>
        <w:tc>
          <w:tcPr>
            <w:tcW w:w="2410" w:type="dxa"/>
            <w:vAlign w:val="bottom"/>
          </w:tcPr>
          <w:p w14:paraId="16D0BA45" w14:textId="77777777" w:rsidR="003E3ED2" w:rsidRPr="003E3ED2" w:rsidRDefault="003E3ED2" w:rsidP="00807DA8">
            <w:pPr>
              <w:pStyle w:val="TableParagraph"/>
              <w:ind w:left="93" w:right="87"/>
              <w:jc w:val="both"/>
              <w:rPr>
                <w:color w:val="000000" w:themeColor="text1"/>
              </w:rPr>
            </w:pPr>
            <w:r w:rsidRPr="003E3ED2">
              <w:rPr>
                <w:color w:val="000000"/>
              </w:rPr>
              <w:t>ROS</w:t>
            </w:r>
            <w:r w:rsidR="00807DA8">
              <w:rPr>
                <w:color w:val="000000"/>
              </w:rPr>
              <w:t>AC</w:t>
            </w:r>
            <w:r w:rsidRPr="003E3ED2">
              <w:rPr>
                <w:color w:val="000000"/>
              </w:rPr>
              <w:t>0045</w:t>
            </w:r>
          </w:p>
        </w:tc>
        <w:tc>
          <w:tcPr>
            <w:tcW w:w="3885" w:type="dxa"/>
            <w:vAlign w:val="bottom"/>
          </w:tcPr>
          <w:p w14:paraId="6086A0E3" w14:textId="77777777" w:rsidR="003E3ED2" w:rsidRPr="003E3ED2" w:rsidRDefault="003E3ED2" w:rsidP="00365F5B">
            <w:pPr>
              <w:pStyle w:val="TableParagraph"/>
              <w:ind w:left="91" w:right="84"/>
              <w:jc w:val="both"/>
              <w:rPr>
                <w:color w:val="000000" w:themeColor="text1"/>
              </w:rPr>
            </w:pPr>
            <w:r w:rsidRPr="003E3ED2">
              <w:rPr>
                <w:color w:val="000000"/>
              </w:rPr>
              <w:t>Coridorul Jiului</w:t>
            </w:r>
          </w:p>
        </w:tc>
      </w:tr>
      <w:tr w:rsidR="003E3ED2" w:rsidRPr="00C56257" w14:paraId="2D9BDE01" w14:textId="77777777" w:rsidTr="00993B86">
        <w:trPr>
          <w:trHeight w:val="275"/>
        </w:trPr>
        <w:tc>
          <w:tcPr>
            <w:tcW w:w="3410" w:type="dxa"/>
            <w:vMerge/>
            <w:tcBorders>
              <w:top w:val="nil"/>
            </w:tcBorders>
          </w:tcPr>
          <w:p w14:paraId="7FC112AA" w14:textId="77777777" w:rsidR="003E3ED2" w:rsidRPr="00C56257" w:rsidRDefault="003E3ED2" w:rsidP="00365F5B">
            <w:pPr>
              <w:jc w:val="both"/>
              <w:rPr>
                <w:color w:val="000000" w:themeColor="text1"/>
              </w:rPr>
            </w:pPr>
          </w:p>
        </w:tc>
        <w:tc>
          <w:tcPr>
            <w:tcW w:w="2410" w:type="dxa"/>
            <w:vAlign w:val="bottom"/>
          </w:tcPr>
          <w:p w14:paraId="2CF60E14" w14:textId="77777777" w:rsidR="003E3ED2" w:rsidRPr="003E3ED2" w:rsidRDefault="003E3ED2" w:rsidP="00807DA8">
            <w:pPr>
              <w:pStyle w:val="TableParagraph"/>
              <w:ind w:left="93" w:right="87"/>
              <w:jc w:val="both"/>
              <w:rPr>
                <w:color w:val="000000" w:themeColor="text1"/>
              </w:rPr>
            </w:pPr>
            <w:r w:rsidRPr="003E3ED2">
              <w:rPr>
                <w:color w:val="000000"/>
              </w:rPr>
              <w:t>ROS</w:t>
            </w:r>
            <w:r w:rsidR="00807DA8">
              <w:rPr>
                <w:color w:val="000000"/>
              </w:rPr>
              <w:t>AC</w:t>
            </w:r>
            <w:r w:rsidRPr="003E3ED2">
              <w:rPr>
                <w:color w:val="000000"/>
              </w:rPr>
              <w:t>0048</w:t>
            </w:r>
          </w:p>
        </w:tc>
        <w:tc>
          <w:tcPr>
            <w:tcW w:w="3885" w:type="dxa"/>
            <w:vAlign w:val="bottom"/>
          </w:tcPr>
          <w:p w14:paraId="7686D4BA" w14:textId="77777777" w:rsidR="003E3ED2" w:rsidRPr="003E3ED2" w:rsidRDefault="003E3ED2" w:rsidP="00365F5B">
            <w:pPr>
              <w:pStyle w:val="TableParagraph"/>
              <w:ind w:left="91" w:right="79"/>
              <w:jc w:val="both"/>
              <w:rPr>
                <w:color w:val="000000" w:themeColor="text1"/>
              </w:rPr>
            </w:pPr>
            <w:r w:rsidRPr="003E3ED2">
              <w:rPr>
                <w:color w:val="000000"/>
              </w:rPr>
              <w:t>Crișul Alb</w:t>
            </w:r>
          </w:p>
        </w:tc>
      </w:tr>
      <w:tr w:rsidR="003E3ED2" w:rsidRPr="00C56257" w14:paraId="0935C658" w14:textId="77777777" w:rsidTr="00993B86">
        <w:trPr>
          <w:trHeight w:val="275"/>
        </w:trPr>
        <w:tc>
          <w:tcPr>
            <w:tcW w:w="3410" w:type="dxa"/>
            <w:vMerge/>
            <w:tcBorders>
              <w:top w:val="nil"/>
            </w:tcBorders>
          </w:tcPr>
          <w:p w14:paraId="4FA09EB5" w14:textId="77777777" w:rsidR="003E3ED2" w:rsidRPr="00C56257" w:rsidRDefault="003E3ED2" w:rsidP="00365F5B">
            <w:pPr>
              <w:jc w:val="both"/>
              <w:rPr>
                <w:color w:val="000000" w:themeColor="text1"/>
              </w:rPr>
            </w:pPr>
          </w:p>
        </w:tc>
        <w:tc>
          <w:tcPr>
            <w:tcW w:w="2410" w:type="dxa"/>
            <w:vAlign w:val="bottom"/>
          </w:tcPr>
          <w:p w14:paraId="5FF5777E" w14:textId="77777777" w:rsidR="003E3ED2" w:rsidRPr="003E3ED2" w:rsidRDefault="003E3ED2" w:rsidP="00365F5B">
            <w:pPr>
              <w:pStyle w:val="TableParagraph"/>
              <w:ind w:left="93" w:right="87"/>
              <w:jc w:val="both"/>
              <w:rPr>
                <w:color w:val="000000" w:themeColor="text1"/>
              </w:rPr>
            </w:pPr>
            <w:r w:rsidRPr="003E3ED2">
              <w:rPr>
                <w:color w:val="000000"/>
              </w:rPr>
              <w:t>ROSCI0065</w:t>
            </w:r>
          </w:p>
        </w:tc>
        <w:tc>
          <w:tcPr>
            <w:tcW w:w="3885" w:type="dxa"/>
            <w:vAlign w:val="bottom"/>
          </w:tcPr>
          <w:p w14:paraId="66F612A2" w14:textId="77777777" w:rsidR="003E3ED2" w:rsidRPr="003E3ED2" w:rsidRDefault="003E3ED2" w:rsidP="00365F5B">
            <w:pPr>
              <w:pStyle w:val="TableParagraph"/>
              <w:ind w:left="91" w:right="85"/>
              <w:jc w:val="both"/>
              <w:rPr>
                <w:color w:val="000000" w:themeColor="text1"/>
              </w:rPr>
            </w:pPr>
            <w:r w:rsidRPr="003E3ED2">
              <w:rPr>
                <w:color w:val="000000"/>
              </w:rPr>
              <w:t>Delta Dunării</w:t>
            </w:r>
          </w:p>
        </w:tc>
      </w:tr>
      <w:tr w:rsidR="003E3ED2" w:rsidRPr="00C56257" w14:paraId="114E0F2E" w14:textId="77777777" w:rsidTr="00993B86">
        <w:trPr>
          <w:trHeight w:val="275"/>
        </w:trPr>
        <w:tc>
          <w:tcPr>
            <w:tcW w:w="3410" w:type="dxa"/>
            <w:vMerge/>
            <w:tcBorders>
              <w:top w:val="nil"/>
            </w:tcBorders>
          </w:tcPr>
          <w:p w14:paraId="6F06CA40" w14:textId="77777777" w:rsidR="003E3ED2" w:rsidRPr="00C56257" w:rsidRDefault="003E3ED2" w:rsidP="00365F5B">
            <w:pPr>
              <w:jc w:val="both"/>
              <w:rPr>
                <w:color w:val="000000" w:themeColor="text1"/>
              </w:rPr>
            </w:pPr>
          </w:p>
        </w:tc>
        <w:tc>
          <w:tcPr>
            <w:tcW w:w="2410" w:type="dxa"/>
            <w:vAlign w:val="bottom"/>
          </w:tcPr>
          <w:p w14:paraId="7289E080" w14:textId="77777777" w:rsidR="003E3ED2" w:rsidRPr="003E3ED2" w:rsidRDefault="000521DB" w:rsidP="00365F5B">
            <w:pPr>
              <w:pStyle w:val="TableParagraph"/>
              <w:ind w:left="94" w:right="87"/>
              <w:jc w:val="both"/>
              <w:rPr>
                <w:color w:val="000000" w:themeColor="text1"/>
              </w:rPr>
            </w:pPr>
            <w:r>
              <w:rPr>
                <w:color w:val="000000"/>
              </w:rPr>
              <w:t>ROSAC0069</w:t>
            </w:r>
          </w:p>
        </w:tc>
        <w:tc>
          <w:tcPr>
            <w:tcW w:w="3885" w:type="dxa"/>
            <w:vAlign w:val="bottom"/>
          </w:tcPr>
          <w:p w14:paraId="2E767407" w14:textId="77777777" w:rsidR="003E3ED2" w:rsidRPr="003E3ED2" w:rsidRDefault="003E3ED2" w:rsidP="00365F5B">
            <w:pPr>
              <w:pStyle w:val="TableParagraph"/>
              <w:ind w:left="90" w:right="85"/>
              <w:jc w:val="both"/>
              <w:rPr>
                <w:color w:val="000000" w:themeColor="text1"/>
              </w:rPr>
            </w:pPr>
            <w:r w:rsidRPr="003E3ED2">
              <w:rPr>
                <w:color w:val="000000"/>
              </w:rPr>
              <w:t>Domogled - Valea Cernei</w:t>
            </w:r>
          </w:p>
        </w:tc>
      </w:tr>
      <w:tr w:rsidR="003E3ED2" w:rsidRPr="00C56257" w14:paraId="7CB0EE30" w14:textId="77777777" w:rsidTr="00993B86">
        <w:trPr>
          <w:trHeight w:val="278"/>
        </w:trPr>
        <w:tc>
          <w:tcPr>
            <w:tcW w:w="3410" w:type="dxa"/>
            <w:vMerge/>
            <w:tcBorders>
              <w:top w:val="nil"/>
            </w:tcBorders>
          </w:tcPr>
          <w:p w14:paraId="7AA91AFE" w14:textId="77777777" w:rsidR="003E3ED2" w:rsidRPr="00C56257" w:rsidRDefault="003E3ED2" w:rsidP="00365F5B">
            <w:pPr>
              <w:jc w:val="both"/>
              <w:rPr>
                <w:color w:val="000000" w:themeColor="text1"/>
              </w:rPr>
            </w:pPr>
          </w:p>
        </w:tc>
        <w:tc>
          <w:tcPr>
            <w:tcW w:w="2410" w:type="dxa"/>
            <w:vAlign w:val="bottom"/>
          </w:tcPr>
          <w:p w14:paraId="447D86D2" w14:textId="77777777" w:rsidR="003E3ED2" w:rsidRPr="003E3ED2" w:rsidRDefault="003E3ED2" w:rsidP="00807DA8">
            <w:pPr>
              <w:pStyle w:val="TableParagraph"/>
              <w:spacing w:line="258" w:lineRule="exact"/>
              <w:ind w:left="93" w:right="87"/>
              <w:jc w:val="both"/>
              <w:rPr>
                <w:color w:val="000000" w:themeColor="text1"/>
              </w:rPr>
            </w:pPr>
            <w:r w:rsidRPr="003E3ED2">
              <w:rPr>
                <w:color w:val="000000"/>
              </w:rPr>
              <w:t>ROS</w:t>
            </w:r>
            <w:r w:rsidR="00807DA8">
              <w:rPr>
                <w:color w:val="000000"/>
              </w:rPr>
              <w:t>AC</w:t>
            </w:r>
            <w:r w:rsidRPr="003E3ED2">
              <w:rPr>
                <w:color w:val="000000"/>
              </w:rPr>
              <w:t>0093</w:t>
            </w:r>
          </w:p>
        </w:tc>
        <w:tc>
          <w:tcPr>
            <w:tcW w:w="3885" w:type="dxa"/>
            <w:vAlign w:val="bottom"/>
          </w:tcPr>
          <w:p w14:paraId="1EAA0C92" w14:textId="77777777" w:rsidR="003E3ED2" w:rsidRPr="003E3ED2" w:rsidRDefault="003E3ED2" w:rsidP="00365F5B">
            <w:pPr>
              <w:pStyle w:val="TableParagraph"/>
              <w:spacing w:line="258" w:lineRule="exact"/>
              <w:ind w:left="91" w:right="84"/>
              <w:jc w:val="both"/>
              <w:rPr>
                <w:color w:val="000000" w:themeColor="text1"/>
              </w:rPr>
            </w:pPr>
            <w:r w:rsidRPr="003E3ED2">
              <w:rPr>
                <w:color w:val="000000"/>
              </w:rPr>
              <w:t>Insulele Stepice Șura Mică - Slimnic</w:t>
            </w:r>
          </w:p>
        </w:tc>
      </w:tr>
      <w:tr w:rsidR="003E3ED2" w:rsidRPr="00C56257" w14:paraId="70DA1BEA" w14:textId="77777777" w:rsidTr="00993B86">
        <w:trPr>
          <w:trHeight w:val="275"/>
        </w:trPr>
        <w:tc>
          <w:tcPr>
            <w:tcW w:w="3410" w:type="dxa"/>
            <w:vMerge/>
            <w:tcBorders>
              <w:top w:val="nil"/>
            </w:tcBorders>
          </w:tcPr>
          <w:p w14:paraId="2AAEADA3" w14:textId="77777777" w:rsidR="003E3ED2" w:rsidRPr="00C56257" w:rsidRDefault="003E3ED2" w:rsidP="00365F5B">
            <w:pPr>
              <w:jc w:val="both"/>
              <w:rPr>
                <w:color w:val="000000" w:themeColor="text1"/>
              </w:rPr>
            </w:pPr>
          </w:p>
        </w:tc>
        <w:tc>
          <w:tcPr>
            <w:tcW w:w="2410" w:type="dxa"/>
            <w:vAlign w:val="bottom"/>
          </w:tcPr>
          <w:p w14:paraId="0A4805FC" w14:textId="77777777" w:rsidR="003E3ED2" w:rsidRPr="003E3ED2" w:rsidRDefault="003E3ED2" w:rsidP="00365F5B">
            <w:pPr>
              <w:pStyle w:val="TableParagraph"/>
              <w:ind w:left="93" w:right="87"/>
              <w:jc w:val="both"/>
              <w:rPr>
                <w:color w:val="000000" w:themeColor="text1"/>
              </w:rPr>
            </w:pPr>
            <w:r w:rsidRPr="003E3ED2">
              <w:rPr>
                <w:color w:val="000000"/>
              </w:rPr>
              <w:t>ROSCI0109</w:t>
            </w:r>
          </w:p>
        </w:tc>
        <w:tc>
          <w:tcPr>
            <w:tcW w:w="3885" w:type="dxa"/>
            <w:vAlign w:val="bottom"/>
          </w:tcPr>
          <w:p w14:paraId="081A37C4" w14:textId="77777777" w:rsidR="003E3ED2" w:rsidRPr="003E3ED2" w:rsidRDefault="003E3ED2" w:rsidP="00365F5B">
            <w:pPr>
              <w:pStyle w:val="TableParagraph"/>
              <w:ind w:left="91" w:right="85"/>
              <w:jc w:val="both"/>
              <w:rPr>
                <w:color w:val="000000" w:themeColor="text1"/>
              </w:rPr>
            </w:pPr>
            <w:r w:rsidRPr="003E3ED2">
              <w:rPr>
                <w:color w:val="000000"/>
              </w:rPr>
              <w:t>Lunca Timișului</w:t>
            </w:r>
          </w:p>
        </w:tc>
      </w:tr>
      <w:tr w:rsidR="003E3ED2" w:rsidRPr="00C56257" w14:paraId="45FD33BB" w14:textId="77777777" w:rsidTr="00993B86">
        <w:trPr>
          <w:trHeight w:val="275"/>
        </w:trPr>
        <w:tc>
          <w:tcPr>
            <w:tcW w:w="3410" w:type="dxa"/>
            <w:vMerge/>
            <w:tcBorders>
              <w:top w:val="nil"/>
            </w:tcBorders>
          </w:tcPr>
          <w:p w14:paraId="7A6DC54F" w14:textId="77777777" w:rsidR="003E3ED2" w:rsidRPr="00C56257" w:rsidRDefault="003E3ED2" w:rsidP="00365F5B">
            <w:pPr>
              <w:jc w:val="both"/>
              <w:rPr>
                <w:color w:val="000000" w:themeColor="text1"/>
              </w:rPr>
            </w:pPr>
          </w:p>
        </w:tc>
        <w:tc>
          <w:tcPr>
            <w:tcW w:w="2410" w:type="dxa"/>
            <w:vAlign w:val="bottom"/>
          </w:tcPr>
          <w:p w14:paraId="603757B7" w14:textId="77777777" w:rsidR="003E3ED2" w:rsidRPr="003E3ED2" w:rsidRDefault="003E3ED2" w:rsidP="00807DA8">
            <w:pPr>
              <w:pStyle w:val="TableParagraph"/>
              <w:ind w:left="93" w:right="87"/>
              <w:jc w:val="both"/>
              <w:rPr>
                <w:color w:val="000000" w:themeColor="text1"/>
              </w:rPr>
            </w:pPr>
            <w:r w:rsidRPr="003E3ED2">
              <w:rPr>
                <w:color w:val="000000"/>
              </w:rPr>
              <w:t>ROS</w:t>
            </w:r>
            <w:r w:rsidR="00807DA8">
              <w:rPr>
                <w:color w:val="000000"/>
              </w:rPr>
              <w:t>AC</w:t>
            </w:r>
            <w:r w:rsidRPr="003E3ED2">
              <w:rPr>
                <w:color w:val="000000"/>
              </w:rPr>
              <w:t>0111</w:t>
            </w:r>
          </w:p>
        </w:tc>
        <w:tc>
          <w:tcPr>
            <w:tcW w:w="3885" w:type="dxa"/>
            <w:vAlign w:val="bottom"/>
          </w:tcPr>
          <w:p w14:paraId="462CF699" w14:textId="77777777" w:rsidR="003E3ED2" w:rsidRPr="003E3ED2" w:rsidRDefault="003E3ED2" w:rsidP="00365F5B">
            <w:pPr>
              <w:pStyle w:val="TableParagraph"/>
              <w:ind w:left="91" w:right="79"/>
              <w:jc w:val="both"/>
              <w:rPr>
                <w:color w:val="000000" w:themeColor="text1"/>
              </w:rPr>
            </w:pPr>
            <w:r w:rsidRPr="003E3ED2">
              <w:rPr>
                <w:color w:val="000000"/>
              </w:rPr>
              <w:t>Mestecănișul de la Reci</w:t>
            </w:r>
          </w:p>
        </w:tc>
      </w:tr>
      <w:tr w:rsidR="003E3ED2" w:rsidRPr="00C56257" w14:paraId="138EFF6D" w14:textId="77777777" w:rsidTr="00993B86">
        <w:trPr>
          <w:trHeight w:val="275"/>
        </w:trPr>
        <w:tc>
          <w:tcPr>
            <w:tcW w:w="3410" w:type="dxa"/>
            <w:vMerge/>
            <w:tcBorders>
              <w:top w:val="nil"/>
            </w:tcBorders>
          </w:tcPr>
          <w:p w14:paraId="1DB67935" w14:textId="77777777" w:rsidR="003E3ED2" w:rsidRPr="00C56257" w:rsidRDefault="003E3ED2" w:rsidP="00365F5B">
            <w:pPr>
              <w:jc w:val="both"/>
              <w:rPr>
                <w:color w:val="000000" w:themeColor="text1"/>
              </w:rPr>
            </w:pPr>
          </w:p>
        </w:tc>
        <w:tc>
          <w:tcPr>
            <w:tcW w:w="2410" w:type="dxa"/>
            <w:vAlign w:val="bottom"/>
          </w:tcPr>
          <w:p w14:paraId="7C54ABC9" w14:textId="77777777" w:rsidR="003E3ED2" w:rsidRPr="003E3ED2" w:rsidRDefault="003E3ED2" w:rsidP="00365F5B">
            <w:pPr>
              <w:pStyle w:val="TableParagraph"/>
              <w:ind w:left="93" w:right="87"/>
              <w:jc w:val="both"/>
              <w:rPr>
                <w:color w:val="000000" w:themeColor="text1"/>
              </w:rPr>
            </w:pPr>
            <w:r w:rsidRPr="003E3ED2">
              <w:rPr>
                <w:color w:val="000000"/>
              </w:rPr>
              <w:t>ROSCI0115</w:t>
            </w:r>
          </w:p>
        </w:tc>
        <w:tc>
          <w:tcPr>
            <w:tcW w:w="3885" w:type="dxa"/>
            <w:vAlign w:val="bottom"/>
          </w:tcPr>
          <w:p w14:paraId="574F2D70" w14:textId="77777777" w:rsidR="003E3ED2" w:rsidRPr="003E3ED2" w:rsidRDefault="003E3ED2" w:rsidP="00365F5B">
            <w:pPr>
              <w:pStyle w:val="TableParagraph"/>
              <w:ind w:left="91" w:right="82"/>
              <w:jc w:val="both"/>
              <w:rPr>
                <w:color w:val="000000" w:themeColor="text1"/>
              </w:rPr>
            </w:pPr>
            <w:r w:rsidRPr="003E3ED2">
              <w:rPr>
                <w:color w:val="000000"/>
              </w:rPr>
              <w:t>Mlaștina Satchinez</w:t>
            </w:r>
          </w:p>
        </w:tc>
      </w:tr>
      <w:tr w:rsidR="003E3ED2" w:rsidRPr="00C56257" w14:paraId="5451980C" w14:textId="77777777" w:rsidTr="00993B86">
        <w:trPr>
          <w:trHeight w:val="275"/>
        </w:trPr>
        <w:tc>
          <w:tcPr>
            <w:tcW w:w="3410" w:type="dxa"/>
            <w:vMerge/>
            <w:tcBorders>
              <w:top w:val="nil"/>
            </w:tcBorders>
          </w:tcPr>
          <w:p w14:paraId="6FE9B4FD" w14:textId="77777777" w:rsidR="003E3ED2" w:rsidRPr="00C56257" w:rsidRDefault="003E3ED2" w:rsidP="00365F5B">
            <w:pPr>
              <w:jc w:val="both"/>
              <w:rPr>
                <w:color w:val="000000" w:themeColor="text1"/>
              </w:rPr>
            </w:pPr>
          </w:p>
        </w:tc>
        <w:tc>
          <w:tcPr>
            <w:tcW w:w="2410" w:type="dxa"/>
            <w:vAlign w:val="bottom"/>
          </w:tcPr>
          <w:p w14:paraId="73D1372E" w14:textId="77777777" w:rsidR="003E3ED2" w:rsidRPr="003E3ED2" w:rsidRDefault="003E3ED2" w:rsidP="00807DA8">
            <w:pPr>
              <w:pStyle w:val="TableParagraph"/>
              <w:ind w:left="93" w:right="87"/>
              <w:jc w:val="both"/>
              <w:rPr>
                <w:color w:val="000000" w:themeColor="text1"/>
              </w:rPr>
            </w:pPr>
            <w:r w:rsidRPr="003E3ED2">
              <w:rPr>
                <w:color w:val="000000"/>
              </w:rPr>
              <w:t>ROS</w:t>
            </w:r>
            <w:r w:rsidR="00807DA8">
              <w:rPr>
                <w:color w:val="000000"/>
              </w:rPr>
              <w:t>AC</w:t>
            </w:r>
            <w:r w:rsidRPr="003E3ED2">
              <w:rPr>
                <w:color w:val="000000"/>
              </w:rPr>
              <w:t>0122</w:t>
            </w:r>
          </w:p>
        </w:tc>
        <w:tc>
          <w:tcPr>
            <w:tcW w:w="3885" w:type="dxa"/>
            <w:vAlign w:val="bottom"/>
          </w:tcPr>
          <w:p w14:paraId="3C3EE7DB" w14:textId="77777777" w:rsidR="003E3ED2" w:rsidRPr="003E3ED2" w:rsidRDefault="003E3ED2" w:rsidP="00365F5B">
            <w:pPr>
              <w:pStyle w:val="TableParagraph"/>
              <w:ind w:left="91" w:right="83"/>
              <w:jc w:val="both"/>
              <w:rPr>
                <w:color w:val="000000" w:themeColor="text1"/>
              </w:rPr>
            </w:pPr>
            <w:r w:rsidRPr="003E3ED2">
              <w:rPr>
                <w:color w:val="000000"/>
              </w:rPr>
              <w:t>Munții Făgăraș</w:t>
            </w:r>
          </w:p>
        </w:tc>
      </w:tr>
      <w:tr w:rsidR="003E3ED2" w:rsidRPr="00C56257" w14:paraId="6C05A43D" w14:textId="77777777" w:rsidTr="00993B86">
        <w:trPr>
          <w:trHeight w:val="275"/>
        </w:trPr>
        <w:tc>
          <w:tcPr>
            <w:tcW w:w="3410" w:type="dxa"/>
            <w:vMerge/>
            <w:tcBorders>
              <w:top w:val="nil"/>
            </w:tcBorders>
          </w:tcPr>
          <w:p w14:paraId="5942D5E1" w14:textId="77777777" w:rsidR="003E3ED2" w:rsidRPr="00C56257" w:rsidRDefault="003E3ED2" w:rsidP="00365F5B">
            <w:pPr>
              <w:jc w:val="both"/>
              <w:rPr>
                <w:color w:val="000000" w:themeColor="text1"/>
              </w:rPr>
            </w:pPr>
          </w:p>
        </w:tc>
        <w:tc>
          <w:tcPr>
            <w:tcW w:w="2410" w:type="dxa"/>
            <w:vAlign w:val="bottom"/>
          </w:tcPr>
          <w:p w14:paraId="74140A8D" w14:textId="77777777" w:rsidR="003E3ED2" w:rsidRPr="003E3ED2" w:rsidRDefault="003E3ED2" w:rsidP="00807DA8">
            <w:pPr>
              <w:pStyle w:val="TableParagraph"/>
              <w:ind w:left="93" w:right="87"/>
              <w:jc w:val="both"/>
              <w:rPr>
                <w:color w:val="000000" w:themeColor="text1"/>
              </w:rPr>
            </w:pPr>
            <w:r w:rsidRPr="003E3ED2">
              <w:rPr>
                <w:color w:val="000000"/>
              </w:rPr>
              <w:t>ROS</w:t>
            </w:r>
            <w:r w:rsidR="00807DA8">
              <w:rPr>
                <w:color w:val="000000"/>
              </w:rPr>
              <w:t>AC</w:t>
            </w:r>
            <w:r w:rsidRPr="003E3ED2">
              <w:rPr>
                <w:color w:val="000000"/>
              </w:rPr>
              <w:t>0124</w:t>
            </w:r>
          </w:p>
        </w:tc>
        <w:tc>
          <w:tcPr>
            <w:tcW w:w="3885" w:type="dxa"/>
            <w:vAlign w:val="bottom"/>
          </w:tcPr>
          <w:p w14:paraId="3FE5C00E" w14:textId="77777777" w:rsidR="003E3ED2" w:rsidRPr="003E3ED2" w:rsidRDefault="003E3ED2" w:rsidP="00365F5B">
            <w:pPr>
              <w:pStyle w:val="TableParagraph"/>
              <w:ind w:left="91" w:right="82"/>
              <w:jc w:val="both"/>
              <w:rPr>
                <w:color w:val="000000" w:themeColor="text1"/>
              </w:rPr>
            </w:pPr>
            <w:r w:rsidRPr="003E3ED2">
              <w:rPr>
                <w:color w:val="000000"/>
              </w:rPr>
              <w:t>Munții Maramureșului</w:t>
            </w:r>
          </w:p>
        </w:tc>
      </w:tr>
      <w:tr w:rsidR="003E3ED2" w:rsidRPr="00C56257" w14:paraId="7180ACA4" w14:textId="77777777" w:rsidTr="00993B86">
        <w:trPr>
          <w:trHeight w:val="277"/>
        </w:trPr>
        <w:tc>
          <w:tcPr>
            <w:tcW w:w="3410" w:type="dxa"/>
            <w:vMerge/>
            <w:tcBorders>
              <w:top w:val="nil"/>
            </w:tcBorders>
          </w:tcPr>
          <w:p w14:paraId="2F7A991E" w14:textId="77777777" w:rsidR="003E3ED2" w:rsidRPr="00C56257" w:rsidRDefault="003E3ED2" w:rsidP="00365F5B">
            <w:pPr>
              <w:jc w:val="both"/>
              <w:rPr>
                <w:color w:val="000000" w:themeColor="text1"/>
              </w:rPr>
            </w:pPr>
          </w:p>
        </w:tc>
        <w:tc>
          <w:tcPr>
            <w:tcW w:w="2410" w:type="dxa"/>
            <w:vAlign w:val="bottom"/>
          </w:tcPr>
          <w:p w14:paraId="0D50EF8A" w14:textId="77777777" w:rsidR="003E3ED2" w:rsidRPr="003E3ED2" w:rsidRDefault="003E3ED2" w:rsidP="00807DA8">
            <w:pPr>
              <w:pStyle w:val="TableParagraph"/>
              <w:spacing w:line="258" w:lineRule="exact"/>
              <w:ind w:left="93" w:right="87"/>
              <w:jc w:val="both"/>
              <w:rPr>
                <w:color w:val="000000" w:themeColor="text1"/>
              </w:rPr>
            </w:pPr>
            <w:r w:rsidRPr="003E3ED2">
              <w:rPr>
                <w:color w:val="000000"/>
              </w:rPr>
              <w:t>ROS</w:t>
            </w:r>
            <w:r w:rsidR="00807DA8">
              <w:rPr>
                <w:color w:val="000000"/>
              </w:rPr>
              <w:t>AC</w:t>
            </w:r>
            <w:r w:rsidRPr="003E3ED2">
              <w:rPr>
                <w:color w:val="000000"/>
              </w:rPr>
              <w:t>0162</w:t>
            </w:r>
          </w:p>
        </w:tc>
        <w:tc>
          <w:tcPr>
            <w:tcW w:w="3885" w:type="dxa"/>
            <w:vAlign w:val="bottom"/>
          </w:tcPr>
          <w:p w14:paraId="75023A3A" w14:textId="77777777" w:rsidR="003E3ED2" w:rsidRPr="003E3ED2" w:rsidRDefault="003E3ED2" w:rsidP="00365F5B">
            <w:pPr>
              <w:pStyle w:val="TableParagraph"/>
              <w:spacing w:line="258" w:lineRule="exact"/>
              <w:ind w:left="91" w:right="80"/>
              <w:jc w:val="both"/>
              <w:rPr>
                <w:color w:val="000000" w:themeColor="text1"/>
              </w:rPr>
            </w:pPr>
            <w:r w:rsidRPr="003E3ED2">
              <w:rPr>
                <w:color w:val="000000"/>
              </w:rPr>
              <w:t>Lunca Siretului Inferior</w:t>
            </w:r>
          </w:p>
        </w:tc>
      </w:tr>
      <w:tr w:rsidR="003E3ED2" w:rsidRPr="00C56257" w14:paraId="549C6D73" w14:textId="77777777" w:rsidTr="00993B86">
        <w:trPr>
          <w:trHeight w:val="275"/>
        </w:trPr>
        <w:tc>
          <w:tcPr>
            <w:tcW w:w="3410" w:type="dxa"/>
            <w:vMerge/>
            <w:tcBorders>
              <w:top w:val="nil"/>
            </w:tcBorders>
          </w:tcPr>
          <w:p w14:paraId="706C0D3B" w14:textId="77777777" w:rsidR="003E3ED2" w:rsidRPr="00C56257" w:rsidRDefault="003E3ED2" w:rsidP="00365F5B">
            <w:pPr>
              <w:jc w:val="both"/>
              <w:rPr>
                <w:color w:val="000000" w:themeColor="text1"/>
              </w:rPr>
            </w:pPr>
          </w:p>
        </w:tc>
        <w:tc>
          <w:tcPr>
            <w:tcW w:w="2410" w:type="dxa"/>
            <w:vAlign w:val="bottom"/>
          </w:tcPr>
          <w:p w14:paraId="7C4481CC" w14:textId="77777777" w:rsidR="003E3ED2" w:rsidRPr="003E3ED2" w:rsidRDefault="003E3ED2" w:rsidP="00807DA8">
            <w:pPr>
              <w:pStyle w:val="TableParagraph"/>
              <w:ind w:left="93" w:right="87"/>
              <w:jc w:val="both"/>
              <w:rPr>
                <w:color w:val="000000" w:themeColor="text1"/>
              </w:rPr>
            </w:pPr>
            <w:r w:rsidRPr="003E3ED2">
              <w:rPr>
                <w:color w:val="000000"/>
              </w:rPr>
              <w:t>ROS</w:t>
            </w:r>
            <w:r w:rsidR="00807DA8">
              <w:rPr>
                <w:color w:val="000000"/>
              </w:rPr>
              <w:t>AC</w:t>
            </w:r>
            <w:r w:rsidRPr="003E3ED2">
              <w:rPr>
                <w:color w:val="000000"/>
              </w:rPr>
              <w:t>0205</w:t>
            </w:r>
          </w:p>
        </w:tc>
        <w:tc>
          <w:tcPr>
            <w:tcW w:w="3885" w:type="dxa"/>
            <w:vAlign w:val="bottom"/>
          </w:tcPr>
          <w:p w14:paraId="6B346891" w14:textId="77777777" w:rsidR="003E3ED2" w:rsidRPr="003E3ED2" w:rsidRDefault="003E3ED2" w:rsidP="00365F5B">
            <w:pPr>
              <w:pStyle w:val="TableParagraph"/>
              <w:ind w:left="91" w:right="82"/>
              <w:jc w:val="both"/>
              <w:rPr>
                <w:color w:val="000000" w:themeColor="text1"/>
              </w:rPr>
            </w:pPr>
            <w:r w:rsidRPr="003E3ED2">
              <w:rPr>
                <w:color w:val="000000"/>
              </w:rPr>
              <w:t>Poienile cu narcise de la Dumbrava Vadului</w:t>
            </w:r>
          </w:p>
        </w:tc>
      </w:tr>
      <w:tr w:rsidR="003E3ED2" w:rsidRPr="00C56257" w14:paraId="2CFF6410" w14:textId="77777777" w:rsidTr="00993B86">
        <w:trPr>
          <w:trHeight w:val="275"/>
        </w:trPr>
        <w:tc>
          <w:tcPr>
            <w:tcW w:w="3410" w:type="dxa"/>
            <w:vMerge/>
            <w:tcBorders>
              <w:top w:val="nil"/>
            </w:tcBorders>
          </w:tcPr>
          <w:p w14:paraId="101FA87A" w14:textId="77777777" w:rsidR="003E3ED2" w:rsidRPr="00C56257" w:rsidRDefault="003E3ED2" w:rsidP="00365F5B">
            <w:pPr>
              <w:jc w:val="both"/>
              <w:rPr>
                <w:color w:val="000000" w:themeColor="text1"/>
              </w:rPr>
            </w:pPr>
          </w:p>
        </w:tc>
        <w:tc>
          <w:tcPr>
            <w:tcW w:w="2410" w:type="dxa"/>
            <w:vAlign w:val="bottom"/>
          </w:tcPr>
          <w:p w14:paraId="298EFFAD" w14:textId="77777777" w:rsidR="003E3ED2" w:rsidRPr="003E3ED2" w:rsidRDefault="003E3ED2" w:rsidP="00365F5B">
            <w:pPr>
              <w:pStyle w:val="TableParagraph"/>
              <w:ind w:left="93" w:right="87"/>
              <w:jc w:val="both"/>
              <w:rPr>
                <w:color w:val="000000" w:themeColor="text1"/>
              </w:rPr>
            </w:pPr>
            <w:r w:rsidRPr="003E3ED2">
              <w:rPr>
                <w:color w:val="000000"/>
              </w:rPr>
              <w:t>ROSCI0211</w:t>
            </w:r>
          </w:p>
        </w:tc>
        <w:tc>
          <w:tcPr>
            <w:tcW w:w="3885" w:type="dxa"/>
            <w:vAlign w:val="bottom"/>
          </w:tcPr>
          <w:p w14:paraId="6DF361E4" w14:textId="77777777" w:rsidR="003E3ED2" w:rsidRPr="003E3ED2" w:rsidRDefault="003E3ED2" w:rsidP="00365F5B">
            <w:pPr>
              <w:pStyle w:val="TableParagraph"/>
              <w:ind w:left="91" w:right="82"/>
              <w:jc w:val="both"/>
              <w:rPr>
                <w:color w:val="000000" w:themeColor="text1"/>
              </w:rPr>
            </w:pPr>
            <w:r w:rsidRPr="003E3ED2">
              <w:rPr>
                <w:color w:val="000000"/>
              </w:rPr>
              <w:t>Podișul Secașelor</w:t>
            </w:r>
          </w:p>
        </w:tc>
      </w:tr>
      <w:tr w:rsidR="003E3ED2" w:rsidRPr="00C56257" w14:paraId="0BFF7F15" w14:textId="77777777" w:rsidTr="00993B86">
        <w:trPr>
          <w:trHeight w:val="275"/>
        </w:trPr>
        <w:tc>
          <w:tcPr>
            <w:tcW w:w="3410" w:type="dxa"/>
            <w:vMerge/>
            <w:tcBorders>
              <w:top w:val="nil"/>
            </w:tcBorders>
          </w:tcPr>
          <w:p w14:paraId="5CAE7395" w14:textId="77777777" w:rsidR="003E3ED2" w:rsidRPr="00C56257" w:rsidRDefault="003E3ED2" w:rsidP="00365F5B">
            <w:pPr>
              <w:jc w:val="both"/>
              <w:rPr>
                <w:color w:val="000000" w:themeColor="text1"/>
              </w:rPr>
            </w:pPr>
          </w:p>
        </w:tc>
        <w:tc>
          <w:tcPr>
            <w:tcW w:w="2410" w:type="dxa"/>
            <w:vAlign w:val="bottom"/>
          </w:tcPr>
          <w:p w14:paraId="2B94F6B1" w14:textId="77777777" w:rsidR="003E3ED2" w:rsidRPr="003E3ED2" w:rsidRDefault="003E3ED2" w:rsidP="00807DA8">
            <w:pPr>
              <w:pStyle w:val="TableParagraph"/>
              <w:ind w:left="93" w:right="87"/>
              <w:jc w:val="both"/>
              <w:rPr>
                <w:color w:val="000000" w:themeColor="text1"/>
              </w:rPr>
            </w:pPr>
            <w:r w:rsidRPr="003E3ED2">
              <w:rPr>
                <w:color w:val="000000"/>
              </w:rPr>
              <w:t>ROS</w:t>
            </w:r>
            <w:r w:rsidR="00807DA8">
              <w:rPr>
                <w:color w:val="000000"/>
              </w:rPr>
              <w:t>AC</w:t>
            </w:r>
            <w:r w:rsidRPr="003E3ED2">
              <w:rPr>
                <w:color w:val="000000"/>
              </w:rPr>
              <w:t>0214</w:t>
            </w:r>
          </w:p>
        </w:tc>
        <w:tc>
          <w:tcPr>
            <w:tcW w:w="3885" w:type="dxa"/>
            <w:vAlign w:val="bottom"/>
          </w:tcPr>
          <w:p w14:paraId="0CC8BCCB" w14:textId="77777777" w:rsidR="003E3ED2" w:rsidRPr="003E3ED2" w:rsidRDefault="003E3ED2" w:rsidP="00365F5B">
            <w:pPr>
              <w:pStyle w:val="TableParagraph"/>
              <w:ind w:left="91" w:right="81"/>
              <w:jc w:val="both"/>
              <w:rPr>
                <w:color w:val="000000" w:themeColor="text1"/>
              </w:rPr>
            </w:pPr>
            <w:r w:rsidRPr="003E3ED2">
              <w:rPr>
                <w:color w:val="000000"/>
              </w:rPr>
              <w:t>Râul Tur</w:t>
            </w:r>
          </w:p>
        </w:tc>
      </w:tr>
      <w:tr w:rsidR="003E3ED2" w:rsidRPr="00C56257" w14:paraId="681DB804" w14:textId="77777777" w:rsidTr="00993B86">
        <w:trPr>
          <w:trHeight w:val="275"/>
        </w:trPr>
        <w:tc>
          <w:tcPr>
            <w:tcW w:w="3410" w:type="dxa"/>
            <w:vMerge/>
            <w:tcBorders>
              <w:top w:val="nil"/>
            </w:tcBorders>
          </w:tcPr>
          <w:p w14:paraId="63BAF91B" w14:textId="77777777" w:rsidR="003E3ED2" w:rsidRPr="00C56257" w:rsidRDefault="003E3ED2" w:rsidP="00365F5B">
            <w:pPr>
              <w:jc w:val="both"/>
              <w:rPr>
                <w:color w:val="000000" w:themeColor="text1"/>
              </w:rPr>
            </w:pPr>
          </w:p>
        </w:tc>
        <w:tc>
          <w:tcPr>
            <w:tcW w:w="2410" w:type="dxa"/>
            <w:vAlign w:val="bottom"/>
          </w:tcPr>
          <w:p w14:paraId="16F36EA8" w14:textId="77777777" w:rsidR="003E3ED2" w:rsidRPr="003E3ED2" w:rsidRDefault="003E3ED2" w:rsidP="00807DA8">
            <w:pPr>
              <w:pStyle w:val="TableParagraph"/>
              <w:ind w:left="93" w:right="87"/>
              <w:jc w:val="both"/>
              <w:rPr>
                <w:color w:val="000000" w:themeColor="text1"/>
              </w:rPr>
            </w:pPr>
            <w:r w:rsidRPr="003E3ED2">
              <w:rPr>
                <w:color w:val="000000"/>
              </w:rPr>
              <w:t>ROS</w:t>
            </w:r>
            <w:r w:rsidR="00807DA8">
              <w:rPr>
                <w:color w:val="000000"/>
              </w:rPr>
              <w:t>AC</w:t>
            </w:r>
            <w:r w:rsidRPr="003E3ED2">
              <w:rPr>
                <w:color w:val="000000"/>
              </w:rPr>
              <w:t>0231</w:t>
            </w:r>
          </w:p>
        </w:tc>
        <w:tc>
          <w:tcPr>
            <w:tcW w:w="3885" w:type="dxa"/>
            <w:vAlign w:val="bottom"/>
          </w:tcPr>
          <w:p w14:paraId="13E8E173" w14:textId="77777777" w:rsidR="003E3ED2" w:rsidRPr="003E3ED2" w:rsidRDefault="003E3ED2" w:rsidP="00365F5B">
            <w:pPr>
              <w:pStyle w:val="TableParagraph"/>
              <w:ind w:left="91" w:right="83"/>
              <w:jc w:val="both"/>
              <w:rPr>
                <w:color w:val="000000" w:themeColor="text1"/>
              </w:rPr>
            </w:pPr>
            <w:r w:rsidRPr="003E3ED2">
              <w:rPr>
                <w:color w:val="000000"/>
              </w:rPr>
              <w:t>Nădab - Socodor - Vărșad</w:t>
            </w:r>
          </w:p>
        </w:tc>
      </w:tr>
      <w:tr w:rsidR="003E3ED2" w:rsidRPr="00C56257" w14:paraId="62202BB2" w14:textId="77777777" w:rsidTr="00993B86">
        <w:trPr>
          <w:trHeight w:val="275"/>
        </w:trPr>
        <w:tc>
          <w:tcPr>
            <w:tcW w:w="3410" w:type="dxa"/>
            <w:vMerge/>
            <w:tcBorders>
              <w:top w:val="nil"/>
            </w:tcBorders>
          </w:tcPr>
          <w:p w14:paraId="572956FB" w14:textId="77777777" w:rsidR="003E3ED2" w:rsidRPr="00C56257" w:rsidRDefault="003E3ED2" w:rsidP="00365F5B">
            <w:pPr>
              <w:jc w:val="both"/>
              <w:rPr>
                <w:color w:val="000000" w:themeColor="text1"/>
              </w:rPr>
            </w:pPr>
          </w:p>
        </w:tc>
        <w:tc>
          <w:tcPr>
            <w:tcW w:w="2410" w:type="dxa"/>
            <w:vAlign w:val="bottom"/>
          </w:tcPr>
          <w:p w14:paraId="67FAB9BE" w14:textId="77777777" w:rsidR="003E3ED2" w:rsidRPr="003E3ED2" w:rsidRDefault="003E3ED2" w:rsidP="00807DA8">
            <w:pPr>
              <w:pStyle w:val="TableParagraph"/>
              <w:ind w:left="93" w:right="87"/>
              <w:jc w:val="both"/>
              <w:rPr>
                <w:color w:val="000000" w:themeColor="text1"/>
              </w:rPr>
            </w:pPr>
            <w:r w:rsidRPr="003E3ED2">
              <w:rPr>
                <w:color w:val="000000"/>
              </w:rPr>
              <w:t>ROS</w:t>
            </w:r>
            <w:r w:rsidR="00807DA8">
              <w:rPr>
                <w:color w:val="000000"/>
              </w:rPr>
              <w:t>AC</w:t>
            </w:r>
            <w:r w:rsidRPr="003E3ED2">
              <w:rPr>
                <w:color w:val="000000"/>
              </w:rPr>
              <w:t>0279</w:t>
            </w:r>
          </w:p>
        </w:tc>
        <w:tc>
          <w:tcPr>
            <w:tcW w:w="3885" w:type="dxa"/>
            <w:vAlign w:val="bottom"/>
          </w:tcPr>
          <w:p w14:paraId="18B490B5" w14:textId="77777777" w:rsidR="003E3ED2" w:rsidRPr="003E3ED2" w:rsidRDefault="003E3ED2" w:rsidP="00365F5B">
            <w:pPr>
              <w:pStyle w:val="TableParagraph"/>
              <w:ind w:left="91" w:right="79"/>
              <w:jc w:val="both"/>
              <w:rPr>
                <w:color w:val="000000" w:themeColor="text1"/>
              </w:rPr>
            </w:pPr>
            <w:r w:rsidRPr="003E3ED2">
              <w:rPr>
                <w:color w:val="000000"/>
              </w:rPr>
              <w:t>Borzont</w:t>
            </w:r>
          </w:p>
        </w:tc>
      </w:tr>
      <w:tr w:rsidR="003E3ED2" w:rsidRPr="00C56257" w14:paraId="249CDF90" w14:textId="77777777" w:rsidTr="00993B86">
        <w:trPr>
          <w:trHeight w:val="276"/>
        </w:trPr>
        <w:tc>
          <w:tcPr>
            <w:tcW w:w="3410" w:type="dxa"/>
            <w:vMerge/>
            <w:tcBorders>
              <w:top w:val="nil"/>
            </w:tcBorders>
          </w:tcPr>
          <w:p w14:paraId="0739317F" w14:textId="77777777" w:rsidR="003E3ED2" w:rsidRPr="00C56257" w:rsidRDefault="003E3ED2" w:rsidP="00365F5B">
            <w:pPr>
              <w:jc w:val="both"/>
              <w:rPr>
                <w:color w:val="000000" w:themeColor="text1"/>
              </w:rPr>
            </w:pPr>
          </w:p>
        </w:tc>
        <w:tc>
          <w:tcPr>
            <w:tcW w:w="2410" w:type="dxa"/>
            <w:vAlign w:val="bottom"/>
          </w:tcPr>
          <w:p w14:paraId="382C82D8" w14:textId="77777777" w:rsidR="003E3ED2" w:rsidRPr="003E3ED2" w:rsidRDefault="003E3ED2" w:rsidP="00365F5B">
            <w:pPr>
              <w:pStyle w:val="TableParagraph"/>
              <w:ind w:left="93" w:right="87"/>
              <w:jc w:val="both"/>
              <w:rPr>
                <w:color w:val="000000" w:themeColor="text1"/>
              </w:rPr>
            </w:pPr>
            <w:r w:rsidRPr="003E3ED2">
              <w:rPr>
                <w:color w:val="000000"/>
              </w:rPr>
              <w:t>ROSCI0282</w:t>
            </w:r>
          </w:p>
        </w:tc>
        <w:tc>
          <w:tcPr>
            <w:tcW w:w="3885" w:type="dxa"/>
            <w:vAlign w:val="bottom"/>
          </w:tcPr>
          <w:p w14:paraId="1EA46AAB" w14:textId="77777777" w:rsidR="003E3ED2" w:rsidRPr="003E3ED2" w:rsidRDefault="003E3ED2" w:rsidP="00365F5B">
            <w:pPr>
              <w:pStyle w:val="TableParagraph"/>
              <w:ind w:left="91" w:right="81"/>
              <w:jc w:val="both"/>
              <w:rPr>
                <w:color w:val="000000" w:themeColor="text1"/>
              </w:rPr>
            </w:pPr>
            <w:r w:rsidRPr="003E3ED2">
              <w:rPr>
                <w:color w:val="000000"/>
              </w:rPr>
              <w:t>Arpașu de Sus</w:t>
            </w:r>
          </w:p>
        </w:tc>
      </w:tr>
      <w:tr w:rsidR="003E3ED2" w:rsidRPr="00C56257" w14:paraId="677F23AF" w14:textId="77777777" w:rsidTr="00993B86">
        <w:trPr>
          <w:trHeight w:val="277"/>
        </w:trPr>
        <w:tc>
          <w:tcPr>
            <w:tcW w:w="3410" w:type="dxa"/>
            <w:vMerge/>
            <w:tcBorders>
              <w:top w:val="nil"/>
            </w:tcBorders>
          </w:tcPr>
          <w:p w14:paraId="31396F0E" w14:textId="77777777" w:rsidR="003E3ED2" w:rsidRPr="00C56257" w:rsidRDefault="003E3ED2" w:rsidP="00365F5B">
            <w:pPr>
              <w:jc w:val="both"/>
              <w:rPr>
                <w:color w:val="000000" w:themeColor="text1"/>
              </w:rPr>
            </w:pPr>
          </w:p>
        </w:tc>
        <w:tc>
          <w:tcPr>
            <w:tcW w:w="2410" w:type="dxa"/>
            <w:vAlign w:val="bottom"/>
          </w:tcPr>
          <w:p w14:paraId="03663A77" w14:textId="77777777" w:rsidR="003E3ED2" w:rsidRPr="003E3ED2" w:rsidRDefault="003E3ED2" w:rsidP="00365F5B">
            <w:pPr>
              <w:pStyle w:val="TableParagraph"/>
              <w:spacing w:line="258" w:lineRule="exact"/>
              <w:ind w:left="93" w:right="87"/>
              <w:jc w:val="both"/>
              <w:rPr>
                <w:color w:val="000000" w:themeColor="text1"/>
              </w:rPr>
            </w:pPr>
            <w:r w:rsidRPr="003E3ED2">
              <w:rPr>
                <w:color w:val="000000"/>
              </w:rPr>
              <w:t>ROSCI0302</w:t>
            </w:r>
          </w:p>
        </w:tc>
        <w:tc>
          <w:tcPr>
            <w:tcW w:w="3885" w:type="dxa"/>
            <w:vAlign w:val="bottom"/>
          </w:tcPr>
          <w:p w14:paraId="03DD9A8F" w14:textId="77777777" w:rsidR="003E3ED2" w:rsidRPr="003E3ED2" w:rsidRDefault="003E3ED2" w:rsidP="00365F5B">
            <w:pPr>
              <w:pStyle w:val="TableParagraph"/>
              <w:spacing w:line="258" w:lineRule="exact"/>
              <w:ind w:left="91" w:right="84"/>
              <w:jc w:val="both"/>
              <w:rPr>
                <w:color w:val="000000" w:themeColor="text1"/>
              </w:rPr>
            </w:pPr>
            <w:r w:rsidRPr="003E3ED2">
              <w:rPr>
                <w:color w:val="000000"/>
              </w:rPr>
              <w:t>Bozânta</w:t>
            </w:r>
          </w:p>
        </w:tc>
      </w:tr>
      <w:tr w:rsidR="003E3ED2" w:rsidRPr="00C56257" w14:paraId="3A5A94C3" w14:textId="77777777" w:rsidTr="00993B86">
        <w:trPr>
          <w:trHeight w:val="275"/>
        </w:trPr>
        <w:tc>
          <w:tcPr>
            <w:tcW w:w="3410" w:type="dxa"/>
            <w:vMerge/>
            <w:tcBorders>
              <w:top w:val="nil"/>
            </w:tcBorders>
          </w:tcPr>
          <w:p w14:paraId="1388D235" w14:textId="77777777" w:rsidR="003E3ED2" w:rsidRPr="00C56257" w:rsidRDefault="003E3ED2" w:rsidP="00365F5B">
            <w:pPr>
              <w:jc w:val="both"/>
              <w:rPr>
                <w:color w:val="000000" w:themeColor="text1"/>
              </w:rPr>
            </w:pPr>
          </w:p>
        </w:tc>
        <w:tc>
          <w:tcPr>
            <w:tcW w:w="2410" w:type="dxa"/>
            <w:vAlign w:val="bottom"/>
          </w:tcPr>
          <w:p w14:paraId="02F508BC" w14:textId="77777777" w:rsidR="003E3ED2" w:rsidRPr="003E3ED2" w:rsidRDefault="003E3ED2" w:rsidP="00365F5B">
            <w:pPr>
              <w:pStyle w:val="TableParagraph"/>
              <w:ind w:left="94" w:right="87"/>
              <w:jc w:val="both"/>
              <w:rPr>
                <w:color w:val="000000" w:themeColor="text1"/>
              </w:rPr>
            </w:pPr>
            <w:r w:rsidRPr="003E3ED2">
              <w:rPr>
                <w:color w:val="000000"/>
              </w:rPr>
              <w:t>ROSCI0320</w:t>
            </w:r>
          </w:p>
        </w:tc>
        <w:tc>
          <w:tcPr>
            <w:tcW w:w="3885" w:type="dxa"/>
            <w:vAlign w:val="bottom"/>
          </w:tcPr>
          <w:p w14:paraId="0D5CC0BC" w14:textId="77777777" w:rsidR="003E3ED2" w:rsidRPr="003E3ED2" w:rsidRDefault="003E3ED2" w:rsidP="00365F5B">
            <w:pPr>
              <w:pStyle w:val="TableParagraph"/>
              <w:ind w:left="91" w:right="82"/>
              <w:jc w:val="both"/>
              <w:rPr>
                <w:color w:val="000000" w:themeColor="text1"/>
              </w:rPr>
            </w:pPr>
            <w:r w:rsidRPr="003E3ED2">
              <w:rPr>
                <w:color w:val="000000"/>
              </w:rPr>
              <w:t>Mociar</w:t>
            </w:r>
          </w:p>
        </w:tc>
      </w:tr>
      <w:tr w:rsidR="003E3ED2" w:rsidRPr="00C56257" w14:paraId="4C81EC5A" w14:textId="77777777" w:rsidTr="00993B86">
        <w:trPr>
          <w:trHeight w:val="275"/>
        </w:trPr>
        <w:tc>
          <w:tcPr>
            <w:tcW w:w="3410" w:type="dxa"/>
            <w:vMerge/>
            <w:tcBorders>
              <w:top w:val="nil"/>
            </w:tcBorders>
          </w:tcPr>
          <w:p w14:paraId="4009CA9E" w14:textId="77777777" w:rsidR="003E3ED2" w:rsidRPr="00C56257" w:rsidRDefault="003E3ED2" w:rsidP="00365F5B">
            <w:pPr>
              <w:jc w:val="both"/>
              <w:rPr>
                <w:color w:val="000000" w:themeColor="text1"/>
              </w:rPr>
            </w:pPr>
          </w:p>
        </w:tc>
        <w:tc>
          <w:tcPr>
            <w:tcW w:w="2410" w:type="dxa"/>
            <w:vAlign w:val="bottom"/>
          </w:tcPr>
          <w:p w14:paraId="52AED7B4" w14:textId="77777777" w:rsidR="003E3ED2" w:rsidRPr="003E3ED2" w:rsidRDefault="003E3ED2" w:rsidP="00807DA8">
            <w:pPr>
              <w:pStyle w:val="TableParagraph"/>
              <w:ind w:left="93" w:right="87"/>
              <w:jc w:val="both"/>
              <w:rPr>
                <w:color w:val="000000" w:themeColor="text1"/>
              </w:rPr>
            </w:pPr>
            <w:r w:rsidRPr="003E3ED2">
              <w:rPr>
                <w:color w:val="000000"/>
              </w:rPr>
              <w:t>ROS</w:t>
            </w:r>
            <w:r w:rsidR="00807DA8">
              <w:rPr>
                <w:color w:val="000000"/>
              </w:rPr>
              <w:t>AC</w:t>
            </w:r>
            <w:r w:rsidRPr="003E3ED2">
              <w:rPr>
                <w:color w:val="000000"/>
              </w:rPr>
              <w:t>0350</w:t>
            </w:r>
          </w:p>
        </w:tc>
        <w:tc>
          <w:tcPr>
            <w:tcW w:w="3885" w:type="dxa"/>
            <w:vAlign w:val="bottom"/>
          </w:tcPr>
          <w:p w14:paraId="1895F919" w14:textId="77777777" w:rsidR="003E3ED2" w:rsidRPr="003E3ED2" w:rsidRDefault="003E3ED2" w:rsidP="00365F5B">
            <w:pPr>
              <w:pStyle w:val="TableParagraph"/>
              <w:ind w:left="91" w:right="83"/>
              <w:jc w:val="both"/>
              <w:rPr>
                <w:color w:val="000000" w:themeColor="text1"/>
              </w:rPr>
            </w:pPr>
            <w:r w:rsidRPr="003E3ED2">
              <w:rPr>
                <w:color w:val="000000"/>
              </w:rPr>
              <w:t>Lunca Teuzului</w:t>
            </w:r>
          </w:p>
        </w:tc>
      </w:tr>
      <w:tr w:rsidR="003E3ED2" w:rsidRPr="00C56257" w14:paraId="2422BB10" w14:textId="77777777" w:rsidTr="00993B86">
        <w:trPr>
          <w:trHeight w:val="275"/>
        </w:trPr>
        <w:tc>
          <w:tcPr>
            <w:tcW w:w="3410" w:type="dxa"/>
            <w:vMerge/>
            <w:tcBorders>
              <w:top w:val="nil"/>
            </w:tcBorders>
          </w:tcPr>
          <w:p w14:paraId="2F552258" w14:textId="77777777" w:rsidR="003E3ED2" w:rsidRPr="00C56257" w:rsidRDefault="003E3ED2" w:rsidP="00365F5B">
            <w:pPr>
              <w:jc w:val="both"/>
              <w:rPr>
                <w:color w:val="000000" w:themeColor="text1"/>
              </w:rPr>
            </w:pPr>
          </w:p>
        </w:tc>
        <w:tc>
          <w:tcPr>
            <w:tcW w:w="2410" w:type="dxa"/>
            <w:vAlign w:val="bottom"/>
          </w:tcPr>
          <w:p w14:paraId="70136827" w14:textId="77777777" w:rsidR="003E3ED2" w:rsidRPr="003E3ED2" w:rsidRDefault="003E3ED2" w:rsidP="00807DA8">
            <w:pPr>
              <w:pStyle w:val="TableParagraph"/>
              <w:ind w:left="93" w:right="87"/>
              <w:jc w:val="both"/>
              <w:rPr>
                <w:color w:val="000000" w:themeColor="text1"/>
              </w:rPr>
            </w:pPr>
            <w:r w:rsidRPr="003E3ED2">
              <w:rPr>
                <w:color w:val="000000"/>
              </w:rPr>
              <w:t>ROS</w:t>
            </w:r>
            <w:r w:rsidR="00807DA8">
              <w:rPr>
                <w:color w:val="000000"/>
              </w:rPr>
              <w:t>AC</w:t>
            </w:r>
            <w:r w:rsidRPr="003E3ED2">
              <w:rPr>
                <w:color w:val="000000"/>
              </w:rPr>
              <w:t>0374</w:t>
            </w:r>
          </w:p>
        </w:tc>
        <w:tc>
          <w:tcPr>
            <w:tcW w:w="3885" w:type="dxa"/>
            <w:vAlign w:val="bottom"/>
          </w:tcPr>
          <w:p w14:paraId="338F865F" w14:textId="77777777" w:rsidR="003E3ED2" w:rsidRPr="003E3ED2" w:rsidRDefault="003E3ED2" w:rsidP="00365F5B">
            <w:pPr>
              <w:pStyle w:val="TableParagraph"/>
              <w:ind w:left="91" w:right="83"/>
              <w:jc w:val="both"/>
              <w:rPr>
                <w:color w:val="000000" w:themeColor="text1"/>
              </w:rPr>
            </w:pPr>
            <w:r w:rsidRPr="003E3ED2">
              <w:rPr>
                <w:color w:val="000000"/>
              </w:rPr>
              <w:t>Râul Negru</w:t>
            </w:r>
          </w:p>
        </w:tc>
      </w:tr>
      <w:tr w:rsidR="003E3ED2" w:rsidRPr="00C56257" w14:paraId="100E806C" w14:textId="77777777" w:rsidTr="00993B86">
        <w:trPr>
          <w:trHeight w:val="275"/>
        </w:trPr>
        <w:tc>
          <w:tcPr>
            <w:tcW w:w="3410" w:type="dxa"/>
            <w:vMerge/>
            <w:tcBorders>
              <w:top w:val="nil"/>
            </w:tcBorders>
          </w:tcPr>
          <w:p w14:paraId="636F1267" w14:textId="77777777" w:rsidR="003E3ED2" w:rsidRPr="00C56257" w:rsidRDefault="003E3ED2" w:rsidP="00365F5B">
            <w:pPr>
              <w:jc w:val="both"/>
              <w:rPr>
                <w:color w:val="000000" w:themeColor="text1"/>
              </w:rPr>
            </w:pPr>
          </w:p>
        </w:tc>
        <w:tc>
          <w:tcPr>
            <w:tcW w:w="2410" w:type="dxa"/>
            <w:vAlign w:val="bottom"/>
          </w:tcPr>
          <w:p w14:paraId="3721DF19" w14:textId="77777777" w:rsidR="003E3ED2" w:rsidRPr="003E3ED2" w:rsidRDefault="003E3ED2" w:rsidP="00365F5B">
            <w:pPr>
              <w:pStyle w:val="TableParagraph"/>
              <w:ind w:left="93" w:right="87"/>
              <w:jc w:val="both"/>
              <w:rPr>
                <w:color w:val="000000" w:themeColor="text1"/>
              </w:rPr>
            </w:pPr>
            <w:r w:rsidRPr="003E3ED2">
              <w:rPr>
                <w:color w:val="000000"/>
              </w:rPr>
              <w:t>ROSCI0409</w:t>
            </w:r>
          </w:p>
        </w:tc>
        <w:tc>
          <w:tcPr>
            <w:tcW w:w="3885" w:type="dxa"/>
            <w:vAlign w:val="bottom"/>
          </w:tcPr>
          <w:p w14:paraId="29788837" w14:textId="77777777" w:rsidR="003E3ED2" w:rsidRPr="003E3ED2" w:rsidRDefault="003E3ED2" w:rsidP="00365F5B">
            <w:pPr>
              <w:pStyle w:val="TableParagraph"/>
              <w:ind w:left="91" w:right="83"/>
              <w:jc w:val="both"/>
              <w:rPr>
                <w:color w:val="000000" w:themeColor="text1"/>
              </w:rPr>
            </w:pPr>
            <w:r w:rsidRPr="003E3ED2">
              <w:rPr>
                <w:color w:val="000000"/>
              </w:rPr>
              <w:t>Fânațele de la Bogdana</w:t>
            </w:r>
          </w:p>
        </w:tc>
      </w:tr>
      <w:tr w:rsidR="003E3ED2" w:rsidRPr="00C56257" w14:paraId="59DEE218" w14:textId="77777777" w:rsidTr="00993B86">
        <w:trPr>
          <w:trHeight w:val="275"/>
        </w:trPr>
        <w:tc>
          <w:tcPr>
            <w:tcW w:w="3410" w:type="dxa"/>
            <w:vMerge/>
            <w:tcBorders>
              <w:top w:val="nil"/>
            </w:tcBorders>
          </w:tcPr>
          <w:p w14:paraId="17616BEE" w14:textId="77777777" w:rsidR="003E3ED2" w:rsidRPr="00C56257" w:rsidRDefault="003E3ED2" w:rsidP="00365F5B">
            <w:pPr>
              <w:jc w:val="both"/>
              <w:rPr>
                <w:color w:val="000000" w:themeColor="text1"/>
              </w:rPr>
            </w:pPr>
          </w:p>
        </w:tc>
        <w:tc>
          <w:tcPr>
            <w:tcW w:w="2410" w:type="dxa"/>
            <w:vAlign w:val="bottom"/>
          </w:tcPr>
          <w:p w14:paraId="0F7641E3" w14:textId="77777777" w:rsidR="003E3ED2" w:rsidRPr="003E3ED2" w:rsidRDefault="003E3ED2" w:rsidP="00365F5B">
            <w:pPr>
              <w:pStyle w:val="TableParagraph"/>
              <w:ind w:left="93" w:right="87"/>
              <w:jc w:val="both"/>
              <w:rPr>
                <w:color w:val="000000" w:themeColor="text1"/>
              </w:rPr>
            </w:pPr>
            <w:r w:rsidRPr="003E3ED2">
              <w:rPr>
                <w:color w:val="000000"/>
              </w:rPr>
              <w:t>ROSCI0430</w:t>
            </w:r>
          </w:p>
        </w:tc>
        <w:tc>
          <w:tcPr>
            <w:tcW w:w="3885" w:type="dxa"/>
            <w:vAlign w:val="bottom"/>
          </w:tcPr>
          <w:p w14:paraId="46CA4C53" w14:textId="77777777" w:rsidR="003E3ED2" w:rsidRPr="003E3ED2" w:rsidRDefault="003E3ED2" w:rsidP="00365F5B">
            <w:pPr>
              <w:pStyle w:val="TableParagraph"/>
              <w:ind w:left="91" w:right="85"/>
              <w:jc w:val="both"/>
              <w:rPr>
                <w:color w:val="000000" w:themeColor="text1"/>
              </w:rPr>
            </w:pPr>
            <w:r w:rsidRPr="003E3ED2">
              <w:rPr>
                <w:color w:val="000000"/>
              </w:rPr>
              <w:t>Pajiștile de la Tiur</w:t>
            </w:r>
          </w:p>
        </w:tc>
      </w:tr>
      <w:tr w:rsidR="004E07E7" w:rsidRPr="004E07E7" w14:paraId="70034D3D" w14:textId="77777777" w:rsidTr="00993B86">
        <w:trPr>
          <w:trHeight w:val="275"/>
        </w:trPr>
        <w:tc>
          <w:tcPr>
            <w:tcW w:w="3410" w:type="dxa"/>
            <w:vMerge w:val="restart"/>
          </w:tcPr>
          <w:p w14:paraId="569499AB" w14:textId="77777777" w:rsidR="004E07E7" w:rsidRPr="004E07E7" w:rsidRDefault="004E07E7" w:rsidP="00365F5B">
            <w:pPr>
              <w:pStyle w:val="TableParagraph"/>
              <w:jc w:val="both"/>
              <w:rPr>
                <w:color w:val="000000" w:themeColor="text1"/>
                <w:sz w:val="24"/>
                <w:szCs w:val="24"/>
              </w:rPr>
            </w:pPr>
          </w:p>
          <w:p w14:paraId="1DD824FE" w14:textId="77777777" w:rsidR="004E07E7" w:rsidRPr="004E07E7" w:rsidRDefault="004E07E7" w:rsidP="00365F5B">
            <w:pPr>
              <w:pStyle w:val="TableParagraph"/>
              <w:jc w:val="both"/>
              <w:rPr>
                <w:color w:val="000000" w:themeColor="text1"/>
                <w:sz w:val="24"/>
                <w:szCs w:val="24"/>
              </w:rPr>
            </w:pPr>
          </w:p>
          <w:p w14:paraId="080FDF05" w14:textId="77777777" w:rsidR="004E07E7" w:rsidRPr="004E07E7" w:rsidRDefault="004E07E7" w:rsidP="00365F5B">
            <w:pPr>
              <w:pStyle w:val="TableParagraph"/>
              <w:spacing w:before="4"/>
              <w:jc w:val="both"/>
              <w:rPr>
                <w:color w:val="000000" w:themeColor="text1"/>
                <w:sz w:val="24"/>
                <w:szCs w:val="24"/>
              </w:rPr>
            </w:pPr>
          </w:p>
          <w:p w14:paraId="63EB85E0" w14:textId="77777777" w:rsidR="004E07E7" w:rsidRPr="004E07E7" w:rsidRDefault="004E07E7" w:rsidP="00365F5B">
            <w:pPr>
              <w:pStyle w:val="TableParagraph"/>
              <w:spacing w:before="1"/>
              <w:ind w:left="108"/>
              <w:jc w:val="both"/>
              <w:rPr>
                <w:color w:val="000000" w:themeColor="text1"/>
                <w:sz w:val="24"/>
                <w:szCs w:val="24"/>
              </w:rPr>
            </w:pPr>
            <w:r w:rsidRPr="004E07E7">
              <w:rPr>
                <w:color w:val="000000" w:themeColor="text1"/>
                <w:sz w:val="24"/>
                <w:szCs w:val="24"/>
              </w:rPr>
              <w:lastRenderedPageBreak/>
              <w:t>6520</w:t>
            </w:r>
            <w:r w:rsidRPr="004E07E7">
              <w:rPr>
                <w:color w:val="000000" w:themeColor="text1"/>
                <w:spacing w:val="-1"/>
                <w:sz w:val="24"/>
                <w:szCs w:val="24"/>
              </w:rPr>
              <w:t xml:space="preserve"> </w:t>
            </w:r>
            <w:r w:rsidRPr="004E07E7">
              <w:rPr>
                <w:color w:val="000000" w:themeColor="text1"/>
                <w:sz w:val="24"/>
                <w:szCs w:val="24"/>
              </w:rPr>
              <w:t>-</w:t>
            </w:r>
            <w:r w:rsidRPr="004E07E7">
              <w:rPr>
                <w:color w:val="000000" w:themeColor="text1"/>
                <w:spacing w:val="-1"/>
                <w:sz w:val="24"/>
                <w:szCs w:val="24"/>
              </w:rPr>
              <w:t xml:space="preserve"> </w:t>
            </w:r>
            <w:r w:rsidRPr="004E07E7">
              <w:rPr>
                <w:color w:val="000000" w:themeColor="text1"/>
                <w:sz w:val="24"/>
                <w:szCs w:val="24"/>
              </w:rPr>
              <w:t>Fâneţe</w:t>
            </w:r>
            <w:r w:rsidRPr="004E07E7">
              <w:rPr>
                <w:color w:val="000000" w:themeColor="text1"/>
                <w:spacing w:val="-1"/>
                <w:sz w:val="24"/>
                <w:szCs w:val="24"/>
              </w:rPr>
              <w:t xml:space="preserve"> </w:t>
            </w:r>
            <w:r w:rsidRPr="004E07E7">
              <w:rPr>
                <w:color w:val="000000" w:themeColor="text1"/>
                <w:sz w:val="24"/>
                <w:szCs w:val="24"/>
              </w:rPr>
              <w:t>montane</w:t>
            </w:r>
          </w:p>
        </w:tc>
        <w:tc>
          <w:tcPr>
            <w:tcW w:w="2410" w:type="dxa"/>
            <w:vAlign w:val="bottom"/>
          </w:tcPr>
          <w:p w14:paraId="5D7BD204" w14:textId="77777777" w:rsidR="004E07E7" w:rsidRPr="004E07E7" w:rsidRDefault="004E07E7" w:rsidP="00365F5B">
            <w:pPr>
              <w:pStyle w:val="TableParagraph"/>
              <w:ind w:left="93" w:right="87"/>
              <w:jc w:val="both"/>
              <w:rPr>
                <w:color w:val="000000" w:themeColor="text1"/>
              </w:rPr>
            </w:pPr>
            <w:r w:rsidRPr="004E07E7">
              <w:rPr>
                <w:color w:val="000000"/>
              </w:rPr>
              <w:lastRenderedPageBreak/>
              <w:t>ROSCI0002</w:t>
            </w:r>
          </w:p>
        </w:tc>
        <w:tc>
          <w:tcPr>
            <w:tcW w:w="3885" w:type="dxa"/>
            <w:vAlign w:val="bottom"/>
          </w:tcPr>
          <w:p w14:paraId="7234D604" w14:textId="77777777" w:rsidR="004E07E7" w:rsidRPr="004E07E7" w:rsidRDefault="004E07E7" w:rsidP="00365F5B">
            <w:pPr>
              <w:pStyle w:val="TableParagraph"/>
              <w:ind w:left="91" w:right="84"/>
              <w:jc w:val="both"/>
              <w:rPr>
                <w:color w:val="000000" w:themeColor="text1"/>
              </w:rPr>
            </w:pPr>
            <w:r w:rsidRPr="004E07E7">
              <w:rPr>
                <w:color w:val="000000"/>
              </w:rPr>
              <w:t>Apuseni</w:t>
            </w:r>
          </w:p>
        </w:tc>
      </w:tr>
      <w:tr w:rsidR="004E07E7" w:rsidRPr="004E07E7" w14:paraId="4944F074" w14:textId="77777777" w:rsidTr="00993B86">
        <w:trPr>
          <w:trHeight w:val="275"/>
        </w:trPr>
        <w:tc>
          <w:tcPr>
            <w:tcW w:w="3410" w:type="dxa"/>
            <w:vMerge/>
            <w:tcBorders>
              <w:top w:val="nil"/>
            </w:tcBorders>
          </w:tcPr>
          <w:p w14:paraId="49B70BAE" w14:textId="77777777" w:rsidR="004E07E7" w:rsidRPr="004E07E7" w:rsidRDefault="004E07E7" w:rsidP="00365F5B">
            <w:pPr>
              <w:jc w:val="both"/>
              <w:rPr>
                <w:color w:val="000000" w:themeColor="text1"/>
              </w:rPr>
            </w:pPr>
          </w:p>
        </w:tc>
        <w:tc>
          <w:tcPr>
            <w:tcW w:w="2410" w:type="dxa"/>
            <w:vAlign w:val="bottom"/>
          </w:tcPr>
          <w:p w14:paraId="0E47E90E" w14:textId="77777777" w:rsidR="004E07E7" w:rsidRPr="004E07E7" w:rsidRDefault="004E07E7" w:rsidP="00365F5B">
            <w:pPr>
              <w:pStyle w:val="TableParagraph"/>
              <w:ind w:left="93" w:right="87"/>
              <w:jc w:val="both"/>
              <w:rPr>
                <w:color w:val="000000" w:themeColor="text1"/>
              </w:rPr>
            </w:pPr>
            <w:r w:rsidRPr="004E07E7">
              <w:rPr>
                <w:color w:val="000000"/>
              </w:rPr>
              <w:t>ROSCI0009</w:t>
            </w:r>
          </w:p>
        </w:tc>
        <w:tc>
          <w:tcPr>
            <w:tcW w:w="3885" w:type="dxa"/>
            <w:vAlign w:val="bottom"/>
          </w:tcPr>
          <w:p w14:paraId="77C48590" w14:textId="77777777" w:rsidR="004E07E7" w:rsidRPr="004E07E7" w:rsidRDefault="004E07E7" w:rsidP="00365F5B">
            <w:pPr>
              <w:pStyle w:val="TableParagraph"/>
              <w:ind w:left="91" w:right="79"/>
              <w:jc w:val="both"/>
              <w:rPr>
                <w:color w:val="000000" w:themeColor="text1"/>
              </w:rPr>
            </w:pPr>
            <w:r w:rsidRPr="004E07E7">
              <w:rPr>
                <w:color w:val="000000"/>
              </w:rPr>
              <w:t>Bisoca</w:t>
            </w:r>
          </w:p>
        </w:tc>
      </w:tr>
      <w:tr w:rsidR="004E07E7" w:rsidRPr="004E07E7" w14:paraId="4772EF9D" w14:textId="77777777" w:rsidTr="00993B86">
        <w:trPr>
          <w:trHeight w:val="277"/>
        </w:trPr>
        <w:tc>
          <w:tcPr>
            <w:tcW w:w="3410" w:type="dxa"/>
            <w:vMerge/>
            <w:tcBorders>
              <w:top w:val="nil"/>
            </w:tcBorders>
          </w:tcPr>
          <w:p w14:paraId="74C977D1" w14:textId="77777777" w:rsidR="004E07E7" w:rsidRPr="004E07E7" w:rsidRDefault="004E07E7" w:rsidP="00365F5B">
            <w:pPr>
              <w:jc w:val="both"/>
              <w:rPr>
                <w:color w:val="000000" w:themeColor="text1"/>
              </w:rPr>
            </w:pPr>
          </w:p>
        </w:tc>
        <w:tc>
          <w:tcPr>
            <w:tcW w:w="2410" w:type="dxa"/>
            <w:vAlign w:val="bottom"/>
          </w:tcPr>
          <w:p w14:paraId="7006796B" w14:textId="77777777" w:rsidR="004E07E7" w:rsidRPr="004E07E7" w:rsidRDefault="004E07E7" w:rsidP="00365F5B">
            <w:pPr>
              <w:pStyle w:val="TableParagraph"/>
              <w:spacing w:line="258" w:lineRule="exact"/>
              <w:ind w:left="93" w:right="87"/>
              <w:jc w:val="both"/>
              <w:rPr>
                <w:color w:val="000000" w:themeColor="text1"/>
              </w:rPr>
            </w:pPr>
            <w:r w:rsidRPr="004E07E7">
              <w:rPr>
                <w:color w:val="000000"/>
              </w:rPr>
              <w:t>ROSCI0013</w:t>
            </w:r>
          </w:p>
        </w:tc>
        <w:tc>
          <w:tcPr>
            <w:tcW w:w="3885" w:type="dxa"/>
            <w:vAlign w:val="bottom"/>
          </w:tcPr>
          <w:p w14:paraId="436CFEAC" w14:textId="77777777" w:rsidR="004E07E7" w:rsidRPr="004E07E7" w:rsidRDefault="004E07E7" w:rsidP="00365F5B">
            <w:pPr>
              <w:pStyle w:val="TableParagraph"/>
              <w:spacing w:line="258" w:lineRule="exact"/>
              <w:ind w:left="91" w:right="81"/>
              <w:jc w:val="both"/>
              <w:rPr>
                <w:color w:val="000000" w:themeColor="text1"/>
              </w:rPr>
            </w:pPr>
            <w:r w:rsidRPr="004E07E7">
              <w:rPr>
                <w:color w:val="000000"/>
              </w:rPr>
              <w:t>Bucegi</w:t>
            </w:r>
          </w:p>
        </w:tc>
      </w:tr>
      <w:tr w:rsidR="004E07E7" w:rsidRPr="004E07E7" w14:paraId="21960F38" w14:textId="77777777" w:rsidTr="00993B86">
        <w:trPr>
          <w:trHeight w:val="275"/>
        </w:trPr>
        <w:tc>
          <w:tcPr>
            <w:tcW w:w="3410" w:type="dxa"/>
            <w:vMerge/>
            <w:tcBorders>
              <w:top w:val="nil"/>
            </w:tcBorders>
          </w:tcPr>
          <w:p w14:paraId="1F5F3FCA" w14:textId="77777777" w:rsidR="004E07E7" w:rsidRPr="004E07E7" w:rsidRDefault="004E07E7" w:rsidP="00365F5B">
            <w:pPr>
              <w:jc w:val="both"/>
              <w:rPr>
                <w:color w:val="000000" w:themeColor="text1"/>
              </w:rPr>
            </w:pPr>
          </w:p>
        </w:tc>
        <w:tc>
          <w:tcPr>
            <w:tcW w:w="2410" w:type="dxa"/>
            <w:vAlign w:val="bottom"/>
          </w:tcPr>
          <w:p w14:paraId="241EF57C" w14:textId="77777777" w:rsidR="004E07E7" w:rsidRPr="004E07E7" w:rsidRDefault="004E07E7" w:rsidP="00807DA8">
            <w:pPr>
              <w:pStyle w:val="TableParagraph"/>
              <w:ind w:left="93" w:right="87"/>
              <w:jc w:val="both"/>
              <w:rPr>
                <w:color w:val="000000" w:themeColor="text1"/>
              </w:rPr>
            </w:pPr>
            <w:r w:rsidRPr="004E07E7">
              <w:rPr>
                <w:color w:val="000000"/>
              </w:rPr>
              <w:t>ROS</w:t>
            </w:r>
            <w:r w:rsidR="00807DA8">
              <w:rPr>
                <w:color w:val="000000"/>
              </w:rPr>
              <w:t>AC</w:t>
            </w:r>
            <w:r w:rsidRPr="004E07E7">
              <w:rPr>
                <w:color w:val="000000"/>
              </w:rPr>
              <w:t>0015</w:t>
            </w:r>
          </w:p>
        </w:tc>
        <w:tc>
          <w:tcPr>
            <w:tcW w:w="3885" w:type="dxa"/>
            <w:vAlign w:val="bottom"/>
          </w:tcPr>
          <w:p w14:paraId="52BC6C5D" w14:textId="77777777" w:rsidR="004E07E7" w:rsidRPr="004E07E7" w:rsidRDefault="004E07E7" w:rsidP="00365F5B">
            <w:pPr>
              <w:pStyle w:val="TableParagraph"/>
              <w:ind w:left="91" w:right="83"/>
              <w:jc w:val="both"/>
              <w:rPr>
                <w:color w:val="000000" w:themeColor="text1"/>
              </w:rPr>
            </w:pPr>
            <w:r w:rsidRPr="004E07E7">
              <w:rPr>
                <w:color w:val="000000"/>
              </w:rPr>
              <w:t>Buila - Vânturarița</w:t>
            </w:r>
          </w:p>
        </w:tc>
      </w:tr>
      <w:tr w:rsidR="004E07E7" w:rsidRPr="004E07E7" w14:paraId="3C7DF58E" w14:textId="77777777" w:rsidTr="00993B86">
        <w:trPr>
          <w:trHeight w:val="275"/>
        </w:trPr>
        <w:tc>
          <w:tcPr>
            <w:tcW w:w="3410" w:type="dxa"/>
            <w:vMerge/>
            <w:tcBorders>
              <w:top w:val="nil"/>
            </w:tcBorders>
          </w:tcPr>
          <w:p w14:paraId="14D28C3F" w14:textId="77777777" w:rsidR="004E07E7" w:rsidRPr="004E07E7" w:rsidRDefault="004E07E7" w:rsidP="00365F5B">
            <w:pPr>
              <w:jc w:val="both"/>
              <w:rPr>
                <w:color w:val="000000" w:themeColor="text1"/>
              </w:rPr>
            </w:pPr>
          </w:p>
        </w:tc>
        <w:tc>
          <w:tcPr>
            <w:tcW w:w="2410" w:type="dxa"/>
            <w:vAlign w:val="bottom"/>
          </w:tcPr>
          <w:p w14:paraId="6C5B0980" w14:textId="77777777" w:rsidR="004E07E7" w:rsidRPr="004E07E7" w:rsidRDefault="004E07E7" w:rsidP="00365F5B">
            <w:pPr>
              <w:pStyle w:val="TableParagraph"/>
              <w:ind w:left="93" w:right="87"/>
              <w:jc w:val="both"/>
              <w:rPr>
                <w:color w:val="000000" w:themeColor="text1"/>
              </w:rPr>
            </w:pPr>
            <w:r w:rsidRPr="004E07E7">
              <w:rPr>
                <w:color w:val="000000"/>
              </w:rPr>
              <w:t>ROSCI0018</w:t>
            </w:r>
          </w:p>
        </w:tc>
        <w:tc>
          <w:tcPr>
            <w:tcW w:w="3885" w:type="dxa"/>
            <w:vAlign w:val="bottom"/>
          </w:tcPr>
          <w:p w14:paraId="7B8871AD" w14:textId="77777777" w:rsidR="004E07E7" w:rsidRPr="004E07E7" w:rsidRDefault="004E07E7" w:rsidP="00365F5B">
            <w:pPr>
              <w:pStyle w:val="TableParagraph"/>
              <w:ind w:left="91" w:right="79"/>
              <w:jc w:val="both"/>
              <w:rPr>
                <w:color w:val="000000" w:themeColor="text1"/>
              </w:rPr>
            </w:pPr>
            <w:r w:rsidRPr="004E07E7">
              <w:rPr>
                <w:color w:val="000000"/>
              </w:rPr>
              <w:t>Căldările Zăbalei</w:t>
            </w:r>
          </w:p>
        </w:tc>
      </w:tr>
      <w:tr w:rsidR="004E07E7" w:rsidRPr="004E07E7" w14:paraId="28828460" w14:textId="77777777" w:rsidTr="00993B86">
        <w:trPr>
          <w:trHeight w:val="275"/>
        </w:trPr>
        <w:tc>
          <w:tcPr>
            <w:tcW w:w="3410" w:type="dxa"/>
            <w:vMerge/>
            <w:tcBorders>
              <w:top w:val="nil"/>
            </w:tcBorders>
          </w:tcPr>
          <w:p w14:paraId="47421E3B" w14:textId="77777777" w:rsidR="004E07E7" w:rsidRPr="004E07E7" w:rsidRDefault="004E07E7" w:rsidP="00365F5B">
            <w:pPr>
              <w:jc w:val="both"/>
              <w:rPr>
                <w:color w:val="000000" w:themeColor="text1"/>
              </w:rPr>
            </w:pPr>
          </w:p>
        </w:tc>
        <w:tc>
          <w:tcPr>
            <w:tcW w:w="2410" w:type="dxa"/>
            <w:vAlign w:val="bottom"/>
          </w:tcPr>
          <w:p w14:paraId="4E8E8883" w14:textId="77777777" w:rsidR="004E07E7" w:rsidRPr="004E07E7" w:rsidRDefault="004E07E7" w:rsidP="00365F5B">
            <w:pPr>
              <w:pStyle w:val="TableParagraph"/>
              <w:ind w:left="93" w:right="87"/>
              <w:jc w:val="both"/>
              <w:rPr>
                <w:color w:val="000000" w:themeColor="text1"/>
              </w:rPr>
            </w:pPr>
            <w:r w:rsidRPr="004E07E7">
              <w:rPr>
                <w:color w:val="000000"/>
              </w:rPr>
              <w:t>ROSCI0019</w:t>
            </w:r>
          </w:p>
        </w:tc>
        <w:tc>
          <w:tcPr>
            <w:tcW w:w="3885" w:type="dxa"/>
            <w:vAlign w:val="bottom"/>
          </w:tcPr>
          <w:p w14:paraId="4D17E394" w14:textId="77777777" w:rsidR="004E07E7" w:rsidRPr="004E07E7" w:rsidRDefault="004E07E7" w:rsidP="00365F5B">
            <w:pPr>
              <w:pStyle w:val="TableParagraph"/>
              <w:ind w:left="91" w:right="79"/>
              <w:jc w:val="both"/>
              <w:rPr>
                <w:color w:val="000000" w:themeColor="text1"/>
              </w:rPr>
            </w:pPr>
            <w:r w:rsidRPr="004E07E7">
              <w:rPr>
                <w:color w:val="000000"/>
              </w:rPr>
              <w:t>Călimani - Gurghiu</w:t>
            </w:r>
          </w:p>
        </w:tc>
      </w:tr>
      <w:tr w:rsidR="004E07E7" w:rsidRPr="004E07E7" w14:paraId="5B0ECFA7" w14:textId="77777777" w:rsidTr="00993B86">
        <w:trPr>
          <w:trHeight w:val="275"/>
        </w:trPr>
        <w:tc>
          <w:tcPr>
            <w:tcW w:w="3410" w:type="dxa"/>
            <w:vMerge/>
            <w:tcBorders>
              <w:top w:val="nil"/>
            </w:tcBorders>
          </w:tcPr>
          <w:p w14:paraId="321D2806" w14:textId="77777777" w:rsidR="004E07E7" w:rsidRPr="004E07E7" w:rsidRDefault="004E07E7" w:rsidP="00365F5B">
            <w:pPr>
              <w:jc w:val="both"/>
              <w:rPr>
                <w:color w:val="000000" w:themeColor="text1"/>
              </w:rPr>
            </w:pPr>
          </w:p>
        </w:tc>
        <w:tc>
          <w:tcPr>
            <w:tcW w:w="2410" w:type="dxa"/>
            <w:vAlign w:val="bottom"/>
          </w:tcPr>
          <w:p w14:paraId="23953D28" w14:textId="77777777" w:rsidR="004E07E7" w:rsidRPr="004E07E7" w:rsidRDefault="004E07E7" w:rsidP="00365F5B">
            <w:pPr>
              <w:pStyle w:val="TableParagraph"/>
              <w:ind w:left="93" w:right="87"/>
              <w:jc w:val="both"/>
              <w:rPr>
                <w:color w:val="000000" w:themeColor="text1"/>
              </w:rPr>
            </w:pPr>
            <w:r w:rsidRPr="004E07E7">
              <w:rPr>
                <w:color w:val="000000"/>
              </w:rPr>
              <w:t>ROSCI0023</w:t>
            </w:r>
          </w:p>
        </w:tc>
        <w:tc>
          <w:tcPr>
            <w:tcW w:w="3885" w:type="dxa"/>
            <w:vAlign w:val="bottom"/>
          </w:tcPr>
          <w:p w14:paraId="2F57EC3E" w14:textId="77777777" w:rsidR="004E07E7" w:rsidRPr="004E07E7" w:rsidRDefault="004E07E7" w:rsidP="00365F5B">
            <w:pPr>
              <w:pStyle w:val="TableParagraph"/>
              <w:ind w:left="91" w:right="85"/>
              <w:jc w:val="both"/>
              <w:rPr>
                <w:color w:val="000000" w:themeColor="text1"/>
              </w:rPr>
            </w:pPr>
            <w:r w:rsidRPr="004E07E7">
              <w:rPr>
                <w:color w:val="000000"/>
              </w:rPr>
              <w:t>Cascada Mișina</w:t>
            </w:r>
          </w:p>
        </w:tc>
      </w:tr>
      <w:tr w:rsidR="004E07E7" w:rsidRPr="004E07E7" w14:paraId="1FC34A6A" w14:textId="77777777" w:rsidTr="004E07E7">
        <w:trPr>
          <w:trHeight w:val="275"/>
        </w:trPr>
        <w:tc>
          <w:tcPr>
            <w:tcW w:w="3410" w:type="dxa"/>
            <w:vMerge/>
            <w:tcBorders>
              <w:top w:val="nil"/>
            </w:tcBorders>
          </w:tcPr>
          <w:p w14:paraId="62411E4B" w14:textId="77777777" w:rsidR="004E07E7" w:rsidRPr="004E07E7" w:rsidRDefault="004E07E7" w:rsidP="00365F5B">
            <w:pPr>
              <w:jc w:val="both"/>
              <w:rPr>
                <w:color w:val="000000" w:themeColor="text1"/>
              </w:rPr>
            </w:pPr>
          </w:p>
        </w:tc>
        <w:tc>
          <w:tcPr>
            <w:tcW w:w="2410" w:type="dxa"/>
          </w:tcPr>
          <w:p w14:paraId="77342146" w14:textId="77777777" w:rsidR="004E07E7" w:rsidRPr="004E07E7" w:rsidRDefault="004E07E7" w:rsidP="004E07E7">
            <w:pPr>
              <w:pStyle w:val="TableParagraph"/>
              <w:ind w:left="93" w:right="87"/>
              <w:rPr>
                <w:color w:val="000000" w:themeColor="text1"/>
              </w:rPr>
            </w:pPr>
            <w:r w:rsidRPr="004E07E7">
              <w:rPr>
                <w:color w:val="000000"/>
              </w:rPr>
              <w:t>ROSCI0024</w:t>
            </w:r>
          </w:p>
        </w:tc>
        <w:tc>
          <w:tcPr>
            <w:tcW w:w="3885" w:type="dxa"/>
          </w:tcPr>
          <w:p w14:paraId="25ED6834" w14:textId="77777777" w:rsidR="004E07E7" w:rsidRPr="004E07E7" w:rsidRDefault="004E07E7" w:rsidP="004E07E7">
            <w:pPr>
              <w:pStyle w:val="TableParagraph"/>
              <w:ind w:left="89" w:right="85"/>
              <w:rPr>
                <w:color w:val="000000" w:themeColor="text1"/>
              </w:rPr>
            </w:pPr>
            <w:r w:rsidRPr="004E07E7">
              <w:rPr>
                <w:color w:val="000000"/>
              </w:rPr>
              <w:t>Ceahlău</w:t>
            </w:r>
          </w:p>
        </w:tc>
      </w:tr>
      <w:tr w:rsidR="004E07E7" w:rsidRPr="004E07E7" w14:paraId="50BE015D" w14:textId="77777777" w:rsidTr="004E07E7">
        <w:trPr>
          <w:trHeight w:val="275"/>
        </w:trPr>
        <w:tc>
          <w:tcPr>
            <w:tcW w:w="3410" w:type="dxa"/>
            <w:vMerge/>
            <w:tcBorders>
              <w:top w:val="nil"/>
            </w:tcBorders>
          </w:tcPr>
          <w:p w14:paraId="220A8ED7" w14:textId="77777777" w:rsidR="004E07E7" w:rsidRPr="004E07E7" w:rsidRDefault="004E07E7" w:rsidP="00365F5B">
            <w:pPr>
              <w:jc w:val="both"/>
              <w:rPr>
                <w:color w:val="000000" w:themeColor="text1"/>
              </w:rPr>
            </w:pPr>
          </w:p>
        </w:tc>
        <w:tc>
          <w:tcPr>
            <w:tcW w:w="2410" w:type="dxa"/>
          </w:tcPr>
          <w:p w14:paraId="0A1688C7" w14:textId="77777777" w:rsidR="004E07E7" w:rsidRPr="004E07E7" w:rsidRDefault="004E07E7" w:rsidP="00807DA8">
            <w:pPr>
              <w:pStyle w:val="TableParagraph"/>
              <w:ind w:left="93" w:right="87"/>
              <w:rPr>
                <w:color w:val="000000" w:themeColor="text1"/>
              </w:rPr>
            </w:pPr>
            <w:r w:rsidRPr="004E07E7">
              <w:rPr>
                <w:color w:val="000000"/>
              </w:rPr>
              <w:t>ROS</w:t>
            </w:r>
            <w:r w:rsidR="00807DA8">
              <w:rPr>
                <w:color w:val="000000"/>
              </w:rPr>
              <w:t>AC</w:t>
            </w:r>
            <w:r w:rsidRPr="004E07E7">
              <w:rPr>
                <w:color w:val="000000"/>
              </w:rPr>
              <w:t>0027</w:t>
            </w:r>
          </w:p>
        </w:tc>
        <w:tc>
          <w:tcPr>
            <w:tcW w:w="3885" w:type="dxa"/>
          </w:tcPr>
          <w:p w14:paraId="1D89F663" w14:textId="77777777" w:rsidR="004E07E7" w:rsidRPr="004E07E7" w:rsidRDefault="004E07E7" w:rsidP="004E07E7">
            <w:pPr>
              <w:pStyle w:val="TableParagraph"/>
              <w:ind w:left="91" w:right="81"/>
              <w:rPr>
                <w:color w:val="000000" w:themeColor="text1"/>
              </w:rPr>
            </w:pPr>
            <w:r w:rsidRPr="004E07E7">
              <w:rPr>
                <w:color w:val="000000"/>
              </w:rPr>
              <w:t>Cheile Bicazului - Hășmaș</w:t>
            </w:r>
          </w:p>
        </w:tc>
      </w:tr>
      <w:tr w:rsidR="004E07E7" w:rsidRPr="004E07E7" w14:paraId="277FCEA0" w14:textId="77777777" w:rsidTr="004E07E7">
        <w:trPr>
          <w:trHeight w:val="277"/>
        </w:trPr>
        <w:tc>
          <w:tcPr>
            <w:tcW w:w="3410" w:type="dxa"/>
            <w:vMerge/>
            <w:tcBorders>
              <w:top w:val="nil"/>
            </w:tcBorders>
          </w:tcPr>
          <w:p w14:paraId="24473EFA" w14:textId="77777777" w:rsidR="004E07E7" w:rsidRPr="004E07E7" w:rsidRDefault="004E07E7" w:rsidP="00365F5B">
            <w:pPr>
              <w:jc w:val="both"/>
              <w:rPr>
                <w:color w:val="000000" w:themeColor="text1"/>
              </w:rPr>
            </w:pPr>
          </w:p>
        </w:tc>
        <w:tc>
          <w:tcPr>
            <w:tcW w:w="2410" w:type="dxa"/>
          </w:tcPr>
          <w:p w14:paraId="5C47CFC4" w14:textId="77777777" w:rsidR="004E07E7" w:rsidRPr="004E07E7" w:rsidRDefault="004E07E7" w:rsidP="00807DA8">
            <w:pPr>
              <w:pStyle w:val="TableParagraph"/>
              <w:spacing w:line="258" w:lineRule="exact"/>
              <w:ind w:left="94" w:right="87"/>
              <w:rPr>
                <w:color w:val="000000" w:themeColor="text1"/>
              </w:rPr>
            </w:pPr>
            <w:r w:rsidRPr="004E07E7">
              <w:rPr>
                <w:color w:val="000000"/>
              </w:rPr>
              <w:t>ROS</w:t>
            </w:r>
            <w:r w:rsidR="00807DA8">
              <w:rPr>
                <w:color w:val="000000"/>
              </w:rPr>
              <w:t>AC</w:t>
            </w:r>
            <w:r w:rsidRPr="004E07E7">
              <w:rPr>
                <w:color w:val="000000"/>
              </w:rPr>
              <w:t>0033</w:t>
            </w:r>
          </w:p>
        </w:tc>
        <w:tc>
          <w:tcPr>
            <w:tcW w:w="3885" w:type="dxa"/>
          </w:tcPr>
          <w:p w14:paraId="49FA6EF7" w14:textId="77777777" w:rsidR="004E07E7" w:rsidRPr="004E07E7" w:rsidRDefault="004E07E7" w:rsidP="004E07E7">
            <w:pPr>
              <w:pStyle w:val="TableParagraph"/>
              <w:spacing w:line="258" w:lineRule="exact"/>
              <w:ind w:left="91" w:right="81"/>
              <w:rPr>
                <w:color w:val="000000" w:themeColor="text1"/>
              </w:rPr>
            </w:pPr>
            <w:r w:rsidRPr="004E07E7">
              <w:rPr>
                <w:color w:val="000000"/>
              </w:rPr>
              <w:t>Cheile Șugăului - Munticelu</w:t>
            </w:r>
          </w:p>
        </w:tc>
      </w:tr>
      <w:tr w:rsidR="004E07E7" w:rsidRPr="004E07E7" w14:paraId="039B207D" w14:textId="77777777" w:rsidTr="004E07E7">
        <w:trPr>
          <w:trHeight w:val="275"/>
        </w:trPr>
        <w:tc>
          <w:tcPr>
            <w:tcW w:w="3410" w:type="dxa"/>
            <w:vMerge/>
            <w:tcBorders>
              <w:top w:val="nil"/>
            </w:tcBorders>
          </w:tcPr>
          <w:p w14:paraId="6D26A23E" w14:textId="77777777" w:rsidR="004E07E7" w:rsidRPr="004E07E7" w:rsidRDefault="004E07E7" w:rsidP="00365F5B">
            <w:pPr>
              <w:jc w:val="both"/>
              <w:rPr>
                <w:color w:val="000000" w:themeColor="text1"/>
              </w:rPr>
            </w:pPr>
          </w:p>
        </w:tc>
        <w:tc>
          <w:tcPr>
            <w:tcW w:w="2410" w:type="dxa"/>
          </w:tcPr>
          <w:p w14:paraId="7E2B27B8" w14:textId="77777777" w:rsidR="004E07E7" w:rsidRPr="004E07E7" w:rsidRDefault="004E07E7" w:rsidP="004E07E7">
            <w:pPr>
              <w:pStyle w:val="TableParagraph"/>
              <w:ind w:left="93" w:right="87"/>
              <w:rPr>
                <w:color w:val="000000" w:themeColor="text1"/>
              </w:rPr>
            </w:pPr>
            <w:r w:rsidRPr="004E07E7">
              <w:rPr>
                <w:color w:val="000000"/>
              </w:rPr>
              <w:t>ROSCI0038</w:t>
            </w:r>
          </w:p>
        </w:tc>
        <w:tc>
          <w:tcPr>
            <w:tcW w:w="3885" w:type="dxa"/>
          </w:tcPr>
          <w:p w14:paraId="589FC025" w14:textId="77777777" w:rsidR="004E07E7" w:rsidRPr="004E07E7" w:rsidRDefault="004E07E7" w:rsidP="004E07E7">
            <w:pPr>
              <w:pStyle w:val="TableParagraph"/>
              <w:ind w:left="91" w:right="81"/>
              <w:rPr>
                <w:color w:val="000000" w:themeColor="text1"/>
              </w:rPr>
            </w:pPr>
            <w:r w:rsidRPr="004E07E7">
              <w:rPr>
                <w:color w:val="000000"/>
              </w:rPr>
              <w:t>Ciucaș</w:t>
            </w:r>
          </w:p>
        </w:tc>
      </w:tr>
      <w:tr w:rsidR="004E07E7" w:rsidRPr="004E07E7" w14:paraId="62CABEBB" w14:textId="77777777" w:rsidTr="004E07E7">
        <w:trPr>
          <w:trHeight w:val="275"/>
        </w:trPr>
        <w:tc>
          <w:tcPr>
            <w:tcW w:w="3410" w:type="dxa"/>
            <w:vMerge/>
            <w:tcBorders>
              <w:top w:val="nil"/>
            </w:tcBorders>
          </w:tcPr>
          <w:p w14:paraId="713A151A" w14:textId="77777777" w:rsidR="004E07E7" w:rsidRPr="004E07E7" w:rsidRDefault="004E07E7" w:rsidP="00365F5B">
            <w:pPr>
              <w:jc w:val="both"/>
              <w:rPr>
                <w:color w:val="000000" w:themeColor="text1"/>
              </w:rPr>
            </w:pPr>
          </w:p>
        </w:tc>
        <w:tc>
          <w:tcPr>
            <w:tcW w:w="2410" w:type="dxa"/>
          </w:tcPr>
          <w:p w14:paraId="5C488167" w14:textId="77777777" w:rsidR="004E07E7" w:rsidRPr="004E07E7" w:rsidRDefault="004E07E7" w:rsidP="00807DA8">
            <w:pPr>
              <w:pStyle w:val="TableParagraph"/>
              <w:ind w:left="93" w:right="87"/>
              <w:rPr>
                <w:color w:val="000000" w:themeColor="text1"/>
              </w:rPr>
            </w:pPr>
            <w:r w:rsidRPr="004E07E7">
              <w:rPr>
                <w:color w:val="000000"/>
              </w:rPr>
              <w:t>ROS</w:t>
            </w:r>
            <w:r w:rsidR="00807DA8">
              <w:rPr>
                <w:color w:val="000000"/>
              </w:rPr>
              <w:t>AC</w:t>
            </w:r>
            <w:r w:rsidRPr="004E07E7">
              <w:rPr>
                <w:color w:val="000000"/>
              </w:rPr>
              <w:t>0046</w:t>
            </w:r>
          </w:p>
        </w:tc>
        <w:tc>
          <w:tcPr>
            <w:tcW w:w="3885" w:type="dxa"/>
          </w:tcPr>
          <w:p w14:paraId="6499291A" w14:textId="77777777" w:rsidR="004E07E7" w:rsidRPr="004E07E7" w:rsidRDefault="004E07E7" w:rsidP="004E07E7">
            <w:pPr>
              <w:pStyle w:val="TableParagraph"/>
              <w:ind w:left="91" w:right="82"/>
              <w:rPr>
                <w:color w:val="000000" w:themeColor="text1"/>
              </w:rPr>
            </w:pPr>
            <w:r w:rsidRPr="004E07E7">
              <w:rPr>
                <w:color w:val="000000"/>
              </w:rPr>
              <w:t>Cozia</w:t>
            </w:r>
          </w:p>
        </w:tc>
      </w:tr>
      <w:tr w:rsidR="004E07E7" w:rsidRPr="004E07E7" w14:paraId="7946C68C" w14:textId="77777777" w:rsidTr="004E07E7">
        <w:trPr>
          <w:trHeight w:val="275"/>
        </w:trPr>
        <w:tc>
          <w:tcPr>
            <w:tcW w:w="3410" w:type="dxa"/>
            <w:vMerge/>
            <w:tcBorders>
              <w:top w:val="nil"/>
            </w:tcBorders>
          </w:tcPr>
          <w:p w14:paraId="1704088B" w14:textId="77777777" w:rsidR="004E07E7" w:rsidRPr="004E07E7" w:rsidRDefault="004E07E7" w:rsidP="00365F5B">
            <w:pPr>
              <w:jc w:val="both"/>
              <w:rPr>
                <w:color w:val="000000" w:themeColor="text1"/>
              </w:rPr>
            </w:pPr>
          </w:p>
        </w:tc>
        <w:tc>
          <w:tcPr>
            <w:tcW w:w="2410" w:type="dxa"/>
          </w:tcPr>
          <w:p w14:paraId="10C87299" w14:textId="77777777" w:rsidR="004E07E7" w:rsidRPr="004E07E7" w:rsidRDefault="004E07E7" w:rsidP="00807DA8">
            <w:pPr>
              <w:pStyle w:val="TableParagraph"/>
              <w:ind w:left="93" w:right="87"/>
              <w:rPr>
                <w:color w:val="000000" w:themeColor="text1"/>
              </w:rPr>
            </w:pPr>
            <w:r w:rsidRPr="004E07E7">
              <w:rPr>
                <w:color w:val="000000"/>
              </w:rPr>
              <w:t>ROS</w:t>
            </w:r>
            <w:r w:rsidR="00807DA8">
              <w:rPr>
                <w:color w:val="000000"/>
              </w:rPr>
              <w:t>AC</w:t>
            </w:r>
            <w:r w:rsidRPr="004E07E7">
              <w:rPr>
                <w:color w:val="000000"/>
              </w:rPr>
              <w:t>0047</w:t>
            </w:r>
          </w:p>
        </w:tc>
        <w:tc>
          <w:tcPr>
            <w:tcW w:w="3885" w:type="dxa"/>
          </w:tcPr>
          <w:p w14:paraId="74E11099" w14:textId="77777777" w:rsidR="004E07E7" w:rsidRPr="004E07E7" w:rsidRDefault="004E07E7" w:rsidP="004E07E7">
            <w:pPr>
              <w:pStyle w:val="TableParagraph"/>
              <w:ind w:left="91" w:right="85"/>
              <w:rPr>
                <w:color w:val="000000" w:themeColor="text1"/>
              </w:rPr>
            </w:pPr>
            <w:r w:rsidRPr="004E07E7">
              <w:rPr>
                <w:color w:val="000000"/>
              </w:rPr>
              <w:t>Creasta Nemirei</w:t>
            </w:r>
          </w:p>
        </w:tc>
      </w:tr>
      <w:tr w:rsidR="004E07E7" w:rsidRPr="004E07E7" w14:paraId="04D9F6DD" w14:textId="77777777" w:rsidTr="004E07E7">
        <w:trPr>
          <w:trHeight w:val="275"/>
        </w:trPr>
        <w:tc>
          <w:tcPr>
            <w:tcW w:w="3410" w:type="dxa"/>
            <w:vMerge/>
            <w:tcBorders>
              <w:top w:val="nil"/>
            </w:tcBorders>
          </w:tcPr>
          <w:p w14:paraId="2B3BEA90" w14:textId="77777777" w:rsidR="004E07E7" w:rsidRPr="004E07E7" w:rsidRDefault="004E07E7" w:rsidP="00365F5B">
            <w:pPr>
              <w:jc w:val="both"/>
              <w:rPr>
                <w:color w:val="000000" w:themeColor="text1"/>
              </w:rPr>
            </w:pPr>
          </w:p>
        </w:tc>
        <w:tc>
          <w:tcPr>
            <w:tcW w:w="2410" w:type="dxa"/>
          </w:tcPr>
          <w:p w14:paraId="34A259F9" w14:textId="77777777" w:rsidR="004E07E7" w:rsidRPr="004E07E7" w:rsidRDefault="004E07E7" w:rsidP="00807DA8">
            <w:pPr>
              <w:pStyle w:val="TableParagraph"/>
              <w:ind w:left="93" w:right="87"/>
              <w:rPr>
                <w:color w:val="000000" w:themeColor="text1"/>
              </w:rPr>
            </w:pPr>
            <w:r w:rsidRPr="004E07E7">
              <w:rPr>
                <w:color w:val="000000"/>
              </w:rPr>
              <w:t>ROS</w:t>
            </w:r>
            <w:r w:rsidR="00807DA8">
              <w:rPr>
                <w:color w:val="000000"/>
              </w:rPr>
              <w:t>AC</w:t>
            </w:r>
            <w:r w:rsidRPr="004E07E7">
              <w:rPr>
                <w:color w:val="000000"/>
              </w:rPr>
              <w:t>0051</w:t>
            </w:r>
          </w:p>
        </w:tc>
        <w:tc>
          <w:tcPr>
            <w:tcW w:w="3885" w:type="dxa"/>
          </w:tcPr>
          <w:p w14:paraId="5362801F" w14:textId="77777777" w:rsidR="004E07E7" w:rsidRPr="004E07E7" w:rsidRDefault="004E07E7" w:rsidP="004E07E7">
            <w:pPr>
              <w:pStyle w:val="TableParagraph"/>
              <w:ind w:left="91" w:right="80"/>
              <w:rPr>
                <w:color w:val="000000" w:themeColor="text1"/>
              </w:rPr>
            </w:pPr>
            <w:r w:rsidRPr="004E07E7">
              <w:rPr>
                <w:color w:val="000000"/>
              </w:rPr>
              <w:t>Cușma</w:t>
            </w:r>
          </w:p>
        </w:tc>
      </w:tr>
      <w:tr w:rsidR="004E07E7" w:rsidRPr="004E07E7" w14:paraId="53147E56" w14:textId="77777777" w:rsidTr="004E07E7">
        <w:trPr>
          <w:trHeight w:val="275"/>
        </w:trPr>
        <w:tc>
          <w:tcPr>
            <w:tcW w:w="3410" w:type="dxa"/>
            <w:vMerge/>
            <w:tcBorders>
              <w:top w:val="nil"/>
            </w:tcBorders>
          </w:tcPr>
          <w:p w14:paraId="38E02858" w14:textId="77777777" w:rsidR="004E07E7" w:rsidRPr="004E07E7" w:rsidRDefault="004E07E7" w:rsidP="00365F5B">
            <w:pPr>
              <w:jc w:val="both"/>
              <w:rPr>
                <w:color w:val="000000" w:themeColor="text1"/>
              </w:rPr>
            </w:pPr>
          </w:p>
        </w:tc>
        <w:tc>
          <w:tcPr>
            <w:tcW w:w="2410" w:type="dxa"/>
          </w:tcPr>
          <w:p w14:paraId="0A788A52" w14:textId="77777777" w:rsidR="004E07E7" w:rsidRPr="004E07E7" w:rsidRDefault="004E07E7" w:rsidP="00807DA8">
            <w:pPr>
              <w:pStyle w:val="TableParagraph"/>
              <w:ind w:left="93" w:right="87"/>
              <w:rPr>
                <w:color w:val="000000" w:themeColor="text1"/>
              </w:rPr>
            </w:pPr>
            <w:r w:rsidRPr="004E07E7">
              <w:rPr>
                <w:color w:val="000000"/>
              </w:rPr>
              <w:t>ROS</w:t>
            </w:r>
            <w:r w:rsidR="00807DA8">
              <w:rPr>
                <w:color w:val="000000"/>
              </w:rPr>
              <w:t>AC</w:t>
            </w:r>
            <w:r w:rsidRPr="004E07E7">
              <w:rPr>
                <w:color w:val="000000"/>
              </w:rPr>
              <w:t>0062</w:t>
            </w:r>
          </w:p>
        </w:tc>
        <w:tc>
          <w:tcPr>
            <w:tcW w:w="3885" w:type="dxa"/>
          </w:tcPr>
          <w:p w14:paraId="4D5F10CE" w14:textId="77777777" w:rsidR="004E07E7" w:rsidRPr="004E07E7" w:rsidRDefault="004E07E7" w:rsidP="004E07E7">
            <w:pPr>
              <w:pStyle w:val="TableParagraph"/>
              <w:ind w:left="91" w:right="82"/>
              <w:rPr>
                <w:color w:val="000000" w:themeColor="text1"/>
              </w:rPr>
            </w:pPr>
            <w:r w:rsidRPr="004E07E7">
              <w:rPr>
                <w:color w:val="000000"/>
              </w:rPr>
              <w:t>Defileul Crișului Repede - Pădurea Craiului</w:t>
            </w:r>
          </w:p>
        </w:tc>
      </w:tr>
      <w:tr w:rsidR="004E07E7" w:rsidRPr="004E07E7" w14:paraId="48816604" w14:textId="77777777" w:rsidTr="004E07E7">
        <w:trPr>
          <w:trHeight w:val="277"/>
        </w:trPr>
        <w:tc>
          <w:tcPr>
            <w:tcW w:w="3410" w:type="dxa"/>
            <w:vMerge/>
            <w:tcBorders>
              <w:top w:val="nil"/>
            </w:tcBorders>
          </w:tcPr>
          <w:p w14:paraId="543F785E" w14:textId="77777777" w:rsidR="004E07E7" w:rsidRPr="004E07E7" w:rsidRDefault="004E07E7" w:rsidP="00365F5B">
            <w:pPr>
              <w:jc w:val="both"/>
              <w:rPr>
                <w:color w:val="000000" w:themeColor="text1"/>
              </w:rPr>
            </w:pPr>
          </w:p>
        </w:tc>
        <w:tc>
          <w:tcPr>
            <w:tcW w:w="2410" w:type="dxa"/>
          </w:tcPr>
          <w:p w14:paraId="21F980CC" w14:textId="77777777" w:rsidR="004E07E7" w:rsidRPr="004E07E7" w:rsidRDefault="000521DB" w:rsidP="004E07E7">
            <w:pPr>
              <w:pStyle w:val="TableParagraph"/>
              <w:spacing w:line="258" w:lineRule="exact"/>
              <w:ind w:left="93" w:right="87"/>
              <w:rPr>
                <w:color w:val="000000" w:themeColor="text1"/>
              </w:rPr>
            </w:pPr>
            <w:r>
              <w:rPr>
                <w:color w:val="000000"/>
              </w:rPr>
              <w:t>ROSAC0069</w:t>
            </w:r>
          </w:p>
        </w:tc>
        <w:tc>
          <w:tcPr>
            <w:tcW w:w="3885" w:type="dxa"/>
          </w:tcPr>
          <w:p w14:paraId="7BCED2FE" w14:textId="77777777" w:rsidR="004E07E7" w:rsidRPr="004E07E7" w:rsidRDefault="004E07E7" w:rsidP="004E07E7">
            <w:pPr>
              <w:pStyle w:val="TableParagraph"/>
              <w:spacing w:line="258" w:lineRule="exact"/>
              <w:ind w:left="91" w:right="84"/>
              <w:rPr>
                <w:color w:val="000000" w:themeColor="text1"/>
              </w:rPr>
            </w:pPr>
            <w:r w:rsidRPr="004E07E7">
              <w:rPr>
                <w:color w:val="000000"/>
              </w:rPr>
              <w:t>Domogled - Valea Cernei</w:t>
            </w:r>
          </w:p>
        </w:tc>
      </w:tr>
      <w:tr w:rsidR="004E07E7" w:rsidRPr="004E07E7" w14:paraId="59A42167" w14:textId="77777777" w:rsidTr="004E07E7">
        <w:trPr>
          <w:trHeight w:val="275"/>
        </w:trPr>
        <w:tc>
          <w:tcPr>
            <w:tcW w:w="3410" w:type="dxa"/>
            <w:vMerge/>
            <w:tcBorders>
              <w:top w:val="nil"/>
            </w:tcBorders>
          </w:tcPr>
          <w:p w14:paraId="27337827" w14:textId="77777777" w:rsidR="004E07E7" w:rsidRPr="004E07E7" w:rsidRDefault="004E07E7" w:rsidP="00365F5B">
            <w:pPr>
              <w:jc w:val="both"/>
              <w:rPr>
                <w:color w:val="000000" w:themeColor="text1"/>
              </w:rPr>
            </w:pPr>
          </w:p>
        </w:tc>
        <w:tc>
          <w:tcPr>
            <w:tcW w:w="2410" w:type="dxa"/>
          </w:tcPr>
          <w:p w14:paraId="7C953BB1" w14:textId="77777777" w:rsidR="004E07E7" w:rsidRPr="004E07E7" w:rsidRDefault="004E07E7" w:rsidP="00807DA8">
            <w:pPr>
              <w:pStyle w:val="TableParagraph"/>
              <w:ind w:left="93" w:right="87"/>
              <w:rPr>
                <w:color w:val="000000" w:themeColor="text1"/>
              </w:rPr>
            </w:pPr>
            <w:r w:rsidRPr="004E07E7">
              <w:rPr>
                <w:color w:val="000000"/>
              </w:rPr>
              <w:t>ROS</w:t>
            </w:r>
            <w:r w:rsidR="00807DA8">
              <w:rPr>
                <w:color w:val="000000"/>
              </w:rPr>
              <w:t>AC</w:t>
            </w:r>
            <w:r w:rsidRPr="004E07E7">
              <w:rPr>
                <w:color w:val="000000"/>
              </w:rPr>
              <w:t>0085</w:t>
            </w:r>
          </w:p>
        </w:tc>
        <w:tc>
          <w:tcPr>
            <w:tcW w:w="3885" w:type="dxa"/>
          </w:tcPr>
          <w:p w14:paraId="041FF91B" w14:textId="77777777" w:rsidR="004E07E7" w:rsidRPr="004E07E7" w:rsidRDefault="004E07E7" w:rsidP="004E07E7">
            <w:pPr>
              <w:pStyle w:val="TableParagraph"/>
              <w:ind w:left="91" w:right="81"/>
              <w:rPr>
                <w:color w:val="000000" w:themeColor="text1"/>
              </w:rPr>
            </w:pPr>
            <w:r w:rsidRPr="004E07E7">
              <w:rPr>
                <w:color w:val="000000"/>
              </w:rPr>
              <w:t>Frumoasa</w:t>
            </w:r>
          </w:p>
        </w:tc>
      </w:tr>
      <w:tr w:rsidR="004E07E7" w:rsidRPr="004E07E7" w14:paraId="5FB85C4F" w14:textId="77777777" w:rsidTr="004E07E7">
        <w:trPr>
          <w:trHeight w:val="276"/>
        </w:trPr>
        <w:tc>
          <w:tcPr>
            <w:tcW w:w="3410" w:type="dxa"/>
            <w:vMerge/>
            <w:tcBorders>
              <w:top w:val="nil"/>
            </w:tcBorders>
          </w:tcPr>
          <w:p w14:paraId="08A246C9" w14:textId="77777777" w:rsidR="004E07E7" w:rsidRPr="004E07E7" w:rsidRDefault="004E07E7" w:rsidP="00365F5B">
            <w:pPr>
              <w:jc w:val="both"/>
              <w:rPr>
                <w:color w:val="000000" w:themeColor="text1"/>
              </w:rPr>
            </w:pPr>
          </w:p>
        </w:tc>
        <w:tc>
          <w:tcPr>
            <w:tcW w:w="2410" w:type="dxa"/>
          </w:tcPr>
          <w:p w14:paraId="548242BE" w14:textId="77777777" w:rsidR="004E07E7" w:rsidRPr="004E07E7" w:rsidRDefault="004E07E7" w:rsidP="004E07E7">
            <w:pPr>
              <w:pStyle w:val="TableParagraph"/>
              <w:ind w:left="93" w:right="87"/>
              <w:rPr>
                <w:color w:val="000000" w:themeColor="text1"/>
              </w:rPr>
            </w:pPr>
            <w:r w:rsidRPr="004E07E7">
              <w:rPr>
                <w:color w:val="000000"/>
              </w:rPr>
              <w:t>ROSCI0087</w:t>
            </w:r>
          </w:p>
        </w:tc>
        <w:tc>
          <w:tcPr>
            <w:tcW w:w="3885" w:type="dxa"/>
          </w:tcPr>
          <w:p w14:paraId="244755EE" w14:textId="77777777" w:rsidR="004E07E7" w:rsidRPr="004E07E7" w:rsidRDefault="004E07E7" w:rsidP="004E07E7">
            <w:pPr>
              <w:pStyle w:val="TableParagraph"/>
              <w:ind w:left="89" w:right="85"/>
              <w:rPr>
                <w:color w:val="000000" w:themeColor="text1"/>
              </w:rPr>
            </w:pPr>
            <w:r w:rsidRPr="004E07E7">
              <w:rPr>
                <w:color w:val="000000"/>
              </w:rPr>
              <w:t>Grădiștea Muncelului - Cioclovina</w:t>
            </w:r>
          </w:p>
        </w:tc>
      </w:tr>
      <w:tr w:rsidR="004E07E7" w:rsidRPr="004E07E7" w14:paraId="635C0948" w14:textId="77777777" w:rsidTr="004E07E7">
        <w:trPr>
          <w:trHeight w:val="275"/>
        </w:trPr>
        <w:tc>
          <w:tcPr>
            <w:tcW w:w="3410" w:type="dxa"/>
            <w:vMerge/>
            <w:tcBorders>
              <w:top w:val="nil"/>
            </w:tcBorders>
          </w:tcPr>
          <w:p w14:paraId="3EBA1C2A" w14:textId="77777777" w:rsidR="004E07E7" w:rsidRPr="004E07E7" w:rsidRDefault="004E07E7" w:rsidP="00365F5B">
            <w:pPr>
              <w:jc w:val="both"/>
              <w:rPr>
                <w:color w:val="000000" w:themeColor="text1"/>
              </w:rPr>
            </w:pPr>
          </w:p>
        </w:tc>
        <w:tc>
          <w:tcPr>
            <w:tcW w:w="2410" w:type="dxa"/>
          </w:tcPr>
          <w:p w14:paraId="04D74C75" w14:textId="77777777" w:rsidR="004E07E7" w:rsidRPr="004E07E7" w:rsidRDefault="004E07E7" w:rsidP="00807DA8">
            <w:pPr>
              <w:pStyle w:val="TableParagraph"/>
              <w:ind w:left="93" w:right="87"/>
              <w:rPr>
                <w:color w:val="000000" w:themeColor="text1"/>
              </w:rPr>
            </w:pPr>
            <w:r w:rsidRPr="004E07E7">
              <w:rPr>
                <w:color w:val="000000"/>
              </w:rPr>
              <w:t>ROS</w:t>
            </w:r>
            <w:r w:rsidR="00807DA8">
              <w:rPr>
                <w:color w:val="000000"/>
              </w:rPr>
              <w:t>AC</w:t>
            </w:r>
            <w:r w:rsidRPr="004E07E7">
              <w:rPr>
                <w:color w:val="000000"/>
              </w:rPr>
              <w:t>0090</w:t>
            </w:r>
          </w:p>
        </w:tc>
        <w:tc>
          <w:tcPr>
            <w:tcW w:w="3885" w:type="dxa"/>
          </w:tcPr>
          <w:p w14:paraId="529CC5C5" w14:textId="77777777" w:rsidR="004E07E7" w:rsidRPr="004E07E7" w:rsidRDefault="004E07E7" w:rsidP="004E07E7">
            <w:pPr>
              <w:pStyle w:val="TableParagraph"/>
              <w:ind w:left="91" w:right="82"/>
              <w:rPr>
                <w:color w:val="000000" w:themeColor="text1"/>
              </w:rPr>
            </w:pPr>
            <w:r w:rsidRPr="004E07E7">
              <w:rPr>
                <w:color w:val="000000"/>
              </w:rPr>
              <w:t>Harghita Mădăraș</w:t>
            </w:r>
          </w:p>
        </w:tc>
      </w:tr>
      <w:tr w:rsidR="004E07E7" w:rsidRPr="004E07E7" w14:paraId="55B4BA1C" w14:textId="77777777" w:rsidTr="004E07E7">
        <w:trPr>
          <w:trHeight w:val="275"/>
        </w:trPr>
        <w:tc>
          <w:tcPr>
            <w:tcW w:w="3410" w:type="dxa"/>
            <w:vMerge/>
            <w:tcBorders>
              <w:top w:val="nil"/>
            </w:tcBorders>
          </w:tcPr>
          <w:p w14:paraId="5CDCEC84" w14:textId="77777777" w:rsidR="004E07E7" w:rsidRPr="004E07E7" w:rsidRDefault="004E07E7" w:rsidP="00365F5B">
            <w:pPr>
              <w:jc w:val="both"/>
              <w:rPr>
                <w:color w:val="000000" w:themeColor="text1"/>
              </w:rPr>
            </w:pPr>
          </w:p>
        </w:tc>
        <w:tc>
          <w:tcPr>
            <w:tcW w:w="2410" w:type="dxa"/>
          </w:tcPr>
          <w:p w14:paraId="226A6A3B" w14:textId="77777777" w:rsidR="004E07E7" w:rsidRPr="004E07E7" w:rsidRDefault="004E07E7" w:rsidP="004E07E7">
            <w:pPr>
              <w:pStyle w:val="TableParagraph"/>
              <w:ind w:left="93" w:right="87"/>
              <w:rPr>
                <w:color w:val="000000" w:themeColor="text1"/>
              </w:rPr>
            </w:pPr>
            <w:r w:rsidRPr="004E07E7">
              <w:rPr>
                <w:color w:val="000000"/>
              </w:rPr>
              <w:t>ROSCI0110</w:t>
            </w:r>
          </w:p>
        </w:tc>
        <w:tc>
          <w:tcPr>
            <w:tcW w:w="3885" w:type="dxa"/>
          </w:tcPr>
          <w:p w14:paraId="677A30F3" w14:textId="77777777" w:rsidR="004E07E7" w:rsidRPr="004E07E7" w:rsidRDefault="004E07E7" w:rsidP="004E07E7">
            <w:pPr>
              <w:pStyle w:val="TableParagraph"/>
              <w:ind w:left="91" w:right="80"/>
              <w:rPr>
                <w:color w:val="000000" w:themeColor="text1"/>
              </w:rPr>
            </w:pPr>
            <w:r w:rsidRPr="004E07E7">
              <w:rPr>
                <w:color w:val="000000"/>
              </w:rPr>
              <w:t>Măgurile Băiței</w:t>
            </w:r>
          </w:p>
        </w:tc>
      </w:tr>
      <w:tr w:rsidR="004E07E7" w:rsidRPr="004E07E7" w14:paraId="4256BAB6" w14:textId="77777777" w:rsidTr="004E07E7">
        <w:trPr>
          <w:trHeight w:val="275"/>
        </w:trPr>
        <w:tc>
          <w:tcPr>
            <w:tcW w:w="3410" w:type="dxa"/>
            <w:vMerge/>
            <w:tcBorders>
              <w:top w:val="nil"/>
            </w:tcBorders>
          </w:tcPr>
          <w:p w14:paraId="1154AA3A" w14:textId="77777777" w:rsidR="004E07E7" w:rsidRPr="004E07E7" w:rsidRDefault="004E07E7" w:rsidP="00365F5B">
            <w:pPr>
              <w:jc w:val="both"/>
              <w:rPr>
                <w:color w:val="000000" w:themeColor="text1"/>
              </w:rPr>
            </w:pPr>
          </w:p>
        </w:tc>
        <w:tc>
          <w:tcPr>
            <w:tcW w:w="2410" w:type="dxa"/>
          </w:tcPr>
          <w:p w14:paraId="781335AE" w14:textId="77777777" w:rsidR="004E07E7" w:rsidRPr="004E07E7" w:rsidRDefault="004E07E7" w:rsidP="00807DA8">
            <w:pPr>
              <w:pStyle w:val="TableParagraph"/>
              <w:ind w:left="93" w:right="87"/>
              <w:rPr>
                <w:color w:val="000000" w:themeColor="text1"/>
              </w:rPr>
            </w:pPr>
            <w:r w:rsidRPr="004E07E7">
              <w:rPr>
                <w:color w:val="000000"/>
              </w:rPr>
              <w:t>ROS</w:t>
            </w:r>
            <w:r w:rsidR="00807DA8">
              <w:rPr>
                <w:color w:val="000000"/>
              </w:rPr>
              <w:t>AC</w:t>
            </w:r>
            <w:r w:rsidRPr="004E07E7">
              <w:rPr>
                <w:color w:val="000000"/>
              </w:rPr>
              <w:t>0121</w:t>
            </w:r>
          </w:p>
        </w:tc>
        <w:tc>
          <w:tcPr>
            <w:tcW w:w="3885" w:type="dxa"/>
          </w:tcPr>
          <w:p w14:paraId="13FF4069" w14:textId="77777777" w:rsidR="004E07E7" w:rsidRPr="004E07E7" w:rsidRDefault="004E07E7" w:rsidP="004E07E7">
            <w:pPr>
              <w:pStyle w:val="TableParagraph"/>
              <w:ind w:left="91" w:right="84"/>
              <w:rPr>
                <w:color w:val="000000" w:themeColor="text1"/>
              </w:rPr>
            </w:pPr>
            <w:r w:rsidRPr="004E07E7">
              <w:rPr>
                <w:color w:val="000000"/>
              </w:rPr>
              <w:t>Muntele Vulcan</w:t>
            </w:r>
          </w:p>
        </w:tc>
      </w:tr>
      <w:tr w:rsidR="004E07E7" w:rsidRPr="004E07E7" w14:paraId="2A1F2B1F" w14:textId="77777777" w:rsidTr="004E07E7">
        <w:trPr>
          <w:trHeight w:val="278"/>
        </w:trPr>
        <w:tc>
          <w:tcPr>
            <w:tcW w:w="3410" w:type="dxa"/>
            <w:vMerge/>
            <w:tcBorders>
              <w:top w:val="nil"/>
            </w:tcBorders>
          </w:tcPr>
          <w:p w14:paraId="1445A54C" w14:textId="77777777" w:rsidR="004E07E7" w:rsidRPr="004E07E7" w:rsidRDefault="004E07E7" w:rsidP="00365F5B">
            <w:pPr>
              <w:jc w:val="both"/>
              <w:rPr>
                <w:color w:val="000000" w:themeColor="text1"/>
              </w:rPr>
            </w:pPr>
          </w:p>
        </w:tc>
        <w:tc>
          <w:tcPr>
            <w:tcW w:w="2410" w:type="dxa"/>
          </w:tcPr>
          <w:p w14:paraId="4EE30B88" w14:textId="77777777" w:rsidR="004E07E7" w:rsidRPr="004E07E7" w:rsidRDefault="004E07E7" w:rsidP="00807DA8">
            <w:pPr>
              <w:pStyle w:val="TableParagraph"/>
              <w:spacing w:line="258" w:lineRule="exact"/>
              <w:ind w:left="93" w:right="87"/>
              <w:rPr>
                <w:color w:val="000000" w:themeColor="text1"/>
              </w:rPr>
            </w:pPr>
            <w:r w:rsidRPr="004E07E7">
              <w:rPr>
                <w:color w:val="000000"/>
              </w:rPr>
              <w:t>ROS</w:t>
            </w:r>
            <w:r w:rsidR="00807DA8">
              <w:rPr>
                <w:color w:val="000000"/>
              </w:rPr>
              <w:t>AC</w:t>
            </w:r>
            <w:r w:rsidRPr="004E07E7">
              <w:rPr>
                <w:color w:val="000000"/>
              </w:rPr>
              <w:t>0122</w:t>
            </w:r>
          </w:p>
        </w:tc>
        <w:tc>
          <w:tcPr>
            <w:tcW w:w="3885" w:type="dxa"/>
          </w:tcPr>
          <w:p w14:paraId="773E3FB6" w14:textId="77777777" w:rsidR="004E07E7" w:rsidRPr="004E07E7" w:rsidRDefault="004E07E7" w:rsidP="004E07E7">
            <w:pPr>
              <w:pStyle w:val="TableParagraph"/>
              <w:spacing w:line="258" w:lineRule="exact"/>
              <w:ind w:left="91" w:right="82"/>
              <w:rPr>
                <w:color w:val="000000" w:themeColor="text1"/>
              </w:rPr>
            </w:pPr>
            <w:r w:rsidRPr="004E07E7">
              <w:rPr>
                <w:color w:val="000000"/>
              </w:rPr>
              <w:t>Munții Făgăraș</w:t>
            </w:r>
          </w:p>
        </w:tc>
      </w:tr>
      <w:tr w:rsidR="004E07E7" w:rsidRPr="004E07E7" w14:paraId="330589B4" w14:textId="77777777" w:rsidTr="004E07E7">
        <w:trPr>
          <w:trHeight w:val="275"/>
        </w:trPr>
        <w:tc>
          <w:tcPr>
            <w:tcW w:w="3410" w:type="dxa"/>
            <w:vMerge/>
            <w:tcBorders>
              <w:top w:val="nil"/>
            </w:tcBorders>
          </w:tcPr>
          <w:p w14:paraId="08C5FD70" w14:textId="77777777" w:rsidR="004E07E7" w:rsidRPr="004E07E7" w:rsidRDefault="004E07E7" w:rsidP="00365F5B">
            <w:pPr>
              <w:jc w:val="both"/>
              <w:rPr>
                <w:color w:val="000000" w:themeColor="text1"/>
              </w:rPr>
            </w:pPr>
          </w:p>
        </w:tc>
        <w:tc>
          <w:tcPr>
            <w:tcW w:w="2410" w:type="dxa"/>
          </w:tcPr>
          <w:p w14:paraId="2E985581" w14:textId="77777777" w:rsidR="004E07E7" w:rsidRPr="004E07E7" w:rsidRDefault="004E07E7" w:rsidP="00807DA8">
            <w:pPr>
              <w:pStyle w:val="TableParagraph"/>
              <w:ind w:left="93" w:right="87"/>
              <w:rPr>
                <w:color w:val="000000" w:themeColor="text1"/>
              </w:rPr>
            </w:pPr>
            <w:r w:rsidRPr="004E07E7">
              <w:rPr>
                <w:color w:val="000000"/>
              </w:rPr>
              <w:t>ROS</w:t>
            </w:r>
            <w:r w:rsidR="00807DA8">
              <w:rPr>
                <w:color w:val="000000"/>
              </w:rPr>
              <w:t>AC</w:t>
            </w:r>
            <w:r w:rsidRPr="004E07E7">
              <w:rPr>
                <w:color w:val="000000"/>
              </w:rPr>
              <w:t>0124</w:t>
            </w:r>
          </w:p>
        </w:tc>
        <w:tc>
          <w:tcPr>
            <w:tcW w:w="3885" w:type="dxa"/>
          </w:tcPr>
          <w:p w14:paraId="251508F6" w14:textId="77777777" w:rsidR="004E07E7" w:rsidRPr="004E07E7" w:rsidRDefault="004E07E7" w:rsidP="004E07E7">
            <w:pPr>
              <w:pStyle w:val="TableParagraph"/>
              <w:ind w:left="91" w:right="81"/>
              <w:rPr>
                <w:color w:val="000000" w:themeColor="text1"/>
              </w:rPr>
            </w:pPr>
            <w:r w:rsidRPr="004E07E7">
              <w:rPr>
                <w:color w:val="000000"/>
              </w:rPr>
              <w:t>Munții Maramureșului</w:t>
            </w:r>
          </w:p>
        </w:tc>
      </w:tr>
      <w:tr w:rsidR="004E07E7" w:rsidRPr="004E07E7" w14:paraId="15CDE8CF" w14:textId="77777777" w:rsidTr="00993B86">
        <w:trPr>
          <w:trHeight w:val="275"/>
        </w:trPr>
        <w:tc>
          <w:tcPr>
            <w:tcW w:w="3410" w:type="dxa"/>
            <w:vMerge/>
            <w:tcBorders>
              <w:top w:val="nil"/>
            </w:tcBorders>
          </w:tcPr>
          <w:p w14:paraId="76808B0A" w14:textId="77777777" w:rsidR="004E07E7" w:rsidRPr="004E07E7" w:rsidRDefault="004E07E7" w:rsidP="00365F5B">
            <w:pPr>
              <w:jc w:val="both"/>
              <w:rPr>
                <w:color w:val="000000" w:themeColor="text1"/>
              </w:rPr>
            </w:pPr>
          </w:p>
        </w:tc>
        <w:tc>
          <w:tcPr>
            <w:tcW w:w="2410" w:type="dxa"/>
            <w:vAlign w:val="bottom"/>
          </w:tcPr>
          <w:p w14:paraId="3C62F7DE" w14:textId="77777777" w:rsidR="004E07E7" w:rsidRPr="004E07E7" w:rsidRDefault="004E07E7" w:rsidP="004E07E7">
            <w:pPr>
              <w:pStyle w:val="TableParagraph"/>
              <w:ind w:left="93" w:right="87"/>
              <w:rPr>
                <w:color w:val="000000" w:themeColor="text1"/>
              </w:rPr>
            </w:pPr>
            <w:r w:rsidRPr="004E07E7">
              <w:rPr>
                <w:color w:val="000000"/>
              </w:rPr>
              <w:t>ROSCI0125</w:t>
            </w:r>
          </w:p>
        </w:tc>
        <w:tc>
          <w:tcPr>
            <w:tcW w:w="3885" w:type="dxa"/>
            <w:vAlign w:val="bottom"/>
          </w:tcPr>
          <w:p w14:paraId="3BCBD597" w14:textId="77777777" w:rsidR="004E07E7" w:rsidRPr="004E07E7" w:rsidRDefault="004E07E7" w:rsidP="004E07E7">
            <w:pPr>
              <w:pStyle w:val="TableParagraph"/>
              <w:ind w:left="91" w:right="80"/>
              <w:rPr>
                <w:color w:val="000000" w:themeColor="text1"/>
              </w:rPr>
            </w:pPr>
            <w:r w:rsidRPr="004E07E7">
              <w:rPr>
                <w:color w:val="000000"/>
              </w:rPr>
              <w:t>Munții Rodnei</w:t>
            </w:r>
          </w:p>
        </w:tc>
      </w:tr>
      <w:tr w:rsidR="004E07E7" w:rsidRPr="004E07E7" w14:paraId="47FC8298" w14:textId="77777777" w:rsidTr="00993B86">
        <w:trPr>
          <w:trHeight w:val="275"/>
        </w:trPr>
        <w:tc>
          <w:tcPr>
            <w:tcW w:w="3410" w:type="dxa"/>
            <w:vMerge/>
            <w:tcBorders>
              <w:top w:val="nil"/>
            </w:tcBorders>
          </w:tcPr>
          <w:p w14:paraId="176916B5" w14:textId="77777777" w:rsidR="004E07E7" w:rsidRPr="004E07E7" w:rsidRDefault="004E07E7" w:rsidP="00365F5B">
            <w:pPr>
              <w:jc w:val="both"/>
              <w:rPr>
                <w:color w:val="000000" w:themeColor="text1"/>
              </w:rPr>
            </w:pPr>
          </w:p>
        </w:tc>
        <w:tc>
          <w:tcPr>
            <w:tcW w:w="2410" w:type="dxa"/>
            <w:vAlign w:val="bottom"/>
          </w:tcPr>
          <w:p w14:paraId="3598D880" w14:textId="77777777" w:rsidR="004E07E7" w:rsidRPr="004E07E7" w:rsidRDefault="004E07E7" w:rsidP="00807DA8">
            <w:pPr>
              <w:pStyle w:val="TableParagraph"/>
              <w:ind w:left="93" w:right="87"/>
              <w:rPr>
                <w:color w:val="000000" w:themeColor="text1"/>
              </w:rPr>
            </w:pPr>
            <w:r w:rsidRPr="004E07E7">
              <w:rPr>
                <w:color w:val="000000"/>
              </w:rPr>
              <w:t>ROS</w:t>
            </w:r>
            <w:r w:rsidR="00807DA8">
              <w:rPr>
                <w:color w:val="000000"/>
              </w:rPr>
              <w:t>AC</w:t>
            </w:r>
            <w:r w:rsidRPr="004E07E7">
              <w:rPr>
                <w:color w:val="000000"/>
              </w:rPr>
              <w:t>0128</w:t>
            </w:r>
          </w:p>
        </w:tc>
        <w:tc>
          <w:tcPr>
            <w:tcW w:w="3885" w:type="dxa"/>
            <w:vAlign w:val="bottom"/>
          </w:tcPr>
          <w:p w14:paraId="43B66990" w14:textId="77777777" w:rsidR="004E07E7" w:rsidRPr="004E07E7" w:rsidRDefault="004E07E7" w:rsidP="004E07E7">
            <w:pPr>
              <w:pStyle w:val="TableParagraph"/>
              <w:ind w:left="91" w:right="84"/>
              <w:rPr>
                <w:color w:val="000000" w:themeColor="text1"/>
              </w:rPr>
            </w:pPr>
            <w:r w:rsidRPr="004E07E7">
              <w:rPr>
                <w:color w:val="000000"/>
              </w:rPr>
              <w:t>Nordul Gorjului de Est</w:t>
            </w:r>
          </w:p>
        </w:tc>
      </w:tr>
      <w:tr w:rsidR="004E07E7" w:rsidRPr="004E07E7" w14:paraId="6C4335FD" w14:textId="77777777" w:rsidTr="00993B86">
        <w:trPr>
          <w:trHeight w:val="275"/>
        </w:trPr>
        <w:tc>
          <w:tcPr>
            <w:tcW w:w="3410" w:type="dxa"/>
            <w:vMerge/>
            <w:tcBorders>
              <w:top w:val="nil"/>
            </w:tcBorders>
          </w:tcPr>
          <w:p w14:paraId="3D2ACD6C" w14:textId="77777777" w:rsidR="004E07E7" w:rsidRPr="004E07E7" w:rsidRDefault="004E07E7" w:rsidP="00365F5B">
            <w:pPr>
              <w:jc w:val="both"/>
              <w:rPr>
                <w:color w:val="000000" w:themeColor="text1"/>
              </w:rPr>
            </w:pPr>
          </w:p>
        </w:tc>
        <w:tc>
          <w:tcPr>
            <w:tcW w:w="2410" w:type="dxa"/>
            <w:vAlign w:val="bottom"/>
          </w:tcPr>
          <w:p w14:paraId="2E1777A9" w14:textId="77777777" w:rsidR="004E07E7" w:rsidRPr="004E07E7" w:rsidRDefault="004E07E7" w:rsidP="00807DA8">
            <w:pPr>
              <w:pStyle w:val="TableParagraph"/>
              <w:ind w:left="93" w:right="87"/>
              <w:rPr>
                <w:color w:val="000000" w:themeColor="text1"/>
              </w:rPr>
            </w:pPr>
            <w:r w:rsidRPr="004E07E7">
              <w:rPr>
                <w:color w:val="000000"/>
              </w:rPr>
              <w:t>ROS</w:t>
            </w:r>
            <w:r w:rsidR="00807DA8">
              <w:rPr>
                <w:color w:val="000000"/>
              </w:rPr>
              <w:t>AC</w:t>
            </w:r>
            <w:r w:rsidRPr="004E07E7">
              <w:rPr>
                <w:color w:val="000000"/>
              </w:rPr>
              <w:t>0129</w:t>
            </w:r>
          </w:p>
        </w:tc>
        <w:tc>
          <w:tcPr>
            <w:tcW w:w="3885" w:type="dxa"/>
            <w:vAlign w:val="bottom"/>
          </w:tcPr>
          <w:p w14:paraId="5556568D" w14:textId="77777777" w:rsidR="004E07E7" w:rsidRPr="004E07E7" w:rsidRDefault="004E07E7" w:rsidP="004E07E7">
            <w:pPr>
              <w:pStyle w:val="TableParagraph"/>
              <w:ind w:left="91" w:right="83"/>
              <w:rPr>
                <w:color w:val="000000" w:themeColor="text1"/>
              </w:rPr>
            </w:pPr>
            <w:r w:rsidRPr="004E07E7">
              <w:rPr>
                <w:color w:val="000000"/>
              </w:rPr>
              <w:t>Nordul Gorjului de Vest</w:t>
            </w:r>
          </w:p>
        </w:tc>
      </w:tr>
      <w:tr w:rsidR="004E07E7" w:rsidRPr="004E07E7" w14:paraId="17AF4086" w14:textId="77777777" w:rsidTr="00993B86">
        <w:trPr>
          <w:trHeight w:val="275"/>
        </w:trPr>
        <w:tc>
          <w:tcPr>
            <w:tcW w:w="3410" w:type="dxa"/>
            <w:vMerge/>
            <w:tcBorders>
              <w:top w:val="nil"/>
            </w:tcBorders>
          </w:tcPr>
          <w:p w14:paraId="697B11C9" w14:textId="77777777" w:rsidR="004E07E7" w:rsidRPr="004E07E7" w:rsidRDefault="004E07E7" w:rsidP="00365F5B">
            <w:pPr>
              <w:jc w:val="both"/>
              <w:rPr>
                <w:color w:val="000000" w:themeColor="text1"/>
              </w:rPr>
            </w:pPr>
          </w:p>
        </w:tc>
        <w:tc>
          <w:tcPr>
            <w:tcW w:w="2410" w:type="dxa"/>
            <w:vAlign w:val="bottom"/>
          </w:tcPr>
          <w:p w14:paraId="316634FF" w14:textId="77777777" w:rsidR="004E07E7" w:rsidRPr="004E07E7" w:rsidRDefault="004E07E7" w:rsidP="004E07E7">
            <w:pPr>
              <w:pStyle w:val="TableParagraph"/>
              <w:ind w:left="93" w:right="87"/>
              <w:rPr>
                <w:color w:val="000000" w:themeColor="text1"/>
              </w:rPr>
            </w:pPr>
            <w:r w:rsidRPr="004E07E7">
              <w:rPr>
                <w:color w:val="000000"/>
              </w:rPr>
              <w:t>ROSCI0156</w:t>
            </w:r>
          </w:p>
        </w:tc>
        <w:tc>
          <w:tcPr>
            <w:tcW w:w="3885" w:type="dxa"/>
            <w:vAlign w:val="bottom"/>
          </w:tcPr>
          <w:p w14:paraId="390BE078" w14:textId="77777777" w:rsidR="004E07E7" w:rsidRPr="004E07E7" w:rsidRDefault="004E07E7" w:rsidP="004E07E7">
            <w:pPr>
              <w:pStyle w:val="TableParagraph"/>
              <w:ind w:left="90" w:right="85"/>
              <w:rPr>
                <w:color w:val="000000" w:themeColor="text1"/>
              </w:rPr>
            </w:pPr>
            <w:r w:rsidRPr="004E07E7">
              <w:rPr>
                <w:color w:val="000000"/>
              </w:rPr>
              <w:t>Munții Goșman</w:t>
            </w:r>
          </w:p>
        </w:tc>
      </w:tr>
      <w:tr w:rsidR="004E07E7" w:rsidRPr="004E07E7" w14:paraId="173B19EF" w14:textId="77777777" w:rsidTr="00993B86">
        <w:trPr>
          <w:trHeight w:val="275"/>
        </w:trPr>
        <w:tc>
          <w:tcPr>
            <w:tcW w:w="3410" w:type="dxa"/>
            <w:vMerge/>
            <w:tcBorders>
              <w:top w:val="nil"/>
            </w:tcBorders>
          </w:tcPr>
          <w:p w14:paraId="394B21DB" w14:textId="77777777" w:rsidR="004E07E7" w:rsidRPr="004E07E7" w:rsidRDefault="004E07E7" w:rsidP="00365F5B">
            <w:pPr>
              <w:jc w:val="both"/>
              <w:rPr>
                <w:color w:val="000000" w:themeColor="text1"/>
              </w:rPr>
            </w:pPr>
          </w:p>
        </w:tc>
        <w:tc>
          <w:tcPr>
            <w:tcW w:w="2410" w:type="dxa"/>
            <w:vAlign w:val="bottom"/>
          </w:tcPr>
          <w:p w14:paraId="125EABD9" w14:textId="77777777" w:rsidR="004E07E7" w:rsidRPr="004E07E7" w:rsidRDefault="004E07E7" w:rsidP="004E07E7">
            <w:pPr>
              <w:pStyle w:val="TableParagraph"/>
              <w:ind w:left="93" w:right="87"/>
              <w:rPr>
                <w:color w:val="000000" w:themeColor="text1"/>
              </w:rPr>
            </w:pPr>
            <w:r w:rsidRPr="004E07E7">
              <w:rPr>
                <w:color w:val="000000"/>
              </w:rPr>
              <w:t>ROSCI0182</w:t>
            </w:r>
          </w:p>
        </w:tc>
        <w:tc>
          <w:tcPr>
            <w:tcW w:w="3885" w:type="dxa"/>
            <w:vAlign w:val="bottom"/>
          </w:tcPr>
          <w:p w14:paraId="54F35CC7" w14:textId="77777777" w:rsidR="004E07E7" w:rsidRPr="004E07E7" w:rsidRDefault="004E07E7" w:rsidP="004E07E7">
            <w:pPr>
              <w:pStyle w:val="TableParagraph"/>
              <w:ind w:left="91" w:right="84"/>
              <w:rPr>
                <w:color w:val="000000" w:themeColor="text1"/>
              </w:rPr>
            </w:pPr>
            <w:r w:rsidRPr="004E07E7">
              <w:rPr>
                <w:color w:val="000000"/>
              </w:rPr>
              <w:t>Pădurea Verdele</w:t>
            </w:r>
          </w:p>
        </w:tc>
      </w:tr>
      <w:tr w:rsidR="004E07E7" w:rsidRPr="004E07E7" w14:paraId="429CE150" w14:textId="77777777" w:rsidTr="00993B86">
        <w:trPr>
          <w:trHeight w:val="278"/>
        </w:trPr>
        <w:tc>
          <w:tcPr>
            <w:tcW w:w="3410" w:type="dxa"/>
            <w:vMerge/>
            <w:tcBorders>
              <w:top w:val="nil"/>
            </w:tcBorders>
          </w:tcPr>
          <w:p w14:paraId="515E9EEB" w14:textId="77777777" w:rsidR="004E07E7" w:rsidRPr="004E07E7" w:rsidRDefault="004E07E7" w:rsidP="00365F5B">
            <w:pPr>
              <w:jc w:val="both"/>
              <w:rPr>
                <w:color w:val="000000" w:themeColor="text1"/>
              </w:rPr>
            </w:pPr>
          </w:p>
        </w:tc>
        <w:tc>
          <w:tcPr>
            <w:tcW w:w="2410" w:type="dxa"/>
            <w:vAlign w:val="bottom"/>
          </w:tcPr>
          <w:p w14:paraId="360386F2" w14:textId="77777777" w:rsidR="004E07E7" w:rsidRPr="004E07E7" w:rsidRDefault="004E07E7" w:rsidP="00807DA8">
            <w:pPr>
              <w:pStyle w:val="TableParagraph"/>
              <w:spacing w:line="258" w:lineRule="exact"/>
              <w:ind w:left="93" w:right="87"/>
              <w:rPr>
                <w:color w:val="000000" w:themeColor="text1"/>
              </w:rPr>
            </w:pPr>
            <w:r w:rsidRPr="004E07E7">
              <w:rPr>
                <w:color w:val="000000"/>
              </w:rPr>
              <w:t>ROS</w:t>
            </w:r>
            <w:r w:rsidR="00807DA8">
              <w:rPr>
                <w:color w:val="000000"/>
              </w:rPr>
              <w:t>AC</w:t>
            </w:r>
            <w:r w:rsidRPr="004E07E7">
              <w:rPr>
                <w:color w:val="000000"/>
              </w:rPr>
              <w:t>0188</w:t>
            </w:r>
          </w:p>
        </w:tc>
        <w:tc>
          <w:tcPr>
            <w:tcW w:w="3885" w:type="dxa"/>
            <w:vAlign w:val="bottom"/>
          </w:tcPr>
          <w:p w14:paraId="405CC922" w14:textId="77777777" w:rsidR="004E07E7" w:rsidRPr="004E07E7" w:rsidRDefault="004E07E7" w:rsidP="004E07E7">
            <w:pPr>
              <w:pStyle w:val="TableParagraph"/>
              <w:spacing w:line="258" w:lineRule="exact"/>
              <w:ind w:left="91" w:right="81"/>
              <w:rPr>
                <w:color w:val="000000" w:themeColor="text1"/>
              </w:rPr>
            </w:pPr>
            <w:r w:rsidRPr="004E07E7">
              <w:rPr>
                <w:color w:val="000000"/>
              </w:rPr>
              <w:t>Parâng</w:t>
            </w:r>
          </w:p>
        </w:tc>
      </w:tr>
      <w:tr w:rsidR="004E07E7" w:rsidRPr="004E07E7" w14:paraId="31192CF5" w14:textId="77777777" w:rsidTr="00993B86">
        <w:trPr>
          <w:trHeight w:val="275"/>
        </w:trPr>
        <w:tc>
          <w:tcPr>
            <w:tcW w:w="3410" w:type="dxa"/>
            <w:vMerge/>
            <w:tcBorders>
              <w:top w:val="nil"/>
            </w:tcBorders>
          </w:tcPr>
          <w:p w14:paraId="177C8A3D" w14:textId="77777777" w:rsidR="004E07E7" w:rsidRPr="004E07E7" w:rsidRDefault="004E07E7" w:rsidP="00365F5B">
            <w:pPr>
              <w:jc w:val="both"/>
              <w:rPr>
                <w:color w:val="000000" w:themeColor="text1"/>
              </w:rPr>
            </w:pPr>
          </w:p>
        </w:tc>
        <w:tc>
          <w:tcPr>
            <w:tcW w:w="2410" w:type="dxa"/>
            <w:vAlign w:val="bottom"/>
          </w:tcPr>
          <w:p w14:paraId="1FD00746" w14:textId="77777777" w:rsidR="004E07E7" w:rsidRPr="004E07E7" w:rsidRDefault="004E07E7" w:rsidP="00807DA8">
            <w:pPr>
              <w:pStyle w:val="TableParagraph"/>
              <w:ind w:left="93" w:right="87"/>
              <w:rPr>
                <w:color w:val="000000" w:themeColor="text1"/>
              </w:rPr>
            </w:pPr>
            <w:r w:rsidRPr="004E07E7">
              <w:rPr>
                <w:color w:val="000000"/>
              </w:rPr>
              <w:t>ROS</w:t>
            </w:r>
            <w:r w:rsidR="00807DA8">
              <w:rPr>
                <w:color w:val="000000"/>
              </w:rPr>
              <w:t>AC</w:t>
            </w:r>
            <w:r w:rsidRPr="004E07E7">
              <w:rPr>
                <w:color w:val="000000"/>
              </w:rPr>
              <w:t>0194</w:t>
            </w:r>
          </w:p>
        </w:tc>
        <w:tc>
          <w:tcPr>
            <w:tcW w:w="3885" w:type="dxa"/>
            <w:vAlign w:val="bottom"/>
          </w:tcPr>
          <w:p w14:paraId="0AB3DC5A" w14:textId="77777777" w:rsidR="004E07E7" w:rsidRPr="004E07E7" w:rsidRDefault="004E07E7" w:rsidP="004E07E7">
            <w:pPr>
              <w:pStyle w:val="TableParagraph"/>
              <w:ind w:left="91" w:right="82"/>
              <w:rPr>
                <w:color w:val="000000" w:themeColor="text1"/>
              </w:rPr>
            </w:pPr>
            <w:r w:rsidRPr="004E07E7">
              <w:rPr>
                <w:color w:val="000000"/>
              </w:rPr>
              <w:t>Piatra Craiului</w:t>
            </w:r>
          </w:p>
        </w:tc>
      </w:tr>
      <w:tr w:rsidR="004E07E7" w:rsidRPr="004E07E7" w14:paraId="58667546" w14:textId="77777777" w:rsidTr="00993B86">
        <w:trPr>
          <w:trHeight w:val="275"/>
        </w:trPr>
        <w:tc>
          <w:tcPr>
            <w:tcW w:w="3410" w:type="dxa"/>
            <w:vMerge/>
            <w:tcBorders>
              <w:top w:val="nil"/>
            </w:tcBorders>
          </w:tcPr>
          <w:p w14:paraId="2DDE78B0" w14:textId="77777777" w:rsidR="004E07E7" w:rsidRPr="004E07E7" w:rsidRDefault="004E07E7" w:rsidP="00365F5B">
            <w:pPr>
              <w:jc w:val="both"/>
              <w:rPr>
                <w:color w:val="000000" w:themeColor="text1"/>
              </w:rPr>
            </w:pPr>
          </w:p>
        </w:tc>
        <w:tc>
          <w:tcPr>
            <w:tcW w:w="2410" w:type="dxa"/>
            <w:vAlign w:val="bottom"/>
          </w:tcPr>
          <w:p w14:paraId="4AC8CEEE" w14:textId="77777777" w:rsidR="004E07E7" w:rsidRPr="004E07E7" w:rsidRDefault="004E07E7" w:rsidP="00807DA8">
            <w:pPr>
              <w:pStyle w:val="TableParagraph"/>
              <w:ind w:left="93" w:right="87"/>
              <w:jc w:val="both"/>
              <w:rPr>
                <w:color w:val="000000" w:themeColor="text1"/>
              </w:rPr>
            </w:pPr>
            <w:r w:rsidRPr="004E07E7">
              <w:rPr>
                <w:color w:val="000000"/>
              </w:rPr>
              <w:t>ROS</w:t>
            </w:r>
            <w:r w:rsidR="00807DA8">
              <w:rPr>
                <w:color w:val="000000"/>
              </w:rPr>
              <w:t>AC</w:t>
            </w:r>
            <w:r w:rsidRPr="004E07E7">
              <w:rPr>
                <w:color w:val="000000"/>
              </w:rPr>
              <w:t>0198</w:t>
            </w:r>
          </w:p>
        </w:tc>
        <w:tc>
          <w:tcPr>
            <w:tcW w:w="3885" w:type="dxa"/>
            <w:vAlign w:val="bottom"/>
          </w:tcPr>
          <w:p w14:paraId="14B755E2" w14:textId="77777777" w:rsidR="004E07E7" w:rsidRPr="004E07E7" w:rsidRDefault="004E07E7" w:rsidP="00365F5B">
            <w:pPr>
              <w:pStyle w:val="TableParagraph"/>
              <w:ind w:left="91" w:right="81"/>
              <w:jc w:val="both"/>
              <w:rPr>
                <w:color w:val="000000" w:themeColor="text1"/>
              </w:rPr>
            </w:pPr>
            <w:r w:rsidRPr="004E07E7">
              <w:rPr>
                <w:color w:val="000000"/>
              </w:rPr>
              <w:t>Platoul Mehedinți</w:t>
            </w:r>
          </w:p>
        </w:tc>
      </w:tr>
      <w:tr w:rsidR="004E07E7" w:rsidRPr="004E07E7" w14:paraId="6F328EAE" w14:textId="77777777" w:rsidTr="00993B86">
        <w:trPr>
          <w:trHeight w:val="275"/>
        </w:trPr>
        <w:tc>
          <w:tcPr>
            <w:tcW w:w="3410" w:type="dxa"/>
            <w:vMerge/>
            <w:tcBorders>
              <w:top w:val="nil"/>
            </w:tcBorders>
          </w:tcPr>
          <w:p w14:paraId="6DADE4C7" w14:textId="77777777" w:rsidR="004E07E7" w:rsidRPr="004E07E7" w:rsidRDefault="004E07E7" w:rsidP="00365F5B">
            <w:pPr>
              <w:jc w:val="both"/>
              <w:rPr>
                <w:color w:val="000000" w:themeColor="text1"/>
              </w:rPr>
            </w:pPr>
          </w:p>
        </w:tc>
        <w:tc>
          <w:tcPr>
            <w:tcW w:w="2410" w:type="dxa"/>
            <w:vAlign w:val="bottom"/>
          </w:tcPr>
          <w:p w14:paraId="432EAB24" w14:textId="77777777" w:rsidR="004E07E7" w:rsidRPr="004E07E7" w:rsidRDefault="004E07E7" w:rsidP="00365F5B">
            <w:pPr>
              <w:pStyle w:val="TableParagraph"/>
              <w:ind w:left="93" w:right="87"/>
              <w:jc w:val="both"/>
              <w:rPr>
                <w:color w:val="000000" w:themeColor="text1"/>
              </w:rPr>
            </w:pPr>
            <w:r w:rsidRPr="004E07E7">
              <w:rPr>
                <w:color w:val="000000"/>
              </w:rPr>
              <w:t>ROSCI0204</w:t>
            </w:r>
          </w:p>
        </w:tc>
        <w:tc>
          <w:tcPr>
            <w:tcW w:w="3885" w:type="dxa"/>
            <w:vAlign w:val="bottom"/>
          </w:tcPr>
          <w:p w14:paraId="70685FDD" w14:textId="77777777" w:rsidR="004E07E7" w:rsidRPr="004E07E7" w:rsidRDefault="004E07E7" w:rsidP="00365F5B">
            <w:pPr>
              <w:pStyle w:val="TableParagraph"/>
              <w:ind w:left="90" w:right="85"/>
              <w:jc w:val="both"/>
              <w:rPr>
                <w:color w:val="000000" w:themeColor="text1"/>
              </w:rPr>
            </w:pPr>
            <w:r w:rsidRPr="004E07E7">
              <w:rPr>
                <w:color w:val="000000"/>
              </w:rPr>
              <w:t>Poiana Muntioru</w:t>
            </w:r>
          </w:p>
        </w:tc>
      </w:tr>
      <w:tr w:rsidR="004E07E7" w:rsidRPr="004E07E7" w14:paraId="5C56BC7C" w14:textId="77777777" w:rsidTr="00993B86">
        <w:trPr>
          <w:trHeight w:val="275"/>
        </w:trPr>
        <w:tc>
          <w:tcPr>
            <w:tcW w:w="3410" w:type="dxa"/>
            <w:vMerge/>
            <w:tcBorders>
              <w:top w:val="nil"/>
            </w:tcBorders>
          </w:tcPr>
          <w:p w14:paraId="01988A8C" w14:textId="77777777" w:rsidR="004E07E7" w:rsidRPr="004E07E7" w:rsidRDefault="004E07E7" w:rsidP="00365F5B">
            <w:pPr>
              <w:jc w:val="both"/>
              <w:rPr>
                <w:color w:val="000000" w:themeColor="text1"/>
              </w:rPr>
            </w:pPr>
          </w:p>
        </w:tc>
        <w:tc>
          <w:tcPr>
            <w:tcW w:w="2410" w:type="dxa"/>
            <w:vAlign w:val="bottom"/>
          </w:tcPr>
          <w:p w14:paraId="5407CE89" w14:textId="77777777" w:rsidR="004E07E7" w:rsidRPr="004E07E7" w:rsidRDefault="004E07E7" w:rsidP="00365F5B">
            <w:pPr>
              <w:pStyle w:val="TableParagraph"/>
              <w:ind w:left="93" w:right="87"/>
              <w:jc w:val="both"/>
              <w:rPr>
                <w:color w:val="000000" w:themeColor="text1"/>
              </w:rPr>
            </w:pPr>
            <w:r w:rsidRPr="004E07E7">
              <w:rPr>
                <w:color w:val="000000"/>
              </w:rPr>
              <w:t>ROSCI0207</w:t>
            </w:r>
          </w:p>
        </w:tc>
        <w:tc>
          <w:tcPr>
            <w:tcW w:w="3885" w:type="dxa"/>
            <w:vAlign w:val="bottom"/>
          </w:tcPr>
          <w:p w14:paraId="4A8B4805" w14:textId="77777777" w:rsidR="004E07E7" w:rsidRPr="004E07E7" w:rsidRDefault="004E07E7" w:rsidP="00365F5B">
            <w:pPr>
              <w:pStyle w:val="TableParagraph"/>
              <w:ind w:left="91" w:right="84"/>
              <w:jc w:val="both"/>
              <w:rPr>
                <w:color w:val="000000" w:themeColor="text1"/>
              </w:rPr>
            </w:pPr>
            <w:r w:rsidRPr="004E07E7">
              <w:rPr>
                <w:color w:val="000000"/>
              </w:rPr>
              <w:t>Postăvarul</w:t>
            </w:r>
          </w:p>
        </w:tc>
      </w:tr>
      <w:tr w:rsidR="004E07E7" w:rsidRPr="004E07E7" w14:paraId="6AB8F477" w14:textId="77777777" w:rsidTr="00993B86">
        <w:trPr>
          <w:trHeight w:val="275"/>
        </w:trPr>
        <w:tc>
          <w:tcPr>
            <w:tcW w:w="3410" w:type="dxa"/>
            <w:vMerge/>
            <w:tcBorders>
              <w:top w:val="nil"/>
            </w:tcBorders>
          </w:tcPr>
          <w:p w14:paraId="0689C4A1" w14:textId="77777777" w:rsidR="004E07E7" w:rsidRPr="004E07E7" w:rsidRDefault="004E07E7" w:rsidP="00365F5B">
            <w:pPr>
              <w:jc w:val="both"/>
              <w:rPr>
                <w:color w:val="000000" w:themeColor="text1"/>
              </w:rPr>
            </w:pPr>
          </w:p>
        </w:tc>
        <w:tc>
          <w:tcPr>
            <w:tcW w:w="2410" w:type="dxa"/>
            <w:vAlign w:val="bottom"/>
          </w:tcPr>
          <w:p w14:paraId="6E491752" w14:textId="77777777" w:rsidR="004E07E7" w:rsidRPr="004E07E7" w:rsidRDefault="004E07E7" w:rsidP="00807DA8">
            <w:pPr>
              <w:pStyle w:val="TableParagraph"/>
              <w:ind w:left="93" w:right="87"/>
              <w:jc w:val="both"/>
              <w:rPr>
                <w:color w:val="000000" w:themeColor="text1"/>
              </w:rPr>
            </w:pPr>
            <w:r w:rsidRPr="004E07E7">
              <w:rPr>
                <w:color w:val="000000"/>
              </w:rPr>
              <w:t>ROS</w:t>
            </w:r>
            <w:r w:rsidR="00807DA8">
              <w:rPr>
                <w:color w:val="000000"/>
              </w:rPr>
              <w:t>AC</w:t>
            </w:r>
            <w:r w:rsidRPr="004E07E7">
              <w:rPr>
                <w:color w:val="000000"/>
              </w:rPr>
              <w:t>0208</w:t>
            </w:r>
          </w:p>
        </w:tc>
        <w:tc>
          <w:tcPr>
            <w:tcW w:w="3885" w:type="dxa"/>
            <w:vAlign w:val="bottom"/>
          </w:tcPr>
          <w:p w14:paraId="0510A5E5" w14:textId="77777777" w:rsidR="004E07E7" w:rsidRPr="004E07E7" w:rsidRDefault="004E07E7" w:rsidP="00365F5B">
            <w:pPr>
              <w:pStyle w:val="TableParagraph"/>
              <w:ind w:left="91" w:right="81"/>
              <w:jc w:val="both"/>
              <w:rPr>
                <w:color w:val="000000" w:themeColor="text1"/>
              </w:rPr>
            </w:pPr>
            <w:r w:rsidRPr="004E07E7">
              <w:rPr>
                <w:color w:val="000000"/>
              </w:rPr>
              <w:t>Putna - Vrancea</w:t>
            </w:r>
          </w:p>
        </w:tc>
      </w:tr>
      <w:tr w:rsidR="004E07E7" w:rsidRPr="004E07E7" w14:paraId="54FF3666" w14:textId="77777777" w:rsidTr="00993B86">
        <w:trPr>
          <w:trHeight w:val="277"/>
        </w:trPr>
        <w:tc>
          <w:tcPr>
            <w:tcW w:w="3410" w:type="dxa"/>
            <w:vMerge/>
            <w:tcBorders>
              <w:top w:val="nil"/>
            </w:tcBorders>
          </w:tcPr>
          <w:p w14:paraId="548774DC" w14:textId="77777777" w:rsidR="004E07E7" w:rsidRPr="004E07E7" w:rsidRDefault="004E07E7" w:rsidP="00365F5B">
            <w:pPr>
              <w:jc w:val="both"/>
              <w:rPr>
                <w:color w:val="000000" w:themeColor="text1"/>
              </w:rPr>
            </w:pPr>
          </w:p>
        </w:tc>
        <w:tc>
          <w:tcPr>
            <w:tcW w:w="2410" w:type="dxa"/>
            <w:vAlign w:val="bottom"/>
          </w:tcPr>
          <w:p w14:paraId="6B9B10E2" w14:textId="77777777" w:rsidR="004E07E7" w:rsidRPr="004E07E7" w:rsidRDefault="004E07E7" w:rsidP="00807DA8">
            <w:pPr>
              <w:pStyle w:val="TableParagraph"/>
              <w:spacing w:line="258" w:lineRule="exact"/>
              <w:ind w:left="93" w:right="87"/>
              <w:jc w:val="both"/>
              <w:rPr>
                <w:color w:val="000000" w:themeColor="text1"/>
              </w:rPr>
            </w:pPr>
            <w:r w:rsidRPr="004E07E7">
              <w:rPr>
                <w:color w:val="000000"/>
              </w:rPr>
              <w:t>ROS</w:t>
            </w:r>
            <w:r w:rsidR="00807DA8">
              <w:rPr>
                <w:color w:val="000000"/>
              </w:rPr>
              <w:t>AC</w:t>
            </w:r>
            <w:r w:rsidRPr="004E07E7">
              <w:rPr>
                <w:color w:val="000000"/>
              </w:rPr>
              <w:t>0212</w:t>
            </w:r>
          </w:p>
        </w:tc>
        <w:tc>
          <w:tcPr>
            <w:tcW w:w="3885" w:type="dxa"/>
            <w:vAlign w:val="bottom"/>
          </w:tcPr>
          <w:p w14:paraId="36E39CB2" w14:textId="77777777" w:rsidR="004E07E7" w:rsidRPr="004E07E7" w:rsidRDefault="004E07E7" w:rsidP="00365F5B">
            <w:pPr>
              <w:pStyle w:val="TableParagraph"/>
              <w:spacing w:line="258" w:lineRule="exact"/>
              <w:ind w:left="91" w:right="81"/>
              <w:jc w:val="both"/>
              <w:rPr>
                <w:color w:val="000000" w:themeColor="text1"/>
              </w:rPr>
            </w:pPr>
            <w:r w:rsidRPr="004E07E7">
              <w:rPr>
                <w:color w:val="000000"/>
              </w:rPr>
              <w:t>Rarău - Giumalău</w:t>
            </w:r>
          </w:p>
        </w:tc>
      </w:tr>
      <w:tr w:rsidR="004E07E7" w:rsidRPr="004E07E7" w14:paraId="334A3034" w14:textId="77777777" w:rsidTr="00993B86">
        <w:trPr>
          <w:trHeight w:val="275"/>
        </w:trPr>
        <w:tc>
          <w:tcPr>
            <w:tcW w:w="3410" w:type="dxa"/>
            <w:vMerge/>
            <w:tcBorders>
              <w:top w:val="nil"/>
            </w:tcBorders>
          </w:tcPr>
          <w:p w14:paraId="5DD6C9CF" w14:textId="77777777" w:rsidR="004E07E7" w:rsidRPr="004E07E7" w:rsidRDefault="004E07E7" w:rsidP="00365F5B">
            <w:pPr>
              <w:jc w:val="both"/>
              <w:rPr>
                <w:color w:val="000000" w:themeColor="text1"/>
              </w:rPr>
            </w:pPr>
          </w:p>
        </w:tc>
        <w:tc>
          <w:tcPr>
            <w:tcW w:w="2410" w:type="dxa"/>
            <w:vAlign w:val="bottom"/>
          </w:tcPr>
          <w:p w14:paraId="1408F37A" w14:textId="77777777" w:rsidR="004E07E7" w:rsidRPr="004E07E7" w:rsidRDefault="004E07E7" w:rsidP="00365F5B">
            <w:pPr>
              <w:pStyle w:val="TableParagraph"/>
              <w:ind w:left="93" w:right="87"/>
              <w:jc w:val="both"/>
              <w:rPr>
                <w:color w:val="000000" w:themeColor="text1"/>
              </w:rPr>
            </w:pPr>
            <w:r w:rsidRPr="004E07E7">
              <w:rPr>
                <w:color w:val="000000"/>
              </w:rPr>
              <w:t>ROSCI0228</w:t>
            </w:r>
          </w:p>
        </w:tc>
        <w:tc>
          <w:tcPr>
            <w:tcW w:w="3885" w:type="dxa"/>
            <w:vAlign w:val="bottom"/>
          </w:tcPr>
          <w:p w14:paraId="36714AAA" w14:textId="77777777" w:rsidR="004E07E7" w:rsidRPr="004E07E7" w:rsidRDefault="004E07E7" w:rsidP="00365F5B">
            <w:pPr>
              <w:pStyle w:val="TableParagraph"/>
              <w:ind w:left="91" w:right="84"/>
              <w:jc w:val="both"/>
              <w:rPr>
                <w:color w:val="000000" w:themeColor="text1"/>
              </w:rPr>
            </w:pPr>
            <w:r w:rsidRPr="004E07E7">
              <w:rPr>
                <w:color w:val="000000"/>
              </w:rPr>
              <w:t>Șindrilița</w:t>
            </w:r>
          </w:p>
        </w:tc>
      </w:tr>
      <w:tr w:rsidR="004E07E7" w:rsidRPr="004E07E7" w14:paraId="55DE0D0A" w14:textId="77777777" w:rsidTr="00993B86">
        <w:trPr>
          <w:trHeight w:val="275"/>
        </w:trPr>
        <w:tc>
          <w:tcPr>
            <w:tcW w:w="3410" w:type="dxa"/>
            <w:vMerge/>
            <w:tcBorders>
              <w:top w:val="nil"/>
            </w:tcBorders>
          </w:tcPr>
          <w:p w14:paraId="40280991" w14:textId="77777777" w:rsidR="004E07E7" w:rsidRPr="004E07E7" w:rsidRDefault="004E07E7" w:rsidP="00365F5B">
            <w:pPr>
              <w:jc w:val="both"/>
              <w:rPr>
                <w:color w:val="000000" w:themeColor="text1"/>
              </w:rPr>
            </w:pPr>
          </w:p>
        </w:tc>
        <w:tc>
          <w:tcPr>
            <w:tcW w:w="2410" w:type="dxa"/>
            <w:vAlign w:val="bottom"/>
          </w:tcPr>
          <w:p w14:paraId="5B03CEE0" w14:textId="77777777" w:rsidR="004E07E7" w:rsidRPr="004E07E7" w:rsidRDefault="004E07E7" w:rsidP="00807DA8">
            <w:pPr>
              <w:pStyle w:val="TableParagraph"/>
              <w:ind w:left="93" w:right="87"/>
              <w:jc w:val="both"/>
              <w:rPr>
                <w:color w:val="000000" w:themeColor="text1"/>
              </w:rPr>
            </w:pPr>
            <w:r w:rsidRPr="004E07E7">
              <w:rPr>
                <w:color w:val="000000"/>
              </w:rPr>
              <w:t>ROS</w:t>
            </w:r>
            <w:r w:rsidR="00807DA8">
              <w:rPr>
                <w:color w:val="000000"/>
              </w:rPr>
              <w:t>AC</w:t>
            </w:r>
            <w:r w:rsidRPr="004E07E7">
              <w:rPr>
                <w:color w:val="000000"/>
              </w:rPr>
              <w:t>0230</w:t>
            </w:r>
          </w:p>
        </w:tc>
        <w:tc>
          <w:tcPr>
            <w:tcW w:w="3885" w:type="dxa"/>
            <w:vAlign w:val="bottom"/>
          </w:tcPr>
          <w:p w14:paraId="3C2440FD" w14:textId="77777777" w:rsidR="004E07E7" w:rsidRPr="004E07E7" w:rsidRDefault="004E07E7" w:rsidP="00365F5B">
            <w:pPr>
              <w:pStyle w:val="TableParagraph"/>
              <w:ind w:left="89" w:right="85"/>
              <w:jc w:val="both"/>
              <w:rPr>
                <w:color w:val="000000" w:themeColor="text1"/>
              </w:rPr>
            </w:pPr>
            <w:r w:rsidRPr="004E07E7">
              <w:rPr>
                <w:color w:val="000000"/>
              </w:rPr>
              <w:t>Slănic</w:t>
            </w:r>
          </w:p>
        </w:tc>
      </w:tr>
      <w:tr w:rsidR="004E07E7" w:rsidRPr="004E07E7" w14:paraId="1BFFF035" w14:textId="77777777" w:rsidTr="00993B86">
        <w:trPr>
          <w:trHeight w:val="275"/>
        </w:trPr>
        <w:tc>
          <w:tcPr>
            <w:tcW w:w="3410" w:type="dxa"/>
            <w:vMerge/>
            <w:tcBorders>
              <w:top w:val="nil"/>
            </w:tcBorders>
          </w:tcPr>
          <w:p w14:paraId="42A71E63" w14:textId="77777777" w:rsidR="004E07E7" w:rsidRPr="004E07E7" w:rsidRDefault="004E07E7" w:rsidP="00365F5B">
            <w:pPr>
              <w:jc w:val="both"/>
              <w:rPr>
                <w:color w:val="000000" w:themeColor="text1"/>
              </w:rPr>
            </w:pPr>
          </w:p>
        </w:tc>
        <w:tc>
          <w:tcPr>
            <w:tcW w:w="2410" w:type="dxa"/>
            <w:vAlign w:val="bottom"/>
          </w:tcPr>
          <w:p w14:paraId="20458911" w14:textId="77777777" w:rsidR="004E07E7" w:rsidRPr="004E07E7" w:rsidRDefault="004E07E7" w:rsidP="00807DA8">
            <w:pPr>
              <w:pStyle w:val="TableParagraph"/>
              <w:ind w:left="93" w:right="87"/>
              <w:jc w:val="both"/>
              <w:rPr>
                <w:color w:val="000000" w:themeColor="text1"/>
              </w:rPr>
            </w:pPr>
            <w:r w:rsidRPr="004E07E7">
              <w:rPr>
                <w:color w:val="000000"/>
              </w:rPr>
              <w:t>ROS</w:t>
            </w:r>
            <w:r w:rsidR="00807DA8">
              <w:rPr>
                <w:color w:val="000000"/>
              </w:rPr>
              <w:t>AC</w:t>
            </w:r>
            <w:r w:rsidRPr="004E07E7">
              <w:rPr>
                <w:color w:val="000000"/>
              </w:rPr>
              <w:t>0233</w:t>
            </w:r>
          </w:p>
        </w:tc>
        <w:tc>
          <w:tcPr>
            <w:tcW w:w="3885" w:type="dxa"/>
            <w:vAlign w:val="bottom"/>
          </w:tcPr>
          <w:p w14:paraId="26A8277F" w14:textId="77777777" w:rsidR="004E07E7" w:rsidRPr="004E07E7" w:rsidRDefault="004E07E7" w:rsidP="00365F5B">
            <w:pPr>
              <w:pStyle w:val="TableParagraph"/>
              <w:ind w:left="91" w:right="85"/>
              <w:jc w:val="both"/>
              <w:rPr>
                <w:color w:val="000000" w:themeColor="text1"/>
              </w:rPr>
            </w:pPr>
            <w:r w:rsidRPr="004E07E7">
              <w:rPr>
                <w:color w:val="000000"/>
              </w:rPr>
              <w:t>Someșul Rece</w:t>
            </w:r>
          </w:p>
        </w:tc>
      </w:tr>
      <w:tr w:rsidR="004E07E7" w:rsidRPr="004E07E7" w14:paraId="1C946F1C" w14:textId="77777777" w:rsidTr="00993B86">
        <w:trPr>
          <w:trHeight w:val="275"/>
        </w:trPr>
        <w:tc>
          <w:tcPr>
            <w:tcW w:w="3410" w:type="dxa"/>
            <w:vMerge/>
            <w:tcBorders>
              <w:top w:val="nil"/>
            </w:tcBorders>
          </w:tcPr>
          <w:p w14:paraId="44AED627" w14:textId="77777777" w:rsidR="004E07E7" w:rsidRPr="004E07E7" w:rsidRDefault="004E07E7" w:rsidP="00365F5B">
            <w:pPr>
              <w:jc w:val="both"/>
              <w:rPr>
                <w:color w:val="000000" w:themeColor="text1"/>
              </w:rPr>
            </w:pPr>
          </w:p>
        </w:tc>
        <w:tc>
          <w:tcPr>
            <w:tcW w:w="2410" w:type="dxa"/>
            <w:vAlign w:val="bottom"/>
          </w:tcPr>
          <w:p w14:paraId="025A7927" w14:textId="77777777" w:rsidR="004E07E7" w:rsidRPr="004E07E7" w:rsidRDefault="004E07E7" w:rsidP="00365F5B">
            <w:pPr>
              <w:pStyle w:val="TableParagraph"/>
              <w:ind w:left="93" w:right="87"/>
              <w:jc w:val="both"/>
              <w:rPr>
                <w:color w:val="000000" w:themeColor="text1"/>
              </w:rPr>
            </w:pPr>
            <w:r w:rsidRPr="004E07E7">
              <w:rPr>
                <w:color w:val="000000"/>
              </w:rPr>
              <w:t>ROSCI0241</w:t>
            </w:r>
          </w:p>
        </w:tc>
        <w:tc>
          <w:tcPr>
            <w:tcW w:w="3885" w:type="dxa"/>
            <w:vAlign w:val="bottom"/>
          </w:tcPr>
          <w:p w14:paraId="63E67E9E" w14:textId="77777777" w:rsidR="004E07E7" w:rsidRPr="004E07E7" w:rsidRDefault="004E07E7" w:rsidP="00365F5B">
            <w:pPr>
              <w:pStyle w:val="TableParagraph"/>
              <w:ind w:left="90" w:right="85"/>
              <w:jc w:val="both"/>
              <w:rPr>
                <w:color w:val="000000" w:themeColor="text1"/>
              </w:rPr>
            </w:pPr>
            <w:r w:rsidRPr="004E07E7">
              <w:rPr>
                <w:color w:val="000000"/>
              </w:rPr>
              <w:t>Tinovul Apa Lină - Honcsok</w:t>
            </w:r>
          </w:p>
        </w:tc>
      </w:tr>
      <w:tr w:rsidR="004E07E7" w:rsidRPr="004E07E7" w14:paraId="471B5989" w14:textId="77777777" w:rsidTr="00993B86">
        <w:trPr>
          <w:trHeight w:val="275"/>
        </w:trPr>
        <w:tc>
          <w:tcPr>
            <w:tcW w:w="3410" w:type="dxa"/>
            <w:vMerge/>
            <w:tcBorders>
              <w:top w:val="nil"/>
            </w:tcBorders>
          </w:tcPr>
          <w:p w14:paraId="05774B62" w14:textId="77777777" w:rsidR="004E07E7" w:rsidRPr="004E07E7" w:rsidRDefault="004E07E7" w:rsidP="00365F5B">
            <w:pPr>
              <w:jc w:val="both"/>
              <w:rPr>
                <w:color w:val="000000" w:themeColor="text1"/>
              </w:rPr>
            </w:pPr>
          </w:p>
        </w:tc>
        <w:tc>
          <w:tcPr>
            <w:tcW w:w="2410" w:type="dxa"/>
            <w:vAlign w:val="bottom"/>
          </w:tcPr>
          <w:p w14:paraId="4C93A9A5" w14:textId="77777777" w:rsidR="004E07E7" w:rsidRPr="004E07E7" w:rsidRDefault="004E07E7" w:rsidP="00807DA8">
            <w:pPr>
              <w:pStyle w:val="TableParagraph"/>
              <w:ind w:left="94" w:right="87"/>
              <w:jc w:val="both"/>
              <w:rPr>
                <w:color w:val="000000" w:themeColor="text1"/>
              </w:rPr>
            </w:pPr>
            <w:r w:rsidRPr="004E07E7">
              <w:rPr>
                <w:color w:val="000000"/>
              </w:rPr>
              <w:t>ROS</w:t>
            </w:r>
            <w:r w:rsidR="00807DA8">
              <w:rPr>
                <w:color w:val="000000"/>
              </w:rPr>
              <w:t>AC</w:t>
            </w:r>
            <w:r w:rsidRPr="004E07E7">
              <w:rPr>
                <w:color w:val="000000"/>
              </w:rPr>
              <w:t>0247</w:t>
            </w:r>
          </w:p>
        </w:tc>
        <w:tc>
          <w:tcPr>
            <w:tcW w:w="3885" w:type="dxa"/>
            <w:vAlign w:val="bottom"/>
          </w:tcPr>
          <w:p w14:paraId="57DFFDE0" w14:textId="77777777" w:rsidR="004E07E7" w:rsidRPr="004E07E7" w:rsidRDefault="004E07E7" w:rsidP="00365F5B">
            <w:pPr>
              <w:pStyle w:val="TableParagraph"/>
              <w:ind w:left="91" w:right="84"/>
              <w:jc w:val="both"/>
              <w:rPr>
                <w:color w:val="000000" w:themeColor="text1"/>
              </w:rPr>
            </w:pPr>
            <w:r w:rsidRPr="004E07E7">
              <w:rPr>
                <w:color w:val="000000"/>
              </w:rPr>
              <w:t>Tinovul Mare Poiana Stampei</w:t>
            </w:r>
          </w:p>
        </w:tc>
      </w:tr>
      <w:tr w:rsidR="004E07E7" w:rsidRPr="004E07E7" w14:paraId="4D81EBCC" w14:textId="77777777" w:rsidTr="00993B86">
        <w:trPr>
          <w:trHeight w:val="276"/>
        </w:trPr>
        <w:tc>
          <w:tcPr>
            <w:tcW w:w="3410" w:type="dxa"/>
            <w:vMerge/>
            <w:tcBorders>
              <w:top w:val="nil"/>
            </w:tcBorders>
          </w:tcPr>
          <w:p w14:paraId="7F46AA77" w14:textId="77777777" w:rsidR="004E07E7" w:rsidRPr="004E07E7" w:rsidRDefault="004E07E7" w:rsidP="00365F5B">
            <w:pPr>
              <w:jc w:val="both"/>
              <w:rPr>
                <w:color w:val="000000" w:themeColor="text1"/>
              </w:rPr>
            </w:pPr>
          </w:p>
        </w:tc>
        <w:tc>
          <w:tcPr>
            <w:tcW w:w="2410" w:type="dxa"/>
            <w:vAlign w:val="bottom"/>
          </w:tcPr>
          <w:p w14:paraId="5506A54B" w14:textId="77777777" w:rsidR="004E07E7" w:rsidRPr="004E07E7" w:rsidRDefault="004E07E7" w:rsidP="00807DA8">
            <w:pPr>
              <w:pStyle w:val="TableParagraph"/>
              <w:ind w:left="93" w:right="87"/>
              <w:jc w:val="both"/>
              <w:rPr>
                <w:color w:val="000000" w:themeColor="text1"/>
              </w:rPr>
            </w:pPr>
            <w:r w:rsidRPr="004E07E7">
              <w:rPr>
                <w:color w:val="000000"/>
              </w:rPr>
              <w:t>ROS</w:t>
            </w:r>
            <w:r w:rsidR="00807DA8">
              <w:rPr>
                <w:color w:val="000000"/>
              </w:rPr>
              <w:t>AC</w:t>
            </w:r>
            <w:r w:rsidRPr="004E07E7">
              <w:rPr>
                <w:color w:val="000000"/>
              </w:rPr>
              <w:t>0262</w:t>
            </w:r>
          </w:p>
        </w:tc>
        <w:tc>
          <w:tcPr>
            <w:tcW w:w="3885" w:type="dxa"/>
            <w:vAlign w:val="bottom"/>
          </w:tcPr>
          <w:p w14:paraId="7B001711" w14:textId="77777777" w:rsidR="004E07E7" w:rsidRPr="004E07E7" w:rsidRDefault="004E07E7" w:rsidP="00365F5B">
            <w:pPr>
              <w:pStyle w:val="TableParagraph"/>
              <w:ind w:left="91" w:right="81"/>
              <w:jc w:val="both"/>
              <w:rPr>
                <w:color w:val="000000" w:themeColor="text1"/>
              </w:rPr>
            </w:pPr>
            <w:r w:rsidRPr="004E07E7">
              <w:rPr>
                <w:color w:val="000000"/>
              </w:rPr>
              <w:t>Valea Iadei</w:t>
            </w:r>
          </w:p>
        </w:tc>
      </w:tr>
      <w:tr w:rsidR="004E07E7" w:rsidRPr="004E07E7" w14:paraId="6DC47F10" w14:textId="77777777" w:rsidTr="00993B86">
        <w:trPr>
          <w:trHeight w:val="277"/>
        </w:trPr>
        <w:tc>
          <w:tcPr>
            <w:tcW w:w="3410" w:type="dxa"/>
            <w:vMerge/>
            <w:tcBorders>
              <w:top w:val="nil"/>
            </w:tcBorders>
          </w:tcPr>
          <w:p w14:paraId="0C3FDE6F" w14:textId="77777777" w:rsidR="004E07E7" w:rsidRPr="004E07E7" w:rsidRDefault="004E07E7" w:rsidP="00365F5B">
            <w:pPr>
              <w:jc w:val="both"/>
              <w:rPr>
                <w:color w:val="000000" w:themeColor="text1"/>
              </w:rPr>
            </w:pPr>
          </w:p>
        </w:tc>
        <w:tc>
          <w:tcPr>
            <w:tcW w:w="2410" w:type="dxa"/>
            <w:vAlign w:val="bottom"/>
          </w:tcPr>
          <w:p w14:paraId="0944FC54" w14:textId="77777777" w:rsidR="004E07E7" w:rsidRPr="004E07E7" w:rsidRDefault="004E07E7" w:rsidP="00365F5B">
            <w:pPr>
              <w:pStyle w:val="TableParagraph"/>
              <w:spacing w:line="258" w:lineRule="exact"/>
              <w:ind w:left="93" w:right="87"/>
              <w:jc w:val="both"/>
              <w:rPr>
                <w:color w:val="000000" w:themeColor="text1"/>
              </w:rPr>
            </w:pPr>
            <w:r w:rsidRPr="004E07E7">
              <w:rPr>
                <w:color w:val="000000"/>
              </w:rPr>
              <w:t>ROSCI0264</w:t>
            </w:r>
          </w:p>
        </w:tc>
        <w:tc>
          <w:tcPr>
            <w:tcW w:w="3885" w:type="dxa"/>
            <w:vAlign w:val="bottom"/>
          </w:tcPr>
          <w:p w14:paraId="3690D83D" w14:textId="77777777" w:rsidR="004E07E7" w:rsidRPr="004E07E7" w:rsidRDefault="004E07E7" w:rsidP="00365F5B">
            <w:pPr>
              <w:pStyle w:val="TableParagraph"/>
              <w:spacing w:line="258" w:lineRule="exact"/>
              <w:ind w:left="91" w:right="80"/>
              <w:jc w:val="both"/>
              <w:rPr>
                <w:color w:val="000000" w:themeColor="text1"/>
              </w:rPr>
            </w:pPr>
            <w:r w:rsidRPr="004E07E7">
              <w:rPr>
                <w:color w:val="000000"/>
              </w:rPr>
              <w:t>Valea Izei și Dealul Solovan</w:t>
            </w:r>
          </w:p>
        </w:tc>
      </w:tr>
      <w:tr w:rsidR="004E07E7" w:rsidRPr="004E07E7" w14:paraId="197EDA3D" w14:textId="77777777" w:rsidTr="00993B86">
        <w:trPr>
          <w:trHeight w:val="275"/>
        </w:trPr>
        <w:tc>
          <w:tcPr>
            <w:tcW w:w="3410" w:type="dxa"/>
            <w:vMerge/>
            <w:tcBorders>
              <w:top w:val="nil"/>
            </w:tcBorders>
          </w:tcPr>
          <w:p w14:paraId="264B8006" w14:textId="77777777" w:rsidR="004E07E7" w:rsidRPr="004E07E7" w:rsidRDefault="004E07E7" w:rsidP="00365F5B">
            <w:pPr>
              <w:jc w:val="both"/>
              <w:rPr>
                <w:color w:val="000000" w:themeColor="text1"/>
              </w:rPr>
            </w:pPr>
          </w:p>
        </w:tc>
        <w:tc>
          <w:tcPr>
            <w:tcW w:w="2410" w:type="dxa"/>
            <w:vAlign w:val="bottom"/>
          </w:tcPr>
          <w:p w14:paraId="397B3FB8" w14:textId="77777777" w:rsidR="004E07E7" w:rsidRPr="004E07E7" w:rsidRDefault="004E07E7" w:rsidP="00807DA8">
            <w:pPr>
              <w:pStyle w:val="TableParagraph"/>
              <w:ind w:left="93" w:right="87"/>
              <w:jc w:val="both"/>
              <w:rPr>
                <w:color w:val="000000" w:themeColor="text1"/>
              </w:rPr>
            </w:pPr>
            <w:r w:rsidRPr="004E07E7">
              <w:rPr>
                <w:color w:val="000000"/>
              </w:rPr>
              <w:t>ROS</w:t>
            </w:r>
            <w:r w:rsidR="00807DA8">
              <w:rPr>
                <w:color w:val="000000"/>
              </w:rPr>
              <w:t>AC</w:t>
            </w:r>
            <w:r w:rsidRPr="004E07E7">
              <w:rPr>
                <w:color w:val="000000"/>
              </w:rPr>
              <w:t>0270</w:t>
            </w:r>
          </w:p>
        </w:tc>
        <w:tc>
          <w:tcPr>
            <w:tcW w:w="3885" w:type="dxa"/>
            <w:vAlign w:val="bottom"/>
          </w:tcPr>
          <w:p w14:paraId="48485201" w14:textId="77777777" w:rsidR="004E07E7" w:rsidRPr="004E07E7" w:rsidRDefault="004E07E7" w:rsidP="00365F5B">
            <w:pPr>
              <w:pStyle w:val="TableParagraph"/>
              <w:ind w:left="90" w:right="85"/>
              <w:jc w:val="both"/>
              <w:rPr>
                <w:color w:val="000000" w:themeColor="text1"/>
              </w:rPr>
            </w:pPr>
            <w:r w:rsidRPr="004E07E7">
              <w:rPr>
                <w:color w:val="000000"/>
              </w:rPr>
              <w:t>Vânători-Neamț</w:t>
            </w:r>
          </w:p>
        </w:tc>
      </w:tr>
      <w:tr w:rsidR="004E07E7" w:rsidRPr="004E07E7" w14:paraId="3F26581E" w14:textId="77777777" w:rsidTr="00993B86">
        <w:trPr>
          <w:trHeight w:val="275"/>
        </w:trPr>
        <w:tc>
          <w:tcPr>
            <w:tcW w:w="3410" w:type="dxa"/>
            <w:vMerge/>
            <w:tcBorders>
              <w:top w:val="nil"/>
            </w:tcBorders>
          </w:tcPr>
          <w:p w14:paraId="328722E3" w14:textId="77777777" w:rsidR="004E07E7" w:rsidRPr="004E07E7" w:rsidRDefault="004E07E7" w:rsidP="00365F5B">
            <w:pPr>
              <w:jc w:val="both"/>
              <w:rPr>
                <w:color w:val="000000" w:themeColor="text1"/>
              </w:rPr>
            </w:pPr>
          </w:p>
        </w:tc>
        <w:tc>
          <w:tcPr>
            <w:tcW w:w="2410" w:type="dxa"/>
            <w:vAlign w:val="bottom"/>
          </w:tcPr>
          <w:p w14:paraId="0552384F" w14:textId="77777777" w:rsidR="004E07E7" w:rsidRPr="004E07E7" w:rsidRDefault="004E07E7" w:rsidP="00807DA8">
            <w:pPr>
              <w:pStyle w:val="TableParagraph"/>
              <w:ind w:left="93" w:right="87"/>
              <w:jc w:val="both"/>
              <w:rPr>
                <w:color w:val="000000" w:themeColor="text1"/>
              </w:rPr>
            </w:pPr>
            <w:r w:rsidRPr="004E07E7">
              <w:rPr>
                <w:color w:val="000000"/>
              </w:rPr>
              <w:t>ROS</w:t>
            </w:r>
            <w:r w:rsidR="00807DA8">
              <w:rPr>
                <w:color w:val="000000"/>
              </w:rPr>
              <w:t>AC</w:t>
            </w:r>
            <w:r w:rsidRPr="004E07E7">
              <w:rPr>
                <w:color w:val="000000"/>
              </w:rPr>
              <w:t>0283</w:t>
            </w:r>
          </w:p>
        </w:tc>
        <w:tc>
          <w:tcPr>
            <w:tcW w:w="3885" w:type="dxa"/>
            <w:vAlign w:val="bottom"/>
          </w:tcPr>
          <w:p w14:paraId="3E46DA02" w14:textId="77777777" w:rsidR="004E07E7" w:rsidRPr="004E07E7" w:rsidRDefault="004E07E7" w:rsidP="00365F5B">
            <w:pPr>
              <w:pStyle w:val="TableParagraph"/>
              <w:ind w:left="91" w:right="80"/>
              <w:jc w:val="both"/>
              <w:rPr>
                <w:color w:val="000000" w:themeColor="text1"/>
              </w:rPr>
            </w:pPr>
            <w:r w:rsidRPr="004E07E7">
              <w:rPr>
                <w:color w:val="000000"/>
              </w:rPr>
              <w:t>Cheile Doftanei</w:t>
            </w:r>
          </w:p>
        </w:tc>
      </w:tr>
      <w:tr w:rsidR="004E07E7" w:rsidRPr="004E07E7" w14:paraId="671FE7DC" w14:textId="77777777" w:rsidTr="00993B86">
        <w:trPr>
          <w:trHeight w:val="275"/>
        </w:trPr>
        <w:tc>
          <w:tcPr>
            <w:tcW w:w="3410" w:type="dxa"/>
            <w:vMerge/>
            <w:tcBorders>
              <w:top w:val="nil"/>
            </w:tcBorders>
          </w:tcPr>
          <w:p w14:paraId="3D0F4520" w14:textId="77777777" w:rsidR="004E07E7" w:rsidRPr="004E07E7" w:rsidRDefault="004E07E7" w:rsidP="00365F5B">
            <w:pPr>
              <w:jc w:val="both"/>
              <w:rPr>
                <w:color w:val="000000" w:themeColor="text1"/>
              </w:rPr>
            </w:pPr>
          </w:p>
        </w:tc>
        <w:tc>
          <w:tcPr>
            <w:tcW w:w="2410" w:type="dxa"/>
            <w:vAlign w:val="bottom"/>
          </w:tcPr>
          <w:p w14:paraId="0DDBA862" w14:textId="77777777" w:rsidR="004E07E7" w:rsidRPr="004E07E7" w:rsidRDefault="004E07E7" w:rsidP="00365F5B">
            <w:pPr>
              <w:pStyle w:val="TableParagraph"/>
              <w:ind w:left="93" w:right="87"/>
              <w:jc w:val="both"/>
              <w:rPr>
                <w:color w:val="000000" w:themeColor="text1"/>
              </w:rPr>
            </w:pPr>
            <w:r w:rsidRPr="004E07E7">
              <w:rPr>
                <w:color w:val="000000"/>
              </w:rPr>
              <w:t>ROSCI0285</w:t>
            </w:r>
          </w:p>
        </w:tc>
        <w:tc>
          <w:tcPr>
            <w:tcW w:w="3885" w:type="dxa"/>
            <w:vAlign w:val="bottom"/>
          </w:tcPr>
          <w:p w14:paraId="3ED75D37" w14:textId="77777777" w:rsidR="004E07E7" w:rsidRPr="004E07E7" w:rsidRDefault="004E07E7" w:rsidP="00365F5B">
            <w:pPr>
              <w:pStyle w:val="TableParagraph"/>
              <w:ind w:left="89" w:right="85"/>
              <w:jc w:val="both"/>
              <w:rPr>
                <w:color w:val="000000" w:themeColor="text1"/>
              </w:rPr>
            </w:pPr>
            <w:r w:rsidRPr="004E07E7">
              <w:rPr>
                <w:color w:val="000000"/>
              </w:rPr>
              <w:t>Codrii seculari de la Strâmbu - Băiuț</w:t>
            </w:r>
          </w:p>
        </w:tc>
      </w:tr>
      <w:tr w:rsidR="004E07E7" w:rsidRPr="004E07E7" w14:paraId="471E6CD4" w14:textId="77777777" w:rsidTr="00993B86">
        <w:trPr>
          <w:trHeight w:val="275"/>
        </w:trPr>
        <w:tc>
          <w:tcPr>
            <w:tcW w:w="3410" w:type="dxa"/>
            <w:vMerge/>
            <w:tcBorders>
              <w:top w:val="nil"/>
            </w:tcBorders>
          </w:tcPr>
          <w:p w14:paraId="4E0EDDCE" w14:textId="77777777" w:rsidR="004E07E7" w:rsidRPr="004E07E7" w:rsidRDefault="004E07E7" w:rsidP="00365F5B">
            <w:pPr>
              <w:jc w:val="both"/>
              <w:rPr>
                <w:color w:val="000000" w:themeColor="text1"/>
              </w:rPr>
            </w:pPr>
          </w:p>
        </w:tc>
        <w:tc>
          <w:tcPr>
            <w:tcW w:w="2410" w:type="dxa"/>
            <w:vAlign w:val="bottom"/>
          </w:tcPr>
          <w:p w14:paraId="2B5FFD7B" w14:textId="77777777" w:rsidR="004E07E7" w:rsidRPr="004E07E7" w:rsidRDefault="004E07E7" w:rsidP="00365F5B">
            <w:pPr>
              <w:pStyle w:val="TableParagraph"/>
              <w:ind w:left="93" w:right="87"/>
              <w:jc w:val="both"/>
              <w:rPr>
                <w:color w:val="000000" w:themeColor="text1"/>
              </w:rPr>
            </w:pPr>
            <w:r w:rsidRPr="004E07E7">
              <w:rPr>
                <w:color w:val="000000"/>
              </w:rPr>
              <w:t>ROSCI0292</w:t>
            </w:r>
          </w:p>
        </w:tc>
        <w:tc>
          <w:tcPr>
            <w:tcW w:w="3885" w:type="dxa"/>
            <w:vAlign w:val="bottom"/>
          </w:tcPr>
          <w:p w14:paraId="1C8C22C4" w14:textId="77777777" w:rsidR="004E07E7" w:rsidRPr="004E07E7" w:rsidRDefault="004E07E7" w:rsidP="00365F5B">
            <w:pPr>
              <w:pStyle w:val="TableParagraph"/>
              <w:ind w:left="91" w:right="81"/>
              <w:jc w:val="both"/>
              <w:rPr>
                <w:color w:val="000000" w:themeColor="text1"/>
              </w:rPr>
            </w:pPr>
            <w:r w:rsidRPr="004E07E7">
              <w:rPr>
                <w:color w:val="000000"/>
              </w:rPr>
              <w:t>Coridorul Rusca Montană - Țarcu - Retezat</w:t>
            </w:r>
          </w:p>
        </w:tc>
      </w:tr>
      <w:tr w:rsidR="004E07E7" w:rsidRPr="004E07E7" w14:paraId="37E99970" w14:textId="77777777" w:rsidTr="00993B86">
        <w:trPr>
          <w:trHeight w:val="275"/>
        </w:trPr>
        <w:tc>
          <w:tcPr>
            <w:tcW w:w="3410" w:type="dxa"/>
            <w:vMerge/>
            <w:tcBorders>
              <w:top w:val="nil"/>
            </w:tcBorders>
          </w:tcPr>
          <w:p w14:paraId="7541E09F" w14:textId="77777777" w:rsidR="004E07E7" w:rsidRPr="004E07E7" w:rsidRDefault="004E07E7" w:rsidP="00365F5B">
            <w:pPr>
              <w:jc w:val="both"/>
              <w:rPr>
                <w:color w:val="000000" w:themeColor="text1"/>
              </w:rPr>
            </w:pPr>
          </w:p>
        </w:tc>
        <w:tc>
          <w:tcPr>
            <w:tcW w:w="2410" w:type="dxa"/>
            <w:vAlign w:val="bottom"/>
          </w:tcPr>
          <w:p w14:paraId="7B532B45" w14:textId="77777777" w:rsidR="004E07E7" w:rsidRPr="004E07E7" w:rsidRDefault="004E07E7" w:rsidP="00807DA8">
            <w:pPr>
              <w:pStyle w:val="TableParagraph"/>
              <w:ind w:left="93" w:right="87"/>
              <w:jc w:val="both"/>
              <w:rPr>
                <w:color w:val="000000" w:themeColor="text1"/>
              </w:rPr>
            </w:pPr>
            <w:r w:rsidRPr="004E07E7">
              <w:rPr>
                <w:color w:val="000000"/>
              </w:rPr>
              <w:t>ROS</w:t>
            </w:r>
            <w:r w:rsidR="00807DA8">
              <w:rPr>
                <w:color w:val="000000"/>
              </w:rPr>
              <w:t>AC</w:t>
            </w:r>
            <w:r w:rsidRPr="004E07E7">
              <w:rPr>
                <w:color w:val="000000"/>
              </w:rPr>
              <w:t>0297</w:t>
            </w:r>
          </w:p>
        </w:tc>
        <w:tc>
          <w:tcPr>
            <w:tcW w:w="3885" w:type="dxa"/>
            <w:vAlign w:val="bottom"/>
          </w:tcPr>
          <w:p w14:paraId="40AFEB7B" w14:textId="77777777" w:rsidR="004E07E7" w:rsidRPr="004E07E7" w:rsidRDefault="004E07E7" w:rsidP="00365F5B">
            <w:pPr>
              <w:pStyle w:val="TableParagraph"/>
              <w:ind w:left="91" w:right="80"/>
              <w:jc w:val="both"/>
              <w:rPr>
                <w:color w:val="000000" w:themeColor="text1"/>
              </w:rPr>
            </w:pPr>
            <w:r w:rsidRPr="004E07E7">
              <w:rPr>
                <w:color w:val="000000"/>
              </w:rPr>
              <w:t>Dealurile Târnavei Mici - Bicheș</w:t>
            </w:r>
          </w:p>
        </w:tc>
      </w:tr>
      <w:tr w:rsidR="004E07E7" w:rsidRPr="004E07E7" w14:paraId="2E1ED3BA" w14:textId="77777777" w:rsidTr="00993B86">
        <w:trPr>
          <w:trHeight w:val="277"/>
        </w:trPr>
        <w:tc>
          <w:tcPr>
            <w:tcW w:w="3410" w:type="dxa"/>
            <w:vMerge/>
            <w:tcBorders>
              <w:top w:val="nil"/>
            </w:tcBorders>
          </w:tcPr>
          <w:p w14:paraId="17B029AB" w14:textId="77777777" w:rsidR="004E07E7" w:rsidRPr="004E07E7" w:rsidRDefault="004E07E7" w:rsidP="00365F5B">
            <w:pPr>
              <w:jc w:val="both"/>
              <w:rPr>
                <w:color w:val="000000" w:themeColor="text1"/>
              </w:rPr>
            </w:pPr>
          </w:p>
        </w:tc>
        <w:tc>
          <w:tcPr>
            <w:tcW w:w="2410" w:type="dxa"/>
            <w:vAlign w:val="bottom"/>
          </w:tcPr>
          <w:p w14:paraId="5C3B3FA4" w14:textId="77777777" w:rsidR="004E07E7" w:rsidRPr="004E07E7" w:rsidRDefault="004E07E7" w:rsidP="00807DA8">
            <w:pPr>
              <w:pStyle w:val="TableParagraph"/>
              <w:spacing w:line="258" w:lineRule="exact"/>
              <w:ind w:left="93" w:right="87"/>
              <w:jc w:val="both"/>
              <w:rPr>
                <w:color w:val="000000" w:themeColor="text1"/>
              </w:rPr>
            </w:pPr>
            <w:r w:rsidRPr="004E07E7">
              <w:rPr>
                <w:color w:val="000000"/>
              </w:rPr>
              <w:t>ROS</w:t>
            </w:r>
            <w:r w:rsidR="00807DA8">
              <w:rPr>
                <w:color w:val="000000"/>
              </w:rPr>
              <w:t>AC</w:t>
            </w:r>
            <w:r w:rsidRPr="004E07E7">
              <w:rPr>
                <w:color w:val="000000"/>
              </w:rPr>
              <w:t>0321</w:t>
            </w:r>
          </w:p>
        </w:tc>
        <w:tc>
          <w:tcPr>
            <w:tcW w:w="3885" w:type="dxa"/>
            <w:vAlign w:val="bottom"/>
          </w:tcPr>
          <w:p w14:paraId="68054B18" w14:textId="77777777" w:rsidR="004E07E7" w:rsidRPr="004E07E7" w:rsidRDefault="004E07E7" w:rsidP="00365F5B">
            <w:pPr>
              <w:pStyle w:val="TableParagraph"/>
              <w:spacing w:line="258" w:lineRule="exact"/>
              <w:ind w:left="91" w:right="83"/>
              <w:jc w:val="both"/>
              <w:rPr>
                <w:color w:val="000000" w:themeColor="text1"/>
              </w:rPr>
            </w:pPr>
            <w:r w:rsidRPr="004E07E7">
              <w:rPr>
                <w:color w:val="000000"/>
              </w:rPr>
              <w:t>Moldova Superioară</w:t>
            </w:r>
          </w:p>
        </w:tc>
      </w:tr>
      <w:tr w:rsidR="004E07E7" w:rsidRPr="004E07E7" w14:paraId="50B64D93" w14:textId="77777777" w:rsidTr="00993B86">
        <w:trPr>
          <w:trHeight w:val="275"/>
        </w:trPr>
        <w:tc>
          <w:tcPr>
            <w:tcW w:w="3410" w:type="dxa"/>
            <w:vMerge/>
            <w:tcBorders>
              <w:top w:val="nil"/>
            </w:tcBorders>
          </w:tcPr>
          <w:p w14:paraId="6FAD51A5" w14:textId="77777777" w:rsidR="004E07E7" w:rsidRPr="004E07E7" w:rsidRDefault="004E07E7" w:rsidP="00365F5B">
            <w:pPr>
              <w:jc w:val="both"/>
              <w:rPr>
                <w:color w:val="000000" w:themeColor="text1"/>
              </w:rPr>
            </w:pPr>
          </w:p>
        </w:tc>
        <w:tc>
          <w:tcPr>
            <w:tcW w:w="2410" w:type="dxa"/>
            <w:vAlign w:val="bottom"/>
          </w:tcPr>
          <w:p w14:paraId="6722274B" w14:textId="77777777" w:rsidR="004E07E7" w:rsidRPr="004E07E7" w:rsidRDefault="004E07E7" w:rsidP="00365F5B">
            <w:pPr>
              <w:pStyle w:val="TableParagraph"/>
              <w:ind w:left="93" w:right="87"/>
              <w:jc w:val="both"/>
              <w:rPr>
                <w:color w:val="000000" w:themeColor="text1"/>
              </w:rPr>
            </w:pPr>
            <w:r w:rsidRPr="004E07E7">
              <w:rPr>
                <w:color w:val="000000"/>
              </w:rPr>
              <w:t>ROSCI0323</w:t>
            </w:r>
          </w:p>
        </w:tc>
        <w:tc>
          <w:tcPr>
            <w:tcW w:w="3885" w:type="dxa"/>
            <w:vAlign w:val="bottom"/>
          </w:tcPr>
          <w:p w14:paraId="244A47EE" w14:textId="77777777" w:rsidR="004E07E7" w:rsidRPr="004E07E7" w:rsidRDefault="004E07E7" w:rsidP="00365F5B">
            <w:pPr>
              <w:pStyle w:val="TableParagraph"/>
              <w:ind w:left="91" w:right="81"/>
              <w:jc w:val="both"/>
              <w:rPr>
                <w:color w:val="000000" w:themeColor="text1"/>
              </w:rPr>
            </w:pPr>
            <w:r w:rsidRPr="004E07E7">
              <w:rPr>
                <w:color w:val="000000"/>
              </w:rPr>
              <w:t>Munții Ciucului</w:t>
            </w:r>
          </w:p>
        </w:tc>
      </w:tr>
      <w:tr w:rsidR="004E07E7" w:rsidRPr="004E07E7" w14:paraId="0EC56DD2" w14:textId="77777777" w:rsidTr="00993B86">
        <w:trPr>
          <w:trHeight w:val="275"/>
        </w:trPr>
        <w:tc>
          <w:tcPr>
            <w:tcW w:w="3410" w:type="dxa"/>
            <w:vMerge/>
            <w:tcBorders>
              <w:top w:val="nil"/>
            </w:tcBorders>
          </w:tcPr>
          <w:p w14:paraId="7CCAF19E" w14:textId="77777777" w:rsidR="004E07E7" w:rsidRPr="004E07E7" w:rsidRDefault="004E07E7" w:rsidP="00365F5B">
            <w:pPr>
              <w:jc w:val="both"/>
              <w:rPr>
                <w:color w:val="000000" w:themeColor="text1"/>
              </w:rPr>
            </w:pPr>
          </w:p>
        </w:tc>
        <w:tc>
          <w:tcPr>
            <w:tcW w:w="2410" w:type="dxa"/>
            <w:vAlign w:val="bottom"/>
          </w:tcPr>
          <w:p w14:paraId="10A425D9" w14:textId="77777777" w:rsidR="004E07E7" w:rsidRPr="004E07E7" w:rsidRDefault="004E07E7" w:rsidP="00365F5B">
            <w:pPr>
              <w:pStyle w:val="TableParagraph"/>
              <w:ind w:left="93" w:right="87"/>
              <w:jc w:val="both"/>
              <w:rPr>
                <w:color w:val="000000" w:themeColor="text1"/>
              </w:rPr>
            </w:pPr>
            <w:r w:rsidRPr="004E07E7">
              <w:rPr>
                <w:color w:val="000000"/>
              </w:rPr>
              <w:t>ROSCI0328</w:t>
            </w:r>
          </w:p>
        </w:tc>
        <w:tc>
          <w:tcPr>
            <w:tcW w:w="3885" w:type="dxa"/>
            <w:vAlign w:val="bottom"/>
          </w:tcPr>
          <w:p w14:paraId="044CBB98" w14:textId="77777777" w:rsidR="004E07E7" w:rsidRPr="004E07E7" w:rsidRDefault="004E07E7" w:rsidP="00365F5B">
            <w:pPr>
              <w:pStyle w:val="TableParagraph"/>
              <w:ind w:left="91" w:right="83"/>
              <w:jc w:val="both"/>
              <w:rPr>
                <w:color w:val="000000" w:themeColor="text1"/>
              </w:rPr>
            </w:pPr>
            <w:r w:rsidRPr="004E07E7">
              <w:rPr>
                <w:color w:val="000000"/>
              </w:rPr>
              <w:t>Obcinele Bucovinei</w:t>
            </w:r>
          </w:p>
        </w:tc>
      </w:tr>
      <w:tr w:rsidR="004E07E7" w:rsidRPr="004E07E7" w14:paraId="48D47C50" w14:textId="77777777" w:rsidTr="00993B86">
        <w:trPr>
          <w:trHeight w:val="275"/>
        </w:trPr>
        <w:tc>
          <w:tcPr>
            <w:tcW w:w="3410" w:type="dxa"/>
            <w:vMerge/>
            <w:tcBorders>
              <w:top w:val="nil"/>
            </w:tcBorders>
          </w:tcPr>
          <w:p w14:paraId="4712BC39" w14:textId="77777777" w:rsidR="004E07E7" w:rsidRPr="004E07E7" w:rsidRDefault="004E07E7" w:rsidP="00365F5B">
            <w:pPr>
              <w:jc w:val="both"/>
              <w:rPr>
                <w:color w:val="000000" w:themeColor="text1"/>
              </w:rPr>
            </w:pPr>
          </w:p>
        </w:tc>
        <w:tc>
          <w:tcPr>
            <w:tcW w:w="2410" w:type="dxa"/>
            <w:vAlign w:val="bottom"/>
          </w:tcPr>
          <w:p w14:paraId="34CBB39E" w14:textId="77777777" w:rsidR="004E07E7" w:rsidRPr="004E07E7" w:rsidRDefault="004E07E7" w:rsidP="00807DA8">
            <w:pPr>
              <w:pStyle w:val="TableParagraph"/>
              <w:ind w:left="93" w:right="87"/>
              <w:jc w:val="both"/>
              <w:rPr>
                <w:color w:val="000000" w:themeColor="text1"/>
              </w:rPr>
            </w:pPr>
            <w:r w:rsidRPr="004E07E7">
              <w:rPr>
                <w:color w:val="000000"/>
              </w:rPr>
              <w:t>ROS</w:t>
            </w:r>
            <w:r w:rsidR="00807DA8">
              <w:rPr>
                <w:color w:val="000000"/>
              </w:rPr>
              <w:t>AC</w:t>
            </w:r>
            <w:r w:rsidRPr="004E07E7">
              <w:rPr>
                <w:color w:val="000000"/>
              </w:rPr>
              <w:t>0395</w:t>
            </w:r>
          </w:p>
        </w:tc>
        <w:tc>
          <w:tcPr>
            <w:tcW w:w="3885" w:type="dxa"/>
            <w:vAlign w:val="bottom"/>
          </w:tcPr>
          <w:p w14:paraId="05B6973C" w14:textId="77777777" w:rsidR="004E07E7" w:rsidRPr="004E07E7" w:rsidRDefault="004E07E7" w:rsidP="00365F5B">
            <w:pPr>
              <w:pStyle w:val="TableParagraph"/>
              <w:ind w:left="91" w:right="83"/>
              <w:jc w:val="both"/>
              <w:rPr>
                <w:color w:val="000000" w:themeColor="text1"/>
              </w:rPr>
            </w:pPr>
            <w:r w:rsidRPr="004E07E7">
              <w:rPr>
                <w:color w:val="000000"/>
              </w:rPr>
              <w:t>Soveja</w:t>
            </w:r>
          </w:p>
        </w:tc>
      </w:tr>
      <w:tr w:rsidR="004E07E7" w:rsidRPr="004E07E7" w14:paraId="5237CC40" w14:textId="77777777" w:rsidTr="00993B86">
        <w:trPr>
          <w:trHeight w:val="275"/>
        </w:trPr>
        <w:tc>
          <w:tcPr>
            <w:tcW w:w="3410" w:type="dxa"/>
            <w:vMerge/>
            <w:tcBorders>
              <w:top w:val="nil"/>
            </w:tcBorders>
          </w:tcPr>
          <w:p w14:paraId="1AB1E6A7" w14:textId="77777777" w:rsidR="004E07E7" w:rsidRPr="004E07E7" w:rsidRDefault="004E07E7" w:rsidP="00365F5B">
            <w:pPr>
              <w:jc w:val="both"/>
              <w:rPr>
                <w:color w:val="000000" w:themeColor="text1"/>
              </w:rPr>
            </w:pPr>
          </w:p>
        </w:tc>
        <w:tc>
          <w:tcPr>
            <w:tcW w:w="2410" w:type="dxa"/>
            <w:vAlign w:val="bottom"/>
          </w:tcPr>
          <w:p w14:paraId="35EA4320" w14:textId="77777777" w:rsidR="004E07E7" w:rsidRPr="004E07E7" w:rsidRDefault="004E07E7" w:rsidP="00365F5B">
            <w:pPr>
              <w:pStyle w:val="TableParagraph"/>
              <w:ind w:left="93" w:right="87"/>
              <w:jc w:val="both"/>
              <w:rPr>
                <w:color w:val="000000" w:themeColor="text1"/>
              </w:rPr>
            </w:pPr>
            <w:r w:rsidRPr="004E07E7">
              <w:rPr>
                <w:color w:val="000000"/>
              </w:rPr>
              <w:t>ROSCI0406</w:t>
            </w:r>
          </w:p>
        </w:tc>
        <w:tc>
          <w:tcPr>
            <w:tcW w:w="3885" w:type="dxa"/>
            <w:vAlign w:val="bottom"/>
          </w:tcPr>
          <w:p w14:paraId="771DEDC6" w14:textId="77777777" w:rsidR="004E07E7" w:rsidRPr="004E07E7" w:rsidRDefault="004E07E7" w:rsidP="00365F5B">
            <w:pPr>
              <w:pStyle w:val="TableParagraph"/>
              <w:ind w:left="91" w:right="83"/>
              <w:jc w:val="both"/>
              <w:rPr>
                <w:color w:val="000000" w:themeColor="text1"/>
              </w:rPr>
            </w:pPr>
            <w:r w:rsidRPr="004E07E7">
              <w:rPr>
                <w:color w:val="000000"/>
              </w:rPr>
              <w:t>Zarandul de Est</w:t>
            </w:r>
          </w:p>
        </w:tc>
      </w:tr>
      <w:tr w:rsidR="004E07E7" w:rsidRPr="004E07E7" w14:paraId="11B579EB" w14:textId="77777777" w:rsidTr="00993B86">
        <w:trPr>
          <w:trHeight w:val="275"/>
        </w:trPr>
        <w:tc>
          <w:tcPr>
            <w:tcW w:w="3410" w:type="dxa"/>
            <w:vMerge w:val="restart"/>
          </w:tcPr>
          <w:p w14:paraId="41A38EE3" w14:textId="77777777" w:rsidR="004E07E7" w:rsidRPr="004E07E7" w:rsidRDefault="004E07E7" w:rsidP="00365F5B">
            <w:pPr>
              <w:pStyle w:val="TableParagraph"/>
              <w:spacing w:before="1"/>
              <w:ind w:left="108" w:right="1106"/>
              <w:jc w:val="both"/>
              <w:rPr>
                <w:color w:val="000000" w:themeColor="text1"/>
                <w:sz w:val="24"/>
                <w:szCs w:val="24"/>
              </w:rPr>
            </w:pPr>
            <w:r w:rsidRPr="004E07E7">
              <w:rPr>
                <w:color w:val="000000" w:themeColor="text1"/>
                <w:sz w:val="24"/>
                <w:szCs w:val="24"/>
              </w:rPr>
              <w:t>6510</w:t>
            </w:r>
            <w:r w:rsidRPr="004E07E7">
              <w:rPr>
                <w:color w:val="000000" w:themeColor="text1"/>
                <w:spacing w:val="-1"/>
                <w:sz w:val="24"/>
                <w:szCs w:val="24"/>
              </w:rPr>
              <w:t xml:space="preserve"> </w:t>
            </w:r>
            <w:r w:rsidRPr="004E07E7">
              <w:rPr>
                <w:color w:val="000000" w:themeColor="text1"/>
                <w:sz w:val="24"/>
                <w:szCs w:val="24"/>
              </w:rPr>
              <w:t>-</w:t>
            </w:r>
            <w:r w:rsidRPr="004E07E7">
              <w:rPr>
                <w:color w:val="000000" w:themeColor="text1"/>
                <w:spacing w:val="-2"/>
                <w:sz w:val="24"/>
                <w:szCs w:val="24"/>
              </w:rPr>
              <w:t xml:space="preserve"> </w:t>
            </w:r>
            <w:r w:rsidRPr="004E07E7">
              <w:rPr>
                <w:color w:val="000000" w:themeColor="text1"/>
                <w:sz w:val="24"/>
                <w:szCs w:val="24"/>
              </w:rPr>
              <w:t>Pajişti</w:t>
            </w:r>
            <w:r w:rsidRPr="004E07E7">
              <w:rPr>
                <w:color w:val="000000" w:themeColor="text1"/>
                <w:spacing w:val="-1"/>
                <w:sz w:val="24"/>
                <w:szCs w:val="24"/>
              </w:rPr>
              <w:t xml:space="preserve"> </w:t>
            </w:r>
            <w:r w:rsidRPr="004E07E7">
              <w:rPr>
                <w:color w:val="000000" w:themeColor="text1"/>
                <w:sz w:val="24"/>
                <w:szCs w:val="24"/>
              </w:rPr>
              <w:t>de</w:t>
            </w:r>
            <w:r w:rsidRPr="004E07E7">
              <w:rPr>
                <w:color w:val="000000" w:themeColor="text1"/>
                <w:spacing w:val="-1"/>
                <w:sz w:val="24"/>
                <w:szCs w:val="24"/>
              </w:rPr>
              <w:t xml:space="preserve"> </w:t>
            </w:r>
            <w:r w:rsidRPr="004E07E7">
              <w:rPr>
                <w:color w:val="000000" w:themeColor="text1"/>
                <w:sz w:val="24"/>
                <w:szCs w:val="24"/>
              </w:rPr>
              <w:t>altitudine</w:t>
            </w:r>
            <w:r w:rsidRPr="004E07E7">
              <w:rPr>
                <w:color w:val="000000" w:themeColor="text1"/>
                <w:spacing w:val="-2"/>
                <w:sz w:val="24"/>
                <w:szCs w:val="24"/>
              </w:rPr>
              <w:t xml:space="preserve"> </w:t>
            </w:r>
            <w:r w:rsidRPr="004E07E7">
              <w:rPr>
                <w:color w:val="000000" w:themeColor="text1"/>
                <w:sz w:val="24"/>
                <w:szCs w:val="24"/>
              </w:rPr>
              <w:t>joasă</w:t>
            </w:r>
            <w:r w:rsidRPr="004E07E7">
              <w:rPr>
                <w:color w:val="000000" w:themeColor="text1"/>
                <w:spacing w:val="-3"/>
                <w:sz w:val="24"/>
                <w:szCs w:val="24"/>
              </w:rPr>
              <w:t xml:space="preserve"> </w:t>
            </w:r>
            <w:r w:rsidRPr="004E07E7">
              <w:rPr>
                <w:color w:val="000000" w:themeColor="text1"/>
                <w:sz w:val="24"/>
                <w:szCs w:val="24"/>
              </w:rPr>
              <w:t>(</w:t>
            </w:r>
            <w:r w:rsidRPr="004E07E7">
              <w:rPr>
                <w:i/>
                <w:color w:val="000000" w:themeColor="text1"/>
                <w:sz w:val="24"/>
                <w:szCs w:val="24"/>
              </w:rPr>
              <w:t>Alopecurus</w:t>
            </w:r>
            <w:r w:rsidRPr="004E07E7">
              <w:rPr>
                <w:i/>
                <w:color w:val="000000" w:themeColor="text1"/>
                <w:spacing w:val="-1"/>
                <w:sz w:val="24"/>
                <w:szCs w:val="24"/>
              </w:rPr>
              <w:t xml:space="preserve"> </w:t>
            </w:r>
            <w:r w:rsidRPr="004E07E7">
              <w:rPr>
                <w:i/>
                <w:color w:val="000000" w:themeColor="text1"/>
                <w:sz w:val="24"/>
                <w:szCs w:val="24"/>
              </w:rPr>
              <w:t>pratensis,</w:t>
            </w:r>
            <w:r w:rsidRPr="004E07E7">
              <w:rPr>
                <w:i/>
                <w:color w:val="000000" w:themeColor="text1"/>
                <w:spacing w:val="-57"/>
                <w:sz w:val="24"/>
                <w:szCs w:val="24"/>
              </w:rPr>
              <w:t xml:space="preserve"> </w:t>
            </w:r>
            <w:r w:rsidRPr="004E07E7">
              <w:rPr>
                <w:i/>
                <w:color w:val="000000" w:themeColor="text1"/>
                <w:sz w:val="24"/>
                <w:szCs w:val="24"/>
              </w:rPr>
              <w:t>Sanguisorba officinalis</w:t>
            </w:r>
            <w:r w:rsidRPr="004E07E7">
              <w:rPr>
                <w:color w:val="000000" w:themeColor="text1"/>
                <w:sz w:val="24"/>
                <w:szCs w:val="24"/>
              </w:rPr>
              <w:t>)</w:t>
            </w:r>
          </w:p>
        </w:tc>
        <w:tc>
          <w:tcPr>
            <w:tcW w:w="2410" w:type="dxa"/>
            <w:vAlign w:val="bottom"/>
          </w:tcPr>
          <w:p w14:paraId="3AAD79ED" w14:textId="77777777" w:rsidR="004E07E7" w:rsidRPr="004E07E7" w:rsidRDefault="004E07E7" w:rsidP="00365F5B">
            <w:pPr>
              <w:pStyle w:val="TableParagraph"/>
              <w:ind w:left="94" w:right="87"/>
              <w:jc w:val="both"/>
              <w:rPr>
                <w:color w:val="000000" w:themeColor="text1"/>
              </w:rPr>
            </w:pPr>
            <w:r w:rsidRPr="004E07E7">
              <w:rPr>
                <w:color w:val="000000"/>
              </w:rPr>
              <w:t>ROSCI0002</w:t>
            </w:r>
          </w:p>
        </w:tc>
        <w:tc>
          <w:tcPr>
            <w:tcW w:w="3885" w:type="dxa"/>
            <w:vAlign w:val="bottom"/>
          </w:tcPr>
          <w:p w14:paraId="2C2B3C4F" w14:textId="77777777" w:rsidR="004E07E7" w:rsidRPr="004E07E7" w:rsidRDefault="004E07E7" w:rsidP="00365F5B">
            <w:pPr>
              <w:pStyle w:val="TableParagraph"/>
              <w:ind w:left="91" w:right="82"/>
              <w:jc w:val="both"/>
              <w:rPr>
                <w:color w:val="000000" w:themeColor="text1"/>
              </w:rPr>
            </w:pPr>
            <w:r w:rsidRPr="004E07E7">
              <w:rPr>
                <w:color w:val="000000"/>
              </w:rPr>
              <w:t>Apuseni</w:t>
            </w:r>
          </w:p>
        </w:tc>
      </w:tr>
      <w:tr w:rsidR="004E07E7" w:rsidRPr="004E07E7" w14:paraId="78E2CF2F" w14:textId="77777777" w:rsidTr="00993B86">
        <w:trPr>
          <w:trHeight w:val="275"/>
        </w:trPr>
        <w:tc>
          <w:tcPr>
            <w:tcW w:w="3410" w:type="dxa"/>
            <w:vMerge/>
            <w:tcBorders>
              <w:top w:val="nil"/>
            </w:tcBorders>
          </w:tcPr>
          <w:p w14:paraId="7A12F054" w14:textId="77777777" w:rsidR="004E07E7" w:rsidRPr="004E07E7" w:rsidRDefault="004E07E7" w:rsidP="00365F5B">
            <w:pPr>
              <w:jc w:val="both"/>
              <w:rPr>
                <w:color w:val="000000" w:themeColor="text1"/>
              </w:rPr>
            </w:pPr>
          </w:p>
        </w:tc>
        <w:tc>
          <w:tcPr>
            <w:tcW w:w="2410" w:type="dxa"/>
            <w:vAlign w:val="bottom"/>
          </w:tcPr>
          <w:p w14:paraId="439ABD0D" w14:textId="77777777" w:rsidR="004E07E7" w:rsidRPr="004E07E7" w:rsidRDefault="004E07E7" w:rsidP="00365F5B">
            <w:pPr>
              <w:pStyle w:val="TableParagraph"/>
              <w:ind w:left="93" w:right="87"/>
              <w:jc w:val="both"/>
              <w:rPr>
                <w:color w:val="000000" w:themeColor="text1"/>
              </w:rPr>
            </w:pPr>
            <w:r w:rsidRPr="004E07E7">
              <w:rPr>
                <w:color w:val="000000"/>
              </w:rPr>
              <w:t>ROSCI0006</w:t>
            </w:r>
          </w:p>
        </w:tc>
        <w:tc>
          <w:tcPr>
            <w:tcW w:w="3885" w:type="dxa"/>
            <w:vAlign w:val="bottom"/>
          </w:tcPr>
          <w:p w14:paraId="2253835A" w14:textId="77777777" w:rsidR="004E07E7" w:rsidRPr="004E07E7" w:rsidRDefault="004E07E7" w:rsidP="00365F5B">
            <w:pPr>
              <w:pStyle w:val="TableParagraph"/>
              <w:ind w:left="89" w:right="85"/>
              <w:jc w:val="both"/>
              <w:rPr>
                <w:color w:val="000000" w:themeColor="text1"/>
              </w:rPr>
            </w:pPr>
            <w:r w:rsidRPr="004E07E7">
              <w:rPr>
                <w:color w:val="000000"/>
              </w:rPr>
              <w:t>Balta Mică a Brăilei</w:t>
            </w:r>
          </w:p>
        </w:tc>
      </w:tr>
      <w:tr w:rsidR="004E07E7" w:rsidRPr="004E07E7" w14:paraId="5E9C0BFE" w14:textId="77777777" w:rsidTr="00993B86">
        <w:trPr>
          <w:trHeight w:val="275"/>
        </w:trPr>
        <w:tc>
          <w:tcPr>
            <w:tcW w:w="3410" w:type="dxa"/>
            <w:vMerge/>
            <w:tcBorders>
              <w:top w:val="nil"/>
            </w:tcBorders>
          </w:tcPr>
          <w:p w14:paraId="303346D2" w14:textId="77777777" w:rsidR="004E07E7" w:rsidRPr="004E07E7" w:rsidRDefault="004E07E7" w:rsidP="00365F5B">
            <w:pPr>
              <w:jc w:val="both"/>
              <w:rPr>
                <w:color w:val="000000" w:themeColor="text1"/>
              </w:rPr>
            </w:pPr>
          </w:p>
        </w:tc>
        <w:tc>
          <w:tcPr>
            <w:tcW w:w="2410" w:type="dxa"/>
            <w:vAlign w:val="bottom"/>
          </w:tcPr>
          <w:p w14:paraId="3A30ACCC" w14:textId="77777777" w:rsidR="004E07E7" w:rsidRPr="004E07E7" w:rsidRDefault="004E07E7" w:rsidP="00365F5B">
            <w:pPr>
              <w:pStyle w:val="TableParagraph"/>
              <w:ind w:left="93" w:right="87"/>
              <w:jc w:val="both"/>
              <w:rPr>
                <w:color w:val="000000" w:themeColor="text1"/>
              </w:rPr>
            </w:pPr>
            <w:r w:rsidRPr="004E07E7">
              <w:rPr>
                <w:color w:val="000000"/>
              </w:rPr>
              <w:t>ROSCI0007</w:t>
            </w:r>
          </w:p>
        </w:tc>
        <w:tc>
          <w:tcPr>
            <w:tcW w:w="3885" w:type="dxa"/>
            <w:vAlign w:val="bottom"/>
          </w:tcPr>
          <w:p w14:paraId="7861E506" w14:textId="77777777" w:rsidR="004E07E7" w:rsidRPr="004E07E7" w:rsidRDefault="004E07E7" w:rsidP="00365F5B">
            <w:pPr>
              <w:pStyle w:val="TableParagraph"/>
              <w:ind w:left="91" w:right="82"/>
              <w:jc w:val="both"/>
              <w:rPr>
                <w:color w:val="000000" w:themeColor="text1"/>
              </w:rPr>
            </w:pPr>
            <w:r w:rsidRPr="004E07E7">
              <w:rPr>
                <w:color w:val="000000"/>
              </w:rPr>
              <w:t>Bazinul Ciucului de Jos</w:t>
            </w:r>
          </w:p>
        </w:tc>
      </w:tr>
      <w:tr w:rsidR="004E07E7" w:rsidRPr="004E07E7" w14:paraId="0C3843D3" w14:textId="77777777" w:rsidTr="00993B86">
        <w:trPr>
          <w:trHeight w:val="275"/>
        </w:trPr>
        <w:tc>
          <w:tcPr>
            <w:tcW w:w="3410" w:type="dxa"/>
            <w:vMerge/>
            <w:tcBorders>
              <w:top w:val="nil"/>
            </w:tcBorders>
          </w:tcPr>
          <w:p w14:paraId="2384F002" w14:textId="77777777" w:rsidR="004E07E7" w:rsidRPr="004E07E7" w:rsidRDefault="004E07E7" w:rsidP="00365F5B">
            <w:pPr>
              <w:jc w:val="both"/>
              <w:rPr>
                <w:color w:val="000000" w:themeColor="text1"/>
              </w:rPr>
            </w:pPr>
          </w:p>
        </w:tc>
        <w:tc>
          <w:tcPr>
            <w:tcW w:w="2410" w:type="dxa"/>
            <w:vAlign w:val="bottom"/>
          </w:tcPr>
          <w:p w14:paraId="3DF8434F" w14:textId="77777777" w:rsidR="004E07E7" w:rsidRPr="004E07E7" w:rsidRDefault="004E07E7" w:rsidP="00365F5B">
            <w:pPr>
              <w:pStyle w:val="TableParagraph"/>
              <w:ind w:left="93" w:right="87"/>
              <w:jc w:val="both"/>
              <w:rPr>
                <w:color w:val="000000" w:themeColor="text1"/>
              </w:rPr>
            </w:pPr>
            <w:r w:rsidRPr="004E07E7">
              <w:rPr>
                <w:color w:val="000000"/>
              </w:rPr>
              <w:t>ROSCI0012</w:t>
            </w:r>
          </w:p>
        </w:tc>
        <w:tc>
          <w:tcPr>
            <w:tcW w:w="3885" w:type="dxa"/>
            <w:vAlign w:val="bottom"/>
          </w:tcPr>
          <w:p w14:paraId="783B0B95" w14:textId="77777777" w:rsidR="004E07E7" w:rsidRPr="004E07E7" w:rsidRDefault="004E07E7" w:rsidP="00365F5B">
            <w:pPr>
              <w:pStyle w:val="TableParagraph"/>
              <w:ind w:left="91" w:right="84"/>
              <w:jc w:val="both"/>
              <w:rPr>
                <w:color w:val="000000" w:themeColor="text1"/>
              </w:rPr>
            </w:pPr>
            <w:r w:rsidRPr="004E07E7">
              <w:rPr>
                <w:color w:val="000000"/>
              </w:rPr>
              <w:t>Brațul Măcin</w:t>
            </w:r>
          </w:p>
        </w:tc>
      </w:tr>
      <w:tr w:rsidR="004E07E7" w:rsidRPr="004E07E7" w14:paraId="74E964B5" w14:textId="77777777" w:rsidTr="00993B86">
        <w:trPr>
          <w:trHeight w:val="277"/>
        </w:trPr>
        <w:tc>
          <w:tcPr>
            <w:tcW w:w="3410" w:type="dxa"/>
            <w:vMerge/>
            <w:tcBorders>
              <w:top w:val="nil"/>
            </w:tcBorders>
          </w:tcPr>
          <w:p w14:paraId="658EB052" w14:textId="77777777" w:rsidR="004E07E7" w:rsidRPr="004E07E7" w:rsidRDefault="004E07E7" w:rsidP="00365F5B">
            <w:pPr>
              <w:jc w:val="both"/>
              <w:rPr>
                <w:color w:val="000000" w:themeColor="text1"/>
              </w:rPr>
            </w:pPr>
          </w:p>
        </w:tc>
        <w:tc>
          <w:tcPr>
            <w:tcW w:w="2410" w:type="dxa"/>
            <w:vAlign w:val="bottom"/>
          </w:tcPr>
          <w:p w14:paraId="2E0F1C3F" w14:textId="77777777" w:rsidR="004E07E7" w:rsidRPr="004E07E7" w:rsidRDefault="004E07E7" w:rsidP="00365F5B">
            <w:pPr>
              <w:pStyle w:val="TableParagraph"/>
              <w:spacing w:line="258" w:lineRule="exact"/>
              <w:ind w:left="93" w:right="87"/>
              <w:jc w:val="both"/>
              <w:rPr>
                <w:color w:val="000000" w:themeColor="text1"/>
              </w:rPr>
            </w:pPr>
            <w:r w:rsidRPr="004E07E7">
              <w:rPr>
                <w:color w:val="000000"/>
              </w:rPr>
              <w:t>ROSCI0020</w:t>
            </w:r>
          </w:p>
        </w:tc>
        <w:tc>
          <w:tcPr>
            <w:tcW w:w="3885" w:type="dxa"/>
            <w:vAlign w:val="bottom"/>
          </w:tcPr>
          <w:p w14:paraId="14BB6A4A" w14:textId="77777777" w:rsidR="004E07E7" w:rsidRPr="004E07E7" w:rsidRDefault="004E07E7" w:rsidP="00365F5B">
            <w:pPr>
              <w:pStyle w:val="TableParagraph"/>
              <w:spacing w:line="258" w:lineRule="exact"/>
              <w:ind w:left="91" w:right="85"/>
              <w:jc w:val="both"/>
              <w:rPr>
                <w:color w:val="000000" w:themeColor="text1"/>
              </w:rPr>
            </w:pPr>
            <w:r w:rsidRPr="004E07E7">
              <w:rPr>
                <w:color w:val="000000"/>
              </w:rPr>
              <w:t>Câmpia Careiului</w:t>
            </w:r>
          </w:p>
        </w:tc>
      </w:tr>
      <w:tr w:rsidR="004E07E7" w:rsidRPr="004E07E7" w14:paraId="227C7EA0" w14:textId="77777777" w:rsidTr="00993B86">
        <w:trPr>
          <w:trHeight w:val="275"/>
        </w:trPr>
        <w:tc>
          <w:tcPr>
            <w:tcW w:w="3410" w:type="dxa"/>
            <w:vMerge/>
            <w:tcBorders>
              <w:top w:val="nil"/>
            </w:tcBorders>
          </w:tcPr>
          <w:p w14:paraId="38C96D10" w14:textId="77777777" w:rsidR="004E07E7" w:rsidRPr="004E07E7" w:rsidRDefault="004E07E7" w:rsidP="00365F5B">
            <w:pPr>
              <w:jc w:val="both"/>
              <w:rPr>
                <w:color w:val="000000" w:themeColor="text1"/>
              </w:rPr>
            </w:pPr>
          </w:p>
        </w:tc>
        <w:tc>
          <w:tcPr>
            <w:tcW w:w="2410" w:type="dxa"/>
            <w:vAlign w:val="bottom"/>
          </w:tcPr>
          <w:p w14:paraId="2269DBA7" w14:textId="77777777" w:rsidR="004E07E7" w:rsidRPr="004E07E7" w:rsidRDefault="004E07E7" w:rsidP="00807DA8">
            <w:pPr>
              <w:pStyle w:val="TableParagraph"/>
              <w:ind w:left="93" w:right="87"/>
              <w:jc w:val="both"/>
              <w:rPr>
                <w:color w:val="000000" w:themeColor="text1"/>
              </w:rPr>
            </w:pPr>
            <w:r w:rsidRPr="004E07E7">
              <w:rPr>
                <w:color w:val="000000"/>
              </w:rPr>
              <w:t>ROS</w:t>
            </w:r>
            <w:r w:rsidR="00807DA8">
              <w:rPr>
                <w:color w:val="000000"/>
              </w:rPr>
              <w:t>AC</w:t>
            </w:r>
            <w:r w:rsidRPr="004E07E7">
              <w:rPr>
                <w:color w:val="000000"/>
              </w:rPr>
              <w:t>0022</w:t>
            </w:r>
          </w:p>
        </w:tc>
        <w:tc>
          <w:tcPr>
            <w:tcW w:w="3885" w:type="dxa"/>
            <w:vAlign w:val="bottom"/>
          </w:tcPr>
          <w:p w14:paraId="521C4B2A" w14:textId="77777777" w:rsidR="004E07E7" w:rsidRPr="004E07E7" w:rsidRDefault="004E07E7" w:rsidP="00365F5B">
            <w:pPr>
              <w:pStyle w:val="TableParagraph"/>
              <w:ind w:left="91" w:right="82"/>
              <w:jc w:val="both"/>
              <w:rPr>
                <w:color w:val="000000" w:themeColor="text1"/>
              </w:rPr>
            </w:pPr>
            <w:r w:rsidRPr="004E07E7">
              <w:rPr>
                <w:color w:val="000000"/>
              </w:rPr>
              <w:t>Canaralele Dunării</w:t>
            </w:r>
          </w:p>
        </w:tc>
      </w:tr>
      <w:tr w:rsidR="004E07E7" w:rsidRPr="004E07E7" w14:paraId="6631E6BB" w14:textId="77777777" w:rsidTr="00993B86">
        <w:trPr>
          <w:trHeight w:val="275"/>
        </w:trPr>
        <w:tc>
          <w:tcPr>
            <w:tcW w:w="3410" w:type="dxa"/>
            <w:vMerge/>
            <w:tcBorders>
              <w:top w:val="nil"/>
            </w:tcBorders>
          </w:tcPr>
          <w:p w14:paraId="1D1276FA" w14:textId="77777777" w:rsidR="004E07E7" w:rsidRPr="004E07E7" w:rsidRDefault="004E07E7" w:rsidP="00365F5B">
            <w:pPr>
              <w:jc w:val="both"/>
              <w:rPr>
                <w:color w:val="000000" w:themeColor="text1"/>
              </w:rPr>
            </w:pPr>
          </w:p>
        </w:tc>
        <w:tc>
          <w:tcPr>
            <w:tcW w:w="2410" w:type="dxa"/>
            <w:vAlign w:val="bottom"/>
          </w:tcPr>
          <w:p w14:paraId="686B06CC" w14:textId="77777777" w:rsidR="004E07E7" w:rsidRPr="004E07E7" w:rsidRDefault="004E07E7" w:rsidP="00365F5B">
            <w:pPr>
              <w:pStyle w:val="TableParagraph"/>
              <w:ind w:left="93" w:right="87"/>
              <w:jc w:val="both"/>
              <w:rPr>
                <w:color w:val="000000" w:themeColor="text1"/>
              </w:rPr>
            </w:pPr>
            <w:r w:rsidRPr="004E07E7">
              <w:rPr>
                <w:color w:val="000000"/>
              </w:rPr>
              <w:t>ROSCI0025</w:t>
            </w:r>
          </w:p>
        </w:tc>
        <w:tc>
          <w:tcPr>
            <w:tcW w:w="3885" w:type="dxa"/>
            <w:vAlign w:val="bottom"/>
          </w:tcPr>
          <w:p w14:paraId="6CF09FDE" w14:textId="77777777" w:rsidR="004E07E7" w:rsidRPr="004E07E7" w:rsidRDefault="004E07E7" w:rsidP="00365F5B">
            <w:pPr>
              <w:pStyle w:val="TableParagraph"/>
              <w:ind w:left="91" w:right="84"/>
              <w:jc w:val="both"/>
              <w:rPr>
                <w:color w:val="000000" w:themeColor="text1"/>
              </w:rPr>
            </w:pPr>
            <w:r w:rsidRPr="004E07E7">
              <w:rPr>
                <w:color w:val="000000"/>
              </w:rPr>
              <w:t>Cefa</w:t>
            </w:r>
          </w:p>
        </w:tc>
      </w:tr>
      <w:tr w:rsidR="004E07E7" w:rsidRPr="004E07E7" w14:paraId="1A2DE4C9" w14:textId="77777777" w:rsidTr="00993B86">
        <w:trPr>
          <w:trHeight w:val="275"/>
        </w:trPr>
        <w:tc>
          <w:tcPr>
            <w:tcW w:w="3410" w:type="dxa"/>
            <w:vMerge/>
            <w:tcBorders>
              <w:top w:val="nil"/>
            </w:tcBorders>
          </w:tcPr>
          <w:p w14:paraId="236D811B" w14:textId="77777777" w:rsidR="004E07E7" w:rsidRPr="004E07E7" w:rsidRDefault="004E07E7" w:rsidP="00365F5B">
            <w:pPr>
              <w:jc w:val="both"/>
              <w:rPr>
                <w:color w:val="000000" w:themeColor="text1"/>
              </w:rPr>
            </w:pPr>
          </w:p>
        </w:tc>
        <w:tc>
          <w:tcPr>
            <w:tcW w:w="2410" w:type="dxa"/>
            <w:vAlign w:val="bottom"/>
          </w:tcPr>
          <w:p w14:paraId="3AFEB53C" w14:textId="77777777" w:rsidR="004E07E7" w:rsidRPr="004E07E7" w:rsidRDefault="004E07E7" w:rsidP="00807DA8">
            <w:pPr>
              <w:pStyle w:val="TableParagraph"/>
              <w:ind w:left="93" w:right="87"/>
              <w:jc w:val="both"/>
              <w:rPr>
                <w:color w:val="000000" w:themeColor="text1"/>
              </w:rPr>
            </w:pPr>
            <w:r w:rsidRPr="004E07E7">
              <w:rPr>
                <w:color w:val="000000"/>
              </w:rPr>
              <w:t>ROS</w:t>
            </w:r>
            <w:r w:rsidR="00807DA8">
              <w:rPr>
                <w:color w:val="000000"/>
              </w:rPr>
              <w:t>AC</w:t>
            </w:r>
            <w:r w:rsidRPr="004E07E7">
              <w:rPr>
                <w:color w:val="000000"/>
              </w:rPr>
              <w:t>0027</w:t>
            </w:r>
          </w:p>
        </w:tc>
        <w:tc>
          <w:tcPr>
            <w:tcW w:w="3885" w:type="dxa"/>
            <w:vAlign w:val="bottom"/>
          </w:tcPr>
          <w:p w14:paraId="587BA320" w14:textId="77777777" w:rsidR="004E07E7" w:rsidRPr="004E07E7" w:rsidRDefault="004E07E7" w:rsidP="00365F5B">
            <w:pPr>
              <w:pStyle w:val="TableParagraph"/>
              <w:ind w:left="91" w:right="83"/>
              <w:jc w:val="both"/>
              <w:rPr>
                <w:color w:val="000000" w:themeColor="text1"/>
              </w:rPr>
            </w:pPr>
            <w:r w:rsidRPr="004E07E7">
              <w:rPr>
                <w:color w:val="000000"/>
              </w:rPr>
              <w:t>Cheile Bicazului - Hășmaș</w:t>
            </w:r>
          </w:p>
        </w:tc>
      </w:tr>
      <w:tr w:rsidR="004E07E7" w:rsidRPr="004E07E7" w14:paraId="45968ECF" w14:textId="77777777" w:rsidTr="00993B86">
        <w:trPr>
          <w:trHeight w:val="275"/>
        </w:trPr>
        <w:tc>
          <w:tcPr>
            <w:tcW w:w="3410" w:type="dxa"/>
            <w:vMerge/>
            <w:tcBorders>
              <w:top w:val="nil"/>
            </w:tcBorders>
          </w:tcPr>
          <w:p w14:paraId="6DAEA48B" w14:textId="77777777" w:rsidR="004E07E7" w:rsidRPr="004E07E7" w:rsidRDefault="004E07E7" w:rsidP="00365F5B">
            <w:pPr>
              <w:jc w:val="both"/>
              <w:rPr>
                <w:color w:val="000000" w:themeColor="text1"/>
              </w:rPr>
            </w:pPr>
          </w:p>
        </w:tc>
        <w:tc>
          <w:tcPr>
            <w:tcW w:w="2410" w:type="dxa"/>
            <w:vAlign w:val="bottom"/>
          </w:tcPr>
          <w:p w14:paraId="5FEB6B2B" w14:textId="77777777" w:rsidR="004E07E7" w:rsidRPr="004E07E7" w:rsidRDefault="004E07E7" w:rsidP="00807DA8">
            <w:pPr>
              <w:pStyle w:val="TableParagraph"/>
              <w:ind w:left="93" w:right="87"/>
              <w:jc w:val="both"/>
              <w:rPr>
                <w:color w:val="000000" w:themeColor="text1"/>
              </w:rPr>
            </w:pPr>
            <w:r w:rsidRPr="004E07E7">
              <w:rPr>
                <w:color w:val="000000"/>
              </w:rPr>
              <w:t>ROS</w:t>
            </w:r>
            <w:r w:rsidR="00807DA8">
              <w:rPr>
                <w:color w:val="000000"/>
              </w:rPr>
              <w:t>AC</w:t>
            </w:r>
            <w:r w:rsidRPr="004E07E7">
              <w:rPr>
                <w:color w:val="000000"/>
              </w:rPr>
              <w:t>0039</w:t>
            </w:r>
          </w:p>
        </w:tc>
        <w:tc>
          <w:tcPr>
            <w:tcW w:w="3885" w:type="dxa"/>
            <w:vAlign w:val="bottom"/>
          </w:tcPr>
          <w:p w14:paraId="657B486E" w14:textId="77777777" w:rsidR="004E07E7" w:rsidRPr="004E07E7" w:rsidRDefault="004E07E7" w:rsidP="00365F5B">
            <w:pPr>
              <w:pStyle w:val="TableParagraph"/>
              <w:ind w:left="89" w:right="85"/>
              <w:jc w:val="both"/>
              <w:rPr>
                <w:color w:val="000000" w:themeColor="text1"/>
              </w:rPr>
            </w:pPr>
            <w:r w:rsidRPr="004E07E7">
              <w:rPr>
                <w:color w:val="000000"/>
              </w:rPr>
              <w:t>Ciuperceni - Desa</w:t>
            </w:r>
          </w:p>
        </w:tc>
      </w:tr>
      <w:tr w:rsidR="004E07E7" w:rsidRPr="004E07E7" w14:paraId="358D76D3" w14:textId="77777777" w:rsidTr="00993B86">
        <w:trPr>
          <w:trHeight w:val="275"/>
        </w:trPr>
        <w:tc>
          <w:tcPr>
            <w:tcW w:w="3410" w:type="dxa"/>
            <w:vMerge/>
            <w:tcBorders>
              <w:top w:val="nil"/>
            </w:tcBorders>
          </w:tcPr>
          <w:p w14:paraId="3BF175CA" w14:textId="77777777" w:rsidR="004E07E7" w:rsidRPr="004E07E7" w:rsidRDefault="004E07E7" w:rsidP="00365F5B">
            <w:pPr>
              <w:jc w:val="both"/>
              <w:rPr>
                <w:color w:val="000000" w:themeColor="text1"/>
              </w:rPr>
            </w:pPr>
          </w:p>
        </w:tc>
        <w:tc>
          <w:tcPr>
            <w:tcW w:w="2410" w:type="dxa"/>
            <w:vAlign w:val="bottom"/>
          </w:tcPr>
          <w:p w14:paraId="39409103" w14:textId="77777777" w:rsidR="004E07E7" w:rsidRPr="004E07E7" w:rsidRDefault="004E07E7" w:rsidP="00807DA8">
            <w:pPr>
              <w:pStyle w:val="TableParagraph"/>
              <w:ind w:left="93" w:right="87"/>
              <w:jc w:val="both"/>
              <w:rPr>
                <w:color w:val="000000" w:themeColor="text1"/>
              </w:rPr>
            </w:pPr>
            <w:r w:rsidRPr="004E07E7">
              <w:rPr>
                <w:color w:val="000000"/>
              </w:rPr>
              <w:t>ROS</w:t>
            </w:r>
            <w:r w:rsidR="00807DA8">
              <w:rPr>
                <w:color w:val="000000"/>
              </w:rPr>
              <w:t>AC</w:t>
            </w:r>
            <w:r w:rsidRPr="004E07E7">
              <w:rPr>
                <w:color w:val="000000"/>
              </w:rPr>
              <w:t>0045</w:t>
            </w:r>
          </w:p>
        </w:tc>
        <w:tc>
          <w:tcPr>
            <w:tcW w:w="3885" w:type="dxa"/>
            <w:vAlign w:val="bottom"/>
          </w:tcPr>
          <w:p w14:paraId="7D07F6A1" w14:textId="77777777" w:rsidR="004E07E7" w:rsidRPr="004E07E7" w:rsidRDefault="004E07E7" w:rsidP="00365F5B">
            <w:pPr>
              <w:pStyle w:val="TableParagraph"/>
              <w:ind w:left="91" w:right="84"/>
              <w:jc w:val="both"/>
              <w:rPr>
                <w:color w:val="000000" w:themeColor="text1"/>
              </w:rPr>
            </w:pPr>
            <w:r w:rsidRPr="004E07E7">
              <w:rPr>
                <w:color w:val="000000"/>
              </w:rPr>
              <w:t>Coridorul Jiului</w:t>
            </w:r>
          </w:p>
        </w:tc>
      </w:tr>
      <w:tr w:rsidR="004E07E7" w:rsidRPr="004E07E7" w14:paraId="5C123EDC" w14:textId="77777777" w:rsidTr="00993B86">
        <w:trPr>
          <w:trHeight w:val="277"/>
        </w:trPr>
        <w:tc>
          <w:tcPr>
            <w:tcW w:w="3410" w:type="dxa"/>
            <w:vMerge/>
            <w:tcBorders>
              <w:top w:val="nil"/>
            </w:tcBorders>
          </w:tcPr>
          <w:p w14:paraId="0F144BB4" w14:textId="77777777" w:rsidR="004E07E7" w:rsidRPr="004E07E7" w:rsidRDefault="004E07E7" w:rsidP="00365F5B">
            <w:pPr>
              <w:jc w:val="both"/>
              <w:rPr>
                <w:color w:val="000000" w:themeColor="text1"/>
              </w:rPr>
            </w:pPr>
          </w:p>
        </w:tc>
        <w:tc>
          <w:tcPr>
            <w:tcW w:w="2410" w:type="dxa"/>
            <w:vAlign w:val="bottom"/>
          </w:tcPr>
          <w:p w14:paraId="18A90412" w14:textId="77777777" w:rsidR="004E07E7" w:rsidRPr="004E07E7" w:rsidRDefault="004E07E7" w:rsidP="00807DA8">
            <w:pPr>
              <w:pStyle w:val="TableParagraph"/>
              <w:spacing w:line="258" w:lineRule="exact"/>
              <w:ind w:left="93" w:right="87"/>
              <w:jc w:val="both"/>
              <w:rPr>
                <w:color w:val="000000" w:themeColor="text1"/>
              </w:rPr>
            </w:pPr>
            <w:r w:rsidRPr="004E07E7">
              <w:rPr>
                <w:color w:val="000000"/>
              </w:rPr>
              <w:t>ROS</w:t>
            </w:r>
            <w:r w:rsidR="00807DA8">
              <w:rPr>
                <w:color w:val="000000"/>
              </w:rPr>
              <w:t>AC</w:t>
            </w:r>
            <w:r w:rsidRPr="004E07E7">
              <w:rPr>
                <w:color w:val="000000"/>
              </w:rPr>
              <w:t>0048</w:t>
            </w:r>
          </w:p>
        </w:tc>
        <w:tc>
          <w:tcPr>
            <w:tcW w:w="3885" w:type="dxa"/>
            <w:vAlign w:val="bottom"/>
          </w:tcPr>
          <w:p w14:paraId="270DEB8D" w14:textId="77777777" w:rsidR="004E07E7" w:rsidRPr="004E07E7" w:rsidRDefault="004E07E7" w:rsidP="00365F5B">
            <w:pPr>
              <w:pStyle w:val="TableParagraph"/>
              <w:spacing w:line="258" w:lineRule="exact"/>
              <w:ind w:left="91" w:right="82"/>
              <w:jc w:val="both"/>
              <w:rPr>
                <w:color w:val="000000" w:themeColor="text1"/>
              </w:rPr>
            </w:pPr>
            <w:r w:rsidRPr="004E07E7">
              <w:rPr>
                <w:color w:val="000000"/>
              </w:rPr>
              <w:t>Crișul Alb</w:t>
            </w:r>
          </w:p>
        </w:tc>
      </w:tr>
      <w:tr w:rsidR="004E07E7" w:rsidRPr="004E07E7" w14:paraId="117AE2D1" w14:textId="77777777" w:rsidTr="00993B86">
        <w:trPr>
          <w:trHeight w:val="275"/>
        </w:trPr>
        <w:tc>
          <w:tcPr>
            <w:tcW w:w="3410" w:type="dxa"/>
            <w:vMerge/>
            <w:tcBorders>
              <w:top w:val="nil"/>
            </w:tcBorders>
          </w:tcPr>
          <w:p w14:paraId="4302786E" w14:textId="77777777" w:rsidR="004E07E7" w:rsidRPr="004E07E7" w:rsidRDefault="004E07E7" w:rsidP="00365F5B">
            <w:pPr>
              <w:jc w:val="both"/>
              <w:rPr>
                <w:color w:val="000000" w:themeColor="text1"/>
              </w:rPr>
            </w:pPr>
          </w:p>
        </w:tc>
        <w:tc>
          <w:tcPr>
            <w:tcW w:w="2410" w:type="dxa"/>
            <w:vAlign w:val="bottom"/>
          </w:tcPr>
          <w:p w14:paraId="50D2ED20" w14:textId="77777777" w:rsidR="004E07E7" w:rsidRPr="004E07E7" w:rsidRDefault="004E07E7" w:rsidP="00365F5B">
            <w:pPr>
              <w:pStyle w:val="TableParagraph"/>
              <w:ind w:left="93" w:right="87"/>
              <w:jc w:val="both"/>
              <w:rPr>
                <w:color w:val="000000" w:themeColor="text1"/>
              </w:rPr>
            </w:pPr>
            <w:r w:rsidRPr="004E07E7">
              <w:rPr>
                <w:color w:val="000000"/>
              </w:rPr>
              <w:t>ROSCI0063</w:t>
            </w:r>
          </w:p>
        </w:tc>
        <w:tc>
          <w:tcPr>
            <w:tcW w:w="3885" w:type="dxa"/>
            <w:vAlign w:val="bottom"/>
          </w:tcPr>
          <w:p w14:paraId="46DFC44F" w14:textId="77777777" w:rsidR="004E07E7" w:rsidRPr="004E07E7" w:rsidRDefault="004E07E7" w:rsidP="00365F5B">
            <w:pPr>
              <w:pStyle w:val="TableParagraph"/>
              <w:ind w:left="91" w:right="79"/>
              <w:jc w:val="both"/>
              <w:rPr>
                <w:color w:val="000000" w:themeColor="text1"/>
              </w:rPr>
            </w:pPr>
            <w:r w:rsidRPr="004E07E7">
              <w:rPr>
                <w:color w:val="000000"/>
              </w:rPr>
              <w:t>Defileul Jiului</w:t>
            </w:r>
          </w:p>
        </w:tc>
      </w:tr>
      <w:tr w:rsidR="004E07E7" w:rsidRPr="004E07E7" w14:paraId="05690FE1" w14:textId="77777777" w:rsidTr="00993B86">
        <w:trPr>
          <w:trHeight w:val="276"/>
        </w:trPr>
        <w:tc>
          <w:tcPr>
            <w:tcW w:w="3410" w:type="dxa"/>
            <w:vMerge/>
            <w:tcBorders>
              <w:top w:val="nil"/>
            </w:tcBorders>
          </w:tcPr>
          <w:p w14:paraId="325C36C8" w14:textId="77777777" w:rsidR="004E07E7" w:rsidRPr="004E07E7" w:rsidRDefault="004E07E7" w:rsidP="00365F5B">
            <w:pPr>
              <w:jc w:val="both"/>
              <w:rPr>
                <w:color w:val="000000" w:themeColor="text1"/>
              </w:rPr>
            </w:pPr>
          </w:p>
        </w:tc>
        <w:tc>
          <w:tcPr>
            <w:tcW w:w="2410" w:type="dxa"/>
            <w:vAlign w:val="bottom"/>
          </w:tcPr>
          <w:p w14:paraId="16AE5BBE" w14:textId="77777777" w:rsidR="004E07E7" w:rsidRPr="004E07E7" w:rsidRDefault="004E07E7" w:rsidP="00365F5B">
            <w:pPr>
              <w:pStyle w:val="TableParagraph"/>
              <w:ind w:left="93" w:right="87"/>
              <w:jc w:val="both"/>
              <w:rPr>
                <w:color w:val="000000" w:themeColor="text1"/>
              </w:rPr>
            </w:pPr>
            <w:r w:rsidRPr="004E07E7">
              <w:rPr>
                <w:color w:val="000000"/>
              </w:rPr>
              <w:t>ROSCI0065</w:t>
            </w:r>
          </w:p>
        </w:tc>
        <w:tc>
          <w:tcPr>
            <w:tcW w:w="3885" w:type="dxa"/>
            <w:vAlign w:val="bottom"/>
          </w:tcPr>
          <w:p w14:paraId="3A024DA2" w14:textId="77777777" w:rsidR="004E07E7" w:rsidRPr="004E07E7" w:rsidRDefault="004E07E7" w:rsidP="00365F5B">
            <w:pPr>
              <w:pStyle w:val="TableParagraph"/>
              <w:ind w:left="91" w:right="79"/>
              <w:jc w:val="both"/>
              <w:rPr>
                <w:color w:val="000000" w:themeColor="text1"/>
              </w:rPr>
            </w:pPr>
            <w:r w:rsidRPr="004E07E7">
              <w:rPr>
                <w:color w:val="000000"/>
              </w:rPr>
              <w:t>Delta Dunării</w:t>
            </w:r>
          </w:p>
        </w:tc>
      </w:tr>
      <w:tr w:rsidR="004E07E7" w:rsidRPr="004E07E7" w14:paraId="16CA49DE" w14:textId="77777777" w:rsidTr="00993B86">
        <w:trPr>
          <w:trHeight w:val="275"/>
        </w:trPr>
        <w:tc>
          <w:tcPr>
            <w:tcW w:w="3410" w:type="dxa"/>
            <w:vMerge/>
            <w:tcBorders>
              <w:top w:val="nil"/>
            </w:tcBorders>
          </w:tcPr>
          <w:p w14:paraId="2A92DDEA" w14:textId="77777777" w:rsidR="004E07E7" w:rsidRPr="004E07E7" w:rsidRDefault="004E07E7" w:rsidP="00365F5B">
            <w:pPr>
              <w:jc w:val="both"/>
              <w:rPr>
                <w:color w:val="000000" w:themeColor="text1"/>
              </w:rPr>
            </w:pPr>
          </w:p>
        </w:tc>
        <w:tc>
          <w:tcPr>
            <w:tcW w:w="2410" w:type="dxa"/>
            <w:vAlign w:val="bottom"/>
          </w:tcPr>
          <w:p w14:paraId="5F58362B" w14:textId="77777777" w:rsidR="004E07E7" w:rsidRPr="004E07E7" w:rsidRDefault="000521DB" w:rsidP="00365F5B">
            <w:pPr>
              <w:pStyle w:val="TableParagraph"/>
              <w:ind w:left="94" w:right="86"/>
              <w:jc w:val="both"/>
              <w:rPr>
                <w:color w:val="000000" w:themeColor="text1"/>
              </w:rPr>
            </w:pPr>
            <w:r>
              <w:rPr>
                <w:color w:val="000000"/>
              </w:rPr>
              <w:t>ROSAC0069</w:t>
            </w:r>
          </w:p>
        </w:tc>
        <w:tc>
          <w:tcPr>
            <w:tcW w:w="3885" w:type="dxa"/>
            <w:vAlign w:val="bottom"/>
          </w:tcPr>
          <w:p w14:paraId="5622F97E" w14:textId="77777777" w:rsidR="004E07E7" w:rsidRPr="004E07E7" w:rsidRDefault="004E07E7" w:rsidP="00365F5B">
            <w:pPr>
              <w:pStyle w:val="TableParagraph"/>
              <w:ind w:left="91" w:right="83"/>
              <w:jc w:val="both"/>
              <w:rPr>
                <w:color w:val="000000" w:themeColor="text1"/>
              </w:rPr>
            </w:pPr>
            <w:r w:rsidRPr="004E07E7">
              <w:rPr>
                <w:color w:val="000000"/>
              </w:rPr>
              <w:t>Domogled - Valea Cernei</w:t>
            </w:r>
          </w:p>
        </w:tc>
      </w:tr>
      <w:tr w:rsidR="004E07E7" w:rsidRPr="004E07E7" w14:paraId="68D0AD39" w14:textId="77777777" w:rsidTr="00993B86">
        <w:trPr>
          <w:trHeight w:val="275"/>
        </w:trPr>
        <w:tc>
          <w:tcPr>
            <w:tcW w:w="3410" w:type="dxa"/>
            <w:vMerge/>
            <w:tcBorders>
              <w:top w:val="nil"/>
            </w:tcBorders>
          </w:tcPr>
          <w:p w14:paraId="69807D1F" w14:textId="77777777" w:rsidR="004E07E7" w:rsidRPr="004E07E7" w:rsidRDefault="004E07E7" w:rsidP="00365F5B">
            <w:pPr>
              <w:jc w:val="both"/>
              <w:rPr>
                <w:color w:val="000000" w:themeColor="text1"/>
              </w:rPr>
            </w:pPr>
          </w:p>
        </w:tc>
        <w:tc>
          <w:tcPr>
            <w:tcW w:w="2410" w:type="dxa"/>
            <w:vAlign w:val="bottom"/>
          </w:tcPr>
          <w:p w14:paraId="014D064D" w14:textId="77777777" w:rsidR="004E07E7" w:rsidRPr="004E07E7" w:rsidRDefault="004E07E7" w:rsidP="00807DA8">
            <w:pPr>
              <w:pStyle w:val="TableParagraph"/>
              <w:ind w:left="93" w:right="87"/>
              <w:jc w:val="both"/>
              <w:rPr>
                <w:color w:val="000000" w:themeColor="text1"/>
              </w:rPr>
            </w:pPr>
            <w:r w:rsidRPr="004E07E7">
              <w:rPr>
                <w:color w:val="000000"/>
              </w:rPr>
              <w:t>ROS</w:t>
            </w:r>
            <w:r w:rsidR="00807DA8">
              <w:rPr>
                <w:color w:val="000000"/>
              </w:rPr>
              <w:t>AC</w:t>
            </w:r>
            <w:r w:rsidRPr="004E07E7">
              <w:rPr>
                <w:color w:val="000000"/>
              </w:rPr>
              <w:t>0093</w:t>
            </w:r>
          </w:p>
        </w:tc>
        <w:tc>
          <w:tcPr>
            <w:tcW w:w="3885" w:type="dxa"/>
            <w:vAlign w:val="bottom"/>
          </w:tcPr>
          <w:p w14:paraId="02F76B01" w14:textId="77777777" w:rsidR="004E07E7" w:rsidRPr="004E07E7" w:rsidRDefault="004E07E7" w:rsidP="00365F5B">
            <w:pPr>
              <w:pStyle w:val="TableParagraph"/>
              <w:ind w:left="91" w:right="85"/>
              <w:jc w:val="both"/>
              <w:rPr>
                <w:color w:val="000000" w:themeColor="text1"/>
              </w:rPr>
            </w:pPr>
            <w:r w:rsidRPr="004E07E7">
              <w:rPr>
                <w:color w:val="000000"/>
              </w:rPr>
              <w:t>Insulele Stepice Șura Mică - Slimnic</w:t>
            </w:r>
          </w:p>
        </w:tc>
      </w:tr>
      <w:tr w:rsidR="004E07E7" w:rsidRPr="004E07E7" w14:paraId="0B0BA0AC" w14:textId="77777777" w:rsidTr="00993B86">
        <w:trPr>
          <w:trHeight w:val="275"/>
        </w:trPr>
        <w:tc>
          <w:tcPr>
            <w:tcW w:w="3410" w:type="dxa"/>
            <w:vMerge/>
            <w:tcBorders>
              <w:top w:val="nil"/>
            </w:tcBorders>
          </w:tcPr>
          <w:p w14:paraId="28926153" w14:textId="77777777" w:rsidR="004E07E7" w:rsidRPr="004E07E7" w:rsidRDefault="004E07E7" w:rsidP="00365F5B">
            <w:pPr>
              <w:jc w:val="both"/>
              <w:rPr>
                <w:color w:val="000000" w:themeColor="text1"/>
              </w:rPr>
            </w:pPr>
          </w:p>
        </w:tc>
        <w:tc>
          <w:tcPr>
            <w:tcW w:w="2410" w:type="dxa"/>
            <w:vAlign w:val="bottom"/>
          </w:tcPr>
          <w:p w14:paraId="12AC70D1" w14:textId="77777777" w:rsidR="004E07E7" w:rsidRPr="004E07E7" w:rsidRDefault="004E07E7" w:rsidP="00C362D3">
            <w:pPr>
              <w:pStyle w:val="TableParagraph"/>
              <w:ind w:left="93" w:right="87"/>
              <w:jc w:val="both"/>
              <w:rPr>
                <w:color w:val="000000" w:themeColor="text1"/>
              </w:rPr>
            </w:pPr>
            <w:r w:rsidRPr="004E07E7">
              <w:rPr>
                <w:color w:val="000000"/>
              </w:rPr>
              <w:t>ROS</w:t>
            </w:r>
            <w:r w:rsidR="00C362D3">
              <w:rPr>
                <w:color w:val="000000"/>
              </w:rPr>
              <w:t>AC</w:t>
            </w:r>
            <w:r w:rsidRPr="004E07E7">
              <w:rPr>
                <w:color w:val="000000"/>
              </w:rPr>
              <w:t>0099</w:t>
            </w:r>
          </w:p>
        </w:tc>
        <w:tc>
          <w:tcPr>
            <w:tcW w:w="3885" w:type="dxa"/>
            <w:vAlign w:val="bottom"/>
          </w:tcPr>
          <w:p w14:paraId="7C70B639" w14:textId="77777777" w:rsidR="004E07E7" w:rsidRPr="004E07E7" w:rsidRDefault="004E07E7" w:rsidP="00365F5B">
            <w:pPr>
              <w:pStyle w:val="TableParagraph"/>
              <w:ind w:left="90" w:right="85"/>
              <w:jc w:val="both"/>
              <w:rPr>
                <w:color w:val="000000" w:themeColor="text1"/>
              </w:rPr>
            </w:pPr>
            <w:r w:rsidRPr="004E07E7">
              <w:rPr>
                <w:color w:val="000000"/>
              </w:rPr>
              <w:t>Lacul Știucilor - Sic - Puini - Bonțida</w:t>
            </w:r>
          </w:p>
        </w:tc>
      </w:tr>
      <w:tr w:rsidR="004E07E7" w:rsidRPr="004E07E7" w14:paraId="699EB988" w14:textId="77777777" w:rsidTr="00993B86">
        <w:trPr>
          <w:trHeight w:val="278"/>
        </w:trPr>
        <w:tc>
          <w:tcPr>
            <w:tcW w:w="3410" w:type="dxa"/>
            <w:vMerge/>
            <w:tcBorders>
              <w:top w:val="nil"/>
            </w:tcBorders>
          </w:tcPr>
          <w:p w14:paraId="581F929E" w14:textId="77777777" w:rsidR="004E07E7" w:rsidRPr="004E07E7" w:rsidRDefault="004E07E7" w:rsidP="00365F5B">
            <w:pPr>
              <w:jc w:val="both"/>
              <w:rPr>
                <w:color w:val="000000" w:themeColor="text1"/>
              </w:rPr>
            </w:pPr>
          </w:p>
        </w:tc>
        <w:tc>
          <w:tcPr>
            <w:tcW w:w="2410" w:type="dxa"/>
            <w:vAlign w:val="bottom"/>
          </w:tcPr>
          <w:p w14:paraId="4E4890B6" w14:textId="77777777" w:rsidR="004E07E7" w:rsidRPr="004E07E7" w:rsidRDefault="004E07E7" w:rsidP="00365F5B">
            <w:pPr>
              <w:pStyle w:val="TableParagraph"/>
              <w:spacing w:line="258" w:lineRule="exact"/>
              <w:ind w:left="93" w:right="87"/>
              <w:jc w:val="both"/>
              <w:rPr>
                <w:color w:val="000000" w:themeColor="text1"/>
              </w:rPr>
            </w:pPr>
            <w:r w:rsidRPr="004E07E7">
              <w:rPr>
                <w:color w:val="000000"/>
              </w:rPr>
              <w:t>ROSCI0105</w:t>
            </w:r>
          </w:p>
        </w:tc>
        <w:tc>
          <w:tcPr>
            <w:tcW w:w="3885" w:type="dxa"/>
            <w:vAlign w:val="bottom"/>
          </w:tcPr>
          <w:p w14:paraId="50E483BD" w14:textId="77777777" w:rsidR="004E07E7" w:rsidRPr="004E07E7" w:rsidRDefault="004E07E7" w:rsidP="00365F5B">
            <w:pPr>
              <w:pStyle w:val="TableParagraph"/>
              <w:spacing w:line="258" w:lineRule="exact"/>
              <w:ind w:left="91" w:right="84"/>
              <w:jc w:val="both"/>
              <w:rPr>
                <w:color w:val="000000" w:themeColor="text1"/>
              </w:rPr>
            </w:pPr>
            <w:r w:rsidRPr="004E07E7">
              <w:rPr>
                <w:color w:val="000000"/>
              </w:rPr>
              <w:t>Lunca Joasă a Prutului</w:t>
            </w:r>
          </w:p>
        </w:tc>
      </w:tr>
      <w:tr w:rsidR="004E07E7" w:rsidRPr="004E07E7" w14:paraId="7A0A861E" w14:textId="77777777" w:rsidTr="00993B86">
        <w:trPr>
          <w:trHeight w:val="275"/>
        </w:trPr>
        <w:tc>
          <w:tcPr>
            <w:tcW w:w="3410" w:type="dxa"/>
            <w:vMerge/>
            <w:tcBorders>
              <w:top w:val="nil"/>
            </w:tcBorders>
          </w:tcPr>
          <w:p w14:paraId="09408860" w14:textId="77777777" w:rsidR="004E07E7" w:rsidRPr="004E07E7" w:rsidRDefault="004E07E7" w:rsidP="00365F5B">
            <w:pPr>
              <w:jc w:val="both"/>
              <w:rPr>
                <w:color w:val="000000" w:themeColor="text1"/>
              </w:rPr>
            </w:pPr>
          </w:p>
        </w:tc>
        <w:tc>
          <w:tcPr>
            <w:tcW w:w="2410" w:type="dxa"/>
            <w:vAlign w:val="bottom"/>
          </w:tcPr>
          <w:p w14:paraId="0BBC88EB" w14:textId="77777777" w:rsidR="004E07E7" w:rsidRPr="004E07E7" w:rsidRDefault="004E07E7" w:rsidP="00C362D3">
            <w:pPr>
              <w:pStyle w:val="TableParagraph"/>
              <w:ind w:left="93" w:right="87"/>
              <w:jc w:val="both"/>
              <w:rPr>
                <w:color w:val="000000" w:themeColor="text1"/>
              </w:rPr>
            </w:pPr>
            <w:r w:rsidRPr="004E07E7">
              <w:rPr>
                <w:color w:val="000000"/>
              </w:rPr>
              <w:t>ROS</w:t>
            </w:r>
            <w:r w:rsidR="00C362D3">
              <w:rPr>
                <w:color w:val="000000"/>
              </w:rPr>
              <w:t>AC</w:t>
            </w:r>
            <w:r w:rsidRPr="004E07E7">
              <w:rPr>
                <w:color w:val="000000"/>
              </w:rPr>
              <w:t>0108</w:t>
            </w:r>
          </w:p>
        </w:tc>
        <w:tc>
          <w:tcPr>
            <w:tcW w:w="3885" w:type="dxa"/>
            <w:vAlign w:val="bottom"/>
          </w:tcPr>
          <w:p w14:paraId="5ADD6222" w14:textId="77777777" w:rsidR="004E07E7" w:rsidRPr="004E07E7" w:rsidRDefault="004E07E7" w:rsidP="00365F5B">
            <w:pPr>
              <w:pStyle w:val="TableParagraph"/>
              <w:ind w:left="91" w:right="84"/>
              <w:jc w:val="both"/>
              <w:rPr>
                <w:color w:val="000000" w:themeColor="text1"/>
              </w:rPr>
            </w:pPr>
            <w:r w:rsidRPr="004E07E7">
              <w:rPr>
                <w:color w:val="000000"/>
              </w:rPr>
              <w:t>Lunca Mureșului Inferior</w:t>
            </w:r>
          </w:p>
        </w:tc>
      </w:tr>
      <w:tr w:rsidR="004E07E7" w:rsidRPr="004E07E7" w14:paraId="0D5ACA35" w14:textId="77777777" w:rsidTr="00993B86">
        <w:trPr>
          <w:trHeight w:val="275"/>
        </w:trPr>
        <w:tc>
          <w:tcPr>
            <w:tcW w:w="3410" w:type="dxa"/>
            <w:vMerge/>
            <w:tcBorders>
              <w:top w:val="nil"/>
            </w:tcBorders>
          </w:tcPr>
          <w:p w14:paraId="00C82FF4" w14:textId="77777777" w:rsidR="004E07E7" w:rsidRPr="004E07E7" w:rsidRDefault="004E07E7" w:rsidP="00365F5B">
            <w:pPr>
              <w:jc w:val="both"/>
              <w:rPr>
                <w:color w:val="000000" w:themeColor="text1"/>
              </w:rPr>
            </w:pPr>
          </w:p>
        </w:tc>
        <w:tc>
          <w:tcPr>
            <w:tcW w:w="2410" w:type="dxa"/>
            <w:vAlign w:val="bottom"/>
          </w:tcPr>
          <w:p w14:paraId="1AE44B48" w14:textId="77777777" w:rsidR="004E07E7" w:rsidRPr="004E07E7" w:rsidRDefault="004E07E7" w:rsidP="00365F5B">
            <w:pPr>
              <w:pStyle w:val="TableParagraph"/>
              <w:ind w:left="93" w:right="87"/>
              <w:jc w:val="both"/>
              <w:rPr>
                <w:color w:val="000000" w:themeColor="text1"/>
              </w:rPr>
            </w:pPr>
            <w:r w:rsidRPr="004E07E7">
              <w:rPr>
                <w:color w:val="000000"/>
              </w:rPr>
              <w:t>ROSCI0109</w:t>
            </w:r>
          </w:p>
        </w:tc>
        <w:tc>
          <w:tcPr>
            <w:tcW w:w="3885" w:type="dxa"/>
            <w:vAlign w:val="bottom"/>
          </w:tcPr>
          <w:p w14:paraId="4328C001" w14:textId="77777777" w:rsidR="004E07E7" w:rsidRPr="004E07E7" w:rsidRDefault="004E07E7" w:rsidP="00365F5B">
            <w:pPr>
              <w:pStyle w:val="TableParagraph"/>
              <w:ind w:left="91" w:right="84"/>
              <w:jc w:val="both"/>
              <w:rPr>
                <w:color w:val="000000" w:themeColor="text1"/>
              </w:rPr>
            </w:pPr>
            <w:r w:rsidRPr="004E07E7">
              <w:rPr>
                <w:color w:val="000000"/>
              </w:rPr>
              <w:t>Lunca Timișului</w:t>
            </w:r>
          </w:p>
        </w:tc>
      </w:tr>
      <w:tr w:rsidR="004E07E7" w:rsidRPr="004E07E7" w14:paraId="41C97CE2" w14:textId="77777777" w:rsidTr="00993B86">
        <w:trPr>
          <w:trHeight w:val="275"/>
        </w:trPr>
        <w:tc>
          <w:tcPr>
            <w:tcW w:w="3410" w:type="dxa"/>
            <w:vMerge/>
            <w:tcBorders>
              <w:top w:val="nil"/>
            </w:tcBorders>
          </w:tcPr>
          <w:p w14:paraId="6F0C1B55" w14:textId="77777777" w:rsidR="004E07E7" w:rsidRPr="004E07E7" w:rsidRDefault="004E07E7" w:rsidP="00365F5B">
            <w:pPr>
              <w:jc w:val="both"/>
              <w:rPr>
                <w:color w:val="000000" w:themeColor="text1"/>
              </w:rPr>
            </w:pPr>
          </w:p>
        </w:tc>
        <w:tc>
          <w:tcPr>
            <w:tcW w:w="2410" w:type="dxa"/>
            <w:vAlign w:val="bottom"/>
          </w:tcPr>
          <w:p w14:paraId="3E81820B" w14:textId="77777777" w:rsidR="004E07E7" w:rsidRPr="004E07E7" w:rsidRDefault="004E07E7" w:rsidP="00C362D3">
            <w:pPr>
              <w:pStyle w:val="TableParagraph"/>
              <w:ind w:left="93" w:right="87"/>
              <w:jc w:val="both"/>
              <w:rPr>
                <w:color w:val="000000" w:themeColor="text1"/>
              </w:rPr>
            </w:pPr>
            <w:r w:rsidRPr="004E07E7">
              <w:rPr>
                <w:color w:val="000000"/>
              </w:rPr>
              <w:t>ROS</w:t>
            </w:r>
            <w:r w:rsidR="00C362D3">
              <w:rPr>
                <w:color w:val="000000"/>
              </w:rPr>
              <w:t>AC</w:t>
            </w:r>
            <w:r w:rsidRPr="004E07E7">
              <w:rPr>
                <w:color w:val="000000"/>
              </w:rPr>
              <w:t>0113</w:t>
            </w:r>
          </w:p>
        </w:tc>
        <w:tc>
          <w:tcPr>
            <w:tcW w:w="3885" w:type="dxa"/>
            <w:vAlign w:val="bottom"/>
          </w:tcPr>
          <w:p w14:paraId="0966A4B6" w14:textId="77777777" w:rsidR="004E07E7" w:rsidRPr="004E07E7" w:rsidRDefault="004E07E7" w:rsidP="00365F5B">
            <w:pPr>
              <w:pStyle w:val="TableParagraph"/>
              <w:ind w:left="86" w:right="85"/>
              <w:jc w:val="both"/>
              <w:rPr>
                <w:color w:val="000000" w:themeColor="text1"/>
              </w:rPr>
            </w:pPr>
            <w:r w:rsidRPr="004E07E7">
              <w:rPr>
                <w:color w:val="000000"/>
              </w:rPr>
              <w:t>Mlaștina după Luncă</w:t>
            </w:r>
          </w:p>
        </w:tc>
      </w:tr>
      <w:tr w:rsidR="004E07E7" w:rsidRPr="004E07E7" w14:paraId="66BD7481" w14:textId="77777777" w:rsidTr="00993B86">
        <w:trPr>
          <w:trHeight w:val="275"/>
        </w:trPr>
        <w:tc>
          <w:tcPr>
            <w:tcW w:w="3410" w:type="dxa"/>
            <w:vMerge/>
            <w:tcBorders>
              <w:top w:val="nil"/>
            </w:tcBorders>
          </w:tcPr>
          <w:p w14:paraId="69C8CEBA" w14:textId="77777777" w:rsidR="004E07E7" w:rsidRPr="004E07E7" w:rsidRDefault="004E07E7" w:rsidP="00365F5B">
            <w:pPr>
              <w:jc w:val="both"/>
              <w:rPr>
                <w:color w:val="000000" w:themeColor="text1"/>
              </w:rPr>
            </w:pPr>
          </w:p>
        </w:tc>
        <w:tc>
          <w:tcPr>
            <w:tcW w:w="2410" w:type="dxa"/>
            <w:vAlign w:val="bottom"/>
          </w:tcPr>
          <w:p w14:paraId="57AFB399" w14:textId="77777777" w:rsidR="004E07E7" w:rsidRPr="004E07E7" w:rsidRDefault="004E07E7" w:rsidP="00365F5B">
            <w:pPr>
              <w:pStyle w:val="TableParagraph"/>
              <w:ind w:left="93" w:right="87"/>
              <w:jc w:val="both"/>
              <w:rPr>
                <w:color w:val="000000" w:themeColor="text1"/>
              </w:rPr>
            </w:pPr>
            <w:r w:rsidRPr="004E07E7">
              <w:rPr>
                <w:color w:val="000000"/>
              </w:rPr>
              <w:t>ROSCI0131</w:t>
            </w:r>
          </w:p>
        </w:tc>
        <w:tc>
          <w:tcPr>
            <w:tcW w:w="3885" w:type="dxa"/>
            <w:vAlign w:val="bottom"/>
          </w:tcPr>
          <w:p w14:paraId="0A89E25B" w14:textId="77777777" w:rsidR="004E07E7" w:rsidRPr="004E07E7" w:rsidRDefault="004E07E7" w:rsidP="00365F5B">
            <w:pPr>
              <w:pStyle w:val="TableParagraph"/>
              <w:ind w:left="91" w:right="81"/>
              <w:jc w:val="both"/>
              <w:rPr>
                <w:color w:val="000000" w:themeColor="text1"/>
              </w:rPr>
            </w:pPr>
            <w:r w:rsidRPr="004E07E7">
              <w:rPr>
                <w:color w:val="000000"/>
              </w:rPr>
              <w:t>Oltenița - Mostiștea - Chiciu</w:t>
            </w:r>
          </w:p>
        </w:tc>
      </w:tr>
      <w:tr w:rsidR="004E07E7" w:rsidRPr="004E07E7" w14:paraId="4630E41A" w14:textId="77777777" w:rsidTr="00993B86">
        <w:trPr>
          <w:trHeight w:val="275"/>
        </w:trPr>
        <w:tc>
          <w:tcPr>
            <w:tcW w:w="3410" w:type="dxa"/>
            <w:vMerge/>
            <w:tcBorders>
              <w:top w:val="nil"/>
            </w:tcBorders>
          </w:tcPr>
          <w:p w14:paraId="0D2B6297" w14:textId="77777777" w:rsidR="004E07E7" w:rsidRPr="004E07E7" w:rsidRDefault="004E07E7" w:rsidP="00365F5B">
            <w:pPr>
              <w:jc w:val="both"/>
              <w:rPr>
                <w:color w:val="000000" w:themeColor="text1"/>
              </w:rPr>
            </w:pPr>
          </w:p>
        </w:tc>
        <w:tc>
          <w:tcPr>
            <w:tcW w:w="2410" w:type="dxa"/>
            <w:vAlign w:val="bottom"/>
          </w:tcPr>
          <w:p w14:paraId="5471F9A5" w14:textId="77777777" w:rsidR="004E07E7" w:rsidRPr="004E07E7" w:rsidRDefault="004E07E7" w:rsidP="00C362D3">
            <w:pPr>
              <w:pStyle w:val="TableParagraph"/>
              <w:ind w:left="93" w:right="87"/>
              <w:jc w:val="both"/>
              <w:rPr>
                <w:color w:val="000000" w:themeColor="text1"/>
              </w:rPr>
            </w:pPr>
            <w:r w:rsidRPr="004E07E7">
              <w:rPr>
                <w:color w:val="000000"/>
              </w:rPr>
              <w:t>ROS</w:t>
            </w:r>
            <w:r w:rsidR="00C362D3">
              <w:rPr>
                <w:color w:val="000000"/>
              </w:rPr>
              <w:t>AC</w:t>
            </w:r>
            <w:r w:rsidRPr="004E07E7">
              <w:rPr>
                <w:color w:val="000000"/>
              </w:rPr>
              <w:t>0171</w:t>
            </w:r>
          </w:p>
        </w:tc>
        <w:tc>
          <w:tcPr>
            <w:tcW w:w="3885" w:type="dxa"/>
            <w:vAlign w:val="bottom"/>
          </w:tcPr>
          <w:p w14:paraId="33831106" w14:textId="77777777" w:rsidR="004E07E7" w:rsidRPr="004E07E7" w:rsidRDefault="004E07E7" w:rsidP="00365F5B">
            <w:pPr>
              <w:pStyle w:val="TableParagraph"/>
              <w:ind w:left="91" w:right="81"/>
              <w:jc w:val="both"/>
              <w:rPr>
                <w:color w:val="000000" w:themeColor="text1"/>
              </w:rPr>
            </w:pPr>
            <w:r w:rsidRPr="004E07E7">
              <w:rPr>
                <w:color w:val="000000"/>
              </w:rPr>
              <w:t>Pădurea și pajiștile de la Mârzești</w:t>
            </w:r>
          </w:p>
        </w:tc>
      </w:tr>
      <w:tr w:rsidR="004E07E7" w:rsidRPr="004E07E7" w14:paraId="23FEB5DF" w14:textId="77777777" w:rsidTr="00700115">
        <w:trPr>
          <w:trHeight w:val="275"/>
        </w:trPr>
        <w:tc>
          <w:tcPr>
            <w:tcW w:w="3410" w:type="dxa"/>
            <w:vMerge/>
            <w:tcBorders>
              <w:top w:val="nil"/>
            </w:tcBorders>
          </w:tcPr>
          <w:p w14:paraId="5CAB99E0" w14:textId="77777777" w:rsidR="004E07E7" w:rsidRPr="004E07E7" w:rsidRDefault="004E07E7" w:rsidP="00365F5B">
            <w:pPr>
              <w:jc w:val="both"/>
              <w:rPr>
                <w:color w:val="000000" w:themeColor="text1"/>
              </w:rPr>
            </w:pPr>
          </w:p>
        </w:tc>
        <w:tc>
          <w:tcPr>
            <w:tcW w:w="2410" w:type="dxa"/>
          </w:tcPr>
          <w:p w14:paraId="3E3B1DD0" w14:textId="77777777" w:rsidR="004E07E7" w:rsidRPr="004E07E7" w:rsidRDefault="004E07E7" w:rsidP="00C362D3">
            <w:pPr>
              <w:pStyle w:val="TableParagraph"/>
              <w:ind w:left="93" w:right="87"/>
              <w:rPr>
                <w:color w:val="000000" w:themeColor="text1"/>
              </w:rPr>
            </w:pPr>
            <w:r w:rsidRPr="004E07E7">
              <w:rPr>
                <w:color w:val="000000"/>
              </w:rPr>
              <w:t>ROS</w:t>
            </w:r>
            <w:r w:rsidR="00C362D3">
              <w:rPr>
                <w:color w:val="000000"/>
              </w:rPr>
              <w:t>AC</w:t>
            </w:r>
            <w:r w:rsidRPr="004E07E7">
              <w:rPr>
                <w:color w:val="000000"/>
              </w:rPr>
              <w:t>0205</w:t>
            </w:r>
          </w:p>
        </w:tc>
        <w:tc>
          <w:tcPr>
            <w:tcW w:w="3885" w:type="dxa"/>
          </w:tcPr>
          <w:p w14:paraId="7CF37C91" w14:textId="77777777" w:rsidR="004E07E7" w:rsidRPr="004E07E7" w:rsidRDefault="004E07E7" w:rsidP="00700115">
            <w:pPr>
              <w:pStyle w:val="TableParagraph"/>
              <w:ind w:left="91" w:right="81"/>
              <w:rPr>
                <w:color w:val="000000" w:themeColor="text1"/>
              </w:rPr>
            </w:pPr>
            <w:r w:rsidRPr="004E07E7">
              <w:rPr>
                <w:color w:val="000000"/>
              </w:rPr>
              <w:t>Poienile cu narcise de la Dumbrava Vadului</w:t>
            </w:r>
          </w:p>
        </w:tc>
      </w:tr>
      <w:tr w:rsidR="004E07E7" w:rsidRPr="004E07E7" w14:paraId="095FFA5F" w14:textId="77777777" w:rsidTr="00993B86">
        <w:trPr>
          <w:trHeight w:val="278"/>
        </w:trPr>
        <w:tc>
          <w:tcPr>
            <w:tcW w:w="3410" w:type="dxa"/>
            <w:vMerge/>
            <w:tcBorders>
              <w:top w:val="nil"/>
            </w:tcBorders>
          </w:tcPr>
          <w:p w14:paraId="7D93F4C3" w14:textId="77777777" w:rsidR="004E07E7" w:rsidRPr="004E07E7" w:rsidRDefault="004E07E7" w:rsidP="00365F5B">
            <w:pPr>
              <w:jc w:val="both"/>
              <w:rPr>
                <w:color w:val="000000" w:themeColor="text1"/>
              </w:rPr>
            </w:pPr>
          </w:p>
        </w:tc>
        <w:tc>
          <w:tcPr>
            <w:tcW w:w="2410" w:type="dxa"/>
            <w:vAlign w:val="bottom"/>
          </w:tcPr>
          <w:p w14:paraId="3021EB5B" w14:textId="77777777" w:rsidR="004E07E7" w:rsidRPr="004E07E7" w:rsidRDefault="004E07E7" w:rsidP="00365F5B">
            <w:pPr>
              <w:pStyle w:val="TableParagraph"/>
              <w:spacing w:line="258" w:lineRule="exact"/>
              <w:ind w:left="93" w:right="87"/>
              <w:jc w:val="both"/>
              <w:rPr>
                <w:color w:val="000000" w:themeColor="text1"/>
              </w:rPr>
            </w:pPr>
            <w:r w:rsidRPr="004E07E7">
              <w:rPr>
                <w:color w:val="000000"/>
              </w:rPr>
              <w:t>ROSCI0211</w:t>
            </w:r>
          </w:p>
        </w:tc>
        <w:tc>
          <w:tcPr>
            <w:tcW w:w="3885" w:type="dxa"/>
            <w:vAlign w:val="bottom"/>
          </w:tcPr>
          <w:p w14:paraId="204EC81E" w14:textId="77777777" w:rsidR="004E07E7" w:rsidRPr="004E07E7" w:rsidRDefault="004E07E7" w:rsidP="00365F5B">
            <w:pPr>
              <w:pStyle w:val="TableParagraph"/>
              <w:spacing w:line="258" w:lineRule="exact"/>
              <w:ind w:left="91" w:right="81"/>
              <w:jc w:val="both"/>
              <w:rPr>
                <w:color w:val="000000" w:themeColor="text1"/>
              </w:rPr>
            </w:pPr>
            <w:r w:rsidRPr="004E07E7">
              <w:rPr>
                <w:color w:val="000000"/>
              </w:rPr>
              <w:t>Podișul Secașelor</w:t>
            </w:r>
          </w:p>
        </w:tc>
      </w:tr>
      <w:tr w:rsidR="004E07E7" w:rsidRPr="004E07E7" w14:paraId="62B971A2" w14:textId="77777777" w:rsidTr="00993B86">
        <w:trPr>
          <w:trHeight w:val="275"/>
        </w:trPr>
        <w:tc>
          <w:tcPr>
            <w:tcW w:w="3410" w:type="dxa"/>
            <w:vMerge/>
            <w:tcBorders>
              <w:top w:val="nil"/>
            </w:tcBorders>
          </w:tcPr>
          <w:p w14:paraId="4214CF53" w14:textId="77777777" w:rsidR="004E07E7" w:rsidRPr="004E07E7" w:rsidRDefault="004E07E7" w:rsidP="00365F5B">
            <w:pPr>
              <w:jc w:val="both"/>
              <w:rPr>
                <w:color w:val="000000" w:themeColor="text1"/>
              </w:rPr>
            </w:pPr>
          </w:p>
        </w:tc>
        <w:tc>
          <w:tcPr>
            <w:tcW w:w="2410" w:type="dxa"/>
            <w:vAlign w:val="bottom"/>
          </w:tcPr>
          <w:p w14:paraId="33628190" w14:textId="77777777" w:rsidR="004E07E7" w:rsidRPr="004E07E7" w:rsidRDefault="004E07E7" w:rsidP="00365F5B">
            <w:pPr>
              <w:pStyle w:val="TableParagraph"/>
              <w:ind w:left="93" w:right="87"/>
              <w:jc w:val="both"/>
              <w:rPr>
                <w:color w:val="000000" w:themeColor="text1"/>
              </w:rPr>
            </w:pPr>
            <w:r w:rsidRPr="004E07E7">
              <w:rPr>
                <w:color w:val="000000"/>
              </w:rPr>
              <w:t>ROSCI0213</w:t>
            </w:r>
          </w:p>
        </w:tc>
        <w:tc>
          <w:tcPr>
            <w:tcW w:w="3885" w:type="dxa"/>
            <w:vAlign w:val="bottom"/>
          </w:tcPr>
          <w:p w14:paraId="6511460E" w14:textId="77777777" w:rsidR="004E07E7" w:rsidRPr="004E07E7" w:rsidRDefault="004E07E7" w:rsidP="00365F5B">
            <w:pPr>
              <w:pStyle w:val="TableParagraph"/>
              <w:ind w:left="89" w:right="85"/>
              <w:jc w:val="both"/>
              <w:rPr>
                <w:color w:val="000000" w:themeColor="text1"/>
              </w:rPr>
            </w:pPr>
            <w:r w:rsidRPr="004E07E7">
              <w:rPr>
                <w:color w:val="000000"/>
              </w:rPr>
              <w:t>Râul Prut</w:t>
            </w:r>
          </w:p>
        </w:tc>
      </w:tr>
      <w:tr w:rsidR="004E07E7" w:rsidRPr="004E07E7" w14:paraId="61E76678" w14:textId="77777777" w:rsidTr="00993B86">
        <w:trPr>
          <w:trHeight w:val="275"/>
        </w:trPr>
        <w:tc>
          <w:tcPr>
            <w:tcW w:w="3410" w:type="dxa"/>
            <w:vMerge/>
            <w:tcBorders>
              <w:top w:val="nil"/>
            </w:tcBorders>
          </w:tcPr>
          <w:p w14:paraId="7F4938ED" w14:textId="77777777" w:rsidR="004E07E7" w:rsidRPr="004E07E7" w:rsidRDefault="004E07E7" w:rsidP="00365F5B">
            <w:pPr>
              <w:jc w:val="both"/>
              <w:rPr>
                <w:color w:val="000000" w:themeColor="text1"/>
              </w:rPr>
            </w:pPr>
          </w:p>
        </w:tc>
        <w:tc>
          <w:tcPr>
            <w:tcW w:w="2410" w:type="dxa"/>
            <w:vAlign w:val="bottom"/>
          </w:tcPr>
          <w:p w14:paraId="3719DD93" w14:textId="77777777" w:rsidR="004E07E7" w:rsidRPr="004E07E7" w:rsidRDefault="004E07E7" w:rsidP="00C362D3">
            <w:pPr>
              <w:pStyle w:val="TableParagraph"/>
              <w:ind w:left="93" w:right="87"/>
              <w:jc w:val="both"/>
              <w:rPr>
                <w:color w:val="000000" w:themeColor="text1"/>
              </w:rPr>
            </w:pPr>
            <w:r w:rsidRPr="004E07E7">
              <w:rPr>
                <w:color w:val="000000"/>
              </w:rPr>
              <w:t>ROS</w:t>
            </w:r>
            <w:r w:rsidR="00C362D3">
              <w:rPr>
                <w:color w:val="000000"/>
              </w:rPr>
              <w:t>AC</w:t>
            </w:r>
            <w:r w:rsidRPr="004E07E7">
              <w:rPr>
                <w:color w:val="000000"/>
              </w:rPr>
              <w:t>0214</w:t>
            </w:r>
          </w:p>
        </w:tc>
        <w:tc>
          <w:tcPr>
            <w:tcW w:w="3885" w:type="dxa"/>
            <w:vAlign w:val="bottom"/>
          </w:tcPr>
          <w:p w14:paraId="76562571" w14:textId="77777777" w:rsidR="004E07E7" w:rsidRPr="004E07E7" w:rsidRDefault="004E07E7" w:rsidP="00365F5B">
            <w:pPr>
              <w:pStyle w:val="TableParagraph"/>
              <w:ind w:left="91" w:right="82"/>
              <w:jc w:val="both"/>
              <w:rPr>
                <w:color w:val="000000" w:themeColor="text1"/>
              </w:rPr>
            </w:pPr>
            <w:r w:rsidRPr="004E07E7">
              <w:rPr>
                <w:color w:val="000000"/>
              </w:rPr>
              <w:t>Râul Tur</w:t>
            </w:r>
          </w:p>
        </w:tc>
      </w:tr>
      <w:tr w:rsidR="004E07E7" w:rsidRPr="004E07E7" w14:paraId="13527ECD" w14:textId="77777777" w:rsidTr="00993B86">
        <w:trPr>
          <w:trHeight w:val="275"/>
        </w:trPr>
        <w:tc>
          <w:tcPr>
            <w:tcW w:w="3410" w:type="dxa"/>
            <w:vMerge/>
            <w:tcBorders>
              <w:top w:val="nil"/>
            </w:tcBorders>
          </w:tcPr>
          <w:p w14:paraId="055304B4" w14:textId="77777777" w:rsidR="004E07E7" w:rsidRPr="004E07E7" w:rsidRDefault="004E07E7" w:rsidP="00365F5B">
            <w:pPr>
              <w:jc w:val="both"/>
              <w:rPr>
                <w:color w:val="000000" w:themeColor="text1"/>
              </w:rPr>
            </w:pPr>
          </w:p>
        </w:tc>
        <w:tc>
          <w:tcPr>
            <w:tcW w:w="2410" w:type="dxa"/>
            <w:vAlign w:val="bottom"/>
          </w:tcPr>
          <w:p w14:paraId="5CE83193" w14:textId="77777777" w:rsidR="004E07E7" w:rsidRPr="004E07E7" w:rsidRDefault="004E07E7" w:rsidP="00365F5B">
            <w:pPr>
              <w:pStyle w:val="TableParagraph"/>
              <w:ind w:left="93" w:right="87"/>
              <w:jc w:val="both"/>
              <w:rPr>
                <w:color w:val="000000" w:themeColor="text1"/>
              </w:rPr>
            </w:pPr>
            <w:r w:rsidRPr="004E07E7">
              <w:rPr>
                <w:color w:val="000000"/>
              </w:rPr>
              <w:t>ROSCI0222</w:t>
            </w:r>
          </w:p>
        </w:tc>
        <w:tc>
          <w:tcPr>
            <w:tcW w:w="3885" w:type="dxa"/>
            <w:vAlign w:val="bottom"/>
          </w:tcPr>
          <w:p w14:paraId="52C2B97B" w14:textId="77777777" w:rsidR="004E07E7" w:rsidRPr="004E07E7" w:rsidRDefault="004E07E7" w:rsidP="00365F5B">
            <w:pPr>
              <w:pStyle w:val="TableParagraph"/>
              <w:ind w:left="91" w:right="82"/>
              <w:jc w:val="both"/>
              <w:rPr>
                <w:color w:val="000000" w:themeColor="text1"/>
              </w:rPr>
            </w:pPr>
            <w:r w:rsidRPr="004E07E7">
              <w:rPr>
                <w:color w:val="000000"/>
              </w:rPr>
              <w:t>Sărăturile Jijia Inferioară - Prut</w:t>
            </w:r>
          </w:p>
        </w:tc>
      </w:tr>
      <w:tr w:rsidR="004E07E7" w:rsidRPr="004E07E7" w14:paraId="0B9C0073" w14:textId="77777777" w:rsidTr="00993B86">
        <w:trPr>
          <w:trHeight w:val="275"/>
        </w:trPr>
        <w:tc>
          <w:tcPr>
            <w:tcW w:w="3410" w:type="dxa"/>
            <w:vMerge/>
            <w:tcBorders>
              <w:top w:val="nil"/>
            </w:tcBorders>
          </w:tcPr>
          <w:p w14:paraId="5ED72D27" w14:textId="77777777" w:rsidR="004E07E7" w:rsidRPr="004E07E7" w:rsidRDefault="004E07E7" w:rsidP="00365F5B">
            <w:pPr>
              <w:jc w:val="both"/>
              <w:rPr>
                <w:color w:val="000000" w:themeColor="text1"/>
              </w:rPr>
            </w:pPr>
          </w:p>
        </w:tc>
        <w:tc>
          <w:tcPr>
            <w:tcW w:w="2410" w:type="dxa"/>
            <w:vAlign w:val="bottom"/>
          </w:tcPr>
          <w:p w14:paraId="7FEC1139" w14:textId="77777777" w:rsidR="004E07E7" w:rsidRPr="004E07E7" w:rsidRDefault="004E07E7" w:rsidP="00365F5B">
            <w:pPr>
              <w:pStyle w:val="TableParagraph"/>
              <w:ind w:left="93" w:right="87"/>
              <w:jc w:val="both"/>
              <w:rPr>
                <w:color w:val="000000" w:themeColor="text1"/>
              </w:rPr>
            </w:pPr>
            <w:r w:rsidRPr="004E07E7">
              <w:rPr>
                <w:color w:val="000000"/>
              </w:rPr>
              <w:t>ROSCI0226</w:t>
            </w:r>
          </w:p>
        </w:tc>
        <w:tc>
          <w:tcPr>
            <w:tcW w:w="3885" w:type="dxa"/>
            <w:vAlign w:val="bottom"/>
          </w:tcPr>
          <w:p w14:paraId="1E5DB2AB" w14:textId="77777777" w:rsidR="004E07E7" w:rsidRPr="004E07E7" w:rsidRDefault="004E07E7" w:rsidP="00365F5B">
            <w:pPr>
              <w:pStyle w:val="TableParagraph"/>
              <w:ind w:left="91" w:right="85"/>
              <w:jc w:val="both"/>
              <w:rPr>
                <w:color w:val="000000" w:themeColor="text1"/>
              </w:rPr>
            </w:pPr>
            <w:r w:rsidRPr="004E07E7">
              <w:rPr>
                <w:color w:val="000000"/>
              </w:rPr>
              <w:t>Semenic - Cheile Carașului</w:t>
            </w:r>
          </w:p>
        </w:tc>
      </w:tr>
      <w:tr w:rsidR="004E07E7" w:rsidRPr="004E07E7" w14:paraId="3139BF80" w14:textId="77777777" w:rsidTr="00993B86">
        <w:trPr>
          <w:trHeight w:val="275"/>
        </w:trPr>
        <w:tc>
          <w:tcPr>
            <w:tcW w:w="3410" w:type="dxa"/>
            <w:vMerge/>
            <w:tcBorders>
              <w:top w:val="nil"/>
            </w:tcBorders>
          </w:tcPr>
          <w:p w14:paraId="7AC9E356" w14:textId="77777777" w:rsidR="004E07E7" w:rsidRPr="004E07E7" w:rsidRDefault="004E07E7" w:rsidP="00365F5B">
            <w:pPr>
              <w:jc w:val="both"/>
              <w:rPr>
                <w:color w:val="000000" w:themeColor="text1"/>
              </w:rPr>
            </w:pPr>
          </w:p>
        </w:tc>
        <w:tc>
          <w:tcPr>
            <w:tcW w:w="2410" w:type="dxa"/>
            <w:vAlign w:val="bottom"/>
          </w:tcPr>
          <w:p w14:paraId="2E2356D9" w14:textId="77777777" w:rsidR="004E07E7" w:rsidRPr="004E07E7" w:rsidRDefault="004E07E7" w:rsidP="00C362D3">
            <w:pPr>
              <w:pStyle w:val="TableParagraph"/>
              <w:ind w:left="93" w:right="87"/>
              <w:jc w:val="both"/>
              <w:rPr>
                <w:color w:val="000000" w:themeColor="text1"/>
              </w:rPr>
            </w:pPr>
            <w:r w:rsidRPr="004E07E7">
              <w:rPr>
                <w:color w:val="000000"/>
              </w:rPr>
              <w:t>ROS</w:t>
            </w:r>
            <w:r w:rsidR="00C362D3">
              <w:rPr>
                <w:color w:val="000000"/>
              </w:rPr>
              <w:t>AC</w:t>
            </w:r>
            <w:r w:rsidRPr="004E07E7">
              <w:rPr>
                <w:color w:val="000000"/>
              </w:rPr>
              <w:t>0227</w:t>
            </w:r>
          </w:p>
        </w:tc>
        <w:tc>
          <w:tcPr>
            <w:tcW w:w="3885" w:type="dxa"/>
            <w:vAlign w:val="bottom"/>
          </w:tcPr>
          <w:p w14:paraId="1CC79F5F" w14:textId="77777777" w:rsidR="004E07E7" w:rsidRPr="004E07E7" w:rsidRDefault="004E07E7" w:rsidP="00365F5B">
            <w:pPr>
              <w:pStyle w:val="TableParagraph"/>
              <w:ind w:left="91" w:right="84"/>
              <w:jc w:val="both"/>
              <w:rPr>
                <w:color w:val="000000" w:themeColor="text1"/>
              </w:rPr>
            </w:pPr>
            <w:r w:rsidRPr="004E07E7">
              <w:rPr>
                <w:color w:val="000000"/>
              </w:rPr>
              <w:t>Sighișoara - Târnava Mare</w:t>
            </w:r>
          </w:p>
        </w:tc>
      </w:tr>
      <w:tr w:rsidR="004E07E7" w:rsidRPr="004E07E7" w14:paraId="707FB8DF" w14:textId="77777777" w:rsidTr="00993B86">
        <w:trPr>
          <w:trHeight w:val="277"/>
        </w:trPr>
        <w:tc>
          <w:tcPr>
            <w:tcW w:w="3410" w:type="dxa"/>
            <w:vMerge/>
            <w:tcBorders>
              <w:top w:val="nil"/>
            </w:tcBorders>
          </w:tcPr>
          <w:p w14:paraId="0F746FFD" w14:textId="77777777" w:rsidR="004E07E7" w:rsidRPr="004E07E7" w:rsidRDefault="004E07E7" w:rsidP="00365F5B">
            <w:pPr>
              <w:jc w:val="both"/>
              <w:rPr>
                <w:color w:val="000000" w:themeColor="text1"/>
              </w:rPr>
            </w:pPr>
          </w:p>
        </w:tc>
        <w:tc>
          <w:tcPr>
            <w:tcW w:w="2410" w:type="dxa"/>
            <w:vAlign w:val="bottom"/>
          </w:tcPr>
          <w:p w14:paraId="00F8F243" w14:textId="77777777" w:rsidR="004E07E7" w:rsidRPr="004E07E7" w:rsidRDefault="004E07E7" w:rsidP="00C362D3">
            <w:pPr>
              <w:pStyle w:val="TableParagraph"/>
              <w:spacing w:line="258" w:lineRule="exact"/>
              <w:ind w:left="93" w:right="87"/>
              <w:jc w:val="both"/>
              <w:rPr>
                <w:color w:val="000000" w:themeColor="text1"/>
              </w:rPr>
            </w:pPr>
            <w:r w:rsidRPr="004E07E7">
              <w:rPr>
                <w:color w:val="000000"/>
              </w:rPr>
              <w:t>ROS</w:t>
            </w:r>
            <w:r w:rsidR="00C362D3">
              <w:rPr>
                <w:color w:val="000000"/>
              </w:rPr>
              <w:t>AC</w:t>
            </w:r>
            <w:r w:rsidRPr="004E07E7">
              <w:rPr>
                <w:color w:val="000000"/>
              </w:rPr>
              <w:t>0238</w:t>
            </w:r>
          </w:p>
        </w:tc>
        <w:tc>
          <w:tcPr>
            <w:tcW w:w="3885" w:type="dxa"/>
            <w:vAlign w:val="bottom"/>
          </w:tcPr>
          <w:p w14:paraId="6972B467" w14:textId="77777777" w:rsidR="004E07E7" w:rsidRPr="004E07E7" w:rsidRDefault="004E07E7" w:rsidP="00365F5B">
            <w:pPr>
              <w:pStyle w:val="TableParagraph"/>
              <w:spacing w:line="258" w:lineRule="exact"/>
              <w:ind w:left="91" w:right="80"/>
              <w:jc w:val="both"/>
              <w:rPr>
                <w:color w:val="000000" w:themeColor="text1"/>
              </w:rPr>
            </w:pPr>
            <w:r w:rsidRPr="004E07E7">
              <w:rPr>
                <w:color w:val="000000"/>
              </w:rPr>
              <w:t>Suatu - Cojocna - Crairât</w:t>
            </w:r>
          </w:p>
        </w:tc>
      </w:tr>
      <w:tr w:rsidR="004E07E7" w:rsidRPr="004E07E7" w14:paraId="29145874" w14:textId="77777777" w:rsidTr="00993B86">
        <w:trPr>
          <w:trHeight w:val="275"/>
        </w:trPr>
        <w:tc>
          <w:tcPr>
            <w:tcW w:w="3410" w:type="dxa"/>
            <w:vMerge/>
            <w:tcBorders>
              <w:top w:val="nil"/>
            </w:tcBorders>
          </w:tcPr>
          <w:p w14:paraId="6EE42610" w14:textId="77777777" w:rsidR="004E07E7" w:rsidRPr="004E07E7" w:rsidRDefault="004E07E7" w:rsidP="00365F5B">
            <w:pPr>
              <w:jc w:val="both"/>
              <w:rPr>
                <w:color w:val="000000" w:themeColor="text1"/>
              </w:rPr>
            </w:pPr>
          </w:p>
        </w:tc>
        <w:tc>
          <w:tcPr>
            <w:tcW w:w="2410" w:type="dxa"/>
            <w:vAlign w:val="bottom"/>
          </w:tcPr>
          <w:p w14:paraId="4195391C" w14:textId="77777777" w:rsidR="004E07E7" w:rsidRPr="004E07E7" w:rsidRDefault="004E07E7" w:rsidP="00C362D3">
            <w:pPr>
              <w:pStyle w:val="TableParagraph"/>
              <w:ind w:left="93" w:right="87"/>
              <w:jc w:val="both"/>
              <w:rPr>
                <w:color w:val="000000" w:themeColor="text1"/>
              </w:rPr>
            </w:pPr>
            <w:r w:rsidRPr="004E07E7">
              <w:rPr>
                <w:color w:val="000000"/>
              </w:rPr>
              <w:t>ROS</w:t>
            </w:r>
            <w:r w:rsidR="00C362D3">
              <w:rPr>
                <w:color w:val="000000"/>
              </w:rPr>
              <w:t>AC</w:t>
            </w:r>
            <w:r w:rsidRPr="004E07E7">
              <w:rPr>
                <w:color w:val="000000"/>
              </w:rPr>
              <w:t>0260</w:t>
            </w:r>
          </w:p>
        </w:tc>
        <w:tc>
          <w:tcPr>
            <w:tcW w:w="3885" w:type="dxa"/>
            <w:vAlign w:val="bottom"/>
          </w:tcPr>
          <w:p w14:paraId="14BCC669" w14:textId="77777777" w:rsidR="004E07E7" w:rsidRPr="004E07E7" w:rsidRDefault="004E07E7" w:rsidP="00365F5B">
            <w:pPr>
              <w:pStyle w:val="TableParagraph"/>
              <w:ind w:left="91" w:right="79"/>
              <w:jc w:val="both"/>
              <w:rPr>
                <w:color w:val="000000" w:themeColor="text1"/>
              </w:rPr>
            </w:pPr>
            <w:r w:rsidRPr="004E07E7">
              <w:rPr>
                <w:color w:val="000000"/>
              </w:rPr>
              <w:t>Valea Cepelor</w:t>
            </w:r>
          </w:p>
        </w:tc>
      </w:tr>
      <w:tr w:rsidR="004E07E7" w:rsidRPr="004E07E7" w14:paraId="7DA5AA0B" w14:textId="77777777" w:rsidTr="00993B86">
        <w:trPr>
          <w:trHeight w:val="275"/>
        </w:trPr>
        <w:tc>
          <w:tcPr>
            <w:tcW w:w="3410" w:type="dxa"/>
            <w:vMerge/>
            <w:tcBorders>
              <w:top w:val="nil"/>
            </w:tcBorders>
          </w:tcPr>
          <w:p w14:paraId="0C92175C" w14:textId="77777777" w:rsidR="004E07E7" w:rsidRPr="004E07E7" w:rsidRDefault="004E07E7" w:rsidP="00365F5B">
            <w:pPr>
              <w:jc w:val="both"/>
              <w:rPr>
                <w:color w:val="000000" w:themeColor="text1"/>
              </w:rPr>
            </w:pPr>
          </w:p>
        </w:tc>
        <w:tc>
          <w:tcPr>
            <w:tcW w:w="2410" w:type="dxa"/>
            <w:vAlign w:val="bottom"/>
          </w:tcPr>
          <w:p w14:paraId="5B96E742" w14:textId="77777777" w:rsidR="004E07E7" w:rsidRPr="004E07E7" w:rsidRDefault="004E07E7" w:rsidP="00365F5B">
            <w:pPr>
              <w:pStyle w:val="TableParagraph"/>
              <w:ind w:left="93" w:right="87"/>
              <w:jc w:val="both"/>
              <w:rPr>
                <w:color w:val="000000" w:themeColor="text1"/>
              </w:rPr>
            </w:pPr>
            <w:r w:rsidRPr="004E07E7">
              <w:rPr>
                <w:color w:val="000000"/>
              </w:rPr>
              <w:t>ROSCI0264</w:t>
            </w:r>
          </w:p>
        </w:tc>
        <w:tc>
          <w:tcPr>
            <w:tcW w:w="3885" w:type="dxa"/>
            <w:vAlign w:val="bottom"/>
          </w:tcPr>
          <w:p w14:paraId="4732A9B7" w14:textId="77777777" w:rsidR="004E07E7" w:rsidRPr="004E07E7" w:rsidRDefault="004E07E7" w:rsidP="00365F5B">
            <w:pPr>
              <w:pStyle w:val="TableParagraph"/>
              <w:ind w:left="91" w:right="76"/>
              <w:jc w:val="both"/>
              <w:rPr>
                <w:color w:val="000000" w:themeColor="text1"/>
              </w:rPr>
            </w:pPr>
            <w:r w:rsidRPr="004E07E7">
              <w:rPr>
                <w:color w:val="000000"/>
              </w:rPr>
              <w:t>Valea Izei și Dealul Solovan</w:t>
            </w:r>
          </w:p>
        </w:tc>
      </w:tr>
      <w:tr w:rsidR="004E07E7" w:rsidRPr="004E07E7" w14:paraId="1D5B4743" w14:textId="77777777" w:rsidTr="00993B86">
        <w:trPr>
          <w:trHeight w:val="275"/>
        </w:trPr>
        <w:tc>
          <w:tcPr>
            <w:tcW w:w="3410" w:type="dxa"/>
            <w:vMerge/>
            <w:tcBorders>
              <w:top w:val="nil"/>
            </w:tcBorders>
          </w:tcPr>
          <w:p w14:paraId="57795CA9" w14:textId="77777777" w:rsidR="004E07E7" w:rsidRPr="004E07E7" w:rsidRDefault="004E07E7" w:rsidP="00365F5B">
            <w:pPr>
              <w:jc w:val="both"/>
              <w:rPr>
                <w:color w:val="000000" w:themeColor="text1"/>
              </w:rPr>
            </w:pPr>
          </w:p>
        </w:tc>
        <w:tc>
          <w:tcPr>
            <w:tcW w:w="2410" w:type="dxa"/>
            <w:vAlign w:val="bottom"/>
          </w:tcPr>
          <w:p w14:paraId="65E49230" w14:textId="77777777" w:rsidR="004E07E7" w:rsidRPr="004E07E7" w:rsidRDefault="004E07E7" w:rsidP="00C362D3">
            <w:pPr>
              <w:pStyle w:val="TableParagraph"/>
              <w:ind w:left="93" w:right="87"/>
              <w:jc w:val="both"/>
              <w:rPr>
                <w:color w:val="000000" w:themeColor="text1"/>
              </w:rPr>
            </w:pPr>
            <w:r w:rsidRPr="004E07E7">
              <w:rPr>
                <w:color w:val="000000"/>
              </w:rPr>
              <w:t>ROS</w:t>
            </w:r>
            <w:r w:rsidR="00C362D3">
              <w:rPr>
                <w:color w:val="000000"/>
              </w:rPr>
              <w:t>AC</w:t>
            </w:r>
            <w:r w:rsidRPr="004E07E7">
              <w:rPr>
                <w:color w:val="000000"/>
              </w:rPr>
              <w:t>0270</w:t>
            </w:r>
          </w:p>
        </w:tc>
        <w:tc>
          <w:tcPr>
            <w:tcW w:w="3885" w:type="dxa"/>
            <w:vAlign w:val="bottom"/>
          </w:tcPr>
          <w:p w14:paraId="0CC930A1" w14:textId="77777777" w:rsidR="004E07E7" w:rsidRPr="004E07E7" w:rsidRDefault="004E07E7" w:rsidP="00365F5B">
            <w:pPr>
              <w:pStyle w:val="TableParagraph"/>
              <w:ind w:left="86" w:right="85"/>
              <w:jc w:val="both"/>
              <w:rPr>
                <w:color w:val="000000" w:themeColor="text1"/>
              </w:rPr>
            </w:pPr>
            <w:r w:rsidRPr="004E07E7">
              <w:rPr>
                <w:color w:val="000000"/>
              </w:rPr>
              <w:t>Vânători-Neamț</w:t>
            </w:r>
          </w:p>
        </w:tc>
      </w:tr>
      <w:tr w:rsidR="004E07E7" w:rsidRPr="004E07E7" w14:paraId="16343097" w14:textId="77777777" w:rsidTr="00993B86">
        <w:trPr>
          <w:trHeight w:val="275"/>
        </w:trPr>
        <w:tc>
          <w:tcPr>
            <w:tcW w:w="3410" w:type="dxa"/>
            <w:vMerge/>
            <w:tcBorders>
              <w:top w:val="nil"/>
            </w:tcBorders>
          </w:tcPr>
          <w:p w14:paraId="51C9A6B6" w14:textId="77777777" w:rsidR="004E07E7" w:rsidRPr="004E07E7" w:rsidRDefault="004E07E7" w:rsidP="00365F5B">
            <w:pPr>
              <w:jc w:val="both"/>
              <w:rPr>
                <w:color w:val="000000" w:themeColor="text1"/>
              </w:rPr>
            </w:pPr>
          </w:p>
        </w:tc>
        <w:tc>
          <w:tcPr>
            <w:tcW w:w="2410" w:type="dxa"/>
            <w:vAlign w:val="bottom"/>
          </w:tcPr>
          <w:p w14:paraId="400D77FF" w14:textId="77777777" w:rsidR="004E07E7" w:rsidRPr="004E07E7" w:rsidRDefault="004E07E7" w:rsidP="00C362D3">
            <w:pPr>
              <w:pStyle w:val="TableParagraph"/>
              <w:ind w:left="93" w:right="87"/>
              <w:jc w:val="both"/>
              <w:rPr>
                <w:color w:val="000000" w:themeColor="text1"/>
              </w:rPr>
            </w:pPr>
            <w:r w:rsidRPr="004E07E7">
              <w:rPr>
                <w:color w:val="000000"/>
              </w:rPr>
              <w:t>ROS</w:t>
            </w:r>
            <w:r w:rsidR="00C362D3">
              <w:rPr>
                <w:color w:val="000000"/>
              </w:rPr>
              <w:t>AC</w:t>
            </w:r>
            <w:r w:rsidRPr="004E07E7">
              <w:rPr>
                <w:color w:val="000000"/>
              </w:rPr>
              <w:t>0295</w:t>
            </w:r>
          </w:p>
        </w:tc>
        <w:tc>
          <w:tcPr>
            <w:tcW w:w="3885" w:type="dxa"/>
            <w:vAlign w:val="bottom"/>
          </w:tcPr>
          <w:p w14:paraId="5FC15058" w14:textId="77777777" w:rsidR="004E07E7" w:rsidRPr="004E07E7" w:rsidRDefault="004E07E7" w:rsidP="00365F5B">
            <w:pPr>
              <w:pStyle w:val="TableParagraph"/>
              <w:ind w:left="91" w:right="85"/>
              <w:jc w:val="both"/>
              <w:rPr>
                <w:color w:val="000000" w:themeColor="text1"/>
              </w:rPr>
            </w:pPr>
            <w:r w:rsidRPr="004E07E7">
              <w:rPr>
                <w:color w:val="000000"/>
              </w:rPr>
              <w:t>Dealurile Clujului de Est</w:t>
            </w:r>
          </w:p>
        </w:tc>
      </w:tr>
      <w:tr w:rsidR="004E07E7" w:rsidRPr="004E07E7" w14:paraId="1FA249D1" w14:textId="77777777" w:rsidTr="00993B86">
        <w:trPr>
          <w:trHeight w:val="275"/>
        </w:trPr>
        <w:tc>
          <w:tcPr>
            <w:tcW w:w="3410" w:type="dxa"/>
            <w:vMerge/>
            <w:tcBorders>
              <w:top w:val="nil"/>
            </w:tcBorders>
          </w:tcPr>
          <w:p w14:paraId="6B38C48E" w14:textId="77777777" w:rsidR="004E07E7" w:rsidRPr="004E07E7" w:rsidRDefault="004E07E7" w:rsidP="00365F5B">
            <w:pPr>
              <w:jc w:val="both"/>
              <w:rPr>
                <w:color w:val="000000" w:themeColor="text1"/>
              </w:rPr>
            </w:pPr>
          </w:p>
        </w:tc>
        <w:tc>
          <w:tcPr>
            <w:tcW w:w="2410" w:type="dxa"/>
            <w:vAlign w:val="bottom"/>
          </w:tcPr>
          <w:p w14:paraId="7BD96229" w14:textId="77777777" w:rsidR="004E07E7" w:rsidRPr="004E07E7" w:rsidRDefault="004E07E7" w:rsidP="00C362D3">
            <w:pPr>
              <w:pStyle w:val="TableParagraph"/>
              <w:ind w:left="93" w:right="87"/>
              <w:jc w:val="both"/>
              <w:rPr>
                <w:color w:val="000000" w:themeColor="text1"/>
              </w:rPr>
            </w:pPr>
            <w:r w:rsidRPr="004E07E7">
              <w:rPr>
                <w:color w:val="000000"/>
              </w:rPr>
              <w:t>ROS</w:t>
            </w:r>
            <w:r w:rsidR="00C362D3">
              <w:rPr>
                <w:color w:val="000000"/>
              </w:rPr>
              <w:t>AC</w:t>
            </w:r>
            <w:r w:rsidRPr="004E07E7">
              <w:rPr>
                <w:color w:val="000000"/>
              </w:rPr>
              <w:t>0297</w:t>
            </w:r>
          </w:p>
        </w:tc>
        <w:tc>
          <w:tcPr>
            <w:tcW w:w="3885" w:type="dxa"/>
            <w:vAlign w:val="bottom"/>
          </w:tcPr>
          <w:p w14:paraId="5D97B25C" w14:textId="77777777" w:rsidR="004E07E7" w:rsidRPr="004E07E7" w:rsidRDefault="004E07E7" w:rsidP="00365F5B">
            <w:pPr>
              <w:pStyle w:val="TableParagraph"/>
              <w:ind w:left="91" w:right="79"/>
              <w:jc w:val="both"/>
              <w:rPr>
                <w:color w:val="000000" w:themeColor="text1"/>
              </w:rPr>
            </w:pPr>
            <w:r w:rsidRPr="004E07E7">
              <w:rPr>
                <w:color w:val="000000"/>
              </w:rPr>
              <w:t>Dealurile Târnavei Mici - Bicheș</w:t>
            </w:r>
          </w:p>
        </w:tc>
      </w:tr>
      <w:tr w:rsidR="004E07E7" w:rsidRPr="004E07E7" w14:paraId="21E4A46D" w14:textId="77777777" w:rsidTr="00993B86">
        <w:trPr>
          <w:trHeight w:val="276"/>
        </w:trPr>
        <w:tc>
          <w:tcPr>
            <w:tcW w:w="3410" w:type="dxa"/>
            <w:vMerge/>
            <w:tcBorders>
              <w:top w:val="nil"/>
            </w:tcBorders>
          </w:tcPr>
          <w:p w14:paraId="2FF69AF6" w14:textId="77777777" w:rsidR="004E07E7" w:rsidRPr="004E07E7" w:rsidRDefault="004E07E7" w:rsidP="00365F5B">
            <w:pPr>
              <w:jc w:val="both"/>
              <w:rPr>
                <w:color w:val="000000" w:themeColor="text1"/>
              </w:rPr>
            </w:pPr>
          </w:p>
        </w:tc>
        <w:tc>
          <w:tcPr>
            <w:tcW w:w="2410" w:type="dxa"/>
            <w:vAlign w:val="bottom"/>
          </w:tcPr>
          <w:p w14:paraId="22A3A683" w14:textId="77777777" w:rsidR="004E07E7" w:rsidRPr="004E07E7" w:rsidRDefault="004E07E7" w:rsidP="00C362D3">
            <w:pPr>
              <w:pStyle w:val="TableParagraph"/>
              <w:ind w:left="93" w:right="87"/>
              <w:jc w:val="both"/>
              <w:rPr>
                <w:color w:val="000000" w:themeColor="text1"/>
              </w:rPr>
            </w:pPr>
            <w:r w:rsidRPr="004E07E7">
              <w:rPr>
                <w:color w:val="000000"/>
              </w:rPr>
              <w:t>ROS</w:t>
            </w:r>
            <w:r w:rsidR="00C362D3">
              <w:rPr>
                <w:color w:val="000000"/>
              </w:rPr>
              <w:t>AC</w:t>
            </w:r>
            <w:r w:rsidRPr="004E07E7">
              <w:rPr>
                <w:color w:val="000000"/>
              </w:rPr>
              <w:t>0298</w:t>
            </w:r>
          </w:p>
        </w:tc>
        <w:tc>
          <w:tcPr>
            <w:tcW w:w="3885" w:type="dxa"/>
            <w:vAlign w:val="bottom"/>
          </w:tcPr>
          <w:p w14:paraId="7B37AC94" w14:textId="77777777" w:rsidR="004E07E7" w:rsidRPr="004E07E7" w:rsidRDefault="004E07E7" w:rsidP="00365F5B">
            <w:pPr>
              <w:pStyle w:val="TableParagraph"/>
              <w:ind w:left="91" w:right="81"/>
              <w:jc w:val="both"/>
              <w:rPr>
                <w:color w:val="000000" w:themeColor="text1"/>
              </w:rPr>
            </w:pPr>
            <w:r w:rsidRPr="004E07E7">
              <w:rPr>
                <w:color w:val="000000"/>
              </w:rPr>
              <w:t>Defileul Crișului Alb</w:t>
            </w:r>
          </w:p>
        </w:tc>
      </w:tr>
      <w:tr w:rsidR="004E07E7" w:rsidRPr="004E07E7" w14:paraId="6033E910" w14:textId="77777777" w:rsidTr="00993B86">
        <w:trPr>
          <w:trHeight w:val="277"/>
        </w:trPr>
        <w:tc>
          <w:tcPr>
            <w:tcW w:w="3410" w:type="dxa"/>
            <w:vMerge/>
            <w:tcBorders>
              <w:top w:val="nil"/>
            </w:tcBorders>
          </w:tcPr>
          <w:p w14:paraId="5B84AA69" w14:textId="77777777" w:rsidR="004E07E7" w:rsidRPr="004E07E7" w:rsidRDefault="004E07E7" w:rsidP="00365F5B">
            <w:pPr>
              <w:jc w:val="both"/>
              <w:rPr>
                <w:color w:val="000000" w:themeColor="text1"/>
              </w:rPr>
            </w:pPr>
          </w:p>
        </w:tc>
        <w:tc>
          <w:tcPr>
            <w:tcW w:w="2410" w:type="dxa"/>
            <w:vAlign w:val="bottom"/>
          </w:tcPr>
          <w:p w14:paraId="0B8A5C8F" w14:textId="77777777" w:rsidR="004E07E7" w:rsidRPr="004E07E7" w:rsidRDefault="004E07E7" w:rsidP="00C362D3">
            <w:pPr>
              <w:pStyle w:val="TableParagraph"/>
              <w:spacing w:line="258" w:lineRule="exact"/>
              <w:ind w:left="93" w:right="87"/>
              <w:jc w:val="both"/>
              <w:rPr>
                <w:color w:val="000000" w:themeColor="text1"/>
              </w:rPr>
            </w:pPr>
            <w:r w:rsidRPr="004E07E7">
              <w:rPr>
                <w:color w:val="000000"/>
              </w:rPr>
              <w:t>ROS</w:t>
            </w:r>
            <w:r w:rsidR="00C362D3">
              <w:rPr>
                <w:color w:val="000000"/>
              </w:rPr>
              <w:t>AC</w:t>
            </w:r>
            <w:r w:rsidRPr="004E07E7">
              <w:rPr>
                <w:color w:val="000000"/>
              </w:rPr>
              <w:t>0300</w:t>
            </w:r>
          </w:p>
        </w:tc>
        <w:tc>
          <w:tcPr>
            <w:tcW w:w="3885" w:type="dxa"/>
            <w:vAlign w:val="bottom"/>
          </w:tcPr>
          <w:p w14:paraId="560D8854" w14:textId="77777777" w:rsidR="004E07E7" w:rsidRPr="004E07E7" w:rsidRDefault="004E07E7" w:rsidP="00365F5B">
            <w:pPr>
              <w:pStyle w:val="TableParagraph"/>
              <w:spacing w:line="258" w:lineRule="exact"/>
              <w:ind w:left="91" w:right="83"/>
              <w:jc w:val="both"/>
              <w:rPr>
                <w:color w:val="000000" w:themeColor="text1"/>
              </w:rPr>
            </w:pPr>
            <w:r w:rsidRPr="004E07E7">
              <w:rPr>
                <w:color w:val="000000"/>
              </w:rPr>
              <w:t>Fânațele Pietroasa - Podeni</w:t>
            </w:r>
          </w:p>
        </w:tc>
      </w:tr>
      <w:tr w:rsidR="004E07E7" w:rsidRPr="004E07E7" w14:paraId="0DB02948" w14:textId="77777777" w:rsidTr="00993B86">
        <w:trPr>
          <w:trHeight w:val="275"/>
        </w:trPr>
        <w:tc>
          <w:tcPr>
            <w:tcW w:w="3410" w:type="dxa"/>
            <w:vMerge/>
            <w:tcBorders>
              <w:top w:val="nil"/>
            </w:tcBorders>
          </w:tcPr>
          <w:p w14:paraId="4280EFE4" w14:textId="77777777" w:rsidR="004E07E7" w:rsidRPr="004E07E7" w:rsidRDefault="004E07E7" w:rsidP="00365F5B">
            <w:pPr>
              <w:jc w:val="both"/>
              <w:rPr>
                <w:color w:val="000000" w:themeColor="text1"/>
              </w:rPr>
            </w:pPr>
          </w:p>
        </w:tc>
        <w:tc>
          <w:tcPr>
            <w:tcW w:w="2410" w:type="dxa"/>
            <w:vAlign w:val="bottom"/>
          </w:tcPr>
          <w:p w14:paraId="677FD8F0" w14:textId="77777777" w:rsidR="004E07E7" w:rsidRPr="004E07E7" w:rsidRDefault="004E07E7" w:rsidP="00365F5B">
            <w:pPr>
              <w:pStyle w:val="TableParagraph"/>
              <w:ind w:left="93" w:right="87"/>
              <w:jc w:val="both"/>
              <w:rPr>
                <w:color w:val="000000" w:themeColor="text1"/>
              </w:rPr>
            </w:pPr>
            <w:r w:rsidRPr="004E07E7">
              <w:rPr>
                <w:color w:val="000000"/>
              </w:rPr>
              <w:t>ROSCI0301</w:t>
            </w:r>
          </w:p>
        </w:tc>
        <w:tc>
          <w:tcPr>
            <w:tcW w:w="3885" w:type="dxa"/>
            <w:vAlign w:val="bottom"/>
          </w:tcPr>
          <w:p w14:paraId="2EB26A99" w14:textId="77777777" w:rsidR="004E07E7" w:rsidRPr="004E07E7" w:rsidRDefault="004E07E7" w:rsidP="00365F5B">
            <w:pPr>
              <w:pStyle w:val="TableParagraph"/>
              <w:ind w:left="91" w:right="80"/>
              <w:jc w:val="both"/>
              <w:rPr>
                <w:color w:val="000000" w:themeColor="text1"/>
              </w:rPr>
            </w:pPr>
            <w:r w:rsidRPr="004E07E7">
              <w:rPr>
                <w:color w:val="000000"/>
              </w:rPr>
              <w:t>Bogata</w:t>
            </w:r>
          </w:p>
        </w:tc>
      </w:tr>
      <w:tr w:rsidR="004E07E7" w:rsidRPr="004E07E7" w14:paraId="22C1CA93" w14:textId="77777777" w:rsidTr="00993B86">
        <w:trPr>
          <w:trHeight w:val="275"/>
        </w:trPr>
        <w:tc>
          <w:tcPr>
            <w:tcW w:w="3410" w:type="dxa"/>
            <w:vMerge/>
            <w:tcBorders>
              <w:top w:val="nil"/>
            </w:tcBorders>
          </w:tcPr>
          <w:p w14:paraId="3A2C5D63" w14:textId="77777777" w:rsidR="004E07E7" w:rsidRPr="004E07E7" w:rsidRDefault="004E07E7" w:rsidP="00365F5B">
            <w:pPr>
              <w:jc w:val="both"/>
              <w:rPr>
                <w:color w:val="000000" w:themeColor="text1"/>
              </w:rPr>
            </w:pPr>
          </w:p>
        </w:tc>
        <w:tc>
          <w:tcPr>
            <w:tcW w:w="2410" w:type="dxa"/>
            <w:vAlign w:val="bottom"/>
          </w:tcPr>
          <w:p w14:paraId="53077B93" w14:textId="77777777" w:rsidR="004E07E7" w:rsidRPr="004E07E7" w:rsidRDefault="004E07E7" w:rsidP="00365F5B">
            <w:pPr>
              <w:pStyle w:val="TableParagraph"/>
              <w:ind w:left="93" w:right="87"/>
              <w:jc w:val="both"/>
              <w:rPr>
                <w:color w:val="000000" w:themeColor="text1"/>
              </w:rPr>
            </w:pPr>
            <w:r w:rsidRPr="004E07E7">
              <w:rPr>
                <w:color w:val="000000"/>
              </w:rPr>
              <w:t>ROSCI0302</w:t>
            </w:r>
          </w:p>
        </w:tc>
        <w:tc>
          <w:tcPr>
            <w:tcW w:w="3885" w:type="dxa"/>
            <w:vAlign w:val="bottom"/>
          </w:tcPr>
          <w:p w14:paraId="611CA3B9" w14:textId="77777777" w:rsidR="004E07E7" w:rsidRPr="004E07E7" w:rsidRDefault="004E07E7" w:rsidP="00365F5B">
            <w:pPr>
              <w:pStyle w:val="TableParagraph"/>
              <w:ind w:left="91" w:right="81"/>
              <w:jc w:val="both"/>
              <w:rPr>
                <w:color w:val="000000" w:themeColor="text1"/>
              </w:rPr>
            </w:pPr>
            <w:r w:rsidRPr="004E07E7">
              <w:rPr>
                <w:color w:val="000000"/>
              </w:rPr>
              <w:t>Bozânta</w:t>
            </w:r>
          </w:p>
        </w:tc>
      </w:tr>
      <w:tr w:rsidR="004E07E7" w:rsidRPr="004E07E7" w14:paraId="0EBAFA15" w14:textId="77777777" w:rsidTr="00993B86">
        <w:trPr>
          <w:trHeight w:val="275"/>
        </w:trPr>
        <w:tc>
          <w:tcPr>
            <w:tcW w:w="3410" w:type="dxa"/>
            <w:vMerge/>
            <w:tcBorders>
              <w:top w:val="nil"/>
            </w:tcBorders>
          </w:tcPr>
          <w:p w14:paraId="7F851F1F" w14:textId="77777777" w:rsidR="004E07E7" w:rsidRPr="004E07E7" w:rsidRDefault="004E07E7" w:rsidP="00365F5B">
            <w:pPr>
              <w:jc w:val="both"/>
              <w:rPr>
                <w:color w:val="000000" w:themeColor="text1"/>
              </w:rPr>
            </w:pPr>
          </w:p>
        </w:tc>
        <w:tc>
          <w:tcPr>
            <w:tcW w:w="2410" w:type="dxa"/>
            <w:vAlign w:val="bottom"/>
          </w:tcPr>
          <w:p w14:paraId="3107F188" w14:textId="77777777" w:rsidR="004E07E7" w:rsidRPr="004E07E7" w:rsidRDefault="004E07E7" w:rsidP="00C362D3">
            <w:pPr>
              <w:pStyle w:val="TableParagraph"/>
              <w:ind w:left="93" w:right="87"/>
              <w:jc w:val="both"/>
              <w:rPr>
                <w:color w:val="000000" w:themeColor="text1"/>
              </w:rPr>
            </w:pPr>
            <w:r w:rsidRPr="004E07E7">
              <w:rPr>
                <w:color w:val="000000"/>
              </w:rPr>
              <w:t>ROS</w:t>
            </w:r>
            <w:r w:rsidR="00C362D3">
              <w:rPr>
                <w:color w:val="000000"/>
              </w:rPr>
              <w:t>AC</w:t>
            </w:r>
            <w:r w:rsidRPr="004E07E7">
              <w:rPr>
                <w:color w:val="000000"/>
              </w:rPr>
              <w:t>0322</w:t>
            </w:r>
          </w:p>
        </w:tc>
        <w:tc>
          <w:tcPr>
            <w:tcW w:w="3885" w:type="dxa"/>
            <w:vAlign w:val="bottom"/>
          </w:tcPr>
          <w:p w14:paraId="18C9BF42" w14:textId="77777777" w:rsidR="004E07E7" w:rsidRPr="004E07E7" w:rsidRDefault="004E07E7" w:rsidP="00365F5B">
            <w:pPr>
              <w:pStyle w:val="TableParagraph"/>
              <w:ind w:left="91" w:right="82"/>
              <w:jc w:val="both"/>
              <w:rPr>
                <w:color w:val="000000" w:themeColor="text1"/>
              </w:rPr>
            </w:pPr>
            <w:r w:rsidRPr="004E07E7">
              <w:rPr>
                <w:color w:val="000000"/>
              </w:rPr>
              <w:t>Muntele Șes</w:t>
            </w:r>
          </w:p>
        </w:tc>
      </w:tr>
      <w:tr w:rsidR="004E07E7" w:rsidRPr="004E07E7" w14:paraId="291B3E8F" w14:textId="77777777" w:rsidTr="00993B86">
        <w:trPr>
          <w:trHeight w:val="275"/>
        </w:trPr>
        <w:tc>
          <w:tcPr>
            <w:tcW w:w="3410" w:type="dxa"/>
            <w:vMerge/>
            <w:tcBorders>
              <w:top w:val="nil"/>
            </w:tcBorders>
          </w:tcPr>
          <w:p w14:paraId="3618A676" w14:textId="77777777" w:rsidR="004E07E7" w:rsidRPr="004E07E7" w:rsidRDefault="004E07E7" w:rsidP="00365F5B">
            <w:pPr>
              <w:jc w:val="both"/>
              <w:rPr>
                <w:color w:val="000000" w:themeColor="text1"/>
              </w:rPr>
            </w:pPr>
          </w:p>
        </w:tc>
        <w:tc>
          <w:tcPr>
            <w:tcW w:w="2410" w:type="dxa"/>
            <w:vAlign w:val="bottom"/>
          </w:tcPr>
          <w:p w14:paraId="6AB6C47F" w14:textId="77777777" w:rsidR="004E07E7" w:rsidRPr="004E07E7" w:rsidRDefault="004E07E7" w:rsidP="00365F5B">
            <w:pPr>
              <w:pStyle w:val="TableParagraph"/>
              <w:ind w:left="93" w:right="87"/>
              <w:jc w:val="both"/>
              <w:rPr>
                <w:color w:val="000000" w:themeColor="text1"/>
              </w:rPr>
            </w:pPr>
            <w:r w:rsidRPr="004E07E7">
              <w:rPr>
                <w:color w:val="000000"/>
              </w:rPr>
              <w:t>ROSCI0323</w:t>
            </w:r>
          </w:p>
        </w:tc>
        <w:tc>
          <w:tcPr>
            <w:tcW w:w="3885" w:type="dxa"/>
            <w:vAlign w:val="bottom"/>
          </w:tcPr>
          <w:p w14:paraId="009D2EDB" w14:textId="77777777" w:rsidR="004E07E7" w:rsidRPr="004E07E7" w:rsidRDefault="004E07E7" w:rsidP="00365F5B">
            <w:pPr>
              <w:pStyle w:val="TableParagraph"/>
              <w:ind w:left="91" w:right="81"/>
              <w:jc w:val="both"/>
              <w:rPr>
                <w:color w:val="000000" w:themeColor="text1"/>
              </w:rPr>
            </w:pPr>
            <w:r w:rsidRPr="004E07E7">
              <w:rPr>
                <w:color w:val="000000"/>
              </w:rPr>
              <w:t>Munții Ciucului</w:t>
            </w:r>
          </w:p>
        </w:tc>
      </w:tr>
      <w:tr w:rsidR="004E07E7" w:rsidRPr="004E07E7" w14:paraId="38B0289B" w14:textId="77777777" w:rsidTr="00993B86">
        <w:trPr>
          <w:trHeight w:val="275"/>
        </w:trPr>
        <w:tc>
          <w:tcPr>
            <w:tcW w:w="3410" w:type="dxa"/>
            <w:vMerge/>
            <w:tcBorders>
              <w:top w:val="nil"/>
            </w:tcBorders>
          </w:tcPr>
          <w:p w14:paraId="153BB3DE" w14:textId="77777777" w:rsidR="004E07E7" w:rsidRPr="004E07E7" w:rsidRDefault="004E07E7" w:rsidP="00365F5B">
            <w:pPr>
              <w:jc w:val="both"/>
              <w:rPr>
                <w:color w:val="000000" w:themeColor="text1"/>
              </w:rPr>
            </w:pPr>
          </w:p>
        </w:tc>
        <w:tc>
          <w:tcPr>
            <w:tcW w:w="2410" w:type="dxa"/>
            <w:vAlign w:val="bottom"/>
          </w:tcPr>
          <w:p w14:paraId="2E70084E" w14:textId="77777777" w:rsidR="004E07E7" w:rsidRPr="004E07E7" w:rsidRDefault="004E07E7" w:rsidP="00C362D3">
            <w:pPr>
              <w:pStyle w:val="TableParagraph"/>
              <w:ind w:left="93" w:right="87"/>
              <w:jc w:val="both"/>
              <w:rPr>
                <w:color w:val="000000" w:themeColor="text1"/>
              </w:rPr>
            </w:pPr>
            <w:r w:rsidRPr="004E07E7">
              <w:rPr>
                <w:color w:val="000000"/>
              </w:rPr>
              <w:t>ROS</w:t>
            </w:r>
            <w:r w:rsidR="00C362D3">
              <w:rPr>
                <w:color w:val="000000"/>
              </w:rPr>
              <w:t>AC</w:t>
            </w:r>
            <w:r w:rsidRPr="004E07E7">
              <w:rPr>
                <w:color w:val="000000"/>
              </w:rPr>
              <w:t>0326</w:t>
            </w:r>
          </w:p>
        </w:tc>
        <w:tc>
          <w:tcPr>
            <w:tcW w:w="3885" w:type="dxa"/>
            <w:vAlign w:val="bottom"/>
          </w:tcPr>
          <w:p w14:paraId="1AFB6075" w14:textId="77777777" w:rsidR="004E07E7" w:rsidRPr="004E07E7" w:rsidRDefault="004E07E7" w:rsidP="00365F5B">
            <w:pPr>
              <w:pStyle w:val="TableParagraph"/>
              <w:ind w:left="91" w:right="85"/>
              <w:jc w:val="both"/>
              <w:rPr>
                <w:color w:val="000000" w:themeColor="text1"/>
              </w:rPr>
            </w:pPr>
            <w:r w:rsidRPr="004E07E7">
              <w:rPr>
                <w:color w:val="000000"/>
              </w:rPr>
              <w:t>Muscelele Argeșului</w:t>
            </w:r>
          </w:p>
        </w:tc>
      </w:tr>
      <w:tr w:rsidR="004E07E7" w:rsidRPr="004E07E7" w14:paraId="5C3E1A3C" w14:textId="77777777" w:rsidTr="00993B86">
        <w:trPr>
          <w:trHeight w:val="277"/>
        </w:trPr>
        <w:tc>
          <w:tcPr>
            <w:tcW w:w="3410" w:type="dxa"/>
            <w:vMerge/>
            <w:tcBorders>
              <w:top w:val="nil"/>
            </w:tcBorders>
          </w:tcPr>
          <w:p w14:paraId="59129810" w14:textId="77777777" w:rsidR="004E07E7" w:rsidRPr="004E07E7" w:rsidRDefault="004E07E7" w:rsidP="00365F5B">
            <w:pPr>
              <w:jc w:val="both"/>
              <w:rPr>
                <w:color w:val="000000" w:themeColor="text1"/>
              </w:rPr>
            </w:pPr>
          </w:p>
        </w:tc>
        <w:tc>
          <w:tcPr>
            <w:tcW w:w="2410" w:type="dxa"/>
            <w:vAlign w:val="bottom"/>
          </w:tcPr>
          <w:p w14:paraId="39608690" w14:textId="77777777" w:rsidR="004E07E7" w:rsidRPr="004E07E7" w:rsidRDefault="004E07E7" w:rsidP="00C362D3">
            <w:pPr>
              <w:pStyle w:val="TableParagraph"/>
              <w:spacing w:line="258" w:lineRule="exact"/>
              <w:ind w:left="93" w:right="87"/>
              <w:jc w:val="both"/>
              <w:rPr>
                <w:color w:val="000000" w:themeColor="text1"/>
              </w:rPr>
            </w:pPr>
            <w:r w:rsidRPr="004E07E7">
              <w:rPr>
                <w:color w:val="000000"/>
              </w:rPr>
              <w:t>ROS</w:t>
            </w:r>
            <w:r w:rsidR="00C362D3">
              <w:rPr>
                <w:color w:val="000000"/>
              </w:rPr>
              <w:t>AC</w:t>
            </w:r>
            <w:r w:rsidRPr="004E07E7">
              <w:rPr>
                <w:color w:val="000000"/>
              </w:rPr>
              <w:t>0344</w:t>
            </w:r>
          </w:p>
        </w:tc>
        <w:tc>
          <w:tcPr>
            <w:tcW w:w="3885" w:type="dxa"/>
            <w:vAlign w:val="bottom"/>
          </w:tcPr>
          <w:p w14:paraId="4717199B" w14:textId="77777777" w:rsidR="004E07E7" w:rsidRPr="004E07E7" w:rsidRDefault="004E07E7" w:rsidP="00365F5B">
            <w:pPr>
              <w:pStyle w:val="TableParagraph"/>
              <w:spacing w:line="258" w:lineRule="exact"/>
              <w:ind w:left="91" w:right="82"/>
              <w:jc w:val="both"/>
              <w:rPr>
                <w:color w:val="000000" w:themeColor="text1"/>
              </w:rPr>
            </w:pPr>
            <w:r w:rsidRPr="004E07E7">
              <w:rPr>
                <w:color w:val="000000"/>
              </w:rPr>
              <w:t>Pădurile din Sudul Piemontului Cândești</w:t>
            </w:r>
          </w:p>
        </w:tc>
      </w:tr>
      <w:tr w:rsidR="004E07E7" w:rsidRPr="004E07E7" w14:paraId="125AC64B" w14:textId="77777777" w:rsidTr="00993B86">
        <w:trPr>
          <w:trHeight w:val="275"/>
        </w:trPr>
        <w:tc>
          <w:tcPr>
            <w:tcW w:w="3410" w:type="dxa"/>
            <w:vMerge/>
            <w:tcBorders>
              <w:top w:val="nil"/>
            </w:tcBorders>
          </w:tcPr>
          <w:p w14:paraId="55816236" w14:textId="77777777" w:rsidR="004E07E7" w:rsidRPr="004E07E7" w:rsidRDefault="004E07E7" w:rsidP="00365F5B">
            <w:pPr>
              <w:jc w:val="both"/>
              <w:rPr>
                <w:color w:val="000000" w:themeColor="text1"/>
              </w:rPr>
            </w:pPr>
          </w:p>
        </w:tc>
        <w:tc>
          <w:tcPr>
            <w:tcW w:w="2410" w:type="dxa"/>
            <w:vAlign w:val="bottom"/>
          </w:tcPr>
          <w:p w14:paraId="5FA19977" w14:textId="77777777" w:rsidR="004E07E7" w:rsidRPr="004E07E7" w:rsidRDefault="004E07E7" w:rsidP="00C362D3">
            <w:pPr>
              <w:pStyle w:val="TableParagraph"/>
              <w:ind w:left="93" w:right="87"/>
              <w:jc w:val="both"/>
              <w:rPr>
                <w:color w:val="000000" w:themeColor="text1"/>
              </w:rPr>
            </w:pPr>
            <w:r w:rsidRPr="004E07E7">
              <w:rPr>
                <w:color w:val="000000"/>
              </w:rPr>
              <w:t>ROS</w:t>
            </w:r>
            <w:r w:rsidR="00C362D3">
              <w:rPr>
                <w:color w:val="000000"/>
              </w:rPr>
              <w:t>AC</w:t>
            </w:r>
            <w:r w:rsidRPr="004E07E7">
              <w:rPr>
                <w:color w:val="000000"/>
              </w:rPr>
              <w:t>0350</w:t>
            </w:r>
          </w:p>
        </w:tc>
        <w:tc>
          <w:tcPr>
            <w:tcW w:w="3885" w:type="dxa"/>
            <w:vAlign w:val="bottom"/>
          </w:tcPr>
          <w:p w14:paraId="558960FE" w14:textId="77777777" w:rsidR="004E07E7" w:rsidRPr="004E07E7" w:rsidRDefault="004E07E7" w:rsidP="00365F5B">
            <w:pPr>
              <w:pStyle w:val="TableParagraph"/>
              <w:ind w:left="91" w:right="84"/>
              <w:jc w:val="both"/>
              <w:rPr>
                <w:color w:val="000000" w:themeColor="text1"/>
              </w:rPr>
            </w:pPr>
            <w:r w:rsidRPr="004E07E7">
              <w:rPr>
                <w:color w:val="000000"/>
              </w:rPr>
              <w:t>Lunca Teuzului</w:t>
            </w:r>
          </w:p>
        </w:tc>
      </w:tr>
      <w:tr w:rsidR="004E07E7" w:rsidRPr="004E07E7" w14:paraId="5BDA138E" w14:textId="77777777" w:rsidTr="00993B86">
        <w:trPr>
          <w:trHeight w:val="275"/>
        </w:trPr>
        <w:tc>
          <w:tcPr>
            <w:tcW w:w="3410" w:type="dxa"/>
            <w:vMerge/>
            <w:tcBorders>
              <w:top w:val="nil"/>
            </w:tcBorders>
          </w:tcPr>
          <w:p w14:paraId="3F75F2CE" w14:textId="77777777" w:rsidR="004E07E7" w:rsidRPr="004E07E7" w:rsidRDefault="004E07E7" w:rsidP="00365F5B">
            <w:pPr>
              <w:jc w:val="both"/>
              <w:rPr>
                <w:color w:val="000000" w:themeColor="text1"/>
              </w:rPr>
            </w:pPr>
          </w:p>
        </w:tc>
        <w:tc>
          <w:tcPr>
            <w:tcW w:w="2410" w:type="dxa"/>
            <w:vAlign w:val="bottom"/>
          </w:tcPr>
          <w:p w14:paraId="2AF08E39" w14:textId="77777777" w:rsidR="004E07E7" w:rsidRPr="004E07E7" w:rsidRDefault="004E07E7" w:rsidP="00C362D3">
            <w:pPr>
              <w:pStyle w:val="TableParagraph"/>
              <w:ind w:left="93" w:right="87"/>
              <w:jc w:val="both"/>
              <w:rPr>
                <w:color w:val="000000"/>
              </w:rPr>
            </w:pPr>
            <w:r w:rsidRPr="004E07E7">
              <w:rPr>
                <w:color w:val="000000"/>
              </w:rPr>
              <w:t>ROS</w:t>
            </w:r>
            <w:r w:rsidR="00C362D3">
              <w:rPr>
                <w:color w:val="000000"/>
              </w:rPr>
              <w:t>AC</w:t>
            </w:r>
            <w:r w:rsidRPr="004E07E7">
              <w:rPr>
                <w:color w:val="000000"/>
              </w:rPr>
              <w:t>0354</w:t>
            </w:r>
          </w:p>
        </w:tc>
        <w:tc>
          <w:tcPr>
            <w:tcW w:w="3885" w:type="dxa"/>
            <w:vAlign w:val="bottom"/>
          </w:tcPr>
          <w:p w14:paraId="698CDBD3" w14:textId="77777777" w:rsidR="004E07E7" w:rsidRPr="004E07E7" w:rsidRDefault="004E07E7" w:rsidP="00365F5B">
            <w:pPr>
              <w:pStyle w:val="TableParagraph"/>
              <w:ind w:left="91" w:right="84"/>
              <w:jc w:val="both"/>
              <w:rPr>
                <w:color w:val="000000"/>
              </w:rPr>
            </w:pPr>
            <w:r w:rsidRPr="004E07E7">
              <w:rPr>
                <w:color w:val="000000"/>
              </w:rPr>
              <w:t>Platforma Cotmeana</w:t>
            </w:r>
          </w:p>
        </w:tc>
      </w:tr>
      <w:tr w:rsidR="004E07E7" w:rsidRPr="004E07E7" w14:paraId="003F90FA" w14:textId="77777777" w:rsidTr="00993B86">
        <w:trPr>
          <w:trHeight w:val="275"/>
        </w:trPr>
        <w:tc>
          <w:tcPr>
            <w:tcW w:w="3410" w:type="dxa"/>
            <w:vMerge/>
            <w:tcBorders>
              <w:top w:val="nil"/>
            </w:tcBorders>
          </w:tcPr>
          <w:p w14:paraId="582D099F" w14:textId="77777777" w:rsidR="004E07E7" w:rsidRPr="004E07E7" w:rsidRDefault="004E07E7" w:rsidP="00365F5B">
            <w:pPr>
              <w:jc w:val="both"/>
              <w:rPr>
                <w:color w:val="000000" w:themeColor="text1"/>
              </w:rPr>
            </w:pPr>
          </w:p>
        </w:tc>
        <w:tc>
          <w:tcPr>
            <w:tcW w:w="2410" w:type="dxa"/>
            <w:vAlign w:val="bottom"/>
          </w:tcPr>
          <w:p w14:paraId="52D70D33" w14:textId="77777777" w:rsidR="004E07E7" w:rsidRPr="004E07E7" w:rsidRDefault="004E07E7" w:rsidP="00C362D3">
            <w:pPr>
              <w:pStyle w:val="TableParagraph"/>
              <w:ind w:left="93" w:right="87"/>
              <w:jc w:val="both"/>
              <w:rPr>
                <w:color w:val="000000"/>
              </w:rPr>
            </w:pPr>
            <w:r w:rsidRPr="004E07E7">
              <w:rPr>
                <w:color w:val="000000"/>
              </w:rPr>
              <w:t>ROS</w:t>
            </w:r>
            <w:r w:rsidR="00C362D3">
              <w:rPr>
                <w:color w:val="000000"/>
              </w:rPr>
              <w:t>AC</w:t>
            </w:r>
            <w:r w:rsidRPr="004E07E7">
              <w:rPr>
                <w:color w:val="000000"/>
              </w:rPr>
              <w:t>0374</w:t>
            </w:r>
          </w:p>
        </w:tc>
        <w:tc>
          <w:tcPr>
            <w:tcW w:w="3885" w:type="dxa"/>
            <w:vAlign w:val="bottom"/>
          </w:tcPr>
          <w:p w14:paraId="1F2241B5" w14:textId="77777777" w:rsidR="004E07E7" w:rsidRPr="004E07E7" w:rsidRDefault="004E07E7" w:rsidP="00365F5B">
            <w:pPr>
              <w:pStyle w:val="TableParagraph"/>
              <w:ind w:left="91" w:right="84"/>
              <w:jc w:val="both"/>
              <w:rPr>
                <w:color w:val="000000"/>
              </w:rPr>
            </w:pPr>
            <w:r w:rsidRPr="004E07E7">
              <w:rPr>
                <w:color w:val="000000"/>
              </w:rPr>
              <w:t>Râul Negru</w:t>
            </w:r>
          </w:p>
        </w:tc>
      </w:tr>
      <w:tr w:rsidR="004E07E7" w:rsidRPr="004E07E7" w14:paraId="59DE375C" w14:textId="77777777" w:rsidTr="00993B86">
        <w:trPr>
          <w:trHeight w:val="275"/>
        </w:trPr>
        <w:tc>
          <w:tcPr>
            <w:tcW w:w="3410" w:type="dxa"/>
            <w:vMerge/>
            <w:tcBorders>
              <w:top w:val="nil"/>
            </w:tcBorders>
          </w:tcPr>
          <w:p w14:paraId="21A98098" w14:textId="77777777" w:rsidR="004E07E7" w:rsidRPr="004E07E7" w:rsidRDefault="004E07E7" w:rsidP="00365F5B">
            <w:pPr>
              <w:jc w:val="both"/>
              <w:rPr>
                <w:color w:val="000000" w:themeColor="text1"/>
              </w:rPr>
            </w:pPr>
          </w:p>
        </w:tc>
        <w:tc>
          <w:tcPr>
            <w:tcW w:w="2410" w:type="dxa"/>
            <w:vAlign w:val="bottom"/>
          </w:tcPr>
          <w:p w14:paraId="7EB6FC6A" w14:textId="77777777" w:rsidR="004E07E7" w:rsidRPr="004E07E7" w:rsidRDefault="004E07E7" w:rsidP="00365F5B">
            <w:pPr>
              <w:pStyle w:val="TableParagraph"/>
              <w:ind w:left="93" w:right="87"/>
              <w:jc w:val="both"/>
              <w:rPr>
                <w:color w:val="000000"/>
              </w:rPr>
            </w:pPr>
            <w:r w:rsidRPr="004E07E7">
              <w:rPr>
                <w:color w:val="000000"/>
              </w:rPr>
              <w:t>ROSCI0424</w:t>
            </w:r>
          </w:p>
        </w:tc>
        <w:tc>
          <w:tcPr>
            <w:tcW w:w="3885" w:type="dxa"/>
            <w:vAlign w:val="bottom"/>
          </w:tcPr>
          <w:p w14:paraId="4CFE7BBF" w14:textId="77777777" w:rsidR="004E07E7" w:rsidRPr="004E07E7" w:rsidRDefault="004E07E7" w:rsidP="00365F5B">
            <w:pPr>
              <w:pStyle w:val="TableParagraph"/>
              <w:ind w:left="91" w:right="84"/>
              <w:jc w:val="both"/>
              <w:rPr>
                <w:color w:val="000000"/>
              </w:rPr>
            </w:pPr>
            <w:r w:rsidRPr="004E07E7">
              <w:rPr>
                <w:color w:val="000000"/>
              </w:rPr>
              <w:t>Pădurea și Lacul Mărgineni</w:t>
            </w:r>
          </w:p>
        </w:tc>
      </w:tr>
      <w:tr w:rsidR="004E07E7" w:rsidRPr="004E07E7" w14:paraId="300C6C96" w14:textId="77777777" w:rsidTr="00993B86">
        <w:trPr>
          <w:trHeight w:val="275"/>
        </w:trPr>
        <w:tc>
          <w:tcPr>
            <w:tcW w:w="3410" w:type="dxa"/>
            <w:vMerge/>
            <w:tcBorders>
              <w:top w:val="nil"/>
            </w:tcBorders>
          </w:tcPr>
          <w:p w14:paraId="3CFEB09E" w14:textId="77777777" w:rsidR="004E07E7" w:rsidRPr="004E07E7" w:rsidRDefault="004E07E7" w:rsidP="00365F5B">
            <w:pPr>
              <w:jc w:val="both"/>
              <w:rPr>
                <w:color w:val="000000" w:themeColor="text1"/>
              </w:rPr>
            </w:pPr>
          </w:p>
        </w:tc>
        <w:tc>
          <w:tcPr>
            <w:tcW w:w="2410" w:type="dxa"/>
            <w:vAlign w:val="bottom"/>
          </w:tcPr>
          <w:p w14:paraId="11CA8254" w14:textId="77777777" w:rsidR="004E07E7" w:rsidRPr="004E07E7" w:rsidRDefault="004E07E7" w:rsidP="00365F5B">
            <w:pPr>
              <w:pStyle w:val="TableParagraph"/>
              <w:ind w:left="93" w:right="87"/>
              <w:jc w:val="both"/>
              <w:rPr>
                <w:color w:val="000000" w:themeColor="text1"/>
              </w:rPr>
            </w:pPr>
            <w:r w:rsidRPr="004E07E7">
              <w:rPr>
                <w:color w:val="000000"/>
              </w:rPr>
              <w:t>ROSCI0427</w:t>
            </w:r>
          </w:p>
        </w:tc>
        <w:tc>
          <w:tcPr>
            <w:tcW w:w="3885" w:type="dxa"/>
            <w:vAlign w:val="bottom"/>
          </w:tcPr>
          <w:p w14:paraId="20F69DB2" w14:textId="77777777" w:rsidR="004E07E7" w:rsidRPr="004E07E7" w:rsidRDefault="004E07E7" w:rsidP="00365F5B">
            <w:pPr>
              <w:pStyle w:val="TableParagraph"/>
              <w:ind w:left="91" w:right="82"/>
              <w:jc w:val="both"/>
              <w:rPr>
                <w:color w:val="000000" w:themeColor="text1"/>
              </w:rPr>
            </w:pPr>
            <w:r w:rsidRPr="004E07E7">
              <w:rPr>
                <w:color w:val="000000"/>
              </w:rPr>
              <w:t>Pajiștile de la Liteni - Săvădisla</w:t>
            </w:r>
          </w:p>
        </w:tc>
      </w:tr>
    </w:tbl>
    <w:p w14:paraId="67AE95CD" w14:textId="77777777" w:rsidR="004E07E7" w:rsidRDefault="004E07E7" w:rsidP="008E33FD">
      <w:pPr>
        <w:spacing w:after="160" w:line="259" w:lineRule="auto"/>
        <w:jc w:val="both"/>
        <w:rPr>
          <w:b/>
          <w:bCs/>
          <w:color w:val="000000" w:themeColor="text1"/>
        </w:rPr>
      </w:pPr>
    </w:p>
    <w:p w14:paraId="2FB5B51C" w14:textId="77777777" w:rsidR="00C509C8" w:rsidRPr="00814C24" w:rsidRDefault="00D54D46" w:rsidP="008E33FD">
      <w:pPr>
        <w:spacing w:after="160" w:line="259" w:lineRule="auto"/>
        <w:jc w:val="both"/>
        <w:rPr>
          <w:color w:val="000000" w:themeColor="text1"/>
        </w:rPr>
      </w:pPr>
      <w:r>
        <w:rPr>
          <w:b/>
          <w:bCs/>
          <w:color w:val="000000" w:themeColor="text1"/>
        </w:rPr>
        <w:t>6.4</w:t>
      </w:r>
      <w:r w:rsidR="00DF0CC0" w:rsidRPr="00C56257">
        <w:rPr>
          <w:b/>
          <w:bCs/>
          <w:color w:val="000000" w:themeColor="text1"/>
        </w:rPr>
        <w:t>. Lista cu presiunile și a</w:t>
      </w:r>
      <w:r w:rsidR="00C509C8" w:rsidRPr="00C56257">
        <w:rPr>
          <w:b/>
          <w:bCs/>
          <w:color w:val="000000" w:themeColor="text1"/>
        </w:rPr>
        <w:t>menințările ce acți</w:t>
      </w:r>
      <w:r w:rsidR="00DF0CC0" w:rsidRPr="00C56257">
        <w:rPr>
          <w:b/>
          <w:bCs/>
          <w:color w:val="000000" w:themeColor="text1"/>
        </w:rPr>
        <w:t xml:space="preserve">onează asupra habitatelor de </w:t>
      </w:r>
      <w:r w:rsidR="00C509C8" w:rsidRPr="00C56257">
        <w:rPr>
          <w:b/>
          <w:bCs/>
          <w:color w:val="000000" w:themeColor="text1"/>
        </w:rPr>
        <w:t>pajiști</w:t>
      </w:r>
      <w:r w:rsidR="00D270C7" w:rsidRPr="00D270C7">
        <w:rPr>
          <w:b/>
          <w:bCs/>
          <w:color w:val="000000" w:themeColor="text1"/>
        </w:rPr>
        <w:t xml:space="preserve"> </w:t>
      </w:r>
      <w:bookmarkStart w:id="33" w:name="_Hlk140138323"/>
      <w:r w:rsidR="00D270C7" w:rsidRPr="00814C24">
        <w:rPr>
          <w:color w:val="000000" w:themeColor="text1"/>
        </w:rPr>
        <w:t xml:space="preserve">poate fi selectată de la următoarea adresa web: </w:t>
      </w:r>
      <w:r>
        <w:fldChar w:fldCharType="begin"/>
      </w:r>
      <w:r>
        <w:instrText>HYPERLINK "https://cdr.eionet.europa.eu/help/habitats_art17"</w:instrText>
      </w:r>
      <w:r>
        <w:fldChar w:fldCharType="separate"/>
      </w:r>
      <w:r w:rsidR="00277E6E" w:rsidRPr="007A20AE">
        <w:rPr>
          <w:rStyle w:val="Hyperlink"/>
        </w:rPr>
        <w:t>https://cdr.eionet.europa.eu/help/habitats_art17</w:t>
      </w:r>
      <w:r>
        <w:rPr>
          <w:rStyle w:val="Hyperlink"/>
        </w:rPr>
        <w:fldChar w:fldCharType="end"/>
      </w:r>
      <w:r w:rsidR="00277E6E">
        <w:rPr>
          <w:color w:val="000000" w:themeColor="text1"/>
        </w:rPr>
        <w:t xml:space="preserve"> </w:t>
      </w:r>
      <w:r w:rsidR="00D270C7" w:rsidRPr="00814C24">
        <w:rPr>
          <w:color w:val="000000" w:themeColor="text1"/>
        </w:rPr>
        <w:t>.</w:t>
      </w:r>
    </w:p>
    <w:bookmarkEnd w:id="33"/>
    <w:p w14:paraId="68F1D2A1" w14:textId="77777777" w:rsidR="00C509C8" w:rsidRPr="00C56257" w:rsidRDefault="00D54D46" w:rsidP="008E33FD">
      <w:pPr>
        <w:spacing w:after="160" w:line="259" w:lineRule="auto"/>
        <w:jc w:val="both"/>
        <w:rPr>
          <w:b/>
          <w:bCs/>
          <w:color w:val="000000" w:themeColor="text1"/>
        </w:rPr>
      </w:pPr>
      <w:r>
        <w:rPr>
          <w:b/>
          <w:bCs/>
          <w:color w:val="000000" w:themeColor="text1"/>
        </w:rPr>
        <w:t>6.5</w:t>
      </w:r>
      <w:r w:rsidR="00DF0CC0" w:rsidRPr="00C56257">
        <w:rPr>
          <w:b/>
          <w:bCs/>
          <w:color w:val="000000" w:themeColor="text1"/>
        </w:rPr>
        <w:t>.  Lista cu m</w:t>
      </w:r>
      <w:r w:rsidR="00C509C8" w:rsidRPr="00C56257">
        <w:rPr>
          <w:b/>
          <w:bCs/>
          <w:color w:val="000000" w:themeColor="text1"/>
        </w:rPr>
        <w:t>ăsurile de conservare ce se pot aplica habitatelor de pajiști</w:t>
      </w:r>
    </w:p>
    <w:p w14:paraId="202A5411" w14:textId="77777777" w:rsidR="00C263E5" w:rsidRPr="00C56257" w:rsidRDefault="00C263E5" w:rsidP="00082644">
      <w:pPr>
        <w:pStyle w:val="BodyText"/>
        <w:ind w:left="0" w:right="249"/>
        <w:jc w:val="both"/>
        <w:rPr>
          <w:color w:val="000000" w:themeColor="text1"/>
          <w:sz w:val="24"/>
          <w:szCs w:val="24"/>
          <w:lang w:val="fr-FR"/>
        </w:rPr>
      </w:pPr>
      <w:proofErr w:type="spellStart"/>
      <w:r w:rsidRPr="00C56257">
        <w:rPr>
          <w:color w:val="000000" w:themeColor="text1"/>
          <w:sz w:val="24"/>
          <w:szCs w:val="24"/>
          <w:lang w:val="fr-FR"/>
        </w:rPr>
        <w:t>Principalul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scop</w:t>
      </w:r>
      <w:proofErr w:type="spellEnd"/>
      <w:r w:rsidRPr="00C56257">
        <w:rPr>
          <w:color w:val="000000" w:themeColor="text1"/>
          <w:sz w:val="24"/>
          <w:szCs w:val="24"/>
          <w:lang w:val="fr-FR"/>
        </w:rPr>
        <w:t xml:space="preserve"> al </w:t>
      </w:r>
      <w:proofErr w:type="spellStart"/>
      <w:r w:rsidRPr="00C56257">
        <w:rPr>
          <w:color w:val="000000" w:themeColor="text1"/>
          <w:sz w:val="24"/>
          <w:szCs w:val="24"/>
          <w:lang w:val="fr-FR"/>
        </w:rPr>
        <w:t>implementării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acestor</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măsuri</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 xml:space="preserve"> are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vedere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menținerea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arealului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actual</w:t>
      </w:r>
      <w:proofErr w:type="spellEnd"/>
      <w:r w:rsidRPr="00C56257">
        <w:rPr>
          <w:color w:val="000000" w:themeColor="text1"/>
          <w:sz w:val="24"/>
          <w:szCs w:val="24"/>
          <w:lang w:val="fr-FR"/>
        </w:rPr>
        <w:t xml:space="preserve"> al </w:t>
      </w:r>
      <w:proofErr w:type="spellStart"/>
      <w:r w:rsidRPr="00C56257">
        <w:rPr>
          <w:color w:val="000000" w:themeColor="text1"/>
          <w:sz w:val="24"/>
          <w:szCs w:val="24"/>
          <w:lang w:val="fr-FR"/>
        </w:rPr>
        <w:t>habitatului</w:t>
      </w:r>
      <w:proofErr w:type="spellEnd"/>
      <w:r w:rsidRPr="00C56257">
        <w:rPr>
          <w:color w:val="000000" w:themeColor="text1"/>
          <w:sz w:val="24"/>
          <w:szCs w:val="24"/>
          <w:lang w:val="fr-FR"/>
        </w:rPr>
        <w:t xml:space="preserve">. Aceste </w:t>
      </w:r>
      <w:proofErr w:type="spellStart"/>
      <w:r w:rsidRPr="00C56257">
        <w:rPr>
          <w:color w:val="000000" w:themeColor="text1"/>
          <w:sz w:val="24"/>
          <w:szCs w:val="24"/>
          <w:lang w:val="fr-FR"/>
        </w:rPr>
        <w:t>informații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despre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măsurile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z w:val="24"/>
          <w:szCs w:val="24"/>
          <w:lang w:val="fr-FR"/>
        </w:rPr>
        <w:t xml:space="preserve"> utile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inclusiv</w:t>
      </w:r>
      <w:proofErr w:type="spellEnd"/>
      <w:r w:rsidRPr="00C56257">
        <w:rPr>
          <w:color w:val="000000" w:themeColor="text1"/>
          <w:sz w:val="24"/>
          <w:szCs w:val="24"/>
          <w:lang w:val="fr-FR"/>
        </w:rPr>
        <w:t xml:space="preserve"> la </w:t>
      </w:r>
      <w:proofErr w:type="spellStart"/>
      <w:r w:rsidRPr="00C56257">
        <w:rPr>
          <w:color w:val="000000" w:themeColor="text1"/>
          <w:sz w:val="24"/>
          <w:szCs w:val="24"/>
          <w:lang w:val="fr-FR"/>
        </w:rPr>
        <w:t>planurile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gestionare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luate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pentru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întreținerea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sau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restabilirea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habitatelor</w:t>
      </w:r>
      <w:proofErr w:type="spellEnd"/>
      <w:r w:rsidRPr="00C56257">
        <w:rPr>
          <w:color w:val="000000" w:themeColor="text1"/>
          <w:sz w:val="24"/>
          <w:szCs w:val="24"/>
          <w:lang w:val="fr-FR"/>
        </w:rPr>
        <w:t xml:space="preserve"> la</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starea</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conservare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favorabilă</w:t>
      </w:r>
      <w:proofErr w:type="spellEnd"/>
      <w:r w:rsidRPr="00C56257">
        <w:rPr>
          <w:color w:val="000000" w:themeColor="text1"/>
          <w:sz w:val="24"/>
          <w:szCs w:val="24"/>
          <w:lang w:val="fr-FR"/>
        </w:rPr>
        <w:t>.</w:t>
      </w:r>
    </w:p>
    <w:p w14:paraId="12E7C108" w14:textId="77777777" w:rsidR="00C263E5" w:rsidRPr="00C56257" w:rsidRDefault="00C263E5" w:rsidP="00082644">
      <w:pPr>
        <w:pStyle w:val="BodyText"/>
        <w:ind w:left="0" w:right="249"/>
        <w:jc w:val="both"/>
        <w:rPr>
          <w:color w:val="000000" w:themeColor="text1"/>
          <w:sz w:val="24"/>
          <w:szCs w:val="24"/>
          <w:lang w:val="fr-FR"/>
        </w:rPr>
      </w:pPr>
    </w:p>
    <w:p w14:paraId="5FE513DD" w14:textId="77777777" w:rsidR="00C263E5" w:rsidRPr="00C56257" w:rsidRDefault="00C263E5" w:rsidP="00082644">
      <w:pPr>
        <w:pStyle w:val="BodyText"/>
        <w:ind w:left="0" w:right="249"/>
        <w:jc w:val="both"/>
        <w:rPr>
          <w:color w:val="000000" w:themeColor="text1"/>
          <w:sz w:val="24"/>
          <w:szCs w:val="24"/>
          <w:lang w:val="fr-FR"/>
        </w:rPr>
      </w:pP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urma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identificării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categoriilor</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presiuni</w:t>
      </w:r>
      <w:proofErr w:type="spellEnd"/>
      <w:r w:rsidRPr="00C56257">
        <w:rPr>
          <w:color w:val="000000" w:themeColor="text1"/>
          <w:sz w:val="24"/>
          <w:szCs w:val="24"/>
          <w:lang w:val="fr-FR"/>
        </w:rPr>
        <w:t xml:space="preserve">, se </w:t>
      </w:r>
      <w:proofErr w:type="spellStart"/>
      <w:r w:rsidRPr="00C56257">
        <w:rPr>
          <w:color w:val="000000" w:themeColor="text1"/>
          <w:sz w:val="24"/>
          <w:szCs w:val="24"/>
          <w:lang w:val="fr-FR"/>
        </w:rPr>
        <w:t>propune</w:t>
      </w:r>
      <w:proofErr w:type="spellEnd"/>
      <w:r w:rsidRPr="00C56257">
        <w:rPr>
          <w:color w:val="000000" w:themeColor="text1"/>
          <w:sz w:val="24"/>
          <w:szCs w:val="24"/>
          <w:lang w:val="fr-FR"/>
        </w:rPr>
        <w:t xml:space="preserve"> un set de </w:t>
      </w:r>
      <w:proofErr w:type="spellStart"/>
      <w:r w:rsidRPr="00C56257">
        <w:rPr>
          <w:color w:val="000000" w:themeColor="text1"/>
          <w:sz w:val="24"/>
          <w:szCs w:val="24"/>
          <w:lang w:val="fr-FR"/>
        </w:rPr>
        <w:t>măsuri</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w:t>
      </w:r>
      <w:proofErr w:type="spellStart"/>
      <w:r w:rsidRPr="00C56257">
        <w:rPr>
          <w:color w:val="000000" w:themeColor="text1"/>
          <w:sz w:val="24"/>
          <w:szCs w:val="24"/>
          <w:lang w:val="fr-FR"/>
        </w:rPr>
        <w:t>generale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particulare</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adaptate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grupului</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habitate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w:t>
      </w:r>
      <w:proofErr w:type="spellStart"/>
      <w:r w:rsidRPr="00C56257">
        <w:rPr>
          <w:color w:val="000000" w:themeColor="text1"/>
          <w:sz w:val="24"/>
          <w:szCs w:val="24"/>
          <w:lang w:val="fr-FR"/>
        </w:rPr>
        <w:t>vezi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tabelul</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r w:rsidRPr="00C56257">
        <w:rPr>
          <w:color w:val="000000" w:themeColor="text1"/>
          <w:sz w:val="24"/>
          <w:szCs w:val="24"/>
          <w:lang w:val="fr-FR"/>
        </w:rPr>
        <w:t xml:space="preserve">mai </w:t>
      </w:r>
      <w:proofErr w:type="spellStart"/>
      <w:r w:rsidRPr="00C56257">
        <w:rPr>
          <w:color w:val="000000" w:themeColor="text1"/>
          <w:sz w:val="24"/>
          <w:szCs w:val="24"/>
          <w:lang w:val="fr-FR"/>
        </w:rPr>
        <w:t>jos</w:t>
      </w:r>
      <w:proofErr w:type="spellEnd"/>
      <w:r w:rsidRPr="00C56257">
        <w:rPr>
          <w:color w:val="000000" w:themeColor="text1"/>
          <w:sz w:val="24"/>
          <w:szCs w:val="24"/>
          <w:lang w:val="fr-FR"/>
        </w:rPr>
        <w:t>).</w:t>
      </w:r>
    </w:p>
    <w:p w14:paraId="7237FBD2" w14:textId="77777777" w:rsidR="00C263E5" w:rsidRPr="00C56257" w:rsidRDefault="00C263E5" w:rsidP="008E33FD">
      <w:pPr>
        <w:pStyle w:val="BodyText"/>
        <w:jc w:val="both"/>
        <w:rPr>
          <w:color w:val="000000" w:themeColor="text1"/>
          <w:sz w:val="24"/>
          <w:szCs w:val="24"/>
          <w:lang w:val="fr-FR"/>
        </w:rPr>
      </w:pPr>
    </w:p>
    <w:p w14:paraId="68C48EC3" w14:textId="77777777" w:rsidR="00C263E5" w:rsidRPr="00C56257" w:rsidRDefault="00C263E5" w:rsidP="008E33FD">
      <w:pPr>
        <w:pStyle w:val="BodyText"/>
        <w:spacing w:before="4"/>
        <w:jc w:val="both"/>
        <w:rPr>
          <w:color w:val="000000" w:themeColor="text1"/>
          <w:sz w:val="24"/>
          <w:szCs w:val="24"/>
          <w:lang w:val="fr-FR"/>
        </w:rPr>
      </w:pPr>
    </w:p>
    <w:tbl>
      <w:tblPr>
        <w:tblW w:w="9898" w:type="dxa"/>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8"/>
        <w:gridCol w:w="744"/>
        <w:gridCol w:w="2187"/>
        <w:gridCol w:w="4729"/>
        <w:gridCol w:w="1710"/>
      </w:tblGrid>
      <w:tr w:rsidR="00FC65BA" w:rsidRPr="00C56257" w14:paraId="3B3A537D" w14:textId="77777777" w:rsidTr="00FC65BA">
        <w:trPr>
          <w:trHeight w:val="1012"/>
        </w:trPr>
        <w:tc>
          <w:tcPr>
            <w:tcW w:w="528" w:type="dxa"/>
            <w:shd w:val="clear" w:color="auto" w:fill="8DB4E2"/>
          </w:tcPr>
          <w:p w14:paraId="57A5C932" w14:textId="77777777" w:rsidR="00FC65BA" w:rsidRPr="00C56257" w:rsidRDefault="00FC65BA" w:rsidP="008E33FD">
            <w:pPr>
              <w:pStyle w:val="TableParagraph"/>
              <w:spacing w:line="251" w:lineRule="exact"/>
              <w:ind w:left="87" w:right="78"/>
              <w:jc w:val="both"/>
              <w:rPr>
                <w:b/>
                <w:color w:val="000000" w:themeColor="text1"/>
                <w:sz w:val="24"/>
                <w:szCs w:val="24"/>
              </w:rPr>
            </w:pPr>
            <w:r w:rsidRPr="00C56257">
              <w:rPr>
                <w:b/>
                <w:color w:val="000000" w:themeColor="text1"/>
                <w:sz w:val="24"/>
                <w:szCs w:val="24"/>
              </w:rPr>
              <w:t>Nr.</w:t>
            </w:r>
          </w:p>
        </w:tc>
        <w:tc>
          <w:tcPr>
            <w:tcW w:w="744" w:type="dxa"/>
            <w:shd w:val="clear" w:color="auto" w:fill="8DB4E2"/>
          </w:tcPr>
          <w:p w14:paraId="0E2474C2" w14:textId="77777777" w:rsidR="00FC65BA" w:rsidRPr="00C56257" w:rsidRDefault="00FC65BA" w:rsidP="008E33FD">
            <w:pPr>
              <w:pStyle w:val="TableParagraph"/>
              <w:spacing w:line="251" w:lineRule="exact"/>
              <w:ind w:left="87" w:right="80"/>
              <w:jc w:val="both"/>
              <w:rPr>
                <w:b/>
                <w:color w:val="000000" w:themeColor="text1"/>
                <w:sz w:val="24"/>
                <w:szCs w:val="24"/>
              </w:rPr>
            </w:pPr>
            <w:r w:rsidRPr="00C56257">
              <w:rPr>
                <w:b/>
                <w:color w:val="000000" w:themeColor="text1"/>
                <w:sz w:val="24"/>
                <w:szCs w:val="24"/>
              </w:rPr>
              <w:t>Cod</w:t>
            </w:r>
          </w:p>
        </w:tc>
        <w:tc>
          <w:tcPr>
            <w:tcW w:w="2187" w:type="dxa"/>
            <w:shd w:val="clear" w:color="auto" w:fill="8DB4E2"/>
          </w:tcPr>
          <w:p w14:paraId="279FF80A" w14:textId="77777777" w:rsidR="00FC65BA" w:rsidRPr="00C56257" w:rsidRDefault="00FC65BA" w:rsidP="00D54D46">
            <w:pPr>
              <w:pStyle w:val="TableParagraph"/>
              <w:ind w:left="166" w:right="552" w:firstLine="31"/>
              <w:jc w:val="both"/>
              <w:rPr>
                <w:b/>
                <w:color w:val="000000" w:themeColor="text1"/>
                <w:sz w:val="24"/>
                <w:szCs w:val="24"/>
              </w:rPr>
            </w:pPr>
            <w:r w:rsidRPr="00C56257">
              <w:rPr>
                <w:b/>
                <w:color w:val="000000" w:themeColor="text1"/>
                <w:sz w:val="24"/>
                <w:szCs w:val="24"/>
              </w:rPr>
              <w:t>Măsuri de</w:t>
            </w:r>
            <w:r w:rsidRPr="00C56257">
              <w:rPr>
                <w:b/>
                <w:color w:val="000000" w:themeColor="text1"/>
                <w:spacing w:val="-52"/>
                <w:sz w:val="24"/>
                <w:szCs w:val="24"/>
              </w:rPr>
              <w:t xml:space="preserve"> </w:t>
            </w:r>
            <w:r w:rsidRPr="00C56257">
              <w:rPr>
                <w:b/>
                <w:color w:val="000000" w:themeColor="text1"/>
                <w:sz w:val="24"/>
                <w:szCs w:val="24"/>
              </w:rPr>
              <w:t>conservare</w:t>
            </w:r>
          </w:p>
        </w:tc>
        <w:tc>
          <w:tcPr>
            <w:tcW w:w="4729" w:type="dxa"/>
            <w:shd w:val="clear" w:color="auto" w:fill="8DB4E2"/>
          </w:tcPr>
          <w:p w14:paraId="3EFB6F00" w14:textId="77777777" w:rsidR="00FC65BA" w:rsidRPr="00C56257" w:rsidRDefault="00FC65BA" w:rsidP="00D54D46">
            <w:pPr>
              <w:pStyle w:val="TableParagraph"/>
              <w:spacing w:line="251" w:lineRule="exact"/>
              <w:ind w:left="949" w:right="1407"/>
              <w:jc w:val="both"/>
              <w:rPr>
                <w:b/>
                <w:color w:val="000000" w:themeColor="text1"/>
                <w:sz w:val="24"/>
                <w:szCs w:val="24"/>
              </w:rPr>
            </w:pPr>
            <w:r w:rsidRPr="00C56257">
              <w:rPr>
                <w:b/>
                <w:color w:val="000000" w:themeColor="text1"/>
                <w:sz w:val="24"/>
                <w:szCs w:val="24"/>
              </w:rPr>
              <w:t>Descriere</w:t>
            </w:r>
          </w:p>
        </w:tc>
        <w:tc>
          <w:tcPr>
            <w:tcW w:w="1710" w:type="dxa"/>
            <w:shd w:val="clear" w:color="auto" w:fill="8DB3E1"/>
          </w:tcPr>
          <w:p w14:paraId="4EDE24E5" w14:textId="77777777" w:rsidR="00FC65BA" w:rsidRPr="00C56257" w:rsidRDefault="00FC65BA" w:rsidP="008E33FD">
            <w:pPr>
              <w:pStyle w:val="TableParagraph"/>
              <w:ind w:left="110" w:right="102"/>
              <w:jc w:val="both"/>
              <w:rPr>
                <w:b/>
                <w:color w:val="000000" w:themeColor="text1"/>
                <w:sz w:val="24"/>
                <w:szCs w:val="24"/>
              </w:rPr>
            </w:pPr>
            <w:r w:rsidRPr="00C56257">
              <w:rPr>
                <w:b/>
                <w:color w:val="000000" w:themeColor="text1"/>
                <w:sz w:val="24"/>
                <w:szCs w:val="24"/>
              </w:rPr>
              <w:t>Principalele</w:t>
            </w:r>
            <w:r w:rsidRPr="00C56257">
              <w:rPr>
                <w:b/>
                <w:color w:val="000000" w:themeColor="text1"/>
                <w:spacing w:val="-53"/>
                <w:sz w:val="24"/>
                <w:szCs w:val="24"/>
              </w:rPr>
              <w:t xml:space="preserve"> </w:t>
            </w:r>
            <w:r w:rsidRPr="00C56257">
              <w:rPr>
                <w:b/>
                <w:color w:val="000000" w:themeColor="text1"/>
                <w:sz w:val="24"/>
                <w:szCs w:val="24"/>
              </w:rPr>
              <w:t>presiuni</w:t>
            </w:r>
            <w:r w:rsidRPr="00C56257">
              <w:rPr>
                <w:b/>
                <w:color w:val="000000" w:themeColor="text1"/>
                <w:spacing w:val="1"/>
                <w:sz w:val="24"/>
                <w:szCs w:val="24"/>
              </w:rPr>
              <w:t xml:space="preserve"> </w:t>
            </w:r>
            <w:r w:rsidRPr="00C56257">
              <w:rPr>
                <w:b/>
                <w:color w:val="000000" w:themeColor="text1"/>
                <w:sz w:val="24"/>
                <w:szCs w:val="24"/>
              </w:rPr>
              <w:t>abordate</w:t>
            </w:r>
          </w:p>
        </w:tc>
      </w:tr>
      <w:tr w:rsidR="00FC65BA" w:rsidRPr="00C56257" w14:paraId="497AFF1F" w14:textId="77777777" w:rsidTr="00FC65BA">
        <w:trPr>
          <w:trHeight w:val="4444"/>
        </w:trPr>
        <w:tc>
          <w:tcPr>
            <w:tcW w:w="528" w:type="dxa"/>
          </w:tcPr>
          <w:p w14:paraId="47A1A446" w14:textId="77777777" w:rsidR="00FC65BA" w:rsidRPr="00C56257" w:rsidRDefault="00FC65BA" w:rsidP="008E33FD">
            <w:pPr>
              <w:pStyle w:val="TableParagraph"/>
              <w:spacing w:line="247" w:lineRule="exact"/>
              <w:ind w:left="87" w:right="221"/>
              <w:jc w:val="both"/>
              <w:rPr>
                <w:color w:val="000000" w:themeColor="text1"/>
                <w:sz w:val="24"/>
                <w:szCs w:val="24"/>
              </w:rPr>
            </w:pPr>
            <w:r w:rsidRPr="00C56257">
              <w:rPr>
                <w:color w:val="000000" w:themeColor="text1"/>
                <w:sz w:val="24"/>
                <w:szCs w:val="24"/>
              </w:rPr>
              <w:t>1.</w:t>
            </w:r>
          </w:p>
        </w:tc>
        <w:tc>
          <w:tcPr>
            <w:tcW w:w="744" w:type="dxa"/>
          </w:tcPr>
          <w:p w14:paraId="1F27DE4F" w14:textId="77777777" w:rsidR="00FC65BA" w:rsidRPr="00C56257" w:rsidRDefault="00FC65BA" w:rsidP="008E33FD">
            <w:pPr>
              <w:pStyle w:val="TableParagraph"/>
              <w:spacing w:line="247" w:lineRule="exact"/>
              <w:ind w:left="87" w:right="80"/>
              <w:jc w:val="both"/>
              <w:rPr>
                <w:color w:val="000000" w:themeColor="text1"/>
                <w:sz w:val="24"/>
                <w:szCs w:val="24"/>
              </w:rPr>
            </w:pPr>
            <w:r w:rsidRPr="00C56257">
              <w:rPr>
                <w:color w:val="000000" w:themeColor="text1"/>
                <w:sz w:val="24"/>
                <w:szCs w:val="24"/>
              </w:rPr>
              <w:t>CA09</w:t>
            </w:r>
          </w:p>
        </w:tc>
        <w:tc>
          <w:tcPr>
            <w:tcW w:w="2187" w:type="dxa"/>
          </w:tcPr>
          <w:p w14:paraId="57883E1C" w14:textId="77777777" w:rsidR="00FC65BA" w:rsidRPr="00C56257" w:rsidRDefault="00FC65BA" w:rsidP="008E33FD">
            <w:pPr>
              <w:pStyle w:val="TableParagraph"/>
              <w:ind w:right="229"/>
              <w:jc w:val="both"/>
              <w:rPr>
                <w:color w:val="000000" w:themeColor="text1"/>
                <w:sz w:val="24"/>
                <w:szCs w:val="24"/>
              </w:rPr>
            </w:pPr>
            <w:r w:rsidRPr="00C56257">
              <w:rPr>
                <w:color w:val="000000" w:themeColor="text1"/>
                <w:sz w:val="24"/>
                <w:szCs w:val="24"/>
              </w:rPr>
              <w:t>Gestionarea,</w:t>
            </w:r>
            <w:r w:rsidRPr="00C56257">
              <w:rPr>
                <w:color w:val="000000" w:themeColor="text1"/>
                <w:spacing w:val="1"/>
                <w:sz w:val="24"/>
                <w:szCs w:val="24"/>
              </w:rPr>
              <w:t xml:space="preserve"> </w:t>
            </w:r>
            <w:r w:rsidRPr="00C56257">
              <w:rPr>
                <w:color w:val="000000" w:themeColor="text1"/>
                <w:sz w:val="24"/>
                <w:szCs w:val="24"/>
              </w:rPr>
              <w:t>utilizarea</w:t>
            </w:r>
            <w:r w:rsidRPr="00C56257">
              <w:rPr>
                <w:color w:val="000000" w:themeColor="text1"/>
                <w:spacing w:val="1"/>
                <w:sz w:val="24"/>
                <w:szCs w:val="24"/>
              </w:rPr>
              <w:t xml:space="preserve"> </w:t>
            </w:r>
            <w:r w:rsidRPr="00C56257">
              <w:rPr>
                <w:color w:val="000000" w:themeColor="text1"/>
                <w:sz w:val="24"/>
                <w:szCs w:val="24"/>
              </w:rPr>
              <w:t>îngrășămintelor</w:t>
            </w:r>
            <w:r w:rsidRPr="00C56257">
              <w:rPr>
                <w:color w:val="000000" w:themeColor="text1"/>
                <w:spacing w:val="1"/>
                <w:sz w:val="24"/>
                <w:szCs w:val="24"/>
              </w:rPr>
              <w:t xml:space="preserve"> </w:t>
            </w:r>
            <w:r w:rsidRPr="00C56257">
              <w:rPr>
                <w:color w:val="000000" w:themeColor="text1"/>
                <w:sz w:val="24"/>
                <w:szCs w:val="24"/>
              </w:rPr>
              <w:t>naturale</w:t>
            </w:r>
            <w:r w:rsidRPr="00C56257">
              <w:rPr>
                <w:color w:val="000000" w:themeColor="text1"/>
                <w:spacing w:val="-1"/>
                <w:sz w:val="24"/>
                <w:szCs w:val="24"/>
              </w:rPr>
              <w:t xml:space="preserve"> </w:t>
            </w:r>
            <w:r w:rsidRPr="00C56257">
              <w:rPr>
                <w:color w:val="000000" w:themeColor="text1"/>
                <w:sz w:val="24"/>
                <w:szCs w:val="24"/>
              </w:rPr>
              <w:t>și</w:t>
            </w:r>
            <w:r w:rsidRPr="00C56257">
              <w:rPr>
                <w:color w:val="000000" w:themeColor="text1"/>
                <w:spacing w:val="1"/>
                <w:sz w:val="24"/>
                <w:szCs w:val="24"/>
              </w:rPr>
              <w:t xml:space="preserve"> </w:t>
            </w:r>
            <w:r w:rsidRPr="00C56257">
              <w:rPr>
                <w:color w:val="000000" w:themeColor="text1"/>
                <w:sz w:val="24"/>
                <w:szCs w:val="24"/>
              </w:rPr>
              <w:t>a</w:t>
            </w:r>
            <w:r w:rsidRPr="00C56257">
              <w:rPr>
                <w:color w:val="000000" w:themeColor="text1"/>
                <w:spacing w:val="1"/>
                <w:sz w:val="24"/>
                <w:szCs w:val="24"/>
              </w:rPr>
              <w:t xml:space="preserve"> </w:t>
            </w:r>
            <w:r w:rsidRPr="00C56257">
              <w:rPr>
                <w:color w:val="000000" w:themeColor="text1"/>
                <w:sz w:val="24"/>
                <w:szCs w:val="24"/>
              </w:rPr>
              <w:t>substanțelor chimice</w:t>
            </w:r>
            <w:r w:rsidRPr="00C56257">
              <w:rPr>
                <w:color w:val="000000" w:themeColor="text1"/>
                <w:spacing w:val="-52"/>
                <w:sz w:val="24"/>
                <w:szCs w:val="24"/>
              </w:rPr>
              <w:t xml:space="preserve"> </w:t>
            </w:r>
            <w:r w:rsidRPr="00C56257">
              <w:rPr>
                <w:color w:val="000000" w:themeColor="text1"/>
                <w:sz w:val="24"/>
                <w:szCs w:val="24"/>
              </w:rPr>
              <w:t>în producția agricolă</w:t>
            </w:r>
            <w:r w:rsidRPr="00C56257">
              <w:rPr>
                <w:color w:val="000000" w:themeColor="text1"/>
                <w:spacing w:val="-52"/>
                <w:sz w:val="24"/>
                <w:szCs w:val="24"/>
              </w:rPr>
              <w:t xml:space="preserve"> </w:t>
            </w:r>
            <w:r w:rsidRPr="00C56257">
              <w:rPr>
                <w:color w:val="000000" w:themeColor="text1"/>
                <w:sz w:val="24"/>
                <w:szCs w:val="24"/>
              </w:rPr>
              <w:t>(vegetală</w:t>
            </w:r>
            <w:r w:rsidRPr="00C56257">
              <w:rPr>
                <w:color w:val="000000" w:themeColor="text1"/>
                <w:spacing w:val="-8"/>
                <w:sz w:val="24"/>
                <w:szCs w:val="24"/>
              </w:rPr>
              <w:t xml:space="preserve"> </w:t>
            </w:r>
            <w:r w:rsidRPr="00C56257">
              <w:rPr>
                <w:color w:val="000000" w:themeColor="text1"/>
                <w:sz w:val="24"/>
                <w:szCs w:val="24"/>
              </w:rPr>
              <w:t>și</w:t>
            </w:r>
            <w:r w:rsidRPr="00C56257">
              <w:rPr>
                <w:color w:val="000000" w:themeColor="text1"/>
                <w:spacing w:val="-6"/>
                <w:sz w:val="24"/>
                <w:szCs w:val="24"/>
              </w:rPr>
              <w:t xml:space="preserve"> </w:t>
            </w:r>
            <w:r w:rsidRPr="00C56257">
              <w:rPr>
                <w:color w:val="000000" w:themeColor="text1"/>
                <w:sz w:val="24"/>
                <w:szCs w:val="24"/>
              </w:rPr>
              <w:t>animală)</w:t>
            </w:r>
          </w:p>
        </w:tc>
        <w:tc>
          <w:tcPr>
            <w:tcW w:w="4729" w:type="dxa"/>
          </w:tcPr>
          <w:p w14:paraId="20C3A7F8" w14:textId="77777777" w:rsidR="00FC65BA" w:rsidRPr="00C56257" w:rsidRDefault="00FC65BA" w:rsidP="008E33FD">
            <w:pPr>
              <w:pStyle w:val="TableParagraph"/>
              <w:spacing w:line="242" w:lineRule="auto"/>
              <w:ind w:right="201"/>
              <w:jc w:val="both"/>
              <w:rPr>
                <w:color w:val="000000" w:themeColor="text1"/>
                <w:sz w:val="24"/>
                <w:szCs w:val="24"/>
              </w:rPr>
            </w:pPr>
            <w:r w:rsidRPr="00C56257">
              <w:rPr>
                <w:color w:val="000000" w:themeColor="text1"/>
                <w:sz w:val="24"/>
                <w:szCs w:val="24"/>
              </w:rPr>
              <w:t>Gestionarea</w:t>
            </w:r>
            <w:r w:rsidRPr="00C56257">
              <w:rPr>
                <w:color w:val="000000" w:themeColor="text1"/>
                <w:spacing w:val="-4"/>
                <w:sz w:val="24"/>
                <w:szCs w:val="24"/>
              </w:rPr>
              <w:t xml:space="preserve"> </w:t>
            </w:r>
            <w:r w:rsidRPr="00C56257">
              <w:rPr>
                <w:color w:val="000000" w:themeColor="text1"/>
                <w:sz w:val="24"/>
                <w:szCs w:val="24"/>
              </w:rPr>
              <w:t>(reducerea</w:t>
            </w:r>
            <w:r w:rsidRPr="00C56257">
              <w:rPr>
                <w:color w:val="000000" w:themeColor="text1"/>
                <w:spacing w:val="-2"/>
                <w:sz w:val="24"/>
                <w:szCs w:val="24"/>
              </w:rPr>
              <w:t xml:space="preserve"> </w:t>
            </w:r>
            <w:r w:rsidRPr="00C56257">
              <w:rPr>
                <w:color w:val="000000" w:themeColor="text1"/>
                <w:sz w:val="24"/>
                <w:szCs w:val="24"/>
              </w:rPr>
              <w:t>sau</w:t>
            </w:r>
            <w:r w:rsidRPr="00C56257">
              <w:rPr>
                <w:color w:val="000000" w:themeColor="text1"/>
                <w:spacing w:val="-7"/>
                <w:sz w:val="24"/>
                <w:szCs w:val="24"/>
              </w:rPr>
              <w:t xml:space="preserve"> </w:t>
            </w:r>
            <w:r w:rsidRPr="00C56257">
              <w:rPr>
                <w:color w:val="000000" w:themeColor="text1"/>
                <w:sz w:val="24"/>
                <w:szCs w:val="24"/>
              </w:rPr>
              <w:t>eliminarea)</w:t>
            </w:r>
            <w:r w:rsidRPr="00C56257">
              <w:rPr>
                <w:color w:val="000000" w:themeColor="text1"/>
                <w:spacing w:val="-52"/>
                <w:sz w:val="24"/>
                <w:szCs w:val="24"/>
              </w:rPr>
              <w:t xml:space="preserve"> </w:t>
            </w:r>
            <w:r w:rsidRPr="00C56257">
              <w:rPr>
                <w:color w:val="000000" w:themeColor="text1"/>
                <w:sz w:val="24"/>
                <w:szCs w:val="24"/>
              </w:rPr>
              <w:t>utilizării:</w:t>
            </w:r>
          </w:p>
          <w:p w14:paraId="0D0F88DF" w14:textId="77777777" w:rsidR="00FC65BA" w:rsidRPr="00C56257" w:rsidRDefault="00FC65BA" w:rsidP="009E63E5">
            <w:pPr>
              <w:pStyle w:val="TableParagraph"/>
              <w:numPr>
                <w:ilvl w:val="0"/>
                <w:numId w:val="121"/>
              </w:numPr>
              <w:tabs>
                <w:tab w:val="left" w:pos="233"/>
              </w:tabs>
              <w:ind w:right="295" w:firstLine="0"/>
              <w:jc w:val="both"/>
              <w:rPr>
                <w:color w:val="000000" w:themeColor="text1"/>
                <w:sz w:val="24"/>
                <w:szCs w:val="24"/>
              </w:rPr>
            </w:pPr>
            <w:r w:rsidRPr="00C56257">
              <w:rPr>
                <w:color w:val="000000" w:themeColor="text1"/>
                <w:sz w:val="24"/>
                <w:szCs w:val="24"/>
              </w:rPr>
              <w:t>îngrășăminte (de exemplu, minerale,</w:t>
            </w:r>
            <w:r w:rsidRPr="00C56257">
              <w:rPr>
                <w:color w:val="000000" w:themeColor="text1"/>
                <w:spacing w:val="-52"/>
                <w:sz w:val="24"/>
                <w:szCs w:val="24"/>
              </w:rPr>
              <w:t xml:space="preserve"> </w:t>
            </w:r>
            <w:r w:rsidRPr="00C56257">
              <w:rPr>
                <w:color w:val="000000" w:themeColor="text1"/>
                <w:sz w:val="24"/>
                <w:szCs w:val="24"/>
              </w:rPr>
              <w:t>gunoi de</w:t>
            </w:r>
            <w:r w:rsidRPr="00C56257">
              <w:rPr>
                <w:color w:val="000000" w:themeColor="text1"/>
                <w:spacing w:val="-1"/>
                <w:sz w:val="24"/>
                <w:szCs w:val="24"/>
              </w:rPr>
              <w:t xml:space="preserve"> </w:t>
            </w:r>
            <w:r w:rsidRPr="00C56257">
              <w:rPr>
                <w:color w:val="000000" w:themeColor="text1"/>
                <w:sz w:val="24"/>
                <w:szCs w:val="24"/>
              </w:rPr>
              <w:t>grajd,</w:t>
            </w:r>
            <w:r w:rsidRPr="00C56257">
              <w:rPr>
                <w:color w:val="000000" w:themeColor="text1"/>
                <w:spacing w:val="-1"/>
                <w:sz w:val="24"/>
                <w:szCs w:val="24"/>
              </w:rPr>
              <w:t xml:space="preserve"> </w:t>
            </w:r>
            <w:r w:rsidRPr="00C56257">
              <w:rPr>
                <w:color w:val="000000" w:themeColor="text1"/>
                <w:sz w:val="24"/>
                <w:szCs w:val="24"/>
              </w:rPr>
              <w:t>nămol</w:t>
            </w:r>
            <w:r w:rsidRPr="00C56257">
              <w:rPr>
                <w:color w:val="000000" w:themeColor="text1"/>
                <w:spacing w:val="1"/>
                <w:sz w:val="24"/>
                <w:szCs w:val="24"/>
              </w:rPr>
              <w:t xml:space="preserve"> </w:t>
            </w:r>
            <w:r w:rsidRPr="00C56257">
              <w:rPr>
                <w:color w:val="000000" w:themeColor="text1"/>
                <w:sz w:val="24"/>
                <w:szCs w:val="24"/>
              </w:rPr>
              <w:t>biologic)</w:t>
            </w:r>
          </w:p>
          <w:p w14:paraId="28029A32" w14:textId="77777777" w:rsidR="00FC65BA" w:rsidRPr="00C56257" w:rsidRDefault="00FC65BA" w:rsidP="009E63E5">
            <w:pPr>
              <w:pStyle w:val="TableParagraph"/>
              <w:numPr>
                <w:ilvl w:val="0"/>
                <w:numId w:val="121"/>
              </w:numPr>
              <w:tabs>
                <w:tab w:val="left" w:pos="233"/>
              </w:tabs>
              <w:ind w:right="100" w:firstLine="0"/>
              <w:jc w:val="both"/>
              <w:rPr>
                <w:color w:val="000000" w:themeColor="text1"/>
                <w:sz w:val="24"/>
                <w:szCs w:val="24"/>
              </w:rPr>
            </w:pPr>
            <w:r w:rsidRPr="00C56257">
              <w:rPr>
                <w:color w:val="000000" w:themeColor="text1"/>
                <w:sz w:val="24"/>
                <w:szCs w:val="24"/>
              </w:rPr>
              <w:t>pesticide, fungicide, tratarea de</w:t>
            </w:r>
            <w:r w:rsidRPr="00C56257">
              <w:rPr>
                <w:color w:val="000000" w:themeColor="text1"/>
                <w:spacing w:val="1"/>
                <w:sz w:val="24"/>
                <w:szCs w:val="24"/>
              </w:rPr>
              <w:t xml:space="preserve"> </w:t>
            </w:r>
            <w:r w:rsidRPr="00C56257">
              <w:rPr>
                <w:color w:val="000000" w:themeColor="text1"/>
                <w:sz w:val="24"/>
                <w:szCs w:val="24"/>
              </w:rPr>
              <w:t>semințelor, erbicide, agenți de întârziere</w:t>
            </w:r>
            <w:r w:rsidRPr="00C56257">
              <w:rPr>
                <w:color w:val="000000" w:themeColor="text1"/>
                <w:spacing w:val="-52"/>
                <w:sz w:val="24"/>
                <w:szCs w:val="24"/>
              </w:rPr>
              <w:t xml:space="preserve"> </w:t>
            </w:r>
            <w:r w:rsidRPr="00C56257">
              <w:rPr>
                <w:color w:val="000000" w:themeColor="text1"/>
                <w:sz w:val="24"/>
                <w:szCs w:val="24"/>
              </w:rPr>
              <w:t>a creșterii, hormoni și alte substanțe</w:t>
            </w:r>
            <w:r w:rsidRPr="00C56257">
              <w:rPr>
                <w:color w:val="000000" w:themeColor="text1"/>
                <w:spacing w:val="1"/>
                <w:sz w:val="24"/>
                <w:szCs w:val="24"/>
              </w:rPr>
              <w:t xml:space="preserve"> </w:t>
            </w:r>
            <w:r w:rsidRPr="00C56257">
              <w:rPr>
                <w:color w:val="000000" w:themeColor="text1"/>
                <w:sz w:val="24"/>
                <w:szCs w:val="24"/>
              </w:rPr>
              <w:t>chimice</w:t>
            </w:r>
            <w:r w:rsidRPr="00C56257">
              <w:rPr>
                <w:color w:val="000000" w:themeColor="text1"/>
                <w:spacing w:val="-2"/>
                <w:sz w:val="24"/>
                <w:szCs w:val="24"/>
              </w:rPr>
              <w:t xml:space="preserve"> </w:t>
            </w:r>
            <w:r w:rsidRPr="00C56257">
              <w:rPr>
                <w:color w:val="000000" w:themeColor="text1"/>
                <w:sz w:val="24"/>
                <w:szCs w:val="24"/>
              </w:rPr>
              <w:t>utilizate</w:t>
            </w:r>
            <w:r w:rsidRPr="00C56257">
              <w:rPr>
                <w:color w:val="000000" w:themeColor="text1"/>
                <w:spacing w:val="1"/>
                <w:sz w:val="24"/>
                <w:szCs w:val="24"/>
              </w:rPr>
              <w:t xml:space="preserve"> </w:t>
            </w:r>
            <w:r w:rsidRPr="00C56257">
              <w:rPr>
                <w:color w:val="000000" w:themeColor="text1"/>
                <w:sz w:val="24"/>
                <w:szCs w:val="24"/>
              </w:rPr>
              <w:t>în</w:t>
            </w:r>
            <w:r w:rsidRPr="00C56257">
              <w:rPr>
                <w:color w:val="000000" w:themeColor="text1"/>
                <w:spacing w:val="-4"/>
                <w:sz w:val="24"/>
                <w:szCs w:val="24"/>
              </w:rPr>
              <w:t xml:space="preserve"> </w:t>
            </w:r>
            <w:r w:rsidRPr="00C56257">
              <w:rPr>
                <w:color w:val="000000" w:themeColor="text1"/>
                <w:sz w:val="24"/>
                <w:szCs w:val="24"/>
              </w:rPr>
              <w:t>producția</w:t>
            </w:r>
            <w:r w:rsidRPr="00C56257">
              <w:rPr>
                <w:color w:val="000000" w:themeColor="text1"/>
                <w:spacing w:val="-1"/>
                <w:sz w:val="24"/>
                <w:szCs w:val="24"/>
              </w:rPr>
              <w:t xml:space="preserve"> </w:t>
            </w:r>
            <w:r w:rsidRPr="00C56257">
              <w:rPr>
                <w:color w:val="000000" w:themeColor="text1"/>
                <w:sz w:val="24"/>
                <w:szCs w:val="24"/>
              </w:rPr>
              <w:t>de</w:t>
            </w:r>
            <w:r w:rsidRPr="00C56257">
              <w:rPr>
                <w:color w:val="000000" w:themeColor="text1"/>
                <w:spacing w:val="-3"/>
                <w:sz w:val="24"/>
                <w:szCs w:val="24"/>
              </w:rPr>
              <w:t xml:space="preserve"> </w:t>
            </w:r>
            <w:r w:rsidRPr="00C56257">
              <w:rPr>
                <w:color w:val="000000" w:themeColor="text1"/>
                <w:sz w:val="24"/>
                <w:szCs w:val="24"/>
              </w:rPr>
              <w:t>plante</w:t>
            </w:r>
          </w:p>
          <w:p w14:paraId="06E23913" w14:textId="77777777" w:rsidR="00FC65BA" w:rsidRPr="00C56257" w:rsidRDefault="00FC65BA" w:rsidP="009E63E5">
            <w:pPr>
              <w:pStyle w:val="TableParagraph"/>
              <w:numPr>
                <w:ilvl w:val="0"/>
                <w:numId w:val="121"/>
              </w:numPr>
              <w:tabs>
                <w:tab w:val="left" w:pos="233"/>
              </w:tabs>
              <w:ind w:right="938" w:firstLine="0"/>
              <w:jc w:val="both"/>
              <w:rPr>
                <w:color w:val="000000" w:themeColor="text1"/>
                <w:sz w:val="24"/>
                <w:szCs w:val="24"/>
              </w:rPr>
            </w:pPr>
            <w:r w:rsidRPr="00C56257">
              <w:rPr>
                <w:color w:val="000000" w:themeColor="text1"/>
                <w:sz w:val="24"/>
                <w:szCs w:val="24"/>
              </w:rPr>
              <w:t>rodenticide și alte produse de</w:t>
            </w:r>
            <w:r w:rsidRPr="00C56257">
              <w:rPr>
                <w:color w:val="000000" w:themeColor="text1"/>
                <w:spacing w:val="-52"/>
                <w:sz w:val="24"/>
                <w:szCs w:val="24"/>
              </w:rPr>
              <w:t xml:space="preserve"> </w:t>
            </w:r>
            <w:r w:rsidRPr="00C56257">
              <w:rPr>
                <w:color w:val="000000" w:themeColor="text1"/>
                <w:sz w:val="24"/>
                <w:szCs w:val="24"/>
              </w:rPr>
              <w:t>combatere</w:t>
            </w:r>
            <w:r w:rsidRPr="00C56257">
              <w:rPr>
                <w:color w:val="000000" w:themeColor="text1"/>
                <w:spacing w:val="-3"/>
                <w:sz w:val="24"/>
                <w:szCs w:val="24"/>
              </w:rPr>
              <w:t xml:space="preserve"> </w:t>
            </w:r>
            <w:r w:rsidRPr="00C56257">
              <w:rPr>
                <w:color w:val="000000" w:themeColor="text1"/>
                <w:sz w:val="24"/>
                <w:szCs w:val="24"/>
              </w:rPr>
              <w:t>a dăunătorilor</w:t>
            </w:r>
          </w:p>
          <w:p w14:paraId="2FB43744" w14:textId="77777777" w:rsidR="00FC65BA" w:rsidRPr="00C56257" w:rsidRDefault="00FC65BA" w:rsidP="009E63E5">
            <w:pPr>
              <w:pStyle w:val="TableParagraph"/>
              <w:numPr>
                <w:ilvl w:val="0"/>
                <w:numId w:val="121"/>
              </w:numPr>
              <w:tabs>
                <w:tab w:val="left" w:pos="235"/>
              </w:tabs>
              <w:ind w:right="315" w:firstLine="0"/>
              <w:jc w:val="both"/>
              <w:rPr>
                <w:color w:val="000000" w:themeColor="text1"/>
                <w:sz w:val="24"/>
                <w:szCs w:val="24"/>
              </w:rPr>
            </w:pPr>
            <w:r w:rsidRPr="00C56257">
              <w:rPr>
                <w:color w:val="000000" w:themeColor="text1"/>
                <w:sz w:val="24"/>
                <w:szCs w:val="24"/>
              </w:rPr>
              <w:t>viermicide și alte produse veterinare</w:t>
            </w:r>
            <w:r w:rsidRPr="00C56257">
              <w:rPr>
                <w:color w:val="000000" w:themeColor="text1"/>
                <w:spacing w:val="-52"/>
                <w:sz w:val="24"/>
                <w:szCs w:val="24"/>
              </w:rPr>
              <w:t xml:space="preserve"> </w:t>
            </w:r>
            <w:r w:rsidRPr="00C56257">
              <w:rPr>
                <w:color w:val="000000" w:themeColor="text1"/>
                <w:sz w:val="24"/>
                <w:szCs w:val="24"/>
              </w:rPr>
              <w:t>utilizate în producția animală (de</w:t>
            </w:r>
            <w:r w:rsidRPr="00C56257">
              <w:rPr>
                <w:color w:val="000000" w:themeColor="text1"/>
                <w:spacing w:val="1"/>
                <w:sz w:val="24"/>
                <w:szCs w:val="24"/>
              </w:rPr>
              <w:t xml:space="preserve"> </w:t>
            </w:r>
            <w:r w:rsidRPr="00C56257">
              <w:rPr>
                <w:color w:val="000000" w:themeColor="text1"/>
                <w:sz w:val="24"/>
                <w:szCs w:val="24"/>
              </w:rPr>
              <w:t>exemplu, diclofenac și / sau alte</w:t>
            </w:r>
            <w:r w:rsidRPr="00C56257">
              <w:rPr>
                <w:color w:val="000000" w:themeColor="text1"/>
                <w:spacing w:val="1"/>
                <w:sz w:val="24"/>
                <w:szCs w:val="24"/>
              </w:rPr>
              <w:t xml:space="preserve"> </w:t>
            </w:r>
            <w:r w:rsidRPr="00C56257">
              <w:rPr>
                <w:color w:val="000000" w:themeColor="text1"/>
                <w:sz w:val="24"/>
                <w:szCs w:val="24"/>
              </w:rPr>
              <w:t>produse</w:t>
            </w:r>
            <w:r w:rsidRPr="00C56257">
              <w:rPr>
                <w:color w:val="000000" w:themeColor="text1"/>
                <w:spacing w:val="-1"/>
                <w:sz w:val="24"/>
                <w:szCs w:val="24"/>
              </w:rPr>
              <w:t xml:space="preserve"> </w:t>
            </w:r>
            <w:r w:rsidRPr="00C56257">
              <w:rPr>
                <w:color w:val="000000" w:themeColor="text1"/>
                <w:sz w:val="24"/>
                <w:szCs w:val="24"/>
              </w:rPr>
              <w:t>veterinare</w:t>
            </w:r>
            <w:r w:rsidRPr="00C56257">
              <w:rPr>
                <w:color w:val="000000" w:themeColor="text1"/>
                <w:spacing w:val="-2"/>
                <w:sz w:val="24"/>
                <w:szCs w:val="24"/>
              </w:rPr>
              <w:t xml:space="preserve"> </w:t>
            </w:r>
            <w:r w:rsidRPr="00C56257">
              <w:rPr>
                <w:color w:val="000000" w:themeColor="text1"/>
                <w:sz w:val="24"/>
                <w:szCs w:val="24"/>
              </w:rPr>
              <w:t>similare).</w:t>
            </w:r>
          </w:p>
          <w:p w14:paraId="2FB8E95F" w14:textId="77777777" w:rsidR="00FC65BA" w:rsidRPr="00C56257" w:rsidRDefault="00FC65BA" w:rsidP="008E33FD">
            <w:pPr>
              <w:pStyle w:val="TableParagraph"/>
              <w:ind w:right="216"/>
              <w:jc w:val="both"/>
              <w:rPr>
                <w:color w:val="000000" w:themeColor="text1"/>
                <w:sz w:val="24"/>
                <w:szCs w:val="24"/>
              </w:rPr>
            </w:pPr>
            <w:r w:rsidRPr="00C56257">
              <w:rPr>
                <w:color w:val="000000" w:themeColor="text1"/>
                <w:sz w:val="24"/>
                <w:szCs w:val="24"/>
              </w:rPr>
              <w:t>De asemenea include dezvoltarea și</w:t>
            </w:r>
            <w:r w:rsidRPr="00C56257">
              <w:rPr>
                <w:color w:val="000000" w:themeColor="text1"/>
                <w:spacing w:val="1"/>
                <w:sz w:val="24"/>
                <w:szCs w:val="24"/>
              </w:rPr>
              <w:t xml:space="preserve"> </w:t>
            </w:r>
            <w:r w:rsidRPr="00C56257">
              <w:rPr>
                <w:color w:val="000000" w:themeColor="text1"/>
                <w:sz w:val="24"/>
                <w:szCs w:val="24"/>
              </w:rPr>
              <w:t>menținerea promontorilor de</w:t>
            </w:r>
            <w:r w:rsidRPr="00C56257">
              <w:rPr>
                <w:color w:val="000000" w:themeColor="text1"/>
                <w:spacing w:val="1"/>
                <w:sz w:val="24"/>
                <w:szCs w:val="24"/>
              </w:rPr>
              <w:t xml:space="preserve"> </w:t>
            </w:r>
            <w:r w:rsidRPr="00C56257">
              <w:rPr>
                <w:color w:val="000000" w:themeColor="text1"/>
                <w:sz w:val="24"/>
                <w:szCs w:val="24"/>
              </w:rPr>
              <w:t>conservare,</w:t>
            </w:r>
            <w:r w:rsidRPr="00C56257">
              <w:rPr>
                <w:color w:val="000000" w:themeColor="text1"/>
                <w:spacing w:val="-3"/>
                <w:sz w:val="24"/>
                <w:szCs w:val="24"/>
              </w:rPr>
              <w:t xml:space="preserve"> </w:t>
            </w:r>
            <w:r w:rsidRPr="00C56257">
              <w:rPr>
                <w:color w:val="000000" w:themeColor="text1"/>
                <w:sz w:val="24"/>
                <w:szCs w:val="24"/>
              </w:rPr>
              <w:t>sau</w:t>
            </w:r>
            <w:r w:rsidRPr="00C56257">
              <w:rPr>
                <w:color w:val="000000" w:themeColor="text1"/>
                <w:spacing w:val="-2"/>
                <w:sz w:val="24"/>
                <w:szCs w:val="24"/>
              </w:rPr>
              <w:t xml:space="preserve"> </w:t>
            </w:r>
            <w:r w:rsidRPr="00C56257">
              <w:rPr>
                <w:color w:val="000000" w:themeColor="text1"/>
                <w:sz w:val="24"/>
                <w:szCs w:val="24"/>
              </w:rPr>
              <w:t>a</w:t>
            </w:r>
            <w:r w:rsidRPr="00C56257">
              <w:rPr>
                <w:color w:val="000000" w:themeColor="text1"/>
                <w:spacing w:val="-3"/>
                <w:sz w:val="24"/>
                <w:szCs w:val="24"/>
              </w:rPr>
              <w:t xml:space="preserve"> </w:t>
            </w:r>
            <w:r w:rsidRPr="00C56257">
              <w:rPr>
                <w:color w:val="000000" w:themeColor="text1"/>
                <w:sz w:val="24"/>
                <w:szCs w:val="24"/>
              </w:rPr>
              <w:t>marginilor</w:t>
            </w:r>
            <w:r w:rsidRPr="00C56257">
              <w:rPr>
                <w:color w:val="000000" w:themeColor="text1"/>
                <w:spacing w:val="-2"/>
                <w:sz w:val="24"/>
                <w:szCs w:val="24"/>
              </w:rPr>
              <w:t xml:space="preserve"> </w:t>
            </w:r>
            <w:r w:rsidRPr="00C56257">
              <w:rPr>
                <w:color w:val="000000" w:themeColor="text1"/>
                <w:sz w:val="24"/>
                <w:szCs w:val="24"/>
              </w:rPr>
              <w:t>culturilor.</w:t>
            </w:r>
          </w:p>
        </w:tc>
        <w:tc>
          <w:tcPr>
            <w:tcW w:w="1710" w:type="dxa"/>
          </w:tcPr>
          <w:p w14:paraId="63DDA7CB" w14:textId="77777777" w:rsidR="00FC65BA" w:rsidRPr="00C56257" w:rsidRDefault="00FC65BA" w:rsidP="008E33FD">
            <w:pPr>
              <w:pStyle w:val="TableParagraph"/>
              <w:ind w:right="161"/>
              <w:jc w:val="both"/>
              <w:rPr>
                <w:color w:val="000000" w:themeColor="text1"/>
                <w:sz w:val="24"/>
                <w:szCs w:val="24"/>
              </w:rPr>
            </w:pPr>
            <w:r w:rsidRPr="00C56257">
              <w:rPr>
                <w:color w:val="000000" w:themeColor="text1"/>
                <w:sz w:val="24"/>
                <w:szCs w:val="24"/>
              </w:rPr>
              <w:t>A14 parţial,</w:t>
            </w:r>
            <w:r w:rsidRPr="00C56257">
              <w:rPr>
                <w:color w:val="000000" w:themeColor="text1"/>
                <w:spacing w:val="-52"/>
                <w:sz w:val="24"/>
                <w:szCs w:val="24"/>
              </w:rPr>
              <w:t xml:space="preserve"> </w:t>
            </w:r>
            <w:r w:rsidRPr="00C56257">
              <w:rPr>
                <w:color w:val="000000" w:themeColor="text1"/>
                <w:sz w:val="24"/>
                <w:szCs w:val="24"/>
              </w:rPr>
              <w:t>A19, A20,</w:t>
            </w:r>
            <w:r w:rsidRPr="00C56257">
              <w:rPr>
                <w:color w:val="000000" w:themeColor="text1"/>
                <w:spacing w:val="1"/>
                <w:sz w:val="24"/>
                <w:szCs w:val="24"/>
              </w:rPr>
              <w:t xml:space="preserve"> </w:t>
            </w:r>
            <w:r w:rsidRPr="00C56257">
              <w:rPr>
                <w:color w:val="000000" w:themeColor="text1"/>
                <w:sz w:val="24"/>
                <w:szCs w:val="24"/>
              </w:rPr>
              <w:t>A21</w:t>
            </w:r>
          </w:p>
        </w:tc>
      </w:tr>
      <w:tr w:rsidR="00FC65BA" w:rsidRPr="00C56257" w14:paraId="7B457A94" w14:textId="77777777" w:rsidTr="00FC65BA">
        <w:trPr>
          <w:trHeight w:val="1519"/>
        </w:trPr>
        <w:tc>
          <w:tcPr>
            <w:tcW w:w="528" w:type="dxa"/>
          </w:tcPr>
          <w:p w14:paraId="0E9A2314" w14:textId="77777777" w:rsidR="00FC65BA" w:rsidRPr="00C56257" w:rsidRDefault="00FC65BA" w:rsidP="008E33FD">
            <w:pPr>
              <w:pStyle w:val="TableParagraph"/>
              <w:spacing w:line="247" w:lineRule="exact"/>
              <w:ind w:left="87" w:right="221"/>
              <w:jc w:val="both"/>
              <w:rPr>
                <w:color w:val="000000" w:themeColor="text1"/>
                <w:sz w:val="24"/>
                <w:szCs w:val="24"/>
              </w:rPr>
            </w:pPr>
            <w:r w:rsidRPr="00C56257">
              <w:rPr>
                <w:color w:val="000000" w:themeColor="text1"/>
                <w:sz w:val="24"/>
                <w:szCs w:val="24"/>
              </w:rPr>
              <w:t>2.</w:t>
            </w:r>
          </w:p>
        </w:tc>
        <w:tc>
          <w:tcPr>
            <w:tcW w:w="744" w:type="dxa"/>
          </w:tcPr>
          <w:p w14:paraId="4A406F70" w14:textId="77777777" w:rsidR="00FC65BA" w:rsidRPr="00C56257" w:rsidRDefault="00FC65BA" w:rsidP="008E33FD">
            <w:pPr>
              <w:pStyle w:val="TableParagraph"/>
              <w:jc w:val="both"/>
              <w:rPr>
                <w:color w:val="000000" w:themeColor="text1"/>
                <w:sz w:val="24"/>
                <w:szCs w:val="24"/>
              </w:rPr>
            </w:pPr>
          </w:p>
          <w:p w14:paraId="24FFE5DE" w14:textId="77777777" w:rsidR="00FC65BA" w:rsidRPr="00C56257" w:rsidRDefault="00FC65BA" w:rsidP="008E33FD">
            <w:pPr>
              <w:pStyle w:val="TableParagraph"/>
              <w:spacing w:before="6"/>
              <w:jc w:val="both"/>
              <w:rPr>
                <w:color w:val="000000" w:themeColor="text1"/>
                <w:sz w:val="24"/>
                <w:szCs w:val="24"/>
              </w:rPr>
            </w:pPr>
          </w:p>
          <w:p w14:paraId="082248BF" w14:textId="77777777" w:rsidR="00FC65BA" w:rsidRPr="00C56257" w:rsidRDefault="00FC65BA" w:rsidP="008E33FD">
            <w:pPr>
              <w:pStyle w:val="TableParagraph"/>
              <w:ind w:left="87" w:right="80"/>
              <w:jc w:val="both"/>
              <w:rPr>
                <w:color w:val="000000" w:themeColor="text1"/>
                <w:sz w:val="24"/>
                <w:szCs w:val="24"/>
              </w:rPr>
            </w:pPr>
            <w:r w:rsidRPr="00C56257">
              <w:rPr>
                <w:color w:val="000000" w:themeColor="text1"/>
                <w:sz w:val="24"/>
                <w:szCs w:val="24"/>
              </w:rPr>
              <w:t>CA16</w:t>
            </w:r>
          </w:p>
        </w:tc>
        <w:tc>
          <w:tcPr>
            <w:tcW w:w="2187" w:type="dxa"/>
          </w:tcPr>
          <w:p w14:paraId="264D8BB9" w14:textId="77777777" w:rsidR="00FC65BA" w:rsidRPr="00C56257" w:rsidRDefault="00FC65BA" w:rsidP="008E33FD">
            <w:pPr>
              <w:pStyle w:val="TableParagraph"/>
              <w:spacing w:before="7"/>
              <w:jc w:val="both"/>
              <w:rPr>
                <w:color w:val="000000" w:themeColor="text1"/>
                <w:sz w:val="24"/>
                <w:szCs w:val="24"/>
              </w:rPr>
            </w:pPr>
          </w:p>
          <w:p w14:paraId="07F604DD" w14:textId="77777777" w:rsidR="00FC65BA" w:rsidRPr="00C56257" w:rsidRDefault="00FC65BA" w:rsidP="008E33FD">
            <w:pPr>
              <w:pStyle w:val="TableParagraph"/>
              <w:ind w:right="174"/>
              <w:jc w:val="both"/>
              <w:rPr>
                <w:color w:val="000000" w:themeColor="text1"/>
                <w:sz w:val="24"/>
                <w:szCs w:val="24"/>
              </w:rPr>
            </w:pPr>
            <w:r w:rsidRPr="00C56257">
              <w:rPr>
                <w:color w:val="000000" w:themeColor="text1"/>
                <w:sz w:val="24"/>
                <w:szCs w:val="24"/>
              </w:rPr>
              <w:t>Alte măsuri legate de</w:t>
            </w:r>
            <w:r w:rsidRPr="00C56257">
              <w:rPr>
                <w:color w:val="000000" w:themeColor="text1"/>
                <w:spacing w:val="-52"/>
                <w:sz w:val="24"/>
                <w:szCs w:val="24"/>
              </w:rPr>
              <w:t xml:space="preserve"> </w:t>
            </w:r>
            <w:r w:rsidRPr="00C56257">
              <w:rPr>
                <w:color w:val="000000" w:themeColor="text1"/>
                <w:sz w:val="24"/>
                <w:szCs w:val="24"/>
              </w:rPr>
              <w:t>practicile</w:t>
            </w:r>
            <w:r w:rsidRPr="00C56257">
              <w:rPr>
                <w:color w:val="000000" w:themeColor="text1"/>
                <w:spacing w:val="-2"/>
                <w:sz w:val="24"/>
                <w:szCs w:val="24"/>
              </w:rPr>
              <w:t xml:space="preserve"> </w:t>
            </w:r>
            <w:r w:rsidRPr="00C56257">
              <w:rPr>
                <w:color w:val="000000" w:themeColor="text1"/>
                <w:sz w:val="24"/>
                <w:szCs w:val="24"/>
              </w:rPr>
              <w:t>agricole</w:t>
            </w:r>
          </w:p>
        </w:tc>
        <w:tc>
          <w:tcPr>
            <w:tcW w:w="4729" w:type="dxa"/>
          </w:tcPr>
          <w:p w14:paraId="04253ECC" w14:textId="77777777" w:rsidR="00FC65BA" w:rsidRPr="00C56257" w:rsidRDefault="00FC65BA" w:rsidP="008E33FD">
            <w:pPr>
              <w:pStyle w:val="TableParagraph"/>
              <w:ind w:right="114"/>
              <w:jc w:val="both"/>
              <w:rPr>
                <w:color w:val="000000" w:themeColor="text1"/>
                <w:sz w:val="24"/>
                <w:szCs w:val="24"/>
              </w:rPr>
            </w:pPr>
            <w:r w:rsidRPr="00C56257">
              <w:rPr>
                <w:color w:val="000000" w:themeColor="text1"/>
                <w:sz w:val="24"/>
                <w:szCs w:val="24"/>
              </w:rPr>
              <w:t>Alte măsuri legate de practicile agricole</w:t>
            </w:r>
            <w:r w:rsidRPr="00C56257">
              <w:rPr>
                <w:color w:val="000000" w:themeColor="text1"/>
                <w:spacing w:val="-53"/>
                <w:sz w:val="24"/>
                <w:szCs w:val="24"/>
              </w:rPr>
              <w:t xml:space="preserve"> </w:t>
            </w:r>
            <w:r w:rsidRPr="00C56257">
              <w:rPr>
                <w:color w:val="000000" w:themeColor="text1"/>
                <w:sz w:val="24"/>
                <w:szCs w:val="24"/>
              </w:rPr>
              <w:t>sau de culturile agricole care nu sunt</w:t>
            </w:r>
            <w:r w:rsidRPr="00C56257">
              <w:rPr>
                <w:color w:val="000000" w:themeColor="text1"/>
                <w:spacing w:val="1"/>
                <w:sz w:val="24"/>
                <w:szCs w:val="24"/>
              </w:rPr>
              <w:t xml:space="preserve"> </w:t>
            </w:r>
            <w:r w:rsidRPr="00C56257">
              <w:rPr>
                <w:color w:val="000000" w:themeColor="text1"/>
                <w:sz w:val="24"/>
                <w:szCs w:val="24"/>
              </w:rPr>
              <w:t>acoperite de celelalte măsuri CA de ex.</w:t>
            </w:r>
            <w:r w:rsidRPr="00C56257">
              <w:rPr>
                <w:color w:val="000000" w:themeColor="text1"/>
                <w:spacing w:val="1"/>
                <w:sz w:val="24"/>
                <w:szCs w:val="24"/>
              </w:rPr>
              <w:t xml:space="preserve"> </w:t>
            </w:r>
            <w:r w:rsidRPr="00C56257">
              <w:rPr>
                <w:color w:val="000000" w:themeColor="text1"/>
                <w:sz w:val="24"/>
                <w:szCs w:val="24"/>
              </w:rPr>
              <w:t>adaptarea</w:t>
            </w:r>
            <w:r w:rsidRPr="00C56257">
              <w:rPr>
                <w:color w:val="000000" w:themeColor="text1"/>
                <w:spacing w:val="-1"/>
                <w:sz w:val="24"/>
                <w:szCs w:val="24"/>
              </w:rPr>
              <w:t xml:space="preserve"> </w:t>
            </w:r>
            <w:r w:rsidRPr="00C56257">
              <w:rPr>
                <w:color w:val="000000" w:themeColor="text1"/>
                <w:sz w:val="24"/>
                <w:szCs w:val="24"/>
              </w:rPr>
              <w:t>metodelor</w:t>
            </w:r>
            <w:r w:rsidRPr="00C56257">
              <w:rPr>
                <w:color w:val="000000" w:themeColor="text1"/>
                <w:spacing w:val="-2"/>
                <w:sz w:val="24"/>
                <w:szCs w:val="24"/>
              </w:rPr>
              <w:t xml:space="preserve"> </w:t>
            </w:r>
            <w:r w:rsidRPr="00C56257">
              <w:rPr>
                <w:color w:val="000000" w:themeColor="text1"/>
                <w:sz w:val="24"/>
                <w:szCs w:val="24"/>
              </w:rPr>
              <w:t>și</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1"/>
                <w:sz w:val="24"/>
                <w:szCs w:val="24"/>
              </w:rPr>
              <w:t xml:space="preserve"> </w:t>
            </w:r>
            <w:r w:rsidRPr="00C56257">
              <w:rPr>
                <w:color w:val="000000" w:themeColor="text1"/>
                <w:sz w:val="24"/>
                <w:szCs w:val="24"/>
              </w:rPr>
              <w:t>sau</w:t>
            </w:r>
            <w:r w:rsidRPr="00C56257">
              <w:rPr>
                <w:color w:val="000000" w:themeColor="text1"/>
                <w:spacing w:val="-3"/>
                <w:sz w:val="24"/>
                <w:szCs w:val="24"/>
              </w:rPr>
              <w:t xml:space="preserve"> </w:t>
            </w:r>
            <w:r w:rsidRPr="00C56257">
              <w:rPr>
                <w:color w:val="000000" w:themeColor="text1"/>
                <w:sz w:val="24"/>
                <w:szCs w:val="24"/>
              </w:rPr>
              <w:t>a</w:t>
            </w:r>
          </w:p>
          <w:p w14:paraId="23E6C78B" w14:textId="77777777" w:rsidR="00FC65BA" w:rsidRPr="00C56257" w:rsidRDefault="00FC65BA" w:rsidP="008E33FD">
            <w:pPr>
              <w:pStyle w:val="TableParagraph"/>
              <w:spacing w:line="252" w:lineRule="exact"/>
              <w:ind w:right="237"/>
              <w:jc w:val="both"/>
              <w:rPr>
                <w:color w:val="000000" w:themeColor="text1"/>
                <w:sz w:val="24"/>
                <w:szCs w:val="24"/>
              </w:rPr>
            </w:pPr>
            <w:r w:rsidRPr="00C56257">
              <w:rPr>
                <w:color w:val="000000" w:themeColor="text1"/>
                <w:sz w:val="24"/>
                <w:szCs w:val="24"/>
              </w:rPr>
              <w:t>momentului</w:t>
            </w:r>
            <w:r w:rsidRPr="00C56257">
              <w:rPr>
                <w:color w:val="000000" w:themeColor="text1"/>
                <w:spacing w:val="-1"/>
                <w:sz w:val="24"/>
                <w:szCs w:val="24"/>
              </w:rPr>
              <w:t xml:space="preserve"> </w:t>
            </w:r>
            <w:r w:rsidRPr="00C56257">
              <w:rPr>
                <w:color w:val="000000" w:themeColor="text1"/>
                <w:sz w:val="24"/>
                <w:szCs w:val="24"/>
              </w:rPr>
              <w:t>de</w:t>
            </w:r>
            <w:r w:rsidRPr="00C56257">
              <w:rPr>
                <w:color w:val="000000" w:themeColor="text1"/>
                <w:spacing w:val="-4"/>
                <w:sz w:val="24"/>
                <w:szCs w:val="24"/>
              </w:rPr>
              <w:t xml:space="preserve"> </w:t>
            </w:r>
            <w:r w:rsidRPr="00C56257">
              <w:rPr>
                <w:color w:val="000000" w:themeColor="text1"/>
                <w:sz w:val="24"/>
                <w:szCs w:val="24"/>
              </w:rPr>
              <w:t>recoltare</w:t>
            </w:r>
            <w:r w:rsidRPr="00C56257">
              <w:rPr>
                <w:color w:val="000000" w:themeColor="text1"/>
                <w:spacing w:val="-1"/>
                <w:sz w:val="24"/>
                <w:szCs w:val="24"/>
              </w:rPr>
              <w:t xml:space="preserve"> </w:t>
            </w:r>
            <w:r w:rsidRPr="00C56257">
              <w:rPr>
                <w:color w:val="000000" w:themeColor="text1"/>
                <w:sz w:val="24"/>
                <w:szCs w:val="24"/>
              </w:rPr>
              <w:t>pentru</w:t>
            </w:r>
            <w:r w:rsidRPr="00C56257">
              <w:rPr>
                <w:color w:val="000000" w:themeColor="text1"/>
                <w:spacing w:val="-5"/>
                <w:sz w:val="24"/>
                <w:szCs w:val="24"/>
              </w:rPr>
              <w:t xml:space="preserve"> </w:t>
            </w:r>
            <w:r w:rsidRPr="00C56257">
              <w:rPr>
                <w:color w:val="000000" w:themeColor="text1"/>
                <w:sz w:val="24"/>
                <w:szCs w:val="24"/>
              </w:rPr>
              <w:t>a</w:t>
            </w:r>
            <w:r w:rsidRPr="00C56257">
              <w:rPr>
                <w:color w:val="000000" w:themeColor="text1"/>
                <w:spacing w:val="-2"/>
                <w:sz w:val="24"/>
                <w:szCs w:val="24"/>
              </w:rPr>
              <w:t xml:space="preserve"> </w:t>
            </w:r>
            <w:r w:rsidRPr="00C56257">
              <w:rPr>
                <w:color w:val="000000" w:themeColor="text1"/>
                <w:sz w:val="24"/>
                <w:szCs w:val="24"/>
              </w:rPr>
              <w:t>evita</w:t>
            </w:r>
            <w:r w:rsidRPr="00C56257">
              <w:rPr>
                <w:color w:val="000000" w:themeColor="text1"/>
                <w:spacing w:val="-52"/>
                <w:sz w:val="24"/>
                <w:szCs w:val="24"/>
              </w:rPr>
              <w:t xml:space="preserve"> </w:t>
            </w:r>
            <w:r w:rsidRPr="00C56257">
              <w:rPr>
                <w:color w:val="000000" w:themeColor="text1"/>
                <w:sz w:val="24"/>
                <w:szCs w:val="24"/>
              </w:rPr>
              <w:t>perturbarea</w:t>
            </w:r>
            <w:r w:rsidRPr="00C56257">
              <w:rPr>
                <w:color w:val="000000" w:themeColor="text1"/>
                <w:spacing w:val="-2"/>
                <w:sz w:val="24"/>
                <w:szCs w:val="24"/>
              </w:rPr>
              <w:t xml:space="preserve"> </w:t>
            </w:r>
            <w:r w:rsidRPr="00C56257">
              <w:rPr>
                <w:color w:val="000000" w:themeColor="text1"/>
                <w:sz w:val="24"/>
                <w:szCs w:val="24"/>
              </w:rPr>
              <w:t>păsărilor</w:t>
            </w:r>
            <w:r w:rsidRPr="00C56257">
              <w:rPr>
                <w:color w:val="000000" w:themeColor="text1"/>
                <w:spacing w:val="-1"/>
                <w:sz w:val="24"/>
                <w:szCs w:val="24"/>
              </w:rPr>
              <w:t xml:space="preserve"> </w:t>
            </w:r>
            <w:r w:rsidRPr="00C56257">
              <w:rPr>
                <w:color w:val="000000" w:themeColor="text1"/>
                <w:sz w:val="24"/>
                <w:szCs w:val="24"/>
              </w:rPr>
              <w:t>cuibăritoare.</w:t>
            </w:r>
          </w:p>
        </w:tc>
        <w:tc>
          <w:tcPr>
            <w:tcW w:w="1710" w:type="dxa"/>
          </w:tcPr>
          <w:p w14:paraId="6781D225" w14:textId="77777777" w:rsidR="00FC65BA" w:rsidRPr="00C56257" w:rsidRDefault="00FC65BA" w:rsidP="008E33FD">
            <w:pPr>
              <w:pStyle w:val="TableParagraph"/>
              <w:spacing w:before="6"/>
              <w:jc w:val="both"/>
              <w:rPr>
                <w:color w:val="000000" w:themeColor="text1"/>
                <w:sz w:val="24"/>
                <w:szCs w:val="24"/>
              </w:rPr>
            </w:pPr>
          </w:p>
          <w:p w14:paraId="7A67CD8C" w14:textId="77777777" w:rsidR="00FC65BA" w:rsidRPr="00C56257" w:rsidRDefault="00FC65BA" w:rsidP="008E33FD">
            <w:pPr>
              <w:pStyle w:val="TableParagraph"/>
              <w:ind w:right="305"/>
              <w:jc w:val="both"/>
              <w:rPr>
                <w:color w:val="000000" w:themeColor="text1"/>
                <w:sz w:val="24"/>
                <w:szCs w:val="24"/>
              </w:rPr>
            </w:pPr>
            <w:r w:rsidRPr="00C56257">
              <w:rPr>
                <w:color w:val="000000" w:themeColor="text1"/>
                <w:sz w:val="24"/>
                <w:szCs w:val="24"/>
              </w:rPr>
              <w:t>A04, A17,</w:t>
            </w:r>
            <w:r w:rsidRPr="00C56257">
              <w:rPr>
                <w:color w:val="000000" w:themeColor="text1"/>
                <w:spacing w:val="-52"/>
                <w:sz w:val="24"/>
                <w:szCs w:val="24"/>
              </w:rPr>
              <w:t xml:space="preserve"> </w:t>
            </w:r>
            <w:r w:rsidRPr="00C56257">
              <w:rPr>
                <w:color w:val="000000" w:themeColor="text1"/>
                <w:sz w:val="24"/>
                <w:szCs w:val="24"/>
              </w:rPr>
              <w:t>A22, A23,</w:t>
            </w:r>
            <w:r w:rsidRPr="00C56257">
              <w:rPr>
                <w:color w:val="000000" w:themeColor="text1"/>
                <w:spacing w:val="-52"/>
                <w:sz w:val="24"/>
                <w:szCs w:val="24"/>
              </w:rPr>
              <w:t xml:space="preserve"> </w:t>
            </w:r>
            <w:r w:rsidRPr="00C56257">
              <w:rPr>
                <w:color w:val="000000" w:themeColor="text1"/>
                <w:sz w:val="24"/>
                <w:szCs w:val="24"/>
              </w:rPr>
              <w:t>A24, A34,</w:t>
            </w:r>
            <w:r w:rsidRPr="00C56257">
              <w:rPr>
                <w:color w:val="000000" w:themeColor="text1"/>
                <w:spacing w:val="-52"/>
                <w:sz w:val="24"/>
                <w:szCs w:val="24"/>
              </w:rPr>
              <w:t xml:space="preserve"> </w:t>
            </w:r>
            <w:r w:rsidRPr="00C56257">
              <w:rPr>
                <w:color w:val="000000" w:themeColor="text1"/>
                <w:sz w:val="24"/>
                <w:szCs w:val="24"/>
              </w:rPr>
              <w:t>A35</w:t>
            </w:r>
          </w:p>
        </w:tc>
      </w:tr>
      <w:tr w:rsidR="00FC65BA" w:rsidRPr="00C56257" w14:paraId="379C511E" w14:textId="77777777" w:rsidTr="00FC65BA">
        <w:trPr>
          <w:trHeight w:val="2277"/>
        </w:trPr>
        <w:tc>
          <w:tcPr>
            <w:tcW w:w="528" w:type="dxa"/>
          </w:tcPr>
          <w:p w14:paraId="337C7062" w14:textId="77777777" w:rsidR="00FC65BA" w:rsidRPr="00C56257" w:rsidRDefault="00FC65BA" w:rsidP="008E33FD">
            <w:pPr>
              <w:pStyle w:val="TableParagraph"/>
              <w:spacing w:line="247" w:lineRule="exact"/>
              <w:ind w:left="87" w:right="221"/>
              <w:jc w:val="both"/>
              <w:rPr>
                <w:color w:val="000000" w:themeColor="text1"/>
                <w:sz w:val="24"/>
                <w:szCs w:val="24"/>
              </w:rPr>
            </w:pPr>
            <w:r w:rsidRPr="00C56257">
              <w:rPr>
                <w:color w:val="000000" w:themeColor="text1"/>
                <w:sz w:val="24"/>
                <w:szCs w:val="24"/>
              </w:rPr>
              <w:lastRenderedPageBreak/>
              <w:t>3.</w:t>
            </w:r>
          </w:p>
        </w:tc>
        <w:tc>
          <w:tcPr>
            <w:tcW w:w="744" w:type="dxa"/>
          </w:tcPr>
          <w:p w14:paraId="47F039BD" w14:textId="77777777" w:rsidR="00FC65BA" w:rsidRPr="00C56257" w:rsidRDefault="00FC65BA" w:rsidP="008E33FD">
            <w:pPr>
              <w:pStyle w:val="TableParagraph"/>
              <w:jc w:val="both"/>
              <w:rPr>
                <w:color w:val="000000" w:themeColor="text1"/>
                <w:sz w:val="24"/>
                <w:szCs w:val="24"/>
              </w:rPr>
            </w:pPr>
          </w:p>
          <w:p w14:paraId="65E3F534" w14:textId="77777777" w:rsidR="00FC65BA" w:rsidRPr="00C56257" w:rsidRDefault="00FC65BA" w:rsidP="008E33FD">
            <w:pPr>
              <w:pStyle w:val="TableParagraph"/>
              <w:jc w:val="both"/>
              <w:rPr>
                <w:color w:val="000000" w:themeColor="text1"/>
                <w:sz w:val="24"/>
                <w:szCs w:val="24"/>
              </w:rPr>
            </w:pPr>
          </w:p>
          <w:p w14:paraId="7542BB28" w14:textId="77777777" w:rsidR="00FC65BA" w:rsidRPr="00C56257" w:rsidRDefault="00FC65BA" w:rsidP="008E33FD">
            <w:pPr>
              <w:pStyle w:val="TableParagraph"/>
              <w:jc w:val="both"/>
              <w:rPr>
                <w:color w:val="000000" w:themeColor="text1"/>
                <w:sz w:val="24"/>
                <w:szCs w:val="24"/>
              </w:rPr>
            </w:pPr>
          </w:p>
          <w:p w14:paraId="1C12E39F" w14:textId="77777777" w:rsidR="00FC65BA" w:rsidRPr="00C56257" w:rsidRDefault="00FC65BA" w:rsidP="008E33FD">
            <w:pPr>
              <w:pStyle w:val="TableParagraph"/>
              <w:spacing w:before="178"/>
              <w:ind w:left="78" w:right="80"/>
              <w:jc w:val="both"/>
              <w:rPr>
                <w:color w:val="000000" w:themeColor="text1"/>
                <w:sz w:val="24"/>
                <w:szCs w:val="24"/>
              </w:rPr>
            </w:pPr>
            <w:r w:rsidRPr="00C56257">
              <w:rPr>
                <w:color w:val="000000" w:themeColor="text1"/>
                <w:sz w:val="24"/>
                <w:szCs w:val="24"/>
              </w:rPr>
              <w:t>CB04</w:t>
            </w:r>
          </w:p>
        </w:tc>
        <w:tc>
          <w:tcPr>
            <w:tcW w:w="2187" w:type="dxa"/>
          </w:tcPr>
          <w:p w14:paraId="1BB3086E" w14:textId="77777777" w:rsidR="00FC65BA" w:rsidRPr="00C56257" w:rsidRDefault="00FC65BA" w:rsidP="008E33FD">
            <w:pPr>
              <w:pStyle w:val="TableParagraph"/>
              <w:jc w:val="both"/>
              <w:rPr>
                <w:color w:val="000000" w:themeColor="text1"/>
                <w:sz w:val="24"/>
                <w:szCs w:val="24"/>
              </w:rPr>
            </w:pPr>
          </w:p>
          <w:p w14:paraId="3E572A3E" w14:textId="77777777" w:rsidR="00FC65BA" w:rsidRPr="00C56257" w:rsidRDefault="00FC65BA" w:rsidP="008E33FD">
            <w:pPr>
              <w:pStyle w:val="TableParagraph"/>
              <w:spacing w:before="6"/>
              <w:jc w:val="both"/>
              <w:rPr>
                <w:color w:val="000000" w:themeColor="text1"/>
                <w:sz w:val="24"/>
                <w:szCs w:val="24"/>
              </w:rPr>
            </w:pPr>
          </w:p>
          <w:p w14:paraId="30FC74E6" w14:textId="77777777" w:rsidR="00FC65BA" w:rsidRPr="00C56257" w:rsidRDefault="00FC65BA" w:rsidP="008E33FD">
            <w:pPr>
              <w:pStyle w:val="TableParagraph"/>
              <w:ind w:right="83"/>
              <w:jc w:val="both"/>
              <w:rPr>
                <w:color w:val="000000" w:themeColor="text1"/>
                <w:sz w:val="24"/>
                <w:szCs w:val="24"/>
              </w:rPr>
            </w:pPr>
            <w:r w:rsidRPr="00C56257">
              <w:rPr>
                <w:color w:val="000000" w:themeColor="text1"/>
                <w:sz w:val="24"/>
                <w:szCs w:val="24"/>
              </w:rPr>
              <w:t>Adaptarea/gestionarea</w:t>
            </w:r>
            <w:r w:rsidRPr="00C56257">
              <w:rPr>
                <w:color w:val="000000" w:themeColor="text1"/>
                <w:spacing w:val="-52"/>
                <w:sz w:val="24"/>
                <w:szCs w:val="24"/>
              </w:rPr>
              <w:t xml:space="preserve"> </w:t>
            </w:r>
            <w:r w:rsidRPr="00C56257">
              <w:rPr>
                <w:color w:val="000000" w:themeColor="text1"/>
                <w:sz w:val="24"/>
                <w:szCs w:val="24"/>
              </w:rPr>
              <w:t>reîmpăduririi și</w:t>
            </w:r>
            <w:r w:rsidRPr="00C56257">
              <w:rPr>
                <w:color w:val="000000" w:themeColor="text1"/>
                <w:spacing w:val="1"/>
                <w:sz w:val="24"/>
                <w:szCs w:val="24"/>
              </w:rPr>
              <w:t xml:space="preserve"> </w:t>
            </w:r>
            <w:r w:rsidRPr="00C56257">
              <w:rPr>
                <w:color w:val="000000" w:themeColor="text1"/>
                <w:sz w:val="24"/>
                <w:szCs w:val="24"/>
              </w:rPr>
              <w:t>regenerării</w:t>
            </w:r>
            <w:r w:rsidRPr="00C56257">
              <w:rPr>
                <w:color w:val="000000" w:themeColor="text1"/>
                <w:spacing w:val="-1"/>
                <w:sz w:val="24"/>
                <w:szCs w:val="24"/>
              </w:rPr>
              <w:t xml:space="preserve"> </w:t>
            </w:r>
            <w:r w:rsidRPr="00C56257">
              <w:rPr>
                <w:color w:val="000000" w:themeColor="text1"/>
                <w:sz w:val="24"/>
                <w:szCs w:val="24"/>
              </w:rPr>
              <w:t>pădurilor</w:t>
            </w:r>
          </w:p>
        </w:tc>
        <w:tc>
          <w:tcPr>
            <w:tcW w:w="4729" w:type="dxa"/>
          </w:tcPr>
          <w:p w14:paraId="601D765E" w14:textId="77777777" w:rsidR="00FC65BA" w:rsidRPr="00C56257" w:rsidRDefault="00FC65BA" w:rsidP="008E33FD">
            <w:pPr>
              <w:pStyle w:val="TableParagraph"/>
              <w:ind w:right="126"/>
              <w:jc w:val="both"/>
              <w:rPr>
                <w:color w:val="000000" w:themeColor="text1"/>
                <w:sz w:val="24"/>
                <w:szCs w:val="24"/>
              </w:rPr>
            </w:pPr>
            <w:r w:rsidRPr="00C56257">
              <w:rPr>
                <w:color w:val="000000" w:themeColor="text1"/>
                <w:sz w:val="24"/>
                <w:szCs w:val="24"/>
              </w:rPr>
              <w:t>Adaptarea sau gestionarea</w:t>
            </w:r>
            <w:r w:rsidRPr="00C56257">
              <w:rPr>
                <w:color w:val="000000" w:themeColor="text1"/>
                <w:spacing w:val="1"/>
                <w:sz w:val="24"/>
                <w:szCs w:val="24"/>
              </w:rPr>
              <w:t xml:space="preserve"> </w:t>
            </w:r>
            <w:r w:rsidRPr="00C56257">
              <w:rPr>
                <w:color w:val="000000" w:themeColor="text1"/>
                <w:sz w:val="24"/>
                <w:szCs w:val="24"/>
              </w:rPr>
              <w:t>reîmpăduririlor pentru a reface</w:t>
            </w:r>
            <w:r w:rsidRPr="00C56257">
              <w:rPr>
                <w:color w:val="000000" w:themeColor="text1"/>
                <w:spacing w:val="1"/>
                <w:sz w:val="24"/>
                <w:szCs w:val="24"/>
              </w:rPr>
              <w:t xml:space="preserve"> </w:t>
            </w:r>
            <w:r w:rsidRPr="00C56257">
              <w:rPr>
                <w:color w:val="000000" w:themeColor="text1"/>
                <w:sz w:val="24"/>
                <w:szCs w:val="24"/>
              </w:rPr>
              <w:t>habitatele forestiere și habitatele</w:t>
            </w:r>
            <w:r w:rsidRPr="00C56257">
              <w:rPr>
                <w:color w:val="000000" w:themeColor="text1"/>
                <w:spacing w:val="1"/>
                <w:sz w:val="24"/>
                <w:szCs w:val="24"/>
              </w:rPr>
              <w:t xml:space="preserve"> </w:t>
            </w:r>
            <w:r w:rsidRPr="00C56257">
              <w:rPr>
                <w:color w:val="000000" w:themeColor="text1"/>
                <w:sz w:val="24"/>
                <w:szCs w:val="24"/>
              </w:rPr>
              <w:t>speciilor tipice de pădure, incluzând, de</w:t>
            </w:r>
            <w:r w:rsidRPr="00C56257">
              <w:rPr>
                <w:color w:val="000000" w:themeColor="text1"/>
                <w:spacing w:val="-52"/>
                <w:sz w:val="24"/>
                <w:szCs w:val="24"/>
              </w:rPr>
              <w:t xml:space="preserve"> </w:t>
            </w:r>
            <w:r w:rsidRPr="00C56257">
              <w:rPr>
                <w:color w:val="000000" w:themeColor="text1"/>
                <w:sz w:val="24"/>
                <w:szCs w:val="24"/>
              </w:rPr>
              <w:t>exemplu, conversia, pe termen lung, a</w:t>
            </w:r>
            <w:r w:rsidRPr="00C56257">
              <w:rPr>
                <w:color w:val="000000" w:themeColor="text1"/>
                <w:spacing w:val="1"/>
                <w:sz w:val="24"/>
                <w:szCs w:val="24"/>
              </w:rPr>
              <w:t xml:space="preserve"> </w:t>
            </w:r>
            <w:r w:rsidRPr="00C56257">
              <w:rPr>
                <w:color w:val="000000" w:themeColor="text1"/>
                <w:sz w:val="24"/>
                <w:szCs w:val="24"/>
              </w:rPr>
              <w:t>plantațiilor cu aliniamente în păduri</w:t>
            </w:r>
            <w:r w:rsidRPr="00C56257">
              <w:rPr>
                <w:color w:val="000000" w:themeColor="text1"/>
                <w:spacing w:val="1"/>
                <w:sz w:val="24"/>
                <w:szCs w:val="24"/>
              </w:rPr>
              <w:t xml:space="preserve"> </w:t>
            </w:r>
            <w:r w:rsidRPr="00C56257">
              <w:rPr>
                <w:color w:val="000000" w:themeColor="text1"/>
                <w:sz w:val="24"/>
                <w:szCs w:val="24"/>
              </w:rPr>
              <w:t>autohtone, sau adaptarea tehnicilor de</w:t>
            </w:r>
            <w:r w:rsidRPr="00C56257">
              <w:rPr>
                <w:color w:val="000000" w:themeColor="text1"/>
                <w:spacing w:val="1"/>
                <w:sz w:val="24"/>
                <w:szCs w:val="24"/>
              </w:rPr>
              <w:t xml:space="preserve"> </w:t>
            </w:r>
            <w:r w:rsidRPr="00C56257">
              <w:rPr>
                <w:color w:val="000000" w:themeColor="text1"/>
                <w:sz w:val="24"/>
                <w:szCs w:val="24"/>
              </w:rPr>
              <w:t>reîmpădurire,</w:t>
            </w:r>
            <w:r w:rsidRPr="00C56257">
              <w:rPr>
                <w:color w:val="000000" w:themeColor="text1"/>
                <w:spacing w:val="-1"/>
                <w:sz w:val="24"/>
                <w:szCs w:val="24"/>
              </w:rPr>
              <w:t xml:space="preserve"> </w:t>
            </w:r>
            <w:r w:rsidRPr="00C56257">
              <w:rPr>
                <w:color w:val="000000" w:themeColor="text1"/>
                <w:sz w:val="24"/>
                <w:szCs w:val="24"/>
              </w:rPr>
              <w:t>cum</w:t>
            </w:r>
            <w:r w:rsidRPr="00C56257">
              <w:rPr>
                <w:color w:val="000000" w:themeColor="text1"/>
                <w:spacing w:val="-4"/>
                <w:sz w:val="24"/>
                <w:szCs w:val="24"/>
              </w:rPr>
              <w:t xml:space="preserve"> </w:t>
            </w:r>
            <w:r w:rsidRPr="00C56257">
              <w:rPr>
                <w:color w:val="000000" w:themeColor="text1"/>
                <w:sz w:val="24"/>
                <w:szCs w:val="24"/>
              </w:rPr>
              <w:t>ar fi</w:t>
            </w:r>
            <w:r w:rsidRPr="00C56257">
              <w:rPr>
                <w:color w:val="000000" w:themeColor="text1"/>
                <w:spacing w:val="1"/>
                <w:sz w:val="24"/>
                <w:szCs w:val="24"/>
              </w:rPr>
              <w:t xml:space="preserve"> </w:t>
            </w:r>
            <w:r w:rsidRPr="00C56257">
              <w:rPr>
                <w:color w:val="000000" w:themeColor="text1"/>
                <w:sz w:val="24"/>
                <w:szCs w:val="24"/>
              </w:rPr>
              <w:t>utilizarea</w:t>
            </w:r>
          </w:p>
          <w:p w14:paraId="6552D3AE" w14:textId="77777777" w:rsidR="00FC65BA" w:rsidRPr="00C56257" w:rsidRDefault="00FC65BA" w:rsidP="008E33FD">
            <w:pPr>
              <w:pStyle w:val="TableParagraph"/>
              <w:spacing w:line="240" w:lineRule="exact"/>
              <w:jc w:val="both"/>
              <w:rPr>
                <w:color w:val="000000" w:themeColor="text1"/>
                <w:sz w:val="24"/>
                <w:szCs w:val="24"/>
              </w:rPr>
            </w:pPr>
            <w:r w:rsidRPr="00C56257">
              <w:rPr>
                <w:color w:val="000000" w:themeColor="text1"/>
                <w:sz w:val="24"/>
                <w:szCs w:val="24"/>
              </w:rPr>
              <w:t>regenerării</w:t>
            </w:r>
            <w:r w:rsidRPr="00C56257">
              <w:rPr>
                <w:color w:val="000000" w:themeColor="text1"/>
                <w:spacing w:val="-2"/>
                <w:sz w:val="24"/>
                <w:szCs w:val="24"/>
              </w:rPr>
              <w:t xml:space="preserve"> </w:t>
            </w:r>
            <w:r w:rsidRPr="00C56257">
              <w:rPr>
                <w:color w:val="000000" w:themeColor="text1"/>
                <w:sz w:val="24"/>
                <w:szCs w:val="24"/>
              </w:rPr>
              <w:t>naturale</w:t>
            </w:r>
            <w:r w:rsidRPr="00C56257">
              <w:rPr>
                <w:color w:val="000000" w:themeColor="text1"/>
                <w:spacing w:val="-3"/>
                <w:sz w:val="24"/>
                <w:szCs w:val="24"/>
              </w:rPr>
              <w:t xml:space="preserve"> </w:t>
            </w:r>
            <w:r w:rsidRPr="00C56257">
              <w:rPr>
                <w:color w:val="000000" w:themeColor="text1"/>
                <w:sz w:val="24"/>
                <w:szCs w:val="24"/>
              </w:rPr>
              <w:t>sau</w:t>
            </w:r>
            <w:r w:rsidRPr="00C56257">
              <w:rPr>
                <w:color w:val="000000" w:themeColor="text1"/>
                <w:spacing w:val="-2"/>
                <w:sz w:val="24"/>
                <w:szCs w:val="24"/>
              </w:rPr>
              <w:t xml:space="preserve"> </w:t>
            </w:r>
            <w:r w:rsidRPr="00C56257">
              <w:rPr>
                <w:color w:val="000000" w:themeColor="text1"/>
                <w:sz w:val="24"/>
                <w:szCs w:val="24"/>
              </w:rPr>
              <w:t>a</w:t>
            </w:r>
            <w:r w:rsidRPr="00C56257">
              <w:rPr>
                <w:color w:val="000000" w:themeColor="text1"/>
                <w:spacing w:val="-5"/>
                <w:sz w:val="24"/>
                <w:szCs w:val="24"/>
              </w:rPr>
              <w:t xml:space="preserve"> </w:t>
            </w:r>
            <w:r w:rsidRPr="00C56257">
              <w:rPr>
                <w:color w:val="000000" w:themeColor="text1"/>
                <w:sz w:val="24"/>
                <w:szCs w:val="24"/>
              </w:rPr>
              <w:t>focului.</w:t>
            </w:r>
          </w:p>
        </w:tc>
        <w:tc>
          <w:tcPr>
            <w:tcW w:w="1710" w:type="dxa"/>
          </w:tcPr>
          <w:p w14:paraId="358FAAC1" w14:textId="77777777" w:rsidR="00FC65BA" w:rsidRPr="00C56257" w:rsidRDefault="00FC65BA" w:rsidP="008E33FD">
            <w:pPr>
              <w:pStyle w:val="TableParagraph"/>
              <w:jc w:val="both"/>
              <w:rPr>
                <w:color w:val="000000" w:themeColor="text1"/>
                <w:sz w:val="24"/>
                <w:szCs w:val="24"/>
              </w:rPr>
            </w:pPr>
          </w:p>
          <w:p w14:paraId="63968135" w14:textId="77777777" w:rsidR="00FC65BA" w:rsidRPr="00C56257" w:rsidRDefault="00FC65BA" w:rsidP="008E33FD">
            <w:pPr>
              <w:pStyle w:val="TableParagraph"/>
              <w:jc w:val="both"/>
              <w:rPr>
                <w:color w:val="000000" w:themeColor="text1"/>
                <w:sz w:val="24"/>
                <w:szCs w:val="24"/>
              </w:rPr>
            </w:pPr>
          </w:p>
          <w:p w14:paraId="1FE7B8F4" w14:textId="77777777" w:rsidR="00FC65BA" w:rsidRPr="00C56257" w:rsidRDefault="00FC65BA" w:rsidP="008E33FD">
            <w:pPr>
              <w:pStyle w:val="TableParagraph"/>
              <w:spacing w:before="200"/>
              <w:ind w:right="173"/>
              <w:jc w:val="both"/>
              <w:rPr>
                <w:color w:val="000000" w:themeColor="text1"/>
                <w:sz w:val="24"/>
                <w:szCs w:val="24"/>
              </w:rPr>
            </w:pPr>
            <w:r w:rsidRPr="00C56257">
              <w:rPr>
                <w:color w:val="000000" w:themeColor="text1"/>
                <w:sz w:val="24"/>
                <w:szCs w:val="24"/>
              </w:rPr>
              <w:t>B02 parţial,</w:t>
            </w:r>
            <w:r w:rsidRPr="00C56257">
              <w:rPr>
                <w:color w:val="000000" w:themeColor="text1"/>
                <w:spacing w:val="-52"/>
                <w:sz w:val="24"/>
                <w:szCs w:val="24"/>
              </w:rPr>
              <w:t xml:space="preserve"> </w:t>
            </w:r>
            <w:r w:rsidRPr="00C56257">
              <w:rPr>
                <w:color w:val="000000" w:themeColor="text1"/>
                <w:sz w:val="24"/>
                <w:szCs w:val="24"/>
              </w:rPr>
              <w:t>B03, B05,</w:t>
            </w:r>
          </w:p>
          <w:p w14:paraId="17AF354C" w14:textId="77777777" w:rsidR="00FC65BA" w:rsidRPr="00C56257" w:rsidRDefault="00FC65BA" w:rsidP="008E33FD">
            <w:pPr>
              <w:pStyle w:val="TableParagraph"/>
              <w:jc w:val="both"/>
              <w:rPr>
                <w:color w:val="000000" w:themeColor="text1"/>
                <w:sz w:val="24"/>
                <w:szCs w:val="24"/>
              </w:rPr>
            </w:pPr>
            <w:r w:rsidRPr="00C56257">
              <w:rPr>
                <w:color w:val="000000" w:themeColor="text1"/>
                <w:sz w:val="24"/>
                <w:szCs w:val="24"/>
              </w:rPr>
              <w:t>B17</w:t>
            </w:r>
            <w:r w:rsidRPr="00C56257">
              <w:rPr>
                <w:color w:val="000000" w:themeColor="text1"/>
                <w:spacing w:val="-1"/>
                <w:sz w:val="24"/>
                <w:szCs w:val="24"/>
              </w:rPr>
              <w:t xml:space="preserve"> </w:t>
            </w:r>
            <w:r w:rsidRPr="00C56257">
              <w:rPr>
                <w:color w:val="000000" w:themeColor="text1"/>
                <w:sz w:val="24"/>
                <w:szCs w:val="24"/>
              </w:rPr>
              <w:t>parţial</w:t>
            </w:r>
          </w:p>
        </w:tc>
      </w:tr>
      <w:tr w:rsidR="00FC65BA" w:rsidRPr="00C56257" w14:paraId="5F78FF52" w14:textId="77777777" w:rsidTr="00FC65BA">
        <w:trPr>
          <w:trHeight w:val="758"/>
        </w:trPr>
        <w:tc>
          <w:tcPr>
            <w:tcW w:w="528" w:type="dxa"/>
          </w:tcPr>
          <w:p w14:paraId="02E0C1B2" w14:textId="77777777" w:rsidR="00FC65BA" w:rsidRPr="00C56257" w:rsidRDefault="00FC65BA" w:rsidP="008E33FD">
            <w:pPr>
              <w:pStyle w:val="TableParagraph"/>
              <w:spacing w:line="247" w:lineRule="exact"/>
              <w:ind w:left="87" w:right="221"/>
              <w:jc w:val="both"/>
              <w:rPr>
                <w:color w:val="000000" w:themeColor="text1"/>
                <w:sz w:val="24"/>
                <w:szCs w:val="24"/>
              </w:rPr>
            </w:pPr>
            <w:r w:rsidRPr="00C56257">
              <w:rPr>
                <w:color w:val="000000" w:themeColor="text1"/>
                <w:sz w:val="24"/>
                <w:szCs w:val="24"/>
              </w:rPr>
              <w:t>4.</w:t>
            </w:r>
          </w:p>
        </w:tc>
        <w:tc>
          <w:tcPr>
            <w:tcW w:w="744" w:type="dxa"/>
          </w:tcPr>
          <w:p w14:paraId="03737C52" w14:textId="77777777" w:rsidR="00FC65BA" w:rsidRPr="00C56257" w:rsidRDefault="00FC65BA" w:rsidP="008E33FD">
            <w:pPr>
              <w:pStyle w:val="TableParagraph"/>
              <w:spacing w:before="4"/>
              <w:jc w:val="both"/>
              <w:rPr>
                <w:color w:val="000000" w:themeColor="text1"/>
                <w:sz w:val="24"/>
                <w:szCs w:val="24"/>
              </w:rPr>
            </w:pPr>
          </w:p>
          <w:p w14:paraId="0075012E" w14:textId="77777777" w:rsidR="00FC65BA" w:rsidRPr="00C56257" w:rsidRDefault="00FC65BA" w:rsidP="008E33FD">
            <w:pPr>
              <w:pStyle w:val="TableParagraph"/>
              <w:ind w:left="87" w:right="80"/>
              <w:jc w:val="both"/>
              <w:rPr>
                <w:color w:val="000000" w:themeColor="text1"/>
                <w:sz w:val="24"/>
                <w:szCs w:val="24"/>
              </w:rPr>
            </w:pPr>
            <w:r w:rsidRPr="00C56257">
              <w:rPr>
                <w:color w:val="000000" w:themeColor="text1"/>
                <w:sz w:val="24"/>
                <w:szCs w:val="24"/>
              </w:rPr>
              <w:t>CA07</w:t>
            </w:r>
          </w:p>
        </w:tc>
        <w:tc>
          <w:tcPr>
            <w:tcW w:w="2187" w:type="dxa"/>
          </w:tcPr>
          <w:p w14:paraId="23BAEC56" w14:textId="77777777" w:rsidR="00FC65BA" w:rsidRPr="00C56257" w:rsidRDefault="00FC65BA" w:rsidP="008E33FD">
            <w:pPr>
              <w:pStyle w:val="TableParagraph"/>
              <w:ind w:right="175"/>
              <w:jc w:val="both"/>
              <w:rPr>
                <w:color w:val="000000" w:themeColor="text1"/>
                <w:sz w:val="24"/>
                <w:szCs w:val="24"/>
              </w:rPr>
            </w:pPr>
            <w:r w:rsidRPr="00C56257">
              <w:rPr>
                <w:color w:val="000000" w:themeColor="text1"/>
                <w:sz w:val="24"/>
                <w:szCs w:val="24"/>
              </w:rPr>
              <w:t>Recreerea habitatelor</w:t>
            </w:r>
            <w:r w:rsidRPr="00C56257">
              <w:rPr>
                <w:color w:val="000000" w:themeColor="text1"/>
                <w:spacing w:val="-52"/>
                <w:sz w:val="24"/>
                <w:szCs w:val="24"/>
              </w:rPr>
              <w:t xml:space="preserve"> </w:t>
            </w:r>
            <w:r w:rsidRPr="00C56257">
              <w:rPr>
                <w:color w:val="000000" w:themeColor="text1"/>
                <w:sz w:val="24"/>
                <w:szCs w:val="24"/>
              </w:rPr>
              <w:t>agricole</w:t>
            </w:r>
            <w:r w:rsidRPr="00C56257">
              <w:rPr>
                <w:color w:val="000000" w:themeColor="text1"/>
                <w:spacing w:val="-1"/>
                <w:sz w:val="24"/>
                <w:szCs w:val="24"/>
              </w:rPr>
              <w:t xml:space="preserve"> </w:t>
            </w:r>
            <w:r w:rsidRPr="00C56257">
              <w:rPr>
                <w:color w:val="000000" w:themeColor="text1"/>
                <w:sz w:val="24"/>
                <w:szCs w:val="24"/>
              </w:rPr>
              <w:t>din</w:t>
            </w:r>
            <w:r w:rsidRPr="00C56257">
              <w:rPr>
                <w:color w:val="000000" w:themeColor="text1"/>
                <w:spacing w:val="-1"/>
                <w:sz w:val="24"/>
                <w:szCs w:val="24"/>
              </w:rPr>
              <w:t xml:space="preserve"> </w:t>
            </w:r>
            <w:r w:rsidRPr="00C56257">
              <w:rPr>
                <w:color w:val="000000" w:themeColor="text1"/>
                <w:sz w:val="24"/>
                <w:szCs w:val="24"/>
              </w:rPr>
              <w:t>Anexa</w:t>
            </w:r>
            <w:r w:rsidRPr="00C56257">
              <w:rPr>
                <w:color w:val="000000" w:themeColor="text1"/>
                <w:spacing w:val="-1"/>
                <w:sz w:val="24"/>
                <w:szCs w:val="24"/>
              </w:rPr>
              <w:t xml:space="preserve"> </w:t>
            </w:r>
            <w:r w:rsidRPr="00C56257">
              <w:rPr>
                <w:color w:val="000000" w:themeColor="text1"/>
                <w:sz w:val="24"/>
                <w:szCs w:val="24"/>
              </w:rPr>
              <w:t>I</w:t>
            </w:r>
          </w:p>
        </w:tc>
        <w:tc>
          <w:tcPr>
            <w:tcW w:w="4729" w:type="dxa"/>
          </w:tcPr>
          <w:p w14:paraId="55097763" w14:textId="77777777" w:rsidR="00FC65BA" w:rsidRPr="00C56257" w:rsidRDefault="00FC65BA" w:rsidP="008E33FD">
            <w:pPr>
              <w:pStyle w:val="TableParagraph"/>
              <w:ind w:right="236"/>
              <w:jc w:val="both"/>
              <w:rPr>
                <w:color w:val="000000" w:themeColor="text1"/>
                <w:sz w:val="24"/>
                <w:szCs w:val="24"/>
              </w:rPr>
            </w:pPr>
            <w:r w:rsidRPr="00C56257">
              <w:rPr>
                <w:color w:val="000000" w:themeColor="text1"/>
                <w:sz w:val="24"/>
                <w:szCs w:val="24"/>
              </w:rPr>
              <w:t>Terenul care a fost folosit anterior fie</w:t>
            </w:r>
            <w:r w:rsidRPr="00C56257">
              <w:rPr>
                <w:color w:val="000000" w:themeColor="text1"/>
                <w:spacing w:val="1"/>
                <w:sz w:val="24"/>
                <w:szCs w:val="24"/>
              </w:rPr>
              <w:t xml:space="preserve"> </w:t>
            </w:r>
            <w:r w:rsidRPr="00C56257">
              <w:rPr>
                <w:color w:val="000000" w:themeColor="text1"/>
                <w:sz w:val="24"/>
                <w:szCs w:val="24"/>
              </w:rPr>
              <w:t>pentru</w:t>
            </w:r>
            <w:r w:rsidRPr="00C56257">
              <w:rPr>
                <w:color w:val="000000" w:themeColor="text1"/>
                <w:spacing w:val="-3"/>
                <w:sz w:val="24"/>
                <w:szCs w:val="24"/>
              </w:rPr>
              <w:t xml:space="preserve"> </w:t>
            </w:r>
            <w:r w:rsidRPr="00C56257">
              <w:rPr>
                <w:color w:val="000000" w:themeColor="text1"/>
                <w:sz w:val="24"/>
                <w:szCs w:val="24"/>
              </w:rPr>
              <w:t>agricultură</w:t>
            </w:r>
            <w:r w:rsidRPr="00C56257">
              <w:rPr>
                <w:color w:val="000000" w:themeColor="text1"/>
                <w:spacing w:val="-2"/>
                <w:sz w:val="24"/>
                <w:szCs w:val="24"/>
              </w:rPr>
              <w:t xml:space="preserve"> </w:t>
            </w:r>
            <w:r w:rsidRPr="00C56257">
              <w:rPr>
                <w:color w:val="000000" w:themeColor="text1"/>
                <w:sz w:val="24"/>
                <w:szCs w:val="24"/>
              </w:rPr>
              <w:t>(de</w:t>
            </w:r>
            <w:r w:rsidRPr="00C56257">
              <w:rPr>
                <w:color w:val="000000" w:themeColor="text1"/>
                <w:spacing w:val="-3"/>
                <w:sz w:val="24"/>
                <w:szCs w:val="24"/>
              </w:rPr>
              <w:t xml:space="preserve"> </w:t>
            </w:r>
            <w:r w:rsidRPr="00C56257">
              <w:rPr>
                <w:color w:val="000000" w:themeColor="text1"/>
                <w:sz w:val="24"/>
                <w:szCs w:val="24"/>
              </w:rPr>
              <w:t>ex.</w:t>
            </w:r>
            <w:r w:rsidRPr="00C56257">
              <w:rPr>
                <w:color w:val="000000" w:themeColor="text1"/>
                <w:spacing w:val="-2"/>
                <w:sz w:val="24"/>
                <w:szCs w:val="24"/>
              </w:rPr>
              <w:t xml:space="preserve"> </w:t>
            </w:r>
            <w:r w:rsidRPr="00C56257">
              <w:rPr>
                <w:color w:val="000000" w:themeColor="text1"/>
                <w:sz w:val="24"/>
                <w:szCs w:val="24"/>
              </w:rPr>
              <w:t>teren</w:t>
            </w:r>
            <w:r w:rsidRPr="00C56257">
              <w:rPr>
                <w:color w:val="000000" w:themeColor="text1"/>
                <w:spacing w:val="-2"/>
                <w:sz w:val="24"/>
                <w:szCs w:val="24"/>
              </w:rPr>
              <w:t xml:space="preserve"> </w:t>
            </w:r>
            <w:r w:rsidRPr="00C56257">
              <w:rPr>
                <w:color w:val="000000" w:themeColor="text1"/>
                <w:sz w:val="24"/>
                <w:szCs w:val="24"/>
              </w:rPr>
              <w:t>arabil),</w:t>
            </w:r>
          </w:p>
          <w:p w14:paraId="6735EEBC" w14:textId="77777777" w:rsidR="00FC65BA" w:rsidRPr="00C56257" w:rsidRDefault="00FC65BA" w:rsidP="008E33FD">
            <w:pPr>
              <w:pStyle w:val="TableParagraph"/>
              <w:spacing w:line="238" w:lineRule="exact"/>
              <w:jc w:val="both"/>
              <w:rPr>
                <w:color w:val="000000" w:themeColor="text1"/>
                <w:sz w:val="24"/>
                <w:szCs w:val="24"/>
              </w:rPr>
            </w:pPr>
            <w:r w:rsidRPr="00C56257">
              <w:rPr>
                <w:color w:val="000000" w:themeColor="text1"/>
                <w:sz w:val="24"/>
                <w:szCs w:val="24"/>
              </w:rPr>
              <w:t>pentru</w:t>
            </w:r>
            <w:r w:rsidRPr="00C56257">
              <w:rPr>
                <w:color w:val="000000" w:themeColor="text1"/>
                <w:spacing w:val="-2"/>
                <w:sz w:val="24"/>
                <w:szCs w:val="24"/>
              </w:rPr>
              <w:t xml:space="preserve"> </w:t>
            </w:r>
            <w:r w:rsidRPr="00C56257">
              <w:rPr>
                <w:color w:val="000000" w:themeColor="text1"/>
                <w:sz w:val="24"/>
                <w:szCs w:val="24"/>
              </w:rPr>
              <w:t>silvicultură</w:t>
            </w:r>
            <w:r w:rsidRPr="00C56257">
              <w:rPr>
                <w:color w:val="000000" w:themeColor="text1"/>
                <w:spacing w:val="-4"/>
                <w:sz w:val="24"/>
                <w:szCs w:val="24"/>
              </w:rPr>
              <w:t xml:space="preserve"> </w:t>
            </w:r>
            <w:r w:rsidRPr="00C56257">
              <w:rPr>
                <w:color w:val="000000" w:themeColor="text1"/>
                <w:sz w:val="24"/>
                <w:szCs w:val="24"/>
              </w:rPr>
              <w:t>(de</w:t>
            </w:r>
            <w:r w:rsidRPr="00C56257">
              <w:rPr>
                <w:color w:val="000000" w:themeColor="text1"/>
                <w:spacing w:val="-4"/>
                <w:sz w:val="24"/>
                <w:szCs w:val="24"/>
              </w:rPr>
              <w:t xml:space="preserve"> </w:t>
            </w:r>
            <w:r w:rsidRPr="00C56257">
              <w:rPr>
                <w:color w:val="000000" w:themeColor="text1"/>
                <w:sz w:val="24"/>
                <w:szCs w:val="24"/>
              </w:rPr>
              <w:t>exemplu,</w:t>
            </w:r>
          </w:p>
        </w:tc>
        <w:tc>
          <w:tcPr>
            <w:tcW w:w="1710" w:type="dxa"/>
          </w:tcPr>
          <w:p w14:paraId="1B149BAF" w14:textId="77777777" w:rsidR="00FC65BA" w:rsidRPr="00C56257" w:rsidRDefault="00FC65BA" w:rsidP="008E33FD">
            <w:pPr>
              <w:pStyle w:val="TableParagraph"/>
              <w:ind w:right="301"/>
              <w:jc w:val="both"/>
              <w:rPr>
                <w:color w:val="000000" w:themeColor="text1"/>
                <w:sz w:val="24"/>
                <w:szCs w:val="24"/>
              </w:rPr>
            </w:pPr>
            <w:r w:rsidRPr="00C56257">
              <w:rPr>
                <w:color w:val="000000" w:themeColor="text1"/>
                <w:sz w:val="24"/>
                <w:szCs w:val="24"/>
              </w:rPr>
              <w:t>A02, B01,</w:t>
            </w:r>
            <w:r w:rsidRPr="00C56257">
              <w:rPr>
                <w:color w:val="000000" w:themeColor="text1"/>
                <w:spacing w:val="-52"/>
                <w:sz w:val="24"/>
                <w:szCs w:val="24"/>
              </w:rPr>
              <w:t xml:space="preserve"> </w:t>
            </w:r>
            <w:r w:rsidRPr="00C56257">
              <w:rPr>
                <w:color w:val="000000" w:themeColor="text1"/>
                <w:spacing w:val="-1"/>
                <w:sz w:val="24"/>
                <w:szCs w:val="24"/>
              </w:rPr>
              <w:t>C05,</w:t>
            </w:r>
            <w:r w:rsidRPr="00C56257">
              <w:rPr>
                <w:color w:val="000000" w:themeColor="text1"/>
                <w:spacing w:val="-12"/>
                <w:sz w:val="24"/>
                <w:szCs w:val="24"/>
              </w:rPr>
              <w:t xml:space="preserve"> </w:t>
            </w:r>
            <w:r w:rsidRPr="00C56257">
              <w:rPr>
                <w:color w:val="000000" w:themeColor="text1"/>
                <w:sz w:val="24"/>
                <w:szCs w:val="24"/>
              </w:rPr>
              <w:t>D01,</w:t>
            </w:r>
          </w:p>
          <w:p w14:paraId="00A545F2" w14:textId="77777777" w:rsidR="00FC65BA" w:rsidRPr="00C56257" w:rsidRDefault="00FC65BA" w:rsidP="008E33FD">
            <w:pPr>
              <w:pStyle w:val="TableParagraph"/>
              <w:spacing w:line="238" w:lineRule="exact"/>
              <w:jc w:val="both"/>
              <w:rPr>
                <w:color w:val="000000" w:themeColor="text1"/>
                <w:sz w:val="24"/>
                <w:szCs w:val="24"/>
              </w:rPr>
            </w:pPr>
            <w:r w:rsidRPr="00C56257">
              <w:rPr>
                <w:color w:val="000000" w:themeColor="text1"/>
                <w:sz w:val="24"/>
                <w:szCs w:val="24"/>
              </w:rPr>
              <w:t>D03, F01,</w:t>
            </w:r>
          </w:p>
        </w:tc>
      </w:tr>
      <w:tr w:rsidR="00FC65BA" w:rsidRPr="00C56257" w14:paraId="0929FAAD" w14:textId="77777777" w:rsidTr="00FC65BA">
        <w:trPr>
          <w:trHeight w:val="2277"/>
        </w:trPr>
        <w:tc>
          <w:tcPr>
            <w:tcW w:w="528" w:type="dxa"/>
          </w:tcPr>
          <w:p w14:paraId="3FE7E5A6" w14:textId="77777777" w:rsidR="00FC65BA" w:rsidRPr="00C56257" w:rsidRDefault="00FC65BA" w:rsidP="008E33FD">
            <w:pPr>
              <w:pStyle w:val="TableParagraph"/>
              <w:jc w:val="both"/>
              <w:rPr>
                <w:color w:val="000000" w:themeColor="text1"/>
                <w:sz w:val="24"/>
                <w:szCs w:val="24"/>
              </w:rPr>
            </w:pPr>
          </w:p>
        </w:tc>
        <w:tc>
          <w:tcPr>
            <w:tcW w:w="744" w:type="dxa"/>
          </w:tcPr>
          <w:p w14:paraId="3E61F615" w14:textId="77777777" w:rsidR="00FC65BA" w:rsidRPr="00C56257" w:rsidRDefault="00FC65BA" w:rsidP="008E33FD">
            <w:pPr>
              <w:pStyle w:val="TableParagraph"/>
              <w:jc w:val="both"/>
              <w:rPr>
                <w:color w:val="000000" w:themeColor="text1"/>
                <w:sz w:val="24"/>
                <w:szCs w:val="24"/>
              </w:rPr>
            </w:pPr>
          </w:p>
        </w:tc>
        <w:tc>
          <w:tcPr>
            <w:tcW w:w="2187" w:type="dxa"/>
          </w:tcPr>
          <w:p w14:paraId="4F2A693B" w14:textId="77777777" w:rsidR="00FC65BA" w:rsidRPr="00C56257" w:rsidRDefault="00FC65BA" w:rsidP="008E33FD">
            <w:pPr>
              <w:pStyle w:val="TableParagraph"/>
              <w:jc w:val="both"/>
              <w:rPr>
                <w:color w:val="000000" w:themeColor="text1"/>
                <w:sz w:val="24"/>
                <w:szCs w:val="24"/>
              </w:rPr>
            </w:pPr>
          </w:p>
        </w:tc>
        <w:tc>
          <w:tcPr>
            <w:tcW w:w="4729" w:type="dxa"/>
          </w:tcPr>
          <w:p w14:paraId="2913E1F7" w14:textId="77777777" w:rsidR="00FC65BA" w:rsidRPr="00C56257" w:rsidRDefault="00FC65BA" w:rsidP="008E33FD">
            <w:pPr>
              <w:pStyle w:val="TableParagraph"/>
              <w:ind w:right="139"/>
              <w:jc w:val="both"/>
              <w:rPr>
                <w:color w:val="000000" w:themeColor="text1"/>
                <w:sz w:val="24"/>
                <w:szCs w:val="24"/>
              </w:rPr>
            </w:pPr>
            <w:r w:rsidRPr="00C56257">
              <w:rPr>
                <w:color w:val="000000" w:themeColor="text1"/>
                <w:sz w:val="24"/>
                <w:szCs w:val="24"/>
              </w:rPr>
              <w:t>plantație populară), să fie destinat unei</w:t>
            </w:r>
            <w:r w:rsidRPr="00C56257">
              <w:rPr>
                <w:color w:val="000000" w:themeColor="text1"/>
                <w:spacing w:val="1"/>
                <w:sz w:val="24"/>
                <w:szCs w:val="24"/>
              </w:rPr>
              <w:t xml:space="preserve"> </w:t>
            </w:r>
            <w:r w:rsidRPr="00C56257">
              <w:rPr>
                <w:color w:val="000000" w:themeColor="text1"/>
                <w:sz w:val="24"/>
                <w:szCs w:val="24"/>
              </w:rPr>
              <w:t>alte utilizări; (re) crearea / restaurarea</w:t>
            </w:r>
            <w:r w:rsidRPr="00C56257">
              <w:rPr>
                <w:color w:val="000000" w:themeColor="text1"/>
                <w:spacing w:val="1"/>
                <w:sz w:val="24"/>
                <w:szCs w:val="24"/>
              </w:rPr>
              <w:t xml:space="preserve"> </w:t>
            </w:r>
            <w:r w:rsidRPr="00C56257">
              <w:rPr>
                <w:color w:val="000000" w:themeColor="text1"/>
                <w:sz w:val="24"/>
                <w:szCs w:val="24"/>
              </w:rPr>
              <w:t>ca tip de habitat agricol din Anexa I.</w:t>
            </w:r>
            <w:r w:rsidRPr="00C56257">
              <w:rPr>
                <w:color w:val="000000" w:themeColor="text1"/>
                <w:spacing w:val="1"/>
                <w:sz w:val="24"/>
                <w:szCs w:val="24"/>
              </w:rPr>
              <w:t xml:space="preserve"> </w:t>
            </w:r>
            <w:r w:rsidRPr="00C56257">
              <w:rPr>
                <w:color w:val="000000" w:themeColor="text1"/>
                <w:sz w:val="24"/>
                <w:szCs w:val="24"/>
              </w:rPr>
              <w:t>Include, de exemplu, recreerea unei</w:t>
            </w:r>
            <w:r w:rsidRPr="00C56257">
              <w:rPr>
                <w:color w:val="000000" w:themeColor="text1"/>
                <w:spacing w:val="1"/>
                <w:sz w:val="24"/>
                <w:szCs w:val="24"/>
              </w:rPr>
              <w:t xml:space="preserve"> </w:t>
            </w:r>
            <w:r w:rsidRPr="00C56257">
              <w:rPr>
                <w:color w:val="000000" w:themeColor="text1"/>
                <w:sz w:val="24"/>
                <w:szCs w:val="24"/>
              </w:rPr>
              <w:t>pajiști din anexa I dintr-o plantație</w:t>
            </w:r>
            <w:r w:rsidRPr="00C56257">
              <w:rPr>
                <w:color w:val="000000" w:themeColor="text1"/>
                <w:spacing w:val="1"/>
                <w:sz w:val="24"/>
                <w:szCs w:val="24"/>
              </w:rPr>
              <w:t xml:space="preserve"> </w:t>
            </w:r>
            <w:r w:rsidRPr="00C56257">
              <w:rPr>
                <w:color w:val="000000" w:themeColor="text1"/>
                <w:sz w:val="24"/>
                <w:szCs w:val="24"/>
              </w:rPr>
              <w:t>forestieră. Acesta este un proces care ar</w:t>
            </w:r>
            <w:r w:rsidRPr="00C56257">
              <w:rPr>
                <w:color w:val="000000" w:themeColor="text1"/>
                <w:spacing w:val="-52"/>
                <w:sz w:val="24"/>
                <w:szCs w:val="24"/>
              </w:rPr>
              <w:t xml:space="preserve"> </w:t>
            </w:r>
            <w:r w:rsidRPr="00C56257">
              <w:rPr>
                <w:color w:val="000000" w:themeColor="text1"/>
                <w:sz w:val="24"/>
                <w:szCs w:val="24"/>
              </w:rPr>
              <w:t>putea</w:t>
            </w:r>
            <w:r w:rsidRPr="00C56257">
              <w:rPr>
                <w:color w:val="000000" w:themeColor="text1"/>
                <w:spacing w:val="-3"/>
                <w:sz w:val="24"/>
                <w:szCs w:val="24"/>
              </w:rPr>
              <w:t xml:space="preserve"> </w:t>
            </w:r>
            <w:r w:rsidRPr="00C56257">
              <w:rPr>
                <w:color w:val="000000" w:themeColor="text1"/>
                <w:sz w:val="24"/>
                <w:szCs w:val="24"/>
              </w:rPr>
              <w:t>dura</w:t>
            </w:r>
            <w:r w:rsidRPr="00C56257">
              <w:rPr>
                <w:color w:val="000000" w:themeColor="text1"/>
                <w:spacing w:val="-1"/>
                <w:sz w:val="24"/>
                <w:szCs w:val="24"/>
              </w:rPr>
              <w:t xml:space="preserve"> </w:t>
            </w:r>
            <w:r w:rsidRPr="00C56257">
              <w:rPr>
                <w:color w:val="000000" w:themeColor="text1"/>
                <w:sz w:val="24"/>
                <w:szCs w:val="24"/>
              </w:rPr>
              <w:t>mult</w:t>
            </w:r>
            <w:r w:rsidRPr="00C56257">
              <w:rPr>
                <w:color w:val="000000" w:themeColor="text1"/>
                <w:spacing w:val="1"/>
                <w:sz w:val="24"/>
                <w:szCs w:val="24"/>
              </w:rPr>
              <w:t xml:space="preserve"> </w:t>
            </w:r>
            <w:r w:rsidRPr="00C56257">
              <w:rPr>
                <w:color w:val="000000" w:themeColor="text1"/>
                <w:sz w:val="24"/>
                <w:szCs w:val="24"/>
              </w:rPr>
              <w:t>timp</w:t>
            </w:r>
            <w:r w:rsidRPr="00C56257">
              <w:rPr>
                <w:color w:val="000000" w:themeColor="text1"/>
                <w:spacing w:val="-1"/>
                <w:sz w:val="24"/>
                <w:szCs w:val="24"/>
              </w:rPr>
              <w:t xml:space="preserve"> </w:t>
            </w:r>
            <w:r w:rsidRPr="00C56257">
              <w:rPr>
                <w:color w:val="000000" w:themeColor="text1"/>
                <w:sz w:val="24"/>
                <w:szCs w:val="24"/>
              </w:rPr>
              <w:t>pentru</w:t>
            </w:r>
            <w:r w:rsidRPr="00C56257">
              <w:rPr>
                <w:color w:val="000000" w:themeColor="text1"/>
                <w:spacing w:val="-3"/>
                <w:sz w:val="24"/>
                <w:szCs w:val="24"/>
              </w:rPr>
              <w:t xml:space="preserve"> </w:t>
            </w:r>
            <w:r w:rsidRPr="00C56257">
              <w:rPr>
                <w:color w:val="000000" w:themeColor="text1"/>
                <w:sz w:val="24"/>
                <w:szCs w:val="24"/>
              </w:rPr>
              <w:t>a</w:t>
            </w:r>
            <w:r w:rsidRPr="00C56257">
              <w:rPr>
                <w:color w:val="000000" w:themeColor="text1"/>
                <w:spacing w:val="-1"/>
                <w:sz w:val="24"/>
                <w:szCs w:val="24"/>
              </w:rPr>
              <w:t xml:space="preserve"> </w:t>
            </w:r>
            <w:r w:rsidRPr="00C56257">
              <w:rPr>
                <w:color w:val="000000" w:themeColor="text1"/>
                <w:sz w:val="24"/>
                <w:szCs w:val="24"/>
              </w:rPr>
              <w:t>restabili</w:t>
            </w:r>
          </w:p>
          <w:p w14:paraId="7AD078EC" w14:textId="77777777" w:rsidR="00FC65BA" w:rsidRPr="00C56257" w:rsidRDefault="00FC65BA" w:rsidP="008E33FD">
            <w:pPr>
              <w:pStyle w:val="TableParagraph"/>
              <w:spacing w:line="252" w:lineRule="exact"/>
              <w:ind w:right="1000"/>
              <w:jc w:val="both"/>
              <w:rPr>
                <w:color w:val="000000" w:themeColor="text1"/>
                <w:sz w:val="24"/>
                <w:szCs w:val="24"/>
              </w:rPr>
            </w:pPr>
            <w:r w:rsidRPr="00C56257">
              <w:rPr>
                <w:color w:val="000000" w:themeColor="text1"/>
                <w:sz w:val="24"/>
                <w:szCs w:val="24"/>
              </w:rPr>
              <w:t>pe deplin structura și funcțiile</w:t>
            </w:r>
            <w:r w:rsidRPr="00C56257">
              <w:rPr>
                <w:color w:val="000000" w:themeColor="text1"/>
                <w:spacing w:val="-52"/>
                <w:sz w:val="24"/>
                <w:szCs w:val="24"/>
              </w:rPr>
              <w:t xml:space="preserve"> </w:t>
            </w:r>
            <w:r w:rsidRPr="00C56257">
              <w:rPr>
                <w:color w:val="000000" w:themeColor="text1"/>
                <w:sz w:val="24"/>
                <w:szCs w:val="24"/>
              </w:rPr>
              <w:t>habitatelor.</w:t>
            </w:r>
          </w:p>
        </w:tc>
        <w:tc>
          <w:tcPr>
            <w:tcW w:w="1710" w:type="dxa"/>
          </w:tcPr>
          <w:p w14:paraId="2ABBFEC8" w14:textId="77777777" w:rsidR="00FC65BA" w:rsidRPr="00C56257" w:rsidRDefault="00FC65BA" w:rsidP="008E33FD">
            <w:pPr>
              <w:pStyle w:val="TableParagraph"/>
              <w:spacing w:line="247" w:lineRule="exact"/>
              <w:jc w:val="both"/>
              <w:rPr>
                <w:color w:val="000000" w:themeColor="text1"/>
                <w:sz w:val="24"/>
                <w:szCs w:val="24"/>
              </w:rPr>
            </w:pPr>
            <w:r w:rsidRPr="00C56257">
              <w:rPr>
                <w:color w:val="000000" w:themeColor="text1"/>
                <w:sz w:val="24"/>
                <w:szCs w:val="24"/>
              </w:rPr>
              <w:t>F03, F05</w:t>
            </w:r>
          </w:p>
        </w:tc>
      </w:tr>
      <w:tr w:rsidR="00FC65BA" w:rsidRPr="00C56257" w14:paraId="5826716B" w14:textId="77777777" w:rsidTr="00FC65BA">
        <w:trPr>
          <w:trHeight w:val="3288"/>
        </w:trPr>
        <w:tc>
          <w:tcPr>
            <w:tcW w:w="528" w:type="dxa"/>
          </w:tcPr>
          <w:p w14:paraId="2A828548" w14:textId="77777777" w:rsidR="00FC65BA" w:rsidRPr="00C56257" w:rsidRDefault="00FC65BA" w:rsidP="008E33FD">
            <w:pPr>
              <w:pStyle w:val="TableParagraph"/>
              <w:spacing w:line="247" w:lineRule="exact"/>
              <w:jc w:val="both"/>
              <w:rPr>
                <w:color w:val="000000" w:themeColor="text1"/>
                <w:sz w:val="24"/>
                <w:szCs w:val="24"/>
              </w:rPr>
            </w:pPr>
            <w:r w:rsidRPr="00C56257">
              <w:rPr>
                <w:color w:val="000000" w:themeColor="text1"/>
                <w:sz w:val="24"/>
                <w:szCs w:val="24"/>
              </w:rPr>
              <w:t>5.</w:t>
            </w:r>
          </w:p>
        </w:tc>
        <w:tc>
          <w:tcPr>
            <w:tcW w:w="744" w:type="dxa"/>
          </w:tcPr>
          <w:p w14:paraId="6C3FEB1A" w14:textId="77777777" w:rsidR="00FC65BA" w:rsidRPr="00C56257" w:rsidRDefault="00FC65BA" w:rsidP="008E33FD">
            <w:pPr>
              <w:pStyle w:val="TableParagraph"/>
              <w:jc w:val="both"/>
              <w:rPr>
                <w:color w:val="000000" w:themeColor="text1"/>
                <w:sz w:val="24"/>
                <w:szCs w:val="24"/>
              </w:rPr>
            </w:pPr>
          </w:p>
          <w:p w14:paraId="6B2B3D61" w14:textId="77777777" w:rsidR="00FC65BA" w:rsidRPr="00C56257" w:rsidRDefault="00FC65BA" w:rsidP="008E33FD">
            <w:pPr>
              <w:pStyle w:val="TableParagraph"/>
              <w:jc w:val="both"/>
              <w:rPr>
                <w:color w:val="000000" w:themeColor="text1"/>
                <w:sz w:val="24"/>
                <w:szCs w:val="24"/>
              </w:rPr>
            </w:pPr>
          </w:p>
          <w:p w14:paraId="74DE92AB" w14:textId="77777777" w:rsidR="00FC65BA" w:rsidRPr="00C56257" w:rsidRDefault="00FC65BA" w:rsidP="008E33FD">
            <w:pPr>
              <w:pStyle w:val="TableParagraph"/>
              <w:jc w:val="both"/>
              <w:rPr>
                <w:color w:val="000000" w:themeColor="text1"/>
                <w:sz w:val="24"/>
                <w:szCs w:val="24"/>
              </w:rPr>
            </w:pPr>
          </w:p>
          <w:p w14:paraId="19ADA1A2" w14:textId="77777777" w:rsidR="00FC65BA" w:rsidRPr="00C56257" w:rsidRDefault="00FC65BA" w:rsidP="008E33FD">
            <w:pPr>
              <w:pStyle w:val="TableParagraph"/>
              <w:jc w:val="both"/>
              <w:rPr>
                <w:color w:val="000000" w:themeColor="text1"/>
                <w:sz w:val="24"/>
                <w:szCs w:val="24"/>
              </w:rPr>
            </w:pPr>
          </w:p>
          <w:p w14:paraId="351E92E7" w14:textId="77777777" w:rsidR="00FC65BA" w:rsidRPr="00C56257" w:rsidRDefault="00FC65BA" w:rsidP="008E33FD">
            <w:pPr>
              <w:pStyle w:val="TableParagraph"/>
              <w:spacing w:before="4"/>
              <w:jc w:val="both"/>
              <w:rPr>
                <w:color w:val="000000" w:themeColor="text1"/>
                <w:sz w:val="24"/>
                <w:szCs w:val="24"/>
              </w:rPr>
            </w:pPr>
          </w:p>
          <w:p w14:paraId="70F67398" w14:textId="77777777" w:rsidR="00FC65BA" w:rsidRPr="00C56257" w:rsidRDefault="00FC65BA" w:rsidP="008E33FD">
            <w:pPr>
              <w:pStyle w:val="TableParagraph"/>
              <w:ind w:left="78" w:right="80"/>
              <w:jc w:val="both"/>
              <w:rPr>
                <w:color w:val="000000" w:themeColor="text1"/>
                <w:sz w:val="24"/>
                <w:szCs w:val="24"/>
              </w:rPr>
            </w:pPr>
            <w:r w:rsidRPr="00C56257">
              <w:rPr>
                <w:color w:val="000000" w:themeColor="text1"/>
                <w:sz w:val="24"/>
                <w:szCs w:val="24"/>
              </w:rPr>
              <w:t>CC03</w:t>
            </w:r>
          </w:p>
        </w:tc>
        <w:tc>
          <w:tcPr>
            <w:tcW w:w="2187" w:type="dxa"/>
          </w:tcPr>
          <w:p w14:paraId="39BD7997" w14:textId="77777777" w:rsidR="00FC65BA" w:rsidRPr="00C56257" w:rsidRDefault="00FC65BA" w:rsidP="008E33FD">
            <w:pPr>
              <w:pStyle w:val="TableParagraph"/>
              <w:jc w:val="both"/>
              <w:rPr>
                <w:color w:val="000000" w:themeColor="text1"/>
                <w:sz w:val="24"/>
                <w:szCs w:val="24"/>
              </w:rPr>
            </w:pPr>
          </w:p>
          <w:p w14:paraId="34EE7AEF" w14:textId="77777777" w:rsidR="00FC65BA" w:rsidRPr="00C56257" w:rsidRDefault="00FC65BA" w:rsidP="008E33FD">
            <w:pPr>
              <w:pStyle w:val="TableParagraph"/>
              <w:spacing w:before="5"/>
              <w:jc w:val="both"/>
              <w:rPr>
                <w:color w:val="000000" w:themeColor="text1"/>
                <w:sz w:val="24"/>
                <w:szCs w:val="24"/>
              </w:rPr>
            </w:pPr>
          </w:p>
          <w:p w14:paraId="3BEEFDF0" w14:textId="77777777" w:rsidR="00FC65BA" w:rsidRPr="00C56257" w:rsidRDefault="00FC65BA" w:rsidP="008E33FD">
            <w:pPr>
              <w:pStyle w:val="TableParagraph"/>
              <w:ind w:right="89"/>
              <w:jc w:val="both"/>
              <w:rPr>
                <w:color w:val="000000" w:themeColor="text1"/>
                <w:sz w:val="24"/>
                <w:szCs w:val="24"/>
              </w:rPr>
            </w:pPr>
            <w:r w:rsidRPr="00C56257">
              <w:rPr>
                <w:color w:val="000000" w:themeColor="text1"/>
                <w:sz w:val="24"/>
                <w:szCs w:val="24"/>
              </w:rPr>
              <w:t>Adaptarea /</w:t>
            </w:r>
            <w:r w:rsidRPr="00C56257">
              <w:rPr>
                <w:color w:val="000000" w:themeColor="text1"/>
                <w:spacing w:val="1"/>
                <w:sz w:val="24"/>
                <w:szCs w:val="24"/>
              </w:rPr>
              <w:t xml:space="preserve"> </w:t>
            </w:r>
            <w:r w:rsidRPr="00C56257">
              <w:rPr>
                <w:color w:val="000000" w:themeColor="text1"/>
                <w:sz w:val="24"/>
                <w:szCs w:val="24"/>
              </w:rPr>
              <w:t>gestionarea producerii</w:t>
            </w:r>
            <w:r w:rsidRPr="00C56257">
              <w:rPr>
                <w:color w:val="000000" w:themeColor="text1"/>
                <w:spacing w:val="-52"/>
                <w:sz w:val="24"/>
                <w:szCs w:val="24"/>
              </w:rPr>
              <w:t xml:space="preserve"> </w:t>
            </w:r>
            <w:r w:rsidRPr="00C56257">
              <w:rPr>
                <w:color w:val="000000" w:themeColor="text1"/>
                <w:sz w:val="24"/>
                <w:szCs w:val="24"/>
              </w:rPr>
              <w:t>de energie</w:t>
            </w:r>
            <w:r w:rsidRPr="00C56257">
              <w:rPr>
                <w:color w:val="000000" w:themeColor="text1"/>
                <w:spacing w:val="1"/>
                <w:sz w:val="24"/>
                <w:szCs w:val="24"/>
              </w:rPr>
              <w:t xml:space="preserve"> </w:t>
            </w:r>
            <w:r w:rsidRPr="00C56257">
              <w:rPr>
                <w:color w:val="000000" w:themeColor="text1"/>
                <w:sz w:val="24"/>
                <w:szCs w:val="24"/>
              </w:rPr>
              <w:t>regenerabilă, a</w:t>
            </w:r>
            <w:r w:rsidRPr="00C56257">
              <w:rPr>
                <w:color w:val="000000" w:themeColor="text1"/>
                <w:spacing w:val="1"/>
                <w:sz w:val="24"/>
                <w:szCs w:val="24"/>
              </w:rPr>
              <w:t xml:space="preserve"> </w:t>
            </w:r>
            <w:r w:rsidRPr="00C56257">
              <w:rPr>
                <w:color w:val="000000" w:themeColor="text1"/>
                <w:sz w:val="24"/>
                <w:szCs w:val="24"/>
              </w:rPr>
              <w:t>instalațiilor și</w:t>
            </w:r>
            <w:r w:rsidRPr="00C56257">
              <w:rPr>
                <w:color w:val="000000" w:themeColor="text1"/>
                <w:spacing w:val="1"/>
                <w:sz w:val="24"/>
                <w:szCs w:val="24"/>
              </w:rPr>
              <w:t xml:space="preserve"> </w:t>
            </w:r>
            <w:r w:rsidRPr="00C56257">
              <w:rPr>
                <w:color w:val="000000" w:themeColor="text1"/>
                <w:sz w:val="24"/>
                <w:szCs w:val="24"/>
              </w:rPr>
              <w:t>facilitatilor de</w:t>
            </w:r>
            <w:r w:rsidRPr="00C56257">
              <w:rPr>
                <w:color w:val="000000" w:themeColor="text1"/>
                <w:spacing w:val="1"/>
                <w:sz w:val="24"/>
                <w:szCs w:val="24"/>
              </w:rPr>
              <w:t xml:space="preserve"> </w:t>
            </w:r>
            <w:r w:rsidRPr="00C56257">
              <w:rPr>
                <w:color w:val="000000" w:themeColor="text1"/>
                <w:sz w:val="24"/>
                <w:szCs w:val="24"/>
              </w:rPr>
              <w:t>funcționare a acestor</w:t>
            </w:r>
            <w:r w:rsidRPr="00C56257">
              <w:rPr>
                <w:color w:val="000000" w:themeColor="text1"/>
                <w:spacing w:val="1"/>
                <w:sz w:val="24"/>
                <w:szCs w:val="24"/>
              </w:rPr>
              <w:t xml:space="preserve"> </w:t>
            </w:r>
            <w:r w:rsidRPr="00C56257">
              <w:rPr>
                <w:color w:val="000000" w:themeColor="text1"/>
                <w:sz w:val="24"/>
                <w:szCs w:val="24"/>
              </w:rPr>
              <w:t>instalații.</w:t>
            </w:r>
          </w:p>
        </w:tc>
        <w:tc>
          <w:tcPr>
            <w:tcW w:w="4729" w:type="dxa"/>
          </w:tcPr>
          <w:p w14:paraId="5A90B53B" w14:textId="77777777" w:rsidR="00FC65BA" w:rsidRPr="00C56257" w:rsidRDefault="00FC65BA" w:rsidP="00082644">
            <w:pPr>
              <w:pStyle w:val="TableParagraph"/>
              <w:ind w:right="138"/>
              <w:jc w:val="both"/>
              <w:rPr>
                <w:color w:val="000000" w:themeColor="text1"/>
                <w:sz w:val="24"/>
                <w:szCs w:val="24"/>
              </w:rPr>
            </w:pPr>
            <w:r w:rsidRPr="00C56257">
              <w:rPr>
                <w:color w:val="000000" w:themeColor="text1"/>
                <w:sz w:val="24"/>
                <w:szCs w:val="24"/>
              </w:rPr>
              <w:t>Adaptarea și gestionarea (inclusiv</w:t>
            </w:r>
            <w:r w:rsidRPr="00C56257">
              <w:rPr>
                <w:color w:val="000000" w:themeColor="text1"/>
                <w:spacing w:val="1"/>
                <w:sz w:val="24"/>
                <w:szCs w:val="24"/>
              </w:rPr>
              <w:t xml:space="preserve"> </w:t>
            </w:r>
            <w:r w:rsidRPr="00C56257">
              <w:rPr>
                <w:color w:val="000000" w:themeColor="text1"/>
                <w:sz w:val="24"/>
                <w:szCs w:val="24"/>
              </w:rPr>
              <w:t>oprirea și evitarea) instalării și</w:t>
            </w:r>
            <w:r w:rsidRPr="00C56257">
              <w:rPr>
                <w:color w:val="000000" w:themeColor="text1"/>
                <w:spacing w:val="1"/>
                <w:sz w:val="24"/>
                <w:szCs w:val="24"/>
              </w:rPr>
              <w:t xml:space="preserve"> </w:t>
            </w:r>
            <w:r w:rsidRPr="00C56257">
              <w:rPr>
                <w:color w:val="000000" w:themeColor="text1"/>
                <w:sz w:val="24"/>
                <w:szCs w:val="24"/>
              </w:rPr>
              <w:t>funcționării</w:t>
            </w:r>
            <w:r w:rsidRPr="00C56257">
              <w:rPr>
                <w:color w:val="000000" w:themeColor="text1"/>
                <w:spacing w:val="-7"/>
                <w:sz w:val="24"/>
                <w:szCs w:val="24"/>
              </w:rPr>
              <w:t xml:space="preserve"> </w:t>
            </w:r>
            <w:r w:rsidRPr="00C56257">
              <w:rPr>
                <w:color w:val="000000" w:themeColor="text1"/>
                <w:sz w:val="24"/>
                <w:szCs w:val="24"/>
              </w:rPr>
              <w:t>infrastructurilor</w:t>
            </w:r>
            <w:r w:rsidRPr="00C56257">
              <w:rPr>
                <w:color w:val="000000" w:themeColor="text1"/>
                <w:spacing w:val="-5"/>
                <w:sz w:val="24"/>
                <w:szCs w:val="24"/>
              </w:rPr>
              <w:t xml:space="preserve"> </w:t>
            </w:r>
            <w:r w:rsidRPr="00C56257">
              <w:rPr>
                <w:color w:val="000000" w:themeColor="text1"/>
                <w:sz w:val="24"/>
                <w:szCs w:val="24"/>
              </w:rPr>
              <w:t>de</w:t>
            </w:r>
            <w:r w:rsidRPr="00C56257">
              <w:rPr>
                <w:color w:val="000000" w:themeColor="text1"/>
                <w:spacing w:val="-6"/>
                <w:sz w:val="24"/>
                <w:szCs w:val="24"/>
              </w:rPr>
              <w:t xml:space="preserve"> </w:t>
            </w:r>
            <w:r w:rsidRPr="00C56257">
              <w:rPr>
                <w:color w:val="000000" w:themeColor="text1"/>
                <w:sz w:val="24"/>
                <w:szCs w:val="24"/>
              </w:rPr>
              <w:t>energiei</w:t>
            </w:r>
            <w:r w:rsidRPr="00C56257">
              <w:rPr>
                <w:color w:val="000000" w:themeColor="text1"/>
                <w:spacing w:val="-52"/>
                <w:sz w:val="24"/>
                <w:szCs w:val="24"/>
              </w:rPr>
              <w:t xml:space="preserve"> </w:t>
            </w:r>
            <w:r w:rsidRPr="00C56257">
              <w:rPr>
                <w:color w:val="000000" w:themeColor="text1"/>
                <w:sz w:val="24"/>
                <w:szCs w:val="24"/>
              </w:rPr>
              <w:t>regenerabilă (cu excepția energiei</w:t>
            </w:r>
            <w:r w:rsidRPr="00C56257">
              <w:rPr>
                <w:color w:val="000000" w:themeColor="text1"/>
                <w:spacing w:val="1"/>
                <w:sz w:val="24"/>
                <w:szCs w:val="24"/>
              </w:rPr>
              <w:t xml:space="preserve"> </w:t>
            </w:r>
            <w:r w:rsidRPr="00C56257">
              <w:rPr>
                <w:color w:val="000000" w:themeColor="text1"/>
                <w:sz w:val="24"/>
                <w:szCs w:val="24"/>
              </w:rPr>
              <w:t>hidro). Aceasta include, de asemenea,</w:t>
            </w:r>
            <w:r w:rsidRPr="00C56257">
              <w:rPr>
                <w:color w:val="000000" w:themeColor="text1"/>
                <w:spacing w:val="1"/>
                <w:sz w:val="24"/>
                <w:szCs w:val="24"/>
              </w:rPr>
              <w:t xml:space="preserve"> </w:t>
            </w:r>
            <w:r w:rsidRPr="00C56257">
              <w:rPr>
                <w:color w:val="000000" w:themeColor="text1"/>
                <w:sz w:val="24"/>
                <w:szCs w:val="24"/>
              </w:rPr>
              <w:t>măsuri pentru a atenua impactul</w:t>
            </w:r>
            <w:r w:rsidRPr="00C56257">
              <w:rPr>
                <w:color w:val="000000" w:themeColor="text1"/>
                <w:spacing w:val="1"/>
                <w:sz w:val="24"/>
                <w:szCs w:val="24"/>
              </w:rPr>
              <w:t xml:space="preserve"> </w:t>
            </w:r>
            <w:r w:rsidRPr="00C56257">
              <w:rPr>
                <w:color w:val="000000" w:themeColor="text1"/>
                <w:sz w:val="24"/>
                <w:szCs w:val="24"/>
              </w:rPr>
              <w:t>parcurilor eoliene, cum ar fi evitarea</w:t>
            </w:r>
            <w:r w:rsidRPr="00C56257">
              <w:rPr>
                <w:color w:val="000000" w:themeColor="text1"/>
                <w:spacing w:val="1"/>
                <w:sz w:val="24"/>
                <w:szCs w:val="24"/>
              </w:rPr>
              <w:t xml:space="preserve"> </w:t>
            </w:r>
            <w:r w:rsidRPr="00C56257">
              <w:rPr>
                <w:color w:val="000000" w:themeColor="text1"/>
                <w:sz w:val="24"/>
                <w:szCs w:val="24"/>
              </w:rPr>
              <w:t>construirii de turbine în locuri sensibile</w:t>
            </w:r>
            <w:r w:rsidRPr="00C56257">
              <w:rPr>
                <w:color w:val="000000" w:themeColor="text1"/>
                <w:spacing w:val="-52"/>
                <w:sz w:val="24"/>
                <w:szCs w:val="24"/>
              </w:rPr>
              <w:t xml:space="preserve"> </w:t>
            </w:r>
            <w:r w:rsidRPr="00C56257">
              <w:rPr>
                <w:color w:val="000000" w:themeColor="text1"/>
                <w:sz w:val="24"/>
                <w:szCs w:val="24"/>
              </w:rPr>
              <w:t>(de exemplu, blocaje de migrație a</w:t>
            </w:r>
            <w:r w:rsidRPr="00C56257">
              <w:rPr>
                <w:color w:val="000000" w:themeColor="text1"/>
                <w:spacing w:val="1"/>
                <w:sz w:val="24"/>
                <w:szCs w:val="24"/>
              </w:rPr>
              <w:t xml:space="preserve"> </w:t>
            </w:r>
            <w:r w:rsidRPr="00C56257">
              <w:rPr>
                <w:color w:val="000000" w:themeColor="text1"/>
                <w:sz w:val="24"/>
                <w:szCs w:val="24"/>
              </w:rPr>
              <w:t>păsărilor), oprirea turbinelor în anumite</w:t>
            </w:r>
            <w:r w:rsidRPr="00C56257">
              <w:rPr>
                <w:color w:val="000000" w:themeColor="text1"/>
                <w:spacing w:val="-52"/>
                <w:sz w:val="24"/>
                <w:szCs w:val="24"/>
              </w:rPr>
              <w:t xml:space="preserve"> </w:t>
            </w:r>
            <w:r w:rsidRPr="00C56257">
              <w:rPr>
                <w:color w:val="000000" w:themeColor="text1"/>
                <w:sz w:val="24"/>
                <w:szCs w:val="24"/>
              </w:rPr>
              <w:t>condiții și / sau perioade deosebit de</w:t>
            </w:r>
            <w:r w:rsidRPr="00C56257">
              <w:rPr>
                <w:color w:val="000000" w:themeColor="text1"/>
                <w:spacing w:val="1"/>
                <w:sz w:val="24"/>
                <w:szCs w:val="24"/>
              </w:rPr>
              <w:t xml:space="preserve"> </w:t>
            </w:r>
            <w:r w:rsidRPr="00C56257">
              <w:rPr>
                <w:color w:val="000000" w:themeColor="text1"/>
                <w:sz w:val="24"/>
                <w:szCs w:val="24"/>
              </w:rPr>
              <w:t>problematice</w:t>
            </w:r>
            <w:r w:rsidRPr="00C56257">
              <w:rPr>
                <w:color w:val="000000" w:themeColor="text1"/>
                <w:spacing w:val="-4"/>
                <w:sz w:val="24"/>
                <w:szCs w:val="24"/>
              </w:rPr>
              <w:t xml:space="preserve"> </w:t>
            </w:r>
            <w:r w:rsidRPr="00C56257">
              <w:rPr>
                <w:color w:val="000000" w:themeColor="text1"/>
                <w:sz w:val="24"/>
                <w:szCs w:val="24"/>
              </w:rPr>
              <w:t>ale</w:t>
            </w:r>
            <w:r w:rsidRPr="00C56257">
              <w:rPr>
                <w:color w:val="000000" w:themeColor="text1"/>
                <w:spacing w:val="-1"/>
                <w:sz w:val="24"/>
                <w:szCs w:val="24"/>
              </w:rPr>
              <w:t xml:space="preserve"> </w:t>
            </w:r>
            <w:r w:rsidRPr="00C56257">
              <w:rPr>
                <w:color w:val="000000" w:themeColor="text1"/>
                <w:sz w:val="24"/>
                <w:szCs w:val="24"/>
              </w:rPr>
              <w:t>anului (de</w:t>
            </w:r>
            <w:r w:rsidRPr="00C56257">
              <w:rPr>
                <w:color w:val="000000" w:themeColor="text1"/>
                <w:spacing w:val="-3"/>
                <w:sz w:val="24"/>
                <w:szCs w:val="24"/>
              </w:rPr>
              <w:t xml:space="preserve"> </w:t>
            </w:r>
            <w:r w:rsidRPr="00C56257">
              <w:rPr>
                <w:color w:val="000000" w:themeColor="text1"/>
                <w:sz w:val="24"/>
                <w:szCs w:val="24"/>
              </w:rPr>
              <w:t>exemplu,</w:t>
            </w:r>
            <w:r w:rsidR="00082644">
              <w:rPr>
                <w:color w:val="000000" w:themeColor="text1"/>
                <w:sz w:val="24"/>
                <w:szCs w:val="24"/>
              </w:rPr>
              <w:t xml:space="preserve"> </w:t>
            </w:r>
            <w:r w:rsidRPr="00C56257">
              <w:rPr>
                <w:color w:val="000000" w:themeColor="text1"/>
                <w:sz w:val="24"/>
                <w:szCs w:val="24"/>
              </w:rPr>
              <w:t>migrația</w:t>
            </w:r>
            <w:r w:rsidRPr="00C56257">
              <w:rPr>
                <w:color w:val="000000" w:themeColor="text1"/>
                <w:spacing w:val="-3"/>
                <w:sz w:val="24"/>
                <w:szCs w:val="24"/>
              </w:rPr>
              <w:t xml:space="preserve"> </w:t>
            </w:r>
            <w:r w:rsidRPr="00C56257">
              <w:rPr>
                <w:color w:val="000000" w:themeColor="text1"/>
                <w:sz w:val="24"/>
                <w:szCs w:val="24"/>
              </w:rPr>
              <w:t>maximă).</w:t>
            </w:r>
          </w:p>
        </w:tc>
        <w:tc>
          <w:tcPr>
            <w:tcW w:w="1710" w:type="dxa"/>
          </w:tcPr>
          <w:p w14:paraId="7C85787D" w14:textId="77777777" w:rsidR="00FC65BA" w:rsidRPr="00C56257" w:rsidRDefault="00FC65BA" w:rsidP="008E33FD">
            <w:pPr>
              <w:pStyle w:val="TableParagraph"/>
              <w:jc w:val="both"/>
              <w:rPr>
                <w:color w:val="000000" w:themeColor="text1"/>
                <w:sz w:val="24"/>
                <w:szCs w:val="24"/>
              </w:rPr>
            </w:pPr>
          </w:p>
          <w:p w14:paraId="276C4E5F" w14:textId="77777777" w:rsidR="00FC65BA" w:rsidRPr="00C56257" w:rsidRDefault="00FC65BA" w:rsidP="008E33FD">
            <w:pPr>
              <w:pStyle w:val="TableParagraph"/>
              <w:jc w:val="both"/>
              <w:rPr>
                <w:color w:val="000000" w:themeColor="text1"/>
                <w:sz w:val="24"/>
                <w:szCs w:val="24"/>
              </w:rPr>
            </w:pPr>
          </w:p>
          <w:p w14:paraId="010748D7" w14:textId="77777777" w:rsidR="00FC65BA" w:rsidRPr="00C56257" w:rsidRDefault="00FC65BA" w:rsidP="008E33FD">
            <w:pPr>
              <w:pStyle w:val="TableParagraph"/>
              <w:jc w:val="both"/>
              <w:rPr>
                <w:color w:val="000000" w:themeColor="text1"/>
                <w:sz w:val="24"/>
                <w:szCs w:val="24"/>
              </w:rPr>
            </w:pPr>
          </w:p>
          <w:p w14:paraId="0F8207AC" w14:textId="77777777" w:rsidR="00FC65BA" w:rsidRPr="00C56257" w:rsidRDefault="00FC65BA" w:rsidP="008E33FD">
            <w:pPr>
              <w:pStyle w:val="TableParagraph"/>
              <w:jc w:val="both"/>
              <w:rPr>
                <w:color w:val="000000" w:themeColor="text1"/>
                <w:sz w:val="24"/>
                <w:szCs w:val="24"/>
              </w:rPr>
            </w:pPr>
          </w:p>
          <w:p w14:paraId="0A6D015E" w14:textId="77777777" w:rsidR="00FC65BA" w:rsidRPr="00C56257" w:rsidRDefault="00FC65BA" w:rsidP="008E33FD">
            <w:pPr>
              <w:pStyle w:val="TableParagraph"/>
              <w:spacing w:before="6"/>
              <w:jc w:val="both"/>
              <w:rPr>
                <w:color w:val="000000" w:themeColor="text1"/>
                <w:sz w:val="24"/>
                <w:szCs w:val="24"/>
              </w:rPr>
            </w:pPr>
          </w:p>
          <w:p w14:paraId="12DA34C0" w14:textId="77777777" w:rsidR="00FC65BA" w:rsidRPr="00C56257" w:rsidRDefault="00FC65BA" w:rsidP="008E33FD">
            <w:pPr>
              <w:pStyle w:val="TableParagraph"/>
              <w:ind w:right="289"/>
              <w:jc w:val="both"/>
              <w:rPr>
                <w:color w:val="000000" w:themeColor="text1"/>
                <w:sz w:val="24"/>
                <w:szCs w:val="24"/>
              </w:rPr>
            </w:pPr>
            <w:r w:rsidRPr="00C56257">
              <w:rPr>
                <w:color w:val="000000" w:themeColor="text1"/>
                <w:sz w:val="24"/>
                <w:szCs w:val="24"/>
              </w:rPr>
              <w:t>D01, D03,</w:t>
            </w:r>
            <w:r w:rsidRPr="00C56257">
              <w:rPr>
                <w:color w:val="000000" w:themeColor="text1"/>
                <w:spacing w:val="-52"/>
                <w:sz w:val="24"/>
                <w:szCs w:val="24"/>
              </w:rPr>
              <w:t xml:space="preserve"> </w:t>
            </w:r>
            <w:r w:rsidRPr="00C56257">
              <w:rPr>
                <w:color w:val="000000" w:themeColor="text1"/>
                <w:sz w:val="24"/>
                <w:szCs w:val="24"/>
              </w:rPr>
              <w:t>D04,</w:t>
            </w:r>
            <w:r w:rsidRPr="00C56257">
              <w:rPr>
                <w:color w:val="000000" w:themeColor="text1"/>
                <w:spacing w:val="-1"/>
                <w:sz w:val="24"/>
                <w:szCs w:val="24"/>
              </w:rPr>
              <w:t xml:space="preserve"> </w:t>
            </w:r>
            <w:r w:rsidRPr="00C56257">
              <w:rPr>
                <w:color w:val="000000" w:themeColor="text1"/>
                <w:sz w:val="24"/>
                <w:szCs w:val="24"/>
              </w:rPr>
              <w:t>D05</w:t>
            </w:r>
          </w:p>
        </w:tc>
      </w:tr>
      <w:tr w:rsidR="00FC65BA" w:rsidRPr="00C56257" w14:paraId="685C81DC" w14:textId="77777777" w:rsidTr="00082644">
        <w:trPr>
          <w:trHeight w:val="6103"/>
        </w:trPr>
        <w:tc>
          <w:tcPr>
            <w:tcW w:w="528" w:type="dxa"/>
          </w:tcPr>
          <w:p w14:paraId="55D9F8E3" w14:textId="77777777" w:rsidR="00FC65BA" w:rsidRPr="00C56257" w:rsidRDefault="00FC65BA" w:rsidP="008E33FD">
            <w:pPr>
              <w:pStyle w:val="TableParagraph"/>
              <w:spacing w:line="247" w:lineRule="exact"/>
              <w:jc w:val="both"/>
              <w:rPr>
                <w:color w:val="000000" w:themeColor="text1"/>
                <w:sz w:val="24"/>
                <w:szCs w:val="24"/>
              </w:rPr>
            </w:pPr>
            <w:r w:rsidRPr="00C56257">
              <w:rPr>
                <w:color w:val="000000" w:themeColor="text1"/>
                <w:sz w:val="24"/>
                <w:szCs w:val="24"/>
              </w:rPr>
              <w:lastRenderedPageBreak/>
              <w:t>6.</w:t>
            </w:r>
          </w:p>
        </w:tc>
        <w:tc>
          <w:tcPr>
            <w:tcW w:w="744" w:type="dxa"/>
          </w:tcPr>
          <w:p w14:paraId="262E0AE9" w14:textId="77777777" w:rsidR="00FC65BA" w:rsidRPr="00C56257" w:rsidRDefault="00FC65BA" w:rsidP="008E33FD">
            <w:pPr>
              <w:pStyle w:val="TableParagraph"/>
              <w:jc w:val="both"/>
              <w:rPr>
                <w:color w:val="000000" w:themeColor="text1"/>
                <w:sz w:val="24"/>
                <w:szCs w:val="24"/>
              </w:rPr>
            </w:pPr>
          </w:p>
          <w:p w14:paraId="4F655C71" w14:textId="77777777" w:rsidR="00FC65BA" w:rsidRPr="00C56257" w:rsidRDefault="00FC65BA" w:rsidP="008E33FD">
            <w:pPr>
              <w:pStyle w:val="TableParagraph"/>
              <w:jc w:val="both"/>
              <w:rPr>
                <w:color w:val="000000" w:themeColor="text1"/>
                <w:sz w:val="24"/>
                <w:szCs w:val="24"/>
              </w:rPr>
            </w:pPr>
          </w:p>
          <w:p w14:paraId="7E98460B" w14:textId="77777777" w:rsidR="00FC65BA" w:rsidRPr="00C56257" w:rsidRDefault="00FC65BA" w:rsidP="008E33FD">
            <w:pPr>
              <w:pStyle w:val="TableParagraph"/>
              <w:jc w:val="both"/>
              <w:rPr>
                <w:color w:val="000000" w:themeColor="text1"/>
                <w:sz w:val="24"/>
                <w:szCs w:val="24"/>
              </w:rPr>
            </w:pPr>
          </w:p>
          <w:p w14:paraId="32C422E3" w14:textId="77777777" w:rsidR="00FC65BA" w:rsidRPr="00C56257" w:rsidRDefault="00FC65BA" w:rsidP="008E33FD">
            <w:pPr>
              <w:pStyle w:val="TableParagraph"/>
              <w:jc w:val="both"/>
              <w:rPr>
                <w:color w:val="000000" w:themeColor="text1"/>
                <w:sz w:val="24"/>
                <w:szCs w:val="24"/>
              </w:rPr>
            </w:pPr>
          </w:p>
          <w:p w14:paraId="297B20EE" w14:textId="77777777" w:rsidR="00FC65BA" w:rsidRPr="00C56257" w:rsidRDefault="00FC65BA" w:rsidP="008E33FD">
            <w:pPr>
              <w:pStyle w:val="TableParagraph"/>
              <w:jc w:val="both"/>
              <w:rPr>
                <w:color w:val="000000" w:themeColor="text1"/>
                <w:sz w:val="24"/>
                <w:szCs w:val="24"/>
              </w:rPr>
            </w:pPr>
          </w:p>
          <w:p w14:paraId="73AB025B" w14:textId="77777777" w:rsidR="00FC65BA" w:rsidRPr="00C56257" w:rsidRDefault="00FC65BA" w:rsidP="008E33FD">
            <w:pPr>
              <w:pStyle w:val="TableParagraph"/>
              <w:jc w:val="both"/>
              <w:rPr>
                <w:color w:val="000000" w:themeColor="text1"/>
                <w:sz w:val="24"/>
                <w:szCs w:val="24"/>
              </w:rPr>
            </w:pPr>
          </w:p>
          <w:p w14:paraId="02864A3C" w14:textId="77777777" w:rsidR="00FC65BA" w:rsidRPr="00C56257" w:rsidRDefault="00FC65BA" w:rsidP="008E33FD">
            <w:pPr>
              <w:pStyle w:val="TableParagraph"/>
              <w:jc w:val="both"/>
              <w:rPr>
                <w:color w:val="000000" w:themeColor="text1"/>
                <w:sz w:val="24"/>
                <w:szCs w:val="24"/>
              </w:rPr>
            </w:pPr>
          </w:p>
          <w:p w14:paraId="74DA85EF" w14:textId="77777777" w:rsidR="00FC65BA" w:rsidRPr="00C56257" w:rsidRDefault="00FC65BA" w:rsidP="008E33FD">
            <w:pPr>
              <w:pStyle w:val="TableParagraph"/>
              <w:jc w:val="both"/>
              <w:rPr>
                <w:color w:val="000000" w:themeColor="text1"/>
                <w:sz w:val="24"/>
                <w:szCs w:val="24"/>
              </w:rPr>
            </w:pPr>
          </w:p>
          <w:p w14:paraId="7E510D1F" w14:textId="77777777" w:rsidR="00FC65BA" w:rsidRPr="00C56257" w:rsidRDefault="00FC65BA" w:rsidP="008E33FD">
            <w:pPr>
              <w:pStyle w:val="TableParagraph"/>
              <w:jc w:val="both"/>
              <w:rPr>
                <w:color w:val="000000" w:themeColor="text1"/>
                <w:sz w:val="24"/>
                <w:szCs w:val="24"/>
              </w:rPr>
            </w:pPr>
          </w:p>
          <w:p w14:paraId="06715361" w14:textId="77777777" w:rsidR="00FC65BA" w:rsidRPr="00C56257" w:rsidRDefault="00FC65BA" w:rsidP="008E33FD">
            <w:pPr>
              <w:pStyle w:val="TableParagraph"/>
              <w:jc w:val="both"/>
              <w:rPr>
                <w:color w:val="000000" w:themeColor="text1"/>
                <w:sz w:val="24"/>
                <w:szCs w:val="24"/>
              </w:rPr>
            </w:pPr>
          </w:p>
          <w:p w14:paraId="4498601E" w14:textId="77777777" w:rsidR="00FC65BA" w:rsidRPr="00C56257" w:rsidRDefault="00FC65BA" w:rsidP="008E33FD">
            <w:pPr>
              <w:pStyle w:val="TableParagraph"/>
              <w:spacing w:before="6"/>
              <w:jc w:val="both"/>
              <w:rPr>
                <w:color w:val="000000" w:themeColor="text1"/>
                <w:sz w:val="24"/>
                <w:szCs w:val="24"/>
              </w:rPr>
            </w:pPr>
          </w:p>
          <w:p w14:paraId="24AC3B5D" w14:textId="77777777" w:rsidR="00FC65BA" w:rsidRPr="00C56257" w:rsidRDefault="00FC65BA" w:rsidP="008E33FD">
            <w:pPr>
              <w:pStyle w:val="TableParagraph"/>
              <w:ind w:left="66" w:right="80"/>
              <w:jc w:val="both"/>
              <w:rPr>
                <w:color w:val="000000" w:themeColor="text1"/>
                <w:sz w:val="24"/>
                <w:szCs w:val="24"/>
              </w:rPr>
            </w:pPr>
            <w:r w:rsidRPr="00C56257">
              <w:rPr>
                <w:color w:val="000000" w:themeColor="text1"/>
                <w:sz w:val="24"/>
                <w:szCs w:val="24"/>
              </w:rPr>
              <w:t>CE01</w:t>
            </w:r>
          </w:p>
        </w:tc>
        <w:tc>
          <w:tcPr>
            <w:tcW w:w="2187" w:type="dxa"/>
          </w:tcPr>
          <w:p w14:paraId="7E6E17CD" w14:textId="77777777" w:rsidR="00FC65BA" w:rsidRPr="00C56257" w:rsidRDefault="00FC65BA" w:rsidP="008E33FD">
            <w:pPr>
              <w:pStyle w:val="TableParagraph"/>
              <w:jc w:val="both"/>
              <w:rPr>
                <w:color w:val="000000" w:themeColor="text1"/>
                <w:sz w:val="24"/>
                <w:szCs w:val="24"/>
              </w:rPr>
            </w:pPr>
          </w:p>
          <w:p w14:paraId="60941C71" w14:textId="77777777" w:rsidR="00FC65BA" w:rsidRPr="00C56257" w:rsidRDefault="00FC65BA" w:rsidP="008E33FD">
            <w:pPr>
              <w:pStyle w:val="TableParagraph"/>
              <w:jc w:val="both"/>
              <w:rPr>
                <w:color w:val="000000" w:themeColor="text1"/>
                <w:sz w:val="24"/>
                <w:szCs w:val="24"/>
              </w:rPr>
            </w:pPr>
          </w:p>
          <w:p w14:paraId="2D13F664" w14:textId="77777777" w:rsidR="00FC65BA" w:rsidRPr="00C56257" w:rsidRDefault="00FC65BA" w:rsidP="008E33FD">
            <w:pPr>
              <w:pStyle w:val="TableParagraph"/>
              <w:jc w:val="both"/>
              <w:rPr>
                <w:color w:val="000000" w:themeColor="text1"/>
                <w:sz w:val="24"/>
                <w:szCs w:val="24"/>
              </w:rPr>
            </w:pPr>
          </w:p>
          <w:p w14:paraId="71E01DE9" w14:textId="77777777" w:rsidR="00FC65BA" w:rsidRPr="00C56257" w:rsidRDefault="00FC65BA" w:rsidP="008E33FD">
            <w:pPr>
              <w:pStyle w:val="TableParagraph"/>
              <w:jc w:val="both"/>
              <w:rPr>
                <w:color w:val="000000" w:themeColor="text1"/>
                <w:sz w:val="24"/>
                <w:szCs w:val="24"/>
              </w:rPr>
            </w:pPr>
          </w:p>
          <w:p w14:paraId="3DE86DB4" w14:textId="77777777" w:rsidR="00FC65BA" w:rsidRPr="00C56257" w:rsidRDefault="00FC65BA" w:rsidP="008E33FD">
            <w:pPr>
              <w:pStyle w:val="TableParagraph"/>
              <w:jc w:val="both"/>
              <w:rPr>
                <w:color w:val="000000" w:themeColor="text1"/>
                <w:sz w:val="24"/>
                <w:szCs w:val="24"/>
              </w:rPr>
            </w:pPr>
          </w:p>
          <w:p w14:paraId="18C56830" w14:textId="77777777" w:rsidR="00FC65BA" w:rsidRPr="00C56257" w:rsidRDefault="00FC65BA" w:rsidP="008E33FD">
            <w:pPr>
              <w:pStyle w:val="TableParagraph"/>
              <w:jc w:val="both"/>
              <w:rPr>
                <w:color w:val="000000" w:themeColor="text1"/>
                <w:sz w:val="24"/>
                <w:szCs w:val="24"/>
              </w:rPr>
            </w:pPr>
          </w:p>
          <w:p w14:paraId="683AAC16" w14:textId="77777777" w:rsidR="00FC65BA" w:rsidRPr="00C56257" w:rsidRDefault="00FC65BA" w:rsidP="008E33FD">
            <w:pPr>
              <w:pStyle w:val="TableParagraph"/>
              <w:jc w:val="both"/>
              <w:rPr>
                <w:color w:val="000000" w:themeColor="text1"/>
                <w:sz w:val="24"/>
                <w:szCs w:val="24"/>
              </w:rPr>
            </w:pPr>
          </w:p>
          <w:p w14:paraId="2DE8C01B" w14:textId="77777777" w:rsidR="00FC65BA" w:rsidRPr="00C56257" w:rsidRDefault="00FC65BA" w:rsidP="008E33FD">
            <w:pPr>
              <w:pStyle w:val="TableParagraph"/>
              <w:jc w:val="both"/>
              <w:rPr>
                <w:color w:val="000000" w:themeColor="text1"/>
                <w:sz w:val="24"/>
                <w:szCs w:val="24"/>
              </w:rPr>
            </w:pPr>
          </w:p>
          <w:p w14:paraId="551E85CD" w14:textId="77777777" w:rsidR="00FC65BA" w:rsidRPr="00C56257" w:rsidRDefault="00FC65BA" w:rsidP="008E33FD">
            <w:pPr>
              <w:pStyle w:val="TableParagraph"/>
              <w:jc w:val="both"/>
              <w:rPr>
                <w:color w:val="000000" w:themeColor="text1"/>
                <w:sz w:val="24"/>
                <w:szCs w:val="24"/>
              </w:rPr>
            </w:pPr>
          </w:p>
          <w:p w14:paraId="0EFFF9F1" w14:textId="77777777" w:rsidR="00FC65BA" w:rsidRPr="00C56257" w:rsidRDefault="00FC65BA" w:rsidP="008E33FD">
            <w:pPr>
              <w:pStyle w:val="TableParagraph"/>
              <w:spacing w:before="167"/>
              <w:ind w:right="125"/>
              <w:jc w:val="both"/>
              <w:rPr>
                <w:color w:val="000000" w:themeColor="text1"/>
                <w:sz w:val="24"/>
                <w:szCs w:val="24"/>
              </w:rPr>
            </w:pPr>
            <w:r w:rsidRPr="00C56257">
              <w:rPr>
                <w:color w:val="000000" w:themeColor="text1"/>
                <w:sz w:val="24"/>
                <w:szCs w:val="24"/>
              </w:rPr>
              <w:t>Reducerea impactului</w:t>
            </w:r>
            <w:r w:rsidRPr="00C56257">
              <w:rPr>
                <w:color w:val="000000" w:themeColor="text1"/>
                <w:spacing w:val="-52"/>
                <w:sz w:val="24"/>
                <w:szCs w:val="24"/>
              </w:rPr>
              <w:t xml:space="preserve"> </w:t>
            </w:r>
            <w:r w:rsidRPr="00C56257">
              <w:rPr>
                <w:color w:val="000000" w:themeColor="text1"/>
                <w:sz w:val="24"/>
                <w:szCs w:val="24"/>
              </w:rPr>
              <w:t>activităților de</w:t>
            </w:r>
            <w:r w:rsidRPr="00C56257">
              <w:rPr>
                <w:color w:val="000000" w:themeColor="text1"/>
                <w:spacing w:val="1"/>
                <w:sz w:val="24"/>
                <w:szCs w:val="24"/>
              </w:rPr>
              <w:t xml:space="preserve"> </w:t>
            </w:r>
            <w:r w:rsidRPr="00C56257">
              <w:rPr>
                <w:color w:val="000000" w:themeColor="text1"/>
                <w:sz w:val="24"/>
                <w:szCs w:val="24"/>
              </w:rPr>
              <w:t>transport și al</w:t>
            </w:r>
            <w:r w:rsidRPr="00C56257">
              <w:rPr>
                <w:color w:val="000000" w:themeColor="text1"/>
                <w:spacing w:val="1"/>
                <w:sz w:val="24"/>
                <w:szCs w:val="24"/>
              </w:rPr>
              <w:t xml:space="preserve"> </w:t>
            </w:r>
            <w:r w:rsidRPr="00C56257">
              <w:rPr>
                <w:color w:val="000000" w:themeColor="text1"/>
                <w:sz w:val="24"/>
                <w:szCs w:val="24"/>
              </w:rPr>
              <w:t>infrastructurii</w:t>
            </w:r>
          </w:p>
        </w:tc>
        <w:tc>
          <w:tcPr>
            <w:tcW w:w="4729" w:type="dxa"/>
          </w:tcPr>
          <w:p w14:paraId="0D245EAE" w14:textId="77777777" w:rsidR="00FC65BA" w:rsidRPr="00C56257" w:rsidRDefault="00FC65BA" w:rsidP="008E33FD">
            <w:pPr>
              <w:pStyle w:val="TableParagraph"/>
              <w:ind w:right="85"/>
              <w:jc w:val="both"/>
              <w:rPr>
                <w:color w:val="000000" w:themeColor="text1"/>
                <w:sz w:val="24"/>
                <w:szCs w:val="24"/>
              </w:rPr>
            </w:pPr>
            <w:r w:rsidRPr="00C56257">
              <w:rPr>
                <w:color w:val="000000" w:themeColor="text1"/>
                <w:sz w:val="24"/>
                <w:szCs w:val="24"/>
              </w:rPr>
              <w:t>Reducerea impactului infrastructurilor</w:t>
            </w:r>
            <w:r w:rsidRPr="00C56257">
              <w:rPr>
                <w:color w:val="000000" w:themeColor="text1"/>
                <w:spacing w:val="1"/>
                <w:sz w:val="24"/>
                <w:szCs w:val="24"/>
              </w:rPr>
              <w:t xml:space="preserve"> </w:t>
            </w:r>
            <w:r w:rsidRPr="00C56257">
              <w:rPr>
                <w:color w:val="000000" w:themeColor="text1"/>
                <w:sz w:val="24"/>
                <w:szCs w:val="24"/>
              </w:rPr>
              <w:t>de transport (drumuri, căi ferate, poduri,</w:t>
            </w:r>
            <w:r w:rsidRPr="00C56257">
              <w:rPr>
                <w:color w:val="000000" w:themeColor="text1"/>
                <w:spacing w:val="-53"/>
                <w:sz w:val="24"/>
                <w:szCs w:val="24"/>
              </w:rPr>
              <w:t xml:space="preserve"> </w:t>
            </w:r>
            <w:r w:rsidRPr="00C56257">
              <w:rPr>
                <w:color w:val="000000" w:themeColor="text1"/>
                <w:sz w:val="24"/>
                <w:szCs w:val="24"/>
              </w:rPr>
              <w:t>viaducte, tuneluri, benzi și canale de</w:t>
            </w:r>
            <w:r w:rsidRPr="00C56257">
              <w:rPr>
                <w:color w:val="000000" w:themeColor="text1"/>
                <w:spacing w:val="1"/>
                <w:sz w:val="24"/>
                <w:szCs w:val="24"/>
              </w:rPr>
              <w:t xml:space="preserve"> </w:t>
            </w:r>
            <w:r w:rsidRPr="00C56257">
              <w:rPr>
                <w:color w:val="000000" w:themeColor="text1"/>
                <w:sz w:val="24"/>
                <w:szCs w:val="24"/>
              </w:rPr>
              <w:t>navigație, strâmtori, porturi,</w:t>
            </w:r>
            <w:r w:rsidRPr="00C56257">
              <w:rPr>
                <w:color w:val="000000" w:themeColor="text1"/>
                <w:spacing w:val="1"/>
                <w:sz w:val="24"/>
                <w:szCs w:val="24"/>
              </w:rPr>
              <w:t xml:space="preserve"> </w:t>
            </w:r>
            <w:r w:rsidRPr="00C56257">
              <w:rPr>
                <w:color w:val="000000" w:themeColor="text1"/>
                <w:sz w:val="24"/>
                <w:szCs w:val="24"/>
              </w:rPr>
              <w:t>aerodromuri) și activități de transport</w:t>
            </w:r>
            <w:r w:rsidRPr="00C56257">
              <w:rPr>
                <w:color w:val="000000" w:themeColor="text1"/>
                <w:spacing w:val="1"/>
                <w:sz w:val="24"/>
                <w:szCs w:val="24"/>
              </w:rPr>
              <w:t xml:space="preserve"> </w:t>
            </w:r>
            <w:r w:rsidRPr="00C56257">
              <w:rPr>
                <w:color w:val="000000" w:themeColor="text1"/>
                <w:sz w:val="24"/>
                <w:szCs w:val="24"/>
              </w:rPr>
              <w:t>asupra habitatelor și speciilor vizate de</w:t>
            </w:r>
            <w:r w:rsidRPr="00C56257">
              <w:rPr>
                <w:color w:val="000000" w:themeColor="text1"/>
                <w:spacing w:val="1"/>
                <w:sz w:val="24"/>
                <w:szCs w:val="24"/>
              </w:rPr>
              <w:t xml:space="preserve"> </w:t>
            </w:r>
            <w:r w:rsidRPr="00C56257">
              <w:rPr>
                <w:color w:val="000000" w:themeColor="text1"/>
                <w:sz w:val="24"/>
                <w:szCs w:val="24"/>
              </w:rPr>
              <w:t>directivele privind conservarea naturii.</w:t>
            </w:r>
            <w:r w:rsidRPr="00C56257">
              <w:rPr>
                <w:color w:val="000000" w:themeColor="text1"/>
                <w:spacing w:val="1"/>
                <w:sz w:val="24"/>
                <w:szCs w:val="24"/>
              </w:rPr>
              <w:t xml:space="preserve"> </w:t>
            </w:r>
            <w:r w:rsidRPr="00C56257">
              <w:rPr>
                <w:color w:val="000000" w:themeColor="text1"/>
                <w:sz w:val="24"/>
                <w:szCs w:val="24"/>
              </w:rPr>
              <w:t>Aceasta include, de exemplu,</w:t>
            </w:r>
            <w:r w:rsidRPr="00C56257">
              <w:rPr>
                <w:color w:val="000000" w:themeColor="text1"/>
                <w:spacing w:val="1"/>
                <w:sz w:val="24"/>
                <w:szCs w:val="24"/>
              </w:rPr>
              <w:t xml:space="preserve"> </w:t>
            </w:r>
            <w:r w:rsidRPr="00C56257">
              <w:rPr>
                <w:color w:val="000000" w:themeColor="text1"/>
                <w:sz w:val="24"/>
                <w:szCs w:val="24"/>
              </w:rPr>
              <w:t>construirea și gestionarea pasajelor</w:t>
            </w:r>
            <w:r w:rsidRPr="00C56257">
              <w:rPr>
                <w:color w:val="000000" w:themeColor="text1"/>
                <w:spacing w:val="1"/>
                <w:sz w:val="24"/>
                <w:szCs w:val="24"/>
              </w:rPr>
              <w:t xml:space="preserve"> </w:t>
            </w:r>
            <w:r w:rsidRPr="00C56257">
              <w:rPr>
                <w:color w:val="000000" w:themeColor="text1"/>
                <w:sz w:val="24"/>
                <w:szCs w:val="24"/>
              </w:rPr>
              <w:t>pentru animale, dezvoltarea</w:t>
            </w:r>
            <w:r w:rsidRPr="00C56257">
              <w:rPr>
                <w:color w:val="000000" w:themeColor="text1"/>
                <w:spacing w:val="1"/>
                <w:sz w:val="24"/>
                <w:szCs w:val="24"/>
              </w:rPr>
              <w:t xml:space="preserve"> </w:t>
            </w:r>
            <w:r w:rsidRPr="00C56257">
              <w:rPr>
                <w:color w:val="000000" w:themeColor="text1"/>
                <w:sz w:val="24"/>
                <w:szCs w:val="24"/>
              </w:rPr>
              <w:t>infrastructurii verzi / albastre,</w:t>
            </w:r>
            <w:r w:rsidRPr="00C56257">
              <w:rPr>
                <w:color w:val="000000" w:themeColor="text1"/>
                <w:spacing w:val="1"/>
                <w:sz w:val="24"/>
                <w:szCs w:val="24"/>
              </w:rPr>
              <w:t xml:space="preserve"> </w:t>
            </w:r>
            <w:r w:rsidRPr="00C56257">
              <w:rPr>
                <w:color w:val="000000" w:themeColor="text1"/>
                <w:sz w:val="24"/>
                <w:szCs w:val="24"/>
              </w:rPr>
              <w:t>gestionarea traficului și a infrastructurii</w:t>
            </w:r>
            <w:r w:rsidRPr="00C56257">
              <w:rPr>
                <w:color w:val="000000" w:themeColor="text1"/>
                <w:spacing w:val="1"/>
                <w:sz w:val="24"/>
                <w:szCs w:val="24"/>
              </w:rPr>
              <w:t xml:space="preserve"> </w:t>
            </w:r>
            <w:r w:rsidRPr="00C56257">
              <w:rPr>
                <w:color w:val="000000" w:themeColor="text1"/>
                <w:sz w:val="24"/>
                <w:szCs w:val="24"/>
              </w:rPr>
              <w:t>marine și fluviale pentru, de exemplu,</w:t>
            </w:r>
            <w:r w:rsidRPr="00C56257">
              <w:rPr>
                <w:color w:val="000000" w:themeColor="text1"/>
                <w:spacing w:val="1"/>
                <w:sz w:val="24"/>
                <w:szCs w:val="24"/>
              </w:rPr>
              <w:t xml:space="preserve"> </w:t>
            </w:r>
            <w:r w:rsidRPr="00C56257">
              <w:rPr>
                <w:color w:val="000000" w:themeColor="text1"/>
                <w:sz w:val="24"/>
                <w:szCs w:val="24"/>
              </w:rPr>
              <w:t>reducerea eroziunii malurilor și</w:t>
            </w:r>
            <w:r w:rsidRPr="00C56257">
              <w:rPr>
                <w:color w:val="000000" w:themeColor="text1"/>
                <w:spacing w:val="1"/>
                <w:sz w:val="24"/>
                <w:szCs w:val="24"/>
              </w:rPr>
              <w:t xml:space="preserve"> </w:t>
            </w:r>
            <w:r w:rsidRPr="00C56257">
              <w:rPr>
                <w:color w:val="000000" w:themeColor="text1"/>
                <w:sz w:val="24"/>
                <w:szCs w:val="24"/>
              </w:rPr>
              <w:t>descurajarea distrugerii acestora (de</w:t>
            </w:r>
            <w:r w:rsidRPr="00C56257">
              <w:rPr>
                <w:color w:val="000000" w:themeColor="text1"/>
                <w:spacing w:val="1"/>
                <w:sz w:val="24"/>
                <w:szCs w:val="24"/>
              </w:rPr>
              <w:t xml:space="preserve"> </w:t>
            </w:r>
            <w:r w:rsidRPr="00C56257">
              <w:rPr>
                <w:color w:val="000000" w:themeColor="text1"/>
                <w:sz w:val="24"/>
                <w:szCs w:val="24"/>
              </w:rPr>
              <w:t>exemplu, lăsând iarba să crească mult</w:t>
            </w:r>
            <w:r w:rsidRPr="00C56257">
              <w:rPr>
                <w:color w:val="000000" w:themeColor="text1"/>
                <w:spacing w:val="1"/>
                <w:sz w:val="24"/>
                <w:szCs w:val="24"/>
              </w:rPr>
              <w:t xml:space="preserve"> </w:t>
            </w:r>
            <w:r w:rsidRPr="00C56257">
              <w:rPr>
                <w:color w:val="000000" w:themeColor="text1"/>
                <w:sz w:val="24"/>
                <w:szCs w:val="24"/>
              </w:rPr>
              <w:t>timp</w:t>
            </w:r>
            <w:r w:rsidRPr="00C56257">
              <w:rPr>
                <w:color w:val="000000" w:themeColor="text1"/>
                <w:spacing w:val="-1"/>
                <w:sz w:val="24"/>
                <w:szCs w:val="24"/>
              </w:rPr>
              <w:t xml:space="preserve"> </w:t>
            </w:r>
            <w:r w:rsidRPr="00C56257">
              <w:rPr>
                <w:color w:val="000000" w:themeColor="text1"/>
                <w:sz w:val="24"/>
                <w:szCs w:val="24"/>
              </w:rPr>
              <w:t>sau</w:t>
            </w:r>
            <w:r w:rsidRPr="00C56257">
              <w:rPr>
                <w:color w:val="000000" w:themeColor="text1"/>
                <w:spacing w:val="-1"/>
                <w:sz w:val="24"/>
                <w:szCs w:val="24"/>
              </w:rPr>
              <w:t xml:space="preserve"> </w:t>
            </w:r>
            <w:r w:rsidRPr="00C56257">
              <w:rPr>
                <w:color w:val="000000" w:themeColor="text1"/>
                <w:sz w:val="24"/>
                <w:szCs w:val="24"/>
              </w:rPr>
              <w:t>folosind</w:t>
            </w:r>
            <w:r w:rsidRPr="00C56257">
              <w:rPr>
                <w:color w:val="000000" w:themeColor="text1"/>
                <w:spacing w:val="-4"/>
                <w:sz w:val="24"/>
                <w:szCs w:val="24"/>
              </w:rPr>
              <w:t xml:space="preserve"> </w:t>
            </w:r>
            <w:r w:rsidRPr="00C56257">
              <w:rPr>
                <w:color w:val="000000" w:themeColor="text1"/>
                <w:sz w:val="24"/>
                <w:szCs w:val="24"/>
              </w:rPr>
              <w:t>„speria</w:t>
            </w:r>
            <w:r w:rsidRPr="00C56257">
              <w:rPr>
                <w:color w:val="000000" w:themeColor="text1"/>
                <w:spacing w:val="-1"/>
                <w:sz w:val="24"/>
                <w:szCs w:val="24"/>
              </w:rPr>
              <w:t xml:space="preserve"> </w:t>
            </w:r>
            <w:r w:rsidRPr="00C56257">
              <w:rPr>
                <w:color w:val="000000" w:themeColor="text1"/>
                <w:sz w:val="24"/>
                <w:szCs w:val="24"/>
              </w:rPr>
              <w:t>activă”)</w:t>
            </w:r>
          </w:p>
          <w:p w14:paraId="475101AB" w14:textId="77777777" w:rsidR="00FC65BA" w:rsidRPr="00C56257" w:rsidRDefault="00FC65BA" w:rsidP="008E33FD">
            <w:pPr>
              <w:pStyle w:val="TableParagraph"/>
              <w:ind w:right="157"/>
              <w:jc w:val="both"/>
              <w:rPr>
                <w:color w:val="000000" w:themeColor="text1"/>
                <w:sz w:val="24"/>
                <w:szCs w:val="24"/>
              </w:rPr>
            </w:pPr>
            <w:r w:rsidRPr="00C56257">
              <w:rPr>
                <w:color w:val="000000" w:themeColor="text1"/>
                <w:sz w:val="24"/>
                <w:szCs w:val="24"/>
              </w:rPr>
              <w:t>„tactici) păsări din utilizarea</w:t>
            </w:r>
            <w:r w:rsidRPr="00C56257">
              <w:rPr>
                <w:color w:val="000000" w:themeColor="text1"/>
                <w:spacing w:val="1"/>
                <w:sz w:val="24"/>
                <w:szCs w:val="24"/>
              </w:rPr>
              <w:t xml:space="preserve"> </w:t>
            </w:r>
            <w:r w:rsidRPr="00C56257">
              <w:rPr>
                <w:color w:val="000000" w:themeColor="text1"/>
                <w:sz w:val="24"/>
                <w:szCs w:val="24"/>
              </w:rPr>
              <w:t>aerodromului / aeroporturilor. De</w:t>
            </w:r>
            <w:r w:rsidRPr="00C56257">
              <w:rPr>
                <w:color w:val="000000" w:themeColor="text1"/>
                <w:spacing w:val="1"/>
                <w:sz w:val="24"/>
                <w:szCs w:val="24"/>
              </w:rPr>
              <w:t xml:space="preserve"> </w:t>
            </w:r>
            <w:r w:rsidRPr="00C56257">
              <w:rPr>
                <w:color w:val="000000" w:themeColor="text1"/>
                <w:sz w:val="24"/>
                <w:szCs w:val="24"/>
              </w:rPr>
              <w:t>asemenea, include orice măsuri de</w:t>
            </w:r>
            <w:r w:rsidRPr="00C56257">
              <w:rPr>
                <w:color w:val="000000" w:themeColor="text1"/>
                <w:spacing w:val="1"/>
                <w:sz w:val="24"/>
                <w:szCs w:val="24"/>
              </w:rPr>
              <w:t xml:space="preserve"> </w:t>
            </w:r>
            <w:r w:rsidRPr="00C56257">
              <w:rPr>
                <w:color w:val="000000" w:themeColor="text1"/>
                <w:sz w:val="24"/>
                <w:szCs w:val="24"/>
              </w:rPr>
              <w:t>reducere a poluării fonice și luminoase.</w:t>
            </w:r>
            <w:r w:rsidRPr="00C56257">
              <w:rPr>
                <w:color w:val="000000" w:themeColor="text1"/>
                <w:spacing w:val="-52"/>
                <w:sz w:val="24"/>
                <w:szCs w:val="24"/>
              </w:rPr>
              <w:t xml:space="preserve"> </w:t>
            </w:r>
            <w:r w:rsidRPr="00C56257">
              <w:rPr>
                <w:color w:val="000000" w:themeColor="text1"/>
                <w:sz w:val="24"/>
                <w:szCs w:val="24"/>
              </w:rPr>
              <w:t>Reglementarea traficului sau</w:t>
            </w:r>
            <w:r w:rsidRPr="00C56257">
              <w:rPr>
                <w:color w:val="000000" w:themeColor="text1"/>
                <w:spacing w:val="1"/>
                <w:sz w:val="24"/>
                <w:szCs w:val="24"/>
              </w:rPr>
              <w:t xml:space="preserve"> </w:t>
            </w:r>
            <w:r w:rsidRPr="00C56257">
              <w:rPr>
                <w:color w:val="000000" w:themeColor="text1"/>
                <w:sz w:val="24"/>
                <w:szCs w:val="24"/>
              </w:rPr>
              <w:t>construcția infrastructurii de circulație</w:t>
            </w:r>
            <w:r w:rsidRPr="00C56257">
              <w:rPr>
                <w:color w:val="000000" w:themeColor="text1"/>
                <w:spacing w:val="1"/>
                <w:sz w:val="24"/>
                <w:szCs w:val="24"/>
              </w:rPr>
              <w:t xml:space="preserve"> </w:t>
            </w:r>
            <w:r w:rsidRPr="00C56257">
              <w:rPr>
                <w:color w:val="000000" w:themeColor="text1"/>
                <w:sz w:val="24"/>
                <w:szCs w:val="24"/>
              </w:rPr>
              <w:t>pentru a reduce poluarea chimică / cu</w:t>
            </w:r>
            <w:r w:rsidRPr="00C56257">
              <w:rPr>
                <w:color w:val="000000" w:themeColor="text1"/>
                <w:spacing w:val="1"/>
                <w:sz w:val="24"/>
                <w:szCs w:val="24"/>
              </w:rPr>
              <w:t xml:space="preserve"> </w:t>
            </w:r>
            <w:r w:rsidRPr="00C56257">
              <w:rPr>
                <w:color w:val="000000" w:themeColor="text1"/>
                <w:sz w:val="24"/>
                <w:szCs w:val="24"/>
              </w:rPr>
              <w:t>particule</w:t>
            </w:r>
            <w:r w:rsidRPr="00C56257">
              <w:rPr>
                <w:color w:val="000000" w:themeColor="text1"/>
                <w:spacing w:val="-3"/>
                <w:sz w:val="24"/>
                <w:szCs w:val="24"/>
              </w:rPr>
              <w:t xml:space="preserve"> </w:t>
            </w:r>
            <w:r w:rsidRPr="00C56257">
              <w:rPr>
                <w:color w:val="000000" w:themeColor="text1"/>
                <w:sz w:val="24"/>
                <w:szCs w:val="24"/>
              </w:rPr>
              <w:t>care</w:t>
            </w:r>
            <w:r w:rsidRPr="00C56257">
              <w:rPr>
                <w:color w:val="000000" w:themeColor="text1"/>
                <w:spacing w:val="-1"/>
                <w:sz w:val="24"/>
                <w:szCs w:val="24"/>
              </w:rPr>
              <w:t xml:space="preserve"> </w:t>
            </w:r>
            <w:r w:rsidRPr="00C56257">
              <w:rPr>
                <w:color w:val="000000" w:themeColor="text1"/>
                <w:sz w:val="24"/>
                <w:szCs w:val="24"/>
              </w:rPr>
              <w:t>ar</w:t>
            </w:r>
            <w:r w:rsidRPr="00C56257">
              <w:rPr>
                <w:color w:val="000000" w:themeColor="text1"/>
                <w:spacing w:val="-1"/>
                <w:sz w:val="24"/>
                <w:szCs w:val="24"/>
              </w:rPr>
              <w:t xml:space="preserve"> </w:t>
            </w:r>
            <w:r w:rsidRPr="00C56257">
              <w:rPr>
                <w:color w:val="000000" w:themeColor="text1"/>
                <w:sz w:val="24"/>
                <w:szCs w:val="24"/>
              </w:rPr>
              <w:t>trebui raportată</w:t>
            </w:r>
            <w:r w:rsidRPr="00C56257">
              <w:rPr>
                <w:color w:val="000000" w:themeColor="text1"/>
                <w:spacing w:val="-3"/>
                <w:sz w:val="24"/>
                <w:szCs w:val="24"/>
              </w:rPr>
              <w:t xml:space="preserve"> </w:t>
            </w:r>
            <w:r w:rsidRPr="00C56257">
              <w:rPr>
                <w:color w:val="000000" w:themeColor="text1"/>
                <w:sz w:val="24"/>
                <w:szCs w:val="24"/>
              </w:rPr>
              <w:t>sub</w:t>
            </w:r>
          </w:p>
          <w:p w14:paraId="09B9C967" w14:textId="77777777" w:rsidR="00FC65BA" w:rsidRPr="00C56257" w:rsidRDefault="00FC65BA" w:rsidP="008E33FD">
            <w:pPr>
              <w:pStyle w:val="TableParagraph"/>
              <w:spacing w:line="238" w:lineRule="exact"/>
              <w:jc w:val="both"/>
              <w:rPr>
                <w:color w:val="000000" w:themeColor="text1"/>
                <w:sz w:val="24"/>
                <w:szCs w:val="24"/>
              </w:rPr>
            </w:pPr>
            <w:r w:rsidRPr="00C56257">
              <w:rPr>
                <w:color w:val="000000" w:themeColor="text1"/>
                <w:sz w:val="24"/>
                <w:szCs w:val="24"/>
              </w:rPr>
              <w:t>codul CE03.</w:t>
            </w:r>
          </w:p>
        </w:tc>
        <w:tc>
          <w:tcPr>
            <w:tcW w:w="1710" w:type="dxa"/>
          </w:tcPr>
          <w:p w14:paraId="37702473" w14:textId="77777777" w:rsidR="00FC65BA" w:rsidRPr="00C56257" w:rsidRDefault="00FC65BA" w:rsidP="008E33FD">
            <w:pPr>
              <w:pStyle w:val="TableParagraph"/>
              <w:jc w:val="both"/>
              <w:rPr>
                <w:color w:val="000000" w:themeColor="text1"/>
                <w:sz w:val="24"/>
                <w:szCs w:val="24"/>
              </w:rPr>
            </w:pPr>
          </w:p>
          <w:p w14:paraId="643313CF" w14:textId="77777777" w:rsidR="00FC65BA" w:rsidRPr="00C56257" w:rsidRDefault="00FC65BA" w:rsidP="008E33FD">
            <w:pPr>
              <w:pStyle w:val="TableParagraph"/>
              <w:jc w:val="both"/>
              <w:rPr>
                <w:color w:val="000000" w:themeColor="text1"/>
                <w:sz w:val="24"/>
                <w:szCs w:val="24"/>
              </w:rPr>
            </w:pPr>
          </w:p>
          <w:p w14:paraId="168BE9B5" w14:textId="77777777" w:rsidR="00FC65BA" w:rsidRPr="00C56257" w:rsidRDefault="00FC65BA" w:rsidP="008E33FD">
            <w:pPr>
              <w:pStyle w:val="TableParagraph"/>
              <w:jc w:val="both"/>
              <w:rPr>
                <w:color w:val="000000" w:themeColor="text1"/>
                <w:sz w:val="24"/>
                <w:szCs w:val="24"/>
              </w:rPr>
            </w:pPr>
          </w:p>
          <w:p w14:paraId="109181C0" w14:textId="77777777" w:rsidR="00FC65BA" w:rsidRPr="00C56257" w:rsidRDefault="00FC65BA" w:rsidP="008E33FD">
            <w:pPr>
              <w:pStyle w:val="TableParagraph"/>
              <w:jc w:val="both"/>
              <w:rPr>
                <w:color w:val="000000" w:themeColor="text1"/>
                <w:sz w:val="24"/>
                <w:szCs w:val="24"/>
              </w:rPr>
            </w:pPr>
          </w:p>
          <w:p w14:paraId="392B50AF" w14:textId="77777777" w:rsidR="00FC65BA" w:rsidRPr="00C56257" w:rsidRDefault="00FC65BA" w:rsidP="008E33FD">
            <w:pPr>
              <w:pStyle w:val="TableParagraph"/>
              <w:jc w:val="both"/>
              <w:rPr>
                <w:color w:val="000000" w:themeColor="text1"/>
                <w:sz w:val="24"/>
                <w:szCs w:val="24"/>
              </w:rPr>
            </w:pPr>
          </w:p>
          <w:p w14:paraId="4DC30A50" w14:textId="77777777" w:rsidR="00FC65BA" w:rsidRPr="00C56257" w:rsidRDefault="00FC65BA" w:rsidP="008E33FD">
            <w:pPr>
              <w:pStyle w:val="TableParagraph"/>
              <w:jc w:val="both"/>
              <w:rPr>
                <w:color w:val="000000" w:themeColor="text1"/>
                <w:sz w:val="24"/>
                <w:szCs w:val="24"/>
              </w:rPr>
            </w:pPr>
          </w:p>
          <w:p w14:paraId="4E6F7681" w14:textId="77777777" w:rsidR="00FC65BA" w:rsidRPr="00C56257" w:rsidRDefault="00FC65BA" w:rsidP="008E33FD">
            <w:pPr>
              <w:pStyle w:val="TableParagraph"/>
              <w:jc w:val="both"/>
              <w:rPr>
                <w:color w:val="000000" w:themeColor="text1"/>
                <w:sz w:val="24"/>
                <w:szCs w:val="24"/>
              </w:rPr>
            </w:pPr>
          </w:p>
          <w:p w14:paraId="25220BBB" w14:textId="77777777" w:rsidR="00FC65BA" w:rsidRPr="00C56257" w:rsidRDefault="00FC65BA" w:rsidP="008E33FD">
            <w:pPr>
              <w:pStyle w:val="TableParagraph"/>
              <w:jc w:val="both"/>
              <w:rPr>
                <w:color w:val="000000" w:themeColor="text1"/>
                <w:sz w:val="24"/>
                <w:szCs w:val="24"/>
              </w:rPr>
            </w:pPr>
          </w:p>
          <w:p w14:paraId="2628C8BF" w14:textId="77777777" w:rsidR="00FC65BA" w:rsidRPr="00C56257" w:rsidRDefault="00FC65BA" w:rsidP="008E33FD">
            <w:pPr>
              <w:pStyle w:val="TableParagraph"/>
              <w:jc w:val="both"/>
              <w:rPr>
                <w:color w:val="000000" w:themeColor="text1"/>
                <w:sz w:val="24"/>
                <w:szCs w:val="24"/>
              </w:rPr>
            </w:pPr>
          </w:p>
          <w:p w14:paraId="05AA09A1" w14:textId="77777777" w:rsidR="00FC65BA" w:rsidRPr="00C56257" w:rsidRDefault="00FC65BA" w:rsidP="008E33FD">
            <w:pPr>
              <w:pStyle w:val="TableParagraph"/>
              <w:jc w:val="both"/>
              <w:rPr>
                <w:color w:val="000000" w:themeColor="text1"/>
                <w:sz w:val="24"/>
                <w:szCs w:val="24"/>
              </w:rPr>
            </w:pPr>
          </w:p>
          <w:p w14:paraId="6740087A" w14:textId="77777777" w:rsidR="00FC65BA" w:rsidRPr="00C56257" w:rsidRDefault="00FC65BA" w:rsidP="008E33FD">
            <w:pPr>
              <w:pStyle w:val="TableParagraph"/>
              <w:spacing w:before="5"/>
              <w:jc w:val="both"/>
              <w:rPr>
                <w:color w:val="000000" w:themeColor="text1"/>
                <w:sz w:val="24"/>
                <w:szCs w:val="24"/>
              </w:rPr>
            </w:pPr>
          </w:p>
          <w:p w14:paraId="1E9229DB" w14:textId="77777777" w:rsidR="00FC65BA" w:rsidRPr="00C56257" w:rsidRDefault="00FC65BA" w:rsidP="008E33FD">
            <w:pPr>
              <w:pStyle w:val="TableParagraph"/>
              <w:ind w:right="338"/>
              <w:jc w:val="both"/>
              <w:rPr>
                <w:color w:val="000000" w:themeColor="text1"/>
                <w:sz w:val="24"/>
                <w:szCs w:val="24"/>
              </w:rPr>
            </w:pPr>
            <w:r w:rsidRPr="00C56257">
              <w:rPr>
                <w:color w:val="000000" w:themeColor="text1"/>
                <w:sz w:val="24"/>
                <w:szCs w:val="24"/>
              </w:rPr>
              <w:t>E01, E02,</w:t>
            </w:r>
            <w:r w:rsidRPr="00C56257">
              <w:rPr>
                <w:color w:val="000000" w:themeColor="text1"/>
                <w:spacing w:val="-52"/>
                <w:sz w:val="24"/>
                <w:szCs w:val="24"/>
              </w:rPr>
              <w:t xml:space="preserve"> </w:t>
            </w:r>
            <w:r w:rsidRPr="00C56257">
              <w:rPr>
                <w:color w:val="000000" w:themeColor="text1"/>
                <w:sz w:val="24"/>
                <w:szCs w:val="24"/>
              </w:rPr>
              <w:t>E03, E04</w:t>
            </w:r>
          </w:p>
        </w:tc>
      </w:tr>
      <w:tr w:rsidR="00FC65BA" w:rsidRPr="00C56257" w14:paraId="78E08D9B" w14:textId="77777777" w:rsidTr="00FC65BA">
        <w:trPr>
          <w:trHeight w:val="1264"/>
        </w:trPr>
        <w:tc>
          <w:tcPr>
            <w:tcW w:w="528" w:type="dxa"/>
          </w:tcPr>
          <w:p w14:paraId="3FEEC3D1" w14:textId="77777777" w:rsidR="00FC65BA" w:rsidRPr="00C56257" w:rsidRDefault="00FC65BA" w:rsidP="008E33FD">
            <w:pPr>
              <w:pStyle w:val="TableParagraph"/>
              <w:spacing w:line="247" w:lineRule="exact"/>
              <w:jc w:val="both"/>
              <w:rPr>
                <w:color w:val="000000" w:themeColor="text1"/>
                <w:sz w:val="24"/>
                <w:szCs w:val="24"/>
              </w:rPr>
            </w:pPr>
            <w:r w:rsidRPr="00C56257">
              <w:rPr>
                <w:color w:val="000000" w:themeColor="text1"/>
                <w:sz w:val="24"/>
                <w:szCs w:val="24"/>
              </w:rPr>
              <w:t>7.</w:t>
            </w:r>
          </w:p>
        </w:tc>
        <w:tc>
          <w:tcPr>
            <w:tcW w:w="744" w:type="dxa"/>
          </w:tcPr>
          <w:p w14:paraId="45DAFC2C" w14:textId="77777777" w:rsidR="00FC65BA" w:rsidRPr="00C56257" w:rsidRDefault="00FC65BA" w:rsidP="008E33FD">
            <w:pPr>
              <w:pStyle w:val="TableParagraph"/>
              <w:jc w:val="both"/>
              <w:rPr>
                <w:color w:val="000000" w:themeColor="text1"/>
                <w:sz w:val="24"/>
                <w:szCs w:val="24"/>
              </w:rPr>
            </w:pPr>
          </w:p>
          <w:p w14:paraId="7D08F641" w14:textId="77777777" w:rsidR="00FC65BA" w:rsidRPr="00C56257" w:rsidRDefault="00FC65BA" w:rsidP="008E33FD">
            <w:pPr>
              <w:pStyle w:val="TableParagraph"/>
              <w:spacing w:before="5"/>
              <w:jc w:val="both"/>
              <w:rPr>
                <w:color w:val="000000" w:themeColor="text1"/>
                <w:sz w:val="24"/>
                <w:szCs w:val="24"/>
              </w:rPr>
            </w:pPr>
          </w:p>
          <w:p w14:paraId="5BDC0662" w14:textId="77777777" w:rsidR="00FC65BA" w:rsidRPr="00C56257" w:rsidRDefault="00FC65BA" w:rsidP="008E33FD">
            <w:pPr>
              <w:pStyle w:val="TableParagraph"/>
              <w:ind w:left="3" w:right="80"/>
              <w:jc w:val="both"/>
              <w:rPr>
                <w:color w:val="000000" w:themeColor="text1"/>
                <w:sz w:val="24"/>
                <w:szCs w:val="24"/>
              </w:rPr>
            </w:pPr>
            <w:r w:rsidRPr="00C56257">
              <w:rPr>
                <w:color w:val="000000" w:themeColor="text1"/>
                <w:sz w:val="24"/>
                <w:szCs w:val="24"/>
              </w:rPr>
              <w:t>CI01</w:t>
            </w:r>
          </w:p>
        </w:tc>
        <w:tc>
          <w:tcPr>
            <w:tcW w:w="2187" w:type="dxa"/>
          </w:tcPr>
          <w:p w14:paraId="22EDD7A9" w14:textId="77777777" w:rsidR="00FC65BA" w:rsidRPr="00C56257" w:rsidRDefault="00FC65BA" w:rsidP="008E33FD">
            <w:pPr>
              <w:pStyle w:val="TableParagraph"/>
              <w:ind w:right="107"/>
              <w:jc w:val="both"/>
              <w:rPr>
                <w:color w:val="000000" w:themeColor="text1"/>
                <w:sz w:val="24"/>
                <w:szCs w:val="24"/>
              </w:rPr>
            </w:pPr>
            <w:r w:rsidRPr="00C56257">
              <w:rPr>
                <w:color w:val="000000" w:themeColor="text1"/>
                <w:sz w:val="24"/>
                <w:szCs w:val="24"/>
              </w:rPr>
              <w:t>Detectarea timpurie și</w:t>
            </w:r>
            <w:r w:rsidRPr="00C56257">
              <w:rPr>
                <w:color w:val="000000" w:themeColor="text1"/>
                <w:spacing w:val="-53"/>
                <w:sz w:val="24"/>
                <w:szCs w:val="24"/>
              </w:rPr>
              <w:t xml:space="preserve"> </w:t>
            </w:r>
            <w:r w:rsidRPr="00C56257">
              <w:rPr>
                <w:color w:val="000000" w:themeColor="text1"/>
                <w:sz w:val="24"/>
                <w:szCs w:val="24"/>
              </w:rPr>
              <w:t>eradicarea rapidă a</w:t>
            </w:r>
            <w:r w:rsidRPr="00C56257">
              <w:rPr>
                <w:color w:val="000000" w:themeColor="text1"/>
                <w:spacing w:val="1"/>
                <w:sz w:val="24"/>
                <w:szCs w:val="24"/>
              </w:rPr>
              <w:t xml:space="preserve"> </w:t>
            </w:r>
            <w:r w:rsidRPr="00C56257">
              <w:rPr>
                <w:color w:val="000000" w:themeColor="text1"/>
                <w:sz w:val="24"/>
                <w:szCs w:val="24"/>
              </w:rPr>
              <w:t>speciilor, alohtone,</w:t>
            </w:r>
            <w:r w:rsidRPr="00C56257">
              <w:rPr>
                <w:color w:val="000000" w:themeColor="text1"/>
                <w:spacing w:val="1"/>
                <w:sz w:val="24"/>
                <w:szCs w:val="24"/>
              </w:rPr>
              <w:t xml:space="preserve"> </w:t>
            </w:r>
            <w:r w:rsidRPr="00C56257">
              <w:rPr>
                <w:color w:val="000000" w:themeColor="text1"/>
                <w:sz w:val="24"/>
                <w:szCs w:val="24"/>
              </w:rPr>
              <w:t>invazive</w:t>
            </w:r>
            <w:r w:rsidRPr="00C56257">
              <w:rPr>
                <w:color w:val="000000" w:themeColor="text1"/>
                <w:spacing w:val="-2"/>
                <w:sz w:val="24"/>
                <w:szCs w:val="24"/>
              </w:rPr>
              <w:t xml:space="preserve"> </w:t>
            </w:r>
            <w:r w:rsidRPr="00C56257">
              <w:rPr>
                <w:color w:val="000000" w:themeColor="text1"/>
                <w:sz w:val="24"/>
                <w:szCs w:val="24"/>
              </w:rPr>
              <w:t>considerate</w:t>
            </w:r>
          </w:p>
          <w:p w14:paraId="1977441D" w14:textId="77777777" w:rsidR="00FC65BA" w:rsidRPr="00C56257" w:rsidRDefault="00FC65BA" w:rsidP="008E33FD">
            <w:pPr>
              <w:pStyle w:val="TableParagraph"/>
              <w:spacing w:line="238" w:lineRule="exact"/>
              <w:jc w:val="both"/>
              <w:rPr>
                <w:color w:val="000000" w:themeColor="text1"/>
                <w:sz w:val="24"/>
                <w:szCs w:val="24"/>
              </w:rPr>
            </w:pPr>
            <w:r w:rsidRPr="00C56257">
              <w:rPr>
                <w:color w:val="000000" w:themeColor="text1"/>
                <w:sz w:val="24"/>
                <w:szCs w:val="24"/>
              </w:rPr>
              <w:t>de</w:t>
            </w:r>
            <w:r w:rsidRPr="00C56257">
              <w:rPr>
                <w:color w:val="000000" w:themeColor="text1"/>
                <w:spacing w:val="-2"/>
                <w:sz w:val="24"/>
                <w:szCs w:val="24"/>
              </w:rPr>
              <w:t xml:space="preserve"> </w:t>
            </w:r>
            <w:r w:rsidRPr="00C56257">
              <w:rPr>
                <w:color w:val="000000" w:themeColor="text1"/>
                <w:sz w:val="24"/>
                <w:szCs w:val="24"/>
              </w:rPr>
              <w:t>interes</w:t>
            </w:r>
            <w:r w:rsidRPr="00C56257">
              <w:rPr>
                <w:color w:val="000000" w:themeColor="text1"/>
                <w:spacing w:val="-1"/>
                <w:sz w:val="24"/>
                <w:szCs w:val="24"/>
              </w:rPr>
              <w:t xml:space="preserve"> </w:t>
            </w:r>
            <w:r w:rsidRPr="00C56257">
              <w:rPr>
                <w:color w:val="000000" w:themeColor="text1"/>
                <w:sz w:val="24"/>
                <w:szCs w:val="24"/>
              </w:rPr>
              <w:t>pentru</w:t>
            </w:r>
          </w:p>
        </w:tc>
        <w:tc>
          <w:tcPr>
            <w:tcW w:w="4729" w:type="dxa"/>
          </w:tcPr>
          <w:p w14:paraId="0F7CDE96" w14:textId="77777777" w:rsidR="00FC65BA" w:rsidRPr="00C56257" w:rsidRDefault="00FC65BA" w:rsidP="008E33FD">
            <w:pPr>
              <w:pStyle w:val="TableParagraph"/>
              <w:ind w:right="212"/>
              <w:jc w:val="both"/>
              <w:rPr>
                <w:color w:val="000000" w:themeColor="text1"/>
                <w:sz w:val="24"/>
                <w:szCs w:val="24"/>
              </w:rPr>
            </w:pPr>
            <w:r w:rsidRPr="00C56257">
              <w:rPr>
                <w:color w:val="000000" w:themeColor="text1"/>
                <w:sz w:val="24"/>
                <w:szCs w:val="24"/>
              </w:rPr>
              <w:t>Stabilirea</w:t>
            </w:r>
            <w:r w:rsidRPr="00C56257">
              <w:rPr>
                <w:color w:val="000000" w:themeColor="text1"/>
                <w:spacing w:val="-5"/>
                <w:sz w:val="24"/>
                <w:szCs w:val="24"/>
              </w:rPr>
              <w:t xml:space="preserve"> </w:t>
            </w:r>
            <w:r w:rsidRPr="00C56257">
              <w:rPr>
                <w:color w:val="000000" w:themeColor="text1"/>
                <w:sz w:val="24"/>
                <w:szCs w:val="24"/>
              </w:rPr>
              <w:t>și</w:t>
            </w:r>
            <w:r w:rsidRPr="00C56257">
              <w:rPr>
                <w:color w:val="000000" w:themeColor="text1"/>
                <w:spacing w:val="-3"/>
                <w:sz w:val="24"/>
                <w:szCs w:val="24"/>
              </w:rPr>
              <w:t xml:space="preserve"> </w:t>
            </w:r>
            <w:r w:rsidRPr="00C56257">
              <w:rPr>
                <w:color w:val="000000" w:themeColor="text1"/>
                <w:sz w:val="24"/>
                <w:szCs w:val="24"/>
              </w:rPr>
              <w:t>funcționarea</w:t>
            </w:r>
            <w:r w:rsidRPr="00C56257">
              <w:rPr>
                <w:color w:val="000000" w:themeColor="text1"/>
                <w:spacing w:val="-5"/>
                <w:sz w:val="24"/>
                <w:szCs w:val="24"/>
              </w:rPr>
              <w:t xml:space="preserve"> </w:t>
            </w:r>
            <w:r w:rsidRPr="00C56257">
              <w:rPr>
                <w:color w:val="000000" w:themeColor="text1"/>
                <w:sz w:val="24"/>
                <w:szCs w:val="24"/>
              </w:rPr>
              <w:t>sistemului</w:t>
            </w:r>
            <w:r w:rsidRPr="00C56257">
              <w:rPr>
                <w:color w:val="000000" w:themeColor="text1"/>
                <w:spacing w:val="-3"/>
                <w:sz w:val="24"/>
                <w:szCs w:val="24"/>
              </w:rPr>
              <w:t xml:space="preserve"> </w:t>
            </w:r>
            <w:r w:rsidRPr="00C56257">
              <w:rPr>
                <w:color w:val="000000" w:themeColor="text1"/>
                <w:sz w:val="24"/>
                <w:szCs w:val="24"/>
              </w:rPr>
              <w:t>de</w:t>
            </w:r>
            <w:r w:rsidRPr="00C56257">
              <w:rPr>
                <w:color w:val="000000" w:themeColor="text1"/>
                <w:spacing w:val="-52"/>
                <w:sz w:val="24"/>
                <w:szCs w:val="24"/>
              </w:rPr>
              <w:t xml:space="preserve"> </w:t>
            </w:r>
            <w:r w:rsidRPr="00C56257">
              <w:rPr>
                <w:color w:val="000000" w:themeColor="text1"/>
                <w:sz w:val="24"/>
                <w:szCs w:val="24"/>
              </w:rPr>
              <w:t>detectare timpurie și eradicare rapidă a</w:t>
            </w:r>
            <w:r w:rsidRPr="00C56257">
              <w:rPr>
                <w:color w:val="000000" w:themeColor="text1"/>
                <w:spacing w:val="-52"/>
                <w:sz w:val="24"/>
                <w:szCs w:val="24"/>
              </w:rPr>
              <w:t xml:space="preserve"> </w:t>
            </w:r>
            <w:r w:rsidRPr="00C56257">
              <w:rPr>
                <w:color w:val="000000" w:themeColor="text1"/>
                <w:sz w:val="24"/>
                <w:szCs w:val="24"/>
              </w:rPr>
              <w:t>speciilor străine invazive de interes</w:t>
            </w:r>
            <w:r w:rsidRPr="00C56257">
              <w:rPr>
                <w:color w:val="000000" w:themeColor="text1"/>
                <w:spacing w:val="1"/>
                <w:sz w:val="24"/>
                <w:szCs w:val="24"/>
              </w:rPr>
              <w:t xml:space="preserve"> </w:t>
            </w:r>
            <w:r w:rsidRPr="00C56257">
              <w:rPr>
                <w:color w:val="000000" w:themeColor="text1"/>
                <w:sz w:val="24"/>
                <w:szCs w:val="24"/>
              </w:rPr>
              <w:t>pentru</w:t>
            </w:r>
            <w:r w:rsidRPr="00C56257">
              <w:rPr>
                <w:color w:val="000000" w:themeColor="text1"/>
                <w:spacing w:val="-1"/>
                <w:sz w:val="24"/>
                <w:szCs w:val="24"/>
              </w:rPr>
              <w:t xml:space="preserve"> </w:t>
            </w:r>
            <w:r w:rsidRPr="00C56257">
              <w:rPr>
                <w:color w:val="000000" w:themeColor="text1"/>
                <w:sz w:val="24"/>
                <w:szCs w:val="24"/>
              </w:rPr>
              <w:t>Uniunea Europeană</w:t>
            </w:r>
            <w:r w:rsidRPr="00C56257">
              <w:rPr>
                <w:color w:val="000000" w:themeColor="text1"/>
                <w:spacing w:val="-5"/>
                <w:sz w:val="24"/>
                <w:szCs w:val="24"/>
              </w:rPr>
              <w:t xml:space="preserve"> </w:t>
            </w:r>
            <w:r w:rsidRPr="00C56257">
              <w:rPr>
                <w:color w:val="000000" w:themeColor="text1"/>
                <w:sz w:val="24"/>
                <w:szCs w:val="24"/>
              </w:rPr>
              <w:t>(în</w:t>
            </w:r>
          </w:p>
          <w:p w14:paraId="4473CFFF" w14:textId="77777777" w:rsidR="00FC65BA" w:rsidRPr="00C56257" w:rsidRDefault="00FC65BA" w:rsidP="008E33FD">
            <w:pPr>
              <w:pStyle w:val="TableParagraph"/>
              <w:spacing w:line="238" w:lineRule="exact"/>
              <w:jc w:val="both"/>
              <w:rPr>
                <w:color w:val="000000" w:themeColor="text1"/>
                <w:sz w:val="24"/>
                <w:szCs w:val="24"/>
              </w:rPr>
            </w:pPr>
            <w:r w:rsidRPr="00C56257">
              <w:rPr>
                <w:color w:val="000000" w:themeColor="text1"/>
                <w:sz w:val="24"/>
                <w:szCs w:val="24"/>
              </w:rPr>
              <w:t>conformitate</w:t>
            </w:r>
            <w:r w:rsidRPr="00C56257">
              <w:rPr>
                <w:color w:val="000000" w:themeColor="text1"/>
                <w:spacing w:val="-2"/>
                <w:sz w:val="24"/>
                <w:szCs w:val="24"/>
              </w:rPr>
              <w:t xml:space="preserve"> </w:t>
            </w:r>
            <w:r w:rsidRPr="00C56257">
              <w:rPr>
                <w:color w:val="000000" w:themeColor="text1"/>
                <w:sz w:val="24"/>
                <w:szCs w:val="24"/>
              </w:rPr>
              <w:t>cu</w:t>
            </w:r>
            <w:r w:rsidRPr="00C56257">
              <w:rPr>
                <w:color w:val="000000" w:themeColor="text1"/>
                <w:spacing w:val="-1"/>
                <w:sz w:val="24"/>
                <w:szCs w:val="24"/>
              </w:rPr>
              <w:t xml:space="preserve"> </w:t>
            </w:r>
            <w:r w:rsidRPr="00C56257">
              <w:rPr>
                <w:color w:val="000000" w:themeColor="text1"/>
                <w:sz w:val="24"/>
                <w:szCs w:val="24"/>
              </w:rPr>
              <w:t>Regulamentul</w:t>
            </w:r>
            <w:r w:rsidRPr="00C56257">
              <w:rPr>
                <w:color w:val="000000" w:themeColor="text1"/>
                <w:spacing w:val="-4"/>
                <w:sz w:val="24"/>
                <w:szCs w:val="24"/>
              </w:rPr>
              <w:t xml:space="preserve"> </w:t>
            </w:r>
            <w:r w:rsidRPr="00C56257">
              <w:rPr>
                <w:color w:val="000000" w:themeColor="text1"/>
                <w:sz w:val="24"/>
                <w:szCs w:val="24"/>
              </w:rPr>
              <w:t>(UE)</w:t>
            </w:r>
            <w:r w:rsidRPr="00C56257">
              <w:rPr>
                <w:color w:val="000000" w:themeColor="text1"/>
                <w:spacing w:val="-1"/>
                <w:sz w:val="24"/>
                <w:szCs w:val="24"/>
              </w:rPr>
              <w:t xml:space="preserve"> </w:t>
            </w:r>
            <w:r w:rsidRPr="00C56257">
              <w:rPr>
                <w:color w:val="000000" w:themeColor="text1"/>
                <w:sz w:val="24"/>
                <w:szCs w:val="24"/>
              </w:rPr>
              <w:t>nr.</w:t>
            </w:r>
          </w:p>
        </w:tc>
        <w:tc>
          <w:tcPr>
            <w:tcW w:w="1710" w:type="dxa"/>
          </w:tcPr>
          <w:p w14:paraId="29FF499F" w14:textId="77777777" w:rsidR="00FC65BA" w:rsidRPr="00C56257" w:rsidRDefault="00FC65BA" w:rsidP="008E33FD">
            <w:pPr>
              <w:pStyle w:val="TableParagraph"/>
              <w:jc w:val="both"/>
              <w:rPr>
                <w:color w:val="000000" w:themeColor="text1"/>
                <w:sz w:val="24"/>
                <w:szCs w:val="24"/>
              </w:rPr>
            </w:pPr>
          </w:p>
          <w:p w14:paraId="41B82663" w14:textId="77777777" w:rsidR="00FC65BA" w:rsidRPr="00C56257" w:rsidRDefault="00FC65BA" w:rsidP="008E33FD">
            <w:pPr>
              <w:pStyle w:val="TableParagraph"/>
              <w:spacing w:before="5"/>
              <w:jc w:val="both"/>
              <w:rPr>
                <w:color w:val="000000" w:themeColor="text1"/>
                <w:sz w:val="24"/>
                <w:szCs w:val="24"/>
              </w:rPr>
            </w:pPr>
          </w:p>
          <w:p w14:paraId="50A584B2" w14:textId="77777777" w:rsidR="00FC65BA" w:rsidRPr="00C56257" w:rsidRDefault="00FC65BA" w:rsidP="008E33FD">
            <w:pPr>
              <w:pStyle w:val="TableParagraph"/>
              <w:jc w:val="both"/>
              <w:rPr>
                <w:color w:val="000000" w:themeColor="text1"/>
                <w:sz w:val="24"/>
                <w:szCs w:val="24"/>
              </w:rPr>
            </w:pPr>
            <w:r w:rsidRPr="00C56257">
              <w:rPr>
                <w:color w:val="000000" w:themeColor="text1"/>
                <w:sz w:val="24"/>
                <w:szCs w:val="24"/>
              </w:rPr>
              <w:t>I01</w:t>
            </w:r>
          </w:p>
        </w:tc>
      </w:tr>
      <w:tr w:rsidR="00FC65BA" w:rsidRPr="00C56257" w14:paraId="500B4E27" w14:textId="77777777" w:rsidTr="00FC65BA">
        <w:trPr>
          <w:trHeight w:val="1264"/>
        </w:trPr>
        <w:tc>
          <w:tcPr>
            <w:tcW w:w="528" w:type="dxa"/>
          </w:tcPr>
          <w:p w14:paraId="59A5778E" w14:textId="77777777" w:rsidR="00FC65BA" w:rsidRPr="00C56257" w:rsidRDefault="00FC65BA" w:rsidP="008E33FD">
            <w:pPr>
              <w:pStyle w:val="TableParagraph"/>
              <w:jc w:val="both"/>
              <w:rPr>
                <w:color w:val="000000" w:themeColor="text1"/>
                <w:sz w:val="24"/>
                <w:szCs w:val="24"/>
              </w:rPr>
            </w:pPr>
          </w:p>
        </w:tc>
        <w:tc>
          <w:tcPr>
            <w:tcW w:w="744" w:type="dxa"/>
          </w:tcPr>
          <w:p w14:paraId="3BE8735B" w14:textId="77777777" w:rsidR="00FC65BA" w:rsidRPr="00C56257" w:rsidRDefault="00FC65BA" w:rsidP="008E33FD">
            <w:pPr>
              <w:pStyle w:val="TableParagraph"/>
              <w:jc w:val="both"/>
              <w:rPr>
                <w:color w:val="000000" w:themeColor="text1"/>
                <w:sz w:val="24"/>
                <w:szCs w:val="24"/>
              </w:rPr>
            </w:pPr>
          </w:p>
        </w:tc>
        <w:tc>
          <w:tcPr>
            <w:tcW w:w="2187" w:type="dxa"/>
          </w:tcPr>
          <w:p w14:paraId="5F9E2BB2" w14:textId="77777777" w:rsidR="00FC65BA" w:rsidRPr="00C56257" w:rsidRDefault="00FC65BA" w:rsidP="008E33FD">
            <w:pPr>
              <w:pStyle w:val="TableParagraph"/>
              <w:spacing w:line="247" w:lineRule="exact"/>
              <w:jc w:val="both"/>
              <w:rPr>
                <w:color w:val="000000" w:themeColor="text1"/>
                <w:sz w:val="24"/>
                <w:szCs w:val="24"/>
              </w:rPr>
            </w:pPr>
            <w:r w:rsidRPr="00C56257">
              <w:rPr>
                <w:color w:val="000000" w:themeColor="text1"/>
                <w:sz w:val="24"/>
                <w:szCs w:val="24"/>
              </w:rPr>
              <w:t>Uniunea</w:t>
            </w:r>
            <w:r w:rsidRPr="00C56257">
              <w:rPr>
                <w:color w:val="000000" w:themeColor="text1"/>
                <w:spacing w:val="-3"/>
                <w:sz w:val="24"/>
                <w:szCs w:val="24"/>
              </w:rPr>
              <w:t xml:space="preserve"> </w:t>
            </w:r>
            <w:r w:rsidRPr="00C56257">
              <w:rPr>
                <w:color w:val="000000" w:themeColor="text1"/>
                <w:sz w:val="24"/>
                <w:szCs w:val="24"/>
              </w:rPr>
              <w:t>Europeană</w:t>
            </w:r>
          </w:p>
        </w:tc>
        <w:tc>
          <w:tcPr>
            <w:tcW w:w="4729" w:type="dxa"/>
          </w:tcPr>
          <w:p w14:paraId="51FF29FF" w14:textId="77777777" w:rsidR="00FC65BA" w:rsidRPr="00C56257" w:rsidRDefault="00FC65BA" w:rsidP="008E33FD">
            <w:pPr>
              <w:pStyle w:val="TableParagraph"/>
              <w:spacing w:line="247" w:lineRule="exact"/>
              <w:jc w:val="both"/>
              <w:rPr>
                <w:color w:val="000000" w:themeColor="text1"/>
                <w:sz w:val="24"/>
                <w:szCs w:val="24"/>
              </w:rPr>
            </w:pPr>
            <w:r w:rsidRPr="00C56257">
              <w:rPr>
                <w:color w:val="000000" w:themeColor="text1"/>
                <w:sz w:val="24"/>
                <w:szCs w:val="24"/>
              </w:rPr>
              <w:t>1143/2014).</w:t>
            </w:r>
          </w:p>
          <w:p w14:paraId="44FB0FC7" w14:textId="77777777" w:rsidR="00FC65BA" w:rsidRPr="00C56257" w:rsidRDefault="00FC65BA" w:rsidP="008E33FD">
            <w:pPr>
              <w:pStyle w:val="TableParagraph"/>
              <w:spacing w:before="1"/>
              <w:ind w:right="291"/>
              <w:jc w:val="both"/>
              <w:rPr>
                <w:color w:val="000000" w:themeColor="text1"/>
                <w:sz w:val="24"/>
                <w:szCs w:val="24"/>
              </w:rPr>
            </w:pPr>
            <w:r w:rsidRPr="00C56257">
              <w:rPr>
                <w:color w:val="000000" w:themeColor="text1"/>
                <w:sz w:val="24"/>
                <w:szCs w:val="24"/>
              </w:rPr>
              <w:t>Aceasta include, de asemenea, măsuri</w:t>
            </w:r>
            <w:r w:rsidRPr="00C56257">
              <w:rPr>
                <w:color w:val="000000" w:themeColor="text1"/>
                <w:spacing w:val="-52"/>
                <w:sz w:val="24"/>
                <w:szCs w:val="24"/>
              </w:rPr>
              <w:t xml:space="preserve"> </w:t>
            </w:r>
            <w:r w:rsidRPr="00C56257">
              <w:rPr>
                <w:color w:val="000000" w:themeColor="text1"/>
                <w:sz w:val="24"/>
                <w:szCs w:val="24"/>
              </w:rPr>
              <w:t>pentru prevenirea sau reducerea</w:t>
            </w:r>
            <w:r w:rsidRPr="00C56257">
              <w:rPr>
                <w:color w:val="000000" w:themeColor="text1"/>
                <w:spacing w:val="1"/>
                <w:sz w:val="24"/>
                <w:szCs w:val="24"/>
              </w:rPr>
              <w:t xml:space="preserve"> </w:t>
            </w:r>
            <w:r w:rsidRPr="00C56257">
              <w:rPr>
                <w:color w:val="000000" w:themeColor="text1"/>
                <w:sz w:val="24"/>
                <w:szCs w:val="24"/>
              </w:rPr>
              <w:t>probabilității</w:t>
            </w:r>
            <w:r w:rsidRPr="00C56257">
              <w:rPr>
                <w:color w:val="000000" w:themeColor="text1"/>
                <w:spacing w:val="-4"/>
                <w:sz w:val="24"/>
                <w:szCs w:val="24"/>
              </w:rPr>
              <w:t xml:space="preserve"> </w:t>
            </w:r>
            <w:r w:rsidRPr="00C56257">
              <w:rPr>
                <w:color w:val="000000" w:themeColor="text1"/>
                <w:sz w:val="24"/>
                <w:szCs w:val="24"/>
              </w:rPr>
              <w:t>înființării</w:t>
            </w:r>
            <w:r w:rsidRPr="00C56257">
              <w:rPr>
                <w:color w:val="000000" w:themeColor="text1"/>
                <w:spacing w:val="-3"/>
                <w:sz w:val="24"/>
                <w:szCs w:val="24"/>
              </w:rPr>
              <w:t xml:space="preserve"> </w:t>
            </w:r>
            <w:r w:rsidRPr="00C56257">
              <w:rPr>
                <w:color w:val="000000" w:themeColor="text1"/>
                <w:sz w:val="24"/>
                <w:szCs w:val="24"/>
              </w:rPr>
              <w:t>și</w:t>
            </w:r>
            <w:r w:rsidRPr="00C56257">
              <w:rPr>
                <w:color w:val="000000" w:themeColor="text1"/>
                <w:spacing w:val="-2"/>
                <w:sz w:val="24"/>
                <w:szCs w:val="24"/>
              </w:rPr>
              <w:t xml:space="preserve"> </w:t>
            </w:r>
            <w:r w:rsidRPr="00C56257">
              <w:rPr>
                <w:color w:val="000000" w:themeColor="text1"/>
                <w:sz w:val="24"/>
                <w:szCs w:val="24"/>
              </w:rPr>
              <w:t>intrării</w:t>
            </w:r>
          </w:p>
          <w:p w14:paraId="6E990D99" w14:textId="77777777" w:rsidR="00FC65BA" w:rsidRPr="00C56257" w:rsidRDefault="00FC65BA" w:rsidP="008E33FD">
            <w:pPr>
              <w:pStyle w:val="TableParagraph"/>
              <w:spacing w:line="237" w:lineRule="exact"/>
              <w:jc w:val="both"/>
              <w:rPr>
                <w:color w:val="000000" w:themeColor="text1"/>
                <w:sz w:val="24"/>
                <w:szCs w:val="24"/>
              </w:rPr>
            </w:pPr>
            <w:r w:rsidRPr="00C56257">
              <w:rPr>
                <w:color w:val="000000" w:themeColor="text1"/>
                <w:sz w:val="24"/>
                <w:szCs w:val="24"/>
              </w:rPr>
              <w:t>speciilor</w:t>
            </w:r>
            <w:r w:rsidRPr="00C56257">
              <w:rPr>
                <w:color w:val="000000" w:themeColor="text1"/>
                <w:spacing w:val="-6"/>
                <w:sz w:val="24"/>
                <w:szCs w:val="24"/>
              </w:rPr>
              <w:t xml:space="preserve"> </w:t>
            </w:r>
            <w:r w:rsidRPr="00C56257">
              <w:rPr>
                <w:color w:val="000000" w:themeColor="text1"/>
                <w:sz w:val="24"/>
                <w:szCs w:val="24"/>
              </w:rPr>
              <w:t>alohtone</w:t>
            </w:r>
            <w:r w:rsidRPr="00C56257">
              <w:rPr>
                <w:color w:val="000000" w:themeColor="text1"/>
                <w:spacing w:val="-3"/>
                <w:sz w:val="24"/>
                <w:szCs w:val="24"/>
              </w:rPr>
              <w:t xml:space="preserve"> </w:t>
            </w:r>
            <w:r w:rsidRPr="00C56257">
              <w:rPr>
                <w:color w:val="000000" w:themeColor="text1"/>
                <w:sz w:val="24"/>
                <w:szCs w:val="24"/>
              </w:rPr>
              <w:t>invazive.</w:t>
            </w:r>
          </w:p>
        </w:tc>
        <w:tc>
          <w:tcPr>
            <w:tcW w:w="1710" w:type="dxa"/>
          </w:tcPr>
          <w:p w14:paraId="00AB8B4A" w14:textId="77777777" w:rsidR="00FC65BA" w:rsidRPr="00C56257" w:rsidRDefault="00FC65BA" w:rsidP="008E33FD">
            <w:pPr>
              <w:pStyle w:val="TableParagraph"/>
              <w:jc w:val="both"/>
              <w:rPr>
                <w:color w:val="000000" w:themeColor="text1"/>
                <w:sz w:val="24"/>
                <w:szCs w:val="24"/>
              </w:rPr>
            </w:pPr>
          </w:p>
        </w:tc>
      </w:tr>
      <w:tr w:rsidR="00FC65BA" w:rsidRPr="00C56257" w14:paraId="50A4B392" w14:textId="77777777" w:rsidTr="00FC65BA">
        <w:trPr>
          <w:trHeight w:val="1264"/>
        </w:trPr>
        <w:tc>
          <w:tcPr>
            <w:tcW w:w="528" w:type="dxa"/>
          </w:tcPr>
          <w:p w14:paraId="5CC217D1" w14:textId="77777777" w:rsidR="00FC65BA" w:rsidRPr="00C56257" w:rsidRDefault="00FC65BA" w:rsidP="00FC65BA">
            <w:pPr>
              <w:pStyle w:val="TableParagraph"/>
              <w:jc w:val="both"/>
              <w:rPr>
                <w:color w:val="000000" w:themeColor="text1"/>
                <w:sz w:val="24"/>
                <w:szCs w:val="24"/>
              </w:rPr>
            </w:pPr>
            <w:r w:rsidRPr="00C56257">
              <w:rPr>
                <w:color w:val="000000" w:themeColor="text1"/>
                <w:sz w:val="24"/>
                <w:szCs w:val="24"/>
              </w:rPr>
              <w:t>8.</w:t>
            </w:r>
          </w:p>
        </w:tc>
        <w:tc>
          <w:tcPr>
            <w:tcW w:w="744" w:type="dxa"/>
          </w:tcPr>
          <w:p w14:paraId="1D189694" w14:textId="77777777" w:rsidR="00FC65BA" w:rsidRPr="00C56257" w:rsidRDefault="00FC65BA" w:rsidP="00FC65BA">
            <w:pPr>
              <w:pStyle w:val="TableParagraph"/>
              <w:jc w:val="both"/>
              <w:rPr>
                <w:color w:val="000000" w:themeColor="text1"/>
                <w:sz w:val="24"/>
                <w:szCs w:val="24"/>
              </w:rPr>
            </w:pPr>
            <w:r w:rsidRPr="00C56257">
              <w:rPr>
                <w:color w:val="000000" w:themeColor="text1"/>
                <w:sz w:val="24"/>
                <w:szCs w:val="24"/>
              </w:rPr>
              <w:t>CI03</w:t>
            </w:r>
          </w:p>
        </w:tc>
        <w:tc>
          <w:tcPr>
            <w:tcW w:w="2187" w:type="dxa"/>
          </w:tcPr>
          <w:p w14:paraId="53556396" w14:textId="77777777" w:rsidR="00FC65BA" w:rsidRPr="00C56257" w:rsidRDefault="00FC65BA" w:rsidP="00FC65BA">
            <w:pPr>
              <w:pStyle w:val="TableParagraph"/>
              <w:spacing w:line="247" w:lineRule="exact"/>
              <w:jc w:val="both"/>
              <w:rPr>
                <w:color w:val="000000" w:themeColor="text1"/>
                <w:sz w:val="24"/>
                <w:szCs w:val="24"/>
              </w:rPr>
            </w:pPr>
            <w:r>
              <w:rPr>
                <w:color w:val="000000" w:themeColor="text1"/>
                <w:sz w:val="24"/>
                <w:szCs w:val="24"/>
              </w:rPr>
              <w:t>M</w:t>
            </w:r>
            <w:r w:rsidRPr="00C56257">
              <w:rPr>
                <w:color w:val="000000" w:themeColor="text1"/>
                <w:sz w:val="24"/>
                <w:szCs w:val="24"/>
              </w:rPr>
              <w:t>anagementul,</w:t>
            </w:r>
            <w:r w:rsidRPr="00C56257">
              <w:rPr>
                <w:color w:val="000000" w:themeColor="text1"/>
                <w:spacing w:val="1"/>
                <w:sz w:val="24"/>
                <w:szCs w:val="24"/>
              </w:rPr>
              <w:t xml:space="preserve"> </w:t>
            </w:r>
            <w:r w:rsidRPr="00C56257">
              <w:rPr>
                <w:color w:val="000000" w:themeColor="text1"/>
                <w:sz w:val="24"/>
                <w:szCs w:val="24"/>
              </w:rPr>
              <w:t>controlul sau</w:t>
            </w:r>
            <w:r w:rsidRPr="00C56257">
              <w:rPr>
                <w:color w:val="000000" w:themeColor="text1"/>
                <w:spacing w:val="1"/>
                <w:sz w:val="24"/>
                <w:szCs w:val="24"/>
              </w:rPr>
              <w:t xml:space="preserve"> </w:t>
            </w:r>
            <w:r w:rsidRPr="00C56257">
              <w:rPr>
                <w:color w:val="000000" w:themeColor="text1"/>
                <w:sz w:val="24"/>
                <w:szCs w:val="24"/>
              </w:rPr>
              <w:t>eradicarea altor specii</w:t>
            </w:r>
            <w:r w:rsidRPr="00C56257">
              <w:rPr>
                <w:color w:val="000000" w:themeColor="text1"/>
                <w:spacing w:val="-52"/>
                <w:sz w:val="24"/>
                <w:szCs w:val="24"/>
              </w:rPr>
              <w:t xml:space="preserve"> </w:t>
            </w:r>
            <w:r w:rsidRPr="00C56257">
              <w:rPr>
                <w:color w:val="000000" w:themeColor="text1"/>
                <w:sz w:val="24"/>
                <w:szCs w:val="24"/>
              </w:rPr>
              <w:t>alohtone</w:t>
            </w:r>
            <w:r w:rsidRPr="00C56257">
              <w:rPr>
                <w:color w:val="000000" w:themeColor="text1"/>
                <w:spacing w:val="-3"/>
                <w:sz w:val="24"/>
                <w:szCs w:val="24"/>
              </w:rPr>
              <w:t xml:space="preserve"> </w:t>
            </w:r>
            <w:r w:rsidRPr="00C56257">
              <w:rPr>
                <w:color w:val="000000" w:themeColor="text1"/>
                <w:sz w:val="24"/>
                <w:szCs w:val="24"/>
              </w:rPr>
              <w:t>invazive</w:t>
            </w:r>
          </w:p>
        </w:tc>
        <w:tc>
          <w:tcPr>
            <w:tcW w:w="4729" w:type="dxa"/>
          </w:tcPr>
          <w:p w14:paraId="0DDA57B3" w14:textId="77777777" w:rsidR="00FC65BA" w:rsidRPr="00C56257" w:rsidRDefault="00FC65BA" w:rsidP="00FC65BA">
            <w:pPr>
              <w:pStyle w:val="TableParagraph"/>
              <w:spacing w:line="247" w:lineRule="exact"/>
              <w:jc w:val="both"/>
              <w:rPr>
                <w:color w:val="000000" w:themeColor="text1"/>
                <w:sz w:val="24"/>
                <w:szCs w:val="24"/>
              </w:rPr>
            </w:pPr>
            <w:r w:rsidRPr="00C56257">
              <w:rPr>
                <w:color w:val="000000" w:themeColor="text1"/>
                <w:sz w:val="24"/>
                <w:szCs w:val="24"/>
              </w:rPr>
              <w:t>Gestionarea, controlul răspândirii altor</w:t>
            </w:r>
            <w:r w:rsidRPr="00C56257">
              <w:rPr>
                <w:color w:val="000000" w:themeColor="text1"/>
                <w:spacing w:val="-52"/>
                <w:sz w:val="24"/>
                <w:szCs w:val="24"/>
              </w:rPr>
              <w:t xml:space="preserve"> </w:t>
            </w:r>
            <w:r w:rsidRPr="00C56257">
              <w:rPr>
                <w:color w:val="000000" w:themeColor="text1"/>
                <w:sz w:val="24"/>
                <w:szCs w:val="24"/>
              </w:rPr>
              <w:t>specii exotice „invazive” (adică orice</w:t>
            </w:r>
            <w:r w:rsidRPr="00C56257">
              <w:rPr>
                <w:color w:val="000000" w:themeColor="text1"/>
                <w:spacing w:val="1"/>
                <w:sz w:val="24"/>
                <w:szCs w:val="24"/>
              </w:rPr>
              <w:t xml:space="preserve"> </w:t>
            </w:r>
            <w:r w:rsidRPr="00C56257">
              <w:rPr>
                <w:color w:val="000000" w:themeColor="text1"/>
                <w:sz w:val="24"/>
                <w:szCs w:val="24"/>
              </w:rPr>
              <w:t>specie introdusă în perioada modernă</w:t>
            </w:r>
            <w:r w:rsidRPr="00C56257">
              <w:rPr>
                <w:color w:val="000000" w:themeColor="text1"/>
                <w:spacing w:val="1"/>
                <w:sz w:val="24"/>
                <w:szCs w:val="24"/>
              </w:rPr>
              <w:t xml:space="preserve"> </w:t>
            </w:r>
            <w:r w:rsidRPr="00C56257">
              <w:rPr>
                <w:color w:val="000000" w:themeColor="text1"/>
                <w:sz w:val="24"/>
                <w:szCs w:val="24"/>
              </w:rPr>
              <w:t>care este stabilită în sălbăticie în afara</w:t>
            </w:r>
            <w:r w:rsidRPr="00C56257">
              <w:rPr>
                <w:color w:val="000000" w:themeColor="text1"/>
                <w:spacing w:val="1"/>
                <w:sz w:val="24"/>
                <w:szCs w:val="24"/>
              </w:rPr>
              <w:t xml:space="preserve"> </w:t>
            </w:r>
            <w:r w:rsidRPr="00C56257">
              <w:rPr>
                <w:color w:val="000000" w:themeColor="text1"/>
                <w:sz w:val="24"/>
                <w:szCs w:val="24"/>
              </w:rPr>
              <w:t>ariei sale naturale și a cărei introducere</w:t>
            </w:r>
            <w:r w:rsidRPr="00C56257">
              <w:rPr>
                <w:color w:val="000000" w:themeColor="text1"/>
                <w:spacing w:val="-52"/>
                <w:sz w:val="24"/>
                <w:szCs w:val="24"/>
              </w:rPr>
              <w:t xml:space="preserve"> </w:t>
            </w:r>
            <w:r w:rsidRPr="00C56257">
              <w:rPr>
                <w:color w:val="000000" w:themeColor="text1"/>
                <w:sz w:val="24"/>
                <w:szCs w:val="24"/>
              </w:rPr>
              <w:t>și / sau răspândire reprezintă o</w:t>
            </w:r>
            <w:r w:rsidRPr="00C56257">
              <w:rPr>
                <w:color w:val="000000" w:themeColor="text1"/>
                <w:spacing w:val="1"/>
                <w:sz w:val="24"/>
                <w:szCs w:val="24"/>
              </w:rPr>
              <w:t xml:space="preserve"> </w:t>
            </w:r>
            <w:r w:rsidRPr="00C56257">
              <w:rPr>
                <w:color w:val="000000" w:themeColor="text1"/>
                <w:sz w:val="24"/>
                <w:szCs w:val="24"/>
              </w:rPr>
              <w:t>amenințare concretă, sau potențială</w:t>
            </w:r>
            <w:r w:rsidRPr="00C56257">
              <w:rPr>
                <w:color w:val="000000" w:themeColor="text1"/>
                <w:spacing w:val="1"/>
                <w:sz w:val="24"/>
                <w:szCs w:val="24"/>
              </w:rPr>
              <w:t xml:space="preserve"> </w:t>
            </w:r>
            <w:r w:rsidRPr="00C56257">
              <w:rPr>
                <w:color w:val="000000" w:themeColor="text1"/>
                <w:sz w:val="24"/>
                <w:szCs w:val="24"/>
              </w:rPr>
              <w:t>pentru habitate și specii, indiferent de</w:t>
            </w:r>
            <w:r w:rsidRPr="00C56257">
              <w:rPr>
                <w:color w:val="000000" w:themeColor="text1"/>
                <w:spacing w:val="1"/>
                <w:sz w:val="24"/>
                <w:szCs w:val="24"/>
              </w:rPr>
              <w:t xml:space="preserve"> </w:t>
            </w:r>
            <w:r w:rsidRPr="00C56257">
              <w:rPr>
                <w:color w:val="000000" w:themeColor="text1"/>
                <w:sz w:val="24"/>
                <w:szCs w:val="24"/>
              </w:rPr>
              <w:t>dinamica populației invazive (ex.</w:t>
            </w:r>
            <w:r w:rsidRPr="00C56257">
              <w:rPr>
                <w:color w:val="000000" w:themeColor="text1"/>
                <w:spacing w:val="1"/>
                <w:sz w:val="24"/>
                <w:szCs w:val="24"/>
              </w:rPr>
              <w:t xml:space="preserve"> </w:t>
            </w:r>
            <w:r w:rsidRPr="00C56257">
              <w:rPr>
                <w:color w:val="000000" w:themeColor="text1"/>
                <w:sz w:val="24"/>
                <w:szCs w:val="24"/>
              </w:rPr>
              <w:t>controlul Acacia spp.)) sau eradicarea</w:t>
            </w:r>
            <w:r w:rsidRPr="00C56257">
              <w:rPr>
                <w:color w:val="000000" w:themeColor="text1"/>
                <w:spacing w:val="1"/>
                <w:sz w:val="24"/>
                <w:szCs w:val="24"/>
              </w:rPr>
              <w:t xml:space="preserve"> </w:t>
            </w:r>
            <w:r w:rsidRPr="00C56257">
              <w:rPr>
                <w:color w:val="000000" w:themeColor="text1"/>
                <w:sz w:val="24"/>
                <w:szCs w:val="24"/>
              </w:rPr>
              <w:t>populațiilor stabilite ale altor specii</w:t>
            </w:r>
            <w:r w:rsidRPr="00C56257">
              <w:rPr>
                <w:color w:val="000000" w:themeColor="text1"/>
                <w:spacing w:val="1"/>
                <w:sz w:val="24"/>
                <w:szCs w:val="24"/>
              </w:rPr>
              <w:t xml:space="preserve"> </w:t>
            </w:r>
            <w:r w:rsidRPr="00C56257">
              <w:rPr>
                <w:color w:val="000000" w:themeColor="text1"/>
                <w:sz w:val="24"/>
                <w:szCs w:val="24"/>
              </w:rPr>
              <w:t>străine.</w:t>
            </w:r>
          </w:p>
        </w:tc>
        <w:tc>
          <w:tcPr>
            <w:tcW w:w="1710" w:type="dxa"/>
          </w:tcPr>
          <w:p w14:paraId="0C631837" w14:textId="77777777" w:rsidR="00FC65BA" w:rsidRPr="00C56257" w:rsidRDefault="00FC65BA" w:rsidP="00FC65BA">
            <w:pPr>
              <w:pStyle w:val="TableParagraph"/>
              <w:jc w:val="both"/>
              <w:rPr>
                <w:color w:val="000000" w:themeColor="text1"/>
                <w:sz w:val="24"/>
                <w:szCs w:val="24"/>
              </w:rPr>
            </w:pPr>
            <w:r w:rsidRPr="00C56257">
              <w:rPr>
                <w:color w:val="000000" w:themeColor="text1"/>
                <w:sz w:val="24"/>
                <w:szCs w:val="24"/>
              </w:rPr>
              <w:t>I02</w:t>
            </w:r>
          </w:p>
        </w:tc>
      </w:tr>
      <w:tr w:rsidR="00FC65BA" w:rsidRPr="00C56257" w14:paraId="4B70CB4C" w14:textId="77777777" w:rsidTr="00FC65BA">
        <w:trPr>
          <w:trHeight w:val="1264"/>
        </w:trPr>
        <w:tc>
          <w:tcPr>
            <w:tcW w:w="528" w:type="dxa"/>
          </w:tcPr>
          <w:p w14:paraId="5989CDB7" w14:textId="77777777" w:rsidR="00FC65BA" w:rsidRPr="00C56257" w:rsidRDefault="00FC65BA" w:rsidP="00FC65BA">
            <w:pPr>
              <w:pStyle w:val="TableParagraph"/>
              <w:jc w:val="both"/>
              <w:rPr>
                <w:color w:val="000000" w:themeColor="text1"/>
                <w:sz w:val="24"/>
                <w:szCs w:val="24"/>
              </w:rPr>
            </w:pPr>
            <w:r w:rsidRPr="00C56257">
              <w:rPr>
                <w:color w:val="000000" w:themeColor="text1"/>
                <w:sz w:val="24"/>
                <w:szCs w:val="24"/>
              </w:rPr>
              <w:t>9.</w:t>
            </w:r>
          </w:p>
        </w:tc>
        <w:tc>
          <w:tcPr>
            <w:tcW w:w="744" w:type="dxa"/>
          </w:tcPr>
          <w:p w14:paraId="16A5D1FB" w14:textId="77777777" w:rsidR="00FC65BA" w:rsidRPr="00C56257" w:rsidRDefault="00FC65BA" w:rsidP="00FC65BA">
            <w:pPr>
              <w:pStyle w:val="TableParagraph"/>
              <w:jc w:val="both"/>
              <w:rPr>
                <w:color w:val="000000" w:themeColor="text1"/>
                <w:sz w:val="24"/>
                <w:szCs w:val="24"/>
              </w:rPr>
            </w:pPr>
          </w:p>
          <w:p w14:paraId="72753E42" w14:textId="77777777" w:rsidR="00FC65BA" w:rsidRPr="00C56257" w:rsidRDefault="00FC65BA" w:rsidP="00FC65BA">
            <w:pPr>
              <w:pStyle w:val="TableParagraph"/>
              <w:jc w:val="both"/>
              <w:rPr>
                <w:color w:val="000000" w:themeColor="text1"/>
                <w:sz w:val="24"/>
                <w:szCs w:val="24"/>
              </w:rPr>
            </w:pPr>
          </w:p>
          <w:p w14:paraId="16E24D09" w14:textId="77777777" w:rsidR="00FC65BA" w:rsidRPr="00C56257" w:rsidRDefault="00FC65BA" w:rsidP="00FC65BA">
            <w:pPr>
              <w:pStyle w:val="TableParagraph"/>
              <w:jc w:val="both"/>
              <w:rPr>
                <w:color w:val="000000" w:themeColor="text1"/>
                <w:sz w:val="24"/>
                <w:szCs w:val="24"/>
              </w:rPr>
            </w:pPr>
          </w:p>
          <w:p w14:paraId="02B20AD8" w14:textId="77777777" w:rsidR="00FC65BA" w:rsidRPr="00C56257" w:rsidRDefault="00FC65BA" w:rsidP="00FC65BA">
            <w:pPr>
              <w:pStyle w:val="TableParagraph"/>
              <w:jc w:val="both"/>
              <w:rPr>
                <w:color w:val="000000" w:themeColor="text1"/>
                <w:sz w:val="24"/>
                <w:szCs w:val="24"/>
              </w:rPr>
            </w:pPr>
            <w:r w:rsidRPr="00C56257">
              <w:rPr>
                <w:color w:val="000000" w:themeColor="text1"/>
                <w:sz w:val="24"/>
                <w:szCs w:val="24"/>
              </w:rPr>
              <w:t>CJ02</w:t>
            </w:r>
          </w:p>
        </w:tc>
        <w:tc>
          <w:tcPr>
            <w:tcW w:w="2187" w:type="dxa"/>
          </w:tcPr>
          <w:p w14:paraId="0356B945" w14:textId="77777777" w:rsidR="00FC65BA" w:rsidRPr="00C56257" w:rsidRDefault="00FC65BA" w:rsidP="00FC65BA">
            <w:pPr>
              <w:pStyle w:val="TableParagraph"/>
              <w:spacing w:before="1"/>
              <w:jc w:val="both"/>
              <w:rPr>
                <w:color w:val="000000" w:themeColor="text1"/>
                <w:sz w:val="24"/>
                <w:szCs w:val="24"/>
              </w:rPr>
            </w:pPr>
          </w:p>
          <w:p w14:paraId="310E3368" w14:textId="77777777" w:rsidR="00FC65BA" w:rsidRDefault="00FC65BA" w:rsidP="00FC65BA">
            <w:pPr>
              <w:pStyle w:val="TableParagraph"/>
              <w:spacing w:line="247" w:lineRule="exact"/>
              <w:jc w:val="both"/>
              <w:rPr>
                <w:color w:val="000000" w:themeColor="text1"/>
                <w:sz w:val="24"/>
                <w:szCs w:val="24"/>
              </w:rPr>
            </w:pPr>
            <w:r w:rsidRPr="00C56257">
              <w:rPr>
                <w:color w:val="000000" w:themeColor="text1"/>
                <w:sz w:val="24"/>
                <w:szCs w:val="24"/>
              </w:rPr>
              <w:t>Reducerea impactul</w:t>
            </w:r>
            <w:r w:rsidRPr="00C56257">
              <w:rPr>
                <w:color w:val="000000" w:themeColor="text1"/>
                <w:spacing w:val="1"/>
                <w:sz w:val="24"/>
                <w:szCs w:val="24"/>
              </w:rPr>
              <w:t xml:space="preserve"> </w:t>
            </w:r>
            <w:r w:rsidRPr="00C56257">
              <w:rPr>
                <w:color w:val="000000" w:themeColor="text1"/>
                <w:sz w:val="24"/>
                <w:szCs w:val="24"/>
              </w:rPr>
              <w:t>indus de modificările</w:t>
            </w:r>
            <w:r w:rsidRPr="00C56257">
              <w:rPr>
                <w:color w:val="000000" w:themeColor="text1"/>
                <w:spacing w:val="-52"/>
                <w:sz w:val="24"/>
                <w:szCs w:val="24"/>
              </w:rPr>
              <w:t xml:space="preserve"> </w:t>
            </w:r>
            <w:r w:rsidRPr="00C56257">
              <w:rPr>
                <w:color w:val="000000" w:themeColor="text1"/>
                <w:sz w:val="24"/>
                <w:szCs w:val="24"/>
              </w:rPr>
              <w:t>hidrologice</w:t>
            </w:r>
            <w:r w:rsidRPr="00C56257">
              <w:rPr>
                <w:color w:val="000000" w:themeColor="text1"/>
                <w:spacing w:val="1"/>
                <w:sz w:val="24"/>
                <w:szCs w:val="24"/>
              </w:rPr>
              <w:t xml:space="preserve"> </w:t>
            </w:r>
            <w:r w:rsidRPr="00C56257">
              <w:rPr>
                <w:color w:val="000000" w:themeColor="text1"/>
                <w:sz w:val="24"/>
                <w:szCs w:val="24"/>
              </w:rPr>
              <w:t>multifuncționale</w:t>
            </w:r>
          </w:p>
        </w:tc>
        <w:tc>
          <w:tcPr>
            <w:tcW w:w="4729" w:type="dxa"/>
          </w:tcPr>
          <w:p w14:paraId="08D6F51E" w14:textId="77777777" w:rsidR="00FC65BA" w:rsidRPr="00C56257" w:rsidRDefault="00FC65BA" w:rsidP="00FC65BA">
            <w:pPr>
              <w:pStyle w:val="TableParagraph"/>
              <w:spacing w:line="247" w:lineRule="exact"/>
              <w:jc w:val="both"/>
              <w:rPr>
                <w:color w:val="000000" w:themeColor="text1"/>
                <w:sz w:val="24"/>
                <w:szCs w:val="24"/>
              </w:rPr>
            </w:pPr>
            <w:r w:rsidRPr="00C56257">
              <w:rPr>
                <w:color w:val="000000" w:themeColor="text1"/>
                <w:sz w:val="24"/>
                <w:szCs w:val="24"/>
              </w:rPr>
              <w:t>Reducerea impactului depozitelor de</w:t>
            </w:r>
            <w:r w:rsidRPr="00C56257">
              <w:rPr>
                <w:color w:val="000000" w:themeColor="text1"/>
                <w:spacing w:val="1"/>
                <w:sz w:val="24"/>
                <w:szCs w:val="24"/>
              </w:rPr>
              <w:t xml:space="preserve"> </w:t>
            </w:r>
            <w:r w:rsidRPr="00C56257">
              <w:rPr>
                <w:color w:val="000000" w:themeColor="text1"/>
                <w:sz w:val="24"/>
                <w:szCs w:val="24"/>
              </w:rPr>
              <w:t>deșeuri, îndepărtarea sedimentelor,</w:t>
            </w:r>
            <w:r w:rsidRPr="00C56257">
              <w:rPr>
                <w:color w:val="000000" w:themeColor="text1"/>
                <w:spacing w:val="1"/>
                <w:sz w:val="24"/>
                <w:szCs w:val="24"/>
              </w:rPr>
              <w:t xml:space="preserve"> </w:t>
            </w:r>
            <w:r w:rsidRPr="00C56257">
              <w:rPr>
                <w:color w:val="000000" w:themeColor="text1"/>
                <w:sz w:val="24"/>
                <w:szCs w:val="24"/>
              </w:rPr>
              <w:t>canalizarea, modificarea cursurilor de</w:t>
            </w:r>
            <w:r w:rsidRPr="00C56257">
              <w:rPr>
                <w:color w:val="000000" w:themeColor="text1"/>
                <w:spacing w:val="1"/>
                <w:sz w:val="24"/>
                <w:szCs w:val="24"/>
              </w:rPr>
              <w:t xml:space="preserve"> </w:t>
            </w:r>
            <w:r w:rsidRPr="00C56257">
              <w:rPr>
                <w:color w:val="000000" w:themeColor="text1"/>
                <w:sz w:val="24"/>
                <w:szCs w:val="24"/>
              </w:rPr>
              <w:t>apă, modificarea regimului de inundații</w:t>
            </w:r>
            <w:r w:rsidRPr="00C56257">
              <w:rPr>
                <w:color w:val="000000" w:themeColor="text1"/>
                <w:spacing w:val="-52"/>
                <w:sz w:val="24"/>
                <w:szCs w:val="24"/>
              </w:rPr>
              <w:t xml:space="preserve"> </w:t>
            </w:r>
            <w:r w:rsidRPr="00C56257">
              <w:rPr>
                <w:color w:val="000000" w:themeColor="text1"/>
                <w:sz w:val="24"/>
                <w:szCs w:val="24"/>
              </w:rPr>
              <w:t>și alte modificări ale funcționării</w:t>
            </w:r>
            <w:r w:rsidRPr="00C56257">
              <w:rPr>
                <w:color w:val="000000" w:themeColor="text1"/>
                <w:spacing w:val="1"/>
                <w:sz w:val="24"/>
                <w:szCs w:val="24"/>
              </w:rPr>
              <w:t xml:space="preserve"> </w:t>
            </w:r>
            <w:r w:rsidRPr="00C56257">
              <w:rPr>
                <w:color w:val="000000" w:themeColor="text1"/>
                <w:sz w:val="24"/>
                <w:szCs w:val="24"/>
              </w:rPr>
              <w:t>hidrologice sau ale caracteristicilor</w:t>
            </w:r>
            <w:r w:rsidRPr="00C56257">
              <w:rPr>
                <w:color w:val="000000" w:themeColor="text1"/>
                <w:spacing w:val="1"/>
                <w:sz w:val="24"/>
                <w:szCs w:val="24"/>
              </w:rPr>
              <w:t xml:space="preserve"> </w:t>
            </w:r>
            <w:r w:rsidRPr="00C56257">
              <w:rPr>
                <w:color w:val="000000" w:themeColor="text1"/>
                <w:sz w:val="24"/>
                <w:szCs w:val="24"/>
              </w:rPr>
              <w:t>fizice ale corpurilor de apă, care nu pot</w:t>
            </w:r>
            <w:r w:rsidRPr="00C56257">
              <w:rPr>
                <w:color w:val="000000" w:themeColor="text1"/>
                <w:spacing w:val="1"/>
                <w:sz w:val="24"/>
                <w:szCs w:val="24"/>
              </w:rPr>
              <w:t xml:space="preserve"> </w:t>
            </w:r>
            <w:r w:rsidRPr="00C56257">
              <w:rPr>
                <w:color w:val="000000" w:themeColor="text1"/>
                <w:sz w:val="24"/>
                <w:szCs w:val="24"/>
              </w:rPr>
              <w:t>fi ușor asociate cu una dintre categoriile</w:t>
            </w:r>
            <w:r w:rsidRPr="00C56257">
              <w:rPr>
                <w:color w:val="000000" w:themeColor="text1"/>
                <w:spacing w:val="-52"/>
                <w:sz w:val="24"/>
                <w:szCs w:val="24"/>
              </w:rPr>
              <w:t xml:space="preserve"> </w:t>
            </w:r>
            <w:r w:rsidRPr="00C56257">
              <w:rPr>
                <w:color w:val="000000" w:themeColor="text1"/>
                <w:sz w:val="24"/>
                <w:szCs w:val="24"/>
              </w:rPr>
              <w:t>de</w:t>
            </w:r>
            <w:r w:rsidRPr="00C56257">
              <w:rPr>
                <w:color w:val="000000" w:themeColor="text1"/>
                <w:spacing w:val="-1"/>
                <w:sz w:val="24"/>
                <w:szCs w:val="24"/>
              </w:rPr>
              <w:t xml:space="preserve"> </w:t>
            </w:r>
            <w:r w:rsidRPr="00C56257">
              <w:rPr>
                <w:color w:val="000000" w:themeColor="text1"/>
                <w:sz w:val="24"/>
                <w:szCs w:val="24"/>
              </w:rPr>
              <w:t>mai</w:t>
            </w:r>
            <w:r w:rsidRPr="00C56257">
              <w:rPr>
                <w:color w:val="000000" w:themeColor="text1"/>
                <w:spacing w:val="1"/>
                <w:sz w:val="24"/>
                <w:szCs w:val="24"/>
              </w:rPr>
              <w:t xml:space="preserve"> </w:t>
            </w:r>
            <w:r w:rsidRPr="00C56257">
              <w:rPr>
                <w:color w:val="000000" w:themeColor="text1"/>
                <w:sz w:val="24"/>
                <w:szCs w:val="24"/>
              </w:rPr>
              <w:t>sus.</w:t>
            </w:r>
          </w:p>
        </w:tc>
        <w:tc>
          <w:tcPr>
            <w:tcW w:w="1710" w:type="dxa"/>
          </w:tcPr>
          <w:p w14:paraId="39862A0C" w14:textId="77777777" w:rsidR="00FC65BA" w:rsidRPr="00C56257" w:rsidRDefault="00FC65BA" w:rsidP="00FC65BA">
            <w:pPr>
              <w:pStyle w:val="TableParagraph"/>
              <w:jc w:val="both"/>
              <w:rPr>
                <w:color w:val="000000" w:themeColor="text1"/>
                <w:sz w:val="24"/>
                <w:szCs w:val="24"/>
              </w:rPr>
            </w:pPr>
          </w:p>
          <w:p w14:paraId="6B07DBA5" w14:textId="77777777" w:rsidR="00FC65BA" w:rsidRPr="00C56257" w:rsidRDefault="00FC65BA" w:rsidP="00FC65BA">
            <w:pPr>
              <w:pStyle w:val="TableParagraph"/>
              <w:jc w:val="both"/>
              <w:rPr>
                <w:color w:val="000000" w:themeColor="text1"/>
                <w:sz w:val="24"/>
                <w:szCs w:val="24"/>
              </w:rPr>
            </w:pPr>
          </w:p>
          <w:p w14:paraId="278243D3" w14:textId="77777777" w:rsidR="00FC65BA" w:rsidRPr="00C56257" w:rsidRDefault="00FC65BA" w:rsidP="00FC65BA">
            <w:pPr>
              <w:pStyle w:val="TableParagraph"/>
              <w:jc w:val="both"/>
              <w:rPr>
                <w:color w:val="000000" w:themeColor="text1"/>
                <w:sz w:val="24"/>
                <w:szCs w:val="24"/>
              </w:rPr>
            </w:pPr>
            <w:r w:rsidRPr="00C56257">
              <w:rPr>
                <w:color w:val="000000" w:themeColor="text1"/>
                <w:sz w:val="24"/>
                <w:szCs w:val="24"/>
              </w:rPr>
              <w:t>K01, K02,</w:t>
            </w:r>
            <w:r w:rsidRPr="00C56257">
              <w:rPr>
                <w:color w:val="000000" w:themeColor="text1"/>
                <w:spacing w:val="-52"/>
                <w:sz w:val="24"/>
                <w:szCs w:val="24"/>
              </w:rPr>
              <w:t xml:space="preserve"> </w:t>
            </w:r>
            <w:r w:rsidRPr="00C56257">
              <w:rPr>
                <w:color w:val="000000" w:themeColor="text1"/>
                <w:sz w:val="24"/>
                <w:szCs w:val="24"/>
              </w:rPr>
              <w:t>K03, K04,</w:t>
            </w:r>
            <w:r w:rsidRPr="00C56257">
              <w:rPr>
                <w:color w:val="000000" w:themeColor="text1"/>
                <w:spacing w:val="-52"/>
                <w:sz w:val="24"/>
                <w:szCs w:val="24"/>
              </w:rPr>
              <w:t xml:space="preserve"> </w:t>
            </w:r>
            <w:r w:rsidRPr="00C56257">
              <w:rPr>
                <w:color w:val="000000" w:themeColor="text1"/>
                <w:sz w:val="24"/>
                <w:szCs w:val="24"/>
              </w:rPr>
              <w:t>K05</w:t>
            </w:r>
          </w:p>
        </w:tc>
      </w:tr>
      <w:tr w:rsidR="00FC65BA" w:rsidRPr="00C56257" w14:paraId="7218EFC6" w14:textId="77777777" w:rsidTr="00FC65BA">
        <w:trPr>
          <w:trHeight w:val="1264"/>
        </w:trPr>
        <w:tc>
          <w:tcPr>
            <w:tcW w:w="528" w:type="dxa"/>
          </w:tcPr>
          <w:p w14:paraId="4133EDB0" w14:textId="77777777" w:rsidR="00FC65BA" w:rsidRPr="00C56257" w:rsidRDefault="00FC65BA" w:rsidP="00FC65BA">
            <w:pPr>
              <w:pStyle w:val="TableParagraph"/>
              <w:jc w:val="both"/>
              <w:rPr>
                <w:color w:val="000000" w:themeColor="text1"/>
                <w:sz w:val="24"/>
                <w:szCs w:val="24"/>
              </w:rPr>
            </w:pPr>
            <w:r w:rsidRPr="00C56257">
              <w:rPr>
                <w:color w:val="000000" w:themeColor="text1"/>
                <w:sz w:val="24"/>
                <w:szCs w:val="24"/>
              </w:rPr>
              <w:lastRenderedPageBreak/>
              <w:t>10.</w:t>
            </w:r>
          </w:p>
        </w:tc>
        <w:tc>
          <w:tcPr>
            <w:tcW w:w="744" w:type="dxa"/>
          </w:tcPr>
          <w:p w14:paraId="003252EE" w14:textId="77777777" w:rsidR="00FC65BA" w:rsidRPr="00C56257" w:rsidRDefault="00FC65BA" w:rsidP="00FC65BA">
            <w:pPr>
              <w:pStyle w:val="TableParagraph"/>
              <w:jc w:val="both"/>
              <w:rPr>
                <w:color w:val="000000" w:themeColor="text1"/>
                <w:sz w:val="24"/>
                <w:szCs w:val="24"/>
              </w:rPr>
            </w:pPr>
          </w:p>
          <w:p w14:paraId="25A42DB5" w14:textId="77777777" w:rsidR="00FC65BA" w:rsidRPr="00C56257" w:rsidRDefault="00FC65BA" w:rsidP="00FC65BA">
            <w:pPr>
              <w:pStyle w:val="TableParagraph"/>
              <w:jc w:val="both"/>
              <w:rPr>
                <w:color w:val="000000" w:themeColor="text1"/>
                <w:sz w:val="24"/>
                <w:szCs w:val="24"/>
              </w:rPr>
            </w:pPr>
          </w:p>
          <w:p w14:paraId="267A49E8" w14:textId="77777777" w:rsidR="00FC65BA" w:rsidRPr="00C56257" w:rsidRDefault="00FC65BA" w:rsidP="00FC65BA">
            <w:pPr>
              <w:pStyle w:val="TableParagraph"/>
              <w:jc w:val="both"/>
              <w:rPr>
                <w:color w:val="000000" w:themeColor="text1"/>
                <w:sz w:val="24"/>
                <w:szCs w:val="24"/>
              </w:rPr>
            </w:pPr>
          </w:p>
          <w:p w14:paraId="3C720047" w14:textId="77777777" w:rsidR="00FC65BA" w:rsidRPr="00C56257" w:rsidRDefault="00FC65BA" w:rsidP="00FC65BA">
            <w:pPr>
              <w:pStyle w:val="TableParagraph"/>
              <w:jc w:val="both"/>
              <w:rPr>
                <w:color w:val="000000" w:themeColor="text1"/>
                <w:sz w:val="24"/>
                <w:szCs w:val="24"/>
              </w:rPr>
            </w:pPr>
          </w:p>
          <w:p w14:paraId="7C818A11" w14:textId="77777777" w:rsidR="00FC65BA" w:rsidRPr="00C56257" w:rsidRDefault="00FC65BA" w:rsidP="00FC65BA">
            <w:pPr>
              <w:pStyle w:val="TableParagraph"/>
              <w:jc w:val="both"/>
              <w:rPr>
                <w:color w:val="000000" w:themeColor="text1"/>
                <w:sz w:val="24"/>
                <w:szCs w:val="24"/>
              </w:rPr>
            </w:pPr>
          </w:p>
          <w:p w14:paraId="109AAC0F" w14:textId="77777777" w:rsidR="00FC65BA" w:rsidRPr="00C56257" w:rsidRDefault="00FC65BA" w:rsidP="00FC65BA">
            <w:pPr>
              <w:pStyle w:val="TableParagraph"/>
              <w:jc w:val="both"/>
              <w:rPr>
                <w:color w:val="000000" w:themeColor="text1"/>
                <w:sz w:val="24"/>
                <w:szCs w:val="24"/>
              </w:rPr>
            </w:pPr>
            <w:r w:rsidRPr="00C56257">
              <w:rPr>
                <w:color w:val="000000" w:themeColor="text1"/>
                <w:sz w:val="24"/>
                <w:szCs w:val="24"/>
              </w:rPr>
              <w:t>CA05</w:t>
            </w:r>
          </w:p>
        </w:tc>
        <w:tc>
          <w:tcPr>
            <w:tcW w:w="2187" w:type="dxa"/>
          </w:tcPr>
          <w:p w14:paraId="18C774EC" w14:textId="77777777" w:rsidR="00FC65BA" w:rsidRPr="00C56257" w:rsidRDefault="00FC65BA" w:rsidP="00FC65BA">
            <w:pPr>
              <w:pStyle w:val="TableParagraph"/>
              <w:jc w:val="both"/>
              <w:rPr>
                <w:color w:val="000000" w:themeColor="text1"/>
                <w:sz w:val="24"/>
                <w:szCs w:val="24"/>
              </w:rPr>
            </w:pPr>
          </w:p>
          <w:p w14:paraId="36DD416D" w14:textId="77777777" w:rsidR="00FC65BA" w:rsidRPr="00C56257" w:rsidRDefault="00FC65BA" w:rsidP="00FC65BA">
            <w:pPr>
              <w:pStyle w:val="TableParagraph"/>
              <w:jc w:val="both"/>
              <w:rPr>
                <w:color w:val="000000" w:themeColor="text1"/>
                <w:sz w:val="24"/>
                <w:szCs w:val="24"/>
              </w:rPr>
            </w:pPr>
          </w:p>
          <w:p w14:paraId="6123B535" w14:textId="77777777" w:rsidR="00FC65BA" w:rsidRPr="00C56257" w:rsidRDefault="00FC65BA" w:rsidP="00FC65BA">
            <w:pPr>
              <w:pStyle w:val="TableParagraph"/>
              <w:jc w:val="both"/>
              <w:rPr>
                <w:color w:val="000000" w:themeColor="text1"/>
                <w:sz w:val="24"/>
                <w:szCs w:val="24"/>
              </w:rPr>
            </w:pPr>
          </w:p>
          <w:p w14:paraId="31EB9E74" w14:textId="77777777" w:rsidR="00FC65BA" w:rsidRPr="00C56257" w:rsidRDefault="00FC65BA" w:rsidP="00FC65BA">
            <w:pPr>
              <w:pStyle w:val="TableParagraph"/>
              <w:spacing w:before="4"/>
              <w:jc w:val="both"/>
              <w:rPr>
                <w:color w:val="000000" w:themeColor="text1"/>
                <w:sz w:val="24"/>
                <w:szCs w:val="24"/>
              </w:rPr>
            </w:pPr>
          </w:p>
          <w:p w14:paraId="372A86B5" w14:textId="77777777" w:rsidR="00FC65BA" w:rsidRDefault="00FC65BA" w:rsidP="00FC65BA">
            <w:pPr>
              <w:pStyle w:val="TableParagraph"/>
              <w:spacing w:line="247" w:lineRule="exact"/>
              <w:jc w:val="both"/>
              <w:rPr>
                <w:color w:val="000000" w:themeColor="text1"/>
                <w:sz w:val="24"/>
                <w:szCs w:val="24"/>
              </w:rPr>
            </w:pPr>
            <w:r w:rsidRPr="00C56257">
              <w:rPr>
                <w:color w:val="000000" w:themeColor="text1"/>
                <w:sz w:val="24"/>
                <w:szCs w:val="24"/>
              </w:rPr>
              <w:t>Adaptarea cositului,</w:t>
            </w:r>
            <w:r w:rsidRPr="00C56257">
              <w:rPr>
                <w:color w:val="000000" w:themeColor="text1"/>
                <w:spacing w:val="1"/>
                <w:sz w:val="24"/>
                <w:szCs w:val="24"/>
              </w:rPr>
              <w:t xml:space="preserve"> </w:t>
            </w:r>
            <w:r w:rsidRPr="00C56257">
              <w:rPr>
                <w:color w:val="000000" w:themeColor="text1"/>
                <w:sz w:val="24"/>
                <w:szCs w:val="24"/>
              </w:rPr>
              <w:t>pășunatului și a altor</w:t>
            </w:r>
            <w:r w:rsidRPr="00C56257">
              <w:rPr>
                <w:color w:val="000000" w:themeColor="text1"/>
                <w:spacing w:val="-52"/>
                <w:sz w:val="24"/>
                <w:szCs w:val="24"/>
              </w:rPr>
              <w:t xml:space="preserve"> </w:t>
            </w:r>
            <w:r w:rsidRPr="00C56257">
              <w:rPr>
                <w:color w:val="000000" w:themeColor="text1"/>
                <w:sz w:val="24"/>
                <w:szCs w:val="24"/>
              </w:rPr>
              <w:t>activități agricole</w:t>
            </w:r>
            <w:r w:rsidRPr="00C56257">
              <w:rPr>
                <w:color w:val="000000" w:themeColor="text1"/>
                <w:spacing w:val="1"/>
                <w:sz w:val="24"/>
                <w:szCs w:val="24"/>
              </w:rPr>
              <w:t xml:space="preserve"> </w:t>
            </w:r>
            <w:r w:rsidRPr="00C56257">
              <w:rPr>
                <w:color w:val="000000" w:themeColor="text1"/>
                <w:sz w:val="24"/>
                <w:szCs w:val="24"/>
              </w:rPr>
              <w:t>echivalente</w:t>
            </w:r>
          </w:p>
        </w:tc>
        <w:tc>
          <w:tcPr>
            <w:tcW w:w="4729" w:type="dxa"/>
          </w:tcPr>
          <w:p w14:paraId="757E9AED" w14:textId="77777777" w:rsidR="00FC65BA" w:rsidRPr="00C56257" w:rsidRDefault="00FC65BA" w:rsidP="00FC65BA">
            <w:pPr>
              <w:pStyle w:val="TableParagraph"/>
              <w:ind w:right="118"/>
              <w:jc w:val="both"/>
              <w:rPr>
                <w:color w:val="000000" w:themeColor="text1"/>
                <w:sz w:val="24"/>
                <w:szCs w:val="24"/>
              </w:rPr>
            </w:pPr>
            <w:r w:rsidRPr="00C56257">
              <w:rPr>
                <w:color w:val="000000" w:themeColor="text1"/>
                <w:sz w:val="24"/>
                <w:szCs w:val="24"/>
              </w:rPr>
              <w:t>Adaptarea frecvenței, metodelor</w:t>
            </w:r>
            <w:r w:rsidRPr="00C56257">
              <w:rPr>
                <w:color w:val="000000" w:themeColor="text1"/>
                <w:spacing w:val="1"/>
                <w:sz w:val="24"/>
                <w:szCs w:val="24"/>
              </w:rPr>
              <w:t xml:space="preserve"> </w:t>
            </w:r>
            <w:r w:rsidRPr="00C56257">
              <w:rPr>
                <w:color w:val="000000" w:themeColor="text1"/>
                <w:sz w:val="24"/>
                <w:szCs w:val="24"/>
              </w:rPr>
              <w:t>utilizate și/sau momentului de cosire a</w:t>
            </w:r>
            <w:r w:rsidRPr="00C56257">
              <w:rPr>
                <w:color w:val="000000" w:themeColor="text1"/>
                <w:spacing w:val="1"/>
                <w:sz w:val="24"/>
                <w:szCs w:val="24"/>
              </w:rPr>
              <w:t xml:space="preserve"> </w:t>
            </w:r>
            <w:r w:rsidRPr="00C56257">
              <w:rPr>
                <w:color w:val="000000" w:themeColor="text1"/>
                <w:sz w:val="24"/>
                <w:szCs w:val="24"/>
              </w:rPr>
              <w:t>pajiștilor sau a pășunatului de către</w:t>
            </w:r>
            <w:r w:rsidRPr="00C56257">
              <w:rPr>
                <w:color w:val="000000" w:themeColor="text1"/>
                <w:spacing w:val="1"/>
                <w:sz w:val="24"/>
                <w:szCs w:val="24"/>
              </w:rPr>
              <w:t xml:space="preserve"> </w:t>
            </w:r>
            <w:r w:rsidRPr="00C56257">
              <w:rPr>
                <w:color w:val="000000" w:themeColor="text1"/>
                <w:sz w:val="24"/>
                <w:szCs w:val="24"/>
              </w:rPr>
              <w:t>animale, pentru a menține /restabili</w:t>
            </w:r>
            <w:r w:rsidRPr="00C56257">
              <w:rPr>
                <w:color w:val="000000" w:themeColor="text1"/>
                <w:spacing w:val="1"/>
                <w:sz w:val="24"/>
                <w:szCs w:val="24"/>
              </w:rPr>
              <w:t xml:space="preserve"> </w:t>
            </w:r>
            <w:r w:rsidRPr="00C56257">
              <w:rPr>
                <w:color w:val="000000" w:themeColor="text1"/>
                <w:sz w:val="24"/>
                <w:szCs w:val="24"/>
              </w:rPr>
              <w:t>habitatele</w:t>
            </w:r>
            <w:r w:rsidRPr="00C56257">
              <w:rPr>
                <w:color w:val="000000" w:themeColor="text1"/>
                <w:spacing w:val="6"/>
                <w:sz w:val="24"/>
                <w:szCs w:val="24"/>
              </w:rPr>
              <w:t xml:space="preserve"> </w:t>
            </w:r>
            <w:r w:rsidRPr="00C56257">
              <w:rPr>
                <w:color w:val="000000" w:themeColor="text1"/>
                <w:sz w:val="24"/>
                <w:szCs w:val="24"/>
              </w:rPr>
              <w:t>sau</w:t>
            </w:r>
            <w:r w:rsidRPr="00C56257">
              <w:rPr>
                <w:color w:val="000000" w:themeColor="text1"/>
                <w:spacing w:val="7"/>
                <w:sz w:val="24"/>
                <w:szCs w:val="24"/>
              </w:rPr>
              <w:t xml:space="preserve"> </w:t>
            </w:r>
            <w:r w:rsidRPr="00C56257">
              <w:rPr>
                <w:color w:val="000000" w:themeColor="text1"/>
                <w:sz w:val="24"/>
                <w:szCs w:val="24"/>
              </w:rPr>
              <w:t>pentru</w:t>
            </w:r>
            <w:r w:rsidRPr="00C56257">
              <w:rPr>
                <w:color w:val="000000" w:themeColor="text1"/>
                <w:spacing w:val="3"/>
                <w:sz w:val="24"/>
                <w:szCs w:val="24"/>
              </w:rPr>
              <w:t xml:space="preserve"> </w:t>
            </w:r>
            <w:r w:rsidRPr="00C56257">
              <w:rPr>
                <w:color w:val="000000" w:themeColor="text1"/>
                <w:sz w:val="24"/>
                <w:szCs w:val="24"/>
              </w:rPr>
              <w:t>a</w:t>
            </w:r>
            <w:r w:rsidRPr="00C56257">
              <w:rPr>
                <w:color w:val="000000" w:themeColor="text1"/>
                <w:spacing w:val="7"/>
                <w:sz w:val="24"/>
                <w:szCs w:val="24"/>
              </w:rPr>
              <w:t xml:space="preserve"> </w:t>
            </w:r>
            <w:r w:rsidRPr="00C56257">
              <w:rPr>
                <w:color w:val="000000" w:themeColor="text1"/>
                <w:sz w:val="24"/>
                <w:szCs w:val="24"/>
              </w:rPr>
              <w:t>evita</w:t>
            </w:r>
            <w:r w:rsidRPr="00C56257">
              <w:rPr>
                <w:color w:val="000000" w:themeColor="text1"/>
                <w:spacing w:val="1"/>
                <w:sz w:val="24"/>
                <w:szCs w:val="24"/>
              </w:rPr>
              <w:t xml:space="preserve"> </w:t>
            </w:r>
            <w:r w:rsidRPr="00C56257">
              <w:rPr>
                <w:color w:val="000000" w:themeColor="text1"/>
                <w:sz w:val="24"/>
                <w:szCs w:val="24"/>
              </w:rPr>
              <w:t>deteriorarea speciilor (de exemplu,</w:t>
            </w:r>
            <w:r w:rsidRPr="00C56257">
              <w:rPr>
                <w:color w:val="000000" w:themeColor="text1"/>
                <w:spacing w:val="1"/>
                <w:sz w:val="24"/>
                <w:szCs w:val="24"/>
              </w:rPr>
              <w:t xml:space="preserve"> </w:t>
            </w:r>
            <w:r w:rsidRPr="00C56257">
              <w:rPr>
                <w:color w:val="000000" w:themeColor="text1"/>
                <w:sz w:val="24"/>
                <w:szCs w:val="24"/>
              </w:rPr>
              <w:t>păsări cuiburi). Aceasta include, de</w:t>
            </w:r>
            <w:r w:rsidRPr="00C56257">
              <w:rPr>
                <w:color w:val="000000" w:themeColor="text1"/>
                <w:spacing w:val="1"/>
                <w:sz w:val="24"/>
                <w:szCs w:val="24"/>
              </w:rPr>
              <w:t xml:space="preserve"> </w:t>
            </w:r>
            <w:r w:rsidRPr="00C56257">
              <w:rPr>
                <w:color w:val="000000" w:themeColor="text1"/>
                <w:sz w:val="24"/>
                <w:szCs w:val="24"/>
              </w:rPr>
              <w:t>asemenea, adaptarea și gestionarea altor</w:t>
            </w:r>
            <w:r w:rsidRPr="00C56257">
              <w:rPr>
                <w:color w:val="000000" w:themeColor="text1"/>
                <w:spacing w:val="-52"/>
                <w:sz w:val="24"/>
                <w:szCs w:val="24"/>
              </w:rPr>
              <w:t xml:space="preserve"> </w:t>
            </w:r>
            <w:r w:rsidRPr="00C56257">
              <w:rPr>
                <w:color w:val="000000" w:themeColor="text1"/>
                <w:sz w:val="24"/>
                <w:szCs w:val="24"/>
              </w:rPr>
              <w:t>activități echivalente (de exemplu,</w:t>
            </w:r>
            <w:r w:rsidRPr="00C56257">
              <w:rPr>
                <w:color w:val="000000" w:themeColor="text1"/>
                <w:spacing w:val="1"/>
                <w:sz w:val="24"/>
                <w:szCs w:val="24"/>
              </w:rPr>
              <w:t xml:space="preserve"> </w:t>
            </w:r>
            <w:r w:rsidRPr="00C56257">
              <w:rPr>
                <w:color w:val="000000" w:themeColor="text1"/>
                <w:sz w:val="24"/>
                <w:szCs w:val="24"/>
              </w:rPr>
              <w:t>arderea). Include, de exemplu,</w:t>
            </w:r>
            <w:r w:rsidRPr="00C56257">
              <w:rPr>
                <w:color w:val="000000" w:themeColor="text1"/>
                <w:spacing w:val="1"/>
                <w:sz w:val="24"/>
                <w:szCs w:val="24"/>
              </w:rPr>
              <w:t xml:space="preserve"> </w:t>
            </w:r>
            <w:r w:rsidRPr="00C56257">
              <w:rPr>
                <w:color w:val="000000" w:themeColor="text1"/>
                <w:sz w:val="24"/>
                <w:szCs w:val="24"/>
              </w:rPr>
              <w:t>transformarea</w:t>
            </w:r>
            <w:r w:rsidRPr="00C56257">
              <w:rPr>
                <w:color w:val="000000" w:themeColor="text1"/>
                <w:spacing w:val="1"/>
                <w:sz w:val="24"/>
                <w:szCs w:val="24"/>
              </w:rPr>
              <w:t xml:space="preserve"> </w:t>
            </w:r>
            <w:r w:rsidRPr="00C56257">
              <w:rPr>
                <w:color w:val="000000" w:themeColor="text1"/>
                <w:sz w:val="24"/>
                <w:szCs w:val="24"/>
              </w:rPr>
              <w:t>pajiștilor gestionate in</w:t>
            </w:r>
            <w:r w:rsidRPr="00C56257">
              <w:rPr>
                <w:color w:val="000000" w:themeColor="text1"/>
                <w:spacing w:val="1"/>
                <w:sz w:val="24"/>
                <w:szCs w:val="24"/>
              </w:rPr>
              <w:t xml:space="preserve"> </w:t>
            </w:r>
            <w:r w:rsidRPr="00C56257">
              <w:rPr>
                <w:color w:val="000000" w:themeColor="text1"/>
                <w:sz w:val="24"/>
                <w:szCs w:val="24"/>
              </w:rPr>
              <w:t>sistem</w:t>
            </w:r>
            <w:r w:rsidRPr="00C56257">
              <w:rPr>
                <w:color w:val="000000" w:themeColor="text1"/>
                <w:spacing w:val="7"/>
                <w:sz w:val="24"/>
                <w:szCs w:val="24"/>
              </w:rPr>
              <w:t xml:space="preserve"> </w:t>
            </w:r>
            <w:r w:rsidRPr="00C56257">
              <w:rPr>
                <w:color w:val="000000" w:themeColor="text1"/>
                <w:sz w:val="24"/>
                <w:szCs w:val="24"/>
              </w:rPr>
              <w:t>intensiv</w:t>
            </w:r>
            <w:r w:rsidRPr="00C56257">
              <w:rPr>
                <w:color w:val="000000" w:themeColor="text1"/>
                <w:spacing w:val="9"/>
                <w:sz w:val="24"/>
                <w:szCs w:val="24"/>
              </w:rPr>
              <w:t xml:space="preserve"> </w:t>
            </w:r>
            <w:r w:rsidRPr="00C56257">
              <w:rPr>
                <w:color w:val="000000" w:themeColor="text1"/>
                <w:sz w:val="24"/>
                <w:szCs w:val="24"/>
              </w:rPr>
              <w:t>in</w:t>
            </w:r>
            <w:r w:rsidRPr="00C56257">
              <w:rPr>
                <w:color w:val="000000" w:themeColor="text1"/>
                <w:spacing w:val="9"/>
                <w:sz w:val="24"/>
                <w:szCs w:val="24"/>
              </w:rPr>
              <w:t xml:space="preserve"> </w:t>
            </w:r>
            <w:r w:rsidRPr="00C56257">
              <w:rPr>
                <w:color w:val="000000" w:themeColor="text1"/>
                <w:sz w:val="24"/>
                <w:szCs w:val="24"/>
              </w:rPr>
              <w:t>pajiștilor</w:t>
            </w:r>
            <w:r w:rsidRPr="00C56257">
              <w:rPr>
                <w:color w:val="000000" w:themeColor="text1"/>
                <w:spacing w:val="8"/>
                <w:sz w:val="24"/>
                <w:szCs w:val="24"/>
              </w:rPr>
              <w:t xml:space="preserve"> </w:t>
            </w:r>
            <w:r w:rsidRPr="00C56257">
              <w:rPr>
                <w:color w:val="000000" w:themeColor="text1"/>
                <w:sz w:val="24"/>
                <w:szCs w:val="24"/>
              </w:rPr>
              <w:t>gestionate</w:t>
            </w:r>
            <w:r w:rsidRPr="00C56257">
              <w:rPr>
                <w:color w:val="000000" w:themeColor="text1"/>
                <w:spacing w:val="1"/>
                <w:sz w:val="24"/>
                <w:szCs w:val="24"/>
              </w:rPr>
              <w:t xml:space="preserve"> </w:t>
            </w:r>
            <w:r w:rsidRPr="00C56257">
              <w:rPr>
                <w:color w:val="000000" w:themeColor="text1"/>
                <w:sz w:val="24"/>
                <w:szCs w:val="24"/>
              </w:rPr>
              <w:t>in</w:t>
            </w:r>
            <w:r w:rsidRPr="00C56257">
              <w:rPr>
                <w:color w:val="000000" w:themeColor="text1"/>
                <w:spacing w:val="-1"/>
                <w:sz w:val="24"/>
                <w:szCs w:val="24"/>
              </w:rPr>
              <w:t xml:space="preserve"> </w:t>
            </w:r>
            <w:r w:rsidRPr="00C56257">
              <w:rPr>
                <w:color w:val="000000" w:themeColor="text1"/>
                <w:sz w:val="24"/>
                <w:szCs w:val="24"/>
              </w:rPr>
              <w:t>sistem</w:t>
            </w:r>
            <w:r w:rsidRPr="00C56257">
              <w:rPr>
                <w:color w:val="000000" w:themeColor="text1"/>
                <w:spacing w:val="-5"/>
                <w:sz w:val="24"/>
                <w:szCs w:val="24"/>
              </w:rPr>
              <w:t xml:space="preserve"> </w:t>
            </w:r>
            <w:r w:rsidRPr="00C56257">
              <w:rPr>
                <w:color w:val="000000" w:themeColor="text1"/>
                <w:sz w:val="24"/>
                <w:szCs w:val="24"/>
              </w:rPr>
              <w:t>extinsiv</w:t>
            </w:r>
            <w:r w:rsidRPr="00C56257">
              <w:rPr>
                <w:color w:val="000000" w:themeColor="text1"/>
                <w:spacing w:val="-4"/>
                <w:sz w:val="24"/>
                <w:szCs w:val="24"/>
              </w:rPr>
              <w:t xml:space="preserve"> </w:t>
            </w:r>
            <w:r w:rsidRPr="00C56257">
              <w:rPr>
                <w:color w:val="000000" w:themeColor="text1"/>
                <w:sz w:val="24"/>
                <w:szCs w:val="24"/>
              </w:rPr>
              <w:t>sau</w:t>
            </w:r>
            <w:r w:rsidRPr="00C56257">
              <w:rPr>
                <w:color w:val="000000" w:themeColor="text1"/>
                <w:spacing w:val="-4"/>
                <w:sz w:val="24"/>
                <w:szCs w:val="24"/>
              </w:rPr>
              <w:t xml:space="preserve"> </w:t>
            </w:r>
            <w:r w:rsidRPr="00C56257">
              <w:rPr>
                <w:color w:val="000000" w:themeColor="text1"/>
                <w:sz w:val="24"/>
                <w:szCs w:val="24"/>
              </w:rPr>
              <w:t>reducerea</w:t>
            </w:r>
            <w:r w:rsidRPr="00C56257">
              <w:rPr>
                <w:color w:val="000000" w:themeColor="text1"/>
                <w:spacing w:val="-3"/>
                <w:sz w:val="24"/>
                <w:szCs w:val="24"/>
              </w:rPr>
              <w:t xml:space="preserve"> </w:t>
            </w:r>
            <w:r w:rsidRPr="00C56257">
              <w:rPr>
                <w:color w:val="000000" w:themeColor="text1"/>
                <w:sz w:val="24"/>
                <w:szCs w:val="24"/>
              </w:rPr>
              <w:t>călcării</w:t>
            </w:r>
          </w:p>
          <w:p w14:paraId="150A79C0" w14:textId="77777777" w:rsidR="00FC65BA" w:rsidRPr="00C56257" w:rsidRDefault="00FC65BA" w:rsidP="00FC65BA">
            <w:pPr>
              <w:pStyle w:val="TableParagraph"/>
              <w:spacing w:line="247" w:lineRule="exact"/>
              <w:jc w:val="both"/>
              <w:rPr>
                <w:color w:val="000000" w:themeColor="text1"/>
                <w:sz w:val="24"/>
                <w:szCs w:val="24"/>
              </w:rPr>
            </w:pPr>
            <w:r w:rsidRPr="00C56257">
              <w:rPr>
                <w:color w:val="000000" w:themeColor="text1"/>
                <w:sz w:val="24"/>
                <w:szCs w:val="24"/>
              </w:rPr>
              <w:t>de</w:t>
            </w:r>
            <w:r w:rsidRPr="00C56257">
              <w:rPr>
                <w:color w:val="000000" w:themeColor="text1"/>
                <w:spacing w:val="-1"/>
                <w:sz w:val="24"/>
                <w:szCs w:val="24"/>
              </w:rPr>
              <w:t xml:space="preserve"> </w:t>
            </w:r>
            <w:r w:rsidRPr="00C56257">
              <w:rPr>
                <w:color w:val="000000" w:themeColor="text1"/>
                <w:sz w:val="24"/>
                <w:szCs w:val="24"/>
              </w:rPr>
              <w:t>către</w:t>
            </w:r>
            <w:r w:rsidRPr="00C56257">
              <w:rPr>
                <w:color w:val="000000" w:themeColor="text1"/>
                <w:spacing w:val="-3"/>
                <w:sz w:val="24"/>
                <w:szCs w:val="24"/>
              </w:rPr>
              <w:t xml:space="preserve"> </w:t>
            </w:r>
            <w:r w:rsidRPr="00C56257">
              <w:rPr>
                <w:color w:val="000000" w:themeColor="text1"/>
                <w:sz w:val="24"/>
                <w:szCs w:val="24"/>
              </w:rPr>
              <w:t>animale.</w:t>
            </w:r>
          </w:p>
        </w:tc>
        <w:tc>
          <w:tcPr>
            <w:tcW w:w="1710" w:type="dxa"/>
          </w:tcPr>
          <w:p w14:paraId="4DED73C5" w14:textId="77777777" w:rsidR="00FC65BA" w:rsidRPr="00C56257" w:rsidRDefault="00FC65BA" w:rsidP="00FC65BA">
            <w:pPr>
              <w:pStyle w:val="TableParagraph"/>
              <w:jc w:val="both"/>
              <w:rPr>
                <w:color w:val="000000" w:themeColor="text1"/>
                <w:sz w:val="24"/>
                <w:szCs w:val="24"/>
              </w:rPr>
            </w:pPr>
          </w:p>
          <w:p w14:paraId="297F2F2C" w14:textId="77777777" w:rsidR="00FC65BA" w:rsidRPr="00C56257" w:rsidRDefault="00FC65BA" w:rsidP="00FC65BA">
            <w:pPr>
              <w:pStyle w:val="TableParagraph"/>
              <w:jc w:val="both"/>
              <w:rPr>
                <w:color w:val="000000" w:themeColor="text1"/>
                <w:sz w:val="24"/>
                <w:szCs w:val="24"/>
              </w:rPr>
            </w:pPr>
          </w:p>
          <w:p w14:paraId="0F418653" w14:textId="77777777" w:rsidR="00FC65BA" w:rsidRPr="00C56257" w:rsidRDefault="00FC65BA" w:rsidP="00FC65BA">
            <w:pPr>
              <w:pStyle w:val="TableParagraph"/>
              <w:jc w:val="both"/>
              <w:rPr>
                <w:color w:val="000000" w:themeColor="text1"/>
                <w:sz w:val="24"/>
                <w:szCs w:val="24"/>
              </w:rPr>
            </w:pPr>
          </w:p>
          <w:p w14:paraId="5FCAE1BC" w14:textId="77777777" w:rsidR="00FC65BA" w:rsidRPr="00C56257" w:rsidRDefault="00FC65BA" w:rsidP="00FC65BA">
            <w:pPr>
              <w:pStyle w:val="TableParagraph"/>
              <w:jc w:val="both"/>
              <w:rPr>
                <w:color w:val="000000" w:themeColor="text1"/>
                <w:sz w:val="24"/>
                <w:szCs w:val="24"/>
              </w:rPr>
            </w:pPr>
          </w:p>
          <w:p w14:paraId="0542E35C" w14:textId="77777777" w:rsidR="00FC65BA" w:rsidRPr="00C56257" w:rsidRDefault="00FC65BA" w:rsidP="00FC65BA">
            <w:pPr>
              <w:pStyle w:val="TableParagraph"/>
              <w:jc w:val="both"/>
              <w:rPr>
                <w:color w:val="000000" w:themeColor="text1"/>
                <w:sz w:val="24"/>
                <w:szCs w:val="24"/>
              </w:rPr>
            </w:pPr>
            <w:r w:rsidRPr="00C56257">
              <w:rPr>
                <w:color w:val="000000" w:themeColor="text1"/>
                <w:sz w:val="24"/>
                <w:szCs w:val="24"/>
              </w:rPr>
              <w:t>A08, A09,</w:t>
            </w:r>
            <w:r w:rsidRPr="00C56257">
              <w:rPr>
                <w:color w:val="000000" w:themeColor="text1"/>
                <w:spacing w:val="-52"/>
                <w:sz w:val="24"/>
                <w:szCs w:val="24"/>
              </w:rPr>
              <w:t xml:space="preserve"> </w:t>
            </w:r>
            <w:r w:rsidRPr="00C56257">
              <w:rPr>
                <w:color w:val="000000" w:themeColor="text1"/>
                <w:sz w:val="24"/>
                <w:szCs w:val="24"/>
              </w:rPr>
              <w:t>A10, A11,</w:t>
            </w:r>
            <w:r w:rsidRPr="00C56257">
              <w:rPr>
                <w:color w:val="000000" w:themeColor="text1"/>
                <w:spacing w:val="-52"/>
                <w:sz w:val="24"/>
                <w:szCs w:val="24"/>
              </w:rPr>
              <w:t xml:space="preserve"> </w:t>
            </w:r>
            <w:r w:rsidRPr="00C56257">
              <w:rPr>
                <w:color w:val="000000" w:themeColor="text1"/>
                <w:sz w:val="24"/>
                <w:szCs w:val="24"/>
              </w:rPr>
              <w:t>A13</w:t>
            </w:r>
          </w:p>
        </w:tc>
      </w:tr>
    </w:tbl>
    <w:p w14:paraId="41B37757" w14:textId="77777777" w:rsidR="00FC65BA" w:rsidRDefault="00FC65BA" w:rsidP="00F100E1">
      <w:pPr>
        <w:spacing w:after="160" w:line="259" w:lineRule="auto"/>
        <w:jc w:val="both"/>
        <w:rPr>
          <w:b/>
          <w:bCs/>
          <w:color w:val="000000" w:themeColor="text1"/>
        </w:rPr>
      </w:pPr>
    </w:p>
    <w:p w14:paraId="1CF61A8D" w14:textId="77777777" w:rsidR="00FC65BA" w:rsidRDefault="00FC65BA">
      <w:pPr>
        <w:spacing w:after="160" w:line="259" w:lineRule="auto"/>
        <w:rPr>
          <w:b/>
          <w:bCs/>
          <w:color w:val="000000" w:themeColor="text1"/>
        </w:rPr>
      </w:pPr>
      <w:r>
        <w:rPr>
          <w:b/>
          <w:bCs/>
          <w:color w:val="000000" w:themeColor="text1"/>
        </w:rPr>
        <w:br w:type="page"/>
      </w:r>
    </w:p>
    <w:p w14:paraId="286553D0" w14:textId="77777777" w:rsidR="00E870D1" w:rsidRPr="00C56257" w:rsidRDefault="00E870D1" w:rsidP="00F100E1">
      <w:pPr>
        <w:spacing w:after="160" w:line="259" w:lineRule="auto"/>
        <w:jc w:val="both"/>
        <w:rPr>
          <w:b/>
          <w:bCs/>
          <w:color w:val="000000" w:themeColor="text1"/>
        </w:rPr>
      </w:pPr>
      <w:r w:rsidRPr="00C56257">
        <w:rPr>
          <w:b/>
          <w:bCs/>
          <w:color w:val="000000" w:themeColor="text1"/>
        </w:rPr>
        <w:lastRenderedPageBreak/>
        <w:t>Anexa nr. 7 la Ghidul habitate</w:t>
      </w:r>
    </w:p>
    <w:p w14:paraId="524D1C11" w14:textId="77777777" w:rsidR="00E870D1" w:rsidRPr="00C56257" w:rsidRDefault="00E870D1" w:rsidP="009953D6">
      <w:pPr>
        <w:spacing w:after="160" w:line="259" w:lineRule="auto"/>
        <w:ind w:right="261"/>
        <w:jc w:val="both"/>
        <w:rPr>
          <w:b/>
          <w:bCs/>
          <w:color w:val="000000" w:themeColor="text1"/>
        </w:rPr>
      </w:pPr>
      <w:r w:rsidRPr="00C56257">
        <w:rPr>
          <w:b/>
          <w:bCs/>
          <w:color w:val="000000" w:themeColor="text1"/>
        </w:rPr>
        <w:t>Ghidul cu  protoco</w:t>
      </w:r>
      <w:r w:rsidR="00A31F54">
        <w:rPr>
          <w:b/>
          <w:bCs/>
          <w:color w:val="000000" w:themeColor="text1"/>
        </w:rPr>
        <w:t>lul</w:t>
      </w:r>
      <w:r w:rsidRPr="00C56257">
        <w:rPr>
          <w:b/>
          <w:bCs/>
          <w:color w:val="000000" w:themeColor="text1"/>
        </w:rPr>
        <w:t xml:space="preserve"> de monitorizare si metodologi</w:t>
      </w:r>
      <w:r w:rsidR="00A31F54">
        <w:rPr>
          <w:b/>
          <w:bCs/>
          <w:color w:val="000000" w:themeColor="text1"/>
        </w:rPr>
        <w:t>a</w:t>
      </w:r>
      <w:r w:rsidR="005F237D" w:rsidRPr="00C56257">
        <w:rPr>
          <w:b/>
          <w:bCs/>
          <w:color w:val="000000" w:themeColor="text1"/>
        </w:rPr>
        <w:t xml:space="preserve"> unitar</w:t>
      </w:r>
      <w:r w:rsidR="00A31F54">
        <w:rPr>
          <w:b/>
          <w:bCs/>
          <w:color w:val="000000" w:themeColor="text1"/>
        </w:rPr>
        <w:t>ă</w:t>
      </w:r>
      <w:r w:rsidR="005F237D" w:rsidRPr="00C56257">
        <w:rPr>
          <w:b/>
          <w:bCs/>
          <w:color w:val="000000" w:themeColor="text1"/>
        </w:rPr>
        <w:t xml:space="preserve"> de monitorizare a stă</w:t>
      </w:r>
      <w:r w:rsidRPr="00C56257">
        <w:rPr>
          <w:b/>
          <w:bCs/>
          <w:color w:val="000000" w:themeColor="text1"/>
        </w:rPr>
        <w:t>rii de conservare a habitatelor de mlaștini și turbării</w:t>
      </w:r>
    </w:p>
    <w:p w14:paraId="733A9948" w14:textId="77777777" w:rsidR="00145634" w:rsidRDefault="00145634" w:rsidP="009953D6">
      <w:pPr>
        <w:spacing w:after="160" w:line="259" w:lineRule="auto"/>
        <w:ind w:right="261"/>
        <w:jc w:val="both"/>
      </w:pPr>
      <w:r>
        <w:t>Protocoalele de monitorizare și metodologiile de monitorizare a habitatelor de mlaștini și turbării</w:t>
      </w:r>
      <w:r w:rsidR="008C5267">
        <w:t xml:space="preserve"> </w:t>
      </w:r>
      <w:r>
        <w:t>sunt aferente următoarelor</w:t>
      </w:r>
      <w:r>
        <w:rPr>
          <w:spacing w:val="1"/>
        </w:rPr>
        <w:t xml:space="preserve"> </w:t>
      </w:r>
      <w:r>
        <w:t>tipuri de habitate: 7110* Turbării active; 7120 Turbării degradate capabile de regenerare</w:t>
      </w:r>
      <w:r>
        <w:rPr>
          <w:spacing w:val="1"/>
        </w:rPr>
        <w:t xml:space="preserve"> </w:t>
      </w:r>
      <w:r>
        <w:t>naturală; 7140 Mlaștini turboase de tranziție și turbării oscilante - nefixate de substrat; 7150</w:t>
      </w:r>
      <w:r>
        <w:rPr>
          <w:spacing w:val="1"/>
        </w:rPr>
        <w:t xml:space="preserve"> </w:t>
      </w:r>
      <w:r>
        <w:t>Comunități</w:t>
      </w:r>
      <w:r>
        <w:rPr>
          <w:spacing w:val="1"/>
        </w:rPr>
        <w:t xml:space="preserve"> </w:t>
      </w:r>
      <w:r>
        <w:t>depresionare</w:t>
      </w:r>
      <w:r>
        <w:rPr>
          <w:spacing w:val="1"/>
        </w:rPr>
        <w:t xml:space="preserve"> </w:t>
      </w:r>
      <w:r>
        <w:t>din</w:t>
      </w:r>
      <w:r>
        <w:rPr>
          <w:spacing w:val="1"/>
        </w:rPr>
        <w:t xml:space="preserve"> </w:t>
      </w:r>
      <w:r w:rsidRPr="009953D6">
        <w:rPr>
          <w:i/>
        </w:rPr>
        <w:t>Rhinchosporion</w:t>
      </w:r>
      <w:r>
        <w:rPr>
          <w:spacing w:val="1"/>
        </w:rPr>
        <w:t xml:space="preserve"> </w:t>
      </w:r>
      <w:r>
        <w:t>pe</w:t>
      </w:r>
      <w:r>
        <w:rPr>
          <w:spacing w:val="1"/>
        </w:rPr>
        <w:t xml:space="preserve"> </w:t>
      </w:r>
      <w:r>
        <w:t>substrate</w:t>
      </w:r>
      <w:r>
        <w:rPr>
          <w:spacing w:val="1"/>
        </w:rPr>
        <w:t xml:space="preserve"> </w:t>
      </w:r>
      <w:r>
        <w:t>turboase;</w:t>
      </w:r>
      <w:r>
        <w:rPr>
          <w:spacing w:val="1"/>
        </w:rPr>
        <w:t xml:space="preserve"> </w:t>
      </w:r>
      <w:r>
        <w:t>7210*</w:t>
      </w:r>
      <w:r>
        <w:rPr>
          <w:spacing w:val="61"/>
        </w:rPr>
        <w:t xml:space="preserve"> </w:t>
      </w:r>
      <w:r>
        <w:t>Mlaștini</w:t>
      </w:r>
      <w:r>
        <w:rPr>
          <w:spacing w:val="1"/>
        </w:rPr>
        <w:t xml:space="preserve"> </w:t>
      </w:r>
      <w:r>
        <w:t>calcaroase</w:t>
      </w:r>
      <w:r>
        <w:rPr>
          <w:spacing w:val="1"/>
        </w:rPr>
        <w:t xml:space="preserve"> </w:t>
      </w:r>
      <w:r>
        <w:t>cu</w:t>
      </w:r>
      <w:r>
        <w:rPr>
          <w:spacing w:val="1"/>
        </w:rPr>
        <w:t xml:space="preserve"> </w:t>
      </w:r>
      <w:r w:rsidRPr="009953D6">
        <w:rPr>
          <w:i/>
        </w:rPr>
        <w:t>Cladium</w:t>
      </w:r>
      <w:r w:rsidRPr="009953D6">
        <w:rPr>
          <w:i/>
          <w:spacing w:val="1"/>
        </w:rPr>
        <w:t xml:space="preserve"> </w:t>
      </w:r>
      <w:r w:rsidRPr="009953D6">
        <w:rPr>
          <w:i/>
        </w:rPr>
        <w:t>mariscus</w:t>
      </w:r>
      <w:r>
        <w:t>;</w:t>
      </w:r>
      <w:r>
        <w:rPr>
          <w:spacing w:val="1"/>
        </w:rPr>
        <w:t xml:space="preserve"> </w:t>
      </w:r>
      <w:r>
        <w:t>7220*</w:t>
      </w:r>
      <w:r>
        <w:rPr>
          <w:spacing w:val="1"/>
        </w:rPr>
        <w:t xml:space="preserve"> </w:t>
      </w:r>
      <w:r>
        <w:t>Izvoare</w:t>
      </w:r>
      <w:r>
        <w:rPr>
          <w:spacing w:val="1"/>
        </w:rPr>
        <w:t xml:space="preserve"> </w:t>
      </w:r>
      <w:r>
        <w:t>petrifiante</w:t>
      </w:r>
      <w:r>
        <w:rPr>
          <w:spacing w:val="1"/>
        </w:rPr>
        <w:t xml:space="preserve"> </w:t>
      </w:r>
      <w:r>
        <w:t>cu</w:t>
      </w:r>
      <w:r>
        <w:rPr>
          <w:spacing w:val="1"/>
        </w:rPr>
        <w:t xml:space="preserve"> </w:t>
      </w:r>
      <w:r>
        <w:t>formare</w:t>
      </w:r>
      <w:r>
        <w:rPr>
          <w:spacing w:val="1"/>
        </w:rPr>
        <w:t xml:space="preserve"> </w:t>
      </w:r>
      <w:r>
        <w:t>de</w:t>
      </w:r>
      <w:r>
        <w:rPr>
          <w:spacing w:val="1"/>
        </w:rPr>
        <w:t xml:space="preserve"> </w:t>
      </w:r>
      <w:r>
        <w:t>travertin</w:t>
      </w:r>
      <w:r>
        <w:rPr>
          <w:spacing w:val="1"/>
        </w:rPr>
        <w:t xml:space="preserve"> </w:t>
      </w:r>
      <w:r>
        <w:t>–</w:t>
      </w:r>
      <w:r>
        <w:rPr>
          <w:spacing w:val="1"/>
        </w:rPr>
        <w:t xml:space="preserve"> </w:t>
      </w:r>
      <w:r w:rsidRPr="009953D6">
        <w:rPr>
          <w:i/>
        </w:rPr>
        <w:t>Cratoneurion</w:t>
      </w:r>
      <w:r>
        <w:t xml:space="preserve">; 7230 Mlaștni alcaline; 7240* Formațiuni pioniere alpine cu </w:t>
      </w:r>
      <w:r w:rsidRPr="009953D6">
        <w:rPr>
          <w:i/>
        </w:rPr>
        <w:t>Caricion bicoloris-</w:t>
      </w:r>
      <w:r w:rsidRPr="009953D6">
        <w:rPr>
          <w:i/>
          <w:spacing w:val="1"/>
        </w:rPr>
        <w:t xml:space="preserve"> </w:t>
      </w:r>
      <w:r w:rsidRPr="009953D6">
        <w:rPr>
          <w:i/>
        </w:rPr>
        <w:t>atrofuscae</w:t>
      </w:r>
      <w:r>
        <w:t>.</w:t>
      </w:r>
    </w:p>
    <w:p w14:paraId="2A174895" w14:textId="77777777" w:rsidR="00746668" w:rsidRDefault="00746668" w:rsidP="008E33FD">
      <w:pPr>
        <w:pStyle w:val="Heading1"/>
        <w:keepNext w:val="0"/>
        <w:keepLines w:val="0"/>
        <w:tabs>
          <w:tab w:val="left" w:pos="1115"/>
        </w:tabs>
        <w:adjustRightInd/>
        <w:spacing w:before="79"/>
        <w:ind w:right="496"/>
        <w:jc w:val="both"/>
        <w:rPr>
          <w:rFonts w:ascii="Times New Roman" w:hAnsi="Times New Roman" w:cs="Times New Roman"/>
          <w:bCs w:val="0"/>
          <w:color w:val="000000" w:themeColor="text1"/>
          <w:sz w:val="24"/>
          <w:szCs w:val="24"/>
          <w:lang w:val="fr-FR"/>
        </w:rPr>
      </w:pPr>
    </w:p>
    <w:p w14:paraId="5A48457C" w14:textId="77777777" w:rsidR="000C29F4" w:rsidRPr="00C56257" w:rsidRDefault="00484EEE" w:rsidP="00C54A03">
      <w:pPr>
        <w:pStyle w:val="Heading1"/>
        <w:keepNext w:val="0"/>
        <w:keepLines w:val="0"/>
        <w:tabs>
          <w:tab w:val="left" w:pos="1115"/>
        </w:tabs>
        <w:adjustRightInd/>
        <w:spacing w:before="79"/>
        <w:ind w:right="496"/>
        <w:jc w:val="both"/>
        <w:rPr>
          <w:rFonts w:eastAsia="Cambria"/>
          <w:color w:val="000000" w:themeColor="text1"/>
          <w:lang w:val="fr-FR"/>
        </w:rPr>
      </w:pPr>
      <w:r>
        <w:rPr>
          <w:rFonts w:ascii="Times New Roman" w:hAnsi="Times New Roman" w:cs="Times New Roman"/>
          <w:bCs w:val="0"/>
          <w:color w:val="000000" w:themeColor="text1"/>
          <w:sz w:val="24"/>
          <w:szCs w:val="24"/>
          <w:lang w:val="fr-FR"/>
        </w:rPr>
        <w:t>7.1</w:t>
      </w:r>
      <w:r w:rsidR="00E870D1" w:rsidRPr="00C56257">
        <w:rPr>
          <w:rFonts w:ascii="Times New Roman" w:hAnsi="Times New Roman" w:cs="Times New Roman"/>
          <w:bCs w:val="0"/>
          <w:color w:val="000000" w:themeColor="text1"/>
          <w:sz w:val="24"/>
          <w:szCs w:val="24"/>
          <w:lang w:val="fr-FR"/>
        </w:rPr>
        <w:t xml:space="preserve"> Protocol de </w:t>
      </w:r>
      <w:proofErr w:type="spellStart"/>
      <w:r w:rsidR="00E870D1" w:rsidRPr="00C56257">
        <w:rPr>
          <w:rFonts w:ascii="Times New Roman" w:hAnsi="Times New Roman" w:cs="Times New Roman"/>
          <w:bCs w:val="0"/>
          <w:color w:val="000000" w:themeColor="text1"/>
          <w:sz w:val="24"/>
          <w:szCs w:val="24"/>
          <w:lang w:val="fr-FR"/>
        </w:rPr>
        <w:t>monitorizare</w:t>
      </w:r>
      <w:proofErr w:type="spellEnd"/>
      <w:r w:rsidR="00E870D1" w:rsidRPr="00C56257">
        <w:rPr>
          <w:rFonts w:ascii="Times New Roman" w:hAnsi="Times New Roman" w:cs="Times New Roman"/>
          <w:bCs w:val="0"/>
          <w:color w:val="000000" w:themeColor="text1"/>
          <w:sz w:val="24"/>
          <w:szCs w:val="24"/>
          <w:lang w:val="fr-FR"/>
        </w:rPr>
        <w:t xml:space="preserve"> a </w:t>
      </w:r>
      <w:proofErr w:type="spellStart"/>
      <w:r w:rsidR="00E870D1" w:rsidRPr="00C56257">
        <w:rPr>
          <w:rFonts w:ascii="Times New Roman" w:hAnsi="Times New Roman" w:cs="Times New Roman"/>
          <w:bCs w:val="0"/>
          <w:color w:val="000000" w:themeColor="text1"/>
          <w:sz w:val="24"/>
          <w:szCs w:val="24"/>
          <w:lang w:val="fr-FR"/>
        </w:rPr>
        <w:t>stării</w:t>
      </w:r>
      <w:proofErr w:type="spellEnd"/>
      <w:r w:rsidR="00E870D1" w:rsidRPr="00C56257">
        <w:rPr>
          <w:rFonts w:ascii="Times New Roman" w:hAnsi="Times New Roman" w:cs="Times New Roman"/>
          <w:bCs w:val="0"/>
          <w:color w:val="000000" w:themeColor="text1"/>
          <w:sz w:val="24"/>
          <w:szCs w:val="24"/>
          <w:lang w:val="fr-FR"/>
        </w:rPr>
        <w:t xml:space="preserve"> de </w:t>
      </w:r>
      <w:proofErr w:type="spellStart"/>
      <w:r w:rsidR="00E870D1" w:rsidRPr="00C56257">
        <w:rPr>
          <w:rFonts w:ascii="Times New Roman" w:hAnsi="Times New Roman" w:cs="Times New Roman"/>
          <w:bCs w:val="0"/>
          <w:color w:val="000000" w:themeColor="text1"/>
          <w:sz w:val="24"/>
          <w:szCs w:val="24"/>
          <w:lang w:val="fr-FR"/>
        </w:rPr>
        <w:t>conservare</w:t>
      </w:r>
      <w:proofErr w:type="spellEnd"/>
      <w:r w:rsidR="00E870D1" w:rsidRPr="00C56257">
        <w:rPr>
          <w:rFonts w:ascii="Times New Roman" w:hAnsi="Times New Roman" w:cs="Times New Roman"/>
          <w:bCs w:val="0"/>
          <w:color w:val="000000" w:themeColor="text1"/>
          <w:sz w:val="24"/>
          <w:szCs w:val="24"/>
          <w:lang w:val="fr-FR"/>
        </w:rPr>
        <w:t xml:space="preserve"> a </w:t>
      </w:r>
      <w:proofErr w:type="spellStart"/>
      <w:r w:rsidR="00E870D1" w:rsidRPr="00C56257">
        <w:rPr>
          <w:rFonts w:ascii="Times New Roman" w:hAnsi="Times New Roman" w:cs="Times New Roman"/>
          <w:bCs w:val="0"/>
          <w:color w:val="000000" w:themeColor="text1"/>
          <w:sz w:val="24"/>
          <w:szCs w:val="24"/>
          <w:lang w:val="fr-FR"/>
        </w:rPr>
        <w:t>habitatelor</w:t>
      </w:r>
      <w:proofErr w:type="spellEnd"/>
      <w:r w:rsidR="00E870D1" w:rsidRPr="00C56257">
        <w:rPr>
          <w:rFonts w:ascii="Times New Roman" w:hAnsi="Times New Roman" w:cs="Times New Roman"/>
          <w:bCs w:val="0"/>
          <w:color w:val="000000" w:themeColor="text1"/>
          <w:sz w:val="24"/>
          <w:szCs w:val="24"/>
          <w:lang w:val="fr-FR"/>
        </w:rPr>
        <w:t xml:space="preserve"> de  </w:t>
      </w:r>
      <w:proofErr w:type="spellStart"/>
      <w:r w:rsidR="00E870D1" w:rsidRPr="00C56257">
        <w:rPr>
          <w:rFonts w:ascii="Times New Roman" w:hAnsi="Times New Roman" w:cs="Times New Roman"/>
          <w:bCs w:val="0"/>
          <w:color w:val="000000" w:themeColor="text1"/>
          <w:sz w:val="24"/>
          <w:szCs w:val="24"/>
          <w:lang w:val="fr-FR"/>
        </w:rPr>
        <w:t>mlaștini</w:t>
      </w:r>
      <w:proofErr w:type="spellEnd"/>
      <w:r w:rsidR="00E870D1" w:rsidRPr="00C56257">
        <w:rPr>
          <w:rFonts w:ascii="Times New Roman" w:hAnsi="Times New Roman" w:cs="Times New Roman"/>
          <w:bCs w:val="0"/>
          <w:color w:val="000000" w:themeColor="text1"/>
          <w:sz w:val="24"/>
          <w:szCs w:val="24"/>
          <w:lang w:val="fr-FR"/>
        </w:rPr>
        <w:t xml:space="preserve"> </w:t>
      </w:r>
      <w:proofErr w:type="spellStart"/>
      <w:r w:rsidR="00E870D1" w:rsidRPr="00C56257">
        <w:rPr>
          <w:rFonts w:ascii="Times New Roman" w:hAnsi="Times New Roman" w:cs="Times New Roman"/>
          <w:bCs w:val="0"/>
          <w:color w:val="000000" w:themeColor="text1"/>
          <w:sz w:val="24"/>
          <w:szCs w:val="24"/>
          <w:lang w:val="fr-FR"/>
        </w:rPr>
        <w:t>și</w:t>
      </w:r>
      <w:proofErr w:type="spellEnd"/>
      <w:r w:rsidR="00E870D1" w:rsidRPr="00C56257">
        <w:rPr>
          <w:rFonts w:ascii="Times New Roman" w:hAnsi="Times New Roman" w:cs="Times New Roman"/>
          <w:bCs w:val="0"/>
          <w:color w:val="000000" w:themeColor="text1"/>
          <w:sz w:val="24"/>
          <w:szCs w:val="24"/>
          <w:lang w:val="fr-FR"/>
        </w:rPr>
        <w:t xml:space="preserve"> </w:t>
      </w:r>
      <w:proofErr w:type="spellStart"/>
      <w:r w:rsidR="00E870D1" w:rsidRPr="00C56257">
        <w:rPr>
          <w:rFonts w:ascii="Times New Roman" w:hAnsi="Times New Roman" w:cs="Times New Roman"/>
          <w:bCs w:val="0"/>
          <w:color w:val="000000" w:themeColor="text1"/>
          <w:sz w:val="24"/>
          <w:szCs w:val="24"/>
          <w:lang w:val="fr-FR"/>
        </w:rPr>
        <w:t>turbării</w:t>
      </w:r>
      <w:proofErr w:type="spellEnd"/>
      <w:r w:rsidR="00E13976" w:rsidRPr="00C56257">
        <w:rPr>
          <w:rFonts w:ascii="Times New Roman" w:hAnsi="Times New Roman" w:cs="Times New Roman"/>
          <w:bCs w:val="0"/>
          <w:color w:val="000000" w:themeColor="text1"/>
          <w:sz w:val="24"/>
          <w:szCs w:val="24"/>
          <w:lang w:val="fr-FR"/>
        </w:rPr>
        <w:t xml:space="preserve">   </w:t>
      </w:r>
    </w:p>
    <w:p w14:paraId="219E7938" w14:textId="77777777" w:rsidR="00E13976" w:rsidRPr="00C56257" w:rsidRDefault="00E13976" w:rsidP="008E33FD">
      <w:pPr>
        <w:widowControl w:val="0"/>
        <w:autoSpaceDE w:val="0"/>
        <w:autoSpaceDN w:val="0"/>
        <w:spacing w:before="216"/>
        <w:ind w:right="1550"/>
        <w:jc w:val="both"/>
        <w:rPr>
          <w:rFonts w:eastAsia="Cambria"/>
          <w:b/>
          <w:bCs/>
          <w:color w:val="000000" w:themeColor="text1"/>
        </w:rPr>
      </w:pPr>
      <w:r w:rsidRPr="00C56257">
        <w:rPr>
          <w:rFonts w:eastAsia="Cambria"/>
          <w:b/>
          <w:bCs/>
          <w:color w:val="000000" w:themeColor="text1"/>
        </w:rPr>
        <w:t xml:space="preserve">Alegerea și distribuția ploturilor se va face în funcție de perioadele optime de </w:t>
      </w:r>
      <w:r w:rsidR="008566CB" w:rsidRPr="00C56257">
        <w:rPr>
          <w:rFonts w:eastAsia="Cambria"/>
          <w:b/>
          <w:bCs/>
          <w:color w:val="000000" w:themeColor="text1"/>
        </w:rPr>
        <w:t>c</w:t>
      </w:r>
      <w:r w:rsidRPr="00C56257">
        <w:rPr>
          <w:rFonts w:eastAsia="Cambria"/>
          <w:b/>
          <w:bCs/>
          <w:color w:val="000000" w:themeColor="text1"/>
        </w:rPr>
        <w:t>ulegere a</w:t>
      </w:r>
      <w:r w:rsidRPr="00C56257">
        <w:rPr>
          <w:rFonts w:eastAsia="Cambria"/>
          <w:b/>
          <w:bCs/>
          <w:color w:val="000000" w:themeColor="text1"/>
          <w:spacing w:val="1"/>
        </w:rPr>
        <w:t xml:space="preserve"> </w:t>
      </w:r>
      <w:r w:rsidRPr="00C56257">
        <w:rPr>
          <w:rFonts w:eastAsia="Cambria"/>
          <w:b/>
          <w:bCs/>
          <w:color w:val="000000" w:themeColor="text1"/>
        </w:rPr>
        <w:t>datelor.</w:t>
      </w:r>
    </w:p>
    <w:p w14:paraId="579D24A5" w14:textId="77777777" w:rsidR="00E13976" w:rsidRPr="00C56257" w:rsidRDefault="00E13976" w:rsidP="008E33FD">
      <w:pPr>
        <w:widowControl w:val="0"/>
        <w:autoSpaceDE w:val="0"/>
        <w:autoSpaceDN w:val="0"/>
        <w:ind w:right="253"/>
        <w:jc w:val="both"/>
        <w:rPr>
          <w:color w:val="000000" w:themeColor="text1"/>
        </w:rPr>
      </w:pPr>
      <w:r w:rsidRPr="00C56257">
        <w:rPr>
          <w:color w:val="000000" w:themeColor="text1"/>
        </w:rPr>
        <w:t>Așa cum am menționat,</w:t>
      </w:r>
      <w:r w:rsidRPr="00C56257">
        <w:rPr>
          <w:color w:val="000000" w:themeColor="text1"/>
          <w:spacing w:val="1"/>
        </w:rPr>
        <w:t xml:space="preserve"> </w:t>
      </w:r>
      <w:r w:rsidRPr="00C56257">
        <w:rPr>
          <w:color w:val="000000" w:themeColor="text1"/>
        </w:rPr>
        <w:t>monitorizarea habitatelor de mlaștini și turbării</w:t>
      </w:r>
      <w:r w:rsidRPr="00C56257">
        <w:rPr>
          <w:color w:val="000000" w:themeColor="text1"/>
          <w:spacing w:val="1"/>
        </w:rPr>
        <w:t xml:space="preserve"> </w:t>
      </w:r>
      <w:r w:rsidRPr="00C56257">
        <w:rPr>
          <w:color w:val="000000" w:themeColor="text1"/>
        </w:rPr>
        <w:t>se realizează la nivel</w:t>
      </w:r>
      <w:r w:rsidRPr="00C56257">
        <w:rPr>
          <w:color w:val="000000" w:themeColor="text1"/>
          <w:spacing w:val="1"/>
        </w:rPr>
        <w:t xml:space="preserve"> </w:t>
      </w:r>
      <w:r w:rsidRPr="00C56257">
        <w:rPr>
          <w:color w:val="000000" w:themeColor="text1"/>
        </w:rPr>
        <w:t>național, în interiorul și în exteriorul rețelei Natura 2000, în funcție de distribuția habitatelor pe</w:t>
      </w:r>
      <w:r w:rsidRPr="00C56257">
        <w:rPr>
          <w:color w:val="000000" w:themeColor="text1"/>
          <w:spacing w:val="1"/>
        </w:rPr>
        <w:t xml:space="preserve"> </w:t>
      </w:r>
      <w:r w:rsidRPr="00C56257">
        <w:rPr>
          <w:color w:val="000000" w:themeColor="text1"/>
        </w:rPr>
        <w:t>regiuni</w:t>
      </w:r>
      <w:r w:rsidRPr="00C56257">
        <w:rPr>
          <w:color w:val="000000" w:themeColor="text1"/>
          <w:spacing w:val="-1"/>
        </w:rPr>
        <w:t xml:space="preserve"> </w:t>
      </w:r>
      <w:r w:rsidRPr="00C56257">
        <w:rPr>
          <w:color w:val="000000" w:themeColor="text1"/>
        </w:rPr>
        <w:t>biogeografice.</w:t>
      </w:r>
    </w:p>
    <w:p w14:paraId="4293BCD6" w14:textId="77777777" w:rsidR="00E13976" w:rsidRPr="00C56257" w:rsidRDefault="00E13976" w:rsidP="008E33FD">
      <w:pPr>
        <w:widowControl w:val="0"/>
        <w:autoSpaceDE w:val="0"/>
        <w:autoSpaceDN w:val="0"/>
        <w:ind w:right="897"/>
        <w:jc w:val="both"/>
        <w:rPr>
          <w:color w:val="000000" w:themeColor="text1"/>
        </w:rPr>
      </w:pPr>
      <w:r w:rsidRPr="00C56257">
        <w:rPr>
          <w:color w:val="000000" w:themeColor="text1"/>
        </w:rPr>
        <w:t>În tabelul de mai jos sunt redate habitatele de mlaștini și turbării de interes comunitar care fac</w:t>
      </w:r>
      <w:r w:rsidR="00484EEE">
        <w:rPr>
          <w:color w:val="000000" w:themeColor="text1"/>
        </w:rPr>
        <w:t xml:space="preserve"> </w:t>
      </w:r>
      <w:r w:rsidRPr="00C56257">
        <w:rPr>
          <w:color w:val="000000" w:themeColor="text1"/>
          <w:spacing w:val="-57"/>
        </w:rPr>
        <w:t xml:space="preserve"> </w:t>
      </w:r>
      <w:r w:rsidRPr="00C56257">
        <w:rPr>
          <w:color w:val="000000" w:themeColor="text1"/>
        </w:rPr>
        <w:t>obiectul</w:t>
      </w:r>
      <w:r w:rsidRPr="00C56257">
        <w:rPr>
          <w:color w:val="000000" w:themeColor="text1"/>
          <w:spacing w:val="-1"/>
        </w:rPr>
        <w:t xml:space="preserve"> </w:t>
      </w:r>
      <w:r w:rsidRPr="00C56257">
        <w:rPr>
          <w:color w:val="000000" w:themeColor="text1"/>
        </w:rPr>
        <w:t>prezentei metodologii:</w:t>
      </w:r>
    </w:p>
    <w:p w14:paraId="38C030FD" w14:textId="77777777" w:rsidR="00E13976" w:rsidRPr="00C56257" w:rsidRDefault="00E13976" w:rsidP="008E33FD">
      <w:pPr>
        <w:widowControl w:val="0"/>
        <w:autoSpaceDE w:val="0"/>
        <w:autoSpaceDN w:val="0"/>
        <w:spacing w:before="2"/>
        <w:jc w:val="both"/>
        <w:rPr>
          <w:color w:val="000000" w:themeColor="text1"/>
        </w:rPr>
      </w:pPr>
    </w:p>
    <w:tbl>
      <w:tblPr>
        <w:tblW w:w="0" w:type="auto"/>
        <w:tblInd w:w="3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07"/>
        <w:gridCol w:w="708"/>
        <w:gridCol w:w="709"/>
        <w:gridCol w:w="711"/>
        <w:gridCol w:w="766"/>
        <w:gridCol w:w="745"/>
      </w:tblGrid>
      <w:tr w:rsidR="00E13976" w:rsidRPr="00C56257" w14:paraId="46EE27AB" w14:textId="77777777" w:rsidTr="00E13976">
        <w:trPr>
          <w:trHeight w:val="254"/>
        </w:trPr>
        <w:tc>
          <w:tcPr>
            <w:tcW w:w="5907" w:type="dxa"/>
            <w:vMerge w:val="restart"/>
          </w:tcPr>
          <w:p w14:paraId="40242C2F" w14:textId="77777777" w:rsidR="00E13976" w:rsidRPr="00C56257" w:rsidRDefault="00E13976" w:rsidP="008E33FD">
            <w:pPr>
              <w:widowControl w:val="0"/>
              <w:autoSpaceDE w:val="0"/>
              <w:autoSpaceDN w:val="0"/>
              <w:spacing w:before="130"/>
              <w:jc w:val="both"/>
              <w:rPr>
                <w:b/>
                <w:color w:val="000000" w:themeColor="text1"/>
              </w:rPr>
            </w:pPr>
            <w:r w:rsidRPr="00C56257">
              <w:rPr>
                <w:b/>
                <w:color w:val="000000" w:themeColor="text1"/>
              </w:rPr>
              <w:t>Denumirea</w:t>
            </w:r>
            <w:r w:rsidRPr="00C56257">
              <w:rPr>
                <w:b/>
                <w:color w:val="000000" w:themeColor="text1"/>
                <w:spacing w:val="-2"/>
              </w:rPr>
              <w:t xml:space="preserve"> </w:t>
            </w:r>
            <w:r w:rsidRPr="00C56257">
              <w:rPr>
                <w:b/>
                <w:color w:val="000000" w:themeColor="text1"/>
              </w:rPr>
              <w:t>şi codul</w:t>
            </w:r>
            <w:r w:rsidRPr="00C56257">
              <w:rPr>
                <w:b/>
                <w:color w:val="000000" w:themeColor="text1"/>
                <w:spacing w:val="-1"/>
              </w:rPr>
              <w:t xml:space="preserve"> </w:t>
            </w:r>
            <w:r w:rsidRPr="00C56257">
              <w:rPr>
                <w:b/>
                <w:color w:val="000000" w:themeColor="text1"/>
              </w:rPr>
              <w:t>Natura</w:t>
            </w:r>
            <w:r w:rsidRPr="00C56257">
              <w:rPr>
                <w:b/>
                <w:color w:val="000000" w:themeColor="text1"/>
                <w:spacing w:val="-1"/>
              </w:rPr>
              <w:t xml:space="preserve"> </w:t>
            </w:r>
            <w:r w:rsidRPr="00C56257">
              <w:rPr>
                <w:b/>
                <w:color w:val="000000" w:themeColor="text1"/>
              </w:rPr>
              <w:t>2000</w:t>
            </w:r>
          </w:p>
        </w:tc>
        <w:tc>
          <w:tcPr>
            <w:tcW w:w="3639" w:type="dxa"/>
            <w:gridSpan w:val="5"/>
          </w:tcPr>
          <w:p w14:paraId="46BFCB7C" w14:textId="77777777" w:rsidR="00E13976" w:rsidRPr="00C56257" w:rsidRDefault="00E13976" w:rsidP="008E33FD">
            <w:pPr>
              <w:widowControl w:val="0"/>
              <w:autoSpaceDE w:val="0"/>
              <w:autoSpaceDN w:val="0"/>
              <w:spacing w:line="234" w:lineRule="exact"/>
              <w:jc w:val="both"/>
              <w:rPr>
                <w:b/>
                <w:color w:val="000000" w:themeColor="text1"/>
              </w:rPr>
            </w:pPr>
            <w:r w:rsidRPr="00C56257">
              <w:rPr>
                <w:b/>
                <w:color w:val="000000" w:themeColor="text1"/>
              </w:rPr>
              <w:t>Prezenţa</w:t>
            </w:r>
            <w:r w:rsidRPr="00C56257">
              <w:rPr>
                <w:b/>
                <w:color w:val="000000" w:themeColor="text1"/>
                <w:spacing w:val="-5"/>
              </w:rPr>
              <w:t xml:space="preserve"> </w:t>
            </w:r>
            <w:r w:rsidRPr="00C56257">
              <w:rPr>
                <w:b/>
                <w:color w:val="000000" w:themeColor="text1"/>
              </w:rPr>
              <w:t>în</w:t>
            </w:r>
            <w:r w:rsidRPr="00C56257">
              <w:rPr>
                <w:b/>
                <w:color w:val="000000" w:themeColor="text1"/>
                <w:spacing w:val="-1"/>
              </w:rPr>
              <w:t xml:space="preserve"> </w:t>
            </w:r>
            <w:r w:rsidRPr="00C56257">
              <w:rPr>
                <w:b/>
                <w:color w:val="000000" w:themeColor="text1"/>
              </w:rPr>
              <w:t>regiunea</w:t>
            </w:r>
            <w:r w:rsidRPr="00C56257">
              <w:rPr>
                <w:b/>
                <w:color w:val="000000" w:themeColor="text1"/>
                <w:spacing w:val="-3"/>
              </w:rPr>
              <w:t xml:space="preserve"> </w:t>
            </w:r>
            <w:r w:rsidRPr="00C56257">
              <w:rPr>
                <w:b/>
                <w:color w:val="000000" w:themeColor="text1"/>
              </w:rPr>
              <w:t>biogeografică</w:t>
            </w:r>
          </w:p>
        </w:tc>
      </w:tr>
      <w:tr w:rsidR="00E13976" w:rsidRPr="00C56257" w14:paraId="220DED69" w14:textId="77777777" w:rsidTr="00E13976">
        <w:trPr>
          <w:trHeight w:val="251"/>
        </w:trPr>
        <w:tc>
          <w:tcPr>
            <w:tcW w:w="5907" w:type="dxa"/>
            <w:vMerge/>
            <w:tcBorders>
              <w:top w:val="nil"/>
            </w:tcBorders>
          </w:tcPr>
          <w:p w14:paraId="397499DF" w14:textId="77777777" w:rsidR="00E13976" w:rsidRPr="00C56257" w:rsidRDefault="00E13976" w:rsidP="008E33FD">
            <w:pPr>
              <w:widowControl w:val="0"/>
              <w:autoSpaceDE w:val="0"/>
              <w:autoSpaceDN w:val="0"/>
              <w:jc w:val="both"/>
              <w:rPr>
                <w:color w:val="000000" w:themeColor="text1"/>
              </w:rPr>
            </w:pPr>
          </w:p>
        </w:tc>
        <w:tc>
          <w:tcPr>
            <w:tcW w:w="708" w:type="dxa"/>
          </w:tcPr>
          <w:p w14:paraId="493FD62E" w14:textId="77777777" w:rsidR="00E13976" w:rsidRPr="00C56257" w:rsidRDefault="00E13976" w:rsidP="008E33FD">
            <w:pPr>
              <w:widowControl w:val="0"/>
              <w:autoSpaceDE w:val="0"/>
              <w:autoSpaceDN w:val="0"/>
              <w:spacing w:line="232" w:lineRule="exact"/>
              <w:jc w:val="both"/>
              <w:rPr>
                <w:b/>
                <w:color w:val="000000" w:themeColor="text1"/>
              </w:rPr>
            </w:pPr>
            <w:r w:rsidRPr="00C56257">
              <w:rPr>
                <w:b/>
                <w:color w:val="000000" w:themeColor="text1"/>
              </w:rPr>
              <w:t>PAN</w:t>
            </w:r>
          </w:p>
        </w:tc>
        <w:tc>
          <w:tcPr>
            <w:tcW w:w="709" w:type="dxa"/>
          </w:tcPr>
          <w:p w14:paraId="31087835" w14:textId="77777777" w:rsidR="00E13976" w:rsidRPr="00C56257" w:rsidRDefault="00E13976" w:rsidP="008E33FD">
            <w:pPr>
              <w:widowControl w:val="0"/>
              <w:autoSpaceDE w:val="0"/>
              <w:autoSpaceDN w:val="0"/>
              <w:spacing w:line="232" w:lineRule="exact"/>
              <w:ind w:right="115"/>
              <w:jc w:val="both"/>
              <w:rPr>
                <w:b/>
                <w:color w:val="000000" w:themeColor="text1"/>
              </w:rPr>
            </w:pPr>
            <w:r w:rsidRPr="00C56257">
              <w:rPr>
                <w:b/>
                <w:color w:val="000000" w:themeColor="text1"/>
              </w:rPr>
              <w:t>CON</w:t>
            </w:r>
          </w:p>
        </w:tc>
        <w:tc>
          <w:tcPr>
            <w:tcW w:w="711" w:type="dxa"/>
          </w:tcPr>
          <w:p w14:paraId="2CF84666" w14:textId="77777777" w:rsidR="00E13976" w:rsidRPr="00C56257" w:rsidRDefault="00E13976" w:rsidP="008E33FD">
            <w:pPr>
              <w:widowControl w:val="0"/>
              <w:autoSpaceDE w:val="0"/>
              <w:autoSpaceDN w:val="0"/>
              <w:spacing w:line="232" w:lineRule="exact"/>
              <w:ind w:right="105"/>
              <w:jc w:val="both"/>
              <w:rPr>
                <w:b/>
                <w:color w:val="000000" w:themeColor="text1"/>
              </w:rPr>
            </w:pPr>
            <w:r w:rsidRPr="00C56257">
              <w:rPr>
                <w:b/>
                <w:color w:val="000000" w:themeColor="text1"/>
              </w:rPr>
              <w:t>ALP</w:t>
            </w:r>
          </w:p>
        </w:tc>
        <w:tc>
          <w:tcPr>
            <w:tcW w:w="766" w:type="dxa"/>
          </w:tcPr>
          <w:p w14:paraId="4BB172EC" w14:textId="77777777" w:rsidR="00E13976" w:rsidRPr="00C56257" w:rsidRDefault="00E13976" w:rsidP="008E33FD">
            <w:pPr>
              <w:widowControl w:val="0"/>
              <w:autoSpaceDE w:val="0"/>
              <w:autoSpaceDN w:val="0"/>
              <w:spacing w:line="232" w:lineRule="exact"/>
              <w:jc w:val="both"/>
              <w:rPr>
                <w:b/>
                <w:color w:val="000000" w:themeColor="text1"/>
              </w:rPr>
            </w:pPr>
            <w:r w:rsidRPr="00C56257">
              <w:rPr>
                <w:b/>
                <w:color w:val="000000" w:themeColor="text1"/>
              </w:rPr>
              <w:t>STE</w:t>
            </w:r>
          </w:p>
        </w:tc>
        <w:tc>
          <w:tcPr>
            <w:tcW w:w="745" w:type="dxa"/>
          </w:tcPr>
          <w:p w14:paraId="7192A697" w14:textId="77777777" w:rsidR="00E13976" w:rsidRPr="00C56257" w:rsidRDefault="00E13976" w:rsidP="008E33FD">
            <w:pPr>
              <w:widowControl w:val="0"/>
              <w:autoSpaceDE w:val="0"/>
              <w:autoSpaceDN w:val="0"/>
              <w:spacing w:line="232" w:lineRule="exact"/>
              <w:jc w:val="both"/>
              <w:rPr>
                <w:b/>
                <w:color w:val="000000" w:themeColor="text1"/>
              </w:rPr>
            </w:pPr>
            <w:r w:rsidRPr="00C56257">
              <w:rPr>
                <w:b/>
                <w:color w:val="000000" w:themeColor="text1"/>
              </w:rPr>
              <w:t>PON</w:t>
            </w:r>
          </w:p>
        </w:tc>
      </w:tr>
      <w:tr w:rsidR="00E13976" w:rsidRPr="00C56257" w14:paraId="68164E7B" w14:textId="77777777" w:rsidTr="00E13976">
        <w:trPr>
          <w:trHeight w:val="432"/>
        </w:trPr>
        <w:tc>
          <w:tcPr>
            <w:tcW w:w="5907" w:type="dxa"/>
          </w:tcPr>
          <w:p w14:paraId="0B59A70B" w14:textId="77777777" w:rsidR="00E13976" w:rsidRPr="00C56257" w:rsidRDefault="00E13976" w:rsidP="008E33FD">
            <w:pPr>
              <w:widowControl w:val="0"/>
              <w:autoSpaceDE w:val="0"/>
              <w:autoSpaceDN w:val="0"/>
              <w:spacing w:before="82"/>
              <w:jc w:val="both"/>
              <w:rPr>
                <w:color w:val="000000" w:themeColor="text1"/>
              </w:rPr>
            </w:pPr>
            <w:r w:rsidRPr="00C56257">
              <w:rPr>
                <w:color w:val="000000" w:themeColor="text1"/>
              </w:rPr>
              <w:t>7110*</w:t>
            </w:r>
            <w:r w:rsidRPr="00C56257">
              <w:rPr>
                <w:color w:val="000000" w:themeColor="text1"/>
                <w:spacing w:val="-5"/>
              </w:rPr>
              <w:t xml:space="preserve"> </w:t>
            </w:r>
            <w:r w:rsidRPr="00C56257">
              <w:rPr>
                <w:color w:val="000000" w:themeColor="text1"/>
              </w:rPr>
              <w:t>Turbării active</w:t>
            </w:r>
          </w:p>
        </w:tc>
        <w:tc>
          <w:tcPr>
            <w:tcW w:w="708" w:type="dxa"/>
          </w:tcPr>
          <w:p w14:paraId="096A18EE" w14:textId="77777777" w:rsidR="00E13976" w:rsidRPr="00C56257" w:rsidRDefault="00E13976" w:rsidP="008E33FD">
            <w:pPr>
              <w:widowControl w:val="0"/>
              <w:autoSpaceDE w:val="0"/>
              <w:autoSpaceDN w:val="0"/>
              <w:jc w:val="both"/>
              <w:rPr>
                <w:color w:val="000000" w:themeColor="text1"/>
              </w:rPr>
            </w:pPr>
          </w:p>
        </w:tc>
        <w:tc>
          <w:tcPr>
            <w:tcW w:w="709" w:type="dxa"/>
          </w:tcPr>
          <w:p w14:paraId="464B2453" w14:textId="77777777" w:rsidR="00E13976" w:rsidRPr="00C56257" w:rsidRDefault="00E13976" w:rsidP="008E33FD">
            <w:pPr>
              <w:widowControl w:val="0"/>
              <w:autoSpaceDE w:val="0"/>
              <w:autoSpaceDN w:val="0"/>
              <w:jc w:val="both"/>
              <w:rPr>
                <w:color w:val="000000" w:themeColor="text1"/>
              </w:rPr>
            </w:pPr>
          </w:p>
        </w:tc>
        <w:tc>
          <w:tcPr>
            <w:tcW w:w="711" w:type="dxa"/>
            <w:shd w:val="clear" w:color="auto" w:fill="D9D9D9"/>
          </w:tcPr>
          <w:p w14:paraId="4BBD5107" w14:textId="77777777" w:rsidR="00E13976" w:rsidRPr="00C56257" w:rsidRDefault="00E13976" w:rsidP="008E33FD">
            <w:pPr>
              <w:widowControl w:val="0"/>
              <w:autoSpaceDE w:val="0"/>
              <w:autoSpaceDN w:val="0"/>
              <w:spacing w:before="87"/>
              <w:jc w:val="both"/>
              <w:rPr>
                <w:b/>
                <w:color w:val="000000" w:themeColor="text1"/>
              </w:rPr>
            </w:pPr>
            <w:r w:rsidRPr="00C56257">
              <w:rPr>
                <w:b/>
                <w:color w:val="000000" w:themeColor="text1"/>
              </w:rPr>
              <w:t>√</w:t>
            </w:r>
          </w:p>
        </w:tc>
        <w:tc>
          <w:tcPr>
            <w:tcW w:w="766" w:type="dxa"/>
          </w:tcPr>
          <w:p w14:paraId="38DA6152" w14:textId="77777777" w:rsidR="00E13976" w:rsidRPr="00C56257" w:rsidRDefault="00E13976" w:rsidP="008E33FD">
            <w:pPr>
              <w:widowControl w:val="0"/>
              <w:autoSpaceDE w:val="0"/>
              <w:autoSpaceDN w:val="0"/>
              <w:jc w:val="both"/>
              <w:rPr>
                <w:color w:val="000000" w:themeColor="text1"/>
              </w:rPr>
            </w:pPr>
          </w:p>
        </w:tc>
        <w:tc>
          <w:tcPr>
            <w:tcW w:w="745" w:type="dxa"/>
          </w:tcPr>
          <w:p w14:paraId="2CD45038" w14:textId="77777777" w:rsidR="00E13976" w:rsidRPr="00C56257" w:rsidRDefault="00E13976" w:rsidP="008E33FD">
            <w:pPr>
              <w:widowControl w:val="0"/>
              <w:autoSpaceDE w:val="0"/>
              <w:autoSpaceDN w:val="0"/>
              <w:jc w:val="both"/>
              <w:rPr>
                <w:color w:val="000000" w:themeColor="text1"/>
              </w:rPr>
            </w:pPr>
          </w:p>
        </w:tc>
      </w:tr>
      <w:tr w:rsidR="00E13976" w:rsidRPr="00C56257" w14:paraId="33BC80B9" w14:textId="77777777" w:rsidTr="00E13976">
        <w:trPr>
          <w:trHeight w:val="407"/>
        </w:trPr>
        <w:tc>
          <w:tcPr>
            <w:tcW w:w="5907" w:type="dxa"/>
          </w:tcPr>
          <w:p w14:paraId="3ACDB23B" w14:textId="77777777" w:rsidR="00E13976" w:rsidRPr="00C56257" w:rsidRDefault="00E13976" w:rsidP="008E33FD">
            <w:pPr>
              <w:widowControl w:val="0"/>
              <w:autoSpaceDE w:val="0"/>
              <w:autoSpaceDN w:val="0"/>
              <w:spacing w:before="70"/>
              <w:jc w:val="both"/>
              <w:rPr>
                <w:color w:val="000000" w:themeColor="text1"/>
              </w:rPr>
            </w:pPr>
            <w:r w:rsidRPr="00C56257">
              <w:rPr>
                <w:color w:val="000000" w:themeColor="text1"/>
              </w:rPr>
              <w:t>7120</w:t>
            </w:r>
            <w:r w:rsidRPr="00C56257">
              <w:rPr>
                <w:color w:val="000000" w:themeColor="text1"/>
                <w:spacing w:val="-5"/>
              </w:rPr>
              <w:t xml:space="preserve"> </w:t>
            </w:r>
            <w:r w:rsidRPr="00C56257">
              <w:rPr>
                <w:color w:val="000000" w:themeColor="text1"/>
              </w:rPr>
              <w:t>Turbării</w:t>
            </w:r>
            <w:r w:rsidRPr="00C56257">
              <w:rPr>
                <w:color w:val="000000" w:themeColor="text1"/>
                <w:spacing w:val="-3"/>
              </w:rPr>
              <w:t xml:space="preserve"> </w:t>
            </w:r>
            <w:r w:rsidRPr="00C56257">
              <w:rPr>
                <w:color w:val="000000" w:themeColor="text1"/>
              </w:rPr>
              <w:t>degradate</w:t>
            </w:r>
            <w:r w:rsidRPr="00C56257">
              <w:rPr>
                <w:color w:val="000000" w:themeColor="text1"/>
                <w:spacing w:val="-4"/>
              </w:rPr>
              <w:t xml:space="preserve"> </w:t>
            </w:r>
            <w:r w:rsidRPr="00C56257">
              <w:rPr>
                <w:color w:val="000000" w:themeColor="text1"/>
              </w:rPr>
              <w:t>capabile</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regenerare</w:t>
            </w:r>
            <w:r w:rsidRPr="00C56257">
              <w:rPr>
                <w:color w:val="000000" w:themeColor="text1"/>
                <w:spacing w:val="-2"/>
              </w:rPr>
              <w:t xml:space="preserve"> </w:t>
            </w:r>
            <w:r w:rsidRPr="00C56257">
              <w:rPr>
                <w:color w:val="000000" w:themeColor="text1"/>
              </w:rPr>
              <w:t>naturală</w:t>
            </w:r>
          </w:p>
        </w:tc>
        <w:tc>
          <w:tcPr>
            <w:tcW w:w="708" w:type="dxa"/>
          </w:tcPr>
          <w:p w14:paraId="003B4A58" w14:textId="77777777" w:rsidR="00E13976" w:rsidRPr="00C56257" w:rsidRDefault="00E13976" w:rsidP="008E33FD">
            <w:pPr>
              <w:widowControl w:val="0"/>
              <w:autoSpaceDE w:val="0"/>
              <w:autoSpaceDN w:val="0"/>
              <w:jc w:val="both"/>
              <w:rPr>
                <w:color w:val="000000" w:themeColor="text1"/>
              </w:rPr>
            </w:pPr>
          </w:p>
        </w:tc>
        <w:tc>
          <w:tcPr>
            <w:tcW w:w="709" w:type="dxa"/>
          </w:tcPr>
          <w:p w14:paraId="7D9FBB53" w14:textId="77777777" w:rsidR="00E13976" w:rsidRPr="00C56257" w:rsidRDefault="00E13976" w:rsidP="008E33FD">
            <w:pPr>
              <w:widowControl w:val="0"/>
              <w:autoSpaceDE w:val="0"/>
              <w:autoSpaceDN w:val="0"/>
              <w:jc w:val="both"/>
              <w:rPr>
                <w:color w:val="000000" w:themeColor="text1"/>
              </w:rPr>
            </w:pPr>
          </w:p>
        </w:tc>
        <w:tc>
          <w:tcPr>
            <w:tcW w:w="711" w:type="dxa"/>
            <w:shd w:val="clear" w:color="auto" w:fill="D9D9D9"/>
          </w:tcPr>
          <w:p w14:paraId="73E2698B" w14:textId="77777777" w:rsidR="00E13976" w:rsidRPr="00C56257" w:rsidRDefault="00E13976" w:rsidP="008E33FD">
            <w:pPr>
              <w:widowControl w:val="0"/>
              <w:autoSpaceDE w:val="0"/>
              <w:autoSpaceDN w:val="0"/>
              <w:spacing w:before="75"/>
              <w:jc w:val="both"/>
              <w:rPr>
                <w:b/>
                <w:color w:val="000000" w:themeColor="text1"/>
              </w:rPr>
            </w:pPr>
            <w:r w:rsidRPr="00C56257">
              <w:rPr>
                <w:b/>
                <w:color w:val="000000" w:themeColor="text1"/>
              </w:rPr>
              <w:t>√</w:t>
            </w:r>
          </w:p>
        </w:tc>
        <w:tc>
          <w:tcPr>
            <w:tcW w:w="766" w:type="dxa"/>
          </w:tcPr>
          <w:p w14:paraId="4FF7F49A" w14:textId="77777777" w:rsidR="00E13976" w:rsidRPr="00C56257" w:rsidRDefault="00E13976" w:rsidP="008E33FD">
            <w:pPr>
              <w:widowControl w:val="0"/>
              <w:autoSpaceDE w:val="0"/>
              <w:autoSpaceDN w:val="0"/>
              <w:jc w:val="both"/>
              <w:rPr>
                <w:color w:val="000000" w:themeColor="text1"/>
              </w:rPr>
            </w:pPr>
          </w:p>
        </w:tc>
        <w:tc>
          <w:tcPr>
            <w:tcW w:w="745" w:type="dxa"/>
          </w:tcPr>
          <w:p w14:paraId="766FA291" w14:textId="77777777" w:rsidR="00E13976" w:rsidRPr="00C56257" w:rsidRDefault="00E13976" w:rsidP="008E33FD">
            <w:pPr>
              <w:widowControl w:val="0"/>
              <w:autoSpaceDE w:val="0"/>
              <w:autoSpaceDN w:val="0"/>
              <w:jc w:val="both"/>
              <w:rPr>
                <w:color w:val="000000" w:themeColor="text1"/>
              </w:rPr>
            </w:pPr>
          </w:p>
        </w:tc>
      </w:tr>
      <w:tr w:rsidR="00E13976" w:rsidRPr="00C56257" w14:paraId="01438A0E" w14:textId="77777777" w:rsidTr="00E13976">
        <w:trPr>
          <w:trHeight w:val="506"/>
        </w:trPr>
        <w:tc>
          <w:tcPr>
            <w:tcW w:w="5907" w:type="dxa"/>
          </w:tcPr>
          <w:p w14:paraId="61A31059"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7140</w:t>
            </w:r>
            <w:r w:rsidRPr="00C56257">
              <w:rPr>
                <w:color w:val="000000" w:themeColor="text1"/>
                <w:spacing w:val="-2"/>
              </w:rPr>
              <w:t xml:space="preserve"> </w:t>
            </w:r>
            <w:r w:rsidRPr="00C56257">
              <w:rPr>
                <w:color w:val="000000" w:themeColor="text1"/>
              </w:rPr>
              <w:t>Mlaștini</w:t>
            </w:r>
            <w:r w:rsidRPr="00C56257">
              <w:rPr>
                <w:color w:val="000000" w:themeColor="text1"/>
                <w:spacing w:val="-3"/>
              </w:rPr>
              <w:t xml:space="preserve"> </w:t>
            </w:r>
            <w:r w:rsidRPr="00C56257">
              <w:rPr>
                <w:color w:val="000000" w:themeColor="text1"/>
              </w:rPr>
              <w:t>turboase</w:t>
            </w:r>
            <w:r w:rsidRPr="00C56257">
              <w:rPr>
                <w:color w:val="000000" w:themeColor="text1"/>
                <w:spacing w:val="-1"/>
              </w:rPr>
              <w:t xml:space="preserve"> </w:t>
            </w:r>
            <w:r w:rsidRPr="00C56257">
              <w:rPr>
                <w:color w:val="000000" w:themeColor="text1"/>
              </w:rPr>
              <w:t>de</w:t>
            </w:r>
            <w:r w:rsidRPr="00C56257">
              <w:rPr>
                <w:color w:val="000000" w:themeColor="text1"/>
                <w:spacing w:val="-3"/>
              </w:rPr>
              <w:t xml:space="preserve"> </w:t>
            </w:r>
            <w:r w:rsidRPr="00C56257">
              <w:rPr>
                <w:color w:val="000000" w:themeColor="text1"/>
              </w:rPr>
              <w:t>tranziție</w:t>
            </w:r>
            <w:r w:rsidRPr="00C56257">
              <w:rPr>
                <w:color w:val="000000" w:themeColor="text1"/>
                <w:spacing w:val="-4"/>
              </w:rPr>
              <w:t xml:space="preserve"> </w:t>
            </w:r>
            <w:r w:rsidRPr="00C56257">
              <w:rPr>
                <w:color w:val="000000" w:themeColor="text1"/>
              </w:rPr>
              <w:t>și</w:t>
            </w:r>
            <w:r w:rsidRPr="00C56257">
              <w:rPr>
                <w:color w:val="000000" w:themeColor="text1"/>
                <w:spacing w:val="-2"/>
              </w:rPr>
              <w:t xml:space="preserve"> </w:t>
            </w:r>
            <w:r w:rsidRPr="00C56257">
              <w:rPr>
                <w:color w:val="000000" w:themeColor="text1"/>
              </w:rPr>
              <w:t>turbării</w:t>
            </w:r>
            <w:r w:rsidRPr="00C56257">
              <w:rPr>
                <w:color w:val="000000" w:themeColor="text1"/>
                <w:spacing w:val="-3"/>
              </w:rPr>
              <w:t xml:space="preserve"> </w:t>
            </w:r>
            <w:r w:rsidRPr="00C56257">
              <w:rPr>
                <w:color w:val="000000" w:themeColor="text1"/>
              </w:rPr>
              <w:t>oscilante -</w:t>
            </w:r>
          </w:p>
          <w:p w14:paraId="47B709B0" w14:textId="77777777" w:rsidR="00E13976" w:rsidRPr="00C56257" w:rsidRDefault="00E13976" w:rsidP="008E33FD">
            <w:pPr>
              <w:widowControl w:val="0"/>
              <w:autoSpaceDE w:val="0"/>
              <w:autoSpaceDN w:val="0"/>
              <w:spacing w:before="1" w:line="238" w:lineRule="exact"/>
              <w:jc w:val="both"/>
              <w:rPr>
                <w:color w:val="000000" w:themeColor="text1"/>
              </w:rPr>
            </w:pPr>
            <w:r w:rsidRPr="00C56257">
              <w:rPr>
                <w:color w:val="000000" w:themeColor="text1"/>
              </w:rPr>
              <w:t>nefixate</w:t>
            </w:r>
            <w:r w:rsidRPr="00C56257">
              <w:rPr>
                <w:color w:val="000000" w:themeColor="text1"/>
                <w:spacing w:val="-1"/>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substrat</w:t>
            </w:r>
          </w:p>
        </w:tc>
        <w:tc>
          <w:tcPr>
            <w:tcW w:w="708" w:type="dxa"/>
          </w:tcPr>
          <w:p w14:paraId="53FB793B" w14:textId="77777777" w:rsidR="00E13976" w:rsidRPr="00C56257" w:rsidRDefault="00E13976" w:rsidP="008E33FD">
            <w:pPr>
              <w:widowControl w:val="0"/>
              <w:autoSpaceDE w:val="0"/>
              <w:autoSpaceDN w:val="0"/>
              <w:jc w:val="both"/>
              <w:rPr>
                <w:color w:val="000000" w:themeColor="text1"/>
              </w:rPr>
            </w:pPr>
          </w:p>
        </w:tc>
        <w:tc>
          <w:tcPr>
            <w:tcW w:w="709" w:type="dxa"/>
            <w:shd w:val="clear" w:color="auto" w:fill="D9D9D9"/>
          </w:tcPr>
          <w:p w14:paraId="7166B388" w14:textId="77777777" w:rsidR="00E13976" w:rsidRPr="00C56257" w:rsidRDefault="00E13976" w:rsidP="008E33FD">
            <w:pPr>
              <w:widowControl w:val="0"/>
              <w:autoSpaceDE w:val="0"/>
              <w:autoSpaceDN w:val="0"/>
              <w:spacing w:before="125"/>
              <w:jc w:val="both"/>
              <w:rPr>
                <w:b/>
                <w:color w:val="000000" w:themeColor="text1"/>
              </w:rPr>
            </w:pPr>
            <w:r w:rsidRPr="00C56257">
              <w:rPr>
                <w:b/>
                <w:color w:val="000000" w:themeColor="text1"/>
              </w:rPr>
              <w:t>√</w:t>
            </w:r>
          </w:p>
        </w:tc>
        <w:tc>
          <w:tcPr>
            <w:tcW w:w="711" w:type="dxa"/>
            <w:shd w:val="clear" w:color="auto" w:fill="D9D9D9"/>
          </w:tcPr>
          <w:p w14:paraId="0C026637" w14:textId="77777777" w:rsidR="00E13976" w:rsidRPr="00C56257" w:rsidRDefault="00E13976" w:rsidP="008E33FD">
            <w:pPr>
              <w:widowControl w:val="0"/>
              <w:autoSpaceDE w:val="0"/>
              <w:autoSpaceDN w:val="0"/>
              <w:spacing w:before="125"/>
              <w:jc w:val="both"/>
              <w:rPr>
                <w:b/>
                <w:color w:val="000000" w:themeColor="text1"/>
              </w:rPr>
            </w:pPr>
            <w:r w:rsidRPr="00C56257">
              <w:rPr>
                <w:b/>
                <w:color w:val="000000" w:themeColor="text1"/>
              </w:rPr>
              <w:t>√</w:t>
            </w:r>
          </w:p>
        </w:tc>
        <w:tc>
          <w:tcPr>
            <w:tcW w:w="766" w:type="dxa"/>
          </w:tcPr>
          <w:p w14:paraId="5317FE8E" w14:textId="77777777" w:rsidR="00E13976" w:rsidRPr="00C56257" w:rsidRDefault="00E13976" w:rsidP="008E33FD">
            <w:pPr>
              <w:widowControl w:val="0"/>
              <w:autoSpaceDE w:val="0"/>
              <w:autoSpaceDN w:val="0"/>
              <w:jc w:val="both"/>
              <w:rPr>
                <w:color w:val="000000" w:themeColor="text1"/>
              </w:rPr>
            </w:pPr>
          </w:p>
        </w:tc>
        <w:tc>
          <w:tcPr>
            <w:tcW w:w="745" w:type="dxa"/>
          </w:tcPr>
          <w:p w14:paraId="5A8D7EBA" w14:textId="77777777" w:rsidR="00E13976" w:rsidRPr="00C56257" w:rsidRDefault="00E13976" w:rsidP="008E33FD">
            <w:pPr>
              <w:widowControl w:val="0"/>
              <w:autoSpaceDE w:val="0"/>
              <w:autoSpaceDN w:val="0"/>
              <w:jc w:val="both"/>
              <w:rPr>
                <w:color w:val="000000" w:themeColor="text1"/>
              </w:rPr>
            </w:pPr>
          </w:p>
        </w:tc>
      </w:tr>
      <w:tr w:rsidR="00E13976" w:rsidRPr="00C56257" w14:paraId="2C143E58" w14:textId="77777777" w:rsidTr="00E13976">
        <w:trPr>
          <w:trHeight w:val="505"/>
        </w:trPr>
        <w:tc>
          <w:tcPr>
            <w:tcW w:w="5907" w:type="dxa"/>
          </w:tcPr>
          <w:p w14:paraId="1713DE74"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7150</w:t>
            </w:r>
            <w:r w:rsidRPr="00C56257">
              <w:rPr>
                <w:color w:val="000000" w:themeColor="text1"/>
                <w:spacing w:val="-3"/>
              </w:rPr>
              <w:t xml:space="preserve"> </w:t>
            </w:r>
            <w:r w:rsidRPr="00C56257">
              <w:rPr>
                <w:color w:val="000000" w:themeColor="text1"/>
              </w:rPr>
              <w:t>Comunități</w:t>
            </w:r>
            <w:r w:rsidRPr="00C56257">
              <w:rPr>
                <w:color w:val="000000" w:themeColor="text1"/>
                <w:spacing w:val="-1"/>
              </w:rPr>
              <w:t xml:space="preserve"> </w:t>
            </w:r>
            <w:r w:rsidRPr="00C56257">
              <w:rPr>
                <w:color w:val="000000" w:themeColor="text1"/>
              </w:rPr>
              <w:t>depresionare</w:t>
            </w:r>
            <w:r w:rsidRPr="00C56257">
              <w:rPr>
                <w:color w:val="000000" w:themeColor="text1"/>
                <w:spacing w:val="-3"/>
              </w:rPr>
              <w:t xml:space="preserve"> </w:t>
            </w:r>
            <w:r w:rsidRPr="00C56257">
              <w:rPr>
                <w:color w:val="000000" w:themeColor="text1"/>
              </w:rPr>
              <w:t>din</w:t>
            </w:r>
            <w:r w:rsidRPr="00C56257">
              <w:rPr>
                <w:color w:val="000000" w:themeColor="text1"/>
                <w:spacing w:val="-2"/>
              </w:rPr>
              <w:t xml:space="preserve"> </w:t>
            </w:r>
            <w:r w:rsidRPr="00C56257">
              <w:rPr>
                <w:color w:val="000000" w:themeColor="text1"/>
              </w:rPr>
              <w:t>Rhinchosporion</w:t>
            </w:r>
            <w:r w:rsidRPr="00C56257">
              <w:rPr>
                <w:color w:val="000000" w:themeColor="text1"/>
                <w:spacing w:val="-5"/>
              </w:rPr>
              <w:t xml:space="preserve"> </w:t>
            </w:r>
            <w:r w:rsidRPr="00C56257">
              <w:rPr>
                <w:color w:val="000000" w:themeColor="text1"/>
              </w:rPr>
              <w:t>pe</w:t>
            </w:r>
            <w:r w:rsidRPr="00C56257">
              <w:rPr>
                <w:color w:val="000000" w:themeColor="text1"/>
                <w:spacing w:val="-4"/>
              </w:rPr>
              <w:t xml:space="preserve"> </w:t>
            </w:r>
            <w:r w:rsidRPr="00C56257">
              <w:rPr>
                <w:color w:val="000000" w:themeColor="text1"/>
              </w:rPr>
              <w:t>substrate</w:t>
            </w:r>
            <w:r w:rsidR="00C350FB" w:rsidRPr="00C56257">
              <w:rPr>
                <w:color w:val="000000" w:themeColor="text1"/>
              </w:rPr>
              <w:t xml:space="preserve"> </w:t>
            </w:r>
            <w:r w:rsidRPr="00C56257">
              <w:rPr>
                <w:color w:val="000000" w:themeColor="text1"/>
              </w:rPr>
              <w:t>turboase</w:t>
            </w:r>
          </w:p>
        </w:tc>
        <w:tc>
          <w:tcPr>
            <w:tcW w:w="708" w:type="dxa"/>
          </w:tcPr>
          <w:p w14:paraId="7049D7CA" w14:textId="77777777" w:rsidR="00E13976" w:rsidRPr="00C56257" w:rsidRDefault="00E13976" w:rsidP="008E33FD">
            <w:pPr>
              <w:widowControl w:val="0"/>
              <w:autoSpaceDE w:val="0"/>
              <w:autoSpaceDN w:val="0"/>
              <w:jc w:val="both"/>
              <w:rPr>
                <w:color w:val="000000" w:themeColor="text1"/>
              </w:rPr>
            </w:pPr>
          </w:p>
        </w:tc>
        <w:tc>
          <w:tcPr>
            <w:tcW w:w="709" w:type="dxa"/>
            <w:shd w:val="clear" w:color="auto" w:fill="D9D9D9"/>
          </w:tcPr>
          <w:p w14:paraId="5BE848F2" w14:textId="77777777" w:rsidR="00E13976" w:rsidRPr="00C56257" w:rsidRDefault="00E13976" w:rsidP="008E33FD">
            <w:pPr>
              <w:widowControl w:val="0"/>
              <w:autoSpaceDE w:val="0"/>
              <w:autoSpaceDN w:val="0"/>
              <w:spacing w:before="125"/>
              <w:jc w:val="both"/>
              <w:rPr>
                <w:b/>
                <w:color w:val="000000" w:themeColor="text1"/>
              </w:rPr>
            </w:pPr>
            <w:r w:rsidRPr="00C56257">
              <w:rPr>
                <w:b/>
                <w:color w:val="000000" w:themeColor="text1"/>
              </w:rPr>
              <w:t>√</w:t>
            </w:r>
          </w:p>
        </w:tc>
        <w:tc>
          <w:tcPr>
            <w:tcW w:w="711" w:type="dxa"/>
            <w:shd w:val="clear" w:color="auto" w:fill="D9D9D9"/>
          </w:tcPr>
          <w:p w14:paraId="79434500" w14:textId="77777777" w:rsidR="00E13976" w:rsidRPr="00C56257" w:rsidRDefault="00E13976" w:rsidP="008E33FD">
            <w:pPr>
              <w:widowControl w:val="0"/>
              <w:autoSpaceDE w:val="0"/>
              <w:autoSpaceDN w:val="0"/>
              <w:spacing w:before="125"/>
              <w:jc w:val="both"/>
              <w:rPr>
                <w:b/>
                <w:color w:val="000000" w:themeColor="text1"/>
              </w:rPr>
            </w:pPr>
            <w:r w:rsidRPr="00C56257">
              <w:rPr>
                <w:b/>
                <w:color w:val="000000" w:themeColor="text1"/>
              </w:rPr>
              <w:t>√</w:t>
            </w:r>
          </w:p>
        </w:tc>
        <w:tc>
          <w:tcPr>
            <w:tcW w:w="766" w:type="dxa"/>
          </w:tcPr>
          <w:p w14:paraId="24BB1015" w14:textId="77777777" w:rsidR="00E13976" w:rsidRPr="00C56257" w:rsidRDefault="00E13976" w:rsidP="008E33FD">
            <w:pPr>
              <w:widowControl w:val="0"/>
              <w:autoSpaceDE w:val="0"/>
              <w:autoSpaceDN w:val="0"/>
              <w:jc w:val="both"/>
              <w:rPr>
                <w:color w:val="000000" w:themeColor="text1"/>
              </w:rPr>
            </w:pPr>
          </w:p>
        </w:tc>
        <w:tc>
          <w:tcPr>
            <w:tcW w:w="745" w:type="dxa"/>
          </w:tcPr>
          <w:p w14:paraId="3764AB81" w14:textId="77777777" w:rsidR="00E13976" w:rsidRPr="00C56257" w:rsidRDefault="00E13976" w:rsidP="008E33FD">
            <w:pPr>
              <w:widowControl w:val="0"/>
              <w:autoSpaceDE w:val="0"/>
              <w:autoSpaceDN w:val="0"/>
              <w:jc w:val="both"/>
              <w:rPr>
                <w:color w:val="000000" w:themeColor="text1"/>
              </w:rPr>
            </w:pPr>
          </w:p>
        </w:tc>
      </w:tr>
      <w:tr w:rsidR="00E13976" w:rsidRPr="00C56257" w14:paraId="158F7E13" w14:textId="77777777" w:rsidTr="00E13976">
        <w:trPr>
          <w:trHeight w:val="494"/>
        </w:trPr>
        <w:tc>
          <w:tcPr>
            <w:tcW w:w="5907" w:type="dxa"/>
          </w:tcPr>
          <w:p w14:paraId="1FA87E94" w14:textId="77777777" w:rsidR="00E13976" w:rsidRPr="00C56257" w:rsidRDefault="00E13976" w:rsidP="008E33FD">
            <w:pPr>
              <w:widowControl w:val="0"/>
              <w:autoSpaceDE w:val="0"/>
              <w:autoSpaceDN w:val="0"/>
              <w:spacing w:before="113"/>
              <w:jc w:val="both"/>
              <w:rPr>
                <w:color w:val="000000" w:themeColor="text1"/>
              </w:rPr>
            </w:pPr>
            <w:r w:rsidRPr="00C56257">
              <w:rPr>
                <w:color w:val="000000" w:themeColor="text1"/>
              </w:rPr>
              <w:t>7210*</w:t>
            </w:r>
            <w:r w:rsidRPr="00C56257">
              <w:rPr>
                <w:color w:val="000000" w:themeColor="text1"/>
                <w:spacing w:val="-1"/>
              </w:rPr>
              <w:t xml:space="preserve"> </w:t>
            </w:r>
            <w:r w:rsidRPr="00C56257">
              <w:rPr>
                <w:color w:val="000000" w:themeColor="text1"/>
              </w:rPr>
              <w:t>Mlaștini</w:t>
            </w:r>
            <w:r w:rsidRPr="00C56257">
              <w:rPr>
                <w:color w:val="000000" w:themeColor="text1"/>
                <w:spacing w:val="-3"/>
              </w:rPr>
              <w:t xml:space="preserve"> </w:t>
            </w:r>
            <w:r w:rsidRPr="00C56257">
              <w:rPr>
                <w:color w:val="000000" w:themeColor="text1"/>
              </w:rPr>
              <w:t>calcaroase</w:t>
            </w:r>
            <w:r w:rsidRPr="00C56257">
              <w:rPr>
                <w:color w:val="000000" w:themeColor="text1"/>
                <w:spacing w:val="-3"/>
              </w:rPr>
              <w:t xml:space="preserve"> </w:t>
            </w:r>
            <w:r w:rsidRPr="00C56257">
              <w:rPr>
                <w:color w:val="000000" w:themeColor="text1"/>
              </w:rPr>
              <w:t>cu</w:t>
            </w:r>
            <w:r w:rsidRPr="00C56257">
              <w:rPr>
                <w:color w:val="000000" w:themeColor="text1"/>
                <w:spacing w:val="-1"/>
              </w:rPr>
              <w:t xml:space="preserve"> </w:t>
            </w:r>
            <w:r w:rsidRPr="00C56257">
              <w:rPr>
                <w:color w:val="000000" w:themeColor="text1"/>
              </w:rPr>
              <w:t>Cladium</w:t>
            </w:r>
            <w:r w:rsidRPr="00C56257">
              <w:rPr>
                <w:color w:val="000000" w:themeColor="text1"/>
                <w:spacing w:val="-5"/>
              </w:rPr>
              <w:t xml:space="preserve"> </w:t>
            </w:r>
            <w:r w:rsidRPr="00C56257">
              <w:rPr>
                <w:color w:val="000000" w:themeColor="text1"/>
              </w:rPr>
              <w:t>mariscus</w:t>
            </w:r>
          </w:p>
        </w:tc>
        <w:tc>
          <w:tcPr>
            <w:tcW w:w="708" w:type="dxa"/>
          </w:tcPr>
          <w:p w14:paraId="1E0CA79E" w14:textId="77777777" w:rsidR="00E13976" w:rsidRPr="00C56257" w:rsidRDefault="00E13976" w:rsidP="008E33FD">
            <w:pPr>
              <w:widowControl w:val="0"/>
              <w:autoSpaceDE w:val="0"/>
              <w:autoSpaceDN w:val="0"/>
              <w:jc w:val="both"/>
              <w:rPr>
                <w:color w:val="000000" w:themeColor="text1"/>
              </w:rPr>
            </w:pPr>
          </w:p>
        </w:tc>
        <w:tc>
          <w:tcPr>
            <w:tcW w:w="709" w:type="dxa"/>
            <w:shd w:val="clear" w:color="auto" w:fill="D9D9D9"/>
          </w:tcPr>
          <w:p w14:paraId="6687268C" w14:textId="77777777" w:rsidR="00E13976" w:rsidRPr="00C56257" w:rsidRDefault="00E13976" w:rsidP="008E33FD">
            <w:pPr>
              <w:widowControl w:val="0"/>
              <w:autoSpaceDE w:val="0"/>
              <w:autoSpaceDN w:val="0"/>
              <w:spacing w:before="8"/>
              <w:jc w:val="both"/>
              <w:rPr>
                <w:color w:val="000000" w:themeColor="text1"/>
              </w:rPr>
            </w:pPr>
          </w:p>
          <w:p w14:paraId="69DEB401" w14:textId="77777777" w:rsidR="00E13976" w:rsidRPr="00C56257" w:rsidRDefault="00E13976" w:rsidP="008E33FD">
            <w:pPr>
              <w:widowControl w:val="0"/>
              <w:autoSpaceDE w:val="0"/>
              <w:autoSpaceDN w:val="0"/>
              <w:spacing w:line="236" w:lineRule="exact"/>
              <w:jc w:val="both"/>
              <w:rPr>
                <w:b/>
                <w:color w:val="000000" w:themeColor="text1"/>
              </w:rPr>
            </w:pPr>
            <w:r w:rsidRPr="00C56257">
              <w:rPr>
                <w:b/>
                <w:color w:val="000000" w:themeColor="text1"/>
              </w:rPr>
              <w:t>√</w:t>
            </w:r>
          </w:p>
        </w:tc>
        <w:tc>
          <w:tcPr>
            <w:tcW w:w="711" w:type="dxa"/>
          </w:tcPr>
          <w:p w14:paraId="1FAC80D4" w14:textId="77777777" w:rsidR="00E13976" w:rsidRPr="00C56257" w:rsidRDefault="00E13976" w:rsidP="008E33FD">
            <w:pPr>
              <w:widowControl w:val="0"/>
              <w:autoSpaceDE w:val="0"/>
              <w:autoSpaceDN w:val="0"/>
              <w:jc w:val="both"/>
              <w:rPr>
                <w:color w:val="000000" w:themeColor="text1"/>
              </w:rPr>
            </w:pPr>
          </w:p>
        </w:tc>
        <w:tc>
          <w:tcPr>
            <w:tcW w:w="766" w:type="dxa"/>
          </w:tcPr>
          <w:p w14:paraId="37D6FF29" w14:textId="77777777" w:rsidR="00E13976" w:rsidRPr="00C56257" w:rsidRDefault="00E13976" w:rsidP="008E33FD">
            <w:pPr>
              <w:widowControl w:val="0"/>
              <w:autoSpaceDE w:val="0"/>
              <w:autoSpaceDN w:val="0"/>
              <w:jc w:val="both"/>
              <w:rPr>
                <w:color w:val="000000" w:themeColor="text1"/>
              </w:rPr>
            </w:pPr>
          </w:p>
        </w:tc>
        <w:tc>
          <w:tcPr>
            <w:tcW w:w="745" w:type="dxa"/>
          </w:tcPr>
          <w:p w14:paraId="4E079FEF" w14:textId="77777777" w:rsidR="00E13976" w:rsidRPr="00C56257" w:rsidRDefault="00E13976" w:rsidP="008E33FD">
            <w:pPr>
              <w:widowControl w:val="0"/>
              <w:autoSpaceDE w:val="0"/>
              <w:autoSpaceDN w:val="0"/>
              <w:jc w:val="both"/>
              <w:rPr>
                <w:color w:val="000000" w:themeColor="text1"/>
              </w:rPr>
            </w:pPr>
          </w:p>
        </w:tc>
      </w:tr>
      <w:tr w:rsidR="00E13976" w:rsidRPr="00C56257" w14:paraId="16394DB9" w14:textId="77777777" w:rsidTr="00E13976">
        <w:trPr>
          <w:trHeight w:val="505"/>
        </w:trPr>
        <w:tc>
          <w:tcPr>
            <w:tcW w:w="5907" w:type="dxa"/>
          </w:tcPr>
          <w:p w14:paraId="3CE4681C" w14:textId="77777777" w:rsidR="00E13976" w:rsidRPr="00C56257" w:rsidRDefault="00E13976" w:rsidP="008E33FD">
            <w:pPr>
              <w:widowControl w:val="0"/>
              <w:autoSpaceDE w:val="0"/>
              <w:autoSpaceDN w:val="0"/>
              <w:spacing w:line="246" w:lineRule="exact"/>
              <w:jc w:val="both"/>
              <w:rPr>
                <w:color w:val="000000" w:themeColor="text1"/>
              </w:rPr>
            </w:pPr>
            <w:r w:rsidRPr="00C56257">
              <w:rPr>
                <w:color w:val="000000" w:themeColor="text1"/>
              </w:rPr>
              <w:t>7220*</w:t>
            </w:r>
            <w:r w:rsidRPr="00C56257">
              <w:rPr>
                <w:color w:val="000000" w:themeColor="text1"/>
                <w:spacing w:val="-2"/>
              </w:rPr>
              <w:t xml:space="preserve"> </w:t>
            </w:r>
            <w:r w:rsidRPr="00C56257">
              <w:rPr>
                <w:color w:val="000000" w:themeColor="text1"/>
              </w:rPr>
              <w:t>Izvoare</w:t>
            </w:r>
            <w:r w:rsidRPr="00C56257">
              <w:rPr>
                <w:color w:val="000000" w:themeColor="text1"/>
                <w:spacing w:val="-1"/>
              </w:rPr>
              <w:t xml:space="preserve"> </w:t>
            </w:r>
            <w:r w:rsidRPr="00C56257">
              <w:rPr>
                <w:color w:val="000000" w:themeColor="text1"/>
              </w:rPr>
              <w:t>petrifiante</w:t>
            </w:r>
            <w:r w:rsidRPr="00C56257">
              <w:rPr>
                <w:color w:val="000000" w:themeColor="text1"/>
                <w:spacing w:val="-2"/>
              </w:rPr>
              <w:t xml:space="preserve"> </w:t>
            </w:r>
            <w:r w:rsidRPr="00C56257">
              <w:rPr>
                <w:color w:val="000000" w:themeColor="text1"/>
              </w:rPr>
              <w:t>cu</w:t>
            </w:r>
            <w:r w:rsidRPr="00C56257">
              <w:rPr>
                <w:color w:val="000000" w:themeColor="text1"/>
                <w:spacing w:val="-1"/>
              </w:rPr>
              <w:t xml:space="preserve"> </w:t>
            </w:r>
            <w:r w:rsidRPr="00C56257">
              <w:rPr>
                <w:color w:val="000000" w:themeColor="text1"/>
              </w:rPr>
              <w:t>formare</w:t>
            </w:r>
            <w:r w:rsidRPr="00C56257">
              <w:rPr>
                <w:color w:val="000000" w:themeColor="text1"/>
                <w:spacing w:val="-1"/>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travertin</w:t>
            </w:r>
            <w:r w:rsidRPr="00C56257">
              <w:rPr>
                <w:color w:val="000000" w:themeColor="text1"/>
                <w:spacing w:val="-1"/>
              </w:rPr>
              <w:t xml:space="preserve"> </w:t>
            </w:r>
            <w:r w:rsidRPr="00C56257">
              <w:rPr>
                <w:color w:val="000000" w:themeColor="text1"/>
              </w:rPr>
              <w:t>–</w:t>
            </w:r>
          </w:p>
          <w:p w14:paraId="217ABF68" w14:textId="77777777" w:rsidR="00E13976" w:rsidRPr="00C56257" w:rsidRDefault="00E13976" w:rsidP="008E33FD">
            <w:pPr>
              <w:widowControl w:val="0"/>
              <w:autoSpaceDE w:val="0"/>
              <w:autoSpaceDN w:val="0"/>
              <w:spacing w:line="240" w:lineRule="exact"/>
              <w:jc w:val="both"/>
              <w:rPr>
                <w:color w:val="000000" w:themeColor="text1"/>
              </w:rPr>
            </w:pPr>
            <w:r w:rsidRPr="00C56257">
              <w:rPr>
                <w:color w:val="000000" w:themeColor="text1"/>
              </w:rPr>
              <w:t>Cratoneurion</w:t>
            </w:r>
          </w:p>
        </w:tc>
        <w:tc>
          <w:tcPr>
            <w:tcW w:w="708" w:type="dxa"/>
          </w:tcPr>
          <w:p w14:paraId="7D0DCC53" w14:textId="77777777" w:rsidR="00E13976" w:rsidRPr="00C56257" w:rsidRDefault="00E13976" w:rsidP="008E33FD">
            <w:pPr>
              <w:widowControl w:val="0"/>
              <w:autoSpaceDE w:val="0"/>
              <w:autoSpaceDN w:val="0"/>
              <w:jc w:val="both"/>
              <w:rPr>
                <w:color w:val="000000" w:themeColor="text1"/>
              </w:rPr>
            </w:pPr>
          </w:p>
        </w:tc>
        <w:tc>
          <w:tcPr>
            <w:tcW w:w="709" w:type="dxa"/>
            <w:shd w:val="clear" w:color="auto" w:fill="D9D9D9"/>
          </w:tcPr>
          <w:p w14:paraId="15647A4D" w14:textId="77777777" w:rsidR="00E13976" w:rsidRPr="00C56257" w:rsidRDefault="00E13976" w:rsidP="008E33FD">
            <w:pPr>
              <w:widowControl w:val="0"/>
              <w:autoSpaceDE w:val="0"/>
              <w:autoSpaceDN w:val="0"/>
              <w:spacing w:before="4"/>
              <w:jc w:val="both"/>
              <w:rPr>
                <w:color w:val="000000" w:themeColor="text1"/>
              </w:rPr>
            </w:pPr>
          </w:p>
          <w:p w14:paraId="4AB4900C" w14:textId="77777777" w:rsidR="00E13976" w:rsidRPr="00C56257" w:rsidRDefault="00E13976" w:rsidP="008E33FD">
            <w:pPr>
              <w:widowControl w:val="0"/>
              <w:autoSpaceDE w:val="0"/>
              <w:autoSpaceDN w:val="0"/>
              <w:spacing w:line="240" w:lineRule="exact"/>
              <w:jc w:val="both"/>
              <w:rPr>
                <w:b/>
                <w:color w:val="000000" w:themeColor="text1"/>
              </w:rPr>
            </w:pPr>
            <w:r w:rsidRPr="00C56257">
              <w:rPr>
                <w:b/>
                <w:color w:val="000000" w:themeColor="text1"/>
              </w:rPr>
              <w:t>√</w:t>
            </w:r>
          </w:p>
        </w:tc>
        <w:tc>
          <w:tcPr>
            <w:tcW w:w="711" w:type="dxa"/>
            <w:shd w:val="clear" w:color="auto" w:fill="D9D9D9"/>
          </w:tcPr>
          <w:p w14:paraId="0C06FF6B" w14:textId="77777777" w:rsidR="00E13976" w:rsidRPr="00C56257" w:rsidRDefault="00E13976" w:rsidP="008E33FD">
            <w:pPr>
              <w:widowControl w:val="0"/>
              <w:autoSpaceDE w:val="0"/>
              <w:autoSpaceDN w:val="0"/>
              <w:spacing w:before="4"/>
              <w:jc w:val="both"/>
              <w:rPr>
                <w:color w:val="000000" w:themeColor="text1"/>
              </w:rPr>
            </w:pPr>
          </w:p>
          <w:p w14:paraId="0381644C" w14:textId="77777777" w:rsidR="00E13976" w:rsidRPr="00C56257" w:rsidRDefault="00E13976" w:rsidP="008E33FD">
            <w:pPr>
              <w:widowControl w:val="0"/>
              <w:autoSpaceDE w:val="0"/>
              <w:autoSpaceDN w:val="0"/>
              <w:spacing w:line="240" w:lineRule="exact"/>
              <w:jc w:val="both"/>
              <w:rPr>
                <w:b/>
                <w:color w:val="000000" w:themeColor="text1"/>
              </w:rPr>
            </w:pPr>
            <w:r w:rsidRPr="00C56257">
              <w:rPr>
                <w:b/>
                <w:color w:val="000000" w:themeColor="text1"/>
              </w:rPr>
              <w:t>√</w:t>
            </w:r>
          </w:p>
        </w:tc>
        <w:tc>
          <w:tcPr>
            <w:tcW w:w="766" w:type="dxa"/>
          </w:tcPr>
          <w:p w14:paraId="15F16279" w14:textId="77777777" w:rsidR="00E13976" w:rsidRPr="00C56257" w:rsidRDefault="00E13976" w:rsidP="008E33FD">
            <w:pPr>
              <w:widowControl w:val="0"/>
              <w:autoSpaceDE w:val="0"/>
              <w:autoSpaceDN w:val="0"/>
              <w:jc w:val="both"/>
              <w:rPr>
                <w:color w:val="000000" w:themeColor="text1"/>
              </w:rPr>
            </w:pPr>
          </w:p>
        </w:tc>
        <w:tc>
          <w:tcPr>
            <w:tcW w:w="745" w:type="dxa"/>
          </w:tcPr>
          <w:p w14:paraId="685B6B89" w14:textId="77777777" w:rsidR="00E13976" w:rsidRPr="00C56257" w:rsidRDefault="00E13976" w:rsidP="008E33FD">
            <w:pPr>
              <w:widowControl w:val="0"/>
              <w:autoSpaceDE w:val="0"/>
              <w:autoSpaceDN w:val="0"/>
              <w:jc w:val="both"/>
              <w:rPr>
                <w:color w:val="000000" w:themeColor="text1"/>
              </w:rPr>
            </w:pPr>
          </w:p>
        </w:tc>
      </w:tr>
      <w:tr w:rsidR="00E13976" w:rsidRPr="00C56257" w14:paraId="01644833" w14:textId="77777777" w:rsidTr="00E13976">
        <w:trPr>
          <w:trHeight w:val="492"/>
        </w:trPr>
        <w:tc>
          <w:tcPr>
            <w:tcW w:w="5907" w:type="dxa"/>
          </w:tcPr>
          <w:p w14:paraId="2F677BB7" w14:textId="77777777" w:rsidR="00E13976" w:rsidRPr="00C56257" w:rsidRDefault="00E13976" w:rsidP="008E33FD">
            <w:pPr>
              <w:widowControl w:val="0"/>
              <w:autoSpaceDE w:val="0"/>
              <w:autoSpaceDN w:val="0"/>
              <w:spacing w:before="113"/>
              <w:jc w:val="both"/>
              <w:rPr>
                <w:color w:val="000000" w:themeColor="text1"/>
              </w:rPr>
            </w:pPr>
            <w:r w:rsidRPr="00C56257">
              <w:rPr>
                <w:color w:val="000000" w:themeColor="text1"/>
              </w:rPr>
              <w:t>7230</w:t>
            </w:r>
            <w:r w:rsidRPr="00C56257">
              <w:rPr>
                <w:color w:val="000000" w:themeColor="text1"/>
                <w:spacing w:val="-3"/>
              </w:rPr>
              <w:t xml:space="preserve"> </w:t>
            </w:r>
            <w:r w:rsidRPr="00C56257">
              <w:rPr>
                <w:color w:val="000000" w:themeColor="text1"/>
              </w:rPr>
              <w:t>Mlaștni</w:t>
            </w:r>
            <w:r w:rsidRPr="00C56257">
              <w:rPr>
                <w:color w:val="000000" w:themeColor="text1"/>
                <w:spacing w:val="-2"/>
              </w:rPr>
              <w:t xml:space="preserve"> </w:t>
            </w:r>
            <w:r w:rsidRPr="00C56257">
              <w:rPr>
                <w:color w:val="000000" w:themeColor="text1"/>
              </w:rPr>
              <w:t>alcaline</w:t>
            </w:r>
          </w:p>
        </w:tc>
        <w:tc>
          <w:tcPr>
            <w:tcW w:w="708" w:type="dxa"/>
          </w:tcPr>
          <w:p w14:paraId="3001D63A" w14:textId="77777777" w:rsidR="00E13976" w:rsidRPr="00C56257" w:rsidRDefault="00E13976" w:rsidP="008E33FD">
            <w:pPr>
              <w:widowControl w:val="0"/>
              <w:autoSpaceDE w:val="0"/>
              <w:autoSpaceDN w:val="0"/>
              <w:jc w:val="both"/>
              <w:rPr>
                <w:color w:val="000000" w:themeColor="text1"/>
              </w:rPr>
            </w:pPr>
          </w:p>
        </w:tc>
        <w:tc>
          <w:tcPr>
            <w:tcW w:w="709" w:type="dxa"/>
            <w:shd w:val="clear" w:color="auto" w:fill="D9D9D9"/>
          </w:tcPr>
          <w:p w14:paraId="51843221" w14:textId="77777777" w:rsidR="00E13976" w:rsidRPr="00C56257" w:rsidRDefault="00E13976" w:rsidP="008E33FD">
            <w:pPr>
              <w:widowControl w:val="0"/>
              <w:autoSpaceDE w:val="0"/>
              <w:autoSpaceDN w:val="0"/>
              <w:spacing w:before="8"/>
              <w:jc w:val="both"/>
              <w:rPr>
                <w:color w:val="000000" w:themeColor="text1"/>
              </w:rPr>
            </w:pPr>
          </w:p>
          <w:p w14:paraId="57840BA1" w14:textId="77777777" w:rsidR="00E13976" w:rsidRPr="00C56257" w:rsidRDefault="00E13976" w:rsidP="008E33FD">
            <w:pPr>
              <w:widowControl w:val="0"/>
              <w:autoSpaceDE w:val="0"/>
              <w:autoSpaceDN w:val="0"/>
              <w:spacing w:line="234" w:lineRule="exact"/>
              <w:jc w:val="both"/>
              <w:rPr>
                <w:b/>
                <w:color w:val="000000" w:themeColor="text1"/>
              </w:rPr>
            </w:pPr>
            <w:r w:rsidRPr="00C56257">
              <w:rPr>
                <w:b/>
                <w:color w:val="000000" w:themeColor="text1"/>
              </w:rPr>
              <w:t>√</w:t>
            </w:r>
          </w:p>
        </w:tc>
        <w:tc>
          <w:tcPr>
            <w:tcW w:w="711" w:type="dxa"/>
            <w:shd w:val="clear" w:color="auto" w:fill="D9D9D9"/>
          </w:tcPr>
          <w:p w14:paraId="7FBF120D" w14:textId="77777777" w:rsidR="00E13976" w:rsidRPr="00C56257" w:rsidRDefault="00E13976" w:rsidP="008E33FD">
            <w:pPr>
              <w:widowControl w:val="0"/>
              <w:autoSpaceDE w:val="0"/>
              <w:autoSpaceDN w:val="0"/>
              <w:spacing w:before="8"/>
              <w:jc w:val="both"/>
              <w:rPr>
                <w:color w:val="000000" w:themeColor="text1"/>
              </w:rPr>
            </w:pPr>
          </w:p>
          <w:p w14:paraId="60247282" w14:textId="77777777" w:rsidR="00E13976" w:rsidRPr="00C56257" w:rsidRDefault="00E13976" w:rsidP="008E33FD">
            <w:pPr>
              <w:widowControl w:val="0"/>
              <w:autoSpaceDE w:val="0"/>
              <w:autoSpaceDN w:val="0"/>
              <w:spacing w:line="234" w:lineRule="exact"/>
              <w:jc w:val="both"/>
              <w:rPr>
                <w:b/>
                <w:color w:val="000000" w:themeColor="text1"/>
              </w:rPr>
            </w:pPr>
            <w:r w:rsidRPr="00C56257">
              <w:rPr>
                <w:b/>
                <w:color w:val="000000" w:themeColor="text1"/>
              </w:rPr>
              <w:t>√</w:t>
            </w:r>
          </w:p>
        </w:tc>
        <w:tc>
          <w:tcPr>
            <w:tcW w:w="766" w:type="dxa"/>
          </w:tcPr>
          <w:p w14:paraId="7149D3BE" w14:textId="77777777" w:rsidR="00E13976" w:rsidRPr="00C56257" w:rsidRDefault="00E13976" w:rsidP="008E33FD">
            <w:pPr>
              <w:widowControl w:val="0"/>
              <w:autoSpaceDE w:val="0"/>
              <w:autoSpaceDN w:val="0"/>
              <w:jc w:val="both"/>
              <w:rPr>
                <w:color w:val="000000" w:themeColor="text1"/>
              </w:rPr>
            </w:pPr>
          </w:p>
        </w:tc>
        <w:tc>
          <w:tcPr>
            <w:tcW w:w="745" w:type="dxa"/>
          </w:tcPr>
          <w:p w14:paraId="384D1D28" w14:textId="77777777" w:rsidR="00E13976" w:rsidRPr="00C56257" w:rsidRDefault="00E13976" w:rsidP="008E33FD">
            <w:pPr>
              <w:widowControl w:val="0"/>
              <w:autoSpaceDE w:val="0"/>
              <w:autoSpaceDN w:val="0"/>
              <w:jc w:val="both"/>
              <w:rPr>
                <w:color w:val="000000" w:themeColor="text1"/>
              </w:rPr>
            </w:pPr>
          </w:p>
        </w:tc>
      </w:tr>
      <w:tr w:rsidR="00E13976" w:rsidRPr="00C56257" w14:paraId="485B4044" w14:textId="77777777" w:rsidTr="00E13976">
        <w:trPr>
          <w:trHeight w:val="506"/>
        </w:trPr>
        <w:tc>
          <w:tcPr>
            <w:tcW w:w="5907" w:type="dxa"/>
          </w:tcPr>
          <w:p w14:paraId="7F3276A2"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7240*</w:t>
            </w:r>
            <w:r w:rsidRPr="00C56257">
              <w:rPr>
                <w:color w:val="000000" w:themeColor="text1"/>
                <w:spacing w:val="-2"/>
              </w:rPr>
              <w:t xml:space="preserve"> </w:t>
            </w:r>
            <w:r w:rsidRPr="00C56257">
              <w:rPr>
                <w:color w:val="000000" w:themeColor="text1"/>
              </w:rPr>
              <w:t>Formațiuni</w:t>
            </w:r>
            <w:r w:rsidRPr="00C56257">
              <w:rPr>
                <w:color w:val="000000" w:themeColor="text1"/>
                <w:spacing w:val="-3"/>
              </w:rPr>
              <w:t xml:space="preserve"> </w:t>
            </w:r>
            <w:r w:rsidRPr="00C56257">
              <w:rPr>
                <w:color w:val="000000" w:themeColor="text1"/>
              </w:rPr>
              <w:t>pioniere</w:t>
            </w:r>
            <w:r w:rsidRPr="00C56257">
              <w:rPr>
                <w:color w:val="000000" w:themeColor="text1"/>
                <w:spacing w:val="-4"/>
              </w:rPr>
              <w:t xml:space="preserve"> </w:t>
            </w:r>
            <w:r w:rsidRPr="00C56257">
              <w:rPr>
                <w:color w:val="000000" w:themeColor="text1"/>
              </w:rPr>
              <w:t>alpine</w:t>
            </w:r>
            <w:r w:rsidRPr="00C56257">
              <w:rPr>
                <w:color w:val="000000" w:themeColor="text1"/>
                <w:spacing w:val="-1"/>
              </w:rPr>
              <w:t xml:space="preserve"> </w:t>
            </w:r>
            <w:r w:rsidRPr="00C56257">
              <w:rPr>
                <w:color w:val="000000" w:themeColor="text1"/>
              </w:rPr>
              <w:t>cu</w:t>
            </w:r>
            <w:r w:rsidRPr="00C56257">
              <w:rPr>
                <w:color w:val="000000" w:themeColor="text1"/>
                <w:spacing w:val="-1"/>
              </w:rPr>
              <w:t xml:space="preserve"> </w:t>
            </w:r>
            <w:r w:rsidRPr="00C56257">
              <w:rPr>
                <w:color w:val="000000" w:themeColor="text1"/>
              </w:rPr>
              <w:t>Caricion</w:t>
            </w:r>
            <w:r w:rsidRPr="00C56257">
              <w:rPr>
                <w:color w:val="000000" w:themeColor="text1"/>
                <w:spacing w:val="-2"/>
              </w:rPr>
              <w:t xml:space="preserve"> </w:t>
            </w:r>
            <w:r w:rsidRPr="00C56257">
              <w:rPr>
                <w:color w:val="000000" w:themeColor="text1"/>
              </w:rPr>
              <w:t>bicoloris-</w:t>
            </w:r>
          </w:p>
          <w:p w14:paraId="4DFE2834" w14:textId="77777777" w:rsidR="00E13976" w:rsidRPr="00C56257" w:rsidRDefault="00E13976" w:rsidP="008E33FD">
            <w:pPr>
              <w:widowControl w:val="0"/>
              <w:autoSpaceDE w:val="0"/>
              <w:autoSpaceDN w:val="0"/>
              <w:spacing w:before="1" w:line="238" w:lineRule="exact"/>
              <w:jc w:val="both"/>
              <w:rPr>
                <w:color w:val="000000" w:themeColor="text1"/>
              </w:rPr>
            </w:pPr>
            <w:r w:rsidRPr="00C56257">
              <w:rPr>
                <w:color w:val="000000" w:themeColor="text1"/>
              </w:rPr>
              <w:t>atrofuscae</w:t>
            </w:r>
          </w:p>
        </w:tc>
        <w:tc>
          <w:tcPr>
            <w:tcW w:w="708" w:type="dxa"/>
          </w:tcPr>
          <w:p w14:paraId="2A5921F1" w14:textId="77777777" w:rsidR="00E13976" w:rsidRPr="00C56257" w:rsidRDefault="00E13976" w:rsidP="008E33FD">
            <w:pPr>
              <w:widowControl w:val="0"/>
              <w:autoSpaceDE w:val="0"/>
              <w:autoSpaceDN w:val="0"/>
              <w:jc w:val="both"/>
              <w:rPr>
                <w:color w:val="000000" w:themeColor="text1"/>
              </w:rPr>
            </w:pPr>
          </w:p>
        </w:tc>
        <w:tc>
          <w:tcPr>
            <w:tcW w:w="709" w:type="dxa"/>
          </w:tcPr>
          <w:p w14:paraId="3877E63B" w14:textId="77777777" w:rsidR="00E13976" w:rsidRPr="00C56257" w:rsidRDefault="00E13976" w:rsidP="008E33FD">
            <w:pPr>
              <w:widowControl w:val="0"/>
              <w:autoSpaceDE w:val="0"/>
              <w:autoSpaceDN w:val="0"/>
              <w:jc w:val="both"/>
              <w:rPr>
                <w:color w:val="000000" w:themeColor="text1"/>
              </w:rPr>
            </w:pPr>
          </w:p>
        </w:tc>
        <w:tc>
          <w:tcPr>
            <w:tcW w:w="711" w:type="dxa"/>
            <w:shd w:val="clear" w:color="auto" w:fill="D9D9D9"/>
          </w:tcPr>
          <w:p w14:paraId="6AC82A71" w14:textId="77777777" w:rsidR="00E13976" w:rsidRPr="00C56257" w:rsidRDefault="00E13976" w:rsidP="008E33FD">
            <w:pPr>
              <w:widowControl w:val="0"/>
              <w:autoSpaceDE w:val="0"/>
              <w:autoSpaceDN w:val="0"/>
              <w:spacing w:before="4"/>
              <w:jc w:val="both"/>
              <w:rPr>
                <w:color w:val="000000" w:themeColor="text1"/>
              </w:rPr>
            </w:pPr>
          </w:p>
          <w:p w14:paraId="1C11160E" w14:textId="77777777" w:rsidR="00E13976" w:rsidRPr="00C56257" w:rsidRDefault="00E13976" w:rsidP="008E33FD">
            <w:pPr>
              <w:widowControl w:val="0"/>
              <w:autoSpaceDE w:val="0"/>
              <w:autoSpaceDN w:val="0"/>
              <w:spacing w:line="240" w:lineRule="exact"/>
              <w:jc w:val="both"/>
              <w:rPr>
                <w:b/>
                <w:color w:val="000000" w:themeColor="text1"/>
              </w:rPr>
            </w:pPr>
            <w:r w:rsidRPr="00C56257">
              <w:rPr>
                <w:b/>
                <w:color w:val="000000" w:themeColor="text1"/>
              </w:rPr>
              <w:t>√</w:t>
            </w:r>
          </w:p>
        </w:tc>
        <w:tc>
          <w:tcPr>
            <w:tcW w:w="766" w:type="dxa"/>
          </w:tcPr>
          <w:p w14:paraId="5687EB3B" w14:textId="77777777" w:rsidR="00E13976" w:rsidRPr="00C56257" w:rsidRDefault="00E13976" w:rsidP="008E33FD">
            <w:pPr>
              <w:widowControl w:val="0"/>
              <w:autoSpaceDE w:val="0"/>
              <w:autoSpaceDN w:val="0"/>
              <w:jc w:val="both"/>
              <w:rPr>
                <w:color w:val="000000" w:themeColor="text1"/>
              </w:rPr>
            </w:pPr>
          </w:p>
        </w:tc>
        <w:tc>
          <w:tcPr>
            <w:tcW w:w="745" w:type="dxa"/>
          </w:tcPr>
          <w:p w14:paraId="37580F99" w14:textId="77777777" w:rsidR="00E13976" w:rsidRPr="00C56257" w:rsidRDefault="00E13976" w:rsidP="008E33FD">
            <w:pPr>
              <w:widowControl w:val="0"/>
              <w:autoSpaceDE w:val="0"/>
              <w:autoSpaceDN w:val="0"/>
              <w:jc w:val="both"/>
              <w:rPr>
                <w:color w:val="000000" w:themeColor="text1"/>
              </w:rPr>
            </w:pPr>
          </w:p>
        </w:tc>
      </w:tr>
    </w:tbl>
    <w:p w14:paraId="6FBD48D1" w14:textId="77777777" w:rsidR="00E13976" w:rsidRPr="00C56257" w:rsidRDefault="00E13976" w:rsidP="008E33FD">
      <w:pPr>
        <w:widowControl w:val="0"/>
        <w:autoSpaceDE w:val="0"/>
        <w:autoSpaceDN w:val="0"/>
        <w:jc w:val="both"/>
        <w:rPr>
          <w:color w:val="000000" w:themeColor="text1"/>
        </w:rPr>
      </w:pPr>
    </w:p>
    <w:p w14:paraId="4B9F6B24" w14:textId="77777777" w:rsidR="00E13976" w:rsidRPr="00C56257" w:rsidRDefault="00E13976" w:rsidP="008E33FD">
      <w:pPr>
        <w:widowControl w:val="0"/>
        <w:autoSpaceDE w:val="0"/>
        <w:autoSpaceDN w:val="0"/>
        <w:spacing w:before="223"/>
        <w:jc w:val="both"/>
        <w:rPr>
          <w:color w:val="000000" w:themeColor="text1"/>
        </w:rPr>
      </w:pPr>
      <w:r w:rsidRPr="00C56257">
        <w:rPr>
          <w:color w:val="000000" w:themeColor="text1"/>
        </w:rPr>
        <w:t>În</w:t>
      </w:r>
      <w:r w:rsidRPr="00C56257">
        <w:rPr>
          <w:color w:val="000000" w:themeColor="text1"/>
          <w:spacing w:val="-1"/>
        </w:rPr>
        <w:t xml:space="preserve"> </w:t>
      </w:r>
      <w:r w:rsidRPr="00C56257">
        <w:rPr>
          <w:color w:val="000000" w:themeColor="text1"/>
        </w:rPr>
        <w:t>tabelul</w:t>
      </w:r>
      <w:r w:rsidRPr="00C56257">
        <w:rPr>
          <w:color w:val="000000" w:themeColor="text1"/>
          <w:spacing w:val="-1"/>
        </w:rPr>
        <w:t xml:space="preserve"> </w:t>
      </w:r>
      <w:r w:rsidRPr="00C56257">
        <w:rPr>
          <w:color w:val="000000" w:themeColor="text1"/>
        </w:rPr>
        <w:t>de</w:t>
      </w:r>
      <w:r w:rsidRPr="00C56257">
        <w:rPr>
          <w:color w:val="000000" w:themeColor="text1"/>
          <w:spacing w:val="-1"/>
        </w:rPr>
        <w:t xml:space="preserve"> </w:t>
      </w:r>
      <w:r w:rsidRPr="00C56257">
        <w:rPr>
          <w:color w:val="000000" w:themeColor="text1"/>
        </w:rPr>
        <w:t>mai jos</w:t>
      </w:r>
      <w:r w:rsidRPr="00C56257">
        <w:rPr>
          <w:color w:val="000000" w:themeColor="text1"/>
          <w:spacing w:val="-1"/>
        </w:rPr>
        <w:t xml:space="preserve"> </w:t>
      </w:r>
      <w:r w:rsidRPr="00C56257">
        <w:rPr>
          <w:color w:val="000000" w:themeColor="text1"/>
        </w:rPr>
        <w:t>sunt</w:t>
      </w:r>
      <w:r w:rsidRPr="00C56257">
        <w:rPr>
          <w:color w:val="000000" w:themeColor="text1"/>
          <w:spacing w:val="-1"/>
        </w:rPr>
        <w:t xml:space="preserve"> </w:t>
      </w:r>
      <w:r w:rsidRPr="00C56257">
        <w:rPr>
          <w:color w:val="000000" w:themeColor="text1"/>
        </w:rPr>
        <w:t>redate perioadele</w:t>
      </w:r>
      <w:r w:rsidRPr="00C56257">
        <w:rPr>
          <w:color w:val="000000" w:themeColor="text1"/>
          <w:spacing w:val="-2"/>
        </w:rPr>
        <w:t xml:space="preserve"> </w:t>
      </w:r>
      <w:r w:rsidRPr="00C56257">
        <w:rPr>
          <w:color w:val="000000" w:themeColor="text1"/>
        </w:rPr>
        <w:t>optime</w:t>
      </w:r>
      <w:r w:rsidRPr="00C56257">
        <w:rPr>
          <w:color w:val="000000" w:themeColor="text1"/>
          <w:spacing w:val="-1"/>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culegere</w:t>
      </w:r>
      <w:r w:rsidRPr="00C56257">
        <w:rPr>
          <w:color w:val="000000" w:themeColor="text1"/>
          <w:spacing w:val="-3"/>
        </w:rPr>
        <w:t xml:space="preserve"> </w:t>
      </w:r>
      <w:r w:rsidRPr="00C56257">
        <w:rPr>
          <w:color w:val="000000" w:themeColor="text1"/>
        </w:rPr>
        <w:t>a</w:t>
      </w:r>
      <w:r w:rsidRPr="00C56257">
        <w:rPr>
          <w:color w:val="000000" w:themeColor="text1"/>
          <w:spacing w:val="-2"/>
        </w:rPr>
        <w:t xml:space="preserve"> </w:t>
      </w:r>
      <w:r w:rsidRPr="00C56257">
        <w:rPr>
          <w:color w:val="000000" w:themeColor="text1"/>
        </w:rPr>
        <w:t>datelor</w:t>
      </w:r>
      <w:r w:rsidRPr="00C56257">
        <w:rPr>
          <w:color w:val="000000" w:themeColor="text1"/>
          <w:spacing w:val="-2"/>
        </w:rPr>
        <w:t xml:space="preserve"> </w:t>
      </w:r>
      <w:r w:rsidRPr="00C56257">
        <w:rPr>
          <w:color w:val="000000" w:themeColor="text1"/>
        </w:rPr>
        <w:t>în</w:t>
      </w:r>
      <w:r w:rsidRPr="00C56257">
        <w:rPr>
          <w:color w:val="000000" w:themeColor="text1"/>
          <w:spacing w:val="2"/>
        </w:rPr>
        <w:t xml:space="preserve"> </w:t>
      </w:r>
      <w:r w:rsidRPr="00C56257">
        <w:rPr>
          <w:color w:val="000000" w:themeColor="text1"/>
        </w:rPr>
        <w:t>cadrul</w:t>
      </w:r>
      <w:r w:rsidRPr="00C56257">
        <w:rPr>
          <w:color w:val="000000" w:themeColor="text1"/>
          <w:spacing w:val="-1"/>
        </w:rPr>
        <w:t xml:space="preserve"> </w:t>
      </w:r>
      <w:r w:rsidRPr="00C56257">
        <w:rPr>
          <w:color w:val="000000" w:themeColor="text1"/>
        </w:rPr>
        <w:t>habitatelor</w:t>
      </w:r>
      <w:r w:rsidRPr="00C56257">
        <w:rPr>
          <w:color w:val="000000" w:themeColor="text1"/>
          <w:spacing w:val="-1"/>
        </w:rPr>
        <w:t xml:space="preserve"> </w:t>
      </w:r>
      <w:r w:rsidRPr="00C56257">
        <w:rPr>
          <w:color w:val="000000" w:themeColor="text1"/>
        </w:rPr>
        <w:t>țintă</w:t>
      </w:r>
    </w:p>
    <w:p w14:paraId="3DDE2F9A" w14:textId="77777777" w:rsidR="00E13976" w:rsidRPr="00C56257" w:rsidRDefault="00E13976" w:rsidP="008E33FD">
      <w:pPr>
        <w:widowControl w:val="0"/>
        <w:autoSpaceDE w:val="0"/>
        <w:autoSpaceDN w:val="0"/>
        <w:spacing w:before="8"/>
        <w:jc w:val="both"/>
        <w:rPr>
          <w:color w:val="000000" w:themeColor="text1"/>
        </w:rPr>
      </w:pPr>
    </w:p>
    <w:tbl>
      <w:tblPr>
        <w:tblW w:w="0" w:type="auto"/>
        <w:tblInd w:w="5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51"/>
        <w:gridCol w:w="2657"/>
        <w:gridCol w:w="2050"/>
        <w:gridCol w:w="2280"/>
      </w:tblGrid>
      <w:tr w:rsidR="00E13976" w:rsidRPr="00C56257" w14:paraId="00F5E97D" w14:textId="77777777" w:rsidTr="00E13976">
        <w:trPr>
          <w:trHeight w:val="251"/>
        </w:trPr>
        <w:tc>
          <w:tcPr>
            <w:tcW w:w="2151" w:type="dxa"/>
          </w:tcPr>
          <w:p w14:paraId="0FD4F386" w14:textId="77777777" w:rsidR="00E13976" w:rsidRPr="00C56257" w:rsidRDefault="00E13976" w:rsidP="008E33FD">
            <w:pPr>
              <w:widowControl w:val="0"/>
              <w:autoSpaceDE w:val="0"/>
              <w:autoSpaceDN w:val="0"/>
              <w:spacing w:line="232" w:lineRule="exact"/>
              <w:jc w:val="both"/>
              <w:rPr>
                <w:b/>
                <w:color w:val="000000" w:themeColor="text1"/>
              </w:rPr>
            </w:pPr>
            <w:r w:rsidRPr="00C56257">
              <w:rPr>
                <w:b/>
                <w:color w:val="000000" w:themeColor="text1"/>
              </w:rPr>
              <w:t>Tip</w:t>
            </w:r>
            <w:r w:rsidRPr="00C56257">
              <w:rPr>
                <w:b/>
                <w:color w:val="000000" w:themeColor="text1"/>
                <w:spacing w:val="-1"/>
              </w:rPr>
              <w:t xml:space="preserve"> </w:t>
            </w:r>
            <w:r w:rsidRPr="00C56257">
              <w:rPr>
                <w:b/>
                <w:color w:val="000000" w:themeColor="text1"/>
              </w:rPr>
              <w:t>habitat</w:t>
            </w:r>
          </w:p>
        </w:tc>
        <w:tc>
          <w:tcPr>
            <w:tcW w:w="2657" w:type="dxa"/>
          </w:tcPr>
          <w:p w14:paraId="778F2794" w14:textId="77777777" w:rsidR="00E13976" w:rsidRPr="00C56257" w:rsidRDefault="00E13976" w:rsidP="008E33FD">
            <w:pPr>
              <w:widowControl w:val="0"/>
              <w:autoSpaceDE w:val="0"/>
              <w:autoSpaceDN w:val="0"/>
              <w:spacing w:line="232" w:lineRule="exact"/>
              <w:jc w:val="both"/>
              <w:rPr>
                <w:b/>
                <w:color w:val="000000" w:themeColor="text1"/>
              </w:rPr>
            </w:pPr>
            <w:r w:rsidRPr="00C56257">
              <w:rPr>
                <w:b/>
                <w:color w:val="000000" w:themeColor="text1"/>
              </w:rPr>
              <w:t>Tipul</w:t>
            </w:r>
            <w:r w:rsidRPr="00C56257">
              <w:rPr>
                <w:b/>
                <w:color w:val="000000" w:themeColor="text1"/>
                <w:spacing w:val="-1"/>
              </w:rPr>
              <w:t xml:space="preserve"> </w:t>
            </w:r>
            <w:r w:rsidRPr="00C56257">
              <w:rPr>
                <w:b/>
                <w:color w:val="000000" w:themeColor="text1"/>
              </w:rPr>
              <w:t>de</w:t>
            </w:r>
            <w:r w:rsidRPr="00C56257">
              <w:rPr>
                <w:b/>
                <w:color w:val="000000" w:themeColor="text1"/>
                <w:spacing w:val="-4"/>
              </w:rPr>
              <w:t xml:space="preserve"> </w:t>
            </w:r>
            <w:r w:rsidRPr="00C56257">
              <w:rPr>
                <w:b/>
                <w:color w:val="000000" w:themeColor="text1"/>
              </w:rPr>
              <w:t>fitocenoză</w:t>
            </w:r>
          </w:p>
        </w:tc>
        <w:tc>
          <w:tcPr>
            <w:tcW w:w="2050" w:type="dxa"/>
          </w:tcPr>
          <w:p w14:paraId="49EE590B" w14:textId="77777777" w:rsidR="00E13976" w:rsidRPr="00C56257" w:rsidRDefault="00E13976" w:rsidP="008E33FD">
            <w:pPr>
              <w:widowControl w:val="0"/>
              <w:autoSpaceDE w:val="0"/>
              <w:autoSpaceDN w:val="0"/>
              <w:spacing w:line="232" w:lineRule="exact"/>
              <w:ind w:right="162"/>
              <w:jc w:val="both"/>
              <w:rPr>
                <w:b/>
                <w:color w:val="000000" w:themeColor="text1"/>
              </w:rPr>
            </w:pPr>
            <w:r w:rsidRPr="00C56257">
              <w:rPr>
                <w:b/>
                <w:color w:val="000000" w:themeColor="text1"/>
              </w:rPr>
              <w:t>Aspectul</w:t>
            </w:r>
            <w:r w:rsidRPr="00C56257">
              <w:rPr>
                <w:b/>
                <w:color w:val="000000" w:themeColor="text1"/>
                <w:spacing w:val="-1"/>
              </w:rPr>
              <w:t xml:space="preserve"> </w:t>
            </w:r>
            <w:r w:rsidRPr="00C56257">
              <w:rPr>
                <w:b/>
                <w:color w:val="000000" w:themeColor="text1"/>
              </w:rPr>
              <w:t>surprins</w:t>
            </w:r>
          </w:p>
        </w:tc>
        <w:tc>
          <w:tcPr>
            <w:tcW w:w="2280" w:type="dxa"/>
          </w:tcPr>
          <w:p w14:paraId="57DAD3A3" w14:textId="77777777" w:rsidR="00E13976" w:rsidRPr="00C56257" w:rsidRDefault="00E13976" w:rsidP="008E33FD">
            <w:pPr>
              <w:widowControl w:val="0"/>
              <w:autoSpaceDE w:val="0"/>
              <w:autoSpaceDN w:val="0"/>
              <w:spacing w:line="232" w:lineRule="exact"/>
              <w:ind w:right="329"/>
              <w:jc w:val="both"/>
              <w:rPr>
                <w:b/>
                <w:color w:val="000000" w:themeColor="text1"/>
              </w:rPr>
            </w:pPr>
            <w:r w:rsidRPr="00C56257">
              <w:rPr>
                <w:b/>
                <w:color w:val="000000" w:themeColor="text1"/>
              </w:rPr>
              <w:t>Perioada</w:t>
            </w:r>
            <w:r w:rsidRPr="00C56257">
              <w:rPr>
                <w:b/>
                <w:color w:val="000000" w:themeColor="text1"/>
                <w:spacing w:val="-1"/>
              </w:rPr>
              <w:t xml:space="preserve"> </w:t>
            </w:r>
            <w:r w:rsidRPr="00C56257">
              <w:rPr>
                <w:b/>
                <w:color w:val="000000" w:themeColor="text1"/>
              </w:rPr>
              <w:t>optimă</w:t>
            </w:r>
          </w:p>
        </w:tc>
      </w:tr>
      <w:tr w:rsidR="00E13976" w:rsidRPr="00C56257" w14:paraId="4D5D61D6" w14:textId="77777777" w:rsidTr="00E13976">
        <w:trPr>
          <w:trHeight w:val="254"/>
        </w:trPr>
        <w:tc>
          <w:tcPr>
            <w:tcW w:w="2151" w:type="dxa"/>
            <w:vMerge w:val="restart"/>
          </w:tcPr>
          <w:p w14:paraId="750B08A5" w14:textId="77777777" w:rsidR="00E13976" w:rsidRPr="00C56257" w:rsidRDefault="00E13976" w:rsidP="008E33FD">
            <w:pPr>
              <w:widowControl w:val="0"/>
              <w:autoSpaceDE w:val="0"/>
              <w:autoSpaceDN w:val="0"/>
              <w:spacing w:before="3" w:line="252" w:lineRule="exact"/>
              <w:ind w:right="302"/>
              <w:jc w:val="both"/>
              <w:rPr>
                <w:b/>
                <w:color w:val="000000" w:themeColor="text1"/>
              </w:rPr>
            </w:pPr>
            <w:r w:rsidRPr="00C56257">
              <w:rPr>
                <w:b/>
                <w:color w:val="000000" w:themeColor="text1"/>
              </w:rPr>
              <w:t>HABITATE DE</w:t>
            </w:r>
            <w:r w:rsidRPr="00C56257">
              <w:rPr>
                <w:b/>
                <w:color w:val="000000" w:themeColor="text1"/>
                <w:spacing w:val="-53"/>
              </w:rPr>
              <w:t xml:space="preserve"> </w:t>
            </w:r>
            <w:r w:rsidRPr="00C56257">
              <w:rPr>
                <w:b/>
                <w:color w:val="000000" w:themeColor="text1"/>
              </w:rPr>
              <w:t>MLAȘTINI ȘI</w:t>
            </w:r>
            <w:r w:rsidRPr="00C56257">
              <w:rPr>
                <w:b/>
                <w:color w:val="000000" w:themeColor="text1"/>
                <w:spacing w:val="1"/>
              </w:rPr>
              <w:t xml:space="preserve"> </w:t>
            </w:r>
            <w:r w:rsidRPr="00C56257">
              <w:rPr>
                <w:b/>
                <w:color w:val="000000" w:themeColor="text1"/>
              </w:rPr>
              <w:t>TURBĂRII</w:t>
            </w:r>
          </w:p>
        </w:tc>
        <w:tc>
          <w:tcPr>
            <w:tcW w:w="2657" w:type="dxa"/>
            <w:vMerge w:val="restart"/>
          </w:tcPr>
          <w:p w14:paraId="43579089" w14:textId="77777777" w:rsidR="00E13976" w:rsidRPr="00C56257" w:rsidRDefault="00E13976" w:rsidP="008E33FD">
            <w:pPr>
              <w:widowControl w:val="0"/>
              <w:autoSpaceDE w:val="0"/>
              <w:autoSpaceDN w:val="0"/>
              <w:spacing w:before="130"/>
              <w:ind w:right="1441"/>
              <w:jc w:val="both"/>
              <w:rPr>
                <w:color w:val="000000" w:themeColor="text1"/>
              </w:rPr>
            </w:pPr>
            <w:r w:rsidRPr="00C56257">
              <w:rPr>
                <w:color w:val="000000" w:themeColor="text1"/>
              </w:rPr>
              <w:t>alpine</w:t>
            </w:r>
            <w:r w:rsidRPr="00C56257">
              <w:rPr>
                <w:color w:val="000000" w:themeColor="text1"/>
                <w:spacing w:val="1"/>
              </w:rPr>
              <w:t xml:space="preserve"> </w:t>
            </w:r>
            <w:r w:rsidRPr="00C56257">
              <w:rPr>
                <w:color w:val="000000" w:themeColor="text1"/>
              </w:rPr>
              <w:t>continentale</w:t>
            </w:r>
          </w:p>
        </w:tc>
        <w:tc>
          <w:tcPr>
            <w:tcW w:w="2050" w:type="dxa"/>
          </w:tcPr>
          <w:p w14:paraId="1150C10C" w14:textId="77777777" w:rsidR="00E13976" w:rsidRPr="00C56257" w:rsidRDefault="00E13976" w:rsidP="008E33FD">
            <w:pPr>
              <w:widowControl w:val="0"/>
              <w:autoSpaceDE w:val="0"/>
              <w:autoSpaceDN w:val="0"/>
              <w:spacing w:line="234" w:lineRule="exact"/>
              <w:ind w:right="162"/>
              <w:jc w:val="both"/>
              <w:rPr>
                <w:color w:val="000000" w:themeColor="text1"/>
              </w:rPr>
            </w:pPr>
            <w:r w:rsidRPr="00C56257">
              <w:rPr>
                <w:color w:val="000000" w:themeColor="text1"/>
              </w:rPr>
              <w:t>Vernal</w:t>
            </w:r>
          </w:p>
        </w:tc>
        <w:tc>
          <w:tcPr>
            <w:tcW w:w="2280" w:type="dxa"/>
          </w:tcPr>
          <w:p w14:paraId="620AA4B3" w14:textId="77777777" w:rsidR="00E13976" w:rsidRPr="00C56257" w:rsidRDefault="00E13976" w:rsidP="008E33FD">
            <w:pPr>
              <w:widowControl w:val="0"/>
              <w:autoSpaceDE w:val="0"/>
              <w:autoSpaceDN w:val="0"/>
              <w:spacing w:line="234" w:lineRule="exact"/>
              <w:ind w:right="329"/>
              <w:jc w:val="both"/>
              <w:rPr>
                <w:color w:val="000000" w:themeColor="text1"/>
              </w:rPr>
            </w:pPr>
            <w:r w:rsidRPr="00C56257">
              <w:rPr>
                <w:color w:val="000000" w:themeColor="text1"/>
              </w:rPr>
              <w:t>III-IV</w:t>
            </w:r>
          </w:p>
        </w:tc>
      </w:tr>
      <w:tr w:rsidR="00E13976" w:rsidRPr="00C56257" w14:paraId="5CFB095C" w14:textId="77777777" w:rsidTr="00E13976">
        <w:trPr>
          <w:trHeight w:val="251"/>
        </w:trPr>
        <w:tc>
          <w:tcPr>
            <w:tcW w:w="2151" w:type="dxa"/>
            <w:vMerge/>
            <w:tcBorders>
              <w:top w:val="nil"/>
            </w:tcBorders>
          </w:tcPr>
          <w:p w14:paraId="127F1D6C" w14:textId="77777777" w:rsidR="00E13976" w:rsidRPr="00C56257" w:rsidRDefault="00E13976" w:rsidP="008E33FD">
            <w:pPr>
              <w:widowControl w:val="0"/>
              <w:autoSpaceDE w:val="0"/>
              <w:autoSpaceDN w:val="0"/>
              <w:jc w:val="both"/>
              <w:rPr>
                <w:color w:val="000000" w:themeColor="text1"/>
              </w:rPr>
            </w:pPr>
          </w:p>
        </w:tc>
        <w:tc>
          <w:tcPr>
            <w:tcW w:w="2657" w:type="dxa"/>
            <w:vMerge/>
            <w:tcBorders>
              <w:top w:val="nil"/>
            </w:tcBorders>
          </w:tcPr>
          <w:p w14:paraId="31986112" w14:textId="77777777" w:rsidR="00E13976" w:rsidRPr="00C56257" w:rsidRDefault="00E13976" w:rsidP="008E33FD">
            <w:pPr>
              <w:widowControl w:val="0"/>
              <w:autoSpaceDE w:val="0"/>
              <w:autoSpaceDN w:val="0"/>
              <w:jc w:val="both"/>
              <w:rPr>
                <w:color w:val="000000" w:themeColor="text1"/>
              </w:rPr>
            </w:pPr>
          </w:p>
        </w:tc>
        <w:tc>
          <w:tcPr>
            <w:tcW w:w="2050" w:type="dxa"/>
          </w:tcPr>
          <w:p w14:paraId="3DD0C927" w14:textId="77777777" w:rsidR="00E13976" w:rsidRPr="00C56257" w:rsidRDefault="00E13976" w:rsidP="008E33FD">
            <w:pPr>
              <w:widowControl w:val="0"/>
              <w:autoSpaceDE w:val="0"/>
              <w:autoSpaceDN w:val="0"/>
              <w:spacing w:line="232" w:lineRule="exact"/>
              <w:ind w:right="162"/>
              <w:jc w:val="both"/>
              <w:rPr>
                <w:color w:val="000000" w:themeColor="text1"/>
              </w:rPr>
            </w:pPr>
            <w:r w:rsidRPr="00C56257">
              <w:rPr>
                <w:color w:val="000000" w:themeColor="text1"/>
              </w:rPr>
              <w:t>Estival</w:t>
            </w:r>
          </w:p>
        </w:tc>
        <w:tc>
          <w:tcPr>
            <w:tcW w:w="2280" w:type="dxa"/>
          </w:tcPr>
          <w:p w14:paraId="0DC1C04D" w14:textId="77777777" w:rsidR="00E13976" w:rsidRPr="00C56257" w:rsidRDefault="00E13976" w:rsidP="008E33FD">
            <w:pPr>
              <w:widowControl w:val="0"/>
              <w:autoSpaceDE w:val="0"/>
              <w:autoSpaceDN w:val="0"/>
              <w:spacing w:line="232" w:lineRule="exact"/>
              <w:ind w:right="329"/>
              <w:jc w:val="both"/>
              <w:rPr>
                <w:color w:val="000000" w:themeColor="text1"/>
              </w:rPr>
            </w:pPr>
            <w:r w:rsidRPr="00C56257">
              <w:rPr>
                <w:color w:val="000000" w:themeColor="text1"/>
              </w:rPr>
              <w:t>V-VIII</w:t>
            </w:r>
          </w:p>
        </w:tc>
      </w:tr>
      <w:tr w:rsidR="00E13976" w:rsidRPr="00C56257" w14:paraId="32897A77" w14:textId="77777777" w:rsidTr="00E13976">
        <w:trPr>
          <w:trHeight w:val="254"/>
        </w:trPr>
        <w:tc>
          <w:tcPr>
            <w:tcW w:w="2151" w:type="dxa"/>
            <w:vMerge/>
            <w:tcBorders>
              <w:top w:val="nil"/>
            </w:tcBorders>
          </w:tcPr>
          <w:p w14:paraId="25A301E3" w14:textId="77777777" w:rsidR="00E13976" w:rsidRPr="00C56257" w:rsidRDefault="00E13976" w:rsidP="008E33FD">
            <w:pPr>
              <w:widowControl w:val="0"/>
              <w:autoSpaceDE w:val="0"/>
              <w:autoSpaceDN w:val="0"/>
              <w:jc w:val="both"/>
              <w:rPr>
                <w:color w:val="000000" w:themeColor="text1"/>
              </w:rPr>
            </w:pPr>
          </w:p>
        </w:tc>
        <w:tc>
          <w:tcPr>
            <w:tcW w:w="2657" w:type="dxa"/>
            <w:vMerge/>
            <w:tcBorders>
              <w:top w:val="nil"/>
            </w:tcBorders>
          </w:tcPr>
          <w:p w14:paraId="798C37C7" w14:textId="77777777" w:rsidR="00E13976" w:rsidRPr="00C56257" w:rsidRDefault="00E13976" w:rsidP="008E33FD">
            <w:pPr>
              <w:widowControl w:val="0"/>
              <w:autoSpaceDE w:val="0"/>
              <w:autoSpaceDN w:val="0"/>
              <w:jc w:val="both"/>
              <w:rPr>
                <w:color w:val="000000" w:themeColor="text1"/>
              </w:rPr>
            </w:pPr>
          </w:p>
        </w:tc>
        <w:tc>
          <w:tcPr>
            <w:tcW w:w="2050" w:type="dxa"/>
          </w:tcPr>
          <w:p w14:paraId="1344D717" w14:textId="77777777" w:rsidR="00E13976" w:rsidRPr="00C56257" w:rsidRDefault="00E13976" w:rsidP="008E33FD">
            <w:pPr>
              <w:widowControl w:val="0"/>
              <w:autoSpaceDE w:val="0"/>
              <w:autoSpaceDN w:val="0"/>
              <w:spacing w:line="234" w:lineRule="exact"/>
              <w:ind w:right="162"/>
              <w:jc w:val="both"/>
              <w:rPr>
                <w:color w:val="000000" w:themeColor="text1"/>
              </w:rPr>
            </w:pPr>
            <w:r w:rsidRPr="00C56257">
              <w:rPr>
                <w:color w:val="000000" w:themeColor="text1"/>
              </w:rPr>
              <w:t>Autumnal</w:t>
            </w:r>
          </w:p>
        </w:tc>
        <w:tc>
          <w:tcPr>
            <w:tcW w:w="2280" w:type="dxa"/>
          </w:tcPr>
          <w:p w14:paraId="52FC4254" w14:textId="77777777" w:rsidR="00E13976" w:rsidRPr="00C56257" w:rsidRDefault="00E13976" w:rsidP="008E33FD">
            <w:pPr>
              <w:widowControl w:val="0"/>
              <w:autoSpaceDE w:val="0"/>
              <w:autoSpaceDN w:val="0"/>
              <w:spacing w:line="234" w:lineRule="exact"/>
              <w:ind w:right="323"/>
              <w:jc w:val="both"/>
              <w:rPr>
                <w:color w:val="000000" w:themeColor="text1"/>
              </w:rPr>
            </w:pPr>
            <w:r w:rsidRPr="00C56257">
              <w:rPr>
                <w:color w:val="000000" w:themeColor="text1"/>
              </w:rPr>
              <w:t>IX-XI</w:t>
            </w:r>
          </w:p>
        </w:tc>
      </w:tr>
    </w:tbl>
    <w:p w14:paraId="5F2BFAEC" w14:textId="77777777" w:rsidR="00E13976" w:rsidRPr="00C56257" w:rsidRDefault="00E13976" w:rsidP="008E33FD">
      <w:pPr>
        <w:widowControl w:val="0"/>
        <w:autoSpaceDE w:val="0"/>
        <w:autoSpaceDN w:val="0"/>
        <w:jc w:val="both"/>
        <w:rPr>
          <w:color w:val="000000" w:themeColor="text1"/>
        </w:rPr>
      </w:pPr>
    </w:p>
    <w:p w14:paraId="35462BD1" w14:textId="77777777" w:rsidR="00E13976" w:rsidRPr="00C56257" w:rsidRDefault="00E13976" w:rsidP="008E33FD">
      <w:pPr>
        <w:widowControl w:val="0"/>
        <w:tabs>
          <w:tab w:val="left" w:pos="1115"/>
        </w:tabs>
        <w:autoSpaceDE w:val="0"/>
        <w:autoSpaceDN w:val="0"/>
        <w:spacing w:before="1"/>
        <w:jc w:val="both"/>
        <w:outlineLvl w:val="1"/>
        <w:rPr>
          <w:rFonts w:eastAsia="Cambria"/>
          <w:b/>
          <w:bCs/>
          <w:color w:val="000000" w:themeColor="text1"/>
        </w:rPr>
      </w:pPr>
      <w:r w:rsidRPr="00C56257">
        <w:rPr>
          <w:rFonts w:eastAsia="Cambria"/>
          <w:b/>
          <w:bCs/>
          <w:color w:val="000000" w:themeColor="text1"/>
        </w:rPr>
        <w:t>Utilizarea</w:t>
      </w:r>
      <w:r w:rsidRPr="00C56257">
        <w:rPr>
          <w:rFonts w:eastAsia="Cambria"/>
          <w:b/>
          <w:bCs/>
          <w:color w:val="000000" w:themeColor="text1"/>
          <w:spacing w:val="-6"/>
        </w:rPr>
        <w:t xml:space="preserve"> </w:t>
      </w:r>
      <w:r w:rsidRPr="00C56257">
        <w:rPr>
          <w:rFonts w:eastAsia="Cambria"/>
          <w:b/>
          <w:bCs/>
          <w:color w:val="000000" w:themeColor="text1"/>
        </w:rPr>
        <w:t>hărților</w:t>
      </w:r>
    </w:p>
    <w:p w14:paraId="600BC2F8" w14:textId="77777777" w:rsidR="00E13976" w:rsidRPr="00C56257" w:rsidRDefault="00E13976" w:rsidP="008E33FD">
      <w:pPr>
        <w:widowControl w:val="0"/>
        <w:autoSpaceDE w:val="0"/>
        <w:autoSpaceDN w:val="0"/>
        <w:spacing w:before="157"/>
        <w:ind w:right="255"/>
        <w:jc w:val="both"/>
        <w:rPr>
          <w:color w:val="000000" w:themeColor="text1"/>
        </w:rPr>
      </w:pPr>
      <w:r w:rsidRPr="00C56257">
        <w:rPr>
          <w:color w:val="000000" w:themeColor="text1"/>
        </w:rPr>
        <w:t>Obiectivele specifice propuse în cadrul programului de monitorizare nu pot fi atinse fără o alegere</w:t>
      </w:r>
      <w:r w:rsidRPr="00C56257">
        <w:rPr>
          <w:color w:val="000000" w:themeColor="text1"/>
          <w:spacing w:val="1"/>
        </w:rPr>
        <w:t xml:space="preserve"> </w:t>
      </w:r>
      <w:r w:rsidRPr="00C56257">
        <w:rPr>
          <w:color w:val="000000" w:themeColor="text1"/>
        </w:rPr>
        <w:lastRenderedPageBreak/>
        <w:t>riguroasă a atributelor care trebuie măsurate, a tipului de date colectate şi a metodelor utilizate</w:t>
      </w:r>
      <w:r w:rsidRPr="00C56257">
        <w:rPr>
          <w:color w:val="000000" w:themeColor="text1"/>
          <w:spacing w:val="1"/>
        </w:rPr>
        <w:t xml:space="preserve"> </w:t>
      </w:r>
      <w:r w:rsidRPr="00C56257">
        <w:rPr>
          <w:color w:val="000000" w:themeColor="text1"/>
        </w:rPr>
        <w:t>pentru colectarea acestora. Alegerea variabilelor care vor fi monitorizate şi a metodelor de lucru se</w:t>
      </w:r>
      <w:r w:rsidRPr="00C56257">
        <w:rPr>
          <w:color w:val="000000" w:themeColor="text1"/>
          <w:spacing w:val="1"/>
        </w:rPr>
        <w:t xml:space="preserve"> </w:t>
      </w:r>
      <w:r w:rsidRPr="00C56257">
        <w:rPr>
          <w:color w:val="000000" w:themeColor="text1"/>
        </w:rPr>
        <w:t>va face în același timp cu definirea obiectivelor principale ale ghidului sintetic, cele două procese</w:t>
      </w:r>
      <w:r w:rsidRPr="00C56257">
        <w:rPr>
          <w:color w:val="000000" w:themeColor="text1"/>
          <w:spacing w:val="1"/>
        </w:rPr>
        <w:t xml:space="preserve"> </w:t>
      </w:r>
      <w:r w:rsidRPr="00C56257">
        <w:rPr>
          <w:color w:val="000000" w:themeColor="text1"/>
        </w:rPr>
        <w:t>fiind</w:t>
      </w:r>
      <w:r w:rsidRPr="00C56257">
        <w:rPr>
          <w:color w:val="000000" w:themeColor="text1"/>
          <w:spacing w:val="-1"/>
        </w:rPr>
        <w:t xml:space="preserve"> </w:t>
      </w:r>
      <w:r w:rsidRPr="00C56257">
        <w:rPr>
          <w:color w:val="000000" w:themeColor="text1"/>
        </w:rPr>
        <w:t>strâns corelate</w:t>
      </w:r>
      <w:r w:rsidRPr="00C56257">
        <w:rPr>
          <w:color w:val="000000" w:themeColor="text1"/>
          <w:spacing w:val="-1"/>
        </w:rPr>
        <w:t xml:space="preserve"> </w:t>
      </w:r>
      <w:r w:rsidRPr="00C56257">
        <w:rPr>
          <w:color w:val="000000" w:themeColor="text1"/>
        </w:rPr>
        <w:t>între ele.</w:t>
      </w:r>
    </w:p>
    <w:p w14:paraId="3E43A053" w14:textId="77777777" w:rsidR="00695452" w:rsidRDefault="00E13976" w:rsidP="008E33FD">
      <w:pPr>
        <w:widowControl w:val="0"/>
        <w:autoSpaceDE w:val="0"/>
        <w:autoSpaceDN w:val="0"/>
        <w:jc w:val="both"/>
        <w:rPr>
          <w:i/>
          <w:color w:val="000000" w:themeColor="text1"/>
        </w:rPr>
      </w:pPr>
      <w:r w:rsidRPr="00C56257">
        <w:rPr>
          <w:color w:val="000000" w:themeColor="text1"/>
        </w:rPr>
        <w:t>Exemplu:</w:t>
      </w:r>
      <w:r w:rsidRPr="00C56257">
        <w:rPr>
          <w:color w:val="000000" w:themeColor="text1"/>
          <w:spacing w:val="-2"/>
        </w:rPr>
        <w:t xml:space="preserve"> </w:t>
      </w:r>
      <w:r w:rsidRPr="00C56257">
        <w:rPr>
          <w:color w:val="000000" w:themeColor="text1"/>
        </w:rPr>
        <w:t>Harta</w:t>
      </w:r>
      <w:r w:rsidRPr="00C56257">
        <w:rPr>
          <w:color w:val="000000" w:themeColor="text1"/>
          <w:spacing w:val="-3"/>
        </w:rPr>
        <w:t xml:space="preserve"> </w:t>
      </w:r>
      <w:r w:rsidRPr="00C56257">
        <w:rPr>
          <w:color w:val="000000" w:themeColor="text1"/>
        </w:rPr>
        <w:t>de</w:t>
      </w:r>
      <w:r w:rsidRPr="00C56257">
        <w:rPr>
          <w:color w:val="000000" w:themeColor="text1"/>
          <w:spacing w:val="-3"/>
        </w:rPr>
        <w:t xml:space="preserve"> </w:t>
      </w:r>
      <w:r w:rsidRPr="00C56257">
        <w:rPr>
          <w:color w:val="000000" w:themeColor="text1"/>
        </w:rPr>
        <w:t>distribuție</w:t>
      </w:r>
      <w:r w:rsidRPr="00C56257">
        <w:rPr>
          <w:color w:val="000000" w:themeColor="text1"/>
          <w:spacing w:val="-2"/>
        </w:rPr>
        <w:t xml:space="preserve"> </w:t>
      </w:r>
      <w:r w:rsidRPr="00C56257">
        <w:rPr>
          <w:color w:val="000000" w:themeColor="text1"/>
        </w:rPr>
        <w:t>pentru</w:t>
      </w:r>
      <w:r w:rsidRPr="00C56257">
        <w:rPr>
          <w:color w:val="000000" w:themeColor="text1"/>
          <w:spacing w:val="-1"/>
        </w:rPr>
        <w:t xml:space="preserve"> </w:t>
      </w:r>
      <w:r w:rsidRPr="00C56257">
        <w:rPr>
          <w:color w:val="000000" w:themeColor="text1"/>
        </w:rPr>
        <w:t>habitatul</w:t>
      </w:r>
      <w:r w:rsidRPr="00C56257">
        <w:rPr>
          <w:color w:val="000000" w:themeColor="text1"/>
          <w:spacing w:val="-2"/>
        </w:rPr>
        <w:t xml:space="preserve"> </w:t>
      </w:r>
      <w:r w:rsidRPr="00C56257">
        <w:rPr>
          <w:color w:val="000000" w:themeColor="text1"/>
        </w:rPr>
        <w:t>de</w:t>
      </w:r>
      <w:r w:rsidRPr="00C56257">
        <w:rPr>
          <w:color w:val="000000" w:themeColor="text1"/>
          <w:spacing w:val="3"/>
        </w:rPr>
        <w:t xml:space="preserve"> </w:t>
      </w:r>
      <w:r w:rsidRPr="00C56257">
        <w:rPr>
          <w:color w:val="000000" w:themeColor="text1"/>
        </w:rPr>
        <w:t>mlaștini</w:t>
      </w:r>
      <w:r w:rsidRPr="00C56257">
        <w:rPr>
          <w:color w:val="000000" w:themeColor="text1"/>
          <w:spacing w:val="-1"/>
        </w:rPr>
        <w:t xml:space="preserve"> </w:t>
      </w:r>
      <w:r w:rsidRPr="00C56257">
        <w:rPr>
          <w:color w:val="000000" w:themeColor="text1"/>
        </w:rPr>
        <w:t>și</w:t>
      </w:r>
      <w:r w:rsidRPr="00C56257">
        <w:rPr>
          <w:color w:val="000000" w:themeColor="text1"/>
          <w:spacing w:val="-2"/>
        </w:rPr>
        <w:t xml:space="preserve"> </w:t>
      </w:r>
      <w:r w:rsidRPr="00C56257">
        <w:rPr>
          <w:color w:val="000000" w:themeColor="text1"/>
        </w:rPr>
        <w:t xml:space="preserve">turbării </w:t>
      </w:r>
      <w:r w:rsidRPr="00C56257">
        <w:rPr>
          <w:i/>
          <w:color w:val="000000" w:themeColor="text1"/>
        </w:rPr>
        <w:t>7110*</w:t>
      </w:r>
      <w:r w:rsidRPr="00C56257">
        <w:rPr>
          <w:i/>
          <w:color w:val="000000" w:themeColor="text1"/>
          <w:spacing w:val="-4"/>
        </w:rPr>
        <w:t xml:space="preserve"> </w:t>
      </w:r>
      <w:r w:rsidRPr="00C56257">
        <w:rPr>
          <w:i/>
          <w:color w:val="000000" w:themeColor="text1"/>
        </w:rPr>
        <w:t>Turbării</w:t>
      </w:r>
      <w:r w:rsidRPr="00C56257">
        <w:rPr>
          <w:i/>
          <w:color w:val="000000" w:themeColor="text1"/>
          <w:spacing w:val="-4"/>
        </w:rPr>
        <w:t xml:space="preserve"> </w:t>
      </w:r>
      <w:r w:rsidRPr="00C56257">
        <w:rPr>
          <w:i/>
          <w:color w:val="000000" w:themeColor="text1"/>
        </w:rPr>
        <w:t>active</w:t>
      </w:r>
    </w:p>
    <w:p w14:paraId="436A7023" w14:textId="77777777" w:rsidR="00695452" w:rsidRDefault="00695452" w:rsidP="008E33FD">
      <w:pPr>
        <w:widowControl w:val="0"/>
        <w:autoSpaceDE w:val="0"/>
        <w:autoSpaceDN w:val="0"/>
        <w:jc w:val="both"/>
        <w:rPr>
          <w:i/>
          <w:color w:val="000000" w:themeColor="text1"/>
        </w:rPr>
      </w:pPr>
    </w:p>
    <w:p w14:paraId="655CBC57" w14:textId="77777777" w:rsidR="00E13976" w:rsidRPr="00C56257" w:rsidRDefault="00E13976" w:rsidP="008E33FD">
      <w:pPr>
        <w:widowControl w:val="0"/>
        <w:autoSpaceDE w:val="0"/>
        <w:autoSpaceDN w:val="0"/>
        <w:jc w:val="both"/>
        <w:rPr>
          <w:color w:val="000000" w:themeColor="text1"/>
        </w:rPr>
      </w:pPr>
      <w:r w:rsidRPr="00C56257">
        <w:rPr>
          <w:noProof/>
          <w:color w:val="000000" w:themeColor="text1"/>
          <w:lang w:val="en-US"/>
        </w:rPr>
        <w:drawing>
          <wp:inline distT="0" distB="0" distL="0" distR="0" wp14:anchorId="6AF181A9" wp14:editId="4E0814DF">
            <wp:extent cx="5789067" cy="3643312"/>
            <wp:effectExtent l="0" t="0" r="0" b="0"/>
            <wp:docPr id="37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0.jpeg"/>
                    <pic:cNvPicPr/>
                  </pic:nvPicPr>
                  <pic:blipFill>
                    <a:blip r:embed="rId71" cstate="print"/>
                    <a:stretch>
                      <a:fillRect/>
                    </a:stretch>
                  </pic:blipFill>
                  <pic:spPr>
                    <a:xfrm>
                      <a:off x="0" y="0"/>
                      <a:ext cx="5789067" cy="3643312"/>
                    </a:xfrm>
                    <a:prstGeom prst="rect">
                      <a:avLst/>
                    </a:prstGeom>
                  </pic:spPr>
                </pic:pic>
              </a:graphicData>
            </a:graphic>
          </wp:inline>
        </w:drawing>
      </w:r>
    </w:p>
    <w:p w14:paraId="31B23657" w14:textId="77777777" w:rsidR="00E13976" w:rsidRPr="00C56257" w:rsidRDefault="00E13976" w:rsidP="008E33FD">
      <w:pPr>
        <w:widowControl w:val="0"/>
        <w:autoSpaceDE w:val="0"/>
        <w:autoSpaceDN w:val="0"/>
        <w:spacing w:before="9"/>
        <w:jc w:val="both"/>
        <w:rPr>
          <w:i/>
          <w:color w:val="000000" w:themeColor="text1"/>
        </w:rPr>
      </w:pPr>
    </w:p>
    <w:p w14:paraId="1CDB6E31" w14:textId="77777777" w:rsidR="00E13976" w:rsidRPr="00C54A03" w:rsidRDefault="00E13976" w:rsidP="008E33FD">
      <w:pPr>
        <w:widowControl w:val="0"/>
        <w:autoSpaceDE w:val="0"/>
        <w:autoSpaceDN w:val="0"/>
        <w:spacing w:before="90"/>
        <w:ind w:right="251"/>
        <w:jc w:val="both"/>
        <w:rPr>
          <w:color w:val="000000" w:themeColor="text1"/>
        </w:rPr>
      </w:pPr>
      <w:r w:rsidRPr="00C54A03">
        <w:rPr>
          <w:color w:val="000000" w:themeColor="text1"/>
        </w:rPr>
        <w:t>Pentru fiecare obiectiv principal propus, la nivelul fiecărui habitat țintă, se vor identifica acele</w:t>
      </w:r>
      <w:r w:rsidRPr="00C54A03">
        <w:rPr>
          <w:color w:val="000000" w:themeColor="text1"/>
          <w:spacing w:val="1"/>
        </w:rPr>
        <w:t xml:space="preserve"> </w:t>
      </w:r>
      <w:r w:rsidRPr="00C54A03">
        <w:rPr>
          <w:color w:val="000000" w:themeColor="text1"/>
        </w:rPr>
        <w:t>caracteristici</w:t>
      </w:r>
      <w:r w:rsidRPr="00C54A03">
        <w:rPr>
          <w:color w:val="000000" w:themeColor="text1"/>
          <w:spacing w:val="1"/>
        </w:rPr>
        <w:t xml:space="preserve"> </w:t>
      </w:r>
      <w:r w:rsidRPr="00C54A03">
        <w:rPr>
          <w:color w:val="000000" w:themeColor="text1"/>
        </w:rPr>
        <w:t>(atribute)</w:t>
      </w:r>
      <w:r w:rsidRPr="00C54A03">
        <w:rPr>
          <w:color w:val="000000" w:themeColor="text1"/>
          <w:spacing w:val="1"/>
        </w:rPr>
        <w:t xml:space="preserve"> </w:t>
      </w:r>
      <w:r w:rsidRPr="00C54A03">
        <w:rPr>
          <w:color w:val="000000" w:themeColor="text1"/>
        </w:rPr>
        <w:t>ale</w:t>
      </w:r>
      <w:r w:rsidRPr="00C54A03">
        <w:rPr>
          <w:color w:val="000000" w:themeColor="text1"/>
          <w:spacing w:val="1"/>
        </w:rPr>
        <w:t xml:space="preserve"> </w:t>
      </w:r>
      <w:r w:rsidRPr="00C54A03">
        <w:rPr>
          <w:color w:val="000000" w:themeColor="text1"/>
        </w:rPr>
        <w:t>habitatului</w:t>
      </w:r>
      <w:r w:rsidRPr="00C54A03">
        <w:rPr>
          <w:color w:val="000000" w:themeColor="text1"/>
          <w:spacing w:val="1"/>
        </w:rPr>
        <w:t xml:space="preserve"> </w:t>
      </w:r>
      <w:r w:rsidRPr="00C54A03">
        <w:rPr>
          <w:color w:val="000000" w:themeColor="text1"/>
        </w:rPr>
        <w:t>care</w:t>
      </w:r>
      <w:r w:rsidRPr="00C54A03">
        <w:rPr>
          <w:color w:val="000000" w:themeColor="text1"/>
          <w:spacing w:val="1"/>
        </w:rPr>
        <w:t xml:space="preserve"> </w:t>
      </w:r>
      <w:r w:rsidRPr="00C54A03">
        <w:rPr>
          <w:color w:val="000000" w:themeColor="text1"/>
        </w:rPr>
        <w:t>reflectă</w:t>
      </w:r>
      <w:r w:rsidRPr="00C54A03">
        <w:rPr>
          <w:color w:val="000000" w:themeColor="text1"/>
          <w:spacing w:val="1"/>
        </w:rPr>
        <w:t xml:space="preserve"> </w:t>
      </w:r>
      <w:r w:rsidRPr="00C54A03">
        <w:rPr>
          <w:color w:val="000000" w:themeColor="text1"/>
        </w:rPr>
        <w:t>proprietățile</w:t>
      </w:r>
      <w:r w:rsidRPr="00C54A03">
        <w:rPr>
          <w:color w:val="000000" w:themeColor="text1"/>
          <w:spacing w:val="1"/>
        </w:rPr>
        <w:t xml:space="preserve"> </w:t>
      </w:r>
      <w:r w:rsidRPr="00C54A03">
        <w:rPr>
          <w:color w:val="000000" w:themeColor="text1"/>
        </w:rPr>
        <w:t>acestuia</w:t>
      </w:r>
      <w:r w:rsidRPr="00C54A03">
        <w:rPr>
          <w:color w:val="000000" w:themeColor="text1"/>
          <w:spacing w:val="1"/>
        </w:rPr>
        <w:t xml:space="preserve"> </w:t>
      </w:r>
      <w:r w:rsidRPr="00C54A03">
        <w:rPr>
          <w:color w:val="000000" w:themeColor="text1"/>
        </w:rPr>
        <w:t>și</w:t>
      </w:r>
      <w:r w:rsidRPr="00C54A03">
        <w:rPr>
          <w:color w:val="000000" w:themeColor="text1"/>
          <w:spacing w:val="1"/>
        </w:rPr>
        <w:t xml:space="preserve"> </w:t>
      </w:r>
      <w:r w:rsidRPr="00C54A03">
        <w:rPr>
          <w:color w:val="000000" w:themeColor="text1"/>
        </w:rPr>
        <w:t>pot</w:t>
      </w:r>
      <w:r w:rsidRPr="00C54A03">
        <w:rPr>
          <w:color w:val="000000" w:themeColor="text1"/>
          <w:spacing w:val="1"/>
        </w:rPr>
        <w:t xml:space="preserve"> </w:t>
      </w:r>
      <w:r w:rsidRPr="00C54A03">
        <w:rPr>
          <w:color w:val="000000" w:themeColor="text1"/>
        </w:rPr>
        <w:t>fi</w:t>
      </w:r>
      <w:r w:rsidRPr="00C54A03">
        <w:rPr>
          <w:color w:val="000000" w:themeColor="text1"/>
          <w:spacing w:val="1"/>
        </w:rPr>
        <w:t xml:space="preserve"> </w:t>
      </w:r>
      <w:r w:rsidRPr="00C54A03">
        <w:rPr>
          <w:color w:val="000000" w:themeColor="text1"/>
        </w:rPr>
        <w:t>cuantificate.</w:t>
      </w:r>
      <w:r w:rsidRPr="00C54A03">
        <w:rPr>
          <w:color w:val="000000" w:themeColor="text1"/>
          <w:spacing w:val="-57"/>
        </w:rPr>
        <w:t xml:space="preserve"> </w:t>
      </w:r>
      <w:r w:rsidRPr="00C54A03">
        <w:rPr>
          <w:color w:val="000000" w:themeColor="text1"/>
        </w:rPr>
        <w:t>Fiecărui atribut, acolo unde informațiile existente permit acest lucru, i se va defini un interval de</w:t>
      </w:r>
      <w:r w:rsidRPr="00C54A03">
        <w:rPr>
          <w:color w:val="000000" w:themeColor="text1"/>
          <w:spacing w:val="1"/>
        </w:rPr>
        <w:t xml:space="preserve"> </w:t>
      </w:r>
      <w:r w:rsidRPr="00C54A03">
        <w:rPr>
          <w:color w:val="000000" w:themeColor="text1"/>
        </w:rPr>
        <w:t>valori pe care le poate lua, fără ca proprietățile habitatului analizat să fie alterate, uşurându-se astfel</w:t>
      </w:r>
      <w:r w:rsidRPr="00C54A03">
        <w:rPr>
          <w:color w:val="000000" w:themeColor="text1"/>
          <w:spacing w:val="1"/>
        </w:rPr>
        <w:t xml:space="preserve"> </w:t>
      </w:r>
      <w:r w:rsidRPr="00C54A03">
        <w:rPr>
          <w:color w:val="000000" w:themeColor="text1"/>
        </w:rPr>
        <w:t>interpretarea rezultatelor.</w:t>
      </w:r>
    </w:p>
    <w:p w14:paraId="291F0553" w14:textId="77777777" w:rsidR="00E13976" w:rsidRPr="00C54A03" w:rsidRDefault="00E13976" w:rsidP="008E33FD">
      <w:pPr>
        <w:widowControl w:val="0"/>
        <w:autoSpaceDE w:val="0"/>
        <w:autoSpaceDN w:val="0"/>
        <w:jc w:val="both"/>
        <w:rPr>
          <w:color w:val="000000" w:themeColor="text1"/>
        </w:rPr>
      </w:pPr>
      <w:r w:rsidRPr="00C54A03">
        <w:rPr>
          <w:color w:val="000000" w:themeColor="text1"/>
        </w:rPr>
        <w:t>În</w:t>
      </w:r>
      <w:r w:rsidRPr="00C54A03">
        <w:rPr>
          <w:color w:val="000000" w:themeColor="text1"/>
          <w:spacing w:val="-1"/>
        </w:rPr>
        <w:t xml:space="preserve"> </w:t>
      </w:r>
      <w:r w:rsidRPr="00C54A03">
        <w:rPr>
          <w:color w:val="000000" w:themeColor="text1"/>
        </w:rPr>
        <w:t>tabelul</w:t>
      </w:r>
      <w:r w:rsidRPr="00C54A03">
        <w:rPr>
          <w:color w:val="000000" w:themeColor="text1"/>
          <w:spacing w:val="-1"/>
        </w:rPr>
        <w:t xml:space="preserve"> </w:t>
      </w:r>
      <w:r w:rsidRPr="00C54A03">
        <w:rPr>
          <w:color w:val="000000" w:themeColor="text1"/>
        </w:rPr>
        <w:t>care</w:t>
      </w:r>
      <w:r w:rsidRPr="00C54A03">
        <w:rPr>
          <w:color w:val="000000" w:themeColor="text1"/>
          <w:spacing w:val="-3"/>
        </w:rPr>
        <w:t xml:space="preserve"> </w:t>
      </w:r>
      <w:r w:rsidRPr="00C54A03">
        <w:rPr>
          <w:color w:val="000000" w:themeColor="text1"/>
        </w:rPr>
        <w:t>urmează</w:t>
      </w:r>
      <w:r w:rsidRPr="00C54A03">
        <w:rPr>
          <w:color w:val="000000" w:themeColor="text1"/>
          <w:spacing w:val="-1"/>
        </w:rPr>
        <w:t xml:space="preserve"> </w:t>
      </w:r>
      <w:r w:rsidRPr="00C54A03">
        <w:rPr>
          <w:color w:val="000000" w:themeColor="text1"/>
        </w:rPr>
        <w:t>se</w:t>
      </w:r>
      <w:r w:rsidRPr="00C54A03">
        <w:rPr>
          <w:color w:val="000000" w:themeColor="text1"/>
          <w:spacing w:val="-2"/>
        </w:rPr>
        <w:t xml:space="preserve"> </w:t>
      </w:r>
      <w:r w:rsidRPr="00C54A03">
        <w:rPr>
          <w:color w:val="000000" w:themeColor="text1"/>
        </w:rPr>
        <w:t>regăsesc</w:t>
      </w:r>
      <w:r w:rsidRPr="00C54A03">
        <w:rPr>
          <w:color w:val="000000" w:themeColor="text1"/>
          <w:spacing w:val="-2"/>
        </w:rPr>
        <w:t xml:space="preserve"> </w:t>
      </w:r>
      <w:r w:rsidRPr="00C54A03">
        <w:rPr>
          <w:color w:val="000000" w:themeColor="text1"/>
        </w:rPr>
        <w:t>indicatorii</w:t>
      </w:r>
      <w:r w:rsidRPr="00C54A03">
        <w:rPr>
          <w:color w:val="000000" w:themeColor="text1"/>
          <w:spacing w:val="-1"/>
        </w:rPr>
        <w:t xml:space="preserve"> </w:t>
      </w:r>
      <w:r w:rsidRPr="00C54A03">
        <w:rPr>
          <w:color w:val="000000" w:themeColor="text1"/>
        </w:rPr>
        <w:t>generali</w:t>
      </w:r>
      <w:r w:rsidRPr="00C54A03">
        <w:rPr>
          <w:color w:val="000000" w:themeColor="text1"/>
          <w:spacing w:val="-1"/>
        </w:rPr>
        <w:t xml:space="preserve"> </w:t>
      </w:r>
      <w:r w:rsidRPr="00C54A03">
        <w:rPr>
          <w:color w:val="000000" w:themeColor="text1"/>
        </w:rPr>
        <w:t>din</w:t>
      </w:r>
      <w:r w:rsidRPr="00C54A03">
        <w:rPr>
          <w:color w:val="000000" w:themeColor="text1"/>
          <w:spacing w:val="-1"/>
        </w:rPr>
        <w:t xml:space="preserve"> </w:t>
      </w:r>
      <w:r w:rsidRPr="00C54A03">
        <w:rPr>
          <w:color w:val="000000" w:themeColor="text1"/>
        </w:rPr>
        <w:t>cadrul planului</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monitorizare</w:t>
      </w:r>
    </w:p>
    <w:p w14:paraId="261C0B7C" w14:textId="77777777" w:rsidR="00E13976" w:rsidRPr="00C54A03" w:rsidRDefault="00E13976" w:rsidP="008E33FD">
      <w:pPr>
        <w:widowControl w:val="0"/>
        <w:autoSpaceDE w:val="0"/>
        <w:autoSpaceDN w:val="0"/>
        <w:spacing w:before="8"/>
        <w:jc w:val="both"/>
        <w:rPr>
          <w:color w:val="000000" w:themeColor="text1"/>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75"/>
        <w:gridCol w:w="7101"/>
      </w:tblGrid>
      <w:tr w:rsidR="00E13976" w:rsidRPr="00C54A03" w14:paraId="06755898" w14:textId="77777777" w:rsidTr="00484EEE">
        <w:trPr>
          <w:trHeight w:val="424"/>
        </w:trPr>
        <w:tc>
          <w:tcPr>
            <w:tcW w:w="2675" w:type="dxa"/>
            <w:shd w:val="clear" w:color="auto" w:fill="D9D9D9"/>
          </w:tcPr>
          <w:p w14:paraId="1CF14EB8" w14:textId="77777777" w:rsidR="00E13976" w:rsidRPr="00C54A03" w:rsidRDefault="00E13976" w:rsidP="008E33FD">
            <w:pPr>
              <w:widowControl w:val="0"/>
              <w:autoSpaceDE w:val="0"/>
              <w:autoSpaceDN w:val="0"/>
              <w:spacing w:before="71"/>
              <w:jc w:val="both"/>
              <w:rPr>
                <w:b/>
                <w:color w:val="000000" w:themeColor="text1"/>
              </w:rPr>
            </w:pPr>
            <w:r w:rsidRPr="00C54A03">
              <w:rPr>
                <w:b/>
                <w:color w:val="000000" w:themeColor="text1"/>
              </w:rPr>
              <w:t>Indicatori</w:t>
            </w:r>
          </w:p>
        </w:tc>
        <w:tc>
          <w:tcPr>
            <w:tcW w:w="7101" w:type="dxa"/>
            <w:shd w:val="clear" w:color="auto" w:fill="D9D9D9"/>
          </w:tcPr>
          <w:p w14:paraId="7065A4EF" w14:textId="77777777" w:rsidR="00E13976" w:rsidRPr="00C54A03" w:rsidRDefault="00E13976" w:rsidP="008E33FD">
            <w:pPr>
              <w:widowControl w:val="0"/>
              <w:autoSpaceDE w:val="0"/>
              <w:autoSpaceDN w:val="0"/>
              <w:spacing w:before="71"/>
              <w:jc w:val="both"/>
              <w:rPr>
                <w:b/>
                <w:color w:val="000000" w:themeColor="text1"/>
              </w:rPr>
            </w:pPr>
            <w:r w:rsidRPr="00C54A03">
              <w:rPr>
                <w:b/>
                <w:color w:val="000000" w:themeColor="text1"/>
              </w:rPr>
              <w:t>Compoziție</w:t>
            </w:r>
          </w:p>
        </w:tc>
      </w:tr>
      <w:tr w:rsidR="00E13976" w:rsidRPr="00C54A03" w14:paraId="144F1563" w14:textId="77777777" w:rsidTr="00484EEE">
        <w:trPr>
          <w:trHeight w:val="827"/>
        </w:trPr>
        <w:tc>
          <w:tcPr>
            <w:tcW w:w="2675" w:type="dxa"/>
          </w:tcPr>
          <w:p w14:paraId="5ED464C2" w14:textId="77777777" w:rsidR="00E13976" w:rsidRPr="00C54A03" w:rsidRDefault="00E13976" w:rsidP="008E33FD">
            <w:pPr>
              <w:widowControl w:val="0"/>
              <w:autoSpaceDE w:val="0"/>
              <w:autoSpaceDN w:val="0"/>
              <w:spacing w:before="128"/>
              <w:ind w:right="715"/>
              <w:jc w:val="both"/>
              <w:rPr>
                <w:color w:val="000000" w:themeColor="text1"/>
              </w:rPr>
            </w:pPr>
            <w:r w:rsidRPr="00C54A03">
              <w:rPr>
                <w:color w:val="000000" w:themeColor="text1"/>
              </w:rPr>
              <w:t>La</w:t>
            </w:r>
            <w:r w:rsidRPr="00C54A03">
              <w:rPr>
                <w:color w:val="000000" w:themeColor="text1"/>
                <w:spacing w:val="-9"/>
              </w:rPr>
              <w:t xml:space="preserve"> </w:t>
            </w:r>
            <w:r w:rsidRPr="00C54A03">
              <w:rPr>
                <w:color w:val="000000" w:themeColor="text1"/>
              </w:rPr>
              <w:t>nivel</w:t>
            </w:r>
            <w:r w:rsidRPr="00C54A03">
              <w:rPr>
                <w:color w:val="000000" w:themeColor="text1"/>
                <w:spacing w:val="-7"/>
              </w:rPr>
              <w:t xml:space="preserve"> </w:t>
            </w:r>
            <w:r w:rsidRPr="00C54A03">
              <w:rPr>
                <w:color w:val="000000" w:themeColor="text1"/>
              </w:rPr>
              <w:t>de</w:t>
            </w:r>
            <w:r w:rsidRPr="00C54A03">
              <w:rPr>
                <w:color w:val="000000" w:themeColor="text1"/>
                <w:spacing w:val="-57"/>
              </w:rPr>
              <w:t xml:space="preserve"> </w:t>
            </w:r>
            <w:r w:rsidRPr="00C54A03">
              <w:rPr>
                <w:color w:val="000000" w:themeColor="text1"/>
              </w:rPr>
              <w:t>habitat</w:t>
            </w:r>
          </w:p>
        </w:tc>
        <w:tc>
          <w:tcPr>
            <w:tcW w:w="7101" w:type="dxa"/>
          </w:tcPr>
          <w:p w14:paraId="152A4065" w14:textId="77777777" w:rsidR="00E13976" w:rsidRPr="00C54A03" w:rsidRDefault="00E13976" w:rsidP="009E63E5">
            <w:pPr>
              <w:widowControl w:val="0"/>
              <w:numPr>
                <w:ilvl w:val="0"/>
                <w:numId w:val="80"/>
              </w:numPr>
              <w:tabs>
                <w:tab w:val="left" w:pos="367"/>
              </w:tabs>
              <w:autoSpaceDE w:val="0"/>
              <w:autoSpaceDN w:val="0"/>
              <w:spacing w:line="268" w:lineRule="exact"/>
              <w:jc w:val="both"/>
              <w:rPr>
                <w:color w:val="000000" w:themeColor="text1"/>
              </w:rPr>
            </w:pPr>
            <w:r w:rsidRPr="00C54A03">
              <w:rPr>
                <w:color w:val="000000" w:themeColor="text1"/>
              </w:rPr>
              <w:t>proporția</w:t>
            </w:r>
            <w:r w:rsidRPr="00C54A03">
              <w:rPr>
                <w:color w:val="000000" w:themeColor="text1"/>
                <w:spacing w:val="-2"/>
              </w:rPr>
              <w:t xml:space="preserve"> </w:t>
            </w:r>
            <w:r w:rsidRPr="00C54A03">
              <w:rPr>
                <w:color w:val="000000" w:themeColor="text1"/>
              </w:rPr>
              <w:t>habitatului</w:t>
            </w:r>
            <w:r w:rsidRPr="00C54A03">
              <w:rPr>
                <w:color w:val="000000" w:themeColor="text1"/>
                <w:spacing w:val="-2"/>
              </w:rPr>
              <w:t xml:space="preserve"> </w:t>
            </w:r>
            <w:r w:rsidRPr="00C54A03">
              <w:rPr>
                <w:color w:val="000000" w:themeColor="text1"/>
              </w:rPr>
              <w:t>în</w:t>
            </w:r>
            <w:r w:rsidRPr="00C54A03">
              <w:rPr>
                <w:color w:val="000000" w:themeColor="text1"/>
                <w:spacing w:val="-2"/>
              </w:rPr>
              <w:t xml:space="preserve"> </w:t>
            </w:r>
            <w:r w:rsidRPr="00C54A03">
              <w:rPr>
                <w:color w:val="000000" w:themeColor="text1"/>
              </w:rPr>
              <w:t>cadrul</w:t>
            </w:r>
            <w:r w:rsidRPr="00C54A03">
              <w:rPr>
                <w:color w:val="000000" w:themeColor="text1"/>
                <w:spacing w:val="-1"/>
              </w:rPr>
              <w:t xml:space="preserve"> </w:t>
            </w:r>
            <w:r w:rsidRPr="00C54A03">
              <w:rPr>
                <w:color w:val="000000" w:themeColor="text1"/>
              </w:rPr>
              <w:t>arealului</w:t>
            </w:r>
            <w:r w:rsidRPr="00C54A03">
              <w:rPr>
                <w:color w:val="000000" w:themeColor="text1"/>
                <w:spacing w:val="-2"/>
              </w:rPr>
              <w:t xml:space="preserve"> </w:t>
            </w:r>
            <w:r w:rsidRPr="00C54A03">
              <w:rPr>
                <w:color w:val="000000" w:themeColor="text1"/>
              </w:rPr>
              <w:t>analizat</w:t>
            </w:r>
          </w:p>
          <w:p w14:paraId="10F514F9" w14:textId="77777777" w:rsidR="00E13976" w:rsidRPr="00C54A03" w:rsidRDefault="00E13976" w:rsidP="009E63E5">
            <w:pPr>
              <w:widowControl w:val="0"/>
              <w:numPr>
                <w:ilvl w:val="0"/>
                <w:numId w:val="80"/>
              </w:numPr>
              <w:tabs>
                <w:tab w:val="left" w:pos="367"/>
              </w:tabs>
              <w:autoSpaceDE w:val="0"/>
              <w:autoSpaceDN w:val="0"/>
              <w:jc w:val="both"/>
              <w:rPr>
                <w:color w:val="000000" w:themeColor="text1"/>
              </w:rPr>
            </w:pPr>
            <w:r w:rsidRPr="00C54A03">
              <w:rPr>
                <w:color w:val="000000" w:themeColor="text1"/>
              </w:rPr>
              <w:t>tipuri</w:t>
            </w:r>
            <w:r w:rsidRPr="00C54A03">
              <w:rPr>
                <w:color w:val="000000" w:themeColor="text1"/>
                <w:spacing w:val="-3"/>
              </w:rPr>
              <w:t xml:space="preserve"> </w:t>
            </w:r>
            <w:r w:rsidRPr="00C54A03">
              <w:rPr>
                <w:color w:val="000000" w:themeColor="text1"/>
              </w:rPr>
              <w:t>de</w:t>
            </w:r>
            <w:r w:rsidRPr="00C54A03">
              <w:rPr>
                <w:color w:val="000000" w:themeColor="text1"/>
                <w:spacing w:val="-4"/>
              </w:rPr>
              <w:t xml:space="preserve"> </w:t>
            </w:r>
            <w:r w:rsidRPr="00C54A03">
              <w:rPr>
                <w:color w:val="000000" w:themeColor="text1"/>
              </w:rPr>
              <w:t>asociații</w:t>
            </w:r>
            <w:r w:rsidRPr="00C54A03">
              <w:rPr>
                <w:color w:val="000000" w:themeColor="text1"/>
                <w:spacing w:val="-2"/>
              </w:rPr>
              <w:t xml:space="preserve"> </w:t>
            </w:r>
            <w:r w:rsidRPr="00C54A03">
              <w:rPr>
                <w:color w:val="000000" w:themeColor="text1"/>
              </w:rPr>
              <w:t>vegetale</w:t>
            </w:r>
            <w:r w:rsidRPr="00C54A03">
              <w:rPr>
                <w:color w:val="000000" w:themeColor="text1"/>
                <w:spacing w:val="-2"/>
              </w:rPr>
              <w:t xml:space="preserve"> </w:t>
            </w:r>
            <w:r w:rsidRPr="00C54A03">
              <w:rPr>
                <w:color w:val="000000" w:themeColor="text1"/>
              </w:rPr>
              <w:t>componente</w:t>
            </w:r>
          </w:p>
          <w:p w14:paraId="2532435D" w14:textId="77777777" w:rsidR="00E13976" w:rsidRPr="00C54A03" w:rsidRDefault="00E13976" w:rsidP="009E63E5">
            <w:pPr>
              <w:widowControl w:val="0"/>
              <w:numPr>
                <w:ilvl w:val="0"/>
                <w:numId w:val="80"/>
              </w:numPr>
              <w:tabs>
                <w:tab w:val="left" w:pos="367"/>
              </w:tabs>
              <w:autoSpaceDE w:val="0"/>
              <w:autoSpaceDN w:val="0"/>
              <w:spacing w:line="264" w:lineRule="exact"/>
              <w:jc w:val="both"/>
              <w:rPr>
                <w:color w:val="000000" w:themeColor="text1"/>
              </w:rPr>
            </w:pPr>
            <w:r w:rsidRPr="00C54A03">
              <w:rPr>
                <w:color w:val="000000" w:themeColor="text1"/>
              </w:rPr>
              <w:t>identificare,</w:t>
            </w:r>
            <w:r w:rsidRPr="00C54A03">
              <w:rPr>
                <w:color w:val="000000" w:themeColor="text1"/>
                <w:spacing w:val="-2"/>
              </w:rPr>
              <w:t xml:space="preserve"> </w:t>
            </w:r>
            <w:r w:rsidRPr="00C54A03">
              <w:rPr>
                <w:color w:val="000000" w:themeColor="text1"/>
              </w:rPr>
              <w:t>distribuție,</w:t>
            </w:r>
            <w:r w:rsidRPr="00C54A03">
              <w:rPr>
                <w:color w:val="000000" w:themeColor="text1"/>
                <w:spacing w:val="-2"/>
              </w:rPr>
              <w:t xml:space="preserve"> </w:t>
            </w:r>
            <w:r w:rsidRPr="00C54A03">
              <w:rPr>
                <w:color w:val="000000" w:themeColor="text1"/>
              </w:rPr>
              <w:t>diversitate,</w:t>
            </w:r>
            <w:r w:rsidRPr="00C54A03">
              <w:rPr>
                <w:color w:val="000000" w:themeColor="text1"/>
                <w:spacing w:val="-1"/>
              </w:rPr>
              <w:t xml:space="preserve"> </w:t>
            </w:r>
            <w:r w:rsidRPr="00C54A03">
              <w:rPr>
                <w:color w:val="000000" w:themeColor="text1"/>
              </w:rPr>
              <w:t>abundență</w:t>
            </w:r>
          </w:p>
        </w:tc>
      </w:tr>
      <w:tr w:rsidR="00E13976" w:rsidRPr="00C54A03" w14:paraId="4706B7B2" w14:textId="77777777" w:rsidTr="00484EEE">
        <w:trPr>
          <w:trHeight w:val="1104"/>
        </w:trPr>
        <w:tc>
          <w:tcPr>
            <w:tcW w:w="2675" w:type="dxa"/>
          </w:tcPr>
          <w:p w14:paraId="38F43F32" w14:textId="77777777" w:rsidR="00E13976" w:rsidRPr="00C54A03" w:rsidRDefault="00E13976" w:rsidP="008E33FD">
            <w:pPr>
              <w:widowControl w:val="0"/>
              <w:autoSpaceDE w:val="0"/>
              <w:autoSpaceDN w:val="0"/>
              <w:spacing w:before="3"/>
              <w:jc w:val="both"/>
              <w:rPr>
                <w:color w:val="000000" w:themeColor="text1"/>
              </w:rPr>
            </w:pPr>
          </w:p>
          <w:p w14:paraId="0D293EE7" w14:textId="77777777" w:rsidR="00E13976" w:rsidRPr="00C54A03" w:rsidRDefault="00E13976" w:rsidP="008E33FD">
            <w:pPr>
              <w:widowControl w:val="0"/>
              <w:autoSpaceDE w:val="0"/>
              <w:autoSpaceDN w:val="0"/>
              <w:spacing w:before="1"/>
              <w:ind w:right="479"/>
              <w:jc w:val="both"/>
              <w:rPr>
                <w:color w:val="000000" w:themeColor="text1"/>
              </w:rPr>
            </w:pPr>
            <w:r w:rsidRPr="00C54A03">
              <w:rPr>
                <w:color w:val="000000" w:themeColor="text1"/>
              </w:rPr>
              <w:t>Comunitate –</w:t>
            </w:r>
            <w:r w:rsidRPr="00C54A03">
              <w:rPr>
                <w:color w:val="000000" w:themeColor="text1"/>
                <w:spacing w:val="-57"/>
              </w:rPr>
              <w:t xml:space="preserve"> </w:t>
            </w:r>
            <w:r w:rsidRPr="00C54A03">
              <w:rPr>
                <w:color w:val="000000" w:themeColor="text1"/>
              </w:rPr>
              <w:t>ecosistem</w:t>
            </w:r>
          </w:p>
        </w:tc>
        <w:tc>
          <w:tcPr>
            <w:tcW w:w="7101" w:type="dxa"/>
          </w:tcPr>
          <w:p w14:paraId="025EE050" w14:textId="77777777" w:rsidR="00E13976" w:rsidRPr="00C54A03" w:rsidRDefault="00E13976" w:rsidP="009E63E5">
            <w:pPr>
              <w:widowControl w:val="0"/>
              <w:numPr>
                <w:ilvl w:val="0"/>
                <w:numId w:val="79"/>
              </w:numPr>
              <w:tabs>
                <w:tab w:val="left" w:pos="367"/>
              </w:tabs>
              <w:autoSpaceDE w:val="0"/>
              <w:autoSpaceDN w:val="0"/>
              <w:spacing w:line="268" w:lineRule="exact"/>
              <w:jc w:val="both"/>
              <w:rPr>
                <w:color w:val="000000" w:themeColor="text1"/>
              </w:rPr>
            </w:pPr>
            <w:r w:rsidRPr="00C54A03">
              <w:rPr>
                <w:color w:val="000000" w:themeColor="text1"/>
              </w:rPr>
              <w:t>identificarea</w:t>
            </w:r>
            <w:r w:rsidRPr="00C54A03">
              <w:rPr>
                <w:color w:val="000000" w:themeColor="text1"/>
                <w:spacing w:val="-3"/>
              </w:rPr>
              <w:t xml:space="preserve"> </w:t>
            </w:r>
            <w:r w:rsidRPr="00C54A03">
              <w:rPr>
                <w:color w:val="000000" w:themeColor="text1"/>
              </w:rPr>
              <w:t>de</w:t>
            </w:r>
            <w:r w:rsidRPr="00C54A03">
              <w:rPr>
                <w:color w:val="000000" w:themeColor="text1"/>
                <w:spacing w:val="-2"/>
              </w:rPr>
              <w:t xml:space="preserve"> </w:t>
            </w:r>
            <w:r w:rsidRPr="00C54A03">
              <w:rPr>
                <w:color w:val="000000" w:themeColor="text1"/>
              </w:rPr>
              <w:t>speciişi</w:t>
            </w:r>
            <w:r w:rsidRPr="00C54A03">
              <w:rPr>
                <w:color w:val="000000" w:themeColor="text1"/>
                <w:spacing w:val="-2"/>
              </w:rPr>
              <w:t xml:space="preserve"> </w:t>
            </w:r>
            <w:r w:rsidRPr="00C54A03">
              <w:rPr>
                <w:color w:val="000000" w:themeColor="text1"/>
              </w:rPr>
              <w:t>abundența</w:t>
            </w:r>
            <w:r w:rsidRPr="00C54A03">
              <w:rPr>
                <w:color w:val="000000" w:themeColor="text1"/>
                <w:spacing w:val="-2"/>
              </w:rPr>
              <w:t xml:space="preserve"> </w:t>
            </w:r>
            <w:r w:rsidRPr="00C54A03">
              <w:rPr>
                <w:color w:val="000000" w:themeColor="text1"/>
              </w:rPr>
              <w:t>relativă</w:t>
            </w:r>
          </w:p>
          <w:p w14:paraId="0CD01FFA" w14:textId="77777777" w:rsidR="00E13976" w:rsidRPr="00C54A03" w:rsidRDefault="00E13976" w:rsidP="008E33FD">
            <w:pPr>
              <w:widowControl w:val="0"/>
              <w:autoSpaceDE w:val="0"/>
              <w:autoSpaceDN w:val="0"/>
              <w:ind w:right="219"/>
              <w:jc w:val="both"/>
              <w:rPr>
                <w:color w:val="000000" w:themeColor="text1"/>
              </w:rPr>
            </w:pPr>
            <w:r w:rsidRPr="00C54A03">
              <w:rPr>
                <w:color w:val="000000" w:themeColor="text1"/>
              </w:rPr>
              <w:t>-frecvență, abundență, diversitatea în specii a comunității, proporțiile</w:t>
            </w:r>
            <w:r w:rsidRPr="00C54A03">
              <w:rPr>
                <w:color w:val="000000" w:themeColor="text1"/>
                <w:spacing w:val="-58"/>
              </w:rPr>
              <w:t xml:space="preserve"> </w:t>
            </w:r>
            <w:r w:rsidRPr="00C54A03">
              <w:rPr>
                <w:color w:val="000000" w:themeColor="text1"/>
              </w:rPr>
              <w:t>de</w:t>
            </w:r>
            <w:r w:rsidRPr="00C54A03">
              <w:rPr>
                <w:color w:val="000000" w:themeColor="text1"/>
                <w:spacing w:val="-2"/>
              </w:rPr>
              <w:t xml:space="preserve"> </w:t>
            </w:r>
            <w:r w:rsidRPr="00C54A03">
              <w:rPr>
                <w:color w:val="000000" w:themeColor="text1"/>
              </w:rPr>
              <w:t>specii</w:t>
            </w:r>
            <w:r w:rsidRPr="00C54A03">
              <w:rPr>
                <w:color w:val="000000" w:themeColor="text1"/>
                <w:spacing w:val="-1"/>
              </w:rPr>
              <w:t xml:space="preserve"> </w:t>
            </w:r>
            <w:r w:rsidRPr="00C54A03">
              <w:rPr>
                <w:color w:val="000000" w:themeColor="text1"/>
              </w:rPr>
              <w:t>endemice</w:t>
            </w:r>
            <w:r w:rsidRPr="00C54A03">
              <w:rPr>
                <w:color w:val="000000" w:themeColor="text1"/>
                <w:spacing w:val="-1"/>
              </w:rPr>
              <w:t xml:space="preserve"> </w:t>
            </w:r>
            <w:r w:rsidRPr="00C54A03">
              <w:rPr>
                <w:color w:val="000000" w:themeColor="text1"/>
              </w:rPr>
              <w:t>amenințate</w:t>
            </w:r>
            <w:r w:rsidRPr="00C54A03">
              <w:rPr>
                <w:color w:val="000000" w:themeColor="text1"/>
                <w:spacing w:val="-1"/>
              </w:rPr>
              <w:t xml:space="preserve"> </w:t>
            </w:r>
            <w:r w:rsidRPr="00C54A03">
              <w:rPr>
                <w:color w:val="000000" w:themeColor="text1"/>
              </w:rPr>
              <w:t>şi</w:t>
            </w:r>
            <w:r w:rsidRPr="00C54A03">
              <w:rPr>
                <w:color w:val="000000" w:themeColor="text1"/>
                <w:spacing w:val="-2"/>
              </w:rPr>
              <w:t xml:space="preserve"> </w:t>
            </w:r>
            <w:r w:rsidRPr="00C54A03">
              <w:rPr>
                <w:color w:val="000000" w:themeColor="text1"/>
              </w:rPr>
              <w:t>specii pe</w:t>
            </w:r>
            <w:r w:rsidRPr="00C54A03">
              <w:rPr>
                <w:color w:val="000000" w:themeColor="text1"/>
                <w:spacing w:val="-2"/>
              </w:rPr>
              <w:t xml:space="preserve"> </w:t>
            </w:r>
            <w:r w:rsidRPr="00C54A03">
              <w:rPr>
                <w:color w:val="000000" w:themeColor="text1"/>
              </w:rPr>
              <w:t>cale</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dispariție</w:t>
            </w:r>
          </w:p>
          <w:p w14:paraId="2767752B" w14:textId="77777777" w:rsidR="00E13976" w:rsidRPr="00C54A03" w:rsidRDefault="00E13976" w:rsidP="009E63E5">
            <w:pPr>
              <w:widowControl w:val="0"/>
              <w:numPr>
                <w:ilvl w:val="0"/>
                <w:numId w:val="79"/>
              </w:numPr>
              <w:tabs>
                <w:tab w:val="left" w:pos="367"/>
              </w:tabs>
              <w:autoSpaceDE w:val="0"/>
              <w:autoSpaceDN w:val="0"/>
              <w:spacing w:line="264" w:lineRule="exact"/>
              <w:jc w:val="both"/>
              <w:rPr>
                <w:color w:val="000000" w:themeColor="text1"/>
              </w:rPr>
            </w:pPr>
            <w:r w:rsidRPr="00C54A03">
              <w:rPr>
                <w:color w:val="000000" w:themeColor="text1"/>
              </w:rPr>
              <w:t>dominanța</w:t>
            </w:r>
            <w:r w:rsidRPr="00C54A03">
              <w:rPr>
                <w:color w:val="000000" w:themeColor="text1"/>
                <w:spacing w:val="-3"/>
              </w:rPr>
              <w:t xml:space="preserve"> </w:t>
            </w:r>
            <w:r w:rsidRPr="00C54A03">
              <w:rPr>
                <w:color w:val="000000" w:themeColor="text1"/>
              </w:rPr>
              <w:t>–</w:t>
            </w:r>
            <w:r w:rsidRPr="00C54A03">
              <w:rPr>
                <w:color w:val="000000" w:themeColor="text1"/>
                <w:spacing w:val="-2"/>
              </w:rPr>
              <w:t xml:space="preserve"> </w:t>
            </w:r>
            <w:r w:rsidRPr="00C54A03">
              <w:rPr>
                <w:color w:val="000000" w:themeColor="text1"/>
              </w:rPr>
              <w:t>diversitate,</w:t>
            </w:r>
            <w:r w:rsidRPr="00C54A03">
              <w:rPr>
                <w:color w:val="000000" w:themeColor="text1"/>
                <w:spacing w:val="-1"/>
              </w:rPr>
              <w:t xml:space="preserve"> </w:t>
            </w:r>
            <w:r w:rsidRPr="00C54A03">
              <w:rPr>
                <w:color w:val="000000" w:themeColor="text1"/>
              </w:rPr>
              <w:t>proporții</w:t>
            </w:r>
          </w:p>
        </w:tc>
      </w:tr>
      <w:tr w:rsidR="00E13976" w:rsidRPr="00C54A03" w14:paraId="3F4DE5FB" w14:textId="77777777" w:rsidTr="00484EEE">
        <w:trPr>
          <w:trHeight w:val="551"/>
        </w:trPr>
        <w:tc>
          <w:tcPr>
            <w:tcW w:w="2675" w:type="dxa"/>
          </w:tcPr>
          <w:p w14:paraId="67C20463" w14:textId="77777777" w:rsidR="00E13976" w:rsidRPr="00C54A03" w:rsidRDefault="00E13976" w:rsidP="008E33FD">
            <w:pPr>
              <w:widowControl w:val="0"/>
              <w:autoSpaceDE w:val="0"/>
              <w:autoSpaceDN w:val="0"/>
              <w:spacing w:before="131"/>
              <w:jc w:val="both"/>
              <w:rPr>
                <w:color w:val="000000" w:themeColor="text1"/>
              </w:rPr>
            </w:pPr>
            <w:r w:rsidRPr="00C54A03">
              <w:rPr>
                <w:color w:val="000000" w:themeColor="text1"/>
              </w:rPr>
              <w:t>Populație</w:t>
            </w:r>
            <w:r w:rsidRPr="00C54A03">
              <w:rPr>
                <w:color w:val="000000" w:themeColor="text1"/>
                <w:spacing w:val="-2"/>
              </w:rPr>
              <w:t xml:space="preserve"> </w:t>
            </w:r>
            <w:r w:rsidRPr="00C54A03">
              <w:rPr>
                <w:color w:val="000000" w:themeColor="text1"/>
              </w:rPr>
              <w:t>-</w:t>
            </w:r>
            <w:r w:rsidRPr="00C54A03">
              <w:rPr>
                <w:color w:val="000000" w:themeColor="text1"/>
                <w:spacing w:val="-2"/>
              </w:rPr>
              <w:t xml:space="preserve"> </w:t>
            </w:r>
            <w:r w:rsidRPr="00C54A03">
              <w:rPr>
                <w:color w:val="000000" w:themeColor="text1"/>
              </w:rPr>
              <w:t>specii</w:t>
            </w:r>
          </w:p>
        </w:tc>
        <w:tc>
          <w:tcPr>
            <w:tcW w:w="7101" w:type="dxa"/>
          </w:tcPr>
          <w:p w14:paraId="192F2E85" w14:textId="77777777" w:rsidR="00E13976" w:rsidRPr="00C54A03" w:rsidRDefault="00E13976" w:rsidP="009E63E5">
            <w:pPr>
              <w:widowControl w:val="0"/>
              <w:numPr>
                <w:ilvl w:val="0"/>
                <w:numId w:val="78"/>
              </w:numPr>
              <w:tabs>
                <w:tab w:val="left" w:pos="535"/>
              </w:tabs>
              <w:autoSpaceDE w:val="0"/>
              <w:autoSpaceDN w:val="0"/>
              <w:spacing w:line="268" w:lineRule="exact"/>
              <w:jc w:val="both"/>
              <w:rPr>
                <w:color w:val="000000" w:themeColor="text1"/>
              </w:rPr>
            </w:pPr>
            <w:r w:rsidRPr="00C54A03">
              <w:rPr>
                <w:color w:val="000000" w:themeColor="text1"/>
              </w:rPr>
              <w:t>abundența</w:t>
            </w:r>
            <w:r w:rsidRPr="00C54A03">
              <w:rPr>
                <w:color w:val="000000" w:themeColor="text1"/>
                <w:spacing w:val="-1"/>
              </w:rPr>
              <w:t xml:space="preserve"> </w:t>
            </w:r>
            <w:r w:rsidRPr="00C54A03">
              <w:rPr>
                <w:color w:val="000000" w:themeColor="text1"/>
              </w:rPr>
              <w:t>relativă</w:t>
            </w:r>
            <w:r w:rsidRPr="00C54A03">
              <w:rPr>
                <w:color w:val="000000" w:themeColor="text1"/>
                <w:spacing w:val="-2"/>
              </w:rPr>
              <w:t xml:space="preserve"> </w:t>
            </w:r>
            <w:r w:rsidRPr="00C54A03">
              <w:rPr>
                <w:color w:val="000000" w:themeColor="text1"/>
              </w:rPr>
              <w:t>şi</w:t>
            </w:r>
            <w:r w:rsidRPr="00C54A03">
              <w:rPr>
                <w:color w:val="000000" w:themeColor="text1"/>
                <w:spacing w:val="-3"/>
              </w:rPr>
              <w:t xml:space="preserve"> </w:t>
            </w:r>
            <w:r w:rsidRPr="00C54A03">
              <w:rPr>
                <w:color w:val="000000" w:themeColor="text1"/>
              </w:rPr>
              <w:t>absolută</w:t>
            </w:r>
          </w:p>
          <w:p w14:paraId="42187504" w14:textId="77777777" w:rsidR="00E13976" w:rsidRPr="00C54A03" w:rsidRDefault="00E13976" w:rsidP="009E63E5">
            <w:pPr>
              <w:widowControl w:val="0"/>
              <w:numPr>
                <w:ilvl w:val="0"/>
                <w:numId w:val="78"/>
              </w:numPr>
              <w:tabs>
                <w:tab w:val="left" w:pos="535"/>
              </w:tabs>
              <w:autoSpaceDE w:val="0"/>
              <w:autoSpaceDN w:val="0"/>
              <w:spacing w:line="264" w:lineRule="exact"/>
              <w:jc w:val="both"/>
              <w:rPr>
                <w:color w:val="000000" w:themeColor="text1"/>
              </w:rPr>
            </w:pPr>
            <w:r w:rsidRPr="00C54A03">
              <w:rPr>
                <w:color w:val="000000" w:themeColor="text1"/>
              </w:rPr>
              <w:t>densitate</w:t>
            </w:r>
          </w:p>
        </w:tc>
      </w:tr>
    </w:tbl>
    <w:p w14:paraId="2A7CAB9F" w14:textId="77777777" w:rsidR="00E13976" w:rsidRPr="00C54A03" w:rsidRDefault="00E13976" w:rsidP="008E33FD">
      <w:pPr>
        <w:widowControl w:val="0"/>
        <w:autoSpaceDE w:val="0"/>
        <w:autoSpaceDN w:val="0"/>
        <w:jc w:val="both"/>
        <w:rPr>
          <w:color w:val="000000" w:themeColor="text1"/>
        </w:rPr>
      </w:pPr>
    </w:p>
    <w:p w14:paraId="0BD0B9A6" w14:textId="77777777" w:rsidR="00E13976" w:rsidRPr="00C54A03" w:rsidRDefault="00E13976" w:rsidP="008E33FD">
      <w:pPr>
        <w:widowControl w:val="0"/>
        <w:tabs>
          <w:tab w:val="left" w:pos="1115"/>
        </w:tabs>
        <w:autoSpaceDE w:val="0"/>
        <w:autoSpaceDN w:val="0"/>
        <w:jc w:val="both"/>
        <w:outlineLvl w:val="1"/>
        <w:rPr>
          <w:rFonts w:eastAsia="Cambria"/>
          <w:b/>
          <w:bCs/>
          <w:color w:val="000000" w:themeColor="text1"/>
        </w:rPr>
      </w:pPr>
      <w:r w:rsidRPr="00C54A03">
        <w:rPr>
          <w:rFonts w:eastAsia="Cambria"/>
          <w:b/>
          <w:bCs/>
          <w:color w:val="000000" w:themeColor="text1"/>
        </w:rPr>
        <w:t>Metoda</w:t>
      </w:r>
      <w:r w:rsidRPr="00C54A03">
        <w:rPr>
          <w:rFonts w:eastAsia="Cambria"/>
          <w:b/>
          <w:bCs/>
          <w:color w:val="000000" w:themeColor="text1"/>
          <w:spacing w:val="-4"/>
        </w:rPr>
        <w:t xml:space="preserve"> </w:t>
      </w:r>
      <w:r w:rsidRPr="00C54A03">
        <w:rPr>
          <w:rFonts w:eastAsia="Cambria"/>
          <w:b/>
          <w:bCs/>
          <w:color w:val="000000" w:themeColor="text1"/>
        </w:rPr>
        <w:t>de</w:t>
      </w:r>
      <w:r w:rsidRPr="00C54A03">
        <w:rPr>
          <w:rFonts w:eastAsia="Cambria"/>
          <w:b/>
          <w:bCs/>
          <w:color w:val="000000" w:themeColor="text1"/>
          <w:spacing w:val="-4"/>
        </w:rPr>
        <w:t xml:space="preserve"> </w:t>
      </w:r>
      <w:r w:rsidRPr="00C54A03">
        <w:rPr>
          <w:rFonts w:eastAsia="Cambria"/>
          <w:b/>
          <w:bCs/>
          <w:color w:val="000000" w:themeColor="text1"/>
        </w:rPr>
        <w:t>evaluare</w:t>
      </w:r>
      <w:r w:rsidRPr="00C54A03">
        <w:rPr>
          <w:rFonts w:eastAsia="Cambria"/>
          <w:b/>
          <w:bCs/>
          <w:color w:val="000000" w:themeColor="text1"/>
          <w:spacing w:val="-4"/>
        </w:rPr>
        <w:t xml:space="preserve"> </w:t>
      </w:r>
      <w:r w:rsidRPr="00C54A03">
        <w:rPr>
          <w:rFonts w:eastAsia="Cambria"/>
          <w:b/>
          <w:bCs/>
          <w:color w:val="000000" w:themeColor="text1"/>
        </w:rPr>
        <w:t>pe</w:t>
      </w:r>
      <w:r w:rsidRPr="00C54A03">
        <w:rPr>
          <w:rFonts w:eastAsia="Cambria"/>
          <w:b/>
          <w:bCs/>
          <w:color w:val="000000" w:themeColor="text1"/>
          <w:spacing w:val="-3"/>
        </w:rPr>
        <w:t xml:space="preserve"> </w:t>
      </w:r>
      <w:r w:rsidRPr="00C54A03">
        <w:rPr>
          <w:rFonts w:eastAsia="Cambria"/>
          <w:b/>
          <w:bCs/>
          <w:color w:val="000000" w:themeColor="text1"/>
        </w:rPr>
        <w:t>plot</w:t>
      </w:r>
      <w:r w:rsidRPr="00C54A03">
        <w:rPr>
          <w:rFonts w:eastAsia="Cambria"/>
          <w:b/>
          <w:bCs/>
          <w:color w:val="000000" w:themeColor="text1"/>
          <w:spacing w:val="-2"/>
        </w:rPr>
        <w:t xml:space="preserve"> </w:t>
      </w:r>
      <w:r w:rsidRPr="00C54A03">
        <w:rPr>
          <w:rFonts w:eastAsia="Cambria"/>
          <w:b/>
          <w:bCs/>
          <w:color w:val="000000" w:themeColor="text1"/>
        </w:rPr>
        <w:t>de</w:t>
      </w:r>
      <w:r w:rsidRPr="00C54A03">
        <w:rPr>
          <w:rFonts w:eastAsia="Cambria"/>
          <w:b/>
          <w:bCs/>
          <w:color w:val="000000" w:themeColor="text1"/>
          <w:spacing w:val="-4"/>
        </w:rPr>
        <w:t xml:space="preserve"> </w:t>
      </w:r>
      <w:r w:rsidRPr="00C54A03">
        <w:rPr>
          <w:rFonts w:eastAsia="Cambria"/>
          <w:b/>
          <w:bCs/>
          <w:color w:val="000000" w:themeColor="text1"/>
        </w:rPr>
        <w:t>monitorizare</w:t>
      </w:r>
    </w:p>
    <w:p w14:paraId="616EC256" w14:textId="77777777" w:rsidR="00E13976" w:rsidRPr="00C54A03" w:rsidRDefault="00E13976" w:rsidP="008E33FD">
      <w:pPr>
        <w:widowControl w:val="0"/>
        <w:autoSpaceDE w:val="0"/>
        <w:autoSpaceDN w:val="0"/>
        <w:spacing w:before="159" w:line="276" w:lineRule="auto"/>
        <w:ind w:right="248"/>
        <w:jc w:val="both"/>
        <w:rPr>
          <w:color w:val="000000" w:themeColor="text1"/>
        </w:rPr>
      </w:pPr>
      <w:r w:rsidRPr="00C54A03">
        <w:rPr>
          <w:noProof/>
          <w:color w:val="000000" w:themeColor="text1"/>
          <w:lang w:val="en-US"/>
        </w:rPr>
        <w:lastRenderedPageBreak/>
        <w:drawing>
          <wp:anchor distT="0" distB="0" distL="0" distR="0" simplePos="0" relativeHeight="251648000" behindDoc="0" locked="0" layoutInCell="1" allowOverlap="1" wp14:anchorId="27159F2E" wp14:editId="03887E55">
            <wp:simplePos x="0" y="0"/>
            <wp:positionH relativeFrom="page">
              <wp:posOffset>1173480</wp:posOffset>
            </wp:positionH>
            <wp:positionV relativeFrom="paragraph">
              <wp:posOffset>1390308</wp:posOffset>
            </wp:positionV>
            <wp:extent cx="5277231" cy="3703320"/>
            <wp:effectExtent l="0" t="0" r="0" b="0"/>
            <wp:wrapTopAndBottom/>
            <wp:docPr id="374"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4.jpeg"/>
                    <pic:cNvPicPr/>
                  </pic:nvPicPr>
                  <pic:blipFill>
                    <a:blip r:embed="rId72" cstate="print"/>
                    <a:stretch>
                      <a:fillRect/>
                    </a:stretch>
                  </pic:blipFill>
                  <pic:spPr>
                    <a:xfrm>
                      <a:off x="0" y="0"/>
                      <a:ext cx="5277231" cy="3703320"/>
                    </a:xfrm>
                    <a:prstGeom prst="rect">
                      <a:avLst/>
                    </a:prstGeom>
                  </pic:spPr>
                </pic:pic>
              </a:graphicData>
            </a:graphic>
          </wp:anchor>
        </w:drawing>
      </w:r>
      <w:r w:rsidRPr="00C54A03">
        <w:rPr>
          <w:color w:val="000000" w:themeColor="text1"/>
        </w:rPr>
        <w:t>Hărțile de distribuție și ale arealului fiecărui tip de habitat se vor realiza în formatul standard 10x10</w:t>
      </w:r>
      <w:r w:rsidRPr="00C54A03">
        <w:rPr>
          <w:color w:val="000000" w:themeColor="text1"/>
          <w:spacing w:val="1"/>
        </w:rPr>
        <w:t xml:space="preserve"> </w:t>
      </w:r>
      <w:r w:rsidRPr="00C54A03">
        <w:rPr>
          <w:color w:val="000000" w:themeColor="text1"/>
        </w:rPr>
        <w:t>km ETRS, proiecţie ETRS 5210. Conform instrucțiunilor CE nu este permisa utilizarea de date</w:t>
      </w:r>
      <w:r w:rsidRPr="00C54A03">
        <w:rPr>
          <w:color w:val="000000" w:themeColor="text1"/>
          <w:spacing w:val="1"/>
        </w:rPr>
        <w:t xml:space="preserve"> </w:t>
      </w:r>
      <w:r w:rsidRPr="00C54A03">
        <w:rPr>
          <w:color w:val="000000" w:themeColor="text1"/>
        </w:rPr>
        <w:t>atribut pentru indicarea prezenței unui habitat într-o celula din grid. Hărțile de distribuție vor fi</w:t>
      </w:r>
      <w:r w:rsidRPr="00C54A03">
        <w:rPr>
          <w:color w:val="000000" w:themeColor="text1"/>
          <w:spacing w:val="1"/>
        </w:rPr>
        <w:t xml:space="preserve"> </w:t>
      </w:r>
      <w:r w:rsidRPr="00C54A03">
        <w:rPr>
          <w:color w:val="000000" w:themeColor="text1"/>
        </w:rPr>
        <w:t>completate cu metadatele necesare, conform cu cerințele CE, și în concordanță cu specificațiile</w:t>
      </w:r>
      <w:r w:rsidRPr="00C54A03">
        <w:rPr>
          <w:color w:val="000000" w:themeColor="text1"/>
          <w:spacing w:val="1"/>
        </w:rPr>
        <w:t xml:space="preserve"> </w:t>
      </w:r>
      <w:r w:rsidRPr="00C54A03">
        <w:rPr>
          <w:color w:val="000000" w:themeColor="text1"/>
        </w:rPr>
        <w:t>INSPIRE, atunci când acestea vor fi disponibile pentru aceste tipuri de date. Metadatele vor conține</w:t>
      </w:r>
      <w:r w:rsidRPr="00C54A03">
        <w:rPr>
          <w:color w:val="000000" w:themeColor="text1"/>
          <w:spacing w:val="1"/>
        </w:rPr>
        <w:t xml:space="preserve"> </w:t>
      </w:r>
      <w:r w:rsidRPr="00C54A03">
        <w:rPr>
          <w:color w:val="000000" w:themeColor="text1"/>
        </w:rPr>
        <w:t>între</w:t>
      </w:r>
      <w:r w:rsidRPr="00C54A03">
        <w:rPr>
          <w:color w:val="000000" w:themeColor="text1"/>
          <w:spacing w:val="-3"/>
        </w:rPr>
        <w:t xml:space="preserve"> </w:t>
      </w:r>
      <w:r w:rsidRPr="00C54A03">
        <w:rPr>
          <w:color w:val="000000" w:themeColor="text1"/>
        </w:rPr>
        <w:t>altele perioada</w:t>
      </w:r>
      <w:r w:rsidRPr="00C54A03">
        <w:rPr>
          <w:color w:val="000000" w:themeColor="text1"/>
          <w:spacing w:val="-2"/>
        </w:rPr>
        <w:t xml:space="preserve"> </w:t>
      </w:r>
      <w:r w:rsidRPr="00C54A03">
        <w:rPr>
          <w:color w:val="000000" w:themeColor="text1"/>
        </w:rPr>
        <w:t>în care</w:t>
      </w:r>
      <w:r w:rsidRPr="00C54A03">
        <w:rPr>
          <w:color w:val="000000" w:themeColor="text1"/>
          <w:spacing w:val="-2"/>
        </w:rPr>
        <w:t xml:space="preserve"> </w:t>
      </w:r>
      <w:r w:rsidRPr="00C54A03">
        <w:rPr>
          <w:color w:val="000000" w:themeColor="text1"/>
        </w:rPr>
        <w:t>au</w:t>
      </w:r>
      <w:r w:rsidRPr="00C54A03">
        <w:rPr>
          <w:color w:val="000000" w:themeColor="text1"/>
          <w:spacing w:val="-1"/>
        </w:rPr>
        <w:t xml:space="preserve"> </w:t>
      </w:r>
      <w:r w:rsidRPr="00C54A03">
        <w:rPr>
          <w:color w:val="000000" w:themeColor="text1"/>
        </w:rPr>
        <w:t>fost culese</w:t>
      </w:r>
      <w:r w:rsidRPr="00C54A03">
        <w:rPr>
          <w:color w:val="000000" w:themeColor="text1"/>
          <w:spacing w:val="-2"/>
        </w:rPr>
        <w:t xml:space="preserve"> </w:t>
      </w:r>
      <w:r w:rsidRPr="00C54A03">
        <w:rPr>
          <w:color w:val="000000" w:themeColor="text1"/>
        </w:rPr>
        <w:t>datele de</w:t>
      </w:r>
      <w:r w:rsidRPr="00C54A03">
        <w:rPr>
          <w:color w:val="000000" w:themeColor="text1"/>
          <w:spacing w:val="-1"/>
        </w:rPr>
        <w:t xml:space="preserve"> </w:t>
      </w:r>
      <w:r w:rsidRPr="00C54A03">
        <w:rPr>
          <w:color w:val="000000" w:themeColor="text1"/>
        </w:rPr>
        <w:t>distribuție,</w:t>
      </w:r>
      <w:r w:rsidRPr="00C54A03">
        <w:rPr>
          <w:color w:val="000000" w:themeColor="text1"/>
          <w:spacing w:val="-1"/>
        </w:rPr>
        <w:t xml:space="preserve"> </w:t>
      </w:r>
      <w:r w:rsidRPr="00C54A03">
        <w:rPr>
          <w:color w:val="000000" w:themeColor="text1"/>
        </w:rPr>
        <w:t>sistemul de</w:t>
      </w:r>
      <w:r w:rsidRPr="00C54A03">
        <w:rPr>
          <w:color w:val="000000" w:themeColor="text1"/>
          <w:spacing w:val="-1"/>
        </w:rPr>
        <w:t xml:space="preserve"> </w:t>
      </w:r>
      <w:r w:rsidRPr="00C54A03">
        <w:rPr>
          <w:color w:val="000000" w:themeColor="text1"/>
        </w:rPr>
        <w:t>proiecție,</w:t>
      </w:r>
      <w:r w:rsidRPr="00C54A03">
        <w:rPr>
          <w:color w:val="000000" w:themeColor="text1"/>
          <w:spacing w:val="-1"/>
        </w:rPr>
        <w:t xml:space="preserve"> </w:t>
      </w:r>
      <w:r w:rsidRPr="00C54A03">
        <w:rPr>
          <w:color w:val="000000" w:themeColor="text1"/>
        </w:rPr>
        <w:t>data,</w:t>
      </w:r>
      <w:r w:rsidRPr="00C54A03">
        <w:rPr>
          <w:color w:val="000000" w:themeColor="text1"/>
          <w:spacing w:val="2"/>
        </w:rPr>
        <w:t xml:space="preserve"> </w:t>
      </w:r>
      <w:r w:rsidRPr="00C54A03">
        <w:rPr>
          <w:color w:val="000000" w:themeColor="text1"/>
        </w:rPr>
        <w:t>etc.</w:t>
      </w:r>
    </w:p>
    <w:p w14:paraId="71223D73" w14:textId="77777777" w:rsidR="00E13976" w:rsidRPr="00C54A03" w:rsidRDefault="00E13976" w:rsidP="008E33FD">
      <w:pPr>
        <w:widowControl w:val="0"/>
        <w:autoSpaceDE w:val="0"/>
        <w:autoSpaceDN w:val="0"/>
        <w:jc w:val="both"/>
        <w:rPr>
          <w:color w:val="000000" w:themeColor="text1"/>
        </w:rPr>
      </w:pPr>
    </w:p>
    <w:p w14:paraId="499C474F" w14:textId="77777777" w:rsidR="00E13976" w:rsidRPr="00C54A03" w:rsidRDefault="00E13976" w:rsidP="008E33FD">
      <w:pPr>
        <w:widowControl w:val="0"/>
        <w:autoSpaceDE w:val="0"/>
        <w:autoSpaceDN w:val="0"/>
        <w:spacing w:before="1"/>
        <w:jc w:val="both"/>
        <w:rPr>
          <w:color w:val="000000" w:themeColor="text1"/>
        </w:rPr>
      </w:pPr>
    </w:p>
    <w:p w14:paraId="0B687626" w14:textId="77777777" w:rsidR="00E13976" w:rsidRPr="00C54A03" w:rsidRDefault="00E13976" w:rsidP="008E33FD">
      <w:pPr>
        <w:widowControl w:val="0"/>
        <w:tabs>
          <w:tab w:val="left" w:pos="1115"/>
        </w:tabs>
        <w:autoSpaceDE w:val="0"/>
        <w:autoSpaceDN w:val="0"/>
        <w:spacing w:before="1"/>
        <w:jc w:val="both"/>
        <w:outlineLvl w:val="1"/>
        <w:rPr>
          <w:rFonts w:eastAsia="Cambria"/>
          <w:b/>
          <w:bCs/>
          <w:color w:val="000000" w:themeColor="text1"/>
        </w:rPr>
      </w:pPr>
      <w:r w:rsidRPr="00C54A03">
        <w:rPr>
          <w:rFonts w:eastAsia="Cambria"/>
          <w:b/>
          <w:bCs/>
          <w:color w:val="000000" w:themeColor="text1"/>
        </w:rPr>
        <w:t>Agregarea</w:t>
      </w:r>
      <w:r w:rsidRPr="00C54A03">
        <w:rPr>
          <w:rFonts w:eastAsia="Cambria"/>
          <w:b/>
          <w:bCs/>
          <w:color w:val="000000" w:themeColor="text1"/>
          <w:spacing w:val="-4"/>
        </w:rPr>
        <w:t xml:space="preserve"> </w:t>
      </w:r>
      <w:r w:rsidRPr="00C54A03">
        <w:rPr>
          <w:rFonts w:eastAsia="Cambria"/>
          <w:b/>
          <w:bCs/>
          <w:color w:val="000000" w:themeColor="text1"/>
        </w:rPr>
        <w:t>informației</w:t>
      </w:r>
      <w:r w:rsidRPr="00C54A03">
        <w:rPr>
          <w:rFonts w:eastAsia="Cambria"/>
          <w:b/>
          <w:bCs/>
          <w:color w:val="000000" w:themeColor="text1"/>
          <w:spacing w:val="-5"/>
        </w:rPr>
        <w:t xml:space="preserve"> </w:t>
      </w:r>
      <w:r w:rsidRPr="00C54A03">
        <w:rPr>
          <w:rFonts w:eastAsia="Cambria"/>
          <w:b/>
          <w:bCs/>
          <w:color w:val="000000" w:themeColor="text1"/>
        </w:rPr>
        <w:t>pe</w:t>
      </w:r>
      <w:r w:rsidRPr="00C54A03">
        <w:rPr>
          <w:rFonts w:eastAsia="Cambria"/>
          <w:b/>
          <w:bCs/>
          <w:color w:val="000000" w:themeColor="text1"/>
          <w:spacing w:val="-5"/>
        </w:rPr>
        <w:t xml:space="preserve"> </w:t>
      </w:r>
      <w:r w:rsidRPr="00C54A03">
        <w:rPr>
          <w:rFonts w:eastAsia="Cambria"/>
          <w:b/>
          <w:bCs/>
          <w:color w:val="000000" w:themeColor="text1"/>
        </w:rPr>
        <w:t>plot</w:t>
      </w:r>
      <w:r w:rsidRPr="00C54A03">
        <w:rPr>
          <w:rFonts w:eastAsia="Cambria"/>
          <w:b/>
          <w:bCs/>
          <w:color w:val="000000" w:themeColor="text1"/>
          <w:spacing w:val="-3"/>
        </w:rPr>
        <w:t xml:space="preserve"> </w:t>
      </w:r>
      <w:r w:rsidRPr="00C54A03">
        <w:rPr>
          <w:rFonts w:eastAsia="Cambria"/>
          <w:b/>
          <w:bCs/>
          <w:color w:val="000000" w:themeColor="text1"/>
        </w:rPr>
        <w:t>de</w:t>
      </w:r>
      <w:r w:rsidRPr="00C54A03">
        <w:rPr>
          <w:rFonts w:eastAsia="Cambria"/>
          <w:b/>
          <w:bCs/>
          <w:color w:val="000000" w:themeColor="text1"/>
          <w:spacing w:val="-3"/>
        </w:rPr>
        <w:t xml:space="preserve"> </w:t>
      </w:r>
      <w:r w:rsidRPr="00C54A03">
        <w:rPr>
          <w:rFonts w:eastAsia="Cambria"/>
          <w:b/>
          <w:bCs/>
          <w:color w:val="000000" w:themeColor="text1"/>
        </w:rPr>
        <w:t>monitorizare</w:t>
      </w:r>
    </w:p>
    <w:p w14:paraId="4189381E" w14:textId="77777777" w:rsidR="00E13976" w:rsidRPr="00C54A03" w:rsidRDefault="00E13976" w:rsidP="008E33FD">
      <w:pPr>
        <w:widowControl w:val="0"/>
        <w:autoSpaceDE w:val="0"/>
        <w:autoSpaceDN w:val="0"/>
        <w:spacing w:before="157"/>
        <w:jc w:val="both"/>
        <w:rPr>
          <w:color w:val="000000" w:themeColor="text1"/>
        </w:rPr>
      </w:pPr>
      <w:r w:rsidRPr="00C54A03">
        <w:rPr>
          <w:color w:val="000000" w:themeColor="text1"/>
        </w:rPr>
        <w:t>Modul</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agregare a</w:t>
      </w:r>
      <w:r w:rsidRPr="00C54A03">
        <w:rPr>
          <w:color w:val="000000" w:themeColor="text1"/>
          <w:spacing w:val="-1"/>
        </w:rPr>
        <w:t xml:space="preserve"> </w:t>
      </w:r>
      <w:r w:rsidRPr="00C54A03">
        <w:rPr>
          <w:color w:val="000000" w:themeColor="text1"/>
        </w:rPr>
        <w:t>datelor</w:t>
      </w:r>
      <w:r w:rsidRPr="00C54A03">
        <w:rPr>
          <w:color w:val="000000" w:themeColor="text1"/>
          <w:spacing w:val="-1"/>
        </w:rPr>
        <w:t xml:space="preserve"> </w:t>
      </w:r>
      <w:r w:rsidRPr="00C54A03">
        <w:rPr>
          <w:color w:val="000000" w:themeColor="text1"/>
        </w:rPr>
        <w:t>se</w:t>
      </w:r>
      <w:r w:rsidRPr="00C54A03">
        <w:rPr>
          <w:color w:val="000000" w:themeColor="text1"/>
          <w:spacing w:val="-1"/>
        </w:rPr>
        <w:t xml:space="preserve"> </w:t>
      </w:r>
      <w:r w:rsidRPr="00C54A03">
        <w:rPr>
          <w:color w:val="000000" w:themeColor="text1"/>
        </w:rPr>
        <w:t>face</w:t>
      </w:r>
      <w:r w:rsidRPr="00C54A03">
        <w:rPr>
          <w:color w:val="000000" w:themeColor="text1"/>
          <w:spacing w:val="-1"/>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două</w:t>
      </w:r>
      <w:r w:rsidRPr="00C54A03">
        <w:rPr>
          <w:color w:val="000000" w:themeColor="text1"/>
          <w:spacing w:val="-1"/>
        </w:rPr>
        <w:t xml:space="preserve"> </w:t>
      </w:r>
      <w:r w:rsidRPr="00C54A03">
        <w:rPr>
          <w:color w:val="000000" w:themeColor="text1"/>
        </w:rPr>
        <w:t>etape:</w:t>
      </w:r>
    </w:p>
    <w:p w14:paraId="483AA619" w14:textId="77777777" w:rsidR="00E13976" w:rsidRPr="00C54A03" w:rsidRDefault="00E13976" w:rsidP="009E63E5">
      <w:pPr>
        <w:widowControl w:val="0"/>
        <w:numPr>
          <w:ilvl w:val="0"/>
          <w:numId w:val="76"/>
        </w:numPr>
        <w:tabs>
          <w:tab w:val="left" w:pos="713"/>
          <w:tab w:val="left" w:pos="714"/>
        </w:tabs>
        <w:autoSpaceDE w:val="0"/>
        <w:autoSpaceDN w:val="0"/>
        <w:spacing w:before="12" w:line="228" w:lineRule="auto"/>
        <w:ind w:right="252"/>
        <w:jc w:val="both"/>
        <w:rPr>
          <w:color w:val="000000" w:themeColor="text1"/>
        </w:rPr>
      </w:pPr>
      <w:r w:rsidRPr="00C54A03">
        <w:rPr>
          <w:color w:val="000000" w:themeColor="text1"/>
        </w:rPr>
        <w:t>Agregarea</w:t>
      </w:r>
      <w:r w:rsidRPr="00C54A03">
        <w:rPr>
          <w:color w:val="000000" w:themeColor="text1"/>
          <w:spacing w:val="14"/>
        </w:rPr>
        <w:t xml:space="preserve"> </w:t>
      </w:r>
      <w:r w:rsidRPr="00C54A03">
        <w:rPr>
          <w:color w:val="000000" w:themeColor="text1"/>
        </w:rPr>
        <w:t>spațială,</w:t>
      </w:r>
      <w:r w:rsidRPr="00C54A03">
        <w:rPr>
          <w:color w:val="000000" w:themeColor="text1"/>
          <w:spacing w:val="15"/>
        </w:rPr>
        <w:t xml:space="preserve"> </w:t>
      </w:r>
      <w:r w:rsidRPr="00C54A03">
        <w:rPr>
          <w:color w:val="000000" w:themeColor="text1"/>
        </w:rPr>
        <w:t>respectiv</w:t>
      </w:r>
      <w:r w:rsidRPr="00C54A03">
        <w:rPr>
          <w:color w:val="000000" w:themeColor="text1"/>
          <w:spacing w:val="17"/>
        </w:rPr>
        <w:t xml:space="preserve"> </w:t>
      </w:r>
      <w:r w:rsidRPr="00C54A03">
        <w:rPr>
          <w:color w:val="000000" w:themeColor="text1"/>
        </w:rPr>
        <w:t>generarea</w:t>
      </w:r>
      <w:r w:rsidRPr="00C54A03">
        <w:rPr>
          <w:color w:val="000000" w:themeColor="text1"/>
          <w:spacing w:val="14"/>
        </w:rPr>
        <w:t xml:space="preserve"> </w:t>
      </w:r>
      <w:r w:rsidRPr="00C54A03">
        <w:rPr>
          <w:color w:val="000000" w:themeColor="text1"/>
        </w:rPr>
        <w:t>hărților</w:t>
      </w:r>
      <w:r w:rsidRPr="00C54A03">
        <w:rPr>
          <w:color w:val="000000" w:themeColor="text1"/>
          <w:spacing w:val="15"/>
        </w:rPr>
        <w:t xml:space="preserve"> </w:t>
      </w:r>
      <w:r w:rsidRPr="00C54A03">
        <w:rPr>
          <w:color w:val="000000" w:themeColor="text1"/>
        </w:rPr>
        <w:t>în</w:t>
      </w:r>
      <w:r w:rsidRPr="00C54A03">
        <w:rPr>
          <w:color w:val="000000" w:themeColor="text1"/>
          <w:spacing w:val="15"/>
        </w:rPr>
        <w:t xml:space="preserve"> </w:t>
      </w:r>
      <w:r w:rsidRPr="00C54A03">
        <w:rPr>
          <w:color w:val="000000" w:themeColor="text1"/>
        </w:rPr>
        <w:t>conformitate</w:t>
      </w:r>
      <w:r w:rsidRPr="00C54A03">
        <w:rPr>
          <w:color w:val="000000" w:themeColor="text1"/>
          <w:spacing w:val="14"/>
        </w:rPr>
        <w:t xml:space="preserve"> </w:t>
      </w:r>
      <w:r w:rsidRPr="00C54A03">
        <w:rPr>
          <w:color w:val="000000" w:themeColor="text1"/>
        </w:rPr>
        <w:t>cu</w:t>
      </w:r>
      <w:r w:rsidRPr="00C54A03">
        <w:rPr>
          <w:color w:val="000000" w:themeColor="text1"/>
          <w:spacing w:val="15"/>
        </w:rPr>
        <w:t xml:space="preserve"> </w:t>
      </w:r>
      <w:r w:rsidRPr="00C54A03">
        <w:rPr>
          <w:color w:val="000000" w:themeColor="text1"/>
        </w:rPr>
        <w:t>formatul</w:t>
      </w:r>
      <w:r w:rsidRPr="00C54A03">
        <w:rPr>
          <w:color w:val="000000" w:themeColor="text1"/>
          <w:spacing w:val="16"/>
        </w:rPr>
        <w:t xml:space="preserve"> </w:t>
      </w:r>
      <w:r w:rsidRPr="00C54A03">
        <w:rPr>
          <w:color w:val="000000" w:themeColor="text1"/>
        </w:rPr>
        <w:t>de</w:t>
      </w:r>
      <w:r w:rsidRPr="00C54A03">
        <w:rPr>
          <w:color w:val="000000" w:themeColor="text1"/>
          <w:spacing w:val="14"/>
        </w:rPr>
        <w:t xml:space="preserve"> </w:t>
      </w:r>
      <w:r w:rsidRPr="00C54A03">
        <w:rPr>
          <w:color w:val="000000" w:themeColor="text1"/>
        </w:rPr>
        <w:t>raportare</w:t>
      </w:r>
      <w:r w:rsidRPr="00C54A03">
        <w:rPr>
          <w:color w:val="000000" w:themeColor="text1"/>
          <w:spacing w:val="-57"/>
        </w:rPr>
        <w:t xml:space="preserve"> </w:t>
      </w:r>
      <w:r w:rsidRPr="00C54A03">
        <w:rPr>
          <w:color w:val="000000" w:themeColor="text1"/>
        </w:rPr>
        <w:t>pornind</w:t>
      </w:r>
      <w:r w:rsidRPr="00C54A03">
        <w:rPr>
          <w:color w:val="000000" w:themeColor="text1"/>
          <w:spacing w:val="-1"/>
        </w:rPr>
        <w:t xml:space="preserve"> </w:t>
      </w:r>
      <w:r w:rsidRPr="00C54A03">
        <w:rPr>
          <w:color w:val="000000" w:themeColor="text1"/>
        </w:rPr>
        <w:t>de</w:t>
      </w:r>
      <w:r w:rsidRPr="00C54A03">
        <w:rPr>
          <w:color w:val="000000" w:themeColor="text1"/>
          <w:spacing w:val="-2"/>
        </w:rPr>
        <w:t xml:space="preserve"> </w:t>
      </w:r>
      <w:r w:rsidRPr="00C54A03">
        <w:rPr>
          <w:color w:val="000000" w:themeColor="text1"/>
        </w:rPr>
        <w:t>la datele</w:t>
      </w:r>
      <w:r w:rsidRPr="00C54A03">
        <w:rPr>
          <w:color w:val="000000" w:themeColor="text1"/>
          <w:spacing w:val="-1"/>
        </w:rPr>
        <w:t xml:space="preserve"> </w:t>
      </w:r>
      <w:r w:rsidRPr="00C54A03">
        <w:rPr>
          <w:color w:val="000000" w:themeColor="text1"/>
        </w:rPr>
        <w:t>primare/datele</w:t>
      </w:r>
      <w:r w:rsidRPr="00C54A03">
        <w:rPr>
          <w:color w:val="000000" w:themeColor="text1"/>
          <w:spacing w:val="-1"/>
        </w:rPr>
        <w:t xml:space="preserve"> </w:t>
      </w:r>
      <w:r w:rsidRPr="00C54A03">
        <w:rPr>
          <w:color w:val="000000" w:themeColor="text1"/>
        </w:rPr>
        <w:t>din teren.</w:t>
      </w:r>
    </w:p>
    <w:p w14:paraId="0D02E6B3" w14:textId="77777777" w:rsidR="00E13976" w:rsidRPr="00C54A03" w:rsidRDefault="00E13976" w:rsidP="009E63E5">
      <w:pPr>
        <w:widowControl w:val="0"/>
        <w:numPr>
          <w:ilvl w:val="0"/>
          <w:numId w:val="76"/>
        </w:numPr>
        <w:tabs>
          <w:tab w:val="left" w:pos="713"/>
          <w:tab w:val="left" w:pos="714"/>
        </w:tabs>
        <w:autoSpaceDE w:val="0"/>
        <w:autoSpaceDN w:val="0"/>
        <w:spacing w:before="11" w:line="230" w:lineRule="auto"/>
        <w:ind w:right="249"/>
        <w:jc w:val="both"/>
        <w:rPr>
          <w:color w:val="000000" w:themeColor="text1"/>
        </w:rPr>
      </w:pPr>
      <w:r w:rsidRPr="00C54A03">
        <w:rPr>
          <w:color w:val="000000" w:themeColor="text1"/>
        </w:rPr>
        <w:t>Agregarea</w:t>
      </w:r>
      <w:r w:rsidRPr="00C54A03">
        <w:rPr>
          <w:color w:val="000000" w:themeColor="text1"/>
          <w:spacing w:val="23"/>
        </w:rPr>
        <w:t xml:space="preserve"> </w:t>
      </w:r>
      <w:r w:rsidRPr="00C54A03">
        <w:rPr>
          <w:color w:val="000000" w:themeColor="text1"/>
        </w:rPr>
        <w:t>non-spațială</w:t>
      </w:r>
      <w:r w:rsidRPr="00C54A03">
        <w:rPr>
          <w:color w:val="000000" w:themeColor="text1"/>
          <w:spacing w:val="25"/>
        </w:rPr>
        <w:t xml:space="preserve"> </w:t>
      </w:r>
      <w:r w:rsidRPr="00C54A03">
        <w:rPr>
          <w:color w:val="000000" w:themeColor="text1"/>
        </w:rPr>
        <w:t>care</w:t>
      </w:r>
      <w:r w:rsidRPr="00C54A03">
        <w:rPr>
          <w:color w:val="000000" w:themeColor="text1"/>
          <w:spacing w:val="22"/>
        </w:rPr>
        <w:t xml:space="preserve"> </w:t>
      </w:r>
      <w:r w:rsidRPr="00C54A03">
        <w:rPr>
          <w:color w:val="000000" w:themeColor="text1"/>
        </w:rPr>
        <w:t>presupune</w:t>
      </w:r>
      <w:r w:rsidRPr="00C54A03">
        <w:rPr>
          <w:color w:val="000000" w:themeColor="text1"/>
          <w:spacing w:val="25"/>
        </w:rPr>
        <w:t xml:space="preserve"> </w:t>
      </w:r>
      <w:r w:rsidRPr="00C54A03">
        <w:rPr>
          <w:color w:val="000000" w:themeColor="text1"/>
        </w:rPr>
        <w:t>generarea</w:t>
      </w:r>
      <w:r w:rsidRPr="00C54A03">
        <w:rPr>
          <w:color w:val="000000" w:themeColor="text1"/>
          <w:spacing w:val="23"/>
        </w:rPr>
        <w:t xml:space="preserve"> </w:t>
      </w:r>
      <w:r w:rsidRPr="00C54A03">
        <w:rPr>
          <w:color w:val="000000" w:themeColor="text1"/>
        </w:rPr>
        <w:t>fișierelor</w:t>
      </w:r>
      <w:r w:rsidRPr="00C54A03">
        <w:rPr>
          <w:color w:val="000000" w:themeColor="text1"/>
          <w:spacing w:val="24"/>
        </w:rPr>
        <w:t xml:space="preserve"> </w:t>
      </w:r>
      <w:r w:rsidRPr="00C54A03">
        <w:rPr>
          <w:color w:val="000000" w:themeColor="text1"/>
        </w:rPr>
        <w:t>specifice,</w:t>
      </w:r>
      <w:r w:rsidRPr="00C54A03">
        <w:rPr>
          <w:color w:val="000000" w:themeColor="text1"/>
          <w:spacing w:val="24"/>
        </w:rPr>
        <w:t xml:space="preserve"> </w:t>
      </w:r>
      <w:r w:rsidRPr="00C54A03">
        <w:rPr>
          <w:color w:val="000000" w:themeColor="text1"/>
        </w:rPr>
        <w:t>în</w:t>
      </w:r>
      <w:r w:rsidRPr="00C54A03">
        <w:rPr>
          <w:color w:val="000000" w:themeColor="text1"/>
          <w:spacing w:val="26"/>
        </w:rPr>
        <w:t xml:space="preserve"> </w:t>
      </w:r>
      <w:r w:rsidRPr="00C54A03">
        <w:rPr>
          <w:color w:val="000000" w:themeColor="text1"/>
        </w:rPr>
        <w:t>conformitate</w:t>
      </w:r>
      <w:r w:rsidRPr="00C54A03">
        <w:rPr>
          <w:color w:val="000000" w:themeColor="text1"/>
          <w:spacing w:val="23"/>
        </w:rPr>
        <w:t xml:space="preserve"> </w:t>
      </w:r>
      <w:r w:rsidRPr="00C54A03">
        <w:rPr>
          <w:color w:val="000000" w:themeColor="text1"/>
        </w:rPr>
        <w:t>cu</w:t>
      </w:r>
      <w:r w:rsidRPr="00C54A03">
        <w:rPr>
          <w:color w:val="000000" w:themeColor="text1"/>
          <w:spacing w:val="-57"/>
        </w:rPr>
        <w:t xml:space="preserve"> </w:t>
      </w:r>
      <w:r w:rsidRPr="00C54A03">
        <w:rPr>
          <w:color w:val="000000" w:themeColor="text1"/>
        </w:rPr>
        <w:t>formatul</w:t>
      </w:r>
      <w:r w:rsidRPr="00C54A03">
        <w:rPr>
          <w:color w:val="000000" w:themeColor="text1"/>
          <w:spacing w:val="-1"/>
        </w:rPr>
        <w:t xml:space="preserve"> </w:t>
      </w:r>
      <w:r w:rsidRPr="00C54A03">
        <w:rPr>
          <w:color w:val="000000" w:themeColor="text1"/>
        </w:rPr>
        <w:t>de raportare, pornind de</w:t>
      </w:r>
      <w:r w:rsidRPr="00C54A03">
        <w:rPr>
          <w:color w:val="000000" w:themeColor="text1"/>
          <w:spacing w:val="-2"/>
        </w:rPr>
        <w:t xml:space="preserve"> </w:t>
      </w:r>
      <w:r w:rsidRPr="00C54A03">
        <w:rPr>
          <w:color w:val="000000" w:themeColor="text1"/>
        </w:rPr>
        <w:t>la datele</w:t>
      </w:r>
      <w:r w:rsidRPr="00C54A03">
        <w:rPr>
          <w:color w:val="000000" w:themeColor="text1"/>
          <w:spacing w:val="-1"/>
        </w:rPr>
        <w:t xml:space="preserve"> </w:t>
      </w:r>
      <w:r w:rsidRPr="00C54A03">
        <w:rPr>
          <w:color w:val="000000" w:themeColor="text1"/>
        </w:rPr>
        <w:t>primare.</w:t>
      </w:r>
    </w:p>
    <w:p w14:paraId="43591DCB" w14:textId="77777777" w:rsidR="00E13976" w:rsidRPr="00C54A03" w:rsidRDefault="00E13976" w:rsidP="008E33FD">
      <w:pPr>
        <w:widowControl w:val="0"/>
        <w:autoSpaceDE w:val="0"/>
        <w:autoSpaceDN w:val="0"/>
        <w:spacing w:line="230" w:lineRule="auto"/>
        <w:jc w:val="both"/>
        <w:rPr>
          <w:color w:val="000000" w:themeColor="text1"/>
        </w:rPr>
        <w:sectPr w:rsidR="00E13976" w:rsidRPr="00C54A03" w:rsidSect="00082644">
          <w:pgSz w:w="11910" w:h="16840"/>
          <w:pgMar w:top="1411" w:right="480" w:bottom="1598" w:left="1066" w:header="0" w:footer="1411" w:gutter="0"/>
          <w:cols w:space="708"/>
        </w:sectPr>
      </w:pPr>
    </w:p>
    <w:p w14:paraId="4CD8DA80" w14:textId="77777777" w:rsidR="00E13976" w:rsidRPr="00C54A03" w:rsidRDefault="00C06977" w:rsidP="008E33FD">
      <w:pPr>
        <w:widowControl w:val="0"/>
        <w:tabs>
          <w:tab w:val="left" w:pos="1115"/>
        </w:tabs>
        <w:autoSpaceDE w:val="0"/>
        <w:autoSpaceDN w:val="0"/>
        <w:spacing w:before="90"/>
        <w:ind w:right="643"/>
        <w:jc w:val="both"/>
        <w:outlineLvl w:val="0"/>
        <w:rPr>
          <w:rFonts w:eastAsia="Cambria"/>
          <w:b/>
          <w:bCs/>
          <w:color w:val="000000" w:themeColor="text1"/>
        </w:rPr>
      </w:pPr>
      <w:r w:rsidRPr="00C54A03">
        <w:rPr>
          <w:rFonts w:eastAsia="Cambria"/>
          <w:b/>
          <w:bCs/>
          <w:color w:val="000000" w:themeColor="text1"/>
        </w:rPr>
        <w:lastRenderedPageBreak/>
        <w:t xml:space="preserve">Structura și funcțiile habitatelor de mlaștini </w:t>
      </w:r>
      <w:r w:rsidR="00C350FB" w:rsidRPr="00C54A03">
        <w:rPr>
          <w:rFonts w:eastAsia="Cambria"/>
          <w:b/>
          <w:bCs/>
          <w:color w:val="000000" w:themeColor="text1"/>
        </w:rPr>
        <w:t xml:space="preserve">și turbării </w:t>
      </w:r>
    </w:p>
    <w:p w14:paraId="36432D9A" w14:textId="77777777" w:rsidR="00E13976" w:rsidRPr="00C54A03" w:rsidRDefault="00E13976" w:rsidP="008E33FD">
      <w:pPr>
        <w:widowControl w:val="0"/>
        <w:autoSpaceDE w:val="0"/>
        <w:autoSpaceDN w:val="0"/>
        <w:jc w:val="both"/>
        <w:rPr>
          <w:b/>
          <w:color w:val="000000" w:themeColor="text1"/>
        </w:rPr>
      </w:pPr>
    </w:p>
    <w:p w14:paraId="4A394343" w14:textId="77777777" w:rsidR="00E13976" w:rsidRPr="00C54A03" w:rsidRDefault="00E13976" w:rsidP="008E33FD">
      <w:pPr>
        <w:widowControl w:val="0"/>
        <w:autoSpaceDE w:val="0"/>
        <w:autoSpaceDN w:val="0"/>
        <w:ind w:right="249"/>
        <w:jc w:val="both"/>
        <w:rPr>
          <w:color w:val="000000" w:themeColor="text1"/>
        </w:rPr>
      </w:pPr>
      <w:r w:rsidRPr="00C54A03">
        <w:rPr>
          <w:color w:val="000000" w:themeColor="text1"/>
        </w:rPr>
        <w:t>Inventarierea habitatelor se va realizape baza Manualului de Interpretare a Habitatelor Naturale din</w:t>
      </w:r>
      <w:r w:rsidRPr="00C54A03">
        <w:rPr>
          <w:color w:val="000000" w:themeColor="text1"/>
          <w:spacing w:val="1"/>
        </w:rPr>
        <w:t xml:space="preserve"> </w:t>
      </w:r>
      <w:r w:rsidRPr="00C54A03">
        <w:rPr>
          <w:color w:val="000000" w:themeColor="text1"/>
        </w:rPr>
        <w:t>Uniunea</w:t>
      </w:r>
      <w:r w:rsidRPr="00C54A03">
        <w:rPr>
          <w:color w:val="000000" w:themeColor="text1"/>
          <w:spacing w:val="1"/>
        </w:rPr>
        <w:t xml:space="preserve"> </w:t>
      </w:r>
      <w:r w:rsidRPr="00C54A03">
        <w:rPr>
          <w:color w:val="000000" w:themeColor="text1"/>
        </w:rPr>
        <w:t>Europeană</w:t>
      </w:r>
      <w:r w:rsidRPr="00C54A03">
        <w:rPr>
          <w:color w:val="000000" w:themeColor="text1"/>
          <w:spacing w:val="1"/>
        </w:rPr>
        <w:t xml:space="preserve"> </w:t>
      </w:r>
      <w:r w:rsidRPr="00C54A03">
        <w:rPr>
          <w:color w:val="000000" w:themeColor="text1"/>
        </w:rPr>
        <w:t>(EUR</w:t>
      </w:r>
      <w:r w:rsidRPr="00C54A03">
        <w:rPr>
          <w:color w:val="000000" w:themeColor="text1"/>
          <w:spacing w:val="1"/>
        </w:rPr>
        <w:t xml:space="preserve"> </w:t>
      </w:r>
      <w:r w:rsidRPr="00C54A03">
        <w:rPr>
          <w:color w:val="000000" w:themeColor="text1"/>
        </w:rPr>
        <w:t>28)</w:t>
      </w:r>
      <w:r w:rsidRPr="00C54A03">
        <w:rPr>
          <w:color w:val="000000" w:themeColor="text1"/>
          <w:spacing w:val="1"/>
        </w:rPr>
        <w:t xml:space="preserve"> </w:t>
      </w:r>
      <w:r w:rsidRPr="00C54A03">
        <w:rPr>
          <w:color w:val="000000" w:themeColor="text1"/>
        </w:rPr>
        <w:t>și</w:t>
      </w:r>
      <w:r w:rsidRPr="00C54A03">
        <w:rPr>
          <w:color w:val="000000" w:themeColor="text1"/>
          <w:spacing w:val="1"/>
        </w:rPr>
        <w:t xml:space="preserve"> </w:t>
      </w:r>
      <w:r w:rsidRPr="00C54A03">
        <w:rPr>
          <w:color w:val="000000" w:themeColor="text1"/>
        </w:rPr>
        <w:t>după</w:t>
      </w:r>
      <w:r w:rsidRPr="00C54A03">
        <w:rPr>
          <w:color w:val="000000" w:themeColor="text1"/>
          <w:spacing w:val="1"/>
        </w:rPr>
        <w:t xml:space="preserve"> </w:t>
      </w:r>
      <w:r w:rsidRPr="00C54A03">
        <w:rPr>
          <w:color w:val="000000" w:themeColor="text1"/>
        </w:rPr>
        <w:t>Şcoala</w:t>
      </w:r>
      <w:r w:rsidRPr="00C54A03">
        <w:rPr>
          <w:color w:val="000000" w:themeColor="text1"/>
          <w:spacing w:val="1"/>
        </w:rPr>
        <w:t xml:space="preserve"> </w:t>
      </w:r>
      <w:r w:rsidRPr="00C54A03">
        <w:rPr>
          <w:color w:val="000000" w:themeColor="text1"/>
        </w:rPr>
        <w:t>Floristică</w:t>
      </w:r>
      <w:r w:rsidRPr="00C54A03">
        <w:rPr>
          <w:color w:val="000000" w:themeColor="text1"/>
          <w:spacing w:val="1"/>
        </w:rPr>
        <w:t xml:space="preserve"> </w:t>
      </w:r>
      <w:r w:rsidRPr="00C54A03">
        <w:rPr>
          <w:color w:val="000000" w:themeColor="text1"/>
        </w:rPr>
        <w:t>Central</w:t>
      </w:r>
      <w:r w:rsidRPr="00C54A03">
        <w:rPr>
          <w:color w:val="000000" w:themeColor="text1"/>
          <w:spacing w:val="1"/>
        </w:rPr>
        <w:t xml:space="preserve"> </w:t>
      </w:r>
      <w:r w:rsidRPr="00C54A03">
        <w:rPr>
          <w:color w:val="000000" w:themeColor="text1"/>
        </w:rPr>
        <w:t>Europeană</w:t>
      </w:r>
      <w:r w:rsidRPr="00C54A03">
        <w:rPr>
          <w:color w:val="000000" w:themeColor="text1"/>
          <w:spacing w:val="1"/>
        </w:rPr>
        <w:t xml:space="preserve"> </w:t>
      </w:r>
      <w:r w:rsidRPr="00C54A03">
        <w:rPr>
          <w:color w:val="000000" w:themeColor="text1"/>
        </w:rPr>
        <w:t>(Braun–Blanquet),</w:t>
      </w:r>
      <w:r w:rsidRPr="00C54A03">
        <w:rPr>
          <w:color w:val="000000" w:themeColor="text1"/>
          <w:spacing w:val="-57"/>
        </w:rPr>
        <w:t xml:space="preserve"> </w:t>
      </w:r>
      <w:r w:rsidRPr="00C54A03">
        <w:rPr>
          <w:color w:val="000000" w:themeColor="text1"/>
        </w:rPr>
        <w:t>situație în care se vor face investigaţii după „itinerar” şi în „staţionar”, în 2 etape</w:t>
      </w:r>
      <w:r w:rsidRPr="00C54A03">
        <w:rPr>
          <w:i/>
          <w:color w:val="000000" w:themeColor="text1"/>
        </w:rPr>
        <w:t>:</w:t>
      </w:r>
      <w:r w:rsidRPr="00C54A03">
        <w:rPr>
          <w:i/>
          <w:color w:val="000000" w:themeColor="text1"/>
          <w:spacing w:val="1"/>
        </w:rPr>
        <w:t xml:space="preserve"> </w:t>
      </w:r>
      <w:r w:rsidRPr="00C54A03">
        <w:rPr>
          <w:color w:val="000000" w:themeColor="text1"/>
        </w:rPr>
        <w:t>etapa analitică şi</w:t>
      </w:r>
      <w:r w:rsidRPr="00C54A03">
        <w:rPr>
          <w:color w:val="000000" w:themeColor="text1"/>
          <w:spacing w:val="1"/>
        </w:rPr>
        <w:t xml:space="preserve"> </w:t>
      </w:r>
      <w:r w:rsidRPr="00C54A03">
        <w:rPr>
          <w:color w:val="000000" w:themeColor="text1"/>
        </w:rPr>
        <w:t>etapa</w:t>
      </w:r>
      <w:r w:rsidRPr="00C54A03">
        <w:rPr>
          <w:color w:val="000000" w:themeColor="text1"/>
          <w:spacing w:val="-3"/>
        </w:rPr>
        <w:t xml:space="preserve"> </w:t>
      </w:r>
      <w:r w:rsidRPr="00C54A03">
        <w:rPr>
          <w:color w:val="000000" w:themeColor="text1"/>
        </w:rPr>
        <w:t>sintetică.</w:t>
      </w:r>
    </w:p>
    <w:p w14:paraId="11D644C6" w14:textId="77777777" w:rsidR="00E13976" w:rsidRPr="00C54A03" w:rsidRDefault="00E13976" w:rsidP="008E33FD">
      <w:pPr>
        <w:widowControl w:val="0"/>
        <w:autoSpaceDE w:val="0"/>
        <w:autoSpaceDN w:val="0"/>
        <w:ind w:right="249"/>
        <w:jc w:val="both"/>
        <w:rPr>
          <w:color w:val="000000" w:themeColor="text1"/>
        </w:rPr>
      </w:pPr>
      <w:r w:rsidRPr="00C54A03">
        <w:rPr>
          <w:color w:val="000000" w:themeColor="text1"/>
        </w:rPr>
        <w:t>Prin identificarea speciilor cheie (edificatoare/caracteristice) a habitatelor de interes comunitar se</w:t>
      </w:r>
      <w:r w:rsidRPr="00C54A03">
        <w:rPr>
          <w:color w:val="000000" w:themeColor="text1"/>
          <w:spacing w:val="1"/>
        </w:rPr>
        <w:t xml:space="preserve"> </w:t>
      </w:r>
      <w:r w:rsidRPr="00C54A03">
        <w:rPr>
          <w:color w:val="000000" w:themeColor="text1"/>
        </w:rPr>
        <w:t>vor</w:t>
      </w:r>
      <w:r w:rsidRPr="00C54A03">
        <w:rPr>
          <w:color w:val="000000" w:themeColor="text1"/>
          <w:spacing w:val="1"/>
        </w:rPr>
        <w:t xml:space="preserve"> </w:t>
      </w:r>
      <w:r w:rsidRPr="00C54A03">
        <w:rPr>
          <w:color w:val="000000" w:themeColor="text1"/>
        </w:rPr>
        <w:t>efectua</w:t>
      </w:r>
      <w:r w:rsidRPr="00C54A03">
        <w:rPr>
          <w:color w:val="000000" w:themeColor="text1"/>
          <w:spacing w:val="1"/>
        </w:rPr>
        <w:t xml:space="preserve"> </w:t>
      </w:r>
      <w:r w:rsidRPr="00C54A03">
        <w:rPr>
          <w:color w:val="000000" w:themeColor="text1"/>
        </w:rPr>
        <w:t>determinări</w:t>
      </w:r>
      <w:r w:rsidRPr="00C54A03">
        <w:rPr>
          <w:color w:val="000000" w:themeColor="text1"/>
          <w:spacing w:val="1"/>
        </w:rPr>
        <w:t xml:space="preserve"> </w:t>
      </w:r>
      <w:r w:rsidRPr="00C54A03">
        <w:rPr>
          <w:color w:val="000000" w:themeColor="text1"/>
        </w:rPr>
        <w:t>folosind</w:t>
      </w:r>
      <w:r w:rsidRPr="00C54A03">
        <w:rPr>
          <w:color w:val="000000" w:themeColor="text1"/>
          <w:spacing w:val="1"/>
        </w:rPr>
        <w:t xml:space="preserve"> </w:t>
      </w:r>
      <w:r w:rsidRPr="00C54A03">
        <w:rPr>
          <w:color w:val="000000" w:themeColor="text1"/>
        </w:rPr>
        <w:t>variabile</w:t>
      </w:r>
      <w:r w:rsidRPr="00C54A03">
        <w:rPr>
          <w:color w:val="000000" w:themeColor="text1"/>
          <w:spacing w:val="1"/>
        </w:rPr>
        <w:t xml:space="preserve"> </w:t>
      </w:r>
      <w:r w:rsidRPr="00C54A03">
        <w:rPr>
          <w:color w:val="000000" w:themeColor="text1"/>
        </w:rPr>
        <w:t>legate</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funcţiile</w:t>
      </w:r>
      <w:r w:rsidRPr="00C54A03">
        <w:rPr>
          <w:color w:val="000000" w:themeColor="text1"/>
          <w:spacing w:val="1"/>
        </w:rPr>
        <w:t xml:space="preserve"> </w:t>
      </w:r>
      <w:r w:rsidRPr="00C54A03">
        <w:rPr>
          <w:color w:val="000000" w:themeColor="text1"/>
        </w:rPr>
        <w:t>ecosistemului,</w:t>
      </w:r>
      <w:r w:rsidRPr="00C54A03">
        <w:rPr>
          <w:color w:val="000000" w:themeColor="text1"/>
          <w:spacing w:val="1"/>
        </w:rPr>
        <w:t xml:space="preserve"> </w:t>
      </w:r>
      <w:r w:rsidRPr="00C54A03">
        <w:rPr>
          <w:color w:val="000000" w:themeColor="text1"/>
        </w:rPr>
        <w:t>precum:</w:t>
      </w:r>
      <w:r w:rsidRPr="00C54A03">
        <w:rPr>
          <w:color w:val="000000" w:themeColor="text1"/>
          <w:spacing w:val="60"/>
        </w:rPr>
        <w:t xml:space="preserve"> </w:t>
      </w:r>
      <w:r w:rsidRPr="00C54A03">
        <w:rPr>
          <w:color w:val="000000" w:themeColor="text1"/>
        </w:rPr>
        <w:t>perioada</w:t>
      </w:r>
      <w:r w:rsidRPr="00C54A03">
        <w:rPr>
          <w:color w:val="000000" w:themeColor="text1"/>
          <w:spacing w:val="1"/>
        </w:rPr>
        <w:t xml:space="preserve"> </w:t>
      </w:r>
      <w:r w:rsidRPr="00C54A03">
        <w:rPr>
          <w:color w:val="000000" w:themeColor="text1"/>
        </w:rPr>
        <w:t>optimă de monitorizare, structura calitativă şi cantitativă a habitatului identificat şi a speciilor de</w:t>
      </w:r>
      <w:r w:rsidRPr="00C54A03">
        <w:rPr>
          <w:color w:val="000000" w:themeColor="text1"/>
          <w:spacing w:val="1"/>
        </w:rPr>
        <w:t xml:space="preserve"> </w:t>
      </w:r>
      <w:r w:rsidRPr="00C54A03">
        <w:rPr>
          <w:color w:val="000000" w:themeColor="text1"/>
        </w:rPr>
        <w:t>floră</w:t>
      </w:r>
      <w:r w:rsidRPr="00C54A03">
        <w:rPr>
          <w:color w:val="000000" w:themeColor="text1"/>
          <w:spacing w:val="-2"/>
        </w:rPr>
        <w:t xml:space="preserve"> </w:t>
      </w:r>
      <w:r w:rsidRPr="00C54A03">
        <w:rPr>
          <w:color w:val="000000" w:themeColor="text1"/>
        </w:rPr>
        <w:t>identificate. Datele</w:t>
      </w:r>
      <w:r w:rsidRPr="00C54A03">
        <w:rPr>
          <w:color w:val="000000" w:themeColor="text1"/>
          <w:spacing w:val="1"/>
        </w:rPr>
        <w:t xml:space="preserve"> </w:t>
      </w:r>
      <w:r w:rsidRPr="00C54A03">
        <w:rPr>
          <w:color w:val="000000" w:themeColor="text1"/>
        </w:rPr>
        <w:t>culese</w:t>
      </w:r>
      <w:r w:rsidRPr="00C54A03">
        <w:rPr>
          <w:color w:val="000000" w:themeColor="text1"/>
          <w:spacing w:val="-2"/>
        </w:rPr>
        <w:t xml:space="preserve"> </w:t>
      </w:r>
      <w:r w:rsidRPr="00C54A03">
        <w:rPr>
          <w:color w:val="000000" w:themeColor="text1"/>
        </w:rPr>
        <w:t>din teren vor</w:t>
      </w:r>
      <w:r w:rsidRPr="00C54A03">
        <w:rPr>
          <w:color w:val="000000" w:themeColor="text1"/>
          <w:spacing w:val="-1"/>
        </w:rPr>
        <w:t xml:space="preserve"> </w:t>
      </w:r>
      <w:r w:rsidRPr="00C54A03">
        <w:rPr>
          <w:color w:val="000000" w:themeColor="text1"/>
        </w:rPr>
        <w:t>fi</w:t>
      </w:r>
      <w:r w:rsidRPr="00C54A03">
        <w:rPr>
          <w:color w:val="000000" w:themeColor="text1"/>
          <w:spacing w:val="-1"/>
        </w:rPr>
        <w:t xml:space="preserve"> </w:t>
      </w:r>
      <w:r w:rsidRPr="00C54A03">
        <w:rPr>
          <w:color w:val="000000" w:themeColor="text1"/>
        </w:rPr>
        <w:t>trecute în fişele</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monitorizare.</w:t>
      </w:r>
    </w:p>
    <w:p w14:paraId="641914D4" w14:textId="77777777" w:rsidR="00E13976" w:rsidRPr="00C54A03" w:rsidRDefault="00E13976" w:rsidP="008E33FD">
      <w:pPr>
        <w:widowControl w:val="0"/>
        <w:autoSpaceDE w:val="0"/>
        <w:autoSpaceDN w:val="0"/>
        <w:spacing w:before="1"/>
        <w:ind w:right="249"/>
        <w:jc w:val="both"/>
        <w:rPr>
          <w:color w:val="000000" w:themeColor="text1"/>
        </w:rPr>
      </w:pPr>
      <w:r w:rsidRPr="00C54A03">
        <w:rPr>
          <w:color w:val="000000" w:themeColor="text1"/>
        </w:rPr>
        <w:t>Corelat cu formatul de raportare, structura și funcțiile oferă rezultatul evaluării stării habitatului</w:t>
      </w:r>
      <w:r w:rsidRPr="00C54A03">
        <w:rPr>
          <w:color w:val="000000" w:themeColor="text1"/>
          <w:spacing w:val="1"/>
        </w:rPr>
        <w:t xml:space="preserve"> </w:t>
      </w:r>
      <w:r w:rsidRPr="00C54A03">
        <w:rPr>
          <w:color w:val="000000" w:themeColor="text1"/>
        </w:rPr>
        <w:t>pentru specii folosind cele patru categorii disponibile: „</w:t>
      </w:r>
      <w:r w:rsidRPr="00C54A03">
        <w:rPr>
          <w:b/>
          <w:color w:val="000000" w:themeColor="text1"/>
        </w:rPr>
        <w:t>favorabil</w:t>
      </w:r>
      <w:r w:rsidRPr="00C54A03">
        <w:rPr>
          <w:color w:val="000000" w:themeColor="text1"/>
        </w:rPr>
        <w:t>” (FV), „</w:t>
      </w:r>
      <w:r w:rsidRPr="00C54A03">
        <w:rPr>
          <w:b/>
          <w:color w:val="000000" w:themeColor="text1"/>
        </w:rPr>
        <w:t>nefavorabil-inadecvat</w:t>
      </w:r>
      <w:r w:rsidRPr="00C54A03">
        <w:rPr>
          <w:color w:val="000000" w:themeColor="text1"/>
        </w:rPr>
        <w:t>”</w:t>
      </w:r>
      <w:r w:rsidRPr="00C54A03">
        <w:rPr>
          <w:color w:val="000000" w:themeColor="text1"/>
          <w:spacing w:val="1"/>
        </w:rPr>
        <w:t xml:space="preserve"> </w:t>
      </w:r>
      <w:r w:rsidRPr="00C54A03">
        <w:rPr>
          <w:color w:val="000000" w:themeColor="text1"/>
        </w:rPr>
        <w:t>(U1),</w:t>
      </w:r>
      <w:r w:rsidRPr="00C54A03">
        <w:rPr>
          <w:color w:val="000000" w:themeColor="text1"/>
          <w:spacing w:val="-1"/>
        </w:rPr>
        <w:t xml:space="preserve"> </w:t>
      </w:r>
      <w:r w:rsidRPr="00C54A03">
        <w:rPr>
          <w:color w:val="000000" w:themeColor="text1"/>
        </w:rPr>
        <w:t>„</w:t>
      </w:r>
      <w:r w:rsidRPr="00C54A03">
        <w:rPr>
          <w:b/>
          <w:color w:val="000000" w:themeColor="text1"/>
        </w:rPr>
        <w:t>nefavorabil-rău</w:t>
      </w:r>
      <w:r w:rsidRPr="00C54A03">
        <w:rPr>
          <w:color w:val="000000" w:themeColor="text1"/>
        </w:rPr>
        <w:t>”</w:t>
      </w:r>
      <w:r w:rsidRPr="00C54A03">
        <w:rPr>
          <w:color w:val="000000" w:themeColor="text1"/>
          <w:spacing w:val="-1"/>
        </w:rPr>
        <w:t xml:space="preserve"> </w:t>
      </w:r>
      <w:r w:rsidRPr="00C54A03">
        <w:rPr>
          <w:color w:val="000000" w:themeColor="text1"/>
        </w:rPr>
        <w:t>(U2)</w:t>
      </w:r>
      <w:r w:rsidRPr="00C54A03">
        <w:rPr>
          <w:color w:val="000000" w:themeColor="text1"/>
          <w:spacing w:val="-3"/>
        </w:rPr>
        <w:t xml:space="preserve"> </w:t>
      </w:r>
      <w:r w:rsidRPr="00C54A03">
        <w:rPr>
          <w:color w:val="000000" w:themeColor="text1"/>
        </w:rPr>
        <w:t>și</w:t>
      </w:r>
      <w:r w:rsidRPr="00C54A03">
        <w:rPr>
          <w:color w:val="000000" w:themeColor="text1"/>
          <w:spacing w:val="-1"/>
        </w:rPr>
        <w:t xml:space="preserve"> </w:t>
      </w:r>
      <w:r w:rsidRPr="00C54A03">
        <w:rPr>
          <w:color w:val="000000" w:themeColor="text1"/>
        </w:rPr>
        <w:t>„</w:t>
      </w:r>
      <w:r w:rsidRPr="00C54A03">
        <w:rPr>
          <w:b/>
          <w:color w:val="000000" w:themeColor="text1"/>
        </w:rPr>
        <w:t>necunoscut</w:t>
      </w:r>
      <w:r w:rsidRPr="00C54A03">
        <w:rPr>
          <w:color w:val="000000" w:themeColor="text1"/>
        </w:rPr>
        <w:t>”</w:t>
      </w:r>
      <w:r w:rsidRPr="00C54A03">
        <w:rPr>
          <w:color w:val="000000" w:themeColor="text1"/>
          <w:spacing w:val="-1"/>
        </w:rPr>
        <w:t xml:space="preserve"> </w:t>
      </w:r>
      <w:r w:rsidRPr="00C54A03">
        <w:rPr>
          <w:color w:val="000000" w:themeColor="text1"/>
        </w:rPr>
        <w:t>(XX),</w:t>
      </w:r>
      <w:r w:rsidRPr="00C54A03">
        <w:rPr>
          <w:color w:val="000000" w:themeColor="text1"/>
          <w:spacing w:val="-1"/>
        </w:rPr>
        <w:t xml:space="preserve"> </w:t>
      </w:r>
      <w:r w:rsidRPr="00C54A03">
        <w:rPr>
          <w:color w:val="000000" w:themeColor="text1"/>
        </w:rPr>
        <w:t>redate în tabelul</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mai jos:</w:t>
      </w:r>
    </w:p>
    <w:p w14:paraId="3140EBFF" w14:textId="77777777" w:rsidR="00E13976" w:rsidRPr="00C54A03" w:rsidRDefault="00E13976" w:rsidP="008E33FD">
      <w:pPr>
        <w:widowControl w:val="0"/>
        <w:autoSpaceDE w:val="0"/>
        <w:autoSpaceDN w:val="0"/>
        <w:spacing w:before="5"/>
        <w:jc w:val="both"/>
        <w:rPr>
          <w:color w:val="000000" w:themeColor="text1"/>
        </w:rPr>
      </w:pPr>
    </w:p>
    <w:tbl>
      <w:tblPr>
        <w:tblW w:w="0" w:type="auto"/>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0"/>
        <w:gridCol w:w="7480"/>
      </w:tblGrid>
      <w:tr w:rsidR="00E13976" w:rsidRPr="00C54A03" w14:paraId="4E8BFA9D" w14:textId="77777777" w:rsidTr="00E13976">
        <w:trPr>
          <w:trHeight w:val="553"/>
        </w:trPr>
        <w:tc>
          <w:tcPr>
            <w:tcW w:w="1810" w:type="dxa"/>
            <w:shd w:val="clear" w:color="auto" w:fill="DBE4F0"/>
          </w:tcPr>
          <w:p w14:paraId="22AA6D74" w14:textId="77777777" w:rsidR="00E13976" w:rsidRPr="00C54A03" w:rsidRDefault="00E13976" w:rsidP="008E33FD">
            <w:pPr>
              <w:widowControl w:val="0"/>
              <w:tabs>
                <w:tab w:val="left" w:pos="1458"/>
              </w:tabs>
              <w:autoSpaceDE w:val="0"/>
              <w:autoSpaceDN w:val="0"/>
              <w:spacing w:line="276" w:lineRule="exact"/>
              <w:ind w:right="98"/>
              <w:jc w:val="both"/>
              <w:rPr>
                <w:b/>
                <w:color w:val="000000" w:themeColor="text1"/>
              </w:rPr>
            </w:pPr>
            <w:r w:rsidRPr="00C54A03">
              <w:rPr>
                <w:b/>
                <w:color w:val="000000" w:themeColor="text1"/>
              </w:rPr>
              <w:t>Starea</w:t>
            </w:r>
            <w:r w:rsidRPr="00C54A03">
              <w:rPr>
                <w:b/>
                <w:color w:val="000000" w:themeColor="text1"/>
              </w:rPr>
              <w:tab/>
            </w:r>
            <w:r w:rsidRPr="00C54A03">
              <w:rPr>
                <w:b/>
                <w:color w:val="000000" w:themeColor="text1"/>
                <w:spacing w:val="-2"/>
              </w:rPr>
              <w:t>de</w:t>
            </w:r>
            <w:r w:rsidRPr="00C54A03">
              <w:rPr>
                <w:b/>
                <w:color w:val="000000" w:themeColor="text1"/>
                <w:spacing w:val="-57"/>
              </w:rPr>
              <w:t xml:space="preserve"> </w:t>
            </w:r>
            <w:r w:rsidRPr="00C54A03">
              <w:rPr>
                <w:b/>
                <w:color w:val="000000" w:themeColor="text1"/>
              </w:rPr>
              <w:t>conservare</w:t>
            </w:r>
          </w:p>
        </w:tc>
        <w:tc>
          <w:tcPr>
            <w:tcW w:w="7480" w:type="dxa"/>
            <w:shd w:val="clear" w:color="auto" w:fill="DBE4F0"/>
          </w:tcPr>
          <w:p w14:paraId="7F35D07B" w14:textId="77777777" w:rsidR="00E13976" w:rsidRPr="00C54A03" w:rsidRDefault="00E13976" w:rsidP="008E33FD">
            <w:pPr>
              <w:widowControl w:val="0"/>
              <w:autoSpaceDE w:val="0"/>
              <w:autoSpaceDN w:val="0"/>
              <w:spacing w:before="135"/>
              <w:jc w:val="both"/>
              <w:rPr>
                <w:b/>
                <w:color w:val="000000" w:themeColor="text1"/>
              </w:rPr>
            </w:pPr>
            <w:r w:rsidRPr="00C54A03">
              <w:rPr>
                <w:b/>
                <w:color w:val="000000" w:themeColor="text1"/>
              </w:rPr>
              <w:t>Criterii</w:t>
            </w:r>
            <w:r w:rsidRPr="00C54A03">
              <w:rPr>
                <w:b/>
                <w:color w:val="000000" w:themeColor="text1"/>
                <w:spacing w:val="-2"/>
              </w:rPr>
              <w:t xml:space="preserve"> </w:t>
            </w:r>
            <w:r w:rsidRPr="00C54A03">
              <w:rPr>
                <w:b/>
                <w:color w:val="000000" w:themeColor="text1"/>
              </w:rPr>
              <w:t>de</w:t>
            </w:r>
            <w:r w:rsidRPr="00C54A03">
              <w:rPr>
                <w:b/>
                <w:color w:val="000000" w:themeColor="text1"/>
                <w:spacing w:val="-2"/>
              </w:rPr>
              <w:t xml:space="preserve"> </w:t>
            </w:r>
            <w:r w:rsidRPr="00C54A03">
              <w:rPr>
                <w:b/>
                <w:color w:val="000000" w:themeColor="text1"/>
              </w:rPr>
              <w:t>evaluare</w:t>
            </w:r>
          </w:p>
        </w:tc>
      </w:tr>
      <w:tr w:rsidR="00E13976" w:rsidRPr="00C54A03" w14:paraId="20E1E7D1" w14:textId="77777777" w:rsidTr="00E13976">
        <w:trPr>
          <w:trHeight w:val="8012"/>
        </w:trPr>
        <w:tc>
          <w:tcPr>
            <w:tcW w:w="1810" w:type="dxa"/>
          </w:tcPr>
          <w:p w14:paraId="6B1A43A8" w14:textId="77777777" w:rsidR="00E13976" w:rsidRPr="00C54A03" w:rsidRDefault="00E13976" w:rsidP="008E33FD">
            <w:pPr>
              <w:widowControl w:val="0"/>
              <w:autoSpaceDE w:val="0"/>
              <w:autoSpaceDN w:val="0"/>
              <w:jc w:val="both"/>
              <w:rPr>
                <w:color w:val="000000" w:themeColor="text1"/>
              </w:rPr>
            </w:pPr>
          </w:p>
          <w:p w14:paraId="69A27013" w14:textId="77777777" w:rsidR="00E13976" w:rsidRPr="00C54A03" w:rsidRDefault="00E13976" w:rsidP="008E33FD">
            <w:pPr>
              <w:widowControl w:val="0"/>
              <w:autoSpaceDE w:val="0"/>
              <w:autoSpaceDN w:val="0"/>
              <w:jc w:val="both"/>
              <w:rPr>
                <w:color w:val="000000" w:themeColor="text1"/>
              </w:rPr>
            </w:pPr>
          </w:p>
          <w:p w14:paraId="17B28669" w14:textId="77777777" w:rsidR="00E13976" w:rsidRPr="00C54A03" w:rsidRDefault="00E13976" w:rsidP="008E33FD">
            <w:pPr>
              <w:widowControl w:val="0"/>
              <w:autoSpaceDE w:val="0"/>
              <w:autoSpaceDN w:val="0"/>
              <w:jc w:val="both"/>
              <w:rPr>
                <w:color w:val="000000" w:themeColor="text1"/>
              </w:rPr>
            </w:pPr>
          </w:p>
          <w:p w14:paraId="36DB2723" w14:textId="77777777" w:rsidR="00E13976" w:rsidRPr="00C54A03" w:rsidRDefault="00E13976" w:rsidP="008E33FD">
            <w:pPr>
              <w:widowControl w:val="0"/>
              <w:autoSpaceDE w:val="0"/>
              <w:autoSpaceDN w:val="0"/>
              <w:jc w:val="both"/>
              <w:rPr>
                <w:color w:val="000000" w:themeColor="text1"/>
              </w:rPr>
            </w:pPr>
          </w:p>
          <w:p w14:paraId="10793E03" w14:textId="77777777" w:rsidR="00E13976" w:rsidRPr="00C54A03" w:rsidRDefault="00E13976" w:rsidP="008E33FD">
            <w:pPr>
              <w:widowControl w:val="0"/>
              <w:autoSpaceDE w:val="0"/>
              <w:autoSpaceDN w:val="0"/>
              <w:jc w:val="both"/>
              <w:rPr>
                <w:color w:val="000000" w:themeColor="text1"/>
              </w:rPr>
            </w:pPr>
          </w:p>
          <w:p w14:paraId="164CB9D5" w14:textId="77777777" w:rsidR="00E13976" w:rsidRPr="00C54A03" w:rsidRDefault="00E13976" w:rsidP="008E33FD">
            <w:pPr>
              <w:widowControl w:val="0"/>
              <w:autoSpaceDE w:val="0"/>
              <w:autoSpaceDN w:val="0"/>
              <w:jc w:val="both"/>
              <w:rPr>
                <w:color w:val="000000" w:themeColor="text1"/>
              </w:rPr>
            </w:pPr>
          </w:p>
          <w:p w14:paraId="1881D176" w14:textId="77777777" w:rsidR="00E13976" w:rsidRPr="00C54A03" w:rsidRDefault="00E13976" w:rsidP="008E33FD">
            <w:pPr>
              <w:widowControl w:val="0"/>
              <w:autoSpaceDE w:val="0"/>
              <w:autoSpaceDN w:val="0"/>
              <w:jc w:val="both"/>
              <w:rPr>
                <w:color w:val="000000" w:themeColor="text1"/>
              </w:rPr>
            </w:pPr>
          </w:p>
          <w:p w14:paraId="474D4E5E" w14:textId="77777777" w:rsidR="00E13976" w:rsidRPr="00C54A03" w:rsidRDefault="00E13976" w:rsidP="008E33FD">
            <w:pPr>
              <w:widowControl w:val="0"/>
              <w:autoSpaceDE w:val="0"/>
              <w:autoSpaceDN w:val="0"/>
              <w:jc w:val="both"/>
              <w:rPr>
                <w:color w:val="000000" w:themeColor="text1"/>
              </w:rPr>
            </w:pPr>
          </w:p>
          <w:p w14:paraId="7BC45652" w14:textId="77777777" w:rsidR="00E13976" w:rsidRPr="00C54A03" w:rsidRDefault="00E13976" w:rsidP="008E33FD">
            <w:pPr>
              <w:widowControl w:val="0"/>
              <w:autoSpaceDE w:val="0"/>
              <w:autoSpaceDN w:val="0"/>
              <w:jc w:val="both"/>
              <w:rPr>
                <w:color w:val="000000" w:themeColor="text1"/>
              </w:rPr>
            </w:pPr>
          </w:p>
          <w:p w14:paraId="36307064" w14:textId="77777777" w:rsidR="00E13976" w:rsidRPr="00C54A03" w:rsidRDefault="00E13976" w:rsidP="008E33FD">
            <w:pPr>
              <w:widowControl w:val="0"/>
              <w:autoSpaceDE w:val="0"/>
              <w:autoSpaceDN w:val="0"/>
              <w:jc w:val="both"/>
              <w:rPr>
                <w:color w:val="000000" w:themeColor="text1"/>
              </w:rPr>
            </w:pPr>
          </w:p>
          <w:p w14:paraId="7B5475AE" w14:textId="77777777" w:rsidR="00E13976" w:rsidRPr="00C54A03" w:rsidRDefault="00E13976" w:rsidP="008E33FD">
            <w:pPr>
              <w:widowControl w:val="0"/>
              <w:autoSpaceDE w:val="0"/>
              <w:autoSpaceDN w:val="0"/>
              <w:jc w:val="both"/>
              <w:rPr>
                <w:color w:val="000000" w:themeColor="text1"/>
              </w:rPr>
            </w:pPr>
          </w:p>
          <w:p w14:paraId="72338DBE" w14:textId="77777777" w:rsidR="00E13976" w:rsidRPr="00C54A03" w:rsidRDefault="00E13976" w:rsidP="008E33FD">
            <w:pPr>
              <w:widowControl w:val="0"/>
              <w:autoSpaceDE w:val="0"/>
              <w:autoSpaceDN w:val="0"/>
              <w:jc w:val="both"/>
              <w:rPr>
                <w:color w:val="000000" w:themeColor="text1"/>
              </w:rPr>
            </w:pPr>
          </w:p>
          <w:p w14:paraId="3ED1A3D7" w14:textId="77777777" w:rsidR="00E13976" w:rsidRPr="00C54A03" w:rsidRDefault="00E13976" w:rsidP="008E33FD">
            <w:pPr>
              <w:widowControl w:val="0"/>
              <w:autoSpaceDE w:val="0"/>
              <w:autoSpaceDN w:val="0"/>
              <w:spacing w:before="9"/>
              <w:jc w:val="both"/>
              <w:rPr>
                <w:color w:val="000000" w:themeColor="text1"/>
              </w:rPr>
            </w:pPr>
          </w:p>
          <w:p w14:paraId="0B8745A7" w14:textId="77777777" w:rsidR="00E13976" w:rsidRPr="00C54A03" w:rsidRDefault="00E13976" w:rsidP="008E33FD">
            <w:pPr>
              <w:widowControl w:val="0"/>
              <w:autoSpaceDE w:val="0"/>
              <w:autoSpaceDN w:val="0"/>
              <w:jc w:val="both"/>
              <w:rPr>
                <w:color w:val="000000" w:themeColor="text1"/>
              </w:rPr>
            </w:pPr>
            <w:r w:rsidRPr="00C54A03">
              <w:rPr>
                <w:color w:val="000000" w:themeColor="text1"/>
              </w:rPr>
              <w:t>Favorabil</w:t>
            </w:r>
            <w:r w:rsidRPr="00C54A03">
              <w:rPr>
                <w:color w:val="000000" w:themeColor="text1"/>
                <w:spacing w:val="-3"/>
              </w:rPr>
              <w:t xml:space="preserve"> </w:t>
            </w:r>
            <w:r w:rsidRPr="00C54A03">
              <w:rPr>
                <w:color w:val="000000" w:themeColor="text1"/>
              </w:rPr>
              <w:t>(FV)</w:t>
            </w:r>
          </w:p>
        </w:tc>
        <w:tc>
          <w:tcPr>
            <w:tcW w:w="7480" w:type="dxa"/>
          </w:tcPr>
          <w:p w14:paraId="5F87C346" w14:textId="77777777" w:rsidR="00E13976" w:rsidRPr="00C54A03" w:rsidRDefault="00E13976" w:rsidP="008E33FD">
            <w:pPr>
              <w:widowControl w:val="0"/>
              <w:autoSpaceDE w:val="0"/>
              <w:autoSpaceDN w:val="0"/>
              <w:spacing w:line="268" w:lineRule="exact"/>
              <w:jc w:val="both"/>
              <w:rPr>
                <w:color w:val="000000" w:themeColor="text1"/>
              </w:rPr>
            </w:pPr>
            <w:r w:rsidRPr="00C54A03">
              <w:rPr>
                <w:color w:val="000000" w:themeColor="text1"/>
              </w:rPr>
              <w:t>În</w:t>
            </w:r>
            <w:r w:rsidRPr="00C54A03">
              <w:rPr>
                <w:color w:val="000000" w:themeColor="text1"/>
                <w:spacing w:val="21"/>
              </w:rPr>
              <w:t xml:space="preserve"> </w:t>
            </w:r>
            <w:r w:rsidRPr="00C54A03">
              <w:rPr>
                <w:color w:val="000000" w:themeColor="text1"/>
              </w:rPr>
              <w:t>conformitate</w:t>
            </w:r>
            <w:r w:rsidRPr="00C54A03">
              <w:rPr>
                <w:color w:val="000000" w:themeColor="text1"/>
                <w:spacing w:val="21"/>
              </w:rPr>
              <w:t xml:space="preserve"> </w:t>
            </w:r>
            <w:r w:rsidRPr="00C54A03">
              <w:rPr>
                <w:color w:val="000000" w:themeColor="text1"/>
              </w:rPr>
              <w:t>cu</w:t>
            </w:r>
            <w:r w:rsidRPr="00C54A03">
              <w:rPr>
                <w:color w:val="000000" w:themeColor="text1"/>
                <w:spacing w:val="20"/>
              </w:rPr>
              <w:t xml:space="preserve"> </w:t>
            </w:r>
            <w:r w:rsidRPr="00C54A03">
              <w:rPr>
                <w:color w:val="000000" w:themeColor="text1"/>
              </w:rPr>
              <w:t>matricea</w:t>
            </w:r>
            <w:r w:rsidRPr="00C54A03">
              <w:rPr>
                <w:color w:val="000000" w:themeColor="text1"/>
                <w:spacing w:val="19"/>
              </w:rPr>
              <w:t xml:space="preserve"> </w:t>
            </w:r>
            <w:r w:rsidRPr="00C54A03">
              <w:rPr>
                <w:color w:val="000000" w:themeColor="text1"/>
              </w:rPr>
              <w:t>de</w:t>
            </w:r>
            <w:r w:rsidRPr="00C54A03">
              <w:rPr>
                <w:color w:val="000000" w:themeColor="text1"/>
                <w:spacing w:val="19"/>
              </w:rPr>
              <w:t xml:space="preserve"> </w:t>
            </w:r>
            <w:r w:rsidRPr="00C54A03">
              <w:rPr>
                <w:color w:val="000000" w:themeColor="text1"/>
              </w:rPr>
              <w:t>evaluare</w:t>
            </w:r>
            <w:r w:rsidRPr="00C54A03">
              <w:rPr>
                <w:color w:val="000000" w:themeColor="text1"/>
                <w:spacing w:val="20"/>
              </w:rPr>
              <w:t xml:space="preserve"> </w:t>
            </w:r>
            <w:r w:rsidRPr="00C54A03">
              <w:rPr>
                <w:color w:val="000000" w:themeColor="text1"/>
              </w:rPr>
              <w:t>(anexa</w:t>
            </w:r>
            <w:r w:rsidRPr="00C54A03">
              <w:rPr>
                <w:color w:val="000000" w:themeColor="text1"/>
                <w:spacing w:val="19"/>
              </w:rPr>
              <w:t xml:space="preserve"> </w:t>
            </w:r>
            <w:r w:rsidRPr="00C54A03">
              <w:rPr>
                <w:color w:val="000000" w:themeColor="text1"/>
              </w:rPr>
              <w:t>E),</w:t>
            </w:r>
            <w:r w:rsidRPr="00C54A03">
              <w:rPr>
                <w:color w:val="000000" w:themeColor="text1"/>
                <w:spacing w:val="20"/>
              </w:rPr>
              <w:t xml:space="preserve"> </w:t>
            </w:r>
            <w:r w:rsidRPr="00C54A03">
              <w:rPr>
                <w:color w:val="000000" w:themeColor="text1"/>
              </w:rPr>
              <w:t>starea</w:t>
            </w:r>
            <w:r w:rsidRPr="00C54A03">
              <w:rPr>
                <w:color w:val="000000" w:themeColor="text1"/>
                <w:spacing w:val="19"/>
              </w:rPr>
              <w:t xml:space="preserve"> </w:t>
            </w:r>
            <w:r w:rsidRPr="00C54A03">
              <w:rPr>
                <w:color w:val="000000" w:themeColor="text1"/>
              </w:rPr>
              <w:t>și</w:t>
            </w:r>
            <w:r w:rsidRPr="00C54A03">
              <w:rPr>
                <w:color w:val="000000" w:themeColor="text1"/>
                <w:spacing w:val="21"/>
              </w:rPr>
              <w:t xml:space="preserve"> </w:t>
            </w:r>
            <w:r w:rsidRPr="00C54A03">
              <w:rPr>
                <w:color w:val="000000" w:themeColor="text1"/>
              </w:rPr>
              <w:t>funcțiile</w:t>
            </w:r>
            <w:r w:rsidRPr="00C54A03">
              <w:rPr>
                <w:color w:val="000000" w:themeColor="text1"/>
                <w:spacing w:val="19"/>
              </w:rPr>
              <w:t xml:space="preserve"> </w:t>
            </w:r>
            <w:r w:rsidRPr="00C54A03">
              <w:rPr>
                <w:color w:val="000000" w:themeColor="text1"/>
              </w:rPr>
              <w:t>sunt</w:t>
            </w:r>
          </w:p>
          <w:p w14:paraId="765B49B1" w14:textId="77777777" w:rsidR="00E13976" w:rsidRPr="00C54A03" w:rsidRDefault="00E13976" w:rsidP="008E33FD">
            <w:pPr>
              <w:widowControl w:val="0"/>
              <w:autoSpaceDE w:val="0"/>
              <w:autoSpaceDN w:val="0"/>
              <w:jc w:val="both"/>
              <w:rPr>
                <w:color w:val="000000" w:themeColor="text1"/>
              </w:rPr>
            </w:pPr>
            <w:r w:rsidRPr="00C54A03">
              <w:rPr>
                <w:color w:val="000000" w:themeColor="text1"/>
              </w:rPr>
              <w:t>„favorabile”</w:t>
            </w:r>
            <w:r w:rsidRPr="00C54A03">
              <w:rPr>
                <w:color w:val="000000" w:themeColor="text1"/>
                <w:spacing w:val="-4"/>
              </w:rPr>
              <w:t xml:space="preserve"> </w:t>
            </w:r>
            <w:r w:rsidRPr="00C54A03">
              <w:rPr>
                <w:color w:val="000000" w:themeColor="text1"/>
              </w:rPr>
              <w:t>dacă:</w:t>
            </w:r>
          </w:p>
          <w:p w14:paraId="2726EF68" w14:textId="77777777" w:rsidR="00E13976" w:rsidRPr="00C54A03" w:rsidRDefault="00E13976" w:rsidP="009E63E5">
            <w:pPr>
              <w:widowControl w:val="0"/>
              <w:numPr>
                <w:ilvl w:val="0"/>
                <w:numId w:val="75"/>
              </w:numPr>
              <w:tabs>
                <w:tab w:val="left" w:pos="828"/>
                <w:tab w:val="left" w:pos="829"/>
              </w:tabs>
              <w:autoSpaceDE w:val="0"/>
              <w:autoSpaceDN w:val="0"/>
              <w:spacing w:line="287" w:lineRule="exact"/>
              <w:ind w:left="828" w:hanging="362"/>
              <w:jc w:val="both"/>
              <w:rPr>
                <w:color w:val="000000" w:themeColor="text1"/>
              </w:rPr>
            </w:pPr>
            <w:r w:rsidRPr="00C54A03">
              <w:rPr>
                <w:color w:val="000000" w:themeColor="text1"/>
              </w:rPr>
              <w:t>structura</w:t>
            </w:r>
            <w:r w:rsidRPr="00C54A03">
              <w:rPr>
                <w:color w:val="000000" w:themeColor="text1"/>
                <w:spacing w:val="-4"/>
              </w:rPr>
              <w:t xml:space="preserve"> </w:t>
            </w:r>
            <w:r w:rsidRPr="00C54A03">
              <w:rPr>
                <w:color w:val="000000" w:themeColor="text1"/>
              </w:rPr>
              <w:t>și</w:t>
            </w:r>
            <w:r w:rsidRPr="00C54A03">
              <w:rPr>
                <w:color w:val="000000" w:themeColor="text1"/>
                <w:spacing w:val="-3"/>
              </w:rPr>
              <w:t xml:space="preserve"> </w:t>
            </w:r>
            <w:r w:rsidRPr="00C54A03">
              <w:rPr>
                <w:color w:val="000000" w:themeColor="text1"/>
              </w:rPr>
              <w:t>funcțiile</w:t>
            </w:r>
            <w:r w:rsidRPr="00C54A03">
              <w:rPr>
                <w:color w:val="000000" w:themeColor="text1"/>
                <w:spacing w:val="-2"/>
              </w:rPr>
              <w:t xml:space="preserve"> </w:t>
            </w:r>
            <w:r w:rsidRPr="00C54A03">
              <w:rPr>
                <w:color w:val="000000" w:themeColor="text1"/>
              </w:rPr>
              <w:t>(inclusiv</w:t>
            </w:r>
            <w:r w:rsidRPr="00C54A03">
              <w:rPr>
                <w:color w:val="000000" w:themeColor="text1"/>
                <w:spacing w:val="-2"/>
              </w:rPr>
              <w:t xml:space="preserve"> </w:t>
            </w:r>
            <w:r w:rsidRPr="00C54A03">
              <w:rPr>
                <w:color w:val="000000" w:themeColor="text1"/>
              </w:rPr>
              <w:t>speciile</w:t>
            </w:r>
            <w:r w:rsidRPr="00C54A03">
              <w:rPr>
                <w:color w:val="000000" w:themeColor="text1"/>
                <w:spacing w:val="-1"/>
              </w:rPr>
              <w:t xml:space="preserve"> </w:t>
            </w:r>
            <w:r w:rsidRPr="00C54A03">
              <w:rPr>
                <w:color w:val="000000" w:themeColor="text1"/>
              </w:rPr>
              <w:t>tipice)</w:t>
            </w:r>
            <w:r w:rsidRPr="00C54A03">
              <w:rPr>
                <w:color w:val="000000" w:themeColor="text1"/>
                <w:spacing w:val="-2"/>
              </w:rPr>
              <w:t xml:space="preserve"> </w:t>
            </w:r>
            <w:r w:rsidRPr="00C54A03">
              <w:rPr>
                <w:color w:val="000000" w:themeColor="text1"/>
              </w:rPr>
              <w:t>sunt</w:t>
            </w:r>
            <w:r w:rsidRPr="00C54A03">
              <w:rPr>
                <w:color w:val="000000" w:themeColor="text1"/>
                <w:spacing w:val="-3"/>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stare</w:t>
            </w:r>
            <w:r w:rsidRPr="00C54A03">
              <w:rPr>
                <w:color w:val="000000" w:themeColor="text1"/>
                <w:spacing w:val="-3"/>
              </w:rPr>
              <w:t xml:space="preserve"> </w:t>
            </w:r>
            <w:r w:rsidRPr="00C54A03">
              <w:rPr>
                <w:color w:val="000000" w:themeColor="text1"/>
              </w:rPr>
              <w:t>bună;</w:t>
            </w:r>
            <w:r w:rsidRPr="00C54A03">
              <w:rPr>
                <w:color w:val="000000" w:themeColor="text1"/>
                <w:spacing w:val="-1"/>
              </w:rPr>
              <w:t xml:space="preserve"> </w:t>
            </w:r>
            <w:r w:rsidRPr="00C54A03">
              <w:rPr>
                <w:color w:val="000000" w:themeColor="text1"/>
              </w:rPr>
              <w:t>și</w:t>
            </w:r>
          </w:p>
          <w:p w14:paraId="1BBB3609" w14:textId="77777777" w:rsidR="00E13976" w:rsidRPr="00C54A03" w:rsidRDefault="00E13976" w:rsidP="009E63E5">
            <w:pPr>
              <w:widowControl w:val="0"/>
              <w:numPr>
                <w:ilvl w:val="0"/>
                <w:numId w:val="75"/>
              </w:numPr>
              <w:tabs>
                <w:tab w:val="left" w:pos="828"/>
                <w:tab w:val="left" w:pos="829"/>
              </w:tabs>
              <w:autoSpaceDE w:val="0"/>
              <w:autoSpaceDN w:val="0"/>
              <w:spacing w:before="6" w:line="228" w:lineRule="auto"/>
              <w:ind w:right="2131" w:firstLine="360"/>
              <w:jc w:val="both"/>
              <w:rPr>
                <w:color w:val="000000" w:themeColor="text1"/>
              </w:rPr>
            </w:pPr>
            <w:r w:rsidRPr="00C54A03">
              <w:rPr>
                <w:color w:val="000000" w:themeColor="text1"/>
              </w:rPr>
              <w:t>și</w:t>
            </w:r>
            <w:r w:rsidRPr="00C54A03">
              <w:rPr>
                <w:color w:val="000000" w:themeColor="text1"/>
                <w:spacing w:val="-4"/>
              </w:rPr>
              <w:t xml:space="preserve"> </w:t>
            </w:r>
            <w:r w:rsidRPr="00C54A03">
              <w:rPr>
                <w:color w:val="000000" w:themeColor="text1"/>
              </w:rPr>
              <w:t>nu</w:t>
            </w:r>
            <w:r w:rsidRPr="00C54A03">
              <w:rPr>
                <w:color w:val="000000" w:themeColor="text1"/>
                <w:spacing w:val="-3"/>
              </w:rPr>
              <w:t xml:space="preserve"> </w:t>
            </w:r>
            <w:r w:rsidRPr="00C54A03">
              <w:rPr>
                <w:color w:val="000000" w:themeColor="text1"/>
              </w:rPr>
              <w:t>există</w:t>
            </w:r>
            <w:r w:rsidRPr="00C54A03">
              <w:rPr>
                <w:color w:val="000000" w:themeColor="text1"/>
                <w:spacing w:val="-3"/>
              </w:rPr>
              <w:t xml:space="preserve"> </w:t>
            </w:r>
            <w:r w:rsidRPr="00C54A03">
              <w:rPr>
                <w:color w:val="000000" w:themeColor="text1"/>
              </w:rPr>
              <w:t>deteriorări</w:t>
            </w:r>
            <w:r w:rsidRPr="00C54A03">
              <w:rPr>
                <w:color w:val="000000" w:themeColor="text1"/>
                <w:spacing w:val="-4"/>
              </w:rPr>
              <w:t xml:space="preserve"> </w:t>
            </w:r>
            <w:r w:rsidRPr="00C54A03">
              <w:rPr>
                <w:color w:val="000000" w:themeColor="text1"/>
              </w:rPr>
              <w:t>/</w:t>
            </w:r>
            <w:r w:rsidRPr="00C54A03">
              <w:rPr>
                <w:color w:val="000000" w:themeColor="text1"/>
                <w:spacing w:val="-3"/>
              </w:rPr>
              <w:t xml:space="preserve"> </w:t>
            </w:r>
            <w:r w:rsidRPr="00C54A03">
              <w:rPr>
                <w:color w:val="000000" w:themeColor="text1"/>
              </w:rPr>
              <w:t>presiuni</w:t>
            </w:r>
            <w:r w:rsidRPr="00C54A03">
              <w:rPr>
                <w:color w:val="000000" w:themeColor="text1"/>
                <w:spacing w:val="-3"/>
              </w:rPr>
              <w:t xml:space="preserve"> </w:t>
            </w:r>
            <w:r w:rsidRPr="00C54A03">
              <w:rPr>
                <w:color w:val="000000" w:themeColor="text1"/>
              </w:rPr>
              <w:t>semnificative.</w:t>
            </w:r>
            <w:r w:rsidRPr="00C54A03">
              <w:rPr>
                <w:color w:val="000000" w:themeColor="text1"/>
                <w:spacing w:val="-57"/>
              </w:rPr>
              <w:t xml:space="preserve"> </w:t>
            </w:r>
            <w:r w:rsidRPr="00C54A03">
              <w:rPr>
                <w:color w:val="000000" w:themeColor="text1"/>
              </w:rPr>
              <w:t>Informațiisuplimentare:</w:t>
            </w:r>
          </w:p>
          <w:p w14:paraId="7814B528" w14:textId="77777777" w:rsidR="00E13976" w:rsidRPr="00C54A03" w:rsidRDefault="00E13976" w:rsidP="009E63E5">
            <w:pPr>
              <w:widowControl w:val="0"/>
              <w:numPr>
                <w:ilvl w:val="0"/>
                <w:numId w:val="74"/>
              </w:numPr>
              <w:tabs>
                <w:tab w:val="left" w:pos="829"/>
              </w:tabs>
              <w:autoSpaceDE w:val="0"/>
              <w:autoSpaceDN w:val="0"/>
              <w:spacing w:before="2"/>
              <w:ind w:right="97"/>
              <w:jc w:val="both"/>
              <w:rPr>
                <w:color w:val="000000" w:themeColor="text1"/>
              </w:rPr>
            </w:pPr>
            <w:r w:rsidRPr="00C54A03">
              <w:rPr>
                <w:color w:val="000000" w:themeColor="text1"/>
              </w:rPr>
              <w:t>Matricea</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evaluare</w:t>
            </w:r>
            <w:r w:rsidRPr="00C54A03">
              <w:rPr>
                <w:color w:val="000000" w:themeColor="text1"/>
                <w:spacing w:val="1"/>
              </w:rPr>
              <w:t xml:space="preserve"> </w:t>
            </w:r>
            <w:r w:rsidRPr="00C54A03">
              <w:rPr>
                <w:color w:val="000000" w:themeColor="text1"/>
              </w:rPr>
              <w:t>afirmă</w:t>
            </w:r>
            <w:r w:rsidRPr="00C54A03">
              <w:rPr>
                <w:color w:val="000000" w:themeColor="text1"/>
                <w:spacing w:val="1"/>
              </w:rPr>
              <w:t xml:space="preserve"> </w:t>
            </w:r>
            <w:r w:rsidRPr="00C54A03">
              <w:rPr>
                <w:color w:val="000000" w:themeColor="text1"/>
              </w:rPr>
              <w:t>că,</w:t>
            </w:r>
            <w:r w:rsidRPr="00C54A03">
              <w:rPr>
                <w:color w:val="000000" w:themeColor="text1"/>
                <w:spacing w:val="1"/>
              </w:rPr>
              <w:t xml:space="preserve"> </w:t>
            </w:r>
            <w:r w:rsidRPr="00C54A03">
              <w:rPr>
                <w:color w:val="000000" w:themeColor="text1"/>
              </w:rPr>
              <w:t>dacă</w:t>
            </w:r>
            <w:r w:rsidRPr="00C54A03">
              <w:rPr>
                <w:color w:val="000000" w:themeColor="text1"/>
                <w:spacing w:val="1"/>
              </w:rPr>
              <w:t xml:space="preserve"> </w:t>
            </w:r>
            <w:r w:rsidRPr="00C54A03">
              <w:rPr>
                <w:color w:val="000000" w:themeColor="text1"/>
              </w:rPr>
              <w:t>mai</w:t>
            </w:r>
            <w:r w:rsidRPr="00C54A03">
              <w:rPr>
                <w:color w:val="000000" w:themeColor="text1"/>
                <w:spacing w:val="1"/>
              </w:rPr>
              <w:t xml:space="preserve"> </w:t>
            </w:r>
            <w:r w:rsidRPr="00C54A03">
              <w:rPr>
                <w:color w:val="000000" w:themeColor="text1"/>
              </w:rPr>
              <w:t>mult</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25%</w:t>
            </w:r>
            <w:r w:rsidRPr="00C54A03">
              <w:rPr>
                <w:color w:val="000000" w:themeColor="text1"/>
                <w:spacing w:val="60"/>
              </w:rPr>
              <w:t xml:space="preserve"> </w:t>
            </w:r>
            <w:r w:rsidRPr="00C54A03">
              <w:rPr>
                <w:color w:val="000000" w:themeColor="text1"/>
              </w:rPr>
              <w:t>din</w:t>
            </w:r>
            <w:r w:rsidRPr="00C54A03">
              <w:rPr>
                <w:color w:val="000000" w:themeColor="text1"/>
                <w:spacing w:val="1"/>
              </w:rPr>
              <w:t xml:space="preserve"> </w:t>
            </w:r>
            <w:r w:rsidRPr="00C54A03">
              <w:rPr>
                <w:color w:val="000000" w:themeColor="text1"/>
              </w:rPr>
              <w:t>suprafața</w:t>
            </w:r>
            <w:r w:rsidRPr="00C54A03">
              <w:rPr>
                <w:color w:val="000000" w:themeColor="text1"/>
                <w:spacing w:val="18"/>
              </w:rPr>
              <w:t xml:space="preserve"> </w:t>
            </w:r>
            <w:r w:rsidRPr="00C54A03">
              <w:rPr>
                <w:color w:val="000000" w:themeColor="text1"/>
              </w:rPr>
              <w:t>de</w:t>
            </w:r>
            <w:r w:rsidRPr="00C54A03">
              <w:rPr>
                <w:color w:val="000000" w:themeColor="text1"/>
                <w:spacing w:val="18"/>
              </w:rPr>
              <w:t xml:space="preserve"> </w:t>
            </w:r>
            <w:r w:rsidRPr="00C54A03">
              <w:rPr>
                <w:color w:val="000000" w:themeColor="text1"/>
              </w:rPr>
              <w:t>tip</w:t>
            </w:r>
            <w:r w:rsidRPr="00C54A03">
              <w:rPr>
                <w:color w:val="000000" w:themeColor="text1"/>
                <w:spacing w:val="19"/>
              </w:rPr>
              <w:t xml:space="preserve"> </w:t>
            </w:r>
            <w:r w:rsidRPr="00C54A03">
              <w:rPr>
                <w:color w:val="000000" w:themeColor="text1"/>
              </w:rPr>
              <w:t>habitat</w:t>
            </w:r>
            <w:r w:rsidRPr="00C54A03">
              <w:rPr>
                <w:color w:val="000000" w:themeColor="text1"/>
                <w:spacing w:val="22"/>
              </w:rPr>
              <w:t xml:space="preserve"> </w:t>
            </w:r>
            <w:r w:rsidRPr="00C54A03">
              <w:rPr>
                <w:color w:val="000000" w:themeColor="text1"/>
              </w:rPr>
              <w:t>din</w:t>
            </w:r>
            <w:r w:rsidRPr="00C54A03">
              <w:rPr>
                <w:color w:val="000000" w:themeColor="text1"/>
                <w:spacing w:val="19"/>
              </w:rPr>
              <w:t xml:space="preserve"> </w:t>
            </w:r>
            <w:r w:rsidRPr="00C54A03">
              <w:rPr>
                <w:color w:val="000000" w:themeColor="text1"/>
              </w:rPr>
              <w:t>regiunea</w:t>
            </w:r>
            <w:r w:rsidRPr="00C54A03">
              <w:rPr>
                <w:color w:val="000000" w:themeColor="text1"/>
                <w:spacing w:val="21"/>
              </w:rPr>
              <w:t xml:space="preserve"> </w:t>
            </w:r>
            <w:r w:rsidRPr="00C54A03">
              <w:rPr>
                <w:color w:val="000000" w:themeColor="text1"/>
              </w:rPr>
              <w:t>evaluată</w:t>
            </w:r>
            <w:r w:rsidRPr="00C54A03">
              <w:rPr>
                <w:color w:val="000000" w:themeColor="text1"/>
                <w:spacing w:val="20"/>
              </w:rPr>
              <w:t xml:space="preserve"> </w:t>
            </w:r>
            <w:r w:rsidRPr="00C54A03">
              <w:rPr>
                <w:color w:val="000000" w:themeColor="text1"/>
              </w:rPr>
              <w:t>este</w:t>
            </w:r>
            <w:r w:rsidRPr="00C54A03">
              <w:rPr>
                <w:color w:val="000000" w:themeColor="text1"/>
                <w:spacing w:val="19"/>
              </w:rPr>
              <w:t xml:space="preserve"> </w:t>
            </w:r>
            <w:r w:rsidRPr="00C54A03">
              <w:rPr>
                <w:color w:val="000000" w:themeColor="text1"/>
              </w:rPr>
              <w:t>considerată</w:t>
            </w:r>
          </w:p>
          <w:p w14:paraId="4D76C115" w14:textId="77777777" w:rsidR="00E13976" w:rsidRPr="00C54A03" w:rsidRDefault="00E13976" w:rsidP="008E33FD">
            <w:pPr>
              <w:widowControl w:val="0"/>
              <w:autoSpaceDE w:val="0"/>
              <w:autoSpaceDN w:val="0"/>
              <w:ind w:right="95"/>
              <w:jc w:val="both"/>
              <w:rPr>
                <w:color w:val="000000" w:themeColor="text1"/>
              </w:rPr>
            </w:pPr>
            <w:r w:rsidRPr="00C54A03">
              <w:rPr>
                <w:color w:val="000000" w:themeColor="text1"/>
              </w:rPr>
              <w:t>„defavorabilă”</w:t>
            </w:r>
            <w:r w:rsidRPr="00C54A03">
              <w:rPr>
                <w:color w:val="000000" w:themeColor="text1"/>
                <w:spacing w:val="1"/>
              </w:rPr>
              <w:t xml:space="preserve"> </w:t>
            </w:r>
            <w:r w:rsidRPr="00C54A03">
              <w:rPr>
                <w:color w:val="000000" w:themeColor="text1"/>
              </w:rPr>
              <w:t>(adică</w:t>
            </w:r>
            <w:r w:rsidRPr="00C54A03">
              <w:rPr>
                <w:color w:val="000000" w:themeColor="text1"/>
                <w:spacing w:val="1"/>
              </w:rPr>
              <w:t xml:space="preserve"> </w:t>
            </w:r>
            <w:r w:rsidRPr="00C54A03">
              <w:rPr>
                <w:color w:val="000000" w:themeColor="text1"/>
              </w:rPr>
              <w:t>nu</w:t>
            </w:r>
            <w:r w:rsidRPr="00C54A03">
              <w:rPr>
                <w:color w:val="000000" w:themeColor="text1"/>
                <w:spacing w:val="1"/>
              </w:rPr>
              <w:t xml:space="preserve"> </w:t>
            </w:r>
            <w:r w:rsidRPr="00C54A03">
              <w:rPr>
                <w:color w:val="000000" w:themeColor="text1"/>
              </w:rPr>
              <w:t>este</w:t>
            </w:r>
            <w:r w:rsidRPr="00C54A03">
              <w:rPr>
                <w:color w:val="000000" w:themeColor="text1"/>
                <w:spacing w:val="1"/>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stare</w:t>
            </w:r>
            <w:r w:rsidRPr="00C54A03">
              <w:rPr>
                <w:color w:val="000000" w:themeColor="text1"/>
                <w:spacing w:val="1"/>
              </w:rPr>
              <w:t xml:space="preserve"> </w:t>
            </w:r>
            <w:r w:rsidRPr="00C54A03">
              <w:rPr>
                <w:color w:val="000000" w:themeColor="text1"/>
              </w:rPr>
              <w:t>bună),</w:t>
            </w:r>
            <w:r w:rsidRPr="00C54A03">
              <w:rPr>
                <w:color w:val="000000" w:themeColor="text1"/>
                <w:spacing w:val="1"/>
              </w:rPr>
              <w:t xml:space="preserve"> </w:t>
            </w:r>
            <w:r w:rsidRPr="00C54A03">
              <w:rPr>
                <w:color w:val="000000" w:themeColor="text1"/>
              </w:rPr>
              <w:t>atunci</w:t>
            </w:r>
            <w:r w:rsidRPr="00C54A03">
              <w:rPr>
                <w:color w:val="000000" w:themeColor="text1"/>
                <w:spacing w:val="1"/>
              </w:rPr>
              <w:t xml:space="preserve"> </w:t>
            </w:r>
            <w:r w:rsidRPr="00C54A03">
              <w:rPr>
                <w:color w:val="000000" w:themeColor="text1"/>
              </w:rPr>
              <w:t>statutul</w:t>
            </w:r>
            <w:r w:rsidRPr="00C54A03">
              <w:rPr>
                <w:color w:val="000000" w:themeColor="text1"/>
                <w:spacing w:val="1"/>
              </w:rPr>
              <w:t xml:space="preserve"> </w:t>
            </w:r>
            <w:r w:rsidRPr="00C54A03">
              <w:rPr>
                <w:color w:val="000000" w:themeColor="text1"/>
              </w:rPr>
              <w:t>și</w:t>
            </w:r>
            <w:r w:rsidRPr="00C54A03">
              <w:rPr>
                <w:color w:val="000000" w:themeColor="text1"/>
                <w:spacing w:val="1"/>
              </w:rPr>
              <w:t xml:space="preserve"> </w:t>
            </w:r>
            <w:r w:rsidRPr="00C54A03">
              <w:rPr>
                <w:color w:val="000000" w:themeColor="text1"/>
              </w:rPr>
              <w:t>funcțiile sunt „nefavorabile-rele”. Cu toate acestea, nu oferă criterii</w:t>
            </w:r>
            <w:r w:rsidRPr="00C54A03">
              <w:rPr>
                <w:color w:val="000000" w:themeColor="text1"/>
                <w:spacing w:val="1"/>
              </w:rPr>
              <w:t xml:space="preserve"> </w:t>
            </w:r>
            <w:r w:rsidRPr="00C54A03">
              <w:rPr>
                <w:color w:val="000000" w:themeColor="text1"/>
              </w:rPr>
              <w:t>numerice</w:t>
            </w:r>
            <w:r w:rsidRPr="00C54A03">
              <w:rPr>
                <w:color w:val="000000" w:themeColor="text1"/>
                <w:spacing w:val="1"/>
              </w:rPr>
              <w:t xml:space="preserve"> </w:t>
            </w:r>
            <w:r w:rsidRPr="00C54A03">
              <w:rPr>
                <w:color w:val="000000" w:themeColor="text1"/>
              </w:rPr>
              <w:t>pentru</w:t>
            </w:r>
            <w:r w:rsidRPr="00C54A03">
              <w:rPr>
                <w:color w:val="000000" w:themeColor="text1"/>
                <w:spacing w:val="1"/>
              </w:rPr>
              <w:t xml:space="preserve"> </w:t>
            </w:r>
            <w:r w:rsidRPr="00C54A03">
              <w:rPr>
                <w:color w:val="000000" w:themeColor="text1"/>
              </w:rPr>
              <w:t>„favorabile”</w:t>
            </w:r>
            <w:r w:rsidRPr="00C54A03">
              <w:rPr>
                <w:color w:val="000000" w:themeColor="text1"/>
                <w:spacing w:val="1"/>
              </w:rPr>
              <w:t xml:space="preserve"> </w:t>
            </w:r>
            <w:r w:rsidRPr="00C54A03">
              <w:rPr>
                <w:color w:val="000000" w:themeColor="text1"/>
              </w:rPr>
              <w:t>sau</w:t>
            </w:r>
            <w:r w:rsidRPr="00C54A03">
              <w:rPr>
                <w:color w:val="000000" w:themeColor="text1"/>
                <w:spacing w:val="1"/>
              </w:rPr>
              <w:t xml:space="preserve"> </w:t>
            </w:r>
            <w:r w:rsidRPr="00C54A03">
              <w:rPr>
                <w:color w:val="000000" w:themeColor="text1"/>
              </w:rPr>
              <w:t>„nefavorabile-inadecvate”.</w:t>
            </w:r>
            <w:r w:rsidRPr="00C54A03">
              <w:rPr>
                <w:color w:val="000000" w:themeColor="text1"/>
                <w:spacing w:val="60"/>
              </w:rPr>
              <w:t xml:space="preserve"> </w:t>
            </w:r>
            <w:r w:rsidRPr="00C54A03">
              <w:rPr>
                <w:color w:val="000000" w:themeColor="text1"/>
              </w:rPr>
              <w:t>Se</w:t>
            </w:r>
            <w:r w:rsidRPr="00C54A03">
              <w:rPr>
                <w:color w:val="000000" w:themeColor="text1"/>
                <w:spacing w:val="1"/>
              </w:rPr>
              <w:t xml:space="preserve"> </w:t>
            </w:r>
            <w:r w:rsidRPr="00C54A03">
              <w:rPr>
                <w:color w:val="000000" w:themeColor="text1"/>
              </w:rPr>
              <w:t>pare că, în rapoartele anterioare, statele membre au utilizat praguri</w:t>
            </w:r>
            <w:r w:rsidRPr="00C54A03">
              <w:rPr>
                <w:color w:val="000000" w:themeColor="text1"/>
                <w:spacing w:val="1"/>
              </w:rPr>
              <w:t xml:space="preserve"> </w:t>
            </w:r>
            <w:r w:rsidRPr="00C54A03">
              <w:rPr>
                <w:color w:val="000000" w:themeColor="text1"/>
              </w:rPr>
              <w:t>foarte</w:t>
            </w:r>
            <w:r w:rsidRPr="00C54A03">
              <w:rPr>
                <w:color w:val="000000" w:themeColor="text1"/>
                <w:spacing w:val="20"/>
              </w:rPr>
              <w:t xml:space="preserve"> </w:t>
            </w:r>
            <w:r w:rsidRPr="00C54A03">
              <w:rPr>
                <w:color w:val="000000" w:themeColor="text1"/>
              </w:rPr>
              <w:t>diferite</w:t>
            </w:r>
            <w:r w:rsidRPr="00C54A03">
              <w:rPr>
                <w:color w:val="000000" w:themeColor="text1"/>
                <w:spacing w:val="24"/>
              </w:rPr>
              <w:t xml:space="preserve"> </w:t>
            </w:r>
            <w:r w:rsidRPr="00C54A03">
              <w:rPr>
                <w:color w:val="000000" w:themeColor="text1"/>
              </w:rPr>
              <w:t>ale</w:t>
            </w:r>
            <w:r w:rsidRPr="00C54A03">
              <w:rPr>
                <w:color w:val="000000" w:themeColor="text1"/>
                <w:spacing w:val="22"/>
              </w:rPr>
              <w:t xml:space="preserve"> </w:t>
            </w:r>
            <w:r w:rsidRPr="00C54A03">
              <w:rPr>
                <w:color w:val="000000" w:themeColor="text1"/>
              </w:rPr>
              <w:t>proporției</w:t>
            </w:r>
            <w:r w:rsidRPr="00C54A03">
              <w:rPr>
                <w:color w:val="000000" w:themeColor="text1"/>
                <w:spacing w:val="23"/>
              </w:rPr>
              <w:t xml:space="preserve"> </w:t>
            </w:r>
            <w:r w:rsidRPr="00C54A03">
              <w:rPr>
                <w:color w:val="000000" w:themeColor="text1"/>
              </w:rPr>
              <w:t>de</w:t>
            </w:r>
            <w:r w:rsidRPr="00C54A03">
              <w:rPr>
                <w:color w:val="000000" w:themeColor="text1"/>
                <w:spacing w:val="21"/>
              </w:rPr>
              <w:t xml:space="preserve"> </w:t>
            </w:r>
            <w:r w:rsidRPr="00C54A03">
              <w:rPr>
                <w:color w:val="000000" w:themeColor="text1"/>
              </w:rPr>
              <w:t>suprafață</w:t>
            </w:r>
            <w:r w:rsidRPr="00C54A03">
              <w:rPr>
                <w:color w:val="000000" w:themeColor="text1"/>
                <w:spacing w:val="24"/>
              </w:rPr>
              <w:t xml:space="preserve"> </w:t>
            </w:r>
            <w:r w:rsidRPr="00C54A03">
              <w:rPr>
                <w:color w:val="000000" w:themeColor="text1"/>
              </w:rPr>
              <w:t>a</w:t>
            </w:r>
            <w:r w:rsidRPr="00C54A03">
              <w:rPr>
                <w:color w:val="000000" w:themeColor="text1"/>
                <w:spacing w:val="21"/>
              </w:rPr>
              <w:t xml:space="preserve"> </w:t>
            </w:r>
            <w:r w:rsidRPr="00C54A03">
              <w:rPr>
                <w:color w:val="000000" w:themeColor="text1"/>
              </w:rPr>
              <w:t>habitatului</w:t>
            </w:r>
            <w:r w:rsidRPr="00C54A03">
              <w:rPr>
                <w:color w:val="000000" w:themeColor="text1"/>
                <w:spacing w:val="23"/>
              </w:rPr>
              <w:t xml:space="preserve"> </w:t>
            </w:r>
            <w:r w:rsidRPr="00C54A03">
              <w:rPr>
                <w:color w:val="000000" w:themeColor="text1"/>
              </w:rPr>
              <w:t>care</w:t>
            </w:r>
            <w:r w:rsidRPr="00C54A03">
              <w:rPr>
                <w:color w:val="000000" w:themeColor="text1"/>
                <w:spacing w:val="21"/>
              </w:rPr>
              <w:t xml:space="preserve"> </w:t>
            </w:r>
            <w:r w:rsidRPr="00C54A03">
              <w:rPr>
                <w:color w:val="000000" w:themeColor="text1"/>
              </w:rPr>
              <w:t>trebuie</w:t>
            </w:r>
            <w:r w:rsidRPr="00C54A03">
              <w:rPr>
                <w:color w:val="000000" w:themeColor="text1"/>
                <w:spacing w:val="-58"/>
              </w:rPr>
              <w:t xml:space="preserve"> </w:t>
            </w:r>
            <w:r w:rsidRPr="00C54A03">
              <w:rPr>
                <w:color w:val="000000" w:themeColor="text1"/>
              </w:rPr>
              <w:t>să</w:t>
            </w:r>
            <w:r w:rsidRPr="00C54A03">
              <w:rPr>
                <w:color w:val="000000" w:themeColor="text1"/>
                <w:spacing w:val="1"/>
              </w:rPr>
              <w:t xml:space="preserve"> </w:t>
            </w:r>
            <w:r w:rsidRPr="00C54A03">
              <w:rPr>
                <w:color w:val="000000" w:themeColor="text1"/>
              </w:rPr>
              <w:t>fie</w:t>
            </w:r>
            <w:r w:rsidRPr="00C54A03">
              <w:rPr>
                <w:color w:val="000000" w:themeColor="text1"/>
                <w:spacing w:val="1"/>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stare</w:t>
            </w:r>
            <w:r w:rsidRPr="00C54A03">
              <w:rPr>
                <w:color w:val="000000" w:themeColor="text1"/>
                <w:spacing w:val="1"/>
              </w:rPr>
              <w:t xml:space="preserve"> </w:t>
            </w:r>
            <w:r w:rsidRPr="00C54A03">
              <w:rPr>
                <w:color w:val="000000" w:themeColor="text1"/>
              </w:rPr>
              <w:t>bună</w:t>
            </w:r>
            <w:r w:rsidRPr="00C54A03">
              <w:rPr>
                <w:color w:val="000000" w:themeColor="text1"/>
                <w:spacing w:val="1"/>
              </w:rPr>
              <w:t xml:space="preserve"> </w:t>
            </w:r>
            <w:r w:rsidRPr="00C54A03">
              <w:rPr>
                <w:color w:val="000000" w:themeColor="text1"/>
              </w:rPr>
              <w:t>pentru</w:t>
            </w:r>
            <w:r w:rsidRPr="00C54A03">
              <w:rPr>
                <w:color w:val="000000" w:themeColor="text1"/>
                <w:spacing w:val="1"/>
              </w:rPr>
              <w:t xml:space="preserve"> </w:t>
            </w:r>
            <w:r w:rsidRPr="00C54A03">
              <w:rPr>
                <w:color w:val="000000" w:themeColor="text1"/>
              </w:rPr>
              <w:t>a</w:t>
            </w:r>
            <w:r w:rsidRPr="00C54A03">
              <w:rPr>
                <w:color w:val="000000" w:themeColor="text1"/>
                <w:spacing w:val="1"/>
              </w:rPr>
              <w:t xml:space="preserve"> </w:t>
            </w:r>
            <w:r w:rsidRPr="00C54A03">
              <w:rPr>
                <w:color w:val="000000" w:themeColor="text1"/>
              </w:rPr>
              <w:t>justifica</w:t>
            </w:r>
            <w:r w:rsidRPr="00C54A03">
              <w:rPr>
                <w:color w:val="000000" w:themeColor="text1"/>
                <w:spacing w:val="1"/>
              </w:rPr>
              <w:t xml:space="preserve"> </w:t>
            </w:r>
            <w:r w:rsidRPr="00C54A03">
              <w:rPr>
                <w:color w:val="000000" w:themeColor="text1"/>
              </w:rPr>
              <w:t>evaluarea</w:t>
            </w:r>
            <w:r w:rsidRPr="00C54A03">
              <w:rPr>
                <w:color w:val="000000" w:themeColor="text1"/>
                <w:spacing w:val="1"/>
              </w:rPr>
              <w:t xml:space="preserve"> </w:t>
            </w:r>
            <w:r w:rsidRPr="00C54A03">
              <w:rPr>
                <w:color w:val="000000" w:themeColor="text1"/>
              </w:rPr>
              <w:t>structurii</w:t>
            </w:r>
            <w:r w:rsidRPr="00C54A03">
              <w:rPr>
                <w:color w:val="000000" w:themeColor="text1"/>
                <w:spacing w:val="60"/>
              </w:rPr>
              <w:t xml:space="preserve"> </w:t>
            </w:r>
            <w:r w:rsidRPr="00C54A03">
              <w:rPr>
                <w:color w:val="000000" w:themeColor="text1"/>
              </w:rPr>
              <w:t>și</w:t>
            </w:r>
            <w:r w:rsidRPr="00C54A03">
              <w:rPr>
                <w:color w:val="000000" w:themeColor="text1"/>
                <w:spacing w:val="1"/>
              </w:rPr>
              <w:t xml:space="preserve"> </w:t>
            </w:r>
            <w:r w:rsidRPr="00C54A03">
              <w:rPr>
                <w:color w:val="000000" w:themeColor="text1"/>
              </w:rPr>
              <w:t>funcțiilor ca fiind „favorabile”. În mod ideal, întreaga suprafață a</w:t>
            </w:r>
            <w:r w:rsidRPr="00C54A03">
              <w:rPr>
                <w:color w:val="000000" w:themeColor="text1"/>
                <w:spacing w:val="1"/>
              </w:rPr>
              <w:t xml:space="preserve"> </w:t>
            </w:r>
            <w:r w:rsidRPr="00C54A03">
              <w:rPr>
                <w:color w:val="000000" w:themeColor="text1"/>
              </w:rPr>
              <w:t>unui tip de habitat ar trebui să fie în stare bună pentru ca structura și</w:t>
            </w:r>
            <w:r w:rsidRPr="00C54A03">
              <w:rPr>
                <w:color w:val="000000" w:themeColor="text1"/>
                <w:spacing w:val="-57"/>
              </w:rPr>
              <w:t xml:space="preserve"> </w:t>
            </w:r>
            <w:r w:rsidRPr="00C54A03">
              <w:rPr>
                <w:color w:val="000000" w:themeColor="text1"/>
              </w:rPr>
              <w:t>funcțiile</w:t>
            </w:r>
            <w:r w:rsidRPr="00C54A03">
              <w:rPr>
                <w:color w:val="000000" w:themeColor="text1"/>
                <w:spacing w:val="1"/>
              </w:rPr>
              <w:t xml:space="preserve"> </w:t>
            </w:r>
            <w:r w:rsidRPr="00C54A03">
              <w:rPr>
                <w:color w:val="000000" w:themeColor="text1"/>
              </w:rPr>
              <w:t>să</w:t>
            </w:r>
            <w:r w:rsidRPr="00C54A03">
              <w:rPr>
                <w:color w:val="000000" w:themeColor="text1"/>
                <w:spacing w:val="1"/>
              </w:rPr>
              <w:t xml:space="preserve"> </w:t>
            </w:r>
            <w:r w:rsidRPr="00C54A03">
              <w:rPr>
                <w:color w:val="000000" w:themeColor="text1"/>
              </w:rPr>
              <w:t>fie</w:t>
            </w:r>
            <w:r w:rsidRPr="00C54A03">
              <w:rPr>
                <w:color w:val="000000" w:themeColor="text1"/>
                <w:spacing w:val="1"/>
              </w:rPr>
              <w:t xml:space="preserve"> </w:t>
            </w:r>
            <w:r w:rsidRPr="00C54A03">
              <w:rPr>
                <w:color w:val="000000" w:themeColor="text1"/>
              </w:rPr>
              <w:t>considerate</w:t>
            </w:r>
            <w:r w:rsidRPr="00C54A03">
              <w:rPr>
                <w:color w:val="000000" w:themeColor="text1"/>
                <w:spacing w:val="1"/>
              </w:rPr>
              <w:t xml:space="preserve"> </w:t>
            </w:r>
            <w:r w:rsidRPr="00C54A03">
              <w:rPr>
                <w:color w:val="000000" w:themeColor="text1"/>
              </w:rPr>
              <w:t>„favorabile”.</w:t>
            </w:r>
            <w:r w:rsidRPr="00C54A03">
              <w:rPr>
                <w:color w:val="000000" w:themeColor="text1"/>
                <w:spacing w:val="1"/>
              </w:rPr>
              <w:t xml:space="preserve"> </w:t>
            </w:r>
            <w:r w:rsidRPr="00C54A03">
              <w:rPr>
                <w:color w:val="000000" w:themeColor="text1"/>
              </w:rPr>
              <w:t>Cu</w:t>
            </w:r>
            <w:r w:rsidRPr="00C54A03">
              <w:rPr>
                <w:color w:val="000000" w:themeColor="text1"/>
                <w:spacing w:val="1"/>
              </w:rPr>
              <w:t xml:space="preserve"> </w:t>
            </w:r>
            <w:r w:rsidRPr="00C54A03">
              <w:rPr>
                <w:color w:val="000000" w:themeColor="text1"/>
              </w:rPr>
              <w:t>toate</w:t>
            </w:r>
            <w:r w:rsidRPr="00C54A03">
              <w:rPr>
                <w:color w:val="000000" w:themeColor="text1"/>
                <w:spacing w:val="1"/>
              </w:rPr>
              <w:t xml:space="preserve"> </w:t>
            </w:r>
            <w:r w:rsidRPr="00C54A03">
              <w:rPr>
                <w:color w:val="000000" w:themeColor="text1"/>
              </w:rPr>
              <w:t>acestea,</w:t>
            </w:r>
            <w:r w:rsidRPr="00C54A03">
              <w:rPr>
                <w:color w:val="000000" w:themeColor="text1"/>
                <w:spacing w:val="60"/>
              </w:rPr>
              <w:t xml:space="preserve"> </w:t>
            </w:r>
            <w:r w:rsidRPr="00C54A03">
              <w:rPr>
                <w:color w:val="000000" w:themeColor="text1"/>
              </w:rPr>
              <w:t>acest</w:t>
            </w:r>
            <w:r w:rsidRPr="00C54A03">
              <w:rPr>
                <w:color w:val="000000" w:themeColor="text1"/>
                <w:spacing w:val="-57"/>
              </w:rPr>
              <w:t xml:space="preserve"> </w:t>
            </w:r>
            <w:r w:rsidRPr="00C54A03">
              <w:rPr>
                <w:color w:val="000000" w:themeColor="text1"/>
              </w:rPr>
              <w:t>lucru este practic realizabil și ar putea fi acceptat să existe o parte</w:t>
            </w:r>
            <w:r w:rsidRPr="00C54A03">
              <w:rPr>
                <w:color w:val="000000" w:themeColor="text1"/>
                <w:spacing w:val="1"/>
              </w:rPr>
              <w:t xml:space="preserve"> </w:t>
            </w:r>
            <w:r w:rsidRPr="00C54A03">
              <w:rPr>
                <w:color w:val="000000" w:themeColor="text1"/>
              </w:rPr>
              <w:t>din tipul de habitat în condiții „nu bune”, dar totuși considerăm că</w:t>
            </w:r>
            <w:r w:rsidRPr="00C54A03">
              <w:rPr>
                <w:color w:val="000000" w:themeColor="text1"/>
                <w:spacing w:val="1"/>
              </w:rPr>
              <w:t xml:space="preserve"> </w:t>
            </w:r>
            <w:r w:rsidRPr="00C54A03">
              <w:rPr>
                <w:color w:val="000000" w:themeColor="text1"/>
              </w:rPr>
              <w:t>structura</w:t>
            </w:r>
            <w:r w:rsidRPr="00C54A03">
              <w:rPr>
                <w:color w:val="000000" w:themeColor="text1"/>
                <w:spacing w:val="-3"/>
              </w:rPr>
              <w:t xml:space="preserve"> </w:t>
            </w:r>
            <w:r w:rsidRPr="00C54A03">
              <w:rPr>
                <w:color w:val="000000" w:themeColor="text1"/>
              </w:rPr>
              <w:t>și</w:t>
            </w:r>
            <w:r w:rsidRPr="00C54A03">
              <w:rPr>
                <w:color w:val="000000" w:themeColor="text1"/>
                <w:spacing w:val="-2"/>
              </w:rPr>
              <w:t xml:space="preserve"> </w:t>
            </w:r>
            <w:r w:rsidRPr="00C54A03">
              <w:rPr>
                <w:color w:val="000000" w:themeColor="text1"/>
              </w:rPr>
              <w:t>funcțiile</w:t>
            </w:r>
            <w:r w:rsidRPr="00C54A03">
              <w:rPr>
                <w:color w:val="000000" w:themeColor="text1"/>
                <w:spacing w:val="-1"/>
              </w:rPr>
              <w:t xml:space="preserve"> </w:t>
            </w:r>
            <w:r w:rsidRPr="00C54A03">
              <w:rPr>
                <w:color w:val="000000" w:themeColor="text1"/>
              </w:rPr>
              <w:t>sunt</w:t>
            </w:r>
            <w:r w:rsidRPr="00C54A03">
              <w:rPr>
                <w:color w:val="000000" w:themeColor="text1"/>
                <w:spacing w:val="1"/>
              </w:rPr>
              <w:t xml:space="preserve"> </w:t>
            </w:r>
            <w:r w:rsidRPr="00C54A03">
              <w:rPr>
                <w:color w:val="000000" w:themeColor="text1"/>
              </w:rPr>
              <w:t>considerate „favorabile”.</w:t>
            </w:r>
          </w:p>
          <w:p w14:paraId="5FDA1EB7" w14:textId="77777777" w:rsidR="00E13976" w:rsidRPr="00C54A03" w:rsidRDefault="00E13976" w:rsidP="008E33FD">
            <w:pPr>
              <w:widowControl w:val="0"/>
              <w:autoSpaceDE w:val="0"/>
              <w:autoSpaceDN w:val="0"/>
              <w:spacing w:before="1"/>
              <w:ind w:right="97"/>
              <w:jc w:val="both"/>
              <w:rPr>
                <w:color w:val="000000" w:themeColor="text1"/>
              </w:rPr>
            </w:pPr>
            <w:r w:rsidRPr="00C54A03">
              <w:rPr>
                <w:color w:val="000000" w:themeColor="text1"/>
              </w:rPr>
              <w:t>Se recomandă utilizarea unei valori indicative de 90% din suprafața de</w:t>
            </w:r>
            <w:r w:rsidRPr="00C54A03">
              <w:rPr>
                <w:color w:val="000000" w:themeColor="text1"/>
                <w:spacing w:val="1"/>
              </w:rPr>
              <w:t xml:space="preserve"> </w:t>
            </w:r>
            <w:r w:rsidRPr="00C54A03">
              <w:rPr>
                <w:color w:val="000000" w:themeColor="text1"/>
              </w:rPr>
              <w:t>tip habitat (câmpul 6.1) în condiții „bune” ca prag pentru a încheia</w:t>
            </w:r>
            <w:r w:rsidRPr="00C54A03">
              <w:rPr>
                <w:color w:val="000000" w:themeColor="text1"/>
                <w:spacing w:val="1"/>
              </w:rPr>
              <w:t xml:space="preserve"> </w:t>
            </w:r>
            <w:r w:rsidRPr="00C54A03">
              <w:rPr>
                <w:color w:val="000000" w:themeColor="text1"/>
              </w:rPr>
              <w:t>structura</w:t>
            </w:r>
            <w:r w:rsidRPr="00C54A03">
              <w:rPr>
                <w:color w:val="000000" w:themeColor="text1"/>
                <w:spacing w:val="1"/>
              </w:rPr>
              <w:t xml:space="preserve"> </w:t>
            </w:r>
            <w:r w:rsidRPr="00C54A03">
              <w:rPr>
                <w:color w:val="000000" w:themeColor="text1"/>
              </w:rPr>
              <w:t>și</w:t>
            </w:r>
            <w:r w:rsidRPr="00C54A03">
              <w:rPr>
                <w:color w:val="000000" w:themeColor="text1"/>
                <w:spacing w:val="1"/>
              </w:rPr>
              <w:t xml:space="preserve"> </w:t>
            </w:r>
            <w:r w:rsidRPr="00C54A03">
              <w:rPr>
                <w:color w:val="000000" w:themeColor="text1"/>
              </w:rPr>
              <w:t>funcțiile</w:t>
            </w:r>
            <w:r w:rsidRPr="00C54A03">
              <w:rPr>
                <w:color w:val="000000" w:themeColor="text1"/>
                <w:spacing w:val="1"/>
              </w:rPr>
              <w:t xml:space="preserve"> </w:t>
            </w:r>
            <w:r w:rsidRPr="00C54A03">
              <w:rPr>
                <w:color w:val="000000" w:themeColor="text1"/>
              </w:rPr>
              <w:t>„favorabile”.</w:t>
            </w:r>
            <w:r w:rsidRPr="00C54A03">
              <w:rPr>
                <w:color w:val="000000" w:themeColor="text1"/>
                <w:spacing w:val="1"/>
              </w:rPr>
              <w:t xml:space="preserve"> </w:t>
            </w:r>
            <w:r w:rsidRPr="00C54A03">
              <w:rPr>
                <w:color w:val="000000" w:themeColor="text1"/>
              </w:rPr>
              <w:t>Dacă</w:t>
            </w:r>
            <w:r w:rsidRPr="00C54A03">
              <w:rPr>
                <w:color w:val="000000" w:themeColor="text1"/>
                <w:spacing w:val="1"/>
              </w:rPr>
              <w:t xml:space="preserve"> </w:t>
            </w:r>
            <w:r w:rsidRPr="00C54A03">
              <w:rPr>
                <w:color w:val="000000" w:themeColor="text1"/>
              </w:rPr>
              <w:t>statul</w:t>
            </w:r>
            <w:r w:rsidRPr="00C54A03">
              <w:rPr>
                <w:color w:val="000000" w:themeColor="text1"/>
                <w:spacing w:val="1"/>
              </w:rPr>
              <w:t xml:space="preserve"> </w:t>
            </w:r>
            <w:r w:rsidRPr="00C54A03">
              <w:rPr>
                <w:color w:val="000000" w:themeColor="text1"/>
              </w:rPr>
              <w:t>membru</w:t>
            </w:r>
            <w:r w:rsidRPr="00C54A03">
              <w:rPr>
                <w:color w:val="000000" w:themeColor="text1"/>
                <w:spacing w:val="1"/>
              </w:rPr>
              <w:t xml:space="preserve"> </w:t>
            </w:r>
            <w:r w:rsidRPr="00C54A03">
              <w:rPr>
                <w:color w:val="000000" w:themeColor="text1"/>
              </w:rPr>
              <w:t>folosește</w:t>
            </w:r>
            <w:r w:rsidRPr="00C54A03">
              <w:rPr>
                <w:color w:val="000000" w:themeColor="text1"/>
                <w:spacing w:val="1"/>
              </w:rPr>
              <w:t xml:space="preserve"> </w:t>
            </w:r>
            <w:r w:rsidRPr="00C54A03">
              <w:rPr>
                <w:color w:val="000000" w:themeColor="text1"/>
              </w:rPr>
              <w:t>o</w:t>
            </w:r>
            <w:r w:rsidRPr="00C54A03">
              <w:rPr>
                <w:color w:val="000000" w:themeColor="text1"/>
                <w:spacing w:val="1"/>
              </w:rPr>
              <w:t xml:space="preserve"> </w:t>
            </w:r>
            <w:r w:rsidRPr="00C54A03">
              <w:rPr>
                <w:color w:val="000000" w:themeColor="text1"/>
              </w:rPr>
              <w:t>valoare</w:t>
            </w:r>
            <w:r w:rsidRPr="00C54A03">
              <w:rPr>
                <w:color w:val="000000" w:themeColor="text1"/>
                <w:spacing w:val="1"/>
              </w:rPr>
              <w:t xml:space="preserve"> </w:t>
            </w:r>
            <w:r w:rsidRPr="00C54A03">
              <w:rPr>
                <w:color w:val="000000" w:themeColor="text1"/>
              </w:rPr>
              <w:t>diferită,</w:t>
            </w:r>
            <w:r w:rsidRPr="00C54A03">
              <w:rPr>
                <w:color w:val="000000" w:themeColor="text1"/>
                <w:spacing w:val="1"/>
              </w:rPr>
              <w:t xml:space="preserve"> </w:t>
            </w:r>
            <w:r w:rsidRPr="00C54A03">
              <w:rPr>
                <w:color w:val="000000" w:themeColor="text1"/>
              </w:rPr>
              <w:t>aceasta</w:t>
            </w:r>
            <w:r w:rsidRPr="00C54A03">
              <w:rPr>
                <w:color w:val="000000" w:themeColor="text1"/>
                <w:spacing w:val="1"/>
              </w:rPr>
              <w:t xml:space="preserve"> </w:t>
            </w:r>
            <w:r w:rsidRPr="00C54A03">
              <w:rPr>
                <w:color w:val="000000" w:themeColor="text1"/>
              </w:rPr>
              <w:t>trebuie</w:t>
            </w:r>
            <w:r w:rsidRPr="00C54A03">
              <w:rPr>
                <w:color w:val="000000" w:themeColor="text1"/>
                <w:spacing w:val="1"/>
              </w:rPr>
              <w:t xml:space="preserve"> </w:t>
            </w:r>
            <w:r w:rsidRPr="00C54A03">
              <w:rPr>
                <w:color w:val="000000" w:themeColor="text1"/>
              </w:rPr>
              <w:t>notată</w:t>
            </w:r>
            <w:r w:rsidRPr="00C54A03">
              <w:rPr>
                <w:color w:val="000000" w:themeColor="text1"/>
                <w:spacing w:val="1"/>
              </w:rPr>
              <w:t xml:space="preserve"> </w:t>
            </w:r>
            <w:r w:rsidRPr="00C54A03">
              <w:rPr>
                <w:color w:val="000000" w:themeColor="text1"/>
              </w:rPr>
              <w:t>și</w:t>
            </w:r>
            <w:r w:rsidRPr="00C54A03">
              <w:rPr>
                <w:color w:val="000000" w:themeColor="text1"/>
                <w:spacing w:val="1"/>
              </w:rPr>
              <w:t xml:space="preserve"> </w:t>
            </w:r>
            <w:r w:rsidRPr="00C54A03">
              <w:rPr>
                <w:color w:val="000000" w:themeColor="text1"/>
              </w:rPr>
              <w:t>explicată</w:t>
            </w:r>
            <w:r w:rsidRPr="00C54A03">
              <w:rPr>
                <w:color w:val="000000" w:themeColor="text1"/>
                <w:spacing w:val="1"/>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câmpul</w:t>
            </w:r>
            <w:r w:rsidRPr="00C54A03">
              <w:rPr>
                <w:color w:val="000000" w:themeColor="text1"/>
                <w:spacing w:val="1"/>
              </w:rPr>
              <w:t xml:space="preserve"> </w:t>
            </w:r>
            <w:r w:rsidRPr="00C54A03">
              <w:rPr>
                <w:color w:val="000000" w:themeColor="text1"/>
              </w:rPr>
              <w:t>10.8</w:t>
            </w:r>
            <w:r w:rsidRPr="00C54A03">
              <w:rPr>
                <w:color w:val="000000" w:themeColor="text1"/>
                <w:spacing w:val="1"/>
              </w:rPr>
              <w:t xml:space="preserve"> </w:t>
            </w:r>
            <w:r w:rsidRPr="00C54A03">
              <w:rPr>
                <w:color w:val="000000" w:themeColor="text1"/>
              </w:rPr>
              <w:t>Informații suplimentare ”. Această valoare indicativă ar putea fi, de</w:t>
            </w:r>
            <w:r w:rsidRPr="00C54A03">
              <w:rPr>
                <w:color w:val="000000" w:themeColor="text1"/>
                <w:spacing w:val="1"/>
              </w:rPr>
              <w:t xml:space="preserve"> </w:t>
            </w:r>
            <w:r w:rsidRPr="00C54A03">
              <w:rPr>
                <w:color w:val="000000" w:themeColor="text1"/>
              </w:rPr>
              <w:t>exemplu, adaptată în funcție de raritatea / abundența tipului de habitat</w:t>
            </w:r>
            <w:r w:rsidRPr="00C54A03">
              <w:rPr>
                <w:color w:val="000000" w:themeColor="text1"/>
                <w:spacing w:val="1"/>
              </w:rPr>
              <w:t xml:space="preserve"> </w:t>
            </w:r>
            <w:r w:rsidRPr="00C54A03">
              <w:rPr>
                <w:color w:val="000000" w:themeColor="text1"/>
              </w:rPr>
              <w:t>(pentru mai multe informații, a se vedea secțiunea „Starea tipului de</w:t>
            </w:r>
            <w:r w:rsidRPr="00C54A03">
              <w:rPr>
                <w:color w:val="000000" w:themeColor="text1"/>
                <w:spacing w:val="1"/>
              </w:rPr>
              <w:t xml:space="preserve"> </w:t>
            </w:r>
            <w:r w:rsidRPr="00C54A03">
              <w:rPr>
                <w:color w:val="000000" w:themeColor="text1"/>
              </w:rPr>
              <w:t>habitat” (în „6 Structura și funcțiile (inclusiv speciile tipice)” capitolul</w:t>
            </w:r>
            <w:r w:rsidRPr="00C54A03">
              <w:rPr>
                <w:color w:val="000000" w:themeColor="text1"/>
                <w:spacing w:val="1"/>
              </w:rPr>
              <w:t xml:space="preserve"> </w:t>
            </w:r>
            <w:r w:rsidRPr="00C54A03">
              <w:rPr>
                <w:color w:val="000000" w:themeColor="text1"/>
              </w:rPr>
              <w:t>din</w:t>
            </w:r>
            <w:r w:rsidRPr="00C54A03">
              <w:rPr>
                <w:color w:val="000000" w:themeColor="text1"/>
                <w:spacing w:val="-1"/>
              </w:rPr>
              <w:t xml:space="preserve"> </w:t>
            </w:r>
            <w:r w:rsidRPr="00C54A03">
              <w:rPr>
                <w:color w:val="000000" w:themeColor="text1"/>
              </w:rPr>
              <w:t>„Definiții și</w:t>
            </w:r>
            <w:r w:rsidRPr="00C54A03">
              <w:rPr>
                <w:color w:val="000000" w:themeColor="text1"/>
                <w:spacing w:val="-1"/>
              </w:rPr>
              <w:t xml:space="preserve"> </w:t>
            </w:r>
            <w:r w:rsidRPr="00C54A03">
              <w:rPr>
                <w:color w:val="000000" w:themeColor="text1"/>
              </w:rPr>
              <w:t>metode</w:t>
            </w:r>
            <w:r w:rsidRPr="00C54A03">
              <w:rPr>
                <w:color w:val="000000" w:themeColor="text1"/>
                <w:spacing w:val="-1"/>
              </w:rPr>
              <w:t xml:space="preserve"> </w:t>
            </w:r>
            <w:r w:rsidRPr="00C54A03">
              <w:rPr>
                <w:color w:val="000000" w:themeColor="text1"/>
              </w:rPr>
              <w:t>pentru</w:t>
            </w:r>
            <w:r w:rsidRPr="00C54A03">
              <w:rPr>
                <w:color w:val="000000" w:themeColor="text1"/>
                <w:spacing w:val="-1"/>
              </w:rPr>
              <w:t xml:space="preserve"> </w:t>
            </w:r>
            <w:r w:rsidRPr="00C54A03">
              <w:rPr>
                <w:color w:val="000000" w:themeColor="text1"/>
              </w:rPr>
              <w:t>raportarea</w:t>
            </w:r>
            <w:r w:rsidRPr="00C54A03">
              <w:rPr>
                <w:color w:val="000000" w:themeColor="text1"/>
                <w:spacing w:val="-1"/>
              </w:rPr>
              <w:t xml:space="preserve"> </w:t>
            </w:r>
            <w:r w:rsidRPr="00C54A03">
              <w:rPr>
                <w:color w:val="000000" w:themeColor="text1"/>
              </w:rPr>
              <w:t>habitatului 'parte).</w:t>
            </w:r>
          </w:p>
          <w:p w14:paraId="4DD93563" w14:textId="77777777" w:rsidR="00E13976" w:rsidRPr="00C54A03" w:rsidRDefault="00E13976" w:rsidP="009E63E5">
            <w:pPr>
              <w:widowControl w:val="0"/>
              <w:numPr>
                <w:ilvl w:val="0"/>
                <w:numId w:val="74"/>
              </w:numPr>
              <w:tabs>
                <w:tab w:val="left" w:pos="829"/>
              </w:tabs>
              <w:autoSpaceDE w:val="0"/>
              <w:autoSpaceDN w:val="0"/>
              <w:spacing w:before="1" w:line="264" w:lineRule="exact"/>
              <w:ind w:hanging="362"/>
              <w:jc w:val="both"/>
              <w:rPr>
                <w:color w:val="000000" w:themeColor="text1"/>
              </w:rPr>
            </w:pPr>
            <w:r w:rsidRPr="00C54A03">
              <w:rPr>
                <w:color w:val="000000" w:themeColor="text1"/>
              </w:rPr>
              <w:t>Deși</w:t>
            </w:r>
            <w:r w:rsidRPr="00C54A03">
              <w:rPr>
                <w:color w:val="000000" w:themeColor="text1"/>
                <w:spacing w:val="26"/>
              </w:rPr>
              <w:t xml:space="preserve"> </w:t>
            </w:r>
            <w:r w:rsidRPr="00C54A03">
              <w:rPr>
                <w:color w:val="000000" w:themeColor="text1"/>
              </w:rPr>
              <w:t>nu</w:t>
            </w:r>
            <w:r w:rsidRPr="00C54A03">
              <w:rPr>
                <w:color w:val="000000" w:themeColor="text1"/>
                <w:spacing w:val="84"/>
              </w:rPr>
              <w:t xml:space="preserve"> </w:t>
            </w:r>
            <w:r w:rsidRPr="00C54A03">
              <w:rPr>
                <w:color w:val="000000" w:themeColor="text1"/>
              </w:rPr>
              <w:t>este</w:t>
            </w:r>
            <w:r w:rsidRPr="00C54A03">
              <w:rPr>
                <w:color w:val="000000" w:themeColor="text1"/>
                <w:spacing w:val="84"/>
              </w:rPr>
              <w:t xml:space="preserve"> </w:t>
            </w:r>
            <w:r w:rsidRPr="00C54A03">
              <w:rPr>
                <w:color w:val="000000" w:themeColor="text1"/>
              </w:rPr>
              <w:t>specificat</w:t>
            </w:r>
            <w:r w:rsidRPr="00C54A03">
              <w:rPr>
                <w:color w:val="000000" w:themeColor="text1"/>
                <w:spacing w:val="87"/>
              </w:rPr>
              <w:t xml:space="preserve"> </w:t>
            </w:r>
            <w:r w:rsidRPr="00C54A03">
              <w:rPr>
                <w:color w:val="000000" w:themeColor="text1"/>
              </w:rPr>
              <w:t>clar</w:t>
            </w:r>
            <w:r w:rsidRPr="00C54A03">
              <w:rPr>
                <w:color w:val="000000" w:themeColor="text1"/>
                <w:spacing w:val="86"/>
              </w:rPr>
              <w:t xml:space="preserve"> </w:t>
            </w:r>
            <w:r w:rsidRPr="00C54A03">
              <w:rPr>
                <w:color w:val="000000" w:themeColor="text1"/>
              </w:rPr>
              <w:t>în</w:t>
            </w:r>
            <w:r w:rsidRPr="00C54A03">
              <w:rPr>
                <w:color w:val="000000" w:themeColor="text1"/>
                <w:spacing w:val="85"/>
              </w:rPr>
              <w:t xml:space="preserve"> </w:t>
            </w:r>
            <w:r w:rsidRPr="00C54A03">
              <w:rPr>
                <w:color w:val="000000" w:themeColor="text1"/>
              </w:rPr>
              <w:t>matricea</w:t>
            </w:r>
            <w:r w:rsidRPr="00C54A03">
              <w:rPr>
                <w:color w:val="000000" w:themeColor="text1"/>
                <w:spacing w:val="84"/>
              </w:rPr>
              <w:t xml:space="preserve"> </w:t>
            </w:r>
            <w:r w:rsidRPr="00C54A03">
              <w:rPr>
                <w:color w:val="000000" w:themeColor="text1"/>
              </w:rPr>
              <w:t>de</w:t>
            </w:r>
            <w:r w:rsidRPr="00C54A03">
              <w:rPr>
                <w:color w:val="000000" w:themeColor="text1"/>
                <w:spacing w:val="86"/>
              </w:rPr>
              <w:t xml:space="preserve"> </w:t>
            </w:r>
            <w:r w:rsidRPr="00C54A03">
              <w:rPr>
                <w:color w:val="000000" w:themeColor="text1"/>
              </w:rPr>
              <w:t>evaluare,</w:t>
            </w:r>
            <w:r w:rsidRPr="00C54A03">
              <w:rPr>
                <w:color w:val="000000" w:themeColor="text1"/>
                <w:spacing w:val="87"/>
              </w:rPr>
              <w:t xml:space="preserve"> </w:t>
            </w:r>
            <w:r w:rsidRPr="00C54A03">
              <w:rPr>
                <w:color w:val="000000" w:themeColor="text1"/>
              </w:rPr>
              <w:t>tendința</w:t>
            </w:r>
          </w:p>
        </w:tc>
      </w:tr>
    </w:tbl>
    <w:p w14:paraId="1586F008" w14:textId="77777777" w:rsidR="00E13976" w:rsidRPr="00C54A03" w:rsidRDefault="00E13976" w:rsidP="008E33FD">
      <w:pPr>
        <w:widowControl w:val="0"/>
        <w:autoSpaceDE w:val="0"/>
        <w:autoSpaceDN w:val="0"/>
        <w:spacing w:line="264" w:lineRule="exact"/>
        <w:jc w:val="both"/>
        <w:rPr>
          <w:color w:val="000000" w:themeColor="text1"/>
        </w:rPr>
        <w:sectPr w:rsidR="00E13976" w:rsidRPr="00C54A03" w:rsidSect="00E1608A">
          <w:pgSz w:w="11910" w:h="16840"/>
          <w:pgMar w:top="1411" w:right="245" w:bottom="1598" w:left="1066" w:header="0" w:footer="1411" w:gutter="0"/>
          <w:cols w:space="708"/>
        </w:sectPr>
      </w:pPr>
    </w:p>
    <w:tbl>
      <w:tblPr>
        <w:tblW w:w="0" w:type="auto"/>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0"/>
        <w:gridCol w:w="7480"/>
      </w:tblGrid>
      <w:tr w:rsidR="00E13976" w:rsidRPr="00C54A03" w14:paraId="65BD6049" w14:textId="77777777" w:rsidTr="00E13976">
        <w:trPr>
          <w:trHeight w:val="5244"/>
        </w:trPr>
        <w:tc>
          <w:tcPr>
            <w:tcW w:w="1810" w:type="dxa"/>
          </w:tcPr>
          <w:p w14:paraId="74B311BC" w14:textId="77777777" w:rsidR="00E13976" w:rsidRPr="00C54A03" w:rsidRDefault="00E13976" w:rsidP="008E33FD">
            <w:pPr>
              <w:widowControl w:val="0"/>
              <w:autoSpaceDE w:val="0"/>
              <w:autoSpaceDN w:val="0"/>
              <w:jc w:val="both"/>
              <w:rPr>
                <w:color w:val="000000" w:themeColor="text1"/>
              </w:rPr>
            </w:pPr>
          </w:p>
        </w:tc>
        <w:tc>
          <w:tcPr>
            <w:tcW w:w="7480" w:type="dxa"/>
          </w:tcPr>
          <w:p w14:paraId="14BC474B" w14:textId="77777777" w:rsidR="00E13976" w:rsidRPr="00C54A03" w:rsidRDefault="00E13976" w:rsidP="008E33FD">
            <w:pPr>
              <w:widowControl w:val="0"/>
              <w:autoSpaceDE w:val="0"/>
              <w:autoSpaceDN w:val="0"/>
              <w:jc w:val="both"/>
              <w:rPr>
                <w:color w:val="000000" w:themeColor="text1"/>
              </w:rPr>
            </w:pPr>
            <w:r w:rsidRPr="00C54A03">
              <w:rPr>
                <w:color w:val="000000" w:themeColor="text1"/>
              </w:rPr>
              <w:t>(tendința</w:t>
            </w:r>
            <w:r w:rsidRPr="00C54A03">
              <w:rPr>
                <w:color w:val="000000" w:themeColor="text1"/>
                <w:spacing w:val="24"/>
              </w:rPr>
              <w:t xml:space="preserve"> </w:t>
            </w:r>
            <w:r w:rsidRPr="00C54A03">
              <w:rPr>
                <w:color w:val="000000" w:themeColor="text1"/>
              </w:rPr>
              <w:t>în</w:t>
            </w:r>
            <w:r w:rsidRPr="00C54A03">
              <w:rPr>
                <w:color w:val="000000" w:themeColor="text1"/>
                <w:spacing w:val="25"/>
              </w:rPr>
              <w:t xml:space="preserve"> </w:t>
            </w:r>
            <w:r w:rsidRPr="00C54A03">
              <w:rPr>
                <w:color w:val="000000" w:themeColor="text1"/>
              </w:rPr>
              <w:t>zonă</w:t>
            </w:r>
            <w:r w:rsidRPr="00C54A03">
              <w:rPr>
                <w:color w:val="000000" w:themeColor="text1"/>
                <w:spacing w:val="24"/>
              </w:rPr>
              <w:t xml:space="preserve"> </w:t>
            </w:r>
            <w:r w:rsidRPr="00C54A03">
              <w:rPr>
                <w:color w:val="000000" w:themeColor="text1"/>
              </w:rPr>
              <w:t>în</w:t>
            </w:r>
            <w:r w:rsidRPr="00C54A03">
              <w:rPr>
                <w:color w:val="000000" w:themeColor="text1"/>
                <w:spacing w:val="25"/>
              </w:rPr>
              <w:t xml:space="preserve"> </w:t>
            </w:r>
            <w:r w:rsidRPr="00C54A03">
              <w:rPr>
                <w:color w:val="000000" w:themeColor="text1"/>
              </w:rPr>
              <w:t>stare</w:t>
            </w:r>
            <w:r w:rsidRPr="00C54A03">
              <w:rPr>
                <w:color w:val="000000" w:themeColor="text1"/>
                <w:spacing w:val="24"/>
              </w:rPr>
              <w:t xml:space="preserve"> </w:t>
            </w:r>
            <w:r w:rsidRPr="00C54A03">
              <w:rPr>
                <w:color w:val="000000" w:themeColor="text1"/>
              </w:rPr>
              <w:t>bună</w:t>
            </w:r>
            <w:r w:rsidRPr="00C54A03">
              <w:rPr>
                <w:color w:val="000000" w:themeColor="text1"/>
                <w:spacing w:val="24"/>
              </w:rPr>
              <w:t xml:space="preserve"> </w:t>
            </w:r>
            <w:r w:rsidRPr="00C54A03">
              <w:rPr>
                <w:color w:val="000000" w:themeColor="text1"/>
              </w:rPr>
              <w:t>(câmpul</w:t>
            </w:r>
            <w:r w:rsidRPr="00C54A03">
              <w:rPr>
                <w:color w:val="000000" w:themeColor="text1"/>
                <w:spacing w:val="25"/>
              </w:rPr>
              <w:t xml:space="preserve"> </w:t>
            </w:r>
            <w:r w:rsidRPr="00C54A03">
              <w:rPr>
                <w:color w:val="000000" w:themeColor="text1"/>
              </w:rPr>
              <w:t>6.4))</w:t>
            </w:r>
            <w:r w:rsidRPr="00C54A03">
              <w:rPr>
                <w:color w:val="000000" w:themeColor="text1"/>
                <w:spacing w:val="23"/>
              </w:rPr>
              <w:t xml:space="preserve"> </w:t>
            </w:r>
            <w:r w:rsidRPr="00C54A03">
              <w:rPr>
                <w:color w:val="000000" w:themeColor="text1"/>
              </w:rPr>
              <w:t>trebuie</w:t>
            </w:r>
            <w:r w:rsidRPr="00C54A03">
              <w:rPr>
                <w:color w:val="000000" w:themeColor="text1"/>
                <w:spacing w:val="24"/>
              </w:rPr>
              <w:t xml:space="preserve"> </w:t>
            </w:r>
            <w:r w:rsidRPr="00C54A03">
              <w:rPr>
                <w:color w:val="000000" w:themeColor="text1"/>
              </w:rPr>
              <w:t>să</w:t>
            </w:r>
            <w:r w:rsidRPr="00C54A03">
              <w:rPr>
                <w:color w:val="000000" w:themeColor="text1"/>
                <w:spacing w:val="25"/>
              </w:rPr>
              <w:t xml:space="preserve"> </w:t>
            </w:r>
            <w:r w:rsidRPr="00C54A03">
              <w:rPr>
                <w:color w:val="000000" w:themeColor="text1"/>
              </w:rPr>
              <w:t>fie</w:t>
            </w:r>
            <w:r w:rsidRPr="00C54A03">
              <w:rPr>
                <w:color w:val="000000" w:themeColor="text1"/>
                <w:spacing w:val="23"/>
              </w:rPr>
              <w:t xml:space="preserve"> </w:t>
            </w:r>
            <w:r w:rsidRPr="00C54A03">
              <w:rPr>
                <w:color w:val="000000" w:themeColor="text1"/>
              </w:rPr>
              <w:t>stabilă</w:t>
            </w:r>
            <w:r w:rsidRPr="00C54A03">
              <w:rPr>
                <w:color w:val="000000" w:themeColor="text1"/>
                <w:spacing w:val="-57"/>
              </w:rPr>
              <w:t xml:space="preserve"> </w:t>
            </w:r>
            <w:r w:rsidRPr="00C54A03">
              <w:rPr>
                <w:color w:val="000000" w:themeColor="text1"/>
              </w:rPr>
              <w:t>sau</w:t>
            </w:r>
            <w:r w:rsidRPr="00C54A03">
              <w:rPr>
                <w:color w:val="000000" w:themeColor="text1"/>
                <w:spacing w:val="49"/>
              </w:rPr>
              <w:t xml:space="preserve"> </w:t>
            </w:r>
            <w:r w:rsidRPr="00C54A03">
              <w:rPr>
                <w:color w:val="000000" w:themeColor="text1"/>
              </w:rPr>
              <w:t>în</w:t>
            </w:r>
            <w:r w:rsidRPr="00C54A03">
              <w:rPr>
                <w:color w:val="000000" w:themeColor="text1"/>
                <w:spacing w:val="51"/>
              </w:rPr>
              <w:t xml:space="preserve"> </w:t>
            </w:r>
            <w:r w:rsidRPr="00C54A03">
              <w:rPr>
                <w:color w:val="000000" w:themeColor="text1"/>
              </w:rPr>
              <w:t>creștere</w:t>
            </w:r>
            <w:r w:rsidRPr="00C54A03">
              <w:rPr>
                <w:color w:val="000000" w:themeColor="text1"/>
                <w:spacing w:val="49"/>
              </w:rPr>
              <w:t xml:space="preserve"> </w:t>
            </w:r>
            <w:r w:rsidRPr="00C54A03">
              <w:rPr>
                <w:color w:val="000000" w:themeColor="text1"/>
              </w:rPr>
              <w:t>pentru</w:t>
            </w:r>
            <w:r w:rsidRPr="00C54A03">
              <w:rPr>
                <w:color w:val="000000" w:themeColor="text1"/>
                <w:spacing w:val="50"/>
              </w:rPr>
              <w:t xml:space="preserve"> </w:t>
            </w:r>
            <w:r w:rsidRPr="00C54A03">
              <w:rPr>
                <w:color w:val="000000" w:themeColor="text1"/>
              </w:rPr>
              <w:t>ca</w:t>
            </w:r>
            <w:r w:rsidRPr="00C54A03">
              <w:rPr>
                <w:color w:val="000000" w:themeColor="text1"/>
                <w:spacing w:val="49"/>
              </w:rPr>
              <w:t xml:space="preserve"> </w:t>
            </w:r>
            <w:r w:rsidRPr="00C54A03">
              <w:rPr>
                <w:color w:val="000000" w:themeColor="text1"/>
              </w:rPr>
              <w:t>structura</w:t>
            </w:r>
            <w:r w:rsidRPr="00C54A03">
              <w:rPr>
                <w:color w:val="000000" w:themeColor="text1"/>
                <w:spacing w:val="49"/>
              </w:rPr>
              <w:t xml:space="preserve"> </w:t>
            </w:r>
            <w:r w:rsidRPr="00C54A03">
              <w:rPr>
                <w:color w:val="000000" w:themeColor="text1"/>
              </w:rPr>
              <w:t>și</w:t>
            </w:r>
            <w:r w:rsidRPr="00C54A03">
              <w:rPr>
                <w:color w:val="000000" w:themeColor="text1"/>
                <w:spacing w:val="50"/>
              </w:rPr>
              <w:t xml:space="preserve"> </w:t>
            </w:r>
            <w:r w:rsidRPr="00C54A03">
              <w:rPr>
                <w:color w:val="000000" w:themeColor="text1"/>
              </w:rPr>
              <w:t>funcțiile</w:t>
            </w:r>
            <w:r w:rsidRPr="00C54A03">
              <w:rPr>
                <w:color w:val="000000" w:themeColor="text1"/>
                <w:spacing w:val="49"/>
              </w:rPr>
              <w:t xml:space="preserve"> </w:t>
            </w:r>
            <w:r w:rsidRPr="00C54A03">
              <w:rPr>
                <w:color w:val="000000" w:themeColor="text1"/>
              </w:rPr>
              <w:t>să</w:t>
            </w:r>
            <w:r w:rsidRPr="00C54A03">
              <w:rPr>
                <w:color w:val="000000" w:themeColor="text1"/>
                <w:spacing w:val="49"/>
              </w:rPr>
              <w:t xml:space="preserve"> </w:t>
            </w:r>
            <w:r w:rsidRPr="00C54A03">
              <w:rPr>
                <w:color w:val="000000" w:themeColor="text1"/>
              </w:rPr>
              <w:t>fie</w:t>
            </w:r>
            <w:r w:rsidRPr="00C54A03">
              <w:rPr>
                <w:color w:val="000000" w:themeColor="text1"/>
                <w:spacing w:val="49"/>
              </w:rPr>
              <w:t xml:space="preserve"> </w:t>
            </w:r>
            <w:r w:rsidRPr="00C54A03">
              <w:rPr>
                <w:color w:val="000000" w:themeColor="text1"/>
              </w:rPr>
              <w:t>considerate</w:t>
            </w:r>
          </w:p>
          <w:p w14:paraId="1607D49A" w14:textId="77777777" w:rsidR="00E13976" w:rsidRPr="00C54A03" w:rsidRDefault="00E13976" w:rsidP="008E33FD">
            <w:pPr>
              <w:widowControl w:val="0"/>
              <w:autoSpaceDE w:val="0"/>
              <w:autoSpaceDN w:val="0"/>
              <w:jc w:val="both"/>
              <w:rPr>
                <w:color w:val="000000" w:themeColor="text1"/>
              </w:rPr>
            </w:pPr>
            <w:r w:rsidRPr="00C54A03">
              <w:rPr>
                <w:color w:val="000000" w:themeColor="text1"/>
              </w:rPr>
              <w:t>„favorabile”.</w:t>
            </w:r>
          </w:p>
          <w:p w14:paraId="4573CEF1" w14:textId="77777777" w:rsidR="00E13976" w:rsidRPr="00C54A03" w:rsidRDefault="00E13976" w:rsidP="009E63E5">
            <w:pPr>
              <w:widowControl w:val="0"/>
              <w:numPr>
                <w:ilvl w:val="0"/>
                <w:numId w:val="73"/>
              </w:numPr>
              <w:tabs>
                <w:tab w:val="left" w:pos="829"/>
              </w:tabs>
              <w:autoSpaceDE w:val="0"/>
              <w:autoSpaceDN w:val="0"/>
              <w:ind w:right="100"/>
              <w:jc w:val="both"/>
              <w:rPr>
                <w:color w:val="000000" w:themeColor="text1"/>
              </w:rPr>
            </w:pPr>
            <w:r w:rsidRPr="00C54A03">
              <w:rPr>
                <w:color w:val="000000" w:themeColor="text1"/>
              </w:rPr>
              <w:t>Deși nu este necesară o evaluare completă a stării de conservare a</w:t>
            </w:r>
            <w:r w:rsidRPr="00C54A03">
              <w:rPr>
                <w:color w:val="000000" w:themeColor="text1"/>
                <w:spacing w:val="1"/>
              </w:rPr>
              <w:t xml:space="preserve"> </w:t>
            </w:r>
            <w:r w:rsidRPr="00C54A03">
              <w:rPr>
                <w:color w:val="000000" w:themeColor="text1"/>
              </w:rPr>
              <w:t>fiecărei specii tipice, specia</w:t>
            </w:r>
            <w:r w:rsidRPr="00C54A03">
              <w:rPr>
                <w:color w:val="000000" w:themeColor="text1"/>
                <w:spacing w:val="1"/>
              </w:rPr>
              <w:t xml:space="preserve"> </w:t>
            </w:r>
            <w:r w:rsidRPr="00C54A03">
              <w:rPr>
                <w:color w:val="000000" w:themeColor="text1"/>
              </w:rPr>
              <w:t>generală</w:t>
            </w:r>
            <w:r w:rsidRPr="00C54A03">
              <w:rPr>
                <w:color w:val="000000" w:themeColor="text1"/>
                <w:spacing w:val="1"/>
              </w:rPr>
              <w:t xml:space="preserve"> </w:t>
            </w:r>
            <w:r w:rsidRPr="00C54A03">
              <w:rPr>
                <w:color w:val="000000" w:themeColor="text1"/>
              </w:rPr>
              <w:t>ar</w:t>
            </w:r>
            <w:r w:rsidRPr="00C54A03">
              <w:rPr>
                <w:color w:val="000000" w:themeColor="text1"/>
                <w:spacing w:val="60"/>
              </w:rPr>
              <w:t xml:space="preserve"> </w:t>
            </w:r>
            <w:r w:rsidRPr="00C54A03">
              <w:rPr>
                <w:color w:val="000000" w:themeColor="text1"/>
              </w:rPr>
              <w:t>trebui să fie „favorabilă”</w:t>
            </w:r>
            <w:r w:rsidRPr="00C54A03">
              <w:rPr>
                <w:color w:val="000000" w:themeColor="text1"/>
                <w:spacing w:val="1"/>
              </w:rPr>
              <w:t xml:space="preserve"> </w:t>
            </w:r>
            <w:r w:rsidRPr="00C54A03">
              <w:rPr>
                <w:color w:val="000000" w:themeColor="text1"/>
              </w:rPr>
              <w:t>(nu amenințată), cel puțin în acest habitat, deoarece speciile pot fi</w:t>
            </w:r>
            <w:r w:rsidRPr="00C54A03">
              <w:rPr>
                <w:color w:val="000000" w:themeColor="text1"/>
                <w:spacing w:val="1"/>
              </w:rPr>
              <w:t xml:space="preserve"> </w:t>
            </w:r>
            <w:r w:rsidRPr="00C54A03">
              <w:rPr>
                <w:color w:val="000000" w:themeColor="text1"/>
              </w:rPr>
              <w:t>tipice</w:t>
            </w:r>
            <w:r w:rsidRPr="00C54A03">
              <w:rPr>
                <w:color w:val="000000" w:themeColor="text1"/>
                <w:spacing w:val="-3"/>
              </w:rPr>
              <w:t xml:space="preserve"> </w:t>
            </w:r>
            <w:r w:rsidRPr="00C54A03">
              <w:rPr>
                <w:color w:val="000000" w:themeColor="text1"/>
              </w:rPr>
              <w:t>mai multor habitat.</w:t>
            </w:r>
          </w:p>
          <w:p w14:paraId="06D6D9D5" w14:textId="77777777" w:rsidR="00E13976" w:rsidRPr="00C54A03" w:rsidRDefault="00E13976" w:rsidP="009E63E5">
            <w:pPr>
              <w:widowControl w:val="0"/>
              <w:numPr>
                <w:ilvl w:val="0"/>
                <w:numId w:val="73"/>
              </w:numPr>
              <w:tabs>
                <w:tab w:val="left" w:pos="829"/>
              </w:tabs>
              <w:autoSpaceDE w:val="0"/>
              <w:autoSpaceDN w:val="0"/>
              <w:ind w:right="102"/>
              <w:jc w:val="both"/>
              <w:rPr>
                <w:color w:val="000000" w:themeColor="text1"/>
              </w:rPr>
            </w:pPr>
            <w:r w:rsidRPr="00C54A03">
              <w:rPr>
                <w:color w:val="000000" w:themeColor="text1"/>
              </w:rPr>
              <w:t>Pentru ca un habitat să fie considerat „favorabil”, fragmentarea sau</w:t>
            </w:r>
            <w:r w:rsidRPr="00C54A03">
              <w:rPr>
                <w:color w:val="000000" w:themeColor="text1"/>
                <w:spacing w:val="1"/>
              </w:rPr>
              <w:t xml:space="preserve"> </w:t>
            </w:r>
            <w:r w:rsidRPr="00C54A03">
              <w:rPr>
                <w:color w:val="000000" w:themeColor="text1"/>
              </w:rPr>
              <w:t>alte</w:t>
            </w:r>
            <w:r w:rsidRPr="00C54A03">
              <w:rPr>
                <w:color w:val="000000" w:themeColor="text1"/>
                <w:spacing w:val="1"/>
              </w:rPr>
              <w:t xml:space="preserve"> </w:t>
            </w:r>
            <w:r w:rsidRPr="00C54A03">
              <w:rPr>
                <w:color w:val="000000" w:themeColor="text1"/>
              </w:rPr>
              <w:t>condiții</w:t>
            </w:r>
            <w:r w:rsidRPr="00C54A03">
              <w:rPr>
                <w:color w:val="000000" w:themeColor="text1"/>
                <w:spacing w:val="1"/>
              </w:rPr>
              <w:t xml:space="preserve"> </w:t>
            </w:r>
            <w:r w:rsidRPr="00C54A03">
              <w:rPr>
                <w:color w:val="000000" w:themeColor="text1"/>
              </w:rPr>
              <w:t>nu</w:t>
            </w:r>
            <w:r w:rsidRPr="00C54A03">
              <w:rPr>
                <w:color w:val="000000" w:themeColor="text1"/>
                <w:spacing w:val="1"/>
              </w:rPr>
              <w:t xml:space="preserve"> </w:t>
            </w:r>
            <w:r w:rsidRPr="00C54A03">
              <w:rPr>
                <w:color w:val="000000" w:themeColor="text1"/>
              </w:rPr>
              <w:t>au</w:t>
            </w:r>
            <w:r w:rsidRPr="00C54A03">
              <w:rPr>
                <w:color w:val="000000" w:themeColor="text1"/>
                <w:spacing w:val="1"/>
              </w:rPr>
              <w:t xml:space="preserve"> </w:t>
            </w:r>
            <w:r w:rsidRPr="00C54A03">
              <w:rPr>
                <w:color w:val="000000" w:themeColor="text1"/>
              </w:rPr>
              <w:t>un</w:t>
            </w:r>
            <w:r w:rsidRPr="00C54A03">
              <w:rPr>
                <w:color w:val="000000" w:themeColor="text1"/>
                <w:spacing w:val="1"/>
              </w:rPr>
              <w:t xml:space="preserve"> </w:t>
            </w:r>
            <w:r w:rsidRPr="00C54A03">
              <w:rPr>
                <w:color w:val="000000" w:themeColor="text1"/>
              </w:rPr>
              <w:t>impact</w:t>
            </w:r>
            <w:r w:rsidRPr="00C54A03">
              <w:rPr>
                <w:color w:val="000000" w:themeColor="text1"/>
                <w:spacing w:val="1"/>
              </w:rPr>
              <w:t xml:space="preserve"> </w:t>
            </w:r>
            <w:r w:rsidRPr="00C54A03">
              <w:rPr>
                <w:color w:val="000000" w:themeColor="text1"/>
              </w:rPr>
              <w:t>semnificativ</w:t>
            </w:r>
            <w:r w:rsidRPr="00C54A03">
              <w:rPr>
                <w:color w:val="000000" w:themeColor="text1"/>
                <w:spacing w:val="1"/>
              </w:rPr>
              <w:t xml:space="preserve"> </w:t>
            </w:r>
            <w:r w:rsidRPr="00C54A03">
              <w:rPr>
                <w:color w:val="000000" w:themeColor="text1"/>
              </w:rPr>
              <w:t>asupra</w:t>
            </w:r>
            <w:r w:rsidRPr="00C54A03">
              <w:rPr>
                <w:color w:val="000000" w:themeColor="text1"/>
                <w:spacing w:val="1"/>
              </w:rPr>
              <w:t xml:space="preserve"> </w:t>
            </w:r>
            <w:r w:rsidRPr="00C54A03">
              <w:rPr>
                <w:color w:val="000000" w:themeColor="text1"/>
              </w:rPr>
              <w:t>proceselor</w:t>
            </w:r>
            <w:r w:rsidRPr="00C54A03">
              <w:rPr>
                <w:color w:val="000000" w:themeColor="text1"/>
                <w:spacing w:val="1"/>
              </w:rPr>
              <w:t xml:space="preserve"> </w:t>
            </w:r>
            <w:r w:rsidRPr="00C54A03">
              <w:rPr>
                <w:color w:val="000000" w:themeColor="text1"/>
              </w:rPr>
              <w:t>ecologice.</w:t>
            </w:r>
          </w:p>
          <w:p w14:paraId="7B6F7187" w14:textId="77777777" w:rsidR="00E13976" w:rsidRPr="00C54A03" w:rsidRDefault="00E13976" w:rsidP="009E63E5">
            <w:pPr>
              <w:widowControl w:val="0"/>
              <w:numPr>
                <w:ilvl w:val="0"/>
                <w:numId w:val="73"/>
              </w:numPr>
              <w:tabs>
                <w:tab w:val="left" w:pos="829"/>
              </w:tabs>
              <w:autoSpaceDE w:val="0"/>
              <w:autoSpaceDN w:val="0"/>
              <w:ind w:right="98"/>
              <w:jc w:val="both"/>
              <w:rPr>
                <w:color w:val="000000" w:themeColor="text1"/>
              </w:rPr>
            </w:pPr>
            <w:r w:rsidRPr="00C54A03">
              <w:rPr>
                <w:color w:val="000000" w:themeColor="text1"/>
              </w:rPr>
              <w:t>Este posibil ca restaurarea să crească suprafața habitatului, dar a</w:t>
            </w:r>
            <w:r w:rsidRPr="00C54A03">
              <w:rPr>
                <w:color w:val="000000" w:themeColor="text1"/>
                <w:spacing w:val="1"/>
              </w:rPr>
              <w:t xml:space="preserve"> </w:t>
            </w:r>
            <w:r w:rsidRPr="00C54A03">
              <w:rPr>
                <w:color w:val="000000" w:themeColor="text1"/>
              </w:rPr>
              <w:t>scăzut</w:t>
            </w:r>
            <w:r w:rsidRPr="00C54A03">
              <w:rPr>
                <w:color w:val="000000" w:themeColor="text1"/>
                <w:spacing w:val="1"/>
              </w:rPr>
              <w:t xml:space="preserve"> </w:t>
            </w:r>
            <w:r w:rsidRPr="00C54A03">
              <w:rPr>
                <w:color w:val="000000" w:themeColor="text1"/>
              </w:rPr>
              <w:t>proporția</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habitat</w:t>
            </w:r>
            <w:r w:rsidRPr="00C54A03">
              <w:rPr>
                <w:color w:val="000000" w:themeColor="text1"/>
                <w:spacing w:val="1"/>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condiții</w:t>
            </w:r>
            <w:r w:rsidRPr="00C54A03">
              <w:rPr>
                <w:color w:val="000000" w:themeColor="text1"/>
                <w:spacing w:val="1"/>
              </w:rPr>
              <w:t xml:space="preserve"> </w:t>
            </w:r>
            <w:r w:rsidRPr="00C54A03">
              <w:rPr>
                <w:color w:val="000000" w:themeColor="text1"/>
              </w:rPr>
              <w:t>„nu</w:t>
            </w:r>
            <w:r w:rsidRPr="00C54A03">
              <w:rPr>
                <w:color w:val="000000" w:themeColor="text1"/>
                <w:spacing w:val="1"/>
              </w:rPr>
              <w:t xml:space="preserve"> </w:t>
            </w:r>
            <w:r w:rsidRPr="00C54A03">
              <w:rPr>
                <w:color w:val="000000" w:themeColor="text1"/>
              </w:rPr>
              <w:t>bune”,</w:t>
            </w:r>
            <w:r w:rsidRPr="00C54A03">
              <w:rPr>
                <w:color w:val="000000" w:themeColor="text1"/>
                <w:spacing w:val="1"/>
              </w:rPr>
              <w:t xml:space="preserve"> </w:t>
            </w:r>
            <w:r w:rsidRPr="00C54A03">
              <w:rPr>
                <w:color w:val="000000" w:themeColor="text1"/>
              </w:rPr>
              <w:t>întrucât</w:t>
            </w:r>
            <w:r w:rsidRPr="00C54A03">
              <w:rPr>
                <w:color w:val="000000" w:themeColor="text1"/>
                <w:spacing w:val="1"/>
              </w:rPr>
              <w:t xml:space="preserve"> </w:t>
            </w:r>
            <w:r w:rsidRPr="00C54A03">
              <w:rPr>
                <w:color w:val="000000" w:themeColor="text1"/>
              </w:rPr>
              <w:t>zona</w:t>
            </w:r>
            <w:r w:rsidRPr="00C54A03">
              <w:rPr>
                <w:color w:val="000000" w:themeColor="text1"/>
                <w:spacing w:val="-57"/>
              </w:rPr>
              <w:t xml:space="preserve"> </w:t>
            </w:r>
            <w:r w:rsidRPr="00C54A03">
              <w:rPr>
                <w:color w:val="000000" w:themeColor="text1"/>
              </w:rPr>
              <w:t>restaurată nu este încă în stare „bună”. În astfel de cazuri, dacă zona</w:t>
            </w:r>
            <w:r w:rsidRPr="00C54A03">
              <w:rPr>
                <w:color w:val="000000" w:themeColor="text1"/>
                <w:spacing w:val="-57"/>
              </w:rPr>
              <w:t xml:space="preserve"> </w:t>
            </w:r>
            <w:r w:rsidRPr="00C54A03">
              <w:rPr>
                <w:color w:val="000000" w:themeColor="text1"/>
              </w:rPr>
              <w:t>în stare „bună” este mai mică de 90% din suprafața habitatului,</w:t>
            </w:r>
            <w:r w:rsidRPr="00C54A03">
              <w:rPr>
                <w:color w:val="000000" w:themeColor="text1"/>
                <w:spacing w:val="1"/>
              </w:rPr>
              <w:t xml:space="preserve"> </w:t>
            </w:r>
            <w:r w:rsidRPr="00C54A03">
              <w:rPr>
                <w:color w:val="000000" w:themeColor="text1"/>
              </w:rPr>
              <w:t>habitatul nu ar trebui să fie „favorabil” pentru parametrul Structura</w:t>
            </w:r>
            <w:r w:rsidRPr="00C54A03">
              <w:rPr>
                <w:color w:val="000000" w:themeColor="text1"/>
                <w:spacing w:val="1"/>
              </w:rPr>
              <w:t xml:space="preserve"> </w:t>
            </w:r>
            <w:r w:rsidRPr="00C54A03">
              <w:rPr>
                <w:color w:val="000000" w:themeColor="text1"/>
              </w:rPr>
              <w:t>și funcțiile (a se vedea mai sus, punctul 1). Astfel de cazuri apar cel</w:t>
            </w:r>
            <w:r w:rsidRPr="00C54A03">
              <w:rPr>
                <w:color w:val="000000" w:themeColor="text1"/>
                <w:spacing w:val="-57"/>
              </w:rPr>
              <w:t xml:space="preserve"> </w:t>
            </w:r>
            <w:r w:rsidRPr="00C54A03">
              <w:rPr>
                <w:color w:val="000000" w:themeColor="text1"/>
              </w:rPr>
              <w:t>mai probabil în cazul în care zona habitatului este mai mică decât</w:t>
            </w:r>
            <w:r w:rsidRPr="00C54A03">
              <w:rPr>
                <w:color w:val="000000" w:themeColor="text1"/>
                <w:spacing w:val="1"/>
              </w:rPr>
              <w:t xml:space="preserve"> </w:t>
            </w:r>
            <w:r w:rsidRPr="00C54A03">
              <w:rPr>
                <w:color w:val="000000" w:themeColor="text1"/>
              </w:rPr>
              <w:t>valoarea</w:t>
            </w:r>
            <w:r w:rsidRPr="00C54A03">
              <w:rPr>
                <w:color w:val="000000" w:themeColor="text1"/>
                <w:spacing w:val="56"/>
              </w:rPr>
              <w:t xml:space="preserve"> </w:t>
            </w:r>
            <w:r w:rsidRPr="00C54A03">
              <w:rPr>
                <w:color w:val="000000" w:themeColor="text1"/>
              </w:rPr>
              <w:t>de</w:t>
            </w:r>
            <w:r w:rsidRPr="00C54A03">
              <w:rPr>
                <w:color w:val="000000" w:themeColor="text1"/>
                <w:spacing w:val="57"/>
              </w:rPr>
              <w:t xml:space="preserve"> </w:t>
            </w:r>
            <w:r w:rsidRPr="00C54A03">
              <w:rPr>
                <w:color w:val="000000" w:themeColor="text1"/>
              </w:rPr>
              <w:t>referință</w:t>
            </w:r>
            <w:r w:rsidRPr="00C54A03">
              <w:rPr>
                <w:color w:val="000000" w:themeColor="text1"/>
                <w:spacing w:val="58"/>
              </w:rPr>
              <w:t xml:space="preserve"> </w:t>
            </w:r>
            <w:r w:rsidRPr="00C54A03">
              <w:rPr>
                <w:color w:val="000000" w:themeColor="text1"/>
              </w:rPr>
              <w:t>și</w:t>
            </w:r>
            <w:r w:rsidRPr="00C54A03">
              <w:rPr>
                <w:color w:val="000000" w:themeColor="text1"/>
                <w:spacing w:val="2"/>
              </w:rPr>
              <w:t xml:space="preserve"> </w:t>
            </w:r>
            <w:r w:rsidRPr="00C54A03">
              <w:rPr>
                <w:color w:val="000000" w:themeColor="text1"/>
              </w:rPr>
              <w:t>starea</w:t>
            </w:r>
            <w:r w:rsidRPr="00C54A03">
              <w:rPr>
                <w:color w:val="000000" w:themeColor="text1"/>
                <w:spacing w:val="59"/>
              </w:rPr>
              <w:t xml:space="preserve"> </w:t>
            </w:r>
            <w:r w:rsidRPr="00C54A03">
              <w:rPr>
                <w:color w:val="000000" w:themeColor="text1"/>
              </w:rPr>
              <w:t>generală</w:t>
            </w:r>
            <w:r w:rsidRPr="00C54A03">
              <w:rPr>
                <w:color w:val="000000" w:themeColor="text1"/>
                <w:spacing w:val="58"/>
              </w:rPr>
              <w:t xml:space="preserve"> </w:t>
            </w:r>
            <w:r w:rsidRPr="00C54A03">
              <w:rPr>
                <w:color w:val="000000" w:themeColor="text1"/>
              </w:rPr>
              <w:t>de  conservare</w:t>
            </w:r>
            <w:r w:rsidRPr="00C54A03">
              <w:rPr>
                <w:color w:val="000000" w:themeColor="text1"/>
                <w:spacing w:val="57"/>
              </w:rPr>
              <w:t xml:space="preserve"> </w:t>
            </w:r>
            <w:r w:rsidRPr="00C54A03">
              <w:rPr>
                <w:color w:val="000000" w:themeColor="text1"/>
              </w:rPr>
              <w:t>ar</w:t>
            </w:r>
            <w:r w:rsidRPr="00C54A03">
              <w:rPr>
                <w:color w:val="000000" w:themeColor="text1"/>
                <w:spacing w:val="59"/>
              </w:rPr>
              <w:t xml:space="preserve"> </w:t>
            </w:r>
            <w:r w:rsidRPr="00C54A03">
              <w:rPr>
                <w:color w:val="000000" w:themeColor="text1"/>
              </w:rPr>
              <w:t>fi</w:t>
            </w:r>
            <w:r w:rsidRPr="00C54A03">
              <w:rPr>
                <w:color w:val="000000" w:themeColor="text1"/>
                <w:spacing w:val="58"/>
              </w:rPr>
              <w:t xml:space="preserve"> </w:t>
            </w:r>
            <w:r w:rsidRPr="00C54A03">
              <w:rPr>
                <w:color w:val="000000" w:themeColor="text1"/>
              </w:rPr>
              <w:t>fost</w:t>
            </w:r>
          </w:p>
          <w:p w14:paraId="7D634E3C" w14:textId="77777777" w:rsidR="00E13976" w:rsidRPr="00C54A03" w:rsidRDefault="00E13976" w:rsidP="008E33FD">
            <w:pPr>
              <w:widowControl w:val="0"/>
              <w:autoSpaceDE w:val="0"/>
              <w:autoSpaceDN w:val="0"/>
              <w:spacing w:line="270" w:lineRule="exact"/>
              <w:jc w:val="both"/>
              <w:rPr>
                <w:color w:val="000000" w:themeColor="text1"/>
              </w:rPr>
            </w:pPr>
            <w:r w:rsidRPr="00C54A03">
              <w:rPr>
                <w:color w:val="000000" w:themeColor="text1"/>
              </w:rPr>
              <w:t>„defavorabilă”</w:t>
            </w:r>
            <w:r w:rsidRPr="00C54A03">
              <w:rPr>
                <w:color w:val="000000" w:themeColor="text1"/>
                <w:spacing w:val="-3"/>
              </w:rPr>
              <w:t xml:space="preserve"> </w:t>
            </w:r>
            <w:r w:rsidRPr="00C54A03">
              <w:rPr>
                <w:color w:val="000000" w:themeColor="text1"/>
              </w:rPr>
              <w:t>indiferent de</w:t>
            </w:r>
            <w:r w:rsidRPr="00C54A03">
              <w:rPr>
                <w:color w:val="000000" w:themeColor="text1"/>
                <w:spacing w:val="-3"/>
              </w:rPr>
              <w:t xml:space="preserve"> </w:t>
            </w:r>
            <w:r w:rsidRPr="00C54A03">
              <w:rPr>
                <w:color w:val="000000" w:themeColor="text1"/>
              </w:rPr>
              <w:t>structură</w:t>
            </w:r>
            <w:r w:rsidRPr="00C54A03">
              <w:rPr>
                <w:color w:val="000000" w:themeColor="text1"/>
                <w:spacing w:val="-4"/>
              </w:rPr>
              <w:t xml:space="preserve"> </w:t>
            </w:r>
            <w:r w:rsidRPr="00C54A03">
              <w:rPr>
                <w:color w:val="000000" w:themeColor="text1"/>
              </w:rPr>
              <w:t>și</w:t>
            </w:r>
            <w:r w:rsidRPr="00C54A03">
              <w:rPr>
                <w:color w:val="000000" w:themeColor="text1"/>
                <w:spacing w:val="-3"/>
              </w:rPr>
              <w:t xml:space="preserve"> </w:t>
            </w:r>
            <w:r w:rsidRPr="00C54A03">
              <w:rPr>
                <w:color w:val="000000" w:themeColor="text1"/>
              </w:rPr>
              <w:t>funcții.</w:t>
            </w:r>
          </w:p>
        </w:tc>
      </w:tr>
      <w:tr w:rsidR="00E13976" w:rsidRPr="00C54A03" w14:paraId="4EAA2A95" w14:textId="77777777" w:rsidTr="00E13976">
        <w:trPr>
          <w:trHeight w:val="4716"/>
        </w:trPr>
        <w:tc>
          <w:tcPr>
            <w:tcW w:w="1810" w:type="dxa"/>
          </w:tcPr>
          <w:p w14:paraId="2D23C08A" w14:textId="77777777" w:rsidR="00E13976" w:rsidRPr="00C54A03" w:rsidRDefault="00E13976" w:rsidP="008E33FD">
            <w:pPr>
              <w:widowControl w:val="0"/>
              <w:autoSpaceDE w:val="0"/>
              <w:autoSpaceDN w:val="0"/>
              <w:jc w:val="both"/>
              <w:rPr>
                <w:color w:val="000000" w:themeColor="text1"/>
              </w:rPr>
            </w:pPr>
          </w:p>
          <w:p w14:paraId="4F9E36D0" w14:textId="77777777" w:rsidR="00E13976" w:rsidRPr="00C54A03" w:rsidRDefault="00E13976" w:rsidP="008E33FD">
            <w:pPr>
              <w:widowControl w:val="0"/>
              <w:autoSpaceDE w:val="0"/>
              <w:autoSpaceDN w:val="0"/>
              <w:jc w:val="both"/>
              <w:rPr>
                <w:color w:val="000000" w:themeColor="text1"/>
              </w:rPr>
            </w:pPr>
          </w:p>
          <w:p w14:paraId="03A9AAC0" w14:textId="77777777" w:rsidR="00E13976" w:rsidRPr="00C54A03" w:rsidRDefault="00E13976" w:rsidP="008E33FD">
            <w:pPr>
              <w:widowControl w:val="0"/>
              <w:autoSpaceDE w:val="0"/>
              <w:autoSpaceDN w:val="0"/>
              <w:jc w:val="both"/>
              <w:rPr>
                <w:color w:val="000000" w:themeColor="text1"/>
              </w:rPr>
            </w:pPr>
          </w:p>
          <w:p w14:paraId="1F082B6B" w14:textId="77777777" w:rsidR="00E13976" w:rsidRPr="00C54A03" w:rsidRDefault="00E13976" w:rsidP="008E33FD">
            <w:pPr>
              <w:widowControl w:val="0"/>
              <w:autoSpaceDE w:val="0"/>
              <w:autoSpaceDN w:val="0"/>
              <w:jc w:val="both"/>
              <w:rPr>
                <w:color w:val="000000" w:themeColor="text1"/>
              </w:rPr>
            </w:pPr>
          </w:p>
          <w:p w14:paraId="17766D08" w14:textId="77777777" w:rsidR="00E13976" w:rsidRPr="00C54A03" w:rsidRDefault="00E13976" w:rsidP="008E33FD">
            <w:pPr>
              <w:widowControl w:val="0"/>
              <w:autoSpaceDE w:val="0"/>
              <w:autoSpaceDN w:val="0"/>
              <w:jc w:val="both"/>
              <w:rPr>
                <w:color w:val="000000" w:themeColor="text1"/>
              </w:rPr>
            </w:pPr>
          </w:p>
          <w:p w14:paraId="3541987C" w14:textId="77777777" w:rsidR="00E13976" w:rsidRPr="00C54A03" w:rsidRDefault="00E13976" w:rsidP="008E33FD">
            <w:pPr>
              <w:widowControl w:val="0"/>
              <w:autoSpaceDE w:val="0"/>
              <w:autoSpaceDN w:val="0"/>
              <w:jc w:val="both"/>
              <w:rPr>
                <w:color w:val="000000" w:themeColor="text1"/>
              </w:rPr>
            </w:pPr>
          </w:p>
          <w:p w14:paraId="308398F3" w14:textId="77777777" w:rsidR="00E13976" w:rsidRPr="00C54A03" w:rsidRDefault="00E13976" w:rsidP="008E33FD">
            <w:pPr>
              <w:widowControl w:val="0"/>
              <w:autoSpaceDE w:val="0"/>
              <w:autoSpaceDN w:val="0"/>
              <w:spacing w:before="9"/>
              <w:jc w:val="both"/>
              <w:rPr>
                <w:color w:val="000000" w:themeColor="text1"/>
              </w:rPr>
            </w:pPr>
          </w:p>
          <w:p w14:paraId="438F7C31" w14:textId="77777777" w:rsidR="00E13976" w:rsidRPr="00C54A03" w:rsidRDefault="00E13976" w:rsidP="008E33FD">
            <w:pPr>
              <w:widowControl w:val="0"/>
              <w:autoSpaceDE w:val="0"/>
              <w:autoSpaceDN w:val="0"/>
              <w:ind w:right="253"/>
              <w:jc w:val="both"/>
              <w:rPr>
                <w:color w:val="000000" w:themeColor="text1"/>
              </w:rPr>
            </w:pPr>
            <w:r w:rsidRPr="00C54A03">
              <w:rPr>
                <w:color w:val="000000" w:themeColor="text1"/>
              </w:rPr>
              <w:t>Nefavorabil-</w:t>
            </w:r>
            <w:r w:rsidRPr="00C54A03">
              <w:rPr>
                <w:color w:val="000000" w:themeColor="text1"/>
                <w:spacing w:val="1"/>
              </w:rPr>
              <w:t xml:space="preserve"> </w:t>
            </w:r>
            <w:r w:rsidRPr="00C54A03">
              <w:rPr>
                <w:color w:val="000000" w:themeColor="text1"/>
              </w:rPr>
              <w:t>inadecvat</w:t>
            </w:r>
            <w:r w:rsidRPr="00C54A03">
              <w:rPr>
                <w:color w:val="000000" w:themeColor="text1"/>
                <w:spacing w:val="-14"/>
              </w:rPr>
              <w:t xml:space="preserve"> </w:t>
            </w:r>
            <w:r w:rsidRPr="00C54A03">
              <w:rPr>
                <w:color w:val="000000" w:themeColor="text1"/>
              </w:rPr>
              <w:t>(U1)</w:t>
            </w:r>
          </w:p>
        </w:tc>
        <w:tc>
          <w:tcPr>
            <w:tcW w:w="7480" w:type="dxa"/>
          </w:tcPr>
          <w:p w14:paraId="729C3C70" w14:textId="77777777" w:rsidR="00E13976" w:rsidRPr="00C54A03" w:rsidRDefault="00E13976" w:rsidP="008E33FD">
            <w:pPr>
              <w:widowControl w:val="0"/>
              <w:autoSpaceDE w:val="0"/>
              <w:autoSpaceDN w:val="0"/>
              <w:spacing w:line="262" w:lineRule="exact"/>
              <w:jc w:val="both"/>
              <w:rPr>
                <w:color w:val="000000" w:themeColor="text1"/>
              </w:rPr>
            </w:pPr>
            <w:r w:rsidRPr="00C54A03">
              <w:rPr>
                <w:color w:val="000000" w:themeColor="text1"/>
              </w:rPr>
              <w:t>Conform</w:t>
            </w:r>
            <w:r w:rsidRPr="00C54A03">
              <w:rPr>
                <w:color w:val="000000" w:themeColor="text1"/>
                <w:spacing w:val="71"/>
              </w:rPr>
              <w:t xml:space="preserve"> </w:t>
            </w:r>
            <w:r w:rsidRPr="00C54A03">
              <w:rPr>
                <w:color w:val="000000" w:themeColor="text1"/>
              </w:rPr>
              <w:t xml:space="preserve">matricei  </w:t>
            </w:r>
            <w:r w:rsidRPr="00C54A03">
              <w:rPr>
                <w:color w:val="000000" w:themeColor="text1"/>
                <w:spacing w:val="10"/>
              </w:rPr>
              <w:t xml:space="preserve"> </w:t>
            </w:r>
            <w:r w:rsidRPr="00C54A03">
              <w:rPr>
                <w:color w:val="000000" w:themeColor="text1"/>
              </w:rPr>
              <w:t xml:space="preserve">de  </w:t>
            </w:r>
            <w:r w:rsidRPr="00C54A03">
              <w:rPr>
                <w:color w:val="000000" w:themeColor="text1"/>
                <w:spacing w:val="11"/>
              </w:rPr>
              <w:t xml:space="preserve"> </w:t>
            </w:r>
            <w:r w:rsidRPr="00C54A03">
              <w:rPr>
                <w:color w:val="000000" w:themeColor="text1"/>
              </w:rPr>
              <w:t xml:space="preserve">evaluare  </w:t>
            </w:r>
            <w:r w:rsidRPr="00C54A03">
              <w:rPr>
                <w:color w:val="000000" w:themeColor="text1"/>
                <w:spacing w:val="8"/>
              </w:rPr>
              <w:t xml:space="preserve"> </w:t>
            </w:r>
            <w:r w:rsidRPr="00C54A03">
              <w:rPr>
                <w:color w:val="000000" w:themeColor="text1"/>
              </w:rPr>
              <w:t xml:space="preserve">(anexa  </w:t>
            </w:r>
            <w:r w:rsidRPr="00C54A03">
              <w:rPr>
                <w:color w:val="000000" w:themeColor="text1"/>
                <w:spacing w:val="8"/>
              </w:rPr>
              <w:t xml:space="preserve"> </w:t>
            </w:r>
            <w:r w:rsidRPr="00C54A03">
              <w:rPr>
                <w:color w:val="000000" w:themeColor="text1"/>
              </w:rPr>
              <w:t xml:space="preserve">E),  </w:t>
            </w:r>
            <w:r w:rsidRPr="00C54A03">
              <w:rPr>
                <w:color w:val="000000" w:themeColor="text1"/>
                <w:spacing w:val="9"/>
              </w:rPr>
              <w:t xml:space="preserve"> </w:t>
            </w:r>
            <w:r w:rsidRPr="00C54A03">
              <w:rPr>
                <w:color w:val="000000" w:themeColor="text1"/>
              </w:rPr>
              <w:t xml:space="preserve">starea  </w:t>
            </w:r>
            <w:r w:rsidRPr="00C54A03">
              <w:rPr>
                <w:color w:val="000000" w:themeColor="text1"/>
                <w:spacing w:val="8"/>
              </w:rPr>
              <w:t xml:space="preserve"> </w:t>
            </w:r>
            <w:r w:rsidRPr="00C54A03">
              <w:rPr>
                <w:color w:val="000000" w:themeColor="text1"/>
              </w:rPr>
              <w:t xml:space="preserve">și  </w:t>
            </w:r>
            <w:r w:rsidRPr="00C54A03">
              <w:rPr>
                <w:color w:val="000000" w:themeColor="text1"/>
                <w:spacing w:val="10"/>
              </w:rPr>
              <w:t xml:space="preserve"> </w:t>
            </w:r>
            <w:r w:rsidRPr="00C54A03">
              <w:rPr>
                <w:color w:val="000000" w:themeColor="text1"/>
              </w:rPr>
              <w:t xml:space="preserve">funcțiile  </w:t>
            </w:r>
            <w:r w:rsidRPr="00C54A03">
              <w:rPr>
                <w:color w:val="000000" w:themeColor="text1"/>
                <w:spacing w:val="8"/>
              </w:rPr>
              <w:t xml:space="preserve"> </w:t>
            </w:r>
            <w:r w:rsidRPr="00C54A03">
              <w:rPr>
                <w:color w:val="000000" w:themeColor="text1"/>
              </w:rPr>
              <w:t>sunt</w:t>
            </w:r>
          </w:p>
          <w:p w14:paraId="6EC79051" w14:textId="77777777" w:rsidR="00E13976" w:rsidRPr="00C54A03" w:rsidRDefault="00E13976" w:rsidP="008E33FD">
            <w:pPr>
              <w:widowControl w:val="0"/>
              <w:autoSpaceDE w:val="0"/>
              <w:autoSpaceDN w:val="0"/>
              <w:jc w:val="both"/>
              <w:rPr>
                <w:color w:val="000000" w:themeColor="text1"/>
              </w:rPr>
            </w:pPr>
            <w:r w:rsidRPr="00C54A03">
              <w:rPr>
                <w:color w:val="000000" w:themeColor="text1"/>
              </w:rPr>
              <w:t>„nefavorabile-inadecvate”</w:t>
            </w:r>
            <w:r w:rsidRPr="00C54A03">
              <w:rPr>
                <w:color w:val="000000" w:themeColor="text1"/>
                <w:spacing w:val="-4"/>
              </w:rPr>
              <w:t xml:space="preserve"> </w:t>
            </w:r>
            <w:r w:rsidRPr="00C54A03">
              <w:rPr>
                <w:color w:val="000000" w:themeColor="text1"/>
              </w:rPr>
              <w:t>dacă:</w:t>
            </w:r>
          </w:p>
          <w:p w14:paraId="78F86889" w14:textId="77777777" w:rsidR="00E13976" w:rsidRPr="00C54A03" w:rsidRDefault="00E13976" w:rsidP="009E63E5">
            <w:pPr>
              <w:widowControl w:val="0"/>
              <w:numPr>
                <w:ilvl w:val="0"/>
                <w:numId w:val="72"/>
              </w:numPr>
              <w:tabs>
                <w:tab w:val="left" w:pos="828"/>
                <w:tab w:val="left" w:pos="829"/>
              </w:tabs>
              <w:autoSpaceDE w:val="0"/>
              <w:autoSpaceDN w:val="0"/>
              <w:spacing w:line="286" w:lineRule="exact"/>
              <w:ind w:hanging="362"/>
              <w:jc w:val="both"/>
              <w:rPr>
                <w:color w:val="000000" w:themeColor="text1"/>
              </w:rPr>
            </w:pPr>
            <w:r w:rsidRPr="00C54A03">
              <w:rPr>
                <w:color w:val="000000" w:themeColor="text1"/>
              </w:rPr>
              <w:t>orice</w:t>
            </w:r>
            <w:r w:rsidRPr="00C54A03">
              <w:rPr>
                <w:color w:val="000000" w:themeColor="text1"/>
                <w:spacing w:val="53"/>
              </w:rPr>
              <w:t xml:space="preserve"> </w:t>
            </w:r>
            <w:r w:rsidRPr="00C54A03">
              <w:rPr>
                <w:color w:val="000000" w:themeColor="text1"/>
              </w:rPr>
              <w:t>altă</w:t>
            </w:r>
            <w:r w:rsidRPr="00C54A03">
              <w:rPr>
                <w:color w:val="000000" w:themeColor="text1"/>
                <w:spacing w:val="55"/>
              </w:rPr>
              <w:t xml:space="preserve"> </w:t>
            </w:r>
            <w:r w:rsidRPr="00C54A03">
              <w:rPr>
                <w:color w:val="000000" w:themeColor="text1"/>
              </w:rPr>
              <w:t>combinație</w:t>
            </w:r>
            <w:r w:rsidRPr="00C54A03">
              <w:rPr>
                <w:color w:val="000000" w:themeColor="text1"/>
                <w:spacing w:val="55"/>
              </w:rPr>
              <w:t xml:space="preserve"> </w:t>
            </w:r>
            <w:r w:rsidRPr="00C54A03">
              <w:rPr>
                <w:color w:val="000000" w:themeColor="text1"/>
              </w:rPr>
              <w:t>(o</w:t>
            </w:r>
            <w:r w:rsidRPr="00C54A03">
              <w:rPr>
                <w:color w:val="000000" w:themeColor="text1"/>
                <w:spacing w:val="57"/>
              </w:rPr>
              <w:t xml:space="preserve"> </w:t>
            </w:r>
            <w:r w:rsidRPr="00C54A03">
              <w:rPr>
                <w:color w:val="000000" w:themeColor="text1"/>
              </w:rPr>
              <w:t>altă</w:t>
            </w:r>
            <w:r w:rsidRPr="00C54A03">
              <w:rPr>
                <w:color w:val="000000" w:themeColor="text1"/>
                <w:spacing w:val="55"/>
              </w:rPr>
              <w:t xml:space="preserve"> </w:t>
            </w:r>
            <w:r w:rsidRPr="00C54A03">
              <w:rPr>
                <w:color w:val="000000" w:themeColor="text1"/>
              </w:rPr>
              <w:t>combinație</w:t>
            </w:r>
            <w:r w:rsidRPr="00C54A03">
              <w:rPr>
                <w:color w:val="000000" w:themeColor="text1"/>
                <w:spacing w:val="55"/>
              </w:rPr>
              <w:t xml:space="preserve"> </w:t>
            </w:r>
            <w:r w:rsidRPr="00C54A03">
              <w:rPr>
                <w:color w:val="000000" w:themeColor="text1"/>
              </w:rPr>
              <w:t>de</w:t>
            </w:r>
            <w:r w:rsidRPr="00C54A03">
              <w:rPr>
                <w:color w:val="000000" w:themeColor="text1"/>
                <w:spacing w:val="55"/>
              </w:rPr>
              <w:t xml:space="preserve"> </w:t>
            </w:r>
            <w:r w:rsidRPr="00C54A03">
              <w:rPr>
                <w:color w:val="000000" w:themeColor="text1"/>
              </w:rPr>
              <w:t>criterii</w:t>
            </w:r>
            <w:r w:rsidRPr="00C54A03">
              <w:rPr>
                <w:color w:val="000000" w:themeColor="text1"/>
                <w:spacing w:val="57"/>
              </w:rPr>
              <w:t xml:space="preserve"> </w:t>
            </w:r>
            <w:r w:rsidRPr="00C54A03">
              <w:rPr>
                <w:color w:val="000000" w:themeColor="text1"/>
              </w:rPr>
              <w:t>decât</w:t>
            </w:r>
            <w:r w:rsidRPr="00C54A03">
              <w:rPr>
                <w:color w:val="000000" w:themeColor="text1"/>
                <w:spacing w:val="56"/>
              </w:rPr>
              <w:t xml:space="preserve"> </w:t>
            </w:r>
            <w:r w:rsidRPr="00C54A03">
              <w:rPr>
                <w:color w:val="000000" w:themeColor="text1"/>
              </w:rPr>
              <w:t>pentru</w:t>
            </w:r>
          </w:p>
          <w:p w14:paraId="6CCF4C5F" w14:textId="77777777" w:rsidR="00E13976" w:rsidRPr="00C54A03" w:rsidRDefault="00E13976" w:rsidP="008E33FD">
            <w:pPr>
              <w:widowControl w:val="0"/>
              <w:autoSpaceDE w:val="0"/>
              <w:autoSpaceDN w:val="0"/>
              <w:spacing w:line="269" w:lineRule="exact"/>
              <w:jc w:val="both"/>
              <w:rPr>
                <w:color w:val="000000" w:themeColor="text1"/>
              </w:rPr>
            </w:pPr>
            <w:r w:rsidRPr="00C54A03">
              <w:rPr>
                <w:color w:val="000000" w:themeColor="text1"/>
              </w:rPr>
              <w:t>„favorabil”</w:t>
            </w:r>
            <w:r w:rsidRPr="00C54A03">
              <w:rPr>
                <w:color w:val="000000" w:themeColor="text1"/>
                <w:spacing w:val="-3"/>
              </w:rPr>
              <w:t xml:space="preserve"> </w:t>
            </w:r>
            <w:r w:rsidRPr="00C54A03">
              <w:rPr>
                <w:color w:val="000000" w:themeColor="text1"/>
              </w:rPr>
              <w:t>sau</w:t>
            </w:r>
            <w:r w:rsidRPr="00C54A03">
              <w:rPr>
                <w:color w:val="000000" w:themeColor="text1"/>
                <w:spacing w:val="-2"/>
              </w:rPr>
              <w:t xml:space="preserve"> </w:t>
            </w:r>
            <w:r w:rsidRPr="00C54A03">
              <w:rPr>
                <w:color w:val="000000" w:themeColor="text1"/>
              </w:rPr>
              <w:t>„nefavorabil-rău”).</w:t>
            </w:r>
          </w:p>
          <w:p w14:paraId="67B1DB69" w14:textId="77777777" w:rsidR="00E13976" w:rsidRPr="00C54A03" w:rsidRDefault="00E13976" w:rsidP="008E33FD">
            <w:pPr>
              <w:widowControl w:val="0"/>
              <w:autoSpaceDE w:val="0"/>
              <w:autoSpaceDN w:val="0"/>
              <w:spacing w:before="1"/>
              <w:jc w:val="both"/>
              <w:rPr>
                <w:color w:val="000000" w:themeColor="text1"/>
              </w:rPr>
            </w:pPr>
            <w:r w:rsidRPr="00C54A03">
              <w:rPr>
                <w:color w:val="000000" w:themeColor="text1"/>
              </w:rPr>
              <w:t>Informațiisuplimentare:</w:t>
            </w:r>
          </w:p>
          <w:p w14:paraId="2D3B3193" w14:textId="77777777" w:rsidR="00E13976" w:rsidRPr="00C54A03" w:rsidRDefault="00E13976" w:rsidP="009E63E5">
            <w:pPr>
              <w:widowControl w:val="0"/>
              <w:numPr>
                <w:ilvl w:val="0"/>
                <w:numId w:val="72"/>
              </w:numPr>
              <w:tabs>
                <w:tab w:val="left" w:pos="829"/>
              </w:tabs>
              <w:autoSpaceDE w:val="0"/>
              <w:autoSpaceDN w:val="0"/>
              <w:spacing w:line="287" w:lineRule="exact"/>
              <w:ind w:hanging="362"/>
              <w:jc w:val="both"/>
              <w:rPr>
                <w:color w:val="000000" w:themeColor="text1"/>
              </w:rPr>
            </w:pPr>
            <w:r w:rsidRPr="00C54A03">
              <w:rPr>
                <w:color w:val="000000" w:themeColor="text1"/>
              </w:rPr>
              <w:t>Matricea</w:t>
            </w:r>
            <w:r w:rsidRPr="00C54A03">
              <w:rPr>
                <w:color w:val="000000" w:themeColor="text1"/>
                <w:spacing w:val="53"/>
              </w:rPr>
              <w:t xml:space="preserve"> </w:t>
            </w:r>
            <w:r w:rsidRPr="00C54A03">
              <w:rPr>
                <w:color w:val="000000" w:themeColor="text1"/>
              </w:rPr>
              <w:t>de</w:t>
            </w:r>
            <w:r w:rsidRPr="00C54A03">
              <w:rPr>
                <w:color w:val="000000" w:themeColor="text1"/>
                <w:spacing w:val="54"/>
              </w:rPr>
              <w:t xml:space="preserve"> </w:t>
            </w:r>
            <w:r w:rsidRPr="00C54A03">
              <w:rPr>
                <w:color w:val="000000" w:themeColor="text1"/>
              </w:rPr>
              <w:t>evaluare</w:t>
            </w:r>
            <w:r w:rsidRPr="00C54A03">
              <w:rPr>
                <w:color w:val="000000" w:themeColor="text1"/>
                <w:spacing w:val="52"/>
              </w:rPr>
              <w:t xml:space="preserve"> </w:t>
            </w:r>
            <w:r w:rsidRPr="00C54A03">
              <w:rPr>
                <w:color w:val="000000" w:themeColor="text1"/>
              </w:rPr>
              <w:t>nu</w:t>
            </w:r>
            <w:r w:rsidRPr="00C54A03">
              <w:rPr>
                <w:color w:val="000000" w:themeColor="text1"/>
                <w:spacing w:val="54"/>
              </w:rPr>
              <w:t xml:space="preserve"> </w:t>
            </w:r>
            <w:r w:rsidRPr="00C54A03">
              <w:rPr>
                <w:color w:val="000000" w:themeColor="text1"/>
              </w:rPr>
              <w:t>include</w:t>
            </w:r>
            <w:r w:rsidRPr="00C54A03">
              <w:rPr>
                <w:color w:val="000000" w:themeColor="text1"/>
                <w:spacing w:val="53"/>
              </w:rPr>
              <w:t xml:space="preserve"> </w:t>
            </w:r>
            <w:r w:rsidRPr="00C54A03">
              <w:rPr>
                <w:color w:val="000000" w:themeColor="text1"/>
              </w:rPr>
              <w:t>criterii</w:t>
            </w:r>
            <w:r w:rsidRPr="00C54A03">
              <w:rPr>
                <w:color w:val="000000" w:themeColor="text1"/>
                <w:spacing w:val="55"/>
              </w:rPr>
              <w:t xml:space="preserve"> </w:t>
            </w:r>
            <w:r w:rsidRPr="00C54A03">
              <w:rPr>
                <w:color w:val="000000" w:themeColor="text1"/>
              </w:rPr>
              <w:t>explicite</w:t>
            </w:r>
            <w:r w:rsidRPr="00C54A03">
              <w:rPr>
                <w:color w:val="000000" w:themeColor="text1"/>
                <w:spacing w:val="53"/>
              </w:rPr>
              <w:t xml:space="preserve"> </w:t>
            </w:r>
            <w:r w:rsidRPr="00C54A03">
              <w:rPr>
                <w:color w:val="000000" w:themeColor="text1"/>
              </w:rPr>
              <w:t>pentru</w:t>
            </w:r>
            <w:r w:rsidRPr="00C54A03">
              <w:rPr>
                <w:color w:val="000000" w:themeColor="text1"/>
                <w:spacing w:val="54"/>
              </w:rPr>
              <w:t xml:space="preserve"> </w:t>
            </w:r>
            <w:r w:rsidRPr="00C54A03">
              <w:rPr>
                <w:color w:val="000000" w:themeColor="text1"/>
              </w:rPr>
              <w:t>statutul</w:t>
            </w:r>
          </w:p>
          <w:p w14:paraId="52E9937E" w14:textId="77777777" w:rsidR="00E13976" w:rsidRPr="00C54A03" w:rsidRDefault="00E13976" w:rsidP="008E33FD">
            <w:pPr>
              <w:widowControl w:val="0"/>
              <w:autoSpaceDE w:val="0"/>
              <w:autoSpaceDN w:val="0"/>
              <w:ind w:right="95"/>
              <w:jc w:val="both"/>
              <w:rPr>
                <w:color w:val="000000" w:themeColor="text1"/>
              </w:rPr>
            </w:pPr>
            <w:r w:rsidRPr="00C54A03">
              <w:rPr>
                <w:color w:val="000000" w:themeColor="text1"/>
              </w:rPr>
              <w:t>„nefavorabil-inadecvat” al structurii și funcțiilor. Cu toate acestea,</w:t>
            </w:r>
            <w:r w:rsidRPr="00C54A03">
              <w:rPr>
                <w:color w:val="000000" w:themeColor="text1"/>
                <w:spacing w:val="1"/>
              </w:rPr>
              <w:t xml:space="preserve"> </w:t>
            </w:r>
            <w:r w:rsidRPr="00C54A03">
              <w:rPr>
                <w:color w:val="000000" w:themeColor="text1"/>
              </w:rPr>
              <w:t>luând în considerare criteriile pentru „favorabile” și „nefavorabile-</w:t>
            </w:r>
            <w:r w:rsidRPr="00C54A03">
              <w:rPr>
                <w:color w:val="000000" w:themeColor="text1"/>
                <w:spacing w:val="1"/>
              </w:rPr>
              <w:t xml:space="preserve"> </w:t>
            </w:r>
            <w:r w:rsidRPr="00C54A03">
              <w:rPr>
                <w:color w:val="000000" w:themeColor="text1"/>
              </w:rPr>
              <w:t>rele” și criterii complementare pentru statutul „favorabil”, statutul</w:t>
            </w:r>
            <w:r w:rsidRPr="00C54A03">
              <w:rPr>
                <w:color w:val="000000" w:themeColor="text1"/>
                <w:spacing w:val="1"/>
              </w:rPr>
              <w:t xml:space="preserve"> </w:t>
            </w:r>
            <w:r w:rsidRPr="00C54A03">
              <w:rPr>
                <w:color w:val="000000" w:themeColor="text1"/>
              </w:rPr>
              <w:t>de</w:t>
            </w:r>
            <w:r w:rsidRPr="00C54A03">
              <w:rPr>
                <w:color w:val="000000" w:themeColor="text1"/>
                <w:spacing w:val="57"/>
              </w:rPr>
              <w:t xml:space="preserve"> </w:t>
            </w:r>
            <w:r w:rsidRPr="00C54A03">
              <w:rPr>
                <w:color w:val="000000" w:themeColor="text1"/>
              </w:rPr>
              <w:t>Structura</w:t>
            </w:r>
            <w:r w:rsidRPr="00C54A03">
              <w:rPr>
                <w:color w:val="000000" w:themeColor="text1"/>
                <w:spacing w:val="57"/>
              </w:rPr>
              <w:t xml:space="preserve"> </w:t>
            </w:r>
            <w:r w:rsidRPr="00C54A03">
              <w:rPr>
                <w:color w:val="000000" w:themeColor="text1"/>
              </w:rPr>
              <w:t>și</w:t>
            </w:r>
            <w:r w:rsidRPr="00C54A03">
              <w:rPr>
                <w:color w:val="000000" w:themeColor="text1"/>
                <w:spacing w:val="59"/>
              </w:rPr>
              <w:t xml:space="preserve"> </w:t>
            </w:r>
            <w:r w:rsidRPr="00C54A03">
              <w:rPr>
                <w:color w:val="000000" w:themeColor="text1"/>
              </w:rPr>
              <w:t>funcțiile</w:t>
            </w:r>
            <w:r w:rsidRPr="00C54A03">
              <w:rPr>
                <w:color w:val="000000" w:themeColor="text1"/>
                <w:spacing w:val="58"/>
              </w:rPr>
              <w:t xml:space="preserve"> </w:t>
            </w:r>
            <w:r w:rsidRPr="00C54A03">
              <w:rPr>
                <w:color w:val="000000" w:themeColor="text1"/>
              </w:rPr>
              <w:t>ar</w:t>
            </w:r>
            <w:r w:rsidRPr="00C54A03">
              <w:rPr>
                <w:color w:val="000000" w:themeColor="text1"/>
                <w:spacing w:val="58"/>
              </w:rPr>
              <w:t xml:space="preserve"> </w:t>
            </w:r>
            <w:r w:rsidRPr="00C54A03">
              <w:rPr>
                <w:color w:val="000000" w:themeColor="text1"/>
              </w:rPr>
              <w:t>trebui</w:t>
            </w:r>
            <w:r w:rsidRPr="00C54A03">
              <w:rPr>
                <w:color w:val="000000" w:themeColor="text1"/>
                <w:spacing w:val="59"/>
              </w:rPr>
              <w:t xml:space="preserve"> </w:t>
            </w:r>
            <w:r w:rsidRPr="00C54A03">
              <w:rPr>
                <w:color w:val="000000" w:themeColor="text1"/>
              </w:rPr>
              <w:t>considerate</w:t>
            </w:r>
            <w:r w:rsidRPr="00C54A03">
              <w:rPr>
                <w:color w:val="000000" w:themeColor="text1"/>
                <w:spacing w:val="57"/>
              </w:rPr>
              <w:t xml:space="preserve"> </w:t>
            </w:r>
            <w:r w:rsidRPr="00C54A03">
              <w:rPr>
                <w:color w:val="000000" w:themeColor="text1"/>
              </w:rPr>
              <w:t>„nefavorabile-</w:t>
            </w:r>
            <w:r w:rsidRPr="00C54A03">
              <w:rPr>
                <w:color w:val="000000" w:themeColor="text1"/>
                <w:spacing w:val="-58"/>
              </w:rPr>
              <w:t xml:space="preserve"> </w:t>
            </w:r>
            <w:r w:rsidRPr="00C54A03">
              <w:rPr>
                <w:color w:val="000000" w:themeColor="text1"/>
              </w:rPr>
              <w:t>inadecvate”</w:t>
            </w:r>
            <w:r w:rsidRPr="00C54A03">
              <w:rPr>
                <w:color w:val="000000" w:themeColor="text1"/>
                <w:spacing w:val="-2"/>
              </w:rPr>
              <w:t xml:space="preserve"> </w:t>
            </w:r>
            <w:r w:rsidRPr="00C54A03">
              <w:rPr>
                <w:color w:val="000000" w:themeColor="text1"/>
              </w:rPr>
              <w:t>dacă:</w:t>
            </w:r>
          </w:p>
          <w:p w14:paraId="65CC205D" w14:textId="77777777" w:rsidR="00E13976" w:rsidRPr="00C54A03" w:rsidRDefault="00E13976" w:rsidP="009E63E5">
            <w:pPr>
              <w:widowControl w:val="0"/>
              <w:numPr>
                <w:ilvl w:val="0"/>
                <w:numId w:val="72"/>
              </w:numPr>
              <w:tabs>
                <w:tab w:val="left" w:pos="828"/>
                <w:tab w:val="left" w:pos="829"/>
              </w:tabs>
              <w:autoSpaceDE w:val="0"/>
              <w:autoSpaceDN w:val="0"/>
              <w:spacing w:before="3" w:line="230" w:lineRule="auto"/>
              <w:ind w:right="98"/>
              <w:jc w:val="both"/>
              <w:rPr>
                <w:color w:val="000000" w:themeColor="text1"/>
              </w:rPr>
            </w:pPr>
            <w:r w:rsidRPr="00C54A03">
              <w:rPr>
                <w:color w:val="000000" w:themeColor="text1"/>
              </w:rPr>
              <w:t>suprafața</w:t>
            </w:r>
            <w:r w:rsidRPr="00C54A03">
              <w:rPr>
                <w:color w:val="000000" w:themeColor="text1"/>
                <w:spacing w:val="2"/>
              </w:rPr>
              <w:t xml:space="preserve"> </w:t>
            </w:r>
            <w:r w:rsidRPr="00C54A03">
              <w:rPr>
                <w:color w:val="000000" w:themeColor="text1"/>
              </w:rPr>
              <w:t>habitatului</w:t>
            </w:r>
            <w:r w:rsidRPr="00C54A03">
              <w:rPr>
                <w:color w:val="000000" w:themeColor="text1"/>
                <w:spacing w:val="2"/>
              </w:rPr>
              <w:t xml:space="preserve"> </w:t>
            </w:r>
            <w:r w:rsidRPr="00C54A03">
              <w:rPr>
                <w:color w:val="000000" w:themeColor="text1"/>
              </w:rPr>
              <w:t>cu</w:t>
            </w:r>
            <w:r w:rsidRPr="00C54A03">
              <w:rPr>
                <w:color w:val="000000" w:themeColor="text1"/>
                <w:spacing w:val="3"/>
              </w:rPr>
              <w:t xml:space="preserve"> </w:t>
            </w:r>
            <w:r w:rsidRPr="00C54A03">
              <w:rPr>
                <w:color w:val="000000" w:themeColor="text1"/>
              </w:rPr>
              <w:t>condiții</w:t>
            </w:r>
            <w:r w:rsidRPr="00C54A03">
              <w:rPr>
                <w:color w:val="000000" w:themeColor="text1"/>
                <w:spacing w:val="58"/>
              </w:rPr>
              <w:t xml:space="preserve"> </w:t>
            </w:r>
            <w:r w:rsidRPr="00C54A03">
              <w:rPr>
                <w:color w:val="000000" w:themeColor="text1"/>
              </w:rPr>
              <w:t>„nefavorabile”</w:t>
            </w:r>
            <w:r w:rsidRPr="00C54A03">
              <w:rPr>
                <w:color w:val="000000" w:themeColor="text1"/>
                <w:spacing w:val="2"/>
              </w:rPr>
              <w:t xml:space="preserve"> </w:t>
            </w:r>
            <w:r w:rsidRPr="00C54A03">
              <w:rPr>
                <w:color w:val="000000" w:themeColor="text1"/>
              </w:rPr>
              <w:t>(„nu</w:t>
            </w:r>
            <w:r w:rsidRPr="00C54A03">
              <w:rPr>
                <w:color w:val="000000" w:themeColor="text1"/>
                <w:spacing w:val="1"/>
              </w:rPr>
              <w:t xml:space="preserve"> </w:t>
            </w:r>
            <w:r w:rsidRPr="00C54A03">
              <w:rPr>
                <w:color w:val="000000" w:themeColor="text1"/>
              </w:rPr>
              <w:t>este</w:t>
            </w:r>
            <w:r w:rsidRPr="00C54A03">
              <w:rPr>
                <w:color w:val="000000" w:themeColor="text1"/>
                <w:spacing w:val="1"/>
              </w:rPr>
              <w:t xml:space="preserve"> </w:t>
            </w:r>
            <w:r w:rsidRPr="00C54A03">
              <w:rPr>
                <w:color w:val="000000" w:themeColor="text1"/>
              </w:rPr>
              <w:t>bine”)</w:t>
            </w:r>
            <w:r w:rsidRPr="00C54A03">
              <w:rPr>
                <w:color w:val="000000" w:themeColor="text1"/>
                <w:spacing w:val="-57"/>
              </w:rPr>
              <w:t xml:space="preserve"> </w:t>
            </w:r>
            <w:r w:rsidRPr="00C54A03">
              <w:rPr>
                <w:color w:val="000000" w:themeColor="text1"/>
              </w:rPr>
              <w:t>(câmpul</w:t>
            </w:r>
            <w:r w:rsidRPr="00C54A03">
              <w:rPr>
                <w:color w:val="000000" w:themeColor="text1"/>
                <w:spacing w:val="-1"/>
              </w:rPr>
              <w:t xml:space="preserve"> </w:t>
            </w:r>
            <w:r w:rsidRPr="00C54A03">
              <w:rPr>
                <w:color w:val="000000" w:themeColor="text1"/>
              </w:rPr>
              <w:t>6.1)</w:t>
            </w:r>
            <w:r w:rsidRPr="00C54A03">
              <w:rPr>
                <w:color w:val="000000" w:themeColor="text1"/>
                <w:spacing w:val="-1"/>
              </w:rPr>
              <w:t xml:space="preserve"> </w:t>
            </w:r>
            <w:r w:rsidRPr="00C54A03">
              <w:rPr>
                <w:color w:val="000000" w:themeColor="text1"/>
              </w:rPr>
              <w:t>este</w:t>
            </w:r>
            <w:r w:rsidRPr="00C54A03">
              <w:rPr>
                <w:color w:val="000000" w:themeColor="text1"/>
                <w:spacing w:val="-1"/>
              </w:rPr>
              <w:t xml:space="preserve"> </w:t>
            </w:r>
            <w:r w:rsidRPr="00C54A03">
              <w:rPr>
                <w:color w:val="000000" w:themeColor="text1"/>
              </w:rPr>
              <w:t>mai mică</w:t>
            </w:r>
            <w:r w:rsidRPr="00C54A03">
              <w:rPr>
                <w:color w:val="000000" w:themeColor="text1"/>
                <w:spacing w:val="-2"/>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25%; și</w:t>
            </w:r>
          </w:p>
          <w:p w14:paraId="63027696" w14:textId="77777777" w:rsidR="00E13976" w:rsidRPr="00C54A03" w:rsidRDefault="00E13976" w:rsidP="009E63E5">
            <w:pPr>
              <w:widowControl w:val="0"/>
              <w:numPr>
                <w:ilvl w:val="0"/>
                <w:numId w:val="72"/>
              </w:numPr>
              <w:tabs>
                <w:tab w:val="left" w:pos="828"/>
                <w:tab w:val="left" w:pos="829"/>
              </w:tabs>
              <w:autoSpaceDE w:val="0"/>
              <w:autoSpaceDN w:val="0"/>
              <w:spacing w:before="11" w:line="230" w:lineRule="auto"/>
              <w:ind w:right="101"/>
              <w:jc w:val="both"/>
              <w:rPr>
                <w:color w:val="000000" w:themeColor="text1"/>
              </w:rPr>
            </w:pPr>
            <w:r w:rsidRPr="00C54A03">
              <w:rPr>
                <w:color w:val="000000" w:themeColor="text1"/>
              </w:rPr>
              <w:t>suprafața</w:t>
            </w:r>
            <w:r w:rsidRPr="00C54A03">
              <w:rPr>
                <w:color w:val="000000" w:themeColor="text1"/>
                <w:spacing w:val="9"/>
              </w:rPr>
              <w:t xml:space="preserve"> </w:t>
            </w:r>
            <w:r w:rsidRPr="00C54A03">
              <w:rPr>
                <w:color w:val="000000" w:themeColor="text1"/>
              </w:rPr>
              <w:t>habitatului</w:t>
            </w:r>
            <w:r w:rsidRPr="00C54A03">
              <w:rPr>
                <w:color w:val="000000" w:themeColor="text1"/>
                <w:spacing w:val="7"/>
              </w:rPr>
              <w:t xml:space="preserve"> </w:t>
            </w:r>
            <w:r w:rsidRPr="00C54A03">
              <w:rPr>
                <w:color w:val="000000" w:themeColor="text1"/>
              </w:rPr>
              <w:t>cu</w:t>
            </w:r>
            <w:r w:rsidRPr="00C54A03">
              <w:rPr>
                <w:color w:val="000000" w:themeColor="text1"/>
                <w:spacing w:val="10"/>
              </w:rPr>
              <w:t xml:space="preserve"> </w:t>
            </w:r>
            <w:r w:rsidRPr="00C54A03">
              <w:rPr>
                <w:color w:val="000000" w:themeColor="text1"/>
              </w:rPr>
              <w:t>condiții</w:t>
            </w:r>
            <w:r w:rsidRPr="00C54A03">
              <w:rPr>
                <w:color w:val="000000" w:themeColor="text1"/>
                <w:spacing w:val="8"/>
              </w:rPr>
              <w:t xml:space="preserve"> </w:t>
            </w:r>
            <w:r w:rsidRPr="00C54A03">
              <w:rPr>
                <w:color w:val="000000" w:themeColor="text1"/>
              </w:rPr>
              <w:t>„bune”</w:t>
            </w:r>
            <w:r w:rsidRPr="00C54A03">
              <w:rPr>
                <w:color w:val="000000" w:themeColor="text1"/>
                <w:spacing w:val="6"/>
              </w:rPr>
              <w:t xml:space="preserve"> </w:t>
            </w:r>
            <w:r w:rsidRPr="00C54A03">
              <w:rPr>
                <w:color w:val="000000" w:themeColor="text1"/>
              </w:rPr>
              <w:t>(câmpul</w:t>
            </w:r>
            <w:r w:rsidRPr="00C54A03">
              <w:rPr>
                <w:color w:val="000000" w:themeColor="text1"/>
                <w:spacing w:val="9"/>
              </w:rPr>
              <w:t xml:space="preserve"> </w:t>
            </w:r>
            <w:r w:rsidRPr="00C54A03">
              <w:rPr>
                <w:color w:val="000000" w:themeColor="text1"/>
              </w:rPr>
              <w:t>6.1)</w:t>
            </w:r>
            <w:r w:rsidRPr="00C54A03">
              <w:rPr>
                <w:color w:val="000000" w:themeColor="text1"/>
                <w:spacing w:val="6"/>
              </w:rPr>
              <w:t xml:space="preserve"> </w:t>
            </w:r>
            <w:r w:rsidRPr="00C54A03">
              <w:rPr>
                <w:color w:val="000000" w:themeColor="text1"/>
              </w:rPr>
              <w:t>este</w:t>
            </w:r>
            <w:r w:rsidRPr="00C54A03">
              <w:rPr>
                <w:color w:val="000000" w:themeColor="text1"/>
                <w:spacing w:val="8"/>
              </w:rPr>
              <w:t xml:space="preserve"> </w:t>
            </w:r>
            <w:r w:rsidRPr="00C54A03">
              <w:rPr>
                <w:color w:val="000000" w:themeColor="text1"/>
              </w:rPr>
              <w:t>mai</w:t>
            </w:r>
            <w:r w:rsidRPr="00C54A03">
              <w:rPr>
                <w:color w:val="000000" w:themeColor="text1"/>
                <w:spacing w:val="9"/>
              </w:rPr>
              <w:t xml:space="preserve"> </w:t>
            </w:r>
            <w:r w:rsidRPr="00C54A03">
              <w:rPr>
                <w:color w:val="000000" w:themeColor="text1"/>
              </w:rPr>
              <w:t>mică</w:t>
            </w:r>
            <w:r w:rsidRPr="00C54A03">
              <w:rPr>
                <w:color w:val="000000" w:themeColor="text1"/>
                <w:spacing w:val="-57"/>
              </w:rPr>
              <w:t xml:space="preserve"> </w:t>
            </w:r>
            <w:r w:rsidRPr="00C54A03">
              <w:rPr>
                <w:color w:val="000000" w:themeColor="text1"/>
              </w:rPr>
              <w:t>de</w:t>
            </w:r>
            <w:r w:rsidRPr="00C54A03">
              <w:rPr>
                <w:color w:val="000000" w:themeColor="text1"/>
                <w:spacing w:val="-2"/>
              </w:rPr>
              <w:t xml:space="preserve"> </w:t>
            </w:r>
            <w:r w:rsidRPr="00C54A03">
              <w:rPr>
                <w:color w:val="000000" w:themeColor="text1"/>
              </w:rPr>
              <w:t>90%; și</w:t>
            </w:r>
          </w:p>
          <w:p w14:paraId="708C3A6C" w14:textId="77777777" w:rsidR="00E13976" w:rsidRPr="00C54A03" w:rsidRDefault="00E13976" w:rsidP="009E63E5">
            <w:pPr>
              <w:widowControl w:val="0"/>
              <w:numPr>
                <w:ilvl w:val="0"/>
                <w:numId w:val="72"/>
              </w:numPr>
              <w:tabs>
                <w:tab w:val="left" w:pos="828"/>
                <w:tab w:val="left" w:pos="829"/>
              </w:tabs>
              <w:autoSpaceDE w:val="0"/>
              <w:autoSpaceDN w:val="0"/>
              <w:spacing w:before="2" w:line="276" w:lineRule="exact"/>
              <w:ind w:right="100"/>
              <w:jc w:val="both"/>
              <w:rPr>
                <w:color w:val="000000" w:themeColor="text1"/>
              </w:rPr>
            </w:pPr>
            <w:r w:rsidRPr="00C54A03">
              <w:rPr>
                <w:color w:val="000000" w:themeColor="text1"/>
              </w:rPr>
              <w:t>suprafața</w:t>
            </w:r>
            <w:r w:rsidRPr="00C54A03">
              <w:rPr>
                <w:color w:val="000000" w:themeColor="text1"/>
                <w:spacing w:val="37"/>
              </w:rPr>
              <w:t xml:space="preserve"> </w:t>
            </w:r>
            <w:r w:rsidRPr="00C54A03">
              <w:rPr>
                <w:color w:val="000000" w:themeColor="text1"/>
              </w:rPr>
              <w:t>habitatului</w:t>
            </w:r>
            <w:r w:rsidRPr="00C54A03">
              <w:rPr>
                <w:color w:val="000000" w:themeColor="text1"/>
                <w:spacing w:val="38"/>
              </w:rPr>
              <w:t xml:space="preserve"> </w:t>
            </w:r>
            <w:r w:rsidRPr="00C54A03">
              <w:rPr>
                <w:color w:val="000000" w:themeColor="text1"/>
              </w:rPr>
              <w:t>cu</w:t>
            </w:r>
            <w:r w:rsidRPr="00C54A03">
              <w:rPr>
                <w:color w:val="000000" w:themeColor="text1"/>
                <w:spacing w:val="38"/>
              </w:rPr>
              <w:t xml:space="preserve"> </w:t>
            </w:r>
            <w:r w:rsidRPr="00C54A03">
              <w:rPr>
                <w:color w:val="000000" w:themeColor="text1"/>
              </w:rPr>
              <w:t>condiție</w:t>
            </w:r>
            <w:r w:rsidRPr="00C54A03">
              <w:rPr>
                <w:color w:val="000000" w:themeColor="text1"/>
                <w:spacing w:val="37"/>
              </w:rPr>
              <w:t xml:space="preserve"> </w:t>
            </w:r>
            <w:r w:rsidRPr="00C54A03">
              <w:rPr>
                <w:color w:val="000000" w:themeColor="text1"/>
              </w:rPr>
              <w:t>„necunoscută”</w:t>
            </w:r>
            <w:r w:rsidRPr="00C54A03">
              <w:rPr>
                <w:color w:val="000000" w:themeColor="text1"/>
                <w:spacing w:val="36"/>
              </w:rPr>
              <w:t xml:space="preserve"> </w:t>
            </w:r>
            <w:r w:rsidRPr="00C54A03">
              <w:rPr>
                <w:color w:val="000000" w:themeColor="text1"/>
              </w:rPr>
              <w:t>(câmpul</w:t>
            </w:r>
            <w:r w:rsidRPr="00C54A03">
              <w:rPr>
                <w:color w:val="000000" w:themeColor="text1"/>
                <w:spacing w:val="39"/>
              </w:rPr>
              <w:t xml:space="preserve"> </w:t>
            </w:r>
            <w:r w:rsidRPr="00C54A03">
              <w:rPr>
                <w:color w:val="000000" w:themeColor="text1"/>
              </w:rPr>
              <w:t>6.1)</w:t>
            </w:r>
            <w:r w:rsidRPr="00C54A03">
              <w:rPr>
                <w:color w:val="000000" w:themeColor="text1"/>
                <w:spacing w:val="36"/>
              </w:rPr>
              <w:t xml:space="preserve"> </w:t>
            </w:r>
            <w:r w:rsidRPr="00C54A03">
              <w:rPr>
                <w:color w:val="000000" w:themeColor="text1"/>
              </w:rPr>
              <w:t>este</w:t>
            </w:r>
            <w:r w:rsidRPr="00C54A03">
              <w:rPr>
                <w:color w:val="000000" w:themeColor="text1"/>
                <w:spacing w:val="-57"/>
              </w:rPr>
              <w:t xml:space="preserve"> </w:t>
            </w:r>
            <w:r w:rsidRPr="00C54A03">
              <w:rPr>
                <w:color w:val="000000" w:themeColor="text1"/>
              </w:rPr>
              <w:t>mai</w:t>
            </w:r>
            <w:r w:rsidRPr="00C54A03">
              <w:rPr>
                <w:color w:val="000000" w:themeColor="text1"/>
                <w:spacing w:val="-1"/>
              </w:rPr>
              <w:t xml:space="preserve"> </w:t>
            </w:r>
            <w:r w:rsidRPr="00C54A03">
              <w:rPr>
                <w:color w:val="000000" w:themeColor="text1"/>
              </w:rPr>
              <w:t>mică</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75%.</w:t>
            </w:r>
          </w:p>
        </w:tc>
      </w:tr>
      <w:tr w:rsidR="00E13976" w:rsidRPr="00C54A03" w14:paraId="50C118A5" w14:textId="77777777" w:rsidTr="00E13976">
        <w:trPr>
          <w:trHeight w:val="1384"/>
        </w:trPr>
        <w:tc>
          <w:tcPr>
            <w:tcW w:w="1810" w:type="dxa"/>
          </w:tcPr>
          <w:p w14:paraId="71307EF3" w14:textId="77777777" w:rsidR="00E13976" w:rsidRPr="00C54A03" w:rsidRDefault="00E13976" w:rsidP="008E33FD">
            <w:pPr>
              <w:widowControl w:val="0"/>
              <w:autoSpaceDE w:val="0"/>
              <w:autoSpaceDN w:val="0"/>
              <w:spacing w:before="7"/>
              <w:jc w:val="both"/>
              <w:rPr>
                <w:color w:val="000000" w:themeColor="text1"/>
              </w:rPr>
            </w:pPr>
          </w:p>
          <w:p w14:paraId="6C8334E6" w14:textId="77777777" w:rsidR="00E13976" w:rsidRPr="00C54A03" w:rsidRDefault="00E13976" w:rsidP="008E33FD">
            <w:pPr>
              <w:widowControl w:val="0"/>
              <w:autoSpaceDE w:val="0"/>
              <w:autoSpaceDN w:val="0"/>
              <w:spacing w:before="1"/>
              <w:ind w:right="154"/>
              <w:jc w:val="both"/>
              <w:rPr>
                <w:color w:val="000000" w:themeColor="text1"/>
              </w:rPr>
            </w:pPr>
            <w:r w:rsidRPr="00C54A03">
              <w:rPr>
                <w:color w:val="000000" w:themeColor="text1"/>
                <w:spacing w:val="-1"/>
              </w:rPr>
              <w:t>Nefavorabil-rău</w:t>
            </w:r>
            <w:r w:rsidRPr="00C54A03">
              <w:rPr>
                <w:color w:val="000000" w:themeColor="text1"/>
                <w:spacing w:val="-57"/>
              </w:rPr>
              <w:t xml:space="preserve"> </w:t>
            </w:r>
            <w:r w:rsidRPr="00C54A03">
              <w:rPr>
                <w:color w:val="000000" w:themeColor="text1"/>
              </w:rPr>
              <w:t>(U2)</w:t>
            </w:r>
          </w:p>
        </w:tc>
        <w:tc>
          <w:tcPr>
            <w:tcW w:w="7480" w:type="dxa"/>
          </w:tcPr>
          <w:p w14:paraId="009148E1" w14:textId="77777777" w:rsidR="00E13976" w:rsidRPr="00C54A03" w:rsidRDefault="00E13976" w:rsidP="008E33FD">
            <w:pPr>
              <w:widowControl w:val="0"/>
              <w:autoSpaceDE w:val="0"/>
              <w:autoSpaceDN w:val="0"/>
              <w:spacing w:line="260" w:lineRule="exact"/>
              <w:jc w:val="both"/>
              <w:rPr>
                <w:color w:val="000000" w:themeColor="text1"/>
              </w:rPr>
            </w:pPr>
            <w:r w:rsidRPr="00C54A03">
              <w:rPr>
                <w:color w:val="000000" w:themeColor="text1"/>
              </w:rPr>
              <w:t>Conform</w:t>
            </w:r>
            <w:r w:rsidRPr="00C54A03">
              <w:rPr>
                <w:color w:val="000000" w:themeColor="text1"/>
                <w:spacing w:val="71"/>
              </w:rPr>
              <w:t xml:space="preserve"> </w:t>
            </w:r>
            <w:r w:rsidRPr="00C54A03">
              <w:rPr>
                <w:color w:val="000000" w:themeColor="text1"/>
              </w:rPr>
              <w:t xml:space="preserve">matricei  </w:t>
            </w:r>
            <w:r w:rsidRPr="00C54A03">
              <w:rPr>
                <w:color w:val="000000" w:themeColor="text1"/>
                <w:spacing w:val="9"/>
              </w:rPr>
              <w:t xml:space="preserve"> </w:t>
            </w:r>
            <w:r w:rsidRPr="00C54A03">
              <w:rPr>
                <w:color w:val="000000" w:themeColor="text1"/>
              </w:rPr>
              <w:t xml:space="preserve">de  </w:t>
            </w:r>
            <w:r w:rsidRPr="00C54A03">
              <w:rPr>
                <w:color w:val="000000" w:themeColor="text1"/>
                <w:spacing w:val="11"/>
              </w:rPr>
              <w:t xml:space="preserve"> </w:t>
            </w:r>
            <w:r w:rsidRPr="00C54A03">
              <w:rPr>
                <w:color w:val="000000" w:themeColor="text1"/>
              </w:rPr>
              <w:t xml:space="preserve">evaluare  </w:t>
            </w:r>
            <w:r w:rsidRPr="00C54A03">
              <w:rPr>
                <w:color w:val="000000" w:themeColor="text1"/>
                <w:spacing w:val="8"/>
              </w:rPr>
              <w:t xml:space="preserve"> </w:t>
            </w:r>
            <w:r w:rsidRPr="00C54A03">
              <w:rPr>
                <w:color w:val="000000" w:themeColor="text1"/>
              </w:rPr>
              <w:t xml:space="preserve">(anexa  </w:t>
            </w:r>
            <w:r w:rsidRPr="00C54A03">
              <w:rPr>
                <w:color w:val="000000" w:themeColor="text1"/>
                <w:spacing w:val="12"/>
              </w:rPr>
              <w:t xml:space="preserve"> </w:t>
            </w:r>
            <w:r w:rsidRPr="00C54A03">
              <w:rPr>
                <w:color w:val="000000" w:themeColor="text1"/>
              </w:rPr>
              <w:t xml:space="preserve">E),  </w:t>
            </w:r>
            <w:r w:rsidRPr="00C54A03">
              <w:rPr>
                <w:color w:val="000000" w:themeColor="text1"/>
                <w:spacing w:val="9"/>
              </w:rPr>
              <w:t xml:space="preserve"> </w:t>
            </w:r>
            <w:r w:rsidRPr="00C54A03">
              <w:rPr>
                <w:color w:val="000000" w:themeColor="text1"/>
              </w:rPr>
              <w:t xml:space="preserve">starea  </w:t>
            </w:r>
            <w:r w:rsidRPr="00C54A03">
              <w:rPr>
                <w:color w:val="000000" w:themeColor="text1"/>
                <w:spacing w:val="8"/>
              </w:rPr>
              <w:t xml:space="preserve"> </w:t>
            </w:r>
            <w:r w:rsidRPr="00C54A03">
              <w:rPr>
                <w:color w:val="000000" w:themeColor="text1"/>
              </w:rPr>
              <w:t xml:space="preserve">și  </w:t>
            </w:r>
            <w:r w:rsidRPr="00C54A03">
              <w:rPr>
                <w:color w:val="000000" w:themeColor="text1"/>
                <w:spacing w:val="10"/>
              </w:rPr>
              <w:t xml:space="preserve"> </w:t>
            </w:r>
            <w:r w:rsidRPr="00C54A03">
              <w:rPr>
                <w:color w:val="000000" w:themeColor="text1"/>
              </w:rPr>
              <w:t xml:space="preserve">funcțiile  </w:t>
            </w:r>
            <w:r w:rsidRPr="00C54A03">
              <w:rPr>
                <w:color w:val="000000" w:themeColor="text1"/>
                <w:spacing w:val="8"/>
              </w:rPr>
              <w:t xml:space="preserve"> </w:t>
            </w:r>
            <w:r w:rsidRPr="00C54A03">
              <w:rPr>
                <w:color w:val="000000" w:themeColor="text1"/>
              </w:rPr>
              <w:t>sunt</w:t>
            </w:r>
          </w:p>
          <w:p w14:paraId="60A593D0" w14:textId="77777777" w:rsidR="00E13976" w:rsidRPr="00C54A03" w:rsidRDefault="00E13976" w:rsidP="008E33FD">
            <w:pPr>
              <w:widowControl w:val="0"/>
              <w:autoSpaceDE w:val="0"/>
              <w:autoSpaceDN w:val="0"/>
              <w:jc w:val="both"/>
              <w:rPr>
                <w:color w:val="000000" w:themeColor="text1"/>
              </w:rPr>
            </w:pPr>
            <w:r w:rsidRPr="00C54A03">
              <w:rPr>
                <w:color w:val="000000" w:themeColor="text1"/>
              </w:rPr>
              <w:t>„nefavorabile-rele”</w:t>
            </w:r>
            <w:r w:rsidRPr="00C54A03">
              <w:rPr>
                <w:color w:val="000000" w:themeColor="text1"/>
                <w:spacing w:val="-4"/>
              </w:rPr>
              <w:t xml:space="preserve"> </w:t>
            </w:r>
            <w:r w:rsidRPr="00C54A03">
              <w:rPr>
                <w:color w:val="000000" w:themeColor="text1"/>
              </w:rPr>
              <w:t>dacă:</w:t>
            </w:r>
          </w:p>
          <w:p w14:paraId="4B24759E" w14:textId="77777777" w:rsidR="00E13976" w:rsidRPr="00C54A03" w:rsidRDefault="00E13976" w:rsidP="008E33FD">
            <w:pPr>
              <w:widowControl w:val="0"/>
              <w:autoSpaceDE w:val="0"/>
              <w:autoSpaceDN w:val="0"/>
              <w:spacing w:line="276" w:lineRule="exact"/>
              <w:ind w:right="100"/>
              <w:jc w:val="both"/>
              <w:rPr>
                <w:color w:val="000000" w:themeColor="text1"/>
              </w:rPr>
            </w:pPr>
            <w:r w:rsidRPr="00C54A03">
              <w:rPr>
                <w:color w:val="000000" w:themeColor="text1"/>
              </w:rPr>
              <w:t>-</w:t>
            </w:r>
            <w:r w:rsidRPr="00C54A03">
              <w:rPr>
                <w:color w:val="000000" w:themeColor="text1"/>
                <w:spacing w:val="1"/>
              </w:rPr>
              <w:t xml:space="preserve"> </w:t>
            </w:r>
            <w:r w:rsidRPr="00C54A03">
              <w:rPr>
                <w:color w:val="000000" w:themeColor="text1"/>
              </w:rPr>
              <w:t>mai mult de 25% din suprafață este defavorabilă („nu este bine” în</w:t>
            </w:r>
            <w:r w:rsidRPr="00C54A03">
              <w:rPr>
                <w:color w:val="000000" w:themeColor="text1"/>
                <w:spacing w:val="1"/>
              </w:rPr>
              <w:t xml:space="preserve"> </w:t>
            </w:r>
            <w:r w:rsidRPr="00C54A03">
              <w:rPr>
                <w:color w:val="000000" w:themeColor="text1"/>
              </w:rPr>
              <w:t>câmpul 6.1) în ceea ce privește structura și funcțiile sale specifice</w:t>
            </w:r>
            <w:r w:rsidRPr="00C54A03">
              <w:rPr>
                <w:color w:val="000000" w:themeColor="text1"/>
                <w:spacing w:val="1"/>
              </w:rPr>
              <w:t xml:space="preserve"> </w:t>
            </w:r>
            <w:r w:rsidRPr="00C54A03">
              <w:rPr>
                <w:color w:val="000000" w:themeColor="text1"/>
              </w:rPr>
              <w:t>(inclusiv</w:t>
            </w:r>
            <w:r w:rsidRPr="00C54A03">
              <w:rPr>
                <w:color w:val="000000" w:themeColor="text1"/>
                <w:spacing w:val="-1"/>
              </w:rPr>
              <w:t xml:space="preserve"> </w:t>
            </w:r>
            <w:r w:rsidRPr="00C54A03">
              <w:rPr>
                <w:color w:val="000000" w:themeColor="text1"/>
              </w:rPr>
              <w:t>speciile tipice).</w:t>
            </w:r>
          </w:p>
        </w:tc>
      </w:tr>
      <w:tr w:rsidR="00E13976" w:rsidRPr="00C54A03" w14:paraId="4C10D87C" w14:textId="77777777" w:rsidTr="00E13976">
        <w:trPr>
          <w:trHeight w:val="1941"/>
        </w:trPr>
        <w:tc>
          <w:tcPr>
            <w:tcW w:w="1810" w:type="dxa"/>
          </w:tcPr>
          <w:p w14:paraId="1ADB6183" w14:textId="77777777" w:rsidR="00E13976" w:rsidRPr="00C54A03" w:rsidRDefault="00E13976" w:rsidP="008E33FD">
            <w:pPr>
              <w:widowControl w:val="0"/>
              <w:autoSpaceDE w:val="0"/>
              <w:autoSpaceDN w:val="0"/>
              <w:jc w:val="both"/>
              <w:rPr>
                <w:color w:val="000000" w:themeColor="text1"/>
              </w:rPr>
            </w:pPr>
          </w:p>
          <w:p w14:paraId="6D38A3D2" w14:textId="77777777" w:rsidR="00E13976" w:rsidRPr="00C54A03" w:rsidRDefault="00E13976" w:rsidP="008E33FD">
            <w:pPr>
              <w:widowControl w:val="0"/>
              <w:autoSpaceDE w:val="0"/>
              <w:autoSpaceDN w:val="0"/>
              <w:spacing w:before="10"/>
              <w:jc w:val="both"/>
              <w:rPr>
                <w:color w:val="000000" w:themeColor="text1"/>
              </w:rPr>
            </w:pPr>
          </w:p>
          <w:p w14:paraId="30F1A933" w14:textId="77777777" w:rsidR="00E13976" w:rsidRPr="00C54A03" w:rsidRDefault="00E13976" w:rsidP="008E33FD">
            <w:pPr>
              <w:widowControl w:val="0"/>
              <w:autoSpaceDE w:val="0"/>
              <w:autoSpaceDN w:val="0"/>
              <w:ind w:right="549"/>
              <w:jc w:val="both"/>
              <w:rPr>
                <w:color w:val="000000" w:themeColor="text1"/>
              </w:rPr>
            </w:pPr>
            <w:r w:rsidRPr="00C54A03">
              <w:rPr>
                <w:color w:val="000000" w:themeColor="text1"/>
                <w:spacing w:val="-1"/>
              </w:rPr>
              <w:t>Necunoscut</w:t>
            </w:r>
            <w:r w:rsidRPr="00C54A03">
              <w:rPr>
                <w:color w:val="000000" w:themeColor="text1"/>
                <w:spacing w:val="-57"/>
              </w:rPr>
              <w:t xml:space="preserve"> </w:t>
            </w:r>
            <w:r w:rsidRPr="00C54A03">
              <w:rPr>
                <w:color w:val="000000" w:themeColor="text1"/>
              </w:rPr>
              <w:t>(XX)</w:t>
            </w:r>
          </w:p>
        </w:tc>
        <w:tc>
          <w:tcPr>
            <w:tcW w:w="7480" w:type="dxa"/>
          </w:tcPr>
          <w:p w14:paraId="41F4D162" w14:textId="77777777" w:rsidR="00E13976" w:rsidRPr="00C54A03" w:rsidRDefault="00E13976" w:rsidP="008E33FD">
            <w:pPr>
              <w:widowControl w:val="0"/>
              <w:autoSpaceDE w:val="0"/>
              <w:autoSpaceDN w:val="0"/>
              <w:spacing w:line="260" w:lineRule="exact"/>
              <w:jc w:val="both"/>
              <w:rPr>
                <w:color w:val="000000" w:themeColor="text1"/>
              </w:rPr>
            </w:pPr>
            <w:r w:rsidRPr="00C54A03">
              <w:rPr>
                <w:color w:val="000000" w:themeColor="text1"/>
              </w:rPr>
              <w:t>Conform</w:t>
            </w:r>
            <w:r w:rsidRPr="00C54A03">
              <w:rPr>
                <w:color w:val="000000" w:themeColor="text1"/>
                <w:spacing w:val="71"/>
              </w:rPr>
              <w:t xml:space="preserve"> </w:t>
            </w:r>
            <w:r w:rsidRPr="00C54A03">
              <w:rPr>
                <w:color w:val="000000" w:themeColor="text1"/>
              </w:rPr>
              <w:t xml:space="preserve">matricei  </w:t>
            </w:r>
            <w:r w:rsidRPr="00C54A03">
              <w:rPr>
                <w:color w:val="000000" w:themeColor="text1"/>
                <w:spacing w:val="10"/>
              </w:rPr>
              <w:t xml:space="preserve"> </w:t>
            </w:r>
            <w:r w:rsidRPr="00C54A03">
              <w:rPr>
                <w:color w:val="000000" w:themeColor="text1"/>
              </w:rPr>
              <w:t xml:space="preserve">de  </w:t>
            </w:r>
            <w:r w:rsidRPr="00C54A03">
              <w:rPr>
                <w:color w:val="000000" w:themeColor="text1"/>
                <w:spacing w:val="12"/>
              </w:rPr>
              <w:t xml:space="preserve"> </w:t>
            </w:r>
            <w:r w:rsidRPr="00C54A03">
              <w:rPr>
                <w:color w:val="000000" w:themeColor="text1"/>
              </w:rPr>
              <w:t xml:space="preserve">evaluare  </w:t>
            </w:r>
            <w:r w:rsidRPr="00C54A03">
              <w:rPr>
                <w:color w:val="000000" w:themeColor="text1"/>
                <w:spacing w:val="8"/>
              </w:rPr>
              <w:t xml:space="preserve"> </w:t>
            </w:r>
            <w:r w:rsidRPr="00C54A03">
              <w:rPr>
                <w:color w:val="000000" w:themeColor="text1"/>
              </w:rPr>
              <w:t xml:space="preserve">(anexa  </w:t>
            </w:r>
            <w:r w:rsidRPr="00C54A03">
              <w:rPr>
                <w:color w:val="000000" w:themeColor="text1"/>
                <w:spacing w:val="8"/>
              </w:rPr>
              <w:t xml:space="preserve"> </w:t>
            </w:r>
            <w:r w:rsidRPr="00C54A03">
              <w:rPr>
                <w:color w:val="000000" w:themeColor="text1"/>
              </w:rPr>
              <w:t xml:space="preserve">E),  </w:t>
            </w:r>
            <w:r w:rsidRPr="00C54A03">
              <w:rPr>
                <w:color w:val="000000" w:themeColor="text1"/>
                <w:spacing w:val="9"/>
              </w:rPr>
              <w:t xml:space="preserve"> </w:t>
            </w:r>
            <w:r w:rsidRPr="00C54A03">
              <w:rPr>
                <w:color w:val="000000" w:themeColor="text1"/>
              </w:rPr>
              <w:t xml:space="preserve">starea  </w:t>
            </w:r>
            <w:r w:rsidRPr="00C54A03">
              <w:rPr>
                <w:color w:val="000000" w:themeColor="text1"/>
                <w:spacing w:val="8"/>
              </w:rPr>
              <w:t xml:space="preserve"> </w:t>
            </w:r>
            <w:r w:rsidRPr="00C54A03">
              <w:rPr>
                <w:color w:val="000000" w:themeColor="text1"/>
              </w:rPr>
              <w:t xml:space="preserve">și  </w:t>
            </w:r>
            <w:r w:rsidRPr="00C54A03">
              <w:rPr>
                <w:color w:val="000000" w:themeColor="text1"/>
                <w:spacing w:val="10"/>
              </w:rPr>
              <w:t xml:space="preserve"> </w:t>
            </w:r>
            <w:r w:rsidRPr="00C54A03">
              <w:rPr>
                <w:color w:val="000000" w:themeColor="text1"/>
              </w:rPr>
              <w:t xml:space="preserve">funcțiile  </w:t>
            </w:r>
            <w:r w:rsidRPr="00C54A03">
              <w:rPr>
                <w:color w:val="000000" w:themeColor="text1"/>
                <w:spacing w:val="8"/>
              </w:rPr>
              <w:t xml:space="preserve"> </w:t>
            </w:r>
            <w:r w:rsidRPr="00C54A03">
              <w:rPr>
                <w:color w:val="000000" w:themeColor="text1"/>
              </w:rPr>
              <w:t>sunt</w:t>
            </w:r>
          </w:p>
          <w:p w14:paraId="68117DDB" w14:textId="77777777" w:rsidR="00E13976" w:rsidRPr="00C54A03" w:rsidRDefault="00E13976" w:rsidP="008E33FD">
            <w:pPr>
              <w:widowControl w:val="0"/>
              <w:autoSpaceDE w:val="0"/>
              <w:autoSpaceDN w:val="0"/>
              <w:jc w:val="both"/>
              <w:rPr>
                <w:color w:val="000000" w:themeColor="text1"/>
              </w:rPr>
            </w:pPr>
            <w:r w:rsidRPr="00C54A03">
              <w:rPr>
                <w:color w:val="000000" w:themeColor="text1"/>
              </w:rPr>
              <w:t>„necunoscute”</w:t>
            </w:r>
            <w:r w:rsidRPr="00C54A03">
              <w:rPr>
                <w:color w:val="000000" w:themeColor="text1"/>
                <w:spacing w:val="-4"/>
              </w:rPr>
              <w:t xml:space="preserve"> </w:t>
            </w:r>
            <w:r w:rsidRPr="00C54A03">
              <w:rPr>
                <w:color w:val="000000" w:themeColor="text1"/>
              </w:rPr>
              <w:t>dacă:</w:t>
            </w:r>
          </w:p>
          <w:p w14:paraId="021631EC" w14:textId="77777777" w:rsidR="00E13976" w:rsidRPr="00C54A03" w:rsidRDefault="00E13976" w:rsidP="008E33FD">
            <w:pPr>
              <w:widowControl w:val="0"/>
              <w:tabs>
                <w:tab w:val="left" w:pos="828"/>
              </w:tabs>
              <w:autoSpaceDE w:val="0"/>
              <w:autoSpaceDN w:val="0"/>
              <w:spacing w:before="9" w:line="230" w:lineRule="auto"/>
              <w:ind w:right="1341"/>
              <w:jc w:val="both"/>
              <w:rPr>
                <w:color w:val="000000" w:themeColor="text1"/>
              </w:rPr>
            </w:pPr>
            <w:r w:rsidRPr="00C54A03">
              <w:rPr>
                <w:color w:val="000000" w:themeColor="text1"/>
              </w:rPr>
              <w:t>-</w:t>
            </w:r>
            <w:r w:rsidRPr="00C54A03">
              <w:rPr>
                <w:color w:val="000000" w:themeColor="text1"/>
              </w:rPr>
              <w:tab/>
              <w:t>nu există informații fiabile sau insuficiente disponibile.</w:t>
            </w:r>
            <w:r w:rsidRPr="00C54A03">
              <w:rPr>
                <w:color w:val="000000" w:themeColor="text1"/>
                <w:spacing w:val="-58"/>
              </w:rPr>
              <w:t xml:space="preserve"> </w:t>
            </w:r>
            <w:r w:rsidRPr="00C54A03">
              <w:rPr>
                <w:color w:val="000000" w:themeColor="text1"/>
              </w:rPr>
              <w:t>Informațiisuplimentare:</w:t>
            </w:r>
          </w:p>
          <w:p w14:paraId="2885EBC6" w14:textId="77777777" w:rsidR="00E13976" w:rsidRPr="00C54A03" w:rsidRDefault="00E13976" w:rsidP="008E33FD">
            <w:pPr>
              <w:widowControl w:val="0"/>
              <w:tabs>
                <w:tab w:val="left" w:pos="828"/>
              </w:tabs>
              <w:autoSpaceDE w:val="0"/>
              <w:autoSpaceDN w:val="0"/>
              <w:spacing w:before="11" w:line="230" w:lineRule="auto"/>
              <w:ind w:right="98"/>
              <w:jc w:val="both"/>
              <w:rPr>
                <w:color w:val="000000" w:themeColor="text1"/>
              </w:rPr>
            </w:pPr>
            <w:r w:rsidRPr="00C54A03">
              <w:rPr>
                <w:color w:val="000000" w:themeColor="text1"/>
              </w:rPr>
              <w:t>-</w:t>
            </w:r>
            <w:r w:rsidRPr="00C54A03">
              <w:rPr>
                <w:color w:val="000000" w:themeColor="text1"/>
              </w:rPr>
              <w:tab/>
              <w:t>Statutul</w:t>
            </w:r>
            <w:r w:rsidRPr="00C54A03">
              <w:rPr>
                <w:color w:val="000000" w:themeColor="text1"/>
                <w:spacing w:val="1"/>
              </w:rPr>
              <w:t xml:space="preserve"> </w:t>
            </w:r>
            <w:r w:rsidRPr="00C54A03">
              <w:rPr>
                <w:color w:val="000000" w:themeColor="text1"/>
              </w:rPr>
              <w:t>structurii</w:t>
            </w:r>
            <w:r w:rsidRPr="00C54A03">
              <w:rPr>
                <w:color w:val="000000" w:themeColor="text1"/>
                <w:spacing w:val="1"/>
              </w:rPr>
              <w:t xml:space="preserve"> </w:t>
            </w:r>
            <w:r w:rsidRPr="00C54A03">
              <w:rPr>
                <w:color w:val="000000" w:themeColor="text1"/>
              </w:rPr>
              <w:t>și</w:t>
            </w:r>
            <w:r w:rsidRPr="00C54A03">
              <w:rPr>
                <w:color w:val="000000" w:themeColor="text1"/>
                <w:spacing w:val="1"/>
              </w:rPr>
              <w:t xml:space="preserve"> </w:t>
            </w:r>
            <w:r w:rsidRPr="00C54A03">
              <w:rPr>
                <w:color w:val="000000" w:themeColor="text1"/>
              </w:rPr>
              <w:t>funcțiilor</w:t>
            </w:r>
            <w:r w:rsidRPr="00C54A03">
              <w:rPr>
                <w:color w:val="000000" w:themeColor="text1"/>
                <w:spacing w:val="1"/>
              </w:rPr>
              <w:t xml:space="preserve"> </w:t>
            </w:r>
            <w:r w:rsidRPr="00C54A03">
              <w:rPr>
                <w:color w:val="000000" w:themeColor="text1"/>
              </w:rPr>
              <w:t>ar</w:t>
            </w:r>
            <w:r w:rsidRPr="00C54A03">
              <w:rPr>
                <w:color w:val="000000" w:themeColor="text1"/>
                <w:spacing w:val="1"/>
              </w:rPr>
              <w:t xml:space="preserve"> </w:t>
            </w:r>
            <w:r w:rsidRPr="00C54A03">
              <w:rPr>
                <w:color w:val="000000" w:themeColor="text1"/>
              </w:rPr>
              <w:t>trebui</w:t>
            </w:r>
            <w:r w:rsidRPr="00C54A03">
              <w:rPr>
                <w:color w:val="000000" w:themeColor="text1"/>
                <w:spacing w:val="1"/>
              </w:rPr>
              <w:t xml:space="preserve"> </w:t>
            </w:r>
            <w:r w:rsidRPr="00C54A03">
              <w:rPr>
                <w:color w:val="000000" w:themeColor="text1"/>
              </w:rPr>
              <w:t>considerat</w:t>
            </w:r>
            <w:r w:rsidRPr="00C54A03">
              <w:rPr>
                <w:color w:val="000000" w:themeColor="text1"/>
                <w:spacing w:val="1"/>
              </w:rPr>
              <w:t xml:space="preserve"> </w:t>
            </w:r>
            <w:r w:rsidRPr="00C54A03">
              <w:rPr>
                <w:color w:val="000000" w:themeColor="text1"/>
              </w:rPr>
              <w:t>„necunoscut”</w:t>
            </w:r>
            <w:r w:rsidRPr="00C54A03">
              <w:rPr>
                <w:color w:val="000000" w:themeColor="text1"/>
                <w:spacing w:val="-57"/>
              </w:rPr>
              <w:t xml:space="preserve"> </w:t>
            </w:r>
            <w:r w:rsidRPr="00C54A03">
              <w:rPr>
                <w:color w:val="000000" w:themeColor="text1"/>
              </w:rPr>
              <w:t>dacă</w:t>
            </w:r>
            <w:r w:rsidRPr="00C54A03">
              <w:rPr>
                <w:color w:val="000000" w:themeColor="text1"/>
                <w:spacing w:val="25"/>
              </w:rPr>
              <w:t xml:space="preserve"> </w:t>
            </w:r>
            <w:r w:rsidRPr="00C54A03">
              <w:rPr>
                <w:color w:val="000000" w:themeColor="text1"/>
              </w:rPr>
              <w:t>mai</w:t>
            </w:r>
            <w:r w:rsidRPr="00C54A03">
              <w:rPr>
                <w:color w:val="000000" w:themeColor="text1"/>
                <w:spacing w:val="26"/>
              </w:rPr>
              <w:t xml:space="preserve"> </w:t>
            </w:r>
            <w:r w:rsidRPr="00C54A03">
              <w:rPr>
                <w:color w:val="000000" w:themeColor="text1"/>
              </w:rPr>
              <w:t>mult</w:t>
            </w:r>
            <w:r w:rsidRPr="00C54A03">
              <w:rPr>
                <w:color w:val="000000" w:themeColor="text1"/>
                <w:spacing w:val="26"/>
              </w:rPr>
              <w:t xml:space="preserve"> </w:t>
            </w:r>
            <w:r w:rsidRPr="00C54A03">
              <w:rPr>
                <w:color w:val="000000" w:themeColor="text1"/>
              </w:rPr>
              <w:t>de</w:t>
            </w:r>
            <w:r w:rsidRPr="00C54A03">
              <w:rPr>
                <w:color w:val="000000" w:themeColor="text1"/>
                <w:spacing w:val="25"/>
              </w:rPr>
              <w:t xml:space="preserve"> </w:t>
            </w:r>
            <w:r w:rsidRPr="00C54A03">
              <w:rPr>
                <w:color w:val="000000" w:themeColor="text1"/>
              </w:rPr>
              <w:t>75%</w:t>
            </w:r>
            <w:r w:rsidRPr="00C54A03">
              <w:rPr>
                <w:color w:val="000000" w:themeColor="text1"/>
                <w:spacing w:val="25"/>
              </w:rPr>
              <w:t xml:space="preserve"> </w:t>
            </w:r>
            <w:r w:rsidRPr="00C54A03">
              <w:rPr>
                <w:color w:val="000000" w:themeColor="text1"/>
              </w:rPr>
              <w:t>din</w:t>
            </w:r>
            <w:r w:rsidRPr="00C54A03">
              <w:rPr>
                <w:color w:val="000000" w:themeColor="text1"/>
                <w:spacing w:val="26"/>
              </w:rPr>
              <w:t xml:space="preserve"> </w:t>
            </w:r>
            <w:r w:rsidRPr="00C54A03">
              <w:rPr>
                <w:color w:val="000000" w:themeColor="text1"/>
              </w:rPr>
              <w:t>suprafața</w:t>
            </w:r>
            <w:r w:rsidRPr="00C54A03">
              <w:rPr>
                <w:color w:val="000000" w:themeColor="text1"/>
                <w:spacing w:val="25"/>
              </w:rPr>
              <w:t xml:space="preserve"> </w:t>
            </w:r>
            <w:r w:rsidRPr="00C54A03">
              <w:rPr>
                <w:color w:val="000000" w:themeColor="text1"/>
              </w:rPr>
              <w:t>habitatului</w:t>
            </w:r>
            <w:r w:rsidRPr="00C54A03">
              <w:rPr>
                <w:color w:val="000000" w:themeColor="text1"/>
                <w:spacing w:val="26"/>
              </w:rPr>
              <w:t xml:space="preserve"> </w:t>
            </w:r>
            <w:r w:rsidRPr="00C54A03">
              <w:rPr>
                <w:color w:val="000000" w:themeColor="text1"/>
              </w:rPr>
              <w:t>are</w:t>
            </w:r>
            <w:r w:rsidRPr="00C54A03">
              <w:rPr>
                <w:color w:val="000000" w:themeColor="text1"/>
                <w:spacing w:val="24"/>
              </w:rPr>
              <w:t xml:space="preserve"> </w:t>
            </w:r>
            <w:r w:rsidRPr="00C54A03">
              <w:rPr>
                <w:color w:val="000000" w:themeColor="text1"/>
              </w:rPr>
              <w:t>condiții</w:t>
            </w:r>
          </w:p>
          <w:p w14:paraId="34B2D7E2" w14:textId="77777777" w:rsidR="00E13976" w:rsidRPr="00C54A03" w:rsidRDefault="00E13976" w:rsidP="008E33FD">
            <w:pPr>
              <w:widowControl w:val="0"/>
              <w:autoSpaceDE w:val="0"/>
              <w:autoSpaceDN w:val="0"/>
              <w:spacing w:before="1" w:line="272" w:lineRule="exact"/>
              <w:jc w:val="both"/>
              <w:rPr>
                <w:color w:val="000000" w:themeColor="text1"/>
              </w:rPr>
            </w:pPr>
            <w:r w:rsidRPr="00C54A03">
              <w:rPr>
                <w:color w:val="000000" w:themeColor="text1"/>
              </w:rPr>
              <w:t>„necunoscute”</w:t>
            </w:r>
            <w:r w:rsidRPr="00C54A03">
              <w:rPr>
                <w:color w:val="000000" w:themeColor="text1"/>
                <w:spacing w:val="-3"/>
              </w:rPr>
              <w:t xml:space="preserve"> </w:t>
            </w:r>
            <w:r w:rsidRPr="00C54A03">
              <w:rPr>
                <w:color w:val="000000" w:themeColor="text1"/>
              </w:rPr>
              <w:t>(câmpul 6.1).</w:t>
            </w:r>
          </w:p>
        </w:tc>
      </w:tr>
    </w:tbl>
    <w:p w14:paraId="3D4DEFA7" w14:textId="77777777" w:rsidR="00E13976" w:rsidRPr="00C54A03" w:rsidRDefault="00E13976" w:rsidP="008E33FD">
      <w:pPr>
        <w:widowControl w:val="0"/>
        <w:autoSpaceDE w:val="0"/>
        <w:autoSpaceDN w:val="0"/>
        <w:spacing w:line="272" w:lineRule="exact"/>
        <w:jc w:val="both"/>
        <w:rPr>
          <w:color w:val="000000" w:themeColor="text1"/>
        </w:rPr>
        <w:sectPr w:rsidR="00E13976" w:rsidRPr="00C54A03" w:rsidSect="00E1608A">
          <w:pgSz w:w="11910" w:h="16840"/>
          <w:pgMar w:top="1411" w:right="245" w:bottom="1598" w:left="1066" w:header="0" w:footer="1411" w:gutter="0"/>
          <w:cols w:space="708"/>
        </w:sectPr>
      </w:pPr>
    </w:p>
    <w:p w14:paraId="71EFB501" w14:textId="77777777" w:rsidR="00E13976" w:rsidRPr="00C54A03" w:rsidRDefault="00E13976" w:rsidP="008E33FD">
      <w:pPr>
        <w:widowControl w:val="0"/>
        <w:tabs>
          <w:tab w:val="left" w:pos="1186"/>
        </w:tabs>
        <w:autoSpaceDE w:val="0"/>
        <w:autoSpaceDN w:val="0"/>
        <w:spacing w:before="168"/>
        <w:jc w:val="both"/>
        <w:outlineLvl w:val="1"/>
        <w:rPr>
          <w:b/>
          <w:color w:val="000000" w:themeColor="text1"/>
        </w:rPr>
      </w:pPr>
      <w:r w:rsidRPr="00C54A03">
        <w:rPr>
          <w:rFonts w:eastAsia="Cambria"/>
          <w:b/>
          <w:bCs/>
          <w:color w:val="000000" w:themeColor="text1"/>
        </w:rPr>
        <w:lastRenderedPageBreak/>
        <w:t>Principalele</w:t>
      </w:r>
      <w:r w:rsidRPr="00C54A03">
        <w:rPr>
          <w:rFonts w:eastAsia="Cambria"/>
          <w:b/>
          <w:bCs/>
          <w:color w:val="000000" w:themeColor="text1"/>
          <w:spacing w:val="-5"/>
        </w:rPr>
        <w:t xml:space="preserve"> </w:t>
      </w:r>
      <w:r w:rsidRPr="00C54A03">
        <w:rPr>
          <w:rFonts w:eastAsia="Cambria"/>
          <w:b/>
          <w:bCs/>
          <w:color w:val="000000" w:themeColor="text1"/>
        </w:rPr>
        <w:t>presiuni</w:t>
      </w:r>
      <w:r w:rsidRPr="00C54A03">
        <w:rPr>
          <w:rFonts w:eastAsia="Cambria"/>
          <w:b/>
          <w:bCs/>
          <w:color w:val="000000" w:themeColor="text1"/>
          <w:spacing w:val="-5"/>
        </w:rPr>
        <w:t xml:space="preserve"> </w:t>
      </w:r>
      <w:r w:rsidRPr="00C54A03">
        <w:rPr>
          <w:rFonts w:eastAsia="Cambria"/>
          <w:b/>
          <w:bCs/>
          <w:color w:val="000000" w:themeColor="text1"/>
        </w:rPr>
        <w:t>și</w:t>
      </w:r>
      <w:r w:rsidRPr="00C54A03">
        <w:rPr>
          <w:rFonts w:eastAsia="Cambria"/>
          <w:b/>
          <w:bCs/>
          <w:color w:val="000000" w:themeColor="text1"/>
          <w:spacing w:val="-5"/>
        </w:rPr>
        <w:t xml:space="preserve"> </w:t>
      </w:r>
      <w:r w:rsidRPr="00C54A03">
        <w:rPr>
          <w:rFonts w:eastAsia="Cambria"/>
          <w:b/>
          <w:bCs/>
          <w:color w:val="000000" w:themeColor="text1"/>
        </w:rPr>
        <w:t>amenințări</w:t>
      </w:r>
    </w:p>
    <w:p w14:paraId="13FFD151" w14:textId="77777777" w:rsidR="00E13976" w:rsidRPr="00C54A03" w:rsidRDefault="00E13976" w:rsidP="008E33FD">
      <w:pPr>
        <w:widowControl w:val="0"/>
        <w:autoSpaceDE w:val="0"/>
        <w:autoSpaceDN w:val="0"/>
        <w:spacing w:before="227"/>
        <w:ind w:right="250"/>
        <w:jc w:val="both"/>
        <w:rPr>
          <w:color w:val="000000" w:themeColor="text1"/>
        </w:rPr>
      </w:pPr>
      <w:r w:rsidRPr="00C54A03">
        <w:rPr>
          <w:color w:val="000000" w:themeColor="text1"/>
        </w:rPr>
        <w:t>Din punct de vedere al identificării în timp a formelor de impact acestea trebuie clasificate în două</w:t>
      </w:r>
      <w:r w:rsidRPr="00C54A03">
        <w:rPr>
          <w:color w:val="000000" w:themeColor="text1"/>
          <w:spacing w:val="1"/>
        </w:rPr>
        <w:t xml:space="preserve"> </w:t>
      </w:r>
      <w:r w:rsidRPr="00C54A03">
        <w:rPr>
          <w:color w:val="000000" w:themeColor="text1"/>
        </w:rPr>
        <w:t xml:space="preserve">categorii: </w:t>
      </w:r>
      <w:r w:rsidRPr="00C54A03">
        <w:rPr>
          <w:b/>
          <w:color w:val="000000" w:themeColor="text1"/>
        </w:rPr>
        <w:t>presiuni</w:t>
      </w:r>
      <w:r w:rsidRPr="00C54A03">
        <w:rPr>
          <w:b/>
          <w:color w:val="000000" w:themeColor="text1"/>
          <w:spacing w:val="1"/>
        </w:rPr>
        <w:t xml:space="preserve"> </w:t>
      </w:r>
      <w:r w:rsidRPr="00C54A03">
        <w:rPr>
          <w:color w:val="000000" w:themeColor="text1"/>
        </w:rPr>
        <w:t xml:space="preserve">şi </w:t>
      </w:r>
      <w:r w:rsidRPr="00C54A03">
        <w:rPr>
          <w:b/>
          <w:color w:val="000000" w:themeColor="text1"/>
        </w:rPr>
        <w:t>ameninţări</w:t>
      </w:r>
      <w:r w:rsidRPr="00C54A03">
        <w:rPr>
          <w:color w:val="000000" w:themeColor="text1"/>
        </w:rPr>
        <w:t>:</w:t>
      </w:r>
    </w:p>
    <w:p w14:paraId="580DBDE8" w14:textId="77777777" w:rsidR="00E13976" w:rsidRPr="00C54A03" w:rsidRDefault="00E13976" w:rsidP="008E33FD">
      <w:pPr>
        <w:widowControl w:val="0"/>
        <w:autoSpaceDE w:val="0"/>
        <w:autoSpaceDN w:val="0"/>
        <w:ind w:right="253"/>
        <w:jc w:val="both"/>
        <w:rPr>
          <w:color w:val="000000" w:themeColor="text1"/>
        </w:rPr>
      </w:pPr>
      <w:r w:rsidRPr="00C54A03">
        <w:rPr>
          <w:b/>
          <w:color w:val="000000" w:themeColor="text1"/>
        </w:rPr>
        <w:t xml:space="preserve">Presiunea </w:t>
      </w:r>
      <w:r w:rsidRPr="00C54A03">
        <w:rPr>
          <w:color w:val="000000" w:themeColor="text1"/>
        </w:rPr>
        <w:t>(P) reprezintă acea activitate cu potenţial impact negativ asupra stării de conservare a</w:t>
      </w:r>
      <w:r w:rsidRPr="00C54A03">
        <w:rPr>
          <w:color w:val="000000" w:themeColor="text1"/>
          <w:spacing w:val="1"/>
        </w:rPr>
        <w:t xml:space="preserve"> </w:t>
      </w:r>
      <w:r w:rsidRPr="00C54A03">
        <w:rPr>
          <w:color w:val="000000" w:themeColor="text1"/>
        </w:rPr>
        <w:t>tipurilor de habitate de interes comunitar, care se desfăşoară în prezent sau care s-a derulat în trecut,</w:t>
      </w:r>
      <w:r w:rsidRPr="00C54A03">
        <w:rPr>
          <w:color w:val="000000" w:themeColor="text1"/>
          <w:spacing w:val="-57"/>
        </w:rPr>
        <w:t xml:space="preserve"> </w:t>
      </w:r>
      <w:r w:rsidRPr="00C54A03">
        <w:rPr>
          <w:color w:val="000000" w:themeColor="text1"/>
        </w:rPr>
        <w:t>dar</w:t>
      </w:r>
      <w:r w:rsidRPr="00C54A03">
        <w:rPr>
          <w:color w:val="000000" w:themeColor="text1"/>
          <w:spacing w:val="-1"/>
        </w:rPr>
        <w:t xml:space="preserve"> </w:t>
      </w:r>
      <w:r w:rsidRPr="00C54A03">
        <w:rPr>
          <w:color w:val="000000" w:themeColor="text1"/>
        </w:rPr>
        <w:t>ale</w:t>
      </w:r>
      <w:r w:rsidRPr="00C54A03">
        <w:rPr>
          <w:color w:val="000000" w:themeColor="text1"/>
          <w:spacing w:val="1"/>
        </w:rPr>
        <w:t xml:space="preserve"> </w:t>
      </w:r>
      <w:r w:rsidRPr="00C54A03">
        <w:rPr>
          <w:color w:val="000000" w:themeColor="text1"/>
        </w:rPr>
        <w:t>cărui</w:t>
      </w:r>
      <w:r w:rsidRPr="00C54A03">
        <w:rPr>
          <w:color w:val="000000" w:themeColor="text1"/>
          <w:spacing w:val="2"/>
        </w:rPr>
        <w:t xml:space="preserve"> </w:t>
      </w:r>
      <w:r w:rsidRPr="00C54A03">
        <w:rPr>
          <w:color w:val="000000" w:themeColor="text1"/>
        </w:rPr>
        <w:t>efectele</w:t>
      </w:r>
      <w:r w:rsidRPr="00C54A03">
        <w:rPr>
          <w:color w:val="000000" w:themeColor="text1"/>
          <w:spacing w:val="-1"/>
        </w:rPr>
        <w:t xml:space="preserve"> </w:t>
      </w:r>
      <w:r w:rsidRPr="00C54A03">
        <w:rPr>
          <w:color w:val="000000" w:themeColor="text1"/>
        </w:rPr>
        <w:t>negative</w:t>
      </w:r>
      <w:r w:rsidRPr="00C54A03">
        <w:rPr>
          <w:color w:val="000000" w:themeColor="text1"/>
          <w:spacing w:val="-1"/>
        </w:rPr>
        <w:t xml:space="preserve"> </w:t>
      </w:r>
      <w:r w:rsidRPr="00C54A03">
        <w:rPr>
          <w:color w:val="000000" w:themeColor="text1"/>
        </w:rPr>
        <w:t>încă</w:t>
      </w:r>
      <w:r w:rsidRPr="00C54A03">
        <w:rPr>
          <w:color w:val="000000" w:themeColor="text1"/>
          <w:spacing w:val="-2"/>
        </w:rPr>
        <w:t xml:space="preserve"> </w:t>
      </w:r>
      <w:r w:rsidRPr="00C54A03">
        <w:rPr>
          <w:color w:val="000000" w:themeColor="text1"/>
        </w:rPr>
        <w:t>persistă.</w:t>
      </w:r>
    </w:p>
    <w:p w14:paraId="223B50F0" w14:textId="77777777" w:rsidR="00E13976" w:rsidRPr="00C54A03" w:rsidRDefault="00E13976" w:rsidP="008E33FD">
      <w:pPr>
        <w:widowControl w:val="0"/>
        <w:autoSpaceDE w:val="0"/>
        <w:autoSpaceDN w:val="0"/>
        <w:ind w:right="248"/>
        <w:jc w:val="both"/>
        <w:rPr>
          <w:color w:val="000000" w:themeColor="text1"/>
        </w:rPr>
      </w:pPr>
      <w:r w:rsidRPr="00C54A03">
        <w:rPr>
          <w:b/>
          <w:color w:val="000000" w:themeColor="text1"/>
        </w:rPr>
        <w:t xml:space="preserve">Ameninţarea </w:t>
      </w:r>
      <w:r w:rsidRPr="00C54A03">
        <w:rPr>
          <w:color w:val="000000" w:themeColor="text1"/>
        </w:rPr>
        <w:t>(A) reprezintă acea activitate cu potenţial impact negativ asupra stării de conservare a</w:t>
      </w:r>
      <w:r w:rsidRPr="00C54A03">
        <w:rPr>
          <w:color w:val="000000" w:themeColor="text1"/>
          <w:spacing w:val="-57"/>
        </w:rPr>
        <w:t xml:space="preserve"> </w:t>
      </w:r>
      <w:r w:rsidRPr="00C54A03">
        <w:rPr>
          <w:color w:val="000000" w:themeColor="text1"/>
        </w:rPr>
        <w:t>tipurilor de habitate de interes comunitar, care este preconizată să se deruleze în viitor. O presiune</w:t>
      </w:r>
      <w:r w:rsidRPr="00C54A03">
        <w:rPr>
          <w:color w:val="000000" w:themeColor="text1"/>
          <w:spacing w:val="1"/>
        </w:rPr>
        <w:t xml:space="preserve"> </w:t>
      </w:r>
      <w:r w:rsidRPr="00C54A03">
        <w:rPr>
          <w:color w:val="000000" w:themeColor="text1"/>
        </w:rPr>
        <w:t>poate fi considerată ameninţare dacă se preconizează o creştere semnificativă a intensităţii acesteia</w:t>
      </w:r>
      <w:r w:rsidRPr="00C54A03">
        <w:rPr>
          <w:color w:val="000000" w:themeColor="text1"/>
          <w:spacing w:val="1"/>
        </w:rPr>
        <w:t xml:space="preserve"> </w:t>
      </w:r>
      <w:r w:rsidRPr="00C54A03">
        <w:rPr>
          <w:color w:val="000000" w:themeColor="text1"/>
        </w:rPr>
        <w:t>sau</w:t>
      </w:r>
      <w:r w:rsidRPr="00C54A03">
        <w:rPr>
          <w:color w:val="000000" w:themeColor="text1"/>
          <w:spacing w:val="-1"/>
        </w:rPr>
        <w:t xml:space="preserve"> </w:t>
      </w:r>
      <w:r w:rsidRPr="00C54A03">
        <w:rPr>
          <w:color w:val="000000" w:themeColor="text1"/>
        </w:rPr>
        <w:t>o schimbare a</w:t>
      </w:r>
      <w:r w:rsidRPr="00C54A03">
        <w:rPr>
          <w:color w:val="000000" w:themeColor="text1"/>
          <w:spacing w:val="-1"/>
        </w:rPr>
        <w:t xml:space="preserve"> </w:t>
      </w:r>
      <w:r w:rsidRPr="00C54A03">
        <w:rPr>
          <w:color w:val="000000" w:themeColor="text1"/>
        </w:rPr>
        <w:t>localizării</w:t>
      </w:r>
      <w:r w:rsidRPr="00C54A03">
        <w:rPr>
          <w:color w:val="000000" w:themeColor="text1"/>
          <w:spacing w:val="2"/>
        </w:rPr>
        <w:t xml:space="preserve"> </w:t>
      </w:r>
      <w:r w:rsidRPr="00C54A03">
        <w:rPr>
          <w:color w:val="000000" w:themeColor="text1"/>
        </w:rPr>
        <w:t>respectivei</w:t>
      </w:r>
      <w:r w:rsidRPr="00C54A03">
        <w:rPr>
          <w:color w:val="000000" w:themeColor="text1"/>
          <w:spacing w:val="1"/>
        </w:rPr>
        <w:t xml:space="preserve"> </w:t>
      </w:r>
      <w:r w:rsidRPr="00C54A03">
        <w:rPr>
          <w:color w:val="000000" w:themeColor="text1"/>
        </w:rPr>
        <w:t>presiuni.</w:t>
      </w:r>
    </w:p>
    <w:p w14:paraId="589CD0FE" w14:textId="77777777" w:rsidR="00E13976" w:rsidRPr="00C54A03" w:rsidRDefault="00E13976" w:rsidP="008E33FD">
      <w:pPr>
        <w:widowControl w:val="0"/>
        <w:autoSpaceDE w:val="0"/>
        <w:autoSpaceDN w:val="0"/>
        <w:spacing w:before="1"/>
        <w:ind w:right="253"/>
        <w:jc w:val="both"/>
        <w:rPr>
          <w:color w:val="000000" w:themeColor="text1"/>
        </w:rPr>
      </w:pPr>
      <w:r w:rsidRPr="00C54A03">
        <w:rPr>
          <w:color w:val="000000" w:themeColor="text1"/>
        </w:rPr>
        <w:t>Este recomandat ca durata de timp pentru cuantificarea presiunilor să fie o perioadă de raportare,</w:t>
      </w:r>
      <w:r w:rsidRPr="00C54A03">
        <w:rPr>
          <w:color w:val="000000" w:themeColor="text1"/>
          <w:spacing w:val="1"/>
        </w:rPr>
        <w:t xml:space="preserve"> </w:t>
      </w:r>
      <w:r w:rsidRPr="00C54A03">
        <w:rPr>
          <w:color w:val="000000" w:themeColor="text1"/>
        </w:rPr>
        <w:t>respectiv șase ani, în timp ce pentru amenințări aceasta să acopere două</w:t>
      </w:r>
      <w:r w:rsidRPr="00C54A03">
        <w:rPr>
          <w:color w:val="000000" w:themeColor="text1"/>
          <w:spacing w:val="1"/>
        </w:rPr>
        <w:t xml:space="preserve"> </w:t>
      </w:r>
      <w:r w:rsidRPr="00C54A03">
        <w:rPr>
          <w:color w:val="000000" w:themeColor="text1"/>
        </w:rPr>
        <w:t>perioade viitoare de</w:t>
      </w:r>
      <w:r w:rsidRPr="00C54A03">
        <w:rPr>
          <w:color w:val="000000" w:themeColor="text1"/>
          <w:spacing w:val="1"/>
        </w:rPr>
        <w:t xml:space="preserve"> </w:t>
      </w:r>
      <w:r w:rsidRPr="00C54A03">
        <w:rPr>
          <w:color w:val="000000" w:themeColor="text1"/>
        </w:rPr>
        <w:t>raportare, respectiv 12 ani. Importanța relativă a amenințărilor și presiunilor trebuie să se încadreze</w:t>
      </w:r>
      <w:r w:rsidRPr="00C54A03">
        <w:rPr>
          <w:color w:val="000000" w:themeColor="text1"/>
          <w:spacing w:val="1"/>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una din cele trei</w:t>
      </w:r>
      <w:r w:rsidRPr="00C54A03">
        <w:rPr>
          <w:color w:val="000000" w:themeColor="text1"/>
          <w:spacing w:val="2"/>
        </w:rPr>
        <w:t xml:space="preserve"> </w:t>
      </w:r>
      <w:r w:rsidRPr="00C54A03">
        <w:rPr>
          <w:color w:val="000000" w:themeColor="text1"/>
        </w:rPr>
        <w:t>categorii:</w:t>
      </w:r>
    </w:p>
    <w:p w14:paraId="130A76E5" w14:textId="77777777" w:rsidR="00E13976" w:rsidRPr="00C54A03" w:rsidRDefault="00E13976" w:rsidP="008E33FD">
      <w:pPr>
        <w:widowControl w:val="0"/>
        <w:autoSpaceDE w:val="0"/>
        <w:autoSpaceDN w:val="0"/>
        <w:spacing w:before="8"/>
        <w:jc w:val="both"/>
        <w:rPr>
          <w:color w:val="000000" w:themeColor="text1"/>
        </w:rPr>
      </w:pPr>
    </w:p>
    <w:tbl>
      <w:tblPr>
        <w:tblW w:w="0" w:type="auto"/>
        <w:tblInd w:w="10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4"/>
        <w:gridCol w:w="3097"/>
        <w:gridCol w:w="4189"/>
      </w:tblGrid>
      <w:tr w:rsidR="00E13976" w:rsidRPr="00C54A03" w14:paraId="501F7E82" w14:textId="77777777" w:rsidTr="00E13976">
        <w:trPr>
          <w:trHeight w:val="275"/>
        </w:trPr>
        <w:tc>
          <w:tcPr>
            <w:tcW w:w="924" w:type="dxa"/>
          </w:tcPr>
          <w:p w14:paraId="137FE1C5" w14:textId="77777777" w:rsidR="00E13976" w:rsidRPr="00C54A03" w:rsidRDefault="00E13976" w:rsidP="008E33FD">
            <w:pPr>
              <w:widowControl w:val="0"/>
              <w:autoSpaceDE w:val="0"/>
              <w:autoSpaceDN w:val="0"/>
              <w:spacing w:line="256" w:lineRule="exact"/>
              <w:jc w:val="both"/>
              <w:rPr>
                <w:b/>
                <w:color w:val="000000" w:themeColor="text1"/>
              </w:rPr>
            </w:pPr>
            <w:r w:rsidRPr="00C54A03">
              <w:rPr>
                <w:b/>
                <w:color w:val="000000" w:themeColor="text1"/>
              </w:rPr>
              <w:t>Codul</w:t>
            </w:r>
          </w:p>
        </w:tc>
        <w:tc>
          <w:tcPr>
            <w:tcW w:w="3097" w:type="dxa"/>
          </w:tcPr>
          <w:p w14:paraId="2C050D59" w14:textId="77777777" w:rsidR="00E13976" w:rsidRPr="00C54A03" w:rsidRDefault="00E13976" w:rsidP="008E33FD">
            <w:pPr>
              <w:widowControl w:val="0"/>
              <w:autoSpaceDE w:val="0"/>
              <w:autoSpaceDN w:val="0"/>
              <w:spacing w:line="256" w:lineRule="exact"/>
              <w:jc w:val="both"/>
              <w:rPr>
                <w:b/>
                <w:color w:val="000000" w:themeColor="text1"/>
              </w:rPr>
            </w:pPr>
            <w:r w:rsidRPr="00C54A03">
              <w:rPr>
                <w:b/>
                <w:color w:val="000000" w:themeColor="text1"/>
              </w:rPr>
              <w:t>Semnificația</w:t>
            </w:r>
          </w:p>
        </w:tc>
        <w:tc>
          <w:tcPr>
            <w:tcW w:w="4189" w:type="dxa"/>
          </w:tcPr>
          <w:p w14:paraId="58DDCD72" w14:textId="77777777" w:rsidR="00E13976" w:rsidRPr="00C54A03" w:rsidRDefault="00E13976" w:rsidP="008E33FD">
            <w:pPr>
              <w:widowControl w:val="0"/>
              <w:autoSpaceDE w:val="0"/>
              <w:autoSpaceDN w:val="0"/>
              <w:spacing w:line="256" w:lineRule="exact"/>
              <w:jc w:val="both"/>
              <w:rPr>
                <w:b/>
                <w:color w:val="000000" w:themeColor="text1"/>
              </w:rPr>
            </w:pPr>
            <w:r w:rsidRPr="00C54A03">
              <w:rPr>
                <w:b/>
                <w:color w:val="000000" w:themeColor="text1"/>
              </w:rPr>
              <w:t>Observații</w:t>
            </w:r>
          </w:p>
        </w:tc>
      </w:tr>
      <w:tr w:rsidR="00E13976" w:rsidRPr="00C54A03" w14:paraId="76D3B443" w14:textId="77777777" w:rsidTr="00E13976">
        <w:trPr>
          <w:trHeight w:val="827"/>
        </w:trPr>
        <w:tc>
          <w:tcPr>
            <w:tcW w:w="924" w:type="dxa"/>
          </w:tcPr>
          <w:p w14:paraId="634510E0" w14:textId="77777777" w:rsidR="00E13976" w:rsidRPr="00C54A03" w:rsidRDefault="00E13976" w:rsidP="008E33FD">
            <w:pPr>
              <w:widowControl w:val="0"/>
              <w:autoSpaceDE w:val="0"/>
              <w:autoSpaceDN w:val="0"/>
              <w:spacing w:line="268" w:lineRule="exact"/>
              <w:jc w:val="both"/>
              <w:rPr>
                <w:color w:val="000000" w:themeColor="text1"/>
              </w:rPr>
            </w:pPr>
            <w:r w:rsidRPr="00C54A03">
              <w:rPr>
                <w:color w:val="000000" w:themeColor="text1"/>
                <w:w w:val="99"/>
              </w:rPr>
              <w:t>H</w:t>
            </w:r>
          </w:p>
        </w:tc>
        <w:tc>
          <w:tcPr>
            <w:tcW w:w="3097" w:type="dxa"/>
          </w:tcPr>
          <w:p w14:paraId="6BA53E6F" w14:textId="77777777" w:rsidR="00E13976" w:rsidRPr="00C54A03" w:rsidRDefault="00E13976" w:rsidP="008E33FD">
            <w:pPr>
              <w:widowControl w:val="0"/>
              <w:autoSpaceDE w:val="0"/>
              <w:autoSpaceDN w:val="0"/>
              <w:spacing w:line="268" w:lineRule="exact"/>
              <w:jc w:val="both"/>
              <w:rPr>
                <w:color w:val="000000" w:themeColor="text1"/>
              </w:rPr>
            </w:pPr>
            <w:r w:rsidRPr="00C54A03">
              <w:rPr>
                <w:color w:val="000000" w:themeColor="text1"/>
              </w:rPr>
              <w:t>Importanță/impact</w:t>
            </w:r>
            <w:r w:rsidRPr="00C54A03">
              <w:rPr>
                <w:color w:val="000000" w:themeColor="text1"/>
                <w:spacing w:val="-3"/>
              </w:rPr>
              <w:t xml:space="preserve"> </w:t>
            </w:r>
            <w:r w:rsidRPr="00C54A03">
              <w:rPr>
                <w:color w:val="000000" w:themeColor="text1"/>
              </w:rPr>
              <w:t>mare</w:t>
            </w:r>
          </w:p>
        </w:tc>
        <w:tc>
          <w:tcPr>
            <w:tcW w:w="4189" w:type="dxa"/>
          </w:tcPr>
          <w:p w14:paraId="3D591917" w14:textId="77777777" w:rsidR="00E13976" w:rsidRPr="00C54A03" w:rsidRDefault="00E13976" w:rsidP="008E33FD">
            <w:pPr>
              <w:widowControl w:val="0"/>
              <w:tabs>
                <w:tab w:val="left" w:pos="1407"/>
                <w:tab w:val="left" w:pos="2496"/>
                <w:tab w:val="left" w:pos="3252"/>
              </w:tabs>
              <w:autoSpaceDE w:val="0"/>
              <w:autoSpaceDN w:val="0"/>
              <w:ind w:right="98"/>
              <w:jc w:val="both"/>
              <w:rPr>
                <w:color w:val="000000" w:themeColor="text1"/>
              </w:rPr>
            </w:pPr>
            <w:r w:rsidRPr="00C54A03">
              <w:rPr>
                <w:color w:val="000000" w:themeColor="text1"/>
              </w:rPr>
              <w:t>Influență</w:t>
            </w:r>
            <w:r w:rsidRPr="00C54A03">
              <w:rPr>
                <w:color w:val="000000" w:themeColor="text1"/>
              </w:rPr>
              <w:tab/>
              <w:t>directă</w:t>
            </w:r>
            <w:r w:rsidRPr="00C54A03">
              <w:rPr>
                <w:color w:val="000000" w:themeColor="text1"/>
              </w:rPr>
              <w:tab/>
              <w:t>sau</w:t>
            </w:r>
            <w:r w:rsidRPr="00C54A03">
              <w:rPr>
                <w:color w:val="000000" w:themeColor="text1"/>
              </w:rPr>
              <w:tab/>
            </w:r>
            <w:r w:rsidRPr="00C54A03">
              <w:rPr>
                <w:color w:val="000000" w:themeColor="text1"/>
                <w:spacing w:val="-1"/>
              </w:rPr>
              <w:t>imediată</w:t>
            </w:r>
            <w:r w:rsidRPr="00C54A03">
              <w:rPr>
                <w:color w:val="000000" w:themeColor="text1"/>
                <w:spacing w:val="-57"/>
              </w:rPr>
              <w:t xml:space="preserve"> </w:t>
            </w:r>
            <w:r w:rsidRPr="00C54A03">
              <w:rPr>
                <w:color w:val="000000" w:themeColor="text1"/>
              </w:rPr>
              <w:t>semnificativă</w:t>
            </w:r>
            <w:r w:rsidRPr="00C54A03">
              <w:rPr>
                <w:color w:val="000000" w:themeColor="text1"/>
                <w:spacing w:val="19"/>
              </w:rPr>
              <w:t xml:space="preserve"> </w:t>
            </w:r>
            <w:r w:rsidRPr="00C54A03">
              <w:rPr>
                <w:color w:val="000000" w:themeColor="text1"/>
              </w:rPr>
              <w:t>și/sau</w:t>
            </w:r>
            <w:r w:rsidRPr="00C54A03">
              <w:rPr>
                <w:color w:val="000000" w:themeColor="text1"/>
                <w:spacing w:val="20"/>
              </w:rPr>
              <w:t xml:space="preserve"> </w:t>
            </w:r>
            <w:r w:rsidRPr="00C54A03">
              <w:rPr>
                <w:color w:val="000000" w:themeColor="text1"/>
              </w:rPr>
              <w:t>acţiune</w:t>
            </w:r>
            <w:r w:rsidRPr="00C54A03">
              <w:rPr>
                <w:color w:val="000000" w:themeColor="text1"/>
                <w:spacing w:val="19"/>
              </w:rPr>
              <w:t xml:space="preserve"> </w:t>
            </w:r>
            <w:r w:rsidRPr="00C54A03">
              <w:rPr>
                <w:color w:val="000000" w:themeColor="text1"/>
              </w:rPr>
              <w:t>pe</w:t>
            </w:r>
            <w:r w:rsidRPr="00C54A03">
              <w:rPr>
                <w:color w:val="000000" w:themeColor="text1"/>
                <w:spacing w:val="19"/>
              </w:rPr>
              <w:t xml:space="preserve"> </w:t>
            </w:r>
            <w:r w:rsidRPr="00C54A03">
              <w:rPr>
                <w:color w:val="000000" w:themeColor="text1"/>
              </w:rPr>
              <w:t>suprafețe</w:t>
            </w:r>
          </w:p>
          <w:p w14:paraId="1E246F6F" w14:textId="77777777" w:rsidR="00E13976" w:rsidRPr="00C54A03" w:rsidRDefault="00E13976" w:rsidP="008E33FD">
            <w:pPr>
              <w:widowControl w:val="0"/>
              <w:autoSpaceDE w:val="0"/>
              <w:autoSpaceDN w:val="0"/>
              <w:spacing w:line="264" w:lineRule="exact"/>
              <w:jc w:val="both"/>
              <w:rPr>
                <w:color w:val="000000" w:themeColor="text1"/>
              </w:rPr>
            </w:pPr>
            <w:r w:rsidRPr="00C54A03">
              <w:rPr>
                <w:color w:val="000000" w:themeColor="text1"/>
              </w:rPr>
              <w:t>mari</w:t>
            </w:r>
          </w:p>
        </w:tc>
      </w:tr>
      <w:tr w:rsidR="00E13976" w:rsidRPr="00C54A03" w14:paraId="600613AD" w14:textId="77777777" w:rsidTr="00E13976">
        <w:trPr>
          <w:trHeight w:val="1103"/>
        </w:trPr>
        <w:tc>
          <w:tcPr>
            <w:tcW w:w="924" w:type="dxa"/>
          </w:tcPr>
          <w:p w14:paraId="32B75E5C" w14:textId="77777777" w:rsidR="00E13976" w:rsidRPr="00C54A03" w:rsidRDefault="00E13976" w:rsidP="008E33FD">
            <w:pPr>
              <w:widowControl w:val="0"/>
              <w:autoSpaceDE w:val="0"/>
              <w:autoSpaceDN w:val="0"/>
              <w:spacing w:line="268" w:lineRule="exact"/>
              <w:jc w:val="both"/>
              <w:rPr>
                <w:color w:val="000000" w:themeColor="text1"/>
              </w:rPr>
            </w:pPr>
            <w:r w:rsidRPr="00C54A03">
              <w:rPr>
                <w:color w:val="000000" w:themeColor="text1"/>
                <w:w w:val="99"/>
              </w:rPr>
              <w:t>M</w:t>
            </w:r>
          </w:p>
        </w:tc>
        <w:tc>
          <w:tcPr>
            <w:tcW w:w="3097" w:type="dxa"/>
          </w:tcPr>
          <w:p w14:paraId="3FABB82D" w14:textId="77777777" w:rsidR="00E13976" w:rsidRPr="00C54A03" w:rsidRDefault="00E13976" w:rsidP="008E33FD">
            <w:pPr>
              <w:widowControl w:val="0"/>
              <w:autoSpaceDE w:val="0"/>
              <w:autoSpaceDN w:val="0"/>
              <w:spacing w:line="268" w:lineRule="exact"/>
              <w:jc w:val="both"/>
              <w:rPr>
                <w:color w:val="000000" w:themeColor="text1"/>
              </w:rPr>
            </w:pPr>
            <w:r w:rsidRPr="00C54A03">
              <w:rPr>
                <w:color w:val="000000" w:themeColor="text1"/>
              </w:rPr>
              <w:t>Importanță/impact</w:t>
            </w:r>
            <w:r w:rsidRPr="00C54A03">
              <w:rPr>
                <w:color w:val="000000" w:themeColor="text1"/>
                <w:spacing w:val="-3"/>
              </w:rPr>
              <w:t xml:space="preserve"> </w:t>
            </w:r>
            <w:r w:rsidRPr="00C54A03">
              <w:rPr>
                <w:color w:val="000000" w:themeColor="text1"/>
              </w:rPr>
              <w:t>mediu</w:t>
            </w:r>
          </w:p>
        </w:tc>
        <w:tc>
          <w:tcPr>
            <w:tcW w:w="4189" w:type="dxa"/>
          </w:tcPr>
          <w:p w14:paraId="39C57E80" w14:textId="77777777" w:rsidR="00E13976" w:rsidRPr="00C54A03" w:rsidRDefault="00E13976" w:rsidP="008E33FD">
            <w:pPr>
              <w:widowControl w:val="0"/>
              <w:autoSpaceDE w:val="0"/>
              <w:autoSpaceDN w:val="0"/>
              <w:ind w:right="97"/>
              <w:jc w:val="both"/>
              <w:rPr>
                <w:color w:val="000000" w:themeColor="text1"/>
              </w:rPr>
            </w:pPr>
            <w:r w:rsidRPr="00C54A03">
              <w:rPr>
                <w:color w:val="000000" w:themeColor="text1"/>
              </w:rPr>
              <w:t>Influență directă sau imediată medie, în</w:t>
            </w:r>
            <w:r w:rsidRPr="00C54A03">
              <w:rPr>
                <w:color w:val="000000" w:themeColor="text1"/>
                <w:spacing w:val="1"/>
              </w:rPr>
              <w:t xml:space="preserve"> </w:t>
            </w:r>
            <w:r w:rsidRPr="00C54A03">
              <w:rPr>
                <w:color w:val="000000" w:themeColor="text1"/>
              </w:rPr>
              <w:t>principal</w:t>
            </w:r>
            <w:r w:rsidRPr="00C54A03">
              <w:rPr>
                <w:color w:val="000000" w:themeColor="text1"/>
                <w:spacing w:val="1"/>
              </w:rPr>
              <w:t xml:space="preserve"> </w:t>
            </w:r>
            <w:r w:rsidRPr="00C54A03">
              <w:rPr>
                <w:color w:val="000000" w:themeColor="text1"/>
              </w:rPr>
              <w:t>influență</w:t>
            </w:r>
            <w:r w:rsidRPr="00C54A03">
              <w:rPr>
                <w:color w:val="000000" w:themeColor="text1"/>
                <w:spacing w:val="1"/>
              </w:rPr>
              <w:t xml:space="preserve"> </w:t>
            </w:r>
            <w:r w:rsidRPr="00C54A03">
              <w:rPr>
                <w:color w:val="000000" w:themeColor="text1"/>
              </w:rPr>
              <w:t>indirectă</w:t>
            </w:r>
            <w:r w:rsidRPr="00C54A03">
              <w:rPr>
                <w:color w:val="000000" w:themeColor="text1"/>
                <w:spacing w:val="61"/>
              </w:rPr>
              <w:t xml:space="preserve"> </w:t>
            </w:r>
            <w:r w:rsidRPr="00C54A03">
              <w:rPr>
                <w:color w:val="000000" w:themeColor="text1"/>
              </w:rPr>
              <w:t>și/sau</w:t>
            </w:r>
            <w:r w:rsidRPr="00C54A03">
              <w:rPr>
                <w:color w:val="000000" w:themeColor="text1"/>
                <w:spacing w:val="1"/>
              </w:rPr>
              <w:t xml:space="preserve"> </w:t>
            </w:r>
            <w:r w:rsidRPr="00C54A03">
              <w:rPr>
                <w:color w:val="000000" w:themeColor="text1"/>
              </w:rPr>
              <w:t>acțiune</w:t>
            </w:r>
            <w:r w:rsidRPr="00C54A03">
              <w:rPr>
                <w:color w:val="000000" w:themeColor="text1"/>
                <w:spacing w:val="8"/>
              </w:rPr>
              <w:t xml:space="preserve"> </w:t>
            </w:r>
            <w:r w:rsidRPr="00C54A03">
              <w:rPr>
                <w:color w:val="000000" w:themeColor="text1"/>
              </w:rPr>
              <w:t>asupra</w:t>
            </w:r>
            <w:r w:rsidRPr="00C54A03">
              <w:rPr>
                <w:color w:val="000000" w:themeColor="text1"/>
                <w:spacing w:val="8"/>
              </w:rPr>
              <w:t xml:space="preserve"> </w:t>
            </w:r>
            <w:r w:rsidRPr="00C54A03">
              <w:rPr>
                <w:color w:val="000000" w:themeColor="text1"/>
              </w:rPr>
              <w:t>unei</w:t>
            </w:r>
            <w:r w:rsidRPr="00C54A03">
              <w:rPr>
                <w:color w:val="000000" w:themeColor="text1"/>
                <w:spacing w:val="9"/>
              </w:rPr>
              <w:t xml:space="preserve"> </w:t>
            </w:r>
            <w:r w:rsidRPr="00C54A03">
              <w:rPr>
                <w:color w:val="000000" w:themeColor="text1"/>
              </w:rPr>
              <w:t>părți</w:t>
            </w:r>
            <w:r w:rsidRPr="00C54A03">
              <w:rPr>
                <w:color w:val="000000" w:themeColor="text1"/>
                <w:spacing w:val="9"/>
              </w:rPr>
              <w:t xml:space="preserve"> </w:t>
            </w:r>
            <w:r w:rsidRPr="00C54A03">
              <w:rPr>
                <w:color w:val="000000" w:themeColor="text1"/>
              </w:rPr>
              <w:t>medii</w:t>
            </w:r>
            <w:r w:rsidRPr="00C54A03">
              <w:rPr>
                <w:color w:val="000000" w:themeColor="text1"/>
                <w:spacing w:val="9"/>
              </w:rPr>
              <w:t xml:space="preserve"> </w:t>
            </w:r>
            <w:r w:rsidRPr="00C54A03">
              <w:rPr>
                <w:color w:val="000000" w:themeColor="text1"/>
              </w:rPr>
              <w:t>din</w:t>
            </w:r>
          </w:p>
          <w:p w14:paraId="6892BA68" w14:textId="77777777" w:rsidR="00E13976" w:rsidRPr="00C54A03" w:rsidRDefault="00E13976" w:rsidP="008E33FD">
            <w:pPr>
              <w:widowControl w:val="0"/>
              <w:autoSpaceDE w:val="0"/>
              <w:autoSpaceDN w:val="0"/>
              <w:spacing w:line="264" w:lineRule="exact"/>
              <w:jc w:val="both"/>
              <w:rPr>
                <w:color w:val="000000" w:themeColor="text1"/>
              </w:rPr>
            </w:pPr>
            <w:r w:rsidRPr="00C54A03">
              <w:rPr>
                <w:color w:val="000000" w:themeColor="text1"/>
              </w:rPr>
              <w:t>suprafață/doar</w:t>
            </w:r>
            <w:r w:rsidRPr="00C54A03">
              <w:rPr>
                <w:color w:val="000000" w:themeColor="text1"/>
                <w:spacing w:val="-2"/>
              </w:rPr>
              <w:t xml:space="preserve"> </w:t>
            </w:r>
            <w:r w:rsidRPr="00C54A03">
              <w:rPr>
                <w:color w:val="000000" w:themeColor="text1"/>
              </w:rPr>
              <w:t>la</w:t>
            </w:r>
            <w:r w:rsidRPr="00C54A03">
              <w:rPr>
                <w:color w:val="000000" w:themeColor="text1"/>
                <w:spacing w:val="-4"/>
              </w:rPr>
              <w:t xml:space="preserve"> </w:t>
            </w:r>
            <w:r w:rsidRPr="00C54A03">
              <w:rPr>
                <w:color w:val="000000" w:themeColor="text1"/>
              </w:rPr>
              <w:t>nivel</w:t>
            </w:r>
            <w:r w:rsidRPr="00C54A03">
              <w:rPr>
                <w:color w:val="000000" w:themeColor="text1"/>
                <w:spacing w:val="-2"/>
              </w:rPr>
              <w:t xml:space="preserve"> </w:t>
            </w:r>
            <w:r w:rsidRPr="00C54A03">
              <w:rPr>
                <w:color w:val="000000" w:themeColor="text1"/>
              </w:rPr>
              <w:t>regional</w:t>
            </w:r>
          </w:p>
        </w:tc>
      </w:tr>
      <w:tr w:rsidR="00E13976" w:rsidRPr="00C54A03" w14:paraId="4D7335A8" w14:textId="77777777" w:rsidTr="00E13976">
        <w:trPr>
          <w:trHeight w:val="1103"/>
        </w:trPr>
        <w:tc>
          <w:tcPr>
            <w:tcW w:w="924" w:type="dxa"/>
          </w:tcPr>
          <w:p w14:paraId="642DC344" w14:textId="77777777" w:rsidR="00E13976" w:rsidRPr="00C54A03" w:rsidRDefault="00E13976" w:rsidP="008E33FD">
            <w:pPr>
              <w:widowControl w:val="0"/>
              <w:autoSpaceDE w:val="0"/>
              <w:autoSpaceDN w:val="0"/>
              <w:spacing w:line="268" w:lineRule="exact"/>
              <w:jc w:val="both"/>
              <w:rPr>
                <w:color w:val="000000" w:themeColor="text1"/>
              </w:rPr>
            </w:pPr>
            <w:r w:rsidRPr="00C54A03">
              <w:rPr>
                <w:color w:val="000000" w:themeColor="text1"/>
              </w:rPr>
              <w:t>L</w:t>
            </w:r>
          </w:p>
        </w:tc>
        <w:tc>
          <w:tcPr>
            <w:tcW w:w="3097" w:type="dxa"/>
          </w:tcPr>
          <w:p w14:paraId="4AA8E55D" w14:textId="77777777" w:rsidR="00E13976" w:rsidRPr="00C54A03" w:rsidRDefault="00E13976" w:rsidP="008E33FD">
            <w:pPr>
              <w:widowControl w:val="0"/>
              <w:autoSpaceDE w:val="0"/>
              <w:autoSpaceDN w:val="0"/>
              <w:spacing w:line="268" w:lineRule="exact"/>
              <w:jc w:val="both"/>
              <w:rPr>
                <w:color w:val="000000" w:themeColor="text1"/>
              </w:rPr>
            </w:pPr>
            <w:r w:rsidRPr="00C54A03">
              <w:rPr>
                <w:color w:val="000000" w:themeColor="text1"/>
              </w:rPr>
              <w:t>Importanță/impact</w:t>
            </w:r>
            <w:r w:rsidRPr="00C54A03">
              <w:rPr>
                <w:color w:val="000000" w:themeColor="text1"/>
                <w:spacing w:val="-3"/>
              </w:rPr>
              <w:t xml:space="preserve"> </w:t>
            </w:r>
            <w:r w:rsidRPr="00C54A03">
              <w:rPr>
                <w:color w:val="000000" w:themeColor="text1"/>
              </w:rPr>
              <w:t>redus</w:t>
            </w:r>
          </w:p>
        </w:tc>
        <w:tc>
          <w:tcPr>
            <w:tcW w:w="4189" w:type="dxa"/>
          </w:tcPr>
          <w:p w14:paraId="4C73FC92" w14:textId="77777777" w:rsidR="00E13976" w:rsidRPr="00C54A03" w:rsidRDefault="00E13976" w:rsidP="008E33FD">
            <w:pPr>
              <w:widowControl w:val="0"/>
              <w:autoSpaceDE w:val="0"/>
              <w:autoSpaceDN w:val="0"/>
              <w:ind w:right="97"/>
              <w:jc w:val="both"/>
              <w:rPr>
                <w:color w:val="000000" w:themeColor="text1"/>
              </w:rPr>
            </w:pPr>
            <w:r w:rsidRPr="00C54A03">
              <w:rPr>
                <w:color w:val="000000" w:themeColor="text1"/>
              </w:rPr>
              <w:t>Influență</w:t>
            </w:r>
            <w:r w:rsidRPr="00C54A03">
              <w:rPr>
                <w:color w:val="000000" w:themeColor="text1"/>
                <w:spacing w:val="1"/>
              </w:rPr>
              <w:t xml:space="preserve"> </w:t>
            </w:r>
            <w:r w:rsidRPr="00C54A03">
              <w:rPr>
                <w:color w:val="000000" w:themeColor="text1"/>
              </w:rPr>
              <w:t>directă</w:t>
            </w:r>
            <w:r w:rsidRPr="00C54A03">
              <w:rPr>
                <w:color w:val="000000" w:themeColor="text1"/>
                <w:spacing w:val="1"/>
              </w:rPr>
              <w:t xml:space="preserve"> </w:t>
            </w:r>
            <w:r w:rsidRPr="00C54A03">
              <w:rPr>
                <w:color w:val="000000" w:themeColor="text1"/>
              </w:rPr>
              <w:t>sau</w:t>
            </w:r>
            <w:r w:rsidRPr="00C54A03">
              <w:rPr>
                <w:color w:val="000000" w:themeColor="text1"/>
                <w:spacing w:val="1"/>
              </w:rPr>
              <w:t xml:space="preserve"> </w:t>
            </w:r>
            <w:r w:rsidRPr="00C54A03">
              <w:rPr>
                <w:color w:val="000000" w:themeColor="text1"/>
              </w:rPr>
              <w:t>imediată</w:t>
            </w:r>
            <w:r w:rsidRPr="00C54A03">
              <w:rPr>
                <w:color w:val="000000" w:themeColor="text1"/>
                <w:spacing w:val="1"/>
              </w:rPr>
              <w:t xml:space="preserve"> </w:t>
            </w:r>
            <w:r w:rsidRPr="00C54A03">
              <w:rPr>
                <w:color w:val="000000" w:themeColor="text1"/>
              </w:rPr>
              <w:t>redusă,</w:t>
            </w:r>
            <w:r w:rsidRPr="00C54A03">
              <w:rPr>
                <w:color w:val="000000" w:themeColor="text1"/>
                <w:spacing w:val="1"/>
              </w:rPr>
              <w:t xml:space="preserve"> </w:t>
            </w:r>
            <w:r w:rsidRPr="00C54A03">
              <w:rPr>
                <w:color w:val="000000" w:themeColor="text1"/>
              </w:rPr>
              <w:t>influență</w:t>
            </w:r>
            <w:r w:rsidRPr="00C54A03">
              <w:rPr>
                <w:color w:val="000000" w:themeColor="text1"/>
                <w:spacing w:val="1"/>
              </w:rPr>
              <w:t xml:space="preserve"> </w:t>
            </w:r>
            <w:r w:rsidRPr="00C54A03">
              <w:rPr>
                <w:color w:val="000000" w:themeColor="text1"/>
              </w:rPr>
              <w:t>directă</w:t>
            </w:r>
            <w:r w:rsidRPr="00C54A03">
              <w:rPr>
                <w:color w:val="000000" w:themeColor="text1"/>
                <w:spacing w:val="1"/>
              </w:rPr>
              <w:t xml:space="preserve"> </w:t>
            </w:r>
            <w:r w:rsidRPr="00C54A03">
              <w:rPr>
                <w:color w:val="000000" w:themeColor="text1"/>
              </w:rPr>
              <w:t>și/sau</w:t>
            </w:r>
            <w:r w:rsidRPr="00C54A03">
              <w:rPr>
                <w:color w:val="000000" w:themeColor="text1"/>
                <w:spacing w:val="1"/>
              </w:rPr>
              <w:t xml:space="preserve"> </w:t>
            </w:r>
            <w:r w:rsidRPr="00C54A03">
              <w:rPr>
                <w:color w:val="000000" w:themeColor="text1"/>
              </w:rPr>
              <w:t>acțiune</w:t>
            </w:r>
            <w:r w:rsidRPr="00C54A03">
              <w:rPr>
                <w:color w:val="000000" w:themeColor="text1"/>
                <w:spacing w:val="1"/>
              </w:rPr>
              <w:t xml:space="preserve"> </w:t>
            </w:r>
            <w:r w:rsidRPr="00C54A03">
              <w:rPr>
                <w:color w:val="000000" w:themeColor="text1"/>
              </w:rPr>
              <w:t>asupra</w:t>
            </w:r>
            <w:r w:rsidRPr="00C54A03">
              <w:rPr>
                <w:color w:val="000000" w:themeColor="text1"/>
                <w:spacing w:val="1"/>
              </w:rPr>
              <w:t xml:space="preserve"> </w:t>
            </w:r>
            <w:r w:rsidRPr="00C54A03">
              <w:rPr>
                <w:color w:val="000000" w:themeColor="text1"/>
              </w:rPr>
              <w:t>unei</w:t>
            </w:r>
            <w:r w:rsidRPr="00C54A03">
              <w:rPr>
                <w:color w:val="000000" w:themeColor="text1"/>
                <w:spacing w:val="19"/>
              </w:rPr>
              <w:t xml:space="preserve"> </w:t>
            </w:r>
            <w:r w:rsidRPr="00C54A03">
              <w:rPr>
                <w:color w:val="000000" w:themeColor="text1"/>
              </w:rPr>
              <w:t>mici</w:t>
            </w:r>
            <w:r w:rsidRPr="00C54A03">
              <w:rPr>
                <w:color w:val="000000" w:themeColor="text1"/>
                <w:spacing w:val="19"/>
              </w:rPr>
              <w:t xml:space="preserve"> </w:t>
            </w:r>
            <w:r w:rsidRPr="00C54A03">
              <w:rPr>
                <w:color w:val="000000" w:themeColor="text1"/>
              </w:rPr>
              <w:t>părți</w:t>
            </w:r>
            <w:r w:rsidRPr="00C54A03">
              <w:rPr>
                <w:color w:val="000000" w:themeColor="text1"/>
                <w:spacing w:val="19"/>
              </w:rPr>
              <w:t xml:space="preserve"> </w:t>
            </w:r>
            <w:r w:rsidRPr="00C54A03">
              <w:rPr>
                <w:color w:val="000000" w:themeColor="text1"/>
              </w:rPr>
              <w:t>din</w:t>
            </w:r>
            <w:r w:rsidRPr="00C54A03">
              <w:rPr>
                <w:color w:val="000000" w:themeColor="text1"/>
                <w:spacing w:val="21"/>
              </w:rPr>
              <w:t xml:space="preserve"> </w:t>
            </w:r>
            <w:r w:rsidRPr="00C54A03">
              <w:rPr>
                <w:color w:val="000000" w:themeColor="text1"/>
              </w:rPr>
              <w:t>suprafață/</w:t>
            </w:r>
            <w:r w:rsidRPr="00C54A03">
              <w:rPr>
                <w:color w:val="000000" w:themeColor="text1"/>
                <w:spacing w:val="19"/>
              </w:rPr>
              <w:t xml:space="preserve"> </w:t>
            </w:r>
            <w:r w:rsidRPr="00C54A03">
              <w:rPr>
                <w:color w:val="000000" w:themeColor="text1"/>
              </w:rPr>
              <w:t>doar</w:t>
            </w:r>
            <w:r w:rsidRPr="00C54A03">
              <w:rPr>
                <w:color w:val="000000" w:themeColor="text1"/>
                <w:spacing w:val="20"/>
              </w:rPr>
              <w:t xml:space="preserve"> </w:t>
            </w:r>
            <w:r w:rsidRPr="00C54A03">
              <w:rPr>
                <w:color w:val="000000" w:themeColor="text1"/>
              </w:rPr>
              <w:t>la</w:t>
            </w:r>
          </w:p>
          <w:p w14:paraId="18AD5A70" w14:textId="77777777" w:rsidR="00E13976" w:rsidRPr="00C54A03" w:rsidRDefault="00E13976" w:rsidP="008E33FD">
            <w:pPr>
              <w:widowControl w:val="0"/>
              <w:autoSpaceDE w:val="0"/>
              <w:autoSpaceDN w:val="0"/>
              <w:spacing w:line="264" w:lineRule="exact"/>
              <w:jc w:val="both"/>
              <w:rPr>
                <w:color w:val="000000" w:themeColor="text1"/>
              </w:rPr>
            </w:pPr>
            <w:r w:rsidRPr="00C54A03">
              <w:rPr>
                <w:color w:val="000000" w:themeColor="text1"/>
              </w:rPr>
              <w:t>nivel</w:t>
            </w:r>
            <w:r w:rsidRPr="00C54A03">
              <w:rPr>
                <w:color w:val="000000" w:themeColor="text1"/>
                <w:spacing w:val="-2"/>
              </w:rPr>
              <w:t xml:space="preserve"> </w:t>
            </w:r>
            <w:r w:rsidRPr="00C54A03">
              <w:rPr>
                <w:color w:val="000000" w:themeColor="text1"/>
              </w:rPr>
              <w:t>regional</w:t>
            </w:r>
          </w:p>
        </w:tc>
      </w:tr>
    </w:tbl>
    <w:p w14:paraId="57DE45FF" w14:textId="77777777" w:rsidR="00E13976" w:rsidRPr="00C54A03" w:rsidRDefault="00E13976" w:rsidP="008E33FD">
      <w:pPr>
        <w:widowControl w:val="0"/>
        <w:autoSpaceDE w:val="0"/>
        <w:autoSpaceDN w:val="0"/>
        <w:spacing w:before="196"/>
        <w:jc w:val="both"/>
        <w:outlineLvl w:val="1"/>
        <w:rPr>
          <w:rFonts w:eastAsia="Cambria"/>
          <w:b/>
          <w:bCs/>
          <w:color w:val="000000" w:themeColor="text1"/>
        </w:rPr>
      </w:pPr>
      <w:r w:rsidRPr="00C54A03">
        <w:rPr>
          <w:rFonts w:eastAsia="Cambria"/>
          <w:b/>
          <w:bCs/>
          <w:color w:val="000000" w:themeColor="text1"/>
        </w:rPr>
        <w:t>Reprezentativitatea</w:t>
      </w:r>
      <w:r w:rsidRPr="00C54A03">
        <w:rPr>
          <w:rFonts w:eastAsia="Cambria"/>
          <w:b/>
          <w:bCs/>
          <w:color w:val="000000" w:themeColor="text1"/>
          <w:spacing w:val="-3"/>
        </w:rPr>
        <w:t xml:space="preserve"> </w:t>
      </w:r>
      <w:r w:rsidRPr="00C54A03">
        <w:rPr>
          <w:rFonts w:eastAsia="Cambria"/>
          <w:b/>
          <w:bCs/>
          <w:color w:val="000000" w:themeColor="text1"/>
        </w:rPr>
        <w:t>habitatelor</w:t>
      </w:r>
      <w:r w:rsidRPr="00C54A03">
        <w:rPr>
          <w:rFonts w:eastAsia="Cambria"/>
          <w:b/>
          <w:bCs/>
          <w:color w:val="000000" w:themeColor="text1"/>
          <w:spacing w:val="-2"/>
        </w:rPr>
        <w:t xml:space="preserve"> </w:t>
      </w:r>
      <w:r w:rsidRPr="00C54A03">
        <w:rPr>
          <w:rFonts w:eastAsia="Cambria"/>
          <w:b/>
          <w:bCs/>
          <w:color w:val="000000" w:themeColor="text1"/>
        </w:rPr>
        <w:t>de</w:t>
      </w:r>
      <w:r w:rsidRPr="00C54A03">
        <w:rPr>
          <w:rFonts w:eastAsia="Cambria"/>
          <w:b/>
          <w:bCs/>
          <w:color w:val="000000" w:themeColor="text1"/>
          <w:spacing w:val="1"/>
        </w:rPr>
        <w:t xml:space="preserve"> </w:t>
      </w:r>
      <w:r w:rsidRPr="00C54A03">
        <w:rPr>
          <w:rFonts w:eastAsia="Cambria"/>
          <w:b/>
          <w:bCs/>
          <w:color w:val="000000" w:themeColor="text1"/>
        </w:rPr>
        <w:t>mlaștini</w:t>
      </w:r>
      <w:r w:rsidRPr="00C54A03">
        <w:rPr>
          <w:rFonts w:eastAsia="Cambria"/>
          <w:b/>
          <w:bCs/>
          <w:color w:val="000000" w:themeColor="text1"/>
          <w:spacing w:val="-2"/>
        </w:rPr>
        <w:t xml:space="preserve"> </w:t>
      </w:r>
      <w:r w:rsidRPr="00C54A03">
        <w:rPr>
          <w:rFonts w:eastAsia="Cambria"/>
          <w:b/>
          <w:bCs/>
          <w:color w:val="000000" w:themeColor="text1"/>
        </w:rPr>
        <w:t>și</w:t>
      </w:r>
      <w:r w:rsidRPr="00C54A03">
        <w:rPr>
          <w:rFonts w:eastAsia="Cambria"/>
          <w:b/>
          <w:bCs/>
          <w:color w:val="000000" w:themeColor="text1"/>
          <w:spacing w:val="-3"/>
        </w:rPr>
        <w:t xml:space="preserve"> </w:t>
      </w:r>
      <w:r w:rsidRPr="00C54A03">
        <w:rPr>
          <w:rFonts w:eastAsia="Cambria"/>
          <w:b/>
          <w:bCs/>
          <w:color w:val="000000" w:themeColor="text1"/>
        </w:rPr>
        <w:t>turbării pe</w:t>
      </w:r>
      <w:r w:rsidRPr="00C54A03">
        <w:rPr>
          <w:rFonts w:eastAsia="Cambria"/>
          <w:b/>
          <w:bCs/>
          <w:color w:val="000000" w:themeColor="text1"/>
          <w:spacing w:val="-3"/>
        </w:rPr>
        <w:t xml:space="preserve"> </w:t>
      </w:r>
      <w:r w:rsidRPr="00C54A03">
        <w:rPr>
          <w:rFonts w:eastAsia="Cambria"/>
          <w:b/>
          <w:bCs/>
          <w:color w:val="000000" w:themeColor="text1"/>
        </w:rPr>
        <w:t>teritoriul</w:t>
      </w:r>
      <w:r w:rsidRPr="00C54A03">
        <w:rPr>
          <w:rFonts w:eastAsia="Cambria"/>
          <w:b/>
          <w:bCs/>
          <w:color w:val="000000" w:themeColor="text1"/>
          <w:spacing w:val="-3"/>
        </w:rPr>
        <w:t xml:space="preserve"> </w:t>
      </w:r>
      <w:r w:rsidRPr="00C54A03">
        <w:rPr>
          <w:rFonts w:eastAsia="Cambria"/>
          <w:b/>
          <w:bCs/>
          <w:color w:val="000000" w:themeColor="text1"/>
        </w:rPr>
        <w:t>României</w:t>
      </w:r>
    </w:p>
    <w:p w14:paraId="05302AEC" w14:textId="77777777" w:rsidR="00E13976" w:rsidRPr="00C54A03" w:rsidRDefault="00E13976" w:rsidP="008E33FD">
      <w:pPr>
        <w:widowControl w:val="0"/>
        <w:autoSpaceDE w:val="0"/>
        <w:autoSpaceDN w:val="0"/>
        <w:spacing w:before="233"/>
        <w:ind w:right="115"/>
        <w:jc w:val="both"/>
        <w:rPr>
          <w:color w:val="000000" w:themeColor="text1"/>
        </w:rPr>
      </w:pPr>
      <w:r w:rsidRPr="00C54A03">
        <w:rPr>
          <w:color w:val="000000" w:themeColor="text1"/>
        </w:rPr>
        <w:t>Habitatele de turbării şi mlaștini sunt formaţiuni vegetale cu exigenţe speciale faţă de factorii de</w:t>
      </w:r>
      <w:r w:rsidRPr="00C54A03">
        <w:rPr>
          <w:color w:val="000000" w:themeColor="text1"/>
          <w:spacing w:val="1"/>
        </w:rPr>
        <w:t xml:space="preserve"> </w:t>
      </w:r>
      <w:r w:rsidRPr="00C54A03">
        <w:rPr>
          <w:color w:val="000000" w:themeColor="text1"/>
        </w:rPr>
        <w:t>mediu şi deosebit de sensibile la schimbările factorilor abiotici limitativi. Astfel,</w:t>
      </w:r>
      <w:r w:rsidRPr="00C54A03">
        <w:rPr>
          <w:color w:val="000000" w:themeColor="text1"/>
          <w:spacing w:val="1"/>
        </w:rPr>
        <w:t xml:space="preserve"> </w:t>
      </w:r>
      <w:r w:rsidRPr="00C54A03">
        <w:rPr>
          <w:color w:val="000000" w:themeColor="text1"/>
        </w:rPr>
        <w:t>pot fi considerate</w:t>
      </w:r>
      <w:r w:rsidRPr="00C54A03">
        <w:rPr>
          <w:color w:val="000000" w:themeColor="text1"/>
          <w:spacing w:val="1"/>
        </w:rPr>
        <w:t xml:space="preserve"> </w:t>
      </w:r>
      <w:r w:rsidRPr="00C54A03">
        <w:rPr>
          <w:color w:val="000000" w:themeColor="text1"/>
        </w:rPr>
        <w:t>indicatoare</w:t>
      </w:r>
      <w:r w:rsidRPr="00C54A03">
        <w:rPr>
          <w:color w:val="000000" w:themeColor="text1"/>
          <w:spacing w:val="-2"/>
        </w:rPr>
        <w:t xml:space="preserve"> </w:t>
      </w:r>
      <w:r w:rsidRPr="00C54A03">
        <w:rPr>
          <w:color w:val="000000" w:themeColor="text1"/>
        </w:rPr>
        <w:t>pentru orice</w:t>
      </w:r>
      <w:r w:rsidRPr="00C54A03">
        <w:rPr>
          <w:color w:val="000000" w:themeColor="text1"/>
          <w:spacing w:val="2"/>
        </w:rPr>
        <w:t xml:space="preserve"> </w:t>
      </w:r>
      <w:r w:rsidRPr="00C54A03">
        <w:rPr>
          <w:color w:val="000000" w:themeColor="text1"/>
        </w:rPr>
        <w:t>modificare</w:t>
      </w:r>
      <w:r w:rsidRPr="00C54A03">
        <w:rPr>
          <w:color w:val="000000" w:themeColor="text1"/>
          <w:spacing w:val="1"/>
        </w:rPr>
        <w:t xml:space="preserve"> </w:t>
      </w:r>
      <w:r w:rsidRPr="00C54A03">
        <w:rPr>
          <w:color w:val="000000" w:themeColor="text1"/>
        </w:rPr>
        <w:t>a</w:t>
      </w:r>
      <w:r w:rsidRPr="00C54A03">
        <w:rPr>
          <w:color w:val="000000" w:themeColor="text1"/>
          <w:spacing w:val="-1"/>
        </w:rPr>
        <w:t xml:space="preserve"> </w:t>
      </w:r>
      <w:r w:rsidRPr="00C54A03">
        <w:rPr>
          <w:color w:val="000000" w:themeColor="text1"/>
        </w:rPr>
        <w:t>factorilor de</w:t>
      </w:r>
      <w:r w:rsidRPr="00C54A03">
        <w:rPr>
          <w:color w:val="000000" w:themeColor="text1"/>
          <w:spacing w:val="1"/>
        </w:rPr>
        <w:t xml:space="preserve"> </w:t>
      </w:r>
      <w:r w:rsidRPr="00C54A03">
        <w:rPr>
          <w:color w:val="000000" w:themeColor="text1"/>
        </w:rPr>
        <w:t>mediu.</w:t>
      </w:r>
    </w:p>
    <w:p w14:paraId="23EB46B3" w14:textId="77777777" w:rsidR="00E13976" w:rsidRPr="00C54A03" w:rsidRDefault="00E13976" w:rsidP="008E33FD">
      <w:pPr>
        <w:widowControl w:val="0"/>
        <w:autoSpaceDE w:val="0"/>
        <w:autoSpaceDN w:val="0"/>
        <w:jc w:val="both"/>
        <w:rPr>
          <w:color w:val="000000" w:themeColor="text1"/>
        </w:rPr>
      </w:pPr>
      <w:r w:rsidRPr="00C54A03">
        <w:rPr>
          <w:color w:val="000000" w:themeColor="text1"/>
        </w:rPr>
        <w:t>În</w:t>
      </w:r>
      <w:r w:rsidRPr="00C54A03">
        <w:rPr>
          <w:color w:val="000000" w:themeColor="text1"/>
          <w:spacing w:val="1"/>
        </w:rPr>
        <w:t xml:space="preserve"> </w:t>
      </w:r>
      <w:r w:rsidRPr="00C54A03">
        <w:rPr>
          <w:color w:val="000000" w:themeColor="text1"/>
        </w:rPr>
        <w:t>general,</w:t>
      </w:r>
      <w:r w:rsidRPr="00C54A03">
        <w:rPr>
          <w:color w:val="000000" w:themeColor="text1"/>
          <w:spacing w:val="-1"/>
        </w:rPr>
        <w:t xml:space="preserve"> </w:t>
      </w:r>
      <w:r w:rsidRPr="00C54A03">
        <w:rPr>
          <w:color w:val="000000" w:themeColor="text1"/>
        </w:rPr>
        <w:t>factorii abiotici limitativi pentru</w:t>
      </w:r>
      <w:r w:rsidRPr="00C54A03">
        <w:rPr>
          <w:color w:val="000000" w:themeColor="text1"/>
          <w:spacing w:val="-2"/>
        </w:rPr>
        <w:t xml:space="preserve"> </w:t>
      </w:r>
      <w:r w:rsidRPr="00C54A03">
        <w:rPr>
          <w:color w:val="000000" w:themeColor="text1"/>
        </w:rPr>
        <w:t>habitatele</w:t>
      </w:r>
      <w:r w:rsidRPr="00C54A03">
        <w:rPr>
          <w:color w:val="000000" w:themeColor="text1"/>
          <w:spacing w:val="-2"/>
        </w:rPr>
        <w:t xml:space="preserve"> </w:t>
      </w:r>
      <w:r w:rsidRPr="00C54A03">
        <w:rPr>
          <w:color w:val="000000" w:themeColor="text1"/>
        </w:rPr>
        <w:t>de</w:t>
      </w:r>
      <w:r w:rsidRPr="00C54A03">
        <w:rPr>
          <w:color w:val="000000" w:themeColor="text1"/>
          <w:spacing w:val="-2"/>
        </w:rPr>
        <w:t xml:space="preserve"> </w:t>
      </w:r>
      <w:r w:rsidRPr="00C54A03">
        <w:rPr>
          <w:color w:val="000000" w:themeColor="text1"/>
        </w:rPr>
        <w:t>turbării</w:t>
      </w:r>
      <w:r w:rsidRPr="00C54A03">
        <w:rPr>
          <w:color w:val="000000" w:themeColor="text1"/>
          <w:spacing w:val="-1"/>
        </w:rPr>
        <w:t xml:space="preserve"> </w:t>
      </w:r>
      <w:r w:rsidRPr="00C54A03">
        <w:rPr>
          <w:color w:val="000000" w:themeColor="text1"/>
        </w:rPr>
        <w:t>şi</w:t>
      </w:r>
      <w:r w:rsidRPr="00C54A03">
        <w:rPr>
          <w:color w:val="000000" w:themeColor="text1"/>
          <w:spacing w:val="-1"/>
        </w:rPr>
        <w:t xml:space="preserve"> </w:t>
      </w:r>
      <w:r w:rsidRPr="00C54A03">
        <w:rPr>
          <w:color w:val="000000" w:themeColor="text1"/>
        </w:rPr>
        <w:t>mlaștini</w:t>
      </w:r>
      <w:r w:rsidRPr="00C54A03">
        <w:rPr>
          <w:color w:val="000000" w:themeColor="text1"/>
          <w:spacing w:val="-2"/>
        </w:rPr>
        <w:t xml:space="preserve"> </w:t>
      </w:r>
      <w:r w:rsidRPr="00C54A03">
        <w:rPr>
          <w:color w:val="000000" w:themeColor="text1"/>
        </w:rPr>
        <w:t>sunt:</w:t>
      </w:r>
    </w:p>
    <w:p w14:paraId="140405E4" w14:textId="77777777" w:rsidR="00E13976" w:rsidRPr="00C54A03" w:rsidRDefault="00E13976" w:rsidP="009E63E5">
      <w:pPr>
        <w:widowControl w:val="0"/>
        <w:numPr>
          <w:ilvl w:val="3"/>
          <w:numId w:val="77"/>
        </w:numPr>
        <w:tabs>
          <w:tab w:val="left" w:pos="1074"/>
        </w:tabs>
        <w:autoSpaceDE w:val="0"/>
        <w:autoSpaceDN w:val="0"/>
        <w:ind w:hanging="241"/>
        <w:jc w:val="both"/>
        <w:rPr>
          <w:color w:val="000000" w:themeColor="text1"/>
        </w:rPr>
      </w:pPr>
      <w:r w:rsidRPr="00C54A03">
        <w:rPr>
          <w:color w:val="000000" w:themeColor="text1"/>
        </w:rPr>
        <w:t>aprovizionarea cu</w:t>
      </w:r>
      <w:r w:rsidRPr="00C54A03">
        <w:rPr>
          <w:color w:val="000000" w:themeColor="text1"/>
          <w:spacing w:val="-2"/>
        </w:rPr>
        <w:t xml:space="preserve"> </w:t>
      </w:r>
      <w:r w:rsidRPr="00C54A03">
        <w:rPr>
          <w:color w:val="000000" w:themeColor="text1"/>
        </w:rPr>
        <w:t>apă</w:t>
      </w:r>
      <w:r w:rsidRPr="00C54A03">
        <w:rPr>
          <w:color w:val="000000" w:themeColor="text1"/>
          <w:spacing w:val="-1"/>
        </w:rPr>
        <w:t xml:space="preserve"> </w:t>
      </w:r>
      <w:r w:rsidRPr="00C54A03">
        <w:rPr>
          <w:color w:val="000000" w:themeColor="text1"/>
        </w:rPr>
        <w:t>(caracteristică</w:t>
      </w:r>
      <w:r w:rsidRPr="00C54A03">
        <w:rPr>
          <w:color w:val="000000" w:themeColor="text1"/>
          <w:spacing w:val="-3"/>
        </w:rPr>
        <w:t xml:space="preserve"> </w:t>
      </w:r>
      <w:r w:rsidRPr="00C54A03">
        <w:rPr>
          <w:color w:val="000000" w:themeColor="text1"/>
        </w:rPr>
        <w:t>după</w:t>
      </w:r>
      <w:r w:rsidRPr="00C54A03">
        <w:rPr>
          <w:color w:val="000000" w:themeColor="text1"/>
          <w:spacing w:val="-2"/>
        </w:rPr>
        <w:t xml:space="preserve"> </w:t>
      </w:r>
      <w:r w:rsidRPr="00C54A03">
        <w:rPr>
          <w:color w:val="000000" w:themeColor="text1"/>
        </w:rPr>
        <w:t>sursă</w:t>
      </w:r>
      <w:r w:rsidRPr="00C54A03">
        <w:rPr>
          <w:color w:val="000000" w:themeColor="text1"/>
          <w:spacing w:val="-1"/>
        </w:rPr>
        <w:t xml:space="preserve"> </w:t>
      </w:r>
      <w:r w:rsidRPr="00C54A03">
        <w:rPr>
          <w:color w:val="000000" w:themeColor="text1"/>
        </w:rPr>
        <w:t>şi</w:t>
      </w:r>
      <w:r w:rsidRPr="00C54A03">
        <w:rPr>
          <w:color w:val="000000" w:themeColor="text1"/>
          <w:spacing w:val="-2"/>
        </w:rPr>
        <w:t xml:space="preserve"> </w:t>
      </w:r>
      <w:r w:rsidRPr="00C54A03">
        <w:rPr>
          <w:color w:val="000000" w:themeColor="text1"/>
        </w:rPr>
        <w:t>calitate);</w:t>
      </w:r>
    </w:p>
    <w:p w14:paraId="7962AC87" w14:textId="77777777" w:rsidR="00E13976" w:rsidRPr="00C54A03" w:rsidRDefault="00E13976" w:rsidP="009E63E5">
      <w:pPr>
        <w:widowControl w:val="0"/>
        <w:numPr>
          <w:ilvl w:val="3"/>
          <w:numId w:val="77"/>
        </w:numPr>
        <w:tabs>
          <w:tab w:val="left" w:pos="1074"/>
        </w:tabs>
        <w:autoSpaceDE w:val="0"/>
        <w:autoSpaceDN w:val="0"/>
        <w:ind w:hanging="241"/>
        <w:jc w:val="both"/>
        <w:rPr>
          <w:color w:val="000000" w:themeColor="text1"/>
        </w:rPr>
      </w:pPr>
      <w:r w:rsidRPr="00C54A03">
        <w:rPr>
          <w:color w:val="000000" w:themeColor="text1"/>
        </w:rPr>
        <w:t>pH-ul</w:t>
      </w:r>
      <w:r w:rsidRPr="00C54A03">
        <w:rPr>
          <w:color w:val="000000" w:themeColor="text1"/>
          <w:spacing w:val="-1"/>
        </w:rPr>
        <w:t xml:space="preserve"> </w:t>
      </w:r>
      <w:r w:rsidRPr="00C54A03">
        <w:rPr>
          <w:color w:val="000000" w:themeColor="text1"/>
        </w:rPr>
        <w:t>apei</w:t>
      </w:r>
      <w:r w:rsidRPr="00C54A03">
        <w:rPr>
          <w:color w:val="000000" w:themeColor="text1"/>
          <w:spacing w:val="-1"/>
        </w:rPr>
        <w:t xml:space="preserve"> </w:t>
      </w:r>
      <w:r w:rsidRPr="00C54A03">
        <w:rPr>
          <w:color w:val="000000" w:themeColor="text1"/>
        </w:rPr>
        <w:t>şi</w:t>
      </w:r>
      <w:r w:rsidRPr="00C54A03">
        <w:rPr>
          <w:color w:val="000000" w:themeColor="text1"/>
          <w:spacing w:val="-1"/>
        </w:rPr>
        <w:t xml:space="preserve"> </w:t>
      </w:r>
      <w:r w:rsidRPr="00C54A03">
        <w:rPr>
          <w:color w:val="000000" w:themeColor="text1"/>
        </w:rPr>
        <w:t>a</w:t>
      </w:r>
      <w:r w:rsidRPr="00C54A03">
        <w:rPr>
          <w:color w:val="000000" w:themeColor="text1"/>
          <w:spacing w:val="-2"/>
        </w:rPr>
        <w:t xml:space="preserve"> </w:t>
      </w:r>
      <w:r w:rsidRPr="00C54A03">
        <w:rPr>
          <w:color w:val="000000" w:themeColor="text1"/>
        </w:rPr>
        <w:t>substratului (turbă,</w:t>
      </w:r>
      <w:r w:rsidRPr="00C54A03">
        <w:rPr>
          <w:color w:val="000000" w:themeColor="text1"/>
          <w:spacing w:val="-1"/>
        </w:rPr>
        <w:t xml:space="preserve"> </w:t>
      </w:r>
      <w:r w:rsidRPr="00C54A03">
        <w:rPr>
          <w:color w:val="000000" w:themeColor="text1"/>
        </w:rPr>
        <w:t>sol);</w:t>
      </w:r>
    </w:p>
    <w:p w14:paraId="5981B9CB" w14:textId="77777777" w:rsidR="00E13976" w:rsidRPr="00C54A03" w:rsidRDefault="00E13976" w:rsidP="009E63E5">
      <w:pPr>
        <w:widowControl w:val="0"/>
        <w:numPr>
          <w:ilvl w:val="3"/>
          <w:numId w:val="77"/>
        </w:numPr>
        <w:tabs>
          <w:tab w:val="left" w:pos="1074"/>
        </w:tabs>
        <w:autoSpaceDE w:val="0"/>
        <w:autoSpaceDN w:val="0"/>
        <w:ind w:hanging="241"/>
        <w:jc w:val="both"/>
        <w:rPr>
          <w:color w:val="000000" w:themeColor="text1"/>
        </w:rPr>
      </w:pPr>
      <w:r w:rsidRPr="00C54A03">
        <w:rPr>
          <w:color w:val="000000" w:themeColor="text1"/>
        </w:rPr>
        <w:t>materialul</w:t>
      </w:r>
      <w:r w:rsidRPr="00C54A03">
        <w:rPr>
          <w:color w:val="000000" w:themeColor="text1"/>
          <w:spacing w:val="-1"/>
        </w:rPr>
        <w:t xml:space="preserve"> </w:t>
      </w:r>
      <w:r w:rsidRPr="00C54A03">
        <w:rPr>
          <w:color w:val="000000" w:themeColor="text1"/>
        </w:rPr>
        <w:t>organic</w:t>
      </w:r>
      <w:r w:rsidRPr="00C54A03">
        <w:rPr>
          <w:color w:val="000000" w:themeColor="text1"/>
          <w:spacing w:val="1"/>
        </w:rPr>
        <w:t xml:space="preserve"> </w:t>
      </w:r>
      <w:r w:rsidRPr="00C54A03">
        <w:rPr>
          <w:color w:val="000000" w:themeColor="text1"/>
        </w:rPr>
        <w:t>care</w:t>
      </w:r>
      <w:r w:rsidRPr="00C54A03">
        <w:rPr>
          <w:color w:val="000000" w:themeColor="text1"/>
          <w:spacing w:val="-1"/>
        </w:rPr>
        <w:t xml:space="preserve"> </w:t>
      </w:r>
      <w:r w:rsidRPr="00C54A03">
        <w:rPr>
          <w:color w:val="000000" w:themeColor="text1"/>
        </w:rPr>
        <w:t>ajunge</w:t>
      </w:r>
      <w:r w:rsidRPr="00C54A03">
        <w:rPr>
          <w:color w:val="000000" w:themeColor="text1"/>
          <w:spacing w:val="-2"/>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perimetrul</w:t>
      </w:r>
      <w:r w:rsidRPr="00C54A03">
        <w:rPr>
          <w:color w:val="000000" w:themeColor="text1"/>
          <w:spacing w:val="-1"/>
        </w:rPr>
        <w:t xml:space="preserve"> </w:t>
      </w:r>
      <w:r w:rsidRPr="00C54A03">
        <w:rPr>
          <w:color w:val="000000" w:themeColor="text1"/>
        </w:rPr>
        <w:t>habitatului (prin</w:t>
      </w:r>
      <w:r w:rsidRPr="00C54A03">
        <w:rPr>
          <w:color w:val="000000" w:themeColor="text1"/>
          <w:spacing w:val="-2"/>
        </w:rPr>
        <w:t xml:space="preserve"> </w:t>
      </w:r>
      <w:r w:rsidRPr="00C54A03">
        <w:rPr>
          <w:color w:val="000000" w:themeColor="text1"/>
        </w:rPr>
        <w:t>apă</w:t>
      </w:r>
      <w:r w:rsidRPr="00C54A03">
        <w:rPr>
          <w:color w:val="000000" w:themeColor="text1"/>
          <w:spacing w:val="-2"/>
        </w:rPr>
        <w:t xml:space="preserve"> </w:t>
      </w:r>
      <w:r w:rsidRPr="00C54A03">
        <w:rPr>
          <w:color w:val="000000" w:themeColor="text1"/>
        </w:rPr>
        <w:t>sau</w:t>
      </w:r>
      <w:r w:rsidRPr="00C54A03">
        <w:rPr>
          <w:color w:val="000000" w:themeColor="text1"/>
          <w:spacing w:val="-1"/>
        </w:rPr>
        <w:t xml:space="preserve"> </w:t>
      </w:r>
      <w:r w:rsidRPr="00C54A03">
        <w:rPr>
          <w:color w:val="000000" w:themeColor="text1"/>
        </w:rPr>
        <w:t>alţi</w:t>
      </w:r>
      <w:r w:rsidRPr="00C54A03">
        <w:rPr>
          <w:color w:val="000000" w:themeColor="text1"/>
          <w:spacing w:val="1"/>
        </w:rPr>
        <w:t xml:space="preserve"> </w:t>
      </w:r>
      <w:r w:rsidRPr="00C54A03">
        <w:rPr>
          <w:color w:val="000000" w:themeColor="text1"/>
        </w:rPr>
        <w:t>agenţi).</w:t>
      </w:r>
    </w:p>
    <w:p w14:paraId="60C1793C" w14:textId="77777777" w:rsidR="00E13976" w:rsidRPr="00C54A03" w:rsidRDefault="00E13976" w:rsidP="008E33FD">
      <w:pPr>
        <w:widowControl w:val="0"/>
        <w:autoSpaceDE w:val="0"/>
        <w:autoSpaceDN w:val="0"/>
        <w:ind w:right="114"/>
        <w:jc w:val="both"/>
        <w:rPr>
          <w:color w:val="000000" w:themeColor="text1"/>
        </w:rPr>
      </w:pPr>
      <w:r w:rsidRPr="00C54A03">
        <w:rPr>
          <w:color w:val="000000" w:themeColor="text1"/>
        </w:rPr>
        <w:t>Pe termen lung, modificările climatice pot afecta şi ele direct (prin creşterea temperaturii medii</w:t>
      </w:r>
      <w:r w:rsidRPr="00C54A03">
        <w:rPr>
          <w:color w:val="000000" w:themeColor="text1"/>
          <w:spacing w:val="1"/>
        </w:rPr>
        <w:t xml:space="preserve"> </w:t>
      </w:r>
      <w:r w:rsidRPr="00C54A03">
        <w:rPr>
          <w:color w:val="000000" w:themeColor="text1"/>
        </w:rPr>
        <w:t>anuale) structura floristică şi starea de conservare a acestor habitate. În cazul habitatelor din regiunea</w:t>
      </w:r>
      <w:r w:rsidRPr="00C54A03">
        <w:rPr>
          <w:color w:val="000000" w:themeColor="text1"/>
          <w:spacing w:val="1"/>
        </w:rPr>
        <w:t xml:space="preserve"> </w:t>
      </w:r>
      <w:r w:rsidRPr="00C54A03">
        <w:rPr>
          <w:color w:val="000000" w:themeColor="text1"/>
        </w:rPr>
        <w:t>biogeografică continentală, efectele acestor modificări pot apărea chiar pe termen mediu şi scurt.</w:t>
      </w:r>
      <w:r w:rsidRPr="00C54A03">
        <w:rPr>
          <w:color w:val="000000" w:themeColor="text1"/>
          <w:spacing w:val="1"/>
        </w:rPr>
        <w:t xml:space="preserve"> </w:t>
      </w:r>
      <w:r w:rsidRPr="00C54A03">
        <w:rPr>
          <w:color w:val="000000" w:themeColor="text1"/>
        </w:rPr>
        <w:t>Astfel,</w:t>
      </w:r>
      <w:r w:rsidRPr="00C54A03">
        <w:rPr>
          <w:color w:val="000000" w:themeColor="text1"/>
          <w:spacing w:val="1"/>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monitorizarea</w:t>
      </w:r>
      <w:r w:rsidRPr="00C54A03">
        <w:rPr>
          <w:color w:val="000000" w:themeColor="text1"/>
          <w:spacing w:val="1"/>
        </w:rPr>
        <w:t xml:space="preserve"> </w:t>
      </w:r>
      <w:r w:rsidRPr="00C54A03">
        <w:rPr>
          <w:color w:val="000000" w:themeColor="text1"/>
        </w:rPr>
        <w:t>habitatelor</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turbării</w:t>
      </w:r>
      <w:r w:rsidRPr="00C54A03">
        <w:rPr>
          <w:color w:val="000000" w:themeColor="text1"/>
          <w:spacing w:val="1"/>
        </w:rPr>
        <w:t xml:space="preserve"> </w:t>
      </w:r>
      <w:r w:rsidRPr="00C54A03">
        <w:rPr>
          <w:color w:val="000000" w:themeColor="text1"/>
        </w:rPr>
        <w:t>şi</w:t>
      </w:r>
      <w:r w:rsidRPr="00C54A03">
        <w:rPr>
          <w:color w:val="000000" w:themeColor="text1"/>
          <w:spacing w:val="1"/>
        </w:rPr>
        <w:t xml:space="preserve"> </w:t>
      </w:r>
      <w:r w:rsidRPr="00C54A03">
        <w:rPr>
          <w:color w:val="000000" w:themeColor="text1"/>
        </w:rPr>
        <w:t>mlaștini</w:t>
      </w:r>
      <w:r w:rsidRPr="00C54A03">
        <w:rPr>
          <w:color w:val="000000" w:themeColor="text1"/>
          <w:spacing w:val="1"/>
        </w:rPr>
        <w:t xml:space="preserve"> </w:t>
      </w:r>
      <w:r w:rsidRPr="00C54A03">
        <w:rPr>
          <w:color w:val="000000" w:themeColor="text1"/>
        </w:rPr>
        <w:t>trebuie</w:t>
      </w:r>
      <w:r w:rsidRPr="00C54A03">
        <w:rPr>
          <w:color w:val="000000" w:themeColor="text1"/>
          <w:spacing w:val="1"/>
        </w:rPr>
        <w:t xml:space="preserve"> </w:t>
      </w:r>
      <w:r w:rsidRPr="00C54A03">
        <w:rPr>
          <w:color w:val="000000" w:themeColor="text1"/>
        </w:rPr>
        <w:t>avute</w:t>
      </w:r>
      <w:r w:rsidRPr="00C54A03">
        <w:rPr>
          <w:color w:val="000000" w:themeColor="text1"/>
          <w:spacing w:val="1"/>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vedere</w:t>
      </w:r>
      <w:r w:rsidRPr="00C54A03">
        <w:rPr>
          <w:color w:val="000000" w:themeColor="text1"/>
          <w:spacing w:val="1"/>
        </w:rPr>
        <w:t xml:space="preserve"> </w:t>
      </w:r>
      <w:r w:rsidRPr="00C54A03">
        <w:rPr>
          <w:color w:val="000000" w:themeColor="text1"/>
        </w:rPr>
        <w:t>trei</w:t>
      </w:r>
      <w:r w:rsidRPr="00C54A03">
        <w:rPr>
          <w:color w:val="000000" w:themeColor="text1"/>
          <w:spacing w:val="1"/>
        </w:rPr>
        <w:t xml:space="preserve"> </w:t>
      </w:r>
      <w:r w:rsidRPr="00C54A03">
        <w:rPr>
          <w:color w:val="000000" w:themeColor="text1"/>
        </w:rPr>
        <w:t>aspecte</w:t>
      </w:r>
      <w:r w:rsidRPr="00C54A03">
        <w:rPr>
          <w:color w:val="000000" w:themeColor="text1"/>
          <w:spacing w:val="1"/>
        </w:rPr>
        <w:t xml:space="preserve"> </w:t>
      </w:r>
      <w:r w:rsidRPr="00C54A03">
        <w:rPr>
          <w:color w:val="000000" w:themeColor="text1"/>
        </w:rPr>
        <w:t>principale:</w:t>
      </w:r>
    </w:p>
    <w:p w14:paraId="7954E07D" w14:textId="77777777" w:rsidR="00E13976" w:rsidRPr="00C54A03" w:rsidRDefault="00E13976" w:rsidP="009E63E5">
      <w:pPr>
        <w:widowControl w:val="0"/>
        <w:numPr>
          <w:ilvl w:val="4"/>
          <w:numId w:val="77"/>
        </w:numPr>
        <w:tabs>
          <w:tab w:val="left" w:pos="1074"/>
        </w:tabs>
        <w:autoSpaceDE w:val="0"/>
        <w:autoSpaceDN w:val="0"/>
        <w:ind w:hanging="241"/>
        <w:jc w:val="both"/>
        <w:rPr>
          <w:color w:val="000000" w:themeColor="text1"/>
        </w:rPr>
      </w:pPr>
      <w:r w:rsidRPr="00C54A03">
        <w:rPr>
          <w:color w:val="000000" w:themeColor="text1"/>
        </w:rPr>
        <w:t>sensibilitatea</w:t>
      </w:r>
      <w:r w:rsidRPr="00C54A03">
        <w:rPr>
          <w:color w:val="000000" w:themeColor="text1"/>
          <w:spacing w:val="-3"/>
        </w:rPr>
        <w:t xml:space="preserve"> </w:t>
      </w:r>
      <w:r w:rsidRPr="00C54A03">
        <w:rPr>
          <w:color w:val="000000" w:themeColor="text1"/>
        </w:rPr>
        <w:t>ridicată</w:t>
      </w:r>
      <w:r w:rsidRPr="00C54A03">
        <w:rPr>
          <w:color w:val="000000" w:themeColor="text1"/>
          <w:spacing w:val="-1"/>
        </w:rPr>
        <w:t xml:space="preserve"> </w:t>
      </w:r>
      <w:r w:rsidRPr="00C54A03">
        <w:rPr>
          <w:color w:val="000000" w:themeColor="text1"/>
        </w:rPr>
        <w:t>a</w:t>
      </w:r>
      <w:r w:rsidRPr="00C54A03">
        <w:rPr>
          <w:color w:val="000000" w:themeColor="text1"/>
          <w:spacing w:val="-1"/>
        </w:rPr>
        <w:t xml:space="preserve"> </w:t>
      </w:r>
      <w:r w:rsidRPr="00C54A03">
        <w:rPr>
          <w:color w:val="000000" w:themeColor="text1"/>
        </w:rPr>
        <w:t>acestor</w:t>
      </w:r>
      <w:r w:rsidRPr="00C54A03">
        <w:rPr>
          <w:color w:val="000000" w:themeColor="text1"/>
          <w:spacing w:val="-2"/>
        </w:rPr>
        <w:t xml:space="preserve"> </w:t>
      </w:r>
      <w:r w:rsidRPr="00C54A03">
        <w:rPr>
          <w:color w:val="000000" w:themeColor="text1"/>
        </w:rPr>
        <w:t>habitate faţă</w:t>
      </w:r>
      <w:r w:rsidRPr="00C54A03">
        <w:rPr>
          <w:color w:val="000000" w:themeColor="text1"/>
          <w:spacing w:val="-1"/>
        </w:rPr>
        <w:t xml:space="preserve"> </w:t>
      </w:r>
      <w:r w:rsidRPr="00C54A03">
        <w:rPr>
          <w:color w:val="000000" w:themeColor="text1"/>
        </w:rPr>
        <w:t>de</w:t>
      </w:r>
      <w:r w:rsidRPr="00C54A03">
        <w:rPr>
          <w:color w:val="000000" w:themeColor="text1"/>
          <w:spacing w:val="-2"/>
        </w:rPr>
        <w:t xml:space="preserve"> </w:t>
      </w:r>
      <w:r w:rsidRPr="00C54A03">
        <w:rPr>
          <w:color w:val="000000" w:themeColor="text1"/>
        </w:rPr>
        <w:t>schimbările</w:t>
      </w:r>
      <w:r w:rsidRPr="00C54A03">
        <w:rPr>
          <w:color w:val="000000" w:themeColor="text1"/>
          <w:spacing w:val="-1"/>
        </w:rPr>
        <w:t xml:space="preserve"> </w:t>
      </w:r>
      <w:r w:rsidRPr="00C54A03">
        <w:rPr>
          <w:color w:val="000000" w:themeColor="text1"/>
        </w:rPr>
        <w:t>factorilor</w:t>
      </w:r>
      <w:r w:rsidRPr="00C54A03">
        <w:rPr>
          <w:color w:val="000000" w:themeColor="text1"/>
          <w:spacing w:val="-1"/>
        </w:rPr>
        <w:t xml:space="preserve"> </w:t>
      </w:r>
      <w:r w:rsidRPr="00C54A03">
        <w:rPr>
          <w:color w:val="000000" w:themeColor="text1"/>
        </w:rPr>
        <w:t>de</w:t>
      </w:r>
      <w:r w:rsidRPr="00C54A03">
        <w:rPr>
          <w:color w:val="000000" w:themeColor="text1"/>
          <w:spacing w:val="-2"/>
        </w:rPr>
        <w:t xml:space="preserve"> </w:t>
      </w:r>
      <w:r w:rsidRPr="00C54A03">
        <w:rPr>
          <w:color w:val="000000" w:themeColor="text1"/>
        </w:rPr>
        <w:t>mediu</w:t>
      </w:r>
      <w:r w:rsidRPr="00C54A03">
        <w:rPr>
          <w:color w:val="000000" w:themeColor="text1"/>
          <w:spacing w:val="-1"/>
        </w:rPr>
        <w:t xml:space="preserve"> </w:t>
      </w:r>
      <w:r w:rsidRPr="00C54A03">
        <w:rPr>
          <w:color w:val="000000" w:themeColor="text1"/>
        </w:rPr>
        <w:t>abiotici;</w:t>
      </w:r>
    </w:p>
    <w:p w14:paraId="4835189D" w14:textId="77777777" w:rsidR="000D3090" w:rsidRPr="00C54A03" w:rsidRDefault="00E13976" w:rsidP="009E63E5">
      <w:pPr>
        <w:widowControl w:val="0"/>
        <w:numPr>
          <w:ilvl w:val="4"/>
          <w:numId w:val="77"/>
        </w:numPr>
        <w:tabs>
          <w:tab w:val="left" w:pos="1074"/>
        </w:tabs>
        <w:autoSpaceDE w:val="0"/>
        <w:autoSpaceDN w:val="0"/>
        <w:ind w:hanging="241"/>
        <w:jc w:val="both"/>
        <w:rPr>
          <w:color w:val="000000" w:themeColor="text1"/>
        </w:rPr>
      </w:pPr>
      <w:r w:rsidRPr="00C54A03">
        <w:rPr>
          <w:color w:val="000000" w:themeColor="text1"/>
        </w:rPr>
        <w:t>modificări</w:t>
      </w:r>
      <w:r w:rsidRPr="00C54A03">
        <w:rPr>
          <w:color w:val="000000" w:themeColor="text1"/>
          <w:spacing w:val="-2"/>
        </w:rPr>
        <w:t xml:space="preserve"> </w:t>
      </w:r>
      <w:r w:rsidRPr="00C54A03">
        <w:rPr>
          <w:color w:val="000000" w:themeColor="text1"/>
        </w:rPr>
        <w:t>produse</w:t>
      </w:r>
      <w:r w:rsidRPr="00C54A03">
        <w:rPr>
          <w:color w:val="000000" w:themeColor="text1"/>
          <w:spacing w:val="-2"/>
        </w:rPr>
        <w:t xml:space="preserve"> </w:t>
      </w:r>
      <w:r w:rsidRPr="00C54A03">
        <w:rPr>
          <w:color w:val="000000" w:themeColor="text1"/>
        </w:rPr>
        <w:t>în urma</w:t>
      </w:r>
      <w:r w:rsidRPr="00C54A03">
        <w:rPr>
          <w:color w:val="000000" w:themeColor="text1"/>
          <w:spacing w:val="-1"/>
        </w:rPr>
        <w:t xml:space="preserve"> </w:t>
      </w:r>
      <w:r w:rsidRPr="00C54A03">
        <w:rPr>
          <w:color w:val="000000" w:themeColor="text1"/>
        </w:rPr>
        <w:t>intervenţiilor</w:t>
      </w:r>
      <w:r w:rsidRPr="00C54A03">
        <w:rPr>
          <w:color w:val="000000" w:themeColor="text1"/>
          <w:spacing w:val="-2"/>
        </w:rPr>
        <w:t xml:space="preserve"> </w:t>
      </w:r>
      <w:r w:rsidRPr="00C54A03">
        <w:rPr>
          <w:color w:val="000000" w:themeColor="text1"/>
        </w:rPr>
        <w:t>antropice</w:t>
      </w:r>
      <w:r w:rsidRPr="00C54A03">
        <w:rPr>
          <w:color w:val="000000" w:themeColor="text1"/>
          <w:spacing w:val="-3"/>
        </w:rPr>
        <w:t xml:space="preserve"> </w:t>
      </w:r>
      <w:r w:rsidRPr="00C54A03">
        <w:rPr>
          <w:color w:val="000000" w:themeColor="text1"/>
        </w:rPr>
        <w:t>şi/sau</w:t>
      </w:r>
      <w:r w:rsidRPr="00C54A03">
        <w:rPr>
          <w:color w:val="000000" w:themeColor="text1"/>
          <w:spacing w:val="-2"/>
        </w:rPr>
        <w:t xml:space="preserve"> </w:t>
      </w:r>
      <w:r w:rsidRPr="00C54A03">
        <w:rPr>
          <w:color w:val="000000" w:themeColor="text1"/>
        </w:rPr>
        <w:t>a</w:t>
      </w:r>
      <w:r w:rsidRPr="00C54A03">
        <w:rPr>
          <w:color w:val="000000" w:themeColor="text1"/>
          <w:spacing w:val="-2"/>
        </w:rPr>
        <w:t xml:space="preserve"> </w:t>
      </w:r>
      <w:r w:rsidRPr="00C54A03">
        <w:rPr>
          <w:color w:val="000000" w:themeColor="text1"/>
        </w:rPr>
        <w:t>măsurilor</w:t>
      </w:r>
      <w:r w:rsidRPr="00C54A03">
        <w:rPr>
          <w:color w:val="000000" w:themeColor="text1"/>
          <w:spacing w:val="-2"/>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conservare;</w:t>
      </w:r>
    </w:p>
    <w:p w14:paraId="37FE2CF5" w14:textId="77777777" w:rsidR="00E13976" w:rsidRPr="00C54A03" w:rsidRDefault="00E13976" w:rsidP="009E63E5">
      <w:pPr>
        <w:widowControl w:val="0"/>
        <w:numPr>
          <w:ilvl w:val="4"/>
          <w:numId w:val="77"/>
        </w:numPr>
        <w:tabs>
          <w:tab w:val="left" w:pos="1074"/>
        </w:tabs>
        <w:autoSpaceDE w:val="0"/>
        <w:autoSpaceDN w:val="0"/>
        <w:ind w:hanging="241"/>
        <w:jc w:val="both"/>
        <w:rPr>
          <w:color w:val="000000" w:themeColor="text1"/>
        </w:rPr>
      </w:pPr>
      <w:r w:rsidRPr="00C54A03">
        <w:rPr>
          <w:color w:val="000000" w:themeColor="text1"/>
        </w:rPr>
        <w:t>modificări</w:t>
      </w:r>
      <w:r w:rsidRPr="00C54A03">
        <w:rPr>
          <w:color w:val="000000" w:themeColor="text1"/>
          <w:spacing w:val="1"/>
        </w:rPr>
        <w:t xml:space="preserve"> </w:t>
      </w:r>
      <w:r w:rsidRPr="00C54A03">
        <w:rPr>
          <w:color w:val="000000" w:themeColor="text1"/>
        </w:rPr>
        <w:t>produse</w:t>
      </w:r>
      <w:r w:rsidRPr="00C54A03">
        <w:rPr>
          <w:color w:val="000000" w:themeColor="text1"/>
          <w:spacing w:val="1"/>
        </w:rPr>
        <w:t xml:space="preserve"> </w:t>
      </w:r>
      <w:r w:rsidRPr="00C54A03">
        <w:rPr>
          <w:color w:val="000000" w:themeColor="text1"/>
        </w:rPr>
        <w:t>datorită</w:t>
      </w:r>
      <w:r w:rsidRPr="00C54A03">
        <w:rPr>
          <w:color w:val="000000" w:themeColor="text1"/>
          <w:spacing w:val="1"/>
        </w:rPr>
        <w:t xml:space="preserve"> </w:t>
      </w:r>
      <w:r w:rsidRPr="00C54A03">
        <w:rPr>
          <w:color w:val="000000" w:themeColor="text1"/>
        </w:rPr>
        <w:t>schimbărilor</w:t>
      </w:r>
      <w:r w:rsidRPr="00C54A03">
        <w:rPr>
          <w:color w:val="000000" w:themeColor="text1"/>
          <w:spacing w:val="1"/>
        </w:rPr>
        <w:t xml:space="preserve"> </w:t>
      </w:r>
      <w:r w:rsidRPr="00C54A03">
        <w:rPr>
          <w:color w:val="000000" w:themeColor="text1"/>
        </w:rPr>
        <w:t>naturale:</w:t>
      </w:r>
      <w:r w:rsidRPr="00C54A03">
        <w:rPr>
          <w:color w:val="000000" w:themeColor="text1"/>
          <w:spacing w:val="1"/>
        </w:rPr>
        <w:t xml:space="preserve"> </w:t>
      </w:r>
      <w:r w:rsidRPr="00C54A03">
        <w:rPr>
          <w:color w:val="000000" w:themeColor="text1"/>
        </w:rPr>
        <w:t>dinamice</w:t>
      </w:r>
      <w:r w:rsidRPr="00C54A03">
        <w:rPr>
          <w:color w:val="000000" w:themeColor="text1"/>
          <w:spacing w:val="1"/>
        </w:rPr>
        <w:t xml:space="preserve"> </w:t>
      </w:r>
      <w:r w:rsidRPr="00C54A03">
        <w:rPr>
          <w:color w:val="000000" w:themeColor="text1"/>
        </w:rPr>
        <w:t>şi</w:t>
      </w:r>
      <w:r w:rsidRPr="00C54A03">
        <w:rPr>
          <w:color w:val="000000" w:themeColor="text1"/>
          <w:spacing w:val="1"/>
        </w:rPr>
        <w:t xml:space="preserve"> </w:t>
      </w:r>
      <w:r w:rsidRPr="00C54A03">
        <w:rPr>
          <w:color w:val="000000" w:themeColor="text1"/>
        </w:rPr>
        <w:t>succesionale</w:t>
      </w:r>
      <w:r w:rsidRPr="00C54A03">
        <w:rPr>
          <w:color w:val="000000" w:themeColor="text1"/>
          <w:spacing w:val="1"/>
        </w:rPr>
        <w:t xml:space="preserve"> </w:t>
      </w:r>
      <w:r w:rsidRPr="00C54A03">
        <w:rPr>
          <w:color w:val="000000" w:themeColor="text1"/>
        </w:rPr>
        <w:t>ale</w:t>
      </w:r>
      <w:r w:rsidRPr="00C54A03">
        <w:rPr>
          <w:color w:val="000000" w:themeColor="text1"/>
          <w:spacing w:val="1"/>
        </w:rPr>
        <w:t xml:space="preserve"> </w:t>
      </w:r>
      <w:r w:rsidRPr="00C54A03">
        <w:rPr>
          <w:color w:val="000000" w:themeColor="text1"/>
        </w:rPr>
        <w:t>comunităţilor</w:t>
      </w:r>
      <w:r w:rsidRPr="00C54A03">
        <w:rPr>
          <w:color w:val="000000" w:themeColor="text1"/>
          <w:spacing w:val="-2"/>
        </w:rPr>
        <w:t xml:space="preserve"> </w:t>
      </w:r>
      <w:r w:rsidRPr="00C54A03">
        <w:rPr>
          <w:color w:val="000000" w:themeColor="text1"/>
        </w:rPr>
        <w:t>vegetale.</w:t>
      </w:r>
    </w:p>
    <w:p w14:paraId="2D0F7864" w14:textId="77777777" w:rsidR="00E13976" w:rsidRPr="00C56257" w:rsidRDefault="00E13976" w:rsidP="008E33FD">
      <w:pPr>
        <w:widowControl w:val="0"/>
        <w:autoSpaceDE w:val="0"/>
        <w:autoSpaceDN w:val="0"/>
        <w:ind w:right="113"/>
        <w:jc w:val="both"/>
        <w:rPr>
          <w:color w:val="000000" w:themeColor="text1"/>
        </w:rPr>
      </w:pPr>
      <w:r w:rsidRPr="00C54A03">
        <w:rPr>
          <w:color w:val="000000" w:themeColor="text1"/>
        </w:rPr>
        <w:t>În</w:t>
      </w:r>
      <w:r w:rsidRPr="00C54A03">
        <w:rPr>
          <w:color w:val="000000" w:themeColor="text1"/>
          <w:spacing w:val="1"/>
        </w:rPr>
        <w:t xml:space="preserve"> </w:t>
      </w:r>
      <w:r w:rsidRPr="00C54A03">
        <w:rPr>
          <w:color w:val="000000" w:themeColor="text1"/>
        </w:rPr>
        <w:t>elaborarea metodologiei de monitorizare se vor stabili şi</w:t>
      </w:r>
      <w:r w:rsidRPr="00C54A03">
        <w:rPr>
          <w:color w:val="000000" w:themeColor="text1"/>
          <w:spacing w:val="1"/>
        </w:rPr>
        <w:t xml:space="preserve"> </w:t>
      </w:r>
      <w:r w:rsidRPr="00C54A03">
        <w:rPr>
          <w:color w:val="000000" w:themeColor="text1"/>
        </w:rPr>
        <w:t>analiza factorii de mediu limitativi</w:t>
      </w:r>
      <w:r w:rsidRPr="00C54A03">
        <w:rPr>
          <w:color w:val="000000" w:themeColor="text1"/>
          <w:spacing w:val="1"/>
        </w:rPr>
        <w:t xml:space="preserve"> </w:t>
      </w:r>
      <w:r w:rsidRPr="00C54A03">
        <w:rPr>
          <w:color w:val="000000" w:themeColor="text1"/>
        </w:rPr>
        <w:t>specifici pentru fiecare tip de habitat şi informaţiile existente cu privire la valorile acestora. Dat fiind</w:t>
      </w:r>
      <w:r w:rsidRPr="00C54A03">
        <w:rPr>
          <w:color w:val="000000" w:themeColor="text1"/>
          <w:spacing w:val="1"/>
        </w:rPr>
        <w:t xml:space="preserve"> </w:t>
      </w:r>
      <w:r w:rsidRPr="00C54A03">
        <w:rPr>
          <w:color w:val="000000" w:themeColor="text1"/>
        </w:rPr>
        <w:t>faptul că, aceste habitate ocupă suprafeţe relativ restrânse şi considerând sensibilitatea lor, se propune</w:t>
      </w:r>
      <w:r w:rsidRPr="00C54A03">
        <w:rPr>
          <w:color w:val="000000" w:themeColor="text1"/>
          <w:spacing w:val="-57"/>
        </w:rPr>
        <w:t xml:space="preserve"> </w:t>
      </w:r>
      <w:r w:rsidRPr="00C54A03">
        <w:rPr>
          <w:color w:val="000000" w:themeColor="text1"/>
        </w:rPr>
        <w:t xml:space="preserve">monitorizarea </w:t>
      </w:r>
      <w:r w:rsidRPr="00C54A03">
        <w:rPr>
          <w:color w:val="000000" w:themeColor="text1"/>
        </w:rPr>
        <w:lastRenderedPageBreak/>
        <w:t>habitatelor de turbării şi mlaştini atât la scară naţională (scară largă), cât şi la o scară</w:t>
      </w:r>
      <w:r w:rsidRPr="00C54A03">
        <w:rPr>
          <w:color w:val="000000" w:themeColor="text1"/>
          <w:spacing w:val="1"/>
        </w:rPr>
        <w:t xml:space="preserve"> </w:t>
      </w:r>
      <w:r w:rsidRPr="00C54A03">
        <w:rPr>
          <w:color w:val="000000" w:themeColor="text1"/>
        </w:rPr>
        <w:t>restrânsă (scară locală,</w:t>
      </w:r>
      <w:r w:rsidRPr="00C56257">
        <w:rPr>
          <w:color w:val="000000" w:themeColor="text1"/>
        </w:rPr>
        <w:t xml:space="preserve"> monitorizare în detaliu). Prezenta metodologie se bazează pe setul de atribute</w:t>
      </w:r>
      <w:r w:rsidRPr="00C56257">
        <w:rPr>
          <w:color w:val="000000" w:themeColor="text1"/>
          <w:spacing w:val="1"/>
        </w:rPr>
        <w:t xml:space="preserve"> </w:t>
      </w:r>
      <w:r w:rsidRPr="00C56257">
        <w:rPr>
          <w:color w:val="000000" w:themeColor="text1"/>
        </w:rPr>
        <w:t>și intervale propuse de Mountford et al., 2008 (Natura 2000 in Romania. Habitat Fact Sheets) și ia în</w:t>
      </w:r>
      <w:r w:rsidRPr="00C56257">
        <w:rPr>
          <w:color w:val="000000" w:themeColor="text1"/>
          <w:spacing w:val="1"/>
        </w:rPr>
        <w:t xml:space="preserve"> </w:t>
      </w:r>
      <w:r w:rsidRPr="00C56257">
        <w:rPr>
          <w:color w:val="000000" w:themeColor="text1"/>
        </w:rPr>
        <w:t>considerare</w:t>
      </w:r>
      <w:r w:rsidRPr="00C56257">
        <w:rPr>
          <w:color w:val="000000" w:themeColor="text1"/>
          <w:spacing w:val="-2"/>
        </w:rPr>
        <w:t xml:space="preserve"> </w:t>
      </w:r>
      <w:r w:rsidRPr="00C56257">
        <w:rPr>
          <w:color w:val="000000" w:themeColor="text1"/>
        </w:rPr>
        <w:t>parametrii propuşi de</w:t>
      </w:r>
      <w:r w:rsidRPr="00C56257">
        <w:rPr>
          <w:color w:val="000000" w:themeColor="text1"/>
          <w:spacing w:val="-1"/>
        </w:rPr>
        <w:t xml:space="preserve"> </w:t>
      </w:r>
      <w:r w:rsidRPr="00C56257">
        <w:rPr>
          <w:color w:val="000000" w:themeColor="text1"/>
        </w:rPr>
        <w:t>sistemele naționale de</w:t>
      </w:r>
      <w:r w:rsidRPr="00C56257">
        <w:rPr>
          <w:color w:val="000000" w:themeColor="text1"/>
          <w:spacing w:val="-2"/>
        </w:rPr>
        <w:t xml:space="preserve"> </w:t>
      </w:r>
      <w:r w:rsidRPr="00C56257">
        <w:rPr>
          <w:color w:val="000000" w:themeColor="text1"/>
        </w:rPr>
        <w:t>monitorizare.</w:t>
      </w:r>
    </w:p>
    <w:p w14:paraId="458A4F72" w14:textId="77777777" w:rsidR="00E13976" w:rsidRPr="00C56257" w:rsidRDefault="00E13976" w:rsidP="00082644">
      <w:pPr>
        <w:widowControl w:val="0"/>
        <w:autoSpaceDE w:val="0"/>
        <w:autoSpaceDN w:val="0"/>
        <w:ind w:right="14"/>
        <w:jc w:val="both"/>
        <w:rPr>
          <w:color w:val="000000" w:themeColor="text1"/>
        </w:rPr>
      </w:pPr>
      <w:r w:rsidRPr="00C56257">
        <w:rPr>
          <w:color w:val="000000" w:themeColor="text1"/>
        </w:rPr>
        <w:t>Habitatele de mlaștini şi turbării ocupă în general suprafaţe restrânse, ceea ce trebuie avut în vedere</w:t>
      </w:r>
      <w:r w:rsidRPr="00C56257">
        <w:rPr>
          <w:color w:val="000000" w:themeColor="text1"/>
          <w:spacing w:val="1"/>
        </w:rPr>
        <w:t xml:space="preserve"> </w:t>
      </w:r>
      <w:r w:rsidRPr="00C56257">
        <w:rPr>
          <w:color w:val="000000" w:themeColor="text1"/>
        </w:rPr>
        <w:t>la eşantionare. Pentru habitatele cu multe puncte de ocurenţă şi prezente pe suprafeţe extinse (ex.</w:t>
      </w:r>
      <w:r w:rsidRPr="00C56257">
        <w:rPr>
          <w:color w:val="000000" w:themeColor="text1"/>
          <w:spacing w:val="1"/>
        </w:rPr>
        <w:t xml:space="preserve"> </w:t>
      </w:r>
      <w:r w:rsidRPr="00C56257">
        <w:rPr>
          <w:color w:val="000000" w:themeColor="text1"/>
        </w:rPr>
        <w:t>habitatul</w:t>
      </w:r>
      <w:r w:rsidRPr="00C56257">
        <w:rPr>
          <w:color w:val="000000" w:themeColor="text1"/>
          <w:spacing w:val="1"/>
        </w:rPr>
        <w:t xml:space="preserve"> </w:t>
      </w:r>
      <w:r w:rsidRPr="00C56257">
        <w:rPr>
          <w:color w:val="000000" w:themeColor="text1"/>
        </w:rPr>
        <w:t>7110*), se propune întocmirea unor liste de specii</w:t>
      </w:r>
      <w:r w:rsidRPr="00C56257">
        <w:rPr>
          <w:color w:val="000000" w:themeColor="text1"/>
          <w:spacing w:val="1"/>
        </w:rPr>
        <w:t xml:space="preserve"> </w:t>
      </w:r>
      <w:r w:rsidRPr="00C56257">
        <w:rPr>
          <w:color w:val="000000" w:themeColor="text1"/>
        </w:rPr>
        <w:t>cât mai complete pentru întreaga</w:t>
      </w:r>
      <w:r w:rsidRPr="00C56257">
        <w:rPr>
          <w:color w:val="000000" w:themeColor="text1"/>
          <w:spacing w:val="1"/>
        </w:rPr>
        <w:t xml:space="preserve"> </w:t>
      </w:r>
      <w:r w:rsidRPr="00C56257">
        <w:rPr>
          <w:color w:val="000000" w:themeColor="text1"/>
        </w:rPr>
        <w:t>suprafaţă a habitatului, urmărind prezenţa/absenţa speciilor caracteristice. Lista de specii, grupele şi</w:t>
      </w:r>
      <w:r w:rsidRPr="00C56257">
        <w:rPr>
          <w:color w:val="000000" w:themeColor="text1"/>
          <w:spacing w:val="1"/>
        </w:rPr>
        <w:t xml:space="preserve"> </w:t>
      </w:r>
      <w:r w:rsidRPr="00C56257">
        <w:rPr>
          <w:color w:val="000000" w:themeColor="text1"/>
        </w:rPr>
        <w:t>parametrii speciali din fişa de teren se întocmesc prin evaluarea habitatului pe un itinerar format din</w:t>
      </w:r>
      <w:r w:rsidRPr="00C56257">
        <w:rPr>
          <w:color w:val="000000" w:themeColor="text1"/>
          <w:spacing w:val="-57"/>
        </w:rPr>
        <w:t xml:space="preserve"> </w:t>
      </w:r>
      <w:r w:rsidRPr="00C56257">
        <w:rPr>
          <w:color w:val="000000" w:themeColor="text1"/>
        </w:rPr>
        <w:t>minim</w:t>
      </w:r>
      <w:r w:rsidRPr="00C56257">
        <w:rPr>
          <w:color w:val="000000" w:themeColor="text1"/>
          <w:spacing w:val="-1"/>
        </w:rPr>
        <w:t xml:space="preserve"> </w:t>
      </w:r>
      <w:r w:rsidRPr="00C56257">
        <w:rPr>
          <w:color w:val="000000" w:themeColor="text1"/>
        </w:rPr>
        <w:t>2 transecte.</w:t>
      </w:r>
    </w:p>
    <w:p w14:paraId="6616AE51" w14:textId="77777777" w:rsidR="00E13976" w:rsidRPr="00C56257" w:rsidRDefault="00E13976" w:rsidP="00082644">
      <w:pPr>
        <w:widowControl w:val="0"/>
        <w:autoSpaceDE w:val="0"/>
        <w:autoSpaceDN w:val="0"/>
        <w:spacing w:before="1"/>
        <w:ind w:right="14"/>
        <w:jc w:val="both"/>
        <w:rPr>
          <w:color w:val="000000" w:themeColor="text1"/>
        </w:rPr>
      </w:pPr>
      <w:r w:rsidRPr="00C56257">
        <w:rPr>
          <w:color w:val="000000" w:themeColor="text1"/>
        </w:rPr>
        <w:t>Pentru habitatele cu ocurenţe puţine sau deosebit de rare şi pe suprafeţe restrânse (habitatele 7120,</w:t>
      </w:r>
      <w:r w:rsidRPr="00C56257">
        <w:rPr>
          <w:color w:val="000000" w:themeColor="text1"/>
          <w:spacing w:val="1"/>
        </w:rPr>
        <w:t xml:space="preserve"> </w:t>
      </w:r>
      <w:r w:rsidRPr="00C56257">
        <w:rPr>
          <w:color w:val="000000" w:themeColor="text1"/>
        </w:rPr>
        <w:t>7220*, 7240*), se va realiza o hartă detaliată cu limitele fiecărui habitat şi o serie de minim 6 relevee</w:t>
      </w:r>
      <w:r w:rsidRPr="00C56257">
        <w:rPr>
          <w:color w:val="000000" w:themeColor="text1"/>
          <w:spacing w:val="1"/>
        </w:rPr>
        <w:t xml:space="preserve"> </w:t>
      </w:r>
      <w:r w:rsidRPr="00C56257">
        <w:rPr>
          <w:color w:val="000000" w:themeColor="text1"/>
        </w:rPr>
        <w:t>fitosociologice în zonele cu vegetaţie omogenă a habitatului. Pentru obţinerea suprafeţelor exacte se</w:t>
      </w:r>
      <w:r w:rsidRPr="00C56257">
        <w:rPr>
          <w:color w:val="000000" w:themeColor="text1"/>
          <w:spacing w:val="1"/>
        </w:rPr>
        <w:t xml:space="preserve"> </w:t>
      </w:r>
      <w:r w:rsidRPr="00C56257">
        <w:rPr>
          <w:color w:val="000000" w:themeColor="text1"/>
        </w:rPr>
        <w:t>vor carta microarealele habitatelor pe teren cu ajutorul GPS-ului, în fiecare punct inclus în schema de</w:t>
      </w:r>
      <w:r w:rsidRPr="00C56257">
        <w:rPr>
          <w:color w:val="000000" w:themeColor="text1"/>
          <w:spacing w:val="-57"/>
        </w:rPr>
        <w:t xml:space="preserve"> </w:t>
      </w:r>
      <w:r w:rsidRPr="00C56257">
        <w:rPr>
          <w:color w:val="000000" w:themeColor="text1"/>
        </w:rPr>
        <w:t>monitorizare, cel puţin o dată într-o perioadă de raportare. Aceasta poate fi completată cu conturarea</w:t>
      </w:r>
      <w:r w:rsidRPr="00C56257">
        <w:rPr>
          <w:color w:val="000000" w:themeColor="text1"/>
          <w:spacing w:val="1"/>
        </w:rPr>
        <w:t xml:space="preserve"> </w:t>
      </w:r>
      <w:r w:rsidRPr="00C56257">
        <w:rPr>
          <w:color w:val="000000" w:themeColor="text1"/>
        </w:rPr>
        <w:t>microhabitatului</w:t>
      </w:r>
      <w:r w:rsidRPr="00C56257">
        <w:rPr>
          <w:color w:val="000000" w:themeColor="text1"/>
          <w:spacing w:val="-1"/>
        </w:rPr>
        <w:t xml:space="preserve"> </w:t>
      </w:r>
      <w:r w:rsidRPr="00C56257">
        <w:rPr>
          <w:color w:val="000000" w:themeColor="text1"/>
        </w:rPr>
        <w:t>pe baza</w:t>
      </w:r>
      <w:r w:rsidRPr="00C56257">
        <w:rPr>
          <w:color w:val="000000" w:themeColor="text1"/>
          <w:spacing w:val="1"/>
        </w:rPr>
        <w:t xml:space="preserve"> </w:t>
      </w:r>
      <w:r w:rsidRPr="00C56257">
        <w:rPr>
          <w:color w:val="000000" w:themeColor="text1"/>
        </w:rPr>
        <w:t>coordonatelor GPS</w:t>
      </w:r>
      <w:r w:rsidRPr="00C56257">
        <w:rPr>
          <w:color w:val="000000" w:themeColor="text1"/>
          <w:spacing w:val="1"/>
        </w:rPr>
        <w:t xml:space="preserve"> </w:t>
      </w:r>
      <w:r w:rsidRPr="00C56257">
        <w:rPr>
          <w:color w:val="000000" w:themeColor="text1"/>
        </w:rPr>
        <w:t>şi</w:t>
      </w:r>
      <w:r w:rsidRPr="00C56257">
        <w:rPr>
          <w:color w:val="000000" w:themeColor="text1"/>
          <w:spacing w:val="-1"/>
        </w:rPr>
        <w:t xml:space="preserve"> </w:t>
      </w:r>
      <w:r w:rsidRPr="00C56257">
        <w:rPr>
          <w:color w:val="000000" w:themeColor="text1"/>
        </w:rPr>
        <w:t>a seturilor</w:t>
      </w:r>
      <w:r w:rsidRPr="00C56257">
        <w:rPr>
          <w:color w:val="000000" w:themeColor="text1"/>
          <w:spacing w:val="-1"/>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ortofotograme.</w:t>
      </w:r>
    </w:p>
    <w:p w14:paraId="0F2A3478" w14:textId="77777777" w:rsidR="00E13976" w:rsidRPr="00C56257" w:rsidRDefault="00E13976" w:rsidP="00082644">
      <w:pPr>
        <w:widowControl w:val="0"/>
        <w:autoSpaceDE w:val="0"/>
        <w:autoSpaceDN w:val="0"/>
        <w:ind w:right="14"/>
        <w:jc w:val="both"/>
        <w:rPr>
          <w:color w:val="000000" w:themeColor="text1"/>
        </w:rPr>
      </w:pPr>
      <w:r w:rsidRPr="00C56257">
        <w:rPr>
          <w:color w:val="000000" w:themeColor="text1"/>
        </w:rPr>
        <w:t>În România, habitatele de mlaștini și turbării sunt răspândite în aria Carpaților, la altitudine joasă,</w:t>
      </w:r>
      <w:r w:rsidRPr="00C56257">
        <w:rPr>
          <w:color w:val="000000" w:themeColor="text1"/>
          <w:spacing w:val="1"/>
        </w:rPr>
        <w:t xml:space="preserve"> </w:t>
      </w:r>
      <w:r w:rsidRPr="00C56257">
        <w:rPr>
          <w:color w:val="000000" w:themeColor="text1"/>
        </w:rPr>
        <w:t>predominant</w:t>
      </w:r>
      <w:r w:rsidRPr="00C56257">
        <w:rPr>
          <w:color w:val="000000" w:themeColor="text1"/>
          <w:spacing w:val="-1"/>
        </w:rPr>
        <w:t xml:space="preserve"> </w:t>
      </w:r>
      <w:r w:rsidRPr="00C56257">
        <w:rPr>
          <w:color w:val="000000" w:themeColor="text1"/>
        </w:rPr>
        <w:t>în depresiunile</w:t>
      </w:r>
      <w:r w:rsidRPr="00C56257">
        <w:rPr>
          <w:color w:val="000000" w:themeColor="text1"/>
          <w:spacing w:val="-1"/>
        </w:rPr>
        <w:t xml:space="preserve"> </w:t>
      </w:r>
      <w:r w:rsidRPr="00C56257">
        <w:rPr>
          <w:color w:val="000000" w:themeColor="text1"/>
        </w:rPr>
        <w:t>intramontane.</w:t>
      </w:r>
    </w:p>
    <w:p w14:paraId="612B874E" w14:textId="77777777" w:rsidR="00E13976" w:rsidRPr="00C56257" w:rsidRDefault="00E13976" w:rsidP="008E33FD">
      <w:pPr>
        <w:widowControl w:val="0"/>
        <w:autoSpaceDE w:val="0"/>
        <w:autoSpaceDN w:val="0"/>
        <w:spacing w:before="7"/>
        <w:jc w:val="both"/>
        <w:rPr>
          <w:color w:val="000000" w:themeColor="text1"/>
        </w:rPr>
      </w:pPr>
    </w:p>
    <w:p w14:paraId="5DF29F83" w14:textId="77777777" w:rsidR="00E13976" w:rsidRPr="00C54A03" w:rsidRDefault="00E13976" w:rsidP="008E33FD">
      <w:pPr>
        <w:widowControl w:val="0"/>
        <w:tabs>
          <w:tab w:val="left" w:pos="1191"/>
        </w:tabs>
        <w:autoSpaceDE w:val="0"/>
        <w:autoSpaceDN w:val="0"/>
        <w:jc w:val="both"/>
        <w:outlineLvl w:val="1"/>
        <w:rPr>
          <w:rFonts w:eastAsia="Cambria"/>
          <w:b/>
          <w:bCs/>
          <w:color w:val="000000" w:themeColor="text1"/>
        </w:rPr>
      </w:pPr>
      <w:r w:rsidRPr="00C54A03">
        <w:rPr>
          <w:rFonts w:eastAsia="Cambria"/>
          <w:b/>
          <w:bCs/>
          <w:color w:val="000000" w:themeColor="text1"/>
        </w:rPr>
        <w:t>Măsuri</w:t>
      </w:r>
      <w:r w:rsidRPr="00C54A03">
        <w:rPr>
          <w:rFonts w:eastAsia="Cambria"/>
          <w:b/>
          <w:bCs/>
          <w:color w:val="000000" w:themeColor="text1"/>
          <w:spacing w:val="-4"/>
        </w:rPr>
        <w:t xml:space="preserve"> </w:t>
      </w:r>
      <w:r w:rsidRPr="00C54A03">
        <w:rPr>
          <w:rFonts w:eastAsia="Cambria"/>
          <w:b/>
          <w:bCs/>
          <w:color w:val="000000" w:themeColor="text1"/>
        </w:rPr>
        <w:t>de</w:t>
      </w:r>
      <w:r w:rsidRPr="00C54A03">
        <w:rPr>
          <w:rFonts w:eastAsia="Cambria"/>
          <w:b/>
          <w:bCs/>
          <w:color w:val="000000" w:themeColor="text1"/>
          <w:spacing w:val="-2"/>
        </w:rPr>
        <w:t xml:space="preserve"> </w:t>
      </w:r>
      <w:r w:rsidRPr="00C54A03">
        <w:rPr>
          <w:rFonts w:eastAsia="Cambria"/>
          <w:b/>
          <w:bCs/>
          <w:color w:val="000000" w:themeColor="text1"/>
        </w:rPr>
        <w:t>conservare</w:t>
      </w:r>
    </w:p>
    <w:p w14:paraId="3FDE5F2C" w14:textId="77777777" w:rsidR="00E13976" w:rsidRPr="00C54A03" w:rsidRDefault="00E13976" w:rsidP="008E33FD">
      <w:pPr>
        <w:widowControl w:val="0"/>
        <w:autoSpaceDE w:val="0"/>
        <w:autoSpaceDN w:val="0"/>
        <w:spacing w:before="157" w:line="276" w:lineRule="auto"/>
        <w:ind w:right="254"/>
        <w:jc w:val="both"/>
        <w:rPr>
          <w:color w:val="000000" w:themeColor="text1"/>
        </w:rPr>
      </w:pPr>
      <w:r w:rsidRPr="00C54A03">
        <w:rPr>
          <w:color w:val="000000" w:themeColor="text1"/>
        </w:rPr>
        <w:t>Se</w:t>
      </w:r>
      <w:r w:rsidRPr="00C54A03">
        <w:rPr>
          <w:color w:val="000000" w:themeColor="text1"/>
          <w:spacing w:val="1"/>
        </w:rPr>
        <w:t xml:space="preserve"> </w:t>
      </w:r>
      <w:r w:rsidRPr="00C54A03">
        <w:rPr>
          <w:color w:val="000000" w:themeColor="text1"/>
        </w:rPr>
        <w:t>vor</w:t>
      </w:r>
      <w:r w:rsidRPr="00C54A03">
        <w:rPr>
          <w:color w:val="000000" w:themeColor="text1"/>
          <w:spacing w:val="1"/>
        </w:rPr>
        <w:t xml:space="preserve"> </w:t>
      </w:r>
      <w:r w:rsidRPr="00C54A03">
        <w:rPr>
          <w:color w:val="000000" w:themeColor="text1"/>
        </w:rPr>
        <w:t>lista</w:t>
      </w:r>
      <w:r w:rsidRPr="00C54A03">
        <w:rPr>
          <w:color w:val="000000" w:themeColor="text1"/>
          <w:spacing w:val="1"/>
        </w:rPr>
        <w:t xml:space="preserve"> </w:t>
      </w:r>
      <w:r w:rsidRPr="00C54A03">
        <w:rPr>
          <w:color w:val="000000" w:themeColor="text1"/>
        </w:rPr>
        <w:t>maximum</w:t>
      </w:r>
      <w:r w:rsidRPr="00C54A03">
        <w:rPr>
          <w:color w:val="000000" w:themeColor="text1"/>
          <w:spacing w:val="1"/>
        </w:rPr>
        <w:t xml:space="preserve"> </w:t>
      </w:r>
      <w:r w:rsidRPr="00C54A03">
        <w:rPr>
          <w:color w:val="000000" w:themeColor="text1"/>
        </w:rPr>
        <w:t>10</w:t>
      </w:r>
      <w:r w:rsidRPr="00C54A03">
        <w:rPr>
          <w:color w:val="000000" w:themeColor="text1"/>
          <w:spacing w:val="1"/>
        </w:rPr>
        <w:t xml:space="preserve"> </w:t>
      </w:r>
      <w:r w:rsidRPr="00C54A03">
        <w:rPr>
          <w:color w:val="000000" w:themeColor="text1"/>
        </w:rPr>
        <w:t>măsuri</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conservare</w:t>
      </w:r>
      <w:r w:rsidRPr="00C54A03">
        <w:rPr>
          <w:color w:val="000000" w:themeColor="text1"/>
          <w:spacing w:val="1"/>
        </w:rPr>
        <w:t xml:space="preserve"> </w:t>
      </w:r>
      <w:r w:rsidRPr="00C54A03">
        <w:rPr>
          <w:color w:val="000000" w:themeColor="text1"/>
        </w:rPr>
        <w:t>și</w:t>
      </w:r>
      <w:r w:rsidRPr="00C54A03">
        <w:rPr>
          <w:color w:val="000000" w:themeColor="text1"/>
          <w:spacing w:val="1"/>
        </w:rPr>
        <w:t xml:space="preserve"> </w:t>
      </w:r>
      <w:r w:rsidRPr="00C54A03">
        <w:rPr>
          <w:color w:val="000000" w:themeColor="text1"/>
        </w:rPr>
        <w:t>măsurile</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conservare</w:t>
      </w:r>
      <w:r w:rsidRPr="00C54A03">
        <w:rPr>
          <w:color w:val="000000" w:themeColor="text1"/>
          <w:spacing w:val="1"/>
        </w:rPr>
        <w:t xml:space="preserve"> </w:t>
      </w:r>
      <w:r w:rsidRPr="00C54A03">
        <w:rPr>
          <w:color w:val="000000" w:themeColor="text1"/>
        </w:rPr>
        <w:t>implementate,</w:t>
      </w:r>
      <w:r w:rsidRPr="00C54A03">
        <w:rPr>
          <w:color w:val="000000" w:themeColor="text1"/>
          <w:spacing w:val="1"/>
        </w:rPr>
        <w:t xml:space="preserve"> </w:t>
      </w:r>
      <w:r w:rsidRPr="00C54A03">
        <w:rPr>
          <w:color w:val="000000" w:themeColor="text1"/>
        </w:rPr>
        <w:t>recomandabil cele menționate în planurile de management ale siturilor Natura 2000. Lista măsurilor</w:t>
      </w:r>
      <w:r w:rsidRPr="00C54A03">
        <w:rPr>
          <w:color w:val="000000" w:themeColor="text1"/>
          <w:spacing w:val="-57"/>
        </w:rPr>
        <w:t xml:space="preserve"> </w:t>
      </w:r>
      <w:r w:rsidRPr="00C54A03">
        <w:rPr>
          <w:color w:val="000000" w:themeColor="text1"/>
        </w:rPr>
        <w:t>de</w:t>
      </w:r>
      <w:r w:rsidRPr="00C54A03">
        <w:rPr>
          <w:color w:val="000000" w:themeColor="text1"/>
          <w:spacing w:val="-2"/>
        </w:rPr>
        <w:t xml:space="preserve"> </w:t>
      </w:r>
      <w:r w:rsidRPr="00C54A03">
        <w:rPr>
          <w:color w:val="000000" w:themeColor="text1"/>
        </w:rPr>
        <w:t>conservare</w:t>
      </w:r>
      <w:r w:rsidRPr="00C54A03">
        <w:rPr>
          <w:color w:val="000000" w:themeColor="text1"/>
          <w:spacing w:val="-2"/>
        </w:rPr>
        <w:t xml:space="preserve"> </w:t>
      </w:r>
      <w:r w:rsidRPr="00C54A03">
        <w:rPr>
          <w:color w:val="000000" w:themeColor="text1"/>
        </w:rPr>
        <w:t>se</w:t>
      </w:r>
      <w:r w:rsidRPr="00C54A03">
        <w:rPr>
          <w:color w:val="000000" w:themeColor="text1"/>
          <w:spacing w:val="-2"/>
        </w:rPr>
        <w:t xml:space="preserve"> </w:t>
      </w:r>
      <w:r w:rsidRPr="00C54A03">
        <w:rPr>
          <w:color w:val="000000" w:themeColor="text1"/>
        </w:rPr>
        <w:t>regăsește</w:t>
      </w:r>
      <w:r w:rsidRPr="00C54A03">
        <w:rPr>
          <w:color w:val="000000" w:themeColor="text1"/>
          <w:spacing w:val="-1"/>
        </w:rPr>
        <w:t xml:space="preserve"> </w:t>
      </w:r>
      <w:r w:rsidRPr="00C54A03">
        <w:rPr>
          <w:color w:val="000000" w:themeColor="text1"/>
        </w:rPr>
        <w:t>pe</w:t>
      </w:r>
      <w:r w:rsidRPr="00C54A03">
        <w:rPr>
          <w:color w:val="000000" w:themeColor="text1"/>
          <w:spacing w:val="-1"/>
        </w:rPr>
        <w:t xml:space="preserve"> </w:t>
      </w:r>
      <w:r w:rsidRPr="00C54A03">
        <w:rPr>
          <w:color w:val="000000" w:themeColor="text1"/>
        </w:rPr>
        <w:t>portalul</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raportare al</w:t>
      </w:r>
      <w:r w:rsidRPr="00C54A03">
        <w:rPr>
          <w:color w:val="000000" w:themeColor="text1"/>
          <w:spacing w:val="-1"/>
        </w:rPr>
        <w:t xml:space="preserve"> </w:t>
      </w:r>
      <w:r w:rsidRPr="00C54A03">
        <w:rPr>
          <w:color w:val="000000" w:themeColor="text1"/>
        </w:rPr>
        <w:t>CE și</w:t>
      </w:r>
      <w:r w:rsidRPr="00C54A03">
        <w:rPr>
          <w:color w:val="000000" w:themeColor="text1"/>
          <w:spacing w:val="-1"/>
        </w:rPr>
        <w:t xml:space="preserve"> </w:t>
      </w:r>
      <w:r w:rsidR="00C350FB" w:rsidRPr="00C54A03">
        <w:rPr>
          <w:color w:val="000000" w:themeColor="text1"/>
        </w:rPr>
        <w:t xml:space="preserve">la secțiunea </w:t>
      </w:r>
      <w:r w:rsidR="00484EEE" w:rsidRPr="00C54A03">
        <w:rPr>
          <w:color w:val="000000" w:themeColor="text1"/>
        </w:rPr>
        <w:t>6.5</w:t>
      </w:r>
      <w:r w:rsidR="00C350FB" w:rsidRPr="00C54A03">
        <w:rPr>
          <w:color w:val="000000" w:themeColor="text1"/>
        </w:rPr>
        <w:t xml:space="preserve"> din prezentul </w:t>
      </w:r>
      <w:r w:rsidRPr="00C54A03">
        <w:rPr>
          <w:color w:val="000000" w:themeColor="text1"/>
        </w:rPr>
        <w:t>document.</w:t>
      </w:r>
    </w:p>
    <w:p w14:paraId="50F5FB1E" w14:textId="77777777" w:rsidR="00E13976" w:rsidRPr="00C54A03" w:rsidRDefault="00E13976" w:rsidP="008E33FD">
      <w:pPr>
        <w:widowControl w:val="0"/>
        <w:autoSpaceDE w:val="0"/>
        <w:autoSpaceDN w:val="0"/>
        <w:spacing w:before="11"/>
        <w:jc w:val="both"/>
        <w:rPr>
          <w:color w:val="000000" w:themeColor="text1"/>
        </w:rPr>
      </w:pPr>
    </w:p>
    <w:p w14:paraId="07AF8977" w14:textId="77777777" w:rsidR="00E13976" w:rsidRPr="00C54A03" w:rsidRDefault="00E13976" w:rsidP="008E33FD">
      <w:pPr>
        <w:widowControl w:val="0"/>
        <w:tabs>
          <w:tab w:val="left" w:pos="1191"/>
        </w:tabs>
        <w:autoSpaceDE w:val="0"/>
        <w:autoSpaceDN w:val="0"/>
        <w:jc w:val="both"/>
        <w:outlineLvl w:val="1"/>
        <w:rPr>
          <w:rFonts w:eastAsia="Cambria"/>
          <w:b/>
          <w:bCs/>
          <w:color w:val="000000" w:themeColor="text1"/>
        </w:rPr>
      </w:pPr>
      <w:r w:rsidRPr="00C54A03">
        <w:rPr>
          <w:rFonts w:eastAsia="Cambria"/>
          <w:b/>
          <w:bCs/>
          <w:color w:val="000000" w:themeColor="text1"/>
        </w:rPr>
        <w:t>Perspective</w:t>
      </w:r>
    </w:p>
    <w:p w14:paraId="74394C5B" w14:textId="77777777" w:rsidR="00E13976" w:rsidRPr="00C54A03" w:rsidRDefault="00E13976" w:rsidP="008E33FD">
      <w:pPr>
        <w:widowControl w:val="0"/>
        <w:autoSpaceDE w:val="0"/>
        <w:autoSpaceDN w:val="0"/>
        <w:spacing w:before="157"/>
        <w:ind w:right="250"/>
        <w:jc w:val="both"/>
        <w:rPr>
          <w:color w:val="000000" w:themeColor="text1"/>
        </w:rPr>
      </w:pPr>
      <w:r w:rsidRPr="00C54A03">
        <w:rPr>
          <w:color w:val="000000" w:themeColor="text1"/>
        </w:rPr>
        <w:t>Corelat cu formatul de raportare, rezultatul evaluării stării perspectivelor se face folosind cele patru</w:t>
      </w:r>
      <w:r w:rsidRPr="00C54A03">
        <w:rPr>
          <w:color w:val="000000" w:themeColor="text1"/>
          <w:spacing w:val="1"/>
        </w:rPr>
        <w:t xml:space="preserve"> </w:t>
      </w:r>
      <w:r w:rsidRPr="00C54A03">
        <w:rPr>
          <w:color w:val="000000" w:themeColor="text1"/>
        </w:rPr>
        <w:t>categorii</w:t>
      </w:r>
      <w:r w:rsidRPr="00C54A03">
        <w:rPr>
          <w:color w:val="000000" w:themeColor="text1"/>
          <w:spacing w:val="11"/>
        </w:rPr>
        <w:t xml:space="preserve"> </w:t>
      </w:r>
      <w:r w:rsidRPr="00C54A03">
        <w:rPr>
          <w:color w:val="000000" w:themeColor="text1"/>
        </w:rPr>
        <w:t>disponibile:</w:t>
      </w:r>
      <w:r w:rsidRPr="00C54A03">
        <w:rPr>
          <w:color w:val="000000" w:themeColor="text1"/>
          <w:spacing w:val="11"/>
        </w:rPr>
        <w:t xml:space="preserve"> </w:t>
      </w:r>
      <w:r w:rsidRPr="00C54A03">
        <w:rPr>
          <w:color w:val="000000" w:themeColor="text1"/>
        </w:rPr>
        <w:t>„</w:t>
      </w:r>
      <w:r w:rsidRPr="00C54A03">
        <w:rPr>
          <w:b/>
          <w:color w:val="000000" w:themeColor="text1"/>
        </w:rPr>
        <w:t>favorabil</w:t>
      </w:r>
      <w:r w:rsidRPr="00C54A03">
        <w:rPr>
          <w:color w:val="000000" w:themeColor="text1"/>
        </w:rPr>
        <w:t>”</w:t>
      </w:r>
      <w:r w:rsidRPr="00C54A03">
        <w:rPr>
          <w:color w:val="000000" w:themeColor="text1"/>
          <w:spacing w:val="10"/>
        </w:rPr>
        <w:t xml:space="preserve"> </w:t>
      </w:r>
      <w:r w:rsidRPr="00C54A03">
        <w:rPr>
          <w:color w:val="000000" w:themeColor="text1"/>
        </w:rPr>
        <w:t>(FV),</w:t>
      </w:r>
      <w:r w:rsidRPr="00C54A03">
        <w:rPr>
          <w:color w:val="000000" w:themeColor="text1"/>
          <w:spacing w:val="11"/>
        </w:rPr>
        <w:t xml:space="preserve"> </w:t>
      </w:r>
      <w:r w:rsidRPr="00C54A03">
        <w:rPr>
          <w:color w:val="000000" w:themeColor="text1"/>
        </w:rPr>
        <w:t>„</w:t>
      </w:r>
      <w:r w:rsidRPr="00C54A03">
        <w:rPr>
          <w:b/>
          <w:color w:val="000000" w:themeColor="text1"/>
        </w:rPr>
        <w:t>nefavorabil-inadecvat</w:t>
      </w:r>
      <w:r w:rsidRPr="00C54A03">
        <w:rPr>
          <w:color w:val="000000" w:themeColor="text1"/>
        </w:rPr>
        <w:t>”</w:t>
      </w:r>
      <w:r w:rsidRPr="00C54A03">
        <w:rPr>
          <w:color w:val="000000" w:themeColor="text1"/>
          <w:spacing w:val="11"/>
        </w:rPr>
        <w:t xml:space="preserve"> </w:t>
      </w:r>
      <w:r w:rsidRPr="00C54A03">
        <w:rPr>
          <w:color w:val="000000" w:themeColor="text1"/>
        </w:rPr>
        <w:t>(U1),</w:t>
      </w:r>
      <w:r w:rsidRPr="00C54A03">
        <w:rPr>
          <w:color w:val="000000" w:themeColor="text1"/>
          <w:spacing w:val="11"/>
        </w:rPr>
        <w:t xml:space="preserve"> </w:t>
      </w:r>
      <w:r w:rsidRPr="00C54A03">
        <w:rPr>
          <w:color w:val="000000" w:themeColor="text1"/>
        </w:rPr>
        <w:t>„</w:t>
      </w:r>
      <w:r w:rsidRPr="00C54A03">
        <w:rPr>
          <w:b/>
          <w:color w:val="000000" w:themeColor="text1"/>
        </w:rPr>
        <w:t>nefavorabil-rău</w:t>
      </w:r>
      <w:r w:rsidRPr="00C54A03">
        <w:rPr>
          <w:color w:val="000000" w:themeColor="text1"/>
        </w:rPr>
        <w:t>”</w:t>
      </w:r>
      <w:r w:rsidRPr="00C54A03">
        <w:rPr>
          <w:color w:val="000000" w:themeColor="text1"/>
          <w:spacing w:val="10"/>
        </w:rPr>
        <w:t xml:space="preserve"> </w:t>
      </w:r>
      <w:r w:rsidRPr="00C54A03">
        <w:rPr>
          <w:color w:val="000000" w:themeColor="text1"/>
        </w:rPr>
        <w:t>(U2)</w:t>
      </w:r>
      <w:r w:rsidRPr="00C54A03">
        <w:rPr>
          <w:color w:val="000000" w:themeColor="text1"/>
          <w:spacing w:val="10"/>
        </w:rPr>
        <w:t xml:space="preserve"> </w:t>
      </w:r>
      <w:r w:rsidRPr="00C54A03">
        <w:rPr>
          <w:color w:val="000000" w:themeColor="text1"/>
        </w:rPr>
        <w:t>și</w:t>
      </w:r>
    </w:p>
    <w:p w14:paraId="55332CC1" w14:textId="77777777" w:rsidR="00E13976" w:rsidRPr="00C54A03" w:rsidRDefault="00E13976" w:rsidP="008E33FD">
      <w:pPr>
        <w:widowControl w:val="0"/>
        <w:autoSpaceDE w:val="0"/>
        <w:autoSpaceDN w:val="0"/>
        <w:spacing w:before="1"/>
        <w:jc w:val="both"/>
        <w:rPr>
          <w:color w:val="000000" w:themeColor="text1"/>
        </w:rPr>
      </w:pPr>
      <w:r w:rsidRPr="00C54A03">
        <w:rPr>
          <w:color w:val="000000" w:themeColor="text1"/>
        </w:rPr>
        <w:t>„</w:t>
      </w:r>
      <w:r w:rsidRPr="00C54A03">
        <w:rPr>
          <w:b/>
          <w:color w:val="000000" w:themeColor="text1"/>
        </w:rPr>
        <w:t>necunoscut</w:t>
      </w:r>
      <w:r w:rsidRPr="00C54A03">
        <w:rPr>
          <w:color w:val="000000" w:themeColor="text1"/>
        </w:rPr>
        <w:t>”</w:t>
      </w:r>
      <w:r w:rsidRPr="00C54A03">
        <w:rPr>
          <w:color w:val="000000" w:themeColor="text1"/>
          <w:spacing w:val="-3"/>
        </w:rPr>
        <w:t xml:space="preserve"> </w:t>
      </w:r>
      <w:r w:rsidRPr="00C54A03">
        <w:rPr>
          <w:color w:val="000000" w:themeColor="text1"/>
        </w:rPr>
        <w:t>(XX)</w:t>
      </w:r>
      <w:r w:rsidRPr="00C54A03">
        <w:rPr>
          <w:color w:val="000000" w:themeColor="text1"/>
          <w:spacing w:val="-1"/>
        </w:rPr>
        <w:t xml:space="preserve"> </w:t>
      </w:r>
      <w:r w:rsidRPr="00C54A03">
        <w:rPr>
          <w:color w:val="000000" w:themeColor="text1"/>
        </w:rPr>
        <w:t>este</w:t>
      </w:r>
      <w:r w:rsidRPr="00C54A03">
        <w:rPr>
          <w:color w:val="000000" w:themeColor="text1"/>
          <w:spacing w:val="-1"/>
        </w:rPr>
        <w:t xml:space="preserve"> </w:t>
      </w:r>
      <w:r w:rsidRPr="00C54A03">
        <w:rPr>
          <w:color w:val="000000" w:themeColor="text1"/>
        </w:rPr>
        <w:t>redat</w:t>
      </w:r>
      <w:r w:rsidRPr="00C54A03">
        <w:rPr>
          <w:color w:val="000000" w:themeColor="text1"/>
          <w:spacing w:val="-1"/>
        </w:rPr>
        <w:t xml:space="preserve"> </w:t>
      </w:r>
      <w:r w:rsidRPr="00C54A03">
        <w:rPr>
          <w:color w:val="000000" w:themeColor="text1"/>
        </w:rPr>
        <w:t>în</w:t>
      </w:r>
      <w:r w:rsidRPr="00C54A03">
        <w:rPr>
          <w:color w:val="000000" w:themeColor="text1"/>
          <w:spacing w:val="-2"/>
        </w:rPr>
        <w:t xml:space="preserve"> </w:t>
      </w:r>
      <w:r w:rsidRPr="00C54A03">
        <w:rPr>
          <w:color w:val="000000" w:themeColor="text1"/>
        </w:rPr>
        <w:t>tabelul</w:t>
      </w:r>
      <w:r w:rsidRPr="00C54A03">
        <w:rPr>
          <w:color w:val="000000" w:themeColor="text1"/>
          <w:spacing w:val="-1"/>
        </w:rPr>
        <w:t xml:space="preserve"> </w:t>
      </w:r>
      <w:r w:rsidRPr="00C54A03">
        <w:rPr>
          <w:color w:val="000000" w:themeColor="text1"/>
        </w:rPr>
        <w:t>de</w:t>
      </w:r>
      <w:r w:rsidRPr="00C54A03">
        <w:rPr>
          <w:color w:val="000000" w:themeColor="text1"/>
          <w:spacing w:val="-2"/>
        </w:rPr>
        <w:t xml:space="preserve"> </w:t>
      </w:r>
      <w:r w:rsidRPr="00C54A03">
        <w:rPr>
          <w:color w:val="000000" w:themeColor="text1"/>
        </w:rPr>
        <w:t>mai</w:t>
      </w:r>
      <w:r w:rsidRPr="00C54A03">
        <w:rPr>
          <w:color w:val="000000" w:themeColor="text1"/>
          <w:spacing w:val="-2"/>
        </w:rPr>
        <w:t xml:space="preserve"> </w:t>
      </w:r>
      <w:r w:rsidRPr="00C54A03">
        <w:rPr>
          <w:color w:val="000000" w:themeColor="text1"/>
        </w:rPr>
        <w:t>jos:</w:t>
      </w:r>
    </w:p>
    <w:p w14:paraId="2748BEF5" w14:textId="77777777" w:rsidR="00E13976" w:rsidRPr="00C54A03" w:rsidRDefault="00E13976" w:rsidP="008E33FD">
      <w:pPr>
        <w:widowControl w:val="0"/>
        <w:autoSpaceDE w:val="0"/>
        <w:autoSpaceDN w:val="0"/>
        <w:spacing w:before="7" w:after="1"/>
        <w:jc w:val="both"/>
        <w:rPr>
          <w:color w:val="000000" w:themeColor="text1"/>
        </w:rPr>
      </w:pPr>
    </w:p>
    <w:tbl>
      <w:tblPr>
        <w:tblW w:w="0" w:type="auto"/>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0"/>
        <w:gridCol w:w="7918"/>
      </w:tblGrid>
      <w:tr w:rsidR="00E13976" w:rsidRPr="00C54A03" w14:paraId="3A4F1D41" w14:textId="77777777" w:rsidTr="000D3090">
        <w:trPr>
          <w:trHeight w:val="551"/>
        </w:trPr>
        <w:tc>
          <w:tcPr>
            <w:tcW w:w="1810" w:type="dxa"/>
            <w:shd w:val="clear" w:color="auto" w:fill="DBE4F0"/>
          </w:tcPr>
          <w:p w14:paraId="2CD2847D" w14:textId="77777777" w:rsidR="00E13976" w:rsidRPr="00C54A03" w:rsidRDefault="00E13976" w:rsidP="008E33FD">
            <w:pPr>
              <w:widowControl w:val="0"/>
              <w:tabs>
                <w:tab w:val="left" w:pos="1458"/>
              </w:tabs>
              <w:autoSpaceDE w:val="0"/>
              <w:autoSpaceDN w:val="0"/>
              <w:spacing w:line="276" w:lineRule="exact"/>
              <w:ind w:right="98"/>
              <w:jc w:val="both"/>
              <w:rPr>
                <w:b/>
                <w:color w:val="000000" w:themeColor="text1"/>
              </w:rPr>
            </w:pPr>
            <w:r w:rsidRPr="00C54A03">
              <w:rPr>
                <w:b/>
                <w:color w:val="000000" w:themeColor="text1"/>
              </w:rPr>
              <w:t>Starea</w:t>
            </w:r>
            <w:r w:rsidRPr="00C54A03">
              <w:rPr>
                <w:b/>
                <w:color w:val="000000" w:themeColor="text1"/>
              </w:rPr>
              <w:tab/>
            </w:r>
            <w:r w:rsidRPr="00C54A03">
              <w:rPr>
                <w:b/>
                <w:color w:val="000000" w:themeColor="text1"/>
                <w:spacing w:val="-2"/>
              </w:rPr>
              <w:t>de</w:t>
            </w:r>
            <w:r w:rsidRPr="00C54A03">
              <w:rPr>
                <w:b/>
                <w:color w:val="000000" w:themeColor="text1"/>
                <w:spacing w:val="-57"/>
              </w:rPr>
              <w:t xml:space="preserve"> </w:t>
            </w:r>
            <w:r w:rsidRPr="00C54A03">
              <w:rPr>
                <w:b/>
                <w:color w:val="000000" w:themeColor="text1"/>
              </w:rPr>
              <w:t>conservare</w:t>
            </w:r>
          </w:p>
        </w:tc>
        <w:tc>
          <w:tcPr>
            <w:tcW w:w="7918" w:type="dxa"/>
            <w:shd w:val="clear" w:color="auto" w:fill="DBE4F0"/>
          </w:tcPr>
          <w:p w14:paraId="23316DD4" w14:textId="77777777" w:rsidR="00E13976" w:rsidRPr="00C54A03" w:rsidRDefault="00E13976" w:rsidP="008E33FD">
            <w:pPr>
              <w:widowControl w:val="0"/>
              <w:autoSpaceDE w:val="0"/>
              <w:autoSpaceDN w:val="0"/>
              <w:spacing w:before="133"/>
              <w:jc w:val="both"/>
              <w:rPr>
                <w:b/>
                <w:color w:val="000000" w:themeColor="text1"/>
              </w:rPr>
            </w:pPr>
            <w:r w:rsidRPr="00C54A03">
              <w:rPr>
                <w:b/>
                <w:color w:val="000000" w:themeColor="text1"/>
              </w:rPr>
              <w:t>Criterii</w:t>
            </w:r>
            <w:r w:rsidRPr="00C54A03">
              <w:rPr>
                <w:b/>
                <w:color w:val="000000" w:themeColor="text1"/>
                <w:spacing w:val="-2"/>
              </w:rPr>
              <w:t xml:space="preserve"> </w:t>
            </w:r>
            <w:r w:rsidRPr="00C54A03">
              <w:rPr>
                <w:b/>
                <w:color w:val="000000" w:themeColor="text1"/>
              </w:rPr>
              <w:t>de</w:t>
            </w:r>
            <w:r w:rsidRPr="00C54A03">
              <w:rPr>
                <w:b/>
                <w:color w:val="000000" w:themeColor="text1"/>
                <w:spacing w:val="-2"/>
              </w:rPr>
              <w:t xml:space="preserve"> </w:t>
            </w:r>
            <w:r w:rsidRPr="00C54A03">
              <w:rPr>
                <w:b/>
                <w:color w:val="000000" w:themeColor="text1"/>
              </w:rPr>
              <w:t>evaluare</w:t>
            </w:r>
          </w:p>
        </w:tc>
      </w:tr>
      <w:tr w:rsidR="00E13976" w:rsidRPr="00C54A03" w14:paraId="53F9A77B" w14:textId="77777777" w:rsidTr="000D3090">
        <w:trPr>
          <w:trHeight w:val="2212"/>
        </w:trPr>
        <w:tc>
          <w:tcPr>
            <w:tcW w:w="1810" w:type="dxa"/>
          </w:tcPr>
          <w:p w14:paraId="08222C25" w14:textId="77777777" w:rsidR="00E13976" w:rsidRPr="00C54A03" w:rsidRDefault="00E13976" w:rsidP="008E33FD">
            <w:pPr>
              <w:widowControl w:val="0"/>
              <w:autoSpaceDE w:val="0"/>
              <w:autoSpaceDN w:val="0"/>
              <w:jc w:val="both"/>
              <w:rPr>
                <w:color w:val="000000" w:themeColor="text1"/>
              </w:rPr>
            </w:pPr>
          </w:p>
          <w:p w14:paraId="22043FA4" w14:textId="77777777" w:rsidR="00E13976" w:rsidRPr="00C54A03" w:rsidRDefault="00E13976" w:rsidP="008E33FD">
            <w:pPr>
              <w:widowControl w:val="0"/>
              <w:autoSpaceDE w:val="0"/>
              <w:autoSpaceDN w:val="0"/>
              <w:jc w:val="both"/>
              <w:rPr>
                <w:color w:val="000000" w:themeColor="text1"/>
              </w:rPr>
            </w:pPr>
          </w:p>
          <w:p w14:paraId="180A32E6" w14:textId="77777777" w:rsidR="00E13976" w:rsidRPr="00C54A03" w:rsidRDefault="00E13976" w:rsidP="008E33FD">
            <w:pPr>
              <w:widowControl w:val="0"/>
              <w:autoSpaceDE w:val="0"/>
              <w:autoSpaceDN w:val="0"/>
              <w:spacing w:before="4"/>
              <w:jc w:val="both"/>
              <w:rPr>
                <w:color w:val="000000" w:themeColor="text1"/>
              </w:rPr>
            </w:pPr>
          </w:p>
          <w:p w14:paraId="5A4F5D7F" w14:textId="77777777" w:rsidR="00E13976" w:rsidRPr="00C54A03" w:rsidRDefault="00E13976" w:rsidP="008E33FD">
            <w:pPr>
              <w:widowControl w:val="0"/>
              <w:autoSpaceDE w:val="0"/>
              <w:autoSpaceDN w:val="0"/>
              <w:jc w:val="both"/>
              <w:rPr>
                <w:color w:val="000000" w:themeColor="text1"/>
              </w:rPr>
            </w:pPr>
            <w:r w:rsidRPr="00C54A03">
              <w:rPr>
                <w:color w:val="000000" w:themeColor="text1"/>
              </w:rPr>
              <w:t>Favorabil</w:t>
            </w:r>
            <w:r w:rsidRPr="00C54A03">
              <w:rPr>
                <w:color w:val="000000" w:themeColor="text1"/>
                <w:spacing w:val="-3"/>
              </w:rPr>
              <w:t xml:space="preserve"> </w:t>
            </w:r>
            <w:r w:rsidRPr="00C54A03">
              <w:rPr>
                <w:color w:val="000000" w:themeColor="text1"/>
              </w:rPr>
              <w:t>(FV)</w:t>
            </w:r>
          </w:p>
        </w:tc>
        <w:tc>
          <w:tcPr>
            <w:tcW w:w="7918" w:type="dxa"/>
          </w:tcPr>
          <w:p w14:paraId="31C2B6F7" w14:textId="77777777" w:rsidR="00E13976" w:rsidRPr="00C54A03" w:rsidRDefault="00E13976" w:rsidP="008E33FD">
            <w:pPr>
              <w:widowControl w:val="0"/>
              <w:autoSpaceDE w:val="0"/>
              <w:autoSpaceDN w:val="0"/>
              <w:ind w:right="96"/>
              <w:jc w:val="both"/>
              <w:rPr>
                <w:color w:val="000000" w:themeColor="text1"/>
              </w:rPr>
            </w:pPr>
            <w:r w:rsidRPr="00C54A03">
              <w:rPr>
                <w:color w:val="000000" w:themeColor="text1"/>
              </w:rPr>
              <w:t>Conform</w:t>
            </w:r>
            <w:r w:rsidRPr="00C54A03">
              <w:rPr>
                <w:color w:val="000000" w:themeColor="text1"/>
                <w:spacing w:val="46"/>
              </w:rPr>
              <w:t xml:space="preserve"> </w:t>
            </w:r>
            <w:r w:rsidRPr="00C54A03">
              <w:rPr>
                <w:color w:val="000000" w:themeColor="text1"/>
              </w:rPr>
              <w:t>matricei</w:t>
            </w:r>
            <w:r w:rsidRPr="00C54A03">
              <w:rPr>
                <w:color w:val="000000" w:themeColor="text1"/>
                <w:spacing w:val="46"/>
              </w:rPr>
              <w:t xml:space="preserve"> </w:t>
            </w:r>
            <w:r w:rsidRPr="00C54A03">
              <w:rPr>
                <w:color w:val="000000" w:themeColor="text1"/>
              </w:rPr>
              <w:t>de</w:t>
            </w:r>
            <w:r w:rsidRPr="00C54A03">
              <w:rPr>
                <w:color w:val="000000" w:themeColor="text1"/>
                <w:spacing w:val="44"/>
              </w:rPr>
              <w:t xml:space="preserve"> </w:t>
            </w:r>
            <w:r w:rsidRPr="00C54A03">
              <w:rPr>
                <w:color w:val="000000" w:themeColor="text1"/>
              </w:rPr>
              <w:t>evaluare</w:t>
            </w:r>
            <w:r w:rsidRPr="00C54A03">
              <w:rPr>
                <w:color w:val="000000" w:themeColor="text1"/>
                <w:spacing w:val="44"/>
              </w:rPr>
              <w:t xml:space="preserve"> </w:t>
            </w:r>
            <w:r w:rsidRPr="00C54A03">
              <w:rPr>
                <w:color w:val="000000" w:themeColor="text1"/>
              </w:rPr>
              <w:t>(anexa</w:t>
            </w:r>
            <w:r w:rsidRPr="00C54A03">
              <w:rPr>
                <w:color w:val="000000" w:themeColor="text1"/>
                <w:spacing w:val="48"/>
              </w:rPr>
              <w:t xml:space="preserve"> </w:t>
            </w:r>
            <w:r w:rsidRPr="00C54A03">
              <w:rPr>
                <w:color w:val="000000" w:themeColor="text1"/>
              </w:rPr>
              <w:t>E),</w:t>
            </w:r>
            <w:r w:rsidRPr="00C54A03">
              <w:rPr>
                <w:color w:val="000000" w:themeColor="text1"/>
                <w:spacing w:val="45"/>
              </w:rPr>
              <w:t xml:space="preserve"> </w:t>
            </w:r>
            <w:r w:rsidRPr="00C54A03">
              <w:rPr>
                <w:color w:val="000000" w:themeColor="text1"/>
              </w:rPr>
              <w:t>situația</w:t>
            </w:r>
            <w:r w:rsidRPr="00C54A03">
              <w:rPr>
                <w:color w:val="000000" w:themeColor="text1"/>
                <w:spacing w:val="45"/>
              </w:rPr>
              <w:t xml:space="preserve"> </w:t>
            </w:r>
            <w:r w:rsidRPr="00C54A03">
              <w:rPr>
                <w:color w:val="000000" w:themeColor="text1"/>
              </w:rPr>
              <w:t>perspectivelor</w:t>
            </w:r>
            <w:r w:rsidRPr="00C54A03">
              <w:rPr>
                <w:color w:val="000000" w:themeColor="text1"/>
                <w:spacing w:val="45"/>
              </w:rPr>
              <w:t xml:space="preserve"> </w:t>
            </w:r>
            <w:r w:rsidRPr="00C54A03">
              <w:rPr>
                <w:color w:val="000000" w:themeColor="text1"/>
              </w:rPr>
              <w:t>viitoare</w:t>
            </w:r>
            <w:r w:rsidRPr="00C54A03">
              <w:rPr>
                <w:color w:val="000000" w:themeColor="text1"/>
                <w:spacing w:val="-57"/>
              </w:rPr>
              <w:t xml:space="preserve"> </w:t>
            </w:r>
            <w:r w:rsidRPr="00C54A03">
              <w:rPr>
                <w:color w:val="000000" w:themeColor="text1"/>
              </w:rPr>
              <w:t>este</w:t>
            </w:r>
            <w:r w:rsidRPr="00C54A03">
              <w:rPr>
                <w:color w:val="000000" w:themeColor="text1"/>
                <w:spacing w:val="-2"/>
              </w:rPr>
              <w:t xml:space="preserve"> </w:t>
            </w:r>
            <w:r w:rsidRPr="00C54A03">
              <w:rPr>
                <w:color w:val="000000" w:themeColor="text1"/>
              </w:rPr>
              <w:t>„favorabilă”</w:t>
            </w:r>
            <w:r w:rsidRPr="00C54A03">
              <w:rPr>
                <w:color w:val="000000" w:themeColor="text1"/>
                <w:spacing w:val="-1"/>
              </w:rPr>
              <w:t xml:space="preserve"> </w:t>
            </w:r>
            <w:r w:rsidRPr="00C54A03">
              <w:rPr>
                <w:color w:val="000000" w:themeColor="text1"/>
              </w:rPr>
              <w:t>dacă:</w:t>
            </w:r>
          </w:p>
          <w:p w14:paraId="15F1F5CE" w14:textId="77777777" w:rsidR="00E13976" w:rsidRPr="00C54A03" w:rsidRDefault="00E13976" w:rsidP="008E33FD">
            <w:pPr>
              <w:widowControl w:val="0"/>
              <w:tabs>
                <w:tab w:val="left" w:pos="828"/>
              </w:tabs>
              <w:autoSpaceDE w:val="0"/>
              <w:autoSpaceDN w:val="0"/>
              <w:spacing w:before="1" w:line="230" w:lineRule="auto"/>
              <w:ind w:right="103"/>
              <w:jc w:val="both"/>
              <w:rPr>
                <w:color w:val="000000" w:themeColor="text1"/>
              </w:rPr>
            </w:pPr>
            <w:r w:rsidRPr="00C54A03">
              <w:rPr>
                <w:color w:val="000000" w:themeColor="text1"/>
              </w:rPr>
              <w:t>-</w:t>
            </w:r>
            <w:r w:rsidRPr="00C54A03">
              <w:rPr>
                <w:color w:val="000000" w:themeColor="text1"/>
              </w:rPr>
              <w:tab/>
              <w:t>nu se</w:t>
            </w:r>
            <w:r w:rsidRPr="00C54A03">
              <w:rPr>
                <w:color w:val="000000" w:themeColor="text1"/>
                <w:spacing w:val="2"/>
              </w:rPr>
              <w:t xml:space="preserve"> </w:t>
            </w:r>
            <w:r w:rsidRPr="00C54A03">
              <w:rPr>
                <w:color w:val="000000" w:themeColor="text1"/>
              </w:rPr>
              <w:t>așteaptă</w:t>
            </w:r>
            <w:r w:rsidRPr="00C54A03">
              <w:rPr>
                <w:color w:val="000000" w:themeColor="text1"/>
                <w:spacing w:val="2"/>
              </w:rPr>
              <w:t xml:space="preserve"> </w:t>
            </w:r>
            <w:r w:rsidRPr="00C54A03">
              <w:rPr>
                <w:color w:val="000000" w:themeColor="text1"/>
              </w:rPr>
              <w:t>niciun</w:t>
            </w:r>
            <w:r w:rsidRPr="00C54A03">
              <w:rPr>
                <w:color w:val="000000" w:themeColor="text1"/>
                <w:spacing w:val="1"/>
              </w:rPr>
              <w:t xml:space="preserve"> </w:t>
            </w:r>
            <w:r w:rsidRPr="00C54A03">
              <w:rPr>
                <w:color w:val="000000" w:themeColor="text1"/>
              </w:rPr>
              <w:t>impact</w:t>
            </w:r>
            <w:r w:rsidRPr="00C54A03">
              <w:rPr>
                <w:color w:val="000000" w:themeColor="text1"/>
                <w:spacing w:val="1"/>
              </w:rPr>
              <w:t xml:space="preserve"> </w:t>
            </w:r>
            <w:r w:rsidRPr="00C54A03">
              <w:rPr>
                <w:color w:val="000000" w:themeColor="text1"/>
              </w:rPr>
              <w:t>semnificativ din</w:t>
            </w:r>
            <w:r w:rsidRPr="00C54A03">
              <w:rPr>
                <w:color w:val="000000" w:themeColor="text1"/>
                <w:spacing w:val="4"/>
              </w:rPr>
              <w:t xml:space="preserve"> </w:t>
            </w:r>
            <w:r w:rsidRPr="00C54A03">
              <w:rPr>
                <w:color w:val="000000" w:themeColor="text1"/>
              </w:rPr>
              <w:t>cauza amenințărilor la</w:t>
            </w:r>
            <w:r w:rsidRPr="00C54A03">
              <w:rPr>
                <w:color w:val="000000" w:themeColor="text1"/>
                <w:spacing w:val="-57"/>
              </w:rPr>
              <w:t xml:space="preserve"> </w:t>
            </w:r>
            <w:r w:rsidRPr="00C54A03">
              <w:rPr>
                <w:color w:val="000000" w:themeColor="text1"/>
              </w:rPr>
              <w:t>habitat</w:t>
            </w:r>
            <w:r w:rsidRPr="00C54A03">
              <w:rPr>
                <w:color w:val="000000" w:themeColor="text1"/>
                <w:spacing w:val="-1"/>
              </w:rPr>
              <w:t xml:space="preserve"> </w:t>
            </w:r>
            <w:r w:rsidRPr="00C54A03">
              <w:rPr>
                <w:color w:val="000000" w:themeColor="text1"/>
              </w:rPr>
              <w:t>și</w:t>
            </w:r>
            <w:r w:rsidRPr="00C54A03">
              <w:rPr>
                <w:color w:val="000000" w:themeColor="text1"/>
                <w:spacing w:val="-1"/>
              </w:rPr>
              <w:t xml:space="preserve"> </w:t>
            </w:r>
            <w:r w:rsidRPr="00C54A03">
              <w:rPr>
                <w:color w:val="000000" w:themeColor="text1"/>
              </w:rPr>
              <w:t>viabilitatea</w:t>
            </w:r>
            <w:r w:rsidRPr="00C54A03">
              <w:rPr>
                <w:color w:val="000000" w:themeColor="text1"/>
                <w:spacing w:val="-2"/>
              </w:rPr>
              <w:t xml:space="preserve"> </w:t>
            </w:r>
            <w:r w:rsidRPr="00C54A03">
              <w:rPr>
                <w:color w:val="000000" w:themeColor="text1"/>
              </w:rPr>
              <w:t>acestuia</w:t>
            </w:r>
            <w:r w:rsidRPr="00C54A03">
              <w:rPr>
                <w:color w:val="000000" w:themeColor="text1"/>
                <w:spacing w:val="-1"/>
              </w:rPr>
              <w:t xml:space="preserve"> </w:t>
            </w:r>
            <w:r w:rsidRPr="00C54A03">
              <w:rPr>
                <w:color w:val="000000" w:themeColor="text1"/>
              </w:rPr>
              <w:t>pe</w:t>
            </w:r>
            <w:r w:rsidRPr="00C54A03">
              <w:rPr>
                <w:color w:val="000000" w:themeColor="text1"/>
                <w:spacing w:val="-2"/>
              </w:rPr>
              <w:t xml:space="preserve"> </w:t>
            </w:r>
            <w:r w:rsidRPr="00C54A03">
              <w:rPr>
                <w:color w:val="000000" w:themeColor="text1"/>
              </w:rPr>
              <w:t>termen</w:t>
            </w:r>
            <w:r w:rsidRPr="00C54A03">
              <w:rPr>
                <w:color w:val="000000" w:themeColor="text1"/>
                <w:spacing w:val="-1"/>
              </w:rPr>
              <w:t xml:space="preserve"> </w:t>
            </w:r>
            <w:r w:rsidRPr="00C54A03">
              <w:rPr>
                <w:color w:val="000000" w:themeColor="text1"/>
              </w:rPr>
              <w:t>lung</w:t>
            </w:r>
            <w:r w:rsidRPr="00C54A03">
              <w:rPr>
                <w:color w:val="000000" w:themeColor="text1"/>
                <w:spacing w:val="-4"/>
              </w:rPr>
              <w:t xml:space="preserve"> </w:t>
            </w:r>
            <w:r w:rsidRPr="00C54A03">
              <w:rPr>
                <w:color w:val="000000" w:themeColor="text1"/>
              </w:rPr>
              <w:t>este</w:t>
            </w:r>
            <w:r w:rsidRPr="00C54A03">
              <w:rPr>
                <w:color w:val="000000" w:themeColor="text1"/>
                <w:spacing w:val="1"/>
              </w:rPr>
              <w:t xml:space="preserve"> </w:t>
            </w:r>
            <w:r w:rsidRPr="00C54A03">
              <w:rPr>
                <w:color w:val="000000" w:themeColor="text1"/>
              </w:rPr>
              <w:t>asigurată.</w:t>
            </w:r>
          </w:p>
          <w:p w14:paraId="7E6F8BAA" w14:textId="77777777" w:rsidR="00E13976" w:rsidRPr="00C54A03" w:rsidRDefault="00E13976" w:rsidP="008E33FD">
            <w:pPr>
              <w:widowControl w:val="0"/>
              <w:autoSpaceDE w:val="0"/>
              <w:autoSpaceDN w:val="0"/>
              <w:spacing w:before="1"/>
              <w:jc w:val="both"/>
              <w:rPr>
                <w:color w:val="000000" w:themeColor="text1"/>
              </w:rPr>
            </w:pPr>
            <w:r w:rsidRPr="00C54A03">
              <w:rPr>
                <w:color w:val="000000" w:themeColor="text1"/>
              </w:rPr>
              <w:t>Informațiisuplimentare:</w:t>
            </w:r>
          </w:p>
          <w:p w14:paraId="184E02EE" w14:textId="77777777" w:rsidR="00E13976" w:rsidRPr="00C54A03" w:rsidRDefault="00E13976" w:rsidP="008E33FD">
            <w:pPr>
              <w:widowControl w:val="0"/>
              <w:autoSpaceDE w:val="0"/>
              <w:autoSpaceDN w:val="0"/>
              <w:jc w:val="both"/>
              <w:rPr>
                <w:color w:val="000000" w:themeColor="text1"/>
              </w:rPr>
            </w:pPr>
            <w:r w:rsidRPr="00C54A03">
              <w:rPr>
                <w:color w:val="000000" w:themeColor="text1"/>
              </w:rPr>
              <w:t>Perspectivele</w:t>
            </w:r>
            <w:r w:rsidRPr="00C54A03">
              <w:rPr>
                <w:color w:val="000000" w:themeColor="text1"/>
                <w:spacing w:val="22"/>
              </w:rPr>
              <w:t xml:space="preserve"> </w:t>
            </w:r>
            <w:r w:rsidRPr="00C54A03">
              <w:rPr>
                <w:color w:val="000000" w:themeColor="text1"/>
              </w:rPr>
              <w:t>de</w:t>
            </w:r>
            <w:r w:rsidRPr="00C54A03">
              <w:rPr>
                <w:color w:val="000000" w:themeColor="text1"/>
                <w:spacing w:val="22"/>
              </w:rPr>
              <w:t xml:space="preserve"> </w:t>
            </w:r>
            <w:r w:rsidRPr="00C54A03">
              <w:rPr>
                <w:color w:val="000000" w:themeColor="text1"/>
              </w:rPr>
              <w:t>viitor</w:t>
            </w:r>
            <w:r w:rsidRPr="00C54A03">
              <w:rPr>
                <w:color w:val="000000" w:themeColor="text1"/>
                <w:spacing w:val="23"/>
              </w:rPr>
              <w:t xml:space="preserve"> </w:t>
            </w:r>
            <w:r w:rsidRPr="00C54A03">
              <w:rPr>
                <w:color w:val="000000" w:themeColor="text1"/>
              </w:rPr>
              <w:t>ar</w:t>
            </w:r>
            <w:r w:rsidRPr="00C54A03">
              <w:rPr>
                <w:color w:val="000000" w:themeColor="text1"/>
                <w:spacing w:val="23"/>
              </w:rPr>
              <w:t xml:space="preserve"> </w:t>
            </w:r>
            <w:r w:rsidRPr="00C54A03">
              <w:rPr>
                <w:color w:val="000000" w:themeColor="text1"/>
              </w:rPr>
              <w:t>trebui</w:t>
            </w:r>
            <w:r w:rsidRPr="00C54A03">
              <w:rPr>
                <w:color w:val="000000" w:themeColor="text1"/>
                <w:spacing w:val="24"/>
              </w:rPr>
              <w:t xml:space="preserve"> </w:t>
            </w:r>
            <w:r w:rsidRPr="00C54A03">
              <w:rPr>
                <w:color w:val="000000" w:themeColor="text1"/>
              </w:rPr>
              <w:t>evaluate</w:t>
            </w:r>
            <w:r w:rsidRPr="00C54A03">
              <w:rPr>
                <w:color w:val="000000" w:themeColor="text1"/>
                <w:spacing w:val="23"/>
              </w:rPr>
              <w:t xml:space="preserve"> </w:t>
            </w:r>
            <w:r w:rsidRPr="00C54A03">
              <w:rPr>
                <w:color w:val="000000" w:themeColor="text1"/>
              </w:rPr>
              <w:t>„favorabile”</w:t>
            </w:r>
            <w:r w:rsidRPr="00C54A03">
              <w:rPr>
                <w:color w:val="000000" w:themeColor="text1"/>
                <w:spacing w:val="22"/>
              </w:rPr>
              <w:t xml:space="preserve"> </w:t>
            </w:r>
            <w:r w:rsidRPr="00C54A03">
              <w:rPr>
                <w:color w:val="000000" w:themeColor="text1"/>
              </w:rPr>
              <w:t>dacă</w:t>
            </w:r>
            <w:r w:rsidRPr="00C54A03">
              <w:rPr>
                <w:color w:val="000000" w:themeColor="text1"/>
                <w:spacing w:val="22"/>
              </w:rPr>
              <w:t xml:space="preserve"> </w:t>
            </w:r>
            <w:r w:rsidRPr="00C54A03">
              <w:rPr>
                <w:color w:val="000000" w:themeColor="text1"/>
              </w:rPr>
              <w:t>toți</w:t>
            </w:r>
            <w:r w:rsidRPr="00C54A03">
              <w:rPr>
                <w:color w:val="000000" w:themeColor="text1"/>
                <w:spacing w:val="24"/>
              </w:rPr>
              <w:t xml:space="preserve"> </w:t>
            </w:r>
            <w:r w:rsidRPr="00C54A03">
              <w:rPr>
                <w:color w:val="000000" w:themeColor="text1"/>
              </w:rPr>
              <w:t>parametrii</w:t>
            </w:r>
          </w:p>
          <w:p w14:paraId="03D315D8" w14:textId="77777777" w:rsidR="00E13976" w:rsidRPr="00C54A03" w:rsidRDefault="00E13976" w:rsidP="008E33FD">
            <w:pPr>
              <w:widowControl w:val="0"/>
              <w:autoSpaceDE w:val="0"/>
              <w:autoSpaceDN w:val="0"/>
              <w:spacing w:line="270" w:lineRule="atLeast"/>
              <w:ind w:right="96"/>
              <w:jc w:val="both"/>
              <w:rPr>
                <w:color w:val="000000" w:themeColor="text1"/>
              </w:rPr>
            </w:pPr>
            <w:r w:rsidRPr="00C54A03">
              <w:rPr>
                <w:color w:val="000000" w:themeColor="text1"/>
              </w:rPr>
              <w:t>au</w:t>
            </w:r>
            <w:r w:rsidRPr="00C54A03">
              <w:rPr>
                <w:color w:val="000000" w:themeColor="text1"/>
                <w:spacing w:val="37"/>
              </w:rPr>
              <w:t xml:space="preserve"> </w:t>
            </w:r>
            <w:r w:rsidRPr="00C54A03">
              <w:rPr>
                <w:color w:val="000000" w:themeColor="text1"/>
              </w:rPr>
              <w:t>perspective</w:t>
            </w:r>
            <w:r w:rsidRPr="00C54A03">
              <w:rPr>
                <w:color w:val="000000" w:themeColor="text1"/>
                <w:spacing w:val="36"/>
              </w:rPr>
              <w:t xml:space="preserve"> </w:t>
            </w:r>
            <w:r w:rsidRPr="00C54A03">
              <w:rPr>
                <w:color w:val="000000" w:themeColor="text1"/>
              </w:rPr>
              <w:t>bune</w:t>
            </w:r>
            <w:r w:rsidRPr="00C54A03">
              <w:rPr>
                <w:color w:val="000000" w:themeColor="text1"/>
                <w:spacing w:val="38"/>
              </w:rPr>
              <w:t xml:space="preserve"> </w:t>
            </w:r>
            <w:r w:rsidRPr="00C54A03">
              <w:rPr>
                <w:color w:val="000000" w:themeColor="text1"/>
              </w:rPr>
              <w:t>(câmpul</w:t>
            </w:r>
            <w:r w:rsidRPr="00C54A03">
              <w:rPr>
                <w:color w:val="000000" w:themeColor="text1"/>
                <w:spacing w:val="37"/>
              </w:rPr>
              <w:t xml:space="preserve"> </w:t>
            </w:r>
            <w:r w:rsidRPr="00C54A03">
              <w:rPr>
                <w:color w:val="000000" w:themeColor="text1"/>
              </w:rPr>
              <w:t>9.1)</w:t>
            </w:r>
            <w:r w:rsidRPr="00C54A03">
              <w:rPr>
                <w:color w:val="000000" w:themeColor="text1"/>
                <w:spacing w:val="36"/>
              </w:rPr>
              <w:t xml:space="preserve"> </w:t>
            </w:r>
            <w:r w:rsidRPr="00C54A03">
              <w:rPr>
                <w:color w:val="000000" w:themeColor="text1"/>
              </w:rPr>
              <w:t>sau</w:t>
            </w:r>
            <w:r w:rsidRPr="00C54A03">
              <w:rPr>
                <w:color w:val="000000" w:themeColor="text1"/>
                <w:spacing w:val="37"/>
              </w:rPr>
              <w:t xml:space="preserve"> </w:t>
            </w:r>
            <w:r w:rsidRPr="00C54A03">
              <w:rPr>
                <w:color w:val="000000" w:themeColor="text1"/>
              </w:rPr>
              <w:t>dacă</w:t>
            </w:r>
            <w:r w:rsidRPr="00C54A03">
              <w:rPr>
                <w:color w:val="000000" w:themeColor="text1"/>
                <w:spacing w:val="36"/>
              </w:rPr>
              <w:t xml:space="preserve"> </w:t>
            </w:r>
            <w:r w:rsidRPr="00C54A03">
              <w:rPr>
                <w:color w:val="000000" w:themeColor="text1"/>
              </w:rPr>
              <w:t>perspectivele</w:t>
            </w:r>
            <w:r w:rsidRPr="00C54A03">
              <w:rPr>
                <w:color w:val="000000" w:themeColor="text1"/>
                <w:spacing w:val="36"/>
              </w:rPr>
              <w:t xml:space="preserve"> </w:t>
            </w:r>
            <w:r w:rsidRPr="00C54A03">
              <w:rPr>
                <w:color w:val="000000" w:themeColor="text1"/>
              </w:rPr>
              <w:t>unui</w:t>
            </w:r>
            <w:r w:rsidRPr="00C54A03">
              <w:rPr>
                <w:color w:val="000000" w:themeColor="text1"/>
                <w:spacing w:val="37"/>
              </w:rPr>
              <w:t xml:space="preserve"> </w:t>
            </w:r>
            <w:r w:rsidRPr="00C54A03">
              <w:rPr>
                <w:color w:val="000000" w:themeColor="text1"/>
              </w:rPr>
              <w:t>parametru</w:t>
            </w:r>
            <w:r w:rsidRPr="00C54A03">
              <w:rPr>
                <w:color w:val="000000" w:themeColor="text1"/>
                <w:spacing w:val="-57"/>
              </w:rPr>
              <w:t xml:space="preserve"> </w:t>
            </w:r>
            <w:r w:rsidRPr="00C54A03">
              <w:rPr>
                <w:color w:val="000000" w:themeColor="text1"/>
              </w:rPr>
              <w:t>sunt</w:t>
            </w:r>
            <w:r w:rsidRPr="00C54A03">
              <w:rPr>
                <w:color w:val="000000" w:themeColor="text1"/>
                <w:spacing w:val="-1"/>
              </w:rPr>
              <w:t xml:space="preserve"> </w:t>
            </w:r>
            <w:r w:rsidRPr="00C54A03">
              <w:rPr>
                <w:color w:val="000000" w:themeColor="text1"/>
              </w:rPr>
              <w:t>„necunoscute”,</w:t>
            </w:r>
            <w:r w:rsidRPr="00C54A03">
              <w:rPr>
                <w:color w:val="000000" w:themeColor="text1"/>
                <w:spacing w:val="-1"/>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timp ce</w:t>
            </w:r>
            <w:r w:rsidRPr="00C54A03">
              <w:rPr>
                <w:color w:val="000000" w:themeColor="text1"/>
                <w:spacing w:val="-2"/>
              </w:rPr>
              <w:t xml:space="preserve"> </w:t>
            </w:r>
            <w:r w:rsidRPr="00C54A03">
              <w:rPr>
                <w:color w:val="000000" w:themeColor="text1"/>
              </w:rPr>
              <w:t>ceilalți</w:t>
            </w:r>
            <w:r w:rsidRPr="00C54A03">
              <w:rPr>
                <w:color w:val="000000" w:themeColor="text1"/>
                <w:spacing w:val="-1"/>
              </w:rPr>
              <w:t xml:space="preserve"> </w:t>
            </w:r>
            <w:r w:rsidRPr="00C54A03">
              <w:rPr>
                <w:color w:val="000000" w:themeColor="text1"/>
              </w:rPr>
              <w:t>parametri</w:t>
            </w:r>
            <w:r w:rsidRPr="00C54A03">
              <w:rPr>
                <w:color w:val="000000" w:themeColor="text1"/>
                <w:spacing w:val="-1"/>
              </w:rPr>
              <w:t xml:space="preserve"> </w:t>
            </w:r>
            <w:r w:rsidRPr="00C54A03">
              <w:rPr>
                <w:color w:val="000000" w:themeColor="text1"/>
              </w:rPr>
              <w:t>au perspective</w:t>
            </w:r>
            <w:r w:rsidRPr="00C54A03">
              <w:rPr>
                <w:color w:val="000000" w:themeColor="text1"/>
                <w:spacing w:val="-2"/>
              </w:rPr>
              <w:t xml:space="preserve"> </w:t>
            </w:r>
            <w:r w:rsidRPr="00C54A03">
              <w:rPr>
                <w:color w:val="000000" w:themeColor="text1"/>
              </w:rPr>
              <w:t>bune.</w:t>
            </w:r>
          </w:p>
        </w:tc>
      </w:tr>
      <w:tr w:rsidR="00E13976" w:rsidRPr="00C54A03" w14:paraId="684DFEEB" w14:textId="77777777" w:rsidTr="000D3090">
        <w:trPr>
          <w:trHeight w:val="3316"/>
        </w:trPr>
        <w:tc>
          <w:tcPr>
            <w:tcW w:w="1810" w:type="dxa"/>
          </w:tcPr>
          <w:p w14:paraId="2B9AF360" w14:textId="77777777" w:rsidR="00E13976" w:rsidRPr="00C54A03" w:rsidRDefault="00E13976" w:rsidP="008E33FD">
            <w:pPr>
              <w:widowControl w:val="0"/>
              <w:autoSpaceDE w:val="0"/>
              <w:autoSpaceDN w:val="0"/>
              <w:spacing w:before="173"/>
              <w:ind w:right="253"/>
              <w:jc w:val="both"/>
              <w:rPr>
                <w:color w:val="000000" w:themeColor="text1"/>
              </w:rPr>
            </w:pPr>
            <w:r w:rsidRPr="00C54A03">
              <w:rPr>
                <w:color w:val="000000" w:themeColor="text1"/>
              </w:rPr>
              <w:lastRenderedPageBreak/>
              <w:t>Nefavorabil-</w:t>
            </w:r>
            <w:r w:rsidRPr="00C54A03">
              <w:rPr>
                <w:color w:val="000000" w:themeColor="text1"/>
                <w:spacing w:val="1"/>
              </w:rPr>
              <w:t xml:space="preserve"> </w:t>
            </w:r>
            <w:r w:rsidRPr="00C54A03">
              <w:rPr>
                <w:color w:val="000000" w:themeColor="text1"/>
              </w:rPr>
              <w:t>inadecvat</w:t>
            </w:r>
            <w:r w:rsidRPr="00C54A03">
              <w:rPr>
                <w:color w:val="000000" w:themeColor="text1"/>
                <w:spacing w:val="-14"/>
              </w:rPr>
              <w:t xml:space="preserve"> </w:t>
            </w:r>
            <w:r w:rsidRPr="00C54A03">
              <w:rPr>
                <w:color w:val="000000" w:themeColor="text1"/>
              </w:rPr>
              <w:t>(U1)</w:t>
            </w:r>
          </w:p>
        </w:tc>
        <w:tc>
          <w:tcPr>
            <w:tcW w:w="7918" w:type="dxa"/>
          </w:tcPr>
          <w:p w14:paraId="72776D9C" w14:textId="77777777" w:rsidR="00E13976" w:rsidRPr="00C54A03" w:rsidRDefault="00E13976" w:rsidP="008E33FD">
            <w:pPr>
              <w:widowControl w:val="0"/>
              <w:autoSpaceDE w:val="0"/>
              <w:autoSpaceDN w:val="0"/>
              <w:ind w:right="93"/>
              <w:jc w:val="both"/>
              <w:rPr>
                <w:color w:val="000000" w:themeColor="text1"/>
              </w:rPr>
            </w:pPr>
            <w:r w:rsidRPr="00C54A03">
              <w:rPr>
                <w:color w:val="000000" w:themeColor="text1"/>
              </w:rPr>
              <w:t>Conform</w:t>
            </w:r>
            <w:r w:rsidRPr="00C54A03">
              <w:rPr>
                <w:color w:val="000000" w:themeColor="text1"/>
                <w:spacing w:val="43"/>
              </w:rPr>
              <w:t xml:space="preserve"> </w:t>
            </w:r>
            <w:r w:rsidRPr="00C54A03">
              <w:rPr>
                <w:color w:val="000000" w:themeColor="text1"/>
              </w:rPr>
              <w:t>matricei</w:t>
            </w:r>
            <w:r w:rsidRPr="00C54A03">
              <w:rPr>
                <w:color w:val="000000" w:themeColor="text1"/>
                <w:spacing w:val="44"/>
              </w:rPr>
              <w:t xml:space="preserve"> </w:t>
            </w:r>
            <w:r w:rsidRPr="00C54A03">
              <w:rPr>
                <w:color w:val="000000" w:themeColor="text1"/>
              </w:rPr>
              <w:t>de</w:t>
            </w:r>
            <w:r w:rsidRPr="00C54A03">
              <w:rPr>
                <w:color w:val="000000" w:themeColor="text1"/>
                <w:spacing w:val="45"/>
              </w:rPr>
              <w:t xml:space="preserve"> </w:t>
            </w:r>
            <w:r w:rsidRPr="00C54A03">
              <w:rPr>
                <w:color w:val="000000" w:themeColor="text1"/>
              </w:rPr>
              <w:t>evaluare</w:t>
            </w:r>
            <w:r w:rsidRPr="00C54A03">
              <w:rPr>
                <w:color w:val="000000" w:themeColor="text1"/>
                <w:spacing w:val="45"/>
              </w:rPr>
              <w:t xml:space="preserve"> </w:t>
            </w:r>
            <w:r w:rsidRPr="00C54A03">
              <w:rPr>
                <w:color w:val="000000" w:themeColor="text1"/>
              </w:rPr>
              <w:t>(anexa</w:t>
            </w:r>
            <w:r w:rsidRPr="00C54A03">
              <w:rPr>
                <w:color w:val="000000" w:themeColor="text1"/>
                <w:spacing w:val="43"/>
              </w:rPr>
              <w:t xml:space="preserve"> </w:t>
            </w:r>
            <w:r w:rsidRPr="00C54A03">
              <w:rPr>
                <w:color w:val="000000" w:themeColor="text1"/>
              </w:rPr>
              <w:t>E),</w:t>
            </w:r>
            <w:r w:rsidRPr="00C54A03">
              <w:rPr>
                <w:color w:val="000000" w:themeColor="text1"/>
                <w:spacing w:val="44"/>
              </w:rPr>
              <w:t xml:space="preserve"> </w:t>
            </w:r>
            <w:r w:rsidRPr="00C54A03">
              <w:rPr>
                <w:color w:val="000000" w:themeColor="text1"/>
              </w:rPr>
              <w:t>statutul</w:t>
            </w:r>
            <w:r w:rsidRPr="00C54A03">
              <w:rPr>
                <w:color w:val="000000" w:themeColor="text1"/>
                <w:spacing w:val="44"/>
              </w:rPr>
              <w:t xml:space="preserve"> </w:t>
            </w:r>
            <w:r w:rsidRPr="00C54A03">
              <w:rPr>
                <w:color w:val="000000" w:themeColor="text1"/>
              </w:rPr>
              <w:t>perspectivelor</w:t>
            </w:r>
            <w:r w:rsidRPr="00C54A03">
              <w:rPr>
                <w:color w:val="000000" w:themeColor="text1"/>
                <w:spacing w:val="44"/>
              </w:rPr>
              <w:t xml:space="preserve"> </w:t>
            </w:r>
            <w:r w:rsidRPr="00C54A03">
              <w:rPr>
                <w:color w:val="000000" w:themeColor="text1"/>
              </w:rPr>
              <w:t>viitoare</w:t>
            </w:r>
            <w:r w:rsidRPr="00C54A03">
              <w:rPr>
                <w:color w:val="000000" w:themeColor="text1"/>
                <w:spacing w:val="-57"/>
              </w:rPr>
              <w:t xml:space="preserve"> </w:t>
            </w:r>
            <w:r w:rsidRPr="00C54A03">
              <w:rPr>
                <w:color w:val="000000" w:themeColor="text1"/>
              </w:rPr>
              <w:t>este</w:t>
            </w:r>
            <w:r w:rsidRPr="00C54A03">
              <w:rPr>
                <w:color w:val="000000" w:themeColor="text1"/>
                <w:spacing w:val="-2"/>
              </w:rPr>
              <w:t xml:space="preserve"> </w:t>
            </w:r>
            <w:r w:rsidRPr="00C54A03">
              <w:rPr>
                <w:color w:val="000000" w:themeColor="text1"/>
              </w:rPr>
              <w:t>„nefavorabil-inadecvat” dacă:</w:t>
            </w:r>
          </w:p>
          <w:p w14:paraId="6AB4DB4D" w14:textId="77777777" w:rsidR="00E13976" w:rsidRPr="00C54A03" w:rsidRDefault="00E13976" w:rsidP="008E33FD">
            <w:pPr>
              <w:widowControl w:val="0"/>
              <w:tabs>
                <w:tab w:val="left" w:pos="828"/>
              </w:tabs>
              <w:autoSpaceDE w:val="0"/>
              <w:autoSpaceDN w:val="0"/>
              <w:spacing w:line="286" w:lineRule="exact"/>
              <w:jc w:val="both"/>
              <w:rPr>
                <w:color w:val="000000" w:themeColor="text1"/>
              </w:rPr>
            </w:pPr>
            <w:r w:rsidRPr="00C54A03">
              <w:rPr>
                <w:color w:val="000000" w:themeColor="text1"/>
              </w:rPr>
              <w:t>-</w:t>
            </w:r>
            <w:r w:rsidRPr="00C54A03">
              <w:rPr>
                <w:color w:val="000000" w:themeColor="text1"/>
              </w:rPr>
              <w:tab/>
              <w:t>orice</w:t>
            </w:r>
            <w:r w:rsidRPr="00C54A03">
              <w:rPr>
                <w:color w:val="000000" w:themeColor="text1"/>
                <w:spacing w:val="53"/>
              </w:rPr>
              <w:t xml:space="preserve"> </w:t>
            </w:r>
            <w:r w:rsidRPr="00C54A03">
              <w:rPr>
                <w:color w:val="000000" w:themeColor="text1"/>
              </w:rPr>
              <w:t>altă</w:t>
            </w:r>
            <w:r w:rsidRPr="00C54A03">
              <w:rPr>
                <w:color w:val="000000" w:themeColor="text1"/>
                <w:spacing w:val="55"/>
              </w:rPr>
              <w:t xml:space="preserve"> </w:t>
            </w:r>
            <w:r w:rsidRPr="00C54A03">
              <w:rPr>
                <w:color w:val="000000" w:themeColor="text1"/>
              </w:rPr>
              <w:t>combinație</w:t>
            </w:r>
            <w:r w:rsidRPr="00C54A03">
              <w:rPr>
                <w:color w:val="000000" w:themeColor="text1"/>
                <w:spacing w:val="54"/>
              </w:rPr>
              <w:t xml:space="preserve"> </w:t>
            </w:r>
            <w:r w:rsidRPr="00C54A03">
              <w:rPr>
                <w:color w:val="000000" w:themeColor="text1"/>
              </w:rPr>
              <w:t>(o</w:t>
            </w:r>
            <w:r w:rsidRPr="00C54A03">
              <w:rPr>
                <w:color w:val="000000" w:themeColor="text1"/>
                <w:spacing w:val="57"/>
              </w:rPr>
              <w:t xml:space="preserve"> </w:t>
            </w:r>
            <w:r w:rsidRPr="00C54A03">
              <w:rPr>
                <w:color w:val="000000" w:themeColor="text1"/>
              </w:rPr>
              <w:t>altă</w:t>
            </w:r>
            <w:r w:rsidRPr="00C54A03">
              <w:rPr>
                <w:color w:val="000000" w:themeColor="text1"/>
                <w:spacing w:val="54"/>
              </w:rPr>
              <w:t xml:space="preserve"> </w:t>
            </w:r>
            <w:r w:rsidRPr="00C54A03">
              <w:rPr>
                <w:color w:val="000000" w:themeColor="text1"/>
              </w:rPr>
              <w:t>combinație</w:t>
            </w:r>
            <w:r w:rsidRPr="00C54A03">
              <w:rPr>
                <w:color w:val="000000" w:themeColor="text1"/>
                <w:spacing w:val="55"/>
              </w:rPr>
              <w:t xml:space="preserve"> </w:t>
            </w:r>
            <w:r w:rsidRPr="00C54A03">
              <w:rPr>
                <w:color w:val="000000" w:themeColor="text1"/>
              </w:rPr>
              <w:t>de</w:t>
            </w:r>
            <w:r w:rsidRPr="00C54A03">
              <w:rPr>
                <w:color w:val="000000" w:themeColor="text1"/>
                <w:spacing w:val="54"/>
              </w:rPr>
              <w:t xml:space="preserve"> </w:t>
            </w:r>
            <w:r w:rsidRPr="00C54A03">
              <w:rPr>
                <w:color w:val="000000" w:themeColor="text1"/>
              </w:rPr>
              <w:t>criterii</w:t>
            </w:r>
            <w:r w:rsidRPr="00C54A03">
              <w:rPr>
                <w:color w:val="000000" w:themeColor="text1"/>
                <w:spacing w:val="57"/>
              </w:rPr>
              <w:t xml:space="preserve"> </w:t>
            </w:r>
            <w:r w:rsidRPr="00C54A03">
              <w:rPr>
                <w:color w:val="000000" w:themeColor="text1"/>
              </w:rPr>
              <w:t>decât</w:t>
            </w:r>
            <w:r w:rsidRPr="00C54A03">
              <w:rPr>
                <w:color w:val="000000" w:themeColor="text1"/>
                <w:spacing w:val="56"/>
              </w:rPr>
              <w:t xml:space="preserve"> </w:t>
            </w:r>
            <w:r w:rsidRPr="00C54A03">
              <w:rPr>
                <w:color w:val="000000" w:themeColor="text1"/>
              </w:rPr>
              <w:t>pentru</w:t>
            </w:r>
          </w:p>
          <w:p w14:paraId="374E0CE3" w14:textId="77777777" w:rsidR="00E13976" w:rsidRPr="00C54A03" w:rsidRDefault="00E13976" w:rsidP="008E33FD">
            <w:pPr>
              <w:widowControl w:val="0"/>
              <w:autoSpaceDE w:val="0"/>
              <w:autoSpaceDN w:val="0"/>
              <w:spacing w:line="269" w:lineRule="exact"/>
              <w:jc w:val="both"/>
              <w:rPr>
                <w:color w:val="000000" w:themeColor="text1"/>
              </w:rPr>
            </w:pPr>
            <w:r w:rsidRPr="00C54A03">
              <w:rPr>
                <w:color w:val="000000" w:themeColor="text1"/>
              </w:rPr>
              <w:t>„favorabil”</w:t>
            </w:r>
            <w:r w:rsidRPr="00C54A03">
              <w:rPr>
                <w:color w:val="000000" w:themeColor="text1"/>
                <w:spacing w:val="-3"/>
              </w:rPr>
              <w:t xml:space="preserve"> </w:t>
            </w:r>
            <w:r w:rsidRPr="00C54A03">
              <w:rPr>
                <w:color w:val="000000" w:themeColor="text1"/>
              </w:rPr>
              <w:t>sau</w:t>
            </w:r>
            <w:r w:rsidRPr="00C54A03">
              <w:rPr>
                <w:color w:val="000000" w:themeColor="text1"/>
                <w:spacing w:val="-2"/>
              </w:rPr>
              <w:t xml:space="preserve"> </w:t>
            </w:r>
            <w:r w:rsidRPr="00C54A03">
              <w:rPr>
                <w:color w:val="000000" w:themeColor="text1"/>
              </w:rPr>
              <w:t>„nefavorabil-rău”).</w:t>
            </w:r>
          </w:p>
          <w:p w14:paraId="48513A3B" w14:textId="77777777" w:rsidR="00E13976" w:rsidRPr="00C54A03" w:rsidRDefault="00E13976" w:rsidP="008E33FD">
            <w:pPr>
              <w:widowControl w:val="0"/>
              <w:autoSpaceDE w:val="0"/>
              <w:autoSpaceDN w:val="0"/>
              <w:jc w:val="both"/>
              <w:rPr>
                <w:color w:val="000000" w:themeColor="text1"/>
              </w:rPr>
            </w:pPr>
            <w:r w:rsidRPr="00C54A03">
              <w:rPr>
                <w:color w:val="000000" w:themeColor="text1"/>
              </w:rPr>
              <w:t>Informațiisuplimentare:</w:t>
            </w:r>
          </w:p>
          <w:p w14:paraId="6F33B422" w14:textId="77777777" w:rsidR="00E13976" w:rsidRPr="00C54A03" w:rsidRDefault="00E13976" w:rsidP="008E33FD">
            <w:pPr>
              <w:widowControl w:val="0"/>
              <w:tabs>
                <w:tab w:val="left" w:pos="1163"/>
                <w:tab w:val="left" w:pos="1594"/>
                <w:tab w:val="left" w:pos="2611"/>
                <w:tab w:val="left" w:pos="3055"/>
                <w:tab w:val="left" w:pos="3967"/>
                <w:tab w:val="left" w:pos="4811"/>
                <w:tab w:val="left" w:pos="5842"/>
                <w:tab w:val="left" w:pos="6657"/>
              </w:tabs>
              <w:autoSpaceDE w:val="0"/>
              <w:autoSpaceDN w:val="0"/>
              <w:jc w:val="both"/>
              <w:rPr>
                <w:color w:val="000000" w:themeColor="text1"/>
              </w:rPr>
            </w:pPr>
            <w:r w:rsidRPr="00C54A03">
              <w:rPr>
                <w:color w:val="000000" w:themeColor="text1"/>
              </w:rPr>
              <w:t>Matricea</w:t>
            </w:r>
            <w:r w:rsidRPr="00C54A03">
              <w:rPr>
                <w:color w:val="000000" w:themeColor="text1"/>
              </w:rPr>
              <w:tab/>
              <w:t>de</w:t>
            </w:r>
            <w:r w:rsidRPr="00C54A03">
              <w:rPr>
                <w:color w:val="000000" w:themeColor="text1"/>
              </w:rPr>
              <w:tab/>
              <w:t>evaluare</w:t>
            </w:r>
            <w:r w:rsidRPr="00C54A03">
              <w:rPr>
                <w:color w:val="000000" w:themeColor="text1"/>
              </w:rPr>
              <w:tab/>
              <w:t>nu</w:t>
            </w:r>
            <w:r w:rsidRPr="00C54A03">
              <w:rPr>
                <w:color w:val="000000" w:themeColor="text1"/>
              </w:rPr>
              <w:tab/>
              <w:t>include</w:t>
            </w:r>
            <w:r w:rsidRPr="00C54A03">
              <w:rPr>
                <w:color w:val="000000" w:themeColor="text1"/>
              </w:rPr>
              <w:tab/>
              <w:t>criterii</w:t>
            </w:r>
            <w:r w:rsidRPr="00C54A03">
              <w:rPr>
                <w:color w:val="000000" w:themeColor="text1"/>
              </w:rPr>
              <w:tab/>
              <w:t>explicite</w:t>
            </w:r>
            <w:r w:rsidRPr="00C54A03">
              <w:rPr>
                <w:color w:val="000000" w:themeColor="text1"/>
              </w:rPr>
              <w:tab/>
              <w:t>pentru</w:t>
            </w:r>
            <w:r w:rsidRPr="00C54A03">
              <w:rPr>
                <w:color w:val="000000" w:themeColor="text1"/>
              </w:rPr>
              <w:tab/>
              <w:t>statutul</w:t>
            </w:r>
          </w:p>
          <w:p w14:paraId="2D92803A" w14:textId="77777777" w:rsidR="00E13976" w:rsidRPr="00C54A03" w:rsidRDefault="00E13976" w:rsidP="008E33FD">
            <w:pPr>
              <w:widowControl w:val="0"/>
              <w:autoSpaceDE w:val="0"/>
              <w:autoSpaceDN w:val="0"/>
              <w:spacing w:line="270" w:lineRule="atLeast"/>
              <w:ind w:right="97"/>
              <w:jc w:val="both"/>
              <w:rPr>
                <w:color w:val="000000" w:themeColor="text1"/>
              </w:rPr>
            </w:pPr>
            <w:r w:rsidRPr="00C54A03">
              <w:rPr>
                <w:color w:val="000000" w:themeColor="text1"/>
              </w:rPr>
              <w:t>„nefavorabil-inadecvat” al perspectivelor viitoare. Cu toate acestea, ținând</w:t>
            </w:r>
            <w:r w:rsidRPr="00C54A03">
              <w:rPr>
                <w:color w:val="000000" w:themeColor="text1"/>
                <w:spacing w:val="1"/>
              </w:rPr>
              <w:t xml:space="preserve"> </w:t>
            </w:r>
            <w:r w:rsidRPr="00C54A03">
              <w:rPr>
                <w:color w:val="000000" w:themeColor="text1"/>
              </w:rPr>
              <w:t>cont de metoda de evaluare a perspectivelor de viitor propuse în aceste</w:t>
            </w:r>
            <w:r w:rsidRPr="00C54A03">
              <w:rPr>
                <w:color w:val="000000" w:themeColor="text1"/>
                <w:spacing w:val="1"/>
              </w:rPr>
              <w:t xml:space="preserve"> </w:t>
            </w:r>
            <w:r w:rsidRPr="00C54A03">
              <w:rPr>
                <w:color w:val="000000" w:themeColor="text1"/>
              </w:rPr>
              <w:t>orientări,</w:t>
            </w:r>
            <w:r w:rsidRPr="00C54A03">
              <w:rPr>
                <w:color w:val="000000" w:themeColor="text1"/>
                <w:spacing w:val="1"/>
              </w:rPr>
              <w:t xml:space="preserve"> </w:t>
            </w:r>
            <w:r w:rsidRPr="00C54A03">
              <w:rPr>
                <w:color w:val="000000" w:themeColor="text1"/>
              </w:rPr>
              <w:t>statutul</w:t>
            </w:r>
            <w:r w:rsidRPr="00C54A03">
              <w:rPr>
                <w:color w:val="000000" w:themeColor="text1"/>
                <w:spacing w:val="1"/>
              </w:rPr>
              <w:t xml:space="preserve"> </w:t>
            </w:r>
            <w:r w:rsidRPr="00C54A03">
              <w:rPr>
                <w:color w:val="000000" w:themeColor="text1"/>
              </w:rPr>
              <w:t>ar</w:t>
            </w:r>
            <w:r w:rsidRPr="00C54A03">
              <w:rPr>
                <w:color w:val="000000" w:themeColor="text1"/>
                <w:spacing w:val="1"/>
              </w:rPr>
              <w:t xml:space="preserve"> </w:t>
            </w:r>
            <w:r w:rsidRPr="00C54A03">
              <w:rPr>
                <w:color w:val="000000" w:themeColor="text1"/>
              </w:rPr>
              <w:t>trebui</w:t>
            </w:r>
            <w:r w:rsidRPr="00C54A03">
              <w:rPr>
                <w:color w:val="000000" w:themeColor="text1"/>
                <w:spacing w:val="1"/>
              </w:rPr>
              <w:t xml:space="preserve"> </w:t>
            </w:r>
            <w:r w:rsidRPr="00C54A03">
              <w:rPr>
                <w:color w:val="000000" w:themeColor="text1"/>
              </w:rPr>
              <w:t>considerat</w:t>
            </w:r>
            <w:r w:rsidRPr="00C54A03">
              <w:rPr>
                <w:color w:val="000000" w:themeColor="text1"/>
                <w:spacing w:val="1"/>
              </w:rPr>
              <w:t xml:space="preserve"> </w:t>
            </w:r>
            <w:r w:rsidRPr="00C54A03">
              <w:rPr>
                <w:color w:val="000000" w:themeColor="text1"/>
              </w:rPr>
              <w:t>„nefavorabil-inadecvat”</w:t>
            </w:r>
            <w:r w:rsidRPr="00C54A03">
              <w:rPr>
                <w:color w:val="000000" w:themeColor="text1"/>
                <w:spacing w:val="1"/>
              </w:rPr>
              <w:t xml:space="preserve"> </w:t>
            </w:r>
            <w:r w:rsidRPr="00C54A03">
              <w:rPr>
                <w:color w:val="000000" w:themeColor="text1"/>
              </w:rPr>
              <w:t>dacă</w:t>
            </w:r>
            <w:r w:rsidRPr="00C54A03">
              <w:rPr>
                <w:color w:val="000000" w:themeColor="text1"/>
                <w:spacing w:val="1"/>
              </w:rPr>
              <w:t xml:space="preserve"> </w:t>
            </w:r>
            <w:r w:rsidRPr="00C54A03">
              <w:rPr>
                <w:color w:val="000000" w:themeColor="text1"/>
              </w:rPr>
              <w:t>perspectivele unuia sau mai multor parametri (câmpul 9.1) sunt „sărace”,</w:t>
            </w:r>
            <w:r w:rsidRPr="00C54A03">
              <w:rPr>
                <w:color w:val="000000" w:themeColor="text1"/>
                <w:spacing w:val="1"/>
              </w:rPr>
              <w:t xml:space="preserve"> </w:t>
            </w:r>
            <w:r w:rsidRPr="00C54A03">
              <w:rPr>
                <w:color w:val="000000" w:themeColor="text1"/>
              </w:rPr>
              <w:t>niciunul nu are perspective „proaste”. și există cel puțin un parametru cu</w:t>
            </w:r>
            <w:r w:rsidRPr="00C54A03">
              <w:rPr>
                <w:color w:val="000000" w:themeColor="text1"/>
                <w:spacing w:val="1"/>
              </w:rPr>
              <w:t xml:space="preserve"> </w:t>
            </w:r>
            <w:r w:rsidRPr="00C54A03">
              <w:rPr>
                <w:color w:val="000000" w:themeColor="text1"/>
              </w:rPr>
              <w:t>perspective</w:t>
            </w:r>
            <w:r w:rsidRPr="00C54A03">
              <w:rPr>
                <w:color w:val="000000" w:themeColor="text1"/>
                <w:spacing w:val="-2"/>
              </w:rPr>
              <w:t xml:space="preserve"> </w:t>
            </w:r>
            <w:r w:rsidRPr="00C54A03">
              <w:rPr>
                <w:color w:val="000000" w:themeColor="text1"/>
              </w:rPr>
              <w:t>„necunoscute”.</w:t>
            </w:r>
          </w:p>
        </w:tc>
      </w:tr>
      <w:tr w:rsidR="00E13976" w:rsidRPr="00C54A03" w14:paraId="2845994F" w14:textId="77777777" w:rsidTr="000D3090">
        <w:trPr>
          <w:trHeight w:val="2212"/>
        </w:trPr>
        <w:tc>
          <w:tcPr>
            <w:tcW w:w="1810" w:type="dxa"/>
          </w:tcPr>
          <w:p w14:paraId="13397303" w14:textId="77777777" w:rsidR="00E13976" w:rsidRPr="00C54A03" w:rsidRDefault="00E13976" w:rsidP="008E33FD">
            <w:pPr>
              <w:widowControl w:val="0"/>
              <w:autoSpaceDE w:val="0"/>
              <w:autoSpaceDN w:val="0"/>
              <w:jc w:val="both"/>
              <w:rPr>
                <w:color w:val="000000" w:themeColor="text1"/>
              </w:rPr>
            </w:pPr>
          </w:p>
          <w:p w14:paraId="1DFDF450" w14:textId="77777777" w:rsidR="00E13976" w:rsidRPr="00C54A03" w:rsidRDefault="00E13976" w:rsidP="008E33FD">
            <w:pPr>
              <w:widowControl w:val="0"/>
              <w:autoSpaceDE w:val="0"/>
              <w:autoSpaceDN w:val="0"/>
              <w:jc w:val="both"/>
              <w:rPr>
                <w:color w:val="000000" w:themeColor="text1"/>
              </w:rPr>
            </w:pPr>
          </w:p>
          <w:p w14:paraId="329259B6" w14:textId="77777777" w:rsidR="00E13976" w:rsidRPr="00C54A03" w:rsidRDefault="00E13976" w:rsidP="008E33FD">
            <w:pPr>
              <w:widowControl w:val="0"/>
              <w:autoSpaceDE w:val="0"/>
              <w:autoSpaceDN w:val="0"/>
              <w:spacing w:before="216"/>
              <w:ind w:right="154"/>
              <w:jc w:val="both"/>
              <w:rPr>
                <w:color w:val="000000" w:themeColor="text1"/>
              </w:rPr>
            </w:pPr>
            <w:r w:rsidRPr="00C54A03">
              <w:rPr>
                <w:color w:val="000000" w:themeColor="text1"/>
                <w:spacing w:val="-1"/>
              </w:rPr>
              <w:t>Nefavorabil-rău</w:t>
            </w:r>
            <w:r w:rsidRPr="00C54A03">
              <w:rPr>
                <w:color w:val="000000" w:themeColor="text1"/>
                <w:spacing w:val="-57"/>
              </w:rPr>
              <w:t xml:space="preserve"> </w:t>
            </w:r>
            <w:r w:rsidRPr="00C54A03">
              <w:rPr>
                <w:color w:val="000000" w:themeColor="text1"/>
              </w:rPr>
              <w:t>(U2)</w:t>
            </w:r>
          </w:p>
        </w:tc>
        <w:tc>
          <w:tcPr>
            <w:tcW w:w="7918" w:type="dxa"/>
          </w:tcPr>
          <w:p w14:paraId="33885AE2" w14:textId="77777777" w:rsidR="00E13976" w:rsidRPr="00C54A03" w:rsidRDefault="00E13976" w:rsidP="008E33FD">
            <w:pPr>
              <w:widowControl w:val="0"/>
              <w:autoSpaceDE w:val="0"/>
              <w:autoSpaceDN w:val="0"/>
              <w:ind w:right="101"/>
              <w:jc w:val="both"/>
              <w:rPr>
                <w:color w:val="000000" w:themeColor="text1"/>
              </w:rPr>
            </w:pPr>
            <w:r w:rsidRPr="00C54A03">
              <w:rPr>
                <w:color w:val="000000" w:themeColor="text1"/>
              </w:rPr>
              <w:t>Conform matricei de evaluare (anexa E), statutul perspectivelor de viitor</w:t>
            </w:r>
            <w:r w:rsidRPr="00C54A03">
              <w:rPr>
                <w:color w:val="000000" w:themeColor="text1"/>
                <w:spacing w:val="1"/>
              </w:rPr>
              <w:t xml:space="preserve"> </w:t>
            </w:r>
            <w:r w:rsidRPr="00C54A03">
              <w:rPr>
                <w:color w:val="000000" w:themeColor="text1"/>
              </w:rPr>
              <w:t>este</w:t>
            </w:r>
            <w:r w:rsidRPr="00C54A03">
              <w:rPr>
                <w:color w:val="000000" w:themeColor="text1"/>
                <w:spacing w:val="-2"/>
              </w:rPr>
              <w:t xml:space="preserve"> </w:t>
            </w:r>
            <w:r w:rsidRPr="00C54A03">
              <w:rPr>
                <w:color w:val="000000" w:themeColor="text1"/>
              </w:rPr>
              <w:t>„nefavorabil-rău”</w:t>
            </w:r>
            <w:r w:rsidRPr="00C54A03">
              <w:rPr>
                <w:color w:val="000000" w:themeColor="text1"/>
                <w:spacing w:val="-1"/>
              </w:rPr>
              <w:t xml:space="preserve"> </w:t>
            </w:r>
            <w:r w:rsidRPr="00C54A03">
              <w:rPr>
                <w:color w:val="000000" w:themeColor="text1"/>
              </w:rPr>
              <w:t>dacă:</w:t>
            </w:r>
          </w:p>
          <w:p w14:paraId="111359AF" w14:textId="77777777" w:rsidR="00E13976" w:rsidRPr="00C54A03" w:rsidRDefault="00E13976" w:rsidP="008E33FD">
            <w:pPr>
              <w:widowControl w:val="0"/>
              <w:autoSpaceDE w:val="0"/>
              <w:autoSpaceDN w:val="0"/>
              <w:spacing w:line="232" w:lineRule="auto"/>
              <w:ind w:right="99"/>
              <w:jc w:val="both"/>
              <w:rPr>
                <w:color w:val="000000" w:themeColor="text1"/>
              </w:rPr>
            </w:pPr>
            <w:r w:rsidRPr="00C54A03">
              <w:rPr>
                <w:color w:val="000000" w:themeColor="text1"/>
              </w:rPr>
              <w:t>-</w:t>
            </w:r>
            <w:r w:rsidRPr="00C54A03">
              <w:rPr>
                <w:color w:val="000000" w:themeColor="text1"/>
                <w:spacing w:val="1"/>
              </w:rPr>
              <w:t xml:space="preserve"> </w:t>
            </w:r>
            <w:r w:rsidRPr="00C54A03">
              <w:rPr>
                <w:color w:val="000000" w:themeColor="text1"/>
              </w:rPr>
              <w:t>Se așteaptă impacturi severe din cauza presiunilor și amenințărilor</w:t>
            </w:r>
            <w:r w:rsidRPr="00C54A03">
              <w:rPr>
                <w:color w:val="000000" w:themeColor="text1"/>
                <w:spacing w:val="1"/>
              </w:rPr>
              <w:t xml:space="preserve"> </w:t>
            </w:r>
            <w:r w:rsidRPr="00C54A03">
              <w:rPr>
                <w:color w:val="000000" w:themeColor="text1"/>
              </w:rPr>
              <w:t>asupra habitatului, perspectivele viitorului său sunt „proaste”, iar</w:t>
            </w:r>
            <w:r w:rsidRPr="00C54A03">
              <w:rPr>
                <w:color w:val="000000" w:themeColor="text1"/>
                <w:spacing w:val="1"/>
              </w:rPr>
              <w:t xml:space="preserve"> </w:t>
            </w:r>
            <w:r w:rsidRPr="00C54A03">
              <w:rPr>
                <w:color w:val="000000" w:themeColor="text1"/>
              </w:rPr>
              <w:t>viabilitatea</w:t>
            </w:r>
            <w:r w:rsidRPr="00C54A03">
              <w:rPr>
                <w:color w:val="000000" w:themeColor="text1"/>
                <w:spacing w:val="-2"/>
              </w:rPr>
              <w:t xml:space="preserve"> </w:t>
            </w:r>
            <w:r w:rsidRPr="00C54A03">
              <w:rPr>
                <w:color w:val="000000" w:themeColor="text1"/>
              </w:rPr>
              <w:t>pe</w:t>
            </w:r>
            <w:r w:rsidRPr="00C54A03">
              <w:rPr>
                <w:color w:val="000000" w:themeColor="text1"/>
                <w:spacing w:val="-1"/>
              </w:rPr>
              <w:t xml:space="preserve"> </w:t>
            </w:r>
            <w:r w:rsidRPr="00C54A03">
              <w:rPr>
                <w:color w:val="000000" w:themeColor="text1"/>
              </w:rPr>
              <w:t>termen lung</w:t>
            </w:r>
            <w:r w:rsidRPr="00C54A03">
              <w:rPr>
                <w:color w:val="000000" w:themeColor="text1"/>
                <w:spacing w:val="-3"/>
              </w:rPr>
              <w:t xml:space="preserve"> </w:t>
            </w:r>
            <w:r w:rsidRPr="00C54A03">
              <w:rPr>
                <w:color w:val="000000" w:themeColor="text1"/>
              </w:rPr>
              <w:t>nu</w:t>
            </w:r>
            <w:r w:rsidRPr="00C54A03">
              <w:rPr>
                <w:color w:val="000000" w:themeColor="text1"/>
                <w:spacing w:val="-1"/>
              </w:rPr>
              <w:t xml:space="preserve"> </w:t>
            </w:r>
            <w:r w:rsidRPr="00C54A03">
              <w:rPr>
                <w:color w:val="000000" w:themeColor="text1"/>
              </w:rPr>
              <w:t>este</w:t>
            </w:r>
            <w:r w:rsidRPr="00C54A03">
              <w:rPr>
                <w:color w:val="000000" w:themeColor="text1"/>
                <w:spacing w:val="1"/>
              </w:rPr>
              <w:t xml:space="preserve"> </w:t>
            </w:r>
            <w:r w:rsidRPr="00C54A03">
              <w:rPr>
                <w:color w:val="000000" w:themeColor="text1"/>
              </w:rPr>
              <w:t>asigurată.</w:t>
            </w:r>
          </w:p>
          <w:p w14:paraId="2E64504A" w14:textId="77777777" w:rsidR="00E13976" w:rsidRPr="00C54A03" w:rsidRDefault="00E13976" w:rsidP="008E33FD">
            <w:pPr>
              <w:widowControl w:val="0"/>
              <w:autoSpaceDE w:val="0"/>
              <w:autoSpaceDN w:val="0"/>
              <w:jc w:val="both"/>
              <w:rPr>
                <w:color w:val="000000" w:themeColor="text1"/>
              </w:rPr>
            </w:pPr>
            <w:r w:rsidRPr="00C54A03">
              <w:rPr>
                <w:color w:val="000000" w:themeColor="text1"/>
              </w:rPr>
              <w:t>Informațiisuplimentare:</w:t>
            </w:r>
          </w:p>
          <w:p w14:paraId="5968E5D2" w14:textId="77777777" w:rsidR="00E13976" w:rsidRPr="00C54A03" w:rsidRDefault="00E13976" w:rsidP="008E33FD">
            <w:pPr>
              <w:widowControl w:val="0"/>
              <w:autoSpaceDE w:val="0"/>
              <w:autoSpaceDN w:val="0"/>
              <w:spacing w:line="270" w:lineRule="atLeast"/>
              <w:ind w:right="95"/>
              <w:jc w:val="both"/>
              <w:rPr>
                <w:color w:val="000000" w:themeColor="text1"/>
              </w:rPr>
            </w:pPr>
            <w:r w:rsidRPr="00C54A03">
              <w:rPr>
                <w:color w:val="000000" w:themeColor="text1"/>
              </w:rPr>
              <w:t>Perspectivele</w:t>
            </w:r>
            <w:r w:rsidRPr="00C54A03">
              <w:rPr>
                <w:color w:val="000000" w:themeColor="text1"/>
                <w:spacing w:val="22"/>
              </w:rPr>
              <w:t xml:space="preserve"> </w:t>
            </w:r>
            <w:r w:rsidRPr="00C54A03">
              <w:rPr>
                <w:color w:val="000000" w:themeColor="text1"/>
              </w:rPr>
              <w:t>de</w:t>
            </w:r>
            <w:r w:rsidRPr="00C54A03">
              <w:rPr>
                <w:color w:val="000000" w:themeColor="text1"/>
                <w:spacing w:val="21"/>
              </w:rPr>
              <w:t xml:space="preserve"> </w:t>
            </w:r>
            <w:r w:rsidRPr="00C54A03">
              <w:rPr>
                <w:color w:val="000000" w:themeColor="text1"/>
              </w:rPr>
              <w:t>viitor</w:t>
            </w:r>
            <w:r w:rsidRPr="00C54A03">
              <w:rPr>
                <w:color w:val="000000" w:themeColor="text1"/>
                <w:spacing w:val="23"/>
              </w:rPr>
              <w:t xml:space="preserve"> </w:t>
            </w:r>
            <w:r w:rsidRPr="00C54A03">
              <w:rPr>
                <w:color w:val="000000" w:themeColor="text1"/>
              </w:rPr>
              <w:t>ar</w:t>
            </w:r>
            <w:r w:rsidRPr="00C54A03">
              <w:rPr>
                <w:color w:val="000000" w:themeColor="text1"/>
                <w:spacing w:val="22"/>
              </w:rPr>
              <w:t xml:space="preserve"> </w:t>
            </w:r>
            <w:r w:rsidRPr="00C54A03">
              <w:rPr>
                <w:color w:val="000000" w:themeColor="text1"/>
              </w:rPr>
              <w:t>trebui</w:t>
            </w:r>
            <w:r w:rsidRPr="00C54A03">
              <w:rPr>
                <w:color w:val="000000" w:themeColor="text1"/>
                <w:spacing w:val="24"/>
              </w:rPr>
              <w:t xml:space="preserve"> </w:t>
            </w:r>
            <w:r w:rsidRPr="00C54A03">
              <w:rPr>
                <w:color w:val="000000" w:themeColor="text1"/>
              </w:rPr>
              <w:t>evaluate</w:t>
            </w:r>
            <w:r w:rsidRPr="00C54A03">
              <w:rPr>
                <w:color w:val="000000" w:themeColor="text1"/>
                <w:spacing w:val="28"/>
              </w:rPr>
              <w:t xml:space="preserve"> </w:t>
            </w:r>
            <w:r w:rsidRPr="00C54A03">
              <w:rPr>
                <w:color w:val="000000" w:themeColor="text1"/>
              </w:rPr>
              <w:t>ca</w:t>
            </w:r>
            <w:r w:rsidRPr="00C54A03">
              <w:rPr>
                <w:color w:val="000000" w:themeColor="text1"/>
                <w:spacing w:val="22"/>
              </w:rPr>
              <w:t xml:space="preserve"> </w:t>
            </w:r>
            <w:r w:rsidRPr="00C54A03">
              <w:rPr>
                <w:color w:val="000000" w:themeColor="text1"/>
              </w:rPr>
              <w:t>„nefavorabile-rele”</w:t>
            </w:r>
            <w:r w:rsidRPr="00C54A03">
              <w:rPr>
                <w:color w:val="000000" w:themeColor="text1"/>
                <w:spacing w:val="21"/>
              </w:rPr>
              <w:t xml:space="preserve"> </w:t>
            </w:r>
            <w:r w:rsidRPr="00C54A03">
              <w:rPr>
                <w:color w:val="000000" w:themeColor="text1"/>
              </w:rPr>
              <w:t>dacă</w:t>
            </w:r>
            <w:r w:rsidRPr="00C54A03">
              <w:rPr>
                <w:color w:val="000000" w:themeColor="text1"/>
                <w:spacing w:val="22"/>
              </w:rPr>
              <w:t xml:space="preserve"> </w:t>
            </w:r>
            <w:r w:rsidRPr="00C54A03">
              <w:rPr>
                <w:color w:val="000000" w:themeColor="text1"/>
              </w:rPr>
              <w:t>unul</w:t>
            </w:r>
            <w:r w:rsidRPr="00C54A03">
              <w:rPr>
                <w:color w:val="000000" w:themeColor="text1"/>
                <w:spacing w:val="-57"/>
              </w:rPr>
              <w:t xml:space="preserve"> </w:t>
            </w:r>
            <w:r w:rsidRPr="00C54A03">
              <w:rPr>
                <w:color w:val="000000" w:themeColor="text1"/>
              </w:rPr>
              <w:t>sau</w:t>
            </w:r>
            <w:r w:rsidRPr="00C54A03">
              <w:rPr>
                <w:color w:val="000000" w:themeColor="text1"/>
                <w:spacing w:val="-1"/>
              </w:rPr>
              <w:t xml:space="preserve"> </w:t>
            </w:r>
            <w:r w:rsidRPr="00C54A03">
              <w:rPr>
                <w:color w:val="000000" w:themeColor="text1"/>
              </w:rPr>
              <w:t>mai mulți</w:t>
            </w:r>
            <w:r w:rsidRPr="00C54A03">
              <w:rPr>
                <w:color w:val="000000" w:themeColor="text1"/>
                <w:spacing w:val="-1"/>
              </w:rPr>
              <w:t xml:space="preserve"> </w:t>
            </w:r>
            <w:r w:rsidRPr="00C54A03">
              <w:rPr>
                <w:color w:val="000000" w:themeColor="text1"/>
              </w:rPr>
              <w:t>parametri au perspective</w:t>
            </w:r>
            <w:r w:rsidRPr="00C54A03">
              <w:rPr>
                <w:color w:val="000000" w:themeColor="text1"/>
                <w:spacing w:val="-2"/>
              </w:rPr>
              <w:t xml:space="preserve"> </w:t>
            </w:r>
            <w:r w:rsidRPr="00C54A03">
              <w:rPr>
                <w:color w:val="000000" w:themeColor="text1"/>
              </w:rPr>
              <w:t>„proaste”</w:t>
            </w:r>
            <w:r w:rsidRPr="00C54A03">
              <w:rPr>
                <w:color w:val="000000" w:themeColor="text1"/>
                <w:spacing w:val="-1"/>
              </w:rPr>
              <w:t xml:space="preserve"> </w:t>
            </w:r>
            <w:r w:rsidRPr="00C54A03">
              <w:rPr>
                <w:color w:val="000000" w:themeColor="text1"/>
              </w:rPr>
              <w:t>(câmpul 9.1).</w:t>
            </w:r>
          </w:p>
        </w:tc>
      </w:tr>
      <w:tr w:rsidR="00E13976" w:rsidRPr="00C54A03" w14:paraId="3EBB0F5A" w14:textId="77777777" w:rsidTr="000D3090">
        <w:trPr>
          <w:trHeight w:val="1936"/>
        </w:trPr>
        <w:tc>
          <w:tcPr>
            <w:tcW w:w="1810" w:type="dxa"/>
          </w:tcPr>
          <w:p w14:paraId="11173462" w14:textId="77777777" w:rsidR="00E13976" w:rsidRPr="00C54A03" w:rsidRDefault="00E13976" w:rsidP="008E33FD">
            <w:pPr>
              <w:widowControl w:val="0"/>
              <w:autoSpaceDE w:val="0"/>
              <w:autoSpaceDN w:val="0"/>
              <w:jc w:val="both"/>
              <w:rPr>
                <w:color w:val="000000" w:themeColor="text1"/>
              </w:rPr>
            </w:pPr>
          </w:p>
          <w:p w14:paraId="42414E6C" w14:textId="77777777" w:rsidR="00E13976" w:rsidRPr="00C54A03" w:rsidRDefault="00E13976" w:rsidP="008E33FD">
            <w:pPr>
              <w:widowControl w:val="0"/>
              <w:autoSpaceDE w:val="0"/>
              <w:autoSpaceDN w:val="0"/>
              <w:spacing w:before="10"/>
              <w:jc w:val="both"/>
              <w:rPr>
                <w:color w:val="000000" w:themeColor="text1"/>
              </w:rPr>
            </w:pPr>
          </w:p>
          <w:p w14:paraId="5E6A4F43" w14:textId="77777777" w:rsidR="00E13976" w:rsidRPr="00C54A03" w:rsidRDefault="00E13976" w:rsidP="008E33FD">
            <w:pPr>
              <w:widowControl w:val="0"/>
              <w:autoSpaceDE w:val="0"/>
              <w:autoSpaceDN w:val="0"/>
              <w:ind w:right="549"/>
              <w:jc w:val="both"/>
              <w:rPr>
                <w:color w:val="000000" w:themeColor="text1"/>
              </w:rPr>
            </w:pPr>
            <w:r w:rsidRPr="00C54A03">
              <w:rPr>
                <w:color w:val="000000" w:themeColor="text1"/>
                <w:spacing w:val="-1"/>
              </w:rPr>
              <w:t>Necunoscut</w:t>
            </w:r>
            <w:r w:rsidRPr="00C54A03">
              <w:rPr>
                <w:color w:val="000000" w:themeColor="text1"/>
                <w:spacing w:val="-57"/>
              </w:rPr>
              <w:t xml:space="preserve"> </w:t>
            </w:r>
            <w:r w:rsidRPr="00C54A03">
              <w:rPr>
                <w:color w:val="000000" w:themeColor="text1"/>
              </w:rPr>
              <w:t>(XX)</w:t>
            </w:r>
          </w:p>
        </w:tc>
        <w:tc>
          <w:tcPr>
            <w:tcW w:w="7918" w:type="dxa"/>
          </w:tcPr>
          <w:p w14:paraId="2F6FA8DD" w14:textId="77777777" w:rsidR="00E13976" w:rsidRPr="00C54A03" w:rsidRDefault="00E13976" w:rsidP="008E33FD">
            <w:pPr>
              <w:widowControl w:val="0"/>
              <w:autoSpaceDE w:val="0"/>
              <w:autoSpaceDN w:val="0"/>
              <w:ind w:right="100"/>
              <w:jc w:val="both"/>
              <w:rPr>
                <w:color w:val="000000" w:themeColor="text1"/>
              </w:rPr>
            </w:pPr>
            <w:r w:rsidRPr="00C54A03">
              <w:rPr>
                <w:color w:val="000000" w:themeColor="text1"/>
              </w:rPr>
              <w:t>Conform</w:t>
            </w:r>
            <w:r w:rsidRPr="00C54A03">
              <w:rPr>
                <w:color w:val="000000" w:themeColor="text1"/>
                <w:spacing w:val="46"/>
              </w:rPr>
              <w:t xml:space="preserve"> </w:t>
            </w:r>
            <w:r w:rsidRPr="00C54A03">
              <w:rPr>
                <w:color w:val="000000" w:themeColor="text1"/>
              </w:rPr>
              <w:t>matricei</w:t>
            </w:r>
            <w:r w:rsidRPr="00C54A03">
              <w:rPr>
                <w:color w:val="000000" w:themeColor="text1"/>
                <w:spacing w:val="46"/>
              </w:rPr>
              <w:t xml:space="preserve"> </w:t>
            </w:r>
            <w:r w:rsidRPr="00C54A03">
              <w:rPr>
                <w:color w:val="000000" w:themeColor="text1"/>
              </w:rPr>
              <w:t>de</w:t>
            </w:r>
            <w:r w:rsidRPr="00C54A03">
              <w:rPr>
                <w:color w:val="000000" w:themeColor="text1"/>
                <w:spacing w:val="44"/>
              </w:rPr>
              <w:t xml:space="preserve"> </w:t>
            </w:r>
            <w:r w:rsidRPr="00C54A03">
              <w:rPr>
                <w:color w:val="000000" w:themeColor="text1"/>
              </w:rPr>
              <w:t>evaluare</w:t>
            </w:r>
            <w:r w:rsidRPr="00C54A03">
              <w:rPr>
                <w:color w:val="000000" w:themeColor="text1"/>
                <w:spacing w:val="44"/>
              </w:rPr>
              <w:t xml:space="preserve"> </w:t>
            </w:r>
            <w:r w:rsidRPr="00C54A03">
              <w:rPr>
                <w:color w:val="000000" w:themeColor="text1"/>
              </w:rPr>
              <w:t>(anexa</w:t>
            </w:r>
            <w:r w:rsidRPr="00C54A03">
              <w:rPr>
                <w:color w:val="000000" w:themeColor="text1"/>
                <w:spacing w:val="44"/>
              </w:rPr>
              <w:t xml:space="preserve"> </w:t>
            </w:r>
            <w:r w:rsidRPr="00C54A03">
              <w:rPr>
                <w:color w:val="000000" w:themeColor="text1"/>
              </w:rPr>
              <w:t>E),</w:t>
            </w:r>
            <w:r w:rsidRPr="00C54A03">
              <w:rPr>
                <w:color w:val="000000" w:themeColor="text1"/>
                <w:spacing w:val="46"/>
              </w:rPr>
              <w:t xml:space="preserve"> </w:t>
            </w:r>
            <w:r w:rsidRPr="00C54A03">
              <w:rPr>
                <w:color w:val="000000" w:themeColor="text1"/>
              </w:rPr>
              <w:t>situația</w:t>
            </w:r>
            <w:r w:rsidRPr="00C54A03">
              <w:rPr>
                <w:color w:val="000000" w:themeColor="text1"/>
                <w:spacing w:val="44"/>
              </w:rPr>
              <w:t xml:space="preserve"> </w:t>
            </w:r>
            <w:r w:rsidRPr="00C54A03">
              <w:rPr>
                <w:color w:val="000000" w:themeColor="text1"/>
              </w:rPr>
              <w:t>perspectivelor</w:t>
            </w:r>
            <w:r w:rsidRPr="00C54A03">
              <w:rPr>
                <w:color w:val="000000" w:themeColor="text1"/>
                <w:spacing w:val="45"/>
              </w:rPr>
              <w:t xml:space="preserve"> </w:t>
            </w:r>
            <w:r w:rsidRPr="00C54A03">
              <w:rPr>
                <w:color w:val="000000" w:themeColor="text1"/>
              </w:rPr>
              <w:t>viitoare</w:t>
            </w:r>
            <w:r w:rsidRPr="00C54A03">
              <w:rPr>
                <w:color w:val="000000" w:themeColor="text1"/>
                <w:spacing w:val="-58"/>
              </w:rPr>
              <w:t xml:space="preserve"> </w:t>
            </w:r>
            <w:r w:rsidRPr="00C54A03">
              <w:rPr>
                <w:color w:val="000000" w:themeColor="text1"/>
              </w:rPr>
              <w:t>este</w:t>
            </w:r>
            <w:r w:rsidRPr="00C54A03">
              <w:rPr>
                <w:color w:val="000000" w:themeColor="text1"/>
                <w:spacing w:val="-2"/>
              </w:rPr>
              <w:t xml:space="preserve"> </w:t>
            </w:r>
            <w:r w:rsidRPr="00C54A03">
              <w:rPr>
                <w:color w:val="000000" w:themeColor="text1"/>
              </w:rPr>
              <w:t>„necunoscută”</w:t>
            </w:r>
            <w:r w:rsidRPr="00C54A03">
              <w:rPr>
                <w:color w:val="000000" w:themeColor="text1"/>
                <w:spacing w:val="-1"/>
              </w:rPr>
              <w:t xml:space="preserve"> </w:t>
            </w:r>
            <w:r w:rsidRPr="00C54A03">
              <w:rPr>
                <w:color w:val="000000" w:themeColor="text1"/>
              </w:rPr>
              <w:t>dacă:</w:t>
            </w:r>
          </w:p>
          <w:p w14:paraId="69ADF2DC" w14:textId="77777777" w:rsidR="00E13976" w:rsidRPr="00C54A03" w:rsidRDefault="00E13976" w:rsidP="008E33FD">
            <w:pPr>
              <w:widowControl w:val="0"/>
              <w:autoSpaceDE w:val="0"/>
              <w:autoSpaceDN w:val="0"/>
              <w:spacing w:line="230" w:lineRule="auto"/>
              <w:ind w:right="1340"/>
              <w:jc w:val="both"/>
              <w:rPr>
                <w:color w:val="000000" w:themeColor="text1"/>
              </w:rPr>
            </w:pPr>
            <w:r w:rsidRPr="00C54A03">
              <w:rPr>
                <w:color w:val="000000" w:themeColor="text1"/>
              </w:rPr>
              <w:t>-</w:t>
            </w:r>
            <w:r w:rsidRPr="00C54A03">
              <w:rPr>
                <w:color w:val="000000" w:themeColor="text1"/>
                <w:spacing w:val="1"/>
              </w:rPr>
              <w:t xml:space="preserve"> </w:t>
            </w:r>
            <w:r w:rsidRPr="00C54A03">
              <w:rPr>
                <w:color w:val="000000" w:themeColor="text1"/>
              </w:rPr>
              <w:t>nu există informații fiabile sau insuficiente disponibile.</w:t>
            </w:r>
            <w:r w:rsidRPr="00C54A03">
              <w:rPr>
                <w:color w:val="000000" w:themeColor="text1"/>
                <w:spacing w:val="-57"/>
              </w:rPr>
              <w:t xml:space="preserve"> </w:t>
            </w:r>
            <w:r w:rsidRPr="00C54A03">
              <w:rPr>
                <w:color w:val="000000" w:themeColor="text1"/>
              </w:rPr>
              <w:t>Observații</w:t>
            </w:r>
            <w:r w:rsidRPr="00C54A03">
              <w:rPr>
                <w:color w:val="000000" w:themeColor="text1"/>
                <w:spacing w:val="-1"/>
              </w:rPr>
              <w:t xml:space="preserve"> </w:t>
            </w:r>
            <w:r w:rsidRPr="00C54A03">
              <w:rPr>
                <w:color w:val="000000" w:themeColor="text1"/>
              </w:rPr>
              <w:t>complementare:</w:t>
            </w:r>
          </w:p>
          <w:p w14:paraId="514AD430" w14:textId="77777777" w:rsidR="00E13976" w:rsidRPr="00C54A03" w:rsidRDefault="00E13976" w:rsidP="008E33FD">
            <w:pPr>
              <w:widowControl w:val="0"/>
              <w:autoSpaceDE w:val="0"/>
              <w:autoSpaceDN w:val="0"/>
              <w:spacing w:line="270" w:lineRule="atLeast"/>
              <w:ind w:right="100"/>
              <w:jc w:val="both"/>
              <w:rPr>
                <w:color w:val="000000" w:themeColor="text1"/>
              </w:rPr>
            </w:pPr>
            <w:r w:rsidRPr="00C54A03">
              <w:rPr>
                <w:color w:val="000000" w:themeColor="text1"/>
              </w:rPr>
              <w:t>Perspectivele</w:t>
            </w:r>
            <w:r w:rsidRPr="00C54A03">
              <w:rPr>
                <w:color w:val="000000" w:themeColor="text1"/>
                <w:spacing w:val="36"/>
              </w:rPr>
              <w:t xml:space="preserve"> </w:t>
            </w:r>
            <w:r w:rsidRPr="00C54A03">
              <w:rPr>
                <w:color w:val="000000" w:themeColor="text1"/>
              </w:rPr>
              <w:t>de</w:t>
            </w:r>
            <w:r w:rsidRPr="00C54A03">
              <w:rPr>
                <w:color w:val="000000" w:themeColor="text1"/>
                <w:spacing w:val="37"/>
              </w:rPr>
              <w:t xml:space="preserve"> </w:t>
            </w:r>
            <w:r w:rsidRPr="00C54A03">
              <w:rPr>
                <w:color w:val="000000" w:themeColor="text1"/>
              </w:rPr>
              <w:t>viitor</w:t>
            </w:r>
            <w:r w:rsidRPr="00C54A03">
              <w:rPr>
                <w:color w:val="000000" w:themeColor="text1"/>
                <w:spacing w:val="37"/>
              </w:rPr>
              <w:t xml:space="preserve"> </w:t>
            </w:r>
            <w:r w:rsidRPr="00C54A03">
              <w:rPr>
                <w:color w:val="000000" w:themeColor="text1"/>
              </w:rPr>
              <w:t>ar</w:t>
            </w:r>
            <w:r w:rsidRPr="00C54A03">
              <w:rPr>
                <w:color w:val="000000" w:themeColor="text1"/>
                <w:spacing w:val="37"/>
              </w:rPr>
              <w:t xml:space="preserve"> </w:t>
            </w:r>
            <w:r w:rsidRPr="00C54A03">
              <w:rPr>
                <w:color w:val="000000" w:themeColor="text1"/>
              </w:rPr>
              <w:t>trebui</w:t>
            </w:r>
            <w:r w:rsidRPr="00C54A03">
              <w:rPr>
                <w:color w:val="000000" w:themeColor="text1"/>
                <w:spacing w:val="37"/>
              </w:rPr>
              <w:t xml:space="preserve"> </w:t>
            </w:r>
            <w:r w:rsidRPr="00C54A03">
              <w:rPr>
                <w:color w:val="000000" w:themeColor="text1"/>
              </w:rPr>
              <w:t>evaluate</w:t>
            </w:r>
            <w:r w:rsidRPr="00C54A03">
              <w:rPr>
                <w:color w:val="000000" w:themeColor="text1"/>
                <w:spacing w:val="39"/>
              </w:rPr>
              <w:t xml:space="preserve"> </w:t>
            </w:r>
            <w:r w:rsidRPr="00C54A03">
              <w:rPr>
                <w:color w:val="000000" w:themeColor="text1"/>
              </w:rPr>
              <w:t>ca</w:t>
            </w:r>
            <w:r w:rsidRPr="00C54A03">
              <w:rPr>
                <w:color w:val="000000" w:themeColor="text1"/>
                <w:spacing w:val="36"/>
              </w:rPr>
              <w:t xml:space="preserve"> </w:t>
            </w:r>
            <w:r w:rsidRPr="00C54A03">
              <w:rPr>
                <w:color w:val="000000" w:themeColor="text1"/>
              </w:rPr>
              <w:t>„necunoscute”</w:t>
            </w:r>
            <w:r w:rsidRPr="00C54A03">
              <w:rPr>
                <w:color w:val="000000" w:themeColor="text1"/>
                <w:spacing w:val="36"/>
              </w:rPr>
              <w:t xml:space="preserve"> </w:t>
            </w:r>
            <w:r w:rsidRPr="00C54A03">
              <w:rPr>
                <w:color w:val="000000" w:themeColor="text1"/>
              </w:rPr>
              <w:t>dacă</w:t>
            </w:r>
            <w:r w:rsidRPr="00C54A03">
              <w:rPr>
                <w:color w:val="000000" w:themeColor="text1"/>
                <w:spacing w:val="36"/>
              </w:rPr>
              <w:t xml:space="preserve"> </w:t>
            </w:r>
            <w:r w:rsidRPr="00C54A03">
              <w:rPr>
                <w:color w:val="000000" w:themeColor="text1"/>
              </w:rPr>
              <w:t>doi</w:t>
            </w:r>
            <w:r w:rsidRPr="00C54A03">
              <w:rPr>
                <w:color w:val="000000" w:themeColor="text1"/>
                <w:spacing w:val="38"/>
              </w:rPr>
              <w:t xml:space="preserve"> </w:t>
            </w:r>
            <w:r w:rsidRPr="00C54A03">
              <w:rPr>
                <w:color w:val="000000" w:themeColor="text1"/>
              </w:rPr>
              <w:t>sau</w:t>
            </w:r>
            <w:r w:rsidRPr="00C54A03">
              <w:rPr>
                <w:color w:val="000000" w:themeColor="text1"/>
                <w:spacing w:val="-58"/>
              </w:rPr>
              <w:t xml:space="preserve"> </w:t>
            </w:r>
            <w:r w:rsidRPr="00C54A03">
              <w:rPr>
                <w:color w:val="000000" w:themeColor="text1"/>
              </w:rPr>
              <w:t>mai mulți parametri au perspective „necunoscute” și dacă niciun parametru</w:t>
            </w:r>
            <w:r w:rsidRPr="00C54A03">
              <w:rPr>
                <w:color w:val="000000" w:themeColor="text1"/>
                <w:spacing w:val="-57"/>
              </w:rPr>
              <w:t xml:space="preserve"> </w:t>
            </w:r>
            <w:r w:rsidRPr="00C54A03">
              <w:rPr>
                <w:color w:val="000000" w:themeColor="text1"/>
              </w:rPr>
              <w:t>nu</w:t>
            </w:r>
            <w:r w:rsidRPr="00C54A03">
              <w:rPr>
                <w:color w:val="000000" w:themeColor="text1"/>
                <w:spacing w:val="-1"/>
              </w:rPr>
              <w:t xml:space="preserve"> </w:t>
            </w:r>
            <w:r w:rsidRPr="00C54A03">
              <w:rPr>
                <w:color w:val="000000" w:themeColor="text1"/>
              </w:rPr>
              <w:t>are</w:t>
            </w:r>
            <w:r w:rsidRPr="00C54A03">
              <w:rPr>
                <w:color w:val="000000" w:themeColor="text1"/>
                <w:spacing w:val="-2"/>
              </w:rPr>
              <w:t xml:space="preserve"> </w:t>
            </w:r>
            <w:r w:rsidRPr="00C54A03">
              <w:rPr>
                <w:color w:val="000000" w:themeColor="text1"/>
              </w:rPr>
              <w:t>perspective</w:t>
            </w:r>
            <w:r w:rsidRPr="00C54A03">
              <w:rPr>
                <w:color w:val="000000" w:themeColor="text1"/>
                <w:spacing w:val="-1"/>
              </w:rPr>
              <w:t xml:space="preserve"> </w:t>
            </w:r>
            <w:r w:rsidRPr="00C54A03">
              <w:rPr>
                <w:color w:val="000000" w:themeColor="text1"/>
              </w:rPr>
              <w:t>„proaste”</w:t>
            </w:r>
            <w:r w:rsidRPr="00C54A03">
              <w:rPr>
                <w:color w:val="000000" w:themeColor="text1"/>
                <w:spacing w:val="-2"/>
              </w:rPr>
              <w:t xml:space="preserve"> </w:t>
            </w:r>
            <w:r w:rsidRPr="00C54A03">
              <w:rPr>
                <w:color w:val="000000" w:themeColor="text1"/>
              </w:rPr>
              <w:t>(câmpul 9.1).</w:t>
            </w:r>
          </w:p>
        </w:tc>
      </w:tr>
    </w:tbl>
    <w:p w14:paraId="2948C856" w14:textId="77777777" w:rsidR="00C350FB" w:rsidRPr="00C54A03" w:rsidRDefault="00C350FB" w:rsidP="008E33FD">
      <w:pPr>
        <w:widowControl w:val="0"/>
        <w:tabs>
          <w:tab w:val="left" w:pos="1115"/>
        </w:tabs>
        <w:autoSpaceDE w:val="0"/>
        <w:autoSpaceDN w:val="0"/>
        <w:spacing w:before="70"/>
        <w:ind w:right="668"/>
        <w:jc w:val="both"/>
        <w:outlineLvl w:val="0"/>
        <w:rPr>
          <w:rFonts w:eastAsia="Cambria"/>
          <w:b/>
          <w:bCs/>
          <w:color w:val="000000" w:themeColor="text1"/>
        </w:rPr>
      </w:pPr>
    </w:p>
    <w:p w14:paraId="683A6082" w14:textId="77777777" w:rsidR="00C350FB" w:rsidRPr="00C54A03" w:rsidRDefault="00C350FB" w:rsidP="008E33FD">
      <w:pPr>
        <w:widowControl w:val="0"/>
        <w:tabs>
          <w:tab w:val="left" w:pos="1115"/>
        </w:tabs>
        <w:autoSpaceDE w:val="0"/>
        <w:autoSpaceDN w:val="0"/>
        <w:spacing w:before="70"/>
        <w:ind w:right="668"/>
        <w:jc w:val="both"/>
        <w:outlineLvl w:val="0"/>
        <w:rPr>
          <w:rFonts w:eastAsia="Cambria"/>
          <w:b/>
          <w:bCs/>
          <w:color w:val="000000" w:themeColor="text1"/>
        </w:rPr>
      </w:pPr>
    </w:p>
    <w:p w14:paraId="22955031" w14:textId="77777777" w:rsidR="00E13976" w:rsidRPr="00C54A03" w:rsidRDefault="00C350FB" w:rsidP="008E33FD">
      <w:pPr>
        <w:widowControl w:val="0"/>
        <w:tabs>
          <w:tab w:val="left" w:pos="1115"/>
        </w:tabs>
        <w:autoSpaceDE w:val="0"/>
        <w:autoSpaceDN w:val="0"/>
        <w:spacing w:before="70"/>
        <w:ind w:right="668"/>
        <w:jc w:val="both"/>
        <w:outlineLvl w:val="0"/>
        <w:rPr>
          <w:rFonts w:eastAsia="Cambria"/>
          <w:b/>
          <w:bCs/>
          <w:color w:val="000000" w:themeColor="text1"/>
        </w:rPr>
      </w:pPr>
      <w:r w:rsidRPr="00C54A03">
        <w:rPr>
          <w:rFonts w:eastAsia="Cambria"/>
          <w:b/>
          <w:bCs/>
          <w:color w:val="000000" w:themeColor="text1"/>
        </w:rPr>
        <w:t>Siturile</w:t>
      </w:r>
      <w:r w:rsidR="00E13976" w:rsidRPr="00C54A03">
        <w:rPr>
          <w:rFonts w:eastAsia="Cambria"/>
          <w:b/>
          <w:bCs/>
          <w:color w:val="000000" w:themeColor="text1"/>
          <w:spacing w:val="-5"/>
        </w:rPr>
        <w:t xml:space="preserve"> </w:t>
      </w:r>
      <w:r w:rsidRPr="00C54A03">
        <w:rPr>
          <w:rFonts w:eastAsia="Cambria"/>
          <w:b/>
          <w:bCs/>
          <w:color w:val="000000" w:themeColor="text1"/>
          <w:spacing w:val="-5"/>
        </w:rPr>
        <w:t>N</w:t>
      </w:r>
      <w:r w:rsidRPr="00C54A03">
        <w:rPr>
          <w:rFonts w:eastAsia="Cambria"/>
          <w:b/>
          <w:bCs/>
          <w:color w:val="000000" w:themeColor="text1"/>
        </w:rPr>
        <w:t>atura</w:t>
      </w:r>
      <w:r w:rsidR="00E13976" w:rsidRPr="00C54A03">
        <w:rPr>
          <w:rFonts w:eastAsia="Cambria"/>
          <w:b/>
          <w:bCs/>
          <w:color w:val="000000" w:themeColor="text1"/>
          <w:spacing w:val="-5"/>
        </w:rPr>
        <w:t xml:space="preserve"> </w:t>
      </w:r>
      <w:r w:rsidR="00E13976" w:rsidRPr="00C54A03">
        <w:rPr>
          <w:rFonts w:eastAsia="Cambria"/>
          <w:b/>
          <w:bCs/>
          <w:color w:val="000000" w:themeColor="text1"/>
        </w:rPr>
        <w:t>2000</w:t>
      </w:r>
      <w:r w:rsidR="00E13976" w:rsidRPr="00C54A03">
        <w:rPr>
          <w:rFonts w:eastAsia="Cambria"/>
          <w:b/>
          <w:bCs/>
          <w:color w:val="000000" w:themeColor="text1"/>
          <w:spacing w:val="-3"/>
        </w:rPr>
        <w:t xml:space="preserve"> </w:t>
      </w:r>
      <w:r w:rsidRPr="00C54A03">
        <w:rPr>
          <w:rFonts w:eastAsia="Cambria"/>
          <w:b/>
          <w:bCs/>
          <w:color w:val="000000" w:themeColor="text1"/>
        </w:rPr>
        <w:t>(pSCI, SCI)</w:t>
      </w:r>
      <w:r w:rsidR="00E13976" w:rsidRPr="00C54A03">
        <w:rPr>
          <w:rFonts w:eastAsia="Cambria"/>
          <w:b/>
          <w:bCs/>
          <w:color w:val="000000" w:themeColor="text1"/>
          <w:spacing w:val="-4"/>
        </w:rPr>
        <w:t xml:space="preserve"> </w:t>
      </w:r>
      <w:r w:rsidRPr="00C54A03">
        <w:rPr>
          <w:rFonts w:eastAsia="Cambria"/>
          <w:b/>
          <w:bCs/>
          <w:color w:val="000000" w:themeColor="text1"/>
        </w:rPr>
        <w:t>pentru</w:t>
      </w:r>
      <w:r w:rsidR="00E13976" w:rsidRPr="00C54A03">
        <w:rPr>
          <w:rFonts w:eastAsia="Cambria"/>
          <w:b/>
          <w:bCs/>
          <w:color w:val="000000" w:themeColor="text1"/>
          <w:spacing w:val="-3"/>
        </w:rPr>
        <w:t xml:space="preserve"> </w:t>
      </w:r>
      <w:r w:rsidRPr="00C54A03">
        <w:rPr>
          <w:rFonts w:eastAsia="Cambria"/>
          <w:b/>
          <w:bCs/>
          <w:color w:val="000000" w:themeColor="text1"/>
        </w:rPr>
        <w:t xml:space="preserve">tipurile de </w:t>
      </w:r>
      <w:r w:rsidR="00E13976" w:rsidRPr="00C54A03">
        <w:rPr>
          <w:rFonts w:eastAsia="Cambria"/>
          <w:b/>
          <w:bCs/>
          <w:color w:val="000000" w:themeColor="text1"/>
          <w:spacing w:val="-68"/>
        </w:rPr>
        <w:t xml:space="preserve"> </w:t>
      </w:r>
      <w:r w:rsidRPr="00C54A03">
        <w:rPr>
          <w:rFonts w:eastAsia="Cambria"/>
          <w:b/>
          <w:bCs/>
          <w:color w:val="000000" w:themeColor="text1"/>
          <w:spacing w:val="-68"/>
        </w:rPr>
        <w:t xml:space="preserve"> </w:t>
      </w:r>
      <w:r w:rsidRPr="00C54A03">
        <w:rPr>
          <w:rFonts w:eastAsia="Cambria"/>
          <w:b/>
          <w:bCs/>
          <w:color w:val="000000" w:themeColor="text1"/>
        </w:rPr>
        <w:t>habitate de mlaștini și turbării din anexa I a</w:t>
      </w:r>
      <w:r w:rsidR="00E13976" w:rsidRPr="00C54A03">
        <w:rPr>
          <w:rFonts w:eastAsia="Cambria"/>
          <w:b/>
          <w:bCs/>
          <w:color w:val="000000" w:themeColor="text1"/>
          <w:spacing w:val="1"/>
        </w:rPr>
        <w:t xml:space="preserve"> </w:t>
      </w:r>
      <w:r w:rsidRPr="00C54A03">
        <w:rPr>
          <w:rFonts w:eastAsia="Cambria"/>
          <w:b/>
          <w:bCs/>
          <w:color w:val="000000" w:themeColor="text1"/>
        </w:rPr>
        <w:t>Directivei</w:t>
      </w:r>
      <w:r w:rsidR="00E13976" w:rsidRPr="00C54A03">
        <w:rPr>
          <w:rFonts w:eastAsia="Cambria"/>
          <w:b/>
          <w:bCs/>
          <w:color w:val="000000" w:themeColor="text1"/>
          <w:spacing w:val="-2"/>
        </w:rPr>
        <w:t xml:space="preserve"> </w:t>
      </w:r>
      <w:r w:rsidRPr="00C54A03">
        <w:rPr>
          <w:rFonts w:eastAsia="Cambria"/>
          <w:b/>
          <w:bCs/>
          <w:color w:val="000000" w:themeColor="text1"/>
        </w:rPr>
        <w:t>Habitate</w:t>
      </w:r>
      <w:r w:rsidR="00A31F54" w:rsidRPr="00C54A03">
        <w:rPr>
          <w:rFonts w:eastAsia="Cambria"/>
          <w:b/>
          <w:bCs/>
          <w:color w:val="000000" w:themeColor="text1"/>
        </w:rPr>
        <w:t xml:space="preserve"> </w:t>
      </w:r>
    </w:p>
    <w:p w14:paraId="55323008" w14:textId="77777777" w:rsidR="00E13976" w:rsidRPr="00C54A03" w:rsidRDefault="00E13976" w:rsidP="008E33FD">
      <w:pPr>
        <w:widowControl w:val="0"/>
        <w:autoSpaceDE w:val="0"/>
        <w:autoSpaceDN w:val="0"/>
        <w:spacing w:before="6"/>
        <w:jc w:val="both"/>
        <w:rPr>
          <w:b/>
          <w:color w:val="000000" w:themeColor="text1"/>
        </w:rPr>
      </w:pPr>
    </w:p>
    <w:p w14:paraId="016980A5" w14:textId="77777777" w:rsidR="00E13976" w:rsidRPr="00C54A03" w:rsidRDefault="00E13976" w:rsidP="008E33FD">
      <w:pPr>
        <w:widowControl w:val="0"/>
        <w:tabs>
          <w:tab w:val="left" w:pos="1194"/>
        </w:tabs>
        <w:autoSpaceDE w:val="0"/>
        <w:autoSpaceDN w:val="0"/>
        <w:jc w:val="both"/>
        <w:outlineLvl w:val="1"/>
        <w:rPr>
          <w:rFonts w:eastAsia="Cambria"/>
          <w:b/>
          <w:bCs/>
          <w:color w:val="000000" w:themeColor="text1"/>
        </w:rPr>
      </w:pPr>
      <w:r w:rsidRPr="00C54A03">
        <w:rPr>
          <w:rFonts w:eastAsia="Cambria"/>
          <w:b/>
          <w:bCs/>
          <w:color w:val="000000" w:themeColor="text1"/>
        </w:rPr>
        <w:t>Evaluarea</w:t>
      </w:r>
      <w:r w:rsidRPr="00C54A03">
        <w:rPr>
          <w:rFonts w:eastAsia="Cambria"/>
          <w:b/>
          <w:bCs/>
          <w:color w:val="000000" w:themeColor="text1"/>
          <w:spacing w:val="-4"/>
        </w:rPr>
        <w:t xml:space="preserve"> </w:t>
      </w:r>
      <w:r w:rsidRPr="00C54A03">
        <w:rPr>
          <w:rFonts w:eastAsia="Cambria"/>
          <w:b/>
          <w:bCs/>
          <w:color w:val="000000" w:themeColor="text1"/>
        </w:rPr>
        <w:t>măsurilor</w:t>
      </w:r>
      <w:r w:rsidRPr="00C54A03">
        <w:rPr>
          <w:rFonts w:eastAsia="Cambria"/>
          <w:b/>
          <w:bCs/>
          <w:color w:val="000000" w:themeColor="text1"/>
          <w:spacing w:val="-4"/>
        </w:rPr>
        <w:t xml:space="preserve"> </w:t>
      </w:r>
      <w:r w:rsidRPr="00C54A03">
        <w:rPr>
          <w:rFonts w:eastAsia="Cambria"/>
          <w:b/>
          <w:bCs/>
          <w:color w:val="000000" w:themeColor="text1"/>
        </w:rPr>
        <w:t>de</w:t>
      </w:r>
      <w:r w:rsidRPr="00C54A03">
        <w:rPr>
          <w:rFonts w:eastAsia="Cambria"/>
          <w:b/>
          <w:bCs/>
          <w:color w:val="000000" w:themeColor="text1"/>
          <w:spacing w:val="-5"/>
        </w:rPr>
        <w:t xml:space="preserve"> </w:t>
      </w:r>
      <w:r w:rsidRPr="00C54A03">
        <w:rPr>
          <w:rFonts w:eastAsia="Cambria"/>
          <w:b/>
          <w:bCs/>
          <w:color w:val="000000" w:themeColor="text1"/>
        </w:rPr>
        <w:t>conservare</w:t>
      </w:r>
      <w:r w:rsidRPr="00C54A03">
        <w:rPr>
          <w:rFonts w:eastAsia="Cambria"/>
          <w:b/>
          <w:bCs/>
          <w:color w:val="000000" w:themeColor="text1"/>
          <w:spacing w:val="-4"/>
        </w:rPr>
        <w:t xml:space="preserve"> </w:t>
      </w:r>
      <w:r w:rsidRPr="00C54A03">
        <w:rPr>
          <w:rFonts w:eastAsia="Cambria"/>
          <w:b/>
          <w:bCs/>
          <w:color w:val="000000" w:themeColor="text1"/>
        </w:rPr>
        <w:t>aplicate</w:t>
      </w:r>
      <w:r w:rsidRPr="00C54A03">
        <w:rPr>
          <w:rFonts w:eastAsia="Cambria"/>
          <w:b/>
          <w:bCs/>
          <w:color w:val="000000" w:themeColor="text1"/>
          <w:spacing w:val="-4"/>
        </w:rPr>
        <w:t xml:space="preserve"> </w:t>
      </w:r>
      <w:r w:rsidRPr="00C54A03">
        <w:rPr>
          <w:rFonts w:eastAsia="Cambria"/>
          <w:b/>
          <w:bCs/>
          <w:color w:val="000000" w:themeColor="text1"/>
        </w:rPr>
        <w:t>la</w:t>
      </w:r>
      <w:r w:rsidRPr="00C54A03">
        <w:rPr>
          <w:rFonts w:eastAsia="Cambria"/>
          <w:b/>
          <w:bCs/>
          <w:color w:val="000000" w:themeColor="text1"/>
          <w:spacing w:val="-3"/>
        </w:rPr>
        <w:t xml:space="preserve"> </w:t>
      </w:r>
      <w:r w:rsidRPr="00C54A03">
        <w:rPr>
          <w:rFonts w:eastAsia="Cambria"/>
          <w:b/>
          <w:bCs/>
          <w:color w:val="000000" w:themeColor="text1"/>
        </w:rPr>
        <w:t>nivelul</w:t>
      </w:r>
      <w:r w:rsidRPr="00C54A03">
        <w:rPr>
          <w:rFonts w:eastAsia="Cambria"/>
          <w:b/>
          <w:bCs/>
          <w:color w:val="000000" w:themeColor="text1"/>
          <w:spacing w:val="-4"/>
        </w:rPr>
        <w:t xml:space="preserve"> </w:t>
      </w:r>
      <w:r w:rsidRPr="00C54A03">
        <w:rPr>
          <w:rFonts w:eastAsia="Cambria"/>
          <w:b/>
          <w:bCs/>
          <w:color w:val="000000" w:themeColor="text1"/>
        </w:rPr>
        <w:t>rețelei</w:t>
      </w:r>
      <w:r w:rsidRPr="00C54A03">
        <w:rPr>
          <w:rFonts w:eastAsia="Cambria"/>
          <w:b/>
          <w:bCs/>
          <w:color w:val="000000" w:themeColor="text1"/>
          <w:spacing w:val="-5"/>
        </w:rPr>
        <w:t xml:space="preserve"> </w:t>
      </w:r>
      <w:r w:rsidRPr="00C54A03">
        <w:rPr>
          <w:rFonts w:eastAsia="Cambria"/>
          <w:b/>
          <w:bCs/>
          <w:color w:val="000000" w:themeColor="text1"/>
        </w:rPr>
        <w:t>Natura</w:t>
      </w:r>
      <w:r w:rsidRPr="00C54A03">
        <w:rPr>
          <w:rFonts w:eastAsia="Cambria"/>
          <w:b/>
          <w:bCs/>
          <w:color w:val="000000" w:themeColor="text1"/>
          <w:spacing w:val="-2"/>
        </w:rPr>
        <w:t xml:space="preserve"> </w:t>
      </w:r>
      <w:r w:rsidRPr="00C54A03">
        <w:rPr>
          <w:rFonts w:eastAsia="Cambria"/>
          <w:b/>
          <w:bCs/>
          <w:color w:val="000000" w:themeColor="text1"/>
        </w:rPr>
        <w:t>2000</w:t>
      </w:r>
    </w:p>
    <w:p w14:paraId="4778F655" w14:textId="77777777" w:rsidR="00E13976" w:rsidRPr="00C54A03" w:rsidRDefault="00E13976" w:rsidP="008E33FD">
      <w:pPr>
        <w:widowControl w:val="0"/>
        <w:autoSpaceDE w:val="0"/>
        <w:autoSpaceDN w:val="0"/>
        <w:spacing w:before="11"/>
        <w:jc w:val="both"/>
        <w:rPr>
          <w:b/>
          <w:color w:val="000000" w:themeColor="text1"/>
        </w:rPr>
      </w:pPr>
    </w:p>
    <w:p w14:paraId="068F0428" w14:textId="77777777" w:rsidR="00E13976" w:rsidRPr="00C54A03" w:rsidRDefault="00484EEE" w:rsidP="008E33FD">
      <w:pPr>
        <w:widowControl w:val="0"/>
        <w:autoSpaceDE w:val="0"/>
        <w:autoSpaceDN w:val="0"/>
        <w:spacing w:before="1"/>
        <w:ind w:right="255"/>
        <w:jc w:val="both"/>
        <w:rPr>
          <w:color w:val="000000" w:themeColor="text1"/>
        </w:rPr>
      </w:pPr>
      <w:r w:rsidRPr="00C54A03">
        <w:rPr>
          <w:color w:val="000000" w:themeColor="text1"/>
        </w:rPr>
        <w:t>În</w:t>
      </w:r>
      <w:r w:rsidR="00E13976" w:rsidRPr="00C54A03">
        <w:rPr>
          <w:color w:val="000000" w:themeColor="text1"/>
          <w:spacing w:val="1"/>
        </w:rPr>
        <w:t xml:space="preserve"> </w:t>
      </w:r>
      <w:r w:rsidR="00E13976" w:rsidRPr="00C54A03">
        <w:rPr>
          <w:color w:val="000000" w:themeColor="text1"/>
        </w:rPr>
        <w:t>vederea</w:t>
      </w:r>
      <w:r w:rsidR="00E13976" w:rsidRPr="00C54A03">
        <w:rPr>
          <w:color w:val="000000" w:themeColor="text1"/>
          <w:spacing w:val="1"/>
        </w:rPr>
        <w:t xml:space="preserve"> </w:t>
      </w:r>
      <w:r w:rsidR="00E13976" w:rsidRPr="00C54A03">
        <w:rPr>
          <w:color w:val="000000" w:themeColor="text1"/>
        </w:rPr>
        <w:t>stabilirii</w:t>
      </w:r>
      <w:r w:rsidR="00E13976" w:rsidRPr="00C54A03">
        <w:rPr>
          <w:color w:val="000000" w:themeColor="text1"/>
          <w:spacing w:val="1"/>
        </w:rPr>
        <w:t xml:space="preserve"> </w:t>
      </w:r>
      <w:r w:rsidR="00E13976" w:rsidRPr="00C54A03">
        <w:rPr>
          <w:color w:val="000000" w:themeColor="text1"/>
        </w:rPr>
        <w:t>măsurilor</w:t>
      </w:r>
      <w:r w:rsidR="00E13976" w:rsidRPr="00C54A03">
        <w:rPr>
          <w:color w:val="000000" w:themeColor="text1"/>
          <w:spacing w:val="1"/>
        </w:rPr>
        <w:t xml:space="preserve"> </w:t>
      </w:r>
      <w:r w:rsidR="00E13976" w:rsidRPr="00C54A03">
        <w:rPr>
          <w:color w:val="000000" w:themeColor="text1"/>
        </w:rPr>
        <w:t>specifice/măsurilor</w:t>
      </w:r>
      <w:r w:rsidR="00E13976" w:rsidRPr="00C54A03">
        <w:rPr>
          <w:color w:val="000000" w:themeColor="text1"/>
          <w:spacing w:val="1"/>
        </w:rPr>
        <w:t xml:space="preserve"> </w:t>
      </w:r>
      <w:r w:rsidR="00E13976" w:rsidRPr="00C54A03">
        <w:rPr>
          <w:color w:val="000000" w:themeColor="text1"/>
        </w:rPr>
        <w:t>de</w:t>
      </w:r>
      <w:r w:rsidR="00E13976" w:rsidRPr="00C54A03">
        <w:rPr>
          <w:color w:val="000000" w:themeColor="text1"/>
          <w:spacing w:val="1"/>
        </w:rPr>
        <w:t xml:space="preserve"> </w:t>
      </w:r>
      <w:r w:rsidR="00E13976" w:rsidRPr="00C54A03">
        <w:rPr>
          <w:color w:val="000000" w:themeColor="text1"/>
        </w:rPr>
        <w:t>management,</w:t>
      </w:r>
      <w:r w:rsidR="00E13976" w:rsidRPr="00C54A03">
        <w:rPr>
          <w:color w:val="000000" w:themeColor="text1"/>
          <w:spacing w:val="1"/>
        </w:rPr>
        <w:t xml:space="preserve"> </w:t>
      </w:r>
      <w:r w:rsidR="00E13976" w:rsidRPr="00C54A03">
        <w:rPr>
          <w:color w:val="000000" w:themeColor="text1"/>
        </w:rPr>
        <w:t>trebuie</w:t>
      </w:r>
      <w:r w:rsidR="00E13976" w:rsidRPr="00C54A03">
        <w:rPr>
          <w:color w:val="000000" w:themeColor="text1"/>
          <w:spacing w:val="1"/>
        </w:rPr>
        <w:t xml:space="preserve"> </w:t>
      </w:r>
      <w:r w:rsidR="00E13976" w:rsidRPr="00C54A03">
        <w:rPr>
          <w:color w:val="000000" w:themeColor="text1"/>
        </w:rPr>
        <w:t>furnizate</w:t>
      </w:r>
      <w:r w:rsidR="00E13976" w:rsidRPr="00C54A03">
        <w:rPr>
          <w:color w:val="000000" w:themeColor="text1"/>
          <w:spacing w:val="1"/>
        </w:rPr>
        <w:t xml:space="preserve"> </w:t>
      </w:r>
      <w:r w:rsidR="00E13976" w:rsidRPr="00C54A03">
        <w:rPr>
          <w:color w:val="000000" w:themeColor="text1"/>
        </w:rPr>
        <w:t>informaţii</w:t>
      </w:r>
      <w:r w:rsidR="00E13976" w:rsidRPr="00C54A03">
        <w:rPr>
          <w:color w:val="000000" w:themeColor="text1"/>
          <w:spacing w:val="1"/>
        </w:rPr>
        <w:t xml:space="preserve"> </w:t>
      </w:r>
      <w:r w:rsidR="00E13976" w:rsidRPr="00C54A03">
        <w:rPr>
          <w:color w:val="000000" w:themeColor="text1"/>
        </w:rPr>
        <w:t>suplimentare</w:t>
      </w:r>
      <w:r w:rsidR="00E13976" w:rsidRPr="00C54A03">
        <w:rPr>
          <w:color w:val="000000" w:themeColor="text1"/>
          <w:spacing w:val="1"/>
        </w:rPr>
        <w:t xml:space="preserve"> </w:t>
      </w:r>
      <w:r w:rsidR="00E13976" w:rsidRPr="00C54A03">
        <w:rPr>
          <w:color w:val="000000" w:themeColor="text1"/>
        </w:rPr>
        <w:t>privind</w:t>
      </w:r>
      <w:r w:rsidR="00E13976" w:rsidRPr="00C54A03">
        <w:rPr>
          <w:color w:val="000000" w:themeColor="text1"/>
          <w:spacing w:val="1"/>
        </w:rPr>
        <w:t xml:space="preserve"> </w:t>
      </w:r>
      <w:r w:rsidR="00E13976" w:rsidRPr="00C54A03">
        <w:rPr>
          <w:color w:val="000000" w:themeColor="text1"/>
        </w:rPr>
        <w:t>indicarea</w:t>
      </w:r>
      <w:r w:rsidR="00E13976" w:rsidRPr="00C54A03">
        <w:rPr>
          <w:color w:val="000000" w:themeColor="text1"/>
          <w:spacing w:val="-57"/>
        </w:rPr>
        <w:t xml:space="preserve"> </w:t>
      </w:r>
      <w:r w:rsidR="00E13976" w:rsidRPr="00C54A03">
        <w:rPr>
          <w:color w:val="000000" w:themeColor="text1"/>
        </w:rPr>
        <w:t>pentru fiecare activitate cu impact asupra speciilor şi tipurilor de habitate impactate, inclusiv a</w:t>
      </w:r>
      <w:r w:rsidR="00E13976" w:rsidRPr="00C54A03">
        <w:rPr>
          <w:color w:val="000000" w:themeColor="text1"/>
          <w:spacing w:val="1"/>
        </w:rPr>
        <w:t xml:space="preserve"> </w:t>
      </w:r>
      <w:r w:rsidR="00E13976" w:rsidRPr="00C54A03">
        <w:rPr>
          <w:color w:val="000000" w:themeColor="text1"/>
        </w:rPr>
        <w:t>intensităţii</w:t>
      </w:r>
      <w:r w:rsidR="00E13976" w:rsidRPr="00C54A03">
        <w:rPr>
          <w:color w:val="000000" w:themeColor="text1"/>
          <w:spacing w:val="-1"/>
        </w:rPr>
        <w:t xml:space="preserve"> </w:t>
      </w:r>
      <w:r w:rsidR="00E13976" w:rsidRPr="00C54A03">
        <w:rPr>
          <w:color w:val="000000" w:themeColor="text1"/>
        </w:rPr>
        <w:t>impactului funcţie</w:t>
      </w:r>
      <w:r w:rsidR="00E13976" w:rsidRPr="00C54A03">
        <w:rPr>
          <w:color w:val="000000" w:themeColor="text1"/>
          <w:spacing w:val="-1"/>
        </w:rPr>
        <w:t xml:space="preserve"> </w:t>
      </w:r>
      <w:r w:rsidR="00E13976" w:rsidRPr="00C54A03">
        <w:rPr>
          <w:color w:val="000000" w:themeColor="text1"/>
        </w:rPr>
        <w:t>de</w:t>
      </w:r>
      <w:r w:rsidR="00E13976" w:rsidRPr="00C54A03">
        <w:rPr>
          <w:color w:val="000000" w:themeColor="text1"/>
          <w:spacing w:val="-1"/>
        </w:rPr>
        <w:t xml:space="preserve"> </w:t>
      </w:r>
      <w:r w:rsidR="00E13976" w:rsidRPr="00C54A03">
        <w:rPr>
          <w:color w:val="000000" w:themeColor="text1"/>
        </w:rPr>
        <w:t>localizare.</w:t>
      </w:r>
    </w:p>
    <w:p w14:paraId="379F3957" w14:textId="77777777" w:rsidR="008566CB" w:rsidRPr="00C54A03" w:rsidRDefault="00E13976" w:rsidP="008E33FD">
      <w:pPr>
        <w:widowControl w:val="0"/>
        <w:autoSpaceDE w:val="0"/>
        <w:autoSpaceDN w:val="0"/>
        <w:spacing w:before="1"/>
        <w:jc w:val="both"/>
        <w:rPr>
          <w:color w:val="000000" w:themeColor="text1"/>
        </w:rPr>
      </w:pPr>
      <w:r w:rsidRPr="00C54A03">
        <w:rPr>
          <w:color w:val="000000" w:themeColor="text1"/>
        </w:rPr>
        <w:t>În acest</w:t>
      </w:r>
      <w:r w:rsidRPr="00C54A03">
        <w:rPr>
          <w:color w:val="000000" w:themeColor="text1"/>
          <w:spacing w:val="-3"/>
        </w:rPr>
        <w:t xml:space="preserve"> </w:t>
      </w:r>
      <w:r w:rsidRPr="00C54A03">
        <w:rPr>
          <w:color w:val="000000" w:themeColor="text1"/>
        </w:rPr>
        <w:t>sens,</w:t>
      </w:r>
      <w:r w:rsidRPr="00C54A03">
        <w:rPr>
          <w:color w:val="000000" w:themeColor="text1"/>
          <w:spacing w:val="-1"/>
        </w:rPr>
        <w:t xml:space="preserve"> </w:t>
      </w:r>
      <w:r w:rsidRPr="00C54A03">
        <w:rPr>
          <w:color w:val="000000" w:themeColor="text1"/>
        </w:rPr>
        <w:t>pentru</w:t>
      </w:r>
      <w:r w:rsidRPr="00C54A03">
        <w:rPr>
          <w:color w:val="000000" w:themeColor="text1"/>
          <w:spacing w:val="-2"/>
        </w:rPr>
        <w:t xml:space="preserve"> </w:t>
      </w:r>
      <w:r w:rsidRPr="00C54A03">
        <w:rPr>
          <w:color w:val="000000" w:themeColor="text1"/>
        </w:rPr>
        <w:t>evaluarea</w:t>
      </w:r>
      <w:r w:rsidRPr="00C54A03">
        <w:rPr>
          <w:color w:val="000000" w:themeColor="text1"/>
          <w:spacing w:val="-2"/>
        </w:rPr>
        <w:t xml:space="preserve"> </w:t>
      </w:r>
      <w:r w:rsidRPr="00C54A03">
        <w:rPr>
          <w:color w:val="000000" w:themeColor="text1"/>
        </w:rPr>
        <w:t>impacturilor</w:t>
      </w:r>
      <w:r w:rsidRPr="00C54A03">
        <w:rPr>
          <w:color w:val="000000" w:themeColor="text1"/>
          <w:spacing w:val="-2"/>
        </w:rPr>
        <w:t xml:space="preserve"> </w:t>
      </w:r>
      <w:r w:rsidRPr="00C54A03">
        <w:rPr>
          <w:color w:val="000000" w:themeColor="text1"/>
        </w:rPr>
        <w:t>trebuie</w:t>
      </w:r>
      <w:r w:rsidRPr="00C54A03">
        <w:rPr>
          <w:color w:val="000000" w:themeColor="text1"/>
          <w:spacing w:val="-2"/>
        </w:rPr>
        <w:t xml:space="preserve"> </w:t>
      </w:r>
      <w:r w:rsidRPr="00C54A03">
        <w:rPr>
          <w:color w:val="000000" w:themeColor="text1"/>
        </w:rPr>
        <w:t>furnizate</w:t>
      </w:r>
      <w:r w:rsidRPr="00C54A03">
        <w:rPr>
          <w:color w:val="000000" w:themeColor="text1"/>
          <w:spacing w:val="-2"/>
        </w:rPr>
        <w:t xml:space="preserve"> </w:t>
      </w:r>
      <w:r w:rsidRPr="00C54A03">
        <w:rPr>
          <w:color w:val="000000" w:themeColor="text1"/>
        </w:rPr>
        <w:t>informaţiile</w:t>
      </w:r>
      <w:r w:rsidRPr="00C54A03">
        <w:rPr>
          <w:color w:val="000000" w:themeColor="text1"/>
          <w:spacing w:val="-1"/>
        </w:rPr>
        <w:t xml:space="preserve"> </w:t>
      </w:r>
      <w:r w:rsidRPr="00C54A03">
        <w:rPr>
          <w:color w:val="000000" w:themeColor="text1"/>
        </w:rPr>
        <w:t>necesare</w:t>
      </w:r>
      <w:r w:rsidRPr="00C54A03">
        <w:rPr>
          <w:color w:val="000000" w:themeColor="text1"/>
          <w:spacing w:val="-3"/>
        </w:rPr>
        <w:t xml:space="preserve"> </w:t>
      </w:r>
      <w:r w:rsidRPr="00C54A03">
        <w:rPr>
          <w:color w:val="000000" w:themeColor="text1"/>
        </w:rPr>
        <w:t>pentru:</w:t>
      </w:r>
    </w:p>
    <w:p w14:paraId="72678B08" w14:textId="77777777" w:rsidR="00082644" w:rsidRPr="00082644" w:rsidRDefault="00E13976" w:rsidP="009E63E5">
      <w:pPr>
        <w:pStyle w:val="ListParagraph"/>
        <w:widowControl w:val="0"/>
        <w:numPr>
          <w:ilvl w:val="0"/>
          <w:numId w:val="179"/>
        </w:numPr>
        <w:autoSpaceDE w:val="0"/>
        <w:autoSpaceDN w:val="0"/>
        <w:spacing w:before="11"/>
        <w:jc w:val="both"/>
        <w:rPr>
          <w:rFonts w:ascii="Times New Roman" w:hAnsi="Times New Roman" w:cs="Times New Roman"/>
          <w:color w:val="000000" w:themeColor="text1"/>
          <w:sz w:val="24"/>
          <w:szCs w:val="24"/>
        </w:rPr>
      </w:pPr>
      <w:proofErr w:type="spellStart"/>
      <w:r w:rsidRPr="00082644">
        <w:rPr>
          <w:rFonts w:ascii="Times New Roman" w:hAnsi="Times New Roman" w:cs="Times New Roman"/>
          <w:color w:val="000000" w:themeColor="text1"/>
          <w:sz w:val="24"/>
          <w:szCs w:val="24"/>
        </w:rPr>
        <w:t>Evaluarea</w:t>
      </w:r>
      <w:proofErr w:type="spellEnd"/>
      <w:r w:rsidRPr="00082644">
        <w:rPr>
          <w:rFonts w:ascii="Times New Roman" w:hAnsi="Times New Roman" w:cs="Times New Roman"/>
          <w:color w:val="000000" w:themeColor="text1"/>
          <w:spacing w:val="-3"/>
          <w:sz w:val="24"/>
          <w:szCs w:val="24"/>
        </w:rPr>
        <w:t xml:space="preserve"> </w:t>
      </w:r>
      <w:proofErr w:type="spellStart"/>
      <w:r w:rsidRPr="00082644">
        <w:rPr>
          <w:rFonts w:ascii="Times New Roman" w:hAnsi="Times New Roman" w:cs="Times New Roman"/>
          <w:color w:val="000000" w:themeColor="text1"/>
          <w:sz w:val="24"/>
          <w:szCs w:val="24"/>
        </w:rPr>
        <w:t>activităţilor</w:t>
      </w:r>
      <w:proofErr w:type="spellEnd"/>
      <w:r w:rsidRPr="00082644">
        <w:rPr>
          <w:rFonts w:ascii="Times New Roman" w:hAnsi="Times New Roman" w:cs="Times New Roman"/>
          <w:color w:val="000000" w:themeColor="text1"/>
          <w:spacing w:val="-1"/>
          <w:sz w:val="24"/>
          <w:szCs w:val="24"/>
        </w:rPr>
        <w:t xml:space="preserve"> </w:t>
      </w:r>
      <w:r w:rsidRPr="00082644">
        <w:rPr>
          <w:rFonts w:ascii="Times New Roman" w:hAnsi="Times New Roman" w:cs="Times New Roman"/>
          <w:color w:val="000000" w:themeColor="text1"/>
          <w:sz w:val="24"/>
          <w:szCs w:val="24"/>
        </w:rPr>
        <w:t>cu</w:t>
      </w:r>
      <w:r w:rsidRPr="00082644">
        <w:rPr>
          <w:rFonts w:ascii="Times New Roman" w:hAnsi="Times New Roman" w:cs="Times New Roman"/>
          <w:color w:val="000000" w:themeColor="text1"/>
          <w:spacing w:val="-1"/>
          <w:sz w:val="24"/>
          <w:szCs w:val="24"/>
        </w:rPr>
        <w:t xml:space="preserve"> </w:t>
      </w:r>
      <w:r w:rsidRPr="00082644">
        <w:rPr>
          <w:rFonts w:ascii="Times New Roman" w:hAnsi="Times New Roman" w:cs="Times New Roman"/>
          <w:color w:val="000000" w:themeColor="text1"/>
          <w:sz w:val="24"/>
          <w:szCs w:val="24"/>
        </w:rPr>
        <w:t>impact</w:t>
      </w:r>
      <w:r w:rsidRPr="00082644">
        <w:rPr>
          <w:rFonts w:ascii="Times New Roman" w:hAnsi="Times New Roman" w:cs="Times New Roman"/>
          <w:color w:val="000000" w:themeColor="text1"/>
          <w:spacing w:val="-2"/>
          <w:sz w:val="24"/>
          <w:szCs w:val="24"/>
        </w:rPr>
        <w:t xml:space="preserve"> </w:t>
      </w:r>
      <w:proofErr w:type="spellStart"/>
      <w:r w:rsidRPr="00082644">
        <w:rPr>
          <w:rFonts w:ascii="Times New Roman" w:hAnsi="Times New Roman" w:cs="Times New Roman"/>
          <w:color w:val="000000" w:themeColor="text1"/>
          <w:sz w:val="24"/>
          <w:szCs w:val="24"/>
        </w:rPr>
        <w:t>asupra</w:t>
      </w:r>
      <w:proofErr w:type="spellEnd"/>
      <w:r w:rsidRPr="00082644">
        <w:rPr>
          <w:rFonts w:ascii="Times New Roman" w:hAnsi="Times New Roman" w:cs="Times New Roman"/>
          <w:color w:val="000000" w:themeColor="text1"/>
          <w:sz w:val="24"/>
          <w:szCs w:val="24"/>
        </w:rPr>
        <w:t xml:space="preserve"> </w:t>
      </w:r>
      <w:proofErr w:type="spellStart"/>
      <w:r w:rsidRPr="00082644">
        <w:rPr>
          <w:rFonts w:ascii="Times New Roman" w:hAnsi="Times New Roman" w:cs="Times New Roman"/>
          <w:color w:val="000000" w:themeColor="text1"/>
          <w:sz w:val="24"/>
          <w:szCs w:val="24"/>
        </w:rPr>
        <w:t>ariei</w:t>
      </w:r>
      <w:proofErr w:type="spellEnd"/>
      <w:r w:rsidRPr="00082644">
        <w:rPr>
          <w:rFonts w:ascii="Times New Roman" w:hAnsi="Times New Roman" w:cs="Times New Roman"/>
          <w:color w:val="000000" w:themeColor="text1"/>
          <w:spacing w:val="-2"/>
          <w:sz w:val="24"/>
          <w:szCs w:val="24"/>
        </w:rPr>
        <w:t xml:space="preserve"> </w:t>
      </w:r>
      <w:proofErr w:type="spellStart"/>
      <w:r w:rsidRPr="00082644">
        <w:rPr>
          <w:rFonts w:ascii="Times New Roman" w:hAnsi="Times New Roman" w:cs="Times New Roman"/>
          <w:color w:val="000000" w:themeColor="text1"/>
          <w:sz w:val="24"/>
          <w:szCs w:val="24"/>
        </w:rPr>
        <w:t>naturale</w:t>
      </w:r>
      <w:proofErr w:type="spellEnd"/>
      <w:r w:rsidRPr="00082644">
        <w:rPr>
          <w:rFonts w:ascii="Times New Roman" w:hAnsi="Times New Roman" w:cs="Times New Roman"/>
          <w:color w:val="000000" w:themeColor="text1"/>
          <w:spacing w:val="-1"/>
          <w:sz w:val="24"/>
          <w:szCs w:val="24"/>
        </w:rPr>
        <w:t xml:space="preserve"> </w:t>
      </w:r>
      <w:proofErr w:type="spellStart"/>
      <w:r w:rsidRPr="00082644">
        <w:rPr>
          <w:rFonts w:ascii="Times New Roman" w:hAnsi="Times New Roman" w:cs="Times New Roman"/>
          <w:color w:val="000000" w:themeColor="text1"/>
          <w:sz w:val="24"/>
          <w:szCs w:val="24"/>
        </w:rPr>
        <w:t>protejate</w:t>
      </w:r>
      <w:proofErr w:type="spellEnd"/>
      <w:r w:rsidRPr="00082644">
        <w:rPr>
          <w:rFonts w:ascii="Times New Roman" w:hAnsi="Times New Roman" w:cs="Times New Roman"/>
          <w:color w:val="000000" w:themeColor="text1"/>
          <w:sz w:val="24"/>
          <w:szCs w:val="24"/>
        </w:rPr>
        <w:t>,</w:t>
      </w:r>
      <w:r w:rsidRPr="00082644">
        <w:rPr>
          <w:rFonts w:ascii="Times New Roman" w:hAnsi="Times New Roman" w:cs="Times New Roman"/>
          <w:color w:val="000000" w:themeColor="text1"/>
          <w:spacing w:val="-2"/>
          <w:sz w:val="24"/>
          <w:szCs w:val="24"/>
        </w:rPr>
        <w:t xml:space="preserve"> </w:t>
      </w:r>
      <w:proofErr w:type="spellStart"/>
      <w:r w:rsidRPr="00082644">
        <w:rPr>
          <w:rFonts w:ascii="Times New Roman" w:hAnsi="Times New Roman" w:cs="Times New Roman"/>
          <w:color w:val="000000" w:themeColor="text1"/>
          <w:sz w:val="24"/>
          <w:szCs w:val="24"/>
        </w:rPr>
        <w:t>în</w:t>
      </w:r>
      <w:proofErr w:type="spellEnd"/>
      <w:r w:rsidRPr="00082644">
        <w:rPr>
          <w:rFonts w:ascii="Times New Roman" w:hAnsi="Times New Roman" w:cs="Times New Roman"/>
          <w:color w:val="000000" w:themeColor="text1"/>
          <w:spacing w:val="1"/>
          <w:sz w:val="24"/>
          <w:szCs w:val="24"/>
        </w:rPr>
        <w:t xml:space="preserve"> </w:t>
      </w:r>
      <w:r w:rsidRPr="00082644">
        <w:rPr>
          <w:rFonts w:ascii="Times New Roman" w:hAnsi="Times New Roman" w:cs="Times New Roman"/>
          <w:color w:val="000000" w:themeColor="text1"/>
          <w:sz w:val="24"/>
          <w:szCs w:val="24"/>
        </w:rPr>
        <w:t>general</w:t>
      </w:r>
    </w:p>
    <w:p w14:paraId="094D963D" w14:textId="77777777" w:rsidR="00082644" w:rsidRPr="00082644" w:rsidRDefault="00E13976" w:rsidP="009E63E5">
      <w:pPr>
        <w:pStyle w:val="ListParagraph"/>
        <w:widowControl w:val="0"/>
        <w:numPr>
          <w:ilvl w:val="0"/>
          <w:numId w:val="179"/>
        </w:numPr>
        <w:autoSpaceDE w:val="0"/>
        <w:autoSpaceDN w:val="0"/>
        <w:spacing w:before="11"/>
        <w:jc w:val="both"/>
        <w:rPr>
          <w:rFonts w:ascii="Times New Roman" w:hAnsi="Times New Roman" w:cs="Times New Roman"/>
          <w:color w:val="000000" w:themeColor="text1"/>
          <w:sz w:val="24"/>
          <w:szCs w:val="24"/>
        </w:rPr>
      </w:pPr>
      <w:proofErr w:type="spellStart"/>
      <w:r w:rsidRPr="00082644">
        <w:rPr>
          <w:rFonts w:ascii="Times New Roman" w:hAnsi="Times New Roman" w:cs="Times New Roman"/>
          <w:color w:val="000000" w:themeColor="text1"/>
          <w:sz w:val="24"/>
          <w:szCs w:val="24"/>
        </w:rPr>
        <w:t>Evaluarea</w:t>
      </w:r>
      <w:proofErr w:type="spellEnd"/>
      <w:r w:rsidRPr="00082644">
        <w:rPr>
          <w:rFonts w:ascii="Times New Roman" w:hAnsi="Times New Roman" w:cs="Times New Roman"/>
          <w:color w:val="000000" w:themeColor="text1"/>
          <w:spacing w:val="-3"/>
          <w:sz w:val="24"/>
          <w:szCs w:val="24"/>
        </w:rPr>
        <w:t xml:space="preserve"> </w:t>
      </w:r>
      <w:proofErr w:type="spellStart"/>
      <w:r w:rsidRPr="00082644">
        <w:rPr>
          <w:rFonts w:ascii="Times New Roman" w:hAnsi="Times New Roman" w:cs="Times New Roman"/>
          <w:color w:val="000000" w:themeColor="text1"/>
          <w:sz w:val="24"/>
          <w:szCs w:val="24"/>
        </w:rPr>
        <w:t>activităţilor</w:t>
      </w:r>
      <w:proofErr w:type="spellEnd"/>
      <w:r w:rsidRPr="00082644">
        <w:rPr>
          <w:rFonts w:ascii="Times New Roman" w:hAnsi="Times New Roman" w:cs="Times New Roman"/>
          <w:color w:val="000000" w:themeColor="text1"/>
          <w:spacing w:val="-2"/>
          <w:sz w:val="24"/>
          <w:szCs w:val="24"/>
        </w:rPr>
        <w:t xml:space="preserve"> </w:t>
      </w:r>
      <w:r w:rsidRPr="00082644">
        <w:rPr>
          <w:rFonts w:ascii="Times New Roman" w:hAnsi="Times New Roman" w:cs="Times New Roman"/>
          <w:color w:val="000000" w:themeColor="text1"/>
          <w:sz w:val="24"/>
          <w:szCs w:val="24"/>
        </w:rPr>
        <w:t>cu</w:t>
      </w:r>
      <w:r w:rsidRPr="00082644">
        <w:rPr>
          <w:rFonts w:ascii="Times New Roman" w:hAnsi="Times New Roman" w:cs="Times New Roman"/>
          <w:color w:val="000000" w:themeColor="text1"/>
          <w:spacing w:val="-2"/>
          <w:sz w:val="24"/>
          <w:szCs w:val="24"/>
        </w:rPr>
        <w:t xml:space="preserve"> </w:t>
      </w:r>
      <w:r w:rsidRPr="00082644">
        <w:rPr>
          <w:rFonts w:ascii="Times New Roman" w:hAnsi="Times New Roman" w:cs="Times New Roman"/>
          <w:color w:val="000000" w:themeColor="text1"/>
          <w:sz w:val="24"/>
          <w:szCs w:val="24"/>
        </w:rPr>
        <w:t>impact</w:t>
      </w:r>
      <w:r w:rsidRPr="00082644">
        <w:rPr>
          <w:rFonts w:ascii="Times New Roman" w:hAnsi="Times New Roman" w:cs="Times New Roman"/>
          <w:color w:val="000000" w:themeColor="text1"/>
          <w:spacing w:val="-1"/>
          <w:sz w:val="24"/>
          <w:szCs w:val="24"/>
        </w:rPr>
        <w:t xml:space="preserve"> </w:t>
      </w:r>
      <w:proofErr w:type="spellStart"/>
      <w:r w:rsidRPr="00082644">
        <w:rPr>
          <w:rFonts w:ascii="Times New Roman" w:hAnsi="Times New Roman" w:cs="Times New Roman"/>
          <w:color w:val="000000" w:themeColor="text1"/>
          <w:sz w:val="24"/>
          <w:szCs w:val="24"/>
        </w:rPr>
        <w:t>asupra</w:t>
      </w:r>
      <w:proofErr w:type="spellEnd"/>
      <w:r w:rsidRPr="00082644">
        <w:rPr>
          <w:rFonts w:ascii="Times New Roman" w:hAnsi="Times New Roman" w:cs="Times New Roman"/>
          <w:color w:val="000000" w:themeColor="text1"/>
          <w:spacing w:val="-3"/>
          <w:sz w:val="24"/>
          <w:szCs w:val="24"/>
        </w:rPr>
        <w:t xml:space="preserve"> </w:t>
      </w:r>
      <w:proofErr w:type="spellStart"/>
      <w:r w:rsidRPr="00082644">
        <w:rPr>
          <w:rFonts w:ascii="Times New Roman" w:hAnsi="Times New Roman" w:cs="Times New Roman"/>
          <w:color w:val="000000" w:themeColor="text1"/>
          <w:sz w:val="24"/>
          <w:szCs w:val="24"/>
        </w:rPr>
        <w:t>speciilor</w:t>
      </w:r>
      <w:proofErr w:type="spellEnd"/>
      <w:r w:rsidRPr="00082644">
        <w:rPr>
          <w:rFonts w:ascii="Times New Roman" w:hAnsi="Times New Roman" w:cs="Times New Roman"/>
          <w:color w:val="000000" w:themeColor="text1"/>
          <w:sz w:val="24"/>
          <w:szCs w:val="24"/>
        </w:rPr>
        <w:t xml:space="preserve"> de</w:t>
      </w:r>
      <w:r w:rsidRPr="00082644">
        <w:rPr>
          <w:rFonts w:ascii="Times New Roman" w:hAnsi="Times New Roman" w:cs="Times New Roman"/>
          <w:color w:val="000000" w:themeColor="text1"/>
          <w:spacing w:val="-3"/>
          <w:sz w:val="24"/>
          <w:szCs w:val="24"/>
        </w:rPr>
        <w:t xml:space="preserve"> </w:t>
      </w:r>
      <w:proofErr w:type="spellStart"/>
      <w:r w:rsidRPr="00082644">
        <w:rPr>
          <w:rFonts w:ascii="Times New Roman" w:hAnsi="Times New Roman" w:cs="Times New Roman"/>
          <w:color w:val="000000" w:themeColor="text1"/>
          <w:sz w:val="24"/>
          <w:szCs w:val="24"/>
        </w:rPr>
        <w:t>interes</w:t>
      </w:r>
      <w:proofErr w:type="spellEnd"/>
      <w:r w:rsidRPr="00082644">
        <w:rPr>
          <w:rFonts w:ascii="Times New Roman" w:hAnsi="Times New Roman" w:cs="Times New Roman"/>
          <w:color w:val="000000" w:themeColor="text1"/>
          <w:spacing w:val="-2"/>
          <w:sz w:val="24"/>
          <w:szCs w:val="24"/>
        </w:rPr>
        <w:t xml:space="preserve"> </w:t>
      </w:r>
      <w:r w:rsidRPr="00082644">
        <w:rPr>
          <w:rFonts w:ascii="Times New Roman" w:hAnsi="Times New Roman" w:cs="Times New Roman"/>
          <w:color w:val="000000" w:themeColor="text1"/>
          <w:sz w:val="24"/>
          <w:szCs w:val="24"/>
        </w:rPr>
        <w:t>conservative</w:t>
      </w:r>
    </w:p>
    <w:p w14:paraId="00895E08" w14:textId="77777777" w:rsidR="00E13976" w:rsidRPr="00082644" w:rsidRDefault="00E13976" w:rsidP="009E63E5">
      <w:pPr>
        <w:pStyle w:val="ListParagraph"/>
        <w:widowControl w:val="0"/>
        <w:numPr>
          <w:ilvl w:val="0"/>
          <w:numId w:val="179"/>
        </w:numPr>
        <w:autoSpaceDE w:val="0"/>
        <w:autoSpaceDN w:val="0"/>
        <w:spacing w:before="11"/>
        <w:jc w:val="both"/>
        <w:rPr>
          <w:rFonts w:ascii="Times New Roman" w:hAnsi="Times New Roman" w:cs="Times New Roman"/>
          <w:color w:val="000000" w:themeColor="text1"/>
          <w:sz w:val="24"/>
          <w:szCs w:val="24"/>
        </w:rPr>
      </w:pPr>
      <w:proofErr w:type="spellStart"/>
      <w:r w:rsidRPr="00082644">
        <w:rPr>
          <w:rFonts w:ascii="Times New Roman" w:hAnsi="Times New Roman" w:cs="Times New Roman"/>
          <w:color w:val="000000" w:themeColor="text1"/>
          <w:sz w:val="24"/>
          <w:szCs w:val="24"/>
        </w:rPr>
        <w:t>Evaluarea</w:t>
      </w:r>
      <w:proofErr w:type="spellEnd"/>
      <w:r w:rsidRPr="00082644">
        <w:rPr>
          <w:rFonts w:ascii="Times New Roman" w:hAnsi="Times New Roman" w:cs="Times New Roman"/>
          <w:color w:val="000000" w:themeColor="text1"/>
          <w:spacing w:val="-3"/>
          <w:sz w:val="24"/>
          <w:szCs w:val="24"/>
        </w:rPr>
        <w:t xml:space="preserve"> </w:t>
      </w:r>
      <w:proofErr w:type="spellStart"/>
      <w:r w:rsidRPr="00082644">
        <w:rPr>
          <w:rFonts w:ascii="Times New Roman" w:hAnsi="Times New Roman" w:cs="Times New Roman"/>
          <w:color w:val="000000" w:themeColor="text1"/>
          <w:sz w:val="24"/>
          <w:szCs w:val="24"/>
        </w:rPr>
        <w:t>activităţilor</w:t>
      </w:r>
      <w:proofErr w:type="spellEnd"/>
      <w:r w:rsidRPr="00082644">
        <w:rPr>
          <w:rFonts w:ascii="Times New Roman" w:hAnsi="Times New Roman" w:cs="Times New Roman"/>
          <w:color w:val="000000" w:themeColor="text1"/>
          <w:spacing w:val="-1"/>
          <w:sz w:val="24"/>
          <w:szCs w:val="24"/>
        </w:rPr>
        <w:t xml:space="preserve"> </w:t>
      </w:r>
      <w:r w:rsidRPr="00082644">
        <w:rPr>
          <w:rFonts w:ascii="Times New Roman" w:hAnsi="Times New Roman" w:cs="Times New Roman"/>
          <w:color w:val="000000" w:themeColor="text1"/>
          <w:sz w:val="24"/>
          <w:szCs w:val="24"/>
        </w:rPr>
        <w:t>cu</w:t>
      </w:r>
      <w:r w:rsidRPr="00082644">
        <w:rPr>
          <w:rFonts w:ascii="Times New Roman" w:hAnsi="Times New Roman" w:cs="Times New Roman"/>
          <w:color w:val="000000" w:themeColor="text1"/>
          <w:spacing w:val="-1"/>
          <w:sz w:val="24"/>
          <w:szCs w:val="24"/>
        </w:rPr>
        <w:t xml:space="preserve"> </w:t>
      </w:r>
      <w:r w:rsidRPr="00082644">
        <w:rPr>
          <w:rFonts w:ascii="Times New Roman" w:hAnsi="Times New Roman" w:cs="Times New Roman"/>
          <w:color w:val="000000" w:themeColor="text1"/>
          <w:sz w:val="24"/>
          <w:szCs w:val="24"/>
        </w:rPr>
        <w:t>impact</w:t>
      </w:r>
      <w:r w:rsidRPr="00082644">
        <w:rPr>
          <w:rFonts w:ascii="Times New Roman" w:hAnsi="Times New Roman" w:cs="Times New Roman"/>
          <w:color w:val="000000" w:themeColor="text1"/>
          <w:spacing w:val="-1"/>
          <w:sz w:val="24"/>
          <w:szCs w:val="24"/>
        </w:rPr>
        <w:t xml:space="preserve"> </w:t>
      </w:r>
      <w:proofErr w:type="spellStart"/>
      <w:r w:rsidRPr="00082644">
        <w:rPr>
          <w:rFonts w:ascii="Times New Roman" w:hAnsi="Times New Roman" w:cs="Times New Roman"/>
          <w:color w:val="000000" w:themeColor="text1"/>
          <w:sz w:val="24"/>
          <w:szCs w:val="24"/>
        </w:rPr>
        <w:t>asupra</w:t>
      </w:r>
      <w:proofErr w:type="spellEnd"/>
      <w:r w:rsidRPr="00082644">
        <w:rPr>
          <w:rFonts w:ascii="Times New Roman" w:hAnsi="Times New Roman" w:cs="Times New Roman"/>
          <w:color w:val="000000" w:themeColor="text1"/>
          <w:spacing w:val="-2"/>
          <w:sz w:val="24"/>
          <w:szCs w:val="24"/>
        </w:rPr>
        <w:t xml:space="preserve"> </w:t>
      </w:r>
      <w:proofErr w:type="spellStart"/>
      <w:r w:rsidRPr="00082644">
        <w:rPr>
          <w:rFonts w:ascii="Times New Roman" w:hAnsi="Times New Roman" w:cs="Times New Roman"/>
          <w:color w:val="000000" w:themeColor="text1"/>
          <w:sz w:val="24"/>
          <w:szCs w:val="24"/>
        </w:rPr>
        <w:t>tipurilor</w:t>
      </w:r>
      <w:proofErr w:type="spellEnd"/>
      <w:r w:rsidRPr="00082644">
        <w:rPr>
          <w:rFonts w:ascii="Times New Roman" w:hAnsi="Times New Roman" w:cs="Times New Roman"/>
          <w:color w:val="000000" w:themeColor="text1"/>
          <w:spacing w:val="-1"/>
          <w:sz w:val="24"/>
          <w:szCs w:val="24"/>
        </w:rPr>
        <w:t xml:space="preserve"> </w:t>
      </w:r>
      <w:r w:rsidRPr="00082644">
        <w:rPr>
          <w:rFonts w:ascii="Times New Roman" w:hAnsi="Times New Roman" w:cs="Times New Roman"/>
          <w:color w:val="000000" w:themeColor="text1"/>
          <w:sz w:val="24"/>
          <w:szCs w:val="24"/>
        </w:rPr>
        <w:t>de</w:t>
      </w:r>
      <w:r w:rsidRPr="00082644">
        <w:rPr>
          <w:rFonts w:ascii="Times New Roman" w:hAnsi="Times New Roman" w:cs="Times New Roman"/>
          <w:color w:val="000000" w:themeColor="text1"/>
          <w:spacing w:val="-3"/>
          <w:sz w:val="24"/>
          <w:szCs w:val="24"/>
        </w:rPr>
        <w:t xml:space="preserve"> </w:t>
      </w:r>
      <w:proofErr w:type="spellStart"/>
      <w:r w:rsidRPr="00082644">
        <w:rPr>
          <w:rFonts w:ascii="Times New Roman" w:hAnsi="Times New Roman" w:cs="Times New Roman"/>
          <w:color w:val="000000" w:themeColor="text1"/>
          <w:sz w:val="24"/>
          <w:szCs w:val="24"/>
        </w:rPr>
        <w:t>habitate</w:t>
      </w:r>
      <w:proofErr w:type="spellEnd"/>
      <w:r w:rsidRPr="00082644">
        <w:rPr>
          <w:rFonts w:ascii="Times New Roman" w:hAnsi="Times New Roman" w:cs="Times New Roman"/>
          <w:color w:val="000000" w:themeColor="text1"/>
          <w:spacing w:val="-1"/>
          <w:sz w:val="24"/>
          <w:szCs w:val="24"/>
        </w:rPr>
        <w:t xml:space="preserve"> </w:t>
      </w:r>
      <w:r w:rsidRPr="00082644">
        <w:rPr>
          <w:rFonts w:ascii="Times New Roman" w:hAnsi="Times New Roman" w:cs="Times New Roman"/>
          <w:color w:val="000000" w:themeColor="text1"/>
          <w:sz w:val="24"/>
          <w:szCs w:val="24"/>
        </w:rPr>
        <w:t>de</w:t>
      </w:r>
      <w:r w:rsidRPr="00082644">
        <w:rPr>
          <w:rFonts w:ascii="Times New Roman" w:hAnsi="Times New Roman" w:cs="Times New Roman"/>
          <w:color w:val="000000" w:themeColor="text1"/>
          <w:spacing w:val="-3"/>
          <w:sz w:val="24"/>
          <w:szCs w:val="24"/>
        </w:rPr>
        <w:t xml:space="preserve"> </w:t>
      </w:r>
      <w:proofErr w:type="spellStart"/>
      <w:r w:rsidRPr="00082644">
        <w:rPr>
          <w:rFonts w:ascii="Times New Roman" w:hAnsi="Times New Roman" w:cs="Times New Roman"/>
          <w:color w:val="000000" w:themeColor="text1"/>
          <w:sz w:val="24"/>
          <w:szCs w:val="24"/>
        </w:rPr>
        <w:t>interes</w:t>
      </w:r>
      <w:proofErr w:type="spellEnd"/>
      <w:r w:rsidRPr="00082644">
        <w:rPr>
          <w:rFonts w:ascii="Times New Roman" w:hAnsi="Times New Roman" w:cs="Times New Roman"/>
          <w:color w:val="000000" w:themeColor="text1"/>
          <w:spacing w:val="-2"/>
          <w:sz w:val="24"/>
          <w:szCs w:val="24"/>
        </w:rPr>
        <w:t xml:space="preserve"> </w:t>
      </w:r>
      <w:proofErr w:type="spellStart"/>
      <w:r w:rsidRPr="00082644">
        <w:rPr>
          <w:rFonts w:ascii="Times New Roman" w:hAnsi="Times New Roman" w:cs="Times New Roman"/>
          <w:color w:val="000000" w:themeColor="text1"/>
          <w:sz w:val="24"/>
          <w:szCs w:val="24"/>
        </w:rPr>
        <w:t>conservativ</w:t>
      </w:r>
      <w:proofErr w:type="spellEnd"/>
      <w:r w:rsidRPr="00082644">
        <w:rPr>
          <w:rFonts w:ascii="Times New Roman" w:hAnsi="Times New Roman" w:cs="Times New Roman"/>
          <w:color w:val="000000" w:themeColor="text1"/>
          <w:sz w:val="24"/>
          <w:szCs w:val="24"/>
        </w:rPr>
        <w:t>.</w:t>
      </w:r>
    </w:p>
    <w:p w14:paraId="30E91167" w14:textId="77777777" w:rsidR="00E13976" w:rsidRPr="00C54A03" w:rsidRDefault="00E13976" w:rsidP="008E33FD">
      <w:pPr>
        <w:widowControl w:val="0"/>
        <w:tabs>
          <w:tab w:val="left" w:pos="1194"/>
        </w:tabs>
        <w:autoSpaceDE w:val="0"/>
        <w:autoSpaceDN w:val="0"/>
        <w:spacing w:before="245"/>
        <w:jc w:val="both"/>
        <w:outlineLvl w:val="1"/>
        <w:rPr>
          <w:rFonts w:eastAsia="Cambria"/>
          <w:b/>
          <w:bCs/>
          <w:color w:val="000000" w:themeColor="text1"/>
        </w:rPr>
      </w:pPr>
      <w:r w:rsidRPr="00C54A03">
        <w:rPr>
          <w:rFonts w:eastAsia="Cambria"/>
          <w:b/>
          <w:bCs/>
          <w:color w:val="000000" w:themeColor="text1"/>
        </w:rPr>
        <w:t>Relația</w:t>
      </w:r>
      <w:r w:rsidRPr="00C54A03">
        <w:rPr>
          <w:rFonts w:eastAsia="Cambria"/>
          <w:b/>
          <w:bCs/>
          <w:color w:val="000000" w:themeColor="text1"/>
          <w:spacing w:val="-5"/>
        </w:rPr>
        <w:t xml:space="preserve"> </w:t>
      </w:r>
      <w:r w:rsidRPr="00C54A03">
        <w:rPr>
          <w:rFonts w:eastAsia="Cambria"/>
          <w:b/>
          <w:bCs/>
          <w:color w:val="000000" w:themeColor="text1"/>
        </w:rPr>
        <w:t>plot</w:t>
      </w:r>
      <w:r w:rsidRPr="00C54A03">
        <w:rPr>
          <w:rFonts w:eastAsia="Cambria"/>
          <w:b/>
          <w:bCs/>
          <w:color w:val="000000" w:themeColor="text1"/>
          <w:spacing w:val="-4"/>
        </w:rPr>
        <w:t xml:space="preserve"> </w:t>
      </w:r>
      <w:r w:rsidRPr="00C54A03">
        <w:rPr>
          <w:rFonts w:eastAsia="Cambria"/>
          <w:b/>
          <w:bCs/>
          <w:color w:val="000000" w:themeColor="text1"/>
        </w:rPr>
        <w:t>de</w:t>
      </w:r>
      <w:r w:rsidRPr="00C54A03">
        <w:rPr>
          <w:rFonts w:eastAsia="Cambria"/>
          <w:b/>
          <w:bCs/>
          <w:color w:val="000000" w:themeColor="text1"/>
          <w:spacing w:val="-5"/>
        </w:rPr>
        <w:t xml:space="preserve"> </w:t>
      </w:r>
      <w:r w:rsidRPr="00C54A03">
        <w:rPr>
          <w:rFonts w:eastAsia="Cambria"/>
          <w:b/>
          <w:bCs/>
          <w:color w:val="000000" w:themeColor="text1"/>
        </w:rPr>
        <w:t>monitorizare/rețea</w:t>
      </w:r>
      <w:r w:rsidRPr="00C54A03">
        <w:rPr>
          <w:rFonts w:eastAsia="Cambria"/>
          <w:b/>
          <w:bCs/>
          <w:color w:val="000000" w:themeColor="text1"/>
          <w:spacing w:val="-5"/>
        </w:rPr>
        <w:t xml:space="preserve"> </w:t>
      </w:r>
      <w:r w:rsidRPr="00C54A03">
        <w:rPr>
          <w:rFonts w:eastAsia="Cambria"/>
          <w:b/>
          <w:bCs/>
          <w:color w:val="000000" w:themeColor="text1"/>
        </w:rPr>
        <w:t>Natura</w:t>
      </w:r>
      <w:r w:rsidRPr="00C54A03">
        <w:rPr>
          <w:rFonts w:eastAsia="Cambria"/>
          <w:b/>
          <w:bCs/>
          <w:color w:val="000000" w:themeColor="text1"/>
          <w:spacing w:val="-3"/>
        </w:rPr>
        <w:t xml:space="preserve"> </w:t>
      </w:r>
      <w:r w:rsidRPr="00C54A03">
        <w:rPr>
          <w:rFonts w:eastAsia="Cambria"/>
          <w:b/>
          <w:bCs/>
          <w:color w:val="000000" w:themeColor="text1"/>
        </w:rPr>
        <w:t>2000</w:t>
      </w:r>
    </w:p>
    <w:p w14:paraId="784D749B" w14:textId="77777777" w:rsidR="00E13976" w:rsidRPr="00C54A03" w:rsidRDefault="00E13976" w:rsidP="008E33FD">
      <w:pPr>
        <w:widowControl w:val="0"/>
        <w:autoSpaceDE w:val="0"/>
        <w:autoSpaceDN w:val="0"/>
        <w:spacing w:before="157"/>
        <w:jc w:val="both"/>
        <w:rPr>
          <w:i/>
          <w:color w:val="000000" w:themeColor="text1"/>
        </w:rPr>
      </w:pPr>
      <w:r w:rsidRPr="00C54A03">
        <w:rPr>
          <w:i/>
          <w:color w:val="000000" w:themeColor="text1"/>
        </w:rPr>
        <w:t>Acoperirea</w:t>
      </w:r>
      <w:r w:rsidRPr="00C54A03">
        <w:rPr>
          <w:i/>
          <w:color w:val="000000" w:themeColor="text1"/>
          <w:spacing w:val="-1"/>
        </w:rPr>
        <w:t xml:space="preserve"> </w:t>
      </w:r>
      <w:r w:rsidRPr="00C54A03">
        <w:rPr>
          <w:i/>
          <w:color w:val="000000" w:themeColor="text1"/>
        </w:rPr>
        <w:t>NATURA</w:t>
      </w:r>
      <w:r w:rsidRPr="00C54A03">
        <w:rPr>
          <w:i/>
          <w:color w:val="000000" w:themeColor="text1"/>
          <w:spacing w:val="-2"/>
        </w:rPr>
        <w:t xml:space="preserve"> </w:t>
      </w:r>
      <w:r w:rsidRPr="00C54A03">
        <w:rPr>
          <w:i/>
          <w:color w:val="000000" w:themeColor="text1"/>
        </w:rPr>
        <w:t>2000</w:t>
      </w:r>
      <w:r w:rsidRPr="00C54A03">
        <w:rPr>
          <w:i/>
          <w:color w:val="000000" w:themeColor="text1"/>
          <w:spacing w:val="-1"/>
        </w:rPr>
        <w:t xml:space="preserve"> </w:t>
      </w:r>
      <w:r w:rsidRPr="00C54A03">
        <w:rPr>
          <w:i/>
          <w:color w:val="000000" w:themeColor="text1"/>
        </w:rPr>
        <w:t>(pSCIs,</w:t>
      </w:r>
      <w:r w:rsidRPr="00C54A03">
        <w:rPr>
          <w:i/>
          <w:color w:val="000000" w:themeColor="text1"/>
          <w:spacing w:val="-1"/>
        </w:rPr>
        <w:t xml:space="preserve"> </w:t>
      </w:r>
      <w:r w:rsidRPr="00C54A03">
        <w:rPr>
          <w:i/>
          <w:color w:val="000000" w:themeColor="text1"/>
        </w:rPr>
        <w:t>SCI</w:t>
      </w:r>
      <w:r w:rsidRPr="00C54A03">
        <w:rPr>
          <w:i/>
          <w:color w:val="000000" w:themeColor="text1"/>
          <w:spacing w:val="-1"/>
        </w:rPr>
        <w:t xml:space="preserve"> </w:t>
      </w:r>
      <w:r w:rsidRPr="00C54A03">
        <w:rPr>
          <w:i/>
          <w:color w:val="000000" w:themeColor="text1"/>
        </w:rPr>
        <w:t>și</w:t>
      </w:r>
      <w:r w:rsidRPr="00C54A03">
        <w:rPr>
          <w:i/>
          <w:color w:val="000000" w:themeColor="text1"/>
          <w:spacing w:val="-2"/>
        </w:rPr>
        <w:t xml:space="preserve"> </w:t>
      </w:r>
      <w:r w:rsidRPr="00C54A03">
        <w:rPr>
          <w:i/>
          <w:color w:val="000000" w:themeColor="text1"/>
        </w:rPr>
        <w:t>SACs)</w:t>
      </w:r>
      <w:r w:rsidRPr="00C54A03">
        <w:rPr>
          <w:i/>
          <w:color w:val="000000" w:themeColor="text1"/>
          <w:spacing w:val="-2"/>
        </w:rPr>
        <w:t xml:space="preserve"> </w:t>
      </w:r>
      <w:r w:rsidRPr="00C54A03">
        <w:rPr>
          <w:i/>
          <w:color w:val="000000" w:themeColor="text1"/>
        </w:rPr>
        <w:t>pentru</w:t>
      </w:r>
      <w:r w:rsidRPr="00C54A03">
        <w:rPr>
          <w:i/>
          <w:color w:val="000000" w:themeColor="text1"/>
          <w:spacing w:val="-1"/>
        </w:rPr>
        <w:t xml:space="preserve"> </w:t>
      </w:r>
      <w:r w:rsidRPr="00C54A03">
        <w:rPr>
          <w:i/>
          <w:color w:val="000000" w:themeColor="text1"/>
        </w:rPr>
        <w:t>habitatele</w:t>
      </w:r>
      <w:r w:rsidRPr="00C54A03">
        <w:rPr>
          <w:i/>
          <w:color w:val="000000" w:themeColor="text1"/>
          <w:spacing w:val="-2"/>
        </w:rPr>
        <w:t xml:space="preserve"> </w:t>
      </w:r>
      <w:r w:rsidRPr="00C54A03">
        <w:rPr>
          <w:i/>
          <w:color w:val="000000" w:themeColor="text1"/>
        </w:rPr>
        <w:t>din anexa</w:t>
      </w:r>
      <w:r w:rsidRPr="00C54A03">
        <w:rPr>
          <w:i/>
          <w:color w:val="000000" w:themeColor="text1"/>
          <w:spacing w:val="-1"/>
        </w:rPr>
        <w:t xml:space="preserve"> </w:t>
      </w:r>
      <w:r w:rsidRPr="00C54A03">
        <w:rPr>
          <w:i/>
          <w:color w:val="000000" w:themeColor="text1"/>
        </w:rPr>
        <w:t>I</w:t>
      </w:r>
    </w:p>
    <w:p w14:paraId="4E7F61FF" w14:textId="77777777" w:rsidR="00E13976" w:rsidRPr="00C54A03" w:rsidRDefault="00E13976" w:rsidP="008E33FD">
      <w:pPr>
        <w:widowControl w:val="0"/>
        <w:autoSpaceDE w:val="0"/>
        <w:autoSpaceDN w:val="0"/>
        <w:ind w:right="254"/>
        <w:jc w:val="both"/>
        <w:rPr>
          <w:color w:val="000000" w:themeColor="text1"/>
        </w:rPr>
      </w:pPr>
      <w:r w:rsidRPr="00C54A03">
        <w:rPr>
          <w:color w:val="000000" w:themeColor="text1"/>
        </w:rPr>
        <w:t>Această secțiune oferă informații despre suprafața habitatului și tendința suprafeței în stare bună în</w:t>
      </w:r>
      <w:r w:rsidRPr="00C54A03">
        <w:rPr>
          <w:color w:val="000000" w:themeColor="text1"/>
          <w:spacing w:val="1"/>
        </w:rPr>
        <w:t xml:space="preserve"> </w:t>
      </w:r>
      <w:r w:rsidRPr="00C54A03">
        <w:rPr>
          <w:color w:val="000000" w:themeColor="text1"/>
        </w:rPr>
        <w:t>rețeaua Natura 2000. Informațiile solicitate ar trebui să acopere siturile de importanță comunitară</w:t>
      </w:r>
      <w:r w:rsidRPr="00C54A03">
        <w:rPr>
          <w:color w:val="000000" w:themeColor="text1"/>
          <w:spacing w:val="1"/>
        </w:rPr>
        <w:t xml:space="preserve"> </w:t>
      </w:r>
      <w:r w:rsidRPr="00C54A03">
        <w:rPr>
          <w:color w:val="000000" w:themeColor="text1"/>
        </w:rPr>
        <w:t>propuse (pSCI), siturile de importanță comunitară (SCI) și zonele speciale de conservare (SAC) ale</w:t>
      </w:r>
      <w:r w:rsidRPr="00C54A03">
        <w:rPr>
          <w:color w:val="000000" w:themeColor="text1"/>
          <w:spacing w:val="1"/>
        </w:rPr>
        <w:t xml:space="preserve"> </w:t>
      </w:r>
      <w:r w:rsidRPr="00C54A03">
        <w:rPr>
          <w:color w:val="000000" w:themeColor="text1"/>
        </w:rPr>
        <w:t>rețelei</w:t>
      </w:r>
      <w:r w:rsidRPr="00C54A03">
        <w:rPr>
          <w:color w:val="000000" w:themeColor="text1"/>
          <w:spacing w:val="-1"/>
        </w:rPr>
        <w:t xml:space="preserve"> </w:t>
      </w:r>
      <w:r w:rsidRPr="00C54A03">
        <w:rPr>
          <w:color w:val="000000" w:themeColor="text1"/>
        </w:rPr>
        <w:t>Natura</w:t>
      </w:r>
      <w:r w:rsidRPr="00C54A03">
        <w:rPr>
          <w:color w:val="000000" w:themeColor="text1"/>
          <w:spacing w:val="-2"/>
        </w:rPr>
        <w:t xml:space="preserve"> </w:t>
      </w:r>
      <w:r w:rsidRPr="00C54A03">
        <w:rPr>
          <w:color w:val="000000" w:themeColor="text1"/>
        </w:rPr>
        <w:t>2000 din regiunea</w:t>
      </w:r>
      <w:r w:rsidRPr="00C54A03">
        <w:rPr>
          <w:color w:val="000000" w:themeColor="text1"/>
          <w:spacing w:val="-1"/>
        </w:rPr>
        <w:t xml:space="preserve"> </w:t>
      </w:r>
      <w:r w:rsidRPr="00C54A03">
        <w:rPr>
          <w:color w:val="000000" w:themeColor="text1"/>
        </w:rPr>
        <w:t>biogeografică</w:t>
      </w:r>
      <w:r w:rsidRPr="00C54A03">
        <w:rPr>
          <w:color w:val="000000" w:themeColor="text1"/>
          <w:spacing w:val="-2"/>
        </w:rPr>
        <w:t xml:space="preserve"> </w:t>
      </w:r>
      <w:r w:rsidRPr="00C54A03">
        <w:rPr>
          <w:color w:val="000000" w:themeColor="text1"/>
        </w:rPr>
        <w:t>/</w:t>
      </w:r>
      <w:r w:rsidRPr="00C54A03">
        <w:rPr>
          <w:color w:val="000000" w:themeColor="text1"/>
          <w:spacing w:val="2"/>
        </w:rPr>
        <w:t xml:space="preserve"> </w:t>
      </w:r>
      <w:r w:rsidRPr="00C54A03">
        <w:rPr>
          <w:color w:val="000000" w:themeColor="text1"/>
        </w:rPr>
        <w:t>marină în cauză.</w:t>
      </w:r>
    </w:p>
    <w:p w14:paraId="07DF434A" w14:textId="77777777" w:rsidR="00E13976" w:rsidRPr="00C54A03" w:rsidRDefault="00E13976" w:rsidP="008E33FD">
      <w:pPr>
        <w:widowControl w:val="0"/>
        <w:autoSpaceDE w:val="0"/>
        <w:autoSpaceDN w:val="0"/>
        <w:ind w:right="253"/>
        <w:jc w:val="both"/>
        <w:rPr>
          <w:color w:val="000000" w:themeColor="text1"/>
        </w:rPr>
      </w:pPr>
      <w:r w:rsidRPr="00C54A03">
        <w:rPr>
          <w:color w:val="000000" w:themeColor="text1"/>
        </w:rPr>
        <w:lastRenderedPageBreak/>
        <w:t>Informațiile se referă la toate pSCI-urile / SCI-urile / SAC-urile în care habitatele din anexa I sunt</w:t>
      </w:r>
      <w:r w:rsidRPr="00C54A03">
        <w:rPr>
          <w:color w:val="000000" w:themeColor="text1"/>
          <w:spacing w:val="1"/>
        </w:rPr>
        <w:t xml:space="preserve"> </w:t>
      </w:r>
      <w:r w:rsidRPr="00C54A03">
        <w:rPr>
          <w:color w:val="000000" w:themeColor="text1"/>
        </w:rPr>
        <w:t>prezente,</w:t>
      </w:r>
      <w:r w:rsidRPr="00C54A03">
        <w:rPr>
          <w:color w:val="000000" w:themeColor="text1"/>
          <w:spacing w:val="-1"/>
        </w:rPr>
        <w:t xml:space="preserve"> </w:t>
      </w:r>
      <w:r w:rsidRPr="00C54A03">
        <w:rPr>
          <w:color w:val="000000" w:themeColor="text1"/>
        </w:rPr>
        <w:t>nu numai</w:t>
      </w:r>
      <w:r w:rsidRPr="00C54A03">
        <w:rPr>
          <w:color w:val="000000" w:themeColor="text1"/>
          <w:spacing w:val="-1"/>
        </w:rPr>
        <w:t xml:space="preserve"> </w:t>
      </w:r>
      <w:r w:rsidRPr="00C54A03">
        <w:rPr>
          <w:color w:val="000000" w:themeColor="text1"/>
        </w:rPr>
        <w:t>acele</w:t>
      </w:r>
      <w:r w:rsidRPr="00C54A03">
        <w:rPr>
          <w:color w:val="000000" w:themeColor="text1"/>
          <w:spacing w:val="1"/>
        </w:rPr>
        <w:t xml:space="preserve"> </w:t>
      </w:r>
      <w:r w:rsidRPr="00C54A03">
        <w:rPr>
          <w:color w:val="000000" w:themeColor="text1"/>
        </w:rPr>
        <w:t>sit-uri</w:t>
      </w:r>
      <w:r w:rsidRPr="00C54A03">
        <w:rPr>
          <w:color w:val="000000" w:themeColor="text1"/>
          <w:spacing w:val="-1"/>
        </w:rPr>
        <w:t xml:space="preserve"> </w:t>
      </w:r>
      <w:r w:rsidRPr="00C54A03">
        <w:rPr>
          <w:color w:val="000000" w:themeColor="text1"/>
        </w:rPr>
        <w:t>în care</w:t>
      </w:r>
      <w:r w:rsidRPr="00C54A03">
        <w:rPr>
          <w:color w:val="000000" w:themeColor="text1"/>
          <w:spacing w:val="-2"/>
        </w:rPr>
        <w:t xml:space="preserve"> </w:t>
      </w:r>
      <w:r w:rsidRPr="00C54A03">
        <w:rPr>
          <w:color w:val="000000" w:themeColor="text1"/>
        </w:rPr>
        <w:t>habitatul</w:t>
      </w:r>
      <w:r w:rsidRPr="00C54A03">
        <w:rPr>
          <w:color w:val="000000" w:themeColor="text1"/>
          <w:spacing w:val="1"/>
        </w:rPr>
        <w:t xml:space="preserve"> </w:t>
      </w:r>
      <w:r w:rsidRPr="00C54A03">
        <w:rPr>
          <w:color w:val="000000" w:themeColor="text1"/>
        </w:rPr>
        <w:t>este declarat</w:t>
      </w:r>
      <w:r w:rsidRPr="00C54A03">
        <w:rPr>
          <w:color w:val="000000" w:themeColor="text1"/>
          <w:spacing w:val="-1"/>
        </w:rPr>
        <w:t xml:space="preserve"> </w:t>
      </w:r>
      <w:r w:rsidRPr="00C54A03">
        <w:rPr>
          <w:color w:val="000000" w:themeColor="text1"/>
        </w:rPr>
        <w:t>obiectiv de</w:t>
      </w:r>
      <w:r w:rsidRPr="00C54A03">
        <w:rPr>
          <w:color w:val="000000" w:themeColor="text1"/>
          <w:spacing w:val="1"/>
        </w:rPr>
        <w:t xml:space="preserve"> </w:t>
      </w:r>
      <w:r w:rsidRPr="00C54A03">
        <w:rPr>
          <w:color w:val="000000" w:themeColor="text1"/>
        </w:rPr>
        <w:t>conservare.</w:t>
      </w:r>
    </w:p>
    <w:p w14:paraId="1B252495" w14:textId="77777777" w:rsidR="00E13976" w:rsidRPr="00C54A03" w:rsidRDefault="00E13976" w:rsidP="008E33FD">
      <w:pPr>
        <w:widowControl w:val="0"/>
        <w:autoSpaceDE w:val="0"/>
        <w:autoSpaceDN w:val="0"/>
        <w:jc w:val="both"/>
        <w:rPr>
          <w:i/>
          <w:color w:val="000000" w:themeColor="text1"/>
        </w:rPr>
      </w:pPr>
      <w:r w:rsidRPr="00C54A03">
        <w:rPr>
          <w:i/>
          <w:color w:val="000000" w:themeColor="text1"/>
        </w:rPr>
        <w:t>Suprafața</w:t>
      </w:r>
      <w:r w:rsidRPr="00C54A03">
        <w:rPr>
          <w:i/>
          <w:color w:val="000000" w:themeColor="text1"/>
          <w:spacing w:val="-1"/>
        </w:rPr>
        <w:t xml:space="preserve"> </w:t>
      </w:r>
      <w:r w:rsidRPr="00C54A03">
        <w:rPr>
          <w:i/>
          <w:color w:val="000000" w:themeColor="text1"/>
        </w:rPr>
        <w:t>tipului de</w:t>
      </w:r>
      <w:r w:rsidRPr="00C54A03">
        <w:rPr>
          <w:i/>
          <w:color w:val="000000" w:themeColor="text1"/>
          <w:spacing w:val="-1"/>
        </w:rPr>
        <w:t xml:space="preserve"> </w:t>
      </w:r>
      <w:r w:rsidRPr="00C54A03">
        <w:rPr>
          <w:i/>
          <w:color w:val="000000" w:themeColor="text1"/>
        </w:rPr>
        <w:t>habitat din</w:t>
      </w:r>
      <w:r w:rsidRPr="00C54A03">
        <w:rPr>
          <w:i/>
          <w:color w:val="000000" w:themeColor="text1"/>
          <w:spacing w:val="-1"/>
        </w:rPr>
        <w:t xml:space="preserve"> </w:t>
      </w:r>
      <w:r w:rsidRPr="00C54A03">
        <w:rPr>
          <w:i/>
          <w:color w:val="000000" w:themeColor="text1"/>
        </w:rPr>
        <w:t>rețeaua pSCI,</w:t>
      </w:r>
      <w:r w:rsidRPr="00C54A03">
        <w:rPr>
          <w:i/>
          <w:color w:val="000000" w:themeColor="text1"/>
          <w:spacing w:val="-1"/>
        </w:rPr>
        <w:t xml:space="preserve"> </w:t>
      </w:r>
      <w:r w:rsidRPr="00C54A03">
        <w:rPr>
          <w:i/>
          <w:color w:val="000000" w:themeColor="text1"/>
        </w:rPr>
        <w:t>SCI și</w:t>
      </w:r>
      <w:r w:rsidRPr="00C54A03">
        <w:rPr>
          <w:i/>
          <w:color w:val="000000" w:themeColor="text1"/>
          <w:spacing w:val="-2"/>
        </w:rPr>
        <w:t xml:space="preserve"> </w:t>
      </w:r>
      <w:r w:rsidRPr="00C54A03">
        <w:rPr>
          <w:i/>
          <w:color w:val="000000" w:themeColor="text1"/>
        </w:rPr>
        <w:t>SAC</w:t>
      </w:r>
    </w:p>
    <w:p w14:paraId="7AF93288" w14:textId="77777777" w:rsidR="00E13976" w:rsidRPr="00C54A03" w:rsidRDefault="00E13976" w:rsidP="008E33FD">
      <w:pPr>
        <w:widowControl w:val="0"/>
        <w:autoSpaceDE w:val="0"/>
        <w:autoSpaceDN w:val="0"/>
        <w:ind w:right="253"/>
        <w:jc w:val="both"/>
        <w:rPr>
          <w:color w:val="000000" w:themeColor="text1"/>
        </w:rPr>
      </w:pPr>
      <w:r w:rsidRPr="00C54A03">
        <w:rPr>
          <w:color w:val="000000" w:themeColor="text1"/>
        </w:rPr>
        <w:t>Se indică suprafața tipului de habitat din rețea, din regiunea biogeografică sau marină în cauză,</w:t>
      </w:r>
      <w:r w:rsidRPr="00C54A03">
        <w:rPr>
          <w:color w:val="000000" w:themeColor="text1"/>
          <w:spacing w:val="1"/>
        </w:rPr>
        <w:t xml:space="preserve"> </w:t>
      </w:r>
      <w:r w:rsidRPr="00C54A03">
        <w:rPr>
          <w:color w:val="000000" w:themeColor="text1"/>
        </w:rPr>
        <w:t>inclusiv toate siturile în care este prezent tipul de habitat. Se urmăresc aceleași recomandări ca și</w:t>
      </w:r>
      <w:r w:rsidRPr="00C54A03">
        <w:rPr>
          <w:color w:val="000000" w:themeColor="text1"/>
          <w:spacing w:val="1"/>
        </w:rPr>
        <w:t xml:space="preserve"> </w:t>
      </w:r>
      <w:r w:rsidRPr="00C54A03">
        <w:rPr>
          <w:color w:val="000000" w:themeColor="text1"/>
        </w:rPr>
        <w:t>pentru</w:t>
      </w:r>
      <w:r w:rsidRPr="00C54A03">
        <w:rPr>
          <w:color w:val="000000" w:themeColor="text1"/>
          <w:spacing w:val="-1"/>
        </w:rPr>
        <w:t xml:space="preserve"> </w:t>
      </w:r>
      <w:r w:rsidRPr="00C54A03">
        <w:rPr>
          <w:color w:val="000000" w:themeColor="text1"/>
        </w:rPr>
        <w:t>suprafața habitatului.</w:t>
      </w:r>
    </w:p>
    <w:p w14:paraId="45147368" w14:textId="77777777" w:rsidR="00E13976" w:rsidRPr="00C54A03" w:rsidRDefault="00E13976" w:rsidP="008E33FD">
      <w:pPr>
        <w:widowControl w:val="0"/>
        <w:autoSpaceDE w:val="0"/>
        <w:autoSpaceDN w:val="0"/>
        <w:spacing w:before="8" w:after="1"/>
        <w:jc w:val="both"/>
        <w:rPr>
          <w:color w:val="000000" w:themeColor="text1"/>
        </w:rPr>
      </w:pPr>
    </w:p>
    <w:tbl>
      <w:tblPr>
        <w:tblW w:w="0" w:type="auto"/>
        <w:tblInd w:w="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706"/>
        <w:gridCol w:w="707"/>
        <w:gridCol w:w="706"/>
        <w:gridCol w:w="706"/>
        <w:gridCol w:w="706"/>
        <w:gridCol w:w="706"/>
        <w:gridCol w:w="1422"/>
        <w:gridCol w:w="2600"/>
      </w:tblGrid>
      <w:tr w:rsidR="00E13976" w:rsidRPr="00C54A03" w14:paraId="1080098F" w14:textId="77777777" w:rsidTr="00E13976">
        <w:trPr>
          <w:trHeight w:val="506"/>
        </w:trPr>
        <w:tc>
          <w:tcPr>
            <w:tcW w:w="1385" w:type="dxa"/>
          </w:tcPr>
          <w:p w14:paraId="3C9C3B1E" w14:textId="77777777" w:rsidR="00E13976" w:rsidRPr="00C54A03" w:rsidRDefault="00E13976" w:rsidP="008E33FD">
            <w:pPr>
              <w:widowControl w:val="0"/>
              <w:autoSpaceDE w:val="0"/>
              <w:autoSpaceDN w:val="0"/>
              <w:spacing w:before="8"/>
              <w:jc w:val="both"/>
              <w:rPr>
                <w:color w:val="000000" w:themeColor="text1"/>
              </w:rPr>
            </w:pPr>
          </w:p>
          <w:p w14:paraId="5094BBAC" w14:textId="77777777" w:rsidR="00E13976" w:rsidRPr="00C54A03" w:rsidRDefault="00E13976" w:rsidP="008E33FD">
            <w:pPr>
              <w:widowControl w:val="0"/>
              <w:autoSpaceDE w:val="0"/>
              <w:autoSpaceDN w:val="0"/>
              <w:spacing w:before="1" w:line="236" w:lineRule="exact"/>
              <w:ind w:right="80"/>
              <w:jc w:val="both"/>
              <w:rPr>
                <w:b/>
                <w:color w:val="000000" w:themeColor="text1"/>
              </w:rPr>
            </w:pPr>
            <w:r w:rsidRPr="00C54A03">
              <w:rPr>
                <w:b/>
                <w:color w:val="000000" w:themeColor="text1"/>
              </w:rPr>
              <w:t>Cod</w:t>
            </w:r>
            <w:r w:rsidRPr="00C54A03">
              <w:rPr>
                <w:b/>
                <w:color w:val="000000" w:themeColor="text1"/>
                <w:spacing w:val="-2"/>
              </w:rPr>
              <w:t xml:space="preserve"> </w:t>
            </w:r>
            <w:r w:rsidRPr="00C54A03">
              <w:rPr>
                <w:b/>
                <w:color w:val="000000" w:themeColor="text1"/>
              </w:rPr>
              <w:t>Habitat</w:t>
            </w:r>
          </w:p>
        </w:tc>
        <w:tc>
          <w:tcPr>
            <w:tcW w:w="706" w:type="dxa"/>
          </w:tcPr>
          <w:p w14:paraId="74F0A427" w14:textId="77777777" w:rsidR="00E13976" w:rsidRPr="00C54A03" w:rsidRDefault="00E13976" w:rsidP="008E33FD">
            <w:pPr>
              <w:widowControl w:val="0"/>
              <w:autoSpaceDE w:val="0"/>
              <w:autoSpaceDN w:val="0"/>
              <w:spacing w:before="8"/>
              <w:jc w:val="both"/>
              <w:rPr>
                <w:color w:val="000000" w:themeColor="text1"/>
              </w:rPr>
            </w:pPr>
          </w:p>
          <w:p w14:paraId="4ED650DF" w14:textId="77777777" w:rsidR="00E13976" w:rsidRPr="00C54A03" w:rsidRDefault="00E13976" w:rsidP="008E33FD">
            <w:pPr>
              <w:widowControl w:val="0"/>
              <w:autoSpaceDE w:val="0"/>
              <w:autoSpaceDN w:val="0"/>
              <w:spacing w:before="1" w:line="236" w:lineRule="exact"/>
              <w:ind w:right="85"/>
              <w:jc w:val="both"/>
              <w:rPr>
                <w:b/>
                <w:color w:val="000000" w:themeColor="text1"/>
              </w:rPr>
            </w:pPr>
            <w:r w:rsidRPr="00C54A03">
              <w:rPr>
                <w:b/>
                <w:color w:val="000000" w:themeColor="text1"/>
              </w:rPr>
              <w:t>ALP</w:t>
            </w:r>
          </w:p>
        </w:tc>
        <w:tc>
          <w:tcPr>
            <w:tcW w:w="707" w:type="dxa"/>
          </w:tcPr>
          <w:p w14:paraId="0EE959A6" w14:textId="77777777" w:rsidR="00E13976" w:rsidRPr="00C54A03" w:rsidRDefault="00E13976" w:rsidP="008E33FD">
            <w:pPr>
              <w:widowControl w:val="0"/>
              <w:autoSpaceDE w:val="0"/>
              <w:autoSpaceDN w:val="0"/>
              <w:spacing w:before="8"/>
              <w:jc w:val="both"/>
              <w:rPr>
                <w:color w:val="000000" w:themeColor="text1"/>
              </w:rPr>
            </w:pPr>
          </w:p>
          <w:p w14:paraId="2920F898" w14:textId="77777777" w:rsidR="00E13976" w:rsidRPr="00C54A03" w:rsidRDefault="00E13976" w:rsidP="008E33FD">
            <w:pPr>
              <w:widowControl w:val="0"/>
              <w:autoSpaceDE w:val="0"/>
              <w:autoSpaceDN w:val="0"/>
              <w:spacing w:before="1" w:line="236" w:lineRule="exact"/>
              <w:ind w:right="80"/>
              <w:jc w:val="both"/>
              <w:rPr>
                <w:b/>
                <w:color w:val="000000" w:themeColor="text1"/>
              </w:rPr>
            </w:pPr>
            <w:r w:rsidRPr="00C54A03">
              <w:rPr>
                <w:b/>
                <w:color w:val="000000" w:themeColor="text1"/>
              </w:rPr>
              <w:t>CON</w:t>
            </w:r>
          </w:p>
        </w:tc>
        <w:tc>
          <w:tcPr>
            <w:tcW w:w="706" w:type="dxa"/>
          </w:tcPr>
          <w:p w14:paraId="70ED970A" w14:textId="77777777" w:rsidR="00E13976" w:rsidRPr="00C54A03" w:rsidRDefault="00E13976" w:rsidP="008E33FD">
            <w:pPr>
              <w:widowControl w:val="0"/>
              <w:autoSpaceDE w:val="0"/>
              <w:autoSpaceDN w:val="0"/>
              <w:spacing w:before="8"/>
              <w:jc w:val="both"/>
              <w:rPr>
                <w:color w:val="000000" w:themeColor="text1"/>
              </w:rPr>
            </w:pPr>
          </w:p>
          <w:p w14:paraId="65C840D5" w14:textId="77777777" w:rsidR="00E13976" w:rsidRPr="00C54A03" w:rsidRDefault="00E13976" w:rsidP="008E33FD">
            <w:pPr>
              <w:widowControl w:val="0"/>
              <w:autoSpaceDE w:val="0"/>
              <w:autoSpaceDN w:val="0"/>
              <w:spacing w:before="1" w:line="236" w:lineRule="exact"/>
              <w:ind w:right="85"/>
              <w:jc w:val="both"/>
              <w:rPr>
                <w:b/>
                <w:color w:val="000000" w:themeColor="text1"/>
              </w:rPr>
            </w:pPr>
            <w:r w:rsidRPr="00C54A03">
              <w:rPr>
                <w:b/>
                <w:color w:val="000000" w:themeColor="text1"/>
              </w:rPr>
              <w:t>PAN</w:t>
            </w:r>
          </w:p>
        </w:tc>
        <w:tc>
          <w:tcPr>
            <w:tcW w:w="706" w:type="dxa"/>
          </w:tcPr>
          <w:p w14:paraId="4E6C224A" w14:textId="77777777" w:rsidR="00E13976" w:rsidRPr="00C54A03" w:rsidRDefault="00E13976" w:rsidP="008E33FD">
            <w:pPr>
              <w:widowControl w:val="0"/>
              <w:autoSpaceDE w:val="0"/>
              <w:autoSpaceDN w:val="0"/>
              <w:spacing w:before="8"/>
              <w:jc w:val="both"/>
              <w:rPr>
                <w:color w:val="000000" w:themeColor="text1"/>
              </w:rPr>
            </w:pPr>
          </w:p>
          <w:p w14:paraId="256C54D7" w14:textId="77777777" w:rsidR="00E13976" w:rsidRPr="00C54A03" w:rsidRDefault="00E13976" w:rsidP="008E33FD">
            <w:pPr>
              <w:widowControl w:val="0"/>
              <w:autoSpaceDE w:val="0"/>
              <w:autoSpaceDN w:val="0"/>
              <w:spacing w:before="1" w:line="236" w:lineRule="exact"/>
              <w:ind w:right="85"/>
              <w:jc w:val="both"/>
              <w:rPr>
                <w:b/>
                <w:color w:val="000000" w:themeColor="text1"/>
              </w:rPr>
            </w:pPr>
            <w:r w:rsidRPr="00C54A03">
              <w:rPr>
                <w:b/>
                <w:color w:val="000000" w:themeColor="text1"/>
              </w:rPr>
              <w:t>STE</w:t>
            </w:r>
          </w:p>
        </w:tc>
        <w:tc>
          <w:tcPr>
            <w:tcW w:w="706" w:type="dxa"/>
          </w:tcPr>
          <w:p w14:paraId="47FF7B6B" w14:textId="77777777" w:rsidR="00E13976" w:rsidRPr="00C54A03" w:rsidRDefault="00E13976" w:rsidP="008E33FD">
            <w:pPr>
              <w:widowControl w:val="0"/>
              <w:autoSpaceDE w:val="0"/>
              <w:autoSpaceDN w:val="0"/>
              <w:spacing w:before="8"/>
              <w:jc w:val="both"/>
              <w:rPr>
                <w:color w:val="000000" w:themeColor="text1"/>
              </w:rPr>
            </w:pPr>
          </w:p>
          <w:p w14:paraId="2F2EA45E" w14:textId="77777777" w:rsidR="00E13976" w:rsidRPr="00C54A03" w:rsidRDefault="00E13976" w:rsidP="008E33FD">
            <w:pPr>
              <w:widowControl w:val="0"/>
              <w:autoSpaceDE w:val="0"/>
              <w:autoSpaceDN w:val="0"/>
              <w:spacing w:before="1" w:line="236" w:lineRule="exact"/>
              <w:ind w:right="85"/>
              <w:jc w:val="both"/>
              <w:rPr>
                <w:b/>
                <w:color w:val="000000" w:themeColor="text1"/>
              </w:rPr>
            </w:pPr>
            <w:r w:rsidRPr="00C54A03">
              <w:rPr>
                <w:b/>
                <w:color w:val="000000" w:themeColor="text1"/>
              </w:rPr>
              <w:t>BLS</w:t>
            </w:r>
          </w:p>
        </w:tc>
        <w:tc>
          <w:tcPr>
            <w:tcW w:w="706" w:type="dxa"/>
          </w:tcPr>
          <w:p w14:paraId="2B648497" w14:textId="77777777" w:rsidR="00E13976" w:rsidRPr="00C54A03" w:rsidRDefault="00E13976" w:rsidP="008E33FD">
            <w:pPr>
              <w:widowControl w:val="0"/>
              <w:autoSpaceDE w:val="0"/>
              <w:autoSpaceDN w:val="0"/>
              <w:spacing w:before="8"/>
              <w:jc w:val="both"/>
              <w:rPr>
                <w:color w:val="000000" w:themeColor="text1"/>
              </w:rPr>
            </w:pPr>
          </w:p>
          <w:p w14:paraId="4A3F518C" w14:textId="77777777" w:rsidR="00E13976" w:rsidRPr="00C54A03" w:rsidRDefault="00E13976" w:rsidP="008E33FD">
            <w:pPr>
              <w:widowControl w:val="0"/>
              <w:autoSpaceDE w:val="0"/>
              <w:autoSpaceDN w:val="0"/>
              <w:spacing w:before="1" w:line="236" w:lineRule="exact"/>
              <w:ind w:right="85"/>
              <w:jc w:val="both"/>
              <w:rPr>
                <w:b/>
                <w:color w:val="000000" w:themeColor="text1"/>
              </w:rPr>
            </w:pPr>
            <w:r w:rsidRPr="00C54A03">
              <w:rPr>
                <w:b/>
                <w:color w:val="000000" w:themeColor="text1"/>
              </w:rPr>
              <w:t>MBS</w:t>
            </w:r>
          </w:p>
        </w:tc>
        <w:tc>
          <w:tcPr>
            <w:tcW w:w="1422" w:type="dxa"/>
          </w:tcPr>
          <w:p w14:paraId="7A2846A4" w14:textId="77777777" w:rsidR="00E13976" w:rsidRPr="00C54A03" w:rsidRDefault="00E13976" w:rsidP="008E33FD">
            <w:pPr>
              <w:widowControl w:val="0"/>
              <w:autoSpaceDE w:val="0"/>
              <w:autoSpaceDN w:val="0"/>
              <w:spacing w:before="8"/>
              <w:jc w:val="both"/>
              <w:rPr>
                <w:color w:val="000000" w:themeColor="text1"/>
              </w:rPr>
            </w:pPr>
          </w:p>
          <w:p w14:paraId="762AF929" w14:textId="77777777" w:rsidR="00E13976" w:rsidRPr="00C54A03" w:rsidRDefault="00E13976" w:rsidP="008E33FD">
            <w:pPr>
              <w:widowControl w:val="0"/>
              <w:autoSpaceDE w:val="0"/>
              <w:autoSpaceDN w:val="0"/>
              <w:spacing w:before="1" w:line="236" w:lineRule="exact"/>
              <w:ind w:right="81"/>
              <w:jc w:val="both"/>
              <w:rPr>
                <w:b/>
                <w:color w:val="000000" w:themeColor="text1"/>
              </w:rPr>
            </w:pPr>
            <w:r w:rsidRPr="00C54A03">
              <w:rPr>
                <w:b/>
                <w:color w:val="000000" w:themeColor="text1"/>
              </w:rPr>
              <w:t>Total</w:t>
            </w:r>
            <w:r w:rsidRPr="00C54A03">
              <w:rPr>
                <w:b/>
                <w:color w:val="000000" w:themeColor="text1"/>
                <w:spacing w:val="-1"/>
              </w:rPr>
              <w:t xml:space="preserve"> </w:t>
            </w:r>
            <w:r w:rsidRPr="00C54A03">
              <w:rPr>
                <w:b/>
                <w:color w:val="000000" w:themeColor="text1"/>
              </w:rPr>
              <w:t>ploturi</w:t>
            </w:r>
          </w:p>
        </w:tc>
        <w:tc>
          <w:tcPr>
            <w:tcW w:w="2600" w:type="dxa"/>
          </w:tcPr>
          <w:p w14:paraId="69A59633" w14:textId="77777777" w:rsidR="00E13976" w:rsidRPr="00C54A03" w:rsidRDefault="00E13976" w:rsidP="008E33FD">
            <w:pPr>
              <w:widowControl w:val="0"/>
              <w:autoSpaceDE w:val="0"/>
              <w:autoSpaceDN w:val="0"/>
              <w:spacing w:line="252" w:lineRule="exact"/>
              <w:ind w:right="433"/>
              <w:jc w:val="both"/>
              <w:rPr>
                <w:b/>
                <w:color w:val="000000" w:themeColor="text1"/>
              </w:rPr>
            </w:pPr>
            <w:r w:rsidRPr="00C54A03">
              <w:rPr>
                <w:b/>
                <w:color w:val="000000" w:themeColor="text1"/>
              </w:rPr>
              <w:t>Ploturi in doua</w:t>
            </w:r>
            <w:r w:rsidRPr="00C54A03">
              <w:rPr>
                <w:b/>
                <w:color w:val="000000" w:themeColor="text1"/>
                <w:spacing w:val="1"/>
              </w:rPr>
              <w:t xml:space="preserve"> </w:t>
            </w:r>
            <w:r w:rsidRPr="00C54A03">
              <w:rPr>
                <w:b/>
                <w:color w:val="000000" w:themeColor="text1"/>
              </w:rPr>
              <w:t>bioregiuni</w:t>
            </w:r>
            <w:r w:rsidRPr="00C54A03">
              <w:rPr>
                <w:b/>
                <w:color w:val="000000" w:themeColor="text1"/>
                <w:spacing w:val="-13"/>
              </w:rPr>
              <w:t xml:space="preserve"> </w:t>
            </w:r>
            <w:r w:rsidRPr="00C54A03">
              <w:rPr>
                <w:b/>
                <w:color w:val="000000" w:themeColor="text1"/>
              </w:rPr>
              <w:t>diferite</w:t>
            </w:r>
          </w:p>
        </w:tc>
      </w:tr>
      <w:tr w:rsidR="00E13976" w:rsidRPr="00C54A03" w14:paraId="1ACC387A" w14:textId="77777777" w:rsidTr="00E13976">
        <w:trPr>
          <w:trHeight w:val="299"/>
        </w:trPr>
        <w:tc>
          <w:tcPr>
            <w:tcW w:w="1385" w:type="dxa"/>
          </w:tcPr>
          <w:p w14:paraId="1AFB5D10" w14:textId="77777777" w:rsidR="00E13976" w:rsidRPr="00C54A03" w:rsidRDefault="00E13976" w:rsidP="008E33FD">
            <w:pPr>
              <w:widowControl w:val="0"/>
              <w:autoSpaceDE w:val="0"/>
              <w:autoSpaceDN w:val="0"/>
              <w:spacing w:before="20" w:line="259" w:lineRule="exact"/>
              <w:ind w:right="80"/>
              <w:jc w:val="both"/>
              <w:rPr>
                <w:b/>
                <w:color w:val="000000" w:themeColor="text1"/>
              </w:rPr>
            </w:pPr>
            <w:r w:rsidRPr="00C54A03">
              <w:rPr>
                <w:b/>
                <w:color w:val="000000" w:themeColor="text1"/>
              </w:rPr>
              <w:t>7110*</w:t>
            </w:r>
          </w:p>
        </w:tc>
        <w:tc>
          <w:tcPr>
            <w:tcW w:w="706" w:type="dxa"/>
          </w:tcPr>
          <w:p w14:paraId="382DE570" w14:textId="77777777" w:rsidR="00E13976" w:rsidRPr="00C54A03" w:rsidRDefault="00E13976" w:rsidP="008E33FD">
            <w:pPr>
              <w:widowControl w:val="0"/>
              <w:autoSpaceDE w:val="0"/>
              <w:autoSpaceDN w:val="0"/>
              <w:spacing w:before="15" w:line="264" w:lineRule="exact"/>
              <w:ind w:right="85"/>
              <w:jc w:val="both"/>
              <w:rPr>
                <w:color w:val="000000" w:themeColor="text1"/>
              </w:rPr>
            </w:pPr>
            <w:r w:rsidRPr="00C54A03">
              <w:rPr>
                <w:color w:val="000000" w:themeColor="text1"/>
              </w:rPr>
              <w:t>49</w:t>
            </w:r>
          </w:p>
        </w:tc>
        <w:tc>
          <w:tcPr>
            <w:tcW w:w="707" w:type="dxa"/>
          </w:tcPr>
          <w:p w14:paraId="53C7BD1F"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30AF3A62"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4D5F9F90"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6879289C"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0B17C596"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1422" w:type="dxa"/>
          </w:tcPr>
          <w:p w14:paraId="2A03C7F6" w14:textId="77777777" w:rsidR="00E13976" w:rsidRPr="00C54A03" w:rsidRDefault="00E13976" w:rsidP="008E33FD">
            <w:pPr>
              <w:widowControl w:val="0"/>
              <w:autoSpaceDE w:val="0"/>
              <w:autoSpaceDN w:val="0"/>
              <w:spacing w:before="15" w:line="264" w:lineRule="exact"/>
              <w:ind w:right="81"/>
              <w:jc w:val="both"/>
              <w:rPr>
                <w:color w:val="000000" w:themeColor="text1"/>
              </w:rPr>
            </w:pPr>
            <w:r w:rsidRPr="00C54A03">
              <w:rPr>
                <w:color w:val="000000" w:themeColor="text1"/>
              </w:rPr>
              <w:t>49</w:t>
            </w:r>
          </w:p>
        </w:tc>
        <w:tc>
          <w:tcPr>
            <w:tcW w:w="2600" w:type="dxa"/>
          </w:tcPr>
          <w:p w14:paraId="6E1AF23E" w14:textId="77777777" w:rsidR="00E13976" w:rsidRPr="00C54A03" w:rsidRDefault="00E13976" w:rsidP="008E33FD">
            <w:pPr>
              <w:widowControl w:val="0"/>
              <w:autoSpaceDE w:val="0"/>
              <w:autoSpaceDN w:val="0"/>
              <w:spacing w:before="15" w:line="264" w:lineRule="exact"/>
              <w:ind w:right="1230"/>
              <w:jc w:val="both"/>
              <w:rPr>
                <w:color w:val="000000" w:themeColor="text1"/>
              </w:rPr>
            </w:pPr>
            <w:r w:rsidRPr="00C54A03">
              <w:rPr>
                <w:color w:val="000000" w:themeColor="text1"/>
              </w:rPr>
              <w:t>0</w:t>
            </w:r>
          </w:p>
        </w:tc>
      </w:tr>
      <w:tr w:rsidR="00E13976" w:rsidRPr="00C54A03" w14:paraId="40C4A7FC" w14:textId="77777777" w:rsidTr="00E13976">
        <w:trPr>
          <w:trHeight w:val="299"/>
        </w:trPr>
        <w:tc>
          <w:tcPr>
            <w:tcW w:w="1385" w:type="dxa"/>
          </w:tcPr>
          <w:p w14:paraId="279F4EDA" w14:textId="77777777" w:rsidR="00E13976" w:rsidRPr="00C54A03" w:rsidRDefault="00E13976" w:rsidP="008E33FD">
            <w:pPr>
              <w:widowControl w:val="0"/>
              <w:autoSpaceDE w:val="0"/>
              <w:autoSpaceDN w:val="0"/>
              <w:spacing w:before="20" w:line="259" w:lineRule="exact"/>
              <w:ind w:right="80"/>
              <w:jc w:val="both"/>
              <w:rPr>
                <w:b/>
                <w:color w:val="000000" w:themeColor="text1"/>
              </w:rPr>
            </w:pPr>
            <w:r w:rsidRPr="00C54A03">
              <w:rPr>
                <w:b/>
                <w:color w:val="000000" w:themeColor="text1"/>
              </w:rPr>
              <w:t>7120</w:t>
            </w:r>
          </w:p>
        </w:tc>
        <w:tc>
          <w:tcPr>
            <w:tcW w:w="706" w:type="dxa"/>
          </w:tcPr>
          <w:p w14:paraId="25A0D352"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4</w:t>
            </w:r>
          </w:p>
        </w:tc>
        <w:tc>
          <w:tcPr>
            <w:tcW w:w="707" w:type="dxa"/>
          </w:tcPr>
          <w:p w14:paraId="25D7A744"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5D389133"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5E2745E4"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23B1190A"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5C1A6CF9"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1422" w:type="dxa"/>
          </w:tcPr>
          <w:p w14:paraId="7CD36C36"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4</w:t>
            </w:r>
          </w:p>
        </w:tc>
        <w:tc>
          <w:tcPr>
            <w:tcW w:w="2600" w:type="dxa"/>
          </w:tcPr>
          <w:p w14:paraId="55EB5910" w14:textId="77777777" w:rsidR="00E13976" w:rsidRPr="00C54A03" w:rsidRDefault="00E13976" w:rsidP="008E33FD">
            <w:pPr>
              <w:widowControl w:val="0"/>
              <w:autoSpaceDE w:val="0"/>
              <w:autoSpaceDN w:val="0"/>
              <w:spacing w:before="15" w:line="264" w:lineRule="exact"/>
              <w:ind w:right="1230"/>
              <w:jc w:val="both"/>
              <w:rPr>
                <w:color w:val="000000" w:themeColor="text1"/>
              </w:rPr>
            </w:pPr>
            <w:r w:rsidRPr="00C54A03">
              <w:rPr>
                <w:color w:val="000000" w:themeColor="text1"/>
              </w:rPr>
              <w:t>0</w:t>
            </w:r>
          </w:p>
        </w:tc>
      </w:tr>
      <w:tr w:rsidR="00E13976" w:rsidRPr="00C54A03" w14:paraId="2C467BEB" w14:textId="77777777" w:rsidTr="00E13976">
        <w:trPr>
          <w:trHeight w:val="300"/>
        </w:trPr>
        <w:tc>
          <w:tcPr>
            <w:tcW w:w="1385" w:type="dxa"/>
          </w:tcPr>
          <w:p w14:paraId="536D3AF9" w14:textId="77777777" w:rsidR="00E13976" w:rsidRPr="00C54A03" w:rsidRDefault="00E13976" w:rsidP="008E33FD">
            <w:pPr>
              <w:widowControl w:val="0"/>
              <w:autoSpaceDE w:val="0"/>
              <w:autoSpaceDN w:val="0"/>
              <w:spacing w:before="21" w:line="259" w:lineRule="exact"/>
              <w:ind w:right="80"/>
              <w:jc w:val="both"/>
              <w:rPr>
                <w:b/>
                <w:color w:val="000000" w:themeColor="text1"/>
              </w:rPr>
            </w:pPr>
            <w:r w:rsidRPr="00C54A03">
              <w:rPr>
                <w:b/>
                <w:color w:val="000000" w:themeColor="text1"/>
              </w:rPr>
              <w:t>7140</w:t>
            </w:r>
          </w:p>
        </w:tc>
        <w:tc>
          <w:tcPr>
            <w:tcW w:w="706" w:type="dxa"/>
          </w:tcPr>
          <w:p w14:paraId="207C46CA" w14:textId="77777777" w:rsidR="00E13976" w:rsidRPr="00C54A03" w:rsidRDefault="00E13976" w:rsidP="008E33FD">
            <w:pPr>
              <w:widowControl w:val="0"/>
              <w:autoSpaceDE w:val="0"/>
              <w:autoSpaceDN w:val="0"/>
              <w:spacing w:before="16" w:line="264" w:lineRule="exact"/>
              <w:ind w:right="85"/>
              <w:jc w:val="both"/>
              <w:rPr>
                <w:color w:val="000000" w:themeColor="text1"/>
              </w:rPr>
            </w:pPr>
            <w:r w:rsidRPr="00C54A03">
              <w:rPr>
                <w:color w:val="000000" w:themeColor="text1"/>
              </w:rPr>
              <w:t>81</w:t>
            </w:r>
          </w:p>
        </w:tc>
        <w:tc>
          <w:tcPr>
            <w:tcW w:w="707" w:type="dxa"/>
          </w:tcPr>
          <w:p w14:paraId="5AB46F2D" w14:textId="77777777" w:rsidR="00E13976" w:rsidRPr="00C54A03" w:rsidRDefault="00E13976" w:rsidP="008E33FD">
            <w:pPr>
              <w:widowControl w:val="0"/>
              <w:autoSpaceDE w:val="0"/>
              <w:autoSpaceDN w:val="0"/>
              <w:spacing w:before="16" w:line="264" w:lineRule="exact"/>
              <w:ind w:right="79"/>
              <w:jc w:val="both"/>
              <w:rPr>
                <w:color w:val="000000" w:themeColor="text1"/>
              </w:rPr>
            </w:pPr>
            <w:r w:rsidRPr="00C54A03">
              <w:rPr>
                <w:color w:val="000000" w:themeColor="text1"/>
              </w:rPr>
              <w:t>34</w:t>
            </w:r>
          </w:p>
        </w:tc>
        <w:tc>
          <w:tcPr>
            <w:tcW w:w="706" w:type="dxa"/>
          </w:tcPr>
          <w:p w14:paraId="5719E93D" w14:textId="77777777" w:rsidR="00E13976" w:rsidRPr="00C54A03" w:rsidRDefault="00E13976" w:rsidP="008E33FD">
            <w:pPr>
              <w:widowControl w:val="0"/>
              <w:autoSpaceDE w:val="0"/>
              <w:autoSpaceDN w:val="0"/>
              <w:spacing w:before="16" w:line="264" w:lineRule="exact"/>
              <w:jc w:val="both"/>
              <w:rPr>
                <w:color w:val="000000" w:themeColor="text1"/>
              </w:rPr>
            </w:pPr>
            <w:r w:rsidRPr="00C54A03">
              <w:rPr>
                <w:color w:val="000000" w:themeColor="text1"/>
              </w:rPr>
              <w:t>0</w:t>
            </w:r>
          </w:p>
        </w:tc>
        <w:tc>
          <w:tcPr>
            <w:tcW w:w="706" w:type="dxa"/>
          </w:tcPr>
          <w:p w14:paraId="1815A579" w14:textId="77777777" w:rsidR="00E13976" w:rsidRPr="00C54A03" w:rsidRDefault="00E13976" w:rsidP="008E33FD">
            <w:pPr>
              <w:widowControl w:val="0"/>
              <w:autoSpaceDE w:val="0"/>
              <w:autoSpaceDN w:val="0"/>
              <w:spacing w:before="16" w:line="264" w:lineRule="exact"/>
              <w:jc w:val="both"/>
              <w:rPr>
                <w:color w:val="000000" w:themeColor="text1"/>
              </w:rPr>
            </w:pPr>
            <w:r w:rsidRPr="00C54A03">
              <w:rPr>
                <w:color w:val="000000" w:themeColor="text1"/>
              </w:rPr>
              <w:t>0</w:t>
            </w:r>
          </w:p>
        </w:tc>
        <w:tc>
          <w:tcPr>
            <w:tcW w:w="706" w:type="dxa"/>
          </w:tcPr>
          <w:p w14:paraId="1179E468" w14:textId="77777777" w:rsidR="00E13976" w:rsidRPr="00C54A03" w:rsidRDefault="00E13976" w:rsidP="008E33FD">
            <w:pPr>
              <w:widowControl w:val="0"/>
              <w:autoSpaceDE w:val="0"/>
              <w:autoSpaceDN w:val="0"/>
              <w:spacing w:before="16" w:line="264" w:lineRule="exact"/>
              <w:jc w:val="both"/>
              <w:rPr>
                <w:color w:val="000000" w:themeColor="text1"/>
              </w:rPr>
            </w:pPr>
            <w:r w:rsidRPr="00C54A03">
              <w:rPr>
                <w:color w:val="000000" w:themeColor="text1"/>
              </w:rPr>
              <w:t>0</w:t>
            </w:r>
          </w:p>
        </w:tc>
        <w:tc>
          <w:tcPr>
            <w:tcW w:w="706" w:type="dxa"/>
          </w:tcPr>
          <w:p w14:paraId="0C3C2E45" w14:textId="77777777" w:rsidR="00E13976" w:rsidRPr="00C54A03" w:rsidRDefault="00E13976" w:rsidP="008E33FD">
            <w:pPr>
              <w:widowControl w:val="0"/>
              <w:autoSpaceDE w:val="0"/>
              <w:autoSpaceDN w:val="0"/>
              <w:spacing w:before="16" w:line="264" w:lineRule="exact"/>
              <w:jc w:val="both"/>
              <w:rPr>
                <w:color w:val="000000" w:themeColor="text1"/>
              </w:rPr>
            </w:pPr>
            <w:r w:rsidRPr="00C54A03">
              <w:rPr>
                <w:color w:val="000000" w:themeColor="text1"/>
              </w:rPr>
              <w:t>0</w:t>
            </w:r>
          </w:p>
        </w:tc>
        <w:tc>
          <w:tcPr>
            <w:tcW w:w="1422" w:type="dxa"/>
          </w:tcPr>
          <w:p w14:paraId="7BC7C14A" w14:textId="77777777" w:rsidR="00E13976" w:rsidRPr="00C54A03" w:rsidRDefault="00E13976" w:rsidP="008E33FD">
            <w:pPr>
              <w:widowControl w:val="0"/>
              <w:autoSpaceDE w:val="0"/>
              <w:autoSpaceDN w:val="0"/>
              <w:spacing w:before="16" w:line="264" w:lineRule="exact"/>
              <w:ind w:right="81"/>
              <w:jc w:val="both"/>
              <w:rPr>
                <w:color w:val="000000" w:themeColor="text1"/>
              </w:rPr>
            </w:pPr>
            <w:r w:rsidRPr="00C54A03">
              <w:rPr>
                <w:color w:val="000000" w:themeColor="text1"/>
              </w:rPr>
              <w:t>86</w:t>
            </w:r>
          </w:p>
        </w:tc>
        <w:tc>
          <w:tcPr>
            <w:tcW w:w="2600" w:type="dxa"/>
          </w:tcPr>
          <w:p w14:paraId="394F24E0" w14:textId="77777777" w:rsidR="00E13976" w:rsidRPr="00C54A03" w:rsidRDefault="00E13976" w:rsidP="008E33FD">
            <w:pPr>
              <w:widowControl w:val="0"/>
              <w:autoSpaceDE w:val="0"/>
              <w:autoSpaceDN w:val="0"/>
              <w:spacing w:before="16" w:line="264" w:lineRule="exact"/>
              <w:ind w:right="1170"/>
              <w:jc w:val="both"/>
              <w:rPr>
                <w:color w:val="000000" w:themeColor="text1"/>
              </w:rPr>
            </w:pPr>
            <w:r w:rsidRPr="00C54A03">
              <w:rPr>
                <w:color w:val="000000" w:themeColor="text1"/>
              </w:rPr>
              <w:t>29</w:t>
            </w:r>
          </w:p>
        </w:tc>
      </w:tr>
      <w:tr w:rsidR="00E13976" w:rsidRPr="00C54A03" w14:paraId="0D236147" w14:textId="77777777" w:rsidTr="00E13976">
        <w:trPr>
          <w:trHeight w:val="299"/>
        </w:trPr>
        <w:tc>
          <w:tcPr>
            <w:tcW w:w="1385" w:type="dxa"/>
          </w:tcPr>
          <w:p w14:paraId="270CB858" w14:textId="77777777" w:rsidR="00E13976" w:rsidRPr="00C54A03" w:rsidRDefault="00E13976" w:rsidP="008E33FD">
            <w:pPr>
              <w:widowControl w:val="0"/>
              <w:autoSpaceDE w:val="0"/>
              <w:autoSpaceDN w:val="0"/>
              <w:spacing w:before="20" w:line="259" w:lineRule="exact"/>
              <w:ind w:right="80"/>
              <w:jc w:val="both"/>
              <w:rPr>
                <w:b/>
                <w:color w:val="000000" w:themeColor="text1"/>
              </w:rPr>
            </w:pPr>
            <w:r w:rsidRPr="00C54A03">
              <w:rPr>
                <w:b/>
                <w:color w:val="000000" w:themeColor="text1"/>
              </w:rPr>
              <w:t>7150</w:t>
            </w:r>
          </w:p>
        </w:tc>
        <w:tc>
          <w:tcPr>
            <w:tcW w:w="706" w:type="dxa"/>
          </w:tcPr>
          <w:p w14:paraId="2E08D6DF"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2</w:t>
            </w:r>
          </w:p>
        </w:tc>
        <w:tc>
          <w:tcPr>
            <w:tcW w:w="707" w:type="dxa"/>
          </w:tcPr>
          <w:p w14:paraId="2427E6C1"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1</w:t>
            </w:r>
          </w:p>
        </w:tc>
        <w:tc>
          <w:tcPr>
            <w:tcW w:w="706" w:type="dxa"/>
          </w:tcPr>
          <w:p w14:paraId="29CC475E"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1CDA9F0B"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0A141DD3"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40C8DD4D"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1422" w:type="dxa"/>
          </w:tcPr>
          <w:p w14:paraId="74DEAEE8"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2</w:t>
            </w:r>
          </w:p>
        </w:tc>
        <w:tc>
          <w:tcPr>
            <w:tcW w:w="2600" w:type="dxa"/>
          </w:tcPr>
          <w:p w14:paraId="1DE8F59E" w14:textId="77777777" w:rsidR="00E13976" w:rsidRPr="00C54A03" w:rsidRDefault="00E13976" w:rsidP="008E33FD">
            <w:pPr>
              <w:widowControl w:val="0"/>
              <w:autoSpaceDE w:val="0"/>
              <w:autoSpaceDN w:val="0"/>
              <w:spacing w:before="15" w:line="264" w:lineRule="exact"/>
              <w:ind w:right="1230"/>
              <w:jc w:val="both"/>
              <w:rPr>
                <w:color w:val="000000" w:themeColor="text1"/>
              </w:rPr>
            </w:pPr>
            <w:r w:rsidRPr="00C54A03">
              <w:rPr>
                <w:color w:val="000000" w:themeColor="text1"/>
              </w:rPr>
              <w:t>1</w:t>
            </w:r>
          </w:p>
        </w:tc>
      </w:tr>
      <w:tr w:rsidR="00E13976" w:rsidRPr="00C54A03" w14:paraId="597347D0" w14:textId="77777777" w:rsidTr="00E13976">
        <w:trPr>
          <w:trHeight w:val="299"/>
        </w:trPr>
        <w:tc>
          <w:tcPr>
            <w:tcW w:w="1385" w:type="dxa"/>
          </w:tcPr>
          <w:p w14:paraId="2157A115" w14:textId="77777777" w:rsidR="00E13976" w:rsidRPr="00C54A03" w:rsidRDefault="00E13976" w:rsidP="008E33FD">
            <w:pPr>
              <w:widowControl w:val="0"/>
              <w:autoSpaceDE w:val="0"/>
              <w:autoSpaceDN w:val="0"/>
              <w:spacing w:before="20" w:line="259" w:lineRule="exact"/>
              <w:ind w:right="80"/>
              <w:jc w:val="both"/>
              <w:rPr>
                <w:b/>
                <w:color w:val="000000" w:themeColor="text1"/>
              </w:rPr>
            </w:pPr>
            <w:r w:rsidRPr="00C54A03">
              <w:rPr>
                <w:b/>
                <w:color w:val="000000" w:themeColor="text1"/>
              </w:rPr>
              <w:t>7210*</w:t>
            </w:r>
          </w:p>
        </w:tc>
        <w:tc>
          <w:tcPr>
            <w:tcW w:w="706" w:type="dxa"/>
          </w:tcPr>
          <w:p w14:paraId="39CB76A0"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7" w:type="dxa"/>
          </w:tcPr>
          <w:p w14:paraId="4D92A35A"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4</w:t>
            </w:r>
          </w:p>
        </w:tc>
        <w:tc>
          <w:tcPr>
            <w:tcW w:w="706" w:type="dxa"/>
          </w:tcPr>
          <w:p w14:paraId="0D919BA0"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260BFA21"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348795E3"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508DED65"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1422" w:type="dxa"/>
          </w:tcPr>
          <w:p w14:paraId="6FD923EA"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4</w:t>
            </w:r>
          </w:p>
        </w:tc>
        <w:tc>
          <w:tcPr>
            <w:tcW w:w="2600" w:type="dxa"/>
          </w:tcPr>
          <w:p w14:paraId="7843BB3F" w14:textId="77777777" w:rsidR="00E13976" w:rsidRPr="00C54A03" w:rsidRDefault="00E13976" w:rsidP="008E33FD">
            <w:pPr>
              <w:widowControl w:val="0"/>
              <w:autoSpaceDE w:val="0"/>
              <w:autoSpaceDN w:val="0"/>
              <w:spacing w:before="15" w:line="264" w:lineRule="exact"/>
              <w:ind w:right="1230"/>
              <w:jc w:val="both"/>
              <w:rPr>
                <w:color w:val="000000" w:themeColor="text1"/>
              </w:rPr>
            </w:pPr>
            <w:r w:rsidRPr="00C54A03">
              <w:rPr>
                <w:color w:val="000000" w:themeColor="text1"/>
              </w:rPr>
              <w:t>0</w:t>
            </w:r>
          </w:p>
        </w:tc>
      </w:tr>
      <w:tr w:rsidR="00E13976" w:rsidRPr="00C54A03" w14:paraId="1D4B5BAA" w14:textId="77777777" w:rsidTr="00E13976">
        <w:trPr>
          <w:trHeight w:val="302"/>
        </w:trPr>
        <w:tc>
          <w:tcPr>
            <w:tcW w:w="1385" w:type="dxa"/>
          </w:tcPr>
          <w:p w14:paraId="3696CE01" w14:textId="77777777" w:rsidR="00E13976" w:rsidRPr="00C54A03" w:rsidRDefault="00E13976" w:rsidP="008E33FD">
            <w:pPr>
              <w:widowControl w:val="0"/>
              <w:autoSpaceDE w:val="0"/>
              <w:autoSpaceDN w:val="0"/>
              <w:spacing w:before="23" w:line="259" w:lineRule="exact"/>
              <w:ind w:right="80"/>
              <w:jc w:val="both"/>
              <w:rPr>
                <w:b/>
                <w:color w:val="000000" w:themeColor="text1"/>
              </w:rPr>
            </w:pPr>
            <w:r w:rsidRPr="00C54A03">
              <w:rPr>
                <w:b/>
                <w:color w:val="000000" w:themeColor="text1"/>
              </w:rPr>
              <w:t>7220*</w:t>
            </w:r>
          </w:p>
        </w:tc>
        <w:tc>
          <w:tcPr>
            <w:tcW w:w="706" w:type="dxa"/>
          </w:tcPr>
          <w:p w14:paraId="5269D53A" w14:textId="77777777" w:rsidR="00E13976" w:rsidRPr="00C54A03" w:rsidRDefault="00E13976" w:rsidP="008E33FD">
            <w:pPr>
              <w:widowControl w:val="0"/>
              <w:autoSpaceDE w:val="0"/>
              <w:autoSpaceDN w:val="0"/>
              <w:spacing w:before="18" w:line="264" w:lineRule="exact"/>
              <w:ind w:right="85"/>
              <w:jc w:val="both"/>
              <w:rPr>
                <w:color w:val="000000" w:themeColor="text1"/>
              </w:rPr>
            </w:pPr>
            <w:r w:rsidRPr="00C54A03">
              <w:rPr>
                <w:color w:val="000000" w:themeColor="text1"/>
              </w:rPr>
              <w:t>22</w:t>
            </w:r>
          </w:p>
        </w:tc>
        <w:tc>
          <w:tcPr>
            <w:tcW w:w="707" w:type="dxa"/>
          </w:tcPr>
          <w:p w14:paraId="4125FC3E" w14:textId="77777777" w:rsidR="00E13976" w:rsidRPr="00C54A03" w:rsidRDefault="00E13976" w:rsidP="008E33FD">
            <w:pPr>
              <w:widowControl w:val="0"/>
              <w:autoSpaceDE w:val="0"/>
              <w:autoSpaceDN w:val="0"/>
              <w:spacing w:before="18" w:line="264" w:lineRule="exact"/>
              <w:jc w:val="both"/>
              <w:rPr>
                <w:color w:val="000000" w:themeColor="text1"/>
              </w:rPr>
            </w:pPr>
            <w:r w:rsidRPr="00C54A03">
              <w:rPr>
                <w:color w:val="000000" w:themeColor="text1"/>
              </w:rPr>
              <w:t>4</w:t>
            </w:r>
          </w:p>
        </w:tc>
        <w:tc>
          <w:tcPr>
            <w:tcW w:w="706" w:type="dxa"/>
          </w:tcPr>
          <w:p w14:paraId="694ABF1F" w14:textId="77777777" w:rsidR="00E13976" w:rsidRPr="00C54A03" w:rsidRDefault="00E13976" w:rsidP="008E33FD">
            <w:pPr>
              <w:widowControl w:val="0"/>
              <w:autoSpaceDE w:val="0"/>
              <w:autoSpaceDN w:val="0"/>
              <w:spacing w:before="18" w:line="264" w:lineRule="exact"/>
              <w:jc w:val="both"/>
              <w:rPr>
                <w:color w:val="000000" w:themeColor="text1"/>
              </w:rPr>
            </w:pPr>
            <w:r w:rsidRPr="00C54A03">
              <w:rPr>
                <w:color w:val="000000" w:themeColor="text1"/>
              </w:rPr>
              <w:t>0</w:t>
            </w:r>
          </w:p>
        </w:tc>
        <w:tc>
          <w:tcPr>
            <w:tcW w:w="706" w:type="dxa"/>
          </w:tcPr>
          <w:p w14:paraId="7392F7FA" w14:textId="77777777" w:rsidR="00E13976" w:rsidRPr="00C54A03" w:rsidRDefault="00E13976" w:rsidP="008E33FD">
            <w:pPr>
              <w:widowControl w:val="0"/>
              <w:autoSpaceDE w:val="0"/>
              <w:autoSpaceDN w:val="0"/>
              <w:spacing w:before="18" w:line="264" w:lineRule="exact"/>
              <w:jc w:val="both"/>
              <w:rPr>
                <w:color w:val="000000" w:themeColor="text1"/>
              </w:rPr>
            </w:pPr>
            <w:r w:rsidRPr="00C54A03">
              <w:rPr>
                <w:color w:val="000000" w:themeColor="text1"/>
              </w:rPr>
              <w:t>0</w:t>
            </w:r>
          </w:p>
        </w:tc>
        <w:tc>
          <w:tcPr>
            <w:tcW w:w="706" w:type="dxa"/>
          </w:tcPr>
          <w:p w14:paraId="68402B5A" w14:textId="77777777" w:rsidR="00E13976" w:rsidRPr="00C54A03" w:rsidRDefault="00E13976" w:rsidP="008E33FD">
            <w:pPr>
              <w:widowControl w:val="0"/>
              <w:autoSpaceDE w:val="0"/>
              <w:autoSpaceDN w:val="0"/>
              <w:spacing w:before="18" w:line="264" w:lineRule="exact"/>
              <w:jc w:val="both"/>
              <w:rPr>
                <w:color w:val="000000" w:themeColor="text1"/>
              </w:rPr>
            </w:pPr>
            <w:r w:rsidRPr="00C54A03">
              <w:rPr>
                <w:color w:val="000000" w:themeColor="text1"/>
              </w:rPr>
              <w:t>0</w:t>
            </w:r>
          </w:p>
        </w:tc>
        <w:tc>
          <w:tcPr>
            <w:tcW w:w="706" w:type="dxa"/>
          </w:tcPr>
          <w:p w14:paraId="00CC0D84" w14:textId="77777777" w:rsidR="00E13976" w:rsidRPr="00C54A03" w:rsidRDefault="00E13976" w:rsidP="008E33FD">
            <w:pPr>
              <w:widowControl w:val="0"/>
              <w:autoSpaceDE w:val="0"/>
              <w:autoSpaceDN w:val="0"/>
              <w:spacing w:before="18" w:line="264" w:lineRule="exact"/>
              <w:jc w:val="both"/>
              <w:rPr>
                <w:color w:val="000000" w:themeColor="text1"/>
              </w:rPr>
            </w:pPr>
            <w:r w:rsidRPr="00C54A03">
              <w:rPr>
                <w:color w:val="000000" w:themeColor="text1"/>
              </w:rPr>
              <w:t>0</w:t>
            </w:r>
          </w:p>
        </w:tc>
        <w:tc>
          <w:tcPr>
            <w:tcW w:w="1422" w:type="dxa"/>
          </w:tcPr>
          <w:p w14:paraId="2F2F310F" w14:textId="77777777" w:rsidR="00E13976" w:rsidRPr="00C54A03" w:rsidRDefault="00E13976" w:rsidP="008E33FD">
            <w:pPr>
              <w:widowControl w:val="0"/>
              <w:autoSpaceDE w:val="0"/>
              <w:autoSpaceDN w:val="0"/>
              <w:spacing w:before="18" w:line="264" w:lineRule="exact"/>
              <w:ind w:right="81"/>
              <w:jc w:val="both"/>
              <w:rPr>
                <w:color w:val="000000" w:themeColor="text1"/>
              </w:rPr>
            </w:pPr>
            <w:r w:rsidRPr="00C54A03">
              <w:rPr>
                <w:color w:val="000000" w:themeColor="text1"/>
              </w:rPr>
              <w:t>23</w:t>
            </w:r>
          </w:p>
        </w:tc>
        <w:tc>
          <w:tcPr>
            <w:tcW w:w="2600" w:type="dxa"/>
          </w:tcPr>
          <w:p w14:paraId="4079D774" w14:textId="77777777" w:rsidR="00E13976" w:rsidRPr="00C54A03" w:rsidRDefault="00E13976" w:rsidP="008E33FD">
            <w:pPr>
              <w:widowControl w:val="0"/>
              <w:autoSpaceDE w:val="0"/>
              <w:autoSpaceDN w:val="0"/>
              <w:spacing w:before="18" w:line="264" w:lineRule="exact"/>
              <w:ind w:right="1230"/>
              <w:jc w:val="both"/>
              <w:rPr>
                <w:color w:val="000000" w:themeColor="text1"/>
              </w:rPr>
            </w:pPr>
            <w:r w:rsidRPr="00C54A03">
              <w:rPr>
                <w:color w:val="000000" w:themeColor="text1"/>
              </w:rPr>
              <w:t>3</w:t>
            </w:r>
          </w:p>
        </w:tc>
      </w:tr>
      <w:tr w:rsidR="00E13976" w:rsidRPr="00C54A03" w14:paraId="014D3A5C" w14:textId="77777777" w:rsidTr="00E13976">
        <w:trPr>
          <w:trHeight w:val="299"/>
        </w:trPr>
        <w:tc>
          <w:tcPr>
            <w:tcW w:w="1385" w:type="dxa"/>
          </w:tcPr>
          <w:p w14:paraId="6F0854BC" w14:textId="77777777" w:rsidR="00E13976" w:rsidRPr="00C54A03" w:rsidRDefault="00E13976" w:rsidP="008E33FD">
            <w:pPr>
              <w:widowControl w:val="0"/>
              <w:autoSpaceDE w:val="0"/>
              <w:autoSpaceDN w:val="0"/>
              <w:spacing w:before="20" w:line="259" w:lineRule="exact"/>
              <w:ind w:right="80"/>
              <w:jc w:val="both"/>
              <w:rPr>
                <w:b/>
                <w:color w:val="000000" w:themeColor="text1"/>
              </w:rPr>
            </w:pPr>
            <w:r w:rsidRPr="00C54A03">
              <w:rPr>
                <w:b/>
                <w:color w:val="000000" w:themeColor="text1"/>
              </w:rPr>
              <w:t>7230</w:t>
            </w:r>
          </w:p>
        </w:tc>
        <w:tc>
          <w:tcPr>
            <w:tcW w:w="706" w:type="dxa"/>
          </w:tcPr>
          <w:p w14:paraId="2DA7912E" w14:textId="77777777" w:rsidR="00E13976" w:rsidRPr="00C54A03" w:rsidRDefault="00E13976" w:rsidP="008E33FD">
            <w:pPr>
              <w:widowControl w:val="0"/>
              <w:autoSpaceDE w:val="0"/>
              <w:autoSpaceDN w:val="0"/>
              <w:spacing w:before="15" w:line="264" w:lineRule="exact"/>
              <w:ind w:right="85"/>
              <w:jc w:val="both"/>
              <w:rPr>
                <w:color w:val="000000" w:themeColor="text1"/>
              </w:rPr>
            </w:pPr>
            <w:r w:rsidRPr="00C54A03">
              <w:rPr>
                <w:color w:val="000000" w:themeColor="text1"/>
              </w:rPr>
              <w:t>53</w:t>
            </w:r>
          </w:p>
        </w:tc>
        <w:tc>
          <w:tcPr>
            <w:tcW w:w="707" w:type="dxa"/>
          </w:tcPr>
          <w:p w14:paraId="1079664F" w14:textId="77777777" w:rsidR="00E13976" w:rsidRPr="00C54A03" w:rsidRDefault="00E13976" w:rsidP="008E33FD">
            <w:pPr>
              <w:widowControl w:val="0"/>
              <w:autoSpaceDE w:val="0"/>
              <w:autoSpaceDN w:val="0"/>
              <w:spacing w:before="15" w:line="264" w:lineRule="exact"/>
              <w:ind w:right="79"/>
              <w:jc w:val="both"/>
              <w:rPr>
                <w:color w:val="000000" w:themeColor="text1"/>
              </w:rPr>
            </w:pPr>
            <w:r w:rsidRPr="00C54A03">
              <w:rPr>
                <w:color w:val="000000" w:themeColor="text1"/>
              </w:rPr>
              <w:t>30</w:t>
            </w:r>
          </w:p>
        </w:tc>
        <w:tc>
          <w:tcPr>
            <w:tcW w:w="706" w:type="dxa"/>
          </w:tcPr>
          <w:p w14:paraId="1C569AF3"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4183233C"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5EEB8F29"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0DDFF3FC"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1422" w:type="dxa"/>
          </w:tcPr>
          <w:p w14:paraId="639FC716" w14:textId="77777777" w:rsidR="00E13976" w:rsidRPr="00C54A03" w:rsidRDefault="00E13976" w:rsidP="008E33FD">
            <w:pPr>
              <w:widowControl w:val="0"/>
              <w:autoSpaceDE w:val="0"/>
              <w:autoSpaceDN w:val="0"/>
              <w:spacing w:before="15" w:line="264" w:lineRule="exact"/>
              <w:ind w:right="81"/>
              <w:jc w:val="both"/>
              <w:rPr>
                <w:color w:val="000000" w:themeColor="text1"/>
              </w:rPr>
            </w:pPr>
            <w:r w:rsidRPr="00C54A03">
              <w:rPr>
                <w:color w:val="000000" w:themeColor="text1"/>
              </w:rPr>
              <w:t>58</w:t>
            </w:r>
          </w:p>
        </w:tc>
        <w:tc>
          <w:tcPr>
            <w:tcW w:w="2600" w:type="dxa"/>
          </w:tcPr>
          <w:p w14:paraId="03A58E35" w14:textId="77777777" w:rsidR="00E13976" w:rsidRPr="00C54A03" w:rsidRDefault="00E13976" w:rsidP="008E33FD">
            <w:pPr>
              <w:widowControl w:val="0"/>
              <w:autoSpaceDE w:val="0"/>
              <w:autoSpaceDN w:val="0"/>
              <w:spacing w:before="15" w:line="264" w:lineRule="exact"/>
              <w:ind w:right="1170"/>
              <w:jc w:val="both"/>
              <w:rPr>
                <w:color w:val="000000" w:themeColor="text1"/>
              </w:rPr>
            </w:pPr>
            <w:r w:rsidRPr="00C54A03">
              <w:rPr>
                <w:color w:val="000000" w:themeColor="text1"/>
              </w:rPr>
              <w:t>25</w:t>
            </w:r>
          </w:p>
        </w:tc>
      </w:tr>
      <w:tr w:rsidR="00E13976" w:rsidRPr="00C54A03" w14:paraId="19CA33C0" w14:textId="77777777" w:rsidTr="00E13976">
        <w:trPr>
          <w:trHeight w:val="299"/>
        </w:trPr>
        <w:tc>
          <w:tcPr>
            <w:tcW w:w="1385" w:type="dxa"/>
          </w:tcPr>
          <w:p w14:paraId="0AC48A41" w14:textId="77777777" w:rsidR="00E13976" w:rsidRPr="00C54A03" w:rsidRDefault="00E13976" w:rsidP="008E33FD">
            <w:pPr>
              <w:widowControl w:val="0"/>
              <w:autoSpaceDE w:val="0"/>
              <w:autoSpaceDN w:val="0"/>
              <w:spacing w:before="20" w:line="259" w:lineRule="exact"/>
              <w:ind w:right="80"/>
              <w:jc w:val="both"/>
              <w:rPr>
                <w:b/>
                <w:color w:val="000000" w:themeColor="text1"/>
              </w:rPr>
            </w:pPr>
            <w:r w:rsidRPr="00C54A03">
              <w:rPr>
                <w:b/>
                <w:color w:val="000000" w:themeColor="text1"/>
              </w:rPr>
              <w:t>7240*</w:t>
            </w:r>
          </w:p>
        </w:tc>
        <w:tc>
          <w:tcPr>
            <w:tcW w:w="706" w:type="dxa"/>
          </w:tcPr>
          <w:p w14:paraId="30F8A73F"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2</w:t>
            </w:r>
          </w:p>
        </w:tc>
        <w:tc>
          <w:tcPr>
            <w:tcW w:w="707" w:type="dxa"/>
          </w:tcPr>
          <w:p w14:paraId="4E34F3BD"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607785AB"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644FD7C5"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66159AEC"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706" w:type="dxa"/>
          </w:tcPr>
          <w:p w14:paraId="65E54153"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0</w:t>
            </w:r>
          </w:p>
        </w:tc>
        <w:tc>
          <w:tcPr>
            <w:tcW w:w="1422" w:type="dxa"/>
          </w:tcPr>
          <w:p w14:paraId="2707F514" w14:textId="77777777" w:rsidR="00E13976" w:rsidRPr="00C54A03" w:rsidRDefault="00E13976" w:rsidP="008E33FD">
            <w:pPr>
              <w:widowControl w:val="0"/>
              <w:autoSpaceDE w:val="0"/>
              <w:autoSpaceDN w:val="0"/>
              <w:spacing w:before="15" w:line="264" w:lineRule="exact"/>
              <w:jc w:val="both"/>
              <w:rPr>
                <w:color w:val="000000" w:themeColor="text1"/>
              </w:rPr>
            </w:pPr>
            <w:r w:rsidRPr="00C54A03">
              <w:rPr>
                <w:color w:val="000000" w:themeColor="text1"/>
              </w:rPr>
              <w:t>2</w:t>
            </w:r>
          </w:p>
        </w:tc>
        <w:tc>
          <w:tcPr>
            <w:tcW w:w="2600" w:type="dxa"/>
          </w:tcPr>
          <w:p w14:paraId="7751D7A1" w14:textId="77777777" w:rsidR="00E13976" w:rsidRPr="00C54A03" w:rsidRDefault="00E13976" w:rsidP="008E33FD">
            <w:pPr>
              <w:widowControl w:val="0"/>
              <w:autoSpaceDE w:val="0"/>
              <w:autoSpaceDN w:val="0"/>
              <w:spacing w:before="15" w:line="264" w:lineRule="exact"/>
              <w:ind w:right="1230"/>
              <w:jc w:val="both"/>
              <w:rPr>
                <w:color w:val="000000" w:themeColor="text1"/>
              </w:rPr>
            </w:pPr>
            <w:r w:rsidRPr="00C54A03">
              <w:rPr>
                <w:color w:val="000000" w:themeColor="text1"/>
              </w:rPr>
              <w:t>0</w:t>
            </w:r>
          </w:p>
        </w:tc>
      </w:tr>
    </w:tbl>
    <w:p w14:paraId="7D3014C1" w14:textId="77777777" w:rsidR="00E13976" w:rsidRPr="00C54A03" w:rsidRDefault="00E13976" w:rsidP="008E33FD">
      <w:pPr>
        <w:widowControl w:val="0"/>
        <w:autoSpaceDE w:val="0"/>
        <w:autoSpaceDN w:val="0"/>
        <w:jc w:val="both"/>
        <w:rPr>
          <w:color w:val="000000" w:themeColor="text1"/>
        </w:rPr>
      </w:pPr>
    </w:p>
    <w:p w14:paraId="38991F4F" w14:textId="77777777" w:rsidR="00E13976" w:rsidRPr="00C54A03" w:rsidRDefault="00E13976" w:rsidP="008E33FD">
      <w:pPr>
        <w:widowControl w:val="0"/>
        <w:tabs>
          <w:tab w:val="left" w:pos="1194"/>
        </w:tabs>
        <w:autoSpaceDE w:val="0"/>
        <w:autoSpaceDN w:val="0"/>
        <w:jc w:val="both"/>
        <w:outlineLvl w:val="1"/>
        <w:rPr>
          <w:rFonts w:eastAsia="Cambria"/>
          <w:b/>
          <w:bCs/>
          <w:color w:val="000000" w:themeColor="text1"/>
        </w:rPr>
      </w:pPr>
      <w:r w:rsidRPr="00C54A03">
        <w:rPr>
          <w:rFonts w:eastAsia="Cambria"/>
          <w:b/>
          <w:bCs/>
          <w:color w:val="000000" w:themeColor="text1"/>
        </w:rPr>
        <w:t>Ploturi</w:t>
      </w:r>
      <w:r w:rsidRPr="00C54A03">
        <w:rPr>
          <w:rFonts w:eastAsia="Cambria"/>
          <w:b/>
          <w:bCs/>
          <w:color w:val="000000" w:themeColor="text1"/>
          <w:spacing w:val="-5"/>
        </w:rPr>
        <w:t xml:space="preserve"> </w:t>
      </w:r>
      <w:r w:rsidRPr="00C54A03">
        <w:rPr>
          <w:rFonts w:eastAsia="Cambria"/>
          <w:b/>
          <w:bCs/>
          <w:color w:val="000000" w:themeColor="text1"/>
        </w:rPr>
        <w:t>de</w:t>
      </w:r>
      <w:r w:rsidRPr="00C54A03">
        <w:rPr>
          <w:rFonts w:eastAsia="Cambria"/>
          <w:b/>
          <w:bCs/>
          <w:color w:val="000000" w:themeColor="text1"/>
          <w:spacing w:val="-5"/>
        </w:rPr>
        <w:t xml:space="preserve"> </w:t>
      </w:r>
      <w:r w:rsidRPr="00C54A03">
        <w:rPr>
          <w:rFonts w:eastAsia="Cambria"/>
          <w:b/>
          <w:bCs/>
          <w:color w:val="000000" w:themeColor="text1"/>
        </w:rPr>
        <w:t>monitorizare</w:t>
      </w:r>
      <w:r w:rsidRPr="00C54A03">
        <w:rPr>
          <w:rFonts w:eastAsia="Cambria"/>
          <w:b/>
          <w:bCs/>
          <w:color w:val="000000" w:themeColor="text1"/>
          <w:spacing w:val="-5"/>
        </w:rPr>
        <w:t xml:space="preserve"> </w:t>
      </w:r>
      <w:r w:rsidRPr="00C54A03">
        <w:rPr>
          <w:rFonts w:eastAsia="Cambria"/>
          <w:b/>
          <w:bCs/>
          <w:color w:val="000000" w:themeColor="text1"/>
        </w:rPr>
        <w:t>din</w:t>
      </w:r>
      <w:r w:rsidRPr="00C54A03">
        <w:rPr>
          <w:rFonts w:eastAsia="Cambria"/>
          <w:b/>
          <w:bCs/>
          <w:color w:val="000000" w:themeColor="text1"/>
          <w:spacing w:val="-4"/>
        </w:rPr>
        <w:t xml:space="preserve"> </w:t>
      </w:r>
      <w:r w:rsidRPr="00C54A03">
        <w:rPr>
          <w:rFonts w:eastAsia="Cambria"/>
          <w:b/>
          <w:bCs/>
          <w:color w:val="000000" w:themeColor="text1"/>
        </w:rPr>
        <w:t>rețeaua</w:t>
      </w:r>
      <w:r w:rsidRPr="00C54A03">
        <w:rPr>
          <w:rFonts w:eastAsia="Cambria"/>
          <w:b/>
          <w:bCs/>
          <w:color w:val="000000" w:themeColor="text1"/>
          <w:spacing w:val="-3"/>
        </w:rPr>
        <w:t xml:space="preserve"> </w:t>
      </w:r>
      <w:r w:rsidRPr="00C54A03">
        <w:rPr>
          <w:rFonts w:eastAsia="Cambria"/>
          <w:b/>
          <w:bCs/>
          <w:color w:val="000000" w:themeColor="text1"/>
        </w:rPr>
        <w:t>Natura</w:t>
      </w:r>
      <w:r w:rsidRPr="00C54A03">
        <w:rPr>
          <w:rFonts w:eastAsia="Cambria"/>
          <w:b/>
          <w:bCs/>
          <w:color w:val="000000" w:themeColor="text1"/>
          <w:spacing w:val="-6"/>
        </w:rPr>
        <w:t xml:space="preserve"> </w:t>
      </w:r>
      <w:r w:rsidRPr="00C54A03">
        <w:rPr>
          <w:rFonts w:eastAsia="Cambria"/>
          <w:b/>
          <w:bCs/>
          <w:color w:val="000000" w:themeColor="text1"/>
        </w:rPr>
        <w:t>2000</w:t>
      </w:r>
    </w:p>
    <w:p w14:paraId="6552E274" w14:textId="77777777" w:rsidR="00E13976" w:rsidRPr="00C54A03" w:rsidRDefault="00E13976" w:rsidP="008E33FD">
      <w:pPr>
        <w:widowControl w:val="0"/>
        <w:autoSpaceDE w:val="0"/>
        <w:autoSpaceDN w:val="0"/>
        <w:spacing w:before="158"/>
        <w:jc w:val="both"/>
        <w:rPr>
          <w:color w:val="000000" w:themeColor="text1"/>
        </w:rPr>
      </w:pPr>
      <w:r w:rsidRPr="00C54A03">
        <w:rPr>
          <w:color w:val="000000" w:themeColor="text1"/>
        </w:rPr>
        <w:t>Ploturile</w:t>
      </w:r>
      <w:r w:rsidRPr="00C54A03">
        <w:rPr>
          <w:color w:val="000000" w:themeColor="text1"/>
          <w:spacing w:val="-2"/>
        </w:rPr>
        <w:t xml:space="preserve"> </w:t>
      </w:r>
      <w:r w:rsidRPr="00C54A03">
        <w:rPr>
          <w:color w:val="000000" w:themeColor="text1"/>
        </w:rPr>
        <w:t>de</w:t>
      </w:r>
      <w:r w:rsidRPr="00C54A03">
        <w:rPr>
          <w:color w:val="000000" w:themeColor="text1"/>
          <w:spacing w:val="-2"/>
        </w:rPr>
        <w:t xml:space="preserve"> </w:t>
      </w:r>
      <w:r w:rsidRPr="00C54A03">
        <w:rPr>
          <w:color w:val="000000" w:themeColor="text1"/>
        </w:rPr>
        <w:t>monitorizare</w:t>
      </w:r>
      <w:r w:rsidRPr="00C54A03">
        <w:rPr>
          <w:color w:val="000000" w:themeColor="text1"/>
          <w:spacing w:val="-3"/>
        </w:rPr>
        <w:t xml:space="preserve"> </w:t>
      </w:r>
      <w:r w:rsidRPr="00C54A03">
        <w:rPr>
          <w:color w:val="000000" w:themeColor="text1"/>
        </w:rPr>
        <w:t>se</w:t>
      </w:r>
      <w:r w:rsidRPr="00C54A03">
        <w:rPr>
          <w:color w:val="000000" w:themeColor="text1"/>
          <w:spacing w:val="-2"/>
        </w:rPr>
        <w:t xml:space="preserve"> </w:t>
      </w:r>
      <w:r w:rsidRPr="00C54A03">
        <w:rPr>
          <w:color w:val="000000" w:themeColor="text1"/>
        </w:rPr>
        <w:t>stabilesc</w:t>
      </w:r>
      <w:r w:rsidRPr="00C54A03">
        <w:rPr>
          <w:color w:val="000000" w:themeColor="text1"/>
          <w:spacing w:val="-2"/>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corelație cu:</w:t>
      </w:r>
    </w:p>
    <w:p w14:paraId="37C6644B" w14:textId="77777777" w:rsidR="00E13976" w:rsidRPr="00C54A03" w:rsidRDefault="00C06977" w:rsidP="008E33FD">
      <w:pPr>
        <w:widowControl w:val="0"/>
        <w:autoSpaceDE w:val="0"/>
        <w:autoSpaceDN w:val="0"/>
        <w:jc w:val="both"/>
        <w:rPr>
          <w:color w:val="000000" w:themeColor="text1"/>
        </w:rPr>
      </w:pPr>
      <w:r w:rsidRPr="00C54A03">
        <w:rPr>
          <w:color w:val="000000" w:themeColor="text1"/>
        </w:rPr>
        <w:t>-</w:t>
      </w:r>
      <w:r w:rsidR="00E13976" w:rsidRPr="00C54A03">
        <w:rPr>
          <w:color w:val="000000" w:themeColor="text1"/>
        </w:rPr>
        <w:t>arealul</w:t>
      </w:r>
      <w:r w:rsidR="00E13976" w:rsidRPr="00C54A03">
        <w:rPr>
          <w:color w:val="000000" w:themeColor="text1"/>
          <w:spacing w:val="-2"/>
        </w:rPr>
        <w:t xml:space="preserve"> </w:t>
      </w:r>
      <w:r w:rsidR="00E13976" w:rsidRPr="00C54A03">
        <w:rPr>
          <w:color w:val="000000" w:themeColor="text1"/>
        </w:rPr>
        <w:t>tipului</w:t>
      </w:r>
      <w:r w:rsidR="00E13976" w:rsidRPr="00C54A03">
        <w:rPr>
          <w:color w:val="000000" w:themeColor="text1"/>
          <w:spacing w:val="-1"/>
        </w:rPr>
        <w:t xml:space="preserve"> </w:t>
      </w:r>
      <w:r w:rsidR="00E13976" w:rsidRPr="00C54A03">
        <w:rPr>
          <w:color w:val="000000" w:themeColor="text1"/>
        </w:rPr>
        <w:t>de</w:t>
      </w:r>
      <w:r w:rsidR="00E13976" w:rsidRPr="00C54A03">
        <w:rPr>
          <w:color w:val="000000" w:themeColor="text1"/>
          <w:spacing w:val="-2"/>
        </w:rPr>
        <w:t xml:space="preserve"> </w:t>
      </w:r>
      <w:r w:rsidR="00E13976" w:rsidRPr="00C54A03">
        <w:rPr>
          <w:color w:val="000000" w:themeColor="text1"/>
        </w:rPr>
        <w:t>habitat</w:t>
      </w:r>
      <w:r w:rsidR="00E13976" w:rsidRPr="00C54A03">
        <w:rPr>
          <w:color w:val="000000" w:themeColor="text1"/>
          <w:spacing w:val="-1"/>
        </w:rPr>
        <w:t xml:space="preserve"> </w:t>
      </w:r>
      <w:r w:rsidR="00E13976" w:rsidRPr="00C54A03">
        <w:rPr>
          <w:color w:val="000000" w:themeColor="text1"/>
        </w:rPr>
        <w:t>din</w:t>
      </w:r>
      <w:r w:rsidR="00E13976" w:rsidRPr="00C54A03">
        <w:rPr>
          <w:color w:val="000000" w:themeColor="text1"/>
          <w:spacing w:val="-1"/>
        </w:rPr>
        <w:t xml:space="preserve"> </w:t>
      </w:r>
      <w:r w:rsidR="00E13976" w:rsidRPr="00C54A03">
        <w:rPr>
          <w:color w:val="000000" w:themeColor="text1"/>
        </w:rPr>
        <w:t>interiorul</w:t>
      </w:r>
      <w:r w:rsidR="00E13976" w:rsidRPr="00C54A03">
        <w:rPr>
          <w:color w:val="000000" w:themeColor="text1"/>
          <w:spacing w:val="-1"/>
        </w:rPr>
        <w:t xml:space="preserve"> </w:t>
      </w:r>
      <w:r w:rsidR="00E13976" w:rsidRPr="00C54A03">
        <w:rPr>
          <w:color w:val="000000" w:themeColor="text1"/>
        </w:rPr>
        <w:t>rețelei</w:t>
      </w:r>
      <w:r w:rsidR="00E13976" w:rsidRPr="00C54A03">
        <w:rPr>
          <w:color w:val="000000" w:themeColor="text1"/>
          <w:spacing w:val="-2"/>
        </w:rPr>
        <w:t xml:space="preserve"> </w:t>
      </w:r>
      <w:r w:rsidR="00E13976" w:rsidRPr="00C54A03">
        <w:rPr>
          <w:color w:val="000000" w:themeColor="text1"/>
        </w:rPr>
        <w:t>pSCI,</w:t>
      </w:r>
      <w:r w:rsidR="00E13976" w:rsidRPr="00C54A03">
        <w:rPr>
          <w:color w:val="000000" w:themeColor="text1"/>
          <w:spacing w:val="-1"/>
        </w:rPr>
        <w:t xml:space="preserve"> </w:t>
      </w:r>
      <w:r w:rsidR="00E13976" w:rsidRPr="00C54A03">
        <w:rPr>
          <w:color w:val="000000" w:themeColor="text1"/>
        </w:rPr>
        <w:t>SCI</w:t>
      </w:r>
      <w:r w:rsidR="00E13976" w:rsidRPr="00C54A03">
        <w:rPr>
          <w:color w:val="000000" w:themeColor="text1"/>
          <w:spacing w:val="-5"/>
        </w:rPr>
        <w:t xml:space="preserve"> </w:t>
      </w:r>
      <w:r w:rsidR="00E13976" w:rsidRPr="00C54A03">
        <w:rPr>
          <w:color w:val="000000" w:themeColor="text1"/>
        </w:rPr>
        <w:t>și</w:t>
      </w:r>
      <w:r w:rsidR="00E13976" w:rsidRPr="00C54A03">
        <w:rPr>
          <w:color w:val="000000" w:themeColor="text1"/>
          <w:spacing w:val="-2"/>
        </w:rPr>
        <w:t xml:space="preserve"> </w:t>
      </w:r>
      <w:r w:rsidR="00E13976" w:rsidRPr="00C54A03">
        <w:rPr>
          <w:color w:val="000000" w:themeColor="text1"/>
        </w:rPr>
        <w:t>SAC,</w:t>
      </w:r>
    </w:p>
    <w:p w14:paraId="51025727" w14:textId="77777777" w:rsidR="00C06977" w:rsidRPr="00C54A03" w:rsidRDefault="00E13976" w:rsidP="008E33FD">
      <w:pPr>
        <w:widowControl w:val="0"/>
        <w:autoSpaceDE w:val="0"/>
        <w:autoSpaceDN w:val="0"/>
        <w:jc w:val="both"/>
        <w:rPr>
          <w:color w:val="000000" w:themeColor="text1"/>
        </w:rPr>
      </w:pPr>
      <w:r w:rsidRPr="00C54A03">
        <w:rPr>
          <w:color w:val="000000" w:themeColor="text1"/>
        </w:rPr>
        <w:t>-modul</w:t>
      </w:r>
      <w:r w:rsidRPr="00C54A03">
        <w:rPr>
          <w:color w:val="000000" w:themeColor="text1"/>
          <w:spacing w:val="-2"/>
        </w:rPr>
        <w:t xml:space="preserve"> </w:t>
      </w:r>
      <w:r w:rsidRPr="00C54A03">
        <w:rPr>
          <w:color w:val="000000" w:themeColor="text1"/>
        </w:rPr>
        <w:t>de</w:t>
      </w:r>
      <w:r w:rsidRPr="00C54A03">
        <w:rPr>
          <w:color w:val="000000" w:themeColor="text1"/>
          <w:spacing w:val="-3"/>
        </w:rPr>
        <w:t xml:space="preserve"> </w:t>
      </w:r>
      <w:r w:rsidRPr="00C54A03">
        <w:rPr>
          <w:color w:val="000000" w:themeColor="text1"/>
        </w:rPr>
        <w:t>estimare,</w:t>
      </w:r>
    </w:p>
    <w:p w14:paraId="61D65F10" w14:textId="77777777" w:rsidR="00E13976" w:rsidRPr="00C54A03" w:rsidRDefault="00E13976" w:rsidP="008E33FD">
      <w:pPr>
        <w:widowControl w:val="0"/>
        <w:autoSpaceDE w:val="0"/>
        <w:autoSpaceDN w:val="0"/>
        <w:jc w:val="both"/>
        <w:rPr>
          <w:color w:val="000000" w:themeColor="text1"/>
        </w:rPr>
      </w:pPr>
      <w:r w:rsidRPr="00C54A03">
        <w:rPr>
          <w:color w:val="000000" w:themeColor="text1"/>
        </w:rPr>
        <w:t>-suprafața</w:t>
      </w:r>
      <w:r w:rsidRPr="00C54A03">
        <w:rPr>
          <w:color w:val="000000" w:themeColor="text1"/>
          <w:spacing w:val="-2"/>
        </w:rPr>
        <w:t xml:space="preserve"> </w:t>
      </w:r>
      <w:r w:rsidRPr="00C54A03">
        <w:rPr>
          <w:color w:val="000000" w:themeColor="text1"/>
        </w:rPr>
        <w:t>tipului</w:t>
      </w:r>
      <w:r w:rsidRPr="00C54A03">
        <w:rPr>
          <w:color w:val="000000" w:themeColor="text1"/>
          <w:spacing w:val="-2"/>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habitat</w:t>
      </w:r>
      <w:r w:rsidRPr="00C54A03">
        <w:rPr>
          <w:color w:val="000000" w:themeColor="text1"/>
          <w:spacing w:val="-2"/>
        </w:rPr>
        <w:t xml:space="preserve"> </w:t>
      </w:r>
      <w:r w:rsidRPr="00C54A03">
        <w:rPr>
          <w:color w:val="000000" w:themeColor="text1"/>
        </w:rPr>
        <w:t>din</w:t>
      </w:r>
      <w:r w:rsidRPr="00C54A03">
        <w:rPr>
          <w:color w:val="000000" w:themeColor="text1"/>
          <w:spacing w:val="-2"/>
        </w:rPr>
        <w:t xml:space="preserve"> </w:t>
      </w:r>
      <w:r w:rsidRPr="00C54A03">
        <w:rPr>
          <w:color w:val="000000" w:themeColor="text1"/>
        </w:rPr>
        <w:t>interiorul</w:t>
      </w:r>
      <w:r w:rsidRPr="00C54A03">
        <w:rPr>
          <w:color w:val="000000" w:themeColor="text1"/>
          <w:spacing w:val="-1"/>
        </w:rPr>
        <w:t xml:space="preserve"> </w:t>
      </w:r>
      <w:r w:rsidRPr="00C54A03">
        <w:rPr>
          <w:color w:val="000000" w:themeColor="text1"/>
        </w:rPr>
        <w:t>rețelei,</w:t>
      </w:r>
    </w:p>
    <w:p w14:paraId="7809D83A" w14:textId="77777777" w:rsidR="00E13976" w:rsidRPr="00C54A03" w:rsidRDefault="00E13976" w:rsidP="008E33FD">
      <w:pPr>
        <w:widowControl w:val="0"/>
        <w:autoSpaceDE w:val="0"/>
        <w:autoSpaceDN w:val="0"/>
        <w:jc w:val="both"/>
        <w:rPr>
          <w:color w:val="000000" w:themeColor="text1"/>
        </w:rPr>
      </w:pPr>
      <w:r w:rsidRPr="00C54A03">
        <w:rPr>
          <w:color w:val="000000" w:themeColor="text1"/>
        </w:rPr>
        <w:t>-metoda</w:t>
      </w:r>
      <w:r w:rsidRPr="00C54A03">
        <w:rPr>
          <w:color w:val="000000" w:themeColor="text1"/>
          <w:spacing w:val="-2"/>
        </w:rPr>
        <w:t xml:space="preserve"> </w:t>
      </w:r>
      <w:r w:rsidRPr="00C54A03">
        <w:rPr>
          <w:color w:val="000000" w:themeColor="text1"/>
        </w:rPr>
        <w:t>folosită,</w:t>
      </w:r>
    </w:p>
    <w:p w14:paraId="2CB92D18" w14:textId="77777777" w:rsidR="00E13976" w:rsidRPr="00C54A03" w:rsidRDefault="00E13976" w:rsidP="008E33FD">
      <w:pPr>
        <w:widowControl w:val="0"/>
        <w:autoSpaceDE w:val="0"/>
        <w:autoSpaceDN w:val="0"/>
        <w:jc w:val="both"/>
        <w:rPr>
          <w:color w:val="000000" w:themeColor="text1"/>
        </w:rPr>
      </w:pPr>
      <w:r w:rsidRPr="00C54A03">
        <w:rPr>
          <w:color w:val="000000" w:themeColor="text1"/>
        </w:rPr>
        <w:t>-tendința</w:t>
      </w:r>
      <w:r w:rsidRPr="00C54A03">
        <w:rPr>
          <w:color w:val="000000" w:themeColor="text1"/>
          <w:spacing w:val="-1"/>
        </w:rPr>
        <w:t xml:space="preserve"> </w:t>
      </w:r>
      <w:r w:rsidRPr="00C54A03">
        <w:rPr>
          <w:color w:val="000000" w:themeColor="text1"/>
        </w:rPr>
        <w:t>pe</w:t>
      </w:r>
      <w:r w:rsidRPr="00C54A03">
        <w:rPr>
          <w:color w:val="000000" w:themeColor="text1"/>
          <w:spacing w:val="-3"/>
        </w:rPr>
        <w:t xml:space="preserve"> </w:t>
      </w:r>
      <w:r w:rsidRPr="00C54A03">
        <w:rPr>
          <w:color w:val="000000" w:themeColor="text1"/>
        </w:rPr>
        <w:t>termen</w:t>
      </w:r>
      <w:r w:rsidRPr="00C54A03">
        <w:rPr>
          <w:color w:val="000000" w:themeColor="text1"/>
          <w:spacing w:val="-1"/>
        </w:rPr>
        <w:t xml:space="preserve"> </w:t>
      </w:r>
      <w:r w:rsidRPr="00C54A03">
        <w:rPr>
          <w:color w:val="000000" w:themeColor="text1"/>
        </w:rPr>
        <w:t>scurt</w:t>
      </w:r>
      <w:r w:rsidRPr="00C54A03">
        <w:rPr>
          <w:color w:val="000000" w:themeColor="text1"/>
          <w:spacing w:val="1"/>
        </w:rPr>
        <w:t xml:space="preserve"> </w:t>
      </w:r>
      <w:r w:rsidRPr="00C54A03">
        <w:rPr>
          <w:color w:val="000000" w:themeColor="text1"/>
        </w:rPr>
        <w:t>a</w:t>
      </w:r>
      <w:r w:rsidRPr="00C54A03">
        <w:rPr>
          <w:color w:val="000000" w:themeColor="text1"/>
          <w:spacing w:val="-2"/>
        </w:rPr>
        <w:t xml:space="preserve"> </w:t>
      </w:r>
      <w:r w:rsidRPr="00C54A03">
        <w:rPr>
          <w:color w:val="000000" w:themeColor="text1"/>
        </w:rPr>
        <w:t>habitatului</w:t>
      </w:r>
      <w:r w:rsidRPr="00C54A03">
        <w:rPr>
          <w:color w:val="000000" w:themeColor="text1"/>
          <w:spacing w:val="-1"/>
        </w:rPr>
        <w:t xml:space="preserve"> </w:t>
      </w:r>
      <w:r w:rsidRPr="00C54A03">
        <w:rPr>
          <w:color w:val="000000" w:themeColor="text1"/>
        </w:rPr>
        <w:t>în stare</w:t>
      </w:r>
      <w:r w:rsidRPr="00C54A03">
        <w:rPr>
          <w:color w:val="000000" w:themeColor="text1"/>
          <w:spacing w:val="-3"/>
        </w:rPr>
        <w:t xml:space="preserve"> </w:t>
      </w:r>
      <w:r w:rsidRPr="00C54A03">
        <w:rPr>
          <w:color w:val="000000" w:themeColor="text1"/>
        </w:rPr>
        <w:t>bună</w:t>
      </w:r>
      <w:r w:rsidRPr="00C54A03">
        <w:rPr>
          <w:color w:val="000000" w:themeColor="text1"/>
          <w:spacing w:val="-2"/>
        </w:rPr>
        <w:t xml:space="preserve"> </w:t>
      </w:r>
      <w:r w:rsidRPr="00C54A03">
        <w:rPr>
          <w:color w:val="000000" w:themeColor="text1"/>
        </w:rPr>
        <w:t>în cadrul</w:t>
      </w:r>
      <w:r w:rsidRPr="00C54A03">
        <w:rPr>
          <w:color w:val="000000" w:themeColor="text1"/>
          <w:spacing w:val="-1"/>
        </w:rPr>
        <w:t xml:space="preserve"> </w:t>
      </w:r>
      <w:r w:rsidRPr="00C54A03">
        <w:rPr>
          <w:color w:val="000000" w:themeColor="text1"/>
        </w:rPr>
        <w:t>rețelei</w:t>
      </w:r>
      <w:r w:rsidRPr="00C54A03">
        <w:rPr>
          <w:color w:val="000000" w:themeColor="text1"/>
          <w:spacing w:val="-1"/>
        </w:rPr>
        <w:t xml:space="preserve"> </w:t>
      </w:r>
      <w:r w:rsidRPr="00C54A03">
        <w:rPr>
          <w:color w:val="000000" w:themeColor="text1"/>
        </w:rPr>
        <w:t>(direcţia),</w:t>
      </w:r>
    </w:p>
    <w:p w14:paraId="5703CDA8" w14:textId="77777777" w:rsidR="00E13976" w:rsidRPr="00C54A03" w:rsidRDefault="00E13976" w:rsidP="008E33FD">
      <w:pPr>
        <w:widowControl w:val="0"/>
        <w:autoSpaceDE w:val="0"/>
        <w:autoSpaceDN w:val="0"/>
        <w:jc w:val="both"/>
        <w:rPr>
          <w:color w:val="000000" w:themeColor="text1"/>
        </w:rPr>
      </w:pPr>
      <w:r w:rsidRPr="00C54A03">
        <w:rPr>
          <w:color w:val="000000" w:themeColor="text1"/>
        </w:rPr>
        <w:t>-tendința</w:t>
      </w:r>
      <w:r w:rsidRPr="00C54A03">
        <w:rPr>
          <w:color w:val="000000" w:themeColor="text1"/>
          <w:spacing w:val="-1"/>
        </w:rPr>
        <w:t xml:space="preserve"> </w:t>
      </w:r>
      <w:r w:rsidRPr="00C54A03">
        <w:rPr>
          <w:color w:val="000000" w:themeColor="text1"/>
        </w:rPr>
        <w:t>pe</w:t>
      </w:r>
      <w:r w:rsidRPr="00C54A03">
        <w:rPr>
          <w:color w:val="000000" w:themeColor="text1"/>
          <w:spacing w:val="-3"/>
        </w:rPr>
        <w:t xml:space="preserve"> </w:t>
      </w:r>
      <w:r w:rsidRPr="00C54A03">
        <w:rPr>
          <w:color w:val="000000" w:themeColor="text1"/>
        </w:rPr>
        <w:t>termen</w:t>
      </w:r>
      <w:r w:rsidRPr="00C54A03">
        <w:rPr>
          <w:color w:val="000000" w:themeColor="text1"/>
          <w:spacing w:val="-1"/>
        </w:rPr>
        <w:t xml:space="preserve"> </w:t>
      </w:r>
      <w:r w:rsidRPr="00C54A03">
        <w:rPr>
          <w:color w:val="000000" w:themeColor="text1"/>
        </w:rPr>
        <w:t>scurt a</w:t>
      </w:r>
      <w:r w:rsidRPr="00C54A03">
        <w:rPr>
          <w:color w:val="000000" w:themeColor="text1"/>
          <w:spacing w:val="-2"/>
        </w:rPr>
        <w:t xml:space="preserve"> </w:t>
      </w:r>
      <w:r w:rsidRPr="00C54A03">
        <w:rPr>
          <w:color w:val="000000" w:themeColor="text1"/>
        </w:rPr>
        <w:t>habitatului</w:t>
      </w:r>
      <w:r w:rsidRPr="00C54A03">
        <w:rPr>
          <w:color w:val="000000" w:themeColor="text1"/>
          <w:spacing w:val="-1"/>
        </w:rPr>
        <w:t xml:space="preserve"> </w:t>
      </w:r>
      <w:r w:rsidRPr="00C54A03">
        <w:rPr>
          <w:color w:val="000000" w:themeColor="text1"/>
        </w:rPr>
        <w:t>în stare</w:t>
      </w:r>
      <w:r w:rsidRPr="00C54A03">
        <w:rPr>
          <w:color w:val="000000" w:themeColor="text1"/>
          <w:spacing w:val="-3"/>
        </w:rPr>
        <w:t xml:space="preserve"> </w:t>
      </w:r>
      <w:r w:rsidRPr="00C54A03">
        <w:rPr>
          <w:color w:val="000000" w:themeColor="text1"/>
        </w:rPr>
        <w:t>bună</w:t>
      </w:r>
      <w:r w:rsidRPr="00C54A03">
        <w:rPr>
          <w:color w:val="000000" w:themeColor="text1"/>
          <w:spacing w:val="-2"/>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cadrul</w:t>
      </w:r>
      <w:r w:rsidRPr="00C54A03">
        <w:rPr>
          <w:color w:val="000000" w:themeColor="text1"/>
          <w:spacing w:val="-1"/>
        </w:rPr>
        <w:t xml:space="preserve"> </w:t>
      </w:r>
      <w:r w:rsidRPr="00C54A03">
        <w:rPr>
          <w:color w:val="000000" w:themeColor="text1"/>
        </w:rPr>
        <w:t>rețelei</w:t>
      </w:r>
      <w:r w:rsidRPr="00C54A03">
        <w:rPr>
          <w:color w:val="000000" w:themeColor="text1"/>
          <w:spacing w:val="2"/>
        </w:rPr>
        <w:t xml:space="preserve"> </w:t>
      </w:r>
      <w:r w:rsidRPr="00C54A03">
        <w:rPr>
          <w:color w:val="000000" w:themeColor="text1"/>
        </w:rPr>
        <w:t>(metoda</w:t>
      </w:r>
      <w:r w:rsidRPr="00C54A03">
        <w:rPr>
          <w:color w:val="000000" w:themeColor="text1"/>
          <w:spacing w:val="-2"/>
        </w:rPr>
        <w:t xml:space="preserve"> </w:t>
      </w:r>
      <w:r w:rsidRPr="00C54A03">
        <w:rPr>
          <w:color w:val="000000" w:themeColor="text1"/>
        </w:rPr>
        <w:t>folosită).</w:t>
      </w:r>
    </w:p>
    <w:p w14:paraId="47F57B00" w14:textId="77777777" w:rsidR="00E13976" w:rsidRPr="00C54A03" w:rsidRDefault="00E13976" w:rsidP="008E33FD">
      <w:pPr>
        <w:widowControl w:val="0"/>
        <w:autoSpaceDE w:val="0"/>
        <w:autoSpaceDN w:val="0"/>
        <w:spacing w:before="9"/>
        <w:jc w:val="both"/>
        <w:rPr>
          <w:color w:val="000000" w:themeColor="text1"/>
        </w:rPr>
      </w:pPr>
    </w:p>
    <w:p w14:paraId="2F7C8817" w14:textId="77777777" w:rsidR="00E13976" w:rsidRPr="00C54A03" w:rsidRDefault="00E13976" w:rsidP="008E33FD">
      <w:pPr>
        <w:widowControl w:val="0"/>
        <w:tabs>
          <w:tab w:val="left" w:pos="1194"/>
        </w:tabs>
        <w:autoSpaceDE w:val="0"/>
        <w:autoSpaceDN w:val="0"/>
        <w:spacing w:before="100"/>
        <w:jc w:val="both"/>
        <w:outlineLvl w:val="1"/>
        <w:rPr>
          <w:rFonts w:eastAsia="Cambria"/>
          <w:b/>
          <w:bCs/>
          <w:color w:val="000000" w:themeColor="text1"/>
        </w:rPr>
      </w:pPr>
      <w:r w:rsidRPr="00C54A03">
        <w:rPr>
          <w:rFonts w:eastAsia="Cambria"/>
          <w:b/>
          <w:bCs/>
          <w:color w:val="000000" w:themeColor="text1"/>
        </w:rPr>
        <w:t>Ploturi</w:t>
      </w:r>
      <w:r w:rsidRPr="00C54A03">
        <w:rPr>
          <w:rFonts w:eastAsia="Cambria"/>
          <w:b/>
          <w:bCs/>
          <w:color w:val="000000" w:themeColor="text1"/>
          <w:spacing w:val="-5"/>
        </w:rPr>
        <w:t xml:space="preserve"> </w:t>
      </w:r>
      <w:r w:rsidRPr="00C54A03">
        <w:rPr>
          <w:rFonts w:eastAsia="Cambria"/>
          <w:b/>
          <w:bCs/>
          <w:color w:val="000000" w:themeColor="text1"/>
        </w:rPr>
        <w:t>de</w:t>
      </w:r>
      <w:r w:rsidRPr="00C54A03">
        <w:rPr>
          <w:rFonts w:eastAsia="Cambria"/>
          <w:b/>
          <w:bCs/>
          <w:color w:val="000000" w:themeColor="text1"/>
          <w:spacing w:val="-4"/>
        </w:rPr>
        <w:t xml:space="preserve"> </w:t>
      </w:r>
      <w:r w:rsidRPr="00C54A03">
        <w:rPr>
          <w:rFonts w:eastAsia="Cambria"/>
          <w:b/>
          <w:bCs/>
          <w:color w:val="000000" w:themeColor="text1"/>
        </w:rPr>
        <w:t>monitorizare</w:t>
      </w:r>
      <w:r w:rsidRPr="00C54A03">
        <w:rPr>
          <w:rFonts w:eastAsia="Cambria"/>
          <w:b/>
          <w:bCs/>
          <w:color w:val="000000" w:themeColor="text1"/>
          <w:spacing w:val="-4"/>
        </w:rPr>
        <w:t xml:space="preserve"> </w:t>
      </w:r>
      <w:r w:rsidRPr="00C54A03">
        <w:rPr>
          <w:rFonts w:eastAsia="Cambria"/>
          <w:b/>
          <w:bCs/>
          <w:color w:val="000000" w:themeColor="text1"/>
        </w:rPr>
        <w:t>în</w:t>
      </w:r>
      <w:r w:rsidRPr="00C54A03">
        <w:rPr>
          <w:rFonts w:eastAsia="Cambria"/>
          <w:b/>
          <w:bCs/>
          <w:color w:val="000000" w:themeColor="text1"/>
          <w:spacing w:val="-5"/>
        </w:rPr>
        <w:t xml:space="preserve"> </w:t>
      </w:r>
      <w:r w:rsidRPr="00C54A03">
        <w:rPr>
          <w:rFonts w:eastAsia="Cambria"/>
          <w:b/>
          <w:bCs/>
          <w:color w:val="000000" w:themeColor="text1"/>
        </w:rPr>
        <w:t>afara</w:t>
      </w:r>
      <w:r w:rsidRPr="00C54A03">
        <w:rPr>
          <w:rFonts w:eastAsia="Cambria"/>
          <w:b/>
          <w:bCs/>
          <w:color w:val="000000" w:themeColor="text1"/>
          <w:spacing w:val="-3"/>
        </w:rPr>
        <w:t xml:space="preserve"> </w:t>
      </w:r>
      <w:r w:rsidRPr="00C54A03">
        <w:rPr>
          <w:rFonts w:eastAsia="Cambria"/>
          <w:b/>
          <w:bCs/>
          <w:color w:val="000000" w:themeColor="text1"/>
        </w:rPr>
        <w:t>rețelei</w:t>
      </w:r>
      <w:r w:rsidRPr="00C54A03">
        <w:rPr>
          <w:rFonts w:eastAsia="Cambria"/>
          <w:b/>
          <w:bCs/>
          <w:color w:val="000000" w:themeColor="text1"/>
          <w:spacing w:val="-4"/>
        </w:rPr>
        <w:t xml:space="preserve"> </w:t>
      </w:r>
      <w:r w:rsidRPr="00C54A03">
        <w:rPr>
          <w:rFonts w:eastAsia="Cambria"/>
          <w:b/>
          <w:bCs/>
          <w:color w:val="000000" w:themeColor="text1"/>
        </w:rPr>
        <w:t>Natura</w:t>
      </w:r>
      <w:r w:rsidRPr="00C54A03">
        <w:rPr>
          <w:rFonts w:eastAsia="Cambria"/>
          <w:b/>
          <w:bCs/>
          <w:color w:val="000000" w:themeColor="text1"/>
          <w:spacing w:val="-2"/>
        </w:rPr>
        <w:t xml:space="preserve"> </w:t>
      </w:r>
      <w:r w:rsidRPr="00C54A03">
        <w:rPr>
          <w:rFonts w:eastAsia="Cambria"/>
          <w:b/>
          <w:bCs/>
          <w:color w:val="000000" w:themeColor="text1"/>
        </w:rPr>
        <w:t>2000</w:t>
      </w:r>
    </w:p>
    <w:p w14:paraId="577DB312" w14:textId="77777777" w:rsidR="00E13976" w:rsidRPr="00C54A03" w:rsidRDefault="00E13976" w:rsidP="008E33FD">
      <w:pPr>
        <w:widowControl w:val="0"/>
        <w:autoSpaceDE w:val="0"/>
        <w:autoSpaceDN w:val="0"/>
        <w:spacing w:before="157"/>
        <w:ind w:right="251"/>
        <w:jc w:val="both"/>
        <w:rPr>
          <w:color w:val="000000" w:themeColor="text1"/>
        </w:rPr>
      </w:pPr>
      <w:r w:rsidRPr="00C54A03">
        <w:rPr>
          <w:color w:val="000000" w:themeColor="text1"/>
        </w:rPr>
        <w:t>Monitorizarea</w:t>
      </w:r>
      <w:r w:rsidRPr="00C54A03">
        <w:rPr>
          <w:color w:val="000000" w:themeColor="text1"/>
          <w:spacing w:val="14"/>
        </w:rPr>
        <w:t xml:space="preserve"> </w:t>
      </w:r>
      <w:r w:rsidRPr="00C54A03">
        <w:rPr>
          <w:color w:val="000000" w:themeColor="text1"/>
        </w:rPr>
        <w:t>habitatelor</w:t>
      </w:r>
      <w:r w:rsidRPr="00C54A03">
        <w:rPr>
          <w:color w:val="000000" w:themeColor="text1"/>
          <w:spacing w:val="14"/>
        </w:rPr>
        <w:t xml:space="preserve"> </w:t>
      </w:r>
      <w:r w:rsidRPr="00C54A03">
        <w:rPr>
          <w:color w:val="000000" w:themeColor="text1"/>
        </w:rPr>
        <w:t>de</w:t>
      </w:r>
      <w:r w:rsidRPr="00C54A03">
        <w:rPr>
          <w:color w:val="000000" w:themeColor="text1"/>
          <w:spacing w:val="14"/>
        </w:rPr>
        <w:t xml:space="preserve"> </w:t>
      </w:r>
      <w:r w:rsidRPr="00C54A03">
        <w:rPr>
          <w:color w:val="000000" w:themeColor="text1"/>
        </w:rPr>
        <w:t>interes</w:t>
      </w:r>
      <w:r w:rsidRPr="00C54A03">
        <w:rPr>
          <w:color w:val="000000" w:themeColor="text1"/>
          <w:spacing w:val="18"/>
        </w:rPr>
        <w:t xml:space="preserve"> </w:t>
      </w:r>
      <w:r w:rsidRPr="00C54A03">
        <w:rPr>
          <w:color w:val="000000" w:themeColor="text1"/>
        </w:rPr>
        <w:t>comunitar</w:t>
      </w:r>
      <w:r w:rsidRPr="00C54A03">
        <w:rPr>
          <w:color w:val="000000" w:themeColor="text1"/>
          <w:spacing w:val="14"/>
        </w:rPr>
        <w:t xml:space="preserve"> </w:t>
      </w:r>
      <w:r w:rsidRPr="00C54A03">
        <w:rPr>
          <w:color w:val="000000" w:themeColor="text1"/>
        </w:rPr>
        <w:t>se</w:t>
      </w:r>
      <w:r w:rsidRPr="00C54A03">
        <w:rPr>
          <w:color w:val="000000" w:themeColor="text1"/>
          <w:spacing w:val="16"/>
        </w:rPr>
        <w:t xml:space="preserve"> </w:t>
      </w:r>
      <w:r w:rsidRPr="00C54A03">
        <w:rPr>
          <w:color w:val="000000" w:themeColor="text1"/>
        </w:rPr>
        <w:t>face</w:t>
      </w:r>
      <w:r w:rsidRPr="00C54A03">
        <w:rPr>
          <w:color w:val="000000" w:themeColor="text1"/>
          <w:spacing w:val="16"/>
        </w:rPr>
        <w:t xml:space="preserve"> </w:t>
      </w:r>
      <w:r w:rsidRPr="00C54A03">
        <w:rPr>
          <w:color w:val="000000" w:themeColor="text1"/>
        </w:rPr>
        <w:t>atât</w:t>
      </w:r>
      <w:r w:rsidRPr="00C54A03">
        <w:rPr>
          <w:color w:val="000000" w:themeColor="text1"/>
          <w:spacing w:val="15"/>
        </w:rPr>
        <w:t xml:space="preserve"> </w:t>
      </w:r>
      <w:r w:rsidRPr="00C54A03">
        <w:rPr>
          <w:color w:val="000000" w:themeColor="text1"/>
        </w:rPr>
        <w:t>în</w:t>
      </w:r>
      <w:r w:rsidRPr="00C54A03">
        <w:rPr>
          <w:color w:val="000000" w:themeColor="text1"/>
          <w:spacing w:val="16"/>
        </w:rPr>
        <w:t xml:space="preserve"> </w:t>
      </w:r>
      <w:r w:rsidRPr="00C54A03">
        <w:rPr>
          <w:color w:val="000000" w:themeColor="text1"/>
        </w:rPr>
        <w:t>interiorul</w:t>
      </w:r>
      <w:r w:rsidRPr="00C54A03">
        <w:rPr>
          <w:color w:val="000000" w:themeColor="text1"/>
          <w:spacing w:val="16"/>
        </w:rPr>
        <w:t xml:space="preserve"> </w:t>
      </w:r>
      <w:r w:rsidRPr="00C54A03">
        <w:rPr>
          <w:color w:val="000000" w:themeColor="text1"/>
        </w:rPr>
        <w:t>Rețelei</w:t>
      </w:r>
      <w:r w:rsidRPr="00C54A03">
        <w:rPr>
          <w:color w:val="000000" w:themeColor="text1"/>
          <w:spacing w:val="15"/>
        </w:rPr>
        <w:t xml:space="preserve"> </w:t>
      </w:r>
      <w:r w:rsidRPr="00C54A03">
        <w:rPr>
          <w:color w:val="000000" w:themeColor="text1"/>
        </w:rPr>
        <w:t>Natura</w:t>
      </w:r>
      <w:r w:rsidRPr="00C54A03">
        <w:rPr>
          <w:color w:val="000000" w:themeColor="text1"/>
          <w:spacing w:val="14"/>
        </w:rPr>
        <w:t xml:space="preserve"> </w:t>
      </w:r>
      <w:r w:rsidRPr="00C54A03">
        <w:rPr>
          <w:color w:val="000000" w:themeColor="text1"/>
        </w:rPr>
        <w:t>2000,</w:t>
      </w:r>
      <w:r w:rsidRPr="00C54A03">
        <w:rPr>
          <w:color w:val="000000" w:themeColor="text1"/>
          <w:spacing w:val="15"/>
        </w:rPr>
        <w:t xml:space="preserve"> </w:t>
      </w:r>
      <w:r w:rsidRPr="00C54A03">
        <w:rPr>
          <w:color w:val="000000" w:themeColor="text1"/>
        </w:rPr>
        <w:t>cât</w:t>
      </w:r>
      <w:r w:rsidRPr="00C54A03">
        <w:rPr>
          <w:color w:val="000000" w:themeColor="text1"/>
          <w:spacing w:val="16"/>
        </w:rPr>
        <w:t xml:space="preserve"> </w:t>
      </w:r>
      <w:r w:rsidRPr="00C54A03">
        <w:rPr>
          <w:color w:val="000000" w:themeColor="text1"/>
        </w:rPr>
        <w:t>și</w:t>
      </w:r>
      <w:r w:rsidRPr="00C54A03">
        <w:rPr>
          <w:color w:val="000000" w:themeColor="text1"/>
          <w:spacing w:val="-57"/>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afara</w:t>
      </w:r>
      <w:r w:rsidRPr="00C54A03">
        <w:rPr>
          <w:color w:val="000000" w:themeColor="text1"/>
          <w:spacing w:val="-1"/>
        </w:rPr>
        <w:t xml:space="preserve"> </w:t>
      </w:r>
      <w:r w:rsidRPr="00C54A03">
        <w:rPr>
          <w:color w:val="000000" w:themeColor="text1"/>
        </w:rPr>
        <w:t>rețelei Natura</w:t>
      </w:r>
      <w:r w:rsidRPr="00C54A03">
        <w:rPr>
          <w:color w:val="000000" w:themeColor="text1"/>
          <w:spacing w:val="-2"/>
        </w:rPr>
        <w:t xml:space="preserve"> </w:t>
      </w:r>
      <w:r w:rsidRPr="00C54A03">
        <w:rPr>
          <w:color w:val="000000" w:themeColor="text1"/>
        </w:rPr>
        <w:t>2000,</w:t>
      </w:r>
      <w:r w:rsidRPr="00C54A03">
        <w:rPr>
          <w:color w:val="000000" w:themeColor="text1"/>
          <w:spacing w:val="-1"/>
        </w:rPr>
        <w:t xml:space="preserve"> </w:t>
      </w:r>
      <w:r w:rsidRPr="00C54A03">
        <w:rPr>
          <w:color w:val="000000" w:themeColor="text1"/>
        </w:rPr>
        <w:t>în scopul evaluării în</w:t>
      </w:r>
      <w:r w:rsidRPr="00C54A03">
        <w:rPr>
          <w:color w:val="000000" w:themeColor="text1"/>
          <w:spacing w:val="2"/>
        </w:rPr>
        <w:t xml:space="preserve"> </w:t>
      </w:r>
      <w:r w:rsidRPr="00C54A03">
        <w:rPr>
          <w:color w:val="000000" w:themeColor="text1"/>
        </w:rPr>
        <w:t>vederea</w:t>
      </w:r>
      <w:r w:rsidRPr="00C54A03">
        <w:rPr>
          <w:color w:val="000000" w:themeColor="text1"/>
          <w:spacing w:val="-2"/>
        </w:rPr>
        <w:t xml:space="preserve"> </w:t>
      </w:r>
      <w:r w:rsidRPr="00C54A03">
        <w:rPr>
          <w:color w:val="000000" w:themeColor="text1"/>
        </w:rPr>
        <w:t>raportării către</w:t>
      </w:r>
      <w:r w:rsidRPr="00C54A03">
        <w:rPr>
          <w:color w:val="000000" w:themeColor="text1"/>
          <w:spacing w:val="-2"/>
        </w:rPr>
        <w:t xml:space="preserve"> </w:t>
      </w:r>
      <w:r w:rsidRPr="00C54A03">
        <w:rPr>
          <w:color w:val="000000" w:themeColor="text1"/>
        </w:rPr>
        <w:t>CE.</w:t>
      </w:r>
    </w:p>
    <w:p w14:paraId="0C4B95C7" w14:textId="77777777" w:rsidR="00E13976" w:rsidRPr="00C54A03" w:rsidRDefault="00E13976" w:rsidP="008E33FD">
      <w:pPr>
        <w:widowControl w:val="0"/>
        <w:autoSpaceDE w:val="0"/>
        <w:autoSpaceDN w:val="0"/>
        <w:jc w:val="both"/>
        <w:rPr>
          <w:color w:val="000000" w:themeColor="text1"/>
        </w:rPr>
      </w:pPr>
      <w:r w:rsidRPr="00C54A03">
        <w:rPr>
          <w:color w:val="000000" w:themeColor="text1"/>
        </w:rPr>
        <w:t>În esență,</w:t>
      </w:r>
      <w:r w:rsidRPr="00C54A03">
        <w:rPr>
          <w:color w:val="000000" w:themeColor="text1"/>
          <w:spacing w:val="-1"/>
        </w:rPr>
        <w:t xml:space="preserve"> </w:t>
      </w:r>
      <w:r w:rsidRPr="00C54A03">
        <w:rPr>
          <w:color w:val="000000" w:themeColor="text1"/>
        </w:rPr>
        <w:t>acest</w:t>
      </w:r>
      <w:r w:rsidRPr="00C54A03">
        <w:rPr>
          <w:color w:val="000000" w:themeColor="text1"/>
          <w:spacing w:val="-2"/>
        </w:rPr>
        <w:t xml:space="preserve"> </w:t>
      </w:r>
      <w:r w:rsidRPr="00C54A03">
        <w:rPr>
          <w:color w:val="000000" w:themeColor="text1"/>
        </w:rPr>
        <w:t>fapt</w:t>
      </w:r>
      <w:r w:rsidRPr="00C54A03">
        <w:rPr>
          <w:color w:val="000000" w:themeColor="text1"/>
          <w:spacing w:val="-2"/>
        </w:rPr>
        <w:t xml:space="preserve"> </w:t>
      </w:r>
      <w:r w:rsidRPr="00C54A03">
        <w:rPr>
          <w:color w:val="000000" w:themeColor="text1"/>
        </w:rPr>
        <w:t>se</w:t>
      </w:r>
      <w:r w:rsidRPr="00C54A03">
        <w:rPr>
          <w:color w:val="000000" w:themeColor="text1"/>
          <w:spacing w:val="-1"/>
        </w:rPr>
        <w:t xml:space="preserve"> </w:t>
      </w:r>
      <w:r w:rsidRPr="00C54A03">
        <w:rPr>
          <w:color w:val="000000" w:themeColor="text1"/>
        </w:rPr>
        <w:t>transpune</w:t>
      </w:r>
      <w:r w:rsidRPr="00C54A03">
        <w:rPr>
          <w:color w:val="000000" w:themeColor="text1"/>
          <w:spacing w:val="-3"/>
        </w:rPr>
        <w:t xml:space="preserve"> </w:t>
      </w:r>
      <w:r w:rsidRPr="00C54A03">
        <w:rPr>
          <w:color w:val="000000" w:themeColor="text1"/>
        </w:rPr>
        <w:t>astfel:</w:t>
      </w:r>
    </w:p>
    <w:p w14:paraId="4ABDBDC5" w14:textId="77777777" w:rsidR="00E13976" w:rsidRPr="00C54A03" w:rsidRDefault="00E13976" w:rsidP="009E63E5">
      <w:pPr>
        <w:widowControl w:val="0"/>
        <w:numPr>
          <w:ilvl w:val="0"/>
          <w:numId w:val="71"/>
        </w:numPr>
        <w:tabs>
          <w:tab w:val="left" w:pos="1014"/>
        </w:tabs>
        <w:autoSpaceDE w:val="0"/>
        <w:autoSpaceDN w:val="0"/>
        <w:ind w:hanging="361"/>
        <w:jc w:val="both"/>
        <w:rPr>
          <w:color w:val="000000" w:themeColor="text1"/>
        </w:rPr>
      </w:pPr>
      <w:r w:rsidRPr="00C54A03">
        <w:rPr>
          <w:color w:val="000000" w:themeColor="text1"/>
        </w:rPr>
        <w:t>Monitorizare</w:t>
      </w:r>
      <w:r w:rsidRPr="00C54A03">
        <w:rPr>
          <w:color w:val="000000" w:themeColor="text1"/>
          <w:spacing w:val="-3"/>
        </w:rPr>
        <w:t xml:space="preserve"> </w:t>
      </w:r>
      <w:r w:rsidRPr="00C54A03">
        <w:rPr>
          <w:color w:val="000000" w:themeColor="text1"/>
        </w:rPr>
        <w:t>în ploturi numai în</w:t>
      </w:r>
      <w:r w:rsidRPr="00C54A03">
        <w:rPr>
          <w:color w:val="000000" w:themeColor="text1"/>
          <w:spacing w:val="-1"/>
        </w:rPr>
        <w:t xml:space="preserve"> </w:t>
      </w:r>
      <w:r w:rsidRPr="00C54A03">
        <w:rPr>
          <w:color w:val="000000" w:themeColor="text1"/>
        </w:rPr>
        <w:t>interiorul Natura</w:t>
      </w:r>
      <w:r w:rsidRPr="00C54A03">
        <w:rPr>
          <w:color w:val="000000" w:themeColor="text1"/>
          <w:spacing w:val="-1"/>
        </w:rPr>
        <w:t xml:space="preserve"> </w:t>
      </w:r>
      <w:r w:rsidRPr="00C54A03">
        <w:rPr>
          <w:color w:val="000000" w:themeColor="text1"/>
        </w:rPr>
        <w:t>2000;</w:t>
      </w:r>
    </w:p>
    <w:p w14:paraId="6C261D88" w14:textId="77777777" w:rsidR="00E13976" w:rsidRPr="00C54A03" w:rsidRDefault="00E13976" w:rsidP="009E63E5">
      <w:pPr>
        <w:widowControl w:val="0"/>
        <w:numPr>
          <w:ilvl w:val="0"/>
          <w:numId w:val="71"/>
        </w:numPr>
        <w:tabs>
          <w:tab w:val="left" w:pos="1014"/>
        </w:tabs>
        <w:autoSpaceDE w:val="0"/>
        <w:autoSpaceDN w:val="0"/>
        <w:ind w:hanging="361"/>
        <w:jc w:val="both"/>
        <w:rPr>
          <w:color w:val="000000" w:themeColor="text1"/>
        </w:rPr>
      </w:pPr>
      <w:r w:rsidRPr="00C54A03">
        <w:rPr>
          <w:color w:val="000000" w:themeColor="text1"/>
        </w:rPr>
        <w:t>Monitorizare</w:t>
      </w:r>
      <w:r w:rsidRPr="00C54A03">
        <w:rPr>
          <w:color w:val="000000" w:themeColor="text1"/>
          <w:spacing w:val="-3"/>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ploturi atât</w:t>
      </w:r>
      <w:r w:rsidRPr="00C54A03">
        <w:rPr>
          <w:color w:val="000000" w:themeColor="text1"/>
          <w:spacing w:val="-1"/>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interiorul, cât</w:t>
      </w:r>
      <w:r w:rsidRPr="00C54A03">
        <w:rPr>
          <w:color w:val="000000" w:themeColor="text1"/>
          <w:spacing w:val="-1"/>
        </w:rPr>
        <w:t xml:space="preserve"> </w:t>
      </w:r>
      <w:r w:rsidRPr="00C54A03">
        <w:rPr>
          <w:color w:val="000000" w:themeColor="text1"/>
        </w:rPr>
        <w:t>și</w:t>
      </w:r>
      <w:r w:rsidRPr="00C54A03">
        <w:rPr>
          <w:color w:val="000000" w:themeColor="text1"/>
          <w:spacing w:val="-1"/>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afara</w:t>
      </w:r>
      <w:r w:rsidRPr="00C54A03">
        <w:rPr>
          <w:color w:val="000000" w:themeColor="text1"/>
          <w:spacing w:val="-1"/>
        </w:rPr>
        <w:t xml:space="preserve"> </w:t>
      </w:r>
      <w:r w:rsidRPr="00C54A03">
        <w:rPr>
          <w:color w:val="000000" w:themeColor="text1"/>
        </w:rPr>
        <w:t>Natura</w:t>
      </w:r>
      <w:r w:rsidRPr="00C54A03">
        <w:rPr>
          <w:color w:val="000000" w:themeColor="text1"/>
          <w:spacing w:val="-2"/>
        </w:rPr>
        <w:t xml:space="preserve"> </w:t>
      </w:r>
      <w:r w:rsidRPr="00C54A03">
        <w:rPr>
          <w:color w:val="000000" w:themeColor="text1"/>
        </w:rPr>
        <w:t>2000;</w:t>
      </w:r>
    </w:p>
    <w:p w14:paraId="0D47EAFD" w14:textId="77777777" w:rsidR="00E13976" w:rsidRPr="00C54A03" w:rsidRDefault="00E13976" w:rsidP="009E63E5">
      <w:pPr>
        <w:widowControl w:val="0"/>
        <w:numPr>
          <w:ilvl w:val="0"/>
          <w:numId w:val="71"/>
        </w:numPr>
        <w:tabs>
          <w:tab w:val="left" w:pos="1014"/>
        </w:tabs>
        <w:autoSpaceDE w:val="0"/>
        <w:autoSpaceDN w:val="0"/>
        <w:spacing w:before="1"/>
        <w:ind w:hanging="361"/>
        <w:jc w:val="both"/>
        <w:rPr>
          <w:color w:val="000000" w:themeColor="text1"/>
        </w:rPr>
      </w:pPr>
      <w:r w:rsidRPr="00C54A03">
        <w:rPr>
          <w:color w:val="000000" w:themeColor="text1"/>
        </w:rPr>
        <w:t>Monitorizare</w:t>
      </w:r>
      <w:r w:rsidRPr="00C54A03">
        <w:rPr>
          <w:color w:val="000000" w:themeColor="text1"/>
          <w:spacing w:val="-3"/>
        </w:rPr>
        <w:t xml:space="preserve"> </w:t>
      </w:r>
      <w:r w:rsidRPr="00C54A03">
        <w:rPr>
          <w:color w:val="000000" w:themeColor="text1"/>
        </w:rPr>
        <w:t>în ploturi</w:t>
      </w:r>
      <w:r w:rsidRPr="00C54A03">
        <w:rPr>
          <w:color w:val="000000" w:themeColor="text1"/>
          <w:spacing w:val="1"/>
        </w:rPr>
        <w:t xml:space="preserve"> </w:t>
      </w:r>
      <w:r w:rsidRPr="00C54A03">
        <w:rPr>
          <w:color w:val="000000" w:themeColor="text1"/>
        </w:rPr>
        <w:t>numai în afara</w:t>
      </w:r>
      <w:r w:rsidRPr="00C54A03">
        <w:rPr>
          <w:color w:val="000000" w:themeColor="text1"/>
          <w:spacing w:val="-1"/>
        </w:rPr>
        <w:t xml:space="preserve"> </w:t>
      </w:r>
      <w:r w:rsidRPr="00C54A03">
        <w:rPr>
          <w:color w:val="000000" w:themeColor="text1"/>
        </w:rPr>
        <w:t>Natura</w:t>
      </w:r>
      <w:r w:rsidRPr="00C54A03">
        <w:rPr>
          <w:color w:val="000000" w:themeColor="text1"/>
          <w:spacing w:val="-1"/>
        </w:rPr>
        <w:t xml:space="preserve"> </w:t>
      </w:r>
      <w:r w:rsidRPr="00C54A03">
        <w:rPr>
          <w:color w:val="000000" w:themeColor="text1"/>
        </w:rPr>
        <w:t>2000.</w:t>
      </w:r>
    </w:p>
    <w:p w14:paraId="1B0E93B3" w14:textId="77777777" w:rsidR="00E13976" w:rsidRPr="00C54A03" w:rsidRDefault="00E13976" w:rsidP="008E33FD">
      <w:pPr>
        <w:widowControl w:val="0"/>
        <w:autoSpaceDE w:val="0"/>
        <w:autoSpaceDN w:val="0"/>
        <w:ind w:right="250"/>
        <w:jc w:val="both"/>
        <w:rPr>
          <w:color w:val="000000" w:themeColor="text1"/>
        </w:rPr>
      </w:pPr>
      <w:r w:rsidRPr="00C54A03">
        <w:rPr>
          <w:color w:val="000000" w:themeColor="text1"/>
        </w:rPr>
        <w:t>Datele rezultate în urma monitorizării trebuie să surprindă unde are loc principalul obiectiv al</w:t>
      </w:r>
      <w:r w:rsidRPr="00C54A03">
        <w:rPr>
          <w:color w:val="000000" w:themeColor="text1"/>
          <w:spacing w:val="1"/>
        </w:rPr>
        <w:t xml:space="preserve"> </w:t>
      </w:r>
      <w:r w:rsidRPr="00C54A03">
        <w:rPr>
          <w:color w:val="000000" w:themeColor="text1"/>
        </w:rPr>
        <w:t>acțiunii de conservare. Prin urmare, în corelare cu formatul de raportare, se alege opțiunea (a) dacă</w:t>
      </w:r>
      <w:r w:rsidRPr="00C54A03">
        <w:rPr>
          <w:color w:val="000000" w:themeColor="text1"/>
          <w:spacing w:val="1"/>
        </w:rPr>
        <w:t xml:space="preserve"> </w:t>
      </w:r>
      <w:r w:rsidRPr="00C54A03">
        <w:rPr>
          <w:color w:val="000000" w:themeColor="text1"/>
        </w:rPr>
        <w:t>toate, sau marea majoritate, dintre măsurile de conservare sunt limitate la Natura 2000, opțiunea (b)</w:t>
      </w:r>
      <w:r w:rsidRPr="00C54A03">
        <w:rPr>
          <w:color w:val="000000" w:themeColor="text1"/>
          <w:spacing w:val="1"/>
        </w:rPr>
        <w:t xml:space="preserve"> </w:t>
      </w:r>
      <w:r w:rsidRPr="00C54A03">
        <w:rPr>
          <w:color w:val="000000" w:themeColor="text1"/>
        </w:rPr>
        <w:t>dacă există o investiție proporțională în punerea în aplicare a măsurilor în interiorul și în afara</w:t>
      </w:r>
      <w:r w:rsidRPr="00C54A03">
        <w:rPr>
          <w:color w:val="000000" w:themeColor="text1"/>
          <w:spacing w:val="1"/>
        </w:rPr>
        <w:t xml:space="preserve"> </w:t>
      </w:r>
      <w:r w:rsidRPr="00C54A03">
        <w:rPr>
          <w:color w:val="000000" w:themeColor="text1"/>
        </w:rPr>
        <w:t>Natura</w:t>
      </w:r>
      <w:r w:rsidRPr="00C54A03">
        <w:rPr>
          <w:color w:val="000000" w:themeColor="text1"/>
          <w:spacing w:val="44"/>
        </w:rPr>
        <w:t xml:space="preserve"> </w:t>
      </w:r>
      <w:r w:rsidRPr="00C54A03">
        <w:rPr>
          <w:color w:val="000000" w:themeColor="text1"/>
        </w:rPr>
        <w:t>2000</w:t>
      </w:r>
      <w:r w:rsidRPr="00C54A03">
        <w:rPr>
          <w:color w:val="000000" w:themeColor="text1"/>
          <w:spacing w:val="46"/>
        </w:rPr>
        <w:t xml:space="preserve"> </w:t>
      </w:r>
      <w:r w:rsidRPr="00C54A03">
        <w:rPr>
          <w:color w:val="000000" w:themeColor="text1"/>
        </w:rPr>
        <w:t>și</w:t>
      </w:r>
      <w:r w:rsidRPr="00C54A03">
        <w:rPr>
          <w:color w:val="000000" w:themeColor="text1"/>
          <w:spacing w:val="47"/>
        </w:rPr>
        <w:t xml:space="preserve"> </w:t>
      </w:r>
      <w:r w:rsidRPr="00C54A03">
        <w:rPr>
          <w:color w:val="000000" w:themeColor="text1"/>
        </w:rPr>
        <w:t>opțiunea</w:t>
      </w:r>
      <w:r w:rsidRPr="00C54A03">
        <w:rPr>
          <w:color w:val="000000" w:themeColor="text1"/>
          <w:spacing w:val="44"/>
        </w:rPr>
        <w:t xml:space="preserve"> </w:t>
      </w:r>
      <w:r w:rsidRPr="00C54A03">
        <w:rPr>
          <w:color w:val="000000" w:themeColor="text1"/>
        </w:rPr>
        <w:t>(c)</w:t>
      </w:r>
      <w:r w:rsidRPr="00C54A03">
        <w:rPr>
          <w:color w:val="000000" w:themeColor="text1"/>
          <w:spacing w:val="46"/>
        </w:rPr>
        <w:t xml:space="preserve"> </w:t>
      </w:r>
      <w:r w:rsidRPr="00C54A03">
        <w:rPr>
          <w:color w:val="000000" w:themeColor="text1"/>
        </w:rPr>
        <w:t>dacă</w:t>
      </w:r>
      <w:r w:rsidRPr="00C54A03">
        <w:rPr>
          <w:color w:val="000000" w:themeColor="text1"/>
          <w:spacing w:val="45"/>
        </w:rPr>
        <w:t xml:space="preserve"> </w:t>
      </w:r>
      <w:r w:rsidRPr="00C54A03">
        <w:rPr>
          <w:color w:val="000000" w:themeColor="text1"/>
        </w:rPr>
        <w:t>toate,</w:t>
      </w:r>
      <w:r w:rsidRPr="00C54A03">
        <w:rPr>
          <w:color w:val="000000" w:themeColor="text1"/>
          <w:spacing w:val="45"/>
        </w:rPr>
        <w:t xml:space="preserve"> </w:t>
      </w:r>
      <w:r w:rsidRPr="00C54A03">
        <w:rPr>
          <w:color w:val="000000" w:themeColor="text1"/>
        </w:rPr>
        <w:t>sau</w:t>
      </w:r>
      <w:r w:rsidRPr="00C54A03">
        <w:rPr>
          <w:color w:val="000000" w:themeColor="text1"/>
          <w:spacing w:val="46"/>
        </w:rPr>
        <w:t xml:space="preserve"> </w:t>
      </w:r>
      <w:r w:rsidRPr="00C54A03">
        <w:rPr>
          <w:color w:val="000000" w:themeColor="text1"/>
        </w:rPr>
        <w:t>marea</w:t>
      </w:r>
      <w:r w:rsidRPr="00C54A03">
        <w:rPr>
          <w:color w:val="000000" w:themeColor="text1"/>
          <w:spacing w:val="45"/>
        </w:rPr>
        <w:t xml:space="preserve"> </w:t>
      </w:r>
      <w:r w:rsidRPr="00C54A03">
        <w:rPr>
          <w:color w:val="000000" w:themeColor="text1"/>
        </w:rPr>
        <w:t>majoritate,</w:t>
      </w:r>
      <w:r w:rsidRPr="00C54A03">
        <w:rPr>
          <w:color w:val="000000" w:themeColor="text1"/>
          <w:spacing w:val="45"/>
        </w:rPr>
        <w:t xml:space="preserve"> </w:t>
      </w:r>
      <w:r w:rsidRPr="00C54A03">
        <w:rPr>
          <w:color w:val="000000" w:themeColor="text1"/>
        </w:rPr>
        <w:t>dintre</w:t>
      </w:r>
      <w:r w:rsidRPr="00C54A03">
        <w:rPr>
          <w:color w:val="000000" w:themeColor="text1"/>
          <w:spacing w:val="45"/>
        </w:rPr>
        <w:t xml:space="preserve"> </w:t>
      </w:r>
      <w:r w:rsidRPr="00C54A03">
        <w:rPr>
          <w:color w:val="000000" w:themeColor="text1"/>
        </w:rPr>
        <w:t>măsuri</w:t>
      </w:r>
      <w:r w:rsidRPr="00C54A03">
        <w:rPr>
          <w:color w:val="000000" w:themeColor="text1"/>
          <w:spacing w:val="47"/>
        </w:rPr>
        <w:t xml:space="preserve"> </w:t>
      </w:r>
      <w:r w:rsidRPr="00C54A03">
        <w:rPr>
          <w:color w:val="000000" w:themeColor="text1"/>
        </w:rPr>
        <w:t>sunt</w:t>
      </w:r>
      <w:r w:rsidRPr="00C54A03">
        <w:rPr>
          <w:color w:val="000000" w:themeColor="text1"/>
          <w:spacing w:val="46"/>
        </w:rPr>
        <w:t xml:space="preserve"> </w:t>
      </w:r>
      <w:r w:rsidRPr="00C54A03">
        <w:rPr>
          <w:color w:val="000000" w:themeColor="text1"/>
        </w:rPr>
        <w:t>luate</w:t>
      </w:r>
      <w:r w:rsidRPr="00C54A03">
        <w:rPr>
          <w:color w:val="000000" w:themeColor="text1"/>
          <w:spacing w:val="45"/>
        </w:rPr>
        <w:t xml:space="preserve"> </w:t>
      </w:r>
      <w:r w:rsidRPr="00C54A03">
        <w:rPr>
          <w:color w:val="000000" w:themeColor="text1"/>
        </w:rPr>
        <w:t>în</w:t>
      </w:r>
      <w:r w:rsidRPr="00C54A03">
        <w:rPr>
          <w:color w:val="000000" w:themeColor="text1"/>
          <w:spacing w:val="44"/>
        </w:rPr>
        <w:t xml:space="preserve"> </w:t>
      </w:r>
      <w:r w:rsidRPr="00C54A03">
        <w:rPr>
          <w:color w:val="000000" w:themeColor="text1"/>
        </w:rPr>
        <w:t>afara</w:t>
      </w:r>
      <w:r w:rsidRPr="00C54A03">
        <w:rPr>
          <w:color w:val="000000" w:themeColor="text1"/>
          <w:spacing w:val="-58"/>
        </w:rPr>
        <w:t xml:space="preserve"> </w:t>
      </w:r>
      <w:r w:rsidRPr="00C54A03">
        <w:rPr>
          <w:color w:val="000000" w:themeColor="text1"/>
        </w:rPr>
        <w:t>Natura</w:t>
      </w:r>
      <w:r w:rsidRPr="00C54A03">
        <w:rPr>
          <w:color w:val="000000" w:themeColor="text1"/>
          <w:spacing w:val="-3"/>
        </w:rPr>
        <w:t xml:space="preserve"> </w:t>
      </w:r>
      <w:r w:rsidRPr="00C54A03">
        <w:rPr>
          <w:color w:val="000000" w:themeColor="text1"/>
        </w:rPr>
        <w:t>2000.</w:t>
      </w:r>
    </w:p>
    <w:p w14:paraId="1944FED0" w14:textId="77777777" w:rsidR="00E13976" w:rsidRPr="00C54A03" w:rsidRDefault="00E13976" w:rsidP="008E33FD">
      <w:pPr>
        <w:widowControl w:val="0"/>
        <w:autoSpaceDE w:val="0"/>
        <w:autoSpaceDN w:val="0"/>
        <w:ind w:right="253"/>
        <w:jc w:val="both"/>
        <w:rPr>
          <w:color w:val="000000" w:themeColor="text1"/>
        </w:rPr>
      </w:pPr>
      <w:r w:rsidRPr="00C54A03">
        <w:rPr>
          <w:color w:val="000000" w:themeColor="text1"/>
        </w:rPr>
        <w:t>În stadiul actual, majoritatea habitatelor care nu sunt în rețeaua Natura 2000, nu sunt cartate nici la</w:t>
      </w:r>
      <w:r w:rsidRPr="00C54A03">
        <w:rPr>
          <w:color w:val="000000" w:themeColor="text1"/>
          <w:spacing w:val="1"/>
        </w:rPr>
        <w:t xml:space="preserve"> </w:t>
      </w:r>
      <w:r w:rsidRPr="00C54A03">
        <w:rPr>
          <w:color w:val="000000" w:themeColor="text1"/>
        </w:rPr>
        <w:t>nivel</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bioregiune și</w:t>
      </w:r>
      <w:r w:rsidRPr="00C54A03">
        <w:rPr>
          <w:color w:val="000000" w:themeColor="text1"/>
          <w:spacing w:val="-1"/>
        </w:rPr>
        <w:t xml:space="preserve"> </w:t>
      </w:r>
      <w:r w:rsidRPr="00C54A03">
        <w:rPr>
          <w:color w:val="000000" w:themeColor="text1"/>
        </w:rPr>
        <w:t>nici la</w:t>
      </w:r>
      <w:r w:rsidRPr="00C54A03">
        <w:rPr>
          <w:color w:val="000000" w:themeColor="text1"/>
          <w:spacing w:val="-1"/>
        </w:rPr>
        <w:t xml:space="preserve"> </w:t>
      </w:r>
      <w:r w:rsidRPr="00C54A03">
        <w:rPr>
          <w:color w:val="000000" w:themeColor="text1"/>
        </w:rPr>
        <w:t>nivel național.</w:t>
      </w:r>
    </w:p>
    <w:p w14:paraId="06F041AA" w14:textId="77777777" w:rsidR="00862257" w:rsidRPr="00C54A03" w:rsidRDefault="00862257" w:rsidP="008E33FD">
      <w:pPr>
        <w:widowControl w:val="0"/>
        <w:autoSpaceDE w:val="0"/>
        <w:autoSpaceDN w:val="0"/>
        <w:ind w:right="253"/>
        <w:jc w:val="both"/>
        <w:rPr>
          <w:color w:val="000000" w:themeColor="text1"/>
        </w:rPr>
      </w:pPr>
    </w:p>
    <w:p w14:paraId="4A13D0E7" w14:textId="77777777" w:rsidR="00E13976" w:rsidRPr="00C54A03" w:rsidRDefault="00862257" w:rsidP="008E33FD">
      <w:pPr>
        <w:widowControl w:val="0"/>
        <w:tabs>
          <w:tab w:val="left" w:pos="1448"/>
        </w:tabs>
        <w:autoSpaceDE w:val="0"/>
        <w:autoSpaceDN w:val="0"/>
        <w:spacing w:before="70" w:line="242" w:lineRule="auto"/>
        <w:ind w:right="306"/>
        <w:jc w:val="both"/>
        <w:outlineLvl w:val="0"/>
        <w:rPr>
          <w:rFonts w:eastAsia="Cambria"/>
          <w:b/>
          <w:bCs/>
          <w:color w:val="000000" w:themeColor="text1"/>
        </w:rPr>
      </w:pPr>
      <w:r w:rsidRPr="00C54A03">
        <w:rPr>
          <w:rFonts w:eastAsia="Cambria"/>
          <w:b/>
          <w:bCs/>
          <w:color w:val="000000" w:themeColor="text1"/>
        </w:rPr>
        <w:t>Evaluarea stării de conservare a habitatelor de</w:t>
      </w:r>
      <w:r w:rsidR="001B40A5" w:rsidRPr="00C54A03">
        <w:rPr>
          <w:rFonts w:eastAsia="Cambria"/>
          <w:b/>
          <w:bCs/>
          <w:color w:val="000000" w:themeColor="text1"/>
        </w:rPr>
        <w:t xml:space="preserve"> </w:t>
      </w:r>
      <w:r w:rsidR="00E13976" w:rsidRPr="00C54A03">
        <w:rPr>
          <w:rFonts w:eastAsia="Cambria"/>
          <w:b/>
          <w:bCs/>
          <w:color w:val="000000" w:themeColor="text1"/>
          <w:spacing w:val="-68"/>
        </w:rPr>
        <w:t xml:space="preserve"> </w:t>
      </w:r>
      <w:r w:rsidRPr="00C54A03">
        <w:rPr>
          <w:rFonts w:eastAsia="Cambria"/>
          <w:b/>
          <w:bCs/>
          <w:color w:val="000000" w:themeColor="text1"/>
        </w:rPr>
        <w:t>mlaștini</w:t>
      </w:r>
      <w:r w:rsidR="00E13976" w:rsidRPr="00C54A03">
        <w:rPr>
          <w:rFonts w:eastAsia="Cambria"/>
          <w:b/>
          <w:bCs/>
          <w:color w:val="000000" w:themeColor="text1"/>
          <w:spacing w:val="-3"/>
        </w:rPr>
        <w:t xml:space="preserve"> </w:t>
      </w:r>
      <w:r w:rsidRPr="00C54A03">
        <w:rPr>
          <w:rFonts w:eastAsia="Cambria"/>
          <w:b/>
          <w:bCs/>
          <w:color w:val="000000" w:themeColor="text1"/>
        </w:rPr>
        <w:t>și turbării</w:t>
      </w:r>
    </w:p>
    <w:p w14:paraId="754205F5" w14:textId="77777777" w:rsidR="00E13976" w:rsidRPr="00C54A03" w:rsidRDefault="00E13976" w:rsidP="008E33FD">
      <w:pPr>
        <w:widowControl w:val="0"/>
        <w:autoSpaceDE w:val="0"/>
        <w:autoSpaceDN w:val="0"/>
        <w:spacing w:before="6"/>
        <w:jc w:val="both"/>
        <w:rPr>
          <w:b/>
          <w:color w:val="000000" w:themeColor="text1"/>
        </w:rPr>
      </w:pPr>
    </w:p>
    <w:p w14:paraId="00EB7242" w14:textId="77777777" w:rsidR="00E13976" w:rsidRPr="00C54A03" w:rsidRDefault="00E13976" w:rsidP="008E33FD">
      <w:pPr>
        <w:widowControl w:val="0"/>
        <w:tabs>
          <w:tab w:val="left" w:pos="1208"/>
        </w:tabs>
        <w:autoSpaceDE w:val="0"/>
        <w:autoSpaceDN w:val="0"/>
        <w:jc w:val="both"/>
        <w:outlineLvl w:val="1"/>
        <w:rPr>
          <w:rFonts w:eastAsia="Cambria"/>
          <w:b/>
          <w:bCs/>
          <w:color w:val="000000" w:themeColor="text1"/>
        </w:rPr>
      </w:pPr>
      <w:r w:rsidRPr="00C54A03">
        <w:rPr>
          <w:rFonts w:eastAsia="Cambria"/>
          <w:b/>
          <w:bCs/>
          <w:color w:val="000000" w:themeColor="text1"/>
        </w:rPr>
        <w:t>Metodologia</w:t>
      </w:r>
      <w:r w:rsidRPr="00C54A03">
        <w:rPr>
          <w:rFonts w:eastAsia="Cambria"/>
          <w:b/>
          <w:bCs/>
          <w:color w:val="000000" w:themeColor="text1"/>
          <w:spacing w:val="-3"/>
        </w:rPr>
        <w:t xml:space="preserve"> </w:t>
      </w:r>
      <w:r w:rsidRPr="00C54A03">
        <w:rPr>
          <w:rFonts w:eastAsia="Cambria"/>
          <w:b/>
          <w:bCs/>
          <w:color w:val="000000" w:themeColor="text1"/>
        </w:rPr>
        <w:t>de</w:t>
      </w:r>
      <w:r w:rsidRPr="00C54A03">
        <w:rPr>
          <w:rFonts w:eastAsia="Cambria"/>
          <w:b/>
          <w:bCs/>
          <w:color w:val="000000" w:themeColor="text1"/>
          <w:spacing w:val="-6"/>
        </w:rPr>
        <w:t xml:space="preserve"> </w:t>
      </w:r>
      <w:r w:rsidRPr="00C54A03">
        <w:rPr>
          <w:rFonts w:eastAsia="Cambria"/>
          <w:b/>
          <w:bCs/>
          <w:color w:val="000000" w:themeColor="text1"/>
        </w:rPr>
        <w:t>agregare</w:t>
      </w:r>
      <w:r w:rsidRPr="00C54A03">
        <w:rPr>
          <w:rFonts w:eastAsia="Cambria"/>
          <w:b/>
          <w:bCs/>
          <w:color w:val="000000" w:themeColor="text1"/>
          <w:spacing w:val="-4"/>
        </w:rPr>
        <w:t xml:space="preserve"> </w:t>
      </w:r>
      <w:r w:rsidRPr="00C54A03">
        <w:rPr>
          <w:rFonts w:eastAsia="Cambria"/>
          <w:b/>
          <w:bCs/>
          <w:color w:val="000000" w:themeColor="text1"/>
        </w:rPr>
        <w:t>a</w:t>
      </w:r>
      <w:r w:rsidRPr="00C54A03">
        <w:rPr>
          <w:rFonts w:eastAsia="Cambria"/>
          <w:b/>
          <w:bCs/>
          <w:color w:val="000000" w:themeColor="text1"/>
          <w:spacing w:val="-2"/>
        </w:rPr>
        <w:t xml:space="preserve"> </w:t>
      </w:r>
      <w:r w:rsidRPr="00C54A03">
        <w:rPr>
          <w:rFonts w:eastAsia="Cambria"/>
          <w:b/>
          <w:bCs/>
          <w:color w:val="000000" w:themeColor="text1"/>
        </w:rPr>
        <w:t>datelor</w:t>
      </w:r>
    </w:p>
    <w:p w14:paraId="638AF0F7" w14:textId="77777777" w:rsidR="00E13976" w:rsidRPr="00C54A03" w:rsidRDefault="00E13976" w:rsidP="008E33FD">
      <w:pPr>
        <w:widowControl w:val="0"/>
        <w:autoSpaceDE w:val="0"/>
        <w:autoSpaceDN w:val="0"/>
        <w:spacing w:before="157"/>
        <w:ind w:right="250"/>
        <w:jc w:val="both"/>
        <w:rPr>
          <w:color w:val="000000" w:themeColor="text1"/>
        </w:rPr>
      </w:pPr>
      <w:r w:rsidRPr="00C54A03">
        <w:rPr>
          <w:color w:val="000000" w:themeColor="text1"/>
        </w:rPr>
        <w:t>Observațiile directe evaluate de către experții în biodiversitate, selectați pentru evaluarea habitatelor</w:t>
      </w:r>
      <w:r w:rsidRPr="00C54A03">
        <w:rPr>
          <w:color w:val="000000" w:themeColor="text1"/>
          <w:spacing w:val="-57"/>
        </w:rPr>
        <w:t xml:space="preserve"> </w:t>
      </w:r>
      <w:r w:rsidRPr="00C54A03">
        <w:rPr>
          <w:color w:val="000000" w:themeColor="text1"/>
        </w:rPr>
        <w:lastRenderedPageBreak/>
        <w:t>țintă, utilizează tehnologiile de ultimă generație atât în ceea ce privește unități GPS și aplicații</w:t>
      </w:r>
      <w:r w:rsidRPr="00C54A03">
        <w:rPr>
          <w:color w:val="000000" w:themeColor="text1"/>
          <w:spacing w:val="1"/>
        </w:rPr>
        <w:t xml:space="preserve"> </w:t>
      </w:r>
      <w:r w:rsidRPr="00C54A03">
        <w:rPr>
          <w:color w:val="000000" w:themeColor="text1"/>
        </w:rPr>
        <w:t>mobile</w:t>
      </w:r>
      <w:r w:rsidRPr="00C54A03">
        <w:rPr>
          <w:color w:val="000000" w:themeColor="text1"/>
          <w:spacing w:val="14"/>
        </w:rPr>
        <w:t xml:space="preserve"> </w:t>
      </w:r>
      <w:r w:rsidRPr="00C54A03">
        <w:rPr>
          <w:color w:val="000000" w:themeColor="text1"/>
        </w:rPr>
        <w:t>de</w:t>
      </w:r>
      <w:r w:rsidRPr="00C54A03">
        <w:rPr>
          <w:color w:val="000000" w:themeColor="text1"/>
          <w:spacing w:val="14"/>
        </w:rPr>
        <w:t xml:space="preserve"> </w:t>
      </w:r>
      <w:r w:rsidRPr="00C54A03">
        <w:rPr>
          <w:color w:val="000000" w:themeColor="text1"/>
        </w:rPr>
        <w:t>colectare</w:t>
      </w:r>
      <w:r w:rsidRPr="00C54A03">
        <w:rPr>
          <w:color w:val="000000" w:themeColor="text1"/>
          <w:spacing w:val="14"/>
        </w:rPr>
        <w:t xml:space="preserve"> </w:t>
      </w:r>
      <w:r w:rsidRPr="00C54A03">
        <w:rPr>
          <w:color w:val="000000" w:themeColor="text1"/>
        </w:rPr>
        <w:t>a</w:t>
      </w:r>
      <w:r w:rsidRPr="00C54A03">
        <w:rPr>
          <w:color w:val="000000" w:themeColor="text1"/>
          <w:spacing w:val="14"/>
        </w:rPr>
        <w:t xml:space="preserve"> </w:t>
      </w:r>
      <w:r w:rsidRPr="00C54A03">
        <w:rPr>
          <w:color w:val="000000" w:themeColor="text1"/>
        </w:rPr>
        <w:t>datelor</w:t>
      </w:r>
      <w:r w:rsidRPr="00C54A03">
        <w:rPr>
          <w:color w:val="000000" w:themeColor="text1"/>
          <w:spacing w:val="14"/>
        </w:rPr>
        <w:t xml:space="preserve"> </w:t>
      </w:r>
      <w:r w:rsidRPr="00C54A03">
        <w:rPr>
          <w:color w:val="000000" w:themeColor="text1"/>
        </w:rPr>
        <w:t>din</w:t>
      </w:r>
      <w:r w:rsidRPr="00C54A03">
        <w:rPr>
          <w:color w:val="000000" w:themeColor="text1"/>
          <w:spacing w:val="16"/>
        </w:rPr>
        <w:t xml:space="preserve"> </w:t>
      </w:r>
      <w:r w:rsidRPr="00C54A03">
        <w:rPr>
          <w:color w:val="000000" w:themeColor="text1"/>
        </w:rPr>
        <w:t>teren.</w:t>
      </w:r>
      <w:r w:rsidRPr="00C54A03">
        <w:rPr>
          <w:color w:val="000000" w:themeColor="text1"/>
          <w:spacing w:val="15"/>
        </w:rPr>
        <w:t xml:space="preserve"> </w:t>
      </w:r>
      <w:r w:rsidRPr="00C54A03">
        <w:rPr>
          <w:color w:val="000000" w:themeColor="text1"/>
        </w:rPr>
        <w:t>Fișele</w:t>
      </w:r>
      <w:r w:rsidRPr="00C54A03">
        <w:rPr>
          <w:color w:val="000000" w:themeColor="text1"/>
          <w:spacing w:val="15"/>
        </w:rPr>
        <w:t xml:space="preserve"> </w:t>
      </w:r>
      <w:r w:rsidRPr="00C54A03">
        <w:rPr>
          <w:color w:val="000000" w:themeColor="text1"/>
        </w:rPr>
        <w:t>de</w:t>
      </w:r>
      <w:r w:rsidRPr="00C54A03">
        <w:rPr>
          <w:color w:val="000000" w:themeColor="text1"/>
          <w:spacing w:val="15"/>
        </w:rPr>
        <w:t xml:space="preserve"> </w:t>
      </w:r>
      <w:r w:rsidRPr="00C54A03">
        <w:rPr>
          <w:color w:val="000000" w:themeColor="text1"/>
        </w:rPr>
        <w:t>teren</w:t>
      </w:r>
      <w:r w:rsidRPr="00C54A03">
        <w:rPr>
          <w:color w:val="000000" w:themeColor="text1"/>
          <w:spacing w:val="15"/>
        </w:rPr>
        <w:t xml:space="preserve"> </w:t>
      </w:r>
      <w:r w:rsidRPr="00C54A03">
        <w:rPr>
          <w:color w:val="000000" w:themeColor="text1"/>
        </w:rPr>
        <w:t>completate</w:t>
      </w:r>
      <w:r w:rsidRPr="00C54A03">
        <w:rPr>
          <w:color w:val="000000" w:themeColor="text1"/>
          <w:spacing w:val="14"/>
        </w:rPr>
        <w:t xml:space="preserve"> </w:t>
      </w:r>
      <w:r w:rsidRPr="00C54A03">
        <w:rPr>
          <w:color w:val="000000" w:themeColor="text1"/>
        </w:rPr>
        <w:t>descriu</w:t>
      </w:r>
      <w:r w:rsidRPr="00C54A03">
        <w:rPr>
          <w:color w:val="000000" w:themeColor="text1"/>
          <w:spacing w:val="17"/>
        </w:rPr>
        <w:t xml:space="preserve"> </w:t>
      </w:r>
      <w:r w:rsidRPr="00C54A03">
        <w:rPr>
          <w:color w:val="000000" w:themeColor="text1"/>
        </w:rPr>
        <w:t>caracteristici</w:t>
      </w:r>
      <w:r w:rsidRPr="00C54A03">
        <w:rPr>
          <w:color w:val="000000" w:themeColor="text1"/>
          <w:spacing w:val="22"/>
        </w:rPr>
        <w:t xml:space="preserve"> </w:t>
      </w:r>
      <w:r w:rsidRPr="00C54A03">
        <w:rPr>
          <w:color w:val="000000" w:themeColor="text1"/>
        </w:rPr>
        <w:t>structurale</w:t>
      </w:r>
      <w:r w:rsidRPr="00C54A03">
        <w:rPr>
          <w:color w:val="000000" w:themeColor="text1"/>
          <w:spacing w:val="-58"/>
        </w:rPr>
        <w:t xml:space="preserve"> </w:t>
      </w:r>
      <w:r w:rsidRPr="00C54A03">
        <w:rPr>
          <w:color w:val="000000" w:themeColor="text1"/>
        </w:rPr>
        <w:t>și funcționale ale habitatelor, precum și presiuni identificate, informațiile astfel colectate intră într-</w:t>
      </w:r>
      <w:r w:rsidRPr="00C54A03">
        <w:rPr>
          <w:color w:val="000000" w:themeColor="text1"/>
          <w:spacing w:val="1"/>
        </w:rPr>
        <w:t xml:space="preserve"> </w:t>
      </w:r>
      <w:r w:rsidRPr="00C54A03">
        <w:rPr>
          <w:color w:val="000000" w:themeColor="text1"/>
        </w:rPr>
        <w:t>un prim proces de agregare (primul nivel) în care fiecare fișă are asociat o localizare stațială cu</w:t>
      </w:r>
      <w:r w:rsidRPr="00C54A03">
        <w:rPr>
          <w:color w:val="000000" w:themeColor="text1"/>
          <w:spacing w:val="1"/>
        </w:rPr>
        <w:t xml:space="preserve"> </w:t>
      </w:r>
      <w:r w:rsidRPr="00C54A03">
        <w:rPr>
          <w:color w:val="000000" w:themeColor="text1"/>
        </w:rPr>
        <w:t>precizie</w:t>
      </w:r>
      <w:r w:rsidRPr="00C54A03">
        <w:rPr>
          <w:color w:val="000000" w:themeColor="text1"/>
          <w:spacing w:val="1"/>
        </w:rPr>
        <w:t xml:space="preserve"> </w:t>
      </w:r>
      <w:r w:rsidRPr="00C54A03">
        <w:rPr>
          <w:color w:val="000000" w:themeColor="text1"/>
        </w:rPr>
        <w:t>metrică</w:t>
      </w:r>
      <w:r w:rsidRPr="00C54A03">
        <w:rPr>
          <w:color w:val="000000" w:themeColor="text1"/>
          <w:spacing w:val="1"/>
        </w:rPr>
        <w:t xml:space="preserve"> </w:t>
      </w:r>
      <w:r w:rsidRPr="00C54A03">
        <w:rPr>
          <w:color w:val="000000" w:themeColor="text1"/>
        </w:rPr>
        <w:t>(1-3</w:t>
      </w:r>
      <w:r w:rsidRPr="00C54A03">
        <w:rPr>
          <w:color w:val="000000" w:themeColor="text1"/>
          <w:spacing w:val="1"/>
        </w:rPr>
        <w:t xml:space="preserve"> </w:t>
      </w:r>
      <w:r w:rsidRPr="00C54A03">
        <w:rPr>
          <w:color w:val="000000" w:themeColor="text1"/>
        </w:rPr>
        <w:t>m)</w:t>
      </w:r>
      <w:r w:rsidRPr="00C54A03">
        <w:rPr>
          <w:color w:val="000000" w:themeColor="text1"/>
          <w:spacing w:val="1"/>
        </w:rPr>
        <w:t xml:space="preserve"> </w:t>
      </w:r>
      <w:r w:rsidRPr="00C54A03">
        <w:rPr>
          <w:color w:val="000000" w:themeColor="text1"/>
        </w:rPr>
        <w:t>se</w:t>
      </w:r>
      <w:r w:rsidRPr="00C54A03">
        <w:rPr>
          <w:color w:val="000000" w:themeColor="text1"/>
          <w:spacing w:val="1"/>
        </w:rPr>
        <w:t xml:space="preserve"> </w:t>
      </w:r>
      <w:r w:rsidRPr="00C54A03">
        <w:rPr>
          <w:color w:val="000000" w:themeColor="text1"/>
        </w:rPr>
        <w:t>agregă</w:t>
      </w:r>
      <w:r w:rsidRPr="00C54A03">
        <w:rPr>
          <w:color w:val="000000" w:themeColor="text1"/>
          <w:spacing w:val="1"/>
        </w:rPr>
        <w:t xml:space="preserve"> </w:t>
      </w:r>
      <w:r w:rsidRPr="00C54A03">
        <w:rPr>
          <w:color w:val="000000" w:themeColor="text1"/>
        </w:rPr>
        <w:t>într-un</w:t>
      </w:r>
      <w:r w:rsidRPr="00C54A03">
        <w:rPr>
          <w:color w:val="000000" w:themeColor="text1"/>
          <w:spacing w:val="1"/>
        </w:rPr>
        <w:t xml:space="preserve"> </w:t>
      </w:r>
      <w:r w:rsidRPr="00C54A03">
        <w:rPr>
          <w:color w:val="000000" w:themeColor="text1"/>
        </w:rPr>
        <w:t>plot</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10</w:t>
      </w:r>
      <w:r w:rsidRPr="00C54A03">
        <w:rPr>
          <w:color w:val="000000" w:themeColor="text1"/>
          <w:spacing w:val="1"/>
        </w:rPr>
        <w:t xml:space="preserve"> </w:t>
      </w:r>
      <w:r w:rsidRPr="00C54A03">
        <w:rPr>
          <w:color w:val="000000" w:themeColor="text1"/>
        </w:rPr>
        <w:t>x</w:t>
      </w:r>
      <w:r w:rsidRPr="00C54A03">
        <w:rPr>
          <w:color w:val="000000" w:themeColor="text1"/>
          <w:spacing w:val="1"/>
        </w:rPr>
        <w:t xml:space="preserve"> </w:t>
      </w:r>
      <w:r w:rsidRPr="00C54A03">
        <w:rPr>
          <w:color w:val="000000" w:themeColor="text1"/>
        </w:rPr>
        <w:t>10</w:t>
      </w:r>
      <w:r w:rsidRPr="00C54A03">
        <w:rPr>
          <w:color w:val="000000" w:themeColor="text1"/>
          <w:spacing w:val="1"/>
        </w:rPr>
        <w:t xml:space="preserve"> </w:t>
      </w:r>
      <w:r w:rsidRPr="00C54A03">
        <w:rPr>
          <w:color w:val="000000" w:themeColor="text1"/>
        </w:rPr>
        <w:t>km.</w:t>
      </w:r>
      <w:r w:rsidRPr="00C54A03">
        <w:rPr>
          <w:color w:val="000000" w:themeColor="text1"/>
          <w:spacing w:val="1"/>
        </w:rPr>
        <w:t xml:space="preserve"> </w:t>
      </w:r>
      <w:r w:rsidRPr="00C54A03">
        <w:rPr>
          <w:color w:val="000000" w:themeColor="text1"/>
        </w:rPr>
        <w:t>Această</w:t>
      </w:r>
      <w:r w:rsidRPr="00C54A03">
        <w:rPr>
          <w:color w:val="000000" w:themeColor="text1"/>
          <w:spacing w:val="1"/>
        </w:rPr>
        <w:t xml:space="preserve"> </w:t>
      </w:r>
      <w:r w:rsidRPr="00C54A03">
        <w:rPr>
          <w:color w:val="000000" w:themeColor="text1"/>
        </w:rPr>
        <w:t>agregare</w:t>
      </w:r>
      <w:r w:rsidRPr="00C54A03">
        <w:rPr>
          <w:color w:val="000000" w:themeColor="text1"/>
          <w:spacing w:val="1"/>
        </w:rPr>
        <w:t xml:space="preserve"> </w:t>
      </w:r>
      <w:r w:rsidRPr="00C54A03">
        <w:rPr>
          <w:color w:val="000000" w:themeColor="text1"/>
        </w:rPr>
        <w:t>permite</w:t>
      </w:r>
      <w:r w:rsidRPr="00C54A03">
        <w:rPr>
          <w:color w:val="000000" w:themeColor="text1"/>
          <w:spacing w:val="1"/>
        </w:rPr>
        <w:t xml:space="preserve"> </w:t>
      </w:r>
      <w:r w:rsidRPr="00C54A03">
        <w:rPr>
          <w:color w:val="000000" w:themeColor="text1"/>
        </w:rPr>
        <w:t>caracterizarea variabilității interne a habitatului țintă la nivelul unui plot. Plotul reprezintă unitatea</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bază</w:t>
      </w:r>
      <w:r w:rsidRPr="00C54A03">
        <w:rPr>
          <w:color w:val="000000" w:themeColor="text1"/>
          <w:spacing w:val="1"/>
        </w:rPr>
        <w:t xml:space="preserve"> </w:t>
      </w:r>
      <w:r w:rsidRPr="00C54A03">
        <w:rPr>
          <w:color w:val="000000" w:themeColor="text1"/>
        </w:rPr>
        <w:t>pentru</w:t>
      </w:r>
      <w:r w:rsidRPr="00C54A03">
        <w:rPr>
          <w:color w:val="000000" w:themeColor="text1"/>
          <w:spacing w:val="1"/>
        </w:rPr>
        <w:t xml:space="preserve"> </w:t>
      </w:r>
      <w:r w:rsidRPr="00C54A03">
        <w:rPr>
          <w:color w:val="000000" w:themeColor="text1"/>
        </w:rPr>
        <w:t>evaluare.</w:t>
      </w:r>
      <w:r w:rsidRPr="00C54A03">
        <w:rPr>
          <w:color w:val="000000" w:themeColor="text1"/>
          <w:spacing w:val="1"/>
        </w:rPr>
        <w:t xml:space="preserve"> </w:t>
      </w:r>
      <w:r w:rsidRPr="00C54A03">
        <w:rPr>
          <w:color w:val="000000" w:themeColor="text1"/>
        </w:rPr>
        <w:t>Metodele</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evaluare</w:t>
      </w:r>
      <w:r w:rsidRPr="00C54A03">
        <w:rPr>
          <w:color w:val="000000" w:themeColor="text1"/>
          <w:spacing w:val="1"/>
        </w:rPr>
        <w:t xml:space="preserve"> </w:t>
      </w:r>
      <w:r w:rsidRPr="00C54A03">
        <w:rPr>
          <w:color w:val="000000" w:themeColor="text1"/>
        </w:rPr>
        <w:t>se</w:t>
      </w:r>
      <w:r w:rsidRPr="00C54A03">
        <w:rPr>
          <w:color w:val="000000" w:themeColor="text1"/>
          <w:spacing w:val="1"/>
        </w:rPr>
        <w:t xml:space="preserve"> </w:t>
      </w:r>
      <w:r w:rsidRPr="00C54A03">
        <w:rPr>
          <w:color w:val="000000" w:themeColor="text1"/>
        </w:rPr>
        <w:t>realizează</w:t>
      </w:r>
      <w:r w:rsidRPr="00C54A03">
        <w:rPr>
          <w:color w:val="000000" w:themeColor="text1"/>
          <w:spacing w:val="1"/>
        </w:rPr>
        <w:t xml:space="preserve"> </w:t>
      </w:r>
      <w:r w:rsidRPr="00C54A03">
        <w:rPr>
          <w:color w:val="000000" w:themeColor="text1"/>
        </w:rPr>
        <w:t>fie</w:t>
      </w:r>
      <w:r w:rsidRPr="00C54A03">
        <w:rPr>
          <w:color w:val="000000" w:themeColor="text1"/>
          <w:spacing w:val="1"/>
        </w:rPr>
        <w:t xml:space="preserve"> </w:t>
      </w:r>
      <w:r w:rsidRPr="00C54A03">
        <w:rPr>
          <w:color w:val="000000" w:themeColor="text1"/>
        </w:rPr>
        <w:t>prin</w:t>
      </w:r>
      <w:r w:rsidRPr="00C54A03">
        <w:rPr>
          <w:color w:val="000000" w:themeColor="text1"/>
          <w:spacing w:val="1"/>
        </w:rPr>
        <w:t xml:space="preserve"> </w:t>
      </w:r>
      <w:r w:rsidRPr="00C54A03">
        <w:rPr>
          <w:color w:val="000000" w:themeColor="text1"/>
        </w:rPr>
        <w:t>evaluarea</w:t>
      </w:r>
      <w:r w:rsidRPr="00C54A03">
        <w:rPr>
          <w:color w:val="000000" w:themeColor="text1"/>
          <w:spacing w:val="1"/>
        </w:rPr>
        <w:t xml:space="preserve"> </w:t>
      </w:r>
      <w:r w:rsidRPr="00C54A03">
        <w:rPr>
          <w:color w:val="000000" w:themeColor="text1"/>
        </w:rPr>
        <w:t>completă</w:t>
      </w:r>
      <w:r w:rsidRPr="00C54A03">
        <w:rPr>
          <w:color w:val="000000" w:themeColor="text1"/>
          <w:spacing w:val="60"/>
        </w:rPr>
        <w:t xml:space="preserve"> </w:t>
      </w:r>
      <w:r w:rsidRPr="00C54A03">
        <w:rPr>
          <w:color w:val="000000" w:themeColor="text1"/>
        </w:rPr>
        <w:t>a</w:t>
      </w:r>
      <w:r w:rsidRPr="00C54A03">
        <w:rPr>
          <w:color w:val="000000" w:themeColor="text1"/>
          <w:spacing w:val="1"/>
        </w:rPr>
        <w:t xml:space="preserve"> </w:t>
      </w:r>
      <w:r w:rsidRPr="00C54A03">
        <w:rPr>
          <w:color w:val="000000" w:themeColor="text1"/>
        </w:rPr>
        <w:t>habitatului</w:t>
      </w:r>
      <w:r w:rsidRPr="00C54A03">
        <w:rPr>
          <w:color w:val="000000" w:themeColor="text1"/>
          <w:spacing w:val="44"/>
        </w:rPr>
        <w:t xml:space="preserve"> </w:t>
      </w:r>
      <w:r w:rsidRPr="00C54A03">
        <w:rPr>
          <w:color w:val="000000" w:themeColor="text1"/>
        </w:rPr>
        <w:t>țintă</w:t>
      </w:r>
      <w:r w:rsidRPr="00C54A03">
        <w:rPr>
          <w:color w:val="000000" w:themeColor="text1"/>
          <w:spacing w:val="43"/>
        </w:rPr>
        <w:t xml:space="preserve"> </w:t>
      </w:r>
      <w:r w:rsidRPr="00C54A03">
        <w:rPr>
          <w:color w:val="000000" w:themeColor="text1"/>
        </w:rPr>
        <w:t>(3</w:t>
      </w:r>
      <w:r w:rsidRPr="00C54A03">
        <w:rPr>
          <w:color w:val="000000" w:themeColor="text1"/>
          <w:spacing w:val="43"/>
        </w:rPr>
        <w:t xml:space="preserve"> </w:t>
      </w:r>
      <w:r w:rsidRPr="00C54A03">
        <w:rPr>
          <w:color w:val="000000" w:themeColor="text1"/>
        </w:rPr>
        <w:t>=</w:t>
      </w:r>
      <w:r w:rsidRPr="00C54A03">
        <w:rPr>
          <w:color w:val="000000" w:themeColor="text1"/>
          <w:spacing w:val="46"/>
        </w:rPr>
        <w:t xml:space="preserve"> </w:t>
      </w:r>
      <w:r w:rsidRPr="00C54A03">
        <w:rPr>
          <w:color w:val="000000" w:themeColor="text1"/>
        </w:rPr>
        <w:t>Complete</w:t>
      </w:r>
      <w:r w:rsidRPr="00C54A03">
        <w:rPr>
          <w:color w:val="000000" w:themeColor="text1"/>
          <w:spacing w:val="43"/>
        </w:rPr>
        <w:t xml:space="preserve"> </w:t>
      </w:r>
      <w:r w:rsidRPr="00C54A03">
        <w:rPr>
          <w:color w:val="000000" w:themeColor="text1"/>
        </w:rPr>
        <w:t>survey</w:t>
      </w:r>
      <w:r w:rsidRPr="00C54A03">
        <w:rPr>
          <w:color w:val="000000" w:themeColor="text1"/>
          <w:spacing w:val="41"/>
        </w:rPr>
        <w:t xml:space="preserve"> </w:t>
      </w:r>
      <w:r w:rsidRPr="00C54A03">
        <w:rPr>
          <w:color w:val="000000" w:themeColor="text1"/>
        </w:rPr>
        <w:t>or</w:t>
      </w:r>
      <w:r w:rsidRPr="00C54A03">
        <w:rPr>
          <w:color w:val="000000" w:themeColor="text1"/>
          <w:spacing w:val="47"/>
        </w:rPr>
        <w:t xml:space="preserve"> </w:t>
      </w:r>
      <w:r w:rsidRPr="00C54A03">
        <w:rPr>
          <w:color w:val="000000" w:themeColor="text1"/>
        </w:rPr>
        <w:t>a</w:t>
      </w:r>
      <w:r w:rsidRPr="00C54A03">
        <w:rPr>
          <w:color w:val="000000" w:themeColor="text1"/>
          <w:spacing w:val="43"/>
        </w:rPr>
        <w:t xml:space="preserve"> </w:t>
      </w:r>
      <w:r w:rsidRPr="00C54A03">
        <w:rPr>
          <w:color w:val="000000" w:themeColor="text1"/>
        </w:rPr>
        <w:t>statistically</w:t>
      </w:r>
      <w:r w:rsidRPr="00C54A03">
        <w:rPr>
          <w:color w:val="000000" w:themeColor="text1"/>
          <w:spacing w:val="39"/>
        </w:rPr>
        <w:t xml:space="preserve"> </w:t>
      </w:r>
      <w:r w:rsidRPr="00C54A03">
        <w:rPr>
          <w:color w:val="000000" w:themeColor="text1"/>
        </w:rPr>
        <w:t>robust</w:t>
      </w:r>
      <w:r w:rsidRPr="00C54A03">
        <w:rPr>
          <w:color w:val="000000" w:themeColor="text1"/>
          <w:spacing w:val="47"/>
        </w:rPr>
        <w:t xml:space="preserve"> </w:t>
      </w:r>
      <w:r w:rsidRPr="00C54A03">
        <w:rPr>
          <w:color w:val="000000" w:themeColor="text1"/>
        </w:rPr>
        <w:t>estimate);</w:t>
      </w:r>
      <w:r w:rsidRPr="00C54A03">
        <w:rPr>
          <w:color w:val="000000" w:themeColor="text1"/>
          <w:spacing w:val="44"/>
        </w:rPr>
        <w:t xml:space="preserve"> </w:t>
      </w:r>
      <w:r w:rsidRPr="00C54A03">
        <w:rPr>
          <w:color w:val="000000" w:themeColor="text1"/>
        </w:rPr>
        <w:t>când</w:t>
      </w:r>
      <w:r w:rsidRPr="00C54A03">
        <w:rPr>
          <w:color w:val="000000" w:themeColor="text1"/>
          <w:spacing w:val="46"/>
        </w:rPr>
        <w:t xml:space="preserve"> </w:t>
      </w:r>
      <w:r w:rsidRPr="00C54A03">
        <w:rPr>
          <w:color w:val="000000" w:themeColor="text1"/>
        </w:rPr>
        <w:t>se</w:t>
      </w:r>
      <w:r w:rsidRPr="00C54A03">
        <w:rPr>
          <w:color w:val="000000" w:themeColor="text1"/>
          <w:spacing w:val="46"/>
        </w:rPr>
        <w:t xml:space="preserve"> </w:t>
      </w:r>
      <w:r w:rsidRPr="00C54A03">
        <w:rPr>
          <w:color w:val="000000" w:themeColor="text1"/>
        </w:rPr>
        <w:t>evaluează</w:t>
      </w:r>
      <w:r w:rsidRPr="00C54A03">
        <w:rPr>
          <w:color w:val="000000" w:themeColor="text1"/>
          <w:spacing w:val="44"/>
        </w:rPr>
        <w:t xml:space="preserve"> </w:t>
      </w:r>
      <w:r w:rsidRPr="00C54A03">
        <w:rPr>
          <w:color w:val="000000" w:themeColor="text1"/>
        </w:rPr>
        <w:t>un</w:t>
      </w:r>
      <w:r w:rsidRPr="00C54A03">
        <w:rPr>
          <w:color w:val="000000" w:themeColor="text1"/>
          <w:spacing w:val="-58"/>
        </w:rPr>
        <w:t xml:space="preserve"> </w:t>
      </w:r>
      <w:r w:rsidRPr="00C54A03">
        <w:rPr>
          <w:color w:val="000000" w:themeColor="text1"/>
        </w:rPr>
        <w:t>număr de ploturi mai mic decât numărul total în care avem habitatul confirmat (2= Estimate based</w:t>
      </w:r>
      <w:r w:rsidRPr="00C54A03">
        <w:rPr>
          <w:color w:val="000000" w:themeColor="text1"/>
          <w:spacing w:val="1"/>
        </w:rPr>
        <w:t xml:space="preserve"> </w:t>
      </w:r>
      <w:r w:rsidRPr="00C54A03">
        <w:rPr>
          <w:color w:val="000000" w:themeColor="text1"/>
        </w:rPr>
        <w:t>on partial data with some extrapolation and/or modelling); când se evaluează un număr foarte redus</w:t>
      </w:r>
      <w:r w:rsidRPr="00C54A03">
        <w:rPr>
          <w:color w:val="000000" w:themeColor="text1"/>
          <w:spacing w:val="1"/>
        </w:rPr>
        <w:t xml:space="preserve"> </w:t>
      </w:r>
      <w:r w:rsidRPr="00C54A03">
        <w:rPr>
          <w:color w:val="000000" w:themeColor="text1"/>
        </w:rPr>
        <w:t>de ploturi și se utilizează părerea expertului (1 = Estimate based on expert opinion with no or</w:t>
      </w:r>
      <w:r w:rsidRPr="00C54A03">
        <w:rPr>
          <w:color w:val="000000" w:themeColor="text1"/>
          <w:spacing w:val="1"/>
        </w:rPr>
        <w:t xml:space="preserve"> </w:t>
      </w:r>
      <w:r w:rsidRPr="00C54A03">
        <w:rPr>
          <w:color w:val="000000" w:themeColor="text1"/>
        </w:rPr>
        <w:t>minimal</w:t>
      </w:r>
      <w:r w:rsidRPr="00C54A03">
        <w:rPr>
          <w:color w:val="000000" w:themeColor="text1"/>
          <w:spacing w:val="1"/>
        </w:rPr>
        <w:t xml:space="preserve"> </w:t>
      </w:r>
      <w:r w:rsidRPr="00C54A03">
        <w:rPr>
          <w:color w:val="000000" w:themeColor="text1"/>
        </w:rPr>
        <w:t>sampling);</w:t>
      </w:r>
      <w:r w:rsidRPr="00C54A03">
        <w:rPr>
          <w:color w:val="000000" w:themeColor="text1"/>
          <w:spacing w:val="1"/>
        </w:rPr>
        <w:t xml:space="preserve"> </w:t>
      </w:r>
      <w:r w:rsidRPr="00C54A03">
        <w:rPr>
          <w:color w:val="000000" w:themeColor="text1"/>
        </w:rPr>
        <w:t>atunci</w:t>
      </w:r>
      <w:r w:rsidRPr="00C54A03">
        <w:rPr>
          <w:color w:val="000000" w:themeColor="text1"/>
          <w:spacing w:val="1"/>
        </w:rPr>
        <w:t xml:space="preserve"> </w:t>
      </w:r>
      <w:r w:rsidRPr="00C54A03">
        <w:rPr>
          <w:color w:val="000000" w:themeColor="text1"/>
        </w:rPr>
        <w:t>când</w:t>
      </w:r>
      <w:r w:rsidRPr="00C54A03">
        <w:rPr>
          <w:color w:val="000000" w:themeColor="text1"/>
          <w:spacing w:val="1"/>
        </w:rPr>
        <w:t xml:space="preserve"> </w:t>
      </w:r>
      <w:r w:rsidRPr="00C54A03">
        <w:rPr>
          <w:color w:val="000000" w:themeColor="text1"/>
        </w:rPr>
        <w:t>nu</w:t>
      </w:r>
      <w:r w:rsidRPr="00C54A03">
        <w:rPr>
          <w:color w:val="000000" w:themeColor="text1"/>
          <w:spacing w:val="1"/>
        </w:rPr>
        <w:t xml:space="preserve"> </w:t>
      </w:r>
      <w:r w:rsidRPr="00C54A03">
        <w:rPr>
          <w:color w:val="000000" w:themeColor="text1"/>
        </w:rPr>
        <w:t>se</w:t>
      </w:r>
      <w:r w:rsidRPr="00C54A03">
        <w:rPr>
          <w:color w:val="000000" w:themeColor="text1"/>
          <w:spacing w:val="1"/>
        </w:rPr>
        <w:t xml:space="preserve"> </w:t>
      </w:r>
      <w:r w:rsidRPr="00C54A03">
        <w:rPr>
          <w:color w:val="000000" w:themeColor="text1"/>
        </w:rPr>
        <w:t>evaluează</w:t>
      </w:r>
      <w:r w:rsidRPr="00C54A03">
        <w:rPr>
          <w:color w:val="000000" w:themeColor="text1"/>
          <w:spacing w:val="1"/>
        </w:rPr>
        <w:t xml:space="preserve"> </w:t>
      </w:r>
      <w:r w:rsidRPr="00C54A03">
        <w:rPr>
          <w:color w:val="000000" w:themeColor="text1"/>
        </w:rPr>
        <w:t>nici</w:t>
      </w:r>
      <w:r w:rsidRPr="00C54A03">
        <w:rPr>
          <w:color w:val="000000" w:themeColor="text1"/>
          <w:spacing w:val="1"/>
        </w:rPr>
        <w:t xml:space="preserve"> </w:t>
      </w:r>
      <w:r w:rsidRPr="00C54A03">
        <w:rPr>
          <w:color w:val="000000" w:themeColor="text1"/>
        </w:rPr>
        <w:t>un</w:t>
      </w:r>
      <w:r w:rsidRPr="00C54A03">
        <w:rPr>
          <w:color w:val="000000" w:themeColor="text1"/>
          <w:spacing w:val="1"/>
        </w:rPr>
        <w:t xml:space="preserve"> </w:t>
      </w:r>
      <w:r w:rsidRPr="00C54A03">
        <w:rPr>
          <w:color w:val="000000" w:themeColor="text1"/>
        </w:rPr>
        <w:t>plot</w:t>
      </w:r>
      <w:r w:rsidRPr="00C54A03">
        <w:rPr>
          <w:color w:val="000000" w:themeColor="text1"/>
          <w:spacing w:val="1"/>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raport</w:t>
      </w:r>
      <w:r w:rsidRPr="00C54A03">
        <w:rPr>
          <w:color w:val="000000" w:themeColor="text1"/>
          <w:spacing w:val="1"/>
        </w:rPr>
        <w:t xml:space="preserve"> </w:t>
      </w:r>
      <w:r w:rsidRPr="00C54A03">
        <w:rPr>
          <w:color w:val="000000" w:themeColor="text1"/>
        </w:rPr>
        <w:t>se</w:t>
      </w:r>
      <w:r w:rsidRPr="00C54A03">
        <w:rPr>
          <w:color w:val="000000" w:themeColor="text1"/>
          <w:spacing w:val="1"/>
        </w:rPr>
        <w:t xml:space="preserve"> </w:t>
      </w:r>
      <w:r w:rsidRPr="00C54A03">
        <w:rPr>
          <w:color w:val="000000" w:themeColor="text1"/>
        </w:rPr>
        <w:t>va</w:t>
      </w:r>
      <w:r w:rsidRPr="00C54A03">
        <w:rPr>
          <w:color w:val="000000" w:themeColor="text1"/>
          <w:spacing w:val="1"/>
        </w:rPr>
        <w:t xml:space="preserve"> </w:t>
      </w:r>
      <w:r w:rsidRPr="00C54A03">
        <w:rPr>
          <w:color w:val="000000" w:themeColor="text1"/>
        </w:rPr>
        <w:t>menționa</w:t>
      </w:r>
      <w:r w:rsidRPr="00C54A03">
        <w:rPr>
          <w:color w:val="000000" w:themeColor="text1"/>
          <w:spacing w:val="1"/>
        </w:rPr>
        <w:t xml:space="preserve"> </w:t>
      </w:r>
      <w:r w:rsidRPr="00C54A03">
        <w:rPr>
          <w:color w:val="000000" w:themeColor="text1"/>
        </w:rPr>
        <w:t>„date</w:t>
      </w:r>
      <w:r w:rsidRPr="00C54A03">
        <w:rPr>
          <w:color w:val="000000" w:themeColor="text1"/>
          <w:spacing w:val="-57"/>
        </w:rPr>
        <w:t xml:space="preserve"> </w:t>
      </w:r>
      <w:r w:rsidRPr="00C54A03">
        <w:rPr>
          <w:color w:val="000000" w:themeColor="text1"/>
        </w:rPr>
        <w:t>inexistente”</w:t>
      </w:r>
      <w:r w:rsidRPr="00C54A03">
        <w:rPr>
          <w:color w:val="000000" w:themeColor="text1"/>
          <w:spacing w:val="-3"/>
        </w:rPr>
        <w:t xml:space="preserve"> </w:t>
      </w:r>
      <w:r w:rsidRPr="00C54A03">
        <w:rPr>
          <w:color w:val="000000" w:themeColor="text1"/>
        </w:rPr>
        <w:t>(0 =</w:t>
      </w:r>
      <w:r w:rsidRPr="00C54A03">
        <w:rPr>
          <w:color w:val="000000" w:themeColor="text1"/>
          <w:spacing w:val="-1"/>
        </w:rPr>
        <w:t xml:space="preserve"> </w:t>
      </w:r>
      <w:r w:rsidRPr="00C54A03">
        <w:rPr>
          <w:color w:val="000000" w:themeColor="text1"/>
        </w:rPr>
        <w:t>Absent</w:t>
      </w:r>
      <w:r w:rsidRPr="00C54A03">
        <w:rPr>
          <w:color w:val="000000" w:themeColor="text1"/>
          <w:spacing w:val="2"/>
        </w:rPr>
        <w:t xml:space="preserve"> </w:t>
      </w:r>
      <w:r w:rsidRPr="00C54A03">
        <w:rPr>
          <w:color w:val="000000" w:themeColor="text1"/>
        </w:rPr>
        <w:t>data).</w:t>
      </w:r>
    </w:p>
    <w:p w14:paraId="644B2D43" w14:textId="77777777" w:rsidR="00862257" w:rsidRPr="00C54A03" w:rsidRDefault="00862257" w:rsidP="008E33FD">
      <w:pPr>
        <w:widowControl w:val="0"/>
        <w:autoSpaceDE w:val="0"/>
        <w:autoSpaceDN w:val="0"/>
        <w:spacing w:before="157"/>
        <w:ind w:right="250"/>
        <w:jc w:val="both"/>
        <w:rPr>
          <w:color w:val="000000" w:themeColor="text1"/>
        </w:rPr>
      </w:pPr>
    </w:p>
    <w:p w14:paraId="33146079" w14:textId="77777777" w:rsidR="00E13976" w:rsidRPr="00C54A03" w:rsidRDefault="00E13976" w:rsidP="008E33FD">
      <w:pPr>
        <w:widowControl w:val="0"/>
        <w:tabs>
          <w:tab w:val="left" w:pos="1208"/>
        </w:tabs>
        <w:autoSpaceDE w:val="0"/>
        <w:autoSpaceDN w:val="0"/>
        <w:jc w:val="both"/>
        <w:outlineLvl w:val="1"/>
        <w:rPr>
          <w:rFonts w:eastAsia="Cambria"/>
          <w:b/>
          <w:bCs/>
          <w:color w:val="000000" w:themeColor="text1"/>
        </w:rPr>
      </w:pPr>
      <w:r w:rsidRPr="00C54A03">
        <w:rPr>
          <w:rFonts w:eastAsia="Cambria"/>
          <w:b/>
          <w:bCs/>
          <w:color w:val="000000" w:themeColor="text1"/>
        </w:rPr>
        <w:t>Evaluarea</w:t>
      </w:r>
      <w:r w:rsidRPr="00C54A03">
        <w:rPr>
          <w:rFonts w:eastAsia="Cambria"/>
          <w:b/>
          <w:bCs/>
          <w:color w:val="000000" w:themeColor="text1"/>
          <w:spacing w:val="-4"/>
        </w:rPr>
        <w:t xml:space="preserve"> </w:t>
      </w:r>
      <w:r w:rsidRPr="00C54A03">
        <w:rPr>
          <w:rFonts w:eastAsia="Cambria"/>
          <w:b/>
          <w:bCs/>
          <w:color w:val="000000" w:themeColor="text1"/>
        </w:rPr>
        <w:t>stării</w:t>
      </w:r>
      <w:r w:rsidRPr="00C54A03">
        <w:rPr>
          <w:rFonts w:eastAsia="Cambria"/>
          <w:b/>
          <w:bCs/>
          <w:color w:val="000000" w:themeColor="text1"/>
          <w:spacing w:val="-5"/>
        </w:rPr>
        <w:t xml:space="preserve"> </w:t>
      </w:r>
      <w:r w:rsidRPr="00C54A03">
        <w:rPr>
          <w:rFonts w:eastAsia="Cambria"/>
          <w:b/>
          <w:bCs/>
          <w:color w:val="000000" w:themeColor="text1"/>
        </w:rPr>
        <w:t>de</w:t>
      </w:r>
      <w:r w:rsidRPr="00C54A03">
        <w:rPr>
          <w:rFonts w:eastAsia="Cambria"/>
          <w:b/>
          <w:bCs/>
          <w:color w:val="000000" w:themeColor="text1"/>
          <w:spacing w:val="-4"/>
        </w:rPr>
        <w:t xml:space="preserve"> </w:t>
      </w:r>
      <w:r w:rsidRPr="00C54A03">
        <w:rPr>
          <w:rFonts w:eastAsia="Cambria"/>
          <w:b/>
          <w:bCs/>
          <w:color w:val="000000" w:themeColor="text1"/>
        </w:rPr>
        <w:t>conservare</w:t>
      </w:r>
      <w:r w:rsidRPr="00C54A03">
        <w:rPr>
          <w:rFonts w:eastAsia="Cambria"/>
          <w:b/>
          <w:bCs/>
          <w:color w:val="000000" w:themeColor="text1"/>
          <w:spacing w:val="-4"/>
        </w:rPr>
        <w:t xml:space="preserve"> </w:t>
      </w:r>
      <w:r w:rsidRPr="00C54A03">
        <w:rPr>
          <w:rFonts w:eastAsia="Cambria"/>
          <w:b/>
          <w:bCs/>
          <w:color w:val="000000" w:themeColor="text1"/>
        </w:rPr>
        <w:t>pe</w:t>
      </w:r>
      <w:r w:rsidRPr="00C54A03">
        <w:rPr>
          <w:rFonts w:eastAsia="Cambria"/>
          <w:b/>
          <w:bCs/>
          <w:color w:val="000000" w:themeColor="text1"/>
          <w:spacing w:val="-5"/>
        </w:rPr>
        <w:t xml:space="preserve"> </w:t>
      </w:r>
      <w:r w:rsidRPr="00C54A03">
        <w:rPr>
          <w:rFonts w:eastAsia="Cambria"/>
          <w:b/>
          <w:bCs/>
          <w:color w:val="000000" w:themeColor="text1"/>
        </w:rPr>
        <w:t>bioregiune</w:t>
      </w:r>
    </w:p>
    <w:p w14:paraId="2FC5C279" w14:textId="77777777" w:rsidR="00E13976" w:rsidRPr="00C54A03" w:rsidRDefault="00E13976" w:rsidP="008E33FD">
      <w:pPr>
        <w:widowControl w:val="0"/>
        <w:autoSpaceDE w:val="0"/>
        <w:autoSpaceDN w:val="0"/>
        <w:spacing w:before="157"/>
        <w:ind w:right="255"/>
        <w:jc w:val="both"/>
        <w:rPr>
          <w:color w:val="000000" w:themeColor="text1"/>
        </w:rPr>
      </w:pPr>
      <w:r w:rsidRPr="00C54A03">
        <w:rPr>
          <w:color w:val="000000" w:themeColor="text1"/>
        </w:rPr>
        <w:t>Evaluarea stării de conservare se realizează într-un mod gregar pentru fiecare tip de habitat care a</w:t>
      </w:r>
      <w:r w:rsidRPr="00C54A03">
        <w:rPr>
          <w:color w:val="000000" w:themeColor="text1"/>
          <w:spacing w:val="1"/>
        </w:rPr>
        <w:t xml:space="preserve"> </w:t>
      </w:r>
      <w:r w:rsidRPr="00C54A03">
        <w:rPr>
          <w:color w:val="000000" w:themeColor="text1"/>
        </w:rPr>
        <w:t>fost inclus în checklist, raportarea realizându-se pentru habitatele prezente la nivel național în cele 5</w:t>
      </w:r>
      <w:r w:rsidRPr="00C54A03">
        <w:rPr>
          <w:color w:val="000000" w:themeColor="text1"/>
          <w:spacing w:val="-57"/>
        </w:rPr>
        <w:t xml:space="preserve"> </w:t>
      </w:r>
      <w:r w:rsidRPr="00C54A03">
        <w:rPr>
          <w:color w:val="000000" w:themeColor="text1"/>
        </w:rPr>
        <w:t>bioregiuni</w:t>
      </w:r>
      <w:r w:rsidRPr="00C54A03">
        <w:rPr>
          <w:color w:val="000000" w:themeColor="text1"/>
          <w:spacing w:val="-1"/>
        </w:rPr>
        <w:t xml:space="preserve"> </w:t>
      </w:r>
      <w:r w:rsidRPr="00C54A03">
        <w:rPr>
          <w:color w:val="000000" w:themeColor="text1"/>
        </w:rPr>
        <w:t>terestre</w:t>
      </w:r>
      <w:r w:rsidRPr="00C54A03">
        <w:rPr>
          <w:color w:val="000000" w:themeColor="text1"/>
          <w:spacing w:val="-1"/>
        </w:rPr>
        <w:t xml:space="preserve"> </w:t>
      </w:r>
      <w:r w:rsidRPr="00C54A03">
        <w:rPr>
          <w:color w:val="000000" w:themeColor="text1"/>
        </w:rPr>
        <w:t>și</w:t>
      </w:r>
      <w:r w:rsidRPr="00C54A03">
        <w:rPr>
          <w:color w:val="000000" w:themeColor="text1"/>
          <w:spacing w:val="-1"/>
        </w:rPr>
        <w:t xml:space="preserve"> </w:t>
      </w:r>
      <w:r w:rsidRPr="00C54A03">
        <w:rPr>
          <w:color w:val="000000" w:themeColor="text1"/>
        </w:rPr>
        <w:t>Regiunea</w:t>
      </w:r>
      <w:r w:rsidRPr="00C54A03">
        <w:rPr>
          <w:color w:val="000000" w:themeColor="text1"/>
          <w:spacing w:val="-2"/>
        </w:rPr>
        <w:t xml:space="preserve"> </w:t>
      </w:r>
      <w:r w:rsidRPr="00C54A03">
        <w:rPr>
          <w:color w:val="000000" w:themeColor="text1"/>
        </w:rPr>
        <w:t>marină Marea</w:t>
      </w:r>
      <w:r w:rsidRPr="00C54A03">
        <w:rPr>
          <w:color w:val="000000" w:themeColor="text1"/>
          <w:spacing w:val="-1"/>
        </w:rPr>
        <w:t xml:space="preserve"> </w:t>
      </w:r>
      <w:r w:rsidRPr="00C54A03">
        <w:rPr>
          <w:color w:val="000000" w:themeColor="text1"/>
        </w:rPr>
        <w:t>Neagră.</w:t>
      </w:r>
    </w:p>
    <w:p w14:paraId="50C25E7E" w14:textId="77777777" w:rsidR="00E13976" w:rsidRPr="00C54A03" w:rsidRDefault="00E13976" w:rsidP="008E33FD">
      <w:pPr>
        <w:widowControl w:val="0"/>
        <w:autoSpaceDE w:val="0"/>
        <w:autoSpaceDN w:val="0"/>
        <w:ind w:right="252"/>
        <w:jc w:val="both"/>
        <w:rPr>
          <w:color w:val="000000" w:themeColor="text1"/>
        </w:rPr>
      </w:pPr>
      <w:r w:rsidRPr="00C54A03">
        <w:rPr>
          <w:color w:val="000000" w:themeColor="text1"/>
        </w:rPr>
        <w:t>Simplificat, starea de conservare favorabilă poate fi descrisă ca situaţia în care un</w:t>
      </w:r>
      <w:r w:rsidRPr="00C54A03">
        <w:rPr>
          <w:color w:val="000000" w:themeColor="text1"/>
          <w:spacing w:val="60"/>
        </w:rPr>
        <w:t xml:space="preserve"> </w:t>
      </w:r>
      <w:r w:rsidRPr="00C54A03">
        <w:rPr>
          <w:color w:val="000000" w:themeColor="text1"/>
        </w:rPr>
        <w:t>tip de habitat sau</w:t>
      </w:r>
      <w:r w:rsidRPr="00C54A03">
        <w:rPr>
          <w:color w:val="000000" w:themeColor="text1"/>
          <w:spacing w:val="1"/>
        </w:rPr>
        <w:t xml:space="preserve"> </w:t>
      </w:r>
      <w:r w:rsidRPr="00C54A03">
        <w:rPr>
          <w:color w:val="000000" w:themeColor="text1"/>
        </w:rPr>
        <w:t>o specie prosperă (atât în ceea ce priveşte suprafaţa şi mărimea populaţiei, cât şi în ceea ce priveşte</w:t>
      </w:r>
      <w:r w:rsidRPr="00C54A03">
        <w:rPr>
          <w:color w:val="000000" w:themeColor="text1"/>
          <w:spacing w:val="1"/>
        </w:rPr>
        <w:t xml:space="preserve"> </w:t>
      </w:r>
      <w:r w:rsidRPr="00C54A03">
        <w:rPr>
          <w:color w:val="000000" w:themeColor="text1"/>
        </w:rPr>
        <w:t>calitatea populaţiei, inclusiv în sensul capacităţii de reproducere, structurii pe vârste, mortalităţii) şi</w:t>
      </w:r>
      <w:r w:rsidRPr="00C54A03">
        <w:rPr>
          <w:color w:val="000000" w:themeColor="text1"/>
          <w:spacing w:val="1"/>
        </w:rPr>
        <w:t xml:space="preserve"> </w:t>
      </w:r>
      <w:r w:rsidRPr="00C54A03">
        <w:rPr>
          <w:color w:val="000000" w:themeColor="text1"/>
        </w:rPr>
        <w:t>există perspectivele să prospere de asemenea şi în viitor fără modificări semnificative în politicile şi</w:t>
      </w:r>
      <w:r w:rsidRPr="00C54A03">
        <w:rPr>
          <w:color w:val="000000" w:themeColor="text1"/>
          <w:spacing w:val="1"/>
        </w:rPr>
        <w:t xml:space="preserve"> </w:t>
      </w:r>
      <w:r w:rsidRPr="00C54A03">
        <w:rPr>
          <w:color w:val="000000" w:themeColor="text1"/>
        </w:rPr>
        <w:t>managementul existent. Faptul că un tip de habitat sau o specie nu</w:t>
      </w:r>
      <w:r w:rsidRPr="00C54A03">
        <w:rPr>
          <w:color w:val="000000" w:themeColor="text1"/>
          <w:spacing w:val="1"/>
        </w:rPr>
        <w:t xml:space="preserve"> </w:t>
      </w:r>
      <w:r w:rsidRPr="00C54A03">
        <w:rPr>
          <w:color w:val="000000" w:themeColor="text1"/>
        </w:rPr>
        <w:t>sunt ameninţate (ex: nu există</w:t>
      </w:r>
      <w:r w:rsidRPr="00C54A03">
        <w:rPr>
          <w:color w:val="000000" w:themeColor="text1"/>
          <w:spacing w:val="1"/>
        </w:rPr>
        <w:t xml:space="preserve"> </w:t>
      </w:r>
      <w:r w:rsidRPr="00C54A03">
        <w:rPr>
          <w:color w:val="000000" w:themeColor="text1"/>
        </w:rPr>
        <w:t>nici un risc direct să devină extincte) nu înseamnă că acestea sunt în stare de conservare favorabilă.</w:t>
      </w:r>
      <w:r w:rsidRPr="00C54A03">
        <w:rPr>
          <w:color w:val="000000" w:themeColor="text1"/>
          <w:spacing w:val="1"/>
        </w:rPr>
        <w:t xml:space="preserve"> </w:t>
      </w:r>
      <w:r w:rsidRPr="00C54A03">
        <w:rPr>
          <w:color w:val="000000" w:themeColor="text1"/>
        </w:rPr>
        <w:t>Obiectivul directivei este</w:t>
      </w:r>
      <w:r w:rsidRPr="00C54A03">
        <w:rPr>
          <w:color w:val="000000" w:themeColor="text1"/>
          <w:spacing w:val="60"/>
        </w:rPr>
        <w:t xml:space="preserve"> </w:t>
      </w:r>
      <w:r w:rsidRPr="00C54A03">
        <w:rPr>
          <w:color w:val="000000" w:themeColor="text1"/>
        </w:rPr>
        <w:t>definit în termeni pozitivi, orientat spre o situaţie favorabilă care trebuie</w:t>
      </w:r>
      <w:r w:rsidRPr="00C54A03">
        <w:rPr>
          <w:color w:val="000000" w:themeColor="text1"/>
          <w:spacing w:val="1"/>
        </w:rPr>
        <w:t xml:space="preserve"> </w:t>
      </w:r>
      <w:r w:rsidRPr="00C54A03">
        <w:rPr>
          <w:color w:val="000000" w:themeColor="text1"/>
        </w:rPr>
        <w:t>să fie definită, atinsă și/sau menţinută. Prin urmare, obiectivul Directivei Habitate urmărește mai</w:t>
      </w:r>
      <w:r w:rsidRPr="00C54A03">
        <w:rPr>
          <w:color w:val="000000" w:themeColor="text1"/>
          <w:spacing w:val="1"/>
        </w:rPr>
        <w:t xml:space="preserve"> </w:t>
      </w:r>
      <w:r w:rsidRPr="00C54A03">
        <w:rPr>
          <w:color w:val="000000" w:themeColor="text1"/>
        </w:rPr>
        <w:t>mult</w:t>
      </w:r>
      <w:r w:rsidRPr="00C54A03">
        <w:rPr>
          <w:color w:val="000000" w:themeColor="text1"/>
          <w:spacing w:val="-1"/>
        </w:rPr>
        <w:t xml:space="preserve"> </w:t>
      </w:r>
      <w:r w:rsidRPr="00C54A03">
        <w:rPr>
          <w:color w:val="000000" w:themeColor="text1"/>
        </w:rPr>
        <w:t>decât evitarea</w:t>
      </w:r>
      <w:r w:rsidRPr="00C54A03">
        <w:rPr>
          <w:color w:val="000000" w:themeColor="text1"/>
          <w:spacing w:val="-1"/>
        </w:rPr>
        <w:t xml:space="preserve"> </w:t>
      </w:r>
      <w:r w:rsidRPr="00C54A03">
        <w:rPr>
          <w:color w:val="000000" w:themeColor="text1"/>
        </w:rPr>
        <w:t>dispariţiei tipurilor</w:t>
      </w:r>
      <w:r w:rsidRPr="00C54A03">
        <w:rPr>
          <w:color w:val="000000" w:themeColor="text1"/>
          <w:spacing w:val="-1"/>
        </w:rPr>
        <w:t xml:space="preserve"> </w:t>
      </w:r>
      <w:r w:rsidRPr="00C54A03">
        <w:rPr>
          <w:color w:val="000000" w:themeColor="text1"/>
        </w:rPr>
        <w:t>de</w:t>
      </w:r>
      <w:r w:rsidRPr="00C54A03">
        <w:rPr>
          <w:color w:val="000000" w:themeColor="text1"/>
          <w:spacing w:val="-2"/>
        </w:rPr>
        <w:t xml:space="preserve"> </w:t>
      </w:r>
      <w:r w:rsidRPr="00C54A03">
        <w:rPr>
          <w:color w:val="000000" w:themeColor="text1"/>
        </w:rPr>
        <w:t>habitate</w:t>
      </w:r>
      <w:r w:rsidRPr="00C54A03">
        <w:rPr>
          <w:color w:val="000000" w:themeColor="text1"/>
          <w:spacing w:val="1"/>
        </w:rPr>
        <w:t xml:space="preserve"> </w:t>
      </w:r>
      <w:r w:rsidRPr="00C54A03">
        <w:rPr>
          <w:color w:val="000000" w:themeColor="text1"/>
        </w:rPr>
        <w:t>sau</w:t>
      </w:r>
      <w:r w:rsidRPr="00C54A03">
        <w:rPr>
          <w:color w:val="000000" w:themeColor="text1"/>
          <w:spacing w:val="-1"/>
        </w:rPr>
        <w:t xml:space="preserve"> </w:t>
      </w:r>
      <w:r w:rsidRPr="00C54A03">
        <w:rPr>
          <w:color w:val="000000" w:themeColor="text1"/>
        </w:rPr>
        <w:t>speciilor.</w:t>
      </w:r>
    </w:p>
    <w:p w14:paraId="4BAFED00" w14:textId="77777777" w:rsidR="00E13976" w:rsidRPr="00C54A03" w:rsidRDefault="00E13976" w:rsidP="008E33FD">
      <w:pPr>
        <w:widowControl w:val="0"/>
        <w:autoSpaceDE w:val="0"/>
        <w:autoSpaceDN w:val="0"/>
        <w:spacing w:before="1"/>
        <w:jc w:val="both"/>
        <w:rPr>
          <w:color w:val="000000" w:themeColor="text1"/>
        </w:rPr>
      </w:pPr>
      <w:r w:rsidRPr="00C54A03">
        <w:rPr>
          <w:color w:val="000000" w:themeColor="text1"/>
        </w:rPr>
        <w:t>Starea</w:t>
      </w:r>
      <w:r w:rsidRPr="00C54A03">
        <w:rPr>
          <w:color w:val="000000" w:themeColor="text1"/>
          <w:spacing w:val="-3"/>
        </w:rPr>
        <w:t xml:space="preserve"> </w:t>
      </w:r>
      <w:r w:rsidRPr="00C54A03">
        <w:rPr>
          <w:color w:val="000000" w:themeColor="text1"/>
        </w:rPr>
        <w:t>de conservare</w:t>
      </w:r>
      <w:r w:rsidRPr="00C54A03">
        <w:rPr>
          <w:color w:val="000000" w:themeColor="text1"/>
          <w:spacing w:val="-3"/>
        </w:rPr>
        <w:t xml:space="preserve"> </w:t>
      </w:r>
      <w:r w:rsidRPr="00C54A03">
        <w:rPr>
          <w:color w:val="000000" w:themeColor="text1"/>
        </w:rPr>
        <w:t>nefavorabilă</w:t>
      </w:r>
      <w:r w:rsidRPr="00C54A03">
        <w:rPr>
          <w:color w:val="000000" w:themeColor="text1"/>
          <w:spacing w:val="-2"/>
        </w:rPr>
        <w:t xml:space="preserve"> </w:t>
      </w:r>
      <w:r w:rsidRPr="00C54A03">
        <w:rPr>
          <w:color w:val="000000" w:themeColor="text1"/>
        </w:rPr>
        <w:t>este</w:t>
      </w:r>
      <w:r w:rsidRPr="00C54A03">
        <w:rPr>
          <w:color w:val="000000" w:themeColor="text1"/>
          <w:spacing w:val="-2"/>
        </w:rPr>
        <w:t xml:space="preserve"> </w:t>
      </w:r>
      <w:r w:rsidRPr="00C54A03">
        <w:rPr>
          <w:color w:val="000000" w:themeColor="text1"/>
        </w:rPr>
        <w:t>împărţită</w:t>
      </w:r>
      <w:r w:rsidRPr="00C54A03">
        <w:rPr>
          <w:color w:val="000000" w:themeColor="text1"/>
          <w:spacing w:val="-2"/>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două</w:t>
      </w:r>
      <w:r w:rsidRPr="00C54A03">
        <w:rPr>
          <w:color w:val="000000" w:themeColor="text1"/>
          <w:spacing w:val="-1"/>
        </w:rPr>
        <w:t xml:space="preserve"> </w:t>
      </w:r>
      <w:r w:rsidRPr="00C54A03">
        <w:rPr>
          <w:color w:val="000000" w:themeColor="text1"/>
        </w:rPr>
        <w:t>clase:</w:t>
      </w:r>
    </w:p>
    <w:p w14:paraId="3724020D" w14:textId="77777777" w:rsidR="00E13976" w:rsidRPr="00C54A03" w:rsidRDefault="00E13976" w:rsidP="008E33FD">
      <w:pPr>
        <w:widowControl w:val="0"/>
        <w:autoSpaceDE w:val="0"/>
        <w:autoSpaceDN w:val="0"/>
        <w:ind w:right="256"/>
        <w:jc w:val="both"/>
        <w:rPr>
          <w:color w:val="000000" w:themeColor="text1"/>
        </w:rPr>
      </w:pPr>
      <w:r w:rsidRPr="00C54A03">
        <w:rPr>
          <w:color w:val="000000" w:themeColor="text1"/>
        </w:rPr>
        <w:t>„nefavorabil-inadecvat”</w:t>
      </w:r>
      <w:r w:rsidRPr="00C54A03">
        <w:rPr>
          <w:color w:val="000000" w:themeColor="text1"/>
          <w:spacing w:val="1"/>
        </w:rPr>
        <w:t xml:space="preserve"> </w:t>
      </w:r>
      <w:r w:rsidRPr="00C54A03">
        <w:rPr>
          <w:color w:val="000000" w:themeColor="text1"/>
        </w:rPr>
        <w:t>pentru</w:t>
      </w:r>
      <w:r w:rsidRPr="00C54A03">
        <w:rPr>
          <w:color w:val="000000" w:themeColor="text1"/>
          <w:spacing w:val="1"/>
        </w:rPr>
        <w:t xml:space="preserve"> </w:t>
      </w:r>
      <w:r w:rsidRPr="00C54A03">
        <w:rPr>
          <w:color w:val="000000" w:themeColor="text1"/>
        </w:rPr>
        <w:t>situaţiile</w:t>
      </w:r>
      <w:r w:rsidRPr="00C54A03">
        <w:rPr>
          <w:color w:val="000000" w:themeColor="text1"/>
          <w:spacing w:val="1"/>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care</w:t>
      </w:r>
      <w:r w:rsidRPr="00C54A03">
        <w:rPr>
          <w:color w:val="000000" w:themeColor="text1"/>
          <w:spacing w:val="1"/>
        </w:rPr>
        <w:t xml:space="preserve"> </w:t>
      </w:r>
      <w:r w:rsidRPr="00C54A03">
        <w:rPr>
          <w:color w:val="000000" w:themeColor="text1"/>
        </w:rPr>
        <w:t>este</w:t>
      </w:r>
      <w:r w:rsidRPr="00C54A03">
        <w:rPr>
          <w:color w:val="000000" w:themeColor="text1"/>
          <w:spacing w:val="1"/>
        </w:rPr>
        <w:t xml:space="preserve"> </w:t>
      </w:r>
      <w:r w:rsidRPr="00C54A03">
        <w:rPr>
          <w:color w:val="000000" w:themeColor="text1"/>
        </w:rPr>
        <w:t>necesară</w:t>
      </w:r>
      <w:r w:rsidRPr="00C54A03">
        <w:rPr>
          <w:color w:val="000000" w:themeColor="text1"/>
          <w:spacing w:val="1"/>
        </w:rPr>
        <w:t xml:space="preserve"> </w:t>
      </w:r>
      <w:r w:rsidRPr="00C54A03">
        <w:rPr>
          <w:color w:val="000000" w:themeColor="text1"/>
        </w:rPr>
        <w:t>o</w:t>
      </w:r>
      <w:r w:rsidRPr="00C54A03">
        <w:rPr>
          <w:color w:val="000000" w:themeColor="text1"/>
          <w:spacing w:val="1"/>
        </w:rPr>
        <w:t xml:space="preserve"> </w:t>
      </w:r>
      <w:r w:rsidRPr="00C54A03">
        <w:rPr>
          <w:color w:val="000000" w:themeColor="text1"/>
        </w:rPr>
        <w:t>schimbare</w:t>
      </w:r>
      <w:r w:rsidRPr="00C54A03">
        <w:rPr>
          <w:color w:val="000000" w:themeColor="text1"/>
          <w:spacing w:val="1"/>
        </w:rPr>
        <w:t xml:space="preserve"> </w:t>
      </w:r>
      <w:r w:rsidRPr="00C54A03">
        <w:rPr>
          <w:color w:val="000000" w:themeColor="text1"/>
        </w:rPr>
        <w:t>a</w:t>
      </w:r>
      <w:r w:rsidRPr="00C54A03">
        <w:rPr>
          <w:color w:val="000000" w:themeColor="text1"/>
          <w:spacing w:val="1"/>
        </w:rPr>
        <w:t xml:space="preserve"> </w:t>
      </w:r>
      <w:r w:rsidRPr="00C54A03">
        <w:rPr>
          <w:color w:val="000000" w:themeColor="text1"/>
        </w:rPr>
        <w:t>politicilor</w:t>
      </w:r>
      <w:r w:rsidRPr="00C54A03">
        <w:rPr>
          <w:color w:val="000000" w:themeColor="text1"/>
          <w:spacing w:val="1"/>
        </w:rPr>
        <w:t xml:space="preserve"> </w:t>
      </w:r>
      <w:r w:rsidRPr="00C54A03">
        <w:rPr>
          <w:color w:val="000000" w:themeColor="text1"/>
        </w:rPr>
        <w:t>sau</w:t>
      </w:r>
      <w:r w:rsidRPr="00C54A03">
        <w:rPr>
          <w:color w:val="000000" w:themeColor="text1"/>
          <w:spacing w:val="1"/>
        </w:rPr>
        <w:t xml:space="preserve"> </w:t>
      </w:r>
      <w:r w:rsidRPr="00C54A03">
        <w:rPr>
          <w:color w:val="000000" w:themeColor="text1"/>
        </w:rPr>
        <w:t>managementului pentru a aduce tipul de habitat sau specia în stare de conservare favorabilă, dar nu</w:t>
      </w:r>
      <w:r w:rsidRPr="00C54A03">
        <w:rPr>
          <w:color w:val="000000" w:themeColor="text1"/>
          <w:spacing w:val="1"/>
        </w:rPr>
        <w:t xml:space="preserve"> </w:t>
      </w:r>
      <w:r w:rsidRPr="00C54A03">
        <w:rPr>
          <w:color w:val="000000" w:themeColor="text1"/>
        </w:rPr>
        <w:t>există</w:t>
      </w:r>
      <w:r w:rsidRPr="00C54A03">
        <w:rPr>
          <w:color w:val="000000" w:themeColor="text1"/>
          <w:spacing w:val="-2"/>
        </w:rPr>
        <w:t xml:space="preserve"> </w:t>
      </w:r>
      <w:r w:rsidRPr="00C54A03">
        <w:rPr>
          <w:color w:val="000000" w:themeColor="text1"/>
        </w:rPr>
        <w:t>nici un pericol de dispariţie în viitorul previzibil</w:t>
      </w:r>
      <w:r w:rsidRPr="00C54A03">
        <w:rPr>
          <w:color w:val="000000" w:themeColor="text1"/>
          <w:spacing w:val="-1"/>
        </w:rPr>
        <w:t xml:space="preserve"> </w:t>
      </w:r>
      <w:r w:rsidRPr="00C54A03">
        <w:rPr>
          <w:color w:val="000000" w:themeColor="text1"/>
        </w:rPr>
        <w:t>(ex: 50-100 de</w:t>
      </w:r>
      <w:r w:rsidRPr="00C54A03">
        <w:rPr>
          <w:color w:val="000000" w:themeColor="text1"/>
          <w:spacing w:val="-1"/>
        </w:rPr>
        <w:t xml:space="preserve"> </w:t>
      </w:r>
      <w:r w:rsidRPr="00C54A03">
        <w:rPr>
          <w:color w:val="000000" w:themeColor="text1"/>
        </w:rPr>
        <w:t>ani);</w:t>
      </w:r>
    </w:p>
    <w:p w14:paraId="7B6F7985" w14:textId="77777777" w:rsidR="00E13976" w:rsidRPr="00C54A03" w:rsidRDefault="00E13976" w:rsidP="008E33FD">
      <w:pPr>
        <w:widowControl w:val="0"/>
        <w:autoSpaceDE w:val="0"/>
        <w:autoSpaceDN w:val="0"/>
        <w:ind w:right="261"/>
        <w:jc w:val="both"/>
        <w:rPr>
          <w:color w:val="000000" w:themeColor="text1"/>
        </w:rPr>
      </w:pPr>
      <w:r w:rsidRPr="00C54A03">
        <w:rPr>
          <w:color w:val="000000" w:themeColor="text1"/>
        </w:rPr>
        <w:t>„nefavorabil-rău” pentru situaţiile în care tipul de habitat sau specia este în pericol de a dispare în</w:t>
      </w:r>
      <w:r w:rsidRPr="00C54A03">
        <w:rPr>
          <w:color w:val="000000" w:themeColor="text1"/>
          <w:spacing w:val="1"/>
        </w:rPr>
        <w:t xml:space="preserve"> </w:t>
      </w:r>
      <w:r w:rsidRPr="00C54A03">
        <w:rPr>
          <w:color w:val="000000" w:themeColor="text1"/>
        </w:rPr>
        <w:t>viitorul</w:t>
      </w:r>
      <w:r w:rsidRPr="00C54A03">
        <w:rPr>
          <w:color w:val="000000" w:themeColor="text1"/>
          <w:spacing w:val="-1"/>
        </w:rPr>
        <w:t xml:space="preserve"> </w:t>
      </w:r>
      <w:r w:rsidRPr="00C54A03">
        <w:rPr>
          <w:color w:val="000000" w:themeColor="text1"/>
        </w:rPr>
        <w:t>previzibil (ex: 50-100 de</w:t>
      </w:r>
      <w:r w:rsidRPr="00C54A03">
        <w:rPr>
          <w:color w:val="000000" w:themeColor="text1"/>
          <w:spacing w:val="-1"/>
        </w:rPr>
        <w:t xml:space="preserve"> </w:t>
      </w:r>
      <w:r w:rsidRPr="00C54A03">
        <w:rPr>
          <w:color w:val="000000" w:themeColor="text1"/>
        </w:rPr>
        <w:t>ani).</w:t>
      </w:r>
    </w:p>
    <w:p w14:paraId="7E95EA7C" w14:textId="77777777" w:rsidR="00E13976" w:rsidRPr="00C54A03" w:rsidRDefault="00E13976" w:rsidP="008E33FD">
      <w:pPr>
        <w:widowControl w:val="0"/>
        <w:autoSpaceDE w:val="0"/>
        <w:autoSpaceDN w:val="0"/>
        <w:ind w:right="255"/>
        <w:jc w:val="both"/>
        <w:rPr>
          <w:color w:val="000000" w:themeColor="text1"/>
        </w:rPr>
      </w:pPr>
      <w:r w:rsidRPr="00C54A03">
        <w:rPr>
          <w:color w:val="000000" w:themeColor="text1"/>
        </w:rPr>
        <w:t>Pentru</w:t>
      </w:r>
      <w:r w:rsidRPr="00C54A03">
        <w:rPr>
          <w:color w:val="000000" w:themeColor="text1"/>
          <w:spacing w:val="1"/>
        </w:rPr>
        <w:t xml:space="preserve"> </w:t>
      </w:r>
      <w:r w:rsidRPr="00C54A03">
        <w:rPr>
          <w:color w:val="000000" w:themeColor="text1"/>
        </w:rPr>
        <w:t>toate</w:t>
      </w:r>
      <w:r w:rsidRPr="00C54A03">
        <w:rPr>
          <w:color w:val="000000" w:themeColor="text1"/>
          <w:spacing w:val="1"/>
        </w:rPr>
        <w:t xml:space="preserve"> </w:t>
      </w:r>
      <w:r w:rsidRPr="00C54A03">
        <w:rPr>
          <w:color w:val="000000" w:themeColor="text1"/>
        </w:rPr>
        <w:t>situaţiile</w:t>
      </w:r>
      <w:r w:rsidRPr="00C54A03">
        <w:rPr>
          <w:color w:val="000000" w:themeColor="text1"/>
          <w:spacing w:val="1"/>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care</w:t>
      </w:r>
      <w:r w:rsidRPr="00C54A03">
        <w:rPr>
          <w:color w:val="000000" w:themeColor="text1"/>
          <w:spacing w:val="1"/>
        </w:rPr>
        <w:t xml:space="preserve"> </w:t>
      </w:r>
      <w:r w:rsidRPr="00C54A03">
        <w:rPr>
          <w:color w:val="000000" w:themeColor="text1"/>
        </w:rPr>
        <w:t>nu</w:t>
      </w:r>
      <w:r w:rsidRPr="00C54A03">
        <w:rPr>
          <w:color w:val="000000" w:themeColor="text1"/>
          <w:spacing w:val="1"/>
        </w:rPr>
        <w:t xml:space="preserve"> </w:t>
      </w:r>
      <w:r w:rsidRPr="00C54A03">
        <w:rPr>
          <w:color w:val="000000" w:themeColor="text1"/>
        </w:rPr>
        <w:t>există</w:t>
      </w:r>
      <w:r w:rsidRPr="00C54A03">
        <w:rPr>
          <w:color w:val="000000" w:themeColor="text1"/>
          <w:spacing w:val="1"/>
        </w:rPr>
        <w:t xml:space="preserve"> </w:t>
      </w:r>
      <w:r w:rsidRPr="00C54A03">
        <w:rPr>
          <w:color w:val="000000" w:themeColor="text1"/>
        </w:rPr>
        <w:t>suficiente</w:t>
      </w:r>
      <w:r w:rsidRPr="00C54A03">
        <w:rPr>
          <w:color w:val="000000" w:themeColor="text1"/>
          <w:spacing w:val="1"/>
        </w:rPr>
        <w:t xml:space="preserve"> </w:t>
      </w:r>
      <w:r w:rsidRPr="00C54A03">
        <w:rPr>
          <w:color w:val="000000" w:themeColor="text1"/>
        </w:rPr>
        <w:t>informaţii</w:t>
      </w:r>
      <w:r w:rsidRPr="00C54A03">
        <w:rPr>
          <w:color w:val="000000" w:themeColor="text1"/>
          <w:spacing w:val="1"/>
        </w:rPr>
        <w:t xml:space="preserve"> </w:t>
      </w:r>
      <w:r w:rsidRPr="00C54A03">
        <w:rPr>
          <w:color w:val="000000" w:themeColor="text1"/>
        </w:rPr>
        <w:t>pentru</w:t>
      </w:r>
      <w:r w:rsidRPr="00C54A03">
        <w:rPr>
          <w:color w:val="000000" w:themeColor="text1"/>
          <w:spacing w:val="1"/>
        </w:rPr>
        <w:t xml:space="preserve"> </w:t>
      </w:r>
      <w:r w:rsidRPr="00C54A03">
        <w:rPr>
          <w:color w:val="000000" w:themeColor="text1"/>
        </w:rPr>
        <w:t>a</w:t>
      </w:r>
      <w:r w:rsidRPr="00C54A03">
        <w:rPr>
          <w:color w:val="000000" w:themeColor="text1"/>
          <w:spacing w:val="1"/>
        </w:rPr>
        <w:t xml:space="preserve"> </w:t>
      </w:r>
      <w:r w:rsidRPr="00C54A03">
        <w:rPr>
          <w:color w:val="000000" w:themeColor="text1"/>
        </w:rPr>
        <w:t>realiza</w:t>
      </w:r>
      <w:r w:rsidRPr="00C54A03">
        <w:rPr>
          <w:color w:val="000000" w:themeColor="text1"/>
          <w:spacing w:val="1"/>
        </w:rPr>
        <w:t xml:space="preserve"> </w:t>
      </w:r>
      <w:r w:rsidRPr="00C54A03">
        <w:rPr>
          <w:color w:val="000000" w:themeColor="text1"/>
        </w:rPr>
        <w:t>o</w:t>
      </w:r>
      <w:r w:rsidRPr="00C54A03">
        <w:rPr>
          <w:color w:val="000000" w:themeColor="text1"/>
          <w:spacing w:val="1"/>
        </w:rPr>
        <w:t xml:space="preserve"> </w:t>
      </w:r>
      <w:r w:rsidRPr="00C54A03">
        <w:rPr>
          <w:color w:val="000000" w:themeColor="text1"/>
        </w:rPr>
        <w:t>evaluare</w:t>
      </w:r>
      <w:r w:rsidRPr="00C54A03">
        <w:rPr>
          <w:color w:val="000000" w:themeColor="text1"/>
          <w:spacing w:val="1"/>
        </w:rPr>
        <w:t xml:space="preserve"> </w:t>
      </w:r>
      <w:r w:rsidRPr="00C54A03">
        <w:rPr>
          <w:color w:val="000000" w:themeColor="text1"/>
        </w:rPr>
        <w:t>corespunzătoare,</w:t>
      </w:r>
      <w:r w:rsidRPr="00C54A03">
        <w:rPr>
          <w:color w:val="000000" w:themeColor="text1"/>
          <w:spacing w:val="-1"/>
        </w:rPr>
        <w:t xml:space="preserve"> </w:t>
      </w:r>
      <w:r w:rsidRPr="00C54A03">
        <w:rPr>
          <w:color w:val="000000" w:themeColor="text1"/>
        </w:rPr>
        <w:t>starea</w:t>
      </w:r>
      <w:r w:rsidRPr="00C54A03">
        <w:rPr>
          <w:color w:val="000000" w:themeColor="text1"/>
          <w:spacing w:val="-1"/>
        </w:rPr>
        <w:t xml:space="preserve"> </w:t>
      </w:r>
      <w:r w:rsidRPr="00C54A03">
        <w:rPr>
          <w:color w:val="000000" w:themeColor="text1"/>
        </w:rPr>
        <w:t>de</w:t>
      </w:r>
      <w:r w:rsidRPr="00C54A03">
        <w:rPr>
          <w:color w:val="000000" w:themeColor="text1"/>
          <w:spacing w:val="-2"/>
        </w:rPr>
        <w:t xml:space="preserve"> </w:t>
      </w:r>
      <w:r w:rsidRPr="00C54A03">
        <w:rPr>
          <w:color w:val="000000" w:themeColor="text1"/>
        </w:rPr>
        <w:t>conservare este</w:t>
      </w:r>
      <w:r w:rsidRPr="00C54A03">
        <w:rPr>
          <w:color w:val="000000" w:themeColor="text1"/>
          <w:spacing w:val="-1"/>
        </w:rPr>
        <w:t xml:space="preserve"> </w:t>
      </w:r>
      <w:r w:rsidRPr="00C54A03">
        <w:rPr>
          <w:color w:val="000000" w:themeColor="text1"/>
        </w:rPr>
        <w:t>considerată</w:t>
      </w:r>
      <w:r w:rsidRPr="00C54A03">
        <w:rPr>
          <w:color w:val="000000" w:themeColor="text1"/>
          <w:spacing w:val="-1"/>
        </w:rPr>
        <w:t xml:space="preserve"> </w:t>
      </w:r>
      <w:r w:rsidRPr="00C54A03">
        <w:rPr>
          <w:color w:val="000000" w:themeColor="text1"/>
        </w:rPr>
        <w:t>„necunoscută”.</w:t>
      </w:r>
    </w:p>
    <w:p w14:paraId="58518AF6" w14:textId="77777777" w:rsidR="00E13976" w:rsidRPr="00C54A03" w:rsidRDefault="00E13976" w:rsidP="008E33FD">
      <w:pPr>
        <w:widowControl w:val="0"/>
        <w:autoSpaceDE w:val="0"/>
        <w:autoSpaceDN w:val="0"/>
        <w:ind w:right="252"/>
        <w:jc w:val="both"/>
        <w:rPr>
          <w:color w:val="000000" w:themeColor="text1"/>
        </w:rPr>
      </w:pPr>
      <w:r w:rsidRPr="00C54A03">
        <w:rPr>
          <w:color w:val="000000" w:themeColor="text1"/>
        </w:rPr>
        <w:t>Pentru o reprezentare grafică a celor patru stări de conservare, a fost adoptat un sistem de codificare</w:t>
      </w:r>
      <w:r w:rsidRPr="00C54A03">
        <w:rPr>
          <w:color w:val="000000" w:themeColor="text1"/>
          <w:spacing w:val="-57"/>
        </w:rPr>
        <w:t xml:space="preserve"> </w:t>
      </w:r>
      <w:r w:rsidRPr="00C54A03">
        <w:rPr>
          <w:color w:val="000000" w:themeColor="text1"/>
        </w:rPr>
        <w:t>pe culori (prin intermediul îndrumarului Comisiei Europene: Evaluarea și raportarea în conformitate</w:t>
      </w:r>
      <w:r w:rsidRPr="00C54A03">
        <w:rPr>
          <w:color w:val="000000" w:themeColor="text1"/>
          <w:spacing w:val="-57"/>
        </w:rPr>
        <w:t xml:space="preserve"> </w:t>
      </w:r>
      <w:r w:rsidRPr="00C54A03">
        <w:rPr>
          <w:color w:val="000000" w:themeColor="text1"/>
        </w:rPr>
        <w:t>cu</w:t>
      </w:r>
      <w:r w:rsidRPr="00C54A03">
        <w:rPr>
          <w:color w:val="000000" w:themeColor="text1"/>
          <w:spacing w:val="-1"/>
        </w:rPr>
        <w:t xml:space="preserve"> </w:t>
      </w:r>
      <w:r w:rsidRPr="00C54A03">
        <w:rPr>
          <w:color w:val="000000" w:themeColor="text1"/>
        </w:rPr>
        <w:t>Articolul 17</w:t>
      </w:r>
      <w:r w:rsidRPr="00C54A03">
        <w:rPr>
          <w:color w:val="000000" w:themeColor="text1"/>
          <w:spacing w:val="-1"/>
        </w:rPr>
        <w:t xml:space="preserve"> </w:t>
      </w:r>
      <w:r w:rsidRPr="00C54A03">
        <w:rPr>
          <w:color w:val="000000" w:themeColor="text1"/>
        </w:rPr>
        <w:t>al Directivei</w:t>
      </w:r>
      <w:r w:rsidRPr="00C54A03">
        <w:rPr>
          <w:color w:val="000000" w:themeColor="text1"/>
          <w:spacing w:val="-1"/>
        </w:rPr>
        <w:t xml:space="preserve"> </w:t>
      </w:r>
      <w:r w:rsidRPr="00C54A03">
        <w:rPr>
          <w:color w:val="000000" w:themeColor="text1"/>
        </w:rPr>
        <w:t>Habitate: Formate de</w:t>
      </w:r>
      <w:r w:rsidRPr="00C54A03">
        <w:rPr>
          <w:color w:val="000000" w:themeColor="text1"/>
          <w:spacing w:val="-1"/>
        </w:rPr>
        <w:t xml:space="preserve"> </w:t>
      </w:r>
      <w:r w:rsidRPr="00C54A03">
        <w:rPr>
          <w:color w:val="000000" w:themeColor="text1"/>
        </w:rPr>
        <w:t>raportare</w:t>
      </w:r>
      <w:r w:rsidRPr="00C54A03">
        <w:rPr>
          <w:color w:val="000000" w:themeColor="text1"/>
          <w:spacing w:val="-1"/>
        </w:rPr>
        <w:t xml:space="preserve"> </w:t>
      </w:r>
      <w:r w:rsidRPr="00C54A03">
        <w:rPr>
          <w:color w:val="000000" w:themeColor="text1"/>
        </w:rPr>
        <w:t>pentru</w:t>
      </w:r>
      <w:r w:rsidRPr="00C54A03">
        <w:rPr>
          <w:color w:val="000000" w:themeColor="text1"/>
          <w:spacing w:val="-1"/>
        </w:rPr>
        <w:t xml:space="preserve"> </w:t>
      </w:r>
      <w:r w:rsidRPr="00C54A03">
        <w:rPr>
          <w:color w:val="000000" w:themeColor="text1"/>
        </w:rPr>
        <w:t>Perioada</w:t>
      </w:r>
      <w:r w:rsidRPr="00C54A03">
        <w:rPr>
          <w:color w:val="000000" w:themeColor="text1"/>
          <w:spacing w:val="1"/>
        </w:rPr>
        <w:t xml:space="preserve"> </w:t>
      </w:r>
      <w:r w:rsidRPr="00C54A03">
        <w:rPr>
          <w:color w:val="000000" w:themeColor="text1"/>
        </w:rPr>
        <w:t>2012)</w:t>
      </w:r>
      <w:r w:rsidRPr="00C54A03">
        <w:rPr>
          <w:color w:val="000000" w:themeColor="text1"/>
          <w:spacing w:val="58"/>
        </w:rPr>
        <w:t xml:space="preserve"> </w:t>
      </w:r>
      <w:r w:rsidRPr="00C54A03">
        <w:rPr>
          <w:color w:val="000000" w:themeColor="text1"/>
        </w:rPr>
        <w:t>:</w:t>
      </w:r>
    </w:p>
    <w:p w14:paraId="4B4CD935" w14:textId="77777777" w:rsidR="00E13976" w:rsidRPr="00082644" w:rsidRDefault="00E13976" w:rsidP="009E63E5">
      <w:pPr>
        <w:pStyle w:val="ListParagraph"/>
        <w:widowControl w:val="0"/>
        <w:numPr>
          <w:ilvl w:val="0"/>
          <w:numId w:val="187"/>
        </w:numPr>
        <w:autoSpaceDE w:val="0"/>
        <w:autoSpaceDN w:val="0"/>
        <w:spacing w:line="274" w:lineRule="exact"/>
        <w:jc w:val="both"/>
        <w:rPr>
          <w:rFonts w:ascii="Times New Roman" w:hAnsi="Times New Roman" w:cs="Times New Roman"/>
          <w:color w:val="000000" w:themeColor="text1"/>
          <w:sz w:val="24"/>
          <w:szCs w:val="24"/>
        </w:rPr>
      </w:pPr>
      <w:proofErr w:type="spellStart"/>
      <w:r w:rsidRPr="00082644">
        <w:rPr>
          <w:rFonts w:ascii="Times New Roman" w:hAnsi="Times New Roman" w:cs="Times New Roman"/>
          <w:color w:val="000000" w:themeColor="text1"/>
          <w:sz w:val="24"/>
          <w:szCs w:val="24"/>
        </w:rPr>
        <w:t>roşu</w:t>
      </w:r>
      <w:proofErr w:type="spellEnd"/>
      <w:r w:rsidRPr="00082644">
        <w:rPr>
          <w:rFonts w:ascii="Times New Roman" w:hAnsi="Times New Roman" w:cs="Times New Roman"/>
          <w:color w:val="000000" w:themeColor="text1"/>
          <w:spacing w:val="-2"/>
          <w:sz w:val="24"/>
          <w:szCs w:val="24"/>
        </w:rPr>
        <w:t xml:space="preserve"> </w:t>
      </w:r>
      <w:proofErr w:type="spellStart"/>
      <w:r w:rsidRPr="00082644">
        <w:rPr>
          <w:rFonts w:ascii="Times New Roman" w:hAnsi="Times New Roman" w:cs="Times New Roman"/>
          <w:color w:val="000000" w:themeColor="text1"/>
          <w:sz w:val="24"/>
          <w:szCs w:val="24"/>
        </w:rPr>
        <w:t>pentru</w:t>
      </w:r>
      <w:proofErr w:type="spellEnd"/>
      <w:r w:rsidRPr="00082644">
        <w:rPr>
          <w:rFonts w:ascii="Times New Roman" w:hAnsi="Times New Roman" w:cs="Times New Roman"/>
          <w:color w:val="000000" w:themeColor="text1"/>
          <w:spacing w:val="-1"/>
          <w:sz w:val="24"/>
          <w:szCs w:val="24"/>
        </w:rPr>
        <w:t xml:space="preserve"> </w:t>
      </w:r>
      <w:r w:rsidRPr="00082644">
        <w:rPr>
          <w:rFonts w:ascii="Times New Roman" w:hAnsi="Times New Roman" w:cs="Times New Roman"/>
          <w:color w:val="000000" w:themeColor="text1"/>
          <w:sz w:val="24"/>
          <w:szCs w:val="24"/>
        </w:rPr>
        <w:t>„</w:t>
      </w:r>
      <w:proofErr w:type="spellStart"/>
      <w:r w:rsidRPr="00082644">
        <w:rPr>
          <w:rFonts w:ascii="Times New Roman" w:hAnsi="Times New Roman" w:cs="Times New Roman"/>
          <w:color w:val="000000" w:themeColor="text1"/>
          <w:sz w:val="24"/>
          <w:szCs w:val="24"/>
        </w:rPr>
        <w:t>nefavorabil-rău</w:t>
      </w:r>
      <w:proofErr w:type="spellEnd"/>
      <w:r w:rsidRPr="00082644">
        <w:rPr>
          <w:rFonts w:ascii="Times New Roman" w:hAnsi="Times New Roman" w:cs="Times New Roman"/>
          <w:color w:val="000000" w:themeColor="text1"/>
          <w:sz w:val="24"/>
          <w:szCs w:val="24"/>
        </w:rPr>
        <w:t>”;</w:t>
      </w:r>
    </w:p>
    <w:p w14:paraId="5E3597ED" w14:textId="77777777" w:rsidR="00082644" w:rsidRPr="00082644" w:rsidRDefault="00E13976" w:rsidP="009E63E5">
      <w:pPr>
        <w:pStyle w:val="ListParagraph"/>
        <w:widowControl w:val="0"/>
        <w:numPr>
          <w:ilvl w:val="0"/>
          <w:numId w:val="187"/>
        </w:numPr>
        <w:autoSpaceDE w:val="0"/>
        <w:autoSpaceDN w:val="0"/>
        <w:jc w:val="both"/>
        <w:rPr>
          <w:rFonts w:ascii="Times New Roman" w:hAnsi="Times New Roman" w:cs="Times New Roman"/>
          <w:color w:val="000000" w:themeColor="text1"/>
          <w:sz w:val="24"/>
          <w:szCs w:val="24"/>
        </w:rPr>
      </w:pPr>
      <w:proofErr w:type="spellStart"/>
      <w:r w:rsidRPr="00082644">
        <w:rPr>
          <w:rFonts w:ascii="Times New Roman" w:hAnsi="Times New Roman" w:cs="Times New Roman"/>
          <w:color w:val="000000" w:themeColor="text1"/>
          <w:sz w:val="24"/>
          <w:szCs w:val="24"/>
        </w:rPr>
        <w:t>portocaliu</w:t>
      </w:r>
      <w:proofErr w:type="spellEnd"/>
      <w:r w:rsidRPr="00082644">
        <w:rPr>
          <w:rFonts w:ascii="Times New Roman" w:hAnsi="Times New Roman" w:cs="Times New Roman"/>
          <w:color w:val="000000" w:themeColor="text1"/>
          <w:spacing w:val="-3"/>
          <w:sz w:val="24"/>
          <w:szCs w:val="24"/>
        </w:rPr>
        <w:t xml:space="preserve"> </w:t>
      </w:r>
      <w:proofErr w:type="spellStart"/>
      <w:r w:rsidRPr="00082644">
        <w:rPr>
          <w:rFonts w:ascii="Times New Roman" w:hAnsi="Times New Roman" w:cs="Times New Roman"/>
          <w:color w:val="000000" w:themeColor="text1"/>
          <w:sz w:val="24"/>
          <w:szCs w:val="24"/>
        </w:rPr>
        <w:t>pentru</w:t>
      </w:r>
      <w:proofErr w:type="spellEnd"/>
      <w:r w:rsidRPr="00082644">
        <w:rPr>
          <w:rFonts w:ascii="Times New Roman" w:hAnsi="Times New Roman" w:cs="Times New Roman"/>
          <w:color w:val="000000" w:themeColor="text1"/>
          <w:spacing w:val="-2"/>
          <w:sz w:val="24"/>
          <w:szCs w:val="24"/>
        </w:rPr>
        <w:t xml:space="preserve"> </w:t>
      </w:r>
      <w:r w:rsidRPr="00082644">
        <w:rPr>
          <w:rFonts w:ascii="Times New Roman" w:hAnsi="Times New Roman" w:cs="Times New Roman"/>
          <w:color w:val="000000" w:themeColor="text1"/>
          <w:sz w:val="24"/>
          <w:szCs w:val="24"/>
        </w:rPr>
        <w:t>„</w:t>
      </w:r>
      <w:proofErr w:type="spellStart"/>
      <w:r w:rsidRPr="00082644">
        <w:rPr>
          <w:rFonts w:ascii="Times New Roman" w:hAnsi="Times New Roman" w:cs="Times New Roman"/>
          <w:color w:val="000000" w:themeColor="text1"/>
          <w:sz w:val="24"/>
          <w:szCs w:val="24"/>
        </w:rPr>
        <w:t>nefavorabil-inadecvat</w:t>
      </w:r>
      <w:proofErr w:type="spellEnd"/>
      <w:r w:rsidRPr="00082644">
        <w:rPr>
          <w:rFonts w:ascii="Times New Roman" w:hAnsi="Times New Roman" w:cs="Times New Roman"/>
          <w:color w:val="000000" w:themeColor="text1"/>
          <w:sz w:val="24"/>
          <w:szCs w:val="24"/>
        </w:rPr>
        <w:t>”;</w:t>
      </w:r>
    </w:p>
    <w:p w14:paraId="4912387D" w14:textId="77777777" w:rsidR="00082644" w:rsidRPr="00082644" w:rsidRDefault="00E13976" w:rsidP="009E63E5">
      <w:pPr>
        <w:pStyle w:val="ListParagraph"/>
        <w:widowControl w:val="0"/>
        <w:numPr>
          <w:ilvl w:val="0"/>
          <w:numId w:val="187"/>
        </w:numPr>
        <w:autoSpaceDE w:val="0"/>
        <w:autoSpaceDN w:val="0"/>
        <w:jc w:val="both"/>
        <w:rPr>
          <w:rFonts w:ascii="Times New Roman" w:hAnsi="Times New Roman" w:cs="Times New Roman"/>
          <w:color w:val="000000" w:themeColor="text1"/>
          <w:sz w:val="24"/>
          <w:szCs w:val="24"/>
        </w:rPr>
      </w:pPr>
      <w:proofErr w:type="spellStart"/>
      <w:r w:rsidRPr="00082644">
        <w:rPr>
          <w:rFonts w:ascii="Times New Roman" w:hAnsi="Times New Roman" w:cs="Times New Roman"/>
          <w:color w:val="000000" w:themeColor="text1"/>
          <w:sz w:val="24"/>
          <w:szCs w:val="24"/>
        </w:rPr>
        <w:t>verde</w:t>
      </w:r>
      <w:proofErr w:type="spellEnd"/>
      <w:r w:rsidRPr="00082644">
        <w:rPr>
          <w:rFonts w:ascii="Times New Roman" w:hAnsi="Times New Roman" w:cs="Times New Roman"/>
          <w:color w:val="000000" w:themeColor="text1"/>
          <w:spacing w:val="-4"/>
          <w:sz w:val="24"/>
          <w:szCs w:val="24"/>
        </w:rPr>
        <w:t xml:space="preserve"> </w:t>
      </w:r>
      <w:proofErr w:type="spellStart"/>
      <w:r w:rsidRPr="00082644">
        <w:rPr>
          <w:rFonts w:ascii="Times New Roman" w:hAnsi="Times New Roman" w:cs="Times New Roman"/>
          <w:color w:val="000000" w:themeColor="text1"/>
          <w:sz w:val="24"/>
          <w:szCs w:val="24"/>
        </w:rPr>
        <w:t>pentru</w:t>
      </w:r>
      <w:proofErr w:type="spellEnd"/>
      <w:r w:rsidRPr="00082644">
        <w:rPr>
          <w:rFonts w:ascii="Times New Roman" w:hAnsi="Times New Roman" w:cs="Times New Roman"/>
          <w:color w:val="000000" w:themeColor="text1"/>
          <w:spacing w:val="-1"/>
          <w:sz w:val="24"/>
          <w:szCs w:val="24"/>
        </w:rPr>
        <w:t xml:space="preserve"> </w:t>
      </w:r>
      <w:r w:rsidRPr="00082644">
        <w:rPr>
          <w:rFonts w:ascii="Times New Roman" w:hAnsi="Times New Roman" w:cs="Times New Roman"/>
          <w:color w:val="000000" w:themeColor="text1"/>
          <w:sz w:val="24"/>
          <w:szCs w:val="24"/>
        </w:rPr>
        <w:t>„</w:t>
      </w:r>
      <w:proofErr w:type="spellStart"/>
      <w:r w:rsidRPr="00082644">
        <w:rPr>
          <w:rFonts w:ascii="Times New Roman" w:hAnsi="Times New Roman" w:cs="Times New Roman"/>
          <w:color w:val="000000" w:themeColor="text1"/>
          <w:sz w:val="24"/>
          <w:szCs w:val="24"/>
        </w:rPr>
        <w:t>favorabil</w:t>
      </w:r>
      <w:proofErr w:type="spellEnd"/>
      <w:r w:rsidRPr="00082644">
        <w:rPr>
          <w:rFonts w:ascii="Times New Roman" w:hAnsi="Times New Roman" w:cs="Times New Roman"/>
          <w:color w:val="000000" w:themeColor="text1"/>
          <w:sz w:val="24"/>
          <w:szCs w:val="24"/>
        </w:rPr>
        <w:t>”;</w:t>
      </w:r>
    </w:p>
    <w:p w14:paraId="5B0DE1A2" w14:textId="77777777" w:rsidR="00E13976" w:rsidRPr="00082644" w:rsidRDefault="00E13976" w:rsidP="009E63E5">
      <w:pPr>
        <w:pStyle w:val="ListParagraph"/>
        <w:widowControl w:val="0"/>
        <w:numPr>
          <w:ilvl w:val="0"/>
          <w:numId w:val="187"/>
        </w:numPr>
        <w:autoSpaceDE w:val="0"/>
        <w:autoSpaceDN w:val="0"/>
        <w:jc w:val="both"/>
        <w:rPr>
          <w:rFonts w:ascii="Times New Roman" w:hAnsi="Times New Roman" w:cs="Times New Roman"/>
          <w:color w:val="000000" w:themeColor="text1"/>
          <w:sz w:val="24"/>
          <w:szCs w:val="24"/>
        </w:rPr>
      </w:pPr>
      <w:proofErr w:type="spellStart"/>
      <w:r w:rsidRPr="00082644">
        <w:rPr>
          <w:rFonts w:ascii="Times New Roman" w:hAnsi="Times New Roman" w:cs="Times New Roman"/>
          <w:color w:val="000000" w:themeColor="text1"/>
          <w:sz w:val="24"/>
          <w:szCs w:val="24"/>
        </w:rPr>
        <w:t>gri</w:t>
      </w:r>
      <w:proofErr w:type="spellEnd"/>
      <w:r w:rsidRPr="00082644">
        <w:rPr>
          <w:rFonts w:ascii="Times New Roman" w:hAnsi="Times New Roman" w:cs="Times New Roman"/>
          <w:color w:val="000000" w:themeColor="text1"/>
          <w:spacing w:val="-2"/>
          <w:sz w:val="24"/>
          <w:szCs w:val="24"/>
        </w:rPr>
        <w:t xml:space="preserve"> </w:t>
      </w:r>
      <w:proofErr w:type="spellStart"/>
      <w:r w:rsidRPr="00082644">
        <w:rPr>
          <w:rFonts w:ascii="Times New Roman" w:hAnsi="Times New Roman" w:cs="Times New Roman"/>
          <w:color w:val="000000" w:themeColor="text1"/>
          <w:sz w:val="24"/>
          <w:szCs w:val="24"/>
        </w:rPr>
        <w:t>pentru</w:t>
      </w:r>
      <w:proofErr w:type="spellEnd"/>
      <w:r w:rsidRPr="00082644">
        <w:rPr>
          <w:rFonts w:ascii="Times New Roman" w:hAnsi="Times New Roman" w:cs="Times New Roman"/>
          <w:color w:val="000000" w:themeColor="text1"/>
          <w:spacing w:val="-2"/>
          <w:sz w:val="24"/>
          <w:szCs w:val="24"/>
        </w:rPr>
        <w:t xml:space="preserve"> </w:t>
      </w:r>
      <w:r w:rsidRPr="00082644">
        <w:rPr>
          <w:rFonts w:ascii="Times New Roman" w:hAnsi="Times New Roman" w:cs="Times New Roman"/>
          <w:color w:val="000000" w:themeColor="text1"/>
          <w:sz w:val="24"/>
          <w:szCs w:val="24"/>
        </w:rPr>
        <w:t>„</w:t>
      </w:r>
      <w:proofErr w:type="spellStart"/>
      <w:r w:rsidRPr="00082644">
        <w:rPr>
          <w:rFonts w:ascii="Times New Roman" w:hAnsi="Times New Roman" w:cs="Times New Roman"/>
          <w:color w:val="000000" w:themeColor="text1"/>
          <w:sz w:val="24"/>
          <w:szCs w:val="24"/>
        </w:rPr>
        <w:t>necunoscut</w:t>
      </w:r>
      <w:proofErr w:type="spellEnd"/>
      <w:r w:rsidRPr="00082644">
        <w:rPr>
          <w:rFonts w:ascii="Times New Roman" w:hAnsi="Times New Roman" w:cs="Times New Roman"/>
          <w:color w:val="000000" w:themeColor="text1"/>
          <w:sz w:val="24"/>
          <w:szCs w:val="24"/>
        </w:rPr>
        <w:t>”.</w:t>
      </w:r>
    </w:p>
    <w:p w14:paraId="3E95F5F8" w14:textId="77777777" w:rsidR="00E13976" w:rsidRPr="00C54A03" w:rsidRDefault="00E13976" w:rsidP="008E33FD">
      <w:pPr>
        <w:widowControl w:val="0"/>
        <w:autoSpaceDE w:val="0"/>
        <w:autoSpaceDN w:val="0"/>
        <w:spacing w:before="40"/>
        <w:ind w:right="250"/>
        <w:jc w:val="both"/>
        <w:rPr>
          <w:color w:val="000000" w:themeColor="text1"/>
        </w:rPr>
      </w:pPr>
      <w:r w:rsidRPr="00C54A03">
        <w:rPr>
          <w:color w:val="000000" w:themeColor="text1"/>
        </w:rPr>
        <w:t>Având în</w:t>
      </w:r>
      <w:r w:rsidRPr="00C54A03">
        <w:rPr>
          <w:color w:val="000000" w:themeColor="text1"/>
          <w:spacing w:val="1"/>
        </w:rPr>
        <w:t xml:space="preserve"> </w:t>
      </w:r>
      <w:r w:rsidRPr="00C54A03">
        <w:rPr>
          <w:color w:val="000000" w:themeColor="text1"/>
        </w:rPr>
        <w:t>vedere</w:t>
      </w:r>
      <w:r w:rsidRPr="00C54A03">
        <w:rPr>
          <w:color w:val="000000" w:themeColor="text1"/>
          <w:spacing w:val="1"/>
        </w:rPr>
        <w:t xml:space="preserve"> </w:t>
      </w:r>
      <w:r w:rsidRPr="00C54A03">
        <w:rPr>
          <w:color w:val="000000" w:themeColor="text1"/>
        </w:rPr>
        <w:t>că speciile şi</w:t>
      </w:r>
      <w:r w:rsidRPr="00C54A03">
        <w:rPr>
          <w:color w:val="000000" w:themeColor="text1"/>
          <w:spacing w:val="1"/>
        </w:rPr>
        <w:t xml:space="preserve"> </w:t>
      </w:r>
      <w:r w:rsidRPr="00C54A03">
        <w:rPr>
          <w:color w:val="000000" w:themeColor="text1"/>
        </w:rPr>
        <w:t>tipurile de</w:t>
      </w:r>
      <w:r w:rsidRPr="00C54A03">
        <w:rPr>
          <w:color w:val="000000" w:themeColor="text1"/>
          <w:spacing w:val="1"/>
        </w:rPr>
        <w:t xml:space="preserve"> </w:t>
      </w:r>
      <w:r w:rsidRPr="00C54A03">
        <w:rPr>
          <w:color w:val="000000" w:themeColor="text1"/>
        </w:rPr>
        <w:t>habitatele de</w:t>
      </w:r>
      <w:r w:rsidRPr="00C54A03">
        <w:rPr>
          <w:color w:val="000000" w:themeColor="text1"/>
          <w:spacing w:val="1"/>
        </w:rPr>
        <w:t xml:space="preserve"> </w:t>
      </w:r>
      <w:r w:rsidRPr="00C54A03">
        <w:rPr>
          <w:color w:val="000000" w:themeColor="text1"/>
        </w:rPr>
        <w:t>importanţă</w:t>
      </w:r>
      <w:r w:rsidRPr="00C54A03">
        <w:rPr>
          <w:color w:val="000000" w:themeColor="text1"/>
          <w:spacing w:val="1"/>
        </w:rPr>
        <w:t xml:space="preserve"> </w:t>
      </w:r>
      <w:r w:rsidRPr="00C54A03">
        <w:rPr>
          <w:color w:val="000000" w:themeColor="text1"/>
        </w:rPr>
        <w:t>comunitară au</w:t>
      </w:r>
      <w:r w:rsidRPr="00C54A03">
        <w:rPr>
          <w:color w:val="000000" w:themeColor="text1"/>
          <w:spacing w:val="60"/>
        </w:rPr>
        <w:t xml:space="preserve"> </w:t>
      </w:r>
      <w:r w:rsidRPr="00C54A03">
        <w:rPr>
          <w:color w:val="000000" w:themeColor="text1"/>
        </w:rPr>
        <w:t>fost listate în</w:t>
      </w:r>
      <w:r w:rsidRPr="00C54A03">
        <w:rPr>
          <w:color w:val="000000" w:themeColor="text1"/>
          <w:spacing w:val="1"/>
        </w:rPr>
        <w:t xml:space="preserve"> </w:t>
      </w:r>
      <w:r w:rsidRPr="00C54A03">
        <w:rPr>
          <w:color w:val="000000" w:themeColor="text1"/>
        </w:rPr>
        <w:t>cadrul anexelor Directivei în urma unor studii și aprecieri prin care s-a constatat că sunt ameninţate,</w:t>
      </w:r>
      <w:r w:rsidRPr="00C54A03">
        <w:rPr>
          <w:color w:val="000000" w:themeColor="text1"/>
          <w:spacing w:val="1"/>
        </w:rPr>
        <w:t xml:space="preserve"> </w:t>
      </w:r>
      <w:r w:rsidRPr="00C54A03">
        <w:rPr>
          <w:color w:val="000000" w:themeColor="text1"/>
        </w:rPr>
        <w:t>rare sau endemice, nu ar trebui să surprindă pe nimeni faptul că majoritatea dintre acestea se</w:t>
      </w:r>
      <w:r w:rsidRPr="00C54A03">
        <w:rPr>
          <w:color w:val="000000" w:themeColor="text1"/>
          <w:spacing w:val="1"/>
        </w:rPr>
        <w:t xml:space="preserve"> </w:t>
      </w:r>
      <w:r w:rsidRPr="00C54A03">
        <w:rPr>
          <w:color w:val="000000" w:themeColor="text1"/>
        </w:rPr>
        <w:t>încadrează în categoriile   „nefavorabil-inadecvat” (portocoliu) sau „nefavorabil-rău”(roșu) în ceea</w:t>
      </w:r>
      <w:r w:rsidRPr="00C54A03">
        <w:rPr>
          <w:color w:val="000000" w:themeColor="text1"/>
          <w:spacing w:val="1"/>
        </w:rPr>
        <w:t xml:space="preserve"> </w:t>
      </w:r>
      <w:r w:rsidRPr="00C54A03">
        <w:rPr>
          <w:color w:val="000000" w:themeColor="text1"/>
        </w:rPr>
        <w:t>ce privește starea lor de conservare. Deasemenea, ţinând cont de faptul că este necesară</w:t>
      </w:r>
      <w:r w:rsidRPr="00C54A03">
        <w:rPr>
          <w:color w:val="000000" w:themeColor="text1"/>
          <w:spacing w:val="1"/>
        </w:rPr>
        <w:t xml:space="preserve"> </w:t>
      </w:r>
      <w:r w:rsidRPr="00C54A03">
        <w:rPr>
          <w:color w:val="000000" w:themeColor="text1"/>
        </w:rPr>
        <w:t>o lungă</w:t>
      </w:r>
      <w:r w:rsidRPr="00C54A03">
        <w:rPr>
          <w:color w:val="000000" w:themeColor="text1"/>
          <w:spacing w:val="1"/>
        </w:rPr>
        <w:t xml:space="preserve"> </w:t>
      </w:r>
      <w:r w:rsidRPr="00C54A03">
        <w:rPr>
          <w:color w:val="000000" w:themeColor="text1"/>
        </w:rPr>
        <w:t>perioadă de timp pentru ca o specie sau un tip de habitat să ajungă într-o stare de conservare</w:t>
      </w:r>
      <w:r w:rsidRPr="00C54A03">
        <w:rPr>
          <w:color w:val="000000" w:themeColor="text1"/>
          <w:spacing w:val="1"/>
        </w:rPr>
        <w:t xml:space="preserve"> </w:t>
      </w:r>
      <w:r w:rsidRPr="00C54A03">
        <w:rPr>
          <w:color w:val="000000" w:themeColor="text1"/>
        </w:rPr>
        <w:t>favorabilă, nu ar trebui să fie surprinzător faptul că respectiva specie sau respectivul tip de habitat</w:t>
      </w:r>
      <w:r w:rsidRPr="00C54A03">
        <w:rPr>
          <w:color w:val="000000" w:themeColor="text1"/>
          <w:spacing w:val="1"/>
        </w:rPr>
        <w:t xml:space="preserve"> </w:t>
      </w:r>
      <w:r w:rsidRPr="00C54A03">
        <w:rPr>
          <w:color w:val="000000" w:themeColor="text1"/>
        </w:rPr>
        <w:t xml:space="preserve">rămâne în starea de conservare </w:t>
      </w:r>
      <w:r w:rsidRPr="00C54A03">
        <w:rPr>
          <w:color w:val="000000" w:themeColor="text1"/>
        </w:rPr>
        <w:lastRenderedPageBreak/>
        <w:t>nefavorabilă un timp îndelungat, chiar dacă la nivelul ariei naturale</w:t>
      </w:r>
      <w:r w:rsidRPr="00C54A03">
        <w:rPr>
          <w:color w:val="000000" w:themeColor="text1"/>
          <w:spacing w:val="1"/>
        </w:rPr>
        <w:t xml:space="preserve"> </w:t>
      </w:r>
      <w:r w:rsidRPr="00C54A03">
        <w:rPr>
          <w:color w:val="000000" w:themeColor="text1"/>
        </w:rPr>
        <w:t>protejate</w:t>
      </w:r>
      <w:r w:rsidRPr="00C54A03">
        <w:rPr>
          <w:color w:val="000000" w:themeColor="text1"/>
          <w:spacing w:val="-1"/>
        </w:rPr>
        <w:t xml:space="preserve"> </w:t>
      </w:r>
      <w:r w:rsidRPr="00C54A03">
        <w:rPr>
          <w:color w:val="000000" w:themeColor="text1"/>
        </w:rPr>
        <w:t>respective</w:t>
      </w:r>
      <w:r w:rsidRPr="00C54A03">
        <w:rPr>
          <w:color w:val="000000" w:themeColor="text1"/>
          <w:spacing w:val="-1"/>
        </w:rPr>
        <w:t xml:space="preserve"> </w:t>
      </w:r>
      <w:r w:rsidRPr="00C54A03">
        <w:rPr>
          <w:color w:val="000000" w:themeColor="text1"/>
        </w:rPr>
        <w:t>sunt</w:t>
      </w:r>
      <w:r w:rsidRPr="00C54A03">
        <w:rPr>
          <w:color w:val="000000" w:themeColor="text1"/>
          <w:spacing w:val="2"/>
        </w:rPr>
        <w:t xml:space="preserve"> </w:t>
      </w:r>
      <w:r w:rsidRPr="00C54A03">
        <w:rPr>
          <w:color w:val="000000" w:themeColor="text1"/>
        </w:rPr>
        <w:t>luate</w:t>
      </w:r>
      <w:r w:rsidRPr="00C54A03">
        <w:rPr>
          <w:color w:val="000000" w:themeColor="text1"/>
          <w:spacing w:val="-1"/>
        </w:rPr>
        <w:t xml:space="preserve"> </w:t>
      </w:r>
      <w:r w:rsidRPr="00C54A03">
        <w:rPr>
          <w:color w:val="000000" w:themeColor="text1"/>
        </w:rPr>
        <w:t>măsuri</w:t>
      </w:r>
      <w:r w:rsidRPr="00C54A03">
        <w:rPr>
          <w:color w:val="000000" w:themeColor="text1"/>
          <w:spacing w:val="-1"/>
        </w:rPr>
        <w:t xml:space="preserve"> </w:t>
      </w:r>
      <w:r w:rsidRPr="00C54A03">
        <w:rPr>
          <w:color w:val="000000" w:themeColor="text1"/>
        </w:rPr>
        <w:t>corespunzătoare.</w:t>
      </w:r>
    </w:p>
    <w:p w14:paraId="1A09F713" w14:textId="77777777" w:rsidR="00862257" w:rsidRPr="00C54A03" w:rsidRDefault="00862257" w:rsidP="008E33FD">
      <w:pPr>
        <w:widowControl w:val="0"/>
        <w:autoSpaceDE w:val="0"/>
        <w:autoSpaceDN w:val="0"/>
        <w:spacing w:before="40"/>
        <w:ind w:right="250"/>
        <w:jc w:val="both"/>
        <w:rPr>
          <w:color w:val="000000" w:themeColor="text1"/>
        </w:rPr>
      </w:pPr>
    </w:p>
    <w:p w14:paraId="0B584E6D" w14:textId="77777777" w:rsidR="00E13976" w:rsidRPr="00C54A03" w:rsidRDefault="00E13976" w:rsidP="008E33FD">
      <w:pPr>
        <w:widowControl w:val="0"/>
        <w:tabs>
          <w:tab w:val="left" w:pos="1208"/>
        </w:tabs>
        <w:autoSpaceDE w:val="0"/>
        <w:autoSpaceDN w:val="0"/>
        <w:jc w:val="both"/>
        <w:outlineLvl w:val="1"/>
        <w:rPr>
          <w:rFonts w:eastAsia="Cambria"/>
          <w:b/>
          <w:bCs/>
          <w:color w:val="000000" w:themeColor="text1"/>
        </w:rPr>
      </w:pPr>
      <w:r w:rsidRPr="00C54A03">
        <w:rPr>
          <w:rFonts w:eastAsia="Cambria"/>
          <w:b/>
          <w:bCs/>
          <w:color w:val="000000" w:themeColor="text1"/>
        </w:rPr>
        <w:t>Evaluarea</w:t>
      </w:r>
      <w:r w:rsidRPr="00C54A03">
        <w:rPr>
          <w:rFonts w:eastAsia="Cambria"/>
          <w:b/>
          <w:bCs/>
          <w:color w:val="000000" w:themeColor="text1"/>
          <w:spacing w:val="-3"/>
        </w:rPr>
        <w:t xml:space="preserve"> </w:t>
      </w:r>
      <w:r w:rsidRPr="00C54A03">
        <w:rPr>
          <w:rFonts w:eastAsia="Cambria"/>
          <w:b/>
          <w:bCs/>
          <w:color w:val="000000" w:themeColor="text1"/>
        </w:rPr>
        <w:t>tendințelor</w:t>
      </w:r>
      <w:r w:rsidRPr="00C54A03">
        <w:rPr>
          <w:rFonts w:eastAsia="Cambria"/>
          <w:b/>
          <w:bCs/>
          <w:color w:val="000000" w:themeColor="text1"/>
          <w:spacing w:val="-3"/>
        </w:rPr>
        <w:t xml:space="preserve"> </w:t>
      </w:r>
      <w:r w:rsidRPr="00C54A03">
        <w:rPr>
          <w:rFonts w:eastAsia="Cambria"/>
          <w:b/>
          <w:bCs/>
          <w:color w:val="000000" w:themeColor="text1"/>
        </w:rPr>
        <w:t>pe</w:t>
      </w:r>
      <w:r w:rsidRPr="00C54A03">
        <w:rPr>
          <w:rFonts w:eastAsia="Cambria"/>
          <w:b/>
          <w:bCs/>
          <w:color w:val="000000" w:themeColor="text1"/>
          <w:spacing w:val="-3"/>
        </w:rPr>
        <w:t xml:space="preserve"> </w:t>
      </w:r>
      <w:r w:rsidRPr="00C54A03">
        <w:rPr>
          <w:rFonts w:eastAsia="Cambria"/>
          <w:b/>
          <w:bCs/>
          <w:color w:val="000000" w:themeColor="text1"/>
        </w:rPr>
        <w:t>termen</w:t>
      </w:r>
      <w:r w:rsidRPr="00C54A03">
        <w:rPr>
          <w:rFonts w:eastAsia="Cambria"/>
          <w:b/>
          <w:bCs/>
          <w:color w:val="000000" w:themeColor="text1"/>
          <w:spacing w:val="-3"/>
        </w:rPr>
        <w:t xml:space="preserve"> </w:t>
      </w:r>
      <w:r w:rsidRPr="00C54A03">
        <w:rPr>
          <w:rFonts w:eastAsia="Cambria"/>
          <w:b/>
          <w:bCs/>
          <w:color w:val="000000" w:themeColor="text1"/>
        </w:rPr>
        <w:t>scurt</w:t>
      </w:r>
    </w:p>
    <w:p w14:paraId="55C559C1" w14:textId="77777777" w:rsidR="00E13976" w:rsidRPr="00C54A03" w:rsidRDefault="00E13976" w:rsidP="008E33FD">
      <w:pPr>
        <w:widowControl w:val="0"/>
        <w:autoSpaceDE w:val="0"/>
        <w:autoSpaceDN w:val="0"/>
        <w:spacing w:before="155"/>
        <w:ind w:right="251"/>
        <w:jc w:val="both"/>
        <w:rPr>
          <w:color w:val="000000" w:themeColor="text1"/>
        </w:rPr>
      </w:pPr>
      <w:r w:rsidRPr="00C54A03">
        <w:rPr>
          <w:color w:val="000000" w:themeColor="text1"/>
        </w:rPr>
        <w:t>Având în vedere că România este la a doua raportare în baza art. 17 al Directivei Habitate, prima</w:t>
      </w:r>
      <w:r w:rsidRPr="00C54A03">
        <w:rPr>
          <w:color w:val="000000" w:themeColor="text1"/>
          <w:spacing w:val="1"/>
        </w:rPr>
        <w:t xml:space="preserve"> </w:t>
      </w:r>
      <w:r w:rsidRPr="00C54A03">
        <w:rPr>
          <w:color w:val="000000" w:themeColor="text1"/>
        </w:rPr>
        <w:t>raportare rămânând de referință pentru următoarele rapoarte, s-a realizat evaluarea tendințelor pe</w:t>
      </w:r>
      <w:r w:rsidRPr="00C54A03">
        <w:rPr>
          <w:color w:val="000000" w:themeColor="text1"/>
          <w:spacing w:val="1"/>
        </w:rPr>
        <w:t xml:space="preserve"> </w:t>
      </w:r>
      <w:r w:rsidRPr="00C54A03">
        <w:rPr>
          <w:color w:val="000000" w:themeColor="text1"/>
        </w:rPr>
        <w:t>termen scurt a stării de conservare cu utilizarea doar a unui ciclu de raportare, spre deosebire de</w:t>
      </w:r>
      <w:r w:rsidRPr="00C54A03">
        <w:rPr>
          <w:color w:val="000000" w:themeColor="text1"/>
          <w:spacing w:val="1"/>
        </w:rPr>
        <w:t xml:space="preserve"> </w:t>
      </w:r>
      <w:r w:rsidRPr="00C54A03">
        <w:rPr>
          <w:color w:val="000000" w:themeColor="text1"/>
        </w:rPr>
        <w:t>metoda</w:t>
      </w:r>
      <w:r w:rsidRPr="00C54A03">
        <w:rPr>
          <w:color w:val="000000" w:themeColor="text1"/>
          <w:spacing w:val="-2"/>
        </w:rPr>
        <w:t xml:space="preserve"> </w:t>
      </w:r>
      <w:r w:rsidRPr="00C54A03">
        <w:rPr>
          <w:color w:val="000000" w:themeColor="text1"/>
        </w:rPr>
        <w:t>recomandată.</w:t>
      </w:r>
    </w:p>
    <w:p w14:paraId="0F1116C2" w14:textId="77777777" w:rsidR="00E13976" w:rsidRPr="00C54A03" w:rsidRDefault="00E13976" w:rsidP="008E33FD">
      <w:pPr>
        <w:widowControl w:val="0"/>
        <w:autoSpaceDE w:val="0"/>
        <w:autoSpaceDN w:val="0"/>
        <w:ind w:right="254"/>
        <w:jc w:val="both"/>
        <w:rPr>
          <w:color w:val="000000" w:themeColor="text1"/>
        </w:rPr>
      </w:pPr>
      <w:r w:rsidRPr="00C54A03">
        <w:rPr>
          <w:color w:val="000000" w:themeColor="text1"/>
        </w:rPr>
        <w:t>Metoda de evaluare a tendințelor de evoluție pe termen scurt utilizează tendința observată pentru</w:t>
      </w:r>
      <w:r w:rsidRPr="00C54A03">
        <w:rPr>
          <w:color w:val="000000" w:themeColor="text1"/>
          <w:spacing w:val="1"/>
        </w:rPr>
        <w:t xml:space="preserve"> </w:t>
      </w:r>
      <w:r w:rsidRPr="00C54A03">
        <w:rPr>
          <w:color w:val="000000" w:themeColor="text1"/>
        </w:rPr>
        <w:t>parametrii de stare precum areal de distribuție și structură și funcții raportate în urmă cu 2 cicluri de</w:t>
      </w:r>
      <w:r w:rsidRPr="00C54A03">
        <w:rPr>
          <w:color w:val="000000" w:themeColor="text1"/>
          <w:spacing w:val="1"/>
        </w:rPr>
        <w:t xml:space="preserve"> </w:t>
      </w:r>
      <w:r w:rsidRPr="00C54A03">
        <w:rPr>
          <w:color w:val="000000" w:themeColor="text1"/>
        </w:rPr>
        <w:t>raportare</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6</w:t>
      </w:r>
      <w:r w:rsidRPr="00C54A03">
        <w:rPr>
          <w:color w:val="000000" w:themeColor="text1"/>
          <w:spacing w:val="1"/>
        </w:rPr>
        <w:t xml:space="preserve"> </w:t>
      </w:r>
      <w:r w:rsidRPr="00C54A03">
        <w:rPr>
          <w:color w:val="000000" w:themeColor="text1"/>
        </w:rPr>
        <w:t>ani).</w:t>
      </w:r>
      <w:r w:rsidRPr="00C54A03">
        <w:rPr>
          <w:color w:val="000000" w:themeColor="text1"/>
          <w:spacing w:val="1"/>
        </w:rPr>
        <w:t xml:space="preserve"> </w:t>
      </w:r>
      <w:r w:rsidRPr="00C54A03">
        <w:rPr>
          <w:color w:val="000000" w:themeColor="text1"/>
        </w:rPr>
        <w:t>Tendința</w:t>
      </w:r>
      <w:r w:rsidRPr="00C54A03">
        <w:rPr>
          <w:color w:val="000000" w:themeColor="text1"/>
          <w:spacing w:val="1"/>
        </w:rPr>
        <w:t xml:space="preserve"> </w:t>
      </w:r>
      <w:r w:rsidRPr="00C54A03">
        <w:rPr>
          <w:color w:val="000000" w:themeColor="text1"/>
        </w:rPr>
        <w:t>fiind</w:t>
      </w:r>
      <w:r w:rsidRPr="00C54A03">
        <w:rPr>
          <w:color w:val="000000" w:themeColor="text1"/>
          <w:spacing w:val="1"/>
        </w:rPr>
        <w:t xml:space="preserve"> </w:t>
      </w:r>
      <w:r w:rsidRPr="00C54A03">
        <w:rPr>
          <w:color w:val="000000" w:themeColor="text1"/>
        </w:rPr>
        <w:t>evaluată</w:t>
      </w:r>
      <w:r w:rsidRPr="00C54A03">
        <w:rPr>
          <w:color w:val="000000" w:themeColor="text1"/>
          <w:spacing w:val="1"/>
        </w:rPr>
        <w:t xml:space="preserve"> </w:t>
      </w:r>
      <w:r w:rsidRPr="00C54A03">
        <w:rPr>
          <w:color w:val="000000" w:themeColor="text1"/>
        </w:rPr>
        <w:t>utilizând</w:t>
      </w:r>
      <w:r w:rsidRPr="00C54A03">
        <w:rPr>
          <w:color w:val="000000" w:themeColor="text1"/>
          <w:spacing w:val="1"/>
        </w:rPr>
        <w:t xml:space="preserve"> </w:t>
      </w:r>
      <w:r w:rsidRPr="00C54A03">
        <w:rPr>
          <w:color w:val="000000" w:themeColor="text1"/>
        </w:rPr>
        <w:t>indicatori</w:t>
      </w:r>
      <w:r w:rsidRPr="00C54A03">
        <w:rPr>
          <w:color w:val="000000" w:themeColor="text1"/>
          <w:spacing w:val="1"/>
        </w:rPr>
        <w:t xml:space="preserve"> </w:t>
      </w:r>
      <w:r w:rsidRPr="00C54A03">
        <w:rPr>
          <w:color w:val="000000" w:themeColor="text1"/>
        </w:rPr>
        <w:t>calitativi</w:t>
      </w:r>
      <w:r w:rsidRPr="00C54A03">
        <w:rPr>
          <w:color w:val="000000" w:themeColor="text1"/>
          <w:spacing w:val="1"/>
        </w:rPr>
        <w:t xml:space="preserve"> </w:t>
      </w:r>
      <w:r w:rsidRPr="00C54A03">
        <w:rPr>
          <w:color w:val="000000" w:themeColor="text1"/>
        </w:rPr>
        <w:t>precum:</w:t>
      </w:r>
      <w:r w:rsidRPr="00C54A03">
        <w:rPr>
          <w:color w:val="000000" w:themeColor="text1"/>
          <w:spacing w:val="1"/>
        </w:rPr>
        <w:t xml:space="preserve"> </w:t>
      </w:r>
      <w:r w:rsidRPr="00C54A03">
        <w:rPr>
          <w:color w:val="000000" w:themeColor="text1"/>
        </w:rPr>
        <w:t>stabilă,</w:t>
      </w:r>
      <w:r w:rsidRPr="00C54A03">
        <w:rPr>
          <w:color w:val="000000" w:themeColor="text1"/>
          <w:spacing w:val="1"/>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refacere,</w:t>
      </w:r>
      <w:r w:rsidRPr="00C54A03">
        <w:rPr>
          <w:color w:val="000000" w:themeColor="text1"/>
          <w:spacing w:val="-1"/>
        </w:rPr>
        <w:t xml:space="preserve"> </w:t>
      </w:r>
      <w:r w:rsidRPr="00C54A03">
        <w:rPr>
          <w:color w:val="000000" w:themeColor="text1"/>
        </w:rPr>
        <w:t>în declin și necunoscut.</w:t>
      </w:r>
    </w:p>
    <w:p w14:paraId="1DA2DB8F" w14:textId="77777777" w:rsidR="00E13976" w:rsidRPr="00C54A03" w:rsidRDefault="00E13976" w:rsidP="008E33FD">
      <w:pPr>
        <w:widowControl w:val="0"/>
        <w:autoSpaceDE w:val="0"/>
        <w:autoSpaceDN w:val="0"/>
        <w:ind w:right="252"/>
        <w:jc w:val="both"/>
        <w:rPr>
          <w:color w:val="000000" w:themeColor="text1"/>
        </w:rPr>
      </w:pPr>
      <w:r w:rsidRPr="00C54A03">
        <w:rPr>
          <w:color w:val="000000" w:themeColor="text1"/>
        </w:rPr>
        <w:t>Evaluarea tendințelor pe termen scurt</w:t>
      </w:r>
      <w:r w:rsidRPr="00C54A03">
        <w:rPr>
          <w:color w:val="000000" w:themeColor="text1"/>
          <w:spacing w:val="1"/>
        </w:rPr>
        <w:t xml:space="preserve"> </w:t>
      </w:r>
      <w:r w:rsidRPr="00C54A03">
        <w:rPr>
          <w:color w:val="000000" w:themeColor="text1"/>
        </w:rPr>
        <w:t>reprezintă de asemenea cheie de control pentru analiza de</w:t>
      </w:r>
      <w:r w:rsidRPr="00C54A03">
        <w:rPr>
          <w:color w:val="000000" w:themeColor="text1"/>
          <w:spacing w:val="1"/>
        </w:rPr>
        <w:t xml:space="preserve"> </w:t>
      </w:r>
      <w:r w:rsidRPr="00C54A03">
        <w:rPr>
          <w:color w:val="000000" w:themeColor="text1"/>
        </w:rPr>
        <w:t>calitate</w:t>
      </w:r>
      <w:r w:rsidRPr="00C54A03">
        <w:rPr>
          <w:color w:val="000000" w:themeColor="text1"/>
          <w:spacing w:val="-2"/>
        </w:rPr>
        <w:t xml:space="preserve"> </w:t>
      </w:r>
      <w:r w:rsidRPr="00C54A03">
        <w:rPr>
          <w:color w:val="000000" w:themeColor="text1"/>
        </w:rPr>
        <w:t>a</w:t>
      </w:r>
      <w:r w:rsidRPr="00C54A03">
        <w:rPr>
          <w:color w:val="000000" w:themeColor="text1"/>
          <w:spacing w:val="-1"/>
        </w:rPr>
        <w:t xml:space="preserve"> </w:t>
      </w:r>
      <w:r w:rsidRPr="00C54A03">
        <w:rPr>
          <w:color w:val="000000" w:themeColor="text1"/>
        </w:rPr>
        <w:t>rezultatelor</w:t>
      </w:r>
      <w:r w:rsidRPr="00C54A03">
        <w:rPr>
          <w:color w:val="000000" w:themeColor="text1"/>
          <w:spacing w:val="-1"/>
        </w:rPr>
        <w:t xml:space="preserve"> </w:t>
      </w:r>
      <w:r w:rsidRPr="00C54A03">
        <w:rPr>
          <w:color w:val="000000" w:themeColor="text1"/>
        </w:rPr>
        <w:t>raportării succesive.</w:t>
      </w:r>
    </w:p>
    <w:p w14:paraId="0BCDB094" w14:textId="77777777" w:rsidR="00862257" w:rsidRPr="00C54A03" w:rsidRDefault="00862257" w:rsidP="008E33FD">
      <w:pPr>
        <w:widowControl w:val="0"/>
        <w:autoSpaceDE w:val="0"/>
        <w:autoSpaceDN w:val="0"/>
        <w:ind w:right="252"/>
        <w:jc w:val="both"/>
        <w:rPr>
          <w:color w:val="000000" w:themeColor="text1"/>
        </w:rPr>
      </w:pPr>
    </w:p>
    <w:p w14:paraId="6CFBD702" w14:textId="77777777" w:rsidR="00E13976" w:rsidRPr="00C54A03" w:rsidRDefault="00E13976" w:rsidP="008E33FD">
      <w:pPr>
        <w:widowControl w:val="0"/>
        <w:tabs>
          <w:tab w:val="left" w:pos="1208"/>
        </w:tabs>
        <w:autoSpaceDE w:val="0"/>
        <w:autoSpaceDN w:val="0"/>
        <w:jc w:val="both"/>
        <w:outlineLvl w:val="1"/>
        <w:rPr>
          <w:rFonts w:eastAsia="Cambria"/>
          <w:b/>
          <w:bCs/>
          <w:color w:val="000000" w:themeColor="text1"/>
        </w:rPr>
      </w:pPr>
      <w:r w:rsidRPr="00C54A03">
        <w:rPr>
          <w:rFonts w:eastAsia="Cambria"/>
          <w:b/>
          <w:bCs/>
          <w:color w:val="000000" w:themeColor="text1"/>
        </w:rPr>
        <w:t>Evaluarea</w:t>
      </w:r>
      <w:r w:rsidRPr="00C54A03">
        <w:rPr>
          <w:rFonts w:eastAsia="Cambria"/>
          <w:b/>
          <w:bCs/>
          <w:color w:val="000000" w:themeColor="text1"/>
          <w:spacing w:val="-3"/>
        </w:rPr>
        <w:t xml:space="preserve"> </w:t>
      </w:r>
      <w:r w:rsidRPr="00C54A03">
        <w:rPr>
          <w:rFonts w:eastAsia="Cambria"/>
          <w:b/>
          <w:bCs/>
          <w:color w:val="000000" w:themeColor="text1"/>
        </w:rPr>
        <w:t>tendințelor</w:t>
      </w:r>
      <w:r w:rsidRPr="00C54A03">
        <w:rPr>
          <w:rFonts w:eastAsia="Cambria"/>
          <w:b/>
          <w:bCs/>
          <w:color w:val="000000" w:themeColor="text1"/>
          <w:spacing w:val="-3"/>
        </w:rPr>
        <w:t xml:space="preserve"> </w:t>
      </w:r>
      <w:r w:rsidRPr="00C54A03">
        <w:rPr>
          <w:rFonts w:eastAsia="Cambria"/>
          <w:b/>
          <w:bCs/>
          <w:color w:val="000000" w:themeColor="text1"/>
        </w:rPr>
        <w:t>pe</w:t>
      </w:r>
      <w:r w:rsidRPr="00C54A03">
        <w:rPr>
          <w:rFonts w:eastAsia="Cambria"/>
          <w:b/>
          <w:bCs/>
          <w:color w:val="000000" w:themeColor="text1"/>
          <w:spacing w:val="-3"/>
        </w:rPr>
        <w:t xml:space="preserve"> </w:t>
      </w:r>
      <w:r w:rsidRPr="00C54A03">
        <w:rPr>
          <w:rFonts w:eastAsia="Cambria"/>
          <w:b/>
          <w:bCs/>
          <w:color w:val="000000" w:themeColor="text1"/>
        </w:rPr>
        <w:t>termen</w:t>
      </w:r>
      <w:r w:rsidRPr="00C54A03">
        <w:rPr>
          <w:rFonts w:eastAsia="Cambria"/>
          <w:b/>
          <w:bCs/>
          <w:color w:val="000000" w:themeColor="text1"/>
          <w:spacing w:val="-3"/>
        </w:rPr>
        <w:t xml:space="preserve"> </w:t>
      </w:r>
      <w:r w:rsidRPr="00C54A03">
        <w:rPr>
          <w:rFonts w:eastAsia="Cambria"/>
          <w:b/>
          <w:bCs/>
          <w:color w:val="000000" w:themeColor="text1"/>
        </w:rPr>
        <w:t>lung</w:t>
      </w:r>
    </w:p>
    <w:p w14:paraId="14745F3D" w14:textId="77777777" w:rsidR="00E13976" w:rsidRPr="00C54A03" w:rsidRDefault="00E13976" w:rsidP="008E33FD">
      <w:pPr>
        <w:widowControl w:val="0"/>
        <w:autoSpaceDE w:val="0"/>
        <w:autoSpaceDN w:val="0"/>
        <w:spacing w:before="157"/>
        <w:ind w:right="253"/>
        <w:jc w:val="both"/>
        <w:rPr>
          <w:color w:val="000000" w:themeColor="text1"/>
        </w:rPr>
      </w:pPr>
      <w:r w:rsidRPr="00C54A03">
        <w:rPr>
          <w:color w:val="000000" w:themeColor="text1"/>
        </w:rPr>
        <w:t>Având în vedere că România este la a doua raportare în baza art. 17 al Directivei Habitate, prima</w:t>
      </w:r>
      <w:r w:rsidRPr="00C54A03">
        <w:rPr>
          <w:color w:val="000000" w:themeColor="text1"/>
          <w:spacing w:val="1"/>
        </w:rPr>
        <w:t xml:space="preserve"> </w:t>
      </w:r>
      <w:r w:rsidRPr="00C54A03">
        <w:rPr>
          <w:color w:val="000000" w:themeColor="text1"/>
        </w:rPr>
        <w:t>raportare rămânând de referință pentru următoarele rapoarte, s-a realizat evaluarea tendințelor pe</w:t>
      </w:r>
      <w:r w:rsidRPr="00C54A03">
        <w:rPr>
          <w:color w:val="000000" w:themeColor="text1"/>
          <w:spacing w:val="1"/>
        </w:rPr>
        <w:t xml:space="preserve"> </w:t>
      </w:r>
      <w:r w:rsidRPr="00C54A03">
        <w:rPr>
          <w:color w:val="000000" w:themeColor="text1"/>
        </w:rPr>
        <w:t>termen lung</w:t>
      </w:r>
      <w:r w:rsidRPr="00C54A03">
        <w:rPr>
          <w:color w:val="000000" w:themeColor="text1"/>
          <w:spacing w:val="1"/>
        </w:rPr>
        <w:t xml:space="preserve"> </w:t>
      </w:r>
      <w:r w:rsidRPr="00C54A03">
        <w:rPr>
          <w:color w:val="000000" w:themeColor="text1"/>
        </w:rPr>
        <w:t>a stării de conservare cu utilizarea doar a unui ciclu de raportare, spre deosebire de</w:t>
      </w:r>
      <w:r w:rsidRPr="00C54A03">
        <w:rPr>
          <w:color w:val="000000" w:themeColor="text1"/>
          <w:spacing w:val="1"/>
        </w:rPr>
        <w:t xml:space="preserve"> </w:t>
      </w:r>
      <w:r w:rsidRPr="00C54A03">
        <w:rPr>
          <w:color w:val="000000" w:themeColor="text1"/>
        </w:rPr>
        <w:t>metoda</w:t>
      </w:r>
      <w:r w:rsidRPr="00C54A03">
        <w:rPr>
          <w:color w:val="000000" w:themeColor="text1"/>
          <w:spacing w:val="-2"/>
        </w:rPr>
        <w:t xml:space="preserve"> </w:t>
      </w:r>
      <w:r w:rsidRPr="00C54A03">
        <w:rPr>
          <w:color w:val="000000" w:themeColor="text1"/>
        </w:rPr>
        <w:t>recomandată.</w:t>
      </w:r>
    </w:p>
    <w:p w14:paraId="4F767635" w14:textId="77777777" w:rsidR="00E13976" w:rsidRPr="00C54A03" w:rsidRDefault="00E13976" w:rsidP="008E33FD">
      <w:pPr>
        <w:widowControl w:val="0"/>
        <w:autoSpaceDE w:val="0"/>
        <w:autoSpaceDN w:val="0"/>
        <w:spacing w:before="1"/>
        <w:ind w:right="249"/>
        <w:jc w:val="both"/>
        <w:rPr>
          <w:color w:val="000000" w:themeColor="text1"/>
        </w:rPr>
      </w:pPr>
      <w:r w:rsidRPr="00C54A03">
        <w:rPr>
          <w:color w:val="000000" w:themeColor="text1"/>
        </w:rPr>
        <w:t>Metoda de evaluare a tendințelor de evoluție pe termen lung utilizează tendința observată pentru</w:t>
      </w:r>
      <w:r w:rsidRPr="00C54A03">
        <w:rPr>
          <w:color w:val="000000" w:themeColor="text1"/>
          <w:spacing w:val="1"/>
        </w:rPr>
        <w:t xml:space="preserve"> </w:t>
      </w:r>
      <w:r w:rsidRPr="00C54A03">
        <w:rPr>
          <w:color w:val="000000" w:themeColor="text1"/>
        </w:rPr>
        <w:t>parametrii de stare precum areal de distribuție și structură și funcții raportate în urmă cu 4 cicluri de</w:t>
      </w:r>
      <w:r w:rsidRPr="00C54A03">
        <w:rPr>
          <w:color w:val="000000" w:themeColor="text1"/>
          <w:spacing w:val="1"/>
        </w:rPr>
        <w:t xml:space="preserve"> </w:t>
      </w:r>
      <w:r w:rsidRPr="00C54A03">
        <w:rPr>
          <w:color w:val="000000" w:themeColor="text1"/>
        </w:rPr>
        <w:t>raportare</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6</w:t>
      </w:r>
      <w:r w:rsidRPr="00C54A03">
        <w:rPr>
          <w:color w:val="000000" w:themeColor="text1"/>
          <w:spacing w:val="1"/>
        </w:rPr>
        <w:t xml:space="preserve"> </w:t>
      </w:r>
      <w:r w:rsidRPr="00C54A03">
        <w:rPr>
          <w:color w:val="000000" w:themeColor="text1"/>
        </w:rPr>
        <w:t>ani).</w:t>
      </w:r>
      <w:r w:rsidRPr="00C54A03">
        <w:rPr>
          <w:color w:val="000000" w:themeColor="text1"/>
          <w:spacing w:val="1"/>
        </w:rPr>
        <w:t xml:space="preserve"> </w:t>
      </w:r>
      <w:r w:rsidRPr="00C54A03">
        <w:rPr>
          <w:color w:val="000000" w:themeColor="text1"/>
        </w:rPr>
        <w:t>Tendința</w:t>
      </w:r>
      <w:r w:rsidRPr="00C54A03">
        <w:rPr>
          <w:color w:val="000000" w:themeColor="text1"/>
          <w:spacing w:val="1"/>
        </w:rPr>
        <w:t xml:space="preserve"> </w:t>
      </w:r>
      <w:r w:rsidRPr="00C54A03">
        <w:rPr>
          <w:color w:val="000000" w:themeColor="text1"/>
        </w:rPr>
        <w:t>fiind</w:t>
      </w:r>
      <w:r w:rsidRPr="00C54A03">
        <w:rPr>
          <w:color w:val="000000" w:themeColor="text1"/>
          <w:spacing w:val="1"/>
        </w:rPr>
        <w:t xml:space="preserve"> </w:t>
      </w:r>
      <w:r w:rsidRPr="00C54A03">
        <w:rPr>
          <w:color w:val="000000" w:themeColor="text1"/>
        </w:rPr>
        <w:t>evaluată</w:t>
      </w:r>
      <w:r w:rsidRPr="00C54A03">
        <w:rPr>
          <w:color w:val="000000" w:themeColor="text1"/>
          <w:spacing w:val="1"/>
        </w:rPr>
        <w:t xml:space="preserve"> </w:t>
      </w:r>
      <w:r w:rsidRPr="00C54A03">
        <w:rPr>
          <w:color w:val="000000" w:themeColor="text1"/>
        </w:rPr>
        <w:t>utilizând</w:t>
      </w:r>
      <w:r w:rsidRPr="00C54A03">
        <w:rPr>
          <w:color w:val="000000" w:themeColor="text1"/>
          <w:spacing w:val="1"/>
        </w:rPr>
        <w:t xml:space="preserve"> </w:t>
      </w:r>
      <w:r w:rsidRPr="00C54A03">
        <w:rPr>
          <w:color w:val="000000" w:themeColor="text1"/>
        </w:rPr>
        <w:t>indicatori</w:t>
      </w:r>
      <w:r w:rsidRPr="00C54A03">
        <w:rPr>
          <w:color w:val="000000" w:themeColor="text1"/>
          <w:spacing w:val="1"/>
        </w:rPr>
        <w:t xml:space="preserve"> </w:t>
      </w:r>
      <w:r w:rsidRPr="00C54A03">
        <w:rPr>
          <w:color w:val="000000" w:themeColor="text1"/>
        </w:rPr>
        <w:t>calitativi</w:t>
      </w:r>
      <w:r w:rsidRPr="00C54A03">
        <w:rPr>
          <w:color w:val="000000" w:themeColor="text1"/>
          <w:spacing w:val="1"/>
        </w:rPr>
        <w:t xml:space="preserve"> </w:t>
      </w:r>
      <w:r w:rsidRPr="00C54A03">
        <w:rPr>
          <w:color w:val="000000" w:themeColor="text1"/>
        </w:rPr>
        <w:t>precum:</w:t>
      </w:r>
      <w:r w:rsidRPr="00C54A03">
        <w:rPr>
          <w:color w:val="000000" w:themeColor="text1"/>
          <w:spacing w:val="1"/>
        </w:rPr>
        <w:t xml:space="preserve"> </w:t>
      </w:r>
      <w:r w:rsidRPr="00C54A03">
        <w:rPr>
          <w:color w:val="000000" w:themeColor="text1"/>
        </w:rPr>
        <w:t>stabilă,</w:t>
      </w:r>
      <w:r w:rsidRPr="00C54A03">
        <w:rPr>
          <w:color w:val="000000" w:themeColor="text1"/>
          <w:spacing w:val="60"/>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refacere,</w:t>
      </w:r>
      <w:r w:rsidRPr="00C54A03">
        <w:rPr>
          <w:color w:val="000000" w:themeColor="text1"/>
          <w:spacing w:val="-1"/>
        </w:rPr>
        <w:t xml:space="preserve"> </w:t>
      </w:r>
      <w:r w:rsidRPr="00C54A03">
        <w:rPr>
          <w:color w:val="000000" w:themeColor="text1"/>
        </w:rPr>
        <w:t>în declin și necunoscut.</w:t>
      </w:r>
    </w:p>
    <w:p w14:paraId="0EA1C14C" w14:textId="77777777" w:rsidR="00E13976" w:rsidRPr="00C54A03" w:rsidRDefault="00E13976" w:rsidP="008E33FD">
      <w:pPr>
        <w:widowControl w:val="0"/>
        <w:autoSpaceDE w:val="0"/>
        <w:autoSpaceDN w:val="0"/>
        <w:ind w:right="257"/>
        <w:jc w:val="both"/>
        <w:rPr>
          <w:color w:val="000000" w:themeColor="text1"/>
        </w:rPr>
      </w:pPr>
      <w:r w:rsidRPr="00C54A03">
        <w:rPr>
          <w:color w:val="000000" w:themeColor="text1"/>
        </w:rPr>
        <w:t>Evaluarea tendințelor pe termen lung</w:t>
      </w:r>
      <w:r w:rsidRPr="00C54A03">
        <w:rPr>
          <w:color w:val="000000" w:themeColor="text1"/>
          <w:spacing w:val="1"/>
        </w:rPr>
        <w:t xml:space="preserve"> </w:t>
      </w:r>
      <w:r w:rsidRPr="00C54A03">
        <w:rPr>
          <w:color w:val="000000" w:themeColor="text1"/>
        </w:rPr>
        <w:t>reprezintă de asemenea cheie de control pentru analiza de</w:t>
      </w:r>
      <w:r w:rsidRPr="00C54A03">
        <w:rPr>
          <w:color w:val="000000" w:themeColor="text1"/>
          <w:spacing w:val="1"/>
        </w:rPr>
        <w:t xml:space="preserve"> </w:t>
      </w:r>
      <w:r w:rsidRPr="00C54A03">
        <w:rPr>
          <w:color w:val="000000" w:themeColor="text1"/>
        </w:rPr>
        <w:t>calitate</w:t>
      </w:r>
      <w:r w:rsidRPr="00C54A03">
        <w:rPr>
          <w:color w:val="000000" w:themeColor="text1"/>
          <w:spacing w:val="-2"/>
        </w:rPr>
        <w:t xml:space="preserve"> </w:t>
      </w:r>
      <w:r w:rsidRPr="00C54A03">
        <w:rPr>
          <w:color w:val="000000" w:themeColor="text1"/>
        </w:rPr>
        <w:t>a</w:t>
      </w:r>
      <w:r w:rsidRPr="00C54A03">
        <w:rPr>
          <w:color w:val="000000" w:themeColor="text1"/>
          <w:spacing w:val="-1"/>
        </w:rPr>
        <w:t xml:space="preserve"> </w:t>
      </w:r>
      <w:r w:rsidRPr="00C54A03">
        <w:rPr>
          <w:color w:val="000000" w:themeColor="text1"/>
        </w:rPr>
        <w:t>rezultatelor</w:t>
      </w:r>
      <w:r w:rsidRPr="00C54A03">
        <w:rPr>
          <w:color w:val="000000" w:themeColor="text1"/>
          <w:spacing w:val="-1"/>
        </w:rPr>
        <w:t xml:space="preserve"> </w:t>
      </w:r>
      <w:r w:rsidRPr="00C54A03">
        <w:rPr>
          <w:color w:val="000000" w:themeColor="text1"/>
        </w:rPr>
        <w:t>raportării succesive.</w:t>
      </w:r>
    </w:p>
    <w:p w14:paraId="6E81459E" w14:textId="77777777" w:rsidR="00862257" w:rsidRPr="00C54A03" w:rsidRDefault="00862257" w:rsidP="008E33FD">
      <w:pPr>
        <w:widowControl w:val="0"/>
        <w:autoSpaceDE w:val="0"/>
        <w:autoSpaceDN w:val="0"/>
        <w:ind w:right="257"/>
        <w:jc w:val="both"/>
        <w:rPr>
          <w:color w:val="000000" w:themeColor="text1"/>
        </w:rPr>
      </w:pPr>
    </w:p>
    <w:p w14:paraId="7058A366" w14:textId="77777777" w:rsidR="00E13976" w:rsidRPr="00C54A03" w:rsidRDefault="00E13976" w:rsidP="008E33FD">
      <w:pPr>
        <w:widowControl w:val="0"/>
        <w:tabs>
          <w:tab w:val="left" w:pos="1208"/>
        </w:tabs>
        <w:autoSpaceDE w:val="0"/>
        <w:autoSpaceDN w:val="0"/>
        <w:jc w:val="both"/>
        <w:outlineLvl w:val="1"/>
        <w:rPr>
          <w:rFonts w:eastAsia="Cambria"/>
          <w:b/>
          <w:bCs/>
          <w:color w:val="000000" w:themeColor="text1"/>
        </w:rPr>
      </w:pPr>
      <w:r w:rsidRPr="00C54A03">
        <w:rPr>
          <w:rFonts w:eastAsia="Cambria"/>
          <w:b/>
          <w:bCs/>
          <w:color w:val="000000" w:themeColor="text1"/>
        </w:rPr>
        <w:t>Evaluarea</w:t>
      </w:r>
      <w:r w:rsidRPr="00C54A03">
        <w:rPr>
          <w:rFonts w:eastAsia="Cambria"/>
          <w:b/>
          <w:bCs/>
          <w:color w:val="000000" w:themeColor="text1"/>
          <w:spacing w:val="-5"/>
        </w:rPr>
        <w:t xml:space="preserve"> </w:t>
      </w:r>
      <w:r w:rsidRPr="00C54A03">
        <w:rPr>
          <w:rFonts w:eastAsia="Cambria"/>
          <w:b/>
          <w:bCs/>
          <w:color w:val="000000" w:themeColor="text1"/>
        </w:rPr>
        <w:t>presiunilor</w:t>
      </w:r>
      <w:r w:rsidRPr="00C54A03">
        <w:rPr>
          <w:rFonts w:eastAsia="Cambria"/>
          <w:b/>
          <w:bCs/>
          <w:color w:val="000000" w:themeColor="text1"/>
          <w:spacing w:val="-6"/>
        </w:rPr>
        <w:t xml:space="preserve"> </w:t>
      </w:r>
      <w:r w:rsidRPr="00C54A03">
        <w:rPr>
          <w:rFonts w:eastAsia="Cambria"/>
          <w:b/>
          <w:bCs/>
          <w:color w:val="000000" w:themeColor="text1"/>
        </w:rPr>
        <w:t>si</w:t>
      </w:r>
      <w:r w:rsidRPr="00C54A03">
        <w:rPr>
          <w:rFonts w:eastAsia="Cambria"/>
          <w:b/>
          <w:bCs/>
          <w:color w:val="000000" w:themeColor="text1"/>
          <w:spacing w:val="-6"/>
        </w:rPr>
        <w:t xml:space="preserve"> </w:t>
      </w:r>
      <w:r w:rsidRPr="00C54A03">
        <w:rPr>
          <w:rFonts w:eastAsia="Cambria"/>
          <w:b/>
          <w:bCs/>
          <w:color w:val="000000" w:themeColor="text1"/>
        </w:rPr>
        <w:t>amenințărilor</w:t>
      </w:r>
    </w:p>
    <w:p w14:paraId="13817A91" w14:textId="77777777" w:rsidR="00E13976" w:rsidRPr="00C54A03" w:rsidRDefault="00E13976" w:rsidP="008E33FD">
      <w:pPr>
        <w:widowControl w:val="0"/>
        <w:autoSpaceDE w:val="0"/>
        <w:autoSpaceDN w:val="0"/>
        <w:spacing w:before="157"/>
        <w:ind w:right="253"/>
        <w:jc w:val="both"/>
        <w:rPr>
          <w:color w:val="000000" w:themeColor="text1"/>
        </w:rPr>
      </w:pPr>
      <w:r w:rsidRPr="00C54A03">
        <w:rPr>
          <w:color w:val="000000" w:themeColor="text1"/>
        </w:rPr>
        <w:t>Se utilizează nomenclatorul de presiuni și amenințări agreat la nivel european, atașat prezentului</w:t>
      </w:r>
      <w:r w:rsidRPr="00C54A03">
        <w:rPr>
          <w:color w:val="000000" w:themeColor="text1"/>
          <w:spacing w:val="1"/>
        </w:rPr>
        <w:t xml:space="preserve"> </w:t>
      </w:r>
      <w:r w:rsidRPr="00C54A03">
        <w:rPr>
          <w:color w:val="000000" w:themeColor="text1"/>
        </w:rPr>
        <w:t>document.</w:t>
      </w:r>
    </w:p>
    <w:p w14:paraId="6947BF8D" w14:textId="77777777" w:rsidR="00E13976" w:rsidRPr="00C54A03" w:rsidRDefault="00E13976" w:rsidP="008E33FD">
      <w:pPr>
        <w:widowControl w:val="0"/>
        <w:autoSpaceDE w:val="0"/>
        <w:autoSpaceDN w:val="0"/>
        <w:ind w:right="254"/>
        <w:jc w:val="both"/>
        <w:rPr>
          <w:color w:val="000000" w:themeColor="text1"/>
        </w:rPr>
      </w:pPr>
      <w:r w:rsidRPr="00C54A03">
        <w:rPr>
          <w:color w:val="000000" w:themeColor="text1"/>
        </w:rPr>
        <w:t>Presiunile observate în studiul de teren sunt evaluate stabilindu-se intensitatea specifică a fiecăreia</w:t>
      </w:r>
      <w:r w:rsidRPr="00C54A03">
        <w:rPr>
          <w:color w:val="000000" w:themeColor="text1"/>
          <w:spacing w:val="1"/>
        </w:rPr>
        <w:t xml:space="preserve"> </w:t>
      </w:r>
      <w:r w:rsidRPr="00C54A03">
        <w:rPr>
          <w:color w:val="000000" w:themeColor="text1"/>
        </w:rPr>
        <w:t>ce</w:t>
      </w:r>
      <w:r w:rsidRPr="00C54A03">
        <w:rPr>
          <w:color w:val="000000" w:themeColor="text1"/>
          <w:spacing w:val="31"/>
        </w:rPr>
        <w:t xml:space="preserve"> </w:t>
      </w:r>
      <w:r w:rsidRPr="00C54A03">
        <w:rPr>
          <w:color w:val="000000" w:themeColor="text1"/>
        </w:rPr>
        <w:t>se</w:t>
      </w:r>
      <w:r w:rsidRPr="00C54A03">
        <w:rPr>
          <w:color w:val="000000" w:themeColor="text1"/>
          <w:spacing w:val="34"/>
        </w:rPr>
        <w:t xml:space="preserve"> </w:t>
      </w:r>
      <w:r w:rsidRPr="00C54A03">
        <w:rPr>
          <w:color w:val="000000" w:themeColor="text1"/>
        </w:rPr>
        <w:t>exercită</w:t>
      </w:r>
      <w:r w:rsidRPr="00C54A03">
        <w:rPr>
          <w:color w:val="000000" w:themeColor="text1"/>
          <w:spacing w:val="31"/>
        </w:rPr>
        <w:t xml:space="preserve"> </w:t>
      </w:r>
      <w:r w:rsidRPr="00C54A03">
        <w:rPr>
          <w:color w:val="000000" w:themeColor="text1"/>
        </w:rPr>
        <w:t>asupra</w:t>
      </w:r>
      <w:r w:rsidRPr="00C54A03">
        <w:rPr>
          <w:color w:val="000000" w:themeColor="text1"/>
          <w:spacing w:val="30"/>
        </w:rPr>
        <w:t xml:space="preserve"> </w:t>
      </w:r>
      <w:r w:rsidRPr="00C54A03">
        <w:rPr>
          <w:color w:val="000000" w:themeColor="text1"/>
        </w:rPr>
        <w:t>habitatului</w:t>
      </w:r>
      <w:r w:rsidRPr="00C54A03">
        <w:rPr>
          <w:color w:val="000000" w:themeColor="text1"/>
          <w:spacing w:val="32"/>
        </w:rPr>
        <w:t xml:space="preserve"> </w:t>
      </w:r>
      <w:r w:rsidRPr="00C54A03">
        <w:rPr>
          <w:color w:val="000000" w:themeColor="text1"/>
        </w:rPr>
        <w:t>țintă.</w:t>
      </w:r>
      <w:r w:rsidRPr="00C54A03">
        <w:rPr>
          <w:color w:val="000000" w:themeColor="text1"/>
          <w:spacing w:val="32"/>
        </w:rPr>
        <w:t xml:space="preserve"> </w:t>
      </w:r>
      <w:r w:rsidRPr="00C54A03">
        <w:rPr>
          <w:color w:val="000000" w:themeColor="text1"/>
        </w:rPr>
        <w:t>Categoriile</w:t>
      </w:r>
      <w:r w:rsidRPr="00C54A03">
        <w:rPr>
          <w:color w:val="000000" w:themeColor="text1"/>
          <w:spacing w:val="31"/>
        </w:rPr>
        <w:t xml:space="preserve"> </w:t>
      </w:r>
      <w:r w:rsidRPr="00C54A03">
        <w:rPr>
          <w:color w:val="000000" w:themeColor="text1"/>
        </w:rPr>
        <w:t>de</w:t>
      </w:r>
      <w:r w:rsidRPr="00C54A03">
        <w:rPr>
          <w:color w:val="000000" w:themeColor="text1"/>
          <w:spacing w:val="33"/>
        </w:rPr>
        <w:t xml:space="preserve"> </w:t>
      </w:r>
      <w:r w:rsidRPr="00C54A03">
        <w:rPr>
          <w:color w:val="000000" w:themeColor="text1"/>
        </w:rPr>
        <w:t>evaluare</w:t>
      </w:r>
      <w:r w:rsidRPr="00C54A03">
        <w:rPr>
          <w:color w:val="000000" w:themeColor="text1"/>
          <w:spacing w:val="31"/>
        </w:rPr>
        <w:t xml:space="preserve"> </w:t>
      </w:r>
      <w:r w:rsidRPr="00C54A03">
        <w:rPr>
          <w:color w:val="000000" w:themeColor="text1"/>
        </w:rPr>
        <w:t>a</w:t>
      </w:r>
      <w:r w:rsidRPr="00C54A03">
        <w:rPr>
          <w:color w:val="000000" w:themeColor="text1"/>
          <w:spacing w:val="33"/>
        </w:rPr>
        <w:t xml:space="preserve"> </w:t>
      </w:r>
      <w:r w:rsidRPr="00C54A03">
        <w:rPr>
          <w:color w:val="000000" w:themeColor="text1"/>
        </w:rPr>
        <w:t>intensității</w:t>
      </w:r>
      <w:r w:rsidRPr="00C54A03">
        <w:rPr>
          <w:color w:val="000000" w:themeColor="text1"/>
          <w:spacing w:val="32"/>
        </w:rPr>
        <w:t xml:space="preserve"> </w:t>
      </w:r>
      <w:r w:rsidRPr="00C54A03">
        <w:rPr>
          <w:color w:val="000000" w:themeColor="text1"/>
        </w:rPr>
        <w:t>sunt</w:t>
      </w:r>
      <w:r w:rsidRPr="00C54A03">
        <w:rPr>
          <w:color w:val="000000" w:themeColor="text1"/>
          <w:spacing w:val="32"/>
        </w:rPr>
        <w:t xml:space="preserve"> </w:t>
      </w:r>
      <w:r w:rsidRPr="00C54A03">
        <w:rPr>
          <w:color w:val="000000" w:themeColor="text1"/>
        </w:rPr>
        <w:t>de</w:t>
      </w:r>
      <w:r w:rsidRPr="00C54A03">
        <w:rPr>
          <w:color w:val="000000" w:themeColor="text1"/>
          <w:spacing w:val="32"/>
        </w:rPr>
        <w:t xml:space="preserve"> </w:t>
      </w:r>
      <w:r w:rsidRPr="00C54A03">
        <w:rPr>
          <w:color w:val="000000" w:themeColor="text1"/>
        </w:rPr>
        <w:t>asemenea</w:t>
      </w:r>
      <w:r w:rsidRPr="00C54A03">
        <w:rPr>
          <w:color w:val="000000" w:themeColor="text1"/>
          <w:spacing w:val="31"/>
        </w:rPr>
        <w:t xml:space="preserve"> </w:t>
      </w:r>
      <w:r w:rsidRPr="00C54A03">
        <w:rPr>
          <w:color w:val="000000" w:themeColor="text1"/>
        </w:rPr>
        <w:t>de</w:t>
      </w:r>
      <w:r w:rsidRPr="00C54A03">
        <w:rPr>
          <w:color w:val="000000" w:themeColor="text1"/>
          <w:spacing w:val="-58"/>
        </w:rPr>
        <w:t xml:space="preserve"> </w:t>
      </w:r>
      <w:r w:rsidRPr="00C54A03">
        <w:rPr>
          <w:color w:val="000000" w:themeColor="text1"/>
        </w:rPr>
        <w:t>nivel</w:t>
      </w:r>
      <w:r w:rsidRPr="00C54A03">
        <w:rPr>
          <w:color w:val="000000" w:themeColor="text1"/>
          <w:spacing w:val="1"/>
        </w:rPr>
        <w:t xml:space="preserve"> </w:t>
      </w:r>
      <w:r w:rsidRPr="00C54A03">
        <w:rPr>
          <w:color w:val="000000" w:themeColor="text1"/>
        </w:rPr>
        <w:t>calitativ,</w:t>
      </w:r>
      <w:r w:rsidRPr="00C54A03">
        <w:rPr>
          <w:color w:val="000000" w:themeColor="text1"/>
          <w:spacing w:val="1"/>
        </w:rPr>
        <w:t xml:space="preserve"> </w:t>
      </w:r>
      <w:r w:rsidRPr="00C54A03">
        <w:rPr>
          <w:color w:val="000000" w:themeColor="text1"/>
        </w:rPr>
        <w:t>respectiv:</w:t>
      </w:r>
      <w:r w:rsidRPr="00C54A03">
        <w:rPr>
          <w:color w:val="000000" w:themeColor="text1"/>
          <w:spacing w:val="1"/>
        </w:rPr>
        <w:t xml:space="preserve"> </w:t>
      </w:r>
      <w:r w:rsidRPr="00C54A03">
        <w:rPr>
          <w:color w:val="000000" w:themeColor="text1"/>
        </w:rPr>
        <w:t>intensitate</w:t>
      </w:r>
      <w:r w:rsidRPr="00C54A03">
        <w:rPr>
          <w:color w:val="000000" w:themeColor="text1"/>
          <w:spacing w:val="1"/>
        </w:rPr>
        <w:t xml:space="preserve"> </w:t>
      </w:r>
      <w:r w:rsidRPr="00C54A03">
        <w:rPr>
          <w:color w:val="000000" w:themeColor="text1"/>
        </w:rPr>
        <w:t>mică,</w:t>
      </w:r>
      <w:r w:rsidRPr="00C54A03">
        <w:rPr>
          <w:color w:val="000000" w:themeColor="text1"/>
          <w:spacing w:val="1"/>
        </w:rPr>
        <w:t xml:space="preserve"> </w:t>
      </w:r>
      <w:r w:rsidRPr="00C54A03">
        <w:rPr>
          <w:color w:val="000000" w:themeColor="text1"/>
        </w:rPr>
        <w:t>intensitate</w:t>
      </w:r>
      <w:r w:rsidRPr="00C54A03">
        <w:rPr>
          <w:color w:val="000000" w:themeColor="text1"/>
          <w:spacing w:val="1"/>
        </w:rPr>
        <w:t xml:space="preserve"> </w:t>
      </w:r>
      <w:r w:rsidRPr="00C54A03">
        <w:rPr>
          <w:color w:val="000000" w:themeColor="text1"/>
        </w:rPr>
        <w:t>medie,</w:t>
      </w:r>
      <w:r w:rsidRPr="00C54A03">
        <w:rPr>
          <w:color w:val="000000" w:themeColor="text1"/>
          <w:spacing w:val="1"/>
        </w:rPr>
        <w:t xml:space="preserve"> </w:t>
      </w:r>
      <w:r w:rsidRPr="00C54A03">
        <w:rPr>
          <w:color w:val="000000" w:themeColor="text1"/>
        </w:rPr>
        <w:t>intensitate</w:t>
      </w:r>
      <w:r w:rsidRPr="00C54A03">
        <w:rPr>
          <w:color w:val="000000" w:themeColor="text1"/>
          <w:spacing w:val="1"/>
        </w:rPr>
        <w:t xml:space="preserve"> </w:t>
      </w:r>
      <w:r w:rsidRPr="00C54A03">
        <w:rPr>
          <w:color w:val="000000" w:themeColor="text1"/>
        </w:rPr>
        <w:t>mare,</w:t>
      </w:r>
      <w:r w:rsidRPr="00C54A03">
        <w:rPr>
          <w:color w:val="000000" w:themeColor="text1"/>
          <w:spacing w:val="1"/>
        </w:rPr>
        <w:t xml:space="preserve"> </w:t>
      </w:r>
      <w:r w:rsidRPr="00C54A03">
        <w:rPr>
          <w:color w:val="000000" w:themeColor="text1"/>
        </w:rPr>
        <w:t>intensitate</w:t>
      </w:r>
      <w:r w:rsidRPr="00C54A03">
        <w:rPr>
          <w:color w:val="000000" w:themeColor="text1"/>
          <w:spacing w:val="1"/>
        </w:rPr>
        <w:t xml:space="preserve"> </w:t>
      </w:r>
      <w:r w:rsidRPr="00C54A03">
        <w:rPr>
          <w:color w:val="000000" w:themeColor="text1"/>
        </w:rPr>
        <w:t>necunoscută.</w:t>
      </w:r>
    </w:p>
    <w:p w14:paraId="008C6AE1" w14:textId="77777777" w:rsidR="00E13976" w:rsidRPr="00C54A03" w:rsidRDefault="00E13976" w:rsidP="008E33FD">
      <w:pPr>
        <w:widowControl w:val="0"/>
        <w:autoSpaceDE w:val="0"/>
        <w:autoSpaceDN w:val="0"/>
        <w:spacing w:before="1"/>
        <w:ind w:right="250"/>
        <w:jc w:val="both"/>
        <w:rPr>
          <w:color w:val="000000" w:themeColor="text1"/>
        </w:rPr>
      </w:pPr>
      <w:r w:rsidRPr="00C54A03">
        <w:rPr>
          <w:color w:val="000000" w:themeColor="text1"/>
        </w:rPr>
        <w:t>Amenințările</w:t>
      </w:r>
      <w:r w:rsidRPr="00C54A03">
        <w:rPr>
          <w:color w:val="000000" w:themeColor="text1"/>
          <w:spacing w:val="1"/>
        </w:rPr>
        <w:t xml:space="preserve"> </w:t>
      </w:r>
      <w:r w:rsidRPr="00C54A03">
        <w:rPr>
          <w:color w:val="000000" w:themeColor="text1"/>
        </w:rPr>
        <w:t>estimate,</w:t>
      </w:r>
      <w:r w:rsidRPr="00C54A03">
        <w:rPr>
          <w:color w:val="000000" w:themeColor="text1"/>
          <w:spacing w:val="1"/>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urma</w:t>
      </w:r>
      <w:r w:rsidRPr="00C54A03">
        <w:rPr>
          <w:color w:val="000000" w:themeColor="text1"/>
          <w:spacing w:val="1"/>
        </w:rPr>
        <w:t xml:space="preserve"> </w:t>
      </w:r>
      <w:r w:rsidRPr="00C54A03">
        <w:rPr>
          <w:color w:val="000000" w:themeColor="text1"/>
        </w:rPr>
        <w:t>analizei</w:t>
      </w:r>
      <w:r w:rsidRPr="00C54A03">
        <w:rPr>
          <w:color w:val="000000" w:themeColor="text1"/>
          <w:spacing w:val="1"/>
        </w:rPr>
        <w:t xml:space="preserve"> </w:t>
      </w:r>
      <w:r w:rsidRPr="00C54A03">
        <w:rPr>
          <w:color w:val="000000" w:themeColor="text1"/>
        </w:rPr>
        <w:t>presiunilor</w:t>
      </w:r>
      <w:r w:rsidRPr="00C54A03">
        <w:rPr>
          <w:color w:val="000000" w:themeColor="text1"/>
          <w:spacing w:val="1"/>
        </w:rPr>
        <w:t xml:space="preserve"> </w:t>
      </w:r>
      <w:r w:rsidRPr="00C54A03">
        <w:rPr>
          <w:color w:val="000000" w:themeColor="text1"/>
        </w:rPr>
        <w:t>existente</w:t>
      </w:r>
      <w:r w:rsidRPr="00C54A03">
        <w:rPr>
          <w:color w:val="000000" w:themeColor="text1"/>
          <w:spacing w:val="1"/>
        </w:rPr>
        <w:t xml:space="preserve"> </w:t>
      </w:r>
      <w:r w:rsidRPr="00C54A03">
        <w:rPr>
          <w:color w:val="000000" w:themeColor="text1"/>
        </w:rPr>
        <w:t>observate</w:t>
      </w:r>
      <w:r w:rsidRPr="00C54A03">
        <w:rPr>
          <w:color w:val="000000" w:themeColor="text1"/>
          <w:spacing w:val="1"/>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teren</w:t>
      </w:r>
      <w:r w:rsidRPr="00C54A03">
        <w:rPr>
          <w:color w:val="000000" w:themeColor="text1"/>
          <w:spacing w:val="1"/>
        </w:rPr>
        <w:t xml:space="preserve"> </w:t>
      </w:r>
      <w:r w:rsidRPr="00C54A03">
        <w:rPr>
          <w:color w:val="000000" w:themeColor="text1"/>
        </w:rPr>
        <w:t>sunt</w:t>
      </w:r>
      <w:r w:rsidRPr="00C54A03">
        <w:rPr>
          <w:color w:val="000000" w:themeColor="text1"/>
          <w:spacing w:val="1"/>
        </w:rPr>
        <w:t xml:space="preserve"> </w:t>
      </w:r>
      <w:r w:rsidRPr="00C54A03">
        <w:rPr>
          <w:color w:val="000000" w:themeColor="text1"/>
        </w:rPr>
        <w:t>evaluate,</w:t>
      </w:r>
      <w:r w:rsidRPr="00C54A03">
        <w:rPr>
          <w:color w:val="000000" w:themeColor="text1"/>
          <w:spacing w:val="-57"/>
        </w:rPr>
        <w:t xml:space="preserve"> </w:t>
      </w:r>
      <w:r w:rsidRPr="00C54A03">
        <w:rPr>
          <w:color w:val="000000" w:themeColor="text1"/>
        </w:rPr>
        <w:t>stabilindu-se</w:t>
      </w:r>
      <w:r w:rsidRPr="00C54A03">
        <w:rPr>
          <w:color w:val="000000" w:themeColor="text1"/>
          <w:spacing w:val="13"/>
        </w:rPr>
        <w:t xml:space="preserve"> </w:t>
      </w:r>
      <w:r w:rsidRPr="00C54A03">
        <w:rPr>
          <w:color w:val="000000" w:themeColor="text1"/>
        </w:rPr>
        <w:t>intensitatea</w:t>
      </w:r>
      <w:r w:rsidRPr="00C54A03">
        <w:rPr>
          <w:color w:val="000000" w:themeColor="text1"/>
          <w:spacing w:val="15"/>
        </w:rPr>
        <w:t xml:space="preserve"> </w:t>
      </w:r>
      <w:r w:rsidRPr="00C54A03">
        <w:rPr>
          <w:color w:val="000000" w:themeColor="text1"/>
        </w:rPr>
        <w:t>specifică</w:t>
      </w:r>
      <w:r w:rsidRPr="00C54A03">
        <w:rPr>
          <w:color w:val="000000" w:themeColor="text1"/>
          <w:spacing w:val="14"/>
        </w:rPr>
        <w:t xml:space="preserve"> </w:t>
      </w:r>
      <w:r w:rsidRPr="00C54A03">
        <w:rPr>
          <w:color w:val="000000" w:themeColor="text1"/>
        </w:rPr>
        <w:t>a</w:t>
      </w:r>
      <w:r w:rsidRPr="00C54A03">
        <w:rPr>
          <w:color w:val="000000" w:themeColor="text1"/>
          <w:spacing w:val="15"/>
        </w:rPr>
        <w:t xml:space="preserve"> </w:t>
      </w:r>
      <w:r w:rsidRPr="00C54A03">
        <w:rPr>
          <w:color w:val="000000" w:themeColor="text1"/>
        </w:rPr>
        <w:t>fiecăreia</w:t>
      </w:r>
      <w:r w:rsidRPr="00C54A03">
        <w:rPr>
          <w:color w:val="000000" w:themeColor="text1"/>
          <w:spacing w:val="15"/>
        </w:rPr>
        <w:t xml:space="preserve"> </w:t>
      </w:r>
      <w:r w:rsidRPr="00C54A03">
        <w:rPr>
          <w:color w:val="000000" w:themeColor="text1"/>
        </w:rPr>
        <w:t>ce</w:t>
      </w:r>
      <w:r w:rsidRPr="00C54A03">
        <w:rPr>
          <w:color w:val="000000" w:themeColor="text1"/>
          <w:spacing w:val="16"/>
        </w:rPr>
        <w:t xml:space="preserve"> </w:t>
      </w:r>
      <w:r w:rsidRPr="00C54A03">
        <w:rPr>
          <w:color w:val="000000" w:themeColor="text1"/>
        </w:rPr>
        <w:t>se</w:t>
      </w:r>
      <w:r w:rsidRPr="00C54A03">
        <w:rPr>
          <w:color w:val="000000" w:themeColor="text1"/>
          <w:spacing w:val="14"/>
        </w:rPr>
        <w:t xml:space="preserve"> </w:t>
      </w:r>
      <w:r w:rsidRPr="00C54A03">
        <w:rPr>
          <w:color w:val="000000" w:themeColor="text1"/>
        </w:rPr>
        <w:t>exercită</w:t>
      </w:r>
      <w:r w:rsidRPr="00C54A03">
        <w:rPr>
          <w:color w:val="000000" w:themeColor="text1"/>
          <w:spacing w:val="16"/>
        </w:rPr>
        <w:t xml:space="preserve"> </w:t>
      </w:r>
      <w:r w:rsidRPr="00C54A03">
        <w:rPr>
          <w:color w:val="000000" w:themeColor="text1"/>
        </w:rPr>
        <w:t>asupra</w:t>
      </w:r>
      <w:r w:rsidRPr="00C54A03">
        <w:rPr>
          <w:color w:val="000000" w:themeColor="text1"/>
          <w:spacing w:val="16"/>
        </w:rPr>
        <w:t xml:space="preserve"> </w:t>
      </w:r>
      <w:r w:rsidRPr="00C54A03">
        <w:rPr>
          <w:color w:val="000000" w:themeColor="text1"/>
        </w:rPr>
        <w:t>habitatului</w:t>
      </w:r>
      <w:r w:rsidRPr="00C54A03">
        <w:rPr>
          <w:color w:val="000000" w:themeColor="text1"/>
          <w:spacing w:val="15"/>
        </w:rPr>
        <w:t xml:space="preserve"> </w:t>
      </w:r>
      <w:r w:rsidRPr="00C54A03">
        <w:rPr>
          <w:color w:val="000000" w:themeColor="text1"/>
        </w:rPr>
        <w:t>țintă.</w:t>
      </w:r>
      <w:r w:rsidRPr="00C54A03">
        <w:rPr>
          <w:color w:val="000000" w:themeColor="text1"/>
          <w:spacing w:val="15"/>
        </w:rPr>
        <w:t xml:space="preserve"> </w:t>
      </w:r>
      <w:r w:rsidRPr="00C54A03">
        <w:rPr>
          <w:color w:val="000000" w:themeColor="text1"/>
        </w:rPr>
        <w:t>Categoriile</w:t>
      </w:r>
      <w:r w:rsidRPr="00C54A03">
        <w:rPr>
          <w:color w:val="000000" w:themeColor="text1"/>
          <w:spacing w:val="14"/>
        </w:rPr>
        <w:t xml:space="preserve"> </w:t>
      </w:r>
      <w:r w:rsidR="008566CB" w:rsidRPr="00C54A03">
        <w:rPr>
          <w:color w:val="000000" w:themeColor="text1"/>
        </w:rPr>
        <w:t xml:space="preserve">de </w:t>
      </w:r>
      <w:r w:rsidRPr="00C54A03">
        <w:rPr>
          <w:color w:val="000000" w:themeColor="text1"/>
        </w:rPr>
        <w:t>evaluare</w:t>
      </w:r>
      <w:r w:rsidRPr="00C54A03">
        <w:rPr>
          <w:color w:val="000000" w:themeColor="text1"/>
          <w:spacing w:val="35"/>
        </w:rPr>
        <w:t xml:space="preserve"> </w:t>
      </w:r>
      <w:r w:rsidRPr="00C54A03">
        <w:rPr>
          <w:color w:val="000000" w:themeColor="text1"/>
        </w:rPr>
        <w:t>a</w:t>
      </w:r>
      <w:r w:rsidRPr="00C54A03">
        <w:rPr>
          <w:color w:val="000000" w:themeColor="text1"/>
          <w:spacing w:val="36"/>
        </w:rPr>
        <w:t xml:space="preserve"> </w:t>
      </w:r>
      <w:r w:rsidRPr="00C54A03">
        <w:rPr>
          <w:color w:val="000000" w:themeColor="text1"/>
        </w:rPr>
        <w:t>intensității</w:t>
      </w:r>
      <w:r w:rsidRPr="00C54A03">
        <w:rPr>
          <w:color w:val="000000" w:themeColor="text1"/>
          <w:spacing w:val="36"/>
        </w:rPr>
        <w:t xml:space="preserve"> </w:t>
      </w:r>
      <w:r w:rsidRPr="00C54A03">
        <w:rPr>
          <w:color w:val="000000" w:themeColor="text1"/>
        </w:rPr>
        <w:t>sunt</w:t>
      </w:r>
      <w:r w:rsidRPr="00C54A03">
        <w:rPr>
          <w:color w:val="000000" w:themeColor="text1"/>
          <w:spacing w:val="37"/>
        </w:rPr>
        <w:t xml:space="preserve"> </w:t>
      </w:r>
      <w:r w:rsidRPr="00C54A03">
        <w:rPr>
          <w:color w:val="000000" w:themeColor="text1"/>
        </w:rPr>
        <w:t>de</w:t>
      </w:r>
      <w:r w:rsidRPr="00C54A03">
        <w:rPr>
          <w:color w:val="000000" w:themeColor="text1"/>
          <w:spacing w:val="36"/>
        </w:rPr>
        <w:t xml:space="preserve"> </w:t>
      </w:r>
      <w:r w:rsidRPr="00C54A03">
        <w:rPr>
          <w:color w:val="000000" w:themeColor="text1"/>
        </w:rPr>
        <w:t>asemenea</w:t>
      </w:r>
      <w:r w:rsidRPr="00C54A03">
        <w:rPr>
          <w:color w:val="000000" w:themeColor="text1"/>
          <w:spacing w:val="35"/>
        </w:rPr>
        <w:t xml:space="preserve"> </w:t>
      </w:r>
      <w:r w:rsidRPr="00C54A03">
        <w:rPr>
          <w:color w:val="000000" w:themeColor="text1"/>
        </w:rPr>
        <w:t>de</w:t>
      </w:r>
      <w:r w:rsidRPr="00C54A03">
        <w:rPr>
          <w:color w:val="000000" w:themeColor="text1"/>
          <w:spacing w:val="36"/>
        </w:rPr>
        <w:t xml:space="preserve"> </w:t>
      </w:r>
      <w:r w:rsidRPr="00C54A03">
        <w:rPr>
          <w:color w:val="000000" w:themeColor="text1"/>
        </w:rPr>
        <w:t>nivel</w:t>
      </w:r>
      <w:r w:rsidRPr="00C54A03">
        <w:rPr>
          <w:color w:val="000000" w:themeColor="text1"/>
          <w:spacing w:val="38"/>
        </w:rPr>
        <w:t xml:space="preserve"> </w:t>
      </w:r>
      <w:r w:rsidRPr="00C54A03">
        <w:rPr>
          <w:color w:val="000000" w:themeColor="text1"/>
        </w:rPr>
        <w:t>calitativ,</w:t>
      </w:r>
      <w:r w:rsidRPr="00C54A03">
        <w:rPr>
          <w:color w:val="000000" w:themeColor="text1"/>
          <w:spacing w:val="37"/>
        </w:rPr>
        <w:t xml:space="preserve"> </w:t>
      </w:r>
      <w:r w:rsidRPr="00C54A03">
        <w:rPr>
          <w:color w:val="000000" w:themeColor="text1"/>
        </w:rPr>
        <w:t>respectiv:</w:t>
      </w:r>
      <w:r w:rsidRPr="00C54A03">
        <w:rPr>
          <w:color w:val="000000" w:themeColor="text1"/>
          <w:spacing w:val="37"/>
        </w:rPr>
        <w:t xml:space="preserve"> </w:t>
      </w:r>
      <w:r w:rsidRPr="00C54A03">
        <w:rPr>
          <w:color w:val="000000" w:themeColor="text1"/>
        </w:rPr>
        <w:t>intensitate</w:t>
      </w:r>
      <w:r w:rsidRPr="00C54A03">
        <w:rPr>
          <w:color w:val="000000" w:themeColor="text1"/>
          <w:spacing w:val="35"/>
        </w:rPr>
        <w:t xml:space="preserve"> </w:t>
      </w:r>
      <w:r w:rsidRPr="00C54A03">
        <w:rPr>
          <w:color w:val="000000" w:themeColor="text1"/>
        </w:rPr>
        <w:t>mică,</w:t>
      </w:r>
      <w:r w:rsidRPr="00C54A03">
        <w:rPr>
          <w:color w:val="000000" w:themeColor="text1"/>
          <w:spacing w:val="37"/>
        </w:rPr>
        <w:t xml:space="preserve"> </w:t>
      </w:r>
      <w:r w:rsidRPr="00C54A03">
        <w:rPr>
          <w:color w:val="000000" w:themeColor="text1"/>
        </w:rPr>
        <w:t>intensitate</w:t>
      </w:r>
      <w:r w:rsidRPr="00C54A03">
        <w:rPr>
          <w:color w:val="000000" w:themeColor="text1"/>
          <w:spacing w:val="-57"/>
        </w:rPr>
        <w:t xml:space="preserve"> </w:t>
      </w:r>
      <w:r w:rsidRPr="00C54A03">
        <w:rPr>
          <w:color w:val="000000" w:themeColor="text1"/>
        </w:rPr>
        <w:t>medie,</w:t>
      </w:r>
      <w:r w:rsidRPr="00C54A03">
        <w:rPr>
          <w:color w:val="000000" w:themeColor="text1"/>
          <w:spacing w:val="-1"/>
        </w:rPr>
        <w:t xml:space="preserve"> </w:t>
      </w:r>
      <w:r w:rsidRPr="00C54A03">
        <w:rPr>
          <w:color w:val="000000" w:themeColor="text1"/>
        </w:rPr>
        <w:t>intensitate mare, intensitate necunoscută.</w:t>
      </w:r>
    </w:p>
    <w:p w14:paraId="25ECE75F" w14:textId="77777777" w:rsidR="00862257" w:rsidRPr="00C54A03" w:rsidRDefault="00862257" w:rsidP="008E33FD">
      <w:pPr>
        <w:widowControl w:val="0"/>
        <w:autoSpaceDE w:val="0"/>
        <w:autoSpaceDN w:val="0"/>
        <w:spacing w:before="1"/>
        <w:ind w:right="250"/>
        <w:jc w:val="both"/>
        <w:rPr>
          <w:color w:val="000000" w:themeColor="text1"/>
        </w:rPr>
      </w:pPr>
    </w:p>
    <w:p w14:paraId="0C74F2BF" w14:textId="77777777" w:rsidR="00E13976" w:rsidRPr="00C54A03" w:rsidRDefault="00E13976" w:rsidP="008E33FD">
      <w:pPr>
        <w:widowControl w:val="0"/>
        <w:tabs>
          <w:tab w:val="left" w:pos="1208"/>
        </w:tabs>
        <w:autoSpaceDE w:val="0"/>
        <w:autoSpaceDN w:val="0"/>
        <w:jc w:val="both"/>
        <w:outlineLvl w:val="1"/>
        <w:rPr>
          <w:rFonts w:eastAsia="Cambria"/>
          <w:b/>
          <w:bCs/>
          <w:color w:val="000000" w:themeColor="text1"/>
        </w:rPr>
      </w:pPr>
      <w:r w:rsidRPr="00C54A03">
        <w:rPr>
          <w:rFonts w:eastAsia="Cambria"/>
          <w:b/>
          <w:bCs/>
          <w:color w:val="000000" w:themeColor="text1"/>
        </w:rPr>
        <w:t>Agregarea</w:t>
      </w:r>
      <w:r w:rsidRPr="00C54A03">
        <w:rPr>
          <w:rFonts w:eastAsia="Cambria"/>
          <w:b/>
          <w:bCs/>
          <w:color w:val="000000" w:themeColor="text1"/>
          <w:spacing w:val="-4"/>
        </w:rPr>
        <w:t xml:space="preserve"> </w:t>
      </w:r>
      <w:r w:rsidRPr="00C54A03">
        <w:rPr>
          <w:rFonts w:eastAsia="Cambria"/>
          <w:b/>
          <w:bCs/>
          <w:color w:val="000000" w:themeColor="text1"/>
        </w:rPr>
        <w:t>informației</w:t>
      </w:r>
      <w:r w:rsidRPr="00C54A03">
        <w:rPr>
          <w:rFonts w:eastAsia="Cambria"/>
          <w:b/>
          <w:bCs/>
          <w:color w:val="000000" w:themeColor="text1"/>
          <w:spacing w:val="-5"/>
        </w:rPr>
        <w:t xml:space="preserve"> </w:t>
      </w:r>
      <w:r w:rsidRPr="00C54A03">
        <w:rPr>
          <w:rFonts w:eastAsia="Cambria"/>
          <w:b/>
          <w:bCs/>
          <w:color w:val="000000" w:themeColor="text1"/>
        </w:rPr>
        <w:t>din</w:t>
      </w:r>
      <w:r w:rsidRPr="00C54A03">
        <w:rPr>
          <w:rFonts w:eastAsia="Cambria"/>
          <w:b/>
          <w:bCs/>
          <w:color w:val="000000" w:themeColor="text1"/>
          <w:spacing w:val="-6"/>
        </w:rPr>
        <w:t xml:space="preserve"> </w:t>
      </w:r>
      <w:r w:rsidRPr="00C54A03">
        <w:rPr>
          <w:rFonts w:eastAsia="Cambria"/>
          <w:b/>
          <w:bCs/>
          <w:color w:val="000000" w:themeColor="text1"/>
        </w:rPr>
        <w:t>ploturi</w:t>
      </w:r>
      <w:r w:rsidRPr="00C54A03">
        <w:rPr>
          <w:rFonts w:eastAsia="Cambria"/>
          <w:b/>
          <w:bCs/>
          <w:color w:val="000000" w:themeColor="text1"/>
          <w:spacing w:val="-4"/>
        </w:rPr>
        <w:t xml:space="preserve"> </w:t>
      </w:r>
      <w:r w:rsidRPr="00C54A03">
        <w:rPr>
          <w:rFonts w:eastAsia="Cambria"/>
          <w:b/>
          <w:bCs/>
          <w:color w:val="000000" w:themeColor="text1"/>
        </w:rPr>
        <w:t>pe</w:t>
      </w:r>
      <w:r w:rsidRPr="00C54A03">
        <w:rPr>
          <w:rFonts w:eastAsia="Cambria"/>
          <w:b/>
          <w:bCs/>
          <w:color w:val="000000" w:themeColor="text1"/>
          <w:spacing w:val="-4"/>
        </w:rPr>
        <w:t xml:space="preserve"> </w:t>
      </w:r>
      <w:r w:rsidRPr="00C54A03">
        <w:rPr>
          <w:rFonts w:eastAsia="Cambria"/>
          <w:b/>
          <w:bCs/>
          <w:color w:val="000000" w:themeColor="text1"/>
        </w:rPr>
        <w:t>bioregiune</w:t>
      </w:r>
    </w:p>
    <w:p w14:paraId="7D913015" w14:textId="77777777" w:rsidR="00E13976" w:rsidRPr="00C54A03" w:rsidRDefault="00E13976" w:rsidP="008E33FD">
      <w:pPr>
        <w:widowControl w:val="0"/>
        <w:autoSpaceDE w:val="0"/>
        <w:autoSpaceDN w:val="0"/>
        <w:spacing w:before="157"/>
        <w:jc w:val="both"/>
        <w:rPr>
          <w:color w:val="000000" w:themeColor="text1"/>
        </w:rPr>
      </w:pPr>
      <w:r w:rsidRPr="00C54A03">
        <w:rPr>
          <w:color w:val="000000" w:themeColor="text1"/>
        </w:rPr>
        <w:t>Modul</w:t>
      </w:r>
      <w:r w:rsidRPr="00C54A03">
        <w:rPr>
          <w:color w:val="000000" w:themeColor="text1"/>
          <w:spacing w:val="-2"/>
        </w:rPr>
        <w:t xml:space="preserve"> </w:t>
      </w:r>
      <w:r w:rsidRPr="00C54A03">
        <w:rPr>
          <w:color w:val="000000" w:themeColor="text1"/>
        </w:rPr>
        <w:t>de</w:t>
      </w:r>
      <w:r w:rsidRPr="00C54A03">
        <w:rPr>
          <w:color w:val="000000" w:themeColor="text1"/>
          <w:spacing w:val="-2"/>
        </w:rPr>
        <w:t xml:space="preserve"> </w:t>
      </w:r>
      <w:r w:rsidRPr="00C54A03">
        <w:rPr>
          <w:color w:val="000000" w:themeColor="text1"/>
        </w:rPr>
        <w:t>agregare</w:t>
      </w:r>
      <w:r w:rsidRPr="00C54A03">
        <w:rPr>
          <w:color w:val="000000" w:themeColor="text1"/>
          <w:spacing w:val="-1"/>
        </w:rPr>
        <w:t xml:space="preserve"> </w:t>
      </w:r>
      <w:r w:rsidRPr="00C54A03">
        <w:rPr>
          <w:color w:val="000000" w:themeColor="text1"/>
        </w:rPr>
        <w:t>a</w:t>
      </w:r>
      <w:r w:rsidRPr="00C54A03">
        <w:rPr>
          <w:color w:val="000000" w:themeColor="text1"/>
          <w:spacing w:val="-2"/>
        </w:rPr>
        <w:t xml:space="preserve"> </w:t>
      </w:r>
      <w:r w:rsidRPr="00C54A03">
        <w:rPr>
          <w:color w:val="000000" w:themeColor="text1"/>
        </w:rPr>
        <w:t>datelor</w:t>
      </w:r>
      <w:r w:rsidRPr="00C54A03">
        <w:rPr>
          <w:color w:val="000000" w:themeColor="text1"/>
          <w:spacing w:val="-1"/>
        </w:rPr>
        <w:t xml:space="preserve"> </w:t>
      </w:r>
      <w:r w:rsidRPr="00C54A03">
        <w:rPr>
          <w:color w:val="000000" w:themeColor="text1"/>
        </w:rPr>
        <w:t>se</w:t>
      </w:r>
      <w:r w:rsidRPr="00C54A03">
        <w:rPr>
          <w:color w:val="000000" w:themeColor="text1"/>
          <w:spacing w:val="-2"/>
        </w:rPr>
        <w:t xml:space="preserve"> </w:t>
      </w:r>
      <w:r w:rsidRPr="00C54A03">
        <w:rPr>
          <w:color w:val="000000" w:themeColor="text1"/>
        </w:rPr>
        <w:t>face</w:t>
      </w:r>
      <w:r w:rsidRPr="00C54A03">
        <w:rPr>
          <w:color w:val="000000" w:themeColor="text1"/>
          <w:spacing w:val="-2"/>
        </w:rPr>
        <w:t xml:space="preserve"> </w:t>
      </w:r>
      <w:r w:rsidRPr="00C54A03">
        <w:rPr>
          <w:color w:val="000000" w:themeColor="text1"/>
        </w:rPr>
        <w:t>în</w:t>
      </w:r>
      <w:r w:rsidRPr="00C54A03">
        <w:rPr>
          <w:color w:val="000000" w:themeColor="text1"/>
          <w:spacing w:val="-1"/>
        </w:rPr>
        <w:t xml:space="preserve"> </w:t>
      </w:r>
      <w:r w:rsidRPr="00C54A03">
        <w:rPr>
          <w:color w:val="000000" w:themeColor="text1"/>
        </w:rPr>
        <w:t>două</w:t>
      </w:r>
      <w:r w:rsidRPr="00C54A03">
        <w:rPr>
          <w:color w:val="000000" w:themeColor="text1"/>
          <w:spacing w:val="-1"/>
        </w:rPr>
        <w:t xml:space="preserve"> </w:t>
      </w:r>
      <w:r w:rsidRPr="00C54A03">
        <w:rPr>
          <w:color w:val="000000" w:themeColor="text1"/>
        </w:rPr>
        <w:t>etape:</w:t>
      </w:r>
    </w:p>
    <w:p w14:paraId="45EEA202" w14:textId="77777777" w:rsidR="00E13976" w:rsidRPr="00C54A03" w:rsidRDefault="00E13976" w:rsidP="008E33FD">
      <w:pPr>
        <w:widowControl w:val="0"/>
        <w:autoSpaceDE w:val="0"/>
        <w:autoSpaceDN w:val="0"/>
        <w:ind w:right="194"/>
        <w:jc w:val="both"/>
        <w:rPr>
          <w:color w:val="000000" w:themeColor="text1"/>
        </w:rPr>
      </w:pPr>
      <w:r w:rsidRPr="00C54A03">
        <w:rPr>
          <w:color w:val="000000" w:themeColor="text1"/>
        </w:rPr>
        <w:t>Agregarea</w:t>
      </w:r>
      <w:r w:rsidRPr="00C54A03">
        <w:rPr>
          <w:color w:val="000000" w:themeColor="text1"/>
          <w:spacing w:val="5"/>
        </w:rPr>
        <w:t xml:space="preserve"> </w:t>
      </w:r>
      <w:r w:rsidRPr="00C54A03">
        <w:rPr>
          <w:color w:val="000000" w:themeColor="text1"/>
        </w:rPr>
        <w:t>spațială,</w:t>
      </w:r>
      <w:r w:rsidRPr="00C54A03">
        <w:rPr>
          <w:color w:val="000000" w:themeColor="text1"/>
          <w:spacing w:val="4"/>
        </w:rPr>
        <w:t xml:space="preserve"> </w:t>
      </w:r>
      <w:r w:rsidRPr="00C54A03">
        <w:rPr>
          <w:color w:val="000000" w:themeColor="text1"/>
        </w:rPr>
        <w:t>respectiv</w:t>
      </w:r>
      <w:r w:rsidRPr="00C54A03">
        <w:rPr>
          <w:color w:val="000000" w:themeColor="text1"/>
          <w:spacing w:val="4"/>
        </w:rPr>
        <w:t xml:space="preserve"> </w:t>
      </w:r>
      <w:r w:rsidRPr="00C54A03">
        <w:rPr>
          <w:color w:val="000000" w:themeColor="text1"/>
        </w:rPr>
        <w:t>generarea</w:t>
      </w:r>
      <w:r w:rsidRPr="00C54A03">
        <w:rPr>
          <w:color w:val="000000" w:themeColor="text1"/>
          <w:spacing w:val="4"/>
        </w:rPr>
        <w:t xml:space="preserve"> </w:t>
      </w:r>
      <w:r w:rsidRPr="00C54A03">
        <w:rPr>
          <w:color w:val="000000" w:themeColor="text1"/>
        </w:rPr>
        <w:t>hărților</w:t>
      </w:r>
      <w:r w:rsidRPr="00C54A03">
        <w:rPr>
          <w:color w:val="000000" w:themeColor="text1"/>
          <w:spacing w:val="4"/>
        </w:rPr>
        <w:t xml:space="preserve"> </w:t>
      </w:r>
      <w:r w:rsidRPr="00C54A03">
        <w:rPr>
          <w:color w:val="000000" w:themeColor="text1"/>
        </w:rPr>
        <w:t>în</w:t>
      </w:r>
      <w:r w:rsidRPr="00C54A03">
        <w:rPr>
          <w:color w:val="000000" w:themeColor="text1"/>
          <w:spacing w:val="7"/>
        </w:rPr>
        <w:t xml:space="preserve"> </w:t>
      </w:r>
      <w:r w:rsidRPr="00C54A03">
        <w:rPr>
          <w:color w:val="000000" w:themeColor="text1"/>
        </w:rPr>
        <w:t>conformitate</w:t>
      </w:r>
      <w:r w:rsidRPr="00C54A03">
        <w:rPr>
          <w:color w:val="000000" w:themeColor="text1"/>
          <w:spacing w:val="4"/>
        </w:rPr>
        <w:t xml:space="preserve"> </w:t>
      </w:r>
      <w:r w:rsidRPr="00C54A03">
        <w:rPr>
          <w:color w:val="000000" w:themeColor="text1"/>
        </w:rPr>
        <w:t>cu</w:t>
      </w:r>
      <w:r w:rsidRPr="00C54A03">
        <w:rPr>
          <w:color w:val="000000" w:themeColor="text1"/>
          <w:spacing w:val="7"/>
        </w:rPr>
        <w:t xml:space="preserve"> </w:t>
      </w:r>
      <w:r w:rsidRPr="00C54A03">
        <w:rPr>
          <w:color w:val="000000" w:themeColor="text1"/>
        </w:rPr>
        <w:t>formatul</w:t>
      </w:r>
      <w:r w:rsidRPr="00C54A03">
        <w:rPr>
          <w:color w:val="000000" w:themeColor="text1"/>
          <w:spacing w:val="7"/>
        </w:rPr>
        <w:t xml:space="preserve"> </w:t>
      </w:r>
      <w:r w:rsidRPr="00C54A03">
        <w:rPr>
          <w:color w:val="000000" w:themeColor="text1"/>
        </w:rPr>
        <w:t>de</w:t>
      </w:r>
      <w:r w:rsidRPr="00C54A03">
        <w:rPr>
          <w:color w:val="000000" w:themeColor="text1"/>
          <w:spacing w:val="4"/>
        </w:rPr>
        <w:t xml:space="preserve"> </w:t>
      </w:r>
      <w:r w:rsidRPr="00C54A03">
        <w:rPr>
          <w:color w:val="000000" w:themeColor="text1"/>
        </w:rPr>
        <w:t>raportare</w:t>
      </w:r>
      <w:r w:rsidRPr="00C54A03">
        <w:rPr>
          <w:color w:val="000000" w:themeColor="text1"/>
          <w:spacing w:val="4"/>
        </w:rPr>
        <w:t xml:space="preserve"> </w:t>
      </w:r>
      <w:r w:rsidRPr="00C54A03">
        <w:rPr>
          <w:color w:val="000000" w:themeColor="text1"/>
        </w:rPr>
        <w:t>pornind</w:t>
      </w:r>
      <w:r w:rsidRPr="00C54A03">
        <w:rPr>
          <w:color w:val="000000" w:themeColor="text1"/>
          <w:spacing w:val="4"/>
        </w:rPr>
        <w:t xml:space="preserve"> </w:t>
      </w:r>
      <w:r w:rsidRPr="00C54A03">
        <w:rPr>
          <w:color w:val="000000" w:themeColor="text1"/>
        </w:rPr>
        <w:t>de</w:t>
      </w:r>
      <w:r w:rsidRPr="00C54A03">
        <w:rPr>
          <w:color w:val="000000" w:themeColor="text1"/>
          <w:spacing w:val="-57"/>
        </w:rPr>
        <w:t xml:space="preserve"> </w:t>
      </w:r>
      <w:r w:rsidRPr="00C54A03">
        <w:rPr>
          <w:color w:val="000000" w:themeColor="text1"/>
        </w:rPr>
        <w:t>la ploturile evaluate (și estimate) sintetizându-se la nivel de bioregiune și respectiv la nivel național.</w:t>
      </w:r>
      <w:r w:rsidRPr="00C54A03">
        <w:rPr>
          <w:color w:val="000000" w:themeColor="text1"/>
          <w:spacing w:val="-57"/>
        </w:rPr>
        <w:t xml:space="preserve"> </w:t>
      </w:r>
      <w:r w:rsidRPr="00C54A03">
        <w:rPr>
          <w:color w:val="000000" w:themeColor="text1"/>
        </w:rPr>
        <w:t>Agregarea non-spațială care presupune generarea fișierelor specifice, în conformitate cu formatul de</w:t>
      </w:r>
      <w:r w:rsidRPr="00C54A03">
        <w:rPr>
          <w:color w:val="000000" w:themeColor="text1"/>
          <w:spacing w:val="-57"/>
        </w:rPr>
        <w:t xml:space="preserve"> </w:t>
      </w:r>
      <w:r w:rsidRPr="00C54A03">
        <w:rPr>
          <w:color w:val="000000" w:themeColor="text1"/>
        </w:rPr>
        <w:t>raportare, pornind de la datele agregate primar, prima agregare fiind prezentată în subcapitolul 4.1.</w:t>
      </w:r>
      <w:r w:rsidRPr="00C54A03">
        <w:rPr>
          <w:color w:val="000000" w:themeColor="text1"/>
          <w:spacing w:val="1"/>
        </w:rPr>
        <w:t xml:space="preserve"> </w:t>
      </w:r>
      <w:r w:rsidRPr="00C54A03">
        <w:rPr>
          <w:color w:val="000000" w:themeColor="text1"/>
        </w:rPr>
        <w:t>Al</w:t>
      </w:r>
      <w:r w:rsidRPr="00C54A03">
        <w:rPr>
          <w:color w:val="000000" w:themeColor="text1"/>
          <w:spacing w:val="37"/>
        </w:rPr>
        <w:t xml:space="preserve"> </w:t>
      </w:r>
      <w:r w:rsidRPr="00C54A03">
        <w:rPr>
          <w:color w:val="000000" w:themeColor="text1"/>
        </w:rPr>
        <w:t>doilea</w:t>
      </w:r>
      <w:r w:rsidRPr="00C54A03">
        <w:rPr>
          <w:color w:val="000000" w:themeColor="text1"/>
          <w:spacing w:val="36"/>
        </w:rPr>
        <w:t xml:space="preserve"> </w:t>
      </w:r>
      <w:r w:rsidRPr="00C54A03">
        <w:rPr>
          <w:color w:val="000000" w:themeColor="text1"/>
        </w:rPr>
        <w:t>nivel</w:t>
      </w:r>
      <w:r w:rsidRPr="00C54A03">
        <w:rPr>
          <w:color w:val="000000" w:themeColor="text1"/>
          <w:spacing w:val="37"/>
        </w:rPr>
        <w:t xml:space="preserve"> </w:t>
      </w:r>
      <w:r w:rsidRPr="00C54A03">
        <w:rPr>
          <w:color w:val="000000" w:themeColor="text1"/>
        </w:rPr>
        <w:t>de</w:t>
      </w:r>
      <w:r w:rsidRPr="00C54A03">
        <w:rPr>
          <w:color w:val="000000" w:themeColor="text1"/>
          <w:spacing w:val="37"/>
        </w:rPr>
        <w:t xml:space="preserve"> </w:t>
      </w:r>
      <w:r w:rsidRPr="00C54A03">
        <w:rPr>
          <w:color w:val="000000" w:themeColor="text1"/>
        </w:rPr>
        <w:t>agregare</w:t>
      </w:r>
      <w:r w:rsidRPr="00C54A03">
        <w:rPr>
          <w:color w:val="000000" w:themeColor="text1"/>
          <w:spacing w:val="35"/>
        </w:rPr>
        <w:t xml:space="preserve"> </w:t>
      </w:r>
      <w:r w:rsidRPr="00C54A03">
        <w:rPr>
          <w:color w:val="000000" w:themeColor="text1"/>
        </w:rPr>
        <w:t>este</w:t>
      </w:r>
      <w:r w:rsidRPr="00C54A03">
        <w:rPr>
          <w:color w:val="000000" w:themeColor="text1"/>
          <w:spacing w:val="36"/>
        </w:rPr>
        <w:t xml:space="preserve"> </w:t>
      </w:r>
      <w:r w:rsidRPr="00C54A03">
        <w:rPr>
          <w:color w:val="000000" w:themeColor="text1"/>
        </w:rPr>
        <w:t>al</w:t>
      </w:r>
      <w:r w:rsidRPr="00C54A03">
        <w:rPr>
          <w:color w:val="000000" w:themeColor="text1"/>
          <w:spacing w:val="37"/>
        </w:rPr>
        <w:t xml:space="preserve"> </w:t>
      </w:r>
      <w:r w:rsidRPr="00C54A03">
        <w:rPr>
          <w:color w:val="000000" w:themeColor="text1"/>
        </w:rPr>
        <w:t>atributelor</w:t>
      </w:r>
      <w:r w:rsidRPr="00C54A03">
        <w:rPr>
          <w:color w:val="000000" w:themeColor="text1"/>
          <w:spacing w:val="41"/>
        </w:rPr>
        <w:t xml:space="preserve"> </w:t>
      </w:r>
      <w:r w:rsidRPr="00C54A03">
        <w:rPr>
          <w:color w:val="000000" w:themeColor="text1"/>
        </w:rPr>
        <w:t>specifice</w:t>
      </w:r>
      <w:r w:rsidRPr="00C54A03">
        <w:rPr>
          <w:color w:val="000000" w:themeColor="text1"/>
          <w:spacing w:val="35"/>
        </w:rPr>
        <w:t xml:space="preserve"> </w:t>
      </w:r>
      <w:r w:rsidRPr="00C54A03">
        <w:rPr>
          <w:color w:val="000000" w:themeColor="text1"/>
        </w:rPr>
        <w:t>habitatelor</w:t>
      </w:r>
      <w:r w:rsidRPr="00C54A03">
        <w:rPr>
          <w:color w:val="000000" w:themeColor="text1"/>
          <w:spacing w:val="36"/>
        </w:rPr>
        <w:t xml:space="preserve"> </w:t>
      </w:r>
      <w:r w:rsidRPr="00C54A03">
        <w:rPr>
          <w:color w:val="000000" w:themeColor="text1"/>
        </w:rPr>
        <w:t>țintă</w:t>
      </w:r>
      <w:r w:rsidRPr="00C54A03">
        <w:rPr>
          <w:color w:val="000000" w:themeColor="text1"/>
          <w:spacing w:val="36"/>
        </w:rPr>
        <w:t xml:space="preserve"> </w:t>
      </w:r>
      <w:r w:rsidRPr="00C54A03">
        <w:rPr>
          <w:color w:val="000000" w:themeColor="text1"/>
        </w:rPr>
        <w:t>la</w:t>
      </w:r>
      <w:r w:rsidRPr="00C54A03">
        <w:rPr>
          <w:color w:val="000000" w:themeColor="text1"/>
          <w:spacing w:val="40"/>
        </w:rPr>
        <w:t xml:space="preserve"> </w:t>
      </w:r>
      <w:r w:rsidRPr="00C54A03">
        <w:rPr>
          <w:color w:val="000000" w:themeColor="text1"/>
        </w:rPr>
        <w:t>nivel</w:t>
      </w:r>
      <w:r w:rsidRPr="00C54A03">
        <w:rPr>
          <w:color w:val="000000" w:themeColor="text1"/>
          <w:spacing w:val="37"/>
        </w:rPr>
        <w:t xml:space="preserve"> </w:t>
      </w:r>
      <w:r w:rsidRPr="00C54A03">
        <w:rPr>
          <w:color w:val="000000" w:themeColor="text1"/>
        </w:rPr>
        <w:t>de</w:t>
      </w:r>
      <w:r w:rsidRPr="00C54A03">
        <w:rPr>
          <w:color w:val="000000" w:themeColor="text1"/>
          <w:spacing w:val="36"/>
        </w:rPr>
        <w:t xml:space="preserve"> </w:t>
      </w:r>
      <w:r w:rsidRPr="00C54A03">
        <w:rPr>
          <w:color w:val="000000" w:themeColor="text1"/>
        </w:rPr>
        <w:t>plot</w:t>
      </w:r>
      <w:r w:rsidRPr="00C54A03">
        <w:rPr>
          <w:color w:val="000000" w:themeColor="text1"/>
          <w:spacing w:val="37"/>
        </w:rPr>
        <w:t xml:space="preserve"> </w:t>
      </w:r>
      <w:r w:rsidRPr="00C54A03">
        <w:rPr>
          <w:color w:val="000000" w:themeColor="text1"/>
        </w:rPr>
        <w:t>ce</w:t>
      </w:r>
      <w:r w:rsidRPr="00C54A03">
        <w:rPr>
          <w:color w:val="000000" w:themeColor="text1"/>
          <w:spacing w:val="37"/>
        </w:rPr>
        <w:t xml:space="preserve"> </w:t>
      </w:r>
      <w:r w:rsidRPr="00C54A03">
        <w:rPr>
          <w:color w:val="000000" w:themeColor="text1"/>
        </w:rPr>
        <w:t>sunt</w:t>
      </w:r>
      <w:r w:rsidRPr="00C54A03">
        <w:rPr>
          <w:color w:val="000000" w:themeColor="text1"/>
          <w:spacing w:val="-57"/>
        </w:rPr>
        <w:t xml:space="preserve"> </w:t>
      </w:r>
      <w:r w:rsidRPr="00C54A03">
        <w:rPr>
          <w:color w:val="000000" w:themeColor="text1"/>
        </w:rPr>
        <w:t>ulterior</w:t>
      </w:r>
      <w:r w:rsidRPr="00C54A03">
        <w:rPr>
          <w:color w:val="000000" w:themeColor="text1"/>
          <w:spacing w:val="-2"/>
        </w:rPr>
        <w:t xml:space="preserve"> </w:t>
      </w:r>
      <w:r w:rsidRPr="00C54A03">
        <w:rPr>
          <w:color w:val="000000" w:themeColor="text1"/>
        </w:rPr>
        <w:t>corelate la</w:t>
      </w:r>
      <w:r w:rsidRPr="00C54A03">
        <w:rPr>
          <w:color w:val="000000" w:themeColor="text1"/>
          <w:spacing w:val="-1"/>
        </w:rPr>
        <w:t xml:space="preserve"> </w:t>
      </w:r>
      <w:r w:rsidRPr="00C54A03">
        <w:rPr>
          <w:color w:val="000000" w:themeColor="text1"/>
        </w:rPr>
        <w:t>nivel</w:t>
      </w:r>
      <w:r w:rsidRPr="00C54A03">
        <w:rPr>
          <w:color w:val="000000" w:themeColor="text1"/>
          <w:spacing w:val="2"/>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bioregiune în vederea raportării.</w:t>
      </w:r>
    </w:p>
    <w:p w14:paraId="6EC9F912" w14:textId="77777777" w:rsidR="00D270C7" w:rsidRPr="00C54A03" w:rsidRDefault="00E13976" w:rsidP="008E33FD">
      <w:pPr>
        <w:widowControl w:val="0"/>
        <w:autoSpaceDE w:val="0"/>
        <w:autoSpaceDN w:val="0"/>
        <w:spacing w:before="1"/>
        <w:ind w:right="251"/>
        <w:jc w:val="both"/>
        <w:rPr>
          <w:color w:val="000000" w:themeColor="text1"/>
          <w:spacing w:val="-57"/>
        </w:rPr>
      </w:pPr>
      <w:r w:rsidRPr="00C54A03">
        <w:rPr>
          <w:color w:val="000000" w:themeColor="text1"/>
        </w:rPr>
        <w:t>Informațiile din gridurile de 10 x 10 km (ploturi) la nivel de bioregiune se mediază pentru fiecare</w:t>
      </w:r>
      <w:r w:rsidRPr="00C54A03">
        <w:rPr>
          <w:color w:val="000000" w:themeColor="text1"/>
          <w:spacing w:val="1"/>
        </w:rPr>
        <w:t xml:space="preserve"> </w:t>
      </w:r>
      <w:r w:rsidRPr="00C54A03">
        <w:rPr>
          <w:color w:val="000000" w:themeColor="text1"/>
        </w:rPr>
        <w:lastRenderedPageBreak/>
        <w:t>categorie dintre parametrii de stare utilizându-se o medie ponderată pentru asumarea deciziei finale.</w:t>
      </w:r>
      <w:r w:rsidRPr="00C54A03">
        <w:rPr>
          <w:color w:val="000000" w:themeColor="text1"/>
          <w:spacing w:val="-57"/>
        </w:rPr>
        <w:t xml:space="preserve"> </w:t>
      </w:r>
    </w:p>
    <w:p w14:paraId="55651947" w14:textId="77777777" w:rsidR="00E13976" w:rsidRPr="00C54A03" w:rsidRDefault="00E13976" w:rsidP="008E33FD">
      <w:pPr>
        <w:widowControl w:val="0"/>
        <w:autoSpaceDE w:val="0"/>
        <w:autoSpaceDN w:val="0"/>
        <w:spacing w:before="1"/>
        <w:ind w:right="251"/>
        <w:jc w:val="both"/>
        <w:rPr>
          <w:color w:val="000000" w:themeColor="text1"/>
        </w:rPr>
      </w:pPr>
      <w:r w:rsidRPr="00C54A03">
        <w:rPr>
          <w:color w:val="000000" w:themeColor="text1"/>
        </w:rPr>
        <w:t>Spre</w:t>
      </w:r>
      <w:r w:rsidRPr="00C54A03">
        <w:rPr>
          <w:color w:val="000000" w:themeColor="text1"/>
          <w:spacing w:val="1"/>
        </w:rPr>
        <w:t xml:space="preserve"> </w:t>
      </w:r>
      <w:r w:rsidRPr="00C54A03">
        <w:rPr>
          <w:color w:val="000000" w:themeColor="text1"/>
        </w:rPr>
        <w:t>exemplificare,</w:t>
      </w:r>
      <w:r w:rsidRPr="00C54A03">
        <w:rPr>
          <w:color w:val="000000" w:themeColor="text1"/>
          <w:spacing w:val="1"/>
        </w:rPr>
        <w:t xml:space="preserve"> </w:t>
      </w:r>
      <w:r w:rsidRPr="00C54A03">
        <w:rPr>
          <w:color w:val="000000" w:themeColor="text1"/>
        </w:rPr>
        <w:t>compoziția</w:t>
      </w:r>
      <w:r w:rsidRPr="00C54A03">
        <w:rPr>
          <w:color w:val="000000" w:themeColor="text1"/>
          <w:spacing w:val="1"/>
        </w:rPr>
        <w:t xml:space="preserve"> </w:t>
      </w:r>
      <w:r w:rsidRPr="00C54A03">
        <w:rPr>
          <w:color w:val="000000" w:themeColor="text1"/>
        </w:rPr>
        <w:t>specifică</w:t>
      </w:r>
      <w:r w:rsidRPr="00C54A03">
        <w:rPr>
          <w:color w:val="000000" w:themeColor="text1"/>
          <w:spacing w:val="1"/>
        </w:rPr>
        <w:t xml:space="preserve"> </w:t>
      </w:r>
      <w:r w:rsidRPr="00C54A03">
        <w:rPr>
          <w:color w:val="000000" w:themeColor="text1"/>
        </w:rPr>
        <w:t>ceea</w:t>
      </w:r>
      <w:r w:rsidRPr="00C54A03">
        <w:rPr>
          <w:color w:val="000000" w:themeColor="text1"/>
          <w:spacing w:val="1"/>
        </w:rPr>
        <w:t xml:space="preserve"> </w:t>
      </w:r>
      <w:r w:rsidRPr="00C54A03">
        <w:rPr>
          <w:color w:val="000000" w:themeColor="text1"/>
        </w:rPr>
        <w:t>ce</w:t>
      </w:r>
      <w:r w:rsidRPr="00C54A03">
        <w:rPr>
          <w:color w:val="000000" w:themeColor="text1"/>
          <w:spacing w:val="1"/>
        </w:rPr>
        <w:t xml:space="preserve"> </w:t>
      </w:r>
      <w:r w:rsidRPr="00C54A03">
        <w:rPr>
          <w:color w:val="000000" w:themeColor="text1"/>
        </w:rPr>
        <w:t>reprezintă</w:t>
      </w:r>
      <w:r w:rsidRPr="00C54A03">
        <w:rPr>
          <w:color w:val="000000" w:themeColor="text1"/>
          <w:spacing w:val="1"/>
        </w:rPr>
        <w:t xml:space="preserve"> </w:t>
      </w:r>
      <w:r w:rsidRPr="00C54A03">
        <w:rPr>
          <w:color w:val="000000" w:themeColor="text1"/>
        </w:rPr>
        <w:t>unul</w:t>
      </w:r>
      <w:r w:rsidRPr="00C54A03">
        <w:rPr>
          <w:color w:val="000000" w:themeColor="text1"/>
          <w:spacing w:val="1"/>
        </w:rPr>
        <w:t xml:space="preserve"> </w:t>
      </w:r>
      <w:r w:rsidRPr="00C54A03">
        <w:rPr>
          <w:color w:val="000000" w:themeColor="text1"/>
        </w:rPr>
        <w:t>dintre</w:t>
      </w:r>
      <w:r w:rsidRPr="00C54A03">
        <w:rPr>
          <w:color w:val="000000" w:themeColor="text1"/>
          <w:spacing w:val="1"/>
        </w:rPr>
        <w:t xml:space="preserve"> </w:t>
      </w:r>
      <w:r w:rsidRPr="00C54A03">
        <w:rPr>
          <w:color w:val="000000" w:themeColor="text1"/>
        </w:rPr>
        <w:t>parametrii</w:t>
      </w:r>
      <w:r w:rsidRPr="00C54A03">
        <w:rPr>
          <w:color w:val="000000" w:themeColor="text1"/>
          <w:spacing w:val="1"/>
        </w:rPr>
        <w:t xml:space="preserve"> </w:t>
      </w:r>
      <w:r w:rsidRPr="00C54A03">
        <w:rPr>
          <w:color w:val="000000" w:themeColor="text1"/>
        </w:rPr>
        <w:t>esențiali</w:t>
      </w:r>
      <w:r w:rsidRPr="00C54A03">
        <w:rPr>
          <w:color w:val="000000" w:themeColor="text1"/>
          <w:spacing w:val="1"/>
        </w:rPr>
        <w:t xml:space="preserve"> </w:t>
      </w:r>
      <w:r w:rsidRPr="00C54A03">
        <w:rPr>
          <w:color w:val="000000" w:themeColor="text1"/>
        </w:rPr>
        <w:t>în</w:t>
      </w:r>
      <w:r w:rsidRPr="00C54A03">
        <w:rPr>
          <w:color w:val="000000" w:themeColor="text1"/>
          <w:spacing w:val="-57"/>
        </w:rPr>
        <w:t xml:space="preserve"> </w:t>
      </w:r>
      <w:r w:rsidRPr="00C54A03">
        <w:rPr>
          <w:color w:val="000000" w:themeColor="text1"/>
        </w:rPr>
        <w:t>evaluarea structurii habitatelor va avea valori diferite de la un plot la altul, ceea ce impune ca din</w:t>
      </w:r>
      <w:r w:rsidRPr="00C54A03">
        <w:rPr>
          <w:color w:val="000000" w:themeColor="text1"/>
          <w:spacing w:val="1"/>
        </w:rPr>
        <w:t xml:space="preserve"> </w:t>
      </w:r>
      <w:r w:rsidRPr="00C54A03">
        <w:rPr>
          <w:color w:val="000000" w:themeColor="text1"/>
        </w:rPr>
        <w:t>punct de vedere sistematic să fie grupate pe clase de bogăție de specii diferită (mare, medie, mică);</w:t>
      </w:r>
      <w:r w:rsidRPr="00C54A03">
        <w:rPr>
          <w:color w:val="000000" w:themeColor="text1"/>
          <w:spacing w:val="1"/>
        </w:rPr>
        <w:t xml:space="preserve"> </w:t>
      </w:r>
      <w:r w:rsidRPr="00C54A03">
        <w:rPr>
          <w:color w:val="000000" w:themeColor="text1"/>
        </w:rPr>
        <w:t>ponderea fiecărei clase fiind cea care va duce la decizia specifică fiecărei bioregiuni. Astfel dacă la</w:t>
      </w:r>
      <w:r w:rsidRPr="00C54A03">
        <w:rPr>
          <w:color w:val="000000" w:themeColor="text1"/>
          <w:spacing w:val="1"/>
        </w:rPr>
        <w:t xml:space="preserve"> </w:t>
      </w:r>
      <w:r w:rsidRPr="00C54A03">
        <w:rPr>
          <w:color w:val="000000" w:themeColor="text1"/>
        </w:rPr>
        <w:t>habitatul 7110* vom obține aproximativ 40 de ploturi care se încadrează în clasa de compoziție</w:t>
      </w:r>
      <w:r w:rsidRPr="00C54A03">
        <w:rPr>
          <w:color w:val="000000" w:themeColor="text1"/>
          <w:spacing w:val="1"/>
        </w:rPr>
        <w:t xml:space="preserve"> </w:t>
      </w:r>
      <w:r w:rsidRPr="00C54A03">
        <w:rPr>
          <w:color w:val="000000" w:themeColor="text1"/>
        </w:rPr>
        <w:t>specifică mare (12 specii caracteristice), iar în clasa de compoziție medie (7 specii caracteristice)</w:t>
      </w:r>
      <w:r w:rsidRPr="00C54A03">
        <w:rPr>
          <w:color w:val="000000" w:themeColor="text1"/>
          <w:spacing w:val="1"/>
        </w:rPr>
        <w:t xml:space="preserve"> </w:t>
      </w:r>
      <w:r w:rsidRPr="00C54A03">
        <w:rPr>
          <w:color w:val="000000" w:themeColor="text1"/>
        </w:rPr>
        <w:t>vom avea 20 ploturi care se încadrează în aceasta, apoi în clasa de compoziție mică (3 specii</w:t>
      </w:r>
      <w:r w:rsidRPr="00C54A03">
        <w:rPr>
          <w:color w:val="000000" w:themeColor="text1"/>
          <w:spacing w:val="1"/>
        </w:rPr>
        <w:t xml:space="preserve"> </w:t>
      </w:r>
      <w:r w:rsidRPr="00C54A03">
        <w:rPr>
          <w:color w:val="000000" w:themeColor="text1"/>
        </w:rPr>
        <w:t>caracteristice), putem deduce că raportul pe bioregiunea țintă este considerat în stare favorabilă în</w:t>
      </w:r>
      <w:r w:rsidRPr="00C54A03">
        <w:rPr>
          <w:color w:val="000000" w:themeColor="text1"/>
          <w:spacing w:val="1"/>
        </w:rPr>
        <w:t xml:space="preserve"> </w:t>
      </w:r>
      <w:r w:rsidRPr="00C54A03">
        <w:rPr>
          <w:color w:val="000000" w:themeColor="text1"/>
        </w:rPr>
        <w:t>ceea</w:t>
      </w:r>
      <w:r w:rsidRPr="00C54A03">
        <w:rPr>
          <w:color w:val="000000" w:themeColor="text1"/>
          <w:spacing w:val="-2"/>
        </w:rPr>
        <w:t xml:space="preserve"> </w:t>
      </w:r>
      <w:r w:rsidRPr="00C54A03">
        <w:rPr>
          <w:color w:val="000000" w:themeColor="text1"/>
        </w:rPr>
        <w:t>ce</w:t>
      </w:r>
      <w:r w:rsidRPr="00C54A03">
        <w:rPr>
          <w:color w:val="000000" w:themeColor="text1"/>
          <w:spacing w:val="-1"/>
        </w:rPr>
        <w:t xml:space="preserve"> </w:t>
      </w:r>
      <w:r w:rsidRPr="00C54A03">
        <w:rPr>
          <w:color w:val="000000" w:themeColor="text1"/>
        </w:rPr>
        <w:t>privește</w:t>
      </w:r>
      <w:r w:rsidRPr="00C54A03">
        <w:rPr>
          <w:color w:val="000000" w:themeColor="text1"/>
          <w:spacing w:val="-1"/>
        </w:rPr>
        <w:t xml:space="preserve"> </w:t>
      </w:r>
      <w:r w:rsidRPr="00C54A03">
        <w:rPr>
          <w:color w:val="000000" w:themeColor="text1"/>
        </w:rPr>
        <w:t>evaluarea</w:t>
      </w:r>
      <w:r w:rsidRPr="00C54A03">
        <w:rPr>
          <w:color w:val="000000" w:themeColor="text1"/>
          <w:spacing w:val="-1"/>
        </w:rPr>
        <w:t xml:space="preserve"> </w:t>
      </w:r>
      <w:r w:rsidRPr="00C54A03">
        <w:rPr>
          <w:color w:val="000000" w:themeColor="text1"/>
        </w:rPr>
        <w:t>structurii.</w:t>
      </w:r>
    </w:p>
    <w:p w14:paraId="2287AECF" w14:textId="77777777" w:rsidR="00E13976" w:rsidRPr="00C54A03" w:rsidRDefault="00E13976" w:rsidP="008E33FD">
      <w:pPr>
        <w:widowControl w:val="0"/>
        <w:autoSpaceDE w:val="0"/>
        <w:autoSpaceDN w:val="0"/>
        <w:spacing w:before="1"/>
        <w:ind w:right="251"/>
        <w:jc w:val="both"/>
        <w:rPr>
          <w:color w:val="000000" w:themeColor="text1"/>
        </w:rPr>
      </w:pPr>
      <w:r w:rsidRPr="00C54A03">
        <w:rPr>
          <w:color w:val="000000" w:themeColor="text1"/>
        </w:rPr>
        <w:t>Al</w:t>
      </w:r>
      <w:r w:rsidRPr="00C54A03">
        <w:rPr>
          <w:color w:val="000000" w:themeColor="text1"/>
          <w:spacing w:val="31"/>
        </w:rPr>
        <w:t xml:space="preserve"> </w:t>
      </w:r>
      <w:r w:rsidRPr="00C54A03">
        <w:rPr>
          <w:color w:val="000000" w:themeColor="text1"/>
        </w:rPr>
        <w:t>treilea</w:t>
      </w:r>
      <w:r w:rsidRPr="00C54A03">
        <w:rPr>
          <w:color w:val="000000" w:themeColor="text1"/>
          <w:spacing w:val="31"/>
        </w:rPr>
        <w:t xml:space="preserve"> </w:t>
      </w:r>
      <w:r w:rsidRPr="00C54A03">
        <w:rPr>
          <w:color w:val="000000" w:themeColor="text1"/>
        </w:rPr>
        <w:t>nivel</w:t>
      </w:r>
      <w:r w:rsidRPr="00C54A03">
        <w:rPr>
          <w:color w:val="000000" w:themeColor="text1"/>
          <w:spacing w:val="32"/>
        </w:rPr>
        <w:t xml:space="preserve"> </w:t>
      </w:r>
      <w:r w:rsidRPr="00C54A03">
        <w:rPr>
          <w:color w:val="000000" w:themeColor="text1"/>
        </w:rPr>
        <w:t>de</w:t>
      </w:r>
      <w:r w:rsidRPr="00C54A03">
        <w:rPr>
          <w:color w:val="000000" w:themeColor="text1"/>
          <w:spacing w:val="31"/>
        </w:rPr>
        <w:t xml:space="preserve"> </w:t>
      </w:r>
      <w:r w:rsidRPr="00C54A03">
        <w:rPr>
          <w:color w:val="000000" w:themeColor="text1"/>
        </w:rPr>
        <w:t>agregare</w:t>
      </w:r>
      <w:r w:rsidRPr="00C54A03">
        <w:rPr>
          <w:color w:val="000000" w:themeColor="text1"/>
          <w:spacing w:val="30"/>
        </w:rPr>
        <w:t xml:space="preserve"> </w:t>
      </w:r>
      <w:r w:rsidRPr="00C54A03">
        <w:rPr>
          <w:color w:val="000000" w:themeColor="text1"/>
        </w:rPr>
        <w:t>este</w:t>
      </w:r>
      <w:r w:rsidRPr="00C54A03">
        <w:rPr>
          <w:color w:val="000000" w:themeColor="text1"/>
          <w:spacing w:val="32"/>
        </w:rPr>
        <w:t xml:space="preserve"> </w:t>
      </w:r>
      <w:r w:rsidRPr="00C54A03">
        <w:rPr>
          <w:color w:val="000000" w:themeColor="text1"/>
        </w:rPr>
        <w:t>al</w:t>
      </w:r>
      <w:r w:rsidRPr="00C54A03">
        <w:rPr>
          <w:color w:val="000000" w:themeColor="text1"/>
          <w:spacing w:val="32"/>
        </w:rPr>
        <w:t xml:space="preserve"> </w:t>
      </w:r>
      <w:r w:rsidRPr="00C54A03">
        <w:rPr>
          <w:color w:val="000000" w:themeColor="text1"/>
        </w:rPr>
        <w:t>atributelor</w:t>
      </w:r>
      <w:r w:rsidRPr="00C54A03">
        <w:rPr>
          <w:color w:val="000000" w:themeColor="text1"/>
          <w:spacing w:val="32"/>
        </w:rPr>
        <w:t xml:space="preserve"> </w:t>
      </w:r>
      <w:r w:rsidRPr="00C54A03">
        <w:rPr>
          <w:color w:val="000000" w:themeColor="text1"/>
        </w:rPr>
        <w:t>la</w:t>
      </w:r>
      <w:r w:rsidRPr="00C54A03">
        <w:rPr>
          <w:color w:val="000000" w:themeColor="text1"/>
          <w:spacing w:val="34"/>
        </w:rPr>
        <w:t xml:space="preserve"> </w:t>
      </w:r>
      <w:r w:rsidRPr="00C54A03">
        <w:rPr>
          <w:color w:val="000000" w:themeColor="text1"/>
        </w:rPr>
        <w:t>nivel</w:t>
      </w:r>
      <w:r w:rsidRPr="00C54A03">
        <w:rPr>
          <w:color w:val="000000" w:themeColor="text1"/>
          <w:spacing w:val="32"/>
        </w:rPr>
        <w:t xml:space="preserve"> </w:t>
      </w:r>
      <w:r w:rsidRPr="00C54A03">
        <w:rPr>
          <w:color w:val="000000" w:themeColor="text1"/>
        </w:rPr>
        <w:t>național</w:t>
      </w:r>
      <w:r w:rsidRPr="00C54A03">
        <w:rPr>
          <w:color w:val="000000" w:themeColor="text1"/>
          <w:spacing w:val="32"/>
        </w:rPr>
        <w:t xml:space="preserve"> </w:t>
      </w:r>
      <w:r w:rsidRPr="00C54A03">
        <w:rPr>
          <w:color w:val="000000" w:themeColor="text1"/>
        </w:rPr>
        <w:t>rezultate</w:t>
      </w:r>
      <w:r w:rsidRPr="00C54A03">
        <w:rPr>
          <w:color w:val="000000" w:themeColor="text1"/>
          <w:spacing w:val="29"/>
        </w:rPr>
        <w:t xml:space="preserve"> </w:t>
      </w:r>
      <w:r w:rsidRPr="00C54A03">
        <w:rPr>
          <w:color w:val="000000" w:themeColor="text1"/>
        </w:rPr>
        <w:t>din</w:t>
      </w:r>
      <w:r w:rsidRPr="00C54A03">
        <w:rPr>
          <w:color w:val="000000" w:themeColor="text1"/>
          <w:spacing w:val="32"/>
        </w:rPr>
        <w:t xml:space="preserve"> </w:t>
      </w:r>
      <w:r w:rsidRPr="00C54A03">
        <w:rPr>
          <w:color w:val="000000" w:themeColor="text1"/>
        </w:rPr>
        <w:t>agregarea</w:t>
      </w:r>
      <w:r w:rsidRPr="00C54A03">
        <w:rPr>
          <w:color w:val="000000" w:themeColor="text1"/>
          <w:spacing w:val="31"/>
        </w:rPr>
        <w:t xml:space="preserve"> </w:t>
      </w:r>
      <w:r w:rsidRPr="00C54A03">
        <w:rPr>
          <w:color w:val="000000" w:themeColor="text1"/>
        </w:rPr>
        <w:t>datelor</w:t>
      </w:r>
      <w:r w:rsidRPr="00C54A03">
        <w:rPr>
          <w:color w:val="000000" w:themeColor="text1"/>
          <w:spacing w:val="31"/>
        </w:rPr>
        <w:t xml:space="preserve"> </w:t>
      </w:r>
      <w:r w:rsidRPr="00C54A03">
        <w:rPr>
          <w:color w:val="000000" w:themeColor="text1"/>
        </w:rPr>
        <w:t>la</w:t>
      </w:r>
      <w:r w:rsidRPr="00C54A03">
        <w:rPr>
          <w:color w:val="000000" w:themeColor="text1"/>
          <w:spacing w:val="-58"/>
        </w:rPr>
        <w:t xml:space="preserve"> </w:t>
      </w:r>
      <w:r w:rsidRPr="00C54A03">
        <w:rPr>
          <w:color w:val="000000" w:themeColor="text1"/>
        </w:rPr>
        <w:t>nivel</w:t>
      </w:r>
      <w:r w:rsidRPr="00C54A03">
        <w:rPr>
          <w:color w:val="000000" w:themeColor="text1"/>
          <w:spacing w:val="-1"/>
        </w:rPr>
        <w:t xml:space="preserve"> </w:t>
      </w:r>
      <w:r w:rsidRPr="00C54A03">
        <w:rPr>
          <w:color w:val="000000" w:themeColor="text1"/>
        </w:rPr>
        <w:t>de</w:t>
      </w:r>
      <w:r w:rsidRPr="00C54A03">
        <w:rPr>
          <w:color w:val="000000" w:themeColor="text1"/>
          <w:spacing w:val="-1"/>
        </w:rPr>
        <w:t xml:space="preserve"> </w:t>
      </w:r>
      <w:r w:rsidRPr="00C54A03">
        <w:rPr>
          <w:color w:val="000000" w:themeColor="text1"/>
        </w:rPr>
        <w:t>bioregiune.</w:t>
      </w:r>
    </w:p>
    <w:p w14:paraId="4A49F1E6" w14:textId="77777777" w:rsidR="00862257" w:rsidRPr="00C54A03" w:rsidRDefault="00862257" w:rsidP="008E33FD">
      <w:pPr>
        <w:widowControl w:val="0"/>
        <w:autoSpaceDE w:val="0"/>
        <w:autoSpaceDN w:val="0"/>
        <w:spacing w:before="1"/>
        <w:ind w:right="251"/>
        <w:jc w:val="both"/>
        <w:rPr>
          <w:color w:val="000000" w:themeColor="text1"/>
        </w:rPr>
      </w:pPr>
    </w:p>
    <w:p w14:paraId="11D1CEF6" w14:textId="77777777" w:rsidR="00E13976" w:rsidRDefault="00C350FB" w:rsidP="00484EEE">
      <w:pPr>
        <w:widowControl w:val="0"/>
        <w:autoSpaceDE w:val="0"/>
        <w:autoSpaceDN w:val="0"/>
        <w:ind w:right="259"/>
        <w:jc w:val="both"/>
        <w:rPr>
          <w:color w:val="000000" w:themeColor="text1"/>
        </w:rPr>
      </w:pPr>
      <w:proofErr w:type="spellStart"/>
      <w:r w:rsidRPr="00C54A03">
        <w:rPr>
          <w:rFonts w:eastAsia="Cambria"/>
          <w:b/>
          <w:bCs/>
          <w:color w:val="000000" w:themeColor="text1"/>
          <w:lang w:val="fr-FR"/>
        </w:rPr>
        <w:t>Planul</w:t>
      </w:r>
      <w:proofErr w:type="spellEnd"/>
      <w:r w:rsidRPr="00C54A03">
        <w:rPr>
          <w:rFonts w:eastAsia="Cambria"/>
          <w:b/>
          <w:bCs/>
          <w:color w:val="000000" w:themeColor="text1"/>
          <w:lang w:val="fr-FR"/>
        </w:rPr>
        <w:t xml:space="preserve"> de </w:t>
      </w:r>
      <w:proofErr w:type="spellStart"/>
      <w:r w:rsidRPr="00C54A03">
        <w:rPr>
          <w:rFonts w:eastAsia="Cambria"/>
          <w:b/>
          <w:bCs/>
          <w:color w:val="000000" w:themeColor="text1"/>
          <w:lang w:val="fr-FR"/>
        </w:rPr>
        <w:t>monitorizare</w:t>
      </w:r>
      <w:proofErr w:type="spellEnd"/>
      <w:r w:rsidRPr="00C54A03">
        <w:rPr>
          <w:rFonts w:eastAsia="Cambria"/>
          <w:b/>
          <w:bCs/>
          <w:color w:val="000000" w:themeColor="text1"/>
          <w:lang w:val="fr-FR"/>
        </w:rPr>
        <w:t xml:space="preserve"> a </w:t>
      </w:r>
      <w:proofErr w:type="spellStart"/>
      <w:r w:rsidRPr="00C54A03">
        <w:rPr>
          <w:rFonts w:eastAsia="Cambria"/>
          <w:b/>
          <w:bCs/>
          <w:color w:val="000000" w:themeColor="text1"/>
          <w:lang w:val="fr-FR"/>
        </w:rPr>
        <w:t>habitatelor</w:t>
      </w:r>
      <w:proofErr w:type="spellEnd"/>
      <w:r w:rsidRPr="00C54A03">
        <w:rPr>
          <w:rFonts w:eastAsia="Cambria"/>
          <w:b/>
          <w:bCs/>
          <w:color w:val="000000" w:themeColor="text1"/>
          <w:lang w:val="fr-FR"/>
        </w:rPr>
        <w:t xml:space="preserve"> de </w:t>
      </w:r>
      <w:r w:rsidRPr="00C54A03">
        <w:rPr>
          <w:rFonts w:eastAsia="Cambria"/>
          <w:b/>
          <w:bCs/>
          <w:color w:val="000000" w:themeColor="text1"/>
          <w:spacing w:val="-68"/>
          <w:lang w:val="fr-FR"/>
        </w:rPr>
        <w:t xml:space="preserve"> </w:t>
      </w:r>
      <w:proofErr w:type="spellStart"/>
      <w:r w:rsidRPr="00C54A03">
        <w:rPr>
          <w:rFonts w:eastAsia="Cambria"/>
          <w:b/>
          <w:bCs/>
          <w:color w:val="000000" w:themeColor="text1"/>
          <w:lang w:val="fr-FR"/>
        </w:rPr>
        <w:t>mlaștini</w:t>
      </w:r>
      <w:proofErr w:type="spellEnd"/>
      <w:r w:rsidR="00E13976" w:rsidRPr="00C54A03">
        <w:rPr>
          <w:rFonts w:eastAsia="Cambria"/>
          <w:b/>
          <w:bCs/>
          <w:color w:val="000000" w:themeColor="text1"/>
          <w:spacing w:val="-3"/>
          <w:lang w:val="fr-FR"/>
        </w:rPr>
        <w:t xml:space="preserve"> </w:t>
      </w:r>
      <w:proofErr w:type="spellStart"/>
      <w:r w:rsidRPr="00C54A03">
        <w:rPr>
          <w:rFonts w:eastAsia="Cambria"/>
          <w:b/>
          <w:bCs/>
          <w:color w:val="000000" w:themeColor="text1"/>
          <w:lang w:val="fr-FR"/>
        </w:rPr>
        <w:t>și</w:t>
      </w:r>
      <w:proofErr w:type="spellEnd"/>
      <w:r w:rsidRPr="00C54A03">
        <w:rPr>
          <w:rFonts w:eastAsia="Cambria"/>
          <w:b/>
          <w:bCs/>
          <w:color w:val="000000" w:themeColor="text1"/>
          <w:lang w:val="fr-FR"/>
        </w:rPr>
        <w:t xml:space="preserve"> </w:t>
      </w:r>
      <w:proofErr w:type="spellStart"/>
      <w:r w:rsidRPr="00C54A03">
        <w:rPr>
          <w:rFonts w:eastAsia="Cambria"/>
          <w:b/>
          <w:bCs/>
          <w:color w:val="000000" w:themeColor="text1"/>
          <w:lang w:val="fr-FR"/>
        </w:rPr>
        <w:t>turbării</w:t>
      </w:r>
      <w:proofErr w:type="spellEnd"/>
      <w:r w:rsidR="00484EEE" w:rsidRPr="00C54A03">
        <w:rPr>
          <w:b/>
          <w:color w:val="000000" w:themeColor="text1"/>
          <w:lang w:val="fr-FR"/>
        </w:rPr>
        <w:t xml:space="preserve"> </w:t>
      </w:r>
      <w:r w:rsidR="00E13976" w:rsidRPr="00C54A03">
        <w:rPr>
          <w:color w:val="000000" w:themeColor="text1"/>
        </w:rPr>
        <w:t>este parte a metodologiei de monitorizare</w:t>
      </w:r>
      <w:r w:rsidR="00E13976" w:rsidRPr="00C54A03">
        <w:rPr>
          <w:color w:val="000000" w:themeColor="text1"/>
          <w:spacing w:val="1"/>
        </w:rPr>
        <w:t xml:space="preserve"> </w:t>
      </w:r>
      <w:r w:rsidR="00E13976" w:rsidRPr="00C54A03">
        <w:rPr>
          <w:color w:val="000000" w:themeColor="text1"/>
        </w:rPr>
        <w:t>și sunt redate următoarele elemente: codul Natura 2000 și denumirea habitatului, perioadele optime</w:t>
      </w:r>
      <w:r w:rsidR="00E13976" w:rsidRPr="00C54A03">
        <w:rPr>
          <w:color w:val="000000" w:themeColor="text1"/>
          <w:spacing w:val="1"/>
        </w:rPr>
        <w:t xml:space="preserve"> </w:t>
      </w:r>
      <w:r w:rsidR="00E13976" w:rsidRPr="00C54A03">
        <w:rPr>
          <w:color w:val="000000" w:themeColor="text1"/>
        </w:rPr>
        <w:t>de</w:t>
      </w:r>
      <w:r w:rsidR="00E13976" w:rsidRPr="00C54A03">
        <w:rPr>
          <w:color w:val="000000" w:themeColor="text1"/>
          <w:spacing w:val="-2"/>
        </w:rPr>
        <w:t xml:space="preserve"> </w:t>
      </w:r>
      <w:r w:rsidR="00E13976" w:rsidRPr="00C54A03">
        <w:rPr>
          <w:color w:val="000000" w:themeColor="text1"/>
        </w:rPr>
        <w:t>monitorizare, metoda</w:t>
      </w:r>
      <w:r w:rsidR="00E13976" w:rsidRPr="00C54A03">
        <w:rPr>
          <w:color w:val="000000" w:themeColor="text1"/>
          <w:spacing w:val="1"/>
        </w:rPr>
        <w:t xml:space="preserve"> </w:t>
      </w:r>
      <w:r w:rsidR="00E13976" w:rsidRPr="00C54A03">
        <w:rPr>
          <w:color w:val="000000" w:themeColor="text1"/>
        </w:rPr>
        <w:t>utilizată și</w:t>
      </w:r>
      <w:r w:rsidR="00E13976" w:rsidRPr="00C54A03">
        <w:rPr>
          <w:color w:val="000000" w:themeColor="text1"/>
          <w:spacing w:val="-1"/>
        </w:rPr>
        <w:t xml:space="preserve"> </w:t>
      </w:r>
      <w:r w:rsidR="00E13976" w:rsidRPr="00C54A03">
        <w:rPr>
          <w:color w:val="000000" w:themeColor="text1"/>
        </w:rPr>
        <w:t>anumite</w:t>
      </w:r>
      <w:r w:rsidR="00E13976" w:rsidRPr="00C54A03">
        <w:rPr>
          <w:color w:val="000000" w:themeColor="text1"/>
          <w:spacing w:val="-1"/>
        </w:rPr>
        <w:t xml:space="preserve"> </w:t>
      </w:r>
      <w:r w:rsidR="00E13976" w:rsidRPr="00C54A03">
        <w:rPr>
          <w:color w:val="000000" w:themeColor="text1"/>
        </w:rPr>
        <w:t>observații (de</w:t>
      </w:r>
      <w:r w:rsidR="00E13976" w:rsidRPr="00C54A03">
        <w:rPr>
          <w:color w:val="000000" w:themeColor="text1"/>
          <w:spacing w:val="-2"/>
        </w:rPr>
        <w:t xml:space="preserve"> </w:t>
      </w:r>
      <w:r w:rsidR="00E13976" w:rsidRPr="00C54A03">
        <w:rPr>
          <w:color w:val="000000" w:themeColor="text1"/>
        </w:rPr>
        <w:t>la caz</w:t>
      </w:r>
      <w:r w:rsidR="00E13976" w:rsidRPr="00C54A03">
        <w:rPr>
          <w:color w:val="000000" w:themeColor="text1"/>
          <w:spacing w:val="1"/>
        </w:rPr>
        <w:t xml:space="preserve"> </w:t>
      </w:r>
      <w:r w:rsidR="00E13976" w:rsidRPr="00C54A03">
        <w:rPr>
          <w:color w:val="000000" w:themeColor="text1"/>
        </w:rPr>
        <w:t>la</w:t>
      </w:r>
      <w:r w:rsidR="00E13976" w:rsidRPr="00C54A03">
        <w:rPr>
          <w:color w:val="000000" w:themeColor="text1"/>
          <w:spacing w:val="-1"/>
        </w:rPr>
        <w:t xml:space="preserve"> </w:t>
      </w:r>
      <w:r w:rsidR="00E13976" w:rsidRPr="00C54A03">
        <w:rPr>
          <w:color w:val="000000" w:themeColor="text1"/>
        </w:rPr>
        <w:t>caz).</w:t>
      </w:r>
    </w:p>
    <w:p w14:paraId="38FD7501" w14:textId="77777777" w:rsidR="00484EEE" w:rsidRDefault="00484EEE" w:rsidP="00484EEE">
      <w:pPr>
        <w:widowControl w:val="0"/>
        <w:autoSpaceDE w:val="0"/>
        <w:autoSpaceDN w:val="0"/>
        <w:ind w:right="259"/>
        <w:jc w:val="both"/>
        <w:rPr>
          <w:color w:val="000000" w:themeColor="text1"/>
        </w:rPr>
      </w:pPr>
    </w:p>
    <w:p w14:paraId="6E7E85B2" w14:textId="77777777" w:rsidR="00484EEE" w:rsidRPr="00484EEE" w:rsidRDefault="00484EEE" w:rsidP="00484EEE">
      <w:pPr>
        <w:widowControl w:val="0"/>
        <w:autoSpaceDE w:val="0"/>
        <w:autoSpaceDN w:val="0"/>
        <w:ind w:right="259"/>
        <w:jc w:val="both"/>
        <w:rPr>
          <w:b/>
          <w:color w:val="000000" w:themeColor="text1"/>
          <w:lang w:val="fr-FR"/>
        </w:rPr>
      </w:pPr>
    </w:p>
    <w:p w14:paraId="06DBF1CF" w14:textId="77777777" w:rsidR="00E13976" w:rsidRPr="00C56257" w:rsidRDefault="00E13976" w:rsidP="008E33FD">
      <w:pPr>
        <w:widowControl w:val="0"/>
        <w:autoSpaceDE w:val="0"/>
        <w:autoSpaceDN w:val="0"/>
        <w:ind w:right="250"/>
        <w:jc w:val="both"/>
        <w:rPr>
          <w:b/>
          <w:color w:val="000000" w:themeColor="text1"/>
        </w:rPr>
        <w:sectPr w:rsidR="00E13976" w:rsidRPr="00C56257" w:rsidSect="00082644">
          <w:headerReference w:type="even" r:id="rId73"/>
          <w:headerReference w:type="default" r:id="rId74"/>
          <w:footerReference w:type="default" r:id="rId75"/>
          <w:headerReference w:type="first" r:id="rId76"/>
          <w:pgSz w:w="11910" w:h="16840"/>
          <w:pgMar w:top="1411" w:right="750" w:bottom="1598" w:left="1066" w:header="0" w:footer="1411" w:gutter="0"/>
          <w:cols w:space="708"/>
        </w:sectPr>
      </w:pPr>
    </w:p>
    <w:p w14:paraId="3ED8344B" w14:textId="77777777" w:rsidR="00E13976" w:rsidRPr="00C56257" w:rsidRDefault="00E13976" w:rsidP="008E33FD">
      <w:pPr>
        <w:widowControl w:val="0"/>
        <w:autoSpaceDE w:val="0"/>
        <w:autoSpaceDN w:val="0"/>
        <w:spacing w:before="90"/>
        <w:ind w:right="3745"/>
        <w:jc w:val="both"/>
        <w:rPr>
          <w:b/>
          <w:color w:val="000000" w:themeColor="text1"/>
        </w:rPr>
      </w:pPr>
      <w:r w:rsidRPr="00C56257">
        <w:rPr>
          <w:b/>
          <w:color w:val="000000" w:themeColor="text1"/>
        </w:rPr>
        <w:lastRenderedPageBreak/>
        <w:t>Tabel–Planul</w:t>
      </w:r>
      <w:r w:rsidRPr="00C56257">
        <w:rPr>
          <w:b/>
          <w:color w:val="000000" w:themeColor="text1"/>
          <w:spacing w:val="-2"/>
        </w:rPr>
        <w:t xml:space="preserve"> </w:t>
      </w:r>
      <w:r w:rsidRPr="00C56257">
        <w:rPr>
          <w:b/>
          <w:color w:val="000000" w:themeColor="text1"/>
        </w:rPr>
        <w:t>de</w:t>
      </w:r>
      <w:r w:rsidRPr="00C56257">
        <w:rPr>
          <w:b/>
          <w:color w:val="000000" w:themeColor="text1"/>
          <w:spacing w:val="-3"/>
        </w:rPr>
        <w:t xml:space="preserve"> </w:t>
      </w:r>
      <w:r w:rsidRPr="00C56257">
        <w:rPr>
          <w:b/>
          <w:color w:val="000000" w:themeColor="text1"/>
        </w:rPr>
        <w:t>monitorizare</w:t>
      </w:r>
      <w:r w:rsidRPr="00C56257">
        <w:rPr>
          <w:b/>
          <w:color w:val="000000" w:themeColor="text1"/>
          <w:spacing w:val="-3"/>
        </w:rPr>
        <w:t xml:space="preserve"> </w:t>
      </w:r>
      <w:r w:rsidRPr="00C56257">
        <w:rPr>
          <w:b/>
          <w:color w:val="000000" w:themeColor="text1"/>
        </w:rPr>
        <w:t>a</w:t>
      </w:r>
      <w:r w:rsidRPr="00C56257">
        <w:rPr>
          <w:b/>
          <w:color w:val="000000" w:themeColor="text1"/>
          <w:spacing w:val="-1"/>
        </w:rPr>
        <w:t xml:space="preserve"> </w:t>
      </w:r>
      <w:r w:rsidRPr="00C56257">
        <w:rPr>
          <w:b/>
          <w:color w:val="000000" w:themeColor="text1"/>
        </w:rPr>
        <w:t>habitatelor</w:t>
      </w:r>
      <w:r w:rsidRPr="00C56257">
        <w:rPr>
          <w:b/>
          <w:color w:val="000000" w:themeColor="text1"/>
          <w:spacing w:val="-3"/>
        </w:rPr>
        <w:t xml:space="preserve"> </w:t>
      </w:r>
      <w:r w:rsidRPr="00C56257">
        <w:rPr>
          <w:b/>
          <w:color w:val="000000" w:themeColor="text1"/>
        </w:rPr>
        <w:t>de</w:t>
      </w:r>
      <w:r w:rsidRPr="00C56257">
        <w:rPr>
          <w:b/>
          <w:color w:val="000000" w:themeColor="text1"/>
          <w:spacing w:val="1"/>
        </w:rPr>
        <w:t xml:space="preserve"> </w:t>
      </w:r>
      <w:r w:rsidRPr="00C56257">
        <w:rPr>
          <w:b/>
          <w:color w:val="000000" w:themeColor="text1"/>
        </w:rPr>
        <w:t>mlaștini</w:t>
      </w:r>
      <w:r w:rsidRPr="00C56257">
        <w:rPr>
          <w:b/>
          <w:color w:val="000000" w:themeColor="text1"/>
          <w:spacing w:val="-2"/>
        </w:rPr>
        <w:t xml:space="preserve"> </w:t>
      </w:r>
      <w:r w:rsidRPr="00C56257">
        <w:rPr>
          <w:b/>
          <w:color w:val="000000" w:themeColor="text1"/>
        </w:rPr>
        <w:t>și</w:t>
      </w:r>
      <w:r w:rsidRPr="00C56257">
        <w:rPr>
          <w:b/>
          <w:color w:val="000000" w:themeColor="text1"/>
          <w:spacing w:val="-1"/>
        </w:rPr>
        <w:t xml:space="preserve"> </w:t>
      </w:r>
      <w:r w:rsidRPr="00C56257">
        <w:rPr>
          <w:b/>
          <w:color w:val="000000" w:themeColor="text1"/>
        </w:rPr>
        <w:t>turbării</w:t>
      </w:r>
    </w:p>
    <w:p w14:paraId="075AED87" w14:textId="77777777" w:rsidR="00E13976" w:rsidRPr="00C56257" w:rsidRDefault="00E13976" w:rsidP="008E33FD">
      <w:pPr>
        <w:widowControl w:val="0"/>
        <w:autoSpaceDE w:val="0"/>
        <w:autoSpaceDN w:val="0"/>
        <w:spacing w:before="11"/>
        <w:jc w:val="both"/>
        <w:rPr>
          <w:b/>
          <w:color w:val="000000" w:themeColor="text1"/>
        </w:rPr>
      </w:pPr>
    </w:p>
    <w:tbl>
      <w:tblPr>
        <w:tblW w:w="14884" w:type="dxa"/>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02"/>
        <w:gridCol w:w="521"/>
        <w:gridCol w:w="541"/>
        <w:gridCol w:w="557"/>
        <w:gridCol w:w="557"/>
        <w:gridCol w:w="557"/>
        <w:gridCol w:w="557"/>
        <w:gridCol w:w="502"/>
        <w:gridCol w:w="557"/>
        <w:gridCol w:w="557"/>
        <w:gridCol w:w="559"/>
        <w:gridCol w:w="557"/>
        <w:gridCol w:w="759"/>
        <w:gridCol w:w="2547"/>
        <w:gridCol w:w="218"/>
        <w:gridCol w:w="2436"/>
      </w:tblGrid>
      <w:tr w:rsidR="00E13976" w:rsidRPr="00C56257" w14:paraId="06CD4D22" w14:textId="77777777" w:rsidTr="00E13976">
        <w:trPr>
          <w:trHeight w:val="525"/>
        </w:trPr>
        <w:tc>
          <w:tcPr>
            <w:tcW w:w="2902" w:type="dxa"/>
            <w:vMerge w:val="restart"/>
            <w:shd w:val="clear" w:color="auto" w:fill="D9D9D9"/>
          </w:tcPr>
          <w:p w14:paraId="46570412" w14:textId="77777777" w:rsidR="00E13976" w:rsidRPr="00C56257" w:rsidRDefault="00E13976" w:rsidP="008E33FD">
            <w:pPr>
              <w:widowControl w:val="0"/>
              <w:autoSpaceDE w:val="0"/>
              <w:autoSpaceDN w:val="0"/>
              <w:spacing w:before="121" w:line="278" w:lineRule="auto"/>
              <w:ind w:right="149"/>
              <w:jc w:val="both"/>
              <w:rPr>
                <w:b/>
                <w:color w:val="000000" w:themeColor="text1"/>
              </w:rPr>
            </w:pPr>
            <w:r w:rsidRPr="00C56257">
              <w:rPr>
                <w:b/>
                <w:color w:val="000000" w:themeColor="text1"/>
              </w:rPr>
              <w:t>Denumirea şi codul Natura</w:t>
            </w:r>
            <w:r w:rsidRPr="00C56257">
              <w:rPr>
                <w:b/>
                <w:color w:val="000000" w:themeColor="text1"/>
                <w:spacing w:val="-52"/>
              </w:rPr>
              <w:t xml:space="preserve"> </w:t>
            </w:r>
            <w:r w:rsidRPr="00C56257">
              <w:rPr>
                <w:b/>
                <w:color w:val="000000" w:themeColor="text1"/>
              </w:rPr>
              <w:t>2000</w:t>
            </w:r>
          </w:p>
        </w:tc>
        <w:tc>
          <w:tcPr>
            <w:tcW w:w="6781" w:type="dxa"/>
            <w:gridSpan w:val="12"/>
            <w:shd w:val="clear" w:color="auto" w:fill="D9D9D9"/>
          </w:tcPr>
          <w:p w14:paraId="134410F1" w14:textId="77777777" w:rsidR="00E13976" w:rsidRPr="00C56257" w:rsidRDefault="00E13976" w:rsidP="008E33FD">
            <w:pPr>
              <w:widowControl w:val="0"/>
              <w:autoSpaceDE w:val="0"/>
              <w:autoSpaceDN w:val="0"/>
              <w:spacing w:before="17"/>
              <w:jc w:val="both"/>
              <w:rPr>
                <w:b/>
                <w:color w:val="000000" w:themeColor="text1"/>
              </w:rPr>
            </w:pPr>
            <w:r w:rsidRPr="00C56257">
              <w:rPr>
                <w:b/>
                <w:color w:val="000000" w:themeColor="text1"/>
              </w:rPr>
              <w:t>Perioade</w:t>
            </w:r>
            <w:r w:rsidRPr="00C56257">
              <w:rPr>
                <w:b/>
                <w:color w:val="000000" w:themeColor="text1"/>
                <w:spacing w:val="-1"/>
              </w:rPr>
              <w:t xml:space="preserve"> </w:t>
            </w:r>
            <w:r w:rsidRPr="00C56257">
              <w:rPr>
                <w:b/>
                <w:color w:val="000000" w:themeColor="text1"/>
              </w:rPr>
              <w:t>optime</w:t>
            </w:r>
            <w:r w:rsidRPr="00C56257">
              <w:rPr>
                <w:b/>
                <w:color w:val="000000" w:themeColor="text1"/>
                <w:spacing w:val="-1"/>
              </w:rPr>
              <w:t xml:space="preserve"> </w:t>
            </w:r>
            <w:r w:rsidRPr="00C56257">
              <w:rPr>
                <w:b/>
                <w:color w:val="000000" w:themeColor="text1"/>
              </w:rPr>
              <w:t>de</w:t>
            </w:r>
            <w:r w:rsidRPr="00C56257">
              <w:rPr>
                <w:b/>
                <w:color w:val="000000" w:themeColor="text1"/>
                <w:spacing w:val="-3"/>
              </w:rPr>
              <w:t xml:space="preserve"> </w:t>
            </w:r>
            <w:r w:rsidRPr="00C56257">
              <w:rPr>
                <w:b/>
                <w:color w:val="000000" w:themeColor="text1"/>
              </w:rPr>
              <w:t>monitorizare</w:t>
            </w:r>
          </w:p>
        </w:tc>
        <w:tc>
          <w:tcPr>
            <w:tcW w:w="2764" w:type="dxa"/>
            <w:gridSpan w:val="2"/>
            <w:vMerge w:val="restart"/>
            <w:shd w:val="clear" w:color="auto" w:fill="D9D9D9"/>
          </w:tcPr>
          <w:p w14:paraId="354A9E55" w14:textId="77777777" w:rsidR="00E13976" w:rsidRPr="00C56257" w:rsidRDefault="00E13976" w:rsidP="008E33FD">
            <w:pPr>
              <w:widowControl w:val="0"/>
              <w:autoSpaceDE w:val="0"/>
              <w:autoSpaceDN w:val="0"/>
              <w:spacing w:before="2"/>
              <w:jc w:val="both"/>
              <w:rPr>
                <w:b/>
                <w:color w:val="000000" w:themeColor="text1"/>
              </w:rPr>
            </w:pPr>
          </w:p>
          <w:p w14:paraId="0AA8DFE0" w14:textId="77777777" w:rsidR="00E13976" w:rsidRPr="00C56257" w:rsidRDefault="00E13976" w:rsidP="008E33FD">
            <w:pPr>
              <w:widowControl w:val="0"/>
              <w:autoSpaceDE w:val="0"/>
              <w:autoSpaceDN w:val="0"/>
              <w:jc w:val="both"/>
              <w:rPr>
                <w:b/>
                <w:color w:val="000000" w:themeColor="text1"/>
              </w:rPr>
            </w:pPr>
            <w:r w:rsidRPr="00C56257">
              <w:rPr>
                <w:b/>
                <w:color w:val="000000" w:themeColor="text1"/>
              </w:rPr>
              <w:t>Metoda</w:t>
            </w:r>
            <w:r w:rsidRPr="00C56257">
              <w:rPr>
                <w:b/>
                <w:color w:val="000000" w:themeColor="text1"/>
                <w:spacing w:val="-3"/>
              </w:rPr>
              <w:t xml:space="preserve"> </w:t>
            </w:r>
            <w:r w:rsidRPr="00C56257">
              <w:rPr>
                <w:b/>
                <w:color w:val="000000" w:themeColor="text1"/>
              </w:rPr>
              <w:t>utilizată</w:t>
            </w:r>
          </w:p>
        </w:tc>
        <w:tc>
          <w:tcPr>
            <w:tcW w:w="2436" w:type="dxa"/>
            <w:vMerge w:val="restart"/>
            <w:shd w:val="clear" w:color="auto" w:fill="D9D9D9"/>
          </w:tcPr>
          <w:p w14:paraId="0BA1424F" w14:textId="77777777" w:rsidR="00E13976" w:rsidRPr="00C56257" w:rsidRDefault="00E13976" w:rsidP="008E33FD">
            <w:pPr>
              <w:widowControl w:val="0"/>
              <w:autoSpaceDE w:val="0"/>
              <w:autoSpaceDN w:val="0"/>
              <w:spacing w:before="2"/>
              <w:jc w:val="both"/>
              <w:rPr>
                <w:b/>
                <w:color w:val="000000" w:themeColor="text1"/>
              </w:rPr>
            </w:pPr>
          </w:p>
          <w:p w14:paraId="44799170" w14:textId="77777777" w:rsidR="00E13976" w:rsidRPr="00C56257" w:rsidRDefault="00E13976" w:rsidP="008E33FD">
            <w:pPr>
              <w:widowControl w:val="0"/>
              <w:autoSpaceDE w:val="0"/>
              <w:autoSpaceDN w:val="0"/>
              <w:ind w:right="969"/>
              <w:jc w:val="both"/>
              <w:rPr>
                <w:b/>
                <w:color w:val="000000" w:themeColor="text1"/>
              </w:rPr>
            </w:pPr>
            <w:r w:rsidRPr="00C56257">
              <w:rPr>
                <w:b/>
                <w:color w:val="000000" w:themeColor="text1"/>
              </w:rPr>
              <w:t>Obs.</w:t>
            </w:r>
          </w:p>
        </w:tc>
      </w:tr>
      <w:tr w:rsidR="00E13976" w:rsidRPr="00C56257" w14:paraId="710361F9" w14:textId="77777777" w:rsidTr="00E13976">
        <w:trPr>
          <w:trHeight w:val="491"/>
        </w:trPr>
        <w:tc>
          <w:tcPr>
            <w:tcW w:w="2902" w:type="dxa"/>
            <w:vMerge/>
            <w:tcBorders>
              <w:top w:val="nil"/>
            </w:tcBorders>
            <w:shd w:val="clear" w:color="auto" w:fill="D9D9D9"/>
          </w:tcPr>
          <w:p w14:paraId="0D14C3DB" w14:textId="77777777" w:rsidR="00E13976" w:rsidRPr="00C56257" w:rsidRDefault="00E13976" w:rsidP="008E33FD">
            <w:pPr>
              <w:widowControl w:val="0"/>
              <w:autoSpaceDE w:val="0"/>
              <w:autoSpaceDN w:val="0"/>
              <w:jc w:val="both"/>
              <w:rPr>
                <w:color w:val="000000" w:themeColor="text1"/>
              </w:rPr>
            </w:pPr>
          </w:p>
        </w:tc>
        <w:tc>
          <w:tcPr>
            <w:tcW w:w="521" w:type="dxa"/>
            <w:shd w:val="clear" w:color="auto" w:fill="D9D9D9"/>
          </w:tcPr>
          <w:p w14:paraId="70AA6C5E" w14:textId="77777777" w:rsidR="00E13976" w:rsidRPr="00C56257" w:rsidRDefault="00E13976" w:rsidP="008E33FD">
            <w:pPr>
              <w:widowControl w:val="0"/>
              <w:autoSpaceDE w:val="0"/>
              <w:autoSpaceDN w:val="0"/>
              <w:spacing w:line="249" w:lineRule="exact"/>
              <w:jc w:val="both"/>
              <w:rPr>
                <w:color w:val="000000" w:themeColor="text1"/>
              </w:rPr>
            </w:pPr>
            <w:r w:rsidRPr="00C56257">
              <w:rPr>
                <w:color w:val="000000" w:themeColor="text1"/>
              </w:rPr>
              <w:t>I</w:t>
            </w:r>
          </w:p>
        </w:tc>
        <w:tc>
          <w:tcPr>
            <w:tcW w:w="541" w:type="dxa"/>
            <w:shd w:val="clear" w:color="auto" w:fill="D9D9D9"/>
          </w:tcPr>
          <w:p w14:paraId="550C3ABF" w14:textId="77777777" w:rsidR="00E13976" w:rsidRPr="00C56257" w:rsidRDefault="00E13976" w:rsidP="008E33FD">
            <w:pPr>
              <w:widowControl w:val="0"/>
              <w:autoSpaceDE w:val="0"/>
              <w:autoSpaceDN w:val="0"/>
              <w:spacing w:line="249" w:lineRule="exact"/>
              <w:jc w:val="both"/>
              <w:rPr>
                <w:color w:val="000000" w:themeColor="text1"/>
              </w:rPr>
            </w:pPr>
            <w:r w:rsidRPr="00C56257">
              <w:rPr>
                <w:color w:val="000000" w:themeColor="text1"/>
              </w:rPr>
              <w:t>II</w:t>
            </w:r>
          </w:p>
        </w:tc>
        <w:tc>
          <w:tcPr>
            <w:tcW w:w="557" w:type="dxa"/>
            <w:shd w:val="clear" w:color="auto" w:fill="D9D9D9"/>
          </w:tcPr>
          <w:p w14:paraId="5136A11B" w14:textId="77777777" w:rsidR="00E13976" w:rsidRPr="00C56257" w:rsidRDefault="00E13976" w:rsidP="008E33FD">
            <w:pPr>
              <w:widowControl w:val="0"/>
              <w:autoSpaceDE w:val="0"/>
              <w:autoSpaceDN w:val="0"/>
              <w:spacing w:line="249" w:lineRule="exact"/>
              <w:jc w:val="both"/>
              <w:rPr>
                <w:color w:val="000000" w:themeColor="text1"/>
              </w:rPr>
            </w:pPr>
            <w:r w:rsidRPr="00C56257">
              <w:rPr>
                <w:color w:val="000000" w:themeColor="text1"/>
              </w:rPr>
              <w:t>III</w:t>
            </w:r>
          </w:p>
        </w:tc>
        <w:tc>
          <w:tcPr>
            <w:tcW w:w="557" w:type="dxa"/>
            <w:shd w:val="clear" w:color="auto" w:fill="D9D9D9"/>
          </w:tcPr>
          <w:p w14:paraId="37CF5BFB" w14:textId="77777777" w:rsidR="00E13976" w:rsidRPr="00C56257" w:rsidRDefault="00E13976" w:rsidP="008E33FD">
            <w:pPr>
              <w:widowControl w:val="0"/>
              <w:autoSpaceDE w:val="0"/>
              <w:autoSpaceDN w:val="0"/>
              <w:spacing w:line="249" w:lineRule="exact"/>
              <w:jc w:val="both"/>
              <w:rPr>
                <w:color w:val="000000" w:themeColor="text1"/>
              </w:rPr>
            </w:pPr>
            <w:r w:rsidRPr="00C56257">
              <w:rPr>
                <w:color w:val="000000" w:themeColor="text1"/>
              </w:rPr>
              <w:t>IV</w:t>
            </w:r>
          </w:p>
        </w:tc>
        <w:tc>
          <w:tcPr>
            <w:tcW w:w="557" w:type="dxa"/>
            <w:shd w:val="clear" w:color="auto" w:fill="D9D9D9"/>
          </w:tcPr>
          <w:p w14:paraId="2908777D" w14:textId="77777777" w:rsidR="00E13976" w:rsidRPr="00C56257" w:rsidRDefault="00E13976" w:rsidP="008E33FD">
            <w:pPr>
              <w:widowControl w:val="0"/>
              <w:autoSpaceDE w:val="0"/>
              <w:autoSpaceDN w:val="0"/>
              <w:spacing w:line="249" w:lineRule="exact"/>
              <w:jc w:val="both"/>
              <w:rPr>
                <w:color w:val="000000" w:themeColor="text1"/>
              </w:rPr>
            </w:pPr>
            <w:r w:rsidRPr="00C56257">
              <w:rPr>
                <w:color w:val="000000" w:themeColor="text1"/>
              </w:rPr>
              <w:t>V</w:t>
            </w:r>
          </w:p>
        </w:tc>
        <w:tc>
          <w:tcPr>
            <w:tcW w:w="557" w:type="dxa"/>
            <w:shd w:val="clear" w:color="auto" w:fill="D9D9D9"/>
          </w:tcPr>
          <w:p w14:paraId="44DCBEF1" w14:textId="77777777" w:rsidR="00E13976" w:rsidRPr="00C56257" w:rsidRDefault="00E13976" w:rsidP="008E33FD">
            <w:pPr>
              <w:widowControl w:val="0"/>
              <w:autoSpaceDE w:val="0"/>
              <w:autoSpaceDN w:val="0"/>
              <w:spacing w:line="249" w:lineRule="exact"/>
              <w:jc w:val="both"/>
              <w:rPr>
                <w:color w:val="000000" w:themeColor="text1"/>
              </w:rPr>
            </w:pPr>
            <w:r w:rsidRPr="00C56257">
              <w:rPr>
                <w:color w:val="000000" w:themeColor="text1"/>
              </w:rPr>
              <w:t>VI</w:t>
            </w:r>
          </w:p>
        </w:tc>
        <w:tc>
          <w:tcPr>
            <w:tcW w:w="502" w:type="dxa"/>
            <w:shd w:val="clear" w:color="auto" w:fill="D9D9D9"/>
          </w:tcPr>
          <w:p w14:paraId="6395F6CB" w14:textId="77777777" w:rsidR="00E13976" w:rsidRPr="00C56257" w:rsidRDefault="00E13976" w:rsidP="008E33FD">
            <w:pPr>
              <w:widowControl w:val="0"/>
              <w:autoSpaceDE w:val="0"/>
              <w:autoSpaceDN w:val="0"/>
              <w:spacing w:line="249" w:lineRule="exact"/>
              <w:jc w:val="both"/>
              <w:rPr>
                <w:color w:val="000000" w:themeColor="text1"/>
              </w:rPr>
            </w:pPr>
            <w:r w:rsidRPr="00C56257">
              <w:rPr>
                <w:color w:val="000000" w:themeColor="text1"/>
              </w:rPr>
              <w:t>VII</w:t>
            </w:r>
          </w:p>
        </w:tc>
        <w:tc>
          <w:tcPr>
            <w:tcW w:w="557" w:type="dxa"/>
            <w:shd w:val="clear" w:color="auto" w:fill="D9D9D9"/>
          </w:tcPr>
          <w:p w14:paraId="0B29C262" w14:textId="77777777" w:rsidR="00E13976" w:rsidRPr="00C56257" w:rsidRDefault="00E13976" w:rsidP="008E33FD">
            <w:pPr>
              <w:widowControl w:val="0"/>
              <w:autoSpaceDE w:val="0"/>
              <w:autoSpaceDN w:val="0"/>
              <w:spacing w:line="249" w:lineRule="exact"/>
              <w:jc w:val="both"/>
              <w:rPr>
                <w:color w:val="000000" w:themeColor="text1"/>
              </w:rPr>
            </w:pPr>
            <w:r w:rsidRPr="00C56257">
              <w:rPr>
                <w:color w:val="000000" w:themeColor="text1"/>
              </w:rPr>
              <w:t>VIII</w:t>
            </w:r>
          </w:p>
        </w:tc>
        <w:tc>
          <w:tcPr>
            <w:tcW w:w="557" w:type="dxa"/>
            <w:shd w:val="clear" w:color="auto" w:fill="D9D9D9"/>
          </w:tcPr>
          <w:p w14:paraId="5C12EE02" w14:textId="77777777" w:rsidR="00E13976" w:rsidRPr="00C56257" w:rsidRDefault="00E13976" w:rsidP="008E33FD">
            <w:pPr>
              <w:widowControl w:val="0"/>
              <w:autoSpaceDE w:val="0"/>
              <w:autoSpaceDN w:val="0"/>
              <w:spacing w:line="249" w:lineRule="exact"/>
              <w:jc w:val="both"/>
              <w:rPr>
                <w:color w:val="000000" w:themeColor="text1"/>
              </w:rPr>
            </w:pPr>
            <w:r w:rsidRPr="00C56257">
              <w:rPr>
                <w:color w:val="000000" w:themeColor="text1"/>
              </w:rPr>
              <w:t>IX</w:t>
            </w:r>
          </w:p>
        </w:tc>
        <w:tc>
          <w:tcPr>
            <w:tcW w:w="559" w:type="dxa"/>
            <w:shd w:val="clear" w:color="auto" w:fill="D9D9D9"/>
          </w:tcPr>
          <w:p w14:paraId="5D41BCB5" w14:textId="77777777" w:rsidR="00E13976" w:rsidRPr="00C56257" w:rsidRDefault="00E13976" w:rsidP="008E33FD">
            <w:pPr>
              <w:widowControl w:val="0"/>
              <w:autoSpaceDE w:val="0"/>
              <w:autoSpaceDN w:val="0"/>
              <w:spacing w:line="249" w:lineRule="exact"/>
              <w:jc w:val="both"/>
              <w:rPr>
                <w:color w:val="000000" w:themeColor="text1"/>
              </w:rPr>
            </w:pPr>
            <w:r w:rsidRPr="00C56257">
              <w:rPr>
                <w:color w:val="000000" w:themeColor="text1"/>
              </w:rPr>
              <w:t>X</w:t>
            </w:r>
          </w:p>
        </w:tc>
        <w:tc>
          <w:tcPr>
            <w:tcW w:w="557" w:type="dxa"/>
            <w:shd w:val="clear" w:color="auto" w:fill="D9D9D9"/>
          </w:tcPr>
          <w:p w14:paraId="3DF160DE" w14:textId="77777777" w:rsidR="00E13976" w:rsidRPr="00C56257" w:rsidRDefault="00E13976" w:rsidP="008E33FD">
            <w:pPr>
              <w:widowControl w:val="0"/>
              <w:autoSpaceDE w:val="0"/>
              <w:autoSpaceDN w:val="0"/>
              <w:spacing w:line="249" w:lineRule="exact"/>
              <w:jc w:val="both"/>
              <w:rPr>
                <w:color w:val="000000" w:themeColor="text1"/>
              </w:rPr>
            </w:pPr>
            <w:r w:rsidRPr="00C56257">
              <w:rPr>
                <w:color w:val="000000" w:themeColor="text1"/>
              </w:rPr>
              <w:t>XI</w:t>
            </w:r>
          </w:p>
        </w:tc>
        <w:tc>
          <w:tcPr>
            <w:tcW w:w="759" w:type="dxa"/>
            <w:shd w:val="clear" w:color="auto" w:fill="D9D9D9"/>
          </w:tcPr>
          <w:p w14:paraId="701DFAD0" w14:textId="77777777" w:rsidR="00E13976" w:rsidRPr="00C56257" w:rsidRDefault="00E13976" w:rsidP="008E33FD">
            <w:pPr>
              <w:widowControl w:val="0"/>
              <w:autoSpaceDE w:val="0"/>
              <w:autoSpaceDN w:val="0"/>
              <w:spacing w:line="249" w:lineRule="exact"/>
              <w:jc w:val="both"/>
              <w:rPr>
                <w:color w:val="000000" w:themeColor="text1"/>
              </w:rPr>
            </w:pPr>
            <w:r w:rsidRPr="00C56257">
              <w:rPr>
                <w:color w:val="000000" w:themeColor="text1"/>
              </w:rPr>
              <w:t>XII</w:t>
            </w:r>
          </w:p>
        </w:tc>
        <w:tc>
          <w:tcPr>
            <w:tcW w:w="2764" w:type="dxa"/>
            <w:gridSpan w:val="2"/>
            <w:vMerge/>
            <w:tcBorders>
              <w:top w:val="nil"/>
            </w:tcBorders>
            <w:shd w:val="clear" w:color="auto" w:fill="D9D9D9"/>
          </w:tcPr>
          <w:p w14:paraId="492BF96B" w14:textId="77777777" w:rsidR="00E13976" w:rsidRPr="00C56257" w:rsidRDefault="00E13976" w:rsidP="008E33FD">
            <w:pPr>
              <w:widowControl w:val="0"/>
              <w:autoSpaceDE w:val="0"/>
              <w:autoSpaceDN w:val="0"/>
              <w:jc w:val="both"/>
              <w:rPr>
                <w:color w:val="000000" w:themeColor="text1"/>
              </w:rPr>
            </w:pPr>
          </w:p>
        </w:tc>
        <w:tc>
          <w:tcPr>
            <w:tcW w:w="2436" w:type="dxa"/>
            <w:vMerge/>
            <w:tcBorders>
              <w:top w:val="nil"/>
            </w:tcBorders>
            <w:shd w:val="clear" w:color="auto" w:fill="D9D9D9"/>
          </w:tcPr>
          <w:p w14:paraId="370C6174" w14:textId="77777777" w:rsidR="00E13976" w:rsidRPr="00C56257" w:rsidRDefault="00E13976" w:rsidP="008E33FD">
            <w:pPr>
              <w:widowControl w:val="0"/>
              <w:autoSpaceDE w:val="0"/>
              <w:autoSpaceDN w:val="0"/>
              <w:jc w:val="both"/>
              <w:rPr>
                <w:color w:val="000000" w:themeColor="text1"/>
              </w:rPr>
            </w:pPr>
          </w:p>
        </w:tc>
      </w:tr>
      <w:tr w:rsidR="00E13976" w:rsidRPr="00C56257" w14:paraId="3B0F7E7F" w14:textId="77777777" w:rsidTr="00E13976">
        <w:trPr>
          <w:trHeight w:val="1764"/>
        </w:trPr>
        <w:tc>
          <w:tcPr>
            <w:tcW w:w="2902" w:type="dxa"/>
          </w:tcPr>
          <w:p w14:paraId="29D28E8F" w14:textId="77777777" w:rsidR="00E13976" w:rsidRPr="00C56257" w:rsidRDefault="00E13976" w:rsidP="008E33FD">
            <w:pPr>
              <w:widowControl w:val="0"/>
              <w:autoSpaceDE w:val="0"/>
              <w:autoSpaceDN w:val="0"/>
              <w:jc w:val="both"/>
              <w:rPr>
                <w:b/>
                <w:color w:val="000000" w:themeColor="text1"/>
              </w:rPr>
            </w:pPr>
          </w:p>
          <w:p w14:paraId="0DB3DC98" w14:textId="77777777" w:rsidR="00E13976" w:rsidRPr="00C56257" w:rsidRDefault="00E13976" w:rsidP="008E33FD">
            <w:pPr>
              <w:widowControl w:val="0"/>
              <w:autoSpaceDE w:val="0"/>
              <w:autoSpaceDN w:val="0"/>
              <w:jc w:val="both"/>
              <w:rPr>
                <w:b/>
                <w:color w:val="000000" w:themeColor="text1"/>
              </w:rPr>
            </w:pPr>
          </w:p>
          <w:p w14:paraId="48226220" w14:textId="77777777" w:rsidR="00E13976" w:rsidRPr="00C56257" w:rsidRDefault="00E13976" w:rsidP="008E33FD">
            <w:pPr>
              <w:widowControl w:val="0"/>
              <w:autoSpaceDE w:val="0"/>
              <w:autoSpaceDN w:val="0"/>
              <w:spacing w:before="198"/>
              <w:jc w:val="both"/>
              <w:rPr>
                <w:color w:val="000000" w:themeColor="text1"/>
              </w:rPr>
            </w:pPr>
            <w:r w:rsidRPr="00C56257">
              <w:rPr>
                <w:color w:val="000000" w:themeColor="text1"/>
              </w:rPr>
              <w:t>7110*</w:t>
            </w:r>
            <w:r w:rsidRPr="00C56257">
              <w:rPr>
                <w:color w:val="000000" w:themeColor="text1"/>
                <w:spacing w:val="-5"/>
              </w:rPr>
              <w:t xml:space="preserve"> </w:t>
            </w:r>
            <w:r w:rsidRPr="00C56257">
              <w:rPr>
                <w:color w:val="000000" w:themeColor="text1"/>
              </w:rPr>
              <w:t>Turbării active</w:t>
            </w:r>
          </w:p>
        </w:tc>
        <w:tc>
          <w:tcPr>
            <w:tcW w:w="521" w:type="dxa"/>
          </w:tcPr>
          <w:p w14:paraId="6A1B3439" w14:textId="77777777" w:rsidR="00E13976" w:rsidRPr="00C56257" w:rsidRDefault="00E13976" w:rsidP="008E33FD">
            <w:pPr>
              <w:widowControl w:val="0"/>
              <w:autoSpaceDE w:val="0"/>
              <w:autoSpaceDN w:val="0"/>
              <w:jc w:val="both"/>
              <w:rPr>
                <w:color w:val="000000" w:themeColor="text1"/>
              </w:rPr>
            </w:pPr>
          </w:p>
        </w:tc>
        <w:tc>
          <w:tcPr>
            <w:tcW w:w="541" w:type="dxa"/>
          </w:tcPr>
          <w:p w14:paraId="30AF5D4D"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529B30B5"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26A87283"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273DCE81"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0927E636" w14:textId="77777777" w:rsidR="00E13976" w:rsidRPr="00C56257" w:rsidRDefault="00E13976" w:rsidP="008E33FD">
            <w:pPr>
              <w:widowControl w:val="0"/>
              <w:autoSpaceDE w:val="0"/>
              <w:autoSpaceDN w:val="0"/>
              <w:jc w:val="both"/>
              <w:rPr>
                <w:color w:val="000000" w:themeColor="text1"/>
              </w:rPr>
            </w:pPr>
          </w:p>
        </w:tc>
        <w:tc>
          <w:tcPr>
            <w:tcW w:w="502" w:type="dxa"/>
            <w:shd w:val="clear" w:color="auto" w:fill="BEBEBE"/>
          </w:tcPr>
          <w:p w14:paraId="5AB753B2"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4612C8B4"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59AA7097" w14:textId="77777777" w:rsidR="00E13976" w:rsidRPr="00C56257" w:rsidRDefault="00E13976" w:rsidP="008E33FD">
            <w:pPr>
              <w:widowControl w:val="0"/>
              <w:autoSpaceDE w:val="0"/>
              <w:autoSpaceDN w:val="0"/>
              <w:jc w:val="both"/>
              <w:rPr>
                <w:color w:val="000000" w:themeColor="text1"/>
              </w:rPr>
            </w:pPr>
          </w:p>
        </w:tc>
        <w:tc>
          <w:tcPr>
            <w:tcW w:w="559" w:type="dxa"/>
            <w:shd w:val="clear" w:color="auto" w:fill="BEBEBE"/>
          </w:tcPr>
          <w:p w14:paraId="7AAE2A77"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06A020BA" w14:textId="77777777" w:rsidR="00E13976" w:rsidRPr="00C56257" w:rsidRDefault="00E13976" w:rsidP="008E33FD">
            <w:pPr>
              <w:widowControl w:val="0"/>
              <w:autoSpaceDE w:val="0"/>
              <w:autoSpaceDN w:val="0"/>
              <w:jc w:val="both"/>
              <w:rPr>
                <w:color w:val="000000" w:themeColor="text1"/>
              </w:rPr>
            </w:pPr>
          </w:p>
        </w:tc>
        <w:tc>
          <w:tcPr>
            <w:tcW w:w="759" w:type="dxa"/>
          </w:tcPr>
          <w:p w14:paraId="48143F09" w14:textId="77777777" w:rsidR="00E13976" w:rsidRPr="00C56257" w:rsidRDefault="00E13976" w:rsidP="008E33FD">
            <w:pPr>
              <w:widowControl w:val="0"/>
              <w:autoSpaceDE w:val="0"/>
              <w:autoSpaceDN w:val="0"/>
              <w:jc w:val="both"/>
              <w:rPr>
                <w:color w:val="000000" w:themeColor="text1"/>
              </w:rPr>
            </w:pPr>
          </w:p>
        </w:tc>
        <w:tc>
          <w:tcPr>
            <w:tcW w:w="2547" w:type="dxa"/>
            <w:tcBorders>
              <w:right w:val="nil"/>
            </w:tcBorders>
          </w:tcPr>
          <w:p w14:paraId="4BC31057"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1556ABCE" w14:textId="77777777" w:rsidR="00E13976" w:rsidRPr="00C56257" w:rsidRDefault="00E13976" w:rsidP="008E33FD">
            <w:pPr>
              <w:widowControl w:val="0"/>
              <w:autoSpaceDE w:val="0"/>
              <w:autoSpaceDN w:val="0"/>
              <w:spacing w:before="9"/>
              <w:jc w:val="both"/>
              <w:rPr>
                <w:b/>
                <w:color w:val="000000" w:themeColor="text1"/>
              </w:rPr>
            </w:pPr>
          </w:p>
          <w:p w14:paraId="3909BB47" w14:textId="77777777" w:rsidR="00E13976" w:rsidRPr="00C56257" w:rsidRDefault="00E13976" w:rsidP="009E63E5">
            <w:pPr>
              <w:widowControl w:val="0"/>
              <w:numPr>
                <w:ilvl w:val="0"/>
                <w:numId w:val="70"/>
              </w:numPr>
              <w:tabs>
                <w:tab w:val="left" w:pos="277"/>
              </w:tabs>
              <w:autoSpaceDE w:val="0"/>
              <w:autoSpaceDN w:val="0"/>
              <w:spacing w:line="276" w:lineRule="auto"/>
              <w:ind w:right="83" w:firstLine="0"/>
              <w:jc w:val="both"/>
              <w:rPr>
                <w:color w:val="000000" w:themeColor="text1"/>
              </w:rPr>
            </w:pPr>
            <w:r w:rsidRPr="00C56257">
              <w:rPr>
                <w:color w:val="000000" w:themeColor="text1"/>
              </w:rPr>
              <w:t>metoda</w:t>
            </w:r>
            <w:r w:rsidRPr="00C56257">
              <w:rPr>
                <w:color w:val="000000" w:themeColor="text1"/>
                <w:spacing w:val="8"/>
              </w:rPr>
              <w:t xml:space="preserve"> </w:t>
            </w:r>
            <w:r w:rsidRPr="00C56257">
              <w:rPr>
                <w:color w:val="000000" w:themeColor="text1"/>
              </w:rPr>
              <w:t>releveelor</w:t>
            </w:r>
            <w:r w:rsidRPr="00C56257">
              <w:rPr>
                <w:color w:val="000000" w:themeColor="text1"/>
                <w:spacing w:val="8"/>
              </w:rPr>
              <w:t xml:space="preserve"> </w:t>
            </w:r>
            <w:r w:rsidRPr="00C56257">
              <w:rPr>
                <w:color w:val="000000" w:themeColor="text1"/>
              </w:rPr>
              <w:t>sau</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45626A89" w14:textId="77777777" w:rsidR="00E13976" w:rsidRPr="00C56257" w:rsidRDefault="00E13976" w:rsidP="009E63E5">
            <w:pPr>
              <w:widowControl w:val="0"/>
              <w:numPr>
                <w:ilvl w:val="0"/>
                <w:numId w:val="70"/>
              </w:numPr>
              <w:tabs>
                <w:tab w:val="left" w:pos="262"/>
              </w:tabs>
              <w:autoSpaceDE w:val="0"/>
              <w:autoSpaceDN w:val="0"/>
              <w:spacing w:before="201"/>
              <w:ind w:left="262" w:hanging="238"/>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217" w:type="dxa"/>
            <w:tcBorders>
              <w:left w:val="nil"/>
            </w:tcBorders>
          </w:tcPr>
          <w:p w14:paraId="6B9DD824" w14:textId="77777777" w:rsidR="00E13976" w:rsidRPr="00C56257" w:rsidRDefault="00E13976" w:rsidP="008E33FD">
            <w:pPr>
              <w:widowControl w:val="0"/>
              <w:autoSpaceDE w:val="0"/>
              <w:autoSpaceDN w:val="0"/>
              <w:jc w:val="both"/>
              <w:rPr>
                <w:b/>
                <w:color w:val="000000" w:themeColor="text1"/>
              </w:rPr>
            </w:pPr>
          </w:p>
          <w:p w14:paraId="2179DD22" w14:textId="77777777" w:rsidR="00E13976" w:rsidRPr="00C56257" w:rsidRDefault="00E13976" w:rsidP="008E33FD">
            <w:pPr>
              <w:widowControl w:val="0"/>
              <w:autoSpaceDE w:val="0"/>
              <w:autoSpaceDN w:val="0"/>
              <w:spacing w:before="210"/>
              <w:jc w:val="both"/>
              <w:rPr>
                <w:color w:val="000000" w:themeColor="text1"/>
              </w:rPr>
            </w:pPr>
            <w:r w:rsidRPr="00C56257">
              <w:rPr>
                <w:color w:val="000000" w:themeColor="text1"/>
              </w:rPr>
              <w:t>a</w:t>
            </w:r>
          </w:p>
        </w:tc>
        <w:tc>
          <w:tcPr>
            <w:tcW w:w="2436" w:type="dxa"/>
          </w:tcPr>
          <w:p w14:paraId="5B252529" w14:textId="77777777" w:rsidR="00E13976" w:rsidRPr="00C56257" w:rsidRDefault="00E13976" w:rsidP="008E33FD">
            <w:pPr>
              <w:widowControl w:val="0"/>
              <w:autoSpaceDE w:val="0"/>
              <w:autoSpaceDN w:val="0"/>
              <w:spacing w:before="49" w:line="276" w:lineRule="auto"/>
              <w:ind w:right="161"/>
              <w:jc w:val="both"/>
              <w:rPr>
                <w:color w:val="000000" w:themeColor="text1"/>
              </w:rPr>
            </w:pPr>
            <w:r w:rsidRPr="00C56257">
              <w:rPr>
                <w:color w:val="000000" w:themeColor="text1"/>
              </w:rPr>
              <w:t>Min 7 relevee/ transecte</w:t>
            </w:r>
            <w:r w:rsidRPr="00C56257">
              <w:rPr>
                <w:color w:val="000000" w:themeColor="text1"/>
                <w:spacing w:val="1"/>
              </w:rPr>
              <w:t xml:space="preserve"> </w:t>
            </w:r>
            <w:r w:rsidRPr="00C56257">
              <w:rPr>
                <w:color w:val="000000" w:themeColor="text1"/>
              </w:rPr>
              <w:t>de monitorizare în cadrul</w:t>
            </w:r>
            <w:r w:rsidRPr="00C56257">
              <w:rPr>
                <w:color w:val="000000" w:themeColor="text1"/>
                <w:spacing w:val="-52"/>
              </w:rPr>
              <w:t xml:space="preserve"> </w:t>
            </w:r>
            <w:r w:rsidRPr="00C56257">
              <w:rPr>
                <w:color w:val="000000" w:themeColor="text1"/>
              </w:rPr>
              <w:t>ariilor naturale țintă şi în</w:t>
            </w:r>
            <w:r w:rsidRPr="00C56257">
              <w:rPr>
                <w:color w:val="000000" w:themeColor="text1"/>
                <w:spacing w:val="-52"/>
              </w:rPr>
              <w:t xml:space="preserve"> </w:t>
            </w:r>
            <w:r w:rsidRPr="00C56257">
              <w:rPr>
                <w:color w:val="000000" w:themeColor="text1"/>
              </w:rPr>
              <w:t>afara acestora, în situația</w:t>
            </w:r>
            <w:r w:rsidRPr="00C56257">
              <w:rPr>
                <w:color w:val="000000" w:themeColor="text1"/>
                <w:spacing w:val="-52"/>
              </w:rPr>
              <w:t xml:space="preserve"> </w:t>
            </w:r>
            <w:r w:rsidRPr="00C56257">
              <w:rPr>
                <w:color w:val="000000" w:themeColor="text1"/>
              </w:rPr>
              <w:t>prezenței</w:t>
            </w:r>
            <w:r w:rsidRPr="00C56257">
              <w:rPr>
                <w:color w:val="000000" w:themeColor="text1"/>
                <w:spacing w:val="1"/>
              </w:rPr>
              <w:t xml:space="preserve"> </w:t>
            </w:r>
            <w:r w:rsidRPr="00C56257">
              <w:rPr>
                <w:color w:val="000000" w:themeColor="text1"/>
              </w:rPr>
              <w:t>habitatului.</w:t>
            </w:r>
          </w:p>
        </w:tc>
      </w:tr>
      <w:tr w:rsidR="00E13976" w:rsidRPr="00C56257" w14:paraId="46679340" w14:textId="77777777" w:rsidTr="00E13976">
        <w:trPr>
          <w:trHeight w:val="1764"/>
        </w:trPr>
        <w:tc>
          <w:tcPr>
            <w:tcW w:w="2902" w:type="dxa"/>
          </w:tcPr>
          <w:p w14:paraId="5C74977D" w14:textId="77777777" w:rsidR="00E13976" w:rsidRPr="00C56257" w:rsidRDefault="00E13976" w:rsidP="008E33FD">
            <w:pPr>
              <w:widowControl w:val="0"/>
              <w:autoSpaceDE w:val="0"/>
              <w:autoSpaceDN w:val="0"/>
              <w:jc w:val="both"/>
              <w:rPr>
                <w:b/>
                <w:color w:val="000000" w:themeColor="text1"/>
              </w:rPr>
            </w:pPr>
          </w:p>
          <w:p w14:paraId="7FE48FF1" w14:textId="77777777" w:rsidR="00E13976" w:rsidRPr="00C56257" w:rsidRDefault="00E13976" w:rsidP="008E33FD">
            <w:pPr>
              <w:widowControl w:val="0"/>
              <w:autoSpaceDE w:val="0"/>
              <w:autoSpaceDN w:val="0"/>
              <w:spacing w:before="3"/>
              <w:jc w:val="both"/>
              <w:rPr>
                <w:b/>
                <w:color w:val="000000" w:themeColor="text1"/>
              </w:rPr>
            </w:pPr>
          </w:p>
          <w:p w14:paraId="7E730237" w14:textId="77777777" w:rsidR="00E13976" w:rsidRPr="00C56257" w:rsidRDefault="00E13976" w:rsidP="008E33FD">
            <w:pPr>
              <w:widowControl w:val="0"/>
              <w:autoSpaceDE w:val="0"/>
              <w:autoSpaceDN w:val="0"/>
              <w:ind w:right="660"/>
              <w:jc w:val="both"/>
              <w:rPr>
                <w:color w:val="000000" w:themeColor="text1"/>
              </w:rPr>
            </w:pPr>
            <w:r w:rsidRPr="00C56257">
              <w:rPr>
                <w:color w:val="000000" w:themeColor="text1"/>
              </w:rPr>
              <w:t>7120 Turbării degradate</w:t>
            </w:r>
            <w:r w:rsidRPr="00C56257">
              <w:rPr>
                <w:color w:val="000000" w:themeColor="text1"/>
                <w:spacing w:val="-52"/>
              </w:rPr>
              <w:t xml:space="preserve"> </w:t>
            </w:r>
            <w:r w:rsidRPr="00C56257">
              <w:rPr>
                <w:color w:val="000000" w:themeColor="text1"/>
              </w:rPr>
              <w:t>capabile de regenerare</w:t>
            </w:r>
            <w:r w:rsidRPr="00C56257">
              <w:rPr>
                <w:color w:val="000000" w:themeColor="text1"/>
                <w:spacing w:val="1"/>
              </w:rPr>
              <w:t xml:space="preserve"> </w:t>
            </w:r>
            <w:r w:rsidRPr="00C56257">
              <w:rPr>
                <w:color w:val="000000" w:themeColor="text1"/>
              </w:rPr>
              <w:t>naturală</w:t>
            </w:r>
          </w:p>
        </w:tc>
        <w:tc>
          <w:tcPr>
            <w:tcW w:w="521" w:type="dxa"/>
          </w:tcPr>
          <w:p w14:paraId="1D28E6F4" w14:textId="77777777" w:rsidR="00E13976" w:rsidRPr="00C56257" w:rsidRDefault="00E13976" w:rsidP="008E33FD">
            <w:pPr>
              <w:widowControl w:val="0"/>
              <w:autoSpaceDE w:val="0"/>
              <w:autoSpaceDN w:val="0"/>
              <w:jc w:val="both"/>
              <w:rPr>
                <w:color w:val="000000" w:themeColor="text1"/>
              </w:rPr>
            </w:pPr>
          </w:p>
        </w:tc>
        <w:tc>
          <w:tcPr>
            <w:tcW w:w="541" w:type="dxa"/>
          </w:tcPr>
          <w:p w14:paraId="4530D291"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7D0AD9CA"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245227C6"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7ECCA779"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0C41D747" w14:textId="77777777" w:rsidR="00E13976" w:rsidRPr="00C56257" w:rsidRDefault="00E13976" w:rsidP="008E33FD">
            <w:pPr>
              <w:widowControl w:val="0"/>
              <w:autoSpaceDE w:val="0"/>
              <w:autoSpaceDN w:val="0"/>
              <w:jc w:val="both"/>
              <w:rPr>
                <w:color w:val="000000" w:themeColor="text1"/>
              </w:rPr>
            </w:pPr>
          </w:p>
        </w:tc>
        <w:tc>
          <w:tcPr>
            <w:tcW w:w="502" w:type="dxa"/>
            <w:shd w:val="clear" w:color="auto" w:fill="BEBEBE"/>
          </w:tcPr>
          <w:p w14:paraId="54EC7E42"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0FB47E0D"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1A54648F" w14:textId="77777777" w:rsidR="00E13976" w:rsidRPr="00C56257" w:rsidRDefault="00E13976" w:rsidP="008E33FD">
            <w:pPr>
              <w:widowControl w:val="0"/>
              <w:autoSpaceDE w:val="0"/>
              <w:autoSpaceDN w:val="0"/>
              <w:jc w:val="both"/>
              <w:rPr>
                <w:color w:val="000000" w:themeColor="text1"/>
              </w:rPr>
            </w:pPr>
          </w:p>
        </w:tc>
        <w:tc>
          <w:tcPr>
            <w:tcW w:w="559" w:type="dxa"/>
            <w:shd w:val="clear" w:color="auto" w:fill="BEBEBE"/>
          </w:tcPr>
          <w:p w14:paraId="32A27F64"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1EFDF712" w14:textId="77777777" w:rsidR="00E13976" w:rsidRPr="00C56257" w:rsidRDefault="00E13976" w:rsidP="008E33FD">
            <w:pPr>
              <w:widowControl w:val="0"/>
              <w:autoSpaceDE w:val="0"/>
              <w:autoSpaceDN w:val="0"/>
              <w:jc w:val="both"/>
              <w:rPr>
                <w:color w:val="000000" w:themeColor="text1"/>
              </w:rPr>
            </w:pPr>
          </w:p>
        </w:tc>
        <w:tc>
          <w:tcPr>
            <w:tcW w:w="759" w:type="dxa"/>
          </w:tcPr>
          <w:p w14:paraId="0FFC3BEB" w14:textId="77777777" w:rsidR="00E13976" w:rsidRPr="00C56257" w:rsidRDefault="00E13976" w:rsidP="008E33FD">
            <w:pPr>
              <w:widowControl w:val="0"/>
              <w:autoSpaceDE w:val="0"/>
              <w:autoSpaceDN w:val="0"/>
              <w:jc w:val="both"/>
              <w:rPr>
                <w:color w:val="000000" w:themeColor="text1"/>
              </w:rPr>
            </w:pPr>
          </w:p>
        </w:tc>
        <w:tc>
          <w:tcPr>
            <w:tcW w:w="2547" w:type="dxa"/>
            <w:tcBorders>
              <w:right w:val="nil"/>
            </w:tcBorders>
          </w:tcPr>
          <w:p w14:paraId="5A9359B2"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61E4EBC3" w14:textId="77777777" w:rsidR="00E13976" w:rsidRPr="00C56257" w:rsidRDefault="00E13976" w:rsidP="008E33FD">
            <w:pPr>
              <w:widowControl w:val="0"/>
              <w:autoSpaceDE w:val="0"/>
              <w:autoSpaceDN w:val="0"/>
              <w:spacing w:before="9"/>
              <w:jc w:val="both"/>
              <w:rPr>
                <w:b/>
                <w:color w:val="000000" w:themeColor="text1"/>
              </w:rPr>
            </w:pPr>
          </w:p>
          <w:p w14:paraId="26357979" w14:textId="77777777" w:rsidR="00E13976" w:rsidRPr="00C56257" w:rsidRDefault="00E13976" w:rsidP="009E63E5">
            <w:pPr>
              <w:widowControl w:val="0"/>
              <w:numPr>
                <w:ilvl w:val="0"/>
                <w:numId w:val="69"/>
              </w:numPr>
              <w:tabs>
                <w:tab w:val="left" w:pos="277"/>
              </w:tabs>
              <w:autoSpaceDE w:val="0"/>
              <w:autoSpaceDN w:val="0"/>
              <w:spacing w:line="276" w:lineRule="auto"/>
              <w:ind w:right="83" w:firstLine="0"/>
              <w:jc w:val="both"/>
              <w:rPr>
                <w:color w:val="000000" w:themeColor="text1"/>
              </w:rPr>
            </w:pPr>
            <w:r w:rsidRPr="00C56257">
              <w:rPr>
                <w:color w:val="000000" w:themeColor="text1"/>
              </w:rPr>
              <w:t>metoda</w:t>
            </w:r>
            <w:r w:rsidRPr="00C56257">
              <w:rPr>
                <w:color w:val="000000" w:themeColor="text1"/>
                <w:spacing w:val="8"/>
              </w:rPr>
              <w:t xml:space="preserve"> </w:t>
            </w:r>
            <w:r w:rsidRPr="00C56257">
              <w:rPr>
                <w:color w:val="000000" w:themeColor="text1"/>
              </w:rPr>
              <w:t>releveelor</w:t>
            </w:r>
            <w:r w:rsidRPr="00C56257">
              <w:rPr>
                <w:color w:val="000000" w:themeColor="text1"/>
                <w:spacing w:val="8"/>
              </w:rPr>
              <w:t xml:space="preserve"> </w:t>
            </w:r>
            <w:r w:rsidRPr="00C56257">
              <w:rPr>
                <w:color w:val="000000" w:themeColor="text1"/>
              </w:rPr>
              <w:t>sau</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6C81E46E" w14:textId="77777777" w:rsidR="00E13976" w:rsidRPr="00C56257" w:rsidRDefault="00E13976" w:rsidP="009E63E5">
            <w:pPr>
              <w:widowControl w:val="0"/>
              <w:numPr>
                <w:ilvl w:val="0"/>
                <w:numId w:val="69"/>
              </w:numPr>
              <w:tabs>
                <w:tab w:val="left" w:pos="262"/>
              </w:tabs>
              <w:autoSpaceDE w:val="0"/>
              <w:autoSpaceDN w:val="0"/>
              <w:spacing w:before="201"/>
              <w:ind w:left="262" w:hanging="238"/>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217" w:type="dxa"/>
            <w:tcBorders>
              <w:left w:val="nil"/>
            </w:tcBorders>
          </w:tcPr>
          <w:p w14:paraId="4E25491F" w14:textId="77777777" w:rsidR="00E13976" w:rsidRPr="00C56257" w:rsidRDefault="00E13976" w:rsidP="008E33FD">
            <w:pPr>
              <w:widowControl w:val="0"/>
              <w:autoSpaceDE w:val="0"/>
              <w:autoSpaceDN w:val="0"/>
              <w:jc w:val="both"/>
              <w:rPr>
                <w:b/>
                <w:color w:val="000000" w:themeColor="text1"/>
              </w:rPr>
            </w:pPr>
          </w:p>
          <w:p w14:paraId="0772F92A" w14:textId="77777777" w:rsidR="00E13976" w:rsidRPr="00C56257" w:rsidRDefault="00E13976" w:rsidP="008E33FD">
            <w:pPr>
              <w:widowControl w:val="0"/>
              <w:autoSpaceDE w:val="0"/>
              <w:autoSpaceDN w:val="0"/>
              <w:spacing w:before="209"/>
              <w:jc w:val="both"/>
              <w:rPr>
                <w:color w:val="000000" w:themeColor="text1"/>
              </w:rPr>
            </w:pPr>
            <w:r w:rsidRPr="00C56257">
              <w:rPr>
                <w:color w:val="000000" w:themeColor="text1"/>
              </w:rPr>
              <w:t>a</w:t>
            </w:r>
          </w:p>
        </w:tc>
        <w:tc>
          <w:tcPr>
            <w:tcW w:w="2436" w:type="dxa"/>
          </w:tcPr>
          <w:p w14:paraId="60CD7DFF" w14:textId="77777777" w:rsidR="00E13976" w:rsidRPr="00C56257" w:rsidRDefault="00E13976" w:rsidP="008E33FD">
            <w:pPr>
              <w:widowControl w:val="0"/>
              <w:autoSpaceDE w:val="0"/>
              <w:autoSpaceDN w:val="0"/>
              <w:spacing w:before="49" w:line="276" w:lineRule="auto"/>
              <w:ind w:right="161"/>
              <w:jc w:val="both"/>
              <w:rPr>
                <w:color w:val="000000" w:themeColor="text1"/>
              </w:rPr>
            </w:pPr>
            <w:r w:rsidRPr="00C56257">
              <w:rPr>
                <w:color w:val="000000" w:themeColor="text1"/>
              </w:rPr>
              <w:t>Min 7 relevee/ transecte</w:t>
            </w:r>
            <w:r w:rsidRPr="00C56257">
              <w:rPr>
                <w:color w:val="000000" w:themeColor="text1"/>
                <w:spacing w:val="1"/>
              </w:rPr>
              <w:t xml:space="preserve"> </w:t>
            </w:r>
            <w:r w:rsidRPr="00C56257">
              <w:rPr>
                <w:color w:val="000000" w:themeColor="text1"/>
              </w:rPr>
              <w:t>de monitorizare în cadrul</w:t>
            </w:r>
            <w:r w:rsidRPr="00C56257">
              <w:rPr>
                <w:color w:val="000000" w:themeColor="text1"/>
                <w:spacing w:val="-52"/>
              </w:rPr>
              <w:t xml:space="preserve"> </w:t>
            </w:r>
            <w:r w:rsidRPr="00C56257">
              <w:rPr>
                <w:color w:val="000000" w:themeColor="text1"/>
              </w:rPr>
              <w:t>ariilor naturale țintă şi în</w:t>
            </w:r>
            <w:r w:rsidRPr="00C56257">
              <w:rPr>
                <w:color w:val="000000" w:themeColor="text1"/>
                <w:spacing w:val="-52"/>
              </w:rPr>
              <w:t xml:space="preserve"> </w:t>
            </w:r>
            <w:r w:rsidRPr="00C56257">
              <w:rPr>
                <w:color w:val="000000" w:themeColor="text1"/>
              </w:rPr>
              <w:t>afara acestora, în situația</w:t>
            </w:r>
            <w:r w:rsidRPr="00C56257">
              <w:rPr>
                <w:color w:val="000000" w:themeColor="text1"/>
                <w:spacing w:val="-52"/>
              </w:rPr>
              <w:t xml:space="preserve"> </w:t>
            </w:r>
            <w:r w:rsidRPr="00C56257">
              <w:rPr>
                <w:color w:val="000000" w:themeColor="text1"/>
              </w:rPr>
              <w:t>prezenței habitatului.</w:t>
            </w:r>
          </w:p>
        </w:tc>
      </w:tr>
      <w:tr w:rsidR="00E13976" w:rsidRPr="00C56257" w14:paraId="106DC826" w14:textId="77777777" w:rsidTr="00E13976">
        <w:trPr>
          <w:trHeight w:val="1764"/>
        </w:trPr>
        <w:tc>
          <w:tcPr>
            <w:tcW w:w="2902" w:type="dxa"/>
          </w:tcPr>
          <w:p w14:paraId="0E88E282" w14:textId="77777777" w:rsidR="00E13976" w:rsidRPr="00C56257" w:rsidRDefault="00E13976" w:rsidP="008E33FD">
            <w:pPr>
              <w:widowControl w:val="0"/>
              <w:autoSpaceDE w:val="0"/>
              <w:autoSpaceDN w:val="0"/>
              <w:jc w:val="both"/>
              <w:rPr>
                <w:b/>
                <w:color w:val="000000" w:themeColor="text1"/>
              </w:rPr>
            </w:pPr>
          </w:p>
          <w:p w14:paraId="34664A0D" w14:textId="77777777" w:rsidR="00E13976" w:rsidRPr="00C56257" w:rsidRDefault="00E13976" w:rsidP="008E33FD">
            <w:pPr>
              <w:widowControl w:val="0"/>
              <w:autoSpaceDE w:val="0"/>
              <w:autoSpaceDN w:val="0"/>
              <w:spacing w:before="3"/>
              <w:jc w:val="both"/>
              <w:rPr>
                <w:b/>
                <w:color w:val="000000" w:themeColor="text1"/>
              </w:rPr>
            </w:pPr>
          </w:p>
          <w:p w14:paraId="5333B0BC" w14:textId="77777777" w:rsidR="00E13976" w:rsidRPr="00C56257" w:rsidRDefault="00E13976" w:rsidP="008E33FD">
            <w:pPr>
              <w:widowControl w:val="0"/>
              <w:autoSpaceDE w:val="0"/>
              <w:autoSpaceDN w:val="0"/>
              <w:ind w:right="195"/>
              <w:jc w:val="both"/>
              <w:rPr>
                <w:color w:val="000000" w:themeColor="text1"/>
              </w:rPr>
            </w:pPr>
            <w:r w:rsidRPr="00C56257">
              <w:rPr>
                <w:color w:val="000000" w:themeColor="text1"/>
              </w:rPr>
              <w:t>7140 Mlaștini turboase de</w:t>
            </w:r>
            <w:r w:rsidRPr="00C56257">
              <w:rPr>
                <w:color w:val="000000" w:themeColor="text1"/>
                <w:spacing w:val="1"/>
              </w:rPr>
              <w:t xml:space="preserve"> </w:t>
            </w:r>
            <w:r w:rsidRPr="00C56257">
              <w:rPr>
                <w:color w:val="000000" w:themeColor="text1"/>
              </w:rPr>
              <w:t>tranziție și turbării oscilante -</w:t>
            </w:r>
            <w:r w:rsidRPr="00C56257">
              <w:rPr>
                <w:color w:val="000000" w:themeColor="text1"/>
                <w:spacing w:val="-52"/>
              </w:rPr>
              <w:t xml:space="preserve"> </w:t>
            </w:r>
            <w:r w:rsidRPr="00C56257">
              <w:rPr>
                <w:color w:val="000000" w:themeColor="text1"/>
              </w:rPr>
              <w:t>nefixate</w:t>
            </w:r>
            <w:r w:rsidRPr="00C56257">
              <w:rPr>
                <w:color w:val="000000" w:themeColor="text1"/>
                <w:spacing w:val="-1"/>
              </w:rPr>
              <w:t xml:space="preserve"> </w:t>
            </w:r>
            <w:r w:rsidRPr="00C56257">
              <w:rPr>
                <w:color w:val="000000" w:themeColor="text1"/>
              </w:rPr>
              <w:t>de</w:t>
            </w:r>
            <w:r w:rsidRPr="00C56257">
              <w:rPr>
                <w:color w:val="000000" w:themeColor="text1"/>
                <w:spacing w:val="-2"/>
              </w:rPr>
              <w:t xml:space="preserve"> </w:t>
            </w:r>
            <w:r w:rsidRPr="00C56257">
              <w:rPr>
                <w:color w:val="000000" w:themeColor="text1"/>
              </w:rPr>
              <w:t>substrat</w:t>
            </w:r>
          </w:p>
        </w:tc>
        <w:tc>
          <w:tcPr>
            <w:tcW w:w="521" w:type="dxa"/>
          </w:tcPr>
          <w:p w14:paraId="010FF83D" w14:textId="77777777" w:rsidR="00E13976" w:rsidRPr="00C56257" w:rsidRDefault="00E13976" w:rsidP="008E33FD">
            <w:pPr>
              <w:widowControl w:val="0"/>
              <w:autoSpaceDE w:val="0"/>
              <w:autoSpaceDN w:val="0"/>
              <w:jc w:val="both"/>
              <w:rPr>
                <w:color w:val="000000" w:themeColor="text1"/>
              </w:rPr>
            </w:pPr>
          </w:p>
        </w:tc>
        <w:tc>
          <w:tcPr>
            <w:tcW w:w="541" w:type="dxa"/>
          </w:tcPr>
          <w:p w14:paraId="5CB2EAC4"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56E53A4B"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32FA336D"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4393B0D1"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13F32210" w14:textId="77777777" w:rsidR="00E13976" w:rsidRPr="00C56257" w:rsidRDefault="00E13976" w:rsidP="008E33FD">
            <w:pPr>
              <w:widowControl w:val="0"/>
              <w:autoSpaceDE w:val="0"/>
              <w:autoSpaceDN w:val="0"/>
              <w:jc w:val="both"/>
              <w:rPr>
                <w:color w:val="000000" w:themeColor="text1"/>
              </w:rPr>
            </w:pPr>
          </w:p>
        </w:tc>
        <w:tc>
          <w:tcPr>
            <w:tcW w:w="502" w:type="dxa"/>
            <w:shd w:val="clear" w:color="auto" w:fill="BEBEBE"/>
          </w:tcPr>
          <w:p w14:paraId="716E7502"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358BCC95"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4F343789" w14:textId="77777777" w:rsidR="00E13976" w:rsidRPr="00C56257" w:rsidRDefault="00E13976" w:rsidP="008E33FD">
            <w:pPr>
              <w:widowControl w:val="0"/>
              <w:autoSpaceDE w:val="0"/>
              <w:autoSpaceDN w:val="0"/>
              <w:jc w:val="both"/>
              <w:rPr>
                <w:color w:val="000000" w:themeColor="text1"/>
              </w:rPr>
            </w:pPr>
          </w:p>
        </w:tc>
        <w:tc>
          <w:tcPr>
            <w:tcW w:w="559" w:type="dxa"/>
            <w:shd w:val="clear" w:color="auto" w:fill="BEBEBE"/>
          </w:tcPr>
          <w:p w14:paraId="21436095"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30DCF77E" w14:textId="77777777" w:rsidR="00E13976" w:rsidRPr="00C56257" w:rsidRDefault="00E13976" w:rsidP="008E33FD">
            <w:pPr>
              <w:widowControl w:val="0"/>
              <w:autoSpaceDE w:val="0"/>
              <w:autoSpaceDN w:val="0"/>
              <w:jc w:val="both"/>
              <w:rPr>
                <w:color w:val="000000" w:themeColor="text1"/>
              </w:rPr>
            </w:pPr>
          </w:p>
        </w:tc>
        <w:tc>
          <w:tcPr>
            <w:tcW w:w="759" w:type="dxa"/>
          </w:tcPr>
          <w:p w14:paraId="280F5B91" w14:textId="77777777" w:rsidR="00E13976" w:rsidRPr="00C56257" w:rsidRDefault="00E13976" w:rsidP="008E33FD">
            <w:pPr>
              <w:widowControl w:val="0"/>
              <w:autoSpaceDE w:val="0"/>
              <w:autoSpaceDN w:val="0"/>
              <w:jc w:val="both"/>
              <w:rPr>
                <w:color w:val="000000" w:themeColor="text1"/>
              </w:rPr>
            </w:pPr>
          </w:p>
        </w:tc>
        <w:tc>
          <w:tcPr>
            <w:tcW w:w="2547" w:type="dxa"/>
            <w:tcBorders>
              <w:right w:val="nil"/>
            </w:tcBorders>
          </w:tcPr>
          <w:p w14:paraId="70388564"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4362449D" w14:textId="77777777" w:rsidR="00E13976" w:rsidRPr="00C56257" w:rsidRDefault="00E13976" w:rsidP="008E33FD">
            <w:pPr>
              <w:widowControl w:val="0"/>
              <w:autoSpaceDE w:val="0"/>
              <w:autoSpaceDN w:val="0"/>
              <w:spacing w:before="9"/>
              <w:jc w:val="both"/>
              <w:rPr>
                <w:b/>
                <w:color w:val="000000" w:themeColor="text1"/>
              </w:rPr>
            </w:pPr>
          </w:p>
          <w:p w14:paraId="2BEF1B78" w14:textId="77777777" w:rsidR="00E13976" w:rsidRPr="00C56257" w:rsidRDefault="00E13976" w:rsidP="009E63E5">
            <w:pPr>
              <w:widowControl w:val="0"/>
              <w:numPr>
                <w:ilvl w:val="0"/>
                <w:numId w:val="68"/>
              </w:numPr>
              <w:tabs>
                <w:tab w:val="left" w:pos="277"/>
              </w:tabs>
              <w:autoSpaceDE w:val="0"/>
              <w:autoSpaceDN w:val="0"/>
              <w:spacing w:line="276" w:lineRule="auto"/>
              <w:ind w:right="83" w:firstLine="0"/>
              <w:jc w:val="both"/>
              <w:rPr>
                <w:color w:val="000000" w:themeColor="text1"/>
              </w:rPr>
            </w:pPr>
            <w:r w:rsidRPr="00C56257">
              <w:rPr>
                <w:color w:val="000000" w:themeColor="text1"/>
              </w:rPr>
              <w:t>metoda</w:t>
            </w:r>
            <w:r w:rsidRPr="00C56257">
              <w:rPr>
                <w:color w:val="000000" w:themeColor="text1"/>
                <w:spacing w:val="8"/>
              </w:rPr>
              <w:t xml:space="preserve"> </w:t>
            </w:r>
            <w:r w:rsidRPr="00C56257">
              <w:rPr>
                <w:color w:val="000000" w:themeColor="text1"/>
              </w:rPr>
              <w:t>releveelor</w:t>
            </w:r>
            <w:r w:rsidRPr="00C56257">
              <w:rPr>
                <w:color w:val="000000" w:themeColor="text1"/>
                <w:spacing w:val="8"/>
              </w:rPr>
              <w:t xml:space="preserve"> </w:t>
            </w:r>
            <w:r w:rsidRPr="00C56257">
              <w:rPr>
                <w:color w:val="000000" w:themeColor="text1"/>
              </w:rPr>
              <w:t>sau</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0EFD9BAB" w14:textId="77777777" w:rsidR="00E13976" w:rsidRPr="00C56257" w:rsidRDefault="00E13976" w:rsidP="009E63E5">
            <w:pPr>
              <w:widowControl w:val="0"/>
              <w:numPr>
                <w:ilvl w:val="0"/>
                <w:numId w:val="68"/>
              </w:numPr>
              <w:tabs>
                <w:tab w:val="left" w:pos="262"/>
              </w:tabs>
              <w:autoSpaceDE w:val="0"/>
              <w:autoSpaceDN w:val="0"/>
              <w:spacing w:before="201"/>
              <w:ind w:left="262" w:hanging="238"/>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217" w:type="dxa"/>
            <w:tcBorders>
              <w:left w:val="nil"/>
            </w:tcBorders>
          </w:tcPr>
          <w:p w14:paraId="3249B721" w14:textId="77777777" w:rsidR="00E13976" w:rsidRPr="00C56257" w:rsidRDefault="00E13976" w:rsidP="008E33FD">
            <w:pPr>
              <w:widowControl w:val="0"/>
              <w:autoSpaceDE w:val="0"/>
              <w:autoSpaceDN w:val="0"/>
              <w:jc w:val="both"/>
              <w:rPr>
                <w:b/>
                <w:color w:val="000000" w:themeColor="text1"/>
              </w:rPr>
            </w:pPr>
          </w:p>
          <w:p w14:paraId="510335D1" w14:textId="77777777" w:rsidR="00E13976" w:rsidRPr="00C56257" w:rsidRDefault="00E13976" w:rsidP="008E33FD">
            <w:pPr>
              <w:widowControl w:val="0"/>
              <w:autoSpaceDE w:val="0"/>
              <w:autoSpaceDN w:val="0"/>
              <w:spacing w:before="209"/>
              <w:jc w:val="both"/>
              <w:rPr>
                <w:color w:val="000000" w:themeColor="text1"/>
              </w:rPr>
            </w:pPr>
            <w:r w:rsidRPr="00C56257">
              <w:rPr>
                <w:color w:val="000000" w:themeColor="text1"/>
              </w:rPr>
              <w:t>a</w:t>
            </w:r>
          </w:p>
        </w:tc>
        <w:tc>
          <w:tcPr>
            <w:tcW w:w="2436" w:type="dxa"/>
          </w:tcPr>
          <w:p w14:paraId="0334820C" w14:textId="77777777" w:rsidR="00E13976" w:rsidRPr="00C56257" w:rsidRDefault="00E13976" w:rsidP="008E33FD">
            <w:pPr>
              <w:widowControl w:val="0"/>
              <w:autoSpaceDE w:val="0"/>
              <w:autoSpaceDN w:val="0"/>
              <w:spacing w:before="49" w:line="276" w:lineRule="auto"/>
              <w:ind w:right="161"/>
              <w:jc w:val="both"/>
              <w:rPr>
                <w:color w:val="000000" w:themeColor="text1"/>
              </w:rPr>
            </w:pPr>
            <w:r w:rsidRPr="00C56257">
              <w:rPr>
                <w:color w:val="000000" w:themeColor="text1"/>
              </w:rPr>
              <w:t>Min 7 relevee/ transecte</w:t>
            </w:r>
            <w:r w:rsidRPr="00C56257">
              <w:rPr>
                <w:color w:val="000000" w:themeColor="text1"/>
                <w:spacing w:val="1"/>
              </w:rPr>
              <w:t xml:space="preserve"> </w:t>
            </w:r>
            <w:r w:rsidRPr="00C56257">
              <w:rPr>
                <w:color w:val="000000" w:themeColor="text1"/>
              </w:rPr>
              <w:t>de monitorizare în cadrul</w:t>
            </w:r>
            <w:r w:rsidRPr="00C56257">
              <w:rPr>
                <w:color w:val="000000" w:themeColor="text1"/>
                <w:spacing w:val="-52"/>
              </w:rPr>
              <w:t xml:space="preserve"> </w:t>
            </w:r>
            <w:r w:rsidRPr="00C56257">
              <w:rPr>
                <w:color w:val="000000" w:themeColor="text1"/>
              </w:rPr>
              <w:t>ariilor naturale țintă şi în</w:t>
            </w:r>
            <w:r w:rsidRPr="00C56257">
              <w:rPr>
                <w:color w:val="000000" w:themeColor="text1"/>
                <w:spacing w:val="-52"/>
              </w:rPr>
              <w:t xml:space="preserve"> </w:t>
            </w:r>
            <w:r w:rsidRPr="00C56257">
              <w:rPr>
                <w:color w:val="000000" w:themeColor="text1"/>
              </w:rPr>
              <w:t>afara acestora, în situația</w:t>
            </w:r>
            <w:r w:rsidRPr="00C56257">
              <w:rPr>
                <w:color w:val="000000" w:themeColor="text1"/>
                <w:spacing w:val="-52"/>
              </w:rPr>
              <w:t xml:space="preserve"> </w:t>
            </w:r>
            <w:r w:rsidRPr="00C56257">
              <w:rPr>
                <w:color w:val="000000" w:themeColor="text1"/>
              </w:rPr>
              <w:t>prezenței habitatului.</w:t>
            </w:r>
          </w:p>
        </w:tc>
      </w:tr>
      <w:tr w:rsidR="00E13976" w:rsidRPr="00C56257" w14:paraId="116C36E9" w14:textId="77777777" w:rsidTr="00E13976">
        <w:trPr>
          <w:trHeight w:val="1766"/>
        </w:trPr>
        <w:tc>
          <w:tcPr>
            <w:tcW w:w="2902" w:type="dxa"/>
          </w:tcPr>
          <w:p w14:paraId="5EA41FB7" w14:textId="77777777" w:rsidR="00E13976" w:rsidRPr="00C56257" w:rsidRDefault="00E13976" w:rsidP="008E33FD">
            <w:pPr>
              <w:widowControl w:val="0"/>
              <w:autoSpaceDE w:val="0"/>
              <w:autoSpaceDN w:val="0"/>
              <w:jc w:val="both"/>
              <w:rPr>
                <w:b/>
                <w:color w:val="000000" w:themeColor="text1"/>
              </w:rPr>
            </w:pPr>
          </w:p>
          <w:p w14:paraId="59618C04" w14:textId="77777777" w:rsidR="00E13976" w:rsidRPr="00C56257" w:rsidRDefault="00E13976" w:rsidP="008E33FD">
            <w:pPr>
              <w:widowControl w:val="0"/>
              <w:autoSpaceDE w:val="0"/>
              <w:autoSpaceDN w:val="0"/>
              <w:spacing w:before="3"/>
              <w:jc w:val="both"/>
              <w:rPr>
                <w:b/>
                <w:color w:val="000000" w:themeColor="text1"/>
              </w:rPr>
            </w:pPr>
          </w:p>
          <w:p w14:paraId="0E455BCF" w14:textId="77777777" w:rsidR="00E13976" w:rsidRPr="00C56257" w:rsidRDefault="00E13976" w:rsidP="008E33FD">
            <w:pPr>
              <w:widowControl w:val="0"/>
              <w:autoSpaceDE w:val="0"/>
              <w:autoSpaceDN w:val="0"/>
              <w:ind w:right="122"/>
              <w:jc w:val="both"/>
              <w:rPr>
                <w:color w:val="000000" w:themeColor="text1"/>
              </w:rPr>
            </w:pPr>
            <w:r w:rsidRPr="00C56257">
              <w:rPr>
                <w:color w:val="000000" w:themeColor="text1"/>
              </w:rPr>
              <w:t>7150 Comunități depresionare</w:t>
            </w:r>
            <w:r w:rsidRPr="00C56257">
              <w:rPr>
                <w:color w:val="000000" w:themeColor="text1"/>
                <w:spacing w:val="-52"/>
              </w:rPr>
              <w:t xml:space="preserve"> </w:t>
            </w:r>
            <w:r w:rsidRPr="00C56257">
              <w:rPr>
                <w:color w:val="000000" w:themeColor="text1"/>
              </w:rPr>
              <w:t>din Rhinchosporion pe</w:t>
            </w:r>
            <w:r w:rsidRPr="00C56257">
              <w:rPr>
                <w:color w:val="000000" w:themeColor="text1"/>
                <w:spacing w:val="1"/>
              </w:rPr>
              <w:t xml:space="preserve"> </w:t>
            </w:r>
            <w:r w:rsidRPr="00C56257">
              <w:rPr>
                <w:color w:val="000000" w:themeColor="text1"/>
              </w:rPr>
              <w:t>substrate</w:t>
            </w:r>
            <w:r w:rsidRPr="00C56257">
              <w:rPr>
                <w:color w:val="000000" w:themeColor="text1"/>
                <w:spacing w:val="-3"/>
              </w:rPr>
              <w:t xml:space="preserve"> </w:t>
            </w:r>
            <w:r w:rsidRPr="00C56257">
              <w:rPr>
                <w:color w:val="000000" w:themeColor="text1"/>
              </w:rPr>
              <w:t>turboase</w:t>
            </w:r>
          </w:p>
        </w:tc>
        <w:tc>
          <w:tcPr>
            <w:tcW w:w="521" w:type="dxa"/>
          </w:tcPr>
          <w:p w14:paraId="15DFCC53" w14:textId="77777777" w:rsidR="00E13976" w:rsidRPr="00C56257" w:rsidRDefault="00E13976" w:rsidP="008E33FD">
            <w:pPr>
              <w:widowControl w:val="0"/>
              <w:autoSpaceDE w:val="0"/>
              <w:autoSpaceDN w:val="0"/>
              <w:jc w:val="both"/>
              <w:rPr>
                <w:color w:val="000000" w:themeColor="text1"/>
              </w:rPr>
            </w:pPr>
          </w:p>
        </w:tc>
        <w:tc>
          <w:tcPr>
            <w:tcW w:w="541" w:type="dxa"/>
          </w:tcPr>
          <w:p w14:paraId="45AE4180"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4913B1ED"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139DB68E"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247116D1"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2185105E" w14:textId="77777777" w:rsidR="00E13976" w:rsidRPr="00C56257" w:rsidRDefault="00E13976" w:rsidP="008E33FD">
            <w:pPr>
              <w:widowControl w:val="0"/>
              <w:autoSpaceDE w:val="0"/>
              <w:autoSpaceDN w:val="0"/>
              <w:jc w:val="both"/>
              <w:rPr>
                <w:color w:val="000000" w:themeColor="text1"/>
              </w:rPr>
            </w:pPr>
          </w:p>
        </w:tc>
        <w:tc>
          <w:tcPr>
            <w:tcW w:w="502" w:type="dxa"/>
            <w:shd w:val="clear" w:color="auto" w:fill="BEBEBE"/>
          </w:tcPr>
          <w:p w14:paraId="08D1A1B8"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6D35D2D4"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44E5F7B1" w14:textId="77777777" w:rsidR="00E13976" w:rsidRPr="00C56257" w:rsidRDefault="00E13976" w:rsidP="008E33FD">
            <w:pPr>
              <w:widowControl w:val="0"/>
              <w:autoSpaceDE w:val="0"/>
              <w:autoSpaceDN w:val="0"/>
              <w:jc w:val="both"/>
              <w:rPr>
                <w:color w:val="000000" w:themeColor="text1"/>
              </w:rPr>
            </w:pPr>
          </w:p>
        </w:tc>
        <w:tc>
          <w:tcPr>
            <w:tcW w:w="559" w:type="dxa"/>
            <w:shd w:val="clear" w:color="auto" w:fill="BEBEBE"/>
          </w:tcPr>
          <w:p w14:paraId="455C11B3"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781FD60B" w14:textId="77777777" w:rsidR="00E13976" w:rsidRPr="00C56257" w:rsidRDefault="00E13976" w:rsidP="008E33FD">
            <w:pPr>
              <w:widowControl w:val="0"/>
              <w:autoSpaceDE w:val="0"/>
              <w:autoSpaceDN w:val="0"/>
              <w:jc w:val="both"/>
              <w:rPr>
                <w:color w:val="000000" w:themeColor="text1"/>
              </w:rPr>
            </w:pPr>
          </w:p>
        </w:tc>
        <w:tc>
          <w:tcPr>
            <w:tcW w:w="759" w:type="dxa"/>
          </w:tcPr>
          <w:p w14:paraId="786351EA" w14:textId="77777777" w:rsidR="00E13976" w:rsidRPr="00C56257" w:rsidRDefault="00E13976" w:rsidP="008E33FD">
            <w:pPr>
              <w:widowControl w:val="0"/>
              <w:autoSpaceDE w:val="0"/>
              <w:autoSpaceDN w:val="0"/>
              <w:jc w:val="both"/>
              <w:rPr>
                <w:color w:val="000000" w:themeColor="text1"/>
              </w:rPr>
            </w:pPr>
          </w:p>
        </w:tc>
        <w:tc>
          <w:tcPr>
            <w:tcW w:w="2547" w:type="dxa"/>
            <w:tcBorders>
              <w:right w:val="nil"/>
            </w:tcBorders>
          </w:tcPr>
          <w:p w14:paraId="154A69D5"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62CAD28A" w14:textId="77777777" w:rsidR="00E13976" w:rsidRPr="00C56257" w:rsidRDefault="00E13976" w:rsidP="008E33FD">
            <w:pPr>
              <w:widowControl w:val="0"/>
              <w:autoSpaceDE w:val="0"/>
              <w:autoSpaceDN w:val="0"/>
              <w:spacing w:before="9"/>
              <w:jc w:val="both"/>
              <w:rPr>
                <w:b/>
                <w:color w:val="000000" w:themeColor="text1"/>
              </w:rPr>
            </w:pPr>
          </w:p>
          <w:p w14:paraId="19FBE0E3" w14:textId="77777777" w:rsidR="00E13976" w:rsidRPr="00C56257" w:rsidRDefault="00E13976" w:rsidP="009E63E5">
            <w:pPr>
              <w:widowControl w:val="0"/>
              <w:numPr>
                <w:ilvl w:val="0"/>
                <w:numId w:val="67"/>
              </w:numPr>
              <w:tabs>
                <w:tab w:val="left" w:pos="277"/>
              </w:tabs>
              <w:autoSpaceDE w:val="0"/>
              <w:autoSpaceDN w:val="0"/>
              <w:spacing w:line="276" w:lineRule="auto"/>
              <w:ind w:right="82" w:firstLine="0"/>
              <w:jc w:val="both"/>
              <w:rPr>
                <w:color w:val="000000" w:themeColor="text1"/>
              </w:rPr>
            </w:pPr>
            <w:r w:rsidRPr="00C56257">
              <w:rPr>
                <w:color w:val="000000" w:themeColor="text1"/>
              </w:rPr>
              <w:t>metoda</w:t>
            </w:r>
            <w:r w:rsidRPr="00C56257">
              <w:rPr>
                <w:color w:val="000000" w:themeColor="text1"/>
                <w:spacing w:val="8"/>
              </w:rPr>
              <w:t xml:space="preserve"> </w:t>
            </w:r>
            <w:r w:rsidRPr="00C56257">
              <w:rPr>
                <w:color w:val="000000" w:themeColor="text1"/>
              </w:rPr>
              <w:t>releveelor</w:t>
            </w:r>
            <w:r w:rsidRPr="00C56257">
              <w:rPr>
                <w:color w:val="000000" w:themeColor="text1"/>
                <w:spacing w:val="8"/>
              </w:rPr>
              <w:t xml:space="preserve"> </w:t>
            </w:r>
            <w:r w:rsidRPr="00C56257">
              <w:rPr>
                <w:color w:val="000000" w:themeColor="text1"/>
              </w:rPr>
              <w:t>sau</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6EEF1564" w14:textId="77777777" w:rsidR="00E13976" w:rsidRPr="00C56257" w:rsidRDefault="00E13976" w:rsidP="009E63E5">
            <w:pPr>
              <w:widowControl w:val="0"/>
              <w:numPr>
                <w:ilvl w:val="0"/>
                <w:numId w:val="67"/>
              </w:numPr>
              <w:tabs>
                <w:tab w:val="left" w:pos="262"/>
              </w:tabs>
              <w:autoSpaceDE w:val="0"/>
              <w:autoSpaceDN w:val="0"/>
              <w:spacing w:before="200"/>
              <w:ind w:left="262" w:hanging="238"/>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217" w:type="dxa"/>
            <w:tcBorders>
              <w:left w:val="nil"/>
            </w:tcBorders>
          </w:tcPr>
          <w:p w14:paraId="65148E9E" w14:textId="77777777" w:rsidR="00E13976" w:rsidRPr="00C56257" w:rsidRDefault="00E13976" w:rsidP="008E33FD">
            <w:pPr>
              <w:widowControl w:val="0"/>
              <w:autoSpaceDE w:val="0"/>
              <w:autoSpaceDN w:val="0"/>
              <w:jc w:val="both"/>
              <w:rPr>
                <w:b/>
                <w:color w:val="000000" w:themeColor="text1"/>
              </w:rPr>
            </w:pPr>
          </w:p>
          <w:p w14:paraId="60B035D0" w14:textId="77777777" w:rsidR="00E13976" w:rsidRPr="00C56257" w:rsidRDefault="00E13976" w:rsidP="008E33FD">
            <w:pPr>
              <w:widowControl w:val="0"/>
              <w:autoSpaceDE w:val="0"/>
              <w:autoSpaceDN w:val="0"/>
              <w:spacing w:before="209"/>
              <w:jc w:val="both"/>
              <w:rPr>
                <w:color w:val="000000" w:themeColor="text1"/>
              </w:rPr>
            </w:pPr>
            <w:r w:rsidRPr="00C56257">
              <w:rPr>
                <w:color w:val="000000" w:themeColor="text1"/>
              </w:rPr>
              <w:t>a</w:t>
            </w:r>
          </w:p>
        </w:tc>
        <w:tc>
          <w:tcPr>
            <w:tcW w:w="2436" w:type="dxa"/>
          </w:tcPr>
          <w:p w14:paraId="630D5469" w14:textId="77777777" w:rsidR="00E13976" w:rsidRPr="00C56257" w:rsidRDefault="00E13976" w:rsidP="008E33FD">
            <w:pPr>
              <w:widowControl w:val="0"/>
              <w:autoSpaceDE w:val="0"/>
              <w:autoSpaceDN w:val="0"/>
              <w:spacing w:before="49" w:line="276" w:lineRule="auto"/>
              <w:ind w:right="161"/>
              <w:jc w:val="both"/>
              <w:rPr>
                <w:color w:val="000000" w:themeColor="text1"/>
              </w:rPr>
            </w:pPr>
            <w:r w:rsidRPr="00C56257">
              <w:rPr>
                <w:color w:val="000000" w:themeColor="text1"/>
              </w:rPr>
              <w:t>Min 7 relevee/ transecte</w:t>
            </w:r>
            <w:r w:rsidRPr="00C56257">
              <w:rPr>
                <w:color w:val="000000" w:themeColor="text1"/>
                <w:spacing w:val="1"/>
              </w:rPr>
              <w:t xml:space="preserve"> </w:t>
            </w:r>
            <w:r w:rsidRPr="00C56257">
              <w:rPr>
                <w:color w:val="000000" w:themeColor="text1"/>
              </w:rPr>
              <w:t>de monitorizare în cadrul</w:t>
            </w:r>
            <w:r w:rsidRPr="00C56257">
              <w:rPr>
                <w:color w:val="000000" w:themeColor="text1"/>
                <w:spacing w:val="-52"/>
              </w:rPr>
              <w:t xml:space="preserve"> </w:t>
            </w:r>
            <w:r w:rsidRPr="00C56257">
              <w:rPr>
                <w:color w:val="000000" w:themeColor="text1"/>
              </w:rPr>
              <w:t>ariilor naturale țintă şi în</w:t>
            </w:r>
            <w:r w:rsidRPr="00C56257">
              <w:rPr>
                <w:color w:val="000000" w:themeColor="text1"/>
                <w:spacing w:val="-52"/>
              </w:rPr>
              <w:t xml:space="preserve"> </w:t>
            </w:r>
            <w:r w:rsidRPr="00C56257">
              <w:rPr>
                <w:color w:val="000000" w:themeColor="text1"/>
              </w:rPr>
              <w:t>afara acestora, în situația</w:t>
            </w:r>
            <w:r w:rsidRPr="00C56257">
              <w:rPr>
                <w:color w:val="000000" w:themeColor="text1"/>
                <w:spacing w:val="-52"/>
              </w:rPr>
              <w:t xml:space="preserve"> </w:t>
            </w:r>
            <w:r w:rsidRPr="00C56257">
              <w:rPr>
                <w:color w:val="000000" w:themeColor="text1"/>
              </w:rPr>
              <w:t>prezenței habitatului.</w:t>
            </w:r>
          </w:p>
        </w:tc>
      </w:tr>
      <w:tr w:rsidR="00E13976" w:rsidRPr="00C56257" w14:paraId="3216A6C4" w14:textId="77777777" w:rsidTr="00E13976">
        <w:trPr>
          <w:trHeight w:val="525"/>
        </w:trPr>
        <w:tc>
          <w:tcPr>
            <w:tcW w:w="2902" w:type="dxa"/>
            <w:vMerge w:val="restart"/>
            <w:shd w:val="clear" w:color="auto" w:fill="D9D9D9"/>
          </w:tcPr>
          <w:p w14:paraId="7F83384C" w14:textId="77777777" w:rsidR="00E13976" w:rsidRPr="00C56257" w:rsidRDefault="00E13976" w:rsidP="008E33FD">
            <w:pPr>
              <w:widowControl w:val="0"/>
              <w:autoSpaceDE w:val="0"/>
              <w:autoSpaceDN w:val="0"/>
              <w:spacing w:before="121" w:line="276" w:lineRule="auto"/>
              <w:ind w:right="149"/>
              <w:jc w:val="both"/>
              <w:rPr>
                <w:b/>
                <w:color w:val="000000" w:themeColor="text1"/>
              </w:rPr>
            </w:pPr>
            <w:r w:rsidRPr="00C56257">
              <w:rPr>
                <w:b/>
                <w:color w:val="000000" w:themeColor="text1"/>
              </w:rPr>
              <w:t>Denumirea şi codul Natura</w:t>
            </w:r>
            <w:r w:rsidRPr="00C56257">
              <w:rPr>
                <w:b/>
                <w:color w:val="000000" w:themeColor="text1"/>
                <w:spacing w:val="-52"/>
              </w:rPr>
              <w:t xml:space="preserve"> </w:t>
            </w:r>
            <w:r w:rsidRPr="00C56257">
              <w:rPr>
                <w:b/>
                <w:color w:val="000000" w:themeColor="text1"/>
              </w:rPr>
              <w:t>2000</w:t>
            </w:r>
          </w:p>
        </w:tc>
        <w:tc>
          <w:tcPr>
            <w:tcW w:w="6781" w:type="dxa"/>
            <w:gridSpan w:val="12"/>
            <w:shd w:val="clear" w:color="auto" w:fill="D9D9D9"/>
          </w:tcPr>
          <w:p w14:paraId="6813A987" w14:textId="77777777" w:rsidR="00E13976" w:rsidRPr="00C56257" w:rsidRDefault="00E13976" w:rsidP="008E33FD">
            <w:pPr>
              <w:widowControl w:val="0"/>
              <w:autoSpaceDE w:val="0"/>
              <w:autoSpaceDN w:val="0"/>
              <w:spacing w:before="15"/>
              <w:jc w:val="both"/>
              <w:rPr>
                <w:b/>
                <w:color w:val="000000" w:themeColor="text1"/>
              </w:rPr>
            </w:pPr>
            <w:r w:rsidRPr="00C56257">
              <w:rPr>
                <w:b/>
                <w:color w:val="000000" w:themeColor="text1"/>
              </w:rPr>
              <w:t>Perioade</w:t>
            </w:r>
            <w:r w:rsidRPr="00C56257">
              <w:rPr>
                <w:b/>
                <w:color w:val="000000" w:themeColor="text1"/>
                <w:spacing w:val="-1"/>
              </w:rPr>
              <w:t xml:space="preserve"> </w:t>
            </w:r>
            <w:r w:rsidRPr="00C56257">
              <w:rPr>
                <w:b/>
                <w:color w:val="000000" w:themeColor="text1"/>
              </w:rPr>
              <w:t>optime</w:t>
            </w:r>
            <w:r w:rsidRPr="00C56257">
              <w:rPr>
                <w:b/>
                <w:color w:val="000000" w:themeColor="text1"/>
                <w:spacing w:val="-1"/>
              </w:rPr>
              <w:t xml:space="preserve"> </w:t>
            </w:r>
            <w:r w:rsidRPr="00C56257">
              <w:rPr>
                <w:b/>
                <w:color w:val="000000" w:themeColor="text1"/>
              </w:rPr>
              <w:t>de</w:t>
            </w:r>
            <w:r w:rsidRPr="00C56257">
              <w:rPr>
                <w:b/>
                <w:color w:val="000000" w:themeColor="text1"/>
                <w:spacing w:val="-3"/>
              </w:rPr>
              <w:t xml:space="preserve"> </w:t>
            </w:r>
            <w:r w:rsidRPr="00C56257">
              <w:rPr>
                <w:b/>
                <w:color w:val="000000" w:themeColor="text1"/>
              </w:rPr>
              <w:t>monitorizare</w:t>
            </w:r>
          </w:p>
        </w:tc>
        <w:tc>
          <w:tcPr>
            <w:tcW w:w="2765" w:type="dxa"/>
            <w:gridSpan w:val="2"/>
            <w:vMerge w:val="restart"/>
            <w:shd w:val="clear" w:color="auto" w:fill="D9D9D9"/>
          </w:tcPr>
          <w:p w14:paraId="555B8BDD" w14:textId="77777777" w:rsidR="00E13976" w:rsidRPr="00C56257" w:rsidRDefault="00E13976" w:rsidP="008E33FD">
            <w:pPr>
              <w:widowControl w:val="0"/>
              <w:autoSpaceDE w:val="0"/>
              <w:autoSpaceDN w:val="0"/>
              <w:spacing w:before="3"/>
              <w:jc w:val="both"/>
              <w:rPr>
                <w:b/>
                <w:color w:val="000000" w:themeColor="text1"/>
              </w:rPr>
            </w:pPr>
          </w:p>
          <w:p w14:paraId="341185BC" w14:textId="77777777" w:rsidR="00E13976" w:rsidRPr="00C56257" w:rsidRDefault="00E13976" w:rsidP="008E33FD">
            <w:pPr>
              <w:widowControl w:val="0"/>
              <w:autoSpaceDE w:val="0"/>
              <w:autoSpaceDN w:val="0"/>
              <w:jc w:val="both"/>
              <w:rPr>
                <w:b/>
                <w:color w:val="000000" w:themeColor="text1"/>
              </w:rPr>
            </w:pPr>
            <w:r w:rsidRPr="00C56257">
              <w:rPr>
                <w:b/>
                <w:color w:val="000000" w:themeColor="text1"/>
              </w:rPr>
              <w:t>Metoda</w:t>
            </w:r>
            <w:r w:rsidRPr="00C56257">
              <w:rPr>
                <w:b/>
                <w:color w:val="000000" w:themeColor="text1"/>
                <w:spacing w:val="-3"/>
              </w:rPr>
              <w:t xml:space="preserve"> </w:t>
            </w:r>
            <w:r w:rsidRPr="00C56257">
              <w:rPr>
                <w:b/>
                <w:color w:val="000000" w:themeColor="text1"/>
              </w:rPr>
              <w:t>utilizată</w:t>
            </w:r>
          </w:p>
        </w:tc>
        <w:tc>
          <w:tcPr>
            <w:tcW w:w="2436" w:type="dxa"/>
            <w:vMerge w:val="restart"/>
            <w:shd w:val="clear" w:color="auto" w:fill="D9D9D9"/>
          </w:tcPr>
          <w:p w14:paraId="1F445F15" w14:textId="77777777" w:rsidR="00E13976" w:rsidRPr="00C56257" w:rsidRDefault="00E13976" w:rsidP="008E33FD">
            <w:pPr>
              <w:widowControl w:val="0"/>
              <w:autoSpaceDE w:val="0"/>
              <w:autoSpaceDN w:val="0"/>
              <w:spacing w:before="3"/>
              <w:jc w:val="both"/>
              <w:rPr>
                <w:b/>
                <w:color w:val="000000" w:themeColor="text1"/>
              </w:rPr>
            </w:pPr>
          </w:p>
          <w:p w14:paraId="1D005DAE" w14:textId="77777777" w:rsidR="00E13976" w:rsidRPr="00C56257" w:rsidRDefault="00E13976" w:rsidP="008E33FD">
            <w:pPr>
              <w:widowControl w:val="0"/>
              <w:autoSpaceDE w:val="0"/>
              <w:autoSpaceDN w:val="0"/>
              <w:ind w:right="970"/>
              <w:jc w:val="both"/>
              <w:rPr>
                <w:b/>
                <w:color w:val="000000" w:themeColor="text1"/>
              </w:rPr>
            </w:pPr>
            <w:r w:rsidRPr="00C56257">
              <w:rPr>
                <w:b/>
                <w:color w:val="000000" w:themeColor="text1"/>
              </w:rPr>
              <w:t>Obs.</w:t>
            </w:r>
          </w:p>
        </w:tc>
      </w:tr>
      <w:tr w:rsidR="00E13976" w:rsidRPr="00C56257" w14:paraId="2F5AA259" w14:textId="77777777" w:rsidTr="00E13976">
        <w:trPr>
          <w:trHeight w:val="491"/>
        </w:trPr>
        <w:tc>
          <w:tcPr>
            <w:tcW w:w="2902" w:type="dxa"/>
            <w:vMerge/>
            <w:tcBorders>
              <w:top w:val="nil"/>
            </w:tcBorders>
            <w:shd w:val="clear" w:color="auto" w:fill="D9D9D9"/>
          </w:tcPr>
          <w:p w14:paraId="2A087CC7" w14:textId="77777777" w:rsidR="00E13976" w:rsidRPr="00C56257" w:rsidRDefault="00E13976" w:rsidP="008E33FD">
            <w:pPr>
              <w:widowControl w:val="0"/>
              <w:autoSpaceDE w:val="0"/>
              <w:autoSpaceDN w:val="0"/>
              <w:jc w:val="both"/>
              <w:rPr>
                <w:color w:val="000000" w:themeColor="text1"/>
              </w:rPr>
            </w:pPr>
          </w:p>
        </w:tc>
        <w:tc>
          <w:tcPr>
            <w:tcW w:w="521" w:type="dxa"/>
            <w:shd w:val="clear" w:color="auto" w:fill="D9D9D9"/>
          </w:tcPr>
          <w:p w14:paraId="22A7B463"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I</w:t>
            </w:r>
          </w:p>
        </w:tc>
        <w:tc>
          <w:tcPr>
            <w:tcW w:w="541" w:type="dxa"/>
            <w:shd w:val="clear" w:color="auto" w:fill="D9D9D9"/>
          </w:tcPr>
          <w:p w14:paraId="16C0087E"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II</w:t>
            </w:r>
          </w:p>
        </w:tc>
        <w:tc>
          <w:tcPr>
            <w:tcW w:w="557" w:type="dxa"/>
            <w:shd w:val="clear" w:color="auto" w:fill="D9D9D9"/>
          </w:tcPr>
          <w:p w14:paraId="60128B09"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III</w:t>
            </w:r>
          </w:p>
        </w:tc>
        <w:tc>
          <w:tcPr>
            <w:tcW w:w="557" w:type="dxa"/>
            <w:shd w:val="clear" w:color="auto" w:fill="D9D9D9"/>
          </w:tcPr>
          <w:p w14:paraId="426CBA20"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IV</w:t>
            </w:r>
          </w:p>
        </w:tc>
        <w:tc>
          <w:tcPr>
            <w:tcW w:w="557" w:type="dxa"/>
            <w:shd w:val="clear" w:color="auto" w:fill="D9D9D9"/>
          </w:tcPr>
          <w:p w14:paraId="602D4001"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V</w:t>
            </w:r>
          </w:p>
        </w:tc>
        <w:tc>
          <w:tcPr>
            <w:tcW w:w="557" w:type="dxa"/>
            <w:shd w:val="clear" w:color="auto" w:fill="D9D9D9"/>
          </w:tcPr>
          <w:p w14:paraId="42FD5329"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VI</w:t>
            </w:r>
          </w:p>
        </w:tc>
        <w:tc>
          <w:tcPr>
            <w:tcW w:w="502" w:type="dxa"/>
            <w:shd w:val="clear" w:color="auto" w:fill="D9D9D9"/>
          </w:tcPr>
          <w:p w14:paraId="0B6C1BD9"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VII</w:t>
            </w:r>
          </w:p>
        </w:tc>
        <w:tc>
          <w:tcPr>
            <w:tcW w:w="557" w:type="dxa"/>
            <w:shd w:val="clear" w:color="auto" w:fill="D9D9D9"/>
          </w:tcPr>
          <w:p w14:paraId="4D75000A"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VIII</w:t>
            </w:r>
          </w:p>
        </w:tc>
        <w:tc>
          <w:tcPr>
            <w:tcW w:w="557" w:type="dxa"/>
            <w:shd w:val="clear" w:color="auto" w:fill="D9D9D9"/>
          </w:tcPr>
          <w:p w14:paraId="1C8F5FEB"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IX</w:t>
            </w:r>
          </w:p>
        </w:tc>
        <w:tc>
          <w:tcPr>
            <w:tcW w:w="559" w:type="dxa"/>
            <w:shd w:val="clear" w:color="auto" w:fill="D9D9D9"/>
          </w:tcPr>
          <w:p w14:paraId="435F7D82"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X</w:t>
            </w:r>
          </w:p>
        </w:tc>
        <w:tc>
          <w:tcPr>
            <w:tcW w:w="557" w:type="dxa"/>
            <w:shd w:val="clear" w:color="auto" w:fill="D9D9D9"/>
          </w:tcPr>
          <w:p w14:paraId="415EB47A"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XI</w:t>
            </w:r>
          </w:p>
        </w:tc>
        <w:tc>
          <w:tcPr>
            <w:tcW w:w="759" w:type="dxa"/>
            <w:shd w:val="clear" w:color="auto" w:fill="D9D9D9"/>
          </w:tcPr>
          <w:p w14:paraId="693E7466"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XII</w:t>
            </w:r>
          </w:p>
        </w:tc>
        <w:tc>
          <w:tcPr>
            <w:tcW w:w="2765" w:type="dxa"/>
            <w:gridSpan w:val="2"/>
            <w:vMerge/>
            <w:tcBorders>
              <w:top w:val="nil"/>
            </w:tcBorders>
            <w:shd w:val="clear" w:color="auto" w:fill="D9D9D9"/>
          </w:tcPr>
          <w:p w14:paraId="1C046338" w14:textId="77777777" w:rsidR="00E13976" w:rsidRPr="00C56257" w:rsidRDefault="00E13976" w:rsidP="008E33FD">
            <w:pPr>
              <w:widowControl w:val="0"/>
              <w:autoSpaceDE w:val="0"/>
              <w:autoSpaceDN w:val="0"/>
              <w:jc w:val="both"/>
              <w:rPr>
                <w:color w:val="000000" w:themeColor="text1"/>
              </w:rPr>
            </w:pPr>
          </w:p>
        </w:tc>
        <w:tc>
          <w:tcPr>
            <w:tcW w:w="2436" w:type="dxa"/>
            <w:vMerge/>
            <w:tcBorders>
              <w:top w:val="nil"/>
            </w:tcBorders>
            <w:shd w:val="clear" w:color="auto" w:fill="D9D9D9"/>
          </w:tcPr>
          <w:p w14:paraId="6F5F1FFA" w14:textId="77777777" w:rsidR="00E13976" w:rsidRPr="00C56257" w:rsidRDefault="00E13976" w:rsidP="008E33FD">
            <w:pPr>
              <w:widowControl w:val="0"/>
              <w:autoSpaceDE w:val="0"/>
              <w:autoSpaceDN w:val="0"/>
              <w:jc w:val="both"/>
              <w:rPr>
                <w:color w:val="000000" w:themeColor="text1"/>
              </w:rPr>
            </w:pPr>
          </w:p>
        </w:tc>
      </w:tr>
      <w:tr w:rsidR="00E13976" w:rsidRPr="00C56257" w14:paraId="380FDE36" w14:textId="77777777" w:rsidTr="00E13976">
        <w:trPr>
          <w:trHeight w:val="1764"/>
        </w:trPr>
        <w:tc>
          <w:tcPr>
            <w:tcW w:w="2902" w:type="dxa"/>
          </w:tcPr>
          <w:p w14:paraId="4312F2CB" w14:textId="77777777" w:rsidR="00E13976" w:rsidRPr="00C56257" w:rsidRDefault="00E13976" w:rsidP="008E33FD">
            <w:pPr>
              <w:widowControl w:val="0"/>
              <w:autoSpaceDE w:val="0"/>
              <w:autoSpaceDN w:val="0"/>
              <w:jc w:val="both"/>
              <w:rPr>
                <w:b/>
                <w:color w:val="000000" w:themeColor="text1"/>
              </w:rPr>
            </w:pPr>
          </w:p>
          <w:p w14:paraId="48F93401" w14:textId="77777777" w:rsidR="00E13976" w:rsidRPr="00C56257" w:rsidRDefault="00E13976" w:rsidP="008E33FD">
            <w:pPr>
              <w:widowControl w:val="0"/>
              <w:autoSpaceDE w:val="0"/>
              <w:autoSpaceDN w:val="0"/>
              <w:spacing w:before="1"/>
              <w:jc w:val="both"/>
              <w:rPr>
                <w:b/>
                <w:color w:val="000000" w:themeColor="text1"/>
              </w:rPr>
            </w:pPr>
          </w:p>
          <w:p w14:paraId="1B4CF789" w14:textId="77777777" w:rsidR="00E13976" w:rsidRPr="00C56257" w:rsidRDefault="00E13976" w:rsidP="008E33FD">
            <w:pPr>
              <w:widowControl w:val="0"/>
              <w:autoSpaceDE w:val="0"/>
              <w:autoSpaceDN w:val="0"/>
              <w:ind w:right="214"/>
              <w:jc w:val="both"/>
              <w:rPr>
                <w:color w:val="000000" w:themeColor="text1"/>
              </w:rPr>
            </w:pPr>
            <w:r w:rsidRPr="00C56257">
              <w:rPr>
                <w:color w:val="000000" w:themeColor="text1"/>
              </w:rPr>
              <w:t>7210* Mlaștini calcaroase cu</w:t>
            </w:r>
            <w:r w:rsidRPr="00C56257">
              <w:rPr>
                <w:color w:val="000000" w:themeColor="text1"/>
                <w:spacing w:val="-53"/>
              </w:rPr>
              <w:t xml:space="preserve"> </w:t>
            </w:r>
            <w:r w:rsidRPr="00C56257">
              <w:rPr>
                <w:color w:val="000000" w:themeColor="text1"/>
              </w:rPr>
              <w:t>Cladium</w:t>
            </w:r>
            <w:r w:rsidRPr="00C56257">
              <w:rPr>
                <w:color w:val="000000" w:themeColor="text1"/>
                <w:spacing w:val="-3"/>
              </w:rPr>
              <w:t xml:space="preserve"> </w:t>
            </w:r>
            <w:r w:rsidRPr="00C56257">
              <w:rPr>
                <w:color w:val="000000" w:themeColor="text1"/>
              </w:rPr>
              <w:t>mariscus</w:t>
            </w:r>
          </w:p>
        </w:tc>
        <w:tc>
          <w:tcPr>
            <w:tcW w:w="521" w:type="dxa"/>
          </w:tcPr>
          <w:p w14:paraId="72C10F32" w14:textId="77777777" w:rsidR="00E13976" w:rsidRPr="00C56257" w:rsidRDefault="00E13976" w:rsidP="008E33FD">
            <w:pPr>
              <w:widowControl w:val="0"/>
              <w:autoSpaceDE w:val="0"/>
              <w:autoSpaceDN w:val="0"/>
              <w:jc w:val="both"/>
              <w:rPr>
                <w:color w:val="000000" w:themeColor="text1"/>
              </w:rPr>
            </w:pPr>
          </w:p>
        </w:tc>
        <w:tc>
          <w:tcPr>
            <w:tcW w:w="541" w:type="dxa"/>
          </w:tcPr>
          <w:p w14:paraId="7370D57E"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4ABB2501"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0887764D"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4FD220C5"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4B3FF344" w14:textId="77777777" w:rsidR="00E13976" w:rsidRPr="00C56257" w:rsidRDefault="00E13976" w:rsidP="008E33FD">
            <w:pPr>
              <w:widowControl w:val="0"/>
              <w:autoSpaceDE w:val="0"/>
              <w:autoSpaceDN w:val="0"/>
              <w:jc w:val="both"/>
              <w:rPr>
                <w:color w:val="000000" w:themeColor="text1"/>
              </w:rPr>
            </w:pPr>
          </w:p>
        </w:tc>
        <w:tc>
          <w:tcPr>
            <w:tcW w:w="502" w:type="dxa"/>
            <w:shd w:val="clear" w:color="auto" w:fill="BEBEBE"/>
          </w:tcPr>
          <w:p w14:paraId="6F645F67"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78ACDB3D"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1A63B7DC" w14:textId="77777777" w:rsidR="00E13976" w:rsidRPr="00C56257" w:rsidRDefault="00E13976" w:rsidP="008E33FD">
            <w:pPr>
              <w:widowControl w:val="0"/>
              <w:autoSpaceDE w:val="0"/>
              <w:autoSpaceDN w:val="0"/>
              <w:jc w:val="both"/>
              <w:rPr>
                <w:color w:val="000000" w:themeColor="text1"/>
              </w:rPr>
            </w:pPr>
          </w:p>
        </w:tc>
        <w:tc>
          <w:tcPr>
            <w:tcW w:w="559" w:type="dxa"/>
            <w:shd w:val="clear" w:color="auto" w:fill="BEBEBE"/>
          </w:tcPr>
          <w:p w14:paraId="7E9140C5"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256EBB35" w14:textId="77777777" w:rsidR="00E13976" w:rsidRPr="00C56257" w:rsidRDefault="00E13976" w:rsidP="008E33FD">
            <w:pPr>
              <w:widowControl w:val="0"/>
              <w:autoSpaceDE w:val="0"/>
              <w:autoSpaceDN w:val="0"/>
              <w:jc w:val="both"/>
              <w:rPr>
                <w:color w:val="000000" w:themeColor="text1"/>
              </w:rPr>
            </w:pPr>
          </w:p>
        </w:tc>
        <w:tc>
          <w:tcPr>
            <w:tcW w:w="759" w:type="dxa"/>
          </w:tcPr>
          <w:p w14:paraId="24109AA0" w14:textId="77777777" w:rsidR="00E13976" w:rsidRPr="00C56257" w:rsidRDefault="00E13976" w:rsidP="008E33FD">
            <w:pPr>
              <w:widowControl w:val="0"/>
              <w:autoSpaceDE w:val="0"/>
              <w:autoSpaceDN w:val="0"/>
              <w:jc w:val="both"/>
              <w:rPr>
                <w:color w:val="000000" w:themeColor="text1"/>
              </w:rPr>
            </w:pPr>
          </w:p>
        </w:tc>
        <w:tc>
          <w:tcPr>
            <w:tcW w:w="2547" w:type="dxa"/>
            <w:tcBorders>
              <w:right w:val="nil"/>
            </w:tcBorders>
          </w:tcPr>
          <w:p w14:paraId="2C08B2B6"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3"/>
              </w:rPr>
              <w:t xml:space="preserve"> </w:t>
            </w:r>
            <w:r w:rsidRPr="00C56257">
              <w:rPr>
                <w:color w:val="000000" w:themeColor="text1"/>
              </w:rPr>
              <w:t>prin:</w:t>
            </w:r>
          </w:p>
          <w:p w14:paraId="64BCA7A3" w14:textId="77777777" w:rsidR="00E13976" w:rsidRPr="00C56257" w:rsidRDefault="00E13976" w:rsidP="008E33FD">
            <w:pPr>
              <w:widowControl w:val="0"/>
              <w:autoSpaceDE w:val="0"/>
              <w:autoSpaceDN w:val="0"/>
              <w:spacing w:before="9"/>
              <w:jc w:val="both"/>
              <w:rPr>
                <w:b/>
                <w:color w:val="000000" w:themeColor="text1"/>
              </w:rPr>
            </w:pPr>
          </w:p>
          <w:p w14:paraId="347808E8" w14:textId="77777777" w:rsidR="00E13976" w:rsidRPr="00C56257" w:rsidRDefault="00E13976" w:rsidP="009E63E5">
            <w:pPr>
              <w:widowControl w:val="0"/>
              <w:numPr>
                <w:ilvl w:val="0"/>
                <w:numId w:val="66"/>
              </w:numPr>
              <w:tabs>
                <w:tab w:val="left" w:pos="277"/>
              </w:tabs>
              <w:autoSpaceDE w:val="0"/>
              <w:autoSpaceDN w:val="0"/>
              <w:spacing w:line="276" w:lineRule="auto"/>
              <w:ind w:right="83" w:firstLine="0"/>
              <w:jc w:val="both"/>
              <w:rPr>
                <w:color w:val="000000" w:themeColor="text1"/>
              </w:rPr>
            </w:pPr>
            <w:r w:rsidRPr="00C56257">
              <w:rPr>
                <w:color w:val="000000" w:themeColor="text1"/>
              </w:rPr>
              <w:t>metoda</w:t>
            </w:r>
            <w:r w:rsidRPr="00C56257">
              <w:rPr>
                <w:color w:val="000000" w:themeColor="text1"/>
                <w:spacing w:val="8"/>
              </w:rPr>
              <w:t xml:space="preserve"> </w:t>
            </w:r>
            <w:r w:rsidRPr="00C56257">
              <w:rPr>
                <w:color w:val="000000" w:themeColor="text1"/>
              </w:rPr>
              <w:t>releveelor</w:t>
            </w:r>
            <w:r w:rsidRPr="00C56257">
              <w:rPr>
                <w:color w:val="000000" w:themeColor="text1"/>
                <w:spacing w:val="8"/>
              </w:rPr>
              <w:t xml:space="preserve"> </w:t>
            </w:r>
            <w:r w:rsidRPr="00C56257">
              <w:rPr>
                <w:color w:val="000000" w:themeColor="text1"/>
              </w:rPr>
              <w:t>sau</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7BFA8D4F" w14:textId="77777777" w:rsidR="00E13976" w:rsidRPr="00C56257" w:rsidRDefault="00E13976" w:rsidP="009E63E5">
            <w:pPr>
              <w:widowControl w:val="0"/>
              <w:numPr>
                <w:ilvl w:val="0"/>
                <w:numId w:val="66"/>
              </w:numPr>
              <w:tabs>
                <w:tab w:val="left" w:pos="262"/>
              </w:tabs>
              <w:autoSpaceDE w:val="0"/>
              <w:autoSpaceDN w:val="0"/>
              <w:spacing w:before="201"/>
              <w:ind w:left="262" w:hanging="238"/>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218" w:type="dxa"/>
            <w:tcBorders>
              <w:left w:val="nil"/>
            </w:tcBorders>
          </w:tcPr>
          <w:p w14:paraId="560C1884" w14:textId="77777777" w:rsidR="00E13976" w:rsidRPr="00C56257" w:rsidRDefault="00E13976" w:rsidP="008E33FD">
            <w:pPr>
              <w:widowControl w:val="0"/>
              <w:autoSpaceDE w:val="0"/>
              <w:autoSpaceDN w:val="0"/>
              <w:jc w:val="both"/>
              <w:rPr>
                <w:b/>
                <w:color w:val="000000" w:themeColor="text1"/>
              </w:rPr>
            </w:pPr>
          </w:p>
          <w:p w14:paraId="291573DE" w14:textId="77777777" w:rsidR="00E13976" w:rsidRPr="00C56257" w:rsidRDefault="00E13976" w:rsidP="008E33FD">
            <w:pPr>
              <w:widowControl w:val="0"/>
              <w:autoSpaceDE w:val="0"/>
              <w:autoSpaceDN w:val="0"/>
              <w:spacing w:before="209"/>
              <w:jc w:val="both"/>
              <w:rPr>
                <w:color w:val="000000" w:themeColor="text1"/>
              </w:rPr>
            </w:pPr>
            <w:r w:rsidRPr="00C56257">
              <w:rPr>
                <w:color w:val="000000" w:themeColor="text1"/>
              </w:rPr>
              <w:t>a</w:t>
            </w:r>
          </w:p>
        </w:tc>
        <w:tc>
          <w:tcPr>
            <w:tcW w:w="2436" w:type="dxa"/>
          </w:tcPr>
          <w:p w14:paraId="370AE56A" w14:textId="77777777" w:rsidR="00E13976" w:rsidRPr="00C56257" w:rsidRDefault="00E13976" w:rsidP="008E33FD">
            <w:pPr>
              <w:widowControl w:val="0"/>
              <w:autoSpaceDE w:val="0"/>
              <w:autoSpaceDN w:val="0"/>
              <w:spacing w:before="49" w:line="276" w:lineRule="auto"/>
              <w:ind w:right="162"/>
              <w:jc w:val="both"/>
              <w:rPr>
                <w:color w:val="000000" w:themeColor="text1"/>
              </w:rPr>
            </w:pPr>
            <w:r w:rsidRPr="00C56257">
              <w:rPr>
                <w:color w:val="000000" w:themeColor="text1"/>
              </w:rPr>
              <w:t>Min 7 relevee/ transecte</w:t>
            </w:r>
            <w:r w:rsidRPr="00C56257">
              <w:rPr>
                <w:color w:val="000000" w:themeColor="text1"/>
                <w:spacing w:val="1"/>
              </w:rPr>
              <w:t xml:space="preserve"> </w:t>
            </w:r>
            <w:r w:rsidRPr="00C56257">
              <w:rPr>
                <w:color w:val="000000" w:themeColor="text1"/>
              </w:rPr>
              <w:t>de monitorizare în cadrul</w:t>
            </w:r>
            <w:r w:rsidRPr="00C56257">
              <w:rPr>
                <w:color w:val="000000" w:themeColor="text1"/>
                <w:spacing w:val="-52"/>
              </w:rPr>
              <w:t xml:space="preserve"> </w:t>
            </w:r>
            <w:r w:rsidRPr="00C56257">
              <w:rPr>
                <w:color w:val="000000" w:themeColor="text1"/>
              </w:rPr>
              <w:t>ariilor naturale țintă şi în</w:t>
            </w:r>
            <w:r w:rsidRPr="00C56257">
              <w:rPr>
                <w:color w:val="000000" w:themeColor="text1"/>
                <w:spacing w:val="-52"/>
              </w:rPr>
              <w:t xml:space="preserve"> </w:t>
            </w:r>
            <w:r w:rsidRPr="00C56257">
              <w:rPr>
                <w:color w:val="000000" w:themeColor="text1"/>
              </w:rPr>
              <w:t>afara acestora, în situația</w:t>
            </w:r>
            <w:r w:rsidRPr="00C56257">
              <w:rPr>
                <w:color w:val="000000" w:themeColor="text1"/>
                <w:spacing w:val="-52"/>
              </w:rPr>
              <w:t xml:space="preserve"> </w:t>
            </w:r>
            <w:r w:rsidRPr="00C56257">
              <w:rPr>
                <w:color w:val="000000" w:themeColor="text1"/>
              </w:rPr>
              <w:t>prezenței habitatului.</w:t>
            </w:r>
          </w:p>
        </w:tc>
      </w:tr>
      <w:tr w:rsidR="00E13976" w:rsidRPr="00C56257" w14:paraId="77644638" w14:textId="77777777" w:rsidTr="00E13976">
        <w:trPr>
          <w:trHeight w:val="1761"/>
        </w:trPr>
        <w:tc>
          <w:tcPr>
            <w:tcW w:w="2902" w:type="dxa"/>
            <w:tcBorders>
              <w:bottom w:val="single" w:sz="6" w:space="0" w:color="000000"/>
            </w:tcBorders>
          </w:tcPr>
          <w:p w14:paraId="53CC9B20" w14:textId="77777777" w:rsidR="00E13976" w:rsidRPr="00C56257" w:rsidRDefault="00E13976" w:rsidP="008E33FD">
            <w:pPr>
              <w:widowControl w:val="0"/>
              <w:autoSpaceDE w:val="0"/>
              <w:autoSpaceDN w:val="0"/>
              <w:jc w:val="both"/>
              <w:rPr>
                <w:b/>
                <w:color w:val="000000" w:themeColor="text1"/>
              </w:rPr>
            </w:pPr>
          </w:p>
          <w:p w14:paraId="6B680ED6" w14:textId="77777777" w:rsidR="00E13976" w:rsidRPr="00C56257" w:rsidRDefault="00E13976" w:rsidP="008E33FD">
            <w:pPr>
              <w:widowControl w:val="0"/>
              <w:autoSpaceDE w:val="0"/>
              <w:autoSpaceDN w:val="0"/>
              <w:spacing w:before="3"/>
              <w:jc w:val="both"/>
              <w:rPr>
                <w:b/>
                <w:color w:val="000000" w:themeColor="text1"/>
              </w:rPr>
            </w:pPr>
          </w:p>
          <w:p w14:paraId="120E1D62" w14:textId="77777777" w:rsidR="00E13976" w:rsidRPr="00C56257" w:rsidRDefault="00E13976" w:rsidP="008E33FD">
            <w:pPr>
              <w:widowControl w:val="0"/>
              <w:autoSpaceDE w:val="0"/>
              <w:autoSpaceDN w:val="0"/>
              <w:ind w:right="316"/>
              <w:jc w:val="both"/>
              <w:rPr>
                <w:color w:val="000000" w:themeColor="text1"/>
              </w:rPr>
            </w:pPr>
            <w:r w:rsidRPr="00C56257">
              <w:rPr>
                <w:color w:val="000000" w:themeColor="text1"/>
              </w:rPr>
              <w:t>7220*</w:t>
            </w:r>
            <w:r w:rsidRPr="00C56257">
              <w:rPr>
                <w:color w:val="000000" w:themeColor="text1"/>
                <w:spacing w:val="-6"/>
              </w:rPr>
              <w:t xml:space="preserve"> </w:t>
            </w:r>
            <w:r w:rsidRPr="00C56257">
              <w:rPr>
                <w:color w:val="000000" w:themeColor="text1"/>
              </w:rPr>
              <w:t>Izvoare</w:t>
            </w:r>
            <w:r w:rsidRPr="00C56257">
              <w:rPr>
                <w:color w:val="000000" w:themeColor="text1"/>
                <w:spacing w:val="-5"/>
              </w:rPr>
              <w:t xml:space="preserve"> </w:t>
            </w:r>
            <w:r w:rsidRPr="00C56257">
              <w:rPr>
                <w:color w:val="000000" w:themeColor="text1"/>
              </w:rPr>
              <w:t>petrifiante</w:t>
            </w:r>
            <w:r w:rsidRPr="00C56257">
              <w:rPr>
                <w:color w:val="000000" w:themeColor="text1"/>
                <w:spacing w:val="-6"/>
              </w:rPr>
              <w:t xml:space="preserve"> </w:t>
            </w:r>
            <w:r w:rsidRPr="00C56257">
              <w:rPr>
                <w:color w:val="000000" w:themeColor="text1"/>
              </w:rPr>
              <w:t>cu</w:t>
            </w:r>
            <w:r w:rsidRPr="00C56257">
              <w:rPr>
                <w:color w:val="000000" w:themeColor="text1"/>
                <w:spacing w:val="-52"/>
              </w:rPr>
              <w:t xml:space="preserve"> </w:t>
            </w:r>
            <w:r w:rsidRPr="00C56257">
              <w:rPr>
                <w:color w:val="000000" w:themeColor="text1"/>
              </w:rPr>
              <w:t>formare de travertin –</w:t>
            </w:r>
            <w:r w:rsidRPr="00C56257">
              <w:rPr>
                <w:color w:val="000000" w:themeColor="text1"/>
                <w:spacing w:val="1"/>
              </w:rPr>
              <w:t xml:space="preserve"> </w:t>
            </w:r>
            <w:r w:rsidRPr="00C56257">
              <w:rPr>
                <w:color w:val="000000" w:themeColor="text1"/>
              </w:rPr>
              <w:t>Cratoneurion</w:t>
            </w:r>
          </w:p>
        </w:tc>
        <w:tc>
          <w:tcPr>
            <w:tcW w:w="521" w:type="dxa"/>
            <w:tcBorders>
              <w:bottom w:val="single" w:sz="6" w:space="0" w:color="000000"/>
            </w:tcBorders>
          </w:tcPr>
          <w:p w14:paraId="4289F2F9" w14:textId="77777777" w:rsidR="00E13976" w:rsidRPr="00C56257" w:rsidRDefault="00E13976" w:rsidP="008E33FD">
            <w:pPr>
              <w:widowControl w:val="0"/>
              <w:autoSpaceDE w:val="0"/>
              <w:autoSpaceDN w:val="0"/>
              <w:jc w:val="both"/>
              <w:rPr>
                <w:color w:val="000000" w:themeColor="text1"/>
              </w:rPr>
            </w:pPr>
          </w:p>
        </w:tc>
        <w:tc>
          <w:tcPr>
            <w:tcW w:w="541" w:type="dxa"/>
            <w:tcBorders>
              <w:bottom w:val="single" w:sz="6" w:space="0" w:color="000000"/>
            </w:tcBorders>
          </w:tcPr>
          <w:p w14:paraId="413B010A" w14:textId="77777777" w:rsidR="00E13976" w:rsidRPr="00C56257" w:rsidRDefault="00E13976" w:rsidP="008E33FD">
            <w:pPr>
              <w:widowControl w:val="0"/>
              <w:autoSpaceDE w:val="0"/>
              <w:autoSpaceDN w:val="0"/>
              <w:jc w:val="both"/>
              <w:rPr>
                <w:color w:val="000000" w:themeColor="text1"/>
              </w:rPr>
            </w:pPr>
          </w:p>
        </w:tc>
        <w:tc>
          <w:tcPr>
            <w:tcW w:w="557" w:type="dxa"/>
            <w:tcBorders>
              <w:bottom w:val="single" w:sz="6" w:space="0" w:color="000000"/>
            </w:tcBorders>
            <w:shd w:val="clear" w:color="auto" w:fill="BEBEBE"/>
          </w:tcPr>
          <w:p w14:paraId="0FA3BA85" w14:textId="77777777" w:rsidR="00E13976" w:rsidRPr="00C56257" w:rsidRDefault="00E13976" w:rsidP="008E33FD">
            <w:pPr>
              <w:widowControl w:val="0"/>
              <w:autoSpaceDE w:val="0"/>
              <w:autoSpaceDN w:val="0"/>
              <w:jc w:val="both"/>
              <w:rPr>
                <w:color w:val="000000" w:themeColor="text1"/>
              </w:rPr>
            </w:pPr>
          </w:p>
        </w:tc>
        <w:tc>
          <w:tcPr>
            <w:tcW w:w="557" w:type="dxa"/>
            <w:tcBorders>
              <w:bottom w:val="single" w:sz="6" w:space="0" w:color="000000"/>
            </w:tcBorders>
            <w:shd w:val="clear" w:color="auto" w:fill="BEBEBE"/>
          </w:tcPr>
          <w:p w14:paraId="17374AA6" w14:textId="77777777" w:rsidR="00E13976" w:rsidRPr="00C56257" w:rsidRDefault="00E13976" w:rsidP="008E33FD">
            <w:pPr>
              <w:widowControl w:val="0"/>
              <w:autoSpaceDE w:val="0"/>
              <w:autoSpaceDN w:val="0"/>
              <w:jc w:val="both"/>
              <w:rPr>
                <w:color w:val="000000" w:themeColor="text1"/>
              </w:rPr>
            </w:pPr>
          </w:p>
        </w:tc>
        <w:tc>
          <w:tcPr>
            <w:tcW w:w="557" w:type="dxa"/>
            <w:tcBorders>
              <w:bottom w:val="single" w:sz="6" w:space="0" w:color="000000"/>
            </w:tcBorders>
            <w:shd w:val="clear" w:color="auto" w:fill="BEBEBE"/>
          </w:tcPr>
          <w:p w14:paraId="3F377CF9" w14:textId="77777777" w:rsidR="00E13976" w:rsidRPr="00C56257" w:rsidRDefault="00E13976" w:rsidP="008E33FD">
            <w:pPr>
              <w:widowControl w:val="0"/>
              <w:autoSpaceDE w:val="0"/>
              <w:autoSpaceDN w:val="0"/>
              <w:jc w:val="both"/>
              <w:rPr>
                <w:color w:val="000000" w:themeColor="text1"/>
              </w:rPr>
            </w:pPr>
          </w:p>
        </w:tc>
        <w:tc>
          <w:tcPr>
            <w:tcW w:w="557" w:type="dxa"/>
            <w:tcBorders>
              <w:bottom w:val="single" w:sz="6" w:space="0" w:color="000000"/>
            </w:tcBorders>
            <w:shd w:val="clear" w:color="auto" w:fill="BEBEBE"/>
          </w:tcPr>
          <w:p w14:paraId="4EC23EEA" w14:textId="77777777" w:rsidR="00E13976" w:rsidRPr="00C56257" w:rsidRDefault="00E13976" w:rsidP="008E33FD">
            <w:pPr>
              <w:widowControl w:val="0"/>
              <w:autoSpaceDE w:val="0"/>
              <w:autoSpaceDN w:val="0"/>
              <w:jc w:val="both"/>
              <w:rPr>
                <w:color w:val="000000" w:themeColor="text1"/>
              </w:rPr>
            </w:pPr>
          </w:p>
        </w:tc>
        <w:tc>
          <w:tcPr>
            <w:tcW w:w="502" w:type="dxa"/>
            <w:tcBorders>
              <w:bottom w:val="single" w:sz="6" w:space="0" w:color="000000"/>
            </w:tcBorders>
            <w:shd w:val="clear" w:color="auto" w:fill="BEBEBE"/>
          </w:tcPr>
          <w:p w14:paraId="0CF4646A" w14:textId="77777777" w:rsidR="00E13976" w:rsidRPr="00C56257" w:rsidRDefault="00E13976" w:rsidP="008E33FD">
            <w:pPr>
              <w:widowControl w:val="0"/>
              <w:autoSpaceDE w:val="0"/>
              <w:autoSpaceDN w:val="0"/>
              <w:jc w:val="both"/>
              <w:rPr>
                <w:color w:val="000000" w:themeColor="text1"/>
              </w:rPr>
            </w:pPr>
          </w:p>
        </w:tc>
        <w:tc>
          <w:tcPr>
            <w:tcW w:w="557" w:type="dxa"/>
            <w:tcBorders>
              <w:bottom w:val="single" w:sz="6" w:space="0" w:color="000000"/>
            </w:tcBorders>
            <w:shd w:val="clear" w:color="auto" w:fill="BEBEBE"/>
          </w:tcPr>
          <w:p w14:paraId="16BCDBFA" w14:textId="77777777" w:rsidR="00E13976" w:rsidRPr="00C56257" w:rsidRDefault="00E13976" w:rsidP="008E33FD">
            <w:pPr>
              <w:widowControl w:val="0"/>
              <w:autoSpaceDE w:val="0"/>
              <w:autoSpaceDN w:val="0"/>
              <w:jc w:val="both"/>
              <w:rPr>
                <w:color w:val="000000" w:themeColor="text1"/>
              </w:rPr>
            </w:pPr>
          </w:p>
        </w:tc>
        <w:tc>
          <w:tcPr>
            <w:tcW w:w="557" w:type="dxa"/>
            <w:tcBorders>
              <w:bottom w:val="single" w:sz="6" w:space="0" w:color="000000"/>
            </w:tcBorders>
            <w:shd w:val="clear" w:color="auto" w:fill="BEBEBE"/>
          </w:tcPr>
          <w:p w14:paraId="664FB267" w14:textId="77777777" w:rsidR="00E13976" w:rsidRPr="00C56257" w:rsidRDefault="00E13976" w:rsidP="008E33FD">
            <w:pPr>
              <w:widowControl w:val="0"/>
              <w:autoSpaceDE w:val="0"/>
              <w:autoSpaceDN w:val="0"/>
              <w:jc w:val="both"/>
              <w:rPr>
                <w:color w:val="000000" w:themeColor="text1"/>
              </w:rPr>
            </w:pPr>
          </w:p>
        </w:tc>
        <w:tc>
          <w:tcPr>
            <w:tcW w:w="559" w:type="dxa"/>
            <w:tcBorders>
              <w:bottom w:val="single" w:sz="6" w:space="0" w:color="000000"/>
            </w:tcBorders>
            <w:shd w:val="clear" w:color="auto" w:fill="BEBEBE"/>
          </w:tcPr>
          <w:p w14:paraId="1A7BF62F" w14:textId="77777777" w:rsidR="00E13976" w:rsidRPr="00C56257" w:rsidRDefault="00E13976" w:rsidP="008E33FD">
            <w:pPr>
              <w:widowControl w:val="0"/>
              <w:autoSpaceDE w:val="0"/>
              <w:autoSpaceDN w:val="0"/>
              <w:jc w:val="both"/>
              <w:rPr>
                <w:color w:val="000000" w:themeColor="text1"/>
              </w:rPr>
            </w:pPr>
          </w:p>
        </w:tc>
        <w:tc>
          <w:tcPr>
            <w:tcW w:w="557" w:type="dxa"/>
            <w:tcBorders>
              <w:bottom w:val="single" w:sz="6" w:space="0" w:color="000000"/>
            </w:tcBorders>
            <w:shd w:val="clear" w:color="auto" w:fill="BEBEBE"/>
          </w:tcPr>
          <w:p w14:paraId="20A0179B" w14:textId="77777777" w:rsidR="00E13976" w:rsidRPr="00C56257" w:rsidRDefault="00E13976" w:rsidP="008E33FD">
            <w:pPr>
              <w:widowControl w:val="0"/>
              <w:autoSpaceDE w:val="0"/>
              <w:autoSpaceDN w:val="0"/>
              <w:jc w:val="both"/>
              <w:rPr>
                <w:color w:val="000000" w:themeColor="text1"/>
              </w:rPr>
            </w:pPr>
          </w:p>
        </w:tc>
        <w:tc>
          <w:tcPr>
            <w:tcW w:w="759" w:type="dxa"/>
            <w:tcBorders>
              <w:bottom w:val="single" w:sz="6" w:space="0" w:color="000000"/>
            </w:tcBorders>
          </w:tcPr>
          <w:p w14:paraId="38B6676E" w14:textId="77777777" w:rsidR="00E13976" w:rsidRPr="00C56257" w:rsidRDefault="00E13976" w:rsidP="008E33FD">
            <w:pPr>
              <w:widowControl w:val="0"/>
              <w:autoSpaceDE w:val="0"/>
              <w:autoSpaceDN w:val="0"/>
              <w:jc w:val="both"/>
              <w:rPr>
                <w:color w:val="000000" w:themeColor="text1"/>
              </w:rPr>
            </w:pPr>
          </w:p>
        </w:tc>
        <w:tc>
          <w:tcPr>
            <w:tcW w:w="2547" w:type="dxa"/>
            <w:tcBorders>
              <w:bottom w:val="single" w:sz="6" w:space="0" w:color="000000"/>
              <w:right w:val="nil"/>
            </w:tcBorders>
          </w:tcPr>
          <w:p w14:paraId="48AAC3CC"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5A2644F8" w14:textId="77777777" w:rsidR="00E13976" w:rsidRPr="00C56257" w:rsidRDefault="00E13976" w:rsidP="008E33FD">
            <w:pPr>
              <w:widowControl w:val="0"/>
              <w:autoSpaceDE w:val="0"/>
              <w:autoSpaceDN w:val="0"/>
              <w:spacing w:before="9"/>
              <w:jc w:val="both"/>
              <w:rPr>
                <w:b/>
                <w:color w:val="000000" w:themeColor="text1"/>
              </w:rPr>
            </w:pPr>
          </w:p>
          <w:p w14:paraId="0930D276" w14:textId="77777777" w:rsidR="00E13976" w:rsidRPr="00C56257" w:rsidRDefault="00E13976" w:rsidP="009E63E5">
            <w:pPr>
              <w:widowControl w:val="0"/>
              <w:numPr>
                <w:ilvl w:val="0"/>
                <w:numId w:val="65"/>
              </w:numPr>
              <w:tabs>
                <w:tab w:val="left" w:pos="277"/>
              </w:tabs>
              <w:autoSpaceDE w:val="0"/>
              <w:autoSpaceDN w:val="0"/>
              <w:spacing w:line="276" w:lineRule="auto"/>
              <w:ind w:right="83" w:firstLine="0"/>
              <w:jc w:val="both"/>
              <w:rPr>
                <w:color w:val="000000" w:themeColor="text1"/>
              </w:rPr>
            </w:pPr>
            <w:r w:rsidRPr="00C56257">
              <w:rPr>
                <w:color w:val="000000" w:themeColor="text1"/>
              </w:rPr>
              <w:t>metoda</w:t>
            </w:r>
            <w:r w:rsidRPr="00C56257">
              <w:rPr>
                <w:color w:val="000000" w:themeColor="text1"/>
                <w:spacing w:val="8"/>
              </w:rPr>
              <w:t xml:space="preserve"> </w:t>
            </w:r>
            <w:r w:rsidRPr="00C56257">
              <w:rPr>
                <w:color w:val="000000" w:themeColor="text1"/>
              </w:rPr>
              <w:t>releveelor</w:t>
            </w:r>
            <w:r w:rsidRPr="00C56257">
              <w:rPr>
                <w:color w:val="000000" w:themeColor="text1"/>
                <w:spacing w:val="8"/>
              </w:rPr>
              <w:t xml:space="preserve"> </w:t>
            </w:r>
            <w:r w:rsidRPr="00C56257">
              <w:rPr>
                <w:color w:val="000000" w:themeColor="text1"/>
              </w:rPr>
              <w:t>sau</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3106AFB7" w14:textId="77777777" w:rsidR="00E13976" w:rsidRPr="00C56257" w:rsidRDefault="00E13976" w:rsidP="009E63E5">
            <w:pPr>
              <w:widowControl w:val="0"/>
              <w:numPr>
                <w:ilvl w:val="0"/>
                <w:numId w:val="65"/>
              </w:numPr>
              <w:tabs>
                <w:tab w:val="left" w:pos="262"/>
              </w:tabs>
              <w:autoSpaceDE w:val="0"/>
              <w:autoSpaceDN w:val="0"/>
              <w:spacing w:before="200"/>
              <w:ind w:left="262" w:hanging="238"/>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218" w:type="dxa"/>
            <w:tcBorders>
              <w:left w:val="nil"/>
              <w:bottom w:val="single" w:sz="6" w:space="0" w:color="000000"/>
            </w:tcBorders>
          </w:tcPr>
          <w:p w14:paraId="688FD7D2" w14:textId="77777777" w:rsidR="00E13976" w:rsidRPr="00C56257" w:rsidRDefault="00E13976" w:rsidP="008E33FD">
            <w:pPr>
              <w:widowControl w:val="0"/>
              <w:autoSpaceDE w:val="0"/>
              <w:autoSpaceDN w:val="0"/>
              <w:jc w:val="both"/>
              <w:rPr>
                <w:b/>
                <w:color w:val="000000" w:themeColor="text1"/>
              </w:rPr>
            </w:pPr>
          </w:p>
          <w:p w14:paraId="7157730B" w14:textId="77777777" w:rsidR="00E13976" w:rsidRPr="00C56257" w:rsidRDefault="00E13976" w:rsidP="008E33FD">
            <w:pPr>
              <w:widowControl w:val="0"/>
              <w:autoSpaceDE w:val="0"/>
              <w:autoSpaceDN w:val="0"/>
              <w:spacing w:before="209"/>
              <w:jc w:val="both"/>
              <w:rPr>
                <w:color w:val="000000" w:themeColor="text1"/>
              </w:rPr>
            </w:pPr>
            <w:r w:rsidRPr="00C56257">
              <w:rPr>
                <w:color w:val="000000" w:themeColor="text1"/>
              </w:rPr>
              <w:t>a</w:t>
            </w:r>
          </w:p>
        </w:tc>
        <w:tc>
          <w:tcPr>
            <w:tcW w:w="2436" w:type="dxa"/>
            <w:tcBorders>
              <w:bottom w:val="single" w:sz="6" w:space="0" w:color="000000"/>
            </w:tcBorders>
          </w:tcPr>
          <w:p w14:paraId="42E57272" w14:textId="77777777" w:rsidR="00E13976" w:rsidRPr="00C56257" w:rsidRDefault="00E13976" w:rsidP="008E33FD">
            <w:pPr>
              <w:widowControl w:val="0"/>
              <w:autoSpaceDE w:val="0"/>
              <w:autoSpaceDN w:val="0"/>
              <w:spacing w:before="49" w:line="276" w:lineRule="auto"/>
              <w:ind w:right="162"/>
              <w:jc w:val="both"/>
              <w:rPr>
                <w:color w:val="000000" w:themeColor="text1"/>
              </w:rPr>
            </w:pPr>
            <w:r w:rsidRPr="00C56257">
              <w:rPr>
                <w:color w:val="000000" w:themeColor="text1"/>
              </w:rPr>
              <w:t>Min 7 relevee/ transecte</w:t>
            </w:r>
            <w:r w:rsidRPr="00C56257">
              <w:rPr>
                <w:color w:val="000000" w:themeColor="text1"/>
                <w:spacing w:val="1"/>
              </w:rPr>
              <w:t xml:space="preserve"> </w:t>
            </w:r>
            <w:r w:rsidRPr="00C56257">
              <w:rPr>
                <w:color w:val="000000" w:themeColor="text1"/>
              </w:rPr>
              <w:t>de monitorizare în cadrul</w:t>
            </w:r>
            <w:r w:rsidRPr="00C56257">
              <w:rPr>
                <w:color w:val="000000" w:themeColor="text1"/>
                <w:spacing w:val="-52"/>
              </w:rPr>
              <w:t xml:space="preserve"> </w:t>
            </w:r>
            <w:r w:rsidRPr="00C56257">
              <w:rPr>
                <w:color w:val="000000" w:themeColor="text1"/>
              </w:rPr>
              <w:t>ariilor naturale țintă şi în</w:t>
            </w:r>
            <w:r w:rsidRPr="00C56257">
              <w:rPr>
                <w:color w:val="000000" w:themeColor="text1"/>
                <w:spacing w:val="-52"/>
              </w:rPr>
              <w:t xml:space="preserve"> </w:t>
            </w:r>
            <w:r w:rsidRPr="00C56257">
              <w:rPr>
                <w:color w:val="000000" w:themeColor="text1"/>
              </w:rPr>
              <w:t>afara acestora, în situația</w:t>
            </w:r>
            <w:r w:rsidRPr="00C56257">
              <w:rPr>
                <w:color w:val="000000" w:themeColor="text1"/>
                <w:spacing w:val="-52"/>
              </w:rPr>
              <w:t xml:space="preserve"> </w:t>
            </w:r>
            <w:r w:rsidRPr="00C56257">
              <w:rPr>
                <w:color w:val="000000" w:themeColor="text1"/>
              </w:rPr>
              <w:t>prezenței habitatului.</w:t>
            </w:r>
          </w:p>
        </w:tc>
      </w:tr>
      <w:tr w:rsidR="00E13976" w:rsidRPr="00C56257" w14:paraId="30334EAB" w14:textId="77777777" w:rsidTr="00E13976">
        <w:trPr>
          <w:trHeight w:val="1761"/>
        </w:trPr>
        <w:tc>
          <w:tcPr>
            <w:tcW w:w="2902" w:type="dxa"/>
            <w:tcBorders>
              <w:top w:val="single" w:sz="6" w:space="0" w:color="000000"/>
            </w:tcBorders>
          </w:tcPr>
          <w:p w14:paraId="5CE6C522" w14:textId="77777777" w:rsidR="00E13976" w:rsidRPr="00C56257" w:rsidRDefault="00E13976" w:rsidP="008E33FD">
            <w:pPr>
              <w:widowControl w:val="0"/>
              <w:autoSpaceDE w:val="0"/>
              <w:autoSpaceDN w:val="0"/>
              <w:jc w:val="both"/>
              <w:rPr>
                <w:b/>
                <w:color w:val="000000" w:themeColor="text1"/>
              </w:rPr>
            </w:pPr>
          </w:p>
          <w:p w14:paraId="1C258DAF" w14:textId="77777777" w:rsidR="00E13976" w:rsidRPr="00C56257" w:rsidRDefault="00E13976" w:rsidP="008E33FD">
            <w:pPr>
              <w:widowControl w:val="0"/>
              <w:autoSpaceDE w:val="0"/>
              <w:autoSpaceDN w:val="0"/>
              <w:jc w:val="both"/>
              <w:rPr>
                <w:b/>
                <w:color w:val="000000" w:themeColor="text1"/>
              </w:rPr>
            </w:pPr>
          </w:p>
          <w:p w14:paraId="67B92E5D" w14:textId="77777777" w:rsidR="00E13976" w:rsidRPr="00C56257" w:rsidRDefault="00E13976" w:rsidP="008E33FD">
            <w:pPr>
              <w:widowControl w:val="0"/>
              <w:autoSpaceDE w:val="0"/>
              <w:autoSpaceDN w:val="0"/>
              <w:spacing w:before="195"/>
              <w:jc w:val="both"/>
              <w:rPr>
                <w:color w:val="000000" w:themeColor="text1"/>
              </w:rPr>
            </w:pPr>
            <w:r w:rsidRPr="00C56257">
              <w:rPr>
                <w:color w:val="000000" w:themeColor="text1"/>
              </w:rPr>
              <w:t>7230</w:t>
            </w:r>
            <w:r w:rsidRPr="00C56257">
              <w:rPr>
                <w:color w:val="000000" w:themeColor="text1"/>
                <w:spacing w:val="-3"/>
              </w:rPr>
              <w:t xml:space="preserve"> </w:t>
            </w:r>
            <w:r w:rsidRPr="00C56257">
              <w:rPr>
                <w:color w:val="000000" w:themeColor="text1"/>
              </w:rPr>
              <w:t>Mlaștni</w:t>
            </w:r>
            <w:r w:rsidRPr="00C56257">
              <w:rPr>
                <w:color w:val="000000" w:themeColor="text1"/>
                <w:spacing w:val="-2"/>
              </w:rPr>
              <w:t xml:space="preserve"> </w:t>
            </w:r>
            <w:r w:rsidRPr="00C56257">
              <w:rPr>
                <w:color w:val="000000" w:themeColor="text1"/>
              </w:rPr>
              <w:t>alcaline</w:t>
            </w:r>
          </w:p>
        </w:tc>
        <w:tc>
          <w:tcPr>
            <w:tcW w:w="521" w:type="dxa"/>
            <w:tcBorders>
              <w:top w:val="single" w:sz="6" w:space="0" w:color="000000"/>
            </w:tcBorders>
          </w:tcPr>
          <w:p w14:paraId="4634A40A" w14:textId="77777777" w:rsidR="00E13976" w:rsidRPr="00C56257" w:rsidRDefault="00E13976" w:rsidP="008E33FD">
            <w:pPr>
              <w:widowControl w:val="0"/>
              <w:autoSpaceDE w:val="0"/>
              <w:autoSpaceDN w:val="0"/>
              <w:jc w:val="both"/>
              <w:rPr>
                <w:color w:val="000000" w:themeColor="text1"/>
              </w:rPr>
            </w:pPr>
          </w:p>
        </w:tc>
        <w:tc>
          <w:tcPr>
            <w:tcW w:w="541" w:type="dxa"/>
            <w:tcBorders>
              <w:top w:val="single" w:sz="6" w:space="0" w:color="000000"/>
            </w:tcBorders>
          </w:tcPr>
          <w:p w14:paraId="6C85EFF1" w14:textId="77777777" w:rsidR="00E13976" w:rsidRPr="00C56257" w:rsidRDefault="00E13976" w:rsidP="008E33FD">
            <w:pPr>
              <w:widowControl w:val="0"/>
              <w:autoSpaceDE w:val="0"/>
              <w:autoSpaceDN w:val="0"/>
              <w:jc w:val="both"/>
              <w:rPr>
                <w:color w:val="000000" w:themeColor="text1"/>
              </w:rPr>
            </w:pPr>
          </w:p>
        </w:tc>
        <w:tc>
          <w:tcPr>
            <w:tcW w:w="557" w:type="dxa"/>
            <w:tcBorders>
              <w:top w:val="single" w:sz="6" w:space="0" w:color="000000"/>
            </w:tcBorders>
            <w:shd w:val="clear" w:color="auto" w:fill="BEBEBE"/>
          </w:tcPr>
          <w:p w14:paraId="6952E85C" w14:textId="77777777" w:rsidR="00E13976" w:rsidRPr="00C56257" w:rsidRDefault="00E13976" w:rsidP="008E33FD">
            <w:pPr>
              <w:widowControl w:val="0"/>
              <w:autoSpaceDE w:val="0"/>
              <w:autoSpaceDN w:val="0"/>
              <w:jc w:val="both"/>
              <w:rPr>
                <w:color w:val="000000" w:themeColor="text1"/>
              </w:rPr>
            </w:pPr>
          </w:p>
        </w:tc>
        <w:tc>
          <w:tcPr>
            <w:tcW w:w="557" w:type="dxa"/>
            <w:tcBorders>
              <w:top w:val="single" w:sz="6" w:space="0" w:color="000000"/>
            </w:tcBorders>
            <w:shd w:val="clear" w:color="auto" w:fill="BEBEBE"/>
          </w:tcPr>
          <w:p w14:paraId="2CA8FC59" w14:textId="77777777" w:rsidR="00E13976" w:rsidRPr="00C56257" w:rsidRDefault="00E13976" w:rsidP="008E33FD">
            <w:pPr>
              <w:widowControl w:val="0"/>
              <w:autoSpaceDE w:val="0"/>
              <w:autoSpaceDN w:val="0"/>
              <w:jc w:val="both"/>
              <w:rPr>
                <w:color w:val="000000" w:themeColor="text1"/>
              </w:rPr>
            </w:pPr>
          </w:p>
        </w:tc>
        <w:tc>
          <w:tcPr>
            <w:tcW w:w="557" w:type="dxa"/>
            <w:tcBorders>
              <w:top w:val="single" w:sz="6" w:space="0" w:color="000000"/>
            </w:tcBorders>
            <w:shd w:val="clear" w:color="auto" w:fill="BEBEBE"/>
          </w:tcPr>
          <w:p w14:paraId="69E59D86" w14:textId="77777777" w:rsidR="00E13976" w:rsidRPr="00C56257" w:rsidRDefault="00E13976" w:rsidP="008E33FD">
            <w:pPr>
              <w:widowControl w:val="0"/>
              <w:autoSpaceDE w:val="0"/>
              <w:autoSpaceDN w:val="0"/>
              <w:jc w:val="both"/>
              <w:rPr>
                <w:color w:val="000000" w:themeColor="text1"/>
              </w:rPr>
            </w:pPr>
          </w:p>
        </w:tc>
        <w:tc>
          <w:tcPr>
            <w:tcW w:w="557" w:type="dxa"/>
            <w:tcBorders>
              <w:top w:val="single" w:sz="6" w:space="0" w:color="000000"/>
            </w:tcBorders>
            <w:shd w:val="clear" w:color="auto" w:fill="BEBEBE"/>
          </w:tcPr>
          <w:p w14:paraId="28D90A8D" w14:textId="77777777" w:rsidR="00E13976" w:rsidRPr="00C56257" w:rsidRDefault="00E13976" w:rsidP="008E33FD">
            <w:pPr>
              <w:widowControl w:val="0"/>
              <w:autoSpaceDE w:val="0"/>
              <w:autoSpaceDN w:val="0"/>
              <w:jc w:val="both"/>
              <w:rPr>
                <w:color w:val="000000" w:themeColor="text1"/>
              </w:rPr>
            </w:pPr>
          </w:p>
        </w:tc>
        <w:tc>
          <w:tcPr>
            <w:tcW w:w="502" w:type="dxa"/>
            <w:tcBorders>
              <w:top w:val="single" w:sz="6" w:space="0" w:color="000000"/>
            </w:tcBorders>
            <w:shd w:val="clear" w:color="auto" w:fill="BEBEBE"/>
          </w:tcPr>
          <w:p w14:paraId="29769A24" w14:textId="77777777" w:rsidR="00E13976" w:rsidRPr="00C56257" w:rsidRDefault="00E13976" w:rsidP="008E33FD">
            <w:pPr>
              <w:widowControl w:val="0"/>
              <w:autoSpaceDE w:val="0"/>
              <w:autoSpaceDN w:val="0"/>
              <w:jc w:val="both"/>
              <w:rPr>
                <w:color w:val="000000" w:themeColor="text1"/>
              </w:rPr>
            </w:pPr>
          </w:p>
        </w:tc>
        <w:tc>
          <w:tcPr>
            <w:tcW w:w="557" w:type="dxa"/>
            <w:tcBorders>
              <w:top w:val="single" w:sz="6" w:space="0" w:color="000000"/>
            </w:tcBorders>
            <w:shd w:val="clear" w:color="auto" w:fill="BEBEBE"/>
          </w:tcPr>
          <w:p w14:paraId="46042587" w14:textId="77777777" w:rsidR="00E13976" w:rsidRPr="00C56257" w:rsidRDefault="00E13976" w:rsidP="008E33FD">
            <w:pPr>
              <w:widowControl w:val="0"/>
              <w:autoSpaceDE w:val="0"/>
              <w:autoSpaceDN w:val="0"/>
              <w:jc w:val="both"/>
              <w:rPr>
                <w:color w:val="000000" w:themeColor="text1"/>
              </w:rPr>
            </w:pPr>
          </w:p>
        </w:tc>
        <w:tc>
          <w:tcPr>
            <w:tcW w:w="557" w:type="dxa"/>
            <w:tcBorders>
              <w:top w:val="single" w:sz="6" w:space="0" w:color="000000"/>
            </w:tcBorders>
            <w:shd w:val="clear" w:color="auto" w:fill="BEBEBE"/>
          </w:tcPr>
          <w:p w14:paraId="28208CB4" w14:textId="77777777" w:rsidR="00E13976" w:rsidRPr="00C56257" w:rsidRDefault="00E13976" w:rsidP="008E33FD">
            <w:pPr>
              <w:widowControl w:val="0"/>
              <w:autoSpaceDE w:val="0"/>
              <w:autoSpaceDN w:val="0"/>
              <w:jc w:val="both"/>
              <w:rPr>
                <w:color w:val="000000" w:themeColor="text1"/>
              </w:rPr>
            </w:pPr>
          </w:p>
        </w:tc>
        <w:tc>
          <w:tcPr>
            <w:tcW w:w="559" w:type="dxa"/>
            <w:tcBorders>
              <w:top w:val="single" w:sz="6" w:space="0" w:color="000000"/>
            </w:tcBorders>
            <w:shd w:val="clear" w:color="auto" w:fill="BEBEBE"/>
          </w:tcPr>
          <w:p w14:paraId="03C29502" w14:textId="77777777" w:rsidR="00E13976" w:rsidRPr="00C56257" w:rsidRDefault="00E13976" w:rsidP="008E33FD">
            <w:pPr>
              <w:widowControl w:val="0"/>
              <w:autoSpaceDE w:val="0"/>
              <w:autoSpaceDN w:val="0"/>
              <w:jc w:val="both"/>
              <w:rPr>
                <w:color w:val="000000" w:themeColor="text1"/>
              </w:rPr>
            </w:pPr>
          </w:p>
        </w:tc>
        <w:tc>
          <w:tcPr>
            <w:tcW w:w="557" w:type="dxa"/>
            <w:tcBorders>
              <w:top w:val="single" w:sz="6" w:space="0" w:color="000000"/>
            </w:tcBorders>
            <w:shd w:val="clear" w:color="auto" w:fill="BEBEBE"/>
          </w:tcPr>
          <w:p w14:paraId="5ADB295E" w14:textId="77777777" w:rsidR="00E13976" w:rsidRPr="00C56257" w:rsidRDefault="00E13976" w:rsidP="008E33FD">
            <w:pPr>
              <w:widowControl w:val="0"/>
              <w:autoSpaceDE w:val="0"/>
              <w:autoSpaceDN w:val="0"/>
              <w:jc w:val="both"/>
              <w:rPr>
                <w:color w:val="000000" w:themeColor="text1"/>
              </w:rPr>
            </w:pPr>
          </w:p>
        </w:tc>
        <w:tc>
          <w:tcPr>
            <w:tcW w:w="759" w:type="dxa"/>
            <w:tcBorders>
              <w:top w:val="single" w:sz="6" w:space="0" w:color="000000"/>
            </w:tcBorders>
          </w:tcPr>
          <w:p w14:paraId="24CEEB78" w14:textId="77777777" w:rsidR="00E13976" w:rsidRPr="00C56257" w:rsidRDefault="00E13976" w:rsidP="008E33FD">
            <w:pPr>
              <w:widowControl w:val="0"/>
              <w:autoSpaceDE w:val="0"/>
              <w:autoSpaceDN w:val="0"/>
              <w:jc w:val="both"/>
              <w:rPr>
                <w:color w:val="000000" w:themeColor="text1"/>
              </w:rPr>
            </w:pPr>
          </w:p>
        </w:tc>
        <w:tc>
          <w:tcPr>
            <w:tcW w:w="2547" w:type="dxa"/>
            <w:tcBorders>
              <w:top w:val="single" w:sz="6" w:space="0" w:color="000000"/>
              <w:right w:val="nil"/>
            </w:tcBorders>
          </w:tcPr>
          <w:p w14:paraId="312C18C9" w14:textId="77777777" w:rsidR="00E13976" w:rsidRPr="00C56257" w:rsidRDefault="00E13976" w:rsidP="008E33FD">
            <w:pPr>
              <w:widowControl w:val="0"/>
              <w:autoSpaceDE w:val="0"/>
              <w:autoSpaceDN w:val="0"/>
              <w:spacing w:line="244"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03BFA7B9" w14:textId="77777777" w:rsidR="00E13976" w:rsidRPr="00C56257" w:rsidRDefault="00E13976" w:rsidP="008E33FD">
            <w:pPr>
              <w:widowControl w:val="0"/>
              <w:autoSpaceDE w:val="0"/>
              <w:autoSpaceDN w:val="0"/>
              <w:spacing w:before="9"/>
              <w:jc w:val="both"/>
              <w:rPr>
                <w:b/>
                <w:color w:val="000000" w:themeColor="text1"/>
              </w:rPr>
            </w:pPr>
          </w:p>
          <w:p w14:paraId="6A92095F" w14:textId="77777777" w:rsidR="00E13976" w:rsidRPr="00C56257" w:rsidRDefault="00E13976" w:rsidP="009E63E5">
            <w:pPr>
              <w:widowControl w:val="0"/>
              <w:numPr>
                <w:ilvl w:val="0"/>
                <w:numId w:val="64"/>
              </w:numPr>
              <w:tabs>
                <w:tab w:val="left" w:pos="277"/>
              </w:tabs>
              <w:autoSpaceDE w:val="0"/>
              <w:autoSpaceDN w:val="0"/>
              <w:spacing w:line="276" w:lineRule="auto"/>
              <w:ind w:right="83" w:firstLine="0"/>
              <w:jc w:val="both"/>
              <w:rPr>
                <w:color w:val="000000" w:themeColor="text1"/>
              </w:rPr>
            </w:pPr>
            <w:r w:rsidRPr="00C56257">
              <w:rPr>
                <w:color w:val="000000" w:themeColor="text1"/>
              </w:rPr>
              <w:t>metoda</w:t>
            </w:r>
            <w:r w:rsidRPr="00C56257">
              <w:rPr>
                <w:color w:val="000000" w:themeColor="text1"/>
                <w:spacing w:val="8"/>
              </w:rPr>
              <w:t xml:space="preserve"> </w:t>
            </w:r>
            <w:r w:rsidRPr="00C56257">
              <w:rPr>
                <w:color w:val="000000" w:themeColor="text1"/>
              </w:rPr>
              <w:t>releveelor</w:t>
            </w:r>
            <w:r w:rsidRPr="00C56257">
              <w:rPr>
                <w:color w:val="000000" w:themeColor="text1"/>
                <w:spacing w:val="8"/>
              </w:rPr>
              <w:t xml:space="preserve"> </w:t>
            </w:r>
            <w:r w:rsidRPr="00C56257">
              <w:rPr>
                <w:color w:val="000000" w:themeColor="text1"/>
              </w:rPr>
              <w:t>sau</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7F7E5EF2" w14:textId="77777777" w:rsidR="00E13976" w:rsidRPr="00C56257" w:rsidRDefault="00E13976" w:rsidP="009E63E5">
            <w:pPr>
              <w:widowControl w:val="0"/>
              <w:numPr>
                <w:ilvl w:val="0"/>
                <w:numId w:val="64"/>
              </w:numPr>
              <w:tabs>
                <w:tab w:val="left" w:pos="262"/>
              </w:tabs>
              <w:autoSpaceDE w:val="0"/>
              <w:autoSpaceDN w:val="0"/>
              <w:spacing w:before="200"/>
              <w:ind w:left="262" w:hanging="238"/>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218" w:type="dxa"/>
            <w:tcBorders>
              <w:top w:val="single" w:sz="6" w:space="0" w:color="000000"/>
              <w:left w:val="nil"/>
            </w:tcBorders>
          </w:tcPr>
          <w:p w14:paraId="2E0D5729" w14:textId="77777777" w:rsidR="00E13976" w:rsidRPr="00C56257" w:rsidRDefault="00E13976" w:rsidP="008E33FD">
            <w:pPr>
              <w:widowControl w:val="0"/>
              <w:autoSpaceDE w:val="0"/>
              <w:autoSpaceDN w:val="0"/>
              <w:jc w:val="both"/>
              <w:rPr>
                <w:b/>
                <w:color w:val="000000" w:themeColor="text1"/>
              </w:rPr>
            </w:pPr>
          </w:p>
          <w:p w14:paraId="50D59370" w14:textId="77777777" w:rsidR="00E13976" w:rsidRPr="00C56257" w:rsidRDefault="00E13976" w:rsidP="008E33FD">
            <w:pPr>
              <w:widowControl w:val="0"/>
              <w:autoSpaceDE w:val="0"/>
              <w:autoSpaceDN w:val="0"/>
              <w:spacing w:before="207"/>
              <w:jc w:val="both"/>
              <w:rPr>
                <w:color w:val="000000" w:themeColor="text1"/>
              </w:rPr>
            </w:pPr>
            <w:r w:rsidRPr="00C56257">
              <w:rPr>
                <w:color w:val="000000" w:themeColor="text1"/>
              </w:rPr>
              <w:t>a</w:t>
            </w:r>
          </w:p>
        </w:tc>
        <w:tc>
          <w:tcPr>
            <w:tcW w:w="2436" w:type="dxa"/>
            <w:tcBorders>
              <w:top w:val="single" w:sz="6" w:space="0" w:color="000000"/>
            </w:tcBorders>
          </w:tcPr>
          <w:p w14:paraId="2C861DD5" w14:textId="77777777" w:rsidR="00E13976" w:rsidRPr="00C56257" w:rsidRDefault="00E13976" w:rsidP="008E33FD">
            <w:pPr>
              <w:widowControl w:val="0"/>
              <w:autoSpaceDE w:val="0"/>
              <w:autoSpaceDN w:val="0"/>
              <w:spacing w:before="46" w:line="276" w:lineRule="auto"/>
              <w:ind w:right="162"/>
              <w:jc w:val="both"/>
              <w:rPr>
                <w:color w:val="000000" w:themeColor="text1"/>
              </w:rPr>
            </w:pPr>
            <w:r w:rsidRPr="00C56257">
              <w:rPr>
                <w:color w:val="000000" w:themeColor="text1"/>
              </w:rPr>
              <w:t>Min 7 relevee/ transecte</w:t>
            </w:r>
            <w:r w:rsidRPr="00C56257">
              <w:rPr>
                <w:color w:val="000000" w:themeColor="text1"/>
                <w:spacing w:val="1"/>
              </w:rPr>
              <w:t xml:space="preserve"> </w:t>
            </w:r>
            <w:r w:rsidRPr="00C56257">
              <w:rPr>
                <w:color w:val="000000" w:themeColor="text1"/>
              </w:rPr>
              <w:t>de monitorizare în cadrul</w:t>
            </w:r>
            <w:r w:rsidRPr="00C56257">
              <w:rPr>
                <w:color w:val="000000" w:themeColor="text1"/>
                <w:spacing w:val="-52"/>
              </w:rPr>
              <w:t xml:space="preserve"> </w:t>
            </w:r>
            <w:r w:rsidRPr="00C56257">
              <w:rPr>
                <w:color w:val="000000" w:themeColor="text1"/>
              </w:rPr>
              <w:t>ariilor naturale țintă şi în</w:t>
            </w:r>
            <w:r w:rsidRPr="00C56257">
              <w:rPr>
                <w:color w:val="000000" w:themeColor="text1"/>
                <w:spacing w:val="-52"/>
              </w:rPr>
              <w:t xml:space="preserve"> </w:t>
            </w:r>
            <w:r w:rsidRPr="00C56257">
              <w:rPr>
                <w:color w:val="000000" w:themeColor="text1"/>
              </w:rPr>
              <w:t>afara acestora, în situația</w:t>
            </w:r>
            <w:r w:rsidRPr="00C56257">
              <w:rPr>
                <w:color w:val="000000" w:themeColor="text1"/>
                <w:spacing w:val="-52"/>
              </w:rPr>
              <w:t xml:space="preserve"> </w:t>
            </w:r>
            <w:r w:rsidRPr="00C56257">
              <w:rPr>
                <w:color w:val="000000" w:themeColor="text1"/>
              </w:rPr>
              <w:t>prezenței habitatului.</w:t>
            </w:r>
          </w:p>
        </w:tc>
      </w:tr>
      <w:tr w:rsidR="00E13976" w:rsidRPr="00C56257" w14:paraId="4738BC0F" w14:textId="77777777" w:rsidTr="00E13976">
        <w:trPr>
          <w:trHeight w:val="1764"/>
        </w:trPr>
        <w:tc>
          <w:tcPr>
            <w:tcW w:w="2902" w:type="dxa"/>
          </w:tcPr>
          <w:p w14:paraId="3B5DCB3E" w14:textId="77777777" w:rsidR="00E13976" w:rsidRPr="00C56257" w:rsidRDefault="00E13976" w:rsidP="008E33FD">
            <w:pPr>
              <w:widowControl w:val="0"/>
              <w:autoSpaceDE w:val="0"/>
              <w:autoSpaceDN w:val="0"/>
              <w:spacing w:before="6"/>
              <w:jc w:val="both"/>
              <w:rPr>
                <w:b/>
                <w:color w:val="000000" w:themeColor="text1"/>
              </w:rPr>
            </w:pPr>
          </w:p>
          <w:p w14:paraId="184ACA30" w14:textId="77777777" w:rsidR="00E13976" w:rsidRPr="00C56257" w:rsidRDefault="00E13976" w:rsidP="008E33FD">
            <w:pPr>
              <w:widowControl w:val="0"/>
              <w:autoSpaceDE w:val="0"/>
              <w:autoSpaceDN w:val="0"/>
              <w:spacing w:line="276" w:lineRule="auto"/>
              <w:ind w:right="13"/>
              <w:jc w:val="both"/>
              <w:rPr>
                <w:color w:val="000000" w:themeColor="text1"/>
              </w:rPr>
            </w:pPr>
            <w:r w:rsidRPr="00C56257">
              <w:rPr>
                <w:color w:val="000000" w:themeColor="text1"/>
              </w:rPr>
              <w:t>7240*</w:t>
            </w:r>
            <w:r w:rsidRPr="00C56257">
              <w:rPr>
                <w:color w:val="000000" w:themeColor="text1"/>
                <w:spacing w:val="1"/>
              </w:rPr>
              <w:t xml:space="preserve"> </w:t>
            </w:r>
            <w:r w:rsidRPr="00C56257">
              <w:rPr>
                <w:color w:val="000000" w:themeColor="text1"/>
              </w:rPr>
              <w:t>Formațiuni</w:t>
            </w:r>
            <w:r w:rsidRPr="00C56257">
              <w:rPr>
                <w:color w:val="000000" w:themeColor="text1"/>
                <w:spacing w:val="1"/>
              </w:rPr>
              <w:t xml:space="preserve"> </w:t>
            </w:r>
            <w:r w:rsidRPr="00C56257">
              <w:rPr>
                <w:color w:val="000000" w:themeColor="text1"/>
              </w:rPr>
              <w:t>pioniere</w:t>
            </w:r>
            <w:r w:rsidRPr="00C56257">
              <w:rPr>
                <w:color w:val="000000" w:themeColor="text1"/>
                <w:spacing w:val="-52"/>
              </w:rPr>
              <w:t xml:space="preserve"> </w:t>
            </w:r>
            <w:r w:rsidRPr="00C56257">
              <w:rPr>
                <w:color w:val="000000" w:themeColor="text1"/>
              </w:rPr>
              <w:t>alpine</w:t>
            </w:r>
            <w:r w:rsidRPr="00C56257">
              <w:rPr>
                <w:color w:val="000000" w:themeColor="text1"/>
                <w:spacing w:val="1"/>
              </w:rPr>
              <w:t xml:space="preserve"> </w:t>
            </w:r>
            <w:r w:rsidRPr="00C56257">
              <w:rPr>
                <w:color w:val="000000" w:themeColor="text1"/>
              </w:rPr>
              <w:t>cu</w:t>
            </w:r>
            <w:r w:rsidRPr="00C56257">
              <w:rPr>
                <w:color w:val="000000" w:themeColor="text1"/>
                <w:spacing w:val="1"/>
              </w:rPr>
              <w:t xml:space="preserve"> </w:t>
            </w:r>
            <w:r w:rsidRPr="00C56257">
              <w:rPr>
                <w:color w:val="000000" w:themeColor="text1"/>
              </w:rPr>
              <w:t>Caricion</w:t>
            </w:r>
            <w:r w:rsidRPr="00C56257">
              <w:rPr>
                <w:color w:val="000000" w:themeColor="text1"/>
                <w:spacing w:val="1"/>
              </w:rPr>
              <w:t xml:space="preserve"> </w:t>
            </w:r>
            <w:r w:rsidRPr="00C56257">
              <w:rPr>
                <w:color w:val="000000" w:themeColor="text1"/>
              </w:rPr>
              <w:t>bicoloris-</w:t>
            </w:r>
            <w:r w:rsidRPr="00C56257">
              <w:rPr>
                <w:color w:val="000000" w:themeColor="text1"/>
                <w:spacing w:val="-52"/>
              </w:rPr>
              <w:t xml:space="preserve"> </w:t>
            </w:r>
            <w:r w:rsidRPr="00C56257">
              <w:rPr>
                <w:color w:val="000000" w:themeColor="text1"/>
              </w:rPr>
              <w:t>atrofuscae</w:t>
            </w:r>
          </w:p>
        </w:tc>
        <w:tc>
          <w:tcPr>
            <w:tcW w:w="521" w:type="dxa"/>
          </w:tcPr>
          <w:p w14:paraId="083B63EA" w14:textId="77777777" w:rsidR="00E13976" w:rsidRPr="00C56257" w:rsidRDefault="00E13976" w:rsidP="008E33FD">
            <w:pPr>
              <w:widowControl w:val="0"/>
              <w:autoSpaceDE w:val="0"/>
              <w:autoSpaceDN w:val="0"/>
              <w:jc w:val="both"/>
              <w:rPr>
                <w:color w:val="000000" w:themeColor="text1"/>
              </w:rPr>
            </w:pPr>
          </w:p>
        </w:tc>
        <w:tc>
          <w:tcPr>
            <w:tcW w:w="541" w:type="dxa"/>
          </w:tcPr>
          <w:p w14:paraId="6974BEA1"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3EC2104A"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35F7ACA4"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79A6ED89"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13F3986F" w14:textId="77777777" w:rsidR="00E13976" w:rsidRPr="00C56257" w:rsidRDefault="00E13976" w:rsidP="008E33FD">
            <w:pPr>
              <w:widowControl w:val="0"/>
              <w:autoSpaceDE w:val="0"/>
              <w:autoSpaceDN w:val="0"/>
              <w:jc w:val="both"/>
              <w:rPr>
                <w:color w:val="000000" w:themeColor="text1"/>
              </w:rPr>
            </w:pPr>
          </w:p>
        </w:tc>
        <w:tc>
          <w:tcPr>
            <w:tcW w:w="502" w:type="dxa"/>
            <w:shd w:val="clear" w:color="auto" w:fill="BEBEBE"/>
          </w:tcPr>
          <w:p w14:paraId="032B90F3"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39647DB7"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5F379B3D" w14:textId="77777777" w:rsidR="00E13976" w:rsidRPr="00C56257" w:rsidRDefault="00E13976" w:rsidP="008E33FD">
            <w:pPr>
              <w:widowControl w:val="0"/>
              <w:autoSpaceDE w:val="0"/>
              <w:autoSpaceDN w:val="0"/>
              <w:jc w:val="both"/>
              <w:rPr>
                <w:color w:val="000000" w:themeColor="text1"/>
              </w:rPr>
            </w:pPr>
          </w:p>
        </w:tc>
        <w:tc>
          <w:tcPr>
            <w:tcW w:w="559" w:type="dxa"/>
            <w:shd w:val="clear" w:color="auto" w:fill="BEBEBE"/>
          </w:tcPr>
          <w:p w14:paraId="734B681F" w14:textId="77777777" w:rsidR="00E13976" w:rsidRPr="00C56257" w:rsidRDefault="00E13976" w:rsidP="008E33FD">
            <w:pPr>
              <w:widowControl w:val="0"/>
              <w:autoSpaceDE w:val="0"/>
              <w:autoSpaceDN w:val="0"/>
              <w:jc w:val="both"/>
              <w:rPr>
                <w:color w:val="000000" w:themeColor="text1"/>
              </w:rPr>
            </w:pPr>
          </w:p>
        </w:tc>
        <w:tc>
          <w:tcPr>
            <w:tcW w:w="557" w:type="dxa"/>
            <w:shd w:val="clear" w:color="auto" w:fill="BEBEBE"/>
          </w:tcPr>
          <w:p w14:paraId="2EE65BDB" w14:textId="77777777" w:rsidR="00E13976" w:rsidRPr="00C56257" w:rsidRDefault="00E13976" w:rsidP="008E33FD">
            <w:pPr>
              <w:widowControl w:val="0"/>
              <w:autoSpaceDE w:val="0"/>
              <w:autoSpaceDN w:val="0"/>
              <w:jc w:val="both"/>
              <w:rPr>
                <w:color w:val="000000" w:themeColor="text1"/>
              </w:rPr>
            </w:pPr>
          </w:p>
        </w:tc>
        <w:tc>
          <w:tcPr>
            <w:tcW w:w="759" w:type="dxa"/>
          </w:tcPr>
          <w:p w14:paraId="565EBE4B" w14:textId="77777777" w:rsidR="00E13976" w:rsidRPr="00C56257" w:rsidRDefault="00E13976" w:rsidP="008E33FD">
            <w:pPr>
              <w:widowControl w:val="0"/>
              <w:autoSpaceDE w:val="0"/>
              <w:autoSpaceDN w:val="0"/>
              <w:jc w:val="both"/>
              <w:rPr>
                <w:color w:val="000000" w:themeColor="text1"/>
              </w:rPr>
            </w:pPr>
          </w:p>
        </w:tc>
        <w:tc>
          <w:tcPr>
            <w:tcW w:w="2547" w:type="dxa"/>
            <w:tcBorders>
              <w:right w:val="nil"/>
            </w:tcBorders>
          </w:tcPr>
          <w:p w14:paraId="0BB72601" w14:textId="77777777" w:rsidR="00E13976" w:rsidRPr="00C56257" w:rsidRDefault="00E13976" w:rsidP="008E33FD">
            <w:pPr>
              <w:widowControl w:val="0"/>
              <w:autoSpaceDE w:val="0"/>
              <w:autoSpaceDN w:val="0"/>
              <w:spacing w:line="247" w:lineRule="exact"/>
              <w:jc w:val="both"/>
              <w:rPr>
                <w:color w:val="000000" w:themeColor="text1"/>
              </w:rPr>
            </w:pPr>
            <w:r w:rsidRPr="00C56257">
              <w:rPr>
                <w:color w:val="000000" w:themeColor="text1"/>
              </w:rPr>
              <w:t>Observaţii</w:t>
            </w:r>
            <w:r w:rsidRPr="00C56257">
              <w:rPr>
                <w:color w:val="000000" w:themeColor="text1"/>
                <w:spacing w:val="-3"/>
              </w:rPr>
              <w:t xml:space="preserve"> </w:t>
            </w:r>
            <w:r w:rsidRPr="00C56257">
              <w:rPr>
                <w:color w:val="000000" w:themeColor="text1"/>
              </w:rPr>
              <w:t>directe</w:t>
            </w:r>
            <w:r w:rsidRPr="00C56257">
              <w:rPr>
                <w:color w:val="000000" w:themeColor="text1"/>
                <w:spacing w:val="-4"/>
              </w:rPr>
              <w:t xml:space="preserve"> </w:t>
            </w:r>
            <w:r w:rsidRPr="00C56257">
              <w:rPr>
                <w:color w:val="000000" w:themeColor="text1"/>
              </w:rPr>
              <w:t>prin:</w:t>
            </w:r>
          </w:p>
          <w:p w14:paraId="0C39B747" w14:textId="77777777" w:rsidR="00E13976" w:rsidRPr="00C56257" w:rsidRDefault="00E13976" w:rsidP="008E33FD">
            <w:pPr>
              <w:widowControl w:val="0"/>
              <w:autoSpaceDE w:val="0"/>
              <w:autoSpaceDN w:val="0"/>
              <w:spacing w:before="9"/>
              <w:jc w:val="both"/>
              <w:rPr>
                <w:b/>
                <w:color w:val="000000" w:themeColor="text1"/>
              </w:rPr>
            </w:pPr>
          </w:p>
          <w:p w14:paraId="1D38DA23" w14:textId="77777777" w:rsidR="00E13976" w:rsidRPr="00C56257" w:rsidRDefault="00E13976" w:rsidP="009E63E5">
            <w:pPr>
              <w:widowControl w:val="0"/>
              <w:numPr>
                <w:ilvl w:val="0"/>
                <w:numId w:val="63"/>
              </w:numPr>
              <w:tabs>
                <w:tab w:val="left" w:pos="277"/>
              </w:tabs>
              <w:autoSpaceDE w:val="0"/>
              <w:autoSpaceDN w:val="0"/>
              <w:spacing w:line="276" w:lineRule="auto"/>
              <w:ind w:right="83" w:firstLine="0"/>
              <w:jc w:val="both"/>
              <w:rPr>
                <w:color w:val="000000" w:themeColor="text1"/>
              </w:rPr>
            </w:pPr>
            <w:r w:rsidRPr="00C56257">
              <w:rPr>
                <w:color w:val="000000" w:themeColor="text1"/>
              </w:rPr>
              <w:t>metoda</w:t>
            </w:r>
            <w:r w:rsidRPr="00C56257">
              <w:rPr>
                <w:color w:val="000000" w:themeColor="text1"/>
                <w:spacing w:val="8"/>
              </w:rPr>
              <w:t xml:space="preserve"> </w:t>
            </w:r>
            <w:r w:rsidRPr="00C56257">
              <w:rPr>
                <w:color w:val="000000" w:themeColor="text1"/>
              </w:rPr>
              <w:t>releveelor</w:t>
            </w:r>
            <w:r w:rsidRPr="00C56257">
              <w:rPr>
                <w:color w:val="000000" w:themeColor="text1"/>
                <w:spacing w:val="8"/>
              </w:rPr>
              <w:t xml:space="preserve"> </w:t>
            </w:r>
            <w:r w:rsidRPr="00C56257">
              <w:rPr>
                <w:color w:val="000000" w:themeColor="text1"/>
              </w:rPr>
              <w:t>sau</w:t>
            </w:r>
            <w:r w:rsidRPr="00C56257">
              <w:rPr>
                <w:color w:val="000000" w:themeColor="text1"/>
                <w:spacing w:val="-52"/>
              </w:rPr>
              <w:t xml:space="preserve"> </w:t>
            </w:r>
            <w:r w:rsidRPr="00C56257">
              <w:rPr>
                <w:color w:val="000000" w:themeColor="text1"/>
              </w:rPr>
              <w:t>transectelor</w:t>
            </w:r>
            <w:r w:rsidRPr="00C56257">
              <w:rPr>
                <w:color w:val="000000" w:themeColor="text1"/>
                <w:spacing w:val="-3"/>
              </w:rPr>
              <w:t xml:space="preserve"> </w:t>
            </w:r>
            <w:r w:rsidRPr="00C56257">
              <w:rPr>
                <w:color w:val="000000" w:themeColor="text1"/>
              </w:rPr>
              <w:t>itinerante</w:t>
            </w:r>
          </w:p>
          <w:p w14:paraId="29154529" w14:textId="77777777" w:rsidR="00E13976" w:rsidRPr="00C56257" w:rsidRDefault="00E13976" w:rsidP="009E63E5">
            <w:pPr>
              <w:widowControl w:val="0"/>
              <w:numPr>
                <w:ilvl w:val="0"/>
                <w:numId w:val="63"/>
              </w:numPr>
              <w:tabs>
                <w:tab w:val="left" w:pos="262"/>
              </w:tabs>
              <w:autoSpaceDE w:val="0"/>
              <w:autoSpaceDN w:val="0"/>
              <w:spacing w:before="201"/>
              <w:ind w:left="262" w:hanging="238"/>
              <w:jc w:val="both"/>
              <w:rPr>
                <w:color w:val="000000" w:themeColor="text1"/>
              </w:rPr>
            </w:pPr>
            <w:r w:rsidRPr="00C56257">
              <w:rPr>
                <w:color w:val="000000" w:themeColor="text1"/>
              </w:rPr>
              <w:t>metoda</w:t>
            </w:r>
            <w:r w:rsidRPr="00C56257">
              <w:rPr>
                <w:color w:val="000000" w:themeColor="text1"/>
                <w:spacing w:val="-1"/>
              </w:rPr>
              <w:t xml:space="preserve"> </w:t>
            </w:r>
            <w:r w:rsidRPr="00C56257">
              <w:rPr>
                <w:color w:val="000000" w:themeColor="text1"/>
              </w:rPr>
              <w:t>Braun-Blanquet</w:t>
            </w:r>
          </w:p>
        </w:tc>
        <w:tc>
          <w:tcPr>
            <w:tcW w:w="218" w:type="dxa"/>
            <w:tcBorders>
              <w:left w:val="nil"/>
            </w:tcBorders>
          </w:tcPr>
          <w:p w14:paraId="300B0492" w14:textId="77777777" w:rsidR="00E13976" w:rsidRPr="00C56257" w:rsidRDefault="00E13976" w:rsidP="008E33FD">
            <w:pPr>
              <w:widowControl w:val="0"/>
              <w:autoSpaceDE w:val="0"/>
              <w:autoSpaceDN w:val="0"/>
              <w:jc w:val="both"/>
              <w:rPr>
                <w:b/>
                <w:color w:val="000000" w:themeColor="text1"/>
              </w:rPr>
            </w:pPr>
          </w:p>
          <w:p w14:paraId="31BB243D" w14:textId="77777777" w:rsidR="00E13976" w:rsidRPr="00C56257" w:rsidRDefault="00E13976" w:rsidP="008E33FD">
            <w:pPr>
              <w:widowControl w:val="0"/>
              <w:autoSpaceDE w:val="0"/>
              <w:autoSpaceDN w:val="0"/>
              <w:spacing w:before="210"/>
              <w:jc w:val="both"/>
              <w:rPr>
                <w:color w:val="000000" w:themeColor="text1"/>
              </w:rPr>
            </w:pPr>
            <w:r w:rsidRPr="00C56257">
              <w:rPr>
                <w:color w:val="000000" w:themeColor="text1"/>
              </w:rPr>
              <w:t>a</w:t>
            </w:r>
          </w:p>
        </w:tc>
        <w:tc>
          <w:tcPr>
            <w:tcW w:w="2436" w:type="dxa"/>
          </w:tcPr>
          <w:p w14:paraId="736A11C6" w14:textId="77777777" w:rsidR="00E13976" w:rsidRPr="00C56257" w:rsidRDefault="00E13976" w:rsidP="008E33FD">
            <w:pPr>
              <w:widowControl w:val="0"/>
              <w:autoSpaceDE w:val="0"/>
              <w:autoSpaceDN w:val="0"/>
              <w:spacing w:before="49" w:line="276" w:lineRule="auto"/>
              <w:ind w:right="162"/>
              <w:jc w:val="both"/>
              <w:rPr>
                <w:color w:val="000000" w:themeColor="text1"/>
              </w:rPr>
            </w:pPr>
            <w:r w:rsidRPr="00C56257">
              <w:rPr>
                <w:color w:val="000000" w:themeColor="text1"/>
              </w:rPr>
              <w:t>Min 7 relevee/ transecte</w:t>
            </w:r>
            <w:r w:rsidRPr="00C56257">
              <w:rPr>
                <w:color w:val="000000" w:themeColor="text1"/>
                <w:spacing w:val="1"/>
              </w:rPr>
              <w:t xml:space="preserve"> </w:t>
            </w:r>
            <w:r w:rsidRPr="00C56257">
              <w:rPr>
                <w:color w:val="000000" w:themeColor="text1"/>
              </w:rPr>
              <w:t>de monitorizare în cadrul</w:t>
            </w:r>
            <w:r w:rsidRPr="00C56257">
              <w:rPr>
                <w:color w:val="000000" w:themeColor="text1"/>
                <w:spacing w:val="-52"/>
              </w:rPr>
              <w:t xml:space="preserve"> </w:t>
            </w:r>
            <w:r w:rsidRPr="00C56257">
              <w:rPr>
                <w:color w:val="000000" w:themeColor="text1"/>
              </w:rPr>
              <w:t>ariilor naturale țintă şi în</w:t>
            </w:r>
            <w:r w:rsidRPr="00C56257">
              <w:rPr>
                <w:color w:val="000000" w:themeColor="text1"/>
                <w:spacing w:val="-52"/>
              </w:rPr>
              <w:t xml:space="preserve"> </w:t>
            </w:r>
            <w:r w:rsidRPr="00C56257">
              <w:rPr>
                <w:color w:val="000000" w:themeColor="text1"/>
              </w:rPr>
              <w:t>afara acestora, în situația</w:t>
            </w:r>
            <w:r w:rsidRPr="00C56257">
              <w:rPr>
                <w:color w:val="000000" w:themeColor="text1"/>
                <w:spacing w:val="-52"/>
              </w:rPr>
              <w:t xml:space="preserve"> </w:t>
            </w:r>
            <w:r w:rsidRPr="00C56257">
              <w:rPr>
                <w:color w:val="000000" w:themeColor="text1"/>
              </w:rPr>
              <w:t>prezenței habitatului.</w:t>
            </w:r>
          </w:p>
        </w:tc>
      </w:tr>
    </w:tbl>
    <w:p w14:paraId="66937146" w14:textId="77777777" w:rsidR="00E13976" w:rsidRPr="00C56257" w:rsidRDefault="00E13976" w:rsidP="008E33FD">
      <w:pPr>
        <w:spacing w:after="160" w:line="259" w:lineRule="auto"/>
        <w:jc w:val="both"/>
        <w:rPr>
          <w:bCs/>
          <w:color w:val="000000" w:themeColor="text1"/>
        </w:rPr>
      </w:pPr>
    </w:p>
    <w:p w14:paraId="416D84DD" w14:textId="77777777" w:rsidR="00E13976" w:rsidRPr="00C56257" w:rsidRDefault="00E13976" w:rsidP="008E33FD">
      <w:pPr>
        <w:spacing w:after="160" w:line="259" w:lineRule="auto"/>
        <w:jc w:val="both"/>
        <w:rPr>
          <w:bCs/>
          <w:color w:val="000000" w:themeColor="text1"/>
        </w:rPr>
      </w:pPr>
      <w:r w:rsidRPr="00C56257">
        <w:rPr>
          <w:bCs/>
          <w:color w:val="000000" w:themeColor="text1"/>
        </w:rPr>
        <w:br w:type="page"/>
      </w:r>
    </w:p>
    <w:p w14:paraId="218EE47C" w14:textId="77777777" w:rsidR="00E13976" w:rsidRPr="00C56257" w:rsidRDefault="00E13976" w:rsidP="008E33FD">
      <w:pPr>
        <w:spacing w:after="160" w:line="259" w:lineRule="auto"/>
        <w:jc w:val="both"/>
        <w:rPr>
          <w:bCs/>
          <w:color w:val="000000" w:themeColor="text1"/>
        </w:rPr>
        <w:sectPr w:rsidR="00E13976" w:rsidRPr="00C56257" w:rsidSect="00E1608A">
          <w:pgSz w:w="16840" w:h="11910" w:orient="landscape"/>
          <w:pgMar w:top="1066" w:right="1411" w:bottom="245" w:left="1598" w:header="0" w:footer="1412" w:gutter="0"/>
          <w:cols w:space="708"/>
          <w:docGrid w:linePitch="326"/>
        </w:sectPr>
      </w:pPr>
    </w:p>
    <w:p w14:paraId="01E0267E" w14:textId="77777777" w:rsidR="00E13976" w:rsidRPr="00C54A03" w:rsidRDefault="00FC65BA" w:rsidP="008E33FD">
      <w:pPr>
        <w:spacing w:after="160" w:line="259" w:lineRule="auto"/>
        <w:jc w:val="both"/>
        <w:rPr>
          <w:b/>
          <w:bCs/>
          <w:color w:val="000000" w:themeColor="text1"/>
        </w:rPr>
      </w:pPr>
      <w:r>
        <w:rPr>
          <w:b/>
          <w:bCs/>
          <w:color w:val="000000" w:themeColor="text1"/>
        </w:rPr>
        <w:lastRenderedPageBreak/>
        <w:t>7.2</w:t>
      </w:r>
      <w:r w:rsidRPr="00FC65BA">
        <w:rPr>
          <w:color w:val="365F91"/>
          <w:sz w:val="22"/>
          <w:szCs w:val="22"/>
        </w:rPr>
        <w:t xml:space="preserve"> </w:t>
      </w:r>
      <w:r w:rsidRPr="00C54A03">
        <w:rPr>
          <w:b/>
          <w:bCs/>
          <w:color w:val="000000" w:themeColor="text1"/>
        </w:rPr>
        <w:t>Metodologiile de monitorizare a habitatelor de mlaștini și turbării de interes comunitar</w:t>
      </w:r>
    </w:p>
    <w:p w14:paraId="0F316128" w14:textId="77777777" w:rsidR="0092497B" w:rsidRPr="0092497B" w:rsidRDefault="0092497B" w:rsidP="0092497B">
      <w:pPr>
        <w:spacing w:after="160" w:line="259" w:lineRule="auto"/>
        <w:jc w:val="both"/>
        <w:rPr>
          <w:b/>
          <w:color w:val="000000" w:themeColor="text1"/>
        </w:rPr>
      </w:pPr>
      <w:r w:rsidRPr="0092497B">
        <w:rPr>
          <w:bCs/>
          <w:color w:val="000000" w:themeColor="text1"/>
        </w:rPr>
        <w:t>Metodologia pentru colectarea datelor din teren  și pentru evaluarea stării de conservare sunt descrise la pct 2.2  pentru  grupele de habitate: sărături, dune continentale, apă dulce, pajiști, mlaștini și turbării, grohotișuri și stâncării</w:t>
      </w:r>
      <w:r w:rsidRPr="0092497B">
        <w:rPr>
          <w:b/>
          <w:color w:val="000000" w:themeColor="text1"/>
        </w:rPr>
        <w:t>.</w:t>
      </w:r>
    </w:p>
    <w:p w14:paraId="7468E38B" w14:textId="77777777" w:rsidR="00E870D1" w:rsidRPr="00C56257" w:rsidRDefault="00FC65BA" w:rsidP="008E33FD">
      <w:pPr>
        <w:spacing w:after="160" w:line="259" w:lineRule="auto"/>
        <w:jc w:val="both"/>
        <w:rPr>
          <w:b/>
          <w:bCs/>
          <w:color w:val="000000" w:themeColor="text1"/>
        </w:rPr>
      </w:pPr>
      <w:r>
        <w:rPr>
          <w:b/>
          <w:bCs/>
          <w:color w:val="000000" w:themeColor="text1"/>
        </w:rPr>
        <w:t>7.3</w:t>
      </w:r>
      <w:r w:rsidR="00E870D1" w:rsidRPr="00C56257">
        <w:rPr>
          <w:b/>
          <w:bCs/>
          <w:color w:val="000000" w:themeColor="text1"/>
        </w:rPr>
        <w:t xml:space="preserve"> Lista cu </w:t>
      </w:r>
      <w:r w:rsidR="00862257" w:rsidRPr="00C56257">
        <w:rPr>
          <w:b/>
          <w:bCs/>
          <w:color w:val="000000" w:themeColor="text1"/>
        </w:rPr>
        <w:t>siturile de i</w:t>
      </w:r>
      <w:r w:rsidR="00E870D1" w:rsidRPr="00C56257">
        <w:rPr>
          <w:b/>
          <w:bCs/>
          <w:color w:val="000000" w:themeColor="text1"/>
        </w:rPr>
        <w:t xml:space="preserve">mportanță </w:t>
      </w:r>
      <w:r w:rsidR="00862257" w:rsidRPr="00C56257">
        <w:rPr>
          <w:b/>
          <w:bCs/>
          <w:color w:val="000000" w:themeColor="text1"/>
        </w:rPr>
        <w:t>c</w:t>
      </w:r>
      <w:r w:rsidR="00E870D1" w:rsidRPr="00C56257">
        <w:rPr>
          <w:b/>
          <w:bCs/>
          <w:color w:val="000000" w:themeColor="text1"/>
        </w:rPr>
        <w:t>omunitară pentru habitatele de mlaștini și turbării</w:t>
      </w:r>
    </w:p>
    <w:p w14:paraId="76EE3C2F" w14:textId="77777777" w:rsidR="00C41E07" w:rsidRPr="00C56257" w:rsidRDefault="00C41E07" w:rsidP="008E33FD">
      <w:pPr>
        <w:widowControl w:val="0"/>
        <w:autoSpaceDE w:val="0"/>
        <w:autoSpaceDN w:val="0"/>
        <w:ind w:left="380" w:right="1275"/>
        <w:jc w:val="both"/>
        <w:rPr>
          <w:color w:val="000000" w:themeColor="text1"/>
        </w:rPr>
      </w:pPr>
      <w:r w:rsidRPr="00C56257">
        <w:rPr>
          <w:color w:val="000000" w:themeColor="text1"/>
        </w:rPr>
        <w:t>Lista ariilor naturale țintă în care se propun activități de monitorizare a habitatelor de mlaștini și</w:t>
      </w:r>
      <w:r w:rsidRPr="00C56257">
        <w:rPr>
          <w:color w:val="000000" w:themeColor="text1"/>
          <w:spacing w:val="1"/>
        </w:rPr>
        <w:t xml:space="preserve"> </w:t>
      </w:r>
      <w:r w:rsidRPr="00C56257">
        <w:rPr>
          <w:color w:val="000000" w:themeColor="text1"/>
        </w:rPr>
        <w:t>turbării</w:t>
      </w:r>
      <w:r w:rsidRPr="00C56257">
        <w:rPr>
          <w:color w:val="000000" w:themeColor="text1"/>
          <w:spacing w:val="-2"/>
        </w:rPr>
        <w:t xml:space="preserve"> </w:t>
      </w:r>
      <w:r w:rsidRPr="00C56257">
        <w:rPr>
          <w:color w:val="000000" w:themeColor="text1"/>
        </w:rPr>
        <w:t>este redată</w:t>
      </w:r>
      <w:r w:rsidRPr="00C56257">
        <w:rPr>
          <w:color w:val="000000" w:themeColor="text1"/>
          <w:spacing w:val="-2"/>
        </w:rPr>
        <w:t xml:space="preserve"> </w:t>
      </w:r>
      <w:r w:rsidRPr="00C56257">
        <w:rPr>
          <w:color w:val="000000" w:themeColor="text1"/>
        </w:rPr>
        <w:t>în tabelul</w:t>
      </w:r>
      <w:r w:rsidRPr="00C56257">
        <w:rPr>
          <w:color w:val="000000" w:themeColor="text1"/>
          <w:spacing w:val="1"/>
        </w:rPr>
        <w:t xml:space="preserve"> </w:t>
      </w:r>
      <w:r w:rsidRPr="00C56257">
        <w:rPr>
          <w:color w:val="000000" w:themeColor="text1"/>
        </w:rPr>
        <w:t>de mai</w:t>
      </w:r>
      <w:r w:rsidRPr="00C56257">
        <w:rPr>
          <w:color w:val="000000" w:themeColor="text1"/>
          <w:spacing w:val="-2"/>
        </w:rPr>
        <w:t xml:space="preserve"> </w:t>
      </w:r>
      <w:r w:rsidRPr="00C56257">
        <w:rPr>
          <w:color w:val="000000" w:themeColor="text1"/>
        </w:rPr>
        <w:t>jos.</w:t>
      </w:r>
    </w:p>
    <w:p w14:paraId="2C87DE79" w14:textId="77777777" w:rsidR="00C41E07" w:rsidRPr="00C56257" w:rsidRDefault="00C41E07" w:rsidP="008E33FD">
      <w:pPr>
        <w:widowControl w:val="0"/>
        <w:autoSpaceDE w:val="0"/>
        <w:autoSpaceDN w:val="0"/>
        <w:spacing w:before="8" w:after="1"/>
        <w:jc w:val="both"/>
        <w:rPr>
          <w:color w:val="000000" w:themeColor="text1"/>
        </w:rPr>
      </w:pPr>
    </w:p>
    <w:tbl>
      <w:tblPr>
        <w:tblW w:w="0" w:type="auto"/>
        <w:tblInd w:w="2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62"/>
        <w:gridCol w:w="2136"/>
        <w:gridCol w:w="4117"/>
      </w:tblGrid>
      <w:tr w:rsidR="00E14BA2" w:rsidRPr="00C56257" w14:paraId="56DB741B" w14:textId="77777777" w:rsidTr="00543BAA">
        <w:trPr>
          <w:trHeight w:val="251"/>
        </w:trPr>
        <w:tc>
          <w:tcPr>
            <w:tcW w:w="3262" w:type="dxa"/>
          </w:tcPr>
          <w:p w14:paraId="736E841F" w14:textId="77777777" w:rsidR="00E14BA2" w:rsidRPr="00C56257" w:rsidRDefault="00E14BA2" w:rsidP="00E14BA2">
            <w:pPr>
              <w:widowControl w:val="0"/>
              <w:autoSpaceDE w:val="0"/>
              <w:autoSpaceDN w:val="0"/>
              <w:spacing w:line="232" w:lineRule="exact"/>
              <w:jc w:val="both"/>
              <w:rPr>
                <w:b/>
                <w:color w:val="000000" w:themeColor="text1"/>
              </w:rPr>
            </w:pPr>
            <w:r w:rsidRPr="00C56257">
              <w:rPr>
                <w:b/>
                <w:color w:val="000000" w:themeColor="text1"/>
              </w:rPr>
              <w:t>Tip</w:t>
            </w:r>
            <w:r w:rsidRPr="00C56257">
              <w:rPr>
                <w:b/>
                <w:color w:val="000000" w:themeColor="text1"/>
                <w:spacing w:val="-1"/>
              </w:rPr>
              <w:t xml:space="preserve"> </w:t>
            </w:r>
            <w:r w:rsidRPr="00C56257">
              <w:rPr>
                <w:b/>
                <w:color w:val="000000" w:themeColor="text1"/>
              </w:rPr>
              <w:t>habitat Natura</w:t>
            </w:r>
            <w:r w:rsidRPr="00C56257">
              <w:rPr>
                <w:b/>
                <w:color w:val="000000" w:themeColor="text1"/>
                <w:spacing w:val="-4"/>
              </w:rPr>
              <w:t xml:space="preserve"> </w:t>
            </w:r>
            <w:r w:rsidRPr="00C56257">
              <w:rPr>
                <w:b/>
                <w:color w:val="000000" w:themeColor="text1"/>
              </w:rPr>
              <w:t>2000</w:t>
            </w:r>
          </w:p>
        </w:tc>
        <w:tc>
          <w:tcPr>
            <w:tcW w:w="2136" w:type="dxa"/>
          </w:tcPr>
          <w:p w14:paraId="71CF93FE" w14:textId="77777777" w:rsidR="00E14BA2" w:rsidRPr="00C56257" w:rsidRDefault="00E14BA2" w:rsidP="00E14BA2">
            <w:pPr>
              <w:widowControl w:val="0"/>
              <w:autoSpaceDE w:val="0"/>
              <w:autoSpaceDN w:val="0"/>
              <w:spacing w:line="232" w:lineRule="exact"/>
              <w:ind w:left="633" w:right="630"/>
              <w:jc w:val="both"/>
              <w:rPr>
                <w:b/>
                <w:color w:val="000000" w:themeColor="text1"/>
              </w:rPr>
            </w:pPr>
            <w:r>
              <w:rPr>
                <w:b/>
                <w:color w:val="000000" w:themeColor="text1"/>
              </w:rPr>
              <w:t xml:space="preserve">Cod </w:t>
            </w:r>
            <w:r w:rsidRPr="00C56257">
              <w:rPr>
                <w:b/>
                <w:color w:val="000000" w:themeColor="text1"/>
              </w:rPr>
              <w:t>Sit Natura</w:t>
            </w:r>
            <w:r w:rsidRPr="00C56257">
              <w:rPr>
                <w:b/>
                <w:color w:val="000000" w:themeColor="text1"/>
                <w:spacing w:val="-1"/>
              </w:rPr>
              <w:t xml:space="preserve"> </w:t>
            </w:r>
            <w:r w:rsidRPr="00C56257">
              <w:rPr>
                <w:b/>
                <w:color w:val="000000" w:themeColor="text1"/>
              </w:rPr>
              <w:t>2000</w:t>
            </w:r>
          </w:p>
        </w:tc>
        <w:tc>
          <w:tcPr>
            <w:tcW w:w="4117" w:type="dxa"/>
          </w:tcPr>
          <w:p w14:paraId="436D657E" w14:textId="77777777" w:rsidR="00E14BA2" w:rsidRPr="00C56257" w:rsidRDefault="00E14BA2" w:rsidP="00E14BA2">
            <w:pPr>
              <w:widowControl w:val="0"/>
              <w:autoSpaceDE w:val="0"/>
              <w:autoSpaceDN w:val="0"/>
              <w:spacing w:line="232" w:lineRule="exact"/>
              <w:ind w:right="205"/>
              <w:jc w:val="both"/>
              <w:rPr>
                <w:b/>
                <w:color w:val="000000" w:themeColor="text1"/>
              </w:rPr>
            </w:pPr>
            <w:r>
              <w:rPr>
                <w:b/>
                <w:color w:val="000000" w:themeColor="text1"/>
              </w:rPr>
              <w:t xml:space="preserve">Nume </w:t>
            </w:r>
            <w:r w:rsidRPr="00C56257">
              <w:rPr>
                <w:b/>
                <w:color w:val="000000" w:themeColor="text1"/>
              </w:rPr>
              <w:t>Sit Natura</w:t>
            </w:r>
            <w:r w:rsidRPr="00C56257">
              <w:rPr>
                <w:b/>
                <w:color w:val="000000" w:themeColor="text1"/>
                <w:spacing w:val="-1"/>
              </w:rPr>
              <w:t xml:space="preserve"> </w:t>
            </w:r>
            <w:r w:rsidRPr="00C56257">
              <w:rPr>
                <w:b/>
                <w:color w:val="000000" w:themeColor="text1"/>
              </w:rPr>
              <w:t>2000</w:t>
            </w:r>
          </w:p>
        </w:tc>
      </w:tr>
      <w:tr w:rsidR="00246E14" w:rsidRPr="00C56257" w14:paraId="031F46C7" w14:textId="77777777" w:rsidTr="00543BAA">
        <w:trPr>
          <w:trHeight w:val="253"/>
        </w:trPr>
        <w:tc>
          <w:tcPr>
            <w:tcW w:w="3262" w:type="dxa"/>
            <w:vMerge w:val="restart"/>
          </w:tcPr>
          <w:p w14:paraId="3C0207C6" w14:textId="77777777" w:rsidR="00246E14" w:rsidRPr="00C56257" w:rsidRDefault="00246E14" w:rsidP="00246E14">
            <w:pPr>
              <w:widowControl w:val="0"/>
              <w:autoSpaceDE w:val="0"/>
              <w:autoSpaceDN w:val="0"/>
              <w:spacing w:line="249" w:lineRule="exact"/>
              <w:ind w:left="107"/>
              <w:jc w:val="both"/>
              <w:rPr>
                <w:color w:val="000000" w:themeColor="text1"/>
              </w:rPr>
            </w:pPr>
            <w:r w:rsidRPr="00C56257">
              <w:rPr>
                <w:color w:val="000000" w:themeColor="text1"/>
              </w:rPr>
              <w:t>7110*</w:t>
            </w:r>
            <w:r w:rsidRPr="00C56257">
              <w:rPr>
                <w:color w:val="000000" w:themeColor="text1"/>
                <w:spacing w:val="-5"/>
              </w:rPr>
              <w:t xml:space="preserve"> </w:t>
            </w:r>
            <w:r w:rsidRPr="00C56257">
              <w:rPr>
                <w:color w:val="000000" w:themeColor="text1"/>
              </w:rPr>
              <w:t>Turbării active</w:t>
            </w:r>
          </w:p>
        </w:tc>
        <w:tc>
          <w:tcPr>
            <w:tcW w:w="2136" w:type="dxa"/>
          </w:tcPr>
          <w:p w14:paraId="34F11A36" w14:textId="77777777" w:rsidR="00246E14" w:rsidRPr="00457A51" w:rsidRDefault="00246E14" w:rsidP="00457A51">
            <w:pPr>
              <w:widowControl w:val="0"/>
              <w:autoSpaceDE w:val="0"/>
              <w:autoSpaceDN w:val="0"/>
              <w:spacing w:line="234" w:lineRule="exact"/>
              <w:ind w:left="152" w:right="630"/>
              <w:rPr>
                <w:color w:val="000000" w:themeColor="text1"/>
              </w:rPr>
            </w:pPr>
            <w:r w:rsidRPr="00457A51">
              <w:rPr>
                <w:color w:val="000000"/>
                <w:sz w:val="22"/>
                <w:szCs w:val="22"/>
              </w:rPr>
              <w:t>ROSCI0002</w:t>
            </w:r>
          </w:p>
        </w:tc>
        <w:tc>
          <w:tcPr>
            <w:tcW w:w="4117" w:type="dxa"/>
          </w:tcPr>
          <w:p w14:paraId="208756F2" w14:textId="77777777" w:rsidR="00246E14" w:rsidRPr="00457A51" w:rsidRDefault="00246E14" w:rsidP="00457A51">
            <w:pPr>
              <w:widowControl w:val="0"/>
              <w:autoSpaceDE w:val="0"/>
              <w:autoSpaceDN w:val="0"/>
              <w:spacing w:line="234" w:lineRule="exact"/>
              <w:ind w:left="152" w:right="205"/>
              <w:rPr>
                <w:color w:val="000000" w:themeColor="text1"/>
              </w:rPr>
            </w:pPr>
            <w:r w:rsidRPr="00457A51">
              <w:rPr>
                <w:color w:val="000000"/>
                <w:sz w:val="22"/>
                <w:szCs w:val="22"/>
              </w:rPr>
              <w:t>Apuseni</w:t>
            </w:r>
          </w:p>
        </w:tc>
      </w:tr>
      <w:tr w:rsidR="00246E14" w:rsidRPr="00C56257" w14:paraId="7EFFC73D" w14:textId="77777777" w:rsidTr="00543BAA">
        <w:trPr>
          <w:trHeight w:val="254"/>
        </w:trPr>
        <w:tc>
          <w:tcPr>
            <w:tcW w:w="3262" w:type="dxa"/>
            <w:vMerge/>
            <w:tcBorders>
              <w:top w:val="nil"/>
            </w:tcBorders>
          </w:tcPr>
          <w:p w14:paraId="61EAF0FF" w14:textId="77777777" w:rsidR="00246E14" w:rsidRPr="00C56257" w:rsidRDefault="00246E14" w:rsidP="00246E14">
            <w:pPr>
              <w:widowControl w:val="0"/>
              <w:autoSpaceDE w:val="0"/>
              <w:autoSpaceDN w:val="0"/>
              <w:jc w:val="both"/>
              <w:rPr>
                <w:color w:val="000000" w:themeColor="text1"/>
              </w:rPr>
            </w:pPr>
          </w:p>
        </w:tc>
        <w:tc>
          <w:tcPr>
            <w:tcW w:w="2136" w:type="dxa"/>
          </w:tcPr>
          <w:p w14:paraId="0D2C4307" w14:textId="77777777" w:rsidR="00246E14" w:rsidRPr="00457A51" w:rsidRDefault="00246E14" w:rsidP="00457A51">
            <w:pPr>
              <w:widowControl w:val="0"/>
              <w:autoSpaceDE w:val="0"/>
              <w:autoSpaceDN w:val="0"/>
              <w:spacing w:line="234" w:lineRule="exact"/>
              <w:ind w:left="152" w:right="630"/>
              <w:rPr>
                <w:color w:val="000000" w:themeColor="text1"/>
              </w:rPr>
            </w:pPr>
            <w:r w:rsidRPr="00457A51">
              <w:rPr>
                <w:color w:val="000000"/>
                <w:sz w:val="22"/>
                <w:szCs w:val="22"/>
              </w:rPr>
              <w:t>ROSCI0019</w:t>
            </w:r>
          </w:p>
        </w:tc>
        <w:tc>
          <w:tcPr>
            <w:tcW w:w="4117" w:type="dxa"/>
          </w:tcPr>
          <w:p w14:paraId="76142C98" w14:textId="77777777" w:rsidR="00246E14" w:rsidRPr="00457A51" w:rsidRDefault="00246E14" w:rsidP="00457A51">
            <w:pPr>
              <w:widowControl w:val="0"/>
              <w:autoSpaceDE w:val="0"/>
              <w:autoSpaceDN w:val="0"/>
              <w:spacing w:line="234" w:lineRule="exact"/>
              <w:ind w:left="152" w:right="205"/>
              <w:rPr>
                <w:color w:val="000000" w:themeColor="text1"/>
              </w:rPr>
            </w:pPr>
            <w:r w:rsidRPr="00457A51">
              <w:rPr>
                <w:color w:val="000000"/>
                <w:sz w:val="22"/>
                <w:szCs w:val="22"/>
              </w:rPr>
              <w:t>Călimani - Gurghiu</w:t>
            </w:r>
          </w:p>
        </w:tc>
      </w:tr>
      <w:tr w:rsidR="00246E14" w:rsidRPr="00C56257" w14:paraId="412D3FFC" w14:textId="77777777" w:rsidTr="00543BAA">
        <w:trPr>
          <w:trHeight w:val="251"/>
        </w:trPr>
        <w:tc>
          <w:tcPr>
            <w:tcW w:w="3262" w:type="dxa"/>
            <w:vMerge/>
            <w:tcBorders>
              <w:top w:val="nil"/>
            </w:tcBorders>
          </w:tcPr>
          <w:p w14:paraId="358B7176" w14:textId="77777777" w:rsidR="00246E14" w:rsidRPr="00C56257" w:rsidRDefault="00246E14" w:rsidP="00246E14">
            <w:pPr>
              <w:widowControl w:val="0"/>
              <w:autoSpaceDE w:val="0"/>
              <w:autoSpaceDN w:val="0"/>
              <w:jc w:val="both"/>
              <w:rPr>
                <w:color w:val="000000" w:themeColor="text1"/>
              </w:rPr>
            </w:pPr>
          </w:p>
        </w:tc>
        <w:tc>
          <w:tcPr>
            <w:tcW w:w="2136" w:type="dxa"/>
          </w:tcPr>
          <w:p w14:paraId="418C90E9" w14:textId="77777777" w:rsidR="00246E14" w:rsidRPr="00457A51" w:rsidRDefault="00C85EF5" w:rsidP="00457A51">
            <w:pPr>
              <w:widowControl w:val="0"/>
              <w:autoSpaceDE w:val="0"/>
              <w:autoSpaceDN w:val="0"/>
              <w:spacing w:line="232" w:lineRule="exact"/>
              <w:ind w:left="152" w:right="630"/>
              <w:rPr>
                <w:color w:val="000000" w:themeColor="text1"/>
              </w:rPr>
            </w:pPr>
            <w:r>
              <w:rPr>
                <w:color w:val="000000"/>
                <w:sz w:val="22"/>
                <w:szCs w:val="22"/>
              </w:rPr>
              <w:t>ROSAC</w:t>
            </w:r>
            <w:r w:rsidR="00246E14" w:rsidRPr="00457A51">
              <w:rPr>
                <w:color w:val="000000"/>
                <w:sz w:val="22"/>
                <w:szCs w:val="22"/>
              </w:rPr>
              <w:t>0085</w:t>
            </w:r>
          </w:p>
        </w:tc>
        <w:tc>
          <w:tcPr>
            <w:tcW w:w="4117" w:type="dxa"/>
          </w:tcPr>
          <w:p w14:paraId="48A01AB4" w14:textId="77777777" w:rsidR="00246E14" w:rsidRPr="00457A51" w:rsidRDefault="00246E14" w:rsidP="00457A51">
            <w:pPr>
              <w:widowControl w:val="0"/>
              <w:autoSpaceDE w:val="0"/>
              <w:autoSpaceDN w:val="0"/>
              <w:spacing w:line="232" w:lineRule="exact"/>
              <w:ind w:left="152" w:right="205"/>
              <w:rPr>
                <w:color w:val="000000" w:themeColor="text1"/>
              </w:rPr>
            </w:pPr>
            <w:r w:rsidRPr="00457A51">
              <w:rPr>
                <w:color w:val="000000"/>
                <w:sz w:val="22"/>
                <w:szCs w:val="22"/>
              </w:rPr>
              <w:t>Frumoasa</w:t>
            </w:r>
          </w:p>
        </w:tc>
      </w:tr>
      <w:tr w:rsidR="00246E14" w:rsidRPr="00C56257" w14:paraId="0A0C8CE9" w14:textId="77777777" w:rsidTr="00543BAA">
        <w:trPr>
          <w:trHeight w:val="253"/>
        </w:trPr>
        <w:tc>
          <w:tcPr>
            <w:tcW w:w="3262" w:type="dxa"/>
            <w:vMerge/>
            <w:tcBorders>
              <w:top w:val="nil"/>
            </w:tcBorders>
          </w:tcPr>
          <w:p w14:paraId="7FFC8328" w14:textId="77777777" w:rsidR="00246E14" w:rsidRPr="00C56257" w:rsidRDefault="00246E14" w:rsidP="00246E14">
            <w:pPr>
              <w:widowControl w:val="0"/>
              <w:autoSpaceDE w:val="0"/>
              <w:autoSpaceDN w:val="0"/>
              <w:jc w:val="both"/>
              <w:rPr>
                <w:color w:val="000000" w:themeColor="text1"/>
              </w:rPr>
            </w:pPr>
          </w:p>
        </w:tc>
        <w:tc>
          <w:tcPr>
            <w:tcW w:w="2136" w:type="dxa"/>
          </w:tcPr>
          <w:p w14:paraId="154082DB" w14:textId="77777777" w:rsidR="00246E14" w:rsidRPr="00457A51" w:rsidRDefault="00246E14" w:rsidP="00C85EF5">
            <w:pPr>
              <w:widowControl w:val="0"/>
              <w:autoSpaceDE w:val="0"/>
              <w:autoSpaceDN w:val="0"/>
              <w:spacing w:line="234" w:lineRule="exact"/>
              <w:ind w:left="152" w:right="630"/>
              <w:rPr>
                <w:color w:val="000000" w:themeColor="text1"/>
              </w:rPr>
            </w:pPr>
            <w:r w:rsidRPr="00457A51">
              <w:rPr>
                <w:color w:val="000000"/>
                <w:sz w:val="22"/>
                <w:szCs w:val="22"/>
              </w:rPr>
              <w:t>ROS</w:t>
            </w:r>
            <w:r w:rsidR="00C85EF5">
              <w:rPr>
                <w:color w:val="000000"/>
                <w:sz w:val="22"/>
                <w:szCs w:val="22"/>
              </w:rPr>
              <w:t>AC</w:t>
            </w:r>
            <w:r w:rsidRPr="00457A51">
              <w:rPr>
                <w:color w:val="000000"/>
                <w:sz w:val="22"/>
                <w:szCs w:val="22"/>
              </w:rPr>
              <w:t>0086</w:t>
            </w:r>
          </w:p>
        </w:tc>
        <w:tc>
          <w:tcPr>
            <w:tcW w:w="4117" w:type="dxa"/>
          </w:tcPr>
          <w:p w14:paraId="66E8BFA2" w14:textId="77777777" w:rsidR="00246E14" w:rsidRPr="00457A51" w:rsidRDefault="00246E14" w:rsidP="00457A51">
            <w:pPr>
              <w:widowControl w:val="0"/>
              <w:autoSpaceDE w:val="0"/>
              <w:autoSpaceDN w:val="0"/>
              <w:spacing w:line="234" w:lineRule="exact"/>
              <w:ind w:left="152" w:right="205"/>
              <w:rPr>
                <w:color w:val="000000" w:themeColor="text1"/>
              </w:rPr>
            </w:pPr>
            <w:r w:rsidRPr="00457A51">
              <w:rPr>
                <w:color w:val="000000"/>
                <w:sz w:val="22"/>
                <w:szCs w:val="22"/>
              </w:rPr>
              <w:t>Găina - Lucina</w:t>
            </w:r>
          </w:p>
        </w:tc>
      </w:tr>
      <w:tr w:rsidR="00246E14" w:rsidRPr="00C56257" w14:paraId="736F8396" w14:textId="77777777" w:rsidTr="00543BAA">
        <w:trPr>
          <w:trHeight w:val="251"/>
        </w:trPr>
        <w:tc>
          <w:tcPr>
            <w:tcW w:w="3262" w:type="dxa"/>
            <w:vMerge/>
            <w:tcBorders>
              <w:top w:val="nil"/>
            </w:tcBorders>
          </w:tcPr>
          <w:p w14:paraId="1E867F11" w14:textId="77777777" w:rsidR="00246E14" w:rsidRPr="00C56257" w:rsidRDefault="00246E14" w:rsidP="00246E14">
            <w:pPr>
              <w:widowControl w:val="0"/>
              <w:autoSpaceDE w:val="0"/>
              <w:autoSpaceDN w:val="0"/>
              <w:jc w:val="both"/>
              <w:rPr>
                <w:color w:val="000000" w:themeColor="text1"/>
              </w:rPr>
            </w:pPr>
          </w:p>
        </w:tc>
        <w:tc>
          <w:tcPr>
            <w:tcW w:w="2136" w:type="dxa"/>
          </w:tcPr>
          <w:p w14:paraId="28C58066" w14:textId="77777777" w:rsidR="00246E14" w:rsidRPr="00457A51" w:rsidRDefault="00246E14" w:rsidP="00457A51">
            <w:pPr>
              <w:widowControl w:val="0"/>
              <w:autoSpaceDE w:val="0"/>
              <w:autoSpaceDN w:val="0"/>
              <w:spacing w:line="232" w:lineRule="exact"/>
              <w:ind w:left="152" w:right="630"/>
              <w:rPr>
                <w:color w:val="000000" w:themeColor="text1"/>
              </w:rPr>
            </w:pPr>
            <w:r w:rsidRPr="00457A51">
              <w:rPr>
                <w:color w:val="000000"/>
                <w:sz w:val="22"/>
                <w:szCs w:val="22"/>
              </w:rPr>
              <w:t>ROSCI0089</w:t>
            </w:r>
          </w:p>
        </w:tc>
        <w:tc>
          <w:tcPr>
            <w:tcW w:w="4117" w:type="dxa"/>
          </w:tcPr>
          <w:p w14:paraId="3BDB9EFF" w14:textId="77777777" w:rsidR="00246E14" w:rsidRPr="00457A51" w:rsidRDefault="00246E14" w:rsidP="00457A51">
            <w:pPr>
              <w:widowControl w:val="0"/>
              <w:autoSpaceDE w:val="0"/>
              <w:autoSpaceDN w:val="0"/>
              <w:spacing w:line="232" w:lineRule="exact"/>
              <w:ind w:left="152" w:right="205"/>
              <w:rPr>
                <w:color w:val="000000" w:themeColor="text1"/>
              </w:rPr>
            </w:pPr>
            <w:r w:rsidRPr="00457A51">
              <w:rPr>
                <w:color w:val="000000"/>
                <w:sz w:val="22"/>
                <w:szCs w:val="22"/>
              </w:rPr>
              <w:t>Gutâi - Creasta Cocoșului</w:t>
            </w:r>
          </w:p>
        </w:tc>
      </w:tr>
      <w:tr w:rsidR="00246E14" w:rsidRPr="00C56257" w14:paraId="2978C1C4" w14:textId="77777777" w:rsidTr="00543BAA">
        <w:trPr>
          <w:trHeight w:val="253"/>
        </w:trPr>
        <w:tc>
          <w:tcPr>
            <w:tcW w:w="3262" w:type="dxa"/>
            <w:vMerge/>
            <w:tcBorders>
              <w:top w:val="nil"/>
            </w:tcBorders>
          </w:tcPr>
          <w:p w14:paraId="1818015D" w14:textId="77777777" w:rsidR="00246E14" w:rsidRPr="00C56257" w:rsidRDefault="00246E14" w:rsidP="00246E14">
            <w:pPr>
              <w:widowControl w:val="0"/>
              <w:autoSpaceDE w:val="0"/>
              <w:autoSpaceDN w:val="0"/>
              <w:jc w:val="both"/>
              <w:rPr>
                <w:color w:val="000000" w:themeColor="text1"/>
              </w:rPr>
            </w:pPr>
          </w:p>
        </w:tc>
        <w:tc>
          <w:tcPr>
            <w:tcW w:w="2136" w:type="dxa"/>
          </w:tcPr>
          <w:p w14:paraId="6BF9079A" w14:textId="77777777" w:rsidR="00246E14" w:rsidRPr="00457A51" w:rsidRDefault="00C85EF5" w:rsidP="00457A51">
            <w:pPr>
              <w:widowControl w:val="0"/>
              <w:autoSpaceDE w:val="0"/>
              <w:autoSpaceDN w:val="0"/>
              <w:spacing w:line="234" w:lineRule="exact"/>
              <w:ind w:left="152" w:right="630"/>
              <w:rPr>
                <w:color w:val="000000" w:themeColor="text1"/>
              </w:rPr>
            </w:pPr>
            <w:r>
              <w:rPr>
                <w:color w:val="000000"/>
                <w:sz w:val="22"/>
                <w:szCs w:val="22"/>
              </w:rPr>
              <w:t>ROSAC</w:t>
            </w:r>
            <w:r w:rsidR="00246E14" w:rsidRPr="00457A51">
              <w:rPr>
                <w:color w:val="000000"/>
                <w:sz w:val="22"/>
                <w:szCs w:val="22"/>
              </w:rPr>
              <w:t>0090</w:t>
            </w:r>
          </w:p>
        </w:tc>
        <w:tc>
          <w:tcPr>
            <w:tcW w:w="4117" w:type="dxa"/>
          </w:tcPr>
          <w:p w14:paraId="4BA58F56" w14:textId="77777777" w:rsidR="00246E14" w:rsidRPr="00457A51" w:rsidRDefault="00246E14" w:rsidP="00457A51">
            <w:pPr>
              <w:widowControl w:val="0"/>
              <w:autoSpaceDE w:val="0"/>
              <w:autoSpaceDN w:val="0"/>
              <w:spacing w:line="234" w:lineRule="exact"/>
              <w:ind w:left="152" w:right="205"/>
              <w:rPr>
                <w:color w:val="000000" w:themeColor="text1"/>
              </w:rPr>
            </w:pPr>
            <w:r w:rsidRPr="00457A51">
              <w:rPr>
                <w:color w:val="000000"/>
                <w:sz w:val="22"/>
                <w:szCs w:val="22"/>
              </w:rPr>
              <w:t>Harghita Mădăraș</w:t>
            </w:r>
          </w:p>
        </w:tc>
      </w:tr>
      <w:tr w:rsidR="00246E14" w:rsidRPr="00C56257" w14:paraId="2C1B0DED" w14:textId="77777777" w:rsidTr="00543BAA">
        <w:trPr>
          <w:trHeight w:val="251"/>
        </w:trPr>
        <w:tc>
          <w:tcPr>
            <w:tcW w:w="3262" w:type="dxa"/>
            <w:vMerge/>
            <w:tcBorders>
              <w:top w:val="nil"/>
            </w:tcBorders>
          </w:tcPr>
          <w:p w14:paraId="18AE48C8" w14:textId="77777777" w:rsidR="00246E14" w:rsidRPr="00C56257" w:rsidRDefault="00246E14" w:rsidP="00246E14">
            <w:pPr>
              <w:widowControl w:val="0"/>
              <w:autoSpaceDE w:val="0"/>
              <w:autoSpaceDN w:val="0"/>
              <w:jc w:val="both"/>
              <w:rPr>
                <w:color w:val="000000" w:themeColor="text1"/>
              </w:rPr>
            </w:pPr>
          </w:p>
        </w:tc>
        <w:tc>
          <w:tcPr>
            <w:tcW w:w="2136" w:type="dxa"/>
          </w:tcPr>
          <w:p w14:paraId="712AEC8E" w14:textId="77777777" w:rsidR="00246E14" w:rsidRPr="00457A51" w:rsidRDefault="00246E14" w:rsidP="00457A51">
            <w:pPr>
              <w:widowControl w:val="0"/>
              <w:autoSpaceDE w:val="0"/>
              <w:autoSpaceDN w:val="0"/>
              <w:spacing w:line="232" w:lineRule="exact"/>
              <w:ind w:left="152" w:right="630"/>
              <w:rPr>
                <w:color w:val="000000" w:themeColor="text1"/>
              </w:rPr>
            </w:pPr>
            <w:r w:rsidRPr="00457A51">
              <w:rPr>
                <w:color w:val="000000"/>
                <w:sz w:val="22"/>
                <w:szCs w:val="22"/>
              </w:rPr>
              <w:t>ROSCI0092</w:t>
            </w:r>
          </w:p>
        </w:tc>
        <w:tc>
          <w:tcPr>
            <w:tcW w:w="4117" w:type="dxa"/>
          </w:tcPr>
          <w:p w14:paraId="16C203DE" w14:textId="77777777" w:rsidR="00246E14" w:rsidRPr="00457A51" w:rsidRDefault="00246E14" w:rsidP="00457A51">
            <w:pPr>
              <w:widowControl w:val="0"/>
              <w:autoSpaceDE w:val="0"/>
              <w:autoSpaceDN w:val="0"/>
              <w:spacing w:line="232" w:lineRule="exact"/>
              <w:ind w:left="152" w:right="205"/>
              <w:rPr>
                <w:color w:val="000000" w:themeColor="text1"/>
              </w:rPr>
            </w:pPr>
            <w:r w:rsidRPr="00457A51">
              <w:rPr>
                <w:color w:val="000000"/>
                <w:sz w:val="22"/>
                <w:szCs w:val="22"/>
              </w:rPr>
              <w:t>Igniș</w:t>
            </w:r>
          </w:p>
        </w:tc>
      </w:tr>
      <w:tr w:rsidR="00246E14" w:rsidRPr="00C56257" w14:paraId="0F7411EC" w14:textId="77777777" w:rsidTr="00543BAA">
        <w:trPr>
          <w:trHeight w:val="253"/>
        </w:trPr>
        <w:tc>
          <w:tcPr>
            <w:tcW w:w="3262" w:type="dxa"/>
            <w:vMerge/>
            <w:tcBorders>
              <w:top w:val="nil"/>
            </w:tcBorders>
          </w:tcPr>
          <w:p w14:paraId="24F2125E" w14:textId="77777777" w:rsidR="00246E14" w:rsidRPr="00C56257" w:rsidRDefault="00246E14" w:rsidP="00246E14">
            <w:pPr>
              <w:widowControl w:val="0"/>
              <w:autoSpaceDE w:val="0"/>
              <w:autoSpaceDN w:val="0"/>
              <w:jc w:val="both"/>
              <w:rPr>
                <w:color w:val="000000" w:themeColor="text1"/>
              </w:rPr>
            </w:pPr>
          </w:p>
        </w:tc>
        <w:tc>
          <w:tcPr>
            <w:tcW w:w="2136" w:type="dxa"/>
          </w:tcPr>
          <w:p w14:paraId="75B76EBF" w14:textId="77777777" w:rsidR="00246E14" w:rsidRPr="00457A51" w:rsidRDefault="00C85EF5" w:rsidP="00457A51">
            <w:pPr>
              <w:widowControl w:val="0"/>
              <w:autoSpaceDE w:val="0"/>
              <w:autoSpaceDN w:val="0"/>
              <w:spacing w:line="234" w:lineRule="exact"/>
              <w:ind w:left="152" w:right="630"/>
              <w:rPr>
                <w:color w:val="000000" w:themeColor="text1"/>
              </w:rPr>
            </w:pPr>
            <w:r>
              <w:rPr>
                <w:color w:val="000000"/>
                <w:sz w:val="22"/>
                <w:szCs w:val="22"/>
              </w:rPr>
              <w:t>ROSAC</w:t>
            </w:r>
            <w:r w:rsidR="00246E14" w:rsidRPr="00457A51">
              <w:rPr>
                <w:color w:val="000000"/>
                <w:sz w:val="22"/>
                <w:szCs w:val="22"/>
              </w:rPr>
              <w:t>0096</w:t>
            </w:r>
          </w:p>
        </w:tc>
        <w:tc>
          <w:tcPr>
            <w:tcW w:w="4117" w:type="dxa"/>
          </w:tcPr>
          <w:p w14:paraId="192083FC" w14:textId="77777777" w:rsidR="00246E14" w:rsidRPr="00457A51" w:rsidRDefault="00246E14" w:rsidP="00457A51">
            <w:pPr>
              <w:widowControl w:val="0"/>
              <w:autoSpaceDE w:val="0"/>
              <w:autoSpaceDN w:val="0"/>
              <w:spacing w:line="234" w:lineRule="exact"/>
              <w:ind w:left="152" w:right="205"/>
              <w:rPr>
                <w:color w:val="000000" w:themeColor="text1"/>
              </w:rPr>
            </w:pPr>
            <w:r w:rsidRPr="00457A51">
              <w:rPr>
                <w:color w:val="000000"/>
                <w:sz w:val="22"/>
                <w:szCs w:val="22"/>
              </w:rPr>
              <w:t>Lacul Bâlbâitoarea</w:t>
            </w:r>
          </w:p>
        </w:tc>
      </w:tr>
      <w:tr w:rsidR="00246E14" w:rsidRPr="00C56257" w14:paraId="1C26CAA8" w14:textId="77777777" w:rsidTr="00543BAA">
        <w:trPr>
          <w:trHeight w:val="254"/>
        </w:trPr>
        <w:tc>
          <w:tcPr>
            <w:tcW w:w="3262" w:type="dxa"/>
            <w:vMerge/>
            <w:tcBorders>
              <w:top w:val="nil"/>
            </w:tcBorders>
          </w:tcPr>
          <w:p w14:paraId="72E04720" w14:textId="77777777" w:rsidR="00246E14" w:rsidRPr="00C56257" w:rsidRDefault="00246E14" w:rsidP="00246E14">
            <w:pPr>
              <w:widowControl w:val="0"/>
              <w:autoSpaceDE w:val="0"/>
              <w:autoSpaceDN w:val="0"/>
              <w:jc w:val="both"/>
              <w:rPr>
                <w:color w:val="000000" w:themeColor="text1"/>
              </w:rPr>
            </w:pPr>
          </w:p>
        </w:tc>
        <w:tc>
          <w:tcPr>
            <w:tcW w:w="2136" w:type="dxa"/>
          </w:tcPr>
          <w:p w14:paraId="21157FE7" w14:textId="77777777" w:rsidR="00246E14" w:rsidRPr="00457A51" w:rsidRDefault="00246E14" w:rsidP="00457A51">
            <w:pPr>
              <w:widowControl w:val="0"/>
              <w:autoSpaceDE w:val="0"/>
              <w:autoSpaceDN w:val="0"/>
              <w:spacing w:line="234" w:lineRule="exact"/>
              <w:ind w:left="152" w:right="630"/>
              <w:rPr>
                <w:color w:val="000000" w:themeColor="text1"/>
              </w:rPr>
            </w:pPr>
            <w:r w:rsidRPr="00457A51">
              <w:rPr>
                <w:color w:val="000000"/>
                <w:sz w:val="22"/>
                <w:szCs w:val="22"/>
              </w:rPr>
              <w:t>ROSCI0097</w:t>
            </w:r>
          </w:p>
        </w:tc>
        <w:tc>
          <w:tcPr>
            <w:tcW w:w="4117" w:type="dxa"/>
          </w:tcPr>
          <w:p w14:paraId="50D87C56" w14:textId="77777777" w:rsidR="00246E14" w:rsidRPr="00457A51" w:rsidRDefault="00246E14" w:rsidP="00457A51">
            <w:pPr>
              <w:widowControl w:val="0"/>
              <w:autoSpaceDE w:val="0"/>
              <w:autoSpaceDN w:val="0"/>
              <w:spacing w:line="234" w:lineRule="exact"/>
              <w:ind w:left="152" w:right="203"/>
              <w:rPr>
                <w:color w:val="000000" w:themeColor="text1"/>
              </w:rPr>
            </w:pPr>
            <w:r w:rsidRPr="00457A51">
              <w:rPr>
                <w:color w:val="000000"/>
                <w:sz w:val="22"/>
                <w:szCs w:val="22"/>
              </w:rPr>
              <w:t>Lacul Negru</w:t>
            </w:r>
          </w:p>
        </w:tc>
      </w:tr>
      <w:tr w:rsidR="00246E14" w:rsidRPr="00C56257" w14:paraId="67379697" w14:textId="77777777" w:rsidTr="00543BAA">
        <w:trPr>
          <w:trHeight w:val="251"/>
        </w:trPr>
        <w:tc>
          <w:tcPr>
            <w:tcW w:w="3262" w:type="dxa"/>
            <w:vMerge/>
            <w:tcBorders>
              <w:top w:val="nil"/>
            </w:tcBorders>
          </w:tcPr>
          <w:p w14:paraId="17395996" w14:textId="77777777" w:rsidR="00246E14" w:rsidRPr="00C56257" w:rsidRDefault="00246E14" w:rsidP="00246E14">
            <w:pPr>
              <w:widowControl w:val="0"/>
              <w:autoSpaceDE w:val="0"/>
              <w:autoSpaceDN w:val="0"/>
              <w:jc w:val="both"/>
              <w:rPr>
                <w:color w:val="000000" w:themeColor="text1"/>
              </w:rPr>
            </w:pPr>
          </w:p>
        </w:tc>
        <w:tc>
          <w:tcPr>
            <w:tcW w:w="2136" w:type="dxa"/>
          </w:tcPr>
          <w:p w14:paraId="0E2E9F12" w14:textId="77777777" w:rsidR="00246E14" w:rsidRPr="00457A51" w:rsidRDefault="00246E14" w:rsidP="00457A51">
            <w:pPr>
              <w:widowControl w:val="0"/>
              <w:autoSpaceDE w:val="0"/>
              <w:autoSpaceDN w:val="0"/>
              <w:spacing w:line="232" w:lineRule="exact"/>
              <w:ind w:left="152" w:right="630"/>
              <w:rPr>
                <w:color w:val="000000" w:themeColor="text1"/>
              </w:rPr>
            </w:pPr>
            <w:r w:rsidRPr="00457A51">
              <w:rPr>
                <w:color w:val="000000"/>
                <w:sz w:val="22"/>
                <w:szCs w:val="22"/>
              </w:rPr>
              <w:t>ROSCI0116</w:t>
            </w:r>
          </w:p>
        </w:tc>
        <w:tc>
          <w:tcPr>
            <w:tcW w:w="4117" w:type="dxa"/>
          </w:tcPr>
          <w:p w14:paraId="2D992545" w14:textId="77777777" w:rsidR="00246E14" w:rsidRPr="00457A51" w:rsidRDefault="00246E14" w:rsidP="00457A51">
            <w:pPr>
              <w:widowControl w:val="0"/>
              <w:autoSpaceDE w:val="0"/>
              <w:autoSpaceDN w:val="0"/>
              <w:spacing w:line="232" w:lineRule="exact"/>
              <w:ind w:left="152" w:right="205"/>
              <w:rPr>
                <w:color w:val="000000" w:themeColor="text1"/>
              </w:rPr>
            </w:pPr>
            <w:r w:rsidRPr="00457A51">
              <w:rPr>
                <w:color w:val="000000"/>
                <w:sz w:val="22"/>
                <w:szCs w:val="22"/>
              </w:rPr>
              <w:t>Molhașurile Căpățânei</w:t>
            </w:r>
          </w:p>
        </w:tc>
      </w:tr>
      <w:tr w:rsidR="00246E14" w:rsidRPr="00C56257" w14:paraId="4F04CC63" w14:textId="77777777" w:rsidTr="00543BAA">
        <w:trPr>
          <w:trHeight w:val="254"/>
        </w:trPr>
        <w:tc>
          <w:tcPr>
            <w:tcW w:w="3262" w:type="dxa"/>
            <w:vMerge/>
            <w:tcBorders>
              <w:top w:val="nil"/>
            </w:tcBorders>
          </w:tcPr>
          <w:p w14:paraId="5A99067B" w14:textId="77777777" w:rsidR="00246E14" w:rsidRPr="00C56257" w:rsidRDefault="00246E14" w:rsidP="00246E14">
            <w:pPr>
              <w:widowControl w:val="0"/>
              <w:autoSpaceDE w:val="0"/>
              <w:autoSpaceDN w:val="0"/>
              <w:jc w:val="both"/>
              <w:rPr>
                <w:color w:val="000000" w:themeColor="text1"/>
              </w:rPr>
            </w:pPr>
          </w:p>
        </w:tc>
        <w:tc>
          <w:tcPr>
            <w:tcW w:w="2136" w:type="dxa"/>
          </w:tcPr>
          <w:p w14:paraId="3B9A7E8A" w14:textId="77777777" w:rsidR="00246E14" w:rsidRPr="00457A51" w:rsidRDefault="00C85EF5" w:rsidP="00457A51">
            <w:pPr>
              <w:widowControl w:val="0"/>
              <w:autoSpaceDE w:val="0"/>
              <w:autoSpaceDN w:val="0"/>
              <w:spacing w:line="234" w:lineRule="exact"/>
              <w:ind w:left="152" w:right="630"/>
              <w:rPr>
                <w:color w:val="000000" w:themeColor="text1"/>
              </w:rPr>
            </w:pPr>
            <w:r>
              <w:rPr>
                <w:color w:val="000000"/>
                <w:sz w:val="22"/>
                <w:szCs w:val="22"/>
              </w:rPr>
              <w:t>ROSAC</w:t>
            </w:r>
            <w:r w:rsidR="00246E14" w:rsidRPr="00457A51">
              <w:rPr>
                <w:color w:val="000000"/>
                <w:sz w:val="22"/>
                <w:szCs w:val="22"/>
              </w:rPr>
              <w:t>0119</w:t>
            </w:r>
          </w:p>
        </w:tc>
        <w:tc>
          <w:tcPr>
            <w:tcW w:w="4117" w:type="dxa"/>
          </w:tcPr>
          <w:p w14:paraId="30F55684" w14:textId="77777777" w:rsidR="00246E14" w:rsidRPr="00457A51" w:rsidRDefault="00246E14" w:rsidP="00457A51">
            <w:pPr>
              <w:widowControl w:val="0"/>
              <w:autoSpaceDE w:val="0"/>
              <w:autoSpaceDN w:val="0"/>
              <w:spacing w:line="234" w:lineRule="exact"/>
              <w:ind w:left="152" w:right="205"/>
              <w:rPr>
                <w:color w:val="000000" w:themeColor="text1"/>
              </w:rPr>
            </w:pPr>
            <w:r w:rsidRPr="00457A51">
              <w:rPr>
                <w:color w:val="000000"/>
                <w:sz w:val="22"/>
                <w:szCs w:val="22"/>
              </w:rPr>
              <w:t>Muntele Mare</w:t>
            </w:r>
          </w:p>
        </w:tc>
      </w:tr>
      <w:tr w:rsidR="00246E14" w:rsidRPr="00C56257" w14:paraId="4B7FCBDC" w14:textId="77777777" w:rsidTr="00543BAA">
        <w:trPr>
          <w:trHeight w:val="251"/>
        </w:trPr>
        <w:tc>
          <w:tcPr>
            <w:tcW w:w="3262" w:type="dxa"/>
            <w:vMerge/>
            <w:tcBorders>
              <w:top w:val="nil"/>
            </w:tcBorders>
          </w:tcPr>
          <w:p w14:paraId="0621C1EB" w14:textId="77777777" w:rsidR="00246E14" w:rsidRPr="00C56257" w:rsidRDefault="00246E14" w:rsidP="00246E14">
            <w:pPr>
              <w:widowControl w:val="0"/>
              <w:autoSpaceDE w:val="0"/>
              <w:autoSpaceDN w:val="0"/>
              <w:jc w:val="both"/>
              <w:rPr>
                <w:color w:val="000000" w:themeColor="text1"/>
              </w:rPr>
            </w:pPr>
          </w:p>
        </w:tc>
        <w:tc>
          <w:tcPr>
            <w:tcW w:w="2136" w:type="dxa"/>
          </w:tcPr>
          <w:p w14:paraId="58190094" w14:textId="77777777" w:rsidR="00246E14" w:rsidRPr="00457A51" w:rsidRDefault="00C85EF5" w:rsidP="00457A51">
            <w:pPr>
              <w:widowControl w:val="0"/>
              <w:autoSpaceDE w:val="0"/>
              <w:autoSpaceDN w:val="0"/>
              <w:spacing w:line="232" w:lineRule="exact"/>
              <w:ind w:left="152" w:right="630"/>
              <w:rPr>
                <w:color w:val="000000" w:themeColor="text1"/>
              </w:rPr>
            </w:pPr>
            <w:r>
              <w:rPr>
                <w:color w:val="000000"/>
                <w:sz w:val="22"/>
                <w:szCs w:val="22"/>
              </w:rPr>
              <w:t>ROSAC</w:t>
            </w:r>
            <w:r w:rsidR="00246E14" w:rsidRPr="00457A51">
              <w:rPr>
                <w:color w:val="000000"/>
                <w:sz w:val="22"/>
                <w:szCs w:val="22"/>
              </w:rPr>
              <w:t>0124</w:t>
            </w:r>
          </w:p>
        </w:tc>
        <w:tc>
          <w:tcPr>
            <w:tcW w:w="4117" w:type="dxa"/>
          </w:tcPr>
          <w:p w14:paraId="52380E0C" w14:textId="77777777" w:rsidR="00246E14" w:rsidRPr="00457A51" w:rsidRDefault="00246E14" w:rsidP="00457A51">
            <w:pPr>
              <w:widowControl w:val="0"/>
              <w:autoSpaceDE w:val="0"/>
              <w:autoSpaceDN w:val="0"/>
              <w:spacing w:line="232" w:lineRule="exact"/>
              <w:ind w:left="152" w:right="205"/>
              <w:rPr>
                <w:color w:val="000000" w:themeColor="text1"/>
              </w:rPr>
            </w:pPr>
            <w:r w:rsidRPr="00457A51">
              <w:rPr>
                <w:color w:val="000000"/>
                <w:sz w:val="22"/>
                <w:szCs w:val="22"/>
              </w:rPr>
              <w:t>Munții Maramureșului</w:t>
            </w:r>
          </w:p>
        </w:tc>
      </w:tr>
      <w:tr w:rsidR="00246E14" w:rsidRPr="00C56257" w14:paraId="798558EA" w14:textId="77777777" w:rsidTr="00543BAA">
        <w:trPr>
          <w:trHeight w:val="251"/>
        </w:trPr>
        <w:tc>
          <w:tcPr>
            <w:tcW w:w="3262" w:type="dxa"/>
            <w:vMerge/>
            <w:tcBorders>
              <w:top w:val="nil"/>
            </w:tcBorders>
          </w:tcPr>
          <w:p w14:paraId="00BC872D" w14:textId="77777777" w:rsidR="00246E14" w:rsidRPr="00C56257" w:rsidRDefault="00246E14" w:rsidP="00246E14">
            <w:pPr>
              <w:widowControl w:val="0"/>
              <w:autoSpaceDE w:val="0"/>
              <w:autoSpaceDN w:val="0"/>
              <w:jc w:val="both"/>
              <w:rPr>
                <w:color w:val="000000" w:themeColor="text1"/>
              </w:rPr>
            </w:pPr>
          </w:p>
        </w:tc>
        <w:tc>
          <w:tcPr>
            <w:tcW w:w="2136" w:type="dxa"/>
          </w:tcPr>
          <w:p w14:paraId="5B9A6B10" w14:textId="77777777" w:rsidR="00246E14" w:rsidRPr="00457A51" w:rsidRDefault="00246E14" w:rsidP="00457A51">
            <w:pPr>
              <w:widowControl w:val="0"/>
              <w:autoSpaceDE w:val="0"/>
              <w:autoSpaceDN w:val="0"/>
              <w:spacing w:line="232" w:lineRule="exact"/>
              <w:ind w:left="152"/>
              <w:rPr>
                <w:color w:val="000000" w:themeColor="text1"/>
              </w:rPr>
            </w:pPr>
            <w:r w:rsidRPr="00457A51">
              <w:rPr>
                <w:color w:val="000000"/>
                <w:sz w:val="22"/>
                <w:szCs w:val="22"/>
              </w:rPr>
              <w:t>ROSCI0125</w:t>
            </w:r>
          </w:p>
        </w:tc>
        <w:tc>
          <w:tcPr>
            <w:tcW w:w="4117" w:type="dxa"/>
          </w:tcPr>
          <w:p w14:paraId="4E0A3AFA" w14:textId="77777777" w:rsidR="00246E14" w:rsidRPr="00457A51" w:rsidRDefault="00246E14" w:rsidP="00457A51">
            <w:pPr>
              <w:widowControl w:val="0"/>
              <w:autoSpaceDE w:val="0"/>
              <w:autoSpaceDN w:val="0"/>
              <w:spacing w:line="232" w:lineRule="exact"/>
              <w:ind w:left="152" w:right="205"/>
              <w:rPr>
                <w:color w:val="000000" w:themeColor="text1"/>
              </w:rPr>
            </w:pPr>
            <w:r w:rsidRPr="00457A51">
              <w:rPr>
                <w:color w:val="000000"/>
                <w:sz w:val="22"/>
                <w:szCs w:val="22"/>
              </w:rPr>
              <w:t>Munții Rodnei</w:t>
            </w:r>
          </w:p>
        </w:tc>
      </w:tr>
      <w:tr w:rsidR="00246E14" w:rsidRPr="00C56257" w14:paraId="24DE7BB4" w14:textId="77777777" w:rsidTr="00543BAA">
        <w:trPr>
          <w:trHeight w:val="253"/>
        </w:trPr>
        <w:tc>
          <w:tcPr>
            <w:tcW w:w="3262" w:type="dxa"/>
            <w:vMerge/>
            <w:tcBorders>
              <w:top w:val="nil"/>
            </w:tcBorders>
          </w:tcPr>
          <w:p w14:paraId="0BB10FE2" w14:textId="77777777" w:rsidR="00246E14" w:rsidRPr="00C56257" w:rsidRDefault="00246E14" w:rsidP="00246E14">
            <w:pPr>
              <w:widowControl w:val="0"/>
              <w:autoSpaceDE w:val="0"/>
              <w:autoSpaceDN w:val="0"/>
              <w:jc w:val="both"/>
              <w:rPr>
                <w:color w:val="000000" w:themeColor="text1"/>
              </w:rPr>
            </w:pPr>
          </w:p>
        </w:tc>
        <w:tc>
          <w:tcPr>
            <w:tcW w:w="2136" w:type="dxa"/>
          </w:tcPr>
          <w:p w14:paraId="22BB02C8" w14:textId="77777777" w:rsidR="00246E14" w:rsidRPr="00457A51" w:rsidRDefault="00246E14" w:rsidP="00457A51">
            <w:pPr>
              <w:widowControl w:val="0"/>
              <w:autoSpaceDE w:val="0"/>
              <w:autoSpaceDN w:val="0"/>
              <w:spacing w:line="234" w:lineRule="exact"/>
              <w:ind w:left="152"/>
              <w:rPr>
                <w:color w:val="000000" w:themeColor="text1"/>
              </w:rPr>
            </w:pPr>
            <w:r w:rsidRPr="00457A51">
              <w:rPr>
                <w:color w:val="000000"/>
                <w:sz w:val="22"/>
                <w:szCs w:val="22"/>
              </w:rPr>
              <w:t>ROSCI0226</w:t>
            </w:r>
          </w:p>
        </w:tc>
        <w:tc>
          <w:tcPr>
            <w:tcW w:w="4117" w:type="dxa"/>
          </w:tcPr>
          <w:p w14:paraId="7B66768A" w14:textId="77777777" w:rsidR="00246E14" w:rsidRPr="00457A51" w:rsidRDefault="00246E14" w:rsidP="00457A51">
            <w:pPr>
              <w:widowControl w:val="0"/>
              <w:autoSpaceDE w:val="0"/>
              <w:autoSpaceDN w:val="0"/>
              <w:spacing w:line="234" w:lineRule="exact"/>
              <w:ind w:left="152" w:right="205"/>
              <w:rPr>
                <w:color w:val="000000" w:themeColor="text1"/>
              </w:rPr>
            </w:pPr>
            <w:r w:rsidRPr="00457A51">
              <w:rPr>
                <w:color w:val="000000"/>
                <w:sz w:val="22"/>
                <w:szCs w:val="22"/>
              </w:rPr>
              <w:t>Semenic - Cheile Carașului</w:t>
            </w:r>
          </w:p>
        </w:tc>
      </w:tr>
      <w:tr w:rsidR="00246E14" w:rsidRPr="00C56257" w14:paraId="4E0D0732" w14:textId="77777777" w:rsidTr="00543BAA">
        <w:trPr>
          <w:trHeight w:val="251"/>
        </w:trPr>
        <w:tc>
          <w:tcPr>
            <w:tcW w:w="3262" w:type="dxa"/>
            <w:vMerge/>
            <w:tcBorders>
              <w:top w:val="nil"/>
            </w:tcBorders>
          </w:tcPr>
          <w:p w14:paraId="063C6DB4" w14:textId="77777777" w:rsidR="00246E14" w:rsidRPr="00C56257" w:rsidRDefault="00246E14" w:rsidP="00246E14">
            <w:pPr>
              <w:widowControl w:val="0"/>
              <w:autoSpaceDE w:val="0"/>
              <w:autoSpaceDN w:val="0"/>
              <w:jc w:val="both"/>
              <w:rPr>
                <w:color w:val="000000" w:themeColor="text1"/>
              </w:rPr>
            </w:pPr>
          </w:p>
        </w:tc>
        <w:tc>
          <w:tcPr>
            <w:tcW w:w="2136" w:type="dxa"/>
          </w:tcPr>
          <w:p w14:paraId="5749468A" w14:textId="77777777" w:rsidR="00246E14" w:rsidRPr="00457A51" w:rsidRDefault="00C85EF5" w:rsidP="00C85EF5">
            <w:pPr>
              <w:widowControl w:val="0"/>
              <w:autoSpaceDE w:val="0"/>
              <w:autoSpaceDN w:val="0"/>
              <w:spacing w:line="232" w:lineRule="exact"/>
              <w:ind w:left="152"/>
              <w:rPr>
                <w:color w:val="000000" w:themeColor="text1"/>
              </w:rPr>
            </w:pPr>
            <w:r>
              <w:rPr>
                <w:color w:val="000000"/>
                <w:sz w:val="22"/>
                <w:szCs w:val="22"/>
              </w:rPr>
              <w:t>ROSAC</w:t>
            </w:r>
            <w:r w:rsidR="00246E14" w:rsidRPr="00457A51">
              <w:rPr>
                <w:color w:val="000000"/>
                <w:sz w:val="22"/>
                <w:szCs w:val="22"/>
              </w:rPr>
              <w:t>0229</w:t>
            </w:r>
          </w:p>
        </w:tc>
        <w:tc>
          <w:tcPr>
            <w:tcW w:w="4117" w:type="dxa"/>
          </w:tcPr>
          <w:p w14:paraId="31240628" w14:textId="77777777" w:rsidR="00246E14" w:rsidRPr="00457A51" w:rsidRDefault="00246E14" w:rsidP="00457A51">
            <w:pPr>
              <w:widowControl w:val="0"/>
              <w:autoSpaceDE w:val="0"/>
              <w:autoSpaceDN w:val="0"/>
              <w:spacing w:line="232" w:lineRule="exact"/>
              <w:ind w:left="152" w:right="205"/>
              <w:rPr>
                <w:color w:val="000000" w:themeColor="text1"/>
              </w:rPr>
            </w:pPr>
            <w:r w:rsidRPr="00457A51">
              <w:rPr>
                <w:color w:val="000000"/>
                <w:sz w:val="22"/>
                <w:szCs w:val="22"/>
              </w:rPr>
              <w:t>Siriu</w:t>
            </w:r>
          </w:p>
        </w:tc>
      </w:tr>
      <w:tr w:rsidR="00246E14" w:rsidRPr="00C56257" w14:paraId="42CFFC51" w14:textId="77777777" w:rsidTr="00543BAA">
        <w:trPr>
          <w:trHeight w:val="253"/>
        </w:trPr>
        <w:tc>
          <w:tcPr>
            <w:tcW w:w="3262" w:type="dxa"/>
            <w:vMerge/>
            <w:tcBorders>
              <w:top w:val="nil"/>
            </w:tcBorders>
          </w:tcPr>
          <w:p w14:paraId="64D9DAC2" w14:textId="77777777" w:rsidR="00246E14" w:rsidRPr="00C56257" w:rsidRDefault="00246E14" w:rsidP="00246E14">
            <w:pPr>
              <w:widowControl w:val="0"/>
              <w:autoSpaceDE w:val="0"/>
              <w:autoSpaceDN w:val="0"/>
              <w:jc w:val="both"/>
              <w:rPr>
                <w:color w:val="000000" w:themeColor="text1"/>
              </w:rPr>
            </w:pPr>
          </w:p>
        </w:tc>
        <w:tc>
          <w:tcPr>
            <w:tcW w:w="2136" w:type="dxa"/>
          </w:tcPr>
          <w:p w14:paraId="14AA3D44" w14:textId="77777777" w:rsidR="00246E14" w:rsidRPr="00457A51" w:rsidRDefault="00C85EF5" w:rsidP="00457A51">
            <w:pPr>
              <w:widowControl w:val="0"/>
              <w:autoSpaceDE w:val="0"/>
              <w:autoSpaceDN w:val="0"/>
              <w:spacing w:line="234" w:lineRule="exact"/>
              <w:ind w:left="152"/>
              <w:rPr>
                <w:color w:val="000000" w:themeColor="text1"/>
              </w:rPr>
            </w:pPr>
            <w:r>
              <w:rPr>
                <w:color w:val="000000"/>
                <w:sz w:val="22"/>
                <w:szCs w:val="22"/>
              </w:rPr>
              <w:t>ROSAC</w:t>
            </w:r>
            <w:r w:rsidR="00246E14" w:rsidRPr="00457A51">
              <w:rPr>
                <w:color w:val="000000"/>
                <w:sz w:val="22"/>
                <w:szCs w:val="22"/>
              </w:rPr>
              <w:t>0233</w:t>
            </w:r>
          </w:p>
        </w:tc>
        <w:tc>
          <w:tcPr>
            <w:tcW w:w="4117" w:type="dxa"/>
          </w:tcPr>
          <w:p w14:paraId="61FD05AF" w14:textId="77777777" w:rsidR="00246E14" w:rsidRPr="00457A51" w:rsidRDefault="00246E14" w:rsidP="00457A51">
            <w:pPr>
              <w:widowControl w:val="0"/>
              <w:autoSpaceDE w:val="0"/>
              <w:autoSpaceDN w:val="0"/>
              <w:spacing w:line="234" w:lineRule="exact"/>
              <w:ind w:left="152" w:right="205"/>
              <w:rPr>
                <w:color w:val="000000" w:themeColor="text1"/>
              </w:rPr>
            </w:pPr>
            <w:r w:rsidRPr="00457A51">
              <w:rPr>
                <w:color w:val="000000"/>
                <w:sz w:val="22"/>
                <w:szCs w:val="22"/>
              </w:rPr>
              <w:t>Someșul Rece</w:t>
            </w:r>
          </w:p>
        </w:tc>
      </w:tr>
      <w:tr w:rsidR="00246E14" w:rsidRPr="00C56257" w14:paraId="45A0CDF2" w14:textId="77777777" w:rsidTr="00543BAA">
        <w:trPr>
          <w:trHeight w:val="251"/>
        </w:trPr>
        <w:tc>
          <w:tcPr>
            <w:tcW w:w="3262" w:type="dxa"/>
            <w:vMerge/>
            <w:tcBorders>
              <w:top w:val="nil"/>
            </w:tcBorders>
          </w:tcPr>
          <w:p w14:paraId="400F7EED" w14:textId="77777777" w:rsidR="00246E14" w:rsidRPr="00C56257" w:rsidRDefault="00246E14" w:rsidP="00246E14">
            <w:pPr>
              <w:widowControl w:val="0"/>
              <w:autoSpaceDE w:val="0"/>
              <w:autoSpaceDN w:val="0"/>
              <w:jc w:val="both"/>
              <w:rPr>
                <w:color w:val="000000" w:themeColor="text1"/>
              </w:rPr>
            </w:pPr>
          </w:p>
        </w:tc>
        <w:tc>
          <w:tcPr>
            <w:tcW w:w="2136" w:type="dxa"/>
          </w:tcPr>
          <w:p w14:paraId="2D851939" w14:textId="77777777" w:rsidR="00246E14" w:rsidRPr="00457A51" w:rsidRDefault="00246E14" w:rsidP="00457A51">
            <w:pPr>
              <w:widowControl w:val="0"/>
              <w:autoSpaceDE w:val="0"/>
              <w:autoSpaceDN w:val="0"/>
              <w:spacing w:line="232" w:lineRule="exact"/>
              <w:ind w:left="152"/>
              <w:rPr>
                <w:color w:val="000000" w:themeColor="text1"/>
              </w:rPr>
            </w:pPr>
            <w:r w:rsidRPr="00457A51">
              <w:rPr>
                <w:color w:val="000000"/>
                <w:sz w:val="22"/>
                <w:szCs w:val="22"/>
              </w:rPr>
              <w:t>ROSCI0242</w:t>
            </w:r>
          </w:p>
        </w:tc>
        <w:tc>
          <w:tcPr>
            <w:tcW w:w="4117" w:type="dxa"/>
          </w:tcPr>
          <w:p w14:paraId="6625725A" w14:textId="77777777" w:rsidR="00246E14" w:rsidRPr="00457A51" w:rsidRDefault="00246E14" w:rsidP="00457A51">
            <w:pPr>
              <w:widowControl w:val="0"/>
              <w:autoSpaceDE w:val="0"/>
              <w:autoSpaceDN w:val="0"/>
              <w:spacing w:line="232" w:lineRule="exact"/>
              <w:ind w:left="152" w:right="205"/>
              <w:rPr>
                <w:color w:val="000000" w:themeColor="text1"/>
              </w:rPr>
            </w:pPr>
            <w:r w:rsidRPr="00457A51">
              <w:rPr>
                <w:color w:val="000000"/>
                <w:sz w:val="22"/>
                <w:szCs w:val="22"/>
              </w:rPr>
              <w:t>Tinovul Apa Roșie</w:t>
            </w:r>
          </w:p>
        </w:tc>
      </w:tr>
      <w:tr w:rsidR="00246E14" w:rsidRPr="00C56257" w14:paraId="761F3498" w14:textId="77777777" w:rsidTr="00543BAA">
        <w:trPr>
          <w:trHeight w:val="253"/>
        </w:trPr>
        <w:tc>
          <w:tcPr>
            <w:tcW w:w="3262" w:type="dxa"/>
            <w:vMerge/>
            <w:tcBorders>
              <w:top w:val="nil"/>
            </w:tcBorders>
          </w:tcPr>
          <w:p w14:paraId="4509A24B" w14:textId="77777777" w:rsidR="00246E14" w:rsidRPr="00C56257" w:rsidRDefault="00246E14" w:rsidP="00246E14">
            <w:pPr>
              <w:widowControl w:val="0"/>
              <w:autoSpaceDE w:val="0"/>
              <w:autoSpaceDN w:val="0"/>
              <w:jc w:val="both"/>
              <w:rPr>
                <w:color w:val="000000" w:themeColor="text1"/>
              </w:rPr>
            </w:pPr>
          </w:p>
        </w:tc>
        <w:tc>
          <w:tcPr>
            <w:tcW w:w="2136" w:type="dxa"/>
          </w:tcPr>
          <w:p w14:paraId="1DA3E7DF" w14:textId="77777777" w:rsidR="00246E14" w:rsidRPr="00BC7116" w:rsidRDefault="00C85EF5" w:rsidP="00BC7116">
            <w:pPr>
              <w:widowControl w:val="0"/>
              <w:autoSpaceDE w:val="0"/>
              <w:autoSpaceDN w:val="0"/>
              <w:spacing w:line="234" w:lineRule="exact"/>
              <w:ind w:left="152"/>
              <w:rPr>
                <w:color w:val="000000" w:themeColor="text1"/>
              </w:rPr>
            </w:pPr>
            <w:r>
              <w:rPr>
                <w:color w:val="000000"/>
                <w:sz w:val="22"/>
                <w:szCs w:val="22"/>
              </w:rPr>
              <w:t>ROSAC</w:t>
            </w:r>
            <w:r w:rsidR="00246E14" w:rsidRPr="00BC7116">
              <w:rPr>
                <w:color w:val="000000"/>
                <w:sz w:val="22"/>
                <w:szCs w:val="22"/>
              </w:rPr>
              <w:t>0245</w:t>
            </w:r>
          </w:p>
        </w:tc>
        <w:tc>
          <w:tcPr>
            <w:tcW w:w="4117" w:type="dxa"/>
          </w:tcPr>
          <w:p w14:paraId="34031A92" w14:textId="77777777" w:rsidR="00246E14" w:rsidRPr="00BC7116" w:rsidRDefault="00246E14" w:rsidP="00BC7116">
            <w:pPr>
              <w:widowControl w:val="0"/>
              <w:autoSpaceDE w:val="0"/>
              <w:autoSpaceDN w:val="0"/>
              <w:spacing w:line="234" w:lineRule="exact"/>
              <w:ind w:left="152" w:right="205"/>
              <w:rPr>
                <w:color w:val="000000" w:themeColor="text1"/>
              </w:rPr>
            </w:pPr>
            <w:r w:rsidRPr="00BC7116">
              <w:rPr>
                <w:color w:val="000000"/>
                <w:sz w:val="22"/>
                <w:szCs w:val="22"/>
              </w:rPr>
              <w:t>Tinovul de la Românești</w:t>
            </w:r>
          </w:p>
        </w:tc>
      </w:tr>
      <w:tr w:rsidR="00246E14" w:rsidRPr="00C56257" w14:paraId="58738A49" w14:textId="77777777" w:rsidTr="00543BAA">
        <w:trPr>
          <w:trHeight w:val="254"/>
        </w:trPr>
        <w:tc>
          <w:tcPr>
            <w:tcW w:w="3262" w:type="dxa"/>
            <w:vMerge/>
            <w:tcBorders>
              <w:top w:val="nil"/>
            </w:tcBorders>
          </w:tcPr>
          <w:p w14:paraId="26319817" w14:textId="77777777" w:rsidR="00246E14" w:rsidRPr="00C56257" w:rsidRDefault="00246E14" w:rsidP="00246E14">
            <w:pPr>
              <w:widowControl w:val="0"/>
              <w:autoSpaceDE w:val="0"/>
              <w:autoSpaceDN w:val="0"/>
              <w:jc w:val="both"/>
              <w:rPr>
                <w:color w:val="000000" w:themeColor="text1"/>
              </w:rPr>
            </w:pPr>
          </w:p>
        </w:tc>
        <w:tc>
          <w:tcPr>
            <w:tcW w:w="2136" w:type="dxa"/>
          </w:tcPr>
          <w:p w14:paraId="57A48159" w14:textId="77777777" w:rsidR="00246E14" w:rsidRPr="00BC7116" w:rsidRDefault="00C85EF5" w:rsidP="00BC7116">
            <w:pPr>
              <w:widowControl w:val="0"/>
              <w:autoSpaceDE w:val="0"/>
              <w:autoSpaceDN w:val="0"/>
              <w:spacing w:line="234" w:lineRule="exact"/>
              <w:ind w:left="152"/>
              <w:rPr>
                <w:color w:val="000000" w:themeColor="text1"/>
              </w:rPr>
            </w:pPr>
            <w:r>
              <w:rPr>
                <w:color w:val="000000"/>
                <w:sz w:val="22"/>
                <w:szCs w:val="22"/>
              </w:rPr>
              <w:t>ROSAC</w:t>
            </w:r>
            <w:r w:rsidR="00246E14" w:rsidRPr="00BC7116">
              <w:rPr>
                <w:color w:val="000000"/>
                <w:sz w:val="22"/>
                <w:szCs w:val="22"/>
              </w:rPr>
              <w:t>0247</w:t>
            </w:r>
          </w:p>
        </w:tc>
        <w:tc>
          <w:tcPr>
            <w:tcW w:w="4117" w:type="dxa"/>
          </w:tcPr>
          <w:p w14:paraId="5D0308C0" w14:textId="77777777" w:rsidR="00246E14" w:rsidRPr="00BC7116" w:rsidRDefault="00246E14" w:rsidP="00BC7116">
            <w:pPr>
              <w:widowControl w:val="0"/>
              <w:autoSpaceDE w:val="0"/>
              <w:autoSpaceDN w:val="0"/>
              <w:spacing w:line="234" w:lineRule="exact"/>
              <w:ind w:left="152" w:right="205"/>
              <w:rPr>
                <w:color w:val="000000" w:themeColor="text1"/>
              </w:rPr>
            </w:pPr>
            <w:r w:rsidRPr="00BC7116">
              <w:rPr>
                <w:color w:val="000000"/>
                <w:sz w:val="22"/>
                <w:szCs w:val="22"/>
              </w:rPr>
              <w:t>Tinovul Mare Poiana Stampei</w:t>
            </w:r>
          </w:p>
        </w:tc>
      </w:tr>
      <w:tr w:rsidR="00246E14" w:rsidRPr="00C56257" w14:paraId="27320B43" w14:textId="77777777" w:rsidTr="00543BAA">
        <w:trPr>
          <w:trHeight w:val="251"/>
        </w:trPr>
        <w:tc>
          <w:tcPr>
            <w:tcW w:w="3262" w:type="dxa"/>
            <w:vMerge/>
            <w:tcBorders>
              <w:top w:val="nil"/>
            </w:tcBorders>
          </w:tcPr>
          <w:p w14:paraId="638CF8DF" w14:textId="77777777" w:rsidR="00246E14" w:rsidRPr="00C56257" w:rsidRDefault="00246E14" w:rsidP="00246E14">
            <w:pPr>
              <w:widowControl w:val="0"/>
              <w:autoSpaceDE w:val="0"/>
              <w:autoSpaceDN w:val="0"/>
              <w:jc w:val="both"/>
              <w:rPr>
                <w:color w:val="000000" w:themeColor="text1"/>
              </w:rPr>
            </w:pPr>
          </w:p>
        </w:tc>
        <w:tc>
          <w:tcPr>
            <w:tcW w:w="2136" w:type="dxa"/>
          </w:tcPr>
          <w:p w14:paraId="3234617F" w14:textId="77777777" w:rsidR="00246E14" w:rsidRPr="00BC7116" w:rsidRDefault="00C85EF5" w:rsidP="00C85EF5">
            <w:pPr>
              <w:widowControl w:val="0"/>
              <w:autoSpaceDE w:val="0"/>
              <w:autoSpaceDN w:val="0"/>
              <w:spacing w:line="232" w:lineRule="exact"/>
              <w:ind w:left="152"/>
              <w:rPr>
                <w:color w:val="000000" w:themeColor="text1"/>
              </w:rPr>
            </w:pPr>
            <w:r>
              <w:rPr>
                <w:color w:val="000000"/>
                <w:sz w:val="22"/>
                <w:szCs w:val="22"/>
              </w:rPr>
              <w:t>ROSAC</w:t>
            </w:r>
            <w:r w:rsidR="00246E14" w:rsidRPr="00BC7116">
              <w:rPr>
                <w:color w:val="000000"/>
                <w:sz w:val="22"/>
                <w:szCs w:val="22"/>
              </w:rPr>
              <w:t>0248</w:t>
            </w:r>
          </w:p>
        </w:tc>
        <w:tc>
          <w:tcPr>
            <w:tcW w:w="4117" w:type="dxa"/>
          </w:tcPr>
          <w:p w14:paraId="1E8D20DA" w14:textId="77777777" w:rsidR="00246E14" w:rsidRPr="00BC7116" w:rsidRDefault="00246E14" w:rsidP="00BC7116">
            <w:pPr>
              <w:widowControl w:val="0"/>
              <w:autoSpaceDE w:val="0"/>
              <w:autoSpaceDN w:val="0"/>
              <w:spacing w:line="232" w:lineRule="exact"/>
              <w:ind w:left="152" w:right="205"/>
              <w:rPr>
                <w:color w:val="000000" w:themeColor="text1"/>
              </w:rPr>
            </w:pPr>
            <w:r w:rsidRPr="00BC7116">
              <w:rPr>
                <w:color w:val="000000"/>
                <w:sz w:val="22"/>
                <w:szCs w:val="22"/>
              </w:rPr>
              <w:t>Tinovul Mohoș - Lacul Sf. Ana</w:t>
            </w:r>
          </w:p>
        </w:tc>
      </w:tr>
      <w:tr w:rsidR="00246E14" w:rsidRPr="00C56257" w14:paraId="62A9C31C" w14:textId="77777777" w:rsidTr="00543BAA">
        <w:trPr>
          <w:trHeight w:val="251"/>
        </w:trPr>
        <w:tc>
          <w:tcPr>
            <w:tcW w:w="3262" w:type="dxa"/>
            <w:vMerge/>
            <w:tcBorders>
              <w:top w:val="nil"/>
            </w:tcBorders>
          </w:tcPr>
          <w:p w14:paraId="45E6C86E" w14:textId="77777777" w:rsidR="00246E14" w:rsidRPr="00C56257" w:rsidRDefault="00246E14" w:rsidP="00246E14">
            <w:pPr>
              <w:widowControl w:val="0"/>
              <w:autoSpaceDE w:val="0"/>
              <w:autoSpaceDN w:val="0"/>
              <w:jc w:val="both"/>
              <w:rPr>
                <w:color w:val="000000" w:themeColor="text1"/>
              </w:rPr>
            </w:pPr>
          </w:p>
        </w:tc>
        <w:tc>
          <w:tcPr>
            <w:tcW w:w="2136" w:type="dxa"/>
          </w:tcPr>
          <w:p w14:paraId="41A3FB8D" w14:textId="77777777" w:rsidR="00246E14" w:rsidRPr="00BC7116" w:rsidRDefault="00C85EF5" w:rsidP="00BC7116">
            <w:pPr>
              <w:widowControl w:val="0"/>
              <w:autoSpaceDE w:val="0"/>
              <w:autoSpaceDN w:val="0"/>
              <w:spacing w:line="232" w:lineRule="exact"/>
              <w:ind w:left="152"/>
              <w:rPr>
                <w:color w:val="000000"/>
                <w:sz w:val="22"/>
                <w:szCs w:val="22"/>
              </w:rPr>
            </w:pPr>
            <w:r>
              <w:rPr>
                <w:color w:val="000000"/>
                <w:sz w:val="22"/>
                <w:szCs w:val="22"/>
              </w:rPr>
              <w:t>ROSAC</w:t>
            </w:r>
            <w:r w:rsidR="00246E14" w:rsidRPr="00BC7116">
              <w:rPr>
                <w:color w:val="000000"/>
                <w:sz w:val="22"/>
                <w:szCs w:val="22"/>
              </w:rPr>
              <w:t>0249</w:t>
            </w:r>
          </w:p>
        </w:tc>
        <w:tc>
          <w:tcPr>
            <w:tcW w:w="4117" w:type="dxa"/>
          </w:tcPr>
          <w:p w14:paraId="4AF63706" w14:textId="77777777" w:rsidR="00246E14" w:rsidRPr="00BC7116" w:rsidRDefault="00246E14" w:rsidP="00BC7116">
            <w:pPr>
              <w:widowControl w:val="0"/>
              <w:autoSpaceDE w:val="0"/>
              <w:autoSpaceDN w:val="0"/>
              <w:spacing w:line="232" w:lineRule="exact"/>
              <w:ind w:left="152" w:right="205"/>
              <w:rPr>
                <w:color w:val="000000"/>
                <w:sz w:val="22"/>
                <w:szCs w:val="22"/>
              </w:rPr>
            </w:pPr>
            <w:r w:rsidRPr="00BC7116">
              <w:rPr>
                <w:color w:val="000000"/>
                <w:sz w:val="22"/>
                <w:szCs w:val="22"/>
              </w:rPr>
              <w:t>Tinovul Șaru Dornei</w:t>
            </w:r>
          </w:p>
        </w:tc>
      </w:tr>
      <w:tr w:rsidR="00246E14" w:rsidRPr="00C56257" w14:paraId="1E1FDCA2" w14:textId="77777777" w:rsidTr="00543BAA">
        <w:trPr>
          <w:trHeight w:val="251"/>
        </w:trPr>
        <w:tc>
          <w:tcPr>
            <w:tcW w:w="3262" w:type="dxa"/>
            <w:vMerge/>
            <w:tcBorders>
              <w:top w:val="nil"/>
            </w:tcBorders>
          </w:tcPr>
          <w:p w14:paraId="25AEF286" w14:textId="77777777" w:rsidR="00246E14" w:rsidRPr="00C56257" w:rsidRDefault="00246E14" w:rsidP="00246E14">
            <w:pPr>
              <w:widowControl w:val="0"/>
              <w:autoSpaceDE w:val="0"/>
              <w:autoSpaceDN w:val="0"/>
              <w:jc w:val="both"/>
              <w:rPr>
                <w:color w:val="000000" w:themeColor="text1"/>
              </w:rPr>
            </w:pPr>
          </w:p>
        </w:tc>
        <w:tc>
          <w:tcPr>
            <w:tcW w:w="2136" w:type="dxa"/>
          </w:tcPr>
          <w:p w14:paraId="439AC0FE" w14:textId="77777777" w:rsidR="00246E14" w:rsidRPr="00BC7116" w:rsidRDefault="00246E14" w:rsidP="00BC7116">
            <w:pPr>
              <w:widowControl w:val="0"/>
              <w:autoSpaceDE w:val="0"/>
              <w:autoSpaceDN w:val="0"/>
              <w:spacing w:line="232" w:lineRule="exact"/>
              <w:ind w:left="152"/>
              <w:rPr>
                <w:color w:val="000000"/>
                <w:sz w:val="22"/>
                <w:szCs w:val="22"/>
              </w:rPr>
            </w:pPr>
            <w:r w:rsidRPr="00BC7116">
              <w:rPr>
                <w:color w:val="000000"/>
                <w:sz w:val="22"/>
                <w:szCs w:val="22"/>
              </w:rPr>
              <w:t>ROSCI0264</w:t>
            </w:r>
          </w:p>
        </w:tc>
        <w:tc>
          <w:tcPr>
            <w:tcW w:w="4117" w:type="dxa"/>
          </w:tcPr>
          <w:p w14:paraId="22EAA099" w14:textId="77777777" w:rsidR="00246E14" w:rsidRPr="00BC7116" w:rsidRDefault="00246E14" w:rsidP="00BC7116">
            <w:pPr>
              <w:widowControl w:val="0"/>
              <w:autoSpaceDE w:val="0"/>
              <w:autoSpaceDN w:val="0"/>
              <w:spacing w:line="232" w:lineRule="exact"/>
              <w:ind w:left="152" w:right="205"/>
              <w:rPr>
                <w:color w:val="000000"/>
                <w:sz w:val="22"/>
                <w:szCs w:val="22"/>
              </w:rPr>
            </w:pPr>
            <w:r w:rsidRPr="00BC7116">
              <w:rPr>
                <w:color w:val="000000"/>
                <w:sz w:val="22"/>
                <w:szCs w:val="22"/>
              </w:rPr>
              <w:t>Valea Izei și Dealul Solovan</w:t>
            </w:r>
          </w:p>
        </w:tc>
      </w:tr>
      <w:tr w:rsidR="00246E14" w:rsidRPr="00C56257" w14:paraId="17838CBD" w14:textId="77777777" w:rsidTr="00543BAA">
        <w:trPr>
          <w:trHeight w:val="251"/>
        </w:trPr>
        <w:tc>
          <w:tcPr>
            <w:tcW w:w="3262" w:type="dxa"/>
            <w:vMerge/>
            <w:tcBorders>
              <w:top w:val="nil"/>
            </w:tcBorders>
          </w:tcPr>
          <w:p w14:paraId="475FFE87" w14:textId="77777777" w:rsidR="00246E14" w:rsidRPr="00C56257" w:rsidRDefault="00246E14" w:rsidP="00246E14">
            <w:pPr>
              <w:widowControl w:val="0"/>
              <w:autoSpaceDE w:val="0"/>
              <w:autoSpaceDN w:val="0"/>
              <w:jc w:val="both"/>
              <w:rPr>
                <w:color w:val="000000" w:themeColor="text1"/>
              </w:rPr>
            </w:pPr>
          </w:p>
        </w:tc>
        <w:tc>
          <w:tcPr>
            <w:tcW w:w="2136" w:type="dxa"/>
          </w:tcPr>
          <w:p w14:paraId="48B46C6A" w14:textId="77777777" w:rsidR="00246E14" w:rsidRPr="00BC7116" w:rsidRDefault="00246E14" w:rsidP="00BC7116">
            <w:pPr>
              <w:widowControl w:val="0"/>
              <w:autoSpaceDE w:val="0"/>
              <w:autoSpaceDN w:val="0"/>
              <w:spacing w:line="232" w:lineRule="exact"/>
              <w:ind w:left="152"/>
              <w:rPr>
                <w:color w:val="000000" w:themeColor="text1"/>
              </w:rPr>
            </w:pPr>
            <w:r w:rsidRPr="00BC7116">
              <w:rPr>
                <w:color w:val="000000"/>
                <w:sz w:val="22"/>
                <w:szCs w:val="22"/>
              </w:rPr>
              <w:t>ROSCI0285</w:t>
            </w:r>
          </w:p>
        </w:tc>
        <w:tc>
          <w:tcPr>
            <w:tcW w:w="4117" w:type="dxa"/>
          </w:tcPr>
          <w:p w14:paraId="4CB00383" w14:textId="77777777" w:rsidR="00246E14" w:rsidRPr="00BC7116" w:rsidRDefault="00246E14" w:rsidP="00BC7116">
            <w:pPr>
              <w:widowControl w:val="0"/>
              <w:autoSpaceDE w:val="0"/>
              <w:autoSpaceDN w:val="0"/>
              <w:spacing w:line="232" w:lineRule="exact"/>
              <w:ind w:left="152" w:right="205"/>
              <w:rPr>
                <w:color w:val="000000" w:themeColor="text1"/>
              </w:rPr>
            </w:pPr>
            <w:r w:rsidRPr="00BC7116">
              <w:rPr>
                <w:color w:val="000000"/>
                <w:sz w:val="22"/>
                <w:szCs w:val="22"/>
              </w:rPr>
              <w:t>Codrii seculari de la Strâmbu - Băiuț</w:t>
            </w:r>
          </w:p>
        </w:tc>
      </w:tr>
      <w:tr w:rsidR="009A5646" w:rsidRPr="00C56257" w14:paraId="1FA92C76" w14:textId="77777777" w:rsidTr="00543BAA">
        <w:trPr>
          <w:trHeight w:val="254"/>
        </w:trPr>
        <w:tc>
          <w:tcPr>
            <w:tcW w:w="3262" w:type="dxa"/>
            <w:vMerge w:val="restart"/>
          </w:tcPr>
          <w:p w14:paraId="2CBAE177" w14:textId="77777777" w:rsidR="009A5646" w:rsidRPr="00C56257" w:rsidRDefault="009A5646" w:rsidP="00246E14">
            <w:pPr>
              <w:widowControl w:val="0"/>
              <w:autoSpaceDE w:val="0"/>
              <w:autoSpaceDN w:val="0"/>
              <w:spacing w:line="242" w:lineRule="auto"/>
              <w:ind w:left="107" w:right="583"/>
              <w:jc w:val="both"/>
              <w:rPr>
                <w:color w:val="000000" w:themeColor="text1"/>
              </w:rPr>
            </w:pPr>
            <w:r w:rsidRPr="00C56257">
              <w:rPr>
                <w:color w:val="000000" w:themeColor="text1"/>
              </w:rPr>
              <w:t>7120 Turbării degradate capabile de regenerare</w:t>
            </w:r>
            <w:r w:rsidRPr="00C56257">
              <w:rPr>
                <w:color w:val="000000" w:themeColor="text1"/>
                <w:spacing w:val="-52"/>
              </w:rPr>
              <w:t xml:space="preserve"> </w:t>
            </w:r>
            <w:r w:rsidRPr="00C56257">
              <w:rPr>
                <w:color w:val="000000" w:themeColor="text1"/>
              </w:rPr>
              <w:t>naturală</w:t>
            </w:r>
          </w:p>
        </w:tc>
        <w:tc>
          <w:tcPr>
            <w:tcW w:w="2136" w:type="dxa"/>
            <w:vAlign w:val="bottom"/>
          </w:tcPr>
          <w:p w14:paraId="18684B8E" w14:textId="77777777" w:rsidR="009A5646" w:rsidRPr="009A5646" w:rsidRDefault="009A5646" w:rsidP="009A5646">
            <w:pPr>
              <w:widowControl w:val="0"/>
              <w:autoSpaceDE w:val="0"/>
              <w:autoSpaceDN w:val="0"/>
              <w:spacing w:line="232" w:lineRule="exact"/>
              <w:ind w:left="152"/>
              <w:rPr>
                <w:color w:val="000000"/>
                <w:sz w:val="22"/>
                <w:szCs w:val="22"/>
              </w:rPr>
            </w:pPr>
            <w:r w:rsidRPr="009A5646">
              <w:rPr>
                <w:color w:val="000000"/>
                <w:sz w:val="22"/>
                <w:szCs w:val="22"/>
              </w:rPr>
              <w:t>ROSCI0002</w:t>
            </w:r>
          </w:p>
        </w:tc>
        <w:tc>
          <w:tcPr>
            <w:tcW w:w="4117" w:type="dxa"/>
            <w:vAlign w:val="bottom"/>
          </w:tcPr>
          <w:p w14:paraId="74273856" w14:textId="77777777" w:rsidR="009A5646" w:rsidRPr="009A5646" w:rsidRDefault="009A5646" w:rsidP="009A5646">
            <w:pPr>
              <w:widowControl w:val="0"/>
              <w:autoSpaceDE w:val="0"/>
              <w:autoSpaceDN w:val="0"/>
              <w:spacing w:line="232" w:lineRule="exact"/>
              <w:ind w:left="152" w:right="205"/>
              <w:rPr>
                <w:color w:val="000000"/>
                <w:sz w:val="22"/>
                <w:szCs w:val="22"/>
              </w:rPr>
            </w:pPr>
            <w:r w:rsidRPr="009A5646">
              <w:rPr>
                <w:color w:val="000000"/>
                <w:sz w:val="22"/>
                <w:szCs w:val="22"/>
              </w:rPr>
              <w:t>Apuseni</w:t>
            </w:r>
          </w:p>
        </w:tc>
      </w:tr>
      <w:tr w:rsidR="009A5646" w:rsidRPr="00C56257" w14:paraId="3D4CC32C" w14:textId="77777777" w:rsidTr="00543BAA">
        <w:trPr>
          <w:trHeight w:val="252"/>
        </w:trPr>
        <w:tc>
          <w:tcPr>
            <w:tcW w:w="3262" w:type="dxa"/>
            <w:vMerge/>
            <w:tcBorders>
              <w:top w:val="nil"/>
            </w:tcBorders>
          </w:tcPr>
          <w:p w14:paraId="381B7007" w14:textId="77777777" w:rsidR="009A5646" w:rsidRPr="00C56257" w:rsidRDefault="009A5646" w:rsidP="00246E14">
            <w:pPr>
              <w:widowControl w:val="0"/>
              <w:autoSpaceDE w:val="0"/>
              <w:autoSpaceDN w:val="0"/>
              <w:jc w:val="both"/>
              <w:rPr>
                <w:color w:val="000000" w:themeColor="text1"/>
              </w:rPr>
            </w:pPr>
          </w:p>
        </w:tc>
        <w:tc>
          <w:tcPr>
            <w:tcW w:w="2136" w:type="dxa"/>
            <w:vAlign w:val="bottom"/>
          </w:tcPr>
          <w:p w14:paraId="0FA5891F" w14:textId="77777777" w:rsidR="009A5646" w:rsidRPr="009A5646" w:rsidRDefault="009A5646" w:rsidP="009A5646">
            <w:pPr>
              <w:widowControl w:val="0"/>
              <w:autoSpaceDE w:val="0"/>
              <w:autoSpaceDN w:val="0"/>
              <w:spacing w:line="232" w:lineRule="exact"/>
              <w:ind w:left="152"/>
              <w:rPr>
                <w:color w:val="000000"/>
                <w:sz w:val="22"/>
                <w:szCs w:val="22"/>
              </w:rPr>
            </w:pPr>
            <w:r w:rsidRPr="009A5646">
              <w:rPr>
                <w:color w:val="000000"/>
                <w:sz w:val="22"/>
                <w:szCs w:val="22"/>
              </w:rPr>
              <w:t>ROSCI0226</w:t>
            </w:r>
          </w:p>
        </w:tc>
        <w:tc>
          <w:tcPr>
            <w:tcW w:w="4117" w:type="dxa"/>
            <w:vAlign w:val="bottom"/>
          </w:tcPr>
          <w:p w14:paraId="5C8A362A" w14:textId="77777777" w:rsidR="009A5646" w:rsidRPr="009A5646" w:rsidRDefault="009A5646" w:rsidP="009A5646">
            <w:pPr>
              <w:widowControl w:val="0"/>
              <w:autoSpaceDE w:val="0"/>
              <w:autoSpaceDN w:val="0"/>
              <w:spacing w:line="232" w:lineRule="exact"/>
              <w:ind w:left="152" w:right="205"/>
              <w:rPr>
                <w:color w:val="000000"/>
                <w:sz w:val="22"/>
                <w:szCs w:val="22"/>
              </w:rPr>
            </w:pPr>
            <w:r w:rsidRPr="009A5646">
              <w:rPr>
                <w:color w:val="000000"/>
                <w:sz w:val="22"/>
                <w:szCs w:val="22"/>
              </w:rPr>
              <w:t>Semenic - Cheile Carașului</w:t>
            </w:r>
          </w:p>
        </w:tc>
      </w:tr>
      <w:tr w:rsidR="009A5646" w:rsidRPr="00C56257" w14:paraId="5CBF7C7A" w14:textId="77777777" w:rsidTr="00543BAA">
        <w:trPr>
          <w:trHeight w:val="253"/>
        </w:trPr>
        <w:tc>
          <w:tcPr>
            <w:tcW w:w="3262" w:type="dxa"/>
            <w:vMerge/>
            <w:tcBorders>
              <w:top w:val="nil"/>
            </w:tcBorders>
          </w:tcPr>
          <w:p w14:paraId="44E847A0" w14:textId="77777777" w:rsidR="009A5646" w:rsidRPr="00C56257" w:rsidRDefault="009A5646" w:rsidP="00246E14">
            <w:pPr>
              <w:widowControl w:val="0"/>
              <w:autoSpaceDE w:val="0"/>
              <w:autoSpaceDN w:val="0"/>
              <w:jc w:val="both"/>
              <w:rPr>
                <w:color w:val="000000" w:themeColor="text1"/>
              </w:rPr>
            </w:pPr>
          </w:p>
        </w:tc>
        <w:tc>
          <w:tcPr>
            <w:tcW w:w="2136" w:type="dxa"/>
            <w:vAlign w:val="bottom"/>
          </w:tcPr>
          <w:p w14:paraId="1E109A65" w14:textId="77777777" w:rsidR="009A5646" w:rsidRPr="009A5646" w:rsidRDefault="00C85EF5" w:rsidP="009A5646">
            <w:pPr>
              <w:widowControl w:val="0"/>
              <w:autoSpaceDE w:val="0"/>
              <w:autoSpaceDN w:val="0"/>
              <w:spacing w:line="232" w:lineRule="exact"/>
              <w:ind w:left="152"/>
              <w:rPr>
                <w:color w:val="000000"/>
                <w:sz w:val="22"/>
                <w:szCs w:val="22"/>
              </w:rPr>
            </w:pPr>
            <w:r>
              <w:rPr>
                <w:color w:val="000000"/>
                <w:sz w:val="22"/>
                <w:szCs w:val="22"/>
              </w:rPr>
              <w:t>ROSAC</w:t>
            </w:r>
            <w:r w:rsidR="009A5646" w:rsidRPr="009A5646">
              <w:rPr>
                <w:color w:val="000000"/>
                <w:sz w:val="22"/>
                <w:szCs w:val="22"/>
              </w:rPr>
              <w:t>0247</w:t>
            </w:r>
          </w:p>
        </w:tc>
        <w:tc>
          <w:tcPr>
            <w:tcW w:w="4117" w:type="dxa"/>
            <w:vAlign w:val="bottom"/>
          </w:tcPr>
          <w:p w14:paraId="7DFFE34A" w14:textId="77777777" w:rsidR="009A5646" w:rsidRPr="009A5646" w:rsidRDefault="009A5646" w:rsidP="009A5646">
            <w:pPr>
              <w:widowControl w:val="0"/>
              <w:autoSpaceDE w:val="0"/>
              <w:autoSpaceDN w:val="0"/>
              <w:spacing w:line="232" w:lineRule="exact"/>
              <w:ind w:left="152" w:right="205"/>
              <w:rPr>
                <w:color w:val="000000"/>
                <w:sz w:val="22"/>
                <w:szCs w:val="22"/>
              </w:rPr>
            </w:pPr>
            <w:r w:rsidRPr="009A5646">
              <w:rPr>
                <w:color w:val="000000"/>
                <w:sz w:val="22"/>
                <w:szCs w:val="22"/>
              </w:rPr>
              <w:t>Tinovul Mare Poiana Stampei</w:t>
            </w:r>
          </w:p>
        </w:tc>
      </w:tr>
      <w:tr w:rsidR="009A5646" w:rsidRPr="00C56257" w14:paraId="32FC74F2" w14:textId="77777777" w:rsidTr="00543BAA">
        <w:trPr>
          <w:trHeight w:val="254"/>
        </w:trPr>
        <w:tc>
          <w:tcPr>
            <w:tcW w:w="3262" w:type="dxa"/>
            <w:vMerge/>
            <w:tcBorders>
              <w:top w:val="nil"/>
            </w:tcBorders>
          </w:tcPr>
          <w:p w14:paraId="3917320E" w14:textId="77777777" w:rsidR="009A5646" w:rsidRPr="00C56257" w:rsidRDefault="009A5646" w:rsidP="00246E14">
            <w:pPr>
              <w:widowControl w:val="0"/>
              <w:autoSpaceDE w:val="0"/>
              <w:autoSpaceDN w:val="0"/>
              <w:jc w:val="both"/>
              <w:rPr>
                <w:color w:val="000000" w:themeColor="text1"/>
              </w:rPr>
            </w:pPr>
          </w:p>
        </w:tc>
        <w:tc>
          <w:tcPr>
            <w:tcW w:w="2136" w:type="dxa"/>
            <w:vAlign w:val="bottom"/>
          </w:tcPr>
          <w:p w14:paraId="49E825D7" w14:textId="77777777" w:rsidR="009A5646" w:rsidRPr="009A5646" w:rsidRDefault="00C85EF5" w:rsidP="009A5646">
            <w:pPr>
              <w:widowControl w:val="0"/>
              <w:autoSpaceDE w:val="0"/>
              <w:autoSpaceDN w:val="0"/>
              <w:spacing w:line="232" w:lineRule="exact"/>
              <w:ind w:left="152"/>
              <w:rPr>
                <w:color w:val="000000"/>
                <w:sz w:val="22"/>
                <w:szCs w:val="22"/>
              </w:rPr>
            </w:pPr>
            <w:r>
              <w:rPr>
                <w:color w:val="000000"/>
                <w:sz w:val="22"/>
                <w:szCs w:val="22"/>
              </w:rPr>
              <w:t>ROSAC</w:t>
            </w:r>
            <w:r w:rsidR="009A5646" w:rsidRPr="009A5646">
              <w:rPr>
                <w:color w:val="000000"/>
                <w:sz w:val="22"/>
                <w:szCs w:val="22"/>
              </w:rPr>
              <w:t>0255</w:t>
            </w:r>
          </w:p>
        </w:tc>
        <w:tc>
          <w:tcPr>
            <w:tcW w:w="4117" w:type="dxa"/>
            <w:vAlign w:val="bottom"/>
          </w:tcPr>
          <w:p w14:paraId="6A009261" w14:textId="77777777" w:rsidR="009A5646" w:rsidRPr="009A5646" w:rsidRDefault="009A5646" w:rsidP="009A5646">
            <w:pPr>
              <w:widowControl w:val="0"/>
              <w:autoSpaceDE w:val="0"/>
              <w:autoSpaceDN w:val="0"/>
              <w:spacing w:line="232" w:lineRule="exact"/>
              <w:ind w:left="152" w:right="205"/>
              <w:rPr>
                <w:color w:val="000000"/>
                <w:sz w:val="22"/>
                <w:szCs w:val="22"/>
              </w:rPr>
            </w:pPr>
            <w:r w:rsidRPr="009A5646">
              <w:rPr>
                <w:color w:val="000000"/>
                <w:sz w:val="22"/>
                <w:szCs w:val="22"/>
              </w:rPr>
              <w:t>Turbăria de la Dersca</w:t>
            </w:r>
          </w:p>
        </w:tc>
      </w:tr>
      <w:tr w:rsidR="009A5646" w:rsidRPr="00C56257" w14:paraId="14C4BDC6" w14:textId="77777777" w:rsidTr="00543BAA">
        <w:trPr>
          <w:trHeight w:val="251"/>
        </w:trPr>
        <w:tc>
          <w:tcPr>
            <w:tcW w:w="3262" w:type="dxa"/>
            <w:vMerge/>
            <w:tcBorders>
              <w:top w:val="nil"/>
            </w:tcBorders>
          </w:tcPr>
          <w:p w14:paraId="1A1F3C5C" w14:textId="77777777" w:rsidR="009A5646" w:rsidRPr="00C56257" w:rsidRDefault="009A5646" w:rsidP="00246E14">
            <w:pPr>
              <w:widowControl w:val="0"/>
              <w:autoSpaceDE w:val="0"/>
              <w:autoSpaceDN w:val="0"/>
              <w:jc w:val="both"/>
              <w:rPr>
                <w:color w:val="000000" w:themeColor="text1"/>
              </w:rPr>
            </w:pPr>
          </w:p>
        </w:tc>
        <w:tc>
          <w:tcPr>
            <w:tcW w:w="2136" w:type="dxa"/>
            <w:vAlign w:val="bottom"/>
          </w:tcPr>
          <w:p w14:paraId="3B5B6419" w14:textId="77777777" w:rsidR="009A5646" w:rsidRPr="009A5646" w:rsidRDefault="00C85EF5" w:rsidP="009A5646">
            <w:pPr>
              <w:widowControl w:val="0"/>
              <w:autoSpaceDE w:val="0"/>
              <w:autoSpaceDN w:val="0"/>
              <w:spacing w:line="232" w:lineRule="exact"/>
              <w:ind w:left="152"/>
              <w:rPr>
                <w:color w:val="000000"/>
                <w:sz w:val="22"/>
                <w:szCs w:val="22"/>
              </w:rPr>
            </w:pPr>
            <w:r>
              <w:rPr>
                <w:color w:val="000000"/>
                <w:sz w:val="22"/>
                <w:szCs w:val="22"/>
              </w:rPr>
              <w:t>ROSAC</w:t>
            </w:r>
            <w:r w:rsidR="009A5646" w:rsidRPr="009A5646">
              <w:rPr>
                <w:color w:val="000000"/>
                <w:sz w:val="22"/>
                <w:szCs w:val="22"/>
              </w:rPr>
              <w:t>0395</w:t>
            </w:r>
          </w:p>
        </w:tc>
        <w:tc>
          <w:tcPr>
            <w:tcW w:w="4117" w:type="dxa"/>
            <w:vAlign w:val="bottom"/>
          </w:tcPr>
          <w:p w14:paraId="3C1BE248" w14:textId="77777777" w:rsidR="009A5646" w:rsidRPr="009A5646" w:rsidRDefault="009A5646" w:rsidP="009A5646">
            <w:pPr>
              <w:widowControl w:val="0"/>
              <w:autoSpaceDE w:val="0"/>
              <w:autoSpaceDN w:val="0"/>
              <w:spacing w:line="232" w:lineRule="exact"/>
              <w:ind w:left="152" w:right="203"/>
              <w:rPr>
                <w:color w:val="000000"/>
                <w:sz w:val="22"/>
                <w:szCs w:val="22"/>
              </w:rPr>
            </w:pPr>
            <w:r w:rsidRPr="009A5646">
              <w:rPr>
                <w:color w:val="000000"/>
                <w:sz w:val="22"/>
                <w:szCs w:val="22"/>
              </w:rPr>
              <w:t>Soveja</w:t>
            </w:r>
          </w:p>
        </w:tc>
      </w:tr>
      <w:tr w:rsidR="00E10222" w:rsidRPr="00C56257" w14:paraId="50E27EC6" w14:textId="77777777" w:rsidTr="00543BAA">
        <w:trPr>
          <w:trHeight w:val="254"/>
        </w:trPr>
        <w:tc>
          <w:tcPr>
            <w:tcW w:w="3262" w:type="dxa"/>
            <w:vMerge w:val="restart"/>
          </w:tcPr>
          <w:p w14:paraId="5AB111B2" w14:textId="77777777" w:rsidR="00E10222" w:rsidRPr="00C56257" w:rsidRDefault="00E10222" w:rsidP="00246E14">
            <w:pPr>
              <w:widowControl w:val="0"/>
              <w:autoSpaceDE w:val="0"/>
              <w:autoSpaceDN w:val="0"/>
              <w:ind w:left="107" w:right="771"/>
              <w:jc w:val="both"/>
              <w:rPr>
                <w:color w:val="000000" w:themeColor="text1"/>
              </w:rPr>
            </w:pPr>
            <w:r w:rsidRPr="00C56257">
              <w:rPr>
                <w:color w:val="000000" w:themeColor="text1"/>
              </w:rPr>
              <w:t>7140 Mlaștini turboase de tranziție și turbării</w:t>
            </w:r>
            <w:r w:rsidRPr="00C56257">
              <w:rPr>
                <w:color w:val="000000" w:themeColor="text1"/>
                <w:spacing w:val="-52"/>
              </w:rPr>
              <w:t xml:space="preserve"> </w:t>
            </w:r>
            <w:r w:rsidRPr="00C56257">
              <w:rPr>
                <w:color w:val="000000" w:themeColor="text1"/>
              </w:rPr>
              <w:t>oscilante</w:t>
            </w:r>
            <w:r w:rsidRPr="00C56257">
              <w:rPr>
                <w:color w:val="000000" w:themeColor="text1"/>
                <w:spacing w:val="-3"/>
              </w:rPr>
              <w:t xml:space="preserve"> </w:t>
            </w:r>
            <w:r w:rsidRPr="00C56257">
              <w:rPr>
                <w:color w:val="000000" w:themeColor="text1"/>
              </w:rPr>
              <w:t>(nefixate de</w:t>
            </w:r>
            <w:r w:rsidRPr="00C56257">
              <w:rPr>
                <w:color w:val="000000" w:themeColor="text1"/>
                <w:spacing w:val="-1"/>
              </w:rPr>
              <w:t xml:space="preserve"> </w:t>
            </w:r>
            <w:r w:rsidRPr="00C56257">
              <w:rPr>
                <w:color w:val="000000" w:themeColor="text1"/>
              </w:rPr>
              <w:t>substrat)</w:t>
            </w:r>
          </w:p>
        </w:tc>
        <w:tc>
          <w:tcPr>
            <w:tcW w:w="2136" w:type="dxa"/>
          </w:tcPr>
          <w:p w14:paraId="5600BF6A" w14:textId="77777777" w:rsidR="00E10222" w:rsidRPr="00E10222" w:rsidRDefault="00E10222" w:rsidP="00E10222">
            <w:pPr>
              <w:widowControl w:val="0"/>
              <w:autoSpaceDE w:val="0"/>
              <w:autoSpaceDN w:val="0"/>
              <w:spacing w:line="232" w:lineRule="exact"/>
              <w:ind w:left="152"/>
              <w:rPr>
                <w:color w:val="000000"/>
                <w:sz w:val="22"/>
                <w:szCs w:val="22"/>
              </w:rPr>
            </w:pPr>
            <w:r w:rsidRPr="00E10222">
              <w:rPr>
                <w:color w:val="000000"/>
                <w:sz w:val="22"/>
                <w:szCs w:val="22"/>
              </w:rPr>
              <w:t>ROSCI0002</w:t>
            </w:r>
          </w:p>
        </w:tc>
        <w:tc>
          <w:tcPr>
            <w:tcW w:w="4117" w:type="dxa"/>
          </w:tcPr>
          <w:p w14:paraId="75BC38F8"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Apuseni</w:t>
            </w:r>
          </w:p>
        </w:tc>
      </w:tr>
      <w:tr w:rsidR="00E10222" w:rsidRPr="00C56257" w14:paraId="23A5B867" w14:textId="77777777" w:rsidTr="00543BAA">
        <w:trPr>
          <w:trHeight w:val="251"/>
        </w:trPr>
        <w:tc>
          <w:tcPr>
            <w:tcW w:w="3262" w:type="dxa"/>
            <w:vMerge/>
            <w:tcBorders>
              <w:top w:val="nil"/>
            </w:tcBorders>
          </w:tcPr>
          <w:p w14:paraId="1C26555D" w14:textId="77777777" w:rsidR="00E10222" w:rsidRPr="00C56257" w:rsidRDefault="00E10222" w:rsidP="00246E14">
            <w:pPr>
              <w:widowControl w:val="0"/>
              <w:autoSpaceDE w:val="0"/>
              <w:autoSpaceDN w:val="0"/>
              <w:jc w:val="both"/>
              <w:rPr>
                <w:color w:val="000000" w:themeColor="text1"/>
              </w:rPr>
            </w:pPr>
          </w:p>
        </w:tc>
        <w:tc>
          <w:tcPr>
            <w:tcW w:w="2136" w:type="dxa"/>
          </w:tcPr>
          <w:p w14:paraId="05A585B0" w14:textId="77777777" w:rsidR="00E10222" w:rsidRPr="00E10222" w:rsidRDefault="00C85EF5" w:rsidP="00E10222">
            <w:pPr>
              <w:widowControl w:val="0"/>
              <w:autoSpaceDE w:val="0"/>
              <w:autoSpaceDN w:val="0"/>
              <w:spacing w:line="232" w:lineRule="exact"/>
              <w:ind w:left="152"/>
              <w:rPr>
                <w:color w:val="000000"/>
                <w:sz w:val="22"/>
                <w:szCs w:val="22"/>
              </w:rPr>
            </w:pPr>
            <w:r>
              <w:rPr>
                <w:color w:val="000000"/>
                <w:sz w:val="22"/>
                <w:szCs w:val="22"/>
              </w:rPr>
              <w:t>ROSAC</w:t>
            </w:r>
            <w:r w:rsidR="00E10222" w:rsidRPr="00E10222">
              <w:rPr>
                <w:color w:val="000000"/>
                <w:sz w:val="22"/>
                <w:szCs w:val="22"/>
              </w:rPr>
              <w:t>0004</w:t>
            </w:r>
          </w:p>
        </w:tc>
        <w:tc>
          <w:tcPr>
            <w:tcW w:w="4117" w:type="dxa"/>
          </w:tcPr>
          <w:p w14:paraId="3A066D8E"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Băgău</w:t>
            </w:r>
          </w:p>
        </w:tc>
      </w:tr>
      <w:tr w:rsidR="00E10222" w:rsidRPr="00C56257" w14:paraId="71CCA5B8" w14:textId="77777777" w:rsidTr="00543BAA">
        <w:trPr>
          <w:trHeight w:val="253"/>
        </w:trPr>
        <w:tc>
          <w:tcPr>
            <w:tcW w:w="3262" w:type="dxa"/>
            <w:vMerge/>
            <w:tcBorders>
              <w:top w:val="nil"/>
            </w:tcBorders>
          </w:tcPr>
          <w:p w14:paraId="27A01CC3" w14:textId="77777777" w:rsidR="00E10222" w:rsidRPr="00C56257" w:rsidRDefault="00E10222" w:rsidP="00246E14">
            <w:pPr>
              <w:widowControl w:val="0"/>
              <w:autoSpaceDE w:val="0"/>
              <w:autoSpaceDN w:val="0"/>
              <w:jc w:val="both"/>
              <w:rPr>
                <w:color w:val="000000" w:themeColor="text1"/>
              </w:rPr>
            </w:pPr>
          </w:p>
        </w:tc>
        <w:tc>
          <w:tcPr>
            <w:tcW w:w="2136" w:type="dxa"/>
          </w:tcPr>
          <w:p w14:paraId="447C3A68" w14:textId="77777777" w:rsidR="00E10222" w:rsidRPr="00E10222" w:rsidRDefault="00E10222" w:rsidP="00E10222">
            <w:pPr>
              <w:widowControl w:val="0"/>
              <w:autoSpaceDE w:val="0"/>
              <w:autoSpaceDN w:val="0"/>
              <w:spacing w:line="232" w:lineRule="exact"/>
              <w:ind w:left="152"/>
              <w:rPr>
                <w:color w:val="000000"/>
                <w:sz w:val="22"/>
                <w:szCs w:val="22"/>
              </w:rPr>
            </w:pPr>
            <w:r w:rsidRPr="00E10222">
              <w:rPr>
                <w:color w:val="000000"/>
                <w:sz w:val="22"/>
                <w:szCs w:val="22"/>
              </w:rPr>
              <w:t>ROSCI0007</w:t>
            </w:r>
          </w:p>
        </w:tc>
        <w:tc>
          <w:tcPr>
            <w:tcW w:w="4117" w:type="dxa"/>
          </w:tcPr>
          <w:p w14:paraId="6CD99240"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Bazinul Ciucului de Jos</w:t>
            </w:r>
          </w:p>
        </w:tc>
      </w:tr>
      <w:tr w:rsidR="00E10222" w:rsidRPr="00C56257" w14:paraId="0DF02854" w14:textId="77777777" w:rsidTr="00543BAA">
        <w:trPr>
          <w:trHeight w:val="254"/>
        </w:trPr>
        <w:tc>
          <w:tcPr>
            <w:tcW w:w="3262" w:type="dxa"/>
            <w:vMerge/>
            <w:tcBorders>
              <w:top w:val="nil"/>
            </w:tcBorders>
          </w:tcPr>
          <w:p w14:paraId="52FE8971" w14:textId="77777777" w:rsidR="00E10222" w:rsidRPr="00C56257" w:rsidRDefault="00E10222" w:rsidP="00246E14">
            <w:pPr>
              <w:widowControl w:val="0"/>
              <w:autoSpaceDE w:val="0"/>
              <w:autoSpaceDN w:val="0"/>
              <w:jc w:val="both"/>
              <w:rPr>
                <w:color w:val="000000" w:themeColor="text1"/>
              </w:rPr>
            </w:pPr>
          </w:p>
        </w:tc>
        <w:tc>
          <w:tcPr>
            <w:tcW w:w="2136" w:type="dxa"/>
          </w:tcPr>
          <w:p w14:paraId="09EB88CC" w14:textId="77777777" w:rsidR="00E10222" w:rsidRPr="00E10222" w:rsidRDefault="00E10222" w:rsidP="00E10222">
            <w:pPr>
              <w:widowControl w:val="0"/>
              <w:autoSpaceDE w:val="0"/>
              <w:autoSpaceDN w:val="0"/>
              <w:spacing w:line="232" w:lineRule="exact"/>
              <w:ind w:left="152"/>
              <w:rPr>
                <w:color w:val="000000"/>
                <w:sz w:val="22"/>
                <w:szCs w:val="22"/>
              </w:rPr>
            </w:pPr>
            <w:r w:rsidRPr="00E10222">
              <w:rPr>
                <w:color w:val="000000"/>
                <w:sz w:val="22"/>
                <w:szCs w:val="22"/>
              </w:rPr>
              <w:t>ROSCI0013</w:t>
            </w:r>
          </w:p>
        </w:tc>
        <w:tc>
          <w:tcPr>
            <w:tcW w:w="4117" w:type="dxa"/>
          </w:tcPr>
          <w:p w14:paraId="2BEBBE4C"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Bucegi</w:t>
            </w:r>
          </w:p>
        </w:tc>
      </w:tr>
      <w:tr w:rsidR="00E10222" w:rsidRPr="00C56257" w14:paraId="3D0E1902" w14:textId="77777777" w:rsidTr="00543BAA">
        <w:trPr>
          <w:trHeight w:val="251"/>
        </w:trPr>
        <w:tc>
          <w:tcPr>
            <w:tcW w:w="3262" w:type="dxa"/>
            <w:vMerge/>
            <w:tcBorders>
              <w:top w:val="nil"/>
            </w:tcBorders>
          </w:tcPr>
          <w:p w14:paraId="5147D344" w14:textId="77777777" w:rsidR="00E10222" w:rsidRPr="00C56257" w:rsidRDefault="00E10222" w:rsidP="00246E14">
            <w:pPr>
              <w:widowControl w:val="0"/>
              <w:autoSpaceDE w:val="0"/>
              <w:autoSpaceDN w:val="0"/>
              <w:jc w:val="both"/>
              <w:rPr>
                <w:color w:val="000000" w:themeColor="text1"/>
              </w:rPr>
            </w:pPr>
          </w:p>
        </w:tc>
        <w:tc>
          <w:tcPr>
            <w:tcW w:w="2136" w:type="dxa"/>
          </w:tcPr>
          <w:p w14:paraId="4B80ACBF" w14:textId="77777777" w:rsidR="00E10222" w:rsidRPr="00E10222" w:rsidRDefault="00C85EF5" w:rsidP="00E10222">
            <w:pPr>
              <w:widowControl w:val="0"/>
              <w:autoSpaceDE w:val="0"/>
              <w:autoSpaceDN w:val="0"/>
              <w:spacing w:line="232" w:lineRule="exact"/>
              <w:ind w:left="152"/>
              <w:rPr>
                <w:color w:val="000000"/>
                <w:sz w:val="22"/>
                <w:szCs w:val="22"/>
              </w:rPr>
            </w:pPr>
            <w:r>
              <w:rPr>
                <w:color w:val="000000"/>
                <w:sz w:val="22"/>
                <w:szCs w:val="22"/>
              </w:rPr>
              <w:t>ROSAC</w:t>
            </w:r>
            <w:r w:rsidR="00E10222" w:rsidRPr="00E10222">
              <w:rPr>
                <w:color w:val="000000"/>
                <w:sz w:val="22"/>
                <w:szCs w:val="22"/>
              </w:rPr>
              <w:t>0047</w:t>
            </w:r>
          </w:p>
        </w:tc>
        <w:tc>
          <w:tcPr>
            <w:tcW w:w="4117" w:type="dxa"/>
          </w:tcPr>
          <w:p w14:paraId="226FFB72"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Creasta Nemirei</w:t>
            </w:r>
          </w:p>
        </w:tc>
      </w:tr>
      <w:tr w:rsidR="00E10222" w:rsidRPr="00C56257" w14:paraId="57AC44EF" w14:textId="77777777" w:rsidTr="00543BAA">
        <w:trPr>
          <w:trHeight w:val="254"/>
        </w:trPr>
        <w:tc>
          <w:tcPr>
            <w:tcW w:w="3262" w:type="dxa"/>
            <w:vMerge/>
            <w:tcBorders>
              <w:top w:val="nil"/>
            </w:tcBorders>
          </w:tcPr>
          <w:p w14:paraId="60E23E56" w14:textId="77777777" w:rsidR="00E10222" w:rsidRPr="00C56257" w:rsidRDefault="00E10222" w:rsidP="00246E14">
            <w:pPr>
              <w:widowControl w:val="0"/>
              <w:autoSpaceDE w:val="0"/>
              <w:autoSpaceDN w:val="0"/>
              <w:jc w:val="both"/>
              <w:rPr>
                <w:color w:val="000000" w:themeColor="text1"/>
              </w:rPr>
            </w:pPr>
          </w:p>
        </w:tc>
        <w:tc>
          <w:tcPr>
            <w:tcW w:w="2136" w:type="dxa"/>
          </w:tcPr>
          <w:p w14:paraId="627E5690" w14:textId="77777777" w:rsidR="00E10222" w:rsidRPr="00E10222" w:rsidRDefault="00C85EF5" w:rsidP="00E10222">
            <w:pPr>
              <w:widowControl w:val="0"/>
              <w:autoSpaceDE w:val="0"/>
              <w:autoSpaceDN w:val="0"/>
              <w:spacing w:line="232" w:lineRule="exact"/>
              <w:ind w:left="152"/>
              <w:rPr>
                <w:color w:val="000000"/>
                <w:sz w:val="22"/>
                <w:szCs w:val="22"/>
              </w:rPr>
            </w:pPr>
            <w:r>
              <w:rPr>
                <w:color w:val="000000"/>
                <w:sz w:val="22"/>
                <w:szCs w:val="22"/>
              </w:rPr>
              <w:t>ROSAC</w:t>
            </w:r>
            <w:r w:rsidR="00E10222" w:rsidRPr="00E10222">
              <w:rPr>
                <w:color w:val="000000"/>
                <w:sz w:val="22"/>
                <w:szCs w:val="22"/>
              </w:rPr>
              <w:t>0051</w:t>
            </w:r>
          </w:p>
        </w:tc>
        <w:tc>
          <w:tcPr>
            <w:tcW w:w="4117" w:type="dxa"/>
          </w:tcPr>
          <w:p w14:paraId="23CBACAE"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Cușma</w:t>
            </w:r>
          </w:p>
        </w:tc>
      </w:tr>
      <w:tr w:rsidR="00E10222" w:rsidRPr="00C56257" w14:paraId="77A4CD9A" w14:textId="77777777" w:rsidTr="00543BAA">
        <w:trPr>
          <w:trHeight w:val="251"/>
        </w:trPr>
        <w:tc>
          <w:tcPr>
            <w:tcW w:w="3262" w:type="dxa"/>
            <w:vMerge/>
            <w:tcBorders>
              <w:top w:val="nil"/>
            </w:tcBorders>
          </w:tcPr>
          <w:p w14:paraId="06DD67BC" w14:textId="77777777" w:rsidR="00E10222" w:rsidRPr="00C56257" w:rsidRDefault="00E10222" w:rsidP="00246E14">
            <w:pPr>
              <w:widowControl w:val="0"/>
              <w:autoSpaceDE w:val="0"/>
              <w:autoSpaceDN w:val="0"/>
              <w:jc w:val="both"/>
              <w:rPr>
                <w:color w:val="000000" w:themeColor="text1"/>
              </w:rPr>
            </w:pPr>
          </w:p>
        </w:tc>
        <w:tc>
          <w:tcPr>
            <w:tcW w:w="2136" w:type="dxa"/>
          </w:tcPr>
          <w:p w14:paraId="76E141C7" w14:textId="77777777" w:rsidR="00E10222" w:rsidRPr="00E10222" w:rsidRDefault="00E10222" w:rsidP="00E10222">
            <w:pPr>
              <w:widowControl w:val="0"/>
              <w:autoSpaceDE w:val="0"/>
              <w:autoSpaceDN w:val="0"/>
              <w:spacing w:line="232" w:lineRule="exact"/>
              <w:ind w:left="152"/>
              <w:rPr>
                <w:color w:val="000000"/>
                <w:sz w:val="22"/>
                <w:szCs w:val="22"/>
              </w:rPr>
            </w:pPr>
            <w:r w:rsidRPr="00E10222">
              <w:rPr>
                <w:color w:val="000000"/>
                <w:sz w:val="22"/>
                <w:szCs w:val="22"/>
              </w:rPr>
              <w:t>ROSCI0055</w:t>
            </w:r>
          </w:p>
        </w:tc>
        <w:tc>
          <w:tcPr>
            <w:tcW w:w="4117" w:type="dxa"/>
          </w:tcPr>
          <w:p w14:paraId="3AA56F1F"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Dealul Cetății Lempeș - Mlaștina Hărman</w:t>
            </w:r>
          </w:p>
        </w:tc>
      </w:tr>
      <w:tr w:rsidR="00E10222" w:rsidRPr="00C56257" w14:paraId="2D86A591" w14:textId="77777777" w:rsidTr="00543BAA">
        <w:trPr>
          <w:trHeight w:val="254"/>
        </w:trPr>
        <w:tc>
          <w:tcPr>
            <w:tcW w:w="3262" w:type="dxa"/>
            <w:vMerge/>
            <w:tcBorders>
              <w:top w:val="nil"/>
            </w:tcBorders>
          </w:tcPr>
          <w:p w14:paraId="087088E1" w14:textId="77777777" w:rsidR="00E10222" w:rsidRPr="00C56257" w:rsidRDefault="00E10222" w:rsidP="00246E14">
            <w:pPr>
              <w:widowControl w:val="0"/>
              <w:autoSpaceDE w:val="0"/>
              <w:autoSpaceDN w:val="0"/>
              <w:jc w:val="both"/>
              <w:rPr>
                <w:color w:val="000000" w:themeColor="text1"/>
              </w:rPr>
            </w:pPr>
          </w:p>
        </w:tc>
        <w:tc>
          <w:tcPr>
            <w:tcW w:w="2136" w:type="dxa"/>
          </w:tcPr>
          <w:p w14:paraId="603FE3FF" w14:textId="77777777" w:rsidR="00E10222" w:rsidRPr="00E10222" w:rsidRDefault="00E10222" w:rsidP="00E10222">
            <w:pPr>
              <w:widowControl w:val="0"/>
              <w:autoSpaceDE w:val="0"/>
              <w:autoSpaceDN w:val="0"/>
              <w:spacing w:line="232" w:lineRule="exact"/>
              <w:ind w:left="152"/>
              <w:rPr>
                <w:color w:val="000000"/>
                <w:sz w:val="22"/>
                <w:szCs w:val="22"/>
              </w:rPr>
            </w:pPr>
            <w:r w:rsidRPr="00E10222">
              <w:rPr>
                <w:color w:val="000000"/>
                <w:sz w:val="22"/>
                <w:szCs w:val="22"/>
              </w:rPr>
              <w:t>RO</w:t>
            </w:r>
            <w:r w:rsidR="00C85EF5">
              <w:rPr>
                <w:color w:val="000000"/>
                <w:sz w:val="22"/>
                <w:szCs w:val="22"/>
              </w:rPr>
              <w:t>SAC</w:t>
            </w:r>
            <w:r w:rsidRPr="00E10222">
              <w:rPr>
                <w:color w:val="000000"/>
                <w:sz w:val="22"/>
                <w:szCs w:val="22"/>
              </w:rPr>
              <w:t>0062</w:t>
            </w:r>
          </w:p>
        </w:tc>
        <w:tc>
          <w:tcPr>
            <w:tcW w:w="4117" w:type="dxa"/>
          </w:tcPr>
          <w:p w14:paraId="0E1A99B0"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Defileul Crișului Repede - Pădurea Craiului</w:t>
            </w:r>
          </w:p>
        </w:tc>
      </w:tr>
      <w:tr w:rsidR="00E10222" w:rsidRPr="00C56257" w14:paraId="2F667B37" w14:textId="77777777" w:rsidTr="00543BAA">
        <w:trPr>
          <w:trHeight w:val="254"/>
        </w:trPr>
        <w:tc>
          <w:tcPr>
            <w:tcW w:w="3262" w:type="dxa"/>
            <w:vMerge/>
            <w:tcBorders>
              <w:top w:val="nil"/>
            </w:tcBorders>
          </w:tcPr>
          <w:p w14:paraId="218A8119" w14:textId="77777777" w:rsidR="00E10222" w:rsidRPr="00C56257" w:rsidRDefault="00E10222" w:rsidP="00246E14">
            <w:pPr>
              <w:widowControl w:val="0"/>
              <w:autoSpaceDE w:val="0"/>
              <w:autoSpaceDN w:val="0"/>
              <w:jc w:val="both"/>
              <w:rPr>
                <w:color w:val="000000" w:themeColor="text1"/>
              </w:rPr>
            </w:pPr>
          </w:p>
        </w:tc>
        <w:tc>
          <w:tcPr>
            <w:tcW w:w="2136" w:type="dxa"/>
          </w:tcPr>
          <w:p w14:paraId="59875241" w14:textId="77777777" w:rsidR="00E10222" w:rsidRPr="00E10222" w:rsidRDefault="00C85EF5" w:rsidP="00E10222">
            <w:pPr>
              <w:widowControl w:val="0"/>
              <w:autoSpaceDE w:val="0"/>
              <w:autoSpaceDN w:val="0"/>
              <w:spacing w:line="232" w:lineRule="exact"/>
              <w:ind w:left="152"/>
              <w:rPr>
                <w:color w:val="000000"/>
                <w:sz w:val="22"/>
                <w:szCs w:val="22"/>
              </w:rPr>
            </w:pPr>
            <w:r>
              <w:rPr>
                <w:color w:val="000000"/>
                <w:sz w:val="22"/>
                <w:szCs w:val="22"/>
              </w:rPr>
              <w:t>ROSAC</w:t>
            </w:r>
            <w:r w:rsidR="00E10222" w:rsidRPr="00E10222">
              <w:rPr>
                <w:color w:val="000000"/>
                <w:sz w:val="22"/>
                <w:szCs w:val="22"/>
              </w:rPr>
              <w:t>0085</w:t>
            </w:r>
          </w:p>
        </w:tc>
        <w:tc>
          <w:tcPr>
            <w:tcW w:w="4117" w:type="dxa"/>
          </w:tcPr>
          <w:p w14:paraId="376B6DF7"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Frumoasa</w:t>
            </w:r>
          </w:p>
        </w:tc>
      </w:tr>
      <w:tr w:rsidR="00E10222" w:rsidRPr="00C56257" w14:paraId="72E402C5" w14:textId="77777777" w:rsidTr="00543BAA">
        <w:trPr>
          <w:trHeight w:val="251"/>
        </w:trPr>
        <w:tc>
          <w:tcPr>
            <w:tcW w:w="3262" w:type="dxa"/>
            <w:vMerge/>
            <w:tcBorders>
              <w:top w:val="nil"/>
            </w:tcBorders>
          </w:tcPr>
          <w:p w14:paraId="0991C8B2" w14:textId="77777777" w:rsidR="00E10222" w:rsidRPr="00C56257" w:rsidRDefault="00E10222" w:rsidP="00246E14">
            <w:pPr>
              <w:widowControl w:val="0"/>
              <w:autoSpaceDE w:val="0"/>
              <w:autoSpaceDN w:val="0"/>
              <w:jc w:val="both"/>
              <w:rPr>
                <w:color w:val="000000" w:themeColor="text1"/>
              </w:rPr>
            </w:pPr>
          </w:p>
        </w:tc>
        <w:tc>
          <w:tcPr>
            <w:tcW w:w="2136" w:type="dxa"/>
          </w:tcPr>
          <w:p w14:paraId="38CD14BB" w14:textId="77777777" w:rsidR="00E10222" w:rsidRPr="00E10222" w:rsidRDefault="00C85EF5" w:rsidP="00E10222">
            <w:pPr>
              <w:widowControl w:val="0"/>
              <w:autoSpaceDE w:val="0"/>
              <w:autoSpaceDN w:val="0"/>
              <w:spacing w:line="232" w:lineRule="exact"/>
              <w:ind w:left="152"/>
              <w:rPr>
                <w:color w:val="000000"/>
                <w:sz w:val="22"/>
                <w:szCs w:val="22"/>
              </w:rPr>
            </w:pPr>
            <w:r>
              <w:rPr>
                <w:color w:val="000000"/>
                <w:sz w:val="22"/>
                <w:szCs w:val="22"/>
              </w:rPr>
              <w:t>ROSAC</w:t>
            </w:r>
            <w:r w:rsidR="00E10222" w:rsidRPr="00E10222">
              <w:rPr>
                <w:color w:val="000000"/>
                <w:sz w:val="22"/>
                <w:szCs w:val="22"/>
              </w:rPr>
              <w:t>0086</w:t>
            </w:r>
          </w:p>
        </w:tc>
        <w:tc>
          <w:tcPr>
            <w:tcW w:w="4117" w:type="dxa"/>
          </w:tcPr>
          <w:p w14:paraId="2EA10906"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Găina - Lucina</w:t>
            </w:r>
          </w:p>
        </w:tc>
      </w:tr>
      <w:tr w:rsidR="00E10222" w:rsidRPr="00C56257" w14:paraId="7EC82DB5" w14:textId="77777777" w:rsidTr="00543BAA">
        <w:trPr>
          <w:trHeight w:val="254"/>
        </w:trPr>
        <w:tc>
          <w:tcPr>
            <w:tcW w:w="3262" w:type="dxa"/>
            <w:vMerge/>
            <w:tcBorders>
              <w:top w:val="nil"/>
            </w:tcBorders>
          </w:tcPr>
          <w:p w14:paraId="304B265F" w14:textId="77777777" w:rsidR="00E10222" w:rsidRPr="00C56257" w:rsidRDefault="00E10222" w:rsidP="00246E14">
            <w:pPr>
              <w:widowControl w:val="0"/>
              <w:autoSpaceDE w:val="0"/>
              <w:autoSpaceDN w:val="0"/>
              <w:jc w:val="both"/>
              <w:rPr>
                <w:color w:val="000000" w:themeColor="text1"/>
              </w:rPr>
            </w:pPr>
          </w:p>
        </w:tc>
        <w:tc>
          <w:tcPr>
            <w:tcW w:w="2136" w:type="dxa"/>
          </w:tcPr>
          <w:p w14:paraId="4E0BC614" w14:textId="77777777" w:rsidR="00E10222" w:rsidRPr="00E10222" w:rsidRDefault="00E10222" w:rsidP="00E10222">
            <w:pPr>
              <w:widowControl w:val="0"/>
              <w:autoSpaceDE w:val="0"/>
              <w:autoSpaceDN w:val="0"/>
              <w:spacing w:line="232" w:lineRule="exact"/>
              <w:ind w:left="152"/>
              <w:rPr>
                <w:color w:val="000000"/>
                <w:sz w:val="22"/>
                <w:szCs w:val="22"/>
              </w:rPr>
            </w:pPr>
            <w:r w:rsidRPr="00E10222">
              <w:rPr>
                <w:color w:val="000000"/>
                <w:sz w:val="22"/>
                <w:szCs w:val="22"/>
              </w:rPr>
              <w:t>ROSCI0089</w:t>
            </w:r>
          </w:p>
        </w:tc>
        <w:tc>
          <w:tcPr>
            <w:tcW w:w="4117" w:type="dxa"/>
          </w:tcPr>
          <w:p w14:paraId="34BAD69E"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Gutâi - Creasta Cocoșului</w:t>
            </w:r>
          </w:p>
        </w:tc>
      </w:tr>
      <w:tr w:rsidR="00E10222" w:rsidRPr="00C56257" w14:paraId="128836A3" w14:textId="77777777" w:rsidTr="00543BAA">
        <w:trPr>
          <w:trHeight w:val="251"/>
        </w:trPr>
        <w:tc>
          <w:tcPr>
            <w:tcW w:w="3262" w:type="dxa"/>
            <w:vMerge/>
            <w:tcBorders>
              <w:top w:val="nil"/>
            </w:tcBorders>
          </w:tcPr>
          <w:p w14:paraId="608E6F70" w14:textId="77777777" w:rsidR="00E10222" w:rsidRPr="00C56257" w:rsidRDefault="00E10222" w:rsidP="00246E14">
            <w:pPr>
              <w:widowControl w:val="0"/>
              <w:autoSpaceDE w:val="0"/>
              <w:autoSpaceDN w:val="0"/>
              <w:jc w:val="both"/>
              <w:rPr>
                <w:color w:val="000000" w:themeColor="text1"/>
              </w:rPr>
            </w:pPr>
          </w:p>
        </w:tc>
        <w:tc>
          <w:tcPr>
            <w:tcW w:w="2136" w:type="dxa"/>
          </w:tcPr>
          <w:p w14:paraId="53561119" w14:textId="77777777" w:rsidR="00E10222" w:rsidRPr="00E10222" w:rsidRDefault="00C85EF5" w:rsidP="00E10222">
            <w:pPr>
              <w:widowControl w:val="0"/>
              <w:autoSpaceDE w:val="0"/>
              <w:autoSpaceDN w:val="0"/>
              <w:spacing w:line="232" w:lineRule="exact"/>
              <w:ind w:left="152"/>
              <w:rPr>
                <w:color w:val="000000"/>
                <w:sz w:val="22"/>
                <w:szCs w:val="22"/>
              </w:rPr>
            </w:pPr>
            <w:r>
              <w:rPr>
                <w:color w:val="000000"/>
                <w:sz w:val="22"/>
                <w:szCs w:val="22"/>
              </w:rPr>
              <w:t>ROSAC</w:t>
            </w:r>
            <w:r w:rsidR="00E10222" w:rsidRPr="00E10222">
              <w:rPr>
                <w:color w:val="000000"/>
                <w:sz w:val="22"/>
                <w:szCs w:val="22"/>
              </w:rPr>
              <w:t>0090</w:t>
            </w:r>
          </w:p>
        </w:tc>
        <w:tc>
          <w:tcPr>
            <w:tcW w:w="4117" w:type="dxa"/>
          </w:tcPr>
          <w:p w14:paraId="27DADE20"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Harghita Mădăraș</w:t>
            </w:r>
          </w:p>
        </w:tc>
      </w:tr>
      <w:tr w:rsidR="00E10222" w:rsidRPr="00C56257" w14:paraId="37ACEB45" w14:textId="77777777" w:rsidTr="00543BAA">
        <w:trPr>
          <w:trHeight w:val="253"/>
        </w:trPr>
        <w:tc>
          <w:tcPr>
            <w:tcW w:w="3262" w:type="dxa"/>
            <w:vMerge/>
            <w:tcBorders>
              <w:top w:val="nil"/>
            </w:tcBorders>
          </w:tcPr>
          <w:p w14:paraId="0EA4C9DC" w14:textId="77777777" w:rsidR="00E10222" w:rsidRPr="00C56257" w:rsidRDefault="00E10222" w:rsidP="00246E14">
            <w:pPr>
              <w:widowControl w:val="0"/>
              <w:autoSpaceDE w:val="0"/>
              <w:autoSpaceDN w:val="0"/>
              <w:jc w:val="both"/>
              <w:rPr>
                <w:color w:val="000000" w:themeColor="text1"/>
              </w:rPr>
            </w:pPr>
          </w:p>
        </w:tc>
        <w:tc>
          <w:tcPr>
            <w:tcW w:w="2136" w:type="dxa"/>
          </w:tcPr>
          <w:p w14:paraId="62E0AAB4" w14:textId="77777777" w:rsidR="00E10222" w:rsidRPr="00E10222" w:rsidRDefault="00E10222" w:rsidP="00E10222">
            <w:pPr>
              <w:widowControl w:val="0"/>
              <w:autoSpaceDE w:val="0"/>
              <w:autoSpaceDN w:val="0"/>
              <w:spacing w:line="232" w:lineRule="exact"/>
              <w:ind w:left="152"/>
              <w:rPr>
                <w:color w:val="000000"/>
                <w:sz w:val="22"/>
                <w:szCs w:val="22"/>
              </w:rPr>
            </w:pPr>
            <w:r w:rsidRPr="00E10222">
              <w:rPr>
                <w:color w:val="000000"/>
                <w:sz w:val="22"/>
                <w:szCs w:val="22"/>
              </w:rPr>
              <w:t>ROSCI0092</w:t>
            </w:r>
          </w:p>
        </w:tc>
        <w:tc>
          <w:tcPr>
            <w:tcW w:w="4117" w:type="dxa"/>
          </w:tcPr>
          <w:p w14:paraId="6001948E" w14:textId="77777777" w:rsidR="00E10222" w:rsidRPr="00E10222" w:rsidRDefault="00E10222" w:rsidP="00E10222">
            <w:pPr>
              <w:widowControl w:val="0"/>
              <w:autoSpaceDE w:val="0"/>
              <w:autoSpaceDN w:val="0"/>
              <w:spacing w:line="232" w:lineRule="exact"/>
              <w:ind w:left="152" w:right="203"/>
              <w:rPr>
                <w:color w:val="000000"/>
                <w:sz w:val="22"/>
                <w:szCs w:val="22"/>
              </w:rPr>
            </w:pPr>
            <w:r w:rsidRPr="00E10222">
              <w:rPr>
                <w:color w:val="000000"/>
                <w:sz w:val="22"/>
                <w:szCs w:val="22"/>
              </w:rPr>
              <w:t>Igniș</w:t>
            </w:r>
          </w:p>
        </w:tc>
      </w:tr>
      <w:tr w:rsidR="00E10222" w:rsidRPr="00C56257" w14:paraId="45EEF657" w14:textId="77777777" w:rsidTr="00543BAA">
        <w:trPr>
          <w:trHeight w:val="251"/>
        </w:trPr>
        <w:tc>
          <w:tcPr>
            <w:tcW w:w="3262" w:type="dxa"/>
            <w:vMerge/>
            <w:tcBorders>
              <w:top w:val="nil"/>
            </w:tcBorders>
          </w:tcPr>
          <w:p w14:paraId="7FCA8E2E" w14:textId="77777777" w:rsidR="00E10222" w:rsidRPr="00C56257" w:rsidRDefault="00E10222" w:rsidP="00246E14">
            <w:pPr>
              <w:widowControl w:val="0"/>
              <w:autoSpaceDE w:val="0"/>
              <w:autoSpaceDN w:val="0"/>
              <w:jc w:val="both"/>
              <w:rPr>
                <w:color w:val="000000" w:themeColor="text1"/>
              </w:rPr>
            </w:pPr>
          </w:p>
        </w:tc>
        <w:tc>
          <w:tcPr>
            <w:tcW w:w="2136" w:type="dxa"/>
          </w:tcPr>
          <w:p w14:paraId="18BD6BEE" w14:textId="77777777" w:rsidR="00E10222" w:rsidRPr="00E10222" w:rsidRDefault="00E10222" w:rsidP="00E10222">
            <w:pPr>
              <w:widowControl w:val="0"/>
              <w:autoSpaceDE w:val="0"/>
              <w:autoSpaceDN w:val="0"/>
              <w:spacing w:line="232" w:lineRule="exact"/>
              <w:ind w:left="152"/>
              <w:rPr>
                <w:color w:val="000000"/>
                <w:sz w:val="22"/>
                <w:szCs w:val="22"/>
              </w:rPr>
            </w:pPr>
            <w:r w:rsidRPr="00E10222">
              <w:rPr>
                <w:color w:val="000000"/>
                <w:sz w:val="22"/>
                <w:szCs w:val="22"/>
              </w:rPr>
              <w:t>ROSCI0097</w:t>
            </w:r>
          </w:p>
        </w:tc>
        <w:tc>
          <w:tcPr>
            <w:tcW w:w="4117" w:type="dxa"/>
          </w:tcPr>
          <w:p w14:paraId="35E24E9F"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Lacul Negru</w:t>
            </w:r>
          </w:p>
        </w:tc>
      </w:tr>
      <w:tr w:rsidR="00E10222" w:rsidRPr="00C56257" w14:paraId="7DF44D1C" w14:textId="77777777" w:rsidTr="00543BAA">
        <w:trPr>
          <w:trHeight w:val="254"/>
        </w:trPr>
        <w:tc>
          <w:tcPr>
            <w:tcW w:w="3262" w:type="dxa"/>
            <w:vMerge/>
            <w:tcBorders>
              <w:top w:val="nil"/>
            </w:tcBorders>
          </w:tcPr>
          <w:p w14:paraId="7B6D3381" w14:textId="77777777" w:rsidR="00E10222" w:rsidRPr="00C56257" w:rsidRDefault="00E10222" w:rsidP="00246E14">
            <w:pPr>
              <w:widowControl w:val="0"/>
              <w:autoSpaceDE w:val="0"/>
              <w:autoSpaceDN w:val="0"/>
              <w:jc w:val="both"/>
              <w:rPr>
                <w:color w:val="000000" w:themeColor="text1"/>
              </w:rPr>
            </w:pPr>
          </w:p>
        </w:tc>
        <w:tc>
          <w:tcPr>
            <w:tcW w:w="2136" w:type="dxa"/>
          </w:tcPr>
          <w:p w14:paraId="275DDC24" w14:textId="77777777" w:rsidR="00E10222" w:rsidRPr="00E10222" w:rsidRDefault="00C85EF5" w:rsidP="00E10222">
            <w:pPr>
              <w:widowControl w:val="0"/>
              <w:autoSpaceDE w:val="0"/>
              <w:autoSpaceDN w:val="0"/>
              <w:spacing w:line="232" w:lineRule="exact"/>
              <w:ind w:left="152"/>
              <w:rPr>
                <w:color w:val="000000"/>
                <w:sz w:val="22"/>
                <w:szCs w:val="22"/>
              </w:rPr>
            </w:pPr>
            <w:r>
              <w:rPr>
                <w:color w:val="000000"/>
                <w:sz w:val="22"/>
                <w:szCs w:val="22"/>
              </w:rPr>
              <w:t>ROSAC</w:t>
            </w:r>
            <w:r w:rsidR="00E10222" w:rsidRPr="00E10222">
              <w:rPr>
                <w:color w:val="000000"/>
                <w:sz w:val="22"/>
                <w:szCs w:val="22"/>
              </w:rPr>
              <w:t>0122</w:t>
            </w:r>
          </w:p>
        </w:tc>
        <w:tc>
          <w:tcPr>
            <w:tcW w:w="4117" w:type="dxa"/>
          </w:tcPr>
          <w:p w14:paraId="56D329B8"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Munții Făgăraș</w:t>
            </w:r>
          </w:p>
        </w:tc>
      </w:tr>
      <w:tr w:rsidR="00E10222" w:rsidRPr="00C56257" w14:paraId="10FB7FF4" w14:textId="77777777" w:rsidTr="00543BAA">
        <w:trPr>
          <w:trHeight w:val="254"/>
        </w:trPr>
        <w:tc>
          <w:tcPr>
            <w:tcW w:w="3262" w:type="dxa"/>
            <w:vMerge/>
            <w:tcBorders>
              <w:top w:val="nil"/>
            </w:tcBorders>
          </w:tcPr>
          <w:p w14:paraId="203F2023" w14:textId="77777777" w:rsidR="00E10222" w:rsidRPr="00C56257" w:rsidRDefault="00E10222" w:rsidP="00246E14">
            <w:pPr>
              <w:widowControl w:val="0"/>
              <w:autoSpaceDE w:val="0"/>
              <w:autoSpaceDN w:val="0"/>
              <w:jc w:val="both"/>
              <w:rPr>
                <w:color w:val="000000" w:themeColor="text1"/>
              </w:rPr>
            </w:pPr>
          </w:p>
        </w:tc>
        <w:tc>
          <w:tcPr>
            <w:tcW w:w="2136" w:type="dxa"/>
          </w:tcPr>
          <w:p w14:paraId="30C0A706" w14:textId="77777777" w:rsidR="00E10222" w:rsidRPr="00E10222" w:rsidRDefault="00C85EF5" w:rsidP="00E10222">
            <w:pPr>
              <w:widowControl w:val="0"/>
              <w:autoSpaceDE w:val="0"/>
              <w:autoSpaceDN w:val="0"/>
              <w:spacing w:line="232" w:lineRule="exact"/>
              <w:ind w:left="152"/>
              <w:rPr>
                <w:color w:val="000000"/>
                <w:sz w:val="22"/>
                <w:szCs w:val="22"/>
              </w:rPr>
            </w:pPr>
            <w:r>
              <w:rPr>
                <w:color w:val="000000"/>
                <w:sz w:val="22"/>
                <w:szCs w:val="22"/>
              </w:rPr>
              <w:t>ROSAC</w:t>
            </w:r>
            <w:r w:rsidR="00E10222" w:rsidRPr="00E10222">
              <w:rPr>
                <w:color w:val="000000"/>
                <w:sz w:val="22"/>
                <w:szCs w:val="22"/>
              </w:rPr>
              <w:t>0124</w:t>
            </w:r>
          </w:p>
        </w:tc>
        <w:tc>
          <w:tcPr>
            <w:tcW w:w="4117" w:type="dxa"/>
          </w:tcPr>
          <w:p w14:paraId="69D44F85"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Munții Maramureșului</w:t>
            </w:r>
          </w:p>
        </w:tc>
      </w:tr>
      <w:tr w:rsidR="00E10222" w:rsidRPr="00C56257" w14:paraId="0D66C9F9" w14:textId="77777777" w:rsidTr="00543BAA">
        <w:trPr>
          <w:trHeight w:val="251"/>
        </w:trPr>
        <w:tc>
          <w:tcPr>
            <w:tcW w:w="3262" w:type="dxa"/>
            <w:vMerge/>
            <w:tcBorders>
              <w:top w:val="nil"/>
            </w:tcBorders>
          </w:tcPr>
          <w:p w14:paraId="1B6876EE" w14:textId="77777777" w:rsidR="00E10222" w:rsidRPr="00C56257" w:rsidRDefault="00E10222" w:rsidP="00246E14">
            <w:pPr>
              <w:widowControl w:val="0"/>
              <w:autoSpaceDE w:val="0"/>
              <w:autoSpaceDN w:val="0"/>
              <w:jc w:val="both"/>
              <w:rPr>
                <w:color w:val="000000" w:themeColor="text1"/>
              </w:rPr>
            </w:pPr>
          </w:p>
        </w:tc>
        <w:tc>
          <w:tcPr>
            <w:tcW w:w="2136" w:type="dxa"/>
            <w:vAlign w:val="bottom"/>
          </w:tcPr>
          <w:p w14:paraId="11A74049" w14:textId="77777777" w:rsidR="00E10222" w:rsidRPr="00E10222" w:rsidRDefault="00E10222" w:rsidP="00E10222">
            <w:pPr>
              <w:widowControl w:val="0"/>
              <w:autoSpaceDE w:val="0"/>
              <w:autoSpaceDN w:val="0"/>
              <w:spacing w:line="232" w:lineRule="exact"/>
              <w:ind w:left="152"/>
              <w:rPr>
                <w:color w:val="000000"/>
                <w:sz w:val="22"/>
                <w:szCs w:val="22"/>
              </w:rPr>
            </w:pPr>
            <w:r w:rsidRPr="00E10222">
              <w:rPr>
                <w:color w:val="000000"/>
                <w:sz w:val="22"/>
                <w:szCs w:val="22"/>
              </w:rPr>
              <w:t>ROSCI0125</w:t>
            </w:r>
          </w:p>
        </w:tc>
        <w:tc>
          <w:tcPr>
            <w:tcW w:w="4117" w:type="dxa"/>
            <w:vAlign w:val="bottom"/>
          </w:tcPr>
          <w:p w14:paraId="5859F05B"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Munții Rodnei</w:t>
            </w:r>
          </w:p>
        </w:tc>
      </w:tr>
      <w:tr w:rsidR="00E10222" w:rsidRPr="00C56257" w14:paraId="0C3E6BA5" w14:textId="77777777" w:rsidTr="00543BAA">
        <w:trPr>
          <w:trHeight w:val="251"/>
        </w:trPr>
        <w:tc>
          <w:tcPr>
            <w:tcW w:w="3262" w:type="dxa"/>
            <w:vMerge/>
            <w:tcBorders>
              <w:top w:val="nil"/>
            </w:tcBorders>
          </w:tcPr>
          <w:p w14:paraId="3B5F130C" w14:textId="77777777" w:rsidR="00E10222" w:rsidRPr="00C56257" w:rsidRDefault="00E10222" w:rsidP="00246E14">
            <w:pPr>
              <w:widowControl w:val="0"/>
              <w:autoSpaceDE w:val="0"/>
              <w:autoSpaceDN w:val="0"/>
              <w:jc w:val="both"/>
              <w:rPr>
                <w:color w:val="000000" w:themeColor="text1"/>
              </w:rPr>
            </w:pPr>
          </w:p>
        </w:tc>
        <w:tc>
          <w:tcPr>
            <w:tcW w:w="2136" w:type="dxa"/>
            <w:vAlign w:val="bottom"/>
          </w:tcPr>
          <w:p w14:paraId="496A9909" w14:textId="77777777" w:rsidR="00E10222" w:rsidRPr="00E10222" w:rsidRDefault="00E10222" w:rsidP="00E10222">
            <w:pPr>
              <w:widowControl w:val="0"/>
              <w:autoSpaceDE w:val="0"/>
              <w:autoSpaceDN w:val="0"/>
              <w:spacing w:line="232" w:lineRule="exact"/>
              <w:ind w:left="152"/>
              <w:rPr>
                <w:color w:val="000000"/>
                <w:sz w:val="22"/>
                <w:szCs w:val="22"/>
              </w:rPr>
            </w:pPr>
            <w:r w:rsidRPr="00E10222">
              <w:rPr>
                <w:color w:val="000000"/>
                <w:sz w:val="22"/>
                <w:szCs w:val="22"/>
              </w:rPr>
              <w:t>ROSCI0226</w:t>
            </w:r>
          </w:p>
        </w:tc>
        <w:tc>
          <w:tcPr>
            <w:tcW w:w="4117" w:type="dxa"/>
            <w:vAlign w:val="bottom"/>
          </w:tcPr>
          <w:p w14:paraId="197DDAC5"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Semenic - Cheile Carașului</w:t>
            </w:r>
          </w:p>
        </w:tc>
      </w:tr>
      <w:tr w:rsidR="00E10222" w:rsidRPr="00C56257" w14:paraId="6041DAA1" w14:textId="77777777" w:rsidTr="00543BAA">
        <w:trPr>
          <w:trHeight w:val="251"/>
        </w:trPr>
        <w:tc>
          <w:tcPr>
            <w:tcW w:w="3262" w:type="dxa"/>
            <w:vMerge/>
            <w:tcBorders>
              <w:top w:val="nil"/>
            </w:tcBorders>
          </w:tcPr>
          <w:p w14:paraId="51B455A2" w14:textId="77777777" w:rsidR="00E10222" w:rsidRPr="00C56257" w:rsidRDefault="00E10222" w:rsidP="00246E14">
            <w:pPr>
              <w:widowControl w:val="0"/>
              <w:autoSpaceDE w:val="0"/>
              <w:autoSpaceDN w:val="0"/>
              <w:jc w:val="both"/>
              <w:rPr>
                <w:color w:val="000000" w:themeColor="text1"/>
              </w:rPr>
            </w:pPr>
          </w:p>
        </w:tc>
        <w:tc>
          <w:tcPr>
            <w:tcW w:w="2136" w:type="dxa"/>
            <w:vAlign w:val="bottom"/>
          </w:tcPr>
          <w:p w14:paraId="0E4606A4" w14:textId="77777777" w:rsidR="00E10222" w:rsidRPr="00E10222" w:rsidRDefault="00C85EF5" w:rsidP="00E10222">
            <w:pPr>
              <w:widowControl w:val="0"/>
              <w:autoSpaceDE w:val="0"/>
              <w:autoSpaceDN w:val="0"/>
              <w:spacing w:line="232" w:lineRule="exact"/>
              <w:ind w:left="152"/>
              <w:rPr>
                <w:color w:val="000000"/>
                <w:sz w:val="22"/>
                <w:szCs w:val="22"/>
              </w:rPr>
            </w:pPr>
            <w:r>
              <w:rPr>
                <w:color w:val="000000"/>
                <w:sz w:val="22"/>
                <w:szCs w:val="22"/>
              </w:rPr>
              <w:t>ROSAC</w:t>
            </w:r>
            <w:r w:rsidR="00E10222" w:rsidRPr="00E10222">
              <w:rPr>
                <w:color w:val="000000"/>
                <w:sz w:val="22"/>
                <w:szCs w:val="22"/>
              </w:rPr>
              <w:t>0242</w:t>
            </w:r>
          </w:p>
        </w:tc>
        <w:tc>
          <w:tcPr>
            <w:tcW w:w="4117" w:type="dxa"/>
            <w:vAlign w:val="bottom"/>
          </w:tcPr>
          <w:p w14:paraId="2F796C70"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Tinovul Apa Roșie</w:t>
            </w:r>
          </w:p>
        </w:tc>
      </w:tr>
      <w:tr w:rsidR="00E10222" w:rsidRPr="00C56257" w14:paraId="1A578CBA" w14:textId="77777777" w:rsidTr="00543BAA">
        <w:trPr>
          <w:trHeight w:val="251"/>
        </w:trPr>
        <w:tc>
          <w:tcPr>
            <w:tcW w:w="3262" w:type="dxa"/>
            <w:vMerge/>
            <w:tcBorders>
              <w:top w:val="nil"/>
            </w:tcBorders>
          </w:tcPr>
          <w:p w14:paraId="596D3970" w14:textId="77777777" w:rsidR="00E10222" w:rsidRPr="00C56257" w:rsidRDefault="00E10222" w:rsidP="00246E14">
            <w:pPr>
              <w:widowControl w:val="0"/>
              <w:autoSpaceDE w:val="0"/>
              <w:autoSpaceDN w:val="0"/>
              <w:jc w:val="both"/>
              <w:rPr>
                <w:color w:val="000000" w:themeColor="text1"/>
              </w:rPr>
            </w:pPr>
          </w:p>
        </w:tc>
        <w:tc>
          <w:tcPr>
            <w:tcW w:w="2136" w:type="dxa"/>
            <w:vAlign w:val="bottom"/>
          </w:tcPr>
          <w:p w14:paraId="4E416D8E" w14:textId="77777777" w:rsidR="00E10222" w:rsidRPr="00E10222" w:rsidRDefault="00C85EF5" w:rsidP="00C85EF5">
            <w:pPr>
              <w:widowControl w:val="0"/>
              <w:autoSpaceDE w:val="0"/>
              <w:autoSpaceDN w:val="0"/>
              <w:spacing w:line="232" w:lineRule="exact"/>
              <w:ind w:left="152"/>
              <w:rPr>
                <w:color w:val="000000"/>
                <w:sz w:val="22"/>
                <w:szCs w:val="22"/>
              </w:rPr>
            </w:pPr>
            <w:r>
              <w:rPr>
                <w:color w:val="000000"/>
                <w:sz w:val="22"/>
                <w:szCs w:val="22"/>
              </w:rPr>
              <w:t>ROSAC</w:t>
            </w:r>
            <w:r w:rsidR="00E10222" w:rsidRPr="00E10222">
              <w:rPr>
                <w:color w:val="000000"/>
                <w:sz w:val="22"/>
                <w:szCs w:val="22"/>
              </w:rPr>
              <w:t>0248</w:t>
            </w:r>
          </w:p>
        </w:tc>
        <w:tc>
          <w:tcPr>
            <w:tcW w:w="4117" w:type="dxa"/>
            <w:vAlign w:val="bottom"/>
          </w:tcPr>
          <w:p w14:paraId="3F14C1B2"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Tinovul Mohoș - Lacul Sf. Ana</w:t>
            </w:r>
          </w:p>
        </w:tc>
      </w:tr>
      <w:tr w:rsidR="00E10222" w:rsidRPr="00C56257" w14:paraId="4E49F1D7" w14:textId="77777777" w:rsidTr="00543BAA">
        <w:trPr>
          <w:trHeight w:val="253"/>
        </w:trPr>
        <w:tc>
          <w:tcPr>
            <w:tcW w:w="3262" w:type="dxa"/>
            <w:vMerge/>
            <w:tcBorders>
              <w:top w:val="nil"/>
            </w:tcBorders>
          </w:tcPr>
          <w:p w14:paraId="2BBE84DA" w14:textId="77777777" w:rsidR="00E10222" w:rsidRPr="00C56257" w:rsidRDefault="00E10222" w:rsidP="00246E14">
            <w:pPr>
              <w:widowControl w:val="0"/>
              <w:autoSpaceDE w:val="0"/>
              <w:autoSpaceDN w:val="0"/>
              <w:jc w:val="both"/>
              <w:rPr>
                <w:color w:val="000000" w:themeColor="text1"/>
              </w:rPr>
            </w:pPr>
          </w:p>
        </w:tc>
        <w:tc>
          <w:tcPr>
            <w:tcW w:w="2136" w:type="dxa"/>
            <w:vAlign w:val="bottom"/>
          </w:tcPr>
          <w:p w14:paraId="46FB6B66" w14:textId="77777777" w:rsidR="00E10222" w:rsidRPr="00E10222" w:rsidRDefault="00E10222" w:rsidP="00E10222">
            <w:pPr>
              <w:widowControl w:val="0"/>
              <w:autoSpaceDE w:val="0"/>
              <w:autoSpaceDN w:val="0"/>
              <w:spacing w:line="232" w:lineRule="exact"/>
              <w:ind w:left="152"/>
              <w:rPr>
                <w:color w:val="000000"/>
                <w:sz w:val="22"/>
                <w:szCs w:val="22"/>
              </w:rPr>
            </w:pPr>
            <w:r w:rsidRPr="00E10222">
              <w:rPr>
                <w:color w:val="000000"/>
                <w:sz w:val="22"/>
                <w:szCs w:val="22"/>
              </w:rPr>
              <w:t>ROSCI0256</w:t>
            </w:r>
          </w:p>
        </w:tc>
        <w:tc>
          <w:tcPr>
            <w:tcW w:w="4117" w:type="dxa"/>
            <w:vAlign w:val="bottom"/>
          </w:tcPr>
          <w:p w14:paraId="3653F77B"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Turbăria Ruginosu Zagon</w:t>
            </w:r>
          </w:p>
        </w:tc>
      </w:tr>
      <w:tr w:rsidR="00E10222" w:rsidRPr="00C56257" w14:paraId="79A58E03" w14:textId="77777777" w:rsidTr="00543BAA">
        <w:trPr>
          <w:trHeight w:val="251"/>
        </w:trPr>
        <w:tc>
          <w:tcPr>
            <w:tcW w:w="3262" w:type="dxa"/>
            <w:vMerge/>
            <w:tcBorders>
              <w:top w:val="nil"/>
            </w:tcBorders>
          </w:tcPr>
          <w:p w14:paraId="05CF9BE0" w14:textId="77777777" w:rsidR="00E10222" w:rsidRPr="00C56257" w:rsidRDefault="00E10222" w:rsidP="00246E14">
            <w:pPr>
              <w:widowControl w:val="0"/>
              <w:autoSpaceDE w:val="0"/>
              <w:autoSpaceDN w:val="0"/>
              <w:jc w:val="both"/>
              <w:rPr>
                <w:color w:val="000000" w:themeColor="text1"/>
              </w:rPr>
            </w:pPr>
          </w:p>
        </w:tc>
        <w:tc>
          <w:tcPr>
            <w:tcW w:w="2136" w:type="dxa"/>
            <w:vAlign w:val="bottom"/>
          </w:tcPr>
          <w:p w14:paraId="089BA0E4" w14:textId="77777777" w:rsidR="00E10222" w:rsidRPr="00E10222" w:rsidRDefault="00E10222" w:rsidP="00E10222">
            <w:pPr>
              <w:widowControl w:val="0"/>
              <w:autoSpaceDE w:val="0"/>
              <w:autoSpaceDN w:val="0"/>
              <w:spacing w:line="232" w:lineRule="exact"/>
              <w:ind w:left="152"/>
              <w:rPr>
                <w:color w:val="000000"/>
                <w:sz w:val="22"/>
                <w:szCs w:val="22"/>
              </w:rPr>
            </w:pPr>
            <w:r w:rsidRPr="00E10222">
              <w:rPr>
                <w:color w:val="000000"/>
                <w:sz w:val="22"/>
                <w:szCs w:val="22"/>
              </w:rPr>
              <w:t>ROSCI0264</w:t>
            </w:r>
          </w:p>
        </w:tc>
        <w:tc>
          <w:tcPr>
            <w:tcW w:w="4117" w:type="dxa"/>
            <w:vAlign w:val="bottom"/>
          </w:tcPr>
          <w:p w14:paraId="55780D5D"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Valea Izei și Dealul Solovan</w:t>
            </w:r>
          </w:p>
        </w:tc>
      </w:tr>
      <w:tr w:rsidR="00E10222" w:rsidRPr="00C56257" w14:paraId="780F0730" w14:textId="77777777" w:rsidTr="00543BAA">
        <w:trPr>
          <w:trHeight w:val="254"/>
        </w:trPr>
        <w:tc>
          <w:tcPr>
            <w:tcW w:w="3262" w:type="dxa"/>
            <w:vMerge/>
            <w:tcBorders>
              <w:top w:val="nil"/>
            </w:tcBorders>
          </w:tcPr>
          <w:p w14:paraId="5F45F223" w14:textId="77777777" w:rsidR="00E10222" w:rsidRPr="00C56257" w:rsidRDefault="00E10222" w:rsidP="00246E14">
            <w:pPr>
              <w:widowControl w:val="0"/>
              <w:autoSpaceDE w:val="0"/>
              <w:autoSpaceDN w:val="0"/>
              <w:jc w:val="both"/>
              <w:rPr>
                <w:color w:val="000000" w:themeColor="text1"/>
              </w:rPr>
            </w:pPr>
          </w:p>
        </w:tc>
        <w:tc>
          <w:tcPr>
            <w:tcW w:w="2136" w:type="dxa"/>
            <w:vAlign w:val="bottom"/>
          </w:tcPr>
          <w:p w14:paraId="19671C08" w14:textId="77777777" w:rsidR="00E10222" w:rsidRPr="00E10222" w:rsidRDefault="00C85EF5" w:rsidP="00E10222">
            <w:pPr>
              <w:widowControl w:val="0"/>
              <w:autoSpaceDE w:val="0"/>
              <w:autoSpaceDN w:val="0"/>
              <w:spacing w:line="232" w:lineRule="exact"/>
              <w:ind w:left="152"/>
              <w:rPr>
                <w:color w:val="000000"/>
                <w:sz w:val="22"/>
                <w:szCs w:val="22"/>
              </w:rPr>
            </w:pPr>
            <w:r>
              <w:rPr>
                <w:color w:val="000000"/>
                <w:sz w:val="22"/>
                <w:szCs w:val="22"/>
              </w:rPr>
              <w:t>ROSAC</w:t>
            </w:r>
            <w:r w:rsidR="00E10222" w:rsidRPr="00E10222">
              <w:rPr>
                <w:color w:val="000000"/>
                <w:sz w:val="22"/>
                <w:szCs w:val="22"/>
              </w:rPr>
              <w:t>0322</w:t>
            </w:r>
          </w:p>
        </w:tc>
        <w:tc>
          <w:tcPr>
            <w:tcW w:w="4117" w:type="dxa"/>
            <w:vAlign w:val="bottom"/>
          </w:tcPr>
          <w:p w14:paraId="23AB274A"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Muntele Șes</w:t>
            </w:r>
          </w:p>
        </w:tc>
      </w:tr>
      <w:tr w:rsidR="00E10222" w:rsidRPr="00C56257" w14:paraId="5D4548F3" w14:textId="77777777" w:rsidTr="00543BAA">
        <w:trPr>
          <w:trHeight w:val="251"/>
        </w:trPr>
        <w:tc>
          <w:tcPr>
            <w:tcW w:w="3262" w:type="dxa"/>
            <w:vMerge w:val="restart"/>
          </w:tcPr>
          <w:p w14:paraId="7393BD50" w14:textId="77777777" w:rsidR="00E10222" w:rsidRPr="00C56257" w:rsidRDefault="00E10222" w:rsidP="00246E14">
            <w:pPr>
              <w:widowControl w:val="0"/>
              <w:autoSpaceDE w:val="0"/>
              <w:autoSpaceDN w:val="0"/>
              <w:spacing w:line="246" w:lineRule="exact"/>
              <w:ind w:left="107"/>
              <w:jc w:val="both"/>
              <w:rPr>
                <w:color w:val="000000" w:themeColor="text1"/>
              </w:rPr>
            </w:pPr>
            <w:r w:rsidRPr="00C56257">
              <w:rPr>
                <w:color w:val="000000" w:themeColor="text1"/>
              </w:rPr>
              <w:t>7150</w:t>
            </w:r>
            <w:r w:rsidRPr="00C56257">
              <w:rPr>
                <w:color w:val="000000" w:themeColor="text1"/>
                <w:spacing w:val="-3"/>
              </w:rPr>
              <w:t xml:space="preserve"> </w:t>
            </w:r>
            <w:r w:rsidRPr="00C56257">
              <w:rPr>
                <w:color w:val="000000" w:themeColor="text1"/>
              </w:rPr>
              <w:t>Comunități</w:t>
            </w:r>
            <w:r w:rsidRPr="00C56257">
              <w:rPr>
                <w:color w:val="000000" w:themeColor="text1"/>
                <w:spacing w:val="-1"/>
              </w:rPr>
              <w:t xml:space="preserve"> </w:t>
            </w:r>
            <w:r w:rsidRPr="00C56257">
              <w:rPr>
                <w:color w:val="000000" w:themeColor="text1"/>
              </w:rPr>
              <w:t>depresionare</w:t>
            </w:r>
            <w:r w:rsidRPr="00C56257">
              <w:rPr>
                <w:color w:val="000000" w:themeColor="text1"/>
                <w:spacing w:val="-3"/>
              </w:rPr>
              <w:t xml:space="preserve"> </w:t>
            </w:r>
            <w:r w:rsidRPr="00C56257">
              <w:rPr>
                <w:color w:val="000000" w:themeColor="text1"/>
              </w:rPr>
              <w:t>din</w:t>
            </w:r>
            <w:r w:rsidRPr="00C56257">
              <w:rPr>
                <w:color w:val="000000" w:themeColor="text1"/>
                <w:spacing w:val="-1"/>
              </w:rPr>
              <w:t xml:space="preserve"> </w:t>
            </w:r>
            <w:r w:rsidRPr="00C56257">
              <w:rPr>
                <w:i/>
                <w:color w:val="000000" w:themeColor="text1"/>
              </w:rPr>
              <w:t>Rhynchosporion</w:t>
            </w:r>
            <w:r w:rsidRPr="00C56257">
              <w:rPr>
                <w:i/>
                <w:color w:val="000000" w:themeColor="text1"/>
                <w:spacing w:val="-3"/>
              </w:rPr>
              <w:t xml:space="preserve"> </w:t>
            </w:r>
            <w:r w:rsidRPr="00C56257">
              <w:rPr>
                <w:color w:val="000000" w:themeColor="text1"/>
              </w:rPr>
              <w:t>pe</w:t>
            </w:r>
          </w:p>
          <w:p w14:paraId="05D29017" w14:textId="77777777" w:rsidR="00E10222" w:rsidRPr="00C56257" w:rsidRDefault="00E10222" w:rsidP="00246E14">
            <w:pPr>
              <w:widowControl w:val="0"/>
              <w:autoSpaceDE w:val="0"/>
              <w:autoSpaceDN w:val="0"/>
              <w:spacing w:line="250" w:lineRule="exact"/>
              <w:ind w:left="107"/>
              <w:jc w:val="both"/>
              <w:rPr>
                <w:color w:val="000000" w:themeColor="text1"/>
              </w:rPr>
            </w:pPr>
            <w:r w:rsidRPr="00C56257">
              <w:rPr>
                <w:color w:val="000000" w:themeColor="text1"/>
              </w:rPr>
              <w:t>substrate</w:t>
            </w:r>
            <w:r w:rsidRPr="00C56257">
              <w:rPr>
                <w:color w:val="000000" w:themeColor="text1"/>
                <w:spacing w:val="-4"/>
              </w:rPr>
              <w:t xml:space="preserve"> </w:t>
            </w:r>
            <w:r w:rsidRPr="00C56257">
              <w:rPr>
                <w:color w:val="000000" w:themeColor="text1"/>
              </w:rPr>
              <w:t>turboase</w:t>
            </w:r>
          </w:p>
        </w:tc>
        <w:tc>
          <w:tcPr>
            <w:tcW w:w="2136" w:type="dxa"/>
            <w:vAlign w:val="bottom"/>
          </w:tcPr>
          <w:p w14:paraId="79EE76BA" w14:textId="77777777" w:rsidR="00E10222" w:rsidRPr="00E10222" w:rsidRDefault="00E10222" w:rsidP="00E10222">
            <w:pPr>
              <w:widowControl w:val="0"/>
              <w:autoSpaceDE w:val="0"/>
              <w:autoSpaceDN w:val="0"/>
              <w:spacing w:line="232" w:lineRule="exact"/>
              <w:ind w:left="152"/>
              <w:rPr>
                <w:color w:val="000000"/>
                <w:sz w:val="22"/>
                <w:szCs w:val="22"/>
              </w:rPr>
            </w:pPr>
            <w:r w:rsidRPr="00E10222">
              <w:rPr>
                <w:color w:val="000000"/>
                <w:sz w:val="22"/>
                <w:szCs w:val="22"/>
              </w:rPr>
              <w:t>ROSCI0002</w:t>
            </w:r>
          </w:p>
        </w:tc>
        <w:tc>
          <w:tcPr>
            <w:tcW w:w="4117" w:type="dxa"/>
            <w:vAlign w:val="bottom"/>
          </w:tcPr>
          <w:p w14:paraId="4C4DBC80"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Apuseni</w:t>
            </w:r>
          </w:p>
        </w:tc>
      </w:tr>
      <w:tr w:rsidR="00E10222" w:rsidRPr="00C56257" w14:paraId="19BD4AA4" w14:textId="77777777" w:rsidTr="00543BAA">
        <w:trPr>
          <w:trHeight w:val="253"/>
        </w:trPr>
        <w:tc>
          <w:tcPr>
            <w:tcW w:w="3262" w:type="dxa"/>
            <w:vMerge/>
            <w:tcBorders>
              <w:top w:val="nil"/>
            </w:tcBorders>
          </w:tcPr>
          <w:p w14:paraId="460C72EF" w14:textId="77777777" w:rsidR="00E10222" w:rsidRPr="00C56257" w:rsidRDefault="00E10222" w:rsidP="00246E14">
            <w:pPr>
              <w:widowControl w:val="0"/>
              <w:autoSpaceDE w:val="0"/>
              <w:autoSpaceDN w:val="0"/>
              <w:jc w:val="both"/>
              <w:rPr>
                <w:color w:val="000000" w:themeColor="text1"/>
              </w:rPr>
            </w:pPr>
          </w:p>
        </w:tc>
        <w:tc>
          <w:tcPr>
            <w:tcW w:w="2136" w:type="dxa"/>
            <w:vAlign w:val="bottom"/>
          </w:tcPr>
          <w:p w14:paraId="66A220CD" w14:textId="77777777" w:rsidR="00E10222" w:rsidRPr="00E10222" w:rsidRDefault="00C85EF5" w:rsidP="00E10222">
            <w:pPr>
              <w:widowControl w:val="0"/>
              <w:autoSpaceDE w:val="0"/>
              <w:autoSpaceDN w:val="0"/>
              <w:spacing w:line="232" w:lineRule="exact"/>
              <w:ind w:left="152"/>
              <w:rPr>
                <w:color w:val="000000"/>
                <w:sz w:val="22"/>
                <w:szCs w:val="22"/>
              </w:rPr>
            </w:pPr>
            <w:r>
              <w:rPr>
                <w:color w:val="000000"/>
                <w:sz w:val="22"/>
                <w:szCs w:val="22"/>
              </w:rPr>
              <w:t>ROSAC</w:t>
            </w:r>
            <w:r w:rsidR="00E10222" w:rsidRPr="00E10222">
              <w:rPr>
                <w:color w:val="000000"/>
                <w:sz w:val="22"/>
                <w:szCs w:val="22"/>
              </w:rPr>
              <w:t>0112</w:t>
            </w:r>
          </w:p>
        </w:tc>
        <w:tc>
          <w:tcPr>
            <w:tcW w:w="4117" w:type="dxa"/>
            <w:vAlign w:val="bottom"/>
          </w:tcPr>
          <w:p w14:paraId="74D13A7A"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Mlaca Tătarilor</w:t>
            </w:r>
          </w:p>
        </w:tc>
      </w:tr>
      <w:tr w:rsidR="00E10222" w:rsidRPr="00C56257" w14:paraId="7D311612" w14:textId="77777777" w:rsidTr="00543BAA">
        <w:trPr>
          <w:trHeight w:val="253"/>
        </w:trPr>
        <w:tc>
          <w:tcPr>
            <w:tcW w:w="3262" w:type="dxa"/>
            <w:vMerge w:val="restart"/>
          </w:tcPr>
          <w:p w14:paraId="0DE533D9" w14:textId="77777777" w:rsidR="00E10222" w:rsidRPr="00C56257" w:rsidRDefault="00E10222" w:rsidP="00246E14">
            <w:pPr>
              <w:widowControl w:val="0"/>
              <w:autoSpaceDE w:val="0"/>
              <w:autoSpaceDN w:val="0"/>
              <w:spacing w:line="247" w:lineRule="exact"/>
              <w:ind w:left="107"/>
              <w:jc w:val="both"/>
              <w:rPr>
                <w:i/>
                <w:color w:val="000000" w:themeColor="text1"/>
              </w:rPr>
            </w:pPr>
            <w:r w:rsidRPr="00C56257">
              <w:rPr>
                <w:color w:val="000000" w:themeColor="text1"/>
              </w:rPr>
              <w:t>7210*</w:t>
            </w:r>
            <w:r w:rsidRPr="00C56257">
              <w:rPr>
                <w:color w:val="000000" w:themeColor="text1"/>
                <w:spacing w:val="-2"/>
              </w:rPr>
              <w:t xml:space="preserve"> </w:t>
            </w:r>
            <w:r w:rsidRPr="00C56257">
              <w:rPr>
                <w:color w:val="000000" w:themeColor="text1"/>
              </w:rPr>
              <w:t>Mlaștini</w:t>
            </w:r>
            <w:r w:rsidRPr="00C56257">
              <w:rPr>
                <w:color w:val="000000" w:themeColor="text1"/>
                <w:spacing w:val="-4"/>
              </w:rPr>
              <w:t xml:space="preserve"> </w:t>
            </w:r>
            <w:r w:rsidRPr="00C56257">
              <w:rPr>
                <w:color w:val="000000" w:themeColor="text1"/>
              </w:rPr>
              <w:t>calcaroase</w:t>
            </w:r>
            <w:r w:rsidRPr="00C56257">
              <w:rPr>
                <w:color w:val="000000" w:themeColor="text1"/>
                <w:spacing w:val="-3"/>
              </w:rPr>
              <w:t xml:space="preserve"> </w:t>
            </w:r>
            <w:r w:rsidRPr="00C56257">
              <w:rPr>
                <w:color w:val="000000" w:themeColor="text1"/>
              </w:rPr>
              <w:t xml:space="preserve">cu </w:t>
            </w:r>
            <w:r w:rsidRPr="00C56257">
              <w:rPr>
                <w:i/>
                <w:color w:val="000000" w:themeColor="text1"/>
              </w:rPr>
              <w:t>Cladium</w:t>
            </w:r>
            <w:r w:rsidRPr="00C56257">
              <w:rPr>
                <w:i/>
                <w:color w:val="000000" w:themeColor="text1"/>
                <w:spacing w:val="-2"/>
              </w:rPr>
              <w:t xml:space="preserve"> </w:t>
            </w:r>
            <w:r w:rsidRPr="00C56257">
              <w:rPr>
                <w:i/>
                <w:color w:val="000000" w:themeColor="text1"/>
              </w:rPr>
              <w:t>mariscus</w:t>
            </w:r>
          </w:p>
        </w:tc>
        <w:tc>
          <w:tcPr>
            <w:tcW w:w="2136" w:type="dxa"/>
            <w:vAlign w:val="bottom"/>
          </w:tcPr>
          <w:p w14:paraId="2D02BD23" w14:textId="77777777" w:rsidR="00E10222" w:rsidRPr="00E10222" w:rsidRDefault="00E10222" w:rsidP="00E10222">
            <w:pPr>
              <w:widowControl w:val="0"/>
              <w:autoSpaceDE w:val="0"/>
              <w:autoSpaceDN w:val="0"/>
              <w:spacing w:line="232" w:lineRule="exact"/>
              <w:ind w:left="152"/>
              <w:rPr>
                <w:color w:val="000000"/>
                <w:sz w:val="22"/>
                <w:szCs w:val="22"/>
              </w:rPr>
            </w:pPr>
            <w:r w:rsidRPr="00E10222">
              <w:rPr>
                <w:color w:val="000000"/>
                <w:sz w:val="22"/>
                <w:szCs w:val="22"/>
              </w:rPr>
              <w:t>ROSCI0055</w:t>
            </w:r>
          </w:p>
        </w:tc>
        <w:tc>
          <w:tcPr>
            <w:tcW w:w="4117" w:type="dxa"/>
            <w:vAlign w:val="bottom"/>
          </w:tcPr>
          <w:p w14:paraId="5D1EAF1F"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Dealul Cetății Lempeș - Mlaștina Hărman</w:t>
            </w:r>
          </w:p>
        </w:tc>
      </w:tr>
      <w:tr w:rsidR="00E10222" w:rsidRPr="00C56257" w14:paraId="217F8C60" w14:textId="77777777" w:rsidTr="00543BAA">
        <w:trPr>
          <w:trHeight w:val="251"/>
        </w:trPr>
        <w:tc>
          <w:tcPr>
            <w:tcW w:w="3262" w:type="dxa"/>
            <w:vMerge/>
            <w:tcBorders>
              <w:top w:val="nil"/>
            </w:tcBorders>
          </w:tcPr>
          <w:p w14:paraId="5F289A43" w14:textId="77777777" w:rsidR="00E10222" w:rsidRPr="00C56257" w:rsidRDefault="00E10222" w:rsidP="00246E14">
            <w:pPr>
              <w:widowControl w:val="0"/>
              <w:autoSpaceDE w:val="0"/>
              <w:autoSpaceDN w:val="0"/>
              <w:jc w:val="both"/>
              <w:rPr>
                <w:color w:val="000000" w:themeColor="text1"/>
              </w:rPr>
            </w:pPr>
          </w:p>
        </w:tc>
        <w:tc>
          <w:tcPr>
            <w:tcW w:w="2136" w:type="dxa"/>
            <w:vAlign w:val="bottom"/>
          </w:tcPr>
          <w:p w14:paraId="33B2E192" w14:textId="77777777" w:rsidR="00E10222" w:rsidRPr="00E10222" w:rsidRDefault="00E10222" w:rsidP="00E10222">
            <w:pPr>
              <w:widowControl w:val="0"/>
              <w:autoSpaceDE w:val="0"/>
              <w:autoSpaceDN w:val="0"/>
              <w:spacing w:line="232" w:lineRule="exact"/>
              <w:ind w:left="152"/>
              <w:rPr>
                <w:color w:val="000000"/>
                <w:sz w:val="22"/>
                <w:szCs w:val="22"/>
              </w:rPr>
            </w:pPr>
            <w:r w:rsidRPr="00E10222">
              <w:rPr>
                <w:color w:val="000000"/>
                <w:sz w:val="22"/>
                <w:szCs w:val="22"/>
              </w:rPr>
              <w:t>ROSCI0065</w:t>
            </w:r>
          </w:p>
        </w:tc>
        <w:tc>
          <w:tcPr>
            <w:tcW w:w="4117" w:type="dxa"/>
            <w:vAlign w:val="bottom"/>
          </w:tcPr>
          <w:p w14:paraId="708460B9"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Delta Dunării</w:t>
            </w:r>
          </w:p>
        </w:tc>
      </w:tr>
      <w:tr w:rsidR="00E10222" w:rsidRPr="00C56257" w14:paraId="0BD3BA6C" w14:textId="77777777" w:rsidTr="00543BAA">
        <w:trPr>
          <w:trHeight w:val="251"/>
        </w:trPr>
        <w:tc>
          <w:tcPr>
            <w:tcW w:w="3262" w:type="dxa"/>
            <w:vMerge/>
            <w:tcBorders>
              <w:top w:val="nil"/>
            </w:tcBorders>
          </w:tcPr>
          <w:p w14:paraId="3538F965" w14:textId="77777777" w:rsidR="00E10222" w:rsidRPr="00C56257" w:rsidRDefault="00E10222" w:rsidP="00246E14">
            <w:pPr>
              <w:widowControl w:val="0"/>
              <w:autoSpaceDE w:val="0"/>
              <w:autoSpaceDN w:val="0"/>
              <w:jc w:val="both"/>
              <w:rPr>
                <w:color w:val="000000" w:themeColor="text1"/>
              </w:rPr>
            </w:pPr>
          </w:p>
        </w:tc>
        <w:tc>
          <w:tcPr>
            <w:tcW w:w="2136" w:type="dxa"/>
            <w:vAlign w:val="bottom"/>
          </w:tcPr>
          <w:p w14:paraId="65C46C35" w14:textId="77777777" w:rsidR="00E10222" w:rsidRPr="00E10222" w:rsidRDefault="00C85EF5" w:rsidP="00E10222">
            <w:pPr>
              <w:widowControl w:val="0"/>
              <w:autoSpaceDE w:val="0"/>
              <w:autoSpaceDN w:val="0"/>
              <w:spacing w:line="232" w:lineRule="exact"/>
              <w:ind w:left="152"/>
              <w:rPr>
                <w:color w:val="000000"/>
                <w:sz w:val="22"/>
                <w:szCs w:val="22"/>
              </w:rPr>
            </w:pPr>
            <w:r>
              <w:rPr>
                <w:color w:val="000000"/>
                <w:sz w:val="22"/>
                <w:szCs w:val="22"/>
              </w:rPr>
              <w:t>ROSCI</w:t>
            </w:r>
            <w:r w:rsidR="00E10222" w:rsidRPr="00E10222">
              <w:rPr>
                <w:color w:val="000000"/>
                <w:sz w:val="22"/>
                <w:szCs w:val="22"/>
              </w:rPr>
              <w:t>0074</w:t>
            </w:r>
          </w:p>
        </w:tc>
        <w:tc>
          <w:tcPr>
            <w:tcW w:w="4117" w:type="dxa"/>
            <w:vAlign w:val="bottom"/>
          </w:tcPr>
          <w:p w14:paraId="3B782943"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Făgetul Clujului - Valea Morii</w:t>
            </w:r>
          </w:p>
        </w:tc>
      </w:tr>
      <w:tr w:rsidR="00E10222" w:rsidRPr="00C56257" w14:paraId="7127538F" w14:textId="77777777" w:rsidTr="00543BAA">
        <w:trPr>
          <w:trHeight w:val="254"/>
        </w:trPr>
        <w:tc>
          <w:tcPr>
            <w:tcW w:w="3262" w:type="dxa"/>
            <w:vMerge/>
            <w:tcBorders>
              <w:top w:val="nil"/>
            </w:tcBorders>
          </w:tcPr>
          <w:p w14:paraId="54A374DC" w14:textId="77777777" w:rsidR="00E10222" w:rsidRPr="00C56257" w:rsidRDefault="00E10222" w:rsidP="00246E14">
            <w:pPr>
              <w:widowControl w:val="0"/>
              <w:autoSpaceDE w:val="0"/>
              <w:autoSpaceDN w:val="0"/>
              <w:jc w:val="both"/>
              <w:rPr>
                <w:color w:val="000000" w:themeColor="text1"/>
              </w:rPr>
            </w:pPr>
          </w:p>
        </w:tc>
        <w:tc>
          <w:tcPr>
            <w:tcW w:w="2136" w:type="dxa"/>
            <w:vAlign w:val="bottom"/>
          </w:tcPr>
          <w:p w14:paraId="1DC6FB88" w14:textId="77777777" w:rsidR="00E10222" w:rsidRPr="00E10222" w:rsidRDefault="00E10222" w:rsidP="00E10222">
            <w:pPr>
              <w:widowControl w:val="0"/>
              <w:autoSpaceDE w:val="0"/>
              <w:autoSpaceDN w:val="0"/>
              <w:spacing w:line="232" w:lineRule="exact"/>
              <w:ind w:left="152"/>
              <w:rPr>
                <w:color w:val="000000"/>
                <w:sz w:val="22"/>
                <w:szCs w:val="22"/>
              </w:rPr>
            </w:pPr>
            <w:r w:rsidRPr="00E10222">
              <w:rPr>
                <w:color w:val="000000"/>
                <w:sz w:val="22"/>
                <w:szCs w:val="22"/>
              </w:rPr>
              <w:t>ROSCI0170</w:t>
            </w:r>
          </w:p>
        </w:tc>
        <w:tc>
          <w:tcPr>
            <w:tcW w:w="4117" w:type="dxa"/>
            <w:vAlign w:val="bottom"/>
          </w:tcPr>
          <w:p w14:paraId="75AC618D" w14:textId="77777777" w:rsidR="00E10222" w:rsidRPr="00E10222" w:rsidRDefault="00E10222" w:rsidP="00E10222">
            <w:pPr>
              <w:widowControl w:val="0"/>
              <w:autoSpaceDE w:val="0"/>
              <w:autoSpaceDN w:val="0"/>
              <w:spacing w:line="232" w:lineRule="exact"/>
              <w:ind w:left="152" w:right="205"/>
              <w:rPr>
                <w:color w:val="000000"/>
                <w:sz w:val="22"/>
                <w:szCs w:val="22"/>
              </w:rPr>
            </w:pPr>
            <w:r w:rsidRPr="00E10222">
              <w:rPr>
                <w:color w:val="000000"/>
                <w:sz w:val="22"/>
                <w:szCs w:val="22"/>
              </w:rPr>
              <w:t>Pădurea și mlaștinile eutrofe de la Prejmer</w:t>
            </w:r>
          </w:p>
        </w:tc>
      </w:tr>
      <w:tr w:rsidR="00F25D1B" w:rsidRPr="00C56257" w14:paraId="485B4E7A" w14:textId="77777777" w:rsidTr="00993B86">
        <w:trPr>
          <w:trHeight w:val="251"/>
        </w:trPr>
        <w:tc>
          <w:tcPr>
            <w:tcW w:w="3262" w:type="dxa"/>
            <w:vMerge w:val="restart"/>
          </w:tcPr>
          <w:p w14:paraId="0CBD802D" w14:textId="77777777" w:rsidR="00F25D1B" w:rsidRPr="00C56257" w:rsidRDefault="00F25D1B" w:rsidP="00246E14">
            <w:pPr>
              <w:widowControl w:val="0"/>
              <w:autoSpaceDE w:val="0"/>
              <w:autoSpaceDN w:val="0"/>
              <w:ind w:left="107" w:right="442"/>
              <w:jc w:val="both"/>
              <w:rPr>
                <w:color w:val="000000" w:themeColor="text1"/>
              </w:rPr>
            </w:pPr>
            <w:r w:rsidRPr="00C56257">
              <w:rPr>
                <w:color w:val="000000" w:themeColor="text1"/>
              </w:rPr>
              <w:t>7220* Izvoare petrifiante cu formare de travertin</w:t>
            </w:r>
            <w:r w:rsidRPr="00C56257">
              <w:rPr>
                <w:color w:val="000000" w:themeColor="text1"/>
                <w:spacing w:val="-52"/>
              </w:rPr>
              <w:t xml:space="preserve"> </w:t>
            </w:r>
            <w:r w:rsidRPr="00C56257">
              <w:rPr>
                <w:color w:val="000000" w:themeColor="text1"/>
              </w:rPr>
              <w:t>(</w:t>
            </w:r>
            <w:r w:rsidRPr="00C56257">
              <w:rPr>
                <w:i/>
                <w:color w:val="000000" w:themeColor="text1"/>
              </w:rPr>
              <w:t>Cratoneurion</w:t>
            </w:r>
            <w:r w:rsidRPr="00C56257">
              <w:rPr>
                <w:color w:val="000000" w:themeColor="text1"/>
              </w:rPr>
              <w:t>)</w:t>
            </w:r>
          </w:p>
        </w:tc>
        <w:tc>
          <w:tcPr>
            <w:tcW w:w="2136" w:type="dxa"/>
            <w:vAlign w:val="bottom"/>
          </w:tcPr>
          <w:p w14:paraId="5CEAEF20" w14:textId="77777777" w:rsidR="00F25D1B" w:rsidRPr="00E10222" w:rsidRDefault="00F25D1B" w:rsidP="00E10222">
            <w:pPr>
              <w:widowControl w:val="0"/>
              <w:autoSpaceDE w:val="0"/>
              <w:autoSpaceDN w:val="0"/>
              <w:spacing w:line="232" w:lineRule="exact"/>
              <w:ind w:left="152"/>
              <w:rPr>
                <w:color w:val="000000"/>
                <w:sz w:val="22"/>
                <w:szCs w:val="22"/>
              </w:rPr>
            </w:pPr>
            <w:r w:rsidRPr="00F25D1B">
              <w:rPr>
                <w:color w:val="000000"/>
                <w:sz w:val="22"/>
                <w:szCs w:val="22"/>
              </w:rPr>
              <w:t>ROSCI0002</w:t>
            </w:r>
          </w:p>
        </w:tc>
        <w:tc>
          <w:tcPr>
            <w:tcW w:w="4117" w:type="dxa"/>
            <w:vAlign w:val="bottom"/>
          </w:tcPr>
          <w:p w14:paraId="3BE481FB"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Apuseni</w:t>
            </w:r>
          </w:p>
        </w:tc>
      </w:tr>
      <w:tr w:rsidR="00F25D1B" w:rsidRPr="00C56257" w14:paraId="1AF6F02A" w14:textId="77777777" w:rsidTr="00993B86">
        <w:trPr>
          <w:trHeight w:val="253"/>
        </w:trPr>
        <w:tc>
          <w:tcPr>
            <w:tcW w:w="3262" w:type="dxa"/>
            <w:vMerge/>
            <w:tcBorders>
              <w:top w:val="nil"/>
            </w:tcBorders>
          </w:tcPr>
          <w:p w14:paraId="71DE856B"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00B157AE" w14:textId="77777777" w:rsidR="00F25D1B" w:rsidRPr="00E10222" w:rsidRDefault="00C85EF5" w:rsidP="00E10222">
            <w:pPr>
              <w:widowControl w:val="0"/>
              <w:autoSpaceDE w:val="0"/>
              <w:autoSpaceDN w:val="0"/>
              <w:spacing w:line="232" w:lineRule="exact"/>
              <w:ind w:left="152"/>
              <w:rPr>
                <w:color w:val="000000"/>
                <w:sz w:val="22"/>
                <w:szCs w:val="22"/>
              </w:rPr>
            </w:pPr>
            <w:r>
              <w:rPr>
                <w:color w:val="000000"/>
                <w:sz w:val="22"/>
                <w:szCs w:val="22"/>
              </w:rPr>
              <w:t>ROSAC</w:t>
            </w:r>
            <w:r w:rsidR="00F25D1B" w:rsidRPr="00F25D1B">
              <w:rPr>
                <w:color w:val="000000"/>
                <w:sz w:val="22"/>
                <w:szCs w:val="22"/>
              </w:rPr>
              <w:t>0027</w:t>
            </w:r>
          </w:p>
        </w:tc>
        <w:tc>
          <w:tcPr>
            <w:tcW w:w="4117" w:type="dxa"/>
            <w:vAlign w:val="bottom"/>
          </w:tcPr>
          <w:p w14:paraId="2E7D60CA"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Cheile Bicazului - Hășmaș</w:t>
            </w:r>
          </w:p>
        </w:tc>
      </w:tr>
      <w:tr w:rsidR="00F25D1B" w:rsidRPr="00C56257" w14:paraId="6643993A" w14:textId="77777777" w:rsidTr="00993B86">
        <w:trPr>
          <w:trHeight w:val="251"/>
        </w:trPr>
        <w:tc>
          <w:tcPr>
            <w:tcW w:w="3262" w:type="dxa"/>
            <w:vMerge/>
            <w:tcBorders>
              <w:top w:val="nil"/>
            </w:tcBorders>
          </w:tcPr>
          <w:p w14:paraId="0E6844E1"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51271DC1" w14:textId="77777777" w:rsidR="00F25D1B" w:rsidRPr="00E10222" w:rsidRDefault="00F25D1B" w:rsidP="00E10222">
            <w:pPr>
              <w:widowControl w:val="0"/>
              <w:autoSpaceDE w:val="0"/>
              <w:autoSpaceDN w:val="0"/>
              <w:spacing w:line="232" w:lineRule="exact"/>
              <w:ind w:left="152"/>
              <w:rPr>
                <w:color w:val="000000"/>
                <w:sz w:val="22"/>
                <w:szCs w:val="22"/>
              </w:rPr>
            </w:pPr>
            <w:r w:rsidRPr="00F25D1B">
              <w:rPr>
                <w:color w:val="000000"/>
                <w:sz w:val="22"/>
                <w:szCs w:val="22"/>
              </w:rPr>
              <w:t>ROSCI0031</w:t>
            </w:r>
          </w:p>
        </w:tc>
        <w:tc>
          <w:tcPr>
            <w:tcW w:w="4117" w:type="dxa"/>
            <w:vAlign w:val="bottom"/>
          </w:tcPr>
          <w:p w14:paraId="64AD452C"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Cheile Nerei - Beușnița</w:t>
            </w:r>
          </w:p>
        </w:tc>
      </w:tr>
      <w:tr w:rsidR="00F25D1B" w:rsidRPr="00C56257" w14:paraId="10D08D5E" w14:textId="77777777" w:rsidTr="00993B86">
        <w:trPr>
          <w:trHeight w:val="254"/>
        </w:trPr>
        <w:tc>
          <w:tcPr>
            <w:tcW w:w="3262" w:type="dxa"/>
            <w:vMerge/>
            <w:tcBorders>
              <w:top w:val="nil"/>
            </w:tcBorders>
          </w:tcPr>
          <w:p w14:paraId="4A5A23A8"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7F16B8D9" w14:textId="77777777" w:rsidR="00F25D1B" w:rsidRPr="00E10222" w:rsidRDefault="00C85EF5" w:rsidP="00E10222">
            <w:pPr>
              <w:widowControl w:val="0"/>
              <w:autoSpaceDE w:val="0"/>
              <w:autoSpaceDN w:val="0"/>
              <w:spacing w:line="232" w:lineRule="exact"/>
              <w:ind w:left="152"/>
              <w:rPr>
                <w:color w:val="000000"/>
                <w:sz w:val="22"/>
                <w:szCs w:val="22"/>
              </w:rPr>
            </w:pPr>
            <w:r>
              <w:rPr>
                <w:color w:val="000000"/>
                <w:sz w:val="22"/>
                <w:szCs w:val="22"/>
              </w:rPr>
              <w:t>ROSAC</w:t>
            </w:r>
            <w:r w:rsidR="00F25D1B" w:rsidRPr="00F25D1B">
              <w:rPr>
                <w:color w:val="000000"/>
                <w:sz w:val="22"/>
                <w:szCs w:val="22"/>
              </w:rPr>
              <w:t>0033</w:t>
            </w:r>
          </w:p>
        </w:tc>
        <w:tc>
          <w:tcPr>
            <w:tcW w:w="4117" w:type="dxa"/>
            <w:vAlign w:val="bottom"/>
          </w:tcPr>
          <w:p w14:paraId="25BE4E5A"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Cheile Șugăului - Munticelu</w:t>
            </w:r>
          </w:p>
        </w:tc>
      </w:tr>
      <w:tr w:rsidR="00F25D1B" w:rsidRPr="00C56257" w14:paraId="385E500B" w14:textId="77777777" w:rsidTr="00993B86">
        <w:trPr>
          <w:trHeight w:val="253"/>
        </w:trPr>
        <w:tc>
          <w:tcPr>
            <w:tcW w:w="3262" w:type="dxa"/>
            <w:vMerge/>
            <w:tcBorders>
              <w:top w:val="nil"/>
            </w:tcBorders>
          </w:tcPr>
          <w:p w14:paraId="2BCC0B3E"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4DD816ED" w14:textId="77777777" w:rsidR="00F25D1B" w:rsidRPr="00E10222" w:rsidRDefault="00F25D1B" w:rsidP="00E10222">
            <w:pPr>
              <w:widowControl w:val="0"/>
              <w:autoSpaceDE w:val="0"/>
              <w:autoSpaceDN w:val="0"/>
              <w:spacing w:line="232" w:lineRule="exact"/>
              <w:ind w:left="152"/>
              <w:rPr>
                <w:color w:val="000000"/>
                <w:sz w:val="22"/>
                <w:szCs w:val="22"/>
              </w:rPr>
            </w:pPr>
            <w:r w:rsidRPr="00F25D1B">
              <w:rPr>
                <w:color w:val="000000"/>
                <w:sz w:val="22"/>
                <w:szCs w:val="22"/>
              </w:rPr>
              <w:t>ROSCI0038</w:t>
            </w:r>
          </w:p>
        </w:tc>
        <w:tc>
          <w:tcPr>
            <w:tcW w:w="4117" w:type="dxa"/>
            <w:vAlign w:val="bottom"/>
          </w:tcPr>
          <w:p w14:paraId="75F44DEC"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Ciucaș</w:t>
            </w:r>
          </w:p>
        </w:tc>
      </w:tr>
      <w:tr w:rsidR="00F25D1B" w:rsidRPr="00C56257" w14:paraId="11D2C2E5" w14:textId="77777777" w:rsidTr="00993B86">
        <w:trPr>
          <w:trHeight w:val="251"/>
        </w:trPr>
        <w:tc>
          <w:tcPr>
            <w:tcW w:w="3262" w:type="dxa"/>
            <w:vMerge/>
            <w:tcBorders>
              <w:top w:val="nil"/>
            </w:tcBorders>
          </w:tcPr>
          <w:p w14:paraId="153192D6"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29DAD13E" w14:textId="77777777" w:rsidR="00F25D1B" w:rsidRPr="00E10222" w:rsidRDefault="00C85EF5" w:rsidP="00E10222">
            <w:pPr>
              <w:widowControl w:val="0"/>
              <w:autoSpaceDE w:val="0"/>
              <w:autoSpaceDN w:val="0"/>
              <w:spacing w:line="232" w:lineRule="exact"/>
              <w:ind w:left="152"/>
              <w:rPr>
                <w:color w:val="000000"/>
                <w:sz w:val="22"/>
                <w:szCs w:val="22"/>
              </w:rPr>
            </w:pPr>
            <w:r>
              <w:rPr>
                <w:color w:val="000000"/>
                <w:sz w:val="22"/>
                <w:szCs w:val="22"/>
              </w:rPr>
              <w:t>ROSAC</w:t>
            </w:r>
            <w:r w:rsidR="00F25D1B" w:rsidRPr="00F25D1B">
              <w:rPr>
                <w:color w:val="000000"/>
                <w:sz w:val="22"/>
                <w:szCs w:val="22"/>
              </w:rPr>
              <w:t>0046</w:t>
            </w:r>
          </w:p>
        </w:tc>
        <w:tc>
          <w:tcPr>
            <w:tcW w:w="4117" w:type="dxa"/>
            <w:vAlign w:val="bottom"/>
          </w:tcPr>
          <w:p w14:paraId="4A9A0586" w14:textId="77777777" w:rsidR="00F25D1B" w:rsidRPr="00E10222" w:rsidRDefault="00F25D1B" w:rsidP="00E10222">
            <w:pPr>
              <w:widowControl w:val="0"/>
              <w:autoSpaceDE w:val="0"/>
              <w:autoSpaceDN w:val="0"/>
              <w:spacing w:line="232" w:lineRule="exact"/>
              <w:ind w:left="152" w:right="204"/>
              <w:rPr>
                <w:color w:val="000000"/>
                <w:sz w:val="22"/>
                <w:szCs w:val="22"/>
              </w:rPr>
            </w:pPr>
            <w:r w:rsidRPr="00F25D1B">
              <w:rPr>
                <w:color w:val="000000"/>
                <w:sz w:val="22"/>
                <w:szCs w:val="22"/>
              </w:rPr>
              <w:t>Cozia</w:t>
            </w:r>
          </w:p>
        </w:tc>
      </w:tr>
      <w:tr w:rsidR="00F25D1B" w:rsidRPr="00C56257" w14:paraId="4DD708E2" w14:textId="77777777" w:rsidTr="00993B86">
        <w:trPr>
          <w:trHeight w:val="253"/>
        </w:trPr>
        <w:tc>
          <w:tcPr>
            <w:tcW w:w="3262" w:type="dxa"/>
            <w:vMerge/>
            <w:tcBorders>
              <w:top w:val="nil"/>
            </w:tcBorders>
          </w:tcPr>
          <w:p w14:paraId="5D8B7D2B"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4B4DBA61" w14:textId="77777777" w:rsidR="00F25D1B" w:rsidRPr="00E10222" w:rsidRDefault="00F25D1B" w:rsidP="00E10222">
            <w:pPr>
              <w:widowControl w:val="0"/>
              <w:autoSpaceDE w:val="0"/>
              <w:autoSpaceDN w:val="0"/>
              <w:spacing w:line="232" w:lineRule="exact"/>
              <w:ind w:left="152"/>
              <w:rPr>
                <w:color w:val="000000"/>
                <w:sz w:val="22"/>
                <w:szCs w:val="22"/>
              </w:rPr>
            </w:pPr>
            <w:r w:rsidRPr="00F25D1B">
              <w:rPr>
                <w:color w:val="000000"/>
                <w:sz w:val="22"/>
                <w:szCs w:val="22"/>
              </w:rPr>
              <w:t>ROSCI0063</w:t>
            </w:r>
          </w:p>
        </w:tc>
        <w:tc>
          <w:tcPr>
            <w:tcW w:w="4117" w:type="dxa"/>
            <w:vAlign w:val="bottom"/>
          </w:tcPr>
          <w:p w14:paraId="7FF3FA52"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Defileul Jiului</w:t>
            </w:r>
          </w:p>
        </w:tc>
      </w:tr>
      <w:tr w:rsidR="00F25D1B" w:rsidRPr="00C56257" w14:paraId="6DBED3F8" w14:textId="77777777" w:rsidTr="00993B86">
        <w:trPr>
          <w:trHeight w:val="251"/>
        </w:trPr>
        <w:tc>
          <w:tcPr>
            <w:tcW w:w="3262" w:type="dxa"/>
            <w:vMerge/>
            <w:tcBorders>
              <w:top w:val="nil"/>
            </w:tcBorders>
          </w:tcPr>
          <w:p w14:paraId="4D7CB1EC"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43C2932F" w14:textId="77777777" w:rsidR="00F25D1B" w:rsidRPr="00E10222" w:rsidRDefault="000521DB" w:rsidP="00E10222">
            <w:pPr>
              <w:widowControl w:val="0"/>
              <w:autoSpaceDE w:val="0"/>
              <w:autoSpaceDN w:val="0"/>
              <w:spacing w:line="232" w:lineRule="exact"/>
              <w:ind w:left="152"/>
              <w:rPr>
                <w:color w:val="000000"/>
                <w:sz w:val="22"/>
                <w:szCs w:val="22"/>
              </w:rPr>
            </w:pPr>
            <w:r>
              <w:rPr>
                <w:color w:val="000000"/>
                <w:sz w:val="22"/>
                <w:szCs w:val="22"/>
              </w:rPr>
              <w:t>ROSAC0069</w:t>
            </w:r>
          </w:p>
        </w:tc>
        <w:tc>
          <w:tcPr>
            <w:tcW w:w="4117" w:type="dxa"/>
            <w:vAlign w:val="bottom"/>
          </w:tcPr>
          <w:p w14:paraId="1A9553DC"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Domogled - Valea Cernei</w:t>
            </w:r>
          </w:p>
        </w:tc>
      </w:tr>
      <w:tr w:rsidR="00F25D1B" w:rsidRPr="00C56257" w14:paraId="08FD329D" w14:textId="77777777" w:rsidTr="00993B86">
        <w:trPr>
          <w:trHeight w:val="253"/>
        </w:trPr>
        <w:tc>
          <w:tcPr>
            <w:tcW w:w="3262" w:type="dxa"/>
            <w:vMerge/>
            <w:tcBorders>
              <w:top w:val="nil"/>
            </w:tcBorders>
          </w:tcPr>
          <w:p w14:paraId="4CD6C203"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65DDBCBD" w14:textId="77777777" w:rsidR="00F25D1B" w:rsidRPr="00E10222" w:rsidRDefault="00507CCA" w:rsidP="00E10222">
            <w:pPr>
              <w:widowControl w:val="0"/>
              <w:autoSpaceDE w:val="0"/>
              <w:autoSpaceDN w:val="0"/>
              <w:spacing w:line="232" w:lineRule="exact"/>
              <w:ind w:left="152"/>
              <w:rPr>
                <w:color w:val="000000"/>
                <w:sz w:val="22"/>
                <w:szCs w:val="22"/>
              </w:rPr>
            </w:pPr>
            <w:r>
              <w:rPr>
                <w:color w:val="000000"/>
                <w:sz w:val="22"/>
                <w:szCs w:val="22"/>
              </w:rPr>
              <w:t>ROSAC</w:t>
            </w:r>
            <w:r w:rsidR="00F25D1B" w:rsidRPr="00F25D1B">
              <w:rPr>
                <w:color w:val="000000"/>
                <w:sz w:val="22"/>
                <w:szCs w:val="22"/>
              </w:rPr>
              <w:t>0122</w:t>
            </w:r>
          </w:p>
        </w:tc>
        <w:tc>
          <w:tcPr>
            <w:tcW w:w="4117" w:type="dxa"/>
            <w:vAlign w:val="bottom"/>
          </w:tcPr>
          <w:p w14:paraId="069E7BBA"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Munții Făgăraș</w:t>
            </w:r>
          </w:p>
        </w:tc>
      </w:tr>
      <w:tr w:rsidR="00F25D1B" w:rsidRPr="00C56257" w14:paraId="6EBFA05A" w14:textId="77777777" w:rsidTr="00993B86">
        <w:trPr>
          <w:trHeight w:val="251"/>
        </w:trPr>
        <w:tc>
          <w:tcPr>
            <w:tcW w:w="3262" w:type="dxa"/>
            <w:vMerge/>
            <w:tcBorders>
              <w:top w:val="nil"/>
            </w:tcBorders>
          </w:tcPr>
          <w:p w14:paraId="748B72AB"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24BB0ED2" w14:textId="77777777" w:rsidR="00F25D1B" w:rsidRPr="00E10222" w:rsidRDefault="00507CCA" w:rsidP="00E10222">
            <w:pPr>
              <w:widowControl w:val="0"/>
              <w:autoSpaceDE w:val="0"/>
              <w:autoSpaceDN w:val="0"/>
              <w:spacing w:line="232" w:lineRule="exact"/>
              <w:ind w:left="152"/>
              <w:rPr>
                <w:color w:val="000000"/>
                <w:sz w:val="22"/>
                <w:szCs w:val="22"/>
              </w:rPr>
            </w:pPr>
            <w:r>
              <w:rPr>
                <w:color w:val="000000"/>
                <w:sz w:val="22"/>
                <w:szCs w:val="22"/>
              </w:rPr>
              <w:t>ROSAC</w:t>
            </w:r>
            <w:r w:rsidR="00F25D1B" w:rsidRPr="00F25D1B">
              <w:rPr>
                <w:color w:val="000000"/>
                <w:sz w:val="22"/>
                <w:szCs w:val="22"/>
              </w:rPr>
              <w:t>0124</w:t>
            </w:r>
          </w:p>
        </w:tc>
        <w:tc>
          <w:tcPr>
            <w:tcW w:w="4117" w:type="dxa"/>
            <w:vAlign w:val="bottom"/>
          </w:tcPr>
          <w:p w14:paraId="37345C24"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Munții Maramureșului</w:t>
            </w:r>
          </w:p>
        </w:tc>
      </w:tr>
      <w:tr w:rsidR="00F25D1B" w:rsidRPr="00C56257" w14:paraId="4B23306A" w14:textId="77777777" w:rsidTr="00993B86">
        <w:trPr>
          <w:trHeight w:val="253"/>
        </w:trPr>
        <w:tc>
          <w:tcPr>
            <w:tcW w:w="3262" w:type="dxa"/>
            <w:vMerge/>
            <w:tcBorders>
              <w:top w:val="nil"/>
            </w:tcBorders>
          </w:tcPr>
          <w:p w14:paraId="48777D47"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2B0DEBE1" w14:textId="77777777" w:rsidR="00F25D1B" w:rsidRPr="00E10222" w:rsidRDefault="00F25D1B" w:rsidP="00E10222">
            <w:pPr>
              <w:widowControl w:val="0"/>
              <w:autoSpaceDE w:val="0"/>
              <w:autoSpaceDN w:val="0"/>
              <w:spacing w:line="232" w:lineRule="exact"/>
              <w:ind w:left="152"/>
              <w:rPr>
                <w:color w:val="000000"/>
                <w:sz w:val="22"/>
                <w:szCs w:val="22"/>
              </w:rPr>
            </w:pPr>
            <w:r w:rsidRPr="00F25D1B">
              <w:rPr>
                <w:color w:val="000000"/>
                <w:sz w:val="22"/>
                <w:szCs w:val="22"/>
              </w:rPr>
              <w:t>ROSCI0125</w:t>
            </w:r>
          </w:p>
        </w:tc>
        <w:tc>
          <w:tcPr>
            <w:tcW w:w="4117" w:type="dxa"/>
            <w:vAlign w:val="bottom"/>
          </w:tcPr>
          <w:p w14:paraId="501EDD78"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Munții Rodnei</w:t>
            </w:r>
          </w:p>
        </w:tc>
      </w:tr>
      <w:tr w:rsidR="00F25D1B" w:rsidRPr="00C56257" w14:paraId="3D68B8E1" w14:textId="77777777" w:rsidTr="00993B86">
        <w:trPr>
          <w:trHeight w:val="251"/>
        </w:trPr>
        <w:tc>
          <w:tcPr>
            <w:tcW w:w="3262" w:type="dxa"/>
            <w:vMerge/>
            <w:tcBorders>
              <w:top w:val="nil"/>
            </w:tcBorders>
          </w:tcPr>
          <w:p w14:paraId="20053AF6"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03B3AACA" w14:textId="77777777" w:rsidR="00F25D1B" w:rsidRPr="00E10222" w:rsidRDefault="00F25D1B" w:rsidP="00E10222">
            <w:pPr>
              <w:widowControl w:val="0"/>
              <w:autoSpaceDE w:val="0"/>
              <w:autoSpaceDN w:val="0"/>
              <w:spacing w:line="232" w:lineRule="exact"/>
              <w:ind w:left="152"/>
              <w:rPr>
                <w:color w:val="000000"/>
                <w:sz w:val="22"/>
                <w:szCs w:val="22"/>
              </w:rPr>
            </w:pPr>
            <w:r w:rsidRPr="00F25D1B">
              <w:rPr>
                <w:color w:val="000000"/>
                <w:sz w:val="22"/>
                <w:szCs w:val="22"/>
              </w:rPr>
              <w:t>ROSCI0126</w:t>
            </w:r>
          </w:p>
        </w:tc>
        <w:tc>
          <w:tcPr>
            <w:tcW w:w="4117" w:type="dxa"/>
            <w:vAlign w:val="bottom"/>
          </w:tcPr>
          <w:p w14:paraId="1EABBC6F"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Munții Țarcu</w:t>
            </w:r>
          </w:p>
        </w:tc>
      </w:tr>
      <w:tr w:rsidR="00F25D1B" w:rsidRPr="00C56257" w14:paraId="2D7FDF95" w14:textId="77777777" w:rsidTr="00993B86">
        <w:trPr>
          <w:trHeight w:val="251"/>
        </w:trPr>
        <w:tc>
          <w:tcPr>
            <w:tcW w:w="3262" w:type="dxa"/>
            <w:vMerge/>
            <w:tcBorders>
              <w:top w:val="nil"/>
            </w:tcBorders>
          </w:tcPr>
          <w:p w14:paraId="75895F4F"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321A5628" w14:textId="77777777" w:rsidR="00F25D1B" w:rsidRPr="00E10222" w:rsidRDefault="00507CCA" w:rsidP="00E10222">
            <w:pPr>
              <w:widowControl w:val="0"/>
              <w:autoSpaceDE w:val="0"/>
              <w:autoSpaceDN w:val="0"/>
              <w:spacing w:line="232" w:lineRule="exact"/>
              <w:ind w:left="152"/>
              <w:rPr>
                <w:color w:val="000000"/>
                <w:sz w:val="22"/>
                <w:szCs w:val="22"/>
              </w:rPr>
            </w:pPr>
            <w:r>
              <w:rPr>
                <w:color w:val="000000"/>
                <w:sz w:val="22"/>
                <w:szCs w:val="22"/>
              </w:rPr>
              <w:t>ROSAC</w:t>
            </w:r>
            <w:r w:rsidR="00F25D1B" w:rsidRPr="00F25D1B">
              <w:rPr>
                <w:color w:val="000000"/>
                <w:sz w:val="22"/>
                <w:szCs w:val="22"/>
              </w:rPr>
              <w:t>0128</w:t>
            </w:r>
          </w:p>
        </w:tc>
        <w:tc>
          <w:tcPr>
            <w:tcW w:w="4117" w:type="dxa"/>
            <w:vAlign w:val="bottom"/>
          </w:tcPr>
          <w:p w14:paraId="37680B22"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Nordul Gorjului de Est</w:t>
            </w:r>
          </w:p>
        </w:tc>
      </w:tr>
      <w:tr w:rsidR="00F25D1B" w:rsidRPr="00C56257" w14:paraId="00CD3AFE" w14:textId="77777777" w:rsidTr="00993B86">
        <w:trPr>
          <w:trHeight w:val="251"/>
        </w:trPr>
        <w:tc>
          <w:tcPr>
            <w:tcW w:w="3262" w:type="dxa"/>
            <w:vMerge/>
            <w:tcBorders>
              <w:top w:val="nil"/>
            </w:tcBorders>
          </w:tcPr>
          <w:p w14:paraId="1DB134DE"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3245E50B" w14:textId="77777777" w:rsidR="00F25D1B" w:rsidRPr="00E10222" w:rsidRDefault="00507CCA" w:rsidP="00E10222">
            <w:pPr>
              <w:widowControl w:val="0"/>
              <w:autoSpaceDE w:val="0"/>
              <w:autoSpaceDN w:val="0"/>
              <w:spacing w:line="232" w:lineRule="exact"/>
              <w:ind w:left="152"/>
              <w:rPr>
                <w:color w:val="000000"/>
                <w:sz w:val="22"/>
                <w:szCs w:val="22"/>
              </w:rPr>
            </w:pPr>
            <w:r>
              <w:rPr>
                <w:color w:val="000000"/>
                <w:sz w:val="22"/>
                <w:szCs w:val="22"/>
              </w:rPr>
              <w:t>ROSAC</w:t>
            </w:r>
            <w:r w:rsidR="00F25D1B" w:rsidRPr="00F25D1B">
              <w:rPr>
                <w:color w:val="000000"/>
                <w:sz w:val="22"/>
                <w:szCs w:val="22"/>
              </w:rPr>
              <w:t>0129</w:t>
            </w:r>
          </w:p>
        </w:tc>
        <w:tc>
          <w:tcPr>
            <w:tcW w:w="4117" w:type="dxa"/>
            <w:vAlign w:val="bottom"/>
          </w:tcPr>
          <w:p w14:paraId="3E7099E8"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Nordul Gorjului de Vest</w:t>
            </w:r>
          </w:p>
        </w:tc>
      </w:tr>
      <w:tr w:rsidR="00F25D1B" w:rsidRPr="00C56257" w14:paraId="6C7CA61D" w14:textId="77777777" w:rsidTr="00993B86">
        <w:trPr>
          <w:trHeight w:val="251"/>
        </w:trPr>
        <w:tc>
          <w:tcPr>
            <w:tcW w:w="3262" w:type="dxa"/>
            <w:vMerge/>
            <w:tcBorders>
              <w:top w:val="nil"/>
            </w:tcBorders>
          </w:tcPr>
          <w:p w14:paraId="5C5CD05A"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6FB201BB" w14:textId="77777777" w:rsidR="00F25D1B" w:rsidRPr="00E10222" w:rsidRDefault="00F25D1B" w:rsidP="00E10222">
            <w:pPr>
              <w:widowControl w:val="0"/>
              <w:autoSpaceDE w:val="0"/>
              <w:autoSpaceDN w:val="0"/>
              <w:spacing w:line="232" w:lineRule="exact"/>
              <w:ind w:left="152"/>
              <w:rPr>
                <w:color w:val="000000"/>
                <w:sz w:val="22"/>
                <w:szCs w:val="22"/>
              </w:rPr>
            </w:pPr>
            <w:r w:rsidRPr="00F25D1B">
              <w:rPr>
                <w:color w:val="000000"/>
                <w:sz w:val="22"/>
                <w:szCs w:val="22"/>
              </w:rPr>
              <w:t>ROSCI0195</w:t>
            </w:r>
          </w:p>
        </w:tc>
        <w:tc>
          <w:tcPr>
            <w:tcW w:w="4117" w:type="dxa"/>
            <w:vAlign w:val="bottom"/>
          </w:tcPr>
          <w:p w14:paraId="1AF963F6"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Piatra Mare</w:t>
            </w:r>
          </w:p>
        </w:tc>
      </w:tr>
      <w:tr w:rsidR="00F25D1B" w:rsidRPr="00C56257" w14:paraId="4607D2E6" w14:textId="77777777" w:rsidTr="00993B86">
        <w:trPr>
          <w:trHeight w:val="251"/>
        </w:trPr>
        <w:tc>
          <w:tcPr>
            <w:tcW w:w="3262" w:type="dxa"/>
            <w:vMerge/>
            <w:tcBorders>
              <w:top w:val="nil"/>
            </w:tcBorders>
          </w:tcPr>
          <w:p w14:paraId="04FD86E6"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0D2CC973" w14:textId="77777777" w:rsidR="00F25D1B" w:rsidRPr="00E10222" w:rsidRDefault="00F25D1B" w:rsidP="00E10222">
            <w:pPr>
              <w:widowControl w:val="0"/>
              <w:autoSpaceDE w:val="0"/>
              <w:autoSpaceDN w:val="0"/>
              <w:spacing w:line="232" w:lineRule="exact"/>
              <w:ind w:left="152"/>
              <w:rPr>
                <w:color w:val="000000"/>
                <w:sz w:val="22"/>
                <w:szCs w:val="22"/>
              </w:rPr>
            </w:pPr>
            <w:r w:rsidRPr="00F25D1B">
              <w:rPr>
                <w:color w:val="000000"/>
                <w:sz w:val="22"/>
                <w:szCs w:val="22"/>
              </w:rPr>
              <w:t>ROSCI0226</w:t>
            </w:r>
          </w:p>
        </w:tc>
        <w:tc>
          <w:tcPr>
            <w:tcW w:w="4117" w:type="dxa"/>
            <w:vAlign w:val="bottom"/>
          </w:tcPr>
          <w:p w14:paraId="0A38F47B"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Semenic - Cheile Carașului</w:t>
            </w:r>
          </w:p>
        </w:tc>
      </w:tr>
      <w:tr w:rsidR="00F25D1B" w:rsidRPr="00C56257" w14:paraId="05D69A0E" w14:textId="77777777" w:rsidTr="00993B86">
        <w:trPr>
          <w:trHeight w:val="253"/>
        </w:trPr>
        <w:tc>
          <w:tcPr>
            <w:tcW w:w="3262" w:type="dxa"/>
            <w:vMerge/>
            <w:tcBorders>
              <w:top w:val="nil"/>
            </w:tcBorders>
          </w:tcPr>
          <w:p w14:paraId="35328E95"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6F94B97A" w14:textId="77777777" w:rsidR="00F25D1B" w:rsidRPr="00E10222" w:rsidRDefault="00507CCA" w:rsidP="00507CCA">
            <w:pPr>
              <w:widowControl w:val="0"/>
              <w:autoSpaceDE w:val="0"/>
              <w:autoSpaceDN w:val="0"/>
              <w:spacing w:line="232" w:lineRule="exact"/>
              <w:ind w:left="152"/>
              <w:rPr>
                <w:color w:val="000000"/>
                <w:sz w:val="22"/>
                <w:szCs w:val="22"/>
              </w:rPr>
            </w:pPr>
            <w:r>
              <w:rPr>
                <w:color w:val="000000"/>
                <w:sz w:val="22"/>
                <w:szCs w:val="22"/>
              </w:rPr>
              <w:t>ROSAC</w:t>
            </w:r>
            <w:r w:rsidR="00F25D1B" w:rsidRPr="00F25D1B">
              <w:rPr>
                <w:color w:val="000000"/>
                <w:sz w:val="22"/>
                <w:szCs w:val="22"/>
              </w:rPr>
              <w:t>0252</w:t>
            </w:r>
          </w:p>
        </w:tc>
        <w:tc>
          <w:tcPr>
            <w:tcW w:w="4117" w:type="dxa"/>
            <w:vAlign w:val="bottom"/>
          </w:tcPr>
          <w:p w14:paraId="379C64DF"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Toplița - Scaunul Rotund Borsec</w:t>
            </w:r>
          </w:p>
        </w:tc>
      </w:tr>
      <w:tr w:rsidR="00F25D1B" w:rsidRPr="00C56257" w14:paraId="1E544495" w14:textId="77777777" w:rsidTr="00993B86">
        <w:trPr>
          <w:trHeight w:val="254"/>
        </w:trPr>
        <w:tc>
          <w:tcPr>
            <w:tcW w:w="3262" w:type="dxa"/>
            <w:vMerge/>
            <w:tcBorders>
              <w:top w:val="nil"/>
            </w:tcBorders>
          </w:tcPr>
          <w:p w14:paraId="14E0B2CD"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0B38204B" w14:textId="77777777" w:rsidR="00F25D1B" w:rsidRPr="00E10222" w:rsidRDefault="00F25D1B" w:rsidP="00E10222">
            <w:pPr>
              <w:widowControl w:val="0"/>
              <w:autoSpaceDE w:val="0"/>
              <w:autoSpaceDN w:val="0"/>
              <w:spacing w:line="232" w:lineRule="exact"/>
              <w:ind w:left="152"/>
              <w:rPr>
                <w:color w:val="000000"/>
                <w:sz w:val="22"/>
                <w:szCs w:val="22"/>
              </w:rPr>
            </w:pPr>
            <w:r w:rsidRPr="00F25D1B">
              <w:rPr>
                <w:color w:val="000000"/>
                <w:sz w:val="22"/>
                <w:szCs w:val="22"/>
              </w:rPr>
              <w:t>ROSCI0254</w:t>
            </w:r>
          </w:p>
        </w:tc>
        <w:tc>
          <w:tcPr>
            <w:tcW w:w="4117" w:type="dxa"/>
            <w:vAlign w:val="bottom"/>
          </w:tcPr>
          <w:p w14:paraId="033B8B1B"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Tufurile calcaroase din Valea Bobâlna</w:t>
            </w:r>
          </w:p>
        </w:tc>
      </w:tr>
      <w:tr w:rsidR="00F25D1B" w:rsidRPr="00C56257" w14:paraId="79022ECC" w14:textId="77777777" w:rsidTr="00993B86">
        <w:trPr>
          <w:trHeight w:val="254"/>
        </w:trPr>
        <w:tc>
          <w:tcPr>
            <w:tcW w:w="3262" w:type="dxa"/>
            <w:vMerge/>
            <w:tcBorders>
              <w:top w:val="nil"/>
            </w:tcBorders>
          </w:tcPr>
          <w:p w14:paraId="21D7BD55"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6C872F02" w14:textId="77777777" w:rsidR="00F25D1B" w:rsidRPr="00E10222" w:rsidRDefault="00F25D1B" w:rsidP="00E10222">
            <w:pPr>
              <w:widowControl w:val="0"/>
              <w:autoSpaceDE w:val="0"/>
              <w:autoSpaceDN w:val="0"/>
              <w:spacing w:line="232" w:lineRule="exact"/>
              <w:ind w:left="152"/>
              <w:rPr>
                <w:color w:val="000000"/>
                <w:sz w:val="22"/>
                <w:szCs w:val="22"/>
              </w:rPr>
            </w:pPr>
            <w:r w:rsidRPr="00F25D1B">
              <w:rPr>
                <w:color w:val="000000"/>
                <w:sz w:val="22"/>
                <w:szCs w:val="22"/>
              </w:rPr>
              <w:t>ROSCI0406</w:t>
            </w:r>
          </w:p>
        </w:tc>
        <w:tc>
          <w:tcPr>
            <w:tcW w:w="4117" w:type="dxa"/>
            <w:vAlign w:val="bottom"/>
          </w:tcPr>
          <w:p w14:paraId="1923445C"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Zarandul de Est</w:t>
            </w:r>
          </w:p>
        </w:tc>
      </w:tr>
      <w:tr w:rsidR="00F25D1B" w:rsidRPr="00C56257" w14:paraId="0F8009ED" w14:textId="77777777" w:rsidTr="00993B86">
        <w:trPr>
          <w:trHeight w:val="251"/>
        </w:trPr>
        <w:tc>
          <w:tcPr>
            <w:tcW w:w="3262" w:type="dxa"/>
            <w:vMerge w:val="restart"/>
          </w:tcPr>
          <w:p w14:paraId="63CA3CD9" w14:textId="77777777" w:rsidR="00F25D1B" w:rsidRPr="00C56257" w:rsidRDefault="00F25D1B" w:rsidP="00246E14">
            <w:pPr>
              <w:widowControl w:val="0"/>
              <w:autoSpaceDE w:val="0"/>
              <w:autoSpaceDN w:val="0"/>
              <w:spacing w:line="247" w:lineRule="exact"/>
              <w:ind w:left="107"/>
              <w:jc w:val="both"/>
              <w:rPr>
                <w:color w:val="000000" w:themeColor="text1"/>
              </w:rPr>
            </w:pPr>
            <w:r w:rsidRPr="00C56257">
              <w:rPr>
                <w:color w:val="000000" w:themeColor="text1"/>
              </w:rPr>
              <w:t>7230</w:t>
            </w:r>
            <w:r w:rsidRPr="00C56257">
              <w:rPr>
                <w:color w:val="000000" w:themeColor="text1"/>
                <w:spacing w:val="-1"/>
              </w:rPr>
              <w:t xml:space="preserve"> </w:t>
            </w:r>
            <w:r w:rsidRPr="00C56257">
              <w:rPr>
                <w:color w:val="000000" w:themeColor="text1"/>
              </w:rPr>
              <w:t>Mlaștini</w:t>
            </w:r>
            <w:r w:rsidRPr="00C56257">
              <w:rPr>
                <w:color w:val="000000" w:themeColor="text1"/>
                <w:spacing w:val="-3"/>
              </w:rPr>
              <w:t xml:space="preserve"> </w:t>
            </w:r>
            <w:r w:rsidRPr="00C56257">
              <w:rPr>
                <w:color w:val="000000" w:themeColor="text1"/>
              </w:rPr>
              <w:t>alcaline</w:t>
            </w:r>
          </w:p>
        </w:tc>
        <w:tc>
          <w:tcPr>
            <w:tcW w:w="2136" w:type="dxa"/>
            <w:vAlign w:val="bottom"/>
          </w:tcPr>
          <w:p w14:paraId="608D2AAB" w14:textId="77777777" w:rsidR="00F25D1B" w:rsidRPr="00E10222" w:rsidRDefault="00F25D1B" w:rsidP="00E10222">
            <w:pPr>
              <w:widowControl w:val="0"/>
              <w:autoSpaceDE w:val="0"/>
              <w:autoSpaceDN w:val="0"/>
              <w:spacing w:line="232" w:lineRule="exact"/>
              <w:ind w:left="152"/>
              <w:rPr>
                <w:color w:val="000000"/>
                <w:sz w:val="22"/>
                <w:szCs w:val="22"/>
              </w:rPr>
            </w:pPr>
            <w:r w:rsidRPr="00F25D1B">
              <w:rPr>
                <w:color w:val="000000"/>
                <w:sz w:val="22"/>
                <w:szCs w:val="22"/>
              </w:rPr>
              <w:t>ROSCI0007</w:t>
            </w:r>
          </w:p>
        </w:tc>
        <w:tc>
          <w:tcPr>
            <w:tcW w:w="4117" w:type="dxa"/>
            <w:vAlign w:val="bottom"/>
          </w:tcPr>
          <w:p w14:paraId="22AADA29"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Bazinul Ciucului de Jos</w:t>
            </w:r>
          </w:p>
        </w:tc>
      </w:tr>
      <w:tr w:rsidR="00F25D1B" w:rsidRPr="00C56257" w14:paraId="07A3F30C" w14:textId="77777777" w:rsidTr="00993B86">
        <w:trPr>
          <w:trHeight w:val="254"/>
        </w:trPr>
        <w:tc>
          <w:tcPr>
            <w:tcW w:w="3262" w:type="dxa"/>
            <w:vMerge/>
            <w:tcBorders>
              <w:top w:val="nil"/>
            </w:tcBorders>
          </w:tcPr>
          <w:p w14:paraId="3E0970F6"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0B3F5920" w14:textId="77777777" w:rsidR="00F25D1B" w:rsidRPr="00E10222" w:rsidRDefault="00507CCA" w:rsidP="00E10222">
            <w:pPr>
              <w:widowControl w:val="0"/>
              <w:autoSpaceDE w:val="0"/>
              <w:autoSpaceDN w:val="0"/>
              <w:spacing w:line="232" w:lineRule="exact"/>
              <w:ind w:left="152"/>
              <w:rPr>
                <w:color w:val="000000"/>
                <w:sz w:val="22"/>
                <w:szCs w:val="22"/>
              </w:rPr>
            </w:pPr>
            <w:r>
              <w:rPr>
                <w:color w:val="000000"/>
                <w:sz w:val="22"/>
                <w:szCs w:val="22"/>
              </w:rPr>
              <w:t>ROSAC</w:t>
            </w:r>
            <w:r w:rsidR="00F25D1B" w:rsidRPr="00F25D1B">
              <w:rPr>
                <w:color w:val="000000"/>
                <w:sz w:val="22"/>
                <w:szCs w:val="22"/>
              </w:rPr>
              <w:t>0027</w:t>
            </w:r>
          </w:p>
        </w:tc>
        <w:tc>
          <w:tcPr>
            <w:tcW w:w="4117" w:type="dxa"/>
            <w:vAlign w:val="bottom"/>
          </w:tcPr>
          <w:p w14:paraId="184AC63E"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Cheile Bicazului - Hășmaș</w:t>
            </w:r>
          </w:p>
        </w:tc>
      </w:tr>
      <w:tr w:rsidR="00F25D1B" w:rsidRPr="00C56257" w14:paraId="402B0F89" w14:textId="77777777" w:rsidTr="00993B86">
        <w:trPr>
          <w:trHeight w:val="252"/>
        </w:trPr>
        <w:tc>
          <w:tcPr>
            <w:tcW w:w="3262" w:type="dxa"/>
            <w:vMerge/>
            <w:tcBorders>
              <w:top w:val="nil"/>
            </w:tcBorders>
          </w:tcPr>
          <w:p w14:paraId="37AFC184"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6C9FBA98" w14:textId="77777777" w:rsidR="00F25D1B" w:rsidRPr="00E10222" w:rsidRDefault="00507CCA" w:rsidP="00E10222">
            <w:pPr>
              <w:widowControl w:val="0"/>
              <w:autoSpaceDE w:val="0"/>
              <w:autoSpaceDN w:val="0"/>
              <w:spacing w:line="232" w:lineRule="exact"/>
              <w:ind w:left="152"/>
              <w:rPr>
                <w:color w:val="000000"/>
                <w:sz w:val="22"/>
                <w:szCs w:val="22"/>
              </w:rPr>
            </w:pPr>
            <w:r>
              <w:rPr>
                <w:color w:val="000000"/>
                <w:sz w:val="22"/>
                <w:szCs w:val="22"/>
              </w:rPr>
              <w:t>ROSAC</w:t>
            </w:r>
            <w:r w:rsidR="00F25D1B" w:rsidRPr="00F25D1B">
              <w:rPr>
                <w:color w:val="000000"/>
                <w:sz w:val="22"/>
                <w:szCs w:val="22"/>
              </w:rPr>
              <w:t>0051</w:t>
            </w:r>
          </w:p>
        </w:tc>
        <w:tc>
          <w:tcPr>
            <w:tcW w:w="4117" w:type="dxa"/>
            <w:vAlign w:val="bottom"/>
          </w:tcPr>
          <w:p w14:paraId="46C64AA9"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Cușma</w:t>
            </w:r>
          </w:p>
        </w:tc>
      </w:tr>
      <w:tr w:rsidR="00F25D1B" w:rsidRPr="00C56257" w14:paraId="16A04029" w14:textId="77777777" w:rsidTr="00993B86">
        <w:trPr>
          <w:trHeight w:val="253"/>
        </w:trPr>
        <w:tc>
          <w:tcPr>
            <w:tcW w:w="3262" w:type="dxa"/>
            <w:vMerge/>
            <w:tcBorders>
              <w:top w:val="nil"/>
            </w:tcBorders>
          </w:tcPr>
          <w:p w14:paraId="4EFFC1F3"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44C0768C" w14:textId="77777777" w:rsidR="00F25D1B" w:rsidRPr="00E10222" w:rsidRDefault="00F25D1B" w:rsidP="00E10222">
            <w:pPr>
              <w:widowControl w:val="0"/>
              <w:autoSpaceDE w:val="0"/>
              <w:autoSpaceDN w:val="0"/>
              <w:spacing w:line="232" w:lineRule="exact"/>
              <w:ind w:left="152"/>
              <w:rPr>
                <w:color w:val="000000"/>
                <w:sz w:val="22"/>
                <w:szCs w:val="22"/>
              </w:rPr>
            </w:pPr>
            <w:r w:rsidRPr="00F25D1B">
              <w:rPr>
                <w:color w:val="000000"/>
                <w:sz w:val="22"/>
                <w:szCs w:val="22"/>
              </w:rPr>
              <w:t>ROSCI0055</w:t>
            </w:r>
          </w:p>
        </w:tc>
        <w:tc>
          <w:tcPr>
            <w:tcW w:w="4117" w:type="dxa"/>
            <w:vAlign w:val="bottom"/>
          </w:tcPr>
          <w:p w14:paraId="2690A896"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Dealul Cetății Lempeș - Mlaștina Hărman</w:t>
            </w:r>
          </w:p>
        </w:tc>
      </w:tr>
      <w:tr w:rsidR="00F25D1B" w:rsidRPr="00C56257" w14:paraId="0F49905A" w14:textId="77777777" w:rsidTr="00993B86">
        <w:trPr>
          <w:trHeight w:val="254"/>
        </w:trPr>
        <w:tc>
          <w:tcPr>
            <w:tcW w:w="3262" w:type="dxa"/>
            <w:vMerge/>
            <w:tcBorders>
              <w:top w:val="nil"/>
            </w:tcBorders>
          </w:tcPr>
          <w:p w14:paraId="1CCA2B2E"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12E745BA" w14:textId="77777777" w:rsidR="00F25D1B" w:rsidRPr="00E10222" w:rsidRDefault="00507CCA" w:rsidP="00E10222">
            <w:pPr>
              <w:widowControl w:val="0"/>
              <w:autoSpaceDE w:val="0"/>
              <w:autoSpaceDN w:val="0"/>
              <w:spacing w:line="232" w:lineRule="exact"/>
              <w:ind w:left="152"/>
              <w:rPr>
                <w:color w:val="000000"/>
                <w:sz w:val="22"/>
                <w:szCs w:val="22"/>
              </w:rPr>
            </w:pPr>
            <w:r>
              <w:rPr>
                <w:color w:val="000000"/>
                <w:sz w:val="22"/>
                <w:szCs w:val="22"/>
              </w:rPr>
              <w:t>ROSAC</w:t>
            </w:r>
            <w:r w:rsidR="00F25D1B" w:rsidRPr="00F25D1B">
              <w:rPr>
                <w:color w:val="000000"/>
                <w:sz w:val="22"/>
                <w:szCs w:val="22"/>
              </w:rPr>
              <w:t>0062</w:t>
            </w:r>
          </w:p>
        </w:tc>
        <w:tc>
          <w:tcPr>
            <w:tcW w:w="4117" w:type="dxa"/>
            <w:vAlign w:val="bottom"/>
          </w:tcPr>
          <w:p w14:paraId="4D6AA505"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Defileul Crișului Repede - Pădurea Craiului</w:t>
            </w:r>
          </w:p>
        </w:tc>
      </w:tr>
      <w:tr w:rsidR="00F25D1B" w:rsidRPr="00C56257" w14:paraId="12E809E7" w14:textId="77777777" w:rsidTr="00993B86">
        <w:trPr>
          <w:trHeight w:val="251"/>
        </w:trPr>
        <w:tc>
          <w:tcPr>
            <w:tcW w:w="3262" w:type="dxa"/>
            <w:vMerge/>
            <w:tcBorders>
              <w:top w:val="nil"/>
            </w:tcBorders>
          </w:tcPr>
          <w:p w14:paraId="143396E1"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1A2FE279" w14:textId="77777777" w:rsidR="00F25D1B" w:rsidRPr="00E10222" w:rsidRDefault="00F25D1B" w:rsidP="00E10222">
            <w:pPr>
              <w:widowControl w:val="0"/>
              <w:autoSpaceDE w:val="0"/>
              <w:autoSpaceDN w:val="0"/>
              <w:spacing w:line="232" w:lineRule="exact"/>
              <w:ind w:left="152"/>
              <w:rPr>
                <w:color w:val="000000"/>
                <w:sz w:val="22"/>
                <w:szCs w:val="22"/>
              </w:rPr>
            </w:pPr>
            <w:r w:rsidRPr="00F25D1B">
              <w:rPr>
                <w:color w:val="000000"/>
                <w:sz w:val="22"/>
                <w:szCs w:val="22"/>
              </w:rPr>
              <w:t>ROSCI0074</w:t>
            </w:r>
          </w:p>
        </w:tc>
        <w:tc>
          <w:tcPr>
            <w:tcW w:w="4117" w:type="dxa"/>
            <w:vAlign w:val="bottom"/>
          </w:tcPr>
          <w:p w14:paraId="3A10004B"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Făgetul Clujului - Valea Morii</w:t>
            </w:r>
          </w:p>
        </w:tc>
      </w:tr>
      <w:tr w:rsidR="00F25D1B" w:rsidRPr="00C56257" w14:paraId="6047D096" w14:textId="77777777" w:rsidTr="00993B86">
        <w:trPr>
          <w:trHeight w:val="253"/>
        </w:trPr>
        <w:tc>
          <w:tcPr>
            <w:tcW w:w="3262" w:type="dxa"/>
            <w:vMerge/>
            <w:tcBorders>
              <w:top w:val="nil"/>
            </w:tcBorders>
          </w:tcPr>
          <w:p w14:paraId="6AD08F6C"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5E1B1E64" w14:textId="77777777" w:rsidR="00F25D1B" w:rsidRPr="00E10222" w:rsidRDefault="00507CCA" w:rsidP="00E10222">
            <w:pPr>
              <w:widowControl w:val="0"/>
              <w:autoSpaceDE w:val="0"/>
              <w:autoSpaceDN w:val="0"/>
              <w:spacing w:line="232" w:lineRule="exact"/>
              <w:ind w:left="152"/>
              <w:rPr>
                <w:color w:val="000000"/>
                <w:sz w:val="22"/>
                <w:szCs w:val="22"/>
              </w:rPr>
            </w:pPr>
            <w:r>
              <w:rPr>
                <w:color w:val="000000"/>
                <w:sz w:val="22"/>
                <w:szCs w:val="22"/>
              </w:rPr>
              <w:t>ROSAC</w:t>
            </w:r>
            <w:r w:rsidR="00F25D1B" w:rsidRPr="00F25D1B">
              <w:rPr>
                <w:color w:val="000000"/>
                <w:sz w:val="22"/>
                <w:szCs w:val="22"/>
              </w:rPr>
              <w:t>0085</w:t>
            </w:r>
          </w:p>
        </w:tc>
        <w:tc>
          <w:tcPr>
            <w:tcW w:w="4117" w:type="dxa"/>
            <w:vAlign w:val="bottom"/>
          </w:tcPr>
          <w:p w14:paraId="5169BB6B"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Frumoasa</w:t>
            </w:r>
          </w:p>
        </w:tc>
      </w:tr>
      <w:tr w:rsidR="00F25D1B" w:rsidRPr="00C56257" w14:paraId="5EAA1FC0" w14:textId="77777777" w:rsidTr="00993B86">
        <w:trPr>
          <w:trHeight w:val="251"/>
        </w:trPr>
        <w:tc>
          <w:tcPr>
            <w:tcW w:w="3262" w:type="dxa"/>
            <w:vMerge/>
            <w:tcBorders>
              <w:top w:val="nil"/>
            </w:tcBorders>
          </w:tcPr>
          <w:p w14:paraId="3E19E6BB"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02B55E6B" w14:textId="77777777" w:rsidR="00F25D1B" w:rsidRPr="00E10222" w:rsidRDefault="00F25D1B" w:rsidP="00E10222">
            <w:pPr>
              <w:widowControl w:val="0"/>
              <w:autoSpaceDE w:val="0"/>
              <w:autoSpaceDN w:val="0"/>
              <w:spacing w:line="232" w:lineRule="exact"/>
              <w:ind w:left="152"/>
              <w:rPr>
                <w:color w:val="000000"/>
                <w:sz w:val="22"/>
                <w:szCs w:val="22"/>
              </w:rPr>
            </w:pPr>
            <w:r w:rsidRPr="00F25D1B">
              <w:rPr>
                <w:color w:val="000000"/>
                <w:sz w:val="22"/>
                <w:szCs w:val="22"/>
              </w:rPr>
              <w:t>ROSCI0087</w:t>
            </w:r>
          </w:p>
        </w:tc>
        <w:tc>
          <w:tcPr>
            <w:tcW w:w="4117" w:type="dxa"/>
            <w:vAlign w:val="bottom"/>
          </w:tcPr>
          <w:p w14:paraId="02F3D11E"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Grădiștea Muncelului - Cioclovina</w:t>
            </w:r>
          </w:p>
        </w:tc>
      </w:tr>
      <w:tr w:rsidR="00F25D1B" w:rsidRPr="00C56257" w14:paraId="109DF64E" w14:textId="77777777" w:rsidTr="00993B86">
        <w:trPr>
          <w:trHeight w:val="254"/>
        </w:trPr>
        <w:tc>
          <w:tcPr>
            <w:tcW w:w="3262" w:type="dxa"/>
            <w:vMerge/>
            <w:tcBorders>
              <w:top w:val="nil"/>
            </w:tcBorders>
          </w:tcPr>
          <w:p w14:paraId="3F90EDE6"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36036AFE" w14:textId="77777777" w:rsidR="00F25D1B" w:rsidRPr="00E10222" w:rsidRDefault="00F25D1B" w:rsidP="00E10222">
            <w:pPr>
              <w:widowControl w:val="0"/>
              <w:autoSpaceDE w:val="0"/>
              <w:autoSpaceDN w:val="0"/>
              <w:spacing w:line="232" w:lineRule="exact"/>
              <w:ind w:left="152"/>
              <w:rPr>
                <w:color w:val="000000"/>
                <w:sz w:val="22"/>
                <w:szCs w:val="22"/>
              </w:rPr>
            </w:pPr>
            <w:r w:rsidRPr="00F25D1B">
              <w:rPr>
                <w:color w:val="000000"/>
                <w:sz w:val="22"/>
                <w:szCs w:val="22"/>
              </w:rPr>
              <w:t>ROSCI0089</w:t>
            </w:r>
          </w:p>
        </w:tc>
        <w:tc>
          <w:tcPr>
            <w:tcW w:w="4117" w:type="dxa"/>
            <w:vAlign w:val="bottom"/>
          </w:tcPr>
          <w:p w14:paraId="3C2C7554"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Gutâi - Creasta Cocoșului</w:t>
            </w:r>
          </w:p>
        </w:tc>
      </w:tr>
      <w:tr w:rsidR="00F25D1B" w:rsidRPr="00C56257" w14:paraId="53B97D58" w14:textId="77777777" w:rsidTr="00993B86">
        <w:trPr>
          <w:trHeight w:val="251"/>
        </w:trPr>
        <w:tc>
          <w:tcPr>
            <w:tcW w:w="3262" w:type="dxa"/>
            <w:vMerge/>
            <w:tcBorders>
              <w:top w:val="nil"/>
            </w:tcBorders>
          </w:tcPr>
          <w:p w14:paraId="16FEB933"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4513891B" w14:textId="77777777" w:rsidR="00F25D1B" w:rsidRPr="00E10222" w:rsidRDefault="00507CCA" w:rsidP="00E10222">
            <w:pPr>
              <w:widowControl w:val="0"/>
              <w:autoSpaceDE w:val="0"/>
              <w:autoSpaceDN w:val="0"/>
              <w:spacing w:line="232" w:lineRule="exact"/>
              <w:ind w:left="152"/>
              <w:rPr>
                <w:color w:val="000000"/>
                <w:sz w:val="22"/>
                <w:szCs w:val="22"/>
              </w:rPr>
            </w:pPr>
            <w:r>
              <w:rPr>
                <w:color w:val="000000"/>
                <w:sz w:val="22"/>
                <w:szCs w:val="22"/>
              </w:rPr>
              <w:t>ROSAC</w:t>
            </w:r>
            <w:r w:rsidR="00F25D1B" w:rsidRPr="00F25D1B">
              <w:rPr>
                <w:color w:val="000000"/>
                <w:sz w:val="22"/>
                <w:szCs w:val="22"/>
              </w:rPr>
              <w:t>0113</w:t>
            </w:r>
          </w:p>
        </w:tc>
        <w:tc>
          <w:tcPr>
            <w:tcW w:w="4117" w:type="dxa"/>
            <w:vAlign w:val="bottom"/>
          </w:tcPr>
          <w:p w14:paraId="197FB7C3"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Mlaștina după Luncă</w:t>
            </w:r>
          </w:p>
        </w:tc>
      </w:tr>
      <w:tr w:rsidR="00F25D1B" w:rsidRPr="00C56257" w14:paraId="5A9A954F" w14:textId="77777777" w:rsidTr="00993B86">
        <w:trPr>
          <w:trHeight w:val="253"/>
        </w:trPr>
        <w:tc>
          <w:tcPr>
            <w:tcW w:w="3262" w:type="dxa"/>
            <w:vMerge/>
            <w:tcBorders>
              <w:top w:val="nil"/>
            </w:tcBorders>
          </w:tcPr>
          <w:p w14:paraId="0E0A7A14"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42FA1454" w14:textId="77777777" w:rsidR="00F25D1B" w:rsidRPr="00E10222" w:rsidRDefault="00507CCA" w:rsidP="00E10222">
            <w:pPr>
              <w:widowControl w:val="0"/>
              <w:autoSpaceDE w:val="0"/>
              <w:autoSpaceDN w:val="0"/>
              <w:spacing w:line="232" w:lineRule="exact"/>
              <w:ind w:left="152"/>
              <w:rPr>
                <w:color w:val="000000"/>
                <w:sz w:val="22"/>
                <w:szCs w:val="22"/>
              </w:rPr>
            </w:pPr>
            <w:r>
              <w:rPr>
                <w:color w:val="000000"/>
                <w:sz w:val="22"/>
                <w:szCs w:val="22"/>
              </w:rPr>
              <w:t>ROSAC</w:t>
            </w:r>
            <w:r w:rsidR="00F25D1B" w:rsidRPr="00F25D1B">
              <w:rPr>
                <w:color w:val="000000"/>
                <w:sz w:val="22"/>
                <w:szCs w:val="22"/>
              </w:rPr>
              <w:t>0124</w:t>
            </w:r>
          </w:p>
        </w:tc>
        <w:tc>
          <w:tcPr>
            <w:tcW w:w="4117" w:type="dxa"/>
            <w:vAlign w:val="bottom"/>
          </w:tcPr>
          <w:p w14:paraId="0EEAA3CC"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Munții Maramureșului</w:t>
            </w:r>
          </w:p>
        </w:tc>
      </w:tr>
      <w:tr w:rsidR="00F25D1B" w:rsidRPr="00C56257" w14:paraId="39ACDECC" w14:textId="77777777" w:rsidTr="00993B86">
        <w:trPr>
          <w:trHeight w:val="254"/>
        </w:trPr>
        <w:tc>
          <w:tcPr>
            <w:tcW w:w="3262" w:type="dxa"/>
            <w:vMerge/>
            <w:tcBorders>
              <w:top w:val="nil"/>
            </w:tcBorders>
          </w:tcPr>
          <w:p w14:paraId="775EED7C"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0FC99C92" w14:textId="77777777" w:rsidR="00F25D1B" w:rsidRPr="00E10222" w:rsidRDefault="00F25D1B" w:rsidP="00E10222">
            <w:pPr>
              <w:widowControl w:val="0"/>
              <w:autoSpaceDE w:val="0"/>
              <w:autoSpaceDN w:val="0"/>
              <w:spacing w:line="232" w:lineRule="exact"/>
              <w:ind w:left="152"/>
              <w:rPr>
                <w:color w:val="000000"/>
                <w:sz w:val="22"/>
                <w:szCs w:val="22"/>
              </w:rPr>
            </w:pPr>
            <w:r w:rsidRPr="00F25D1B">
              <w:rPr>
                <w:color w:val="000000"/>
                <w:sz w:val="22"/>
                <w:szCs w:val="22"/>
              </w:rPr>
              <w:t>ROSCI0125</w:t>
            </w:r>
          </w:p>
        </w:tc>
        <w:tc>
          <w:tcPr>
            <w:tcW w:w="4117" w:type="dxa"/>
            <w:vAlign w:val="bottom"/>
          </w:tcPr>
          <w:p w14:paraId="44883D85"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Munții Rodnei</w:t>
            </w:r>
          </w:p>
        </w:tc>
      </w:tr>
      <w:tr w:rsidR="00F25D1B" w:rsidRPr="00C56257" w14:paraId="6C9E2B06" w14:textId="77777777" w:rsidTr="00993B86">
        <w:trPr>
          <w:trHeight w:val="251"/>
        </w:trPr>
        <w:tc>
          <w:tcPr>
            <w:tcW w:w="3262" w:type="dxa"/>
            <w:vMerge/>
            <w:tcBorders>
              <w:top w:val="nil"/>
            </w:tcBorders>
          </w:tcPr>
          <w:p w14:paraId="37EC1CE4"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781D1611" w14:textId="77777777" w:rsidR="00F25D1B" w:rsidRPr="00E10222" w:rsidRDefault="00F25D1B" w:rsidP="00E10222">
            <w:pPr>
              <w:widowControl w:val="0"/>
              <w:autoSpaceDE w:val="0"/>
              <w:autoSpaceDN w:val="0"/>
              <w:spacing w:line="232" w:lineRule="exact"/>
              <w:ind w:left="152"/>
              <w:rPr>
                <w:color w:val="000000"/>
                <w:sz w:val="22"/>
                <w:szCs w:val="22"/>
              </w:rPr>
            </w:pPr>
            <w:r w:rsidRPr="00F25D1B">
              <w:rPr>
                <w:color w:val="000000"/>
                <w:sz w:val="22"/>
                <w:szCs w:val="22"/>
              </w:rPr>
              <w:t>ROSCI0126</w:t>
            </w:r>
          </w:p>
        </w:tc>
        <w:tc>
          <w:tcPr>
            <w:tcW w:w="4117" w:type="dxa"/>
            <w:vAlign w:val="bottom"/>
          </w:tcPr>
          <w:p w14:paraId="0EE46FB5"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Munții Țarcu</w:t>
            </w:r>
          </w:p>
        </w:tc>
      </w:tr>
      <w:tr w:rsidR="00F25D1B" w:rsidRPr="00C56257" w14:paraId="6075ED43" w14:textId="77777777" w:rsidTr="00993B86">
        <w:trPr>
          <w:trHeight w:val="254"/>
        </w:trPr>
        <w:tc>
          <w:tcPr>
            <w:tcW w:w="3262" w:type="dxa"/>
            <w:vMerge/>
            <w:tcBorders>
              <w:top w:val="nil"/>
            </w:tcBorders>
          </w:tcPr>
          <w:p w14:paraId="0AE56ED5"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1ED9995A" w14:textId="77777777" w:rsidR="00F25D1B" w:rsidRPr="00E10222" w:rsidRDefault="00507CCA" w:rsidP="00507CCA">
            <w:pPr>
              <w:widowControl w:val="0"/>
              <w:autoSpaceDE w:val="0"/>
              <w:autoSpaceDN w:val="0"/>
              <w:spacing w:line="232" w:lineRule="exact"/>
              <w:ind w:left="152"/>
              <w:rPr>
                <w:color w:val="000000"/>
                <w:sz w:val="22"/>
                <w:szCs w:val="22"/>
              </w:rPr>
            </w:pPr>
            <w:r>
              <w:rPr>
                <w:color w:val="000000"/>
                <w:sz w:val="22"/>
                <w:szCs w:val="22"/>
              </w:rPr>
              <w:t>ROSAC</w:t>
            </w:r>
            <w:r w:rsidR="00F25D1B" w:rsidRPr="00F25D1B">
              <w:rPr>
                <w:color w:val="000000"/>
                <w:sz w:val="22"/>
                <w:szCs w:val="22"/>
              </w:rPr>
              <w:t>0212</w:t>
            </w:r>
          </w:p>
        </w:tc>
        <w:tc>
          <w:tcPr>
            <w:tcW w:w="4117" w:type="dxa"/>
            <w:vAlign w:val="bottom"/>
          </w:tcPr>
          <w:p w14:paraId="1CDCDF79"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Rarău - Giumalău</w:t>
            </w:r>
          </w:p>
        </w:tc>
      </w:tr>
      <w:tr w:rsidR="00F25D1B" w:rsidRPr="00C56257" w14:paraId="2AA88B0D" w14:textId="77777777" w:rsidTr="00993B86">
        <w:trPr>
          <w:trHeight w:val="254"/>
        </w:trPr>
        <w:tc>
          <w:tcPr>
            <w:tcW w:w="3262" w:type="dxa"/>
            <w:vMerge/>
            <w:tcBorders>
              <w:top w:val="nil"/>
            </w:tcBorders>
          </w:tcPr>
          <w:p w14:paraId="271C080C"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796D6CA1" w14:textId="77777777" w:rsidR="00F25D1B" w:rsidRPr="00F25D1B" w:rsidRDefault="00F25D1B" w:rsidP="00E10222">
            <w:pPr>
              <w:widowControl w:val="0"/>
              <w:autoSpaceDE w:val="0"/>
              <w:autoSpaceDN w:val="0"/>
              <w:spacing w:line="232" w:lineRule="exact"/>
              <w:ind w:left="152"/>
              <w:rPr>
                <w:color w:val="000000"/>
                <w:sz w:val="22"/>
                <w:szCs w:val="22"/>
              </w:rPr>
            </w:pPr>
            <w:r w:rsidRPr="00F25D1B">
              <w:rPr>
                <w:color w:val="000000"/>
                <w:sz w:val="22"/>
                <w:szCs w:val="22"/>
              </w:rPr>
              <w:t>ROSCI0241</w:t>
            </w:r>
          </w:p>
        </w:tc>
        <w:tc>
          <w:tcPr>
            <w:tcW w:w="4117" w:type="dxa"/>
            <w:vAlign w:val="bottom"/>
          </w:tcPr>
          <w:p w14:paraId="75ED4622" w14:textId="77777777" w:rsidR="00F25D1B" w:rsidRPr="00F25D1B"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Tinovul Apa Lină - Honcsok</w:t>
            </w:r>
          </w:p>
        </w:tc>
      </w:tr>
      <w:tr w:rsidR="00F25D1B" w:rsidRPr="00C56257" w14:paraId="3BCC14F8" w14:textId="77777777" w:rsidTr="00993B86">
        <w:trPr>
          <w:trHeight w:val="251"/>
        </w:trPr>
        <w:tc>
          <w:tcPr>
            <w:tcW w:w="3262" w:type="dxa"/>
            <w:vMerge/>
            <w:tcBorders>
              <w:top w:val="nil"/>
            </w:tcBorders>
          </w:tcPr>
          <w:p w14:paraId="1EEB3F93" w14:textId="77777777" w:rsidR="00F25D1B" w:rsidRPr="00C56257" w:rsidRDefault="00F25D1B" w:rsidP="00246E14">
            <w:pPr>
              <w:widowControl w:val="0"/>
              <w:autoSpaceDE w:val="0"/>
              <w:autoSpaceDN w:val="0"/>
              <w:jc w:val="both"/>
              <w:rPr>
                <w:color w:val="000000" w:themeColor="text1"/>
              </w:rPr>
            </w:pPr>
          </w:p>
        </w:tc>
        <w:tc>
          <w:tcPr>
            <w:tcW w:w="2136" w:type="dxa"/>
            <w:vAlign w:val="bottom"/>
          </w:tcPr>
          <w:p w14:paraId="41F2B9AD" w14:textId="77777777" w:rsidR="00F25D1B" w:rsidRPr="00E10222" w:rsidRDefault="00F25D1B" w:rsidP="00E10222">
            <w:pPr>
              <w:widowControl w:val="0"/>
              <w:autoSpaceDE w:val="0"/>
              <w:autoSpaceDN w:val="0"/>
              <w:spacing w:line="232" w:lineRule="exact"/>
              <w:ind w:left="152"/>
              <w:rPr>
                <w:color w:val="000000"/>
                <w:sz w:val="22"/>
                <w:szCs w:val="22"/>
              </w:rPr>
            </w:pPr>
            <w:r w:rsidRPr="00F25D1B">
              <w:rPr>
                <w:color w:val="000000"/>
                <w:sz w:val="22"/>
                <w:szCs w:val="22"/>
              </w:rPr>
              <w:t>ROSCI0323</w:t>
            </w:r>
          </w:p>
        </w:tc>
        <w:tc>
          <w:tcPr>
            <w:tcW w:w="4117" w:type="dxa"/>
            <w:vAlign w:val="bottom"/>
          </w:tcPr>
          <w:p w14:paraId="17CA026F" w14:textId="77777777" w:rsidR="00F25D1B" w:rsidRPr="00E10222" w:rsidRDefault="00F25D1B" w:rsidP="00E10222">
            <w:pPr>
              <w:widowControl w:val="0"/>
              <w:autoSpaceDE w:val="0"/>
              <w:autoSpaceDN w:val="0"/>
              <w:spacing w:line="232" w:lineRule="exact"/>
              <w:ind w:left="152" w:right="205"/>
              <w:rPr>
                <w:color w:val="000000"/>
                <w:sz w:val="22"/>
                <w:szCs w:val="22"/>
              </w:rPr>
            </w:pPr>
            <w:r w:rsidRPr="00F25D1B">
              <w:rPr>
                <w:color w:val="000000"/>
                <w:sz w:val="22"/>
                <w:szCs w:val="22"/>
              </w:rPr>
              <w:t>Munții Ciucului</w:t>
            </w:r>
          </w:p>
        </w:tc>
      </w:tr>
      <w:tr w:rsidR="00EA3C6D" w:rsidRPr="00C56257" w14:paraId="6DC2BC98" w14:textId="77777777" w:rsidTr="00993B86">
        <w:trPr>
          <w:trHeight w:val="254"/>
        </w:trPr>
        <w:tc>
          <w:tcPr>
            <w:tcW w:w="3262" w:type="dxa"/>
            <w:vMerge w:val="restart"/>
          </w:tcPr>
          <w:p w14:paraId="1F4D5439" w14:textId="77777777" w:rsidR="00EA3C6D" w:rsidRPr="00C56257" w:rsidRDefault="00EA3C6D" w:rsidP="00246E14">
            <w:pPr>
              <w:widowControl w:val="0"/>
              <w:autoSpaceDE w:val="0"/>
              <w:autoSpaceDN w:val="0"/>
              <w:ind w:left="107" w:right="632"/>
              <w:jc w:val="both"/>
              <w:rPr>
                <w:i/>
                <w:color w:val="000000" w:themeColor="text1"/>
              </w:rPr>
            </w:pPr>
            <w:r w:rsidRPr="00C56257">
              <w:rPr>
                <w:color w:val="000000" w:themeColor="text1"/>
              </w:rPr>
              <w:t xml:space="preserve">7240* Formațiuni pioniere alpine din </w:t>
            </w:r>
            <w:r w:rsidRPr="00C56257">
              <w:rPr>
                <w:i/>
                <w:color w:val="000000" w:themeColor="text1"/>
              </w:rPr>
              <w:t>Caricion</w:t>
            </w:r>
            <w:r w:rsidRPr="00C56257">
              <w:rPr>
                <w:i/>
                <w:color w:val="000000" w:themeColor="text1"/>
                <w:spacing w:val="-52"/>
              </w:rPr>
              <w:t xml:space="preserve"> </w:t>
            </w:r>
            <w:r w:rsidRPr="00C56257">
              <w:rPr>
                <w:i/>
                <w:color w:val="000000" w:themeColor="text1"/>
              </w:rPr>
              <w:t>bicoloris-atrofuscae</w:t>
            </w:r>
          </w:p>
        </w:tc>
        <w:tc>
          <w:tcPr>
            <w:tcW w:w="2136" w:type="dxa"/>
            <w:vAlign w:val="bottom"/>
          </w:tcPr>
          <w:p w14:paraId="74A4D849" w14:textId="77777777" w:rsidR="00EA3C6D" w:rsidRPr="00E10222" w:rsidRDefault="00EA3C6D" w:rsidP="00E10222">
            <w:pPr>
              <w:widowControl w:val="0"/>
              <w:autoSpaceDE w:val="0"/>
              <w:autoSpaceDN w:val="0"/>
              <w:spacing w:line="232" w:lineRule="exact"/>
              <w:ind w:left="152"/>
              <w:rPr>
                <w:color w:val="000000"/>
                <w:sz w:val="22"/>
                <w:szCs w:val="22"/>
              </w:rPr>
            </w:pPr>
            <w:r w:rsidRPr="00EA3C6D">
              <w:rPr>
                <w:color w:val="000000"/>
                <w:sz w:val="22"/>
                <w:szCs w:val="22"/>
              </w:rPr>
              <w:t>ROSCI0019</w:t>
            </w:r>
          </w:p>
        </w:tc>
        <w:tc>
          <w:tcPr>
            <w:tcW w:w="4117" w:type="dxa"/>
            <w:vAlign w:val="bottom"/>
          </w:tcPr>
          <w:p w14:paraId="730A5098" w14:textId="77777777" w:rsidR="00EA3C6D" w:rsidRPr="00E10222" w:rsidRDefault="00EA3C6D" w:rsidP="00E10222">
            <w:pPr>
              <w:widowControl w:val="0"/>
              <w:autoSpaceDE w:val="0"/>
              <w:autoSpaceDN w:val="0"/>
              <w:spacing w:line="232" w:lineRule="exact"/>
              <w:ind w:left="152" w:right="205"/>
              <w:rPr>
                <w:color w:val="000000"/>
                <w:sz w:val="22"/>
                <w:szCs w:val="22"/>
              </w:rPr>
            </w:pPr>
            <w:r w:rsidRPr="00EA3C6D">
              <w:rPr>
                <w:color w:val="000000"/>
                <w:sz w:val="22"/>
                <w:szCs w:val="22"/>
              </w:rPr>
              <w:t>Călimani - Gurghiu</w:t>
            </w:r>
          </w:p>
        </w:tc>
      </w:tr>
      <w:tr w:rsidR="00EA3C6D" w:rsidRPr="00C56257" w14:paraId="11382DDE" w14:textId="77777777" w:rsidTr="00993B86">
        <w:trPr>
          <w:trHeight w:val="254"/>
        </w:trPr>
        <w:tc>
          <w:tcPr>
            <w:tcW w:w="3262" w:type="dxa"/>
            <w:vMerge/>
            <w:tcBorders>
              <w:top w:val="nil"/>
            </w:tcBorders>
          </w:tcPr>
          <w:p w14:paraId="62CA0A47" w14:textId="77777777" w:rsidR="00EA3C6D" w:rsidRPr="00C56257" w:rsidRDefault="00EA3C6D" w:rsidP="00246E14">
            <w:pPr>
              <w:widowControl w:val="0"/>
              <w:autoSpaceDE w:val="0"/>
              <w:autoSpaceDN w:val="0"/>
              <w:jc w:val="both"/>
              <w:rPr>
                <w:color w:val="000000" w:themeColor="text1"/>
              </w:rPr>
            </w:pPr>
          </w:p>
        </w:tc>
        <w:tc>
          <w:tcPr>
            <w:tcW w:w="2136" w:type="dxa"/>
            <w:vAlign w:val="bottom"/>
          </w:tcPr>
          <w:p w14:paraId="7BF937C1" w14:textId="77777777" w:rsidR="00EA3C6D" w:rsidRPr="00E10222" w:rsidRDefault="00507CCA" w:rsidP="00E10222">
            <w:pPr>
              <w:widowControl w:val="0"/>
              <w:autoSpaceDE w:val="0"/>
              <w:autoSpaceDN w:val="0"/>
              <w:spacing w:line="232" w:lineRule="exact"/>
              <w:ind w:left="152"/>
              <w:rPr>
                <w:color w:val="000000"/>
                <w:sz w:val="22"/>
                <w:szCs w:val="22"/>
              </w:rPr>
            </w:pPr>
            <w:r>
              <w:rPr>
                <w:color w:val="000000"/>
                <w:sz w:val="22"/>
                <w:szCs w:val="22"/>
              </w:rPr>
              <w:t>ROSAC</w:t>
            </w:r>
            <w:r w:rsidR="00EA3C6D" w:rsidRPr="00EA3C6D">
              <w:rPr>
                <w:color w:val="000000"/>
                <w:sz w:val="22"/>
                <w:szCs w:val="22"/>
              </w:rPr>
              <w:t>0122</w:t>
            </w:r>
          </w:p>
        </w:tc>
        <w:tc>
          <w:tcPr>
            <w:tcW w:w="4117" w:type="dxa"/>
            <w:vAlign w:val="bottom"/>
          </w:tcPr>
          <w:p w14:paraId="22DCF1E2" w14:textId="77777777" w:rsidR="00EA3C6D" w:rsidRPr="00E10222" w:rsidRDefault="00EA3C6D" w:rsidP="00E10222">
            <w:pPr>
              <w:widowControl w:val="0"/>
              <w:autoSpaceDE w:val="0"/>
              <w:autoSpaceDN w:val="0"/>
              <w:spacing w:line="232" w:lineRule="exact"/>
              <w:ind w:left="152" w:right="205"/>
              <w:rPr>
                <w:color w:val="000000"/>
                <w:sz w:val="22"/>
                <w:szCs w:val="22"/>
              </w:rPr>
            </w:pPr>
            <w:r w:rsidRPr="00EA3C6D">
              <w:rPr>
                <w:color w:val="000000"/>
                <w:sz w:val="22"/>
                <w:szCs w:val="22"/>
              </w:rPr>
              <w:t>Munții Făgăraș</w:t>
            </w:r>
          </w:p>
        </w:tc>
      </w:tr>
      <w:tr w:rsidR="00EA3C6D" w:rsidRPr="00C56257" w14:paraId="081E70CE" w14:textId="77777777" w:rsidTr="00993B86">
        <w:trPr>
          <w:trHeight w:val="251"/>
        </w:trPr>
        <w:tc>
          <w:tcPr>
            <w:tcW w:w="3262" w:type="dxa"/>
            <w:vMerge/>
            <w:tcBorders>
              <w:top w:val="nil"/>
            </w:tcBorders>
          </w:tcPr>
          <w:p w14:paraId="33444B0E" w14:textId="77777777" w:rsidR="00EA3C6D" w:rsidRPr="00C56257" w:rsidRDefault="00EA3C6D" w:rsidP="00246E14">
            <w:pPr>
              <w:widowControl w:val="0"/>
              <w:autoSpaceDE w:val="0"/>
              <w:autoSpaceDN w:val="0"/>
              <w:jc w:val="both"/>
              <w:rPr>
                <w:color w:val="000000" w:themeColor="text1"/>
              </w:rPr>
            </w:pPr>
          </w:p>
        </w:tc>
        <w:tc>
          <w:tcPr>
            <w:tcW w:w="2136" w:type="dxa"/>
            <w:vAlign w:val="bottom"/>
          </w:tcPr>
          <w:p w14:paraId="5E0034C5" w14:textId="77777777" w:rsidR="00EA3C6D" w:rsidRPr="00E10222" w:rsidRDefault="00EA3C6D" w:rsidP="00E10222">
            <w:pPr>
              <w:widowControl w:val="0"/>
              <w:autoSpaceDE w:val="0"/>
              <w:autoSpaceDN w:val="0"/>
              <w:spacing w:line="232" w:lineRule="exact"/>
              <w:ind w:left="152"/>
              <w:rPr>
                <w:color w:val="000000"/>
                <w:sz w:val="22"/>
                <w:szCs w:val="22"/>
              </w:rPr>
            </w:pPr>
            <w:r w:rsidRPr="00EA3C6D">
              <w:rPr>
                <w:color w:val="000000"/>
                <w:sz w:val="22"/>
                <w:szCs w:val="22"/>
              </w:rPr>
              <w:t>ROSCI0125</w:t>
            </w:r>
          </w:p>
        </w:tc>
        <w:tc>
          <w:tcPr>
            <w:tcW w:w="4117" w:type="dxa"/>
            <w:vAlign w:val="bottom"/>
          </w:tcPr>
          <w:p w14:paraId="48F55DDB" w14:textId="77777777" w:rsidR="00EA3C6D" w:rsidRPr="00E10222" w:rsidRDefault="00EA3C6D" w:rsidP="00E10222">
            <w:pPr>
              <w:widowControl w:val="0"/>
              <w:autoSpaceDE w:val="0"/>
              <w:autoSpaceDN w:val="0"/>
              <w:spacing w:line="232" w:lineRule="exact"/>
              <w:ind w:left="152" w:right="205"/>
              <w:rPr>
                <w:color w:val="000000"/>
                <w:sz w:val="22"/>
                <w:szCs w:val="22"/>
              </w:rPr>
            </w:pPr>
            <w:r w:rsidRPr="00EA3C6D">
              <w:rPr>
                <w:color w:val="000000"/>
                <w:sz w:val="22"/>
                <w:szCs w:val="22"/>
              </w:rPr>
              <w:t>Munții Rodnei</w:t>
            </w:r>
          </w:p>
        </w:tc>
      </w:tr>
      <w:tr w:rsidR="00EA3C6D" w:rsidRPr="00C56257" w14:paraId="139DFE43" w14:textId="77777777" w:rsidTr="00993B86">
        <w:trPr>
          <w:trHeight w:val="254"/>
        </w:trPr>
        <w:tc>
          <w:tcPr>
            <w:tcW w:w="3262" w:type="dxa"/>
            <w:vMerge/>
            <w:tcBorders>
              <w:top w:val="nil"/>
            </w:tcBorders>
          </w:tcPr>
          <w:p w14:paraId="12DA44F0" w14:textId="77777777" w:rsidR="00EA3C6D" w:rsidRPr="00C56257" w:rsidRDefault="00EA3C6D" w:rsidP="00246E14">
            <w:pPr>
              <w:widowControl w:val="0"/>
              <w:autoSpaceDE w:val="0"/>
              <w:autoSpaceDN w:val="0"/>
              <w:jc w:val="both"/>
              <w:rPr>
                <w:color w:val="000000" w:themeColor="text1"/>
              </w:rPr>
            </w:pPr>
          </w:p>
        </w:tc>
        <w:tc>
          <w:tcPr>
            <w:tcW w:w="2136" w:type="dxa"/>
            <w:vAlign w:val="bottom"/>
          </w:tcPr>
          <w:p w14:paraId="5A936435" w14:textId="77777777" w:rsidR="00EA3C6D" w:rsidRPr="00E10222" w:rsidRDefault="00507CCA" w:rsidP="00E10222">
            <w:pPr>
              <w:widowControl w:val="0"/>
              <w:autoSpaceDE w:val="0"/>
              <w:autoSpaceDN w:val="0"/>
              <w:spacing w:line="232" w:lineRule="exact"/>
              <w:ind w:left="152"/>
              <w:rPr>
                <w:color w:val="000000"/>
                <w:sz w:val="22"/>
                <w:szCs w:val="22"/>
              </w:rPr>
            </w:pPr>
            <w:r>
              <w:rPr>
                <w:color w:val="000000"/>
                <w:sz w:val="22"/>
                <w:szCs w:val="22"/>
              </w:rPr>
              <w:t>ROSAC</w:t>
            </w:r>
            <w:r w:rsidR="00EA3C6D" w:rsidRPr="00EA3C6D">
              <w:rPr>
                <w:color w:val="000000"/>
                <w:sz w:val="22"/>
                <w:szCs w:val="22"/>
              </w:rPr>
              <w:t>0188</w:t>
            </w:r>
          </w:p>
        </w:tc>
        <w:tc>
          <w:tcPr>
            <w:tcW w:w="4117" w:type="dxa"/>
            <w:vAlign w:val="bottom"/>
          </w:tcPr>
          <w:p w14:paraId="637827DC" w14:textId="77777777" w:rsidR="00EA3C6D" w:rsidRPr="00E10222" w:rsidRDefault="00EA3C6D" w:rsidP="00E10222">
            <w:pPr>
              <w:widowControl w:val="0"/>
              <w:autoSpaceDE w:val="0"/>
              <w:autoSpaceDN w:val="0"/>
              <w:spacing w:line="232" w:lineRule="exact"/>
              <w:ind w:left="152" w:right="205"/>
              <w:rPr>
                <w:color w:val="000000"/>
                <w:sz w:val="22"/>
                <w:szCs w:val="22"/>
              </w:rPr>
            </w:pPr>
            <w:r w:rsidRPr="00EA3C6D">
              <w:rPr>
                <w:color w:val="000000"/>
                <w:sz w:val="22"/>
                <w:szCs w:val="22"/>
              </w:rPr>
              <w:t>Parâng</w:t>
            </w:r>
          </w:p>
        </w:tc>
      </w:tr>
      <w:tr w:rsidR="00EA3C6D" w:rsidRPr="00C56257" w14:paraId="7B72F246" w14:textId="77777777" w:rsidTr="00993B86">
        <w:trPr>
          <w:trHeight w:val="252"/>
        </w:trPr>
        <w:tc>
          <w:tcPr>
            <w:tcW w:w="3262" w:type="dxa"/>
            <w:vMerge/>
            <w:tcBorders>
              <w:top w:val="nil"/>
            </w:tcBorders>
          </w:tcPr>
          <w:p w14:paraId="2F3013ED" w14:textId="77777777" w:rsidR="00EA3C6D" w:rsidRPr="00C56257" w:rsidRDefault="00EA3C6D" w:rsidP="00246E14">
            <w:pPr>
              <w:widowControl w:val="0"/>
              <w:autoSpaceDE w:val="0"/>
              <w:autoSpaceDN w:val="0"/>
              <w:jc w:val="both"/>
              <w:rPr>
                <w:color w:val="000000" w:themeColor="text1"/>
              </w:rPr>
            </w:pPr>
          </w:p>
        </w:tc>
        <w:tc>
          <w:tcPr>
            <w:tcW w:w="2136" w:type="dxa"/>
            <w:vAlign w:val="bottom"/>
          </w:tcPr>
          <w:p w14:paraId="62793ECA" w14:textId="77777777" w:rsidR="00EA3C6D" w:rsidRPr="00EA3C6D" w:rsidRDefault="00EA3C6D" w:rsidP="00EA3C6D">
            <w:pPr>
              <w:widowControl w:val="0"/>
              <w:autoSpaceDE w:val="0"/>
              <w:autoSpaceDN w:val="0"/>
              <w:spacing w:line="232" w:lineRule="exact"/>
              <w:ind w:left="152"/>
              <w:rPr>
                <w:color w:val="000000"/>
                <w:sz w:val="22"/>
                <w:szCs w:val="22"/>
              </w:rPr>
            </w:pPr>
            <w:r w:rsidRPr="00EA3C6D">
              <w:rPr>
                <w:color w:val="000000"/>
                <w:sz w:val="22"/>
                <w:szCs w:val="22"/>
              </w:rPr>
              <w:t>ROSCI0217</w:t>
            </w:r>
          </w:p>
        </w:tc>
        <w:tc>
          <w:tcPr>
            <w:tcW w:w="4117" w:type="dxa"/>
            <w:vAlign w:val="bottom"/>
          </w:tcPr>
          <w:p w14:paraId="606AC776" w14:textId="77777777" w:rsidR="00EA3C6D" w:rsidRPr="00EA3C6D" w:rsidRDefault="00EA3C6D" w:rsidP="00EA3C6D">
            <w:pPr>
              <w:widowControl w:val="0"/>
              <w:autoSpaceDE w:val="0"/>
              <w:autoSpaceDN w:val="0"/>
              <w:spacing w:line="232" w:lineRule="exact"/>
              <w:ind w:left="152" w:right="205"/>
              <w:rPr>
                <w:color w:val="000000"/>
                <w:sz w:val="22"/>
                <w:szCs w:val="22"/>
              </w:rPr>
            </w:pPr>
            <w:r w:rsidRPr="00EA3C6D">
              <w:rPr>
                <w:color w:val="000000"/>
                <w:sz w:val="22"/>
                <w:szCs w:val="22"/>
              </w:rPr>
              <w:t>Retezat</w:t>
            </w:r>
          </w:p>
        </w:tc>
      </w:tr>
    </w:tbl>
    <w:p w14:paraId="03C563AA" w14:textId="77777777" w:rsidR="001A1ABE" w:rsidRDefault="001A1ABE" w:rsidP="008E33FD">
      <w:pPr>
        <w:spacing w:after="160" w:line="259" w:lineRule="auto"/>
        <w:jc w:val="both"/>
        <w:rPr>
          <w:bCs/>
          <w:color w:val="000000" w:themeColor="text1"/>
        </w:rPr>
      </w:pPr>
    </w:p>
    <w:p w14:paraId="468D2A87" w14:textId="77777777" w:rsidR="00C54A03" w:rsidRPr="00C54A03" w:rsidRDefault="00F07D5E" w:rsidP="00C54A03">
      <w:pPr>
        <w:spacing w:after="160" w:line="259" w:lineRule="auto"/>
        <w:jc w:val="both"/>
        <w:rPr>
          <w:color w:val="000000" w:themeColor="text1"/>
        </w:rPr>
      </w:pPr>
      <w:r>
        <w:rPr>
          <w:b/>
          <w:bCs/>
          <w:color w:val="000000" w:themeColor="text1"/>
        </w:rPr>
        <w:t>7.4</w:t>
      </w:r>
      <w:r w:rsidR="00862257" w:rsidRPr="00C56257">
        <w:rPr>
          <w:b/>
          <w:bCs/>
          <w:color w:val="000000" w:themeColor="text1"/>
        </w:rPr>
        <w:t>. Lista cu presiunile și a</w:t>
      </w:r>
      <w:r w:rsidR="00E870D1" w:rsidRPr="00C56257">
        <w:rPr>
          <w:b/>
          <w:bCs/>
          <w:color w:val="000000" w:themeColor="text1"/>
        </w:rPr>
        <w:t>menințările ce ac</w:t>
      </w:r>
      <w:r w:rsidR="00862257" w:rsidRPr="00C56257">
        <w:rPr>
          <w:b/>
          <w:bCs/>
          <w:color w:val="000000" w:themeColor="text1"/>
        </w:rPr>
        <w:t xml:space="preserve">ționează asupra habitatelor de </w:t>
      </w:r>
      <w:r w:rsidR="00E870D1" w:rsidRPr="00C56257">
        <w:rPr>
          <w:b/>
          <w:bCs/>
          <w:color w:val="000000" w:themeColor="text1"/>
        </w:rPr>
        <w:t>mlaștini și turbării</w:t>
      </w:r>
      <w:r w:rsidR="00D270C7" w:rsidRPr="00D270C7">
        <w:rPr>
          <w:b/>
          <w:bCs/>
          <w:color w:val="000000" w:themeColor="text1"/>
        </w:rPr>
        <w:t xml:space="preserve"> </w:t>
      </w:r>
      <w:r w:rsidR="00C54A03" w:rsidRPr="00C54A03">
        <w:rPr>
          <w:color w:val="000000" w:themeColor="text1"/>
        </w:rPr>
        <w:t xml:space="preserve">poate fi selectată de la următoarea adresa web: </w:t>
      </w:r>
      <w:r>
        <w:fldChar w:fldCharType="begin"/>
      </w:r>
      <w:r>
        <w:instrText>HYPERLINK "https://cdr.eionet.europa.eu/help/habitats_art17"</w:instrText>
      </w:r>
      <w:r>
        <w:fldChar w:fldCharType="separate"/>
      </w:r>
      <w:r w:rsidR="00277E6E" w:rsidRPr="007A20AE">
        <w:rPr>
          <w:rStyle w:val="Hyperlink"/>
        </w:rPr>
        <w:t>https://cdr.eionet.europa.eu/help/habitats_art17</w:t>
      </w:r>
      <w:r>
        <w:rPr>
          <w:rStyle w:val="Hyperlink"/>
        </w:rPr>
        <w:fldChar w:fldCharType="end"/>
      </w:r>
      <w:r w:rsidR="00277E6E">
        <w:rPr>
          <w:color w:val="000000" w:themeColor="text1"/>
        </w:rPr>
        <w:t xml:space="preserve"> </w:t>
      </w:r>
      <w:r w:rsidR="00C54A03" w:rsidRPr="00C54A03">
        <w:rPr>
          <w:color w:val="000000" w:themeColor="text1"/>
        </w:rPr>
        <w:t>.</w:t>
      </w:r>
    </w:p>
    <w:p w14:paraId="30A5589B" w14:textId="77777777" w:rsidR="00E870D1" w:rsidRPr="00C56257" w:rsidRDefault="004E6BFA" w:rsidP="008E33FD">
      <w:pPr>
        <w:spacing w:after="160" w:line="259" w:lineRule="auto"/>
        <w:jc w:val="both"/>
        <w:rPr>
          <w:b/>
          <w:bCs/>
          <w:color w:val="000000" w:themeColor="text1"/>
        </w:rPr>
      </w:pPr>
      <w:r>
        <w:rPr>
          <w:b/>
          <w:bCs/>
          <w:color w:val="000000" w:themeColor="text1"/>
        </w:rPr>
        <w:t>7.5</w:t>
      </w:r>
      <w:r w:rsidR="00862257" w:rsidRPr="00C56257">
        <w:rPr>
          <w:b/>
          <w:bCs/>
          <w:color w:val="000000" w:themeColor="text1"/>
        </w:rPr>
        <w:t>.  Lista cu m</w:t>
      </w:r>
      <w:r w:rsidR="00E870D1" w:rsidRPr="00C56257">
        <w:rPr>
          <w:b/>
          <w:bCs/>
          <w:color w:val="000000" w:themeColor="text1"/>
        </w:rPr>
        <w:t>ăsurile de conservare c</w:t>
      </w:r>
      <w:r w:rsidR="00862257" w:rsidRPr="00C56257">
        <w:rPr>
          <w:b/>
          <w:bCs/>
          <w:color w:val="000000" w:themeColor="text1"/>
        </w:rPr>
        <w:t xml:space="preserve">e se pot aplica habitatelor de </w:t>
      </w:r>
      <w:r w:rsidR="00E870D1" w:rsidRPr="00C56257">
        <w:rPr>
          <w:b/>
          <w:bCs/>
          <w:color w:val="000000" w:themeColor="text1"/>
        </w:rPr>
        <w:t>mlaștini și turbării</w:t>
      </w:r>
    </w:p>
    <w:p w14:paraId="52450ACC" w14:textId="77777777" w:rsidR="00C41E07" w:rsidRPr="00C56257" w:rsidRDefault="00C41E07" w:rsidP="0092497B">
      <w:pPr>
        <w:pStyle w:val="BodyText"/>
        <w:ind w:left="0" w:right="27"/>
        <w:jc w:val="both"/>
        <w:rPr>
          <w:color w:val="000000" w:themeColor="text1"/>
          <w:sz w:val="24"/>
          <w:szCs w:val="24"/>
          <w:lang w:val="fr-FR"/>
        </w:rPr>
      </w:pPr>
      <w:proofErr w:type="spellStart"/>
      <w:r w:rsidRPr="00C56257">
        <w:rPr>
          <w:color w:val="000000" w:themeColor="text1"/>
          <w:sz w:val="24"/>
          <w:szCs w:val="24"/>
          <w:lang w:val="fr-FR"/>
        </w:rPr>
        <w:t>Principalul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scop</w:t>
      </w:r>
      <w:proofErr w:type="spellEnd"/>
      <w:r w:rsidRPr="00C56257">
        <w:rPr>
          <w:color w:val="000000" w:themeColor="text1"/>
          <w:sz w:val="24"/>
          <w:szCs w:val="24"/>
          <w:lang w:val="fr-FR"/>
        </w:rPr>
        <w:t xml:space="preserve"> al </w:t>
      </w:r>
      <w:proofErr w:type="spellStart"/>
      <w:r w:rsidRPr="00C56257">
        <w:rPr>
          <w:color w:val="000000" w:themeColor="text1"/>
          <w:sz w:val="24"/>
          <w:szCs w:val="24"/>
          <w:lang w:val="fr-FR"/>
        </w:rPr>
        <w:t>implementării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acestor</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măsuri</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 xml:space="preserve"> are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vedere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menținerea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arealului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actual</w:t>
      </w:r>
      <w:proofErr w:type="spellEnd"/>
      <w:r w:rsidRPr="00C56257">
        <w:rPr>
          <w:color w:val="000000" w:themeColor="text1"/>
          <w:sz w:val="24"/>
          <w:szCs w:val="24"/>
          <w:lang w:val="fr-FR"/>
        </w:rPr>
        <w:t xml:space="preserve"> al </w:t>
      </w:r>
      <w:proofErr w:type="spellStart"/>
      <w:r w:rsidRPr="00C56257">
        <w:rPr>
          <w:color w:val="000000" w:themeColor="text1"/>
          <w:sz w:val="24"/>
          <w:szCs w:val="24"/>
          <w:lang w:val="fr-FR"/>
        </w:rPr>
        <w:t>habitatului</w:t>
      </w:r>
      <w:proofErr w:type="spellEnd"/>
      <w:r w:rsidRPr="00C56257">
        <w:rPr>
          <w:color w:val="000000" w:themeColor="text1"/>
          <w:sz w:val="24"/>
          <w:szCs w:val="24"/>
          <w:lang w:val="fr-FR"/>
        </w:rPr>
        <w:t xml:space="preserve">. Aceste </w:t>
      </w:r>
      <w:proofErr w:type="spellStart"/>
      <w:r w:rsidRPr="00C56257">
        <w:rPr>
          <w:color w:val="000000" w:themeColor="text1"/>
          <w:sz w:val="24"/>
          <w:szCs w:val="24"/>
          <w:lang w:val="fr-FR"/>
        </w:rPr>
        <w:t>informații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despre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măsurile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z w:val="24"/>
          <w:szCs w:val="24"/>
          <w:lang w:val="fr-FR"/>
        </w:rPr>
        <w:t xml:space="preserve"> utile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inclusiv</w:t>
      </w:r>
      <w:proofErr w:type="spellEnd"/>
      <w:r w:rsidRPr="00C56257">
        <w:rPr>
          <w:color w:val="000000" w:themeColor="text1"/>
          <w:sz w:val="24"/>
          <w:szCs w:val="24"/>
          <w:lang w:val="fr-FR"/>
        </w:rPr>
        <w:t xml:space="preserve"> la </w:t>
      </w:r>
      <w:proofErr w:type="spellStart"/>
      <w:r w:rsidRPr="00C56257">
        <w:rPr>
          <w:color w:val="000000" w:themeColor="text1"/>
          <w:sz w:val="24"/>
          <w:szCs w:val="24"/>
          <w:lang w:val="fr-FR"/>
        </w:rPr>
        <w:t>planurile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gestionare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luate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pentru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întreținerea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sau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restabilirea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habitatelor</w:t>
      </w:r>
      <w:proofErr w:type="spellEnd"/>
      <w:r w:rsidRPr="00C56257">
        <w:rPr>
          <w:color w:val="000000" w:themeColor="text1"/>
          <w:sz w:val="24"/>
          <w:szCs w:val="24"/>
          <w:lang w:val="fr-FR"/>
        </w:rPr>
        <w:t xml:space="preserve"> la</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starea</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conservare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favorabilă</w:t>
      </w:r>
      <w:proofErr w:type="spellEnd"/>
      <w:r w:rsidRPr="00C56257">
        <w:rPr>
          <w:color w:val="000000" w:themeColor="text1"/>
          <w:sz w:val="24"/>
          <w:szCs w:val="24"/>
          <w:lang w:val="fr-FR"/>
        </w:rPr>
        <w:t>.</w:t>
      </w:r>
    </w:p>
    <w:p w14:paraId="3DBC21CE" w14:textId="77777777" w:rsidR="00C41E07" w:rsidRPr="00C56257" w:rsidRDefault="00C41E07" w:rsidP="0092497B">
      <w:pPr>
        <w:pStyle w:val="BodyText"/>
        <w:ind w:left="0" w:right="27"/>
        <w:jc w:val="both"/>
        <w:rPr>
          <w:color w:val="000000" w:themeColor="text1"/>
          <w:sz w:val="24"/>
          <w:szCs w:val="24"/>
          <w:lang w:val="fr-FR"/>
        </w:rPr>
      </w:pP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urma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identificării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categoriilor</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presiuni</w:t>
      </w:r>
      <w:proofErr w:type="spellEnd"/>
      <w:r w:rsidRPr="00C56257">
        <w:rPr>
          <w:color w:val="000000" w:themeColor="text1"/>
          <w:sz w:val="24"/>
          <w:szCs w:val="24"/>
          <w:lang w:val="fr-FR"/>
        </w:rPr>
        <w:t xml:space="preserve">, se </w:t>
      </w:r>
      <w:proofErr w:type="spellStart"/>
      <w:r w:rsidRPr="00C56257">
        <w:rPr>
          <w:color w:val="000000" w:themeColor="text1"/>
          <w:sz w:val="24"/>
          <w:szCs w:val="24"/>
          <w:lang w:val="fr-FR"/>
        </w:rPr>
        <w:t>propune</w:t>
      </w:r>
      <w:proofErr w:type="spellEnd"/>
      <w:r w:rsidRPr="00C56257">
        <w:rPr>
          <w:color w:val="000000" w:themeColor="text1"/>
          <w:sz w:val="24"/>
          <w:szCs w:val="24"/>
          <w:lang w:val="fr-FR"/>
        </w:rPr>
        <w:t xml:space="preserve"> un set de </w:t>
      </w:r>
      <w:proofErr w:type="spellStart"/>
      <w:r w:rsidRPr="00C56257">
        <w:rPr>
          <w:color w:val="000000" w:themeColor="text1"/>
          <w:sz w:val="24"/>
          <w:szCs w:val="24"/>
          <w:lang w:val="fr-FR"/>
        </w:rPr>
        <w:t>măsuri</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w:t>
      </w:r>
      <w:proofErr w:type="spellStart"/>
      <w:r w:rsidRPr="00C56257">
        <w:rPr>
          <w:color w:val="000000" w:themeColor="text1"/>
          <w:sz w:val="24"/>
          <w:szCs w:val="24"/>
          <w:lang w:val="fr-FR"/>
        </w:rPr>
        <w:t>generale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particulare</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adaptate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grupului</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habitate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w:t>
      </w:r>
      <w:proofErr w:type="spellStart"/>
      <w:r w:rsidRPr="00C56257">
        <w:rPr>
          <w:color w:val="000000" w:themeColor="text1"/>
          <w:sz w:val="24"/>
          <w:szCs w:val="24"/>
          <w:lang w:val="fr-FR"/>
        </w:rPr>
        <w:t>vezi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tabelul</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r w:rsidRPr="00C56257">
        <w:rPr>
          <w:color w:val="000000" w:themeColor="text1"/>
          <w:sz w:val="24"/>
          <w:szCs w:val="24"/>
          <w:lang w:val="fr-FR"/>
        </w:rPr>
        <w:t xml:space="preserve">mai </w:t>
      </w:r>
      <w:proofErr w:type="spellStart"/>
      <w:r w:rsidRPr="00C56257">
        <w:rPr>
          <w:color w:val="000000" w:themeColor="text1"/>
          <w:sz w:val="24"/>
          <w:szCs w:val="24"/>
          <w:lang w:val="fr-FR"/>
        </w:rPr>
        <w:t>jos</w:t>
      </w:r>
      <w:proofErr w:type="spellEnd"/>
      <w:r w:rsidRPr="00C56257">
        <w:rPr>
          <w:color w:val="000000" w:themeColor="text1"/>
          <w:sz w:val="24"/>
          <w:szCs w:val="24"/>
          <w:lang w:val="fr-FR"/>
        </w:rPr>
        <w:t>).</w:t>
      </w:r>
    </w:p>
    <w:p w14:paraId="7569B2AD" w14:textId="77777777" w:rsidR="00C41E07" w:rsidRPr="00C56257" w:rsidRDefault="00C41E07" w:rsidP="008E33FD">
      <w:pPr>
        <w:pStyle w:val="BodyText"/>
        <w:spacing w:before="3"/>
        <w:jc w:val="both"/>
        <w:rPr>
          <w:color w:val="000000" w:themeColor="text1"/>
          <w:sz w:val="24"/>
          <w:szCs w:val="24"/>
          <w:lang w:val="fr-FR"/>
        </w:rPr>
      </w:pPr>
    </w:p>
    <w:tbl>
      <w:tblPr>
        <w:tblW w:w="9798" w:type="dxa"/>
        <w:tblInd w:w="2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1020"/>
        <w:gridCol w:w="1803"/>
        <w:gridCol w:w="4557"/>
        <w:gridCol w:w="1710"/>
      </w:tblGrid>
      <w:tr w:rsidR="00F07D5E" w:rsidRPr="00C56257" w14:paraId="0300D988" w14:textId="77777777" w:rsidTr="00F07D5E">
        <w:trPr>
          <w:trHeight w:val="760"/>
        </w:trPr>
        <w:tc>
          <w:tcPr>
            <w:tcW w:w="708" w:type="dxa"/>
            <w:shd w:val="clear" w:color="auto" w:fill="8DB4E2"/>
          </w:tcPr>
          <w:p w14:paraId="72F884B1" w14:textId="77777777" w:rsidR="00F07D5E" w:rsidRPr="00C56257" w:rsidRDefault="00F07D5E" w:rsidP="008E33FD">
            <w:pPr>
              <w:pStyle w:val="TableParagraph"/>
              <w:spacing w:before="1"/>
              <w:ind w:left="160" w:right="133" w:firstLine="36"/>
              <w:jc w:val="both"/>
              <w:rPr>
                <w:b/>
                <w:color w:val="000000" w:themeColor="text1"/>
                <w:sz w:val="24"/>
                <w:szCs w:val="24"/>
              </w:rPr>
            </w:pPr>
            <w:r w:rsidRPr="00C56257">
              <w:rPr>
                <w:b/>
                <w:color w:val="000000" w:themeColor="text1"/>
                <w:sz w:val="24"/>
                <w:szCs w:val="24"/>
              </w:rPr>
              <w:t>Nr.</w:t>
            </w:r>
            <w:r w:rsidRPr="00C56257">
              <w:rPr>
                <w:b/>
                <w:color w:val="000000" w:themeColor="text1"/>
                <w:spacing w:val="-52"/>
                <w:sz w:val="24"/>
                <w:szCs w:val="24"/>
              </w:rPr>
              <w:t xml:space="preserve"> </w:t>
            </w:r>
            <w:r w:rsidRPr="00C56257">
              <w:rPr>
                <w:b/>
                <w:color w:val="000000" w:themeColor="text1"/>
                <w:sz w:val="24"/>
                <w:szCs w:val="24"/>
              </w:rPr>
              <w:t>Crt.</w:t>
            </w:r>
          </w:p>
        </w:tc>
        <w:tc>
          <w:tcPr>
            <w:tcW w:w="1020" w:type="dxa"/>
            <w:shd w:val="clear" w:color="auto" w:fill="8DB4E2"/>
          </w:tcPr>
          <w:p w14:paraId="43075F3B" w14:textId="77777777" w:rsidR="00F07D5E" w:rsidRPr="00C56257" w:rsidRDefault="00F07D5E" w:rsidP="008E33FD">
            <w:pPr>
              <w:pStyle w:val="TableParagraph"/>
              <w:jc w:val="both"/>
              <w:rPr>
                <w:color w:val="000000" w:themeColor="text1"/>
                <w:sz w:val="24"/>
                <w:szCs w:val="24"/>
              </w:rPr>
            </w:pPr>
          </w:p>
          <w:p w14:paraId="0CDD27B0" w14:textId="77777777" w:rsidR="00F07D5E" w:rsidRPr="00C56257" w:rsidRDefault="00F07D5E" w:rsidP="008E33FD">
            <w:pPr>
              <w:pStyle w:val="TableParagraph"/>
              <w:ind w:left="226" w:right="217"/>
              <w:jc w:val="both"/>
              <w:rPr>
                <w:b/>
                <w:color w:val="000000" w:themeColor="text1"/>
                <w:sz w:val="24"/>
                <w:szCs w:val="24"/>
              </w:rPr>
            </w:pPr>
            <w:r w:rsidRPr="00C56257">
              <w:rPr>
                <w:b/>
                <w:color w:val="000000" w:themeColor="text1"/>
                <w:sz w:val="24"/>
                <w:szCs w:val="24"/>
              </w:rPr>
              <w:t>Cod</w:t>
            </w:r>
          </w:p>
        </w:tc>
        <w:tc>
          <w:tcPr>
            <w:tcW w:w="1803" w:type="dxa"/>
            <w:shd w:val="clear" w:color="auto" w:fill="8DB4E2"/>
          </w:tcPr>
          <w:p w14:paraId="1B4848D5" w14:textId="77777777" w:rsidR="00F07D5E" w:rsidRPr="00C56257" w:rsidRDefault="00F07D5E" w:rsidP="008E33FD">
            <w:pPr>
              <w:pStyle w:val="TableParagraph"/>
              <w:spacing w:before="125"/>
              <w:ind w:left="386" w:right="360" w:firstLine="31"/>
              <w:jc w:val="both"/>
              <w:rPr>
                <w:b/>
                <w:color w:val="000000" w:themeColor="text1"/>
                <w:sz w:val="24"/>
                <w:szCs w:val="24"/>
              </w:rPr>
            </w:pPr>
            <w:r w:rsidRPr="00C56257">
              <w:rPr>
                <w:b/>
                <w:color w:val="000000" w:themeColor="text1"/>
                <w:sz w:val="24"/>
                <w:szCs w:val="24"/>
              </w:rPr>
              <w:t>Măsuri de</w:t>
            </w:r>
            <w:r w:rsidRPr="00C56257">
              <w:rPr>
                <w:b/>
                <w:color w:val="000000" w:themeColor="text1"/>
                <w:spacing w:val="-52"/>
                <w:sz w:val="24"/>
                <w:szCs w:val="24"/>
              </w:rPr>
              <w:t xml:space="preserve"> </w:t>
            </w:r>
            <w:r w:rsidRPr="00C56257">
              <w:rPr>
                <w:b/>
                <w:color w:val="000000" w:themeColor="text1"/>
                <w:sz w:val="24"/>
                <w:szCs w:val="24"/>
              </w:rPr>
              <w:t>conservare</w:t>
            </w:r>
          </w:p>
        </w:tc>
        <w:tc>
          <w:tcPr>
            <w:tcW w:w="4557" w:type="dxa"/>
            <w:shd w:val="clear" w:color="auto" w:fill="8DB4E2"/>
          </w:tcPr>
          <w:p w14:paraId="3F1EC834" w14:textId="77777777" w:rsidR="00F07D5E" w:rsidRPr="00C56257" w:rsidRDefault="00F07D5E" w:rsidP="008E33FD">
            <w:pPr>
              <w:pStyle w:val="TableParagraph"/>
              <w:jc w:val="both"/>
              <w:rPr>
                <w:color w:val="000000" w:themeColor="text1"/>
                <w:sz w:val="24"/>
                <w:szCs w:val="24"/>
              </w:rPr>
            </w:pPr>
          </w:p>
          <w:p w14:paraId="1AF34EE8" w14:textId="77777777" w:rsidR="00F07D5E" w:rsidRPr="00C56257" w:rsidRDefault="00F07D5E" w:rsidP="008E33FD">
            <w:pPr>
              <w:pStyle w:val="TableParagraph"/>
              <w:ind w:left="1199" w:right="1188"/>
              <w:jc w:val="both"/>
              <w:rPr>
                <w:b/>
                <w:color w:val="000000" w:themeColor="text1"/>
                <w:sz w:val="24"/>
                <w:szCs w:val="24"/>
              </w:rPr>
            </w:pPr>
            <w:r w:rsidRPr="00C56257">
              <w:rPr>
                <w:b/>
                <w:color w:val="000000" w:themeColor="text1"/>
                <w:sz w:val="24"/>
                <w:szCs w:val="24"/>
              </w:rPr>
              <w:t>Descriere</w:t>
            </w:r>
          </w:p>
        </w:tc>
        <w:tc>
          <w:tcPr>
            <w:tcW w:w="1710" w:type="dxa"/>
            <w:shd w:val="clear" w:color="auto" w:fill="8DB4E2"/>
          </w:tcPr>
          <w:p w14:paraId="0326CFDC" w14:textId="77777777" w:rsidR="00F07D5E" w:rsidRPr="00C56257" w:rsidRDefault="00F07D5E" w:rsidP="00F07D5E">
            <w:pPr>
              <w:pStyle w:val="TableParagraph"/>
              <w:spacing w:line="252" w:lineRule="exact"/>
              <w:ind w:left="180" w:right="-413"/>
              <w:jc w:val="both"/>
              <w:rPr>
                <w:b/>
                <w:color w:val="000000" w:themeColor="text1"/>
                <w:sz w:val="24"/>
                <w:szCs w:val="24"/>
              </w:rPr>
            </w:pPr>
            <w:r w:rsidRPr="00C56257">
              <w:rPr>
                <w:b/>
                <w:color w:val="000000" w:themeColor="text1"/>
                <w:sz w:val="24"/>
                <w:szCs w:val="24"/>
              </w:rPr>
              <w:t>Principalele</w:t>
            </w:r>
            <w:r w:rsidRPr="00C56257">
              <w:rPr>
                <w:b/>
                <w:color w:val="000000" w:themeColor="text1"/>
                <w:spacing w:val="-53"/>
                <w:sz w:val="24"/>
                <w:szCs w:val="24"/>
              </w:rPr>
              <w:t xml:space="preserve"> </w:t>
            </w:r>
            <w:r w:rsidRPr="00C56257">
              <w:rPr>
                <w:b/>
                <w:color w:val="000000" w:themeColor="text1"/>
                <w:sz w:val="24"/>
                <w:szCs w:val="24"/>
              </w:rPr>
              <w:t>presiuni</w:t>
            </w:r>
            <w:r w:rsidRPr="00C56257">
              <w:rPr>
                <w:b/>
                <w:color w:val="000000" w:themeColor="text1"/>
                <w:spacing w:val="1"/>
                <w:sz w:val="24"/>
                <w:szCs w:val="24"/>
              </w:rPr>
              <w:t xml:space="preserve"> </w:t>
            </w:r>
            <w:r w:rsidRPr="00C56257">
              <w:rPr>
                <w:b/>
                <w:color w:val="000000" w:themeColor="text1"/>
                <w:sz w:val="24"/>
                <w:szCs w:val="24"/>
              </w:rPr>
              <w:t>abordate</w:t>
            </w:r>
          </w:p>
        </w:tc>
      </w:tr>
      <w:tr w:rsidR="00F07D5E" w:rsidRPr="00C56257" w14:paraId="482EBFF3" w14:textId="77777777" w:rsidTr="00F07D5E">
        <w:trPr>
          <w:trHeight w:val="245"/>
        </w:trPr>
        <w:tc>
          <w:tcPr>
            <w:tcW w:w="708" w:type="dxa"/>
            <w:tcBorders>
              <w:bottom w:val="nil"/>
            </w:tcBorders>
          </w:tcPr>
          <w:p w14:paraId="52A5E922" w14:textId="77777777" w:rsidR="00F07D5E" w:rsidRPr="00C56257" w:rsidRDefault="00F07D5E" w:rsidP="008E33FD">
            <w:pPr>
              <w:pStyle w:val="TableParagraph"/>
              <w:spacing w:line="226" w:lineRule="exact"/>
              <w:ind w:right="62"/>
              <w:jc w:val="both"/>
              <w:rPr>
                <w:color w:val="000000" w:themeColor="text1"/>
                <w:sz w:val="24"/>
                <w:szCs w:val="24"/>
              </w:rPr>
            </w:pPr>
            <w:r w:rsidRPr="00C56257">
              <w:rPr>
                <w:color w:val="000000" w:themeColor="text1"/>
                <w:sz w:val="24"/>
                <w:szCs w:val="24"/>
              </w:rPr>
              <w:t>1.</w:t>
            </w:r>
          </w:p>
        </w:tc>
        <w:tc>
          <w:tcPr>
            <w:tcW w:w="1020" w:type="dxa"/>
            <w:tcBorders>
              <w:bottom w:val="nil"/>
            </w:tcBorders>
          </w:tcPr>
          <w:p w14:paraId="41EDAD11" w14:textId="77777777" w:rsidR="00F07D5E" w:rsidRPr="00C56257" w:rsidRDefault="00F07D5E" w:rsidP="008E33FD">
            <w:pPr>
              <w:pStyle w:val="TableParagraph"/>
              <w:jc w:val="both"/>
              <w:rPr>
                <w:color w:val="000000" w:themeColor="text1"/>
                <w:sz w:val="24"/>
                <w:szCs w:val="24"/>
              </w:rPr>
            </w:pPr>
          </w:p>
        </w:tc>
        <w:tc>
          <w:tcPr>
            <w:tcW w:w="1803" w:type="dxa"/>
            <w:tcBorders>
              <w:bottom w:val="nil"/>
            </w:tcBorders>
          </w:tcPr>
          <w:p w14:paraId="561530B4" w14:textId="77777777" w:rsidR="00F07D5E" w:rsidRPr="00C56257" w:rsidRDefault="00F07D5E" w:rsidP="008E33FD">
            <w:pPr>
              <w:pStyle w:val="TableParagraph"/>
              <w:jc w:val="both"/>
              <w:rPr>
                <w:color w:val="000000" w:themeColor="text1"/>
                <w:sz w:val="24"/>
                <w:szCs w:val="24"/>
              </w:rPr>
            </w:pPr>
          </w:p>
        </w:tc>
        <w:tc>
          <w:tcPr>
            <w:tcW w:w="4557" w:type="dxa"/>
            <w:tcBorders>
              <w:bottom w:val="nil"/>
            </w:tcBorders>
          </w:tcPr>
          <w:p w14:paraId="05FA46D4" w14:textId="77777777" w:rsidR="00F07D5E" w:rsidRPr="00C56257" w:rsidRDefault="00F07D5E" w:rsidP="008E33FD">
            <w:pPr>
              <w:pStyle w:val="TableParagraph"/>
              <w:spacing w:line="226" w:lineRule="exact"/>
              <w:jc w:val="both"/>
              <w:rPr>
                <w:color w:val="000000" w:themeColor="text1"/>
                <w:sz w:val="24"/>
                <w:szCs w:val="24"/>
              </w:rPr>
            </w:pPr>
            <w:r w:rsidRPr="00C56257">
              <w:rPr>
                <w:color w:val="000000" w:themeColor="text1"/>
                <w:sz w:val="24"/>
                <w:szCs w:val="24"/>
              </w:rPr>
              <w:t>Gestionarea</w:t>
            </w:r>
            <w:r w:rsidRPr="00C56257">
              <w:rPr>
                <w:color w:val="000000" w:themeColor="text1"/>
                <w:spacing w:val="-3"/>
                <w:sz w:val="24"/>
                <w:szCs w:val="24"/>
              </w:rPr>
              <w:t xml:space="preserve"> </w:t>
            </w:r>
            <w:r w:rsidRPr="00C56257">
              <w:rPr>
                <w:color w:val="000000" w:themeColor="text1"/>
                <w:sz w:val="24"/>
                <w:szCs w:val="24"/>
              </w:rPr>
              <w:t>(reducerea</w:t>
            </w:r>
            <w:r w:rsidRPr="00C56257">
              <w:rPr>
                <w:color w:val="000000" w:themeColor="text1"/>
                <w:spacing w:val="-1"/>
                <w:sz w:val="24"/>
                <w:szCs w:val="24"/>
              </w:rPr>
              <w:t xml:space="preserve"> </w:t>
            </w:r>
            <w:r w:rsidRPr="00C56257">
              <w:rPr>
                <w:color w:val="000000" w:themeColor="text1"/>
                <w:sz w:val="24"/>
                <w:szCs w:val="24"/>
              </w:rPr>
              <w:t>sau</w:t>
            </w:r>
          </w:p>
        </w:tc>
        <w:tc>
          <w:tcPr>
            <w:tcW w:w="1710" w:type="dxa"/>
            <w:tcBorders>
              <w:bottom w:val="nil"/>
            </w:tcBorders>
          </w:tcPr>
          <w:p w14:paraId="6D7BF9E5" w14:textId="77777777" w:rsidR="00F07D5E" w:rsidRPr="00C56257" w:rsidRDefault="00F07D5E" w:rsidP="008E33FD">
            <w:pPr>
              <w:pStyle w:val="TableParagraph"/>
              <w:jc w:val="both"/>
              <w:rPr>
                <w:color w:val="000000" w:themeColor="text1"/>
                <w:sz w:val="24"/>
                <w:szCs w:val="24"/>
              </w:rPr>
            </w:pPr>
          </w:p>
        </w:tc>
      </w:tr>
      <w:tr w:rsidR="00F07D5E" w:rsidRPr="00C56257" w14:paraId="25C397A0" w14:textId="77777777" w:rsidTr="00F07D5E">
        <w:trPr>
          <w:trHeight w:val="243"/>
        </w:trPr>
        <w:tc>
          <w:tcPr>
            <w:tcW w:w="708" w:type="dxa"/>
            <w:tcBorders>
              <w:top w:val="nil"/>
              <w:bottom w:val="nil"/>
            </w:tcBorders>
          </w:tcPr>
          <w:p w14:paraId="4486AD8F"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7DBD3072"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5DF87C06" w14:textId="77777777" w:rsidR="00F07D5E" w:rsidRPr="00C56257" w:rsidRDefault="00F07D5E" w:rsidP="008E33FD">
            <w:pPr>
              <w:pStyle w:val="TableParagraph"/>
              <w:jc w:val="both"/>
              <w:rPr>
                <w:color w:val="000000" w:themeColor="text1"/>
                <w:sz w:val="24"/>
                <w:szCs w:val="24"/>
              </w:rPr>
            </w:pPr>
          </w:p>
        </w:tc>
        <w:tc>
          <w:tcPr>
            <w:tcW w:w="4557" w:type="dxa"/>
            <w:tcBorders>
              <w:top w:val="nil"/>
              <w:bottom w:val="nil"/>
            </w:tcBorders>
          </w:tcPr>
          <w:p w14:paraId="20BAE0B3"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eliminarea)</w:t>
            </w:r>
            <w:r w:rsidRPr="00C56257">
              <w:rPr>
                <w:color w:val="000000" w:themeColor="text1"/>
                <w:spacing w:val="-5"/>
                <w:sz w:val="24"/>
                <w:szCs w:val="24"/>
              </w:rPr>
              <w:t xml:space="preserve"> </w:t>
            </w:r>
            <w:r w:rsidRPr="00C56257">
              <w:rPr>
                <w:color w:val="000000" w:themeColor="text1"/>
                <w:sz w:val="24"/>
                <w:szCs w:val="24"/>
              </w:rPr>
              <w:t>utilizării:</w:t>
            </w:r>
          </w:p>
        </w:tc>
        <w:tc>
          <w:tcPr>
            <w:tcW w:w="1710" w:type="dxa"/>
            <w:tcBorders>
              <w:top w:val="nil"/>
              <w:bottom w:val="nil"/>
            </w:tcBorders>
          </w:tcPr>
          <w:p w14:paraId="3C4B09CB" w14:textId="77777777" w:rsidR="00F07D5E" w:rsidRPr="00C56257" w:rsidRDefault="00F07D5E" w:rsidP="008E33FD">
            <w:pPr>
              <w:pStyle w:val="TableParagraph"/>
              <w:jc w:val="both"/>
              <w:rPr>
                <w:color w:val="000000" w:themeColor="text1"/>
                <w:sz w:val="24"/>
                <w:szCs w:val="24"/>
              </w:rPr>
            </w:pPr>
          </w:p>
        </w:tc>
      </w:tr>
      <w:tr w:rsidR="00F07D5E" w:rsidRPr="00C56257" w14:paraId="6C8E0BC4" w14:textId="77777777" w:rsidTr="00F07D5E">
        <w:trPr>
          <w:trHeight w:val="243"/>
        </w:trPr>
        <w:tc>
          <w:tcPr>
            <w:tcW w:w="708" w:type="dxa"/>
            <w:tcBorders>
              <w:top w:val="nil"/>
              <w:bottom w:val="nil"/>
            </w:tcBorders>
          </w:tcPr>
          <w:p w14:paraId="5B9C97A9"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217313A0"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56C4A3CF" w14:textId="77777777" w:rsidR="00F07D5E" w:rsidRPr="00C56257" w:rsidRDefault="00F07D5E" w:rsidP="008E33FD">
            <w:pPr>
              <w:pStyle w:val="TableParagraph"/>
              <w:jc w:val="both"/>
              <w:rPr>
                <w:color w:val="000000" w:themeColor="text1"/>
                <w:sz w:val="24"/>
                <w:szCs w:val="24"/>
              </w:rPr>
            </w:pPr>
          </w:p>
        </w:tc>
        <w:tc>
          <w:tcPr>
            <w:tcW w:w="4557" w:type="dxa"/>
            <w:tcBorders>
              <w:top w:val="nil"/>
              <w:bottom w:val="nil"/>
            </w:tcBorders>
          </w:tcPr>
          <w:p w14:paraId="50CD2F5D"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w:t>
            </w:r>
            <w:r w:rsidRPr="00C56257">
              <w:rPr>
                <w:color w:val="000000" w:themeColor="text1"/>
                <w:spacing w:val="-5"/>
                <w:sz w:val="24"/>
                <w:szCs w:val="24"/>
              </w:rPr>
              <w:t xml:space="preserve"> </w:t>
            </w:r>
            <w:r w:rsidRPr="00C56257">
              <w:rPr>
                <w:color w:val="000000" w:themeColor="text1"/>
                <w:sz w:val="24"/>
                <w:szCs w:val="24"/>
              </w:rPr>
              <w:t>îngrășămintelor</w:t>
            </w:r>
            <w:r w:rsidRPr="00C56257">
              <w:rPr>
                <w:color w:val="000000" w:themeColor="text1"/>
                <w:spacing w:val="-2"/>
                <w:sz w:val="24"/>
                <w:szCs w:val="24"/>
              </w:rPr>
              <w:t xml:space="preserve"> </w:t>
            </w:r>
            <w:r w:rsidRPr="00C56257">
              <w:rPr>
                <w:color w:val="000000" w:themeColor="text1"/>
                <w:sz w:val="24"/>
                <w:szCs w:val="24"/>
              </w:rPr>
              <w:t>(de</w:t>
            </w:r>
            <w:r w:rsidRPr="00C56257">
              <w:rPr>
                <w:color w:val="000000" w:themeColor="text1"/>
                <w:spacing w:val="-3"/>
                <w:sz w:val="24"/>
                <w:szCs w:val="24"/>
              </w:rPr>
              <w:t xml:space="preserve"> </w:t>
            </w:r>
            <w:r w:rsidRPr="00C56257">
              <w:rPr>
                <w:color w:val="000000" w:themeColor="text1"/>
                <w:sz w:val="24"/>
                <w:szCs w:val="24"/>
              </w:rPr>
              <w:t>exemplu:</w:t>
            </w:r>
          </w:p>
        </w:tc>
        <w:tc>
          <w:tcPr>
            <w:tcW w:w="1710" w:type="dxa"/>
            <w:tcBorders>
              <w:top w:val="nil"/>
              <w:bottom w:val="nil"/>
            </w:tcBorders>
          </w:tcPr>
          <w:p w14:paraId="6A9EE397" w14:textId="77777777" w:rsidR="00F07D5E" w:rsidRPr="00C56257" w:rsidRDefault="00F07D5E" w:rsidP="008E33FD">
            <w:pPr>
              <w:pStyle w:val="TableParagraph"/>
              <w:jc w:val="both"/>
              <w:rPr>
                <w:color w:val="000000" w:themeColor="text1"/>
                <w:sz w:val="24"/>
                <w:szCs w:val="24"/>
              </w:rPr>
            </w:pPr>
          </w:p>
        </w:tc>
      </w:tr>
      <w:tr w:rsidR="00F07D5E" w:rsidRPr="00C56257" w14:paraId="6101271E" w14:textId="77777777" w:rsidTr="00F07D5E">
        <w:trPr>
          <w:trHeight w:val="243"/>
        </w:trPr>
        <w:tc>
          <w:tcPr>
            <w:tcW w:w="708" w:type="dxa"/>
            <w:tcBorders>
              <w:top w:val="nil"/>
              <w:bottom w:val="nil"/>
            </w:tcBorders>
          </w:tcPr>
          <w:p w14:paraId="20665E55"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123DADBC"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633ECA61" w14:textId="77777777" w:rsidR="00F07D5E" w:rsidRPr="00C56257" w:rsidRDefault="00F07D5E" w:rsidP="008E33FD">
            <w:pPr>
              <w:pStyle w:val="TableParagraph"/>
              <w:jc w:val="both"/>
              <w:rPr>
                <w:color w:val="000000" w:themeColor="text1"/>
                <w:sz w:val="24"/>
                <w:szCs w:val="24"/>
              </w:rPr>
            </w:pPr>
          </w:p>
        </w:tc>
        <w:tc>
          <w:tcPr>
            <w:tcW w:w="4557" w:type="dxa"/>
            <w:tcBorders>
              <w:top w:val="nil"/>
              <w:bottom w:val="nil"/>
            </w:tcBorders>
          </w:tcPr>
          <w:p w14:paraId="7AE6D735"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amendamente</w:t>
            </w:r>
            <w:r w:rsidRPr="00C56257">
              <w:rPr>
                <w:color w:val="000000" w:themeColor="text1"/>
                <w:spacing w:val="-1"/>
                <w:sz w:val="24"/>
                <w:szCs w:val="24"/>
              </w:rPr>
              <w:t xml:space="preserve"> </w:t>
            </w:r>
            <w:r w:rsidRPr="00C56257">
              <w:rPr>
                <w:color w:val="000000" w:themeColor="text1"/>
                <w:sz w:val="24"/>
                <w:szCs w:val="24"/>
              </w:rPr>
              <w:t>minerale,</w:t>
            </w:r>
            <w:r w:rsidRPr="00C56257">
              <w:rPr>
                <w:color w:val="000000" w:themeColor="text1"/>
                <w:spacing w:val="-2"/>
                <w:sz w:val="24"/>
                <w:szCs w:val="24"/>
              </w:rPr>
              <w:t xml:space="preserve"> </w:t>
            </w:r>
            <w:r w:rsidRPr="00C56257">
              <w:rPr>
                <w:color w:val="000000" w:themeColor="text1"/>
                <w:sz w:val="24"/>
                <w:szCs w:val="24"/>
              </w:rPr>
              <w:t>gunoi de</w:t>
            </w:r>
          </w:p>
        </w:tc>
        <w:tc>
          <w:tcPr>
            <w:tcW w:w="1710" w:type="dxa"/>
            <w:tcBorders>
              <w:top w:val="nil"/>
              <w:bottom w:val="nil"/>
            </w:tcBorders>
          </w:tcPr>
          <w:p w14:paraId="04DB02A5" w14:textId="77777777" w:rsidR="00F07D5E" w:rsidRPr="00C56257" w:rsidRDefault="00F07D5E" w:rsidP="008E33FD">
            <w:pPr>
              <w:pStyle w:val="TableParagraph"/>
              <w:jc w:val="both"/>
              <w:rPr>
                <w:color w:val="000000" w:themeColor="text1"/>
                <w:sz w:val="24"/>
                <w:szCs w:val="24"/>
              </w:rPr>
            </w:pPr>
          </w:p>
        </w:tc>
      </w:tr>
      <w:tr w:rsidR="00F07D5E" w:rsidRPr="00C56257" w14:paraId="673AD113" w14:textId="77777777" w:rsidTr="00F07D5E">
        <w:trPr>
          <w:trHeight w:val="243"/>
        </w:trPr>
        <w:tc>
          <w:tcPr>
            <w:tcW w:w="708" w:type="dxa"/>
            <w:tcBorders>
              <w:top w:val="nil"/>
              <w:bottom w:val="nil"/>
            </w:tcBorders>
          </w:tcPr>
          <w:p w14:paraId="04468610"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2091D753"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15FE57E2" w14:textId="77777777" w:rsidR="00F07D5E" w:rsidRPr="00C56257" w:rsidRDefault="00F07D5E" w:rsidP="008E33FD">
            <w:pPr>
              <w:pStyle w:val="TableParagraph"/>
              <w:jc w:val="both"/>
              <w:rPr>
                <w:color w:val="000000" w:themeColor="text1"/>
                <w:sz w:val="24"/>
                <w:szCs w:val="24"/>
              </w:rPr>
            </w:pPr>
          </w:p>
        </w:tc>
        <w:tc>
          <w:tcPr>
            <w:tcW w:w="4557" w:type="dxa"/>
            <w:tcBorders>
              <w:top w:val="nil"/>
              <w:bottom w:val="nil"/>
            </w:tcBorders>
          </w:tcPr>
          <w:p w14:paraId="597E2C93"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grajd,</w:t>
            </w:r>
            <w:r w:rsidRPr="00C56257">
              <w:rPr>
                <w:color w:val="000000" w:themeColor="text1"/>
                <w:spacing w:val="-2"/>
                <w:sz w:val="24"/>
                <w:szCs w:val="24"/>
              </w:rPr>
              <w:t xml:space="preserve"> </w:t>
            </w:r>
            <w:r w:rsidRPr="00C56257">
              <w:rPr>
                <w:color w:val="000000" w:themeColor="text1"/>
                <w:sz w:val="24"/>
                <w:szCs w:val="24"/>
              </w:rPr>
              <w:t>nămol</w:t>
            </w:r>
            <w:r w:rsidRPr="00C56257">
              <w:rPr>
                <w:color w:val="000000" w:themeColor="text1"/>
                <w:spacing w:val="-1"/>
                <w:sz w:val="24"/>
                <w:szCs w:val="24"/>
              </w:rPr>
              <w:t xml:space="preserve"> </w:t>
            </w:r>
            <w:r w:rsidRPr="00C56257">
              <w:rPr>
                <w:color w:val="000000" w:themeColor="text1"/>
                <w:sz w:val="24"/>
                <w:szCs w:val="24"/>
              </w:rPr>
              <w:t>biologic);</w:t>
            </w:r>
          </w:p>
        </w:tc>
        <w:tc>
          <w:tcPr>
            <w:tcW w:w="1710" w:type="dxa"/>
            <w:tcBorders>
              <w:top w:val="nil"/>
              <w:bottom w:val="nil"/>
            </w:tcBorders>
          </w:tcPr>
          <w:p w14:paraId="5880FB70" w14:textId="77777777" w:rsidR="00F07D5E" w:rsidRPr="00C56257" w:rsidRDefault="00F07D5E" w:rsidP="008E33FD">
            <w:pPr>
              <w:pStyle w:val="TableParagraph"/>
              <w:jc w:val="both"/>
              <w:rPr>
                <w:color w:val="000000" w:themeColor="text1"/>
                <w:sz w:val="24"/>
                <w:szCs w:val="24"/>
              </w:rPr>
            </w:pPr>
          </w:p>
        </w:tc>
      </w:tr>
      <w:tr w:rsidR="00F07D5E" w:rsidRPr="00C56257" w14:paraId="1775AD81" w14:textId="77777777" w:rsidTr="00F07D5E">
        <w:trPr>
          <w:trHeight w:val="241"/>
        </w:trPr>
        <w:tc>
          <w:tcPr>
            <w:tcW w:w="708" w:type="dxa"/>
            <w:tcBorders>
              <w:top w:val="nil"/>
              <w:bottom w:val="nil"/>
            </w:tcBorders>
          </w:tcPr>
          <w:p w14:paraId="5673BA7D"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30C63F87"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407FEA05" w14:textId="77777777" w:rsidR="00F07D5E" w:rsidRPr="00C56257" w:rsidRDefault="00F07D5E" w:rsidP="008E33FD">
            <w:pPr>
              <w:pStyle w:val="TableParagraph"/>
              <w:jc w:val="both"/>
              <w:rPr>
                <w:color w:val="000000" w:themeColor="text1"/>
                <w:sz w:val="24"/>
                <w:szCs w:val="24"/>
              </w:rPr>
            </w:pPr>
          </w:p>
        </w:tc>
        <w:tc>
          <w:tcPr>
            <w:tcW w:w="4557" w:type="dxa"/>
            <w:tcBorders>
              <w:top w:val="nil"/>
              <w:bottom w:val="nil"/>
            </w:tcBorders>
          </w:tcPr>
          <w:p w14:paraId="0641A2B4" w14:textId="77777777" w:rsidR="00F07D5E" w:rsidRPr="00C56257" w:rsidRDefault="00F07D5E" w:rsidP="008E33FD">
            <w:pPr>
              <w:pStyle w:val="TableParagraph"/>
              <w:spacing w:line="222" w:lineRule="exact"/>
              <w:jc w:val="both"/>
              <w:rPr>
                <w:color w:val="000000" w:themeColor="text1"/>
                <w:sz w:val="24"/>
                <w:szCs w:val="24"/>
              </w:rPr>
            </w:pPr>
            <w:r w:rsidRPr="00C56257">
              <w:rPr>
                <w:color w:val="000000" w:themeColor="text1"/>
                <w:sz w:val="24"/>
                <w:szCs w:val="24"/>
              </w:rPr>
              <w:t>-</w:t>
            </w:r>
            <w:r w:rsidRPr="00C56257">
              <w:rPr>
                <w:color w:val="000000" w:themeColor="text1"/>
                <w:spacing w:val="-6"/>
                <w:sz w:val="24"/>
                <w:szCs w:val="24"/>
              </w:rPr>
              <w:t xml:space="preserve"> </w:t>
            </w:r>
            <w:r w:rsidRPr="00C56257">
              <w:rPr>
                <w:color w:val="000000" w:themeColor="text1"/>
                <w:sz w:val="24"/>
                <w:szCs w:val="24"/>
              </w:rPr>
              <w:t>pesticidelor,fungicidelor,</w:t>
            </w:r>
          </w:p>
        </w:tc>
        <w:tc>
          <w:tcPr>
            <w:tcW w:w="1710" w:type="dxa"/>
            <w:tcBorders>
              <w:top w:val="nil"/>
              <w:bottom w:val="nil"/>
            </w:tcBorders>
          </w:tcPr>
          <w:p w14:paraId="1F0B818C" w14:textId="77777777" w:rsidR="00F07D5E" w:rsidRPr="00C56257" w:rsidRDefault="00F07D5E" w:rsidP="008E33FD">
            <w:pPr>
              <w:pStyle w:val="TableParagraph"/>
              <w:jc w:val="both"/>
              <w:rPr>
                <w:color w:val="000000" w:themeColor="text1"/>
                <w:sz w:val="24"/>
                <w:szCs w:val="24"/>
              </w:rPr>
            </w:pPr>
          </w:p>
        </w:tc>
      </w:tr>
      <w:tr w:rsidR="00F07D5E" w:rsidRPr="00C56257" w14:paraId="2027CA14" w14:textId="77777777" w:rsidTr="00F07D5E">
        <w:trPr>
          <w:trHeight w:val="243"/>
        </w:trPr>
        <w:tc>
          <w:tcPr>
            <w:tcW w:w="708" w:type="dxa"/>
            <w:tcBorders>
              <w:top w:val="nil"/>
              <w:bottom w:val="nil"/>
            </w:tcBorders>
          </w:tcPr>
          <w:p w14:paraId="188DF8F2"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19940F8B"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602500BD" w14:textId="77777777" w:rsidR="00F07D5E" w:rsidRPr="00C56257" w:rsidRDefault="00F07D5E" w:rsidP="008E33FD">
            <w:pPr>
              <w:pStyle w:val="TableParagraph"/>
              <w:jc w:val="both"/>
              <w:rPr>
                <w:color w:val="000000" w:themeColor="text1"/>
                <w:sz w:val="24"/>
                <w:szCs w:val="24"/>
              </w:rPr>
            </w:pPr>
          </w:p>
        </w:tc>
        <w:tc>
          <w:tcPr>
            <w:tcW w:w="4557" w:type="dxa"/>
            <w:tcBorders>
              <w:top w:val="nil"/>
              <w:bottom w:val="nil"/>
            </w:tcBorders>
          </w:tcPr>
          <w:p w14:paraId="069A4A2D"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substanțelor</w:t>
            </w:r>
            <w:r w:rsidRPr="00C56257">
              <w:rPr>
                <w:color w:val="000000" w:themeColor="text1"/>
                <w:spacing w:val="-3"/>
                <w:sz w:val="24"/>
                <w:szCs w:val="24"/>
              </w:rPr>
              <w:t xml:space="preserve"> </w:t>
            </w:r>
            <w:r w:rsidRPr="00C56257">
              <w:rPr>
                <w:color w:val="000000" w:themeColor="text1"/>
                <w:sz w:val="24"/>
                <w:szCs w:val="24"/>
              </w:rPr>
              <w:t>de</w:t>
            </w:r>
            <w:r w:rsidRPr="00C56257">
              <w:rPr>
                <w:color w:val="000000" w:themeColor="text1"/>
                <w:spacing w:val="-2"/>
                <w:sz w:val="24"/>
                <w:szCs w:val="24"/>
              </w:rPr>
              <w:t xml:space="preserve"> </w:t>
            </w:r>
            <w:r w:rsidRPr="00C56257">
              <w:rPr>
                <w:color w:val="000000" w:themeColor="text1"/>
                <w:sz w:val="24"/>
                <w:szCs w:val="24"/>
              </w:rPr>
              <w:t>tratare</w:t>
            </w:r>
            <w:r w:rsidRPr="00C56257">
              <w:rPr>
                <w:color w:val="000000" w:themeColor="text1"/>
                <w:spacing w:val="51"/>
                <w:sz w:val="24"/>
                <w:szCs w:val="24"/>
              </w:rPr>
              <w:t xml:space="preserve"> </w:t>
            </w:r>
            <w:r w:rsidRPr="00C56257">
              <w:rPr>
                <w:color w:val="000000" w:themeColor="text1"/>
                <w:sz w:val="24"/>
                <w:szCs w:val="24"/>
              </w:rPr>
              <w:t>a</w:t>
            </w:r>
          </w:p>
        </w:tc>
        <w:tc>
          <w:tcPr>
            <w:tcW w:w="1710" w:type="dxa"/>
            <w:tcBorders>
              <w:top w:val="nil"/>
              <w:bottom w:val="nil"/>
            </w:tcBorders>
          </w:tcPr>
          <w:p w14:paraId="681C48F5" w14:textId="77777777" w:rsidR="00F07D5E" w:rsidRPr="00C56257" w:rsidRDefault="00F07D5E" w:rsidP="008E33FD">
            <w:pPr>
              <w:pStyle w:val="TableParagraph"/>
              <w:jc w:val="both"/>
              <w:rPr>
                <w:color w:val="000000" w:themeColor="text1"/>
                <w:sz w:val="24"/>
                <w:szCs w:val="24"/>
              </w:rPr>
            </w:pPr>
          </w:p>
        </w:tc>
      </w:tr>
      <w:tr w:rsidR="00F07D5E" w:rsidRPr="00C56257" w14:paraId="52C318BC" w14:textId="77777777" w:rsidTr="00F07D5E">
        <w:trPr>
          <w:trHeight w:val="243"/>
        </w:trPr>
        <w:tc>
          <w:tcPr>
            <w:tcW w:w="708" w:type="dxa"/>
            <w:tcBorders>
              <w:top w:val="nil"/>
              <w:bottom w:val="nil"/>
            </w:tcBorders>
          </w:tcPr>
          <w:p w14:paraId="31802A66"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1CE74953"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6FF4A674" w14:textId="77777777" w:rsidR="00F07D5E" w:rsidRPr="00C56257" w:rsidRDefault="00F07D5E" w:rsidP="008E33FD">
            <w:pPr>
              <w:pStyle w:val="TableParagraph"/>
              <w:jc w:val="both"/>
              <w:rPr>
                <w:color w:val="000000" w:themeColor="text1"/>
                <w:sz w:val="24"/>
                <w:szCs w:val="24"/>
              </w:rPr>
            </w:pPr>
          </w:p>
        </w:tc>
        <w:tc>
          <w:tcPr>
            <w:tcW w:w="4557" w:type="dxa"/>
            <w:tcBorders>
              <w:top w:val="nil"/>
              <w:bottom w:val="nil"/>
            </w:tcBorders>
          </w:tcPr>
          <w:p w14:paraId="17A29DEA"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semințelor,</w:t>
            </w:r>
            <w:r w:rsidRPr="00C56257">
              <w:rPr>
                <w:color w:val="000000" w:themeColor="text1"/>
                <w:spacing w:val="-6"/>
                <w:sz w:val="24"/>
                <w:szCs w:val="24"/>
              </w:rPr>
              <w:t xml:space="preserve"> </w:t>
            </w:r>
            <w:r w:rsidRPr="00C56257">
              <w:rPr>
                <w:color w:val="000000" w:themeColor="text1"/>
                <w:sz w:val="24"/>
                <w:szCs w:val="24"/>
              </w:rPr>
              <w:t>a</w:t>
            </w:r>
            <w:r w:rsidRPr="00C56257">
              <w:rPr>
                <w:color w:val="000000" w:themeColor="text1"/>
                <w:spacing w:val="-3"/>
                <w:sz w:val="24"/>
                <w:szCs w:val="24"/>
              </w:rPr>
              <w:t xml:space="preserve"> </w:t>
            </w:r>
            <w:r w:rsidRPr="00C56257">
              <w:rPr>
                <w:color w:val="000000" w:themeColor="text1"/>
                <w:sz w:val="24"/>
                <w:szCs w:val="24"/>
              </w:rPr>
              <w:t>erbicidelor,</w:t>
            </w:r>
            <w:r w:rsidRPr="00C56257">
              <w:rPr>
                <w:color w:val="000000" w:themeColor="text1"/>
                <w:spacing w:val="-3"/>
                <w:sz w:val="24"/>
                <w:szCs w:val="24"/>
              </w:rPr>
              <w:t xml:space="preserve"> </w:t>
            </w:r>
            <w:r w:rsidRPr="00C56257">
              <w:rPr>
                <w:color w:val="000000" w:themeColor="text1"/>
                <w:sz w:val="24"/>
                <w:szCs w:val="24"/>
              </w:rPr>
              <w:t>agenților</w:t>
            </w:r>
          </w:p>
        </w:tc>
        <w:tc>
          <w:tcPr>
            <w:tcW w:w="1710" w:type="dxa"/>
            <w:tcBorders>
              <w:top w:val="nil"/>
              <w:bottom w:val="nil"/>
            </w:tcBorders>
          </w:tcPr>
          <w:p w14:paraId="5490D187" w14:textId="77777777" w:rsidR="00F07D5E" w:rsidRPr="00C56257" w:rsidRDefault="00F07D5E" w:rsidP="008E33FD">
            <w:pPr>
              <w:pStyle w:val="TableParagraph"/>
              <w:jc w:val="both"/>
              <w:rPr>
                <w:color w:val="000000" w:themeColor="text1"/>
                <w:sz w:val="24"/>
                <w:szCs w:val="24"/>
              </w:rPr>
            </w:pPr>
          </w:p>
        </w:tc>
      </w:tr>
      <w:tr w:rsidR="00F07D5E" w:rsidRPr="00C56257" w14:paraId="56CF3051" w14:textId="77777777" w:rsidTr="00F07D5E">
        <w:trPr>
          <w:trHeight w:val="243"/>
        </w:trPr>
        <w:tc>
          <w:tcPr>
            <w:tcW w:w="708" w:type="dxa"/>
            <w:tcBorders>
              <w:top w:val="nil"/>
              <w:bottom w:val="nil"/>
            </w:tcBorders>
          </w:tcPr>
          <w:p w14:paraId="2198C555"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7CD709F8"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60A662DB"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Gestionarea</w:t>
            </w:r>
          </w:p>
        </w:tc>
        <w:tc>
          <w:tcPr>
            <w:tcW w:w="4557" w:type="dxa"/>
            <w:tcBorders>
              <w:top w:val="nil"/>
              <w:bottom w:val="nil"/>
            </w:tcBorders>
          </w:tcPr>
          <w:p w14:paraId="6A2B5DD2"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de</w:t>
            </w:r>
            <w:r w:rsidRPr="00C56257">
              <w:rPr>
                <w:color w:val="000000" w:themeColor="text1"/>
                <w:spacing w:val="-3"/>
                <w:sz w:val="24"/>
                <w:szCs w:val="24"/>
              </w:rPr>
              <w:t xml:space="preserve"> </w:t>
            </w:r>
            <w:r w:rsidRPr="00C56257">
              <w:rPr>
                <w:color w:val="000000" w:themeColor="text1"/>
                <w:sz w:val="24"/>
                <w:szCs w:val="24"/>
              </w:rPr>
              <w:t>întârziere</w:t>
            </w:r>
            <w:r w:rsidRPr="00C56257">
              <w:rPr>
                <w:color w:val="000000" w:themeColor="text1"/>
                <w:spacing w:val="-3"/>
                <w:sz w:val="24"/>
                <w:szCs w:val="24"/>
              </w:rPr>
              <w:t xml:space="preserve"> </w:t>
            </w:r>
            <w:r w:rsidRPr="00C56257">
              <w:rPr>
                <w:color w:val="000000" w:themeColor="text1"/>
                <w:sz w:val="24"/>
                <w:szCs w:val="24"/>
              </w:rPr>
              <w:t>a</w:t>
            </w:r>
            <w:r w:rsidRPr="00C56257">
              <w:rPr>
                <w:color w:val="000000" w:themeColor="text1"/>
                <w:spacing w:val="-2"/>
                <w:sz w:val="24"/>
                <w:szCs w:val="24"/>
              </w:rPr>
              <w:t xml:space="preserve"> </w:t>
            </w:r>
            <w:r w:rsidRPr="00C56257">
              <w:rPr>
                <w:color w:val="000000" w:themeColor="text1"/>
                <w:sz w:val="24"/>
                <w:szCs w:val="24"/>
              </w:rPr>
              <w:t>creșterii,</w:t>
            </w:r>
            <w:r w:rsidRPr="00C56257">
              <w:rPr>
                <w:color w:val="000000" w:themeColor="text1"/>
                <w:spacing w:val="-2"/>
                <w:sz w:val="24"/>
                <w:szCs w:val="24"/>
              </w:rPr>
              <w:t xml:space="preserve"> </w:t>
            </w:r>
            <w:r w:rsidRPr="00C56257">
              <w:rPr>
                <w:color w:val="000000" w:themeColor="text1"/>
                <w:sz w:val="24"/>
                <w:szCs w:val="24"/>
              </w:rPr>
              <w:t>hormoni</w:t>
            </w:r>
            <w:r w:rsidRPr="00C56257">
              <w:rPr>
                <w:color w:val="000000" w:themeColor="text1"/>
                <w:spacing w:val="-1"/>
                <w:sz w:val="24"/>
                <w:szCs w:val="24"/>
              </w:rPr>
              <w:t xml:space="preserve"> </w:t>
            </w:r>
            <w:r w:rsidRPr="00C56257">
              <w:rPr>
                <w:color w:val="000000" w:themeColor="text1"/>
                <w:sz w:val="24"/>
                <w:szCs w:val="24"/>
              </w:rPr>
              <w:t>și</w:t>
            </w:r>
          </w:p>
        </w:tc>
        <w:tc>
          <w:tcPr>
            <w:tcW w:w="1710" w:type="dxa"/>
            <w:tcBorders>
              <w:top w:val="nil"/>
              <w:bottom w:val="nil"/>
            </w:tcBorders>
          </w:tcPr>
          <w:p w14:paraId="1CBB4192" w14:textId="77777777" w:rsidR="00F07D5E" w:rsidRPr="00C56257" w:rsidRDefault="00F07D5E" w:rsidP="008E33FD">
            <w:pPr>
              <w:pStyle w:val="TableParagraph"/>
              <w:jc w:val="both"/>
              <w:rPr>
                <w:color w:val="000000" w:themeColor="text1"/>
                <w:sz w:val="24"/>
                <w:szCs w:val="24"/>
              </w:rPr>
            </w:pPr>
          </w:p>
        </w:tc>
      </w:tr>
      <w:tr w:rsidR="00F07D5E" w:rsidRPr="00C56257" w14:paraId="36921BAA" w14:textId="77777777" w:rsidTr="00F07D5E">
        <w:trPr>
          <w:trHeight w:val="243"/>
        </w:trPr>
        <w:tc>
          <w:tcPr>
            <w:tcW w:w="708" w:type="dxa"/>
            <w:tcBorders>
              <w:top w:val="nil"/>
              <w:bottom w:val="nil"/>
            </w:tcBorders>
          </w:tcPr>
          <w:p w14:paraId="657D68B1"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17264344"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31EF4FEF"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folosirii</w:t>
            </w:r>
          </w:p>
        </w:tc>
        <w:tc>
          <w:tcPr>
            <w:tcW w:w="4557" w:type="dxa"/>
            <w:tcBorders>
              <w:top w:val="nil"/>
              <w:bottom w:val="nil"/>
            </w:tcBorders>
          </w:tcPr>
          <w:p w14:paraId="44DA618F"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alte</w:t>
            </w:r>
            <w:r w:rsidRPr="00C56257">
              <w:rPr>
                <w:color w:val="000000" w:themeColor="text1"/>
                <w:spacing w:val="-2"/>
                <w:sz w:val="24"/>
                <w:szCs w:val="24"/>
              </w:rPr>
              <w:t xml:space="preserve"> </w:t>
            </w:r>
            <w:r w:rsidRPr="00C56257">
              <w:rPr>
                <w:color w:val="000000" w:themeColor="text1"/>
                <w:sz w:val="24"/>
                <w:szCs w:val="24"/>
              </w:rPr>
              <w:t>substanțe</w:t>
            </w:r>
            <w:r w:rsidRPr="00C56257">
              <w:rPr>
                <w:color w:val="000000" w:themeColor="text1"/>
                <w:spacing w:val="-2"/>
                <w:sz w:val="24"/>
                <w:szCs w:val="24"/>
              </w:rPr>
              <w:t xml:space="preserve"> </w:t>
            </w:r>
            <w:r w:rsidRPr="00C56257">
              <w:rPr>
                <w:color w:val="000000" w:themeColor="text1"/>
                <w:sz w:val="24"/>
                <w:szCs w:val="24"/>
              </w:rPr>
              <w:t>chimice</w:t>
            </w:r>
            <w:r w:rsidRPr="00C56257">
              <w:rPr>
                <w:color w:val="000000" w:themeColor="text1"/>
                <w:spacing w:val="-2"/>
                <w:sz w:val="24"/>
                <w:szCs w:val="24"/>
              </w:rPr>
              <w:t xml:space="preserve"> </w:t>
            </w:r>
            <w:r w:rsidRPr="00C56257">
              <w:rPr>
                <w:color w:val="000000" w:themeColor="text1"/>
                <w:sz w:val="24"/>
                <w:szCs w:val="24"/>
              </w:rPr>
              <w:t>utilizate</w:t>
            </w:r>
            <w:r w:rsidRPr="00C56257">
              <w:rPr>
                <w:color w:val="000000" w:themeColor="text1"/>
                <w:spacing w:val="-4"/>
                <w:sz w:val="24"/>
                <w:szCs w:val="24"/>
              </w:rPr>
              <w:t xml:space="preserve"> </w:t>
            </w:r>
            <w:r w:rsidRPr="00C56257">
              <w:rPr>
                <w:color w:val="000000" w:themeColor="text1"/>
                <w:sz w:val="24"/>
                <w:szCs w:val="24"/>
              </w:rPr>
              <w:t>în</w:t>
            </w:r>
          </w:p>
        </w:tc>
        <w:tc>
          <w:tcPr>
            <w:tcW w:w="1710" w:type="dxa"/>
            <w:tcBorders>
              <w:top w:val="nil"/>
              <w:bottom w:val="nil"/>
            </w:tcBorders>
          </w:tcPr>
          <w:p w14:paraId="08DD8DB5" w14:textId="77777777" w:rsidR="00F07D5E" w:rsidRPr="00C56257" w:rsidRDefault="00F07D5E" w:rsidP="008E33FD">
            <w:pPr>
              <w:pStyle w:val="TableParagraph"/>
              <w:jc w:val="both"/>
              <w:rPr>
                <w:color w:val="000000" w:themeColor="text1"/>
                <w:sz w:val="24"/>
                <w:szCs w:val="24"/>
              </w:rPr>
            </w:pPr>
          </w:p>
        </w:tc>
      </w:tr>
      <w:tr w:rsidR="00F07D5E" w:rsidRPr="00C56257" w14:paraId="135FD55E" w14:textId="77777777" w:rsidTr="00F07D5E">
        <w:trPr>
          <w:trHeight w:val="243"/>
        </w:trPr>
        <w:tc>
          <w:tcPr>
            <w:tcW w:w="708" w:type="dxa"/>
            <w:tcBorders>
              <w:top w:val="nil"/>
              <w:bottom w:val="nil"/>
            </w:tcBorders>
          </w:tcPr>
          <w:p w14:paraId="1E3C2A77"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0535EBAE"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009F1A87" w14:textId="77777777" w:rsidR="00F07D5E" w:rsidRPr="00C56257" w:rsidRDefault="00F07D5E" w:rsidP="008E33FD">
            <w:pPr>
              <w:pStyle w:val="TableParagraph"/>
              <w:spacing w:line="224" w:lineRule="exact"/>
              <w:jc w:val="both"/>
              <w:rPr>
                <w:color w:val="000000" w:themeColor="text1"/>
                <w:sz w:val="24"/>
                <w:szCs w:val="24"/>
              </w:rPr>
            </w:pPr>
            <w:r w:rsidRPr="00C56257">
              <w:rPr>
                <w:color w:val="000000" w:themeColor="text1"/>
                <w:sz w:val="24"/>
                <w:szCs w:val="24"/>
              </w:rPr>
              <w:t>îngrășămintelor</w:t>
            </w:r>
          </w:p>
        </w:tc>
        <w:tc>
          <w:tcPr>
            <w:tcW w:w="4557" w:type="dxa"/>
            <w:tcBorders>
              <w:top w:val="nil"/>
              <w:bottom w:val="nil"/>
            </w:tcBorders>
          </w:tcPr>
          <w:p w14:paraId="72C955E0" w14:textId="77777777" w:rsidR="00F07D5E" w:rsidRPr="00C56257" w:rsidRDefault="00F07D5E" w:rsidP="008E33FD">
            <w:pPr>
              <w:pStyle w:val="TableParagraph"/>
              <w:spacing w:line="224" w:lineRule="exact"/>
              <w:jc w:val="both"/>
              <w:rPr>
                <w:color w:val="000000" w:themeColor="text1"/>
                <w:sz w:val="24"/>
                <w:szCs w:val="24"/>
              </w:rPr>
            </w:pPr>
            <w:r w:rsidRPr="00C56257">
              <w:rPr>
                <w:color w:val="000000" w:themeColor="text1"/>
                <w:sz w:val="24"/>
                <w:szCs w:val="24"/>
              </w:rPr>
              <w:t>producția</w:t>
            </w:r>
            <w:r w:rsidRPr="00C56257">
              <w:rPr>
                <w:color w:val="000000" w:themeColor="text1"/>
                <w:spacing w:val="-1"/>
                <w:sz w:val="24"/>
                <w:szCs w:val="24"/>
              </w:rPr>
              <w:t xml:space="preserve"> </w:t>
            </w:r>
            <w:r w:rsidRPr="00C56257">
              <w:rPr>
                <w:color w:val="000000" w:themeColor="text1"/>
                <w:sz w:val="24"/>
                <w:szCs w:val="24"/>
              </w:rPr>
              <w:t>de</w:t>
            </w:r>
            <w:r w:rsidRPr="00C56257">
              <w:rPr>
                <w:color w:val="000000" w:themeColor="text1"/>
                <w:spacing w:val="-3"/>
                <w:sz w:val="24"/>
                <w:szCs w:val="24"/>
              </w:rPr>
              <w:t xml:space="preserve"> </w:t>
            </w:r>
            <w:r w:rsidRPr="00C56257">
              <w:rPr>
                <w:color w:val="000000" w:themeColor="text1"/>
                <w:sz w:val="24"/>
                <w:szCs w:val="24"/>
              </w:rPr>
              <w:t>plante;</w:t>
            </w:r>
          </w:p>
        </w:tc>
        <w:tc>
          <w:tcPr>
            <w:tcW w:w="1710" w:type="dxa"/>
            <w:tcBorders>
              <w:top w:val="nil"/>
              <w:bottom w:val="nil"/>
            </w:tcBorders>
          </w:tcPr>
          <w:p w14:paraId="30F0725B" w14:textId="77777777" w:rsidR="00F07D5E" w:rsidRPr="00C56257" w:rsidRDefault="00F07D5E" w:rsidP="008E33FD">
            <w:pPr>
              <w:pStyle w:val="TableParagraph"/>
              <w:jc w:val="both"/>
              <w:rPr>
                <w:color w:val="000000" w:themeColor="text1"/>
                <w:sz w:val="24"/>
                <w:szCs w:val="24"/>
              </w:rPr>
            </w:pPr>
          </w:p>
        </w:tc>
      </w:tr>
      <w:tr w:rsidR="00F07D5E" w:rsidRPr="00C56257" w14:paraId="1C83BBBD" w14:textId="77777777" w:rsidTr="00F07D5E">
        <w:trPr>
          <w:trHeight w:val="495"/>
        </w:trPr>
        <w:tc>
          <w:tcPr>
            <w:tcW w:w="708" w:type="dxa"/>
            <w:tcBorders>
              <w:top w:val="nil"/>
              <w:bottom w:val="nil"/>
            </w:tcBorders>
          </w:tcPr>
          <w:p w14:paraId="5E89357D"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50D5DB0B" w14:textId="77777777" w:rsidR="00F07D5E" w:rsidRPr="00C56257" w:rsidRDefault="00F07D5E" w:rsidP="008E33FD">
            <w:pPr>
              <w:pStyle w:val="TableParagraph"/>
              <w:spacing w:before="116"/>
              <w:ind w:left="226" w:right="217"/>
              <w:jc w:val="both"/>
              <w:rPr>
                <w:color w:val="000000" w:themeColor="text1"/>
                <w:sz w:val="24"/>
                <w:szCs w:val="24"/>
              </w:rPr>
            </w:pPr>
            <w:r w:rsidRPr="00C56257">
              <w:rPr>
                <w:color w:val="000000" w:themeColor="text1"/>
                <w:sz w:val="24"/>
                <w:szCs w:val="24"/>
              </w:rPr>
              <w:t>CA09</w:t>
            </w:r>
          </w:p>
        </w:tc>
        <w:tc>
          <w:tcPr>
            <w:tcW w:w="1803" w:type="dxa"/>
            <w:tcBorders>
              <w:top w:val="nil"/>
              <w:bottom w:val="nil"/>
            </w:tcBorders>
          </w:tcPr>
          <w:p w14:paraId="37411EA5" w14:textId="77777777" w:rsidR="00F07D5E" w:rsidRPr="00C56257" w:rsidRDefault="00F07D5E" w:rsidP="008E33FD">
            <w:pPr>
              <w:pStyle w:val="TableParagraph"/>
              <w:spacing w:line="244" w:lineRule="exact"/>
              <w:jc w:val="both"/>
              <w:rPr>
                <w:color w:val="000000" w:themeColor="text1"/>
                <w:sz w:val="24"/>
                <w:szCs w:val="24"/>
              </w:rPr>
            </w:pPr>
            <w:r w:rsidRPr="00C56257">
              <w:rPr>
                <w:color w:val="000000" w:themeColor="text1"/>
                <w:sz w:val="24"/>
                <w:szCs w:val="24"/>
              </w:rPr>
              <w:t>naturale</w:t>
            </w:r>
            <w:r w:rsidRPr="00C56257">
              <w:rPr>
                <w:color w:val="000000" w:themeColor="text1"/>
                <w:spacing w:val="-2"/>
                <w:sz w:val="24"/>
                <w:szCs w:val="24"/>
              </w:rPr>
              <w:t xml:space="preserve"> </w:t>
            </w:r>
            <w:r w:rsidRPr="00C56257">
              <w:rPr>
                <w:color w:val="000000" w:themeColor="text1"/>
                <w:sz w:val="24"/>
                <w:szCs w:val="24"/>
              </w:rPr>
              <w:t>și a</w:t>
            </w:r>
          </w:p>
          <w:p w14:paraId="58417E20" w14:textId="77777777" w:rsidR="00F07D5E" w:rsidRPr="00C56257" w:rsidRDefault="00F07D5E" w:rsidP="008E33FD">
            <w:pPr>
              <w:pStyle w:val="TableParagraph"/>
              <w:spacing w:line="231" w:lineRule="exact"/>
              <w:jc w:val="both"/>
              <w:rPr>
                <w:color w:val="000000" w:themeColor="text1"/>
                <w:sz w:val="24"/>
                <w:szCs w:val="24"/>
              </w:rPr>
            </w:pPr>
            <w:r w:rsidRPr="00C56257">
              <w:rPr>
                <w:color w:val="000000" w:themeColor="text1"/>
                <w:sz w:val="24"/>
                <w:szCs w:val="24"/>
              </w:rPr>
              <w:t>substanțelor</w:t>
            </w:r>
          </w:p>
        </w:tc>
        <w:tc>
          <w:tcPr>
            <w:tcW w:w="4557" w:type="dxa"/>
            <w:tcBorders>
              <w:top w:val="nil"/>
              <w:bottom w:val="nil"/>
            </w:tcBorders>
          </w:tcPr>
          <w:p w14:paraId="639077D3" w14:textId="77777777" w:rsidR="00F07D5E" w:rsidRPr="00C56257" w:rsidRDefault="00F07D5E" w:rsidP="008E33FD">
            <w:pPr>
              <w:pStyle w:val="TableParagraph"/>
              <w:spacing w:line="244" w:lineRule="exact"/>
              <w:jc w:val="both"/>
              <w:rPr>
                <w:color w:val="000000" w:themeColor="text1"/>
                <w:sz w:val="24"/>
                <w:szCs w:val="24"/>
              </w:rPr>
            </w:pPr>
            <w:r w:rsidRPr="00C56257">
              <w:rPr>
                <w:color w:val="000000" w:themeColor="text1"/>
                <w:sz w:val="24"/>
                <w:szCs w:val="24"/>
              </w:rPr>
              <w:t>-</w:t>
            </w:r>
            <w:r w:rsidRPr="00C56257">
              <w:rPr>
                <w:color w:val="000000" w:themeColor="text1"/>
                <w:spacing w:val="-5"/>
                <w:sz w:val="24"/>
                <w:szCs w:val="24"/>
              </w:rPr>
              <w:t xml:space="preserve"> </w:t>
            </w:r>
            <w:r w:rsidRPr="00C56257">
              <w:rPr>
                <w:color w:val="000000" w:themeColor="text1"/>
                <w:sz w:val="24"/>
                <w:szCs w:val="24"/>
              </w:rPr>
              <w:t>rodenticidelor</w:t>
            </w:r>
            <w:r w:rsidRPr="00C56257">
              <w:rPr>
                <w:color w:val="000000" w:themeColor="text1"/>
                <w:spacing w:val="-2"/>
                <w:sz w:val="24"/>
                <w:szCs w:val="24"/>
              </w:rPr>
              <w:t xml:space="preserve"> </w:t>
            </w:r>
            <w:r w:rsidRPr="00C56257">
              <w:rPr>
                <w:color w:val="000000" w:themeColor="text1"/>
                <w:sz w:val="24"/>
                <w:szCs w:val="24"/>
              </w:rPr>
              <w:t>și</w:t>
            </w:r>
            <w:r w:rsidRPr="00C56257">
              <w:rPr>
                <w:color w:val="000000" w:themeColor="text1"/>
                <w:spacing w:val="-1"/>
                <w:sz w:val="24"/>
                <w:szCs w:val="24"/>
              </w:rPr>
              <w:t xml:space="preserve"> </w:t>
            </w:r>
            <w:r w:rsidRPr="00C56257">
              <w:rPr>
                <w:color w:val="000000" w:themeColor="text1"/>
                <w:sz w:val="24"/>
                <w:szCs w:val="24"/>
              </w:rPr>
              <w:t>a altor</w:t>
            </w:r>
            <w:r w:rsidRPr="00C56257">
              <w:rPr>
                <w:color w:val="000000" w:themeColor="text1"/>
                <w:spacing w:val="-1"/>
                <w:sz w:val="24"/>
                <w:szCs w:val="24"/>
              </w:rPr>
              <w:t xml:space="preserve"> </w:t>
            </w:r>
            <w:r w:rsidRPr="00C56257">
              <w:rPr>
                <w:color w:val="000000" w:themeColor="text1"/>
                <w:sz w:val="24"/>
                <w:szCs w:val="24"/>
              </w:rPr>
              <w:t>produse</w:t>
            </w:r>
          </w:p>
          <w:p w14:paraId="3851D090" w14:textId="77777777" w:rsidR="00F07D5E" w:rsidRPr="00C56257" w:rsidRDefault="00F07D5E" w:rsidP="008E33FD">
            <w:pPr>
              <w:pStyle w:val="TableParagraph"/>
              <w:spacing w:line="231" w:lineRule="exact"/>
              <w:jc w:val="both"/>
              <w:rPr>
                <w:color w:val="000000" w:themeColor="text1"/>
                <w:sz w:val="24"/>
                <w:szCs w:val="24"/>
              </w:rPr>
            </w:pPr>
            <w:r w:rsidRPr="00C56257">
              <w:rPr>
                <w:color w:val="000000" w:themeColor="text1"/>
                <w:sz w:val="24"/>
                <w:szCs w:val="24"/>
              </w:rPr>
              <w:t>pentru</w:t>
            </w:r>
            <w:r w:rsidRPr="00C56257">
              <w:rPr>
                <w:color w:val="000000" w:themeColor="text1"/>
                <w:spacing w:val="-3"/>
                <w:sz w:val="24"/>
                <w:szCs w:val="24"/>
              </w:rPr>
              <w:t xml:space="preserve"> </w:t>
            </w:r>
            <w:r w:rsidRPr="00C56257">
              <w:rPr>
                <w:color w:val="000000" w:themeColor="text1"/>
                <w:sz w:val="24"/>
                <w:szCs w:val="24"/>
              </w:rPr>
              <w:t>controlul</w:t>
            </w:r>
            <w:r w:rsidRPr="00C56257">
              <w:rPr>
                <w:color w:val="000000" w:themeColor="text1"/>
                <w:spacing w:val="-1"/>
                <w:sz w:val="24"/>
                <w:szCs w:val="24"/>
              </w:rPr>
              <w:t xml:space="preserve"> </w:t>
            </w:r>
            <w:r w:rsidRPr="00C56257">
              <w:rPr>
                <w:color w:val="000000" w:themeColor="text1"/>
                <w:sz w:val="24"/>
                <w:szCs w:val="24"/>
              </w:rPr>
              <w:t>dăunătorilor;</w:t>
            </w:r>
          </w:p>
        </w:tc>
        <w:tc>
          <w:tcPr>
            <w:tcW w:w="1710" w:type="dxa"/>
            <w:tcBorders>
              <w:top w:val="nil"/>
              <w:bottom w:val="nil"/>
            </w:tcBorders>
          </w:tcPr>
          <w:p w14:paraId="35BB0845" w14:textId="77777777" w:rsidR="00F07D5E" w:rsidRPr="00C56257" w:rsidRDefault="00F07D5E" w:rsidP="008E33FD">
            <w:pPr>
              <w:pStyle w:val="TableParagraph"/>
              <w:spacing w:line="244" w:lineRule="exact"/>
              <w:ind w:left="105"/>
              <w:jc w:val="both"/>
              <w:rPr>
                <w:color w:val="000000" w:themeColor="text1"/>
                <w:sz w:val="24"/>
                <w:szCs w:val="24"/>
              </w:rPr>
            </w:pPr>
            <w:r w:rsidRPr="00C56257">
              <w:rPr>
                <w:color w:val="000000" w:themeColor="text1"/>
                <w:sz w:val="24"/>
                <w:szCs w:val="24"/>
              </w:rPr>
              <w:t>A14</w:t>
            </w:r>
            <w:r w:rsidRPr="00C56257">
              <w:rPr>
                <w:color w:val="000000" w:themeColor="text1"/>
                <w:spacing w:val="-1"/>
                <w:sz w:val="24"/>
                <w:szCs w:val="24"/>
              </w:rPr>
              <w:t xml:space="preserve"> </w:t>
            </w:r>
            <w:r w:rsidRPr="00C56257">
              <w:rPr>
                <w:color w:val="000000" w:themeColor="text1"/>
                <w:sz w:val="24"/>
                <w:szCs w:val="24"/>
              </w:rPr>
              <w:t>parțial,</w:t>
            </w:r>
            <w:r w:rsidRPr="00C56257">
              <w:rPr>
                <w:color w:val="000000" w:themeColor="text1"/>
                <w:spacing w:val="-1"/>
                <w:sz w:val="24"/>
                <w:szCs w:val="24"/>
              </w:rPr>
              <w:t xml:space="preserve"> </w:t>
            </w:r>
            <w:r w:rsidRPr="00C56257">
              <w:rPr>
                <w:color w:val="000000" w:themeColor="text1"/>
                <w:sz w:val="24"/>
                <w:szCs w:val="24"/>
              </w:rPr>
              <w:t>A19,</w:t>
            </w:r>
          </w:p>
          <w:p w14:paraId="6338FE61" w14:textId="77777777" w:rsidR="00F07D5E" w:rsidRPr="00C56257" w:rsidRDefault="00F07D5E" w:rsidP="008E33FD">
            <w:pPr>
              <w:pStyle w:val="TableParagraph"/>
              <w:spacing w:line="231" w:lineRule="exact"/>
              <w:ind w:left="105"/>
              <w:jc w:val="both"/>
              <w:rPr>
                <w:color w:val="000000" w:themeColor="text1"/>
                <w:sz w:val="24"/>
                <w:szCs w:val="24"/>
              </w:rPr>
            </w:pPr>
            <w:r w:rsidRPr="00C56257">
              <w:rPr>
                <w:color w:val="000000" w:themeColor="text1"/>
                <w:sz w:val="24"/>
                <w:szCs w:val="24"/>
              </w:rPr>
              <w:t>A20,</w:t>
            </w:r>
            <w:r w:rsidRPr="00C56257">
              <w:rPr>
                <w:color w:val="000000" w:themeColor="text1"/>
                <w:spacing w:val="-1"/>
                <w:sz w:val="24"/>
                <w:szCs w:val="24"/>
              </w:rPr>
              <w:t xml:space="preserve"> </w:t>
            </w:r>
            <w:r w:rsidRPr="00C56257">
              <w:rPr>
                <w:color w:val="000000" w:themeColor="text1"/>
                <w:sz w:val="24"/>
                <w:szCs w:val="24"/>
              </w:rPr>
              <w:t>A21</w:t>
            </w:r>
          </w:p>
        </w:tc>
      </w:tr>
      <w:tr w:rsidR="00F07D5E" w:rsidRPr="00C56257" w14:paraId="6CA1B1A8" w14:textId="77777777" w:rsidTr="00F07D5E">
        <w:trPr>
          <w:trHeight w:val="243"/>
        </w:trPr>
        <w:tc>
          <w:tcPr>
            <w:tcW w:w="708" w:type="dxa"/>
            <w:tcBorders>
              <w:top w:val="nil"/>
              <w:bottom w:val="nil"/>
            </w:tcBorders>
          </w:tcPr>
          <w:p w14:paraId="04C5F5BD"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3971105A"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418D2B7B"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chimice</w:t>
            </w:r>
            <w:r w:rsidRPr="00C56257">
              <w:rPr>
                <w:color w:val="000000" w:themeColor="text1"/>
                <w:spacing w:val="-1"/>
                <w:sz w:val="24"/>
                <w:szCs w:val="24"/>
              </w:rPr>
              <w:t xml:space="preserve"> </w:t>
            </w:r>
            <w:r w:rsidRPr="00C56257">
              <w:rPr>
                <w:color w:val="000000" w:themeColor="text1"/>
                <w:sz w:val="24"/>
                <w:szCs w:val="24"/>
              </w:rPr>
              <w:t>în</w:t>
            </w:r>
          </w:p>
        </w:tc>
        <w:tc>
          <w:tcPr>
            <w:tcW w:w="4557" w:type="dxa"/>
            <w:tcBorders>
              <w:top w:val="nil"/>
              <w:bottom w:val="nil"/>
            </w:tcBorders>
          </w:tcPr>
          <w:p w14:paraId="5FC9DEE7"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viermicidelor</w:t>
            </w:r>
            <w:r w:rsidRPr="00C56257">
              <w:rPr>
                <w:color w:val="000000" w:themeColor="text1"/>
                <w:spacing w:val="-4"/>
                <w:sz w:val="24"/>
                <w:szCs w:val="24"/>
              </w:rPr>
              <w:t xml:space="preserve"> </w:t>
            </w:r>
            <w:r w:rsidRPr="00C56257">
              <w:rPr>
                <w:color w:val="000000" w:themeColor="text1"/>
                <w:sz w:val="24"/>
                <w:szCs w:val="24"/>
              </w:rPr>
              <w:t>și</w:t>
            </w:r>
            <w:r w:rsidRPr="00C56257">
              <w:rPr>
                <w:color w:val="000000" w:themeColor="text1"/>
                <w:spacing w:val="-3"/>
                <w:sz w:val="24"/>
                <w:szCs w:val="24"/>
              </w:rPr>
              <w:t xml:space="preserve"> </w:t>
            </w:r>
            <w:r w:rsidRPr="00C56257">
              <w:rPr>
                <w:color w:val="000000" w:themeColor="text1"/>
                <w:sz w:val="24"/>
                <w:szCs w:val="24"/>
              </w:rPr>
              <w:t>a</w:t>
            </w:r>
            <w:r w:rsidRPr="00C56257">
              <w:rPr>
                <w:color w:val="000000" w:themeColor="text1"/>
                <w:spacing w:val="-2"/>
                <w:sz w:val="24"/>
                <w:szCs w:val="24"/>
              </w:rPr>
              <w:t xml:space="preserve"> </w:t>
            </w:r>
            <w:r w:rsidRPr="00C56257">
              <w:rPr>
                <w:color w:val="000000" w:themeColor="text1"/>
                <w:sz w:val="24"/>
                <w:szCs w:val="24"/>
              </w:rPr>
              <w:t>altor</w:t>
            </w:r>
            <w:r w:rsidRPr="00C56257">
              <w:rPr>
                <w:color w:val="000000" w:themeColor="text1"/>
                <w:spacing w:val="-2"/>
                <w:sz w:val="24"/>
                <w:szCs w:val="24"/>
              </w:rPr>
              <w:t xml:space="preserve"> </w:t>
            </w:r>
            <w:r w:rsidRPr="00C56257">
              <w:rPr>
                <w:color w:val="000000" w:themeColor="text1"/>
                <w:sz w:val="24"/>
                <w:szCs w:val="24"/>
              </w:rPr>
              <w:t>produse</w:t>
            </w:r>
          </w:p>
        </w:tc>
        <w:tc>
          <w:tcPr>
            <w:tcW w:w="1710" w:type="dxa"/>
            <w:tcBorders>
              <w:top w:val="nil"/>
              <w:bottom w:val="nil"/>
            </w:tcBorders>
          </w:tcPr>
          <w:p w14:paraId="5E794039" w14:textId="77777777" w:rsidR="00F07D5E" w:rsidRPr="00C56257" w:rsidRDefault="00F07D5E" w:rsidP="008E33FD">
            <w:pPr>
              <w:pStyle w:val="TableParagraph"/>
              <w:jc w:val="both"/>
              <w:rPr>
                <w:color w:val="000000" w:themeColor="text1"/>
                <w:sz w:val="24"/>
                <w:szCs w:val="24"/>
              </w:rPr>
            </w:pPr>
          </w:p>
        </w:tc>
      </w:tr>
      <w:tr w:rsidR="00F07D5E" w:rsidRPr="00C56257" w14:paraId="53DA0C51" w14:textId="77777777" w:rsidTr="00F07D5E">
        <w:trPr>
          <w:trHeight w:val="243"/>
        </w:trPr>
        <w:tc>
          <w:tcPr>
            <w:tcW w:w="708" w:type="dxa"/>
            <w:tcBorders>
              <w:top w:val="nil"/>
              <w:bottom w:val="nil"/>
            </w:tcBorders>
          </w:tcPr>
          <w:p w14:paraId="122969E7"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59D07DBC"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2E7485B1"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producția</w:t>
            </w:r>
          </w:p>
        </w:tc>
        <w:tc>
          <w:tcPr>
            <w:tcW w:w="4557" w:type="dxa"/>
            <w:tcBorders>
              <w:top w:val="nil"/>
              <w:bottom w:val="nil"/>
            </w:tcBorders>
          </w:tcPr>
          <w:p w14:paraId="47399C76"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veterinare</w:t>
            </w:r>
            <w:r w:rsidRPr="00C56257">
              <w:rPr>
                <w:color w:val="000000" w:themeColor="text1"/>
                <w:spacing w:val="-3"/>
                <w:sz w:val="24"/>
                <w:szCs w:val="24"/>
              </w:rPr>
              <w:t xml:space="preserve"> </w:t>
            </w:r>
            <w:r w:rsidRPr="00C56257">
              <w:rPr>
                <w:color w:val="000000" w:themeColor="text1"/>
                <w:sz w:val="24"/>
                <w:szCs w:val="24"/>
              </w:rPr>
              <w:t>folosite</w:t>
            </w:r>
            <w:r w:rsidRPr="00C56257">
              <w:rPr>
                <w:color w:val="000000" w:themeColor="text1"/>
                <w:spacing w:val="-2"/>
                <w:sz w:val="24"/>
                <w:szCs w:val="24"/>
              </w:rPr>
              <w:t xml:space="preserve"> </w:t>
            </w:r>
            <w:r w:rsidRPr="00C56257">
              <w:rPr>
                <w:color w:val="000000" w:themeColor="text1"/>
                <w:sz w:val="24"/>
                <w:szCs w:val="24"/>
              </w:rPr>
              <w:t>în</w:t>
            </w:r>
            <w:r w:rsidRPr="00C56257">
              <w:rPr>
                <w:color w:val="000000" w:themeColor="text1"/>
                <w:spacing w:val="-5"/>
                <w:sz w:val="24"/>
                <w:szCs w:val="24"/>
              </w:rPr>
              <w:t xml:space="preserve"> </w:t>
            </w:r>
            <w:r w:rsidRPr="00C56257">
              <w:rPr>
                <w:color w:val="000000" w:themeColor="text1"/>
                <w:sz w:val="24"/>
                <w:szCs w:val="24"/>
              </w:rPr>
              <w:t>producția</w:t>
            </w:r>
          </w:p>
        </w:tc>
        <w:tc>
          <w:tcPr>
            <w:tcW w:w="1710" w:type="dxa"/>
            <w:tcBorders>
              <w:top w:val="nil"/>
              <w:bottom w:val="nil"/>
            </w:tcBorders>
          </w:tcPr>
          <w:p w14:paraId="08342773" w14:textId="77777777" w:rsidR="00F07D5E" w:rsidRPr="00C56257" w:rsidRDefault="00F07D5E" w:rsidP="008E33FD">
            <w:pPr>
              <w:pStyle w:val="TableParagraph"/>
              <w:jc w:val="both"/>
              <w:rPr>
                <w:color w:val="000000" w:themeColor="text1"/>
                <w:sz w:val="24"/>
                <w:szCs w:val="24"/>
              </w:rPr>
            </w:pPr>
          </w:p>
        </w:tc>
      </w:tr>
      <w:tr w:rsidR="00F07D5E" w:rsidRPr="00C56257" w14:paraId="05B885F6" w14:textId="77777777" w:rsidTr="00F07D5E">
        <w:trPr>
          <w:trHeight w:val="243"/>
        </w:trPr>
        <w:tc>
          <w:tcPr>
            <w:tcW w:w="708" w:type="dxa"/>
            <w:tcBorders>
              <w:top w:val="nil"/>
              <w:bottom w:val="nil"/>
            </w:tcBorders>
          </w:tcPr>
          <w:p w14:paraId="6F175956"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6DCB373E"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2813413B"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agricolă</w:t>
            </w:r>
            <w:r w:rsidRPr="00C56257">
              <w:rPr>
                <w:color w:val="000000" w:themeColor="text1"/>
                <w:spacing w:val="-2"/>
                <w:sz w:val="24"/>
                <w:szCs w:val="24"/>
              </w:rPr>
              <w:t xml:space="preserve"> </w:t>
            </w:r>
            <w:r w:rsidRPr="00C56257">
              <w:rPr>
                <w:color w:val="000000" w:themeColor="text1"/>
                <w:sz w:val="24"/>
                <w:szCs w:val="24"/>
              </w:rPr>
              <w:t>(vegetală</w:t>
            </w:r>
          </w:p>
        </w:tc>
        <w:tc>
          <w:tcPr>
            <w:tcW w:w="4557" w:type="dxa"/>
            <w:tcBorders>
              <w:top w:val="nil"/>
              <w:bottom w:val="nil"/>
            </w:tcBorders>
          </w:tcPr>
          <w:p w14:paraId="05BA4A15"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animală</w:t>
            </w:r>
            <w:r w:rsidRPr="00C56257">
              <w:rPr>
                <w:color w:val="000000" w:themeColor="text1"/>
                <w:spacing w:val="-2"/>
                <w:sz w:val="24"/>
                <w:szCs w:val="24"/>
              </w:rPr>
              <w:t xml:space="preserve"> </w:t>
            </w:r>
            <w:r w:rsidRPr="00C56257">
              <w:rPr>
                <w:color w:val="000000" w:themeColor="text1"/>
                <w:sz w:val="24"/>
                <w:szCs w:val="24"/>
              </w:rPr>
              <w:t>(ca</w:t>
            </w:r>
            <w:r w:rsidRPr="00C56257">
              <w:rPr>
                <w:color w:val="000000" w:themeColor="text1"/>
                <w:spacing w:val="-2"/>
                <w:sz w:val="24"/>
                <w:szCs w:val="24"/>
              </w:rPr>
              <w:t xml:space="preserve"> </w:t>
            </w:r>
            <w:r w:rsidRPr="00C56257">
              <w:rPr>
                <w:color w:val="000000" w:themeColor="text1"/>
                <w:sz w:val="24"/>
                <w:szCs w:val="24"/>
              </w:rPr>
              <w:t>de</w:t>
            </w:r>
            <w:r w:rsidRPr="00C56257">
              <w:rPr>
                <w:color w:val="000000" w:themeColor="text1"/>
                <w:spacing w:val="-1"/>
                <w:sz w:val="24"/>
                <w:szCs w:val="24"/>
              </w:rPr>
              <w:t xml:space="preserve"> </w:t>
            </w:r>
            <w:r w:rsidRPr="00C56257">
              <w:rPr>
                <w:color w:val="000000" w:themeColor="text1"/>
                <w:sz w:val="24"/>
                <w:szCs w:val="24"/>
              </w:rPr>
              <w:t>exemplu</w:t>
            </w:r>
            <w:r w:rsidRPr="00C56257">
              <w:rPr>
                <w:color w:val="000000" w:themeColor="text1"/>
                <w:spacing w:val="-2"/>
                <w:sz w:val="24"/>
                <w:szCs w:val="24"/>
              </w:rPr>
              <w:t xml:space="preserve"> </w:t>
            </w:r>
            <w:r w:rsidRPr="00C56257">
              <w:rPr>
                <w:color w:val="000000" w:themeColor="text1"/>
                <w:sz w:val="24"/>
                <w:szCs w:val="24"/>
              </w:rPr>
              <w:t>diclofenac</w:t>
            </w:r>
          </w:p>
        </w:tc>
        <w:tc>
          <w:tcPr>
            <w:tcW w:w="1710" w:type="dxa"/>
            <w:tcBorders>
              <w:top w:val="nil"/>
              <w:bottom w:val="nil"/>
            </w:tcBorders>
          </w:tcPr>
          <w:p w14:paraId="56B8AC58" w14:textId="77777777" w:rsidR="00F07D5E" w:rsidRPr="00C56257" w:rsidRDefault="00F07D5E" w:rsidP="008E33FD">
            <w:pPr>
              <w:pStyle w:val="TableParagraph"/>
              <w:jc w:val="both"/>
              <w:rPr>
                <w:color w:val="000000" w:themeColor="text1"/>
                <w:sz w:val="24"/>
                <w:szCs w:val="24"/>
              </w:rPr>
            </w:pPr>
          </w:p>
        </w:tc>
      </w:tr>
      <w:tr w:rsidR="00F07D5E" w:rsidRPr="00C56257" w14:paraId="1644C9C6" w14:textId="77777777" w:rsidTr="00F07D5E">
        <w:trPr>
          <w:trHeight w:val="243"/>
        </w:trPr>
        <w:tc>
          <w:tcPr>
            <w:tcW w:w="708" w:type="dxa"/>
            <w:tcBorders>
              <w:top w:val="nil"/>
              <w:bottom w:val="nil"/>
            </w:tcBorders>
          </w:tcPr>
          <w:p w14:paraId="12F7E79E"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4B7D432F"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1F87310D"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și animală)</w:t>
            </w:r>
          </w:p>
        </w:tc>
        <w:tc>
          <w:tcPr>
            <w:tcW w:w="4557" w:type="dxa"/>
            <w:tcBorders>
              <w:top w:val="nil"/>
              <w:bottom w:val="nil"/>
            </w:tcBorders>
          </w:tcPr>
          <w:p w14:paraId="2071846F"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și</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3"/>
                <w:sz w:val="24"/>
                <w:szCs w:val="24"/>
              </w:rPr>
              <w:t xml:space="preserve"> </w:t>
            </w:r>
            <w:r w:rsidRPr="00C56257">
              <w:rPr>
                <w:color w:val="000000" w:themeColor="text1"/>
                <w:sz w:val="24"/>
                <w:szCs w:val="24"/>
              </w:rPr>
              <w:t>sau</w:t>
            </w:r>
            <w:r w:rsidRPr="00C56257">
              <w:rPr>
                <w:color w:val="000000" w:themeColor="text1"/>
                <w:spacing w:val="-3"/>
                <w:sz w:val="24"/>
                <w:szCs w:val="24"/>
              </w:rPr>
              <w:t xml:space="preserve"> </w:t>
            </w:r>
            <w:r w:rsidRPr="00C56257">
              <w:rPr>
                <w:color w:val="000000" w:themeColor="text1"/>
                <w:sz w:val="24"/>
                <w:szCs w:val="24"/>
              </w:rPr>
              <w:t>alte</w:t>
            </w:r>
            <w:r w:rsidRPr="00C56257">
              <w:rPr>
                <w:color w:val="000000" w:themeColor="text1"/>
                <w:spacing w:val="-2"/>
                <w:sz w:val="24"/>
                <w:szCs w:val="24"/>
              </w:rPr>
              <w:t xml:space="preserve"> </w:t>
            </w:r>
            <w:r w:rsidRPr="00C56257">
              <w:rPr>
                <w:color w:val="000000" w:themeColor="text1"/>
                <w:sz w:val="24"/>
                <w:szCs w:val="24"/>
              </w:rPr>
              <w:t>produse</w:t>
            </w:r>
            <w:r w:rsidRPr="00C56257">
              <w:rPr>
                <w:color w:val="000000" w:themeColor="text1"/>
                <w:spacing w:val="-1"/>
                <w:sz w:val="24"/>
                <w:szCs w:val="24"/>
              </w:rPr>
              <w:t xml:space="preserve"> </w:t>
            </w:r>
            <w:r w:rsidRPr="00C56257">
              <w:rPr>
                <w:color w:val="000000" w:themeColor="text1"/>
                <w:sz w:val="24"/>
                <w:szCs w:val="24"/>
              </w:rPr>
              <w:t>veterinare</w:t>
            </w:r>
          </w:p>
        </w:tc>
        <w:tc>
          <w:tcPr>
            <w:tcW w:w="1710" w:type="dxa"/>
            <w:tcBorders>
              <w:top w:val="nil"/>
              <w:bottom w:val="nil"/>
            </w:tcBorders>
          </w:tcPr>
          <w:p w14:paraId="3DF25F74" w14:textId="77777777" w:rsidR="00F07D5E" w:rsidRPr="00C56257" w:rsidRDefault="00F07D5E" w:rsidP="008E33FD">
            <w:pPr>
              <w:pStyle w:val="TableParagraph"/>
              <w:jc w:val="both"/>
              <w:rPr>
                <w:color w:val="000000" w:themeColor="text1"/>
                <w:sz w:val="24"/>
                <w:szCs w:val="24"/>
              </w:rPr>
            </w:pPr>
          </w:p>
        </w:tc>
      </w:tr>
      <w:tr w:rsidR="00F07D5E" w:rsidRPr="00C56257" w14:paraId="2BC8CC01" w14:textId="77777777" w:rsidTr="00F07D5E">
        <w:trPr>
          <w:trHeight w:val="242"/>
        </w:trPr>
        <w:tc>
          <w:tcPr>
            <w:tcW w:w="708" w:type="dxa"/>
            <w:tcBorders>
              <w:top w:val="nil"/>
              <w:bottom w:val="nil"/>
            </w:tcBorders>
          </w:tcPr>
          <w:p w14:paraId="67FD623B"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7EAE5F33"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02872BB4" w14:textId="77777777" w:rsidR="00F07D5E" w:rsidRPr="00C56257" w:rsidRDefault="00F07D5E" w:rsidP="008E33FD">
            <w:pPr>
              <w:pStyle w:val="TableParagraph"/>
              <w:jc w:val="both"/>
              <w:rPr>
                <w:color w:val="000000" w:themeColor="text1"/>
                <w:sz w:val="24"/>
                <w:szCs w:val="24"/>
              </w:rPr>
            </w:pPr>
          </w:p>
        </w:tc>
        <w:tc>
          <w:tcPr>
            <w:tcW w:w="4557" w:type="dxa"/>
            <w:tcBorders>
              <w:top w:val="nil"/>
              <w:bottom w:val="nil"/>
            </w:tcBorders>
          </w:tcPr>
          <w:p w14:paraId="16A45BC1" w14:textId="77777777" w:rsidR="00F07D5E" w:rsidRPr="00C56257" w:rsidRDefault="00F07D5E" w:rsidP="008E33FD">
            <w:pPr>
              <w:pStyle w:val="TableParagraph"/>
              <w:spacing w:line="222" w:lineRule="exact"/>
              <w:jc w:val="both"/>
              <w:rPr>
                <w:color w:val="000000" w:themeColor="text1"/>
                <w:sz w:val="24"/>
                <w:szCs w:val="24"/>
              </w:rPr>
            </w:pPr>
            <w:r w:rsidRPr="00C56257">
              <w:rPr>
                <w:color w:val="000000" w:themeColor="text1"/>
                <w:sz w:val="24"/>
                <w:szCs w:val="24"/>
              </w:rPr>
              <w:t>similare).</w:t>
            </w:r>
          </w:p>
        </w:tc>
        <w:tc>
          <w:tcPr>
            <w:tcW w:w="1710" w:type="dxa"/>
            <w:tcBorders>
              <w:top w:val="nil"/>
              <w:bottom w:val="nil"/>
            </w:tcBorders>
          </w:tcPr>
          <w:p w14:paraId="3A60B9E8" w14:textId="77777777" w:rsidR="00F07D5E" w:rsidRPr="00C56257" w:rsidRDefault="00F07D5E" w:rsidP="008E33FD">
            <w:pPr>
              <w:pStyle w:val="TableParagraph"/>
              <w:jc w:val="both"/>
              <w:rPr>
                <w:color w:val="000000" w:themeColor="text1"/>
                <w:sz w:val="24"/>
                <w:szCs w:val="24"/>
              </w:rPr>
            </w:pPr>
          </w:p>
        </w:tc>
      </w:tr>
      <w:tr w:rsidR="00F07D5E" w:rsidRPr="00C56257" w14:paraId="54608799" w14:textId="77777777" w:rsidTr="00F07D5E">
        <w:trPr>
          <w:trHeight w:val="243"/>
        </w:trPr>
        <w:tc>
          <w:tcPr>
            <w:tcW w:w="708" w:type="dxa"/>
            <w:tcBorders>
              <w:top w:val="nil"/>
              <w:bottom w:val="nil"/>
            </w:tcBorders>
          </w:tcPr>
          <w:p w14:paraId="51470A38"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2D5FE79A"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5344CFF1" w14:textId="77777777" w:rsidR="00F07D5E" w:rsidRPr="00C56257" w:rsidRDefault="00F07D5E" w:rsidP="008E33FD">
            <w:pPr>
              <w:pStyle w:val="TableParagraph"/>
              <w:jc w:val="both"/>
              <w:rPr>
                <w:color w:val="000000" w:themeColor="text1"/>
                <w:sz w:val="24"/>
                <w:szCs w:val="24"/>
              </w:rPr>
            </w:pPr>
          </w:p>
        </w:tc>
        <w:tc>
          <w:tcPr>
            <w:tcW w:w="4557" w:type="dxa"/>
            <w:tcBorders>
              <w:top w:val="nil"/>
              <w:bottom w:val="nil"/>
            </w:tcBorders>
          </w:tcPr>
          <w:p w14:paraId="11EA37F4"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De</w:t>
            </w:r>
            <w:r w:rsidRPr="00C56257">
              <w:rPr>
                <w:color w:val="000000" w:themeColor="text1"/>
                <w:spacing w:val="-2"/>
                <w:sz w:val="24"/>
                <w:szCs w:val="24"/>
              </w:rPr>
              <w:t xml:space="preserve"> </w:t>
            </w:r>
            <w:r w:rsidRPr="00C56257">
              <w:rPr>
                <w:color w:val="000000" w:themeColor="text1"/>
                <w:sz w:val="24"/>
                <w:szCs w:val="24"/>
              </w:rPr>
              <w:t>asemenea,</w:t>
            </w:r>
            <w:r w:rsidRPr="00C56257">
              <w:rPr>
                <w:color w:val="000000" w:themeColor="text1"/>
                <w:spacing w:val="-1"/>
                <w:sz w:val="24"/>
                <w:szCs w:val="24"/>
              </w:rPr>
              <w:t xml:space="preserve"> </w:t>
            </w:r>
            <w:r w:rsidRPr="00C56257">
              <w:rPr>
                <w:color w:val="000000" w:themeColor="text1"/>
                <w:sz w:val="24"/>
                <w:szCs w:val="24"/>
              </w:rPr>
              <w:t>această</w:t>
            </w:r>
            <w:r w:rsidRPr="00C56257">
              <w:rPr>
                <w:color w:val="000000" w:themeColor="text1"/>
                <w:spacing w:val="-4"/>
                <w:sz w:val="24"/>
                <w:szCs w:val="24"/>
              </w:rPr>
              <w:t xml:space="preserve"> </w:t>
            </w:r>
            <w:r w:rsidRPr="00C56257">
              <w:rPr>
                <w:color w:val="000000" w:themeColor="text1"/>
                <w:sz w:val="24"/>
                <w:szCs w:val="24"/>
              </w:rPr>
              <w:t>măsură</w:t>
            </w:r>
          </w:p>
        </w:tc>
        <w:tc>
          <w:tcPr>
            <w:tcW w:w="1710" w:type="dxa"/>
            <w:tcBorders>
              <w:top w:val="nil"/>
              <w:bottom w:val="nil"/>
            </w:tcBorders>
          </w:tcPr>
          <w:p w14:paraId="61715897" w14:textId="77777777" w:rsidR="00F07D5E" w:rsidRPr="00C56257" w:rsidRDefault="00F07D5E" w:rsidP="008E33FD">
            <w:pPr>
              <w:pStyle w:val="TableParagraph"/>
              <w:jc w:val="both"/>
              <w:rPr>
                <w:color w:val="000000" w:themeColor="text1"/>
                <w:sz w:val="24"/>
                <w:szCs w:val="24"/>
              </w:rPr>
            </w:pPr>
          </w:p>
        </w:tc>
      </w:tr>
      <w:tr w:rsidR="00F07D5E" w:rsidRPr="00C56257" w14:paraId="588646B9" w14:textId="77777777" w:rsidTr="00F07D5E">
        <w:trPr>
          <w:trHeight w:val="243"/>
        </w:trPr>
        <w:tc>
          <w:tcPr>
            <w:tcW w:w="708" w:type="dxa"/>
            <w:tcBorders>
              <w:top w:val="nil"/>
              <w:bottom w:val="nil"/>
            </w:tcBorders>
          </w:tcPr>
          <w:p w14:paraId="163EE442"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05C76C21"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4E8BF1A6" w14:textId="77777777" w:rsidR="00F07D5E" w:rsidRPr="00C56257" w:rsidRDefault="00F07D5E" w:rsidP="008E33FD">
            <w:pPr>
              <w:pStyle w:val="TableParagraph"/>
              <w:jc w:val="both"/>
              <w:rPr>
                <w:color w:val="000000" w:themeColor="text1"/>
                <w:sz w:val="24"/>
                <w:szCs w:val="24"/>
              </w:rPr>
            </w:pPr>
          </w:p>
        </w:tc>
        <w:tc>
          <w:tcPr>
            <w:tcW w:w="4557" w:type="dxa"/>
            <w:tcBorders>
              <w:top w:val="nil"/>
              <w:bottom w:val="nil"/>
            </w:tcBorders>
          </w:tcPr>
          <w:p w14:paraId="69C247F7"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include</w:t>
            </w:r>
            <w:r w:rsidRPr="00C56257">
              <w:rPr>
                <w:color w:val="000000" w:themeColor="text1"/>
                <w:spacing w:val="-3"/>
                <w:sz w:val="24"/>
                <w:szCs w:val="24"/>
              </w:rPr>
              <w:t xml:space="preserve"> </w:t>
            </w:r>
            <w:r w:rsidRPr="00C56257">
              <w:rPr>
                <w:color w:val="000000" w:themeColor="text1"/>
                <w:sz w:val="24"/>
                <w:szCs w:val="24"/>
              </w:rPr>
              <w:t>dezvoltarea</w:t>
            </w:r>
            <w:r w:rsidRPr="00C56257">
              <w:rPr>
                <w:color w:val="000000" w:themeColor="text1"/>
                <w:spacing w:val="-3"/>
                <w:sz w:val="24"/>
                <w:szCs w:val="24"/>
              </w:rPr>
              <w:t xml:space="preserve"> </w:t>
            </w:r>
            <w:r w:rsidRPr="00C56257">
              <w:rPr>
                <w:color w:val="000000" w:themeColor="text1"/>
                <w:sz w:val="24"/>
                <w:szCs w:val="24"/>
              </w:rPr>
              <w:t>și</w:t>
            </w:r>
            <w:r w:rsidRPr="00C56257">
              <w:rPr>
                <w:color w:val="000000" w:themeColor="text1"/>
                <w:spacing w:val="-2"/>
                <w:sz w:val="24"/>
                <w:szCs w:val="24"/>
              </w:rPr>
              <w:t xml:space="preserve"> </w:t>
            </w:r>
            <w:r w:rsidRPr="00C56257">
              <w:rPr>
                <w:color w:val="000000" w:themeColor="text1"/>
                <w:sz w:val="24"/>
                <w:szCs w:val="24"/>
              </w:rPr>
              <w:t>menținerea</w:t>
            </w:r>
          </w:p>
        </w:tc>
        <w:tc>
          <w:tcPr>
            <w:tcW w:w="1710" w:type="dxa"/>
            <w:tcBorders>
              <w:top w:val="nil"/>
              <w:bottom w:val="nil"/>
            </w:tcBorders>
          </w:tcPr>
          <w:p w14:paraId="5D4FC6B0" w14:textId="77777777" w:rsidR="00F07D5E" w:rsidRPr="00C56257" w:rsidRDefault="00F07D5E" w:rsidP="008E33FD">
            <w:pPr>
              <w:pStyle w:val="TableParagraph"/>
              <w:jc w:val="both"/>
              <w:rPr>
                <w:color w:val="000000" w:themeColor="text1"/>
                <w:sz w:val="24"/>
                <w:szCs w:val="24"/>
              </w:rPr>
            </w:pPr>
          </w:p>
        </w:tc>
      </w:tr>
      <w:tr w:rsidR="00F07D5E" w:rsidRPr="00C56257" w14:paraId="201B9A79" w14:textId="77777777" w:rsidTr="00F07D5E">
        <w:trPr>
          <w:trHeight w:val="243"/>
        </w:trPr>
        <w:tc>
          <w:tcPr>
            <w:tcW w:w="708" w:type="dxa"/>
            <w:tcBorders>
              <w:top w:val="nil"/>
              <w:bottom w:val="nil"/>
            </w:tcBorders>
          </w:tcPr>
          <w:p w14:paraId="3253F98E"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5A9987F6"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4F01DE3B" w14:textId="77777777" w:rsidR="00F07D5E" w:rsidRPr="00C56257" w:rsidRDefault="00F07D5E" w:rsidP="008E33FD">
            <w:pPr>
              <w:pStyle w:val="TableParagraph"/>
              <w:jc w:val="both"/>
              <w:rPr>
                <w:color w:val="000000" w:themeColor="text1"/>
                <w:sz w:val="24"/>
                <w:szCs w:val="24"/>
              </w:rPr>
            </w:pPr>
          </w:p>
        </w:tc>
        <w:tc>
          <w:tcPr>
            <w:tcW w:w="4557" w:type="dxa"/>
            <w:tcBorders>
              <w:top w:val="nil"/>
              <w:bottom w:val="nil"/>
            </w:tcBorders>
          </w:tcPr>
          <w:p w14:paraId="15B74C90"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măsurilor</w:t>
            </w:r>
            <w:r w:rsidRPr="00C56257">
              <w:rPr>
                <w:color w:val="000000" w:themeColor="text1"/>
                <w:spacing w:val="-1"/>
                <w:sz w:val="24"/>
                <w:szCs w:val="24"/>
              </w:rPr>
              <w:t xml:space="preserve"> </w:t>
            </w:r>
            <w:r w:rsidRPr="00C56257">
              <w:rPr>
                <w:color w:val="000000" w:themeColor="text1"/>
                <w:sz w:val="24"/>
                <w:szCs w:val="24"/>
              </w:rPr>
              <w:t>de</w:t>
            </w:r>
            <w:r w:rsidRPr="00C56257">
              <w:rPr>
                <w:color w:val="000000" w:themeColor="text1"/>
                <w:spacing w:val="-3"/>
                <w:sz w:val="24"/>
                <w:szCs w:val="24"/>
              </w:rPr>
              <w:t xml:space="preserve"> </w:t>
            </w:r>
            <w:r w:rsidRPr="00C56257">
              <w:rPr>
                <w:color w:val="000000" w:themeColor="text1"/>
                <w:sz w:val="24"/>
                <w:szCs w:val="24"/>
              </w:rPr>
              <w:t>conservare</w:t>
            </w:r>
            <w:r w:rsidRPr="00C56257">
              <w:rPr>
                <w:color w:val="000000" w:themeColor="text1"/>
                <w:spacing w:val="-2"/>
                <w:sz w:val="24"/>
                <w:szCs w:val="24"/>
              </w:rPr>
              <w:t xml:space="preserve"> </w:t>
            </w:r>
            <w:r w:rsidRPr="00C56257">
              <w:rPr>
                <w:color w:val="000000" w:themeColor="text1"/>
                <w:sz w:val="24"/>
                <w:szCs w:val="24"/>
              </w:rPr>
              <w:t>a</w:t>
            </w:r>
          </w:p>
        </w:tc>
        <w:tc>
          <w:tcPr>
            <w:tcW w:w="1710" w:type="dxa"/>
            <w:tcBorders>
              <w:top w:val="nil"/>
              <w:bottom w:val="nil"/>
            </w:tcBorders>
          </w:tcPr>
          <w:p w14:paraId="3400DC99" w14:textId="77777777" w:rsidR="00F07D5E" w:rsidRPr="00C56257" w:rsidRDefault="00F07D5E" w:rsidP="008E33FD">
            <w:pPr>
              <w:pStyle w:val="TableParagraph"/>
              <w:jc w:val="both"/>
              <w:rPr>
                <w:color w:val="000000" w:themeColor="text1"/>
                <w:sz w:val="24"/>
                <w:szCs w:val="24"/>
              </w:rPr>
            </w:pPr>
          </w:p>
        </w:tc>
      </w:tr>
      <w:tr w:rsidR="00F07D5E" w:rsidRPr="00C56257" w14:paraId="7D6D5A5B" w14:textId="77777777" w:rsidTr="00F07D5E">
        <w:trPr>
          <w:trHeight w:val="243"/>
        </w:trPr>
        <w:tc>
          <w:tcPr>
            <w:tcW w:w="708" w:type="dxa"/>
            <w:tcBorders>
              <w:top w:val="nil"/>
              <w:bottom w:val="nil"/>
            </w:tcBorders>
          </w:tcPr>
          <w:p w14:paraId="5E01D2F8"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07076B15"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42A3C930" w14:textId="77777777" w:rsidR="00F07D5E" w:rsidRPr="00C56257" w:rsidRDefault="00F07D5E" w:rsidP="008E33FD">
            <w:pPr>
              <w:pStyle w:val="TableParagraph"/>
              <w:jc w:val="both"/>
              <w:rPr>
                <w:color w:val="000000" w:themeColor="text1"/>
                <w:sz w:val="24"/>
                <w:szCs w:val="24"/>
              </w:rPr>
            </w:pPr>
          </w:p>
        </w:tc>
        <w:tc>
          <w:tcPr>
            <w:tcW w:w="4557" w:type="dxa"/>
            <w:tcBorders>
              <w:top w:val="nil"/>
              <w:bottom w:val="nil"/>
            </w:tcBorders>
          </w:tcPr>
          <w:p w14:paraId="206A17FF" w14:textId="77777777" w:rsidR="00F07D5E" w:rsidRPr="00C56257" w:rsidRDefault="00F07D5E" w:rsidP="008E33FD">
            <w:pPr>
              <w:pStyle w:val="TableParagraph"/>
              <w:spacing w:line="223" w:lineRule="exact"/>
              <w:jc w:val="both"/>
              <w:rPr>
                <w:color w:val="000000" w:themeColor="text1"/>
                <w:sz w:val="24"/>
                <w:szCs w:val="24"/>
              </w:rPr>
            </w:pPr>
            <w:r w:rsidRPr="00C56257">
              <w:rPr>
                <w:color w:val="000000" w:themeColor="text1"/>
                <w:sz w:val="24"/>
                <w:szCs w:val="24"/>
              </w:rPr>
              <w:t>promontorilor</w:t>
            </w:r>
            <w:r w:rsidRPr="00C56257">
              <w:rPr>
                <w:color w:val="000000" w:themeColor="text1"/>
                <w:spacing w:val="-4"/>
                <w:sz w:val="24"/>
                <w:szCs w:val="24"/>
              </w:rPr>
              <w:t xml:space="preserve"> </w:t>
            </w:r>
            <w:r w:rsidRPr="00C56257">
              <w:rPr>
                <w:color w:val="000000" w:themeColor="text1"/>
                <w:sz w:val="24"/>
                <w:szCs w:val="24"/>
              </w:rPr>
              <w:t>(capurilor,</w:t>
            </w:r>
            <w:r w:rsidRPr="00C56257">
              <w:rPr>
                <w:color w:val="000000" w:themeColor="text1"/>
                <w:spacing w:val="-7"/>
                <w:sz w:val="24"/>
                <w:szCs w:val="24"/>
              </w:rPr>
              <w:t xml:space="preserve"> </w:t>
            </w:r>
            <w:r w:rsidRPr="00C56257">
              <w:rPr>
                <w:color w:val="000000" w:themeColor="text1"/>
                <w:sz w:val="24"/>
                <w:szCs w:val="24"/>
              </w:rPr>
              <w:t>micilor</w:t>
            </w:r>
          </w:p>
        </w:tc>
        <w:tc>
          <w:tcPr>
            <w:tcW w:w="1710" w:type="dxa"/>
            <w:tcBorders>
              <w:top w:val="nil"/>
              <w:bottom w:val="nil"/>
            </w:tcBorders>
          </w:tcPr>
          <w:p w14:paraId="21275825" w14:textId="77777777" w:rsidR="00F07D5E" w:rsidRPr="00C56257" w:rsidRDefault="00F07D5E" w:rsidP="008E33FD">
            <w:pPr>
              <w:pStyle w:val="TableParagraph"/>
              <w:jc w:val="both"/>
              <w:rPr>
                <w:color w:val="000000" w:themeColor="text1"/>
                <w:sz w:val="24"/>
                <w:szCs w:val="24"/>
              </w:rPr>
            </w:pPr>
          </w:p>
        </w:tc>
      </w:tr>
      <w:tr w:rsidR="00F07D5E" w:rsidRPr="00C56257" w14:paraId="642E1591" w14:textId="77777777" w:rsidTr="00F07D5E">
        <w:trPr>
          <w:trHeight w:val="241"/>
        </w:trPr>
        <w:tc>
          <w:tcPr>
            <w:tcW w:w="708" w:type="dxa"/>
            <w:tcBorders>
              <w:top w:val="nil"/>
              <w:bottom w:val="nil"/>
            </w:tcBorders>
          </w:tcPr>
          <w:p w14:paraId="673049DF" w14:textId="77777777" w:rsidR="00F07D5E" w:rsidRPr="00C56257" w:rsidRDefault="00F07D5E" w:rsidP="008E33FD">
            <w:pPr>
              <w:pStyle w:val="TableParagraph"/>
              <w:jc w:val="both"/>
              <w:rPr>
                <w:color w:val="000000" w:themeColor="text1"/>
                <w:sz w:val="24"/>
                <w:szCs w:val="24"/>
              </w:rPr>
            </w:pPr>
          </w:p>
        </w:tc>
        <w:tc>
          <w:tcPr>
            <w:tcW w:w="1020" w:type="dxa"/>
            <w:tcBorders>
              <w:top w:val="nil"/>
              <w:bottom w:val="nil"/>
            </w:tcBorders>
          </w:tcPr>
          <w:p w14:paraId="428ED0BF" w14:textId="77777777" w:rsidR="00F07D5E" w:rsidRPr="00C56257" w:rsidRDefault="00F07D5E" w:rsidP="008E33FD">
            <w:pPr>
              <w:pStyle w:val="TableParagraph"/>
              <w:jc w:val="both"/>
              <w:rPr>
                <w:color w:val="000000" w:themeColor="text1"/>
                <w:sz w:val="24"/>
                <w:szCs w:val="24"/>
              </w:rPr>
            </w:pPr>
          </w:p>
        </w:tc>
        <w:tc>
          <w:tcPr>
            <w:tcW w:w="1803" w:type="dxa"/>
            <w:tcBorders>
              <w:top w:val="nil"/>
              <w:bottom w:val="nil"/>
            </w:tcBorders>
          </w:tcPr>
          <w:p w14:paraId="7BEAF5F7" w14:textId="77777777" w:rsidR="00F07D5E" w:rsidRPr="00C56257" w:rsidRDefault="00F07D5E" w:rsidP="008E33FD">
            <w:pPr>
              <w:pStyle w:val="TableParagraph"/>
              <w:jc w:val="both"/>
              <w:rPr>
                <w:color w:val="000000" w:themeColor="text1"/>
                <w:sz w:val="24"/>
                <w:szCs w:val="24"/>
              </w:rPr>
            </w:pPr>
          </w:p>
        </w:tc>
        <w:tc>
          <w:tcPr>
            <w:tcW w:w="4557" w:type="dxa"/>
            <w:tcBorders>
              <w:top w:val="nil"/>
              <w:bottom w:val="nil"/>
            </w:tcBorders>
          </w:tcPr>
          <w:p w14:paraId="7FEB08FA" w14:textId="77777777" w:rsidR="00F07D5E" w:rsidRPr="00C56257" w:rsidRDefault="00F07D5E" w:rsidP="008E33FD">
            <w:pPr>
              <w:pStyle w:val="TableParagraph"/>
              <w:spacing w:line="222" w:lineRule="exact"/>
              <w:jc w:val="both"/>
              <w:rPr>
                <w:color w:val="000000" w:themeColor="text1"/>
                <w:sz w:val="24"/>
                <w:szCs w:val="24"/>
              </w:rPr>
            </w:pPr>
            <w:r w:rsidRPr="00C56257">
              <w:rPr>
                <w:color w:val="000000" w:themeColor="text1"/>
                <w:sz w:val="24"/>
                <w:szCs w:val="24"/>
              </w:rPr>
              <w:t>peninsule)</w:t>
            </w:r>
            <w:r w:rsidRPr="00C56257">
              <w:rPr>
                <w:color w:val="000000" w:themeColor="text1"/>
                <w:spacing w:val="-2"/>
                <w:sz w:val="24"/>
                <w:szCs w:val="24"/>
              </w:rPr>
              <w:t xml:space="preserve"> </w:t>
            </w:r>
            <w:r w:rsidRPr="00C56257">
              <w:rPr>
                <w:color w:val="000000" w:themeColor="text1"/>
                <w:sz w:val="24"/>
                <w:szCs w:val="24"/>
              </w:rPr>
              <w:t>sau</w:t>
            </w:r>
            <w:r w:rsidRPr="00C56257">
              <w:rPr>
                <w:color w:val="000000" w:themeColor="text1"/>
                <w:spacing w:val="-1"/>
                <w:sz w:val="24"/>
                <w:szCs w:val="24"/>
              </w:rPr>
              <w:t xml:space="preserve"> </w:t>
            </w:r>
            <w:r w:rsidRPr="00C56257">
              <w:rPr>
                <w:color w:val="000000" w:themeColor="text1"/>
                <w:sz w:val="24"/>
                <w:szCs w:val="24"/>
              </w:rPr>
              <w:t>a</w:t>
            </w:r>
            <w:r w:rsidRPr="00C56257">
              <w:rPr>
                <w:color w:val="000000" w:themeColor="text1"/>
                <w:spacing w:val="-1"/>
                <w:sz w:val="24"/>
                <w:szCs w:val="24"/>
              </w:rPr>
              <w:t xml:space="preserve"> </w:t>
            </w:r>
            <w:r w:rsidRPr="00C56257">
              <w:rPr>
                <w:color w:val="000000" w:themeColor="text1"/>
                <w:sz w:val="24"/>
                <w:szCs w:val="24"/>
              </w:rPr>
              <w:t>marginilor</w:t>
            </w:r>
            <w:r w:rsidRPr="00C56257">
              <w:rPr>
                <w:color w:val="000000" w:themeColor="text1"/>
                <w:spacing w:val="-3"/>
                <w:sz w:val="24"/>
                <w:szCs w:val="24"/>
              </w:rPr>
              <w:t xml:space="preserve"> </w:t>
            </w:r>
            <w:r w:rsidRPr="00C56257">
              <w:rPr>
                <w:color w:val="000000" w:themeColor="text1"/>
                <w:sz w:val="24"/>
                <w:szCs w:val="24"/>
              </w:rPr>
              <w:t>de</w:t>
            </w:r>
          </w:p>
        </w:tc>
        <w:tc>
          <w:tcPr>
            <w:tcW w:w="1710" w:type="dxa"/>
            <w:tcBorders>
              <w:top w:val="nil"/>
              <w:bottom w:val="nil"/>
            </w:tcBorders>
          </w:tcPr>
          <w:p w14:paraId="76C44F96" w14:textId="77777777" w:rsidR="00F07D5E" w:rsidRPr="00C56257" w:rsidRDefault="00F07D5E" w:rsidP="008E33FD">
            <w:pPr>
              <w:pStyle w:val="TableParagraph"/>
              <w:jc w:val="both"/>
              <w:rPr>
                <w:color w:val="000000" w:themeColor="text1"/>
                <w:sz w:val="24"/>
                <w:szCs w:val="24"/>
              </w:rPr>
            </w:pPr>
          </w:p>
        </w:tc>
      </w:tr>
      <w:tr w:rsidR="00F07D5E" w:rsidRPr="00C56257" w14:paraId="758319B0" w14:textId="77777777" w:rsidTr="00F07D5E">
        <w:trPr>
          <w:trHeight w:val="250"/>
        </w:trPr>
        <w:tc>
          <w:tcPr>
            <w:tcW w:w="708" w:type="dxa"/>
            <w:tcBorders>
              <w:top w:val="nil"/>
            </w:tcBorders>
          </w:tcPr>
          <w:p w14:paraId="56FE410D" w14:textId="77777777" w:rsidR="00F07D5E" w:rsidRPr="00C56257" w:rsidRDefault="00F07D5E" w:rsidP="008E33FD">
            <w:pPr>
              <w:pStyle w:val="TableParagraph"/>
              <w:jc w:val="both"/>
              <w:rPr>
                <w:color w:val="000000" w:themeColor="text1"/>
                <w:sz w:val="24"/>
                <w:szCs w:val="24"/>
              </w:rPr>
            </w:pPr>
          </w:p>
        </w:tc>
        <w:tc>
          <w:tcPr>
            <w:tcW w:w="1020" w:type="dxa"/>
            <w:tcBorders>
              <w:top w:val="nil"/>
            </w:tcBorders>
          </w:tcPr>
          <w:p w14:paraId="731286B5" w14:textId="77777777" w:rsidR="00F07D5E" w:rsidRPr="00C56257" w:rsidRDefault="00F07D5E" w:rsidP="008E33FD">
            <w:pPr>
              <w:pStyle w:val="TableParagraph"/>
              <w:jc w:val="both"/>
              <w:rPr>
                <w:color w:val="000000" w:themeColor="text1"/>
                <w:sz w:val="24"/>
                <w:szCs w:val="24"/>
              </w:rPr>
            </w:pPr>
          </w:p>
        </w:tc>
        <w:tc>
          <w:tcPr>
            <w:tcW w:w="1803" w:type="dxa"/>
            <w:tcBorders>
              <w:top w:val="nil"/>
            </w:tcBorders>
          </w:tcPr>
          <w:p w14:paraId="28C6B8AE" w14:textId="77777777" w:rsidR="00F07D5E" w:rsidRPr="00C56257" w:rsidRDefault="00F07D5E" w:rsidP="008E33FD">
            <w:pPr>
              <w:pStyle w:val="TableParagraph"/>
              <w:jc w:val="both"/>
              <w:rPr>
                <w:color w:val="000000" w:themeColor="text1"/>
                <w:sz w:val="24"/>
                <w:szCs w:val="24"/>
              </w:rPr>
            </w:pPr>
          </w:p>
        </w:tc>
        <w:tc>
          <w:tcPr>
            <w:tcW w:w="4557" w:type="dxa"/>
            <w:tcBorders>
              <w:top w:val="nil"/>
            </w:tcBorders>
          </w:tcPr>
          <w:p w14:paraId="6AA7A67A" w14:textId="77777777" w:rsidR="00F07D5E" w:rsidRPr="00C56257" w:rsidRDefault="00F07D5E" w:rsidP="008E33FD">
            <w:pPr>
              <w:pStyle w:val="TableParagraph"/>
              <w:spacing w:line="230" w:lineRule="exact"/>
              <w:jc w:val="both"/>
              <w:rPr>
                <w:color w:val="000000" w:themeColor="text1"/>
                <w:sz w:val="24"/>
                <w:szCs w:val="24"/>
              </w:rPr>
            </w:pPr>
            <w:r w:rsidRPr="00C56257">
              <w:rPr>
                <w:color w:val="000000" w:themeColor="text1"/>
                <w:sz w:val="24"/>
                <w:szCs w:val="24"/>
              </w:rPr>
              <w:t>ogoare</w:t>
            </w:r>
            <w:r w:rsidRPr="00C56257">
              <w:rPr>
                <w:color w:val="000000" w:themeColor="text1"/>
                <w:spacing w:val="-1"/>
                <w:sz w:val="24"/>
                <w:szCs w:val="24"/>
              </w:rPr>
              <w:t xml:space="preserve"> </w:t>
            </w:r>
            <w:r w:rsidRPr="00C56257">
              <w:rPr>
                <w:color w:val="000000" w:themeColor="text1"/>
                <w:sz w:val="24"/>
                <w:szCs w:val="24"/>
              </w:rPr>
              <w:t>(a</w:t>
            </w:r>
            <w:r w:rsidRPr="00C56257">
              <w:rPr>
                <w:color w:val="000000" w:themeColor="text1"/>
                <w:spacing w:val="-3"/>
                <w:sz w:val="24"/>
                <w:szCs w:val="24"/>
              </w:rPr>
              <w:t xml:space="preserve"> </w:t>
            </w:r>
            <w:r w:rsidRPr="00C56257">
              <w:rPr>
                <w:color w:val="000000" w:themeColor="text1"/>
                <w:sz w:val="24"/>
                <w:szCs w:val="24"/>
              </w:rPr>
              <w:t>haturilor).</w:t>
            </w:r>
          </w:p>
        </w:tc>
        <w:tc>
          <w:tcPr>
            <w:tcW w:w="1710" w:type="dxa"/>
            <w:tcBorders>
              <w:top w:val="nil"/>
            </w:tcBorders>
          </w:tcPr>
          <w:p w14:paraId="3CAA8A29" w14:textId="77777777" w:rsidR="00F07D5E" w:rsidRPr="00C56257" w:rsidRDefault="00F07D5E" w:rsidP="008E33FD">
            <w:pPr>
              <w:pStyle w:val="TableParagraph"/>
              <w:jc w:val="both"/>
              <w:rPr>
                <w:color w:val="000000" w:themeColor="text1"/>
                <w:sz w:val="24"/>
                <w:szCs w:val="24"/>
              </w:rPr>
            </w:pPr>
          </w:p>
        </w:tc>
      </w:tr>
      <w:tr w:rsidR="00F07D5E" w:rsidRPr="00C56257" w14:paraId="54AA0438" w14:textId="77777777" w:rsidTr="00507CCA">
        <w:trPr>
          <w:trHeight w:val="5485"/>
        </w:trPr>
        <w:tc>
          <w:tcPr>
            <w:tcW w:w="708" w:type="dxa"/>
          </w:tcPr>
          <w:p w14:paraId="417D6A20" w14:textId="77777777" w:rsidR="00F07D5E" w:rsidRPr="00C56257" w:rsidRDefault="00F07D5E" w:rsidP="008E33FD">
            <w:pPr>
              <w:pStyle w:val="TableParagraph"/>
              <w:spacing w:line="247" w:lineRule="exact"/>
              <w:ind w:right="62"/>
              <w:jc w:val="both"/>
              <w:rPr>
                <w:color w:val="000000" w:themeColor="text1"/>
                <w:sz w:val="24"/>
                <w:szCs w:val="24"/>
              </w:rPr>
            </w:pPr>
            <w:r w:rsidRPr="00C56257">
              <w:rPr>
                <w:color w:val="000000" w:themeColor="text1"/>
                <w:sz w:val="24"/>
                <w:szCs w:val="24"/>
              </w:rPr>
              <w:lastRenderedPageBreak/>
              <w:t>2.</w:t>
            </w:r>
          </w:p>
        </w:tc>
        <w:tc>
          <w:tcPr>
            <w:tcW w:w="1020" w:type="dxa"/>
          </w:tcPr>
          <w:p w14:paraId="035D2AC4" w14:textId="77777777" w:rsidR="00F07D5E" w:rsidRPr="00C56257" w:rsidRDefault="00F07D5E" w:rsidP="008E33FD">
            <w:pPr>
              <w:pStyle w:val="TableParagraph"/>
              <w:jc w:val="both"/>
              <w:rPr>
                <w:color w:val="000000" w:themeColor="text1"/>
                <w:sz w:val="24"/>
                <w:szCs w:val="24"/>
              </w:rPr>
            </w:pPr>
          </w:p>
          <w:p w14:paraId="283E4C37" w14:textId="77777777" w:rsidR="00F07D5E" w:rsidRPr="00C56257" w:rsidRDefault="00F07D5E" w:rsidP="008E33FD">
            <w:pPr>
              <w:pStyle w:val="TableParagraph"/>
              <w:jc w:val="both"/>
              <w:rPr>
                <w:color w:val="000000" w:themeColor="text1"/>
                <w:sz w:val="24"/>
                <w:szCs w:val="24"/>
              </w:rPr>
            </w:pPr>
          </w:p>
          <w:p w14:paraId="78FE977E" w14:textId="77777777" w:rsidR="00F07D5E" w:rsidRPr="00C56257" w:rsidRDefault="00F07D5E" w:rsidP="008E33FD">
            <w:pPr>
              <w:pStyle w:val="TableParagraph"/>
              <w:jc w:val="both"/>
              <w:rPr>
                <w:color w:val="000000" w:themeColor="text1"/>
                <w:sz w:val="24"/>
                <w:szCs w:val="24"/>
              </w:rPr>
            </w:pPr>
          </w:p>
          <w:p w14:paraId="5A06C1D8" w14:textId="77777777" w:rsidR="00F07D5E" w:rsidRPr="00C56257" w:rsidRDefault="00F07D5E" w:rsidP="008E33FD">
            <w:pPr>
              <w:pStyle w:val="TableParagraph"/>
              <w:jc w:val="both"/>
              <w:rPr>
                <w:color w:val="000000" w:themeColor="text1"/>
                <w:sz w:val="24"/>
                <w:szCs w:val="24"/>
              </w:rPr>
            </w:pPr>
          </w:p>
          <w:p w14:paraId="50476C16" w14:textId="77777777" w:rsidR="00F07D5E" w:rsidRPr="00C56257" w:rsidRDefault="00F07D5E" w:rsidP="008E33FD">
            <w:pPr>
              <w:pStyle w:val="TableParagraph"/>
              <w:jc w:val="both"/>
              <w:rPr>
                <w:color w:val="000000" w:themeColor="text1"/>
                <w:sz w:val="24"/>
                <w:szCs w:val="24"/>
              </w:rPr>
            </w:pPr>
          </w:p>
          <w:p w14:paraId="5F0A620E" w14:textId="77777777" w:rsidR="00F07D5E" w:rsidRPr="00C56257" w:rsidRDefault="00F07D5E" w:rsidP="008E33FD">
            <w:pPr>
              <w:pStyle w:val="TableParagraph"/>
              <w:jc w:val="both"/>
              <w:rPr>
                <w:color w:val="000000" w:themeColor="text1"/>
                <w:sz w:val="24"/>
                <w:szCs w:val="24"/>
              </w:rPr>
            </w:pPr>
          </w:p>
          <w:p w14:paraId="2C6099AA" w14:textId="77777777" w:rsidR="00F07D5E" w:rsidRPr="00C56257" w:rsidRDefault="00F07D5E" w:rsidP="008E33FD">
            <w:pPr>
              <w:pStyle w:val="TableParagraph"/>
              <w:jc w:val="both"/>
              <w:rPr>
                <w:color w:val="000000" w:themeColor="text1"/>
                <w:sz w:val="24"/>
                <w:szCs w:val="24"/>
              </w:rPr>
            </w:pPr>
          </w:p>
          <w:p w14:paraId="10F3DBCA" w14:textId="77777777" w:rsidR="00F07D5E" w:rsidRPr="00C56257" w:rsidRDefault="00F07D5E" w:rsidP="008E33FD">
            <w:pPr>
              <w:pStyle w:val="TableParagraph"/>
              <w:jc w:val="both"/>
              <w:rPr>
                <w:color w:val="000000" w:themeColor="text1"/>
                <w:sz w:val="24"/>
                <w:szCs w:val="24"/>
              </w:rPr>
            </w:pPr>
          </w:p>
          <w:p w14:paraId="76437D5E" w14:textId="77777777" w:rsidR="00F07D5E" w:rsidRPr="00C56257" w:rsidRDefault="00F07D5E" w:rsidP="008E33FD">
            <w:pPr>
              <w:pStyle w:val="TableParagraph"/>
              <w:jc w:val="both"/>
              <w:rPr>
                <w:color w:val="000000" w:themeColor="text1"/>
                <w:sz w:val="24"/>
                <w:szCs w:val="24"/>
              </w:rPr>
            </w:pPr>
          </w:p>
          <w:p w14:paraId="162D66B4" w14:textId="77777777" w:rsidR="00F07D5E" w:rsidRPr="00C56257" w:rsidRDefault="00F07D5E" w:rsidP="008E33FD">
            <w:pPr>
              <w:pStyle w:val="TableParagraph"/>
              <w:jc w:val="both"/>
              <w:rPr>
                <w:color w:val="000000" w:themeColor="text1"/>
                <w:sz w:val="24"/>
                <w:szCs w:val="24"/>
              </w:rPr>
            </w:pPr>
          </w:p>
          <w:p w14:paraId="66C9BC10" w14:textId="77777777" w:rsidR="00F07D5E" w:rsidRPr="00C56257" w:rsidRDefault="00F07D5E" w:rsidP="008E33FD">
            <w:pPr>
              <w:pStyle w:val="TableParagraph"/>
              <w:spacing w:before="143"/>
              <w:ind w:left="226" w:right="217"/>
              <w:jc w:val="both"/>
              <w:rPr>
                <w:color w:val="000000" w:themeColor="text1"/>
                <w:sz w:val="24"/>
                <w:szCs w:val="24"/>
              </w:rPr>
            </w:pPr>
            <w:r w:rsidRPr="00C56257">
              <w:rPr>
                <w:color w:val="000000" w:themeColor="text1"/>
                <w:sz w:val="24"/>
                <w:szCs w:val="24"/>
              </w:rPr>
              <w:t>CA09</w:t>
            </w:r>
          </w:p>
        </w:tc>
        <w:tc>
          <w:tcPr>
            <w:tcW w:w="1803" w:type="dxa"/>
          </w:tcPr>
          <w:p w14:paraId="6440A640" w14:textId="77777777" w:rsidR="00F07D5E" w:rsidRPr="00C56257" w:rsidRDefault="00F07D5E" w:rsidP="008E33FD">
            <w:pPr>
              <w:pStyle w:val="TableParagraph"/>
              <w:jc w:val="both"/>
              <w:rPr>
                <w:color w:val="000000" w:themeColor="text1"/>
                <w:sz w:val="24"/>
                <w:szCs w:val="24"/>
              </w:rPr>
            </w:pPr>
          </w:p>
          <w:p w14:paraId="1F36C96E" w14:textId="77777777" w:rsidR="00F07D5E" w:rsidRPr="00C56257" w:rsidRDefault="00F07D5E" w:rsidP="008E33FD">
            <w:pPr>
              <w:pStyle w:val="TableParagraph"/>
              <w:jc w:val="both"/>
              <w:rPr>
                <w:color w:val="000000" w:themeColor="text1"/>
                <w:sz w:val="24"/>
                <w:szCs w:val="24"/>
              </w:rPr>
            </w:pPr>
          </w:p>
          <w:p w14:paraId="13DA552F" w14:textId="77777777" w:rsidR="00F07D5E" w:rsidRPr="00C56257" w:rsidRDefault="00F07D5E" w:rsidP="008E33FD">
            <w:pPr>
              <w:pStyle w:val="TableParagraph"/>
              <w:jc w:val="both"/>
              <w:rPr>
                <w:color w:val="000000" w:themeColor="text1"/>
                <w:sz w:val="24"/>
                <w:szCs w:val="24"/>
              </w:rPr>
            </w:pPr>
          </w:p>
          <w:p w14:paraId="3A02A5D8" w14:textId="77777777" w:rsidR="00F07D5E" w:rsidRPr="00C56257" w:rsidRDefault="00F07D5E" w:rsidP="008E33FD">
            <w:pPr>
              <w:pStyle w:val="TableParagraph"/>
              <w:jc w:val="both"/>
              <w:rPr>
                <w:color w:val="000000" w:themeColor="text1"/>
                <w:sz w:val="24"/>
                <w:szCs w:val="24"/>
              </w:rPr>
            </w:pPr>
          </w:p>
          <w:p w14:paraId="12A12B09" w14:textId="77777777" w:rsidR="00F07D5E" w:rsidRPr="00C56257" w:rsidRDefault="00F07D5E" w:rsidP="008E33FD">
            <w:pPr>
              <w:pStyle w:val="TableParagraph"/>
              <w:jc w:val="both"/>
              <w:rPr>
                <w:color w:val="000000" w:themeColor="text1"/>
                <w:sz w:val="24"/>
                <w:szCs w:val="24"/>
              </w:rPr>
            </w:pPr>
          </w:p>
          <w:p w14:paraId="4BFCAA65" w14:textId="77777777" w:rsidR="00F07D5E" w:rsidRPr="00C56257" w:rsidRDefault="00F07D5E" w:rsidP="008E33FD">
            <w:pPr>
              <w:pStyle w:val="TableParagraph"/>
              <w:jc w:val="both"/>
              <w:rPr>
                <w:color w:val="000000" w:themeColor="text1"/>
                <w:sz w:val="24"/>
                <w:szCs w:val="24"/>
              </w:rPr>
            </w:pPr>
          </w:p>
          <w:p w14:paraId="3721D263" w14:textId="77777777" w:rsidR="00F07D5E" w:rsidRPr="00C56257" w:rsidRDefault="00F07D5E" w:rsidP="008E33FD">
            <w:pPr>
              <w:pStyle w:val="TableParagraph"/>
              <w:spacing w:before="4"/>
              <w:jc w:val="both"/>
              <w:rPr>
                <w:color w:val="000000" w:themeColor="text1"/>
                <w:sz w:val="24"/>
                <w:szCs w:val="24"/>
              </w:rPr>
            </w:pPr>
          </w:p>
          <w:p w14:paraId="2790F6CF" w14:textId="77777777" w:rsidR="00F07D5E" w:rsidRPr="00C56257" w:rsidRDefault="00F07D5E" w:rsidP="008E33FD">
            <w:pPr>
              <w:pStyle w:val="TableParagraph"/>
              <w:spacing w:before="1"/>
              <w:ind w:right="112"/>
              <w:jc w:val="both"/>
              <w:rPr>
                <w:color w:val="000000" w:themeColor="text1"/>
                <w:sz w:val="24"/>
                <w:szCs w:val="24"/>
              </w:rPr>
            </w:pPr>
            <w:r w:rsidRPr="00C56257">
              <w:rPr>
                <w:color w:val="000000" w:themeColor="text1"/>
                <w:sz w:val="24"/>
                <w:szCs w:val="24"/>
              </w:rPr>
              <w:t>Gestionarea</w:t>
            </w:r>
            <w:r w:rsidRPr="00C56257">
              <w:rPr>
                <w:color w:val="000000" w:themeColor="text1"/>
                <w:spacing w:val="1"/>
                <w:sz w:val="24"/>
                <w:szCs w:val="24"/>
              </w:rPr>
              <w:t xml:space="preserve"> </w:t>
            </w:r>
            <w:r w:rsidRPr="00C56257">
              <w:rPr>
                <w:color w:val="000000" w:themeColor="text1"/>
                <w:sz w:val="24"/>
                <w:szCs w:val="24"/>
              </w:rPr>
              <w:t>folosirii</w:t>
            </w:r>
            <w:r w:rsidRPr="00C56257">
              <w:rPr>
                <w:color w:val="000000" w:themeColor="text1"/>
                <w:spacing w:val="1"/>
                <w:sz w:val="24"/>
                <w:szCs w:val="24"/>
              </w:rPr>
              <w:t xml:space="preserve"> </w:t>
            </w:r>
            <w:r w:rsidRPr="00C56257">
              <w:rPr>
                <w:color w:val="000000" w:themeColor="text1"/>
                <w:sz w:val="24"/>
                <w:szCs w:val="24"/>
              </w:rPr>
              <w:t>îngrășămintelor</w:t>
            </w:r>
            <w:r w:rsidRPr="00C56257">
              <w:rPr>
                <w:color w:val="000000" w:themeColor="text1"/>
                <w:spacing w:val="1"/>
                <w:sz w:val="24"/>
                <w:szCs w:val="24"/>
              </w:rPr>
              <w:t xml:space="preserve"> </w:t>
            </w:r>
            <w:r w:rsidRPr="00C56257">
              <w:rPr>
                <w:color w:val="000000" w:themeColor="text1"/>
                <w:sz w:val="24"/>
                <w:szCs w:val="24"/>
              </w:rPr>
              <w:t>naturale</w:t>
            </w:r>
            <w:r w:rsidRPr="00C56257">
              <w:rPr>
                <w:color w:val="000000" w:themeColor="text1"/>
                <w:spacing w:val="-1"/>
                <w:sz w:val="24"/>
                <w:szCs w:val="24"/>
              </w:rPr>
              <w:t xml:space="preserve"> </w:t>
            </w:r>
            <w:r w:rsidRPr="00C56257">
              <w:rPr>
                <w:color w:val="000000" w:themeColor="text1"/>
                <w:sz w:val="24"/>
                <w:szCs w:val="24"/>
              </w:rPr>
              <w:t>și</w:t>
            </w:r>
            <w:r w:rsidRPr="00C56257">
              <w:rPr>
                <w:color w:val="000000" w:themeColor="text1"/>
                <w:spacing w:val="1"/>
                <w:sz w:val="24"/>
                <w:szCs w:val="24"/>
              </w:rPr>
              <w:t xml:space="preserve"> </w:t>
            </w:r>
            <w:r w:rsidRPr="00C56257">
              <w:rPr>
                <w:color w:val="000000" w:themeColor="text1"/>
                <w:sz w:val="24"/>
                <w:szCs w:val="24"/>
              </w:rPr>
              <w:t>a</w:t>
            </w:r>
            <w:r w:rsidRPr="00C56257">
              <w:rPr>
                <w:color w:val="000000" w:themeColor="text1"/>
                <w:spacing w:val="1"/>
                <w:sz w:val="24"/>
                <w:szCs w:val="24"/>
              </w:rPr>
              <w:t xml:space="preserve"> </w:t>
            </w:r>
            <w:r w:rsidRPr="00C56257">
              <w:rPr>
                <w:color w:val="000000" w:themeColor="text1"/>
                <w:sz w:val="24"/>
                <w:szCs w:val="24"/>
              </w:rPr>
              <w:t>substanțelor</w:t>
            </w:r>
            <w:r w:rsidRPr="00C56257">
              <w:rPr>
                <w:color w:val="000000" w:themeColor="text1"/>
                <w:spacing w:val="1"/>
                <w:sz w:val="24"/>
                <w:szCs w:val="24"/>
              </w:rPr>
              <w:t xml:space="preserve"> </w:t>
            </w:r>
            <w:r w:rsidRPr="00C56257">
              <w:rPr>
                <w:color w:val="000000" w:themeColor="text1"/>
                <w:sz w:val="24"/>
                <w:szCs w:val="24"/>
              </w:rPr>
              <w:t>chimice în</w:t>
            </w:r>
            <w:r w:rsidRPr="00C56257">
              <w:rPr>
                <w:color w:val="000000" w:themeColor="text1"/>
                <w:spacing w:val="1"/>
                <w:sz w:val="24"/>
                <w:szCs w:val="24"/>
              </w:rPr>
              <w:t xml:space="preserve"> </w:t>
            </w:r>
            <w:r w:rsidRPr="00C56257">
              <w:rPr>
                <w:color w:val="000000" w:themeColor="text1"/>
                <w:sz w:val="24"/>
                <w:szCs w:val="24"/>
              </w:rPr>
              <w:t>producția</w:t>
            </w:r>
            <w:r w:rsidRPr="00C56257">
              <w:rPr>
                <w:color w:val="000000" w:themeColor="text1"/>
                <w:spacing w:val="1"/>
                <w:sz w:val="24"/>
                <w:szCs w:val="24"/>
              </w:rPr>
              <w:t xml:space="preserve"> </w:t>
            </w:r>
            <w:r w:rsidRPr="00C56257">
              <w:rPr>
                <w:color w:val="000000" w:themeColor="text1"/>
                <w:sz w:val="24"/>
                <w:szCs w:val="24"/>
              </w:rPr>
              <w:t>agricolă (vegetală</w:t>
            </w:r>
            <w:r w:rsidRPr="00C56257">
              <w:rPr>
                <w:color w:val="000000" w:themeColor="text1"/>
                <w:spacing w:val="-52"/>
                <w:sz w:val="24"/>
                <w:szCs w:val="24"/>
              </w:rPr>
              <w:t xml:space="preserve"> </w:t>
            </w:r>
            <w:r w:rsidRPr="00C56257">
              <w:rPr>
                <w:color w:val="000000" w:themeColor="text1"/>
                <w:sz w:val="24"/>
                <w:szCs w:val="24"/>
              </w:rPr>
              <w:t>și animală)</w:t>
            </w:r>
          </w:p>
        </w:tc>
        <w:tc>
          <w:tcPr>
            <w:tcW w:w="4557" w:type="dxa"/>
          </w:tcPr>
          <w:p w14:paraId="7F592AAD" w14:textId="77777777" w:rsidR="00F07D5E" w:rsidRPr="00C56257" w:rsidRDefault="00F07D5E" w:rsidP="008E33FD">
            <w:pPr>
              <w:pStyle w:val="TableParagraph"/>
              <w:spacing w:line="242" w:lineRule="auto"/>
              <w:ind w:right="810"/>
              <w:jc w:val="both"/>
              <w:rPr>
                <w:color w:val="000000" w:themeColor="text1"/>
                <w:sz w:val="24"/>
                <w:szCs w:val="24"/>
              </w:rPr>
            </w:pPr>
            <w:r w:rsidRPr="00C56257">
              <w:rPr>
                <w:color w:val="000000" w:themeColor="text1"/>
                <w:sz w:val="24"/>
                <w:szCs w:val="24"/>
              </w:rPr>
              <w:t>Gestionarea (reducerea sau</w:t>
            </w:r>
            <w:r w:rsidRPr="00C56257">
              <w:rPr>
                <w:color w:val="000000" w:themeColor="text1"/>
                <w:spacing w:val="-52"/>
                <w:sz w:val="24"/>
                <w:szCs w:val="24"/>
              </w:rPr>
              <w:t xml:space="preserve"> </w:t>
            </w:r>
            <w:r w:rsidRPr="00C56257">
              <w:rPr>
                <w:color w:val="000000" w:themeColor="text1"/>
                <w:sz w:val="24"/>
                <w:szCs w:val="24"/>
              </w:rPr>
              <w:t>eliminarea)</w:t>
            </w:r>
            <w:r w:rsidRPr="00C56257">
              <w:rPr>
                <w:color w:val="000000" w:themeColor="text1"/>
                <w:spacing w:val="-1"/>
                <w:sz w:val="24"/>
                <w:szCs w:val="24"/>
              </w:rPr>
              <w:t xml:space="preserve"> </w:t>
            </w:r>
            <w:r w:rsidRPr="00C56257">
              <w:rPr>
                <w:color w:val="000000" w:themeColor="text1"/>
                <w:sz w:val="24"/>
                <w:szCs w:val="24"/>
              </w:rPr>
              <w:t>utilizării:</w:t>
            </w:r>
          </w:p>
          <w:p w14:paraId="1AC739FE" w14:textId="77777777" w:rsidR="00F07D5E" w:rsidRPr="00C56257" w:rsidRDefault="00F07D5E" w:rsidP="009E63E5">
            <w:pPr>
              <w:pStyle w:val="TableParagraph"/>
              <w:numPr>
                <w:ilvl w:val="0"/>
                <w:numId w:val="62"/>
              </w:numPr>
              <w:tabs>
                <w:tab w:val="left" w:pos="233"/>
              </w:tabs>
              <w:ind w:right="287" w:firstLine="0"/>
              <w:jc w:val="both"/>
              <w:rPr>
                <w:color w:val="000000" w:themeColor="text1"/>
                <w:sz w:val="24"/>
                <w:szCs w:val="24"/>
              </w:rPr>
            </w:pPr>
            <w:r w:rsidRPr="00C56257">
              <w:rPr>
                <w:color w:val="000000" w:themeColor="text1"/>
                <w:sz w:val="24"/>
                <w:szCs w:val="24"/>
              </w:rPr>
              <w:t>îngrășămintelor (de exemplu:</w:t>
            </w:r>
            <w:r w:rsidRPr="00C56257">
              <w:rPr>
                <w:color w:val="000000" w:themeColor="text1"/>
                <w:spacing w:val="1"/>
                <w:sz w:val="24"/>
                <w:szCs w:val="24"/>
              </w:rPr>
              <w:t xml:space="preserve"> </w:t>
            </w:r>
            <w:r w:rsidRPr="00C56257">
              <w:rPr>
                <w:color w:val="000000" w:themeColor="text1"/>
                <w:sz w:val="24"/>
                <w:szCs w:val="24"/>
              </w:rPr>
              <w:t>amendamente minerale, gunoi de</w:t>
            </w:r>
            <w:r w:rsidRPr="00C56257">
              <w:rPr>
                <w:color w:val="000000" w:themeColor="text1"/>
                <w:spacing w:val="-52"/>
                <w:sz w:val="24"/>
                <w:szCs w:val="24"/>
              </w:rPr>
              <w:t xml:space="preserve"> </w:t>
            </w:r>
            <w:r w:rsidRPr="00C56257">
              <w:rPr>
                <w:color w:val="000000" w:themeColor="text1"/>
                <w:sz w:val="24"/>
                <w:szCs w:val="24"/>
              </w:rPr>
              <w:t>grajd,</w:t>
            </w:r>
            <w:r w:rsidRPr="00C56257">
              <w:rPr>
                <w:color w:val="000000" w:themeColor="text1"/>
                <w:spacing w:val="-1"/>
                <w:sz w:val="24"/>
                <w:szCs w:val="24"/>
              </w:rPr>
              <w:t xml:space="preserve"> </w:t>
            </w:r>
            <w:r w:rsidRPr="00C56257">
              <w:rPr>
                <w:color w:val="000000" w:themeColor="text1"/>
                <w:sz w:val="24"/>
                <w:szCs w:val="24"/>
              </w:rPr>
              <w:t>nămol</w:t>
            </w:r>
            <w:r w:rsidRPr="00C56257">
              <w:rPr>
                <w:color w:val="000000" w:themeColor="text1"/>
                <w:spacing w:val="1"/>
                <w:sz w:val="24"/>
                <w:szCs w:val="24"/>
              </w:rPr>
              <w:t xml:space="preserve"> </w:t>
            </w:r>
            <w:r w:rsidRPr="00C56257">
              <w:rPr>
                <w:color w:val="000000" w:themeColor="text1"/>
                <w:sz w:val="24"/>
                <w:szCs w:val="24"/>
              </w:rPr>
              <w:t>biologic);</w:t>
            </w:r>
          </w:p>
          <w:p w14:paraId="68088496" w14:textId="77777777" w:rsidR="00F07D5E" w:rsidRPr="00C56257" w:rsidRDefault="00F07D5E" w:rsidP="009E63E5">
            <w:pPr>
              <w:pStyle w:val="TableParagraph"/>
              <w:numPr>
                <w:ilvl w:val="0"/>
                <w:numId w:val="62"/>
              </w:numPr>
              <w:tabs>
                <w:tab w:val="left" w:pos="233"/>
              </w:tabs>
              <w:ind w:right="145" w:firstLine="0"/>
              <w:jc w:val="both"/>
              <w:rPr>
                <w:color w:val="000000" w:themeColor="text1"/>
                <w:sz w:val="24"/>
                <w:szCs w:val="24"/>
              </w:rPr>
            </w:pPr>
            <w:r w:rsidRPr="00C56257">
              <w:rPr>
                <w:color w:val="000000" w:themeColor="text1"/>
                <w:sz w:val="24"/>
                <w:szCs w:val="24"/>
              </w:rPr>
              <w:t>pesticidelor,fungicidelor,</w:t>
            </w:r>
            <w:r w:rsidRPr="00C56257">
              <w:rPr>
                <w:color w:val="000000" w:themeColor="text1"/>
                <w:spacing w:val="1"/>
                <w:sz w:val="24"/>
                <w:szCs w:val="24"/>
              </w:rPr>
              <w:t xml:space="preserve"> </w:t>
            </w:r>
            <w:r w:rsidRPr="00C56257">
              <w:rPr>
                <w:color w:val="000000" w:themeColor="text1"/>
                <w:sz w:val="24"/>
                <w:szCs w:val="24"/>
              </w:rPr>
              <w:t>substanțelor de tratare</w:t>
            </w:r>
            <w:r w:rsidRPr="00C56257">
              <w:rPr>
                <w:color w:val="000000" w:themeColor="text1"/>
                <w:spacing w:val="1"/>
                <w:sz w:val="24"/>
                <w:szCs w:val="24"/>
              </w:rPr>
              <w:t xml:space="preserve"> </w:t>
            </w:r>
            <w:r w:rsidRPr="00C56257">
              <w:rPr>
                <w:color w:val="000000" w:themeColor="text1"/>
                <w:sz w:val="24"/>
                <w:szCs w:val="24"/>
              </w:rPr>
              <w:t>a</w:t>
            </w:r>
            <w:r w:rsidRPr="00C56257">
              <w:rPr>
                <w:color w:val="000000" w:themeColor="text1"/>
                <w:spacing w:val="1"/>
                <w:sz w:val="24"/>
                <w:szCs w:val="24"/>
              </w:rPr>
              <w:t xml:space="preserve"> </w:t>
            </w:r>
            <w:r w:rsidRPr="00C56257">
              <w:rPr>
                <w:color w:val="000000" w:themeColor="text1"/>
                <w:sz w:val="24"/>
                <w:szCs w:val="24"/>
              </w:rPr>
              <w:t>semințelor, a erbicidelor, agenților</w:t>
            </w:r>
            <w:r w:rsidRPr="00C56257">
              <w:rPr>
                <w:color w:val="000000" w:themeColor="text1"/>
                <w:spacing w:val="-52"/>
                <w:sz w:val="24"/>
                <w:szCs w:val="24"/>
              </w:rPr>
              <w:t xml:space="preserve"> </w:t>
            </w:r>
            <w:r w:rsidRPr="00C56257">
              <w:rPr>
                <w:color w:val="000000" w:themeColor="text1"/>
                <w:sz w:val="24"/>
                <w:szCs w:val="24"/>
              </w:rPr>
              <w:t>de</w:t>
            </w:r>
            <w:r w:rsidRPr="00C56257">
              <w:rPr>
                <w:color w:val="000000" w:themeColor="text1"/>
                <w:spacing w:val="-3"/>
                <w:sz w:val="24"/>
                <w:szCs w:val="24"/>
              </w:rPr>
              <w:t xml:space="preserve"> </w:t>
            </w:r>
            <w:r w:rsidRPr="00C56257">
              <w:rPr>
                <w:color w:val="000000" w:themeColor="text1"/>
                <w:sz w:val="24"/>
                <w:szCs w:val="24"/>
              </w:rPr>
              <w:t>întârziere</w:t>
            </w:r>
            <w:r w:rsidRPr="00C56257">
              <w:rPr>
                <w:color w:val="000000" w:themeColor="text1"/>
                <w:spacing w:val="-5"/>
                <w:sz w:val="24"/>
                <w:szCs w:val="24"/>
              </w:rPr>
              <w:t xml:space="preserve"> </w:t>
            </w:r>
            <w:r w:rsidRPr="00C56257">
              <w:rPr>
                <w:color w:val="000000" w:themeColor="text1"/>
                <w:sz w:val="24"/>
                <w:szCs w:val="24"/>
              </w:rPr>
              <w:t>a</w:t>
            </w:r>
            <w:r w:rsidRPr="00C56257">
              <w:rPr>
                <w:color w:val="000000" w:themeColor="text1"/>
                <w:spacing w:val="-2"/>
                <w:sz w:val="24"/>
                <w:szCs w:val="24"/>
              </w:rPr>
              <w:t xml:space="preserve"> </w:t>
            </w:r>
            <w:r w:rsidRPr="00C56257">
              <w:rPr>
                <w:color w:val="000000" w:themeColor="text1"/>
                <w:sz w:val="24"/>
                <w:szCs w:val="24"/>
              </w:rPr>
              <w:t>creșterii,</w:t>
            </w:r>
            <w:r w:rsidRPr="00C56257">
              <w:rPr>
                <w:color w:val="000000" w:themeColor="text1"/>
                <w:spacing w:val="-3"/>
                <w:sz w:val="24"/>
                <w:szCs w:val="24"/>
              </w:rPr>
              <w:t xml:space="preserve"> </w:t>
            </w:r>
            <w:r w:rsidRPr="00C56257">
              <w:rPr>
                <w:color w:val="000000" w:themeColor="text1"/>
                <w:sz w:val="24"/>
                <w:szCs w:val="24"/>
              </w:rPr>
              <w:t>hormoni</w:t>
            </w:r>
            <w:r w:rsidRPr="00C56257">
              <w:rPr>
                <w:color w:val="000000" w:themeColor="text1"/>
                <w:spacing w:val="-2"/>
                <w:sz w:val="24"/>
                <w:szCs w:val="24"/>
              </w:rPr>
              <w:t xml:space="preserve"> </w:t>
            </w:r>
            <w:r w:rsidRPr="00C56257">
              <w:rPr>
                <w:color w:val="000000" w:themeColor="text1"/>
                <w:sz w:val="24"/>
                <w:szCs w:val="24"/>
              </w:rPr>
              <w:t>și</w:t>
            </w:r>
            <w:r w:rsidRPr="00C56257">
              <w:rPr>
                <w:color w:val="000000" w:themeColor="text1"/>
                <w:spacing w:val="-52"/>
                <w:sz w:val="24"/>
                <w:szCs w:val="24"/>
              </w:rPr>
              <w:t xml:space="preserve"> </w:t>
            </w:r>
            <w:r w:rsidRPr="00C56257">
              <w:rPr>
                <w:color w:val="000000" w:themeColor="text1"/>
                <w:sz w:val="24"/>
                <w:szCs w:val="24"/>
              </w:rPr>
              <w:t>alte substanțe chimice utilizate în</w:t>
            </w:r>
            <w:r w:rsidRPr="00C56257">
              <w:rPr>
                <w:color w:val="000000" w:themeColor="text1"/>
                <w:spacing w:val="1"/>
                <w:sz w:val="24"/>
                <w:szCs w:val="24"/>
              </w:rPr>
              <w:t xml:space="preserve"> </w:t>
            </w:r>
            <w:r w:rsidRPr="00C56257">
              <w:rPr>
                <w:color w:val="000000" w:themeColor="text1"/>
                <w:sz w:val="24"/>
                <w:szCs w:val="24"/>
              </w:rPr>
              <w:t>producția</w:t>
            </w:r>
            <w:r w:rsidRPr="00C56257">
              <w:rPr>
                <w:color w:val="000000" w:themeColor="text1"/>
                <w:spacing w:val="-1"/>
                <w:sz w:val="24"/>
                <w:szCs w:val="24"/>
              </w:rPr>
              <w:t xml:space="preserve"> </w:t>
            </w:r>
            <w:r w:rsidRPr="00C56257">
              <w:rPr>
                <w:color w:val="000000" w:themeColor="text1"/>
                <w:sz w:val="24"/>
                <w:szCs w:val="24"/>
              </w:rPr>
              <w:t>de</w:t>
            </w:r>
            <w:r w:rsidRPr="00C56257">
              <w:rPr>
                <w:color w:val="000000" w:themeColor="text1"/>
                <w:spacing w:val="-2"/>
                <w:sz w:val="24"/>
                <w:szCs w:val="24"/>
              </w:rPr>
              <w:t xml:space="preserve"> </w:t>
            </w:r>
            <w:r w:rsidRPr="00C56257">
              <w:rPr>
                <w:color w:val="000000" w:themeColor="text1"/>
                <w:sz w:val="24"/>
                <w:szCs w:val="24"/>
              </w:rPr>
              <w:t>plante;</w:t>
            </w:r>
          </w:p>
          <w:p w14:paraId="29D35AFD" w14:textId="77777777" w:rsidR="00F07D5E" w:rsidRPr="00C56257" w:rsidRDefault="00F07D5E" w:rsidP="009E63E5">
            <w:pPr>
              <w:pStyle w:val="TableParagraph"/>
              <w:numPr>
                <w:ilvl w:val="0"/>
                <w:numId w:val="62"/>
              </w:numPr>
              <w:tabs>
                <w:tab w:val="left" w:pos="233"/>
              </w:tabs>
              <w:ind w:right="141" w:firstLine="0"/>
              <w:jc w:val="both"/>
              <w:rPr>
                <w:color w:val="000000" w:themeColor="text1"/>
                <w:sz w:val="24"/>
                <w:szCs w:val="24"/>
              </w:rPr>
            </w:pPr>
            <w:r w:rsidRPr="00C56257">
              <w:rPr>
                <w:color w:val="000000" w:themeColor="text1"/>
                <w:sz w:val="24"/>
                <w:szCs w:val="24"/>
              </w:rPr>
              <w:t>rodenticidelor și a altor produse</w:t>
            </w:r>
            <w:r w:rsidRPr="00C56257">
              <w:rPr>
                <w:color w:val="000000" w:themeColor="text1"/>
                <w:spacing w:val="1"/>
                <w:sz w:val="24"/>
                <w:szCs w:val="24"/>
              </w:rPr>
              <w:t xml:space="preserve"> </w:t>
            </w:r>
            <w:r w:rsidRPr="00C56257">
              <w:rPr>
                <w:color w:val="000000" w:themeColor="text1"/>
                <w:sz w:val="24"/>
                <w:szCs w:val="24"/>
              </w:rPr>
              <w:t>pentru controlul dăunătorilor;</w:t>
            </w:r>
            <w:r w:rsidRPr="00C56257">
              <w:rPr>
                <w:color w:val="000000" w:themeColor="text1"/>
                <w:spacing w:val="1"/>
                <w:sz w:val="24"/>
                <w:szCs w:val="24"/>
              </w:rPr>
              <w:t xml:space="preserve"> </w:t>
            </w:r>
            <w:r w:rsidRPr="00C56257">
              <w:rPr>
                <w:color w:val="000000" w:themeColor="text1"/>
                <w:sz w:val="24"/>
                <w:szCs w:val="24"/>
              </w:rPr>
              <w:t>viermicidelor și a altor produse</w:t>
            </w:r>
            <w:r w:rsidRPr="00C56257">
              <w:rPr>
                <w:color w:val="000000" w:themeColor="text1"/>
                <w:spacing w:val="1"/>
                <w:sz w:val="24"/>
                <w:szCs w:val="24"/>
              </w:rPr>
              <w:t xml:space="preserve"> </w:t>
            </w:r>
            <w:r w:rsidRPr="00C56257">
              <w:rPr>
                <w:color w:val="000000" w:themeColor="text1"/>
                <w:sz w:val="24"/>
                <w:szCs w:val="24"/>
              </w:rPr>
              <w:t>veterinare folosite în producția</w:t>
            </w:r>
            <w:r w:rsidRPr="00C56257">
              <w:rPr>
                <w:color w:val="000000" w:themeColor="text1"/>
                <w:spacing w:val="1"/>
                <w:sz w:val="24"/>
                <w:szCs w:val="24"/>
              </w:rPr>
              <w:t xml:space="preserve"> </w:t>
            </w:r>
            <w:r w:rsidRPr="00C56257">
              <w:rPr>
                <w:color w:val="000000" w:themeColor="text1"/>
                <w:sz w:val="24"/>
                <w:szCs w:val="24"/>
              </w:rPr>
              <w:t>animală (ca de exemplu diclofenac</w:t>
            </w:r>
            <w:r w:rsidRPr="00C56257">
              <w:rPr>
                <w:color w:val="000000" w:themeColor="text1"/>
                <w:spacing w:val="-52"/>
                <w:sz w:val="24"/>
                <w:szCs w:val="24"/>
              </w:rPr>
              <w:t xml:space="preserve"> </w:t>
            </w:r>
            <w:r w:rsidRPr="00C56257">
              <w:rPr>
                <w:color w:val="000000" w:themeColor="text1"/>
                <w:sz w:val="24"/>
                <w:szCs w:val="24"/>
              </w:rPr>
              <w:t>și / sau alte produse veterinare</w:t>
            </w:r>
            <w:r w:rsidRPr="00C56257">
              <w:rPr>
                <w:color w:val="000000" w:themeColor="text1"/>
                <w:spacing w:val="1"/>
                <w:sz w:val="24"/>
                <w:szCs w:val="24"/>
              </w:rPr>
              <w:t xml:space="preserve"> </w:t>
            </w:r>
            <w:r w:rsidRPr="00C56257">
              <w:rPr>
                <w:color w:val="000000" w:themeColor="text1"/>
                <w:sz w:val="24"/>
                <w:szCs w:val="24"/>
              </w:rPr>
              <w:t>similare).</w:t>
            </w:r>
          </w:p>
          <w:p w14:paraId="2C56765A" w14:textId="77777777" w:rsidR="00F07D5E" w:rsidRPr="00C56257" w:rsidRDefault="00F07D5E" w:rsidP="008E33FD">
            <w:pPr>
              <w:pStyle w:val="TableParagraph"/>
              <w:ind w:right="241"/>
              <w:jc w:val="both"/>
              <w:rPr>
                <w:color w:val="000000" w:themeColor="text1"/>
                <w:sz w:val="24"/>
                <w:szCs w:val="24"/>
              </w:rPr>
            </w:pPr>
            <w:r w:rsidRPr="00C56257">
              <w:rPr>
                <w:color w:val="000000" w:themeColor="text1"/>
                <w:sz w:val="24"/>
                <w:szCs w:val="24"/>
              </w:rPr>
              <w:t>De asemenea, această măsură</w:t>
            </w:r>
            <w:r w:rsidRPr="00C56257">
              <w:rPr>
                <w:color w:val="000000" w:themeColor="text1"/>
                <w:spacing w:val="1"/>
                <w:sz w:val="24"/>
                <w:szCs w:val="24"/>
              </w:rPr>
              <w:t xml:space="preserve"> </w:t>
            </w:r>
            <w:r w:rsidRPr="00C56257">
              <w:rPr>
                <w:color w:val="000000" w:themeColor="text1"/>
                <w:sz w:val="24"/>
                <w:szCs w:val="24"/>
              </w:rPr>
              <w:t>include dezvoltarea și menținerea</w:t>
            </w:r>
            <w:r w:rsidRPr="00C56257">
              <w:rPr>
                <w:color w:val="000000" w:themeColor="text1"/>
                <w:spacing w:val="-53"/>
                <w:sz w:val="24"/>
                <w:szCs w:val="24"/>
              </w:rPr>
              <w:t xml:space="preserve"> </w:t>
            </w:r>
            <w:r w:rsidRPr="00C56257">
              <w:rPr>
                <w:color w:val="000000" w:themeColor="text1"/>
                <w:sz w:val="24"/>
                <w:szCs w:val="24"/>
              </w:rPr>
              <w:t>măsurilor de conservare a</w:t>
            </w:r>
            <w:r w:rsidRPr="00C56257">
              <w:rPr>
                <w:color w:val="000000" w:themeColor="text1"/>
                <w:spacing w:val="1"/>
                <w:sz w:val="24"/>
                <w:szCs w:val="24"/>
              </w:rPr>
              <w:t xml:space="preserve"> </w:t>
            </w:r>
            <w:r w:rsidRPr="00C56257">
              <w:rPr>
                <w:color w:val="000000" w:themeColor="text1"/>
                <w:sz w:val="24"/>
                <w:szCs w:val="24"/>
              </w:rPr>
              <w:t>promontorilor (capurilor, micilor</w:t>
            </w:r>
            <w:r w:rsidRPr="00C56257">
              <w:rPr>
                <w:color w:val="000000" w:themeColor="text1"/>
                <w:spacing w:val="-52"/>
                <w:sz w:val="24"/>
                <w:szCs w:val="24"/>
              </w:rPr>
              <w:t xml:space="preserve"> </w:t>
            </w:r>
            <w:r w:rsidRPr="00C56257">
              <w:rPr>
                <w:color w:val="000000" w:themeColor="text1"/>
                <w:sz w:val="24"/>
                <w:szCs w:val="24"/>
              </w:rPr>
              <w:t>peninsule)</w:t>
            </w:r>
            <w:r w:rsidRPr="00C56257">
              <w:rPr>
                <w:color w:val="000000" w:themeColor="text1"/>
                <w:spacing w:val="-2"/>
                <w:sz w:val="24"/>
                <w:szCs w:val="24"/>
              </w:rPr>
              <w:t xml:space="preserve"> </w:t>
            </w:r>
            <w:r w:rsidRPr="00C56257">
              <w:rPr>
                <w:color w:val="000000" w:themeColor="text1"/>
                <w:sz w:val="24"/>
                <w:szCs w:val="24"/>
              </w:rPr>
              <w:t>sau</w:t>
            </w:r>
            <w:r w:rsidRPr="00C56257">
              <w:rPr>
                <w:color w:val="000000" w:themeColor="text1"/>
                <w:spacing w:val="-1"/>
                <w:sz w:val="24"/>
                <w:szCs w:val="24"/>
              </w:rPr>
              <w:t xml:space="preserve"> </w:t>
            </w:r>
            <w:r w:rsidRPr="00C56257">
              <w:rPr>
                <w:color w:val="000000" w:themeColor="text1"/>
                <w:sz w:val="24"/>
                <w:szCs w:val="24"/>
              </w:rPr>
              <w:t>a marginilor</w:t>
            </w:r>
            <w:r w:rsidRPr="00C56257">
              <w:rPr>
                <w:color w:val="000000" w:themeColor="text1"/>
                <w:spacing w:val="-3"/>
                <w:sz w:val="24"/>
                <w:szCs w:val="24"/>
              </w:rPr>
              <w:t xml:space="preserve"> </w:t>
            </w:r>
            <w:r w:rsidRPr="00C56257">
              <w:rPr>
                <w:color w:val="000000" w:themeColor="text1"/>
                <w:sz w:val="24"/>
                <w:szCs w:val="24"/>
              </w:rPr>
              <w:t>de</w:t>
            </w:r>
          </w:p>
          <w:p w14:paraId="0C071764" w14:textId="77777777" w:rsidR="00F07D5E" w:rsidRPr="00C56257" w:rsidRDefault="00F07D5E" w:rsidP="008E33FD">
            <w:pPr>
              <w:pStyle w:val="TableParagraph"/>
              <w:spacing w:line="238" w:lineRule="exact"/>
              <w:jc w:val="both"/>
              <w:rPr>
                <w:color w:val="000000" w:themeColor="text1"/>
                <w:sz w:val="24"/>
                <w:szCs w:val="24"/>
              </w:rPr>
            </w:pPr>
            <w:r w:rsidRPr="00C56257">
              <w:rPr>
                <w:color w:val="000000" w:themeColor="text1"/>
                <w:sz w:val="24"/>
                <w:szCs w:val="24"/>
              </w:rPr>
              <w:t>ogoare</w:t>
            </w:r>
            <w:r w:rsidRPr="00C56257">
              <w:rPr>
                <w:color w:val="000000" w:themeColor="text1"/>
                <w:spacing w:val="-1"/>
                <w:sz w:val="24"/>
                <w:szCs w:val="24"/>
              </w:rPr>
              <w:t xml:space="preserve"> </w:t>
            </w:r>
            <w:r w:rsidRPr="00C56257">
              <w:rPr>
                <w:color w:val="000000" w:themeColor="text1"/>
                <w:sz w:val="24"/>
                <w:szCs w:val="24"/>
              </w:rPr>
              <w:t>(a</w:t>
            </w:r>
            <w:r w:rsidRPr="00C56257">
              <w:rPr>
                <w:color w:val="000000" w:themeColor="text1"/>
                <w:spacing w:val="-3"/>
                <w:sz w:val="24"/>
                <w:szCs w:val="24"/>
              </w:rPr>
              <w:t xml:space="preserve"> </w:t>
            </w:r>
            <w:r w:rsidRPr="00C56257">
              <w:rPr>
                <w:color w:val="000000" w:themeColor="text1"/>
                <w:sz w:val="24"/>
                <w:szCs w:val="24"/>
              </w:rPr>
              <w:t>haturilor).</w:t>
            </w:r>
          </w:p>
        </w:tc>
        <w:tc>
          <w:tcPr>
            <w:tcW w:w="1710" w:type="dxa"/>
          </w:tcPr>
          <w:p w14:paraId="07190FC1" w14:textId="77777777" w:rsidR="00F07D5E" w:rsidRPr="00C56257" w:rsidRDefault="00F07D5E" w:rsidP="008E33FD">
            <w:pPr>
              <w:pStyle w:val="TableParagraph"/>
              <w:jc w:val="both"/>
              <w:rPr>
                <w:color w:val="000000" w:themeColor="text1"/>
                <w:sz w:val="24"/>
                <w:szCs w:val="24"/>
              </w:rPr>
            </w:pPr>
          </w:p>
          <w:p w14:paraId="677E09F8" w14:textId="77777777" w:rsidR="00F07D5E" w:rsidRPr="00C56257" w:rsidRDefault="00F07D5E" w:rsidP="008E33FD">
            <w:pPr>
              <w:pStyle w:val="TableParagraph"/>
              <w:jc w:val="both"/>
              <w:rPr>
                <w:color w:val="000000" w:themeColor="text1"/>
                <w:sz w:val="24"/>
                <w:szCs w:val="24"/>
              </w:rPr>
            </w:pPr>
          </w:p>
          <w:p w14:paraId="69516B66" w14:textId="77777777" w:rsidR="00F07D5E" w:rsidRPr="00C56257" w:rsidRDefault="00F07D5E" w:rsidP="008E33FD">
            <w:pPr>
              <w:pStyle w:val="TableParagraph"/>
              <w:jc w:val="both"/>
              <w:rPr>
                <w:color w:val="000000" w:themeColor="text1"/>
                <w:sz w:val="24"/>
                <w:szCs w:val="24"/>
              </w:rPr>
            </w:pPr>
          </w:p>
          <w:p w14:paraId="73920F01" w14:textId="77777777" w:rsidR="00F07D5E" w:rsidRPr="00C56257" w:rsidRDefault="00F07D5E" w:rsidP="008E33FD">
            <w:pPr>
              <w:pStyle w:val="TableParagraph"/>
              <w:jc w:val="both"/>
              <w:rPr>
                <w:color w:val="000000" w:themeColor="text1"/>
                <w:sz w:val="24"/>
                <w:szCs w:val="24"/>
              </w:rPr>
            </w:pPr>
          </w:p>
          <w:p w14:paraId="4556893B" w14:textId="77777777" w:rsidR="00F07D5E" w:rsidRPr="00C56257" w:rsidRDefault="00F07D5E" w:rsidP="008E33FD">
            <w:pPr>
              <w:pStyle w:val="TableParagraph"/>
              <w:jc w:val="both"/>
              <w:rPr>
                <w:color w:val="000000" w:themeColor="text1"/>
                <w:sz w:val="24"/>
                <w:szCs w:val="24"/>
              </w:rPr>
            </w:pPr>
          </w:p>
          <w:p w14:paraId="23DB7D9E" w14:textId="77777777" w:rsidR="00F07D5E" w:rsidRPr="00C56257" w:rsidRDefault="00F07D5E" w:rsidP="008E33FD">
            <w:pPr>
              <w:pStyle w:val="TableParagraph"/>
              <w:jc w:val="both"/>
              <w:rPr>
                <w:color w:val="000000" w:themeColor="text1"/>
                <w:sz w:val="24"/>
                <w:szCs w:val="24"/>
              </w:rPr>
            </w:pPr>
          </w:p>
          <w:p w14:paraId="366EE06E" w14:textId="77777777" w:rsidR="00F07D5E" w:rsidRPr="00C56257" w:rsidRDefault="00F07D5E" w:rsidP="008E33FD">
            <w:pPr>
              <w:pStyle w:val="TableParagraph"/>
              <w:jc w:val="both"/>
              <w:rPr>
                <w:color w:val="000000" w:themeColor="text1"/>
                <w:sz w:val="24"/>
                <w:szCs w:val="24"/>
              </w:rPr>
            </w:pPr>
          </w:p>
          <w:p w14:paraId="56A4A11E" w14:textId="77777777" w:rsidR="00F07D5E" w:rsidRPr="00C56257" w:rsidRDefault="00F07D5E" w:rsidP="008E33FD">
            <w:pPr>
              <w:pStyle w:val="TableParagraph"/>
              <w:jc w:val="both"/>
              <w:rPr>
                <w:color w:val="000000" w:themeColor="text1"/>
                <w:sz w:val="24"/>
                <w:szCs w:val="24"/>
              </w:rPr>
            </w:pPr>
          </w:p>
          <w:p w14:paraId="04C5EED8" w14:textId="77777777" w:rsidR="00F07D5E" w:rsidRPr="00C56257" w:rsidRDefault="00F07D5E" w:rsidP="008E33FD">
            <w:pPr>
              <w:pStyle w:val="TableParagraph"/>
              <w:jc w:val="both"/>
              <w:rPr>
                <w:color w:val="000000" w:themeColor="text1"/>
                <w:sz w:val="24"/>
                <w:szCs w:val="24"/>
              </w:rPr>
            </w:pPr>
          </w:p>
          <w:p w14:paraId="38687A02" w14:textId="77777777" w:rsidR="00F07D5E" w:rsidRPr="00C56257" w:rsidRDefault="00F07D5E" w:rsidP="008E33FD">
            <w:pPr>
              <w:pStyle w:val="TableParagraph"/>
              <w:spacing w:before="6"/>
              <w:jc w:val="both"/>
              <w:rPr>
                <w:color w:val="000000" w:themeColor="text1"/>
                <w:sz w:val="24"/>
                <w:szCs w:val="24"/>
              </w:rPr>
            </w:pPr>
          </w:p>
          <w:p w14:paraId="1B1D78A5" w14:textId="77777777" w:rsidR="00F07D5E" w:rsidRPr="00C56257" w:rsidRDefault="00F07D5E" w:rsidP="008E33FD">
            <w:pPr>
              <w:pStyle w:val="TableParagraph"/>
              <w:ind w:left="105" w:right="130"/>
              <w:jc w:val="both"/>
              <w:rPr>
                <w:color w:val="000000" w:themeColor="text1"/>
                <w:sz w:val="24"/>
                <w:szCs w:val="24"/>
              </w:rPr>
            </w:pPr>
            <w:r w:rsidRPr="00C56257">
              <w:rPr>
                <w:color w:val="000000" w:themeColor="text1"/>
                <w:sz w:val="24"/>
                <w:szCs w:val="24"/>
              </w:rPr>
              <w:t>A14 parțial, A19,</w:t>
            </w:r>
            <w:r w:rsidRPr="00C56257">
              <w:rPr>
                <w:color w:val="000000" w:themeColor="text1"/>
                <w:spacing w:val="-52"/>
                <w:sz w:val="24"/>
                <w:szCs w:val="24"/>
              </w:rPr>
              <w:t xml:space="preserve"> </w:t>
            </w:r>
            <w:r w:rsidRPr="00C56257">
              <w:rPr>
                <w:color w:val="000000" w:themeColor="text1"/>
                <w:sz w:val="24"/>
                <w:szCs w:val="24"/>
              </w:rPr>
              <w:t>A20,</w:t>
            </w:r>
            <w:r w:rsidRPr="00C56257">
              <w:rPr>
                <w:color w:val="000000" w:themeColor="text1"/>
                <w:spacing w:val="-1"/>
                <w:sz w:val="24"/>
                <w:szCs w:val="24"/>
              </w:rPr>
              <w:t xml:space="preserve"> </w:t>
            </w:r>
            <w:r w:rsidRPr="00C56257">
              <w:rPr>
                <w:color w:val="000000" w:themeColor="text1"/>
                <w:sz w:val="24"/>
                <w:szCs w:val="24"/>
              </w:rPr>
              <w:t>A21</w:t>
            </w:r>
          </w:p>
        </w:tc>
      </w:tr>
      <w:tr w:rsidR="00F07D5E" w:rsidRPr="00C56257" w14:paraId="7589B71A" w14:textId="77777777" w:rsidTr="00F07D5E">
        <w:trPr>
          <w:trHeight w:val="2784"/>
        </w:trPr>
        <w:tc>
          <w:tcPr>
            <w:tcW w:w="708" w:type="dxa"/>
          </w:tcPr>
          <w:p w14:paraId="1970AD9D" w14:textId="77777777" w:rsidR="00F07D5E" w:rsidRPr="00C56257" w:rsidRDefault="00F07D5E" w:rsidP="008E33FD">
            <w:pPr>
              <w:pStyle w:val="TableParagraph"/>
              <w:spacing w:line="247" w:lineRule="exact"/>
              <w:ind w:right="62"/>
              <w:jc w:val="both"/>
              <w:rPr>
                <w:color w:val="000000" w:themeColor="text1"/>
                <w:sz w:val="24"/>
                <w:szCs w:val="24"/>
              </w:rPr>
            </w:pPr>
            <w:r w:rsidRPr="00C56257">
              <w:rPr>
                <w:color w:val="000000" w:themeColor="text1"/>
                <w:sz w:val="24"/>
                <w:szCs w:val="24"/>
              </w:rPr>
              <w:t>3.</w:t>
            </w:r>
          </w:p>
        </w:tc>
        <w:tc>
          <w:tcPr>
            <w:tcW w:w="1020" w:type="dxa"/>
          </w:tcPr>
          <w:p w14:paraId="12C12EA3" w14:textId="77777777" w:rsidR="00F07D5E" w:rsidRPr="00C56257" w:rsidRDefault="00F07D5E" w:rsidP="008E33FD">
            <w:pPr>
              <w:pStyle w:val="TableParagraph"/>
              <w:jc w:val="both"/>
              <w:rPr>
                <w:color w:val="000000" w:themeColor="text1"/>
                <w:sz w:val="24"/>
                <w:szCs w:val="24"/>
              </w:rPr>
            </w:pPr>
          </w:p>
          <w:p w14:paraId="1826EB73" w14:textId="77777777" w:rsidR="00F07D5E" w:rsidRPr="00C56257" w:rsidRDefault="00F07D5E" w:rsidP="008E33FD">
            <w:pPr>
              <w:pStyle w:val="TableParagraph"/>
              <w:jc w:val="both"/>
              <w:rPr>
                <w:color w:val="000000" w:themeColor="text1"/>
                <w:sz w:val="24"/>
                <w:szCs w:val="24"/>
              </w:rPr>
            </w:pPr>
          </w:p>
          <w:p w14:paraId="28235227" w14:textId="77777777" w:rsidR="00F07D5E" w:rsidRPr="00C56257" w:rsidRDefault="00F07D5E" w:rsidP="008E33FD">
            <w:pPr>
              <w:pStyle w:val="TableParagraph"/>
              <w:jc w:val="both"/>
              <w:rPr>
                <w:color w:val="000000" w:themeColor="text1"/>
                <w:sz w:val="24"/>
                <w:szCs w:val="24"/>
              </w:rPr>
            </w:pPr>
          </w:p>
          <w:p w14:paraId="6E135E8F" w14:textId="77777777" w:rsidR="00F07D5E" w:rsidRPr="00C56257" w:rsidRDefault="00F07D5E" w:rsidP="008E33FD">
            <w:pPr>
              <w:pStyle w:val="TableParagraph"/>
              <w:jc w:val="both"/>
              <w:rPr>
                <w:color w:val="000000" w:themeColor="text1"/>
                <w:sz w:val="24"/>
                <w:szCs w:val="24"/>
              </w:rPr>
            </w:pPr>
          </w:p>
          <w:p w14:paraId="781F7D38" w14:textId="77777777" w:rsidR="00F07D5E" w:rsidRPr="00C56257" w:rsidRDefault="00F07D5E" w:rsidP="008E33FD">
            <w:pPr>
              <w:pStyle w:val="TableParagraph"/>
              <w:spacing w:before="155"/>
              <w:ind w:left="224" w:right="217"/>
              <w:jc w:val="both"/>
              <w:rPr>
                <w:color w:val="000000" w:themeColor="text1"/>
                <w:sz w:val="24"/>
                <w:szCs w:val="24"/>
              </w:rPr>
            </w:pPr>
            <w:r w:rsidRPr="00C56257">
              <w:rPr>
                <w:color w:val="000000" w:themeColor="text1"/>
                <w:sz w:val="24"/>
                <w:szCs w:val="24"/>
              </w:rPr>
              <w:t>CB04</w:t>
            </w:r>
          </w:p>
        </w:tc>
        <w:tc>
          <w:tcPr>
            <w:tcW w:w="1803" w:type="dxa"/>
          </w:tcPr>
          <w:p w14:paraId="6B13D57C" w14:textId="77777777" w:rsidR="00F07D5E" w:rsidRPr="00C56257" w:rsidRDefault="00F07D5E" w:rsidP="008E33FD">
            <w:pPr>
              <w:pStyle w:val="TableParagraph"/>
              <w:jc w:val="both"/>
              <w:rPr>
                <w:color w:val="000000" w:themeColor="text1"/>
                <w:sz w:val="24"/>
                <w:szCs w:val="24"/>
              </w:rPr>
            </w:pPr>
          </w:p>
          <w:p w14:paraId="72F1F7E5" w14:textId="77777777" w:rsidR="00F07D5E" w:rsidRPr="00C56257" w:rsidRDefault="00F07D5E" w:rsidP="008E33FD">
            <w:pPr>
              <w:pStyle w:val="TableParagraph"/>
              <w:jc w:val="both"/>
              <w:rPr>
                <w:color w:val="000000" w:themeColor="text1"/>
                <w:sz w:val="24"/>
                <w:szCs w:val="24"/>
              </w:rPr>
            </w:pPr>
          </w:p>
          <w:p w14:paraId="47C00427" w14:textId="77777777" w:rsidR="00F07D5E" w:rsidRPr="00C56257" w:rsidRDefault="00F07D5E" w:rsidP="008E33FD">
            <w:pPr>
              <w:pStyle w:val="TableParagraph"/>
              <w:spacing w:before="200"/>
              <w:ind w:right="150"/>
              <w:jc w:val="both"/>
              <w:rPr>
                <w:color w:val="000000" w:themeColor="text1"/>
                <w:sz w:val="24"/>
                <w:szCs w:val="24"/>
              </w:rPr>
            </w:pPr>
            <w:r w:rsidRPr="00C56257">
              <w:rPr>
                <w:color w:val="000000" w:themeColor="text1"/>
                <w:sz w:val="24"/>
                <w:szCs w:val="24"/>
              </w:rPr>
              <w:t>Adaptarea/gestio</w:t>
            </w:r>
            <w:r w:rsidRPr="00C56257">
              <w:rPr>
                <w:color w:val="000000" w:themeColor="text1"/>
                <w:spacing w:val="-52"/>
                <w:sz w:val="24"/>
                <w:szCs w:val="24"/>
              </w:rPr>
              <w:t xml:space="preserve"> </w:t>
            </w:r>
            <w:r w:rsidRPr="00C56257">
              <w:rPr>
                <w:color w:val="000000" w:themeColor="text1"/>
                <w:sz w:val="24"/>
                <w:szCs w:val="24"/>
              </w:rPr>
              <w:t>narea</w:t>
            </w:r>
            <w:r w:rsidRPr="00C56257">
              <w:rPr>
                <w:color w:val="000000" w:themeColor="text1"/>
                <w:spacing w:val="1"/>
                <w:sz w:val="24"/>
                <w:szCs w:val="24"/>
              </w:rPr>
              <w:t xml:space="preserve"> </w:t>
            </w:r>
            <w:r w:rsidRPr="00C56257">
              <w:rPr>
                <w:color w:val="000000" w:themeColor="text1"/>
                <w:sz w:val="24"/>
                <w:szCs w:val="24"/>
              </w:rPr>
              <w:t>reîmpăduririi și a</w:t>
            </w:r>
            <w:r w:rsidRPr="00C56257">
              <w:rPr>
                <w:color w:val="000000" w:themeColor="text1"/>
                <w:spacing w:val="-53"/>
                <w:sz w:val="24"/>
                <w:szCs w:val="24"/>
              </w:rPr>
              <w:t xml:space="preserve"> </w:t>
            </w:r>
            <w:r w:rsidRPr="00C56257">
              <w:rPr>
                <w:color w:val="000000" w:themeColor="text1"/>
                <w:sz w:val="24"/>
                <w:szCs w:val="24"/>
              </w:rPr>
              <w:t>regenerării</w:t>
            </w:r>
            <w:r w:rsidRPr="00C56257">
              <w:rPr>
                <w:color w:val="000000" w:themeColor="text1"/>
                <w:spacing w:val="1"/>
                <w:sz w:val="24"/>
                <w:szCs w:val="24"/>
              </w:rPr>
              <w:t xml:space="preserve"> </w:t>
            </w:r>
            <w:r w:rsidRPr="00C56257">
              <w:rPr>
                <w:color w:val="000000" w:themeColor="text1"/>
                <w:sz w:val="24"/>
                <w:szCs w:val="24"/>
              </w:rPr>
              <w:t>pădurilor</w:t>
            </w:r>
          </w:p>
        </w:tc>
        <w:tc>
          <w:tcPr>
            <w:tcW w:w="4557" w:type="dxa"/>
          </w:tcPr>
          <w:p w14:paraId="2C6C1EAA" w14:textId="77777777" w:rsidR="00F07D5E" w:rsidRPr="00C56257" w:rsidRDefault="00F07D5E" w:rsidP="008E33FD">
            <w:pPr>
              <w:pStyle w:val="TableParagraph"/>
              <w:ind w:right="118"/>
              <w:jc w:val="both"/>
              <w:rPr>
                <w:color w:val="000000" w:themeColor="text1"/>
                <w:sz w:val="24"/>
                <w:szCs w:val="24"/>
              </w:rPr>
            </w:pPr>
            <w:r w:rsidRPr="00C56257">
              <w:rPr>
                <w:color w:val="000000" w:themeColor="text1"/>
                <w:sz w:val="24"/>
                <w:szCs w:val="24"/>
              </w:rPr>
              <w:t>Adaptarea sau gestionarea</w:t>
            </w:r>
            <w:r w:rsidRPr="00C56257">
              <w:rPr>
                <w:color w:val="000000" w:themeColor="text1"/>
                <w:spacing w:val="1"/>
                <w:sz w:val="24"/>
                <w:szCs w:val="24"/>
              </w:rPr>
              <w:t xml:space="preserve"> </w:t>
            </w:r>
            <w:r w:rsidRPr="00C56257">
              <w:rPr>
                <w:color w:val="000000" w:themeColor="text1"/>
                <w:sz w:val="24"/>
                <w:szCs w:val="24"/>
              </w:rPr>
              <w:t>acțiunilor de reîmpădurire pentru a</w:t>
            </w:r>
            <w:r w:rsidRPr="00C56257">
              <w:rPr>
                <w:color w:val="000000" w:themeColor="text1"/>
                <w:spacing w:val="-52"/>
                <w:sz w:val="24"/>
                <w:szCs w:val="24"/>
              </w:rPr>
              <w:t xml:space="preserve"> </w:t>
            </w:r>
            <w:r w:rsidRPr="00C56257">
              <w:rPr>
                <w:color w:val="000000" w:themeColor="text1"/>
                <w:sz w:val="24"/>
                <w:szCs w:val="24"/>
              </w:rPr>
              <w:t>reface habitatele forestiere și</w:t>
            </w:r>
            <w:r w:rsidRPr="00C56257">
              <w:rPr>
                <w:color w:val="000000" w:themeColor="text1"/>
                <w:spacing w:val="1"/>
                <w:sz w:val="24"/>
                <w:szCs w:val="24"/>
              </w:rPr>
              <w:t xml:space="preserve"> </w:t>
            </w:r>
            <w:r w:rsidRPr="00C56257">
              <w:rPr>
                <w:color w:val="000000" w:themeColor="text1"/>
                <w:sz w:val="24"/>
                <w:szCs w:val="24"/>
              </w:rPr>
              <w:t>habitatele speciilor tipice de</w:t>
            </w:r>
            <w:r w:rsidRPr="00C56257">
              <w:rPr>
                <w:color w:val="000000" w:themeColor="text1"/>
                <w:spacing w:val="1"/>
                <w:sz w:val="24"/>
                <w:szCs w:val="24"/>
              </w:rPr>
              <w:t xml:space="preserve"> </w:t>
            </w:r>
            <w:r w:rsidRPr="00C56257">
              <w:rPr>
                <w:color w:val="000000" w:themeColor="text1"/>
                <w:sz w:val="24"/>
                <w:szCs w:val="24"/>
              </w:rPr>
              <w:t>pădure, incluzând, de exemplu,</w:t>
            </w:r>
            <w:r w:rsidRPr="00C56257">
              <w:rPr>
                <w:color w:val="000000" w:themeColor="text1"/>
                <w:spacing w:val="1"/>
                <w:sz w:val="24"/>
                <w:szCs w:val="24"/>
              </w:rPr>
              <w:t xml:space="preserve"> </w:t>
            </w:r>
            <w:r w:rsidRPr="00C56257">
              <w:rPr>
                <w:color w:val="000000" w:themeColor="text1"/>
                <w:sz w:val="24"/>
                <w:szCs w:val="24"/>
              </w:rPr>
              <w:t>conversia, pe termen lung,</w:t>
            </w:r>
            <w:r w:rsidRPr="00C56257">
              <w:rPr>
                <w:color w:val="000000" w:themeColor="text1"/>
                <w:spacing w:val="1"/>
                <w:sz w:val="24"/>
                <w:szCs w:val="24"/>
              </w:rPr>
              <w:t xml:space="preserve"> </w:t>
            </w:r>
            <w:r w:rsidRPr="00C56257">
              <w:rPr>
                <w:color w:val="000000" w:themeColor="text1"/>
                <w:sz w:val="24"/>
                <w:szCs w:val="24"/>
              </w:rPr>
              <w:t>plantațiilor cu aliniamente în</w:t>
            </w:r>
            <w:r w:rsidRPr="00C56257">
              <w:rPr>
                <w:color w:val="000000" w:themeColor="text1"/>
                <w:spacing w:val="1"/>
                <w:sz w:val="24"/>
                <w:szCs w:val="24"/>
              </w:rPr>
              <w:t xml:space="preserve"> </w:t>
            </w:r>
            <w:r w:rsidRPr="00C56257">
              <w:rPr>
                <w:color w:val="000000" w:themeColor="text1"/>
                <w:sz w:val="24"/>
                <w:szCs w:val="24"/>
              </w:rPr>
              <w:t>păduri autohtone, sau adaptarea</w:t>
            </w:r>
            <w:r w:rsidRPr="00C56257">
              <w:rPr>
                <w:color w:val="000000" w:themeColor="text1"/>
                <w:spacing w:val="1"/>
                <w:sz w:val="24"/>
                <w:szCs w:val="24"/>
              </w:rPr>
              <w:t xml:space="preserve"> </w:t>
            </w:r>
            <w:r w:rsidRPr="00C56257">
              <w:rPr>
                <w:color w:val="000000" w:themeColor="text1"/>
                <w:sz w:val="24"/>
                <w:szCs w:val="24"/>
              </w:rPr>
              <w:t>tehnicilor</w:t>
            </w:r>
            <w:r w:rsidRPr="00C56257">
              <w:rPr>
                <w:color w:val="000000" w:themeColor="text1"/>
                <w:spacing w:val="-1"/>
                <w:sz w:val="24"/>
                <w:szCs w:val="24"/>
              </w:rPr>
              <w:t xml:space="preserve"> </w:t>
            </w:r>
            <w:r w:rsidRPr="00C56257">
              <w:rPr>
                <w:color w:val="000000" w:themeColor="text1"/>
                <w:sz w:val="24"/>
                <w:szCs w:val="24"/>
              </w:rPr>
              <w:t>de</w:t>
            </w:r>
            <w:r w:rsidRPr="00C56257">
              <w:rPr>
                <w:color w:val="000000" w:themeColor="text1"/>
                <w:spacing w:val="-3"/>
                <w:sz w:val="24"/>
                <w:szCs w:val="24"/>
              </w:rPr>
              <w:t xml:space="preserve"> </w:t>
            </w:r>
            <w:r w:rsidRPr="00C56257">
              <w:rPr>
                <w:color w:val="000000" w:themeColor="text1"/>
                <w:sz w:val="24"/>
                <w:szCs w:val="24"/>
              </w:rPr>
              <w:t>reîmpădurire,</w:t>
            </w:r>
            <w:r w:rsidRPr="00C56257">
              <w:rPr>
                <w:color w:val="000000" w:themeColor="text1"/>
                <w:spacing w:val="-3"/>
                <w:sz w:val="24"/>
                <w:szCs w:val="24"/>
              </w:rPr>
              <w:t xml:space="preserve"> </w:t>
            </w:r>
            <w:r w:rsidRPr="00C56257">
              <w:rPr>
                <w:color w:val="000000" w:themeColor="text1"/>
                <w:sz w:val="24"/>
                <w:szCs w:val="24"/>
              </w:rPr>
              <w:t>precum</w:t>
            </w:r>
          </w:p>
          <w:p w14:paraId="4AE13912" w14:textId="77777777" w:rsidR="00F07D5E" w:rsidRPr="00C56257" w:rsidRDefault="00F07D5E" w:rsidP="008E33FD">
            <w:pPr>
              <w:pStyle w:val="TableParagraph"/>
              <w:spacing w:line="252" w:lineRule="exact"/>
              <w:ind w:right="101"/>
              <w:jc w:val="both"/>
              <w:rPr>
                <w:color w:val="000000" w:themeColor="text1"/>
                <w:sz w:val="24"/>
                <w:szCs w:val="24"/>
              </w:rPr>
            </w:pPr>
            <w:r w:rsidRPr="00C56257">
              <w:rPr>
                <w:color w:val="000000" w:themeColor="text1"/>
                <w:sz w:val="24"/>
                <w:szCs w:val="24"/>
              </w:rPr>
              <w:t>utilizarea regenerării naturale sau a</w:t>
            </w:r>
            <w:r w:rsidRPr="00C56257">
              <w:rPr>
                <w:color w:val="000000" w:themeColor="text1"/>
                <w:spacing w:val="-52"/>
                <w:sz w:val="24"/>
                <w:szCs w:val="24"/>
              </w:rPr>
              <w:t xml:space="preserve"> </w:t>
            </w:r>
            <w:r w:rsidRPr="00C56257">
              <w:rPr>
                <w:color w:val="000000" w:themeColor="text1"/>
                <w:sz w:val="24"/>
                <w:szCs w:val="24"/>
              </w:rPr>
              <w:t>focului.</w:t>
            </w:r>
          </w:p>
        </w:tc>
        <w:tc>
          <w:tcPr>
            <w:tcW w:w="1710" w:type="dxa"/>
          </w:tcPr>
          <w:p w14:paraId="3D575529" w14:textId="77777777" w:rsidR="00F07D5E" w:rsidRPr="00C56257" w:rsidRDefault="00F07D5E" w:rsidP="008E33FD">
            <w:pPr>
              <w:pStyle w:val="TableParagraph"/>
              <w:jc w:val="both"/>
              <w:rPr>
                <w:color w:val="000000" w:themeColor="text1"/>
                <w:sz w:val="24"/>
                <w:szCs w:val="24"/>
              </w:rPr>
            </w:pPr>
          </w:p>
          <w:p w14:paraId="5A6AD5C4" w14:textId="77777777" w:rsidR="00F07D5E" w:rsidRPr="00C56257" w:rsidRDefault="00F07D5E" w:rsidP="008E33FD">
            <w:pPr>
              <w:pStyle w:val="TableParagraph"/>
              <w:jc w:val="both"/>
              <w:rPr>
                <w:color w:val="000000" w:themeColor="text1"/>
                <w:sz w:val="24"/>
                <w:szCs w:val="24"/>
              </w:rPr>
            </w:pPr>
          </w:p>
          <w:p w14:paraId="4F97B22B" w14:textId="77777777" w:rsidR="00F07D5E" w:rsidRPr="00C56257" w:rsidRDefault="00F07D5E" w:rsidP="008E33FD">
            <w:pPr>
              <w:pStyle w:val="TableParagraph"/>
              <w:jc w:val="both"/>
              <w:rPr>
                <w:color w:val="000000" w:themeColor="text1"/>
                <w:sz w:val="24"/>
                <w:szCs w:val="24"/>
              </w:rPr>
            </w:pPr>
          </w:p>
          <w:p w14:paraId="099B0007" w14:textId="77777777" w:rsidR="00F07D5E" w:rsidRPr="00C56257" w:rsidRDefault="00F07D5E" w:rsidP="008E33FD">
            <w:pPr>
              <w:pStyle w:val="TableParagraph"/>
              <w:spacing w:before="4"/>
              <w:jc w:val="both"/>
              <w:rPr>
                <w:color w:val="000000" w:themeColor="text1"/>
                <w:sz w:val="24"/>
                <w:szCs w:val="24"/>
              </w:rPr>
            </w:pPr>
          </w:p>
          <w:p w14:paraId="1A5CCF4F" w14:textId="77777777" w:rsidR="00F07D5E" w:rsidRPr="00C56257" w:rsidRDefault="00F07D5E" w:rsidP="008E33FD">
            <w:pPr>
              <w:pStyle w:val="TableParagraph"/>
              <w:ind w:left="105" w:right="154"/>
              <w:jc w:val="both"/>
              <w:rPr>
                <w:color w:val="000000" w:themeColor="text1"/>
                <w:sz w:val="24"/>
                <w:szCs w:val="24"/>
              </w:rPr>
            </w:pPr>
            <w:r w:rsidRPr="00C56257">
              <w:rPr>
                <w:color w:val="000000" w:themeColor="text1"/>
                <w:sz w:val="24"/>
                <w:szCs w:val="24"/>
              </w:rPr>
              <w:t>B02 parțial, B03,</w:t>
            </w:r>
            <w:r w:rsidRPr="00C56257">
              <w:rPr>
                <w:color w:val="000000" w:themeColor="text1"/>
                <w:spacing w:val="-52"/>
                <w:sz w:val="24"/>
                <w:szCs w:val="24"/>
              </w:rPr>
              <w:t xml:space="preserve"> </w:t>
            </w:r>
            <w:r w:rsidRPr="00C56257">
              <w:rPr>
                <w:color w:val="000000" w:themeColor="text1"/>
                <w:sz w:val="24"/>
                <w:szCs w:val="24"/>
              </w:rPr>
              <w:t>B05,</w:t>
            </w:r>
            <w:r w:rsidRPr="00C56257">
              <w:rPr>
                <w:color w:val="000000" w:themeColor="text1"/>
                <w:spacing w:val="-1"/>
                <w:sz w:val="24"/>
                <w:szCs w:val="24"/>
              </w:rPr>
              <w:t xml:space="preserve"> </w:t>
            </w:r>
            <w:r w:rsidRPr="00C56257">
              <w:rPr>
                <w:color w:val="000000" w:themeColor="text1"/>
                <w:sz w:val="24"/>
                <w:szCs w:val="24"/>
              </w:rPr>
              <w:t>B17 parțial</w:t>
            </w:r>
          </w:p>
        </w:tc>
      </w:tr>
      <w:tr w:rsidR="00F07D5E" w:rsidRPr="00C56257" w14:paraId="72CEAAF8" w14:textId="77777777" w:rsidTr="00F07D5E">
        <w:trPr>
          <w:trHeight w:val="3542"/>
        </w:trPr>
        <w:tc>
          <w:tcPr>
            <w:tcW w:w="708" w:type="dxa"/>
          </w:tcPr>
          <w:p w14:paraId="3F42637F" w14:textId="77777777" w:rsidR="00F07D5E" w:rsidRPr="00C56257" w:rsidRDefault="00F07D5E" w:rsidP="008E33FD">
            <w:pPr>
              <w:pStyle w:val="TableParagraph"/>
              <w:spacing w:line="247" w:lineRule="exact"/>
              <w:ind w:right="62"/>
              <w:jc w:val="both"/>
              <w:rPr>
                <w:color w:val="000000" w:themeColor="text1"/>
                <w:sz w:val="24"/>
                <w:szCs w:val="24"/>
              </w:rPr>
            </w:pPr>
            <w:r w:rsidRPr="00C56257">
              <w:rPr>
                <w:color w:val="000000" w:themeColor="text1"/>
                <w:sz w:val="24"/>
                <w:szCs w:val="24"/>
              </w:rPr>
              <w:t>4.</w:t>
            </w:r>
          </w:p>
        </w:tc>
        <w:tc>
          <w:tcPr>
            <w:tcW w:w="1020" w:type="dxa"/>
          </w:tcPr>
          <w:p w14:paraId="70EFCD22" w14:textId="77777777" w:rsidR="00F07D5E" w:rsidRPr="00C56257" w:rsidRDefault="00F07D5E" w:rsidP="008E33FD">
            <w:pPr>
              <w:pStyle w:val="TableParagraph"/>
              <w:jc w:val="both"/>
              <w:rPr>
                <w:color w:val="000000" w:themeColor="text1"/>
                <w:sz w:val="24"/>
                <w:szCs w:val="24"/>
              </w:rPr>
            </w:pPr>
          </w:p>
          <w:p w14:paraId="3A9D94ED" w14:textId="77777777" w:rsidR="00F07D5E" w:rsidRPr="00C56257" w:rsidRDefault="00F07D5E" w:rsidP="008E33FD">
            <w:pPr>
              <w:pStyle w:val="TableParagraph"/>
              <w:jc w:val="both"/>
              <w:rPr>
                <w:color w:val="000000" w:themeColor="text1"/>
                <w:sz w:val="24"/>
                <w:szCs w:val="24"/>
              </w:rPr>
            </w:pPr>
          </w:p>
          <w:p w14:paraId="4A672070" w14:textId="77777777" w:rsidR="00F07D5E" w:rsidRPr="00C56257" w:rsidRDefault="00F07D5E" w:rsidP="008E33FD">
            <w:pPr>
              <w:pStyle w:val="TableParagraph"/>
              <w:jc w:val="both"/>
              <w:rPr>
                <w:color w:val="000000" w:themeColor="text1"/>
                <w:sz w:val="24"/>
                <w:szCs w:val="24"/>
              </w:rPr>
            </w:pPr>
          </w:p>
          <w:p w14:paraId="71544871" w14:textId="77777777" w:rsidR="00F07D5E" w:rsidRPr="00C56257" w:rsidRDefault="00F07D5E" w:rsidP="008E33FD">
            <w:pPr>
              <w:pStyle w:val="TableParagraph"/>
              <w:jc w:val="both"/>
              <w:rPr>
                <w:color w:val="000000" w:themeColor="text1"/>
                <w:sz w:val="24"/>
                <w:szCs w:val="24"/>
              </w:rPr>
            </w:pPr>
          </w:p>
          <w:p w14:paraId="496C1C7F" w14:textId="77777777" w:rsidR="00F07D5E" w:rsidRPr="00C56257" w:rsidRDefault="00F07D5E" w:rsidP="008E33FD">
            <w:pPr>
              <w:pStyle w:val="TableParagraph"/>
              <w:jc w:val="both"/>
              <w:rPr>
                <w:color w:val="000000" w:themeColor="text1"/>
                <w:sz w:val="24"/>
                <w:szCs w:val="24"/>
              </w:rPr>
            </w:pPr>
          </w:p>
          <w:p w14:paraId="538E214E" w14:textId="77777777" w:rsidR="00F07D5E" w:rsidRPr="00C56257" w:rsidRDefault="00F07D5E" w:rsidP="008E33FD">
            <w:pPr>
              <w:pStyle w:val="TableParagraph"/>
              <w:spacing w:before="5"/>
              <w:jc w:val="both"/>
              <w:rPr>
                <w:color w:val="000000" w:themeColor="text1"/>
                <w:sz w:val="24"/>
                <w:szCs w:val="24"/>
              </w:rPr>
            </w:pPr>
          </w:p>
          <w:p w14:paraId="0EA0A021" w14:textId="77777777" w:rsidR="00F07D5E" w:rsidRPr="00C56257" w:rsidRDefault="00F07D5E" w:rsidP="008E33FD">
            <w:pPr>
              <w:pStyle w:val="TableParagraph"/>
              <w:ind w:left="226" w:right="217"/>
              <w:jc w:val="both"/>
              <w:rPr>
                <w:color w:val="000000" w:themeColor="text1"/>
                <w:sz w:val="24"/>
                <w:szCs w:val="24"/>
              </w:rPr>
            </w:pPr>
            <w:r w:rsidRPr="00C56257">
              <w:rPr>
                <w:color w:val="000000" w:themeColor="text1"/>
                <w:sz w:val="24"/>
                <w:szCs w:val="24"/>
              </w:rPr>
              <w:t>CA07</w:t>
            </w:r>
          </w:p>
        </w:tc>
        <w:tc>
          <w:tcPr>
            <w:tcW w:w="1803" w:type="dxa"/>
          </w:tcPr>
          <w:p w14:paraId="432BCFF4" w14:textId="77777777" w:rsidR="00F07D5E" w:rsidRPr="00C56257" w:rsidRDefault="00F07D5E" w:rsidP="008E33FD">
            <w:pPr>
              <w:pStyle w:val="TableParagraph"/>
              <w:jc w:val="both"/>
              <w:rPr>
                <w:color w:val="000000" w:themeColor="text1"/>
                <w:sz w:val="24"/>
                <w:szCs w:val="24"/>
              </w:rPr>
            </w:pPr>
          </w:p>
          <w:p w14:paraId="02D5A5CD" w14:textId="77777777" w:rsidR="00F07D5E" w:rsidRPr="00C56257" w:rsidRDefault="00F07D5E" w:rsidP="008E33FD">
            <w:pPr>
              <w:pStyle w:val="TableParagraph"/>
              <w:jc w:val="both"/>
              <w:rPr>
                <w:color w:val="000000" w:themeColor="text1"/>
                <w:sz w:val="24"/>
                <w:szCs w:val="24"/>
              </w:rPr>
            </w:pPr>
          </w:p>
          <w:p w14:paraId="59465B00" w14:textId="77777777" w:rsidR="00F07D5E" w:rsidRPr="00C56257" w:rsidRDefault="00F07D5E" w:rsidP="008E33FD">
            <w:pPr>
              <w:pStyle w:val="TableParagraph"/>
              <w:jc w:val="both"/>
              <w:rPr>
                <w:color w:val="000000" w:themeColor="text1"/>
                <w:sz w:val="24"/>
                <w:szCs w:val="24"/>
              </w:rPr>
            </w:pPr>
          </w:p>
          <w:p w14:paraId="7B1DEB50" w14:textId="77777777" w:rsidR="00F07D5E" w:rsidRPr="00C56257" w:rsidRDefault="00F07D5E" w:rsidP="008E33FD">
            <w:pPr>
              <w:pStyle w:val="TableParagraph"/>
              <w:jc w:val="both"/>
              <w:rPr>
                <w:color w:val="000000" w:themeColor="text1"/>
                <w:sz w:val="24"/>
                <w:szCs w:val="24"/>
              </w:rPr>
            </w:pPr>
          </w:p>
          <w:p w14:paraId="45D94483" w14:textId="77777777" w:rsidR="00F07D5E" w:rsidRPr="00C56257" w:rsidRDefault="00F07D5E" w:rsidP="008E33FD">
            <w:pPr>
              <w:pStyle w:val="TableParagraph"/>
              <w:spacing w:before="155"/>
              <w:ind w:right="621"/>
              <w:jc w:val="both"/>
              <w:rPr>
                <w:color w:val="000000" w:themeColor="text1"/>
                <w:sz w:val="24"/>
                <w:szCs w:val="24"/>
              </w:rPr>
            </w:pPr>
            <w:r w:rsidRPr="00C56257">
              <w:rPr>
                <w:color w:val="000000" w:themeColor="text1"/>
                <w:sz w:val="24"/>
                <w:szCs w:val="24"/>
              </w:rPr>
              <w:t>Recrearea</w:t>
            </w:r>
            <w:r w:rsidRPr="00C56257">
              <w:rPr>
                <w:color w:val="000000" w:themeColor="text1"/>
                <w:spacing w:val="1"/>
                <w:sz w:val="24"/>
                <w:szCs w:val="24"/>
              </w:rPr>
              <w:t xml:space="preserve"> </w:t>
            </w:r>
            <w:r w:rsidRPr="00C56257">
              <w:rPr>
                <w:color w:val="000000" w:themeColor="text1"/>
                <w:sz w:val="24"/>
                <w:szCs w:val="24"/>
              </w:rPr>
              <w:t>habitatelor</w:t>
            </w:r>
            <w:r w:rsidRPr="00C56257">
              <w:rPr>
                <w:color w:val="000000" w:themeColor="text1"/>
                <w:spacing w:val="1"/>
                <w:sz w:val="24"/>
                <w:szCs w:val="24"/>
              </w:rPr>
              <w:t xml:space="preserve"> </w:t>
            </w:r>
            <w:r w:rsidRPr="00C56257">
              <w:rPr>
                <w:color w:val="000000" w:themeColor="text1"/>
                <w:sz w:val="24"/>
                <w:szCs w:val="24"/>
              </w:rPr>
              <w:t>agricole din</w:t>
            </w:r>
            <w:r w:rsidRPr="00C56257">
              <w:rPr>
                <w:color w:val="000000" w:themeColor="text1"/>
                <w:spacing w:val="-52"/>
                <w:sz w:val="24"/>
                <w:szCs w:val="24"/>
              </w:rPr>
              <w:t xml:space="preserve"> </w:t>
            </w:r>
            <w:r w:rsidRPr="00C56257">
              <w:rPr>
                <w:color w:val="000000" w:themeColor="text1"/>
                <w:sz w:val="24"/>
                <w:szCs w:val="24"/>
              </w:rPr>
              <w:t>Anexa I</w:t>
            </w:r>
          </w:p>
        </w:tc>
        <w:tc>
          <w:tcPr>
            <w:tcW w:w="4557" w:type="dxa"/>
          </w:tcPr>
          <w:p w14:paraId="3B263786" w14:textId="77777777" w:rsidR="00F07D5E" w:rsidRPr="00C56257" w:rsidRDefault="00F07D5E" w:rsidP="008E33FD">
            <w:pPr>
              <w:pStyle w:val="TableParagraph"/>
              <w:ind w:right="82"/>
              <w:jc w:val="both"/>
              <w:rPr>
                <w:color w:val="000000" w:themeColor="text1"/>
                <w:sz w:val="24"/>
                <w:szCs w:val="24"/>
              </w:rPr>
            </w:pPr>
            <w:r w:rsidRPr="00C56257">
              <w:rPr>
                <w:color w:val="000000" w:themeColor="text1"/>
                <w:sz w:val="24"/>
                <w:szCs w:val="24"/>
              </w:rPr>
              <w:t>Terenul care a fost folosit anterior</w:t>
            </w:r>
            <w:r w:rsidRPr="00C56257">
              <w:rPr>
                <w:color w:val="000000" w:themeColor="text1"/>
                <w:spacing w:val="1"/>
                <w:sz w:val="24"/>
                <w:szCs w:val="24"/>
              </w:rPr>
              <w:t xml:space="preserve"> </w:t>
            </w:r>
            <w:r w:rsidRPr="00C56257">
              <w:rPr>
                <w:color w:val="000000" w:themeColor="text1"/>
                <w:sz w:val="24"/>
                <w:szCs w:val="24"/>
              </w:rPr>
              <w:t>pentru agricultură (de ex. teren</w:t>
            </w:r>
            <w:r w:rsidRPr="00C56257">
              <w:rPr>
                <w:color w:val="000000" w:themeColor="text1"/>
                <w:spacing w:val="1"/>
                <w:sz w:val="24"/>
                <w:szCs w:val="24"/>
              </w:rPr>
              <w:t xml:space="preserve"> </w:t>
            </w:r>
            <w:r w:rsidRPr="00C56257">
              <w:rPr>
                <w:color w:val="000000" w:themeColor="text1"/>
                <w:sz w:val="24"/>
                <w:szCs w:val="24"/>
              </w:rPr>
              <w:t>arabil) ori pentru silvicultură (de</w:t>
            </w:r>
            <w:r w:rsidRPr="00C56257">
              <w:rPr>
                <w:color w:val="000000" w:themeColor="text1"/>
                <w:spacing w:val="1"/>
                <w:sz w:val="24"/>
                <w:szCs w:val="24"/>
              </w:rPr>
              <w:t xml:space="preserve"> </w:t>
            </w:r>
            <w:r w:rsidRPr="00C56257">
              <w:rPr>
                <w:color w:val="000000" w:themeColor="text1"/>
                <w:sz w:val="24"/>
                <w:szCs w:val="24"/>
              </w:rPr>
              <w:t>exemplu, plantație</w:t>
            </w:r>
            <w:r w:rsidRPr="00C56257">
              <w:rPr>
                <w:color w:val="000000" w:themeColor="text1"/>
                <w:spacing w:val="1"/>
                <w:sz w:val="24"/>
                <w:szCs w:val="24"/>
              </w:rPr>
              <w:t xml:space="preserve"> </w:t>
            </w:r>
            <w:r w:rsidRPr="00C56257">
              <w:rPr>
                <w:color w:val="000000" w:themeColor="text1"/>
                <w:sz w:val="24"/>
                <w:szCs w:val="24"/>
              </w:rPr>
              <w:t>populară/industrială) să fie destinat</w:t>
            </w:r>
            <w:r w:rsidRPr="00C56257">
              <w:rPr>
                <w:color w:val="000000" w:themeColor="text1"/>
                <w:spacing w:val="-52"/>
                <w:sz w:val="24"/>
                <w:szCs w:val="24"/>
              </w:rPr>
              <w:t xml:space="preserve"> </w:t>
            </w:r>
            <w:r w:rsidRPr="00C56257">
              <w:rPr>
                <w:color w:val="000000" w:themeColor="text1"/>
                <w:sz w:val="24"/>
                <w:szCs w:val="24"/>
              </w:rPr>
              <w:t>unei alte utilizări; (re) crearea /</w:t>
            </w:r>
            <w:r w:rsidRPr="00C56257">
              <w:rPr>
                <w:color w:val="000000" w:themeColor="text1"/>
                <w:spacing w:val="1"/>
                <w:sz w:val="24"/>
                <w:szCs w:val="24"/>
              </w:rPr>
              <w:t xml:space="preserve"> </w:t>
            </w:r>
            <w:r w:rsidRPr="00C56257">
              <w:rPr>
                <w:color w:val="000000" w:themeColor="text1"/>
                <w:sz w:val="24"/>
                <w:szCs w:val="24"/>
              </w:rPr>
              <w:t>restaurarea ca tip de habitat agricol</w:t>
            </w:r>
            <w:r w:rsidRPr="00C56257">
              <w:rPr>
                <w:color w:val="000000" w:themeColor="text1"/>
                <w:spacing w:val="-52"/>
                <w:sz w:val="24"/>
                <w:szCs w:val="24"/>
              </w:rPr>
              <w:t xml:space="preserve"> </w:t>
            </w:r>
            <w:r w:rsidRPr="00C56257">
              <w:rPr>
                <w:color w:val="000000" w:themeColor="text1"/>
                <w:sz w:val="24"/>
                <w:szCs w:val="24"/>
              </w:rPr>
              <w:t>din Anexa I. Măsura include, de</w:t>
            </w:r>
            <w:r w:rsidRPr="00C56257">
              <w:rPr>
                <w:color w:val="000000" w:themeColor="text1"/>
                <w:spacing w:val="1"/>
                <w:sz w:val="24"/>
                <w:szCs w:val="24"/>
              </w:rPr>
              <w:t xml:space="preserve"> </w:t>
            </w:r>
            <w:r w:rsidRPr="00C56257">
              <w:rPr>
                <w:color w:val="000000" w:themeColor="text1"/>
                <w:sz w:val="24"/>
                <w:szCs w:val="24"/>
              </w:rPr>
              <w:t>exemplu, recrearea unei pajiști din</w:t>
            </w:r>
            <w:r w:rsidRPr="00C56257">
              <w:rPr>
                <w:color w:val="000000" w:themeColor="text1"/>
                <w:spacing w:val="1"/>
                <w:sz w:val="24"/>
                <w:szCs w:val="24"/>
              </w:rPr>
              <w:t xml:space="preserve"> </w:t>
            </w:r>
            <w:r w:rsidRPr="00C56257">
              <w:rPr>
                <w:color w:val="000000" w:themeColor="text1"/>
                <w:sz w:val="24"/>
                <w:szCs w:val="24"/>
              </w:rPr>
              <w:t>Anexa I dintr-o plantație forestieră.</w:t>
            </w:r>
            <w:r w:rsidRPr="00C56257">
              <w:rPr>
                <w:color w:val="000000" w:themeColor="text1"/>
                <w:spacing w:val="-52"/>
                <w:sz w:val="24"/>
                <w:szCs w:val="24"/>
              </w:rPr>
              <w:t xml:space="preserve"> </w:t>
            </w:r>
            <w:r w:rsidRPr="00C56257">
              <w:rPr>
                <w:color w:val="000000" w:themeColor="text1"/>
                <w:sz w:val="24"/>
                <w:szCs w:val="24"/>
              </w:rPr>
              <w:t>Acesta este un proces care ar putea</w:t>
            </w:r>
            <w:r w:rsidRPr="00C56257">
              <w:rPr>
                <w:color w:val="000000" w:themeColor="text1"/>
                <w:spacing w:val="-52"/>
                <w:sz w:val="24"/>
                <w:szCs w:val="24"/>
              </w:rPr>
              <w:t xml:space="preserve"> </w:t>
            </w:r>
            <w:r w:rsidRPr="00C56257">
              <w:rPr>
                <w:color w:val="000000" w:themeColor="text1"/>
                <w:sz w:val="24"/>
                <w:szCs w:val="24"/>
              </w:rPr>
              <w:t>dura mult timp pentru a fi</w:t>
            </w:r>
            <w:r w:rsidRPr="00C56257">
              <w:rPr>
                <w:color w:val="000000" w:themeColor="text1"/>
                <w:spacing w:val="1"/>
                <w:sz w:val="24"/>
                <w:szCs w:val="24"/>
              </w:rPr>
              <w:t xml:space="preserve"> </w:t>
            </w:r>
            <w:r w:rsidRPr="00C56257">
              <w:rPr>
                <w:color w:val="000000" w:themeColor="text1"/>
                <w:sz w:val="24"/>
                <w:szCs w:val="24"/>
              </w:rPr>
              <w:t>restabilite</w:t>
            </w:r>
            <w:r w:rsidRPr="00C56257">
              <w:rPr>
                <w:color w:val="000000" w:themeColor="text1"/>
                <w:spacing w:val="-2"/>
                <w:sz w:val="24"/>
                <w:szCs w:val="24"/>
              </w:rPr>
              <w:t xml:space="preserve"> </w:t>
            </w:r>
            <w:r w:rsidRPr="00C56257">
              <w:rPr>
                <w:color w:val="000000" w:themeColor="text1"/>
                <w:sz w:val="24"/>
                <w:szCs w:val="24"/>
              </w:rPr>
              <w:t>pe</w:t>
            </w:r>
            <w:r w:rsidRPr="00C56257">
              <w:rPr>
                <w:color w:val="000000" w:themeColor="text1"/>
                <w:spacing w:val="-1"/>
                <w:sz w:val="24"/>
                <w:szCs w:val="24"/>
              </w:rPr>
              <w:t xml:space="preserve"> </w:t>
            </w:r>
            <w:r w:rsidRPr="00C56257">
              <w:rPr>
                <w:color w:val="000000" w:themeColor="text1"/>
                <w:sz w:val="24"/>
                <w:szCs w:val="24"/>
              </w:rPr>
              <w:t>deplin</w:t>
            </w:r>
            <w:r w:rsidRPr="00C56257">
              <w:rPr>
                <w:color w:val="000000" w:themeColor="text1"/>
                <w:spacing w:val="-2"/>
                <w:sz w:val="24"/>
                <w:szCs w:val="24"/>
              </w:rPr>
              <w:t xml:space="preserve"> </w:t>
            </w:r>
            <w:r w:rsidRPr="00C56257">
              <w:rPr>
                <w:color w:val="000000" w:themeColor="text1"/>
                <w:sz w:val="24"/>
                <w:szCs w:val="24"/>
              </w:rPr>
              <w:t>structura</w:t>
            </w:r>
            <w:r w:rsidRPr="00C56257">
              <w:rPr>
                <w:color w:val="000000" w:themeColor="text1"/>
                <w:spacing w:val="-1"/>
                <w:sz w:val="24"/>
                <w:szCs w:val="24"/>
              </w:rPr>
              <w:t xml:space="preserve"> </w:t>
            </w:r>
            <w:r w:rsidRPr="00C56257">
              <w:rPr>
                <w:color w:val="000000" w:themeColor="text1"/>
                <w:sz w:val="24"/>
                <w:szCs w:val="24"/>
              </w:rPr>
              <w:t>și</w:t>
            </w:r>
          </w:p>
          <w:p w14:paraId="442CD2AA" w14:textId="77777777" w:rsidR="00F07D5E" w:rsidRPr="00C56257" w:rsidRDefault="00F07D5E" w:rsidP="008E33FD">
            <w:pPr>
              <w:pStyle w:val="TableParagraph"/>
              <w:spacing w:line="240" w:lineRule="exact"/>
              <w:jc w:val="both"/>
              <w:rPr>
                <w:color w:val="000000" w:themeColor="text1"/>
                <w:sz w:val="24"/>
                <w:szCs w:val="24"/>
              </w:rPr>
            </w:pPr>
            <w:r w:rsidRPr="00C56257">
              <w:rPr>
                <w:color w:val="000000" w:themeColor="text1"/>
                <w:sz w:val="24"/>
                <w:szCs w:val="24"/>
              </w:rPr>
              <w:t>funcțiile</w:t>
            </w:r>
            <w:r w:rsidRPr="00C56257">
              <w:rPr>
                <w:color w:val="000000" w:themeColor="text1"/>
                <w:spacing w:val="-3"/>
                <w:sz w:val="24"/>
                <w:szCs w:val="24"/>
              </w:rPr>
              <w:t xml:space="preserve"> </w:t>
            </w:r>
            <w:r w:rsidRPr="00C56257">
              <w:rPr>
                <w:color w:val="000000" w:themeColor="text1"/>
                <w:sz w:val="24"/>
                <w:szCs w:val="24"/>
              </w:rPr>
              <w:t>habitatelor.</w:t>
            </w:r>
          </w:p>
        </w:tc>
        <w:tc>
          <w:tcPr>
            <w:tcW w:w="1710" w:type="dxa"/>
          </w:tcPr>
          <w:p w14:paraId="069AAC70" w14:textId="77777777" w:rsidR="00F07D5E" w:rsidRPr="00C56257" w:rsidRDefault="00F07D5E" w:rsidP="008E33FD">
            <w:pPr>
              <w:pStyle w:val="TableParagraph"/>
              <w:jc w:val="both"/>
              <w:rPr>
                <w:color w:val="000000" w:themeColor="text1"/>
                <w:sz w:val="24"/>
                <w:szCs w:val="24"/>
              </w:rPr>
            </w:pPr>
          </w:p>
          <w:p w14:paraId="76D5EEA5" w14:textId="77777777" w:rsidR="00F07D5E" w:rsidRPr="00C56257" w:rsidRDefault="00F07D5E" w:rsidP="008E33FD">
            <w:pPr>
              <w:pStyle w:val="TableParagraph"/>
              <w:jc w:val="both"/>
              <w:rPr>
                <w:color w:val="000000" w:themeColor="text1"/>
                <w:sz w:val="24"/>
                <w:szCs w:val="24"/>
              </w:rPr>
            </w:pPr>
          </w:p>
          <w:p w14:paraId="0831255C" w14:textId="77777777" w:rsidR="00F07D5E" w:rsidRPr="00C56257" w:rsidRDefault="00F07D5E" w:rsidP="008E33FD">
            <w:pPr>
              <w:pStyle w:val="TableParagraph"/>
              <w:jc w:val="both"/>
              <w:rPr>
                <w:color w:val="000000" w:themeColor="text1"/>
                <w:sz w:val="24"/>
                <w:szCs w:val="24"/>
              </w:rPr>
            </w:pPr>
          </w:p>
          <w:p w14:paraId="6072DFCF" w14:textId="77777777" w:rsidR="00F07D5E" w:rsidRPr="00C56257" w:rsidRDefault="00F07D5E" w:rsidP="008E33FD">
            <w:pPr>
              <w:pStyle w:val="TableParagraph"/>
              <w:jc w:val="both"/>
              <w:rPr>
                <w:color w:val="000000" w:themeColor="text1"/>
                <w:sz w:val="24"/>
                <w:szCs w:val="24"/>
              </w:rPr>
            </w:pPr>
          </w:p>
          <w:p w14:paraId="3200FA8A" w14:textId="77777777" w:rsidR="00F07D5E" w:rsidRPr="00C56257" w:rsidRDefault="00F07D5E" w:rsidP="008E33FD">
            <w:pPr>
              <w:pStyle w:val="TableParagraph"/>
              <w:spacing w:before="6"/>
              <w:jc w:val="both"/>
              <w:rPr>
                <w:color w:val="000000" w:themeColor="text1"/>
                <w:sz w:val="24"/>
                <w:szCs w:val="24"/>
              </w:rPr>
            </w:pPr>
          </w:p>
          <w:p w14:paraId="6A986103" w14:textId="77777777" w:rsidR="00F07D5E" w:rsidRPr="00C56257" w:rsidRDefault="00F07D5E" w:rsidP="008E33FD">
            <w:pPr>
              <w:pStyle w:val="TableParagraph"/>
              <w:ind w:left="105" w:right="297"/>
              <w:jc w:val="both"/>
              <w:rPr>
                <w:color w:val="000000" w:themeColor="text1"/>
                <w:sz w:val="24"/>
                <w:szCs w:val="24"/>
              </w:rPr>
            </w:pPr>
            <w:r w:rsidRPr="00C56257">
              <w:rPr>
                <w:color w:val="000000" w:themeColor="text1"/>
                <w:sz w:val="24"/>
                <w:szCs w:val="24"/>
              </w:rPr>
              <w:t>A02, B01, C05,</w:t>
            </w:r>
            <w:r w:rsidRPr="00C56257">
              <w:rPr>
                <w:color w:val="000000" w:themeColor="text1"/>
                <w:spacing w:val="-52"/>
                <w:sz w:val="24"/>
                <w:szCs w:val="24"/>
              </w:rPr>
              <w:t xml:space="preserve"> </w:t>
            </w:r>
            <w:r w:rsidRPr="00C56257">
              <w:rPr>
                <w:color w:val="000000" w:themeColor="text1"/>
                <w:sz w:val="24"/>
                <w:szCs w:val="24"/>
              </w:rPr>
              <w:t>D01, D03, F01,</w:t>
            </w:r>
            <w:r w:rsidRPr="00C56257">
              <w:rPr>
                <w:color w:val="000000" w:themeColor="text1"/>
                <w:spacing w:val="-52"/>
                <w:sz w:val="24"/>
                <w:szCs w:val="24"/>
              </w:rPr>
              <w:t xml:space="preserve"> </w:t>
            </w:r>
            <w:r w:rsidRPr="00C56257">
              <w:rPr>
                <w:color w:val="000000" w:themeColor="text1"/>
                <w:sz w:val="24"/>
                <w:szCs w:val="24"/>
              </w:rPr>
              <w:t>F03, F05</w:t>
            </w:r>
          </w:p>
        </w:tc>
      </w:tr>
      <w:tr w:rsidR="00F07D5E" w:rsidRPr="00C56257" w14:paraId="1E1B4C84" w14:textId="77777777" w:rsidTr="00507CCA">
        <w:trPr>
          <w:trHeight w:val="3505"/>
        </w:trPr>
        <w:tc>
          <w:tcPr>
            <w:tcW w:w="708" w:type="dxa"/>
          </w:tcPr>
          <w:p w14:paraId="7D81E819" w14:textId="77777777" w:rsidR="00F07D5E" w:rsidRPr="00C56257" w:rsidRDefault="00F07D5E" w:rsidP="008E33FD">
            <w:pPr>
              <w:pStyle w:val="TableParagraph"/>
              <w:spacing w:line="247" w:lineRule="exact"/>
              <w:ind w:right="62"/>
              <w:jc w:val="both"/>
              <w:rPr>
                <w:color w:val="000000" w:themeColor="text1"/>
                <w:sz w:val="24"/>
                <w:szCs w:val="24"/>
              </w:rPr>
            </w:pPr>
            <w:r w:rsidRPr="00C56257">
              <w:rPr>
                <w:color w:val="000000" w:themeColor="text1"/>
                <w:sz w:val="24"/>
                <w:szCs w:val="24"/>
              </w:rPr>
              <w:lastRenderedPageBreak/>
              <w:t>5.</w:t>
            </w:r>
          </w:p>
        </w:tc>
        <w:tc>
          <w:tcPr>
            <w:tcW w:w="1020" w:type="dxa"/>
          </w:tcPr>
          <w:p w14:paraId="7BB1F898" w14:textId="77777777" w:rsidR="00F07D5E" w:rsidRPr="00C56257" w:rsidRDefault="00F07D5E" w:rsidP="008E33FD">
            <w:pPr>
              <w:pStyle w:val="TableParagraph"/>
              <w:jc w:val="both"/>
              <w:rPr>
                <w:color w:val="000000" w:themeColor="text1"/>
                <w:sz w:val="24"/>
                <w:szCs w:val="24"/>
              </w:rPr>
            </w:pPr>
          </w:p>
          <w:p w14:paraId="759AE69C" w14:textId="77777777" w:rsidR="00F07D5E" w:rsidRPr="00C56257" w:rsidRDefault="00F07D5E" w:rsidP="008E33FD">
            <w:pPr>
              <w:pStyle w:val="TableParagraph"/>
              <w:jc w:val="both"/>
              <w:rPr>
                <w:color w:val="000000" w:themeColor="text1"/>
                <w:sz w:val="24"/>
                <w:szCs w:val="24"/>
              </w:rPr>
            </w:pPr>
          </w:p>
          <w:p w14:paraId="528DF791" w14:textId="77777777" w:rsidR="00F07D5E" w:rsidRPr="00C56257" w:rsidRDefault="00F07D5E" w:rsidP="008E33FD">
            <w:pPr>
              <w:pStyle w:val="TableParagraph"/>
              <w:jc w:val="both"/>
              <w:rPr>
                <w:color w:val="000000" w:themeColor="text1"/>
                <w:sz w:val="24"/>
                <w:szCs w:val="24"/>
              </w:rPr>
            </w:pPr>
          </w:p>
          <w:p w14:paraId="2B5F4A1F" w14:textId="77777777" w:rsidR="00F07D5E" w:rsidRPr="00C56257" w:rsidRDefault="00F07D5E" w:rsidP="008E33FD">
            <w:pPr>
              <w:pStyle w:val="TableParagraph"/>
              <w:jc w:val="both"/>
              <w:rPr>
                <w:color w:val="000000" w:themeColor="text1"/>
                <w:sz w:val="24"/>
                <w:szCs w:val="24"/>
              </w:rPr>
            </w:pPr>
          </w:p>
          <w:p w14:paraId="01AB55F1" w14:textId="77777777" w:rsidR="00F07D5E" w:rsidRPr="00C56257" w:rsidRDefault="00F07D5E" w:rsidP="008E33FD">
            <w:pPr>
              <w:pStyle w:val="TableParagraph"/>
              <w:jc w:val="both"/>
              <w:rPr>
                <w:color w:val="000000" w:themeColor="text1"/>
                <w:sz w:val="24"/>
                <w:szCs w:val="24"/>
              </w:rPr>
            </w:pPr>
          </w:p>
          <w:p w14:paraId="250CA764" w14:textId="77777777" w:rsidR="00F07D5E" w:rsidRPr="00C56257" w:rsidRDefault="00F07D5E" w:rsidP="008E33FD">
            <w:pPr>
              <w:pStyle w:val="TableParagraph"/>
              <w:jc w:val="both"/>
              <w:rPr>
                <w:color w:val="000000" w:themeColor="text1"/>
                <w:sz w:val="24"/>
                <w:szCs w:val="24"/>
              </w:rPr>
            </w:pPr>
          </w:p>
          <w:p w14:paraId="717E5A94" w14:textId="77777777" w:rsidR="00F07D5E" w:rsidRPr="00C56257" w:rsidRDefault="00F07D5E" w:rsidP="008E33FD">
            <w:pPr>
              <w:pStyle w:val="TableParagraph"/>
              <w:spacing w:before="6"/>
              <w:jc w:val="both"/>
              <w:rPr>
                <w:color w:val="000000" w:themeColor="text1"/>
                <w:sz w:val="24"/>
                <w:szCs w:val="24"/>
              </w:rPr>
            </w:pPr>
          </w:p>
          <w:p w14:paraId="1765D9E7" w14:textId="77777777" w:rsidR="00F07D5E" w:rsidRPr="00C56257" w:rsidRDefault="00F07D5E" w:rsidP="008E33FD">
            <w:pPr>
              <w:pStyle w:val="TableParagraph"/>
              <w:ind w:left="224" w:right="217"/>
              <w:jc w:val="both"/>
              <w:rPr>
                <w:color w:val="000000" w:themeColor="text1"/>
                <w:sz w:val="24"/>
                <w:szCs w:val="24"/>
              </w:rPr>
            </w:pPr>
            <w:r w:rsidRPr="00C56257">
              <w:rPr>
                <w:color w:val="000000" w:themeColor="text1"/>
                <w:sz w:val="24"/>
                <w:szCs w:val="24"/>
              </w:rPr>
              <w:t>CC03</w:t>
            </w:r>
          </w:p>
        </w:tc>
        <w:tc>
          <w:tcPr>
            <w:tcW w:w="1803" w:type="dxa"/>
          </w:tcPr>
          <w:p w14:paraId="39652964" w14:textId="77777777" w:rsidR="00F07D5E" w:rsidRPr="00C56257" w:rsidRDefault="00F07D5E" w:rsidP="008E33FD">
            <w:pPr>
              <w:pStyle w:val="TableParagraph"/>
              <w:jc w:val="both"/>
              <w:rPr>
                <w:color w:val="000000" w:themeColor="text1"/>
                <w:sz w:val="24"/>
                <w:szCs w:val="24"/>
              </w:rPr>
            </w:pPr>
          </w:p>
          <w:p w14:paraId="78F1BD30" w14:textId="77777777" w:rsidR="00F07D5E" w:rsidRPr="00C56257" w:rsidRDefault="00F07D5E" w:rsidP="008E33FD">
            <w:pPr>
              <w:pStyle w:val="TableParagraph"/>
              <w:jc w:val="both"/>
              <w:rPr>
                <w:color w:val="000000" w:themeColor="text1"/>
                <w:sz w:val="24"/>
                <w:szCs w:val="24"/>
              </w:rPr>
            </w:pPr>
          </w:p>
          <w:p w14:paraId="6CF3CECC" w14:textId="77777777" w:rsidR="00F07D5E" w:rsidRPr="00C56257" w:rsidRDefault="00F07D5E" w:rsidP="008E33FD">
            <w:pPr>
              <w:pStyle w:val="TableParagraph"/>
              <w:jc w:val="both"/>
              <w:rPr>
                <w:color w:val="000000" w:themeColor="text1"/>
                <w:sz w:val="24"/>
                <w:szCs w:val="24"/>
              </w:rPr>
            </w:pPr>
          </w:p>
          <w:p w14:paraId="60516BC2" w14:textId="77777777" w:rsidR="00F07D5E" w:rsidRPr="00C56257" w:rsidRDefault="00F07D5E" w:rsidP="008E33FD">
            <w:pPr>
              <w:pStyle w:val="TableParagraph"/>
              <w:spacing w:before="179"/>
              <w:ind w:right="175"/>
              <w:jc w:val="both"/>
              <w:rPr>
                <w:color w:val="000000" w:themeColor="text1"/>
                <w:sz w:val="24"/>
                <w:szCs w:val="24"/>
              </w:rPr>
            </w:pPr>
            <w:r w:rsidRPr="00C56257">
              <w:rPr>
                <w:color w:val="000000" w:themeColor="text1"/>
                <w:sz w:val="24"/>
                <w:szCs w:val="24"/>
              </w:rPr>
              <w:t>Adaptarea/gestio</w:t>
            </w:r>
            <w:r w:rsidRPr="00C56257">
              <w:rPr>
                <w:color w:val="000000" w:themeColor="text1"/>
                <w:spacing w:val="-52"/>
                <w:sz w:val="24"/>
                <w:szCs w:val="24"/>
              </w:rPr>
              <w:t xml:space="preserve"> </w:t>
            </w:r>
            <w:r w:rsidRPr="00C56257">
              <w:rPr>
                <w:color w:val="000000" w:themeColor="text1"/>
                <w:sz w:val="24"/>
                <w:szCs w:val="24"/>
              </w:rPr>
              <w:t>narea producerii</w:t>
            </w:r>
            <w:r w:rsidRPr="00C56257">
              <w:rPr>
                <w:color w:val="000000" w:themeColor="text1"/>
                <w:spacing w:val="1"/>
                <w:sz w:val="24"/>
                <w:szCs w:val="24"/>
              </w:rPr>
              <w:t xml:space="preserve"> </w:t>
            </w:r>
            <w:r w:rsidRPr="00C56257">
              <w:rPr>
                <w:color w:val="000000" w:themeColor="text1"/>
                <w:sz w:val="24"/>
                <w:szCs w:val="24"/>
              </w:rPr>
              <w:t>de energie</w:t>
            </w:r>
            <w:r w:rsidRPr="00C56257">
              <w:rPr>
                <w:color w:val="000000" w:themeColor="text1"/>
                <w:spacing w:val="1"/>
                <w:sz w:val="24"/>
                <w:szCs w:val="24"/>
              </w:rPr>
              <w:t xml:space="preserve"> </w:t>
            </w:r>
            <w:r w:rsidRPr="00C56257">
              <w:rPr>
                <w:color w:val="000000" w:themeColor="text1"/>
                <w:sz w:val="24"/>
                <w:szCs w:val="24"/>
              </w:rPr>
              <w:t>regenerabilă, a</w:t>
            </w:r>
            <w:r w:rsidRPr="00C56257">
              <w:rPr>
                <w:color w:val="000000" w:themeColor="text1"/>
                <w:spacing w:val="1"/>
                <w:sz w:val="24"/>
                <w:szCs w:val="24"/>
              </w:rPr>
              <w:t xml:space="preserve"> </w:t>
            </w:r>
            <w:r w:rsidRPr="00C56257">
              <w:rPr>
                <w:color w:val="000000" w:themeColor="text1"/>
                <w:sz w:val="24"/>
                <w:szCs w:val="24"/>
              </w:rPr>
              <w:t>instalațiilor și</w:t>
            </w:r>
            <w:r w:rsidRPr="00C56257">
              <w:rPr>
                <w:color w:val="000000" w:themeColor="text1"/>
                <w:spacing w:val="1"/>
                <w:sz w:val="24"/>
                <w:szCs w:val="24"/>
              </w:rPr>
              <w:t xml:space="preserve"> </w:t>
            </w:r>
            <w:r w:rsidRPr="00C56257">
              <w:rPr>
                <w:color w:val="000000" w:themeColor="text1"/>
                <w:sz w:val="24"/>
                <w:szCs w:val="24"/>
              </w:rPr>
              <w:t>sistemului de</w:t>
            </w:r>
            <w:r w:rsidRPr="00C56257">
              <w:rPr>
                <w:color w:val="000000" w:themeColor="text1"/>
                <w:spacing w:val="1"/>
                <w:sz w:val="24"/>
                <w:szCs w:val="24"/>
              </w:rPr>
              <w:t xml:space="preserve"> </w:t>
            </w:r>
            <w:r w:rsidRPr="00C56257">
              <w:rPr>
                <w:color w:val="000000" w:themeColor="text1"/>
                <w:sz w:val="24"/>
                <w:szCs w:val="24"/>
              </w:rPr>
              <w:t>funcționare a</w:t>
            </w:r>
            <w:r w:rsidRPr="00C56257">
              <w:rPr>
                <w:color w:val="000000" w:themeColor="text1"/>
                <w:spacing w:val="1"/>
                <w:sz w:val="24"/>
                <w:szCs w:val="24"/>
              </w:rPr>
              <w:t xml:space="preserve"> </w:t>
            </w:r>
            <w:r w:rsidRPr="00C56257">
              <w:rPr>
                <w:color w:val="000000" w:themeColor="text1"/>
                <w:sz w:val="24"/>
                <w:szCs w:val="24"/>
              </w:rPr>
              <w:t>acestor</w:t>
            </w:r>
            <w:r w:rsidRPr="00C56257">
              <w:rPr>
                <w:color w:val="000000" w:themeColor="text1"/>
                <w:spacing w:val="-7"/>
                <w:sz w:val="24"/>
                <w:szCs w:val="24"/>
              </w:rPr>
              <w:t xml:space="preserve"> </w:t>
            </w:r>
            <w:r w:rsidRPr="00C56257">
              <w:rPr>
                <w:color w:val="000000" w:themeColor="text1"/>
                <w:sz w:val="24"/>
                <w:szCs w:val="24"/>
              </w:rPr>
              <w:t>instalații.</w:t>
            </w:r>
          </w:p>
        </w:tc>
        <w:tc>
          <w:tcPr>
            <w:tcW w:w="4557" w:type="dxa"/>
          </w:tcPr>
          <w:p w14:paraId="2E9FD0DD" w14:textId="77777777" w:rsidR="00F07D5E" w:rsidRPr="00C56257" w:rsidRDefault="00F07D5E" w:rsidP="008E33FD">
            <w:pPr>
              <w:pStyle w:val="TableParagraph"/>
              <w:ind w:right="204"/>
              <w:jc w:val="both"/>
              <w:rPr>
                <w:color w:val="000000" w:themeColor="text1"/>
                <w:sz w:val="24"/>
                <w:szCs w:val="24"/>
              </w:rPr>
            </w:pPr>
            <w:r w:rsidRPr="00C56257">
              <w:rPr>
                <w:color w:val="000000" w:themeColor="text1"/>
                <w:sz w:val="24"/>
                <w:szCs w:val="24"/>
              </w:rPr>
              <w:t>Adaptarea și gestionarea (inclusiv</w:t>
            </w:r>
            <w:r w:rsidRPr="00C56257">
              <w:rPr>
                <w:color w:val="000000" w:themeColor="text1"/>
                <w:spacing w:val="-52"/>
                <w:sz w:val="24"/>
                <w:szCs w:val="24"/>
              </w:rPr>
              <w:t xml:space="preserve"> </w:t>
            </w:r>
            <w:r w:rsidRPr="00C56257">
              <w:rPr>
                <w:color w:val="000000" w:themeColor="text1"/>
                <w:sz w:val="24"/>
                <w:szCs w:val="24"/>
              </w:rPr>
              <w:t>oprirea și evitarea) instalării și</w:t>
            </w:r>
            <w:r w:rsidRPr="00C56257">
              <w:rPr>
                <w:color w:val="000000" w:themeColor="text1"/>
                <w:spacing w:val="1"/>
                <w:sz w:val="24"/>
                <w:szCs w:val="24"/>
              </w:rPr>
              <w:t xml:space="preserve"> </w:t>
            </w:r>
            <w:r w:rsidRPr="00C56257">
              <w:rPr>
                <w:color w:val="000000" w:themeColor="text1"/>
                <w:sz w:val="24"/>
                <w:szCs w:val="24"/>
              </w:rPr>
              <w:t>funcționării infrastructurilor de</w:t>
            </w:r>
            <w:r w:rsidRPr="00C56257">
              <w:rPr>
                <w:color w:val="000000" w:themeColor="text1"/>
                <w:spacing w:val="1"/>
                <w:sz w:val="24"/>
                <w:szCs w:val="24"/>
              </w:rPr>
              <w:t xml:space="preserve"> </w:t>
            </w:r>
            <w:r w:rsidRPr="00C56257">
              <w:rPr>
                <w:color w:val="000000" w:themeColor="text1"/>
                <w:sz w:val="24"/>
                <w:szCs w:val="24"/>
              </w:rPr>
              <w:t>producere a energiei regenerabilă</w:t>
            </w:r>
            <w:r w:rsidRPr="00C56257">
              <w:rPr>
                <w:color w:val="000000" w:themeColor="text1"/>
                <w:spacing w:val="-52"/>
                <w:sz w:val="24"/>
                <w:szCs w:val="24"/>
              </w:rPr>
              <w:t xml:space="preserve"> </w:t>
            </w:r>
            <w:r w:rsidRPr="00C56257">
              <w:rPr>
                <w:color w:val="000000" w:themeColor="text1"/>
                <w:sz w:val="24"/>
                <w:szCs w:val="24"/>
              </w:rPr>
              <w:t>(cu</w:t>
            </w:r>
            <w:r w:rsidRPr="00C56257">
              <w:rPr>
                <w:color w:val="000000" w:themeColor="text1"/>
                <w:spacing w:val="-1"/>
                <w:sz w:val="24"/>
                <w:szCs w:val="24"/>
              </w:rPr>
              <w:t xml:space="preserve"> </w:t>
            </w:r>
            <w:r w:rsidRPr="00C56257">
              <w:rPr>
                <w:color w:val="000000" w:themeColor="text1"/>
                <w:sz w:val="24"/>
                <w:szCs w:val="24"/>
              </w:rPr>
              <w:t>excepția</w:t>
            </w:r>
            <w:r w:rsidRPr="00C56257">
              <w:rPr>
                <w:color w:val="000000" w:themeColor="text1"/>
                <w:spacing w:val="-1"/>
                <w:sz w:val="24"/>
                <w:szCs w:val="24"/>
              </w:rPr>
              <w:t xml:space="preserve"> </w:t>
            </w:r>
            <w:r w:rsidRPr="00C56257">
              <w:rPr>
                <w:color w:val="000000" w:themeColor="text1"/>
                <w:sz w:val="24"/>
                <w:szCs w:val="24"/>
              </w:rPr>
              <w:t>hidro-energiei).</w:t>
            </w:r>
          </w:p>
          <w:p w14:paraId="441C6A87" w14:textId="77777777" w:rsidR="00F07D5E" w:rsidRPr="00C56257" w:rsidRDefault="00F07D5E" w:rsidP="008E33FD">
            <w:pPr>
              <w:pStyle w:val="TableParagraph"/>
              <w:ind w:right="253"/>
              <w:jc w:val="both"/>
              <w:rPr>
                <w:color w:val="000000" w:themeColor="text1"/>
                <w:sz w:val="24"/>
                <w:szCs w:val="24"/>
              </w:rPr>
            </w:pPr>
            <w:r w:rsidRPr="00C56257">
              <w:rPr>
                <w:color w:val="000000" w:themeColor="text1"/>
                <w:sz w:val="24"/>
                <w:szCs w:val="24"/>
              </w:rPr>
              <w:t>Aceasta include, de asemenea,</w:t>
            </w:r>
            <w:r w:rsidRPr="00C56257">
              <w:rPr>
                <w:color w:val="000000" w:themeColor="text1"/>
                <w:spacing w:val="1"/>
                <w:sz w:val="24"/>
                <w:szCs w:val="24"/>
              </w:rPr>
              <w:t xml:space="preserve"> </w:t>
            </w:r>
            <w:r w:rsidRPr="00C56257">
              <w:rPr>
                <w:color w:val="000000" w:themeColor="text1"/>
                <w:sz w:val="24"/>
                <w:szCs w:val="24"/>
              </w:rPr>
              <w:t>măsuri pentru a atenua impactul</w:t>
            </w:r>
            <w:r w:rsidRPr="00C56257">
              <w:rPr>
                <w:color w:val="000000" w:themeColor="text1"/>
                <w:spacing w:val="1"/>
                <w:sz w:val="24"/>
                <w:szCs w:val="24"/>
              </w:rPr>
              <w:t xml:space="preserve"> </w:t>
            </w:r>
            <w:r w:rsidRPr="00C56257">
              <w:rPr>
                <w:color w:val="000000" w:themeColor="text1"/>
                <w:sz w:val="24"/>
                <w:szCs w:val="24"/>
              </w:rPr>
              <w:t>parcurilor eoliene, cum ar fi</w:t>
            </w:r>
            <w:r w:rsidRPr="00C56257">
              <w:rPr>
                <w:color w:val="000000" w:themeColor="text1"/>
                <w:spacing w:val="1"/>
                <w:sz w:val="24"/>
                <w:szCs w:val="24"/>
              </w:rPr>
              <w:t xml:space="preserve"> </w:t>
            </w:r>
            <w:r w:rsidRPr="00C56257">
              <w:rPr>
                <w:color w:val="000000" w:themeColor="text1"/>
                <w:sz w:val="24"/>
                <w:szCs w:val="24"/>
              </w:rPr>
              <w:t>evitarea construirii de turbine în</w:t>
            </w:r>
            <w:r w:rsidRPr="00C56257">
              <w:rPr>
                <w:color w:val="000000" w:themeColor="text1"/>
                <w:spacing w:val="1"/>
                <w:sz w:val="24"/>
                <w:szCs w:val="24"/>
              </w:rPr>
              <w:t xml:space="preserve"> </w:t>
            </w:r>
            <w:r w:rsidRPr="00C56257">
              <w:rPr>
                <w:color w:val="000000" w:themeColor="text1"/>
                <w:sz w:val="24"/>
                <w:szCs w:val="24"/>
              </w:rPr>
              <w:t>locuri sensibile (de exemplu,</w:t>
            </w:r>
            <w:r w:rsidRPr="00C56257">
              <w:rPr>
                <w:color w:val="000000" w:themeColor="text1"/>
                <w:spacing w:val="1"/>
                <w:sz w:val="24"/>
                <w:szCs w:val="24"/>
              </w:rPr>
              <w:t xml:space="preserve"> </w:t>
            </w:r>
            <w:r w:rsidRPr="00C56257">
              <w:rPr>
                <w:color w:val="000000" w:themeColor="text1"/>
                <w:sz w:val="24"/>
                <w:szCs w:val="24"/>
              </w:rPr>
              <w:t>blocaje de migrație a păsărilor),</w:t>
            </w:r>
            <w:r w:rsidRPr="00C56257">
              <w:rPr>
                <w:color w:val="000000" w:themeColor="text1"/>
                <w:spacing w:val="1"/>
                <w:sz w:val="24"/>
                <w:szCs w:val="24"/>
              </w:rPr>
              <w:t xml:space="preserve"> </w:t>
            </w:r>
            <w:r w:rsidRPr="00C56257">
              <w:rPr>
                <w:color w:val="000000" w:themeColor="text1"/>
                <w:sz w:val="24"/>
                <w:szCs w:val="24"/>
              </w:rPr>
              <w:t>oprirea turbinelor în anumite</w:t>
            </w:r>
            <w:r w:rsidRPr="00C56257">
              <w:rPr>
                <w:color w:val="000000" w:themeColor="text1"/>
                <w:spacing w:val="1"/>
                <w:sz w:val="24"/>
                <w:szCs w:val="24"/>
              </w:rPr>
              <w:t xml:space="preserve"> </w:t>
            </w:r>
            <w:r w:rsidRPr="00C56257">
              <w:rPr>
                <w:color w:val="000000" w:themeColor="text1"/>
                <w:sz w:val="24"/>
                <w:szCs w:val="24"/>
              </w:rPr>
              <w:t>condiții și / sau perioade deosebit</w:t>
            </w:r>
            <w:r w:rsidRPr="00C56257">
              <w:rPr>
                <w:color w:val="000000" w:themeColor="text1"/>
                <w:spacing w:val="-52"/>
                <w:sz w:val="24"/>
                <w:szCs w:val="24"/>
              </w:rPr>
              <w:t xml:space="preserve"> </w:t>
            </w:r>
            <w:r w:rsidRPr="00C56257">
              <w:rPr>
                <w:color w:val="000000" w:themeColor="text1"/>
                <w:sz w:val="24"/>
                <w:szCs w:val="24"/>
              </w:rPr>
              <w:t>de</w:t>
            </w:r>
            <w:r w:rsidRPr="00C56257">
              <w:rPr>
                <w:color w:val="000000" w:themeColor="text1"/>
                <w:spacing w:val="-1"/>
                <w:sz w:val="24"/>
                <w:szCs w:val="24"/>
              </w:rPr>
              <w:t xml:space="preserve"> </w:t>
            </w:r>
            <w:r w:rsidRPr="00C56257">
              <w:rPr>
                <w:color w:val="000000" w:themeColor="text1"/>
                <w:sz w:val="24"/>
                <w:szCs w:val="24"/>
              </w:rPr>
              <w:t>problematice ale</w:t>
            </w:r>
            <w:r w:rsidRPr="00C56257">
              <w:rPr>
                <w:color w:val="000000" w:themeColor="text1"/>
                <w:spacing w:val="-2"/>
                <w:sz w:val="24"/>
                <w:szCs w:val="24"/>
              </w:rPr>
              <w:t xml:space="preserve"> </w:t>
            </w:r>
            <w:r w:rsidRPr="00C56257">
              <w:rPr>
                <w:color w:val="000000" w:themeColor="text1"/>
                <w:sz w:val="24"/>
                <w:szCs w:val="24"/>
              </w:rPr>
              <w:t>anului</w:t>
            </w:r>
          </w:p>
          <w:p w14:paraId="112F9862" w14:textId="77777777" w:rsidR="00F07D5E" w:rsidRPr="00C56257" w:rsidRDefault="00F07D5E" w:rsidP="008E33FD">
            <w:pPr>
              <w:pStyle w:val="TableParagraph"/>
              <w:spacing w:line="252" w:lineRule="exact"/>
              <w:ind w:right="662"/>
              <w:jc w:val="both"/>
              <w:rPr>
                <w:color w:val="000000" w:themeColor="text1"/>
                <w:sz w:val="24"/>
                <w:szCs w:val="24"/>
              </w:rPr>
            </w:pPr>
            <w:r w:rsidRPr="00C56257">
              <w:rPr>
                <w:color w:val="000000" w:themeColor="text1"/>
                <w:sz w:val="24"/>
                <w:szCs w:val="24"/>
              </w:rPr>
              <w:t>(precum momentul migrației</w:t>
            </w:r>
            <w:r w:rsidRPr="00C56257">
              <w:rPr>
                <w:color w:val="000000" w:themeColor="text1"/>
                <w:spacing w:val="-53"/>
                <w:sz w:val="24"/>
                <w:szCs w:val="24"/>
              </w:rPr>
              <w:t xml:space="preserve"> </w:t>
            </w:r>
            <w:r w:rsidRPr="00C56257">
              <w:rPr>
                <w:color w:val="000000" w:themeColor="text1"/>
                <w:sz w:val="24"/>
                <w:szCs w:val="24"/>
              </w:rPr>
              <w:t>maxime).</w:t>
            </w:r>
          </w:p>
        </w:tc>
        <w:tc>
          <w:tcPr>
            <w:tcW w:w="1710" w:type="dxa"/>
          </w:tcPr>
          <w:p w14:paraId="69F5AB2F" w14:textId="77777777" w:rsidR="00F07D5E" w:rsidRPr="00C56257" w:rsidRDefault="00F07D5E" w:rsidP="008E33FD">
            <w:pPr>
              <w:pStyle w:val="TableParagraph"/>
              <w:jc w:val="both"/>
              <w:rPr>
                <w:color w:val="000000" w:themeColor="text1"/>
                <w:sz w:val="24"/>
                <w:szCs w:val="24"/>
              </w:rPr>
            </w:pPr>
          </w:p>
          <w:p w14:paraId="10B52423" w14:textId="77777777" w:rsidR="00F07D5E" w:rsidRPr="00C56257" w:rsidRDefault="00F07D5E" w:rsidP="008E33FD">
            <w:pPr>
              <w:pStyle w:val="TableParagraph"/>
              <w:jc w:val="both"/>
              <w:rPr>
                <w:color w:val="000000" w:themeColor="text1"/>
                <w:sz w:val="24"/>
                <w:szCs w:val="24"/>
              </w:rPr>
            </w:pPr>
          </w:p>
          <w:p w14:paraId="10380213" w14:textId="77777777" w:rsidR="00F07D5E" w:rsidRPr="00C56257" w:rsidRDefault="00F07D5E" w:rsidP="008E33FD">
            <w:pPr>
              <w:pStyle w:val="TableParagraph"/>
              <w:jc w:val="both"/>
              <w:rPr>
                <w:color w:val="000000" w:themeColor="text1"/>
                <w:sz w:val="24"/>
                <w:szCs w:val="24"/>
              </w:rPr>
            </w:pPr>
          </w:p>
          <w:p w14:paraId="4FB43E96" w14:textId="77777777" w:rsidR="00F07D5E" w:rsidRPr="00C56257" w:rsidRDefault="00F07D5E" w:rsidP="008E33FD">
            <w:pPr>
              <w:pStyle w:val="TableParagraph"/>
              <w:jc w:val="both"/>
              <w:rPr>
                <w:color w:val="000000" w:themeColor="text1"/>
                <w:sz w:val="24"/>
                <w:szCs w:val="24"/>
              </w:rPr>
            </w:pPr>
          </w:p>
          <w:p w14:paraId="50D1D65C" w14:textId="77777777" w:rsidR="00F07D5E" w:rsidRPr="00C56257" w:rsidRDefault="00F07D5E" w:rsidP="008E33FD">
            <w:pPr>
              <w:pStyle w:val="TableParagraph"/>
              <w:jc w:val="both"/>
              <w:rPr>
                <w:color w:val="000000" w:themeColor="text1"/>
                <w:sz w:val="24"/>
                <w:szCs w:val="24"/>
              </w:rPr>
            </w:pPr>
          </w:p>
          <w:p w14:paraId="1D196768" w14:textId="77777777" w:rsidR="00F07D5E" w:rsidRPr="00C56257" w:rsidRDefault="00F07D5E" w:rsidP="008E33FD">
            <w:pPr>
              <w:pStyle w:val="TableParagraph"/>
              <w:spacing w:before="5"/>
              <w:jc w:val="both"/>
              <w:rPr>
                <w:color w:val="000000" w:themeColor="text1"/>
                <w:sz w:val="24"/>
                <w:szCs w:val="24"/>
              </w:rPr>
            </w:pPr>
          </w:p>
          <w:p w14:paraId="72A0CE67" w14:textId="77777777" w:rsidR="00F07D5E" w:rsidRPr="00C56257" w:rsidRDefault="00F07D5E" w:rsidP="008E33FD">
            <w:pPr>
              <w:pStyle w:val="TableParagraph"/>
              <w:spacing w:before="1"/>
              <w:ind w:left="105" w:right="258"/>
              <w:jc w:val="both"/>
              <w:rPr>
                <w:color w:val="000000" w:themeColor="text1"/>
                <w:sz w:val="24"/>
                <w:szCs w:val="24"/>
              </w:rPr>
            </w:pPr>
            <w:r w:rsidRPr="00C56257">
              <w:rPr>
                <w:color w:val="000000" w:themeColor="text1"/>
                <w:sz w:val="24"/>
                <w:szCs w:val="24"/>
              </w:rPr>
              <w:t>D01, D03, D04,</w:t>
            </w:r>
            <w:r w:rsidRPr="00C56257">
              <w:rPr>
                <w:color w:val="000000" w:themeColor="text1"/>
                <w:spacing w:val="-52"/>
                <w:sz w:val="24"/>
                <w:szCs w:val="24"/>
              </w:rPr>
              <w:t xml:space="preserve"> </w:t>
            </w:r>
            <w:r w:rsidRPr="00C56257">
              <w:rPr>
                <w:color w:val="000000" w:themeColor="text1"/>
                <w:sz w:val="24"/>
                <w:szCs w:val="24"/>
              </w:rPr>
              <w:t>D05</w:t>
            </w:r>
          </w:p>
        </w:tc>
      </w:tr>
      <w:tr w:rsidR="00F07D5E" w:rsidRPr="00C56257" w14:paraId="7ADD02B9" w14:textId="77777777" w:rsidTr="00277E6E">
        <w:trPr>
          <w:trHeight w:val="6547"/>
        </w:trPr>
        <w:tc>
          <w:tcPr>
            <w:tcW w:w="708" w:type="dxa"/>
          </w:tcPr>
          <w:p w14:paraId="18532A9D" w14:textId="77777777" w:rsidR="00F07D5E" w:rsidRPr="00C56257" w:rsidRDefault="00F07D5E" w:rsidP="008E33FD">
            <w:pPr>
              <w:pStyle w:val="TableParagraph"/>
              <w:spacing w:line="247" w:lineRule="exact"/>
              <w:ind w:right="62"/>
              <w:jc w:val="both"/>
              <w:rPr>
                <w:color w:val="000000" w:themeColor="text1"/>
                <w:sz w:val="24"/>
                <w:szCs w:val="24"/>
              </w:rPr>
            </w:pPr>
            <w:r w:rsidRPr="00C56257">
              <w:rPr>
                <w:color w:val="000000" w:themeColor="text1"/>
                <w:sz w:val="24"/>
                <w:szCs w:val="24"/>
              </w:rPr>
              <w:t>6.</w:t>
            </w:r>
          </w:p>
        </w:tc>
        <w:tc>
          <w:tcPr>
            <w:tcW w:w="1020" w:type="dxa"/>
          </w:tcPr>
          <w:p w14:paraId="49968786" w14:textId="77777777" w:rsidR="00F07D5E" w:rsidRPr="00C56257" w:rsidRDefault="00F07D5E" w:rsidP="008E33FD">
            <w:pPr>
              <w:pStyle w:val="TableParagraph"/>
              <w:jc w:val="both"/>
              <w:rPr>
                <w:color w:val="000000" w:themeColor="text1"/>
                <w:sz w:val="24"/>
                <w:szCs w:val="24"/>
              </w:rPr>
            </w:pPr>
          </w:p>
          <w:p w14:paraId="2EDA0C41" w14:textId="77777777" w:rsidR="00F07D5E" w:rsidRPr="00C56257" w:rsidRDefault="00F07D5E" w:rsidP="008E33FD">
            <w:pPr>
              <w:pStyle w:val="TableParagraph"/>
              <w:jc w:val="both"/>
              <w:rPr>
                <w:color w:val="000000" w:themeColor="text1"/>
                <w:sz w:val="24"/>
                <w:szCs w:val="24"/>
              </w:rPr>
            </w:pPr>
          </w:p>
          <w:p w14:paraId="7E14D4A7" w14:textId="77777777" w:rsidR="00F07D5E" w:rsidRPr="00C56257" w:rsidRDefault="00F07D5E" w:rsidP="008E33FD">
            <w:pPr>
              <w:pStyle w:val="TableParagraph"/>
              <w:jc w:val="both"/>
              <w:rPr>
                <w:color w:val="000000" w:themeColor="text1"/>
                <w:sz w:val="24"/>
                <w:szCs w:val="24"/>
              </w:rPr>
            </w:pPr>
          </w:p>
          <w:p w14:paraId="002F0FF8" w14:textId="77777777" w:rsidR="00F07D5E" w:rsidRPr="00C56257" w:rsidRDefault="00F07D5E" w:rsidP="008E33FD">
            <w:pPr>
              <w:pStyle w:val="TableParagraph"/>
              <w:jc w:val="both"/>
              <w:rPr>
                <w:color w:val="000000" w:themeColor="text1"/>
                <w:sz w:val="24"/>
                <w:szCs w:val="24"/>
              </w:rPr>
            </w:pPr>
          </w:p>
          <w:p w14:paraId="288455F7" w14:textId="77777777" w:rsidR="00F07D5E" w:rsidRPr="00C56257" w:rsidRDefault="00F07D5E" w:rsidP="008E33FD">
            <w:pPr>
              <w:pStyle w:val="TableParagraph"/>
              <w:jc w:val="both"/>
              <w:rPr>
                <w:color w:val="000000" w:themeColor="text1"/>
                <w:sz w:val="24"/>
                <w:szCs w:val="24"/>
              </w:rPr>
            </w:pPr>
          </w:p>
          <w:p w14:paraId="77E2B966" w14:textId="77777777" w:rsidR="00F07D5E" w:rsidRPr="00C56257" w:rsidRDefault="00F07D5E" w:rsidP="008E33FD">
            <w:pPr>
              <w:pStyle w:val="TableParagraph"/>
              <w:jc w:val="both"/>
              <w:rPr>
                <w:color w:val="000000" w:themeColor="text1"/>
                <w:sz w:val="24"/>
                <w:szCs w:val="24"/>
              </w:rPr>
            </w:pPr>
          </w:p>
          <w:p w14:paraId="4FEF7005" w14:textId="77777777" w:rsidR="00F07D5E" w:rsidRPr="00C56257" w:rsidRDefault="00F07D5E" w:rsidP="008E33FD">
            <w:pPr>
              <w:pStyle w:val="TableParagraph"/>
              <w:jc w:val="both"/>
              <w:rPr>
                <w:color w:val="000000" w:themeColor="text1"/>
                <w:sz w:val="24"/>
                <w:szCs w:val="24"/>
              </w:rPr>
            </w:pPr>
          </w:p>
          <w:p w14:paraId="2FA9544C" w14:textId="77777777" w:rsidR="00F07D5E" w:rsidRPr="00C56257" w:rsidRDefault="00F07D5E" w:rsidP="008E33FD">
            <w:pPr>
              <w:pStyle w:val="TableParagraph"/>
              <w:jc w:val="both"/>
              <w:rPr>
                <w:color w:val="000000" w:themeColor="text1"/>
                <w:sz w:val="24"/>
                <w:szCs w:val="24"/>
              </w:rPr>
            </w:pPr>
          </w:p>
          <w:p w14:paraId="0E13B158" w14:textId="77777777" w:rsidR="00F07D5E" w:rsidRPr="00C56257" w:rsidRDefault="00F07D5E" w:rsidP="008E33FD">
            <w:pPr>
              <w:pStyle w:val="TableParagraph"/>
              <w:jc w:val="both"/>
              <w:rPr>
                <w:color w:val="000000" w:themeColor="text1"/>
                <w:sz w:val="24"/>
                <w:szCs w:val="24"/>
              </w:rPr>
            </w:pPr>
          </w:p>
          <w:p w14:paraId="24872642" w14:textId="77777777" w:rsidR="00F07D5E" w:rsidRPr="00C56257" w:rsidRDefault="00F07D5E" w:rsidP="008E33FD">
            <w:pPr>
              <w:pStyle w:val="TableParagraph"/>
              <w:jc w:val="both"/>
              <w:rPr>
                <w:color w:val="000000" w:themeColor="text1"/>
                <w:sz w:val="24"/>
                <w:szCs w:val="24"/>
              </w:rPr>
            </w:pPr>
          </w:p>
          <w:p w14:paraId="6FD368AC" w14:textId="77777777" w:rsidR="00F07D5E" w:rsidRPr="00C56257" w:rsidRDefault="00F07D5E" w:rsidP="008E33FD">
            <w:pPr>
              <w:pStyle w:val="TableParagraph"/>
              <w:jc w:val="both"/>
              <w:rPr>
                <w:color w:val="000000" w:themeColor="text1"/>
                <w:sz w:val="24"/>
                <w:szCs w:val="24"/>
              </w:rPr>
            </w:pPr>
          </w:p>
          <w:p w14:paraId="1C637F41" w14:textId="77777777" w:rsidR="00F07D5E" w:rsidRPr="00C56257" w:rsidRDefault="00F07D5E" w:rsidP="008E33FD">
            <w:pPr>
              <w:pStyle w:val="TableParagraph"/>
              <w:jc w:val="both"/>
              <w:rPr>
                <w:color w:val="000000" w:themeColor="text1"/>
                <w:sz w:val="24"/>
                <w:szCs w:val="24"/>
              </w:rPr>
            </w:pPr>
          </w:p>
          <w:p w14:paraId="3015A254" w14:textId="77777777" w:rsidR="00F07D5E" w:rsidRPr="00C56257" w:rsidRDefault="00F07D5E" w:rsidP="008E33FD">
            <w:pPr>
              <w:pStyle w:val="TableParagraph"/>
              <w:jc w:val="both"/>
              <w:rPr>
                <w:color w:val="000000" w:themeColor="text1"/>
                <w:sz w:val="24"/>
                <w:szCs w:val="24"/>
              </w:rPr>
            </w:pPr>
          </w:p>
          <w:p w14:paraId="49012F75" w14:textId="77777777" w:rsidR="00F07D5E" w:rsidRPr="00C56257" w:rsidRDefault="00F07D5E" w:rsidP="008E33FD">
            <w:pPr>
              <w:pStyle w:val="TableParagraph"/>
              <w:spacing w:before="200"/>
              <w:ind w:left="226" w:right="217"/>
              <w:jc w:val="both"/>
              <w:rPr>
                <w:color w:val="000000" w:themeColor="text1"/>
                <w:sz w:val="24"/>
                <w:szCs w:val="24"/>
              </w:rPr>
            </w:pPr>
            <w:r w:rsidRPr="00C56257">
              <w:rPr>
                <w:color w:val="000000" w:themeColor="text1"/>
                <w:sz w:val="24"/>
                <w:szCs w:val="24"/>
              </w:rPr>
              <w:t>CE01</w:t>
            </w:r>
          </w:p>
        </w:tc>
        <w:tc>
          <w:tcPr>
            <w:tcW w:w="1803" w:type="dxa"/>
          </w:tcPr>
          <w:p w14:paraId="4D866528" w14:textId="77777777" w:rsidR="00F07D5E" w:rsidRPr="00C56257" w:rsidRDefault="00F07D5E" w:rsidP="008E33FD">
            <w:pPr>
              <w:pStyle w:val="TableParagraph"/>
              <w:jc w:val="both"/>
              <w:rPr>
                <w:color w:val="000000" w:themeColor="text1"/>
                <w:sz w:val="24"/>
                <w:szCs w:val="24"/>
              </w:rPr>
            </w:pPr>
          </w:p>
          <w:p w14:paraId="37E39E93" w14:textId="77777777" w:rsidR="00F07D5E" w:rsidRPr="00C56257" w:rsidRDefault="00F07D5E" w:rsidP="008E33FD">
            <w:pPr>
              <w:pStyle w:val="TableParagraph"/>
              <w:jc w:val="both"/>
              <w:rPr>
                <w:color w:val="000000" w:themeColor="text1"/>
                <w:sz w:val="24"/>
                <w:szCs w:val="24"/>
              </w:rPr>
            </w:pPr>
          </w:p>
          <w:p w14:paraId="32474E96" w14:textId="77777777" w:rsidR="00F07D5E" w:rsidRPr="00C56257" w:rsidRDefault="00F07D5E" w:rsidP="008E33FD">
            <w:pPr>
              <w:pStyle w:val="TableParagraph"/>
              <w:jc w:val="both"/>
              <w:rPr>
                <w:color w:val="000000" w:themeColor="text1"/>
                <w:sz w:val="24"/>
                <w:szCs w:val="24"/>
              </w:rPr>
            </w:pPr>
          </w:p>
          <w:p w14:paraId="749E9A85" w14:textId="77777777" w:rsidR="00F07D5E" w:rsidRPr="00C56257" w:rsidRDefault="00F07D5E" w:rsidP="008E33FD">
            <w:pPr>
              <w:pStyle w:val="TableParagraph"/>
              <w:jc w:val="both"/>
              <w:rPr>
                <w:color w:val="000000" w:themeColor="text1"/>
                <w:sz w:val="24"/>
                <w:szCs w:val="24"/>
              </w:rPr>
            </w:pPr>
          </w:p>
          <w:p w14:paraId="039ACBD8" w14:textId="77777777" w:rsidR="00F07D5E" w:rsidRPr="00C56257" w:rsidRDefault="00F07D5E" w:rsidP="008E33FD">
            <w:pPr>
              <w:pStyle w:val="TableParagraph"/>
              <w:jc w:val="both"/>
              <w:rPr>
                <w:color w:val="000000" w:themeColor="text1"/>
                <w:sz w:val="24"/>
                <w:szCs w:val="24"/>
              </w:rPr>
            </w:pPr>
          </w:p>
          <w:p w14:paraId="648AC3C1" w14:textId="77777777" w:rsidR="00F07D5E" w:rsidRPr="00C56257" w:rsidRDefault="00F07D5E" w:rsidP="008E33FD">
            <w:pPr>
              <w:pStyle w:val="TableParagraph"/>
              <w:jc w:val="both"/>
              <w:rPr>
                <w:color w:val="000000" w:themeColor="text1"/>
                <w:sz w:val="24"/>
                <w:szCs w:val="24"/>
              </w:rPr>
            </w:pPr>
          </w:p>
          <w:p w14:paraId="3A84BC59" w14:textId="77777777" w:rsidR="00F07D5E" w:rsidRPr="00C56257" w:rsidRDefault="00F07D5E" w:rsidP="008E33FD">
            <w:pPr>
              <w:pStyle w:val="TableParagraph"/>
              <w:jc w:val="both"/>
              <w:rPr>
                <w:color w:val="000000" w:themeColor="text1"/>
                <w:sz w:val="24"/>
                <w:szCs w:val="24"/>
              </w:rPr>
            </w:pPr>
          </w:p>
          <w:p w14:paraId="113A7821" w14:textId="77777777" w:rsidR="00F07D5E" w:rsidRPr="00C56257" w:rsidRDefault="00F07D5E" w:rsidP="008E33FD">
            <w:pPr>
              <w:pStyle w:val="TableParagraph"/>
              <w:jc w:val="both"/>
              <w:rPr>
                <w:color w:val="000000" w:themeColor="text1"/>
                <w:sz w:val="24"/>
                <w:szCs w:val="24"/>
              </w:rPr>
            </w:pPr>
          </w:p>
          <w:p w14:paraId="0B1F3CA5" w14:textId="77777777" w:rsidR="00F07D5E" w:rsidRPr="00C56257" w:rsidRDefault="00F07D5E" w:rsidP="008E33FD">
            <w:pPr>
              <w:pStyle w:val="TableParagraph"/>
              <w:jc w:val="both"/>
              <w:rPr>
                <w:color w:val="000000" w:themeColor="text1"/>
                <w:sz w:val="24"/>
                <w:szCs w:val="24"/>
              </w:rPr>
            </w:pPr>
          </w:p>
          <w:p w14:paraId="48663153" w14:textId="77777777" w:rsidR="00F07D5E" w:rsidRPr="00C56257" w:rsidRDefault="00F07D5E" w:rsidP="008E33FD">
            <w:pPr>
              <w:pStyle w:val="TableParagraph"/>
              <w:jc w:val="both"/>
              <w:rPr>
                <w:color w:val="000000" w:themeColor="text1"/>
                <w:sz w:val="24"/>
                <w:szCs w:val="24"/>
              </w:rPr>
            </w:pPr>
          </w:p>
          <w:p w14:paraId="137F1D83" w14:textId="77777777" w:rsidR="00F07D5E" w:rsidRPr="00C56257" w:rsidRDefault="00F07D5E" w:rsidP="008E33FD">
            <w:pPr>
              <w:pStyle w:val="TableParagraph"/>
              <w:spacing w:before="4"/>
              <w:jc w:val="both"/>
              <w:rPr>
                <w:color w:val="000000" w:themeColor="text1"/>
                <w:sz w:val="24"/>
                <w:szCs w:val="24"/>
              </w:rPr>
            </w:pPr>
          </w:p>
          <w:p w14:paraId="0E9BF4B3" w14:textId="77777777" w:rsidR="00F07D5E" w:rsidRPr="00C56257" w:rsidRDefault="00F07D5E" w:rsidP="008E33FD">
            <w:pPr>
              <w:pStyle w:val="TableParagraph"/>
              <w:ind w:right="389"/>
              <w:jc w:val="both"/>
              <w:rPr>
                <w:color w:val="000000" w:themeColor="text1"/>
                <w:sz w:val="24"/>
                <w:szCs w:val="24"/>
              </w:rPr>
            </w:pPr>
            <w:r w:rsidRPr="00C56257">
              <w:rPr>
                <w:color w:val="000000" w:themeColor="text1"/>
                <w:sz w:val="24"/>
                <w:szCs w:val="24"/>
              </w:rPr>
              <w:t>Reducerea</w:t>
            </w:r>
            <w:r w:rsidRPr="00C56257">
              <w:rPr>
                <w:color w:val="000000" w:themeColor="text1"/>
                <w:spacing w:val="1"/>
                <w:sz w:val="24"/>
                <w:szCs w:val="24"/>
              </w:rPr>
              <w:t xml:space="preserve"> </w:t>
            </w:r>
            <w:r w:rsidRPr="00C56257">
              <w:rPr>
                <w:color w:val="000000" w:themeColor="text1"/>
                <w:sz w:val="24"/>
                <w:szCs w:val="24"/>
              </w:rPr>
              <w:t>impactului</w:t>
            </w:r>
            <w:r w:rsidRPr="00C56257">
              <w:rPr>
                <w:color w:val="000000" w:themeColor="text1"/>
                <w:spacing w:val="1"/>
                <w:sz w:val="24"/>
                <w:szCs w:val="24"/>
              </w:rPr>
              <w:t xml:space="preserve"> </w:t>
            </w:r>
            <w:r w:rsidRPr="00C56257">
              <w:rPr>
                <w:color w:val="000000" w:themeColor="text1"/>
                <w:sz w:val="24"/>
                <w:szCs w:val="24"/>
              </w:rPr>
              <w:t>activităților de</w:t>
            </w:r>
            <w:r w:rsidRPr="00C56257">
              <w:rPr>
                <w:color w:val="000000" w:themeColor="text1"/>
                <w:spacing w:val="-52"/>
                <w:sz w:val="24"/>
                <w:szCs w:val="24"/>
              </w:rPr>
              <w:t xml:space="preserve"> </w:t>
            </w:r>
            <w:r w:rsidRPr="00C56257">
              <w:rPr>
                <w:color w:val="000000" w:themeColor="text1"/>
                <w:sz w:val="24"/>
                <w:szCs w:val="24"/>
              </w:rPr>
              <w:t>transport și al</w:t>
            </w:r>
            <w:r w:rsidRPr="00C56257">
              <w:rPr>
                <w:color w:val="000000" w:themeColor="text1"/>
                <w:spacing w:val="1"/>
                <w:sz w:val="24"/>
                <w:szCs w:val="24"/>
              </w:rPr>
              <w:t xml:space="preserve"> </w:t>
            </w:r>
            <w:r w:rsidRPr="00C56257">
              <w:rPr>
                <w:color w:val="000000" w:themeColor="text1"/>
                <w:sz w:val="24"/>
                <w:szCs w:val="24"/>
              </w:rPr>
              <w:t>infrastructurii</w:t>
            </w:r>
          </w:p>
        </w:tc>
        <w:tc>
          <w:tcPr>
            <w:tcW w:w="4557" w:type="dxa"/>
          </w:tcPr>
          <w:p w14:paraId="10071CCB" w14:textId="77777777" w:rsidR="00F07D5E" w:rsidRPr="00C56257" w:rsidRDefault="00F07D5E" w:rsidP="008E33FD">
            <w:pPr>
              <w:pStyle w:val="TableParagraph"/>
              <w:ind w:right="394"/>
              <w:jc w:val="both"/>
              <w:rPr>
                <w:color w:val="000000" w:themeColor="text1"/>
                <w:sz w:val="24"/>
                <w:szCs w:val="24"/>
              </w:rPr>
            </w:pPr>
            <w:r w:rsidRPr="00C56257">
              <w:rPr>
                <w:color w:val="000000" w:themeColor="text1"/>
                <w:sz w:val="24"/>
                <w:szCs w:val="24"/>
              </w:rPr>
              <w:t>Reducerea impactului</w:t>
            </w:r>
            <w:r w:rsidRPr="00C56257">
              <w:rPr>
                <w:color w:val="000000" w:themeColor="text1"/>
                <w:spacing w:val="1"/>
                <w:sz w:val="24"/>
                <w:szCs w:val="24"/>
              </w:rPr>
              <w:t xml:space="preserve"> </w:t>
            </w:r>
            <w:r w:rsidRPr="00C56257">
              <w:rPr>
                <w:color w:val="000000" w:themeColor="text1"/>
                <w:sz w:val="24"/>
                <w:szCs w:val="24"/>
              </w:rPr>
              <w:t>infrastructurilor de transport</w:t>
            </w:r>
            <w:r w:rsidRPr="00C56257">
              <w:rPr>
                <w:color w:val="000000" w:themeColor="text1"/>
                <w:spacing w:val="1"/>
                <w:sz w:val="24"/>
                <w:szCs w:val="24"/>
              </w:rPr>
              <w:t xml:space="preserve"> </w:t>
            </w:r>
            <w:r w:rsidRPr="00C56257">
              <w:rPr>
                <w:color w:val="000000" w:themeColor="text1"/>
                <w:sz w:val="24"/>
                <w:szCs w:val="24"/>
              </w:rPr>
              <w:t>(drumuri, căi ferate, poduri,</w:t>
            </w:r>
            <w:r w:rsidRPr="00C56257">
              <w:rPr>
                <w:color w:val="000000" w:themeColor="text1"/>
                <w:spacing w:val="1"/>
                <w:sz w:val="24"/>
                <w:szCs w:val="24"/>
              </w:rPr>
              <w:t xml:space="preserve"> </w:t>
            </w:r>
            <w:r w:rsidRPr="00C56257">
              <w:rPr>
                <w:color w:val="000000" w:themeColor="text1"/>
                <w:sz w:val="24"/>
                <w:szCs w:val="24"/>
              </w:rPr>
              <w:t>viaducte, tuneluri, coridoare și</w:t>
            </w:r>
            <w:r w:rsidRPr="00C56257">
              <w:rPr>
                <w:color w:val="000000" w:themeColor="text1"/>
                <w:spacing w:val="1"/>
                <w:sz w:val="24"/>
                <w:szCs w:val="24"/>
              </w:rPr>
              <w:t xml:space="preserve"> </w:t>
            </w:r>
            <w:r w:rsidRPr="00C56257">
              <w:rPr>
                <w:color w:val="000000" w:themeColor="text1"/>
                <w:sz w:val="24"/>
                <w:szCs w:val="24"/>
              </w:rPr>
              <w:t>canale de navigație, strâmtori,</w:t>
            </w:r>
            <w:r w:rsidRPr="00C56257">
              <w:rPr>
                <w:color w:val="000000" w:themeColor="text1"/>
                <w:spacing w:val="1"/>
                <w:sz w:val="24"/>
                <w:szCs w:val="24"/>
              </w:rPr>
              <w:t xml:space="preserve"> </w:t>
            </w:r>
            <w:r w:rsidRPr="00C56257">
              <w:rPr>
                <w:color w:val="000000" w:themeColor="text1"/>
                <w:sz w:val="24"/>
                <w:szCs w:val="24"/>
              </w:rPr>
              <w:t>porturi, aerodromuri) și</w:t>
            </w:r>
            <w:r w:rsidRPr="00C56257">
              <w:rPr>
                <w:color w:val="000000" w:themeColor="text1"/>
                <w:spacing w:val="1"/>
                <w:sz w:val="24"/>
                <w:szCs w:val="24"/>
              </w:rPr>
              <w:t xml:space="preserve"> </w:t>
            </w:r>
            <w:r w:rsidRPr="00C56257">
              <w:rPr>
                <w:color w:val="000000" w:themeColor="text1"/>
                <w:sz w:val="24"/>
                <w:szCs w:val="24"/>
              </w:rPr>
              <w:t>activităților de transport asupra</w:t>
            </w:r>
            <w:r w:rsidRPr="00C56257">
              <w:rPr>
                <w:color w:val="000000" w:themeColor="text1"/>
                <w:spacing w:val="1"/>
                <w:sz w:val="24"/>
                <w:szCs w:val="24"/>
              </w:rPr>
              <w:t xml:space="preserve"> </w:t>
            </w:r>
            <w:r w:rsidRPr="00C56257">
              <w:rPr>
                <w:color w:val="000000" w:themeColor="text1"/>
                <w:sz w:val="24"/>
                <w:szCs w:val="24"/>
              </w:rPr>
              <w:t>habitatelor și speciilor vizate de</w:t>
            </w:r>
            <w:r w:rsidRPr="00C56257">
              <w:rPr>
                <w:color w:val="000000" w:themeColor="text1"/>
                <w:spacing w:val="-52"/>
                <w:sz w:val="24"/>
                <w:szCs w:val="24"/>
              </w:rPr>
              <w:t xml:space="preserve"> </w:t>
            </w:r>
            <w:r w:rsidRPr="00C56257">
              <w:rPr>
                <w:color w:val="000000" w:themeColor="text1"/>
                <w:sz w:val="24"/>
                <w:szCs w:val="24"/>
              </w:rPr>
              <w:t>directivele privind conservarea</w:t>
            </w:r>
            <w:r w:rsidRPr="00C56257">
              <w:rPr>
                <w:color w:val="000000" w:themeColor="text1"/>
                <w:spacing w:val="1"/>
                <w:sz w:val="24"/>
                <w:szCs w:val="24"/>
              </w:rPr>
              <w:t xml:space="preserve"> </w:t>
            </w:r>
            <w:r w:rsidRPr="00C56257">
              <w:rPr>
                <w:color w:val="000000" w:themeColor="text1"/>
                <w:sz w:val="24"/>
                <w:szCs w:val="24"/>
              </w:rPr>
              <w:t>naturii.</w:t>
            </w:r>
          </w:p>
          <w:p w14:paraId="7BE86033" w14:textId="77777777" w:rsidR="00F07D5E" w:rsidRPr="00C56257" w:rsidRDefault="00F07D5E" w:rsidP="008E33FD">
            <w:pPr>
              <w:pStyle w:val="TableParagraph"/>
              <w:ind w:right="125"/>
              <w:jc w:val="both"/>
              <w:rPr>
                <w:color w:val="000000" w:themeColor="text1"/>
                <w:sz w:val="24"/>
                <w:szCs w:val="24"/>
              </w:rPr>
            </w:pPr>
            <w:r w:rsidRPr="00C56257">
              <w:rPr>
                <w:color w:val="000000" w:themeColor="text1"/>
                <w:sz w:val="24"/>
                <w:szCs w:val="24"/>
              </w:rPr>
              <w:t>Aceasta include, de exemplu,</w:t>
            </w:r>
            <w:r w:rsidRPr="00C56257">
              <w:rPr>
                <w:color w:val="000000" w:themeColor="text1"/>
                <w:spacing w:val="1"/>
                <w:sz w:val="24"/>
                <w:szCs w:val="24"/>
              </w:rPr>
              <w:t xml:space="preserve"> </w:t>
            </w:r>
            <w:r w:rsidRPr="00C56257">
              <w:rPr>
                <w:color w:val="000000" w:themeColor="text1"/>
                <w:sz w:val="24"/>
                <w:szCs w:val="24"/>
              </w:rPr>
              <w:t>construirea și gestionarea pasajelor</w:t>
            </w:r>
            <w:r w:rsidRPr="00C56257">
              <w:rPr>
                <w:color w:val="000000" w:themeColor="text1"/>
                <w:spacing w:val="-53"/>
                <w:sz w:val="24"/>
                <w:szCs w:val="24"/>
              </w:rPr>
              <w:t xml:space="preserve"> </w:t>
            </w:r>
            <w:r w:rsidRPr="00C56257">
              <w:rPr>
                <w:color w:val="000000" w:themeColor="text1"/>
                <w:sz w:val="24"/>
                <w:szCs w:val="24"/>
              </w:rPr>
              <w:t>pentru animale, dezvoltarea</w:t>
            </w:r>
            <w:r w:rsidRPr="00C56257">
              <w:rPr>
                <w:color w:val="000000" w:themeColor="text1"/>
                <w:spacing w:val="1"/>
                <w:sz w:val="24"/>
                <w:szCs w:val="24"/>
              </w:rPr>
              <w:t xml:space="preserve"> </w:t>
            </w:r>
            <w:r w:rsidRPr="00C56257">
              <w:rPr>
                <w:color w:val="000000" w:themeColor="text1"/>
                <w:sz w:val="24"/>
                <w:szCs w:val="24"/>
              </w:rPr>
              <w:t>infrastructurii verzi / albastre,</w:t>
            </w:r>
            <w:r w:rsidRPr="00C56257">
              <w:rPr>
                <w:color w:val="000000" w:themeColor="text1"/>
                <w:spacing w:val="1"/>
                <w:sz w:val="24"/>
                <w:szCs w:val="24"/>
              </w:rPr>
              <w:t xml:space="preserve"> </w:t>
            </w:r>
            <w:r w:rsidRPr="00C56257">
              <w:rPr>
                <w:color w:val="000000" w:themeColor="text1"/>
                <w:sz w:val="24"/>
                <w:szCs w:val="24"/>
              </w:rPr>
              <w:t>gestionarea</w:t>
            </w:r>
            <w:r w:rsidRPr="00C56257">
              <w:rPr>
                <w:color w:val="000000" w:themeColor="text1"/>
                <w:spacing w:val="-1"/>
                <w:sz w:val="24"/>
                <w:szCs w:val="24"/>
              </w:rPr>
              <w:t xml:space="preserve"> </w:t>
            </w:r>
            <w:r w:rsidRPr="00C56257">
              <w:rPr>
                <w:color w:val="000000" w:themeColor="text1"/>
                <w:sz w:val="24"/>
                <w:szCs w:val="24"/>
              </w:rPr>
              <w:t>traficului și</w:t>
            </w:r>
            <w:r w:rsidRPr="00C56257">
              <w:rPr>
                <w:color w:val="000000" w:themeColor="text1"/>
                <w:spacing w:val="1"/>
                <w:sz w:val="24"/>
                <w:szCs w:val="24"/>
              </w:rPr>
              <w:t xml:space="preserve"> </w:t>
            </w:r>
            <w:r w:rsidRPr="00C56257">
              <w:rPr>
                <w:color w:val="000000" w:themeColor="text1"/>
                <w:sz w:val="24"/>
                <w:szCs w:val="24"/>
              </w:rPr>
              <w:t>a</w:t>
            </w:r>
            <w:r w:rsidRPr="00C56257">
              <w:rPr>
                <w:color w:val="000000" w:themeColor="text1"/>
                <w:spacing w:val="1"/>
                <w:sz w:val="24"/>
                <w:szCs w:val="24"/>
              </w:rPr>
              <w:t xml:space="preserve"> </w:t>
            </w:r>
            <w:r w:rsidRPr="00C56257">
              <w:rPr>
                <w:color w:val="000000" w:themeColor="text1"/>
                <w:sz w:val="24"/>
                <w:szCs w:val="24"/>
              </w:rPr>
              <w:t>infrastructurii marine și fluviale</w:t>
            </w:r>
            <w:r w:rsidRPr="00C56257">
              <w:rPr>
                <w:color w:val="000000" w:themeColor="text1"/>
                <w:spacing w:val="1"/>
                <w:sz w:val="24"/>
                <w:szCs w:val="24"/>
              </w:rPr>
              <w:t xml:space="preserve"> </w:t>
            </w:r>
            <w:r w:rsidRPr="00C56257">
              <w:rPr>
                <w:color w:val="000000" w:themeColor="text1"/>
                <w:sz w:val="24"/>
                <w:szCs w:val="24"/>
              </w:rPr>
              <w:t>pentru, de exemplu, reducerea</w:t>
            </w:r>
            <w:r w:rsidRPr="00C56257">
              <w:rPr>
                <w:color w:val="000000" w:themeColor="text1"/>
                <w:spacing w:val="1"/>
                <w:sz w:val="24"/>
                <w:szCs w:val="24"/>
              </w:rPr>
              <w:t xml:space="preserve"> </w:t>
            </w:r>
            <w:r w:rsidRPr="00C56257">
              <w:rPr>
                <w:color w:val="000000" w:themeColor="text1"/>
                <w:sz w:val="24"/>
                <w:szCs w:val="24"/>
              </w:rPr>
              <w:t>eroziunii malurilor și descurajarea</w:t>
            </w:r>
            <w:r w:rsidRPr="00C56257">
              <w:rPr>
                <w:color w:val="000000" w:themeColor="text1"/>
                <w:spacing w:val="1"/>
                <w:sz w:val="24"/>
                <w:szCs w:val="24"/>
              </w:rPr>
              <w:t xml:space="preserve"> </w:t>
            </w:r>
            <w:r w:rsidRPr="00C56257">
              <w:rPr>
                <w:color w:val="000000" w:themeColor="text1"/>
                <w:sz w:val="24"/>
                <w:szCs w:val="24"/>
              </w:rPr>
              <w:t>(de exemplu, lăsând iarba să</w:t>
            </w:r>
            <w:r w:rsidRPr="00C56257">
              <w:rPr>
                <w:color w:val="000000" w:themeColor="text1"/>
                <w:spacing w:val="1"/>
                <w:sz w:val="24"/>
                <w:szCs w:val="24"/>
              </w:rPr>
              <w:t xml:space="preserve"> </w:t>
            </w:r>
            <w:r w:rsidRPr="00C56257">
              <w:rPr>
                <w:color w:val="000000" w:themeColor="text1"/>
                <w:sz w:val="24"/>
                <w:szCs w:val="24"/>
              </w:rPr>
              <w:t>crească mult timp sau folosind</w:t>
            </w:r>
            <w:r w:rsidRPr="00C56257">
              <w:rPr>
                <w:color w:val="000000" w:themeColor="text1"/>
                <w:spacing w:val="1"/>
                <w:sz w:val="24"/>
                <w:szCs w:val="24"/>
              </w:rPr>
              <w:t xml:space="preserve"> </w:t>
            </w:r>
            <w:r w:rsidRPr="00C56257">
              <w:rPr>
                <w:color w:val="000000" w:themeColor="text1"/>
                <w:sz w:val="24"/>
                <w:szCs w:val="24"/>
              </w:rPr>
              <w:t>tactici</w:t>
            </w:r>
            <w:r w:rsidRPr="00C56257">
              <w:rPr>
                <w:color w:val="000000" w:themeColor="text1"/>
                <w:spacing w:val="9"/>
                <w:sz w:val="24"/>
                <w:szCs w:val="24"/>
              </w:rPr>
              <w:t xml:space="preserve"> </w:t>
            </w:r>
            <w:r w:rsidRPr="00C56257">
              <w:rPr>
                <w:color w:val="000000" w:themeColor="text1"/>
                <w:sz w:val="24"/>
                <w:szCs w:val="24"/>
              </w:rPr>
              <w:t>active</w:t>
            </w:r>
            <w:r w:rsidRPr="00C56257">
              <w:rPr>
                <w:color w:val="000000" w:themeColor="text1"/>
                <w:spacing w:val="9"/>
                <w:sz w:val="24"/>
                <w:szCs w:val="24"/>
              </w:rPr>
              <w:t xml:space="preserve"> </w:t>
            </w:r>
            <w:r w:rsidRPr="00C56257">
              <w:rPr>
                <w:color w:val="000000" w:themeColor="text1"/>
                <w:sz w:val="24"/>
                <w:szCs w:val="24"/>
              </w:rPr>
              <w:t>de</w:t>
            </w:r>
            <w:r w:rsidRPr="00C56257">
              <w:rPr>
                <w:color w:val="000000" w:themeColor="text1"/>
                <w:spacing w:val="9"/>
                <w:sz w:val="24"/>
                <w:szCs w:val="24"/>
              </w:rPr>
              <w:t xml:space="preserve"> </w:t>
            </w:r>
            <w:r w:rsidRPr="00C56257">
              <w:rPr>
                <w:color w:val="000000" w:themeColor="text1"/>
                <w:sz w:val="24"/>
                <w:szCs w:val="24"/>
              </w:rPr>
              <w:t>”speriat”)</w:t>
            </w:r>
            <w:r w:rsidRPr="00C56257">
              <w:rPr>
                <w:color w:val="000000" w:themeColor="text1"/>
                <w:spacing w:val="1"/>
                <w:sz w:val="24"/>
                <w:szCs w:val="24"/>
              </w:rPr>
              <w:t xml:space="preserve"> </w:t>
            </w:r>
            <w:r w:rsidRPr="00C56257">
              <w:rPr>
                <w:color w:val="000000" w:themeColor="text1"/>
                <w:sz w:val="24"/>
                <w:szCs w:val="24"/>
              </w:rPr>
              <w:t>păsărilor în folosirea</w:t>
            </w:r>
            <w:r w:rsidRPr="00C56257">
              <w:rPr>
                <w:color w:val="000000" w:themeColor="text1"/>
                <w:spacing w:val="1"/>
                <w:sz w:val="24"/>
                <w:szCs w:val="24"/>
              </w:rPr>
              <w:t xml:space="preserve"> </w:t>
            </w:r>
            <w:r w:rsidRPr="00C56257">
              <w:rPr>
                <w:color w:val="000000" w:themeColor="text1"/>
                <w:sz w:val="24"/>
                <w:szCs w:val="24"/>
              </w:rPr>
              <w:t>aeroporturilor/aerodromurilor.</w:t>
            </w:r>
          </w:p>
          <w:p w14:paraId="1CBF772C" w14:textId="77777777" w:rsidR="00F07D5E" w:rsidRPr="00C56257" w:rsidRDefault="00F07D5E" w:rsidP="008E33FD">
            <w:pPr>
              <w:pStyle w:val="TableParagraph"/>
              <w:ind w:right="626" w:firstLine="55"/>
              <w:jc w:val="both"/>
              <w:rPr>
                <w:color w:val="000000" w:themeColor="text1"/>
                <w:sz w:val="24"/>
                <w:szCs w:val="24"/>
              </w:rPr>
            </w:pPr>
            <w:r w:rsidRPr="00C56257">
              <w:rPr>
                <w:color w:val="000000" w:themeColor="text1"/>
                <w:sz w:val="24"/>
                <w:szCs w:val="24"/>
              </w:rPr>
              <w:t>De asemenea, include orice</w:t>
            </w:r>
            <w:r w:rsidRPr="00C56257">
              <w:rPr>
                <w:color w:val="000000" w:themeColor="text1"/>
                <w:spacing w:val="1"/>
                <w:sz w:val="24"/>
                <w:szCs w:val="24"/>
              </w:rPr>
              <w:t xml:space="preserve"> </w:t>
            </w:r>
            <w:r w:rsidRPr="00C56257">
              <w:rPr>
                <w:color w:val="000000" w:themeColor="text1"/>
                <w:sz w:val="24"/>
                <w:szCs w:val="24"/>
              </w:rPr>
              <w:t>măsuri de reducere a poluării</w:t>
            </w:r>
            <w:r w:rsidRPr="00C56257">
              <w:rPr>
                <w:color w:val="000000" w:themeColor="text1"/>
                <w:spacing w:val="-52"/>
                <w:sz w:val="24"/>
                <w:szCs w:val="24"/>
              </w:rPr>
              <w:t xml:space="preserve"> </w:t>
            </w:r>
            <w:r w:rsidRPr="00C56257">
              <w:rPr>
                <w:color w:val="000000" w:themeColor="text1"/>
                <w:sz w:val="24"/>
                <w:szCs w:val="24"/>
              </w:rPr>
              <w:t>fonice</w:t>
            </w:r>
            <w:r w:rsidRPr="00C56257">
              <w:rPr>
                <w:color w:val="000000" w:themeColor="text1"/>
                <w:spacing w:val="-1"/>
                <w:sz w:val="24"/>
                <w:szCs w:val="24"/>
              </w:rPr>
              <w:t xml:space="preserve"> </w:t>
            </w:r>
            <w:r w:rsidRPr="00C56257">
              <w:rPr>
                <w:color w:val="000000" w:themeColor="text1"/>
                <w:sz w:val="24"/>
                <w:szCs w:val="24"/>
              </w:rPr>
              <w:t>și</w:t>
            </w:r>
            <w:r w:rsidRPr="00C56257">
              <w:rPr>
                <w:color w:val="000000" w:themeColor="text1"/>
                <w:spacing w:val="1"/>
                <w:sz w:val="24"/>
                <w:szCs w:val="24"/>
              </w:rPr>
              <w:t xml:space="preserve"> </w:t>
            </w:r>
            <w:r w:rsidRPr="00C56257">
              <w:rPr>
                <w:color w:val="000000" w:themeColor="text1"/>
                <w:sz w:val="24"/>
                <w:szCs w:val="24"/>
              </w:rPr>
              <w:t>luminoase.</w:t>
            </w:r>
          </w:p>
          <w:p w14:paraId="784B8329" w14:textId="77777777" w:rsidR="00F07D5E" w:rsidRPr="00C56257" w:rsidRDefault="00F07D5E" w:rsidP="008E33FD">
            <w:pPr>
              <w:pStyle w:val="TableParagraph"/>
              <w:jc w:val="both"/>
              <w:rPr>
                <w:color w:val="000000" w:themeColor="text1"/>
                <w:sz w:val="24"/>
                <w:szCs w:val="24"/>
              </w:rPr>
            </w:pPr>
            <w:r w:rsidRPr="00C56257">
              <w:rPr>
                <w:color w:val="000000" w:themeColor="text1"/>
                <w:sz w:val="24"/>
                <w:szCs w:val="24"/>
              </w:rPr>
              <w:t>Reglementarea traficului sau</w:t>
            </w:r>
            <w:r w:rsidRPr="00C56257">
              <w:rPr>
                <w:color w:val="000000" w:themeColor="text1"/>
                <w:spacing w:val="1"/>
                <w:sz w:val="24"/>
                <w:szCs w:val="24"/>
              </w:rPr>
              <w:t xml:space="preserve"> </w:t>
            </w:r>
            <w:r w:rsidRPr="00C56257">
              <w:rPr>
                <w:color w:val="000000" w:themeColor="text1"/>
                <w:sz w:val="24"/>
                <w:szCs w:val="24"/>
              </w:rPr>
              <w:t>construcția infrastructurii de</w:t>
            </w:r>
            <w:r w:rsidRPr="00C56257">
              <w:rPr>
                <w:color w:val="000000" w:themeColor="text1"/>
                <w:spacing w:val="1"/>
                <w:sz w:val="24"/>
                <w:szCs w:val="24"/>
              </w:rPr>
              <w:t xml:space="preserve"> </w:t>
            </w:r>
            <w:r w:rsidRPr="00C56257">
              <w:rPr>
                <w:color w:val="000000" w:themeColor="text1"/>
                <w:sz w:val="24"/>
                <w:szCs w:val="24"/>
              </w:rPr>
              <w:t>circulație</w:t>
            </w:r>
            <w:r w:rsidRPr="00C56257">
              <w:rPr>
                <w:color w:val="000000" w:themeColor="text1"/>
                <w:spacing w:val="-2"/>
                <w:sz w:val="24"/>
                <w:szCs w:val="24"/>
              </w:rPr>
              <w:t xml:space="preserve"> </w:t>
            </w:r>
            <w:r w:rsidRPr="00C56257">
              <w:rPr>
                <w:color w:val="000000" w:themeColor="text1"/>
                <w:sz w:val="24"/>
                <w:szCs w:val="24"/>
              </w:rPr>
              <w:t>pentru</w:t>
            </w:r>
            <w:r w:rsidRPr="00C56257">
              <w:rPr>
                <w:color w:val="000000" w:themeColor="text1"/>
                <w:spacing w:val="-1"/>
                <w:sz w:val="24"/>
                <w:szCs w:val="24"/>
              </w:rPr>
              <w:t xml:space="preserve"> </w:t>
            </w:r>
            <w:r w:rsidRPr="00C56257">
              <w:rPr>
                <w:color w:val="000000" w:themeColor="text1"/>
                <w:sz w:val="24"/>
                <w:szCs w:val="24"/>
              </w:rPr>
              <w:t>a</w:t>
            </w:r>
            <w:r w:rsidRPr="00C56257">
              <w:rPr>
                <w:color w:val="000000" w:themeColor="text1"/>
                <w:spacing w:val="-3"/>
                <w:sz w:val="24"/>
                <w:szCs w:val="24"/>
              </w:rPr>
              <w:t xml:space="preserve"> </w:t>
            </w:r>
            <w:r w:rsidRPr="00C56257">
              <w:rPr>
                <w:color w:val="000000" w:themeColor="text1"/>
                <w:sz w:val="24"/>
                <w:szCs w:val="24"/>
              </w:rPr>
              <w:t>reduce</w:t>
            </w:r>
            <w:r w:rsidRPr="00C56257">
              <w:rPr>
                <w:color w:val="000000" w:themeColor="text1"/>
                <w:spacing w:val="-2"/>
                <w:sz w:val="24"/>
                <w:szCs w:val="24"/>
              </w:rPr>
              <w:t xml:space="preserve"> </w:t>
            </w:r>
            <w:r w:rsidRPr="00C56257">
              <w:rPr>
                <w:color w:val="000000" w:themeColor="text1"/>
                <w:sz w:val="24"/>
                <w:szCs w:val="24"/>
              </w:rPr>
              <w:t>poluarea</w:t>
            </w:r>
          </w:p>
          <w:p w14:paraId="03F3B43C" w14:textId="77777777" w:rsidR="00F07D5E" w:rsidRPr="00C56257" w:rsidRDefault="00F07D5E" w:rsidP="008E33FD">
            <w:pPr>
              <w:pStyle w:val="TableParagraph"/>
              <w:spacing w:line="252" w:lineRule="exact"/>
              <w:ind w:right="132"/>
              <w:jc w:val="both"/>
              <w:rPr>
                <w:color w:val="000000" w:themeColor="text1"/>
                <w:sz w:val="24"/>
                <w:szCs w:val="24"/>
              </w:rPr>
            </w:pPr>
            <w:r w:rsidRPr="00C56257">
              <w:rPr>
                <w:color w:val="000000" w:themeColor="text1"/>
                <w:sz w:val="24"/>
                <w:szCs w:val="24"/>
              </w:rPr>
              <w:t>chimică /cu particule care ar trebui</w:t>
            </w:r>
            <w:r w:rsidRPr="00C56257">
              <w:rPr>
                <w:color w:val="000000" w:themeColor="text1"/>
                <w:spacing w:val="-52"/>
                <w:sz w:val="24"/>
                <w:szCs w:val="24"/>
              </w:rPr>
              <w:t xml:space="preserve"> </w:t>
            </w:r>
            <w:r w:rsidRPr="00C56257">
              <w:rPr>
                <w:color w:val="000000" w:themeColor="text1"/>
                <w:sz w:val="24"/>
                <w:szCs w:val="24"/>
              </w:rPr>
              <w:t>raportată</w:t>
            </w:r>
            <w:r w:rsidRPr="00C56257">
              <w:rPr>
                <w:color w:val="000000" w:themeColor="text1"/>
                <w:spacing w:val="-3"/>
                <w:sz w:val="24"/>
                <w:szCs w:val="24"/>
              </w:rPr>
              <w:t xml:space="preserve"> </w:t>
            </w:r>
            <w:r w:rsidRPr="00C56257">
              <w:rPr>
                <w:color w:val="000000" w:themeColor="text1"/>
                <w:sz w:val="24"/>
                <w:szCs w:val="24"/>
              </w:rPr>
              <w:t>sub codul</w:t>
            </w:r>
            <w:r w:rsidRPr="00C56257">
              <w:rPr>
                <w:color w:val="000000" w:themeColor="text1"/>
                <w:spacing w:val="1"/>
                <w:sz w:val="24"/>
                <w:szCs w:val="24"/>
              </w:rPr>
              <w:t xml:space="preserve"> </w:t>
            </w:r>
            <w:r w:rsidRPr="00C56257">
              <w:rPr>
                <w:color w:val="000000" w:themeColor="text1"/>
                <w:sz w:val="24"/>
                <w:szCs w:val="24"/>
              </w:rPr>
              <w:t>CE03.</w:t>
            </w:r>
          </w:p>
        </w:tc>
        <w:tc>
          <w:tcPr>
            <w:tcW w:w="1710" w:type="dxa"/>
          </w:tcPr>
          <w:p w14:paraId="37560A7C" w14:textId="77777777" w:rsidR="00F07D5E" w:rsidRPr="00C56257" w:rsidRDefault="00F07D5E" w:rsidP="008E33FD">
            <w:pPr>
              <w:pStyle w:val="TableParagraph"/>
              <w:jc w:val="both"/>
              <w:rPr>
                <w:color w:val="000000" w:themeColor="text1"/>
                <w:sz w:val="24"/>
                <w:szCs w:val="24"/>
              </w:rPr>
            </w:pPr>
          </w:p>
        </w:tc>
      </w:tr>
      <w:tr w:rsidR="00F07D5E" w:rsidRPr="00C56257" w14:paraId="50F54755" w14:textId="77777777" w:rsidTr="00F07D5E">
        <w:trPr>
          <w:trHeight w:val="1519"/>
        </w:trPr>
        <w:tc>
          <w:tcPr>
            <w:tcW w:w="708" w:type="dxa"/>
          </w:tcPr>
          <w:p w14:paraId="0BBE5E95" w14:textId="77777777" w:rsidR="00F07D5E" w:rsidRPr="00C56257" w:rsidRDefault="00F07D5E" w:rsidP="008E33FD">
            <w:pPr>
              <w:pStyle w:val="TableParagraph"/>
              <w:spacing w:line="249" w:lineRule="exact"/>
              <w:ind w:right="62"/>
              <w:jc w:val="both"/>
              <w:rPr>
                <w:color w:val="000000" w:themeColor="text1"/>
                <w:sz w:val="24"/>
                <w:szCs w:val="24"/>
              </w:rPr>
            </w:pPr>
            <w:r w:rsidRPr="00C56257">
              <w:rPr>
                <w:color w:val="000000" w:themeColor="text1"/>
                <w:sz w:val="24"/>
                <w:szCs w:val="24"/>
              </w:rPr>
              <w:t>7.</w:t>
            </w:r>
          </w:p>
        </w:tc>
        <w:tc>
          <w:tcPr>
            <w:tcW w:w="1020" w:type="dxa"/>
          </w:tcPr>
          <w:p w14:paraId="213F38D9" w14:textId="77777777" w:rsidR="00F07D5E" w:rsidRPr="00C56257" w:rsidRDefault="00F07D5E" w:rsidP="008E33FD">
            <w:pPr>
              <w:pStyle w:val="TableParagraph"/>
              <w:jc w:val="both"/>
              <w:rPr>
                <w:color w:val="000000" w:themeColor="text1"/>
                <w:sz w:val="24"/>
                <w:szCs w:val="24"/>
              </w:rPr>
            </w:pPr>
          </w:p>
          <w:p w14:paraId="11749196" w14:textId="77777777" w:rsidR="00F07D5E" w:rsidRPr="00C56257" w:rsidRDefault="00F07D5E" w:rsidP="008E33FD">
            <w:pPr>
              <w:pStyle w:val="TableParagraph"/>
              <w:spacing w:before="6"/>
              <w:jc w:val="both"/>
              <w:rPr>
                <w:color w:val="000000" w:themeColor="text1"/>
                <w:sz w:val="24"/>
                <w:szCs w:val="24"/>
              </w:rPr>
            </w:pPr>
          </w:p>
          <w:p w14:paraId="4001D62C" w14:textId="77777777" w:rsidR="00F07D5E" w:rsidRPr="00C56257" w:rsidRDefault="00F07D5E" w:rsidP="008E33FD">
            <w:pPr>
              <w:pStyle w:val="TableParagraph"/>
              <w:ind w:left="226" w:right="217"/>
              <w:jc w:val="both"/>
              <w:rPr>
                <w:color w:val="000000" w:themeColor="text1"/>
                <w:sz w:val="24"/>
                <w:szCs w:val="24"/>
              </w:rPr>
            </w:pPr>
            <w:r w:rsidRPr="00C56257">
              <w:rPr>
                <w:color w:val="000000" w:themeColor="text1"/>
                <w:sz w:val="24"/>
                <w:szCs w:val="24"/>
              </w:rPr>
              <w:t>CI01</w:t>
            </w:r>
          </w:p>
        </w:tc>
        <w:tc>
          <w:tcPr>
            <w:tcW w:w="1803" w:type="dxa"/>
          </w:tcPr>
          <w:p w14:paraId="2182360B" w14:textId="77777777" w:rsidR="00F07D5E" w:rsidRPr="00C56257" w:rsidRDefault="00F07D5E" w:rsidP="008E33FD">
            <w:pPr>
              <w:pStyle w:val="TableParagraph"/>
              <w:ind w:right="157"/>
              <w:jc w:val="both"/>
              <w:rPr>
                <w:color w:val="000000" w:themeColor="text1"/>
                <w:sz w:val="24"/>
                <w:szCs w:val="24"/>
              </w:rPr>
            </w:pPr>
            <w:r w:rsidRPr="00C56257">
              <w:rPr>
                <w:color w:val="000000" w:themeColor="text1"/>
                <w:sz w:val="24"/>
                <w:szCs w:val="24"/>
              </w:rPr>
              <w:t>Detectarea</w:t>
            </w:r>
            <w:r w:rsidRPr="00C56257">
              <w:rPr>
                <w:color w:val="000000" w:themeColor="text1"/>
                <w:spacing w:val="1"/>
                <w:sz w:val="24"/>
                <w:szCs w:val="24"/>
              </w:rPr>
              <w:t xml:space="preserve"> </w:t>
            </w:r>
            <w:r w:rsidRPr="00C56257">
              <w:rPr>
                <w:color w:val="000000" w:themeColor="text1"/>
                <w:sz w:val="24"/>
                <w:szCs w:val="24"/>
              </w:rPr>
              <w:t>timpurie și</w:t>
            </w:r>
            <w:r w:rsidRPr="00C56257">
              <w:rPr>
                <w:color w:val="000000" w:themeColor="text1"/>
                <w:spacing w:val="1"/>
                <w:sz w:val="24"/>
                <w:szCs w:val="24"/>
              </w:rPr>
              <w:t xml:space="preserve"> </w:t>
            </w:r>
            <w:r w:rsidRPr="00C56257">
              <w:rPr>
                <w:color w:val="000000" w:themeColor="text1"/>
                <w:sz w:val="24"/>
                <w:szCs w:val="24"/>
              </w:rPr>
              <w:t>eradicarea rapidă</w:t>
            </w:r>
            <w:r w:rsidRPr="00C56257">
              <w:rPr>
                <w:color w:val="000000" w:themeColor="text1"/>
                <w:spacing w:val="-52"/>
                <w:sz w:val="24"/>
                <w:szCs w:val="24"/>
              </w:rPr>
              <w:t xml:space="preserve"> </w:t>
            </w:r>
            <w:r w:rsidRPr="00C56257">
              <w:rPr>
                <w:color w:val="000000" w:themeColor="text1"/>
                <w:sz w:val="24"/>
                <w:szCs w:val="24"/>
              </w:rPr>
              <w:t>a speciilor</w:t>
            </w:r>
            <w:r w:rsidRPr="00C56257">
              <w:rPr>
                <w:color w:val="000000" w:themeColor="text1"/>
                <w:spacing w:val="1"/>
                <w:sz w:val="24"/>
                <w:szCs w:val="24"/>
              </w:rPr>
              <w:t xml:space="preserve"> </w:t>
            </w:r>
            <w:r w:rsidRPr="00C56257">
              <w:rPr>
                <w:color w:val="000000" w:themeColor="text1"/>
                <w:sz w:val="24"/>
                <w:szCs w:val="24"/>
              </w:rPr>
              <w:t>alohtone,</w:t>
            </w:r>
          </w:p>
          <w:p w14:paraId="1B601898" w14:textId="77777777" w:rsidR="00F07D5E" w:rsidRPr="00C56257" w:rsidRDefault="00F07D5E" w:rsidP="008E33FD">
            <w:pPr>
              <w:pStyle w:val="TableParagraph"/>
              <w:spacing w:line="238" w:lineRule="exact"/>
              <w:jc w:val="both"/>
              <w:rPr>
                <w:color w:val="000000" w:themeColor="text1"/>
                <w:sz w:val="24"/>
                <w:szCs w:val="24"/>
              </w:rPr>
            </w:pPr>
            <w:r w:rsidRPr="00C56257">
              <w:rPr>
                <w:color w:val="000000" w:themeColor="text1"/>
                <w:sz w:val="24"/>
                <w:szCs w:val="24"/>
              </w:rPr>
              <w:t>invazive</w:t>
            </w:r>
          </w:p>
        </w:tc>
        <w:tc>
          <w:tcPr>
            <w:tcW w:w="4557" w:type="dxa"/>
          </w:tcPr>
          <w:p w14:paraId="509C3577" w14:textId="77777777" w:rsidR="00F07D5E" w:rsidRPr="00C56257" w:rsidRDefault="00F07D5E" w:rsidP="008E33FD">
            <w:pPr>
              <w:pStyle w:val="TableParagraph"/>
              <w:ind w:right="252"/>
              <w:jc w:val="both"/>
              <w:rPr>
                <w:color w:val="000000" w:themeColor="text1"/>
                <w:sz w:val="24"/>
                <w:szCs w:val="24"/>
              </w:rPr>
            </w:pPr>
            <w:r w:rsidRPr="00C56257">
              <w:rPr>
                <w:color w:val="000000" w:themeColor="text1"/>
                <w:sz w:val="24"/>
                <w:szCs w:val="24"/>
              </w:rPr>
              <w:t>Stabilirea și aplicarea sistemului</w:t>
            </w:r>
            <w:r w:rsidRPr="00C56257">
              <w:rPr>
                <w:color w:val="000000" w:themeColor="text1"/>
                <w:spacing w:val="1"/>
                <w:sz w:val="24"/>
                <w:szCs w:val="24"/>
              </w:rPr>
              <w:t xml:space="preserve"> </w:t>
            </w:r>
            <w:r w:rsidRPr="00C56257">
              <w:rPr>
                <w:color w:val="000000" w:themeColor="text1"/>
                <w:sz w:val="24"/>
                <w:szCs w:val="24"/>
              </w:rPr>
              <w:t>de detectare timpurie și eradicare</w:t>
            </w:r>
            <w:r w:rsidRPr="00C56257">
              <w:rPr>
                <w:color w:val="000000" w:themeColor="text1"/>
                <w:spacing w:val="-52"/>
                <w:sz w:val="24"/>
                <w:szCs w:val="24"/>
              </w:rPr>
              <w:t xml:space="preserve"> </w:t>
            </w:r>
            <w:r w:rsidRPr="00C56257">
              <w:rPr>
                <w:color w:val="000000" w:themeColor="text1"/>
                <w:sz w:val="24"/>
                <w:szCs w:val="24"/>
              </w:rPr>
              <w:t>rapidă</w:t>
            </w:r>
            <w:r w:rsidRPr="00C56257">
              <w:rPr>
                <w:color w:val="000000" w:themeColor="text1"/>
                <w:spacing w:val="-4"/>
                <w:sz w:val="24"/>
                <w:szCs w:val="24"/>
              </w:rPr>
              <w:t xml:space="preserve"> </w:t>
            </w:r>
            <w:r w:rsidRPr="00C56257">
              <w:rPr>
                <w:color w:val="000000" w:themeColor="text1"/>
                <w:sz w:val="24"/>
                <w:szCs w:val="24"/>
              </w:rPr>
              <w:t>a</w:t>
            </w:r>
            <w:r w:rsidRPr="00C56257">
              <w:rPr>
                <w:color w:val="000000" w:themeColor="text1"/>
                <w:spacing w:val="-5"/>
                <w:sz w:val="24"/>
                <w:szCs w:val="24"/>
              </w:rPr>
              <w:t xml:space="preserve"> </w:t>
            </w:r>
            <w:r w:rsidRPr="00C56257">
              <w:rPr>
                <w:color w:val="000000" w:themeColor="text1"/>
                <w:sz w:val="24"/>
                <w:szCs w:val="24"/>
              </w:rPr>
              <w:t>speciilor</w:t>
            </w:r>
            <w:r w:rsidRPr="00C56257">
              <w:rPr>
                <w:color w:val="000000" w:themeColor="text1"/>
                <w:spacing w:val="-3"/>
                <w:sz w:val="24"/>
                <w:szCs w:val="24"/>
              </w:rPr>
              <w:t xml:space="preserve"> </w:t>
            </w:r>
            <w:r w:rsidRPr="00C56257">
              <w:rPr>
                <w:color w:val="000000" w:themeColor="text1"/>
                <w:sz w:val="24"/>
                <w:szCs w:val="24"/>
              </w:rPr>
              <w:t>străine</w:t>
            </w:r>
            <w:r w:rsidRPr="00C56257">
              <w:rPr>
                <w:color w:val="000000" w:themeColor="text1"/>
                <w:spacing w:val="-5"/>
                <w:sz w:val="24"/>
                <w:szCs w:val="24"/>
              </w:rPr>
              <w:t xml:space="preserve"> </w:t>
            </w:r>
            <w:r w:rsidRPr="00C56257">
              <w:rPr>
                <w:color w:val="000000" w:themeColor="text1"/>
                <w:sz w:val="24"/>
                <w:szCs w:val="24"/>
              </w:rPr>
              <w:t>invazive</w:t>
            </w:r>
            <w:r w:rsidRPr="00C56257">
              <w:rPr>
                <w:color w:val="000000" w:themeColor="text1"/>
                <w:spacing w:val="-52"/>
                <w:sz w:val="24"/>
                <w:szCs w:val="24"/>
              </w:rPr>
              <w:t xml:space="preserve"> </w:t>
            </w:r>
            <w:r w:rsidRPr="00C56257">
              <w:rPr>
                <w:color w:val="000000" w:themeColor="text1"/>
                <w:sz w:val="24"/>
                <w:szCs w:val="24"/>
              </w:rPr>
              <w:t>de interes pentru Uniunea</w:t>
            </w:r>
            <w:r w:rsidRPr="00C56257">
              <w:rPr>
                <w:color w:val="000000" w:themeColor="text1"/>
                <w:spacing w:val="1"/>
                <w:sz w:val="24"/>
                <w:szCs w:val="24"/>
              </w:rPr>
              <w:t xml:space="preserve"> </w:t>
            </w:r>
            <w:r w:rsidRPr="00C56257">
              <w:rPr>
                <w:color w:val="000000" w:themeColor="text1"/>
                <w:sz w:val="24"/>
                <w:szCs w:val="24"/>
              </w:rPr>
              <w:t>Europeană</w:t>
            </w:r>
            <w:r w:rsidRPr="00C56257">
              <w:rPr>
                <w:color w:val="000000" w:themeColor="text1"/>
                <w:spacing w:val="-3"/>
                <w:sz w:val="24"/>
                <w:szCs w:val="24"/>
              </w:rPr>
              <w:t xml:space="preserve"> </w:t>
            </w:r>
            <w:r w:rsidRPr="00C56257">
              <w:rPr>
                <w:color w:val="000000" w:themeColor="text1"/>
                <w:sz w:val="24"/>
                <w:szCs w:val="24"/>
              </w:rPr>
              <w:t>(în</w:t>
            </w:r>
            <w:r w:rsidRPr="00C56257">
              <w:rPr>
                <w:color w:val="000000" w:themeColor="text1"/>
                <w:spacing w:val="-3"/>
                <w:sz w:val="24"/>
                <w:szCs w:val="24"/>
              </w:rPr>
              <w:t xml:space="preserve"> </w:t>
            </w:r>
            <w:r w:rsidRPr="00C56257">
              <w:rPr>
                <w:color w:val="000000" w:themeColor="text1"/>
                <w:sz w:val="24"/>
                <w:szCs w:val="24"/>
              </w:rPr>
              <w:t>conformitate</w:t>
            </w:r>
            <w:r w:rsidRPr="00C56257">
              <w:rPr>
                <w:color w:val="000000" w:themeColor="text1"/>
                <w:spacing w:val="-2"/>
                <w:sz w:val="24"/>
                <w:szCs w:val="24"/>
              </w:rPr>
              <w:t xml:space="preserve"> </w:t>
            </w:r>
            <w:r w:rsidRPr="00C56257">
              <w:rPr>
                <w:color w:val="000000" w:themeColor="text1"/>
                <w:sz w:val="24"/>
                <w:szCs w:val="24"/>
              </w:rPr>
              <w:t>cu</w:t>
            </w:r>
          </w:p>
          <w:p w14:paraId="13BC038E" w14:textId="77777777" w:rsidR="00F07D5E" w:rsidRPr="00C56257" w:rsidRDefault="00F07D5E" w:rsidP="008E33FD">
            <w:pPr>
              <w:pStyle w:val="TableParagraph"/>
              <w:spacing w:line="238" w:lineRule="exact"/>
              <w:jc w:val="both"/>
              <w:rPr>
                <w:color w:val="000000" w:themeColor="text1"/>
                <w:sz w:val="24"/>
                <w:szCs w:val="24"/>
              </w:rPr>
            </w:pPr>
            <w:r w:rsidRPr="00C56257">
              <w:rPr>
                <w:color w:val="000000" w:themeColor="text1"/>
                <w:sz w:val="24"/>
                <w:szCs w:val="24"/>
              </w:rPr>
              <w:t>Regulamentul</w:t>
            </w:r>
            <w:r w:rsidRPr="00C56257">
              <w:rPr>
                <w:color w:val="000000" w:themeColor="text1"/>
                <w:spacing w:val="-1"/>
                <w:sz w:val="24"/>
                <w:szCs w:val="24"/>
              </w:rPr>
              <w:t xml:space="preserve"> </w:t>
            </w:r>
            <w:r w:rsidRPr="00C56257">
              <w:rPr>
                <w:color w:val="000000" w:themeColor="text1"/>
                <w:sz w:val="24"/>
                <w:szCs w:val="24"/>
              </w:rPr>
              <w:t>(UE)</w:t>
            </w:r>
            <w:r w:rsidRPr="00C56257">
              <w:rPr>
                <w:color w:val="000000" w:themeColor="text1"/>
                <w:spacing w:val="-1"/>
                <w:sz w:val="24"/>
                <w:szCs w:val="24"/>
              </w:rPr>
              <w:t xml:space="preserve"> </w:t>
            </w:r>
            <w:r w:rsidRPr="00C56257">
              <w:rPr>
                <w:color w:val="000000" w:themeColor="text1"/>
                <w:sz w:val="24"/>
                <w:szCs w:val="24"/>
              </w:rPr>
              <w:t>nr.</w:t>
            </w:r>
          </w:p>
        </w:tc>
        <w:tc>
          <w:tcPr>
            <w:tcW w:w="1710" w:type="dxa"/>
          </w:tcPr>
          <w:p w14:paraId="2EE11296" w14:textId="77777777" w:rsidR="00F07D5E" w:rsidRPr="00C56257" w:rsidRDefault="00F07D5E" w:rsidP="008E33FD">
            <w:pPr>
              <w:pStyle w:val="TableParagraph"/>
              <w:jc w:val="both"/>
              <w:rPr>
                <w:color w:val="000000" w:themeColor="text1"/>
                <w:sz w:val="24"/>
                <w:szCs w:val="24"/>
              </w:rPr>
            </w:pPr>
          </w:p>
          <w:p w14:paraId="0B92E095" w14:textId="77777777" w:rsidR="00F07D5E" w:rsidRPr="00C56257" w:rsidRDefault="00F07D5E" w:rsidP="008E33FD">
            <w:pPr>
              <w:pStyle w:val="TableParagraph"/>
              <w:spacing w:before="6"/>
              <w:jc w:val="both"/>
              <w:rPr>
                <w:color w:val="000000" w:themeColor="text1"/>
                <w:sz w:val="24"/>
                <w:szCs w:val="24"/>
              </w:rPr>
            </w:pPr>
          </w:p>
          <w:p w14:paraId="1CBE70AC" w14:textId="77777777" w:rsidR="00F07D5E" w:rsidRPr="00C56257" w:rsidRDefault="00F07D5E" w:rsidP="008E33FD">
            <w:pPr>
              <w:pStyle w:val="TableParagraph"/>
              <w:ind w:left="105"/>
              <w:jc w:val="both"/>
              <w:rPr>
                <w:color w:val="000000" w:themeColor="text1"/>
                <w:sz w:val="24"/>
                <w:szCs w:val="24"/>
              </w:rPr>
            </w:pPr>
            <w:r w:rsidRPr="00C56257">
              <w:rPr>
                <w:color w:val="000000" w:themeColor="text1"/>
                <w:sz w:val="24"/>
                <w:szCs w:val="24"/>
              </w:rPr>
              <w:t>I01</w:t>
            </w:r>
          </w:p>
        </w:tc>
      </w:tr>
      <w:tr w:rsidR="00F07D5E" w:rsidRPr="00C56257" w14:paraId="2ACDDBCB" w14:textId="77777777" w:rsidTr="00F07D5E">
        <w:trPr>
          <w:trHeight w:val="1519"/>
        </w:trPr>
        <w:tc>
          <w:tcPr>
            <w:tcW w:w="708" w:type="dxa"/>
          </w:tcPr>
          <w:p w14:paraId="6CBE6157" w14:textId="77777777" w:rsidR="00F07D5E" w:rsidRPr="00C56257" w:rsidRDefault="00F07D5E" w:rsidP="008E33FD">
            <w:pPr>
              <w:pStyle w:val="TableParagraph"/>
              <w:jc w:val="both"/>
              <w:rPr>
                <w:color w:val="000000" w:themeColor="text1"/>
                <w:sz w:val="24"/>
                <w:szCs w:val="24"/>
              </w:rPr>
            </w:pPr>
          </w:p>
        </w:tc>
        <w:tc>
          <w:tcPr>
            <w:tcW w:w="1020" w:type="dxa"/>
          </w:tcPr>
          <w:p w14:paraId="5EA94229" w14:textId="77777777" w:rsidR="00F07D5E" w:rsidRPr="00C56257" w:rsidRDefault="00F07D5E" w:rsidP="008E33FD">
            <w:pPr>
              <w:pStyle w:val="TableParagraph"/>
              <w:jc w:val="both"/>
              <w:rPr>
                <w:color w:val="000000" w:themeColor="text1"/>
                <w:sz w:val="24"/>
                <w:szCs w:val="24"/>
              </w:rPr>
            </w:pPr>
          </w:p>
        </w:tc>
        <w:tc>
          <w:tcPr>
            <w:tcW w:w="1803" w:type="dxa"/>
          </w:tcPr>
          <w:p w14:paraId="1E5C0CF7" w14:textId="77777777" w:rsidR="00F07D5E" w:rsidRPr="00C56257" w:rsidRDefault="00F07D5E" w:rsidP="008E33FD">
            <w:pPr>
              <w:pStyle w:val="TableParagraph"/>
              <w:ind w:right="401"/>
              <w:jc w:val="both"/>
              <w:rPr>
                <w:color w:val="000000" w:themeColor="text1"/>
                <w:sz w:val="24"/>
                <w:szCs w:val="24"/>
              </w:rPr>
            </w:pPr>
            <w:r w:rsidRPr="00C56257">
              <w:rPr>
                <w:color w:val="000000" w:themeColor="text1"/>
                <w:sz w:val="24"/>
                <w:szCs w:val="24"/>
              </w:rPr>
              <w:t>considerate de</w:t>
            </w:r>
            <w:r w:rsidRPr="00C56257">
              <w:rPr>
                <w:color w:val="000000" w:themeColor="text1"/>
                <w:spacing w:val="-52"/>
                <w:sz w:val="24"/>
                <w:szCs w:val="24"/>
              </w:rPr>
              <w:t xml:space="preserve"> </w:t>
            </w:r>
            <w:r w:rsidRPr="00C56257">
              <w:rPr>
                <w:color w:val="000000" w:themeColor="text1"/>
                <w:sz w:val="24"/>
                <w:szCs w:val="24"/>
              </w:rPr>
              <w:t>interes pentru</w:t>
            </w:r>
            <w:r w:rsidRPr="00C56257">
              <w:rPr>
                <w:color w:val="000000" w:themeColor="text1"/>
                <w:spacing w:val="1"/>
                <w:sz w:val="24"/>
                <w:szCs w:val="24"/>
              </w:rPr>
              <w:t xml:space="preserve"> </w:t>
            </w:r>
            <w:r w:rsidRPr="00C56257">
              <w:rPr>
                <w:color w:val="000000" w:themeColor="text1"/>
                <w:sz w:val="24"/>
                <w:szCs w:val="24"/>
              </w:rPr>
              <w:t>Uniunea</w:t>
            </w:r>
            <w:r w:rsidRPr="00C56257">
              <w:rPr>
                <w:color w:val="000000" w:themeColor="text1"/>
                <w:spacing w:val="1"/>
                <w:sz w:val="24"/>
                <w:szCs w:val="24"/>
              </w:rPr>
              <w:t xml:space="preserve"> </w:t>
            </w:r>
            <w:r w:rsidRPr="00C56257">
              <w:rPr>
                <w:color w:val="000000" w:themeColor="text1"/>
                <w:sz w:val="24"/>
                <w:szCs w:val="24"/>
              </w:rPr>
              <w:t>Europeană</w:t>
            </w:r>
          </w:p>
        </w:tc>
        <w:tc>
          <w:tcPr>
            <w:tcW w:w="4557" w:type="dxa"/>
          </w:tcPr>
          <w:p w14:paraId="4C6A330D" w14:textId="77777777" w:rsidR="00F07D5E" w:rsidRPr="00C56257" w:rsidRDefault="00F07D5E" w:rsidP="008E33FD">
            <w:pPr>
              <w:pStyle w:val="TableParagraph"/>
              <w:spacing w:line="247" w:lineRule="exact"/>
              <w:jc w:val="both"/>
              <w:rPr>
                <w:color w:val="000000" w:themeColor="text1"/>
                <w:sz w:val="24"/>
                <w:szCs w:val="24"/>
              </w:rPr>
            </w:pPr>
            <w:r w:rsidRPr="00C56257">
              <w:rPr>
                <w:color w:val="000000" w:themeColor="text1"/>
                <w:sz w:val="24"/>
                <w:szCs w:val="24"/>
              </w:rPr>
              <w:t>1143/2014).</w:t>
            </w:r>
          </w:p>
          <w:p w14:paraId="213552F7" w14:textId="77777777" w:rsidR="00F07D5E" w:rsidRPr="00C56257" w:rsidRDefault="00F07D5E" w:rsidP="008E33FD">
            <w:pPr>
              <w:pStyle w:val="TableParagraph"/>
              <w:spacing w:before="1"/>
              <w:jc w:val="both"/>
              <w:rPr>
                <w:color w:val="000000" w:themeColor="text1"/>
                <w:sz w:val="24"/>
                <w:szCs w:val="24"/>
              </w:rPr>
            </w:pPr>
            <w:r w:rsidRPr="00C56257">
              <w:rPr>
                <w:color w:val="000000" w:themeColor="text1"/>
                <w:sz w:val="24"/>
                <w:szCs w:val="24"/>
              </w:rPr>
              <w:t>Aceasta include, de asemenea,</w:t>
            </w:r>
            <w:r w:rsidRPr="00C56257">
              <w:rPr>
                <w:color w:val="000000" w:themeColor="text1"/>
                <w:spacing w:val="1"/>
                <w:sz w:val="24"/>
                <w:szCs w:val="24"/>
              </w:rPr>
              <w:t xml:space="preserve"> </w:t>
            </w:r>
            <w:r w:rsidRPr="00C56257">
              <w:rPr>
                <w:color w:val="000000" w:themeColor="text1"/>
                <w:sz w:val="24"/>
                <w:szCs w:val="24"/>
              </w:rPr>
              <w:t>măsuri pentru prevenirea sau</w:t>
            </w:r>
            <w:r w:rsidRPr="00C56257">
              <w:rPr>
                <w:color w:val="000000" w:themeColor="text1"/>
                <w:spacing w:val="1"/>
                <w:sz w:val="24"/>
                <w:szCs w:val="24"/>
              </w:rPr>
              <w:t xml:space="preserve"> </w:t>
            </w:r>
            <w:r w:rsidRPr="00C56257">
              <w:rPr>
                <w:color w:val="000000" w:themeColor="text1"/>
                <w:sz w:val="24"/>
                <w:szCs w:val="24"/>
              </w:rPr>
              <w:t>reducerea probabilității</w:t>
            </w:r>
            <w:r w:rsidRPr="00C56257">
              <w:rPr>
                <w:color w:val="000000" w:themeColor="text1"/>
                <w:spacing w:val="1"/>
                <w:sz w:val="24"/>
                <w:szCs w:val="24"/>
              </w:rPr>
              <w:t xml:space="preserve"> </w:t>
            </w:r>
            <w:r w:rsidRPr="00C56257">
              <w:rPr>
                <w:color w:val="000000" w:themeColor="text1"/>
                <w:sz w:val="24"/>
                <w:szCs w:val="24"/>
              </w:rPr>
              <w:t>stabilirii/fixării</w:t>
            </w:r>
            <w:r w:rsidRPr="00C56257">
              <w:rPr>
                <w:color w:val="000000" w:themeColor="text1"/>
                <w:spacing w:val="-6"/>
                <w:sz w:val="24"/>
                <w:szCs w:val="24"/>
              </w:rPr>
              <w:t xml:space="preserve"> </w:t>
            </w:r>
            <w:r w:rsidRPr="00C56257">
              <w:rPr>
                <w:color w:val="000000" w:themeColor="text1"/>
                <w:sz w:val="24"/>
                <w:szCs w:val="24"/>
              </w:rPr>
              <w:t>și</w:t>
            </w:r>
            <w:r w:rsidRPr="00C56257">
              <w:rPr>
                <w:color w:val="000000" w:themeColor="text1"/>
                <w:spacing w:val="-8"/>
                <w:sz w:val="24"/>
                <w:szCs w:val="24"/>
              </w:rPr>
              <w:t xml:space="preserve"> </w:t>
            </w:r>
            <w:r w:rsidRPr="00C56257">
              <w:rPr>
                <w:color w:val="000000" w:themeColor="text1"/>
                <w:sz w:val="24"/>
                <w:szCs w:val="24"/>
              </w:rPr>
              <w:t>intrării</w:t>
            </w:r>
            <w:r w:rsidRPr="00C56257">
              <w:rPr>
                <w:color w:val="000000" w:themeColor="text1"/>
                <w:spacing w:val="-5"/>
                <w:sz w:val="24"/>
                <w:szCs w:val="24"/>
              </w:rPr>
              <w:t xml:space="preserve"> </w:t>
            </w:r>
            <w:r w:rsidRPr="00C56257">
              <w:rPr>
                <w:color w:val="000000" w:themeColor="text1"/>
                <w:sz w:val="24"/>
                <w:szCs w:val="24"/>
              </w:rPr>
              <w:t>speciilor</w:t>
            </w:r>
          </w:p>
          <w:p w14:paraId="15BC8E06" w14:textId="77777777" w:rsidR="00F07D5E" w:rsidRPr="00C56257" w:rsidRDefault="00F07D5E" w:rsidP="008E33FD">
            <w:pPr>
              <w:pStyle w:val="TableParagraph"/>
              <w:spacing w:line="239" w:lineRule="exact"/>
              <w:jc w:val="both"/>
              <w:rPr>
                <w:color w:val="000000" w:themeColor="text1"/>
                <w:sz w:val="24"/>
                <w:szCs w:val="24"/>
              </w:rPr>
            </w:pPr>
            <w:r w:rsidRPr="00C56257">
              <w:rPr>
                <w:color w:val="000000" w:themeColor="text1"/>
                <w:sz w:val="24"/>
                <w:szCs w:val="24"/>
              </w:rPr>
              <w:t>alohtone</w:t>
            </w:r>
            <w:r w:rsidRPr="00C56257">
              <w:rPr>
                <w:color w:val="000000" w:themeColor="text1"/>
                <w:spacing w:val="-4"/>
                <w:sz w:val="24"/>
                <w:szCs w:val="24"/>
              </w:rPr>
              <w:t xml:space="preserve"> </w:t>
            </w:r>
            <w:r w:rsidRPr="00C56257">
              <w:rPr>
                <w:color w:val="000000" w:themeColor="text1"/>
                <w:sz w:val="24"/>
                <w:szCs w:val="24"/>
              </w:rPr>
              <w:t>invazive.</w:t>
            </w:r>
          </w:p>
        </w:tc>
        <w:tc>
          <w:tcPr>
            <w:tcW w:w="1710" w:type="dxa"/>
          </w:tcPr>
          <w:p w14:paraId="7DA129CF" w14:textId="77777777" w:rsidR="00F07D5E" w:rsidRPr="00C56257" w:rsidRDefault="00F07D5E" w:rsidP="008E33FD">
            <w:pPr>
              <w:pStyle w:val="TableParagraph"/>
              <w:jc w:val="both"/>
              <w:rPr>
                <w:color w:val="000000" w:themeColor="text1"/>
                <w:sz w:val="24"/>
                <w:szCs w:val="24"/>
              </w:rPr>
            </w:pPr>
          </w:p>
        </w:tc>
      </w:tr>
      <w:tr w:rsidR="00F07D5E" w:rsidRPr="00C56257" w14:paraId="56173043" w14:textId="77777777" w:rsidTr="00507CCA">
        <w:trPr>
          <w:trHeight w:val="2785"/>
        </w:trPr>
        <w:tc>
          <w:tcPr>
            <w:tcW w:w="708" w:type="dxa"/>
          </w:tcPr>
          <w:p w14:paraId="3675BC4F" w14:textId="77777777" w:rsidR="00F07D5E" w:rsidRPr="00C56257" w:rsidRDefault="00F07D5E" w:rsidP="008E33FD">
            <w:pPr>
              <w:pStyle w:val="TableParagraph"/>
              <w:spacing w:line="247" w:lineRule="exact"/>
              <w:ind w:right="62"/>
              <w:jc w:val="both"/>
              <w:rPr>
                <w:color w:val="000000" w:themeColor="text1"/>
                <w:sz w:val="24"/>
                <w:szCs w:val="24"/>
              </w:rPr>
            </w:pPr>
            <w:r w:rsidRPr="00C56257">
              <w:rPr>
                <w:color w:val="000000" w:themeColor="text1"/>
                <w:sz w:val="24"/>
                <w:szCs w:val="24"/>
              </w:rPr>
              <w:lastRenderedPageBreak/>
              <w:t>8.</w:t>
            </w:r>
          </w:p>
        </w:tc>
        <w:tc>
          <w:tcPr>
            <w:tcW w:w="1020" w:type="dxa"/>
          </w:tcPr>
          <w:p w14:paraId="5DC5FA10" w14:textId="77777777" w:rsidR="00F07D5E" w:rsidRPr="00C56257" w:rsidRDefault="00F07D5E" w:rsidP="008E33FD">
            <w:pPr>
              <w:pStyle w:val="TableParagraph"/>
              <w:jc w:val="both"/>
              <w:rPr>
                <w:color w:val="000000" w:themeColor="text1"/>
                <w:sz w:val="24"/>
                <w:szCs w:val="24"/>
              </w:rPr>
            </w:pPr>
          </w:p>
          <w:p w14:paraId="0F173013" w14:textId="77777777" w:rsidR="00F07D5E" w:rsidRPr="00C56257" w:rsidRDefault="00F07D5E" w:rsidP="008E33FD">
            <w:pPr>
              <w:pStyle w:val="TableParagraph"/>
              <w:spacing w:before="4"/>
              <w:jc w:val="both"/>
              <w:rPr>
                <w:color w:val="000000" w:themeColor="text1"/>
                <w:sz w:val="24"/>
                <w:szCs w:val="24"/>
              </w:rPr>
            </w:pPr>
          </w:p>
          <w:p w14:paraId="079C10D6" w14:textId="77777777" w:rsidR="00F07D5E" w:rsidRPr="00C56257" w:rsidRDefault="00F07D5E" w:rsidP="008E33FD">
            <w:pPr>
              <w:pStyle w:val="TableParagraph"/>
              <w:ind w:left="226" w:right="217"/>
              <w:jc w:val="both"/>
              <w:rPr>
                <w:color w:val="000000" w:themeColor="text1"/>
                <w:sz w:val="24"/>
                <w:szCs w:val="24"/>
              </w:rPr>
            </w:pPr>
            <w:r w:rsidRPr="00C56257">
              <w:rPr>
                <w:color w:val="000000" w:themeColor="text1"/>
                <w:sz w:val="24"/>
                <w:szCs w:val="24"/>
              </w:rPr>
              <w:t>CI03</w:t>
            </w:r>
          </w:p>
        </w:tc>
        <w:tc>
          <w:tcPr>
            <w:tcW w:w="1803" w:type="dxa"/>
          </w:tcPr>
          <w:p w14:paraId="093EA39C" w14:textId="77777777" w:rsidR="00F07D5E" w:rsidRPr="00C56257" w:rsidRDefault="00F07D5E" w:rsidP="008E33FD">
            <w:pPr>
              <w:pStyle w:val="TableParagraph"/>
              <w:ind w:right="291"/>
              <w:jc w:val="both"/>
              <w:rPr>
                <w:color w:val="000000" w:themeColor="text1"/>
                <w:sz w:val="24"/>
                <w:szCs w:val="24"/>
              </w:rPr>
            </w:pPr>
            <w:r w:rsidRPr="00C56257">
              <w:rPr>
                <w:color w:val="000000" w:themeColor="text1"/>
                <w:sz w:val="24"/>
                <w:szCs w:val="24"/>
              </w:rPr>
              <w:t>Managementul,</w:t>
            </w:r>
            <w:r w:rsidRPr="00C56257">
              <w:rPr>
                <w:color w:val="000000" w:themeColor="text1"/>
                <w:spacing w:val="-52"/>
                <w:sz w:val="24"/>
                <w:szCs w:val="24"/>
              </w:rPr>
              <w:t xml:space="preserve"> </w:t>
            </w:r>
            <w:r w:rsidRPr="00C56257">
              <w:rPr>
                <w:color w:val="000000" w:themeColor="text1"/>
                <w:sz w:val="24"/>
                <w:szCs w:val="24"/>
              </w:rPr>
              <w:t>controlul sau</w:t>
            </w:r>
            <w:r w:rsidRPr="00C56257">
              <w:rPr>
                <w:color w:val="000000" w:themeColor="text1"/>
                <w:spacing w:val="1"/>
                <w:sz w:val="24"/>
                <w:szCs w:val="24"/>
              </w:rPr>
              <w:t xml:space="preserve"> </w:t>
            </w:r>
            <w:r w:rsidRPr="00C56257">
              <w:rPr>
                <w:color w:val="000000" w:themeColor="text1"/>
                <w:sz w:val="24"/>
                <w:szCs w:val="24"/>
              </w:rPr>
              <w:t>eradicarea altor</w:t>
            </w:r>
            <w:r w:rsidRPr="00C56257">
              <w:rPr>
                <w:color w:val="000000" w:themeColor="text1"/>
                <w:spacing w:val="-52"/>
                <w:sz w:val="24"/>
                <w:szCs w:val="24"/>
              </w:rPr>
              <w:t xml:space="preserve"> </w:t>
            </w:r>
            <w:r w:rsidRPr="00C56257">
              <w:rPr>
                <w:color w:val="000000" w:themeColor="text1"/>
                <w:sz w:val="24"/>
                <w:szCs w:val="24"/>
              </w:rPr>
              <w:t>specii alohtone</w:t>
            </w:r>
            <w:r w:rsidRPr="00C56257">
              <w:rPr>
                <w:color w:val="000000" w:themeColor="text1"/>
                <w:spacing w:val="-52"/>
                <w:sz w:val="24"/>
                <w:szCs w:val="24"/>
              </w:rPr>
              <w:t xml:space="preserve"> </w:t>
            </w:r>
            <w:r w:rsidRPr="00C56257">
              <w:rPr>
                <w:color w:val="000000" w:themeColor="text1"/>
                <w:sz w:val="24"/>
                <w:szCs w:val="24"/>
              </w:rPr>
              <w:t>invazive</w:t>
            </w:r>
          </w:p>
        </w:tc>
        <w:tc>
          <w:tcPr>
            <w:tcW w:w="4557" w:type="dxa"/>
          </w:tcPr>
          <w:p w14:paraId="43173E2F" w14:textId="77777777" w:rsidR="00F07D5E" w:rsidRPr="00C56257" w:rsidRDefault="00F07D5E" w:rsidP="008E33FD">
            <w:pPr>
              <w:pStyle w:val="TableParagraph"/>
              <w:ind w:right="143"/>
              <w:jc w:val="both"/>
              <w:rPr>
                <w:color w:val="000000" w:themeColor="text1"/>
                <w:sz w:val="24"/>
                <w:szCs w:val="24"/>
              </w:rPr>
            </w:pPr>
            <w:r w:rsidRPr="00C56257">
              <w:rPr>
                <w:color w:val="000000" w:themeColor="text1"/>
                <w:sz w:val="24"/>
                <w:szCs w:val="24"/>
              </w:rPr>
              <w:t>Gestionarea, controlul răspândirii</w:t>
            </w:r>
            <w:r w:rsidRPr="00C56257">
              <w:rPr>
                <w:color w:val="000000" w:themeColor="text1"/>
                <w:spacing w:val="1"/>
                <w:sz w:val="24"/>
                <w:szCs w:val="24"/>
              </w:rPr>
              <w:t xml:space="preserve"> </w:t>
            </w:r>
            <w:r w:rsidRPr="00C56257">
              <w:rPr>
                <w:color w:val="000000" w:themeColor="text1"/>
                <w:sz w:val="24"/>
                <w:szCs w:val="24"/>
              </w:rPr>
              <w:t>altor specii non-native „invazive”</w:t>
            </w:r>
            <w:r w:rsidRPr="00C56257">
              <w:rPr>
                <w:color w:val="000000" w:themeColor="text1"/>
                <w:spacing w:val="1"/>
                <w:sz w:val="24"/>
                <w:szCs w:val="24"/>
              </w:rPr>
              <w:t xml:space="preserve"> </w:t>
            </w:r>
            <w:r w:rsidRPr="00C56257">
              <w:rPr>
                <w:color w:val="000000" w:themeColor="text1"/>
                <w:sz w:val="24"/>
                <w:szCs w:val="24"/>
              </w:rPr>
              <w:t>(adică orice specie introdusă în</w:t>
            </w:r>
            <w:r w:rsidRPr="00C56257">
              <w:rPr>
                <w:color w:val="000000" w:themeColor="text1"/>
                <w:spacing w:val="1"/>
                <w:sz w:val="24"/>
                <w:szCs w:val="24"/>
              </w:rPr>
              <w:t xml:space="preserve"> </w:t>
            </w:r>
            <w:r w:rsidRPr="00C56257">
              <w:rPr>
                <w:color w:val="000000" w:themeColor="text1"/>
                <w:sz w:val="24"/>
                <w:szCs w:val="24"/>
              </w:rPr>
              <w:t>perioada modernă care este</w:t>
            </w:r>
            <w:r w:rsidRPr="00C56257">
              <w:rPr>
                <w:color w:val="000000" w:themeColor="text1"/>
                <w:spacing w:val="1"/>
                <w:sz w:val="24"/>
                <w:szCs w:val="24"/>
              </w:rPr>
              <w:t xml:space="preserve"> </w:t>
            </w:r>
            <w:r w:rsidRPr="00C56257">
              <w:rPr>
                <w:color w:val="000000" w:themeColor="text1"/>
                <w:sz w:val="24"/>
                <w:szCs w:val="24"/>
              </w:rPr>
              <w:t>stabilită în sălbăticie în afara ariei</w:t>
            </w:r>
            <w:r w:rsidRPr="00C56257">
              <w:rPr>
                <w:color w:val="000000" w:themeColor="text1"/>
                <w:spacing w:val="1"/>
                <w:sz w:val="24"/>
                <w:szCs w:val="24"/>
              </w:rPr>
              <w:t xml:space="preserve"> </w:t>
            </w:r>
            <w:r w:rsidRPr="00C56257">
              <w:rPr>
                <w:color w:val="000000" w:themeColor="text1"/>
                <w:sz w:val="24"/>
                <w:szCs w:val="24"/>
              </w:rPr>
              <w:t>sale naturale și a cărei introducere</w:t>
            </w:r>
            <w:r w:rsidRPr="00C56257">
              <w:rPr>
                <w:color w:val="000000" w:themeColor="text1"/>
                <w:spacing w:val="-52"/>
                <w:sz w:val="24"/>
                <w:szCs w:val="24"/>
              </w:rPr>
              <w:t xml:space="preserve"> </w:t>
            </w:r>
            <w:r w:rsidRPr="00C56257">
              <w:rPr>
                <w:color w:val="000000" w:themeColor="text1"/>
                <w:sz w:val="24"/>
                <w:szCs w:val="24"/>
              </w:rPr>
              <w:t>și / sau răspândire reprezintă o</w:t>
            </w:r>
            <w:r w:rsidRPr="00C56257">
              <w:rPr>
                <w:color w:val="000000" w:themeColor="text1"/>
                <w:spacing w:val="1"/>
                <w:sz w:val="24"/>
                <w:szCs w:val="24"/>
              </w:rPr>
              <w:t xml:space="preserve"> </w:t>
            </w:r>
            <w:r w:rsidRPr="00C56257">
              <w:rPr>
                <w:color w:val="000000" w:themeColor="text1"/>
                <w:sz w:val="24"/>
                <w:szCs w:val="24"/>
              </w:rPr>
              <w:t>amenințare concretă sau potențială</w:t>
            </w:r>
            <w:r w:rsidRPr="00C56257">
              <w:rPr>
                <w:color w:val="000000" w:themeColor="text1"/>
                <w:spacing w:val="-52"/>
                <w:sz w:val="24"/>
                <w:szCs w:val="24"/>
              </w:rPr>
              <w:t xml:space="preserve"> </w:t>
            </w:r>
            <w:r w:rsidRPr="00C56257">
              <w:rPr>
                <w:color w:val="000000" w:themeColor="text1"/>
                <w:sz w:val="24"/>
                <w:szCs w:val="24"/>
              </w:rPr>
              <w:t>pentru habitate și specii, indiferent</w:t>
            </w:r>
            <w:r w:rsidRPr="00C56257">
              <w:rPr>
                <w:color w:val="000000" w:themeColor="text1"/>
                <w:spacing w:val="-52"/>
                <w:sz w:val="24"/>
                <w:szCs w:val="24"/>
              </w:rPr>
              <w:t xml:space="preserve"> </w:t>
            </w:r>
            <w:r w:rsidRPr="00C56257">
              <w:rPr>
                <w:color w:val="000000" w:themeColor="text1"/>
                <w:sz w:val="24"/>
                <w:szCs w:val="24"/>
              </w:rPr>
              <w:t>de dinamica populației invazive</w:t>
            </w:r>
            <w:r w:rsidRPr="00C56257">
              <w:rPr>
                <w:color w:val="000000" w:themeColor="text1"/>
                <w:spacing w:val="1"/>
                <w:sz w:val="24"/>
                <w:szCs w:val="24"/>
              </w:rPr>
              <w:t xml:space="preserve"> </w:t>
            </w:r>
            <w:r w:rsidRPr="00C56257">
              <w:rPr>
                <w:color w:val="000000" w:themeColor="text1"/>
                <w:sz w:val="24"/>
                <w:szCs w:val="24"/>
              </w:rPr>
              <w:t xml:space="preserve">(ex. controlul </w:t>
            </w:r>
            <w:r w:rsidRPr="00C56257">
              <w:rPr>
                <w:i/>
                <w:color w:val="000000" w:themeColor="text1"/>
                <w:sz w:val="24"/>
                <w:szCs w:val="24"/>
              </w:rPr>
              <w:t xml:space="preserve">Acacia </w:t>
            </w:r>
            <w:r w:rsidRPr="00C56257">
              <w:rPr>
                <w:color w:val="000000" w:themeColor="text1"/>
                <w:sz w:val="24"/>
                <w:szCs w:val="24"/>
              </w:rPr>
              <w:t>spp.) sau</w:t>
            </w:r>
            <w:r w:rsidRPr="00C56257">
              <w:rPr>
                <w:color w:val="000000" w:themeColor="text1"/>
                <w:spacing w:val="1"/>
                <w:sz w:val="24"/>
                <w:szCs w:val="24"/>
              </w:rPr>
              <w:t xml:space="preserve"> </w:t>
            </w:r>
            <w:r w:rsidRPr="00C56257">
              <w:rPr>
                <w:color w:val="000000" w:themeColor="text1"/>
                <w:sz w:val="24"/>
                <w:szCs w:val="24"/>
              </w:rPr>
              <w:t>eradicarea populațiilor stabilite ale</w:t>
            </w:r>
            <w:r w:rsidRPr="00C56257">
              <w:rPr>
                <w:color w:val="000000" w:themeColor="text1"/>
                <w:spacing w:val="-52"/>
                <w:sz w:val="24"/>
                <w:szCs w:val="24"/>
              </w:rPr>
              <w:t xml:space="preserve"> </w:t>
            </w:r>
            <w:r w:rsidRPr="00C56257">
              <w:rPr>
                <w:color w:val="000000" w:themeColor="text1"/>
                <w:sz w:val="24"/>
                <w:szCs w:val="24"/>
              </w:rPr>
              <w:t>altor</w:t>
            </w:r>
            <w:r w:rsidRPr="00C56257">
              <w:rPr>
                <w:color w:val="000000" w:themeColor="text1"/>
                <w:spacing w:val="-1"/>
                <w:sz w:val="24"/>
                <w:szCs w:val="24"/>
              </w:rPr>
              <w:t xml:space="preserve"> </w:t>
            </w:r>
            <w:r w:rsidRPr="00C56257">
              <w:rPr>
                <w:color w:val="000000" w:themeColor="text1"/>
                <w:sz w:val="24"/>
                <w:szCs w:val="24"/>
              </w:rPr>
              <w:t>specii</w:t>
            </w:r>
            <w:r w:rsidRPr="00C56257">
              <w:rPr>
                <w:color w:val="000000" w:themeColor="text1"/>
                <w:spacing w:val="-2"/>
                <w:sz w:val="24"/>
                <w:szCs w:val="24"/>
              </w:rPr>
              <w:t xml:space="preserve"> </w:t>
            </w:r>
            <w:r w:rsidRPr="00C56257">
              <w:rPr>
                <w:color w:val="000000" w:themeColor="text1"/>
                <w:sz w:val="24"/>
                <w:szCs w:val="24"/>
              </w:rPr>
              <w:t>străine.</w:t>
            </w:r>
          </w:p>
        </w:tc>
        <w:tc>
          <w:tcPr>
            <w:tcW w:w="1710" w:type="dxa"/>
          </w:tcPr>
          <w:p w14:paraId="6DB978D9" w14:textId="77777777" w:rsidR="00F07D5E" w:rsidRPr="00C56257" w:rsidRDefault="00F07D5E" w:rsidP="008E33FD">
            <w:pPr>
              <w:pStyle w:val="TableParagraph"/>
              <w:spacing w:before="4"/>
              <w:jc w:val="both"/>
              <w:rPr>
                <w:color w:val="000000" w:themeColor="text1"/>
                <w:sz w:val="24"/>
                <w:szCs w:val="24"/>
              </w:rPr>
            </w:pPr>
          </w:p>
          <w:p w14:paraId="7F5E0C9F" w14:textId="77777777" w:rsidR="00F07D5E" w:rsidRPr="00C56257" w:rsidRDefault="00F07D5E" w:rsidP="008E33FD">
            <w:pPr>
              <w:pStyle w:val="TableParagraph"/>
              <w:ind w:left="105"/>
              <w:jc w:val="both"/>
              <w:rPr>
                <w:color w:val="000000" w:themeColor="text1"/>
                <w:sz w:val="24"/>
                <w:szCs w:val="24"/>
              </w:rPr>
            </w:pPr>
            <w:r w:rsidRPr="00C56257">
              <w:rPr>
                <w:color w:val="000000" w:themeColor="text1"/>
                <w:sz w:val="24"/>
                <w:szCs w:val="24"/>
              </w:rPr>
              <w:t>I02</w:t>
            </w:r>
          </w:p>
        </w:tc>
      </w:tr>
      <w:tr w:rsidR="00F07D5E" w:rsidRPr="00C56257" w14:paraId="2EE0D02F" w14:textId="77777777" w:rsidTr="00F07D5E">
        <w:trPr>
          <w:trHeight w:val="1012"/>
        </w:trPr>
        <w:tc>
          <w:tcPr>
            <w:tcW w:w="708" w:type="dxa"/>
          </w:tcPr>
          <w:p w14:paraId="52A367F6" w14:textId="77777777" w:rsidR="00F07D5E" w:rsidRPr="00C56257" w:rsidRDefault="00F07D5E" w:rsidP="008E33FD">
            <w:pPr>
              <w:pStyle w:val="TableParagraph"/>
              <w:spacing w:line="247" w:lineRule="exact"/>
              <w:ind w:right="62"/>
              <w:jc w:val="both"/>
              <w:rPr>
                <w:color w:val="000000" w:themeColor="text1"/>
                <w:sz w:val="24"/>
                <w:szCs w:val="24"/>
              </w:rPr>
            </w:pPr>
            <w:r w:rsidRPr="00C56257">
              <w:rPr>
                <w:color w:val="000000" w:themeColor="text1"/>
                <w:sz w:val="24"/>
                <w:szCs w:val="24"/>
              </w:rPr>
              <w:t>9.</w:t>
            </w:r>
          </w:p>
        </w:tc>
        <w:tc>
          <w:tcPr>
            <w:tcW w:w="1020" w:type="dxa"/>
          </w:tcPr>
          <w:p w14:paraId="61D8183D" w14:textId="77777777" w:rsidR="00F07D5E" w:rsidRPr="00C56257" w:rsidRDefault="00F07D5E" w:rsidP="008E33FD">
            <w:pPr>
              <w:pStyle w:val="TableParagraph"/>
              <w:spacing w:before="7"/>
              <w:jc w:val="both"/>
              <w:rPr>
                <w:color w:val="000000" w:themeColor="text1"/>
                <w:sz w:val="24"/>
                <w:szCs w:val="24"/>
              </w:rPr>
            </w:pPr>
          </w:p>
          <w:p w14:paraId="3A26CE20" w14:textId="77777777" w:rsidR="00F07D5E" w:rsidRPr="00C56257" w:rsidRDefault="00F07D5E" w:rsidP="008E33FD">
            <w:pPr>
              <w:pStyle w:val="TableParagraph"/>
              <w:ind w:left="226" w:right="217"/>
              <w:jc w:val="both"/>
              <w:rPr>
                <w:color w:val="000000" w:themeColor="text1"/>
                <w:sz w:val="24"/>
                <w:szCs w:val="24"/>
              </w:rPr>
            </w:pPr>
            <w:r w:rsidRPr="00C56257">
              <w:rPr>
                <w:color w:val="000000" w:themeColor="text1"/>
                <w:sz w:val="24"/>
                <w:szCs w:val="24"/>
              </w:rPr>
              <w:t>CJ02</w:t>
            </w:r>
          </w:p>
        </w:tc>
        <w:tc>
          <w:tcPr>
            <w:tcW w:w="1803" w:type="dxa"/>
          </w:tcPr>
          <w:p w14:paraId="7DBE8607" w14:textId="77777777" w:rsidR="00F07D5E" w:rsidRPr="00C56257" w:rsidRDefault="00F07D5E" w:rsidP="008E33FD">
            <w:pPr>
              <w:pStyle w:val="TableParagraph"/>
              <w:ind w:right="101"/>
              <w:jc w:val="both"/>
              <w:rPr>
                <w:color w:val="000000" w:themeColor="text1"/>
                <w:sz w:val="24"/>
                <w:szCs w:val="24"/>
              </w:rPr>
            </w:pPr>
            <w:r w:rsidRPr="00C56257">
              <w:rPr>
                <w:color w:val="000000" w:themeColor="text1"/>
                <w:sz w:val="24"/>
                <w:szCs w:val="24"/>
              </w:rPr>
              <w:t>Reducerea</w:t>
            </w:r>
            <w:r w:rsidRPr="00C56257">
              <w:rPr>
                <w:color w:val="000000" w:themeColor="text1"/>
                <w:spacing w:val="1"/>
                <w:sz w:val="24"/>
                <w:szCs w:val="24"/>
              </w:rPr>
              <w:t xml:space="preserve"> </w:t>
            </w:r>
            <w:r w:rsidRPr="00C56257">
              <w:rPr>
                <w:color w:val="000000" w:themeColor="text1"/>
                <w:sz w:val="24"/>
                <w:szCs w:val="24"/>
              </w:rPr>
              <w:t>impactul indus de</w:t>
            </w:r>
            <w:r w:rsidRPr="00C56257">
              <w:rPr>
                <w:color w:val="000000" w:themeColor="text1"/>
                <w:spacing w:val="-52"/>
                <w:sz w:val="24"/>
                <w:szCs w:val="24"/>
              </w:rPr>
              <w:t xml:space="preserve"> </w:t>
            </w:r>
            <w:r w:rsidRPr="00C56257">
              <w:rPr>
                <w:color w:val="000000" w:themeColor="text1"/>
                <w:sz w:val="24"/>
                <w:szCs w:val="24"/>
              </w:rPr>
              <w:t>modificările</w:t>
            </w:r>
          </w:p>
          <w:p w14:paraId="1128A3AC" w14:textId="77777777" w:rsidR="00F07D5E" w:rsidRPr="00C56257" w:rsidRDefault="00F07D5E" w:rsidP="008E33FD">
            <w:pPr>
              <w:pStyle w:val="TableParagraph"/>
              <w:spacing w:line="238" w:lineRule="exact"/>
              <w:jc w:val="both"/>
              <w:rPr>
                <w:color w:val="000000" w:themeColor="text1"/>
                <w:sz w:val="24"/>
                <w:szCs w:val="24"/>
              </w:rPr>
            </w:pPr>
            <w:r w:rsidRPr="00C56257">
              <w:rPr>
                <w:color w:val="000000" w:themeColor="text1"/>
                <w:sz w:val="24"/>
                <w:szCs w:val="24"/>
              </w:rPr>
              <w:t>hidrologice</w:t>
            </w:r>
          </w:p>
        </w:tc>
        <w:tc>
          <w:tcPr>
            <w:tcW w:w="4557" w:type="dxa"/>
          </w:tcPr>
          <w:p w14:paraId="5F1BAAF7" w14:textId="77777777" w:rsidR="00F07D5E" w:rsidRPr="00C56257" w:rsidRDefault="00F07D5E" w:rsidP="008E33FD">
            <w:pPr>
              <w:pStyle w:val="TableParagraph"/>
              <w:ind w:right="388"/>
              <w:jc w:val="both"/>
              <w:rPr>
                <w:color w:val="000000" w:themeColor="text1"/>
                <w:sz w:val="24"/>
                <w:szCs w:val="24"/>
              </w:rPr>
            </w:pPr>
            <w:r w:rsidRPr="00C56257">
              <w:rPr>
                <w:color w:val="000000" w:themeColor="text1"/>
                <w:sz w:val="24"/>
                <w:szCs w:val="24"/>
              </w:rPr>
              <w:t>Reducerea impactului cauzat de</w:t>
            </w:r>
            <w:r w:rsidRPr="00C56257">
              <w:rPr>
                <w:color w:val="000000" w:themeColor="text1"/>
                <w:spacing w:val="-52"/>
                <w:sz w:val="24"/>
                <w:szCs w:val="24"/>
              </w:rPr>
              <w:t xml:space="preserve"> </w:t>
            </w:r>
            <w:r w:rsidRPr="00C56257">
              <w:rPr>
                <w:color w:val="000000" w:themeColor="text1"/>
                <w:sz w:val="24"/>
                <w:szCs w:val="24"/>
              </w:rPr>
              <w:t>depozitarea deșeurilor,</w:t>
            </w:r>
            <w:r w:rsidRPr="00C56257">
              <w:rPr>
                <w:color w:val="000000" w:themeColor="text1"/>
                <w:spacing w:val="1"/>
                <w:sz w:val="24"/>
                <w:szCs w:val="24"/>
              </w:rPr>
              <w:t xml:space="preserve"> </w:t>
            </w:r>
            <w:r w:rsidRPr="00C56257">
              <w:rPr>
                <w:color w:val="000000" w:themeColor="text1"/>
                <w:sz w:val="24"/>
                <w:szCs w:val="24"/>
              </w:rPr>
              <w:t>îndepărtarea</w:t>
            </w:r>
            <w:r w:rsidRPr="00C56257">
              <w:rPr>
                <w:color w:val="000000" w:themeColor="text1"/>
                <w:spacing w:val="-1"/>
                <w:sz w:val="24"/>
                <w:szCs w:val="24"/>
              </w:rPr>
              <w:t xml:space="preserve"> </w:t>
            </w:r>
            <w:r w:rsidRPr="00C56257">
              <w:rPr>
                <w:color w:val="000000" w:themeColor="text1"/>
                <w:sz w:val="24"/>
                <w:szCs w:val="24"/>
              </w:rPr>
              <w:t>sedimentelor,</w:t>
            </w:r>
          </w:p>
          <w:p w14:paraId="437AA963" w14:textId="77777777" w:rsidR="00F07D5E" w:rsidRPr="00C56257" w:rsidRDefault="00F07D5E" w:rsidP="008E33FD">
            <w:pPr>
              <w:pStyle w:val="TableParagraph"/>
              <w:spacing w:line="238" w:lineRule="exact"/>
              <w:jc w:val="both"/>
              <w:rPr>
                <w:color w:val="000000" w:themeColor="text1"/>
                <w:sz w:val="24"/>
                <w:szCs w:val="24"/>
              </w:rPr>
            </w:pPr>
            <w:r w:rsidRPr="00C56257">
              <w:rPr>
                <w:color w:val="000000" w:themeColor="text1"/>
                <w:sz w:val="24"/>
                <w:szCs w:val="24"/>
              </w:rPr>
              <w:t>canalizarea,</w:t>
            </w:r>
            <w:r w:rsidRPr="00C56257">
              <w:rPr>
                <w:color w:val="000000" w:themeColor="text1"/>
                <w:spacing w:val="-3"/>
                <w:sz w:val="24"/>
                <w:szCs w:val="24"/>
              </w:rPr>
              <w:t xml:space="preserve"> </w:t>
            </w:r>
            <w:r w:rsidRPr="00C56257">
              <w:rPr>
                <w:color w:val="000000" w:themeColor="text1"/>
                <w:sz w:val="24"/>
                <w:szCs w:val="24"/>
              </w:rPr>
              <w:t>modificarea</w:t>
            </w:r>
            <w:r w:rsidRPr="00C56257">
              <w:rPr>
                <w:color w:val="000000" w:themeColor="text1"/>
                <w:spacing w:val="-5"/>
                <w:sz w:val="24"/>
                <w:szCs w:val="24"/>
              </w:rPr>
              <w:t xml:space="preserve"> </w:t>
            </w:r>
            <w:r w:rsidRPr="00C56257">
              <w:rPr>
                <w:color w:val="000000" w:themeColor="text1"/>
                <w:sz w:val="24"/>
                <w:szCs w:val="24"/>
              </w:rPr>
              <w:t>cursurilor</w:t>
            </w:r>
          </w:p>
        </w:tc>
        <w:tc>
          <w:tcPr>
            <w:tcW w:w="1710" w:type="dxa"/>
          </w:tcPr>
          <w:p w14:paraId="53C104C5" w14:textId="77777777" w:rsidR="00F07D5E" w:rsidRPr="00C56257" w:rsidRDefault="00F07D5E" w:rsidP="008E33FD">
            <w:pPr>
              <w:pStyle w:val="TableParagraph"/>
              <w:spacing w:line="242" w:lineRule="auto"/>
              <w:ind w:left="105" w:right="258"/>
              <w:jc w:val="both"/>
              <w:rPr>
                <w:color w:val="000000" w:themeColor="text1"/>
                <w:sz w:val="24"/>
                <w:szCs w:val="24"/>
              </w:rPr>
            </w:pPr>
            <w:r w:rsidRPr="00C56257">
              <w:rPr>
                <w:color w:val="000000" w:themeColor="text1"/>
                <w:sz w:val="24"/>
                <w:szCs w:val="24"/>
              </w:rPr>
              <w:t>K01, K02, K03,</w:t>
            </w:r>
            <w:r w:rsidRPr="00C56257">
              <w:rPr>
                <w:color w:val="000000" w:themeColor="text1"/>
                <w:spacing w:val="-52"/>
                <w:sz w:val="24"/>
                <w:szCs w:val="24"/>
              </w:rPr>
              <w:t xml:space="preserve"> </w:t>
            </w:r>
            <w:r w:rsidRPr="00C56257">
              <w:rPr>
                <w:color w:val="000000" w:themeColor="text1"/>
                <w:sz w:val="24"/>
                <w:szCs w:val="24"/>
              </w:rPr>
              <w:t>K04,</w:t>
            </w:r>
            <w:r w:rsidRPr="00C56257">
              <w:rPr>
                <w:color w:val="000000" w:themeColor="text1"/>
                <w:spacing w:val="-3"/>
                <w:sz w:val="24"/>
                <w:szCs w:val="24"/>
              </w:rPr>
              <w:t xml:space="preserve"> </w:t>
            </w:r>
            <w:r w:rsidRPr="00C56257">
              <w:rPr>
                <w:color w:val="000000" w:themeColor="text1"/>
                <w:sz w:val="24"/>
                <w:szCs w:val="24"/>
              </w:rPr>
              <w:t>K05</w:t>
            </w:r>
          </w:p>
        </w:tc>
      </w:tr>
      <w:tr w:rsidR="00F07D5E" w:rsidRPr="00C56257" w14:paraId="3ADEEA29" w14:textId="77777777" w:rsidTr="00F07D5E">
        <w:trPr>
          <w:trHeight w:val="1771"/>
        </w:trPr>
        <w:tc>
          <w:tcPr>
            <w:tcW w:w="708" w:type="dxa"/>
          </w:tcPr>
          <w:p w14:paraId="019F7405" w14:textId="77777777" w:rsidR="00F07D5E" w:rsidRPr="00C56257" w:rsidRDefault="00F07D5E" w:rsidP="008E33FD">
            <w:pPr>
              <w:pStyle w:val="TableParagraph"/>
              <w:jc w:val="both"/>
              <w:rPr>
                <w:color w:val="000000" w:themeColor="text1"/>
                <w:sz w:val="24"/>
                <w:szCs w:val="24"/>
              </w:rPr>
            </w:pPr>
          </w:p>
        </w:tc>
        <w:tc>
          <w:tcPr>
            <w:tcW w:w="1020" w:type="dxa"/>
          </w:tcPr>
          <w:p w14:paraId="5D32883B" w14:textId="77777777" w:rsidR="00F07D5E" w:rsidRPr="00C56257" w:rsidRDefault="00F07D5E" w:rsidP="008E33FD">
            <w:pPr>
              <w:pStyle w:val="TableParagraph"/>
              <w:jc w:val="both"/>
              <w:rPr>
                <w:color w:val="000000" w:themeColor="text1"/>
                <w:sz w:val="24"/>
                <w:szCs w:val="24"/>
              </w:rPr>
            </w:pPr>
          </w:p>
        </w:tc>
        <w:tc>
          <w:tcPr>
            <w:tcW w:w="1803" w:type="dxa"/>
          </w:tcPr>
          <w:p w14:paraId="76A123E9" w14:textId="77777777" w:rsidR="00F07D5E" w:rsidRPr="00C56257" w:rsidRDefault="00F07D5E" w:rsidP="008E33FD">
            <w:pPr>
              <w:pStyle w:val="TableParagraph"/>
              <w:spacing w:line="247" w:lineRule="exact"/>
              <w:jc w:val="both"/>
              <w:rPr>
                <w:color w:val="000000" w:themeColor="text1"/>
                <w:sz w:val="24"/>
                <w:szCs w:val="24"/>
              </w:rPr>
            </w:pPr>
            <w:r w:rsidRPr="00C56257">
              <w:rPr>
                <w:color w:val="000000" w:themeColor="text1"/>
                <w:sz w:val="24"/>
                <w:szCs w:val="24"/>
              </w:rPr>
              <w:t>multifuncționale</w:t>
            </w:r>
          </w:p>
        </w:tc>
        <w:tc>
          <w:tcPr>
            <w:tcW w:w="4557" w:type="dxa"/>
          </w:tcPr>
          <w:p w14:paraId="1EEB9D34" w14:textId="77777777" w:rsidR="00F07D5E" w:rsidRPr="00C56257" w:rsidRDefault="00F07D5E" w:rsidP="008E33FD">
            <w:pPr>
              <w:pStyle w:val="TableParagraph"/>
              <w:ind w:right="290"/>
              <w:jc w:val="both"/>
              <w:rPr>
                <w:color w:val="000000" w:themeColor="text1"/>
                <w:sz w:val="24"/>
                <w:szCs w:val="24"/>
              </w:rPr>
            </w:pPr>
            <w:r w:rsidRPr="00C56257">
              <w:rPr>
                <w:color w:val="000000" w:themeColor="text1"/>
                <w:sz w:val="24"/>
                <w:szCs w:val="24"/>
              </w:rPr>
              <w:t>de apă, modificarea regimului de</w:t>
            </w:r>
            <w:r w:rsidRPr="00C56257">
              <w:rPr>
                <w:color w:val="000000" w:themeColor="text1"/>
                <w:spacing w:val="-52"/>
                <w:sz w:val="24"/>
                <w:szCs w:val="24"/>
              </w:rPr>
              <w:t xml:space="preserve"> </w:t>
            </w:r>
            <w:r w:rsidRPr="00C56257">
              <w:rPr>
                <w:color w:val="000000" w:themeColor="text1"/>
                <w:sz w:val="24"/>
                <w:szCs w:val="24"/>
              </w:rPr>
              <w:t>inundații și alte modificări ale</w:t>
            </w:r>
            <w:r w:rsidRPr="00C56257">
              <w:rPr>
                <w:color w:val="000000" w:themeColor="text1"/>
                <w:spacing w:val="1"/>
                <w:sz w:val="24"/>
                <w:szCs w:val="24"/>
              </w:rPr>
              <w:t xml:space="preserve"> </w:t>
            </w:r>
            <w:r w:rsidRPr="00C56257">
              <w:rPr>
                <w:color w:val="000000" w:themeColor="text1"/>
                <w:sz w:val="24"/>
                <w:szCs w:val="24"/>
              </w:rPr>
              <w:t>funcționării hidrologice sau ale</w:t>
            </w:r>
            <w:r w:rsidRPr="00C56257">
              <w:rPr>
                <w:color w:val="000000" w:themeColor="text1"/>
                <w:spacing w:val="1"/>
                <w:sz w:val="24"/>
                <w:szCs w:val="24"/>
              </w:rPr>
              <w:t xml:space="preserve"> </w:t>
            </w:r>
            <w:r w:rsidRPr="00C56257">
              <w:rPr>
                <w:color w:val="000000" w:themeColor="text1"/>
                <w:sz w:val="24"/>
                <w:szCs w:val="24"/>
              </w:rPr>
              <w:t>caracteristicilor fizice ale</w:t>
            </w:r>
            <w:r w:rsidRPr="00C56257">
              <w:rPr>
                <w:color w:val="000000" w:themeColor="text1"/>
                <w:spacing w:val="1"/>
                <w:sz w:val="24"/>
                <w:szCs w:val="24"/>
              </w:rPr>
              <w:t xml:space="preserve"> </w:t>
            </w:r>
            <w:r w:rsidRPr="00C56257">
              <w:rPr>
                <w:color w:val="000000" w:themeColor="text1"/>
                <w:sz w:val="24"/>
                <w:szCs w:val="24"/>
              </w:rPr>
              <w:t>corpurilor de apă, care nu pot fi</w:t>
            </w:r>
            <w:r w:rsidRPr="00C56257">
              <w:rPr>
                <w:color w:val="000000" w:themeColor="text1"/>
                <w:spacing w:val="1"/>
                <w:sz w:val="24"/>
                <w:szCs w:val="24"/>
              </w:rPr>
              <w:t xml:space="preserve"> </w:t>
            </w:r>
            <w:r w:rsidRPr="00C56257">
              <w:rPr>
                <w:color w:val="000000" w:themeColor="text1"/>
                <w:sz w:val="24"/>
                <w:szCs w:val="24"/>
              </w:rPr>
              <w:t>ușor</w:t>
            </w:r>
            <w:r w:rsidRPr="00C56257">
              <w:rPr>
                <w:color w:val="000000" w:themeColor="text1"/>
                <w:spacing w:val="-3"/>
                <w:sz w:val="24"/>
                <w:szCs w:val="24"/>
              </w:rPr>
              <w:t xml:space="preserve"> </w:t>
            </w:r>
            <w:r w:rsidRPr="00C56257">
              <w:rPr>
                <w:color w:val="000000" w:themeColor="text1"/>
                <w:sz w:val="24"/>
                <w:szCs w:val="24"/>
              </w:rPr>
              <w:t>asociate cu una</w:t>
            </w:r>
            <w:r w:rsidRPr="00C56257">
              <w:rPr>
                <w:color w:val="000000" w:themeColor="text1"/>
                <w:spacing w:val="-2"/>
                <w:sz w:val="24"/>
                <w:szCs w:val="24"/>
              </w:rPr>
              <w:t xml:space="preserve"> </w:t>
            </w:r>
            <w:r w:rsidRPr="00C56257">
              <w:rPr>
                <w:color w:val="000000" w:themeColor="text1"/>
                <w:sz w:val="24"/>
                <w:szCs w:val="24"/>
              </w:rPr>
              <w:t>dintre</w:t>
            </w:r>
          </w:p>
          <w:p w14:paraId="4FFA9B99" w14:textId="77777777" w:rsidR="00F07D5E" w:rsidRPr="00C56257" w:rsidRDefault="00F07D5E" w:rsidP="008E33FD">
            <w:pPr>
              <w:pStyle w:val="TableParagraph"/>
              <w:spacing w:line="238" w:lineRule="exact"/>
              <w:jc w:val="both"/>
              <w:rPr>
                <w:color w:val="000000" w:themeColor="text1"/>
                <w:sz w:val="24"/>
                <w:szCs w:val="24"/>
              </w:rPr>
            </w:pPr>
            <w:r w:rsidRPr="00C56257">
              <w:rPr>
                <w:color w:val="000000" w:themeColor="text1"/>
                <w:sz w:val="24"/>
                <w:szCs w:val="24"/>
              </w:rPr>
              <w:t>categoriile</w:t>
            </w:r>
            <w:r w:rsidRPr="00C56257">
              <w:rPr>
                <w:color w:val="000000" w:themeColor="text1"/>
                <w:spacing w:val="-2"/>
                <w:sz w:val="24"/>
                <w:szCs w:val="24"/>
              </w:rPr>
              <w:t xml:space="preserve"> </w:t>
            </w:r>
            <w:r w:rsidRPr="00C56257">
              <w:rPr>
                <w:color w:val="000000" w:themeColor="text1"/>
                <w:sz w:val="24"/>
                <w:szCs w:val="24"/>
              </w:rPr>
              <w:t>de</w:t>
            </w:r>
            <w:r w:rsidRPr="00C56257">
              <w:rPr>
                <w:color w:val="000000" w:themeColor="text1"/>
                <w:spacing w:val="-1"/>
                <w:sz w:val="24"/>
                <w:szCs w:val="24"/>
              </w:rPr>
              <w:t xml:space="preserve"> </w:t>
            </w:r>
            <w:r w:rsidRPr="00C56257">
              <w:rPr>
                <w:color w:val="000000" w:themeColor="text1"/>
                <w:sz w:val="24"/>
                <w:szCs w:val="24"/>
              </w:rPr>
              <w:t>mai sus.</w:t>
            </w:r>
          </w:p>
        </w:tc>
        <w:tc>
          <w:tcPr>
            <w:tcW w:w="1710" w:type="dxa"/>
          </w:tcPr>
          <w:p w14:paraId="5C300FE7" w14:textId="77777777" w:rsidR="00F07D5E" w:rsidRPr="00C56257" w:rsidRDefault="00F07D5E" w:rsidP="008E33FD">
            <w:pPr>
              <w:pStyle w:val="TableParagraph"/>
              <w:jc w:val="both"/>
              <w:rPr>
                <w:color w:val="000000" w:themeColor="text1"/>
                <w:sz w:val="24"/>
                <w:szCs w:val="24"/>
              </w:rPr>
            </w:pPr>
          </w:p>
        </w:tc>
      </w:tr>
      <w:tr w:rsidR="00F07D5E" w:rsidRPr="00C56257" w14:paraId="38CF5CD2" w14:textId="77777777" w:rsidTr="00507CCA">
        <w:trPr>
          <w:trHeight w:val="2803"/>
        </w:trPr>
        <w:tc>
          <w:tcPr>
            <w:tcW w:w="708" w:type="dxa"/>
          </w:tcPr>
          <w:p w14:paraId="14C9E730" w14:textId="77777777" w:rsidR="00F07D5E" w:rsidRPr="00C56257" w:rsidRDefault="00F07D5E" w:rsidP="008E33FD">
            <w:pPr>
              <w:pStyle w:val="TableParagraph"/>
              <w:spacing w:line="247" w:lineRule="exact"/>
              <w:ind w:right="7"/>
              <w:jc w:val="both"/>
              <w:rPr>
                <w:color w:val="000000" w:themeColor="text1"/>
                <w:sz w:val="24"/>
                <w:szCs w:val="24"/>
              </w:rPr>
            </w:pPr>
            <w:r w:rsidRPr="00C56257">
              <w:rPr>
                <w:color w:val="000000" w:themeColor="text1"/>
                <w:sz w:val="24"/>
                <w:szCs w:val="24"/>
              </w:rPr>
              <w:t>10</w:t>
            </w:r>
          </w:p>
        </w:tc>
        <w:tc>
          <w:tcPr>
            <w:tcW w:w="1020" w:type="dxa"/>
          </w:tcPr>
          <w:p w14:paraId="20B6CA12" w14:textId="77777777" w:rsidR="00F07D5E" w:rsidRPr="00C56257" w:rsidRDefault="00F07D5E" w:rsidP="008E33FD">
            <w:pPr>
              <w:pStyle w:val="TableParagraph"/>
              <w:jc w:val="both"/>
              <w:rPr>
                <w:color w:val="000000" w:themeColor="text1"/>
                <w:sz w:val="24"/>
                <w:szCs w:val="24"/>
              </w:rPr>
            </w:pPr>
          </w:p>
          <w:p w14:paraId="1F72DFC5" w14:textId="77777777" w:rsidR="00F07D5E" w:rsidRPr="00C56257" w:rsidRDefault="00F07D5E" w:rsidP="008E33FD">
            <w:pPr>
              <w:pStyle w:val="TableParagraph"/>
              <w:jc w:val="both"/>
              <w:rPr>
                <w:color w:val="000000" w:themeColor="text1"/>
                <w:sz w:val="24"/>
                <w:szCs w:val="24"/>
              </w:rPr>
            </w:pPr>
          </w:p>
          <w:p w14:paraId="14FF4A22" w14:textId="77777777" w:rsidR="00F07D5E" w:rsidRPr="00C56257" w:rsidRDefault="00F07D5E" w:rsidP="008E33FD">
            <w:pPr>
              <w:pStyle w:val="TableParagraph"/>
              <w:jc w:val="both"/>
              <w:rPr>
                <w:color w:val="000000" w:themeColor="text1"/>
                <w:sz w:val="24"/>
                <w:szCs w:val="24"/>
              </w:rPr>
            </w:pPr>
          </w:p>
          <w:p w14:paraId="20CBAB5B" w14:textId="77777777" w:rsidR="00F07D5E" w:rsidRPr="00C56257" w:rsidRDefault="00F07D5E" w:rsidP="008E33FD">
            <w:pPr>
              <w:pStyle w:val="TableParagraph"/>
              <w:jc w:val="both"/>
              <w:rPr>
                <w:color w:val="000000" w:themeColor="text1"/>
                <w:sz w:val="24"/>
                <w:szCs w:val="24"/>
              </w:rPr>
            </w:pPr>
          </w:p>
          <w:p w14:paraId="407993F5" w14:textId="77777777" w:rsidR="00F07D5E" w:rsidRPr="00C56257" w:rsidRDefault="00F07D5E" w:rsidP="008E33FD">
            <w:pPr>
              <w:pStyle w:val="TableParagraph"/>
              <w:jc w:val="both"/>
              <w:rPr>
                <w:color w:val="000000" w:themeColor="text1"/>
                <w:sz w:val="24"/>
                <w:szCs w:val="24"/>
              </w:rPr>
            </w:pPr>
          </w:p>
          <w:p w14:paraId="132DE5F0" w14:textId="77777777" w:rsidR="00F07D5E" w:rsidRPr="00C56257" w:rsidRDefault="00F07D5E" w:rsidP="008E33FD">
            <w:pPr>
              <w:pStyle w:val="TableParagraph"/>
              <w:spacing w:before="5"/>
              <w:jc w:val="both"/>
              <w:rPr>
                <w:color w:val="000000" w:themeColor="text1"/>
                <w:sz w:val="24"/>
                <w:szCs w:val="24"/>
              </w:rPr>
            </w:pPr>
          </w:p>
          <w:p w14:paraId="62DAEA0C" w14:textId="77777777" w:rsidR="00F07D5E" w:rsidRPr="00C56257" w:rsidRDefault="00F07D5E" w:rsidP="008E33FD">
            <w:pPr>
              <w:pStyle w:val="TableParagraph"/>
              <w:ind w:left="251"/>
              <w:jc w:val="both"/>
              <w:rPr>
                <w:color w:val="000000" w:themeColor="text1"/>
                <w:sz w:val="24"/>
                <w:szCs w:val="24"/>
              </w:rPr>
            </w:pPr>
            <w:r w:rsidRPr="00C56257">
              <w:rPr>
                <w:color w:val="000000" w:themeColor="text1"/>
                <w:sz w:val="24"/>
                <w:szCs w:val="24"/>
              </w:rPr>
              <w:t>CC01</w:t>
            </w:r>
          </w:p>
        </w:tc>
        <w:tc>
          <w:tcPr>
            <w:tcW w:w="1803" w:type="dxa"/>
          </w:tcPr>
          <w:p w14:paraId="0351C19A" w14:textId="77777777" w:rsidR="00F07D5E" w:rsidRPr="00C56257" w:rsidRDefault="00F07D5E" w:rsidP="008E33FD">
            <w:pPr>
              <w:pStyle w:val="TableParagraph"/>
              <w:jc w:val="both"/>
              <w:rPr>
                <w:color w:val="000000" w:themeColor="text1"/>
                <w:sz w:val="24"/>
                <w:szCs w:val="24"/>
              </w:rPr>
            </w:pPr>
          </w:p>
          <w:p w14:paraId="727CF25B" w14:textId="77777777" w:rsidR="00F07D5E" w:rsidRPr="00C56257" w:rsidRDefault="00F07D5E" w:rsidP="008E33FD">
            <w:pPr>
              <w:pStyle w:val="TableParagraph"/>
              <w:jc w:val="both"/>
              <w:rPr>
                <w:color w:val="000000" w:themeColor="text1"/>
                <w:sz w:val="24"/>
                <w:szCs w:val="24"/>
              </w:rPr>
            </w:pPr>
          </w:p>
          <w:p w14:paraId="3E6A7CDB" w14:textId="77777777" w:rsidR="00F07D5E" w:rsidRPr="00C56257" w:rsidRDefault="00F07D5E" w:rsidP="008E33FD">
            <w:pPr>
              <w:pStyle w:val="TableParagraph"/>
              <w:jc w:val="both"/>
              <w:rPr>
                <w:color w:val="000000" w:themeColor="text1"/>
                <w:sz w:val="24"/>
                <w:szCs w:val="24"/>
              </w:rPr>
            </w:pPr>
          </w:p>
          <w:p w14:paraId="1644A86A" w14:textId="77777777" w:rsidR="00F07D5E" w:rsidRPr="00C56257" w:rsidRDefault="00F07D5E" w:rsidP="008E33FD">
            <w:pPr>
              <w:pStyle w:val="TableParagraph"/>
              <w:jc w:val="both"/>
              <w:rPr>
                <w:color w:val="000000" w:themeColor="text1"/>
                <w:sz w:val="24"/>
                <w:szCs w:val="24"/>
              </w:rPr>
            </w:pPr>
          </w:p>
          <w:p w14:paraId="62FDAF97" w14:textId="77777777" w:rsidR="00F07D5E" w:rsidRPr="00C56257" w:rsidRDefault="00F07D5E" w:rsidP="008E33FD">
            <w:pPr>
              <w:pStyle w:val="TableParagraph"/>
              <w:spacing w:before="154"/>
              <w:ind w:right="84"/>
              <w:jc w:val="both"/>
              <w:rPr>
                <w:color w:val="000000" w:themeColor="text1"/>
                <w:sz w:val="24"/>
                <w:szCs w:val="24"/>
              </w:rPr>
            </w:pPr>
            <w:r w:rsidRPr="00C56257">
              <w:rPr>
                <w:color w:val="000000" w:themeColor="text1"/>
                <w:sz w:val="24"/>
                <w:szCs w:val="24"/>
              </w:rPr>
              <w:t>Adaptarea/manag</w:t>
            </w:r>
            <w:r w:rsidRPr="00C56257">
              <w:rPr>
                <w:color w:val="000000" w:themeColor="text1"/>
                <w:spacing w:val="-52"/>
                <w:sz w:val="24"/>
                <w:szCs w:val="24"/>
              </w:rPr>
              <w:t xml:space="preserve"> </w:t>
            </w:r>
            <w:r w:rsidRPr="00C56257">
              <w:rPr>
                <w:color w:val="000000" w:themeColor="text1"/>
                <w:sz w:val="24"/>
                <w:szCs w:val="24"/>
              </w:rPr>
              <w:t>ementul extracției</w:t>
            </w:r>
            <w:r w:rsidRPr="00C56257">
              <w:rPr>
                <w:color w:val="000000" w:themeColor="text1"/>
                <w:spacing w:val="-53"/>
                <w:sz w:val="24"/>
                <w:szCs w:val="24"/>
              </w:rPr>
              <w:t xml:space="preserve"> </w:t>
            </w:r>
            <w:r w:rsidRPr="00C56257">
              <w:rPr>
                <w:color w:val="000000" w:themeColor="text1"/>
                <w:sz w:val="24"/>
                <w:szCs w:val="24"/>
              </w:rPr>
              <w:t>resurselor</w:t>
            </w:r>
            <w:r w:rsidRPr="00C56257">
              <w:rPr>
                <w:color w:val="000000" w:themeColor="text1"/>
                <w:spacing w:val="1"/>
                <w:sz w:val="24"/>
                <w:szCs w:val="24"/>
              </w:rPr>
              <w:t xml:space="preserve"> </w:t>
            </w:r>
            <w:r w:rsidRPr="00C56257">
              <w:rPr>
                <w:color w:val="000000" w:themeColor="text1"/>
                <w:sz w:val="24"/>
                <w:szCs w:val="24"/>
              </w:rPr>
              <w:t>neenergetice</w:t>
            </w:r>
          </w:p>
        </w:tc>
        <w:tc>
          <w:tcPr>
            <w:tcW w:w="4557" w:type="dxa"/>
          </w:tcPr>
          <w:p w14:paraId="39461FD4" w14:textId="77777777" w:rsidR="00F07D5E" w:rsidRPr="00C56257" w:rsidRDefault="00F07D5E" w:rsidP="008E33FD">
            <w:pPr>
              <w:pStyle w:val="TableParagraph"/>
              <w:ind w:right="173"/>
              <w:jc w:val="both"/>
              <w:rPr>
                <w:color w:val="000000" w:themeColor="text1"/>
                <w:sz w:val="24"/>
                <w:szCs w:val="24"/>
              </w:rPr>
            </w:pPr>
            <w:r w:rsidRPr="00C56257">
              <w:rPr>
                <w:color w:val="000000" w:themeColor="text1"/>
                <w:sz w:val="24"/>
                <w:szCs w:val="24"/>
              </w:rPr>
              <w:t>Adaptarea și gestionarea (inclusiv</w:t>
            </w:r>
            <w:r w:rsidRPr="00C56257">
              <w:rPr>
                <w:color w:val="000000" w:themeColor="text1"/>
                <w:spacing w:val="-52"/>
                <w:sz w:val="24"/>
                <w:szCs w:val="24"/>
              </w:rPr>
              <w:t xml:space="preserve"> </w:t>
            </w:r>
            <w:r w:rsidRPr="00C56257">
              <w:rPr>
                <w:color w:val="000000" w:themeColor="text1"/>
                <w:sz w:val="24"/>
                <w:szCs w:val="24"/>
              </w:rPr>
              <w:t>oprirea și evitarea) extracției de</w:t>
            </w:r>
            <w:r w:rsidRPr="00C56257">
              <w:rPr>
                <w:color w:val="000000" w:themeColor="text1"/>
                <w:spacing w:val="1"/>
                <w:sz w:val="24"/>
                <w:szCs w:val="24"/>
              </w:rPr>
              <w:t xml:space="preserve"> </w:t>
            </w:r>
            <w:r w:rsidRPr="00C56257">
              <w:rPr>
                <w:color w:val="000000" w:themeColor="text1"/>
                <w:sz w:val="24"/>
                <w:szCs w:val="24"/>
              </w:rPr>
              <w:t>minerale și resurse neenergetice</w:t>
            </w:r>
            <w:r w:rsidRPr="00C56257">
              <w:rPr>
                <w:color w:val="000000" w:themeColor="text1"/>
                <w:spacing w:val="1"/>
                <w:sz w:val="24"/>
                <w:szCs w:val="24"/>
              </w:rPr>
              <w:t xml:space="preserve"> </w:t>
            </w:r>
            <w:r w:rsidRPr="00C56257">
              <w:rPr>
                <w:color w:val="000000" w:themeColor="text1"/>
                <w:sz w:val="24"/>
                <w:szCs w:val="24"/>
              </w:rPr>
              <w:t>(de exemplu: extracția nisipului,</w:t>
            </w:r>
            <w:r w:rsidRPr="00C56257">
              <w:rPr>
                <w:color w:val="000000" w:themeColor="text1"/>
                <w:spacing w:val="1"/>
                <w:sz w:val="24"/>
                <w:szCs w:val="24"/>
              </w:rPr>
              <w:t xml:space="preserve"> </w:t>
            </w:r>
            <w:r w:rsidRPr="00C56257">
              <w:rPr>
                <w:color w:val="000000" w:themeColor="text1"/>
                <w:sz w:val="24"/>
                <w:szCs w:val="24"/>
              </w:rPr>
              <w:t>pietrișului, lutului, argilei și turbei</w:t>
            </w:r>
            <w:r w:rsidRPr="00C56257">
              <w:rPr>
                <w:color w:val="000000" w:themeColor="text1"/>
                <w:spacing w:val="-52"/>
                <w:sz w:val="24"/>
                <w:szCs w:val="24"/>
              </w:rPr>
              <w:t xml:space="preserve"> </w:t>
            </w:r>
            <w:r w:rsidRPr="00C56257">
              <w:rPr>
                <w:color w:val="000000" w:themeColor="text1"/>
                <w:sz w:val="24"/>
                <w:szCs w:val="24"/>
              </w:rPr>
              <w:t>pentru producerea de compost</w:t>
            </w:r>
            <w:r w:rsidRPr="00C56257">
              <w:rPr>
                <w:color w:val="000000" w:themeColor="text1"/>
                <w:spacing w:val="1"/>
                <w:sz w:val="24"/>
                <w:szCs w:val="24"/>
              </w:rPr>
              <w:t xml:space="preserve"> </w:t>
            </w:r>
            <w:r w:rsidRPr="00C56257">
              <w:rPr>
                <w:color w:val="000000" w:themeColor="text1"/>
                <w:sz w:val="24"/>
                <w:szCs w:val="24"/>
              </w:rPr>
              <w:t>vegetal sau alte scopuri horticole)</w:t>
            </w:r>
            <w:r w:rsidRPr="00C56257">
              <w:rPr>
                <w:color w:val="000000" w:themeColor="text1"/>
                <w:spacing w:val="-52"/>
                <w:sz w:val="24"/>
                <w:szCs w:val="24"/>
              </w:rPr>
              <w:t xml:space="preserve"> </w:t>
            </w:r>
            <w:r w:rsidRPr="00C56257">
              <w:rPr>
                <w:color w:val="000000" w:themeColor="text1"/>
                <w:sz w:val="24"/>
                <w:szCs w:val="24"/>
              </w:rPr>
              <w:t>precum și adaptarea și gestionarea</w:t>
            </w:r>
            <w:r w:rsidRPr="00C56257">
              <w:rPr>
                <w:color w:val="000000" w:themeColor="text1"/>
                <w:spacing w:val="-52"/>
                <w:sz w:val="24"/>
                <w:szCs w:val="24"/>
              </w:rPr>
              <w:t xml:space="preserve"> </w:t>
            </w:r>
            <w:r w:rsidRPr="00C56257">
              <w:rPr>
                <w:color w:val="000000" w:themeColor="text1"/>
                <w:sz w:val="24"/>
                <w:szCs w:val="24"/>
              </w:rPr>
              <w:t>extracției sării. De asemenea,</w:t>
            </w:r>
            <w:r w:rsidRPr="00C56257">
              <w:rPr>
                <w:color w:val="000000" w:themeColor="text1"/>
                <w:spacing w:val="1"/>
                <w:sz w:val="24"/>
                <w:szCs w:val="24"/>
              </w:rPr>
              <w:t xml:space="preserve"> </w:t>
            </w:r>
            <w:r w:rsidRPr="00C56257">
              <w:rPr>
                <w:color w:val="000000" w:themeColor="text1"/>
                <w:sz w:val="24"/>
                <w:szCs w:val="24"/>
              </w:rPr>
              <w:t>măsura include reducerea</w:t>
            </w:r>
            <w:r w:rsidRPr="00C56257">
              <w:rPr>
                <w:color w:val="000000" w:themeColor="text1"/>
                <w:spacing w:val="1"/>
                <w:sz w:val="24"/>
                <w:szCs w:val="24"/>
              </w:rPr>
              <w:t xml:space="preserve"> </w:t>
            </w:r>
            <w:r w:rsidRPr="00C56257">
              <w:rPr>
                <w:color w:val="000000" w:themeColor="text1"/>
                <w:sz w:val="24"/>
                <w:szCs w:val="24"/>
              </w:rPr>
              <w:t>impactului rezultat</w:t>
            </w:r>
            <w:r w:rsidRPr="00C56257">
              <w:rPr>
                <w:color w:val="000000" w:themeColor="text1"/>
                <w:spacing w:val="1"/>
                <w:sz w:val="24"/>
                <w:szCs w:val="24"/>
              </w:rPr>
              <w:t xml:space="preserve"> </w:t>
            </w:r>
            <w:r w:rsidRPr="00C56257">
              <w:rPr>
                <w:color w:val="000000" w:themeColor="text1"/>
                <w:sz w:val="24"/>
                <w:szCs w:val="24"/>
              </w:rPr>
              <w:t>din</w:t>
            </w:r>
            <w:r w:rsidRPr="00C56257">
              <w:rPr>
                <w:color w:val="000000" w:themeColor="text1"/>
                <w:spacing w:val="1"/>
                <w:sz w:val="24"/>
                <w:szCs w:val="24"/>
              </w:rPr>
              <w:t xml:space="preserve"> </w:t>
            </w:r>
            <w:r w:rsidRPr="00C56257">
              <w:rPr>
                <w:color w:val="000000" w:themeColor="text1"/>
                <w:sz w:val="24"/>
                <w:szCs w:val="24"/>
              </w:rPr>
              <w:t>topografierea</w:t>
            </w:r>
            <w:r w:rsidRPr="00C56257">
              <w:rPr>
                <w:color w:val="000000" w:themeColor="text1"/>
                <w:spacing w:val="-1"/>
                <w:sz w:val="24"/>
                <w:szCs w:val="24"/>
              </w:rPr>
              <w:t xml:space="preserve"> </w:t>
            </w:r>
            <w:r w:rsidRPr="00C56257">
              <w:rPr>
                <w:color w:val="000000" w:themeColor="text1"/>
                <w:sz w:val="24"/>
                <w:szCs w:val="24"/>
              </w:rPr>
              <w:t>geotehnică</w:t>
            </w:r>
            <w:r w:rsidRPr="00C56257">
              <w:rPr>
                <w:color w:val="000000" w:themeColor="text1"/>
                <w:spacing w:val="-3"/>
                <w:sz w:val="24"/>
                <w:szCs w:val="24"/>
              </w:rPr>
              <w:t xml:space="preserve"> </w:t>
            </w:r>
            <w:r w:rsidRPr="00C56257">
              <w:rPr>
                <w:color w:val="000000" w:themeColor="text1"/>
                <w:sz w:val="24"/>
                <w:szCs w:val="24"/>
              </w:rPr>
              <w:t>și</w:t>
            </w:r>
            <w:r w:rsidRPr="00C56257">
              <w:rPr>
                <w:color w:val="000000" w:themeColor="text1"/>
                <w:spacing w:val="-2"/>
                <w:sz w:val="24"/>
                <w:szCs w:val="24"/>
              </w:rPr>
              <w:t xml:space="preserve"> </w:t>
            </w:r>
            <w:r w:rsidRPr="00C56257">
              <w:rPr>
                <w:color w:val="000000" w:themeColor="text1"/>
                <w:sz w:val="24"/>
                <w:szCs w:val="24"/>
              </w:rPr>
              <w:t>alte</w:t>
            </w:r>
          </w:p>
          <w:p w14:paraId="523FD80A" w14:textId="77777777" w:rsidR="00F07D5E" w:rsidRPr="00C56257" w:rsidRDefault="00F07D5E" w:rsidP="008E33FD">
            <w:pPr>
              <w:pStyle w:val="TableParagraph"/>
              <w:spacing w:line="252" w:lineRule="exact"/>
              <w:ind w:right="205"/>
              <w:jc w:val="both"/>
              <w:rPr>
                <w:color w:val="000000" w:themeColor="text1"/>
                <w:sz w:val="24"/>
                <w:szCs w:val="24"/>
              </w:rPr>
            </w:pPr>
            <w:r w:rsidRPr="00C56257">
              <w:rPr>
                <w:color w:val="000000" w:themeColor="text1"/>
                <w:sz w:val="24"/>
                <w:szCs w:val="24"/>
              </w:rPr>
              <w:t>lucrări pregătitoare pentru minerit</w:t>
            </w:r>
            <w:r w:rsidRPr="00C56257">
              <w:rPr>
                <w:color w:val="000000" w:themeColor="text1"/>
                <w:spacing w:val="-52"/>
                <w:sz w:val="24"/>
                <w:szCs w:val="24"/>
              </w:rPr>
              <w:t xml:space="preserve"> </w:t>
            </w:r>
            <w:r w:rsidRPr="00C56257">
              <w:rPr>
                <w:color w:val="000000" w:themeColor="text1"/>
                <w:sz w:val="24"/>
                <w:szCs w:val="24"/>
              </w:rPr>
              <w:t>și extracție.</w:t>
            </w:r>
          </w:p>
        </w:tc>
        <w:tc>
          <w:tcPr>
            <w:tcW w:w="1710" w:type="dxa"/>
          </w:tcPr>
          <w:p w14:paraId="764FD12B" w14:textId="77777777" w:rsidR="00F07D5E" w:rsidRPr="00C56257" w:rsidRDefault="00F07D5E" w:rsidP="008E33FD">
            <w:pPr>
              <w:pStyle w:val="TableParagraph"/>
              <w:jc w:val="both"/>
              <w:rPr>
                <w:color w:val="000000" w:themeColor="text1"/>
                <w:sz w:val="24"/>
                <w:szCs w:val="24"/>
              </w:rPr>
            </w:pPr>
          </w:p>
          <w:p w14:paraId="6F186125" w14:textId="77777777" w:rsidR="00F07D5E" w:rsidRPr="00C56257" w:rsidRDefault="00F07D5E" w:rsidP="008E33FD">
            <w:pPr>
              <w:pStyle w:val="TableParagraph"/>
              <w:jc w:val="both"/>
              <w:rPr>
                <w:color w:val="000000" w:themeColor="text1"/>
                <w:sz w:val="24"/>
                <w:szCs w:val="24"/>
              </w:rPr>
            </w:pPr>
          </w:p>
          <w:p w14:paraId="1553B278" w14:textId="77777777" w:rsidR="00F07D5E" w:rsidRPr="00C56257" w:rsidRDefault="00F07D5E" w:rsidP="008E33FD">
            <w:pPr>
              <w:pStyle w:val="TableParagraph"/>
              <w:jc w:val="both"/>
              <w:rPr>
                <w:color w:val="000000" w:themeColor="text1"/>
                <w:sz w:val="24"/>
                <w:szCs w:val="24"/>
              </w:rPr>
            </w:pPr>
          </w:p>
          <w:p w14:paraId="46F259F8" w14:textId="77777777" w:rsidR="00F07D5E" w:rsidRPr="00C56257" w:rsidRDefault="00F07D5E" w:rsidP="008E33FD">
            <w:pPr>
              <w:pStyle w:val="TableParagraph"/>
              <w:jc w:val="both"/>
              <w:rPr>
                <w:color w:val="000000" w:themeColor="text1"/>
                <w:sz w:val="24"/>
                <w:szCs w:val="24"/>
              </w:rPr>
            </w:pPr>
          </w:p>
          <w:p w14:paraId="5A7257A8" w14:textId="77777777" w:rsidR="00F07D5E" w:rsidRPr="00C56257" w:rsidRDefault="00F07D5E" w:rsidP="008E33FD">
            <w:pPr>
              <w:pStyle w:val="TableParagraph"/>
              <w:spacing w:before="6"/>
              <w:jc w:val="both"/>
              <w:rPr>
                <w:color w:val="000000" w:themeColor="text1"/>
                <w:sz w:val="24"/>
                <w:szCs w:val="24"/>
              </w:rPr>
            </w:pPr>
          </w:p>
          <w:p w14:paraId="6F99BCB1" w14:textId="77777777" w:rsidR="00F07D5E" w:rsidRPr="00C56257" w:rsidRDefault="00F07D5E" w:rsidP="008E33FD">
            <w:pPr>
              <w:pStyle w:val="TableParagraph"/>
              <w:spacing w:line="252" w:lineRule="exact"/>
              <w:ind w:left="105"/>
              <w:jc w:val="both"/>
              <w:rPr>
                <w:color w:val="000000" w:themeColor="text1"/>
                <w:sz w:val="24"/>
                <w:szCs w:val="24"/>
              </w:rPr>
            </w:pPr>
            <w:r w:rsidRPr="00C56257">
              <w:rPr>
                <w:color w:val="000000" w:themeColor="text1"/>
                <w:sz w:val="24"/>
                <w:szCs w:val="24"/>
              </w:rPr>
              <w:t>C01, C02, C05,</w:t>
            </w:r>
          </w:p>
          <w:p w14:paraId="77E8CB62" w14:textId="77777777" w:rsidR="00F07D5E" w:rsidRPr="00C56257" w:rsidRDefault="00F07D5E" w:rsidP="008E33FD">
            <w:pPr>
              <w:pStyle w:val="TableParagraph"/>
              <w:ind w:left="105" w:right="258"/>
              <w:jc w:val="both"/>
              <w:rPr>
                <w:color w:val="000000" w:themeColor="text1"/>
                <w:sz w:val="24"/>
                <w:szCs w:val="24"/>
              </w:rPr>
            </w:pPr>
            <w:r w:rsidRPr="00C56257">
              <w:rPr>
                <w:color w:val="000000" w:themeColor="text1"/>
                <w:sz w:val="24"/>
                <w:szCs w:val="24"/>
              </w:rPr>
              <w:t>C06 partly, C07</w:t>
            </w:r>
            <w:r w:rsidRPr="00C56257">
              <w:rPr>
                <w:color w:val="000000" w:themeColor="text1"/>
                <w:spacing w:val="-52"/>
                <w:sz w:val="24"/>
                <w:szCs w:val="24"/>
              </w:rPr>
              <w:t xml:space="preserve"> </w:t>
            </w:r>
            <w:r w:rsidRPr="00C56257">
              <w:rPr>
                <w:color w:val="000000" w:themeColor="text1"/>
                <w:sz w:val="24"/>
                <w:szCs w:val="24"/>
              </w:rPr>
              <w:t>parțial,</w:t>
            </w:r>
            <w:r w:rsidRPr="00C56257">
              <w:rPr>
                <w:color w:val="000000" w:themeColor="text1"/>
                <w:spacing w:val="-1"/>
                <w:sz w:val="24"/>
                <w:szCs w:val="24"/>
              </w:rPr>
              <w:t xml:space="preserve"> </w:t>
            </w:r>
            <w:r w:rsidRPr="00C56257">
              <w:rPr>
                <w:color w:val="000000" w:themeColor="text1"/>
                <w:sz w:val="24"/>
                <w:szCs w:val="24"/>
              </w:rPr>
              <w:t>C09</w:t>
            </w:r>
          </w:p>
        </w:tc>
      </w:tr>
    </w:tbl>
    <w:p w14:paraId="0628C5A0" w14:textId="77777777" w:rsidR="00C350FB" w:rsidRPr="00C56257" w:rsidRDefault="00C350FB" w:rsidP="008E33FD">
      <w:pPr>
        <w:spacing w:after="160" w:line="259" w:lineRule="auto"/>
        <w:jc w:val="both"/>
        <w:rPr>
          <w:bCs/>
          <w:color w:val="000000" w:themeColor="text1"/>
        </w:rPr>
      </w:pPr>
    </w:p>
    <w:p w14:paraId="65323CBA" w14:textId="77777777" w:rsidR="00F07D5E" w:rsidRDefault="00F07D5E">
      <w:pPr>
        <w:spacing w:after="160" w:line="259" w:lineRule="auto"/>
        <w:rPr>
          <w:b/>
          <w:bCs/>
          <w:color w:val="000000" w:themeColor="text1"/>
        </w:rPr>
      </w:pPr>
      <w:r>
        <w:rPr>
          <w:b/>
          <w:bCs/>
          <w:color w:val="000000" w:themeColor="text1"/>
        </w:rPr>
        <w:br w:type="page"/>
      </w:r>
    </w:p>
    <w:p w14:paraId="53508ED9" w14:textId="77777777" w:rsidR="00E870D1" w:rsidRPr="00C56257" w:rsidRDefault="00227782" w:rsidP="00F100E1">
      <w:pPr>
        <w:spacing w:after="160" w:line="259" w:lineRule="auto"/>
        <w:jc w:val="both"/>
        <w:rPr>
          <w:b/>
          <w:bCs/>
          <w:color w:val="000000" w:themeColor="text1"/>
        </w:rPr>
      </w:pPr>
      <w:r w:rsidRPr="00C56257">
        <w:rPr>
          <w:b/>
          <w:bCs/>
          <w:color w:val="000000" w:themeColor="text1"/>
        </w:rPr>
        <w:lastRenderedPageBreak/>
        <w:t>Anexa nr. 8</w:t>
      </w:r>
      <w:r w:rsidR="00E870D1" w:rsidRPr="00C56257">
        <w:rPr>
          <w:b/>
          <w:bCs/>
          <w:color w:val="000000" w:themeColor="text1"/>
        </w:rPr>
        <w:t xml:space="preserve"> la Ghidul habitate</w:t>
      </w:r>
    </w:p>
    <w:p w14:paraId="54850E85" w14:textId="77777777" w:rsidR="00E870D1" w:rsidRDefault="00E870D1" w:rsidP="00F100E1">
      <w:pPr>
        <w:spacing w:after="160" w:line="259" w:lineRule="auto"/>
        <w:jc w:val="both"/>
        <w:rPr>
          <w:b/>
          <w:bCs/>
          <w:color w:val="000000" w:themeColor="text1"/>
        </w:rPr>
      </w:pPr>
      <w:r w:rsidRPr="00C56257">
        <w:rPr>
          <w:b/>
          <w:bCs/>
          <w:color w:val="000000" w:themeColor="text1"/>
        </w:rPr>
        <w:t>Ghidul cu  protocoalele de monitorizare si metodologiile unitare de monitorizare a starii de conservare a habitatelor de  grohotișuri și stâncării</w:t>
      </w:r>
    </w:p>
    <w:p w14:paraId="0F8AEF8B" w14:textId="77777777" w:rsidR="004E563D" w:rsidRDefault="004E563D" w:rsidP="00277E6E">
      <w:pPr>
        <w:pStyle w:val="BodyText"/>
        <w:spacing w:before="261"/>
        <w:ind w:left="0" w:right="27"/>
        <w:jc w:val="both"/>
      </w:pPr>
      <w:proofErr w:type="spellStart"/>
      <w:r>
        <w:t>Protocoalele</w:t>
      </w:r>
      <w:proofErr w:type="spellEnd"/>
      <w:r>
        <w:t xml:space="preserve"> de </w:t>
      </w:r>
      <w:proofErr w:type="spellStart"/>
      <w:r>
        <w:t>monitorizare</w:t>
      </w:r>
      <w:proofErr w:type="spellEnd"/>
      <w:r>
        <w:t xml:space="preserve"> </w:t>
      </w:r>
      <w:proofErr w:type="spellStart"/>
      <w:r>
        <w:t>și</w:t>
      </w:r>
      <w:proofErr w:type="spellEnd"/>
      <w:r>
        <w:t xml:space="preserve"> </w:t>
      </w:r>
      <w:proofErr w:type="spellStart"/>
      <w:r>
        <w:t>metodologiile</w:t>
      </w:r>
      <w:proofErr w:type="spellEnd"/>
      <w:r>
        <w:rPr>
          <w:spacing w:val="1"/>
        </w:rPr>
        <w:t xml:space="preserve"> </w:t>
      </w:r>
      <w:r>
        <w:t>de</w:t>
      </w:r>
      <w:r>
        <w:rPr>
          <w:spacing w:val="1"/>
        </w:rPr>
        <w:t xml:space="preserve"> </w:t>
      </w:r>
      <w:proofErr w:type="spellStart"/>
      <w:r>
        <w:t>monitorizare</w:t>
      </w:r>
      <w:proofErr w:type="spellEnd"/>
      <w:r>
        <w:rPr>
          <w:spacing w:val="1"/>
        </w:rPr>
        <w:t xml:space="preserve"> </w:t>
      </w:r>
      <w:r>
        <w:t>a</w:t>
      </w:r>
      <w:r>
        <w:rPr>
          <w:spacing w:val="1"/>
        </w:rPr>
        <w:t xml:space="preserve"> </w:t>
      </w:r>
      <w:proofErr w:type="spellStart"/>
      <w:r>
        <w:t>habitatelor</w:t>
      </w:r>
      <w:proofErr w:type="spellEnd"/>
      <w:r>
        <w:rPr>
          <w:spacing w:val="1"/>
        </w:rPr>
        <w:t xml:space="preserve"> </w:t>
      </w:r>
      <w:r>
        <w:t>de</w:t>
      </w:r>
      <w:r>
        <w:rPr>
          <w:spacing w:val="1"/>
        </w:rPr>
        <w:t xml:space="preserve"> </w:t>
      </w:r>
      <w:proofErr w:type="spellStart"/>
      <w:r>
        <w:t>grohotișuri</w:t>
      </w:r>
      <w:proofErr w:type="spellEnd"/>
      <w:r>
        <w:rPr>
          <w:spacing w:val="1"/>
        </w:rPr>
        <w:t xml:space="preserve"> </w:t>
      </w:r>
      <w:proofErr w:type="spellStart"/>
      <w:r>
        <w:t>și</w:t>
      </w:r>
      <w:proofErr w:type="spellEnd"/>
      <w:r>
        <w:rPr>
          <w:spacing w:val="1"/>
        </w:rPr>
        <w:t xml:space="preserve"> </w:t>
      </w:r>
      <w:proofErr w:type="spellStart"/>
      <w:r>
        <w:t>stâncării</w:t>
      </w:r>
      <w:proofErr w:type="spellEnd"/>
      <w:r>
        <w:rPr>
          <w:spacing w:val="1"/>
        </w:rPr>
        <w:t xml:space="preserve"> </w:t>
      </w:r>
      <w:r>
        <w:t>sunt</w:t>
      </w:r>
      <w:r>
        <w:rPr>
          <w:spacing w:val="1"/>
        </w:rPr>
        <w:t xml:space="preserve"> </w:t>
      </w:r>
      <w:proofErr w:type="spellStart"/>
      <w:r>
        <w:t>aferente</w:t>
      </w:r>
      <w:proofErr w:type="spellEnd"/>
      <w:r>
        <w:rPr>
          <w:spacing w:val="1"/>
        </w:rPr>
        <w:t xml:space="preserve"> </w:t>
      </w:r>
      <w:proofErr w:type="spellStart"/>
      <w:r>
        <w:t>următoarelor</w:t>
      </w:r>
      <w:proofErr w:type="spellEnd"/>
      <w:r>
        <w:t xml:space="preserve"> </w:t>
      </w:r>
      <w:proofErr w:type="spellStart"/>
      <w:r>
        <w:t>tipuri</w:t>
      </w:r>
      <w:proofErr w:type="spellEnd"/>
      <w:r>
        <w:t xml:space="preserve"> de </w:t>
      </w:r>
      <w:proofErr w:type="spellStart"/>
      <w:r>
        <w:t>habitate</w:t>
      </w:r>
      <w:proofErr w:type="spellEnd"/>
      <w:r>
        <w:t xml:space="preserve">: 8110 </w:t>
      </w:r>
      <w:proofErr w:type="spellStart"/>
      <w:r>
        <w:t>Grohotișuri</w:t>
      </w:r>
      <w:proofErr w:type="spellEnd"/>
      <w:r>
        <w:t xml:space="preserve"> </w:t>
      </w:r>
      <w:proofErr w:type="spellStart"/>
      <w:r>
        <w:t>silicioase</w:t>
      </w:r>
      <w:proofErr w:type="spellEnd"/>
      <w:r>
        <w:t xml:space="preserve"> din </w:t>
      </w:r>
      <w:proofErr w:type="spellStart"/>
      <w:r>
        <w:t>etajele</w:t>
      </w:r>
      <w:proofErr w:type="spellEnd"/>
      <w:r>
        <w:t xml:space="preserve"> </w:t>
      </w:r>
      <w:proofErr w:type="spellStart"/>
      <w:r>
        <w:t>montan</w:t>
      </w:r>
      <w:proofErr w:type="spellEnd"/>
      <w:r>
        <w:t xml:space="preserve"> </w:t>
      </w:r>
      <w:proofErr w:type="spellStart"/>
      <w:r>
        <w:t>și</w:t>
      </w:r>
      <w:proofErr w:type="spellEnd"/>
      <w:r>
        <w:t xml:space="preserve"> </w:t>
      </w:r>
      <w:proofErr w:type="spellStart"/>
      <w:r>
        <w:t>alpin</w:t>
      </w:r>
      <w:proofErr w:type="spellEnd"/>
      <w:r>
        <w:t xml:space="preserve"> -</w:t>
      </w:r>
      <w:r>
        <w:rPr>
          <w:spacing w:val="1"/>
        </w:rPr>
        <w:t xml:space="preserve"> </w:t>
      </w:r>
      <w:proofErr w:type="spellStart"/>
      <w:r w:rsidRPr="004F17DF">
        <w:rPr>
          <w:i/>
        </w:rPr>
        <w:t>Androsacetalia</w:t>
      </w:r>
      <w:proofErr w:type="spellEnd"/>
      <w:r w:rsidRPr="004F17DF">
        <w:rPr>
          <w:i/>
          <w:spacing w:val="1"/>
        </w:rPr>
        <w:t xml:space="preserve"> </w:t>
      </w:r>
      <w:proofErr w:type="spellStart"/>
      <w:r w:rsidRPr="004F17DF">
        <w:rPr>
          <w:i/>
        </w:rPr>
        <w:t>alpinae</w:t>
      </w:r>
      <w:proofErr w:type="spellEnd"/>
      <w:r>
        <w:rPr>
          <w:spacing w:val="1"/>
        </w:rPr>
        <w:t xml:space="preserve"> </w:t>
      </w:r>
      <w:proofErr w:type="spellStart"/>
      <w:r>
        <w:t>și</w:t>
      </w:r>
      <w:proofErr w:type="spellEnd"/>
      <w:r>
        <w:rPr>
          <w:spacing w:val="1"/>
        </w:rPr>
        <w:t xml:space="preserve"> </w:t>
      </w:r>
      <w:proofErr w:type="spellStart"/>
      <w:r w:rsidRPr="004F17DF">
        <w:rPr>
          <w:i/>
        </w:rPr>
        <w:t>Galeopsitalia</w:t>
      </w:r>
      <w:proofErr w:type="spellEnd"/>
      <w:r w:rsidRPr="004F17DF">
        <w:rPr>
          <w:i/>
          <w:spacing w:val="1"/>
        </w:rPr>
        <w:t xml:space="preserve"> </w:t>
      </w:r>
      <w:proofErr w:type="spellStart"/>
      <w:r w:rsidRPr="004F17DF">
        <w:rPr>
          <w:i/>
        </w:rPr>
        <w:t>ladani</w:t>
      </w:r>
      <w:proofErr w:type="spellEnd"/>
      <w:r>
        <w:t>;</w:t>
      </w:r>
      <w:r>
        <w:rPr>
          <w:spacing w:val="1"/>
        </w:rPr>
        <w:t xml:space="preserve"> </w:t>
      </w:r>
      <w:r>
        <w:t>8120</w:t>
      </w:r>
      <w:r>
        <w:rPr>
          <w:spacing w:val="1"/>
        </w:rPr>
        <w:t xml:space="preserve"> </w:t>
      </w:r>
      <w:proofErr w:type="spellStart"/>
      <w:r>
        <w:t>Grohotișuri</w:t>
      </w:r>
      <w:proofErr w:type="spellEnd"/>
      <w:r>
        <w:rPr>
          <w:spacing w:val="1"/>
        </w:rPr>
        <w:t xml:space="preserve"> </w:t>
      </w:r>
      <w:proofErr w:type="spellStart"/>
      <w:r>
        <w:t>calcaroase</w:t>
      </w:r>
      <w:proofErr w:type="spellEnd"/>
      <w:r>
        <w:rPr>
          <w:spacing w:val="1"/>
        </w:rPr>
        <w:t xml:space="preserve"> </w:t>
      </w:r>
      <w:proofErr w:type="spellStart"/>
      <w:r>
        <w:t>și</w:t>
      </w:r>
      <w:proofErr w:type="spellEnd"/>
      <w:r>
        <w:rPr>
          <w:spacing w:val="1"/>
        </w:rPr>
        <w:t xml:space="preserve"> </w:t>
      </w:r>
      <w:r>
        <w:t>de</w:t>
      </w:r>
      <w:r>
        <w:rPr>
          <w:spacing w:val="1"/>
        </w:rPr>
        <w:t xml:space="preserve"> </w:t>
      </w:r>
      <w:proofErr w:type="spellStart"/>
      <w:r>
        <w:t>șisturi</w:t>
      </w:r>
      <w:proofErr w:type="spellEnd"/>
      <w:r>
        <w:rPr>
          <w:spacing w:val="1"/>
        </w:rPr>
        <w:t xml:space="preserve"> </w:t>
      </w:r>
      <w:proofErr w:type="spellStart"/>
      <w:r>
        <w:t>calcaroase</w:t>
      </w:r>
      <w:proofErr w:type="spellEnd"/>
      <w:r>
        <w:t xml:space="preserve"> din </w:t>
      </w:r>
      <w:proofErr w:type="spellStart"/>
      <w:r>
        <w:t>etajele</w:t>
      </w:r>
      <w:proofErr w:type="spellEnd"/>
      <w:r>
        <w:t xml:space="preserve"> </w:t>
      </w:r>
      <w:proofErr w:type="spellStart"/>
      <w:r>
        <w:t>montan</w:t>
      </w:r>
      <w:proofErr w:type="spellEnd"/>
      <w:r>
        <w:t xml:space="preserve"> </w:t>
      </w:r>
      <w:proofErr w:type="spellStart"/>
      <w:r>
        <w:t>și</w:t>
      </w:r>
      <w:proofErr w:type="spellEnd"/>
      <w:r>
        <w:t xml:space="preserve"> </w:t>
      </w:r>
      <w:proofErr w:type="spellStart"/>
      <w:r>
        <w:t>alpin</w:t>
      </w:r>
      <w:proofErr w:type="spellEnd"/>
      <w:r>
        <w:t xml:space="preserve"> - </w:t>
      </w:r>
      <w:proofErr w:type="spellStart"/>
      <w:r w:rsidRPr="004F17DF">
        <w:rPr>
          <w:i/>
        </w:rPr>
        <w:t>Thlaspietea</w:t>
      </w:r>
      <w:proofErr w:type="spellEnd"/>
      <w:r w:rsidRPr="004F17DF">
        <w:rPr>
          <w:i/>
        </w:rPr>
        <w:t xml:space="preserve"> </w:t>
      </w:r>
      <w:proofErr w:type="spellStart"/>
      <w:r w:rsidRPr="004F17DF">
        <w:rPr>
          <w:i/>
        </w:rPr>
        <w:t>rotundifolii</w:t>
      </w:r>
      <w:proofErr w:type="spellEnd"/>
      <w:r>
        <w:t xml:space="preserve">; 8160* </w:t>
      </w:r>
      <w:proofErr w:type="spellStart"/>
      <w:r>
        <w:t>Grohotișuri</w:t>
      </w:r>
      <w:proofErr w:type="spellEnd"/>
      <w:r>
        <w:t xml:space="preserve"> medio-</w:t>
      </w:r>
      <w:r>
        <w:rPr>
          <w:spacing w:val="1"/>
        </w:rPr>
        <w:t xml:space="preserve"> </w:t>
      </w:r>
      <w:proofErr w:type="spellStart"/>
      <w:r>
        <w:t>europene</w:t>
      </w:r>
      <w:proofErr w:type="spellEnd"/>
      <w:r>
        <w:rPr>
          <w:spacing w:val="1"/>
        </w:rPr>
        <w:t xml:space="preserve"> </w:t>
      </w:r>
      <w:proofErr w:type="spellStart"/>
      <w:r>
        <w:t>calcaroase</w:t>
      </w:r>
      <w:proofErr w:type="spellEnd"/>
      <w:r>
        <w:rPr>
          <w:spacing w:val="1"/>
        </w:rPr>
        <w:t xml:space="preserve"> </w:t>
      </w:r>
      <w:r>
        <w:t>din</w:t>
      </w:r>
      <w:r>
        <w:rPr>
          <w:spacing w:val="1"/>
        </w:rPr>
        <w:t xml:space="preserve"> </w:t>
      </w:r>
      <w:proofErr w:type="spellStart"/>
      <w:r>
        <w:t>etajele</w:t>
      </w:r>
      <w:proofErr w:type="spellEnd"/>
      <w:r>
        <w:rPr>
          <w:spacing w:val="1"/>
        </w:rPr>
        <w:t xml:space="preserve"> </w:t>
      </w:r>
      <w:proofErr w:type="spellStart"/>
      <w:r>
        <w:t>colinar</w:t>
      </w:r>
      <w:proofErr w:type="spellEnd"/>
      <w:r>
        <w:rPr>
          <w:spacing w:val="1"/>
        </w:rPr>
        <w:t xml:space="preserve"> </w:t>
      </w:r>
      <w:proofErr w:type="spellStart"/>
      <w:r>
        <w:t>și</w:t>
      </w:r>
      <w:proofErr w:type="spellEnd"/>
      <w:r>
        <w:rPr>
          <w:spacing w:val="1"/>
        </w:rPr>
        <w:t xml:space="preserve"> </w:t>
      </w:r>
      <w:proofErr w:type="spellStart"/>
      <w:r>
        <w:t>montan</w:t>
      </w:r>
      <w:proofErr w:type="spellEnd"/>
      <w:r>
        <w:t>;</w:t>
      </w:r>
      <w:r>
        <w:rPr>
          <w:spacing w:val="1"/>
        </w:rPr>
        <w:t xml:space="preserve"> </w:t>
      </w:r>
      <w:r>
        <w:t>8210</w:t>
      </w:r>
      <w:r>
        <w:rPr>
          <w:spacing w:val="1"/>
        </w:rPr>
        <w:t xml:space="preserve"> </w:t>
      </w:r>
      <w:proofErr w:type="spellStart"/>
      <w:r>
        <w:t>Versanți</w:t>
      </w:r>
      <w:proofErr w:type="spellEnd"/>
      <w:r>
        <w:rPr>
          <w:spacing w:val="1"/>
        </w:rPr>
        <w:t xml:space="preserve"> </w:t>
      </w:r>
      <w:proofErr w:type="spellStart"/>
      <w:r>
        <w:t>stâncoși</w:t>
      </w:r>
      <w:proofErr w:type="spellEnd"/>
      <w:r>
        <w:rPr>
          <w:spacing w:val="1"/>
        </w:rPr>
        <w:t xml:space="preserve"> </w:t>
      </w:r>
      <w:r>
        <w:t>cu</w:t>
      </w:r>
      <w:r>
        <w:rPr>
          <w:spacing w:val="1"/>
        </w:rPr>
        <w:t xml:space="preserve"> </w:t>
      </w:r>
      <w:proofErr w:type="spellStart"/>
      <w:r>
        <w:t>vegetație</w:t>
      </w:r>
      <w:proofErr w:type="spellEnd"/>
      <w:r>
        <w:rPr>
          <w:spacing w:val="1"/>
        </w:rPr>
        <w:t xml:space="preserve"> </w:t>
      </w:r>
      <w:proofErr w:type="spellStart"/>
      <w:r>
        <w:t>chasmofitică</w:t>
      </w:r>
      <w:proofErr w:type="spellEnd"/>
      <w:r>
        <w:t xml:space="preserve"> pe </w:t>
      </w:r>
      <w:proofErr w:type="spellStart"/>
      <w:r>
        <w:t>roci</w:t>
      </w:r>
      <w:proofErr w:type="spellEnd"/>
      <w:r>
        <w:t xml:space="preserve"> </w:t>
      </w:r>
      <w:proofErr w:type="spellStart"/>
      <w:r>
        <w:t>calcaroase</w:t>
      </w:r>
      <w:proofErr w:type="spellEnd"/>
      <w:r>
        <w:t xml:space="preserve">; 8220 </w:t>
      </w:r>
      <w:proofErr w:type="spellStart"/>
      <w:r>
        <w:t>Versanți</w:t>
      </w:r>
      <w:proofErr w:type="spellEnd"/>
      <w:r>
        <w:t xml:space="preserve"> </w:t>
      </w:r>
      <w:proofErr w:type="spellStart"/>
      <w:r>
        <w:t>stâncoși</w:t>
      </w:r>
      <w:proofErr w:type="spellEnd"/>
      <w:r>
        <w:t xml:space="preserve"> cu </w:t>
      </w:r>
      <w:proofErr w:type="spellStart"/>
      <w:r>
        <w:t>vegetație</w:t>
      </w:r>
      <w:proofErr w:type="spellEnd"/>
      <w:r>
        <w:t xml:space="preserve"> </w:t>
      </w:r>
      <w:proofErr w:type="spellStart"/>
      <w:r>
        <w:t>chasmofitică</w:t>
      </w:r>
      <w:proofErr w:type="spellEnd"/>
      <w:r>
        <w:t xml:space="preserve"> pe </w:t>
      </w:r>
      <w:proofErr w:type="spellStart"/>
      <w:r>
        <w:t>roci</w:t>
      </w:r>
      <w:proofErr w:type="spellEnd"/>
      <w:r>
        <w:rPr>
          <w:spacing w:val="1"/>
        </w:rPr>
        <w:t xml:space="preserve"> </w:t>
      </w:r>
      <w:proofErr w:type="spellStart"/>
      <w:r>
        <w:t>silicioase</w:t>
      </w:r>
      <w:proofErr w:type="spellEnd"/>
      <w:r>
        <w:t xml:space="preserve">; 8230 </w:t>
      </w:r>
      <w:proofErr w:type="spellStart"/>
      <w:r>
        <w:t>Comunități</w:t>
      </w:r>
      <w:proofErr w:type="spellEnd"/>
      <w:r>
        <w:t xml:space="preserve"> </w:t>
      </w:r>
      <w:proofErr w:type="spellStart"/>
      <w:r>
        <w:t>pioniere</w:t>
      </w:r>
      <w:proofErr w:type="spellEnd"/>
      <w:r>
        <w:t xml:space="preserve"> din </w:t>
      </w:r>
      <w:r w:rsidRPr="004F17DF">
        <w:rPr>
          <w:i/>
        </w:rPr>
        <w:t>Sedo-</w:t>
      </w:r>
      <w:proofErr w:type="spellStart"/>
      <w:r w:rsidRPr="004F17DF">
        <w:rPr>
          <w:i/>
        </w:rPr>
        <w:t>Scleranthion</w:t>
      </w:r>
      <w:proofErr w:type="spellEnd"/>
      <w:r>
        <w:t xml:space="preserve"> </w:t>
      </w:r>
      <w:proofErr w:type="spellStart"/>
      <w:r>
        <w:t>sau</w:t>
      </w:r>
      <w:proofErr w:type="spellEnd"/>
      <w:r>
        <w:t xml:space="preserve"> </w:t>
      </w:r>
      <w:r w:rsidRPr="004F17DF">
        <w:rPr>
          <w:i/>
        </w:rPr>
        <w:t xml:space="preserve">Sedo </w:t>
      </w:r>
      <w:proofErr w:type="spellStart"/>
      <w:r w:rsidRPr="004F17DF">
        <w:rPr>
          <w:i/>
        </w:rPr>
        <w:t>albi-Veronicion</w:t>
      </w:r>
      <w:proofErr w:type="spellEnd"/>
      <w:r w:rsidRPr="004F17DF">
        <w:rPr>
          <w:i/>
        </w:rPr>
        <w:t xml:space="preserve"> </w:t>
      </w:r>
      <w:proofErr w:type="spellStart"/>
      <w:r w:rsidRPr="004F17DF">
        <w:rPr>
          <w:i/>
        </w:rPr>
        <w:t>dillenii</w:t>
      </w:r>
      <w:proofErr w:type="spellEnd"/>
      <w:r w:rsidRPr="004F17DF">
        <w:rPr>
          <w:i/>
          <w:spacing w:val="1"/>
        </w:rPr>
        <w:t xml:space="preserve"> </w:t>
      </w:r>
      <w:r>
        <w:t>pe</w:t>
      </w:r>
      <w:r>
        <w:rPr>
          <w:spacing w:val="-2"/>
        </w:rPr>
        <w:t xml:space="preserve"> </w:t>
      </w:r>
      <w:proofErr w:type="spellStart"/>
      <w:r>
        <w:t>stâncării</w:t>
      </w:r>
      <w:proofErr w:type="spellEnd"/>
      <w:r>
        <w:t xml:space="preserve"> </w:t>
      </w:r>
      <w:proofErr w:type="spellStart"/>
      <w:r>
        <w:t>silicioase</w:t>
      </w:r>
      <w:proofErr w:type="spellEnd"/>
      <w:r>
        <w:t>.</w:t>
      </w:r>
    </w:p>
    <w:p w14:paraId="60145833" w14:textId="77777777" w:rsidR="004E563D" w:rsidRDefault="004E563D" w:rsidP="00F100E1">
      <w:pPr>
        <w:spacing w:after="160" w:line="259" w:lineRule="auto"/>
        <w:jc w:val="both"/>
        <w:rPr>
          <w:b/>
          <w:bCs/>
          <w:color w:val="000000" w:themeColor="text1"/>
        </w:rPr>
      </w:pPr>
    </w:p>
    <w:p w14:paraId="078878EB" w14:textId="77777777" w:rsidR="00E870D1" w:rsidRPr="00C56257" w:rsidRDefault="004E6BFA" w:rsidP="008E33FD">
      <w:pPr>
        <w:spacing w:after="160" w:line="259" w:lineRule="auto"/>
        <w:jc w:val="both"/>
        <w:rPr>
          <w:b/>
          <w:bCs/>
          <w:color w:val="000000" w:themeColor="text1"/>
        </w:rPr>
      </w:pPr>
      <w:r>
        <w:rPr>
          <w:b/>
          <w:bCs/>
          <w:color w:val="000000" w:themeColor="text1"/>
        </w:rPr>
        <w:t>8.1</w:t>
      </w:r>
      <w:r w:rsidR="00E870D1" w:rsidRPr="00C56257">
        <w:rPr>
          <w:b/>
          <w:bCs/>
          <w:color w:val="000000" w:themeColor="text1"/>
        </w:rPr>
        <w:t xml:space="preserve"> Protocol de monitorizare a stării </w:t>
      </w:r>
      <w:r w:rsidR="00461831" w:rsidRPr="00C56257">
        <w:rPr>
          <w:b/>
          <w:bCs/>
          <w:color w:val="000000" w:themeColor="text1"/>
        </w:rPr>
        <w:t xml:space="preserve">de conservare a habitatelor de </w:t>
      </w:r>
      <w:r w:rsidR="00227782" w:rsidRPr="00C56257">
        <w:rPr>
          <w:b/>
          <w:bCs/>
          <w:color w:val="000000" w:themeColor="text1"/>
        </w:rPr>
        <w:t>grohotișuri și stâncării</w:t>
      </w:r>
    </w:p>
    <w:p w14:paraId="1993816D" w14:textId="77777777" w:rsidR="007702CD" w:rsidRPr="00C56257" w:rsidRDefault="007702CD" w:rsidP="00277E6E">
      <w:pPr>
        <w:pStyle w:val="Heading2"/>
        <w:spacing w:before="68"/>
        <w:ind w:right="27"/>
        <w:jc w:val="both"/>
        <w:rPr>
          <w:color w:val="000000" w:themeColor="text1"/>
          <w:sz w:val="24"/>
          <w:szCs w:val="24"/>
          <w:lang w:val="ro-RO"/>
        </w:rPr>
      </w:pPr>
      <w:r w:rsidRPr="00C56257">
        <w:rPr>
          <w:color w:val="000000" w:themeColor="text1"/>
          <w:sz w:val="24"/>
          <w:szCs w:val="24"/>
          <w:lang w:val="ro-RO"/>
        </w:rPr>
        <w:t>Alegerea și distribuția ploturilor se va face în funcție de perioadele optime de culegere a</w:t>
      </w:r>
      <w:r w:rsidRPr="00C56257">
        <w:rPr>
          <w:color w:val="000000" w:themeColor="text1"/>
          <w:spacing w:val="1"/>
          <w:sz w:val="24"/>
          <w:szCs w:val="24"/>
          <w:lang w:val="ro-RO"/>
        </w:rPr>
        <w:t xml:space="preserve"> </w:t>
      </w:r>
      <w:r w:rsidRPr="00C56257">
        <w:rPr>
          <w:color w:val="000000" w:themeColor="text1"/>
          <w:sz w:val="24"/>
          <w:szCs w:val="24"/>
          <w:lang w:val="ro-RO"/>
        </w:rPr>
        <w:t>datelor.</w:t>
      </w:r>
    </w:p>
    <w:p w14:paraId="4AD8F2F6" w14:textId="77777777" w:rsidR="007702CD" w:rsidRPr="00C56257" w:rsidRDefault="004E6BFA" w:rsidP="00277E6E">
      <w:pPr>
        <w:pStyle w:val="BodyText"/>
        <w:ind w:left="0" w:right="27"/>
        <w:jc w:val="both"/>
        <w:rPr>
          <w:color w:val="000000" w:themeColor="text1"/>
          <w:sz w:val="24"/>
          <w:szCs w:val="24"/>
          <w:lang w:val="ro-RO"/>
        </w:rPr>
      </w:pPr>
      <w:r>
        <w:rPr>
          <w:color w:val="000000" w:themeColor="text1"/>
          <w:sz w:val="24"/>
          <w:szCs w:val="24"/>
          <w:lang w:val="ro-RO"/>
        </w:rPr>
        <w:t>M</w:t>
      </w:r>
      <w:r w:rsidR="007702CD" w:rsidRPr="00C56257">
        <w:rPr>
          <w:color w:val="000000" w:themeColor="text1"/>
          <w:sz w:val="24"/>
          <w:szCs w:val="24"/>
          <w:lang w:val="ro-RO"/>
        </w:rPr>
        <w:t>onitorizarea habitatelor de grohotișuri și stâncării se realizează la nivel</w:t>
      </w:r>
      <w:r w:rsidR="007702CD" w:rsidRPr="00C56257">
        <w:rPr>
          <w:color w:val="000000" w:themeColor="text1"/>
          <w:spacing w:val="1"/>
          <w:sz w:val="24"/>
          <w:szCs w:val="24"/>
          <w:lang w:val="ro-RO"/>
        </w:rPr>
        <w:t xml:space="preserve"> </w:t>
      </w:r>
      <w:r w:rsidR="007702CD" w:rsidRPr="00C56257">
        <w:rPr>
          <w:color w:val="000000" w:themeColor="text1"/>
          <w:sz w:val="24"/>
          <w:szCs w:val="24"/>
          <w:lang w:val="ro-RO"/>
        </w:rPr>
        <w:t>național, în interiorul și în exteriorul rețelei Natura 2000, în funcție de distribuția habitatelor pe</w:t>
      </w:r>
      <w:r w:rsidR="007702CD" w:rsidRPr="00C56257">
        <w:rPr>
          <w:color w:val="000000" w:themeColor="text1"/>
          <w:spacing w:val="1"/>
          <w:sz w:val="24"/>
          <w:szCs w:val="24"/>
          <w:lang w:val="ro-RO"/>
        </w:rPr>
        <w:t xml:space="preserve"> </w:t>
      </w:r>
      <w:r w:rsidR="007702CD" w:rsidRPr="00C56257">
        <w:rPr>
          <w:color w:val="000000" w:themeColor="text1"/>
          <w:sz w:val="24"/>
          <w:szCs w:val="24"/>
          <w:lang w:val="ro-RO"/>
        </w:rPr>
        <w:t>regiuni</w:t>
      </w:r>
      <w:r w:rsidR="007702CD" w:rsidRPr="00C56257">
        <w:rPr>
          <w:color w:val="000000" w:themeColor="text1"/>
          <w:spacing w:val="-1"/>
          <w:sz w:val="24"/>
          <w:szCs w:val="24"/>
          <w:lang w:val="ro-RO"/>
        </w:rPr>
        <w:t xml:space="preserve"> </w:t>
      </w:r>
      <w:r w:rsidR="007702CD" w:rsidRPr="00C56257">
        <w:rPr>
          <w:color w:val="000000" w:themeColor="text1"/>
          <w:sz w:val="24"/>
          <w:szCs w:val="24"/>
          <w:lang w:val="ro-RO"/>
        </w:rPr>
        <w:t>biogeografice.</w:t>
      </w:r>
    </w:p>
    <w:p w14:paraId="7FEDA254" w14:textId="77777777" w:rsidR="007702CD" w:rsidRPr="00C56257" w:rsidRDefault="007702CD" w:rsidP="00277E6E">
      <w:pPr>
        <w:pStyle w:val="BodyText"/>
        <w:ind w:left="0" w:right="27"/>
        <w:jc w:val="both"/>
        <w:rPr>
          <w:color w:val="000000" w:themeColor="text1"/>
          <w:sz w:val="24"/>
          <w:szCs w:val="24"/>
          <w:lang w:val="fr-FR"/>
        </w:rPr>
      </w:pP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tabelul</w:t>
      </w:r>
      <w:proofErr w:type="spellEnd"/>
      <w:r w:rsidRPr="00C56257">
        <w:rPr>
          <w:color w:val="000000" w:themeColor="text1"/>
          <w:sz w:val="24"/>
          <w:szCs w:val="24"/>
          <w:lang w:val="fr-FR"/>
        </w:rPr>
        <w:t xml:space="preserve"> de mai </w:t>
      </w:r>
      <w:proofErr w:type="spellStart"/>
      <w:r w:rsidRPr="00C56257">
        <w:rPr>
          <w:color w:val="000000" w:themeColor="text1"/>
          <w:sz w:val="24"/>
          <w:szCs w:val="24"/>
          <w:lang w:val="fr-FR"/>
        </w:rPr>
        <w:t>jos</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z w:val="24"/>
          <w:szCs w:val="24"/>
          <w:lang w:val="fr-FR"/>
        </w:rPr>
        <w:t xml:space="preserve"> redate </w:t>
      </w:r>
      <w:proofErr w:type="spellStart"/>
      <w:r w:rsidRPr="00C56257">
        <w:rPr>
          <w:color w:val="000000" w:themeColor="text1"/>
          <w:sz w:val="24"/>
          <w:szCs w:val="24"/>
          <w:lang w:val="fr-FR"/>
        </w:rPr>
        <w:t>habitatele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grohotișuri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stâncării</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interes</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comunitar</w:t>
      </w:r>
      <w:proofErr w:type="spellEnd"/>
      <w:r w:rsidRPr="00C56257">
        <w:rPr>
          <w:color w:val="000000" w:themeColor="text1"/>
          <w:sz w:val="24"/>
          <w:szCs w:val="24"/>
          <w:lang w:val="fr-FR"/>
        </w:rPr>
        <w:t xml:space="preserve"> care fac</w:t>
      </w:r>
      <w:r w:rsidRPr="00C56257">
        <w:rPr>
          <w:color w:val="000000" w:themeColor="text1"/>
          <w:spacing w:val="-57"/>
          <w:sz w:val="24"/>
          <w:szCs w:val="24"/>
          <w:lang w:val="fr-FR"/>
        </w:rPr>
        <w:t xml:space="preserve"> </w:t>
      </w:r>
      <w:proofErr w:type="spellStart"/>
      <w:r w:rsidRPr="00C56257">
        <w:rPr>
          <w:color w:val="000000" w:themeColor="text1"/>
          <w:sz w:val="24"/>
          <w:szCs w:val="24"/>
          <w:lang w:val="fr-FR"/>
        </w:rPr>
        <w:t>obiectul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prezentei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metodologii</w:t>
      </w:r>
      <w:proofErr w:type="spellEnd"/>
      <w:r w:rsidRPr="00C56257">
        <w:rPr>
          <w:color w:val="000000" w:themeColor="text1"/>
          <w:sz w:val="24"/>
          <w:szCs w:val="24"/>
          <w:lang w:val="fr-FR"/>
        </w:rPr>
        <w:t>:</w:t>
      </w:r>
    </w:p>
    <w:p w14:paraId="5A795DFC" w14:textId="77777777" w:rsidR="007702CD" w:rsidRPr="00C56257" w:rsidRDefault="007702CD" w:rsidP="008E33FD">
      <w:pPr>
        <w:pStyle w:val="BodyText"/>
        <w:spacing w:before="2"/>
        <w:jc w:val="both"/>
        <w:rPr>
          <w:color w:val="000000" w:themeColor="text1"/>
          <w:sz w:val="24"/>
          <w:szCs w:val="24"/>
          <w:lang w:val="fr-FR"/>
        </w:rPr>
      </w:pPr>
    </w:p>
    <w:tbl>
      <w:tblPr>
        <w:tblW w:w="0" w:type="auto"/>
        <w:tblInd w:w="3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07"/>
        <w:gridCol w:w="708"/>
        <w:gridCol w:w="709"/>
        <w:gridCol w:w="711"/>
        <w:gridCol w:w="766"/>
        <w:gridCol w:w="745"/>
      </w:tblGrid>
      <w:tr w:rsidR="007702CD" w:rsidRPr="00C56257" w14:paraId="38044665" w14:textId="77777777" w:rsidTr="00102A1A">
        <w:trPr>
          <w:trHeight w:val="254"/>
        </w:trPr>
        <w:tc>
          <w:tcPr>
            <w:tcW w:w="5907" w:type="dxa"/>
            <w:vMerge w:val="restart"/>
          </w:tcPr>
          <w:p w14:paraId="7D1774EB" w14:textId="77777777" w:rsidR="007702CD" w:rsidRPr="00C56257" w:rsidRDefault="007702CD" w:rsidP="008E33FD">
            <w:pPr>
              <w:pStyle w:val="TableParagraph"/>
              <w:spacing w:before="130"/>
              <w:ind w:left="1430"/>
              <w:jc w:val="both"/>
              <w:rPr>
                <w:b/>
                <w:color w:val="000000" w:themeColor="text1"/>
                <w:sz w:val="24"/>
                <w:szCs w:val="24"/>
              </w:rPr>
            </w:pPr>
            <w:r w:rsidRPr="00C56257">
              <w:rPr>
                <w:b/>
                <w:color w:val="000000" w:themeColor="text1"/>
                <w:sz w:val="24"/>
                <w:szCs w:val="24"/>
              </w:rPr>
              <w:t>Denumirea</w:t>
            </w:r>
            <w:r w:rsidRPr="00C56257">
              <w:rPr>
                <w:b/>
                <w:color w:val="000000" w:themeColor="text1"/>
                <w:spacing w:val="-2"/>
                <w:sz w:val="24"/>
                <w:szCs w:val="24"/>
              </w:rPr>
              <w:t xml:space="preserve"> </w:t>
            </w:r>
            <w:r w:rsidRPr="00C56257">
              <w:rPr>
                <w:b/>
                <w:color w:val="000000" w:themeColor="text1"/>
                <w:sz w:val="24"/>
                <w:szCs w:val="24"/>
              </w:rPr>
              <w:t>şi codul</w:t>
            </w:r>
            <w:r w:rsidRPr="00C56257">
              <w:rPr>
                <w:b/>
                <w:color w:val="000000" w:themeColor="text1"/>
                <w:spacing w:val="-1"/>
                <w:sz w:val="24"/>
                <w:szCs w:val="24"/>
              </w:rPr>
              <w:t xml:space="preserve"> </w:t>
            </w:r>
            <w:r w:rsidRPr="00C56257">
              <w:rPr>
                <w:b/>
                <w:color w:val="000000" w:themeColor="text1"/>
                <w:sz w:val="24"/>
                <w:szCs w:val="24"/>
              </w:rPr>
              <w:t>Natura</w:t>
            </w:r>
            <w:r w:rsidRPr="00C56257">
              <w:rPr>
                <w:b/>
                <w:color w:val="000000" w:themeColor="text1"/>
                <w:spacing w:val="-1"/>
                <w:sz w:val="24"/>
                <w:szCs w:val="24"/>
              </w:rPr>
              <w:t xml:space="preserve"> </w:t>
            </w:r>
            <w:r w:rsidRPr="00C56257">
              <w:rPr>
                <w:b/>
                <w:color w:val="000000" w:themeColor="text1"/>
                <w:sz w:val="24"/>
                <w:szCs w:val="24"/>
              </w:rPr>
              <w:t>2000</w:t>
            </w:r>
          </w:p>
        </w:tc>
        <w:tc>
          <w:tcPr>
            <w:tcW w:w="3639" w:type="dxa"/>
            <w:gridSpan w:val="5"/>
          </w:tcPr>
          <w:p w14:paraId="07ED5C8D" w14:textId="77777777" w:rsidR="007702CD" w:rsidRPr="00C56257" w:rsidRDefault="007702CD" w:rsidP="008E33FD">
            <w:pPr>
              <w:pStyle w:val="TableParagraph"/>
              <w:spacing w:line="234" w:lineRule="exact"/>
              <w:ind w:left="182"/>
              <w:jc w:val="both"/>
              <w:rPr>
                <w:b/>
                <w:color w:val="000000" w:themeColor="text1"/>
                <w:sz w:val="24"/>
                <w:szCs w:val="24"/>
              </w:rPr>
            </w:pPr>
            <w:r w:rsidRPr="00C56257">
              <w:rPr>
                <w:b/>
                <w:color w:val="000000" w:themeColor="text1"/>
                <w:sz w:val="24"/>
                <w:szCs w:val="24"/>
              </w:rPr>
              <w:t>Prezenţa</w:t>
            </w:r>
            <w:r w:rsidRPr="00C56257">
              <w:rPr>
                <w:b/>
                <w:color w:val="000000" w:themeColor="text1"/>
                <w:spacing w:val="-5"/>
                <w:sz w:val="24"/>
                <w:szCs w:val="24"/>
              </w:rPr>
              <w:t xml:space="preserve"> </w:t>
            </w:r>
            <w:r w:rsidRPr="00C56257">
              <w:rPr>
                <w:b/>
                <w:color w:val="000000" w:themeColor="text1"/>
                <w:sz w:val="24"/>
                <w:szCs w:val="24"/>
              </w:rPr>
              <w:t>în</w:t>
            </w:r>
            <w:r w:rsidRPr="00C56257">
              <w:rPr>
                <w:b/>
                <w:color w:val="000000" w:themeColor="text1"/>
                <w:spacing w:val="-1"/>
                <w:sz w:val="24"/>
                <w:szCs w:val="24"/>
              </w:rPr>
              <w:t xml:space="preserve"> </w:t>
            </w:r>
            <w:r w:rsidRPr="00C56257">
              <w:rPr>
                <w:b/>
                <w:color w:val="000000" w:themeColor="text1"/>
                <w:sz w:val="24"/>
                <w:szCs w:val="24"/>
              </w:rPr>
              <w:t>regiunea</w:t>
            </w:r>
            <w:r w:rsidRPr="00C56257">
              <w:rPr>
                <w:b/>
                <w:color w:val="000000" w:themeColor="text1"/>
                <w:spacing w:val="-3"/>
                <w:sz w:val="24"/>
                <w:szCs w:val="24"/>
              </w:rPr>
              <w:t xml:space="preserve"> </w:t>
            </w:r>
            <w:r w:rsidRPr="00C56257">
              <w:rPr>
                <w:b/>
                <w:color w:val="000000" w:themeColor="text1"/>
                <w:sz w:val="24"/>
                <w:szCs w:val="24"/>
              </w:rPr>
              <w:t>biogeografică</w:t>
            </w:r>
          </w:p>
        </w:tc>
      </w:tr>
      <w:tr w:rsidR="007702CD" w:rsidRPr="00C56257" w14:paraId="7DAE7922" w14:textId="77777777" w:rsidTr="00102A1A">
        <w:trPr>
          <w:trHeight w:val="251"/>
        </w:trPr>
        <w:tc>
          <w:tcPr>
            <w:tcW w:w="5907" w:type="dxa"/>
            <w:vMerge/>
            <w:tcBorders>
              <w:top w:val="nil"/>
            </w:tcBorders>
          </w:tcPr>
          <w:p w14:paraId="170D5AE0" w14:textId="77777777" w:rsidR="007702CD" w:rsidRPr="00C56257" w:rsidRDefault="007702CD" w:rsidP="008E33FD">
            <w:pPr>
              <w:jc w:val="both"/>
              <w:rPr>
                <w:color w:val="000000" w:themeColor="text1"/>
              </w:rPr>
            </w:pPr>
          </w:p>
        </w:tc>
        <w:tc>
          <w:tcPr>
            <w:tcW w:w="708" w:type="dxa"/>
          </w:tcPr>
          <w:p w14:paraId="7663F01B" w14:textId="77777777" w:rsidR="007702CD" w:rsidRPr="00C56257" w:rsidRDefault="007702CD" w:rsidP="008E33FD">
            <w:pPr>
              <w:pStyle w:val="TableParagraph"/>
              <w:spacing w:line="232" w:lineRule="exact"/>
              <w:ind w:left="74"/>
              <w:jc w:val="both"/>
              <w:rPr>
                <w:b/>
                <w:color w:val="000000" w:themeColor="text1"/>
                <w:sz w:val="24"/>
                <w:szCs w:val="24"/>
              </w:rPr>
            </w:pPr>
            <w:r w:rsidRPr="00C56257">
              <w:rPr>
                <w:b/>
                <w:color w:val="000000" w:themeColor="text1"/>
                <w:sz w:val="24"/>
                <w:szCs w:val="24"/>
              </w:rPr>
              <w:t>PAN</w:t>
            </w:r>
          </w:p>
        </w:tc>
        <w:tc>
          <w:tcPr>
            <w:tcW w:w="709" w:type="dxa"/>
          </w:tcPr>
          <w:p w14:paraId="72FF2681" w14:textId="77777777" w:rsidR="007702CD" w:rsidRPr="00C56257" w:rsidRDefault="007702CD" w:rsidP="008E33FD">
            <w:pPr>
              <w:pStyle w:val="TableParagraph"/>
              <w:spacing w:line="232" w:lineRule="exact"/>
              <w:ind w:left="54" w:right="115"/>
              <w:jc w:val="both"/>
              <w:rPr>
                <w:b/>
                <w:color w:val="000000" w:themeColor="text1"/>
                <w:sz w:val="24"/>
                <w:szCs w:val="24"/>
              </w:rPr>
            </w:pPr>
            <w:r w:rsidRPr="00C56257">
              <w:rPr>
                <w:b/>
                <w:color w:val="000000" w:themeColor="text1"/>
                <w:sz w:val="24"/>
                <w:szCs w:val="24"/>
              </w:rPr>
              <w:t>CON</w:t>
            </w:r>
          </w:p>
        </w:tc>
        <w:tc>
          <w:tcPr>
            <w:tcW w:w="711" w:type="dxa"/>
          </w:tcPr>
          <w:p w14:paraId="417515E1" w14:textId="77777777" w:rsidR="007702CD" w:rsidRPr="00C56257" w:rsidRDefault="007702CD" w:rsidP="008E33FD">
            <w:pPr>
              <w:pStyle w:val="TableParagraph"/>
              <w:spacing w:line="232" w:lineRule="exact"/>
              <w:ind w:left="115" w:right="105"/>
              <w:jc w:val="both"/>
              <w:rPr>
                <w:b/>
                <w:color w:val="000000" w:themeColor="text1"/>
                <w:sz w:val="24"/>
                <w:szCs w:val="24"/>
              </w:rPr>
            </w:pPr>
            <w:r w:rsidRPr="00C56257">
              <w:rPr>
                <w:b/>
                <w:color w:val="000000" w:themeColor="text1"/>
                <w:sz w:val="24"/>
                <w:szCs w:val="24"/>
              </w:rPr>
              <w:t>ALP</w:t>
            </w:r>
          </w:p>
        </w:tc>
        <w:tc>
          <w:tcPr>
            <w:tcW w:w="766" w:type="dxa"/>
          </w:tcPr>
          <w:p w14:paraId="43D52BAF" w14:textId="77777777" w:rsidR="007702CD" w:rsidRPr="00C56257" w:rsidRDefault="007702CD" w:rsidP="008E33FD">
            <w:pPr>
              <w:pStyle w:val="TableParagraph"/>
              <w:spacing w:line="232" w:lineRule="exact"/>
              <w:ind w:left="176"/>
              <w:jc w:val="both"/>
              <w:rPr>
                <w:b/>
                <w:color w:val="000000" w:themeColor="text1"/>
                <w:sz w:val="24"/>
                <w:szCs w:val="24"/>
              </w:rPr>
            </w:pPr>
            <w:r w:rsidRPr="00C56257">
              <w:rPr>
                <w:b/>
                <w:color w:val="000000" w:themeColor="text1"/>
                <w:sz w:val="24"/>
                <w:szCs w:val="24"/>
              </w:rPr>
              <w:t>STE</w:t>
            </w:r>
          </w:p>
        </w:tc>
        <w:tc>
          <w:tcPr>
            <w:tcW w:w="745" w:type="dxa"/>
          </w:tcPr>
          <w:p w14:paraId="63F9B555" w14:textId="77777777" w:rsidR="007702CD" w:rsidRPr="00C56257" w:rsidRDefault="007702CD" w:rsidP="008E33FD">
            <w:pPr>
              <w:pStyle w:val="TableParagraph"/>
              <w:spacing w:line="232" w:lineRule="exact"/>
              <w:ind w:left="138"/>
              <w:jc w:val="both"/>
              <w:rPr>
                <w:b/>
                <w:color w:val="000000" w:themeColor="text1"/>
                <w:sz w:val="24"/>
                <w:szCs w:val="24"/>
              </w:rPr>
            </w:pPr>
            <w:r w:rsidRPr="00C56257">
              <w:rPr>
                <w:b/>
                <w:color w:val="000000" w:themeColor="text1"/>
                <w:sz w:val="24"/>
                <w:szCs w:val="24"/>
              </w:rPr>
              <w:t>PON</w:t>
            </w:r>
          </w:p>
        </w:tc>
      </w:tr>
      <w:tr w:rsidR="007702CD" w:rsidRPr="00C56257" w14:paraId="44FA108F" w14:textId="77777777" w:rsidTr="00102A1A">
        <w:trPr>
          <w:trHeight w:val="506"/>
        </w:trPr>
        <w:tc>
          <w:tcPr>
            <w:tcW w:w="5907" w:type="dxa"/>
          </w:tcPr>
          <w:p w14:paraId="296A05D7" w14:textId="77777777" w:rsidR="007702CD" w:rsidRPr="00C56257" w:rsidRDefault="007702CD" w:rsidP="008E33FD">
            <w:pPr>
              <w:pStyle w:val="TableParagraph"/>
              <w:spacing w:line="247" w:lineRule="exact"/>
              <w:ind w:left="165"/>
              <w:jc w:val="both"/>
              <w:rPr>
                <w:color w:val="000000" w:themeColor="text1"/>
                <w:sz w:val="24"/>
                <w:szCs w:val="24"/>
              </w:rPr>
            </w:pPr>
            <w:r w:rsidRPr="00C56257">
              <w:rPr>
                <w:color w:val="000000" w:themeColor="text1"/>
                <w:sz w:val="24"/>
                <w:szCs w:val="24"/>
              </w:rPr>
              <w:t>8110</w:t>
            </w:r>
            <w:r w:rsidRPr="00C56257">
              <w:rPr>
                <w:color w:val="000000" w:themeColor="text1"/>
                <w:spacing w:val="-3"/>
                <w:sz w:val="24"/>
                <w:szCs w:val="24"/>
              </w:rPr>
              <w:t xml:space="preserve"> </w:t>
            </w:r>
            <w:r w:rsidRPr="00C56257">
              <w:rPr>
                <w:color w:val="000000" w:themeColor="text1"/>
                <w:sz w:val="24"/>
                <w:szCs w:val="24"/>
              </w:rPr>
              <w:t>Grohotișuri</w:t>
            </w:r>
            <w:r w:rsidRPr="00C56257">
              <w:rPr>
                <w:color w:val="000000" w:themeColor="text1"/>
                <w:spacing w:val="-1"/>
                <w:sz w:val="24"/>
                <w:szCs w:val="24"/>
              </w:rPr>
              <w:t xml:space="preserve"> </w:t>
            </w:r>
            <w:r w:rsidRPr="00C56257">
              <w:rPr>
                <w:color w:val="000000" w:themeColor="text1"/>
                <w:sz w:val="24"/>
                <w:szCs w:val="24"/>
              </w:rPr>
              <w:t>silicioase</w:t>
            </w:r>
            <w:r w:rsidRPr="00C56257">
              <w:rPr>
                <w:color w:val="000000" w:themeColor="text1"/>
                <w:spacing w:val="-4"/>
                <w:sz w:val="24"/>
                <w:szCs w:val="24"/>
              </w:rPr>
              <w:t xml:space="preserve"> </w:t>
            </w:r>
            <w:r w:rsidRPr="00C56257">
              <w:rPr>
                <w:color w:val="000000" w:themeColor="text1"/>
                <w:sz w:val="24"/>
                <w:szCs w:val="24"/>
              </w:rPr>
              <w:t>din</w:t>
            </w:r>
            <w:r w:rsidRPr="00C56257">
              <w:rPr>
                <w:color w:val="000000" w:themeColor="text1"/>
                <w:spacing w:val="-2"/>
                <w:sz w:val="24"/>
                <w:szCs w:val="24"/>
              </w:rPr>
              <w:t xml:space="preserve"> </w:t>
            </w:r>
            <w:r w:rsidRPr="00C56257">
              <w:rPr>
                <w:color w:val="000000" w:themeColor="text1"/>
                <w:sz w:val="24"/>
                <w:szCs w:val="24"/>
              </w:rPr>
              <w:t>etajele</w:t>
            </w:r>
            <w:r w:rsidRPr="00C56257">
              <w:rPr>
                <w:color w:val="000000" w:themeColor="text1"/>
                <w:spacing w:val="-3"/>
                <w:sz w:val="24"/>
                <w:szCs w:val="24"/>
              </w:rPr>
              <w:t xml:space="preserve"> </w:t>
            </w:r>
            <w:r w:rsidRPr="00C56257">
              <w:rPr>
                <w:color w:val="000000" w:themeColor="text1"/>
                <w:sz w:val="24"/>
                <w:szCs w:val="24"/>
              </w:rPr>
              <w:t>montan</w:t>
            </w:r>
            <w:r w:rsidRPr="00C56257">
              <w:rPr>
                <w:color w:val="000000" w:themeColor="text1"/>
                <w:spacing w:val="-2"/>
                <w:sz w:val="24"/>
                <w:szCs w:val="24"/>
              </w:rPr>
              <w:t xml:space="preserve"> </w:t>
            </w:r>
            <w:r w:rsidRPr="00C56257">
              <w:rPr>
                <w:color w:val="000000" w:themeColor="text1"/>
                <w:sz w:val="24"/>
                <w:szCs w:val="24"/>
              </w:rPr>
              <w:t>și</w:t>
            </w:r>
            <w:r w:rsidRPr="00C56257">
              <w:rPr>
                <w:color w:val="000000" w:themeColor="text1"/>
                <w:spacing w:val="-1"/>
                <w:sz w:val="24"/>
                <w:szCs w:val="24"/>
              </w:rPr>
              <w:t xml:space="preserve"> </w:t>
            </w:r>
            <w:r w:rsidRPr="00C56257">
              <w:rPr>
                <w:color w:val="000000" w:themeColor="text1"/>
                <w:sz w:val="24"/>
                <w:szCs w:val="24"/>
              </w:rPr>
              <w:t>alpin</w:t>
            </w:r>
            <w:r w:rsidRPr="00C56257">
              <w:rPr>
                <w:color w:val="000000" w:themeColor="text1"/>
                <w:spacing w:val="1"/>
                <w:sz w:val="24"/>
                <w:szCs w:val="24"/>
              </w:rPr>
              <w:t xml:space="preserve"> </w:t>
            </w:r>
            <w:r w:rsidRPr="00C56257">
              <w:rPr>
                <w:color w:val="000000" w:themeColor="text1"/>
                <w:sz w:val="24"/>
                <w:szCs w:val="24"/>
              </w:rPr>
              <w:t>-</w:t>
            </w:r>
          </w:p>
          <w:p w14:paraId="636EBF94" w14:textId="77777777" w:rsidR="007702CD" w:rsidRPr="00C56257" w:rsidRDefault="007702CD" w:rsidP="008E33FD">
            <w:pPr>
              <w:pStyle w:val="TableParagraph"/>
              <w:spacing w:before="2" w:line="238" w:lineRule="exact"/>
              <w:ind w:left="165"/>
              <w:jc w:val="both"/>
              <w:rPr>
                <w:color w:val="000000" w:themeColor="text1"/>
                <w:sz w:val="24"/>
                <w:szCs w:val="24"/>
              </w:rPr>
            </w:pPr>
            <w:r w:rsidRPr="00C56257">
              <w:rPr>
                <w:color w:val="000000" w:themeColor="text1"/>
                <w:sz w:val="24"/>
                <w:szCs w:val="24"/>
              </w:rPr>
              <w:t>Androsacetalia</w:t>
            </w:r>
            <w:r w:rsidRPr="00C56257">
              <w:rPr>
                <w:color w:val="000000" w:themeColor="text1"/>
                <w:spacing w:val="-5"/>
                <w:sz w:val="24"/>
                <w:szCs w:val="24"/>
              </w:rPr>
              <w:t xml:space="preserve"> </w:t>
            </w:r>
            <w:r w:rsidRPr="00C56257">
              <w:rPr>
                <w:color w:val="000000" w:themeColor="text1"/>
                <w:sz w:val="24"/>
                <w:szCs w:val="24"/>
              </w:rPr>
              <w:t>alpinae</w:t>
            </w:r>
            <w:r w:rsidRPr="00C56257">
              <w:rPr>
                <w:color w:val="000000" w:themeColor="text1"/>
                <w:spacing w:val="-2"/>
                <w:sz w:val="24"/>
                <w:szCs w:val="24"/>
              </w:rPr>
              <w:t xml:space="preserve"> </w:t>
            </w:r>
            <w:r w:rsidRPr="00C56257">
              <w:rPr>
                <w:color w:val="000000" w:themeColor="text1"/>
                <w:sz w:val="24"/>
                <w:szCs w:val="24"/>
              </w:rPr>
              <w:t>și</w:t>
            </w:r>
            <w:r w:rsidRPr="00C56257">
              <w:rPr>
                <w:color w:val="000000" w:themeColor="text1"/>
                <w:spacing w:val="-1"/>
                <w:sz w:val="24"/>
                <w:szCs w:val="24"/>
              </w:rPr>
              <w:t xml:space="preserve"> </w:t>
            </w:r>
            <w:r w:rsidRPr="00C56257">
              <w:rPr>
                <w:color w:val="000000" w:themeColor="text1"/>
                <w:sz w:val="24"/>
                <w:szCs w:val="24"/>
              </w:rPr>
              <w:t>Galeopsitalia</w:t>
            </w:r>
            <w:r w:rsidRPr="00C56257">
              <w:rPr>
                <w:color w:val="000000" w:themeColor="text1"/>
                <w:spacing w:val="-3"/>
                <w:sz w:val="24"/>
                <w:szCs w:val="24"/>
              </w:rPr>
              <w:t xml:space="preserve"> </w:t>
            </w:r>
            <w:r w:rsidRPr="00C56257">
              <w:rPr>
                <w:color w:val="000000" w:themeColor="text1"/>
                <w:sz w:val="24"/>
                <w:szCs w:val="24"/>
              </w:rPr>
              <w:t>ladani</w:t>
            </w:r>
          </w:p>
        </w:tc>
        <w:tc>
          <w:tcPr>
            <w:tcW w:w="708" w:type="dxa"/>
          </w:tcPr>
          <w:p w14:paraId="2AB86CA1" w14:textId="77777777" w:rsidR="007702CD" w:rsidRPr="00C56257" w:rsidRDefault="007702CD" w:rsidP="008E33FD">
            <w:pPr>
              <w:pStyle w:val="TableParagraph"/>
              <w:jc w:val="both"/>
              <w:rPr>
                <w:color w:val="000000" w:themeColor="text1"/>
                <w:sz w:val="24"/>
                <w:szCs w:val="24"/>
              </w:rPr>
            </w:pPr>
          </w:p>
        </w:tc>
        <w:tc>
          <w:tcPr>
            <w:tcW w:w="709" w:type="dxa"/>
          </w:tcPr>
          <w:p w14:paraId="002C2A7E" w14:textId="77777777" w:rsidR="007702CD" w:rsidRPr="00C56257" w:rsidRDefault="007702CD" w:rsidP="008E33FD">
            <w:pPr>
              <w:pStyle w:val="TableParagraph"/>
              <w:jc w:val="both"/>
              <w:rPr>
                <w:color w:val="000000" w:themeColor="text1"/>
                <w:sz w:val="24"/>
                <w:szCs w:val="24"/>
              </w:rPr>
            </w:pPr>
          </w:p>
        </w:tc>
        <w:tc>
          <w:tcPr>
            <w:tcW w:w="711" w:type="dxa"/>
            <w:shd w:val="clear" w:color="auto" w:fill="D9D9D9"/>
          </w:tcPr>
          <w:p w14:paraId="3966DA9F" w14:textId="77777777" w:rsidR="007702CD" w:rsidRPr="00C56257" w:rsidRDefault="007702CD" w:rsidP="008E33FD">
            <w:pPr>
              <w:pStyle w:val="TableParagraph"/>
              <w:spacing w:before="4"/>
              <w:jc w:val="both"/>
              <w:rPr>
                <w:color w:val="000000" w:themeColor="text1"/>
                <w:sz w:val="24"/>
                <w:szCs w:val="24"/>
              </w:rPr>
            </w:pPr>
          </w:p>
          <w:p w14:paraId="39DDDE1B" w14:textId="77777777" w:rsidR="007702CD" w:rsidRPr="00C56257" w:rsidRDefault="007702CD" w:rsidP="008E33FD">
            <w:pPr>
              <w:pStyle w:val="TableParagraph"/>
              <w:spacing w:line="240" w:lineRule="exact"/>
              <w:ind w:left="14"/>
              <w:jc w:val="both"/>
              <w:rPr>
                <w:b/>
                <w:color w:val="000000" w:themeColor="text1"/>
                <w:sz w:val="24"/>
                <w:szCs w:val="24"/>
              </w:rPr>
            </w:pPr>
            <w:r w:rsidRPr="00C56257">
              <w:rPr>
                <w:b/>
                <w:color w:val="000000" w:themeColor="text1"/>
                <w:sz w:val="24"/>
                <w:szCs w:val="24"/>
              </w:rPr>
              <w:t>√</w:t>
            </w:r>
          </w:p>
        </w:tc>
        <w:tc>
          <w:tcPr>
            <w:tcW w:w="766" w:type="dxa"/>
          </w:tcPr>
          <w:p w14:paraId="0F9E7998" w14:textId="77777777" w:rsidR="007702CD" w:rsidRPr="00C56257" w:rsidRDefault="007702CD" w:rsidP="008E33FD">
            <w:pPr>
              <w:pStyle w:val="TableParagraph"/>
              <w:jc w:val="both"/>
              <w:rPr>
                <w:color w:val="000000" w:themeColor="text1"/>
                <w:sz w:val="24"/>
                <w:szCs w:val="24"/>
              </w:rPr>
            </w:pPr>
          </w:p>
        </w:tc>
        <w:tc>
          <w:tcPr>
            <w:tcW w:w="745" w:type="dxa"/>
          </w:tcPr>
          <w:p w14:paraId="4DAB7025" w14:textId="77777777" w:rsidR="007702CD" w:rsidRPr="00C56257" w:rsidRDefault="007702CD" w:rsidP="008E33FD">
            <w:pPr>
              <w:pStyle w:val="TableParagraph"/>
              <w:jc w:val="both"/>
              <w:rPr>
                <w:color w:val="000000" w:themeColor="text1"/>
                <w:sz w:val="24"/>
                <w:szCs w:val="24"/>
              </w:rPr>
            </w:pPr>
          </w:p>
        </w:tc>
      </w:tr>
      <w:tr w:rsidR="007702CD" w:rsidRPr="00C56257" w14:paraId="712A7715" w14:textId="77777777" w:rsidTr="00102A1A">
        <w:trPr>
          <w:trHeight w:val="505"/>
        </w:trPr>
        <w:tc>
          <w:tcPr>
            <w:tcW w:w="5907" w:type="dxa"/>
          </w:tcPr>
          <w:p w14:paraId="485A24FA" w14:textId="77777777" w:rsidR="007702CD" w:rsidRPr="00C56257" w:rsidRDefault="007702CD" w:rsidP="008E33FD">
            <w:pPr>
              <w:pStyle w:val="TableParagraph"/>
              <w:spacing w:line="247" w:lineRule="exact"/>
              <w:ind w:left="165"/>
              <w:jc w:val="both"/>
              <w:rPr>
                <w:color w:val="000000" w:themeColor="text1"/>
                <w:sz w:val="24"/>
                <w:szCs w:val="24"/>
              </w:rPr>
            </w:pPr>
            <w:r w:rsidRPr="00C56257">
              <w:rPr>
                <w:color w:val="000000" w:themeColor="text1"/>
                <w:sz w:val="24"/>
                <w:szCs w:val="24"/>
              </w:rPr>
              <w:t>8120</w:t>
            </w:r>
            <w:r w:rsidRPr="00C56257">
              <w:rPr>
                <w:color w:val="000000" w:themeColor="text1"/>
                <w:spacing w:val="-3"/>
                <w:sz w:val="24"/>
                <w:szCs w:val="24"/>
              </w:rPr>
              <w:t xml:space="preserve"> </w:t>
            </w:r>
            <w:r w:rsidRPr="00C56257">
              <w:rPr>
                <w:color w:val="000000" w:themeColor="text1"/>
                <w:sz w:val="24"/>
                <w:szCs w:val="24"/>
              </w:rPr>
              <w:t>Grohotișuri</w:t>
            </w:r>
            <w:r w:rsidRPr="00C56257">
              <w:rPr>
                <w:color w:val="000000" w:themeColor="text1"/>
                <w:spacing w:val="-2"/>
                <w:sz w:val="24"/>
                <w:szCs w:val="24"/>
              </w:rPr>
              <w:t xml:space="preserve"> </w:t>
            </w:r>
            <w:r w:rsidRPr="00C56257">
              <w:rPr>
                <w:color w:val="000000" w:themeColor="text1"/>
                <w:sz w:val="24"/>
                <w:szCs w:val="24"/>
              </w:rPr>
              <w:t>calcaroase</w:t>
            </w:r>
            <w:r w:rsidRPr="00C56257">
              <w:rPr>
                <w:color w:val="000000" w:themeColor="text1"/>
                <w:spacing w:val="-2"/>
                <w:sz w:val="24"/>
                <w:szCs w:val="24"/>
              </w:rPr>
              <w:t xml:space="preserve"> </w:t>
            </w:r>
            <w:r w:rsidRPr="00C56257">
              <w:rPr>
                <w:color w:val="000000" w:themeColor="text1"/>
                <w:sz w:val="24"/>
                <w:szCs w:val="24"/>
              </w:rPr>
              <w:t>și</w:t>
            </w:r>
            <w:r w:rsidRPr="00C56257">
              <w:rPr>
                <w:color w:val="000000" w:themeColor="text1"/>
                <w:spacing w:val="-2"/>
                <w:sz w:val="24"/>
                <w:szCs w:val="24"/>
              </w:rPr>
              <w:t xml:space="preserve"> </w:t>
            </w:r>
            <w:r w:rsidRPr="00C56257">
              <w:rPr>
                <w:color w:val="000000" w:themeColor="text1"/>
                <w:sz w:val="24"/>
                <w:szCs w:val="24"/>
              </w:rPr>
              <w:t>de</w:t>
            </w:r>
            <w:r w:rsidRPr="00C56257">
              <w:rPr>
                <w:color w:val="000000" w:themeColor="text1"/>
                <w:spacing w:val="-2"/>
                <w:sz w:val="24"/>
                <w:szCs w:val="24"/>
              </w:rPr>
              <w:t xml:space="preserve"> </w:t>
            </w:r>
            <w:r w:rsidRPr="00C56257">
              <w:rPr>
                <w:color w:val="000000" w:themeColor="text1"/>
                <w:sz w:val="24"/>
                <w:szCs w:val="24"/>
              </w:rPr>
              <w:t>șisturi</w:t>
            </w:r>
            <w:r w:rsidRPr="00C56257">
              <w:rPr>
                <w:color w:val="000000" w:themeColor="text1"/>
                <w:spacing w:val="-2"/>
                <w:sz w:val="24"/>
                <w:szCs w:val="24"/>
              </w:rPr>
              <w:t xml:space="preserve"> </w:t>
            </w:r>
            <w:r w:rsidRPr="00C56257">
              <w:rPr>
                <w:color w:val="000000" w:themeColor="text1"/>
                <w:sz w:val="24"/>
                <w:szCs w:val="24"/>
              </w:rPr>
              <w:t>calcaroase</w:t>
            </w:r>
            <w:r w:rsidRPr="00C56257">
              <w:rPr>
                <w:color w:val="000000" w:themeColor="text1"/>
                <w:spacing w:val="-2"/>
                <w:sz w:val="24"/>
                <w:szCs w:val="24"/>
              </w:rPr>
              <w:t xml:space="preserve"> </w:t>
            </w:r>
            <w:r w:rsidRPr="00C56257">
              <w:rPr>
                <w:color w:val="000000" w:themeColor="text1"/>
                <w:sz w:val="24"/>
                <w:szCs w:val="24"/>
              </w:rPr>
              <w:t>din</w:t>
            </w:r>
            <w:r w:rsidRPr="00C56257">
              <w:rPr>
                <w:color w:val="000000" w:themeColor="text1"/>
                <w:spacing w:val="-3"/>
                <w:sz w:val="24"/>
                <w:szCs w:val="24"/>
              </w:rPr>
              <w:t xml:space="preserve"> </w:t>
            </w:r>
            <w:r w:rsidRPr="00C56257">
              <w:rPr>
                <w:color w:val="000000" w:themeColor="text1"/>
                <w:sz w:val="24"/>
                <w:szCs w:val="24"/>
              </w:rPr>
              <w:t>etajele</w:t>
            </w:r>
          </w:p>
          <w:p w14:paraId="45495B4B" w14:textId="77777777" w:rsidR="007702CD" w:rsidRPr="00C56257" w:rsidRDefault="007702CD" w:rsidP="008E33FD">
            <w:pPr>
              <w:pStyle w:val="TableParagraph"/>
              <w:spacing w:before="1" w:line="238" w:lineRule="exact"/>
              <w:ind w:left="165"/>
              <w:jc w:val="both"/>
              <w:rPr>
                <w:color w:val="000000" w:themeColor="text1"/>
                <w:sz w:val="24"/>
                <w:szCs w:val="24"/>
              </w:rPr>
            </w:pPr>
            <w:r w:rsidRPr="00C56257">
              <w:rPr>
                <w:color w:val="000000" w:themeColor="text1"/>
                <w:sz w:val="24"/>
                <w:szCs w:val="24"/>
              </w:rPr>
              <w:t>montan</w:t>
            </w:r>
            <w:r w:rsidRPr="00C56257">
              <w:rPr>
                <w:color w:val="000000" w:themeColor="text1"/>
                <w:spacing w:val="-3"/>
                <w:sz w:val="24"/>
                <w:szCs w:val="24"/>
              </w:rPr>
              <w:t xml:space="preserve"> </w:t>
            </w:r>
            <w:r w:rsidRPr="00C56257">
              <w:rPr>
                <w:color w:val="000000" w:themeColor="text1"/>
                <w:sz w:val="24"/>
                <w:szCs w:val="24"/>
              </w:rPr>
              <w:t>și</w:t>
            </w:r>
            <w:r w:rsidRPr="00C56257">
              <w:rPr>
                <w:color w:val="000000" w:themeColor="text1"/>
                <w:spacing w:val="-1"/>
                <w:sz w:val="24"/>
                <w:szCs w:val="24"/>
              </w:rPr>
              <w:t xml:space="preserve"> </w:t>
            </w:r>
            <w:r w:rsidRPr="00C56257">
              <w:rPr>
                <w:color w:val="000000" w:themeColor="text1"/>
                <w:sz w:val="24"/>
                <w:szCs w:val="24"/>
              </w:rPr>
              <w:t>alpin</w:t>
            </w:r>
            <w:r w:rsidRPr="00C56257">
              <w:rPr>
                <w:color w:val="000000" w:themeColor="text1"/>
                <w:spacing w:val="-2"/>
                <w:sz w:val="24"/>
                <w:szCs w:val="24"/>
              </w:rPr>
              <w:t xml:space="preserve"> </w:t>
            </w:r>
            <w:r w:rsidRPr="00C56257">
              <w:rPr>
                <w:color w:val="000000" w:themeColor="text1"/>
                <w:sz w:val="24"/>
                <w:szCs w:val="24"/>
              </w:rPr>
              <w:t>-</w:t>
            </w:r>
            <w:r w:rsidRPr="00C56257">
              <w:rPr>
                <w:color w:val="000000" w:themeColor="text1"/>
                <w:spacing w:val="-6"/>
                <w:sz w:val="24"/>
                <w:szCs w:val="24"/>
              </w:rPr>
              <w:t xml:space="preserve"> </w:t>
            </w:r>
            <w:r w:rsidRPr="00C56257">
              <w:rPr>
                <w:color w:val="000000" w:themeColor="text1"/>
                <w:sz w:val="24"/>
                <w:szCs w:val="24"/>
              </w:rPr>
              <w:t>Thlaspietea</w:t>
            </w:r>
            <w:r w:rsidRPr="00C56257">
              <w:rPr>
                <w:color w:val="000000" w:themeColor="text1"/>
                <w:spacing w:val="-2"/>
                <w:sz w:val="24"/>
                <w:szCs w:val="24"/>
              </w:rPr>
              <w:t xml:space="preserve"> </w:t>
            </w:r>
            <w:r w:rsidRPr="00C56257">
              <w:rPr>
                <w:color w:val="000000" w:themeColor="text1"/>
                <w:sz w:val="24"/>
                <w:szCs w:val="24"/>
              </w:rPr>
              <w:t>rotundifolii</w:t>
            </w:r>
          </w:p>
        </w:tc>
        <w:tc>
          <w:tcPr>
            <w:tcW w:w="708" w:type="dxa"/>
          </w:tcPr>
          <w:p w14:paraId="2A40293C" w14:textId="77777777" w:rsidR="007702CD" w:rsidRPr="00C56257" w:rsidRDefault="007702CD" w:rsidP="008E33FD">
            <w:pPr>
              <w:pStyle w:val="TableParagraph"/>
              <w:jc w:val="both"/>
              <w:rPr>
                <w:color w:val="000000" w:themeColor="text1"/>
                <w:sz w:val="24"/>
                <w:szCs w:val="24"/>
              </w:rPr>
            </w:pPr>
          </w:p>
        </w:tc>
        <w:tc>
          <w:tcPr>
            <w:tcW w:w="709" w:type="dxa"/>
            <w:shd w:val="clear" w:color="auto" w:fill="D9D9D9"/>
          </w:tcPr>
          <w:p w14:paraId="7A7AA63B" w14:textId="77777777" w:rsidR="007702CD" w:rsidRPr="00C56257" w:rsidRDefault="007702CD" w:rsidP="008E33FD">
            <w:pPr>
              <w:pStyle w:val="TableParagraph"/>
              <w:spacing w:before="125"/>
              <w:ind w:left="14"/>
              <w:jc w:val="both"/>
              <w:rPr>
                <w:b/>
                <w:color w:val="000000" w:themeColor="text1"/>
                <w:sz w:val="24"/>
                <w:szCs w:val="24"/>
              </w:rPr>
            </w:pPr>
            <w:r w:rsidRPr="00C56257">
              <w:rPr>
                <w:b/>
                <w:color w:val="000000" w:themeColor="text1"/>
                <w:sz w:val="24"/>
                <w:szCs w:val="24"/>
              </w:rPr>
              <w:t>√</w:t>
            </w:r>
          </w:p>
        </w:tc>
        <w:tc>
          <w:tcPr>
            <w:tcW w:w="711" w:type="dxa"/>
            <w:shd w:val="clear" w:color="auto" w:fill="D9D9D9"/>
          </w:tcPr>
          <w:p w14:paraId="4E48118E" w14:textId="77777777" w:rsidR="007702CD" w:rsidRPr="00C56257" w:rsidRDefault="007702CD" w:rsidP="008E33FD">
            <w:pPr>
              <w:pStyle w:val="TableParagraph"/>
              <w:spacing w:before="4"/>
              <w:jc w:val="both"/>
              <w:rPr>
                <w:color w:val="000000" w:themeColor="text1"/>
                <w:sz w:val="24"/>
                <w:szCs w:val="24"/>
              </w:rPr>
            </w:pPr>
          </w:p>
          <w:p w14:paraId="3DD6529F" w14:textId="77777777" w:rsidR="007702CD" w:rsidRPr="00C56257" w:rsidRDefault="007702CD" w:rsidP="008E33FD">
            <w:pPr>
              <w:pStyle w:val="TableParagraph"/>
              <w:spacing w:line="240" w:lineRule="exact"/>
              <w:ind w:left="14"/>
              <w:jc w:val="both"/>
              <w:rPr>
                <w:b/>
                <w:color w:val="000000" w:themeColor="text1"/>
                <w:sz w:val="24"/>
                <w:szCs w:val="24"/>
              </w:rPr>
            </w:pPr>
            <w:r w:rsidRPr="00C56257">
              <w:rPr>
                <w:b/>
                <w:color w:val="000000" w:themeColor="text1"/>
                <w:sz w:val="24"/>
                <w:szCs w:val="24"/>
              </w:rPr>
              <w:t>√</w:t>
            </w:r>
          </w:p>
        </w:tc>
        <w:tc>
          <w:tcPr>
            <w:tcW w:w="766" w:type="dxa"/>
          </w:tcPr>
          <w:p w14:paraId="622C7607" w14:textId="77777777" w:rsidR="007702CD" w:rsidRPr="00C56257" w:rsidRDefault="007702CD" w:rsidP="008E33FD">
            <w:pPr>
              <w:pStyle w:val="TableParagraph"/>
              <w:jc w:val="both"/>
              <w:rPr>
                <w:color w:val="000000" w:themeColor="text1"/>
                <w:sz w:val="24"/>
                <w:szCs w:val="24"/>
              </w:rPr>
            </w:pPr>
          </w:p>
        </w:tc>
        <w:tc>
          <w:tcPr>
            <w:tcW w:w="745" w:type="dxa"/>
          </w:tcPr>
          <w:p w14:paraId="5EB8C355" w14:textId="77777777" w:rsidR="007702CD" w:rsidRPr="00C56257" w:rsidRDefault="007702CD" w:rsidP="008E33FD">
            <w:pPr>
              <w:pStyle w:val="TableParagraph"/>
              <w:jc w:val="both"/>
              <w:rPr>
                <w:color w:val="000000" w:themeColor="text1"/>
                <w:sz w:val="24"/>
                <w:szCs w:val="24"/>
              </w:rPr>
            </w:pPr>
          </w:p>
        </w:tc>
      </w:tr>
      <w:tr w:rsidR="007702CD" w:rsidRPr="00C56257" w14:paraId="33B8D9F9" w14:textId="77777777" w:rsidTr="00102A1A">
        <w:trPr>
          <w:trHeight w:val="506"/>
        </w:trPr>
        <w:tc>
          <w:tcPr>
            <w:tcW w:w="5907" w:type="dxa"/>
          </w:tcPr>
          <w:p w14:paraId="05274D5B" w14:textId="77777777" w:rsidR="007702CD" w:rsidRPr="00C56257" w:rsidRDefault="007702CD" w:rsidP="008E33FD">
            <w:pPr>
              <w:pStyle w:val="TableParagraph"/>
              <w:spacing w:line="247" w:lineRule="exact"/>
              <w:ind w:left="165"/>
              <w:jc w:val="both"/>
              <w:rPr>
                <w:color w:val="000000" w:themeColor="text1"/>
                <w:sz w:val="24"/>
                <w:szCs w:val="24"/>
              </w:rPr>
            </w:pPr>
            <w:r w:rsidRPr="00C56257">
              <w:rPr>
                <w:color w:val="000000" w:themeColor="text1"/>
                <w:sz w:val="24"/>
                <w:szCs w:val="24"/>
              </w:rPr>
              <w:t>8160*</w:t>
            </w:r>
            <w:r w:rsidRPr="00C56257">
              <w:rPr>
                <w:color w:val="000000" w:themeColor="text1"/>
                <w:spacing w:val="-2"/>
                <w:sz w:val="24"/>
                <w:szCs w:val="24"/>
              </w:rPr>
              <w:t xml:space="preserve"> </w:t>
            </w:r>
            <w:r w:rsidRPr="00C56257">
              <w:rPr>
                <w:color w:val="000000" w:themeColor="text1"/>
                <w:sz w:val="24"/>
                <w:szCs w:val="24"/>
              </w:rPr>
              <w:t>Grohotișuri</w:t>
            </w:r>
            <w:r w:rsidRPr="00C56257">
              <w:rPr>
                <w:color w:val="000000" w:themeColor="text1"/>
                <w:spacing w:val="-1"/>
                <w:sz w:val="24"/>
                <w:szCs w:val="24"/>
              </w:rPr>
              <w:t xml:space="preserve"> </w:t>
            </w:r>
            <w:r w:rsidRPr="00C56257">
              <w:rPr>
                <w:color w:val="000000" w:themeColor="text1"/>
                <w:sz w:val="24"/>
                <w:szCs w:val="24"/>
              </w:rPr>
              <w:t>medio-europene</w:t>
            </w:r>
            <w:r w:rsidRPr="00C56257">
              <w:rPr>
                <w:color w:val="000000" w:themeColor="text1"/>
                <w:spacing w:val="-2"/>
                <w:sz w:val="24"/>
                <w:szCs w:val="24"/>
              </w:rPr>
              <w:t xml:space="preserve"> </w:t>
            </w:r>
            <w:r w:rsidRPr="00C56257">
              <w:rPr>
                <w:color w:val="000000" w:themeColor="text1"/>
                <w:sz w:val="24"/>
                <w:szCs w:val="24"/>
              </w:rPr>
              <w:t>calcaroase</w:t>
            </w:r>
            <w:r w:rsidRPr="00C56257">
              <w:rPr>
                <w:color w:val="000000" w:themeColor="text1"/>
                <w:spacing w:val="-1"/>
                <w:sz w:val="24"/>
                <w:szCs w:val="24"/>
              </w:rPr>
              <w:t xml:space="preserve"> </w:t>
            </w:r>
            <w:r w:rsidRPr="00C56257">
              <w:rPr>
                <w:color w:val="000000" w:themeColor="text1"/>
                <w:sz w:val="24"/>
                <w:szCs w:val="24"/>
              </w:rPr>
              <w:t>din</w:t>
            </w:r>
            <w:r w:rsidRPr="00C56257">
              <w:rPr>
                <w:color w:val="000000" w:themeColor="text1"/>
                <w:spacing w:val="-5"/>
                <w:sz w:val="24"/>
                <w:szCs w:val="24"/>
              </w:rPr>
              <w:t xml:space="preserve"> </w:t>
            </w:r>
            <w:r w:rsidRPr="00C56257">
              <w:rPr>
                <w:color w:val="000000" w:themeColor="text1"/>
                <w:sz w:val="24"/>
                <w:szCs w:val="24"/>
              </w:rPr>
              <w:t>etajele</w:t>
            </w:r>
          </w:p>
          <w:p w14:paraId="4FCF3EC0" w14:textId="77777777" w:rsidR="007702CD" w:rsidRPr="00C56257" w:rsidRDefault="007702CD" w:rsidP="008E33FD">
            <w:pPr>
              <w:pStyle w:val="TableParagraph"/>
              <w:spacing w:before="1" w:line="238" w:lineRule="exact"/>
              <w:ind w:left="165"/>
              <w:jc w:val="both"/>
              <w:rPr>
                <w:color w:val="000000" w:themeColor="text1"/>
                <w:sz w:val="24"/>
                <w:szCs w:val="24"/>
              </w:rPr>
            </w:pPr>
            <w:r w:rsidRPr="00C56257">
              <w:rPr>
                <w:color w:val="000000" w:themeColor="text1"/>
                <w:sz w:val="24"/>
                <w:szCs w:val="24"/>
              </w:rPr>
              <w:t>colinar</w:t>
            </w:r>
            <w:r w:rsidRPr="00C56257">
              <w:rPr>
                <w:color w:val="000000" w:themeColor="text1"/>
                <w:spacing w:val="-3"/>
                <w:sz w:val="24"/>
                <w:szCs w:val="24"/>
              </w:rPr>
              <w:t xml:space="preserve"> </w:t>
            </w:r>
            <w:r w:rsidRPr="00C56257">
              <w:rPr>
                <w:color w:val="000000" w:themeColor="text1"/>
                <w:sz w:val="24"/>
                <w:szCs w:val="24"/>
              </w:rPr>
              <w:t>și montan</w:t>
            </w:r>
          </w:p>
        </w:tc>
        <w:tc>
          <w:tcPr>
            <w:tcW w:w="708" w:type="dxa"/>
          </w:tcPr>
          <w:p w14:paraId="5CA72969" w14:textId="77777777" w:rsidR="007702CD" w:rsidRPr="00C56257" w:rsidRDefault="007702CD" w:rsidP="008E33FD">
            <w:pPr>
              <w:pStyle w:val="TableParagraph"/>
              <w:jc w:val="both"/>
              <w:rPr>
                <w:color w:val="000000" w:themeColor="text1"/>
                <w:sz w:val="24"/>
                <w:szCs w:val="24"/>
              </w:rPr>
            </w:pPr>
          </w:p>
        </w:tc>
        <w:tc>
          <w:tcPr>
            <w:tcW w:w="709" w:type="dxa"/>
            <w:shd w:val="clear" w:color="auto" w:fill="D9D9D9"/>
          </w:tcPr>
          <w:p w14:paraId="13EC7CEF" w14:textId="77777777" w:rsidR="007702CD" w:rsidRPr="00C56257" w:rsidRDefault="007702CD" w:rsidP="008E33FD">
            <w:pPr>
              <w:pStyle w:val="TableParagraph"/>
              <w:spacing w:before="125"/>
              <w:ind w:left="14"/>
              <w:jc w:val="both"/>
              <w:rPr>
                <w:b/>
                <w:color w:val="000000" w:themeColor="text1"/>
                <w:sz w:val="24"/>
                <w:szCs w:val="24"/>
              </w:rPr>
            </w:pPr>
            <w:r w:rsidRPr="00C56257">
              <w:rPr>
                <w:b/>
                <w:color w:val="000000" w:themeColor="text1"/>
                <w:sz w:val="24"/>
                <w:szCs w:val="24"/>
              </w:rPr>
              <w:t>√</w:t>
            </w:r>
          </w:p>
        </w:tc>
        <w:tc>
          <w:tcPr>
            <w:tcW w:w="711" w:type="dxa"/>
            <w:shd w:val="clear" w:color="auto" w:fill="D9D9D9"/>
          </w:tcPr>
          <w:p w14:paraId="7281A3DA" w14:textId="77777777" w:rsidR="007702CD" w:rsidRPr="00C56257" w:rsidRDefault="007702CD" w:rsidP="008E33FD">
            <w:pPr>
              <w:pStyle w:val="TableParagraph"/>
              <w:spacing w:before="125"/>
              <w:ind w:left="14"/>
              <w:jc w:val="both"/>
              <w:rPr>
                <w:b/>
                <w:color w:val="000000" w:themeColor="text1"/>
                <w:sz w:val="24"/>
                <w:szCs w:val="24"/>
              </w:rPr>
            </w:pPr>
            <w:r w:rsidRPr="00C56257">
              <w:rPr>
                <w:b/>
                <w:color w:val="000000" w:themeColor="text1"/>
                <w:sz w:val="24"/>
                <w:szCs w:val="24"/>
              </w:rPr>
              <w:t>√</w:t>
            </w:r>
          </w:p>
        </w:tc>
        <w:tc>
          <w:tcPr>
            <w:tcW w:w="766" w:type="dxa"/>
          </w:tcPr>
          <w:p w14:paraId="7277E9E3" w14:textId="77777777" w:rsidR="007702CD" w:rsidRPr="00C56257" w:rsidRDefault="007702CD" w:rsidP="008E33FD">
            <w:pPr>
              <w:pStyle w:val="TableParagraph"/>
              <w:jc w:val="both"/>
              <w:rPr>
                <w:color w:val="000000" w:themeColor="text1"/>
                <w:sz w:val="24"/>
                <w:szCs w:val="24"/>
              </w:rPr>
            </w:pPr>
          </w:p>
        </w:tc>
        <w:tc>
          <w:tcPr>
            <w:tcW w:w="745" w:type="dxa"/>
          </w:tcPr>
          <w:p w14:paraId="7D54A7DE" w14:textId="77777777" w:rsidR="007702CD" w:rsidRPr="00C56257" w:rsidRDefault="007702CD" w:rsidP="008E33FD">
            <w:pPr>
              <w:pStyle w:val="TableParagraph"/>
              <w:jc w:val="both"/>
              <w:rPr>
                <w:color w:val="000000" w:themeColor="text1"/>
                <w:sz w:val="24"/>
                <w:szCs w:val="24"/>
              </w:rPr>
            </w:pPr>
          </w:p>
        </w:tc>
      </w:tr>
      <w:tr w:rsidR="007702CD" w:rsidRPr="00C56257" w14:paraId="2B5A8D1A" w14:textId="77777777" w:rsidTr="00102A1A">
        <w:trPr>
          <w:trHeight w:val="505"/>
        </w:trPr>
        <w:tc>
          <w:tcPr>
            <w:tcW w:w="5907" w:type="dxa"/>
          </w:tcPr>
          <w:p w14:paraId="558EF5B4" w14:textId="77777777" w:rsidR="007702CD" w:rsidRPr="00C56257" w:rsidRDefault="007702CD" w:rsidP="008E33FD">
            <w:pPr>
              <w:pStyle w:val="TableParagraph"/>
              <w:spacing w:line="247" w:lineRule="exact"/>
              <w:ind w:left="165"/>
              <w:jc w:val="both"/>
              <w:rPr>
                <w:color w:val="000000" w:themeColor="text1"/>
                <w:sz w:val="24"/>
                <w:szCs w:val="24"/>
              </w:rPr>
            </w:pPr>
            <w:r w:rsidRPr="00C56257">
              <w:rPr>
                <w:color w:val="000000" w:themeColor="text1"/>
                <w:sz w:val="24"/>
                <w:szCs w:val="24"/>
              </w:rPr>
              <w:t>8210</w:t>
            </w:r>
            <w:r w:rsidRPr="00C56257">
              <w:rPr>
                <w:color w:val="000000" w:themeColor="text1"/>
                <w:spacing w:val="-5"/>
                <w:sz w:val="24"/>
                <w:szCs w:val="24"/>
              </w:rPr>
              <w:t xml:space="preserve"> </w:t>
            </w:r>
            <w:r w:rsidRPr="00C56257">
              <w:rPr>
                <w:color w:val="000000" w:themeColor="text1"/>
                <w:sz w:val="24"/>
                <w:szCs w:val="24"/>
              </w:rPr>
              <w:t>Versanți</w:t>
            </w:r>
            <w:r w:rsidRPr="00C56257">
              <w:rPr>
                <w:color w:val="000000" w:themeColor="text1"/>
                <w:spacing w:val="-3"/>
                <w:sz w:val="24"/>
                <w:szCs w:val="24"/>
              </w:rPr>
              <w:t xml:space="preserve"> </w:t>
            </w:r>
            <w:r w:rsidRPr="00C56257">
              <w:rPr>
                <w:color w:val="000000" w:themeColor="text1"/>
                <w:sz w:val="24"/>
                <w:szCs w:val="24"/>
              </w:rPr>
              <w:t>stâncoși</w:t>
            </w:r>
            <w:r w:rsidRPr="00C56257">
              <w:rPr>
                <w:color w:val="000000" w:themeColor="text1"/>
                <w:spacing w:val="-1"/>
                <w:sz w:val="24"/>
                <w:szCs w:val="24"/>
              </w:rPr>
              <w:t xml:space="preserve"> </w:t>
            </w:r>
            <w:r w:rsidRPr="00C56257">
              <w:rPr>
                <w:color w:val="000000" w:themeColor="text1"/>
                <w:sz w:val="24"/>
                <w:szCs w:val="24"/>
              </w:rPr>
              <w:t>cu</w:t>
            </w:r>
            <w:r w:rsidRPr="00C56257">
              <w:rPr>
                <w:color w:val="000000" w:themeColor="text1"/>
                <w:spacing w:val="-3"/>
                <w:sz w:val="24"/>
                <w:szCs w:val="24"/>
              </w:rPr>
              <w:t xml:space="preserve"> </w:t>
            </w:r>
            <w:r w:rsidRPr="00C56257">
              <w:rPr>
                <w:color w:val="000000" w:themeColor="text1"/>
                <w:sz w:val="24"/>
                <w:szCs w:val="24"/>
              </w:rPr>
              <w:t>vegetație</w:t>
            </w:r>
            <w:r w:rsidRPr="00C56257">
              <w:rPr>
                <w:color w:val="000000" w:themeColor="text1"/>
                <w:spacing w:val="-1"/>
                <w:sz w:val="24"/>
                <w:szCs w:val="24"/>
              </w:rPr>
              <w:t xml:space="preserve"> </w:t>
            </w:r>
            <w:r w:rsidRPr="00C56257">
              <w:rPr>
                <w:color w:val="000000" w:themeColor="text1"/>
                <w:sz w:val="24"/>
                <w:szCs w:val="24"/>
              </w:rPr>
              <w:t>chasmofitică</w:t>
            </w:r>
            <w:r w:rsidRPr="00C56257">
              <w:rPr>
                <w:color w:val="000000" w:themeColor="text1"/>
                <w:spacing w:val="-2"/>
                <w:sz w:val="24"/>
                <w:szCs w:val="24"/>
              </w:rPr>
              <w:t xml:space="preserve"> </w:t>
            </w:r>
            <w:r w:rsidRPr="00C56257">
              <w:rPr>
                <w:color w:val="000000" w:themeColor="text1"/>
                <w:sz w:val="24"/>
                <w:szCs w:val="24"/>
              </w:rPr>
              <w:t>pe</w:t>
            </w:r>
            <w:r w:rsidRPr="00C56257">
              <w:rPr>
                <w:color w:val="000000" w:themeColor="text1"/>
                <w:spacing w:val="-3"/>
                <w:sz w:val="24"/>
                <w:szCs w:val="24"/>
              </w:rPr>
              <w:t xml:space="preserve"> </w:t>
            </w:r>
            <w:r w:rsidRPr="00C56257">
              <w:rPr>
                <w:color w:val="000000" w:themeColor="text1"/>
                <w:sz w:val="24"/>
                <w:szCs w:val="24"/>
              </w:rPr>
              <w:t>roci</w:t>
            </w:r>
          </w:p>
          <w:p w14:paraId="6874E8D5" w14:textId="77777777" w:rsidR="007702CD" w:rsidRPr="00C56257" w:rsidRDefault="007702CD" w:rsidP="008E33FD">
            <w:pPr>
              <w:pStyle w:val="TableParagraph"/>
              <w:spacing w:before="1" w:line="238" w:lineRule="exact"/>
              <w:ind w:left="165"/>
              <w:jc w:val="both"/>
              <w:rPr>
                <w:color w:val="000000" w:themeColor="text1"/>
                <w:sz w:val="24"/>
                <w:szCs w:val="24"/>
              </w:rPr>
            </w:pPr>
            <w:r w:rsidRPr="00C56257">
              <w:rPr>
                <w:color w:val="000000" w:themeColor="text1"/>
                <w:sz w:val="24"/>
                <w:szCs w:val="24"/>
              </w:rPr>
              <w:t>calcaroase</w:t>
            </w:r>
          </w:p>
        </w:tc>
        <w:tc>
          <w:tcPr>
            <w:tcW w:w="708" w:type="dxa"/>
          </w:tcPr>
          <w:p w14:paraId="6815298A" w14:textId="77777777" w:rsidR="007702CD" w:rsidRPr="00C56257" w:rsidRDefault="007702CD" w:rsidP="008E33FD">
            <w:pPr>
              <w:pStyle w:val="TableParagraph"/>
              <w:jc w:val="both"/>
              <w:rPr>
                <w:color w:val="000000" w:themeColor="text1"/>
                <w:sz w:val="24"/>
                <w:szCs w:val="24"/>
              </w:rPr>
            </w:pPr>
          </w:p>
        </w:tc>
        <w:tc>
          <w:tcPr>
            <w:tcW w:w="709" w:type="dxa"/>
            <w:shd w:val="clear" w:color="auto" w:fill="D9D9D9"/>
          </w:tcPr>
          <w:p w14:paraId="0EE77E22" w14:textId="77777777" w:rsidR="007702CD" w:rsidRPr="00C56257" w:rsidRDefault="007702CD" w:rsidP="008E33FD">
            <w:pPr>
              <w:pStyle w:val="TableParagraph"/>
              <w:spacing w:before="125"/>
              <w:ind w:left="14"/>
              <w:jc w:val="both"/>
              <w:rPr>
                <w:b/>
                <w:color w:val="000000" w:themeColor="text1"/>
                <w:sz w:val="24"/>
                <w:szCs w:val="24"/>
              </w:rPr>
            </w:pPr>
            <w:r w:rsidRPr="00C56257">
              <w:rPr>
                <w:b/>
                <w:color w:val="000000" w:themeColor="text1"/>
                <w:sz w:val="24"/>
                <w:szCs w:val="24"/>
              </w:rPr>
              <w:t>√</w:t>
            </w:r>
          </w:p>
        </w:tc>
        <w:tc>
          <w:tcPr>
            <w:tcW w:w="711" w:type="dxa"/>
            <w:shd w:val="clear" w:color="auto" w:fill="D9D9D9"/>
          </w:tcPr>
          <w:p w14:paraId="61DEA083" w14:textId="77777777" w:rsidR="007702CD" w:rsidRPr="00C56257" w:rsidRDefault="007702CD" w:rsidP="008E33FD">
            <w:pPr>
              <w:pStyle w:val="TableParagraph"/>
              <w:spacing w:before="4"/>
              <w:jc w:val="both"/>
              <w:rPr>
                <w:color w:val="000000" w:themeColor="text1"/>
                <w:sz w:val="24"/>
                <w:szCs w:val="24"/>
              </w:rPr>
            </w:pPr>
          </w:p>
          <w:p w14:paraId="34C0AA57" w14:textId="77777777" w:rsidR="007702CD" w:rsidRPr="00C56257" w:rsidRDefault="007702CD" w:rsidP="008E33FD">
            <w:pPr>
              <w:pStyle w:val="TableParagraph"/>
              <w:spacing w:line="240" w:lineRule="exact"/>
              <w:ind w:left="14"/>
              <w:jc w:val="both"/>
              <w:rPr>
                <w:b/>
                <w:color w:val="000000" w:themeColor="text1"/>
                <w:sz w:val="24"/>
                <w:szCs w:val="24"/>
              </w:rPr>
            </w:pPr>
            <w:r w:rsidRPr="00C56257">
              <w:rPr>
                <w:b/>
                <w:color w:val="000000" w:themeColor="text1"/>
                <w:sz w:val="24"/>
                <w:szCs w:val="24"/>
              </w:rPr>
              <w:t>√</w:t>
            </w:r>
          </w:p>
        </w:tc>
        <w:tc>
          <w:tcPr>
            <w:tcW w:w="766" w:type="dxa"/>
          </w:tcPr>
          <w:p w14:paraId="5E53A2E5" w14:textId="77777777" w:rsidR="007702CD" w:rsidRPr="00C56257" w:rsidRDefault="007702CD" w:rsidP="008E33FD">
            <w:pPr>
              <w:pStyle w:val="TableParagraph"/>
              <w:jc w:val="both"/>
              <w:rPr>
                <w:color w:val="000000" w:themeColor="text1"/>
                <w:sz w:val="24"/>
                <w:szCs w:val="24"/>
              </w:rPr>
            </w:pPr>
          </w:p>
        </w:tc>
        <w:tc>
          <w:tcPr>
            <w:tcW w:w="745" w:type="dxa"/>
          </w:tcPr>
          <w:p w14:paraId="499D1C7C" w14:textId="77777777" w:rsidR="007702CD" w:rsidRPr="00C56257" w:rsidRDefault="007702CD" w:rsidP="008E33FD">
            <w:pPr>
              <w:pStyle w:val="TableParagraph"/>
              <w:jc w:val="both"/>
              <w:rPr>
                <w:color w:val="000000" w:themeColor="text1"/>
                <w:sz w:val="24"/>
                <w:szCs w:val="24"/>
              </w:rPr>
            </w:pPr>
          </w:p>
        </w:tc>
      </w:tr>
      <w:tr w:rsidR="007702CD" w:rsidRPr="00C56257" w14:paraId="09F2B692" w14:textId="77777777" w:rsidTr="00102A1A">
        <w:trPr>
          <w:trHeight w:val="506"/>
        </w:trPr>
        <w:tc>
          <w:tcPr>
            <w:tcW w:w="5907" w:type="dxa"/>
          </w:tcPr>
          <w:p w14:paraId="4BE3DFEF" w14:textId="77777777" w:rsidR="007702CD" w:rsidRPr="00C56257" w:rsidRDefault="007702CD" w:rsidP="008E33FD">
            <w:pPr>
              <w:pStyle w:val="TableParagraph"/>
              <w:spacing w:line="247" w:lineRule="exact"/>
              <w:ind w:left="165"/>
              <w:jc w:val="both"/>
              <w:rPr>
                <w:color w:val="000000" w:themeColor="text1"/>
                <w:sz w:val="24"/>
                <w:szCs w:val="24"/>
              </w:rPr>
            </w:pPr>
            <w:r w:rsidRPr="00C56257">
              <w:rPr>
                <w:color w:val="000000" w:themeColor="text1"/>
                <w:sz w:val="24"/>
                <w:szCs w:val="24"/>
              </w:rPr>
              <w:t>8220</w:t>
            </w:r>
            <w:r w:rsidRPr="00C56257">
              <w:rPr>
                <w:color w:val="000000" w:themeColor="text1"/>
                <w:spacing w:val="-5"/>
                <w:sz w:val="24"/>
                <w:szCs w:val="24"/>
              </w:rPr>
              <w:t xml:space="preserve"> </w:t>
            </w:r>
            <w:r w:rsidRPr="00C56257">
              <w:rPr>
                <w:color w:val="000000" w:themeColor="text1"/>
                <w:sz w:val="24"/>
                <w:szCs w:val="24"/>
              </w:rPr>
              <w:t>Versanți</w:t>
            </w:r>
            <w:r w:rsidRPr="00C56257">
              <w:rPr>
                <w:color w:val="000000" w:themeColor="text1"/>
                <w:spacing w:val="-3"/>
                <w:sz w:val="24"/>
                <w:szCs w:val="24"/>
              </w:rPr>
              <w:t xml:space="preserve"> </w:t>
            </w:r>
            <w:r w:rsidRPr="00C56257">
              <w:rPr>
                <w:color w:val="000000" w:themeColor="text1"/>
                <w:sz w:val="24"/>
                <w:szCs w:val="24"/>
              </w:rPr>
              <w:t>stâncoși</w:t>
            </w:r>
            <w:r w:rsidRPr="00C56257">
              <w:rPr>
                <w:color w:val="000000" w:themeColor="text1"/>
                <w:spacing w:val="-1"/>
                <w:sz w:val="24"/>
                <w:szCs w:val="24"/>
              </w:rPr>
              <w:t xml:space="preserve"> </w:t>
            </w:r>
            <w:r w:rsidRPr="00C56257">
              <w:rPr>
                <w:color w:val="000000" w:themeColor="text1"/>
                <w:sz w:val="24"/>
                <w:szCs w:val="24"/>
              </w:rPr>
              <w:t>cu</w:t>
            </w:r>
            <w:r w:rsidRPr="00C56257">
              <w:rPr>
                <w:color w:val="000000" w:themeColor="text1"/>
                <w:spacing w:val="-3"/>
                <w:sz w:val="24"/>
                <w:szCs w:val="24"/>
              </w:rPr>
              <w:t xml:space="preserve"> </w:t>
            </w:r>
            <w:r w:rsidRPr="00C56257">
              <w:rPr>
                <w:color w:val="000000" w:themeColor="text1"/>
                <w:sz w:val="24"/>
                <w:szCs w:val="24"/>
              </w:rPr>
              <w:t>vegetație</w:t>
            </w:r>
            <w:r w:rsidRPr="00C56257">
              <w:rPr>
                <w:color w:val="000000" w:themeColor="text1"/>
                <w:spacing w:val="-1"/>
                <w:sz w:val="24"/>
                <w:szCs w:val="24"/>
              </w:rPr>
              <w:t xml:space="preserve"> </w:t>
            </w:r>
            <w:r w:rsidRPr="00C56257">
              <w:rPr>
                <w:color w:val="000000" w:themeColor="text1"/>
                <w:sz w:val="24"/>
                <w:szCs w:val="24"/>
              </w:rPr>
              <w:t>chasmofitică</w:t>
            </w:r>
            <w:r w:rsidRPr="00C56257">
              <w:rPr>
                <w:color w:val="000000" w:themeColor="text1"/>
                <w:spacing w:val="-2"/>
                <w:sz w:val="24"/>
                <w:szCs w:val="24"/>
              </w:rPr>
              <w:t xml:space="preserve"> </w:t>
            </w:r>
            <w:r w:rsidRPr="00C56257">
              <w:rPr>
                <w:color w:val="000000" w:themeColor="text1"/>
                <w:sz w:val="24"/>
                <w:szCs w:val="24"/>
              </w:rPr>
              <w:t>pe</w:t>
            </w:r>
            <w:r w:rsidRPr="00C56257">
              <w:rPr>
                <w:color w:val="000000" w:themeColor="text1"/>
                <w:spacing w:val="-3"/>
                <w:sz w:val="24"/>
                <w:szCs w:val="24"/>
              </w:rPr>
              <w:t xml:space="preserve"> </w:t>
            </w:r>
            <w:r w:rsidRPr="00C56257">
              <w:rPr>
                <w:color w:val="000000" w:themeColor="text1"/>
                <w:sz w:val="24"/>
                <w:szCs w:val="24"/>
              </w:rPr>
              <w:t>roci</w:t>
            </w:r>
          </w:p>
          <w:p w14:paraId="0012A43A" w14:textId="77777777" w:rsidR="007702CD" w:rsidRPr="00C56257" w:rsidRDefault="007702CD" w:rsidP="008E33FD">
            <w:pPr>
              <w:pStyle w:val="TableParagraph"/>
              <w:spacing w:before="1" w:line="238" w:lineRule="exact"/>
              <w:ind w:left="165"/>
              <w:jc w:val="both"/>
              <w:rPr>
                <w:color w:val="000000" w:themeColor="text1"/>
                <w:sz w:val="24"/>
                <w:szCs w:val="24"/>
              </w:rPr>
            </w:pPr>
            <w:r w:rsidRPr="00C56257">
              <w:rPr>
                <w:color w:val="000000" w:themeColor="text1"/>
                <w:sz w:val="24"/>
                <w:szCs w:val="24"/>
              </w:rPr>
              <w:t>silicioase</w:t>
            </w:r>
          </w:p>
        </w:tc>
        <w:tc>
          <w:tcPr>
            <w:tcW w:w="708" w:type="dxa"/>
          </w:tcPr>
          <w:p w14:paraId="6632F4B9" w14:textId="77777777" w:rsidR="007702CD" w:rsidRPr="00C56257" w:rsidRDefault="007702CD" w:rsidP="008E33FD">
            <w:pPr>
              <w:pStyle w:val="TableParagraph"/>
              <w:jc w:val="both"/>
              <w:rPr>
                <w:color w:val="000000" w:themeColor="text1"/>
                <w:sz w:val="24"/>
                <w:szCs w:val="24"/>
              </w:rPr>
            </w:pPr>
          </w:p>
        </w:tc>
        <w:tc>
          <w:tcPr>
            <w:tcW w:w="709" w:type="dxa"/>
            <w:shd w:val="clear" w:color="auto" w:fill="D9D9D9"/>
          </w:tcPr>
          <w:p w14:paraId="4BE34B21" w14:textId="77777777" w:rsidR="007702CD" w:rsidRPr="00C56257" w:rsidRDefault="007702CD" w:rsidP="008E33FD">
            <w:pPr>
              <w:pStyle w:val="TableParagraph"/>
              <w:spacing w:before="4"/>
              <w:jc w:val="both"/>
              <w:rPr>
                <w:color w:val="000000" w:themeColor="text1"/>
                <w:sz w:val="24"/>
                <w:szCs w:val="24"/>
              </w:rPr>
            </w:pPr>
          </w:p>
          <w:p w14:paraId="69C60402" w14:textId="77777777" w:rsidR="007702CD" w:rsidRPr="00C56257" w:rsidRDefault="007702CD" w:rsidP="008E33FD">
            <w:pPr>
              <w:pStyle w:val="TableParagraph"/>
              <w:spacing w:line="240" w:lineRule="exact"/>
              <w:ind w:left="14"/>
              <w:jc w:val="both"/>
              <w:rPr>
                <w:b/>
                <w:color w:val="000000" w:themeColor="text1"/>
                <w:sz w:val="24"/>
                <w:szCs w:val="24"/>
              </w:rPr>
            </w:pPr>
            <w:r w:rsidRPr="00C56257">
              <w:rPr>
                <w:b/>
                <w:color w:val="000000" w:themeColor="text1"/>
                <w:sz w:val="24"/>
                <w:szCs w:val="24"/>
              </w:rPr>
              <w:t>√</w:t>
            </w:r>
          </w:p>
        </w:tc>
        <w:tc>
          <w:tcPr>
            <w:tcW w:w="711" w:type="dxa"/>
            <w:shd w:val="clear" w:color="auto" w:fill="D9D9D9"/>
          </w:tcPr>
          <w:p w14:paraId="6C94A474" w14:textId="77777777" w:rsidR="007702CD" w:rsidRPr="00C56257" w:rsidRDefault="007702CD" w:rsidP="008E33FD">
            <w:pPr>
              <w:pStyle w:val="TableParagraph"/>
              <w:spacing w:before="4"/>
              <w:jc w:val="both"/>
              <w:rPr>
                <w:color w:val="000000" w:themeColor="text1"/>
                <w:sz w:val="24"/>
                <w:szCs w:val="24"/>
              </w:rPr>
            </w:pPr>
          </w:p>
          <w:p w14:paraId="1D75ED47" w14:textId="77777777" w:rsidR="007702CD" w:rsidRPr="00C56257" w:rsidRDefault="007702CD" w:rsidP="008E33FD">
            <w:pPr>
              <w:pStyle w:val="TableParagraph"/>
              <w:spacing w:line="240" w:lineRule="exact"/>
              <w:ind w:left="14"/>
              <w:jc w:val="both"/>
              <w:rPr>
                <w:b/>
                <w:color w:val="000000" w:themeColor="text1"/>
                <w:sz w:val="24"/>
                <w:szCs w:val="24"/>
              </w:rPr>
            </w:pPr>
            <w:r w:rsidRPr="00C56257">
              <w:rPr>
                <w:b/>
                <w:color w:val="000000" w:themeColor="text1"/>
                <w:sz w:val="24"/>
                <w:szCs w:val="24"/>
              </w:rPr>
              <w:t>√</w:t>
            </w:r>
          </w:p>
        </w:tc>
        <w:tc>
          <w:tcPr>
            <w:tcW w:w="766" w:type="dxa"/>
          </w:tcPr>
          <w:p w14:paraId="501C8F70" w14:textId="77777777" w:rsidR="007702CD" w:rsidRPr="00C56257" w:rsidRDefault="007702CD" w:rsidP="008E33FD">
            <w:pPr>
              <w:pStyle w:val="TableParagraph"/>
              <w:jc w:val="both"/>
              <w:rPr>
                <w:color w:val="000000" w:themeColor="text1"/>
                <w:sz w:val="24"/>
                <w:szCs w:val="24"/>
              </w:rPr>
            </w:pPr>
          </w:p>
        </w:tc>
        <w:tc>
          <w:tcPr>
            <w:tcW w:w="745" w:type="dxa"/>
          </w:tcPr>
          <w:p w14:paraId="72B7A2F0" w14:textId="77777777" w:rsidR="007702CD" w:rsidRPr="00C56257" w:rsidRDefault="007702CD" w:rsidP="008E33FD">
            <w:pPr>
              <w:pStyle w:val="TableParagraph"/>
              <w:jc w:val="both"/>
              <w:rPr>
                <w:color w:val="000000" w:themeColor="text1"/>
                <w:sz w:val="24"/>
                <w:szCs w:val="24"/>
              </w:rPr>
            </w:pPr>
          </w:p>
        </w:tc>
      </w:tr>
      <w:tr w:rsidR="007702CD" w:rsidRPr="00C56257" w14:paraId="1F9D8F82" w14:textId="77777777" w:rsidTr="00102A1A">
        <w:trPr>
          <w:trHeight w:val="506"/>
        </w:trPr>
        <w:tc>
          <w:tcPr>
            <w:tcW w:w="5907" w:type="dxa"/>
          </w:tcPr>
          <w:p w14:paraId="3F52A960" w14:textId="77777777" w:rsidR="007702CD" w:rsidRPr="00C56257" w:rsidRDefault="007702CD" w:rsidP="008E33FD">
            <w:pPr>
              <w:pStyle w:val="TableParagraph"/>
              <w:spacing w:line="247" w:lineRule="exact"/>
              <w:ind w:left="165"/>
              <w:jc w:val="both"/>
              <w:rPr>
                <w:color w:val="000000" w:themeColor="text1"/>
                <w:sz w:val="24"/>
                <w:szCs w:val="24"/>
              </w:rPr>
            </w:pPr>
            <w:r w:rsidRPr="00C56257">
              <w:rPr>
                <w:color w:val="000000" w:themeColor="text1"/>
                <w:sz w:val="24"/>
                <w:szCs w:val="24"/>
              </w:rPr>
              <w:t>8230</w:t>
            </w:r>
            <w:r w:rsidRPr="00C56257">
              <w:rPr>
                <w:color w:val="000000" w:themeColor="text1"/>
                <w:spacing w:val="-3"/>
                <w:sz w:val="24"/>
                <w:szCs w:val="24"/>
              </w:rPr>
              <w:t xml:space="preserve"> </w:t>
            </w:r>
            <w:r w:rsidRPr="00C56257">
              <w:rPr>
                <w:color w:val="000000" w:themeColor="text1"/>
                <w:sz w:val="24"/>
                <w:szCs w:val="24"/>
              </w:rPr>
              <w:t>Comunități</w:t>
            </w:r>
            <w:r w:rsidRPr="00C56257">
              <w:rPr>
                <w:color w:val="000000" w:themeColor="text1"/>
                <w:spacing w:val="-1"/>
                <w:sz w:val="24"/>
                <w:szCs w:val="24"/>
              </w:rPr>
              <w:t xml:space="preserve"> </w:t>
            </w:r>
            <w:r w:rsidRPr="00C56257">
              <w:rPr>
                <w:color w:val="000000" w:themeColor="text1"/>
                <w:sz w:val="24"/>
                <w:szCs w:val="24"/>
              </w:rPr>
              <w:t>pioniere</w:t>
            </w:r>
            <w:r w:rsidRPr="00C56257">
              <w:rPr>
                <w:color w:val="000000" w:themeColor="text1"/>
                <w:spacing w:val="-2"/>
                <w:sz w:val="24"/>
                <w:szCs w:val="24"/>
              </w:rPr>
              <w:t xml:space="preserve"> </w:t>
            </w:r>
            <w:r w:rsidRPr="00C56257">
              <w:rPr>
                <w:color w:val="000000" w:themeColor="text1"/>
                <w:sz w:val="24"/>
                <w:szCs w:val="24"/>
              </w:rPr>
              <w:t>din</w:t>
            </w:r>
            <w:r w:rsidRPr="00C56257">
              <w:rPr>
                <w:color w:val="000000" w:themeColor="text1"/>
                <w:spacing w:val="-2"/>
                <w:sz w:val="24"/>
                <w:szCs w:val="24"/>
              </w:rPr>
              <w:t xml:space="preserve"> </w:t>
            </w:r>
            <w:r w:rsidRPr="00C56257">
              <w:rPr>
                <w:color w:val="000000" w:themeColor="text1"/>
                <w:sz w:val="24"/>
                <w:szCs w:val="24"/>
              </w:rPr>
              <w:t>Sedo-Scleranthion</w:t>
            </w:r>
            <w:r w:rsidRPr="00C56257">
              <w:rPr>
                <w:color w:val="000000" w:themeColor="text1"/>
                <w:spacing w:val="-2"/>
                <w:sz w:val="24"/>
                <w:szCs w:val="24"/>
              </w:rPr>
              <w:t xml:space="preserve"> </w:t>
            </w:r>
            <w:r w:rsidRPr="00C56257">
              <w:rPr>
                <w:color w:val="000000" w:themeColor="text1"/>
                <w:sz w:val="24"/>
                <w:szCs w:val="24"/>
              </w:rPr>
              <w:t>sau</w:t>
            </w:r>
            <w:r w:rsidRPr="00C56257">
              <w:rPr>
                <w:color w:val="000000" w:themeColor="text1"/>
                <w:spacing w:val="-4"/>
                <w:sz w:val="24"/>
                <w:szCs w:val="24"/>
              </w:rPr>
              <w:t xml:space="preserve"> </w:t>
            </w:r>
            <w:r w:rsidRPr="00C56257">
              <w:rPr>
                <w:color w:val="000000" w:themeColor="text1"/>
                <w:sz w:val="24"/>
                <w:szCs w:val="24"/>
              </w:rPr>
              <w:t>Sedo</w:t>
            </w:r>
          </w:p>
          <w:p w14:paraId="61389367" w14:textId="77777777" w:rsidR="007702CD" w:rsidRPr="00C56257" w:rsidRDefault="007702CD" w:rsidP="008E33FD">
            <w:pPr>
              <w:pStyle w:val="TableParagraph"/>
              <w:spacing w:before="1" w:line="238" w:lineRule="exact"/>
              <w:ind w:left="165"/>
              <w:jc w:val="both"/>
              <w:rPr>
                <w:color w:val="000000" w:themeColor="text1"/>
                <w:sz w:val="24"/>
                <w:szCs w:val="24"/>
              </w:rPr>
            </w:pPr>
            <w:r w:rsidRPr="00C56257">
              <w:rPr>
                <w:color w:val="000000" w:themeColor="text1"/>
                <w:sz w:val="24"/>
                <w:szCs w:val="24"/>
              </w:rPr>
              <w:t>albi-Veronicion</w:t>
            </w:r>
            <w:r w:rsidRPr="00C56257">
              <w:rPr>
                <w:color w:val="000000" w:themeColor="text1"/>
                <w:spacing w:val="-3"/>
                <w:sz w:val="24"/>
                <w:szCs w:val="24"/>
              </w:rPr>
              <w:t xml:space="preserve"> </w:t>
            </w:r>
            <w:r w:rsidRPr="00C56257">
              <w:rPr>
                <w:color w:val="000000" w:themeColor="text1"/>
                <w:sz w:val="24"/>
                <w:szCs w:val="24"/>
              </w:rPr>
              <w:t>dillenii</w:t>
            </w:r>
            <w:r w:rsidRPr="00C56257">
              <w:rPr>
                <w:color w:val="000000" w:themeColor="text1"/>
                <w:spacing w:val="-1"/>
                <w:sz w:val="24"/>
                <w:szCs w:val="24"/>
              </w:rPr>
              <w:t xml:space="preserve"> </w:t>
            </w:r>
            <w:r w:rsidRPr="00C56257">
              <w:rPr>
                <w:color w:val="000000" w:themeColor="text1"/>
                <w:sz w:val="24"/>
                <w:szCs w:val="24"/>
              </w:rPr>
              <w:t>pe</w:t>
            </w:r>
            <w:r w:rsidRPr="00C56257">
              <w:rPr>
                <w:color w:val="000000" w:themeColor="text1"/>
                <w:spacing w:val="-4"/>
                <w:sz w:val="24"/>
                <w:szCs w:val="24"/>
              </w:rPr>
              <w:t xml:space="preserve"> </w:t>
            </w:r>
            <w:r w:rsidRPr="00C56257">
              <w:rPr>
                <w:color w:val="000000" w:themeColor="text1"/>
                <w:sz w:val="24"/>
                <w:szCs w:val="24"/>
              </w:rPr>
              <w:t>stâncării</w:t>
            </w:r>
            <w:r w:rsidRPr="00C56257">
              <w:rPr>
                <w:color w:val="000000" w:themeColor="text1"/>
                <w:spacing w:val="-5"/>
                <w:sz w:val="24"/>
                <w:szCs w:val="24"/>
              </w:rPr>
              <w:t xml:space="preserve"> </w:t>
            </w:r>
            <w:r w:rsidRPr="00C56257">
              <w:rPr>
                <w:color w:val="000000" w:themeColor="text1"/>
                <w:sz w:val="24"/>
                <w:szCs w:val="24"/>
              </w:rPr>
              <w:t>silicioase</w:t>
            </w:r>
          </w:p>
        </w:tc>
        <w:tc>
          <w:tcPr>
            <w:tcW w:w="708" w:type="dxa"/>
          </w:tcPr>
          <w:p w14:paraId="527BB3DA" w14:textId="77777777" w:rsidR="007702CD" w:rsidRPr="00C56257" w:rsidRDefault="007702CD" w:rsidP="008E33FD">
            <w:pPr>
              <w:pStyle w:val="TableParagraph"/>
              <w:jc w:val="both"/>
              <w:rPr>
                <w:color w:val="000000" w:themeColor="text1"/>
                <w:sz w:val="24"/>
                <w:szCs w:val="24"/>
              </w:rPr>
            </w:pPr>
          </w:p>
        </w:tc>
        <w:tc>
          <w:tcPr>
            <w:tcW w:w="709" w:type="dxa"/>
            <w:shd w:val="clear" w:color="auto" w:fill="D9D9D9"/>
          </w:tcPr>
          <w:p w14:paraId="6EAF9F70" w14:textId="77777777" w:rsidR="007702CD" w:rsidRPr="00C56257" w:rsidRDefault="007702CD" w:rsidP="008E33FD">
            <w:pPr>
              <w:pStyle w:val="TableParagraph"/>
              <w:spacing w:before="125"/>
              <w:ind w:left="14"/>
              <w:jc w:val="both"/>
              <w:rPr>
                <w:b/>
                <w:color w:val="000000" w:themeColor="text1"/>
                <w:sz w:val="24"/>
                <w:szCs w:val="24"/>
              </w:rPr>
            </w:pPr>
            <w:r w:rsidRPr="00C56257">
              <w:rPr>
                <w:b/>
                <w:color w:val="000000" w:themeColor="text1"/>
                <w:sz w:val="24"/>
                <w:szCs w:val="24"/>
              </w:rPr>
              <w:t>√</w:t>
            </w:r>
          </w:p>
        </w:tc>
        <w:tc>
          <w:tcPr>
            <w:tcW w:w="711" w:type="dxa"/>
            <w:shd w:val="clear" w:color="auto" w:fill="D9D9D9"/>
          </w:tcPr>
          <w:p w14:paraId="62848572" w14:textId="77777777" w:rsidR="007702CD" w:rsidRPr="00C56257" w:rsidRDefault="007702CD" w:rsidP="008E33FD">
            <w:pPr>
              <w:pStyle w:val="TableParagraph"/>
              <w:spacing w:before="125"/>
              <w:ind w:left="14"/>
              <w:jc w:val="both"/>
              <w:rPr>
                <w:b/>
                <w:color w:val="000000" w:themeColor="text1"/>
                <w:sz w:val="24"/>
                <w:szCs w:val="24"/>
              </w:rPr>
            </w:pPr>
            <w:r w:rsidRPr="00C56257">
              <w:rPr>
                <w:b/>
                <w:color w:val="000000" w:themeColor="text1"/>
                <w:sz w:val="24"/>
                <w:szCs w:val="24"/>
              </w:rPr>
              <w:t>√</w:t>
            </w:r>
          </w:p>
        </w:tc>
        <w:tc>
          <w:tcPr>
            <w:tcW w:w="766" w:type="dxa"/>
          </w:tcPr>
          <w:p w14:paraId="110046B3" w14:textId="77777777" w:rsidR="007702CD" w:rsidRPr="00C56257" w:rsidRDefault="007702CD" w:rsidP="008E33FD">
            <w:pPr>
              <w:pStyle w:val="TableParagraph"/>
              <w:jc w:val="both"/>
              <w:rPr>
                <w:color w:val="000000" w:themeColor="text1"/>
                <w:sz w:val="24"/>
                <w:szCs w:val="24"/>
              </w:rPr>
            </w:pPr>
          </w:p>
        </w:tc>
        <w:tc>
          <w:tcPr>
            <w:tcW w:w="745" w:type="dxa"/>
          </w:tcPr>
          <w:p w14:paraId="52A5042A" w14:textId="77777777" w:rsidR="007702CD" w:rsidRPr="00C56257" w:rsidRDefault="007702CD" w:rsidP="008E33FD">
            <w:pPr>
              <w:pStyle w:val="TableParagraph"/>
              <w:jc w:val="both"/>
              <w:rPr>
                <w:color w:val="000000" w:themeColor="text1"/>
                <w:sz w:val="24"/>
                <w:szCs w:val="24"/>
              </w:rPr>
            </w:pPr>
          </w:p>
        </w:tc>
      </w:tr>
    </w:tbl>
    <w:p w14:paraId="7A97364E" w14:textId="77777777" w:rsidR="007702CD" w:rsidRPr="00C56257" w:rsidRDefault="007702CD" w:rsidP="008E33FD">
      <w:pPr>
        <w:pStyle w:val="BodyText"/>
        <w:jc w:val="both"/>
        <w:rPr>
          <w:color w:val="000000" w:themeColor="text1"/>
          <w:sz w:val="24"/>
          <w:szCs w:val="24"/>
        </w:rPr>
      </w:pPr>
    </w:p>
    <w:p w14:paraId="160B4480" w14:textId="77777777" w:rsidR="007702CD" w:rsidRPr="00C56257" w:rsidRDefault="007702CD" w:rsidP="008E33FD">
      <w:pPr>
        <w:pStyle w:val="BodyText"/>
        <w:spacing w:before="223"/>
        <w:ind w:left="293"/>
        <w:jc w:val="both"/>
        <w:rPr>
          <w:color w:val="000000" w:themeColor="text1"/>
          <w:sz w:val="24"/>
          <w:szCs w:val="24"/>
          <w:lang w:val="fr-FR"/>
        </w:rPr>
      </w:pP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tabelul</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r w:rsidRPr="00C56257">
        <w:rPr>
          <w:color w:val="000000" w:themeColor="text1"/>
          <w:sz w:val="24"/>
          <w:szCs w:val="24"/>
          <w:lang w:val="fr-FR"/>
        </w:rPr>
        <w:t xml:space="preserve">mai </w:t>
      </w:r>
      <w:proofErr w:type="spellStart"/>
      <w:r w:rsidRPr="00C56257">
        <w:rPr>
          <w:color w:val="000000" w:themeColor="text1"/>
          <w:sz w:val="24"/>
          <w:szCs w:val="24"/>
          <w:lang w:val="fr-FR"/>
        </w:rPr>
        <w:t>jos</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 xml:space="preserve">redate </w:t>
      </w:r>
      <w:proofErr w:type="spellStart"/>
      <w:r w:rsidRPr="00C56257">
        <w:rPr>
          <w:color w:val="000000" w:themeColor="text1"/>
          <w:sz w:val="24"/>
          <w:szCs w:val="24"/>
          <w:lang w:val="fr-FR"/>
        </w:rPr>
        <w:t>perioadele</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optime</w:t>
      </w:r>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culegere</w:t>
      </w:r>
      <w:proofErr w:type="spellEnd"/>
      <w:r w:rsidRPr="00C56257">
        <w:rPr>
          <w:color w:val="000000" w:themeColor="text1"/>
          <w:spacing w:val="-3"/>
          <w:sz w:val="24"/>
          <w:szCs w:val="24"/>
          <w:lang w:val="fr-FR"/>
        </w:rPr>
        <w:t xml:space="preserve"> </w:t>
      </w:r>
      <w:r w:rsidRPr="00C56257">
        <w:rPr>
          <w:color w:val="000000" w:themeColor="text1"/>
          <w:sz w:val="24"/>
          <w:szCs w:val="24"/>
          <w:lang w:val="fr-FR"/>
        </w:rPr>
        <w:t>a</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datelor</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în</w:t>
      </w:r>
      <w:proofErr w:type="spellEnd"/>
      <w:r w:rsidRPr="00C56257">
        <w:rPr>
          <w:color w:val="000000" w:themeColor="text1"/>
          <w:spacing w:val="2"/>
          <w:sz w:val="24"/>
          <w:szCs w:val="24"/>
          <w:lang w:val="fr-FR"/>
        </w:rPr>
        <w:t xml:space="preserve"> </w:t>
      </w:r>
      <w:proofErr w:type="spellStart"/>
      <w:r w:rsidRPr="00C56257">
        <w:rPr>
          <w:color w:val="000000" w:themeColor="text1"/>
          <w:sz w:val="24"/>
          <w:szCs w:val="24"/>
          <w:lang w:val="fr-FR"/>
        </w:rPr>
        <w:t>cadrul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habitatelor</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țintă</w:t>
      </w:r>
      <w:proofErr w:type="spellEnd"/>
    </w:p>
    <w:p w14:paraId="494FA736" w14:textId="77777777" w:rsidR="007702CD" w:rsidRPr="00C56257" w:rsidRDefault="007702CD" w:rsidP="008E33FD">
      <w:pPr>
        <w:pStyle w:val="BodyText"/>
        <w:spacing w:before="8" w:after="1"/>
        <w:jc w:val="both"/>
        <w:rPr>
          <w:color w:val="000000" w:themeColor="text1"/>
          <w:sz w:val="24"/>
          <w:szCs w:val="24"/>
          <w:lang w:val="fr-FR"/>
        </w:rPr>
      </w:pPr>
    </w:p>
    <w:tbl>
      <w:tblPr>
        <w:tblW w:w="0" w:type="auto"/>
        <w:tblInd w:w="5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51"/>
        <w:gridCol w:w="2657"/>
        <w:gridCol w:w="2050"/>
        <w:gridCol w:w="2280"/>
      </w:tblGrid>
      <w:tr w:rsidR="007702CD" w:rsidRPr="00C56257" w14:paraId="23F998F0" w14:textId="77777777" w:rsidTr="00102A1A">
        <w:trPr>
          <w:trHeight w:val="251"/>
        </w:trPr>
        <w:tc>
          <w:tcPr>
            <w:tcW w:w="2151" w:type="dxa"/>
          </w:tcPr>
          <w:p w14:paraId="0FCE8BC0" w14:textId="77777777" w:rsidR="007702CD" w:rsidRPr="00C56257" w:rsidRDefault="007702CD" w:rsidP="008E33FD">
            <w:pPr>
              <w:pStyle w:val="TableParagraph"/>
              <w:spacing w:line="232" w:lineRule="exact"/>
              <w:ind w:left="546"/>
              <w:jc w:val="both"/>
              <w:rPr>
                <w:b/>
                <w:color w:val="000000" w:themeColor="text1"/>
                <w:sz w:val="24"/>
                <w:szCs w:val="24"/>
              </w:rPr>
            </w:pPr>
            <w:r w:rsidRPr="00C56257">
              <w:rPr>
                <w:b/>
                <w:color w:val="000000" w:themeColor="text1"/>
                <w:sz w:val="24"/>
                <w:szCs w:val="24"/>
              </w:rPr>
              <w:t>Tip</w:t>
            </w:r>
            <w:r w:rsidRPr="00C56257">
              <w:rPr>
                <w:b/>
                <w:color w:val="000000" w:themeColor="text1"/>
                <w:spacing w:val="-1"/>
                <w:sz w:val="24"/>
                <w:szCs w:val="24"/>
              </w:rPr>
              <w:t xml:space="preserve"> </w:t>
            </w:r>
            <w:r w:rsidRPr="00C56257">
              <w:rPr>
                <w:b/>
                <w:color w:val="000000" w:themeColor="text1"/>
                <w:sz w:val="24"/>
                <w:szCs w:val="24"/>
              </w:rPr>
              <w:t>habitat</w:t>
            </w:r>
          </w:p>
        </w:tc>
        <w:tc>
          <w:tcPr>
            <w:tcW w:w="2657" w:type="dxa"/>
          </w:tcPr>
          <w:p w14:paraId="01D40305" w14:textId="77777777" w:rsidR="007702CD" w:rsidRPr="00C56257" w:rsidRDefault="007702CD" w:rsidP="008E33FD">
            <w:pPr>
              <w:pStyle w:val="TableParagraph"/>
              <w:spacing w:line="232" w:lineRule="exact"/>
              <w:ind w:left="431"/>
              <w:jc w:val="both"/>
              <w:rPr>
                <w:b/>
                <w:color w:val="000000" w:themeColor="text1"/>
                <w:sz w:val="24"/>
                <w:szCs w:val="24"/>
              </w:rPr>
            </w:pPr>
            <w:r w:rsidRPr="00C56257">
              <w:rPr>
                <w:b/>
                <w:color w:val="000000" w:themeColor="text1"/>
                <w:sz w:val="24"/>
                <w:szCs w:val="24"/>
              </w:rPr>
              <w:t>Tipul</w:t>
            </w:r>
            <w:r w:rsidRPr="00C56257">
              <w:rPr>
                <w:b/>
                <w:color w:val="000000" w:themeColor="text1"/>
                <w:spacing w:val="-1"/>
                <w:sz w:val="24"/>
                <w:szCs w:val="24"/>
              </w:rPr>
              <w:t xml:space="preserve"> </w:t>
            </w:r>
            <w:r w:rsidRPr="00C56257">
              <w:rPr>
                <w:b/>
                <w:color w:val="000000" w:themeColor="text1"/>
                <w:sz w:val="24"/>
                <w:szCs w:val="24"/>
              </w:rPr>
              <w:t>de</w:t>
            </w:r>
            <w:r w:rsidRPr="00C56257">
              <w:rPr>
                <w:b/>
                <w:color w:val="000000" w:themeColor="text1"/>
                <w:spacing w:val="-4"/>
                <w:sz w:val="24"/>
                <w:szCs w:val="24"/>
              </w:rPr>
              <w:t xml:space="preserve"> </w:t>
            </w:r>
            <w:r w:rsidRPr="00C56257">
              <w:rPr>
                <w:b/>
                <w:color w:val="000000" w:themeColor="text1"/>
                <w:sz w:val="24"/>
                <w:szCs w:val="24"/>
              </w:rPr>
              <w:t>fitocenoză</w:t>
            </w:r>
          </w:p>
        </w:tc>
        <w:tc>
          <w:tcPr>
            <w:tcW w:w="2050" w:type="dxa"/>
          </w:tcPr>
          <w:p w14:paraId="3D84881F" w14:textId="77777777" w:rsidR="007702CD" w:rsidRPr="00C56257" w:rsidRDefault="007702CD" w:rsidP="008E33FD">
            <w:pPr>
              <w:pStyle w:val="TableParagraph"/>
              <w:spacing w:line="232" w:lineRule="exact"/>
              <w:ind w:left="169" w:right="162"/>
              <w:jc w:val="both"/>
              <w:rPr>
                <w:b/>
                <w:color w:val="000000" w:themeColor="text1"/>
                <w:sz w:val="24"/>
                <w:szCs w:val="24"/>
              </w:rPr>
            </w:pPr>
            <w:r w:rsidRPr="00C56257">
              <w:rPr>
                <w:b/>
                <w:color w:val="000000" w:themeColor="text1"/>
                <w:sz w:val="24"/>
                <w:szCs w:val="24"/>
              </w:rPr>
              <w:t>Aspectul</w:t>
            </w:r>
            <w:r w:rsidRPr="00C56257">
              <w:rPr>
                <w:b/>
                <w:color w:val="000000" w:themeColor="text1"/>
                <w:spacing w:val="-1"/>
                <w:sz w:val="24"/>
                <w:szCs w:val="24"/>
              </w:rPr>
              <w:t xml:space="preserve"> </w:t>
            </w:r>
            <w:r w:rsidRPr="00C56257">
              <w:rPr>
                <w:b/>
                <w:color w:val="000000" w:themeColor="text1"/>
                <w:sz w:val="24"/>
                <w:szCs w:val="24"/>
              </w:rPr>
              <w:t>surprins</w:t>
            </w:r>
          </w:p>
        </w:tc>
        <w:tc>
          <w:tcPr>
            <w:tcW w:w="2280" w:type="dxa"/>
          </w:tcPr>
          <w:p w14:paraId="2066D4AC" w14:textId="77777777" w:rsidR="007702CD" w:rsidRPr="00C56257" w:rsidRDefault="007702CD" w:rsidP="008E33FD">
            <w:pPr>
              <w:pStyle w:val="TableParagraph"/>
              <w:spacing w:line="232" w:lineRule="exact"/>
              <w:ind w:left="343" w:right="329"/>
              <w:jc w:val="both"/>
              <w:rPr>
                <w:b/>
                <w:color w:val="000000" w:themeColor="text1"/>
                <w:sz w:val="24"/>
                <w:szCs w:val="24"/>
              </w:rPr>
            </w:pPr>
            <w:r w:rsidRPr="00C56257">
              <w:rPr>
                <w:b/>
                <w:color w:val="000000" w:themeColor="text1"/>
                <w:sz w:val="24"/>
                <w:szCs w:val="24"/>
              </w:rPr>
              <w:t>Perioada</w:t>
            </w:r>
            <w:r w:rsidRPr="00C56257">
              <w:rPr>
                <w:b/>
                <w:color w:val="000000" w:themeColor="text1"/>
                <w:spacing w:val="-1"/>
                <w:sz w:val="24"/>
                <w:szCs w:val="24"/>
              </w:rPr>
              <w:t xml:space="preserve"> </w:t>
            </w:r>
            <w:r w:rsidRPr="00C56257">
              <w:rPr>
                <w:b/>
                <w:color w:val="000000" w:themeColor="text1"/>
                <w:sz w:val="24"/>
                <w:szCs w:val="24"/>
              </w:rPr>
              <w:t>optimă</w:t>
            </w:r>
          </w:p>
        </w:tc>
      </w:tr>
      <w:tr w:rsidR="007702CD" w:rsidRPr="00C56257" w14:paraId="46D85024" w14:textId="77777777" w:rsidTr="00102A1A">
        <w:trPr>
          <w:trHeight w:val="253"/>
        </w:trPr>
        <w:tc>
          <w:tcPr>
            <w:tcW w:w="2151" w:type="dxa"/>
            <w:vMerge w:val="restart"/>
          </w:tcPr>
          <w:p w14:paraId="396CE97C" w14:textId="77777777" w:rsidR="007702CD" w:rsidRPr="00C56257" w:rsidRDefault="007702CD" w:rsidP="008E33FD">
            <w:pPr>
              <w:pStyle w:val="TableParagraph"/>
              <w:spacing w:before="3" w:line="252" w:lineRule="exact"/>
              <w:ind w:left="141" w:right="130"/>
              <w:jc w:val="both"/>
              <w:rPr>
                <w:b/>
                <w:color w:val="000000" w:themeColor="text1"/>
                <w:sz w:val="24"/>
                <w:szCs w:val="24"/>
              </w:rPr>
            </w:pPr>
            <w:r w:rsidRPr="00C56257">
              <w:rPr>
                <w:b/>
                <w:color w:val="000000" w:themeColor="text1"/>
                <w:sz w:val="24"/>
                <w:szCs w:val="24"/>
              </w:rPr>
              <w:t>HABITATE DE</w:t>
            </w:r>
            <w:r w:rsidRPr="00C56257">
              <w:rPr>
                <w:b/>
                <w:color w:val="000000" w:themeColor="text1"/>
                <w:spacing w:val="1"/>
                <w:sz w:val="24"/>
                <w:szCs w:val="24"/>
              </w:rPr>
              <w:t xml:space="preserve"> </w:t>
            </w:r>
            <w:r w:rsidRPr="00C56257">
              <w:rPr>
                <w:b/>
                <w:color w:val="000000" w:themeColor="text1"/>
                <w:sz w:val="24"/>
                <w:szCs w:val="24"/>
              </w:rPr>
              <w:t>GROHOTIȘURI ȘI</w:t>
            </w:r>
            <w:r w:rsidRPr="00C56257">
              <w:rPr>
                <w:b/>
                <w:color w:val="000000" w:themeColor="text1"/>
                <w:spacing w:val="-52"/>
                <w:sz w:val="24"/>
                <w:szCs w:val="24"/>
              </w:rPr>
              <w:t xml:space="preserve"> </w:t>
            </w:r>
            <w:r w:rsidRPr="00C56257">
              <w:rPr>
                <w:b/>
                <w:color w:val="000000" w:themeColor="text1"/>
                <w:sz w:val="24"/>
                <w:szCs w:val="24"/>
              </w:rPr>
              <w:t>STÂNCĂRII</w:t>
            </w:r>
          </w:p>
        </w:tc>
        <w:tc>
          <w:tcPr>
            <w:tcW w:w="2657" w:type="dxa"/>
            <w:vMerge w:val="restart"/>
          </w:tcPr>
          <w:p w14:paraId="2245F9AA" w14:textId="77777777" w:rsidR="007702CD" w:rsidRPr="00C56257" w:rsidRDefault="007702CD" w:rsidP="008E33FD">
            <w:pPr>
              <w:pStyle w:val="TableParagraph"/>
              <w:tabs>
                <w:tab w:val="left" w:pos="984"/>
              </w:tabs>
              <w:spacing w:before="130"/>
              <w:ind w:left="110" w:right="683"/>
              <w:jc w:val="both"/>
              <w:rPr>
                <w:color w:val="000000" w:themeColor="text1"/>
                <w:sz w:val="24"/>
                <w:szCs w:val="24"/>
              </w:rPr>
            </w:pPr>
            <w:r w:rsidRPr="00C56257">
              <w:rPr>
                <w:color w:val="000000" w:themeColor="text1"/>
                <w:sz w:val="24"/>
                <w:szCs w:val="24"/>
              </w:rPr>
              <w:t>alpine</w:t>
            </w:r>
            <w:r w:rsidRPr="00C56257">
              <w:rPr>
                <w:color w:val="000000" w:themeColor="text1"/>
                <w:spacing w:val="1"/>
                <w:sz w:val="24"/>
                <w:szCs w:val="24"/>
              </w:rPr>
              <w:t xml:space="preserve"> </w:t>
            </w:r>
            <w:r w:rsidRPr="00C56257">
              <w:rPr>
                <w:color w:val="000000" w:themeColor="text1"/>
                <w:sz w:val="24"/>
                <w:szCs w:val="24"/>
              </w:rPr>
              <w:t>continentale</w:t>
            </w:r>
          </w:p>
        </w:tc>
        <w:tc>
          <w:tcPr>
            <w:tcW w:w="2050" w:type="dxa"/>
          </w:tcPr>
          <w:p w14:paraId="7187AA66" w14:textId="77777777" w:rsidR="007702CD" w:rsidRPr="00C56257" w:rsidRDefault="007702CD" w:rsidP="008E33FD">
            <w:pPr>
              <w:pStyle w:val="TableParagraph"/>
              <w:spacing w:line="234" w:lineRule="exact"/>
              <w:ind w:left="169" w:right="162"/>
              <w:jc w:val="both"/>
              <w:rPr>
                <w:color w:val="000000" w:themeColor="text1"/>
                <w:sz w:val="24"/>
                <w:szCs w:val="24"/>
              </w:rPr>
            </w:pPr>
            <w:r w:rsidRPr="00C56257">
              <w:rPr>
                <w:color w:val="000000" w:themeColor="text1"/>
                <w:sz w:val="24"/>
                <w:szCs w:val="24"/>
              </w:rPr>
              <w:t>Vernal</w:t>
            </w:r>
          </w:p>
        </w:tc>
        <w:tc>
          <w:tcPr>
            <w:tcW w:w="2280" w:type="dxa"/>
          </w:tcPr>
          <w:p w14:paraId="7CA0FB5E" w14:textId="77777777" w:rsidR="007702CD" w:rsidRPr="00C56257" w:rsidRDefault="007702CD" w:rsidP="008E33FD">
            <w:pPr>
              <w:pStyle w:val="TableParagraph"/>
              <w:spacing w:line="234" w:lineRule="exact"/>
              <w:ind w:left="340" w:right="329"/>
              <w:jc w:val="both"/>
              <w:rPr>
                <w:color w:val="000000" w:themeColor="text1"/>
                <w:sz w:val="24"/>
                <w:szCs w:val="24"/>
              </w:rPr>
            </w:pPr>
            <w:r w:rsidRPr="00C56257">
              <w:rPr>
                <w:color w:val="000000" w:themeColor="text1"/>
                <w:sz w:val="24"/>
                <w:szCs w:val="24"/>
              </w:rPr>
              <w:t>IV-V</w:t>
            </w:r>
          </w:p>
        </w:tc>
      </w:tr>
      <w:tr w:rsidR="007702CD" w:rsidRPr="00C56257" w14:paraId="60618F00" w14:textId="77777777" w:rsidTr="00102A1A">
        <w:trPr>
          <w:trHeight w:val="251"/>
        </w:trPr>
        <w:tc>
          <w:tcPr>
            <w:tcW w:w="2151" w:type="dxa"/>
            <w:vMerge/>
            <w:tcBorders>
              <w:top w:val="nil"/>
            </w:tcBorders>
          </w:tcPr>
          <w:p w14:paraId="73874CD1" w14:textId="77777777" w:rsidR="007702CD" w:rsidRPr="00C56257" w:rsidRDefault="007702CD" w:rsidP="008E33FD">
            <w:pPr>
              <w:jc w:val="both"/>
              <w:rPr>
                <w:color w:val="000000" w:themeColor="text1"/>
              </w:rPr>
            </w:pPr>
          </w:p>
        </w:tc>
        <w:tc>
          <w:tcPr>
            <w:tcW w:w="2657" w:type="dxa"/>
            <w:vMerge/>
            <w:tcBorders>
              <w:top w:val="nil"/>
            </w:tcBorders>
          </w:tcPr>
          <w:p w14:paraId="289AE2AA" w14:textId="77777777" w:rsidR="007702CD" w:rsidRPr="00C56257" w:rsidRDefault="007702CD" w:rsidP="008E33FD">
            <w:pPr>
              <w:jc w:val="both"/>
              <w:rPr>
                <w:color w:val="000000" w:themeColor="text1"/>
              </w:rPr>
            </w:pPr>
          </w:p>
        </w:tc>
        <w:tc>
          <w:tcPr>
            <w:tcW w:w="2050" w:type="dxa"/>
          </w:tcPr>
          <w:p w14:paraId="58F66D98" w14:textId="77777777" w:rsidR="007702CD" w:rsidRPr="00C56257" w:rsidRDefault="007702CD" w:rsidP="008E33FD">
            <w:pPr>
              <w:pStyle w:val="TableParagraph"/>
              <w:spacing w:line="232" w:lineRule="exact"/>
              <w:ind w:left="169" w:right="162"/>
              <w:jc w:val="both"/>
              <w:rPr>
                <w:color w:val="000000" w:themeColor="text1"/>
                <w:sz w:val="24"/>
                <w:szCs w:val="24"/>
              </w:rPr>
            </w:pPr>
            <w:r w:rsidRPr="00C56257">
              <w:rPr>
                <w:color w:val="000000" w:themeColor="text1"/>
                <w:sz w:val="24"/>
                <w:szCs w:val="24"/>
              </w:rPr>
              <w:t>Estival</w:t>
            </w:r>
          </w:p>
        </w:tc>
        <w:tc>
          <w:tcPr>
            <w:tcW w:w="2280" w:type="dxa"/>
          </w:tcPr>
          <w:p w14:paraId="00D75842" w14:textId="77777777" w:rsidR="007702CD" w:rsidRPr="00C56257" w:rsidRDefault="007702CD" w:rsidP="008E33FD">
            <w:pPr>
              <w:pStyle w:val="TableParagraph"/>
              <w:spacing w:line="232" w:lineRule="exact"/>
              <w:ind w:left="340" w:right="329"/>
              <w:jc w:val="both"/>
              <w:rPr>
                <w:color w:val="000000" w:themeColor="text1"/>
                <w:sz w:val="24"/>
                <w:szCs w:val="24"/>
              </w:rPr>
            </w:pPr>
            <w:r w:rsidRPr="00C56257">
              <w:rPr>
                <w:color w:val="000000" w:themeColor="text1"/>
                <w:sz w:val="24"/>
                <w:szCs w:val="24"/>
              </w:rPr>
              <w:t>VI-VIII</w:t>
            </w:r>
          </w:p>
        </w:tc>
      </w:tr>
      <w:tr w:rsidR="007702CD" w:rsidRPr="00C56257" w14:paraId="781550FA" w14:textId="77777777" w:rsidTr="00102A1A">
        <w:trPr>
          <w:trHeight w:val="253"/>
        </w:trPr>
        <w:tc>
          <w:tcPr>
            <w:tcW w:w="2151" w:type="dxa"/>
            <w:vMerge/>
            <w:tcBorders>
              <w:top w:val="nil"/>
            </w:tcBorders>
          </w:tcPr>
          <w:p w14:paraId="19B7E798" w14:textId="77777777" w:rsidR="007702CD" w:rsidRPr="00C56257" w:rsidRDefault="007702CD" w:rsidP="008E33FD">
            <w:pPr>
              <w:jc w:val="both"/>
              <w:rPr>
                <w:color w:val="000000" w:themeColor="text1"/>
              </w:rPr>
            </w:pPr>
          </w:p>
        </w:tc>
        <w:tc>
          <w:tcPr>
            <w:tcW w:w="2657" w:type="dxa"/>
            <w:vMerge/>
            <w:tcBorders>
              <w:top w:val="nil"/>
            </w:tcBorders>
          </w:tcPr>
          <w:p w14:paraId="3F3C6313" w14:textId="77777777" w:rsidR="007702CD" w:rsidRPr="00C56257" w:rsidRDefault="007702CD" w:rsidP="008E33FD">
            <w:pPr>
              <w:jc w:val="both"/>
              <w:rPr>
                <w:color w:val="000000" w:themeColor="text1"/>
              </w:rPr>
            </w:pPr>
          </w:p>
        </w:tc>
        <w:tc>
          <w:tcPr>
            <w:tcW w:w="2050" w:type="dxa"/>
          </w:tcPr>
          <w:p w14:paraId="0AB193DE" w14:textId="77777777" w:rsidR="007702CD" w:rsidRPr="00C56257" w:rsidRDefault="007702CD" w:rsidP="008E33FD">
            <w:pPr>
              <w:pStyle w:val="TableParagraph"/>
              <w:spacing w:line="234" w:lineRule="exact"/>
              <w:ind w:left="167" w:right="162"/>
              <w:jc w:val="both"/>
              <w:rPr>
                <w:color w:val="000000" w:themeColor="text1"/>
                <w:sz w:val="24"/>
                <w:szCs w:val="24"/>
              </w:rPr>
            </w:pPr>
            <w:r w:rsidRPr="00C56257">
              <w:rPr>
                <w:color w:val="000000" w:themeColor="text1"/>
                <w:sz w:val="24"/>
                <w:szCs w:val="24"/>
              </w:rPr>
              <w:t>Autumnal</w:t>
            </w:r>
          </w:p>
        </w:tc>
        <w:tc>
          <w:tcPr>
            <w:tcW w:w="2280" w:type="dxa"/>
          </w:tcPr>
          <w:p w14:paraId="59825575" w14:textId="77777777" w:rsidR="007702CD" w:rsidRPr="00C56257" w:rsidRDefault="007702CD" w:rsidP="008E33FD">
            <w:pPr>
              <w:pStyle w:val="TableParagraph"/>
              <w:spacing w:line="234" w:lineRule="exact"/>
              <w:ind w:left="340" w:right="329"/>
              <w:jc w:val="both"/>
              <w:rPr>
                <w:color w:val="000000" w:themeColor="text1"/>
                <w:sz w:val="24"/>
                <w:szCs w:val="24"/>
              </w:rPr>
            </w:pPr>
            <w:r w:rsidRPr="00C56257">
              <w:rPr>
                <w:color w:val="000000" w:themeColor="text1"/>
                <w:sz w:val="24"/>
                <w:szCs w:val="24"/>
              </w:rPr>
              <w:t>IX-X</w:t>
            </w:r>
          </w:p>
        </w:tc>
      </w:tr>
    </w:tbl>
    <w:p w14:paraId="64D0811A" w14:textId="77777777" w:rsidR="007702CD" w:rsidRPr="00C56257" w:rsidRDefault="007702CD" w:rsidP="008E33FD">
      <w:pPr>
        <w:pStyle w:val="BodyText"/>
        <w:spacing w:before="10"/>
        <w:jc w:val="both"/>
        <w:rPr>
          <w:color w:val="000000" w:themeColor="text1"/>
          <w:sz w:val="24"/>
          <w:szCs w:val="24"/>
        </w:rPr>
      </w:pPr>
    </w:p>
    <w:p w14:paraId="2DF5AD12" w14:textId="77777777" w:rsidR="007702CD" w:rsidRPr="00C56257" w:rsidRDefault="007702CD" w:rsidP="008E33FD">
      <w:pPr>
        <w:pStyle w:val="Heading2"/>
        <w:widowControl w:val="0"/>
        <w:tabs>
          <w:tab w:val="left" w:pos="1115"/>
        </w:tabs>
        <w:autoSpaceDE w:val="0"/>
        <w:autoSpaceDN w:val="0"/>
        <w:spacing w:before="1" w:beforeAutospacing="0" w:after="0" w:afterAutospacing="0"/>
        <w:jc w:val="both"/>
        <w:rPr>
          <w:color w:val="000000" w:themeColor="text1"/>
          <w:sz w:val="24"/>
          <w:szCs w:val="24"/>
        </w:rPr>
      </w:pPr>
      <w:proofErr w:type="spellStart"/>
      <w:r w:rsidRPr="00C56257">
        <w:rPr>
          <w:color w:val="000000" w:themeColor="text1"/>
          <w:sz w:val="24"/>
          <w:szCs w:val="24"/>
        </w:rPr>
        <w:t>Utilizarea</w:t>
      </w:r>
      <w:proofErr w:type="spellEnd"/>
      <w:r w:rsidRPr="00C56257">
        <w:rPr>
          <w:color w:val="000000" w:themeColor="text1"/>
          <w:spacing w:val="-6"/>
          <w:sz w:val="24"/>
          <w:szCs w:val="24"/>
        </w:rPr>
        <w:t xml:space="preserve"> </w:t>
      </w:r>
      <w:proofErr w:type="spellStart"/>
      <w:r w:rsidRPr="00C56257">
        <w:rPr>
          <w:color w:val="000000" w:themeColor="text1"/>
          <w:sz w:val="24"/>
          <w:szCs w:val="24"/>
        </w:rPr>
        <w:t>hărților</w:t>
      </w:r>
      <w:proofErr w:type="spellEnd"/>
    </w:p>
    <w:p w14:paraId="44FD5139" w14:textId="77777777" w:rsidR="007702CD" w:rsidRPr="00C56257" w:rsidRDefault="007702CD" w:rsidP="004E6BFA">
      <w:pPr>
        <w:pStyle w:val="BodyText"/>
        <w:spacing w:before="155"/>
        <w:ind w:left="0" w:right="254"/>
        <w:jc w:val="both"/>
        <w:rPr>
          <w:color w:val="000000" w:themeColor="text1"/>
          <w:sz w:val="24"/>
          <w:szCs w:val="24"/>
        </w:rPr>
      </w:pPr>
      <w:proofErr w:type="spellStart"/>
      <w:r w:rsidRPr="00C56257">
        <w:rPr>
          <w:color w:val="000000" w:themeColor="text1"/>
          <w:sz w:val="24"/>
          <w:szCs w:val="24"/>
        </w:rPr>
        <w:t>Obiectivele</w:t>
      </w:r>
      <w:proofErr w:type="spellEnd"/>
      <w:r w:rsidRPr="00C56257">
        <w:rPr>
          <w:color w:val="000000" w:themeColor="text1"/>
          <w:sz w:val="24"/>
          <w:szCs w:val="24"/>
        </w:rPr>
        <w:t xml:space="preserve"> </w:t>
      </w:r>
      <w:proofErr w:type="spellStart"/>
      <w:r w:rsidRPr="00C56257">
        <w:rPr>
          <w:color w:val="000000" w:themeColor="text1"/>
          <w:sz w:val="24"/>
          <w:szCs w:val="24"/>
        </w:rPr>
        <w:t>specifice</w:t>
      </w:r>
      <w:proofErr w:type="spellEnd"/>
      <w:r w:rsidRPr="00C56257">
        <w:rPr>
          <w:color w:val="000000" w:themeColor="text1"/>
          <w:sz w:val="24"/>
          <w:szCs w:val="24"/>
        </w:rPr>
        <w:t xml:space="preserve"> </w:t>
      </w:r>
      <w:proofErr w:type="spellStart"/>
      <w:r w:rsidRPr="00C56257">
        <w:rPr>
          <w:color w:val="000000" w:themeColor="text1"/>
          <w:sz w:val="24"/>
          <w:szCs w:val="24"/>
        </w:rPr>
        <w:t>propuse</w:t>
      </w:r>
      <w:proofErr w:type="spellEnd"/>
      <w:r w:rsidRPr="00C56257">
        <w:rPr>
          <w:color w:val="000000" w:themeColor="text1"/>
          <w:sz w:val="24"/>
          <w:szCs w:val="24"/>
        </w:rPr>
        <w:t xml:space="preserv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cadrul</w:t>
      </w:r>
      <w:proofErr w:type="spellEnd"/>
      <w:r w:rsidRPr="00C56257">
        <w:rPr>
          <w:color w:val="000000" w:themeColor="text1"/>
          <w:sz w:val="24"/>
          <w:szCs w:val="24"/>
        </w:rPr>
        <w:t xml:space="preserve"> </w:t>
      </w:r>
      <w:proofErr w:type="spellStart"/>
      <w:r w:rsidRPr="00C56257">
        <w:rPr>
          <w:color w:val="000000" w:themeColor="text1"/>
          <w:sz w:val="24"/>
          <w:szCs w:val="24"/>
        </w:rPr>
        <w:t>programului</w:t>
      </w:r>
      <w:proofErr w:type="spellEnd"/>
      <w:r w:rsidRPr="00C56257">
        <w:rPr>
          <w:color w:val="000000" w:themeColor="text1"/>
          <w:sz w:val="24"/>
          <w:szCs w:val="24"/>
        </w:rPr>
        <w:t xml:space="preserve"> de </w:t>
      </w:r>
      <w:proofErr w:type="spellStart"/>
      <w:r w:rsidRPr="00C56257">
        <w:rPr>
          <w:color w:val="000000" w:themeColor="text1"/>
          <w:sz w:val="24"/>
          <w:szCs w:val="24"/>
        </w:rPr>
        <w:t>monitorizare</w:t>
      </w:r>
      <w:proofErr w:type="spellEnd"/>
      <w:r w:rsidRPr="00C56257">
        <w:rPr>
          <w:color w:val="000000" w:themeColor="text1"/>
          <w:sz w:val="24"/>
          <w:szCs w:val="24"/>
        </w:rPr>
        <w:t xml:space="preserve"> nu pot fi </w:t>
      </w:r>
      <w:proofErr w:type="spellStart"/>
      <w:r w:rsidRPr="00C56257">
        <w:rPr>
          <w:color w:val="000000" w:themeColor="text1"/>
          <w:sz w:val="24"/>
          <w:szCs w:val="24"/>
        </w:rPr>
        <w:t>atinse</w:t>
      </w:r>
      <w:proofErr w:type="spellEnd"/>
      <w:r w:rsidRPr="00C56257">
        <w:rPr>
          <w:color w:val="000000" w:themeColor="text1"/>
          <w:sz w:val="24"/>
          <w:szCs w:val="24"/>
        </w:rPr>
        <w:t xml:space="preserve"> </w:t>
      </w:r>
      <w:proofErr w:type="spellStart"/>
      <w:r w:rsidRPr="00C56257">
        <w:rPr>
          <w:color w:val="000000" w:themeColor="text1"/>
          <w:sz w:val="24"/>
          <w:szCs w:val="24"/>
        </w:rPr>
        <w:t>fără</w:t>
      </w:r>
      <w:proofErr w:type="spellEnd"/>
      <w:r w:rsidRPr="00C56257">
        <w:rPr>
          <w:color w:val="000000" w:themeColor="text1"/>
          <w:sz w:val="24"/>
          <w:szCs w:val="24"/>
        </w:rPr>
        <w:t xml:space="preserve"> o </w:t>
      </w:r>
      <w:proofErr w:type="spellStart"/>
      <w:r w:rsidRPr="00C56257">
        <w:rPr>
          <w:color w:val="000000" w:themeColor="text1"/>
          <w:sz w:val="24"/>
          <w:szCs w:val="24"/>
        </w:rPr>
        <w:t>alegere</w:t>
      </w:r>
      <w:proofErr w:type="spellEnd"/>
      <w:r w:rsidRPr="00C56257">
        <w:rPr>
          <w:color w:val="000000" w:themeColor="text1"/>
          <w:spacing w:val="1"/>
          <w:sz w:val="24"/>
          <w:szCs w:val="24"/>
        </w:rPr>
        <w:t xml:space="preserve"> </w:t>
      </w:r>
      <w:proofErr w:type="spellStart"/>
      <w:r w:rsidRPr="00C56257">
        <w:rPr>
          <w:color w:val="000000" w:themeColor="text1"/>
          <w:sz w:val="24"/>
          <w:szCs w:val="24"/>
        </w:rPr>
        <w:lastRenderedPageBreak/>
        <w:t>riguroasă</w:t>
      </w:r>
      <w:proofErr w:type="spellEnd"/>
      <w:r w:rsidRPr="00C56257">
        <w:rPr>
          <w:color w:val="000000" w:themeColor="text1"/>
          <w:sz w:val="24"/>
          <w:szCs w:val="24"/>
        </w:rPr>
        <w:t xml:space="preserve"> a </w:t>
      </w:r>
      <w:proofErr w:type="spellStart"/>
      <w:r w:rsidRPr="00C56257">
        <w:rPr>
          <w:color w:val="000000" w:themeColor="text1"/>
          <w:sz w:val="24"/>
          <w:szCs w:val="24"/>
        </w:rPr>
        <w:t>atributelor</w:t>
      </w:r>
      <w:proofErr w:type="spellEnd"/>
      <w:r w:rsidRPr="00C56257">
        <w:rPr>
          <w:color w:val="000000" w:themeColor="text1"/>
          <w:sz w:val="24"/>
          <w:szCs w:val="24"/>
        </w:rPr>
        <w:t xml:space="preserve"> care </w:t>
      </w:r>
      <w:proofErr w:type="spellStart"/>
      <w:r w:rsidRPr="00C56257">
        <w:rPr>
          <w:color w:val="000000" w:themeColor="text1"/>
          <w:sz w:val="24"/>
          <w:szCs w:val="24"/>
        </w:rPr>
        <w:t>trebuie</w:t>
      </w:r>
      <w:proofErr w:type="spellEnd"/>
      <w:r w:rsidRPr="00C56257">
        <w:rPr>
          <w:color w:val="000000" w:themeColor="text1"/>
          <w:sz w:val="24"/>
          <w:szCs w:val="24"/>
        </w:rPr>
        <w:t xml:space="preserve"> </w:t>
      </w:r>
      <w:proofErr w:type="spellStart"/>
      <w:r w:rsidRPr="00C56257">
        <w:rPr>
          <w:color w:val="000000" w:themeColor="text1"/>
          <w:sz w:val="24"/>
          <w:szCs w:val="24"/>
        </w:rPr>
        <w:t>măsurate</w:t>
      </w:r>
      <w:proofErr w:type="spellEnd"/>
      <w:r w:rsidRPr="00C56257">
        <w:rPr>
          <w:color w:val="000000" w:themeColor="text1"/>
          <w:sz w:val="24"/>
          <w:szCs w:val="24"/>
        </w:rPr>
        <w:t xml:space="preserve">, a </w:t>
      </w:r>
      <w:proofErr w:type="spellStart"/>
      <w:r w:rsidRPr="00C56257">
        <w:rPr>
          <w:color w:val="000000" w:themeColor="text1"/>
          <w:sz w:val="24"/>
          <w:szCs w:val="24"/>
        </w:rPr>
        <w:t>tipului</w:t>
      </w:r>
      <w:proofErr w:type="spellEnd"/>
      <w:r w:rsidRPr="00C56257">
        <w:rPr>
          <w:color w:val="000000" w:themeColor="text1"/>
          <w:sz w:val="24"/>
          <w:szCs w:val="24"/>
        </w:rPr>
        <w:t xml:space="preserve"> de date </w:t>
      </w:r>
      <w:proofErr w:type="spellStart"/>
      <w:r w:rsidRPr="00C56257">
        <w:rPr>
          <w:color w:val="000000" w:themeColor="text1"/>
          <w:sz w:val="24"/>
          <w:szCs w:val="24"/>
        </w:rPr>
        <w:t>colectate</w:t>
      </w:r>
      <w:proofErr w:type="spellEnd"/>
      <w:r w:rsidRPr="00C56257">
        <w:rPr>
          <w:color w:val="000000" w:themeColor="text1"/>
          <w:sz w:val="24"/>
          <w:szCs w:val="24"/>
        </w:rPr>
        <w:t xml:space="preserve"> </w:t>
      </w:r>
      <w:proofErr w:type="spellStart"/>
      <w:r w:rsidRPr="00C56257">
        <w:rPr>
          <w:color w:val="000000" w:themeColor="text1"/>
          <w:sz w:val="24"/>
          <w:szCs w:val="24"/>
        </w:rPr>
        <w:t>şi</w:t>
      </w:r>
      <w:proofErr w:type="spellEnd"/>
      <w:r w:rsidRPr="00C56257">
        <w:rPr>
          <w:color w:val="000000" w:themeColor="text1"/>
          <w:sz w:val="24"/>
          <w:szCs w:val="24"/>
        </w:rPr>
        <w:t xml:space="preserve"> a </w:t>
      </w:r>
      <w:proofErr w:type="spellStart"/>
      <w:r w:rsidRPr="00C56257">
        <w:rPr>
          <w:color w:val="000000" w:themeColor="text1"/>
          <w:sz w:val="24"/>
          <w:szCs w:val="24"/>
        </w:rPr>
        <w:t>metodelor</w:t>
      </w:r>
      <w:proofErr w:type="spellEnd"/>
      <w:r w:rsidRPr="00C56257">
        <w:rPr>
          <w:color w:val="000000" w:themeColor="text1"/>
          <w:sz w:val="24"/>
          <w:szCs w:val="24"/>
        </w:rPr>
        <w:t xml:space="preserve"> </w:t>
      </w:r>
      <w:proofErr w:type="spellStart"/>
      <w:r w:rsidRPr="00C56257">
        <w:rPr>
          <w:color w:val="000000" w:themeColor="text1"/>
          <w:sz w:val="24"/>
          <w:szCs w:val="24"/>
        </w:rPr>
        <w:t>utilizate</w:t>
      </w:r>
      <w:proofErr w:type="spellEnd"/>
      <w:r w:rsidRPr="00C56257">
        <w:rPr>
          <w:color w:val="000000" w:themeColor="text1"/>
          <w:spacing w:val="1"/>
          <w:sz w:val="24"/>
          <w:szCs w:val="24"/>
        </w:rPr>
        <w:t xml:space="preserve"> </w:t>
      </w:r>
      <w:proofErr w:type="spellStart"/>
      <w:r w:rsidRPr="00C56257">
        <w:rPr>
          <w:color w:val="000000" w:themeColor="text1"/>
          <w:sz w:val="24"/>
          <w:szCs w:val="24"/>
        </w:rPr>
        <w:t>pentru</w:t>
      </w:r>
      <w:proofErr w:type="spellEnd"/>
      <w:r w:rsidRPr="00C56257">
        <w:rPr>
          <w:color w:val="000000" w:themeColor="text1"/>
          <w:sz w:val="24"/>
          <w:szCs w:val="24"/>
        </w:rPr>
        <w:t xml:space="preserve"> </w:t>
      </w:r>
      <w:proofErr w:type="spellStart"/>
      <w:r w:rsidRPr="00C56257">
        <w:rPr>
          <w:color w:val="000000" w:themeColor="text1"/>
          <w:sz w:val="24"/>
          <w:szCs w:val="24"/>
        </w:rPr>
        <w:t>colectarea</w:t>
      </w:r>
      <w:proofErr w:type="spellEnd"/>
      <w:r w:rsidRPr="00C56257">
        <w:rPr>
          <w:color w:val="000000" w:themeColor="text1"/>
          <w:sz w:val="24"/>
          <w:szCs w:val="24"/>
        </w:rPr>
        <w:t xml:space="preserve"> </w:t>
      </w:r>
      <w:proofErr w:type="spellStart"/>
      <w:r w:rsidRPr="00C56257">
        <w:rPr>
          <w:color w:val="000000" w:themeColor="text1"/>
          <w:sz w:val="24"/>
          <w:szCs w:val="24"/>
        </w:rPr>
        <w:t>acestora</w:t>
      </w:r>
      <w:proofErr w:type="spellEnd"/>
      <w:r w:rsidRPr="00C56257">
        <w:rPr>
          <w:color w:val="000000" w:themeColor="text1"/>
          <w:sz w:val="24"/>
          <w:szCs w:val="24"/>
        </w:rPr>
        <w:t xml:space="preserve">. </w:t>
      </w:r>
      <w:proofErr w:type="spellStart"/>
      <w:r w:rsidRPr="00C56257">
        <w:rPr>
          <w:color w:val="000000" w:themeColor="text1"/>
          <w:sz w:val="24"/>
          <w:szCs w:val="24"/>
        </w:rPr>
        <w:t>Alegerea</w:t>
      </w:r>
      <w:proofErr w:type="spellEnd"/>
      <w:r w:rsidRPr="00C56257">
        <w:rPr>
          <w:color w:val="000000" w:themeColor="text1"/>
          <w:sz w:val="24"/>
          <w:szCs w:val="24"/>
        </w:rPr>
        <w:t xml:space="preserve"> </w:t>
      </w:r>
      <w:proofErr w:type="spellStart"/>
      <w:r w:rsidRPr="00C56257">
        <w:rPr>
          <w:color w:val="000000" w:themeColor="text1"/>
          <w:sz w:val="24"/>
          <w:szCs w:val="24"/>
        </w:rPr>
        <w:t>variabilelor</w:t>
      </w:r>
      <w:proofErr w:type="spellEnd"/>
      <w:r w:rsidRPr="00C56257">
        <w:rPr>
          <w:color w:val="000000" w:themeColor="text1"/>
          <w:sz w:val="24"/>
          <w:szCs w:val="24"/>
        </w:rPr>
        <w:t xml:space="preserve"> care </w:t>
      </w:r>
      <w:proofErr w:type="spellStart"/>
      <w:r w:rsidRPr="00C56257">
        <w:rPr>
          <w:color w:val="000000" w:themeColor="text1"/>
          <w:sz w:val="24"/>
          <w:szCs w:val="24"/>
        </w:rPr>
        <w:t>vor</w:t>
      </w:r>
      <w:proofErr w:type="spellEnd"/>
      <w:r w:rsidRPr="00C56257">
        <w:rPr>
          <w:color w:val="000000" w:themeColor="text1"/>
          <w:sz w:val="24"/>
          <w:szCs w:val="24"/>
        </w:rPr>
        <w:t xml:space="preserve"> fi </w:t>
      </w:r>
      <w:proofErr w:type="spellStart"/>
      <w:r w:rsidRPr="00C56257">
        <w:rPr>
          <w:color w:val="000000" w:themeColor="text1"/>
          <w:sz w:val="24"/>
          <w:szCs w:val="24"/>
        </w:rPr>
        <w:t>monitorizate</w:t>
      </w:r>
      <w:proofErr w:type="spellEnd"/>
      <w:r w:rsidRPr="00C56257">
        <w:rPr>
          <w:color w:val="000000" w:themeColor="text1"/>
          <w:sz w:val="24"/>
          <w:szCs w:val="24"/>
        </w:rPr>
        <w:t xml:space="preserve"> </w:t>
      </w:r>
      <w:proofErr w:type="spellStart"/>
      <w:r w:rsidRPr="00C56257">
        <w:rPr>
          <w:color w:val="000000" w:themeColor="text1"/>
          <w:sz w:val="24"/>
          <w:szCs w:val="24"/>
        </w:rPr>
        <w:t>şi</w:t>
      </w:r>
      <w:proofErr w:type="spellEnd"/>
      <w:r w:rsidRPr="00C56257">
        <w:rPr>
          <w:color w:val="000000" w:themeColor="text1"/>
          <w:sz w:val="24"/>
          <w:szCs w:val="24"/>
        </w:rPr>
        <w:t xml:space="preserve"> a </w:t>
      </w:r>
      <w:proofErr w:type="spellStart"/>
      <w:r w:rsidRPr="00C56257">
        <w:rPr>
          <w:color w:val="000000" w:themeColor="text1"/>
          <w:sz w:val="24"/>
          <w:szCs w:val="24"/>
        </w:rPr>
        <w:t>metodelor</w:t>
      </w:r>
      <w:proofErr w:type="spellEnd"/>
      <w:r w:rsidRPr="00C56257">
        <w:rPr>
          <w:color w:val="000000" w:themeColor="text1"/>
          <w:sz w:val="24"/>
          <w:szCs w:val="24"/>
        </w:rPr>
        <w:t xml:space="preserve"> de </w:t>
      </w:r>
      <w:proofErr w:type="spellStart"/>
      <w:r w:rsidRPr="00C56257">
        <w:rPr>
          <w:color w:val="000000" w:themeColor="text1"/>
          <w:sz w:val="24"/>
          <w:szCs w:val="24"/>
        </w:rPr>
        <w:t>lucru</w:t>
      </w:r>
      <w:proofErr w:type="spellEnd"/>
      <w:r w:rsidRPr="00C56257">
        <w:rPr>
          <w:color w:val="000000" w:themeColor="text1"/>
          <w:sz w:val="24"/>
          <w:szCs w:val="24"/>
        </w:rPr>
        <w:t xml:space="preserve"> se</w:t>
      </w:r>
      <w:r w:rsidRPr="00C56257">
        <w:rPr>
          <w:color w:val="000000" w:themeColor="text1"/>
          <w:spacing w:val="1"/>
          <w:sz w:val="24"/>
          <w:szCs w:val="24"/>
        </w:rPr>
        <w:t xml:space="preserve"> </w:t>
      </w:r>
      <w:proofErr w:type="spellStart"/>
      <w:r w:rsidRPr="00C56257">
        <w:rPr>
          <w:color w:val="000000" w:themeColor="text1"/>
          <w:sz w:val="24"/>
          <w:szCs w:val="24"/>
        </w:rPr>
        <w:t>va</w:t>
      </w:r>
      <w:proofErr w:type="spellEnd"/>
      <w:r w:rsidRPr="00C56257">
        <w:rPr>
          <w:color w:val="000000" w:themeColor="text1"/>
          <w:sz w:val="24"/>
          <w:szCs w:val="24"/>
        </w:rPr>
        <w:t xml:space="preserve"> face </w:t>
      </w:r>
      <w:proofErr w:type="spellStart"/>
      <w:r w:rsidRPr="00C56257">
        <w:rPr>
          <w:color w:val="000000" w:themeColor="text1"/>
          <w:sz w:val="24"/>
          <w:szCs w:val="24"/>
        </w:rPr>
        <w:t>în</w:t>
      </w:r>
      <w:proofErr w:type="spellEnd"/>
      <w:r w:rsidRPr="00C56257">
        <w:rPr>
          <w:color w:val="000000" w:themeColor="text1"/>
          <w:sz w:val="24"/>
          <w:szCs w:val="24"/>
        </w:rPr>
        <w:t xml:space="preserve"> </w:t>
      </w:r>
      <w:proofErr w:type="spellStart"/>
      <w:r w:rsidRPr="00C56257">
        <w:rPr>
          <w:color w:val="000000" w:themeColor="text1"/>
          <w:sz w:val="24"/>
          <w:szCs w:val="24"/>
        </w:rPr>
        <w:t>același</w:t>
      </w:r>
      <w:proofErr w:type="spellEnd"/>
      <w:r w:rsidRPr="00C56257">
        <w:rPr>
          <w:color w:val="000000" w:themeColor="text1"/>
          <w:sz w:val="24"/>
          <w:szCs w:val="24"/>
        </w:rPr>
        <w:t xml:space="preserve"> </w:t>
      </w:r>
      <w:proofErr w:type="spellStart"/>
      <w:r w:rsidRPr="00C56257">
        <w:rPr>
          <w:color w:val="000000" w:themeColor="text1"/>
          <w:sz w:val="24"/>
          <w:szCs w:val="24"/>
        </w:rPr>
        <w:t>timp</w:t>
      </w:r>
      <w:proofErr w:type="spellEnd"/>
      <w:r w:rsidRPr="00C56257">
        <w:rPr>
          <w:color w:val="000000" w:themeColor="text1"/>
          <w:sz w:val="24"/>
          <w:szCs w:val="24"/>
        </w:rPr>
        <w:t xml:space="preserve"> cu </w:t>
      </w:r>
      <w:proofErr w:type="spellStart"/>
      <w:r w:rsidRPr="00C56257">
        <w:rPr>
          <w:color w:val="000000" w:themeColor="text1"/>
          <w:sz w:val="24"/>
          <w:szCs w:val="24"/>
        </w:rPr>
        <w:t>definirea</w:t>
      </w:r>
      <w:proofErr w:type="spellEnd"/>
      <w:r w:rsidRPr="00C56257">
        <w:rPr>
          <w:color w:val="000000" w:themeColor="text1"/>
          <w:sz w:val="24"/>
          <w:szCs w:val="24"/>
        </w:rPr>
        <w:t xml:space="preserve"> </w:t>
      </w:r>
      <w:proofErr w:type="spellStart"/>
      <w:r w:rsidRPr="00C56257">
        <w:rPr>
          <w:color w:val="000000" w:themeColor="text1"/>
          <w:sz w:val="24"/>
          <w:szCs w:val="24"/>
        </w:rPr>
        <w:t>obiectivelor</w:t>
      </w:r>
      <w:proofErr w:type="spellEnd"/>
      <w:r w:rsidRPr="00C56257">
        <w:rPr>
          <w:color w:val="000000" w:themeColor="text1"/>
          <w:sz w:val="24"/>
          <w:szCs w:val="24"/>
        </w:rPr>
        <w:t xml:space="preserve"> </w:t>
      </w:r>
      <w:proofErr w:type="spellStart"/>
      <w:r w:rsidRPr="00C56257">
        <w:rPr>
          <w:color w:val="000000" w:themeColor="text1"/>
          <w:sz w:val="24"/>
          <w:szCs w:val="24"/>
        </w:rPr>
        <w:t>principale</w:t>
      </w:r>
      <w:proofErr w:type="spellEnd"/>
      <w:r w:rsidRPr="00C56257">
        <w:rPr>
          <w:color w:val="000000" w:themeColor="text1"/>
          <w:sz w:val="24"/>
          <w:szCs w:val="24"/>
        </w:rPr>
        <w:t xml:space="preserve"> ale </w:t>
      </w:r>
      <w:proofErr w:type="spellStart"/>
      <w:r w:rsidRPr="00C56257">
        <w:rPr>
          <w:color w:val="000000" w:themeColor="text1"/>
          <w:sz w:val="24"/>
          <w:szCs w:val="24"/>
        </w:rPr>
        <w:t>ghidului</w:t>
      </w:r>
      <w:proofErr w:type="spellEnd"/>
      <w:r w:rsidRPr="00C56257">
        <w:rPr>
          <w:color w:val="000000" w:themeColor="text1"/>
          <w:sz w:val="24"/>
          <w:szCs w:val="24"/>
        </w:rPr>
        <w:t xml:space="preserve"> </w:t>
      </w:r>
      <w:proofErr w:type="spellStart"/>
      <w:r w:rsidRPr="00C56257">
        <w:rPr>
          <w:color w:val="000000" w:themeColor="text1"/>
          <w:sz w:val="24"/>
          <w:szCs w:val="24"/>
        </w:rPr>
        <w:t>sintetic</w:t>
      </w:r>
      <w:proofErr w:type="spellEnd"/>
      <w:r w:rsidRPr="00C56257">
        <w:rPr>
          <w:color w:val="000000" w:themeColor="text1"/>
          <w:sz w:val="24"/>
          <w:szCs w:val="24"/>
        </w:rPr>
        <w:t xml:space="preserve">, </w:t>
      </w:r>
      <w:proofErr w:type="spellStart"/>
      <w:r w:rsidRPr="00C56257">
        <w:rPr>
          <w:color w:val="000000" w:themeColor="text1"/>
          <w:sz w:val="24"/>
          <w:szCs w:val="24"/>
        </w:rPr>
        <w:t>cele</w:t>
      </w:r>
      <w:proofErr w:type="spellEnd"/>
      <w:r w:rsidRPr="00C56257">
        <w:rPr>
          <w:color w:val="000000" w:themeColor="text1"/>
          <w:sz w:val="24"/>
          <w:szCs w:val="24"/>
        </w:rPr>
        <w:t xml:space="preserve"> </w:t>
      </w:r>
      <w:proofErr w:type="spellStart"/>
      <w:r w:rsidRPr="00C56257">
        <w:rPr>
          <w:color w:val="000000" w:themeColor="text1"/>
          <w:sz w:val="24"/>
          <w:szCs w:val="24"/>
        </w:rPr>
        <w:t>două</w:t>
      </w:r>
      <w:proofErr w:type="spellEnd"/>
      <w:r w:rsidRPr="00C56257">
        <w:rPr>
          <w:color w:val="000000" w:themeColor="text1"/>
          <w:sz w:val="24"/>
          <w:szCs w:val="24"/>
        </w:rPr>
        <w:t xml:space="preserve"> </w:t>
      </w:r>
      <w:proofErr w:type="spellStart"/>
      <w:r w:rsidRPr="00C56257">
        <w:rPr>
          <w:color w:val="000000" w:themeColor="text1"/>
          <w:sz w:val="24"/>
          <w:szCs w:val="24"/>
        </w:rPr>
        <w:t>procese</w:t>
      </w:r>
      <w:proofErr w:type="spellEnd"/>
      <w:r w:rsidRPr="00C56257">
        <w:rPr>
          <w:color w:val="000000" w:themeColor="text1"/>
          <w:spacing w:val="1"/>
          <w:sz w:val="24"/>
          <w:szCs w:val="24"/>
        </w:rPr>
        <w:t xml:space="preserve"> </w:t>
      </w:r>
      <w:proofErr w:type="spellStart"/>
      <w:r w:rsidRPr="00C56257">
        <w:rPr>
          <w:color w:val="000000" w:themeColor="text1"/>
          <w:sz w:val="24"/>
          <w:szCs w:val="24"/>
        </w:rPr>
        <w:t>fiind</w:t>
      </w:r>
      <w:proofErr w:type="spellEnd"/>
      <w:r w:rsidRPr="00C56257">
        <w:rPr>
          <w:color w:val="000000" w:themeColor="text1"/>
          <w:spacing w:val="-1"/>
          <w:sz w:val="24"/>
          <w:szCs w:val="24"/>
        </w:rPr>
        <w:t xml:space="preserve"> </w:t>
      </w:r>
      <w:proofErr w:type="spellStart"/>
      <w:r w:rsidRPr="00C56257">
        <w:rPr>
          <w:color w:val="000000" w:themeColor="text1"/>
          <w:sz w:val="24"/>
          <w:szCs w:val="24"/>
        </w:rPr>
        <w:t>strâns</w:t>
      </w:r>
      <w:proofErr w:type="spellEnd"/>
      <w:r w:rsidRPr="00C56257">
        <w:rPr>
          <w:color w:val="000000" w:themeColor="text1"/>
          <w:sz w:val="24"/>
          <w:szCs w:val="24"/>
        </w:rPr>
        <w:t xml:space="preserve"> corelate</w:t>
      </w:r>
      <w:r w:rsidRPr="00C56257">
        <w:rPr>
          <w:color w:val="000000" w:themeColor="text1"/>
          <w:spacing w:val="-1"/>
          <w:sz w:val="24"/>
          <w:szCs w:val="24"/>
        </w:rPr>
        <w:t xml:space="preserve"> </w:t>
      </w:r>
      <w:proofErr w:type="spellStart"/>
      <w:r w:rsidRPr="00C56257">
        <w:rPr>
          <w:color w:val="000000" w:themeColor="text1"/>
          <w:sz w:val="24"/>
          <w:szCs w:val="24"/>
        </w:rPr>
        <w:t>între</w:t>
      </w:r>
      <w:proofErr w:type="spellEnd"/>
      <w:r w:rsidRPr="00C56257">
        <w:rPr>
          <w:color w:val="000000" w:themeColor="text1"/>
          <w:sz w:val="24"/>
          <w:szCs w:val="24"/>
        </w:rPr>
        <w:t xml:space="preserve"> </w:t>
      </w:r>
      <w:proofErr w:type="spellStart"/>
      <w:r w:rsidRPr="00C56257">
        <w:rPr>
          <w:color w:val="000000" w:themeColor="text1"/>
          <w:sz w:val="24"/>
          <w:szCs w:val="24"/>
        </w:rPr>
        <w:t>ele</w:t>
      </w:r>
      <w:proofErr w:type="spellEnd"/>
      <w:r w:rsidRPr="00C56257">
        <w:rPr>
          <w:color w:val="000000" w:themeColor="text1"/>
          <w:sz w:val="24"/>
          <w:szCs w:val="24"/>
        </w:rPr>
        <w:t>.</w:t>
      </w:r>
    </w:p>
    <w:p w14:paraId="4521CEB3" w14:textId="77777777" w:rsidR="007702CD" w:rsidRPr="00C56257" w:rsidRDefault="007702CD" w:rsidP="004E6BFA">
      <w:pPr>
        <w:ind w:right="249"/>
        <w:jc w:val="both"/>
        <w:rPr>
          <w:i/>
          <w:color w:val="000000" w:themeColor="text1"/>
        </w:rPr>
      </w:pPr>
      <w:r w:rsidRPr="00C56257">
        <w:rPr>
          <w:color w:val="000000" w:themeColor="text1"/>
        </w:rPr>
        <w:t xml:space="preserve">Exemplu: Harta de distribuție pentru habitatul de grohotișuri și stâncării </w:t>
      </w:r>
      <w:r w:rsidRPr="00C56257">
        <w:rPr>
          <w:i/>
          <w:color w:val="000000" w:themeColor="text1"/>
        </w:rPr>
        <w:t>8110 Grohotișuri silicioase</w:t>
      </w:r>
      <w:r w:rsidRPr="00C56257">
        <w:rPr>
          <w:i/>
          <w:color w:val="000000" w:themeColor="text1"/>
          <w:spacing w:val="-57"/>
        </w:rPr>
        <w:t xml:space="preserve"> </w:t>
      </w:r>
      <w:r w:rsidRPr="00C56257">
        <w:rPr>
          <w:i/>
          <w:color w:val="000000" w:themeColor="text1"/>
        </w:rPr>
        <w:t>din</w:t>
      </w:r>
      <w:r w:rsidRPr="00C56257">
        <w:rPr>
          <w:i/>
          <w:color w:val="000000" w:themeColor="text1"/>
          <w:spacing w:val="-1"/>
        </w:rPr>
        <w:t xml:space="preserve"> </w:t>
      </w:r>
      <w:r w:rsidRPr="00C56257">
        <w:rPr>
          <w:i/>
          <w:color w:val="000000" w:themeColor="text1"/>
        </w:rPr>
        <w:t>etajele</w:t>
      </w:r>
      <w:r w:rsidRPr="00C56257">
        <w:rPr>
          <w:i/>
          <w:color w:val="000000" w:themeColor="text1"/>
          <w:spacing w:val="-1"/>
        </w:rPr>
        <w:t xml:space="preserve"> </w:t>
      </w:r>
      <w:r w:rsidRPr="00C56257">
        <w:rPr>
          <w:i/>
          <w:color w:val="000000" w:themeColor="text1"/>
        </w:rPr>
        <w:t>montan</w:t>
      </w:r>
      <w:r w:rsidRPr="00C56257">
        <w:rPr>
          <w:i/>
          <w:color w:val="000000" w:themeColor="text1"/>
          <w:spacing w:val="-2"/>
        </w:rPr>
        <w:t xml:space="preserve"> </w:t>
      </w:r>
      <w:r w:rsidRPr="00C56257">
        <w:rPr>
          <w:i/>
          <w:color w:val="000000" w:themeColor="text1"/>
        </w:rPr>
        <w:t>și alpin</w:t>
      </w:r>
      <w:r w:rsidRPr="00C56257">
        <w:rPr>
          <w:i/>
          <w:color w:val="000000" w:themeColor="text1"/>
          <w:spacing w:val="1"/>
        </w:rPr>
        <w:t xml:space="preserve"> </w:t>
      </w:r>
      <w:r w:rsidRPr="00C56257">
        <w:rPr>
          <w:i/>
          <w:color w:val="000000" w:themeColor="text1"/>
        </w:rPr>
        <w:t>-Androsacetalia</w:t>
      </w:r>
      <w:r w:rsidRPr="00C56257">
        <w:rPr>
          <w:i/>
          <w:color w:val="000000" w:themeColor="text1"/>
          <w:spacing w:val="-1"/>
        </w:rPr>
        <w:t xml:space="preserve"> </w:t>
      </w:r>
      <w:r w:rsidRPr="00C56257">
        <w:rPr>
          <w:i/>
          <w:color w:val="000000" w:themeColor="text1"/>
        </w:rPr>
        <w:t>alpinae și</w:t>
      </w:r>
      <w:r w:rsidRPr="00C56257">
        <w:rPr>
          <w:i/>
          <w:color w:val="000000" w:themeColor="text1"/>
          <w:spacing w:val="-2"/>
        </w:rPr>
        <w:t xml:space="preserve"> </w:t>
      </w:r>
      <w:r w:rsidRPr="00C56257">
        <w:rPr>
          <w:i/>
          <w:color w:val="000000" w:themeColor="text1"/>
        </w:rPr>
        <w:t>Galeopsitalia ladani</w:t>
      </w:r>
    </w:p>
    <w:p w14:paraId="3D037E72" w14:textId="77777777" w:rsidR="007702CD" w:rsidRPr="00C56257" w:rsidRDefault="007702CD" w:rsidP="008E33FD">
      <w:pPr>
        <w:pStyle w:val="BodyText"/>
        <w:ind w:left="614"/>
        <w:jc w:val="both"/>
        <w:rPr>
          <w:color w:val="000000" w:themeColor="text1"/>
          <w:sz w:val="24"/>
          <w:szCs w:val="24"/>
        </w:rPr>
      </w:pPr>
      <w:r w:rsidRPr="00C56257">
        <w:rPr>
          <w:noProof/>
          <w:color w:val="000000" w:themeColor="text1"/>
          <w:sz w:val="24"/>
          <w:szCs w:val="24"/>
        </w:rPr>
        <w:drawing>
          <wp:inline distT="0" distB="0" distL="0" distR="0" wp14:anchorId="26633575" wp14:editId="47069448">
            <wp:extent cx="5675932" cy="3571875"/>
            <wp:effectExtent l="0" t="0" r="0" b="0"/>
            <wp:docPr id="26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0.jpeg"/>
                    <pic:cNvPicPr/>
                  </pic:nvPicPr>
                  <pic:blipFill>
                    <a:blip r:embed="rId77" cstate="print"/>
                    <a:stretch>
                      <a:fillRect/>
                    </a:stretch>
                  </pic:blipFill>
                  <pic:spPr>
                    <a:xfrm>
                      <a:off x="0" y="0"/>
                      <a:ext cx="5675932" cy="3571875"/>
                    </a:xfrm>
                    <a:prstGeom prst="rect">
                      <a:avLst/>
                    </a:prstGeom>
                  </pic:spPr>
                </pic:pic>
              </a:graphicData>
            </a:graphic>
          </wp:inline>
        </w:drawing>
      </w:r>
    </w:p>
    <w:p w14:paraId="4A16B7F3" w14:textId="77777777" w:rsidR="007702CD" w:rsidRPr="00C56257" w:rsidRDefault="007702CD" w:rsidP="008E33FD">
      <w:pPr>
        <w:pStyle w:val="BodyText"/>
        <w:spacing w:before="10"/>
        <w:jc w:val="both"/>
        <w:rPr>
          <w:i/>
          <w:color w:val="000000" w:themeColor="text1"/>
          <w:sz w:val="24"/>
          <w:szCs w:val="24"/>
        </w:rPr>
      </w:pPr>
    </w:p>
    <w:p w14:paraId="649BCBA1" w14:textId="77777777" w:rsidR="007702CD" w:rsidRPr="00C56257" w:rsidRDefault="007702CD" w:rsidP="00277E6E">
      <w:pPr>
        <w:pStyle w:val="BodyText"/>
        <w:spacing w:before="90"/>
        <w:ind w:left="0" w:right="27"/>
        <w:jc w:val="both"/>
        <w:rPr>
          <w:color w:val="000000" w:themeColor="text1"/>
          <w:sz w:val="24"/>
          <w:szCs w:val="24"/>
          <w:lang w:val="fr-FR"/>
        </w:rPr>
      </w:pPr>
      <w:proofErr w:type="spellStart"/>
      <w:r w:rsidRPr="00C56257">
        <w:rPr>
          <w:color w:val="000000" w:themeColor="text1"/>
          <w:sz w:val="24"/>
          <w:szCs w:val="24"/>
          <w:lang w:val="fr-FR"/>
        </w:rPr>
        <w:t>Pentru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fiecare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obiectiv</w:t>
      </w:r>
      <w:proofErr w:type="spellEnd"/>
      <w:r w:rsidRPr="00C56257">
        <w:rPr>
          <w:color w:val="000000" w:themeColor="text1"/>
          <w:sz w:val="24"/>
          <w:szCs w:val="24"/>
          <w:lang w:val="fr-FR"/>
        </w:rPr>
        <w:t xml:space="preserve"> principal </w:t>
      </w:r>
      <w:proofErr w:type="spellStart"/>
      <w:r w:rsidRPr="00C56257">
        <w:rPr>
          <w:color w:val="000000" w:themeColor="text1"/>
          <w:sz w:val="24"/>
          <w:szCs w:val="24"/>
          <w:lang w:val="fr-FR"/>
        </w:rPr>
        <w:t>propus</w:t>
      </w:r>
      <w:proofErr w:type="spellEnd"/>
      <w:r w:rsidRPr="00C56257">
        <w:rPr>
          <w:color w:val="000000" w:themeColor="text1"/>
          <w:sz w:val="24"/>
          <w:szCs w:val="24"/>
          <w:lang w:val="fr-FR"/>
        </w:rPr>
        <w:t xml:space="preserve">, la </w:t>
      </w:r>
      <w:proofErr w:type="spellStart"/>
      <w:r w:rsidRPr="00C56257">
        <w:rPr>
          <w:color w:val="000000" w:themeColor="text1"/>
          <w:sz w:val="24"/>
          <w:szCs w:val="24"/>
          <w:lang w:val="fr-FR"/>
        </w:rPr>
        <w:t>nivelul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fiecărui</w:t>
      </w:r>
      <w:proofErr w:type="spellEnd"/>
      <w:r w:rsidRPr="00C56257">
        <w:rPr>
          <w:color w:val="000000" w:themeColor="text1"/>
          <w:sz w:val="24"/>
          <w:szCs w:val="24"/>
          <w:lang w:val="fr-FR"/>
        </w:rPr>
        <w:t xml:space="preserve"> habitat </w:t>
      </w:r>
      <w:proofErr w:type="spellStart"/>
      <w:r w:rsidRPr="00C56257">
        <w:rPr>
          <w:color w:val="000000" w:themeColor="text1"/>
          <w:sz w:val="24"/>
          <w:szCs w:val="24"/>
          <w:lang w:val="fr-FR"/>
        </w:rPr>
        <w:t>țintă</w:t>
      </w:r>
      <w:proofErr w:type="spellEnd"/>
      <w:r w:rsidRPr="00C56257">
        <w:rPr>
          <w:color w:val="000000" w:themeColor="text1"/>
          <w:sz w:val="24"/>
          <w:szCs w:val="24"/>
          <w:lang w:val="fr-FR"/>
        </w:rPr>
        <w:t xml:space="preserve">, se vor </w:t>
      </w:r>
      <w:proofErr w:type="spellStart"/>
      <w:r w:rsidRPr="00C56257">
        <w:rPr>
          <w:color w:val="000000" w:themeColor="text1"/>
          <w:sz w:val="24"/>
          <w:szCs w:val="24"/>
          <w:lang w:val="fr-FR"/>
        </w:rPr>
        <w:t>identifica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acele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caracteristici</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w:t>
      </w:r>
      <w:proofErr w:type="spellStart"/>
      <w:r w:rsidRPr="00C56257">
        <w:rPr>
          <w:color w:val="000000" w:themeColor="text1"/>
          <w:sz w:val="24"/>
          <w:szCs w:val="24"/>
          <w:lang w:val="fr-FR"/>
        </w:rPr>
        <w:t>atribute</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r w:rsidRPr="00C56257">
        <w:rPr>
          <w:color w:val="000000" w:themeColor="text1"/>
          <w:sz w:val="24"/>
          <w:szCs w:val="24"/>
          <w:lang w:val="fr-FR"/>
        </w:rPr>
        <w:t>ale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habitatului</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care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reflectă</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proprietățile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acestuia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pot</w:t>
      </w:r>
      <w:r w:rsidRPr="00C56257">
        <w:rPr>
          <w:color w:val="000000" w:themeColor="text1"/>
          <w:spacing w:val="1"/>
          <w:sz w:val="24"/>
          <w:szCs w:val="24"/>
          <w:lang w:val="fr-FR"/>
        </w:rPr>
        <w:t xml:space="preserve"> </w:t>
      </w:r>
      <w:r w:rsidRPr="00C56257">
        <w:rPr>
          <w:color w:val="000000" w:themeColor="text1"/>
          <w:sz w:val="24"/>
          <w:szCs w:val="24"/>
          <w:lang w:val="fr-FR"/>
        </w:rPr>
        <w:t>fi</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cuantificate</w:t>
      </w:r>
      <w:proofErr w:type="spellEnd"/>
      <w:r w:rsidRPr="00C56257">
        <w:rPr>
          <w:color w:val="000000" w:themeColor="text1"/>
          <w:sz w:val="24"/>
          <w:szCs w:val="24"/>
          <w:lang w:val="fr-FR"/>
        </w:rPr>
        <w:t>.</w:t>
      </w:r>
      <w:r w:rsidRPr="00C56257">
        <w:rPr>
          <w:color w:val="000000" w:themeColor="text1"/>
          <w:spacing w:val="-57"/>
          <w:sz w:val="24"/>
          <w:szCs w:val="24"/>
          <w:lang w:val="fr-FR"/>
        </w:rPr>
        <w:t xml:space="preserve"> </w:t>
      </w:r>
      <w:proofErr w:type="spellStart"/>
      <w:r w:rsidRPr="00C56257">
        <w:rPr>
          <w:color w:val="000000" w:themeColor="text1"/>
          <w:sz w:val="24"/>
          <w:szCs w:val="24"/>
          <w:lang w:val="fr-FR"/>
        </w:rPr>
        <w:t>Fiecărui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atribut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acolo</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unde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informațiile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existente</w:t>
      </w:r>
      <w:proofErr w:type="spellEnd"/>
      <w:r w:rsidRPr="00C56257">
        <w:rPr>
          <w:color w:val="000000" w:themeColor="text1"/>
          <w:sz w:val="24"/>
          <w:szCs w:val="24"/>
          <w:lang w:val="fr-FR"/>
        </w:rPr>
        <w:t xml:space="preserve"> permit </w:t>
      </w:r>
      <w:proofErr w:type="spellStart"/>
      <w:r w:rsidRPr="00C56257">
        <w:rPr>
          <w:color w:val="000000" w:themeColor="text1"/>
          <w:sz w:val="24"/>
          <w:szCs w:val="24"/>
          <w:lang w:val="fr-FR"/>
        </w:rPr>
        <w:t>acest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lucru</w:t>
      </w:r>
      <w:proofErr w:type="spellEnd"/>
      <w:r w:rsidRPr="00C56257">
        <w:rPr>
          <w:color w:val="000000" w:themeColor="text1"/>
          <w:sz w:val="24"/>
          <w:szCs w:val="24"/>
          <w:lang w:val="fr-FR"/>
        </w:rPr>
        <w:t xml:space="preserve">, i se va </w:t>
      </w:r>
      <w:proofErr w:type="spellStart"/>
      <w:r w:rsidRPr="00C56257">
        <w:rPr>
          <w:color w:val="000000" w:themeColor="text1"/>
          <w:sz w:val="24"/>
          <w:szCs w:val="24"/>
          <w:lang w:val="fr-FR"/>
        </w:rPr>
        <w:t>defini</w:t>
      </w:r>
      <w:proofErr w:type="spellEnd"/>
      <w:r w:rsidRPr="00C56257">
        <w:rPr>
          <w:color w:val="000000" w:themeColor="text1"/>
          <w:sz w:val="24"/>
          <w:szCs w:val="24"/>
          <w:lang w:val="fr-FR"/>
        </w:rPr>
        <w:t xml:space="preserve"> un </w:t>
      </w:r>
      <w:proofErr w:type="spellStart"/>
      <w:r w:rsidRPr="00C56257">
        <w:rPr>
          <w:color w:val="000000" w:themeColor="text1"/>
          <w:sz w:val="24"/>
          <w:szCs w:val="24"/>
          <w:lang w:val="fr-FR"/>
        </w:rPr>
        <w:t>interval</w:t>
      </w:r>
      <w:proofErr w:type="spellEnd"/>
      <w:r w:rsidRPr="00C56257">
        <w:rPr>
          <w:color w:val="000000" w:themeColor="text1"/>
          <w:sz w:val="24"/>
          <w:szCs w:val="24"/>
          <w:lang w:val="fr-FR"/>
        </w:rPr>
        <w:t xml:space="preserve"> 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valori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w:t>
      </w:r>
      <w:proofErr w:type="spellEnd"/>
      <w:r w:rsidRPr="00C56257">
        <w:rPr>
          <w:color w:val="000000" w:themeColor="text1"/>
          <w:sz w:val="24"/>
          <w:szCs w:val="24"/>
          <w:lang w:val="fr-FR"/>
        </w:rPr>
        <w:t xml:space="preserve"> care le </w:t>
      </w:r>
      <w:proofErr w:type="spellStart"/>
      <w:r w:rsidRPr="00C56257">
        <w:rPr>
          <w:color w:val="000000" w:themeColor="text1"/>
          <w:sz w:val="24"/>
          <w:szCs w:val="24"/>
          <w:lang w:val="fr-FR"/>
        </w:rPr>
        <w:t>poate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lua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fără</w:t>
      </w:r>
      <w:proofErr w:type="spellEnd"/>
      <w:r w:rsidRPr="00C56257">
        <w:rPr>
          <w:color w:val="000000" w:themeColor="text1"/>
          <w:sz w:val="24"/>
          <w:szCs w:val="24"/>
          <w:lang w:val="fr-FR"/>
        </w:rPr>
        <w:t xml:space="preserve"> ca </w:t>
      </w:r>
      <w:proofErr w:type="spellStart"/>
      <w:r w:rsidRPr="00C56257">
        <w:rPr>
          <w:color w:val="000000" w:themeColor="text1"/>
          <w:sz w:val="24"/>
          <w:szCs w:val="24"/>
          <w:lang w:val="fr-FR"/>
        </w:rPr>
        <w:t>proprietățile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habitatului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analizat</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să</w:t>
      </w:r>
      <w:proofErr w:type="spellEnd"/>
      <w:r w:rsidRPr="00C56257">
        <w:rPr>
          <w:color w:val="000000" w:themeColor="text1"/>
          <w:sz w:val="24"/>
          <w:szCs w:val="24"/>
          <w:lang w:val="fr-FR"/>
        </w:rPr>
        <w:t xml:space="preserve"> fie </w:t>
      </w:r>
      <w:proofErr w:type="spellStart"/>
      <w:r w:rsidRPr="00C56257">
        <w:rPr>
          <w:color w:val="000000" w:themeColor="text1"/>
          <w:sz w:val="24"/>
          <w:szCs w:val="24"/>
          <w:lang w:val="fr-FR"/>
        </w:rPr>
        <w:t>alterate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uşurându</w:t>
      </w:r>
      <w:proofErr w:type="spellEnd"/>
      <w:r w:rsidRPr="00C56257">
        <w:rPr>
          <w:color w:val="000000" w:themeColor="text1"/>
          <w:sz w:val="24"/>
          <w:szCs w:val="24"/>
          <w:lang w:val="fr-FR"/>
        </w:rPr>
        <w:t xml:space="preserve">-se </w:t>
      </w:r>
      <w:proofErr w:type="spellStart"/>
      <w:r w:rsidRPr="00C56257">
        <w:rPr>
          <w:color w:val="000000" w:themeColor="text1"/>
          <w:sz w:val="24"/>
          <w:szCs w:val="24"/>
          <w:lang w:val="fr-FR"/>
        </w:rPr>
        <w:t>astfel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interpretarea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rezultatelor</w:t>
      </w:r>
      <w:proofErr w:type="spellEnd"/>
      <w:r w:rsidRPr="00C56257">
        <w:rPr>
          <w:color w:val="000000" w:themeColor="text1"/>
          <w:sz w:val="24"/>
          <w:szCs w:val="24"/>
          <w:lang w:val="fr-FR"/>
        </w:rPr>
        <w:t>.</w:t>
      </w:r>
    </w:p>
    <w:p w14:paraId="47DFBDF9" w14:textId="77777777" w:rsidR="007702CD" w:rsidRPr="00C56257" w:rsidRDefault="007702CD" w:rsidP="00277E6E">
      <w:pPr>
        <w:pStyle w:val="BodyText"/>
        <w:ind w:left="0" w:right="27"/>
        <w:jc w:val="both"/>
        <w:rPr>
          <w:color w:val="000000" w:themeColor="text1"/>
          <w:sz w:val="24"/>
          <w:szCs w:val="24"/>
          <w:lang w:val="fr-FR"/>
        </w:rPr>
      </w:pPr>
      <w:proofErr w:type="spellStart"/>
      <w:r w:rsidRPr="00C56257">
        <w:rPr>
          <w:color w:val="000000" w:themeColor="text1"/>
          <w:sz w:val="24"/>
          <w:szCs w:val="24"/>
          <w:lang w:val="fr-FR"/>
        </w:rPr>
        <w:t>În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tabelul</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care</w:t>
      </w:r>
      <w:r w:rsidRPr="00C56257">
        <w:rPr>
          <w:color w:val="000000" w:themeColor="text1"/>
          <w:spacing w:val="-3"/>
          <w:sz w:val="24"/>
          <w:szCs w:val="24"/>
          <w:lang w:val="fr-FR"/>
        </w:rPr>
        <w:t xml:space="preserve"> </w:t>
      </w:r>
      <w:proofErr w:type="spellStart"/>
      <w:r w:rsidRPr="00C56257">
        <w:rPr>
          <w:color w:val="000000" w:themeColor="text1"/>
          <w:sz w:val="24"/>
          <w:szCs w:val="24"/>
          <w:lang w:val="fr-FR"/>
        </w:rPr>
        <w:t>urmează</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se</w:t>
      </w:r>
      <w:r w:rsidRPr="00C56257">
        <w:rPr>
          <w:color w:val="000000" w:themeColor="text1"/>
          <w:spacing w:val="-2"/>
          <w:sz w:val="24"/>
          <w:szCs w:val="24"/>
          <w:lang w:val="fr-FR"/>
        </w:rPr>
        <w:t xml:space="preserve"> </w:t>
      </w:r>
      <w:proofErr w:type="spellStart"/>
      <w:r w:rsidRPr="00C56257">
        <w:rPr>
          <w:color w:val="000000" w:themeColor="text1"/>
          <w:sz w:val="24"/>
          <w:szCs w:val="24"/>
          <w:lang w:val="fr-FR"/>
        </w:rPr>
        <w:t>regăsesc</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indicatorii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generali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din</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cadrul</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planului</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monitorizare</w:t>
      </w:r>
      <w:proofErr w:type="spellEnd"/>
    </w:p>
    <w:p w14:paraId="6D87D52B" w14:textId="77777777" w:rsidR="007702CD" w:rsidRPr="00C56257" w:rsidRDefault="007702CD" w:rsidP="008E33FD">
      <w:pPr>
        <w:pStyle w:val="BodyText"/>
        <w:spacing w:before="8"/>
        <w:jc w:val="both"/>
        <w:rPr>
          <w:color w:val="000000" w:themeColor="text1"/>
          <w:sz w:val="24"/>
          <w:szCs w:val="24"/>
          <w:lang w:val="fr-FR"/>
        </w:rPr>
      </w:pPr>
    </w:p>
    <w:tbl>
      <w:tblPr>
        <w:tblW w:w="0" w:type="auto"/>
        <w:tblInd w:w="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04"/>
        <w:gridCol w:w="7101"/>
      </w:tblGrid>
      <w:tr w:rsidR="007702CD" w:rsidRPr="00C56257" w14:paraId="21027107" w14:textId="77777777" w:rsidTr="00102A1A">
        <w:trPr>
          <w:trHeight w:val="421"/>
        </w:trPr>
        <w:tc>
          <w:tcPr>
            <w:tcW w:w="2204" w:type="dxa"/>
            <w:shd w:val="clear" w:color="auto" w:fill="D9D9D9"/>
          </w:tcPr>
          <w:p w14:paraId="0F09B90D" w14:textId="77777777" w:rsidR="007702CD" w:rsidRPr="00C56257" w:rsidRDefault="007702CD" w:rsidP="008E33FD">
            <w:pPr>
              <w:pStyle w:val="TableParagraph"/>
              <w:spacing w:before="71"/>
              <w:ind w:left="395"/>
              <w:jc w:val="both"/>
              <w:rPr>
                <w:b/>
                <w:color w:val="000000" w:themeColor="text1"/>
                <w:sz w:val="24"/>
                <w:szCs w:val="24"/>
              </w:rPr>
            </w:pPr>
            <w:r w:rsidRPr="00C56257">
              <w:rPr>
                <w:b/>
                <w:color w:val="000000" w:themeColor="text1"/>
                <w:sz w:val="24"/>
                <w:szCs w:val="24"/>
              </w:rPr>
              <w:t>Indicatori</w:t>
            </w:r>
          </w:p>
        </w:tc>
        <w:tc>
          <w:tcPr>
            <w:tcW w:w="7101" w:type="dxa"/>
            <w:shd w:val="clear" w:color="auto" w:fill="D9D9D9"/>
          </w:tcPr>
          <w:p w14:paraId="030CE6E4" w14:textId="77777777" w:rsidR="007702CD" w:rsidRPr="00C56257" w:rsidRDefault="007702CD" w:rsidP="008E33FD">
            <w:pPr>
              <w:pStyle w:val="TableParagraph"/>
              <w:spacing w:before="71"/>
              <w:ind w:left="395"/>
              <w:jc w:val="both"/>
              <w:rPr>
                <w:b/>
                <w:color w:val="000000" w:themeColor="text1"/>
                <w:sz w:val="24"/>
                <w:szCs w:val="24"/>
              </w:rPr>
            </w:pPr>
            <w:r w:rsidRPr="00C56257">
              <w:rPr>
                <w:b/>
                <w:color w:val="000000" w:themeColor="text1"/>
                <w:sz w:val="24"/>
                <w:szCs w:val="24"/>
              </w:rPr>
              <w:t>Compoziție</w:t>
            </w:r>
          </w:p>
        </w:tc>
      </w:tr>
      <w:tr w:rsidR="007702CD" w:rsidRPr="00C56257" w14:paraId="531CA777" w14:textId="77777777" w:rsidTr="00102A1A">
        <w:trPr>
          <w:trHeight w:val="827"/>
        </w:trPr>
        <w:tc>
          <w:tcPr>
            <w:tcW w:w="2204" w:type="dxa"/>
          </w:tcPr>
          <w:p w14:paraId="75B6D5DC" w14:textId="77777777" w:rsidR="007702CD" w:rsidRPr="00C56257" w:rsidRDefault="007702CD" w:rsidP="008E33FD">
            <w:pPr>
              <w:pStyle w:val="TableParagraph"/>
              <w:spacing w:before="131"/>
              <w:ind w:left="395" w:right="715"/>
              <w:jc w:val="both"/>
              <w:rPr>
                <w:color w:val="000000" w:themeColor="text1"/>
                <w:sz w:val="24"/>
                <w:szCs w:val="24"/>
              </w:rPr>
            </w:pPr>
            <w:r w:rsidRPr="00C56257">
              <w:rPr>
                <w:color w:val="000000" w:themeColor="text1"/>
                <w:sz w:val="24"/>
                <w:szCs w:val="24"/>
              </w:rPr>
              <w:t>La</w:t>
            </w:r>
            <w:r w:rsidRPr="00C56257">
              <w:rPr>
                <w:color w:val="000000" w:themeColor="text1"/>
                <w:spacing w:val="-9"/>
                <w:sz w:val="24"/>
                <w:szCs w:val="24"/>
              </w:rPr>
              <w:t xml:space="preserve"> </w:t>
            </w:r>
            <w:r w:rsidRPr="00C56257">
              <w:rPr>
                <w:color w:val="000000" w:themeColor="text1"/>
                <w:sz w:val="24"/>
                <w:szCs w:val="24"/>
              </w:rPr>
              <w:t>nivel</w:t>
            </w:r>
            <w:r w:rsidRPr="00C56257">
              <w:rPr>
                <w:color w:val="000000" w:themeColor="text1"/>
                <w:spacing w:val="-7"/>
                <w:sz w:val="24"/>
                <w:szCs w:val="24"/>
              </w:rPr>
              <w:t xml:space="preserve"> </w:t>
            </w:r>
            <w:r w:rsidRPr="00C56257">
              <w:rPr>
                <w:color w:val="000000" w:themeColor="text1"/>
                <w:sz w:val="24"/>
                <w:szCs w:val="24"/>
              </w:rPr>
              <w:t>de</w:t>
            </w:r>
            <w:r w:rsidRPr="00C56257">
              <w:rPr>
                <w:color w:val="000000" w:themeColor="text1"/>
                <w:spacing w:val="-57"/>
                <w:sz w:val="24"/>
                <w:szCs w:val="24"/>
              </w:rPr>
              <w:t xml:space="preserve"> </w:t>
            </w:r>
            <w:r w:rsidRPr="00C56257">
              <w:rPr>
                <w:color w:val="000000" w:themeColor="text1"/>
                <w:sz w:val="24"/>
                <w:szCs w:val="24"/>
              </w:rPr>
              <w:t>habitat</w:t>
            </w:r>
          </w:p>
        </w:tc>
        <w:tc>
          <w:tcPr>
            <w:tcW w:w="7101" w:type="dxa"/>
          </w:tcPr>
          <w:p w14:paraId="0237523C" w14:textId="77777777" w:rsidR="007702CD" w:rsidRPr="00C56257" w:rsidRDefault="007702CD" w:rsidP="009E63E5">
            <w:pPr>
              <w:pStyle w:val="TableParagraph"/>
              <w:numPr>
                <w:ilvl w:val="0"/>
                <w:numId w:val="60"/>
              </w:numPr>
              <w:tabs>
                <w:tab w:val="left" w:pos="367"/>
              </w:tabs>
              <w:spacing w:line="268" w:lineRule="exact"/>
              <w:jc w:val="both"/>
              <w:rPr>
                <w:color w:val="000000" w:themeColor="text1"/>
                <w:sz w:val="24"/>
                <w:szCs w:val="24"/>
              </w:rPr>
            </w:pPr>
            <w:r w:rsidRPr="00C56257">
              <w:rPr>
                <w:color w:val="000000" w:themeColor="text1"/>
                <w:sz w:val="24"/>
                <w:szCs w:val="24"/>
              </w:rPr>
              <w:t>proporția</w:t>
            </w:r>
            <w:r w:rsidRPr="00C56257">
              <w:rPr>
                <w:color w:val="000000" w:themeColor="text1"/>
                <w:spacing w:val="-2"/>
                <w:sz w:val="24"/>
                <w:szCs w:val="24"/>
              </w:rPr>
              <w:t xml:space="preserve"> </w:t>
            </w:r>
            <w:r w:rsidRPr="00C56257">
              <w:rPr>
                <w:color w:val="000000" w:themeColor="text1"/>
                <w:sz w:val="24"/>
                <w:szCs w:val="24"/>
              </w:rPr>
              <w:t>habitatului</w:t>
            </w:r>
            <w:r w:rsidRPr="00C56257">
              <w:rPr>
                <w:color w:val="000000" w:themeColor="text1"/>
                <w:spacing w:val="-2"/>
                <w:sz w:val="24"/>
                <w:szCs w:val="24"/>
              </w:rPr>
              <w:t xml:space="preserve"> </w:t>
            </w:r>
            <w:r w:rsidRPr="00C56257">
              <w:rPr>
                <w:color w:val="000000" w:themeColor="text1"/>
                <w:sz w:val="24"/>
                <w:szCs w:val="24"/>
              </w:rPr>
              <w:t>în</w:t>
            </w:r>
            <w:r w:rsidRPr="00C56257">
              <w:rPr>
                <w:color w:val="000000" w:themeColor="text1"/>
                <w:spacing w:val="-2"/>
                <w:sz w:val="24"/>
                <w:szCs w:val="24"/>
              </w:rPr>
              <w:t xml:space="preserve"> </w:t>
            </w:r>
            <w:r w:rsidRPr="00C56257">
              <w:rPr>
                <w:color w:val="000000" w:themeColor="text1"/>
                <w:sz w:val="24"/>
                <w:szCs w:val="24"/>
              </w:rPr>
              <w:t>cadrul</w:t>
            </w:r>
            <w:r w:rsidRPr="00C56257">
              <w:rPr>
                <w:color w:val="000000" w:themeColor="text1"/>
                <w:spacing w:val="-1"/>
                <w:sz w:val="24"/>
                <w:szCs w:val="24"/>
              </w:rPr>
              <w:t xml:space="preserve"> </w:t>
            </w:r>
            <w:r w:rsidRPr="00C56257">
              <w:rPr>
                <w:color w:val="000000" w:themeColor="text1"/>
                <w:sz w:val="24"/>
                <w:szCs w:val="24"/>
              </w:rPr>
              <w:t>arealului</w:t>
            </w:r>
            <w:r w:rsidRPr="00C56257">
              <w:rPr>
                <w:color w:val="000000" w:themeColor="text1"/>
                <w:spacing w:val="-2"/>
                <w:sz w:val="24"/>
                <w:szCs w:val="24"/>
              </w:rPr>
              <w:t xml:space="preserve"> </w:t>
            </w:r>
            <w:r w:rsidRPr="00C56257">
              <w:rPr>
                <w:color w:val="000000" w:themeColor="text1"/>
                <w:sz w:val="24"/>
                <w:szCs w:val="24"/>
              </w:rPr>
              <w:t>analizat</w:t>
            </w:r>
          </w:p>
          <w:p w14:paraId="1F5A7E46" w14:textId="77777777" w:rsidR="007702CD" w:rsidRPr="00C56257" w:rsidRDefault="007702CD" w:rsidP="009E63E5">
            <w:pPr>
              <w:pStyle w:val="TableParagraph"/>
              <w:numPr>
                <w:ilvl w:val="0"/>
                <w:numId w:val="60"/>
              </w:numPr>
              <w:tabs>
                <w:tab w:val="left" w:pos="367"/>
              </w:tabs>
              <w:jc w:val="both"/>
              <w:rPr>
                <w:color w:val="000000" w:themeColor="text1"/>
                <w:sz w:val="24"/>
                <w:szCs w:val="24"/>
              </w:rPr>
            </w:pPr>
            <w:r w:rsidRPr="00C56257">
              <w:rPr>
                <w:color w:val="000000" w:themeColor="text1"/>
                <w:sz w:val="24"/>
                <w:szCs w:val="24"/>
              </w:rPr>
              <w:t>tipuri</w:t>
            </w:r>
            <w:r w:rsidRPr="00C56257">
              <w:rPr>
                <w:color w:val="000000" w:themeColor="text1"/>
                <w:spacing w:val="-3"/>
                <w:sz w:val="24"/>
                <w:szCs w:val="24"/>
              </w:rPr>
              <w:t xml:space="preserve"> </w:t>
            </w:r>
            <w:r w:rsidRPr="00C56257">
              <w:rPr>
                <w:color w:val="000000" w:themeColor="text1"/>
                <w:sz w:val="24"/>
                <w:szCs w:val="24"/>
              </w:rPr>
              <w:t>de</w:t>
            </w:r>
            <w:r w:rsidRPr="00C56257">
              <w:rPr>
                <w:color w:val="000000" w:themeColor="text1"/>
                <w:spacing w:val="-4"/>
                <w:sz w:val="24"/>
                <w:szCs w:val="24"/>
              </w:rPr>
              <w:t xml:space="preserve"> </w:t>
            </w:r>
            <w:r w:rsidRPr="00C56257">
              <w:rPr>
                <w:color w:val="000000" w:themeColor="text1"/>
                <w:sz w:val="24"/>
                <w:szCs w:val="24"/>
              </w:rPr>
              <w:t>asociații</w:t>
            </w:r>
            <w:r w:rsidRPr="00C56257">
              <w:rPr>
                <w:color w:val="000000" w:themeColor="text1"/>
                <w:spacing w:val="-2"/>
                <w:sz w:val="24"/>
                <w:szCs w:val="24"/>
              </w:rPr>
              <w:t xml:space="preserve"> </w:t>
            </w:r>
            <w:r w:rsidRPr="00C56257">
              <w:rPr>
                <w:color w:val="000000" w:themeColor="text1"/>
                <w:sz w:val="24"/>
                <w:szCs w:val="24"/>
              </w:rPr>
              <w:t>vegetale</w:t>
            </w:r>
            <w:r w:rsidRPr="00C56257">
              <w:rPr>
                <w:color w:val="000000" w:themeColor="text1"/>
                <w:spacing w:val="-2"/>
                <w:sz w:val="24"/>
                <w:szCs w:val="24"/>
              </w:rPr>
              <w:t xml:space="preserve"> </w:t>
            </w:r>
            <w:r w:rsidRPr="00C56257">
              <w:rPr>
                <w:color w:val="000000" w:themeColor="text1"/>
                <w:sz w:val="24"/>
                <w:szCs w:val="24"/>
              </w:rPr>
              <w:t>componente</w:t>
            </w:r>
          </w:p>
          <w:p w14:paraId="6DAAF8EE" w14:textId="77777777" w:rsidR="007702CD" w:rsidRPr="00C56257" w:rsidRDefault="007702CD" w:rsidP="009E63E5">
            <w:pPr>
              <w:pStyle w:val="TableParagraph"/>
              <w:numPr>
                <w:ilvl w:val="0"/>
                <w:numId w:val="60"/>
              </w:numPr>
              <w:tabs>
                <w:tab w:val="left" w:pos="367"/>
              </w:tabs>
              <w:spacing w:line="264" w:lineRule="exact"/>
              <w:jc w:val="both"/>
              <w:rPr>
                <w:color w:val="000000" w:themeColor="text1"/>
                <w:sz w:val="24"/>
                <w:szCs w:val="24"/>
              </w:rPr>
            </w:pPr>
            <w:r w:rsidRPr="00C56257">
              <w:rPr>
                <w:color w:val="000000" w:themeColor="text1"/>
                <w:sz w:val="24"/>
                <w:szCs w:val="24"/>
              </w:rPr>
              <w:t>identificare,</w:t>
            </w:r>
            <w:r w:rsidRPr="00C56257">
              <w:rPr>
                <w:color w:val="000000" w:themeColor="text1"/>
                <w:spacing w:val="-3"/>
                <w:sz w:val="24"/>
                <w:szCs w:val="24"/>
              </w:rPr>
              <w:t xml:space="preserve"> </w:t>
            </w:r>
            <w:r w:rsidRPr="00C56257">
              <w:rPr>
                <w:color w:val="000000" w:themeColor="text1"/>
                <w:sz w:val="24"/>
                <w:szCs w:val="24"/>
              </w:rPr>
              <w:t>distribuție,</w:t>
            </w:r>
            <w:r w:rsidRPr="00C56257">
              <w:rPr>
                <w:color w:val="000000" w:themeColor="text1"/>
                <w:spacing w:val="-2"/>
                <w:sz w:val="24"/>
                <w:szCs w:val="24"/>
              </w:rPr>
              <w:t xml:space="preserve"> </w:t>
            </w:r>
            <w:r w:rsidRPr="00C56257">
              <w:rPr>
                <w:color w:val="000000" w:themeColor="text1"/>
                <w:sz w:val="24"/>
                <w:szCs w:val="24"/>
              </w:rPr>
              <w:t>diversitate,</w:t>
            </w:r>
            <w:r w:rsidRPr="00C56257">
              <w:rPr>
                <w:color w:val="000000" w:themeColor="text1"/>
                <w:spacing w:val="-2"/>
                <w:sz w:val="24"/>
                <w:szCs w:val="24"/>
              </w:rPr>
              <w:t xml:space="preserve"> </w:t>
            </w:r>
            <w:r w:rsidRPr="00C56257">
              <w:rPr>
                <w:color w:val="000000" w:themeColor="text1"/>
                <w:sz w:val="24"/>
                <w:szCs w:val="24"/>
              </w:rPr>
              <w:t>abundență</w:t>
            </w:r>
          </w:p>
        </w:tc>
      </w:tr>
      <w:tr w:rsidR="007702CD" w:rsidRPr="00C56257" w14:paraId="3BB1B2C8" w14:textId="77777777" w:rsidTr="00102A1A">
        <w:trPr>
          <w:trHeight w:val="1104"/>
        </w:trPr>
        <w:tc>
          <w:tcPr>
            <w:tcW w:w="2204" w:type="dxa"/>
          </w:tcPr>
          <w:p w14:paraId="0D515461" w14:textId="77777777" w:rsidR="007702CD" w:rsidRPr="00C56257" w:rsidRDefault="007702CD" w:rsidP="008E33FD">
            <w:pPr>
              <w:pStyle w:val="TableParagraph"/>
              <w:spacing w:before="3"/>
              <w:jc w:val="both"/>
              <w:rPr>
                <w:color w:val="000000" w:themeColor="text1"/>
                <w:sz w:val="24"/>
                <w:szCs w:val="24"/>
              </w:rPr>
            </w:pPr>
          </w:p>
          <w:p w14:paraId="041EC00B" w14:textId="77777777" w:rsidR="007702CD" w:rsidRPr="00C56257" w:rsidRDefault="007702CD" w:rsidP="008E33FD">
            <w:pPr>
              <w:pStyle w:val="TableParagraph"/>
              <w:spacing w:before="1"/>
              <w:ind w:left="395" w:right="479"/>
              <w:jc w:val="both"/>
              <w:rPr>
                <w:color w:val="000000" w:themeColor="text1"/>
                <w:sz w:val="24"/>
                <w:szCs w:val="24"/>
              </w:rPr>
            </w:pPr>
            <w:r w:rsidRPr="00C56257">
              <w:rPr>
                <w:color w:val="000000" w:themeColor="text1"/>
                <w:sz w:val="24"/>
                <w:szCs w:val="24"/>
              </w:rPr>
              <w:t>Comunitate –</w:t>
            </w:r>
            <w:r w:rsidRPr="00C56257">
              <w:rPr>
                <w:color w:val="000000" w:themeColor="text1"/>
                <w:spacing w:val="-57"/>
                <w:sz w:val="24"/>
                <w:szCs w:val="24"/>
              </w:rPr>
              <w:t xml:space="preserve"> </w:t>
            </w:r>
            <w:r w:rsidRPr="00C56257">
              <w:rPr>
                <w:color w:val="000000" w:themeColor="text1"/>
                <w:sz w:val="24"/>
                <w:szCs w:val="24"/>
              </w:rPr>
              <w:t>ecosistem</w:t>
            </w:r>
          </w:p>
        </w:tc>
        <w:tc>
          <w:tcPr>
            <w:tcW w:w="7101" w:type="dxa"/>
          </w:tcPr>
          <w:p w14:paraId="2ABA1F51" w14:textId="77777777" w:rsidR="007702CD" w:rsidRPr="00C56257" w:rsidRDefault="007702CD" w:rsidP="009E63E5">
            <w:pPr>
              <w:pStyle w:val="TableParagraph"/>
              <w:numPr>
                <w:ilvl w:val="0"/>
                <w:numId w:val="59"/>
              </w:numPr>
              <w:tabs>
                <w:tab w:val="left" w:pos="367"/>
              </w:tabs>
              <w:spacing w:line="268" w:lineRule="exact"/>
              <w:jc w:val="both"/>
              <w:rPr>
                <w:color w:val="000000" w:themeColor="text1"/>
                <w:sz w:val="24"/>
                <w:szCs w:val="24"/>
              </w:rPr>
            </w:pPr>
            <w:r w:rsidRPr="00C56257">
              <w:rPr>
                <w:color w:val="000000" w:themeColor="text1"/>
                <w:sz w:val="24"/>
                <w:szCs w:val="24"/>
              </w:rPr>
              <w:t>identificarea</w:t>
            </w:r>
            <w:r w:rsidRPr="00C56257">
              <w:rPr>
                <w:color w:val="000000" w:themeColor="text1"/>
                <w:spacing w:val="-3"/>
                <w:sz w:val="24"/>
                <w:szCs w:val="24"/>
              </w:rPr>
              <w:t xml:space="preserve"> </w:t>
            </w:r>
            <w:r w:rsidRPr="00C56257">
              <w:rPr>
                <w:color w:val="000000" w:themeColor="text1"/>
                <w:sz w:val="24"/>
                <w:szCs w:val="24"/>
              </w:rPr>
              <w:t>de</w:t>
            </w:r>
            <w:r w:rsidRPr="00C56257">
              <w:rPr>
                <w:color w:val="000000" w:themeColor="text1"/>
                <w:spacing w:val="-2"/>
                <w:sz w:val="24"/>
                <w:szCs w:val="24"/>
              </w:rPr>
              <w:t xml:space="preserve"> </w:t>
            </w:r>
            <w:r w:rsidRPr="00C56257">
              <w:rPr>
                <w:color w:val="000000" w:themeColor="text1"/>
                <w:sz w:val="24"/>
                <w:szCs w:val="24"/>
              </w:rPr>
              <w:t>speciişi</w:t>
            </w:r>
            <w:r w:rsidRPr="00C56257">
              <w:rPr>
                <w:color w:val="000000" w:themeColor="text1"/>
                <w:spacing w:val="-2"/>
                <w:sz w:val="24"/>
                <w:szCs w:val="24"/>
              </w:rPr>
              <w:t xml:space="preserve"> </w:t>
            </w:r>
            <w:r w:rsidRPr="00C56257">
              <w:rPr>
                <w:color w:val="000000" w:themeColor="text1"/>
                <w:sz w:val="24"/>
                <w:szCs w:val="24"/>
              </w:rPr>
              <w:t>abundența</w:t>
            </w:r>
            <w:r w:rsidRPr="00C56257">
              <w:rPr>
                <w:color w:val="000000" w:themeColor="text1"/>
                <w:spacing w:val="-2"/>
                <w:sz w:val="24"/>
                <w:szCs w:val="24"/>
              </w:rPr>
              <w:t xml:space="preserve"> </w:t>
            </w:r>
            <w:r w:rsidRPr="00C56257">
              <w:rPr>
                <w:color w:val="000000" w:themeColor="text1"/>
                <w:sz w:val="24"/>
                <w:szCs w:val="24"/>
              </w:rPr>
              <w:t>relativă</w:t>
            </w:r>
          </w:p>
          <w:p w14:paraId="41503E8B" w14:textId="77777777" w:rsidR="007702CD" w:rsidRPr="00C56257" w:rsidRDefault="007702CD" w:rsidP="008E33FD">
            <w:pPr>
              <w:pStyle w:val="TableParagraph"/>
              <w:ind w:left="227" w:right="219"/>
              <w:jc w:val="both"/>
              <w:rPr>
                <w:color w:val="000000" w:themeColor="text1"/>
                <w:sz w:val="24"/>
                <w:szCs w:val="24"/>
              </w:rPr>
            </w:pPr>
            <w:r w:rsidRPr="00C56257">
              <w:rPr>
                <w:color w:val="000000" w:themeColor="text1"/>
                <w:sz w:val="24"/>
                <w:szCs w:val="24"/>
              </w:rPr>
              <w:t>-frecvență, abundență, diversitatea în specii a comunității, proporțiile</w:t>
            </w:r>
            <w:r w:rsidRPr="00C56257">
              <w:rPr>
                <w:color w:val="000000" w:themeColor="text1"/>
                <w:spacing w:val="-57"/>
                <w:sz w:val="24"/>
                <w:szCs w:val="24"/>
              </w:rPr>
              <w:t xml:space="preserve"> </w:t>
            </w:r>
            <w:r w:rsidRPr="00C56257">
              <w:rPr>
                <w:color w:val="000000" w:themeColor="text1"/>
                <w:sz w:val="24"/>
                <w:szCs w:val="24"/>
              </w:rPr>
              <w:t>de</w:t>
            </w:r>
            <w:r w:rsidRPr="00C56257">
              <w:rPr>
                <w:color w:val="000000" w:themeColor="text1"/>
                <w:spacing w:val="-2"/>
                <w:sz w:val="24"/>
                <w:szCs w:val="24"/>
              </w:rPr>
              <w:t xml:space="preserve"> </w:t>
            </w:r>
            <w:r w:rsidRPr="00C56257">
              <w:rPr>
                <w:color w:val="000000" w:themeColor="text1"/>
                <w:sz w:val="24"/>
                <w:szCs w:val="24"/>
              </w:rPr>
              <w:t>specii</w:t>
            </w:r>
            <w:r w:rsidRPr="00C56257">
              <w:rPr>
                <w:color w:val="000000" w:themeColor="text1"/>
                <w:spacing w:val="-1"/>
                <w:sz w:val="24"/>
                <w:szCs w:val="24"/>
              </w:rPr>
              <w:t xml:space="preserve"> </w:t>
            </w:r>
            <w:r w:rsidRPr="00C56257">
              <w:rPr>
                <w:color w:val="000000" w:themeColor="text1"/>
                <w:sz w:val="24"/>
                <w:szCs w:val="24"/>
              </w:rPr>
              <w:t>endemice</w:t>
            </w:r>
            <w:r w:rsidRPr="00C56257">
              <w:rPr>
                <w:color w:val="000000" w:themeColor="text1"/>
                <w:spacing w:val="-1"/>
                <w:sz w:val="24"/>
                <w:szCs w:val="24"/>
              </w:rPr>
              <w:t xml:space="preserve"> </w:t>
            </w:r>
            <w:r w:rsidRPr="00C56257">
              <w:rPr>
                <w:color w:val="000000" w:themeColor="text1"/>
                <w:sz w:val="24"/>
                <w:szCs w:val="24"/>
              </w:rPr>
              <w:t>amenințate</w:t>
            </w:r>
            <w:r w:rsidRPr="00C56257">
              <w:rPr>
                <w:color w:val="000000" w:themeColor="text1"/>
                <w:spacing w:val="-1"/>
                <w:sz w:val="24"/>
                <w:szCs w:val="24"/>
              </w:rPr>
              <w:t xml:space="preserve"> </w:t>
            </w:r>
            <w:r w:rsidRPr="00C56257">
              <w:rPr>
                <w:color w:val="000000" w:themeColor="text1"/>
                <w:sz w:val="24"/>
                <w:szCs w:val="24"/>
              </w:rPr>
              <w:t>şi</w:t>
            </w:r>
            <w:r w:rsidRPr="00C56257">
              <w:rPr>
                <w:color w:val="000000" w:themeColor="text1"/>
                <w:spacing w:val="-2"/>
                <w:sz w:val="24"/>
                <w:szCs w:val="24"/>
              </w:rPr>
              <w:t xml:space="preserve"> </w:t>
            </w:r>
            <w:r w:rsidRPr="00C56257">
              <w:rPr>
                <w:color w:val="000000" w:themeColor="text1"/>
                <w:sz w:val="24"/>
                <w:szCs w:val="24"/>
              </w:rPr>
              <w:t>specii pe</w:t>
            </w:r>
            <w:r w:rsidRPr="00C56257">
              <w:rPr>
                <w:color w:val="000000" w:themeColor="text1"/>
                <w:spacing w:val="-2"/>
                <w:sz w:val="24"/>
                <w:szCs w:val="24"/>
              </w:rPr>
              <w:t xml:space="preserve"> </w:t>
            </w:r>
            <w:r w:rsidRPr="00C56257">
              <w:rPr>
                <w:color w:val="000000" w:themeColor="text1"/>
                <w:sz w:val="24"/>
                <w:szCs w:val="24"/>
              </w:rPr>
              <w:t>cale</w:t>
            </w:r>
            <w:r w:rsidRPr="00C56257">
              <w:rPr>
                <w:color w:val="000000" w:themeColor="text1"/>
                <w:spacing w:val="-1"/>
                <w:sz w:val="24"/>
                <w:szCs w:val="24"/>
              </w:rPr>
              <w:t xml:space="preserve"> </w:t>
            </w:r>
            <w:r w:rsidRPr="00C56257">
              <w:rPr>
                <w:color w:val="000000" w:themeColor="text1"/>
                <w:sz w:val="24"/>
                <w:szCs w:val="24"/>
              </w:rPr>
              <w:t>de</w:t>
            </w:r>
            <w:r w:rsidRPr="00C56257">
              <w:rPr>
                <w:color w:val="000000" w:themeColor="text1"/>
                <w:spacing w:val="1"/>
                <w:sz w:val="24"/>
                <w:szCs w:val="24"/>
              </w:rPr>
              <w:t xml:space="preserve"> </w:t>
            </w:r>
            <w:r w:rsidRPr="00C56257">
              <w:rPr>
                <w:color w:val="000000" w:themeColor="text1"/>
                <w:sz w:val="24"/>
                <w:szCs w:val="24"/>
              </w:rPr>
              <w:t>dispariție</w:t>
            </w:r>
          </w:p>
          <w:p w14:paraId="3E7C255A" w14:textId="77777777" w:rsidR="007702CD" w:rsidRPr="00C56257" w:rsidRDefault="007702CD" w:rsidP="009E63E5">
            <w:pPr>
              <w:pStyle w:val="TableParagraph"/>
              <w:numPr>
                <w:ilvl w:val="0"/>
                <w:numId w:val="59"/>
              </w:numPr>
              <w:tabs>
                <w:tab w:val="left" w:pos="367"/>
              </w:tabs>
              <w:spacing w:line="264" w:lineRule="exact"/>
              <w:jc w:val="both"/>
              <w:rPr>
                <w:color w:val="000000" w:themeColor="text1"/>
                <w:sz w:val="24"/>
                <w:szCs w:val="24"/>
              </w:rPr>
            </w:pPr>
            <w:r w:rsidRPr="00C56257">
              <w:rPr>
                <w:color w:val="000000" w:themeColor="text1"/>
                <w:sz w:val="24"/>
                <w:szCs w:val="24"/>
              </w:rPr>
              <w:t>dominanța</w:t>
            </w:r>
            <w:r w:rsidRPr="00C56257">
              <w:rPr>
                <w:color w:val="000000" w:themeColor="text1"/>
                <w:spacing w:val="-3"/>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diversitate,</w:t>
            </w:r>
            <w:r w:rsidRPr="00C56257">
              <w:rPr>
                <w:color w:val="000000" w:themeColor="text1"/>
                <w:spacing w:val="-1"/>
                <w:sz w:val="24"/>
                <w:szCs w:val="24"/>
              </w:rPr>
              <w:t xml:space="preserve"> </w:t>
            </w:r>
            <w:r w:rsidRPr="00C56257">
              <w:rPr>
                <w:color w:val="000000" w:themeColor="text1"/>
                <w:sz w:val="24"/>
                <w:szCs w:val="24"/>
              </w:rPr>
              <w:t>proporții</w:t>
            </w:r>
          </w:p>
        </w:tc>
      </w:tr>
      <w:tr w:rsidR="007702CD" w:rsidRPr="00C56257" w14:paraId="45574B55" w14:textId="77777777" w:rsidTr="00102A1A">
        <w:trPr>
          <w:trHeight w:val="553"/>
        </w:trPr>
        <w:tc>
          <w:tcPr>
            <w:tcW w:w="2204" w:type="dxa"/>
          </w:tcPr>
          <w:p w14:paraId="2B246844" w14:textId="77777777" w:rsidR="007702CD" w:rsidRPr="00C56257" w:rsidRDefault="007702CD" w:rsidP="008E33FD">
            <w:pPr>
              <w:pStyle w:val="TableParagraph"/>
              <w:spacing w:before="131"/>
              <w:ind w:left="395"/>
              <w:jc w:val="both"/>
              <w:rPr>
                <w:color w:val="000000" w:themeColor="text1"/>
                <w:sz w:val="24"/>
                <w:szCs w:val="24"/>
              </w:rPr>
            </w:pPr>
            <w:r w:rsidRPr="00C56257">
              <w:rPr>
                <w:color w:val="000000" w:themeColor="text1"/>
                <w:sz w:val="24"/>
                <w:szCs w:val="24"/>
              </w:rPr>
              <w:t>Populație</w:t>
            </w:r>
            <w:r w:rsidRPr="00C56257">
              <w:rPr>
                <w:color w:val="000000" w:themeColor="text1"/>
                <w:spacing w:val="-2"/>
                <w:sz w:val="24"/>
                <w:szCs w:val="24"/>
              </w:rPr>
              <w:t xml:space="preserve"> </w:t>
            </w:r>
            <w:r w:rsidRPr="00C56257">
              <w:rPr>
                <w:color w:val="000000" w:themeColor="text1"/>
                <w:sz w:val="24"/>
                <w:szCs w:val="24"/>
              </w:rPr>
              <w:t>-</w:t>
            </w:r>
            <w:r w:rsidRPr="00C56257">
              <w:rPr>
                <w:color w:val="000000" w:themeColor="text1"/>
                <w:spacing w:val="-2"/>
                <w:sz w:val="24"/>
                <w:szCs w:val="24"/>
              </w:rPr>
              <w:t xml:space="preserve"> </w:t>
            </w:r>
            <w:r w:rsidRPr="00C56257">
              <w:rPr>
                <w:color w:val="000000" w:themeColor="text1"/>
                <w:sz w:val="24"/>
                <w:szCs w:val="24"/>
              </w:rPr>
              <w:t>specii</w:t>
            </w:r>
          </w:p>
        </w:tc>
        <w:tc>
          <w:tcPr>
            <w:tcW w:w="7101" w:type="dxa"/>
          </w:tcPr>
          <w:p w14:paraId="2EC0C8BA" w14:textId="77777777" w:rsidR="007702CD" w:rsidRPr="00C56257" w:rsidRDefault="007702CD" w:rsidP="009E63E5">
            <w:pPr>
              <w:pStyle w:val="TableParagraph"/>
              <w:numPr>
                <w:ilvl w:val="0"/>
                <w:numId w:val="58"/>
              </w:numPr>
              <w:tabs>
                <w:tab w:val="left" w:pos="535"/>
              </w:tabs>
              <w:spacing w:line="270" w:lineRule="exact"/>
              <w:jc w:val="both"/>
              <w:rPr>
                <w:color w:val="000000" w:themeColor="text1"/>
                <w:sz w:val="24"/>
                <w:szCs w:val="24"/>
              </w:rPr>
            </w:pPr>
            <w:r w:rsidRPr="00C56257">
              <w:rPr>
                <w:color w:val="000000" w:themeColor="text1"/>
                <w:sz w:val="24"/>
                <w:szCs w:val="24"/>
              </w:rPr>
              <w:t>abundența</w:t>
            </w:r>
            <w:r w:rsidRPr="00C56257">
              <w:rPr>
                <w:color w:val="000000" w:themeColor="text1"/>
                <w:spacing w:val="-1"/>
                <w:sz w:val="24"/>
                <w:szCs w:val="24"/>
              </w:rPr>
              <w:t xml:space="preserve"> </w:t>
            </w:r>
            <w:r w:rsidRPr="00C56257">
              <w:rPr>
                <w:color w:val="000000" w:themeColor="text1"/>
                <w:sz w:val="24"/>
                <w:szCs w:val="24"/>
              </w:rPr>
              <w:t>relativă</w:t>
            </w:r>
            <w:r w:rsidRPr="00C56257">
              <w:rPr>
                <w:color w:val="000000" w:themeColor="text1"/>
                <w:spacing w:val="-2"/>
                <w:sz w:val="24"/>
                <w:szCs w:val="24"/>
              </w:rPr>
              <w:t xml:space="preserve"> </w:t>
            </w:r>
            <w:r w:rsidRPr="00C56257">
              <w:rPr>
                <w:color w:val="000000" w:themeColor="text1"/>
                <w:sz w:val="24"/>
                <w:szCs w:val="24"/>
              </w:rPr>
              <w:t>şi</w:t>
            </w:r>
            <w:r w:rsidRPr="00C56257">
              <w:rPr>
                <w:color w:val="000000" w:themeColor="text1"/>
                <w:spacing w:val="-3"/>
                <w:sz w:val="24"/>
                <w:szCs w:val="24"/>
              </w:rPr>
              <w:t xml:space="preserve"> </w:t>
            </w:r>
            <w:r w:rsidRPr="00C56257">
              <w:rPr>
                <w:color w:val="000000" w:themeColor="text1"/>
                <w:sz w:val="24"/>
                <w:szCs w:val="24"/>
              </w:rPr>
              <w:t>absolută</w:t>
            </w:r>
          </w:p>
          <w:p w14:paraId="34E1611C" w14:textId="77777777" w:rsidR="007702CD" w:rsidRPr="00C56257" w:rsidRDefault="007702CD" w:rsidP="009E63E5">
            <w:pPr>
              <w:pStyle w:val="TableParagraph"/>
              <w:numPr>
                <w:ilvl w:val="0"/>
                <w:numId w:val="58"/>
              </w:numPr>
              <w:tabs>
                <w:tab w:val="left" w:pos="535"/>
              </w:tabs>
              <w:spacing w:line="264" w:lineRule="exact"/>
              <w:jc w:val="both"/>
              <w:rPr>
                <w:color w:val="000000" w:themeColor="text1"/>
                <w:sz w:val="24"/>
                <w:szCs w:val="24"/>
              </w:rPr>
            </w:pPr>
            <w:r w:rsidRPr="00C56257">
              <w:rPr>
                <w:color w:val="000000" w:themeColor="text1"/>
                <w:sz w:val="24"/>
                <w:szCs w:val="24"/>
              </w:rPr>
              <w:t>densitate</w:t>
            </w:r>
          </w:p>
        </w:tc>
      </w:tr>
    </w:tbl>
    <w:p w14:paraId="40F1E5C1" w14:textId="77777777" w:rsidR="007702CD" w:rsidRPr="00C56257" w:rsidRDefault="007702CD" w:rsidP="008E33FD">
      <w:pPr>
        <w:pStyle w:val="BodyText"/>
        <w:jc w:val="both"/>
        <w:rPr>
          <w:color w:val="000000" w:themeColor="text1"/>
          <w:sz w:val="24"/>
          <w:szCs w:val="24"/>
        </w:rPr>
      </w:pPr>
    </w:p>
    <w:p w14:paraId="1B07E9D8" w14:textId="77777777" w:rsidR="007702CD" w:rsidRPr="00C56257" w:rsidRDefault="007702CD" w:rsidP="008E33FD">
      <w:pPr>
        <w:pStyle w:val="BodyText"/>
        <w:spacing w:before="8"/>
        <w:jc w:val="both"/>
        <w:rPr>
          <w:color w:val="000000" w:themeColor="text1"/>
          <w:sz w:val="24"/>
          <w:szCs w:val="24"/>
        </w:rPr>
      </w:pPr>
    </w:p>
    <w:p w14:paraId="19A2B6F2" w14:textId="77777777" w:rsidR="007702CD" w:rsidRPr="00C54A03" w:rsidRDefault="007702CD" w:rsidP="008E33FD">
      <w:pPr>
        <w:pStyle w:val="Heading2"/>
        <w:widowControl w:val="0"/>
        <w:tabs>
          <w:tab w:val="left" w:pos="1115"/>
        </w:tabs>
        <w:autoSpaceDE w:val="0"/>
        <w:autoSpaceDN w:val="0"/>
        <w:spacing w:before="0" w:beforeAutospacing="0" w:after="0" w:afterAutospacing="0"/>
        <w:jc w:val="both"/>
        <w:rPr>
          <w:color w:val="000000" w:themeColor="text1"/>
          <w:sz w:val="24"/>
          <w:szCs w:val="24"/>
          <w:lang w:val="fr-FR"/>
        </w:rPr>
      </w:pPr>
      <w:proofErr w:type="spellStart"/>
      <w:r w:rsidRPr="00C54A03">
        <w:rPr>
          <w:color w:val="000000" w:themeColor="text1"/>
          <w:sz w:val="24"/>
          <w:szCs w:val="24"/>
          <w:lang w:val="fr-FR"/>
        </w:rPr>
        <w:t>Metoda</w:t>
      </w:r>
      <w:proofErr w:type="spellEnd"/>
      <w:r w:rsidRPr="00C54A03">
        <w:rPr>
          <w:color w:val="000000" w:themeColor="text1"/>
          <w:spacing w:val="-4"/>
          <w:sz w:val="24"/>
          <w:szCs w:val="24"/>
          <w:lang w:val="fr-FR"/>
        </w:rPr>
        <w:t xml:space="preserve"> </w:t>
      </w:r>
      <w:r w:rsidRPr="00C54A03">
        <w:rPr>
          <w:color w:val="000000" w:themeColor="text1"/>
          <w:sz w:val="24"/>
          <w:szCs w:val="24"/>
          <w:lang w:val="fr-FR"/>
        </w:rPr>
        <w:t>de</w:t>
      </w:r>
      <w:r w:rsidRPr="00C54A03">
        <w:rPr>
          <w:color w:val="000000" w:themeColor="text1"/>
          <w:spacing w:val="-4"/>
          <w:sz w:val="24"/>
          <w:szCs w:val="24"/>
          <w:lang w:val="fr-FR"/>
        </w:rPr>
        <w:t xml:space="preserve"> </w:t>
      </w:r>
      <w:proofErr w:type="spellStart"/>
      <w:r w:rsidRPr="00C54A03">
        <w:rPr>
          <w:color w:val="000000" w:themeColor="text1"/>
          <w:sz w:val="24"/>
          <w:szCs w:val="24"/>
          <w:lang w:val="fr-FR"/>
        </w:rPr>
        <w:t>evaluare</w:t>
      </w:r>
      <w:proofErr w:type="spellEnd"/>
      <w:r w:rsidRPr="00C54A03">
        <w:rPr>
          <w:color w:val="000000" w:themeColor="text1"/>
          <w:spacing w:val="-4"/>
          <w:sz w:val="24"/>
          <w:szCs w:val="24"/>
          <w:lang w:val="fr-FR"/>
        </w:rPr>
        <w:t xml:space="preserve"> </w:t>
      </w:r>
      <w:proofErr w:type="spellStart"/>
      <w:r w:rsidRPr="00C54A03">
        <w:rPr>
          <w:color w:val="000000" w:themeColor="text1"/>
          <w:sz w:val="24"/>
          <w:szCs w:val="24"/>
          <w:lang w:val="fr-FR"/>
        </w:rPr>
        <w:t>pe</w:t>
      </w:r>
      <w:proofErr w:type="spellEnd"/>
      <w:r w:rsidRPr="00C54A03">
        <w:rPr>
          <w:color w:val="000000" w:themeColor="text1"/>
          <w:spacing w:val="-3"/>
          <w:sz w:val="24"/>
          <w:szCs w:val="24"/>
          <w:lang w:val="fr-FR"/>
        </w:rPr>
        <w:t xml:space="preserve"> </w:t>
      </w:r>
      <w:r w:rsidRPr="00C54A03">
        <w:rPr>
          <w:color w:val="000000" w:themeColor="text1"/>
          <w:sz w:val="24"/>
          <w:szCs w:val="24"/>
          <w:lang w:val="fr-FR"/>
        </w:rPr>
        <w:t>plot</w:t>
      </w:r>
      <w:r w:rsidRPr="00C54A03">
        <w:rPr>
          <w:color w:val="000000" w:themeColor="text1"/>
          <w:spacing w:val="-2"/>
          <w:sz w:val="24"/>
          <w:szCs w:val="24"/>
          <w:lang w:val="fr-FR"/>
        </w:rPr>
        <w:t xml:space="preserve"> </w:t>
      </w:r>
      <w:r w:rsidRPr="00C54A03">
        <w:rPr>
          <w:color w:val="000000" w:themeColor="text1"/>
          <w:sz w:val="24"/>
          <w:szCs w:val="24"/>
          <w:lang w:val="fr-FR"/>
        </w:rPr>
        <w:t>de</w:t>
      </w:r>
      <w:r w:rsidRPr="00C54A03">
        <w:rPr>
          <w:color w:val="000000" w:themeColor="text1"/>
          <w:spacing w:val="-4"/>
          <w:sz w:val="24"/>
          <w:szCs w:val="24"/>
          <w:lang w:val="fr-FR"/>
        </w:rPr>
        <w:t xml:space="preserve"> </w:t>
      </w:r>
      <w:proofErr w:type="spellStart"/>
      <w:r w:rsidRPr="00C54A03">
        <w:rPr>
          <w:color w:val="000000" w:themeColor="text1"/>
          <w:sz w:val="24"/>
          <w:szCs w:val="24"/>
          <w:lang w:val="fr-FR"/>
        </w:rPr>
        <w:t>monitorizare</w:t>
      </w:r>
      <w:proofErr w:type="spellEnd"/>
    </w:p>
    <w:p w14:paraId="12513397" w14:textId="77777777" w:rsidR="007702CD" w:rsidRPr="00C54A03" w:rsidRDefault="007702CD" w:rsidP="008E33FD">
      <w:pPr>
        <w:pStyle w:val="BodyText"/>
        <w:spacing w:before="159" w:line="276" w:lineRule="auto"/>
        <w:ind w:left="293" w:right="248"/>
        <w:jc w:val="both"/>
        <w:rPr>
          <w:color w:val="000000" w:themeColor="text1"/>
          <w:sz w:val="24"/>
          <w:szCs w:val="24"/>
          <w:lang w:val="fr-FR"/>
        </w:rPr>
      </w:pPr>
      <w:r w:rsidRPr="00C54A03">
        <w:rPr>
          <w:noProof/>
          <w:color w:val="000000" w:themeColor="text1"/>
          <w:sz w:val="24"/>
          <w:szCs w:val="24"/>
        </w:rPr>
        <w:lastRenderedPageBreak/>
        <w:drawing>
          <wp:anchor distT="0" distB="0" distL="0" distR="0" simplePos="0" relativeHeight="251656192" behindDoc="0" locked="0" layoutInCell="1" allowOverlap="1" wp14:anchorId="627372A2" wp14:editId="0201A0F3">
            <wp:simplePos x="0" y="0"/>
            <wp:positionH relativeFrom="page">
              <wp:posOffset>1210310</wp:posOffset>
            </wp:positionH>
            <wp:positionV relativeFrom="paragraph">
              <wp:posOffset>1390308</wp:posOffset>
            </wp:positionV>
            <wp:extent cx="5178563" cy="3686175"/>
            <wp:effectExtent l="0" t="0" r="0" b="0"/>
            <wp:wrapTopAndBottom/>
            <wp:docPr id="272"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4.jpeg"/>
                    <pic:cNvPicPr/>
                  </pic:nvPicPr>
                  <pic:blipFill>
                    <a:blip r:embed="rId78" cstate="print"/>
                    <a:stretch>
                      <a:fillRect/>
                    </a:stretch>
                  </pic:blipFill>
                  <pic:spPr>
                    <a:xfrm>
                      <a:off x="0" y="0"/>
                      <a:ext cx="5178563" cy="3686175"/>
                    </a:xfrm>
                    <a:prstGeom prst="rect">
                      <a:avLst/>
                    </a:prstGeom>
                  </pic:spPr>
                </pic:pic>
              </a:graphicData>
            </a:graphic>
          </wp:anchor>
        </w:drawing>
      </w:r>
      <w:proofErr w:type="spellStart"/>
      <w:r w:rsidRPr="00C54A03">
        <w:rPr>
          <w:color w:val="000000" w:themeColor="text1"/>
          <w:sz w:val="24"/>
          <w:szCs w:val="24"/>
          <w:lang w:val="fr-FR"/>
        </w:rPr>
        <w:t>Hărțile</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distribuție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și</w:t>
      </w:r>
      <w:proofErr w:type="spellEnd"/>
      <w:r w:rsidRPr="00C54A03">
        <w:rPr>
          <w:color w:val="000000" w:themeColor="text1"/>
          <w:sz w:val="24"/>
          <w:szCs w:val="24"/>
          <w:lang w:val="fr-FR"/>
        </w:rPr>
        <w:t xml:space="preserve"> ale </w:t>
      </w:r>
      <w:proofErr w:type="spellStart"/>
      <w:r w:rsidRPr="00C54A03">
        <w:rPr>
          <w:color w:val="000000" w:themeColor="text1"/>
          <w:sz w:val="24"/>
          <w:szCs w:val="24"/>
          <w:lang w:val="fr-FR"/>
        </w:rPr>
        <w:t>arealului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fiecărui</w:t>
      </w:r>
      <w:proofErr w:type="spellEnd"/>
      <w:r w:rsidRPr="00C54A03">
        <w:rPr>
          <w:color w:val="000000" w:themeColor="text1"/>
          <w:sz w:val="24"/>
          <w:szCs w:val="24"/>
          <w:lang w:val="fr-FR"/>
        </w:rPr>
        <w:t xml:space="preserve"> tip de habitat se vor </w:t>
      </w:r>
      <w:proofErr w:type="spellStart"/>
      <w:r w:rsidRPr="00C54A03">
        <w:rPr>
          <w:color w:val="000000" w:themeColor="text1"/>
          <w:sz w:val="24"/>
          <w:szCs w:val="24"/>
          <w:lang w:val="fr-FR"/>
        </w:rPr>
        <w:t>realiza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formatul</w:t>
      </w:r>
      <w:proofErr w:type="spellEnd"/>
      <w:r w:rsidRPr="00C54A03">
        <w:rPr>
          <w:color w:val="000000" w:themeColor="text1"/>
          <w:sz w:val="24"/>
          <w:szCs w:val="24"/>
          <w:lang w:val="fr-FR"/>
        </w:rPr>
        <w:t xml:space="preserve"> standard 10x10</w:t>
      </w:r>
      <w:r w:rsidRPr="00C54A03">
        <w:rPr>
          <w:color w:val="000000" w:themeColor="text1"/>
          <w:spacing w:val="1"/>
          <w:sz w:val="24"/>
          <w:szCs w:val="24"/>
          <w:lang w:val="fr-FR"/>
        </w:rPr>
        <w:t xml:space="preserve"> </w:t>
      </w:r>
      <w:r w:rsidRPr="00C54A03">
        <w:rPr>
          <w:color w:val="000000" w:themeColor="text1"/>
          <w:sz w:val="24"/>
          <w:szCs w:val="24"/>
          <w:lang w:val="fr-FR"/>
        </w:rPr>
        <w:t xml:space="preserve">km ETRS, </w:t>
      </w:r>
      <w:proofErr w:type="spellStart"/>
      <w:r w:rsidRPr="00C54A03">
        <w:rPr>
          <w:color w:val="000000" w:themeColor="text1"/>
          <w:sz w:val="24"/>
          <w:szCs w:val="24"/>
          <w:lang w:val="fr-FR"/>
        </w:rPr>
        <w:t>proiecţie</w:t>
      </w:r>
      <w:proofErr w:type="spellEnd"/>
      <w:r w:rsidRPr="00C54A03">
        <w:rPr>
          <w:color w:val="000000" w:themeColor="text1"/>
          <w:sz w:val="24"/>
          <w:szCs w:val="24"/>
          <w:lang w:val="fr-FR"/>
        </w:rPr>
        <w:t xml:space="preserve"> ETRS 5210. </w:t>
      </w:r>
      <w:proofErr w:type="spellStart"/>
      <w:r w:rsidRPr="00C54A03">
        <w:rPr>
          <w:color w:val="000000" w:themeColor="text1"/>
          <w:sz w:val="24"/>
          <w:szCs w:val="24"/>
          <w:lang w:val="fr-FR"/>
        </w:rPr>
        <w:t>Conform</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instrucțiunilor</w:t>
      </w:r>
      <w:proofErr w:type="spellEnd"/>
      <w:r w:rsidRPr="00C54A03">
        <w:rPr>
          <w:color w:val="000000" w:themeColor="text1"/>
          <w:sz w:val="24"/>
          <w:szCs w:val="24"/>
          <w:lang w:val="fr-FR"/>
        </w:rPr>
        <w:t xml:space="preserve"> CE nu este </w:t>
      </w:r>
      <w:proofErr w:type="spellStart"/>
      <w:r w:rsidRPr="00C54A03">
        <w:rPr>
          <w:color w:val="000000" w:themeColor="text1"/>
          <w:sz w:val="24"/>
          <w:szCs w:val="24"/>
          <w:lang w:val="fr-FR"/>
        </w:rPr>
        <w:t>permisa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utilizarea</w:t>
      </w:r>
      <w:proofErr w:type="spellEnd"/>
      <w:r w:rsidRPr="00C54A03">
        <w:rPr>
          <w:color w:val="000000" w:themeColor="text1"/>
          <w:sz w:val="24"/>
          <w:szCs w:val="24"/>
          <w:lang w:val="fr-FR"/>
        </w:rPr>
        <w:t xml:space="preserve"> de date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atribut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pentru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indicarea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prezenței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unui</w:t>
      </w:r>
      <w:proofErr w:type="spellEnd"/>
      <w:r w:rsidRPr="00C54A03">
        <w:rPr>
          <w:color w:val="000000" w:themeColor="text1"/>
          <w:sz w:val="24"/>
          <w:szCs w:val="24"/>
          <w:lang w:val="fr-FR"/>
        </w:rPr>
        <w:t xml:space="preserve"> habitat </w:t>
      </w:r>
      <w:proofErr w:type="spellStart"/>
      <w:r w:rsidRPr="00C54A03">
        <w:rPr>
          <w:color w:val="000000" w:themeColor="text1"/>
          <w:sz w:val="24"/>
          <w:szCs w:val="24"/>
          <w:lang w:val="fr-FR"/>
        </w:rPr>
        <w:t>într</w:t>
      </w:r>
      <w:proofErr w:type="spellEnd"/>
      <w:r w:rsidRPr="00C54A03">
        <w:rPr>
          <w:color w:val="000000" w:themeColor="text1"/>
          <w:sz w:val="24"/>
          <w:szCs w:val="24"/>
          <w:lang w:val="fr-FR"/>
        </w:rPr>
        <w:t xml:space="preserve">-o </w:t>
      </w:r>
      <w:proofErr w:type="spellStart"/>
      <w:r w:rsidRPr="00C54A03">
        <w:rPr>
          <w:color w:val="000000" w:themeColor="text1"/>
          <w:sz w:val="24"/>
          <w:szCs w:val="24"/>
          <w:lang w:val="fr-FR"/>
        </w:rPr>
        <w:t>celula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din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grid</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Hărțile</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distribuție</w:t>
      </w:r>
      <w:proofErr w:type="spellEnd"/>
      <w:r w:rsidRPr="00C54A03">
        <w:rPr>
          <w:color w:val="000000" w:themeColor="text1"/>
          <w:sz w:val="24"/>
          <w:szCs w:val="24"/>
          <w:lang w:val="fr-FR"/>
        </w:rPr>
        <w:t xml:space="preserve"> vor fi</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completate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metadatele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necesare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conform</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cerințele</w:t>
      </w:r>
      <w:proofErr w:type="spellEnd"/>
      <w:r w:rsidRPr="00C54A03">
        <w:rPr>
          <w:color w:val="000000" w:themeColor="text1"/>
          <w:sz w:val="24"/>
          <w:szCs w:val="24"/>
          <w:lang w:val="fr-FR"/>
        </w:rPr>
        <w:t xml:space="preserve"> CE, </w:t>
      </w:r>
      <w:proofErr w:type="spellStart"/>
      <w:r w:rsidRPr="00C54A03">
        <w:rPr>
          <w:color w:val="000000" w:themeColor="text1"/>
          <w:sz w:val="24"/>
          <w:szCs w:val="24"/>
          <w:lang w:val="fr-FR"/>
        </w:rPr>
        <w:t>și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concordanță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specificațiile</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 xml:space="preserve">INSPIRE, </w:t>
      </w:r>
      <w:proofErr w:type="spellStart"/>
      <w:r w:rsidRPr="00C54A03">
        <w:rPr>
          <w:color w:val="000000" w:themeColor="text1"/>
          <w:sz w:val="24"/>
          <w:szCs w:val="24"/>
          <w:lang w:val="fr-FR"/>
        </w:rPr>
        <w:t>atunci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când</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acestea</w:t>
      </w:r>
      <w:proofErr w:type="spellEnd"/>
      <w:r w:rsidRPr="00C54A03">
        <w:rPr>
          <w:color w:val="000000" w:themeColor="text1"/>
          <w:sz w:val="24"/>
          <w:szCs w:val="24"/>
          <w:lang w:val="fr-FR"/>
        </w:rPr>
        <w:t xml:space="preserve"> vor fi </w:t>
      </w:r>
      <w:proofErr w:type="spellStart"/>
      <w:r w:rsidRPr="00C54A03">
        <w:rPr>
          <w:color w:val="000000" w:themeColor="text1"/>
          <w:sz w:val="24"/>
          <w:szCs w:val="24"/>
          <w:lang w:val="fr-FR"/>
        </w:rPr>
        <w:t>disponibile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pentru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aceste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tipuri</w:t>
      </w:r>
      <w:proofErr w:type="spellEnd"/>
      <w:r w:rsidRPr="00C54A03">
        <w:rPr>
          <w:color w:val="000000" w:themeColor="text1"/>
          <w:sz w:val="24"/>
          <w:szCs w:val="24"/>
          <w:lang w:val="fr-FR"/>
        </w:rPr>
        <w:t xml:space="preserve"> de date. </w:t>
      </w:r>
      <w:proofErr w:type="spellStart"/>
      <w:r w:rsidRPr="00C54A03">
        <w:rPr>
          <w:color w:val="000000" w:themeColor="text1"/>
          <w:sz w:val="24"/>
          <w:szCs w:val="24"/>
          <w:lang w:val="fr-FR"/>
        </w:rPr>
        <w:t>Metadatele</w:t>
      </w:r>
      <w:proofErr w:type="spellEnd"/>
      <w:r w:rsidRPr="00C54A03">
        <w:rPr>
          <w:color w:val="000000" w:themeColor="text1"/>
          <w:sz w:val="24"/>
          <w:szCs w:val="24"/>
          <w:lang w:val="fr-FR"/>
        </w:rPr>
        <w:t xml:space="preserve"> vor </w:t>
      </w:r>
      <w:proofErr w:type="spellStart"/>
      <w:r w:rsidRPr="00C54A03">
        <w:rPr>
          <w:color w:val="000000" w:themeColor="text1"/>
          <w:sz w:val="24"/>
          <w:szCs w:val="24"/>
          <w:lang w:val="fr-FR"/>
        </w:rPr>
        <w:t>conține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între</w:t>
      </w:r>
      <w:proofErr w:type="spellEnd"/>
      <w:r w:rsidRPr="00C54A03">
        <w:rPr>
          <w:color w:val="000000" w:themeColor="text1"/>
          <w:spacing w:val="-3"/>
          <w:sz w:val="24"/>
          <w:szCs w:val="24"/>
          <w:lang w:val="fr-FR"/>
        </w:rPr>
        <w:t xml:space="preserve"> </w:t>
      </w:r>
      <w:proofErr w:type="spellStart"/>
      <w:r w:rsidRPr="00C54A03">
        <w:rPr>
          <w:color w:val="000000" w:themeColor="text1"/>
          <w:sz w:val="24"/>
          <w:szCs w:val="24"/>
          <w:lang w:val="fr-FR"/>
        </w:rPr>
        <w:t>altele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perioada</w:t>
      </w:r>
      <w:proofErr w:type="spellEnd"/>
      <w:r w:rsidRPr="00C54A03">
        <w:rPr>
          <w:color w:val="000000" w:themeColor="text1"/>
          <w:spacing w:val="-2"/>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care</w:t>
      </w:r>
      <w:r w:rsidRPr="00C54A03">
        <w:rPr>
          <w:color w:val="000000" w:themeColor="text1"/>
          <w:spacing w:val="-2"/>
          <w:sz w:val="24"/>
          <w:szCs w:val="24"/>
          <w:lang w:val="fr-FR"/>
        </w:rPr>
        <w:t xml:space="preserve"> </w:t>
      </w:r>
      <w:r w:rsidRPr="00C54A03">
        <w:rPr>
          <w:color w:val="000000" w:themeColor="text1"/>
          <w:sz w:val="24"/>
          <w:szCs w:val="24"/>
          <w:lang w:val="fr-FR"/>
        </w:rPr>
        <w:t>au</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fost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culese</w:t>
      </w:r>
      <w:proofErr w:type="spellEnd"/>
      <w:r w:rsidRPr="00C54A03">
        <w:rPr>
          <w:color w:val="000000" w:themeColor="text1"/>
          <w:spacing w:val="-2"/>
          <w:sz w:val="24"/>
          <w:szCs w:val="24"/>
          <w:lang w:val="fr-FR"/>
        </w:rPr>
        <w:t xml:space="preserve"> </w:t>
      </w:r>
      <w:proofErr w:type="spellStart"/>
      <w:r w:rsidRPr="00C54A03">
        <w:rPr>
          <w:color w:val="000000" w:themeColor="text1"/>
          <w:sz w:val="24"/>
          <w:szCs w:val="24"/>
          <w:lang w:val="fr-FR"/>
        </w:rPr>
        <w:t>datele</w:t>
      </w:r>
      <w:proofErr w:type="spellEnd"/>
      <w:r w:rsidRPr="00C54A03">
        <w:rPr>
          <w:color w:val="000000" w:themeColor="text1"/>
          <w:sz w:val="24"/>
          <w:szCs w:val="24"/>
          <w:lang w:val="fr-FR"/>
        </w:rPr>
        <w:t xml:space="preserve"> 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distribuție</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sistemul</w:t>
      </w:r>
      <w:proofErr w:type="spellEnd"/>
      <w:r w:rsidRPr="00C54A03">
        <w:rPr>
          <w:color w:val="000000" w:themeColor="text1"/>
          <w:sz w:val="24"/>
          <w:szCs w:val="24"/>
          <w:lang w:val="fr-FR"/>
        </w:rPr>
        <w:t xml:space="preserve"> 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proiecție</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r w:rsidRPr="00C54A03">
        <w:rPr>
          <w:color w:val="000000" w:themeColor="text1"/>
          <w:sz w:val="24"/>
          <w:szCs w:val="24"/>
          <w:lang w:val="fr-FR"/>
        </w:rPr>
        <w:t>data,</w:t>
      </w:r>
      <w:r w:rsidRPr="00C54A03">
        <w:rPr>
          <w:color w:val="000000" w:themeColor="text1"/>
          <w:spacing w:val="2"/>
          <w:sz w:val="24"/>
          <w:szCs w:val="24"/>
          <w:lang w:val="fr-FR"/>
        </w:rPr>
        <w:t xml:space="preserve"> </w:t>
      </w:r>
      <w:r w:rsidRPr="00C54A03">
        <w:rPr>
          <w:color w:val="000000" w:themeColor="text1"/>
          <w:sz w:val="24"/>
          <w:szCs w:val="24"/>
          <w:lang w:val="fr-FR"/>
        </w:rPr>
        <w:t>etc.</w:t>
      </w:r>
    </w:p>
    <w:p w14:paraId="5034DAE2" w14:textId="77777777" w:rsidR="007702CD" w:rsidRPr="00C54A03" w:rsidRDefault="007702CD" w:rsidP="008E33FD">
      <w:pPr>
        <w:pStyle w:val="BodyText"/>
        <w:jc w:val="both"/>
        <w:rPr>
          <w:color w:val="000000" w:themeColor="text1"/>
          <w:sz w:val="24"/>
          <w:szCs w:val="24"/>
          <w:lang w:val="fr-FR"/>
        </w:rPr>
      </w:pPr>
    </w:p>
    <w:p w14:paraId="16BDDE54" w14:textId="77777777" w:rsidR="007702CD" w:rsidRPr="00C54A03" w:rsidRDefault="007702CD" w:rsidP="008E33FD">
      <w:pPr>
        <w:pStyle w:val="Heading2"/>
        <w:widowControl w:val="0"/>
        <w:tabs>
          <w:tab w:val="left" w:pos="1115"/>
        </w:tabs>
        <w:autoSpaceDE w:val="0"/>
        <w:autoSpaceDN w:val="0"/>
        <w:spacing w:before="1" w:beforeAutospacing="0" w:after="0" w:afterAutospacing="0"/>
        <w:jc w:val="both"/>
        <w:rPr>
          <w:color w:val="000000" w:themeColor="text1"/>
          <w:sz w:val="24"/>
          <w:szCs w:val="24"/>
        </w:rPr>
      </w:pPr>
      <w:proofErr w:type="spellStart"/>
      <w:r w:rsidRPr="00C54A03">
        <w:rPr>
          <w:color w:val="000000" w:themeColor="text1"/>
          <w:sz w:val="24"/>
          <w:szCs w:val="24"/>
        </w:rPr>
        <w:t>Agregarea</w:t>
      </w:r>
      <w:proofErr w:type="spellEnd"/>
      <w:r w:rsidRPr="00C54A03">
        <w:rPr>
          <w:color w:val="000000" w:themeColor="text1"/>
          <w:spacing w:val="-5"/>
          <w:sz w:val="24"/>
          <w:szCs w:val="24"/>
        </w:rPr>
        <w:t xml:space="preserve"> </w:t>
      </w:r>
      <w:proofErr w:type="spellStart"/>
      <w:r w:rsidRPr="00C54A03">
        <w:rPr>
          <w:color w:val="000000" w:themeColor="text1"/>
          <w:sz w:val="24"/>
          <w:szCs w:val="24"/>
        </w:rPr>
        <w:t>informației</w:t>
      </w:r>
      <w:proofErr w:type="spellEnd"/>
      <w:r w:rsidRPr="00C54A03">
        <w:rPr>
          <w:color w:val="000000" w:themeColor="text1"/>
          <w:spacing w:val="-5"/>
          <w:sz w:val="24"/>
          <w:szCs w:val="24"/>
        </w:rPr>
        <w:t xml:space="preserve"> </w:t>
      </w:r>
      <w:r w:rsidRPr="00C54A03">
        <w:rPr>
          <w:color w:val="000000" w:themeColor="text1"/>
          <w:sz w:val="24"/>
          <w:szCs w:val="24"/>
        </w:rPr>
        <w:t>pe</w:t>
      </w:r>
      <w:r w:rsidRPr="00C54A03">
        <w:rPr>
          <w:color w:val="000000" w:themeColor="text1"/>
          <w:spacing w:val="-5"/>
          <w:sz w:val="24"/>
          <w:szCs w:val="24"/>
        </w:rPr>
        <w:t xml:space="preserve"> </w:t>
      </w:r>
      <w:r w:rsidRPr="00C54A03">
        <w:rPr>
          <w:color w:val="000000" w:themeColor="text1"/>
          <w:sz w:val="24"/>
          <w:szCs w:val="24"/>
        </w:rPr>
        <w:t>plot</w:t>
      </w:r>
      <w:r w:rsidRPr="00C54A03">
        <w:rPr>
          <w:color w:val="000000" w:themeColor="text1"/>
          <w:spacing w:val="-4"/>
          <w:sz w:val="24"/>
          <w:szCs w:val="24"/>
        </w:rPr>
        <w:t xml:space="preserve"> </w:t>
      </w:r>
      <w:r w:rsidRPr="00C54A03">
        <w:rPr>
          <w:color w:val="000000" w:themeColor="text1"/>
          <w:sz w:val="24"/>
          <w:szCs w:val="24"/>
        </w:rPr>
        <w:t>de</w:t>
      </w:r>
      <w:r w:rsidRPr="00C54A03">
        <w:rPr>
          <w:color w:val="000000" w:themeColor="text1"/>
          <w:spacing w:val="-5"/>
          <w:sz w:val="24"/>
          <w:szCs w:val="24"/>
        </w:rPr>
        <w:t xml:space="preserve"> </w:t>
      </w:r>
      <w:proofErr w:type="spellStart"/>
      <w:r w:rsidRPr="00C54A03">
        <w:rPr>
          <w:color w:val="000000" w:themeColor="text1"/>
          <w:sz w:val="24"/>
          <w:szCs w:val="24"/>
        </w:rPr>
        <w:t>monitorizare</w:t>
      </w:r>
      <w:proofErr w:type="spellEnd"/>
    </w:p>
    <w:p w14:paraId="0D070846" w14:textId="77777777" w:rsidR="007702CD" w:rsidRPr="00C54A03" w:rsidRDefault="007702CD" w:rsidP="00277E6E">
      <w:pPr>
        <w:pStyle w:val="BodyText"/>
        <w:spacing w:before="157"/>
        <w:ind w:left="0"/>
        <w:jc w:val="both"/>
        <w:rPr>
          <w:color w:val="000000" w:themeColor="text1"/>
          <w:sz w:val="24"/>
          <w:szCs w:val="24"/>
          <w:lang w:val="fr-FR"/>
        </w:rPr>
      </w:pPr>
      <w:proofErr w:type="spellStart"/>
      <w:r w:rsidRPr="00C54A03">
        <w:rPr>
          <w:color w:val="000000" w:themeColor="text1"/>
          <w:sz w:val="24"/>
          <w:szCs w:val="24"/>
          <w:lang w:val="fr-FR"/>
        </w:rPr>
        <w:t>Modul</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agregare</w:t>
      </w:r>
      <w:proofErr w:type="spellEnd"/>
      <w:r w:rsidRPr="00C54A03">
        <w:rPr>
          <w:color w:val="000000" w:themeColor="text1"/>
          <w:sz w:val="24"/>
          <w:szCs w:val="24"/>
          <w:lang w:val="fr-FR"/>
        </w:rPr>
        <w:t xml:space="preserve"> a</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datelor</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se</w:t>
      </w:r>
      <w:r w:rsidRPr="00C54A03">
        <w:rPr>
          <w:color w:val="000000" w:themeColor="text1"/>
          <w:spacing w:val="-1"/>
          <w:sz w:val="24"/>
          <w:szCs w:val="24"/>
          <w:lang w:val="fr-FR"/>
        </w:rPr>
        <w:t xml:space="preserve"> </w:t>
      </w:r>
      <w:r w:rsidRPr="00C54A03">
        <w:rPr>
          <w:color w:val="000000" w:themeColor="text1"/>
          <w:sz w:val="24"/>
          <w:szCs w:val="24"/>
          <w:lang w:val="fr-FR"/>
        </w:rPr>
        <w:t>face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două</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etape</w:t>
      </w:r>
      <w:proofErr w:type="spellEnd"/>
      <w:r w:rsidRPr="00C54A03">
        <w:rPr>
          <w:color w:val="000000" w:themeColor="text1"/>
          <w:sz w:val="24"/>
          <w:szCs w:val="24"/>
          <w:lang w:val="fr-FR"/>
        </w:rPr>
        <w:t>:</w:t>
      </w:r>
    </w:p>
    <w:p w14:paraId="61D50B0B" w14:textId="77777777" w:rsidR="00E87D2D" w:rsidRPr="00C54A03" w:rsidRDefault="007702CD" w:rsidP="00277E6E">
      <w:pPr>
        <w:pStyle w:val="ListParagraph"/>
        <w:widowControl w:val="0"/>
        <w:numPr>
          <w:ilvl w:val="0"/>
          <w:numId w:val="57"/>
        </w:numPr>
        <w:tabs>
          <w:tab w:val="left" w:pos="713"/>
          <w:tab w:val="left" w:pos="714"/>
        </w:tabs>
        <w:autoSpaceDE w:val="0"/>
        <w:autoSpaceDN w:val="0"/>
        <w:spacing w:before="12" w:line="228" w:lineRule="auto"/>
        <w:ind w:left="0" w:right="252" w:firstLine="0"/>
        <w:jc w:val="both"/>
        <w:rPr>
          <w:rFonts w:ascii="Times New Roman" w:hAnsi="Times New Roman" w:cs="Times New Roman"/>
          <w:color w:val="000000" w:themeColor="text1"/>
          <w:sz w:val="24"/>
          <w:szCs w:val="24"/>
        </w:rPr>
      </w:pPr>
      <w:proofErr w:type="spellStart"/>
      <w:r w:rsidRPr="00C54A03">
        <w:rPr>
          <w:rFonts w:ascii="Times New Roman" w:hAnsi="Times New Roman" w:cs="Times New Roman"/>
          <w:color w:val="000000" w:themeColor="text1"/>
          <w:sz w:val="24"/>
          <w:szCs w:val="24"/>
        </w:rPr>
        <w:t>Agregarea</w:t>
      </w:r>
      <w:proofErr w:type="spellEnd"/>
      <w:r w:rsidRPr="00C54A03">
        <w:rPr>
          <w:rFonts w:ascii="Times New Roman" w:hAnsi="Times New Roman" w:cs="Times New Roman"/>
          <w:color w:val="000000" w:themeColor="text1"/>
          <w:spacing w:val="14"/>
          <w:sz w:val="24"/>
          <w:szCs w:val="24"/>
        </w:rPr>
        <w:t xml:space="preserve"> </w:t>
      </w:r>
      <w:proofErr w:type="spellStart"/>
      <w:r w:rsidRPr="00C54A03">
        <w:rPr>
          <w:rFonts w:ascii="Times New Roman" w:hAnsi="Times New Roman" w:cs="Times New Roman"/>
          <w:color w:val="000000" w:themeColor="text1"/>
          <w:sz w:val="24"/>
          <w:szCs w:val="24"/>
        </w:rPr>
        <w:t>spațială</w:t>
      </w:r>
      <w:proofErr w:type="spellEnd"/>
      <w:r w:rsidRPr="00C54A03">
        <w:rPr>
          <w:rFonts w:ascii="Times New Roman" w:hAnsi="Times New Roman" w:cs="Times New Roman"/>
          <w:color w:val="000000" w:themeColor="text1"/>
          <w:sz w:val="24"/>
          <w:szCs w:val="24"/>
        </w:rPr>
        <w:t>,</w:t>
      </w:r>
      <w:r w:rsidRPr="00C54A03">
        <w:rPr>
          <w:rFonts w:ascii="Times New Roman" w:hAnsi="Times New Roman" w:cs="Times New Roman"/>
          <w:color w:val="000000" w:themeColor="text1"/>
          <w:spacing w:val="16"/>
          <w:sz w:val="24"/>
          <w:szCs w:val="24"/>
        </w:rPr>
        <w:t xml:space="preserve"> </w:t>
      </w:r>
      <w:proofErr w:type="spellStart"/>
      <w:r w:rsidRPr="00C54A03">
        <w:rPr>
          <w:rFonts w:ascii="Times New Roman" w:hAnsi="Times New Roman" w:cs="Times New Roman"/>
          <w:color w:val="000000" w:themeColor="text1"/>
          <w:sz w:val="24"/>
          <w:szCs w:val="24"/>
        </w:rPr>
        <w:t>respectiv</w:t>
      </w:r>
      <w:proofErr w:type="spellEnd"/>
      <w:r w:rsidRPr="00C54A03">
        <w:rPr>
          <w:rFonts w:ascii="Times New Roman" w:hAnsi="Times New Roman" w:cs="Times New Roman"/>
          <w:color w:val="000000" w:themeColor="text1"/>
          <w:spacing w:val="16"/>
          <w:sz w:val="24"/>
          <w:szCs w:val="24"/>
        </w:rPr>
        <w:t xml:space="preserve"> </w:t>
      </w:r>
      <w:proofErr w:type="spellStart"/>
      <w:r w:rsidRPr="00C54A03">
        <w:rPr>
          <w:rFonts w:ascii="Times New Roman" w:hAnsi="Times New Roman" w:cs="Times New Roman"/>
          <w:color w:val="000000" w:themeColor="text1"/>
          <w:sz w:val="24"/>
          <w:szCs w:val="24"/>
        </w:rPr>
        <w:t>generarea</w:t>
      </w:r>
      <w:proofErr w:type="spellEnd"/>
      <w:r w:rsidRPr="00C54A03">
        <w:rPr>
          <w:rFonts w:ascii="Times New Roman" w:hAnsi="Times New Roman" w:cs="Times New Roman"/>
          <w:color w:val="000000" w:themeColor="text1"/>
          <w:spacing w:val="14"/>
          <w:sz w:val="24"/>
          <w:szCs w:val="24"/>
        </w:rPr>
        <w:t xml:space="preserve"> </w:t>
      </w:r>
      <w:proofErr w:type="spellStart"/>
      <w:r w:rsidRPr="00C54A03">
        <w:rPr>
          <w:rFonts w:ascii="Times New Roman" w:hAnsi="Times New Roman" w:cs="Times New Roman"/>
          <w:color w:val="000000" w:themeColor="text1"/>
          <w:sz w:val="24"/>
          <w:szCs w:val="24"/>
        </w:rPr>
        <w:t>hărților</w:t>
      </w:r>
      <w:proofErr w:type="spellEnd"/>
      <w:r w:rsidRPr="00C54A03">
        <w:rPr>
          <w:rFonts w:ascii="Times New Roman" w:hAnsi="Times New Roman" w:cs="Times New Roman"/>
          <w:color w:val="000000" w:themeColor="text1"/>
          <w:spacing w:val="15"/>
          <w:sz w:val="24"/>
          <w:szCs w:val="24"/>
        </w:rPr>
        <w:t xml:space="preserve"> </w:t>
      </w:r>
      <w:proofErr w:type="spellStart"/>
      <w:r w:rsidRPr="00C54A03">
        <w:rPr>
          <w:rFonts w:ascii="Times New Roman" w:hAnsi="Times New Roman" w:cs="Times New Roman"/>
          <w:color w:val="000000" w:themeColor="text1"/>
          <w:sz w:val="24"/>
          <w:szCs w:val="24"/>
        </w:rPr>
        <w:t>în</w:t>
      </w:r>
      <w:proofErr w:type="spellEnd"/>
      <w:r w:rsidRPr="00C54A03">
        <w:rPr>
          <w:rFonts w:ascii="Times New Roman" w:hAnsi="Times New Roman" w:cs="Times New Roman"/>
          <w:color w:val="000000" w:themeColor="text1"/>
          <w:spacing w:val="15"/>
          <w:sz w:val="24"/>
          <w:szCs w:val="24"/>
        </w:rPr>
        <w:t xml:space="preserve"> </w:t>
      </w:r>
      <w:proofErr w:type="spellStart"/>
      <w:r w:rsidRPr="00C54A03">
        <w:rPr>
          <w:rFonts w:ascii="Times New Roman" w:hAnsi="Times New Roman" w:cs="Times New Roman"/>
          <w:color w:val="000000" w:themeColor="text1"/>
          <w:sz w:val="24"/>
          <w:szCs w:val="24"/>
        </w:rPr>
        <w:t>conformitate</w:t>
      </w:r>
      <w:proofErr w:type="spellEnd"/>
      <w:r w:rsidRPr="00C54A03">
        <w:rPr>
          <w:rFonts w:ascii="Times New Roman" w:hAnsi="Times New Roman" w:cs="Times New Roman"/>
          <w:color w:val="000000" w:themeColor="text1"/>
          <w:spacing w:val="14"/>
          <w:sz w:val="24"/>
          <w:szCs w:val="24"/>
        </w:rPr>
        <w:t xml:space="preserve"> </w:t>
      </w:r>
      <w:r w:rsidRPr="00C54A03">
        <w:rPr>
          <w:rFonts w:ascii="Times New Roman" w:hAnsi="Times New Roman" w:cs="Times New Roman"/>
          <w:color w:val="000000" w:themeColor="text1"/>
          <w:sz w:val="24"/>
          <w:szCs w:val="24"/>
        </w:rPr>
        <w:t>cu</w:t>
      </w:r>
      <w:r w:rsidRPr="00C54A03">
        <w:rPr>
          <w:rFonts w:ascii="Times New Roman" w:hAnsi="Times New Roman" w:cs="Times New Roman"/>
          <w:color w:val="000000" w:themeColor="text1"/>
          <w:spacing w:val="15"/>
          <w:sz w:val="24"/>
          <w:szCs w:val="24"/>
        </w:rPr>
        <w:t xml:space="preserve"> </w:t>
      </w:r>
      <w:proofErr w:type="spellStart"/>
      <w:r w:rsidRPr="00C54A03">
        <w:rPr>
          <w:rFonts w:ascii="Times New Roman" w:hAnsi="Times New Roman" w:cs="Times New Roman"/>
          <w:color w:val="000000" w:themeColor="text1"/>
          <w:sz w:val="24"/>
          <w:szCs w:val="24"/>
        </w:rPr>
        <w:t>formatul</w:t>
      </w:r>
      <w:proofErr w:type="spellEnd"/>
      <w:r w:rsidRPr="00C54A03">
        <w:rPr>
          <w:rFonts w:ascii="Times New Roman" w:hAnsi="Times New Roman" w:cs="Times New Roman"/>
          <w:color w:val="000000" w:themeColor="text1"/>
          <w:spacing w:val="16"/>
          <w:sz w:val="24"/>
          <w:szCs w:val="24"/>
        </w:rPr>
        <w:t xml:space="preserve"> </w:t>
      </w:r>
      <w:r w:rsidRPr="00C54A03">
        <w:rPr>
          <w:rFonts w:ascii="Times New Roman" w:hAnsi="Times New Roman" w:cs="Times New Roman"/>
          <w:color w:val="000000" w:themeColor="text1"/>
          <w:sz w:val="24"/>
          <w:szCs w:val="24"/>
        </w:rPr>
        <w:t>de</w:t>
      </w:r>
      <w:r w:rsidRPr="00C54A03">
        <w:rPr>
          <w:rFonts w:ascii="Times New Roman" w:hAnsi="Times New Roman" w:cs="Times New Roman"/>
          <w:color w:val="000000" w:themeColor="text1"/>
          <w:spacing w:val="14"/>
          <w:sz w:val="24"/>
          <w:szCs w:val="24"/>
        </w:rPr>
        <w:t xml:space="preserve"> </w:t>
      </w:r>
      <w:proofErr w:type="spellStart"/>
      <w:r w:rsidRPr="00C54A03">
        <w:rPr>
          <w:rFonts w:ascii="Times New Roman" w:hAnsi="Times New Roman" w:cs="Times New Roman"/>
          <w:color w:val="000000" w:themeColor="text1"/>
          <w:sz w:val="24"/>
          <w:szCs w:val="24"/>
        </w:rPr>
        <w:t>raportare</w:t>
      </w:r>
      <w:proofErr w:type="spellEnd"/>
      <w:r w:rsidRPr="00C54A03">
        <w:rPr>
          <w:rFonts w:ascii="Times New Roman" w:hAnsi="Times New Roman" w:cs="Times New Roman"/>
          <w:color w:val="000000" w:themeColor="text1"/>
          <w:spacing w:val="-57"/>
          <w:sz w:val="24"/>
          <w:szCs w:val="24"/>
        </w:rPr>
        <w:t xml:space="preserve"> </w:t>
      </w:r>
      <w:proofErr w:type="spellStart"/>
      <w:r w:rsidRPr="00C54A03">
        <w:rPr>
          <w:rFonts w:ascii="Times New Roman" w:hAnsi="Times New Roman" w:cs="Times New Roman"/>
          <w:color w:val="000000" w:themeColor="text1"/>
          <w:sz w:val="24"/>
          <w:szCs w:val="24"/>
        </w:rPr>
        <w:t>pornind</w:t>
      </w:r>
      <w:proofErr w:type="spellEnd"/>
      <w:r w:rsidRPr="00C54A03">
        <w:rPr>
          <w:rFonts w:ascii="Times New Roman" w:hAnsi="Times New Roman" w:cs="Times New Roman"/>
          <w:color w:val="000000" w:themeColor="text1"/>
          <w:spacing w:val="-1"/>
          <w:sz w:val="24"/>
          <w:szCs w:val="24"/>
        </w:rPr>
        <w:t xml:space="preserve"> </w:t>
      </w:r>
      <w:r w:rsidRPr="00C54A03">
        <w:rPr>
          <w:rFonts w:ascii="Times New Roman" w:hAnsi="Times New Roman" w:cs="Times New Roman"/>
          <w:color w:val="000000" w:themeColor="text1"/>
          <w:sz w:val="24"/>
          <w:szCs w:val="24"/>
        </w:rPr>
        <w:t>de</w:t>
      </w:r>
      <w:r w:rsidRPr="00C54A03">
        <w:rPr>
          <w:rFonts w:ascii="Times New Roman" w:hAnsi="Times New Roman" w:cs="Times New Roman"/>
          <w:color w:val="000000" w:themeColor="text1"/>
          <w:spacing w:val="-2"/>
          <w:sz w:val="24"/>
          <w:szCs w:val="24"/>
        </w:rPr>
        <w:t xml:space="preserve"> </w:t>
      </w:r>
      <w:r w:rsidRPr="00C54A03">
        <w:rPr>
          <w:rFonts w:ascii="Times New Roman" w:hAnsi="Times New Roman" w:cs="Times New Roman"/>
          <w:color w:val="000000" w:themeColor="text1"/>
          <w:sz w:val="24"/>
          <w:szCs w:val="24"/>
        </w:rPr>
        <w:t xml:space="preserve">la </w:t>
      </w:r>
      <w:proofErr w:type="spellStart"/>
      <w:r w:rsidRPr="00C54A03">
        <w:rPr>
          <w:rFonts w:ascii="Times New Roman" w:hAnsi="Times New Roman" w:cs="Times New Roman"/>
          <w:color w:val="000000" w:themeColor="text1"/>
          <w:sz w:val="24"/>
          <w:szCs w:val="24"/>
        </w:rPr>
        <w:t>datele</w:t>
      </w:r>
      <w:proofErr w:type="spellEnd"/>
      <w:r w:rsidRPr="00C54A03">
        <w:rPr>
          <w:rFonts w:ascii="Times New Roman" w:hAnsi="Times New Roman" w:cs="Times New Roman"/>
          <w:color w:val="000000" w:themeColor="text1"/>
          <w:spacing w:val="-1"/>
          <w:sz w:val="24"/>
          <w:szCs w:val="24"/>
        </w:rPr>
        <w:t xml:space="preserve"> </w:t>
      </w:r>
      <w:proofErr w:type="spellStart"/>
      <w:r w:rsidRPr="00C54A03">
        <w:rPr>
          <w:rFonts w:ascii="Times New Roman" w:hAnsi="Times New Roman" w:cs="Times New Roman"/>
          <w:color w:val="000000" w:themeColor="text1"/>
          <w:sz w:val="24"/>
          <w:szCs w:val="24"/>
        </w:rPr>
        <w:t>primare</w:t>
      </w:r>
      <w:proofErr w:type="spellEnd"/>
      <w:r w:rsidRPr="00C54A03">
        <w:rPr>
          <w:rFonts w:ascii="Times New Roman" w:hAnsi="Times New Roman" w:cs="Times New Roman"/>
          <w:color w:val="000000" w:themeColor="text1"/>
          <w:sz w:val="24"/>
          <w:szCs w:val="24"/>
        </w:rPr>
        <w:t>/</w:t>
      </w:r>
      <w:proofErr w:type="spellStart"/>
      <w:r w:rsidRPr="00C54A03">
        <w:rPr>
          <w:rFonts w:ascii="Times New Roman" w:hAnsi="Times New Roman" w:cs="Times New Roman"/>
          <w:color w:val="000000" w:themeColor="text1"/>
          <w:sz w:val="24"/>
          <w:szCs w:val="24"/>
        </w:rPr>
        <w:t>datele</w:t>
      </w:r>
      <w:proofErr w:type="spellEnd"/>
      <w:r w:rsidRPr="00C54A03">
        <w:rPr>
          <w:rFonts w:ascii="Times New Roman" w:hAnsi="Times New Roman" w:cs="Times New Roman"/>
          <w:color w:val="000000" w:themeColor="text1"/>
          <w:spacing w:val="-1"/>
          <w:sz w:val="24"/>
          <w:szCs w:val="24"/>
        </w:rPr>
        <w:t xml:space="preserve"> </w:t>
      </w:r>
      <w:r w:rsidRPr="00C54A03">
        <w:rPr>
          <w:rFonts w:ascii="Times New Roman" w:hAnsi="Times New Roman" w:cs="Times New Roman"/>
          <w:color w:val="000000" w:themeColor="text1"/>
          <w:sz w:val="24"/>
          <w:szCs w:val="24"/>
        </w:rPr>
        <w:t xml:space="preserve">din </w:t>
      </w:r>
      <w:proofErr w:type="spellStart"/>
      <w:r w:rsidRPr="00C54A03">
        <w:rPr>
          <w:rFonts w:ascii="Times New Roman" w:hAnsi="Times New Roman" w:cs="Times New Roman"/>
          <w:color w:val="000000" w:themeColor="text1"/>
          <w:sz w:val="24"/>
          <w:szCs w:val="24"/>
        </w:rPr>
        <w:t>teren</w:t>
      </w:r>
      <w:proofErr w:type="spellEnd"/>
      <w:r w:rsidRPr="00C54A03">
        <w:rPr>
          <w:rFonts w:ascii="Times New Roman" w:hAnsi="Times New Roman" w:cs="Times New Roman"/>
          <w:color w:val="000000" w:themeColor="text1"/>
          <w:sz w:val="24"/>
          <w:szCs w:val="24"/>
        </w:rPr>
        <w:t>.</w:t>
      </w:r>
    </w:p>
    <w:p w14:paraId="451585E1" w14:textId="77777777" w:rsidR="00487720" w:rsidRPr="00C54A03" w:rsidRDefault="007702CD" w:rsidP="00277E6E">
      <w:pPr>
        <w:pStyle w:val="ListParagraph"/>
        <w:widowControl w:val="0"/>
        <w:numPr>
          <w:ilvl w:val="0"/>
          <w:numId w:val="57"/>
        </w:numPr>
        <w:tabs>
          <w:tab w:val="left" w:pos="713"/>
          <w:tab w:val="left" w:pos="714"/>
        </w:tabs>
        <w:autoSpaceDE w:val="0"/>
        <w:autoSpaceDN w:val="0"/>
        <w:spacing w:before="12" w:line="228" w:lineRule="auto"/>
        <w:ind w:left="0" w:right="252" w:firstLine="0"/>
        <w:jc w:val="both"/>
        <w:rPr>
          <w:rFonts w:ascii="Times New Roman" w:hAnsi="Times New Roman" w:cs="Times New Roman"/>
          <w:color w:val="000000" w:themeColor="text1"/>
          <w:sz w:val="24"/>
          <w:szCs w:val="24"/>
        </w:rPr>
      </w:pPr>
      <w:proofErr w:type="spellStart"/>
      <w:r w:rsidRPr="00C54A03">
        <w:rPr>
          <w:rFonts w:ascii="Times New Roman" w:hAnsi="Times New Roman" w:cs="Times New Roman"/>
          <w:color w:val="000000" w:themeColor="text1"/>
          <w:sz w:val="24"/>
          <w:szCs w:val="24"/>
        </w:rPr>
        <w:t>Agregarea</w:t>
      </w:r>
      <w:proofErr w:type="spellEnd"/>
      <w:r w:rsidRPr="00C54A03">
        <w:rPr>
          <w:rFonts w:ascii="Times New Roman" w:hAnsi="Times New Roman" w:cs="Times New Roman"/>
          <w:color w:val="000000" w:themeColor="text1"/>
          <w:spacing w:val="23"/>
          <w:sz w:val="24"/>
          <w:szCs w:val="24"/>
        </w:rPr>
        <w:t xml:space="preserve"> </w:t>
      </w:r>
      <w:r w:rsidRPr="00C54A03">
        <w:rPr>
          <w:rFonts w:ascii="Times New Roman" w:hAnsi="Times New Roman" w:cs="Times New Roman"/>
          <w:color w:val="000000" w:themeColor="text1"/>
          <w:sz w:val="24"/>
          <w:szCs w:val="24"/>
        </w:rPr>
        <w:t>non-</w:t>
      </w:r>
      <w:proofErr w:type="spellStart"/>
      <w:r w:rsidRPr="00C54A03">
        <w:rPr>
          <w:rFonts w:ascii="Times New Roman" w:hAnsi="Times New Roman" w:cs="Times New Roman"/>
          <w:color w:val="000000" w:themeColor="text1"/>
          <w:sz w:val="24"/>
          <w:szCs w:val="24"/>
        </w:rPr>
        <w:t>spațială</w:t>
      </w:r>
      <w:proofErr w:type="spellEnd"/>
      <w:r w:rsidRPr="00C54A03">
        <w:rPr>
          <w:rFonts w:ascii="Times New Roman" w:hAnsi="Times New Roman" w:cs="Times New Roman"/>
          <w:color w:val="000000" w:themeColor="text1"/>
          <w:spacing w:val="25"/>
          <w:sz w:val="24"/>
          <w:szCs w:val="24"/>
        </w:rPr>
        <w:t xml:space="preserve"> </w:t>
      </w:r>
      <w:r w:rsidRPr="00C54A03">
        <w:rPr>
          <w:rFonts w:ascii="Times New Roman" w:hAnsi="Times New Roman" w:cs="Times New Roman"/>
          <w:color w:val="000000" w:themeColor="text1"/>
          <w:sz w:val="24"/>
          <w:szCs w:val="24"/>
        </w:rPr>
        <w:t>care</w:t>
      </w:r>
      <w:r w:rsidRPr="00C54A03">
        <w:rPr>
          <w:rFonts w:ascii="Times New Roman" w:hAnsi="Times New Roman" w:cs="Times New Roman"/>
          <w:color w:val="000000" w:themeColor="text1"/>
          <w:spacing w:val="22"/>
          <w:sz w:val="24"/>
          <w:szCs w:val="24"/>
        </w:rPr>
        <w:t xml:space="preserve"> </w:t>
      </w:r>
      <w:proofErr w:type="spellStart"/>
      <w:r w:rsidRPr="00C54A03">
        <w:rPr>
          <w:rFonts w:ascii="Times New Roman" w:hAnsi="Times New Roman" w:cs="Times New Roman"/>
          <w:color w:val="000000" w:themeColor="text1"/>
          <w:sz w:val="24"/>
          <w:szCs w:val="24"/>
        </w:rPr>
        <w:t>presupune</w:t>
      </w:r>
      <w:proofErr w:type="spellEnd"/>
      <w:r w:rsidRPr="00C54A03">
        <w:rPr>
          <w:rFonts w:ascii="Times New Roman" w:hAnsi="Times New Roman" w:cs="Times New Roman"/>
          <w:color w:val="000000" w:themeColor="text1"/>
          <w:spacing w:val="25"/>
          <w:sz w:val="24"/>
          <w:szCs w:val="24"/>
        </w:rPr>
        <w:t xml:space="preserve"> </w:t>
      </w:r>
      <w:proofErr w:type="spellStart"/>
      <w:r w:rsidRPr="00C54A03">
        <w:rPr>
          <w:rFonts w:ascii="Times New Roman" w:hAnsi="Times New Roman" w:cs="Times New Roman"/>
          <w:color w:val="000000" w:themeColor="text1"/>
          <w:sz w:val="24"/>
          <w:szCs w:val="24"/>
        </w:rPr>
        <w:t>generarea</w:t>
      </w:r>
      <w:proofErr w:type="spellEnd"/>
      <w:r w:rsidRPr="00C54A03">
        <w:rPr>
          <w:rFonts w:ascii="Times New Roman" w:hAnsi="Times New Roman" w:cs="Times New Roman"/>
          <w:color w:val="000000" w:themeColor="text1"/>
          <w:spacing w:val="23"/>
          <w:sz w:val="24"/>
          <w:szCs w:val="24"/>
        </w:rPr>
        <w:t xml:space="preserve"> </w:t>
      </w:r>
      <w:proofErr w:type="spellStart"/>
      <w:r w:rsidRPr="00C54A03">
        <w:rPr>
          <w:rFonts w:ascii="Times New Roman" w:hAnsi="Times New Roman" w:cs="Times New Roman"/>
          <w:color w:val="000000" w:themeColor="text1"/>
          <w:sz w:val="24"/>
          <w:szCs w:val="24"/>
        </w:rPr>
        <w:t>fișierelor</w:t>
      </w:r>
      <w:proofErr w:type="spellEnd"/>
      <w:r w:rsidRPr="00C54A03">
        <w:rPr>
          <w:rFonts w:ascii="Times New Roman" w:hAnsi="Times New Roman" w:cs="Times New Roman"/>
          <w:color w:val="000000" w:themeColor="text1"/>
          <w:spacing w:val="24"/>
          <w:sz w:val="24"/>
          <w:szCs w:val="24"/>
        </w:rPr>
        <w:t xml:space="preserve"> </w:t>
      </w:r>
      <w:proofErr w:type="spellStart"/>
      <w:r w:rsidRPr="00C54A03">
        <w:rPr>
          <w:rFonts w:ascii="Times New Roman" w:hAnsi="Times New Roman" w:cs="Times New Roman"/>
          <w:color w:val="000000" w:themeColor="text1"/>
          <w:sz w:val="24"/>
          <w:szCs w:val="24"/>
        </w:rPr>
        <w:t>specifice</w:t>
      </w:r>
      <w:proofErr w:type="spellEnd"/>
      <w:r w:rsidRPr="00C54A03">
        <w:rPr>
          <w:rFonts w:ascii="Times New Roman" w:hAnsi="Times New Roman" w:cs="Times New Roman"/>
          <w:color w:val="000000" w:themeColor="text1"/>
          <w:sz w:val="24"/>
          <w:szCs w:val="24"/>
        </w:rPr>
        <w:t>,</w:t>
      </w:r>
      <w:r w:rsidRPr="00C54A03">
        <w:rPr>
          <w:rFonts w:ascii="Times New Roman" w:hAnsi="Times New Roman" w:cs="Times New Roman"/>
          <w:color w:val="000000" w:themeColor="text1"/>
          <w:spacing w:val="24"/>
          <w:sz w:val="24"/>
          <w:szCs w:val="24"/>
        </w:rPr>
        <w:t xml:space="preserve"> </w:t>
      </w:r>
      <w:proofErr w:type="spellStart"/>
      <w:r w:rsidRPr="00C54A03">
        <w:rPr>
          <w:rFonts w:ascii="Times New Roman" w:hAnsi="Times New Roman" w:cs="Times New Roman"/>
          <w:color w:val="000000" w:themeColor="text1"/>
          <w:sz w:val="24"/>
          <w:szCs w:val="24"/>
        </w:rPr>
        <w:t>în</w:t>
      </w:r>
      <w:proofErr w:type="spellEnd"/>
      <w:r w:rsidRPr="00C54A03">
        <w:rPr>
          <w:rFonts w:ascii="Times New Roman" w:hAnsi="Times New Roman" w:cs="Times New Roman"/>
          <w:color w:val="000000" w:themeColor="text1"/>
          <w:spacing w:val="26"/>
          <w:sz w:val="24"/>
          <w:szCs w:val="24"/>
        </w:rPr>
        <w:t xml:space="preserve"> </w:t>
      </w:r>
      <w:proofErr w:type="spellStart"/>
      <w:r w:rsidRPr="00C54A03">
        <w:rPr>
          <w:rFonts w:ascii="Times New Roman" w:hAnsi="Times New Roman" w:cs="Times New Roman"/>
          <w:color w:val="000000" w:themeColor="text1"/>
          <w:sz w:val="24"/>
          <w:szCs w:val="24"/>
        </w:rPr>
        <w:t>conformitate</w:t>
      </w:r>
      <w:proofErr w:type="spellEnd"/>
      <w:r w:rsidRPr="00C54A03">
        <w:rPr>
          <w:rFonts w:ascii="Times New Roman" w:hAnsi="Times New Roman" w:cs="Times New Roman"/>
          <w:color w:val="000000" w:themeColor="text1"/>
          <w:spacing w:val="23"/>
          <w:sz w:val="24"/>
          <w:szCs w:val="24"/>
        </w:rPr>
        <w:t xml:space="preserve"> </w:t>
      </w:r>
      <w:r w:rsidRPr="00C54A03">
        <w:rPr>
          <w:rFonts w:ascii="Times New Roman" w:hAnsi="Times New Roman" w:cs="Times New Roman"/>
          <w:color w:val="000000" w:themeColor="text1"/>
          <w:sz w:val="24"/>
          <w:szCs w:val="24"/>
        </w:rPr>
        <w:t>cu</w:t>
      </w:r>
      <w:r w:rsidRPr="00C54A03">
        <w:rPr>
          <w:rFonts w:ascii="Times New Roman" w:hAnsi="Times New Roman" w:cs="Times New Roman"/>
          <w:color w:val="000000" w:themeColor="text1"/>
          <w:spacing w:val="-57"/>
          <w:sz w:val="24"/>
          <w:szCs w:val="24"/>
        </w:rPr>
        <w:t xml:space="preserve"> </w:t>
      </w:r>
      <w:proofErr w:type="spellStart"/>
      <w:r w:rsidRPr="00C54A03">
        <w:rPr>
          <w:rFonts w:ascii="Times New Roman" w:hAnsi="Times New Roman" w:cs="Times New Roman"/>
          <w:color w:val="000000" w:themeColor="text1"/>
          <w:sz w:val="24"/>
          <w:szCs w:val="24"/>
        </w:rPr>
        <w:t>formatul</w:t>
      </w:r>
      <w:proofErr w:type="spellEnd"/>
      <w:r w:rsidRPr="00C54A03">
        <w:rPr>
          <w:rFonts w:ascii="Times New Roman" w:hAnsi="Times New Roman" w:cs="Times New Roman"/>
          <w:color w:val="000000" w:themeColor="text1"/>
          <w:spacing w:val="-1"/>
          <w:sz w:val="24"/>
          <w:szCs w:val="24"/>
        </w:rPr>
        <w:t xml:space="preserve"> </w:t>
      </w:r>
      <w:r w:rsidRPr="00C54A03">
        <w:rPr>
          <w:rFonts w:ascii="Times New Roman" w:hAnsi="Times New Roman" w:cs="Times New Roman"/>
          <w:color w:val="000000" w:themeColor="text1"/>
          <w:sz w:val="24"/>
          <w:szCs w:val="24"/>
        </w:rPr>
        <w:t xml:space="preserve">de </w:t>
      </w:r>
      <w:proofErr w:type="spellStart"/>
      <w:r w:rsidRPr="00C54A03">
        <w:rPr>
          <w:rFonts w:ascii="Times New Roman" w:hAnsi="Times New Roman" w:cs="Times New Roman"/>
          <w:color w:val="000000" w:themeColor="text1"/>
          <w:sz w:val="24"/>
          <w:szCs w:val="24"/>
        </w:rPr>
        <w:t>raportare</w:t>
      </w:r>
      <w:proofErr w:type="spellEnd"/>
      <w:r w:rsidRPr="00C54A03">
        <w:rPr>
          <w:rFonts w:ascii="Times New Roman" w:hAnsi="Times New Roman" w:cs="Times New Roman"/>
          <w:color w:val="000000" w:themeColor="text1"/>
          <w:sz w:val="24"/>
          <w:szCs w:val="24"/>
        </w:rPr>
        <w:t xml:space="preserve">, </w:t>
      </w:r>
      <w:proofErr w:type="spellStart"/>
      <w:r w:rsidRPr="00C54A03">
        <w:rPr>
          <w:rFonts w:ascii="Times New Roman" w:hAnsi="Times New Roman" w:cs="Times New Roman"/>
          <w:color w:val="000000" w:themeColor="text1"/>
          <w:sz w:val="24"/>
          <w:szCs w:val="24"/>
        </w:rPr>
        <w:t>pornind</w:t>
      </w:r>
      <w:proofErr w:type="spellEnd"/>
      <w:r w:rsidRPr="00C54A03">
        <w:rPr>
          <w:rFonts w:ascii="Times New Roman" w:hAnsi="Times New Roman" w:cs="Times New Roman"/>
          <w:color w:val="000000" w:themeColor="text1"/>
          <w:sz w:val="24"/>
          <w:szCs w:val="24"/>
        </w:rPr>
        <w:t xml:space="preserve"> de</w:t>
      </w:r>
      <w:r w:rsidRPr="00C54A03">
        <w:rPr>
          <w:rFonts w:ascii="Times New Roman" w:hAnsi="Times New Roman" w:cs="Times New Roman"/>
          <w:color w:val="000000" w:themeColor="text1"/>
          <w:spacing w:val="-2"/>
          <w:sz w:val="24"/>
          <w:szCs w:val="24"/>
        </w:rPr>
        <w:t xml:space="preserve"> </w:t>
      </w:r>
      <w:r w:rsidRPr="00C54A03">
        <w:rPr>
          <w:rFonts w:ascii="Times New Roman" w:hAnsi="Times New Roman" w:cs="Times New Roman"/>
          <w:color w:val="000000" w:themeColor="text1"/>
          <w:sz w:val="24"/>
          <w:szCs w:val="24"/>
        </w:rPr>
        <w:t xml:space="preserve">la </w:t>
      </w:r>
      <w:proofErr w:type="spellStart"/>
      <w:r w:rsidRPr="00C54A03">
        <w:rPr>
          <w:rFonts w:ascii="Times New Roman" w:hAnsi="Times New Roman" w:cs="Times New Roman"/>
          <w:color w:val="000000" w:themeColor="text1"/>
          <w:sz w:val="24"/>
          <w:szCs w:val="24"/>
        </w:rPr>
        <w:t>datele</w:t>
      </w:r>
      <w:proofErr w:type="spellEnd"/>
      <w:r w:rsidRPr="00C54A03">
        <w:rPr>
          <w:rFonts w:ascii="Times New Roman" w:hAnsi="Times New Roman" w:cs="Times New Roman"/>
          <w:color w:val="000000" w:themeColor="text1"/>
          <w:spacing w:val="-1"/>
          <w:sz w:val="24"/>
          <w:szCs w:val="24"/>
        </w:rPr>
        <w:t xml:space="preserve"> </w:t>
      </w:r>
      <w:proofErr w:type="spellStart"/>
      <w:r w:rsidRPr="00C54A03">
        <w:rPr>
          <w:rFonts w:ascii="Times New Roman" w:hAnsi="Times New Roman" w:cs="Times New Roman"/>
          <w:color w:val="000000" w:themeColor="text1"/>
          <w:sz w:val="24"/>
          <w:szCs w:val="24"/>
        </w:rPr>
        <w:t>primare</w:t>
      </w:r>
      <w:proofErr w:type="spellEnd"/>
      <w:r w:rsidRPr="00C54A03">
        <w:rPr>
          <w:rFonts w:ascii="Times New Roman" w:hAnsi="Times New Roman" w:cs="Times New Roman"/>
          <w:color w:val="000000" w:themeColor="text1"/>
          <w:sz w:val="24"/>
          <w:szCs w:val="24"/>
        </w:rPr>
        <w:t>.</w:t>
      </w:r>
    </w:p>
    <w:p w14:paraId="65BDDD41" w14:textId="77777777" w:rsidR="00487720" w:rsidRPr="00C54A03" w:rsidRDefault="00487720" w:rsidP="008E33FD">
      <w:pPr>
        <w:pStyle w:val="ListParagraph"/>
        <w:widowControl w:val="0"/>
        <w:tabs>
          <w:tab w:val="left" w:pos="713"/>
          <w:tab w:val="left" w:pos="714"/>
          <w:tab w:val="left" w:pos="1115"/>
        </w:tabs>
        <w:autoSpaceDE w:val="0"/>
        <w:autoSpaceDN w:val="0"/>
        <w:spacing w:before="90" w:line="230" w:lineRule="auto"/>
        <w:ind w:left="1114" w:right="341"/>
        <w:jc w:val="both"/>
        <w:rPr>
          <w:rFonts w:ascii="Times New Roman" w:hAnsi="Times New Roman" w:cs="Times New Roman"/>
          <w:color w:val="000000" w:themeColor="text1"/>
          <w:sz w:val="24"/>
          <w:szCs w:val="24"/>
        </w:rPr>
      </w:pPr>
    </w:p>
    <w:p w14:paraId="3FDE029F" w14:textId="77777777" w:rsidR="007702CD" w:rsidRPr="00C54A03" w:rsidRDefault="00461831" w:rsidP="00F100E1">
      <w:pPr>
        <w:widowControl w:val="0"/>
        <w:tabs>
          <w:tab w:val="left" w:pos="713"/>
          <w:tab w:val="left" w:pos="714"/>
          <w:tab w:val="left" w:pos="1115"/>
        </w:tabs>
        <w:autoSpaceDE w:val="0"/>
        <w:autoSpaceDN w:val="0"/>
        <w:spacing w:before="90" w:line="230" w:lineRule="auto"/>
        <w:ind w:right="341"/>
        <w:jc w:val="both"/>
        <w:rPr>
          <w:b/>
          <w:color w:val="000000" w:themeColor="text1"/>
          <w:lang w:val="fr-FR"/>
        </w:rPr>
      </w:pPr>
      <w:r w:rsidRPr="00C54A03">
        <w:rPr>
          <w:b/>
          <w:color w:val="000000" w:themeColor="text1"/>
          <w:lang w:val="fr-FR"/>
        </w:rPr>
        <w:t xml:space="preserve">Structura </w:t>
      </w:r>
      <w:proofErr w:type="spellStart"/>
      <w:r w:rsidRPr="00C54A03">
        <w:rPr>
          <w:b/>
          <w:color w:val="000000" w:themeColor="text1"/>
          <w:lang w:val="fr-FR"/>
        </w:rPr>
        <w:t>și</w:t>
      </w:r>
      <w:proofErr w:type="spellEnd"/>
      <w:r w:rsidRPr="00C54A03">
        <w:rPr>
          <w:b/>
          <w:color w:val="000000" w:themeColor="text1"/>
          <w:lang w:val="fr-FR"/>
        </w:rPr>
        <w:t xml:space="preserve"> </w:t>
      </w:r>
      <w:proofErr w:type="spellStart"/>
      <w:r w:rsidRPr="00C54A03">
        <w:rPr>
          <w:b/>
          <w:color w:val="000000" w:themeColor="text1"/>
          <w:lang w:val="fr-FR"/>
        </w:rPr>
        <w:t>funcțiile</w:t>
      </w:r>
      <w:proofErr w:type="spellEnd"/>
      <w:r w:rsidRPr="00C54A03">
        <w:rPr>
          <w:b/>
          <w:color w:val="000000" w:themeColor="text1"/>
          <w:lang w:val="fr-FR"/>
        </w:rPr>
        <w:t xml:space="preserve"> </w:t>
      </w:r>
      <w:proofErr w:type="spellStart"/>
      <w:r w:rsidRPr="00C54A03">
        <w:rPr>
          <w:b/>
          <w:color w:val="000000" w:themeColor="text1"/>
          <w:lang w:val="fr-FR"/>
        </w:rPr>
        <w:t>habitatelor</w:t>
      </w:r>
      <w:proofErr w:type="spellEnd"/>
      <w:r w:rsidRPr="00C54A03">
        <w:rPr>
          <w:b/>
          <w:color w:val="000000" w:themeColor="text1"/>
          <w:lang w:val="fr-FR"/>
        </w:rPr>
        <w:t xml:space="preserve"> de </w:t>
      </w:r>
      <w:proofErr w:type="spellStart"/>
      <w:r w:rsidRPr="00C54A03">
        <w:rPr>
          <w:b/>
          <w:color w:val="000000" w:themeColor="text1"/>
          <w:lang w:val="fr-FR"/>
        </w:rPr>
        <w:t>grohotișuri</w:t>
      </w:r>
      <w:proofErr w:type="spellEnd"/>
      <w:r w:rsidR="007702CD" w:rsidRPr="00C54A03">
        <w:rPr>
          <w:b/>
          <w:color w:val="000000" w:themeColor="text1"/>
          <w:spacing w:val="-68"/>
          <w:lang w:val="fr-FR"/>
        </w:rPr>
        <w:t xml:space="preserve"> </w:t>
      </w:r>
      <w:proofErr w:type="spellStart"/>
      <w:r w:rsidRPr="00C54A03">
        <w:rPr>
          <w:b/>
          <w:color w:val="000000" w:themeColor="text1"/>
          <w:lang w:val="fr-FR"/>
        </w:rPr>
        <w:t>și</w:t>
      </w:r>
      <w:proofErr w:type="spellEnd"/>
      <w:r w:rsidR="007702CD" w:rsidRPr="00C54A03">
        <w:rPr>
          <w:b/>
          <w:color w:val="000000" w:themeColor="text1"/>
          <w:spacing w:val="-2"/>
          <w:lang w:val="fr-FR"/>
        </w:rPr>
        <w:t xml:space="preserve"> </w:t>
      </w:r>
      <w:proofErr w:type="spellStart"/>
      <w:r w:rsidRPr="00C54A03">
        <w:rPr>
          <w:b/>
          <w:color w:val="000000" w:themeColor="text1"/>
          <w:lang w:val="fr-FR"/>
        </w:rPr>
        <w:t>stâncării</w:t>
      </w:r>
      <w:proofErr w:type="spellEnd"/>
    </w:p>
    <w:p w14:paraId="431758D7" w14:textId="77777777" w:rsidR="007702CD" w:rsidRPr="00C54A03" w:rsidRDefault="007702CD" w:rsidP="008E33FD">
      <w:pPr>
        <w:pStyle w:val="BodyText"/>
        <w:jc w:val="both"/>
        <w:rPr>
          <w:b/>
          <w:color w:val="000000" w:themeColor="text1"/>
          <w:sz w:val="24"/>
          <w:szCs w:val="24"/>
          <w:lang w:val="fr-FR"/>
        </w:rPr>
      </w:pPr>
    </w:p>
    <w:p w14:paraId="71B80A17" w14:textId="77777777" w:rsidR="007702CD" w:rsidRPr="00C54A03" w:rsidRDefault="007702CD" w:rsidP="00507CCA">
      <w:pPr>
        <w:pStyle w:val="BodyText"/>
        <w:ind w:left="0" w:right="27"/>
        <w:jc w:val="both"/>
        <w:rPr>
          <w:color w:val="000000" w:themeColor="text1"/>
          <w:sz w:val="24"/>
          <w:szCs w:val="24"/>
          <w:lang w:val="fr-FR"/>
        </w:rPr>
      </w:pPr>
      <w:proofErr w:type="spellStart"/>
      <w:r w:rsidRPr="00C54A03">
        <w:rPr>
          <w:color w:val="000000" w:themeColor="text1"/>
          <w:sz w:val="24"/>
          <w:szCs w:val="24"/>
          <w:lang w:val="fr-FR"/>
        </w:rPr>
        <w:t>Inventarierea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habitatelor</w:t>
      </w:r>
      <w:proofErr w:type="spellEnd"/>
      <w:r w:rsidRPr="00C54A03">
        <w:rPr>
          <w:color w:val="000000" w:themeColor="text1"/>
          <w:sz w:val="24"/>
          <w:szCs w:val="24"/>
          <w:lang w:val="fr-FR"/>
        </w:rPr>
        <w:t xml:space="preserve"> se va </w:t>
      </w:r>
      <w:proofErr w:type="spellStart"/>
      <w:r w:rsidRPr="00C54A03">
        <w:rPr>
          <w:color w:val="000000" w:themeColor="text1"/>
          <w:sz w:val="24"/>
          <w:szCs w:val="24"/>
          <w:lang w:val="fr-FR"/>
        </w:rPr>
        <w:t>realizape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baza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Manualului</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Interpretare</w:t>
      </w:r>
      <w:proofErr w:type="spellEnd"/>
      <w:r w:rsidRPr="00C54A03">
        <w:rPr>
          <w:color w:val="000000" w:themeColor="text1"/>
          <w:sz w:val="24"/>
          <w:szCs w:val="24"/>
          <w:lang w:val="fr-FR"/>
        </w:rPr>
        <w:t xml:space="preserve"> a </w:t>
      </w:r>
      <w:proofErr w:type="spellStart"/>
      <w:r w:rsidRPr="00C54A03">
        <w:rPr>
          <w:color w:val="000000" w:themeColor="text1"/>
          <w:sz w:val="24"/>
          <w:szCs w:val="24"/>
          <w:lang w:val="fr-FR"/>
        </w:rPr>
        <w:t>Habitatelor</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Naturale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din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Uniunea</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Europeană</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(EUR</w:t>
      </w:r>
      <w:r w:rsidRPr="00C54A03">
        <w:rPr>
          <w:color w:val="000000" w:themeColor="text1"/>
          <w:spacing w:val="1"/>
          <w:sz w:val="24"/>
          <w:szCs w:val="24"/>
          <w:lang w:val="fr-FR"/>
        </w:rPr>
        <w:t xml:space="preserve"> </w:t>
      </w:r>
      <w:r w:rsidRPr="00C54A03">
        <w:rPr>
          <w:color w:val="000000" w:themeColor="text1"/>
          <w:sz w:val="24"/>
          <w:szCs w:val="24"/>
          <w:lang w:val="fr-FR"/>
        </w:rPr>
        <w:t>28)</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și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după</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Şcoala</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Floristică</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Central</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Europeană</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(Braun–Blanquet),</w:t>
      </w:r>
      <w:r w:rsidRPr="00C54A03">
        <w:rPr>
          <w:color w:val="000000" w:themeColor="text1"/>
          <w:spacing w:val="-57"/>
          <w:sz w:val="24"/>
          <w:szCs w:val="24"/>
          <w:lang w:val="fr-FR"/>
        </w:rPr>
        <w:t xml:space="preserve"> </w:t>
      </w:r>
      <w:proofErr w:type="spellStart"/>
      <w:r w:rsidRPr="00C54A03">
        <w:rPr>
          <w:color w:val="000000" w:themeColor="text1"/>
          <w:sz w:val="24"/>
          <w:szCs w:val="24"/>
          <w:lang w:val="fr-FR"/>
        </w:rPr>
        <w:t>situație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care se vor face </w:t>
      </w:r>
      <w:proofErr w:type="spellStart"/>
      <w:r w:rsidRPr="00C54A03">
        <w:rPr>
          <w:color w:val="000000" w:themeColor="text1"/>
          <w:sz w:val="24"/>
          <w:szCs w:val="24"/>
          <w:lang w:val="fr-FR"/>
        </w:rPr>
        <w:t>investigaţii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după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itinerar</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staţionar</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2 </w:t>
      </w:r>
      <w:proofErr w:type="spellStart"/>
      <w:r w:rsidRPr="00C54A03">
        <w:rPr>
          <w:color w:val="000000" w:themeColor="text1"/>
          <w:sz w:val="24"/>
          <w:szCs w:val="24"/>
          <w:lang w:val="fr-FR"/>
        </w:rPr>
        <w:t>etape</w:t>
      </w:r>
      <w:proofErr w:type="spellEnd"/>
      <w:r w:rsidRPr="00C54A03">
        <w:rPr>
          <w:i/>
          <w:color w:val="000000" w:themeColor="text1"/>
          <w:sz w:val="24"/>
          <w:szCs w:val="24"/>
          <w:lang w:val="fr-FR"/>
        </w:rPr>
        <w:t>:</w:t>
      </w:r>
      <w:r w:rsidRPr="00C54A03">
        <w:rPr>
          <w:i/>
          <w:color w:val="000000" w:themeColor="text1"/>
          <w:spacing w:val="1"/>
          <w:sz w:val="24"/>
          <w:szCs w:val="24"/>
          <w:lang w:val="fr-FR"/>
        </w:rPr>
        <w:t xml:space="preserve"> </w:t>
      </w:r>
      <w:proofErr w:type="spellStart"/>
      <w:r w:rsidRPr="00C54A03">
        <w:rPr>
          <w:color w:val="000000" w:themeColor="text1"/>
          <w:sz w:val="24"/>
          <w:szCs w:val="24"/>
          <w:lang w:val="fr-FR"/>
        </w:rPr>
        <w:t>etapa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analitică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etapa</w:t>
      </w:r>
      <w:proofErr w:type="spellEnd"/>
      <w:r w:rsidRPr="00C54A03">
        <w:rPr>
          <w:color w:val="000000" w:themeColor="text1"/>
          <w:spacing w:val="-3"/>
          <w:sz w:val="24"/>
          <w:szCs w:val="24"/>
          <w:lang w:val="fr-FR"/>
        </w:rPr>
        <w:t xml:space="preserve"> </w:t>
      </w:r>
      <w:proofErr w:type="spellStart"/>
      <w:r w:rsidRPr="00C54A03">
        <w:rPr>
          <w:color w:val="000000" w:themeColor="text1"/>
          <w:sz w:val="24"/>
          <w:szCs w:val="24"/>
          <w:lang w:val="fr-FR"/>
        </w:rPr>
        <w:t>sintetică</w:t>
      </w:r>
      <w:proofErr w:type="spellEnd"/>
      <w:r w:rsidRPr="00C54A03">
        <w:rPr>
          <w:color w:val="000000" w:themeColor="text1"/>
          <w:sz w:val="24"/>
          <w:szCs w:val="24"/>
          <w:lang w:val="fr-FR"/>
        </w:rPr>
        <w:t>.</w:t>
      </w:r>
    </w:p>
    <w:p w14:paraId="3C681A54" w14:textId="77777777" w:rsidR="007702CD" w:rsidRPr="00C54A03" w:rsidRDefault="007702CD" w:rsidP="00507CCA">
      <w:pPr>
        <w:pStyle w:val="BodyText"/>
        <w:ind w:left="0" w:right="27"/>
        <w:jc w:val="both"/>
        <w:rPr>
          <w:color w:val="000000" w:themeColor="text1"/>
          <w:sz w:val="24"/>
          <w:szCs w:val="24"/>
          <w:lang w:val="fr-FR"/>
        </w:rPr>
      </w:pPr>
      <w:r w:rsidRPr="00C54A03">
        <w:rPr>
          <w:color w:val="000000" w:themeColor="text1"/>
          <w:sz w:val="24"/>
          <w:szCs w:val="24"/>
          <w:lang w:val="fr-FR"/>
        </w:rPr>
        <w:t xml:space="preserve">Prin </w:t>
      </w:r>
      <w:proofErr w:type="spellStart"/>
      <w:r w:rsidRPr="00C54A03">
        <w:rPr>
          <w:color w:val="000000" w:themeColor="text1"/>
          <w:sz w:val="24"/>
          <w:szCs w:val="24"/>
          <w:lang w:val="fr-FR"/>
        </w:rPr>
        <w:t>identificarea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speciilor</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cheie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edificatoare</w:t>
      </w:r>
      <w:proofErr w:type="spellEnd"/>
      <w:r w:rsidRPr="00C54A03">
        <w:rPr>
          <w:color w:val="000000" w:themeColor="text1"/>
          <w:sz w:val="24"/>
          <w:szCs w:val="24"/>
          <w:lang w:val="fr-FR"/>
        </w:rPr>
        <w:t>/</w:t>
      </w:r>
      <w:proofErr w:type="spellStart"/>
      <w:r w:rsidRPr="00C54A03">
        <w:rPr>
          <w:color w:val="000000" w:themeColor="text1"/>
          <w:sz w:val="24"/>
          <w:szCs w:val="24"/>
          <w:lang w:val="fr-FR"/>
        </w:rPr>
        <w:t>caracteristice</w:t>
      </w:r>
      <w:proofErr w:type="spellEnd"/>
      <w:r w:rsidRPr="00C54A03">
        <w:rPr>
          <w:color w:val="000000" w:themeColor="text1"/>
          <w:sz w:val="24"/>
          <w:szCs w:val="24"/>
          <w:lang w:val="fr-FR"/>
        </w:rPr>
        <w:t xml:space="preserve">) a </w:t>
      </w:r>
      <w:proofErr w:type="spellStart"/>
      <w:r w:rsidRPr="00C54A03">
        <w:rPr>
          <w:color w:val="000000" w:themeColor="text1"/>
          <w:sz w:val="24"/>
          <w:szCs w:val="24"/>
          <w:lang w:val="fr-FR"/>
        </w:rPr>
        <w:t>habitatelor</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interes</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comunitar</w:t>
      </w:r>
      <w:proofErr w:type="spellEnd"/>
      <w:r w:rsidRPr="00C54A03">
        <w:rPr>
          <w:color w:val="000000" w:themeColor="text1"/>
          <w:sz w:val="24"/>
          <w:szCs w:val="24"/>
          <w:lang w:val="fr-FR"/>
        </w:rPr>
        <w:t xml:space="preserve"> se</w:t>
      </w:r>
      <w:r w:rsidRPr="00C54A03">
        <w:rPr>
          <w:color w:val="000000" w:themeColor="text1"/>
          <w:spacing w:val="1"/>
          <w:sz w:val="24"/>
          <w:szCs w:val="24"/>
          <w:lang w:val="fr-FR"/>
        </w:rPr>
        <w:t xml:space="preserve"> </w:t>
      </w:r>
      <w:r w:rsidRPr="00C54A03">
        <w:rPr>
          <w:color w:val="000000" w:themeColor="text1"/>
          <w:sz w:val="24"/>
          <w:szCs w:val="24"/>
          <w:lang w:val="fr-FR"/>
        </w:rPr>
        <w:t>vor</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efectua</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determinări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folosind</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variabile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legate</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funcţiile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ecosistemului</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precum</w:t>
      </w:r>
      <w:proofErr w:type="spellEnd"/>
      <w:r w:rsidRPr="00C54A03">
        <w:rPr>
          <w:color w:val="000000" w:themeColor="text1"/>
          <w:sz w:val="24"/>
          <w:szCs w:val="24"/>
          <w:lang w:val="fr-FR"/>
        </w:rPr>
        <w:t>:</w:t>
      </w:r>
      <w:r w:rsidRPr="00C54A03">
        <w:rPr>
          <w:color w:val="000000" w:themeColor="text1"/>
          <w:spacing w:val="60"/>
          <w:sz w:val="24"/>
          <w:szCs w:val="24"/>
          <w:lang w:val="fr-FR"/>
        </w:rPr>
        <w:t xml:space="preserve"> </w:t>
      </w:r>
      <w:proofErr w:type="spellStart"/>
      <w:r w:rsidRPr="00C54A03">
        <w:rPr>
          <w:color w:val="000000" w:themeColor="text1"/>
          <w:sz w:val="24"/>
          <w:szCs w:val="24"/>
          <w:lang w:val="fr-FR"/>
        </w:rPr>
        <w:t>perioada</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optimă</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monitorizare</w:t>
      </w:r>
      <w:proofErr w:type="spellEnd"/>
      <w:r w:rsidRPr="00C54A03">
        <w:rPr>
          <w:color w:val="000000" w:themeColor="text1"/>
          <w:sz w:val="24"/>
          <w:szCs w:val="24"/>
          <w:lang w:val="fr-FR"/>
        </w:rPr>
        <w:t xml:space="preserve">, structura </w:t>
      </w:r>
      <w:proofErr w:type="spellStart"/>
      <w:r w:rsidRPr="00C54A03">
        <w:rPr>
          <w:color w:val="000000" w:themeColor="text1"/>
          <w:sz w:val="24"/>
          <w:szCs w:val="24"/>
          <w:lang w:val="fr-FR"/>
        </w:rPr>
        <w:t>calitativă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cantitativă</w:t>
      </w:r>
      <w:proofErr w:type="spellEnd"/>
      <w:r w:rsidRPr="00C54A03">
        <w:rPr>
          <w:color w:val="000000" w:themeColor="text1"/>
          <w:sz w:val="24"/>
          <w:szCs w:val="24"/>
          <w:lang w:val="fr-FR"/>
        </w:rPr>
        <w:t xml:space="preserve"> a </w:t>
      </w:r>
      <w:proofErr w:type="spellStart"/>
      <w:r w:rsidRPr="00C54A03">
        <w:rPr>
          <w:color w:val="000000" w:themeColor="text1"/>
          <w:sz w:val="24"/>
          <w:szCs w:val="24"/>
          <w:lang w:val="fr-FR"/>
        </w:rPr>
        <w:t>habitatului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identificat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z w:val="24"/>
          <w:szCs w:val="24"/>
          <w:lang w:val="fr-FR"/>
        </w:rPr>
        <w:t xml:space="preserve"> a </w:t>
      </w:r>
      <w:proofErr w:type="spellStart"/>
      <w:r w:rsidRPr="00C54A03">
        <w:rPr>
          <w:color w:val="000000" w:themeColor="text1"/>
          <w:sz w:val="24"/>
          <w:szCs w:val="24"/>
          <w:lang w:val="fr-FR"/>
        </w:rPr>
        <w:t>speciilor</w:t>
      </w:r>
      <w:proofErr w:type="spellEnd"/>
      <w:r w:rsidRPr="00C54A03">
        <w:rPr>
          <w:color w:val="000000" w:themeColor="text1"/>
          <w:sz w:val="24"/>
          <w:szCs w:val="24"/>
          <w:lang w:val="fr-FR"/>
        </w:rPr>
        <w:t xml:space="preserve"> 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floră</w:t>
      </w:r>
      <w:proofErr w:type="spellEnd"/>
      <w:r w:rsidRPr="00C54A03">
        <w:rPr>
          <w:color w:val="000000" w:themeColor="text1"/>
          <w:spacing w:val="-2"/>
          <w:sz w:val="24"/>
          <w:szCs w:val="24"/>
          <w:lang w:val="fr-FR"/>
        </w:rPr>
        <w:t xml:space="preserve"> </w:t>
      </w:r>
      <w:proofErr w:type="spellStart"/>
      <w:r w:rsidRPr="00C54A03">
        <w:rPr>
          <w:color w:val="000000" w:themeColor="text1"/>
          <w:sz w:val="24"/>
          <w:szCs w:val="24"/>
          <w:lang w:val="fr-FR"/>
        </w:rPr>
        <w:t>identificate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Datele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culese</w:t>
      </w:r>
      <w:proofErr w:type="spellEnd"/>
      <w:r w:rsidRPr="00C54A03">
        <w:rPr>
          <w:color w:val="000000" w:themeColor="text1"/>
          <w:spacing w:val="-2"/>
          <w:sz w:val="24"/>
          <w:szCs w:val="24"/>
          <w:lang w:val="fr-FR"/>
        </w:rPr>
        <w:t xml:space="preserve"> </w:t>
      </w:r>
      <w:proofErr w:type="spellStart"/>
      <w:r w:rsidRPr="00C54A03">
        <w:rPr>
          <w:color w:val="000000" w:themeColor="text1"/>
          <w:sz w:val="24"/>
          <w:szCs w:val="24"/>
          <w:lang w:val="fr-FR"/>
        </w:rPr>
        <w:t>din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teren</w:t>
      </w:r>
      <w:proofErr w:type="spellEnd"/>
      <w:r w:rsidRPr="00C54A03">
        <w:rPr>
          <w:color w:val="000000" w:themeColor="text1"/>
          <w:sz w:val="24"/>
          <w:szCs w:val="24"/>
          <w:lang w:val="fr-FR"/>
        </w:rPr>
        <w:t xml:space="preserve"> vor</w:t>
      </w:r>
      <w:r w:rsidRPr="00C54A03">
        <w:rPr>
          <w:color w:val="000000" w:themeColor="text1"/>
          <w:spacing w:val="-1"/>
          <w:sz w:val="24"/>
          <w:szCs w:val="24"/>
          <w:lang w:val="fr-FR"/>
        </w:rPr>
        <w:t xml:space="preserve"> </w:t>
      </w:r>
      <w:r w:rsidRPr="00C54A03">
        <w:rPr>
          <w:color w:val="000000" w:themeColor="text1"/>
          <w:sz w:val="24"/>
          <w:szCs w:val="24"/>
          <w:lang w:val="fr-FR"/>
        </w:rPr>
        <w:t>fi</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trecute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fişele</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monitorizare</w:t>
      </w:r>
      <w:proofErr w:type="spellEnd"/>
      <w:r w:rsidRPr="00C54A03">
        <w:rPr>
          <w:color w:val="000000" w:themeColor="text1"/>
          <w:sz w:val="24"/>
          <w:szCs w:val="24"/>
          <w:lang w:val="fr-FR"/>
        </w:rPr>
        <w:t>.</w:t>
      </w:r>
    </w:p>
    <w:p w14:paraId="00C6D9AB" w14:textId="77777777" w:rsidR="007702CD" w:rsidRPr="00C54A03" w:rsidRDefault="007702CD" w:rsidP="00507CCA">
      <w:pPr>
        <w:pStyle w:val="BodyText"/>
        <w:spacing w:before="1"/>
        <w:ind w:left="0" w:right="27"/>
        <w:jc w:val="both"/>
        <w:rPr>
          <w:color w:val="000000" w:themeColor="text1"/>
          <w:sz w:val="24"/>
          <w:szCs w:val="24"/>
          <w:lang w:val="fr-FR"/>
        </w:rPr>
      </w:pPr>
      <w:proofErr w:type="spellStart"/>
      <w:r w:rsidRPr="00C54A03">
        <w:rPr>
          <w:color w:val="000000" w:themeColor="text1"/>
          <w:sz w:val="24"/>
          <w:szCs w:val="24"/>
          <w:lang w:val="fr-FR"/>
        </w:rPr>
        <w:t>Corelat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formatul</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raportare</w:t>
      </w:r>
      <w:proofErr w:type="spellEnd"/>
      <w:r w:rsidRPr="00C54A03">
        <w:rPr>
          <w:color w:val="000000" w:themeColor="text1"/>
          <w:sz w:val="24"/>
          <w:szCs w:val="24"/>
          <w:lang w:val="fr-FR"/>
        </w:rPr>
        <w:t xml:space="preserve">, structura </w:t>
      </w:r>
      <w:proofErr w:type="spellStart"/>
      <w:r w:rsidRPr="00C54A03">
        <w:rPr>
          <w:color w:val="000000" w:themeColor="text1"/>
          <w:sz w:val="24"/>
          <w:szCs w:val="24"/>
          <w:lang w:val="fr-FR"/>
        </w:rPr>
        <w:t>și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funcțiile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oferă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rezultatul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evaluării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stării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habitatului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pentru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specii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folosind</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cele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patru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categorii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disponibile</w:t>
      </w:r>
      <w:proofErr w:type="spellEnd"/>
      <w:r w:rsidRPr="00C54A03">
        <w:rPr>
          <w:color w:val="000000" w:themeColor="text1"/>
          <w:sz w:val="24"/>
          <w:szCs w:val="24"/>
          <w:lang w:val="fr-FR"/>
        </w:rPr>
        <w:t>: „</w:t>
      </w:r>
      <w:proofErr w:type="spellStart"/>
      <w:r w:rsidRPr="00C54A03">
        <w:rPr>
          <w:b/>
          <w:color w:val="000000" w:themeColor="text1"/>
          <w:sz w:val="24"/>
          <w:szCs w:val="24"/>
          <w:lang w:val="fr-FR"/>
        </w:rPr>
        <w:t>favorabil</w:t>
      </w:r>
      <w:proofErr w:type="spellEnd"/>
      <w:r w:rsidRPr="00C54A03">
        <w:rPr>
          <w:color w:val="000000" w:themeColor="text1"/>
          <w:sz w:val="24"/>
          <w:szCs w:val="24"/>
          <w:lang w:val="fr-FR"/>
        </w:rPr>
        <w:t>” (FV), „</w:t>
      </w:r>
      <w:proofErr w:type="spellStart"/>
      <w:r w:rsidRPr="00C54A03">
        <w:rPr>
          <w:b/>
          <w:color w:val="000000" w:themeColor="text1"/>
          <w:sz w:val="24"/>
          <w:szCs w:val="24"/>
          <w:lang w:val="fr-FR"/>
        </w:rPr>
        <w:t>nefavorabil-inadecvat</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r w:rsidRPr="00C54A03">
        <w:rPr>
          <w:color w:val="000000" w:themeColor="text1"/>
          <w:sz w:val="24"/>
          <w:szCs w:val="24"/>
          <w:lang w:val="fr-FR"/>
        </w:rPr>
        <w:t>(U1),</w:t>
      </w:r>
      <w:r w:rsidRPr="00C54A03">
        <w:rPr>
          <w:color w:val="000000" w:themeColor="text1"/>
          <w:spacing w:val="-1"/>
          <w:sz w:val="24"/>
          <w:szCs w:val="24"/>
          <w:lang w:val="fr-FR"/>
        </w:rPr>
        <w:t xml:space="preserve"> </w:t>
      </w:r>
      <w:r w:rsidRPr="00C54A03">
        <w:rPr>
          <w:color w:val="000000" w:themeColor="text1"/>
          <w:sz w:val="24"/>
          <w:szCs w:val="24"/>
          <w:lang w:val="fr-FR"/>
        </w:rPr>
        <w:t>„</w:t>
      </w:r>
      <w:proofErr w:type="spellStart"/>
      <w:r w:rsidRPr="00C54A03">
        <w:rPr>
          <w:b/>
          <w:color w:val="000000" w:themeColor="text1"/>
          <w:sz w:val="24"/>
          <w:szCs w:val="24"/>
          <w:lang w:val="fr-FR"/>
        </w:rPr>
        <w:t>nefavorabil-rău</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r w:rsidRPr="00C54A03">
        <w:rPr>
          <w:color w:val="000000" w:themeColor="text1"/>
          <w:sz w:val="24"/>
          <w:szCs w:val="24"/>
          <w:lang w:val="fr-FR"/>
        </w:rPr>
        <w:t>(U2)</w:t>
      </w:r>
      <w:r w:rsidRPr="00C54A03">
        <w:rPr>
          <w:color w:val="000000" w:themeColor="text1"/>
          <w:spacing w:val="-3"/>
          <w:sz w:val="24"/>
          <w:szCs w:val="24"/>
          <w:lang w:val="fr-FR"/>
        </w:rPr>
        <w:t xml:space="preserve"> </w:t>
      </w:r>
      <w:proofErr w:type="spellStart"/>
      <w:r w:rsidRPr="00C54A03">
        <w:rPr>
          <w:color w:val="000000" w:themeColor="text1"/>
          <w:sz w:val="24"/>
          <w:szCs w:val="24"/>
          <w:lang w:val="fr-FR"/>
        </w:rPr>
        <w:t>și</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w:t>
      </w:r>
      <w:proofErr w:type="spellStart"/>
      <w:r w:rsidRPr="00C54A03">
        <w:rPr>
          <w:b/>
          <w:color w:val="000000" w:themeColor="text1"/>
          <w:sz w:val="24"/>
          <w:szCs w:val="24"/>
          <w:lang w:val="fr-FR"/>
        </w:rPr>
        <w:t>necunoscut</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r w:rsidRPr="00C54A03">
        <w:rPr>
          <w:color w:val="000000" w:themeColor="text1"/>
          <w:sz w:val="24"/>
          <w:szCs w:val="24"/>
          <w:lang w:val="fr-FR"/>
        </w:rPr>
        <w:t>(XX),</w:t>
      </w:r>
      <w:r w:rsidRPr="00C54A03">
        <w:rPr>
          <w:color w:val="000000" w:themeColor="text1"/>
          <w:spacing w:val="-1"/>
          <w:sz w:val="24"/>
          <w:szCs w:val="24"/>
          <w:lang w:val="fr-FR"/>
        </w:rPr>
        <w:t xml:space="preserve"> </w:t>
      </w:r>
      <w:r w:rsidRPr="00C54A03">
        <w:rPr>
          <w:color w:val="000000" w:themeColor="text1"/>
          <w:sz w:val="24"/>
          <w:szCs w:val="24"/>
          <w:lang w:val="fr-FR"/>
        </w:rPr>
        <w:t xml:space="preserve">redate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tabelul</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r w:rsidRPr="00C54A03">
        <w:rPr>
          <w:color w:val="000000" w:themeColor="text1"/>
          <w:sz w:val="24"/>
          <w:szCs w:val="24"/>
          <w:lang w:val="fr-FR"/>
        </w:rPr>
        <w:t xml:space="preserve">mai </w:t>
      </w:r>
      <w:proofErr w:type="spellStart"/>
      <w:r w:rsidRPr="00C54A03">
        <w:rPr>
          <w:color w:val="000000" w:themeColor="text1"/>
          <w:sz w:val="24"/>
          <w:szCs w:val="24"/>
          <w:lang w:val="fr-FR"/>
        </w:rPr>
        <w:t>jos</w:t>
      </w:r>
      <w:proofErr w:type="spellEnd"/>
      <w:r w:rsidRPr="00C54A03">
        <w:rPr>
          <w:color w:val="000000" w:themeColor="text1"/>
          <w:sz w:val="24"/>
          <w:szCs w:val="24"/>
          <w:lang w:val="fr-FR"/>
        </w:rPr>
        <w:t>:</w:t>
      </w:r>
    </w:p>
    <w:p w14:paraId="67991DBB" w14:textId="77777777" w:rsidR="007702CD" w:rsidRPr="00C54A03" w:rsidRDefault="007702CD" w:rsidP="008E33FD">
      <w:pPr>
        <w:pStyle w:val="BodyText"/>
        <w:spacing w:before="5"/>
        <w:jc w:val="both"/>
        <w:rPr>
          <w:color w:val="000000" w:themeColor="text1"/>
          <w:sz w:val="24"/>
          <w:szCs w:val="24"/>
          <w:lang w:val="fr-FR"/>
        </w:rPr>
      </w:pPr>
    </w:p>
    <w:tbl>
      <w:tblPr>
        <w:tblW w:w="0" w:type="auto"/>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0"/>
        <w:gridCol w:w="7480"/>
      </w:tblGrid>
      <w:tr w:rsidR="007702CD" w:rsidRPr="00C54A03" w14:paraId="497BED7A" w14:textId="77777777" w:rsidTr="00102A1A">
        <w:trPr>
          <w:trHeight w:val="553"/>
        </w:trPr>
        <w:tc>
          <w:tcPr>
            <w:tcW w:w="1810" w:type="dxa"/>
            <w:shd w:val="clear" w:color="auto" w:fill="DBE4F0"/>
          </w:tcPr>
          <w:p w14:paraId="78167A01" w14:textId="77777777" w:rsidR="007702CD" w:rsidRPr="00C54A03" w:rsidRDefault="007702CD" w:rsidP="008E33FD">
            <w:pPr>
              <w:pStyle w:val="TableParagraph"/>
              <w:tabs>
                <w:tab w:val="left" w:pos="1458"/>
              </w:tabs>
              <w:spacing w:line="276" w:lineRule="exact"/>
              <w:ind w:left="108" w:right="98"/>
              <w:jc w:val="both"/>
              <w:rPr>
                <w:b/>
                <w:color w:val="000000" w:themeColor="text1"/>
                <w:sz w:val="24"/>
                <w:szCs w:val="24"/>
              </w:rPr>
            </w:pPr>
            <w:r w:rsidRPr="00C54A03">
              <w:rPr>
                <w:b/>
                <w:color w:val="000000" w:themeColor="text1"/>
                <w:sz w:val="24"/>
                <w:szCs w:val="24"/>
              </w:rPr>
              <w:lastRenderedPageBreak/>
              <w:t>Starea</w:t>
            </w:r>
            <w:r w:rsidRPr="00C54A03">
              <w:rPr>
                <w:b/>
                <w:color w:val="000000" w:themeColor="text1"/>
                <w:sz w:val="24"/>
                <w:szCs w:val="24"/>
              </w:rPr>
              <w:tab/>
            </w:r>
            <w:r w:rsidRPr="00C54A03">
              <w:rPr>
                <w:b/>
                <w:color w:val="000000" w:themeColor="text1"/>
                <w:spacing w:val="-2"/>
                <w:sz w:val="24"/>
                <w:szCs w:val="24"/>
              </w:rPr>
              <w:t>de</w:t>
            </w:r>
            <w:r w:rsidRPr="00C54A03">
              <w:rPr>
                <w:b/>
                <w:color w:val="000000" w:themeColor="text1"/>
                <w:spacing w:val="-57"/>
                <w:sz w:val="24"/>
                <w:szCs w:val="24"/>
              </w:rPr>
              <w:t xml:space="preserve"> </w:t>
            </w:r>
            <w:r w:rsidRPr="00C54A03">
              <w:rPr>
                <w:b/>
                <w:color w:val="000000" w:themeColor="text1"/>
                <w:sz w:val="24"/>
                <w:szCs w:val="24"/>
              </w:rPr>
              <w:t>conservare</w:t>
            </w:r>
          </w:p>
        </w:tc>
        <w:tc>
          <w:tcPr>
            <w:tcW w:w="7480" w:type="dxa"/>
            <w:shd w:val="clear" w:color="auto" w:fill="DBE4F0"/>
          </w:tcPr>
          <w:p w14:paraId="11537353" w14:textId="77777777" w:rsidR="007702CD" w:rsidRPr="00C54A03" w:rsidRDefault="007702CD" w:rsidP="008E33FD">
            <w:pPr>
              <w:pStyle w:val="TableParagraph"/>
              <w:spacing w:before="135"/>
              <w:ind w:left="107"/>
              <w:jc w:val="both"/>
              <w:rPr>
                <w:b/>
                <w:color w:val="000000" w:themeColor="text1"/>
                <w:sz w:val="24"/>
                <w:szCs w:val="24"/>
              </w:rPr>
            </w:pPr>
            <w:r w:rsidRPr="00C54A03">
              <w:rPr>
                <w:b/>
                <w:color w:val="000000" w:themeColor="text1"/>
                <w:sz w:val="24"/>
                <w:szCs w:val="24"/>
              </w:rPr>
              <w:t>Criterii</w:t>
            </w:r>
            <w:r w:rsidRPr="00C54A03">
              <w:rPr>
                <w:b/>
                <w:color w:val="000000" w:themeColor="text1"/>
                <w:spacing w:val="-2"/>
                <w:sz w:val="24"/>
                <w:szCs w:val="24"/>
              </w:rPr>
              <w:t xml:space="preserve"> </w:t>
            </w:r>
            <w:r w:rsidRPr="00C54A03">
              <w:rPr>
                <w:b/>
                <w:color w:val="000000" w:themeColor="text1"/>
                <w:sz w:val="24"/>
                <w:szCs w:val="24"/>
              </w:rPr>
              <w:t>de</w:t>
            </w:r>
            <w:r w:rsidRPr="00C54A03">
              <w:rPr>
                <w:b/>
                <w:color w:val="000000" w:themeColor="text1"/>
                <w:spacing w:val="-2"/>
                <w:sz w:val="24"/>
                <w:szCs w:val="24"/>
              </w:rPr>
              <w:t xml:space="preserve"> </w:t>
            </w:r>
            <w:r w:rsidRPr="00C54A03">
              <w:rPr>
                <w:b/>
                <w:color w:val="000000" w:themeColor="text1"/>
                <w:sz w:val="24"/>
                <w:szCs w:val="24"/>
              </w:rPr>
              <w:t>evaluare</w:t>
            </w:r>
          </w:p>
        </w:tc>
      </w:tr>
      <w:tr w:rsidR="007702CD" w:rsidRPr="00C54A03" w14:paraId="5A6AF412" w14:textId="77777777" w:rsidTr="00102A1A">
        <w:trPr>
          <w:trHeight w:val="8012"/>
        </w:trPr>
        <w:tc>
          <w:tcPr>
            <w:tcW w:w="1810" w:type="dxa"/>
          </w:tcPr>
          <w:p w14:paraId="32522F3F" w14:textId="77777777" w:rsidR="007702CD" w:rsidRPr="00C54A03" w:rsidRDefault="007702CD" w:rsidP="008E33FD">
            <w:pPr>
              <w:pStyle w:val="TableParagraph"/>
              <w:jc w:val="both"/>
              <w:rPr>
                <w:color w:val="000000" w:themeColor="text1"/>
                <w:sz w:val="24"/>
                <w:szCs w:val="24"/>
              </w:rPr>
            </w:pPr>
          </w:p>
          <w:p w14:paraId="15EB5A22" w14:textId="77777777" w:rsidR="007702CD" w:rsidRPr="00C54A03" w:rsidRDefault="007702CD" w:rsidP="008E33FD">
            <w:pPr>
              <w:pStyle w:val="TableParagraph"/>
              <w:jc w:val="both"/>
              <w:rPr>
                <w:color w:val="000000" w:themeColor="text1"/>
                <w:sz w:val="24"/>
                <w:szCs w:val="24"/>
              </w:rPr>
            </w:pPr>
          </w:p>
          <w:p w14:paraId="00ED8074" w14:textId="77777777" w:rsidR="007702CD" w:rsidRPr="00C54A03" w:rsidRDefault="007702CD" w:rsidP="008E33FD">
            <w:pPr>
              <w:pStyle w:val="TableParagraph"/>
              <w:jc w:val="both"/>
              <w:rPr>
                <w:color w:val="000000" w:themeColor="text1"/>
                <w:sz w:val="24"/>
                <w:szCs w:val="24"/>
              </w:rPr>
            </w:pPr>
          </w:p>
          <w:p w14:paraId="32659B2A" w14:textId="77777777" w:rsidR="007702CD" w:rsidRPr="00C54A03" w:rsidRDefault="007702CD" w:rsidP="008E33FD">
            <w:pPr>
              <w:pStyle w:val="TableParagraph"/>
              <w:jc w:val="both"/>
              <w:rPr>
                <w:color w:val="000000" w:themeColor="text1"/>
                <w:sz w:val="24"/>
                <w:szCs w:val="24"/>
              </w:rPr>
            </w:pPr>
          </w:p>
          <w:p w14:paraId="7EFE567F" w14:textId="77777777" w:rsidR="007702CD" w:rsidRPr="00C54A03" w:rsidRDefault="007702CD" w:rsidP="008E33FD">
            <w:pPr>
              <w:pStyle w:val="TableParagraph"/>
              <w:jc w:val="both"/>
              <w:rPr>
                <w:color w:val="000000" w:themeColor="text1"/>
                <w:sz w:val="24"/>
                <w:szCs w:val="24"/>
              </w:rPr>
            </w:pPr>
          </w:p>
          <w:p w14:paraId="7E495356" w14:textId="77777777" w:rsidR="007702CD" w:rsidRPr="00C54A03" w:rsidRDefault="007702CD" w:rsidP="008E33FD">
            <w:pPr>
              <w:pStyle w:val="TableParagraph"/>
              <w:jc w:val="both"/>
              <w:rPr>
                <w:color w:val="000000" w:themeColor="text1"/>
                <w:sz w:val="24"/>
                <w:szCs w:val="24"/>
              </w:rPr>
            </w:pPr>
          </w:p>
          <w:p w14:paraId="5E0F02F3" w14:textId="77777777" w:rsidR="007702CD" w:rsidRPr="00C54A03" w:rsidRDefault="007702CD" w:rsidP="008E33FD">
            <w:pPr>
              <w:pStyle w:val="TableParagraph"/>
              <w:jc w:val="both"/>
              <w:rPr>
                <w:color w:val="000000" w:themeColor="text1"/>
                <w:sz w:val="24"/>
                <w:szCs w:val="24"/>
              </w:rPr>
            </w:pPr>
          </w:p>
          <w:p w14:paraId="00F11619" w14:textId="77777777" w:rsidR="007702CD" w:rsidRPr="00C54A03" w:rsidRDefault="007702CD" w:rsidP="008E33FD">
            <w:pPr>
              <w:pStyle w:val="TableParagraph"/>
              <w:jc w:val="both"/>
              <w:rPr>
                <w:color w:val="000000" w:themeColor="text1"/>
                <w:sz w:val="24"/>
                <w:szCs w:val="24"/>
              </w:rPr>
            </w:pPr>
          </w:p>
          <w:p w14:paraId="3BE96D30" w14:textId="77777777" w:rsidR="007702CD" w:rsidRPr="00C54A03" w:rsidRDefault="007702CD" w:rsidP="008E33FD">
            <w:pPr>
              <w:pStyle w:val="TableParagraph"/>
              <w:jc w:val="both"/>
              <w:rPr>
                <w:color w:val="000000" w:themeColor="text1"/>
                <w:sz w:val="24"/>
                <w:szCs w:val="24"/>
              </w:rPr>
            </w:pPr>
          </w:p>
          <w:p w14:paraId="050E9572" w14:textId="77777777" w:rsidR="007702CD" w:rsidRPr="00C54A03" w:rsidRDefault="007702CD" w:rsidP="008E33FD">
            <w:pPr>
              <w:pStyle w:val="TableParagraph"/>
              <w:jc w:val="both"/>
              <w:rPr>
                <w:color w:val="000000" w:themeColor="text1"/>
                <w:sz w:val="24"/>
                <w:szCs w:val="24"/>
              </w:rPr>
            </w:pPr>
          </w:p>
          <w:p w14:paraId="1B87EE8A" w14:textId="77777777" w:rsidR="007702CD" w:rsidRPr="00C54A03" w:rsidRDefault="007702CD" w:rsidP="008E33FD">
            <w:pPr>
              <w:pStyle w:val="TableParagraph"/>
              <w:jc w:val="both"/>
              <w:rPr>
                <w:color w:val="000000" w:themeColor="text1"/>
                <w:sz w:val="24"/>
                <w:szCs w:val="24"/>
              </w:rPr>
            </w:pPr>
          </w:p>
          <w:p w14:paraId="48D6D97B" w14:textId="77777777" w:rsidR="007702CD" w:rsidRPr="00C54A03" w:rsidRDefault="007702CD" w:rsidP="008E33FD">
            <w:pPr>
              <w:pStyle w:val="TableParagraph"/>
              <w:jc w:val="both"/>
              <w:rPr>
                <w:color w:val="000000" w:themeColor="text1"/>
                <w:sz w:val="24"/>
                <w:szCs w:val="24"/>
              </w:rPr>
            </w:pPr>
          </w:p>
          <w:p w14:paraId="75622A1C" w14:textId="77777777" w:rsidR="007702CD" w:rsidRPr="00C54A03" w:rsidRDefault="007702CD" w:rsidP="008E33FD">
            <w:pPr>
              <w:pStyle w:val="TableParagraph"/>
              <w:spacing w:before="9"/>
              <w:jc w:val="both"/>
              <w:rPr>
                <w:color w:val="000000" w:themeColor="text1"/>
                <w:sz w:val="24"/>
                <w:szCs w:val="24"/>
              </w:rPr>
            </w:pPr>
          </w:p>
          <w:p w14:paraId="51F659A0" w14:textId="77777777" w:rsidR="007702CD" w:rsidRPr="00C54A03" w:rsidRDefault="007702CD" w:rsidP="008E33FD">
            <w:pPr>
              <w:pStyle w:val="TableParagraph"/>
              <w:ind w:left="108"/>
              <w:jc w:val="both"/>
              <w:rPr>
                <w:color w:val="000000" w:themeColor="text1"/>
                <w:sz w:val="24"/>
                <w:szCs w:val="24"/>
              </w:rPr>
            </w:pPr>
            <w:r w:rsidRPr="00C54A03">
              <w:rPr>
                <w:color w:val="000000" w:themeColor="text1"/>
                <w:sz w:val="24"/>
                <w:szCs w:val="24"/>
              </w:rPr>
              <w:t>Favorabil</w:t>
            </w:r>
            <w:r w:rsidRPr="00C54A03">
              <w:rPr>
                <w:color w:val="000000" w:themeColor="text1"/>
                <w:spacing w:val="-3"/>
                <w:sz w:val="24"/>
                <w:szCs w:val="24"/>
              </w:rPr>
              <w:t xml:space="preserve"> </w:t>
            </w:r>
            <w:r w:rsidRPr="00C54A03">
              <w:rPr>
                <w:color w:val="000000" w:themeColor="text1"/>
                <w:sz w:val="24"/>
                <w:szCs w:val="24"/>
              </w:rPr>
              <w:t>(FV)</w:t>
            </w:r>
          </w:p>
        </w:tc>
        <w:tc>
          <w:tcPr>
            <w:tcW w:w="7480" w:type="dxa"/>
          </w:tcPr>
          <w:p w14:paraId="72D926DD" w14:textId="77777777" w:rsidR="007702CD" w:rsidRPr="00C54A03" w:rsidRDefault="007702CD" w:rsidP="008E33FD">
            <w:pPr>
              <w:pStyle w:val="TableParagraph"/>
              <w:spacing w:line="268" w:lineRule="exact"/>
              <w:ind w:left="107"/>
              <w:jc w:val="both"/>
              <w:rPr>
                <w:color w:val="000000" w:themeColor="text1"/>
                <w:sz w:val="24"/>
                <w:szCs w:val="24"/>
              </w:rPr>
            </w:pPr>
            <w:r w:rsidRPr="00C54A03">
              <w:rPr>
                <w:color w:val="000000" w:themeColor="text1"/>
                <w:sz w:val="24"/>
                <w:szCs w:val="24"/>
              </w:rPr>
              <w:t>În</w:t>
            </w:r>
            <w:r w:rsidRPr="00C54A03">
              <w:rPr>
                <w:color w:val="000000" w:themeColor="text1"/>
                <w:spacing w:val="21"/>
                <w:sz w:val="24"/>
                <w:szCs w:val="24"/>
              </w:rPr>
              <w:t xml:space="preserve"> </w:t>
            </w:r>
            <w:r w:rsidRPr="00C54A03">
              <w:rPr>
                <w:color w:val="000000" w:themeColor="text1"/>
                <w:sz w:val="24"/>
                <w:szCs w:val="24"/>
              </w:rPr>
              <w:t>conformitate</w:t>
            </w:r>
            <w:r w:rsidRPr="00C54A03">
              <w:rPr>
                <w:color w:val="000000" w:themeColor="text1"/>
                <w:spacing w:val="21"/>
                <w:sz w:val="24"/>
                <w:szCs w:val="24"/>
              </w:rPr>
              <w:t xml:space="preserve"> </w:t>
            </w:r>
            <w:r w:rsidRPr="00C54A03">
              <w:rPr>
                <w:color w:val="000000" w:themeColor="text1"/>
                <w:sz w:val="24"/>
                <w:szCs w:val="24"/>
              </w:rPr>
              <w:t>cu</w:t>
            </w:r>
            <w:r w:rsidRPr="00C54A03">
              <w:rPr>
                <w:color w:val="000000" w:themeColor="text1"/>
                <w:spacing w:val="20"/>
                <w:sz w:val="24"/>
                <w:szCs w:val="24"/>
              </w:rPr>
              <w:t xml:space="preserve"> </w:t>
            </w:r>
            <w:r w:rsidRPr="00C54A03">
              <w:rPr>
                <w:color w:val="000000" w:themeColor="text1"/>
                <w:sz w:val="24"/>
                <w:szCs w:val="24"/>
              </w:rPr>
              <w:t>matricea</w:t>
            </w:r>
            <w:r w:rsidRPr="00C54A03">
              <w:rPr>
                <w:color w:val="000000" w:themeColor="text1"/>
                <w:spacing w:val="19"/>
                <w:sz w:val="24"/>
                <w:szCs w:val="24"/>
              </w:rPr>
              <w:t xml:space="preserve"> </w:t>
            </w:r>
            <w:r w:rsidRPr="00C54A03">
              <w:rPr>
                <w:color w:val="000000" w:themeColor="text1"/>
                <w:sz w:val="24"/>
                <w:szCs w:val="24"/>
              </w:rPr>
              <w:t>de</w:t>
            </w:r>
            <w:r w:rsidRPr="00C54A03">
              <w:rPr>
                <w:color w:val="000000" w:themeColor="text1"/>
                <w:spacing w:val="19"/>
                <w:sz w:val="24"/>
                <w:szCs w:val="24"/>
              </w:rPr>
              <w:t xml:space="preserve"> </w:t>
            </w:r>
            <w:r w:rsidRPr="00C54A03">
              <w:rPr>
                <w:color w:val="000000" w:themeColor="text1"/>
                <w:sz w:val="24"/>
                <w:szCs w:val="24"/>
              </w:rPr>
              <w:t>evaluare</w:t>
            </w:r>
            <w:r w:rsidRPr="00C54A03">
              <w:rPr>
                <w:color w:val="000000" w:themeColor="text1"/>
                <w:spacing w:val="20"/>
                <w:sz w:val="24"/>
                <w:szCs w:val="24"/>
              </w:rPr>
              <w:t xml:space="preserve"> </w:t>
            </w:r>
            <w:r w:rsidRPr="00C54A03">
              <w:rPr>
                <w:color w:val="000000" w:themeColor="text1"/>
                <w:sz w:val="24"/>
                <w:szCs w:val="24"/>
              </w:rPr>
              <w:t>(anexa</w:t>
            </w:r>
            <w:r w:rsidRPr="00C54A03">
              <w:rPr>
                <w:color w:val="000000" w:themeColor="text1"/>
                <w:spacing w:val="19"/>
                <w:sz w:val="24"/>
                <w:szCs w:val="24"/>
              </w:rPr>
              <w:t xml:space="preserve"> </w:t>
            </w:r>
            <w:r w:rsidRPr="00C54A03">
              <w:rPr>
                <w:color w:val="000000" w:themeColor="text1"/>
                <w:sz w:val="24"/>
                <w:szCs w:val="24"/>
              </w:rPr>
              <w:t>E),</w:t>
            </w:r>
            <w:r w:rsidRPr="00C54A03">
              <w:rPr>
                <w:color w:val="000000" w:themeColor="text1"/>
                <w:spacing w:val="20"/>
                <w:sz w:val="24"/>
                <w:szCs w:val="24"/>
              </w:rPr>
              <w:t xml:space="preserve"> </w:t>
            </w:r>
            <w:r w:rsidRPr="00C54A03">
              <w:rPr>
                <w:color w:val="000000" w:themeColor="text1"/>
                <w:sz w:val="24"/>
                <w:szCs w:val="24"/>
              </w:rPr>
              <w:t>starea</w:t>
            </w:r>
            <w:r w:rsidRPr="00C54A03">
              <w:rPr>
                <w:color w:val="000000" w:themeColor="text1"/>
                <w:spacing w:val="19"/>
                <w:sz w:val="24"/>
                <w:szCs w:val="24"/>
              </w:rPr>
              <w:t xml:space="preserve"> </w:t>
            </w:r>
            <w:r w:rsidRPr="00C54A03">
              <w:rPr>
                <w:color w:val="000000" w:themeColor="text1"/>
                <w:sz w:val="24"/>
                <w:szCs w:val="24"/>
              </w:rPr>
              <w:t>și</w:t>
            </w:r>
            <w:r w:rsidRPr="00C54A03">
              <w:rPr>
                <w:color w:val="000000" w:themeColor="text1"/>
                <w:spacing w:val="21"/>
                <w:sz w:val="24"/>
                <w:szCs w:val="24"/>
              </w:rPr>
              <w:t xml:space="preserve"> </w:t>
            </w:r>
            <w:r w:rsidRPr="00C54A03">
              <w:rPr>
                <w:color w:val="000000" w:themeColor="text1"/>
                <w:sz w:val="24"/>
                <w:szCs w:val="24"/>
              </w:rPr>
              <w:t>funcțiile</w:t>
            </w:r>
            <w:r w:rsidRPr="00C54A03">
              <w:rPr>
                <w:color w:val="000000" w:themeColor="text1"/>
                <w:spacing w:val="19"/>
                <w:sz w:val="24"/>
                <w:szCs w:val="24"/>
              </w:rPr>
              <w:t xml:space="preserve"> </w:t>
            </w:r>
            <w:r w:rsidRPr="00C54A03">
              <w:rPr>
                <w:color w:val="000000" w:themeColor="text1"/>
                <w:sz w:val="24"/>
                <w:szCs w:val="24"/>
              </w:rPr>
              <w:t>sunt</w:t>
            </w:r>
          </w:p>
          <w:p w14:paraId="0FB4E107" w14:textId="77777777" w:rsidR="007702CD" w:rsidRPr="00C54A03" w:rsidRDefault="007702CD" w:rsidP="008E33FD">
            <w:pPr>
              <w:pStyle w:val="TableParagraph"/>
              <w:ind w:left="107"/>
              <w:jc w:val="both"/>
              <w:rPr>
                <w:color w:val="000000" w:themeColor="text1"/>
                <w:sz w:val="24"/>
                <w:szCs w:val="24"/>
              </w:rPr>
            </w:pPr>
            <w:r w:rsidRPr="00C54A03">
              <w:rPr>
                <w:color w:val="000000" w:themeColor="text1"/>
                <w:sz w:val="24"/>
                <w:szCs w:val="24"/>
              </w:rPr>
              <w:t>„favorabile”</w:t>
            </w:r>
            <w:r w:rsidRPr="00C54A03">
              <w:rPr>
                <w:color w:val="000000" w:themeColor="text1"/>
                <w:spacing w:val="-4"/>
                <w:sz w:val="24"/>
                <w:szCs w:val="24"/>
              </w:rPr>
              <w:t xml:space="preserve"> </w:t>
            </w:r>
            <w:r w:rsidRPr="00C54A03">
              <w:rPr>
                <w:color w:val="000000" w:themeColor="text1"/>
                <w:sz w:val="24"/>
                <w:szCs w:val="24"/>
              </w:rPr>
              <w:t>dacă:</w:t>
            </w:r>
          </w:p>
          <w:p w14:paraId="29297D05" w14:textId="77777777" w:rsidR="007702CD" w:rsidRPr="00C54A03" w:rsidRDefault="007702CD" w:rsidP="009E63E5">
            <w:pPr>
              <w:pStyle w:val="TableParagraph"/>
              <w:numPr>
                <w:ilvl w:val="0"/>
                <w:numId w:val="56"/>
              </w:numPr>
              <w:tabs>
                <w:tab w:val="left" w:pos="828"/>
                <w:tab w:val="left" w:pos="829"/>
              </w:tabs>
              <w:spacing w:line="287" w:lineRule="exact"/>
              <w:ind w:left="828" w:hanging="362"/>
              <w:jc w:val="both"/>
              <w:rPr>
                <w:color w:val="000000" w:themeColor="text1"/>
                <w:sz w:val="24"/>
                <w:szCs w:val="24"/>
              </w:rPr>
            </w:pPr>
            <w:r w:rsidRPr="00C54A03">
              <w:rPr>
                <w:color w:val="000000" w:themeColor="text1"/>
                <w:sz w:val="24"/>
                <w:szCs w:val="24"/>
              </w:rPr>
              <w:t>structura</w:t>
            </w:r>
            <w:r w:rsidRPr="00C54A03">
              <w:rPr>
                <w:color w:val="000000" w:themeColor="text1"/>
                <w:spacing w:val="-4"/>
                <w:sz w:val="24"/>
                <w:szCs w:val="24"/>
              </w:rPr>
              <w:t xml:space="preserve"> </w:t>
            </w:r>
            <w:r w:rsidRPr="00C54A03">
              <w:rPr>
                <w:color w:val="000000" w:themeColor="text1"/>
                <w:sz w:val="24"/>
                <w:szCs w:val="24"/>
              </w:rPr>
              <w:t>și</w:t>
            </w:r>
            <w:r w:rsidRPr="00C54A03">
              <w:rPr>
                <w:color w:val="000000" w:themeColor="text1"/>
                <w:spacing w:val="-2"/>
                <w:sz w:val="24"/>
                <w:szCs w:val="24"/>
              </w:rPr>
              <w:t xml:space="preserve"> </w:t>
            </w:r>
            <w:r w:rsidRPr="00C54A03">
              <w:rPr>
                <w:color w:val="000000" w:themeColor="text1"/>
                <w:sz w:val="24"/>
                <w:szCs w:val="24"/>
              </w:rPr>
              <w:t>funcțiile</w:t>
            </w:r>
            <w:r w:rsidRPr="00C54A03">
              <w:rPr>
                <w:color w:val="000000" w:themeColor="text1"/>
                <w:spacing w:val="-2"/>
                <w:sz w:val="24"/>
                <w:szCs w:val="24"/>
              </w:rPr>
              <w:t xml:space="preserve"> </w:t>
            </w:r>
            <w:r w:rsidRPr="00C54A03">
              <w:rPr>
                <w:color w:val="000000" w:themeColor="text1"/>
                <w:sz w:val="24"/>
                <w:szCs w:val="24"/>
              </w:rPr>
              <w:t>(inclusiv</w:t>
            </w:r>
            <w:r w:rsidRPr="00C54A03">
              <w:rPr>
                <w:color w:val="000000" w:themeColor="text1"/>
                <w:spacing w:val="-2"/>
                <w:sz w:val="24"/>
                <w:szCs w:val="24"/>
              </w:rPr>
              <w:t xml:space="preserve"> </w:t>
            </w:r>
            <w:r w:rsidRPr="00C54A03">
              <w:rPr>
                <w:color w:val="000000" w:themeColor="text1"/>
                <w:sz w:val="24"/>
                <w:szCs w:val="24"/>
              </w:rPr>
              <w:t>speciile</w:t>
            </w:r>
            <w:r w:rsidRPr="00C54A03">
              <w:rPr>
                <w:color w:val="000000" w:themeColor="text1"/>
                <w:spacing w:val="-1"/>
                <w:sz w:val="24"/>
                <w:szCs w:val="24"/>
              </w:rPr>
              <w:t xml:space="preserve"> </w:t>
            </w:r>
            <w:r w:rsidRPr="00C54A03">
              <w:rPr>
                <w:color w:val="000000" w:themeColor="text1"/>
                <w:sz w:val="24"/>
                <w:szCs w:val="24"/>
              </w:rPr>
              <w:t>tipice)</w:t>
            </w:r>
            <w:r w:rsidRPr="00C54A03">
              <w:rPr>
                <w:color w:val="000000" w:themeColor="text1"/>
                <w:spacing w:val="-1"/>
                <w:sz w:val="24"/>
                <w:szCs w:val="24"/>
              </w:rPr>
              <w:t xml:space="preserve"> </w:t>
            </w:r>
            <w:r w:rsidRPr="00C54A03">
              <w:rPr>
                <w:color w:val="000000" w:themeColor="text1"/>
                <w:sz w:val="24"/>
                <w:szCs w:val="24"/>
              </w:rPr>
              <w:t>sunt</w:t>
            </w:r>
            <w:r w:rsidRPr="00C54A03">
              <w:rPr>
                <w:color w:val="000000" w:themeColor="text1"/>
                <w:spacing w:val="-3"/>
                <w:sz w:val="24"/>
                <w:szCs w:val="24"/>
              </w:rPr>
              <w:t xml:space="preserve"> </w:t>
            </w:r>
            <w:r w:rsidRPr="00C54A03">
              <w:rPr>
                <w:color w:val="000000" w:themeColor="text1"/>
                <w:sz w:val="24"/>
                <w:szCs w:val="24"/>
              </w:rPr>
              <w:t>în</w:t>
            </w:r>
            <w:r w:rsidRPr="00C54A03">
              <w:rPr>
                <w:color w:val="000000" w:themeColor="text1"/>
                <w:spacing w:val="-1"/>
                <w:sz w:val="24"/>
                <w:szCs w:val="24"/>
              </w:rPr>
              <w:t xml:space="preserve"> </w:t>
            </w:r>
            <w:r w:rsidRPr="00C54A03">
              <w:rPr>
                <w:color w:val="000000" w:themeColor="text1"/>
                <w:sz w:val="24"/>
                <w:szCs w:val="24"/>
              </w:rPr>
              <w:t>stare</w:t>
            </w:r>
            <w:r w:rsidRPr="00C54A03">
              <w:rPr>
                <w:color w:val="000000" w:themeColor="text1"/>
                <w:spacing w:val="-2"/>
                <w:sz w:val="24"/>
                <w:szCs w:val="24"/>
              </w:rPr>
              <w:t xml:space="preserve"> </w:t>
            </w:r>
            <w:r w:rsidRPr="00C54A03">
              <w:rPr>
                <w:color w:val="000000" w:themeColor="text1"/>
                <w:sz w:val="24"/>
                <w:szCs w:val="24"/>
              </w:rPr>
              <w:t>bună;</w:t>
            </w:r>
            <w:r w:rsidRPr="00C54A03">
              <w:rPr>
                <w:color w:val="000000" w:themeColor="text1"/>
                <w:spacing w:val="-2"/>
                <w:sz w:val="24"/>
                <w:szCs w:val="24"/>
              </w:rPr>
              <w:t xml:space="preserve"> </w:t>
            </w:r>
            <w:r w:rsidRPr="00C54A03">
              <w:rPr>
                <w:color w:val="000000" w:themeColor="text1"/>
                <w:sz w:val="24"/>
                <w:szCs w:val="24"/>
              </w:rPr>
              <w:t>și</w:t>
            </w:r>
          </w:p>
          <w:p w14:paraId="37ADFA7D" w14:textId="77777777" w:rsidR="007702CD" w:rsidRPr="00C54A03" w:rsidRDefault="007702CD" w:rsidP="009E63E5">
            <w:pPr>
              <w:pStyle w:val="TableParagraph"/>
              <w:numPr>
                <w:ilvl w:val="0"/>
                <w:numId w:val="56"/>
              </w:numPr>
              <w:tabs>
                <w:tab w:val="left" w:pos="828"/>
                <w:tab w:val="left" w:pos="829"/>
              </w:tabs>
              <w:spacing w:before="6" w:line="228" w:lineRule="auto"/>
              <w:ind w:right="2131" w:firstLine="360"/>
              <w:jc w:val="both"/>
              <w:rPr>
                <w:color w:val="000000" w:themeColor="text1"/>
                <w:sz w:val="24"/>
                <w:szCs w:val="24"/>
              </w:rPr>
            </w:pPr>
            <w:r w:rsidRPr="00C54A03">
              <w:rPr>
                <w:color w:val="000000" w:themeColor="text1"/>
                <w:sz w:val="24"/>
                <w:szCs w:val="24"/>
              </w:rPr>
              <w:t>și</w:t>
            </w:r>
            <w:r w:rsidRPr="00C54A03">
              <w:rPr>
                <w:color w:val="000000" w:themeColor="text1"/>
                <w:spacing w:val="-4"/>
                <w:sz w:val="24"/>
                <w:szCs w:val="24"/>
              </w:rPr>
              <w:t xml:space="preserve"> </w:t>
            </w:r>
            <w:r w:rsidRPr="00C54A03">
              <w:rPr>
                <w:color w:val="000000" w:themeColor="text1"/>
                <w:sz w:val="24"/>
                <w:szCs w:val="24"/>
              </w:rPr>
              <w:t>nu</w:t>
            </w:r>
            <w:r w:rsidRPr="00C54A03">
              <w:rPr>
                <w:color w:val="000000" w:themeColor="text1"/>
                <w:spacing w:val="-3"/>
                <w:sz w:val="24"/>
                <w:szCs w:val="24"/>
              </w:rPr>
              <w:t xml:space="preserve"> </w:t>
            </w:r>
            <w:r w:rsidRPr="00C54A03">
              <w:rPr>
                <w:color w:val="000000" w:themeColor="text1"/>
                <w:sz w:val="24"/>
                <w:szCs w:val="24"/>
              </w:rPr>
              <w:t>există</w:t>
            </w:r>
            <w:r w:rsidRPr="00C54A03">
              <w:rPr>
                <w:color w:val="000000" w:themeColor="text1"/>
                <w:spacing w:val="-3"/>
                <w:sz w:val="24"/>
                <w:szCs w:val="24"/>
              </w:rPr>
              <w:t xml:space="preserve"> </w:t>
            </w:r>
            <w:r w:rsidRPr="00C54A03">
              <w:rPr>
                <w:color w:val="000000" w:themeColor="text1"/>
                <w:sz w:val="24"/>
                <w:szCs w:val="24"/>
              </w:rPr>
              <w:t>deteriorări</w:t>
            </w:r>
            <w:r w:rsidRPr="00C54A03">
              <w:rPr>
                <w:color w:val="000000" w:themeColor="text1"/>
                <w:spacing w:val="-4"/>
                <w:sz w:val="24"/>
                <w:szCs w:val="24"/>
              </w:rPr>
              <w:t xml:space="preserve"> </w:t>
            </w:r>
            <w:r w:rsidRPr="00C54A03">
              <w:rPr>
                <w:color w:val="000000" w:themeColor="text1"/>
                <w:sz w:val="24"/>
                <w:szCs w:val="24"/>
              </w:rPr>
              <w:t>/</w:t>
            </w:r>
            <w:r w:rsidRPr="00C54A03">
              <w:rPr>
                <w:color w:val="000000" w:themeColor="text1"/>
                <w:spacing w:val="-3"/>
                <w:sz w:val="24"/>
                <w:szCs w:val="24"/>
              </w:rPr>
              <w:t xml:space="preserve"> </w:t>
            </w:r>
            <w:r w:rsidRPr="00C54A03">
              <w:rPr>
                <w:color w:val="000000" w:themeColor="text1"/>
                <w:sz w:val="24"/>
                <w:szCs w:val="24"/>
              </w:rPr>
              <w:t>presiuni</w:t>
            </w:r>
            <w:r w:rsidRPr="00C54A03">
              <w:rPr>
                <w:color w:val="000000" w:themeColor="text1"/>
                <w:spacing w:val="-3"/>
                <w:sz w:val="24"/>
                <w:szCs w:val="24"/>
              </w:rPr>
              <w:t xml:space="preserve"> </w:t>
            </w:r>
            <w:r w:rsidRPr="00C54A03">
              <w:rPr>
                <w:color w:val="000000" w:themeColor="text1"/>
                <w:sz w:val="24"/>
                <w:szCs w:val="24"/>
              </w:rPr>
              <w:t>semnificative.</w:t>
            </w:r>
            <w:r w:rsidRPr="00C54A03">
              <w:rPr>
                <w:color w:val="000000" w:themeColor="text1"/>
                <w:spacing w:val="-57"/>
                <w:sz w:val="24"/>
                <w:szCs w:val="24"/>
              </w:rPr>
              <w:t xml:space="preserve"> </w:t>
            </w:r>
            <w:r w:rsidRPr="00C54A03">
              <w:rPr>
                <w:color w:val="000000" w:themeColor="text1"/>
                <w:sz w:val="24"/>
                <w:szCs w:val="24"/>
              </w:rPr>
              <w:t>Informațiisuplimentare:</w:t>
            </w:r>
          </w:p>
          <w:p w14:paraId="286F66CD" w14:textId="77777777" w:rsidR="007702CD" w:rsidRPr="00C54A03" w:rsidRDefault="007702CD" w:rsidP="009E63E5">
            <w:pPr>
              <w:pStyle w:val="TableParagraph"/>
              <w:numPr>
                <w:ilvl w:val="0"/>
                <w:numId w:val="55"/>
              </w:numPr>
              <w:tabs>
                <w:tab w:val="left" w:pos="829"/>
              </w:tabs>
              <w:spacing w:before="2"/>
              <w:ind w:right="101"/>
              <w:jc w:val="both"/>
              <w:rPr>
                <w:color w:val="000000" w:themeColor="text1"/>
                <w:sz w:val="24"/>
                <w:szCs w:val="24"/>
              </w:rPr>
            </w:pPr>
            <w:r w:rsidRPr="00C54A03">
              <w:rPr>
                <w:color w:val="000000" w:themeColor="text1"/>
                <w:sz w:val="24"/>
                <w:szCs w:val="24"/>
              </w:rPr>
              <w:t>Matricea</w:t>
            </w:r>
            <w:r w:rsidRPr="00C54A03">
              <w:rPr>
                <w:color w:val="000000" w:themeColor="text1"/>
                <w:spacing w:val="1"/>
                <w:sz w:val="24"/>
                <w:szCs w:val="24"/>
              </w:rPr>
              <w:t xml:space="preserve"> </w:t>
            </w:r>
            <w:r w:rsidRPr="00C54A03">
              <w:rPr>
                <w:color w:val="000000" w:themeColor="text1"/>
                <w:sz w:val="24"/>
                <w:szCs w:val="24"/>
              </w:rPr>
              <w:t>de</w:t>
            </w:r>
            <w:r w:rsidRPr="00C54A03">
              <w:rPr>
                <w:color w:val="000000" w:themeColor="text1"/>
                <w:spacing w:val="1"/>
                <w:sz w:val="24"/>
                <w:szCs w:val="24"/>
              </w:rPr>
              <w:t xml:space="preserve"> </w:t>
            </w:r>
            <w:r w:rsidRPr="00C54A03">
              <w:rPr>
                <w:color w:val="000000" w:themeColor="text1"/>
                <w:sz w:val="24"/>
                <w:szCs w:val="24"/>
              </w:rPr>
              <w:t>evaluare</w:t>
            </w:r>
            <w:r w:rsidRPr="00C54A03">
              <w:rPr>
                <w:color w:val="000000" w:themeColor="text1"/>
                <w:spacing w:val="1"/>
                <w:sz w:val="24"/>
                <w:szCs w:val="24"/>
              </w:rPr>
              <w:t xml:space="preserve"> </w:t>
            </w:r>
            <w:r w:rsidRPr="00C54A03">
              <w:rPr>
                <w:color w:val="000000" w:themeColor="text1"/>
                <w:sz w:val="24"/>
                <w:szCs w:val="24"/>
              </w:rPr>
              <w:t>afirmă</w:t>
            </w:r>
            <w:r w:rsidRPr="00C54A03">
              <w:rPr>
                <w:color w:val="000000" w:themeColor="text1"/>
                <w:spacing w:val="1"/>
                <w:sz w:val="24"/>
                <w:szCs w:val="24"/>
              </w:rPr>
              <w:t xml:space="preserve"> </w:t>
            </w:r>
            <w:r w:rsidRPr="00C54A03">
              <w:rPr>
                <w:color w:val="000000" w:themeColor="text1"/>
                <w:sz w:val="24"/>
                <w:szCs w:val="24"/>
              </w:rPr>
              <w:t>că,</w:t>
            </w:r>
            <w:r w:rsidRPr="00C54A03">
              <w:rPr>
                <w:color w:val="000000" w:themeColor="text1"/>
                <w:spacing w:val="1"/>
                <w:sz w:val="24"/>
                <w:szCs w:val="24"/>
              </w:rPr>
              <w:t xml:space="preserve"> </w:t>
            </w:r>
            <w:r w:rsidRPr="00C54A03">
              <w:rPr>
                <w:color w:val="000000" w:themeColor="text1"/>
                <w:sz w:val="24"/>
                <w:szCs w:val="24"/>
              </w:rPr>
              <w:t>dacă</w:t>
            </w:r>
            <w:r w:rsidRPr="00C54A03">
              <w:rPr>
                <w:color w:val="000000" w:themeColor="text1"/>
                <w:spacing w:val="1"/>
                <w:sz w:val="24"/>
                <w:szCs w:val="24"/>
              </w:rPr>
              <w:t xml:space="preserve"> </w:t>
            </w:r>
            <w:r w:rsidRPr="00C54A03">
              <w:rPr>
                <w:color w:val="000000" w:themeColor="text1"/>
                <w:sz w:val="24"/>
                <w:szCs w:val="24"/>
              </w:rPr>
              <w:t>mai</w:t>
            </w:r>
            <w:r w:rsidRPr="00C54A03">
              <w:rPr>
                <w:color w:val="000000" w:themeColor="text1"/>
                <w:spacing w:val="1"/>
                <w:sz w:val="24"/>
                <w:szCs w:val="24"/>
              </w:rPr>
              <w:t xml:space="preserve"> </w:t>
            </w:r>
            <w:r w:rsidRPr="00C54A03">
              <w:rPr>
                <w:color w:val="000000" w:themeColor="text1"/>
                <w:sz w:val="24"/>
                <w:szCs w:val="24"/>
              </w:rPr>
              <w:t>mult</w:t>
            </w:r>
            <w:r w:rsidRPr="00C54A03">
              <w:rPr>
                <w:color w:val="000000" w:themeColor="text1"/>
                <w:spacing w:val="1"/>
                <w:sz w:val="24"/>
                <w:szCs w:val="24"/>
              </w:rPr>
              <w:t xml:space="preserve"> </w:t>
            </w:r>
            <w:r w:rsidRPr="00C54A03">
              <w:rPr>
                <w:color w:val="000000" w:themeColor="text1"/>
                <w:sz w:val="24"/>
                <w:szCs w:val="24"/>
              </w:rPr>
              <w:t>de</w:t>
            </w:r>
            <w:r w:rsidRPr="00C54A03">
              <w:rPr>
                <w:color w:val="000000" w:themeColor="text1"/>
                <w:spacing w:val="1"/>
                <w:sz w:val="24"/>
                <w:szCs w:val="24"/>
              </w:rPr>
              <w:t xml:space="preserve"> </w:t>
            </w:r>
            <w:r w:rsidRPr="00C54A03">
              <w:rPr>
                <w:color w:val="000000" w:themeColor="text1"/>
                <w:sz w:val="24"/>
                <w:szCs w:val="24"/>
              </w:rPr>
              <w:t>25%</w:t>
            </w:r>
            <w:r w:rsidRPr="00C54A03">
              <w:rPr>
                <w:color w:val="000000" w:themeColor="text1"/>
                <w:spacing w:val="60"/>
                <w:sz w:val="24"/>
                <w:szCs w:val="24"/>
              </w:rPr>
              <w:t xml:space="preserve"> </w:t>
            </w:r>
            <w:r w:rsidRPr="00C54A03">
              <w:rPr>
                <w:color w:val="000000" w:themeColor="text1"/>
                <w:sz w:val="24"/>
                <w:szCs w:val="24"/>
              </w:rPr>
              <w:t>din</w:t>
            </w:r>
            <w:r w:rsidRPr="00C54A03">
              <w:rPr>
                <w:color w:val="000000" w:themeColor="text1"/>
                <w:spacing w:val="1"/>
                <w:sz w:val="24"/>
                <w:szCs w:val="24"/>
              </w:rPr>
              <w:t xml:space="preserve"> </w:t>
            </w:r>
            <w:r w:rsidRPr="00C54A03">
              <w:rPr>
                <w:color w:val="000000" w:themeColor="text1"/>
                <w:sz w:val="24"/>
                <w:szCs w:val="24"/>
              </w:rPr>
              <w:t>suprafața</w:t>
            </w:r>
            <w:r w:rsidRPr="00C54A03">
              <w:rPr>
                <w:color w:val="000000" w:themeColor="text1"/>
                <w:spacing w:val="18"/>
                <w:sz w:val="24"/>
                <w:szCs w:val="24"/>
              </w:rPr>
              <w:t xml:space="preserve"> </w:t>
            </w:r>
            <w:r w:rsidRPr="00C54A03">
              <w:rPr>
                <w:color w:val="000000" w:themeColor="text1"/>
                <w:sz w:val="24"/>
                <w:szCs w:val="24"/>
              </w:rPr>
              <w:t>de</w:t>
            </w:r>
            <w:r w:rsidRPr="00C54A03">
              <w:rPr>
                <w:color w:val="000000" w:themeColor="text1"/>
                <w:spacing w:val="18"/>
                <w:sz w:val="24"/>
                <w:szCs w:val="24"/>
              </w:rPr>
              <w:t xml:space="preserve"> </w:t>
            </w:r>
            <w:r w:rsidRPr="00C54A03">
              <w:rPr>
                <w:color w:val="000000" w:themeColor="text1"/>
                <w:sz w:val="24"/>
                <w:szCs w:val="24"/>
              </w:rPr>
              <w:t>tip</w:t>
            </w:r>
            <w:r w:rsidRPr="00C54A03">
              <w:rPr>
                <w:color w:val="000000" w:themeColor="text1"/>
                <w:spacing w:val="19"/>
                <w:sz w:val="24"/>
                <w:szCs w:val="24"/>
              </w:rPr>
              <w:t xml:space="preserve"> </w:t>
            </w:r>
            <w:r w:rsidRPr="00C54A03">
              <w:rPr>
                <w:color w:val="000000" w:themeColor="text1"/>
                <w:sz w:val="24"/>
                <w:szCs w:val="24"/>
              </w:rPr>
              <w:t>habitat</w:t>
            </w:r>
            <w:r w:rsidRPr="00C54A03">
              <w:rPr>
                <w:color w:val="000000" w:themeColor="text1"/>
                <w:spacing w:val="22"/>
                <w:sz w:val="24"/>
                <w:szCs w:val="24"/>
              </w:rPr>
              <w:t xml:space="preserve"> </w:t>
            </w:r>
            <w:r w:rsidRPr="00C54A03">
              <w:rPr>
                <w:color w:val="000000" w:themeColor="text1"/>
                <w:sz w:val="24"/>
                <w:szCs w:val="24"/>
              </w:rPr>
              <w:t>din</w:t>
            </w:r>
            <w:r w:rsidRPr="00C54A03">
              <w:rPr>
                <w:color w:val="000000" w:themeColor="text1"/>
                <w:spacing w:val="19"/>
                <w:sz w:val="24"/>
                <w:szCs w:val="24"/>
              </w:rPr>
              <w:t xml:space="preserve"> </w:t>
            </w:r>
            <w:r w:rsidRPr="00C54A03">
              <w:rPr>
                <w:color w:val="000000" w:themeColor="text1"/>
                <w:sz w:val="24"/>
                <w:szCs w:val="24"/>
              </w:rPr>
              <w:t>regiunea</w:t>
            </w:r>
            <w:r w:rsidRPr="00C54A03">
              <w:rPr>
                <w:color w:val="000000" w:themeColor="text1"/>
                <w:spacing w:val="18"/>
                <w:sz w:val="24"/>
                <w:szCs w:val="24"/>
              </w:rPr>
              <w:t xml:space="preserve"> </w:t>
            </w:r>
            <w:r w:rsidRPr="00C54A03">
              <w:rPr>
                <w:color w:val="000000" w:themeColor="text1"/>
                <w:sz w:val="24"/>
                <w:szCs w:val="24"/>
              </w:rPr>
              <w:t>evaluată</w:t>
            </w:r>
            <w:r w:rsidRPr="00C54A03">
              <w:rPr>
                <w:color w:val="000000" w:themeColor="text1"/>
                <w:spacing w:val="20"/>
                <w:sz w:val="24"/>
                <w:szCs w:val="24"/>
              </w:rPr>
              <w:t xml:space="preserve"> </w:t>
            </w:r>
            <w:r w:rsidRPr="00C54A03">
              <w:rPr>
                <w:color w:val="000000" w:themeColor="text1"/>
                <w:sz w:val="24"/>
                <w:szCs w:val="24"/>
              </w:rPr>
              <w:t>este</w:t>
            </w:r>
            <w:r w:rsidRPr="00C54A03">
              <w:rPr>
                <w:color w:val="000000" w:themeColor="text1"/>
                <w:spacing w:val="19"/>
                <w:sz w:val="24"/>
                <w:szCs w:val="24"/>
              </w:rPr>
              <w:t xml:space="preserve"> </w:t>
            </w:r>
            <w:r w:rsidRPr="00C54A03">
              <w:rPr>
                <w:color w:val="000000" w:themeColor="text1"/>
                <w:sz w:val="24"/>
                <w:szCs w:val="24"/>
              </w:rPr>
              <w:t>considerată</w:t>
            </w:r>
          </w:p>
          <w:p w14:paraId="54C794B2" w14:textId="77777777" w:rsidR="007702CD" w:rsidRPr="00C54A03" w:rsidRDefault="007702CD" w:rsidP="008E33FD">
            <w:pPr>
              <w:pStyle w:val="TableParagraph"/>
              <w:ind w:left="828" w:right="95"/>
              <w:jc w:val="both"/>
              <w:rPr>
                <w:color w:val="000000" w:themeColor="text1"/>
                <w:sz w:val="24"/>
                <w:szCs w:val="24"/>
              </w:rPr>
            </w:pPr>
            <w:r w:rsidRPr="00C54A03">
              <w:rPr>
                <w:color w:val="000000" w:themeColor="text1"/>
                <w:sz w:val="24"/>
                <w:szCs w:val="24"/>
              </w:rPr>
              <w:t>„defavorabilă”</w:t>
            </w:r>
            <w:r w:rsidRPr="00C54A03">
              <w:rPr>
                <w:color w:val="000000" w:themeColor="text1"/>
                <w:spacing w:val="1"/>
                <w:sz w:val="24"/>
                <w:szCs w:val="24"/>
              </w:rPr>
              <w:t xml:space="preserve"> </w:t>
            </w:r>
            <w:r w:rsidRPr="00C54A03">
              <w:rPr>
                <w:color w:val="000000" w:themeColor="text1"/>
                <w:sz w:val="24"/>
                <w:szCs w:val="24"/>
              </w:rPr>
              <w:t>(adică</w:t>
            </w:r>
            <w:r w:rsidRPr="00C54A03">
              <w:rPr>
                <w:color w:val="000000" w:themeColor="text1"/>
                <w:spacing w:val="1"/>
                <w:sz w:val="24"/>
                <w:szCs w:val="24"/>
              </w:rPr>
              <w:t xml:space="preserve"> </w:t>
            </w:r>
            <w:r w:rsidRPr="00C54A03">
              <w:rPr>
                <w:color w:val="000000" w:themeColor="text1"/>
                <w:sz w:val="24"/>
                <w:szCs w:val="24"/>
              </w:rPr>
              <w:t>nu</w:t>
            </w:r>
            <w:r w:rsidRPr="00C54A03">
              <w:rPr>
                <w:color w:val="000000" w:themeColor="text1"/>
                <w:spacing w:val="1"/>
                <w:sz w:val="24"/>
                <w:szCs w:val="24"/>
              </w:rPr>
              <w:t xml:space="preserve"> </w:t>
            </w:r>
            <w:r w:rsidRPr="00C54A03">
              <w:rPr>
                <w:color w:val="000000" w:themeColor="text1"/>
                <w:sz w:val="24"/>
                <w:szCs w:val="24"/>
              </w:rPr>
              <w:t>este</w:t>
            </w:r>
            <w:r w:rsidRPr="00C54A03">
              <w:rPr>
                <w:color w:val="000000" w:themeColor="text1"/>
                <w:spacing w:val="1"/>
                <w:sz w:val="24"/>
                <w:szCs w:val="24"/>
              </w:rPr>
              <w:t xml:space="preserve"> </w:t>
            </w:r>
            <w:r w:rsidRPr="00C54A03">
              <w:rPr>
                <w:color w:val="000000" w:themeColor="text1"/>
                <w:sz w:val="24"/>
                <w:szCs w:val="24"/>
              </w:rPr>
              <w:t>în</w:t>
            </w:r>
            <w:r w:rsidRPr="00C54A03">
              <w:rPr>
                <w:color w:val="000000" w:themeColor="text1"/>
                <w:spacing w:val="1"/>
                <w:sz w:val="24"/>
                <w:szCs w:val="24"/>
              </w:rPr>
              <w:t xml:space="preserve"> </w:t>
            </w:r>
            <w:r w:rsidRPr="00C54A03">
              <w:rPr>
                <w:color w:val="000000" w:themeColor="text1"/>
                <w:sz w:val="24"/>
                <w:szCs w:val="24"/>
              </w:rPr>
              <w:t>stare</w:t>
            </w:r>
            <w:r w:rsidRPr="00C54A03">
              <w:rPr>
                <w:color w:val="000000" w:themeColor="text1"/>
                <w:spacing w:val="1"/>
                <w:sz w:val="24"/>
                <w:szCs w:val="24"/>
              </w:rPr>
              <w:t xml:space="preserve"> </w:t>
            </w:r>
            <w:r w:rsidRPr="00C54A03">
              <w:rPr>
                <w:color w:val="000000" w:themeColor="text1"/>
                <w:sz w:val="24"/>
                <w:szCs w:val="24"/>
              </w:rPr>
              <w:t>bună),</w:t>
            </w:r>
            <w:r w:rsidRPr="00C54A03">
              <w:rPr>
                <w:color w:val="000000" w:themeColor="text1"/>
                <w:spacing w:val="1"/>
                <w:sz w:val="24"/>
                <w:szCs w:val="24"/>
              </w:rPr>
              <w:t xml:space="preserve"> </w:t>
            </w:r>
            <w:r w:rsidRPr="00C54A03">
              <w:rPr>
                <w:color w:val="000000" w:themeColor="text1"/>
                <w:sz w:val="24"/>
                <w:szCs w:val="24"/>
              </w:rPr>
              <w:t>atunci</w:t>
            </w:r>
            <w:r w:rsidRPr="00C54A03">
              <w:rPr>
                <w:color w:val="000000" w:themeColor="text1"/>
                <w:spacing w:val="1"/>
                <w:sz w:val="24"/>
                <w:szCs w:val="24"/>
              </w:rPr>
              <w:t xml:space="preserve"> </w:t>
            </w:r>
            <w:r w:rsidRPr="00C54A03">
              <w:rPr>
                <w:color w:val="000000" w:themeColor="text1"/>
                <w:sz w:val="24"/>
                <w:szCs w:val="24"/>
              </w:rPr>
              <w:t>statutul</w:t>
            </w:r>
            <w:r w:rsidRPr="00C54A03">
              <w:rPr>
                <w:color w:val="000000" w:themeColor="text1"/>
                <w:spacing w:val="1"/>
                <w:sz w:val="24"/>
                <w:szCs w:val="24"/>
              </w:rPr>
              <w:t xml:space="preserve"> </w:t>
            </w:r>
            <w:r w:rsidRPr="00C54A03">
              <w:rPr>
                <w:color w:val="000000" w:themeColor="text1"/>
                <w:sz w:val="24"/>
                <w:szCs w:val="24"/>
              </w:rPr>
              <w:t>și</w:t>
            </w:r>
            <w:r w:rsidRPr="00C54A03">
              <w:rPr>
                <w:color w:val="000000" w:themeColor="text1"/>
                <w:spacing w:val="1"/>
                <w:sz w:val="24"/>
                <w:szCs w:val="24"/>
              </w:rPr>
              <w:t xml:space="preserve"> </w:t>
            </w:r>
            <w:r w:rsidRPr="00C54A03">
              <w:rPr>
                <w:color w:val="000000" w:themeColor="text1"/>
                <w:sz w:val="24"/>
                <w:szCs w:val="24"/>
              </w:rPr>
              <w:t>funcțiile sunt „nefavorabile-rele”. Cu toate acestea, nu oferă criterii</w:t>
            </w:r>
            <w:r w:rsidRPr="00C54A03">
              <w:rPr>
                <w:color w:val="000000" w:themeColor="text1"/>
                <w:spacing w:val="1"/>
                <w:sz w:val="24"/>
                <w:szCs w:val="24"/>
              </w:rPr>
              <w:t xml:space="preserve"> </w:t>
            </w:r>
            <w:r w:rsidRPr="00C54A03">
              <w:rPr>
                <w:color w:val="000000" w:themeColor="text1"/>
                <w:sz w:val="24"/>
                <w:szCs w:val="24"/>
              </w:rPr>
              <w:t>numerice</w:t>
            </w:r>
            <w:r w:rsidRPr="00C54A03">
              <w:rPr>
                <w:color w:val="000000" w:themeColor="text1"/>
                <w:spacing w:val="1"/>
                <w:sz w:val="24"/>
                <w:szCs w:val="24"/>
              </w:rPr>
              <w:t xml:space="preserve"> </w:t>
            </w:r>
            <w:r w:rsidRPr="00C54A03">
              <w:rPr>
                <w:color w:val="000000" w:themeColor="text1"/>
                <w:sz w:val="24"/>
                <w:szCs w:val="24"/>
              </w:rPr>
              <w:t>pentru</w:t>
            </w:r>
            <w:r w:rsidRPr="00C54A03">
              <w:rPr>
                <w:color w:val="000000" w:themeColor="text1"/>
                <w:spacing w:val="1"/>
                <w:sz w:val="24"/>
                <w:szCs w:val="24"/>
              </w:rPr>
              <w:t xml:space="preserve"> </w:t>
            </w:r>
            <w:r w:rsidRPr="00C54A03">
              <w:rPr>
                <w:color w:val="000000" w:themeColor="text1"/>
                <w:sz w:val="24"/>
                <w:szCs w:val="24"/>
              </w:rPr>
              <w:t>„favorabile”</w:t>
            </w:r>
            <w:r w:rsidRPr="00C54A03">
              <w:rPr>
                <w:color w:val="000000" w:themeColor="text1"/>
                <w:spacing w:val="1"/>
                <w:sz w:val="24"/>
                <w:szCs w:val="24"/>
              </w:rPr>
              <w:t xml:space="preserve"> </w:t>
            </w:r>
            <w:r w:rsidRPr="00C54A03">
              <w:rPr>
                <w:color w:val="000000" w:themeColor="text1"/>
                <w:sz w:val="24"/>
                <w:szCs w:val="24"/>
              </w:rPr>
              <w:t>sau</w:t>
            </w:r>
            <w:r w:rsidRPr="00C54A03">
              <w:rPr>
                <w:color w:val="000000" w:themeColor="text1"/>
                <w:spacing w:val="1"/>
                <w:sz w:val="24"/>
                <w:szCs w:val="24"/>
              </w:rPr>
              <w:t xml:space="preserve"> </w:t>
            </w:r>
            <w:r w:rsidRPr="00C54A03">
              <w:rPr>
                <w:color w:val="000000" w:themeColor="text1"/>
                <w:sz w:val="24"/>
                <w:szCs w:val="24"/>
              </w:rPr>
              <w:t>„nefavorabile-inadecvate”.</w:t>
            </w:r>
            <w:r w:rsidRPr="00C54A03">
              <w:rPr>
                <w:color w:val="000000" w:themeColor="text1"/>
                <w:spacing w:val="60"/>
                <w:sz w:val="24"/>
                <w:szCs w:val="24"/>
              </w:rPr>
              <w:t xml:space="preserve"> </w:t>
            </w:r>
            <w:r w:rsidRPr="00C54A03">
              <w:rPr>
                <w:color w:val="000000" w:themeColor="text1"/>
                <w:sz w:val="24"/>
                <w:szCs w:val="24"/>
              </w:rPr>
              <w:t>Se</w:t>
            </w:r>
            <w:r w:rsidRPr="00C54A03">
              <w:rPr>
                <w:color w:val="000000" w:themeColor="text1"/>
                <w:spacing w:val="1"/>
                <w:sz w:val="24"/>
                <w:szCs w:val="24"/>
              </w:rPr>
              <w:t xml:space="preserve"> </w:t>
            </w:r>
            <w:r w:rsidRPr="00C54A03">
              <w:rPr>
                <w:color w:val="000000" w:themeColor="text1"/>
                <w:sz w:val="24"/>
                <w:szCs w:val="24"/>
              </w:rPr>
              <w:t>pare că, în rapoartele anterioare, statele membre au utilizat praguri</w:t>
            </w:r>
            <w:r w:rsidRPr="00C54A03">
              <w:rPr>
                <w:color w:val="000000" w:themeColor="text1"/>
                <w:spacing w:val="1"/>
                <w:sz w:val="24"/>
                <w:szCs w:val="24"/>
              </w:rPr>
              <w:t xml:space="preserve"> </w:t>
            </w:r>
            <w:r w:rsidRPr="00C54A03">
              <w:rPr>
                <w:color w:val="000000" w:themeColor="text1"/>
                <w:sz w:val="24"/>
                <w:szCs w:val="24"/>
              </w:rPr>
              <w:t>foarte</w:t>
            </w:r>
            <w:r w:rsidRPr="00C54A03">
              <w:rPr>
                <w:color w:val="000000" w:themeColor="text1"/>
                <w:spacing w:val="21"/>
                <w:sz w:val="24"/>
                <w:szCs w:val="24"/>
              </w:rPr>
              <w:t xml:space="preserve"> </w:t>
            </w:r>
            <w:r w:rsidRPr="00C54A03">
              <w:rPr>
                <w:color w:val="000000" w:themeColor="text1"/>
                <w:sz w:val="24"/>
                <w:szCs w:val="24"/>
              </w:rPr>
              <w:t>diferite</w:t>
            </w:r>
            <w:r w:rsidRPr="00C54A03">
              <w:rPr>
                <w:color w:val="000000" w:themeColor="text1"/>
                <w:spacing w:val="24"/>
                <w:sz w:val="24"/>
                <w:szCs w:val="24"/>
              </w:rPr>
              <w:t xml:space="preserve"> </w:t>
            </w:r>
            <w:r w:rsidRPr="00C54A03">
              <w:rPr>
                <w:color w:val="000000" w:themeColor="text1"/>
                <w:sz w:val="24"/>
                <w:szCs w:val="24"/>
              </w:rPr>
              <w:t>ale</w:t>
            </w:r>
            <w:r w:rsidRPr="00C54A03">
              <w:rPr>
                <w:color w:val="000000" w:themeColor="text1"/>
                <w:spacing w:val="22"/>
                <w:sz w:val="24"/>
                <w:szCs w:val="24"/>
              </w:rPr>
              <w:t xml:space="preserve"> </w:t>
            </w:r>
            <w:r w:rsidRPr="00C54A03">
              <w:rPr>
                <w:color w:val="000000" w:themeColor="text1"/>
                <w:sz w:val="24"/>
                <w:szCs w:val="24"/>
              </w:rPr>
              <w:t>proporției</w:t>
            </w:r>
            <w:r w:rsidRPr="00C54A03">
              <w:rPr>
                <w:color w:val="000000" w:themeColor="text1"/>
                <w:spacing w:val="23"/>
                <w:sz w:val="24"/>
                <w:szCs w:val="24"/>
              </w:rPr>
              <w:t xml:space="preserve"> </w:t>
            </w:r>
            <w:r w:rsidRPr="00C54A03">
              <w:rPr>
                <w:color w:val="000000" w:themeColor="text1"/>
                <w:sz w:val="24"/>
                <w:szCs w:val="24"/>
              </w:rPr>
              <w:t>de</w:t>
            </w:r>
            <w:r w:rsidRPr="00C54A03">
              <w:rPr>
                <w:color w:val="000000" w:themeColor="text1"/>
                <w:spacing w:val="22"/>
                <w:sz w:val="24"/>
                <w:szCs w:val="24"/>
              </w:rPr>
              <w:t xml:space="preserve"> </w:t>
            </w:r>
            <w:r w:rsidRPr="00C54A03">
              <w:rPr>
                <w:color w:val="000000" w:themeColor="text1"/>
                <w:sz w:val="24"/>
                <w:szCs w:val="24"/>
              </w:rPr>
              <w:t>suprafață</w:t>
            </w:r>
            <w:r w:rsidRPr="00C54A03">
              <w:rPr>
                <w:color w:val="000000" w:themeColor="text1"/>
                <w:spacing w:val="24"/>
                <w:sz w:val="24"/>
                <w:szCs w:val="24"/>
              </w:rPr>
              <w:t xml:space="preserve"> </w:t>
            </w:r>
            <w:r w:rsidRPr="00C54A03">
              <w:rPr>
                <w:color w:val="000000" w:themeColor="text1"/>
                <w:sz w:val="24"/>
                <w:szCs w:val="24"/>
              </w:rPr>
              <w:t>a</w:t>
            </w:r>
            <w:r w:rsidRPr="00C54A03">
              <w:rPr>
                <w:color w:val="000000" w:themeColor="text1"/>
                <w:spacing w:val="21"/>
                <w:sz w:val="24"/>
                <w:szCs w:val="24"/>
              </w:rPr>
              <w:t xml:space="preserve"> </w:t>
            </w:r>
            <w:r w:rsidRPr="00C54A03">
              <w:rPr>
                <w:color w:val="000000" w:themeColor="text1"/>
                <w:sz w:val="24"/>
                <w:szCs w:val="24"/>
              </w:rPr>
              <w:t>habitatului</w:t>
            </w:r>
            <w:r w:rsidRPr="00C54A03">
              <w:rPr>
                <w:color w:val="000000" w:themeColor="text1"/>
                <w:spacing w:val="23"/>
                <w:sz w:val="24"/>
                <w:szCs w:val="24"/>
              </w:rPr>
              <w:t xml:space="preserve"> </w:t>
            </w:r>
            <w:r w:rsidRPr="00C54A03">
              <w:rPr>
                <w:color w:val="000000" w:themeColor="text1"/>
                <w:sz w:val="24"/>
                <w:szCs w:val="24"/>
              </w:rPr>
              <w:t>care</w:t>
            </w:r>
            <w:r w:rsidRPr="00C54A03">
              <w:rPr>
                <w:color w:val="000000" w:themeColor="text1"/>
                <w:spacing w:val="22"/>
                <w:sz w:val="24"/>
                <w:szCs w:val="24"/>
              </w:rPr>
              <w:t xml:space="preserve"> </w:t>
            </w:r>
            <w:r w:rsidRPr="00C54A03">
              <w:rPr>
                <w:color w:val="000000" w:themeColor="text1"/>
                <w:sz w:val="24"/>
                <w:szCs w:val="24"/>
              </w:rPr>
              <w:t>trebuie</w:t>
            </w:r>
            <w:r w:rsidRPr="00C54A03">
              <w:rPr>
                <w:color w:val="000000" w:themeColor="text1"/>
                <w:spacing w:val="-58"/>
                <w:sz w:val="24"/>
                <w:szCs w:val="24"/>
              </w:rPr>
              <w:t xml:space="preserve"> </w:t>
            </w:r>
            <w:r w:rsidRPr="00C54A03">
              <w:rPr>
                <w:color w:val="000000" w:themeColor="text1"/>
                <w:sz w:val="24"/>
                <w:szCs w:val="24"/>
              </w:rPr>
              <w:t>să</w:t>
            </w:r>
            <w:r w:rsidRPr="00C54A03">
              <w:rPr>
                <w:color w:val="000000" w:themeColor="text1"/>
                <w:spacing w:val="1"/>
                <w:sz w:val="24"/>
                <w:szCs w:val="24"/>
              </w:rPr>
              <w:t xml:space="preserve"> </w:t>
            </w:r>
            <w:r w:rsidRPr="00C54A03">
              <w:rPr>
                <w:color w:val="000000" w:themeColor="text1"/>
                <w:sz w:val="24"/>
                <w:szCs w:val="24"/>
              </w:rPr>
              <w:t>fie</w:t>
            </w:r>
            <w:r w:rsidRPr="00C54A03">
              <w:rPr>
                <w:color w:val="000000" w:themeColor="text1"/>
                <w:spacing w:val="1"/>
                <w:sz w:val="24"/>
                <w:szCs w:val="24"/>
              </w:rPr>
              <w:t xml:space="preserve"> </w:t>
            </w:r>
            <w:r w:rsidRPr="00C54A03">
              <w:rPr>
                <w:color w:val="000000" w:themeColor="text1"/>
                <w:sz w:val="24"/>
                <w:szCs w:val="24"/>
              </w:rPr>
              <w:t>în</w:t>
            </w:r>
            <w:r w:rsidRPr="00C54A03">
              <w:rPr>
                <w:color w:val="000000" w:themeColor="text1"/>
                <w:spacing w:val="1"/>
                <w:sz w:val="24"/>
                <w:szCs w:val="24"/>
              </w:rPr>
              <w:t xml:space="preserve"> </w:t>
            </w:r>
            <w:r w:rsidRPr="00C54A03">
              <w:rPr>
                <w:color w:val="000000" w:themeColor="text1"/>
                <w:sz w:val="24"/>
                <w:szCs w:val="24"/>
              </w:rPr>
              <w:t>stare</w:t>
            </w:r>
            <w:r w:rsidRPr="00C54A03">
              <w:rPr>
                <w:color w:val="000000" w:themeColor="text1"/>
                <w:spacing w:val="1"/>
                <w:sz w:val="24"/>
                <w:szCs w:val="24"/>
              </w:rPr>
              <w:t xml:space="preserve"> </w:t>
            </w:r>
            <w:r w:rsidRPr="00C54A03">
              <w:rPr>
                <w:color w:val="000000" w:themeColor="text1"/>
                <w:sz w:val="24"/>
                <w:szCs w:val="24"/>
              </w:rPr>
              <w:t>bună</w:t>
            </w:r>
            <w:r w:rsidRPr="00C54A03">
              <w:rPr>
                <w:color w:val="000000" w:themeColor="text1"/>
                <w:spacing w:val="1"/>
                <w:sz w:val="24"/>
                <w:szCs w:val="24"/>
              </w:rPr>
              <w:t xml:space="preserve"> </w:t>
            </w:r>
            <w:r w:rsidRPr="00C54A03">
              <w:rPr>
                <w:color w:val="000000" w:themeColor="text1"/>
                <w:sz w:val="24"/>
                <w:szCs w:val="24"/>
              </w:rPr>
              <w:t>pentru</w:t>
            </w:r>
            <w:r w:rsidRPr="00C54A03">
              <w:rPr>
                <w:color w:val="000000" w:themeColor="text1"/>
                <w:spacing w:val="1"/>
                <w:sz w:val="24"/>
                <w:szCs w:val="24"/>
              </w:rPr>
              <w:t xml:space="preserve"> </w:t>
            </w:r>
            <w:r w:rsidRPr="00C54A03">
              <w:rPr>
                <w:color w:val="000000" w:themeColor="text1"/>
                <w:sz w:val="24"/>
                <w:szCs w:val="24"/>
              </w:rPr>
              <w:t>a</w:t>
            </w:r>
            <w:r w:rsidRPr="00C54A03">
              <w:rPr>
                <w:color w:val="000000" w:themeColor="text1"/>
                <w:spacing w:val="1"/>
                <w:sz w:val="24"/>
                <w:szCs w:val="24"/>
              </w:rPr>
              <w:t xml:space="preserve"> </w:t>
            </w:r>
            <w:r w:rsidRPr="00C54A03">
              <w:rPr>
                <w:color w:val="000000" w:themeColor="text1"/>
                <w:sz w:val="24"/>
                <w:szCs w:val="24"/>
              </w:rPr>
              <w:t>justifica</w:t>
            </w:r>
            <w:r w:rsidRPr="00C54A03">
              <w:rPr>
                <w:color w:val="000000" w:themeColor="text1"/>
                <w:spacing w:val="1"/>
                <w:sz w:val="24"/>
                <w:szCs w:val="24"/>
              </w:rPr>
              <w:t xml:space="preserve"> </w:t>
            </w:r>
            <w:r w:rsidRPr="00C54A03">
              <w:rPr>
                <w:color w:val="000000" w:themeColor="text1"/>
                <w:sz w:val="24"/>
                <w:szCs w:val="24"/>
              </w:rPr>
              <w:t>evaluarea</w:t>
            </w:r>
            <w:r w:rsidRPr="00C54A03">
              <w:rPr>
                <w:color w:val="000000" w:themeColor="text1"/>
                <w:spacing w:val="1"/>
                <w:sz w:val="24"/>
                <w:szCs w:val="24"/>
              </w:rPr>
              <w:t xml:space="preserve"> </w:t>
            </w:r>
            <w:r w:rsidRPr="00C54A03">
              <w:rPr>
                <w:color w:val="000000" w:themeColor="text1"/>
                <w:sz w:val="24"/>
                <w:szCs w:val="24"/>
              </w:rPr>
              <w:t>structurii</w:t>
            </w:r>
            <w:r w:rsidRPr="00C54A03">
              <w:rPr>
                <w:color w:val="000000" w:themeColor="text1"/>
                <w:spacing w:val="60"/>
                <w:sz w:val="24"/>
                <w:szCs w:val="24"/>
              </w:rPr>
              <w:t xml:space="preserve"> </w:t>
            </w:r>
            <w:r w:rsidRPr="00C54A03">
              <w:rPr>
                <w:color w:val="000000" w:themeColor="text1"/>
                <w:sz w:val="24"/>
                <w:szCs w:val="24"/>
              </w:rPr>
              <w:t>și</w:t>
            </w:r>
            <w:r w:rsidRPr="00C54A03">
              <w:rPr>
                <w:color w:val="000000" w:themeColor="text1"/>
                <w:spacing w:val="1"/>
                <w:sz w:val="24"/>
                <w:szCs w:val="24"/>
              </w:rPr>
              <w:t xml:space="preserve"> </w:t>
            </w:r>
            <w:r w:rsidRPr="00C54A03">
              <w:rPr>
                <w:color w:val="000000" w:themeColor="text1"/>
                <w:sz w:val="24"/>
                <w:szCs w:val="24"/>
              </w:rPr>
              <w:t>funcțiilor ca fiind „favorabile”. În mod ideal, întreaga suprafață a</w:t>
            </w:r>
            <w:r w:rsidRPr="00C54A03">
              <w:rPr>
                <w:color w:val="000000" w:themeColor="text1"/>
                <w:spacing w:val="1"/>
                <w:sz w:val="24"/>
                <w:szCs w:val="24"/>
              </w:rPr>
              <w:t xml:space="preserve"> </w:t>
            </w:r>
            <w:r w:rsidRPr="00C54A03">
              <w:rPr>
                <w:color w:val="000000" w:themeColor="text1"/>
                <w:sz w:val="24"/>
                <w:szCs w:val="24"/>
              </w:rPr>
              <w:t>unui tip de habitat ar trebui să fie în stare bună pentru ca structura și</w:t>
            </w:r>
            <w:r w:rsidRPr="00C54A03">
              <w:rPr>
                <w:color w:val="000000" w:themeColor="text1"/>
                <w:spacing w:val="-57"/>
                <w:sz w:val="24"/>
                <w:szCs w:val="24"/>
              </w:rPr>
              <w:t xml:space="preserve"> </w:t>
            </w:r>
            <w:r w:rsidRPr="00C54A03">
              <w:rPr>
                <w:color w:val="000000" w:themeColor="text1"/>
                <w:sz w:val="24"/>
                <w:szCs w:val="24"/>
              </w:rPr>
              <w:t>funcțiile</w:t>
            </w:r>
            <w:r w:rsidRPr="00C54A03">
              <w:rPr>
                <w:color w:val="000000" w:themeColor="text1"/>
                <w:spacing w:val="1"/>
                <w:sz w:val="24"/>
                <w:szCs w:val="24"/>
              </w:rPr>
              <w:t xml:space="preserve"> </w:t>
            </w:r>
            <w:r w:rsidRPr="00C54A03">
              <w:rPr>
                <w:color w:val="000000" w:themeColor="text1"/>
                <w:sz w:val="24"/>
                <w:szCs w:val="24"/>
              </w:rPr>
              <w:t>să</w:t>
            </w:r>
            <w:r w:rsidRPr="00C54A03">
              <w:rPr>
                <w:color w:val="000000" w:themeColor="text1"/>
                <w:spacing w:val="1"/>
                <w:sz w:val="24"/>
                <w:szCs w:val="24"/>
              </w:rPr>
              <w:t xml:space="preserve"> </w:t>
            </w:r>
            <w:r w:rsidRPr="00C54A03">
              <w:rPr>
                <w:color w:val="000000" w:themeColor="text1"/>
                <w:sz w:val="24"/>
                <w:szCs w:val="24"/>
              </w:rPr>
              <w:t>fie</w:t>
            </w:r>
            <w:r w:rsidRPr="00C54A03">
              <w:rPr>
                <w:color w:val="000000" w:themeColor="text1"/>
                <w:spacing w:val="1"/>
                <w:sz w:val="24"/>
                <w:szCs w:val="24"/>
              </w:rPr>
              <w:t xml:space="preserve"> </w:t>
            </w:r>
            <w:r w:rsidRPr="00C54A03">
              <w:rPr>
                <w:color w:val="000000" w:themeColor="text1"/>
                <w:sz w:val="24"/>
                <w:szCs w:val="24"/>
              </w:rPr>
              <w:t>considerate</w:t>
            </w:r>
            <w:r w:rsidRPr="00C54A03">
              <w:rPr>
                <w:color w:val="000000" w:themeColor="text1"/>
                <w:spacing w:val="1"/>
                <w:sz w:val="24"/>
                <w:szCs w:val="24"/>
              </w:rPr>
              <w:t xml:space="preserve"> </w:t>
            </w:r>
            <w:r w:rsidRPr="00C54A03">
              <w:rPr>
                <w:color w:val="000000" w:themeColor="text1"/>
                <w:sz w:val="24"/>
                <w:szCs w:val="24"/>
              </w:rPr>
              <w:t>„favorabile”.</w:t>
            </w:r>
            <w:r w:rsidRPr="00C54A03">
              <w:rPr>
                <w:color w:val="000000" w:themeColor="text1"/>
                <w:spacing w:val="1"/>
                <w:sz w:val="24"/>
                <w:szCs w:val="24"/>
              </w:rPr>
              <w:t xml:space="preserve"> </w:t>
            </w:r>
            <w:r w:rsidRPr="00C54A03">
              <w:rPr>
                <w:color w:val="000000" w:themeColor="text1"/>
                <w:sz w:val="24"/>
                <w:szCs w:val="24"/>
              </w:rPr>
              <w:t>Cu</w:t>
            </w:r>
            <w:r w:rsidRPr="00C54A03">
              <w:rPr>
                <w:color w:val="000000" w:themeColor="text1"/>
                <w:spacing w:val="1"/>
                <w:sz w:val="24"/>
                <w:szCs w:val="24"/>
              </w:rPr>
              <w:t xml:space="preserve"> </w:t>
            </w:r>
            <w:r w:rsidRPr="00C54A03">
              <w:rPr>
                <w:color w:val="000000" w:themeColor="text1"/>
                <w:sz w:val="24"/>
                <w:szCs w:val="24"/>
              </w:rPr>
              <w:t>toate</w:t>
            </w:r>
            <w:r w:rsidRPr="00C54A03">
              <w:rPr>
                <w:color w:val="000000" w:themeColor="text1"/>
                <w:spacing w:val="1"/>
                <w:sz w:val="24"/>
                <w:szCs w:val="24"/>
              </w:rPr>
              <w:t xml:space="preserve"> </w:t>
            </w:r>
            <w:r w:rsidRPr="00C54A03">
              <w:rPr>
                <w:color w:val="000000" w:themeColor="text1"/>
                <w:sz w:val="24"/>
                <w:szCs w:val="24"/>
              </w:rPr>
              <w:t>acestea,</w:t>
            </w:r>
            <w:r w:rsidRPr="00C54A03">
              <w:rPr>
                <w:color w:val="000000" w:themeColor="text1"/>
                <w:spacing w:val="60"/>
                <w:sz w:val="24"/>
                <w:szCs w:val="24"/>
              </w:rPr>
              <w:t xml:space="preserve"> </w:t>
            </w:r>
            <w:r w:rsidRPr="00C54A03">
              <w:rPr>
                <w:color w:val="000000" w:themeColor="text1"/>
                <w:sz w:val="24"/>
                <w:szCs w:val="24"/>
              </w:rPr>
              <w:t>acest</w:t>
            </w:r>
            <w:r w:rsidRPr="00C54A03">
              <w:rPr>
                <w:color w:val="000000" w:themeColor="text1"/>
                <w:spacing w:val="-57"/>
                <w:sz w:val="24"/>
                <w:szCs w:val="24"/>
              </w:rPr>
              <w:t xml:space="preserve"> </w:t>
            </w:r>
            <w:r w:rsidRPr="00C54A03">
              <w:rPr>
                <w:color w:val="000000" w:themeColor="text1"/>
                <w:sz w:val="24"/>
                <w:szCs w:val="24"/>
              </w:rPr>
              <w:t>lucru este practic realizabil și ar putea fi acceptat să existe o parte</w:t>
            </w:r>
            <w:r w:rsidRPr="00C54A03">
              <w:rPr>
                <w:color w:val="000000" w:themeColor="text1"/>
                <w:spacing w:val="1"/>
                <w:sz w:val="24"/>
                <w:szCs w:val="24"/>
              </w:rPr>
              <w:t xml:space="preserve"> </w:t>
            </w:r>
            <w:r w:rsidRPr="00C54A03">
              <w:rPr>
                <w:color w:val="000000" w:themeColor="text1"/>
                <w:sz w:val="24"/>
                <w:szCs w:val="24"/>
              </w:rPr>
              <w:t>din tipul de habitat în condiții „nu bune”, dar totuși considerăm că</w:t>
            </w:r>
            <w:r w:rsidRPr="00C54A03">
              <w:rPr>
                <w:color w:val="000000" w:themeColor="text1"/>
                <w:spacing w:val="1"/>
                <w:sz w:val="24"/>
                <w:szCs w:val="24"/>
              </w:rPr>
              <w:t xml:space="preserve"> </w:t>
            </w:r>
            <w:r w:rsidRPr="00C54A03">
              <w:rPr>
                <w:color w:val="000000" w:themeColor="text1"/>
                <w:sz w:val="24"/>
                <w:szCs w:val="24"/>
              </w:rPr>
              <w:t>structura</w:t>
            </w:r>
            <w:r w:rsidRPr="00C54A03">
              <w:rPr>
                <w:color w:val="000000" w:themeColor="text1"/>
                <w:spacing w:val="-3"/>
                <w:sz w:val="24"/>
                <w:szCs w:val="24"/>
              </w:rPr>
              <w:t xml:space="preserve"> </w:t>
            </w:r>
            <w:r w:rsidRPr="00C54A03">
              <w:rPr>
                <w:color w:val="000000" w:themeColor="text1"/>
                <w:sz w:val="24"/>
                <w:szCs w:val="24"/>
              </w:rPr>
              <w:t>și</w:t>
            </w:r>
            <w:r w:rsidRPr="00C54A03">
              <w:rPr>
                <w:color w:val="000000" w:themeColor="text1"/>
                <w:spacing w:val="-2"/>
                <w:sz w:val="24"/>
                <w:szCs w:val="24"/>
              </w:rPr>
              <w:t xml:space="preserve"> </w:t>
            </w:r>
            <w:r w:rsidRPr="00C54A03">
              <w:rPr>
                <w:color w:val="000000" w:themeColor="text1"/>
                <w:sz w:val="24"/>
                <w:szCs w:val="24"/>
              </w:rPr>
              <w:t>funcțiile</w:t>
            </w:r>
            <w:r w:rsidRPr="00C54A03">
              <w:rPr>
                <w:color w:val="000000" w:themeColor="text1"/>
                <w:spacing w:val="-1"/>
                <w:sz w:val="24"/>
                <w:szCs w:val="24"/>
              </w:rPr>
              <w:t xml:space="preserve"> </w:t>
            </w:r>
            <w:r w:rsidRPr="00C54A03">
              <w:rPr>
                <w:color w:val="000000" w:themeColor="text1"/>
                <w:sz w:val="24"/>
                <w:szCs w:val="24"/>
              </w:rPr>
              <w:t>sunt</w:t>
            </w:r>
            <w:r w:rsidRPr="00C54A03">
              <w:rPr>
                <w:color w:val="000000" w:themeColor="text1"/>
                <w:spacing w:val="1"/>
                <w:sz w:val="24"/>
                <w:szCs w:val="24"/>
              </w:rPr>
              <w:t xml:space="preserve"> </w:t>
            </w:r>
            <w:r w:rsidRPr="00C54A03">
              <w:rPr>
                <w:color w:val="000000" w:themeColor="text1"/>
                <w:sz w:val="24"/>
                <w:szCs w:val="24"/>
              </w:rPr>
              <w:t>considerate „favorabile”.</w:t>
            </w:r>
          </w:p>
          <w:p w14:paraId="07A062C9" w14:textId="77777777" w:rsidR="007702CD" w:rsidRPr="00C54A03" w:rsidRDefault="007702CD" w:rsidP="008E33FD">
            <w:pPr>
              <w:pStyle w:val="TableParagraph"/>
              <w:spacing w:before="1"/>
              <w:ind w:left="467" w:right="96"/>
              <w:jc w:val="both"/>
              <w:rPr>
                <w:color w:val="000000" w:themeColor="text1"/>
                <w:sz w:val="24"/>
                <w:szCs w:val="24"/>
              </w:rPr>
            </w:pPr>
            <w:r w:rsidRPr="00C54A03">
              <w:rPr>
                <w:color w:val="000000" w:themeColor="text1"/>
                <w:sz w:val="24"/>
                <w:szCs w:val="24"/>
              </w:rPr>
              <w:t>Se recomandă utilizarea unei valori indicative de 90% din suprafața de</w:t>
            </w:r>
            <w:r w:rsidRPr="00C54A03">
              <w:rPr>
                <w:color w:val="000000" w:themeColor="text1"/>
                <w:spacing w:val="1"/>
                <w:sz w:val="24"/>
                <w:szCs w:val="24"/>
              </w:rPr>
              <w:t xml:space="preserve"> </w:t>
            </w:r>
            <w:r w:rsidRPr="00C54A03">
              <w:rPr>
                <w:color w:val="000000" w:themeColor="text1"/>
                <w:sz w:val="24"/>
                <w:szCs w:val="24"/>
              </w:rPr>
              <w:t>tip habitat (câmpul 6.1) în condiții „bune” ca prag pentru a încheia</w:t>
            </w:r>
            <w:r w:rsidRPr="00C54A03">
              <w:rPr>
                <w:color w:val="000000" w:themeColor="text1"/>
                <w:spacing w:val="1"/>
                <w:sz w:val="24"/>
                <w:szCs w:val="24"/>
              </w:rPr>
              <w:t xml:space="preserve"> </w:t>
            </w:r>
            <w:r w:rsidRPr="00C54A03">
              <w:rPr>
                <w:color w:val="000000" w:themeColor="text1"/>
                <w:sz w:val="24"/>
                <w:szCs w:val="24"/>
              </w:rPr>
              <w:t>structura</w:t>
            </w:r>
            <w:r w:rsidRPr="00C54A03">
              <w:rPr>
                <w:color w:val="000000" w:themeColor="text1"/>
                <w:spacing w:val="1"/>
                <w:sz w:val="24"/>
                <w:szCs w:val="24"/>
              </w:rPr>
              <w:t xml:space="preserve"> </w:t>
            </w:r>
            <w:r w:rsidRPr="00C54A03">
              <w:rPr>
                <w:color w:val="000000" w:themeColor="text1"/>
                <w:sz w:val="24"/>
                <w:szCs w:val="24"/>
              </w:rPr>
              <w:t>și</w:t>
            </w:r>
            <w:r w:rsidRPr="00C54A03">
              <w:rPr>
                <w:color w:val="000000" w:themeColor="text1"/>
                <w:spacing w:val="1"/>
                <w:sz w:val="24"/>
                <w:szCs w:val="24"/>
              </w:rPr>
              <w:t xml:space="preserve"> </w:t>
            </w:r>
            <w:r w:rsidRPr="00C54A03">
              <w:rPr>
                <w:color w:val="000000" w:themeColor="text1"/>
                <w:sz w:val="24"/>
                <w:szCs w:val="24"/>
              </w:rPr>
              <w:t>funcțiile</w:t>
            </w:r>
            <w:r w:rsidRPr="00C54A03">
              <w:rPr>
                <w:color w:val="000000" w:themeColor="text1"/>
                <w:spacing w:val="1"/>
                <w:sz w:val="24"/>
                <w:szCs w:val="24"/>
              </w:rPr>
              <w:t xml:space="preserve"> </w:t>
            </w:r>
            <w:r w:rsidRPr="00C54A03">
              <w:rPr>
                <w:color w:val="000000" w:themeColor="text1"/>
                <w:sz w:val="24"/>
                <w:szCs w:val="24"/>
              </w:rPr>
              <w:t>„favorabile”.</w:t>
            </w:r>
            <w:r w:rsidRPr="00C54A03">
              <w:rPr>
                <w:color w:val="000000" w:themeColor="text1"/>
                <w:spacing w:val="1"/>
                <w:sz w:val="24"/>
                <w:szCs w:val="24"/>
              </w:rPr>
              <w:t xml:space="preserve"> </w:t>
            </w:r>
            <w:r w:rsidRPr="00C54A03">
              <w:rPr>
                <w:color w:val="000000" w:themeColor="text1"/>
                <w:sz w:val="24"/>
                <w:szCs w:val="24"/>
              </w:rPr>
              <w:t>Dacă</w:t>
            </w:r>
            <w:r w:rsidRPr="00C54A03">
              <w:rPr>
                <w:color w:val="000000" w:themeColor="text1"/>
                <w:spacing w:val="1"/>
                <w:sz w:val="24"/>
                <w:szCs w:val="24"/>
              </w:rPr>
              <w:t xml:space="preserve"> </w:t>
            </w:r>
            <w:r w:rsidRPr="00C54A03">
              <w:rPr>
                <w:color w:val="000000" w:themeColor="text1"/>
                <w:sz w:val="24"/>
                <w:szCs w:val="24"/>
              </w:rPr>
              <w:t>statul</w:t>
            </w:r>
            <w:r w:rsidRPr="00C54A03">
              <w:rPr>
                <w:color w:val="000000" w:themeColor="text1"/>
                <w:spacing w:val="1"/>
                <w:sz w:val="24"/>
                <w:szCs w:val="24"/>
              </w:rPr>
              <w:t xml:space="preserve"> </w:t>
            </w:r>
            <w:r w:rsidRPr="00C54A03">
              <w:rPr>
                <w:color w:val="000000" w:themeColor="text1"/>
                <w:sz w:val="24"/>
                <w:szCs w:val="24"/>
              </w:rPr>
              <w:t>membru</w:t>
            </w:r>
            <w:r w:rsidRPr="00C54A03">
              <w:rPr>
                <w:color w:val="000000" w:themeColor="text1"/>
                <w:spacing w:val="1"/>
                <w:sz w:val="24"/>
                <w:szCs w:val="24"/>
              </w:rPr>
              <w:t xml:space="preserve"> </w:t>
            </w:r>
            <w:r w:rsidRPr="00C54A03">
              <w:rPr>
                <w:color w:val="000000" w:themeColor="text1"/>
                <w:sz w:val="24"/>
                <w:szCs w:val="24"/>
              </w:rPr>
              <w:t>folosește</w:t>
            </w:r>
            <w:r w:rsidRPr="00C54A03">
              <w:rPr>
                <w:color w:val="000000" w:themeColor="text1"/>
                <w:spacing w:val="1"/>
                <w:sz w:val="24"/>
                <w:szCs w:val="24"/>
              </w:rPr>
              <w:t xml:space="preserve"> </w:t>
            </w:r>
            <w:r w:rsidRPr="00C54A03">
              <w:rPr>
                <w:color w:val="000000" w:themeColor="text1"/>
                <w:sz w:val="24"/>
                <w:szCs w:val="24"/>
              </w:rPr>
              <w:t>o</w:t>
            </w:r>
            <w:r w:rsidRPr="00C54A03">
              <w:rPr>
                <w:color w:val="000000" w:themeColor="text1"/>
                <w:spacing w:val="1"/>
                <w:sz w:val="24"/>
                <w:szCs w:val="24"/>
              </w:rPr>
              <w:t xml:space="preserve"> </w:t>
            </w:r>
            <w:r w:rsidRPr="00C54A03">
              <w:rPr>
                <w:color w:val="000000" w:themeColor="text1"/>
                <w:sz w:val="24"/>
                <w:szCs w:val="24"/>
              </w:rPr>
              <w:t>valoare</w:t>
            </w:r>
            <w:r w:rsidRPr="00C54A03">
              <w:rPr>
                <w:color w:val="000000" w:themeColor="text1"/>
                <w:spacing w:val="1"/>
                <w:sz w:val="24"/>
                <w:szCs w:val="24"/>
              </w:rPr>
              <w:t xml:space="preserve"> </w:t>
            </w:r>
            <w:r w:rsidRPr="00C54A03">
              <w:rPr>
                <w:color w:val="000000" w:themeColor="text1"/>
                <w:sz w:val="24"/>
                <w:szCs w:val="24"/>
              </w:rPr>
              <w:t>diferită,</w:t>
            </w:r>
            <w:r w:rsidRPr="00C54A03">
              <w:rPr>
                <w:color w:val="000000" w:themeColor="text1"/>
                <w:spacing w:val="1"/>
                <w:sz w:val="24"/>
                <w:szCs w:val="24"/>
              </w:rPr>
              <w:t xml:space="preserve"> </w:t>
            </w:r>
            <w:r w:rsidRPr="00C54A03">
              <w:rPr>
                <w:color w:val="000000" w:themeColor="text1"/>
                <w:sz w:val="24"/>
                <w:szCs w:val="24"/>
              </w:rPr>
              <w:t>aceasta</w:t>
            </w:r>
            <w:r w:rsidRPr="00C54A03">
              <w:rPr>
                <w:color w:val="000000" w:themeColor="text1"/>
                <w:spacing w:val="1"/>
                <w:sz w:val="24"/>
                <w:szCs w:val="24"/>
              </w:rPr>
              <w:t xml:space="preserve"> </w:t>
            </w:r>
            <w:r w:rsidRPr="00C54A03">
              <w:rPr>
                <w:color w:val="000000" w:themeColor="text1"/>
                <w:sz w:val="24"/>
                <w:szCs w:val="24"/>
              </w:rPr>
              <w:t>trebuie</w:t>
            </w:r>
            <w:r w:rsidRPr="00C54A03">
              <w:rPr>
                <w:color w:val="000000" w:themeColor="text1"/>
                <w:spacing w:val="1"/>
                <w:sz w:val="24"/>
                <w:szCs w:val="24"/>
              </w:rPr>
              <w:t xml:space="preserve"> </w:t>
            </w:r>
            <w:r w:rsidRPr="00C54A03">
              <w:rPr>
                <w:color w:val="000000" w:themeColor="text1"/>
                <w:sz w:val="24"/>
                <w:szCs w:val="24"/>
              </w:rPr>
              <w:t>notată</w:t>
            </w:r>
            <w:r w:rsidRPr="00C54A03">
              <w:rPr>
                <w:color w:val="000000" w:themeColor="text1"/>
                <w:spacing w:val="1"/>
                <w:sz w:val="24"/>
                <w:szCs w:val="24"/>
              </w:rPr>
              <w:t xml:space="preserve"> </w:t>
            </w:r>
            <w:r w:rsidRPr="00C54A03">
              <w:rPr>
                <w:color w:val="000000" w:themeColor="text1"/>
                <w:sz w:val="24"/>
                <w:szCs w:val="24"/>
              </w:rPr>
              <w:t>și</w:t>
            </w:r>
            <w:r w:rsidRPr="00C54A03">
              <w:rPr>
                <w:color w:val="000000" w:themeColor="text1"/>
                <w:spacing w:val="1"/>
                <w:sz w:val="24"/>
                <w:szCs w:val="24"/>
              </w:rPr>
              <w:t xml:space="preserve"> </w:t>
            </w:r>
            <w:r w:rsidRPr="00C54A03">
              <w:rPr>
                <w:color w:val="000000" w:themeColor="text1"/>
                <w:sz w:val="24"/>
                <w:szCs w:val="24"/>
              </w:rPr>
              <w:t>explicată</w:t>
            </w:r>
            <w:r w:rsidRPr="00C54A03">
              <w:rPr>
                <w:color w:val="000000" w:themeColor="text1"/>
                <w:spacing w:val="1"/>
                <w:sz w:val="24"/>
                <w:szCs w:val="24"/>
              </w:rPr>
              <w:t xml:space="preserve"> </w:t>
            </w:r>
            <w:r w:rsidRPr="00C54A03">
              <w:rPr>
                <w:color w:val="000000" w:themeColor="text1"/>
                <w:sz w:val="24"/>
                <w:szCs w:val="24"/>
              </w:rPr>
              <w:t>în</w:t>
            </w:r>
            <w:r w:rsidRPr="00C54A03">
              <w:rPr>
                <w:color w:val="000000" w:themeColor="text1"/>
                <w:spacing w:val="1"/>
                <w:sz w:val="24"/>
                <w:szCs w:val="24"/>
              </w:rPr>
              <w:t xml:space="preserve"> </w:t>
            </w:r>
            <w:r w:rsidRPr="00C54A03">
              <w:rPr>
                <w:color w:val="000000" w:themeColor="text1"/>
                <w:sz w:val="24"/>
                <w:szCs w:val="24"/>
              </w:rPr>
              <w:t>câmpul</w:t>
            </w:r>
            <w:r w:rsidRPr="00C54A03">
              <w:rPr>
                <w:color w:val="000000" w:themeColor="text1"/>
                <w:spacing w:val="1"/>
                <w:sz w:val="24"/>
                <w:szCs w:val="24"/>
              </w:rPr>
              <w:t xml:space="preserve"> </w:t>
            </w:r>
            <w:r w:rsidRPr="00C54A03">
              <w:rPr>
                <w:color w:val="000000" w:themeColor="text1"/>
                <w:sz w:val="24"/>
                <w:szCs w:val="24"/>
              </w:rPr>
              <w:t>10.8</w:t>
            </w:r>
            <w:r w:rsidRPr="00C54A03">
              <w:rPr>
                <w:color w:val="000000" w:themeColor="text1"/>
                <w:spacing w:val="1"/>
                <w:sz w:val="24"/>
                <w:szCs w:val="24"/>
              </w:rPr>
              <w:t xml:space="preserve"> </w:t>
            </w:r>
            <w:r w:rsidRPr="00C54A03">
              <w:rPr>
                <w:color w:val="000000" w:themeColor="text1"/>
                <w:sz w:val="24"/>
                <w:szCs w:val="24"/>
              </w:rPr>
              <w:t>Informații suplimentare ”. Această valoare indicativă ar putea fi, de</w:t>
            </w:r>
            <w:r w:rsidRPr="00C54A03">
              <w:rPr>
                <w:color w:val="000000" w:themeColor="text1"/>
                <w:spacing w:val="1"/>
                <w:sz w:val="24"/>
                <w:szCs w:val="24"/>
              </w:rPr>
              <w:t xml:space="preserve"> </w:t>
            </w:r>
            <w:r w:rsidRPr="00C54A03">
              <w:rPr>
                <w:color w:val="000000" w:themeColor="text1"/>
                <w:sz w:val="24"/>
                <w:szCs w:val="24"/>
              </w:rPr>
              <w:t>exemplu, adaptată în funcție de raritatea / abundența tipului de habitat</w:t>
            </w:r>
            <w:r w:rsidRPr="00C54A03">
              <w:rPr>
                <w:color w:val="000000" w:themeColor="text1"/>
                <w:spacing w:val="1"/>
                <w:sz w:val="24"/>
                <w:szCs w:val="24"/>
              </w:rPr>
              <w:t xml:space="preserve"> </w:t>
            </w:r>
            <w:r w:rsidRPr="00C54A03">
              <w:rPr>
                <w:color w:val="000000" w:themeColor="text1"/>
                <w:sz w:val="24"/>
                <w:szCs w:val="24"/>
              </w:rPr>
              <w:t>(pentru mai multe informații, a se vedea secțiunea „Starea tipului de</w:t>
            </w:r>
            <w:r w:rsidRPr="00C54A03">
              <w:rPr>
                <w:color w:val="000000" w:themeColor="text1"/>
                <w:spacing w:val="1"/>
                <w:sz w:val="24"/>
                <w:szCs w:val="24"/>
              </w:rPr>
              <w:t xml:space="preserve"> </w:t>
            </w:r>
            <w:r w:rsidRPr="00C54A03">
              <w:rPr>
                <w:color w:val="000000" w:themeColor="text1"/>
                <w:sz w:val="24"/>
                <w:szCs w:val="24"/>
              </w:rPr>
              <w:t>habitat” (în „6 Structura și funcțiile (inclusiv speciile tipice)” capitolul</w:t>
            </w:r>
            <w:r w:rsidRPr="00C54A03">
              <w:rPr>
                <w:color w:val="000000" w:themeColor="text1"/>
                <w:spacing w:val="1"/>
                <w:sz w:val="24"/>
                <w:szCs w:val="24"/>
              </w:rPr>
              <w:t xml:space="preserve"> </w:t>
            </w:r>
            <w:r w:rsidRPr="00C54A03">
              <w:rPr>
                <w:color w:val="000000" w:themeColor="text1"/>
                <w:sz w:val="24"/>
                <w:szCs w:val="24"/>
              </w:rPr>
              <w:t>din</w:t>
            </w:r>
            <w:r w:rsidRPr="00C54A03">
              <w:rPr>
                <w:color w:val="000000" w:themeColor="text1"/>
                <w:spacing w:val="-1"/>
                <w:sz w:val="24"/>
                <w:szCs w:val="24"/>
              </w:rPr>
              <w:t xml:space="preserve"> </w:t>
            </w:r>
            <w:r w:rsidRPr="00C54A03">
              <w:rPr>
                <w:color w:val="000000" w:themeColor="text1"/>
                <w:sz w:val="24"/>
                <w:szCs w:val="24"/>
              </w:rPr>
              <w:t>„Definiții și</w:t>
            </w:r>
            <w:r w:rsidRPr="00C54A03">
              <w:rPr>
                <w:color w:val="000000" w:themeColor="text1"/>
                <w:spacing w:val="-1"/>
                <w:sz w:val="24"/>
                <w:szCs w:val="24"/>
              </w:rPr>
              <w:t xml:space="preserve"> </w:t>
            </w:r>
            <w:r w:rsidRPr="00C54A03">
              <w:rPr>
                <w:color w:val="000000" w:themeColor="text1"/>
                <w:sz w:val="24"/>
                <w:szCs w:val="24"/>
              </w:rPr>
              <w:t>metode</w:t>
            </w:r>
            <w:r w:rsidRPr="00C54A03">
              <w:rPr>
                <w:color w:val="000000" w:themeColor="text1"/>
                <w:spacing w:val="-1"/>
                <w:sz w:val="24"/>
                <w:szCs w:val="24"/>
              </w:rPr>
              <w:t xml:space="preserve"> </w:t>
            </w:r>
            <w:r w:rsidRPr="00C54A03">
              <w:rPr>
                <w:color w:val="000000" w:themeColor="text1"/>
                <w:sz w:val="24"/>
                <w:szCs w:val="24"/>
              </w:rPr>
              <w:t>pentru</w:t>
            </w:r>
            <w:r w:rsidRPr="00C54A03">
              <w:rPr>
                <w:color w:val="000000" w:themeColor="text1"/>
                <w:spacing w:val="-1"/>
                <w:sz w:val="24"/>
                <w:szCs w:val="24"/>
              </w:rPr>
              <w:t xml:space="preserve"> </w:t>
            </w:r>
            <w:r w:rsidRPr="00C54A03">
              <w:rPr>
                <w:color w:val="000000" w:themeColor="text1"/>
                <w:sz w:val="24"/>
                <w:szCs w:val="24"/>
              </w:rPr>
              <w:t>raportarea</w:t>
            </w:r>
            <w:r w:rsidRPr="00C54A03">
              <w:rPr>
                <w:color w:val="000000" w:themeColor="text1"/>
                <w:spacing w:val="-1"/>
                <w:sz w:val="24"/>
                <w:szCs w:val="24"/>
              </w:rPr>
              <w:t xml:space="preserve"> </w:t>
            </w:r>
            <w:r w:rsidRPr="00C54A03">
              <w:rPr>
                <w:color w:val="000000" w:themeColor="text1"/>
                <w:sz w:val="24"/>
                <w:szCs w:val="24"/>
              </w:rPr>
              <w:t>habitatului 'parte).</w:t>
            </w:r>
          </w:p>
          <w:p w14:paraId="2EFA5EA3" w14:textId="77777777" w:rsidR="00783BB5" w:rsidRPr="00C54A03" w:rsidRDefault="007702CD" w:rsidP="00783BB5">
            <w:pPr>
              <w:pStyle w:val="TableParagraph"/>
              <w:numPr>
                <w:ilvl w:val="0"/>
                <w:numId w:val="55"/>
              </w:numPr>
              <w:jc w:val="both"/>
              <w:rPr>
                <w:color w:val="000000" w:themeColor="text1"/>
                <w:sz w:val="24"/>
                <w:szCs w:val="24"/>
              </w:rPr>
            </w:pPr>
            <w:r w:rsidRPr="00C54A03">
              <w:rPr>
                <w:color w:val="000000" w:themeColor="text1"/>
                <w:sz w:val="24"/>
                <w:szCs w:val="24"/>
              </w:rPr>
              <w:t>Deși</w:t>
            </w:r>
            <w:r w:rsidRPr="00C54A03">
              <w:rPr>
                <w:color w:val="000000" w:themeColor="text1"/>
                <w:spacing w:val="26"/>
                <w:sz w:val="24"/>
                <w:szCs w:val="24"/>
              </w:rPr>
              <w:t xml:space="preserve"> </w:t>
            </w:r>
            <w:r w:rsidRPr="00C54A03">
              <w:rPr>
                <w:color w:val="000000" w:themeColor="text1"/>
                <w:sz w:val="24"/>
                <w:szCs w:val="24"/>
              </w:rPr>
              <w:t>nu</w:t>
            </w:r>
            <w:r w:rsidRPr="00C54A03">
              <w:rPr>
                <w:color w:val="000000" w:themeColor="text1"/>
                <w:spacing w:val="84"/>
                <w:sz w:val="24"/>
                <w:szCs w:val="24"/>
              </w:rPr>
              <w:t xml:space="preserve"> </w:t>
            </w:r>
            <w:r w:rsidRPr="00C54A03">
              <w:rPr>
                <w:color w:val="000000" w:themeColor="text1"/>
                <w:sz w:val="24"/>
                <w:szCs w:val="24"/>
              </w:rPr>
              <w:t>este</w:t>
            </w:r>
            <w:r w:rsidRPr="00C54A03">
              <w:rPr>
                <w:color w:val="000000" w:themeColor="text1"/>
                <w:spacing w:val="84"/>
                <w:sz w:val="24"/>
                <w:szCs w:val="24"/>
              </w:rPr>
              <w:t xml:space="preserve"> </w:t>
            </w:r>
            <w:r w:rsidRPr="00C54A03">
              <w:rPr>
                <w:color w:val="000000" w:themeColor="text1"/>
                <w:sz w:val="24"/>
                <w:szCs w:val="24"/>
              </w:rPr>
              <w:t>specificat</w:t>
            </w:r>
            <w:r w:rsidRPr="00C54A03">
              <w:rPr>
                <w:color w:val="000000" w:themeColor="text1"/>
                <w:spacing w:val="87"/>
                <w:sz w:val="24"/>
                <w:szCs w:val="24"/>
              </w:rPr>
              <w:t xml:space="preserve"> </w:t>
            </w:r>
            <w:r w:rsidRPr="00C54A03">
              <w:rPr>
                <w:color w:val="000000" w:themeColor="text1"/>
                <w:sz w:val="24"/>
                <w:szCs w:val="24"/>
              </w:rPr>
              <w:t>clar</w:t>
            </w:r>
            <w:r w:rsidRPr="00C54A03">
              <w:rPr>
                <w:color w:val="000000" w:themeColor="text1"/>
                <w:spacing w:val="86"/>
                <w:sz w:val="24"/>
                <w:szCs w:val="24"/>
              </w:rPr>
              <w:t xml:space="preserve"> </w:t>
            </w:r>
            <w:r w:rsidRPr="00C54A03">
              <w:rPr>
                <w:color w:val="000000" w:themeColor="text1"/>
                <w:sz w:val="24"/>
                <w:szCs w:val="24"/>
              </w:rPr>
              <w:t>în</w:t>
            </w:r>
            <w:r w:rsidRPr="00C54A03">
              <w:rPr>
                <w:color w:val="000000" w:themeColor="text1"/>
                <w:spacing w:val="85"/>
                <w:sz w:val="24"/>
                <w:szCs w:val="24"/>
              </w:rPr>
              <w:t xml:space="preserve"> </w:t>
            </w:r>
            <w:r w:rsidRPr="00C54A03">
              <w:rPr>
                <w:color w:val="000000" w:themeColor="text1"/>
                <w:sz w:val="24"/>
                <w:szCs w:val="24"/>
              </w:rPr>
              <w:t>matricea</w:t>
            </w:r>
            <w:r w:rsidRPr="00C54A03">
              <w:rPr>
                <w:color w:val="000000" w:themeColor="text1"/>
                <w:spacing w:val="84"/>
                <w:sz w:val="24"/>
                <w:szCs w:val="24"/>
              </w:rPr>
              <w:t xml:space="preserve"> </w:t>
            </w:r>
            <w:r w:rsidRPr="00C54A03">
              <w:rPr>
                <w:color w:val="000000" w:themeColor="text1"/>
                <w:sz w:val="24"/>
                <w:szCs w:val="24"/>
              </w:rPr>
              <w:t>de</w:t>
            </w:r>
            <w:r w:rsidRPr="00C54A03">
              <w:rPr>
                <w:color w:val="000000" w:themeColor="text1"/>
                <w:spacing w:val="86"/>
                <w:sz w:val="24"/>
                <w:szCs w:val="24"/>
              </w:rPr>
              <w:t xml:space="preserve"> </w:t>
            </w:r>
            <w:r w:rsidRPr="00C54A03">
              <w:rPr>
                <w:color w:val="000000" w:themeColor="text1"/>
                <w:sz w:val="24"/>
                <w:szCs w:val="24"/>
              </w:rPr>
              <w:t>evaluare,</w:t>
            </w:r>
            <w:r w:rsidRPr="00C54A03">
              <w:rPr>
                <w:color w:val="000000" w:themeColor="text1"/>
                <w:spacing w:val="87"/>
                <w:sz w:val="24"/>
                <w:szCs w:val="24"/>
              </w:rPr>
              <w:t xml:space="preserve"> </w:t>
            </w:r>
            <w:r w:rsidRPr="00C54A03">
              <w:rPr>
                <w:color w:val="000000" w:themeColor="text1"/>
                <w:sz w:val="24"/>
                <w:szCs w:val="24"/>
              </w:rPr>
              <w:t>tendința</w:t>
            </w:r>
            <w:r w:rsidR="00783BB5">
              <w:rPr>
                <w:color w:val="000000" w:themeColor="text1"/>
                <w:sz w:val="24"/>
                <w:szCs w:val="24"/>
              </w:rPr>
              <w:t xml:space="preserve"> </w:t>
            </w:r>
            <w:r w:rsidR="00783BB5" w:rsidRPr="00C54A03">
              <w:rPr>
                <w:color w:val="000000" w:themeColor="text1"/>
                <w:sz w:val="24"/>
                <w:szCs w:val="24"/>
              </w:rPr>
              <w:t>(tendința</w:t>
            </w:r>
            <w:r w:rsidR="00783BB5" w:rsidRPr="00C54A03">
              <w:rPr>
                <w:color w:val="000000" w:themeColor="text1"/>
                <w:spacing w:val="24"/>
                <w:sz w:val="24"/>
                <w:szCs w:val="24"/>
              </w:rPr>
              <w:t xml:space="preserve"> </w:t>
            </w:r>
            <w:r w:rsidR="00783BB5" w:rsidRPr="00C54A03">
              <w:rPr>
                <w:color w:val="000000" w:themeColor="text1"/>
                <w:sz w:val="24"/>
                <w:szCs w:val="24"/>
              </w:rPr>
              <w:t>în</w:t>
            </w:r>
            <w:r w:rsidR="00783BB5" w:rsidRPr="00C54A03">
              <w:rPr>
                <w:color w:val="000000" w:themeColor="text1"/>
                <w:spacing w:val="25"/>
                <w:sz w:val="24"/>
                <w:szCs w:val="24"/>
              </w:rPr>
              <w:t xml:space="preserve"> </w:t>
            </w:r>
            <w:r w:rsidR="00783BB5" w:rsidRPr="00C54A03">
              <w:rPr>
                <w:color w:val="000000" w:themeColor="text1"/>
                <w:sz w:val="24"/>
                <w:szCs w:val="24"/>
              </w:rPr>
              <w:t>zonă</w:t>
            </w:r>
            <w:r w:rsidR="00783BB5" w:rsidRPr="00C54A03">
              <w:rPr>
                <w:color w:val="000000" w:themeColor="text1"/>
                <w:spacing w:val="24"/>
                <w:sz w:val="24"/>
                <w:szCs w:val="24"/>
              </w:rPr>
              <w:t xml:space="preserve"> </w:t>
            </w:r>
            <w:r w:rsidR="00783BB5" w:rsidRPr="00C54A03">
              <w:rPr>
                <w:color w:val="000000" w:themeColor="text1"/>
                <w:sz w:val="24"/>
                <w:szCs w:val="24"/>
              </w:rPr>
              <w:t>în</w:t>
            </w:r>
            <w:r w:rsidR="00783BB5" w:rsidRPr="00C54A03">
              <w:rPr>
                <w:color w:val="000000" w:themeColor="text1"/>
                <w:spacing w:val="25"/>
                <w:sz w:val="24"/>
                <w:szCs w:val="24"/>
              </w:rPr>
              <w:t xml:space="preserve"> </w:t>
            </w:r>
            <w:r w:rsidR="00783BB5" w:rsidRPr="00C54A03">
              <w:rPr>
                <w:color w:val="000000" w:themeColor="text1"/>
                <w:sz w:val="24"/>
                <w:szCs w:val="24"/>
              </w:rPr>
              <w:t>stare</w:t>
            </w:r>
            <w:r w:rsidR="00783BB5" w:rsidRPr="00C54A03">
              <w:rPr>
                <w:color w:val="000000" w:themeColor="text1"/>
                <w:spacing w:val="24"/>
                <w:sz w:val="24"/>
                <w:szCs w:val="24"/>
              </w:rPr>
              <w:t xml:space="preserve"> </w:t>
            </w:r>
            <w:r w:rsidR="00783BB5" w:rsidRPr="00C54A03">
              <w:rPr>
                <w:color w:val="000000" w:themeColor="text1"/>
                <w:sz w:val="24"/>
                <w:szCs w:val="24"/>
              </w:rPr>
              <w:t>bună</w:t>
            </w:r>
            <w:r w:rsidR="00783BB5" w:rsidRPr="00C54A03">
              <w:rPr>
                <w:color w:val="000000" w:themeColor="text1"/>
                <w:spacing w:val="24"/>
                <w:sz w:val="24"/>
                <w:szCs w:val="24"/>
              </w:rPr>
              <w:t xml:space="preserve"> </w:t>
            </w:r>
            <w:r w:rsidR="00783BB5" w:rsidRPr="00C54A03">
              <w:rPr>
                <w:color w:val="000000" w:themeColor="text1"/>
                <w:sz w:val="24"/>
                <w:szCs w:val="24"/>
              </w:rPr>
              <w:t>(câmpul</w:t>
            </w:r>
            <w:r w:rsidR="00783BB5" w:rsidRPr="00C54A03">
              <w:rPr>
                <w:color w:val="000000" w:themeColor="text1"/>
                <w:spacing w:val="25"/>
                <w:sz w:val="24"/>
                <w:szCs w:val="24"/>
              </w:rPr>
              <w:t xml:space="preserve"> </w:t>
            </w:r>
            <w:r w:rsidR="00783BB5" w:rsidRPr="00C54A03">
              <w:rPr>
                <w:color w:val="000000" w:themeColor="text1"/>
                <w:sz w:val="24"/>
                <w:szCs w:val="24"/>
              </w:rPr>
              <w:t>6.4))</w:t>
            </w:r>
            <w:r w:rsidR="00783BB5" w:rsidRPr="00C54A03">
              <w:rPr>
                <w:color w:val="000000" w:themeColor="text1"/>
                <w:spacing w:val="23"/>
                <w:sz w:val="24"/>
                <w:szCs w:val="24"/>
              </w:rPr>
              <w:t xml:space="preserve"> </w:t>
            </w:r>
            <w:r w:rsidR="00783BB5" w:rsidRPr="00C54A03">
              <w:rPr>
                <w:color w:val="000000" w:themeColor="text1"/>
                <w:sz w:val="24"/>
                <w:szCs w:val="24"/>
              </w:rPr>
              <w:t>trebuie</w:t>
            </w:r>
            <w:r w:rsidR="00783BB5" w:rsidRPr="00C54A03">
              <w:rPr>
                <w:color w:val="000000" w:themeColor="text1"/>
                <w:spacing w:val="25"/>
                <w:sz w:val="24"/>
                <w:szCs w:val="24"/>
              </w:rPr>
              <w:t xml:space="preserve"> </w:t>
            </w:r>
            <w:r w:rsidR="00783BB5" w:rsidRPr="00C54A03">
              <w:rPr>
                <w:color w:val="000000" w:themeColor="text1"/>
                <w:sz w:val="24"/>
                <w:szCs w:val="24"/>
              </w:rPr>
              <w:t>să</w:t>
            </w:r>
            <w:r w:rsidR="00783BB5" w:rsidRPr="00C54A03">
              <w:rPr>
                <w:color w:val="000000" w:themeColor="text1"/>
                <w:spacing w:val="24"/>
                <w:sz w:val="24"/>
                <w:szCs w:val="24"/>
              </w:rPr>
              <w:t xml:space="preserve"> </w:t>
            </w:r>
            <w:r w:rsidR="00783BB5" w:rsidRPr="00C54A03">
              <w:rPr>
                <w:color w:val="000000" w:themeColor="text1"/>
                <w:sz w:val="24"/>
                <w:szCs w:val="24"/>
              </w:rPr>
              <w:t>fie</w:t>
            </w:r>
            <w:r w:rsidR="00783BB5" w:rsidRPr="00C54A03">
              <w:rPr>
                <w:color w:val="000000" w:themeColor="text1"/>
                <w:spacing w:val="23"/>
                <w:sz w:val="24"/>
                <w:szCs w:val="24"/>
              </w:rPr>
              <w:t xml:space="preserve"> </w:t>
            </w:r>
            <w:r w:rsidR="00783BB5" w:rsidRPr="00C54A03">
              <w:rPr>
                <w:color w:val="000000" w:themeColor="text1"/>
                <w:sz w:val="24"/>
                <w:szCs w:val="24"/>
              </w:rPr>
              <w:t>stabilă</w:t>
            </w:r>
            <w:r w:rsidR="00783BB5" w:rsidRPr="00C54A03">
              <w:rPr>
                <w:color w:val="000000" w:themeColor="text1"/>
                <w:spacing w:val="-57"/>
                <w:sz w:val="24"/>
                <w:szCs w:val="24"/>
              </w:rPr>
              <w:t xml:space="preserve"> </w:t>
            </w:r>
            <w:r w:rsidR="00783BB5" w:rsidRPr="00C54A03">
              <w:rPr>
                <w:color w:val="000000" w:themeColor="text1"/>
                <w:sz w:val="24"/>
                <w:szCs w:val="24"/>
              </w:rPr>
              <w:t>sau</w:t>
            </w:r>
            <w:r w:rsidR="00783BB5" w:rsidRPr="00C54A03">
              <w:rPr>
                <w:color w:val="000000" w:themeColor="text1"/>
                <w:spacing w:val="49"/>
                <w:sz w:val="24"/>
                <w:szCs w:val="24"/>
              </w:rPr>
              <w:t xml:space="preserve"> </w:t>
            </w:r>
            <w:r w:rsidR="00783BB5" w:rsidRPr="00C54A03">
              <w:rPr>
                <w:color w:val="000000" w:themeColor="text1"/>
                <w:sz w:val="24"/>
                <w:szCs w:val="24"/>
              </w:rPr>
              <w:t>în</w:t>
            </w:r>
            <w:r w:rsidR="00783BB5" w:rsidRPr="00C54A03">
              <w:rPr>
                <w:color w:val="000000" w:themeColor="text1"/>
                <w:spacing w:val="51"/>
                <w:sz w:val="24"/>
                <w:szCs w:val="24"/>
              </w:rPr>
              <w:t xml:space="preserve"> </w:t>
            </w:r>
            <w:r w:rsidR="00783BB5" w:rsidRPr="00C54A03">
              <w:rPr>
                <w:color w:val="000000" w:themeColor="text1"/>
                <w:sz w:val="24"/>
                <w:szCs w:val="24"/>
              </w:rPr>
              <w:t>creștere</w:t>
            </w:r>
            <w:r w:rsidR="00783BB5" w:rsidRPr="00C54A03">
              <w:rPr>
                <w:color w:val="000000" w:themeColor="text1"/>
                <w:spacing w:val="49"/>
                <w:sz w:val="24"/>
                <w:szCs w:val="24"/>
              </w:rPr>
              <w:t xml:space="preserve"> </w:t>
            </w:r>
            <w:r w:rsidR="00783BB5" w:rsidRPr="00C54A03">
              <w:rPr>
                <w:color w:val="000000" w:themeColor="text1"/>
                <w:sz w:val="24"/>
                <w:szCs w:val="24"/>
              </w:rPr>
              <w:t>pentru</w:t>
            </w:r>
            <w:r w:rsidR="00783BB5" w:rsidRPr="00C54A03">
              <w:rPr>
                <w:color w:val="000000" w:themeColor="text1"/>
                <w:spacing w:val="50"/>
                <w:sz w:val="24"/>
                <w:szCs w:val="24"/>
              </w:rPr>
              <w:t xml:space="preserve"> </w:t>
            </w:r>
            <w:r w:rsidR="00783BB5" w:rsidRPr="00C54A03">
              <w:rPr>
                <w:color w:val="000000" w:themeColor="text1"/>
                <w:sz w:val="24"/>
                <w:szCs w:val="24"/>
              </w:rPr>
              <w:t>ca</w:t>
            </w:r>
            <w:r w:rsidR="00783BB5" w:rsidRPr="00C54A03">
              <w:rPr>
                <w:color w:val="000000" w:themeColor="text1"/>
                <w:spacing w:val="49"/>
                <w:sz w:val="24"/>
                <w:szCs w:val="24"/>
              </w:rPr>
              <w:t xml:space="preserve"> </w:t>
            </w:r>
            <w:r w:rsidR="00783BB5" w:rsidRPr="00C54A03">
              <w:rPr>
                <w:color w:val="000000" w:themeColor="text1"/>
                <w:sz w:val="24"/>
                <w:szCs w:val="24"/>
              </w:rPr>
              <w:t>structura</w:t>
            </w:r>
            <w:r w:rsidR="00783BB5" w:rsidRPr="00C54A03">
              <w:rPr>
                <w:color w:val="000000" w:themeColor="text1"/>
                <w:spacing w:val="49"/>
                <w:sz w:val="24"/>
                <w:szCs w:val="24"/>
              </w:rPr>
              <w:t xml:space="preserve"> </w:t>
            </w:r>
            <w:r w:rsidR="00783BB5" w:rsidRPr="00C54A03">
              <w:rPr>
                <w:color w:val="000000" w:themeColor="text1"/>
                <w:sz w:val="24"/>
                <w:szCs w:val="24"/>
              </w:rPr>
              <w:t>și</w:t>
            </w:r>
            <w:r w:rsidR="00783BB5" w:rsidRPr="00C54A03">
              <w:rPr>
                <w:color w:val="000000" w:themeColor="text1"/>
                <w:spacing w:val="50"/>
                <w:sz w:val="24"/>
                <w:szCs w:val="24"/>
              </w:rPr>
              <w:t xml:space="preserve"> </w:t>
            </w:r>
            <w:r w:rsidR="00783BB5" w:rsidRPr="00C54A03">
              <w:rPr>
                <w:color w:val="000000" w:themeColor="text1"/>
                <w:sz w:val="24"/>
                <w:szCs w:val="24"/>
              </w:rPr>
              <w:t>funcțiile</w:t>
            </w:r>
            <w:r w:rsidR="00783BB5" w:rsidRPr="00C54A03">
              <w:rPr>
                <w:color w:val="000000" w:themeColor="text1"/>
                <w:spacing w:val="49"/>
                <w:sz w:val="24"/>
                <w:szCs w:val="24"/>
              </w:rPr>
              <w:t xml:space="preserve"> </w:t>
            </w:r>
            <w:r w:rsidR="00783BB5" w:rsidRPr="00C54A03">
              <w:rPr>
                <w:color w:val="000000" w:themeColor="text1"/>
                <w:sz w:val="24"/>
                <w:szCs w:val="24"/>
              </w:rPr>
              <w:t>să</w:t>
            </w:r>
            <w:r w:rsidR="00783BB5" w:rsidRPr="00C54A03">
              <w:rPr>
                <w:color w:val="000000" w:themeColor="text1"/>
                <w:spacing w:val="49"/>
                <w:sz w:val="24"/>
                <w:szCs w:val="24"/>
              </w:rPr>
              <w:t xml:space="preserve"> </w:t>
            </w:r>
            <w:r w:rsidR="00783BB5" w:rsidRPr="00C54A03">
              <w:rPr>
                <w:color w:val="000000" w:themeColor="text1"/>
                <w:sz w:val="24"/>
                <w:szCs w:val="24"/>
              </w:rPr>
              <w:t>fie</w:t>
            </w:r>
            <w:r w:rsidR="00783BB5" w:rsidRPr="00C54A03">
              <w:rPr>
                <w:color w:val="000000" w:themeColor="text1"/>
                <w:spacing w:val="49"/>
                <w:sz w:val="24"/>
                <w:szCs w:val="24"/>
              </w:rPr>
              <w:t xml:space="preserve"> </w:t>
            </w:r>
            <w:r w:rsidR="00783BB5" w:rsidRPr="00C54A03">
              <w:rPr>
                <w:color w:val="000000" w:themeColor="text1"/>
                <w:sz w:val="24"/>
                <w:szCs w:val="24"/>
              </w:rPr>
              <w:t>considerate</w:t>
            </w:r>
          </w:p>
          <w:p w14:paraId="560D4DBC" w14:textId="77777777" w:rsidR="00783BB5" w:rsidRPr="00C54A03" w:rsidRDefault="00783BB5" w:rsidP="00783BB5">
            <w:pPr>
              <w:pStyle w:val="TableParagraph"/>
              <w:ind w:left="828"/>
              <w:jc w:val="both"/>
              <w:rPr>
                <w:color w:val="000000" w:themeColor="text1"/>
                <w:sz w:val="24"/>
                <w:szCs w:val="24"/>
              </w:rPr>
            </w:pPr>
            <w:r w:rsidRPr="00C54A03">
              <w:rPr>
                <w:color w:val="000000" w:themeColor="text1"/>
                <w:sz w:val="24"/>
                <w:szCs w:val="24"/>
              </w:rPr>
              <w:t>„favorabile”.</w:t>
            </w:r>
          </w:p>
          <w:p w14:paraId="576BF9D1" w14:textId="77777777" w:rsidR="00783BB5" w:rsidRPr="00C54A03" w:rsidRDefault="00783BB5" w:rsidP="00783BB5">
            <w:pPr>
              <w:pStyle w:val="TableParagraph"/>
              <w:numPr>
                <w:ilvl w:val="0"/>
                <w:numId w:val="54"/>
              </w:numPr>
              <w:tabs>
                <w:tab w:val="left" w:pos="829"/>
              </w:tabs>
              <w:ind w:right="97"/>
              <w:jc w:val="both"/>
              <w:rPr>
                <w:color w:val="000000" w:themeColor="text1"/>
                <w:sz w:val="24"/>
                <w:szCs w:val="24"/>
              </w:rPr>
            </w:pPr>
            <w:r w:rsidRPr="00C54A03">
              <w:rPr>
                <w:color w:val="000000" w:themeColor="text1"/>
                <w:sz w:val="24"/>
                <w:szCs w:val="24"/>
              </w:rPr>
              <w:t>Deși nu este necesară o evaluare completă a stării de conservare a</w:t>
            </w:r>
            <w:r w:rsidRPr="00C54A03">
              <w:rPr>
                <w:color w:val="000000" w:themeColor="text1"/>
                <w:spacing w:val="1"/>
                <w:sz w:val="24"/>
                <w:szCs w:val="24"/>
              </w:rPr>
              <w:t xml:space="preserve"> </w:t>
            </w:r>
            <w:r w:rsidRPr="00C54A03">
              <w:rPr>
                <w:color w:val="000000" w:themeColor="text1"/>
                <w:sz w:val="24"/>
                <w:szCs w:val="24"/>
              </w:rPr>
              <w:t>fiecărei specii tipice, specia</w:t>
            </w:r>
            <w:r w:rsidRPr="00C54A03">
              <w:rPr>
                <w:color w:val="000000" w:themeColor="text1"/>
                <w:spacing w:val="1"/>
                <w:sz w:val="24"/>
                <w:szCs w:val="24"/>
              </w:rPr>
              <w:t xml:space="preserve"> </w:t>
            </w:r>
            <w:r w:rsidRPr="00C54A03">
              <w:rPr>
                <w:color w:val="000000" w:themeColor="text1"/>
                <w:sz w:val="24"/>
                <w:szCs w:val="24"/>
              </w:rPr>
              <w:t>generală</w:t>
            </w:r>
            <w:r w:rsidRPr="00C54A03">
              <w:rPr>
                <w:color w:val="000000" w:themeColor="text1"/>
                <w:spacing w:val="1"/>
                <w:sz w:val="24"/>
                <w:szCs w:val="24"/>
              </w:rPr>
              <w:t xml:space="preserve"> </w:t>
            </w:r>
            <w:r w:rsidRPr="00C54A03">
              <w:rPr>
                <w:color w:val="000000" w:themeColor="text1"/>
                <w:sz w:val="24"/>
                <w:szCs w:val="24"/>
              </w:rPr>
              <w:t>ar</w:t>
            </w:r>
            <w:r w:rsidRPr="00C54A03">
              <w:rPr>
                <w:color w:val="000000" w:themeColor="text1"/>
                <w:spacing w:val="60"/>
                <w:sz w:val="24"/>
                <w:szCs w:val="24"/>
              </w:rPr>
              <w:t xml:space="preserve"> </w:t>
            </w:r>
            <w:r w:rsidRPr="00C54A03">
              <w:rPr>
                <w:color w:val="000000" w:themeColor="text1"/>
                <w:sz w:val="24"/>
                <w:szCs w:val="24"/>
              </w:rPr>
              <w:t>trebui să fie „favorabilă”</w:t>
            </w:r>
            <w:r w:rsidRPr="00C54A03">
              <w:rPr>
                <w:color w:val="000000" w:themeColor="text1"/>
                <w:spacing w:val="1"/>
                <w:sz w:val="24"/>
                <w:szCs w:val="24"/>
              </w:rPr>
              <w:t xml:space="preserve"> </w:t>
            </w:r>
            <w:r w:rsidRPr="00C54A03">
              <w:rPr>
                <w:color w:val="000000" w:themeColor="text1"/>
                <w:sz w:val="24"/>
                <w:szCs w:val="24"/>
              </w:rPr>
              <w:t>(nu amenințată), cel puțin în acest habitat, deoarece speciile pot fi</w:t>
            </w:r>
            <w:r w:rsidRPr="00C54A03">
              <w:rPr>
                <w:color w:val="000000" w:themeColor="text1"/>
                <w:spacing w:val="1"/>
                <w:sz w:val="24"/>
                <w:szCs w:val="24"/>
              </w:rPr>
              <w:t xml:space="preserve"> </w:t>
            </w:r>
            <w:r w:rsidRPr="00C54A03">
              <w:rPr>
                <w:color w:val="000000" w:themeColor="text1"/>
                <w:sz w:val="24"/>
                <w:szCs w:val="24"/>
              </w:rPr>
              <w:t>tipice</w:t>
            </w:r>
            <w:r w:rsidRPr="00C54A03">
              <w:rPr>
                <w:color w:val="000000" w:themeColor="text1"/>
                <w:spacing w:val="-3"/>
                <w:sz w:val="24"/>
                <w:szCs w:val="24"/>
              </w:rPr>
              <w:t xml:space="preserve"> </w:t>
            </w:r>
            <w:r w:rsidRPr="00C54A03">
              <w:rPr>
                <w:color w:val="000000" w:themeColor="text1"/>
                <w:sz w:val="24"/>
                <w:szCs w:val="24"/>
              </w:rPr>
              <w:t>mai multor habitat.</w:t>
            </w:r>
          </w:p>
          <w:p w14:paraId="645B9C91" w14:textId="77777777" w:rsidR="00783BB5" w:rsidRPr="00C54A03" w:rsidRDefault="00783BB5" w:rsidP="00783BB5">
            <w:pPr>
              <w:pStyle w:val="TableParagraph"/>
              <w:numPr>
                <w:ilvl w:val="0"/>
                <w:numId w:val="54"/>
              </w:numPr>
              <w:tabs>
                <w:tab w:val="left" w:pos="829"/>
              </w:tabs>
              <w:ind w:right="102"/>
              <w:jc w:val="both"/>
              <w:rPr>
                <w:color w:val="000000" w:themeColor="text1"/>
                <w:sz w:val="24"/>
                <w:szCs w:val="24"/>
              </w:rPr>
            </w:pPr>
            <w:r w:rsidRPr="00C54A03">
              <w:rPr>
                <w:color w:val="000000" w:themeColor="text1"/>
                <w:sz w:val="24"/>
                <w:szCs w:val="24"/>
              </w:rPr>
              <w:t>Pentru ca un habitat să fie considerat „favorabil”, fragmentarea sau</w:t>
            </w:r>
            <w:r w:rsidRPr="00C54A03">
              <w:rPr>
                <w:color w:val="000000" w:themeColor="text1"/>
                <w:spacing w:val="1"/>
                <w:sz w:val="24"/>
                <w:szCs w:val="24"/>
              </w:rPr>
              <w:t xml:space="preserve"> </w:t>
            </w:r>
            <w:r w:rsidRPr="00C54A03">
              <w:rPr>
                <w:color w:val="000000" w:themeColor="text1"/>
                <w:sz w:val="24"/>
                <w:szCs w:val="24"/>
              </w:rPr>
              <w:t>alte</w:t>
            </w:r>
            <w:r w:rsidRPr="00C54A03">
              <w:rPr>
                <w:color w:val="000000" w:themeColor="text1"/>
                <w:spacing w:val="1"/>
                <w:sz w:val="24"/>
                <w:szCs w:val="24"/>
              </w:rPr>
              <w:t xml:space="preserve"> </w:t>
            </w:r>
            <w:r w:rsidRPr="00C54A03">
              <w:rPr>
                <w:color w:val="000000" w:themeColor="text1"/>
                <w:sz w:val="24"/>
                <w:szCs w:val="24"/>
              </w:rPr>
              <w:t>condiții</w:t>
            </w:r>
            <w:r w:rsidRPr="00C54A03">
              <w:rPr>
                <w:color w:val="000000" w:themeColor="text1"/>
                <w:spacing w:val="1"/>
                <w:sz w:val="24"/>
                <w:szCs w:val="24"/>
              </w:rPr>
              <w:t xml:space="preserve"> </w:t>
            </w:r>
            <w:r w:rsidRPr="00C54A03">
              <w:rPr>
                <w:color w:val="000000" w:themeColor="text1"/>
                <w:sz w:val="24"/>
                <w:szCs w:val="24"/>
              </w:rPr>
              <w:t>nu</w:t>
            </w:r>
            <w:r w:rsidRPr="00C54A03">
              <w:rPr>
                <w:color w:val="000000" w:themeColor="text1"/>
                <w:spacing w:val="1"/>
                <w:sz w:val="24"/>
                <w:szCs w:val="24"/>
              </w:rPr>
              <w:t xml:space="preserve"> </w:t>
            </w:r>
            <w:r w:rsidRPr="00C54A03">
              <w:rPr>
                <w:color w:val="000000" w:themeColor="text1"/>
                <w:sz w:val="24"/>
                <w:szCs w:val="24"/>
              </w:rPr>
              <w:t>au</w:t>
            </w:r>
            <w:r w:rsidRPr="00C54A03">
              <w:rPr>
                <w:color w:val="000000" w:themeColor="text1"/>
                <w:spacing w:val="1"/>
                <w:sz w:val="24"/>
                <w:szCs w:val="24"/>
              </w:rPr>
              <w:t xml:space="preserve"> </w:t>
            </w:r>
            <w:r w:rsidRPr="00C54A03">
              <w:rPr>
                <w:color w:val="000000" w:themeColor="text1"/>
                <w:sz w:val="24"/>
                <w:szCs w:val="24"/>
              </w:rPr>
              <w:t>un</w:t>
            </w:r>
            <w:r w:rsidRPr="00C54A03">
              <w:rPr>
                <w:color w:val="000000" w:themeColor="text1"/>
                <w:spacing w:val="1"/>
                <w:sz w:val="24"/>
                <w:szCs w:val="24"/>
              </w:rPr>
              <w:t xml:space="preserve"> </w:t>
            </w:r>
            <w:r w:rsidRPr="00C54A03">
              <w:rPr>
                <w:color w:val="000000" w:themeColor="text1"/>
                <w:sz w:val="24"/>
                <w:szCs w:val="24"/>
              </w:rPr>
              <w:t>impact</w:t>
            </w:r>
            <w:r w:rsidRPr="00C54A03">
              <w:rPr>
                <w:color w:val="000000" w:themeColor="text1"/>
                <w:spacing w:val="1"/>
                <w:sz w:val="24"/>
                <w:szCs w:val="24"/>
              </w:rPr>
              <w:t xml:space="preserve"> </w:t>
            </w:r>
            <w:r w:rsidRPr="00C54A03">
              <w:rPr>
                <w:color w:val="000000" w:themeColor="text1"/>
                <w:sz w:val="24"/>
                <w:szCs w:val="24"/>
              </w:rPr>
              <w:t>semnificativ</w:t>
            </w:r>
            <w:r w:rsidRPr="00C54A03">
              <w:rPr>
                <w:color w:val="000000" w:themeColor="text1"/>
                <w:spacing w:val="1"/>
                <w:sz w:val="24"/>
                <w:szCs w:val="24"/>
              </w:rPr>
              <w:t xml:space="preserve"> </w:t>
            </w:r>
            <w:r w:rsidRPr="00C54A03">
              <w:rPr>
                <w:color w:val="000000" w:themeColor="text1"/>
                <w:sz w:val="24"/>
                <w:szCs w:val="24"/>
              </w:rPr>
              <w:t>asupra</w:t>
            </w:r>
            <w:r w:rsidRPr="00C54A03">
              <w:rPr>
                <w:color w:val="000000" w:themeColor="text1"/>
                <w:spacing w:val="1"/>
                <w:sz w:val="24"/>
                <w:szCs w:val="24"/>
              </w:rPr>
              <w:t xml:space="preserve"> </w:t>
            </w:r>
            <w:r w:rsidRPr="00C54A03">
              <w:rPr>
                <w:color w:val="000000" w:themeColor="text1"/>
                <w:sz w:val="24"/>
                <w:szCs w:val="24"/>
              </w:rPr>
              <w:t>proceselor</w:t>
            </w:r>
            <w:r w:rsidRPr="00C54A03">
              <w:rPr>
                <w:color w:val="000000" w:themeColor="text1"/>
                <w:spacing w:val="1"/>
                <w:sz w:val="24"/>
                <w:szCs w:val="24"/>
              </w:rPr>
              <w:t xml:space="preserve"> </w:t>
            </w:r>
            <w:r w:rsidRPr="00C54A03">
              <w:rPr>
                <w:color w:val="000000" w:themeColor="text1"/>
                <w:sz w:val="24"/>
                <w:szCs w:val="24"/>
              </w:rPr>
              <w:t>ecologice.</w:t>
            </w:r>
          </w:p>
          <w:p w14:paraId="2992581E" w14:textId="77777777" w:rsidR="00783BB5" w:rsidRPr="00C54A03" w:rsidRDefault="00783BB5" w:rsidP="00783BB5">
            <w:pPr>
              <w:pStyle w:val="TableParagraph"/>
              <w:numPr>
                <w:ilvl w:val="0"/>
                <w:numId w:val="54"/>
              </w:numPr>
              <w:tabs>
                <w:tab w:val="left" w:pos="829"/>
              </w:tabs>
              <w:ind w:right="95"/>
              <w:jc w:val="both"/>
              <w:rPr>
                <w:color w:val="000000" w:themeColor="text1"/>
                <w:sz w:val="24"/>
                <w:szCs w:val="24"/>
              </w:rPr>
            </w:pPr>
            <w:r w:rsidRPr="00C54A03">
              <w:rPr>
                <w:color w:val="000000" w:themeColor="text1"/>
                <w:sz w:val="24"/>
                <w:szCs w:val="24"/>
              </w:rPr>
              <w:t>Este posibil ca restaurarea să crească suprafața habitatului, dar a</w:t>
            </w:r>
            <w:r w:rsidRPr="00C54A03">
              <w:rPr>
                <w:color w:val="000000" w:themeColor="text1"/>
                <w:spacing w:val="1"/>
                <w:sz w:val="24"/>
                <w:szCs w:val="24"/>
              </w:rPr>
              <w:t xml:space="preserve"> </w:t>
            </w:r>
            <w:r w:rsidRPr="00C54A03">
              <w:rPr>
                <w:color w:val="000000" w:themeColor="text1"/>
                <w:sz w:val="24"/>
                <w:szCs w:val="24"/>
              </w:rPr>
              <w:t>scăzut</w:t>
            </w:r>
            <w:r w:rsidRPr="00C54A03">
              <w:rPr>
                <w:color w:val="000000" w:themeColor="text1"/>
                <w:spacing w:val="1"/>
                <w:sz w:val="24"/>
                <w:szCs w:val="24"/>
              </w:rPr>
              <w:t xml:space="preserve"> </w:t>
            </w:r>
            <w:r w:rsidRPr="00C54A03">
              <w:rPr>
                <w:color w:val="000000" w:themeColor="text1"/>
                <w:sz w:val="24"/>
                <w:szCs w:val="24"/>
              </w:rPr>
              <w:t>proporția</w:t>
            </w:r>
            <w:r w:rsidRPr="00C54A03">
              <w:rPr>
                <w:color w:val="000000" w:themeColor="text1"/>
                <w:spacing w:val="1"/>
                <w:sz w:val="24"/>
                <w:szCs w:val="24"/>
              </w:rPr>
              <w:t xml:space="preserve"> </w:t>
            </w:r>
            <w:r w:rsidRPr="00C54A03">
              <w:rPr>
                <w:color w:val="000000" w:themeColor="text1"/>
                <w:sz w:val="24"/>
                <w:szCs w:val="24"/>
              </w:rPr>
              <w:t>de</w:t>
            </w:r>
            <w:r w:rsidRPr="00C54A03">
              <w:rPr>
                <w:color w:val="000000" w:themeColor="text1"/>
                <w:spacing w:val="1"/>
                <w:sz w:val="24"/>
                <w:szCs w:val="24"/>
              </w:rPr>
              <w:t xml:space="preserve"> </w:t>
            </w:r>
            <w:r w:rsidRPr="00C54A03">
              <w:rPr>
                <w:color w:val="000000" w:themeColor="text1"/>
                <w:sz w:val="24"/>
                <w:szCs w:val="24"/>
              </w:rPr>
              <w:t>habitat</w:t>
            </w:r>
            <w:r w:rsidRPr="00C54A03">
              <w:rPr>
                <w:color w:val="000000" w:themeColor="text1"/>
                <w:spacing w:val="1"/>
                <w:sz w:val="24"/>
                <w:szCs w:val="24"/>
              </w:rPr>
              <w:t xml:space="preserve"> </w:t>
            </w:r>
            <w:r w:rsidRPr="00C54A03">
              <w:rPr>
                <w:color w:val="000000" w:themeColor="text1"/>
                <w:sz w:val="24"/>
                <w:szCs w:val="24"/>
              </w:rPr>
              <w:t>în</w:t>
            </w:r>
            <w:r w:rsidRPr="00C54A03">
              <w:rPr>
                <w:color w:val="000000" w:themeColor="text1"/>
                <w:spacing w:val="1"/>
                <w:sz w:val="24"/>
                <w:szCs w:val="24"/>
              </w:rPr>
              <w:t xml:space="preserve"> </w:t>
            </w:r>
            <w:r w:rsidRPr="00C54A03">
              <w:rPr>
                <w:color w:val="000000" w:themeColor="text1"/>
                <w:sz w:val="24"/>
                <w:szCs w:val="24"/>
              </w:rPr>
              <w:t>condiții</w:t>
            </w:r>
            <w:r w:rsidRPr="00C54A03">
              <w:rPr>
                <w:color w:val="000000" w:themeColor="text1"/>
                <w:spacing w:val="1"/>
                <w:sz w:val="24"/>
                <w:szCs w:val="24"/>
              </w:rPr>
              <w:t xml:space="preserve"> </w:t>
            </w:r>
            <w:r w:rsidRPr="00C54A03">
              <w:rPr>
                <w:color w:val="000000" w:themeColor="text1"/>
                <w:sz w:val="24"/>
                <w:szCs w:val="24"/>
              </w:rPr>
              <w:t>„nu</w:t>
            </w:r>
            <w:r w:rsidRPr="00C54A03">
              <w:rPr>
                <w:color w:val="000000" w:themeColor="text1"/>
                <w:spacing w:val="1"/>
                <w:sz w:val="24"/>
                <w:szCs w:val="24"/>
              </w:rPr>
              <w:t xml:space="preserve"> </w:t>
            </w:r>
            <w:r w:rsidRPr="00C54A03">
              <w:rPr>
                <w:color w:val="000000" w:themeColor="text1"/>
                <w:sz w:val="24"/>
                <w:szCs w:val="24"/>
              </w:rPr>
              <w:t>bune”,</w:t>
            </w:r>
            <w:r w:rsidRPr="00C54A03">
              <w:rPr>
                <w:color w:val="000000" w:themeColor="text1"/>
                <w:spacing w:val="1"/>
                <w:sz w:val="24"/>
                <w:szCs w:val="24"/>
              </w:rPr>
              <w:t xml:space="preserve"> </w:t>
            </w:r>
            <w:r w:rsidRPr="00C54A03">
              <w:rPr>
                <w:color w:val="000000" w:themeColor="text1"/>
                <w:sz w:val="24"/>
                <w:szCs w:val="24"/>
              </w:rPr>
              <w:t>întrucât</w:t>
            </w:r>
            <w:r w:rsidRPr="00C54A03">
              <w:rPr>
                <w:color w:val="000000" w:themeColor="text1"/>
                <w:spacing w:val="1"/>
                <w:sz w:val="24"/>
                <w:szCs w:val="24"/>
              </w:rPr>
              <w:t xml:space="preserve"> </w:t>
            </w:r>
            <w:r w:rsidRPr="00C54A03">
              <w:rPr>
                <w:color w:val="000000" w:themeColor="text1"/>
                <w:sz w:val="24"/>
                <w:szCs w:val="24"/>
              </w:rPr>
              <w:t>zona</w:t>
            </w:r>
            <w:r w:rsidRPr="00C54A03">
              <w:rPr>
                <w:color w:val="000000" w:themeColor="text1"/>
                <w:spacing w:val="-57"/>
                <w:sz w:val="24"/>
                <w:szCs w:val="24"/>
              </w:rPr>
              <w:t xml:space="preserve"> </w:t>
            </w:r>
            <w:r w:rsidRPr="00C54A03">
              <w:rPr>
                <w:color w:val="000000" w:themeColor="text1"/>
                <w:sz w:val="24"/>
                <w:szCs w:val="24"/>
              </w:rPr>
              <w:t>restaurată nu este încă în stare „bună”. În astfel de cazuri, dacă zona</w:t>
            </w:r>
            <w:r w:rsidRPr="00C54A03">
              <w:rPr>
                <w:color w:val="000000" w:themeColor="text1"/>
                <w:spacing w:val="-57"/>
                <w:sz w:val="24"/>
                <w:szCs w:val="24"/>
              </w:rPr>
              <w:t xml:space="preserve"> </w:t>
            </w:r>
            <w:r w:rsidRPr="00C54A03">
              <w:rPr>
                <w:color w:val="000000" w:themeColor="text1"/>
                <w:sz w:val="24"/>
                <w:szCs w:val="24"/>
              </w:rPr>
              <w:t>în stare „bună” este mai mică de 90% din suprafața habitatului,</w:t>
            </w:r>
            <w:r w:rsidRPr="00C54A03">
              <w:rPr>
                <w:color w:val="000000" w:themeColor="text1"/>
                <w:spacing w:val="1"/>
                <w:sz w:val="24"/>
                <w:szCs w:val="24"/>
              </w:rPr>
              <w:t xml:space="preserve"> </w:t>
            </w:r>
            <w:r w:rsidRPr="00C54A03">
              <w:rPr>
                <w:color w:val="000000" w:themeColor="text1"/>
                <w:sz w:val="24"/>
                <w:szCs w:val="24"/>
              </w:rPr>
              <w:t>habitatul nu ar trebui să fie „favorabil” pentru parametrul Structura</w:t>
            </w:r>
            <w:r w:rsidRPr="00C54A03">
              <w:rPr>
                <w:color w:val="000000" w:themeColor="text1"/>
                <w:spacing w:val="1"/>
                <w:sz w:val="24"/>
                <w:szCs w:val="24"/>
              </w:rPr>
              <w:t xml:space="preserve"> </w:t>
            </w:r>
            <w:r w:rsidRPr="00C54A03">
              <w:rPr>
                <w:color w:val="000000" w:themeColor="text1"/>
                <w:sz w:val="24"/>
                <w:szCs w:val="24"/>
              </w:rPr>
              <w:t>și funcțiile (a se vedea mai sus, punctul 1). Astfel de cazuri apar cel</w:t>
            </w:r>
            <w:r w:rsidRPr="00C54A03">
              <w:rPr>
                <w:color w:val="000000" w:themeColor="text1"/>
                <w:spacing w:val="1"/>
                <w:sz w:val="24"/>
                <w:szCs w:val="24"/>
              </w:rPr>
              <w:t xml:space="preserve"> </w:t>
            </w:r>
            <w:r w:rsidRPr="00C54A03">
              <w:rPr>
                <w:color w:val="000000" w:themeColor="text1"/>
                <w:sz w:val="24"/>
                <w:szCs w:val="24"/>
              </w:rPr>
              <w:t>mai probabil în cazul în care zona habitatului este mai mică decât</w:t>
            </w:r>
            <w:r w:rsidRPr="00C54A03">
              <w:rPr>
                <w:color w:val="000000" w:themeColor="text1"/>
                <w:spacing w:val="1"/>
                <w:sz w:val="24"/>
                <w:szCs w:val="24"/>
              </w:rPr>
              <w:t xml:space="preserve"> </w:t>
            </w:r>
            <w:r w:rsidRPr="00C54A03">
              <w:rPr>
                <w:color w:val="000000" w:themeColor="text1"/>
                <w:sz w:val="24"/>
                <w:szCs w:val="24"/>
              </w:rPr>
              <w:t>valoarea</w:t>
            </w:r>
            <w:r w:rsidRPr="00C54A03">
              <w:rPr>
                <w:color w:val="000000" w:themeColor="text1"/>
                <w:spacing w:val="56"/>
                <w:sz w:val="24"/>
                <w:szCs w:val="24"/>
              </w:rPr>
              <w:t xml:space="preserve"> </w:t>
            </w:r>
            <w:r w:rsidRPr="00C54A03">
              <w:rPr>
                <w:color w:val="000000" w:themeColor="text1"/>
                <w:sz w:val="24"/>
                <w:szCs w:val="24"/>
              </w:rPr>
              <w:t>de</w:t>
            </w:r>
            <w:r w:rsidRPr="00C54A03">
              <w:rPr>
                <w:color w:val="000000" w:themeColor="text1"/>
                <w:spacing w:val="57"/>
                <w:sz w:val="24"/>
                <w:szCs w:val="24"/>
              </w:rPr>
              <w:t xml:space="preserve"> </w:t>
            </w:r>
            <w:r w:rsidRPr="00C54A03">
              <w:rPr>
                <w:color w:val="000000" w:themeColor="text1"/>
                <w:sz w:val="24"/>
                <w:szCs w:val="24"/>
              </w:rPr>
              <w:t>referință</w:t>
            </w:r>
            <w:r w:rsidRPr="00C54A03">
              <w:rPr>
                <w:color w:val="000000" w:themeColor="text1"/>
                <w:spacing w:val="58"/>
                <w:sz w:val="24"/>
                <w:szCs w:val="24"/>
              </w:rPr>
              <w:t xml:space="preserve"> </w:t>
            </w:r>
            <w:r w:rsidRPr="00C54A03">
              <w:rPr>
                <w:color w:val="000000" w:themeColor="text1"/>
                <w:sz w:val="24"/>
                <w:szCs w:val="24"/>
              </w:rPr>
              <w:t>și</w:t>
            </w:r>
            <w:r w:rsidRPr="00C54A03">
              <w:rPr>
                <w:color w:val="000000" w:themeColor="text1"/>
                <w:spacing w:val="58"/>
                <w:sz w:val="24"/>
                <w:szCs w:val="24"/>
              </w:rPr>
              <w:t xml:space="preserve"> </w:t>
            </w:r>
            <w:r w:rsidRPr="00C54A03">
              <w:rPr>
                <w:color w:val="000000" w:themeColor="text1"/>
                <w:sz w:val="24"/>
                <w:szCs w:val="24"/>
              </w:rPr>
              <w:t>starea  generală</w:t>
            </w:r>
            <w:r w:rsidRPr="00C54A03">
              <w:rPr>
                <w:color w:val="000000" w:themeColor="text1"/>
                <w:spacing w:val="58"/>
                <w:sz w:val="24"/>
                <w:szCs w:val="24"/>
              </w:rPr>
              <w:t xml:space="preserve"> </w:t>
            </w:r>
            <w:r w:rsidRPr="00C54A03">
              <w:rPr>
                <w:color w:val="000000" w:themeColor="text1"/>
                <w:sz w:val="24"/>
                <w:szCs w:val="24"/>
              </w:rPr>
              <w:t>de  conservare</w:t>
            </w:r>
            <w:r w:rsidRPr="00C54A03">
              <w:rPr>
                <w:color w:val="000000" w:themeColor="text1"/>
                <w:spacing w:val="56"/>
                <w:sz w:val="24"/>
                <w:szCs w:val="24"/>
              </w:rPr>
              <w:t xml:space="preserve"> </w:t>
            </w:r>
            <w:r w:rsidRPr="00C54A03">
              <w:rPr>
                <w:color w:val="000000" w:themeColor="text1"/>
                <w:sz w:val="24"/>
                <w:szCs w:val="24"/>
              </w:rPr>
              <w:t>ar  fi</w:t>
            </w:r>
            <w:r w:rsidRPr="00C54A03">
              <w:rPr>
                <w:color w:val="000000" w:themeColor="text1"/>
                <w:spacing w:val="58"/>
                <w:sz w:val="24"/>
                <w:szCs w:val="24"/>
              </w:rPr>
              <w:t xml:space="preserve"> </w:t>
            </w:r>
            <w:r w:rsidRPr="00C54A03">
              <w:rPr>
                <w:color w:val="000000" w:themeColor="text1"/>
                <w:sz w:val="24"/>
                <w:szCs w:val="24"/>
              </w:rPr>
              <w:t>fost</w:t>
            </w:r>
          </w:p>
          <w:p w14:paraId="6E4B50E3" w14:textId="77777777" w:rsidR="007702CD" w:rsidRPr="00C54A03" w:rsidRDefault="00783BB5" w:rsidP="00783BB5">
            <w:pPr>
              <w:pStyle w:val="TableParagraph"/>
              <w:tabs>
                <w:tab w:val="left" w:pos="829"/>
              </w:tabs>
              <w:spacing w:before="1" w:line="264" w:lineRule="exact"/>
              <w:ind w:left="828"/>
              <w:jc w:val="both"/>
              <w:rPr>
                <w:color w:val="000000" w:themeColor="text1"/>
                <w:sz w:val="24"/>
                <w:szCs w:val="24"/>
              </w:rPr>
            </w:pPr>
            <w:r w:rsidRPr="00C54A03">
              <w:rPr>
                <w:color w:val="000000" w:themeColor="text1"/>
                <w:sz w:val="24"/>
                <w:szCs w:val="24"/>
              </w:rPr>
              <w:t>„defavorabilă”</w:t>
            </w:r>
            <w:r w:rsidRPr="00C54A03">
              <w:rPr>
                <w:color w:val="000000" w:themeColor="text1"/>
                <w:spacing w:val="-4"/>
                <w:sz w:val="24"/>
                <w:szCs w:val="24"/>
              </w:rPr>
              <w:t xml:space="preserve"> </w:t>
            </w:r>
            <w:r w:rsidRPr="00C54A03">
              <w:rPr>
                <w:color w:val="000000" w:themeColor="text1"/>
                <w:sz w:val="24"/>
                <w:szCs w:val="24"/>
              </w:rPr>
              <w:t>indiferent de</w:t>
            </w:r>
            <w:r w:rsidRPr="00C54A03">
              <w:rPr>
                <w:color w:val="000000" w:themeColor="text1"/>
                <w:spacing w:val="-3"/>
                <w:sz w:val="24"/>
                <w:szCs w:val="24"/>
              </w:rPr>
              <w:t xml:space="preserve"> </w:t>
            </w:r>
            <w:r w:rsidRPr="00C54A03">
              <w:rPr>
                <w:color w:val="000000" w:themeColor="text1"/>
                <w:sz w:val="24"/>
                <w:szCs w:val="24"/>
              </w:rPr>
              <w:t>structură</w:t>
            </w:r>
            <w:r w:rsidRPr="00C54A03">
              <w:rPr>
                <w:color w:val="000000" w:themeColor="text1"/>
                <w:spacing w:val="-4"/>
                <w:sz w:val="24"/>
                <w:szCs w:val="24"/>
              </w:rPr>
              <w:t xml:space="preserve"> </w:t>
            </w:r>
            <w:r w:rsidRPr="00C54A03">
              <w:rPr>
                <w:color w:val="000000" w:themeColor="text1"/>
                <w:sz w:val="24"/>
                <w:szCs w:val="24"/>
              </w:rPr>
              <w:t>și funcții.</w:t>
            </w:r>
          </w:p>
        </w:tc>
      </w:tr>
    </w:tbl>
    <w:p w14:paraId="54224E0C" w14:textId="77777777" w:rsidR="007702CD" w:rsidRPr="00C54A03" w:rsidRDefault="007702CD" w:rsidP="008E33FD">
      <w:pPr>
        <w:spacing w:line="264" w:lineRule="exact"/>
        <w:jc w:val="both"/>
        <w:rPr>
          <w:color w:val="000000" w:themeColor="text1"/>
        </w:rPr>
        <w:sectPr w:rsidR="007702CD" w:rsidRPr="00C54A03" w:rsidSect="00D97209">
          <w:pgSz w:w="11910" w:h="16840"/>
          <w:pgMar w:top="1066" w:right="878" w:bottom="1685" w:left="835" w:header="0" w:footer="1411" w:gutter="0"/>
          <w:cols w:space="708"/>
        </w:sectPr>
      </w:pPr>
    </w:p>
    <w:tbl>
      <w:tblPr>
        <w:tblW w:w="0" w:type="auto"/>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0"/>
        <w:gridCol w:w="7480"/>
      </w:tblGrid>
      <w:tr w:rsidR="007702CD" w:rsidRPr="00C54A03" w14:paraId="36DF0498" w14:textId="77777777" w:rsidTr="00102A1A">
        <w:trPr>
          <w:trHeight w:val="4716"/>
        </w:trPr>
        <w:tc>
          <w:tcPr>
            <w:tcW w:w="1810" w:type="dxa"/>
          </w:tcPr>
          <w:p w14:paraId="431917B2" w14:textId="77777777" w:rsidR="007702CD" w:rsidRPr="00C54A03" w:rsidRDefault="007702CD" w:rsidP="008E33FD">
            <w:pPr>
              <w:pStyle w:val="TableParagraph"/>
              <w:jc w:val="both"/>
              <w:rPr>
                <w:color w:val="000000" w:themeColor="text1"/>
                <w:sz w:val="24"/>
                <w:szCs w:val="24"/>
              </w:rPr>
            </w:pPr>
          </w:p>
          <w:p w14:paraId="34AEF2BD" w14:textId="77777777" w:rsidR="007702CD" w:rsidRPr="00C54A03" w:rsidRDefault="007702CD" w:rsidP="008E33FD">
            <w:pPr>
              <w:pStyle w:val="TableParagraph"/>
              <w:jc w:val="both"/>
              <w:rPr>
                <w:color w:val="000000" w:themeColor="text1"/>
                <w:sz w:val="24"/>
                <w:szCs w:val="24"/>
              </w:rPr>
            </w:pPr>
          </w:p>
          <w:p w14:paraId="36A305CB" w14:textId="77777777" w:rsidR="007702CD" w:rsidRPr="00C54A03" w:rsidRDefault="007702CD" w:rsidP="008E33FD">
            <w:pPr>
              <w:pStyle w:val="TableParagraph"/>
              <w:jc w:val="both"/>
              <w:rPr>
                <w:color w:val="000000" w:themeColor="text1"/>
                <w:sz w:val="24"/>
                <w:szCs w:val="24"/>
              </w:rPr>
            </w:pPr>
          </w:p>
          <w:p w14:paraId="2721FB03" w14:textId="77777777" w:rsidR="007702CD" w:rsidRPr="00C54A03" w:rsidRDefault="007702CD" w:rsidP="008E33FD">
            <w:pPr>
              <w:pStyle w:val="TableParagraph"/>
              <w:jc w:val="both"/>
              <w:rPr>
                <w:color w:val="000000" w:themeColor="text1"/>
                <w:sz w:val="24"/>
                <w:szCs w:val="24"/>
              </w:rPr>
            </w:pPr>
          </w:p>
          <w:p w14:paraId="5DA779C1" w14:textId="77777777" w:rsidR="007702CD" w:rsidRPr="00C54A03" w:rsidRDefault="007702CD" w:rsidP="008E33FD">
            <w:pPr>
              <w:pStyle w:val="TableParagraph"/>
              <w:jc w:val="both"/>
              <w:rPr>
                <w:color w:val="000000" w:themeColor="text1"/>
                <w:sz w:val="24"/>
                <w:szCs w:val="24"/>
              </w:rPr>
            </w:pPr>
          </w:p>
          <w:p w14:paraId="7CF6CEE1" w14:textId="77777777" w:rsidR="007702CD" w:rsidRPr="00C54A03" w:rsidRDefault="007702CD" w:rsidP="008E33FD">
            <w:pPr>
              <w:pStyle w:val="TableParagraph"/>
              <w:jc w:val="both"/>
              <w:rPr>
                <w:color w:val="000000" w:themeColor="text1"/>
                <w:sz w:val="24"/>
                <w:szCs w:val="24"/>
              </w:rPr>
            </w:pPr>
          </w:p>
          <w:p w14:paraId="236B91EA" w14:textId="77777777" w:rsidR="007702CD" w:rsidRPr="00C54A03" w:rsidRDefault="007702CD" w:rsidP="008E33FD">
            <w:pPr>
              <w:pStyle w:val="TableParagraph"/>
              <w:spacing w:before="9"/>
              <w:jc w:val="both"/>
              <w:rPr>
                <w:color w:val="000000" w:themeColor="text1"/>
                <w:sz w:val="24"/>
                <w:szCs w:val="24"/>
              </w:rPr>
            </w:pPr>
          </w:p>
          <w:p w14:paraId="70C9815E" w14:textId="77777777" w:rsidR="007702CD" w:rsidRPr="00C54A03" w:rsidRDefault="007702CD" w:rsidP="008E33FD">
            <w:pPr>
              <w:pStyle w:val="TableParagraph"/>
              <w:ind w:left="108" w:right="253"/>
              <w:jc w:val="both"/>
              <w:rPr>
                <w:color w:val="000000" w:themeColor="text1"/>
                <w:sz w:val="24"/>
                <w:szCs w:val="24"/>
              </w:rPr>
            </w:pPr>
            <w:r w:rsidRPr="00C54A03">
              <w:rPr>
                <w:color w:val="000000" w:themeColor="text1"/>
                <w:sz w:val="24"/>
                <w:szCs w:val="24"/>
              </w:rPr>
              <w:t>Nefavorabil-</w:t>
            </w:r>
            <w:r w:rsidRPr="00C54A03">
              <w:rPr>
                <w:color w:val="000000" w:themeColor="text1"/>
                <w:spacing w:val="1"/>
                <w:sz w:val="24"/>
                <w:szCs w:val="24"/>
              </w:rPr>
              <w:t xml:space="preserve"> </w:t>
            </w:r>
            <w:r w:rsidRPr="00C54A03">
              <w:rPr>
                <w:color w:val="000000" w:themeColor="text1"/>
                <w:sz w:val="24"/>
                <w:szCs w:val="24"/>
              </w:rPr>
              <w:t>inadecvat</w:t>
            </w:r>
            <w:r w:rsidRPr="00C54A03">
              <w:rPr>
                <w:color w:val="000000" w:themeColor="text1"/>
                <w:spacing w:val="-14"/>
                <w:sz w:val="24"/>
                <w:szCs w:val="24"/>
              </w:rPr>
              <w:t xml:space="preserve"> </w:t>
            </w:r>
            <w:r w:rsidRPr="00C54A03">
              <w:rPr>
                <w:color w:val="000000" w:themeColor="text1"/>
                <w:sz w:val="24"/>
                <w:szCs w:val="24"/>
              </w:rPr>
              <w:t>(U1)</w:t>
            </w:r>
          </w:p>
        </w:tc>
        <w:tc>
          <w:tcPr>
            <w:tcW w:w="7480" w:type="dxa"/>
          </w:tcPr>
          <w:p w14:paraId="7D74D84C" w14:textId="77777777" w:rsidR="007702CD" w:rsidRPr="00C54A03" w:rsidRDefault="007702CD" w:rsidP="008E33FD">
            <w:pPr>
              <w:pStyle w:val="TableParagraph"/>
              <w:spacing w:line="262" w:lineRule="exact"/>
              <w:ind w:left="107"/>
              <w:jc w:val="both"/>
              <w:rPr>
                <w:color w:val="000000" w:themeColor="text1"/>
                <w:sz w:val="24"/>
                <w:szCs w:val="24"/>
              </w:rPr>
            </w:pPr>
            <w:r w:rsidRPr="00C54A03">
              <w:rPr>
                <w:color w:val="000000" w:themeColor="text1"/>
                <w:sz w:val="24"/>
                <w:szCs w:val="24"/>
              </w:rPr>
              <w:t>Conform</w:t>
            </w:r>
            <w:r w:rsidRPr="00C54A03">
              <w:rPr>
                <w:color w:val="000000" w:themeColor="text1"/>
                <w:spacing w:val="71"/>
                <w:sz w:val="24"/>
                <w:szCs w:val="24"/>
              </w:rPr>
              <w:t xml:space="preserve"> </w:t>
            </w:r>
            <w:r w:rsidRPr="00C54A03">
              <w:rPr>
                <w:color w:val="000000" w:themeColor="text1"/>
                <w:sz w:val="24"/>
                <w:szCs w:val="24"/>
              </w:rPr>
              <w:t xml:space="preserve">matricei  </w:t>
            </w:r>
            <w:r w:rsidRPr="00C54A03">
              <w:rPr>
                <w:color w:val="000000" w:themeColor="text1"/>
                <w:spacing w:val="10"/>
                <w:sz w:val="24"/>
                <w:szCs w:val="24"/>
              </w:rPr>
              <w:t xml:space="preserve"> </w:t>
            </w:r>
            <w:r w:rsidRPr="00C54A03">
              <w:rPr>
                <w:color w:val="000000" w:themeColor="text1"/>
                <w:sz w:val="24"/>
                <w:szCs w:val="24"/>
              </w:rPr>
              <w:t xml:space="preserve">de  </w:t>
            </w:r>
            <w:r w:rsidRPr="00C54A03">
              <w:rPr>
                <w:color w:val="000000" w:themeColor="text1"/>
                <w:spacing w:val="11"/>
                <w:sz w:val="24"/>
                <w:szCs w:val="24"/>
              </w:rPr>
              <w:t xml:space="preserve"> </w:t>
            </w:r>
            <w:r w:rsidRPr="00C54A03">
              <w:rPr>
                <w:color w:val="000000" w:themeColor="text1"/>
                <w:sz w:val="24"/>
                <w:szCs w:val="24"/>
              </w:rPr>
              <w:t xml:space="preserve">evaluare  </w:t>
            </w:r>
            <w:r w:rsidRPr="00C54A03">
              <w:rPr>
                <w:color w:val="000000" w:themeColor="text1"/>
                <w:spacing w:val="8"/>
                <w:sz w:val="24"/>
                <w:szCs w:val="24"/>
              </w:rPr>
              <w:t xml:space="preserve"> </w:t>
            </w:r>
            <w:r w:rsidRPr="00C54A03">
              <w:rPr>
                <w:color w:val="000000" w:themeColor="text1"/>
                <w:sz w:val="24"/>
                <w:szCs w:val="24"/>
              </w:rPr>
              <w:t xml:space="preserve">(anexa  </w:t>
            </w:r>
            <w:r w:rsidRPr="00C54A03">
              <w:rPr>
                <w:color w:val="000000" w:themeColor="text1"/>
                <w:spacing w:val="8"/>
                <w:sz w:val="24"/>
                <w:szCs w:val="24"/>
              </w:rPr>
              <w:t xml:space="preserve"> </w:t>
            </w:r>
            <w:r w:rsidRPr="00C54A03">
              <w:rPr>
                <w:color w:val="000000" w:themeColor="text1"/>
                <w:sz w:val="24"/>
                <w:szCs w:val="24"/>
              </w:rPr>
              <w:t xml:space="preserve">E),  </w:t>
            </w:r>
            <w:r w:rsidRPr="00C54A03">
              <w:rPr>
                <w:color w:val="000000" w:themeColor="text1"/>
                <w:spacing w:val="9"/>
                <w:sz w:val="24"/>
                <w:szCs w:val="24"/>
              </w:rPr>
              <w:t xml:space="preserve"> </w:t>
            </w:r>
            <w:r w:rsidRPr="00C54A03">
              <w:rPr>
                <w:color w:val="000000" w:themeColor="text1"/>
                <w:sz w:val="24"/>
                <w:szCs w:val="24"/>
              </w:rPr>
              <w:t xml:space="preserve">starea  </w:t>
            </w:r>
            <w:r w:rsidRPr="00C54A03">
              <w:rPr>
                <w:color w:val="000000" w:themeColor="text1"/>
                <w:spacing w:val="8"/>
                <w:sz w:val="24"/>
                <w:szCs w:val="24"/>
              </w:rPr>
              <w:t xml:space="preserve"> </w:t>
            </w:r>
            <w:r w:rsidRPr="00C54A03">
              <w:rPr>
                <w:color w:val="000000" w:themeColor="text1"/>
                <w:sz w:val="24"/>
                <w:szCs w:val="24"/>
              </w:rPr>
              <w:t xml:space="preserve">și  </w:t>
            </w:r>
            <w:r w:rsidRPr="00C54A03">
              <w:rPr>
                <w:color w:val="000000" w:themeColor="text1"/>
                <w:spacing w:val="10"/>
                <w:sz w:val="24"/>
                <w:szCs w:val="24"/>
              </w:rPr>
              <w:t xml:space="preserve"> </w:t>
            </w:r>
            <w:r w:rsidRPr="00C54A03">
              <w:rPr>
                <w:color w:val="000000" w:themeColor="text1"/>
                <w:sz w:val="24"/>
                <w:szCs w:val="24"/>
              </w:rPr>
              <w:t xml:space="preserve">funcțiile  </w:t>
            </w:r>
            <w:r w:rsidRPr="00C54A03">
              <w:rPr>
                <w:color w:val="000000" w:themeColor="text1"/>
                <w:spacing w:val="8"/>
                <w:sz w:val="24"/>
                <w:szCs w:val="24"/>
              </w:rPr>
              <w:t xml:space="preserve"> </w:t>
            </w:r>
            <w:r w:rsidRPr="00C54A03">
              <w:rPr>
                <w:color w:val="000000" w:themeColor="text1"/>
                <w:sz w:val="24"/>
                <w:szCs w:val="24"/>
              </w:rPr>
              <w:t>sunt</w:t>
            </w:r>
          </w:p>
          <w:p w14:paraId="069AE435" w14:textId="77777777" w:rsidR="007702CD" w:rsidRPr="00C54A03" w:rsidRDefault="007702CD" w:rsidP="008E33FD">
            <w:pPr>
              <w:pStyle w:val="TableParagraph"/>
              <w:ind w:left="107"/>
              <w:jc w:val="both"/>
              <w:rPr>
                <w:color w:val="000000" w:themeColor="text1"/>
                <w:sz w:val="24"/>
                <w:szCs w:val="24"/>
              </w:rPr>
            </w:pPr>
            <w:r w:rsidRPr="00C54A03">
              <w:rPr>
                <w:color w:val="000000" w:themeColor="text1"/>
                <w:sz w:val="24"/>
                <w:szCs w:val="24"/>
              </w:rPr>
              <w:t>„nefavorabile-inadecvate”</w:t>
            </w:r>
            <w:r w:rsidRPr="00C54A03">
              <w:rPr>
                <w:color w:val="000000" w:themeColor="text1"/>
                <w:spacing w:val="-4"/>
                <w:sz w:val="24"/>
                <w:szCs w:val="24"/>
              </w:rPr>
              <w:t xml:space="preserve"> </w:t>
            </w:r>
            <w:r w:rsidRPr="00C54A03">
              <w:rPr>
                <w:color w:val="000000" w:themeColor="text1"/>
                <w:sz w:val="24"/>
                <w:szCs w:val="24"/>
              </w:rPr>
              <w:t>dacă:</w:t>
            </w:r>
          </w:p>
          <w:p w14:paraId="7F317DD2" w14:textId="77777777" w:rsidR="007702CD" w:rsidRPr="00C54A03" w:rsidRDefault="007702CD" w:rsidP="009E63E5">
            <w:pPr>
              <w:pStyle w:val="TableParagraph"/>
              <w:numPr>
                <w:ilvl w:val="0"/>
                <w:numId w:val="53"/>
              </w:numPr>
              <w:tabs>
                <w:tab w:val="left" w:pos="828"/>
                <w:tab w:val="left" w:pos="829"/>
              </w:tabs>
              <w:spacing w:line="286" w:lineRule="exact"/>
              <w:ind w:hanging="362"/>
              <w:jc w:val="both"/>
              <w:rPr>
                <w:color w:val="000000" w:themeColor="text1"/>
                <w:sz w:val="24"/>
                <w:szCs w:val="24"/>
              </w:rPr>
            </w:pPr>
            <w:r w:rsidRPr="00C54A03">
              <w:rPr>
                <w:color w:val="000000" w:themeColor="text1"/>
                <w:sz w:val="24"/>
                <w:szCs w:val="24"/>
              </w:rPr>
              <w:t>orice</w:t>
            </w:r>
            <w:r w:rsidRPr="00C54A03">
              <w:rPr>
                <w:color w:val="000000" w:themeColor="text1"/>
                <w:spacing w:val="53"/>
                <w:sz w:val="24"/>
                <w:szCs w:val="24"/>
              </w:rPr>
              <w:t xml:space="preserve"> </w:t>
            </w:r>
            <w:r w:rsidRPr="00C54A03">
              <w:rPr>
                <w:color w:val="000000" w:themeColor="text1"/>
                <w:sz w:val="24"/>
                <w:szCs w:val="24"/>
              </w:rPr>
              <w:t>altă</w:t>
            </w:r>
            <w:r w:rsidRPr="00C54A03">
              <w:rPr>
                <w:color w:val="000000" w:themeColor="text1"/>
                <w:spacing w:val="55"/>
                <w:sz w:val="24"/>
                <w:szCs w:val="24"/>
              </w:rPr>
              <w:t xml:space="preserve"> </w:t>
            </w:r>
            <w:r w:rsidRPr="00C54A03">
              <w:rPr>
                <w:color w:val="000000" w:themeColor="text1"/>
                <w:sz w:val="24"/>
                <w:szCs w:val="24"/>
              </w:rPr>
              <w:t>combinație</w:t>
            </w:r>
            <w:r w:rsidRPr="00C54A03">
              <w:rPr>
                <w:color w:val="000000" w:themeColor="text1"/>
                <w:spacing w:val="54"/>
                <w:sz w:val="24"/>
                <w:szCs w:val="24"/>
              </w:rPr>
              <w:t xml:space="preserve"> </w:t>
            </w:r>
            <w:r w:rsidRPr="00C54A03">
              <w:rPr>
                <w:color w:val="000000" w:themeColor="text1"/>
                <w:sz w:val="24"/>
                <w:szCs w:val="24"/>
              </w:rPr>
              <w:t>(o</w:t>
            </w:r>
            <w:r w:rsidRPr="00C54A03">
              <w:rPr>
                <w:color w:val="000000" w:themeColor="text1"/>
                <w:spacing w:val="57"/>
                <w:sz w:val="24"/>
                <w:szCs w:val="24"/>
              </w:rPr>
              <w:t xml:space="preserve"> </w:t>
            </w:r>
            <w:r w:rsidRPr="00C54A03">
              <w:rPr>
                <w:color w:val="000000" w:themeColor="text1"/>
                <w:sz w:val="24"/>
                <w:szCs w:val="24"/>
              </w:rPr>
              <w:t>altă</w:t>
            </w:r>
            <w:r w:rsidRPr="00C54A03">
              <w:rPr>
                <w:color w:val="000000" w:themeColor="text1"/>
                <w:spacing w:val="54"/>
                <w:sz w:val="24"/>
                <w:szCs w:val="24"/>
              </w:rPr>
              <w:t xml:space="preserve"> </w:t>
            </w:r>
            <w:r w:rsidRPr="00C54A03">
              <w:rPr>
                <w:color w:val="000000" w:themeColor="text1"/>
                <w:sz w:val="24"/>
                <w:szCs w:val="24"/>
              </w:rPr>
              <w:t>combinație</w:t>
            </w:r>
            <w:r w:rsidRPr="00C54A03">
              <w:rPr>
                <w:color w:val="000000" w:themeColor="text1"/>
                <w:spacing w:val="55"/>
                <w:sz w:val="24"/>
                <w:szCs w:val="24"/>
              </w:rPr>
              <w:t xml:space="preserve"> </w:t>
            </w:r>
            <w:r w:rsidRPr="00C54A03">
              <w:rPr>
                <w:color w:val="000000" w:themeColor="text1"/>
                <w:sz w:val="24"/>
                <w:szCs w:val="24"/>
              </w:rPr>
              <w:t>de</w:t>
            </w:r>
            <w:r w:rsidRPr="00C54A03">
              <w:rPr>
                <w:color w:val="000000" w:themeColor="text1"/>
                <w:spacing w:val="54"/>
                <w:sz w:val="24"/>
                <w:szCs w:val="24"/>
              </w:rPr>
              <w:t xml:space="preserve"> </w:t>
            </w:r>
            <w:r w:rsidRPr="00C54A03">
              <w:rPr>
                <w:color w:val="000000" w:themeColor="text1"/>
                <w:sz w:val="24"/>
                <w:szCs w:val="24"/>
              </w:rPr>
              <w:t>criterii</w:t>
            </w:r>
            <w:r w:rsidRPr="00C54A03">
              <w:rPr>
                <w:color w:val="000000" w:themeColor="text1"/>
                <w:spacing w:val="57"/>
                <w:sz w:val="24"/>
                <w:szCs w:val="24"/>
              </w:rPr>
              <w:t xml:space="preserve"> </w:t>
            </w:r>
            <w:r w:rsidRPr="00C54A03">
              <w:rPr>
                <w:color w:val="000000" w:themeColor="text1"/>
                <w:sz w:val="24"/>
                <w:szCs w:val="24"/>
              </w:rPr>
              <w:t>decât</w:t>
            </w:r>
            <w:r w:rsidRPr="00C54A03">
              <w:rPr>
                <w:color w:val="000000" w:themeColor="text1"/>
                <w:spacing w:val="56"/>
                <w:sz w:val="24"/>
                <w:szCs w:val="24"/>
              </w:rPr>
              <w:t xml:space="preserve"> </w:t>
            </w:r>
            <w:r w:rsidRPr="00C54A03">
              <w:rPr>
                <w:color w:val="000000" w:themeColor="text1"/>
                <w:sz w:val="24"/>
                <w:szCs w:val="24"/>
              </w:rPr>
              <w:t>pentru</w:t>
            </w:r>
          </w:p>
          <w:p w14:paraId="28B4E6D0" w14:textId="77777777" w:rsidR="007702CD" w:rsidRPr="00C54A03" w:rsidRDefault="007702CD" w:rsidP="008E33FD">
            <w:pPr>
              <w:pStyle w:val="TableParagraph"/>
              <w:spacing w:line="269" w:lineRule="exact"/>
              <w:ind w:left="828"/>
              <w:jc w:val="both"/>
              <w:rPr>
                <w:color w:val="000000" w:themeColor="text1"/>
                <w:sz w:val="24"/>
                <w:szCs w:val="24"/>
              </w:rPr>
            </w:pPr>
            <w:r w:rsidRPr="00C54A03">
              <w:rPr>
                <w:color w:val="000000" w:themeColor="text1"/>
                <w:sz w:val="24"/>
                <w:szCs w:val="24"/>
              </w:rPr>
              <w:t>„favorabil”</w:t>
            </w:r>
            <w:r w:rsidRPr="00C54A03">
              <w:rPr>
                <w:color w:val="000000" w:themeColor="text1"/>
                <w:spacing w:val="-3"/>
                <w:sz w:val="24"/>
                <w:szCs w:val="24"/>
              </w:rPr>
              <w:t xml:space="preserve"> </w:t>
            </w:r>
            <w:r w:rsidRPr="00C54A03">
              <w:rPr>
                <w:color w:val="000000" w:themeColor="text1"/>
                <w:sz w:val="24"/>
                <w:szCs w:val="24"/>
              </w:rPr>
              <w:t>sau</w:t>
            </w:r>
            <w:r w:rsidRPr="00C54A03">
              <w:rPr>
                <w:color w:val="000000" w:themeColor="text1"/>
                <w:spacing w:val="-2"/>
                <w:sz w:val="24"/>
                <w:szCs w:val="24"/>
              </w:rPr>
              <w:t xml:space="preserve"> </w:t>
            </w:r>
            <w:r w:rsidRPr="00C54A03">
              <w:rPr>
                <w:color w:val="000000" w:themeColor="text1"/>
                <w:sz w:val="24"/>
                <w:szCs w:val="24"/>
              </w:rPr>
              <w:t>„nefavorabil-rău”).</w:t>
            </w:r>
          </w:p>
          <w:p w14:paraId="3F07876A" w14:textId="77777777" w:rsidR="007702CD" w:rsidRPr="00C54A03" w:rsidRDefault="007702CD" w:rsidP="008E33FD">
            <w:pPr>
              <w:pStyle w:val="TableParagraph"/>
              <w:spacing w:before="1"/>
              <w:ind w:left="107"/>
              <w:jc w:val="both"/>
              <w:rPr>
                <w:color w:val="000000" w:themeColor="text1"/>
                <w:sz w:val="24"/>
                <w:szCs w:val="24"/>
              </w:rPr>
            </w:pPr>
            <w:r w:rsidRPr="00C54A03">
              <w:rPr>
                <w:color w:val="000000" w:themeColor="text1"/>
                <w:sz w:val="24"/>
                <w:szCs w:val="24"/>
              </w:rPr>
              <w:t>Informațiisuplimentare:</w:t>
            </w:r>
          </w:p>
          <w:p w14:paraId="1EE2BCC9" w14:textId="77777777" w:rsidR="007702CD" w:rsidRPr="00C54A03" w:rsidRDefault="007702CD" w:rsidP="009E63E5">
            <w:pPr>
              <w:pStyle w:val="TableParagraph"/>
              <w:numPr>
                <w:ilvl w:val="0"/>
                <w:numId w:val="53"/>
              </w:numPr>
              <w:tabs>
                <w:tab w:val="left" w:pos="829"/>
              </w:tabs>
              <w:spacing w:line="287" w:lineRule="exact"/>
              <w:ind w:hanging="362"/>
              <w:jc w:val="both"/>
              <w:rPr>
                <w:color w:val="000000" w:themeColor="text1"/>
                <w:sz w:val="24"/>
                <w:szCs w:val="24"/>
              </w:rPr>
            </w:pPr>
            <w:r w:rsidRPr="00C54A03">
              <w:rPr>
                <w:color w:val="000000" w:themeColor="text1"/>
                <w:sz w:val="24"/>
                <w:szCs w:val="24"/>
              </w:rPr>
              <w:t>Matricea</w:t>
            </w:r>
            <w:r w:rsidRPr="00C54A03">
              <w:rPr>
                <w:color w:val="000000" w:themeColor="text1"/>
                <w:spacing w:val="53"/>
                <w:sz w:val="24"/>
                <w:szCs w:val="24"/>
              </w:rPr>
              <w:t xml:space="preserve"> </w:t>
            </w:r>
            <w:r w:rsidRPr="00C54A03">
              <w:rPr>
                <w:color w:val="000000" w:themeColor="text1"/>
                <w:sz w:val="24"/>
                <w:szCs w:val="24"/>
              </w:rPr>
              <w:t>de</w:t>
            </w:r>
            <w:r w:rsidRPr="00C54A03">
              <w:rPr>
                <w:color w:val="000000" w:themeColor="text1"/>
                <w:spacing w:val="54"/>
                <w:sz w:val="24"/>
                <w:szCs w:val="24"/>
              </w:rPr>
              <w:t xml:space="preserve"> </w:t>
            </w:r>
            <w:r w:rsidRPr="00C54A03">
              <w:rPr>
                <w:color w:val="000000" w:themeColor="text1"/>
                <w:sz w:val="24"/>
                <w:szCs w:val="24"/>
              </w:rPr>
              <w:t>evaluare</w:t>
            </w:r>
            <w:r w:rsidRPr="00C54A03">
              <w:rPr>
                <w:color w:val="000000" w:themeColor="text1"/>
                <w:spacing w:val="52"/>
                <w:sz w:val="24"/>
                <w:szCs w:val="24"/>
              </w:rPr>
              <w:t xml:space="preserve"> </w:t>
            </w:r>
            <w:r w:rsidRPr="00C54A03">
              <w:rPr>
                <w:color w:val="000000" w:themeColor="text1"/>
                <w:sz w:val="24"/>
                <w:szCs w:val="24"/>
              </w:rPr>
              <w:t>nu</w:t>
            </w:r>
            <w:r w:rsidRPr="00C54A03">
              <w:rPr>
                <w:color w:val="000000" w:themeColor="text1"/>
                <w:spacing w:val="54"/>
                <w:sz w:val="24"/>
                <w:szCs w:val="24"/>
              </w:rPr>
              <w:t xml:space="preserve"> </w:t>
            </w:r>
            <w:r w:rsidRPr="00C54A03">
              <w:rPr>
                <w:color w:val="000000" w:themeColor="text1"/>
                <w:sz w:val="24"/>
                <w:szCs w:val="24"/>
              </w:rPr>
              <w:t>include</w:t>
            </w:r>
            <w:r w:rsidRPr="00C54A03">
              <w:rPr>
                <w:color w:val="000000" w:themeColor="text1"/>
                <w:spacing w:val="53"/>
                <w:sz w:val="24"/>
                <w:szCs w:val="24"/>
              </w:rPr>
              <w:t xml:space="preserve"> </w:t>
            </w:r>
            <w:r w:rsidRPr="00C54A03">
              <w:rPr>
                <w:color w:val="000000" w:themeColor="text1"/>
                <w:sz w:val="24"/>
                <w:szCs w:val="24"/>
              </w:rPr>
              <w:t>criterii</w:t>
            </w:r>
            <w:r w:rsidRPr="00C54A03">
              <w:rPr>
                <w:color w:val="000000" w:themeColor="text1"/>
                <w:spacing w:val="55"/>
                <w:sz w:val="24"/>
                <w:szCs w:val="24"/>
              </w:rPr>
              <w:t xml:space="preserve"> </w:t>
            </w:r>
            <w:r w:rsidRPr="00C54A03">
              <w:rPr>
                <w:color w:val="000000" w:themeColor="text1"/>
                <w:sz w:val="24"/>
                <w:szCs w:val="24"/>
              </w:rPr>
              <w:t>explicite</w:t>
            </w:r>
            <w:r w:rsidRPr="00C54A03">
              <w:rPr>
                <w:color w:val="000000" w:themeColor="text1"/>
                <w:spacing w:val="53"/>
                <w:sz w:val="24"/>
                <w:szCs w:val="24"/>
              </w:rPr>
              <w:t xml:space="preserve"> </w:t>
            </w:r>
            <w:r w:rsidRPr="00C54A03">
              <w:rPr>
                <w:color w:val="000000" w:themeColor="text1"/>
                <w:sz w:val="24"/>
                <w:szCs w:val="24"/>
              </w:rPr>
              <w:t>pentru</w:t>
            </w:r>
            <w:r w:rsidRPr="00C54A03">
              <w:rPr>
                <w:color w:val="000000" w:themeColor="text1"/>
                <w:spacing w:val="54"/>
                <w:sz w:val="24"/>
                <w:szCs w:val="24"/>
              </w:rPr>
              <w:t xml:space="preserve"> </w:t>
            </w:r>
            <w:r w:rsidRPr="00C54A03">
              <w:rPr>
                <w:color w:val="000000" w:themeColor="text1"/>
                <w:sz w:val="24"/>
                <w:szCs w:val="24"/>
              </w:rPr>
              <w:t>statutul</w:t>
            </w:r>
          </w:p>
          <w:p w14:paraId="7B71253C" w14:textId="77777777" w:rsidR="007702CD" w:rsidRPr="00C54A03" w:rsidRDefault="007702CD" w:rsidP="008E33FD">
            <w:pPr>
              <w:pStyle w:val="TableParagraph"/>
              <w:ind w:left="828" w:right="95"/>
              <w:jc w:val="both"/>
              <w:rPr>
                <w:color w:val="000000" w:themeColor="text1"/>
                <w:sz w:val="24"/>
                <w:szCs w:val="24"/>
              </w:rPr>
            </w:pPr>
            <w:r w:rsidRPr="00C54A03">
              <w:rPr>
                <w:color w:val="000000" w:themeColor="text1"/>
                <w:sz w:val="24"/>
                <w:szCs w:val="24"/>
              </w:rPr>
              <w:t>„nefavorabil-inadecvat” al structurii și funcțiilor. Cu toate acestea,</w:t>
            </w:r>
            <w:r w:rsidRPr="00C54A03">
              <w:rPr>
                <w:color w:val="000000" w:themeColor="text1"/>
                <w:spacing w:val="1"/>
                <w:sz w:val="24"/>
                <w:szCs w:val="24"/>
              </w:rPr>
              <w:t xml:space="preserve"> </w:t>
            </w:r>
            <w:r w:rsidRPr="00C54A03">
              <w:rPr>
                <w:color w:val="000000" w:themeColor="text1"/>
                <w:sz w:val="24"/>
                <w:szCs w:val="24"/>
              </w:rPr>
              <w:t>luând în considerare criteriile pentru „favorabile” și „nefavorabile-</w:t>
            </w:r>
            <w:r w:rsidRPr="00C54A03">
              <w:rPr>
                <w:color w:val="000000" w:themeColor="text1"/>
                <w:spacing w:val="1"/>
                <w:sz w:val="24"/>
                <w:szCs w:val="24"/>
              </w:rPr>
              <w:t xml:space="preserve"> </w:t>
            </w:r>
            <w:r w:rsidRPr="00C54A03">
              <w:rPr>
                <w:color w:val="000000" w:themeColor="text1"/>
                <w:sz w:val="24"/>
                <w:szCs w:val="24"/>
              </w:rPr>
              <w:t>rele” și criterii complementare pentru statutul „favorabil”, statutul</w:t>
            </w:r>
            <w:r w:rsidRPr="00C54A03">
              <w:rPr>
                <w:color w:val="000000" w:themeColor="text1"/>
                <w:spacing w:val="1"/>
                <w:sz w:val="24"/>
                <w:szCs w:val="24"/>
              </w:rPr>
              <w:t xml:space="preserve"> </w:t>
            </w:r>
            <w:r w:rsidRPr="00C54A03">
              <w:rPr>
                <w:color w:val="000000" w:themeColor="text1"/>
                <w:sz w:val="24"/>
                <w:szCs w:val="24"/>
              </w:rPr>
              <w:t>de</w:t>
            </w:r>
            <w:r w:rsidRPr="00C54A03">
              <w:rPr>
                <w:color w:val="000000" w:themeColor="text1"/>
                <w:spacing w:val="57"/>
                <w:sz w:val="24"/>
                <w:szCs w:val="24"/>
              </w:rPr>
              <w:t xml:space="preserve"> </w:t>
            </w:r>
            <w:r w:rsidRPr="00C54A03">
              <w:rPr>
                <w:color w:val="000000" w:themeColor="text1"/>
                <w:sz w:val="24"/>
                <w:szCs w:val="24"/>
              </w:rPr>
              <w:t>Structura</w:t>
            </w:r>
            <w:r w:rsidRPr="00C54A03">
              <w:rPr>
                <w:color w:val="000000" w:themeColor="text1"/>
                <w:spacing w:val="57"/>
                <w:sz w:val="24"/>
                <w:szCs w:val="24"/>
              </w:rPr>
              <w:t xml:space="preserve"> </w:t>
            </w:r>
            <w:r w:rsidRPr="00C54A03">
              <w:rPr>
                <w:color w:val="000000" w:themeColor="text1"/>
                <w:sz w:val="24"/>
                <w:szCs w:val="24"/>
              </w:rPr>
              <w:t>și</w:t>
            </w:r>
            <w:r w:rsidRPr="00C54A03">
              <w:rPr>
                <w:color w:val="000000" w:themeColor="text1"/>
                <w:spacing w:val="59"/>
                <w:sz w:val="24"/>
                <w:szCs w:val="24"/>
              </w:rPr>
              <w:t xml:space="preserve"> </w:t>
            </w:r>
            <w:r w:rsidRPr="00C54A03">
              <w:rPr>
                <w:color w:val="000000" w:themeColor="text1"/>
                <w:sz w:val="24"/>
                <w:szCs w:val="24"/>
              </w:rPr>
              <w:t>funcțiile</w:t>
            </w:r>
            <w:r w:rsidRPr="00C54A03">
              <w:rPr>
                <w:color w:val="000000" w:themeColor="text1"/>
                <w:spacing w:val="58"/>
                <w:sz w:val="24"/>
                <w:szCs w:val="24"/>
              </w:rPr>
              <w:t xml:space="preserve"> </w:t>
            </w:r>
            <w:r w:rsidRPr="00C54A03">
              <w:rPr>
                <w:color w:val="000000" w:themeColor="text1"/>
                <w:sz w:val="24"/>
                <w:szCs w:val="24"/>
              </w:rPr>
              <w:t>ar</w:t>
            </w:r>
            <w:r w:rsidRPr="00C54A03">
              <w:rPr>
                <w:color w:val="000000" w:themeColor="text1"/>
                <w:spacing w:val="58"/>
                <w:sz w:val="24"/>
                <w:szCs w:val="24"/>
              </w:rPr>
              <w:t xml:space="preserve"> </w:t>
            </w:r>
            <w:r w:rsidRPr="00C54A03">
              <w:rPr>
                <w:color w:val="000000" w:themeColor="text1"/>
                <w:sz w:val="24"/>
                <w:szCs w:val="24"/>
              </w:rPr>
              <w:t>trebui</w:t>
            </w:r>
            <w:r w:rsidRPr="00C54A03">
              <w:rPr>
                <w:color w:val="000000" w:themeColor="text1"/>
                <w:spacing w:val="59"/>
                <w:sz w:val="24"/>
                <w:szCs w:val="24"/>
              </w:rPr>
              <w:t xml:space="preserve"> </w:t>
            </w:r>
            <w:r w:rsidRPr="00C54A03">
              <w:rPr>
                <w:color w:val="000000" w:themeColor="text1"/>
                <w:sz w:val="24"/>
                <w:szCs w:val="24"/>
              </w:rPr>
              <w:t>considerate</w:t>
            </w:r>
            <w:r w:rsidRPr="00C54A03">
              <w:rPr>
                <w:color w:val="000000" w:themeColor="text1"/>
                <w:spacing w:val="57"/>
                <w:sz w:val="24"/>
                <w:szCs w:val="24"/>
              </w:rPr>
              <w:t xml:space="preserve"> </w:t>
            </w:r>
            <w:r w:rsidRPr="00C54A03">
              <w:rPr>
                <w:color w:val="000000" w:themeColor="text1"/>
                <w:sz w:val="24"/>
                <w:szCs w:val="24"/>
              </w:rPr>
              <w:t>„nefavorabile-</w:t>
            </w:r>
            <w:r w:rsidRPr="00C54A03">
              <w:rPr>
                <w:color w:val="000000" w:themeColor="text1"/>
                <w:spacing w:val="-58"/>
                <w:sz w:val="24"/>
                <w:szCs w:val="24"/>
              </w:rPr>
              <w:t xml:space="preserve"> </w:t>
            </w:r>
            <w:r w:rsidRPr="00C54A03">
              <w:rPr>
                <w:color w:val="000000" w:themeColor="text1"/>
                <w:sz w:val="24"/>
                <w:szCs w:val="24"/>
              </w:rPr>
              <w:t>inadecvate”</w:t>
            </w:r>
            <w:r w:rsidRPr="00C54A03">
              <w:rPr>
                <w:color w:val="000000" w:themeColor="text1"/>
                <w:spacing w:val="-2"/>
                <w:sz w:val="24"/>
                <w:szCs w:val="24"/>
              </w:rPr>
              <w:t xml:space="preserve"> </w:t>
            </w:r>
            <w:r w:rsidRPr="00C54A03">
              <w:rPr>
                <w:color w:val="000000" w:themeColor="text1"/>
                <w:sz w:val="24"/>
                <w:szCs w:val="24"/>
              </w:rPr>
              <w:t>dacă:</w:t>
            </w:r>
          </w:p>
          <w:p w14:paraId="3EAE742B" w14:textId="77777777" w:rsidR="007702CD" w:rsidRPr="00C54A03" w:rsidRDefault="007702CD" w:rsidP="009E63E5">
            <w:pPr>
              <w:pStyle w:val="TableParagraph"/>
              <w:numPr>
                <w:ilvl w:val="0"/>
                <w:numId w:val="53"/>
              </w:numPr>
              <w:tabs>
                <w:tab w:val="left" w:pos="828"/>
                <w:tab w:val="left" w:pos="829"/>
              </w:tabs>
              <w:spacing w:before="3" w:line="230" w:lineRule="auto"/>
              <w:ind w:right="98"/>
              <w:jc w:val="both"/>
              <w:rPr>
                <w:color w:val="000000" w:themeColor="text1"/>
                <w:sz w:val="24"/>
                <w:szCs w:val="24"/>
              </w:rPr>
            </w:pPr>
            <w:r w:rsidRPr="00C54A03">
              <w:rPr>
                <w:color w:val="000000" w:themeColor="text1"/>
                <w:sz w:val="24"/>
                <w:szCs w:val="24"/>
              </w:rPr>
              <w:t>suprafața</w:t>
            </w:r>
            <w:r w:rsidRPr="00C54A03">
              <w:rPr>
                <w:color w:val="000000" w:themeColor="text1"/>
                <w:spacing w:val="2"/>
                <w:sz w:val="24"/>
                <w:szCs w:val="24"/>
              </w:rPr>
              <w:t xml:space="preserve"> </w:t>
            </w:r>
            <w:r w:rsidRPr="00C54A03">
              <w:rPr>
                <w:color w:val="000000" w:themeColor="text1"/>
                <w:sz w:val="24"/>
                <w:szCs w:val="24"/>
              </w:rPr>
              <w:t>habitatului</w:t>
            </w:r>
            <w:r w:rsidRPr="00C54A03">
              <w:rPr>
                <w:color w:val="000000" w:themeColor="text1"/>
                <w:spacing w:val="2"/>
                <w:sz w:val="24"/>
                <w:szCs w:val="24"/>
              </w:rPr>
              <w:t xml:space="preserve"> </w:t>
            </w:r>
            <w:r w:rsidRPr="00C54A03">
              <w:rPr>
                <w:color w:val="000000" w:themeColor="text1"/>
                <w:sz w:val="24"/>
                <w:szCs w:val="24"/>
              </w:rPr>
              <w:t>cu</w:t>
            </w:r>
            <w:r w:rsidRPr="00C54A03">
              <w:rPr>
                <w:color w:val="000000" w:themeColor="text1"/>
                <w:spacing w:val="3"/>
                <w:sz w:val="24"/>
                <w:szCs w:val="24"/>
              </w:rPr>
              <w:t xml:space="preserve"> </w:t>
            </w:r>
            <w:r w:rsidRPr="00C54A03">
              <w:rPr>
                <w:color w:val="000000" w:themeColor="text1"/>
                <w:sz w:val="24"/>
                <w:szCs w:val="24"/>
              </w:rPr>
              <w:t>condiții</w:t>
            </w:r>
            <w:r w:rsidRPr="00C54A03">
              <w:rPr>
                <w:color w:val="000000" w:themeColor="text1"/>
                <w:spacing w:val="58"/>
                <w:sz w:val="24"/>
                <w:szCs w:val="24"/>
              </w:rPr>
              <w:t xml:space="preserve"> </w:t>
            </w:r>
            <w:r w:rsidRPr="00C54A03">
              <w:rPr>
                <w:color w:val="000000" w:themeColor="text1"/>
                <w:sz w:val="24"/>
                <w:szCs w:val="24"/>
              </w:rPr>
              <w:t>„nefavorabile”</w:t>
            </w:r>
            <w:r w:rsidRPr="00C54A03">
              <w:rPr>
                <w:color w:val="000000" w:themeColor="text1"/>
                <w:spacing w:val="2"/>
                <w:sz w:val="24"/>
                <w:szCs w:val="24"/>
              </w:rPr>
              <w:t xml:space="preserve"> </w:t>
            </w:r>
            <w:r w:rsidRPr="00C54A03">
              <w:rPr>
                <w:color w:val="000000" w:themeColor="text1"/>
                <w:sz w:val="24"/>
                <w:szCs w:val="24"/>
              </w:rPr>
              <w:t>(„nu</w:t>
            </w:r>
            <w:r w:rsidRPr="00C54A03">
              <w:rPr>
                <w:color w:val="000000" w:themeColor="text1"/>
                <w:spacing w:val="1"/>
                <w:sz w:val="24"/>
                <w:szCs w:val="24"/>
              </w:rPr>
              <w:t xml:space="preserve"> </w:t>
            </w:r>
            <w:r w:rsidRPr="00C54A03">
              <w:rPr>
                <w:color w:val="000000" w:themeColor="text1"/>
                <w:sz w:val="24"/>
                <w:szCs w:val="24"/>
              </w:rPr>
              <w:t>este</w:t>
            </w:r>
            <w:r w:rsidRPr="00C54A03">
              <w:rPr>
                <w:color w:val="000000" w:themeColor="text1"/>
                <w:spacing w:val="1"/>
                <w:sz w:val="24"/>
                <w:szCs w:val="24"/>
              </w:rPr>
              <w:t xml:space="preserve"> </w:t>
            </w:r>
            <w:r w:rsidRPr="00C54A03">
              <w:rPr>
                <w:color w:val="000000" w:themeColor="text1"/>
                <w:sz w:val="24"/>
                <w:szCs w:val="24"/>
              </w:rPr>
              <w:t>bine”)</w:t>
            </w:r>
            <w:r w:rsidRPr="00C54A03">
              <w:rPr>
                <w:color w:val="000000" w:themeColor="text1"/>
                <w:spacing w:val="-57"/>
                <w:sz w:val="24"/>
                <w:szCs w:val="24"/>
              </w:rPr>
              <w:t xml:space="preserve"> </w:t>
            </w:r>
            <w:r w:rsidRPr="00C54A03">
              <w:rPr>
                <w:color w:val="000000" w:themeColor="text1"/>
                <w:sz w:val="24"/>
                <w:szCs w:val="24"/>
              </w:rPr>
              <w:t>(câmpul</w:t>
            </w:r>
            <w:r w:rsidRPr="00C54A03">
              <w:rPr>
                <w:color w:val="000000" w:themeColor="text1"/>
                <w:spacing w:val="-1"/>
                <w:sz w:val="24"/>
                <w:szCs w:val="24"/>
              </w:rPr>
              <w:t xml:space="preserve"> </w:t>
            </w:r>
            <w:r w:rsidRPr="00C54A03">
              <w:rPr>
                <w:color w:val="000000" w:themeColor="text1"/>
                <w:sz w:val="24"/>
                <w:szCs w:val="24"/>
              </w:rPr>
              <w:t>6.1)</w:t>
            </w:r>
            <w:r w:rsidRPr="00C54A03">
              <w:rPr>
                <w:color w:val="000000" w:themeColor="text1"/>
                <w:spacing w:val="-1"/>
                <w:sz w:val="24"/>
                <w:szCs w:val="24"/>
              </w:rPr>
              <w:t xml:space="preserve"> </w:t>
            </w:r>
            <w:r w:rsidRPr="00C54A03">
              <w:rPr>
                <w:color w:val="000000" w:themeColor="text1"/>
                <w:sz w:val="24"/>
                <w:szCs w:val="24"/>
              </w:rPr>
              <w:t>este</w:t>
            </w:r>
            <w:r w:rsidRPr="00C54A03">
              <w:rPr>
                <w:color w:val="000000" w:themeColor="text1"/>
                <w:spacing w:val="-1"/>
                <w:sz w:val="24"/>
                <w:szCs w:val="24"/>
              </w:rPr>
              <w:t xml:space="preserve"> </w:t>
            </w:r>
            <w:r w:rsidRPr="00C54A03">
              <w:rPr>
                <w:color w:val="000000" w:themeColor="text1"/>
                <w:sz w:val="24"/>
                <w:szCs w:val="24"/>
              </w:rPr>
              <w:t>mai mică</w:t>
            </w:r>
            <w:r w:rsidRPr="00C54A03">
              <w:rPr>
                <w:color w:val="000000" w:themeColor="text1"/>
                <w:spacing w:val="-2"/>
                <w:sz w:val="24"/>
                <w:szCs w:val="24"/>
              </w:rPr>
              <w:t xml:space="preserve"> </w:t>
            </w:r>
            <w:r w:rsidRPr="00C54A03">
              <w:rPr>
                <w:color w:val="000000" w:themeColor="text1"/>
                <w:sz w:val="24"/>
                <w:szCs w:val="24"/>
              </w:rPr>
              <w:t>de</w:t>
            </w:r>
            <w:r w:rsidRPr="00C54A03">
              <w:rPr>
                <w:color w:val="000000" w:themeColor="text1"/>
                <w:spacing w:val="-1"/>
                <w:sz w:val="24"/>
                <w:szCs w:val="24"/>
              </w:rPr>
              <w:t xml:space="preserve"> </w:t>
            </w:r>
            <w:r w:rsidRPr="00C54A03">
              <w:rPr>
                <w:color w:val="000000" w:themeColor="text1"/>
                <w:sz w:val="24"/>
                <w:szCs w:val="24"/>
              </w:rPr>
              <w:t>25%; și</w:t>
            </w:r>
          </w:p>
          <w:p w14:paraId="45AB7BC0" w14:textId="77777777" w:rsidR="007702CD" w:rsidRPr="00C54A03" w:rsidRDefault="007702CD" w:rsidP="009E63E5">
            <w:pPr>
              <w:pStyle w:val="TableParagraph"/>
              <w:numPr>
                <w:ilvl w:val="0"/>
                <w:numId w:val="53"/>
              </w:numPr>
              <w:tabs>
                <w:tab w:val="left" w:pos="828"/>
                <w:tab w:val="left" w:pos="829"/>
              </w:tabs>
              <w:spacing w:before="11" w:line="230" w:lineRule="auto"/>
              <w:ind w:right="97"/>
              <w:jc w:val="both"/>
              <w:rPr>
                <w:color w:val="000000" w:themeColor="text1"/>
                <w:sz w:val="24"/>
                <w:szCs w:val="24"/>
              </w:rPr>
            </w:pPr>
            <w:r w:rsidRPr="00C54A03">
              <w:rPr>
                <w:color w:val="000000" w:themeColor="text1"/>
                <w:sz w:val="24"/>
                <w:szCs w:val="24"/>
              </w:rPr>
              <w:t>suprafața</w:t>
            </w:r>
            <w:r w:rsidRPr="00C54A03">
              <w:rPr>
                <w:color w:val="000000" w:themeColor="text1"/>
                <w:spacing w:val="9"/>
                <w:sz w:val="24"/>
                <w:szCs w:val="24"/>
              </w:rPr>
              <w:t xml:space="preserve"> </w:t>
            </w:r>
            <w:r w:rsidRPr="00C54A03">
              <w:rPr>
                <w:color w:val="000000" w:themeColor="text1"/>
                <w:sz w:val="24"/>
                <w:szCs w:val="24"/>
              </w:rPr>
              <w:t>habitatului</w:t>
            </w:r>
            <w:r w:rsidRPr="00C54A03">
              <w:rPr>
                <w:color w:val="000000" w:themeColor="text1"/>
                <w:spacing w:val="8"/>
                <w:sz w:val="24"/>
                <w:szCs w:val="24"/>
              </w:rPr>
              <w:t xml:space="preserve"> </w:t>
            </w:r>
            <w:r w:rsidRPr="00C54A03">
              <w:rPr>
                <w:color w:val="000000" w:themeColor="text1"/>
                <w:sz w:val="24"/>
                <w:szCs w:val="24"/>
              </w:rPr>
              <w:t>cu</w:t>
            </w:r>
            <w:r w:rsidRPr="00C54A03">
              <w:rPr>
                <w:color w:val="000000" w:themeColor="text1"/>
                <w:spacing w:val="10"/>
                <w:sz w:val="24"/>
                <w:szCs w:val="24"/>
              </w:rPr>
              <w:t xml:space="preserve"> </w:t>
            </w:r>
            <w:r w:rsidRPr="00C54A03">
              <w:rPr>
                <w:color w:val="000000" w:themeColor="text1"/>
                <w:sz w:val="24"/>
                <w:szCs w:val="24"/>
              </w:rPr>
              <w:t>condiții</w:t>
            </w:r>
            <w:r w:rsidRPr="00C54A03">
              <w:rPr>
                <w:color w:val="000000" w:themeColor="text1"/>
                <w:spacing w:val="9"/>
                <w:sz w:val="24"/>
                <w:szCs w:val="24"/>
              </w:rPr>
              <w:t xml:space="preserve"> </w:t>
            </w:r>
            <w:r w:rsidRPr="00C54A03">
              <w:rPr>
                <w:color w:val="000000" w:themeColor="text1"/>
                <w:sz w:val="24"/>
                <w:szCs w:val="24"/>
              </w:rPr>
              <w:t>„bune”</w:t>
            </w:r>
            <w:r w:rsidRPr="00C54A03">
              <w:rPr>
                <w:color w:val="000000" w:themeColor="text1"/>
                <w:spacing w:val="7"/>
                <w:sz w:val="24"/>
                <w:szCs w:val="24"/>
              </w:rPr>
              <w:t xml:space="preserve"> </w:t>
            </w:r>
            <w:r w:rsidRPr="00C54A03">
              <w:rPr>
                <w:color w:val="000000" w:themeColor="text1"/>
                <w:sz w:val="24"/>
                <w:szCs w:val="24"/>
              </w:rPr>
              <w:t>(câmpul</w:t>
            </w:r>
            <w:r w:rsidRPr="00C54A03">
              <w:rPr>
                <w:color w:val="000000" w:themeColor="text1"/>
                <w:spacing w:val="7"/>
                <w:sz w:val="24"/>
                <w:szCs w:val="24"/>
              </w:rPr>
              <w:t xml:space="preserve"> </w:t>
            </w:r>
            <w:r w:rsidRPr="00C54A03">
              <w:rPr>
                <w:color w:val="000000" w:themeColor="text1"/>
                <w:sz w:val="24"/>
                <w:szCs w:val="24"/>
              </w:rPr>
              <w:t>6.1)</w:t>
            </w:r>
            <w:r w:rsidRPr="00C54A03">
              <w:rPr>
                <w:color w:val="000000" w:themeColor="text1"/>
                <w:spacing w:val="7"/>
                <w:sz w:val="24"/>
                <w:szCs w:val="24"/>
              </w:rPr>
              <w:t xml:space="preserve"> </w:t>
            </w:r>
            <w:r w:rsidRPr="00C54A03">
              <w:rPr>
                <w:color w:val="000000" w:themeColor="text1"/>
                <w:sz w:val="24"/>
                <w:szCs w:val="24"/>
              </w:rPr>
              <w:t>este</w:t>
            </w:r>
            <w:r w:rsidRPr="00C54A03">
              <w:rPr>
                <w:color w:val="000000" w:themeColor="text1"/>
                <w:spacing w:val="8"/>
                <w:sz w:val="24"/>
                <w:szCs w:val="24"/>
              </w:rPr>
              <w:t xml:space="preserve"> </w:t>
            </w:r>
            <w:r w:rsidRPr="00C54A03">
              <w:rPr>
                <w:color w:val="000000" w:themeColor="text1"/>
                <w:sz w:val="24"/>
                <w:szCs w:val="24"/>
              </w:rPr>
              <w:t>mai</w:t>
            </w:r>
            <w:r w:rsidRPr="00C54A03">
              <w:rPr>
                <w:color w:val="000000" w:themeColor="text1"/>
                <w:spacing w:val="10"/>
                <w:sz w:val="24"/>
                <w:szCs w:val="24"/>
              </w:rPr>
              <w:t xml:space="preserve"> </w:t>
            </w:r>
            <w:r w:rsidRPr="00C54A03">
              <w:rPr>
                <w:color w:val="000000" w:themeColor="text1"/>
                <w:sz w:val="24"/>
                <w:szCs w:val="24"/>
              </w:rPr>
              <w:t>mică</w:t>
            </w:r>
            <w:r w:rsidRPr="00C54A03">
              <w:rPr>
                <w:color w:val="000000" w:themeColor="text1"/>
                <w:spacing w:val="-57"/>
                <w:sz w:val="24"/>
                <w:szCs w:val="24"/>
              </w:rPr>
              <w:t xml:space="preserve"> </w:t>
            </w:r>
            <w:r w:rsidRPr="00C54A03">
              <w:rPr>
                <w:color w:val="000000" w:themeColor="text1"/>
                <w:sz w:val="24"/>
                <w:szCs w:val="24"/>
              </w:rPr>
              <w:t>de</w:t>
            </w:r>
            <w:r w:rsidRPr="00C54A03">
              <w:rPr>
                <w:color w:val="000000" w:themeColor="text1"/>
                <w:spacing w:val="-2"/>
                <w:sz w:val="24"/>
                <w:szCs w:val="24"/>
              </w:rPr>
              <w:t xml:space="preserve"> </w:t>
            </w:r>
            <w:r w:rsidRPr="00C54A03">
              <w:rPr>
                <w:color w:val="000000" w:themeColor="text1"/>
                <w:sz w:val="24"/>
                <w:szCs w:val="24"/>
              </w:rPr>
              <w:t>90%; și</w:t>
            </w:r>
          </w:p>
          <w:p w14:paraId="5EB73E54" w14:textId="77777777" w:rsidR="007702CD" w:rsidRPr="00C54A03" w:rsidRDefault="007702CD" w:rsidP="009E63E5">
            <w:pPr>
              <w:pStyle w:val="TableParagraph"/>
              <w:numPr>
                <w:ilvl w:val="0"/>
                <w:numId w:val="53"/>
              </w:numPr>
              <w:tabs>
                <w:tab w:val="left" w:pos="828"/>
                <w:tab w:val="left" w:pos="829"/>
              </w:tabs>
              <w:spacing w:before="2" w:line="276" w:lineRule="exact"/>
              <w:ind w:right="100"/>
              <w:jc w:val="both"/>
              <w:rPr>
                <w:color w:val="000000" w:themeColor="text1"/>
                <w:sz w:val="24"/>
                <w:szCs w:val="24"/>
              </w:rPr>
            </w:pPr>
            <w:r w:rsidRPr="00C54A03">
              <w:rPr>
                <w:color w:val="000000" w:themeColor="text1"/>
                <w:sz w:val="24"/>
                <w:szCs w:val="24"/>
              </w:rPr>
              <w:t>suprafața</w:t>
            </w:r>
            <w:r w:rsidRPr="00C54A03">
              <w:rPr>
                <w:color w:val="000000" w:themeColor="text1"/>
                <w:spacing w:val="37"/>
                <w:sz w:val="24"/>
                <w:szCs w:val="24"/>
              </w:rPr>
              <w:t xml:space="preserve"> </w:t>
            </w:r>
            <w:r w:rsidRPr="00C54A03">
              <w:rPr>
                <w:color w:val="000000" w:themeColor="text1"/>
                <w:sz w:val="24"/>
                <w:szCs w:val="24"/>
              </w:rPr>
              <w:t>habitatului</w:t>
            </w:r>
            <w:r w:rsidRPr="00C54A03">
              <w:rPr>
                <w:color w:val="000000" w:themeColor="text1"/>
                <w:spacing w:val="38"/>
                <w:sz w:val="24"/>
                <w:szCs w:val="24"/>
              </w:rPr>
              <w:t xml:space="preserve"> </w:t>
            </w:r>
            <w:r w:rsidRPr="00C54A03">
              <w:rPr>
                <w:color w:val="000000" w:themeColor="text1"/>
                <w:sz w:val="24"/>
                <w:szCs w:val="24"/>
              </w:rPr>
              <w:t>cu</w:t>
            </w:r>
            <w:r w:rsidRPr="00C54A03">
              <w:rPr>
                <w:color w:val="000000" w:themeColor="text1"/>
                <w:spacing w:val="38"/>
                <w:sz w:val="24"/>
                <w:szCs w:val="24"/>
              </w:rPr>
              <w:t xml:space="preserve"> </w:t>
            </w:r>
            <w:r w:rsidRPr="00C54A03">
              <w:rPr>
                <w:color w:val="000000" w:themeColor="text1"/>
                <w:sz w:val="24"/>
                <w:szCs w:val="24"/>
              </w:rPr>
              <w:t>condiție</w:t>
            </w:r>
            <w:r w:rsidRPr="00C54A03">
              <w:rPr>
                <w:color w:val="000000" w:themeColor="text1"/>
                <w:spacing w:val="37"/>
                <w:sz w:val="24"/>
                <w:szCs w:val="24"/>
              </w:rPr>
              <w:t xml:space="preserve"> </w:t>
            </w:r>
            <w:r w:rsidRPr="00C54A03">
              <w:rPr>
                <w:color w:val="000000" w:themeColor="text1"/>
                <w:sz w:val="24"/>
                <w:szCs w:val="24"/>
              </w:rPr>
              <w:t>„necunoscută”</w:t>
            </w:r>
            <w:r w:rsidRPr="00C54A03">
              <w:rPr>
                <w:color w:val="000000" w:themeColor="text1"/>
                <w:spacing w:val="36"/>
                <w:sz w:val="24"/>
                <w:szCs w:val="24"/>
              </w:rPr>
              <w:t xml:space="preserve"> </w:t>
            </w:r>
            <w:r w:rsidRPr="00C54A03">
              <w:rPr>
                <w:color w:val="000000" w:themeColor="text1"/>
                <w:sz w:val="24"/>
                <w:szCs w:val="24"/>
              </w:rPr>
              <w:t>(câmpul</w:t>
            </w:r>
            <w:r w:rsidRPr="00C54A03">
              <w:rPr>
                <w:color w:val="000000" w:themeColor="text1"/>
                <w:spacing w:val="39"/>
                <w:sz w:val="24"/>
                <w:szCs w:val="24"/>
              </w:rPr>
              <w:t xml:space="preserve"> </w:t>
            </w:r>
            <w:r w:rsidRPr="00C54A03">
              <w:rPr>
                <w:color w:val="000000" w:themeColor="text1"/>
                <w:sz w:val="24"/>
                <w:szCs w:val="24"/>
              </w:rPr>
              <w:t>6.1)</w:t>
            </w:r>
            <w:r w:rsidRPr="00C54A03">
              <w:rPr>
                <w:color w:val="000000" w:themeColor="text1"/>
                <w:spacing w:val="36"/>
                <w:sz w:val="24"/>
                <w:szCs w:val="24"/>
              </w:rPr>
              <w:t xml:space="preserve"> </w:t>
            </w:r>
            <w:r w:rsidRPr="00C54A03">
              <w:rPr>
                <w:color w:val="000000" w:themeColor="text1"/>
                <w:sz w:val="24"/>
                <w:szCs w:val="24"/>
              </w:rPr>
              <w:t>este</w:t>
            </w:r>
            <w:r w:rsidRPr="00C54A03">
              <w:rPr>
                <w:color w:val="000000" w:themeColor="text1"/>
                <w:spacing w:val="-57"/>
                <w:sz w:val="24"/>
                <w:szCs w:val="24"/>
              </w:rPr>
              <w:t xml:space="preserve"> </w:t>
            </w:r>
            <w:r w:rsidRPr="00C54A03">
              <w:rPr>
                <w:color w:val="000000" w:themeColor="text1"/>
                <w:sz w:val="24"/>
                <w:szCs w:val="24"/>
              </w:rPr>
              <w:t>mai</w:t>
            </w:r>
            <w:r w:rsidRPr="00C54A03">
              <w:rPr>
                <w:color w:val="000000" w:themeColor="text1"/>
                <w:spacing w:val="-1"/>
                <w:sz w:val="24"/>
                <w:szCs w:val="24"/>
              </w:rPr>
              <w:t xml:space="preserve"> </w:t>
            </w:r>
            <w:r w:rsidRPr="00C54A03">
              <w:rPr>
                <w:color w:val="000000" w:themeColor="text1"/>
                <w:sz w:val="24"/>
                <w:szCs w:val="24"/>
              </w:rPr>
              <w:t>mică</w:t>
            </w:r>
            <w:r w:rsidRPr="00C54A03">
              <w:rPr>
                <w:color w:val="000000" w:themeColor="text1"/>
                <w:spacing w:val="-1"/>
                <w:sz w:val="24"/>
                <w:szCs w:val="24"/>
              </w:rPr>
              <w:t xml:space="preserve"> </w:t>
            </w:r>
            <w:r w:rsidRPr="00C54A03">
              <w:rPr>
                <w:color w:val="000000" w:themeColor="text1"/>
                <w:sz w:val="24"/>
                <w:szCs w:val="24"/>
              </w:rPr>
              <w:t>de</w:t>
            </w:r>
            <w:r w:rsidRPr="00C54A03">
              <w:rPr>
                <w:color w:val="000000" w:themeColor="text1"/>
                <w:spacing w:val="-1"/>
                <w:sz w:val="24"/>
                <w:szCs w:val="24"/>
              </w:rPr>
              <w:t xml:space="preserve"> </w:t>
            </w:r>
            <w:r w:rsidRPr="00C54A03">
              <w:rPr>
                <w:color w:val="000000" w:themeColor="text1"/>
                <w:sz w:val="24"/>
                <w:szCs w:val="24"/>
              </w:rPr>
              <w:t>75%.</w:t>
            </w:r>
          </w:p>
        </w:tc>
      </w:tr>
      <w:tr w:rsidR="007702CD" w:rsidRPr="00C54A03" w14:paraId="66FD7842" w14:textId="77777777" w:rsidTr="00102A1A">
        <w:trPr>
          <w:trHeight w:val="1384"/>
        </w:trPr>
        <w:tc>
          <w:tcPr>
            <w:tcW w:w="1810" w:type="dxa"/>
          </w:tcPr>
          <w:p w14:paraId="24BFFA29" w14:textId="77777777" w:rsidR="007702CD" w:rsidRPr="00C54A03" w:rsidRDefault="007702CD" w:rsidP="008E33FD">
            <w:pPr>
              <w:pStyle w:val="TableParagraph"/>
              <w:spacing w:before="7"/>
              <w:jc w:val="both"/>
              <w:rPr>
                <w:color w:val="000000" w:themeColor="text1"/>
                <w:sz w:val="24"/>
                <w:szCs w:val="24"/>
              </w:rPr>
            </w:pPr>
          </w:p>
          <w:p w14:paraId="73ECC08C" w14:textId="77777777" w:rsidR="007702CD" w:rsidRPr="00C54A03" w:rsidRDefault="007702CD" w:rsidP="008E33FD">
            <w:pPr>
              <w:pStyle w:val="TableParagraph"/>
              <w:spacing w:before="1"/>
              <w:ind w:left="108" w:right="154"/>
              <w:jc w:val="both"/>
              <w:rPr>
                <w:color w:val="000000" w:themeColor="text1"/>
                <w:sz w:val="24"/>
                <w:szCs w:val="24"/>
              </w:rPr>
            </w:pPr>
            <w:r w:rsidRPr="00C54A03">
              <w:rPr>
                <w:color w:val="000000" w:themeColor="text1"/>
                <w:spacing w:val="-1"/>
                <w:sz w:val="24"/>
                <w:szCs w:val="24"/>
              </w:rPr>
              <w:t>Nefavorabil-rău</w:t>
            </w:r>
            <w:r w:rsidRPr="00C54A03">
              <w:rPr>
                <w:color w:val="000000" w:themeColor="text1"/>
                <w:spacing w:val="-57"/>
                <w:sz w:val="24"/>
                <w:szCs w:val="24"/>
              </w:rPr>
              <w:t xml:space="preserve"> </w:t>
            </w:r>
            <w:r w:rsidRPr="00C54A03">
              <w:rPr>
                <w:color w:val="000000" w:themeColor="text1"/>
                <w:sz w:val="24"/>
                <w:szCs w:val="24"/>
              </w:rPr>
              <w:t>(U2)</w:t>
            </w:r>
          </w:p>
        </w:tc>
        <w:tc>
          <w:tcPr>
            <w:tcW w:w="7480" w:type="dxa"/>
          </w:tcPr>
          <w:p w14:paraId="5CA3A9E7" w14:textId="77777777" w:rsidR="007702CD" w:rsidRPr="00C54A03" w:rsidRDefault="007702CD" w:rsidP="008E33FD">
            <w:pPr>
              <w:pStyle w:val="TableParagraph"/>
              <w:spacing w:line="260" w:lineRule="exact"/>
              <w:ind w:left="107"/>
              <w:jc w:val="both"/>
              <w:rPr>
                <w:color w:val="000000" w:themeColor="text1"/>
                <w:sz w:val="24"/>
                <w:szCs w:val="24"/>
              </w:rPr>
            </w:pPr>
            <w:r w:rsidRPr="00C54A03">
              <w:rPr>
                <w:color w:val="000000" w:themeColor="text1"/>
                <w:sz w:val="24"/>
                <w:szCs w:val="24"/>
              </w:rPr>
              <w:t>Conform</w:t>
            </w:r>
            <w:r w:rsidRPr="00C54A03">
              <w:rPr>
                <w:color w:val="000000" w:themeColor="text1"/>
                <w:spacing w:val="71"/>
                <w:sz w:val="24"/>
                <w:szCs w:val="24"/>
              </w:rPr>
              <w:t xml:space="preserve"> </w:t>
            </w:r>
            <w:r w:rsidRPr="00C54A03">
              <w:rPr>
                <w:color w:val="000000" w:themeColor="text1"/>
                <w:sz w:val="24"/>
                <w:szCs w:val="24"/>
              </w:rPr>
              <w:t xml:space="preserve">matricei  </w:t>
            </w:r>
            <w:r w:rsidRPr="00C54A03">
              <w:rPr>
                <w:color w:val="000000" w:themeColor="text1"/>
                <w:spacing w:val="10"/>
                <w:sz w:val="24"/>
                <w:szCs w:val="24"/>
              </w:rPr>
              <w:t xml:space="preserve"> </w:t>
            </w:r>
            <w:r w:rsidRPr="00C54A03">
              <w:rPr>
                <w:color w:val="000000" w:themeColor="text1"/>
                <w:sz w:val="24"/>
                <w:szCs w:val="24"/>
              </w:rPr>
              <w:t xml:space="preserve">de  </w:t>
            </w:r>
            <w:r w:rsidRPr="00C54A03">
              <w:rPr>
                <w:color w:val="000000" w:themeColor="text1"/>
                <w:spacing w:val="11"/>
                <w:sz w:val="24"/>
                <w:szCs w:val="24"/>
              </w:rPr>
              <w:t xml:space="preserve"> </w:t>
            </w:r>
            <w:r w:rsidRPr="00C54A03">
              <w:rPr>
                <w:color w:val="000000" w:themeColor="text1"/>
                <w:sz w:val="24"/>
                <w:szCs w:val="24"/>
              </w:rPr>
              <w:t xml:space="preserve">evaluare  </w:t>
            </w:r>
            <w:r w:rsidRPr="00C54A03">
              <w:rPr>
                <w:color w:val="000000" w:themeColor="text1"/>
                <w:spacing w:val="8"/>
                <w:sz w:val="24"/>
                <w:szCs w:val="24"/>
              </w:rPr>
              <w:t xml:space="preserve"> </w:t>
            </w:r>
            <w:r w:rsidRPr="00C54A03">
              <w:rPr>
                <w:color w:val="000000" w:themeColor="text1"/>
                <w:sz w:val="24"/>
                <w:szCs w:val="24"/>
              </w:rPr>
              <w:t xml:space="preserve">(anexa  </w:t>
            </w:r>
            <w:r w:rsidRPr="00C54A03">
              <w:rPr>
                <w:color w:val="000000" w:themeColor="text1"/>
                <w:spacing w:val="8"/>
                <w:sz w:val="24"/>
                <w:szCs w:val="24"/>
              </w:rPr>
              <w:t xml:space="preserve"> </w:t>
            </w:r>
            <w:r w:rsidRPr="00C54A03">
              <w:rPr>
                <w:color w:val="000000" w:themeColor="text1"/>
                <w:sz w:val="24"/>
                <w:szCs w:val="24"/>
              </w:rPr>
              <w:t xml:space="preserve">E),  </w:t>
            </w:r>
            <w:r w:rsidRPr="00C54A03">
              <w:rPr>
                <w:color w:val="000000" w:themeColor="text1"/>
                <w:spacing w:val="9"/>
                <w:sz w:val="24"/>
                <w:szCs w:val="24"/>
              </w:rPr>
              <w:t xml:space="preserve"> </w:t>
            </w:r>
            <w:r w:rsidRPr="00C54A03">
              <w:rPr>
                <w:color w:val="000000" w:themeColor="text1"/>
                <w:sz w:val="24"/>
                <w:szCs w:val="24"/>
              </w:rPr>
              <w:t xml:space="preserve">starea  </w:t>
            </w:r>
            <w:r w:rsidRPr="00C54A03">
              <w:rPr>
                <w:color w:val="000000" w:themeColor="text1"/>
                <w:spacing w:val="8"/>
                <w:sz w:val="24"/>
                <w:szCs w:val="24"/>
              </w:rPr>
              <w:t xml:space="preserve"> </w:t>
            </w:r>
            <w:r w:rsidRPr="00C54A03">
              <w:rPr>
                <w:color w:val="000000" w:themeColor="text1"/>
                <w:sz w:val="24"/>
                <w:szCs w:val="24"/>
              </w:rPr>
              <w:t xml:space="preserve">și  </w:t>
            </w:r>
            <w:r w:rsidRPr="00C54A03">
              <w:rPr>
                <w:color w:val="000000" w:themeColor="text1"/>
                <w:spacing w:val="10"/>
                <w:sz w:val="24"/>
                <w:szCs w:val="24"/>
              </w:rPr>
              <w:t xml:space="preserve"> </w:t>
            </w:r>
            <w:r w:rsidRPr="00C54A03">
              <w:rPr>
                <w:color w:val="000000" w:themeColor="text1"/>
                <w:sz w:val="24"/>
                <w:szCs w:val="24"/>
              </w:rPr>
              <w:t xml:space="preserve">funcțiile  </w:t>
            </w:r>
            <w:r w:rsidRPr="00C54A03">
              <w:rPr>
                <w:color w:val="000000" w:themeColor="text1"/>
                <w:spacing w:val="8"/>
                <w:sz w:val="24"/>
                <w:szCs w:val="24"/>
              </w:rPr>
              <w:t xml:space="preserve"> </w:t>
            </w:r>
            <w:r w:rsidRPr="00C54A03">
              <w:rPr>
                <w:color w:val="000000" w:themeColor="text1"/>
                <w:sz w:val="24"/>
                <w:szCs w:val="24"/>
              </w:rPr>
              <w:t>sunt</w:t>
            </w:r>
          </w:p>
          <w:p w14:paraId="0DB9E441" w14:textId="77777777" w:rsidR="007702CD" w:rsidRPr="00C54A03" w:rsidRDefault="007702CD" w:rsidP="008E33FD">
            <w:pPr>
              <w:pStyle w:val="TableParagraph"/>
              <w:ind w:left="107"/>
              <w:jc w:val="both"/>
              <w:rPr>
                <w:color w:val="000000" w:themeColor="text1"/>
                <w:sz w:val="24"/>
                <w:szCs w:val="24"/>
              </w:rPr>
            </w:pPr>
            <w:r w:rsidRPr="00C54A03">
              <w:rPr>
                <w:color w:val="000000" w:themeColor="text1"/>
                <w:sz w:val="24"/>
                <w:szCs w:val="24"/>
              </w:rPr>
              <w:t>„nefavorabile-rele”</w:t>
            </w:r>
            <w:r w:rsidRPr="00C54A03">
              <w:rPr>
                <w:color w:val="000000" w:themeColor="text1"/>
                <w:spacing w:val="-4"/>
                <w:sz w:val="24"/>
                <w:szCs w:val="24"/>
              </w:rPr>
              <w:t xml:space="preserve"> </w:t>
            </w:r>
            <w:r w:rsidRPr="00C54A03">
              <w:rPr>
                <w:color w:val="000000" w:themeColor="text1"/>
                <w:sz w:val="24"/>
                <w:szCs w:val="24"/>
              </w:rPr>
              <w:t>dacă:</w:t>
            </w:r>
          </w:p>
          <w:p w14:paraId="2F764338" w14:textId="77777777" w:rsidR="007702CD" w:rsidRPr="00C54A03" w:rsidRDefault="007702CD" w:rsidP="008E33FD">
            <w:pPr>
              <w:pStyle w:val="TableParagraph"/>
              <w:spacing w:line="276" w:lineRule="exact"/>
              <w:ind w:left="828" w:right="98" w:hanging="361"/>
              <w:jc w:val="both"/>
              <w:rPr>
                <w:color w:val="000000" w:themeColor="text1"/>
                <w:sz w:val="24"/>
                <w:szCs w:val="24"/>
              </w:rPr>
            </w:pPr>
            <w:r w:rsidRPr="00C54A03">
              <w:rPr>
                <w:color w:val="000000" w:themeColor="text1"/>
                <w:sz w:val="24"/>
                <w:szCs w:val="24"/>
              </w:rPr>
              <w:t>-</w:t>
            </w:r>
            <w:r w:rsidRPr="00C54A03">
              <w:rPr>
                <w:color w:val="000000" w:themeColor="text1"/>
                <w:spacing w:val="1"/>
                <w:sz w:val="24"/>
                <w:szCs w:val="24"/>
              </w:rPr>
              <w:t xml:space="preserve"> </w:t>
            </w:r>
            <w:r w:rsidRPr="00C54A03">
              <w:rPr>
                <w:color w:val="000000" w:themeColor="text1"/>
                <w:sz w:val="24"/>
                <w:szCs w:val="24"/>
              </w:rPr>
              <w:t>mai mult de 25% din suprafață este defavorabilă („nu este bine” în</w:t>
            </w:r>
            <w:r w:rsidRPr="00C54A03">
              <w:rPr>
                <w:color w:val="000000" w:themeColor="text1"/>
                <w:spacing w:val="1"/>
                <w:sz w:val="24"/>
                <w:szCs w:val="24"/>
              </w:rPr>
              <w:t xml:space="preserve"> </w:t>
            </w:r>
            <w:r w:rsidRPr="00C54A03">
              <w:rPr>
                <w:color w:val="000000" w:themeColor="text1"/>
                <w:sz w:val="24"/>
                <w:szCs w:val="24"/>
              </w:rPr>
              <w:t>câmpul 6.1) în ceea ce privește structura și funcțiile sale specifice</w:t>
            </w:r>
            <w:r w:rsidRPr="00C54A03">
              <w:rPr>
                <w:color w:val="000000" w:themeColor="text1"/>
                <w:spacing w:val="1"/>
                <w:sz w:val="24"/>
                <w:szCs w:val="24"/>
              </w:rPr>
              <w:t xml:space="preserve"> </w:t>
            </w:r>
            <w:r w:rsidRPr="00C54A03">
              <w:rPr>
                <w:color w:val="000000" w:themeColor="text1"/>
                <w:sz w:val="24"/>
                <w:szCs w:val="24"/>
              </w:rPr>
              <w:t>(inclusiv</w:t>
            </w:r>
            <w:r w:rsidRPr="00C54A03">
              <w:rPr>
                <w:color w:val="000000" w:themeColor="text1"/>
                <w:spacing w:val="-1"/>
                <w:sz w:val="24"/>
                <w:szCs w:val="24"/>
              </w:rPr>
              <w:t xml:space="preserve"> </w:t>
            </w:r>
            <w:r w:rsidRPr="00C54A03">
              <w:rPr>
                <w:color w:val="000000" w:themeColor="text1"/>
                <w:sz w:val="24"/>
                <w:szCs w:val="24"/>
              </w:rPr>
              <w:t>speciile tipice).</w:t>
            </w:r>
          </w:p>
        </w:tc>
      </w:tr>
      <w:tr w:rsidR="007702CD" w:rsidRPr="00C54A03" w14:paraId="3A5EC531" w14:textId="77777777" w:rsidTr="00102A1A">
        <w:trPr>
          <w:trHeight w:val="1941"/>
        </w:trPr>
        <w:tc>
          <w:tcPr>
            <w:tcW w:w="1810" w:type="dxa"/>
          </w:tcPr>
          <w:p w14:paraId="24FB6FAB" w14:textId="77777777" w:rsidR="007702CD" w:rsidRPr="00C54A03" w:rsidRDefault="007702CD" w:rsidP="008E33FD">
            <w:pPr>
              <w:pStyle w:val="TableParagraph"/>
              <w:jc w:val="both"/>
              <w:rPr>
                <w:color w:val="000000" w:themeColor="text1"/>
                <w:sz w:val="24"/>
                <w:szCs w:val="24"/>
              </w:rPr>
            </w:pPr>
          </w:p>
          <w:p w14:paraId="5CF7B7FB" w14:textId="77777777" w:rsidR="007702CD" w:rsidRPr="00C54A03" w:rsidRDefault="007702CD" w:rsidP="008E33FD">
            <w:pPr>
              <w:pStyle w:val="TableParagraph"/>
              <w:spacing w:before="10"/>
              <w:jc w:val="both"/>
              <w:rPr>
                <w:color w:val="000000" w:themeColor="text1"/>
                <w:sz w:val="24"/>
                <w:szCs w:val="24"/>
              </w:rPr>
            </w:pPr>
          </w:p>
          <w:p w14:paraId="2659EF41" w14:textId="77777777" w:rsidR="007702CD" w:rsidRPr="00C54A03" w:rsidRDefault="007702CD" w:rsidP="008E33FD">
            <w:pPr>
              <w:pStyle w:val="TableParagraph"/>
              <w:ind w:left="108" w:right="549"/>
              <w:jc w:val="both"/>
              <w:rPr>
                <w:color w:val="000000" w:themeColor="text1"/>
                <w:sz w:val="24"/>
                <w:szCs w:val="24"/>
              </w:rPr>
            </w:pPr>
            <w:r w:rsidRPr="00C54A03">
              <w:rPr>
                <w:color w:val="000000" w:themeColor="text1"/>
                <w:spacing w:val="-1"/>
                <w:sz w:val="24"/>
                <w:szCs w:val="24"/>
              </w:rPr>
              <w:t>Necunoscut</w:t>
            </w:r>
            <w:r w:rsidRPr="00C54A03">
              <w:rPr>
                <w:color w:val="000000" w:themeColor="text1"/>
                <w:spacing w:val="-57"/>
                <w:sz w:val="24"/>
                <w:szCs w:val="24"/>
              </w:rPr>
              <w:t xml:space="preserve"> </w:t>
            </w:r>
            <w:r w:rsidRPr="00C54A03">
              <w:rPr>
                <w:color w:val="000000" w:themeColor="text1"/>
                <w:sz w:val="24"/>
                <w:szCs w:val="24"/>
              </w:rPr>
              <w:t>(XX)</w:t>
            </w:r>
          </w:p>
        </w:tc>
        <w:tc>
          <w:tcPr>
            <w:tcW w:w="7480" w:type="dxa"/>
          </w:tcPr>
          <w:p w14:paraId="633C46A2" w14:textId="77777777" w:rsidR="007702CD" w:rsidRPr="00C54A03" w:rsidRDefault="007702CD" w:rsidP="008E33FD">
            <w:pPr>
              <w:pStyle w:val="TableParagraph"/>
              <w:spacing w:line="260" w:lineRule="exact"/>
              <w:ind w:left="107"/>
              <w:jc w:val="both"/>
              <w:rPr>
                <w:color w:val="000000" w:themeColor="text1"/>
                <w:sz w:val="24"/>
                <w:szCs w:val="24"/>
              </w:rPr>
            </w:pPr>
            <w:r w:rsidRPr="00C54A03">
              <w:rPr>
                <w:color w:val="000000" w:themeColor="text1"/>
                <w:sz w:val="24"/>
                <w:szCs w:val="24"/>
              </w:rPr>
              <w:t>Conform</w:t>
            </w:r>
            <w:r w:rsidRPr="00C54A03">
              <w:rPr>
                <w:color w:val="000000" w:themeColor="text1"/>
                <w:spacing w:val="71"/>
                <w:sz w:val="24"/>
                <w:szCs w:val="24"/>
              </w:rPr>
              <w:t xml:space="preserve"> </w:t>
            </w:r>
            <w:r w:rsidRPr="00C54A03">
              <w:rPr>
                <w:color w:val="000000" w:themeColor="text1"/>
                <w:sz w:val="24"/>
                <w:szCs w:val="24"/>
              </w:rPr>
              <w:t xml:space="preserve">matricei  </w:t>
            </w:r>
            <w:r w:rsidRPr="00C54A03">
              <w:rPr>
                <w:color w:val="000000" w:themeColor="text1"/>
                <w:spacing w:val="10"/>
                <w:sz w:val="24"/>
                <w:szCs w:val="24"/>
              </w:rPr>
              <w:t xml:space="preserve"> </w:t>
            </w:r>
            <w:r w:rsidRPr="00C54A03">
              <w:rPr>
                <w:color w:val="000000" w:themeColor="text1"/>
                <w:sz w:val="24"/>
                <w:szCs w:val="24"/>
              </w:rPr>
              <w:t xml:space="preserve">de  </w:t>
            </w:r>
            <w:r w:rsidRPr="00C54A03">
              <w:rPr>
                <w:color w:val="000000" w:themeColor="text1"/>
                <w:spacing w:val="11"/>
                <w:sz w:val="24"/>
                <w:szCs w:val="24"/>
              </w:rPr>
              <w:t xml:space="preserve"> </w:t>
            </w:r>
            <w:r w:rsidRPr="00C54A03">
              <w:rPr>
                <w:color w:val="000000" w:themeColor="text1"/>
                <w:sz w:val="24"/>
                <w:szCs w:val="24"/>
              </w:rPr>
              <w:t xml:space="preserve">evaluare  </w:t>
            </w:r>
            <w:r w:rsidRPr="00C54A03">
              <w:rPr>
                <w:color w:val="000000" w:themeColor="text1"/>
                <w:spacing w:val="8"/>
                <w:sz w:val="24"/>
                <w:szCs w:val="24"/>
              </w:rPr>
              <w:t xml:space="preserve"> </w:t>
            </w:r>
            <w:r w:rsidRPr="00C54A03">
              <w:rPr>
                <w:color w:val="000000" w:themeColor="text1"/>
                <w:sz w:val="24"/>
                <w:szCs w:val="24"/>
              </w:rPr>
              <w:t xml:space="preserve">(anexa  </w:t>
            </w:r>
            <w:r w:rsidRPr="00C54A03">
              <w:rPr>
                <w:color w:val="000000" w:themeColor="text1"/>
                <w:spacing w:val="8"/>
                <w:sz w:val="24"/>
                <w:szCs w:val="24"/>
              </w:rPr>
              <w:t xml:space="preserve"> </w:t>
            </w:r>
            <w:r w:rsidRPr="00C54A03">
              <w:rPr>
                <w:color w:val="000000" w:themeColor="text1"/>
                <w:sz w:val="24"/>
                <w:szCs w:val="24"/>
              </w:rPr>
              <w:t xml:space="preserve">E),  </w:t>
            </w:r>
            <w:r w:rsidRPr="00C54A03">
              <w:rPr>
                <w:color w:val="000000" w:themeColor="text1"/>
                <w:spacing w:val="9"/>
                <w:sz w:val="24"/>
                <w:szCs w:val="24"/>
              </w:rPr>
              <w:t xml:space="preserve"> </w:t>
            </w:r>
            <w:r w:rsidRPr="00C54A03">
              <w:rPr>
                <w:color w:val="000000" w:themeColor="text1"/>
                <w:sz w:val="24"/>
                <w:szCs w:val="24"/>
              </w:rPr>
              <w:t xml:space="preserve">starea  </w:t>
            </w:r>
            <w:r w:rsidRPr="00C54A03">
              <w:rPr>
                <w:color w:val="000000" w:themeColor="text1"/>
                <w:spacing w:val="8"/>
                <w:sz w:val="24"/>
                <w:szCs w:val="24"/>
              </w:rPr>
              <w:t xml:space="preserve"> </w:t>
            </w:r>
            <w:r w:rsidRPr="00C54A03">
              <w:rPr>
                <w:color w:val="000000" w:themeColor="text1"/>
                <w:sz w:val="24"/>
                <w:szCs w:val="24"/>
              </w:rPr>
              <w:t xml:space="preserve">și  </w:t>
            </w:r>
            <w:r w:rsidRPr="00C54A03">
              <w:rPr>
                <w:color w:val="000000" w:themeColor="text1"/>
                <w:spacing w:val="10"/>
                <w:sz w:val="24"/>
                <w:szCs w:val="24"/>
              </w:rPr>
              <w:t xml:space="preserve"> </w:t>
            </w:r>
            <w:r w:rsidRPr="00C54A03">
              <w:rPr>
                <w:color w:val="000000" w:themeColor="text1"/>
                <w:sz w:val="24"/>
                <w:szCs w:val="24"/>
              </w:rPr>
              <w:t xml:space="preserve">funcțiile  </w:t>
            </w:r>
            <w:r w:rsidRPr="00C54A03">
              <w:rPr>
                <w:color w:val="000000" w:themeColor="text1"/>
                <w:spacing w:val="8"/>
                <w:sz w:val="24"/>
                <w:szCs w:val="24"/>
              </w:rPr>
              <w:t xml:space="preserve"> </w:t>
            </w:r>
            <w:r w:rsidRPr="00C54A03">
              <w:rPr>
                <w:color w:val="000000" w:themeColor="text1"/>
                <w:sz w:val="24"/>
                <w:szCs w:val="24"/>
              </w:rPr>
              <w:t>sunt</w:t>
            </w:r>
          </w:p>
          <w:p w14:paraId="1A6EB3A2" w14:textId="77777777" w:rsidR="007702CD" w:rsidRPr="00C54A03" w:rsidRDefault="007702CD" w:rsidP="008E33FD">
            <w:pPr>
              <w:pStyle w:val="TableParagraph"/>
              <w:ind w:left="107"/>
              <w:jc w:val="both"/>
              <w:rPr>
                <w:color w:val="000000" w:themeColor="text1"/>
                <w:sz w:val="24"/>
                <w:szCs w:val="24"/>
              </w:rPr>
            </w:pPr>
            <w:r w:rsidRPr="00C54A03">
              <w:rPr>
                <w:color w:val="000000" w:themeColor="text1"/>
                <w:sz w:val="24"/>
                <w:szCs w:val="24"/>
              </w:rPr>
              <w:t>„necunoscute”</w:t>
            </w:r>
            <w:r w:rsidRPr="00C54A03">
              <w:rPr>
                <w:color w:val="000000" w:themeColor="text1"/>
                <w:spacing w:val="-4"/>
                <w:sz w:val="24"/>
                <w:szCs w:val="24"/>
              </w:rPr>
              <w:t xml:space="preserve"> </w:t>
            </w:r>
            <w:r w:rsidRPr="00C54A03">
              <w:rPr>
                <w:color w:val="000000" w:themeColor="text1"/>
                <w:sz w:val="24"/>
                <w:szCs w:val="24"/>
              </w:rPr>
              <w:t>dacă:</w:t>
            </w:r>
          </w:p>
          <w:p w14:paraId="23EE0E38" w14:textId="77777777" w:rsidR="007702CD" w:rsidRPr="00C54A03" w:rsidRDefault="007702CD" w:rsidP="008E33FD">
            <w:pPr>
              <w:pStyle w:val="TableParagraph"/>
              <w:tabs>
                <w:tab w:val="left" w:pos="828"/>
              </w:tabs>
              <w:spacing w:before="9" w:line="230" w:lineRule="auto"/>
              <w:ind w:left="107" w:right="1341" w:firstLine="360"/>
              <w:jc w:val="both"/>
              <w:rPr>
                <w:color w:val="000000" w:themeColor="text1"/>
                <w:sz w:val="24"/>
                <w:szCs w:val="24"/>
              </w:rPr>
            </w:pPr>
            <w:r w:rsidRPr="00C54A03">
              <w:rPr>
                <w:color w:val="000000" w:themeColor="text1"/>
                <w:sz w:val="24"/>
                <w:szCs w:val="24"/>
              </w:rPr>
              <w:t>-</w:t>
            </w:r>
            <w:r w:rsidRPr="00C54A03">
              <w:rPr>
                <w:color w:val="000000" w:themeColor="text1"/>
                <w:sz w:val="24"/>
                <w:szCs w:val="24"/>
              </w:rPr>
              <w:tab/>
              <w:t>nu există informații fiabile sau insuficiente disponibile.</w:t>
            </w:r>
            <w:r w:rsidRPr="00C54A03">
              <w:rPr>
                <w:color w:val="000000" w:themeColor="text1"/>
                <w:spacing w:val="-58"/>
                <w:sz w:val="24"/>
                <w:szCs w:val="24"/>
              </w:rPr>
              <w:t xml:space="preserve"> </w:t>
            </w:r>
            <w:r w:rsidRPr="00C54A03">
              <w:rPr>
                <w:color w:val="000000" w:themeColor="text1"/>
                <w:sz w:val="24"/>
                <w:szCs w:val="24"/>
              </w:rPr>
              <w:t>Informațiisuplimentare:</w:t>
            </w:r>
          </w:p>
          <w:p w14:paraId="7EA42EF1" w14:textId="77777777" w:rsidR="007702CD" w:rsidRPr="00C54A03" w:rsidRDefault="007702CD" w:rsidP="008E33FD">
            <w:pPr>
              <w:pStyle w:val="TableParagraph"/>
              <w:tabs>
                <w:tab w:val="left" w:pos="828"/>
              </w:tabs>
              <w:spacing w:before="11" w:line="230" w:lineRule="auto"/>
              <w:ind w:left="912" w:right="101" w:hanging="360"/>
              <w:jc w:val="both"/>
              <w:rPr>
                <w:color w:val="000000" w:themeColor="text1"/>
                <w:sz w:val="24"/>
                <w:szCs w:val="24"/>
              </w:rPr>
            </w:pPr>
            <w:r w:rsidRPr="00C54A03">
              <w:rPr>
                <w:color w:val="000000" w:themeColor="text1"/>
                <w:sz w:val="24"/>
                <w:szCs w:val="24"/>
              </w:rPr>
              <w:t>-</w:t>
            </w:r>
            <w:r w:rsidRPr="00C54A03">
              <w:rPr>
                <w:color w:val="000000" w:themeColor="text1"/>
                <w:sz w:val="24"/>
                <w:szCs w:val="24"/>
              </w:rPr>
              <w:tab/>
              <w:t>Statutul</w:t>
            </w:r>
            <w:r w:rsidRPr="00C54A03">
              <w:rPr>
                <w:color w:val="000000" w:themeColor="text1"/>
                <w:spacing w:val="1"/>
                <w:sz w:val="24"/>
                <w:szCs w:val="24"/>
              </w:rPr>
              <w:t xml:space="preserve"> </w:t>
            </w:r>
            <w:r w:rsidRPr="00C54A03">
              <w:rPr>
                <w:color w:val="000000" w:themeColor="text1"/>
                <w:sz w:val="24"/>
                <w:szCs w:val="24"/>
              </w:rPr>
              <w:t>structurii</w:t>
            </w:r>
            <w:r w:rsidRPr="00C54A03">
              <w:rPr>
                <w:color w:val="000000" w:themeColor="text1"/>
                <w:spacing w:val="1"/>
                <w:sz w:val="24"/>
                <w:szCs w:val="24"/>
              </w:rPr>
              <w:t xml:space="preserve"> </w:t>
            </w:r>
            <w:r w:rsidRPr="00C54A03">
              <w:rPr>
                <w:color w:val="000000" w:themeColor="text1"/>
                <w:sz w:val="24"/>
                <w:szCs w:val="24"/>
              </w:rPr>
              <w:t>și</w:t>
            </w:r>
            <w:r w:rsidRPr="00C54A03">
              <w:rPr>
                <w:color w:val="000000" w:themeColor="text1"/>
                <w:spacing w:val="1"/>
                <w:sz w:val="24"/>
                <w:szCs w:val="24"/>
              </w:rPr>
              <w:t xml:space="preserve"> </w:t>
            </w:r>
            <w:r w:rsidRPr="00C54A03">
              <w:rPr>
                <w:color w:val="000000" w:themeColor="text1"/>
                <w:sz w:val="24"/>
                <w:szCs w:val="24"/>
              </w:rPr>
              <w:t>funcțiilor</w:t>
            </w:r>
            <w:r w:rsidRPr="00C54A03">
              <w:rPr>
                <w:color w:val="000000" w:themeColor="text1"/>
                <w:spacing w:val="1"/>
                <w:sz w:val="24"/>
                <w:szCs w:val="24"/>
              </w:rPr>
              <w:t xml:space="preserve"> </w:t>
            </w:r>
            <w:r w:rsidRPr="00C54A03">
              <w:rPr>
                <w:color w:val="000000" w:themeColor="text1"/>
                <w:sz w:val="24"/>
                <w:szCs w:val="24"/>
              </w:rPr>
              <w:t>ar</w:t>
            </w:r>
            <w:r w:rsidRPr="00C54A03">
              <w:rPr>
                <w:color w:val="000000" w:themeColor="text1"/>
                <w:spacing w:val="1"/>
                <w:sz w:val="24"/>
                <w:szCs w:val="24"/>
              </w:rPr>
              <w:t xml:space="preserve"> </w:t>
            </w:r>
            <w:r w:rsidRPr="00C54A03">
              <w:rPr>
                <w:color w:val="000000" w:themeColor="text1"/>
                <w:sz w:val="24"/>
                <w:szCs w:val="24"/>
              </w:rPr>
              <w:t>trebui</w:t>
            </w:r>
            <w:r w:rsidRPr="00C54A03">
              <w:rPr>
                <w:color w:val="000000" w:themeColor="text1"/>
                <w:spacing w:val="1"/>
                <w:sz w:val="24"/>
                <w:szCs w:val="24"/>
              </w:rPr>
              <w:t xml:space="preserve"> </w:t>
            </w:r>
            <w:r w:rsidRPr="00C54A03">
              <w:rPr>
                <w:color w:val="000000" w:themeColor="text1"/>
                <w:sz w:val="24"/>
                <w:szCs w:val="24"/>
              </w:rPr>
              <w:t>considerat</w:t>
            </w:r>
            <w:r w:rsidRPr="00C54A03">
              <w:rPr>
                <w:color w:val="000000" w:themeColor="text1"/>
                <w:spacing w:val="1"/>
                <w:sz w:val="24"/>
                <w:szCs w:val="24"/>
              </w:rPr>
              <w:t xml:space="preserve"> </w:t>
            </w:r>
            <w:r w:rsidRPr="00C54A03">
              <w:rPr>
                <w:color w:val="000000" w:themeColor="text1"/>
                <w:sz w:val="24"/>
                <w:szCs w:val="24"/>
              </w:rPr>
              <w:t>„necunoscut”</w:t>
            </w:r>
            <w:r w:rsidRPr="00C54A03">
              <w:rPr>
                <w:color w:val="000000" w:themeColor="text1"/>
                <w:spacing w:val="-57"/>
                <w:sz w:val="24"/>
                <w:szCs w:val="24"/>
              </w:rPr>
              <w:t xml:space="preserve"> </w:t>
            </w:r>
            <w:r w:rsidRPr="00C54A03">
              <w:rPr>
                <w:color w:val="000000" w:themeColor="text1"/>
                <w:sz w:val="24"/>
                <w:szCs w:val="24"/>
              </w:rPr>
              <w:t>dacă</w:t>
            </w:r>
            <w:r w:rsidRPr="00C54A03">
              <w:rPr>
                <w:color w:val="000000" w:themeColor="text1"/>
                <w:spacing w:val="24"/>
                <w:sz w:val="24"/>
                <w:szCs w:val="24"/>
              </w:rPr>
              <w:t xml:space="preserve"> </w:t>
            </w:r>
            <w:r w:rsidRPr="00C54A03">
              <w:rPr>
                <w:color w:val="000000" w:themeColor="text1"/>
                <w:sz w:val="24"/>
                <w:szCs w:val="24"/>
              </w:rPr>
              <w:t>mai</w:t>
            </w:r>
            <w:r w:rsidRPr="00C54A03">
              <w:rPr>
                <w:color w:val="000000" w:themeColor="text1"/>
                <w:spacing w:val="25"/>
                <w:sz w:val="24"/>
                <w:szCs w:val="24"/>
              </w:rPr>
              <w:t xml:space="preserve"> </w:t>
            </w:r>
            <w:r w:rsidRPr="00C54A03">
              <w:rPr>
                <w:color w:val="000000" w:themeColor="text1"/>
                <w:sz w:val="24"/>
                <w:szCs w:val="24"/>
              </w:rPr>
              <w:t>mult</w:t>
            </w:r>
            <w:r w:rsidRPr="00C54A03">
              <w:rPr>
                <w:color w:val="000000" w:themeColor="text1"/>
                <w:spacing w:val="25"/>
                <w:sz w:val="24"/>
                <w:szCs w:val="24"/>
              </w:rPr>
              <w:t xml:space="preserve"> </w:t>
            </w:r>
            <w:r w:rsidRPr="00C54A03">
              <w:rPr>
                <w:color w:val="000000" w:themeColor="text1"/>
                <w:sz w:val="24"/>
                <w:szCs w:val="24"/>
              </w:rPr>
              <w:t>de</w:t>
            </w:r>
            <w:r w:rsidRPr="00C54A03">
              <w:rPr>
                <w:color w:val="000000" w:themeColor="text1"/>
                <w:spacing w:val="24"/>
                <w:sz w:val="24"/>
                <w:szCs w:val="24"/>
              </w:rPr>
              <w:t xml:space="preserve"> </w:t>
            </w:r>
            <w:r w:rsidRPr="00C54A03">
              <w:rPr>
                <w:color w:val="000000" w:themeColor="text1"/>
                <w:sz w:val="24"/>
                <w:szCs w:val="24"/>
              </w:rPr>
              <w:t>75%</w:t>
            </w:r>
            <w:r w:rsidRPr="00C54A03">
              <w:rPr>
                <w:color w:val="000000" w:themeColor="text1"/>
                <w:spacing w:val="24"/>
                <w:sz w:val="24"/>
                <w:szCs w:val="24"/>
              </w:rPr>
              <w:t xml:space="preserve"> </w:t>
            </w:r>
            <w:r w:rsidRPr="00C54A03">
              <w:rPr>
                <w:color w:val="000000" w:themeColor="text1"/>
                <w:sz w:val="24"/>
                <w:szCs w:val="24"/>
              </w:rPr>
              <w:t>din</w:t>
            </w:r>
            <w:r w:rsidRPr="00C54A03">
              <w:rPr>
                <w:color w:val="000000" w:themeColor="text1"/>
                <w:spacing w:val="25"/>
                <w:sz w:val="24"/>
                <w:szCs w:val="24"/>
              </w:rPr>
              <w:t xml:space="preserve"> </w:t>
            </w:r>
            <w:r w:rsidRPr="00C54A03">
              <w:rPr>
                <w:color w:val="000000" w:themeColor="text1"/>
                <w:sz w:val="24"/>
                <w:szCs w:val="24"/>
              </w:rPr>
              <w:t>suprafața</w:t>
            </w:r>
            <w:r w:rsidRPr="00C54A03">
              <w:rPr>
                <w:color w:val="000000" w:themeColor="text1"/>
                <w:spacing w:val="24"/>
                <w:sz w:val="24"/>
                <w:szCs w:val="24"/>
              </w:rPr>
              <w:t xml:space="preserve"> </w:t>
            </w:r>
            <w:r w:rsidRPr="00C54A03">
              <w:rPr>
                <w:color w:val="000000" w:themeColor="text1"/>
                <w:sz w:val="24"/>
                <w:szCs w:val="24"/>
              </w:rPr>
              <w:t>habitatului</w:t>
            </w:r>
            <w:r w:rsidRPr="00C54A03">
              <w:rPr>
                <w:color w:val="000000" w:themeColor="text1"/>
                <w:spacing w:val="25"/>
                <w:sz w:val="24"/>
                <w:szCs w:val="24"/>
              </w:rPr>
              <w:t xml:space="preserve"> </w:t>
            </w:r>
            <w:r w:rsidRPr="00C54A03">
              <w:rPr>
                <w:color w:val="000000" w:themeColor="text1"/>
                <w:sz w:val="24"/>
                <w:szCs w:val="24"/>
              </w:rPr>
              <w:t>are</w:t>
            </w:r>
            <w:r w:rsidRPr="00C54A03">
              <w:rPr>
                <w:color w:val="000000" w:themeColor="text1"/>
                <w:spacing w:val="23"/>
                <w:sz w:val="24"/>
                <w:szCs w:val="24"/>
              </w:rPr>
              <w:t xml:space="preserve"> </w:t>
            </w:r>
            <w:r w:rsidRPr="00C54A03">
              <w:rPr>
                <w:color w:val="000000" w:themeColor="text1"/>
                <w:sz w:val="24"/>
                <w:szCs w:val="24"/>
              </w:rPr>
              <w:t>condiții</w:t>
            </w:r>
          </w:p>
          <w:p w14:paraId="7BA9C105" w14:textId="77777777" w:rsidR="007702CD" w:rsidRPr="00C54A03" w:rsidRDefault="007702CD" w:rsidP="008E33FD">
            <w:pPr>
              <w:pStyle w:val="TableParagraph"/>
              <w:spacing w:before="1" w:line="272" w:lineRule="exact"/>
              <w:ind w:left="912"/>
              <w:jc w:val="both"/>
              <w:rPr>
                <w:color w:val="000000" w:themeColor="text1"/>
                <w:sz w:val="24"/>
                <w:szCs w:val="24"/>
              </w:rPr>
            </w:pPr>
            <w:r w:rsidRPr="00C54A03">
              <w:rPr>
                <w:color w:val="000000" w:themeColor="text1"/>
                <w:sz w:val="24"/>
                <w:szCs w:val="24"/>
              </w:rPr>
              <w:t>„necunoscute”</w:t>
            </w:r>
            <w:r w:rsidRPr="00C54A03">
              <w:rPr>
                <w:color w:val="000000" w:themeColor="text1"/>
                <w:spacing w:val="-3"/>
                <w:sz w:val="24"/>
                <w:szCs w:val="24"/>
              </w:rPr>
              <w:t xml:space="preserve"> </w:t>
            </w:r>
            <w:r w:rsidRPr="00C54A03">
              <w:rPr>
                <w:color w:val="000000" w:themeColor="text1"/>
                <w:sz w:val="24"/>
                <w:szCs w:val="24"/>
              </w:rPr>
              <w:t>(câmpul 6.1).</w:t>
            </w:r>
          </w:p>
        </w:tc>
      </w:tr>
    </w:tbl>
    <w:p w14:paraId="60BFC3B0" w14:textId="77777777" w:rsidR="007702CD" w:rsidRPr="00C54A03" w:rsidRDefault="007702CD" w:rsidP="008E33FD">
      <w:pPr>
        <w:spacing w:line="272" w:lineRule="exact"/>
        <w:jc w:val="both"/>
        <w:rPr>
          <w:color w:val="000000" w:themeColor="text1"/>
        </w:rPr>
        <w:sectPr w:rsidR="007702CD" w:rsidRPr="00C54A03" w:rsidSect="00D97209">
          <w:pgSz w:w="11910" w:h="16840"/>
          <w:pgMar w:top="1066" w:right="878" w:bottom="1685" w:left="835" w:header="0" w:footer="1411" w:gutter="0"/>
          <w:cols w:space="708"/>
        </w:sectPr>
      </w:pPr>
    </w:p>
    <w:p w14:paraId="37C31D71" w14:textId="77777777" w:rsidR="007702CD" w:rsidRPr="00C54A03" w:rsidRDefault="007702CD" w:rsidP="008E33FD">
      <w:pPr>
        <w:pStyle w:val="Heading2"/>
        <w:widowControl w:val="0"/>
        <w:tabs>
          <w:tab w:val="left" w:pos="1186"/>
        </w:tabs>
        <w:autoSpaceDE w:val="0"/>
        <w:autoSpaceDN w:val="0"/>
        <w:spacing w:before="168" w:beforeAutospacing="0" w:after="0" w:afterAutospacing="0"/>
        <w:jc w:val="both"/>
        <w:rPr>
          <w:color w:val="000000" w:themeColor="text1"/>
          <w:sz w:val="24"/>
          <w:szCs w:val="24"/>
        </w:rPr>
      </w:pPr>
      <w:proofErr w:type="spellStart"/>
      <w:r w:rsidRPr="00C54A03">
        <w:rPr>
          <w:color w:val="000000" w:themeColor="text1"/>
          <w:sz w:val="24"/>
          <w:szCs w:val="24"/>
        </w:rPr>
        <w:lastRenderedPageBreak/>
        <w:t>Principalele</w:t>
      </w:r>
      <w:proofErr w:type="spellEnd"/>
      <w:r w:rsidRPr="00C54A03">
        <w:rPr>
          <w:color w:val="000000" w:themeColor="text1"/>
          <w:spacing w:val="-4"/>
          <w:sz w:val="24"/>
          <w:szCs w:val="24"/>
        </w:rPr>
        <w:t xml:space="preserve"> </w:t>
      </w:r>
      <w:proofErr w:type="spellStart"/>
      <w:r w:rsidRPr="00C54A03">
        <w:rPr>
          <w:color w:val="000000" w:themeColor="text1"/>
          <w:sz w:val="24"/>
          <w:szCs w:val="24"/>
        </w:rPr>
        <w:t>presiuni</w:t>
      </w:r>
      <w:proofErr w:type="spellEnd"/>
      <w:r w:rsidRPr="00C54A03">
        <w:rPr>
          <w:color w:val="000000" w:themeColor="text1"/>
          <w:spacing w:val="-6"/>
          <w:sz w:val="24"/>
          <w:szCs w:val="24"/>
        </w:rPr>
        <w:t xml:space="preserve"> </w:t>
      </w:r>
      <w:proofErr w:type="spellStart"/>
      <w:r w:rsidRPr="00C54A03">
        <w:rPr>
          <w:color w:val="000000" w:themeColor="text1"/>
          <w:sz w:val="24"/>
          <w:szCs w:val="24"/>
        </w:rPr>
        <w:t>și</w:t>
      </w:r>
      <w:proofErr w:type="spellEnd"/>
      <w:r w:rsidRPr="00C54A03">
        <w:rPr>
          <w:color w:val="000000" w:themeColor="text1"/>
          <w:spacing w:val="-6"/>
          <w:sz w:val="24"/>
          <w:szCs w:val="24"/>
        </w:rPr>
        <w:t xml:space="preserve"> </w:t>
      </w:r>
      <w:proofErr w:type="spellStart"/>
      <w:r w:rsidRPr="00C54A03">
        <w:rPr>
          <w:color w:val="000000" w:themeColor="text1"/>
          <w:sz w:val="24"/>
          <w:szCs w:val="24"/>
        </w:rPr>
        <w:t>amenințări</w:t>
      </w:r>
      <w:proofErr w:type="spellEnd"/>
    </w:p>
    <w:p w14:paraId="534D3E1C" w14:textId="77777777" w:rsidR="007702CD" w:rsidRPr="00C54A03" w:rsidRDefault="007702CD" w:rsidP="00D97209">
      <w:pPr>
        <w:pStyle w:val="BodyText"/>
        <w:spacing w:before="227"/>
        <w:ind w:left="0" w:right="27"/>
        <w:jc w:val="both"/>
        <w:rPr>
          <w:color w:val="000000" w:themeColor="text1"/>
          <w:sz w:val="24"/>
          <w:szCs w:val="24"/>
        </w:rPr>
      </w:pPr>
      <w:r w:rsidRPr="00C54A03">
        <w:rPr>
          <w:color w:val="000000" w:themeColor="text1"/>
          <w:sz w:val="24"/>
          <w:szCs w:val="24"/>
        </w:rPr>
        <w:t xml:space="preserve">Din </w:t>
      </w:r>
      <w:proofErr w:type="spellStart"/>
      <w:r w:rsidRPr="00C54A03">
        <w:rPr>
          <w:color w:val="000000" w:themeColor="text1"/>
          <w:sz w:val="24"/>
          <w:szCs w:val="24"/>
        </w:rPr>
        <w:t>punct</w:t>
      </w:r>
      <w:proofErr w:type="spellEnd"/>
      <w:r w:rsidRPr="00C54A03">
        <w:rPr>
          <w:color w:val="000000" w:themeColor="text1"/>
          <w:sz w:val="24"/>
          <w:szCs w:val="24"/>
        </w:rPr>
        <w:t xml:space="preserve"> de </w:t>
      </w:r>
      <w:proofErr w:type="spellStart"/>
      <w:r w:rsidRPr="00C54A03">
        <w:rPr>
          <w:color w:val="000000" w:themeColor="text1"/>
          <w:sz w:val="24"/>
          <w:szCs w:val="24"/>
        </w:rPr>
        <w:t>vedere</w:t>
      </w:r>
      <w:proofErr w:type="spellEnd"/>
      <w:r w:rsidRPr="00C54A03">
        <w:rPr>
          <w:color w:val="000000" w:themeColor="text1"/>
          <w:sz w:val="24"/>
          <w:szCs w:val="24"/>
        </w:rPr>
        <w:t xml:space="preserve"> al </w:t>
      </w:r>
      <w:proofErr w:type="spellStart"/>
      <w:r w:rsidRPr="00C54A03">
        <w:rPr>
          <w:color w:val="000000" w:themeColor="text1"/>
          <w:sz w:val="24"/>
          <w:szCs w:val="24"/>
        </w:rPr>
        <w:t>identificării</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timp</w:t>
      </w:r>
      <w:proofErr w:type="spellEnd"/>
      <w:r w:rsidRPr="00C54A03">
        <w:rPr>
          <w:color w:val="000000" w:themeColor="text1"/>
          <w:sz w:val="24"/>
          <w:szCs w:val="24"/>
        </w:rPr>
        <w:t xml:space="preserve"> a </w:t>
      </w:r>
      <w:proofErr w:type="spellStart"/>
      <w:r w:rsidRPr="00C54A03">
        <w:rPr>
          <w:color w:val="000000" w:themeColor="text1"/>
          <w:sz w:val="24"/>
          <w:szCs w:val="24"/>
        </w:rPr>
        <w:t>formelor</w:t>
      </w:r>
      <w:proofErr w:type="spellEnd"/>
      <w:r w:rsidRPr="00C54A03">
        <w:rPr>
          <w:color w:val="000000" w:themeColor="text1"/>
          <w:sz w:val="24"/>
          <w:szCs w:val="24"/>
        </w:rPr>
        <w:t xml:space="preserve"> de impact </w:t>
      </w:r>
      <w:proofErr w:type="spellStart"/>
      <w:r w:rsidRPr="00C54A03">
        <w:rPr>
          <w:color w:val="000000" w:themeColor="text1"/>
          <w:sz w:val="24"/>
          <w:szCs w:val="24"/>
        </w:rPr>
        <w:t>acestea</w:t>
      </w:r>
      <w:proofErr w:type="spellEnd"/>
      <w:r w:rsidRPr="00C54A03">
        <w:rPr>
          <w:color w:val="000000" w:themeColor="text1"/>
          <w:sz w:val="24"/>
          <w:szCs w:val="24"/>
        </w:rPr>
        <w:t xml:space="preserve"> </w:t>
      </w:r>
      <w:proofErr w:type="spellStart"/>
      <w:r w:rsidRPr="00C54A03">
        <w:rPr>
          <w:color w:val="000000" w:themeColor="text1"/>
          <w:sz w:val="24"/>
          <w:szCs w:val="24"/>
        </w:rPr>
        <w:t>trebuie</w:t>
      </w:r>
      <w:proofErr w:type="spellEnd"/>
      <w:r w:rsidRPr="00C54A03">
        <w:rPr>
          <w:color w:val="000000" w:themeColor="text1"/>
          <w:sz w:val="24"/>
          <w:szCs w:val="24"/>
        </w:rPr>
        <w:t xml:space="preserve"> </w:t>
      </w:r>
      <w:proofErr w:type="spellStart"/>
      <w:r w:rsidRPr="00C54A03">
        <w:rPr>
          <w:color w:val="000000" w:themeColor="text1"/>
          <w:sz w:val="24"/>
          <w:szCs w:val="24"/>
        </w:rPr>
        <w:t>clasificate</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două</w:t>
      </w:r>
      <w:proofErr w:type="spellEnd"/>
      <w:r w:rsidRPr="00C54A03">
        <w:rPr>
          <w:color w:val="000000" w:themeColor="text1"/>
          <w:spacing w:val="1"/>
          <w:sz w:val="24"/>
          <w:szCs w:val="24"/>
        </w:rPr>
        <w:t xml:space="preserve"> </w:t>
      </w:r>
      <w:proofErr w:type="spellStart"/>
      <w:r w:rsidRPr="00C54A03">
        <w:rPr>
          <w:color w:val="000000" w:themeColor="text1"/>
          <w:sz w:val="24"/>
          <w:szCs w:val="24"/>
        </w:rPr>
        <w:t>categorii</w:t>
      </w:r>
      <w:proofErr w:type="spellEnd"/>
      <w:r w:rsidRPr="00C54A03">
        <w:rPr>
          <w:color w:val="000000" w:themeColor="text1"/>
          <w:sz w:val="24"/>
          <w:szCs w:val="24"/>
        </w:rPr>
        <w:t xml:space="preserve">: </w:t>
      </w:r>
      <w:proofErr w:type="spellStart"/>
      <w:r w:rsidRPr="00C54A03">
        <w:rPr>
          <w:b/>
          <w:color w:val="000000" w:themeColor="text1"/>
          <w:sz w:val="24"/>
          <w:szCs w:val="24"/>
        </w:rPr>
        <w:t>presiuni</w:t>
      </w:r>
      <w:proofErr w:type="spellEnd"/>
      <w:r w:rsidRPr="00C54A03">
        <w:rPr>
          <w:b/>
          <w:color w:val="000000" w:themeColor="text1"/>
          <w:spacing w:val="1"/>
          <w:sz w:val="24"/>
          <w:szCs w:val="24"/>
        </w:rPr>
        <w:t xml:space="preserve"> </w:t>
      </w:r>
      <w:proofErr w:type="spellStart"/>
      <w:r w:rsidRPr="00C54A03">
        <w:rPr>
          <w:color w:val="000000" w:themeColor="text1"/>
          <w:sz w:val="24"/>
          <w:szCs w:val="24"/>
        </w:rPr>
        <w:t>şi</w:t>
      </w:r>
      <w:proofErr w:type="spellEnd"/>
      <w:r w:rsidRPr="00C54A03">
        <w:rPr>
          <w:color w:val="000000" w:themeColor="text1"/>
          <w:sz w:val="24"/>
          <w:szCs w:val="24"/>
        </w:rPr>
        <w:t xml:space="preserve"> </w:t>
      </w:r>
      <w:proofErr w:type="spellStart"/>
      <w:r w:rsidRPr="00C54A03">
        <w:rPr>
          <w:b/>
          <w:color w:val="000000" w:themeColor="text1"/>
          <w:sz w:val="24"/>
          <w:szCs w:val="24"/>
        </w:rPr>
        <w:t>ameninţări</w:t>
      </w:r>
      <w:proofErr w:type="spellEnd"/>
      <w:r w:rsidRPr="00C54A03">
        <w:rPr>
          <w:color w:val="000000" w:themeColor="text1"/>
          <w:sz w:val="24"/>
          <w:szCs w:val="24"/>
        </w:rPr>
        <w:t>:</w:t>
      </w:r>
    </w:p>
    <w:p w14:paraId="55548BA4" w14:textId="77777777" w:rsidR="007702CD" w:rsidRPr="00C54A03" w:rsidRDefault="007702CD" w:rsidP="00D97209">
      <w:pPr>
        <w:pStyle w:val="BodyText"/>
        <w:ind w:left="0" w:right="27"/>
        <w:jc w:val="both"/>
        <w:rPr>
          <w:color w:val="000000" w:themeColor="text1"/>
          <w:sz w:val="24"/>
          <w:szCs w:val="24"/>
        </w:rPr>
      </w:pPr>
      <w:proofErr w:type="spellStart"/>
      <w:r w:rsidRPr="00C54A03">
        <w:rPr>
          <w:b/>
          <w:color w:val="000000" w:themeColor="text1"/>
          <w:sz w:val="24"/>
          <w:szCs w:val="24"/>
        </w:rPr>
        <w:t>Presiunea</w:t>
      </w:r>
      <w:proofErr w:type="spellEnd"/>
      <w:r w:rsidRPr="00C54A03">
        <w:rPr>
          <w:b/>
          <w:color w:val="000000" w:themeColor="text1"/>
          <w:sz w:val="24"/>
          <w:szCs w:val="24"/>
        </w:rPr>
        <w:t xml:space="preserve"> </w:t>
      </w:r>
      <w:r w:rsidRPr="00C54A03">
        <w:rPr>
          <w:color w:val="000000" w:themeColor="text1"/>
          <w:sz w:val="24"/>
          <w:szCs w:val="24"/>
        </w:rPr>
        <w:t xml:space="preserve">(P) </w:t>
      </w:r>
      <w:proofErr w:type="spellStart"/>
      <w:r w:rsidRPr="00C54A03">
        <w:rPr>
          <w:color w:val="000000" w:themeColor="text1"/>
          <w:sz w:val="24"/>
          <w:szCs w:val="24"/>
        </w:rPr>
        <w:t>reprezintă</w:t>
      </w:r>
      <w:proofErr w:type="spellEnd"/>
      <w:r w:rsidRPr="00C54A03">
        <w:rPr>
          <w:color w:val="000000" w:themeColor="text1"/>
          <w:sz w:val="24"/>
          <w:szCs w:val="24"/>
        </w:rPr>
        <w:t xml:space="preserve"> </w:t>
      </w:r>
      <w:proofErr w:type="spellStart"/>
      <w:r w:rsidRPr="00C54A03">
        <w:rPr>
          <w:color w:val="000000" w:themeColor="text1"/>
          <w:sz w:val="24"/>
          <w:szCs w:val="24"/>
        </w:rPr>
        <w:t>acea</w:t>
      </w:r>
      <w:proofErr w:type="spellEnd"/>
      <w:r w:rsidRPr="00C54A03">
        <w:rPr>
          <w:color w:val="000000" w:themeColor="text1"/>
          <w:sz w:val="24"/>
          <w:szCs w:val="24"/>
        </w:rPr>
        <w:t xml:space="preserve"> </w:t>
      </w:r>
      <w:proofErr w:type="spellStart"/>
      <w:r w:rsidRPr="00C54A03">
        <w:rPr>
          <w:color w:val="000000" w:themeColor="text1"/>
          <w:sz w:val="24"/>
          <w:szCs w:val="24"/>
        </w:rPr>
        <w:t>activitate</w:t>
      </w:r>
      <w:proofErr w:type="spellEnd"/>
      <w:r w:rsidRPr="00C54A03">
        <w:rPr>
          <w:color w:val="000000" w:themeColor="text1"/>
          <w:sz w:val="24"/>
          <w:szCs w:val="24"/>
        </w:rPr>
        <w:t xml:space="preserve"> cu </w:t>
      </w:r>
      <w:proofErr w:type="spellStart"/>
      <w:r w:rsidRPr="00C54A03">
        <w:rPr>
          <w:color w:val="000000" w:themeColor="text1"/>
          <w:sz w:val="24"/>
          <w:szCs w:val="24"/>
        </w:rPr>
        <w:t>potenţial</w:t>
      </w:r>
      <w:proofErr w:type="spellEnd"/>
      <w:r w:rsidRPr="00C54A03">
        <w:rPr>
          <w:color w:val="000000" w:themeColor="text1"/>
          <w:sz w:val="24"/>
          <w:szCs w:val="24"/>
        </w:rPr>
        <w:t xml:space="preserve"> impact </w:t>
      </w:r>
      <w:proofErr w:type="spellStart"/>
      <w:r w:rsidRPr="00C54A03">
        <w:rPr>
          <w:color w:val="000000" w:themeColor="text1"/>
          <w:sz w:val="24"/>
          <w:szCs w:val="24"/>
        </w:rPr>
        <w:t>negativ</w:t>
      </w:r>
      <w:proofErr w:type="spellEnd"/>
      <w:r w:rsidRPr="00C54A03">
        <w:rPr>
          <w:color w:val="000000" w:themeColor="text1"/>
          <w:sz w:val="24"/>
          <w:szCs w:val="24"/>
        </w:rPr>
        <w:t xml:space="preserve"> </w:t>
      </w:r>
      <w:proofErr w:type="spellStart"/>
      <w:r w:rsidRPr="00C54A03">
        <w:rPr>
          <w:color w:val="000000" w:themeColor="text1"/>
          <w:sz w:val="24"/>
          <w:szCs w:val="24"/>
        </w:rPr>
        <w:t>asupra</w:t>
      </w:r>
      <w:proofErr w:type="spellEnd"/>
      <w:r w:rsidRPr="00C54A03">
        <w:rPr>
          <w:color w:val="000000" w:themeColor="text1"/>
          <w:sz w:val="24"/>
          <w:szCs w:val="24"/>
        </w:rPr>
        <w:t xml:space="preserve"> </w:t>
      </w:r>
      <w:proofErr w:type="spellStart"/>
      <w:r w:rsidRPr="00C54A03">
        <w:rPr>
          <w:color w:val="000000" w:themeColor="text1"/>
          <w:sz w:val="24"/>
          <w:szCs w:val="24"/>
        </w:rPr>
        <w:t>stării</w:t>
      </w:r>
      <w:proofErr w:type="spellEnd"/>
      <w:r w:rsidRPr="00C54A03">
        <w:rPr>
          <w:color w:val="000000" w:themeColor="text1"/>
          <w:sz w:val="24"/>
          <w:szCs w:val="24"/>
        </w:rPr>
        <w:t xml:space="preserve"> de </w:t>
      </w:r>
      <w:proofErr w:type="spellStart"/>
      <w:r w:rsidRPr="00C54A03">
        <w:rPr>
          <w:color w:val="000000" w:themeColor="text1"/>
          <w:sz w:val="24"/>
          <w:szCs w:val="24"/>
        </w:rPr>
        <w:t>conservare</w:t>
      </w:r>
      <w:proofErr w:type="spellEnd"/>
      <w:r w:rsidRPr="00C54A03">
        <w:rPr>
          <w:color w:val="000000" w:themeColor="text1"/>
          <w:sz w:val="24"/>
          <w:szCs w:val="24"/>
        </w:rPr>
        <w:t xml:space="preserve"> a</w:t>
      </w:r>
      <w:r w:rsidRPr="00C54A03">
        <w:rPr>
          <w:color w:val="000000" w:themeColor="text1"/>
          <w:spacing w:val="1"/>
          <w:sz w:val="24"/>
          <w:szCs w:val="24"/>
        </w:rPr>
        <w:t xml:space="preserve"> </w:t>
      </w:r>
      <w:proofErr w:type="spellStart"/>
      <w:r w:rsidRPr="00C54A03">
        <w:rPr>
          <w:color w:val="000000" w:themeColor="text1"/>
          <w:sz w:val="24"/>
          <w:szCs w:val="24"/>
        </w:rPr>
        <w:t>tipurilor</w:t>
      </w:r>
      <w:proofErr w:type="spellEnd"/>
      <w:r w:rsidRPr="00C54A03">
        <w:rPr>
          <w:color w:val="000000" w:themeColor="text1"/>
          <w:sz w:val="24"/>
          <w:szCs w:val="24"/>
        </w:rPr>
        <w:t xml:space="preserve"> de </w:t>
      </w:r>
      <w:proofErr w:type="spellStart"/>
      <w:r w:rsidRPr="00C54A03">
        <w:rPr>
          <w:color w:val="000000" w:themeColor="text1"/>
          <w:sz w:val="24"/>
          <w:szCs w:val="24"/>
        </w:rPr>
        <w:t>habitate</w:t>
      </w:r>
      <w:proofErr w:type="spellEnd"/>
      <w:r w:rsidRPr="00C54A03">
        <w:rPr>
          <w:color w:val="000000" w:themeColor="text1"/>
          <w:sz w:val="24"/>
          <w:szCs w:val="24"/>
        </w:rPr>
        <w:t xml:space="preserve"> de </w:t>
      </w:r>
      <w:proofErr w:type="spellStart"/>
      <w:r w:rsidRPr="00C54A03">
        <w:rPr>
          <w:color w:val="000000" w:themeColor="text1"/>
          <w:sz w:val="24"/>
          <w:szCs w:val="24"/>
        </w:rPr>
        <w:t>interes</w:t>
      </w:r>
      <w:proofErr w:type="spellEnd"/>
      <w:r w:rsidRPr="00C54A03">
        <w:rPr>
          <w:color w:val="000000" w:themeColor="text1"/>
          <w:sz w:val="24"/>
          <w:szCs w:val="24"/>
        </w:rPr>
        <w:t xml:space="preserve"> </w:t>
      </w:r>
      <w:proofErr w:type="spellStart"/>
      <w:r w:rsidRPr="00C54A03">
        <w:rPr>
          <w:color w:val="000000" w:themeColor="text1"/>
          <w:sz w:val="24"/>
          <w:szCs w:val="24"/>
        </w:rPr>
        <w:t>comunitar</w:t>
      </w:r>
      <w:proofErr w:type="spellEnd"/>
      <w:r w:rsidRPr="00C54A03">
        <w:rPr>
          <w:color w:val="000000" w:themeColor="text1"/>
          <w:sz w:val="24"/>
          <w:szCs w:val="24"/>
        </w:rPr>
        <w:t xml:space="preserve">, care se </w:t>
      </w:r>
      <w:proofErr w:type="spellStart"/>
      <w:r w:rsidRPr="00C54A03">
        <w:rPr>
          <w:color w:val="000000" w:themeColor="text1"/>
          <w:sz w:val="24"/>
          <w:szCs w:val="24"/>
        </w:rPr>
        <w:t>desfăşoară</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prezent</w:t>
      </w:r>
      <w:proofErr w:type="spellEnd"/>
      <w:r w:rsidRPr="00C54A03">
        <w:rPr>
          <w:color w:val="000000" w:themeColor="text1"/>
          <w:sz w:val="24"/>
          <w:szCs w:val="24"/>
        </w:rPr>
        <w:t xml:space="preserve"> </w:t>
      </w:r>
      <w:proofErr w:type="spellStart"/>
      <w:r w:rsidRPr="00C54A03">
        <w:rPr>
          <w:color w:val="000000" w:themeColor="text1"/>
          <w:sz w:val="24"/>
          <w:szCs w:val="24"/>
        </w:rPr>
        <w:t>sau</w:t>
      </w:r>
      <w:proofErr w:type="spellEnd"/>
      <w:r w:rsidRPr="00C54A03">
        <w:rPr>
          <w:color w:val="000000" w:themeColor="text1"/>
          <w:sz w:val="24"/>
          <w:szCs w:val="24"/>
        </w:rPr>
        <w:t xml:space="preserve"> care s-a </w:t>
      </w:r>
      <w:proofErr w:type="spellStart"/>
      <w:r w:rsidRPr="00C54A03">
        <w:rPr>
          <w:color w:val="000000" w:themeColor="text1"/>
          <w:sz w:val="24"/>
          <w:szCs w:val="24"/>
        </w:rPr>
        <w:t>derulat</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trecut</w:t>
      </w:r>
      <w:proofErr w:type="spellEnd"/>
      <w:r w:rsidRPr="00C54A03">
        <w:rPr>
          <w:color w:val="000000" w:themeColor="text1"/>
          <w:sz w:val="24"/>
          <w:szCs w:val="24"/>
        </w:rPr>
        <w:t>,</w:t>
      </w:r>
      <w:r w:rsidRPr="00C54A03">
        <w:rPr>
          <w:color w:val="000000" w:themeColor="text1"/>
          <w:spacing w:val="-57"/>
          <w:sz w:val="24"/>
          <w:szCs w:val="24"/>
        </w:rPr>
        <w:t xml:space="preserve"> </w:t>
      </w:r>
      <w:proofErr w:type="spellStart"/>
      <w:r w:rsidRPr="00C54A03">
        <w:rPr>
          <w:color w:val="000000" w:themeColor="text1"/>
          <w:sz w:val="24"/>
          <w:szCs w:val="24"/>
        </w:rPr>
        <w:t>dar</w:t>
      </w:r>
      <w:proofErr w:type="spellEnd"/>
      <w:r w:rsidRPr="00C54A03">
        <w:rPr>
          <w:color w:val="000000" w:themeColor="text1"/>
          <w:spacing w:val="-1"/>
          <w:sz w:val="24"/>
          <w:szCs w:val="24"/>
        </w:rPr>
        <w:t xml:space="preserve"> </w:t>
      </w:r>
      <w:r w:rsidRPr="00C54A03">
        <w:rPr>
          <w:color w:val="000000" w:themeColor="text1"/>
          <w:sz w:val="24"/>
          <w:szCs w:val="24"/>
        </w:rPr>
        <w:t>ale</w:t>
      </w:r>
      <w:r w:rsidRPr="00C54A03">
        <w:rPr>
          <w:color w:val="000000" w:themeColor="text1"/>
          <w:spacing w:val="1"/>
          <w:sz w:val="24"/>
          <w:szCs w:val="24"/>
        </w:rPr>
        <w:t xml:space="preserve"> </w:t>
      </w:r>
      <w:proofErr w:type="spellStart"/>
      <w:r w:rsidRPr="00C54A03">
        <w:rPr>
          <w:color w:val="000000" w:themeColor="text1"/>
          <w:sz w:val="24"/>
          <w:szCs w:val="24"/>
        </w:rPr>
        <w:t>cărui</w:t>
      </w:r>
      <w:proofErr w:type="spellEnd"/>
      <w:r w:rsidRPr="00C54A03">
        <w:rPr>
          <w:color w:val="000000" w:themeColor="text1"/>
          <w:spacing w:val="2"/>
          <w:sz w:val="24"/>
          <w:szCs w:val="24"/>
        </w:rPr>
        <w:t xml:space="preserve"> </w:t>
      </w:r>
      <w:proofErr w:type="spellStart"/>
      <w:r w:rsidRPr="00C54A03">
        <w:rPr>
          <w:color w:val="000000" w:themeColor="text1"/>
          <w:sz w:val="24"/>
          <w:szCs w:val="24"/>
        </w:rPr>
        <w:t>efectele</w:t>
      </w:r>
      <w:proofErr w:type="spellEnd"/>
      <w:r w:rsidRPr="00C54A03">
        <w:rPr>
          <w:color w:val="000000" w:themeColor="text1"/>
          <w:spacing w:val="-1"/>
          <w:sz w:val="24"/>
          <w:szCs w:val="24"/>
        </w:rPr>
        <w:t xml:space="preserve"> </w:t>
      </w:r>
      <w:r w:rsidRPr="00C54A03">
        <w:rPr>
          <w:color w:val="000000" w:themeColor="text1"/>
          <w:sz w:val="24"/>
          <w:szCs w:val="24"/>
        </w:rPr>
        <w:t>negative</w:t>
      </w:r>
      <w:r w:rsidRPr="00C54A03">
        <w:rPr>
          <w:color w:val="000000" w:themeColor="text1"/>
          <w:spacing w:val="-1"/>
          <w:sz w:val="24"/>
          <w:szCs w:val="24"/>
        </w:rPr>
        <w:t xml:space="preserve"> </w:t>
      </w:r>
      <w:proofErr w:type="spellStart"/>
      <w:r w:rsidRPr="00C54A03">
        <w:rPr>
          <w:color w:val="000000" w:themeColor="text1"/>
          <w:sz w:val="24"/>
          <w:szCs w:val="24"/>
        </w:rPr>
        <w:t>încă</w:t>
      </w:r>
      <w:proofErr w:type="spellEnd"/>
      <w:r w:rsidRPr="00C54A03">
        <w:rPr>
          <w:color w:val="000000" w:themeColor="text1"/>
          <w:spacing w:val="-2"/>
          <w:sz w:val="24"/>
          <w:szCs w:val="24"/>
        </w:rPr>
        <w:t xml:space="preserve"> </w:t>
      </w:r>
      <w:proofErr w:type="spellStart"/>
      <w:r w:rsidRPr="00C54A03">
        <w:rPr>
          <w:color w:val="000000" w:themeColor="text1"/>
          <w:sz w:val="24"/>
          <w:szCs w:val="24"/>
        </w:rPr>
        <w:t>persistă</w:t>
      </w:r>
      <w:proofErr w:type="spellEnd"/>
      <w:r w:rsidRPr="00C54A03">
        <w:rPr>
          <w:color w:val="000000" w:themeColor="text1"/>
          <w:sz w:val="24"/>
          <w:szCs w:val="24"/>
        </w:rPr>
        <w:t>.</w:t>
      </w:r>
    </w:p>
    <w:p w14:paraId="277DF9C2" w14:textId="77777777" w:rsidR="007702CD" w:rsidRPr="00C54A03" w:rsidRDefault="007702CD" w:rsidP="00D97209">
      <w:pPr>
        <w:pStyle w:val="BodyText"/>
        <w:ind w:left="0" w:right="27"/>
        <w:jc w:val="both"/>
        <w:rPr>
          <w:color w:val="000000" w:themeColor="text1"/>
          <w:sz w:val="24"/>
          <w:szCs w:val="24"/>
        </w:rPr>
      </w:pPr>
      <w:proofErr w:type="spellStart"/>
      <w:r w:rsidRPr="00C54A03">
        <w:rPr>
          <w:b/>
          <w:color w:val="000000" w:themeColor="text1"/>
          <w:sz w:val="24"/>
          <w:szCs w:val="24"/>
        </w:rPr>
        <w:t>Ameninţarea</w:t>
      </w:r>
      <w:proofErr w:type="spellEnd"/>
      <w:r w:rsidRPr="00C54A03">
        <w:rPr>
          <w:b/>
          <w:color w:val="000000" w:themeColor="text1"/>
          <w:sz w:val="24"/>
          <w:szCs w:val="24"/>
        </w:rPr>
        <w:t xml:space="preserve"> </w:t>
      </w:r>
      <w:r w:rsidRPr="00C54A03">
        <w:rPr>
          <w:color w:val="000000" w:themeColor="text1"/>
          <w:sz w:val="24"/>
          <w:szCs w:val="24"/>
        </w:rPr>
        <w:t xml:space="preserve">(A) </w:t>
      </w:r>
      <w:proofErr w:type="spellStart"/>
      <w:r w:rsidRPr="00C54A03">
        <w:rPr>
          <w:color w:val="000000" w:themeColor="text1"/>
          <w:sz w:val="24"/>
          <w:szCs w:val="24"/>
        </w:rPr>
        <w:t>reprezintă</w:t>
      </w:r>
      <w:proofErr w:type="spellEnd"/>
      <w:r w:rsidRPr="00C54A03">
        <w:rPr>
          <w:color w:val="000000" w:themeColor="text1"/>
          <w:sz w:val="24"/>
          <w:szCs w:val="24"/>
        </w:rPr>
        <w:t xml:space="preserve"> </w:t>
      </w:r>
      <w:proofErr w:type="spellStart"/>
      <w:r w:rsidRPr="00C54A03">
        <w:rPr>
          <w:color w:val="000000" w:themeColor="text1"/>
          <w:sz w:val="24"/>
          <w:szCs w:val="24"/>
        </w:rPr>
        <w:t>acea</w:t>
      </w:r>
      <w:proofErr w:type="spellEnd"/>
      <w:r w:rsidRPr="00C54A03">
        <w:rPr>
          <w:color w:val="000000" w:themeColor="text1"/>
          <w:sz w:val="24"/>
          <w:szCs w:val="24"/>
        </w:rPr>
        <w:t xml:space="preserve"> </w:t>
      </w:r>
      <w:proofErr w:type="spellStart"/>
      <w:r w:rsidRPr="00C54A03">
        <w:rPr>
          <w:color w:val="000000" w:themeColor="text1"/>
          <w:sz w:val="24"/>
          <w:szCs w:val="24"/>
        </w:rPr>
        <w:t>activitate</w:t>
      </w:r>
      <w:proofErr w:type="spellEnd"/>
      <w:r w:rsidRPr="00C54A03">
        <w:rPr>
          <w:color w:val="000000" w:themeColor="text1"/>
          <w:sz w:val="24"/>
          <w:szCs w:val="24"/>
        </w:rPr>
        <w:t xml:space="preserve"> cu </w:t>
      </w:r>
      <w:proofErr w:type="spellStart"/>
      <w:r w:rsidRPr="00C54A03">
        <w:rPr>
          <w:color w:val="000000" w:themeColor="text1"/>
          <w:sz w:val="24"/>
          <w:szCs w:val="24"/>
        </w:rPr>
        <w:t>potenţial</w:t>
      </w:r>
      <w:proofErr w:type="spellEnd"/>
      <w:r w:rsidRPr="00C54A03">
        <w:rPr>
          <w:color w:val="000000" w:themeColor="text1"/>
          <w:sz w:val="24"/>
          <w:szCs w:val="24"/>
        </w:rPr>
        <w:t xml:space="preserve"> impact </w:t>
      </w:r>
      <w:proofErr w:type="spellStart"/>
      <w:r w:rsidRPr="00C54A03">
        <w:rPr>
          <w:color w:val="000000" w:themeColor="text1"/>
          <w:sz w:val="24"/>
          <w:szCs w:val="24"/>
        </w:rPr>
        <w:t>negativ</w:t>
      </w:r>
      <w:proofErr w:type="spellEnd"/>
      <w:r w:rsidRPr="00C54A03">
        <w:rPr>
          <w:color w:val="000000" w:themeColor="text1"/>
          <w:sz w:val="24"/>
          <w:szCs w:val="24"/>
        </w:rPr>
        <w:t xml:space="preserve"> </w:t>
      </w:r>
      <w:proofErr w:type="spellStart"/>
      <w:r w:rsidRPr="00C54A03">
        <w:rPr>
          <w:color w:val="000000" w:themeColor="text1"/>
          <w:sz w:val="24"/>
          <w:szCs w:val="24"/>
        </w:rPr>
        <w:t>asupra</w:t>
      </w:r>
      <w:proofErr w:type="spellEnd"/>
      <w:r w:rsidRPr="00C54A03">
        <w:rPr>
          <w:color w:val="000000" w:themeColor="text1"/>
          <w:sz w:val="24"/>
          <w:szCs w:val="24"/>
        </w:rPr>
        <w:t xml:space="preserve"> </w:t>
      </w:r>
      <w:proofErr w:type="spellStart"/>
      <w:r w:rsidRPr="00C54A03">
        <w:rPr>
          <w:color w:val="000000" w:themeColor="text1"/>
          <w:sz w:val="24"/>
          <w:szCs w:val="24"/>
        </w:rPr>
        <w:t>stării</w:t>
      </w:r>
      <w:proofErr w:type="spellEnd"/>
      <w:r w:rsidRPr="00C54A03">
        <w:rPr>
          <w:color w:val="000000" w:themeColor="text1"/>
          <w:sz w:val="24"/>
          <w:szCs w:val="24"/>
        </w:rPr>
        <w:t xml:space="preserve"> de </w:t>
      </w:r>
      <w:proofErr w:type="spellStart"/>
      <w:r w:rsidRPr="00C54A03">
        <w:rPr>
          <w:color w:val="000000" w:themeColor="text1"/>
          <w:sz w:val="24"/>
          <w:szCs w:val="24"/>
        </w:rPr>
        <w:t>conservare</w:t>
      </w:r>
      <w:proofErr w:type="spellEnd"/>
      <w:r w:rsidRPr="00C54A03">
        <w:rPr>
          <w:color w:val="000000" w:themeColor="text1"/>
          <w:sz w:val="24"/>
          <w:szCs w:val="24"/>
        </w:rPr>
        <w:t xml:space="preserve"> a</w:t>
      </w:r>
      <w:r w:rsidRPr="00C54A03">
        <w:rPr>
          <w:color w:val="000000" w:themeColor="text1"/>
          <w:spacing w:val="-57"/>
          <w:sz w:val="24"/>
          <w:szCs w:val="24"/>
        </w:rPr>
        <w:t xml:space="preserve"> </w:t>
      </w:r>
      <w:proofErr w:type="spellStart"/>
      <w:r w:rsidRPr="00C54A03">
        <w:rPr>
          <w:color w:val="000000" w:themeColor="text1"/>
          <w:sz w:val="24"/>
          <w:szCs w:val="24"/>
        </w:rPr>
        <w:t>tipurilor</w:t>
      </w:r>
      <w:proofErr w:type="spellEnd"/>
      <w:r w:rsidRPr="00C54A03">
        <w:rPr>
          <w:color w:val="000000" w:themeColor="text1"/>
          <w:sz w:val="24"/>
          <w:szCs w:val="24"/>
        </w:rPr>
        <w:t xml:space="preserve"> de </w:t>
      </w:r>
      <w:proofErr w:type="spellStart"/>
      <w:r w:rsidRPr="00C54A03">
        <w:rPr>
          <w:color w:val="000000" w:themeColor="text1"/>
          <w:sz w:val="24"/>
          <w:szCs w:val="24"/>
        </w:rPr>
        <w:t>habitate</w:t>
      </w:r>
      <w:proofErr w:type="spellEnd"/>
      <w:r w:rsidRPr="00C54A03">
        <w:rPr>
          <w:color w:val="000000" w:themeColor="text1"/>
          <w:sz w:val="24"/>
          <w:szCs w:val="24"/>
        </w:rPr>
        <w:t xml:space="preserve"> de </w:t>
      </w:r>
      <w:proofErr w:type="spellStart"/>
      <w:r w:rsidRPr="00C54A03">
        <w:rPr>
          <w:color w:val="000000" w:themeColor="text1"/>
          <w:sz w:val="24"/>
          <w:szCs w:val="24"/>
        </w:rPr>
        <w:t>interes</w:t>
      </w:r>
      <w:proofErr w:type="spellEnd"/>
      <w:r w:rsidRPr="00C54A03">
        <w:rPr>
          <w:color w:val="000000" w:themeColor="text1"/>
          <w:sz w:val="24"/>
          <w:szCs w:val="24"/>
        </w:rPr>
        <w:t xml:space="preserve"> </w:t>
      </w:r>
      <w:proofErr w:type="spellStart"/>
      <w:r w:rsidRPr="00C54A03">
        <w:rPr>
          <w:color w:val="000000" w:themeColor="text1"/>
          <w:sz w:val="24"/>
          <w:szCs w:val="24"/>
        </w:rPr>
        <w:t>comunitar</w:t>
      </w:r>
      <w:proofErr w:type="spellEnd"/>
      <w:r w:rsidRPr="00C54A03">
        <w:rPr>
          <w:color w:val="000000" w:themeColor="text1"/>
          <w:sz w:val="24"/>
          <w:szCs w:val="24"/>
        </w:rPr>
        <w:t xml:space="preserve">, care </w:t>
      </w:r>
      <w:proofErr w:type="spellStart"/>
      <w:r w:rsidRPr="00C54A03">
        <w:rPr>
          <w:color w:val="000000" w:themeColor="text1"/>
          <w:sz w:val="24"/>
          <w:szCs w:val="24"/>
        </w:rPr>
        <w:t>este</w:t>
      </w:r>
      <w:proofErr w:type="spellEnd"/>
      <w:r w:rsidRPr="00C54A03">
        <w:rPr>
          <w:color w:val="000000" w:themeColor="text1"/>
          <w:sz w:val="24"/>
          <w:szCs w:val="24"/>
        </w:rPr>
        <w:t xml:space="preserve"> </w:t>
      </w:r>
      <w:proofErr w:type="spellStart"/>
      <w:r w:rsidRPr="00C54A03">
        <w:rPr>
          <w:color w:val="000000" w:themeColor="text1"/>
          <w:sz w:val="24"/>
          <w:szCs w:val="24"/>
        </w:rPr>
        <w:t>preconizată</w:t>
      </w:r>
      <w:proofErr w:type="spellEnd"/>
      <w:r w:rsidRPr="00C54A03">
        <w:rPr>
          <w:color w:val="000000" w:themeColor="text1"/>
          <w:sz w:val="24"/>
          <w:szCs w:val="24"/>
        </w:rPr>
        <w:t xml:space="preserve"> </w:t>
      </w:r>
      <w:proofErr w:type="spellStart"/>
      <w:r w:rsidRPr="00C54A03">
        <w:rPr>
          <w:color w:val="000000" w:themeColor="text1"/>
          <w:sz w:val="24"/>
          <w:szCs w:val="24"/>
        </w:rPr>
        <w:t>să</w:t>
      </w:r>
      <w:proofErr w:type="spellEnd"/>
      <w:r w:rsidRPr="00C54A03">
        <w:rPr>
          <w:color w:val="000000" w:themeColor="text1"/>
          <w:sz w:val="24"/>
          <w:szCs w:val="24"/>
        </w:rPr>
        <w:t xml:space="preserve"> se </w:t>
      </w:r>
      <w:proofErr w:type="spellStart"/>
      <w:r w:rsidRPr="00C54A03">
        <w:rPr>
          <w:color w:val="000000" w:themeColor="text1"/>
          <w:sz w:val="24"/>
          <w:szCs w:val="24"/>
        </w:rPr>
        <w:t>deruleze</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viitor</w:t>
      </w:r>
      <w:proofErr w:type="spellEnd"/>
      <w:r w:rsidRPr="00C54A03">
        <w:rPr>
          <w:color w:val="000000" w:themeColor="text1"/>
          <w:sz w:val="24"/>
          <w:szCs w:val="24"/>
        </w:rPr>
        <w:t xml:space="preserve">. O </w:t>
      </w:r>
      <w:proofErr w:type="spellStart"/>
      <w:r w:rsidRPr="00C54A03">
        <w:rPr>
          <w:color w:val="000000" w:themeColor="text1"/>
          <w:sz w:val="24"/>
          <w:szCs w:val="24"/>
        </w:rPr>
        <w:t>presiune</w:t>
      </w:r>
      <w:proofErr w:type="spellEnd"/>
      <w:r w:rsidRPr="00C54A03">
        <w:rPr>
          <w:color w:val="000000" w:themeColor="text1"/>
          <w:spacing w:val="1"/>
          <w:sz w:val="24"/>
          <w:szCs w:val="24"/>
        </w:rPr>
        <w:t xml:space="preserve"> </w:t>
      </w:r>
      <w:proofErr w:type="spellStart"/>
      <w:r w:rsidRPr="00C54A03">
        <w:rPr>
          <w:color w:val="000000" w:themeColor="text1"/>
          <w:sz w:val="24"/>
          <w:szCs w:val="24"/>
        </w:rPr>
        <w:t>poate</w:t>
      </w:r>
      <w:proofErr w:type="spellEnd"/>
      <w:r w:rsidRPr="00C54A03">
        <w:rPr>
          <w:color w:val="000000" w:themeColor="text1"/>
          <w:sz w:val="24"/>
          <w:szCs w:val="24"/>
        </w:rPr>
        <w:t xml:space="preserve"> fi </w:t>
      </w:r>
      <w:proofErr w:type="spellStart"/>
      <w:r w:rsidRPr="00C54A03">
        <w:rPr>
          <w:color w:val="000000" w:themeColor="text1"/>
          <w:sz w:val="24"/>
          <w:szCs w:val="24"/>
        </w:rPr>
        <w:t>considerată</w:t>
      </w:r>
      <w:proofErr w:type="spellEnd"/>
      <w:r w:rsidRPr="00C54A03">
        <w:rPr>
          <w:color w:val="000000" w:themeColor="text1"/>
          <w:sz w:val="24"/>
          <w:szCs w:val="24"/>
        </w:rPr>
        <w:t xml:space="preserve"> </w:t>
      </w:r>
      <w:proofErr w:type="spellStart"/>
      <w:r w:rsidRPr="00C54A03">
        <w:rPr>
          <w:color w:val="000000" w:themeColor="text1"/>
          <w:sz w:val="24"/>
          <w:szCs w:val="24"/>
        </w:rPr>
        <w:t>ameninţare</w:t>
      </w:r>
      <w:proofErr w:type="spellEnd"/>
      <w:r w:rsidRPr="00C54A03">
        <w:rPr>
          <w:color w:val="000000" w:themeColor="text1"/>
          <w:sz w:val="24"/>
          <w:szCs w:val="24"/>
        </w:rPr>
        <w:t xml:space="preserve"> </w:t>
      </w:r>
      <w:proofErr w:type="spellStart"/>
      <w:r w:rsidRPr="00C54A03">
        <w:rPr>
          <w:color w:val="000000" w:themeColor="text1"/>
          <w:sz w:val="24"/>
          <w:szCs w:val="24"/>
        </w:rPr>
        <w:t>dacă</w:t>
      </w:r>
      <w:proofErr w:type="spellEnd"/>
      <w:r w:rsidRPr="00C54A03">
        <w:rPr>
          <w:color w:val="000000" w:themeColor="text1"/>
          <w:sz w:val="24"/>
          <w:szCs w:val="24"/>
        </w:rPr>
        <w:t xml:space="preserve"> se </w:t>
      </w:r>
      <w:proofErr w:type="spellStart"/>
      <w:r w:rsidRPr="00C54A03">
        <w:rPr>
          <w:color w:val="000000" w:themeColor="text1"/>
          <w:sz w:val="24"/>
          <w:szCs w:val="24"/>
        </w:rPr>
        <w:t>preconizează</w:t>
      </w:r>
      <w:proofErr w:type="spellEnd"/>
      <w:r w:rsidRPr="00C54A03">
        <w:rPr>
          <w:color w:val="000000" w:themeColor="text1"/>
          <w:sz w:val="24"/>
          <w:szCs w:val="24"/>
        </w:rPr>
        <w:t xml:space="preserve"> o </w:t>
      </w:r>
      <w:proofErr w:type="spellStart"/>
      <w:r w:rsidRPr="00C54A03">
        <w:rPr>
          <w:color w:val="000000" w:themeColor="text1"/>
          <w:sz w:val="24"/>
          <w:szCs w:val="24"/>
        </w:rPr>
        <w:t>creştere</w:t>
      </w:r>
      <w:proofErr w:type="spellEnd"/>
      <w:r w:rsidRPr="00C54A03">
        <w:rPr>
          <w:color w:val="000000" w:themeColor="text1"/>
          <w:sz w:val="24"/>
          <w:szCs w:val="24"/>
        </w:rPr>
        <w:t xml:space="preserve"> </w:t>
      </w:r>
      <w:proofErr w:type="spellStart"/>
      <w:r w:rsidRPr="00C54A03">
        <w:rPr>
          <w:color w:val="000000" w:themeColor="text1"/>
          <w:sz w:val="24"/>
          <w:szCs w:val="24"/>
        </w:rPr>
        <w:t>semnificativă</w:t>
      </w:r>
      <w:proofErr w:type="spellEnd"/>
      <w:r w:rsidRPr="00C54A03">
        <w:rPr>
          <w:color w:val="000000" w:themeColor="text1"/>
          <w:sz w:val="24"/>
          <w:szCs w:val="24"/>
        </w:rPr>
        <w:t xml:space="preserve"> a </w:t>
      </w:r>
      <w:proofErr w:type="spellStart"/>
      <w:r w:rsidRPr="00C54A03">
        <w:rPr>
          <w:color w:val="000000" w:themeColor="text1"/>
          <w:sz w:val="24"/>
          <w:szCs w:val="24"/>
        </w:rPr>
        <w:t>intensităţii</w:t>
      </w:r>
      <w:proofErr w:type="spellEnd"/>
      <w:r w:rsidRPr="00C54A03">
        <w:rPr>
          <w:color w:val="000000" w:themeColor="text1"/>
          <w:sz w:val="24"/>
          <w:szCs w:val="24"/>
        </w:rPr>
        <w:t xml:space="preserve"> </w:t>
      </w:r>
      <w:proofErr w:type="spellStart"/>
      <w:r w:rsidRPr="00C54A03">
        <w:rPr>
          <w:color w:val="000000" w:themeColor="text1"/>
          <w:sz w:val="24"/>
          <w:szCs w:val="24"/>
        </w:rPr>
        <w:t>acesteia</w:t>
      </w:r>
      <w:proofErr w:type="spellEnd"/>
      <w:r w:rsidRPr="00C54A03">
        <w:rPr>
          <w:color w:val="000000" w:themeColor="text1"/>
          <w:spacing w:val="1"/>
          <w:sz w:val="24"/>
          <w:szCs w:val="24"/>
        </w:rPr>
        <w:t xml:space="preserve"> </w:t>
      </w:r>
      <w:proofErr w:type="spellStart"/>
      <w:r w:rsidRPr="00C54A03">
        <w:rPr>
          <w:color w:val="000000" w:themeColor="text1"/>
          <w:sz w:val="24"/>
          <w:szCs w:val="24"/>
        </w:rPr>
        <w:t>sau</w:t>
      </w:r>
      <w:proofErr w:type="spellEnd"/>
      <w:r w:rsidRPr="00C54A03">
        <w:rPr>
          <w:color w:val="000000" w:themeColor="text1"/>
          <w:spacing w:val="-1"/>
          <w:sz w:val="24"/>
          <w:szCs w:val="24"/>
        </w:rPr>
        <w:t xml:space="preserve"> </w:t>
      </w:r>
      <w:r w:rsidRPr="00C54A03">
        <w:rPr>
          <w:color w:val="000000" w:themeColor="text1"/>
          <w:sz w:val="24"/>
          <w:szCs w:val="24"/>
        </w:rPr>
        <w:t xml:space="preserve">o </w:t>
      </w:r>
      <w:proofErr w:type="spellStart"/>
      <w:r w:rsidRPr="00C54A03">
        <w:rPr>
          <w:color w:val="000000" w:themeColor="text1"/>
          <w:sz w:val="24"/>
          <w:szCs w:val="24"/>
        </w:rPr>
        <w:t>schimbare</w:t>
      </w:r>
      <w:proofErr w:type="spellEnd"/>
      <w:r w:rsidRPr="00C54A03">
        <w:rPr>
          <w:color w:val="000000" w:themeColor="text1"/>
          <w:sz w:val="24"/>
          <w:szCs w:val="24"/>
        </w:rPr>
        <w:t xml:space="preserve"> a</w:t>
      </w:r>
      <w:r w:rsidRPr="00C54A03">
        <w:rPr>
          <w:color w:val="000000" w:themeColor="text1"/>
          <w:spacing w:val="-1"/>
          <w:sz w:val="24"/>
          <w:szCs w:val="24"/>
        </w:rPr>
        <w:t xml:space="preserve"> </w:t>
      </w:r>
      <w:proofErr w:type="spellStart"/>
      <w:r w:rsidRPr="00C54A03">
        <w:rPr>
          <w:color w:val="000000" w:themeColor="text1"/>
          <w:sz w:val="24"/>
          <w:szCs w:val="24"/>
        </w:rPr>
        <w:t>localizării</w:t>
      </w:r>
      <w:proofErr w:type="spellEnd"/>
      <w:r w:rsidRPr="00C54A03">
        <w:rPr>
          <w:color w:val="000000" w:themeColor="text1"/>
          <w:spacing w:val="2"/>
          <w:sz w:val="24"/>
          <w:szCs w:val="24"/>
        </w:rPr>
        <w:t xml:space="preserve"> </w:t>
      </w:r>
      <w:proofErr w:type="spellStart"/>
      <w:r w:rsidRPr="00C54A03">
        <w:rPr>
          <w:color w:val="000000" w:themeColor="text1"/>
          <w:sz w:val="24"/>
          <w:szCs w:val="24"/>
        </w:rPr>
        <w:t>respectivei</w:t>
      </w:r>
      <w:proofErr w:type="spellEnd"/>
      <w:r w:rsidRPr="00C54A03">
        <w:rPr>
          <w:color w:val="000000" w:themeColor="text1"/>
          <w:spacing w:val="1"/>
          <w:sz w:val="24"/>
          <w:szCs w:val="24"/>
        </w:rPr>
        <w:t xml:space="preserve"> </w:t>
      </w:r>
      <w:proofErr w:type="spellStart"/>
      <w:r w:rsidRPr="00C54A03">
        <w:rPr>
          <w:color w:val="000000" w:themeColor="text1"/>
          <w:sz w:val="24"/>
          <w:szCs w:val="24"/>
        </w:rPr>
        <w:t>presiuni</w:t>
      </w:r>
      <w:proofErr w:type="spellEnd"/>
      <w:r w:rsidRPr="00C54A03">
        <w:rPr>
          <w:color w:val="000000" w:themeColor="text1"/>
          <w:sz w:val="24"/>
          <w:szCs w:val="24"/>
        </w:rPr>
        <w:t>.</w:t>
      </w:r>
    </w:p>
    <w:p w14:paraId="26E33F86" w14:textId="77777777" w:rsidR="007702CD" w:rsidRPr="00C54A03" w:rsidRDefault="007702CD" w:rsidP="00D97209">
      <w:pPr>
        <w:pStyle w:val="BodyText"/>
        <w:spacing w:before="1"/>
        <w:ind w:left="0" w:right="27"/>
        <w:jc w:val="both"/>
        <w:rPr>
          <w:color w:val="000000" w:themeColor="text1"/>
          <w:sz w:val="24"/>
          <w:szCs w:val="24"/>
        </w:rPr>
      </w:pPr>
      <w:r w:rsidRPr="00C54A03">
        <w:rPr>
          <w:color w:val="000000" w:themeColor="text1"/>
          <w:sz w:val="24"/>
          <w:szCs w:val="24"/>
        </w:rPr>
        <w:t xml:space="preserve">Este </w:t>
      </w:r>
      <w:proofErr w:type="spellStart"/>
      <w:r w:rsidRPr="00C54A03">
        <w:rPr>
          <w:color w:val="000000" w:themeColor="text1"/>
          <w:sz w:val="24"/>
          <w:szCs w:val="24"/>
        </w:rPr>
        <w:t>recomandat</w:t>
      </w:r>
      <w:proofErr w:type="spellEnd"/>
      <w:r w:rsidRPr="00C54A03">
        <w:rPr>
          <w:color w:val="000000" w:themeColor="text1"/>
          <w:sz w:val="24"/>
          <w:szCs w:val="24"/>
        </w:rPr>
        <w:t xml:space="preserve"> ca </w:t>
      </w:r>
      <w:proofErr w:type="spellStart"/>
      <w:r w:rsidRPr="00C54A03">
        <w:rPr>
          <w:color w:val="000000" w:themeColor="text1"/>
          <w:sz w:val="24"/>
          <w:szCs w:val="24"/>
        </w:rPr>
        <w:t>durata</w:t>
      </w:r>
      <w:proofErr w:type="spellEnd"/>
      <w:r w:rsidRPr="00C54A03">
        <w:rPr>
          <w:color w:val="000000" w:themeColor="text1"/>
          <w:sz w:val="24"/>
          <w:szCs w:val="24"/>
        </w:rPr>
        <w:t xml:space="preserve"> de </w:t>
      </w:r>
      <w:proofErr w:type="spellStart"/>
      <w:r w:rsidRPr="00C54A03">
        <w:rPr>
          <w:color w:val="000000" w:themeColor="text1"/>
          <w:sz w:val="24"/>
          <w:szCs w:val="24"/>
        </w:rPr>
        <w:t>timp</w:t>
      </w:r>
      <w:proofErr w:type="spellEnd"/>
      <w:r w:rsidRPr="00C54A03">
        <w:rPr>
          <w:color w:val="000000" w:themeColor="text1"/>
          <w:sz w:val="24"/>
          <w:szCs w:val="24"/>
        </w:rPr>
        <w:t xml:space="preserve"> </w:t>
      </w:r>
      <w:proofErr w:type="spellStart"/>
      <w:r w:rsidRPr="00C54A03">
        <w:rPr>
          <w:color w:val="000000" w:themeColor="text1"/>
          <w:sz w:val="24"/>
          <w:szCs w:val="24"/>
        </w:rPr>
        <w:t>pentru</w:t>
      </w:r>
      <w:proofErr w:type="spellEnd"/>
      <w:r w:rsidRPr="00C54A03">
        <w:rPr>
          <w:color w:val="000000" w:themeColor="text1"/>
          <w:sz w:val="24"/>
          <w:szCs w:val="24"/>
        </w:rPr>
        <w:t xml:space="preserve"> </w:t>
      </w:r>
      <w:proofErr w:type="spellStart"/>
      <w:r w:rsidRPr="00C54A03">
        <w:rPr>
          <w:color w:val="000000" w:themeColor="text1"/>
          <w:sz w:val="24"/>
          <w:szCs w:val="24"/>
        </w:rPr>
        <w:t>cuantificarea</w:t>
      </w:r>
      <w:proofErr w:type="spellEnd"/>
      <w:r w:rsidRPr="00C54A03">
        <w:rPr>
          <w:color w:val="000000" w:themeColor="text1"/>
          <w:sz w:val="24"/>
          <w:szCs w:val="24"/>
        </w:rPr>
        <w:t xml:space="preserve"> </w:t>
      </w:r>
      <w:proofErr w:type="spellStart"/>
      <w:r w:rsidRPr="00C54A03">
        <w:rPr>
          <w:color w:val="000000" w:themeColor="text1"/>
          <w:sz w:val="24"/>
          <w:szCs w:val="24"/>
        </w:rPr>
        <w:t>presiunilor</w:t>
      </w:r>
      <w:proofErr w:type="spellEnd"/>
      <w:r w:rsidRPr="00C54A03">
        <w:rPr>
          <w:color w:val="000000" w:themeColor="text1"/>
          <w:sz w:val="24"/>
          <w:szCs w:val="24"/>
        </w:rPr>
        <w:t xml:space="preserve"> </w:t>
      </w:r>
      <w:proofErr w:type="spellStart"/>
      <w:r w:rsidRPr="00C54A03">
        <w:rPr>
          <w:color w:val="000000" w:themeColor="text1"/>
          <w:sz w:val="24"/>
          <w:szCs w:val="24"/>
        </w:rPr>
        <w:t>să</w:t>
      </w:r>
      <w:proofErr w:type="spellEnd"/>
      <w:r w:rsidRPr="00C54A03">
        <w:rPr>
          <w:color w:val="000000" w:themeColor="text1"/>
          <w:sz w:val="24"/>
          <w:szCs w:val="24"/>
        </w:rPr>
        <w:t xml:space="preserve"> fie o </w:t>
      </w:r>
      <w:proofErr w:type="spellStart"/>
      <w:r w:rsidRPr="00C54A03">
        <w:rPr>
          <w:color w:val="000000" w:themeColor="text1"/>
          <w:sz w:val="24"/>
          <w:szCs w:val="24"/>
        </w:rPr>
        <w:t>perioadă</w:t>
      </w:r>
      <w:proofErr w:type="spellEnd"/>
      <w:r w:rsidRPr="00C54A03">
        <w:rPr>
          <w:color w:val="000000" w:themeColor="text1"/>
          <w:sz w:val="24"/>
          <w:szCs w:val="24"/>
        </w:rPr>
        <w:t xml:space="preserve"> de </w:t>
      </w:r>
      <w:proofErr w:type="spellStart"/>
      <w:r w:rsidRPr="00C54A03">
        <w:rPr>
          <w:color w:val="000000" w:themeColor="text1"/>
          <w:sz w:val="24"/>
          <w:szCs w:val="24"/>
        </w:rPr>
        <w:t>raportare</w:t>
      </w:r>
      <w:proofErr w:type="spellEnd"/>
      <w:r w:rsidRPr="00C54A03">
        <w:rPr>
          <w:color w:val="000000" w:themeColor="text1"/>
          <w:sz w:val="24"/>
          <w:szCs w:val="24"/>
        </w:rPr>
        <w:t>,</w:t>
      </w:r>
      <w:r w:rsidRPr="00C54A03">
        <w:rPr>
          <w:color w:val="000000" w:themeColor="text1"/>
          <w:spacing w:val="1"/>
          <w:sz w:val="24"/>
          <w:szCs w:val="24"/>
        </w:rPr>
        <w:t xml:space="preserve"> </w:t>
      </w:r>
      <w:proofErr w:type="spellStart"/>
      <w:r w:rsidRPr="00C54A03">
        <w:rPr>
          <w:color w:val="000000" w:themeColor="text1"/>
          <w:sz w:val="24"/>
          <w:szCs w:val="24"/>
        </w:rPr>
        <w:t>respectiv</w:t>
      </w:r>
      <w:proofErr w:type="spellEnd"/>
      <w:r w:rsidRPr="00C54A03">
        <w:rPr>
          <w:color w:val="000000" w:themeColor="text1"/>
          <w:sz w:val="24"/>
          <w:szCs w:val="24"/>
        </w:rPr>
        <w:t xml:space="preserve"> </w:t>
      </w:r>
      <w:proofErr w:type="spellStart"/>
      <w:r w:rsidRPr="00C54A03">
        <w:rPr>
          <w:color w:val="000000" w:themeColor="text1"/>
          <w:sz w:val="24"/>
          <w:szCs w:val="24"/>
        </w:rPr>
        <w:t>șase</w:t>
      </w:r>
      <w:proofErr w:type="spellEnd"/>
      <w:r w:rsidRPr="00C54A03">
        <w:rPr>
          <w:color w:val="000000" w:themeColor="text1"/>
          <w:sz w:val="24"/>
          <w:szCs w:val="24"/>
        </w:rPr>
        <w:t xml:space="preserve"> ani,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timp</w:t>
      </w:r>
      <w:proofErr w:type="spellEnd"/>
      <w:r w:rsidRPr="00C54A03">
        <w:rPr>
          <w:color w:val="000000" w:themeColor="text1"/>
          <w:sz w:val="24"/>
          <w:szCs w:val="24"/>
        </w:rPr>
        <w:t xml:space="preserve"> </w:t>
      </w:r>
      <w:proofErr w:type="spellStart"/>
      <w:r w:rsidRPr="00C54A03">
        <w:rPr>
          <w:color w:val="000000" w:themeColor="text1"/>
          <w:sz w:val="24"/>
          <w:szCs w:val="24"/>
        </w:rPr>
        <w:t>ce</w:t>
      </w:r>
      <w:proofErr w:type="spellEnd"/>
      <w:r w:rsidRPr="00C54A03">
        <w:rPr>
          <w:color w:val="000000" w:themeColor="text1"/>
          <w:sz w:val="24"/>
          <w:szCs w:val="24"/>
        </w:rPr>
        <w:t xml:space="preserve"> </w:t>
      </w:r>
      <w:proofErr w:type="spellStart"/>
      <w:r w:rsidRPr="00C54A03">
        <w:rPr>
          <w:color w:val="000000" w:themeColor="text1"/>
          <w:sz w:val="24"/>
          <w:szCs w:val="24"/>
        </w:rPr>
        <w:t>pentru</w:t>
      </w:r>
      <w:proofErr w:type="spellEnd"/>
      <w:r w:rsidRPr="00C54A03">
        <w:rPr>
          <w:color w:val="000000" w:themeColor="text1"/>
          <w:sz w:val="24"/>
          <w:szCs w:val="24"/>
        </w:rPr>
        <w:t xml:space="preserve"> </w:t>
      </w:r>
      <w:proofErr w:type="spellStart"/>
      <w:r w:rsidRPr="00C54A03">
        <w:rPr>
          <w:color w:val="000000" w:themeColor="text1"/>
          <w:sz w:val="24"/>
          <w:szCs w:val="24"/>
        </w:rPr>
        <w:t>amenințări</w:t>
      </w:r>
      <w:proofErr w:type="spellEnd"/>
      <w:r w:rsidRPr="00C54A03">
        <w:rPr>
          <w:color w:val="000000" w:themeColor="text1"/>
          <w:sz w:val="24"/>
          <w:szCs w:val="24"/>
        </w:rPr>
        <w:t xml:space="preserve"> </w:t>
      </w:r>
      <w:proofErr w:type="spellStart"/>
      <w:r w:rsidRPr="00C54A03">
        <w:rPr>
          <w:color w:val="000000" w:themeColor="text1"/>
          <w:sz w:val="24"/>
          <w:szCs w:val="24"/>
        </w:rPr>
        <w:t>aceasta</w:t>
      </w:r>
      <w:proofErr w:type="spellEnd"/>
      <w:r w:rsidRPr="00C54A03">
        <w:rPr>
          <w:color w:val="000000" w:themeColor="text1"/>
          <w:sz w:val="24"/>
          <w:szCs w:val="24"/>
        </w:rPr>
        <w:t xml:space="preserve"> </w:t>
      </w:r>
      <w:proofErr w:type="spellStart"/>
      <w:r w:rsidRPr="00C54A03">
        <w:rPr>
          <w:color w:val="000000" w:themeColor="text1"/>
          <w:sz w:val="24"/>
          <w:szCs w:val="24"/>
        </w:rPr>
        <w:t>să</w:t>
      </w:r>
      <w:proofErr w:type="spellEnd"/>
      <w:r w:rsidRPr="00C54A03">
        <w:rPr>
          <w:color w:val="000000" w:themeColor="text1"/>
          <w:sz w:val="24"/>
          <w:szCs w:val="24"/>
        </w:rPr>
        <w:t xml:space="preserve"> </w:t>
      </w:r>
      <w:proofErr w:type="spellStart"/>
      <w:r w:rsidRPr="00C54A03">
        <w:rPr>
          <w:color w:val="000000" w:themeColor="text1"/>
          <w:sz w:val="24"/>
          <w:szCs w:val="24"/>
        </w:rPr>
        <w:t>acopere</w:t>
      </w:r>
      <w:proofErr w:type="spellEnd"/>
      <w:r w:rsidRPr="00C54A03">
        <w:rPr>
          <w:color w:val="000000" w:themeColor="text1"/>
          <w:sz w:val="24"/>
          <w:szCs w:val="24"/>
        </w:rPr>
        <w:t xml:space="preserve"> </w:t>
      </w:r>
      <w:proofErr w:type="spellStart"/>
      <w:r w:rsidRPr="00C54A03">
        <w:rPr>
          <w:color w:val="000000" w:themeColor="text1"/>
          <w:sz w:val="24"/>
          <w:szCs w:val="24"/>
        </w:rPr>
        <w:t>două</w:t>
      </w:r>
      <w:proofErr w:type="spellEnd"/>
      <w:r w:rsidRPr="00C54A03">
        <w:rPr>
          <w:color w:val="000000" w:themeColor="text1"/>
          <w:spacing w:val="1"/>
          <w:sz w:val="24"/>
          <w:szCs w:val="24"/>
        </w:rPr>
        <w:t xml:space="preserve"> </w:t>
      </w:r>
      <w:proofErr w:type="spellStart"/>
      <w:r w:rsidRPr="00C54A03">
        <w:rPr>
          <w:color w:val="000000" w:themeColor="text1"/>
          <w:sz w:val="24"/>
          <w:szCs w:val="24"/>
        </w:rPr>
        <w:t>perioade</w:t>
      </w:r>
      <w:proofErr w:type="spellEnd"/>
      <w:r w:rsidRPr="00C54A03">
        <w:rPr>
          <w:color w:val="000000" w:themeColor="text1"/>
          <w:sz w:val="24"/>
          <w:szCs w:val="24"/>
        </w:rPr>
        <w:t xml:space="preserve"> </w:t>
      </w:r>
      <w:proofErr w:type="spellStart"/>
      <w:r w:rsidRPr="00C54A03">
        <w:rPr>
          <w:color w:val="000000" w:themeColor="text1"/>
          <w:sz w:val="24"/>
          <w:szCs w:val="24"/>
        </w:rPr>
        <w:t>viitoare</w:t>
      </w:r>
      <w:proofErr w:type="spellEnd"/>
      <w:r w:rsidRPr="00C54A03">
        <w:rPr>
          <w:color w:val="000000" w:themeColor="text1"/>
          <w:sz w:val="24"/>
          <w:szCs w:val="24"/>
        </w:rPr>
        <w:t xml:space="preserve"> de</w:t>
      </w:r>
      <w:r w:rsidRPr="00C54A03">
        <w:rPr>
          <w:color w:val="000000" w:themeColor="text1"/>
          <w:spacing w:val="1"/>
          <w:sz w:val="24"/>
          <w:szCs w:val="24"/>
        </w:rPr>
        <w:t xml:space="preserve"> </w:t>
      </w:r>
      <w:proofErr w:type="spellStart"/>
      <w:r w:rsidRPr="00C54A03">
        <w:rPr>
          <w:color w:val="000000" w:themeColor="text1"/>
          <w:sz w:val="24"/>
          <w:szCs w:val="24"/>
        </w:rPr>
        <w:t>raportare</w:t>
      </w:r>
      <w:proofErr w:type="spellEnd"/>
      <w:r w:rsidRPr="00C54A03">
        <w:rPr>
          <w:color w:val="000000" w:themeColor="text1"/>
          <w:sz w:val="24"/>
          <w:szCs w:val="24"/>
        </w:rPr>
        <w:t xml:space="preserve">, </w:t>
      </w:r>
      <w:proofErr w:type="spellStart"/>
      <w:r w:rsidRPr="00C54A03">
        <w:rPr>
          <w:color w:val="000000" w:themeColor="text1"/>
          <w:sz w:val="24"/>
          <w:szCs w:val="24"/>
        </w:rPr>
        <w:t>respectiv</w:t>
      </w:r>
      <w:proofErr w:type="spellEnd"/>
      <w:r w:rsidRPr="00C54A03">
        <w:rPr>
          <w:color w:val="000000" w:themeColor="text1"/>
          <w:sz w:val="24"/>
          <w:szCs w:val="24"/>
        </w:rPr>
        <w:t xml:space="preserve"> 12 ani. </w:t>
      </w:r>
      <w:proofErr w:type="spellStart"/>
      <w:r w:rsidRPr="00C54A03">
        <w:rPr>
          <w:color w:val="000000" w:themeColor="text1"/>
          <w:sz w:val="24"/>
          <w:szCs w:val="24"/>
        </w:rPr>
        <w:t>Importanța</w:t>
      </w:r>
      <w:proofErr w:type="spellEnd"/>
      <w:r w:rsidRPr="00C54A03">
        <w:rPr>
          <w:color w:val="000000" w:themeColor="text1"/>
          <w:sz w:val="24"/>
          <w:szCs w:val="24"/>
        </w:rPr>
        <w:t xml:space="preserve"> </w:t>
      </w:r>
      <w:proofErr w:type="spellStart"/>
      <w:r w:rsidRPr="00C54A03">
        <w:rPr>
          <w:color w:val="000000" w:themeColor="text1"/>
          <w:sz w:val="24"/>
          <w:szCs w:val="24"/>
        </w:rPr>
        <w:t>relativă</w:t>
      </w:r>
      <w:proofErr w:type="spellEnd"/>
      <w:r w:rsidRPr="00C54A03">
        <w:rPr>
          <w:color w:val="000000" w:themeColor="text1"/>
          <w:sz w:val="24"/>
          <w:szCs w:val="24"/>
        </w:rPr>
        <w:t xml:space="preserve"> a </w:t>
      </w:r>
      <w:proofErr w:type="spellStart"/>
      <w:r w:rsidRPr="00C54A03">
        <w:rPr>
          <w:color w:val="000000" w:themeColor="text1"/>
          <w:sz w:val="24"/>
          <w:szCs w:val="24"/>
        </w:rPr>
        <w:t>amenințărilor</w:t>
      </w:r>
      <w:proofErr w:type="spellEnd"/>
      <w:r w:rsidRPr="00C54A03">
        <w:rPr>
          <w:color w:val="000000" w:themeColor="text1"/>
          <w:sz w:val="24"/>
          <w:szCs w:val="24"/>
        </w:rPr>
        <w:t xml:space="preserve"> </w:t>
      </w:r>
      <w:proofErr w:type="spellStart"/>
      <w:r w:rsidRPr="00C54A03">
        <w:rPr>
          <w:color w:val="000000" w:themeColor="text1"/>
          <w:sz w:val="24"/>
          <w:szCs w:val="24"/>
        </w:rPr>
        <w:t>și</w:t>
      </w:r>
      <w:proofErr w:type="spellEnd"/>
      <w:r w:rsidRPr="00C54A03">
        <w:rPr>
          <w:color w:val="000000" w:themeColor="text1"/>
          <w:sz w:val="24"/>
          <w:szCs w:val="24"/>
        </w:rPr>
        <w:t xml:space="preserve"> </w:t>
      </w:r>
      <w:proofErr w:type="spellStart"/>
      <w:r w:rsidRPr="00C54A03">
        <w:rPr>
          <w:color w:val="000000" w:themeColor="text1"/>
          <w:sz w:val="24"/>
          <w:szCs w:val="24"/>
        </w:rPr>
        <w:t>presiunilor</w:t>
      </w:r>
      <w:proofErr w:type="spellEnd"/>
      <w:r w:rsidRPr="00C54A03">
        <w:rPr>
          <w:color w:val="000000" w:themeColor="text1"/>
          <w:sz w:val="24"/>
          <w:szCs w:val="24"/>
        </w:rPr>
        <w:t xml:space="preserve"> </w:t>
      </w:r>
      <w:proofErr w:type="spellStart"/>
      <w:r w:rsidRPr="00C54A03">
        <w:rPr>
          <w:color w:val="000000" w:themeColor="text1"/>
          <w:sz w:val="24"/>
          <w:szCs w:val="24"/>
        </w:rPr>
        <w:t>trebuie</w:t>
      </w:r>
      <w:proofErr w:type="spellEnd"/>
      <w:r w:rsidRPr="00C54A03">
        <w:rPr>
          <w:color w:val="000000" w:themeColor="text1"/>
          <w:sz w:val="24"/>
          <w:szCs w:val="24"/>
        </w:rPr>
        <w:t xml:space="preserve"> </w:t>
      </w:r>
      <w:proofErr w:type="spellStart"/>
      <w:r w:rsidRPr="00C54A03">
        <w:rPr>
          <w:color w:val="000000" w:themeColor="text1"/>
          <w:sz w:val="24"/>
          <w:szCs w:val="24"/>
        </w:rPr>
        <w:t>să</w:t>
      </w:r>
      <w:proofErr w:type="spellEnd"/>
      <w:r w:rsidRPr="00C54A03">
        <w:rPr>
          <w:color w:val="000000" w:themeColor="text1"/>
          <w:sz w:val="24"/>
          <w:szCs w:val="24"/>
        </w:rPr>
        <w:t xml:space="preserve"> se </w:t>
      </w:r>
      <w:proofErr w:type="spellStart"/>
      <w:r w:rsidRPr="00C54A03">
        <w:rPr>
          <w:color w:val="000000" w:themeColor="text1"/>
          <w:sz w:val="24"/>
          <w:szCs w:val="24"/>
        </w:rPr>
        <w:t>încadreze</w:t>
      </w:r>
      <w:proofErr w:type="spellEnd"/>
      <w:r w:rsidRPr="00C54A03">
        <w:rPr>
          <w:color w:val="000000" w:themeColor="text1"/>
          <w:spacing w:val="1"/>
          <w:sz w:val="24"/>
          <w:szCs w:val="24"/>
        </w:rPr>
        <w:t xml:space="preserve"> </w:t>
      </w:r>
      <w:proofErr w:type="spellStart"/>
      <w:r w:rsidRPr="00C54A03">
        <w:rPr>
          <w:color w:val="000000" w:themeColor="text1"/>
          <w:sz w:val="24"/>
          <w:szCs w:val="24"/>
        </w:rPr>
        <w:t>în</w:t>
      </w:r>
      <w:proofErr w:type="spellEnd"/>
      <w:r w:rsidRPr="00C54A03">
        <w:rPr>
          <w:color w:val="000000" w:themeColor="text1"/>
          <w:spacing w:val="-1"/>
          <w:sz w:val="24"/>
          <w:szCs w:val="24"/>
        </w:rPr>
        <w:t xml:space="preserve"> </w:t>
      </w:r>
      <w:proofErr w:type="spellStart"/>
      <w:r w:rsidRPr="00C54A03">
        <w:rPr>
          <w:color w:val="000000" w:themeColor="text1"/>
          <w:sz w:val="24"/>
          <w:szCs w:val="24"/>
        </w:rPr>
        <w:t>una</w:t>
      </w:r>
      <w:proofErr w:type="spellEnd"/>
      <w:r w:rsidRPr="00C54A03">
        <w:rPr>
          <w:color w:val="000000" w:themeColor="text1"/>
          <w:sz w:val="24"/>
          <w:szCs w:val="24"/>
        </w:rPr>
        <w:t xml:space="preserve"> din </w:t>
      </w:r>
      <w:proofErr w:type="spellStart"/>
      <w:r w:rsidRPr="00C54A03">
        <w:rPr>
          <w:color w:val="000000" w:themeColor="text1"/>
          <w:sz w:val="24"/>
          <w:szCs w:val="24"/>
        </w:rPr>
        <w:t>cele</w:t>
      </w:r>
      <w:proofErr w:type="spellEnd"/>
      <w:r w:rsidRPr="00C54A03">
        <w:rPr>
          <w:color w:val="000000" w:themeColor="text1"/>
          <w:sz w:val="24"/>
          <w:szCs w:val="24"/>
        </w:rPr>
        <w:t xml:space="preserve"> </w:t>
      </w:r>
      <w:proofErr w:type="spellStart"/>
      <w:r w:rsidRPr="00C54A03">
        <w:rPr>
          <w:color w:val="000000" w:themeColor="text1"/>
          <w:sz w:val="24"/>
          <w:szCs w:val="24"/>
        </w:rPr>
        <w:t>trei</w:t>
      </w:r>
      <w:proofErr w:type="spellEnd"/>
      <w:r w:rsidRPr="00C54A03">
        <w:rPr>
          <w:color w:val="000000" w:themeColor="text1"/>
          <w:spacing w:val="2"/>
          <w:sz w:val="24"/>
          <w:szCs w:val="24"/>
        </w:rPr>
        <w:t xml:space="preserve"> </w:t>
      </w:r>
      <w:proofErr w:type="spellStart"/>
      <w:r w:rsidRPr="00C54A03">
        <w:rPr>
          <w:color w:val="000000" w:themeColor="text1"/>
          <w:sz w:val="24"/>
          <w:szCs w:val="24"/>
        </w:rPr>
        <w:t>categorii</w:t>
      </w:r>
      <w:proofErr w:type="spellEnd"/>
      <w:r w:rsidRPr="00C54A03">
        <w:rPr>
          <w:color w:val="000000" w:themeColor="text1"/>
          <w:sz w:val="24"/>
          <w:szCs w:val="24"/>
        </w:rPr>
        <w:t>:</w:t>
      </w:r>
    </w:p>
    <w:p w14:paraId="7708CC6C" w14:textId="77777777" w:rsidR="007702CD" w:rsidRPr="00C54A03" w:rsidRDefault="007702CD" w:rsidP="008E33FD">
      <w:pPr>
        <w:pStyle w:val="BodyText"/>
        <w:spacing w:before="8"/>
        <w:jc w:val="both"/>
        <w:rPr>
          <w:color w:val="000000" w:themeColor="text1"/>
          <w:sz w:val="24"/>
          <w:szCs w:val="24"/>
        </w:rPr>
      </w:pPr>
    </w:p>
    <w:tbl>
      <w:tblPr>
        <w:tblW w:w="0" w:type="auto"/>
        <w:tblInd w:w="10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4"/>
        <w:gridCol w:w="3097"/>
        <w:gridCol w:w="4189"/>
      </w:tblGrid>
      <w:tr w:rsidR="007702CD" w:rsidRPr="00C54A03" w14:paraId="5FC77E1E" w14:textId="77777777" w:rsidTr="00102A1A">
        <w:trPr>
          <w:trHeight w:val="275"/>
        </w:trPr>
        <w:tc>
          <w:tcPr>
            <w:tcW w:w="924" w:type="dxa"/>
          </w:tcPr>
          <w:p w14:paraId="279735C9" w14:textId="77777777" w:rsidR="007702CD" w:rsidRPr="00C54A03" w:rsidRDefault="007702CD" w:rsidP="008E33FD">
            <w:pPr>
              <w:pStyle w:val="TableParagraph"/>
              <w:spacing w:line="256" w:lineRule="exact"/>
              <w:ind w:left="107"/>
              <w:jc w:val="both"/>
              <w:rPr>
                <w:b/>
                <w:color w:val="000000" w:themeColor="text1"/>
                <w:sz w:val="24"/>
                <w:szCs w:val="24"/>
              </w:rPr>
            </w:pPr>
            <w:r w:rsidRPr="00C54A03">
              <w:rPr>
                <w:b/>
                <w:color w:val="000000" w:themeColor="text1"/>
                <w:sz w:val="24"/>
                <w:szCs w:val="24"/>
              </w:rPr>
              <w:t>Codul</w:t>
            </w:r>
          </w:p>
        </w:tc>
        <w:tc>
          <w:tcPr>
            <w:tcW w:w="3097" w:type="dxa"/>
          </w:tcPr>
          <w:p w14:paraId="6EF71EE2" w14:textId="77777777" w:rsidR="007702CD" w:rsidRPr="00C54A03" w:rsidRDefault="007702CD" w:rsidP="008E33FD">
            <w:pPr>
              <w:pStyle w:val="TableParagraph"/>
              <w:spacing w:line="256" w:lineRule="exact"/>
              <w:ind w:left="107"/>
              <w:jc w:val="both"/>
              <w:rPr>
                <w:b/>
                <w:color w:val="000000" w:themeColor="text1"/>
                <w:sz w:val="24"/>
                <w:szCs w:val="24"/>
              </w:rPr>
            </w:pPr>
            <w:r w:rsidRPr="00C54A03">
              <w:rPr>
                <w:b/>
                <w:color w:val="000000" w:themeColor="text1"/>
                <w:sz w:val="24"/>
                <w:szCs w:val="24"/>
              </w:rPr>
              <w:t>Semnificația</w:t>
            </w:r>
          </w:p>
        </w:tc>
        <w:tc>
          <w:tcPr>
            <w:tcW w:w="4189" w:type="dxa"/>
          </w:tcPr>
          <w:p w14:paraId="1968AD27" w14:textId="77777777" w:rsidR="007702CD" w:rsidRPr="00C54A03" w:rsidRDefault="007702CD" w:rsidP="008E33FD">
            <w:pPr>
              <w:pStyle w:val="TableParagraph"/>
              <w:spacing w:line="256" w:lineRule="exact"/>
              <w:ind w:left="107"/>
              <w:jc w:val="both"/>
              <w:rPr>
                <w:b/>
                <w:color w:val="000000" w:themeColor="text1"/>
                <w:sz w:val="24"/>
                <w:szCs w:val="24"/>
              </w:rPr>
            </w:pPr>
            <w:r w:rsidRPr="00C54A03">
              <w:rPr>
                <w:b/>
                <w:color w:val="000000" w:themeColor="text1"/>
                <w:sz w:val="24"/>
                <w:szCs w:val="24"/>
              </w:rPr>
              <w:t>Observații</w:t>
            </w:r>
          </w:p>
        </w:tc>
      </w:tr>
      <w:tr w:rsidR="007702CD" w:rsidRPr="00C54A03" w14:paraId="6F464642" w14:textId="77777777" w:rsidTr="00102A1A">
        <w:trPr>
          <w:trHeight w:val="827"/>
        </w:trPr>
        <w:tc>
          <w:tcPr>
            <w:tcW w:w="924" w:type="dxa"/>
          </w:tcPr>
          <w:p w14:paraId="033E33A6" w14:textId="77777777" w:rsidR="007702CD" w:rsidRPr="00C54A03" w:rsidRDefault="007702CD" w:rsidP="008E33FD">
            <w:pPr>
              <w:pStyle w:val="TableParagraph"/>
              <w:spacing w:line="268" w:lineRule="exact"/>
              <w:ind w:left="107"/>
              <w:jc w:val="both"/>
              <w:rPr>
                <w:color w:val="000000" w:themeColor="text1"/>
                <w:sz w:val="24"/>
                <w:szCs w:val="24"/>
              </w:rPr>
            </w:pPr>
            <w:r w:rsidRPr="00C54A03">
              <w:rPr>
                <w:color w:val="000000" w:themeColor="text1"/>
                <w:w w:val="99"/>
                <w:sz w:val="24"/>
                <w:szCs w:val="24"/>
              </w:rPr>
              <w:t>H</w:t>
            </w:r>
          </w:p>
        </w:tc>
        <w:tc>
          <w:tcPr>
            <w:tcW w:w="3097" w:type="dxa"/>
          </w:tcPr>
          <w:p w14:paraId="04500641" w14:textId="77777777" w:rsidR="007702CD" w:rsidRPr="00C54A03" w:rsidRDefault="007702CD" w:rsidP="008E33FD">
            <w:pPr>
              <w:pStyle w:val="TableParagraph"/>
              <w:spacing w:line="268" w:lineRule="exact"/>
              <w:ind w:left="107"/>
              <w:jc w:val="both"/>
              <w:rPr>
                <w:color w:val="000000" w:themeColor="text1"/>
                <w:sz w:val="24"/>
                <w:szCs w:val="24"/>
              </w:rPr>
            </w:pPr>
            <w:r w:rsidRPr="00C54A03">
              <w:rPr>
                <w:color w:val="000000" w:themeColor="text1"/>
                <w:sz w:val="24"/>
                <w:szCs w:val="24"/>
              </w:rPr>
              <w:t>Importanță/impact</w:t>
            </w:r>
            <w:r w:rsidRPr="00C54A03">
              <w:rPr>
                <w:color w:val="000000" w:themeColor="text1"/>
                <w:spacing w:val="-3"/>
                <w:sz w:val="24"/>
                <w:szCs w:val="24"/>
              </w:rPr>
              <w:t xml:space="preserve"> </w:t>
            </w:r>
            <w:r w:rsidRPr="00C54A03">
              <w:rPr>
                <w:color w:val="000000" w:themeColor="text1"/>
                <w:sz w:val="24"/>
                <w:szCs w:val="24"/>
              </w:rPr>
              <w:t>mare</w:t>
            </w:r>
          </w:p>
        </w:tc>
        <w:tc>
          <w:tcPr>
            <w:tcW w:w="4189" w:type="dxa"/>
          </w:tcPr>
          <w:p w14:paraId="0D0C9FC5" w14:textId="77777777" w:rsidR="007702CD" w:rsidRPr="00C54A03" w:rsidRDefault="007702CD" w:rsidP="008E33FD">
            <w:pPr>
              <w:pStyle w:val="TableParagraph"/>
              <w:tabs>
                <w:tab w:val="left" w:pos="1407"/>
                <w:tab w:val="left" w:pos="2496"/>
                <w:tab w:val="left" w:pos="3252"/>
              </w:tabs>
              <w:ind w:left="107" w:right="98"/>
              <w:jc w:val="both"/>
              <w:rPr>
                <w:color w:val="000000" w:themeColor="text1"/>
                <w:sz w:val="24"/>
                <w:szCs w:val="24"/>
              </w:rPr>
            </w:pPr>
            <w:r w:rsidRPr="00C54A03">
              <w:rPr>
                <w:color w:val="000000" w:themeColor="text1"/>
                <w:sz w:val="24"/>
                <w:szCs w:val="24"/>
              </w:rPr>
              <w:t>Influență</w:t>
            </w:r>
            <w:r w:rsidRPr="00C54A03">
              <w:rPr>
                <w:color w:val="000000" w:themeColor="text1"/>
                <w:sz w:val="24"/>
                <w:szCs w:val="24"/>
              </w:rPr>
              <w:tab/>
              <w:t>directă</w:t>
            </w:r>
            <w:r w:rsidRPr="00C54A03">
              <w:rPr>
                <w:color w:val="000000" w:themeColor="text1"/>
                <w:sz w:val="24"/>
                <w:szCs w:val="24"/>
              </w:rPr>
              <w:tab/>
              <w:t>sau</w:t>
            </w:r>
            <w:r w:rsidRPr="00C54A03">
              <w:rPr>
                <w:color w:val="000000" w:themeColor="text1"/>
                <w:sz w:val="24"/>
                <w:szCs w:val="24"/>
              </w:rPr>
              <w:tab/>
            </w:r>
            <w:r w:rsidRPr="00C54A03">
              <w:rPr>
                <w:color w:val="000000" w:themeColor="text1"/>
                <w:spacing w:val="-1"/>
                <w:sz w:val="24"/>
                <w:szCs w:val="24"/>
              </w:rPr>
              <w:t>imediată</w:t>
            </w:r>
            <w:r w:rsidRPr="00C54A03">
              <w:rPr>
                <w:color w:val="000000" w:themeColor="text1"/>
                <w:spacing w:val="-57"/>
                <w:sz w:val="24"/>
                <w:szCs w:val="24"/>
              </w:rPr>
              <w:t xml:space="preserve"> </w:t>
            </w:r>
            <w:r w:rsidRPr="00C54A03">
              <w:rPr>
                <w:color w:val="000000" w:themeColor="text1"/>
                <w:sz w:val="24"/>
                <w:szCs w:val="24"/>
              </w:rPr>
              <w:t>semnificativă</w:t>
            </w:r>
            <w:r w:rsidRPr="00C54A03">
              <w:rPr>
                <w:color w:val="000000" w:themeColor="text1"/>
                <w:spacing w:val="18"/>
                <w:sz w:val="24"/>
                <w:szCs w:val="24"/>
              </w:rPr>
              <w:t xml:space="preserve"> </w:t>
            </w:r>
            <w:r w:rsidRPr="00C54A03">
              <w:rPr>
                <w:color w:val="000000" w:themeColor="text1"/>
                <w:sz w:val="24"/>
                <w:szCs w:val="24"/>
              </w:rPr>
              <w:t>și/sau</w:t>
            </w:r>
            <w:r w:rsidRPr="00C54A03">
              <w:rPr>
                <w:color w:val="000000" w:themeColor="text1"/>
                <w:spacing w:val="20"/>
                <w:sz w:val="24"/>
                <w:szCs w:val="24"/>
              </w:rPr>
              <w:t xml:space="preserve"> </w:t>
            </w:r>
            <w:r w:rsidRPr="00C54A03">
              <w:rPr>
                <w:color w:val="000000" w:themeColor="text1"/>
                <w:sz w:val="24"/>
                <w:szCs w:val="24"/>
              </w:rPr>
              <w:t>acţiune</w:t>
            </w:r>
            <w:r w:rsidRPr="00C54A03">
              <w:rPr>
                <w:color w:val="000000" w:themeColor="text1"/>
                <w:spacing w:val="19"/>
                <w:sz w:val="24"/>
                <w:szCs w:val="24"/>
              </w:rPr>
              <w:t xml:space="preserve"> </w:t>
            </w:r>
            <w:r w:rsidRPr="00C54A03">
              <w:rPr>
                <w:color w:val="000000" w:themeColor="text1"/>
                <w:sz w:val="24"/>
                <w:szCs w:val="24"/>
              </w:rPr>
              <w:t>pe</w:t>
            </w:r>
            <w:r w:rsidRPr="00C54A03">
              <w:rPr>
                <w:color w:val="000000" w:themeColor="text1"/>
                <w:spacing w:val="18"/>
                <w:sz w:val="24"/>
                <w:szCs w:val="24"/>
              </w:rPr>
              <w:t xml:space="preserve"> </w:t>
            </w:r>
            <w:r w:rsidRPr="00C54A03">
              <w:rPr>
                <w:color w:val="000000" w:themeColor="text1"/>
                <w:sz w:val="24"/>
                <w:szCs w:val="24"/>
              </w:rPr>
              <w:t>suprafețe</w:t>
            </w:r>
          </w:p>
          <w:p w14:paraId="3859FCDC" w14:textId="77777777" w:rsidR="007702CD" w:rsidRPr="00C54A03" w:rsidRDefault="007702CD" w:rsidP="008E33FD">
            <w:pPr>
              <w:pStyle w:val="TableParagraph"/>
              <w:spacing w:line="264" w:lineRule="exact"/>
              <w:ind w:left="107"/>
              <w:jc w:val="both"/>
              <w:rPr>
                <w:color w:val="000000" w:themeColor="text1"/>
                <w:sz w:val="24"/>
                <w:szCs w:val="24"/>
              </w:rPr>
            </w:pPr>
            <w:r w:rsidRPr="00C54A03">
              <w:rPr>
                <w:color w:val="000000" w:themeColor="text1"/>
                <w:sz w:val="24"/>
                <w:szCs w:val="24"/>
              </w:rPr>
              <w:t>mari</w:t>
            </w:r>
          </w:p>
        </w:tc>
      </w:tr>
      <w:tr w:rsidR="007702CD" w:rsidRPr="00C54A03" w14:paraId="4C051403" w14:textId="77777777" w:rsidTr="00102A1A">
        <w:trPr>
          <w:trHeight w:val="1103"/>
        </w:trPr>
        <w:tc>
          <w:tcPr>
            <w:tcW w:w="924" w:type="dxa"/>
          </w:tcPr>
          <w:p w14:paraId="76025014" w14:textId="77777777" w:rsidR="007702CD" w:rsidRPr="00C54A03" w:rsidRDefault="007702CD" w:rsidP="008E33FD">
            <w:pPr>
              <w:pStyle w:val="TableParagraph"/>
              <w:spacing w:line="268" w:lineRule="exact"/>
              <w:ind w:left="107"/>
              <w:jc w:val="both"/>
              <w:rPr>
                <w:color w:val="000000" w:themeColor="text1"/>
                <w:sz w:val="24"/>
                <w:szCs w:val="24"/>
              </w:rPr>
            </w:pPr>
            <w:r w:rsidRPr="00C54A03">
              <w:rPr>
                <w:color w:val="000000" w:themeColor="text1"/>
                <w:w w:val="99"/>
                <w:sz w:val="24"/>
                <w:szCs w:val="24"/>
              </w:rPr>
              <w:t>M</w:t>
            </w:r>
          </w:p>
        </w:tc>
        <w:tc>
          <w:tcPr>
            <w:tcW w:w="3097" w:type="dxa"/>
          </w:tcPr>
          <w:p w14:paraId="51C70414" w14:textId="77777777" w:rsidR="007702CD" w:rsidRPr="00C54A03" w:rsidRDefault="007702CD" w:rsidP="008E33FD">
            <w:pPr>
              <w:pStyle w:val="TableParagraph"/>
              <w:spacing w:line="268" w:lineRule="exact"/>
              <w:ind w:left="107"/>
              <w:jc w:val="both"/>
              <w:rPr>
                <w:color w:val="000000" w:themeColor="text1"/>
                <w:sz w:val="24"/>
                <w:szCs w:val="24"/>
              </w:rPr>
            </w:pPr>
            <w:r w:rsidRPr="00C54A03">
              <w:rPr>
                <w:color w:val="000000" w:themeColor="text1"/>
                <w:sz w:val="24"/>
                <w:szCs w:val="24"/>
              </w:rPr>
              <w:t>Importanță/impact</w:t>
            </w:r>
            <w:r w:rsidRPr="00C54A03">
              <w:rPr>
                <w:color w:val="000000" w:themeColor="text1"/>
                <w:spacing w:val="-3"/>
                <w:sz w:val="24"/>
                <w:szCs w:val="24"/>
              </w:rPr>
              <w:t xml:space="preserve"> </w:t>
            </w:r>
            <w:r w:rsidRPr="00C54A03">
              <w:rPr>
                <w:color w:val="000000" w:themeColor="text1"/>
                <w:sz w:val="24"/>
                <w:szCs w:val="24"/>
              </w:rPr>
              <w:t>mediu</w:t>
            </w:r>
          </w:p>
        </w:tc>
        <w:tc>
          <w:tcPr>
            <w:tcW w:w="4189" w:type="dxa"/>
          </w:tcPr>
          <w:p w14:paraId="5AF453FF" w14:textId="77777777" w:rsidR="007702CD" w:rsidRPr="00C54A03" w:rsidRDefault="007702CD" w:rsidP="008E33FD">
            <w:pPr>
              <w:pStyle w:val="TableParagraph"/>
              <w:ind w:left="107" w:right="95"/>
              <w:jc w:val="both"/>
              <w:rPr>
                <w:color w:val="000000" w:themeColor="text1"/>
                <w:sz w:val="24"/>
                <w:szCs w:val="24"/>
              </w:rPr>
            </w:pPr>
            <w:r w:rsidRPr="00C54A03">
              <w:rPr>
                <w:color w:val="000000" w:themeColor="text1"/>
                <w:sz w:val="24"/>
                <w:szCs w:val="24"/>
              </w:rPr>
              <w:t>Influență directă sau imediată medie, în</w:t>
            </w:r>
            <w:r w:rsidRPr="00C54A03">
              <w:rPr>
                <w:color w:val="000000" w:themeColor="text1"/>
                <w:spacing w:val="1"/>
                <w:sz w:val="24"/>
                <w:szCs w:val="24"/>
              </w:rPr>
              <w:t xml:space="preserve"> </w:t>
            </w:r>
            <w:r w:rsidRPr="00C54A03">
              <w:rPr>
                <w:color w:val="000000" w:themeColor="text1"/>
                <w:sz w:val="24"/>
                <w:szCs w:val="24"/>
              </w:rPr>
              <w:t>principal</w:t>
            </w:r>
            <w:r w:rsidRPr="00C54A03">
              <w:rPr>
                <w:color w:val="000000" w:themeColor="text1"/>
                <w:spacing w:val="1"/>
                <w:sz w:val="24"/>
                <w:szCs w:val="24"/>
              </w:rPr>
              <w:t xml:space="preserve"> </w:t>
            </w:r>
            <w:r w:rsidRPr="00C54A03">
              <w:rPr>
                <w:color w:val="000000" w:themeColor="text1"/>
                <w:sz w:val="24"/>
                <w:szCs w:val="24"/>
              </w:rPr>
              <w:t>influență</w:t>
            </w:r>
            <w:r w:rsidRPr="00C54A03">
              <w:rPr>
                <w:color w:val="000000" w:themeColor="text1"/>
                <w:spacing w:val="1"/>
                <w:sz w:val="24"/>
                <w:szCs w:val="24"/>
              </w:rPr>
              <w:t xml:space="preserve"> </w:t>
            </w:r>
            <w:r w:rsidRPr="00C54A03">
              <w:rPr>
                <w:color w:val="000000" w:themeColor="text1"/>
                <w:sz w:val="24"/>
                <w:szCs w:val="24"/>
              </w:rPr>
              <w:t>indirectă</w:t>
            </w:r>
            <w:r w:rsidRPr="00C54A03">
              <w:rPr>
                <w:color w:val="000000" w:themeColor="text1"/>
                <w:spacing w:val="61"/>
                <w:sz w:val="24"/>
                <w:szCs w:val="24"/>
              </w:rPr>
              <w:t xml:space="preserve"> </w:t>
            </w:r>
            <w:r w:rsidRPr="00C54A03">
              <w:rPr>
                <w:color w:val="000000" w:themeColor="text1"/>
                <w:sz w:val="24"/>
                <w:szCs w:val="24"/>
              </w:rPr>
              <w:t>și/sau</w:t>
            </w:r>
            <w:r w:rsidRPr="00C54A03">
              <w:rPr>
                <w:color w:val="000000" w:themeColor="text1"/>
                <w:spacing w:val="1"/>
                <w:sz w:val="24"/>
                <w:szCs w:val="24"/>
              </w:rPr>
              <w:t xml:space="preserve"> </w:t>
            </w:r>
            <w:r w:rsidRPr="00C54A03">
              <w:rPr>
                <w:color w:val="000000" w:themeColor="text1"/>
                <w:sz w:val="24"/>
                <w:szCs w:val="24"/>
              </w:rPr>
              <w:t>acțiune</w:t>
            </w:r>
            <w:r w:rsidRPr="00C54A03">
              <w:rPr>
                <w:color w:val="000000" w:themeColor="text1"/>
                <w:spacing w:val="8"/>
                <w:sz w:val="24"/>
                <w:szCs w:val="24"/>
              </w:rPr>
              <w:t xml:space="preserve"> </w:t>
            </w:r>
            <w:r w:rsidRPr="00C54A03">
              <w:rPr>
                <w:color w:val="000000" w:themeColor="text1"/>
                <w:sz w:val="24"/>
                <w:szCs w:val="24"/>
              </w:rPr>
              <w:t>asupra</w:t>
            </w:r>
            <w:r w:rsidRPr="00C54A03">
              <w:rPr>
                <w:color w:val="000000" w:themeColor="text1"/>
                <w:spacing w:val="8"/>
                <w:sz w:val="24"/>
                <w:szCs w:val="24"/>
              </w:rPr>
              <w:t xml:space="preserve"> </w:t>
            </w:r>
            <w:r w:rsidRPr="00C54A03">
              <w:rPr>
                <w:color w:val="000000" w:themeColor="text1"/>
                <w:sz w:val="24"/>
                <w:szCs w:val="24"/>
              </w:rPr>
              <w:t>unei</w:t>
            </w:r>
            <w:r w:rsidRPr="00C54A03">
              <w:rPr>
                <w:color w:val="000000" w:themeColor="text1"/>
                <w:spacing w:val="9"/>
                <w:sz w:val="24"/>
                <w:szCs w:val="24"/>
              </w:rPr>
              <w:t xml:space="preserve"> </w:t>
            </w:r>
            <w:r w:rsidRPr="00C54A03">
              <w:rPr>
                <w:color w:val="000000" w:themeColor="text1"/>
                <w:sz w:val="24"/>
                <w:szCs w:val="24"/>
              </w:rPr>
              <w:t>părți</w:t>
            </w:r>
            <w:r w:rsidRPr="00C54A03">
              <w:rPr>
                <w:color w:val="000000" w:themeColor="text1"/>
                <w:spacing w:val="9"/>
                <w:sz w:val="24"/>
                <w:szCs w:val="24"/>
              </w:rPr>
              <w:t xml:space="preserve"> </w:t>
            </w:r>
            <w:r w:rsidRPr="00C54A03">
              <w:rPr>
                <w:color w:val="000000" w:themeColor="text1"/>
                <w:sz w:val="24"/>
                <w:szCs w:val="24"/>
              </w:rPr>
              <w:t>medii</w:t>
            </w:r>
            <w:r w:rsidRPr="00C54A03">
              <w:rPr>
                <w:color w:val="000000" w:themeColor="text1"/>
                <w:spacing w:val="9"/>
                <w:sz w:val="24"/>
                <w:szCs w:val="24"/>
              </w:rPr>
              <w:t xml:space="preserve"> </w:t>
            </w:r>
            <w:r w:rsidRPr="00C54A03">
              <w:rPr>
                <w:color w:val="000000" w:themeColor="text1"/>
                <w:sz w:val="24"/>
                <w:szCs w:val="24"/>
              </w:rPr>
              <w:t>din</w:t>
            </w:r>
          </w:p>
          <w:p w14:paraId="6A474A95" w14:textId="77777777" w:rsidR="007702CD" w:rsidRPr="00C54A03" w:rsidRDefault="007702CD" w:rsidP="008E33FD">
            <w:pPr>
              <w:pStyle w:val="TableParagraph"/>
              <w:spacing w:line="264" w:lineRule="exact"/>
              <w:ind w:left="107"/>
              <w:jc w:val="both"/>
              <w:rPr>
                <w:color w:val="000000" w:themeColor="text1"/>
                <w:sz w:val="24"/>
                <w:szCs w:val="24"/>
              </w:rPr>
            </w:pPr>
            <w:r w:rsidRPr="00C54A03">
              <w:rPr>
                <w:color w:val="000000" w:themeColor="text1"/>
                <w:sz w:val="24"/>
                <w:szCs w:val="24"/>
              </w:rPr>
              <w:t>suprafață/doar</w:t>
            </w:r>
            <w:r w:rsidRPr="00C54A03">
              <w:rPr>
                <w:color w:val="000000" w:themeColor="text1"/>
                <w:spacing w:val="-2"/>
                <w:sz w:val="24"/>
                <w:szCs w:val="24"/>
              </w:rPr>
              <w:t xml:space="preserve"> </w:t>
            </w:r>
            <w:r w:rsidRPr="00C54A03">
              <w:rPr>
                <w:color w:val="000000" w:themeColor="text1"/>
                <w:sz w:val="24"/>
                <w:szCs w:val="24"/>
              </w:rPr>
              <w:t>la</w:t>
            </w:r>
            <w:r w:rsidRPr="00C54A03">
              <w:rPr>
                <w:color w:val="000000" w:themeColor="text1"/>
                <w:spacing w:val="-4"/>
                <w:sz w:val="24"/>
                <w:szCs w:val="24"/>
              </w:rPr>
              <w:t xml:space="preserve"> </w:t>
            </w:r>
            <w:r w:rsidRPr="00C54A03">
              <w:rPr>
                <w:color w:val="000000" w:themeColor="text1"/>
                <w:sz w:val="24"/>
                <w:szCs w:val="24"/>
              </w:rPr>
              <w:t>nivel</w:t>
            </w:r>
            <w:r w:rsidRPr="00C54A03">
              <w:rPr>
                <w:color w:val="000000" w:themeColor="text1"/>
                <w:spacing w:val="-2"/>
                <w:sz w:val="24"/>
                <w:szCs w:val="24"/>
              </w:rPr>
              <w:t xml:space="preserve"> </w:t>
            </w:r>
            <w:r w:rsidRPr="00C54A03">
              <w:rPr>
                <w:color w:val="000000" w:themeColor="text1"/>
                <w:sz w:val="24"/>
                <w:szCs w:val="24"/>
              </w:rPr>
              <w:t>regional</w:t>
            </w:r>
          </w:p>
        </w:tc>
      </w:tr>
      <w:tr w:rsidR="007702CD" w:rsidRPr="00C54A03" w14:paraId="7C2E646F" w14:textId="77777777" w:rsidTr="00102A1A">
        <w:trPr>
          <w:trHeight w:val="1103"/>
        </w:trPr>
        <w:tc>
          <w:tcPr>
            <w:tcW w:w="924" w:type="dxa"/>
          </w:tcPr>
          <w:p w14:paraId="79DDA7C7" w14:textId="77777777" w:rsidR="007702CD" w:rsidRPr="00C54A03" w:rsidRDefault="007702CD" w:rsidP="008E33FD">
            <w:pPr>
              <w:pStyle w:val="TableParagraph"/>
              <w:spacing w:line="268" w:lineRule="exact"/>
              <w:ind w:left="107"/>
              <w:jc w:val="both"/>
              <w:rPr>
                <w:color w:val="000000" w:themeColor="text1"/>
                <w:sz w:val="24"/>
                <w:szCs w:val="24"/>
              </w:rPr>
            </w:pPr>
            <w:r w:rsidRPr="00C54A03">
              <w:rPr>
                <w:color w:val="000000" w:themeColor="text1"/>
                <w:sz w:val="24"/>
                <w:szCs w:val="24"/>
              </w:rPr>
              <w:t>L</w:t>
            </w:r>
          </w:p>
        </w:tc>
        <w:tc>
          <w:tcPr>
            <w:tcW w:w="3097" w:type="dxa"/>
          </w:tcPr>
          <w:p w14:paraId="477A84B0" w14:textId="77777777" w:rsidR="007702CD" w:rsidRPr="00C54A03" w:rsidRDefault="007702CD" w:rsidP="008E33FD">
            <w:pPr>
              <w:pStyle w:val="TableParagraph"/>
              <w:spacing w:line="268" w:lineRule="exact"/>
              <w:ind w:left="107"/>
              <w:jc w:val="both"/>
              <w:rPr>
                <w:color w:val="000000" w:themeColor="text1"/>
                <w:sz w:val="24"/>
                <w:szCs w:val="24"/>
              </w:rPr>
            </w:pPr>
            <w:r w:rsidRPr="00C54A03">
              <w:rPr>
                <w:color w:val="000000" w:themeColor="text1"/>
                <w:sz w:val="24"/>
                <w:szCs w:val="24"/>
              </w:rPr>
              <w:t>Importanță/impact</w:t>
            </w:r>
            <w:r w:rsidRPr="00C54A03">
              <w:rPr>
                <w:color w:val="000000" w:themeColor="text1"/>
                <w:spacing w:val="-3"/>
                <w:sz w:val="24"/>
                <w:szCs w:val="24"/>
              </w:rPr>
              <w:t xml:space="preserve"> </w:t>
            </w:r>
            <w:r w:rsidRPr="00C54A03">
              <w:rPr>
                <w:color w:val="000000" w:themeColor="text1"/>
                <w:sz w:val="24"/>
                <w:szCs w:val="24"/>
              </w:rPr>
              <w:t>redus</w:t>
            </w:r>
          </w:p>
        </w:tc>
        <w:tc>
          <w:tcPr>
            <w:tcW w:w="4189" w:type="dxa"/>
          </w:tcPr>
          <w:p w14:paraId="42413678" w14:textId="77777777" w:rsidR="007702CD" w:rsidRPr="00C54A03" w:rsidRDefault="007702CD" w:rsidP="008E33FD">
            <w:pPr>
              <w:pStyle w:val="TableParagraph"/>
              <w:ind w:left="107" w:right="96"/>
              <w:jc w:val="both"/>
              <w:rPr>
                <w:color w:val="000000" w:themeColor="text1"/>
                <w:sz w:val="24"/>
                <w:szCs w:val="24"/>
              </w:rPr>
            </w:pPr>
            <w:r w:rsidRPr="00C54A03">
              <w:rPr>
                <w:color w:val="000000" w:themeColor="text1"/>
                <w:sz w:val="24"/>
                <w:szCs w:val="24"/>
              </w:rPr>
              <w:t>Influență</w:t>
            </w:r>
            <w:r w:rsidRPr="00C54A03">
              <w:rPr>
                <w:color w:val="000000" w:themeColor="text1"/>
                <w:spacing w:val="1"/>
                <w:sz w:val="24"/>
                <w:szCs w:val="24"/>
              </w:rPr>
              <w:t xml:space="preserve"> </w:t>
            </w:r>
            <w:r w:rsidRPr="00C54A03">
              <w:rPr>
                <w:color w:val="000000" w:themeColor="text1"/>
                <w:sz w:val="24"/>
                <w:szCs w:val="24"/>
              </w:rPr>
              <w:t>directă</w:t>
            </w:r>
            <w:r w:rsidRPr="00C54A03">
              <w:rPr>
                <w:color w:val="000000" w:themeColor="text1"/>
                <w:spacing w:val="1"/>
                <w:sz w:val="24"/>
                <w:szCs w:val="24"/>
              </w:rPr>
              <w:t xml:space="preserve"> </w:t>
            </w:r>
            <w:r w:rsidRPr="00C54A03">
              <w:rPr>
                <w:color w:val="000000" w:themeColor="text1"/>
                <w:sz w:val="24"/>
                <w:szCs w:val="24"/>
              </w:rPr>
              <w:t>sau</w:t>
            </w:r>
            <w:r w:rsidRPr="00C54A03">
              <w:rPr>
                <w:color w:val="000000" w:themeColor="text1"/>
                <w:spacing w:val="1"/>
                <w:sz w:val="24"/>
                <w:szCs w:val="24"/>
              </w:rPr>
              <w:t xml:space="preserve"> </w:t>
            </w:r>
            <w:r w:rsidRPr="00C54A03">
              <w:rPr>
                <w:color w:val="000000" w:themeColor="text1"/>
                <w:sz w:val="24"/>
                <w:szCs w:val="24"/>
              </w:rPr>
              <w:t>imediată</w:t>
            </w:r>
            <w:r w:rsidRPr="00C54A03">
              <w:rPr>
                <w:color w:val="000000" w:themeColor="text1"/>
                <w:spacing w:val="1"/>
                <w:sz w:val="24"/>
                <w:szCs w:val="24"/>
              </w:rPr>
              <w:t xml:space="preserve"> </w:t>
            </w:r>
            <w:r w:rsidRPr="00C54A03">
              <w:rPr>
                <w:color w:val="000000" w:themeColor="text1"/>
                <w:sz w:val="24"/>
                <w:szCs w:val="24"/>
              </w:rPr>
              <w:t>redusă,</w:t>
            </w:r>
            <w:r w:rsidRPr="00C54A03">
              <w:rPr>
                <w:color w:val="000000" w:themeColor="text1"/>
                <w:spacing w:val="1"/>
                <w:sz w:val="24"/>
                <w:szCs w:val="24"/>
              </w:rPr>
              <w:t xml:space="preserve"> </w:t>
            </w:r>
            <w:r w:rsidRPr="00C54A03">
              <w:rPr>
                <w:color w:val="000000" w:themeColor="text1"/>
                <w:sz w:val="24"/>
                <w:szCs w:val="24"/>
              </w:rPr>
              <w:t>influență</w:t>
            </w:r>
            <w:r w:rsidRPr="00C54A03">
              <w:rPr>
                <w:color w:val="000000" w:themeColor="text1"/>
                <w:spacing w:val="1"/>
                <w:sz w:val="24"/>
                <w:szCs w:val="24"/>
              </w:rPr>
              <w:t xml:space="preserve"> </w:t>
            </w:r>
            <w:r w:rsidRPr="00C54A03">
              <w:rPr>
                <w:color w:val="000000" w:themeColor="text1"/>
                <w:sz w:val="24"/>
                <w:szCs w:val="24"/>
              </w:rPr>
              <w:t>directă</w:t>
            </w:r>
            <w:r w:rsidRPr="00C54A03">
              <w:rPr>
                <w:color w:val="000000" w:themeColor="text1"/>
                <w:spacing w:val="1"/>
                <w:sz w:val="24"/>
                <w:szCs w:val="24"/>
              </w:rPr>
              <w:t xml:space="preserve"> </w:t>
            </w:r>
            <w:r w:rsidRPr="00C54A03">
              <w:rPr>
                <w:color w:val="000000" w:themeColor="text1"/>
                <w:sz w:val="24"/>
                <w:szCs w:val="24"/>
              </w:rPr>
              <w:t>și/sau</w:t>
            </w:r>
            <w:r w:rsidRPr="00C54A03">
              <w:rPr>
                <w:color w:val="000000" w:themeColor="text1"/>
                <w:spacing w:val="1"/>
                <w:sz w:val="24"/>
                <w:szCs w:val="24"/>
              </w:rPr>
              <w:t xml:space="preserve"> </w:t>
            </w:r>
            <w:r w:rsidRPr="00C54A03">
              <w:rPr>
                <w:color w:val="000000" w:themeColor="text1"/>
                <w:sz w:val="24"/>
                <w:szCs w:val="24"/>
              </w:rPr>
              <w:t>acțiune</w:t>
            </w:r>
            <w:r w:rsidRPr="00C54A03">
              <w:rPr>
                <w:color w:val="000000" w:themeColor="text1"/>
                <w:spacing w:val="1"/>
                <w:sz w:val="24"/>
                <w:szCs w:val="24"/>
              </w:rPr>
              <w:t xml:space="preserve"> </w:t>
            </w:r>
            <w:r w:rsidRPr="00C54A03">
              <w:rPr>
                <w:color w:val="000000" w:themeColor="text1"/>
                <w:sz w:val="24"/>
                <w:szCs w:val="24"/>
              </w:rPr>
              <w:t>asupra</w:t>
            </w:r>
            <w:r w:rsidRPr="00C54A03">
              <w:rPr>
                <w:color w:val="000000" w:themeColor="text1"/>
                <w:spacing w:val="1"/>
                <w:sz w:val="24"/>
                <w:szCs w:val="24"/>
              </w:rPr>
              <w:t xml:space="preserve"> </w:t>
            </w:r>
            <w:r w:rsidRPr="00C54A03">
              <w:rPr>
                <w:color w:val="000000" w:themeColor="text1"/>
                <w:sz w:val="24"/>
                <w:szCs w:val="24"/>
              </w:rPr>
              <w:t>unei</w:t>
            </w:r>
            <w:r w:rsidRPr="00C54A03">
              <w:rPr>
                <w:color w:val="000000" w:themeColor="text1"/>
                <w:spacing w:val="17"/>
                <w:sz w:val="24"/>
                <w:szCs w:val="24"/>
              </w:rPr>
              <w:t xml:space="preserve"> </w:t>
            </w:r>
            <w:r w:rsidRPr="00C54A03">
              <w:rPr>
                <w:color w:val="000000" w:themeColor="text1"/>
                <w:sz w:val="24"/>
                <w:szCs w:val="24"/>
              </w:rPr>
              <w:t>mici</w:t>
            </w:r>
            <w:r w:rsidRPr="00C54A03">
              <w:rPr>
                <w:color w:val="000000" w:themeColor="text1"/>
                <w:spacing w:val="17"/>
                <w:sz w:val="24"/>
                <w:szCs w:val="24"/>
              </w:rPr>
              <w:t xml:space="preserve"> </w:t>
            </w:r>
            <w:r w:rsidRPr="00C54A03">
              <w:rPr>
                <w:color w:val="000000" w:themeColor="text1"/>
                <w:sz w:val="24"/>
                <w:szCs w:val="24"/>
              </w:rPr>
              <w:t>părți</w:t>
            </w:r>
            <w:r w:rsidRPr="00C54A03">
              <w:rPr>
                <w:color w:val="000000" w:themeColor="text1"/>
                <w:spacing w:val="17"/>
                <w:sz w:val="24"/>
                <w:szCs w:val="24"/>
              </w:rPr>
              <w:t xml:space="preserve"> </w:t>
            </w:r>
            <w:r w:rsidRPr="00C54A03">
              <w:rPr>
                <w:color w:val="000000" w:themeColor="text1"/>
                <w:sz w:val="24"/>
                <w:szCs w:val="24"/>
              </w:rPr>
              <w:t>din</w:t>
            </w:r>
            <w:r w:rsidRPr="00C54A03">
              <w:rPr>
                <w:color w:val="000000" w:themeColor="text1"/>
                <w:spacing w:val="19"/>
                <w:sz w:val="24"/>
                <w:szCs w:val="24"/>
              </w:rPr>
              <w:t xml:space="preserve"> </w:t>
            </w:r>
            <w:r w:rsidRPr="00C54A03">
              <w:rPr>
                <w:color w:val="000000" w:themeColor="text1"/>
                <w:sz w:val="24"/>
                <w:szCs w:val="24"/>
              </w:rPr>
              <w:t>suprafață/</w:t>
            </w:r>
            <w:r w:rsidRPr="00C54A03">
              <w:rPr>
                <w:color w:val="000000" w:themeColor="text1"/>
                <w:spacing w:val="17"/>
                <w:sz w:val="24"/>
                <w:szCs w:val="24"/>
              </w:rPr>
              <w:t xml:space="preserve"> </w:t>
            </w:r>
            <w:r w:rsidRPr="00C54A03">
              <w:rPr>
                <w:color w:val="000000" w:themeColor="text1"/>
                <w:sz w:val="24"/>
                <w:szCs w:val="24"/>
              </w:rPr>
              <w:t>doar</w:t>
            </w:r>
            <w:r w:rsidRPr="00C54A03">
              <w:rPr>
                <w:color w:val="000000" w:themeColor="text1"/>
                <w:spacing w:val="18"/>
                <w:sz w:val="24"/>
                <w:szCs w:val="24"/>
              </w:rPr>
              <w:t xml:space="preserve"> </w:t>
            </w:r>
            <w:r w:rsidRPr="00C54A03">
              <w:rPr>
                <w:color w:val="000000" w:themeColor="text1"/>
                <w:sz w:val="24"/>
                <w:szCs w:val="24"/>
              </w:rPr>
              <w:t>la</w:t>
            </w:r>
          </w:p>
          <w:p w14:paraId="5AD36DF6" w14:textId="77777777" w:rsidR="007702CD" w:rsidRPr="00C54A03" w:rsidRDefault="007702CD" w:rsidP="008E33FD">
            <w:pPr>
              <w:pStyle w:val="TableParagraph"/>
              <w:spacing w:line="264" w:lineRule="exact"/>
              <w:ind w:left="107"/>
              <w:jc w:val="both"/>
              <w:rPr>
                <w:color w:val="000000" w:themeColor="text1"/>
                <w:sz w:val="24"/>
                <w:szCs w:val="24"/>
              </w:rPr>
            </w:pPr>
            <w:r w:rsidRPr="00C54A03">
              <w:rPr>
                <w:color w:val="000000" w:themeColor="text1"/>
                <w:sz w:val="24"/>
                <w:szCs w:val="24"/>
              </w:rPr>
              <w:t>nivel</w:t>
            </w:r>
            <w:r w:rsidRPr="00C54A03">
              <w:rPr>
                <w:color w:val="000000" w:themeColor="text1"/>
                <w:spacing w:val="-2"/>
                <w:sz w:val="24"/>
                <w:szCs w:val="24"/>
              </w:rPr>
              <w:t xml:space="preserve"> </w:t>
            </w:r>
            <w:r w:rsidRPr="00C54A03">
              <w:rPr>
                <w:color w:val="000000" w:themeColor="text1"/>
                <w:sz w:val="24"/>
                <w:szCs w:val="24"/>
              </w:rPr>
              <w:t>regional</w:t>
            </w:r>
          </w:p>
        </w:tc>
      </w:tr>
    </w:tbl>
    <w:p w14:paraId="1ACFF003" w14:textId="77777777" w:rsidR="007702CD" w:rsidRPr="00C54A03" w:rsidRDefault="007702CD" w:rsidP="00D97209">
      <w:pPr>
        <w:pStyle w:val="Heading2"/>
        <w:jc w:val="both"/>
        <w:rPr>
          <w:color w:val="000000" w:themeColor="text1"/>
          <w:sz w:val="24"/>
          <w:szCs w:val="24"/>
          <w:lang w:val="fr-FR"/>
        </w:rPr>
      </w:pPr>
      <w:proofErr w:type="spellStart"/>
      <w:r w:rsidRPr="00C54A03">
        <w:rPr>
          <w:color w:val="000000" w:themeColor="text1"/>
          <w:sz w:val="24"/>
          <w:szCs w:val="24"/>
          <w:lang w:val="fr-FR"/>
        </w:rPr>
        <w:t>Reprezentativitatea</w:t>
      </w:r>
      <w:proofErr w:type="spellEnd"/>
      <w:r w:rsidRPr="00C54A03">
        <w:rPr>
          <w:color w:val="000000" w:themeColor="text1"/>
          <w:spacing w:val="-3"/>
          <w:sz w:val="24"/>
          <w:szCs w:val="24"/>
          <w:lang w:val="fr-FR"/>
        </w:rPr>
        <w:t xml:space="preserve"> </w:t>
      </w:r>
      <w:proofErr w:type="spellStart"/>
      <w:r w:rsidRPr="00C54A03">
        <w:rPr>
          <w:color w:val="000000" w:themeColor="text1"/>
          <w:sz w:val="24"/>
          <w:szCs w:val="24"/>
          <w:lang w:val="fr-FR"/>
        </w:rPr>
        <w:t>habitatelor</w:t>
      </w:r>
      <w:proofErr w:type="spellEnd"/>
      <w:r w:rsidRPr="00C54A03">
        <w:rPr>
          <w:color w:val="000000" w:themeColor="text1"/>
          <w:spacing w:val="-3"/>
          <w:sz w:val="24"/>
          <w:szCs w:val="24"/>
          <w:lang w:val="fr-FR"/>
        </w:rPr>
        <w:t xml:space="preserve"> </w:t>
      </w:r>
      <w:r w:rsidRPr="00C54A03">
        <w:rPr>
          <w:color w:val="000000" w:themeColor="text1"/>
          <w:sz w:val="24"/>
          <w:szCs w:val="24"/>
          <w:lang w:val="fr-FR"/>
        </w:rPr>
        <w:t>de</w:t>
      </w:r>
      <w:r w:rsidRPr="00C54A03">
        <w:rPr>
          <w:color w:val="000000" w:themeColor="text1"/>
          <w:spacing w:val="-2"/>
          <w:sz w:val="24"/>
          <w:szCs w:val="24"/>
          <w:lang w:val="fr-FR"/>
        </w:rPr>
        <w:t xml:space="preserve"> </w:t>
      </w:r>
      <w:proofErr w:type="spellStart"/>
      <w:r w:rsidRPr="00C54A03">
        <w:rPr>
          <w:color w:val="000000" w:themeColor="text1"/>
          <w:sz w:val="24"/>
          <w:szCs w:val="24"/>
          <w:lang w:val="fr-FR"/>
        </w:rPr>
        <w:t>grohotișuri</w:t>
      </w:r>
      <w:proofErr w:type="spellEnd"/>
      <w:r w:rsidRPr="00C54A03">
        <w:rPr>
          <w:color w:val="000000" w:themeColor="text1"/>
          <w:spacing w:val="-3"/>
          <w:sz w:val="24"/>
          <w:szCs w:val="24"/>
          <w:lang w:val="fr-FR"/>
        </w:rPr>
        <w:t xml:space="preserve"> </w:t>
      </w:r>
      <w:proofErr w:type="spellStart"/>
      <w:r w:rsidRPr="00C54A03">
        <w:rPr>
          <w:color w:val="000000" w:themeColor="text1"/>
          <w:sz w:val="24"/>
          <w:szCs w:val="24"/>
          <w:lang w:val="fr-FR"/>
        </w:rPr>
        <w:t>și</w:t>
      </w:r>
      <w:proofErr w:type="spellEnd"/>
      <w:r w:rsidRPr="00C54A03">
        <w:rPr>
          <w:color w:val="000000" w:themeColor="text1"/>
          <w:spacing w:val="-3"/>
          <w:sz w:val="24"/>
          <w:szCs w:val="24"/>
          <w:lang w:val="fr-FR"/>
        </w:rPr>
        <w:t xml:space="preserve"> </w:t>
      </w:r>
      <w:proofErr w:type="spellStart"/>
      <w:r w:rsidRPr="00C54A03">
        <w:rPr>
          <w:color w:val="000000" w:themeColor="text1"/>
          <w:sz w:val="24"/>
          <w:szCs w:val="24"/>
          <w:lang w:val="fr-FR"/>
        </w:rPr>
        <w:t>stâncării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pe</w:t>
      </w:r>
      <w:proofErr w:type="spellEnd"/>
      <w:r w:rsidRPr="00C54A03">
        <w:rPr>
          <w:color w:val="000000" w:themeColor="text1"/>
          <w:spacing w:val="-4"/>
          <w:sz w:val="24"/>
          <w:szCs w:val="24"/>
          <w:lang w:val="fr-FR"/>
        </w:rPr>
        <w:t xml:space="preserve"> </w:t>
      </w:r>
      <w:proofErr w:type="spellStart"/>
      <w:r w:rsidRPr="00C54A03">
        <w:rPr>
          <w:color w:val="000000" w:themeColor="text1"/>
          <w:sz w:val="24"/>
          <w:szCs w:val="24"/>
          <w:lang w:val="fr-FR"/>
        </w:rPr>
        <w:t>teritoriul</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României</w:t>
      </w:r>
      <w:proofErr w:type="spellEnd"/>
    </w:p>
    <w:p w14:paraId="363755F8" w14:textId="77777777" w:rsidR="007702CD" w:rsidRPr="00C54A03" w:rsidRDefault="007702CD" w:rsidP="00D97209">
      <w:pPr>
        <w:pStyle w:val="BodyText"/>
        <w:spacing w:before="233"/>
        <w:ind w:left="0" w:right="27"/>
        <w:jc w:val="both"/>
        <w:rPr>
          <w:color w:val="000000" w:themeColor="text1"/>
          <w:sz w:val="24"/>
          <w:szCs w:val="24"/>
          <w:lang w:val="fr-FR"/>
        </w:rPr>
      </w:pPr>
      <w:proofErr w:type="spellStart"/>
      <w:r w:rsidRPr="00C54A03">
        <w:rPr>
          <w:color w:val="000000" w:themeColor="text1"/>
          <w:sz w:val="24"/>
          <w:szCs w:val="24"/>
          <w:lang w:val="fr-FR"/>
        </w:rPr>
        <w:t>Habitatele</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stâncării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din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România</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sunt</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localizate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preponderent</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bioregiunea</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alpină</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w:t>
      </w:r>
      <w:proofErr w:type="spellStart"/>
      <w:r w:rsidRPr="00C54A03">
        <w:rPr>
          <w:color w:val="000000" w:themeColor="text1"/>
          <w:sz w:val="24"/>
          <w:szCs w:val="24"/>
          <w:lang w:val="fr-FR"/>
        </w:rPr>
        <w:t>lanţul</w:t>
      </w:r>
      <w:proofErr w:type="spellEnd"/>
      <w:r w:rsidRPr="00C54A03">
        <w:rPr>
          <w:color w:val="000000" w:themeColor="text1"/>
          <w:spacing w:val="-57"/>
          <w:sz w:val="24"/>
          <w:szCs w:val="24"/>
          <w:lang w:val="fr-FR"/>
        </w:rPr>
        <w:t xml:space="preserve"> </w:t>
      </w:r>
      <w:proofErr w:type="spellStart"/>
      <w:r w:rsidRPr="00C54A03">
        <w:rPr>
          <w:color w:val="000000" w:themeColor="text1"/>
          <w:sz w:val="24"/>
          <w:szCs w:val="24"/>
          <w:lang w:val="fr-FR"/>
        </w:rPr>
        <w:t>carpatic</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puţin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continentală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chei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râuri</w:t>
      </w:r>
      <w:proofErr w:type="spellEnd"/>
      <w:r w:rsidRPr="00C54A03">
        <w:rPr>
          <w:color w:val="000000" w:themeColor="text1"/>
          <w:sz w:val="24"/>
          <w:szCs w:val="24"/>
          <w:lang w:val="fr-FR"/>
        </w:rPr>
        <w:t xml:space="preserve"> care </w:t>
      </w:r>
      <w:proofErr w:type="spellStart"/>
      <w:r w:rsidRPr="00C54A03">
        <w:rPr>
          <w:color w:val="000000" w:themeColor="text1"/>
          <w:sz w:val="24"/>
          <w:szCs w:val="24"/>
          <w:lang w:val="fr-FR"/>
        </w:rPr>
        <w:t>intră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până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etajul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submontan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chiar</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colinar</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parţial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stepică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Munţii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Măcin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Canaraua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Fetei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din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sudul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Dobrogei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reprezentate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prin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habitate</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grohotişuri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fisuri</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stânci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inclusiv</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platouri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brâne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pereţi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stâncoşi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unde</w:t>
      </w:r>
      <w:proofErr w:type="spellEnd"/>
      <w:r w:rsidRPr="00C54A03">
        <w:rPr>
          <w:color w:val="000000" w:themeColor="text1"/>
          <w:sz w:val="24"/>
          <w:szCs w:val="24"/>
          <w:lang w:val="fr-FR"/>
        </w:rPr>
        <w:t xml:space="preserve"> se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dezvoltă</w:t>
      </w:r>
      <w:proofErr w:type="spellEnd"/>
      <w:r w:rsidRPr="00C54A03">
        <w:rPr>
          <w:color w:val="000000" w:themeColor="text1"/>
          <w:spacing w:val="-2"/>
          <w:sz w:val="24"/>
          <w:szCs w:val="24"/>
          <w:lang w:val="fr-FR"/>
        </w:rPr>
        <w:t xml:space="preserve"> </w:t>
      </w:r>
      <w:proofErr w:type="spellStart"/>
      <w:r w:rsidRPr="00C54A03">
        <w:rPr>
          <w:color w:val="000000" w:themeColor="text1"/>
          <w:sz w:val="24"/>
          <w:szCs w:val="24"/>
          <w:lang w:val="fr-FR"/>
        </w:rPr>
        <w:t>uneori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numai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licheni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briofite</w:t>
      </w:r>
      <w:proofErr w:type="spellEnd"/>
      <w:r w:rsidRPr="00C54A03">
        <w:rPr>
          <w:color w:val="000000" w:themeColor="text1"/>
          <w:sz w:val="24"/>
          <w:szCs w:val="24"/>
          <w:lang w:val="fr-FR"/>
        </w:rPr>
        <w:t>.</w:t>
      </w:r>
    </w:p>
    <w:p w14:paraId="03E9CB63" w14:textId="77777777" w:rsidR="007702CD" w:rsidRPr="00C54A03" w:rsidRDefault="007702CD" w:rsidP="00D97209">
      <w:pPr>
        <w:pStyle w:val="BodyText"/>
        <w:ind w:left="0" w:right="27"/>
        <w:jc w:val="both"/>
        <w:rPr>
          <w:color w:val="000000" w:themeColor="text1"/>
          <w:sz w:val="24"/>
          <w:szCs w:val="24"/>
          <w:lang w:val="fr-FR"/>
        </w:rPr>
      </w:pPr>
      <w:proofErr w:type="spellStart"/>
      <w:r w:rsidRPr="00C54A03">
        <w:rPr>
          <w:color w:val="000000" w:themeColor="text1"/>
          <w:sz w:val="24"/>
          <w:szCs w:val="24"/>
          <w:lang w:val="fr-FR"/>
        </w:rPr>
        <w:t>Stâncăriile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sunt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larg</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răspândite</w:t>
      </w:r>
      <w:proofErr w:type="spellEnd"/>
      <w:r w:rsidRPr="00C54A03">
        <w:rPr>
          <w:color w:val="000000" w:themeColor="text1"/>
          <w:sz w:val="24"/>
          <w:szCs w:val="24"/>
          <w:lang w:val="fr-FR"/>
        </w:rPr>
        <w:t xml:space="preserve"> mai ales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etajul</w:t>
      </w:r>
      <w:proofErr w:type="spellEnd"/>
      <w:r w:rsidRPr="00C54A03">
        <w:rPr>
          <w:color w:val="000000" w:themeColor="text1"/>
          <w:sz w:val="24"/>
          <w:szCs w:val="24"/>
          <w:lang w:val="fr-FR"/>
        </w:rPr>
        <w:t xml:space="preserve"> subalpin </w:t>
      </w:r>
      <w:proofErr w:type="spellStart"/>
      <w:r w:rsidRPr="00C54A03">
        <w:rPr>
          <w:color w:val="000000" w:themeColor="text1"/>
          <w:sz w:val="24"/>
          <w:szCs w:val="24"/>
          <w:lang w:val="fr-FR"/>
        </w:rPr>
        <w:t>şi</w:t>
      </w:r>
      <w:proofErr w:type="spellEnd"/>
      <w:r w:rsidRPr="00C54A03">
        <w:rPr>
          <w:color w:val="000000" w:themeColor="text1"/>
          <w:sz w:val="24"/>
          <w:szCs w:val="24"/>
          <w:lang w:val="fr-FR"/>
        </w:rPr>
        <w:t xml:space="preserve"> alpin al </w:t>
      </w:r>
      <w:proofErr w:type="spellStart"/>
      <w:r w:rsidRPr="00C54A03">
        <w:rPr>
          <w:color w:val="000000" w:themeColor="text1"/>
          <w:sz w:val="24"/>
          <w:szCs w:val="24"/>
          <w:lang w:val="fr-FR"/>
        </w:rPr>
        <w:t>Carpaţilor</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coborând</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văi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alocuri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până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etajul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montan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chiar</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submontan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Deşi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stâncăriile</w:t>
      </w:r>
      <w:proofErr w:type="spellEnd"/>
      <w:r w:rsidRPr="00C54A03">
        <w:rPr>
          <w:color w:val="000000" w:themeColor="text1"/>
          <w:sz w:val="24"/>
          <w:szCs w:val="24"/>
          <w:lang w:val="fr-FR"/>
        </w:rPr>
        <w:t xml:space="preserve"> ca </w:t>
      </w:r>
      <w:proofErr w:type="spellStart"/>
      <w:r w:rsidRPr="00C54A03">
        <w:rPr>
          <w:color w:val="000000" w:themeColor="text1"/>
          <w:sz w:val="24"/>
          <w:szCs w:val="24"/>
          <w:lang w:val="fr-FR"/>
        </w:rPr>
        <w:t>atare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sunt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larg</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răspândite</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fitocenozele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caracteristice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pentru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stâncării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cuprinse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habitatele</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stâncării</w:t>
      </w:r>
      <w:proofErr w:type="spellEnd"/>
      <w:r w:rsidRPr="00C54A03">
        <w:rPr>
          <w:color w:val="000000" w:themeColor="text1"/>
          <w:sz w:val="24"/>
          <w:szCs w:val="24"/>
          <w:lang w:val="fr-FR"/>
        </w:rPr>
        <w:t xml:space="preserve"> ale </w:t>
      </w:r>
      <w:proofErr w:type="spellStart"/>
      <w:r w:rsidRPr="00C54A03">
        <w:rPr>
          <w:color w:val="000000" w:themeColor="text1"/>
          <w:sz w:val="24"/>
          <w:szCs w:val="24"/>
          <w:lang w:val="fr-FR"/>
        </w:rPr>
        <w:t>reţelei</w:t>
      </w:r>
      <w:proofErr w:type="spellEnd"/>
      <w:r w:rsidRPr="00C54A03">
        <w:rPr>
          <w:color w:val="000000" w:themeColor="text1"/>
          <w:sz w:val="24"/>
          <w:szCs w:val="24"/>
          <w:lang w:val="fr-FR"/>
        </w:rPr>
        <w:t xml:space="preserve"> Natura 2000,</w:t>
      </w:r>
      <w:r w:rsidRPr="00C54A03">
        <w:rPr>
          <w:color w:val="000000" w:themeColor="text1"/>
          <w:spacing w:val="-57"/>
          <w:sz w:val="24"/>
          <w:szCs w:val="24"/>
          <w:lang w:val="fr-FR"/>
        </w:rPr>
        <w:t xml:space="preserve"> </w:t>
      </w:r>
      <w:r w:rsidRPr="00C54A03">
        <w:rPr>
          <w:color w:val="000000" w:themeColor="text1"/>
          <w:sz w:val="24"/>
          <w:szCs w:val="24"/>
          <w:lang w:val="fr-FR"/>
        </w:rPr>
        <w:t xml:space="preserve">nu </w:t>
      </w:r>
      <w:proofErr w:type="spellStart"/>
      <w:r w:rsidRPr="00C54A03">
        <w:rPr>
          <w:color w:val="000000" w:themeColor="text1"/>
          <w:sz w:val="24"/>
          <w:szCs w:val="24"/>
          <w:lang w:val="fr-FR"/>
        </w:rPr>
        <w:t>sunt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răspândite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suprafeţe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foarte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întinse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z w:val="24"/>
          <w:szCs w:val="24"/>
          <w:lang w:val="fr-FR"/>
        </w:rPr>
        <w:t xml:space="preserve"> mai ales nu </w:t>
      </w:r>
      <w:proofErr w:type="spellStart"/>
      <w:r w:rsidRPr="00C54A03">
        <w:rPr>
          <w:color w:val="000000" w:themeColor="text1"/>
          <w:sz w:val="24"/>
          <w:szCs w:val="24"/>
          <w:lang w:val="fr-FR"/>
        </w:rPr>
        <w:t>sunt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răspândite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sub</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formă</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benzi</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 xml:space="preserve">continue, uniforme ca </w:t>
      </w:r>
      <w:proofErr w:type="spellStart"/>
      <w:r w:rsidRPr="00C54A03">
        <w:rPr>
          <w:color w:val="000000" w:themeColor="text1"/>
          <w:sz w:val="24"/>
          <w:szCs w:val="24"/>
          <w:lang w:val="fr-FR"/>
        </w:rPr>
        <w:t>alte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tipuri</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habitate</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munte</w:t>
      </w:r>
      <w:proofErr w:type="spellEnd"/>
      <w:r w:rsidRPr="00C54A03">
        <w:rPr>
          <w:color w:val="000000" w:themeColor="text1"/>
          <w:sz w:val="24"/>
          <w:szCs w:val="24"/>
          <w:lang w:val="fr-FR"/>
        </w:rPr>
        <w:t xml:space="preserve"> cum </w:t>
      </w:r>
      <w:proofErr w:type="spellStart"/>
      <w:r w:rsidRPr="00C54A03">
        <w:rPr>
          <w:color w:val="000000" w:themeColor="text1"/>
          <w:sz w:val="24"/>
          <w:szCs w:val="24"/>
          <w:lang w:val="fr-FR"/>
        </w:rPr>
        <w:t>sunt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cele</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păduri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sau</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tufărişuri</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 xml:space="preserve">subalpine. </w:t>
      </w:r>
      <w:proofErr w:type="spellStart"/>
      <w:r w:rsidRPr="00C54A03">
        <w:rPr>
          <w:color w:val="000000" w:themeColor="text1"/>
          <w:sz w:val="24"/>
          <w:szCs w:val="24"/>
          <w:lang w:val="fr-FR"/>
        </w:rPr>
        <w:t>Etajul</w:t>
      </w:r>
      <w:proofErr w:type="spellEnd"/>
      <w:r w:rsidRPr="00C54A03">
        <w:rPr>
          <w:color w:val="000000" w:themeColor="text1"/>
          <w:sz w:val="24"/>
          <w:szCs w:val="24"/>
          <w:lang w:val="fr-FR"/>
        </w:rPr>
        <w:t xml:space="preserve"> alpin </w:t>
      </w:r>
      <w:proofErr w:type="spellStart"/>
      <w:r w:rsidRPr="00C54A03">
        <w:rPr>
          <w:color w:val="000000" w:themeColor="text1"/>
          <w:sz w:val="24"/>
          <w:szCs w:val="24"/>
          <w:lang w:val="fr-FR"/>
        </w:rPr>
        <w:t>fiind</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fragmentat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habitatele</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stâncării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sunt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fragmentate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Cele</w:t>
      </w:r>
      <w:proofErr w:type="spellEnd"/>
      <w:r w:rsidRPr="00C54A03">
        <w:rPr>
          <w:color w:val="000000" w:themeColor="text1"/>
          <w:sz w:val="24"/>
          <w:szCs w:val="24"/>
          <w:lang w:val="fr-FR"/>
        </w:rPr>
        <w:t xml:space="preserve"> mai </w:t>
      </w:r>
      <w:proofErr w:type="spellStart"/>
      <w:r w:rsidRPr="00C54A03">
        <w:rPr>
          <w:color w:val="000000" w:themeColor="text1"/>
          <w:sz w:val="24"/>
          <w:szCs w:val="24"/>
          <w:lang w:val="fr-FR"/>
        </w:rPr>
        <w:t>multe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habitate</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stâncării</w:t>
      </w:r>
      <w:proofErr w:type="spellEnd"/>
      <w:r w:rsidRPr="00C54A03">
        <w:rPr>
          <w:color w:val="000000" w:themeColor="text1"/>
          <w:sz w:val="24"/>
          <w:szCs w:val="24"/>
          <w:lang w:val="fr-FR"/>
        </w:rPr>
        <w:t xml:space="preserve"> nu </w:t>
      </w:r>
      <w:proofErr w:type="spellStart"/>
      <w:r w:rsidRPr="00C54A03">
        <w:rPr>
          <w:color w:val="000000" w:themeColor="text1"/>
          <w:sz w:val="24"/>
          <w:szCs w:val="24"/>
          <w:lang w:val="fr-FR"/>
        </w:rPr>
        <w:t>numai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sunt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fragmentate</w:t>
      </w:r>
      <w:proofErr w:type="spellEnd"/>
      <w:r w:rsidRPr="00C54A03">
        <w:rPr>
          <w:color w:val="000000" w:themeColor="text1"/>
          <w:sz w:val="24"/>
          <w:szCs w:val="24"/>
          <w:lang w:val="fr-FR"/>
        </w:rPr>
        <w:t xml:space="preserve">, ci </w:t>
      </w:r>
      <w:proofErr w:type="spellStart"/>
      <w:r w:rsidRPr="00C54A03">
        <w:rPr>
          <w:color w:val="000000" w:themeColor="text1"/>
          <w:sz w:val="24"/>
          <w:szCs w:val="24"/>
          <w:lang w:val="fr-FR"/>
        </w:rPr>
        <w:t>sunt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mică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întindere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uneori</w:t>
      </w:r>
      <w:proofErr w:type="spellEnd"/>
      <w:r w:rsidRPr="00C54A03">
        <w:rPr>
          <w:color w:val="000000" w:themeColor="text1"/>
          <w:sz w:val="24"/>
          <w:szCs w:val="24"/>
          <w:lang w:val="fr-FR"/>
        </w:rPr>
        <w:t xml:space="preserve"> de 1 – 10</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metri</w:t>
      </w:r>
      <w:proofErr w:type="spellEnd"/>
      <w:r w:rsidRPr="00C54A03">
        <w:rPr>
          <w:color w:val="000000" w:themeColor="text1"/>
          <w:spacing w:val="2"/>
          <w:sz w:val="24"/>
          <w:szCs w:val="24"/>
          <w:lang w:val="fr-FR"/>
        </w:rPr>
        <w:t xml:space="preserve"> </w:t>
      </w:r>
      <w:proofErr w:type="spellStart"/>
      <w:r w:rsidRPr="00C54A03">
        <w:rPr>
          <w:color w:val="000000" w:themeColor="text1"/>
          <w:sz w:val="24"/>
          <w:szCs w:val="24"/>
          <w:lang w:val="fr-FR"/>
        </w:rPr>
        <w:t>pătraţi</w:t>
      </w:r>
      <w:proofErr w:type="spellEnd"/>
      <w:r w:rsidRPr="00C54A03">
        <w:rPr>
          <w:color w:val="000000" w:themeColor="text1"/>
          <w:sz w:val="24"/>
          <w:szCs w:val="24"/>
          <w:lang w:val="fr-FR"/>
        </w:rPr>
        <w:t>,</w:t>
      </w:r>
      <w:r w:rsidRPr="00C54A03">
        <w:rPr>
          <w:color w:val="000000" w:themeColor="text1"/>
          <w:spacing w:val="3"/>
          <w:sz w:val="24"/>
          <w:szCs w:val="24"/>
          <w:lang w:val="fr-FR"/>
        </w:rPr>
        <w:t xml:space="preserve"> </w:t>
      </w:r>
      <w:proofErr w:type="spellStart"/>
      <w:r w:rsidRPr="00C54A03">
        <w:rPr>
          <w:color w:val="000000" w:themeColor="text1"/>
          <w:sz w:val="24"/>
          <w:szCs w:val="24"/>
          <w:lang w:val="fr-FR"/>
        </w:rPr>
        <w:t>ocupând</w:t>
      </w:r>
      <w:proofErr w:type="spellEnd"/>
      <w:r w:rsidRPr="00C54A03">
        <w:rPr>
          <w:color w:val="000000" w:themeColor="text1"/>
          <w:spacing w:val="2"/>
          <w:sz w:val="24"/>
          <w:szCs w:val="24"/>
          <w:lang w:val="fr-FR"/>
        </w:rPr>
        <w:t xml:space="preserve"> </w:t>
      </w:r>
      <w:proofErr w:type="spellStart"/>
      <w:r w:rsidRPr="00C54A03">
        <w:rPr>
          <w:color w:val="000000" w:themeColor="text1"/>
          <w:sz w:val="24"/>
          <w:szCs w:val="24"/>
          <w:lang w:val="fr-FR"/>
        </w:rPr>
        <w:t>fisurile</w:t>
      </w:r>
      <w:proofErr w:type="spellEnd"/>
      <w:r w:rsidRPr="00C54A03">
        <w:rPr>
          <w:color w:val="000000" w:themeColor="text1"/>
          <w:spacing w:val="3"/>
          <w:sz w:val="24"/>
          <w:szCs w:val="24"/>
          <w:lang w:val="fr-FR"/>
        </w:rPr>
        <w:t xml:space="preserve"> </w:t>
      </w:r>
      <w:proofErr w:type="spellStart"/>
      <w:r w:rsidRPr="00C54A03">
        <w:rPr>
          <w:color w:val="000000" w:themeColor="text1"/>
          <w:sz w:val="24"/>
          <w:szCs w:val="24"/>
          <w:lang w:val="fr-FR"/>
        </w:rPr>
        <w:t>stâncilor</w:t>
      </w:r>
      <w:proofErr w:type="spellEnd"/>
      <w:r w:rsidRPr="00C54A03">
        <w:rPr>
          <w:color w:val="000000" w:themeColor="text1"/>
          <w:sz w:val="24"/>
          <w:szCs w:val="24"/>
          <w:lang w:val="fr-FR"/>
        </w:rPr>
        <w:t>.</w:t>
      </w:r>
      <w:r w:rsidRPr="00C54A03">
        <w:rPr>
          <w:color w:val="000000" w:themeColor="text1"/>
          <w:spacing w:val="3"/>
          <w:sz w:val="24"/>
          <w:szCs w:val="24"/>
          <w:lang w:val="fr-FR"/>
        </w:rPr>
        <w:t xml:space="preserve"> </w:t>
      </w:r>
      <w:proofErr w:type="spellStart"/>
      <w:r w:rsidRPr="00C54A03">
        <w:rPr>
          <w:color w:val="000000" w:themeColor="text1"/>
          <w:sz w:val="24"/>
          <w:szCs w:val="24"/>
          <w:lang w:val="fr-FR"/>
        </w:rPr>
        <w:t>Sunt</w:t>
      </w:r>
      <w:proofErr w:type="spellEnd"/>
      <w:r w:rsidRPr="00C54A03">
        <w:rPr>
          <w:color w:val="000000" w:themeColor="text1"/>
          <w:sz w:val="24"/>
          <w:szCs w:val="24"/>
          <w:lang w:val="fr-FR"/>
        </w:rPr>
        <w:t>,</w:t>
      </w:r>
      <w:r w:rsidRPr="00C54A03">
        <w:rPr>
          <w:color w:val="000000" w:themeColor="text1"/>
          <w:spacing w:val="4"/>
          <w:sz w:val="24"/>
          <w:szCs w:val="24"/>
          <w:lang w:val="fr-FR"/>
        </w:rPr>
        <w:t xml:space="preserve"> </w:t>
      </w:r>
      <w:proofErr w:type="spellStart"/>
      <w:r w:rsidRPr="00C54A03">
        <w:rPr>
          <w:color w:val="000000" w:themeColor="text1"/>
          <w:sz w:val="24"/>
          <w:szCs w:val="24"/>
          <w:lang w:val="fr-FR"/>
        </w:rPr>
        <w:t>deci</w:t>
      </w:r>
      <w:proofErr w:type="spellEnd"/>
      <w:r w:rsidRPr="00C54A03">
        <w:rPr>
          <w:color w:val="000000" w:themeColor="text1"/>
          <w:sz w:val="24"/>
          <w:szCs w:val="24"/>
          <w:lang w:val="fr-FR"/>
        </w:rPr>
        <w:t>,</w:t>
      </w:r>
      <w:r w:rsidRPr="00C54A03">
        <w:rPr>
          <w:color w:val="000000" w:themeColor="text1"/>
          <w:spacing w:val="3"/>
          <w:sz w:val="24"/>
          <w:szCs w:val="24"/>
          <w:lang w:val="fr-FR"/>
        </w:rPr>
        <w:t xml:space="preserve"> </w:t>
      </w:r>
      <w:proofErr w:type="spellStart"/>
      <w:r w:rsidRPr="00C54A03">
        <w:rPr>
          <w:color w:val="000000" w:themeColor="text1"/>
          <w:sz w:val="24"/>
          <w:szCs w:val="24"/>
          <w:lang w:val="fr-FR"/>
        </w:rPr>
        <w:t>greu</w:t>
      </w:r>
      <w:proofErr w:type="spellEnd"/>
      <w:r w:rsidRPr="00C54A03">
        <w:rPr>
          <w:color w:val="000000" w:themeColor="text1"/>
          <w:spacing w:val="3"/>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depistat</w:t>
      </w:r>
      <w:proofErr w:type="spellEnd"/>
      <w:r w:rsidRPr="00C54A03">
        <w:rPr>
          <w:color w:val="000000" w:themeColor="text1"/>
          <w:sz w:val="24"/>
          <w:szCs w:val="24"/>
          <w:lang w:val="fr-FR"/>
        </w:rPr>
        <w:t>,</w:t>
      </w:r>
      <w:r w:rsidRPr="00C54A03">
        <w:rPr>
          <w:color w:val="000000" w:themeColor="text1"/>
          <w:spacing w:val="4"/>
          <w:sz w:val="24"/>
          <w:szCs w:val="24"/>
          <w:lang w:val="fr-FR"/>
        </w:rPr>
        <w:t xml:space="preserve"> </w:t>
      </w:r>
      <w:proofErr w:type="spellStart"/>
      <w:r w:rsidRPr="00C54A03">
        <w:rPr>
          <w:color w:val="000000" w:themeColor="text1"/>
          <w:sz w:val="24"/>
          <w:szCs w:val="24"/>
          <w:lang w:val="fr-FR"/>
        </w:rPr>
        <w:t>dificil</w:t>
      </w:r>
      <w:proofErr w:type="spellEnd"/>
      <w:r w:rsidRPr="00C54A03">
        <w:rPr>
          <w:color w:val="000000" w:themeColor="text1"/>
          <w:spacing w:val="4"/>
          <w:sz w:val="24"/>
          <w:szCs w:val="24"/>
          <w:lang w:val="fr-FR"/>
        </w:rPr>
        <w:t xml:space="preserve"> </w:t>
      </w:r>
      <w:r w:rsidRPr="00C54A03">
        <w:rPr>
          <w:color w:val="000000" w:themeColor="text1"/>
          <w:sz w:val="24"/>
          <w:szCs w:val="24"/>
          <w:lang w:val="fr-FR"/>
        </w:rPr>
        <w:t>de</w:t>
      </w:r>
      <w:r w:rsidRPr="00C54A03">
        <w:rPr>
          <w:color w:val="000000" w:themeColor="text1"/>
          <w:spacing w:val="2"/>
          <w:sz w:val="24"/>
          <w:szCs w:val="24"/>
          <w:lang w:val="fr-FR"/>
        </w:rPr>
        <w:t xml:space="preserve"> </w:t>
      </w:r>
      <w:proofErr w:type="spellStart"/>
      <w:r w:rsidRPr="00C54A03">
        <w:rPr>
          <w:color w:val="000000" w:themeColor="text1"/>
          <w:sz w:val="24"/>
          <w:szCs w:val="24"/>
          <w:lang w:val="fr-FR"/>
        </w:rPr>
        <w:t>studiat</w:t>
      </w:r>
      <w:proofErr w:type="spellEnd"/>
      <w:r w:rsidRPr="00C54A03">
        <w:rPr>
          <w:color w:val="000000" w:themeColor="text1"/>
          <w:spacing w:val="3"/>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monitorizat</w:t>
      </w:r>
      <w:proofErr w:type="spellEnd"/>
      <w:r w:rsidRPr="00C54A03">
        <w:rPr>
          <w:color w:val="000000" w:themeColor="text1"/>
          <w:sz w:val="24"/>
          <w:szCs w:val="24"/>
          <w:lang w:val="fr-FR"/>
        </w:rPr>
        <w:t>.</w:t>
      </w:r>
    </w:p>
    <w:p w14:paraId="3B2C4299" w14:textId="77777777" w:rsidR="007702CD" w:rsidRPr="00C54A03" w:rsidRDefault="007702CD" w:rsidP="00D97209">
      <w:pPr>
        <w:pStyle w:val="BodyText"/>
        <w:spacing w:before="64"/>
        <w:ind w:left="0" w:right="27"/>
        <w:jc w:val="both"/>
        <w:rPr>
          <w:color w:val="000000" w:themeColor="text1"/>
          <w:sz w:val="24"/>
          <w:szCs w:val="24"/>
          <w:lang w:val="fr-FR"/>
        </w:rPr>
      </w:pPr>
      <w:proofErr w:type="spellStart"/>
      <w:r w:rsidRPr="00C54A03">
        <w:rPr>
          <w:color w:val="000000" w:themeColor="text1"/>
          <w:sz w:val="24"/>
          <w:szCs w:val="24"/>
          <w:lang w:val="fr-FR"/>
        </w:rPr>
        <w:t>Doar</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unele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grohotişuri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sunt</w:t>
      </w:r>
      <w:proofErr w:type="spellEnd"/>
      <w:r w:rsidRPr="00C54A03">
        <w:rPr>
          <w:color w:val="000000" w:themeColor="text1"/>
          <w:sz w:val="24"/>
          <w:szCs w:val="24"/>
          <w:lang w:val="fr-FR"/>
        </w:rPr>
        <w:t xml:space="preserve"> mai </w:t>
      </w:r>
      <w:proofErr w:type="spellStart"/>
      <w:r w:rsidRPr="00C54A03">
        <w:rPr>
          <w:color w:val="000000" w:themeColor="text1"/>
          <w:sz w:val="24"/>
          <w:szCs w:val="24"/>
          <w:lang w:val="fr-FR"/>
        </w:rPr>
        <w:t>întinse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putând</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ocupa</w:t>
      </w:r>
      <w:proofErr w:type="spellEnd"/>
      <w:r w:rsidRPr="00C54A03">
        <w:rPr>
          <w:color w:val="000000" w:themeColor="text1"/>
          <w:sz w:val="24"/>
          <w:szCs w:val="24"/>
          <w:lang w:val="fr-FR"/>
        </w:rPr>
        <w:t xml:space="preserve"> mai </w:t>
      </w:r>
      <w:proofErr w:type="spellStart"/>
      <w:r w:rsidRPr="00C54A03">
        <w:rPr>
          <w:color w:val="000000" w:themeColor="text1"/>
          <w:sz w:val="24"/>
          <w:szCs w:val="24"/>
          <w:lang w:val="fr-FR"/>
        </w:rPr>
        <w:t>multe</w:t>
      </w:r>
      <w:proofErr w:type="spellEnd"/>
      <w:r w:rsidRPr="00C54A03">
        <w:rPr>
          <w:color w:val="000000" w:themeColor="text1"/>
          <w:sz w:val="24"/>
          <w:szCs w:val="24"/>
          <w:lang w:val="fr-FR"/>
        </w:rPr>
        <w:t xml:space="preserve"> hectare dar </w:t>
      </w:r>
      <w:proofErr w:type="spellStart"/>
      <w:r w:rsidRPr="00C54A03">
        <w:rPr>
          <w:color w:val="000000" w:themeColor="text1"/>
          <w:sz w:val="24"/>
          <w:szCs w:val="24"/>
          <w:lang w:val="fr-FR"/>
        </w:rPr>
        <w:t>vegetaţia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lor</w:t>
      </w:r>
      <w:proofErr w:type="spellEnd"/>
      <w:r w:rsidRPr="00C54A03">
        <w:rPr>
          <w:color w:val="000000" w:themeColor="text1"/>
          <w:sz w:val="24"/>
          <w:szCs w:val="24"/>
          <w:lang w:val="fr-FR"/>
        </w:rPr>
        <w:t xml:space="preserve"> este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săracă</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acoperind</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cel</w:t>
      </w:r>
      <w:proofErr w:type="spellEnd"/>
      <w:r w:rsidRPr="00C54A03">
        <w:rPr>
          <w:color w:val="000000" w:themeColor="text1"/>
          <w:sz w:val="24"/>
          <w:szCs w:val="24"/>
          <w:lang w:val="fr-FR"/>
        </w:rPr>
        <w:t xml:space="preserve"> mai</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adesea</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sub</w:t>
      </w:r>
      <w:proofErr w:type="spellEnd"/>
      <w:r w:rsidRPr="00C54A03">
        <w:rPr>
          <w:color w:val="000000" w:themeColor="text1"/>
          <w:sz w:val="24"/>
          <w:szCs w:val="24"/>
          <w:lang w:val="fr-FR"/>
        </w:rPr>
        <w:t xml:space="preserve"> 5%</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din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suprafaţa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lor</w:t>
      </w:r>
      <w:proofErr w:type="spellEnd"/>
      <w:r w:rsidRPr="00C54A03">
        <w:rPr>
          <w:color w:val="000000" w:themeColor="text1"/>
          <w:sz w:val="24"/>
          <w:szCs w:val="24"/>
          <w:lang w:val="fr-FR"/>
        </w:rPr>
        <w:t>.</w:t>
      </w:r>
    </w:p>
    <w:p w14:paraId="2C03B2D0" w14:textId="77777777" w:rsidR="007702CD" w:rsidRPr="00C54A03" w:rsidRDefault="007702CD" w:rsidP="00D97209">
      <w:pPr>
        <w:pStyle w:val="BodyText"/>
        <w:ind w:left="0" w:right="27"/>
        <w:jc w:val="both"/>
        <w:rPr>
          <w:color w:val="000000" w:themeColor="text1"/>
          <w:sz w:val="24"/>
          <w:szCs w:val="24"/>
          <w:lang w:val="fr-FR"/>
        </w:rPr>
      </w:pPr>
      <w:proofErr w:type="spellStart"/>
      <w:r w:rsidRPr="00C54A03">
        <w:rPr>
          <w:color w:val="000000" w:themeColor="text1"/>
          <w:sz w:val="24"/>
          <w:szCs w:val="24"/>
          <w:lang w:val="fr-FR"/>
        </w:rPr>
        <w:t>Habitatele</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stâncării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prezintă</w:t>
      </w:r>
      <w:proofErr w:type="spellEnd"/>
      <w:r w:rsidRPr="00C54A03">
        <w:rPr>
          <w:color w:val="000000" w:themeColor="text1"/>
          <w:sz w:val="24"/>
          <w:szCs w:val="24"/>
          <w:lang w:val="fr-FR"/>
        </w:rPr>
        <w:t xml:space="preserve"> o </w:t>
      </w:r>
      <w:proofErr w:type="spellStart"/>
      <w:r w:rsidRPr="00C54A03">
        <w:rPr>
          <w:color w:val="000000" w:themeColor="text1"/>
          <w:sz w:val="24"/>
          <w:szCs w:val="24"/>
          <w:lang w:val="fr-FR"/>
        </w:rPr>
        <w:t>diversitate</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structuri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funcţie</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roca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substratului</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starea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ei</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 xml:space="preserve">de </w:t>
      </w:r>
      <w:proofErr w:type="spellStart"/>
      <w:r w:rsidRPr="00C54A03">
        <w:rPr>
          <w:color w:val="000000" w:themeColor="text1"/>
          <w:sz w:val="24"/>
          <w:szCs w:val="24"/>
          <w:lang w:val="fr-FR"/>
        </w:rPr>
        <w:t>dezagregare</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expoziţia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înclinarea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versanţilor</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astfel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încât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afară</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macrohabitate</w:t>
      </w:r>
      <w:proofErr w:type="spellEnd"/>
      <w:r w:rsidRPr="00C54A03">
        <w:rPr>
          <w:color w:val="000000" w:themeColor="text1"/>
          <w:sz w:val="24"/>
          <w:szCs w:val="24"/>
          <w:lang w:val="fr-FR"/>
        </w:rPr>
        <w:t xml:space="preserve"> se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întâlnesc</w:t>
      </w:r>
      <w:proofErr w:type="spellEnd"/>
      <w:r w:rsidRPr="00C54A03">
        <w:rPr>
          <w:color w:val="000000" w:themeColor="text1"/>
          <w:spacing w:val="-3"/>
          <w:sz w:val="24"/>
          <w:szCs w:val="24"/>
          <w:lang w:val="fr-FR"/>
        </w:rPr>
        <w:t xml:space="preserve"> </w:t>
      </w:r>
      <w:r w:rsidRPr="00C54A03">
        <w:rPr>
          <w:color w:val="000000" w:themeColor="text1"/>
          <w:sz w:val="24"/>
          <w:szCs w:val="24"/>
          <w:lang w:val="fr-FR"/>
        </w:rPr>
        <w:t>diverse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microhabitate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diferite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subtipuri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varietăţi</w:t>
      </w:r>
      <w:proofErr w:type="spellEnd"/>
      <w:r w:rsidRPr="00C54A03">
        <w:rPr>
          <w:color w:val="000000" w:themeColor="text1"/>
          <w:sz w:val="24"/>
          <w:szCs w:val="24"/>
          <w:lang w:val="fr-FR"/>
        </w:rPr>
        <w:t>.</w:t>
      </w:r>
    </w:p>
    <w:p w14:paraId="24EF9720" w14:textId="77777777" w:rsidR="007702CD" w:rsidRPr="00C54A03" w:rsidRDefault="007702CD" w:rsidP="00D97209">
      <w:pPr>
        <w:pStyle w:val="BodyText"/>
        <w:ind w:left="0" w:right="27"/>
        <w:jc w:val="both"/>
        <w:rPr>
          <w:color w:val="000000" w:themeColor="text1"/>
          <w:sz w:val="24"/>
          <w:szCs w:val="24"/>
          <w:lang w:val="fr-FR"/>
        </w:rPr>
      </w:pPr>
      <w:proofErr w:type="spellStart"/>
      <w:r w:rsidRPr="00C54A03">
        <w:rPr>
          <w:color w:val="000000" w:themeColor="text1"/>
          <w:sz w:val="24"/>
          <w:szCs w:val="24"/>
          <w:lang w:val="fr-FR"/>
        </w:rPr>
        <w:t>Cele</w:t>
      </w:r>
      <w:proofErr w:type="spellEnd"/>
      <w:r w:rsidRPr="00C54A03">
        <w:rPr>
          <w:color w:val="000000" w:themeColor="text1"/>
          <w:sz w:val="24"/>
          <w:szCs w:val="24"/>
          <w:lang w:val="fr-FR"/>
        </w:rPr>
        <w:t xml:space="preserve"> mai </w:t>
      </w:r>
      <w:proofErr w:type="spellStart"/>
      <w:r w:rsidRPr="00C54A03">
        <w:rPr>
          <w:color w:val="000000" w:themeColor="text1"/>
          <w:sz w:val="24"/>
          <w:szCs w:val="24"/>
          <w:lang w:val="fr-FR"/>
        </w:rPr>
        <w:t>multe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stâncării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sunt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inaccesibile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z w:val="24"/>
          <w:szCs w:val="24"/>
          <w:lang w:val="fr-FR"/>
        </w:rPr>
        <w:t xml:space="preserve"> nu se </w:t>
      </w:r>
      <w:proofErr w:type="spellStart"/>
      <w:r w:rsidRPr="00C54A03">
        <w:rPr>
          <w:color w:val="000000" w:themeColor="text1"/>
          <w:sz w:val="24"/>
          <w:szCs w:val="24"/>
          <w:lang w:val="fr-FR"/>
        </w:rPr>
        <w:t>poate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ajunge</w:t>
      </w:r>
      <w:proofErr w:type="spellEnd"/>
      <w:r w:rsidRPr="00C54A03">
        <w:rPr>
          <w:color w:val="000000" w:themeColor="text1"/>
          <w:sz w:val="24"/>
          <w:szCs w:val="24"/>
          <w:lang w:val="fr-FR"/>
        </w:rPr>
        <w:t xml:space="preserve"> la </w:t>
      </w:r>
      <w:proofErr w:type="spellStart"/>
      <w:r w:rsidRPr="00C54A03">
        <w:rPr>
          <w:color w:val="000000" w:themeColor="text1"/>
          <w:sz w:val="24"/>
          <w:szCs w:val="24"/>
          <w:lang w:val="fr-FR"/>
        </w:rPr>
        <w:t>ele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decât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ajutorul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alpiniştilor</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r w:rsidRPr="00C54A03">
        <w:rPr>
          <w:color w:val="000000" w:themeColor="text1"/>
          <w:sz w:val="24"/>
          <w:szCs w:val="24"/>
          <w:lang w:val="fr-FR"/>
        </w:rPr>
        <w:t xml:space="preserve">Ca </w:t>
      </w:r>
      <w:proofErr w:type="spellStart"/>
      <w:r w:rsidRPr="00C54A03">
        <w:rPr>
          <w:color w:val="000000" w:themeColor="text1"/>
          <w:sz w:val="24"/>
          <w:szCs w:val="24"/>
          <w:lang w:val="fr-FR"/>
        </w:rPr>
        <w:t>rezultat</w:t>
      </w:r>
      <w:proofErr w:type="spellEnd"/>
      <w:r w:rsidRPr="00C54A03">
        <w:rPr>
          <w:color w:val="000000" w:themeColor="text1"/>
          <w:sz w:val="24"/>
          <w:szCs w:val="24"/>
          <w:lang w:val="fr-FR"/>
        </w:rPr>
        <w:t xml:space="preserve"> al </w:t>
      </w:r>
      <w:proofErr w:type="spellStart"/>
      <w:r w:rsidRPr="00C54A03">
        <w:rPr>
          <w:color w:val="000000" w:themeColor="text1"/>
          <w:sz w:val="24"/>
          <w:szCs w:val="24"/>
          <w:lang w:val="fr-FR"/>
        </w:rPr>
        <w:t>faptului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sunt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inaccesibile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sunt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afara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celor</w:t>
      </w:r>
      <w:proofErr w:type="spellEnd"/>
      <w:r w:rsidRPr="00C54A03">
        <w:rPr>
          <w:color w:val="000000" w:themeColor="text1"/>
          <w:sz w:val="24"/>
          <w:szCs w:val="24"/>
          <w:lang w:val="fr-FR"/>
        </w:rPr>
        <w:t xml:space="preserve"> mai </w:t>
      </w:r>
      <w:proofErr w:type="spellStart"/>
      <w:r w:rsidRPr="00C54A03">
        <w:rPr>
          <w:color w:val="000000" w:themeColor="text1"/>
          <w:sz w:val="24"/>
          <w:szCs w:val="24"/>
          <w:lang w:val="fr-FR"/>
        </w:rPr>
        <w:t>multe</w:t>
      </w:r>
      <w:proofErr w:type="spellEnd"/>
      <w:r w:rsidRPr="00C54A03">
        <w:rPr>
          <w:color w:val="000000" w:themeColor="text1"/>
          <w:sz w:val="24"/>
          <w:szCs w:val="24"/>
          <w:lang w:val="fr-FR"/>
        </w:rPr>
        <w:t xml:space="preserve"> impacte, </w:t>
      </w:r>
      <w:proofErr w:type="spellStart"/>
      <w:r w:rsidRPr="00C54A03">
        <w:rPr>
          <w:color w:val="000000" w:themeColor="text1"/>
          <w:sz w:val="24"/>
          <w:szCs w:val="24"/>
          <w:lang w:val="fr-FR"/>
        </w:rPr>
        <w:t>deteriorări</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distrugeri</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lastRenderedPageBreak/>
        <w:t>(</w:t>
      </w:r>
      <w:proofErr w:type="spellStart"/>
      <w:r w:rsidRPr="00C54A03">
        <w:rPr>
          <w:color w:val="000000" w:themeColor="text1"/>
          <w:sz w:val="24"/>
          <w:szCs w:val="24"/>
          <w:lang w:val="fr-FR"/>
        </w:rPr>
        <w:t>exploziile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pentru</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valorificarea</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rocilor</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şi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croirea</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căi</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acces</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constituie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marile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ameninţări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Secole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rândul</w:t>
      </w:r>
      <w:proofErr w:type="spellEnd"/>
      <w:r w:rsidRPr="00C54A03">
        <w:rPr>
          <w:color w:val="000000" w:themeColor="text1"/>
          <w:sz w:val="24"/>
          <w:szCs w:val="24"/>
          <w:lang w:val="fr-FR"/>
        </w:rPr>
        <w:t xml:space="preserve"> nu au </w:t>
      </w:r>
      <w:proofErr w:type="spellStart"/>
      <w:r w:rsidRPr="00C54A03">
        <w:rPr>
          <w:color w:val="000000" w:themeColor="text1"/>
          <w:sz w:val="24"/>
          <w:szCs w:val="24"/>
          <w:lang w:val="fr-FR"/>
        </w:rPr>
        <w:t>loc</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modificări</w:t>
      </w:r>
      <w:proofErr w:type="spellEnd"/>
      <w:r w:rsidRPr="00C54A03">
        <w:rPr>
          <w:color w:val="000000" w:themeColor="text1"/>
          <w:sz w:val="24"/>
          <w:szCs w:val="24"/>
          <w:lang w:val="fr-FR"/>
        </w:rPr>
        <w:t xml:space="preserve"> majore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habitatele</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stâncării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starea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lor</w:t>
      </w:r>
      <w:proofErr w:type="spellEnd"/>
      <w:r w:rsidRPr="00C54A03">
        <w:rPr>
          <w:color w:val="000000" w:themeColor="text1"/>
          <w:sz w:val="24"/>
          <w:szCs w:val="24"/>
          <w:lang w:val="fr-FR"/>
        </w:rPr>
        <w:t xml:space="preserve"> 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conservare</w:t>
      </w:r>
      <w:proofErr w:type="spellEnd"/>
      <w:r w:rsidRPr="00C54A03">
        <w:rPr>
          <w:color w:val="000000" w:themeColor="text1"/>
          <w:spacing w:val="-3"/>
          <w:sz w:val="24"/>
          <w:szCs w:val="24"/>
          <w:lang w:val="fr-FR"/>
        </w:rPr>
        <w:t xml:space="preserve"> </w:t>
      </w:r>
      <w:proofErr w:type="spellStart"/>
      <w:r w:rsidRPr="00C54A03">
        <w:rPr>
          <w:color w:val="000000" w:themeColor="text1"/>
          <w:sz w:val="24"/>
          <w:szCs w:val="24"/>
          <w:lang w:val="fr-FR"/>
        </w:rPr>
        <w:t>menţinându</w:t>
      </w:r>
      <w:proofErr w:type="spellEnd"/>
      <w:r w:rsidRPr="00C54A03">
        <w:rPr>
          <w:color w:val="000000" w:themeColor="text1"/>
          <w:sz w:val="24"/>
          <w:szCs w:val="24"/>
          <w:lang w:val="fr-FR"/>
        </w:rPr>
        <w:t>-se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nealterată</w:t>
      </w:r>
      <w:proofErr w:type="spellEnd"/>
      <w:r w:rsidRPr="00C54A03">
        <w:rPr>
          <w:color w:val="000000" w:themeColor="text1"/>
          <w:sz w:val="24"/>
          <w:szCs w:val="24"/>
          <w:lang w:val="fr-FR"/>
        </w:rPr>
        <w:t>.</w:t>
      </w:r>
    </w:p>
    <w:p w14:paraId="16857DFF" w14:textId="77777777" w:rsidR="007702CD" w:rsidRPr="00C54A03" w:rsidRDefault="007702CD" w:rsidP="008E33FD">
      <w:pPr>
        <w:pStyle w:val="BodyText"/>
        <w:spacing w:before="6"/>
        <w:jc w:val="both"/>
        <w:rPr>
          <w:color w:val="000000" w:themeColor="text1"/>
          <w:sz w:val="24"/>
          <w:szCs w:val="24"/>
          <w:lang w:val="fr-FR"/>
        </w:rPr>
      </w:pPr>
    </w:p>
    <w:p w14:paraId="1A3F4B2C" w14:textId="77777777" w:rsidR="007702CD" w:rsidRPr="00C54A03" w:rsidRDefault="007702CD" w:rsidP="008E33FD">
      <w:pPr>
        <w:pStyle w:val="Heading2"/>
        <w:widowControl w:val="0"/>
        <w:tabs>
          <w:tab w:val="left" w:pos="1191"/>
        </w:tabs>
        <w:autoSpaceDE w:val="0"/>
        <w:autoSpaceDN w:val="0"/>
        <w:spacing w:before="1" w:beforeAutospacing="0" w:after="0" w:afterAutospacing="0"/>
        <w:jc w:val="both"/>
        <w:rPr>
          <w:color w:val="000000" w:themeColor="text1"/>
          <w:sz w:val="24"/>
          <w:szCs w:val="24"/>
        </w:rPr>
      </w:pPr>
      <w:proofErr w:type="spellStart"/>
      <w:r w:rsidRPr="00C54A03">
        <w:rPr>
          <w:color w:val="000000" w:themeColor="text1"/>
          <w:sz w:val="24"/>
          <w:szCs w:val="24"/>
        </w:rPr>
        <w:t>Măsuri</w:t>
      </w:r>
      <w:proofErr w:type="spellEnd"/>
      <w:r w:rsidRPr="00C54A03">
        <w:rPr>
          <w:color w:val="000000" w:themeColor="text1"/>
          <w:spacing w:val="-4"/>
          <w:sz w:val="24"/>
          <w:szCs w:val="24"/>
        </w:rPr>
        <w:t xml:space="preserve"> </w:t>
      </w:r>
      <w:r w:rsidRPr="00C54A03">
        <w:rPr>
          <w:color w:val="000000" w:themeColor="text1"/>
          <w:sz w:val="24"/>
          <w:szCs w:val="24"/>
        </w:rPr>
        <w:t>de</w:t>
      </w:r>
      <w:r w:rsidRPr="00C54A03">
        <w:rPr>
          <w:color w:val="000000" w:themeColor="text1"/>
          <w:spacing w:val="-2"/>
          <w:sz w:val="24"/>
          <w:szCs w:val="24"/>
        </w:rPr>
        <w:t xml:space="preserve"> </w:t>
      </w:r>
      <w:proofErr w:type="spellStart"/>
      <w:r w:rsidRPr="00C54A03">
        <w:rPr>
          <w:color w:val="000000" w:themeColor="text1"/>
          <w:sz w:val="24"/>
          <w:szCs w:val="24"/>
        </w:rPr>
        <w:t>conservare</w:t>
      </w:r>
      <w:proofErr w:type="spellEnd"/>
    </w:p>
    <w:p w14:paraId="09339EEB" w14:textId="77777777" w:rsidR="007702CD" w:rsidRPr="00C54A03" w:rsidRDefault="007702CD" w:rsidP="00D97209">
      <w:pPr>
        <w:pStyle w:val="BodyText"/>
        <w:tabs>
          <w:tab w:val="left" w:pos="9900"/>
        </w:tabs>
        <w:spacing w:before="157" w:line="276" w:lineRule="auto"/>
        <w:ind w:left="0" w:right="27"/>
        <w:jc w:val="both"/>
        <w:rPr>
          <w:color w:val="000000" w:themeColor="text1"/>
          <w:sz w:val="24"/>
          <w:szCs w:val="24"/>
          <w:lang w:val="fr-FR"/>
        </w:rPr>
      </w:pPr>
      <w:r w:rsidRPr="00C54A03">
        <w:rPr>
          <w:color w:val="000000" w:themeColor="text1"/>
          <w:sz w:val="24"/>
          <w:szCs w:val="24"/>
          <w:lang w:val="fr-FR"/>
        </w:rPr>
        <w:t>Se</w:t>
      </w:r>
      <w:r w:rsidRPr="00C54A03">
        <w:rPr>
          <w:color w:val="000000" w:themeColor="text1"/>
          <w:spacing w:val="1"/>
          <w:sz w:val="24"/>
          <w:szCs w:val="24"/>
          <w:lang w:val="fr-FR"/>
        </w:rPr>
        <w:t xml:space="preserve"> </w:t>
      </w:r>
      <w:r w:rsidRPr="00C54A03">
        <w:rPr>
          <w:color w:val="000000" w:themeColor="text1"/>
          <w:sz w:val="24"/>
          <w:szCs w:val="24"/>
          <w:lang w:val="fr-FR"/>
        </w:rPr>
        <w:t>vor</w:t>
      </w:r>
      <w:r w:rsidRPr="00C54A03">
        <w:rPr>
          <w:color w:val="000000" w:themeColor="text1"/>
          <w:spacing w:val="1"/>
          <w:sz w:val="24"/>
          <w:szCs w:val="24"/>
          <w:lang w:val="fr-FR"/>
        </w:rPr>
        <w:t xml:space="preserve"> </w:t>
      </w:r>
      <w:r w:rsidRPr="00C54A03">
        <w:rPr>
          <w:color w:val="000000" w:themeColor="text1"/>
          <w:sz w:val="24"/>
          <w:szCs w:val="24"/>
          <w:lang w:val="fr-FR"/>
        </w:rPr>
        <w:t>lista</w:t>
      </w:r>
      <w:r w:rsidRPr="00C54A03">
        <w:rPr>
          <w:color w:val="000000" w:themeColor="text1"/>
          <w:spacing w:val="1"/>
          <w:sz w:val="24"/>
          <w:szCs w:val="24"/>
          <w:lang w:val="fr-FR"/>
        </w:rPr>
        <w:t xml:space="preserve"> </w:t>
      </w:r>
      <w:r w:rsidRPr="00C54A03">
        <w:rPr>
          <w:color w:val="000000" w:themeColor="text1"/>
          <w:sz w:val="24"/>
          <w:szCs w:val="24"/>
          <w:lang w:val="fr-FR"/>
        </w:rPr>
        <w:t>maximum</w:t>
      </w:r>
      <w:r w:rsidRPr="00C54A03">
        <w:rPr>
          <w:color w:val="000000" w:themeColor="text1"/>
          <w:spacing w:val="1"/>
          <w:sz w:val="24"/>
          <w:szCs w:val="24"/>
          <w:lang w:val="fr-FR"/>
        </w:rPr>
        <w:t xml:space="preserve"> </w:t>
      </w:r>
      <w:r w:rsidRPr="00C54A03">
        <w:rPr>
          <w:color w:val="000000" w:themeColor="text1"/>
          <w:sz w:val="24"/>
          <w:szCs w:val="24"/>
          <w:lang w:val="fr-FR"/>
        </w:rPr>
        <w:t>10</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măsuri</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conservare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și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măsurile</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conservare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implementate</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recomandabil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cele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menționate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planurile</w:t>
      </w:r>
      <w:proofErr w:type="spellEnd"/>
      <w:r w:rsidRPr="00C54A03">
        <w:rPr>
          <w:color w:val="000000" w:themeColor="text1"/>
          <w:sz w:val="24"/>
          <w:szCs w:val="24"/>
          <w:lang w:val="fr-FR"/>
        </w:rPr>
        <w:t xml:space="preserve"> de management ale </w:t>
      </w:r>
      <w:proofErr w:type="spellStart"/>
      <w:r w:rsidRPr="00C54A03">
        <w:rPr>
          <w:color w:val="000000" w:themeColor="text1"/>
          <w:sz w:val="24"/>
          <w:szCs w:val="24"/>
          <w:lang w:val="fr-FR"/>
        </w:rPr>
        <w:t>siturilor</w:t>
      </w:r>
      <w:proofErr w:type="spellEnd"/>
      <w:r w:rsidRPr="00C54A03">
        <w:rPr>
          <w:color w:val="000000" w:themeColor="text1"/>
          <w:sz w:val="24"/>
          <w:szCs w:val="24"/>
          <w:lang w:val="fr-FR"/>
        </w:rPr>
        <w:t xml:space="preserve"> Natura 2000. Lista </w:t>
      </w:r>
      <w:proofErr w:type="spellStart"/>
      <w:r w:rsidRPr="00C54A03">
        <w:rPr>
          <w:color w:val="000000" w:themeColor="text1"/>
          <w:sz w:val="24"/>
          <w:szCs w:val="24"/>
          <w:lang w:val="fr-FR"/>
        </w:rPr>
        <w:t>măsurilor</w:t>
      </w:r>
      <w:proofErr w:type="spellEnd"/>
      <w:r w:rsidR="00E87D2D" w:rsidRPr="00C54A03">
        <w:rPr>
          <w:color w:val="000000" w:themeColor="text1"/>
          <w:sz w:val="24"/>
          <w:szCs w:val="24"/>
          <w:lang w:val="fr-FR"/>
        </w:rPr>
        <w:t xml:space="preserve"> </w:t>
      </w:r>
      <w:r w:rsidRPr="00C54A03">
        <w:rPr>
          <w:color w:val="000000" w:themeColor="text1"/>
          <w:spacing w:val="-57"/>
          <w:sz w:val="24"/>
          <w:szCs w:val="24"/>
          <w:lang w:val="fr-FR"/>
        </w:rPr>
        <w:t xml:space="preserve"> </w:t>
      </w:r>
      <w:r w:rsidRPr="00C54A03">
        <w:rPr>
          <w:color w:val="000000" w:themeColor="text1"/>
          <w:sz w:val="24"/>
          <w:szCs w:val="24"/>
          <w:lang w:val="fr-FR"/>
        </w:rPr>
        <w:t>de</w:t>
      </w:r>
      <w:r w:rsidRPr="00C54A03">
        <w:rPr>
          <w:color w:val="000000" w:themeColor="text1"/>
          <w:spacing w:val="-2"/>
          <w:sz w:val="24"/>
          <w:szCs w:val="24"/>
          <w:lang w:val="fr-FR"/>
        </w:rPr>
        <w:t xml:space="preserve"> </w:t>
      </w:r>
      <w:proofErr w:type="spellStart"/>
      <w:r w:rsidRPr="00C54A03">
        <w:rPr>
          <w:color w:val="000000" w:themeColor="text1"/>
          <w:sz w:val="24"/>
          <w:szCs w:val="24"/>
          <w:lang w:val="fr-FR"/>
        </w:rPr>
        <w:t>conservare</w:t>
      </w:r>
      <w:proofErr w:type="spellEnd"/>
      <w:r w:rsidRPr="00C54A03">
        <w:rPr>
          <w:color w:val="000000" w:themeColor="text1"/>
          <w:spacing w:val="-2"/>
          <w:sz w:val="24"/>
          <w:szCs w:val="24"/>
          <w:lang w:val="fr-FR"/>
        </w:rPr>
        <w:t xml:space="preserve"> </w:t>
      </w:r>
      <w:r w:rsidRPr="00C54A03">
        <w:rPr>
          <w:color w:val="000000" w:themeColor="text1"/>
          <w:sz w:val="24"/>
          <w:szCs w:val="24"/>
          <w:lang w:val="fr-FR"/>
        </w:rPr>
        <w:t>se</w:t>
      </w:r>
      <w:r w:rsidRPr="00C54A03">
        <w:rPr>
          <w:color w:val="000000" w:themeColor="text1"/>
          <w:spacing w:val="-2"/>
          <w:sz w:val="24"/>
          <w:szCs w:val="24"/>
          <w:lang w:val="fr-FR"/>
        </w:rPr>
        <w:t xml:space="preserve"> </w:t>
      </w:r>
      <w:proofErr w:type="spellStart"/>
      <w:r w:rsidRPr="00C54A03">
        <w:rPr>
          <w:color w:val="000000" w:themeColor="text1"/>
          <w:sz w:val="24"/>
          <w:szCs w:val="24"/>
          <w:lang w:val="fr-FR"/>
        </w:rPr>
        <w:t>regăsește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pe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portalul</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raportare</w:t>
      </w:r>
      <w:proofErr w:type="spellEnd"/>
      <w:r w:rsidRPr="00C54A03">
        <w:rPr>
          <w:color w:val="000000" w:themeColor="text1"/>
          <w:sz w:val="24"/>
          <w:szCs w:val="24"/>
          <w:lang w:val="fr-FR"/>
        </w:rPr>
        <w:t xml:space="preserve"> al</w:t>
      </w:r>
      <w:r w:rsidRPr="00C54A03">
        <w:rPr>
          <w:color w:val="000000" w:themeColor="text1"/>
          <w:spacing w:val="-1"/>
          <w:sz w:val="24"/>
          <w:szCs w:val="24"/>
          <w:lang w:val="fr-FR"/>
        </w:rPr>
        <w:t xml:space="preserve"> </w:t>
      </w:r>
      <w:r w:rsidRPr="00C54A03">
        <w:rPr>
          <w:color w:val="000000" w:themeColor="text1"/>
          <w:sz w:val="24"/>
          <w:szCs w:val="24"/>
          <w:lang w:val="fr-FR"/>
        </w:rPr>
        <w:t xml:space="preserve">CE </w:t>
      </w:r>
      <w:proofErr w:type="spellStart"/>
      <w:r w:rsidRPr="00C54A03">
        <w:rPr>
          <w:color w:val="000000" w:themeColor="text1"/>
          <w:sz w:val="24"/>
          <w:szCs w:val="24"/>
          <w:lang w:val="fr-FR"/>
        </w:rPr>
        <w:t>și</w:t>
      </w:r>
      <w:proofErr w:type="spellEnd"/>
      <w:r w:rsidRPr="00C54A03">
        <w:rPr>
          <w:color w:val="000000" w:themeColor="text1"/>
          <w:spacing w:val="-1"/>
          <w:sz w:val="24"/>
          <w:szCs w:val="24"/>
          <w:lang w:val="fr-FR"/>
        </w:rPr>
        <w:t xml:space="preserve"> </w:t>
      </w:r>
      <w:proofErr w:type="spellStart"/>
      <w:r w:rsidR="00E87D2D" w:rsidRPr="00C54A03">
        <w:rPr>
          <w:color w:val="000000" w:themeColor="text1"/>
          <w:sz w:val="24"/>
          <w:szCs w:val="24"/>
          <w:lang w:val="fr-FR"/>
        </w:rPr>
        <w:t>în</w:t>
      </w:r>
      <w:proofErr w:type="spellEnd"/>
      <w:r w:rsidR="00E87D2D" w:rsidRPr="00C54A03">
        <w:rPr>
          <w:color w:val="000000" w:themeColor="text1"/>
          <w:sz w:val="24"/>
          <w:szCs w:val="24"/>
          <w:lang w:val="fr-FR"/>
        </w:rPr>
        <w:t xml:space="preserve"> </w:t>
      </w:r>
      <w:proofErr w:type="spellStart"/>
      <w:r w:rsidR="00E87D2D" w:rsidRPr="00C54A03">
        <w:rPr>
          <w:color w:val="000000" w:themeColor="text1"/>
          <w:sz w:val="24"/>
          <w:szCs w:val="24"/>
          <w:lang w:val="fr-FR"/>
        </w:rPr>
        <w:t>secțiunea</w:t>
      </w:r>
      <w:proofErr w:type="spellEnd"/>
      <w:r w:rsidR="00E87D2D" w:rsidRPr="00C54A03">
        <w:rPr>
          <w:color w:val="000000" w:themeColor="text1"/>
          <w:sz w:val="24"/>
          <w:szCs w:val="24"/>
          <w:lang w:val="fr-FR"/>
        </w:rPr>
        <w:t xml:space="preserve"> </w:t>
      </w:r>
      <w:r w:rsidR="004E6BFA" w:rsidRPr="00C54A03">
        <w:rPr>
          <w:color w:val="000000" w:themeColor="text1"/>
          <w:sz w:val="24"/>
          <w:szCs w:val="24"/>
          <w:lang w:val="fr-FR"/>
        </w:rPr>
        <w:t>8.5</w:t>
      </w:r>
      <w:r w:rsidR="00E87D2D" w:rsidRPr="00C54A03">
        <w:rPr>
          <w:color w:val="000000" w:themeColor="text1"/>
          <w:sz w:val="24"/>
          <w:szCs w:val="24"/>
          <w:lang w:val="fr-FR"/>
        </w:rPr>
        <w:t xml:space="preserve"> la </w:t>
      </w:r>
      <w:proofErr w:type="spellStart"/>
      <w:r w:rsidR="00E87D2D" w:rsidRPr="00C54A03">
        <w:rPr>
          <w:color w:val="000000" w:themeColor="text1"/>
          <w:sz w:val="24"/>
          <w:szCs w:val="24"/>
          <w:lang w:val="fr-FR"/>
        </w:rPr>
        <w:t>prezentul</w:t>
      </w:r>
      <w:proofErr w:type="spellEnd"/>
      <w:r w:rsidRPr="00C54A03">
        <w:rPr>
          <w:color w:val="000000" w:themeColor="text1"/>
          <w:sz w:val="24"/>
          <w:szCs w:val="24"/>
          <w:lang w:val="fr-FR"/>
        </w:rPr>
        <w:t xml:space="preserve"> document.</w:t>
      </w:r>
    </w:p>
    <w:p w14:paraId="1C645F3C" w14:textId="77777777" w:rsidR="00E87D2D" w:rsidRPr="00C54A03" w:rsidRDefault="00E87D2D" w:rsidP="008E33FD">
      <w:pPr>
        <w:pStyle w:val="Heading2"/>
        <w:widowControl w:val="0"/>
        <w:tabs>
          <w:tab w:val="left" w:pos="1191"/>
        </w:tabs>
        <w:autoSpaceDE w:val="0"/>
        <w:autoSpaceDN w:val="0"/>
        <w:spacing w:before="0" w:beforeAutospacing="0" w:after="0" w:afterAutospacing="0"/>
        <w:jc w:val="both"/>
        <w:rPr>
          <w:color w:val="000000" w:themeColor="text1"/>
          <w:sz w:val="24"/>
          <w:szCs w:val="24"/>
          <w:lang w:val="fr-FR"/>
        </w:rPr>
      </w:pPr>
    </w:p>
    <w:p w14:paraId="51A64DAC" w14:textId="77777777" w:rsidR="007702CD" w:rsidRPr="00C54A03" w:rsidRDefault="007702CD" w:rsidP="008E33FD">
      <w:pPr>
        <w:pStyle w:val="Heading2"/>
        <w:widowControl w:val="0"/>
        <w:tabs>
          <w:tab w:val="left" w:pos="1191"/>
        </w:tabs>
        <w:autoSpaceDE w:val="0"/>
        <w:autoSpaceDN w:val="0"/>
        <w:spacing w:before="0" w:beforeAutospacing="0" w:after="0" w:afterAutospacing="0"/>
        <w:jc w:val="both"/>
        <w:rPr>
          <w:color w:val="000000" w:themeColor="text1"/>
          <w:sz w:val="24"/>
          <w:szCs w:val="24"/>
        </w:rPr>
      </w:pPr>
      <w:r w:rsidRPr="00C54A03">
        <w:rPr>
          <w:color w:val="000000" w:themeColor="text1"/>
          <w:sz w:val="24"/>
          <w:szCs w:val="24"/>
        </w:rPr>
        <w:t>Perspective</w:t>
      </w:r>
    </w:p>
    <w:p w14:paraId="73FEA742" w14:textId="77777777" w:rsidR="007702CD" w:rsidRPr="00C54A03" w:rsidRDefault="007702CD" w:rsidP="00D97209">
      <w:pPr>
        <w:spacing w:before="157"/>
        <w:ind w:right="27"/>
        <w:jc w:val="both"/>
        <w:rPr>
          <w:color w:val="000000" w:themeColor="text1"/>
        </w:rPr>
      </w:pPr>
      <w:r w:rsidRPr="00C54A03">
        <w:rPr>
          <w:color w:val="000000" w:themeColor="text1"/>
        </w:rPr>
        <w:t>Corelat cu formatul de raportare, rezultatul evaluării stării perspectivelor se face folosind cele patru</w:t>
      </w:r>
      <w:r w:rsidRPr="00C54A03">
        <w:rPr>
          <w:color w:val="000000" w:themeColor="text1"/>
          <w:spacing w:val="1"/>
        </w:rPr>
        <w:t xml:space="preserve"> </w:t>
      </w:r>
      <w:r w:rsidRPr="00C54A03">
        <w:rPr>
          <w:color w:val="000000" w:themeColor="text1"/>
        </w:rPr>
        <w:t>categorii</w:t>
      </w:r>
      <w:r w:rsidRPr="00C54A03">
        <w:rPr>
          <w:color w:val="000000" w:themeColor="text1"/>
          <w:spacing w:val="11"/>
        </w:rPr>
        <w:t xml:space="preserve"> </w:t>
      </w:r>
      <w:r w:rsidRPr="00C54A03">
        <w:rPr>
          <w:color w:val="000000" w:themeColor="text1"/>
        </w:rPr>
        <w:t>disponibile:</w:t>
      </w:r>
      <w:r w:rsidRPr="00C54A03">
        <w:rPr>
          <w:color w:val="000000" w:themeColor="text1"/>
          <w:spacing w:val="11"/>
        </w:rPr>
        <w:t xml:space="preserve"> </w:t>
      </w:r>
      <w:r w:rsidRPr="00C54A03">
        <w:rPr>
          <w:color w:val="000000" w:themeColor="text1"/>
        </w:rPr>
        <w:t>„</w:t>
      </w:r>
      <w:r w:rsidRPr="00C54A03">
        <w:rPr>
          <w:b/>
          <w:color w:val="000000" w:themeColor="text1"/>
        </w:rPr>
        <w:t>favorabil</w:t>
      </w:r>
      <w:r w:rsidRPr="00C54A03">
        <w:rPr>
          <w:color w:val="000000" w:themeColor="text1"/>
        </w:rPr>
        <w:t>”</w:t>
      </w:r>
      <w:r w:rsidRPr="00C54A03">
        <w:rPr>
          <w:color w:val="000000" w:themeColor="text1"/>
          <w:spacing w:val="10"/>
        </w:rPr>
        <w:t xml:space="preserve"> </w:t>
      </w:r>
      <w:r w:rsidRPr="00C54A03">
        <w:rPr>
          <w:color w:val="000000" w:themeColor="text1"/>
        </w:rPr>
        <w:t>(FV),</w:t>
      </w:r>
      <w:r w:rsidRPr="00C54A03">
        <w:rPr>
          <w:color w:val="000000" w:themeColor="text1"/>
          <w:spacing w:val="11"/>
        </w:rPr>
        <w:t xml:space="preserve"> </w:t>
      </w:r>
      <w:r w:rsidRPr="00C54A03">
        <w:rPr>
          <w:color w:val="000000" w:themeColor="text1"/>
        </w:rPr>
        <w:t>„</w:t>
      </w:r>
      <w:r w:rsidRPr="00C54A03">
        <w:rPr>
          <w:b/>
          <w:color w:val="000000" w:themeColor="text1"/>
        </w:rPr>
        <w:t>nefavorabil-inadecvat</w:t>
      </w:r>
      <w:r w:rsidRPr="00C54A03">
        <w:rPr>
          <w:color w:val="000000" w:themeColor="text1"/>
        </w:rPr>
        <w:t>”</w:t>
      </w:r>
      <w:r w:rsidRPr="00C54A03">
        <w:rPr>
          <w:color w:val="000000" w:themeColor="text1"/>
          <w:spacing w:val="11"/>
        </w:rPr>
        <w:t xml:space="preserve"> </w:t>
      </w:r>
      <w:r w:rsidRPr="00C54A03">
        <w:rPr>
          <w:color w:val="000000" w:themeColor="text1"/>
        </w:rPr>
        <w:t>(U1),</w:t>
      </w:r>
      <w:r w:rsidRPr="00C54A03">
        <w:rPr>
          <w:color w:val="000000" w:themeColor="text1"/>
          <w:spacing w:val="11"/>
        </w:rPr>
        <w:t xml:space="preserve"> </w:t>
      </w:r>
      <w:r w:rsidRPr="00C54A03">
        <w:rPr>
          <w:color w:val="000000" w:themeColor="text1"/>
        </w:rPr>
        <w:t>„</w:t>
      </w:r>
      <w:r w:rsidRPr="00C54A03">
        <w:rPr>
          <w:b/>
          <w:color w:val="000000" w:themeColor="text1"/>
        </w:rPr>
        <w:t>nefavorabil-rău</w:t>
      </w:r>
      <w:r w:rsidRPr="00C54A03">
        <w:rPr>
          <w:color w:val="000000" w:themeColor="text1"/>
        </w:rPr>
        <w:t>”</w:t>
      </w:r>
      <w:r w:rsidRPr="00C54A03">
        <w:rPr>
          <w:color w:val="000000" w:themeColor="text1"/>
          <w:spacing w:val="10"/>
        </w:rPr>
        <w:t xml:space="preserve"> </w:t>
      </w:r>
      <w:r w:rsidRPr="00C54A03">
        <w:rPr>
          <w:color w:val="000000" w:themeColor="text1"/>
        </w:rPr>
        <w:t>(U2)</w:t>
      </w:r>
      <w:r w:rsidRPr="00C54A03">
        <w:rPr>
          <w:color w:val="000000" w:themeColor="text1"/>
          <w:spacing w:val="10"/>
        </w:rPr>
        <w:t xml:space="preserve"> </w:t>
      </w:r>
      <w:r w:rsidRPr="00C54A03">
        <w:rPr>
          <w:color w:val="000000" w:themeColor="text1"/>
        </w:rPr>
        <w:t>și</w:t>
      </w:r>
    </w:p>
    <w:p w14:paraId="0B637EC6" w14:textId="77777777" w:rsidR="007702CD" w:rsidRPr="00C54A03" w:rsidRDefault="007702CD" w:rsidP="00D97209">
      <w:pPr>
        <w:pStyle w:val="BodyText"/>
        <w:ind w:left="0" w:right="27"/>
        <w:jc w:val="both"/>
        <w:rPr>
          <w:color w:val="000000" w:themeColor="text1"/>
          <w:sz w:val="24"/>
          <w:szCs w:val="24"/>
          <w:lang w:val="fr-FR"/>
        </w:rPr>
      </w:pPr>
      <w:r w:rsidRPr="00C54A03">
        <w:rPr>
          <w:color w:val="000000" w:themeColor="text1"/>
          <w:sz w:val="24"/>
          <w:szCs w:val="24"/>
          <w:lang w:val="fr-FR"/>
        </w:rPr>
        <w:t>„</w:t>
      </w:r>
      <w:proofErr w:type="spellStart"/>
      <w:r w:rsidRPr="00C54A03">
        <w:rPr>
          <w:b/>
          <w:color w:val="000000" w:themeColor="text1"/>
          <w:sz w:val="24"/>
          <w:szCs w:val="24"/>
          <w:lang w:val="fr-FR"/>
        </w:rPr>
        <w:t>necunoscut</w:t>
      </w:r>
      <w:proofErr w:type="spellEnd"/>
      <w:r w:rsidRPr="00C54A03">
        <w:rPr>
          <w:color w:val="000000" w:themeColor="text1"/>
          <w:sz w:val="24"/>
          <w:szCs w:val="24"/>
          <w:lang w:val="fr-FR"/>
        </w:rPr>
        <w:t>”</w:t>
      </w:r>
      <w:r w:rsidRPr="00C54A03">
        <w:rPr>
          <w:color w:val="000000" w:themeColor="text1"/>
          <w:spacing w:val="-3"/>
          <w:sz w:val="24"/>
          <w:szCs w:val="24"/>
          <w:lang w:val="fr-FR"/>
        </w:rPr>
        <w:t xml:space="preserve"> </w:t>
      </w:r>
      <w:r w:rsidRPr="00C54A03">
        <w:rPr>
          <w:color w:val="000000" w:themeColor="text1"/>
          <w:sz w:val="24"/>
          <w:szCs w:val="24"/>
          <w:lang w:val="fr-FR"/>
        </w:rPr>
        <w:t>(XX)</w:t>
      </w:r>
      <w:r w:rsidRPr="00C54A03">
        <w:rPr>
          <w:color w:val="000000" w:themeColor="text1"/>
          <w:spacing w:val="-1"/>
          <w:sz w:val="24"/>
          <w:szCs w:val="24"/>
          <w:lang w:val="fr-FR"/>
        </w:rPr>
        <w:t xml:space="preserve"> </w:t>
      </w:r>
      <w:r w:rsidRPr="00C54A03">
        <w:rPr>
          <w:color w:val="000000" w:themeColor="text1"/>
          <w:sz w:val="24"/>
          <w:szCs w:val="24"/>
          <w:lang w:val="fr-FR"/>
        </w:rPr>
        <w:t>este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redat</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2"/>
          <w:sz w:val="24"/>
          <w:szCs w:val="24"/>
          <w:lang w:val="fr-FR"/>
        </w:rPr>
        <w:t xml:space="preserve"> </w:t>
      </w:r>
      <w:proofErr w:type="spellStart"/>
      <w:r w:rsidRPr="00C54A03">
        <w:rPr>
          <w:color w:val="000000" w:themeColor="text1"/>
          <w:sz w:val="24"/>
          <w:szCs w:val="24"/>
          <w:lang w:val="fr-FR"/>
        </w:rPr>
        <w:t>tabelul</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2"/>
          <w:sz w:val="24"/>
          <w:szCs w:val="24"/>
          <w:lang w:val="fr-FR"/>
        </w:rPr>
        <w:t xml:space="preserve"> </w:t>
      </w:r>
      <w:r w:rsidRPr="00C54A03">
        <w:rPr>
          <w:color w:val="000000" w:themeColor="text1"/>
          <w:sz w:val="24"/>
          <w:szCs w:val="24"/>
          <w:lang w:val="fr-FR"/>
        </w:rPr>
        <w:t>mai</w:t>
      </w:r>
      <w:r w:rsidRPr="00C54A03">
        <w:rPr>
          <w:color w:val="000000" w:themeColor="text1"/>
          <w:spacing w:val="-2"/>
          <w:sz w:val="24"/>
          <w:szCs w:val="24"/>
          <w:lang w:val="fr-FR"/>
        </w:rPr>
        <w:t xml:space="preserve"> </w:t>
      </w:r>
      <w:proofErr w:type="spellStart"/>
      <w:r w:rsidRPr="00C54A03">
        <w:rPr>
          <w:color w:val="000000" w:themeColor="text1"/>
          <w:sz w:val="24"/>
          <w:szCs w:val="24"/>
          <w:lang w:val="fr-FR"/>
        </w:rPr>
        <w:t>jos</w:t>
      </w:r>
      <w:proofErr w:type="spellEnd"/>
      <w:r w:rsidRPr="00C54A03">
        <w:rPr>
          <w:color w:val="000000" w:themeColor="text1"/>
          <w:sz w:val="24"/>
          <w:szCs w:val="24"/>
          <w:lang w:val="fr-FR"/>
        </w:rPr>
        <w:t>:</w:t>
      </w:r>
    </w:p>
    <w:p w14:paraId="030325B6" w14:textId="77777777" w:rsidR="007702CD" w:rsidRPr="00C54A03" w:rsidRDefault="007702CD" w:rsidP="008E33FD">
      <w:pPr>
        <w:pStyle w:val="BodyText"/>
        <w:spacing w:before="9"/>
        <w:jc w:val="both"/>
        <w:rPr>
          <w:color w:val="000000" w:themeColor="text1"/>
          <w:sz w:val="24"/>
          <w:szCs w:val="24"/>
          <w:lang w:val="fr-FR"/>
        </w:rPr>
      </w:pPr>
    </w:p>
    <w:tbl>
      <w:tblPr>
        <w:tblW w:w="0" w:type="auto"/>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0"/>
        <w:gridCol w:w="7480"/>
      </w:tblGrid>
      <w:tr w:rsidR="007702CD" w:rsidRPr="00C54A03" w14:paraId="1C5F8E73" w14:textId="77777777" w:rsidTr="00102A1A">
        <w:trPr>
          <w:trHeight w:val="551"/>
        </w:trPr>
        <w:tc>
          <w:tcPr>
            <w:tcW w:w="1810" w:type="dxa"/>
            <w:shd w:val="clear" w:color="auto" w:fill="DBE4F0"/>
          </w:tcPr>
          <w:p w14:paraId="2ACA57F0" w14:textId="77777777" w:rsidR="007702CD" w:rsidRPr="00C54A03" w:rsidRDefault="007702CD" w:rsidP="008E33FD">
            <w:pPr>
              <w:pStyle w:val="TableParagraph"/>
              <w:tabs>
                <w:tab w:val="left" w:pos="1458"/>
              </w:tabs>
              <w:spacing w:line="276" w:lineRule="exact"/>
              <w:ind w:left="108" w:right="98"/>
              <w:jc w:val="both"/>
              <w:rPr>
                <w:b/>
                <w:color w:val="000000" w:themeColor="text1"/>
                <w:sz w:val="24"/>
                <w:szCs w:val="24"/>
              </w:rPr>
            </w:pPr>
            <w:r w:rsidRPr="00C54A03">
              <w:rPr>
                <w:b/>
                <w:color w:val="000000" w:themeColor="text1"/>
                <w:sz w:val="24"/>
                <w:szCs w:val="24"/>
              </w:rPr>
              <w:t>Starea</w:t>
            </w:r>
            <w:r w:rsidRPr="00C54A03">
              <w:rPr>
                <w:b/>
                <w:color w:val="000000" w:themeColor="text1"/>
                <w:sz w:val="24"/>
                <w:szCs w:val="24"/>
              </w:rPr>
              <w:tab/>
            </w:r>
            <w:r w:rsidRPr="00C54A03">
              <w:rPr>
                <w:b/>
                <w:color w:val="000000" w:themeColor="text1"/>
                <w:spacing w:val="-2"/>
                <w:sz w:val="24"/>
                <w:szCs w:val="24"/>
              </w:rPr>
              <w:t>de</w:t>
            </w:r>
            <w:r w:rsidRPr="00C54A03">
              <w:rPr>
                <w:b/>
                <w:color w:val="000000" w:themeColor="text1"/>
                <w:spacing w:val="-57"/>
                <w:sz w:val="24"/>
                <w:szCs w:val="24"/>
              </w:rPr>
              <w:t xml:space="preserve"> </w:t>
            </w:r>
            <w:r w:rsidRPr="00C54A03">
              <w:rPr>
                <w:b/>
                <w:color w:val="000000" w:themeColor="text1"/>
                <w:sz w:val="24"/>
                <w:szCs w:val="24"/>
              </w:rPr>
              <w:t>conservare</w:t>
            </w:r>
          </w:p>
        </w:tc>
        <w:tc>
          <w:tcPr>
            <w:tcW w:w="7480" w:type="dxa"/>
            <w:shd w:val="clear" w:color="auto" w:fill="DBE4F0"/>
          </w:tcPr>
          <w:p w14:paraId="2F9C5B19" w14:textId="77777777" w:rsidR="007702CD" w:rsidRPr="00C54A03" w:rsidRDefault="007702CD" w:rsidP="008E33FD">
            <w:pPr>
              <w:pStyle w:val="TableParagraph"/>
              <w:spacing w:before="133"/>
              <w:ind w:left="107"/>
              <w:jc w:val="both"/>
              <w:rPr>
                <w:b/>
                <w:color w:val="000000" w:themeColor="text1"/>
                <w:sz w:val="24"/>
                <w:szCs w:val="24"/>
              </w:rPr>
            </w:pPr>
            <w:r w:rsidRPr="00C54A03">
              <w:rPr>
                <w:b/>
                <w:color w:val="000000" w:themeColor="text1"/>
                <w:sz w:val="24"/>
                <w:szCs w:val="24"/>
              </w:rPr>
              <w:t>Criterii</w:t>
            </w:r>
            <w:r w:rsidRPr="00C54A03">
              <w:rPr>
                <w:b/>
                <w:color w:val="000000" w:themeColor="text1"/>
                <w:spacing w:val="-2"/>
                <w:sz w:val="24"/>
                <w:szCs w:val="24"/>
              </w:rPr>
              <w:t xml:space="preserve"> </w:t>
            </w:r>
            <w:r w:rsidRPr="00C54A03">
              <w:rPr>
                <w:b/>
                <w:color w:val="000000" w:themeColor="text1"/>
                <w:sz w:val="24"/>
                <w:szCs w:val="24"/>
              </w:rPr>
              <w:t>de</w:t>
            </w:r>
            <w:r w:rsidRPr="00C54A03">
              <w:rPr>
                <w:b/>
                <w:color w:val="000000" w:themeColor="text1"/>
                <w:spacing w:val="-2"/>
                <w:sz w:val="24"/>
                <w:szCs w:val="24"/>
              </w:rPr>
              <w:t xml:space="preserve"> </w:t>
            </w:r>
            <w:r w:rsidRPr="00C54A03">
              <w:rPr>
                <w:b/>
                <w:color w:val="000000" w:themeColor="text1"/>
                <w:sz w:val="24"/>
                <w:szCs w:val="24"/>
              </w:rPr>
              <w:t>evaluare</w:t>
            </w:r>
          </w:p>
        </w:tc>
      </w:tr>
      <w:tr w:rsidR="007702CD" w:rsidRPr="00C54A03" w14:paraId="68BFE145" w14:textId="77777777" w:rsidTr="00102A1A">
        <w:trPr>
          <w:trHeight w:val="2212"/>
        </w:trPr>
        <w:tc>
          <w:tcPr>
            <w:tcW w:w="1810" w:type="dxa"/>
          </w:tcPr>
          <w:p w14:paraId="18E88661" w14:textId="77777777" w:rsidR="007702CD" w:rsidRPr="00C54A03" w:rsidRDefault="007702CD" w:rsidP="008E33FD">
            <w:pPr>
              <w:pStyle w:val="TableParagraph"/>
              <w:jc w:val="both"/>
              <w:rPr>
                <w:color w:val="000000" w:themeColor="text1"/>
                <w:sz w:val="24"/>
                <w:szCs w:val="24"/>
              </w:rPr>
            </w:pPr>
          </w:p>
          <w:p w14:paraId="2B77FE59" w14:textId="77777777" w:rsidR="007702CD" w:rsidRPr="00C54A03" w:rsidRDefault="007702CD" w:rsidP="008E33FD">
            <w:pPr>
              <w:pStyle w:val="TableParagraph"/>
              <w:jc w:val="both"/>
              <w:rPr>
                <w:color w:val="000000" w:themeColor="text1"/>
                <w:sz w:val="24"/>
                <w:szCs w:val="24"/>
              </w:rPr>
            </w:pPr>
          </w:p>
          <w:p w14:paraId="35655E45" w14:textId="77777777" w:rsidR="007702CD" w:rsidRPr="00C54A03" w:rsidRDefault="007702CD" w:rsidP="008E33FD">
            <w:pPr>
              <w:pStyle w:val="TableParagraph"/>
              <w:spacing w:before="4"/>
              <w:jc w:val="both"/>
              <w:rPr>
                <w:color w:val="000000" w:themeColor="text1"/>
                <w:sz w:val="24"/>
                <w:szCs w:val="24"/>
              </w:rPr>
            </w:pPr>
          </w:p>
          <w:p w14:paraId="0CDE50EA" w14:textId="77777777" w:rsidR="007702CD" w:rsidRPr="00C54A03" w:rsidRDefault="007702CD" w:rsidP="008E33FD">
            <w:pPr>
              <w:pStyle w:val="TableParagraph"/>
              <w:ind w:left="108"/>
              <w:jc w:val="both"/>
              <w:rPr>
                <w:color w:val="000000" w:themeColor="text1"/>
                <w:sz w:val="24"/>
                <w:szCs w:val="24"/>
              </w:rPr>
            </w:pPr>
            <w:r w:rsidRPr="00C54A03">
              <w:rPr>
                <w:color w:val="000000" w:themeColor="text1"/>
                <w:sz w:val="24"/>
                <w:szCs w:val="24"/>
              </w:rPr>
              <w:t>Favorabil</w:t>
            </w:r>
            <w:r w:rsidRPr="00C54A03">
              <w:rPr>
                <w:color w:val="000000" w:themeColor="text1"/>
                <w:spacing w:val="-3"/>
                <w:sz w:val="24"/>
                <w:szCs w:val="24"/>
              </w:rPr>
              <w:t xml:space="preserve"> </w:t>
            </w:r>
            <w:r w:rsidRPr="00C54A03">
              <w:rPr>
                <w:color w:val="000000" w:themeColor="text1"/>
                <w:sz w:val="24"/>
                <w:szCs w:val="24"/>
              </w:rPr>
              <w:t>(FV)</w:t>
            </w:r>
          </w:p>
        </w:tc>
        <w:tc>
          <w:tcPr>
            <w:tcW w:w="7480" w:type="dxa"/>
          </w:tcPr>
          <w:p w14:paraId="47D2DE4D" w14:textId="77777777" w:rsidR="007702CD" w:rsidRPr="00C54A03" w:rsidRDefault="007702CD" w:rsidP="008E33FD">
            <w:pPr>
              <w:pStyle w:val="TableParagraph"/>
              <w:ind w:left="107"/>
              <w:jc w:val="both"/>
              <w:rPr>
                <w:color w:val="000000" w:themeColor="text1"/>
                <w:sz w:val="24"/>
                <w:szCs w:val="24"/>
              </w:rPr>
            </w:pPr>
            <w:r w:rsidRPr="00C54A03">
              <w:rPr>
                <w:color w:val="000000" w:themeColor="text1"/>
                <w:sz w:val="24"/>
                <w:szCs w:val="24"/>
              </w:rPr>
              <w:t>Conform</w:t>
            </w:r>
            <w:r w:rsidRPr="00C54A03">
              <w:rPr>
                <w:color w:val="000000" w:themeColor="text1"/>
                <w:spacing w:val="46"/>
                <w:sz w:val="24"/>
                <w:szCs w:val="24"/>
              </w:rPr>
              <w:t xml:space="preserve"> </w:t>
            </w:r>
            <w:r w:rsidRPr="00C54A03">
              <w:rPr>
                <w:color w:val="000000" w:themeColor="text1"/>
                <w:sz w:val="24"/>
                <w:szCs w:val="24"/>
              </w:rPr>
              <w:t>matricei</w:t>
            </w:r>
            <w:r w:rsidRPr="00C54A03">
              <w:rPr>
                <w:color w:val="000000" w:themeColor="text1"/>
                <w:spacing w:val="46"/>
                <w:sz w:val="24"/>
                <w:szCs w:val="24"/>
              </w:rPr>
              <w:t xml:space="preserve"> </w:t>
            </w:r>
            <w:r w:rsidRPr="00C54A03">
              <w:rPr>
                <w:color w:val="000000" w:themeColor="text1"/>
                <w:sz w:val="24"/>
                <w:szCs w:val="24"/>
              </w:rPr>
              <w:t>de</w:t>
            </w:r>
            <w:r w:rsidRPr="00C54A03">
              <w:rPr>
                <w:color w:val="000000" w:themeColor="text1"/>
                <w:spacing w:val="44"/>
                <w:sz w:val="24"/>
                <w:szCs w:val="24"/>
              </w:rPr>
              <w:t xml:space="preserve"> </w:t>
            </w:r>
            <w:r w:rsidRPr="00C54A03">
              <w:rPr>
                <w:color w:val="000000" w:themeColor="text1"/>
                <w:sz w:val="24"/>
                <w:szCs w:val="24"/>
              </w:rPr>
              <w:t>evaluare</w:t>
            </w:r>
            <w:r w:rsidRPr="00C54A03">
              <w:rPr>
                <w:color w:val="000000" w:themeColor="text1"/>
                <w:spacing w:val="44"/>
                <w:sz w:val="24"/>
                <w:szCs w:val="24"/>
              </w:rPr>
              <w:t xml:space="preserve"> </w:t>
            </w:r>
            <w:r w:rsidRPr="00C54A03">
              <w:rPr>
                <w:color w:val="000000" w:themeColor="text1"/>
                <w:sz w:val="24"/>
                <w:szCs w:val="24"/>
              </w:rPr>
              <w:t>(anexa</w:t>
            </w:r>
            <w:r w:rsidRPr="00C54A03">
              <w:rPr>
                <w:color w:val="000000" w:themeColor="text1"/>
                <w:spacing w:val="44"/>
                <w:sz w:val="24"/>
                <w:szCs w:val="24"/>
              </w:rPr>
              <w:t xml:space="preserve"> </w:t>
            </w:r>
            <w:r w:rsidRPr="00C54A03">
              <w:rPr>
                <w:color w:val="000000" w:themeColor="text1"/>
                <w:sz w:val="24"/>
                <w:szCs w:val="24"/>
              </w:rPr>
              <w:t>E),</w:t>
            </w:r>
            <w:r w:rsidRPr="00C54A03">
              <w:rPr>
                <w:color w:val="000000" w:themeColor="text1"/>
                <w:spacing w:val="46"/>
                <w:sz w:val="24"/>
                <w:szCs w:val="24"/>
              </w:rPr>
              <w:t xml:space="preserve"> </w:t>
            </w:r>
            <w:r w:rsidRPr="00C54A03">
              <w:rPr>
                <w:color w:val="000000" w:themeColor="text1"/>
                <w:sz w:val="24"/>
                <w:szCs w:val="24"/>
              </w:rPr>
              <w:t>situația</w:t>
            </w:r>
            <w:r w:rsidRPr="00C54A03">
              <w:rPr>
                <w:color w:val="000000" w:themeColor="text1"/>
                <w:spacing w:val="44"/>
                <w:sz w:val="24"/>
                <w:szCs w:val="24"/>
              </w:rPr>
              <w:t xml:space="preserve"> </w:t>
            </w:r>
            <w:r w:rsidRPr="00C54A03">
              <w:rPr>
                <w:color w:val="000000" w:themeColor="text1"/>
                <w:sz w:val="24"/>
                <w:szCs w:val="24"/>
              </w:rPr>
              <w:t>perspectivelor</w:t>
            </w:r>
            <w:r w:rsidRPr="00C54A03">
              <w:rPr>
                <w:color w:val="000000" w:themeColor="text1"/>
                <w:spacing w:val="45"/>
                <w:sz w:val="24"/>
                <w:szCs w:val="24"/>
              </w:rPr>
              <w:t xml:space="preserve"> </w:t>
            </w:r>
            <w:r w:rsidRPr="00C54A03">
              <w:rPr>
                <w:color w:val="000000" w:themeColor="text1"/>
                <w:sz w:val="24"/>
                <w:szCs w:val="24"/>
              </w:rPr>
              <w:t>viitoare</w:t>
            </w:r>
            <w:r w:rsidRPr="00C54A03">
              <w:rPr>
                <w:color w:val="000000" w:themeColor="text1"/>
                <w:spacing w:val="-57"/>
                <w:sz w:val="24"/>
                <w:szCs w:val="24"/>
              </w:rPr>
              <w:t xml:space="preserve"> </w:t>
            </w:r>
            <w:r w:rsidRPr="00C54A03">
              <w:rPr>
                <w:color w:val="000000" w:themeColor="text1"/>
                <w:sz w:val="24"/>
                <w:szCs w:val="24"/>
              </w:rPr>
              <w:t>este</w:t>
            </w:r>
            <w:r w:rsidRPr="00C54A03">
              <w:rPr>
                <w:color w:val="000000" w:themeColor="text1"/>
                <w:spacing w:val="-2"/>
                <w:sz w:val="24"/>
                <w:szCs w:val="24"/>
              </w:rPr>
              <w:t xml:space="preserve"> </w:t>
            </w:r>
            <w:r w:rsidRPr="00C54A03">
              <w:rPr>
                <w:color w:val="000000" w:themeColor="text1"/>
                <w:sz w:val="24"/>
                <w:szCs w:val="24"/>
              </w:rPr>
              <w:t>„favorabilă”</w:t>
            </w:r>
            <w:r w:rsidRPr="00C54A03">
              <w:rPr>
                <w:color w:val="000000" w:themeColor="text1"/>
                <w:spacing w:val="-1"/>
                <w:sz w:val="24"/>
                <w:szCs w:val="24"/>
              </w:rPr>
              <w:t xml:space="preserve"> </w:t>
            </w:r>
            <w:r w:rsidRPr="00C54A03">
              <w:rPr>
                <w:color w:val="000000" w:themeColor="text1"/>
                <w:sz w:val="24"/>
                <w:szCs w:val="24"/>
              </w:rPr>
              <w:t>dacă:</w:t>
            </w:r>
          </w:p>
          <w:p w14:paraId="7FA6F9C6" w14:textId="77777777" w:rsidR="007702CD" w:rsidRPr="00C54A03" w:rsidRDefault="007702CD" w:rsidP="008E33FD">
            <w:pPr>
              <w:pStyle w:val="TableParagraph"/>
              <w:tabs>
                <w:tab w:val="left" w:pos="828"/>
              </w:tabs>
              <w:spacing w:before="1" w:line="230" w:lineRule="auto"/>
              <w:ind w:left="828" w:right="103" w:hanging="361"/>
              <w:jc w:val="both"/>
              <w:rPr>
                <w:color w:val="000000" w:themeColor="text1"/>
                <w:sz w:val="24"/>
                <w:szCs w:val="24"/>
              </w:rPr>
            </w:pPr>
            <w:r w:rsidRPr="00C54A03">
              <w:rPr>
                <w:color w:val="000000" w:themeColor="text1"/>
                <w:sz w:val="24"/>
                <w:szCs w:val="24"/>
              </w:rPr>
              <w:t>-</w:t>
            </w:r>
            <w:r w:rsidRPr="00C54A03">
              <w:rPr>
                <w:color w:val="000000" w:themeColor="text1"/>
                <w:sz w:val="24"/>
                <w:szCs w:val="24"/>
              </w:rPr>
              <w:tab/>
              <w:t>nu se</w:t>
            </w:r>
            <w:r w:rsidRPr="00C54A03">
              <w:rPr>
                <w:color w:val="000000" w:themeColor="text1"/>
                <w:spacing w:val="2"/>
                <w:sz w:val="24"/>
                <w:szCs w:val="24"/>
              </w:rPr>
              <w:t xml:space="preserve"> </w:t>
            </w:r>
            <w:r w:rsidRPr="00C54A03">
              <w:rPr>
                <w:color w:val="000000" w:themeColor="text1"/>
                <w:sz w:val="24"/>
                <w:szCs w:val="24"/>
              </w:rPr>
              <w:t>așteaptă</w:t>
            </w:r>
            <w:r w:rsidRPr="00C54A03">
              <w:rPr>
                <w:color w:val="000000" w:themeColor="text1"/>
                <w:spacing w:val="2"/>
                <w:sz w:val="24"/>
                <w:szCs w:val="24"/>
              </w:rPr>
              <w:t xml:space="preserve"> </w:t>
            </w:r>
            <w:r w:rsidRPr="00C54A03">
              <w:rPr>
                <w:color w:val="000000" w:themeColor="text1"/>
                <w:sz w:val="24"/>
                <w:szCs w:val="24"/>
              </w:rPr>
              <w:t>niciun</w:t>
            </w:r>
            <w:r w:rsidRPr="00C54A03">
              <w:rPr>
                <w:color w:val="000000" w:themeColor="text1"/>
                <w:spacing w:val="1"/>
                <w:sz w:val="24"/>
                <w:szCs w:val="24"/>
              </w:rPr>
              <w:t xml:space="preserve"> </w:t>
            </w:r>
            <w:r w:rsidRPr="00C54A03">
              <w:rPr>
                <w:color w:val="000000" w:themeColor="text1"/>
                <w:sz w:val="24"/>
                <w:szCs w:val="24"/>
              </w:rPr>
              <w:t>impact</w:t>
            </w:r>
            <w:r w:rsidRPr="00C54A03">
              <w:rPr>
                <w:color w:val="000000" w:themeColor="text1"/>
                <w:spacing w:val="1"/>
                <w:sz w:val="24"/>
                <w:szCs w:val="24"/>
              </w:rPr>
              <w:t xml:space="preserve"> </w:t>
            </w:r>
            <w:r w:rsidRPr="00C54A03">
              <w:rPr>
                <w:color w:val="000000" w:themeColor="text1"/>
                <w:sz w:val="24"/>
                <w:szCs w:val="24"/>
              </w:rPr>
              <w:t>semnificativ din</w:t>
            </w:r>
            <w:r w:rsidRPr="00C54A03">
              <w:rPr>
                <w:color w:val="000000" w:themeColor="text1"/>
                <w:spacing w:val="4"/>
                <w:sz w:val="24"/>
                <w:szCs w:val="24"/>
              </w:rPr>
              <w:t xml:space="preserve"> </w:t>
            </w:r>
            <w:r w:rsidRPr="00C54A03">
              <w:rPr>
                <w:color w:val="000000" w:themeColor="text1"/>
                <w:sz w:val="24"/>
                <w:szCs w:val="24"/>
              </w:rPr>
              <w:t>cauza amenințărilor la</w:t>
            </w:r>
            <w:r w:rsidRPr="00C54A03">
              <w:rPr>
                <w:color w:val="000000" w:themeColor="text1"/>
                <w:spacing w:val="-57"/>
                <w:sz w:val="24"/>
                <w:szCs w:val="24"/>
              </w:rPr>
              <w:t xml:space="preserve"> </w:t>
            </w:r>
            <w:r w:rsidRPr="00C54A03">
              <w:rPr>
                <w:color w:val="000000" w:themeColor="text1"/>
                <w:sz w:val="24"/>
                <w:szCs w:val="24"/>
              </w:rPr>
              <w:t>habitat</w:t>
            </w:r>
            <w:r w:rsidRPr="00C54A03">
              <w:rPr>
                <w:color w:val="000000" w:themeColor="text1"/>
                <w:spacing w:val="-1"/>
                <w:sz w:val="24"/>
                <w:szCs w:val="24"/>
              </w:rPr>
              <w:t xml:space="preserve"> </w:t>
            </w:r>
            <w:r w:rsidRPr="00C54A03">
              <w:rPr>
                <w:color w:val="000000" w:themeColor="text1"/>
                <w:sz w:val="24"/>
                <w:szCs w:val="24"/>
              </w:rPr>
              <w:t>și</w:t>
            </w:r>
            <w:r w:rsidRPr="00C54A03">
              <w:rPr>
                <w:color w:val="000000" w:themeColor="text1"/>
                <w:spacing w:val="-1"/>
                <w:sz w:val="24"/>
                <w:szCs w:val="24"/>
              </w:rPr>
              <w:t xml:space="preserve"> </w:t>
            </w:r>
            <w:r w:rsidRPr="00C54A03">
              <w:rPr>
                <w:color w:val="000000" w:themeColor="text1"/>
                <w:sz w:val="24"/>
                <w:szCs w:val="24"/>
              </w:rPr>
              <w:t>viabilitatea</w:t>
            </w:r>
            <w:r w:rsidRPr="00C54A03">
              <w:rPr>
                <w:color w:val="000000" w:themeColor="text1"/>
                <w:spacing w:val="-1"/>
                <w:sz w:val="24"/>
                <w:szCs w:val="24"/>
              </w:rPr>
              <w:t xml:space="preserve"> </w:t>
            </w:r>
            <w:r w:rsidRPr="00C54A03">
              <w:rPr>
                <w:color w:val="000000" w:themeColor="text1"/>
                <w:sz w:val="24"/>
                <w:szCs w:val="24"/>
              </w:rPr>
              <w:t>acestuia</w:t>
            </w:r>
            <w:r w:rsidRPr="00C54A03">
              <w:rPr>
                <w:color w:val="000000" w:themeColor="text1"/>
                <w:spacing w:val="-2"/>
                <w:sz w:val="24"/>
                <w:szCs w:val="24"/>
              </w:rPr>
              <w:t xml:space="preserve"> </w:t>
            </w:r>
            <w:r w:rsidRPr="00C54A03">
              <w:rPr>
                <w:color w:val="000000" w:themeColor="text1"/>
                <w:sz w:val="24"/>
                <w:szCs w:val="24"/>
              </w:rPr>
              <w:t>pe</w:t>
            </w:r>
            <w:r w:rsidRPr="00C54A03">
              <w:rPr>
                <w:color w:val="000000" w:themeColor="text1"/>
                <w:spacing w:val="-2"/>
                <w:sz w:val="24"/>
                <w:szCs w:val="24"/>
              </w:rPr>
              <w:t xml:space="preserve"> </w:t>
            </w:r>
            <w:r w:rsidRPr="00C54A03">
              <w:rPr>
                <w:color w:val="000000" w:themeColor="text1"/>
                <w:sz w:val="24"/>
                <w:szCs w:val="24"/>
              </w:rPr>
              <w:t>termen lung</w:t>
            </w:r>
            <w:r w:rsidRPr="00C54A03">
              <w:rPr>
                <w:color w:val="000000" w:themeColor="text1"/>
                <w:spacing w:val="-4"/>
                <w:sz w:val="24"/>
                <w:szCs w:val="24"/>
              </w:rPr>
              <w:t xml:space="preserve"> </w:t>
            </w:r>
            <w:r w:rsidRPr="00C54A03">
              <w:rPr>
                <w:color w:val="000000" w:themeColor="text1"/>
                <w:sz w:val="24"/>
                <w:szCs w:val="24"/>
              </w:rPr>
              <w:t>este</w:t>
            </w:r>
            <w:r w:rsidRPr="00C54A03">
              <w:rPr>
                <w:color w:val="000000" w:themeColor="text1"/>
                <w:spacing w:val="1"/>
                <w:sz w:val="24"/>
                <w:szCs w:val="24"/>
              </w:rPr>
              <w:t xml:space="preserve"> </w:t>
            </w:r>
            <w:r w:rsidRPr="00C54A03">
              <w:rPr>
                <w:color w:val="000000" w:themeColor="text1"/>
                <w:sz w:val="24"/>
                <w:szCs w:val="24"/>
              </w:rPr>
              <w:t>asigurată.</w:t>
            </w:r>
          </w:p>
          <w:p w14:paraId="43C91DE9" w14:textId="77777777" w:rsidR="007702CD" w:rsidRPr="00C54A03" w:rsidRDefault="007702CD" w:rsidP="008E33FD">
            <w:pPr>
              <w:pStyle w:val="TableParagraph"/>
              <w:spacing w:before="1"/>
              <w:ind w:left="107"/>
              <w:jc w:val="both"/>
              <w:rPr>
                <w:color w:val="000000" w:themeColor="text1"/>
                <w:sz w:val="24"/>
                <w:szCs w:val="24"/>
              </w:rPr>
            </w:pPr>
            <w:r w:rsidRPr="00C54A03">
              <w:rPr>
                <w:color w:val="000000" w:themeColor="text1"/>
                <w:sz w:val="24"/>
                <w:szCs w:val="24"/>
              </w:rPr>
              <w:t>Informațiisuplimentare:</w:t>
            </w:r>
          </w:p>
          <w:p w14:paraId="158D4C96" w14:textId="77777777" w:rsidR="007702CD" w:rsidRPr="00C54A03" w:rsidRDefault="007702CD" w:rsidP="008E33FD">
            <w:pPr>
              <w:pStyle w:val="TableParagraph"/>
              <w:spacing w:line="270" w:lineRule="atLeast"/>
              <w:ind w:left="107" w:right="101"/>
              <w:jc w:val="both"/>
              <w:rPr>
                <w:color w:val="000000" w:themeColor="text1"/>
                <w:sz w:val="24"/>
                <w:szCs w:val="24"/>
              </w:rPr>
            </w:pPr>
            <w:r w:rsidRPr="00C54A03">
              <w:rPr>
                <w:color w:val="000000" w:themeColor="text1"/>
                <w:sz w:val="24"/>
                <w:szCs w:val="24"/>
              </w:rPr>
              <w:t>Perspectivele de viitor ar trebui evaluate „favorabile” dacă toți parametrii</w:t>
            </w:r>
            <w:r w:rsidRPr="00C54A03">
              <w:rPr>
                <w:color w:val="000000" w:themeColor="text1"/>
                <w:spacing w:val="1"/>
                <w:sz w:val="24"/>
                <w:szCs w:val="24"/>
              </w:rPr>
              <w:t xml:space="preserve"> </w:t>
            </w:r>
            <w:r w:rsidRPr="00C54A03">
              <w:rPr>
                <w:color w:val="000000" w:themeColor="text1"/>
                <w:sz w:val="24"/>
                <w:szCs w:val="24"/>
              </w:rPr>
              <w:t>au perspective bune (câmpul 9.1) sau dacă perspectivele unui parametru</w:t>
            </w:r>
            <w:r w:rsidRPr="00C54A03">
              <w:rPr>
                <w:color w:val="000000" w:themeColor="text1"/>
                <w:spacing w:val="1"/>
                <w:sz w:val="24"/>
                <w:szCs w:val="24"/>
              </w:rPr>
              <w:t xml:space="preserve"> </w:t>
            </w:r>
            <w:r w:rsidRPr="00C54A03">
              <w:rPr>
                <w:color w:val="000000" w:themeColor="text1"/>
                <w:sz w:val="24"/>
                <w:szCs w:val="24"/>
              </w:rPr>
              <w:t>sunt</w:t>
            </w:r>
            <w:r w:rsidRPr="00C54A03">
              <w:rPr>
                <w:color w:val="000000" w:themeColor="text1"/>
                <w:spacing w:val="-1"/>
                <w:sz w:val="24"/>
                <w:szCs w:val="24"/>
              </w:rPr>
              <w:t xml:space="preserve"> </w:t>
            </w:r>
            <w:r w:rsidRPr="00C54A03">
              <w:rPr>
                <w:color w:val="000000" w:themeColor="text1"/>
                <w:sz w:val="24"/>
                <w:szCs w:val="24"/>
              </w:rPr>
              <w:t>„necunoscute”,</w:t>
            </w:r>
            <w:r w:rsidRPr="00C54A03">
              <w:rPr>
                <w:color w:val="000000" w:themeColor="text1"/>
                <w:spacing w:val="-1"/>
                <w:sz w:val="24"/>
                <w:szCs w:val="24"/>
              </w:rPr>
              <w:t xml:space="preserve"> </w:t>
            </w:r>
            <w:r w:rsidRPr="00C54A03">
              <w:rPr>
                <w:color w:val="000000" w:themeColor="text1"/>
                <w:sz w:val="24"/>
                <w:szCs w:val="24"/>
              </w:rPr>
              <w:t>în timp</w:t>
            </w:r>
            <w:r w:rsidRPr="00C54A03">
              <w:rPr>
                <w:color w:val="000000" w:themeColor="text1"/>
                <w:spacing w:val="-1"/>
                <w:sz w:val="24"/>
                <w:szCs w:val="24"/>
              </w:rPr>
              <w:t xml:space="preserve"> </w:t>
            </w:r>
            <w:r w:rsidRPr="00C54A03">
              <w:rPr>
                <w:color w:val="000000" w:themeColor="text1"/>
                <w:sz w:val="24"/>
                <w:szCs w:val="24"/>
              </w:rPr>
              <w:t>ce</w:t>
            </w:r>
            <w:r w:rsidRPr="00C54A03">
              <w:rPr>
                <w:color w:val="000000" w:themeColor="text1"/>
                <w:spacing w:val="-2"/>
                <w:sz w:val="24"/>
                <w:szCs w:val="24"/>
              </w:rPr>
              <w:t xml:space="preserve"> </w:t>
            </w:r>
            <w:r w:rsidRPr="00C54A03">
              <w:rPr>
                <w:color w:val="000000" w:themeColor="text1"/>
                <w:sz w:val="24"/>
                <w:szCs w:val="24"/>
              </w:rPr>
              <w:t>ceilalți parametri</w:t>
            </w:r>
            <w:r w:rsidRPr="00C54A03">
              <w:rPr>
                <w:color w:val="000000" w:themeColor="text1"/>
                <w:spacing w:val="-1"/>
                <w:sz w:val="24"/>
                <w:szCs w:val="24"/>
              </w:rPr>
              <w:t xml:space="preserve"> </w:t>
            </w:r>
            <w:r w:rsidRPr="00C54A03">
              <w:rPr>
                <w:color w:val="000000" w:themeColor="text1"/>
                <w:sz w:val="24"/>
                <w:szCs w:val="24"/>
              </w:rPr>
              <w:t>au perspective</w:t>
            </w:r>
            <w:r w:rsidRPr="00C54A03">
              <w:rPr>
                <w:color w:val="000000" w:themeColor="text1"/>
                <w:spacing w:val="-2"/>
                <w:sz w:val="24"/>
                <w:szCs w:val="24"/>
              </w:rPr>
              <w:t xml:space="preserve"> </w:t>
            </w:r>
            <w:r w:rsidRPr="00C54A03">
              <w:rPr>
                <w:color w:val="000000" w:themeColor="text1"/>
                <w:sz w:val="24"/>
                <w:szCs w:val="24"/>
              </w:rPr>
              <w:t>bune.</w:t>
            </w:r>
          </w:p>
        </w:tc>
      </w:tr>
      <w:tr w:rsidR="007702CD" w:rsidRPr="00C54A03" w14:paraId="1588674A" w14:textId="77777777" w:rsidTr="00102A1A">
        <w:trPr>
          <w:trHeight w:val="3317"/>
        </w:trPr>
        <w:tc>
          <w:tcPr>
            <w:tcW w:w="1810" w:type="dxa"/>
          </w:tcPr>
          <w:p w14:paraId="2431F88C" w14:textId="77777777" w:rsidR="007702CD" w:rsidRPr="00C54A03" w:rsidRDefault="007702CD" w:rsidP="008E33FD">
            <w:pPr>
              <w:pStyle w:val="TableParagraph"/>
              <w:jc w:val="both"/>
              <w:rPr>
                <w:color w:val="000000" w:themeColor="text1"/>
                <w:sz w:val="24"/>
                <w:szCs w:val="24"/>
              </w:rPr>
            </w:pPr>
          </w:p>
          <w:p w14:paraId="2C18DC97" w14:textId="77777777" w:rsidR="007702CD" w:rsidRPr="00C54A03" w:rsidRDefault="007702CD" w:rsidP="008E33FD">
            <w:pPr>
              <w:pStyle w:val="TableParagraph"/>
              <w:jc w:val="both"/>
              <w:rPr>
                <w:color w:val="000000" w:themeColor="text1"/>
                <w:sz w:val="24"/>
                <w:szCs w:val="24"/>
              </w:rPr>
            </w:pPr>
          </w:p>
          <w:p w14:paraId="50D35C81" w14:textId="77777777" w:rsidR="007702CD" w:rsidRPr="00C54A03" w:rsidRDefault="007702CD" w:rsidP="008E33FD">
            <w:pPr>
              <w:pStyle w:val="TableParagraph"/>
              <w:jc w:val="both"/>
              <w:rPr>
                <w:color w:val="000000" w:themeColor="text1"/>
                <w:sz w:val="24"/>
                <w:szCs w:val="24"/>
              </w:rPr>
            </w:pPr>
          </w:p>
          <w:p w14:paraId="57909DEC" w14:textId="77777777" w:rsidR="007702CD" w:rsidRPr="00C54A03" w:rsidRDefault="007702CD" w:rsidP="008E33FD">
            <w:pPr>
              <w:pStyle w:val="TableParagraph"/>
              <w:jc w:val="both"/>
              <w:rPr>
                <w:color w:val="000000" w:themeColor="text1"/>
                <w:sz w:val="24"/>
                <w:szCs w:val="24"/>
              </w:rPr>
            </w:pPr>
          </w:p>
          <w:p w14:paraId="62075780" w14:textId="77777777" w:rsidR="007702CD" w:rsidRPr="00C54A03" w:rsidRDefault="007702CD" w:rsidP="008E33FD">
            <w:pPr>
              <w:pStyle w:val="TableParagraph"/>
              <w:spacing w:before="179"/>
              <w:ind w:left="108" w:right="253"/>
              <w:jc w:val="both"/>
              <w:rPr>
                <w:color w:val="000000" w:themeColor="text1"/>
                <w:sz w:val="24"/>
                <w:szCs w:val="24"/>
              </w:rPr>
            </w:pPr>
            <w:r w:rsidRPr="00C54A03">
              <w:rPr>
                <w:color w:val="000000" w:themeColor="text1"/>
                <w:sz w:val="24"/>
                <w:szCs w:val="24"/>
              </w:rPr>
              <w:t>Nefavorabil-</w:t>
            </w:r>
            <w:r w:rsidRPr="00C54A03">
              <w:rPr>
                <w:color w:val="000000" w:themeColor="text1"/>
                <w:spacing w:val="1"/>
                <w:sz w:val="24"/>
                <w:szCs w:val="24"/>
              </w:rPr>
              <w:t xml:space="preserve"> </w:t>
            </w:r>
            <w:r w:rsidRPr="00C54A03">
              <w:rPr>
                <w:color w:val="000000" w:themeColor="text1"/>
                <w:sz w:val="24"/>
                <w:szCs w:val="24"/>
              </w:rPr>
              <w:t>inadecvat</w:t>
            </w:r>
            <w:r w:rsidRPr="00C54A03">
              <w:rPr>
                <w:color w:val="000000" w:themeColor="text1"/>
                <w:spacing w:val="-14"/>
                <w:sz w:val="24"/>
                <w:szCs w:val="24"/>
              </w:rPr>
              <w:t xml:space="preserve"> </w:t>
            </w:r>
            <w:r w:rsidRPr="00C54A03">
              <w:rPr>
                <w:color w:val="000000" w:themeColor="text1"/>
                <w:sz w:val="24"/>
                <w:szCs w:val="24"/>
              </w:rPr>
              <w:t>(U1)</w:t>
            </w:r>
          </w:p>
        </w:tc>
        <w:tc>
          <w:tcPr>
            <w:tcW w:w="7480" w:type="dxa"/>
          </w:tcPr>
          <w:p w14:paraId="4EB4B180" w14:textId="77777777" w:rsidR="007702CD" w:rsidRPr="00C54A03" w:rsidRDefault="007702CD" w:rsidP="008E33FD">
            <w:pPr>
              <w:pStyle w:val="TableParagraph"/>
              <w:ind w:left="107" w:right="96"/>
              <w:jc w:val="both"/>
              <w:rPr>
                <w:color w:val="000000" w:themeColor="text1"/>
                <w:sz w:val="24"/>
                <w:szCs w:val="24"/>
              </w:rPr>
            </w:pPr>
            <w:r w:rsidRPr="00C54A03">
              <w:rPr>
                <w:color w:val="000000" w:themeColor="text1"/>
                <w:sz w:val="24"/>
                <w:szCs w:val="24"/>
              </w:rPr>
              <w:t>Conform</w:t>
            </w:r>
            <w:r w:rsidRPr="00C54A03">
              <w:rPr>
                <w:color w:val="000000" w:themeColor="text1"/>
                <w:spacing w:val="43"/>
                <w:sz w:val="24"/>
                <w:szCs w:val="24"/>
              </w:rPr>
              <w:t xml:space="preserve"> </w:t>
            </w:r>
            <w:r w:rsidRPr="00C54A03">
              <w:rPr>
                <w:color w:val="000000" w:themeColor="text1"/>
                <w:sz w:val="24"/>
                <w:szCs w:val="24"/>
              </w:rPr>
              <w:t>matricei</w:t>
            </w:r>
            <w:r w:rsidRPr="00C54A03">
              <w:rPr>
                <w:color w:val="000000" w:themeColor="text1"/>
                <w:spacing w:val="44"/>
                <w:sz w:val="24"/>
                <w:szCs w:val="24"/>
              </w:rPr>
              <w:t xml:space="preserve"> </w:t>
            </w:r>
            <w:r w:rsidRPr="00C54A03">
              <w:rPr>
                <w:color w:val="000000" w:themeColor="text1"/>
                <w:sz w:val="24"/>
                <w:szCs w:val="24"/>
              </w:rPr>
              <w:t>de</w:t>
            </w:r>
            <w:r w:rsidRPr="00C54A03">
              <w:rPr>
                <w:color w:val="000000" w:themeColor="text1"/>
                <w:spacing w:val="44"/>
                <w:sz w:val="24"/>
                <w:szCs w:val="24"/>
              </w:rPr>
              <w:t xml:space="preserve"> </w:t>
            </w:r>
            <w:r w:rsidRPr="00C54A03">
              <w:rPr>
                <w:color w:val="000000" w:themeColor="text1"/>
                <w:sz w:val="24"/>
                <w:szCs w:val="24"/>
              </w:rPr>
              <w:t>evaluare</w:t>
            </w:r>
            <w:r w:rsidRPr="00C54A03">
              <w:rPr>
                <w:color w:val="000000" w:themeColor="text1"/>
                <w:spacing w:val="45"/>
                <w:sz w:val="24"/>
                <w:szCs w:val="24"/>
              </w:rPr>
              <w:t xml:space="preserve"> </w:t>
            </w:r>
            <w:r w:rsidRPr="00C54A03">
              <w:rPr>
                <w:color w:val="000000" w:themeColor="text1"/>
                <w:sz w:val="24"/>
                <w:szCs w:val="24"/>
              </w:rPr>
              <w:t>(anexa</w:t>
            </w:r>
            <w:r w:rsidRPr="00C54A03">
              <w:rPr>
                <w:color w:val="000000" w:themeColor="text1"/>
                <w:spacing w:val="42"/>
                <w:sz w:val="24"/>
                <w:szCs w:val="24"/>
              </w:rPr>
              <w:t xml:space="preserve"> </w:t>
            </w:r>
            <w:r w:rsidRPr="00C54A03">
              <w:rPr>
                <w:color w:val="000000" w:themeColor="text1"/>
                <w:sz w:val="24"/>
                <w:szCs w:val="24"/>
              </w:rPr>
              <w:t>E),</w:t>
            </w:r>
            <w:r w:rsidRPr="00C54A03">
              <w:rPr>
                <w:color w:val="000000" w:themeColor="text1"/>
                <w:spacing w:val="44"/>
                <w:sz w:val="24"/>
                <w:szCs w:val="24"/>
              </w:rPr>
              <w:t xml:space="preserve"> </w:t>
            </w:r>
            <w:r w:rsidRPr="00C54A03">
              <w:rPr>
                <w:color w:val="000000" w:themeColor="text1"/>
                <w:sz w:val="24"/>
                <w:szCs w:val="24"/>
              </w:rPr>
              <w:t>statutul</w:t>
            </w:r>
            <w:r w:rsidRPr="00C54A03">
              <w:rPr>
                <w:color w:val="000000" w:themeColor="text1"/>
                <w:spacing w:val="43"/>
                <w:sz w:val="24"/>
                <w:szCs w:val="24"/>
              </w:rPr>
              <w:t xml:space="preserve"> </w:t>
            </w:r>
            <w:r w:rsidRPr="00C54A03">
              <w:rPr>
                <w:color w:val="000000" w:themeColor="text1"/>
                <w:sz w:val="24"/>
                <w:szCs w:val="24"/>
              </w:rPr>
              <w:t>perspectivelor</w:t>
            </w:r>
            <w:r w:rsidRPr="00C54A03">
              <w:rPr>
                <w:color w:val="000000" w:themeColor="text1"/>
                <w:spacing w:val="44"/>
                <w:sz w:val="24"/>
                <w:szCs w:val="24"/>
              </w:rPr>
              <w:t xml:space="preserve"> </w:t>
            </w:r>
            <w:r w:rsidRPr="00C54A03">
              <w:rPr>
                <w:color w:val="000000" w:themeColor="text1"/>
                <w:sz w:val="24"/>
                <w:szCs w:val="24"/>
              </w:rPr>
              <w:t>viitoare</w:t>
            </w:r>
            <w:r w:rsidRPr="00C54A03">
              <w:rPr>
                <w:color w:val="000000" w:themeColor="text1"/>
                <w:spacing w:val="-57"/>
                <w:sz w:val="24"/>
                <w:szCs w:val="24"/>
              </w:rPr>
              <w:t xml:space="preserve"> </w:t>
            </w:r>
            <w:r w:rsidRPr="00C54A03">
              <w:rPr>
                <w:color w:val="000000" w:themeColor="text1"/>
                <w:sz w:val="24"/>
                <w:szCs w:val="24"/>
              </w:rPr>
              <w:t>este</w:t>
            </w:r>
            <w:r w:rsidRPr="00C54A03">
              <w:rPr>
                <w:color w:val="000000" w:themeColor="text1"/>
                <w:spacing w:val="-2"/>
                <w:sz w:val="24"/>
                <w:szCs w:val="24"/>
              </w:rPr>
              <w:t xml:space="preserve"> </w:t>
            </w:r>
            <w:r w:rsidRPr="00C54A03">
              <w:rPr>
                <w:color w:val="000000" w:themeColor="text1"/>
                <w:sz w:val="24"/>
                <w:szCs w:val="24"/>
              </w:rPr>
              <w:t>„nefavorabil-inadecvat” dacă:</w:t>
            </w:r>
          </w:p>
          <w:p w14:paraId="050A59D7" w14:textId="77777777" w:rsidR="007702CD" w:rsidRPr="00C54A03" w:rsidRDefault="007702CD" w:rsidP="008E33FD">
            <w:pPr>
              <w:pStyle w:val="TableParagraph"/>
              <w:tabs>
                <w:tab w:val="left" w:pos="828"/>
              </w:tabs>
              <w:spacing w:line="287" w:lineRule="exact"/>
              <w:ind w:left="467"/>
              <w:jc w:val="both"/>
              <w:rPr>
                <w:color w:val="000000" w:themeColor="text1"/>
                <w:sz w:val="24"/>
                <w:szCs w:val="24"/>
              </w:rPr>
            </w:pPr>
            <w:r w:rsidRPr="00C54A03">
              <w:rPr>
                <w:color w:val="000000" w:themeColor="text1"/>
                <w:sz w:val="24"/>
                <w:szCs w:val="24"/>
              </w:rPr>
              <w:t>-</w:t>
            </w:r>
            <w:r w:rsidRPr="00C54A03">
              <w:rPr>
                <w:color w:val="000000" w:themeColor="text1"/>
                <w:sz w:val="24"/>
                <w:szCs w:val="24"/>
              </w:rPr>
              <w:tab/>
              <w:t>orice</w:t>
            </w:r>
            <w:r w:rsidRPr="00C54A03">
              <w:rPr>
                <w:color w:val="000000" w:themeColor="text1"/>
                <w:spacing w:val="53"/>
                <w:sz w:val="24"/>
                <w:szCs w:val="24"/>
              </w:rPr>
              <w:t xml:space="preserve"> </w:t>
            </w:r>
            <w:r w:rsidRPr="00C54A03">
              <w:rPr>
                <w:color w:val="000000" w:themeColor="text1"/>
                <w:sz w:val="24"/>
                <w:szCs w:val="24"/>
              </w:rPr>
              <w:t>altă</w:t>
            </w:r>
            <w:r w:rsidRPr="00C54A03">
              <w:rPr>
                <w:color w:val="000000" w:themeColor="text1"/>
                <w:spacing w:val="55"/>
                <w:sz w:val="24"/>
                <w:szCs w:val="24"/>
              </w:rPr>
              <w:t xml:space="preserve"> </w:t>
            </w:r>
            <w:r w:rsidRPr="00C54A03">
              <w:rPr>
                <w:color w:val="000000" w:themeColor="text1"/>
                <w:sz w:val="24"/>
                <w:szCs w:val="24"/>
              </w:rPr>
              <w:t>combinație</w:t>
            </w:r>
            <w:r w:rsidRPr="00C54A03">
              <w:rPr>
                <w:color w:val="000000" w:themeColor="text1"/>
                <w:spacing w:val="54"/>
                <w:sz w:val="24"/>
                <w:szCs w:val="24"/>
              </w:rPr>
              <w:t xml:space="preserve"> </w:t>
            </w:r>
            <w:r w:rsidRPr="00C54A03">
              <w:rPr>
                <w:color w:val="000000" w:themeColor="text1"/>
                <w:sz w:val="24"/>
                <w:szCs w:val="24"/>
              </w:rPr>
              <w:t>(o</w:t>
            </w:r>
            <w:r w:rsidRPr="00C54A03">
              <w:rPr>
                <w:color w:val="000000" w:themeColor="text1"/>
                <w:spacing w:val="57"/>
                <w:sz w:val="24"/>
                <w:szCs w:val="24"/>
              </w:rPr>
              <w:t xml:space="preserve"> </w:t>
            </w:r>
            <w:r w:rsidRPr="00C54A03">
              <w:rPr>
                <w:color w:val="000000" w:themeColor="text1"/>
                <w:sz w:val="24"/>
                <w:szCs w:val="24"/>
              </w:rPr>
              <w:t>altă</w:t>
            </w:r>
            <w:r w:rsidRPr="00C54A03">
              <w:rPr>
                <w:color w:val="000000" w:themeColor="text1"/>
                <w:spacing w:val="54"/>
                <w:sz w:val="24"/>
                <w:szCs w:val="24"/>
              </w:rPr>
              <w:t xml:space="preserve"> </w:t>
            </w:r>
            <w:r w:rsidRPr="00C54A03">
              <w:rPr>
                <w:color w:val="000000" w:themeColor="text1"/>
                <w:sz w:val="24"/>
                <w:szCs w:val="24"/>
              </w:rPr>
              <w:t>combinație</w:t>
            </w:r>
            <w:r w:rsidRPr="00C54A03">
              <w:rPr>
                <w:color w:val="000000" w:themeColor="text1"/>
                <w:spacing w:val="55"/>
                <w:sz w:val="24"/>
                <w:szCs w:val="24"/>
              </w:rPr>
              <w:t xml:space="preserve"> </w:t>
            </w:r>
            <w:r w:rsidRPr="00C54A03">
              <w:rPr>
                <w:color w:val="000000" w:themeColor="text1"/>
                <w:sz w:val="24"/>
                <w:szCs w:val="24"/>
              </w:rPr>
              <w:t>de</w:t>
            </w:r>
            <w:r w:rsidRPr="00C54A03">
              <w:rPr>
                <w:color w:val="000000" w:themeColor="text1"/>
                <w:spacing w:val="54"/>
                <w:sz w:val="24"/>
                <w:szCs w:val="24"/>
              </w:rPr>
              <w:t xml:space="preserve"> </w:t>
            </w:r>
            <w:r w:rsidRPr="00C54A03">
              <w:rPr>
                <w:color w:val="000000" w:themeColor="text1"/>
                <w:sz w:val="24"/>
                <w:szCs w:val="24"/>
              </w:rPr>
              <w:t>criterii</w:t>
            </w:r>
            <w:r w:rsidRPr="00C54A03">
              <w:rPr>
                <w:color w:val="000000" w:themeColor="text1"/>
                <w:spacing w:val="57"/>
                <w:sz w:val="24"/>
                <w:szCs w:val="24"/>
              </w:rPr>
              <w:t xml:space="preserve"> </w:t>
            </w:r>
            <w:r w:rsidRPr="00C54A03">
              <w:rPr>
                <w:color w:val="000000" w:themeColor="text1"/>
                <w:sz w:val="24"/>
                <w:szCs w:val="24"/>
              </w:rPr>
              <w:t>decât</w:t>
            </w:r>
            <w:r w:rsidRPr="00C54A03">
              <w:rPr>
                <w:color w:val="000000" w:themeColor="text1"/>
                <w:spacing w:val="56"/>
                <w:sz w:val="24"/>
                <w:szCs w:val="24"/>
              </w:rPr>
              <w:t xml:space="preserve"> </w:t>
            </w:r>
            <w:r w:rsidRPr="00C54A03">
              <w:rPr>
                <w:color w:val="000000" w:themeColor="text1"/>
                <w:sz w:val="24"/>
                <w:szCs w:val="24"/>
              </w:rPr>
              <w:t>pentru</w:t>
            </w:r>
          </w:p>
          <w:p w14:paraId="79253484" w14:textId="77777777" w:rsidR="007702CD" w:rsidRPr="00C54A03" w:rsidRDefault="007702CD" w:rsidP="008E33FD">
            <w:pPr>
              <w:pStyle w:val="TableParagraph"/>
              <w:spacing w:line="270" w:lineRule="exact"/>
              <w:ind w:left="828"/>
              <w:jc w:val="both"/>
              <w:rPr>
                <w:color w:val="000000" w:themeColor="text1"/>
                <w:sz w:val="24"/>
                <w:szCs w:val="24"/>
              </w:rPr>
            </w:pPr>
            <w:r w:rsidRPr="00C54A03">
              <w:rPr>
                <w:color w:val="000000" w:themeColor="text1"/>
                <w:sz w:val="24"/>
                <w:szCs w:val="24"/>
              </w:rPr>
              <w:t>„favorabil”</w:t>
            </w:r>
            <w:r w:rsidRPr="00C54A03">
              <w:rPr>
                <w:color w:val="000000" w:themeColor="text1"/>
                <w:spacing w:val="-3"/>
                <w:sz w:val="24"/>
                <w:szCs w:val="24"/>
              </w:rPr>
              <w:t xml:space="preserve"> </w:t>
            </w:r>
            <w:r w:rsidRPr="00C54A03">
              <w:rPr>
                <w:color w:val="000000" w:themeColor="text1"/>
                <w:sz w:val="24"/>
                <w:szCs w:val="24"/>
              </w:rPr>
              <w:t>sau</w:t>
            </w:r>
            <w:r w:rsidRPr="00C54A03">
              <w:rPr>
                <w:color w:val="000000" w:themeColor="text1"/>
                <w:spacing w:val="-3"/>
                <w:sz w:val="24"/>
                <w:szCs w:val="24"/>
              </w:rPr>
              <w:t xml:space="preserve"> </w:t>
            </w:r>
            <w:r w:rsidRPr="00C54A03">
              <w:rPr>
                <w:color w:val="000000" w:themeColor="text1"/>
                <w:sz w:val="24"/>
                <w:szCs w:val="24"/>
              </w:rPr>
              <w:t>„nefavorabil-rău”).</w:t>
            </w:r>
          </w:p>
          <w:p w14:paraId="235C9AA0" w14:textId="77777777" w:rsidR="007702CD" w:rsidRPr="00C54A03" w:rsidRDefault="007702CD" w:rsidP="008E33FD">
            <w:pPr>
              <w:pStyle w:val="TableParagraph"/>
              <w:ind w:left="107"/>
              <w:jc w:val="both"/>
              <w:rPr>
                <w:color w:val="000000" w:themeColor="text1"/>
                <w:sz w:val="24"/>
                <w:szCs w:val="24"/>
              </w:rPr>
            </w:pPr>
            <w:r w:rsidRPr="00C54A03">
              <w:rPr>
                <w:color w:val="000000" w:themeColor="text1"/>
                <w:sz w:val="24"/>
                <w:szCs w:val="24"/>
              </w:rPr>
              <w:t>Informațiisuplimentare:</w:t>
            </w:r>
          </w:p>
          <w:p w14:paraId="32A4AA8B" w14:textId="77777777" w:rsidR="007702CD" w:rsidRPr="00C54A03" w:rsidRDefault="007702CD" w:rsidP="008E33FD">
            <w:pPr>
              <w:pStyle w:val="TableParagraph"/>
              <w:tabs>
                <w:tab w:val="left" w:pos="1163"/>
                <w:tab w:val="left" w:pos="1594"/>
                <w:tab w:val="left" w:pos="2611"/>
                <w:tab w:val="left" w:pos="3055"/>
                <w:tab w:val="left" w:pos="3967"/>
                <w:tab w:val="left" w:pos="4811"/>
                <w:tab w:val="left" w:pos="5842"/>
                <w:tab w:val="left" w:pos="6657"/>
              </w:tabs>
              <w:ind w:left="107"/>
              <w:jc w:val="both"/>
              <w:rPr>
                <w:color w:val="000000" w:themeColor="text1"/>
                <w:sz w:val="24"/>
                <w:szCs w:val="24"/>
              </w:rPr>
            </w:pPr>
            <w:r w:rsidRPr="00C54A03">
              <w:rPr>
                <w:color w:val="000000" w:themeColor="text1"/>
                <w:sz w:val="24"/>
                <w:szCs w:val="24"/>
              </w:rPr>
              <w:t>Matricea</w:t>
            </w:r>
            <w:r w:rsidRPr="00C54A03">
              <w:rPr>
                <w:color w:val="000000" w:themeColor="text1"/>
                <w:sz w:val="24"/>
                <w:szCs w:val="24"/>
              </w:rPr>
              <w:tab/>
              <w:t>de</w:t>
            </w:r>
            <w:r w:rsidRPr="00C54A03">
              <w:rPr>
                <w:color w:val="000000" w:themeColor="text1"/>
                <w:sz w:val="24"/>
                <w:szCs w:val="24"/>
              </w:rPr>
              <w:tab/>
              <w:t>evaluare</w:t>
            </w:r>
            <w:r w:rsidRPr="00C54A03">
              <w:rPr>
                <w:color w:val="000000" w:themeColor="text1"/>
                <w:sz w:val="24"/>
                <w:szCs w:val="24"/>
              </w:rPr>
              <w:tab/>
              <w:t>nu</w:t>
            </w:r>
            <w:r w:rsidRPr="00C54A03">
              <w:rPr>
                <w:color w:val="000000" w:themeColor="text1"/>
                <w:sz w:val="24"/>
                <w:szCs w:val="24"/>
              </w:rPr>
              <w:tab/>
              <w:t>include</w:t>
            </w:r>
            <w:r w:rsidRPr="00C54A03">
              <w:rPr>
                <w:color w:val="000000" w:themeColor="text1"/>
                <w:sz w:val="24"/>
                <w:szCs w:val="24"/>
              </w:rPr>
              <w:tab/>
              <w:t>criterii</w:t>
            </w:r>
            <w:r w:rsidRPr="00C54A03">
              <w:rPr>
                <w:color w:val="000000" w:themeColor="text1"/>
                <w:sz w:val="24"/>
                <w:szCs w:val="24"/>
              </w:rPr>
              <w:tab/>
              <w:t>explicite</w:t>
            </w:r>
            <w:r w:rsidRPr="00C54A03">
              <w:rPr>
                <w:color w:val="000000" w:themeColor="text1"/>
                <w:sz w:val="24"/>
                <w:szCs w:val="24"/>
              </w:rPr>
              <w:tab/>
              <w:t>pentru</w:t>
            </w:r>
            <w:r w:rsidRPr="00C54A03">
              <w:rPr>
                <w:color w:val="000000" w:themeColor="text1"/>
                <w:sz w:val="24"/>
                <w:szCs w:val="24"/>
              </w:rPr>
              <w:tab/>
              <w:t>statutul</w:t>
            </w:r>
          </w:p>
          <w:p w14:paraId="722F55BC" w14:textId="77777777" w:rsidR="007702CD" w:rsidRPr="00C54A03" w:rsidRDefault="007702CD" w:rsidP="008E33FD">
            <w:pPr>
              <w:pStyle w:val="TableParagraph"/>
              <w:ind w:left="107" w:right="98"/>
              <w:jc w:val="both"/>
              <w:rPr>
                <w:color w:val="000000" w:themeColor="text1"/>
                <w:sz w:val="24"/>
                <w:szCs w:val="24"/>
              </w:rPr>
            </w:pPr>
            <w:r w:rsidRPr="00C54A03">
              <w:rPr>
                <w:color w:val="000000" w:themeColor="text1"/>
                <w:sz w:val="24"/>
                <w:szCs w:val="24"/>
              </w:rPr>
              <w:t>„nefavorabil-inadecvat” al perspectivelor viitoare. Cu toate acestea, ținând</w:t>
            </w:r>
            <w:r w:rsidRPr="00C54A03">
              <w:rPr>
                <w:color w:val="000000" w:themeColor="text1"/>
                <w:spacing w:val="1"/>
                <w:sz w:val="24"/>
                <w:szCs w:val="24"/>
              </w:rPr>
              <w:t xml:space="preserve"> </w:t>
            </w:r>
            <w:r w:rsidRPr="00C54A03">
              <w:rPr>
                <w:color w:val="000000" w:themeColor="text1"/>
                <w:sz w:val="24"/>
                <w:szCs w:val="24"/>
              </w:rPr>
              <w:t>cont de metoda de evaluare a perspectivelor de viitor propuse în aceste</w:t>
            </w:r>
            <w:r w:rsidRPr="00C54A03">
              <w:rPr>
                <w:color w:val="000000" w:themeColor="text1"/>
                <w:spacing w:val="1"/>
                <w:sz w:val="24"/>
                <w:szCs w:val="24"/>
              </w:rPr>
              <w:t xml:space="preserve"> </w:t>
            </w:r>
            <w:r w:rsidRPr="00C54A03">
              <w:rPr>
                <w:color w:val="000000" w:themeColor="text1"/>
                <w:sz w:val="24"/>
                <w:szCs w:val="24"/>
              </w:rPr>
              <w:t>orientări,</w:t>
            </w:r>
            <w:r w:rsidRPr="00C54A03">
              <w:rPr>
                <w:color w:val="000000" w:themeColor="text1"/>
                <w:spacing w:val="1"/>
                <w:sz w:val="24"/>
                <w:szCs w:val="24"/>
              </w:rPr>
              <w:t xml:space="preserve"> </w:t>
            </w:r>
            <w:r w:rsidRPr="00C54A03">
              <w:rPr>
                <w:color w:val="000000" w:themeColor="text1"/>
                <w:sz w:val="24"/>
                <w:szCs w:val="24"/>
              </w:rPr>
              <w:t>statutul</w:t>
            </w:r>
            <w:r w:rsidRPr="00C54A03">
              <w:rPr>
                <w:color w:val="000000" w:themeColor="text1"/>
                <w:spacing w:val="1"/>
                <w:sz w:val="24"/>
                <w:szCs w:val="24"/>
              </w:rPr>
              <w:t xml:space="preserve"> </w:t>
            </w:r>
            <w:r w:rsidRPr="00C54A03">
              <w:rPr>
                <w:color w:val="000000" w:themeColor="text1"/>
                <w:sz w:val="24"/>
                <w:szCs w:val="24"/>
              </w:rPr>
              <w:t>ar</w:t>
            </w:r>
            <w:r w:rsidRPr="00C54A03">
              <w:rPr>
                <w:color w:val="000000" w:themeColor="text1"/>
                <w:spacing w:val="1"/>
                <w:sz w:val="24"/>
                <w:szCs w:val="24"/>
              </w:rPr>
              <w:t xml:space="preserve"> </w:t>
            </w:r>
            <w:r w:rsidRPr="00C54A03">
              <w:rPr>
                <w:color w:val="000000" w:themeColor="text1"/>
                <w:sz w:val="24"/>
                <w:szCs w:val="24"/>
              </w:rPr>
              <w:t>trebui</w:t>
            </w:r>
            <w:r w:rsidRPr="00C54A03">
              <w:rPr>
                <w:color w:val="000000" w:themeColor="text1"/>
                <w:spacing w:val="1"/>
                <w:sz w:val="24"/>
                <w:szCs w:val="24"/>
              </w:rPr>
              <w:t xml:space="preserve"> </w:t>
            </w:r>
            <w:r w:rsidRPr="00C54A03">
              <w:rPr>
                <w:color w:val="000000" w:themeColor="text1"/>
                <w:sz w:val="24"/>
                <w:szCs w:val="24"/>
              </w:rPr>
              <w:t>considerat</w:t>
            </w:r>
            <w:r w:rsidRPr="00C54A03">
              <w:rPr>
                <w:color w:val="000000" w:themeColor="text1"/>
                <w:spacing w:val="1"/>
                <w:sz w:val="24"/>
                <w:szCs w:val="24"/>
              </w:rPr>
              <w:t xml:space="preserve"> </w:t>
            </w:r>
            <w:r w:rsidRPr="00C54A03">
              <w:rPr>
                <w:color w:val="000000" w:themeColor="text1"/>
                <w:sz w:val="24"/>
                <w:szCs w:val="24"/>
              </w:rPr>
              <w:t>„nefavorabil-inadecvat”</w:t>
            </w:r>
            <w:r w:rsidRPr="00C54A03">
              <w:rPr>
                <w:color w:val="000000" w:themeColor="text1"/>
                <w:spacing w:val="1"/>
                <w:sz w:val="24"/>
                <w:szCs w:val="24"/>
              </w:rPr>
              <w:t xml:space="preserve"> </w:t>
            </w:r>
            <w:r w:rsidRPr="00C54A03">
              <w:rPr>
                <w:color w:val="000000" w:themeColor="text1"/>
                <w:sz w:val="24"/>
                <w:szCs w:val="24"/>
              </w:rPr>
              <w:t>dacă</w:t>
            </w:r>
            <w:r w:rsidRPr="00C54A03">
              <w:rPr>
                <w:color w:val="000000" w:themeColor="text1"/>
                <w:spacing w:val="1"/>
                <w:sz w:val="24"/>
                <w:szCs w:val="24"/>
              </w:rPr>
              <w:t xml:space="preserve"> </w:t>
            </w:r>
            <w:r w:rsidRPr="00C54A03">
              <w:rPr>
                <w:color w:val="000000" w:themeColor="text1"/>
                <w:sz w:val="24"/>
                <w:szCs w:val="24"/>
              </w:rPr>
              <w:t>perspectivele unuia sau mai multor parametri (câmpul 9.1) sunt „sărace”,</w:t>
            </w:r>
            <w:r w:rsidRPr="00C54A03">
              <w:rPr>
                <w:color w:val="000000" w:themeColor="text1"/>
                <w:spacing w:val="1"/>
                <w:sz w:val="24"/>
                <w:szCs w:val="24"/>
              </w:rPr>
              <w:t xml:space="preserve"> </w:t>
            </w:r>
            <w:r w:rsidRPr="00C54A03">
              <w:rPr>
                <w:color w:val="000000" w:themeColor="text1"/>
                <w:sz w:val="24"/>
                <w:szCs w:val="24"/>
              </w:rPr>
              <w:t>niciunul</w:t>
            </w:r>
            <w:r w:rsidRPr="00C54A03">
              <w:rPr>
                <w:color w:val="000000" w:themeColor="text1"/>
                <w:spacing w:val="25"/>
                <w:sz w:val="24"/>
                <w:szCs w:val="24"/>
              </w:rPr>
              <w:t xml:space="preserve"> </w:t>
            </w:r>
            <w:r w:rsidRPr="00C54A03">
              <w:rPr>
                <w:color w:val="000000" w:themeColor="text1"/>
                <w:sz w:val="24"/>
                <w:szCs w:val="24"/>
              </w:rPr>
              <w:t>nu</w:t>
            </w:r>
            <w:r w:rsidRPr="00C54A03">
              <w:rPr>
                <w:color w:val="000000" w:themeColor="text1"/>
                <w:spacing w:val="25"/>
                <w:sz w:val="24"/>
                <w:szCs w:val="24"/>
              </w:rPr>
              <w:t xml:space="preserve"> </w:t>
            </w:r>
            <w:r w:rsidRPr="00C54A03">
              <w:rPr>
                <w:color w:val="000000" w:themeColor="text1"/>
                <w:sz w:val="24"/>
                <w:szCs w:val="24"/>
              </w:rPr>
              <w:t>are</w:t>
            </w:r>
            <w:r w:rsidRPr="00C54A03">
              <w:rPr>
                <w:color w:val="000000" w:themeColor="text1"/>
                <w:spacing w:val="23"/>
                <w:sz w:val="24"/>
                <w:szCs w:val="24"/>
              </w:rPr>
              <w:t xml:space="preserve"> </w:t>
            </w:r>
            <w:r w:rsidRPr="00C54A03">
              <w:rPr>
                <w:color w:val="000000" w:themeColor="text1"/>
                <w:sz w:val="24"/>
                <w:szCs w:val="24"/>
              </w:rPr>
              <w:t>perspective</w:t>
            </w:r>
            <w:r w:rsidRPr="00C54A03">
              <w:rPr>
                <w:color w:val="000000" w:themeColor="text1"/>
                <w:spacing w:val="24"/>
                <w:sz w:val="24"/>
                <w:szCs w:val="24"/>
              </w:rPr>
              <w:t xml:space="preserve"> </w:t>
            </w:r>
            <w:r w:rsidRPr="00C54A03">
              <w:rPr>
                <w:color w:val="000000" w:themeColor="text1"/>
                <w:sz w:val="24"/>
                <w:szCs w:val="24"/>
              </w:rPr>
              <w:t>„proaste”.</w:t>
            </w:r>
            <w:r w:rsidRPr="00C54A03">
              <w:rPr>
                <w:color w:val="000000" w:themeColor="text1"/>
                <w:spacing w:val="25"/>
                <w:sz w:val="24"/>
                <w:szCs w:val="24"/>
              </w:rPr>
              <w:t xml:space="preserve"> </w:t>
            </w:r>
            <w:r w:rsidRPr="00C54A03">
              <w:rPr>
                <w:color w:val="000000" w:themeColor="text1"/>
                <w:sz w:val="24"/>
                <w:szCs w:val="24"/>
              </w:rPr>
              <w:t>și</w:t>
            </w:r>
            <w:r w:rsidRPr="00C54A03">
              <w:rPr>
                <w:color w:val="000000" w:themeColor="text1"/>
                <w:spacing w:val="26"/>
                <w:sz w:val="24"/>
                <w:szCs w:val="24"/>
              </w:rPr>
              <w:t xml:space="preserve"> </w:t>
            </w:r>
            <w:r w:rsidRPr="00C54A03">
              <w:rPr>
                <w:color w:val="000000" w:themeColor="text1"/>
                <w:sz w:val="24"/>
                <w:szCs w:val="24"/>
              </w:rPr>
              <w:t>există</w:t>
            </w:r>
            <w:r w:rsidRPr="00C54A03">
              <w:rPr>
                <w:color w:val="000000" w:themeColor="text1"/>
                <w:spacing w:val="24"/>
                <w:sz w:val="24"/>
                <w:szCs w:val="24"/>
              </w:rPr>
              <w:t xml:space="preserve"> </w:t>
            </w:r>
            <w:r w:rsidRPr="00C54A03">
              <w:rPr>
                <w:color w:val="000000" w:themeColor="text1"/>
                <w:sz w:val="24"/>
                <w:szCs w:val="24"/>
              </w:rPr>
              <w:t>cel</w:t>
            </w:r>
            <w:r w:rsidRPr="00C54A03">
              <w:rPr>
                <w:color w:val="000000" w:themeColor="text1"/>
                <w:spacing w:val="25"/>
                <w:sz w:val="24"/>
                <w:szCs w:val="24"/>
              </w:rPr>
              <w:t xml:space="preserve"> </w:t>
            </w:r>
            <w:r w:rsidRPr="00C54A03">
              <w:rPr>
                <w:color w:val="000000" w:themeColor="text1"/>
                <w:sz w:val="24"/>
                <w:szCs w:val="24"/>
              </w:rPr>
              <w:t>puțin</w:t>
            </w:r>
            <w:r w:rsidRPr="00C54A03">
              <w:rPr>
                <w:color w:val="000000" w:themeColor="text1"/>
                <w:spacing w:val="25"/>
                <w:sz w:val="24"/>
                <w:szCs w:val="24"/>
              </w:rPr>
              <w:t xml:space="preserve"> </w:t>
            </w:r>
            <w:r w:rsidRPr="00C54A03">
              <w:rPr>
                <w:color w:val="000000" w:themeColor="text1"/>
                <w:sz w:val="24"/>
                <w:szCs w:val="24"/>
              </w:rPr>
              <w:t>un</w:t>
            </w:r>
            <w:r w:rsidRPr="00C54A03">
              <w:rPr>
                <w:color w:val="000000" w:themeColor="text1"/>
                <w:spacing w:val="25"/>
                <w:sz w:val="24"/>
                <w:szCs w:val="24"/>
              </w:rPr>
              <w:t xml:space="preserve"> </w:t>
            </w:r>
            <w:r w:rsidRPr="00C54A03">
              <w:rPr>
                <w:color w:val="000000" w:themeColor="text1"/>
                <w:sz w:val="24"/>
                <w:szCs w:val="24"/>
              </w:rPr>
              <w:t>parametru</w:t>
            </w:r>
            <w:r w:rsidRPr="00C54A03">
              <w:rPr>
                <w:color w:val="000000" w:themeColor="text1"/>
                <w:spacing w:val="27"/>
                <w:sz w:val="24"/>
                <w:szCs w:val="24"/>
              </w:rPr>
              <w:t xml:space="preserve"> </w:t>
            </w:r>
            <w:r w:rsidRPr="00C54A03">
              <w:rPr>
                <w:color w:val="000000" w:themeColor="text1"/>
                <w:sz w:val="24"/>
                <w:szCs w:val="24"/>
              </w:rPr>
              <w:t>cu</w:t>
            </w:r>
          </w:p>
          <w:p w14:paraId="1CF8F2D4" w14:textId="77777777" w:rsidR="007702CD" w:rsidRPr="00C54A03" w:rsidRDefault="007702CD" w:rsidP="008E33FD">
            <w:pPr>
              <w:pStyle w:val="TableParagraph"/>
              <w:spacing w:line="264" w:lineRule="exact"/>
              <w:ind w:left="107"/>
              <w:jc w:val="both"/>
              <w:rPr>
                <w:color w:val="000000" w:themeColor="text1"/>
                <w:sz w:val="24"/>
                <w:szCs w:val="24"/>
              </w:rPr>
            </w:pPr>
            <w:r w:rsidRPr="00C54A03">
              <w:rPr>
                <w:color w:val="000000" w:themeColor="text1"/>
                <w:sz w:val="24"/>
                <w:szCs w:val="24"/>
              </w:rPr>
              <w:t>perspective</w:t>
            </w:r>
            <w:r w:rsidRPr="00C54A03">
              <w:rPr>
                <w:color w:val="000000" w:themeColor="text1"/>
                <w:spacing w:val="-3"/>
                <w:sz w:val="24"/>
                <w:szCs w:val="24"/>
              </w:rPr>
              <w:t xml:space="preserve"> </w:t>
            </w:r>
            <w:r w:rsidRPr="00C54A03">
              <w:rPr>
                <w:color w:val="000000" w:themeColor="text1"/>
                <w:sz w:val="24"/>
                <w:szCs w:val="24"/>
              </w:rPr>
              <w:t>„necunoscute”.</w:t>
            </w:r>
          </w:p>
        </w:tc>
      </w:tr>
      <w:tr w:rsidR="007702CD" w:rsidRPr="00C54A03" w14:paraId="7E2865A9" w14:textId="77777777" w:rsidTr="00102A1A">
        <w:trPr>
          <w:trHeight w:val="1108"/>
        </w:trPr>
        <w:tc>
          <w:tcPr>
            <w:tcW w:w="1810" w:type="dxa"/>
          </w:tcPr>
          <w:p w14:paraId="2CEF452B" w14:textId="77777777" w:rsidR="007702CD" w:rsidRPr="00C54A03" w:rsidRDefault="007702CD" w:rsidP="008E33FD">
            <w:pPr>
              <w:pStyle w:val="TableParagraph"/>
              <w:spacing w:before="5"/>
              <w:jc w:val="both"/>
              <w:rPr>
                <w:color w:val="000000" w:themeColor="text1"/>
                <w:sz w:val="24"/>
                <w:szCs w:val="24"/>
              </w:rPr>
            </w:pPr>
          </w:p>
          <w:p w14:paraId="723D60CE" w14:textId="77777777" w:rsidR="007702CD" w:rsidRPr="00C54A03" w:rsidRDefault="007702CD" w:rsidP="008E33FD">
            <w:pPr>
              <w:pStyle w:val="TableParagraph"/>
              <w:ind w:left="108" w:right="154"/>
              <w:jc w:val="both"/>
              <w:rPr>
                <w:color w:val="000000" w:themeColor="text1"/>
                <w:sz w:val="24"/>
                <w:szCs w:val="24"/>
              </w:rPr>
            </w:pPr>
            <w:r w:rsidRPr="00C54A03">
              <w:rPr>
                <w:color w:val="000000" w:themeColor="text1"/>
                <w:spacing w:val="-1"/>
                <w:sz w:val="24"/>
                <w:szCs w:val="24"/>
              </w:rPr>
              <w:t>Nefavorabil-rău</w:t>
            </w:r>
            <w:r w:rsidRPr="00C54A03">
              <w:rPr>
                <w:color w:val="000000" w:themeColor="text1"/>
                <w:spacing w:val="-57"/>
                <w:sz w:val="24"/>
                <w:szCs w:val="24"/>
              </w:rPr>
              <w:t xml:space="preserve"> </w:t>
            </w:r>
            <w:r w:rsidRPr="00C54A03">
              <w:rPr>
                <w:color w:val="000000" w:themeColor="text1"/>
                <w:sz w:val="24"/>
                <w:szCs w:val="24"/>
              </w:rPr>
              <w:t>(U2)</w:t>
            </w:r>
          </w:p>
        </w:tc>
        <w:tc>
          <w:tcPr>
            <w:tcW w:w="7480" w:type="dxa"/>
          </w:tcPr>
          <w:p w14:paraId="37B7A50A" w14:textId="77777777" w:rsidR="007702CD" w:rsidRPr="00C54A03" w:rsidRDefault="007702CD" w:rsidP="008E33FD">
            <w:pPr>
              <w:pStyle w:val="TableParagraph"/>
              <w:ind w:left="107" w:right="96"/>
              <w:jc w:val="both"/>
              <w:rPr>
                <w:color w:val="000000" w:themeColor="text1"/>
                <w:sz w:val="24"/>
                <w:szCs w:val="24"/>
              </w:rPr>
            </w:pPr>
            <w:r w:rsidRPr="00C54A03">
              <w:rPr>
                <w:color w:val="000000" w:themeColor="text1"/>
                <w:sz w:val="24"/>
                <w:szCs w:val="24"/>
              </w:rPr>
              <w:t>Conform</w:t>
            </w:r>
            <w:r w:rsidRPr="00C54A03">
              <w:rPr>
                <w:color w:val="000000" w:themeColor="text1"/>
                <w:spacing w:val="31"/>
                <w:sz w:val="24"/>
                <w:szCs w:val="24"/>
              </w:rPr>
              <w:t xml:space="preserve"> </w:t>
            </w:r>
            <w:r w:rsidRPr="00C54A03">
              <w:rPr>
                <w:color w:val="000000" w:themeColor="text1"/>
                <w:sz w:val="24"/>
                <w:szCs w:val="24"/>
              </w:rPr>
              <w:t>matricei</w:t>
            </w:r>
            <w:r w:rsidRPr="00C54A03">
              <w:rPr>
                <w:color w:val="000000" w:themeColor="text1"/>
                <w:spacing w:val="31"/>
                <w:sz w:val="24"/>
                <w:szCs w:val="24"/>
              </w:rPr>
              <w:t xml:space="preserve"> </w:t>
            </w:r>
            <w:r w:rsidRPr="00C54A03">
              <w:rPr>
                <w:color w:val="000000" w:themeColor="text1"/>
                <w:sz w:val="24"/>
                <w:szCs w:val="24"/>
              </w:rPr>
              <w:t>de</w:t>
            </w:r>
            <w:r w:rsidRPr="00C54A03">
              <w:rPr>
                <w:color w:val="000000" w:themeColor="text1"/>
                <w:spacing w:val="30"/>
                <w:sz w:val="24"/>
                <w:szCs w:val="24"/>
              </w:rPr>
              <w:t xml:space="preserve"> </w:t>
            </w:r>
            <w:r w:rsidRPr="00C54A03">
              <w:rPr>
                <w:color w:val="000000" w:themeColor="text1"/>
                <w:sz w:val="24"/>
                <w:szCs w:val="24"/>
              </w:rPr>
              <w:t>evaluare</w:t>
            </w:r>
            <w:r w:rsidRPr="00C54A03">
              <w:rPr>
                <w:color w:val="000000" w:themeColor="text1"/>
                <w:spacing w:val="30"/>
                <w:sz w:val="24"/>
                <w:szCs w:val="24"/>
              </w:rPr>
              <w:t xml:space="preserve"> </w:t>
            </w:r>
            <w:r w:rsidRPr="00C54A03">
              <w:rPr>
                <w:color w:val="000000" w:themeColor="text1"/>
                <w:sz w:val="24"/>
                <w:szCs w:val="24"/>
              </w:rPr>
              <w:t>(anexa</w:t>
            </w:r>
            <w:r w:rsidRPr="00C54A03">
              <w:rPr>
                <w:color w:val="000000" w:themeColor="text1"/>
                <w:spacing w:val="30"/>
                <w:sz w:val="24"/>
                <w:szCs w:val="24"/>
              </w:rPr>
              <w:t xml:space="preserve"> </w:t>
            </w:r>
            <w:r w:rsidRPr="00C54A03">
              <w:rPr>
                <w:color w:val="000000" w:themeColor="text1"/>
                <w:sz w:val="24"/>
                <w:szCs w:val="24"/>
              </w:rPr>
              <w:t>E),</w:t>
            </w:r>
            <w:r w:rsidRPr="00C54A03">
              <w:rPr>
                <w:color w:val="000000" w:themeColor="text1"/>
                <w:spacing w:val="31"/>
                <w:sz w:val="24"/>
                <w:szCs w:val="24"/>
              </w:rPr>
              <w:t xml:space="preserve"> </w:t>
            </w:r>
            <w:r w:rsidRPr="00C54A03">
              <w:rPr>
                <w:color w:val="000000" w:themeColor="text1"/>
                <w:sz w:val="24"/>
                <w:szCs w:val="24"/>
              </w:rPr>
              <w:t>statutul</w:t>
            </w:r>
            <w:r w:rsidRPr="00C54A03">
              <w:rPr>
                <w:color w:val="000000" w:themeColor="text1"/>
                <w:spacing w:val="31"/>
                <w:sz w:val="24"/>
                <w:szCs w:val="24"/>
              </w:rPr>
              <w:t xml:space="preserve"> </w:t>
            </w:r>
            <w:r w:rsidRPr="00C54A03">
              <w:rPr>
                <w:color w:val="000000" w:themeColor="text1"/>
                <w:sz w:val="24"/>
                <w:szCs w:val="24"/>
              </w:rPr>
              <w:t>perspectivelor</w:t>
            </w:r>
            <w:r w:rsidRPr="00C54A03">
              <w:rPr>
                <w:color w:val="000000" w:themeColor="text1"/>
                <w:spacing w:val="32"/>
                <w:sz w:val="24"/>
                <w:szCs w:val="24"/>
              </w:rPr>
              <w:t xml:space="preserve"> </w:t>
            </w:r>
            <w:r w:rsidRPr="00C54A03">
              <w:rPr>
                <w:color w:val="000000" w:themeColor="text1"/>
                <w:sz w:val="24"/>
                <w:szCs w:val="24"/>
              </w:rPr>
              <w:t>de</w:t>
            </w:r>
            <w:r w:rsidRPr="00C54A03">
              <w:rPr>
                <w:color w:val="000000" w:themeColor="text1"/>
                <w:spacing w:val="30"/>
                <w:sz w:val="24"/>
                <w:szCs w:val="24"/>
              </w:rPr>
              <w:t xml:space="preserve"> </w:t>
            </w:r>
            <w:r w:rsidRPr="00C54A03">
              <w:rPr>
                <w:color w:val="000000" w:themeColor="text1"/>
                <w:sz w:val="24"/>
                <w:szCs w:val="24"/>
              </w:rPr>
              <w:t>viitor</w:t>
            </w:r>
            <w:r w:rsidRPr="00C54A03">
              <w:rPr>
                <w:color w:val="000000" w:themeColor="text1"/>
                <w:spacing w:val="-57"/>
                <w:sz w:val="24"/>
                <w:szCs w:val="24"/>
              </w:rPr>
              <w:t xml:space="preserve"> </w:t>
            </w:r>
            <w:r w:rsidRPr="00C54A03">
              <w:rPr>
                <w:color w:val="000000" w:themeColor="text1"/>
                <w:sz w:val="24"/>
                <w:szCs w:val="24"/>
              </w:rPr>
              <w:t>este</w:t>
            </w:r>
            <w:r w:rsidRPr="00C54A03">
              <w:rPr>
                <w:color w:val="000000" w:themeColor="text1"/>
                <w:spacing w:val="-2"/>
                <w:sz w:val="24"/>
                <w:szCs w:val="24"/>
              </w:rPr>
              <w:t xml:space="preserve"> </w:t>
            </w:r>
            <w:r w:rsidRPr="00C54A03">
              <w:rPr>
                <w:color w:val="000000" w:themeColor="text1"/>
                <w:sz w:val="24"/>
                <w:szCs w:val="24"/>
              </w:rPr>
              <w:t>„nefavorabil-rău”</w:t>
            </w:r>
            <w:r w:rsidRPr="00C54A03">
              <w:rPr>
                <w:color w:val="000000" w:themeColor="text1"/>
                <w:spacing w:val="-1"/>
                <w:sz w:val="24"/>
                <w:szCs w:val="24"/>
              </w:rPr>
              <w:t xml:space="preserve"> </w:t>
            </w:r>
            <w:r w:rsidRPr="00C54A03">
              <w:rPr>
                <w:color w:val="000000" w:themeColor="text1"/>
                <w:sz w:val="24"/>
                <w:szCs w:val="24"/>
              </w:rPr>
              <w:t>dacă:</w:t>
            </w:r>
          </w:p>
          <w:p w14:paraId="1B43412F" w14:textId="77777777" w:rsidR="007702CD" w:rsidRPr="00C54A03" w:rsidRDefault="007702CD" w:rsidP="008E33FD">
            <w:pPr>
              <w:pStyle w:val="TableParagraph"/>
              <w:tabs>
                <w:tab w:val="left" w:pos="828"/>
              </w:tabs>
              <w:spacing w:line="276" w:lineRule="exact"/>
              <w:ind w:left="828" w:right="99" w:hanging="361"/>
              <w:jc w:val="both"/>
              <w:rPr>
                <w:color w:val="000000" w:themeColor="text1"/>
                <w:sz w:val="24"/>
                <w:szCs w:val="24"/>
              </w:rPr>
            </w:pPr>
            <w:r w:rsidRPr="00C54A03">
              <w:rPr>
                <w:color w:val="000000" w:themeColor="text1"/>
                <w:sz w:val="24"/>
                <w:szCs w:val="24"/>
              </w:rPr>
              <w:t>-</w:t>
            </w:r>
            <w:r w:rsidRPr="00C54A03">
              <w:rPr>
                <w:color w:val="000000" w:themeColor="text1"/>
                <w:sz w:val="24"/>
                <w:szCs w:val="24"/>
              </w:rPr>
              <w:tab/>
              <w:t>Se</w:t>
            </w:r>
            <w:r w:rsidRPr="00C54A03">
              <w:rPr>
                <w:color w:val="000000" w:themeColor="text1"/>
                <w:spacing w:val="17"/>
                <w:sz w:val="24"/>
                <w:szCs w:val="24"/>
              </w:rPr>
              <w:t xml:space="preserve"> </w:t>
            </w:r>
            <w:r w:rsidRPr="00C54A03">
              <w:rPr>
                <w:color w:val="000000" w:themeColor="text1"/>
                <w:sz w:val="24"/>
                <w:szCs w:val="24"/>
              </w:rPr>
              <w:t>așteaptă</w:t>
            </w:r>
            <w:r w:rsidRPr="00C54A03">
              <w:rPr>
                <w:color w:val="000000" w:themeColor="text1"/>
                <w:spacing w:val="18"/>
                <w:sz w:val="24"/>
                <w:szCs w:val="24"/>
              </w:rPr>
              <w:t xml:space="preserve"> </w:t>
            </w:r>
            <w:r w:rsidRPr="00C54A03">
              <w:rPr>
                <w:color w:val="000000" w:themeColor="text1"/>
                <w:sz w:val="24"/>
                <w:szCs w:val="24"/>
              </w:rPr>
              <w:t>impacturi</w:t>
            </w:r>
            <w:r w:rsidRPr="00C54A03">
              <w:rPr>
                <w:color w:val="000000" w:themeColor="text1"/>
                <w:spacing w:val="19"/>
                <w:sz w:val="24"/>
                <w:szCs w:val="24"/>
              </w:rPr>
              <w:t xml:space="preserve"> </w:t>
            </w:r>
            <w:r w:rsidRPr="00C54A03">
              <w:rPr>
                <w:color w:val="000000" w:themeColor="text1"/>
                <w:sz w:val="24"/>
                <w:szCs w:val="24"/>
              </w:rPr>
              <w:t>severe</w:t>
            </w:r>
            <w:r w:rsidRPr="00C54A03">
              <w:rPr>
                <w:color w:val="000000" w:themeColor="text1"/>
                <w:spacing w:val="17"/>
                <w:sz w:val="24"/>
                <w:szCs w:val="24"/>
              </w:rPr>
              <w:t xml:space="preserve"> </w:t>
            </w:r>
            <w:r w:rsidRPr="00C54A03">
              <w:rPr>
                <w:color w:val="000000" w:themeColor="text1"/>
                <w:sz w:val="24"/>
                <w:szCs w:val="24"/>
              </w:rPr>
              <w:t>din</w:t>
            </w:r>
            <w:r w:rsidRPr="00C54A03">
              <w:rPr>
                <w:color w:val="000000" w:themeColor="text1"/>
                <w:spacing w:val="19"/>
                <w:sz w:val="24"/>
                <w:szCs w:val="24"/>
              </w:rPr>
              <w:t xml:space="preserve"> </w:t>
            </w:r>
            <w:r w:rsidRPr="00C54A03">
              <w:rPr>
                <w:color w:val="000000" w:themeColor="text1"/>
                <w:sz w:val="24"/>
                <w:szCs w:val="24"/>
              </w:rPr>
              <w:t>cauza</w:t>
            </w:r>
            <w:r w:rsidRPr="00C54A03">
              <w:rPr>
                <w:color w:val="000000" w:themeColor="text1"/>
                <w:spacing w:val="18"/>
                <w:sz w:val="24"/>
                <w:szCs w:val="24"/>
              </w:rPr>
              <w:t xml:space="preserve"> </w:t>
            </w:r>
            <w:r w:rsidRPr="00C54A03">
              <w:rPr>
                <w:color w:val="000000" w:themeColor="text1"/>
                <w:sz w:val="24"/>
                <w:szCs w:val="24"/>
              </w:rPr>
              <w:t>presiunilor</w:t>
            </w:r>
            <w:r w:rsidRPr="00C54A03">
              <w:rPr>
                <w:color w:val="000000" w:themeColor="text1"/>
                <w:spacing w:val="18"/>
                <w:sz w:val="24"/>
                <w:szCs w:val="24"/>
              </w:rPr>
              <w:t xml:space="preserve"> </w:t>
            </w:r>
            <w:r w:rsidRPr="00C54A03">
              <w:rPr>
                <w:color w:val="000000" w:themeColor="text1"/>
                <w:sz w:val="24"/>
                <w:szCs w:val="24"/>
              </w:rPr>
              <w:t>și</w:t>
            </w:r>
            <w:r w:rsidRPr="00C54A03">
              <w:rPr>
                <w:color w:val="000000" w:themeColor="text1"/>
                <w:spacing w:val="20"/>
                <w:sz w:val="24"/>
                <w:szCs w:val="24"/>
              </w:rPr>
              <w:t xml:space="preserve"> </w:t>
            </w:r>
            <w:r w:rsidRPr="00C54A03">
              <w:rPr>
                <w:color w:val="000000" w:themeColor="text1"/>
                <w:sz w:val="24"/>
                <w:szCs w:val="24"/>
              </w:rPr>
              <w:t>amenințărilor</w:t>
            </w:r>
            <w:r w:rsidRPr="00C54A03">
              <w:rPr>
                <w:color w:val="000000" w:themeColor="text1"/>
                <w:spacing w:val="-57"/>
                <w:sz w:val="24"/>
                <w:szCs w:val="24"/>
              </w:rPr>
              <w:t xml:space="preserve"> </w:t>
            </w:r>
            <w:r w:rsidRPr="00C54A03">
              <w:rPr>
                <w:color w:val="000000" w:themeColor="text1"/>
                <w:sz w:val="24"/>
                <w:szCs w:val="24"/>
              </w:rPr>
              <w:t>asupra</w:t>
            </w:r>
            <w:r w:rsidRPr="00C54A03">
              <w:rPr>
                <w:color w:val="000000" w:themeColor="text1"/>
                <w:spacing w:val="39"/>
                <w:sz w:val="24"/>
                <w:szCs w:val="24"/>
              </w:rPr>
              <w:t xml:space="preserve"> </w:t>
            </w:r>
            <w:r w:rsidRPr="00C54A03">
              <w:rPr>
                <w:color w:val="000000" w:themeColor="text1"/>
                <w:sz w:val="24"/>
                <w:szCs w:val="24"/>
              </w:rPr>
              <w:t>habitatului,</w:t>
            </w:r>
            <w:r w:rsidRPr="00C54A03">
              <w:rPr>
                <w:color w:val="000000" w:themeColor="text1"/>
                <w:spacing w:val="42"/>
                <w:sz w:val="24"/>
                <w:szCs w:val="24"/>
              </w:rPr>
              <w:t xml:space="preserve"> </w:t>
            </w:r>
            <w:r w:rsidRPr="00C54A03">
              <w:rPr>
                <w:color w:val="000000" w:themeColor="text1"/>
                <w:sz w:val="24"/>
                <w:szCs w:val="24"/>
              </w:rPr>
              <w:t>perspectivele</w:t>
            </w:r>
            <w:r w:rsidRPr="00C54A03">
              <w:rPr>
                <w:color w:val="000000" w:themeColor="text1"/>
                <w:spacing w:val="41"/>
                <w:sz w:val="24"/>
                <w:szCs w:val="24"/>
              </w:rPr>
              <w:t xml:space="preserve"> </w:t>
            </w:r>
            <w:r w:rsidRPr="00C54A03">
              <w:rPr>
                <w:color w:val="000000" w:themeColor="text1"/>
                <w:sz w:val="24"/>
                <w:szCs w:val="24"/>
              </w:rPr>
              <w:t>viitorului</w:t>
            </w:r>
            <w:r w:rsidRPr="00C54A03">
              <w:rPr>
                <w:color w:val="000000" w:themeColor="text1"/>
                <w:spacing w:val="42"/>
                <w:sz w:val="24"/>
                <w:szCs w:val="24"/>
              </w:rPr>
              <w:t xml:space="preserve"> </w:t>
            </w:r>
            <w:r w:rsidRPr="00C54A03">
              <w:rPr>
                <w:color w:val="000000" w:themeColor="text1"/>
                <w:sz w:val="24"/>
                <w:szCs w:val="24"/>
              </w:rPr>
              <w:t>său</w:t>
            </w:r>
            <w:r w:rsidRPr="00C54A03">
              <w:rPr>
                <w:color w:val="000000" w:themeColor="text1"/>
                <w:spacing w:val="42"/>
                <w:sz w:val="24"/>
                <w:szCs w:val="24"/>
              </w:rPr>
              <w:t xml:space="preserve"> </w:t>
            </w:r>
            <w:r w:rsidRPr="00C54A03">
              <w:rPr>
                <w:color w:val="000000" w:themeColor="text1"/>
                <w:sz w:val="24"/>
                <w:szCs w:val="24"/>
              </w:rPr>
              <w:t>sunt</w:t>
            </w:r>
            <w:r w:rsidRPr="00C54A03">
              <w:rPr>
                <w:color w:val="000000" w:themeColor="text1"/>
                <w:spacing w:val="41"/>
                <w:sz w:val="24"/>
                <w:szCs w:val="24"/>
              </w:rPr>
              <w:t xml:space="preserve"> </w:t>
            </w:r>
            <w:r w:rsidRPr="00C54A03">
              <w:rPr>
                <w:color w:val="000000" w:themeColor="text1"/>
                <w:sz w:val="24"/>
                <w:szCs w:val="24"/>
              </w:rPr>
              <w:t>„proaste”,</w:t>
            </w:r>
            <w:r w:rsidRPr="00C54A03">
              <w:rPr>
                <w:color w:val="000000" w:themeColor="text1"/>
                <w:spacing w:val="42"/>
                <w:sz w:val="24"/>
                <w:szCs w:val="24"/>
              </w:rPr>
              <w:t xml:space="preserve"> </w:t>
            </w:r>
            <w:r w:rsidRPr="00C54A03">
              <w:rPr>
                <w:color w:val="000000" w:themeColor="text1"/>
                <w:sz w:val="24"/>
                <w:szCs w:val="24"/>
              </w:rPr>
              <w:t>iar</w:t>
            </w:r>
          </w:p>
        </w:tc>
      </w:tr>
      <w:tr w:rsidR="007702CD" w:rsidRPr="00C54A03" w14:paraId="724A4500" w14:textId="77777777" w:rsidTr="00102A1A">
        <w:trPr>
          <w:trHeight w:val="1106"/>
        </w:trPr>
        <w:tc>
          <w:tcPr>
            <w:tcW w:w="1810" w:type="dxa"/>
          </w:tcPr>
          <w:p w14:paraId="6ED1106F" w14:textId="77777777" w:rsidR="007702CD" w:rsidRPr="00C54A03" w:rsidRDefault="007702CD" w:rsidP="008E33FD">
            <w:pPr>
              <w:pStyle w:val="TableParagraph"/>
              <w:jc w:val="both"/>
              <w:rPr>
                <w:color w:val="000000" w:themeColor="text1"/>
                <w:sz w:val="24"/>
                <w:szCs w:val="24"/>
              </w:rPr>
            </w:pPr>
          </w:p>
        </w:tc>
        <w:tc>
          <w:tcPr>
            <w:tcW w:w="7480" w:type="dxa"/>
          </w:tcPr>
          <w:p w14:paraId="65705EE5" w14:textId="77777777" w:rsidR="007702CD" w:rsidRPr="00C54A03" w:rsidRDefault="007702CD" w:rsidP="008E33FD">
            <w:pPr>
              <w:pStyle w:val="TableParagraph"/>
              <w:spacing w:line="262" w:lineRule="exact"/>
              <w:ind w:left="828"/>
              <w:jc w:val="both"/>
              <w:rPr>
                <w:color w:val="000000" w:themeColor="text1"/>
                <w:sz w:val="24"/>
                <w:szCs w:val="24"/>
              </w:rPr>
            </w:pPr>
            <w:r w:rsidRPr="00C54A03">
              <w:rPr>
                <w:color w:val="000000" w:themeColor="text1"/>
                <w:sz w:val="24"/>
                <w:szCs w:val="24"/>
              </w:rPr>
              <w:t>viabilitatea</w:t>
            </w:r>
            <w:r w:rsidRPr="00C54A03">
              <w:rPr>
                <w:color w:val="000000" w:themeColor="text1"/>
                <w:spacing w:val="-3"/>
                <w:sz w:val="24"/>
                <w:szCs w:val="24"/>
              </w:rPr>
              <w:t xml:space="preserve"> </w:t>
            </w:r>
            <w:r w:rsidRPr="00C54A03">
              <w:rPr>
                <w:color w:val="000000" w:themeColor="text1"/>
                <w:sz w:val="24"/>
                <w:szCs w:val="24"/>
              </w:rPr>
              <w:t>pe</w:t>
            </w:r>
            <w:r w:rsidRPr="00C54A03">
              <w:rPr>
                <w:color w:val="000000" w:themeColor="text1"/>
                <w:spacing w:val="-2"/>
                <w:sz w:val="24"/>
                <w:szCs w:val="24"/>
              </w:rPr>
              <w:t xml:space="preserve"> </w:t>
            </w:r>
            <w:r w:rsidRPr="00C54A03">
              <w:rPr>
                <w:color w:val="000000" w:themeColor="text1"/>
                <w:sz w:val="24"/>
                <w:szCs w:val="24"/>
              </w:rPr>
              <w:t>termen</w:t>
            </w:r>
            <w:r w:rsidRPr="00C54A03">
              <w:rPr>
                <w:color w:val="000000" w:themeColor="text1"/>
                <w:spacing w:val="-1"/>
                <w:sz w:val="24"/>
                <w:szCs w:val="24"/>
              </w:rPr>
              <w:t xml:space="preserve"> </w:t>
            </w:r>
            <w:r w:rsidRPr="00C54A03">
              <w:rPr>
                <w:color w:val="000000" w:themeColor="text1"/>
                <w:sz w:val="24"/>
                <w:szCs w:val="24"/>
              </w:rPr>
              <w:t>lung</w:t>
            </w:r>
            <w:r w:rsidRPr="00C54A03">
              <w:rPr>
                <w:color w:val="000000" w:themeColor="text1"/>
                <w:spacing w:val="-4"/>
                <w:sz w:val="24"/>
                <w:szCs w:val="24"/>
              </w:rPr>
              <w:t xml:space="preserve"> </w:t>
            </w:r>
            <w:r w:rsidRPr="00C54A03">
              <w:rPr>
                <w:color w:val="000000" w:themeColor="text1"/>
                <w:sz w:val="24"/>
                <w:szCs w:val="24"/>
              </w:rPr>
              <w:t>nu</w:t>
            </w:r>
            <w:r w:rsidRPr="00C54A03">
              <w:rPr>
                <w:color w:val="000000" w:themeColor="text1"/>
                <w:spacing w:val="-1"/>
                <w:sz w:val="24"/>
                <w:szCs w:val="24"/>
              </w:rPr>
              <w:t xml:space="preserve"> </w:t>
            </w:r>
            <w:r w:rsidRPr="00C54A03">
              <w:rPr>
                <w:color w:val="000000" w:themeColor="text1"/>
                <w:sz w:val="24"/>
                <w:szCs w:val="24"/>
              </w:rPr>
              <w:t>este asigurată.</w:t>
            </w:r>
          </w:p>
          <w:p w14:paraId="22F558AD" w14:textId="77777777" w:rsidR="007702CD" w:rsidRPr="00C54A03" w:rsidRDefault="007702CD" w:rsidP="008E33FD">
            <w:pPr>
              <w:pStyle w:val="TableParagraph"/>
              <w:ind w:left="107"/>
              <w:jc w:val="both"/>
              <w:rPr>
                <w:color w:val="000000" w:themeColor="text1"/>
                <w:sz w:val="24"/>
                <w:szCs w:val="24"/>
              </w:rPr>
            </w:pPr>
            <w:r w:rsidRPr="00C54A03">
              <w:rPr>
                <w:color w:val="000000" w:themeColor="text1"/>
                <w:sz w:val="24"/>
                <w:szCs w:val="24"/>
              </w:rPr>
              <w:t>Informațiisuplimentare:</w:t>
            </w:r>
          </w:p>
          <w:p w14:paraId="3957A463" w14:textId="77777777" w:rsidR="007702CD" w:rsidRPr="00C54A03" w:rsidRDefault="007702CD" w:rsidP="008E33FD">
            <w:pPr>
              <w:pStyle w:val="TableParagraph"/>
              <w:spacing w:line="270" w:lineRule="atLeast"/>
              <w:ind w:left="107" w:right="95"/>
              <w:jc w:val="both"/>
              <w:rPr>
                <w:color w:val="000000" w:themeColor="text1"/>
                <w:sz w:val="24"/>
                <w:szCs w:val="24"/>
              </w:rPr>
            </w:pPr>
            <w:r w:rsidRPr="00C54A03">
              <w:rPr>
                <w:color w:val="000000" w:themeColor="text1"/>
                <w:sz w:val="24"/>
                <w:szCs w:val="24"/>
              </w:rPr>
              <w:t>Perspectivele</w:t>
            </w:r>
            <w:r w:rsidRPr="00C54A03">
              <w:rPr>
                <w:color w:val="000000" w:themeColor="text1"/>
                <w:spacing w:val="22"/>
                <w:sz w:val="24"/>
                <w:szCs w:val="24"/>
              </w:rPr>
              <w:t xml:space="preserve"> </w:t>
            </w:r>
            <w:r w:rsidRPr="00C54A03">
              <w:rPr>
                <w:color w:val="000000" w:themeColor="text1"/>
                <w:sz w:val="24"/>
                <w:szCs w:val="24"/>
              </w:rPr>
              <w:t>de</w:t>
            </w:r>
            <w:r w:rsidRPr="00C54A03">
              <w:rPr>
                <w:color w:val="000000" w:themeColor="text1"/>
                <w:spacing w:val="22"/>
                <w:sz w:val="24"/>
                <w:szCs w:val="24"/>
              </w:rPr>
              <w:t xml:space="preserve"> </w:t>
            </w:r>
            <w:r w:rsidRPr="00C54A03">
              <w:rPr>
                <w:color w:val="000000" w:themeColor="text1"/>
                <w:sz w:val="24"/>
                <w:szCs w:val="24"/>
              </w:rPr>
              <w:t>viitor</w:t>
            </w:r>
            <w:r w:rsidRPr="00C54A03">
              <w:rPr>
                <w:color w:val="000000" w:themeColor="text1"/>
                <w:spacing w:val="23"/>
                <w:sz w:val="24"/>
                <w:szCs w:val="24"/>
              </w:rPr>
              <w:t xml:space="preserve"> </w:t>
            </w:r>
            <w:r w:rsidRPr="00C54A03">
              <w:rPr>
                <w:color w:val="000000" w:themeColor="text1"/>
                <w:sz w:val="24"/>
                <w:szCs w:val="24"/>
              </w:rPr>
              <w:t>ar</w:t>
            </w:r>
            <w:r w:rsidRPr="00C54A03">
              <w:rPr>
                <w:color w:val="000000" w:themeColor="text1"/>
                <w:spacing w:val="23"/>
                <w:sz w:val="24"/>
                <w:szCs w:val="24"/>
              </w:rPr>
              <w:t xml:space="preserve"> </w:t>
            </w:r>
            <w:r w:rsidRPr="00C54A03">
              <w:rPr>
                <w:color w:val="000000" w:themeColor="text1"/>
                <w:sz w:val="24"/>
                <w:szCs w:val="24"/>
              </w:rPr>
              <w:t>trebui</w:t>
            </w:r>
            <w:r w:rsidRPr="00C54A03">
              <w:rPr>
                <w:color w:val="000000" w:themeColor="text1"/>
                <w:spacing w:val="24"/>
                <w:sz w:val="24"/>
                <w:szCs w:val="24"/>
              </w:rPr>
              <w:t xml:space="preserve"> </w:t>
            </w:r>
            <w:r w:rsidRPr="00C54A03">
              <w:rPr>
                <w:color w:val="000000" w:themeColor="text1"/>
                <w:sz w:val="24"/>
                <w:szCs w:val="24"/>
              </w:rPr>
              <w:t>evaluate</w:t>
            </w:r>
            <w:r w:rsidRPr="00C54A03">
              <w:rPr>
                <w:color w:val="000000" w:themeColor="text1"/>
                <w:spacing w:val="25"/>
                <w:sz w:val="24"/>
                <w:szCs w:val="24"/>
              </w:rPr>
              <w:t xml:space="preserve"> </w:t>
            </w:r>
            <w:r w:rsidRPr="00C54A03">
              <w:rPr>
                <w:color w:val="000000" w:themeColor="text1"/>
                <w:sz w:val="24"/>
                <w:szCs w:val="24"/>
              </w:rPr>
              <w:t>ca</w:t>
            </w:r>
            <w:r w:rsidRPr="00C54A03">
              <w:rPr>
                <w:color w:val="000000" w:themeColor="text1"/>
                <w:spacing w:val="22"/>
                <w:sz w:val="24"/>
                <w:szCs w:val="24"/>
              </w:rPr>
              <w:t xml:space="preserve"> </w:t>
            </w:r>
            <w:r w:rsidRPr="00C54A03">
              <w:rPr>
                <w:color w:val="000000" w:themeColor="text1"/>
                <w:sz w:val="24"/>
                <w:szCs w:val="24"/>
              </w:rPr>
              <w:t>„nefavorabile-rele”</w:t>
            </w:r>
            <w:r w:rsidRPr="00C54A03">
              <w:rPr>
                <w:color w:val="000000" w:themeColor="text1"/>
                <w:spacing w:val="22"/>
                <w:sz w:val="24"/>
                <w:szCs w:val="24"/>
              </w:rPr>
              <w:t xml:space="preserve"> </w:t>
            </w:r>
            <w:r w:rsidRPr="00C54A03">
              <w:rPr>
                <w:color w:val="000000" w:themeColor="text1"/>
                <w:sz w:val="24"/>
                <w:szCs w:val="24"/>
              </w:rPr>
              <w:t>dacă</w:t>
            </w:r>
            <w:r w:rsidRPr="00C54A03">
              <w:rPr>
                <w:color w:val="000000" w:themeColor="text1"/>
                <w:spacing w:val="22"/>
                <w:sz w:val="24"/>
                <w:szCs w:val="24"/>
              </w:rPr>
              <w:t xml:space="preserve"> </w:t>
            </w:r>
            <w:r w:rsidRPr="00C54A03">
              <w:rPr>
                <w:color w:val="000000" w:themeColor="text1"/>
                <w:sz w:val="24"/>
                <w:szCs w:val="24"/>
              </w:rPr>
              <w:t>unul</w:t>
            </w:r>
            <w:r w:rsidRPr="00C54A03">
              <w:rPr>
                <w:color w:val="000000" w:themeColor="text1"/>
                <w:spacing w:val="-57"/>
                <w:sz w:val="24"/>
                <w:szCs w:val="24"/>
              </w:rPr>
              <w:t xml:space="preserve"> </w:t>
            </w:r>
            <w:r w:rsidRPr="00C54A03">
              <w:rPr>
                <w:color w:val="000000" w:themeColor="text1"/>
                <w:sz w:val="24"/>
                <w:szCs w:val="24"/>
              </w:rPr>
              <w:t>sau</w:t>
            </w:r>
            <w:r w:rsidRPr="00C54A03">
              <w:rPr>
                <w:color w:val="000000" w:themeColor="text1"/>
                <w:spacing w:val="-1"/>
                <w:sz w:val="24"/>
                <w:szCs w:val="24"/>
              </w:rPr>
              <w:t xml:space="preserve"> </w:t>
            </w:r>
            <w:r w:rsidRPr="00C54A03">
              <w:rPr>
                <w:color w:val="000000" w:themeColor="text1"/>
                <w:sz w:val="24"/>
                <w:szCs w:val="24"/>
              </w:rPr>
              <w:t>mai mulți</w:t>
            </w:r>
            <w:r w:rsidRPr="00C54A03">
              <w:rPr>
                <w:color w:val="000000" w:themeColor="text1"/>
                <w:spacing w:val="-1"/>
                <w:sz w:val="24"/>
                <w:szCs w:val="24"/>
              </w:rPr>
              <w:t xml:space="preserve"> </w:t>
            </w:r>
            <w:r w:rsidRPr="00C54A03">
              <w:rPr>
                <w:color w:val="000000" w:themeColor="text1"/>
                <w:sz w:val="24"/>
                <w:szCs w:val="24"/>
              </w:rPr>
              <w:t>parametri au perspective</w:t>
            </w:r>
            <w:r w:rsidRPr="00C54A03">
              <w:rPr>
                <w:color w:val="000000" w:themeColor="text1"/>
                <w:spacing w:val="-2"/>
                <w:sz w:val="24"/>
                <w:szCs w:val="24"/>
              </w:rPr>
              <w:t xml:space="preserve"> </w:t>
            </w:r>
            <w:r w:rsidRPr="00C54A03">
              <w:rPr>
                <w:color w:val="000000" w:themeColor="text1"/>
                <w:sz w:val="24"/>
                <w:szCs w:val="24"/>
              </w:rPr>
              <w:t>„proaste”</w:t>
            </w:r>
            <w:r w:rsidRPr="00C54A03">
              <w:rPr>
                <w:color w:val="000000" w:themeColor="text1"/>
                <w:spacing w:val="-1"/>
                <w:sz w:val="24"/>
                <w:szCs w:val="24"/>
              </w:rPr>
              <w:t xml:space="preserve"> </w:t>
            </w:r>
            <w:r w:rsidRPr="00C54A03">
              <w:rPr>
                <w:color w:val="000000" w:themeColor="text1"/>
                <w:sz w:val="24"/>
                <w:szCs w:val="24"/>
              </w:rPr>
              <w:t>(câmpul 9.1).</w:t>
            </w:r>
          </w:p>
        </w:tc>
      </w:tr>
      <w:tr w:rsidR="007702CD" w:rsidRPr="00C54A03" w14:paraId="788B160D" w14:textId="77777777" w:rsidTr="00102A1A">
        <w:trPr>
          <w:trHeight w:val="1936"/>
        </w:trPr>
        <w:tc>
          <w:tcPr>
            <w:tcW w:w="1810" w:type="dxa"/>
          </w:tcPr>
          <w:p w14:paraId="26460571" w14:textId="77777777" w:rsidR="007702CD" w:rsidRPr="00C54A03" w:rsidRDefault="007702CD" w:rsidP="008E33FD">
            <w:pPr>
              <w:pStyle w:val="TableParagraph"/>
              <w:jc w:val="both"/>
              <w:rPr>
                <w:color w:val="000000" w:themeColor="text1"/>
                <w:sz w:val="24"/>
                <w:szCs w:val="24"/>
              </w:rPr>
            </w:pPr>
          </w:p>
          <w:p w14:paraId="674B7E04" w14:textId="77777777" w:rsidR="007702CD" w:rsidRPr="00C54A03" w:rsidRDefault="007702CD" w:rsidP="008E33FD">
            <w:pPr>
              <w:pStyle w:val="TableParagraph"/>
              <w:spacing w:before="8"/>
              <w:jc w:val="both"/>
              <w:rPr>
                <w:color w:val="000000" w:themeColor="text1"/>
                <w:sz w:val="24"/>
                <w:szCs w:val="24"/>
              </w:rPr>
            </w:pPr>
          </w:p>
          <w:p w14:paraId="562E419C" w14:textId="77777777" w:rsidR="007702CD" w:rsidRPr="00C54A03" w:rsidRDefault="007702CD" w:rsidP="008E33FD">
            <w:pPr>
              <w:pStyle w:val="TableParagraph"/>
              <w:ind w:left="108" w:right="549"/>
              <w:jc w:val="both"/>
              <w:rPr>
                <w:color w:val="000000" w:themeColor="text1"/>
                <w:sz w:val="24"/>
                <w:szCs w:val="24"/>
              </w:rPr>
            </w:pPr>
            <w:r w:rsidRPr="00C54A03">
              <w:rPr>
                <w:color w:val="000000" w:themeColor="text1"/>
                <w:spacing w:val="-1"/>
                <w:sz w:val="24"/>
                <w:szCs w:val="24"/>
              </w:rPr>
              <w:t>Necunoscut</w:t>
            </w:r>
            <w:r w:rsidRPr="00C54A03">
              <w:rPr>
                <w:color w:val="000000" w:themeColor="text1"/>
                <w:spacing w:val="-57"/>
                <w:sz w:val="24"/>
                <w:szCs w:val="24"/>
              </w:rPr>
              <w:t xml:space="preserve"> </w:t>
            </w:r>
            <w:r w:rsidRPr="00C54A03">
              <w:rPr>
                <w:color w:val="000000" w:themeColor="text1"/>
                <w:sz w:val="24"/>
                <w:szCs w:val="24"/>
              </w:rPr>
              <w:t>(XX)</w:t>
            </w:r>
          </w:p>
        </w:tc>
        <w:tc>
          <w:tcPr>
            <w:tcW w:w="7480" w:type="dxa"/>
          </w:tcPr>
          <w:p w14:paraId="4797D590" w14:textId="77777777" w:rsidR="007702CD" w:rsidRPr="00C54A03" w:rsidRDefault="007702CD" w:rsidP="008E33FD">
            <w:pPr>
              <w:pStyle w:val="TableParagraph"/>
              <w:spacing w:line="260" w:lineRule="exact"/>
              <w:ind w:left="107"/>
              <w:jc w:val="both"/>
              <w:rPr>
                <w:color w:val="000000" w:themeColor="text1"/>
                <w:sz w:val="24"/>
                <w:szCs w:val="24"/>
              </w:rPr>
            </w:pPr>
            <w:r w:rsidRPr="00C54A03">
              <w:rPr>
                <w:color w:val="000000" w:themeColor="text1"/>
                <w:sz w:val="24"/>
                <w:szCs w:val="24"/>
              </w:rPr>
              <w:t>Conform</w:t>
            </w:r>
            <w:r w:rsidRPr="00C54A03">
              <w:rPr>
                <w:color w:val="000000" w:themeColor="text1"/>
                <w:spacing w:val="46"/>
                <w:sz w:val="24"/>
                <w:szCs w:val="24"/>
              </w:rPr>
              <w:t xml:space="preserve"> </w:t>
            </w:r>
            <w:r w:rsidRPr="00C54A03">
              <w:rPr>
                <w:color w:val="000000" w:themeColor="text1"/>
                <w:sz w:val="24"/>
                <w:szCs w:val="24"/>
              </w:rPr>
              <w:t>matricei</w:t>
            </w:r>
            <w:r w:rsidRPr="00C54A03">
              <w:rPr>
                <w:color w:val="000000" w:themeColor="text1"/>
                <w:spacing w:val="46"/>
                <w:sz w:val="24"/>
                <w:szCs w:val="24"/>
              </w:rPr>
              <w:t xml:space="preserve"> </w:t>
            </w:r>
            <w:r w:rsidRPr="00C54A03">
              <w:rPr>
                <w:color w:val="000000" w:themeColor="text1"/>
                <w:sz w:val="24"/>
                <w:szCs w:val="24"/>
              </w:rPr>
              <w:t>de</w:t>
            </w:r>
            <w:r w:rsidRPr="00C54A03">
              <w:rPr>
                <w:color w:val="000000" w:themeColor="text1"/>
                <w:spacing w:val="44"/>
                <w:sz w:val="24"/>
                <w:szCs w:val="24"/>
              </w:rPr>
              <w:t xml:space="preserve"> </w:t>
            </w:r>
            <w:r w:rsidRPr="00C54A03">
              <w:rPr>
                <w:color w:val="000000" w:themeColor="text1"/>
                <w:sz w:val="24"/>
                <w:szCs w:val="24"/>
              </w:rPr>
              <w:t>evaluare</w:t>
            </w:r>
            <w:r w:rsidRPr="00C54A03">
              <w:rPr>
                <w:color w:val="000000" w:themeColor="text1"/>
                <w:spacing w:val="45"/>
                <w:sz w:val="24"/>
                <w:szCs w:val="24"/>
              </w:rPr>
              <w:t xml:space="preserve"> </w:t>
            </w:r>
            <w:r w:rsidRPr="00C54A03">
              <w:rPr>
                <w:color w:val="000000" w:themeColor="text1"/>
                <w:sz w:val="24"/>
                <w:szCs w:val="24"/>
              </w:rPr>
              <w:t>(anexa</w:t>
            </w:r>
            <w:r w:rsidRPr="00C54A03">
              <w:rPr>
                <w:color w:val="000000" w:themeColor="text1"/>
                <w:spacing w:val="44"/>
                <w:sz w:val="24"/>
                <w:szCs w:val="24"/>
              </w:rPr>
              <w:t xml:space="preserve"> </w:t>
            </w:r>
            <w:r w:rsidRPr="00C54A03">
              <w:rPr>
                <w:color w:val="000000" w:themeColor="text1"/>
                <w:sz w:val="24"/>
                <w:szCs w:val="24"/>
              </w:rPr>
              <w:t>E),</w:t>
            </w:r>
            <w:r w:rsidRPr="00C54A03">
              <w:rPr>
                <w:color w:val="000000" w:themeColor="text1"/>
                <w:spacing w:val="45"/>
                <w:sz w:val="24"/>
                <w:szCs w:val="24"/>
              </w:rPr>
              <w:t xml:space="preserve"> </w:t>
            </w:r>
            <w:r w:rsidRPr="00C54A03">
              <w:rPr>
                <w:color w:val="000000" w:themeColor="text1"/>
                <w:sz w:val="24"/>
                <w:szCs w:val="24"/>
              </w:rPr>
              <w:t>situația</w:t>
            </w:r>
            <w:r w:rsidRPr="00C54A03">
              <w:rPr>
                <w:color w:val="000000" w:themeColor="text1"/>
                <w:spacing w:val="49"/>
                <w:sz w:val="24"/>
                <w:szCs w:val="24"/>
              </w:rPr>
              <w:t xml:space="preserve"> </w:t>
            </w:r>
            <w:r w:rsidRPr="00C54A03">
              <w:rPr>
                <w:color w:val="000000" w:themeColor="text1"/>
                <w:sz w:val="24"/>
                <w:szCs w:val="24"/>
              </w:rPr>
              <w:t>perspectivelor</w:t>
            </w:r>
            <w:r w:rsidRPr="00C54A03">
              <w:rPr>
                <w:color w:val="000000" w:themeColor="text1"/>
                <w:spacing w:val="46"/>
                <w:sz w:val="24"/>
                <w:szCs w:val="24"/>
              </w:rPr>
              <w:t xml:space="preserve"> </w:t>
            </w:r>
            <w:r w:rsidRPr="00C54A03">
              <w:rPr>
                <w:color w:val="000000" w:themeColor="text1"/>
                <w:sz w:val="24"/>
                <w:szCs w:val="24"/>
              </w:rPr>
              <w:t>viitoare</w:t>
            </w:r>
          </w:p>
          <w:p w14:paraId="26E8D1A0" w14:textId="77777777" w:rsidR="007702CD" w:rsidRPr="00C54A03" w:rsidRDefault="007702CD" w:rsidP="008E33FD">
            <w:pPr>
              <w:pStyle w:val="TableParagraph"/>
              <w:ind w:left="107"/>
              <w:jc w:val="both"/>
              <w:rPr>
                <w:color w:val="000000" w:themeColor="text1"/>
                <w:sz w:val="24"/>
                <w:szCs w:val="24"/>
              </w:rPr>
            </w:pPr>
            <w:r w:rsidRPr="00C54A03">
              <w:rPr>
                <w:color w:val="000000" w:themeColor="text1"/>
                <w:sz w:val="24"/>
                <w:szCs w:val="24"/>
              </w:rPr>
              <w:t>este</w:t>
            </w:r>
            <w:r w:rsidRPr="00C54A03">
              <w:rPr>
                <w:color w:val="000000" w:themeColor="text1"/>
                <w:spacing w:val="-3"/>
                <w:sz w:val="24"/>
                <w:szCs w:val="24"/>
              </w:rPr>
              <w:t xml:space="preserve"> </w:t>
            </w:r>
            <w:r w:rsidRPr="00C54A03">
              <w:rPr>
                <w:color w:val="000000" w:themeColor="text1"/>
                <w:sz w:val="24"/>
                <w:szCs w:val="24"/>
              </w:rPr>
              <w:t>„necunoscută”</w:t>
            </w:r>
            <w:r w:rsidRPr="00C54A03">
              <w:rPr>
                <w:color w:val="000000" w:themeColor="text1"/>
                <w:spacing w:val="-2"/>
                <w:sz w:val="24"/>
                <w:szCs w:val="24"/>
              </w:rPr>
              <w:t xml:space="preserve"> </w:t>
            </w:r>
            <w:r w:rsidRPr="00C54A03">
              <w:rPr>
                <w:color w:val="000000" w:themeColor="text1"/>
                <w:sz w:val="24"/>
                <w:szCs w:val="24"/>
              </w:rPr>
              <w:t>dacă:</w:t>
            </w:r>
          </w:p>
          <w:p w14:paraId="4CBEB892" w14:textId="77777777" w:rsidR="007702CD" w:rsidRPr="00C54A03" w:rsidRDefault="007702CD" w:rsidP="008E33FD">
            <w:pPr>
              <w:pStyle w:val="TableParagraph"/>
              <w:spacing w:before="9" w:line="230" w:lineRule="auto"/>
              <w:ind w:left="107" w:right="1341" w:firstLine="360"/>
              <w:jc w:val="both"/>
              <w:rPr>
                <w:color w:val="000000" w:themeColor="text1"/>
                <w:sz w:val="24"/>
                <w:szCs w:val="24"/>
              </w:rPr>
            </w:pPr>
            <w:r w:rsidRPr="00C54A03">
              <w:rPr>
                <w:color w:val="000000" w:themeColor="text1"/>
                <w:sz w:val="24"/>
                <w:szCs w:val="24"/>
              </w:rPr>
              <w:t>-</w:t>
            </w:r>
            <w:r w:rsidRPr="00C54A03">
              <w:rPr>
                <w:color w:val="000000" w:themeColor="text1"/>
                <w:spacing w:val="1"/>
                <w:sz w:val="24"/>
                <w:szCs w:val="24"/>
              </w:rPr>
              <w:t xml:space="preserve"> </w:t>
            </w:r>
            <w:r w:rsidRPr="00C54A03">
              <w:rPr>
                <w:color w:val="000000" w:themeColor="text1"/>
                <w:sz w:val="24"/>
                <w:szCs w:val="24"/>
              </w:rPr>
              <w:t>nu există informații fiabile sau insuficiente disponibile.</w:t>
            </w:r>
            <w:r w:rsidRPr="00C54A03">
              <w:rPr>
                <w:color w:val="000000" w:themeColor="text1"/>
                <w:spacing w:val="-57"/>
                <w:sz w:val="24"/>
                <w:szCs w:val="24"/>
              </w:rPr>
              <w:t xml:space="preserve"> </w:t>
            </w:r>
            <w:r w:rsidRPr="00C54A03">
              <w:rPr>
                <w:color w:val="000000" w:themeColor="text1"/>
                <w:sz w:val="24"/>
                <w:szCs w:val="24"/>
              </w:rPr>
              <w:t>Observații</w:t>
            </w:r>
            <w:r w:rsidRPr="00C54A03">
              <w:rPr>
                <w:color w:val="000000" w:themeColor="text1"/>
                <w:spacing w:val="-1"/>
                <w:sz w:val="24"/>
                <w:szCs w:val="24"/>
              </w:rPr>
              <w:t xml:space="preserve"> </w:t>
            </w:r>
            <w:r w:rsidRPr="00C54A03">
              <w:rPr>
                <w:color w:val="000000" w:themeColor="text1"/>
                <w:sz w:val="24"/>
                <w:szCs w:val="24"/>
              </w:rPr>
              <w:t>complementare:</w:t>
            </w:r>
          </w:p>
          <w:p w14:paraId="4BBBA3E3" w14:textId="77777777" w:rsidR="007702CD" w:rsidRPr="00C54A03" w:rsidRDefault="007702CD" w:rsidP="008E33FD">
            <w:pPr>
              <w:pStyle w:val="TableParagraph"/>
              <w:spacing w:line="270" w:lineRule="atLeast"/>
              <w:ind w:left="141" w:right="96" w:hanging="10"/>
              <w:jc w:val="both"/>
              <w:rPr>
                <w:color w:val="000000" w:themeColor="text1"/>
                <w:sz w:val="24"/>
                <w:szCs w:val="24"/>
              </w:rPr>
            </w:pPr>
            <w:r w:rsidRPr="00C54A03">
              <w:rPr>
                <w:color w:val="000000" w:themeColor="text1"/>
                <w:sz w:val="24"/>
                <w:szCs w:val="24"/>
              </w:rPr>
              <w:t>Perspectivele</w:t>
            </w:r>
            <w:r w:rsidRPr="00C54A03">
              <w:rPr>
                <w:color w:val="000000" w:themeColor="text1"/>
                <w:spacing w:val="36"/>
                <w:sz w:val="24"/>
                <w:szCs w:val="24"/>
              </w:rPr>
              <w:t xml:space="preserve"> </w:t>
            </w:r>
            <w:r w:rsidRPr="00C54A03">
              <w:rPr>
                <w:color w:val="000000" w:themeColor="text1"/>
                <w:sz w:val="24"/>
                <w:szCs w:val="24"/>
              </w:rPr>
              <w:t>de</w:t>
            </w:r>
            <w:r w:rsidRPr="00C54A03">
              <w:rPr>
                <w:color w:val="000000" w:themeColor="text1"/>
                <w:spacing w:val="37"/>
                <w:sz w:val="24"/>
                <w:szCs w:val="24"/>
              </w:rPr>
              <w:t xml:space="preserve"> </w:t>
            </w:r>
            <w:r w:rsidRPr="00C54A03">
              <w:rPr>
                <w:color w:val="000000" w:themeColor="text1"/>
                <w:sz w:val="24"/>
                <w:szCs w:val="24"/>
              </w:rPr>
              <w:t>viitor</w:t>
            </w:r>
            <w:r w:rsidRPr="00C54A03">
              <w:rPr>
                <w:color w:val="000000" w:themeColor="text1"/>
                <w:spacing w:val="37"/>
                <w:sz w:val="24"/>
                <w:szCs w:val="24"/>
              </w:rPr>
              <w:t xml:space="preserve"> </w:t>
            </w:r>
            <w:r w:rsidRPr="00C54A03">
              <w:rPr>
                <w:color w:val="000000" w:themeColor="text1"/>
                <w:sz w:val="24"/>
                <w:szCs w:val="24"/>
              </w:rPr>
              <w:t>ar</w:t>
            </w:r>
            <w:r w:rsidRPr="00C54A03">
              <w:rPr>
                <w:color w:val="000000" w:themeColor="text1"/>
                <w:spacing w:val="37"/>
                <w:sz w:val="24"/>
                <w:szCs w:val="24"/>
              </w:rPr>
              <w:t xml:space="preserve"> </w:t>
            </w:r>
            <w:r w:rsidRPr="00C54A03">
              <w:rPr>
                <w:color w:val="000000" w:themeColor="text1"/>
                <w:sz w:val="24"/>
                <w:szCs w:val="24"/>
              </w:rPr>
              <w:t>trebui</w:t>
            </w:r>
            <w:r w:rsidRPr="00C54A03">
              <w:rPr>
                <w:color w:val="000000" w:themeColor="text1"/>
                <w:spacing w:val="37"/>
                <w:sz w:val="24"/>
                <w:szCs w:val="24"/>
              </w:rPr>
              <w:t xml:space="preserve"> </w:t>
            </w:r>
            <w:r w:rsidRPr="00C54A03">
              <w:rPr>
                <w:color w:val="000000" w:themeColor="text1"/>
                <w:sz w:val="24"/>
                <w:szCs w:val="24"/>
              </w:rPr>
              <w:t>evaluate</w:t>
            </w:r>
            <w:r w:rsidRPr="00C54A03">
              <w:rPr>
                <w:color w:val="000000" w:themeColor="text1"/>
                <w:spacing w:val="39"/>
                <w:sz w:val="24"/>
                <w:szCs w:val="24"/>
              </w:rPr>
              <w:t xml:space="preserve"> </w:t>
            </w:r>
            <w:r w:rsidRPr="00C54A03">
              <w:rPr>
                <w:color w:val="000000" w:themeColor="text1"/>
                <w:sz w:val="24"/>
                <w:szCs w:val="24"/>
              </w:rPr>
              <w:t>ca</w:t>
            </w:r>
            <w:r w:rsidRPr="00C54A03">
              <w:rPr>
                <w:color w:val="000000" w:themeColor="text1"/>
                <w:spacing w:val="36"/>
                <w:sz w:val="24"/>
                <w:szCs w:val="24"/>
              </w:rPr>
              <w:t xml:space="preserve"> </w:t>
            </w:r>
            <w:r w:rsidRPr="00C54A03">
              <w:rPr>
                <w:color w:val="000000" w:themeColor="text1"/>
                <w:sz w:val="24"/>
                <w:szCs w:val="24"/>
              </w:rPr>
              <w:t>„necunoscute”</w:t>
            </w:r>
            <w:r w:rsidRPr="00C54A03">
              <w:rPr>
                <w:color w:val="000000" w:themeColor="text1"/>
                <w:spacing w:val="36"/>
                <w:sz w:val="24"/>
                <w:szCs w:val="24"/>
              </w:rPr>
              <w:t xml:space="preserve"> </w:t>
            </w:r>
            <w:r w:rsidRPr="00C54A03">
              <w:rPr>
                <w:color w:val="000000" w:themeColor="text1"/>
                <w:sz w:val="24"/>
                <w:szCs w:val="24"/>
              </w:rPr>
              <w:t>dacă</w:t>
            </w:r>
            <w:r w:rsidRPr="00C54A03">
              <w:rPr>
                <w:color w:val="000000" w:themeColor="text1"/>
                <w:spacing w:val="36"/>
                <w:sz w:val="24"/>
                <w:szCs w:val="24"/>
              </w:rPr>
              <w:t xml:space="preserve"> </w:t>
            </w:r>
            <w:r w:rsidRPr="00C54A03">
              <w:rPr>
                <w:color w:val="000000" w:themeColor="text1"/>
                <w:sz w:val="24"/>
                <w:szCs w:val="24"/>
              </w:rPr>
              <w:t>doi</w:t>
            </w:r>
            <w:r w:rsidRPr="00C54A03">
              <w:rPr>
                <w:color w:val="000000" w:themeColor="text1"/>
                <w:spacing w:val="38"/>
                <w:sz w:val="24"/>
                <w:szCs w:val="24"/>
              </w:rPr>
              <w:t xml:space="preserve"> </w:t>
            </w:r>
            <w:r w:rsidRPr="00C54A03">
              <w:rPr>
                <w:color w:val="000000" w:themeColor="text1"/>
                <w:sz w:val="24"/>
                <w:szCs w:val="24"/>
              </w:rPr>
              <w:t>sau</w:t>
            </w:r>
            <w:r w:rsidRPr="00C54A03">
              <w:rPr>
                <w:color w:val="000000" w:themeColor="text1"/>
                <w:spacing w:val="-58"/>
                <w:sz w:val="24"/>
                <w:szCs w:val="24"/>
              </w:rPr>
              <w:t xml:space="preserve"> </w:t>
            </w:r>
            <w:r w:rsidRPr="00C54A03">
              <w:rPr>
                <w:color w:val="000000" w:themeColor="text1"/>
                <w:sz w:val="24"/>
                <w:szCs w:val="24"/>
              </w:rPr>
              <w:t>mai mulți parametri au perspective „necunoscute” și dacă niciun parametru</w:t>
            </w:r>
            <w:r w:rsidRPr="00C54A03">
              <w:rPr>
                <w:color w:val="000000" w:themeColor="text1"/>
                <w:spacing w:val="-57"/>
                <w:sz w:val="24"/>
                <w:szCs w:val="24"/>
              </w:rPr>
              <w:t xml:space="preserve"> </w:t>
            </w:r>
            <w:r w:rsidRPr="00C54A03">
              <w:rPr>
                <w:color w:val="000000" w:themeColor="text1"/>
                <w:sz w:val="24"/>
                <w:szCs w:val="24"/>
              </w:rPr>
              <w:t>nu</w:t>
            </w:r>
            <w:r w:rsidRPr="00C54A03">
              <w:rPr>
                <w:color w:val="000000" w:themeColor="text1"/>
                <w:spacing w:val="-1"/>
                <w:sz w:val="24"/>
                <w:szCs w:val="24"/>
              </w:rPr>
              <w:t xml:space="preserve"> </w:t>
            </w:r>
            <w:r w:rsidRPr="00C54A03">
              <w:rPr>
                <w:color w:val="000000" w:themeColor="text1"/>
                <w:sz w:val="24"/>
                <w:szCs w:val="24"/>
              </w:rPr>
              <w:t>are</w:t>
            </w:r>
            <w:r w:rsidRPr="00C54A03">
              <w:rPr>
                <w:color w:val="000000" w:themeColor="text1"/>
                <w:spacing w:val="-2"/>
                <w:sz w:val="24"/>
                <w:szCs w:val="24"/>
              </w:rPr>
              <w:t xml:space="preserve"> </w:t>
            </w:r>
            <w:r w:rsidRPr="00C54A03">
              <w:rPr>
                <w:color w:val="000000" w:themeColor="text1"/>
                <w:sz w:val="24"/>
                <w:szCs w:val="24"/>
              </w:rPr>
              <w:t>perspective</w:t>
            </w:r>
            <w:r w:rsidRPr="00C54A03">
              <w:rPr>
                <w:color w:val="000000" w:themeColor="text1"/>
                <w:spacing w:val="-1"/>
                <w:sz w:val="24"/>
                <w:szCs w:val="24"/>
              </w:rPr>
              <w:t xml:space="preserve"> </w:t>
            </w:r>
            <w:r w:rsidRPr="00C54A03">
              <w:rPr>
                <w:color w:val="000000" w:themeColor="text1"/>
                <w:sz w:val="24"/>
                <w:szCs w:val="24"/>
              </w:rPr>
              <w:t>„proaste”</w:t>
            </w:r>
            <w:r w:rsidRPr="00C54A03">
              <w:rPr>
                <w:color w:val="000000" w:themeColor="text1"/>
                <w:spacing w:val="-2"/>
                <w:sz w:val="24"/>
                <w:szCs w:val="24"/>
              </w:rPr>
              <w:t xml:space="preserve"> </w:t>
            </w:r>
            <w:r w:rsidRPr="00C54A03">
              <w:rPr>
                <w:color w:val="000000" w:themeColor="text1"/>
                <w:sz w:val="24"/>
                <w:szCs w:val="24"/>
              </w:rPr>
              <w:t>(câmpul 9.1).</w:t>
            </w:r>
          </w:p>
        </w:tc>
      </w:tr>
    </w:tbl>
    <w:p w14:paraId="0AD9E1B8" w14:textId="77777777" w:rsidR="00461831" w:rsidRPr="00C54A03" w:rsidRDefault="00461831" w:rsidP="008E33FD">
      <w:pPr>
        <w:pStyle w:val="Heading1"/>
        <w:keepNext w:val="0"/>
        <w:keepLines w:val="0"/>
        <w:tabs>
          <w:tab w:val="left" w:pos="1115"/>
        </w:tabs>
        <w:adjustRightInd/>
        <w:spacing w:before="70"/>
        <w:ind w:left="1114" w:right="641"/>
        <w:jc w:val="both"/>
        <w:rPr>
          <w:rFonts w:ascii="Times New Roman" w:hAnsi="Times New Roman" w:cs="Times New Roman"/>
          <w:color w:val="000000" w:themeColor="text1"/>
          <w:sz w:val="24"/>
          <w:szCs w:val="24"/>
          <w:lang w:val="fr-FR"/>
        </w:rPr>
      </w:pPr>
    </w:p>
    <w:p w14:paraId="63B50005" w14:textId="77777777" w:rsidR="00461831" w:rsidRPr="00C54A03" w:rsidRDefault="00461831" w:rsidP="008E33FD">
      <w:pPr>
        <w:pStyle w:val="Heading1"/>
        <w:keepNext w:val="0"/>
        <w:keepLines w:val="0"/>
        <w:tabs>
          <w:tab w:val="left" w:pos="1115"/>
        </w:tabs>
        <w:adjustRightInd/>
        <w:spacing w:before="70"/>
        <w:ind w:left="1114" w:right="641"/>
        <w:jc w:val="both"/>
        <w:rPr>
          <w:rFonts w:ascii="Times New Roman" w:hAnsi="Times New Roman" w:cs="Times New Roman"/>
          <w:color w:val="000000" w:themeColor="text1"/>
          <w:sz w:val="24"/>
          <w:szCs w:val="24"/>
          <w:lang w:val="fr-FR"/>
        </w:rPr>
      </w:pPr>
    </w:p>
    <w:p w14:paraId="31CEB827" w14:textId="77777777" w:rsidR="007702CD" w:rsidRPr="00C54A03" w:rsidRDefault="00461831" w:rsidP="008E33FD">
      <w:pPr>
        <w:pStyle w:val="Heading1"/>
        <w:keepNext w:val="0"/>
        <w:keepLines w:val="0"/>
        <w:tabs>
          <w:tab w:val="left" w:pos="1115"/>
        </w:tabs>
        <w:adjustRightInd/>
        <w:spacing w:before="70"/>
        <w:ind w:right="641"/>
        <w:jc w:val="both"/>
        <w:rPr>
          <w:rFonts w:ascii="Times New Roman" w:hAnsi="Times New Roman" w:cs="Times New Roman"/>
          <w:color w:val="000000" w:themeColor="text1"/>
          <w:sz w:val="24"/>
          <w:szCs w:val="24"/>
          <w:lang w:val="fr-FR"/>
        </w:rPr>
      </w:pPr>
      <w:proofErr w:type="spellStart"/>
      <w:r w:rsidRPr="00C54A03">
        <w:rPr>
          <w:rFonts w:ascii="Times New Roman" w:hAnsi="Times New Roman" w:cs="Times New Roman"/>
          <w:color w:val="000000" w:themeColor="text1"/>
          <w:sz w:val="24"/>
          <w:szCs w:val="24"/>
          <w:lang w:val="fr-FR"/>
        </w:rPr>
        <w:t>Siturile</w:t>
      </w:r>
      <w:proofErr w:type="spellEnd"/>
      <w:r w:rsidRPr="00C54A03">
        <w:rPr>
          <w:rFonts w:ascii="Times New Roman" w:hAnsi="Times New Roman" w:cs="Times New Roman"/>
          <w:color w:val="000000" w:themeColor="text1"/>
          <w:sz w:val="24"/>
          <w:szCs w:val="24"/>
          <w:lang w:val="fr-FR"/>
        </w:rPr>
        <w:t xml:space="preserve"> Natura 2000 (</w:t>
      </w:r>
      <w:proofErr w:type="spellStart"/>
      <w:r w:rsidRPr="00C54A03">
        <w:rPr>
          <w:rFonts w:ascii="Times New Roman" w:hAnsi="Times New Roman" w:cs="Times New Roman"/>
          <w:color w:val="000000" w:themeColor="text1"/>
          <w:sz w:val="24"/>
          <w:szCs w:val="24"/>
          <w:lang w:val="fr-FR"/>
        </w:rPr>
        <w:t>pSCI</w:t>
      </w:r>
      <w:proofErr w:type="spellEnd"/>
      <w:r w:rsidRPr="00C54A03">
        <w:rPr>
          <w:rFonts w:ascii="Times New Roman" w:hAnsi="Times New Roman" w:cs="Times New Roman"/>
          <w:color w:val="000000" w:themeColor="text1"/>
          <w:sz w:val="24"/>
          <w:szCs w:val="24"/>
          <w:lang w:val="fr-FR"/>
        </w:rPr>
        <w:t xml:space="preserve">, SCI) </w:t>
      </w:r>
      <w:proofErr w:type="spellStart"/>
      <w:r w:rsidRPr="00C54A03">
        <w:rPr>
          <w:rFonts w:ascii="Times New Roman" w:hAnsi="Times New Roman" w:cs="Times New Roman"/>
          <w:color w:val="000000" w:themeColor="text1"/>
          <w:sz w:val="24"/>
          <w:szCs w:val="24"/>
          <w:lang w:val="fr-FR"/>
        </w:rPr>
        <w:t>pentru</w:t>
      </w:r>
      <w:proofErr w:type="spellEnd"/>
      <w:r w:rsidRPr="00C54A03">
        <w:rPr>
          <w:rFonts w:ascii="Times New Roman" w:hAnsi="Times New Roman" w:cs="Times New Roman"/>
          <w:color w:val="000000" w:themeColor="text1"/>
          <w:sz w:val="24"/>
          <w:szCs w:val="24"/>
          <w:lang w:val="fr-FR"/>
        </w:rPr>
        <w:t xml:space="preserve"> </w:t>
      </w:r>
      <w:proofErr w:type="spellStart"/>
      <w:r w:rsidRPr="00C54A03">
        <w:rPr>
          <w:rFonts w:ascii="Times New Roman" w:hAnsi="Times New Roman" w:cs="Times New Roman"/>
          <w:color w:val="000000" w:themeColor="text1"/>
          <w:sz w:val="24"/>
          <w:szCs w:val="24"/>
          <w:lang w:val="fr-FR"/>
        </w:rPr>
        <w:t>tipurile</w:t>
      </w:r>
      <w:proofErr w:type="spellEnd"/>
      <w:r w:rsidRPr="00C54A03">
        <w:rPr>
          <w:rFonts w:ascii="Times New Roman" w:hAnsi="Times New Roman" w:cs="Times New Roman"/>
          <w:color w:val="000000" w:themeColor="text1"/>
          <w:sz w:val="24"/>
          <w:szCs w:val="24"/>
          <w:lang w:val="fr-FR"/>
        </w:rPr>
        <w:t xml:space="preserve"> de</w:t>
      </w:r>
      <w:r w:rsidR="007702CD" w:rsidRPr="00C54A03">
        <w:rPr>
          <w:rFonts w:ascii="Times New Roman" w:hAnsi="Times New Roman" w:cs="Times New Roman"/>
          <w:color w:val="000000" w:themeColor="text1"/>
          <w:spacing w:val="-68"/>
          <w:sz w:val="24"/>
          <w:szCs w:val="24"/>
          <w:lang w:val="fr-FR"/>
        </w:rPr>
        <w:t xml:space="preserve"> </w:t>
      </w:r>
      <w:proofErr w:type="spellStart"/>
      <w:r w:rsidRPr="00C54A03">
        <w:rPr>
          <w:rFonts w:ascii="Times New Roman" w:hAnsi="Times New Roman" w:cs="Times New Roman"/>
          <w:color w:val="000000" w:themeColor="text1"/>
          <w:sz w:val="24"/>
          <w:szCs w:val="24"/>
          <w:lang w:val="fr-FR"/>
        </w:rPr>
        <w:t>habitate</w:t>
      </w:r>
      <w:proofErr w:type="spellEnd"/>
      <w:r w:rsidR="007702CD" w:rsidRPr="00C54A03">
        <w:rPr>
          <w:rFonts w:ascii="Times New Roman" w:hAnsi="Times New Roman" w:cs="Times New Roman"/>
          <w:color w:val="000000" w:themeColor="text1"/>
          <w:spacing w:val="-4"/>
          <w:sz w:val="24"/>
          <w:szCs w:val="24"/>
          <w:lang w:val="fr-FR"/>
        </w:rPr>
        <w:t xml:space="preserve"> </w:t>
      </w:r>
      <w:r w:rsidRPr="00C54A03">
        <w:rPr>
          <w:rFonts w:ascii="Times New Roman" w:hAnsi="Times New Roman" w:cs="Times New Roman"/>
          <w:color w:val="000000" w:themeColor="text1"/>
          <w:sz w:val="24"/>
          <w:szCs w:val="24"/>
          <w:lang w:val="fr-FR"/>
        </w:rPr>
        <w:t>de</w:t>
      </w:r>
      <w:r w:rsidR="007702CD" w:rsidRPr="00C54A03">
        <w:rPr>
          <w:rFonts w:ascii="Times New Roman" w:hAnsi="Times New Roman" w:cs="Times New Roman"/>
          <w:color w:val="000000" w:themeColor="text1"/>
          <w:spacing w:val="-2"/>
          <w:sz w:val="24"/>
          <w:szCs w:val="24"/>
          <w:lang w:val="fr-FR"/>
        </w:rPr>
        <w:t xml:space="preserve"> </w:t>
      </w:r>
      <w:proofErr w:type="spellStart"/>
      <w:r w:rsidRPr="00C54A03">
        <w:rPr>
          <w:rFonts w:ascii="Times New Roman" w:hAnsi="Times New Roman" w:cs="Times New Roman"/>
          <w:color w:val="000000" w:themeColor="text1"/>
          <w:sz w:val="24"/>
          <w:szCs w:val="24"/>
          <w:lang w:val="fr-FR"/>
        </w:rPr>
        <w:t>grohotișuri</w:t>
      </w:r>
      <w:proofErr w:type="spellEnd"/>
      <w:r w:rsidR="007702CD" w:rsidRPr="00C54A03">
        <w:rPr>
          <w:rFonts w:ascii="Times New Roman" w:hAnsi="Times New Roman" w:cs="Times New Roman"/>
          <w:color w:val="000000" w:themeColor="text1"/>
          <w:spacing w:val="-3"/>
          <w:sz w:val="24"/>
          <w:szCs w:val="24"/>
          <w:lang w:val="fr-FR"/>
        </w:rPr>
        <w:t xml:space="preserve"> </w:t>
      </w:r>
      <w:proofErr w:type="spellStart"/>
      <w:r w:rsidRPr="00C54A03">
        <w:rPr>
          <w:rFonts w:ascii="Times New Roman" w:hAnsi="Times New Roman" w:cs="Times New Roman"/>
          <w:color w:val="000000" w:themeColor="text1"/>
          <w:sz w:val="24"/>
          <w:szCs w:val="24"/>
          <w:lang w:val="fr-FR"/>
        </w:rPr>
        <w:t>și</w:t>
      </w:r>
      <w:proofErr w:type="spellEnd"/>
      <w:r w:rsidR="007702CD" w:rsidRPr="00C54A03">
        <w:rPr>
          <w:rFonts w:ascii="Times New Roman" w:hAnsi="Times New Roman" w:cs="Times New Roman"/>
          <w:color w:val="000000" w:themeColor="text1"/>
          <w:spacing w:val="-3"/>
          <w:sz w:val="24"/>
          <w:szCs w:val="24"/>
          <w:lang w:val="fr-FR"/>
        </w:rPr>
        <w:t xml:space="preserve"> </w:t>
      </w:r>
      <w:proofErr w:type="spellStart"/>
      <w:r w:rsidRPr="00C54A03">
        <w:rPr>
          <w:rFonts w:ascii="Times New Roman" w:hAnsi="Times New Roman" w:cs="Times New Roman"/>
          <w:color w:val="000000" w:themeColor="text1"/>
          <w:sz w:val="24"/>
          <w:szCs w:val="24"/>
          <w:lang w:val="fr-FR"/>
        </w:rPr>
        <w:t>stâncării</w:t>
      </w:r>
      <w:proofErr w:type="spellEnd"/>
      <w:r w:rsidR="007702CD" w:rsidRPr="00C54A03">
        <w:rPr>
          <w:rFonts w:ascii="Times New Roman" w:hAnsi="Times New Roman" w:cs="Times New Roman"/>
          <w:color w:val="000000" w:themeColor="text1"/>
          <w:spacing w:val="-11"/>
          <w:sz w:val="24"/>
          <w:szCs w:val="24"/>
          <w:lang w:val="fr-FR"/>
        </w:rPr>
        <w:t xml:space="preserve"> </w:t>
      </w:r>
      <w:proofErr w:type="spellStart"/>
      <w:r w:rsidRPr="00C54A03">
        <w:rPr>
          <w:rFonts w:ascii="Times New Roman" w:hAnsi="Times New Roman" w:cs="Times New Roman"/>
          <w:color w:val="000000" w:themeColor="text1"/>
          <w:sz w:val="24"/>
          <w:szCs w:val="24"/>
          <w:lang w:val="fr-FR"/>
        </w:rPr>
        <w:t>din</w:t>
      </w:r>
      <w:proofErr w:type="spellEnd"/>
      <w:r w:rsidR="007702CD" w:rsidRPr="00C54A03">
        <w:rPr>
          <w:rFonts w:ascii="Times New Roman" w:hAnsi="Times New Roman" w:cs="Times New Roman"/>
          <w:color w:val="000000" w:themeColor="text1"/>
          <w:spacing w:val="-4"/>
          <w:sz w:val="24"/>
          <w:szCs w:val="24"/>
          <w:lang w:val="fr-FR"/>
        </w:rPr>
        <w:t xml:space="preserve"> </w:t>
      </w:r>
      <w:proofErr w:type="spellStart"/>
      <w:r w:rsidRPr="00C54A03">
        <w:rPr>
          <w:rFonts w:ascii="Times New Roman" w:hAnsi="Times New Roman" w:cs="Times New Roman"/>
          <w:color w:val="000000" w:themeColor="text1"/>
          <w:sz w:val="24"/>
          <w:szCs w:val="24"/>
          <w:lang w:val="fr-FR"/>
        </w:rPr>
        <w:t>anexa</w:t>
      </w:r>
      <w:proofErr w:type="spellEnd"/>
      <w:r w:rsidR="007702CD" w:rsidRPr="00C54A03">
        <w:rPr>
          <w:rFonts w:ascii="Times New Roman" w:hAnsi="Times New Roman" w:cs="Times New Roman"/>
          <w:color w:val="000000" w:themeColor="text1"/>
          <w:spacing w:val="-2"/>
          <w:sz w:val="24"/>
          <w:szCs w:val="24"/>
          <w:lang w:val="fr-FR"/>
        </w:rPr>
        <w:t xml:space="preserve"> </w:t>
      </w:r>
      <w:r w:rsidRPr="00C54A03">
        <w:rPr>
          <w:rFonts w:ascii="Times New Roman" w:hAnsi="Times New Roman" w:cs="Times New Roman"/>
          <w:color w:val="000000" w:themeColor="text1"/>
          <w:spacing w:val="-2"/>
          <w:sz w:val="24"/>
          <w:szCs w:val="24"/>
          <w:lang w:val="fr-FR"/>
        </w:rPr>
        <w:t>I</w:t>
      </w:r>
      <w:r w:rsidR="007702CD" w:rsidRPr="00C54A03">
        <w:rPr>
          <w:rFonts w:ascii="Times New Roman" w:hAnsi="Times New Roman" w:cs="Times New Roman"/>
          <w:color w:val="000000" w:themeColor="text1"/>
          <w:spacing w:val="-6"/>
          <w:sz w:val="24"/>
          <w:szCs w:val="24"/>
          <w:lang w:val="fr-FR"/>
        </w:rPr>
        <w:t xml:space="preserve"> </w:t>
      </w:r>
      <w:r w:rsidRPr="00C54A03">
        <w:rPr>
          <w:rFonts w:ascii="Times New Roman" w:hAnsi="Times New Roman" w:cs="Times New Roman"/>
          <w:color w:val="000000" w:themeColor="text1"/>
          <w:sz w:val="24"/>
          <w:szCs w:val="24"/>
          <w:lang w:val="fr-FR"/>
        </w:rPr>
        <w:t>a</w:t>
      </w:r>
      <w:r w:rsidR="00E87D2D" w:rsidRPr="00C54A03">
        <w:rPr>
          <w:rFonts w:ascii="Times New Roman" w:hAnsi="Times New Roman" w:cs="Times New Roman"/>
          <w:color w:val="000000" w:themeColor="text1"/>
          <w:sz w:val="24"/>
          <w:szCs w:val="24"/>
          <w:lang w:val="fr-FR"/>
        </w:rPr>
        <w:t xml:space="preserve"> </w:t>
      </w:r>
      <w:proofErr w:type="spellStart"/>
      <w:r w:rsidR="00E87D2D" w:rsidRPr="00C54A03">
        <w:rPr>
          <w:rFonts w:ascii="Times New Roman" w:hAnsi="Times New Roman" w:cs="Times New Roman"/>
          <w:color w:val="000000" w:themeColor="text1"/>
          <w:sz w:val="24"/>
          <w:szCs w:val="24"/>
          <w:lang w:val="fr-FR"/>
        </w:rPr>
        <w:t>D</w:t>
      </w:r>
      <w:r w:rsidRPr="00C54A03">
        <w:rPr>
          <w:rFonts w:ascii="Times New Roman" w:hAnsi="Times New Roman" w:cs="Times New Roman"/>
          <w:color w:val="000000" w:themeColor="text1"/>
          <w:sz w:val="24"/>
          <w:szCs w:val="24"/>
          <w:lang w:val="fr-FR"/>
        </w:rPr>
        <w:t>irectivei</w:t>
      </w:r>
      <w:proofErr w:type="spellEnd"/>
      <w:r w:rsidR="007702CD" w:rsidRPr="00C54A03">
        <w:rPr>
          <w:rFonts w:ascii="Times New Roman" w:hAnsi="Times New Roman" w:cs="Times New Roman"/>
          <w:color w:val="000000" w:themeColor="text1"/>
          <w:spacing w:val="-2"/>
          <w:sz w:val="24"/>
          <w:szCs w:val="24"/>
          <w:lang w:val="fr-FR"/>
        </w:rPr>
        <w:t xml:space="preserve"> </w:t>
      </w:r>
      <w:proofErr w:type="spellStart"/>
      <w:r w:rsidR="00E87D2D" w:rsidRPr="00C54A03">
        <w:rPr>
          <w:rFonts w:ascii="Times New Roman" w:hAnsi="Times New Roman" w:cs="Times New Roman"/>
          <w:color w:val="000000" w:themeColor="text1"/>
          <w:sz w:val="24"/>
          <w:szCs w:val="24"/>
          <w:lang w:val="fr-FR"/>
        </w:rPr>
        <w:t>H</w:t>
      </w:r>
      <w:r w:rsidRPr="00C54A03">
        <w:rPr>
          <w:rFonts w:ascii="Times New Roman" w:hAnsi="Times New Roman" w:cs="Times New Roman"/>
          <w:color w:val="000000" w:themeColor="text1"/>
          <w:sz w:val="24"/>
          <w:szCs w:val="24"/>
          <w:lang w:val="fr-FR"/>
        </w:rPr>
        <w:t>abitate</w:t>
      </w:r>
      <w:proofErr w:type="spellEnd"/>
    </w:p>
    <w:p w14:paraId="627B7F11" w14:textId="77777777" w:rsidR="007702CD" w:rsidRPr="00C54A03" w:rsidRDefault="007702CD" w:rsidP="008E33FD">
      <w:pPr>
        <w:pStyle w:val="BodyText"/>
        <w:spacing w:before="6"/>
        <w:jc w:val="both"/>
        <w:rPr>
          <w:b/>
          <w:color w:val="000000" w:themeColor="text1"/>
          <w:sz w:val="24"/>
          <w:szCs w:val="24"/>
          <w:lang w:val="fr-FR"/>
        </w:rPr>
      </w:pPr>
    </w:p>
    <w:p w14:paraId="36C69348" w14:textId="77777777" w:rsidR="007702CD" w:rsidRPr="00C54A03" w:rsidRDefault="004E6BFA" w:rsidP="004E6BFA">
      <w:pPr>
        <w:pStyle w:val="BodyText"/>
        <w:spacing w:before="1"/>
        <w:ind w:left="0" w:right="255"/>
        <w:jc w:val="both"/>
        <w:rPr>
          <w:color w:val="000000" w:themeColor="text1"/>
          <w:sz w:val="24"/>
          <w:szCs w:val="24"/>
        </w:rPr>
      </w:pPr>
      <w:proofErr w:type="spellStart"/>
      <w:r w:rsidRPr="00C54A03">
        <w:rPr>
          <w:color w:val="000000" w:themeColor="text1"/>
          <w:spacing w:val="1"/>
          <w:sz w:val="24"/>
          <w:szCs w:val="24"/>
        </w:rPr>
        <w:t>În</w:t>
      </w:r>
      <w:proofErr w:type="spellEnd"/>
      <w:r w:rsidR="007702CD" w:rsidRPr="00C54A03">
        <w:rPr>
          <w:color w:val="000000" w:themeColor="text1"/>
          <w:spacing w:val="1"/>
          <w:sz w:val="24"/>
          <w:szCs w:val="24"/>
        </w:rPr>
        <w:t xml:space="preserve"> </w:t>
      </w:r>
      <w:proofErr w:type="spellStart"/>
      <w:r w:rsidR="007702CD" w:rsidRPr="00C54A03">
        <w:rPr>
          <w:color w:val="000000" w:themeColor="text1"/>
          <w:sz w:val="24"/>
          <w:szCs w:val="24"/>
        </w:rPr>
        <w:t>vederea</w:t>
      </w:r>
      <w:proofErr w:type="spellEnd"/>
      <w:r w:rsidR="007702CD" w:rsidRPr="00C54A03">
        <w:rPr>
          <w:color w:val="000000" w:themeColor="text1"/>
          <w:spacing w:val="1"/>
          <w:sz w:val="24"/>
          <w:szCs w:val="24"/>
        </w:rPr>
        <w:t xml:space="preserve"> </w:t>
      </w:r>
      <w:proofErr w:type="spellStart"/>
      <w:r w:rsidR="007702CD" w:rsidRPr="00C54A03">
        <w:rPr>
          <w:color w:val="000000" w:themeColor="text1"/>
          <w:sz w:val="24"/>
          <w:szCs w:val="24"/>
        </w:rPr>
        <w:t>stabilirii</w:t>
      </w:r>
      <w:proofErr w:type="spellEnd"/>
      <w:r w:rsidR="007702CD" w:rsidRPr="00C54A03">
        <w:rPr>
          <w:color w:val="000000" w:themeColor="text1"/>
          <w:spacing w:val="1"/>
          <w:sz w:val="24"/>
          <w:szCs w:val="24"/>
        </w:rPr>
        <w:t xml:space="preserve"> </w:t>
      </w:r>
      <w:proofErr w:type="spellStart"/>
      <w:r w:rsidR="007702CD" w:rsidRPr="00C54A03">
        <w:rPr>
          <w:color w:val="000000" w:themeColor="text1"/>
          <w:sz w:val="24"/>
          <w:szCs w:val="24"/>
        </w:rPr>
        <w:t>măsurilor</w:t>
      </w:r>
      <w:proofErr w:type="spellEnd"/>
      <w:r w:rsidR="007702CD" w:rsidRPr="00C54A03">
        <w:rPr>
          <w:color w:val="000000" w:themeColor="text1"/>
          <w:spacing w:val="1"/>
          <w:sz w:val="24"/>
          <w:szCs w:val="24"/>
        </w:rPr>
        <w:t xml:space="preserve"> </w:t>
      </w:r>
      <w:proofErr w:type="spellStart"/>
      <w:r w:rsidR="007702CD" w:rsidRPr="00C54A03">
        <w:rPr>
          <w:color w:val="000000" w:themeColor="text1"/>
          <w:sz w:val="24"/>
          <w:szCs w:val="24"/>
        </w:rPr>
        <w:t>specifice</w:t>
      </w:r>
      <w:proofErr w:type="spellEnd"/>
      <w:r w:rsidR="007702CD" w:rsidRPr="00C54A03">
        <w:rPr>
          <w:color w:val="000000" w:themeColor="text1"/>
          <w:sz w:val="24"/>
          <w:szCs w:val="24"/>
        </w:rPr>
        <w:t>/</w:t>
      </w:r>
      <w:proofErr w:type="spellStart"/>
      <w:r w:rsidR="007702CD" w:rsidRPr="00C54A03">
        <w:rPr>
          <w:color w:val="000000" w:themeColor="text1"/>
          <w:sz w:val="24"/>
          <w:szCs w:val="24"/>
        </w:rPr>
        <w:t>măsurilor</w:t>
      </w:r>
      <w:proofErr w:type="spellEnd"/>
      <w:r w:rsidR="007702CD" w:rsidRPr="00C54A03">
        <w:rPr>
          <w:color w:val="000000" w:themeColor="text1"/>
          <w:spacing w:val="1"/>
          <w:sz w:val="24"/>
          <w:szCs w:val="24"/>
        </w:rPr>
        <w:t xml:space="preserve"> </w:t>
      </w:r>
      <w:r w:rsidR="007702CD" w:rsidRPr="00C54A03">
        <w:rPr>
          <w:color w:val="000000" w:themeColor="text1"/>
          <w:sz w:val="24"/>
          <w:szCs w:val="24"/>
        </w:rPr>
        <w:t>de</w:t>
      </w:r>
      <w:r w:rsidR="007702CD" w:rsidRPr="00C54A03">
        <w:rPr>
          <w:color w:val="000000" w:themeColor="text1"/>
          <w:spacing w:val="1"/>
          <w:sz w:val="24"/>
          <w:szCs w:val="24"/>
        </w:rPr>
        <w:t xml:space="preserve"> </w:t>
      </w:r>
      <w:r w:rsidR="007702CD" w:rsidRPr="00C54A03">
        <w:rPr>
          <w:color w:val="000000" w:themeColor="text1"/>
          <w:sz w:val="24"/>
          <w:szCs w:val="24"/>
        </w:rPr>
        <w:t>management,</w:t>
      </w:r>
      <w:r w:rsidR="007702CD" w:rsidRPr="00C54A03">
        <w:rPr>
          <w:color w:val="000000" w:themeColor="text1"/>
          <w:spacing w:val="1"/>
          <w:sz w:val="24"/>
          <w:szCs w:val="24"/>
        </w:rPr>
        <w:t xml:space="preserve"> </w:t>
      </w:r>
      <w:proofErr w:type="spellStart"/>
      <w:r w:rsidR="007702CD" w:rsidRPr="00C54A03">
        <w:rPr>
          <w:color w:val="000000" w:themeColor="text1"/>
          <w:sz w:val="24"/>
          <w:szCs w:val="24"/>
        </w:rPr>
        <w:t>trebuie</w:t>
      </w:r>
      <w:proofErr w:type="spellEnd"/>
      <w:r w:rsidR="007702CD" w:rsidRPr="00C54A03">
        <w:rPr>
          <w:color w:val="000000" w:themeColor="text1"/>
          <w:spacing w:val="1"/>
          <w:sz w:val="24"/>
          <w:szCs w:val="24"/>
        </w:rPr>
        <w:t xml:space="preserve"> </w:t>
      </w:r>
      <w:proofErr w:type="spellStart"/>
      <w:r w:rsidR="007702CD" w:rsidRPr="00C54A03">
        <w:rPr>
          <w:color w:val="000000" w:themeColor="text1"/>
          <w:sz w:val="24"/>
          <w:szCs w:val="24"/>
        </w:rPr>
        <w:t>furnizate</w:t>
      </w:r>
      <w:proofErr w:type="spellEnd"/>
      <w:r w:rsidR="007702CD" w:rsidRPr="00C54A03">
        <w:rPr>
          <w:color w:val="000000" w:themeColor="text1"/>
          <w:spacing w:val="1"/>
          <w:sz w:val="24"/>
          <w:szCs w:val="24"/>
        </w:rPr>
        <w:t xml:space="preserve"> </w:t>
      </w:r>
      <w:proofErr w:type="spellStart"/>
      <w:r w:rsidR="007702CD" w:rsidRPr="00C54A03">
        <w:rPr>
          <w:color w:val="000000" w:themeColor="text1"/>
          <w:sz w:val="24"/>
          <w:szCs w:val="24"/>
        </w:rPr>
        <w:t>informaţii</w:t>
      </w:r>
      <w:proofErr w:type="spellEnd"/>
      <w:r w:rsidR="007702CD" w:rsidRPr="00C54A03">
        <w:rPr>
          <w:color w:val="000000" w:themeColor="text1"/>
          <w:spacing w:val="1"/>
          <w:sz w:val="24"/>
          <w:szCs w:val="24"/>
        </w:rPr>
        <w:t xml:space="preserve"> </w:t>
      </w:r>
      <w:proofErr w:type="spellStart"/>
      <w:r w:rsidR="007702CD" w:rsidRPr="00C54A03">
        <w:rPr>
          <w:color w:val="000000" w:themeColor="text1"/>
          <w:sz w:val="24"/>
          <w:szCs w:val="24"/>
        </w:rPr>
        <w:t>suplimentare</w:t>
      </w:r>
      <w:proofErr w:type="spellEnd"/>
      <w:r w:rsidR="007702CD" w:rsidRPr="00C54A03">
        <w:rPr>
          <w:color w:val="000000" w:themeColor="text1"/>
          <w:spacing w:val="1"/>
          <w:sz w:val="24"/>
          <w:szCs w:val="24"/>
        </w:rPr>
        <w:t xml:space="preserve"> </w:t>
      </w:r>
      <w:proofErr w:type="spellStart"/>
      <w:r w:rsidR="007702CD" w:rsidRPr="00C54A03">
        <w:rPr>
          <w:color w:val="000000" w:themeColor="text1"/>
          <w:sz w:val="24"/>
          <w:szCs w:val="24"/>
        </w:rPr>
        <w:t>privind</w:t>
      </w:r>
      <w:proofErr w:type="spellEnd"/>
      <w:r w:rsidR="007702CD" w:rsidRPr="00C54A03">
        <w:rPr>
          <w:color w:val="000000" w:themeColor="text1"/>
          <w:spacing w:val="1"/>
          <w:sz w:val="24"/>
          <w:szCs w:val="24"/>
        </w:rPr>
        <w:t xml:space="preserve"> </w:t>
      </w:r>
      <w:proofErr w:type="spellStart"/>
      <w:r w:rsidR="007702CD" w:rsidRPr="00C54A03">
        <w:rPr>
          <w:color w:val="000000" w:themeColor="text1"/>
          <w:sz w:val="24"/>
          <w:szCs w:val="24"/>
        </w:rPr>
        <w:t>indicarea</w:t>
      </w:r>
      <w:proofErr w:type="spellEnd"/>
      <w:r w:rsidR="007702CD" w:rsidRPr="00C54A03">
        <w:rPr>
          <w:color w:val="000000" w:themeColor="text1"/>
          <w:spacing w:val="-57"/>
          <w:sz w:val="24"/>
          <w:szCs w:val="24"/>
        </w:rPr>
        <w:t xml:space="preserve"> </w:t>
      </w:r>
      <w:proofErr w:type="spellStart"/>
      <w:r w:rsidR="007702CD" w:rsidRPr="00C54A03">
        <w:rPr>
          <w:color w:val="000000" w:themeColor="text1"/>
          <w:sz w:val="24"/>
          <w:szCs w:val="24"/>
        </w:rPr>
        <w:t>pentru</w:t>
      </w:r>
      <w:proofErr w:type="spellEnd"/>
      <w:r w:rsidR="007702CD" w:rsidRPr="00C54A03">
        <w:rPr>
          <w:color w:val="000000" w:themeColor="text1"/>
          <w:sz w:val="24"/>
          <w:szCs w:val="24"/>
        </w:rPr>
        <w:t xml:space="preserve"> </w:t>
      </w:r>
      <w:proofErr w:type="spellStart"/>
      <w:r w:rsidR="007702CD" w:rsidRPr="00C54A03">
        <w:rPr>
          <w:color w:val="000000" w:themeColor="text1"/>
          <w:sz w:val="24"/>
          <w:szCs w:val="24"/>
        </w:rPr>
        <w:t>fiecare</w:t>
      </w:r>
      <w:proofErr w:type="spellEnd"/>
      <w:r w:rsidR="007702CD" w:rsidRPr="00C54A03">
        <w:rPr>
          <w:color w:val="000000" w:themeColor="text1"/>
          <w:sz w:val="24"/>
          <w:szCs w:val="24"/>
        </w:rPr>
        <w:t xml:space="preserve"> </w:t>
      </w:r>
      <w:proofErr w:type="spellStart"/>
      <w:r w:rsidR="007702CD" w:rsidRPr="00C54A03">
        <w:rPr>
          <w:color w:val="000000" w:themeColor="text1"/>
          <w:sz w:val="24"/>
          <w:szCs w:val="24"/>
        </w:rPr>
        <w:t>activitate</w:t>
      </w:r>
      <w:proofErr w:type="spellEnd"/>
      <w:r w:rsidR="007702CD" w:rsidRPr="00C54A03">
        <w:rPr>
          <w:color w:val="000000" w:themeColor="text1"/>
          <w:sz w:val="24"/>
          <w:szCs w:val="24"/>
        </w:rPr>
        <w:t xml:space="preserve"> cu impact </w:t>
      </w:r>
      <w:proofErr w:type="spellStart"/>
      <w:r w:rsidR="007702CD" w:rsidRPr="00C54A03">
        <w:rPr>
          <w:color w:val="000000" w:themeColor="text1"/>
          <w:sz w:val="24"/>
          <w:szCs w:val="24"/>
        </w:rPr>
        <w:t>asupra</w:t>
      </w:r>
      <w:proofErr w:type="spellEnd"/>
      <w:r w:rsidR="007702CD" w:rsidRPr="00C54A03">
        <w:rPr>
          <w:color w:val="000000" w:themeColor="text1"/>
          <w:sz w:val="24"/>
          <w:szCs w:val="24"/>
        </w:rPr>
        <w:t xml:space="preserve"> </w:t>
      </w:r>
      <w:proofErr w:type="spellStart"/>
      <w:r w:rsidR="007702CD" w:rsidRPr="00C54A03">
        <w:rPr>
          <w:color w:val="000000" w:themeColor="text1"/>
          <w:sz w:val="24"/>
          <w:szCs w:val="24"/>
        </w:rPr>
        <w:t>speciilor</w:t>
      </w:r>
      <w:proofErr w:type="spellEnd"/>
      <w:r w:rsidR="007702CD" w:rsidRPr="00C54A03">
        <w:rPr>
          <w:color w:val="000000" w:themeColor="text1"/>
          <w:sz w:val="24"/>
          <w:szCs w:val="24"/>
        </w:rPr>
        <w:t xml:space="preserve"> </w:t>
      </w:r>
      <w:proofErr w:type="spellStart"/>
      <w:r w:rsidR="007702CD" w:rsidRPr="00C54A03">
        <w:rPr>
          <w:color w:val="000000" w:themeColor="text1"/>
          <w:sz w:val="24"/>
          <w:szCs w:val="24"/>
        </w:rPr>
        <w:t>şi</w:t>
      </w:r>
      <w:proofErr w:type="spellEnd"/>
      <w:r w:rsidR="007702CD" w:rsidRPr="00C54A03">
        <w:rPr>
          <w:color w:val="000000" w:themeColor="text1"/>
          <w:sz w:val="24"/>
          <w:szCs w:val="24"/>
        </w:rPr>
        <w:t xml:space="preserve"> </w:t>
      </w:r>
      <w:proofErr w:type="spellStart"/>
      <w:r w:rsidR="007702CD" w:rsidRPr="00C54A03">
        <w:rPr>
          <w:color w:val="000000" w:themeColor="text1"/>
          <w:sz w:val="24"/>
          <w:szCs w:val="24"/>
        </w:rPr>
        <w:t>tipurilor</w:t>
      </w:r>
      <w:proofErr w:type="spellEnd"/>
      <w:r w:rsidR="007702CD" w:rsidRPr="00C54A03">
        <w:rPr>
          <w:color w:val="000000" w:themeColor="text1"/>
          <w:sz w:val="24"/>
          <w:szCs w:val="24"/>
        </w:rPr>
        <w:t xml:space="preserve"> de </w:t>
      </w:r>
      <w:proofErr w:type="spellStart"/>
      <w:r w:rsidR="007702CD" w:rsidRPr="00C54A03">
        <w:rPr>
          <w:color w:val="000000" w:themeColor="text1"/>
          <w:sz w:val="24"/>
          <w:szCs w:val="24"/>
        </w:rPr>
        <w:t>habitate</w:t>
      </w:r>
      <w:proofErr w:type="spellEnd"/>
      <w:r w:rsidR="007702CD" w:rsidRPr="00C54A03">
        <w:rPr>
          <w:color w:val="000000" w:themeColor="text1"/>
          <w:sz w:val="24"/>
          <w:szCs w:val="24"/>
        </w:rPr>
        <w:t xml:space="preserve"> </w:t>
      </w:r>
      <w:proofErr w:type="spellStart"/>
      <w:r w:rsidR="007702CD" w:rsidRPr="00C54A03">
        <w:rPr>
          <w:color w:val="000000" w:themeColor="text1"/>
          <w:sz w:val="24"/>
          <w:szCs w:val="24"/>
        </w:rPr>
        <w:t>impactate</w:t>
      </w:r>
      <w:proofErr w:type="spellEnd"/>
      <w:r w:rsidR="007702CD" w:rsidRPr="00C54A03">
        <w:rPr>
          <w:color w:val="000000" w:themeColor="text1"/>
          <w:sz w:val="24"/>
          <w:szCs w:val="24"/>
        </w:rPr>
        <w:t xml:space="preserve">, </w:t>
      </w:r>
      <w:proofErr w:type="spellStart"/>
      <w:r w:rsidR="007702CD" w:rsidRPr="00C54A03">
        <w:rPr>
          <w:color w:val="000000" w:themeColor="text1"/>
          <w:sz w:val="24"/>
          <w:szCs w:val="24"/>
        </w:rPr>
        <w:t>inclusiv</w:t>
      </w:r>
      <w:proofErr w:type="spellEnd"/>
      <w:r w:rsidR="007702CD" w:rsidRPr="00C54A03">
        <w:rPr>
          <w:color w:val="000000" w:themeColor="text1"/>
          <w:sz w:val="24"/>
          <w:szCs w:val="24"/>
        </w:rPr>
        <w:t xml:space="preserve"> a</w:t>
      </w:r>
      <w:r w:rsidR="007702CD" w:rsidRPr="00C54A03">
        <w:rPr>
          <w:color w:val="000000" w:themeColor="text1"/>
          <w:spacing w:val="1"/>
          <w:sz w:val="24"/>
          <w:szCs w:val="24"/>
        </w:rPr>
        <w:t xml:space="preserve"> </w:t>
      </w:r>
      <w:proofErr w:type="spellStart"/>
      <w:r w:rsidR="007702CD" w:rsidRPr="00C54A03">
        <w:rPr>
          <w:color w:val="000000" w:themeColor="text1"/>
          <w:sz w:val="24"/>
          <w:szCs w:val="24"/>
        </w:rPr>
        <w:t>intensităţii</w:t>
      </w:r>
      <w:proofErr w:type="spellEnd"/>
      <w:r w:rsidR="007702CD" w:rsidRPr="00C54A03">
        <w:rPr>
          <w:color w:val="000000" w:themeColor="text1"/>
          <w:spacing w:val="-1"/>
          <w:sz w:val="24"/>
          <w:szCs w:val="24"/>
        </w:rPr>
        <w:t xml:space="preserve"> </w:t>
      </w:r>
      <w:proofErr w:type="spellStart"/>
      <w:r w:rsidR="007702CD" w:rsidRPr="00C54A03">
        <w:rPr>
          <w:color w:val="000000" w:themeColor="text1"/>
          <w:sz w:val="24"/>
          <w:szCs w:val="24"/>
        </w:rPr>
        <w:t>impactului</w:t>
      </w:r>
      <w:proofErr w:type="spellEnd"/>
      <w:r w:rsidR="007702CD" w:rsidRPr="00C54A03">
        <w:rPr>
          <w:color w:val="000000" w:themeColor="text1"/>
          <w:sz w:val="24"/>
          <w:szCs w:val="24"/>
        </w:rPr>
        <w:t xml:space="preserve"> </w:t>
      </w:r>
      <w:proofErr w:type="spellStart"/>
      <w:r w:rsidR="007702CD" w:rsidRPr="00C54A03">
        <w:rPr>
          <w:color w:val="000000" w:themeColor="text1"/>
          <w:sz w:val="24"/>
          <w:szCs w:val="24"/>
        </w:rPr>
        <w:t>funcţie</w:t>
      </w:r>
      <w:proofErr w:type="spellEnd"/>
      <w:r w:rsidR="007702CD" w:rsidRPr="00C54A03">
        <w:rPr>
          <w:color w:val="000000" w:themeColor="text1"/>
          <w:spacing w:val="-1"/>
          <w:sz w:val="24"/>
          <w:szCs w:val="24"/>
        </w:rPr>
        <w:t xml:space="preserve"> </w:t>
      </w:r>
      <w:r w:rsidR="007702CD" w:rsidRPr="00C54A03">
        <w:rPr>
          <w:color w:val="000000" w:themeColor="text1"/>
          <w:sz w:val="24"/>
          <w:szCs w:val="24"/>
        </w:rPr>
        <w:t>de</w:t>
      </w:r>
      <w:r w:rsidR="007702CD" w:rsidRPr="00C54A03">
        <w:rPr>
          <w:color w:val="000000" w:themeColor="text1"/>
          <w:spacing w:val="-1"/>
          <w:sz w:val="24"/>
          <w:szCs w:val="24"/>
        </w:rPr>
        <w:t xml:space="preserve"> </w:t>
      </w:r>
      <w:proofErr w:type="spellStart"/>
      <w:r w:rsidR="007702CD" w:rsidRPr="00C54A03">
        <w:rPr>
          <w:color w:val="000000" w:themeColor="text1"/>
          <w:sz w:val="24"/>
          <w:szCs w:val="24"/>
        </w:rPr>
        <w:t>localizare</w:t>
      </w:r>
      <w:proofErr w:type="spellEnd"/>
      <w:r w:rsidR="007702CD" w:rsidRPr="00C54A03">
        <w:rPr>
          <w:color w:val="000000" w:themeColor="text1"/>
          <w:sz w:val="24"/>
          <w:szCs w:val="24"/>
        </w:rPr>
        <w:t>.</w:t>
      </w:r>
    </w:p>
    <w:p w14:paraId="7B0CFE67" w14:textId="77777777" w:rsidR="00461831" w:rsidRPr="00C54A03" w:rsidRDefault="007702CD" w:rsidP="004E6BFA">
      <w:pPr>
        <w:pStyle w:val="BodyText"/>
        <w:spacing w:before="1"/>
        <w:ind w:left="0"/>
        <w:jc w:val="both"/>
        <w:rPr>
          <w:color w:val="000000" w:themeColor="text1"/>
          <w:sz w:val="24"/>
          <w:szCs w:val="24"/>
        </w:rPr>
      </w:pP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acest</w:t>
      </w:r>
      <w:proofErr w:type="spellEnd"/>
      <w:r w:rsidRPr="00C54A03">
        <w:rPr>
          <w:color w:val="000000" w:themeColor="text1"/>
          <w:spacing w:val="-1"/>
          <w:sz w:val="24"/>
          <w:szCs w:val="24"/>
        </w:rPr>
        <w:t xml:space="preserve"> </w:t>
      </w:r>
      <w:proofErr w:type="spellStart"/>
      <w:r w:rsidRPr="00C54A03">
        <w:rPr>
          <w:color w:val="000000" w:themeColor="text1"/>
          <w:sz w:val="24"/>
          <w:szCs w:val="24"/>
        </w:rPr>
        <w:t>sens</w:t>
      </w:r>
      <w:proofErr w:type="spellEnd"/>
      <w:r w:rsidRPr="00C54A03">
        <w:rPr>
          <w:color w:val="000000" w:themeColor="text1"/>
          <w:sz w:val="24"/>
          <w:szCs w:val="24"/>
        </w:rPr>
        <w:t>,</w:t>
      </w:r>
      <w:r w:rsidRPr="00C54A03">
        <w:rPr>
          <w:color w:val="000000" w:themeColor="text1"/>
          <w:spacing w:val="-2"/>
          <w:sz w:val="24"/>
          <w:szCs w:val="24"/>
        </w:rPr>
        <w:t xml:space="preserve"> </w:t>
      </w:r>
      <w:proofErr w:type="spellStart"/>
      <w:r w:rsidRPr="00C54A03">
        <w:rPr>
          <w:color w:val="000000" w:themeColor="text1"/>
          <w:sz w:val="24"/>
          <w:szCs w:val="24"/>
        </w:rPr>
        <w:t>pentru</w:t>
      </w:r>
      <w:proofErr w:type="spellEnd"/>
      <w:r w:rsidRPr="00C54A03">
        <w:rPr>
          <w:color w:val="000000" w:themeColor="text1"/>
          <w:spacing w:val="-1"/>
          <w:sz w:val="24"/>
          <w:szCs w:val="24"/>
        </w:rPr>
        <w:t xml:space="preserve"> </w:t>
      </w:r>
      <w:proofErr w:type="spellStart"/>
      <w:r w:rsidRPr="00C54A03">
        <w:rPr>
          <w:color w:val="000000" w:themeColor="text1"/>
          <w:sz w:val="24"/>
          <w:szCs w:val="24"/>
        </w:rPr>
        <w:t>evaluarea</w:t>
      </w:r>
      <w:proofErr w:type="spellEnd"/>
      <w:r w:rsidRPr="00C54A03">
        <w:rPr>
          <w:color w:val="000000" w:themeColor="text1"/>
          <w:spacing w:val="-3"/>
          <w:sz w:val="24"/>
          <w:szCs w:val="24"/>
        </w:rPr>
        <w:t xml:space="preserve"> </w:t>
      </w:r>
      <w:proofErr w:type="spellStart"/>
      <w:r w:rsidRPr="00C54A03">
        <w:rPr>
          <w:color w:val="000000" w:themeColor="text1"/>
          <w:sz w:val="24"/>
          <w:szCs w:val="24"/>
        </w:rPr>
        <w:t>impacturilor</w:t>
      </w:r>
      <w:proofErr w:type="spellEnd"/>
      <w:r w:rsidRPr="00C54A03">
        <w:rPr>
          <w:color w:val="000000" w:themeColor="text1"/>
          <w:spacing w:val="-1"/>
          <w:sz w:val="24"/>
          <w:szCs w:val="24"/>
        </w:rPr>
        <w:t xml:space="preserve"> </w:t>
      </w:r>
      <w:proofErr w:type="spellStart"/>
      <w:r w:rsidRPr="00C54A03">
        <w:rPr>
          <w:color w:val="000000" w:themeColor="text1"/>
          <w:sz w:val="24"/>
          <w:szCs w:val="24"/>
        </w:rPr>
        <w:t>trebuie</w:t>
      </w:r>
      <w:proofErr w:type="spellEnd"/>
      <w:r w:rsidRPr="00C54A03">
        <w:rPr>
          <w:color w:val="000000" w:themeColor="text1"/>
          <w:spacing w:val="-2"/>
          <w:sz w:val="24"/>
          <w:szCs w:val="24"/>
        </w:rPr>
        <w:t xml:space="preserve"> </w:t>
      </w:r>
      <w:proofErr w:type="spellStart"/>
      <w:r w:rsidRPr="00C54A03">
        <w:rPr>
          <w:color w:val="000000" w:themeColor="text1"/>
          <w:sz w:val="24"/>
          <w:szCs w:val="24"/>
        </w:rPr>
        <w:t>furnizate</w:t>
      </w:r>
      <w:proofErr w:type="spellEnd"/>
      <w:r w:rsidRPr="00C54A03">
        <w:rPr>
          <w:color w:val="000000" w:themeColor="text1"/>
          <w:spacing w:val="-2"/>
          <w:sz w:val="24"/>
          <w:szCs w:val="24"/>
        </w:rPr>
        <w:t xml:space="preserve"> </w:t>
      </w:r>
      <w:proofErr w:type="spellStart"/>
      <w:r w:rsidRPr="00C54A03">
        <w:rPr>
          <w:color w:val="000000" w:themeColor="text1"/>
          <w:sz w:val="24"/>
          <w:szCs w:val="24"/>
        </w:rPr>
        <w:t>informaţiile</w:t>
      </w:r>
      <w:proofErr w:type="spellEnd"/>
      <w:r w:rsidRPr="00C54A03">
        <w:rPr>
          <w:color w:val="000000" w:themeColor="text1"/>
          <w:spacing w:val="-1"/>
          <w:sz w:val="24"/>
          <w:szCs w:val="24"/>
        </w:rPr>
        <w:t xml:space="preserve"> </w:t>
      </w:r>
      <w:proofErr w:type="spellStart"/>
      <w:r w:rsidRPr="00C54A03">
        <w:rPr>
          <w:color w:val="000000" w:themeColor="text1"/>
          <w:sz w:val="24"/>
          <w:szCs w:val="24"/>
        </w:rPr>
        <w:t>necesare</w:t>
      </w:r>
      <w:proofErr w:type="spellEnd"/>
      <w:r w:rsidRPr="00C54A03">
        <w:rPr>
          <w:color w:val="000000" w:themeColor="text1"/>
          <w:spacing w:val="-4"/>
          <w:sz w:val="24"/>
          <w:szCs w:val="24"/>
        </w:rPr>
        <w:t xml:space="preserve"> </w:t>
      </w:r>
      <w:proofErr w:type="spellStart"/>
      <w:r w:rsidR="00461831" w:rsidRPr="00C54A03">
        <w:rPr>
          <w:color w:val="000000" w:themeColor="text1"/>
          <w:sz w:val="24"/>
          <w:szCs w:val="24"/>
        </w:rPr>
        <w:t>pentru</w:t>
      </w:r>
      <w:proofErr w:type="spellEnd"/>
      <w:r w:rsidR="00461831" w:rsidRPr="00C54A03">
        <w:rPr>
          <w:color w:val="000000" w:themeColor="text1"/>
          <w:sz w:val="24"/>
          <w:szCs w:val="24"/>
        </w:rPr>
        <w:t>:</w:t>
      </w:r>
    </w:p>
    <w:p w14:paraId="3C88C009" w14:textId="77777777" w:rsidR="00D97209" w:rsidRDefault="00461831" w:rsidP="009E63E5">
      <w:pPr>
        <w:pStyle w:val="ListParagraph"/>
        <w:numPr>
          <w:ilvl w:val="0"/>
          <w:numId w:val="44"/>
        </w:numPr>
        <w:ind w:left="0" w:firstLine="0"/>
        <w:jc w:val="both"/>
        <w:rPr>
          <w:rFonts w:ascii="Times New Roman" w:hAnsi="Times New Roman" w:cs="Times New Roman"/>
          <w:color w:val="000000" w:themeColor="text1"/>
          <w:sz w:val="24"/>
          <w:szCs w:val="24"/>
        </w:rPr>
      </w:pPr>
      <w:proofErr w:type="spellStart"/>
      <w:r w:rsidRPr="00C54A03">
        <w:rPr>
          <w:rFonts w:ascii="Times New Roman" w:hAnsi="Times New Roman" w:cs="Times New Roman"/>
          <w:color w:val="000000" w:themeColor="text1"/>
          <w:sz w:val="24"/>
          <w:szCs w:val="24"/>
        </w:rPr>
        <w:t>Evaluarea</w:t>
      </w:r>
      <w:proofErr w:type="spellEnd"/>
      <w:r w:rsidRPr="00C54A03">
        <w:rPr>
          <w:rFonts w:ascii="Times New Roman" w:hAnsi="Times New Roman" w:cs="Times New Roman"/>
          <w:color w:val="000000" w:themeColor="text1"/>
          <w:sz w:val="24"/>
          <w:szCs w:val="24"/>
        </w:rPr>
        <w:t xml:space="preserve"> </w:t>
      </w:r>
      <w:proofErr w:type="spellStart"/>
      <w:r w:rsidRPr="00C54A03">
        <w:rPr>
          <w:rFonts w:ascii="Times New Roman" w:hAnsi="Times New Roman" w:cs="Times New Roman"/>
          <w:color w:val="000000" w:themeColor="text1"/>
          <w:sz w:val="24"/>
          <w:szCs w:val="24"/>
        </w:rPr>
        <w:t>activităţilor</w:t>
      </w:r>
      <w:proofErr w:type="spellEnd"/>
      <w:r w:rsidRPr="00C54A03">
        <w:rPr>
          <w:rFonts w:ascii="Times New Roman" w:hAnsi="Times New Roman" w:cs="Times New Roman"/>
          <w:color w:val="000000" w:themeColor="text1"/>
          <w:sz w:val="24"/>
          <w:szCs w:val="24"/>
        </w:rPr>
        <w:t xml:space="preserve"> cu impact </w:t>
      </w:r>
      <w:proofErr w:type="spellStart"/>
      <w:r w:rsidRPr="00C54A03">
        <w:rPr>
          <w:rFonts w:ascii="Times New Roman" w:hAnsi="Times New Roman" w:cs="Times New Roman"/>
          <w:color w:val="000000" w:themeColor="text1"/>
          <w:sz w:val="24"/>
          <w:szCs w:val="24"/>
        </w:rPr>
        <w:t>asupra</w:t>
      </w:r>
      <w:proofErr w:type="spellEnd"/>
      <w:r w:rsidRPr="00C54A03">
        <w:rPr>
          <w:rFonts w:ascii="Times New Roman" w:hAnsi="Times New Roman" w:cs="Times New Roman"/>
          <w:color w:val="000000" w:themeColor="text1"/>
          <w:sz w:val="24"/>
          <w:szCs w:val="24"/>
        </w:rPr>
        <w:t xml:space="preserve"> </w:t>
      </w:r>
      <w:proofErr w:type="spellStart"/>
      <w:r w:rsidRPr="00C54A03">
        <w:rPr>
          <w:rFonts w:ascii="Times New Roman" w:hAnsi="Times New Roman" w:cs="Times New Roman"/>
          <w:color w:val="000000" w:themeColor="text1"/>
          <w:sz w:val="24"/>
          <w:szCs w:val="24"/>
        </w:rPr>
        <w:t>ariei</w:t>
      </w:r>
      <w:proofErr w:type="spellEnd"/>
      <w:r w:rsidRPr="00C54A03">
        <w:rPr>
          <w:rFonts w:ascii="Times New Roman" w:hAnsi="Times New Roman" w:cs="Times New Roman"/>
          <w:color w:val="000000" w:themeColor="text1"/>
          <w:sz w:val="24"/>
          <w:szCs w:val="24"/>
        </w:rPr>
        <w:t xml:space="preserve"> </w:t>
      </w:r>
      <w:proofErr w:type="spellStart"/>
      <w:r w:rsidRPr="00C54A03">
        <w:rPr>
          <w:rFonts w:ascii="Times New Roman" w:hAnsi="Times New Roman" w:cs="Times New Roman"/>
          <w:color w:val="000000" w:themeColor="text1"/>
          <w:sz w:val="24"/>
          <w:szCs w:val="24"/>
        </w:rPr>
        <w:t>naturale</w:t>
      </w:r>
      <w:proofErr w:type="spellEnd"/>
      <w:r w:rsidRPr="00C54A03">
        <w:rPr>
          <w:rFonts w:ascii="Times New Roman" w:hAnsi="Times New Roman" w:cs="Times New Roman"/>
          <w:color w:val="000000" w:themeColor="text1"/>
          <w:sz w:val="24"/>
          <w:szCs w:val="24"/>
        </w:rPr>
        <w:t xml:space="preserve"> </w:t>
      </w:r>
      <w:proofErr w:type="spellStart"/>
      <w:r w:rsidRPr="00C54A03">
        <w:rPr>
          <w:rFonts w:ascii="Times New Roman" w:hAnsi="Times New Roman" w:cs="Times New Roman"/>
          <w:color w:val="000000" w:themeColor="text1"/>
          <w:sz w:val="24"/>
          <w:szCs w:val="24"/>
        </w:rPr>
        <w:t>protejate</w:t>
      </w:r>
      <w:proofErr w:type="spellEnd"/>
      <w:r w:rsidRPr="00C54A03">
        <w:rPr>
          <w:rFonts w:ascii="Times New Roman" w:hAnsi="Times New Roman" w:cs="Times New Roman"/>
          <w:color w:val="000000" w:themeColor="text1"/>
          <w:sz w:val="24"/>
          <w:szCs w:val="24"/>
        </w:rPr>
        <w:t xml:space="preserve">, </w:t>
      </w:r>
      <w:proofErr w:type="spellStart"/>
      <w:r w:rsidRPr="00C54A03">
        <w:rPr>
          <w:rFonts w:ascii="Times New Roman" w:hAnsi="Times New Roman" w:cs="Times New Roman"/>
          <w:color w:val="000000" w:themeColor="text1"/>
          <w:sz w:val="24"/>
          <w:szCs w:val="24"/>
        </w:rPr>
        <w:t>în</w:t>
      </w:r>
      <w:proofErr w:type="spellEnd"/>
      <w:r w:rsidRPr="00C54A03">
        <w:rPr>
          <w:rFonts w:ascii="Times New Roman" w:hAnsi="Times New Roman" w:cs="Times New Roman"/>
          <w:color w:val="000000" w:themeColor="text1"/>
          <w:sz w:val="24"/>
          <w:szCs w:val="24"/>
        </w:rPr>
        <w:t xml:space="preserve"> general</w:t>
      </w:r>
    </w:p>
    <w:p w14:paraId="653BF49B" w14:textId="77777777" w:rsidR="00D97209" w:rsidRDefault="00461831" w:rsidP="009E63E5">
      <w:pPr>
        <w:pStyle w:val="ListParagraph"/>
        <w:numPr>
          <w:ilvl w:val="0"/>
          <w:numId w:val="44"/>
        </w:numPr>
        <w:ind w:left="0" w:firstLine="0"/>
        <w:jc w:val="both"/>
        <w:rPr>
          <w:rFonts w:ascii="Times New Roman" w:hAnsi="Times New Roman" w:cs="Times New Roman"/>
          <w:color w:val="000000" w:themeColor="text1"/>
          <w:sz w:val="24"/>
          <w:szCs w:val="24"/>
        </w:rPr>
      </w:pPr>
      <w:proofErr w:type="spellStart"/>
      <w:r w:rsidRPr="00D97209">
        <w:rPr>
          <w:rFonts w:ascii="Times New Roman" w:hAnsi="Times New Roman" w:cs="Times New Roman"/>
          <w:color w:val="000000" w:themeColor="text1"/>
          <w:sz w:val="24"/>
          <w:szCs w:val="24"/>
        </w:rPr>
        <w:t>Evaluarea</w:t>
      </w:r>
      <w:proofErr w:type="spellEnd"/>
      <w:r w:rsidRPr="00D97209">
        <w:rPr>
          <w:rFonts w:ascii="Times New Roman" w:hAnsi="Times New Roman" w:cs="Times New Roman"/>
          <w:color w:val="000000" w:themeColor="text1"/>
          <w:spacing w:val="-3"/>
          <w:sz w:val="24"/>
          <w:szCs w:val="24"/>
        </w:rPr>
        <w:t xml:space="preserve"> </w:t>
      </w:r>
      <w:proofErr w:type="spellStart"/>
      <w:r w:rsidRPr="00D97209">
        <w:rPr>
          <w:rFonts w:ascii="Times New Roman" w:hAnsi="Times New Roman" w:cs="Times New Roman"/>
          <w:color w:val="000000" w:themeColor="text1"/>
          <w:sz w:val="24"/>
          <w:szCs w:val="24"/>
        </w:rPr>
        <w:t>activităţilor</w:t>
      </w:r>
      <w:proofErr w:type="spellEnd"/>
      <w:r w:rsidRPr="00D97209">
        <w:rPr>
          <w:rFonts w:ascii="Times New Roman" w:hAnsi="Times New Roman" w:cs="Times New Roman"/>
          <w:color w:val="000000" w:themeColor="text1"/>
          <w:spacing w:val="-2"/>
          <w:sz w:val="24"/>
          <w:szCs w:val="24"/>
        </w:rPr>
        <w:t xml:space="preserve"> </w:t>
      </w:r>
      <w:r w:rsidRPr="00D97209">
        <w:rPr>
          <w:rFonts w:ascii="Times New Roman" w:hAnsi="Times New Roman" w:cs="Times New Roman"/>
          <w:color w:val="000000" w:themeColor="text1"/>
          <w:sz w:val="24"/>
          <w:szCs w:val="24"/>
        </w:rPr>
        <w:t>cu</w:t>
      </w:r>
      <w:r w:rsidRPr="00D97209">
        <w:rPr>
          <w:rFonts w:ascii="Times New Roman" w:hAnsi="Times New Roman" w:cs="Times New Roman"/>
          <w:color w:val="000000" w:themeColor="text1"/>
          <w:spacing w:val="-2"/>
          <w:sz w:val="24"/>
          <w:szCs w:val="24"/>
        </w:rPr>
        <w:t xml:space="preserve"> </w:t>
      </w:r>
      <w:r w:rsidRPr="00D97209">
        <w:rPr>
          <w:rFonts w:ascii="Times New Roman" w:hAnsi="Times New Roman" w:cs="Times New Roman"/>
          <w:color w:val="000000" w:themeColor="text1"/>
          <w:sz w:val="24"/>
          <w:szCs w:val="24"/>
        </w:rPr>
        <w:t>impact</w:t>
      </w:r>
      <w:r w:rsidRPr="00D97209">
        <w:rPr>
          <w:rFonts w:ascii="Times New Roman" w:hAnsi="Times New Roman" w:cs="Times New Roman"/>
          <w:color w:val="000000" w:themeColor="text1"/>
          <w:spacing w:val="-1"/>
          <w:sz w:val="24"/>
          <w:szCs w:val="24"/>
        </w:rPr>
        <w:t xml:space="preserve"> </w:t>
      </w:r>
      <w:proofErr w:type="spellStart"/>
      <w:r w:rsidRPr="00D97209">
        <w:rPr>
          <w:rFonts w:ascii="Times New Roman" w:hAnsi="Times New Roman" w:cs="Times New Roman"/>
          <w:color w:val="000000" w:themeColor="text1"/>
          <w:sz w:val="24"/>
          <w:szCs w:val="24"/>
        </w:rPr>
        <w:t>asupra</w:t>
      </w:r>
      <w:proofErr w:type="spellEnd"/>
      <w:r w:rsidRPr="00D97209">
        <w:rPr>
          <w:rFonts w:ascii="Times New Roman" w:hAnsi="Times New Roman" w:cs="Times New Roman"/>
          <w:color w:val="000000" w:themeColor="text1"/>
          <w:spacing w:val="-3"/>
          <w:sz w:val="24"/>
          <w:szCs w:val="24"/>
        </w:rPr>
        <w:t xml:space="preserve"> </w:t>
      </w:r>
      <w:proofErr w:type="spellStart"/>
      <w:r w:rsidRPr="00D97209">
        <w:rPr>
          <w:rFonts w:ascii="Times New Roman" w:hAnsi="Times New Roman" w:cs="Times New Roman"/>
          <w:color w:val="000000" w:themeColor="text1"/>
          <w:sz w:val="24"/>
          <w:szCs w:val="24"/>
        </w:rPr>
        <w:t>speciilor</w:t>
      </w:r>
      <w:proofErr w:type="spellEnd"/>
      <w:r w:rsidRPr="00D97209">
        <w:rPr>
          <w:rFonts w:ascii="Times New Roman" w:hAnsi="Times New Roman" w:cs="Times New Roman"/>
          <w:color w:val="000000" w:themeColor="text1"/>
          <w:sz w:val="24"/>
          <w:szCs w:val="24"/>
        </w:rPr>
        <w:t xml:space="preserve"> de</w:t>
      </w:r>
      <w:r w:rsidRPr="00D97209">
        <w:rPr>
          <w:rFonts w:ascii="Times New Roman" w:hAnsi="Times New Roman" w:cs="Times New Roman"/>
          <w:color w:val="000000" w:themeColor="text1"/>
          <w:spacing w:val="-3"/>
          <w:sz w:val="24"/>
          <w:szCs w:val="24"/>
        </w:rPr>
        <w:t xml:space="preserve"> </w:t>
      </w:r>
      <w:proofErr w:type="spellStart"/>
      <w:r w:rsidRPr="00D97209">
        <w:rPr>
          <w:rFonts w:ascii="Times New Roman" w:hAnsi="Times New Roman" w:cs="Times New Roman"/>
          <w:color w:val="000000" w:themeColor="text1"/>
          <w:sz w:val="24"/>
          <w:szCs w:val="24"/>
        </w:rPr>
        <w:t>interes</w:t>
      </w:r>
      <w:proofErr w:type="spellEnd"/>
      <w:r w:rsidRPr="00D97209">
        <w:rPr>
          <w:rFonts w:ascii="Times New Roman" w:hAnsi="Times New Roman" w:cs="Times New Roman"/>
          <w:color w:val="000000" w:themeColor="text1"/>
          <w:spacing w:val="-2"/>
          <w:sz w:val="24"/>
          <w:szCs w:val="24"/>
        </w:rPr>
        <w:t xml:space="preserve"> </w:t>
      </w:r>
      <w:r w:rsidRPr="00D97209">
        <w:rPr>
          <w:rFonts w:ascii="Times New Roman" w:hAnsi="Times New Roman" w:cs="Times New Roman"/>
          <w:color w:val="000000" w:themeColor="text1"/>
          <w:sz w:val="24"/>
          <w:szCs w:val="24"/>
        </w:rPr>
        <w:t>conservative</w:t>
      </w:r>
    </w:p>
    <w:p w14:paraId="4823C842" w14:textId="77777777" w:rsidR="007702CD" w:rsidRPr="00D97209" w:rsidRDefault="007702CD" w:rsidP="009E63E5">
      <w:pPr>
        <w:pStyle w:val="ListParagraph"/>
        <w:numPr>
          <w:ilvl w:val="0"/>
          <w:numId w:val="44"/>
        </w:numPr>
        <w:ind w:left="0" w:firstLine="0"/>
        <w:jc w:val="both"/>
        <w:rPr>
          <w:rFonts w:ascii="Times New Roman" w:hAnsi="Times New Roman" w:cs="Times New Roman"/>
          <w:color w:val="000000" w:themeColor="text1"/>
          <w:sz w:val="24"/>
          <w:szCs w:val="24"/>
        </w:rPr>
      </w:pPr>
      <w:proofErr w:type="spellStart"/>
      <w:r w:rsidRPr="00D97209">
        <w:rPr>
          <w:rFonts w:ascii="Times New Roman" w:hAnsi="Times New Roman" w:cs="Times New Roman"/>
          <w:color w:val="000000" w:themeColor="text1"/>
          <w:sz w:val="24"/>
          <w:szCs w:val="24"/>
        </w:rPr>
        <w:t>Evaluarea</w:t>
      </w:r>
      <w:proofErr w:type="spellEnd"/>
      <w:r w:rsidRPr="00D97209">
        <w:rPr>
          <w:rFonts w:ascii="Times New Roman" w:hAnsi="Times New Roman" w:cs="Times New Roman"/>
          <w:color w:val="000000" w:themeColor="text1"/>
          <w:spacing w:val="-3"/>
          <w:sz w:val="24"/>
          <w:szCs w:val="24"/>
        </w:rPr>
        <w:t xml:space="preserve"> </w:t>
      </w:r>
      <w:proofErr w:type="spellStart"/>
      <w:r w:rsidRPr="00D97209">
        <w:rPr>
          <w:rFonts w:ascii="Times New Roman" w:hAnsi="Times New Roman" w:cs="Times New Roman"/>
          <w:color w:val="000000" w:themeColor="text1"/>
          <w:sz w:val="24"/>
          <w:szCs w:val="24"/>
        </w:rPr>
        <w:t>activităţilor</w:t>
      </w:r>
      <w:proofErr w:type="spellEnd"/>
      <w:r w:rsidRPr="00D97209">
        <w:rPr>
          <w:rFonts w:ascii="Times New Roman" w:hAnsi="Times New Roman" w:cs="Times New Roman"/>
          <w:color w:val="000000" w:themeColor="text1"/>
          <w:spacing w:val="-1"/>
          <w:sz w:val="24"/>
          <w:szCs w:val="24"/>
        </w:rPr>
        <w:t xml:space="preserve"> </w:t>
      </w:r>
      <w:r w:rsidRPr="00D97209">
        <w:rPr>
          <w:rFonts w:ascii="Times New Roman" w:hAnsi="Times New Roman" w:cs="Times New Roman"/>
          <w:color w:val="000000" w:themeColor="text1"/>
          <w:sz w:val="24"/>
          <w:szCs w:val="24"/>
        </w:rPr>
        <w:t>cu impact</w:t>
      </w:r>
      <w:r w:rsidRPr="00D97209">
        <w:rPr>
          <w:rFonts w:ascii="Times New Roman" w:hAnsi="Times New Roman" w:cs="Times New Roman"/>
          <w:color w:val="000000" w:themeColor="text1"/>
          <w:spacing w:val="-1"/>
          <w:sz w:val="24"/>
          <w:szCs w:val="24"/>
        </w:rPr>
        <w:t xml:space="preserve"> </w:t>
      </w:r>
      <w:proofErr w:type="spellStart"/>
      <w:r w:rsidRPr="00D97209">
        <w:rPr>
          <w:rFonts w:ascii="Times New Roman" w:hAnsi="Times New Roman" w:cs="Times New Roman"/>
          <w:color w:val="000000" w:themeColor="text1"/>
          <w:sz w:val="24"/>
          <w:szCs w:val="24"/>
        </w:rPr>
        <w:t>asupra</w:t>
      </w:r>
      <w:proofErr w:type="spellEnd"/>
      <w:r w:rsidRPr="00D97209">
        <w:rPr>
          <w:rFonts w:ascii="Times New Roman" w:hAnsi="Times New Roman" w:cs="Times New Roman"/>
          <w:color w:val="000000" w:themeColor="text1"/>
          <w:spacing w:val="-2"/>
          <w:sz w:val="24"/>
          <w:szCs w:val="24"/>
        </w:rPr>
        <w:t xml:space="preserve"> </w:t>
      </w:r>
      <w:proofErr w:type="spellStart"/>
      <w:r w:rsidRPr="00D97209">
        <w:rPr>
          <w:rFonts w:ascii="Times New Roman" w:hAnsi="Times New Roman" w:cs="Times New Roman"/>
          <w:color w:val="000000" w:themeColor="text1"/>
          <w:sz w:val="24"/>
          <w:szCs w:val="24"/>
        </w:rPr>
        <w:t>tipurilor</w:t>
      </w:r>
      <w:proofErr w:type="spellEnd"/>
      <w:r w:rsidRPr="00D97209">
        <w:rPr>
          <w:rFonts w:ascii="Times New Roman" w:hAnsi="Times New Roman" w:cs="Times New Roman"/>
          <w:color w:val="000000" w:themeColor="text1"/>
          <w:spacing w:val="-1"/>
          <w:sz w:val="24"/>
          <w:szCs w:val="24"/>
        </w:rPr>
        <w:t xml:space="preserve"> </w:t>
      </w:r>
      <w:r w:rsidRPr="00D97209">
        <w:rPr>
          <w:rFonts w:ascii="Times New Roman" w:hAnsi="Times New Roman" w:cs="Times New Roman"/>
          <w:color w:val="000000" w:themeColor="text1"/>
          <w:sz w:val="24"/>
          <w:szCs w:val="24"/>
        </w:rPr>
        <w:t>de</w:t>
      </w:r>
      <w:r w:rsidRPr="00D97209">
        <w:rPr>
          <w:rFonts w:ascii="Times New Roman" w:hAnsi="Times New Roman" w:cs="Times New Roman"/>
          <w:color w:val="000000" w:themeColor="text1"/>
          <w:spacing w:val="-3"/>
          <w:sz w:val="24"/>
          <w:szCs w:val="24"/>
        </w:rPr>
        <w:t xml:space="preserve"> </w:t>
      </w:r>
      <w:proofErr w:type="spellStart"/>
      <w:r w:rsidRPr="00D97209">
        <w:rPr>
          <w:rFonts w:ascii="Times New Roman" w:hAnsi="Times New Roman" w:cs="Times New Roman"/>
          <w:color w:val="000000" w:themeColor="text1"/>
          <w:sz w:val="24"/>
          <w:szCs w:val="24"/>
        </w:rPr>
        <w:t>habitate</w:t>
      </w:r>
      <w:proofErr w:type="spellEnd"/>
      <w:r w:rsidRPr="00D97209">
        <w:rPr>
          <w:rFonts w:ascii="Times New Roman" w:hAnsi="Times New Roman" w:cs="Times New Roman"/>
          <w:color w:val="000000" w:themeColor="text1"/>
          <w:spacing w:val="-1"/>
          <w:sz w:val="24"/>
          <w:szCs w:val="24"/>
        </w:rPr>
        <w:t xml:space="preserve"> </w:t>
      </w:r>
      <w:r w:rsidRPr="00D97209">
        <w:rPr>
          <w:rFonts w:ascii="Times New Roman" w:hAnsi="Times New Roman" w:cs="Times New Roman"/>
          <w:color w:val="000000" w:themeColor="text1"/>
          <w:sz w:val="24"/>
          <w:szCs w:val="24"/>
        </w:rPr>
        <w:t>de</w:t>
      </w:r>
      <w:r w:rsidRPr="00D97209">
        <w:rPr>
          <w:rFonts w:ascii="Times New Roman" w:hAnsi="Times New Roman" w:cs="Times New Roman"/>
          <w:color w:val="000000" w:themeColor="text1"/>
          <w:spacing w:val="-3"/>
          <w:sz w:val="24"/>
          <w:szCs w:val="24"/>
        </w:rPr>
        <w:t xml:space="preserve"> </w:t>
      </w:r>
      <w:proofErr w:type="spellStart"/>
      <w:r w:rsidRPr="00D97209">
        <w:rPr>
          <w:rFonts w:ascii="Times New Roman" w:hAnsi="Times New Roman" w:cs="Times New Roman"/>
          <w:color w:val="000000" w:themeColor="text1"/>
          <w:sz w:val="24"/>
          <w:szCs w:val="24"/>
        </w:rPr>
        <w:t>interes</w:t>
      </w:r>
      <w:proofErr w:type="spellEnd"/>
      <w:r w:rsidRPr="00D97209">
        <w:rPr>
          <w:rFonts w:ascii="Times New Roman" w:hAnsi="Times New Roman" w:cs="Times New Roman"/>
          <w:color w:val="000000" w:themeColor="text1"/>
          <w:spacing w:val="-1"/>
          <w:sz w:val="24"/>
          <w:szCs w:val="24"/>
        </w:rPr>
        <w:t xml:space="preserve"> </w:t>
      </w:r>
      <w:proofErr w:type="spellStart"/>
      <w:r w:rsidRPr="00D97209">
        <w:rPr>
          <w:rFonts w:ascii="Times New Roman" w:hAnsi="Times New Roman" w:cs="Times New Roman"/>
          <w:color w:val="000000" w:themeColor="text1"/>
          <w:sz w:val="24"/>
          <w:szCs w:val="24"/>
        </w:rPr>
        <w:t>conservativ</w:t>
      </w:r>
      <w:proofErr w:type="spellEnd"/>
      <w:r w:rsidRPr="00D97209">
        <w:rPr>
          <w:rFonts w:ascii="Times New Roman" w:hAnsi="Times New Roman" w:cs="Times New Roman"/>
          <w:color w:val="000000" w:themeColor="text1"/>
          <w:sz w:val="24"/>
          <w:szCs w:val="24"/>
        </w:rPr>
        <w:t>.</w:t>
      </w:r>
    </w:p>
    <w:p w14:paraId="1FC65FAC" w14:textId="77777777" w:rsidR="007702CD" w:rsidRPr="00C54A03" w:rsidRDefault="007702CD" w:rsidP="008E33FD">
      <w:pPr>
        <w:pStyle w:val="Heading2"/>
        <w:widowControl w:val="0"/>
        <w:tabs>
          <w:tab w:val="left" w:pos="1194"/>
        </w:tabs>
        <w:autoSpaceDE w:val="0"/>
        <w:autoSpaceDN w:val="0"/>
        <w:spacing w:before="245" w:beforeAutospacing="0" w:after="0" w:afterAutospacing="0"/>
        <w:jc w:val="both"/>
        <w:rPr>
          <w:color w:val="000000" w:themeColor="text1"/>
          <w:sz w:val="24"/>
          <w:szCs w:val="24"/>
        </w:rPr>
      </w:pPr>
      <w:proofErr w:type="spellStart"/>
      <w:r w:rsidRPr="00C54A03">
        <w:rPr>
          <w:color w:val="000000" w:themeColor="text1"/>
          <w:sz w:val="24"/>
          <w:szCs w:val="24"/>
        </w:rPr>
        <w:t>Relația</w:t>
      </w:r>
      <w:proofErr w:type="spellEnd"/>
      <w:r w:rsidRPr="00C54A03">
        <w:rPr>
          <w:color w:val="000000" w:themeColor="text1"/>
          <w:spacing w:val="-5"/>
          <w:sz w:val="24"/>
          <w:szCs w:val="24"/>
        </w:rPr>
        <w:t xml:space="preserve"> </w:t>
      </w:r>
      <w:r w:rsidRPr="00C54A03">
        <w:rPr>
          <w:color w:val="000000" w:themeColor="text1"/>
          <w:sz w:val="24"/>
          <w:szCs w:val="24"/>
        </w:rPr>
        <w:t>plot</w:t>
      </w:r>
      <w:r w:rsidRPr="00C54A03">
        <w:rPr>
          <w:color w:val="000000" w:themeColor="text1"/>
          <w:spacing w:val="-5"/>
          <w:sz w:val="24"/>
          <w:szCs w:val="24"/>
        </w:rPr>
        <w:t xml:space="preserve"> </w:t>
      </w:r>
      <w:r w:rsidRPr="00C54A03">
        <w:rPr>
          <w:color w:val="000000" w:themeColor="text1"/>
          <w:sz w:val="24"/>
          <w:szCs w:val="24"/>
        </w:rPr>
        <w:t>de</w:t>
      </w:r>
      <w:r w:rsidRPr="00C54A03">
        <w:rPr>
          <w:color w:val="000000" w:themeColor="text1"/>
          <w:spacing w:val="-6"/>
          <w:sz w:val="24"/>
          <w:szCs w:val="24"/>
        </w:rPr>
        <w:t xml:space="preserve"> </w:t>
      </w:r>
      <w:proofErr w:type="spellStart"/>
      <w:r w:rsidRPr="00C54A03">
        <w:rPr>
          <w:color w:val="000000" w:themeColor="text1"/>
          <w:sz w:val="24"/>
          <w:szCs w:val="24"/>
        </w:rPr>
        <w:t>monitorizare</w:t>
      </w:r>
      <w:proofErr w:type="spellEnd"/>
      <w:r w:rsidRPr="00C54A03">
        <w:rPr>
          <w:color w:val="000000" w:themeColor="text1"/>
          <w:sz w:val="24"/>
          <w:szCs w:val="24"/>
        </w:rPr>
        <w:t>/</w:t>
      </w:r>
      <w:proofErr w:type="spellStart"/>
      <w:r w:rsidRPr="00C54A03">
        <w:rPr>
          <w:color w:val="000000" w:themeColor="text1"/>
          <w:sz w:val="24"/>
          <w:szCs w:val="24"/>
        </w:rPr>
        <w:t>rețea</w:t>
      </w:r>
      <w:proofErr w:type="spellEnd"/>
      <w:r w:rsidRPr="00C54A03">
        <w:rPr>
          <w:color w:val="000000" w:themeColor="text1"/>
          <w:spacing w:val="-5"/>
          <w:sz w:val="24"/>
          <w:szCs w:val="24"/>
        </w:rPr>
        <w:t xml:space="preserve"> </w:t>
      </w:r>
      <w:r w:rsidRPr="00C54A03">
        <w:rPr>
          <w:color w:val="000000" w:themeColor="text1"/>
          <w:sz w:val="24"/>
          <w:szCs w:val="24"/>
        </w:rPr>
        <w:t>Natura</w:t>
      </w:r>
      <w:r w:rsidRPr="00C54A03">
        <w:rPr>
          <w:color w:val="000000" w:themeColor="text1"/>
          <w:spacing w:val="-4"/>
          <w:sz w:val="24"/>
          <w:szCs w:val="24"/>
        </w:rPr>
        <w:t xml:space="preserve"> </w:t>
      </w:r>
      <w:r w:rsidRPr="00C54A03">
        <w:rPr>
          <w:color w:val="000000" w:themeColor="text1"/>
          <w:sz w:val="24"/>
          <w:szCs w:val="24"/>
        </w:rPr>
        <w:t>2000</w:t>
      </w:r>
    </w:p>
    <w:p w14:paraId="18511F35" w14:textId="77777777" w:rsidR="007702CD" w:rsidRPr="00C54A03" w:rsidRDefault="007702CD" w:rsidP="004E6BFA">
      <w:pPr>
        <w:spacing w:before="157"/>
        <w:jc w:val="both"/>
        <w:rPr>
          <w:i/>
          <w:color w:val="000000" w:themeColor="text1"/>
        </w:rPr>
      </w:pPr>
      <w:r w:rsidRPr="00C54A03">
        <w:rPr>
          <w:i/>
          <w:color w:val="000000" w:themeColor="text1"/>
        </w:rPr>
        <w:t>Acoperirea</w:t>
      </w:r>
      <w:r w:rsidRPr="00C54A03">
        <w:rPr>
          <w:i/>
          <w:color w:val="000000" w:themeColor="text1"/>
          <w:spacing w:val="-1"/>
        </w:rPr>
        <w:t xml:space="preserve"> </w:t>
      </w:r>
      <w:r w:rsidRPr="00C54A03">
        <w:rPr>
          <w:i/>
          <w:color w:val="000000" w:themeColor="text1"/>
        </w:rPr>
        <w:t>NATURA</w:t>
      </w:r>
      <w:r w:rsidRPr="00C54A03">
        <w:rPr>
          <w:i/>
          <w:color w:val="000000" w:themeColor="text1"/>
          <w:spacing w:val="-2"/>
        </w:rPr>
        <w:t xml:space="preserve"> </w:t>
      </w:r>
      <w:r w:rsidRPr="00C54A03">
        <w:rPr>
          <w:i/>
          <w:color w:val="000000" w:themeColor="text1"/>
        </w:rPr>
        <w:t>2000</w:t>
      </w:r>
      <w:r w:rsidRPr="00C54A03">
        <w:rPr>
          <w:i/>
          <w:color w:val="000000" w:themeColor="text1"/>
          <w:spacing w:val="-1"/>
        </w:rPr>
        <w:t xml:space="preserve"> </w:t>
      </w:r>
      <w:r w:rsidRPr="00C54A03">
        <w:rPr>
          <w:i/>
          <w:color w:val="000000" w:themeColor="text1"/>
        </w:rPr>
        <w:t>(pSCIs,</w:t>
      </w:r>
      <w:r w:rsidRPr="00C54A03">
        <w:rPr>
          <w:i/>
          <w:color w:val="000000" w:themeColor="text1"/>
          <w:spacing w:val="-1"/>
        </w:rPr>
        <w:t xml:space="preserve"> </w:t>
      </w:r>
      <w:r w:rsidRPr="00C54A03">
        <w:rPr>
          <w:i/>
          <w:color w:val="000000" w:themeColor="text1"/>
        </w:rPr>
        <w:t>SCI</w:t>
      </w:r>
      <w:r w:rsidRPr="00C54A03">
        <w:rPr>
          <w:i/>
          <w:color w:val="000000" w:themeColor="text1"/>
          <w:spacing w:val="-1"/>
        </w:rPr>
        <w:t xml:space="preserve"> </w:t>
      </w:r>
      <w:r w:rsidRPr="00C54A03">
        <w:rPr>
          <w:i/>
          <w:color w:val="000000" w:themeColor="text1"/>
        </w:rPr>
        <w:t>și</w:t>
      </w:r>
      <w:r w:rsidRPr="00C54A03">
        <w:rPr>
          <w:i/>
          <w:color w:val="000000" w:themeColor="text1"/>
          <w:spacing w:val="-2"/>
        </w:rPr>
        <w:t xml:space="preserve"> </w:t>
      </w:r>
      <w:r w:rsidRPr="00C54A03">
        <w:rPr>
          <w:i/>
          <w:color w:val="000000" w:themeColor="text1"/>
        </w:rPr>
        <w:t>SACs)</w:t>
      </w:r>
      <w:r w:rsidRPr="00C54A03">
        <w:rPr>
          <w:i/>
          <w:color w:val="000000" w:themeColor="text1"/>
          <w:spacing w:val="-2"/>
        </w:rPr>
        <w:t xml:space="preserve"> </w:t>
      </w:r>
      <w:r w:rsidRPr="00C54A03">
        <w:rPr>
          <w:i/>
          <w:color w:val="000000" w:themeColor="text1"/>
        </w:rPr>
        <w:t>pentru</w:t>
      </w:r>
      <w:r w:rsidRPr="00C54A03">
        <w:rPr>
          <w:i/>
          <w:color w:val="000000" w:themeColor="text1"/>
          <w:spacing w:val="-1"/>
        </w:rPr>
        <w:t xml:space="preserve"> </w:t>
      </w:r>
      <w:r w:rsidRPr="00C54A03">
        <w:rPr>
          <w:i/>
          <w:color w:val="000000" w:themeColor="text1"/>
        </w:rPr>
        <w:t>habitatele</w:t>
      </w:r>
      <w:r w:rsidRPr="00C54A03">
        <w:rPr>
          <w:i/>
          <w:color w:val="000000" w:themeColor="text1"/>
          <w:spacing w:val="-2"/>
        </w:rPr>
        <w:t xml:space="preserve"> </w:t>
      </w:r>
      <w:r w:rsidRPr="00C54A03">
        <w:rPr>
          <w:i/>
          <w:color w:val="000000" w:themeColor="text1"/>
        </w:rPr>
        <w:t>din anexa</w:t>
      </w:r>
      <w:r w:rsidRPr="00C54A03">
        <w:rPr>
          <w:i/>
          <w:color w:val="000000" w:themeColor="text1"/>
          <w:spacing w:val="-1"/>
        </w:rPr>
        <w:t xml:space="preserve"> </w:t>
      </w:r>
      <w:r w:rsidRPr="00C54A03">
        <w:rPr>
          <w:i/>
          <w:color w:val="000000" w:themeColor="text1"/>
        </w:rPr>
        <w:t>I</w:t>
      </w:r>
    </w:p>
    <w:p w14:paraId="7B26DFEF" w14:textId="77777777" w:rsidR="007702CD" w:rsidRPr="00C54A03" w:rsidRDefault="007702CD" w:rsidP="00507CCA">
      <w:pPr>
        <w:pStyle w:val="BodyText"/>
        <w:ind w:left="0" w:right="27"/>
        <w:jc w:val="both"/>
        <w:rPr>
          <w:color w:val="000000" w:themeColor="text1"/>
          <w:sz w:val="24"/>
          <w:szCs w:val="24"/>
          <w:lang w:val="ro-RO"/>
        </w:rPr>
      </w:pPr>
      <w:r w:rsidRPr="00C54A03">
        <w:rPr>
          <w:color w:val="000000" w:themeColor="text1"/>
          <w:sz w:val="24"/>
          <w:szCs w:val="24"/>
          <w:lang w:val="ro-RO"/>
        </w:rPr>
        <w:t>Această secțiune oferă informații despre suprafața habitatului și tendința suprafeței în stare bună în</w:t>
      </w:r>
      <w:r w:rsidRPr="00C54A03">
        <w:rPr>
          <w:color w:val="000000" w:themeColor="text1"/>
          <w:spacing w:val="1"/>
          <w:sz w:val="24"/>
          <w:szCs w:val="24"/>
          <w:lang w:val="ro-RO"/>
        </w:rPr>
        <w:t xml:space="preserve"> </w:t>
      </w:r>
      <w:r w:rsidRPr="00C54A03">
        <w:rPr>
          <w:color w:val="000000" w:themeColor="text1"/>
          <w:sz w:val="24"/>
          <w:szCs w:val="24"/>
          <w:lang w:val="ro-RO"/>
        </w:rPr>
        <w:t>rețeaua Natura 2000. Informațiile solicitate ar trebui să acopere siturile de importanță comunitară</w:t>
      </w:r>
      <w:r w:rsidRPr="00C54A03">
        <w:rPr>
          <w:color w:val="000000" w:themeColor="text1"/>
          <w:spacing w:val="1"/>
          <w:sz w:val="24"/>
          <w:szCs w:val="24"/>
          <w:lang w:val="ro-RO"/>
        </w:rPr>
        <w:t xml:space="preserve"> </w:t>
      </w:r>
      <w:r w:rsidRPr="00C54A03">
        <w:rPr>
          <w:color w:val="000000" w:themeColor="text1"/>
          <w:sz w:val="24"/>
          <w:szCs w:val="24"/>
          <w:lang w:val="ro-RO"/>
        </w:rPr>
        <w:t>propuse (pSCI), siturile de importanță comunitară (SCI) și zonele speciale de conservare (SAC) ale</w:t>
      </w:r>
      <w:r w:rsidRPr="00C54A03">
        <w:rPr>
          <w:color w:val="000000" w:themeColor="text1"/>
          <w:spacing w:val="1"/>
          <w:sz w:val="24"/>
          <w:szCs w:val="24"/>
          <w:lang w:val="ro-RO"/>
        </w:rPr>
        <w:t xml:space="preserve"> </w:t>
      </w:r>
      <w:r w:rsidRPr="00C54A03">
        <w:rPr>
          <w:color w:val="000000" w:themeColor="text1"/>
          <w:sz w:val="24"/>
          <w:szCs w:val="24"/>
          <w:lang w:val="ro-RO"/>
        </w:rPr>
        <w:t>rețelei</w:t>
      </w:r>
      <w:r w:rsidRPr="00C54A03">
        <w:rPr>
          <w:color w:val="000000" w:themeColor="text1"/>
          <w:spacing w:val="-1"/>
          <w:sz w:val="24"/>
          <w:szCs w:val="24"/>
          <w:lang w:val="ro-RO"/>
        </w:rPr>
        <w:t xml:space="preserve"> </w:t>
      </w:r>
      <w:r w:rsidRPr="00C54A03">
        <w:rPr>
          <w:color w:val="000000" w:themeColor="text1"/>
          <w:sz w:val="24"/>
          <w:szCs w:val="24"/>
          <w:lang w:val="ro-RO"/>
        </w:rPr>
        <w:t>Natura</w:t>
      </w:r>
      <w:r w:rsidRPr="00C54A03">
        <w:rPr>
          <w:color w:val="000000" w:themeColor="text1"/>
          <w:spacing w:val="-2"/>
          <w:sz w:val="24"/>
          <w:szCs w:val="24"/>
          <w:lang w:val="ro-RO"/>
        </w:rPr>
        <w:t xml:space="preserve"> </w:t>
      </w:r>
      <w:r w:rsidRPr="00C54A03">
        <w:rPr>
          <w:color w:val="000000" w:themeColor="text1"/>
          <w:sz w:val="24"/>
          <w:szCs w:val="24"/>
          <w:lang w:val="ro-RO"/>
        </w:rPr>
        <w:t>2000 din regiunea</w:t>
      </w:r>
      <w:r w:rsidRPr="00C54A03">
        <w:rPr>
          <w:color w:val="000000" w:themeColor="text1"/>
          <w:spacing w:val="-1"/>
          <w:sz w:val="24"/>
          <w:szCs w:val="24"/>
          <w:lang w:val="ro-RO"/>
        </w:rPr>
        <w:t xml:space="preserve"> </w:t>
      </w:r>
      <w:r w:rsidRPr="00C54A03">
        <w:rPr>
          <w:color w:val="000000" w:themeColor="text1"/>
          <w:sz w:val="24"/>
          <w:szCs w:val="24"/>
          <w:lang w:val="ro-RO"/>
        </w:rPr>
        <w:t>biogeografică</w:t>
      </w:r>
      <w:r w:rsidRPr="00C54A03">
        <w:rPr>
          <w:color w:val="000000" w:themeColor="text1"/>
          <w:spacing w:val="-1"/>
          <w:sz w:val="24"/>
          <w:szCs w:val="24"/>
          <w:lang w:val="ro-RO"/>
        </w:rPr>
        <w:t xml:space="preserve"> </w:t>
      </w:r>
      <w:r w:rsidRPr="00C54A03">
        <w:rPr>
          <w:color w:val="000000" w:themeColor="text1"/>
          <w:sz w:val="24"/>
          <w:szCs w:val="24"/>
          <w:lang w:val="ro-RO"/>
        </w:rPr>
        <w:t>/</w:t>
      </w:r>
      <w:r w:rsidRPr="00C54A03">
        <w:rPr>
          <w:color w:val="000000" w:themeColor="text1"/>
          <w:spacing w:val="1"/>
          <w:sz w:val="24"/>
          <w:szCs w:val="24"/>
          <w:lang w:val="ro-RO"/>
        </w:rPr>
        <w:t xml:space="preserve"> </w:t>
      </w:r>
      <w:r w:rsidRPr="00C54A03">
        <w:rPr>
          <w:color w:val="000000" w:themeColor="text1"/>
          <w:sz w:val="24"/>
          <w:szCs w:val="24"/>
          <w:lang w:val="ro-RO"/>
        </w:rPr>
        <w:t>marină în cauză.</w:t>
      </w:r>
    </w:p>
    <w:p w14:paraId="1D69D00F" w14:textId="77777777" w:rsidR="007702CD" w:rsidRPr="00C54A03" w:rsidRDefault="007702CD" w:rsidP="00507CCA">
      <w:pPr>
        <w:pStyle w:val="BodyText"/>
        <w:ind w:left="0" w:right="27"/>
        <w:jc w:val="both"/>
        <w:rPr>
          <w:color w:val="000000" w:themeColor="text1"/>
          <w:sz w:val="24"/>
          <w:szCs w:val="24"/>
          <w:lang w:val="fr-FR"/>
        </w:rPr>
      </w:pPr>
      <w:proofErr w:type="spellStart"/>
      <w:r w:rsidRPr="00C54A03">
        <w:rPr>
          <w:color w:val="000000" w:themeColor="text1"/>
          <w:sz w:val="24"/>
          <w:szCs w:val="24"/>
          <w:lang w:val="fr-FR"/>
        </w:rPr>
        <w:t>Informațiile</w:t>
      </w:r>
      <w:proofErr w:type="spellEnd"/>
      <w:r w:rsidRPr="00C54A03">
        <w:rPr>
          <w:color w:val="000000" w:themeColor="text1"/>
          <w:sz w:val="24"/>
          <w:szCs w:val="24"/>
          <w:lang w:val="fr-FR"/>
        </w:rPr>
        <w:t xml:space="preserve"> se </w:t>
      </w:r>
      <w:proofErr w:type="spellStart"/>
      <w:r w:rsidRPr="00C54A03">
        <w:rPr>
          <w:color w:val="000000" w:themeColor="text1"/>
          <w:sz w:val="24"/>
          <w:szCs w:val="24"/>
          <w:lang w:val="fr-FR"/>
        </w:rPr>
        <w:t>referă</w:t>
      </w:r>
      <w:proofErr w:type="spellEnd"/>
      <w:r w:rsidRPr="00C54A03">
        <w:rPr>
          <w:color w:val="000000" w:themeColor="text1"/>
          <w:sz w:val="24"/>
          <w:szCs w:val="24"/>
          <w:lang w:val="fr-FR"/>
        </w:rPr>
        <w:t xml:space="preserve"> la </w:t>
      </w:r>
      <w:proofErr w:type="spellStart"/>
      <w:r w:rsidRPr="00C54A03">
        <w:rPr>
          <w:color w:val="000000" w:themeColor="text1"/>
          <w:sz w:val="24"/>
          <w:szCs w:val="24"/>
          <w:lang w:val="fr-FR"/>
        </w:rPr>
        <w:t>toate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pSCI-urile</w:t>
      </w:r>
      <w:proofErr w:type="spellEnd"/>
      <w:r w:rsidRPr="00C54A03">
        <w:rPr>
          <w:color w:val="000000" w:themeColor="text1"/>
          <w:sz w:val="24"/>
          <w:szCs w:val="24"/>
          <w:lang w:val="fr-FR"/>
        </w:rPr>
        <w:t xml:space="preserve"> / SCI-</w:t>
      </w:r>
      <w:proofErr w:type="spellStart"/>
      <w:r w:rsidRPr="00C54A03">
        <w:rPr>
          <w:color w:val="000000" w:themeColor="text1"/>
          <w:sz w:val="24"/>
          <w:szCs w:val="24"/>
          <w:lang w:val="fr-FR"/>
        </w:rPr>
        <w:t>urile</w:t>
      </w:r>
      <w:proofErr w:type="spellEnd"/>
      <w:r w:rsidRPr="00C54A03">
        <w:rPr>
          <w:color w:val="000000" w:themeColor="text1"/>
          <w:sz w:val="24"/>
          <w:szCs w:val="24"/>
          <w:lang w:val="fr-FR"/>
        </w:rPr>
        <w:t xml:space="preserve"> / SAC-</w:t>
      </w:r>
      <w:proofErr w:type="spellStart"/>
      <w:r w:rsidRPr="00C54A03">
        <w:rPr>
          <w:color w:val="000000" w:themeColor="text1"/>
          <w:sz w:val="24"/>
          <w:szCs w:val="24"/>
          <w:lang w:val="fr-FR"/>
        </w:rPr>
        <w:t>urile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care </w:t>
      </w:r>
      <w:proofErr w:type="spellStart"/>
      <w:r w:rsidRPr="00C54A03">
        <w:rPr>
          <w:color w:val="000000" w:themeColor="text1"/>
          <w:sz w:val="24"/>
          <w:szCs w:val="24"/>
          <w:lang w:val="fr-FR"/>
        </w:rPr>
        <w:t>habitatele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din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anexa</w:t>
      </w:r>
      <w:proofErr w:type="spellEnd"/>
      <w:r w:rsidRPr="00C54A03">
        <w:rPr>
          <w:color w:val="000000" w:themeColor="text1"/>
          <w:sz w:val="24"/>
          <w:szCs w:val="24"/>
          <w:lang w:val="fr-FR"/>
        </w:rPr>
        <w:t xml:space="preserve"> I </w:t>
      </w:r>
      <w:proofErr w:type="spellStart"/>
      <w:r w:rsidRPr="00C54A03">
        <w:rPr>
          <w:color w:val="000000" w:themeColor="text1"/>
          <w:sz w:val="24"/>
          <w:szCs w:val="24"/>
          <w:lang w:val="fr-FR"/>
        </w:rPr>
        <w:t>sunt</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prezente</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r w:rsidRPr="00C54A03">
        <w:rPr>
          <w:color w:val="000000" w:themeColor="text1"/>
          <w:sz w:val="24"/>
          <w:szCs w:val="24"/>
          <w:lang w:val="fr-FR"/>
        </w:rPr>
        <w:t xml:space="preserve">nu </w:t>
      </w:r>
      <w:proofErr w:type="spellStart"/>
      <w:r w:rsidRPr="00C54A03">
        <w:rPr>
          <w:color w:val="000000" w:themeColor="text1"/>
          <w:sz w:val="24"/>
          <w:szCs w:val="24"/>
          <w:lang w:val="fr-FR"/>
        </w:rPr>
        <w:t>numai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acele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sit-uri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care</w:t>
      </w:r>
      <w:r w:rsidRPr="00C54A03">
        <w:rPr>
          <w:color w:val="000000" w:themeColor="text1"/>
          <w:spacing w:val="-2"/>
          <w:sz w:val="24"/>
          <w:szCs w:val="24"/>
          <w:lang w:val="fr-FR"/>
        </w:rPr>
        <w:t xml:space="preserve"> </w:t>
      </w:r>
      <w:proofErr w:type="spellStart"/>
      <w:r w:rsidRPr="00C54A03">
        <w:rPr>
          <w:color w:val="000000" w:themeColor="text1"/>
          <w:sz w:val="24"/>
          <w:szCs w:val="24"/>
          <w:lang w:val="fr-FR"/>
        </w:rPr>
        <w:t>habitatul</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 xml:space="preserve">este </w:t>
      </w:r>
      <w:proofErr w:type="spellStart"/>
      <w:r w:rsidRPr="00C54A03">
        <w:rPr>
          <w:color w:val="000000" w:themeColor="text1"/>
          <w:sz w:val="24"/>
          <w:szCs w:val="24"/>
          <w:lang w:val="fr-FR"/>
        </w:rPr>
        <w:t>declarat</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obiectiv</w:t>
      </w:r>
      <w:proofErr w:type="spellEnd"/>
      <w:r w:rsidRPr="00C54A03">
        <w:rPr>
          <w:color w:val="000000" w:themeColor="text1"/>
          <w:sz w:val="24"/>
          <w:szCs w:val="24"/>
          <w:lang w:val="fr-FR"/>
        </w:rPr>
        <w:t xml:space="preserve"> 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conservare</w:t>
      </w:r>
      <w:proofErr w:type="spellEnd"/>
      <w:r w:rsidRPr="00C54A03">
        <w:rPr>
          <w:color w:val="000000" w:themeColor="text1"/>
          <w:sz w:val="24"/>
          <w:szCs w:val="24"/>
          <w:lang w:val="fr-FR"/>
        </w:rPr>
        <w:t>.</w:t>
      </w:r>
    </w:p>
    <w:p w14:paraId="7F5F8937" w14:textId="77777777" w:rsidR="007702CD" w:rsidRPr="00C54A03" w:rsidRDefault="007702CD" w:rsidP="00507CCA">
      <w:pPr>
        <w:ind w:right="27"/>
        <w:jc w:val="both"/>
        <w:rPr>
          <w:i/>
          <w:color w:val="000000" w:themeColor="text1"/>
        </w:rPr>
      </w:pPr>
      <w:r w:rsidRPr="00C54A03">
        <w:rPr>
          <w:i/>
          <w:color w:val="000000" w:themeColor="text1"/>
        </w:rPr>
        <w:t>Suprafața</w:t>
      </w:r>
      <w:r w:rsidRPr="00C54A03">
        <w:rPr>
          <w:i/>
          <w:color w:val="000000" w:themeColor="text1"/>
          <w:spacing w:val="-1"/>
        </w:rPr>
        <w:t xml:space="preserve"> </w:t>
      </w:r>
      <w:r w:rsidRPr="00C54A03">
        <w:rPr>
          <w:i/>
          <w:color w:val="000000" w:themeColor="text1"/>
        </w:rPr>
        <w:t>tipului</w:t>
      </w:r>
      <w:r w:rsidRPr="00C54A03">
        <w:rPr>
          <w:i/>
          <w:color w:val="000000" w:themeColor="text1"/>
          <w:spacing w:val="-1"/>
        </w:rPr>
        <w:t xml:space="preserve"> </w:t>
      </w:r>
      <w:r w:rsidRPr="00C54A03">
        <w:rPr>
          <w:i/>
          <w:color w:val="000000" w:themeColor="text1"/>
        </w:rPr>
        <w:t>de</w:t>
      </w:r>
      <w:r w:rsidRPr="00C54A03">
        <w:rPr>
          <w:i/>
          <w:color w:val="000000" w:themeColor="text1"/>
          <w:spacing w:val="-1"/>
        </w:rPr>
        <w:t xml:space="preserve"> </w:t>
      </w:r>
      <w:r w:rsidRPr="00C54A03">
        <w:rPr>
          <w:i/>
          <w:color w:val="000000" w:themeColor="text1"/>
        </w:rPr>
        <w:t>habitat</w:t>
      </w:r>
      <w:r w:rsidRPr="00C54A03">
        <w:rPr>
          <w:i/>
          <w:color w:val="000000" w:themeColor="text1"/>
          <w:spacing w:val="-1"/>
        </w:rPr>
        <w:t xml:space="preserve"> </w:t>
      </w:r>
      <w:r w:rsidRPr="00C54A03">
        <w:rPr>
          <w:i/>
          <w:color w:val="000000" w:themeColor="text1"/>
        </w:rPr>
        <w:t>din rețeaua</w:t>
      </w:r>
      <w:r w:rsidRPr="00C54A03">
        <w:rPr>
          <w:i/>
          <w:color w:val="000000" w:themeColor="text1"/>
          <w:spacing w:val="-1"/>
        </w:rPr>
        <w:t xml:space="preserve"> </w:t>
      </w:r>
      <w:r w:rsidRPr="00C54A03">
        <w:rPr>
          <w:i/>
          <w:color w:val="000000" w:themeColor="text1"/>
        </w:rPr>
        <w:t>pSCI,</w:t>
      </w:r>
      <w:r w:rsidRPr="00C54A03">
        <w:rPr>
          <w:i/>
          <w:color w:val="000000" w:themeColor="text1"/>
          <w:spacing w:val="-1"/>
        </w:rPr>
        <w:t xml:space="preserve"> </w:t>
      </w:r>
      <w:r w:rsidRPr="00C54A03">
        <w:rPr>
          <w:i/>
          <w:color w:val="000000" w:themeColor="text1"/>
        </w:rPr>
        <w:t>SCI</w:t>
      </w:r>
      <w:r w:rsidRPr="00C54A03">
        <w:rPr>
          <w:i/>
          <w:color w:val="000000" w:themeColor="text1"/>
          <w:spacing w:val="-2"/>
        </w:rPr>
        <w:t xml:space="preserve"> </w:t>
      </w:r>
      <w:r w:rsidRPr="00C54A03">
        <w:rPr>
          <w:i/>
          <w:color w:val="000000" w:themeColor="text1"/>
        </w:rPr>
        <w:t>și</w:t>
      </w:r>
      <w:r w:rsidRPr="00C54A03">
        <w:rPr>
          <w:i/>
          <w:color w:val="000000" w:themeColor="text1"/>
          <w:spacing w:val="-1"/>
        </w:rPr>
        <w:t xml:space="preserve"> </w:t>
      </w:r>
      <w:r w:rsidRPr="00C54A03">
        <w:rPr>
          <w:i/>
          <w:color w:val="000000" w:themeColor="text1"/>
        </w:rPr>
        <w:t>SAC</w:t>
      </w:r>
    </w:p>
    <w:p w14:paraId="0F2004E9" w14:textId="77777777" w:rsidR="007702CD" w:rsidRPr="00C54A03" w:rsidRDefault="007702CD" w:rsidP="00507CCA">
      <w:pPr>
        <w:pStyle w:val="BodyText"/>
        <w:ind w:left="0" w:right="27"/>
        <w:jc w:val="both"/>
        <w:rPr>
          <w:color w:val="000000" w:themeColor="text1"/>
          <w:sz w:val="24"/>
          <w:szCs w:val="24"/>
        </w:rPr>
      </w:pPr>
      <w:r w:rsidRPr="00C54A03">
        <w:rPr>
          <w:color w:val="000000" w:themeColor="text1"/>
          <w:sz w:val="24"/>
          <w:szCs w:val="24"/>
          <w:lang w:val="fr-FR"/>
        </w:rPr>
        <w:t xml:space="preserve">Se </w:t>
      </w:r>
      <w:proofErr w:type="spellStart"/>
      <w:r w:rsidRPr="00C54A03">
        <w:rPr>
          <w:color w:val="000000" w:themeColor="text1"/>
          <w:sz w:val="24"/>
          <w:szCs w:val="24"/>
          <w:lang w:val="fr-FR"/>
        </w:rPr>
        <w:t>indică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suprafața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tipului</w:t>
      </w:r>
      <w:proofErr w:type="spellEnd"/>
      <w:r w:rsidRPr="00C54A03">
        <w:rPr>
          <w:color w:val="000000" w:themeColor="text1"/>
          <w:sz w:val="24"/>
          <w:szCs w:val="24"/>
          <w:lang w:val="fr-FR"/>
        </w:rPr>
        <w:t xml:space="preserve"> de habitat </w:t>
      </w:r>
      <w:proofErr w:type="spellStart"/>
      <w:r w:rsidRPr="00C54A03">
        <w:rPr>
          <w:color w:val="000000" w:themeColor="text1"/>
          <w:sz w:val="24"/>
          <w:szCs w:val="24"/>
          <w:lang w:val="fr-FR"/>
        </w:rPr>
        <w:t>din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rețea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din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regiunea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biogeografică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sau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marină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cauză</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inclusiv</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toate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siturile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care este </w:t>
      </w:r>
      <w:proofErr w:type="spellStart"/>
      <w:r w:rsidRPr="00C54A03">
        <w:rPr>
          <w:color w:val="000000" w:themeColor="text1"/>
          <w:sz w:val="24"/>
          <w:szCs w:val="24"/>
          <w:lang w:val="fr-FR"/>
        </w:rPr>
        <w:t>prezent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tipul</w:t>
      </w:r>
      <w:proofErr w:type="spellEnd"/>
      <w:r w:rsidRPr="00C54A03">
        <w:rPr>
          <w:color w:val="000000" w:themeColor="text1"/>
          <w:sz w:val="24"/>
          <w:szCs w:val="24"/>
          <w:lang w:val="fr-FR"/>
        </w:rPr>
        <w:t xml:space="preserve"> de habitat. </w:t>
      </w:r>
      <w:r w:rsidRPr="00C54A03">
        <w:rPr>
          <w:color w:val="000000" w:themeColor="text1"/>
          <w:sz w:val="24"/>
          <w:szCs w:val="24"/>
        </w:rPr>
        <w:t xml:space="preserve">Se </w:t>
      </w:r>
      <w:proofErr w:type="spellStart"/>
      <w:r w:rsidRPr="00C54A03">
        <w:rPr>
          <w:color w:val="000000" w:themeColor="text1"/>
          <w:sz w:val="24"/>
          <w:szCs w:val="24"/>
        </w:rPr>
        <w:t>urmăresc</w:t>
      </w:r>
      <w:proofErr w:type="spellEnd"/>
      <w:r w:rsidRPr="00C54A03">
        <w:rPr>
          <w:color w:val="000000" w:themeColor="text1"/>
          <w:sz w:val="24"/>
          <w:szCs w:val="24"/>
        </w:rPr>
        <w:t xml:space="preserve"> </w:t>
      </w:r>
      <w:proofErr w:type="spellStart"/>
      <w:r w:rsidRPr="00C54A03">
        <w:rPr>
          <w:color w:val="000000" w:themeColor="text1"/>
          <w:sz w:val="24"/>
          <w:szCs w:val="24"/>
        </w:rPr>
        <w:t>aceleași</w:t>
      </w:r>
      <w:proofErr w:type="spellEnd"/>
      <w:r w:rsidRPr="00C54A03">
        <w:rPr>
          <w:color w:val="000000" w:themeColor="text1"/>
          <w:sz w:val="24"/>
          <w:szCs w:val="24"/>
        </w:rPr>
        <w:t xml:space="preserve"> </w:t>
      </w:r>
      <w:proofErr w:type="spellStart"/>
      <w:r w:rsidRPr="00C54A03">
        <w:rPr>
          <w:color w:val="000000" w:themeColor="text1"/>
          <w:sz w:val="24"/>
          <w:szCs w:val="24"/>
        </w:rPr>
        <w:t>recomandări</w:t>
      </w:r>
      <w:proofErr w:type="spellEnd"/>
      <w:r w:rsidRPr="00C54A03">
        <w:rPr>
          <w:color w:val="000000" w:themeColor="text1"/>
          <w:sz w:val="24"/>
          <w:szCs w:val="24"/>
        </w:rPr>
        <w:t xml:space="preserve"> ca </w:t>
      </w:r>
      <w:proofErr w:type="spellStart"/>
      <w:r w:rsidRPr="00C54A03">
        <w:rPr>
          <w:color w:val="000000" w:themeColor="text1"/>
          <w:sz w:val="24"/>
          <w:szCs w:val="24"/>
        </w:rPr>
        <w:t>și</w:t>
      </w:r>
      <w:proofErr w:type="spellEnd"/>
      <w:r w:rsidRPr="00C54A03">
        <w:rPr>
          <w:color w:val="000000" w:themeColor="text1"/>
          <w:spacing w:val="1"/>
          <w:sz w:val="24"/>
          <w:szCs w:val="24"/>
        </w:rPr>
        <w:t xml:space="preserve"> </w:t>
      </w:r>
      <w:proofErr w:type="spellStart"/>
      <w:r w:rsidRPr="00C54A03">
        <w:rPr>
          <w:color w:val="000000" w:themeColor="text1"/>
          <w:sz w:val="24"/>
          <w:szCs w:val="24"/>
        </w:rPr>
        <w:t>pentru</w:t>
      </w:r>
      <w:proofErr w:type="spellEnd"/>
      <w:r w:rsidRPr="00C54A03">
        <w:rPr>
          <w:color w:val="000000" w:themeColor="text1"/>
          <w:spacing w:val="-1"/>
          <w:sz w:val="24"/>
          <w:szCs w:val="24"/>
        </w:rPr>
        <w:t xml:space="preserve"> </w:t>
      </w:r>
      <w:proofErr w:type="spellStart"/>
      <w:r w:rsidRPr="00C54A03">
        <w:rPr>
          <w:color w:val="000000" w:themeColor="text1"/>
          <w:sz w:val="24"/>
          <w:szCs w:val="24"/>
        </w:rPr>
        <w:t>suprafața</w:t>
      </w:r>
      <w:proofErr w:type="spellEnd"/>
      <w:r w:rsidRPr="00C54A03">
        <w:rPr>
          <w:color w:val="000000" w:themeColor="text1"/>
          <w:sz w:val="24"/>
          <w:szCs w:val="24"/>
        </w:rPr>
        <w:t xml:space="preserve"> </w:t>
      </w:r>
      <w:proofErr w:type="spellStart"/>
      <w:r w:rsidRPr="00C54A03">
        <w:rPr>
          <w:color w:val="000000" w:themeColor="text1"/>
          <w:sz w:val="24"/>
          <w:szCs w:val="24"/>
        </w:rPr>
        <w:t>habitatului</w:t>
      </w:r>
      <w:proofErr w:type="spellEnd"/>
      <w:r w:rsidRPr="00C54A03">
        <w:rPr>
          <w:color w:val="000000" w:themeColor="text1"/>
          <w:sz w:val="24"/>
          <w:szCs w:val="24"/>
        </w:rPr>
        <w:t>.</w:t>
      </w:r>
    </w:p>
    <w:p w14:paraId="5A6910EC" w14:textId="77777777" w:rsidR="007702CD" w:rsidRPr="00C54A03" w:rsidRDefault="007702CD" w:rsidP="008E33FD">
      <w:pPr>
        <w:pStyle w:val="BodyText"/>
        <w:spacing w:before="8" w:after="1"/>
        <w:jc w:val="both"/>
        <w:rPr>
          <w:color w:val="000000" w:themeColor="text1"/>
          <w:sz w:val="24"/>
          <w:szCs w:val="24"/>
        </w:rPr>
      </w:pPr>
    </w:p>
    <w:tbl>
      <w:tblPr>
        <w:tblW w:w="0" w:type="auto"/>
        <w:tblInd w:w="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706"/>
        <w:gridCol w:w="707"/>
        <w:gridCol w:w="706"/>
        <w:gridCol w:w="706"/>
        <w:gridCol w:w="706"/>
        <w:gridCol w:w="706"/>
        <w:gridCol w:w="1422"/>
        <w:gridCol w:w="2600"/>
      </w:tblGrid>
      <w:tr w:rsidR="007702CD" w:rsidRPr="00C54A03" w14:paraId="31FB134D" w14:textId="77777777" w:rsidTr="00102A1A">
        <w:trPr>
          <w:trHeight w:val="506"/>
        </w:trPr>
        <w:tc>
          <w:tcPr>
            <w:tcW w:w="1385" w:type="dxa"/>
          </w:tcPr>
          <w:p w14:paraId="0BBB0302" w14:textId="77777777" w:rsidR="007702CD" w:rsidRPr="00C54A03" w:rsidRDefault="007702CD" w:rsidP="008E33FD">
            <w:pPr>
              <w:pStyle w:val="TableParagraph"/>
              <w:spacing w:before="8"/>
              <w:jc w:val="both"/>
              <w:rPr>
                <w:color w:val="000000" w:themeColor="text1"/>
                <w:sz w:val="24"/>
                <w:szCs w:val="24"/>
              </w:rPr>
            </w:pPr>
          </w:p>
          <w:p w14:paraId="206F0BF7" w14:textId="77777777" w:rsidR="007702CD" w:rsidRPr="00C54A03" w:rsidRDefault="007702CD" w:rsidP="008E33FD">
            <w:pPr>
              <w:pStyle w:val="TableParagraph"/>
              <w:spacing w:before="1" w:line="236" w:lineRule="exact"/>
              <w:ind w:left="88" w:right="80"/>
              <w:jc w:val="both"/>
              <w:rPr>
                <w:b/>
                <w:color w:val="000000" w:themeColor="text1"/>
                <w:sz w:val="24"/>
                <w:szCs w:val="24"/>
              </w:rPr>
            </w:pPr>
            <w:r w:rsidRPr="00C54A03">
              <w:rPr>
                <w:b/>
                <w:color w:val="000000" w:themeColor="text1"/>
                <w:sz w:val="24"/>
                <w:szCs w:val="24"/>
              </w:rPr>
              <w:t>Cod</w:t>
            </w:r>
            <w:r w:rsidRPr="00C54A03">
              <w:rPr>
                <w:b/>
                <w:color w:val="000000" w:themeColor="text1"/>
                <w:spacing w:val="-2"/>
                <w:sz w:val="24"/>
                <w:szCs w:val="24"/>
              </w:rPr>
              <w:t xml:space="preserve"> </w:t>
            </w:r>
            <w:r w:rsidRPr="00C54A03">
              <w:rPr>
                <w:b/>
                <w:color w:val="000000" w:themeColor="text1"/>
                <w:sz w:val="24"/>
                <w:szCs w:val="24"/>
              </w:rPr>
              <w:t>Habitat</w:t>
            </w:r>
          </w:p>
        </w:tc>
        <w:tc>
          <w:tcPr>
            <w:tcW w:w="706" w:type="dxa"/>
          </w:tcPr>
          <w:p w14:paraId="5F2ACAF6" w14:textId="77777777" w:rsidR="007702CD" w:rsidRPr="00C54A03" w:rsidRDefault="007702CD" w:rsidP="008E33FD">
            <w:pPr>
              <w:pStyle w:val="TableParagraph"/>
              <w:spacing w:before="8"/>
              <w:jc w:val="both"/>
              <w:rPr>
                <w:color w:val="000000" w:themeColor="text1"/>
                <w:sz w:val="24"/>
                <w:szCs w:val="24"/>
              </w:rPr>
            </w:pPr>
          </w:p>
          <w:p w14:paraId="07B91D1B" w14:textId="77777777" w:rsidR="007702CD" w:rsidRPr="00C54A03" w:rsidRDefault="007702CD" w:rsidP="008E33FD">
            <w:pPr>
              <w:pStyle w:val="TableParagraph"/>
              <w:spacing w:before="1" w:line="236" w:lineRule="exact"/>
              <w:ind w:left="90" w:right="85"/>
              <w:jc w:val="both"/>
              <w:rPr>
                <w:b/>
                <w:color w:val="000000" w:themeColor="text1"/>
                <w:sz w:val="24"/>
                <w:szCs w:val="24"/>
              </w:rPr>
            </w:pPr>
            <w:r w:rsidRPr="00C54A03">
              <w:rPr>
                <w:b/>
                <w:color w:val="000000" w:themeColor="text1"/>
                <w:sz w:val="24"/>
                <w:szCs w:val="24"/>
              </w:rPr>
              <w:t>ALP</w:t>
            </w:r>
          </w:p>
        </w:tc>
        <w:tc>
          <w:tcPr>
            <w:tcW w:w="707" w:type="dxa"/>
          </w:tcPr>
          <w:p w14:paraId="639E5133" w14:textId="77777777" w:rsidR="007702CD" w:rsidRPr="00C54A03" w:rsidRDefault="007702CD" w:rsidP="008E33FD">
            <w:pPr>
              <w:pStyle w:val="TableParagraph"/>
              <w:spacing w:before="8"/>
              <w:jc w:val="both"/>
              <w:rPr>
                <w:color w:val="000000" w:themeColor="text1"/>
                <w:sz w:val="24"/>
                <w:szCs w:val="24"/>
              </w:rPr>
            </w:pPr>
          </w:p>
          <w:p w14:paraId="4B9DFACD" w14:textId="77777777" w:rsidR="007702CD" w:rsidRPr="00C54A03" w:rsidRDefault="007702CD" w:rsidP="008E33FD">
            <w:pPr>
              <w:pStyle w:val="TableParagraph"/>
              <w:spacing w:before="1" w:line="236" w:lineRule="exact"/>
              <w:ind w:left="87" w:right="80"/>
              <w:jc w:val="both"/>
              <w:rPr>
                <w:b/>
                <w:color w:val="000000" w:themeColor="text1"/>
                <w:sz w:val="24"/>
                <w:szCs w:val="24"/>
              </w:rPr>
            </w:pPr>
            <w:r w:rsidRPr="00C54A03">
              <w:rPr>
                <w:b/>
                <w:color w:val="000000" w:themeColor="text1"/>
                <w:sz w:val="24"/>
                <w:szCs w:val="24"/>
              </w:rPr>
              <w:t>CON</w:t>
            </w:r>
          </w:p>
        </w:tc>
        <w:tc>
          <w:tcPr>
            <w:tcW w:w="706" w:type="dxa"/>
          </w:tcPr>
          <w:p w14:paraId="06AB6C2F" w14:textId="77777777" w:rsidR="007702CD" w:rsidRPr="00C54A03" w:rsidRDefault="007702CD" w:rsidP="008E33FD">
            <w:pPr>
              <w:pStyle w:val="TableParagraph"/>
              <w:spacing w:before="8"/>
              <w:jc w:val="both"/>
              <w:rPr>
                <w:color w:val="000000" w:themeColor="text1"/>
                <w:sz w:val="24"/>
                <w:szCs w:val="24"/>
              </w:rPr>
            </w:pPr>
          </w:p>
          <w:p w14:paraId="7961F527" w14:textId="77777777" w:rsidR="007702CD" w:rsidRPr="00C54A03" w:rsidRDefault="007702CD" w:rsidP="008E33FD">
            <w:pPr>
              <w:pStyle w:val="TableParagraph"/>
              <w:spacing w:before="1" w:line="236" w:lineRule="exact"/>
              <w:ind w:left="94" w:right="85"/>
              <w:jc w:val="both"/>
              <w:rPr>
                <w:b/>
                <w:color w:val="000000" w:themeColor="text1"/>
                <w:sz w:val="24"/>
                <w:szCs w:val="24"/>
              </w:rPr>
            </w:pPr>
            <w:r w:rsidRPr="00C54A03">
              <w:rPr>
                <w:b/>
                <w:color w:val="000000" w:themeColor="text1"/>
                <w:sz w:val="24"/>
                <w:szCs w:val="24"/>
              </w:rPr>
              <w:t>PAN</w:t>
            </w:r>
          </w:p>
        </w:tc>
        <w:tc>
          <w:tcPr>
            <w:tcW w:w="706" w:type="dxa"/>
          </w:tcPr>
          <w:p w14:paraId="3E06CE35" w14:textId="77777777" w:rsidR="007702CD" w:rsidRPr="00C54A03" w:rsidRDefault="007702CD" w:rsidP="008E33FD">
            <w:pPr>
              <w:pStyle w:val="TableParagraph"/>
              <w:spacing w:before="8"/>
              <w:jc w:val="both"/>
              <w:rPr>
                <w:color w:val="000000" w:themeColor="text1"/>
                <w:sz w:val="24"/>
                <w:szCs w:val="24"/>
              </w:rPr>
            </w:pPr>
          </w:p>
          <w:p w14:paraId="2621969B" w14:textId="77777777" w:rsidR="007702CD" w:rsidRPr="00C54A03" w:rsidRDefault="007702CD" w:rsidP="008E33FD">
            <w:pPr>
              <w:pStyle w:val="TableParagraph"/>
              <w:spacing w:before="1" w:line="236" w:lineRule="exact"/>
              <w:ind w:left="88" w:right="85"/>
              <w:jc w:val="both"/>
              <w:rPr>
                <w:b/>
                <w:color w:val="000000" w:themeColor="text1"/>
                <w:sz w:val="24"/>
                <w:szCs w:val="24"/>
              </w:rPr>
            </w:pPr>
            <w:r w:rsidRPr="00C54A03">
              <w:rPr>
                <w:b/>
                <w:color w:val="000000" w:themeColor="text1"/>
                <w:sz w:val="24"/>
                <w:szCs w:val="24"/>
              </w:rPr>
              <w:t>STE</w:t>
            </w:r>
          </w:p>
        </w:tc>
        <w:tc>
          <w:tcPr>
            <w:tcW w:w="706" w:type="dxa"/>
          </w:tcPr>
          <w:p w14:paraId="719B797E" w14:textId="77777777" w:rsidR="007702CD" w:rsidRPr="00C54A03" w:rsidRDefault="007702CD" w:rsidP="008E33FD">
            <w:pPr>
              <w:pStyle w:val="TableParagraph"/>
              <w:spacing w:before="8"/>
              <w:jc w:val="both"/>
              <w:rPr>
                <w:color w:val="000000" w:themeColor="text1"/>
                <w:sz w:val="24"/>
                <w:szCs w:val="24"/>
              </w:rPr>
            </w:pPr>
          </w:p>
          <w:p w14:paraId="7490D806" w14:textId="77777777" w:rsidR="007702CD" w:rsidRPr="00C54A03" w:rsidRDefault="007702CD" w:rsidP="008E33FD">
            <w:pPr>
              <w:pStyle w:val="TableParagraph"/>
              <w:spacing w:before="1" w:line="236" w:lineRule="exact"/>
              <w:ind w:left="89" w:right="85"/>
              <w:jc w:val="both"/>
              <w:rPr>
                <w:b/>
                <w:color w:val="000000" w:themeColor="text1"/>
                <w:sz w:val="24"/>
                <w:szCs w:val="24"/>
              </w:rPr>
            </w:pPr>
            <w:r w:rsidRPr="00C54A03">
              <w:rPr>
                <w:b/>
                <w:color w:val="000000" w:themeColor="text1"/>
                <w:sz w:val="24"/>
                <w:szCs w:val="24"/>
              </w:rPr>
              <w:t>BLS</w:t>
            </w:r>
          </w:p>
        </w:tc>
        <w:tc>
          <w:tcPr>
            <w:tcW w:w="706" w:type="dxa"/>
          </w:tcPr>
          <w:p w14:paraId="73BC44C1" w14:textId="77777777" w:rsidR="007702CD" w:rsidRPr="00C54A03" w:rsidRDefault="007702CD" w:rsidP="008E33FD">
            <w:pPr>
              <w:pStyle w:val="TableParagraph"/>
              <w:spacing w:before="8"/>
              <w:jc w:val="both"/>
              <w:rPr>
                <w:color w:val="000000" w:themeColor="text1"/>
                <w:sz w:val="24"/>
                <w:szCs w:val="24"/>
              </w:rPr>
            </w:pPr>
          </w:p>
          <w:p w14:paraId="18A69395" w14:textId="77777777" w:rsidR="007702CD" w:rsidRPr="00C54A03" w:rsidRDefault="007702CD" w:rsidP="008E33FD">
            <w:pPr>
              <w:pStyle w:val="TableParagraph"/>
              <w:spacing w:before="1" w:line="236" w:lineRule="exact"/>
              <w:ind w:left="94" w:right="85"/>
              <w:jc w:val="both"/>
              <w:rPr>
                <w:b/>
                <w:color w:val="000000" w:themeColor="text1"/>
                <w:sz w:val="24"/>
                <w:szCs w:val="24"/>
              </w:rPr>
            </w:pPr>
            <w:r w:rsidRPr="00C54A03">
              <w:rPr>
                <w:b/>
                <w:color w:val="000000" w:themeColor="text1"/>
                <w:sz w:val="24"/>
                <w:szCs w:val="24"/>
              </w:rPr>
              <w:t>MBS</w:t>
            </w:r>
          </w:p>
        </w:tc>
        <w:tc>
          <w:tcPr>
            <w:tcW w:w="1422" w:type="dxa"/>
          </w:tcPr>
          <w:p w14:paraId="49786B28" w14:textId="77777777" w:rsidR="007702CD" w:rsidRPr="00C54A03" w:rsidRDefault="007702CD" w:rsidP="008E33FD">
            <w:pPr>
              <w:pStyle w:val="TableParagraph"/>
              <w:spacing w:before="8"/>
              <w:jc w:val="both"/>
              <w:rPr>
                <w:color w:val="000000" w:themeColor="text1"/>
                <w:sz w:val="24"/>
                <w:szCs w:val="24"/>
              </w:rPr>
            </w:pPr>
          </w:p>
          <w:p w14:paraId="2BB3C7EE" w14:textId="77777777" w:rsidR="007702CD" w:rsidRPr="00C54A03" w:rsidRDefault="007702CD" w:rsidP="008E33FD">
            <w:pPr>
              <w:pStyle w:val="TableParagraph"/>
              <w:spacing w:before="1" w:line="236" w:lineRule="exact"/>
              <w:ind w:left="88" w:right="81"/>
              <w:jc w:val="both"/>
              <w:rPr>
                <w:b/>
                <w:color w:val="000000" w:themeColor="text1"/>
                <w:sz w:val="24"/>
                <w:szCs w:val="24"/>
              </w:rPr>
            </w:pPr>
            <w:r w:rsidRPr="00C54A03">
              <w:rPr>
                <w:b/>
                <w:color w:val="000000" w:themeColor="text1"/>
                <w:sz w:val="24"/>
                <w:szCs w:val="24"/>
              </w:rPr>
              <w:t>Total</w:t>
            </w:r>
            <w:r w:rsidRPr="00C54A03">
              <w:rPr>
                <w:b/>
                <w:color w:val="000000" w:themeColor="text1"/>
                <w:spacing w:val="-1"/>
                <w:sz w:val="24"/>
                <w:szCs w:val="24"/>
              </w:rPr>
              <w:t xml:space="preserve"> </w:t>
            </w:r>
            <w:r w:rsidRPr="00C54A03">
              <w:rPr>
                <w:b/>
                <w:color w:val="000000" w:themeColor="text1"/>
                <w:sz w:val="24"/>
                <w:szCs w:val="24"/>
              </w:rPr>
              <w:t>ploturi</w:t>
            </w:r>
          </w:p>
        </w:tc>
        <w:tc>
          <w:tcPr>
            <w:tcW w:w="2600" w:type="dxa"/>
          </w:tcPr>
          <w:p w14:paraId="2B09CC9B" w14:textId="77777777" w:rsidR="007702CD" w:rsidRPr="00C54A03" w:rsidRDefault="007702CD" w:rsidP="008E33FD">
            <w:pPr>
              <w:pStyle w:val="TableParagraph"/>
              <w:spacing w:line="252" w:lineRule="exact"/>
              <w:ind w:left="445" w:right="433" w:firstLine="141"/>
              <w:jc w:val="both"/>
              <w:rPr>
                <w:b/>
                <w:color w:val="000000" w:themeColor="text1"/>
                <w:sz w:val="24"/>
                <w:szCs w:val="24"/>
              </w:rPr>
            </w:pPr>
            <w:r w:rsidRPr="00C54A03">
              <w:rPr>
                <w:b/>
                <w:color w:val="000000" w:themeColor="text1"/>
                <w:sz w:val="24"/>
                <w:szCs w:val="24"/>
              </w:rPr>
              <w:t>Ploturi in doua</w:t>
            </w:r>
            <w:r w:rsidRPr="00C54A03">
              <w:rPr>
                <w:b/>
                <w:color w:val="000000" w:themeColor="text1"/>
                <w:spacing w:val="1"/>
                <w:sz w:val="24"/>
                <w:szCs w:val="24"/>
              </w:rPr>
              <w:t xml:space="preserve"> </w:t>
            </w:r>
            <w:r w:rsidRPr="00C54A03">
              <w:rPr>
                <w:b/>
                <w:color w:val="000000" w:themeColor="text1"/>
                <w:sz w:val="24"/>
                <w:szCs w:val="24"/>
              </w:rPr>
              <w:t>bioregiuni</w:t>
            </w:r>
            <w:r w:rsidRPr="00C54A03">
              <w:rPr>
                <w:b/>
                <w:color w:val="000000" w:themeColor="text1"/>
                <w:spacing w:val="-13"/>
                <w:sz w:val="24"/>
                <w:szCs w:val="24"/>
              </w:rPr>
              <w:t xml:space="preserve"> </w:t>
            </w:r>
            <w:r w:rsidRPr="00C54A03">
              <w:rPr>
                <w:b/>
                <w:color w:val="000000" w:themeColor="text1"/>
                <w:sz w:val="24"/>
                <w:szCs w:val="24"/>
              </w:rPr>
              <w:t>diferite</w:t>
            </w:r>
          </w:p>
        </w:tc>
      </w:tr>
      <w:tr w:rsidR="007702CD" w:rsidRPr="00C54A03" w14:paraId="17B54110" w14:textId="77777777" w:rsidTr="00102A1A">
        <w:trPr>
          <w:trHeight w:val="299"/>
        </w:trPr>
        <w:tc>
          <w:tcPr>
            <w:tcW w:w="1385" w:type="dxa"/>
          </w:tcPr>
          <w:p w14:paraId="08204545" w14:textId="77777777" w:rsidR="007702CD" w:rsidRPr="00C54A03" w:rsidRDefault="007702CD" w:rsidP="008E33FD">
            <w:pPr>
              <w:pStyle w:val="TableParagraph"/>
              <w:spacing w:before="20" w:line="259" w:lineRule="exact"/>
              <w:ind w:left="87" w:right="80"/>
              <w:jc w:val="both"/>
              <w:rPr>
                <w:b/>
                <w:color w:val="000000" w:themeColor="text1"/>
                <w:sz w:val="24"/>
                <w:szCs w:val="24"/>
              </w:rPr>
            </w:pPr>
            <w:r w:rsidRPr="00C54A03">
              <w:rPr>
                <w:b/>
                <w:color w:val="000000" w:themeColor="text1"/>
                <w:sz w:val="24"/>
                <w:szCs w:val="24"/>
              </w:rPr>
              <w:t>8110</w:t>
            </w:r>
          </w:p>
        </w:tc>
        <w:tc>
          <w:tcPr>
            <w:tcW w:w="706" w:type="dxa"/>
          </w:tcPr>
          <w:p w14:paraId="590E28CE" w14:textId="77777777" w:rsidR="007702CD" w:rsidRPr="00C54A03" w:rsidRDefault="007702CD" w:rsidP="008E33FD">
            <w:pPr>
              <w:pStyle w:val="TableParagraph"/>
              <w:spacing w:before="15" w:line="264" w:lineRule="exact"/>
              <w:ind w:left="93" w:right="85"/>
              <w:jc w:val="both"/>
              <w:rPr>
                <w:color w:val="000000" w:themeColor="text1"/>
                <w:sz w:val="24"/>
                <w:szCs w:val="24"/>
              </w:rPr>
            </w:pPr>
            <w:r w:rsidRPr="00C54A03">
              <w:rPr>
                <w:color w:val="000000" w:themeColor="text1"/>
                <w:sz w:val="24"/>
                <w:szCs w:val="24"/>
              </w:rPr>
              <w:t>27</w:t>
            </w:r>
          </w:p>
        </w:tc>
        <w:tc>
          <w:tcPr>
            <w:tcW w:w="707" w:type="dxa"/>
          </w:tcPr>
          <w:p w14:paraId="0F403E48" w14:textId="77777777" w:rsidR="007702CD" w:rsidRPr="00C54A03" w:rsidRDefault="007702CD" w:rsidP="008E33FD">
            <w:pPr>
              <w:pStyle w:val="TableParagraph"/>
              <w:spacing w:before="15" w:line="264" w:lineRule="exact"/>
              <w:ind w:left="8"/>
              <w:jc w:val="both"/>
              <w:rPr>
                <w:color w:val="000000" w:themeColor="text1"/>
                <w:sz w:val="24"/>
                <w:szCs w:val="24"/>
              </w:rPr>
            </w:pPr>
            <w:r w:rsidRPr="00C54A03">
              <w:rPr>
                <w:color w:val="000000" w:themeColor="text1"/>
                <w:sz w:val="24"/>
                <w:szCs w:val="24"/>
              </w:rPr>
              <w:t>0</w:t>
            </w:r>
          </w:p>
        </w:tc>
        <w:tc>
          <w:tcPr>
            <w:tcW w:w="706" w:type="dxa"/>
          </w:tcPr>
          <w:p w14:paraId="2EA202A9" w14:textId="77777777" w:rsidR="007702CD" w:rsidRPr="00C54A03" w:rsidRDefault="007702CD" w:rsidP="008E33FD">
            <w:pPr>
              <w:pStyle w:val="TableParagraph"/>
              <w:spacing w:before="15" w:line="264" w:lineRule="exact"/>
              <w:ind w:left="6"/>
              <w:jc w:val="both"/>
              <w:rPr>
                <w:color w:val="000000" w:themeColor="text1"/>
                <w:sz w:val="24"/>
                <w:szCs w:val="24"/>
              </w:rPr>
            </w:pPr>
            <w:r w:rsidRPr="00C54A03">
              <w:rPr>
                <w:color w:val="000000" w:themeColor="text1"/>
                <w:sz w:val="24"/>
                <w:szCs w:val="24"/>
              </w:rPr>
              <w:t>0</w:t>
            </w:r>
          </w:p>
        </w:tc>
        <w:tc>
          <w:tcPr>
            <w:tcW w:w="706" w:type="dxa"/>
          </w:tcPr>
          <w:p w14:paraId="184CD135" w14:textId="77777777" w:rsidR="007702CD" w:rsidRPr="00C54A03" w:rsidRDefault="007702CD" w:rsidP="008E33FD">
            <w:pPr>
              <w:pStyle w:val="TableParagraph"/>
              <w:spacing w:before="15" w:line="264" w:lineRule="exact"/>
              <w:ind w:left="5"/>
              <w:jc w:val="both"/>
              <w:rPr>
                <w:color w:val="000000" w:themeColor="text1"/>
                <w:sz w:val="24"/>
                <w:szCs w:val="24"/>
              </w:rPr>
            </w:pPr>
            <w:r w:rsidRPr="00C54A03">
              <w:rPr>
                <w:color w:val="000000" w:themeColor="text1"/>
                <w:sz w:val="24"/>
                <w:szCs w:val="24"/>
              </w:rPr>
              <w:t>0</w:t>
            </w:r>
          </w:p>
        </w:tc>
        <w:tc>
          <w:tcPr>
            <w:tcW w:w="706" w:type="dxa"/>
          </w:tcPr>
          <w:p w14:paraId="5602A07D" w14:textId="77777777" w:rsidR="007702CD" w:rsidRPr="00C54A03" w:rsidRDefault="007702CD" w:rsidP="008E33FD">
            <w:pPr>
              <w:pStyle w:val="TableParagraph"/>
              <w:spacing w:before="15" w:line="264" w:lineRule="exact"/>
              <w:ind w:left="5"/>
              <w:jc w:val="both"/>
              <w:rPr>
                <w:color w:val="000000" w:themeColor="text1"/>
                <w:sz w:val="24"/>
                <w:szCs w:val="24"/>
              </w:rPr>
            </w:pPr>
            <w:r w:rsidRPr="00C54A03">
              <w:rPr>
                <w:color w:val="000000" w:themeColor="text1"/>
                <w:sz w:val="24"/>
                <w:szCs w:val="24"/>
              </w:rPr>
              <w:t>0</w:t>
            </w:r>
          </w:p>
        </w:tc>
        <w:tc>
          <w:tcPr>
            <w:tcW w:w="706" w:type="dxa"/>
          </w:tcPr>
          <w:p w14:paraId="3DD3CB21" w14:textId="77777777" w:rsidR="007702CD" w:rsidRPr="00C54A03" w:rsidRDefault="007702CD" w:rsidP="008E33FD">
            <w:pPr>
              <w:pStyle w:val="TableParagraph"/>
              <w:spacing w:before="15" w:line="264" w:lineRule="exact"/>
              <w:ind w:left="9"/>
              <w:jc w:val="both"/>
              <w:rPr>
                <w:color w:val="000000" w:themeColor="text1"/>
                <w:sz w:val="24"/>
                <w:szCs w:val="24"/>
              </w:rPr>
            </w:pPr>
            <w:r w:rsidRPr="00C54A03">
              <w:rPr>
                <w:color w:val="000000" w:themeColor="text1"/>
                <w:sz w:val="24"/>
                <w:szCs w:val="24"/>
              </w:rPr>
              <w:t>0</w:t>
            </w:r>
          </w:p>
        </w:tc>
        <w:tc>
          <w:tcPr>
            <w:tcW w:w="1422" w:type="dxa"/>
          </w:tcPr>
          <w:p w14:paraId="0124842A" w14:textId="77777777" w:rsidR="007702CD" w:rsidRPr="00C54A03" w:rsidRDefault="007702CD" w:rsidP="008E33FD">
            <w:pPr>
              <w:pStyle w:val="TableParagraph"/>
              <w:spacing w:before="15" w:line="264" w:lineRule="exact"/>
              <w:ind w:left="88" w:right="81"/>
              <w:jc w:val="both"/>
              <w:rPr>
                <w:color w:val="000000" w:themeColor="text1"/>
                <w:sz w:val="24"/>
                <w:szCs w:val="24"/>
              </w:rPr>
            </w:pPr>
            <w:r w:rsidRPr="00C54A03">
              <w:rPr>
                <w:color w:val="000000" w:themeColor="text1"/>
                <w:sz w:val="24"/>
                <w:szCs w:val="24"/>
              </w:rPr>
              <w:t>27</w:t>
            </w:r>
          </w:p>
        </w:tc>
        <w:tc>
          <w:tcPr>
            <w:tcW w:w="2600" w:type="dxa"/>
          </w:tcPr>
          <w:p w14:paraId="70EEE432" w14:textId="77777777" w:rsidR="007702CD" w:rsidRPr="00C54A03" w:rsidRDefault="007702CD" w:rsidP="008E33FD">
            <w:pPr>
              <w:pStyle w:val="TableParagraph"/>
              <w:spacing w:before="15" w:line="264" w:lineRule="exact"/>
              <w:ind w:right="1230"/>
              <w:jc w:val="both"/>
              <w:rPr>
                <w:color w:val="000000" w:themeColor="text1"/>
                <w:sz w:val="24"/>
                <w:szCs w:val="24"/>
              </w:rPr>
            </w:pPr>
            <w:r w:rsidRPr="00C54A03">
              <w:rPr>
                <w:color w:val="000000" w:themeColor="text1"/>
                <w:sz w:val="24"/>
                <w:szCs w:val="24"/>
              </w:rPr>
              <w:t>0</w:t>
            </w:r>
          </w:p>
        </w:tc>
      </w:tr>
      <w:tr w:rsidR="007702CD" w:rsidRPr="00C54A03" w14:paraId="01F026A7" w14:textId="77777777" w:rsidTr="00102A1A">
        <w:trPr>
          <w:trHeight w:val="299"/>
        </w:trPr>
        <w:tc>
          <w:tcPr>
            <w:tcW w:w="1385" w:type="dxa"/>
          </w:tcPr>
          <w:p w14:paraId="1F8DBB3C" w14:textId="77777777" w:rsidR="007702CD" w:rsidRPr="00C54A03" w:rsidRDefault="007702CD" w:rsidP="008E33FD">
            <w:pPr>
              <w:pStyle w:val="TableParagraph"/>
              <w:spacing w:before="20" w:line="259" w:lineRule="exact"/>
              <w:ind w:left="87" w:right="80"/>
              <w:jc w:val="both"/>
              <w:rPr>
                <w:b/>
                <w:color w:val="000000" w:themeColor="text1"/>
                <w:sz w:val="24"/>
                <w:szCs w:val="24"/>
              </w:rPr>
            </w:pPr>
            <w:r w:rsidRPr="00C54A03">
              <w:rPr>
                <w:b/>
                <w:color w:val="000000" w:themeColor="text1"/>
                <w:sz w:val="24"/>
                <w:szCs w:val="24"/>
              </w:rPr>
              <w:t>8120</w:t>
            </w:r>
          </w:p>
        </w:tc>
        <w:tc>
          <w:tcPr>
            <w:tcW w:w="706" w:type="dxa"/>
          </w:tcPr>
          <w:p w14:paraId="1B54BE06" w14:textId="77777777" w:rsidR="007702CD" w:rsidRPr="00C54A03" w:rsidRDefault="007702CD" w:rsidP="008E33FD">
            <w:pPr>
              <w:pStyle w:val="TableParagraph"/>
              <w:spacing w:before="15" w:line="264" w:lineRule="exact"/>
              <w:ind w:left="93" w:right="85"/>
              <w:jc w:val="both"/>
              <w:rPr>
                <w:color w:val="000000" w:themeColor="text1"/>
                <w:sz w:val="24"/>
                <w:szCs w:val="24"/>
              </w:rPr>
            </w:pPr>
            <w:r w:rsidRPr="00C54A03">
              <w:rPr>
                <w:color w:val="000000" w:themeColor="text1"/>
                <w:sz w:val="24"/>
                <w:szCs w:val="24"/>
              </w:rPr>
              <w:t>51</w:t>
            </w:r>
          </w:p>
        </w:tc>
        <w:tc>
          <w:tcPr>
            <w:tcW w:w="707" w:type="dxa"/>
          </w:tcPr>
          <w:p w14:paraId="1D0A9BC3" w14:textId="77777777" w:rsidR="007702CD" w:rsidRPr="00C54A03" w:rsidRDefault="007702CD" w:rsidP="008E33FD">
            <w:pPr>
              <w:pStyle w:val="TableParagraph"/>
              <w:spacing w:before="15" w:line="264" w:lineRule="exact"/>
              <w:ind w:left="87" w:right="79"/>
              <w:jc w:val="both"/>
              <w:rPr>
                <w:color w:val="000000" w:themeColor="text1"/>
                <w:sz w:val="24"/>
                <w:szCs w:val="24"/>
              </w:rPr>
            </w:pPr>
            <w:r w:rsidRPr="00C54A03">
              <w:rPr>
                <w:color w:val="000000" w:themeColor="text1"/>
                <w:sz w:val="24"/>
                <w:szCs w:val="24"/>
              </w:rPr>
              <w:t>19</w:t>
            </w:r>
          </w:p>
        </w:tc>
        <w:tc>
          <w:tcPr>
            <w:tcW w:w="706" w:type="dxa"/>
          </w:tcPr>
          <w:p w14:paraId="3B06486E" w14:textId="77777777" w:rsidR="007702CD" w:rsidRPr="00C54A03" w:rsidRDefault="007702CD" w:rsidP="008E33FD">
            <w:pPr>
              <w:pStyle w:val="TableParagraph"/>
              <w:spacing w:before="15" w:line="264" w:lineRule="exact"/>
              <w:ind w:left="6"/>
              <w:jc w:val="both"/>
              <w:rPr>
                <w:color w:val="000000" w:themeColor="text1"/>
                <w:sz w:val="24"/>
                <w:szCs w:val="24"/>
              </w:rPr>
            </w:pPr>
            <w:r w:rsidRPr="00C54A03">
              <w:rPr>
                <w:color w:val="000000" w:themeColor="text1"/>
                <w:sz w:val="24"/>
                <w:szCs w:val="24"/>
              </w:rPr>
              <w:t>0</w:t>
            </w:r>
          </w:p>
        </w:tc>
        <w:tc>
          <w:tcPr>
            <w:tcW w:w="706" w:type="dxa"/>
          </w:tcPr>
          <w:p w14:paraId="7B156D76" w14:textId="77777777" w:rsidR="007702CD" w:rsidRPr="00C54A03" w:rsidRDefault="007702CD" w:rsidP="008E33FD">
            <w:pPr>
              <w:pStyle w:val="TableParagraph"/>
              <w:spacing w:before="15" w:line="264" w:lineRule="exact"/>
              <w:ind w:left="5"/>
              <w:jc w:val="both"/>
              <w:rPr>
                <w:color w:val="000000" w:themeColor="text1"/>
                <w:sz w:val="24"/>
                <w:szCs w:val="24"/>
              </w:rPr>
            </w:pPr>
            <w:r w:rsidRPr="00C54A03">
              <w:rPr>
                <w:color w:val="000000" w:themeColor="text1"/>
                <w:sz w:val="24"/>
                <w:szCs w:val="24"/>
              </w:rPr>
              <w:t>0</w:t>
            </w:r>
          </w:p>
        </w:tc>
        <w:tc>
          <w:tcPr>
            <w:tcW w:w="706" w:type="dxa"/>
          </w:tcPr>
          <w:p w14:paraId="00154F57" w14:textId="77777777" w:rsidR="007702CD" w:rsidRPr="00C54A03" w:rsidRDefault="007702CD" w:rsidP="008E33FD">
            <w:pPr>
              <w:pStyle w:val="TableParagraph"/>
              <w:spacing w:before="15" w:line="264" w:lineRule="exact"/>
              <w:ind w:left="5"/>
              <w:jc w:val="both"/>
              <w:rPr>
                <w:color w:val="000000" w:themeColor="text1"/>
                <w:sz w:val="24"/>
                <w:szCs w:val="24"/>
              </w:rPr>
            </w:pPr>
            <w:r w:rsidRPr="00C54A03">
              <w:rPr>
                <w:color w:val="000000" w:themeColor="text1"/>
                <w:sz w:val="24"/>
                <w:szCs w:val="24"/>
              </w:rPr>
              <w:t>0</w:t>
            </w:r>
          </w:p>
        </w:tc>
        <w:tc>
          <w:tcPr>
            <w:tcW w:w="706" w:type="dxa"/>
          </w:tcPr>
          <w:p w14:paraId="4C917FAA" w14:textId="77777777" w:rsidR="007702CD" w:rsidRPr="00C54A03" w:rsidRDefault="007702CD" w:rsidP="008E33FD">
            <w:pPr>
              <w:pStyle w:val="TableParagraph"/>
              <w:spacing w:before="15" w:line="264" w:lineRule="exact"/>
              <w:ind w:left="9"/>
              <w:jc w:val="both"/>
              <w:rPr>
                <w:color w:val="000000" w:themeColor="text1"/>
                <w:sz w:val="24"/>
                <w:szCs w:val="24"/>
              </w:rPr>
            </w:pPr>
            <w:r w:rsidRPr="00C54A03">
              <w:rPr>
                <w:color w:val="000000" w:themeColor="text1"/>
                <w:sz w:val="24"/>
                <w:szCs w:val="24"/>
              </w:rPr>
              <w:t>0</w:t>
            </w:r>
          </w:p>
        </w:tc>
        <w:tc>
          <w:tcPr>
            <w:tcW w:w="1422" w:type="dxa"/>
          </w:tcPr>
          <w:p w14:paraId="04DB8C68" w14:textId="77777777" w:rsidR="007702CD" w:rsidRPr="00C54A03" w:rsidRDefault="007702CD" w:rsidP="008E33FD">
            <w:pPr>
              <w:pStyle w:val="TableParagraph"/>
              <w:spacing w:before="15" w:line="264" w:lineRule="exact"/>
              <w:ind w:left="88" w:right="81"/>
              <w:jc w:val="both"/>
              <w:rPr>
                <w:color w:val="000000" w:themeColor="text1"/>
                <w:sz w:val="24"/>
                <w:szCs w:val="24"/>
              </w:rPr>
            </w:pPr>
            <w:r w:rsidRPr="00C54A03">
              <w:rPr>
                <w:color w:val="000000" w:themeColor="text1"/>
                <w:sz w:val="24"/>
                <w:szCs w:val="24"/>
              </w:rPr>
              <w:t>56</w:t>
            </w:r>
          </w:p>
        </w:tc>
        <w:tc>
          <w:tcPr>
            <w:tcW w:w="2600" w:type="dxa"/>
          </w:tcPr>
          <w:p w14:paraId="75A62541" w14:textId="77777777" w:rsidR="007702CD" w:rsidRPr="00C54A03" w:rsidRDefault="007702CD" w:rsidP="008E33FD">
            <w:pPr>
              <w:pStyle w:val="TableParagraph"/>
              <w:spacing w:before="15" w:line="264" w:lineRule="exact"/>
              <w:ind w:right="1170"/>
              <w:jc w:val="both"/>
              <w:rPr>
                <w:color w:val="000000" w:themeColor="text1"/>
                <w:sz w:val="24"/>
                <w:szCs w:val="24"/>
              </w:rPr>
            </w:pPr>
            <w:r w:rsidRPr="00C54A03">
              <w:rPr>
                <w:color w:val="000000" w:themeColor="text1"/>
                <w:sz w:val="24"/>
                <w:szCs w:val="24"/>
              </w:rPr>
              <w:t>14</w:t>
            </w:r>
          </w:p>
        </w:tc>
      </w:tr>
      <w:tr w:rsidR="007702CD" w:rsidRPr="00C54A03" w14:paraId="40DAF953" w14:textId="77777777" w:rsidTr="00102A1A">
        <w:trPr>
          <w:trHeight w:val="300"/>
        </w:trPr>
        <w:tc>
          <w:tcPr>
            <w:tcW w:w="1385" w:type="dxa"/>
          </w:tcPr>
          <w:p w14:paraId="750787D7" w14:textId="77777777" w:rsidR="007702CD" w:rsidRPr="00C54A03" w:rsidRDefault="007702CD" w:rsidP="008E33FD">
            <w:pPr>
              <w:pStyle w:val="TableParagraph"/>
              <w:spacing w:before="21" w:line="259" w:lineRule="exact"/>
              <w:ind w:left="86" w:right="80"/>
              <w:jc w:val="both"/>
              <w:rPr>
                <w:b/>
                <w:color w:val="000000" w:themeColor="text1"/>
                <w:sz w:val="24"/>
                <w:szCs w:val="24"/>
              </w:rPr>
            </w:pPr>
            <w:r w:rsidRPr="00C54A03">
              <w:rPr>
                <w:b/>
                <w:color w:val="000000" w:themeColor="text1"/>
                <w:sz w:val="24"/>
                <w:szCs w:val="24"/>
              </w:rPr>
              <w:t>8160*</w:t>
            </w:r>
          </w:p>
        </w:tc>
        <w:tc>
          <w:tcPr>
            <w:tcW w:w="706" w:type="dxa"/>
          </w:tcPr>
          <w:p w14:paraId="3CF345A2" w14:textId="77777777" w:rsidR="007702CD" w:rsidRPr="00C54A03" w:rsidRDefault="007702CD" w:rsidP="008E33FD">
            <w:pPr>
              <w:pStyle w:val="TableParagraph"/>
              <w:spacing w:before="16" w:line="264" w:lineRule="exact"/>
              <w:ind w:left="93" w:right="85"/>
              <w:jc w:val="both"/>
              <w:rPr>
                <w:color w:val="000000" w:themeColor="text1"/>
                <w:sz w:val="24"/>
                <w:szCs w:val="24"/>
              </w:rPr>
            </w:pPr>
            <w:r w:rsidRPr="00C54A03">
              <w:rPr>
                <w:color w:val="000000" w:themeColor="text1"/>
                <w:sz w:val="24"/>
                <w:szCs w:val="24"/>
              </w:rPr>
              <w:t>15</w:t>
            </w:r>
          </w:p>
        </w:tc>
        <w:tc>
          <w:tcPr>
            <w:tcW w:w="707" w:type="dxa"/>
          </w:tcPr>
          <w:p w14:paraId="5BC33270" w14:textId="77777777" w:rsidR="007702CD" w:rsidRPr="00C54A03" w:rsidRDefault="007702CD" w:rsidP="008E33FD">
            <w:pPr>
              <w:pStyle w:val="TableParagraph"/>
              <w:spacing w:before="16" w:line="264" w:lineRule="exact"/>
              <w:ind w:left="87" w:right="79"/>
              <w:jc w:val="both"/>
              <w:rPr>
                <w:color w:val="000000" w:themeColor="text1"/>
                <w:sz w:val="24"/>
                <w:szCs w:val="24"/>
              </w:rPr>
            </w:pPr>
            <w:r w:rsidRPr="00C54A03">
              <w:rPr>
                <w:color w:val="000000" w:themeColor="text1"/>
                <w:sz w:val="24"/>
                <w:szCs w:val="24"/>
              </w:rPr>
              <w:t>14</w:t>
            </w:r>
          </w:p>
        </w:tc>
        <w:tc>
          <w:tcPr>
            <w:tcW w:w="706" w:type="dxa"/>
          </w:tcPr>
          <w:p w14:paraId="6A72E3AD" w14:textId="77777777" w:rsidR="007702CD" w:rsidRPr="00C54A03" w:rsidRDefault="007702CD" w:rsidP="008E33FD">
            <w:pPr>
              <w:pStyle w:val="TableParagraph"/>
              <w:spacing w:before="16" w:line="264" w:lineRule="exact"/>
              <w:ind w:left="6"/>
              <w:jc w:val="both"/>
              <w:rPr>
                <w:color w:val="000000" w:themeColor="text1"/>
                <w:sz w:val="24"/>
                <w:szCs w:val="24"/>
              </w:rPr>
            </w:pPr>
            <w:r w:rsidRPr="00C54A03">
              <w:rPr>
                <w:color w:val="000000" w:themeColor="text1"/>
                <w:sz w:val="24"/>
                <w:szCs w:val="24"/>
              </w:rPr>
              <w:t>0</w:t>
            </w:r>
          </w:p>
        </w:tc>
        <w:tc>
          <w:tcPr>
            <w:tcW w:w="706" w:type="dxa"/>
          </w:tcPr>
          <w:p w14:paraId="549560C1" w14:textId="77777777" w:rsidR="007702CD" w:rsidRPr="00C54A03" w:rsidRDefault="007702CD" w:rsidP="008E33FD">
            <w:pPr>
              <w:pStyle w:val="TableParagraph"/>
              <w:spacing w:before="16" w:line="264" w:lineRule="exact"/>
              <w:ind w:left="5"/>
              <w:jc w:val="both"/>
              <w:rPr>
                <w:color w:val="000000" w:themeColor="text1"/>
                <w:sz w:val="24"/>
                <w:szCs w:val="24"/>
              </w:rPr>
            </w:pPr>
            <w:r w:rsidRPr="00C54A03">
              <w:rPr>
                <w:color w:val="000000" w:themeColor="text1"/>
                <w:sz w:val="24"/>
                <w:szCs w:val="24"/>
              </w:rPr>
              <w:t>0</w:t>
            </w:r>
          </w:p>
        </w:tc>
        <w:tc>
          <w:tcPr>
            <w:tcW w:w="706" w:type="dxa"/>
          </w:tcPr>
          <w:p w14:paraId="01AD9E17" w14:textId="77777777" w:rsidR="007702CD" w:rsidRPr="00C54A03" w:rsidRDefault="007702CD" w:rsidP="008E33FD">
            <w:pPr>
              <w:pStyle w:val="TableParagraph"/>
              <w:spacing w:before="16" w:line="264" w:lineRule="exact"/>
              <w:ind w:left="5"/>
              <w:jc w:val="both"/>
              <w:rPr>
                <w:color w:val="000000" w:themeColor="text1"/>
                <w:sz w:val="24"/>
                <w:szCs w:val="24"/>
              </w:rPr>
            </w:pPr>
            <w:r w:rsidRPr="00C54A03">
              <w:rPr>
                <w:color w:val="000000" w:themeColor="text1"/>
                <w:sz w:val="24"/>
                <w:szCs w:val="24"/>
              </w:rPr>
              <w:t>0</w:t>
            </w:r>
          </w:p>
        </w:tc>
        <w:tc>
          <w:tcPr>
            <w:tcW w:w="706" w:type="dxa"/>
          </w:tcPr>
          <w:p w14:paraId="7C9680E3" w14:textId="77777777" w:rsidR="007702CD" w:rsidRPr="00C54A03" w:rsidRDefault="007702CD" w:rsidP="008E33FD">
            <w:pPr>
              <w:pStyle w:val="TableParagraph"/>
              <w:spacing w:before="16" w:line="264" w:lineRule="exact"/>
              <w:ind w:left="9"/>
              <w:jc w:val="both"/>
              <w:rPr>
                <w:color w:val="000000" w:themeColor="text1"/>
                <w:sz w:val="24"/>
                <w:szCs w:val="24"/>
              </w:rPr>
            </w:pPr>
            <w:r w:rsidRPr="00C54A03">
              <w:rPr>
                <w:color w:val="000000" w:themeColor="text1"/>
                <w:sz w:val="24"/>
                <w:szCs w:val="24"/>
              </w:rPr>
              <w:t>0</w:t>
            </w:r>
          </w:p>
        </w:tc>
        <w:tc>
          <w:tcPr>
            <w:tcW w:w="1422" w:type="dxa"/>
          </w:tcPr>
          <w:p w14:paraId="34DB8EF0" w14:textId="77777777" w:rsidR="007702CD" w:rsidRPr="00C54A03" w:rsidRDefault="007702CD" w:rsidP="008E33FD">
            <w:pPr>
              <w:pStyle w:val="TableParagraph"/>
              <w:spacing w:before="16" w:line="264" w:lineRule="exact"/>
              <w:ind w:left="88" w:right="81"/>
              <w:jc w:val="both"/>
              <w:rPr>
                <w:color w:val="000000" w:themeColor="text1"/>
                <w:sz w:val="24"/>
                <w:szCs w:val="24"/>
              </w:rPr>
            </w:pPr>
            <w:r w:rsidRPr="00C54A03">
              <w:rPr>
                <w:color w:val="000000" w:themeColor="text1"/>
                <w:sz w:val="24"/>
                <w:szCs w:val="24"/>
              </w:rPr>
              <w:t>23</w:t>
            </w:r>
          </w:p>
        </w:tc>
        <w:tc>
          <w:tcPr>
            <w:tcW w:w="2600" w:type="dxa"/>
          </w:tcPr>
          <w:p w14:paraId="66074B27" w14:textId="77777777" w:rsidR="007702CD" w:rsidRPr="00C54A03" w:rsidRDefault="007702CD" w:rsidP="008E33FD">
            <w:pPr>
              <w:pStyle w:val="TableParagraph"/>
              <w:spacing w:before="16" w:line="264" w:lineRule="exact"/>
              <w:ind w:right="1230"/>
              <w:jc w:val="both"/>
              <w:rPr>
                <w:color w:val="000000" w:themeColor="text1"/>
                <w:sz w:val="24"/>
                <w:szCs w:val="24"/>
              </w:rPr>
            </w:pPr>
            <w:r w:rsidRPr="00C54A03">
              <w:rPr>
                <w:color w:val="000000" w:themeColor="text1"/>
                <w:sz w:val="24"/>
                <w:szCs w:val="24"/>
              </w:rPr>
              <w:t>6</w:t>
            </w:r>
          </w:p>
        </w:tc>
      </w:tr>
      <w:tr w:rsidR="007702CD" w:rsidRPr="00C54A03" w14:paraId="4FA8A257" w14:textId="77777777" w:rsidTr="00102A1A">
        <w:trPr>
          <w:trHeight w:val="299"/>
        </w:trPr>
        <w:tc>
          <w:tcPr>
            <w:tcW w:w="1385" w:type="dxa"/>
          </w:tcPr>
          <w:p w14:paraId="2B9BBD0B" w14:textId="77777777" w:rsidR="007702CD" w:rsidRPr="00C54A03" w:rsidRDefault="007702CD" w:rsidP="008E33FD">
            <w:pPr>
              <w:pStyle w:val="TableParagraph"/>
              <w:spacing w:before="20" w:line="259" w:lineRule="exact"/>
              <w:ind w:left="87" w:right="80"/>
              <w:jc w:val="both"/>
              <w:rPr>
                <w:b/>
                <w:color w:val="000000" w:themeColor="text1"/>
                <w:sz w:val="24"/>
                <w:szCs w:val="24"/>
              </w:rPr>
            </w:pPr>
            <w:r w:rsidRPr="00C54A03">
              <w:rPr>
                <w:b/>
                <w:color w:val="000000" w:themeColor="text1"/>
                <w:sz w:val="24"/>
                <w:szCs w:val="24"/>
              </w:rPr>
              <w:t>8210</w:t>
            </w:r>
          </w:p>
        </w:tc>
        <w:tc>
          <w:tcPr>
            <w:tcW w:w="706" w:type="dxa"/>
          </w:tcPr>
          <w:p w14:paraId="10B02B50" w14:textId="77777777" w:rsidR="007702CD" w:rsidRPr="00C54A03" w:rsidRDefault="007702CD" w:rsidP="008E33FD">
            <w:pPr>
              <w:pStyle w:val="TableParagraph"/>
              <w:spacing w:before="15" w:line="264" w:lineRule="exact"/>
              <w:ind w:left="93" w:right="85"/>
              <w:jc w:val="both"/>
              <w:rPr>
                <w:color w:val="000000" w:themeColor="text1"/>
                <w:sz w:val="24"/>
                <w:szCs w:val="24"/>
              </w:rPr>
            </w:pPr>
            <w:r w:rsidRPr="00C54A03">
              <w:rPr>
                <w:color w:val="000000" w:themeColor="text1"/>
                <w:sz w:val="24"/>
                <w:szCs w:val="24"/>
              </w:rPr>
              <w:t>69</w:t>
            </w:r>
          </w:p>
        </w:tc>
        <w:tc>
          <w:tcPr>
            <w:tcW w:w="707" w:type="dxa"/>
          </w:tcPr>
          <w:p w14:paraId="517A4725" w14:textId="77777777" w:rsidR="007702CD" w:rsidRPr="00C54A03" w:rsidRDefault="007702CD" w:rsidP="008E33FD">
            <w:pPr>
              <w:pStyle w:val="TableParagraph"/>
              <w:spacing w:before="15" w:line="264" w:lineRule="exact"/>
              <w:ind w:left="87" w:right="79"/>
              <w:jc w:val="both"/>
              <w:rPr>
                <w:color w:val="000000" w:themeColor="text1"/>
                <w:sz w:val="24"/>
                <w:szCs w:val="24"/>
              </w:rPr>
            </w:pPr>
            <w:r w:rsidRPr="00C54A03">
              <w:rPr>
                <w:color w:val="000000" w:themeColor="text1"/>
                <w:sz w:val="24"/>
                <w:szCs w:val="24"/>
              </w:rPr>
              <w:t>44</w:t>
            </w:r>
          </w:p>
        </w:tc>
        <w:tc>
          <w:tcPr>
            <w:tcW w:w="706" w:type="dxa"/>
          </w:tcPr>
          <w:p w14:paraId="5B08414A" w14:textId="77777777" w:rsidR="007702CD" w:rsidRPr="00C54A03" w:rsidRDefault="007702CD" w:rsidP="008E33FD">
            <w:pPr>
              <w:pStyle w:val="TableParagraph"/>
              <w:spacing w:before="15" w:line="264" w:lineRule="exact"/>
              <w:ind w:left="6"/>
              <w:jc w:val="both"/>
              <w:rPr>
                <w:color w:val="000000" w:themeColor="text1"/>
                <w:sz w:val="24"/>
                <w:szCs w:val="24"/>
              </w:rPr>
            </w:pPr>
            <w:r w:rsidRPr="00C54A03">
              <w:rPr>
                <w:color w:val="000000" w:themeColor="text1"/>
                <w:sz w:val="24"/>
                <w:szCs w:val="24"/>
              </w:rPr>
              <w:t>0</w:t>
            </w:r>
          </w:p>
        </w:tc>
        <w:tc>
          <w:tcPr>
            <w:tcW w:w="706" w:type="dxa"/>
          </w:tcPr>
          <w:p w14:paraId="66BD8E78" w14:textId="77777777" w:rsidR="007702CD" w:rsidRPr="00C54A03" w:rsidRDefault="007702CD" w:rsidP="008E33FD">
            <w:pPr>
              <w:pStyle w:val="TableParagraph"/>
              <w:spacing w:before="15" w:line="264" w:lineRule="exact"/>
              <w:ind w:left="5"/>
              <w:jc w:val="both"/>
              <w:rPr>
                <w:color w:val="000000" w:themeColor="text1"/>
                <w:sz w:val="24"/>
                <w:szCs w:val="24"/>
              </w:rPr>
            </w:pPr>
            <w:r w:rsidRPr="00C54A03">
              <w:rPr>
                <w:color w:val="000000" w:themeColor="text1"/>
                <w:sz w:val="24"/>
                <w:szCs w:val="24"/>
              </w:rPr>
              <w:t>0</w:t>
            </w:r>
          </w:p>
        </w:tc>
        <w:tc>
          <w:tcPr>
            <w:tcW w:w="706" w:type="dxa"/>
          </w:tcPr>
          <w:p w14:paraId="110F8297" w14:textId="77777777" w:rsidR="007702CD" w:rsidRPr="00C54A03" w:rsidRDefault="007702CD" w:rsidP="008E33FD">
            <w:pPr>
              <w:pStyle w:val="TableParagraph"/>
              <w:spacing w:before="15" w:line="264" w:lineRule="exact"/>
              <w:ind w:left="5"/>
              <w:jc w:val="both"/>
              <w:rPr>
                <w:color w:val="000000" w:themeColor="text1"/>
                <w:sz w:val="24"/>
                <w:szCs w:val="24"/>
              </w:rPr>
            </w:pPr>
            <w:r w:rsidRPr="00C54A03">
              <w:rPr>
                <w:color w:val="000000" w:themeColor="text1"/>
                <w:sz w:val="24"/>
                <w:szCs w:val="24"/>
              </w:rPr>
              <w:t>0</w:t>
            </w:r>
          </w:p>
        </w:tc>
        <w:tc>
          <w:tcPr>
            <w:tcW w:w="706" w:type="dxa"/>
          </w:tcPr>
          <w:p w14:paraId="1B118B09" w14:textId="77777777" w:rsidR="007702CD" w:rsidRPr="00C54A03" w:rsidRDefault="007702CD" w:rsidP="008E33FD">
            <w:pPr>
              <w:pStyle w:val="TableParagraph"/>
              <w:spacing w:before="15" w:line="264" w:lineRule="exact"/>
              <w:ind w:left="9"/>
              <w:jc w:val="both"/>
              <w:rPr>
                <w:color w:val="000000" w:themeColor="text1"/>
                <w:sz w:val="24"/>
                <w:szCs w:val="24"/>
              </w:rPr>
            </w:pPr>
            <w:r w:rsidRPr="00C54A03">
              <w:rPr>
                <w:color w:val="000000" w:themeColor="text1"/>
                <w:sz w:val="24"/>
                <w:szCs w:val="24"/>
              </w:rPr>
              <w:t>0</w:t>
            </w:r>
          </w:p>
        </w:tc>
        <w:tc>
          <w:tcPr>
            <w:tcW w:w="1422" w:type="dxa"/>
          </w:tcPr>
          <w:p w14:paraId="0B0FAA3F" w14:textId="77777777" w:rsidR="007702CD" w:rsidRPr="00C54A03" w:rsidRDefault="007702CD" w:rsidP="008E33FD">
            <w:pPr>
              <w:pStyle w:val="TableParagraph"/>
              <w:spacing w:before="15" w:line="264" w:lineRule="exact"/>
              <w:ind w:left="88" w:right="81"/>
              <w:jc w:val="both"/>
              <w:rPr>
                <w:color w:val="000000" w:themeColor="text1"/>
                <w:sz w:val="24"/>
                <w:szCs w:val="24"/>
              </w:rPr>
            </w:pPr>
            <w:r w:rsidRPr="00C54A03">
              <w:rPr>
                <w:color w:val="000000" w:themeColor="text1"/>
                <w:sz w:val="24"/>
                <w:szCs w:val="24"/>
              </w:rPr>
              <w:t>84</w:t>
            </w:r>
          </w:p>
        </w:tc>
        <w:tc>
          <w:tcPr>
            <w:tcW w:w="2600" w:type="dxa"/>
          </w:tcPr>
          <w:p w14:paraId="7302DB6C" w14:textId="77777777" w:rsidR="007702CD" w:rsidRPr="00C54A03" w:rsidRDefault="007702CD" w:rsidP="008E33FD">
            <w:pPr>
              <w:pStyle w:val="TableParagraph"/>
              <w:spacing w:before="15" w:line="264" w:lineRule="exact"/>
              <w:ind w:right="1170"/>
              <w:jc w:val="both"/>
              <w:rPr>
                <w:color w:val="000000" w:themeColor="text1"/>
                <w:sz w:val="24"/>
                <w:szCs w:val="24"/>
              </w:rPr>
            </w:pPr>
            <w:r w:rsidRPr="00C54A03">
              <w:rPr>
                <w:color w:val="000000" w:themeColor="text1"/>
                <w:sz w:val="24"/>
                <w:szCs w:val="24"/>
              </w:rPr>
              <w:t>29</w:t>
            </w:r>
          </w:p>
        </w:tc>
      </w:tr>
      <w:tr w:rsidR="007702CD" w:rsidRPr="00C54A03" w14:paraId="5A2CBF5C" w14:textId="77777777" w:rsidTr="00102A1A">
        <w:trPr>
          <w:trHeight w:val="299"/>
        </w:trPr>
        <w:tc>
          <w:tcPr>
            <w:tcW w:w="1385" w:type="dxa"/>
          </w:tcPr>
          <w:p w14:paraId="1368B0DC" w14:textId="77777777" w:rsidR="007702CD" w:rsidRPr="00C54A03" w:rsidRDefault="007702CD" w:rsidP="008E33FD">
            <w:pPr>
              <w:pStyle w:val="TableParagraph"/>
              <w:spacing w:before="20" w:line="259" w:lineRule="exact"/>
              <w:ind w:left="87" w:right="80"/>
              <w:jc w:val="both"/>
              <w:rPr>
                <w:b/>
                <w:color w:val="000000" w:themeColor="text1"/>
                <w:sz w:val="24"/>
                <w:szCs w:val="24"/>
              </w:rPr>
            </w:pPr>
            <w:r w:rsidRPr="00C54A03">
              <w:rPr>
                <w:b/>
                <w:color w:val="000000" w:themeColor="text1"/>
                <w:sz w:val="24"/>
                <w:szCs w:val="24"/>
              </w:rPr>
              <w:t>8220</w:t>
            </w:r>
          </w:p>
        </w:tc>
        <w:tc>
          <w:tcPr>
            <w:tcW w:w="706" w:type="dxa"/>
          </w:tcPr>
          <w:p w14:paraId="3255A5D0" w14:textId="77777777" w:rsidR="007702CD" w:rsidRPr="00C54A03" w:rsidRDefault="007702CD" w:rsidP="008E33FD">
            <w:pPr>
              <w:pStyle w:val="TableParagraph"/>
              <w:spacing w:before="15" w:line="264" w:lineRule="exact"/>
              <w:ind w:left="93" w:right="85"/>
              <w:jc w:val="both"/>
              <w:rPr>
                <w:color w:val="000000" w:themeColor="text1"/>
                <w:sz w:val="24"/>
                <w:szCs w:val="24"/>
              </w:rPr>
            </w:pPr>
            <w:r w:rsidRPr="00C54A03">
              <w:rPr>
                <w:color w:val="000000" w:themeColor="text1"/>
                <w:sz w:val="24"/>
                <w:szCs w:val="24"/>
              </w:rPr>
              <w:t>52</w:t>
            </w:r>
          </w:p>
        </w:tc>
        <w:tc>
          <w:tcPr>
            <w:tcW w:w="707" w:type="dxa"/>
          </w:tcPr>
          <w:p w14:paraId="1AC6F7C1" w14:textId="77777777" w:rsidR="007702CD" w:rsidRPr="00C54A03" w:rsidRDefault="007702CD" w:rsidP="008E33FD">
            <w:pPr>
              <w:pStyle w:val="TableParagraph"/>
              <w:spacing w:before="15" w:line="264" w:lineRule="exact"/>
              <w:ind w:left="87" w:right="79"/>
              <w:jc w:val="both"/>
              <w:rPr>
                <w:color w:val="000000" w:themeColor="text1"/>
                <w:sz w:val="24"/>
                <w:szCs w:val="24"/>
              </w:rPr>
            </w:pPr>
            <w:r w:rsidRPr="00C54A03">
              <w:rPr>
                <w:color w:val="000000" w:themeColor="text1"/>
                <w:sz w:val="24"/>
                <w:szCs w:val="24"/>
              </w:rPr>
              <w:t>24</w:t>
            </w:r>
          </w:p>
        </w:tc>
        <w:tc>
          <w:tcPr>
            <w:tcW w:w="706" w:type="dxa"/>
          </w:tcPr>
          <w:p w14:paraId="5E1B5CC3" w14:textId="77777777" w:rsidR="007702CD" w:rsidRPr="00C54A03" w:rsidRDefault="007702CD" w:rsidP="008E33FD">
            <w:pPr>
              <w:pStyle w:val="TableParagraph"/>
              <w:spacing w:before="15" w:line="264" w:lineRule="exact"/>
              <w:ind w:left="6"/>
              <w:jc w:val="both"/>
              <w:rPr>
                <w:color w:val="000000" w:themeColor="text1"/>
                <w:sz w:val="24"/>
                <w:szCs w:val="24"/>
              </w:rPr>
            </w:pPr>
            <w:r w:rsidRPr="00C54A03">
              <w:rPr>
                <w:color w:val="000000" w:themeColor="text1"/>
                <w:sz w:val="24"/>
                <w:szCs w:val="24"/>
              </w:rPr>
              <w:t>0</w:t>
            </w:r>
          </w:p>
        </w:tc>
        <w:tc>
          <w:tcPr>
            <w:tcW w:w="706" w:type="dxa"/>
          </w:tcPr>
          <w:p w14:paraId="5AC280C7" w14:textId="77777777" w:rsidR="007702CD" w:rsidRPr="00C54A03" w:rsidRDefault="007702CD" w:rsidP="008E33FD">
            <w:pPr>
              <w:pStyle w:val="TableParagraph"/>
              <w:spacing w:before="15" w:line="264" w:lineRule="exact"/>
              <w:ind w:left="5"/>
              <w:jc w:val="both"/>
              <w:rPr>
                <w:color w:val="000000" w:themeColor="text1"/>
                <w:sz w:val="24"/>
                <w:szCs w:val="24"/>
              </w:rPr>
            </w:pPr>
            <w:r w:rsidRPr="00C54A03">
              <w:rPr>
                <w:color w:val="000000" w:themeColor="text1"/>
                <w:sz w:val="24"/>
                <w:szCs w:val="24"/>
              </w:rPr>
              <w:t>0</w:t>
            </w:r>
          </w:p>
        </w:tc>
        <w:tc>
          <w:tcPr>
            <w:tcW w:w="706" w:type="dxa"/>
          </w:tcPr>
          <w:p w14:paraId="72D32742" w14:textId="77777777" w:rsidR="007702CD" w:rsidRPr="00C54A03" w:rsidRDefault="007702CD" w:rsidP="008E33FD">
            <w:pPr>
              <w:pStyle w:val="TableParagraph"/>
              <w:spacing w:before="15" w:line="264" w:lineRule="exact"/>
              <w:ind w:left="5"/>
              <w:jc w:val="both"/>
              <w:rPr>
                <w:color w:val="000000" w:themeColor="text1"/>
                <w:sz w:val="24"/>
                <w:szCs w:val="24"/>
              </w:rPr>
            </w:pPr>
            <w:r w:rsidRPr="00C54A03">
              <w:rPr>
                <w:color w:val="000000" w:themeColor="text1"/>
                <w:sz w:val="24"/>
                <w:szCs w:val="24"/>
              </w:rPr>
              <w:t>0</w:t>
            </w:r>
          </w:p>
        </w:tc>
        <w:tc>
          <w:tcPr>
            <w:tcW w:w="706" w:type="dxa"/>
          </w:tcPr>
          <w:p w14:paraId="29960E6E" w14:textId="77777777" w:rsidR="007702CD" w:rsidRPr="00C54A03" w:rsidRDefault="007702CD" w:rsidP="008E33FD">
            <w:pPr>
              <w:pStyle w:val="TableParagraph"/>
              <w:spacing w:before="15" w:line="264" w:lineRule="exact"/>
              <w:ind w:left="9"/>
              <w:jc w:val="both"/>
              <w:rPr>
                <w:color w:val="000000" w:themeColor="text1"/>
                <w:sz w:val="24"/>
                <w:szCs w:val="24"/>
              </w:rPr>
            </w:pPr>
            <w:r w:rsidRPr="00C54A03">
              <w:rPr>
                <w:color w:val="000000" w:themeColor="text1"/>
                <w:sz w:val="24"/>
                <w:szCs w:val="24"/>
              </w:rPr>
              <w:t>0</w:t>
            </w:r>
          </w:p>
        </w:tc>
        <w:tc>
          <w:tcPr>
            <w:tcW w:w="1422" w:type="dxa"/>
          </w:tcPr>
          <w:p w14:paraId="7CB46ABF" w14:textId="77777777" w:rsidR="007702CD" w:rsidRPr="00C54A03" w:rsidRDefault="007702CD" w:rsidP="008E33FD">
            <w:pPr>
              <w:pStyle w:val="TableParagraph"/>
              <w:spacing w:before="15" w:line="264" w:lineRule="exact"/>
              <w:ind w:left="88" w:right="81"/>
              <w:jc w:val="both"/>
              <w:rPr>
                <w:color w:val="000000" w:themeColor="text1"/>
                <w:sz w:val="24"/>
                <w:szCs w:val="24"/>
              </w:rPr>
            </w:pPr>
            <w:r w:rsidRPr="00C54A03">
              <w:rPr>
                <w:color w:val="000000" w:themeColor="text1"/>
                <w:sz w:val="24"/>
                <w:szCs w:val="24"/>
              </w:rPr>
              <w:t>58</w:t>
            </w:r>
          </w:p>
        </w:tc>
        <w:tc>
          <w:tcPr>
            <w:tcW w:w="2600" w:type="dxa"/>
          </w:tcPr>
          <w:p w14:paraId="30702AF5" w14:textId="77777777" w:rsidR="007702CD" w:rsidRPr="00C54A03" w:rsidRDefault="007702CD" w:rsidP="008E33FD">
            <w:pPr>
              <w:pStyle w:val="TableParagraph"/>
              <w:spacing w:before="15" w:line="264" w:lineRule="exact"/>
              <w:ind w:right="1170"/>
              <w:jc w:val="both"/>
              <w:rPr>
                <w:color w:val="000000" w:themeColor="text1"/>
                <w:sz w:val="24"/>
                <w:szCs w:val="24"/>
              </w:rPr>
            </w:pPr>
            <w:r w:rsidRPr="00C54A03">
              <w:rPr>
                <w:color w:val="000000" w:themeColor="text1"/>
                <w:sz w:val="24"/>
                <w:szCs w:val="24"/>
              </w:rPr>
              <w:t>18</w:t>
            </w:r>
          </w:p>
        </w:tc>
      </w:tr>
      <w:tr w:rsidR="007702CD" w:rsidRPr="00C54A03" w14:paraId="4724D740" w14:textId="77777777" w:rsidTr="00102A1A">
        <w:trPr>
          <w:trHeight w:val="302"/>
        </w:trPr>
        <w:tc>
          <w:tcPr>
            <w:tcW w:w="1385" w:type="dxa"/>
          </w:tcPr>
          <w:p w14:paraId="01B61BC5" w14:textId="77777777" w:rsidR="007702CD" w:rsidRPr="00C54A03" w:rsidRDefault="007702CD" w:rsidP="008E33FD">
            <w:pPr>
              <w:pStyle w:val="TableParagraph"/>
              <w:spacing w:before="23" w:line="259" w:lineRule="exact"/>
              <w:ind w:left="87" w:right="80"/>
              <w:jc w:val="both"/>
              <w:rPr>
                <w:b/>
                <w:color w:val="000000" w:themeColor="text1"/>
                <w:sz w:val="24"/>
                <w:szCs w:val="24"/>
              </w:rPr>
            </w:pPr>
            <w:r w:rsidRPr="00C54A03">
              <w:rPr>
                <w:b/>
                <w:color w:val="000000" w:themeColor="text1"/>
                <w:sz w:val="24"/>
                <w:szCs w:val="24"/>
              </w:rPr>
              <w:t>8230</w:t>
            </w:r>
          </w:p>
        </w:tc>
        <w:tc>
          <w:tcPr>
            <w:tcW w:w="706" w:type="dxa"/>
          </w:tcPr>
          <w:p w14:paraId="425404E5" w14:textId="77777777" w:rsidR="007702CD" w:rsidRPr="00C54A03" w:rsidRDefault="007702CD" w:rsidP="008E33FD">
            <w:pPr>
              <w:pStyle w:val="TableParagraph"/>
              <w:spacing w:before="18" w:line="264" w:lineRule="exact"/>
              <w:ind w:left="8"/>
              <w:jc w:val="both"/>
              <w:rPr>
                <w:color w:val="000000" w:themeColor="text1"/>
                <w:sz w:val="24"/>
                <w:szCs w:val="24"/>
              </w:rPr>
            </w:pPr>
            <w:r w:rsidRPr="00C54A03">
              <w:rPr>
                <w:color w:val="000000" w:themeColor="text1"/>
                <w:sz w:val="24"/>
                <w:szCs w:val="24"/>
              </w:rPr>
              <w:t>6</w:t>
            </w:r>
          </w:p>
        </w:tc>
        <w:tc>
          <w:tcPr>
            <w:tcW w:w="707" w:type="dxa"/>
          </w:tcPr>
          <w:p w14:paraId="2C4CA51A" w14:textId="77777777" w:rsidR="007702CD" w:rsidRPr="00C54A03" w:rsidRDefault="007702CD" w:rsidP="008E33FD">
            <w:pPr>
              <w:pStyle w:val="TableParagraph"/>
              <w:spacing w:before="18" w:line="264" w:lineRule="exact"/>
              <w:ind w:left="87" w:right="79"/>
              <w:jc w:val="both"/>
              <w:rPr>
                <w:color w:val="000000" w:themeColor="text1"/>
                <w:sz w:val="24"/>
                <w:szCs w:val="24"/>
              </w:rPr>
            </w:pPr>
            <w:r w:rsidRPr="00C54A03">
              <w:rPr>
                <w:color w:val="000000" w:themeColor="text1"/>
                <w:sz w:val="24"/>
                <w:szCs w:val="24"/>
              </w:rPr>
              <w:t>10</w:t>
            </w:r>
          </w:p>
        </w:tc>
        <w:tc>
          <w:tcPr>
            <w:tcW w:w="706" w:type="dxa"/>
          </w:tcPr>
          <w:p w14:paraId="1366B41C" w14:textId="77777777" w:rsidR="007702CD" w:rsidRPr="00C54A03" w:rsidRDefault="007702CD" w:rsidP="008E33FD">
            <w:pPr>
              <w:pStyle w:val="TableParagraph"/>
              <w:spacing w:before="18" w:line="264" w:lineRule="exact"/>
              <w:ind w:left="6"/>
              <w:jc w:val="both"/>
              <w:rPr>
                <w:color w:val="000000" w:themeColor="text1"/>
                <w:sz w:val="24"/>
                <w:szCs w:val="24"/>
              </w:rPr>
            </w:pPr>
            <w:r w:rsidRPr="00C54A03">
              <w:rPr>
                <w:color w:val="000000" w:themeColor="text1"/>
                <w:sz w:val="24"/>
                <w:szCs w:val="24"/>
              </w:rPr>
              <w:t>0</w:t>
            </w:r>
          </w:p>
        </w:tc>
        <w:tc>
          <w:tcPr>
            <w:tcW w:w="706" w:type="dxa"/>
          </w:tcPr>
          <w:p w14:paraId="66184B98" w14:textId="77777777" w:rsidR="007702CD" w:rsidRPr="00C54A03" w:rsidRDefault="007702CD" w:rsidP="008E33FD">
            <w:pPr>
              <w:pStyle w:val="TableParagraph"/>
              <w:spacing w:before="18" w:line="264" w:lineRule="exact"/>
              <w:ind w:left="5"/>
              <w:jc w:val="both"/>
              <w:rPr>
                <w:color w:val="000000" w:themeColor="text1"/>
                <w:sz w:val="24"/>
                <w:szCs w:val="24"/>
              </w:rPr>
            </w:pPr>
            <w:r w:rsidRPr="00C54A03">
              <w:rPr>
                <w:color w:val="000000" w:themeColor="text1"/>
                <w:sz w:val="24"/>
                <w:szCs w:val="24"/>
              </w:rPr>
              <w:t>4</w:t>
            </w:r>
          </w:p>
        </w:tc>
        <w:tc>
          <w:tcPr>
            <w:tcW w:w="706" w:type="dxa"/>
          </w:tcPr>
          <w:p w14:paraId="4D18F39D" w14:textId="77777777" w:rsidR="007702CD" w:rsidRPr="00C54A03" w:rsidRDefault="007702CD" w:rsidP="008E33FD">
            <w:pPr>
              <w:pStyle w:val="TableParagraph"/>
              <w:spacing w:before="18" w:line="264" w:lineRule="exact"/>
              <w:ind w:left="5"/>
              <w:jc w:val="both"/>
              <w:rPr>
                <w:color w:val="000000" w:themeColor="text1"/>
                <w:sz w:val="24"/>
                <w:szCs w:val="24"/>
              </w:rPr>
            </w:pPr>
            <w:r w:rsidRPr="00C54A03">
              <w:rPr>
                <w:color w:val="000000" w:themeColor="text1"/>
                <w:sz w:val="24"/>
                <w:szCs w:val="24"/>
              </w:rPr>
              <w:t>0</w:t>
            </w:r>
          </w:p>
        </w:tc>
        <w:tc>
          <w:tcPr>
            <w:tcW w:w="706" w:type="dxa"/>
          </w:tcPr>
          <w:p w14:paraId="5146AF5E" w14:textId="77777777" w:rsidR="007702CD" w:rsidRPr="00C54A03" w:rsidRDefault="007702CD" w:rsidP="008E33FD">
            <w:pPr>
              <w:pStyle w:val="TableParagraph"/>
              <w:spacing w:before="18" w:line="264" w:lineRule="exact"/>
              <w:ind w:left="9"/>
              <w:jc w:val="both"/>
              <w:rPr>
                <w:color w:val="000000" w:themeColor="text1"/>
                <w:sz w:val="24"/>
                <w:szCs w:val="24"/>
              </w:rPr>
            </w:pPr>
            <w:r w:rsidRPr="00C54A03">
              <w:rPr>
                <w:color w:val="000000" w:themeColor="text1"/>
                <w:sz w:val="24"/>
                <w:szCs w:val="24"/>
              </w:rPr>
              <w:t>0</w:t>
            </w:r>
          </w:p>
        </w:tc>
        <w:tc>
          <w:tcPr>
            <w:tcW w:w="1422" w:type="dxa"/>
          </w:tcPr>
          <w:p w14:paraId="1FC2811E" w14:textId="77777777" w:rsidR="007702CD" w:rsidRPr="00C54A03" w:rsidRDefault="007702CD" w:rsidP="008E33FD">
            <w:pPr>
              <w:pStyle w:val="TableParagraph"/>
              <w:spacing w:before="18" w:line="264" w:lineRule="exact"/>
              <w:ind w:left="88" w:right="81"/>
              <w:jc w:val="both"/>
              <w:rPr>
                <w:color w:val="000000" w:themeColor="text1"/>
                <w:sz w:val="24"/>
                <w:szCs w:val="24"/>
              </w:rPr>
            </w:pPr>
            <w:r w:rsidRPr="00C54A03">
              <w:rPr>
                <w:color w:val="000000" w:themeColor="text1"/>
                <w:sz w:val="24"/>
                <w:szCs w:val="24"/>
              </w:rPr>
              <w:t>16</w:t>
            </w:r>
          </w:p>
        </w:tc>
        <w:tc>
          <w:tcPr>
            <w:tcW w:w="2600" w:type="dxa"/>
          </w:tcPr>
          <w:p w14:paraId="03E018D2" w14:textId="77777777" w:rsidR="007702CD" w:rsidRPr="00C54A03" w:rsidRDefault="007702CD" w:rsidP="008E33FD">
            <w:pPr>
              <w:pStyle w:val="TableParagraph"/>
              <w:spacing w:before="18" w:line="264" w:lineRule="exact"/>
              <w:ind w:right="1230"/>
              <w:jc w:val="both"/>
              <w:rPr>
                <w:color w:val="000000" w:themeColor="text1"/>
                <w:sz w:val="24"/>
                <w:szCs w:val="24"/>
              </w:rPr>
            </w:pPr>
            <w:r w:rsidRPr="00C54A03">
              <w:rPr>
                <w:color w:val="000000" w:themeColor="text1"/>
                <w:sz w:val="24"/>
                <w:szCs w:val="24"/>
              </w:rPr>
              <w:t>4</w:t>
            </w:r>
          </w:p>
        </w:tc>
      </w:tr>
    </w:tbl>
    <w:p w14:paraId="6B629D78" w14:textId="77777777" w:rsidR="007702CD" w:rsidRPr="00C54A03" w:rsidRDefault="007702CD" w:rsidP="008E33FD">
      <w:pPr>
        <w:pStyle w:val="BodyText"/>
        <w:jc w:val="both"/>
        <w:rPr>
          <w:color w:val="000000" w:themeColor="text1"/>
          <w:sz w:val="24"/>
          <w:szCs w:val="24"/>
        </w:rPr>
      </w:pPr>
    </w:p>
    <w:p w14:paraId="41400206" w14:textId="77777777" w:rsidR="007702CD" w:rsidRPr="00C54A03" w:rsidRDefault="007702CD" w:rsidP="008E33FD">
      <w:pPr>
        <w:pStyle w:val="Heading2"/>
        <w:widowControl w:val="0"/>
        <w:tabs>
          <w:tab w:val="left" w:pos="1194"/>
        </w:tabs>
        <w:autoSpaceDE w:val="0"/>
        <w:autoSpaceDN w:val="0"/>
        <w:spacing w:before="1" w:beforeAutospacing="0" w:after="0" w:afterAutospacing="0"/>
        <w:jc w:val="both"/>
        <w:rPr>
          <w:color w:val="000000" w:themeColor="text1"/>
          <w:sz w:val="24"/>
          <w:szCs w:val="24"/>
          <w:lang w:val="fr-FR"/>
        </w:rPr>
      </w:pPr>
      <w:proofErr w:type="spellStart"/>
      <w:r w:rsidRPr="00C54A03">
        <w:rPr>
          <w:color w:val="000000" w:themeColor="text1"/>
          <w:sz w:val="24"/>
          <w:szCs w:val="24"/>
          <w:lang w:val="fr-FR"/>
        </w:rPr>
        <w:t>Ploturi</w:t>
      </w:r>
      <w:proofErr w:type="spellEnd"/>
      <w:r w:rsidRPr="00C54A03">
        <w:rPr>
          <w:color w:val="000000" w:themeColor="text1"/>
          <w:spacing w:val="-5"/>
          <w:sz w:val="24"/>
          <w:szCs w:val="24"/>
          <w:lang w:val="fr-FR"/>
        </w:rPr>
        <w:t xml:space="preserve"> </w:t>
      </w:r>
      <w:r w:rsidRPr="00C54A03">
        <w:rPr>
          <w:color w:val="000000" w:themeColor="text1"/>
          <w:sz w:val="24"/>
          <w:szCs w:val="24"/>
          <w:lang w:val="fr-FR"/>
        </w:rPr>
        <w:t>de</w:t>
      </w:r>
      <w:r w:rsidRPr="00C54A03">
        <w:rPr>
          <w:color w:val="000000" w:themeColor="text1"/>
          <w:spacing w:val="-5"/>
          <w:sz w:val="24"/>
          <w:szCs w:val="24"/>
          <w:lang w:val="fr-FR"/>
        </w:rPr>
        <w:t xml:space="preserve"> </w:t>
      </w:r>
      <w:proofErr w:type="spellStart"/>
      <w:r w:rsidRPr="00C54A03">
        <w:rPr>
          <w:color w:val="000000" w:themeColor="text1"/>
          <w:sz w:val="24"/>
          <w:szCs w:val="24"/>
          <w:lang w:val="fr-FR"/>
        </w:rPr>
        <w:t>monitorizare</w:t>
      </w:r>
      <w:proofErr w:type="spellEnd"/>
      <w:r w:rsidRPr="00C54A03">
        <w:rPr>
          <w:color w:val="000000" w:themeColor="text1"/>
          <w:spacing w:val="-4"/>
          <w:sz w:val="24"/>
          <w:szCs w:val="24"/>
          <w:lang w:val="fr-FR"/>
        </w:rPr>
        <w:t xml:space="preserve"> </w:t>
      </w:r>
      <w:proofErr w:type="spellStart"/>
      <w:r w:rsidRPr="00C54A03">
        <w:rPr>
          <w:color w:val="000000" w:themeColor="text1"/>
          <w:sz w:val="24"/>
          <w:szCs w:val="24"/>
          <w:lang w:val="fr-FR"/>
        </w:rPr>
        <w:t>din</w:t>
      </w:r>
      <w:proofErr w:type="spellEnd"/>
      <w:r w:rsidRPr="00C54A03">
        <w:rPr>
          <w:color w:val="000000" w:themeColor="text1"/>
          <w:spacing w:val="-5"/>
          <w:sz w:val="24"/>
          <w:szCs w:val="24"/>
          <w:lang w:val="fr-FR"/>
        </w:rPr>
        <w:t xml:space="preserve"> </w:t>
      </w:r>
      <w:proofErr w:type="spellStart"/>
      <w:r w:rsidRPr="00C54A03">
        <w:rPr>
          <w:color w:val="000000" w:themeColor="text1"/>
          <w:sz w:val="24"/>
          <w:szCs w:val="24"/>
          <w:lang w:val="fr-FR"/>
        </w:rPr>
        <w:t>rețeaua</w:t>
      </w:r>
      <w:proofErr w:type="spellEnd"/>
      <w:r w:rsidRPr="00C54A03">
        <w:rPr>
          <w:color w:val="000000" w:themeColor="text1"/>
          <w:spacing w:val="-2"/>
          <w:sz w:val="24"/>
          <w:szCs w:val="24"/>
          <w:lang w:val="fr-FR"/>
        </w:rPr>
        <w:t xml:space="preserve"> </w:t>
      </w:r>
      <w:r w:rsidRPr="00C54A03">
        <w:rPr>
          <w:color w:val="000000" w:themeColor="text1"/>
          <w:sz w:val="24"/>
          <w:szCs w:val="24"/>
          <w:lang w:val="fr-FR"/>
        </w:rPr>
        <w:t>Natura</w:t>
      </w:r>
      <w:r w:rsidRPr="00C54A03">
        <w:rPr>
          <w:color w:val="000000" w:themeColor="text1"/>
          <w:spacing w:val="-6"/>
          <w:sz w:val="24"/>
          <w:szCs w:val="24"/>
          <w:lang w:val="fr-FR"/>
        </w:rPr>
        <w:t xml:space="preserve"> </w:t>
      </w:r>
      <w:r w:rsidRPr="00C54A03">
        <w:rPr>
          <w:color w:val="000000" w:themeColor="text1"/>
          <w:sz w:val="24"/>
          <w:szCs w:val="24"/>
          <w:lang w:val="fr-FR"/>
        </w:rPr>
        <w:t>2000</w:t>
      </w:r>
    </w:p>
    <w:p w14:paraId="4F9A7CB7" w14:textId="77777777" w:rsidR="007702CD" w:rsidRPr="00C54A03" w:rsidRDefault="007702CD" w:rsidP="00507CCA">
      <w:pPr>
        <w:pStyle w:val="BodyText"/>
        <w:spacing w:before="157"/>
        <w:ind w:left="0"/>
        <w:jc w:val="both"/>
        <w:rPr>
          <w:color w:val="000000" w:themeColor="text1"/>
          <w:sz w:val="24"/>
          <w:szCs w:val="24"/>
          <w:lang w:val="fr-FR"/>
        </w:rPr>
      </w:pPr>
      <w:proofErr w:type="spellStart"/>
      <w:r w:rsidRPr="00C54A03">
        <w:rPr>
          <w:color w:val="000000" w:themeColor="text1"/>
          <w:sz w:val="24"/>
          <w:szCs w:val="24"/>
          <w:lang w:val="fr-FR"/>
        </w:rPr>
        <w:t>Ploturile</w:t>
      </w:r>
      <w:proofErr w:type="spellEnd"/>
      <w:r w:rsidRPr="00C54A03">
        <w:rPr>
          <w:color w:val="000000" w:themeColor="text1"/>
          <w:spacing w:val="-2"/>
          <w:sz w:val="24"/>
          <w:szCs w:val="24"/>
          <w:lang w:val="fr-FR"/>
        </w:rPr>
        <w:t xml:space="preserve"> </w:t>
      </w:r>
      <w:r w:rsidRPr="00C54A03">
        <w:rPr>
          <w:color w:val="000000" w:themeColor="text1"/>
          <w:sz w:val="24"/>
          <w:szCs w:val="24"/>
          <w:lang w:val="fr-FR"/>
        </w:rPr>
        <w:t>de</w:t>
      </w:r>
      <w:r w:rsidRPr="00C54A03">
        <w:rPr>
          <w:color w:val="000000" w:themeColor="text1"/>
          <w:spacing w:val="-2"/>
          <w:sz w:val="24"/>
          <w:szCs w:val="24"/>
          <w:lang w:val="fr-FR"/>
        </w:rPr>
        <w:t xml:space="preserve"> </w:t>
      </w:r>
      <w:proofErr w:type="spellStart"/>
      <w:r w:rsidRPr="00C54A03">
        <w:rPr>
          <w:color w:val="000000" w:themeColor="text1"/>
          <w:sz w:val="24"/>
          <w:szCs w:val="24"/>
          <w:lang w:val="fr-FR"/>
        </w:rPr>
        <w:t>monitorizare</w:t>
      </w:r>
      <w:proofErr w:type="spellEnd"/>
      <w:r w:rsidRPr="00C54A03">
        <w:rPr>
          <w:color w:val="000000" w:themeColor="text1"/>
          <w:spacing w:val="-3"/>
          <w:sz w:val="24"/>
          <w:szCs w:val="24"/>
          <w:lang w:val="fr-FR"/>
        </w:rPr>
        <w:t xml:space="preserve"> </w:t>
      </w:r>
      <w:r w:rsidRPr="00C54A03">
        <w:rPr>
          <w:color w:val="000000" w:themeColor="text1"/>
          <w:sz w:val="24"/>
          <w:szCs w:val="24"/>
          <w:lang w:val="fr-FR"/>
        </w:rPr>
        <w:t>se</w:t>
      </w:r>
      <w:r w:rsidRPr="00C54A03">
        <w:rPr>
          <w:color w:val="000000" w:themeColor="text1"/>
          <w:spacing w:val="-2"/>
          <w:sz w:val="24"/>
          <w:szCs w:val="24"/>
          <w:lang w:val="fr-FR"/>
        </w:rPr>
        <w:t xml:space="preserve"> </w:t>
      </w:r>
      <w:proofErr w:type="spellStart"/>
      <w:r w:rsidRPr="00C54A03">
        <w:rPr>
          <w:color w:val="000000" w:themeColor="text1"/>
          <w:sz w:val="24"/>
          <w:szCs w:val="24"/>
          <w:lang w:val="fr-FR"/>
        </w:rPr>
        <w:t>stabilesc</w:t>
      </w:r>
      <w:proofErr w:type="spellEnd"/>
      <w:r w:rsidRPr="00C54A03">
        <w:rPr>
          <w:color w:val="000000" w:themeColor="text1"/>
          <w:spacing w:val="-2"/>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corelație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cu</w:t>
      </w:r>
      <w:proofErr w:type="spellEnd"/>
      <w:r w:rsidRPr="00C54A03">
        <w:rPr>
          <w:color w:val="000000" w:themeColor="text1"/>
          <w:sz w:val="24"/>
          <w:szCs w:val="24"/>
          <w:lang w:val="fr-FR"/>
        </w:rPr>
        <w:t>:</w:t>
      </w:r>
    </w:p>
    <w:p w14:paraId="74AF5ED4" w14:textId="77777777" w:rsidR="007702CD" w:rsidRPr="00C54A03" w:rsidRDefault="007702CD" w:rsidP="00507CCA">
      <w:pPr>
        <w:pStyle w:val="ListParagraph"/>
        <w:widowControl w:val="0"/>
        <w:numPr>
          <w:ilvl w:val="0"/>
          <w:numId w:val="52"/>
        </w:numPr>
        <w:tabs>
          <w:tab w:val="left" w:pos="90"/>
        </w:tabs>
        <w:autoSpaceDE w:val="0"/>
        <w:autoSpaceDN w:val="0"/>
        <w:ind w:left="0" w:firstLine="0"/>
        <w:jc w:val="both"/>
        <w:rPr>
          <w:rFonts w:ascii="Times New Roman" w:hAnsi="Times New Roman" w:cs="Times New Roman"/>
          <w:color w:val="000000" w:themeColor="text1"/>
          <w:sz w:val="24"/>
          <w:szCs w:val="24"/>
          <w:lang w:val="fr-FR"/>
        </w:rPr>
      </w:pPr>
      <w:proofErr w:type="spellStart"/>
      <w:r w:rsidRPr="00C54A03">
        <w:rPr>
          <w:rFonts w:ascii="Times New Roman" w:hAnsi="Times New Roman" w:cs="Times New Roman"/>
          <w:color w:val="000000" w:themeColor="text1"/>
          <w:sz w:val="24"/>
          <w:szCs w:val="24"/>
          <w:lang w:val="fr-FR"/>
        </w:rPr>
        <w:t>arealul</w:t>
      </w:r>
      <w:proofErr w:type="spellEnd"/>
      <w:r w:rsidRPr="00C54A03">
        <w:rPr>
          <w:rFonts w:ascii="Times New Roman" w:hAnsi="Times New Roman" w:cs="Times New Roman"/>
          <w:color w:val="000000" w:themeColor="text1"/>
          <w:spacing w:val="-2"/>
          <w:sz w:val="24"/>
          <w:szCs w:val="24"/>
          <w:lang w:val="fr-FR"/>
        </w:rPr>
        <w:t xml:space="preserve"> </w:t>
      </w:r>
      <w:proofErr w:type="spellStart"/>
      <w:r w:rsidRPr="00C54A03">
        <w:rPr>
          <w:rFonts w:ascii="Times New Roman" w:hAnsi="Times New Roman" w:cs="Times New Roman"/>
          <w:color w:val="000000" w:themeColor="text1"/>
          <w:sz w:val="24"/>
          <w:szCs w:val="24"/>
          <w:lang w:val="fr-FR"/>
        </w:rPr>
        <w:t>tipului</w:t>
      </w:r>
      <w:proofErr w:type="spellEnd"/>
      <w:r w:rsidRPr="00C54A03">
        <w:rPr>
          <w:rFonts w:ascii="Times New Roman" w:hAnsi="Times New Roman" w:cs="Times New Roman"/>
          <w:color w:val="000000" w:themeColor="text1"/>
          <w:spacing w:val="-1"/>
          <w:sz w:val="24"/>
          <w:szCs w:val="24"/>
          <w:lang w:val="fr-FR"/>
        </w:rPr>
        <w:t xml:space="preserve"> </w:t>
      </w:r>
      <w:r w:rsidRPr="00C54A03">
        <w:rPr>
          <w:rFonts w:ascii="Times New Roman" w:hAnsi="Times New Roman" w:cs="Times New Roman"/>
          <w:color w:val="000000" w:themeColor="text1"/>
          <w:sz w:val="24"/>
          <w:szCs w:val="24"/>
          <w:lang w:val="fr-FR"/>
        </w:rPr>
        <w:t>de</w:t>
      </w:r>
      <w:r w:rsidRPr="00C54A03">
        <w:rPr>
          <w:rFonts w:ascii="Times New Roman" w:hAnsi="Times New Roman" w:cs="Times New Roman"/>
          <w:color w:val="000000" w:themeColor="text1"/>
          <w:spacing w:val="-2"/>
          <w:sz w:val="24"/>
          <w:szCs w:val="24"/>
          <w:lang w:val="fr-FR"/>
        </w:rPr>
        <w:t xml:space="preserve"> </w:t>
      </w:r>
      <w:r w:rsidRPr="00C54A03">
        <w:rPr>
          <w:rFonts w:ascii="Times New Roman" w:hAnsi="Times New Roman" w:cs="Times New Roman"/>
          <w:color w:val="000000" w:themeColor="text1"/>
          <w:sz w:val="24"/>
          <w:szCs w:val="24"/>
          <w:lang w:val="fr-FR"/>
        </w:rPr>
        <w:t>habitat</w:t>
      </w:r>
      <w:r w:rsidRPr="00C54A03">
        <w:rPr>
          <w:rFonts w:ascii="Times New Roman" w:hAnsi="Times New Roman" w:cs="Times New Roman"/>
          <w:color w:val="000000" w:themeColor="text1"/>
          <w:spacing w:val="-1"/>
          <w:sz w:val="24"/>
          <w:szCs w:val="24"/>
          <w:lang w:val="fr-FR"/>
        </w:rPr>
        <w:t xml:space="preserve"> </w:t>
      </w:r>
      <w:proofErr w:type="spellStart"/>
      <w:r w:rsidRPr="00C54A03">
        <w:rPr>
          <w:rFonts w:ascii="Times New Roman" w:hAnsi="Times New Roman" w:cs="Times New Roman"/>
          <w:color w:val="000000" w:themeColor="text1"/>
          <w:sz w:val="24"/>
          <w:szCs w:val="24"/>
          <w:lang w:val="fr-FR"/>
        </w:rPr>
        <w:t>din</w:t>
      </w:r>
      <w:proofErr w:type="spellEnd"/>
      <w:r w:rsidRPr="00C54A03">
        <w:rPr>
          <w:rFonts w:ascii="Times New Roman" w:hAnsi="Times New Roman" w:cs="Times New Roman"/>
          <w:color w:val="000000" w:themeColor="text1"/>
          <w:spacing w:val="-1"/>
          <w:sz w:val="24"/>
          <w:szCs w:val="24"/>
          <w:lang w:val="fr-FR"/>
        </w:rPr>
        <w:t xml:space="preserve"> </w:t>
      </w:r>
      <w:proofErr w:type="spellStart"/>
      <w:r w:rsidRPr="00C54A03">
        <w:rPr>
          <w:rFonts w:ascii="Times New Roman" w:hAnsi="Times New Roman" w:cs="Times New Roman"/>
          <w:color w:val="000000" w:themeColor="text1"/>
          <w:sz w:val="24"/>
          <w:szCs w:val="24"/>
          <w:lang w:val="fr-FR"/>
        </w:rPr>
        <w:t>interiorul</w:t>
      </w:r>
      <w:proofErr w:type="spellEnd"/>
      <w:r w:rsidRPr="00C54A03">
        <w:rPr>
          <w:rFonts w:ascii="Times New Roman" w:hAnsi="Times New Roman" w:cs="Times New Roman"/>
          <w:color w:val="000000" w:themeColor="text1"/>
          <w:spacing w:val="-1"/>
          <w:sz w:val="24"/>
          <w:szCs w:val="24"/>
          <w:lang w:val="fr-FR"/>
        </w:rPr>
        <w:t xml:space="preserve"> </w:t>
      </w:r>
      <w:proofErr w:type="spellStart"/>
      <w:r w:rsidRPr="00C54A03">
        <w:rPr>
          <w:rFonts w:ascii="Times New Roman" w:hAnsi="Times New Roman" w:cs="Times New Roman"/>
          <w:color w:val="000000" w:themeColor="text1"/>
          <w:sz w:val="24"/>
          <w:szCs w:val="24"/>
          <w:lang w:val="fr-FR"/>
        </w:rPr>
        <w:t>rețelei</w:t>
      </w:r>
      <w:proofErr w:type="spellEnd"/>
      <w:r w:rsidRPr="00C54A03">
        <w:rPr>
          <w:rFonts w:ascii="Times New Roman" w:hAnsi="Times New Roman" w:cs="Times New Roman"/>
          <w:color w:val="000000" w:themeColor="text1"/>
          <w:spacing w:val="-2"/>
          <w:sz w:val="24"/>
          <w:szCs w:val="24"/>
          <w:lang w:val="fr-FR"/>
        </w:rPr>
        <w:t xml:space="preserve"> </w:t>
      </w:r>
      <w:proofErr w:type="spellStart"/>
      <w:r w:rsidRPr="00C54A03">
        <w:rPr>
          <w:rFonts w:ascii="Times New Roman" w:hAnsi="Times New Roman" w:cs="Times New Roman"/>
          <w:color w:val="000000" w:themeColor="text1"/>
          <w:sz w:val="24"/>
          <w:szCs w:val="24"/>
          <w:lang w:val="fr-FR"/>
        </w:rPr>
        <w:t>pSCI</w:t>
      </w:r>
      <w:proofErr w:type="spellEnd"/>
      <w:r w:rsidRPr="00C54A03">
        <w:rPr>
          <w:rFonts w:ascii="Times New Roman" w:hAnsi="Times New Roman" w:cs="Times New Roman"/>
          <w:color w:val="000000" w:themeColor="text1"/>
          <w:sz w:val="24"/>
          <w:szCs w:val="24"/>
          <w:lang w:val="fr-FR"/>
        </w:rPr>
        <w:t>,</w:t>
      </w:r>
      <w:r w:rsidRPr="00C54A03">
        <w:rPr>
          <w:rFonts w:ascii="Times New Roman" w:hAnsi="Times New Roman" w:cs="Times New Roman"/>
          <w:color w:val="000000" w:themeColor="text1"/>
          <w:spacing w:val="-1"/>
          <w:sz w:val="24"/>
          <w:szCs w:val="24"/>
          <w:lang w:val="fr-FR"/>
        </w:rPr>
        <w:t xml:space="preserve"> </w:t>
      </w:r>
      <w:r w:rsidRPr="00C54A03">
        <w:rPr>
          <w:rFonts w:ascii="Times New Roman" w:hAnsi="Times New Roman" w:cs="Times New Roman"/>
          <w:color w:val="000000" w:themeColor="text1"/>
          <w:sz w:val="24"/>
          <w:szCs w:val="24"/>
          <w:lang w:val="fr-FR"/>
        </w:rPr>
        <w:t>SCI</w:t>
      </w:r>
      <w:r w:rsidRPr="00C54A03">
        <w:rPr>
          <w:rFonts w:ascii="Times New Roman" w:hAnsi="Times New Roman" w:cs="Times New Roman"/>
          <w:color w:val="000000" w:themeColor="text1"/>
          <w:spacing w:val="-5"/>
          <w:sz w:val="24"/>
          <w:szCs w:val="24"/>
          <w:lang w:val="fr-FR"/>
        </w:rPr>
        <w:t xml:space="preserve"> </w:t>
      </w:r>
      <w:proofErr w:type="spellStart"/>
      <w:r w:rsidRPr="00C54A03">
        <w:rPr>
          <w:rFonts w:ascii="Times New Roman" w:hAnsi="Times New Roman" w:cs="Times New Roman"/>
          <w:color w:val="000000" w:themeColor="text1"/>
          <w:sz w:val="24"/>
          <w:szCs w:val="24"/>
          <w:lang w:val="fr-FR"/>
        </w:rPr>
        <w:t>și</w:t>
      </w:r>
      <w:proofErr w:type="spellEnd"/>
      <w:r w:rsidRPr="00C54A03">
        <w:rPr>
          <w:rFonts w:ascii="Times New Roman" w:hAnsi="Times New Roman" w:cs="Times New Roman"/>
          <w:color w:val="000000" w:themeColor="text1"/>
          <w:spacing w:val="-2"/>
          <w:sz w:val="24"/>
          <w:szCs w:val="24"/>
          <w:lang w:val="fr-FR"/>
        </w:rPr>
        <w:t xml:space="preserve"> </w:t>
      </w:r>
      <w:r w:rsidRPr="00C54A03">
        <w:rPr>
          <w:rFonts w:ascii="Times New Roman" w:hAnsi="Times New Roman" w:cs="Times New Roman"/>
          <w:color w:val="000000" w:themeColor="text1"/>
          <w:sz w:val="24"/>
          <w:szCs w:val="24"/>
          <w:lang w:val="fr-FR"/>
        </w:rPr>
        <w:t>SAC,</w:t>
      </w:r>
    </w:p>
    <w:p w14:paraId="06D5EFDE" w14:textId="77777777" w:rsidR="007702CD" w:rsidRPr="00C54A03" w:rsidRDefault="007702CD" w:rsidP="00507CCA">
      <w:pPr>
        <w:pStyle w:val="BodyText"/>
        <w:tabs>
          <w:tab w:val="left" w:pos="90"/>
        </w:tabs>
        <w:ind w:left="0"/>
        <w:jc w:val="both"/>
        <w:rPr>
          <w:color w:val="000000" w:themeColor="text1"/>
          <w:sz w:val="24"/>
          <w:szCs w:val="24"/>
          <w:lang w:val="fr-FR"/>
        </w:rPr>
      </w:pPr>
      <w:r w:rsidRPr="00C54A03">
        <w:rPr>
          <w:color w:val="000000" w:themeColor="text1"/>
          <w:sz w:val="24"/>
          <w:szCs w:val="24"/>
          <w:lang w:val="fr-FR"/>
        </w:rPr>
        <w:t>-</w:t>
      </w:r>
      <w:proofErr w:type="spellStart"/>
      <w:r w:rsidRPr="00C54A03">
        <w:rPr>
          <w:color w:val="000000" w:themeColor="text1"/>
          <w:sz w:val="24"/>
          <w:szCs w:val="24"/>
          <w:lang w:val="fr-FR"/>
        </w:rPr>
        <w:t>modul</w:t>
      </w:r>
      <w:proofErr w:type="spellEnd"/>
      <w:r w:rsidRPr="00C54A03">
        <w:rPr>
          <w:color w:val="000000" w:themeColor="text1"/>
          <w:spacing w:val="-2"/>
          <w:sz w:val="24"/>
          <w:szCs w:val="24"/>
          <w:lang w:val="fr-FR"/>
        </w:rPr>
        <w:t xml:space="preserve"> </w:t>
      </w:r>
      <w:r w:rsidRPr="00C54A03">
        <w:rPr>
          <w:color w:val="000000" w:themeColor="text1"/>
          <w:sz w:val="24"/>
          <w:szCs w:val="24"/>
          <w:lang w:val="fr-FR"/>
        </w:rPr>
        <w:t>de</w:t>
      </w:r>
      <w:r w:rsidRPr="00C54A03">
        <w:rPr>
          <w:color w:val="000000" w:themeColor="text1"/>
          <w:spacing w:val="-3"/>
          <w:sz w:val="24"/>
          <w:szCs w:val="24"/>
          <w:lang w:val="fr-FR"/>
        </w:rPr>
        <w:t xml:space="preserve"> </w:t>
      </w:r>
      <w:proofErr w:type="spellStart"/>
      <w:r w:rsidRPr="00C54A03">
        <w:rPr>
          <w:color w:val="000000" w:themeColor="text1"/>
          <w:sz w:val="24"/>
          <w:szCs w:val="24"/>
          <w:lang w:val="fr-FR"/>
        </w:rPr>
        <w:t>estimare</w:t>
      </w:r>
      <w:proofErr w:type="spellEnd"/>
      <w:r w:rsidRPr="00C54A03">
        <w:rPr>
          <w:color w:val="000000" w:themeColor="text1"/>
          <w:sz w:val="24"/>
          <w:szCs w:val="24"/>
          <w:lang w:val="fr-FR"/>
        </w:rPr>
        <w:t>,</w:t>
      </w:r>
    </w:p>
    <w:p w14:paraId="585FCD12" w14:textId="77777777" w:rsidR="007702CD" w:rsidRPr="00C54A03" w:rsidRDefault="007702CD" w:rsidP="00507CCA">
      <w:pPr>
        <w:pStyle w:val="BodyText"/>
        <w:tabs>
          <w:tab w:val="left" w:pos="90"/>
        </w:tabs>
        <w:ind w:left="0"/>
        <w:jc w:val="both"/>
        <w:rPr>
          <w:color w:val="000000" w:themeColor="text1"/>
          <w:sz w:val="24"/>
          <w:szCs w:val="24"/>
          <w:lang w:val="fr-FR"/>
        </w:rPr>
      </w:pPr>
      <w:r w:rsidRPr="00C54A03">
        <w:rPr>
          <w:color w:val="000000" w:themeColor="text1"/>
          <w:sz w:val="24"/>
          <w:szCs w:val="24"/>
          <w:lang w:val="fr-FR"/>
        </w:rPr>
        <w:t>-</w:t>
      </w:r>
      <w:proofErr w:type="spellStart"/>
      <w:r w:rsidRPr="00C54A03">
        <w:rPr>
          <w:color w:val="000000" w:themeColor="text1"/>
          <w:sz w:val="24"/>
          <w:szCs w:val="24"/>
          <w:lang w:val="fr-FR"/>
        </w:rPr>
        <w:t>suprafața</w:t>
      </w:r>
      <w:proofErr w:type="spellEnd"/>
      <w:r w:rsidRPr="00C54A03">
        <w:rPr>
          <w:color w:val="000000" w:themeColor="text1"/>
          <w:spacing w:val="-2"/>
          <w:sz w:val="24"/>
          <w:szCs w:val="24"/>
          <w:lang w:val="fr-FR"/>
        </w:rPr>
        <w:t xml:space="preserve"> </w:t>
      </w:r>
      <w:proofErr w:type="spellStart"/>
      <w:r w:rsidRPr="00C54A03">
        <w:rPr>
          <w:color w:val="000000" w:themeColor="text1"/>
          <w:sz w:val="24"/>
          <w:szCs w:val="24"/>
          <w:lang w:val="fr-FR"/>
        </w:rPr>
        <w:t>tipului</w:t>
      </w:r>
      <w:proofErr w:type="spellEnd"/>
      <w:r w:rsidRPr="00C54A03">
        <w:rPr>
          <w:color w:val="000000" w:themeColor="text1"/>
          <w:spacing w:val="-2"/>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r w:rsidRPr="00C54A03">
        <w:rPr>
          <w:color w:val="000000" w:themeColor="text1"/>
          <w:sz w:val="24"/>
          <w:szCs w:val="24"/>
          <w:lang w:val="fr-FR"/>
        </w:rPr>
        <w:t>habitat</w:t>
      </w:r>
      <w:r w:rsidRPr="00C54A03">
        <w:rPr>
          <w:color w:val="000000" w:themeColor="text1"/>
          <w:spacing w:val="-2"/>
          <w:sz w:val="24"/>
          <w:szCs w:val="24"/>
          <w:lang w:val="fr-FR"/>
        </w:rPr>
        <w:t xml:space="preserve"> </w:t>
      </w:r>
      <w:proofErr w:type="spellStart"/>
      <w:r w:rsidRPr="00C54A03">
        <w:rPr>
          <w:color w:val="000000" w:themeColor="text1"/>
          <w:sz w:val="24"/>
          <w:szCs w:val="24"/>
          <w:lang w:val="fr-FR"/>
        </w:rPr>
        <w:t>din</w:t>
      </w:r>
      <w:proofErr w:type="spellEnd"/>
      <w:r w:rsidRPr="00C54A03">
        <w:rPr>
          <w:color w:val="000000" w:themeColor="text1"/>
          <w:spacing w:val="-2"/>
          <w:sz w:val="24"/>
          <w:szCs w:val="24"/>
          <w:lang w:val="fr-FR"/>
        </w:rPr>
        <w:t xml:space="preserve"> </w:t>
      </w:r>
      <w:proofErr w:type="spellStart"/>
      <w:r w:rsidRPr="00C54A03">
        <w:rPr>
          <w:color w:val="000000" w:themeColor="text1"/>
          <w:sz w:val="24"/>
          <w:szCs w:val="24"/>
          <w:lang w:val="fr-FR"/>
        </w:rPr>
        <w:t>interiorul</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rețelei</w:t>
      </w:r>
      <w:proofErr w:type="spellEnd"/>
      <w:r w:rsidRPr="00C54A03">
        <w:rPr>
          <w:color w:val="000000" w:themeColor="text1"/>
          <w:sz w:val="24"/>
          <w:szCs w:val="24"/>
          <w:lang w:val="fr-FR"/>
        </w:rPr>
        <w:t>,</w:t>
      </w:r>
    </w:p>
    <w:p w14:paraId="6E4B18EF" w14:textId="77777777" w:rsidR="007702CD" w:rsidRPr="00C54A03" w:rsidRDefault="007702CD" w:rsidP="00507CCA">
      <w:pPr>
        <w:pStyle w:val="BodyText"/>
        <w:tabs>
          <w:tab w:val="left" w:pos="90"/>
        </w:tabs>
        <w:ind w:left="0"/>
        <w:jc w:val="both"/>
        <w:rPr>
          <w:color w:val="000000" w:themeColor="text1"/>
          <w:sz w:val="24"/>
          <w:szCs w:val="24"/>
          <w:lang w:val="fr-FR"/>
        </w:rPr>
      </w:pPr>
      <w:r w:rsidRPr="00C54A03">
        <w:rPr>
          <w:color w:val="000000" w:themeColor="text1"/>
          <w:sz w:val="24"/>
          <w:szCs w:val="24"/>
          <w:lang w:val="fr-FR"/>
        </w:rPr>
        <w:lastRenderedPageBreak/>
        <w:t>-</w:t>
      </w:r>
      <w:proofErr w:type="spellStart"/>
      <w:r w:rsidRPr="00C54A03">
        <w:rPr>
          <w:color w:val="000000" w:themeColor="text1"/>
          <w:sz w:val="24"/>
          <w:szCs w:val="24"/>
          <w:lang w:val="fr-FR"/>
        </w:rPr>
        <w:t>metoda</w:t>
      </w:r>
      <w:proofErr w:type="spellEnd"/>
      <w:r w:rsidRPr="00C54A03">
        <w:rPr>
          <w:color w:val="000000" w:themeColor="text1"/>
          <w:spacing w:val="-4"/>
          <w:sz w:val="24"/>
          <w:szCs w:val="24"/>
          <w:lang w:val="fr-FR"/>
        </w:rPr>
        <w:t xml:space="preserve"> </w:t>
      </w:r>
      <w:proofErr w:type="spellStart"/>
      <w:r w:rsidRPr="00C54A03">
        <w:rPr>
          <w:color w:val="000000" w:themeColor="text1"/>
          <w:sz w:val="24"/>
          <w:szCs w:val="24"/>
          <w:lang w:val="fr-FR"/>
        </w:rPr>
        <w:t>folosită</w:t>
      </w:r>
      <w:proofErr w:type="spellEnd"/>
      <w:r w:rsidRPr="00C54A03">
        <w:rPr>
          <w:color w:val="000000" w:themeColor="text1"/>
          <w:sz w:val="24"/>
          <w:szCs w:val="24"/>
          <w:lang w:val="fr-FR"/>
        </w:rPr>
        <w:t>,</w:t>
      </w:r>
    </w:p>
    <w:p w14:paraId="52086A28" w14:textId="77777777" w:rsidR="007702CD" w:rsidRPr="00C54A03" w:rsidRDefault="007702CD" w:rsidP="00507CCA">
      <w:pPr>
        <w:pStyle w:val="BodyText"/>
        <w:tabs>
          <w:tab w:val="left" w:pos="90"/>
        </w:tabs>
        <w:ind w:left="0"/>
        <w:jc w:val="both"/>
        <w:rPr>
          <w:color w:val="000000" w:themeColor="text1"/>
          <w:sz w:val="24"/>
          <w:szCs w:val="24"/>
          <w:lang w:val="fr-FR"/>
        </w:rPr>
      </w:pPr>
      <w:r w:rsidRPr="00C54A03">
        <w:rPr>
          <w:color w:val="000000" w:themeColor="text1"/>
          <w:sz w:val="24"/>
          <w:szCs w:val="24"/>
          <w:lang w:val="fr-FR"/>
        </w:rPr>
        <w:t>-</w:t>
      </w:r>
      <w:proofErr w:type="spellStart"/>
      <w:r w:rsidRPr="00C54A03">
        <w:rPr>
          <w:color w:val="000000" w:themeColor="text1"/>
          <w:sz w:val="24"/>
          <w:szCs w:val="24"/>
          <w:lang w:val="fr-FR"/>
        </w:rPr>
        <w:t>tendința</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pe</w:t>
      </w:r>
      <w:proofErr w:type="spellEnd"/>
      <w:r w:rsidRPr="00C54A03">
        <w:rPr>
          <w:color w:val="000000" w:themeColor="text1"/>
          <w:spacing w:val="-3"/>
          <w:sz w:val="24"/>
          <w:szCs w:val="24"/>
          <w:lang w:val="fr-FR"/>
        </w:rPr>
        <w:t xml:space="preserve"> </w:t>
      </w:r>
      <w:proofErr w:type="spellStart"/>
      <w:r w:rsidRPr="00C54A03">
        <w:rPr>
          <w:color w:val="000000" w:themeColor="text1"/>
          <w:sz w:val="24"/>
          <w:szCs w:val="24"/>
          <w:lang w:val="fr-FR"/>
        </w:rPr>
        <w:t>termen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scurt</w:t>
      </w:r>
      <w:proofErr w:type="spellEnd"/>
      <w:r w:rsidRPr="00C54A03">
        <w:rPr>
          <w:color w:val="000000" w:themeColor="text1"/>
          <w:sz w:val="24"/>
          <w:szCs w:val="24"/>
          <w:lang w:val="fr-FR"/>
        </w:rPr>
        <w:t xml:space="preserve"> a</w:t>
      </w:r>
      <w:r w:rsidRPr="00C54A03">
        <w:rPr>
          <w:color w:val="000000" w:themeColor="text1"/>
          <w:spacing w:val="-2"/>
          <w:sz w:val="24"/>
          <w:szCs w:val="24"/>
          <w:lang w:val="fr-FR"/>
        </w:rPr>
        <w:t xml:space="preserve"> </w:t>
      </w:r>
      <w:proofErr w:type="spellStart"/>
      <w:r w:rsidRPr="00C54A03">
        <w:rPr>
          <w:color w:val="000000" w:themeColor="text1"/>
          <w:sz w:val="24"/>
          <w:szCs w:val="24"/>
          <w:lang w:val="fr-FR"/>
        </w:rPr>
        <w:t>habitatului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stare</w:t>
      </w:r>
      <w:proofErr w:type="spellEnd"/>
      <w:r w:rsidRPr="00C54A03">
        <w:rPr>
          <w:color w:val="000000" w:themeColor="text1"/>
          <w:spacing w:val="-3"/>
          <w:sz w:val="24"/>
          <w:szCs w:val="24"/>
          <w:lang w:val="fr-FR"/>
        </w:rPr>
        <w:t xml:space="preserve"> </w:t>
      </w:r>
      <w:proofErr w:type="spellStart"/>
      <w:r w:rsidRPr="00C54A03">
        <w:rPr>
          <w:color w:val="000000" w:themeColor="text1"/>
          <w:sz w:val="24"/>
          <w:szCs w:val="24"/>
          <w:lang w:val="fr-FR"/>
        </w:rPr>
        <w:t>bună</w:t>
      </w:r>
      <w:proofErr w:type="spellEnd"/>
      <w:r w:rsidRPr="00C54A03">
        <w:rPr>
          <w:color w:val="000000" w:themeColor="text1"/>
          <w:spacing w:val="-2"/>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cadrul</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rețelei</w:t>
      </w:r>
      <w:proofErr w:type="spellEnd"/>
      <w:r w:rsidRPr="00C54A03">
        <w:rPr>
          <w:color w:val="000000" w:themeColor="text1"/>
          <w:spacing w:val="2"/>
          <w:sz w:val="24"/>
          <w:szCs w:val="24"/>
          <w:lang w:val="fr-FR"/>
        </w:rPr>
        <w:t xml:space="preserve"> </w:t>
      </w:r>
      <w:r w:rsidRPr="00C54A03">
        <w:rPr>
          <w:color w:val="000000" w:themeColor="text1"/>
          <w:sz w:val="24"/>
          <w:szCs w:val="24"/>
          <w:lang w:val="fr-FR"/>
        </w:rPr>
        <w:t>(</w:t>
      </w:r>
      <w:proofErr w:type="spellStart"/>
      <w:r w:rsidRPr="00C54A03">
        <w:rPr>
          <w:color w:val="000000" w:themeColor="text1"/>
          <w:sz w:val="24"/>
          <w:szCs w:val="24"/>
          <w:lang w:val="fr-FR"/>
        </w:rPr>
        <w:t>direcţia</w:t>
      </w:r>
      <w:proofErr w:type="spellEnd"/>
      <w:r w:rsidRPr="00C54A03">
        <w:rPr>
          <w:color w:val="000000" w:themeColor="text1"/>
          <w:sz w:val="24"/>
          <w:szCs w:val="24"/>
          <w:lang w:val="fr-FR"/>
        </w:rPr>
        <w:t>),</w:t>
      </w:r>
    </w:p>
    <w:p w14:paraId="27DD5893" w14:textId="77777777" w:rsidR="007702CD" w:rsidRPr="00C54A03" w:rsidRDefault="007702CD" w:rsidP="00507CCA">
      <w:pPr>
        <w:pStyle w:val="BodyText"/>
        <w:tabs>
          <w:tab w:val="left" w:pos="90"/>
        </w:tabs>
        <w:ind w:left="0"/>
        <w:jc w:val="both"/>
        <w:rPr>
          <w:color w:val="000000" w:themeColor="text1"/>
          <w:sz w:val="24"/>
          <w:szCs w:val="24"/>
          <w:lang w:val="fr-FR"/>
        </w:rPr>
      </w:pPr>
      <w:r w:rsidRPr="00C54A03">
        <w:rPr>
          <w:color w:val="000000" w:themeColor="text1"/>
          <w:sz w:val="24"/>
          <w:szCs w:val="24"/>
          <w:lang w:val="fr-FR"/>
        </w:rPr>
        <w:t>-</w:t>
      </w:r>
      <w:proofErr w:type="spellStart"/>
      <w:r w:rsidRPr="00C54A03">
        <w:rPr>
          <w:color w:val="000000" w:themeColor="text1"/>
          <w:sz w:val="24"/>
          <w:szCs w:val="24"/>
          <w:lang w:val="fr-FR"/>
        </w:rPr>
        <w:t>tendința</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pe</w:t>
      </w:r>
      <w:proofErr w:type="spellEnd"/>
      <w:r w:rsidRPr="00C54A03">
        <w:rPr>
          <w:color w:val="000000" w:themeColor="text1"/>
          <w:spacing w:val="-3"/>
          <w:sz w:val="24"/>
          <w:szCs w:val="24"/>
          <w:lang w:val="fr-FR"/>
        </w:rPr>
        <w:t xml:space="preserve"> </w:t>
      </w:r>
      <w:proofErr w:type="spellStart"/>
      <w:r w:rsidRPr="00C54A03">
        <w:rPr>
          <w:color w:val="000000" w:themeColor="text1"/>
          <w:sz w:val="24"/>
          <w:szCs w:val="24"/>
          <w:lang w:val="fr-FR"/>
        </w:rPr>
        <w:t>termen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scurt</w:t>
      </w:r>
      <w:proofErr w:type="spellEnd"/>
      <w:r w:rsidRPr="00C54A03">
        <w:rPr>
          <w:color w:val="000000" w:themeColor="text1"/>
          <w:sz w:val="24"/>
          <w:szCs w:val="24"/>
          <w:lang w:val="fr-FR"/>
        </w:rPr>
        <w:t xml:space="preserve"> a</w:t>
      </w:r>
      <w:r w:rsidRPr="00C54A03">
        <w:rPr>
          <w:color w:val="000000" w:themeColor="text1"/>
          <w:spacing w:val="-2"/>
          <w:sz w:val="24"/>
          <w:szCs w:val="24"/>
          <w:lang w:val="fr-FR"/>
        </w:rPr>
        <w:t xml:space="preserve"> </w:t>
      </w:r>
      <w:proofErr w:type="spellStart"/>
      <w:r w:rsidRPr="00C54A03">
        <w:rPr>
          <w:color w:val="000000" w:themeColor="text1"/>
          <w:sz w:val="24"/>
          <w:szCs w:val="24"/>
          <w:lang w:val="fr-FR"/>
        </w:rPr>
        <w:t>habitatului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stare</w:t>
      </w:r>
      <w:proofErr w:type="spellEnd"/>
      <w:r w:rsidRPr="00C54A03">
        <w:rPr>
          <w:color w:val="000000" w:themeColor="text1"/>
          <w:spacing w:val="-3"/>
          <w:sz w:val="24"/>
          <w:szCs w:val="24"/>
          <w:lang w:val="fr-FR"/>
        </w:rPr>
        <w:t xml:space="preserve"> </w:t>
      </w:r>
      <w:proofErr w:type="spellStart"/>
      <w:r w:rsidRPr="00C54A03">
        <w:rPr>
          <w:color w:val="000000" w:themeColor="text1"/>
          <w:sz w:val="24"/>
          <w:szCs w:val="24"/>
          <w:lang w:val="fr-FR"/>
        </w:rPr>
        <w:t>bună</w:t>
      </w:r>
      <w:proofErr w:type="spellEnd"/>
      <w:r w:rsidRPr="00C54A03">
        <w:rPr>
          <w:color w:val="000000" w:themeColor="text1"/>
          <w:spacing w:val="-2"/>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cadrul</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rețelei</w:t>
      </w:r>
      <w:proofErr w:type="spellEnd"/>
      <w:r w:rsidRPr="00C54A03">
        <w:rPr>
          <w:color w:val="000000" w:themeColor="text1"/>
          <w:spacing w:val="2"/>
          <w:sz w:val="24"/>
          <w:szCs w:val="24"/>
          <w:lang w:val="fr-FR"/>
        </w:rPr>
        <w:t xml:space="preserve"> </w:t>
      </w:r>
      <w:r w:rsidRPr="00C54A03">
        <w:rPr>
          <w:color w:val="000000" w:themeColor="text1"/>
          <w:sz w:val="24"/>
          <w:szCs w:val="24"/>
          <w:lang w:val="fr-FR"/>
        </w:rPr>
        <w:t>(</w:t>
      </w:r>
      <w:proofErr w:type="spellStart"/>
      <w:r w:rsidRPr="00C54A03">
        <w:rPr>
          <w:color w:val="000000" w:themeColor="text1"/>
          <w:sz w:val="24"/>
          <w:szCs w:val="24"/>
          <w:lang w:val="fr-FR"/>
        </w:rPr>
        <w:t>metoda</w:t>
      </w:r>
      <w:proofErr w:type="spellEnd"/>
      <w:r w:rsidRPr="00C54A03">
        <w:rPr>
          <w:color w:val="000000" w:themeColor="text1"/>
          <w:spacing w:val="-2"/>
          <w:sz w:val="24"/>
          <w:szCs w:val="24"/>
          <w:lang w:val="fr-FR"/>
        </w:rPr>
        <w:t xml:space="preserve"> </w:t>
      </w:r>
      <w:proofErr w:type="spellStart"/>
      <w:r w:rsidRPr="00C54A03">
        <w:rPr>
          <w:color w:val="000000" w:themeColor="text1"/>
          <w:sz w:val="24"/>
          <w:szCs w:val="24"/>
          <w:lang w:val="fr-FR"/>
        </w:rPr>
        <w:t>folosită</w:t>
      </w:r>
      <w:proofErr w:type="spellEnd"/>
      <w:r w:rsidRPr="00C54A03">
        <w:rPr>
          <w:color w:val="000000" w:themeColor="text1"/>
          <w:sz w:val="24"/>
          <w:szCs w:val="24"/>
          <w:lang w:val="fr-FR"/>
        </w:rPr>
        <w:t>).</w:t>
      </w:r>
    </w:p>
    <w:p w14:paraId="719BC349" w14:textId="77777777" w:rsidR="007702CD" w:rsidRPr="00C54A03" w:rsidRDefault="007702CD" w:rsidP="008E33FD">
      <w:pPr>
        <w:pStyle w:val="BodyText"/>
        <w:jc w:val="both"/>
        <w:rPr>
          <w:color w:val="000000" w:themeColor="text1"/>
          <w:sz w:val="24"/>
          <w:szCs w:val="24"/>
          <w:lang w:val="fr-FR"/>
        </w:rPr>
      </w:pPr>
    </w:p>
    <w:p w14:paraId="7F9FB716" w14:textId="77777777" w:rsidR="007702CD" w:rsidRPr="00C54A03" w:rsidRDefault="007702CD" w:rsidP="008E33FD">
      <w:pPr>
        <w:pStyle w:val="Heading2"/>
        <w:widowControl w:val="0"/>
        <w:tabs>
          <w:tab w:val="left" w:pos="1194"/>
        </w:tabs>
        <w:autoSpaceDE w:val="0"/>
        <w:autoSpaceDN w:val="0"/>
        <w:spacing w:before="89" w:beforeAutospacing="0" w:after="0" w:afterAutospacing="0"/>
        <w:jc w:val="both"/>
        <w:rPr>
          <w:color w:val="000000" w:themeColor="text1"/>
          <w:sz w:val="24"/>
          <w:szCs w:val="24"/>
          <w:lang w:val="fr-FR"/>
        </w:rPr>
      </w:pPr>
      <w:proofErr w:type="spellStart"/>
      <w:r w:rsidRPr="00C54A03">
        <w:rPr>
          <w:color w:val="000000" w:themeColor="text1"/>
          <w:sz w:val="24"/>
          <w:szCs w:val="24"/>
          <w:lang w:val="fr-FR"/>
        </w:rPr>
        <w:t>Ploturi</w:t>
      </w:r>
      <w:proofErr w:type="spellEnd"/>
      <w:r w:rsidRPr="00C54A03">
        <w:rPr>
          <w:color w:val="000000" w:themeColor="text1"/>
          <w:spacing w:val="-4"/>
          <w:sz w:val="24"/>
          <w:szCs w:val="24"/>
          <w:lang w:val="fr-FR"/>
        </w:rPr>
        <w:t xml:space="preserve"> </w:t>
      </w:r>
      <w:r w:rsidRPr="00C54A03">
        <w:rPr>
          <w:color w:val="000000" w:themeColor="text1"/>
          <w:sz w:val="24"/>
          <w:szCs w:val="24"/>
          <w:lang w:val="fr-FR"/>
        </w:rPr>
        <w:t>de</w:t>
      </w:r>
      <w:r w:rsidRPr="00C54A03">
        <w:rPr>
          <w:color w:val="000000" w:themeColor="text1"/>
          <w:spacing w:val="-4"/>
          <w:sz w:val="24"/>
          <w:szCs w:val="24"/>
          <w:lang w:val="fr-FR"/>
        </w:rPr>
        <w:t xml:space="preserve"> </w:t>
      </w:r>
      <w:proofErr w:type="spellStart"/>
      <w:r w:rsidRPr="00C54A03">
        <w:rPr>
          <w:color w:val="000000" w:themeColor="text1"/>
          <w:sz w:val="24"/>
          <w:szCs w:val="24"/>
          <w:lang w:val="fr-FR"/>
        </w:rPr>
        <w:t>monitorizare</w:t>
      </w:r>
      <w:proofErr w:type="spellEnd"/>
      <w:r w:rsidRPr="00C54A03">
        <w:rPr>
          <w:color w:val="000000" w:themeColor="text1"/>
          <w:spacing w:val="-4"/>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4"/>
          <w:sz w:val="24"/>
          <w:szCs w:val="24"/>
          <w:lang w:val="fr-FR"/>
        </w:rPr>
        <w:t xml:space="preserve"> </w:t>
      </w:r>
      <w:proofErr w:type="spellStart"/>
      <w:r w:rsidRPr="00C54A03">
        <w:rPr>
          <w:color w:val="000000" w:themeColor="text1"/>
          <w:sz w:val="24"/>
          <w:szCs w:val="24"/>
          <w:lang w:val="fr-FR"/>
        </w:rPr>
        <w:t>afara</w:t>
      </w:r>
      <w:proofErr w:type="spellEnd"/>
      <w:r w:rsidRPr="00C54A03">
        <w:rPr>
          <w:color w:val="000000" w:themeColor="text1"/>
          <w:spacing w:val="-3"/>
          <w:sz w:val="24"/>
          <w:szCs w:val="24"/>
          <w:lang w:val="fr-FR"/>
        </w:rPr>
        <w:t xml:space="preserve"> </w:t>
      </w:r>
      <w:proofErr w:type="spellStart"/>
      <w:r w:rsidRPr="00C54A03">
        <w:rPr>
          <w:color w:val="000000" w:themeColor="text1"/>
          <w:sz w:val="24"/>
          <w:szCs w:val="24"/>
          <w:lang w:val="fr-FR"/>
        </w:rPr>
        <w:t>rețelei</w:t>
      </w:r>
      <w:proofErr w:type="spellEnd"/>
      <w:r w:rsidRPr="00C54A03">
        <w:rPr>
          <w:color w:val="000000" w:themeColor="text1"/>
          <w:spacing w:val="-5"/>
          <w:sz w:val="24"/>
          <w:szCs w:val="24"/>
          <w:lang w:val="fr-FR"/>
        </w:rPr>
        <w:t xml:space="preserve"> </w:t>
      </w:r>
      <w:r w:rsidRPr="00C54A03">
        <w:rPr>
          <w:color w:val="000000" w:themeColor="text1"/>
          <w:sz w:val="24"/>
          <w:szCs w:val="24"/>
          <w:lang w:val="fr-FR"/>
        </w:rPr>
        <w:t>Natura</w:t>
      </w:r>
      <w:r w:rsidRPr="00C54A03">
        <w:rPr>
          <w:color w:val="000000" w:themeColor="text1"/>
          <w:spacing w:val="-2"/>
          <w:sz w:val="24"/>
          <w:szCs w:val="24"/>
          <w:lang w:val="fr-FR"/>
        </w:rPr>
        <w:t xml:space="preserve"> </w:t>
      </w:r>
      <w:r w:rsidRPr="00C54A03">
        <w:rPr>
          <w:color w:val="000000" w:themeColor="text1"/>
          <w:sz w:val="24"/>
          <w:szCs w:val="24"/>
          <w:lang w:val="fr-FR"/>
        </w:rPr>
        <w:t>2000</w:t>
      </w:r>
    </w:p>
    <w:p w14:paraId="2D3FB2AA" w14:textId="77777777" w:rsidR="007702CD" w:rsidRPr="00C54A03" w:rsidRDefault="007702CD" w:rsidP="00D97209">
      <w:pPr>
        <w:pStyle w:val="BodyText"/>
        <w:spacing w:before="158"/>
        <w:ind w:left="0" w:right="27"/>
        <w:jc w:val="both"/>
        <w:rPr>
          <w:color w:val="000000" w:themeColor="text1"/>
          <w:sz w:val="24"/>
          <w:szCs w:val="24"/>
          <w:lang w:val="fr-FR"/>
        </w:rPr>
      </w:pPr>
      <w:proofErr w:type="spellStart"/>
      <w:r w:rsidRPr="00C54A03">
        <w:rPr>
          <w:color w:val="000000" w:themeColor="text1"/>
          <w:sz w:val="24"/>
          <w:szCs w:val="24"/>
          <w:lang w:val="fr-FR"/>
        </w:rPr>
        <w:t>Monitorizarea</w:t>
      </w:r>
      <w:proofErr w:type="spellEnd"/>
      <w:r w:rsidRPr="00C54A03">
        <w:rPr>
          <w:color w:val="000000" w:themeColor="text1"/>
          <w:spacing w:val="14"/>
          <w:sz w:val="24"/>
          <w:szCs w:val="24"/>
          <w:lang w:val="fr-FR"/>
        </w:rPr>
        <w:t xml:space="preserve"> </w:t>
      </w:r>
      <w:proofErr w:type="spellStart"/>
      <w:r w:rsidRPr="00C54A03">
        <w:rPr>
          <w:color w:val="000000" w:themeColor="text1"/>
          <w:sz w:val="24"/>
          <w:szCs w:val="24"/>
          <w:lang w:val="fr-FR"/>
        </w:rPr>
        <w:t>habitatelor</w:t>
      </w:r>
      <w:proofErr w:type="spellEnd"/>
      <w:r w:rsidRPr="00C54A03">
        <w:rPr>
          <w:color w:val="000000" w:themeColor="text1"/>
          <w:spacing w:val="14"/>
          <w:sz w:val="24"/>
          <w:szCs w:val="24"/>
          <w:lang w:val="fr-FR"/>
        </w:rPr>
        <w:t xml:space="preserve"> </w:t>
      </w:r>
      <w:r w:rsidRPr="00C54A03">
        <w:rPr>
          <w:color w:val="000000" w:themeColor="text1"/>
          <w:sz w:val="24"/>
          <w:szCs w:val="24"/>
          <w:lang w:val="fr-FR"/>
        </w:rPr>
        <w:t>de</w:t>
      </w:r>
      <w:r w:rsidRPr="00C54A03">
        <w:rPr>
          <w:color w:val="000000" w:themeColor="text1"/>
          <w:spacing w:val="14"/>
          <w:sz w:val="24"/>
          <w:szCs w:val="24"/>
          <w:lang w:val="fr-FR"/>
        </w:rPr>
        <w:t xml:space="preserve"> </w:t>
      </w:r>
      <w:proofErr w:type="spellStart"/>
      <w:r w:rsidRPr="00C54A03">
        <w:rPr>
          <w:color w:val="000000" w:themeColor="text1"/>
          <w:sz w:val="24"/>
          <w:szCs w:val="24"/>
          <w:lang w:val="fr-FR"/>
        </w:rPr>
        <w:t>interes</w:t>
      </w:r>
      <w:proofErr w:type="spellEnd"/>
      <w:r w:rsidRPr="00C54A03">
        <w:rPr>
          <w:color w:val="000000" w:themeColor="text1"/>
          <w:spacing w:val="18"/>
          <w:sz w:val="24"/>
          <w:szCs w:val="24"/>
          <w:lang w:val="fr-FR"/>
        </w:rPr>
        <w:t xml:space="preserve"> </w:t>
      </w:r>
      <w:proofErr w:type="spellStart"/>
      <w:r w:rsidRPr="00C54A03">
        <w:rPr>
          <w:color w:val="000000" w:themeColor="text1"/>
          <w:sz w:val="24"/>
          <w:szCs w:val="24"/>
          <w:lang w:val="fr-FR"/>
        </w:rPr>
        <w:t>comunitar</w:t>
      </w:r>
      <w:proofErr w:type="spellEnd"/>
      <w:r w:rsidRPr="00C54A03">
        <w:rPr>
          <w:color w:val="000000" w:themeColor="text1"/>
          <w:spacing w:val="14"/>
          <w:sz w:val="24"/>
          <w:szCs w:val="24"/>
          <w:lang w:val="fr-FR"/>
        </w:rPr>
        <w:t xml:space="preserve"> </w:t>
      </w:r>
      <w:r w:rsidRPr="00C54A03">
        <w:rPr>
          <w:color w:val="000000" w:themeColor="text1"/>
          <w:sz w:val="24"/>
          <w:szCs w:val="24"/>
          <w:lang w:val="fr-FR"/>
        </w:rPr>
        <w:t>se</w:t>
      </w:r>
      <w:r w:rsidRPr="00C54A03">
        <w:rPr>
          <w:color w:val="000000" w:themeColor="text1"/>
          <w:spacing w:val="16"/>
          <w:sz w:val="24"/>
          <w:szCs w:val="24"/>
          <w:lang w:val="fr-FR"/>
        </w:rPr>
        <w:t xml:space="preserve"> </w:t>
      </w:r>
      <w:r w:rsidRPr="00C54A03">
        <w:rPr>
          <w:color w:val="000000" w:themeColor="text1"/>
          <w:sz w:val="24"/>
          <w:szCs w:val="24"/>
          <w:lang w:val="fr-FR"/>
        </w:rPr>
        <w:t>face</w:t>
      </w:r>
      <w:r w:rsidRPr="00C54A03">
        <w:rPr>
          <w:color w:val="000000" w:themeColor="text1"/>
          <w:spacing w:val="16"/>
          <w:sz w:val="24"/>
          <w:szCs w:val="24"/>
          <w:lang w:val="fr-FR"/>
        </w:rPr>
        <w:t xml:space="preserve"> </w:t>
      </w:r>
      <w:proofErr w:type="spellStart"/>
      <w:r w:rsidRPr="00C54A03">
        <w:rPr>
          <w:color w:val="000000" w:themeColor="text1"/>
          <w:sz w:val="24"/>
          <w:szCs w:val="24"/>
          <w:lang w:val="fr-FR"/>
        </w:rPr>
        <w:t>atât</w:t>
      </w:r>
      <w:proofErr w:type="spellEnd"/>
      <w:r w:rsidRPr="00C54A03">
        <w:rPr>
          <w:color w:val="000000" w:themeColor="text1"/>
          <w:spacing w:val="15"/>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16"/>
          <w:sz w:val="24"/>
          <w:szCs w:val="24"/>
          <w:lang w:val="fr-FR"/>
        </w:rPr>
        <w:t xml:space="preserve"> </w:t>
      </w:r>
      <w:proofErr w:type="spellStart"/>
      <w:r w:rsidRPr="00C54A03">
        <w:rPr>
          <w:color w:val="000000" w:themeColor="text1"/>
          <w:sz w:val="24"/>
          <w:szCs w:val="24"/>
          <w:lang w:val="fr-FR"/>
        </w:rPr>
        <w:t>interiorul</w:t>
      </w:r>
      <w:proofErr w:type="spellEnd"/>
      <w:r w:rsidRPr="00C54A03">
        <w:rPr>
          <w:color w:val="000000" w:themeColor="text1"/>
          <w:spacing w:val="16"/>
          <w:sz w:val="24"/>
          <w:szCs w:val="24"/>
          <w:lang w:val="fr-FR"/>
        </w:rPr>
        <w:t xml:space="preserve"> </w:t>
      </w:r>
      <w:proofErr w:type="spellStart"/>
      <w:r w:rsidRPr="00C54A03">
        <w:rPr>
          <w:color w:val="000000" w:themeColor="text1"/>
          <w:sz w:val="24"/>
          <w:szCs w:val="24"/>
          <w:lang w:val="fr-FR"/>
        </w:rPr>
        <w:t>Rețelei</w:t>
      </w:r>
      <w:proofErr w:type="spellEnd"/>
      <w:r w:rsidRPr="00C54A03">
        <w:rPr>
          <w:color w:val="000000" w:themeColor="text1"/>
          <w:spacing w:val="15"/>
          <w:sz w:val="24"/>
          <w:szCs w:val="24"/>
          <w:lang w:val="fr-FR"/>
        </w:rPr>
        <w:t xml:space="preserve"> </w:t>
      </w:r>
      <w:r w:rsidRPr="00C54A03">
        <w:rPr>
          <w:color w:val="000000" w:themeColor="text1"/>
          <w:sz w:val="24"/>
          <w:szCs w:val="24"/>
          <w:lang w:val="fr-FR"/>
        </w:rPr>
        <w:t>Natura</w:t>
      </w:r>
      <w:r w:rsidRPr="00C54A03">
        <w:rPr>
          <w:color w:val="000000" w:themeColor="text1"/>
          <w:spacing w:val="14"/>
          <w:sz w:val="24"/>
          <w:szCs w:val="24"/>
          <w:lang w:val="fr-FR"/>
        </w:rPr>
        <w:t xml:space="preserve"> </w:t>
      </w:r>
      <w:r w:rsidRPr="00C54A03">
        <w:rPr>
          <w:color w:val="000000" w:themeColor="text1"/>
          <w:sz w:val="24"/>
          <w:szCs w:val="24"/>
          <w:lang w:val="fr-FR"/>
        </w:rPr>
        <w:t>2000,</w:t>
      </w:r>
      <w:r w:rsidRPr="00C54A03">
        <w:rPr>
          <w:color w:val="000000" w:themeColor="text1"/>
          <w:spacing w:val="15"/>
          <w:sz w:val="24"/>
          <w:szCs w:val="24"/>
          <w:lang w:val="fr-FR"/>
        </w:rPr>
        <w:t xml:space="preserve"> </w:t>
      </w:r>
      <w:proofErr w:type="spellStart"/>
      <w:r w:rsidRPr="00C54A03">
        <w:rPr>
          <w:color w:val="000000" w:themeColor="text1"/>
          <w:sz w:val="24"/>
          <w:szCs w:val="24"/>
          <w:lang w:val="fr-FR"/>
        </w:rPr>
        <w:t>cât</w:t>
      </w:r>
      <w:proofErr w:type="spellEnd"/>
      <w:r w:rsidRPr="00C54A03">
        <w:rPr>
          <w:color w:val="000000" w:themeColor="text1"/>
          <w:spacing w:val="16"/>
          <w:sz w:val="24"/>
          <w:szCs w:val="24"/>
          <w:lang w:val="fr-FR"/>
        </w:rPr>
        <w:t xml:space="preserve"> </w:t>
      </w:r>
      <w:proofErr w:type="spellStart"/>
      <w:r w:rsidRPr="00C54A03">
        <w:rPr>
          <w:color w:val="000000" w:themeColor="text1"/>
          <w:sz w:val="24"/>
          <w:szCs w:val="24"/>
          <w:lang w:val="fr-FR"/>
        </w:rPr>
        <w:t>și</w:t>
      </w:r>
      <w:proofErr w:type="spellEnd"/>
      <w:r w:rsidRPr="00C54A03">
        <w:rPr>
          <w:color w:val="000000" w:themeColor="text1"/>
          <w:spacing w:val="-57"/>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afara</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rețelei</w:t>
      </w:r>
      <w:proofErr w:type="spellEnd"/>
      <w:r w:rsidRPr="00C54A03">
        <w:rPr>
          <w:color w:val="000000" w:themeColor="text1"/>
          <w:sz w:val="24"/>
          <w:szCs w:val="24"/>
          <w:lang w:val="fr-FR"/>
        </w:rPr>
        <w:t xml:space="preserve"> Natura</w:t>
      </w:r>
      <w:r w:rsidRPr="00C54A03">
        <w:rPr>
          <w:color w:val="000000" w:themeColor="text1"/>
          <w:spacing w:val="-2"/>
          <w:sz w:val="24"/>
          <w:szCs w:val="24"/>
          <w:lang w:val="fr-FR"/>
        </w:rPr>
        <w:t xml:space="preserve"> </w:t>
      </w:r>
      <w:r w:rsidRPr="00C54A03">
        <w:rPr>
          <w:color w:val="000000" w:themeColor="text1"/>
          <w:sz w:val="24"/>
          <w:szCs w:val="24"/>
          <w:lang w:val="fr-FR"/>
        </w:rPr>
        <w:t>2000,</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scopul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evaluării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2"/>
          <w:sz w:val="24"/>
          <w:szCs w:val="24"/>
          <w:lang w:val="fr-FR"/>
        </w:rPr>
        <w:t xml:space="preserve"> </w:t>
      </w:r>
      <w:proofErr w:type="spellStart"/>
      <w:r w:rsidRPr="00C54A03">
        <w:rPr>
          <w:color w:val="000000" w:themeColor="text1"/>
          <w:sz w:val="24"/>
          <w:szCs w:val="24"/>
          <w:lang w:val="fr-FR"/>
        </w:rPr>
        <w:t>vederea</w:t>
      </w:r>
      <w:proofErr w:type="spellEnd"/>
      <w:r w:rsidRPr="00C54A03">
        <w:rPr>
          <w:color w:val="000000" w:themeColor="text1"/>
          <w:spacing w:val="-2"/>
          <w:sz w:val="24"/>
          <w:szCs w:val="24"/>
          <w:lang w:val="fr-FR"/>
        </w:rPr>
        <w:t xml:space="preserve"> </w:t>
      </w:r>
      <w:proofErr w:type="spellStart"/>
      <w:r w:rsidRPr="00C54A03">
        <w:rPr>
          <w:color w:val="000000" w:themeColor="text1"/>
          <w:sz w:val="24"/>
          <w:szCs w:val="24"/>
          <w:lang w:val="fr-FR"/>
        </w:rPr>
        <w:t>raportării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către</w:t>
      </w:r>
      <w:proofErr w:type="spellEnd"/>
      <w:r w:rsidRPr="00C54A03">
        <w:rPr>
          <w:color w:val="000000" w:themeColor="text1"/>
          <w:spacing w:val="-2"/>
          <w:sz w:val="24"/>
          <w:szCs w:val="24"/>
          <w:lang w:val="fr-FR"/>
        </w:rPr>
        <w:t xml:space="preserve"> </w:t>
      </w:r>
      <w:r w:rsidRPr="00C54A03">
        <w:rPr>
          <w:color w:val="000000" w:themeColor="text1"/>
          <w:sz w:val="24"/>
          <w:szCs w:val="24"/>
          <w:lang w:val="fr-FR"/>
        </w:rPr>
        <w:t>CE.</w:t>
      </w:r>
    </w:p>
    <w:p w14:paraId="7FB5FE58" w14:textId="77777777" w:rsidR="007702CD" w:rsidRPr="00C54A03" w:rsidRDefault="007702CD" w:rsidP="00D97209">
      <w:pPr>
        <w:pStyle w:val="BodyText"/>
        <w:ind w:left="0" w:right="27"/>
        <w:jc w:val="both"/>
        <w:rPr>
          <w:color w:val="000000" w:themeColor="text1"/>
          <w:sz w:val="24"/>
          <w:szCs w:val="24"/>
          <w:lang w:val="fr-FR"/>
        </w:rPr>
      </w:pPr>
      <w:proofErr w:type="spellStart"/>
      <w:r w:rsidRPr="00C54A03">
        <w:rPr>
          <w:color w:val="000000" w:themeColor="text1"/>
          <w:sz w:val="24"/>
          <w:szCs w:val="24"/>
          <w:lang w:val="fr-FR"/>
        </w:rPr>
        <w:t>În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esență</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acest</w:t>
      </w:r>
      <w:proofErr w:type="spellEnd"/>
      <w:r w:rsidRPr="00C54A03">
        <w:rPr>
          <w:color w:val="000000" w:themeColor="text1"/>
          <w:spacing w:val="-3"/>
          <w:sz w:val="24"/>
          <w:szCs w:val="24"/>
          <w:lang w:val="fr-FR"/>
        </w:rPr>
        <w:t xml:space="preserve"> </w:t>
      </w:r>
      <w:proofErr w:type="spellStart"/>
      <w:r w:rsidRPr="00C54A03">
        <w:rPr>
          <w:color w:val="000000" w:themeColor="text1"/>
          <w:sz w:val="24"/>
          <w:szCs w:val="24"/>
          <w:lang w:val="fr-FR"/>
        </w:rPr>
        <w:t>fapt</w:t>
      </w:r>
      <w:proofErr w:type="spellEnd"/>
      <w:r w:rsidRPr="00C54A03">
        <w:rPr>
          <w:color w:val="000000" w:themeColor="text1"/>
          <w:spacing w:val="-2"/>
          <w:sz w:val="24"/>
          <w:szCs w:val="24"/>
          <w:lang w:val="fr-FR"/>
        </w:rPr>
        <w:t xml:space="preserve"> </w:t>
      </w:r>
      <w:r w:rsidRPr="00C54A03">
        <w:rPr>
          <w:color w:val="000000" w:themeColor="text1"/>
          <w:sz w:val="24"/>
          <w:szCs w:val="24"/>
          <w:lang w:val="fr-FR"/>
        </w:rPr>
        <w:t>se</w:t>
      </w:r>
      <w:r w:rsidRPr="00C54A03">
        <w:rPr>
          <w:color w:val="000000" w:themeColor="text1"/>
          <w:spacing w:val="-3"/>
          <w:sz w:val="24"/>
          <w:szCs w:val="24"/>
          <w:lang w:val="fr-FR"/>
        </w:rPr>
        <w:t xml:space="preserve"> </w:t>
      </w:r>
      <w:proofErr w:type="spellStart"/>
      <w:r w:rsidRPr="00C54A03">
        <w:rPr>
          <w:color w:val="000000" w:themeColor="text1"/>
          <w:sz w:val="24"/>
          <w:szCs w:val="24"/>
          <w:lang w:val="fr-FR"/>
        </w:rPr>
        <w:t>transpune</w:t>
      </w:r>
      <w:proofErr w:type="spellEnd"/>
      <w:r w:rsidRPr="00C54A03">
        <w:rPr>
          <w:color w:val="000000" w:themeColor="text1"/>
          <w:spacing w:val="-4"/>
          <w:sz w:val="24"/>
          <w:szCs w:val="24"/>
          <w:lang w:val="fr-FR"/>
        </w:rPr>
        <w:t xml:space="preserve"> </w:t>
      </w:r>
      <w:proofErr w:type="spellStart"/>
      <w:r w:rsidRPr="00C54A03">
        <w:rPr>
          <w:color w:val="000000" w:themeColor="text1"/>
          <w:sz w:val="24"/>
          <w:szCs w:val="24"/>
          <w:lang w:val="fr-FR"/>
        </w:rPr>
        <w:t>astfel</w:t>
      </w:r>
      <w:proofErr w:type="spellEnd"/>
      <w:r w:rsidRPr="00C54A03">
        <w:rPr>
          <w:color w:val="000000" w:themeColor="text1"/>
          <w:sz w:val="24"/>
          <w:szCs w:val="24"/>
          <w:lang w:val="fr-FR"/>
        </w:rPr>
        <w:t>:</w:t>
      </w:r>
    </w:p>
    <w:p w14:paraId="03EB66F7" w14:textId="77777777" w:rsidR="007702CD" w:rsidRPr="00C54A03" w:rsidRDefault="007702CD" w:rsidP="009E63E5">
      <w:pPr>
        <w:pStyle w:val="ListParagraph"/>
        <w:widowControl w:val="0"/>
        <w:numPr>
          <w:ilvl w:val="0"/>
          <w:numId w:val="51"/>
        </w:numPr>
        <w:tabs>
          <w:tab w:val="left" w:pos="1014"/>
        </w:tabs>
        <w:autoSpaceDE w:val="0"/>
        <w:autoSpaceDN w:val="0"/>
        <w:ind w:left="0" w:right="27" w:firstLine="0"/>
        <w:jc w:val="both"/>
        <w:rPr>
          <w:rFonts w:ascii="Times New Roman" w:hAnsi="Times New Roman" w:cs="Times New Roman"/>
          <w:color w:val="000000" w:themeColor="text1"/>
          <w:sz w:val="24"/>
          <w:szCs w:val="24"/>
        </w:rPr>
      </w:pPr>
      <w:proofErr w:type="spellStart"/>
      <w:r w:rsidRPr="00C54A03">
        <w:rPr>
          <w:rFonts w:ascii="Times New Roman" w:hAnsi="Times New Roman" w:cs="Times New Roman"/>
          <w:color w:val="000000" w:themeColor="text1"/>
          <w:sz w:val="24"/>
          <w:szCs w:val="24"/>
        </w:rPr>
        <w:t>Monitorizare</w:t>
      </w:r>
      <w:proofErr w:type="spellEnd"/>
      <w:r w:rsidRPr="00C54A03">
        <w:rPr>
          <w:rFonts w:ascii="Times New Roman" w:hAnsi="Times New Roman" w:cs="Times New Roman"/>
          <w:color w:val="000000" w:themeColor="text1"/>
          <w:spacing w:val="-3"/>
          <w:sz w:val="24"/>
          <w:szCs w:val="24"/>
        </w:rPr>
        <w:t xml:space="preserve"> </w:t>
      </w:r>
      <w:proofErr w:type="spellStart"/>
      <w:r w:rsidRPr="00C54A03">
        <w:rPr>
          <w:rFonts w:ascii="Times New Roman" w:hAnsi="Times New Roman" w:cs="Times New Roman"/>
          <w:color w:val="000000" w:themeColor="text1"/>
          <w:sz w:val="24"/>
          <w:szCs w:val="24"/>
        </w:rPr>
        <w:t>în</w:t>
      </w:r>
      <w:proofErr w:type="spellEnd"/>
      <w:r w:rsidRPr="00C54A03">
        <w:rPr>
          <w:rFonts w:ascii="Times New Roman" w:hAnsi="Times New Roman" w:cs="Times New Roman"/>
          <w:color w:val="000000" w:themeColor="text1"/>
          <w:sz w:val="24"/>
          <w:szCs w:val="24"/>
        </w:rPr>
        <w:t xml:space="preserve"> </w:t>
      </w:r>
      <w:proofErr w:type="spellStart"/>
      <w:r w:rsidRPr="00C54A03">
        <w:rPr>
          <w:rFonts w:ascii="Times New Roman" w:hAnsi="Times New Roman" w:cs="Times New Roman"/>
          <w:color w:val="000000" w:themeColor="text1"/>
          <w:sz w:val="24"/>
          <w:szCs w:val="24"/>
        </w:rPr>
        <w:t>ploturi</w:t>
      </w:r>
      <w:proofErr w:type="spellEnd"/>
      <w:r w:rsidRPr="00C54A03">
        <w:rPr>
          <w:rFonts w:ascii="Times New Roman" w:hAnsi="Times New Roman" w:cs="Times New Roman"/>
          <w:color w:val="000000" w:themeColor="text1"/>
          <w:sz w:val="24"/>
          <w:szCs w:val="24"/>
        </w:rPr>
        <w:t xml:space="preserve"> </w:t>
      </w:r>
      <w:proofErr w:type="spellStart"/>
      <w:r w:rsidRPr="00C54A03">
        <w:rPr>
          <w:rFonts w:ascii="Times New Roman" w:hAnsi="Times New Roman" w:cs="Times New Roman"/>
          <w:color w:val="000000" w:themeColor="text1"/>
          <w:sz w:val="24"/>
          <w:szCs w:val="24"/>
        </w:rPr>
        <w:t>numai</w:t>
      </w:r>
      <w:proofErr w:type="spellEnd"/>
      <w:r w:rsidRPr="00C54A03">
        <w:rPr>
          <w:rFonts w:ascii="Times New Roman" w:hAnsi="Times New Roman" w:cs="Times New Roman"/>
          <w:color w:val="000000" w:themeColor="text1"/>
          <w:spacing w:val="-1"/>
          <w:sz w:val="24"/>
          <w:szCs w:val="24"/>
        </w:rPr>
        <w:t xml:space="preserve"> </w:t>
      </w:r>
      <w:proofErr w:type="spellStart"/>
      <w:r w:rsidRPr="00C54A03">
        <w:rPr>
          <w:rFonts w:ascii="Times New Roman" w:hAnsi="Times New Roman" w:cs="Times New Roman"/>
          <w:color w:val="000000" w:themeColor="text1"/>
          <w:sz w:val="24"/>
          <w:szCs w:val="24"/>
        </w:rPr>
        <w:t>în</w:t>
      </w:r>
      <w:proofErr w:type="spellEnd"/>
      <w:r w:rsidRPr="00C54A03">
        <w:rPr>
          <w:rFonts w:ascii="Times New Roman" w:hAnsi="Times New Roman" w:cs="Times New Roman"/>
          <w:color w:val="000000" w:themeColor="text1"/>
          <w:spacing w:val="-1"/>
          <w:sz w:val="24"/>
          <w:szCs w:val="24"/>
        </w:rPr>
        <w:t xml:space="preserve"> </w:t>
      </w:r>
      <w:proofErr w:type="spellStart"/>
      <w:r w:rsidRPr="00C54A03">
        <w:rPr>
          <w:rFonts w:ascii="Times New Roman" w:hAnsi="Times New Roman" w:cs="Times New Roman"/>
          <w:color w:val="000000" w:themeColor="text1"/>
          <w:sz w:val="24"/>
          <w:szCs w:val="24"/>
        </w:rPr>
        <w:t>interiorul</w:t>
      </w:r>
      <w:proofErr w:type="spellEnd"/>
      <w:r w:rsidRPr="00C54A03">
        <w:rPr>
          <w:rFonts w:ascii="Times New Roman" w:hAnsi="Times New Roman" w:cs="Times New Roman"/>
          <w:color w:val="000000" w:themeColor="text1"/>
          <w:sz w:val="24"/>
          <w:szCs w:val="24"/>
        </w:rPr>
        <w:t xml:space="preserve"> Natura</w:t>
      </w:r>
      <w:r w:rsidRPr="00C54A03">
        <w:rPr>
          <w:rFonts w:ascii="Times New Roman" w:hAnsi="Times New Roman" w:cs="Times New Roman"/>
          <w:color w:val="000000" w:themeColor="text1"/>
          <w:spacing w:val="-1"/>
          <w:sz w:val="24"/>
          <w:szCs w:val="24"/>
        </w:rPr>
        <w:t xml:space="preserve"> </w:t>
      </w:r>
      <w:r w:rsidRPr="00C54A03">
        <w:rPr>
          <w:rFonts w:ascii="Times New Roman" w:hAnsi="Times New Roman" w:cs="Times New Roman"/>
          <w:color w:val="000000" w:themeColor="text1"/>
          <w:sz w:val="24"/>
          <w:szCs w:val="24"/>
        </w:rPr>
        <w:t>2000;</w:t>
      </w:r>
    </w:p>
    <w:p w14:paraId="78D9C1E8" w14:textId="77777777" w:rsidR="007702CD" w:rsidRPr="00C54A03" w:rsidRDefault="007702CD" w:rsidP="009E63E5">
      <w:pPr>
        <w:pStyle w:val="ListParagraph"/>
        <w:widowControl w:val="0"/>
        <w:numPr>
          <w:ilvl w:val="0"/>
          <w:numId w:val="51"/>
        </w:numPr>
        <w:tabs>
          <w:tab w:val="left" w:pos="1014"/>
        </w:tabs>
        <w:autoSpaceDE w:val="0"/>
        <w:autoSpaceDN w:val="0"/>
        <w:ind w:left="0" w:right="27" w:firstLine="0"/>
        <w:jc w:val="both"/>
        <w:rPr>
          <w:rFonts w:ascii="Times New Roman" w:hAnsi="Times New Roman" w:cs="Times New Roman"/>
          <w:color w:val="000000" w:themeColor="text1"/>
          <w:sz w:val="24"/>
          <w:szCs w:val="24"/>
        </w:rPr>
      </w:pPr>
      <w:proofErr w:type="spellStart"/>
      <w:r w:rsidRPr="00C54A03">
        <w:rPr>
          <w:rFonts w:ascii="Times New Roman" w:hAnsi="Times New Roman" w:cs="Times New Roman"/>
          <w:color w:val="000000" w:themeColor="text1"/>
          <w:sz w:val="24"/>
          <w:szCs w:val="24"/>
        </w:rPr>
        <w:t>Monitorizare</w:t>
      </w:r>
      <w:proofErr w:type="spellEnd"/>
      <w:r w:rsidRPr="00C54A03">
        <w:rPr>
          <w:rFonts w:ascii="Times New Roman" w:hAnsi="Times New Roman" w:cs="Times New Roman"/>
          <w:color w:val="000000" w:themeColor="text1"/>
          <w:spacing w:val="-3"/>
          <w:sz w:val="24"/>
          <w:szCs w:val="24"/>
        </w:rPr>
        <w:t xml:space="preserve"> </w:t>
      </w:r>
      <w:proofErr w:type="spellStart"/>
      <w:r w:rsidRPr="00C54A03">
        <w:rPr>
          <w:rFonts w:ascii="Times New Roman" w:hAnsi="Times New Roman" w:cs="Times New Roman"/>
          <w:color w:val="000000" w:themeColor="text1"/>
          <w:sz w:val="24"/>
          <w:szCs w:val="24"/>
        </w:rPr>
        <w:t>în</w:t>
      </w:r>
      <w:proofErr w:type="spellEnd"/>
      <w:r w:rsidRPr="00C54A03">
        <w:rPr>
          <w:rFonts w:ascii="Times New Roman" w:hAnsi="Times New Roman" w:cs="Times New Roman"/>
          <w:color w:val="000000" w:themeColor="text1"/>
          <w:spacing w:val="-1"/>
          <w:sz w:val="24"/>
          <w:szCs w:val="24"/>
        </w:rPr>
        <w:t xml:space="preserve"> </w:t>
      </w:r>
      <w:proofErr w:type="spellStart"/>
      <w:r w:rsidRPr="00C54A03">
        <w:rPr>
          <w:rFonts w:ascii="Times New Roman" w:hAnsi="Times New Roman" w:cs="Times New Roman"/>
          <w:color w:val="000000" w:themeColor="text1"/>
          <w:sz w:val="24"/>
          <w:szCs w:val="24"/>
        </w:rPr>
        <w:t>ploturi</w:t>
      </w:r>
      <w:proofErr w:type="spellEnd"/>
      <w:r w:rsidRPr="00C54A03">
        <w:rPr>
          <w:rFonts w:ascii="Times New Roman" w:hAnsi="Times New Roman" w:cs="Times New Roman"/>
          <w:color w:val="000000" w:themeColor="text1"/>
          <w:sz w:val="24"/>
          <w:szCs w:val="24"/>
        </w:rPr>
        <w:t xml:space="preserve"> </w:t>
      </w:r>
      <w:proofErr w:type="spellStart"/>
      <w:r w:rsidRPr="00C54A03">
        <w:rPr>
          <w:rFonts w:ascii="Times New Roman" w:hAnsi="Times New Roman" w:cs="Times New Roman"/>
          <w:color w:val="000000" w:themeColor="text1"/>
          <w:sz w:val="24"/>
          <w:szCs w:val="24"/>
        </w:rPr>
        <w:t>atât</w:t>
      </w:r>
      <w:proofErr w:type="spellEnd"/>
      <w:r w:rsidRPr="00C54A03">
        <w:rPr>
          <w:rFonts w:ascii="Times New Roman" w:hAnsi="Times New Roman" w:cs="Times New Roman"/>
          <w:color w:val="000000" w:themeColor="text1"/>
          <w:spacing w:val="-1"/>
          <w:sz w:val="24"/>
          <w:szCs w:val="24"/>
        </w:rPr>
        <w:t xml:space="preserve"> </w:t>
      </w:r>
      <w:proofErr w:type="spellStart"/>
      <w:r w:rsidRPr="00C54A03">
        <w:rPr>
          <w:rFonts w:ascii="Times New Roman" w:hAnsi="Times New Roman" w:cs="Times New Roman"/>
          <w:color w:val="000000" w:themeColor="text1"/>
          <w:sz w:val="24"/>
          <w:szCs w:val="24"/>
        </w:rPr>
        <w:t>în</w:t>
      </w:r>
      <w:proofErr w:type="spellEnd"/>
      <w:r w:rsidRPr="00C54A03">
        <w:rPr>
          <w:rFonts w:ascii="Times New Roman" w:hAnsi="Times New Roman" w:cs="Times New Roman"/>
          <w:color w:val="000000" w:themeColor="text1"/>
          <w:spacing w:val="-1"/>
          <w:sz w:val="24"/>
          <w:szCs w:val="24"/>
        </w:rPr>
        <w:t xml:space="preserve"> </w:t>
      </w:r>
      <w:proofErr w:type="spellStart"/>
      <w:r w:rsidRPr="00C54A03">
        <w:rPr>
          <w:rFonts w:ascii="Times New Roman" w:hAnsi="Times New Roman" w:cs="Times New Roman"/>
          <w:color w:val="000000" w:themeColor="text1"/>
          <w:sz w:val="24"/>
          <w:szCs w:val="24"/>
        </w:rPr>
        <w:t>interiorul</w:t>
      </w:r>
      <w:proofErr w:type="spellEnd"/>
      <w:r w:rsidRPr="00C54A03">
        <w:rPr>
          <w:rFonts w:ascii="Times New Roman" w:hAnsi="Times New Roman" w:cs="Times New Roman"/>
          <w:color w:val="000000" w:themeColor="text1"/>
          <w:sz w:val="24"/>
          <w:szCs w:val="24"/>
        </w:rPr>
        <w:t xml:space="preserve">, </w:t>
      </w:r>
      <w:proofErr w:type="spellStart"/>
      <w:r w:rsidRPr="00C54A03">
        <w:rPr>
          <w:rFonts w:ascii="Times New Roman" w:hAnsi="Times New Roman" w:cs="Times New Roman"/>
          <w:color w:val="000000" w:themeColor="text1"/>
          <w:sz w:val="24"/>
          <w:szCs w:val="24"/>
        </w:rPr>
        <w:t>cât</w:t>
      </w:r>
      <w:proofErr w:type="spellEnd"/>
      <w:r w:rsidRPr="00C54A03">
        <w:rPr>
          <w:rFonts w:ascii="Times New Roman" w:hAnsi="Times New Roman" w:cs="Times New Roman"/>
          <w:color w:val="000000" w:themeColor="text1"/>
          <w:spacing w:val="-1"/>
          <w:sz w:val="24"/>
          <w:szCs w:val="24"/>
        </w:rPr>
        <w:t xml:space="preserve"> </w:t>
      </w:r>
      <w:proofErr w:type="spellStart"/>
      <w:r w:rsidRPr="00C54A03">
        <w:rPr>
          <w:rFonts w:ascii="Times New Roman" w:hAnsi="Times New Roman" w:cs="Times New Roman"/>
          <w:color w:val="000000" w:themeColor="text1"/>
          <w:sz w:val="24"/>
          <w:szCs w:val="24"/>
        </w:rPr>
        <w:t>și</w:t>
      </w:r>
      <w:proofErr w:type="spellEnd"/>
      <w:r w:rsidRPr="00C54A03">
        <w:rPr>
          <w:rFonts w:ascii="Times New Roman" w:hAnsi="Times New Roman" w:cs="Times New Roman"/>
          <w:color w:val="000000" w:themeColor="text1"/>
          <w:spacing w:val="-1"/>
          <w:sz w:val="24"/>
          <w:szCs w:val="24"/>
        </w:rPr>
        <w:t xml:space="preserve"> </w:t>
      </w:r>
      <w:proofErr w:type="spellStart"/>
      <w:r w:rsidRPr="00C54A03">
        <w:rPr>
          <w:rFonts w:ascii="Times New Roman" w:hAnsi="Times New Roman" w:cs="Times New Roman"/>
          <w:color w:val="000000" w:themeColor="text1"/>
          <w:sz w:val="24"/>
          <w:szCs w:val="24"/>
        </w:rPr>
        <w:t>în</w:t>
      </w:r>
      <w:proofErr w:type="spellEnd"/>
      <w:r w:rsidRPr="00C54A03">
        <w:rPr>
          <w:rFonts w:ascii="Times New Roman" w:hAnsi="Times New Roman" w:cs="Times New Roman"/>
          <w:color w:val="000000" w:themeColor="text1"/>
          <w:spacing w:val="-1"/>
          <w:sz w:val="24"/>
          <w:szCs w:val="24"/>
        </w:rPr>
        <w:t xml:space="preserve"> </w:t>
      </w:r>
      <w:r w:rsidRPr="00C54A03">
        <w:rPr>
          <w:rFonts w:ascii="Times New Roman" w:hAnsi="Times New Roman" w:cs="Times New Roman"/>
          <w:color w:val="000000" w:themeColor="text1"/>
          <w:sz w:val="24"/>
          <w:szCs w:val="24"/>
        </w:rPr>
        <w:t>afara</w:t>
      </w:r>
      <w:r w:rsidRPr="00C54A03">
        <w:rPr>
          <w:rFonts w:ascii="Times New Roman" w:hAnsi="Times New Roman" w:cs="Times New Roman"/>
          <w:color w:val="000000" w:themeColor="text1"/>
          <w:spacing w:val="-1"/>
          <w:sz w:val="24"/>
          <w:szCs w:val="24"/>
        </w:rPr>
        <w:t xml:space="preserve"> </w:t>
      </w:r>
      <w:r w:rsidRPr="00C54A03">
        <w:rPr>
          <w:rFonts w:ascii="Times New Roman" w:hAnsi="Times New Roman" w:cs="Times New Roman"/>
          <w:color w:val="000000" w:themeColor="text1"/>
          <w:sz w:val="24"/>
          <w:szCs w:val="24"/>
        </w:rPr>
        <w:t>Natura</w:t>
      </w:r>
      <w:r w:rsidRPr="00C54A03">
        <w:rPr>
          <w:rFonts w:ascii="Times New Roman" w:hAnsi="Times New Roman" w:cs="Times New Roman"/>
          <w:color w:val="000000" w:themeColor="text1"/>
          <w:spacing w:val="-2"/>
          <w:sz w:val="24"/>
          <w:szCs w:val="24"/>
        </w:rPr>
        <w:t xml:space="preserve"> </w:t>
      </w:r>
      <w:r w:rsidRPr="00C54A03">
        <w:rPr>
          <w:rFonts w:ascii="Times New Roman" w:hAnsi="Times New Roman" w:cs="Times New Roman"/>
          <w:color w:val="000000" w:themeColor="text1"/>
          <w:sz w:val="24"/>
          <w:szCs w:val="24"/>
        </w:rPr>
        <w:t>2000;</w:t>
      </w:r>
    </w:p>
    <w:p w14:paraId="54F0D99D" w14:textId="77777777" w:rsidR="007702CD" w:rsidRPr="00C54A03" w:rsidRDefault="007702CD" w:rsidP="009E63E5">
      <w:pPr>
        <w:pStyle w:val="ListParagraph"/>
        <w:widowControl w:val="0"/>
        <w:numPr>
          <w:ilvl w:val="0"/>
          <w:numId w:val="51"/>
        </w:numPr>
        <w:tabs>
          <w:tab w:val="left" w:pos="1014"/>
        </w:tabs>
        <w:autoSpaceDE w:val="0"/>
        <w:autoSpaceDN w:val="0"/>
        <w:ind w:left="0" w:right="27" w:firstLine="0"/>
        <w:jc w:val="both"/>
        <w:rPr>
          <w:rFonts w:ascii="Times New Roman" w:hAnsi="Times New Roman" w:cs="Times New Roman"/>
          <w:color w:val="000000" w:themeColor="text1"/>
          <w:sz w:val="24"/>
          <w:szCs w:val="24"/>
          <w:lang w:val="fr-FR"/>
        </w:rPr>
      </w:pPr>
      <w:proofErr w:type="spellStart"/>
      <w:r w:rsidRPr="00C54A03">
        <w:rPr>
          <w:rFonts w:ascii="Times New Roman" w:hAnsi="Times New Roman" w:cs="Times New Roman"/>
          <w:color w:val="000000" w:themeColor="text1"/>
          <w:sz w:val="24"/>
          <w:szCs w:val="24"/>
          <w:lang w:val="fr-FR"/>
        </w:rPr>
        <w:t>Monitorizare</w:t>
      </w:r>
      <w:proofErr w:type="spellEnd"/>
      <w:r w:rsidRPr="00C54A03">
        <w:rPr>
          <w:rFonts w:ascii="Times New Roman" w:hAnsi="Times New Roman" w:cs="Times New Roman"/>
          <w:color w:val="000000" w:themeColor="text1"/>
          <w:spacing w:val="-3"/>
          <w:sz w:val="24"/>
          <w:szCs w:val="24"/>
          <w:lang w:val="fr-FR"/>
        </w:rPr>
        <w:t xml:space="preserve"> </w:t>
      </w:r>
      <w:proofErr w:type="spellStart"/>
      <w:r w:rsidRPr="00C54A03">
        <w:rPr>
          <w:rFonts w:ascii="Times New Roman" w:hAnsi="Times New Roman" w:cs="Times New Roman"/>
          <w:color w:val="000000" w:themeColor="text1"/>
          <w:sz w:val="24"/>
          <w:szCs w:val="24"/>
          <w:lang w:val="fr-FR"/>
        </w:rPr>
        <w:t>în</w:t>
      </w:r>
      <w:proofErr w:type="spellEnd"/>
      <w:r w:rsidRPr="00C54A03">
        <w:rPr>
          <w:rFonts w:ascii="Times New Roman" w:hAnsi="Times New Roman" w:cs="Times New Roman"/>
          <w:color w:val="000000" w:themeColor="text1"/>
          <w:sz w:val="24"/>
          <w:szCs w:val="24"/>
          <w:lang w:val="fr-FR"/>
        </w:rPr>
        <w:t xml:space="preserve"> </w:t>
      </w:r>
      <w:proofErr w:type="spellStart"/>
      <w:r w:rsidRPr="00C54A03">
        <w:rPr>
          <w:rFonts w:ascii="Times New Roman" w:hAnsi="Times New Roman" w:cs="Times New Roman"/>
          <w:color w:val="000000" w:themeColor="text1"/>
          <w:sz w:val="24"/>
          <w:szCs w:val="24"/>
          <w:lang w:val="fr-FR"/>
        </w:rPr>
        <w:t>ploturi</w:t>
      </w:r>
      <w:proofErr w:type="spellEnd"/>
      <w:r w:rsidRPr="00C54A03">
        <w:rPr>
          <w:rFonts w:ascii="Times New Roman" w:hAnsi="Times New Roman" w:cs="Times New Roman"/>
          <w:color w:val="000000" w:themeColor="text1"/>
          <w:spacing w:val="1"/>
          <w:sz w:val="24"/>
          <w:szCs w:val="24"/>
          <w:lang w:val="fr-FR"/>
        </w:rPr>
        <w:t xml:space="preserve"> </w:t>
      </w:r>
      <w:proofErr w:type="spellStart"/>
      <w:r w:rsidRPr="00C54A03">
        <w:rPr>
          <w:rFonts w:ascii="Times New Roman" w:hAnsi="Times New Roman" w:cs="Times New Roman"/>
          <w:color w:val="000000" w:themeColor="text1"/>
          <w:sz w:val="24"/>
          <w:szCs w:val="24"/>
          <w:lang w:val="fr-FR"/>
        </w:rPr>
        <w:t>numai</w:t>
      </w:r>
      <w:proofErr w:type="spellEnd"/>
      <w:r w:rsidRPr="00C54A03">
        <w:rPr>
          <w:rFonts w:ascii="Times New Roman" w:hAnsi="Times New Roman" w:cs="Times New Roman"/>
          <w:color w:val="000000" w:themeColor="text1"/>
          <w:sz w:val="24"/>
          <w:szCs w:val="24"/>
          <w:lang w:val="fr-FR"/>
        </w:rPr>
        <w:t xml:space="preserve"> </w:t>
      </w:r>
      <w:proofErr w:type="spellStart"/>
      <w:r w:rsidRPr="00C54A03">
        <w:rPr>
          <w:rFonts w:ascii="Times New Roman" w:hAnsi="Times New Roman" w:cs="Times New Roman"/>
          <w:color w:val="000000" w:themeColor="text1"/>
          <w:sz w:val="24"/>
          <w:szCs w:val="24"/>
          <w:lang w:val="fr-FR"/>
        </w:rPr>
        <w:t>în</w:t>
      </w:r>
      <w:proofErr w:type="spellEnd"/>
      <w:r w:rsidRPr="00C54A03">
        <w:rPr>
          <w:rFonts w:ascii="Times New Roman" w:hAnsi="Times New Roman" w:cs="Times New Roman"/>
          <w:color w:val="000000" w:themeColor="text1"/>
          <w:sz w:val="24"/>
          <w:szCs w:val="24"/>
          <w:lang w:val="fr-FR"/>
        </w:rPr>
        <w:t xml:space="preserve"> </w:t>
      </w:r>
      <w:proofErr w:type="spellStart"/>
      <w:r w:rsidRPr="00C54A03">
        <w:rPr>
          <w:rFonts w:ascii="Times New Roman" w:hAnsi="Times New Roman" w:cs="Times New Roman"/>
          <w:color w:val="000000" w:themeColor="text1"/>
          <w:sz w:val="24"/>
          <w:szCs w:val="24"/>
          <w:lang w:val="fr-FR"/>
        </w:rPr>
        <w:t>afara</w:t>
      </w:r>
      <w:proofErr w:type="spellEnd"/>
      <w:r w:rsidRPr="00C54A03">
        <w:rPr>
          <w:rFonts w:ascii="Times New Roman" w:hAnsi="Times New Roman" w:cs="Times New Roman"/>
          <w:color w:val="000000" w:themeColor="text1"/>
          <w:spacing w:val="-1"/>
          <w:sz w:val="24"/>
          <w:szCs w:val="24"/>
          <w:lang w:val="fr-FR"/>
        </w:rPr>
        <w:t xml:space="preserve"> </w:t>
      </w:r>
      <w:r w:rsidRPr="00C54A03">
        <w:rPr>
          <w:rFonts w:ascii="Times New Roman" w:hAnsi="Times New Roman" w:cs="Times New Roman"/>
          <w:color w:val="000000" w:themeColor="text1"/>
          <w:sz w:val="24"/>
          <w:szCs w:val="24"/>
          <w:lang w:val="fr-FR"/>
        </w:rPr>
        <w:t>Natura</w:t>
      </w:r>
      <w:r w:rsidRPr="00C54A03">
        <w:rPr>
          <w:rFonts w:ascii="Times New Roman" w:hAnsi="Times New Roman" w:cs="Times New Roman"/>
          <w:color w:val="000000" w:themeColor="text1"/>
          <w:spacing w:val="-1"/>
          <w:sz w:val="24"/>
          <w:szCs w:val="24"/>
          <w:lang w:val="fr-FR"/>
        </w:rPr>
        <w:t xml:space="preserve"> </w:t>
      </w:r>
      <w:r w:rsidRPr="00C54A03">
        <w:rPr>
          <w:rFonts w:ascii="Times New Roman" w:hAnsi="Times New Roman" w:cs="Times New Roman"/>
          <w:color w:val="000000" w:themeColor="text1"/>
          <w:sz w:val="24"/>
          <w:szCs w:val="24"/>
          <w:lang w:val="fr-FR"/>
        </w:rPr>
        <w:t>2000.</w:t>
      </w:r>
    </w:p>
    <w:p w14:paraId="36D95173" w14:textId="77777777" w:rsidR="007702CD" w:rsidRPr="00C54A03" w:rsidRDefault="007702CD" w:rsidP="00D97209">
      <w:pPr>
        <w:pStyle w:val="BodyText"/>
        <w:ind w:left="0" w:right="27"/>
        <w:jc w:val="both"/>
        <w:rPr>
          <w:color w:val="000000" w:themeColor="text1"/>
          <w:sz w:val="24"/>
          <w:szCs w:val="24"/>
          <w:lang w:val="fr-FR"/>
        </w:rPr>
      </w:pPr>
      <w:proofErr w:type="spellStart"/>
      <w:r w:rsidRPr="00C54A03">
        <w:rPr>
          <w:color w:val="000000" w:themeColor="text1"/>
          <w:sz w:val="24"/>
          <w:szCs w:val="24"/>
          <w:lang w:val="fr-FR"/>
        </w:rPr>
        <w:t>Datele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rezultate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urma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monitorizării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trebuie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surprindă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unde</w:t>
      </w:r>
      <w:proofErr w:type="spellEnd"/>
      <w:r w:rsidRPr="00C54A03">
        <w:rPr>
          <w:color w:val="000000" w:themeColor="text1"/>
          <w:sz w:val="24"/>
          <w:szCs w:val="24"/>
          <w:lang w:val="fr-FR"/>
        </w:rPr>
        <w:t xml:space="preserve"> are </w:t>
      </w:r>
      <w:proofErr w:type="spellStart"/>
      <w:r w:rsidRPr="00C54A03">
        <w:rPr>
          <w:color w:val="000000" w:themeColor="text1"/>
          <w:sz w:val="24"/>
          <w:szCs w:val="24"/>
          <w:lang w:val="fr-FR"/>
        </w:rPr>
        <w:t>loc</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principalul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obiectiv</w:t>
      </w:r>
      <w:proofErr w:type="spellEnd"/>
      <w:r w:rsidRPr="00C54A03">
        <w:rPr>
          <w:color w:val="000000" w:themeColor="text1"/>
          <w:sz w:val="24"/>
          <w:szCs w:val="24"/>
          <w:lang w:val="fr-FR"/>
        </w:rPr>
        <w:t xml:space="preserve"> al</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acțiunii</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conservare</w:t>
      </w:r>
      <w:proofErr w:type="spellEnd"/>
      <w:r w:rsidRPr="00C54A03">
        <w:rPr>
          <w:color w:val="000000" w:themeColor="text1"/>
          <w:sz w:val="24"/>
          <w:szCs w:val="24"/>
          <w:lang w:val="fr-FR"/>
        </w:rPr>
        <w:t xml:space="preserve">. Prin </w:t>
      </w:r>
      <w:proofErr w:type="spellStart"/>
      <w:r w:rsidRPr="00C54A03">
        <w:rPr>
          <w:color w:val="000000" w:themeColor="text1"/>
          <w:sz w:val="24"/>
          <w:szCs w:val="24"/>
          <w:lang w:val="fr-FR"/>
        </w:rPr>
        <w:t>urmare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corelare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formatul</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raportare</w:t>
      </w:r>
      <w:proofErr w:type="spellEnd"/>
      <w:r w:rsidRPr="00C54A03">
        <w:rPr>
          <w:color w:val="000000" w:themeColor="text1"/>
          <w:sz w:val="24"/>
          <w:szCs w:val="24"/>
          <w:lang w:val="fr-FR"/>
        </w:rPr>
        <w:t xml:space="preserve">, se </w:t>
      </w:r>
      <w:proofErr w:type="spellStart"/>
      <w:r w:rsidRPr="00C54A03">
        <w:rPr>
          <w:color w:val="000000" w:themeColor="text1"/>
          <w:sz w:val="24"/>
          <w:szCs w:val="24"/>
          <w:lang w:val="fr-FR"/>
        </w:rPr>
        <w:t>alege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opțiunea</w:t>
      </w:r>
      <w:proofErr w:type="spellEnd"/>
      <w:r w:rsidRPr="00C54A03">
        <w:rPr>
          <w:color w:val="000000" w:themeColor="text1"/>
          <w:sz w:val="24"/>
          <w:szCs w:val="24"/>
          <w:lang w:val="fr-FR"/>
        </w:rPr>
        <w:t xml:space="preserve"> (a) </w:t>
      </w:r>
      <w:proofErr w:type="spellStart"/>
      <w:r w:rsidRPr="00C54A03">
        <w:rPr>
          <w:color w:val="000000" w:themeColor="text1"/>
          <w:sz w:val="24"/>
          <w:szCs w:val="24"/>
          <w:lang w:val="fr-FR"/>
        </w:rPr>
        <w:t>dacă</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toate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sau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marea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majoritate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dintre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măsurile</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conservare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sunt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limitate</w:t>
      </w:r>
      <w:proofErr w:type="spellEnd"/>
      <w:r w:rsidRPr="00C54A03">
        <w:rPr>
          <w:color w:val="000000" w:themeColor="text1"/>
          <w:sz w:val="24"/>
          <w:szCs w:val="24"/>
          <w:lang w:val="fr-FR"/>
        </w:rPr>
        <w:t xml:space="preserve"> la Natura 2000, </w:t>
      </w:r>
      <w:proofErr w:type="spellStart"/>
      <w:r w:rsidRPr="00C54A03">
        <w:rPr>
          <w:color w:val="000000" w:themeColor="text1"/>
          <w:sz w:val="24"/>
          <w:szCs w:val="24"/>
          <w:lang w:val="fr-FR"/>
        </w:rPr>
        <w:t>opțiunea</w:t>
      </w:r>
      <w:proofErr w:type="spellEnd"/>
      <w:r w:rsidRPr="00C54A03">
        <w:rPr>
          <w:color w:val="000000" w:themeColor="text1"/>
          <w:sz w:val="24"/>
          <w:szCs w:val="24"/>
          <w:lang w:val="fr-FR"/>
        </w:rPr>
        <w:t xml:space="preserve"> (b)</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dacă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există</w:t>
      </w:r>
      <w:proofErr w:type="spellEnd"/>
      <w:r w:rsidRPr="00C54A03">
        <w:rPr>
          <w:color w:val="000000" w:themeColor="text1"/>
          <w:sz w:val="24"/>
          <w:szCs w:val="24"/>
          <w:lang w:val="fr-FR"/>
        </w:rPr>
        <w:t xml:space="preserve"> o </w:t>
      </w:r>
      <w:proofErr w:type="spellStart"/>
      <w:r w:rsidRPr="00C54A03">
        <w:rPr>
          <w:color w:val="000000" w:themeColor="text1"/>
          <w:sz w:val="24"/>
          <w:szCs w:val="24"/>
          <w:lang w:val="fr-FR"/>
        </w:rPr>
        <w:t>investiție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proporțională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punerea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aplicare</w:t>
      </w:r>
      <w:proofErr w:type="spellEnd"/>
      <w:r w:rsidRPr="00C54A03">
        <w:rPr>
          <w:color w:val="000000" w:themeColor="text1"/>
          <w:sz w:val="24"/>
          <w:szCs w:val="24"/>
          <w:lang w:val="fr-FR"/>
        </w:rPr>
        <w:t xml:space="preserve"> a </w:t>
      </w:r>
      <w:proofErr w:type="spellStart"/>
      <w:r w:rsidRPr="00C54A03">
        <w:rPr>
          <w:color w:val="000000" w:themeColor="text1"/>
          <w:sz w:val="24"/>
          <w:szCs w:val="24"/>
          <w:lang w:val="fr-FR"/>
        </w:rPr>
        <w:t>măsurilor</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interiorul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și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afara</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 xml:space="preserve">Natura 2000 </w:t>
      </w:r>
      <w:proofErr w:type="spellStart"/>
      <w:r w:rsidRPr="00C54A03">
        <w:rPr>
          <w:color w:val="000000" w:themeColor="text1"/>
          <w:sz w:val="24"/>
          <w:szCs w:val="24"/>
          <w:lang w:val="fr-FR"/>
        </w:rPr>
        <w:t>și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opțiunea</w:t>
      </w:r>
      <w:proofErr w:type="spellEnd"/>
      <w:r w:rsidRPr="00C54A03">
        <w:rPr>
          <w:color w:val="000000" w:themeColor="text1"/>
          <w:sz w:val="24"/>
          <w:szCs w:val="24"/>
          <w:lang w:val="fr-FR"/>
        </w:rPr>
        <w:t xml:space="preserve"> (c ) </w:t>
      </w:r>
      <w:proofErr w:type="spellStart"/>
      <w:r w:rsidRPr="00C54A03">
        <w:rPr>
          <w:color w:val="000000" w:themeColor="text1"/>
          <w:sz w:val="24"/>
          <w:szCs w:val="24"/>
          <w:lang w:val="fr-FR"/>
        </w:rPr>
        <w:t>dacă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toate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sau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marea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majoritate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dintre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măsuri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sunt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luate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afara</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Natura</w:t>
      </w:r>
      <w:r w:rsidRPr="00C54A03">
        <w:rPr>
          <w:color w:val="000000" w:themeColor="text1"/>
          <w:spacing w:val="-3"/>
          <w:sz w:val="24"/>
          <w:szCs w:val="24"/>
          <w:lang w:val="fr-FR"/>
        </w:rPr>
        <w:t xml:space="preserve"> </w:t>
      </w:r>
      <w:r w:rsidRPr="00C54A03">
        <w:rPr>
          <w:color w:val="000000" w:themeColor="text1"/>
          <w:sz w:val="24"/>
          <w:szCs w:val="24"/>
          <w:lang w:val="fr-FR"/>
        </w:rPr>
        <w:t>2000.</w:t>
      </w:r>
    </w:p>
    <w:p w14:paraId="4A167474" w14:textId="77777777" w:rsidR="00491B45" w:rsidRPr="00C54A03" w:rsidRDefault="007702CD" w:rsidP="00D97209">
      <w:pPr>
        <w:pStyle w:val="BodyText"/>
        <w:spacing w:before="1"/>
        <w:ind w:left="0" w:right="27"/>
        <w:jc w:val="both"/>
        <w:rPr>
          <w:color w:val="000000" w:themeColor="text1"/>
          <w:sz w:val="24"/>
          <w:szCs w:val="24"/>
          <w:lang w:val="fr-FR"/>
        </w:rPr>
      </w:pP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stadiul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actual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majoritatea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habitatelor</w:t>
      </w:r>
      <w:proofErr w:type="spellEnd"/>
      <w:r w:rsidRPr="00C54A03">
        <w:rPr>
          <w:color w:val="000000" w:themeColor="text1"/>
          <w:sz w:val="24"/>
          <w:szCs w:val="24"/>
          <w:lang w:val="fr-FR"/>
        </w:rPr>
        <w:t xml:space="preserve"> care nu </w:t>
      </w:r>
      <w:proofErr w:type="spellStart"/>
      <w:r w:rsidRPr="00C54A03">
        <w:rPr>
          <w:color w:val="000000" w:themeColor="text1"/>
          <w:sz w:val="24"/>
          <w:szCs w:val="24"/>
          <w:lang w:val="fr-FR"/>
        </w:rPr>
        <w:t>sunt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rețeaua</w:t>
      </w:r>
      <w:proofErr w:type="spellEnd"/>
      <w:r w:rsidRPr="00C54A03">
        <w:rPr>
          <w:color w:val="000000" w:themeColor="text1"/>
          <w:sz w:val="24"/>
          <w:szCs w:val="24"/>
          <w:lang w:val="fr-FR"/>
        </w:rPr>
        <w:t xml:space="preserve"> Natura 2000, nu </w:t>
      </w:r>
      <w:proofErr w:type="spellStart"/>
      <w:r w:rsidRPr="00C54A03">
        <w:rPr>
          <w:color w:val="000000" w:themeColor="text1"/>
          <w:sz w:val="24"/>
          <w:szCs w:val="24"/>
          <w:lang w:val="fr-FR"/>
        </w:rPr>
        <w:t>sunt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cartate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nici</w:t>
      </w:r>
      <w:proofErr w:type="spellEnd"/>
      <w:r w:rsidRPr="00C54A03">
        <w:rPr>
          <w:color w:val="000000" w:themeColor="text1"/>
          <w:sz w:val="24"/>
          <w:szCs w:val="24"/>
          <w:lang w:val="fr-FR"/>
        </w:rPr>
        <w:t xml:space="preserve"> la</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nivel</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bioregiune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și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nici</w:t>
      </w:r>
      <w:proofErr w:type="spellEnd"/>
      <w:r w:rsidRPr="00C54A03">
        <w:rPr>
          <w:color w:val="000000" w:themeColor="text1"/>
          <w:sz w:val="24"/>
          <w:szCs w:val="24"/>
          <w:lang w:val="fr-FR"/>
        </w:rPr>
        <w:t xml:space="preserve"> la</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nivel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național</w:t>
      </w:r>
      <w:proofErr w:type="spellEnd"/>
      <w:r w:rsidRPr="00C54A03">
        <w:rPr>
          <w:color w:val="000000" w:themeColor="text1"/>
          <w:sz w:val="24"/>
          <w:szCs w:val="24"/>
          <w:lang w:val="fr-FR"/>
        </w:rPr>
        <w:t>.</w:t>
      </w:r>
      <w:r w:rsidR="00491B45" w:rsidRPr="00C54A03">
        <w:rPr>
          <w:color w:val="000000" w:themeColor="text1"/>
          <w:sz w:val="24"/>
          <w:szCs w:val="24"/>
          <w:lang w:val="fr-FR"/>
        </w:rPr>
        <w:t xml:space="preserve"> </w:t>
      </w:r>
    </w:p>
    <w:p w14:paraId="5A7E7183" w14:textId="77777777" w:rsidR="00491B45" w:rsidRPr="00C54A03" w:rsidRDefault="00491B45" w:rsidP="008E33FD">
      <w:pPr>
        <w:pStyle w:val="BodyText"/>
        <w:spacing w:before="1"/>
        <w:ind w:left="293" w:right="251"/>
        <w:jc w:val="both"/>
        <w:rPr>
          <w:color w:val="000000" w:themeColor="text1"/>
          <w:sz w:val="24"/>
          <w:szCs w:val="24"/>
          <w:lang w:val="fr-FR"/>
        </w:rPr>
      </w:pPr>
    </w:p>
    <w:p w14:paraId="3FD59398" w14:textId="77777777" w:rsidR="007702CD" w:rsidRPr="00C54A03" w:rsidRDefault="00461831" w:rsidP="00F100E1">
      <w:pPr>
        <w:pStyle w:val="BodyText"/>
        <w:spacing w:before="1"/>
        <w:ind w:left="0" w:right="251"/>
        <w:jc w:val="both"/>
        <w:rPr>
          <w:b/>
          <w:color w:val="000000" w:themeColor="text1"/>
          <w:sz w:val="24"/>
          <w:szCs w:val="24"/>
          <w:lang w:val="fr-FR"/>
        </w:rPr>
      </w:pPr>
      <w:proofErr w:type="spellStart"/>
      <w:r w:rsidRPr="00C54A03">
        <w:rPr>
          <w:b/>
          <w:color w:val="000000" w:themeColor="text1"/>
          <w:sz w:val="24"/>
          <w:szCs w:val="24"/>
          <w:lang w:val="fr-FR"/>
        </w:rPr>
        <w:t>Evaluarea</w:t>
      </w:r>
      <w:proofErr w:type="spellEnd"/>
      <w:r w:rsidRPr="00C54A03">
        <w:rPr>
          <w:b/>
          <w:color w:val="000000" w:themeColor="text1"/>
          <w:sz w:val="24"/>
          <w:szCs w:val="24"/>
          <w:lang w:val="fr-FR"/>
        </w:rPr>
        <w:t xml:space="preserve"> </w:t>
      </w:r>
      <w:proofErr w:type="spellStart"/>
      <w:r w:rsidRPr="00C54A03">
        <w:rPr>
          <w:b/>
          <w:color w:val="000000" w:themeColor="text1"/>
          <w:sz w:val="24"/>
          <w:szCs w:val="24"/>
          <w:lang w:val="fr-FR"/>
        </w:rPr>
        <w:t>stării</w:t>
      </w:r>
      <w:proofErr w:type="spellEnd"/>
      <w:r w:rsidRPr="00C54A03">
        <w:rPr>
          <w:b/>
          <w:color w:val="000000" w:themeColor="text1"/>
          <w:sz w:val="24"/>
          <w:szCs w:val="24"/>
          <w:lang w:val="fr-FR"/>
        </w:rPr>
        <w:t xml:space="preserve"> de </w:t>
      </w:r>
      <w:proofErr w:type="spellStart"/>
      <w:r w:rsidRPr="00C54A03">
        <w:rPr>
          <w:b/>
          <w:color w:val="000000" w:themeColor="text1"/>
          <w:sz w:val="24"/>
          <w:szCs w:val="24"/>
          <w:lang w:val="fr-FR"/>
        </w:rPr>
        <w:t>conservare</w:t>
      </w:r>
      <w:proofErr w:type="spellEnd"/>
      <w:r w:rsidRPr="00C54A03">
        <w:rPr>
          <w:b/>
          <w:color w:val="000000" w:themeColor="text1"/>
          <w:sz w:val="24"/>
          <w:szCs w:val="24"/>
          <w:lang w:val="fr-FR"/>
        </w:rPr>
        <w:t xml:space="preserve"> a </w:t>
      </w:r>
      <w:proofErr w:type="spellStart"/>
      <w:r w:rsidRPr="00C54A03">
        <w:rPr>
          <w:b/>
          <w:color w:val="000000" w:themeColor="text1"/>
          <w:sz w:val="24"/>
          <w:szCs w:val="24"/>
          <w:lang w:val="fr-FR"/>
        </w:rPr>
        <w:t>habitatelor</w:t>
      </w:r>
      <w:proofErr w:type="spellEnd"/>
      <w:r w:rsidRPr="00C54A03">
        <w:rPr>
          <w:b/>
          <w:color w:val="000000" w:themeColor="text1"/>
          <w:sz w:val="24"/>
          <w:szCs w:val="24"/>
          <w:lang w:val="fr-FR"/>
        </w:rPr>
        <w:t xml:space="preserve"> de</w:t>
      </w:r>
      <w:r w:rsidR="00487720" w:rsidRPr="00C54A03">
        <w:rPr>
          <w:b/>
          <w:color w:val="000000" w:themeColor="text1"/>
          <w:sz w:val="24"/>
          <w:szCs w:val="24"/>
          <w:lang w:val="fr-FR"/>
        </w:rPr>
        <w:t xml:space="preserve"> </w:t>
      </w:r>
      <w:r w:rsidR="007702CD" w:rsidRPr="00C54A03">
        <w:rPr>
          <w:b/>
          <w:color w:val="000000" w:themeColor="text1"/>
          <w:spacing w:val="-68"/>
          <w:sz w:val="24"/>
          <w:szCs w:val="24"/>
          <w:lang w:val="fr-FR"/>
        </w:rPr>
        <w:t xml:space="preserve"> </w:t>
      </w:r>
      <w:proofErr w:type="spellStart"/>
      <w:r w:rsidRPr="00C54A03">
        <w:rPr>
          <w:b/>
          <w:color w:val="000000" w:themeColor="text1"/>
          <w:sz w:val="24"/>
          <w:szCs w:val="24"/>
          <w:lang w:val="fr-FR"/>
        </w:rPr>
        <w:t>grohotișuri</w:t>
      </w:r>
      <w:proofErr w:type="spellEnd"/>
      <w:r w:rsidR="007702CD" w:rsidRPr="00C54A03">
        <w:rPr>
          <w:b/>
          <w:color w:val="000000" w:themeColor="text1"/>
          <w:spacing w:val="-1"/>
          <w:sz w:val="24"/>
          <w:szCs w:val="24"/>
          <w:lang w:val="fr-FR"/>
        </w:rPr>
        <w:t xml:space="preserve"> </w:t>
      </w:r>
      <w:proofErr w:type="spellStart"/>
      <w:r w:rsidRPr="00C54A03">
        <w:rPr>
          <w:b/>
          <w:color w:val="000000" w:themeColor="text1"/>
          <w:sz w:val="24"/>
          <w:szCs w:val="24"/>
          <w:lang w:val="fr-FR"/>
        </w:rPr>
        <w:t>și</w:t>
      </w:r>
      <w:proofErr w:type="spellEnd"/>
      <w:r w:rsidR="007702CD" w:rsidRPr="00C54A03">
        <w:rPr>
          <w:b/>
          <w:color w:val="000000" w:themeColor="text1"/>
          <w:spacing w:val="-2"/>
          <w:sz w:val="24"/>
          <w:szCs w:val="24"/>
          <w:lang w:val="fr-FR"/>
        </w:rPr>
        <w:t xml:space="preserve"> </w:t>
      </w:r>
      <w:proofErr w:type="spellStart"/>
      <w:r w:rsidRPr="00C54A03">
        <w:rPr>
          <w:b/>
          <w:color w:val="000000" w:themeColor="text1"/>
          <w:sz w:val="24"/>
          <w:szCs w:val="24"/>
          <w:lang w:val="fr-FR"/>
        </w:rPr>
        <w:t>stâncării</w:t>
      </w:r>
      <w:proofErr w:type="spellEnd"/>
    </w:p>
    <w:p w14:paraId="7F8C025C" w14:textId="77777777" w:rsidR="007702CD" w:rsidRPr="00C54A03" w:rsidRDefault="007702CD" w:rsidP="008E33FD">
      <w:pPr>
        <w:pStyle w:val="BodyText"/>
        <w:spacing w:before="6"/>
        <w:jc w:val="both"/>
        <w:rPr>
          <w:b/>
          <w:color w:val="000000" w:themeColor="text1"/>
          <w:sz w:val="24"/>
          <w:szCs w:val="24"/>
          <w:lang w:val="fr-FR"/>
        </w:rPr>
      </w:pPr>
    </w:p>
    <w:p w14:paraId="394382F3" w14:textId="77777777" w:rsidR="007702CD" w:rsidRPr="00C54A03" w:rsidRDefault="007702CD" w:rsidP="008E33FD">
      <w:pPr>
        <w:pStyle w:val="Heading2"/>
        <w:widowControl w:val="0"/>
        <w:tabs>
          <w:tab w:val="left" w:pos="1208"/>
        </w:tabs>
        <w:autoSpaceDE w:val="0"/>
        <w:autoSpaceDN w:val="0"/>
        <w:spacing w:before="0" w:beforeAutospacing="0" w:after="0" w:afterAutospacing="0"/>
        <w:jc w:val="both"/>
        <w:rPr>
          <w:color w:val="000000" w:themeColor="text1"/>
          <w:sz w:val="24"/>
          <w:szCs w:val="24"/>
        </w:rPr>
      </w:pPr>
      <w:proofErr w:type="spellStart"/>
      <w:r w:rsidRPr="00C54A03">
        <w:rPr>
          <w:color w:val="000000" w:themeColor="text1"/>
          <w:sz w:val="24"/>
          <w:szCs w:val="24"/>
        </w:rPr>
        <w:t>Metodologia</w:t>
      </w:r>
      <w:proofErr w:type="spellEnd"/>
      <w:r w:rsidRPr="00C54A03">
        <w:rPr>
          <w:color w:val="000000" w:themeColor="text1"/>
          <w:spacing w:val="-3"/>
          <w:sz w:val="24"/>
          <w:szCs w:val="24"/>
        </w:rPr>
        <w:t xml:space="preserve"> </w:t>
      </w:r>
      <w:r w:rsidRPr="00C54A03">
        <w:rPr>
          <w:color w:val="000000" w:themeColor="text1"/>
          <w:sz w:val="24"/>
          <w:szCs w:val="24"/>
        </w:rPr>
        <w:t>de</w:t>
      </w:r>
      <w:r w:rsidRPr="00C54A03">
        <w:rPr>
          <w:color w:val="000000" w:themeColor="text1"/>
          <w:spacing w:val="-6"/>
          <w:sz w:val="24"/>
          <w:szCs w:val="24"/>
        </w:rPr>
        <w:t xml:space="preserve"> </w:t>
      </w:r>
      <w:proofErr w:type="spellStart"/>
      <w:r w:rsidRPr="00C54A03">
        <w:rPr>
          <w:color w:val="000000" w:themeColor="text1"/>
          <w:sz w:val="24"/>
          <w:szCs w:val="24"/>
        </w:rPr>
        <w:t>agregare</w:t>
      </w:r>
      <w:proofErr w:type="spellEnd"/>
      <w:r w:rsidRPr="00C54A03">
        <w:rPr>
          <w:color w:val="000000" w:themeColor="text1"/>
          <w:spacing w:val="-4"/>
          <w:sz w:val="24"/>
          <w:szCs w:val="24"/>
        </w:rPr>
        <w:t xml:space="preserve"> </w:t>
      </w:r>
      <w:r w:rsidRPr="00C54A03">
        <w:rPr>
          <w:color w:val="000000" w:themeColor="text1"/>
          <w:sz w:val="24"/>
          <w:szCs w:val="24"/>
        </w:rPr>
        <w:t>a</w:t>
      </w:r>
      <w:r w:rsidRPr="00C54A03">
        <w:rPr>
          <w:color w:val="000000" w:themeColor="text1"/>
          <w:spacing w:val="-2"/>
          <w:sz w:val="24"/>
          <w:szCs w:val="24"/>
        </w:rPr>
        <w:t xml:space="preserve"> </w:t>
      </w:r>
      <w:proofErr w:type="spellStart"/>
      <w:r w:rsidRPr="00C54A03">
        <w:rPr>
          <w:color w:val="000000" w:themeColor="text1"/>
          <w:sz w:val="24"/>
          <w:szCs w:val="24"/>
        </w:rPr>
        <w:t>datelor</w:t>
      </w:r>
      <w:proofErr w:type="spellEnd"/>
    </w:p>
    <w:p w14:paraId="6E03841C" w14:textId="77777777" w:rsidR="007702CD" w:rsidRPr="00C54A03" w:rsidRDefault="007702CD" w:rsidP="00D97209">
      <w:pPr>
        <w:pStyle w:val="BodyText"/>
        <w:spacing w:before="157"/>
        <w:ind w:left="0" w:right="27"/>
        <w:jc w:val="both"/>
        <w:rPr>
          <w:color w:val="000000" w:themeColor="text1"/>
          <w:sz w:val="24"/>
          <w:szCs w:val="24"/>
          <w:lang w:val="fr-FR"/>
        </w:rPr>
      </w:pPr>
      <w:proofErr w:type="spellStart"/>
      <w:r w:rsidRPr="00C54A03">
        <w:rPr>
          <w:color w:val="000000" w:themeColor="text1"/>
          <w:sz w:val="24"/>
          <w:szCs w:val="24"/>
        </w:rPr>
        <w:t>Observațiile</w:t>
      </w:r>
      <w:proofErr w:type="spellEnd"/>
      <w:r w:rsidRPr="00C54A03">
        <w:rPr>
          <w:color w:val="000000" w:themeColor="text1"/>
          <w:sz w:val="24"/>
          <w:szCs w:val="24"/>
        </w:rPr>
        <w:t xml:space="preserve"> </w:t>
      </w:r>
      <w:proofErr w:type="spellStart"/>
      <w:r w:rsidRPr="00C54A03">
        <w:rPr>
          <w:color w:val="000000" w:themeColor="text1"/>
          <w:sz w:val="24"/>
          <w:szCs w:val="24"/>
        </w:rPr>
        <w:t>directe</w:t>
      </w:r>
      <w:proofErr w:type="spellEnd"/>
      <w:r w:rsidRPr="00C54A03">
        <w:rPr>
          <w:color w:val="000000" w:themeColor="text1"/>
          <w:sz w:val="24"/>
          <w:szCs w:val="24"/>
        </w:rPr>
        <w:t xml:space="preserve"> evaluate de </w:t>
      </w:r>
      <w:proofErr w:type="spellStart"/>
      <w:r w:rsidRPr="00C54A03">
        <w:rPr>
          <w:color w:val="000000" w:themeColor="text1"/>
          <w:sz w:val="24"/>
          <w:szCs w:val="24"/>
        </w:rPr>
        <w:t>către</w:t>
      </w:r>
      <w:proofErr w:type="spellEnd"/>
      <w:r w:rsidRPr="00C54A03">
        <w:rPr>
          <w:color w:val="000000" w:themeColor="text1"/>
          <w:sz w:val="24"/>
          <w:szCs w:val="24"/>
        </w:rPr>
        <w:t xml:space="preserve"> </w:t>
      </w:r>
      <w:proofErr w:type="spellStart"/>
      <w:r w:rsidRPr="00C54A03">
        <w:rPr>
          <w:color w:val="000000" w:themeColor="text1"/>
          <w:sz w:val="24"/>
          <w:szCs w:val="24"/>
        </w:rPr>
        <w:t>experții</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biodiversitate</w:t>
      </w:r>
      <w:proofErr w:type="spellEnd"/>
      <w:r w:rsidRPr="00C54A03">
        <w:rPr>
          <w:color w:val="000000" w:themeColor="text1"/>
          <w:sz w:val="24"/>
          <w:szCs w:val="24"/>
        </w:rPr>
        <w:t xml:space="preserve">, </w:t>
      </w:r>
      <w:proofErr w:type="spellStart"/>
      <w:r w:rsidRPr="00C54A03">
        <w:rPr>
          <w:color w:val="000000" w:themeColor="text1"/>
          <w:sz w:val="24"/>
          <w:szCs w:val="24"/>
        </w:rPr>
        <w:t>selectați</w:t>
      </w:r>
      <w:proofErr w:type="spellEnd"/>
      <w:r w:rsidRPr="00C54A03">
        <w:rPr>
          <w:color w:val="000000" w:themeColor="text1"/>
          <w:sz w:val="24"/>
          <w:szCs w:val="24"/>
        </w:rPr>
        <w:t xml:space="preserve"> </w:t>
      </w:r>
      <w:proofErr w:type="spellStart"/>
      <w:r w:rsidRPr="00C54A03">
        <w:rPr>
          <w:color w:val="000000" w:themeColor="text1"/>
          <w:sz w:val="24"/>
          <w:szCs w:val="24"/>
        </w:rPr>
        <w:t>pentru</w:t>
      </w:r>
      <w:proofErr w:type="spellEnd"/>
      <w:r w:rsidRPr="00C54A03">
        <w:rPr>
          <w:color w:val="000000" w:themeColor="text1"/>
          <w:sz w:val="24"/>
          <w:szCs w:val="24"/>
        </w:rPr>
        <w:t xml:space="preserve"> </w:t>
      </w:r>
      <w:proofErr w:type="spellStart"/>
      <w:r w:rsidRPr="00C54A03">
        <w:rPr>
          <w:color w:val="000000" w:themeColor="text1"/>
          <w:sz w:val="24"/>
          <w:szCs w:val="24"/>
        </w:rPr>
        <w:t>evaluarea</w:t>
      </w:r>
      <w:proofErr w:type="spellEnd"/>
      <w:r w:rsidRPr="00C54A03">
        <w:rPr>
          <w:color w:val="000000" w:themeColor="text1"/>
          <w:sz w:val="24"/>
          <w:szCs w:val="24"/>
        </w:rPr>
        <w:t xml:space="preserve"> </w:t>
      </w:r>
      <w:proofErr w:type="spellStart"/>
      <w:r w:rsidRPr="00C54A03">
        <w:rPr>
          <w:color w:val="000000" w:themeColor="text1"/>
          <w:sz w:val="24"/>
          <w:szCs w:val="24"/>
        </w:rPr>
        <w:t>habitatelor</w:t>
      </w:r>
      <w:proofErr w:type="spellEnd"/>
      <w:r w:rsidRPr="00C54A03">
        <w:rPr>
          <w:color w:val="000000" w:themeColor="text1"/>
          <w:spacing w:val="-57"/>
          <w:sz w:val="24"/>
          <w:szCs w:val="24"/>
        </w:rPr>
        <w:t xml:space="preserve"> </w:t>
      </w:r>
      <w:proofErr w:type="spellStart"/>
      <w:r w:rsidRPr="00C54A03">
        <w:rPr>
          <w:color w:val="000000" w:themeColor="text1"/>
          <w:sz w:val="24"/>
          <w:szCs w:val="24"/>
        </w:rPr>
        <w:t>țintă</w:t>
      </w:r>
      <w:proofErr w:type="spellEnd"/>
      <w:r w:rsidRPr="00C54A03">
        <w:rPr>
          <w:color w:val="000000" w:themeColor="text1"/>
          <w:sz w:val="24"/>
          <w:szCs w:val="24"/>
        </w:rPr>
        <w:t xml:space="preserve">, </w:t>
      </w:r>
      <w:proofErr w:type="spellStart"/>
      <w:r w:rsidRPr="00C54A03">
        <w:rPr>
          <w:color w:val="000000" w:themeColor="text1"/>
          <w:sz w:val="24"/>
          <w:szCs w:val="24"/>
        </w:rPr>
        <w:t>utilizează</w:t>
      </w:r>
      <w:proofErr w:type="spellEnd"/>
      <w:r w:rsidRPr="00C54A03">
        <w:rPr>
          <w:color w:val="000000" w:themeColor="text1"/>
          <w:sz w:val="24"/>
          <w:szCs w:val="24"/>
        </w:rPr>
        <w:t xml:space="preserve"> </w:t>
      </w:r>
      <w:proofErr w:type="spellStart"/>
      <w:r w:rsidRPr="00C54A03">
        <w:rPr>
          <w:color w:val="000000" w:themeColor="text1"/>
          <w:sz w:val="24"/>
          <w:szCs w:val="24"/>
        </w:rPr>
        <w:t>tehnologiile</w:t>
      </w:r>
      <w:proofErr w:type="spellEnd"/>
      <w:r w:rsidRPr="00C54A03">
        <w:rPr>
          <w:color w:val="000000" w:themeColor="text1"/>
          <w:sz w:val="24"/>
          <w:szCs w:val="24"/>
        </w:rPr>
        <w:t xml:space="preserve"> de </w:t>
      </w:r>
      <w:proofErr w:type="spellStart"/>
      <w:r w:rsidRPr="00C54A03">
        <w:rPr>
          <w:color w:val="000000" w:themeColor="text1"/>
          <w:sz w:val="24"/>
          <w:szCs w:val="24"/>
        </w:rPr>
        <w:t>ultimă</w:t>
      </w:r>
      <w:proofErr w:type="spellEnd"/>
      <w:r w:rsidRPr="00C54A03">
        <w:rPr>
          <w:color w:val="000000" w:themeColor="text1"/>
          <w:sz w:val="24"/>
          <w:szCs w:val="24"/>
        </w:rPr>
        <w:t xml:space="preserve"> </w:t>
      </w:r>
      <w:proofErr w:type="spellStart"/>
      <w:r w:rsidRPr="00C54A03">
        <w:rPr>
          <w:color w:val="000000" w:themeColor="text1"/>
          <w:sz w:val="24"/>
          <w:szCs w:val="24"/>
        </w:rPr>
        <w:t>generație</w:t>
      </w:r>
      <w:proofErr w:type="spellEnd"/>
      <w:r w:rsidRPr="00C54A03">
        <w:rPr>
          <w:color w:val="000000" w:themeColor="text1"/>
          <w:sz w:val="24"/>
          <w:szCs w:val="24"/>
        </w:rPr>
        <w:t xml:space="preserve"> </w:t>
      </w:r>
      <w:proofErr w:type="spellStart"/>
      <w:r w:rsidRPr="00C54A03">
        <w:rPr>
          <w:color w:val="000000" w:themeColor="text1"/>
          <w:sz w:val="24"/>
          <w:szCs w:val="24"/>
        </w:rPr>
        <w:t>atât</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ceea</w:t>
      </w:r>
      <w:proofErr w:type="spellEnd"/>
      <w:r w:rsidRPr="00C54A03">
        <w:rPr>
          <w:color w:val="000000" w:themeColor="text1"/>
          <w:sz w:val="24"/>
          <w:szCs w:val="24"/>
        </w:rPr>
        <w:t xml:space="preserve"> </w:t>
      </w:r>
      <w:proofErr w:type="spellStart"/>
      <w:r w:rsidRPr="00C54A03">
        <w:rPr>
          <w:color w:val="000000" w:themeColor="text1"/>
          <w:sz w:val="24"/>
          <w:szCs w:val="24"/>
        </w:rPr>
        <w:t>ce</w:t>
      </w:r>
      <w:proofErr w:type="spellEnd"/>
      <w:r w:rsidRPr="00C54A03">
        <w:rPr>
          <w:color w:val="000000" w:themeColor="text1"/>
          <w:sz w:val="24"/>
          <w:szCs w:val="24"/>
        </w:rPr>
        <w:t xml:space="preserve"> </w:t>
      </w:r>
      <w:proofErr w:type="spellStart"/>
      <w:r w:rsidRPr="00C54A03">
        <w:rPr>
          <w:color w:val="000000" w:themeColor="text1"/>
          <w:sz w:val="24"/>
          <w:szCs w:val="24"/>
        </w:rPr>
        <w:t>privește</w:t>
      </w:r>
      <w:proofErr w:type="spellEnd"/>
      <w:r w:rsidRPr="00C54A03">
        <w:rPr>
          <w:color w:val="000000" w:themeColor="text1"/>
          <w:sz w:val="24"/>
          <w:szCs w:val="24"/>
        </w:rPr>
        <w:t xml:space="preserve"> </w:t>
      </w:r>
      <w:proofErr w:type="spellStart"/>
      <w:r w:rsidRPr="00C54A03">
        <w:rPr>
          <w:color w:val="000000" w:themeColor="text1"/>
          <w:sz w:val="24"/>
          <w:szCs w:val="24"/>
        </w:rPr>
        <w:t>unități</w:t>
      </w:r>
      <w:proofErr w:type="spellEnd"/>
      <w:r w:rsidRPr="00C54A03">
        <w:rPr>
          <w:color w:val="000000" w:themeColor="text1"/>
          <w:sz w:val="24"/>
          <w:szCs w:val="24"/>
        </w:rPr>
        <w:t xml:space="preserve"> GPS </w:t>
      </w:r>
      <w:proofErr w:type="spellStart"/>
      <w:r w:rsidRPr="00C54A03">
        <w:rPr>
          <w:color w:val="000000" w:themeColor="text1"/>
          <w:sz w:val="24"/>
          <w:szCs w:val="24"/>
        </w:rPr>
        <w:t>și</w:t>
      </w:r>
      <w:proofErr w:type="spellEnd"/>
      <w:r w:rsidRPr="00C54A03">
        <w:rPr>
          <w:color w:val="000000" w:themeColor="text1"/>
          <w:sz w:val="24"/>
          <w:szCs w:val="24"/>
        </w:rPr>
        <w:t xml:space="preserve"> </w:t>
      </w:r>
      <w:proofErr w:type="spellStart"/>
      <w:r w:rsidRPr="00C54A03">
        <w:rPr>
          <w:color w:val="000000" w:themeColor="text1"/>
          <w:sz w:val="24"/>
          <w:szCs w:val="24"/>
        </w:rPr>
        <w:t>aplicații</w:t>
      </w:r>
      <w:proofErr w:type="spellEnd"/>
      <w:r w:rsidRPr="00C54A03">
        <w:rPr>
          <w:color w:val="000000" w:themeColor="text1"/>
          <w:spacing w:val="1"/>
          <w:sz w:val="24"/>
          <w:szCs w:val="24"/>
        </w:rPr>
        <w:t xml:space="preserve"> </w:t>
      </w:r>
      <w:r w:rsidRPr="00C54A03">
        <w:rPr>
          <w:color w:val="000000" w:themeColor="text1"/>
          <w:sz w:val="24"/>
          <w:szCs w:val="24"/>
        </w:rPr>
        <w:t>mobile</w:t>
      </w:r>
      <w:r w:rsidRPr="00C54A03">
        <w:rPr>
          <w:color w:val="000000" w:themeColor="text1"/>
          <w:spacing w:val="14"/>
          <w:sz w:val="24"/>
          <w:szCs w:val="24"/>
        </w:rPr>
        <w:t xml:space="preserve"> </w:t>
      </w:r>
      <w:r w:rsidRPr="00C54A03">
        <w:rPr>
          <w:color w:val="000000" w:themeColor="text1"/>
          <w:sz w:val="24"/>
          <w:szCs w:val="24"/>
        </w:rPr>
        <w:t>de</w:t>
      </w:r>
      <w:r w:rsidRPr="00C54A03">
        <w:rPr>
          <w:color w:val="000000" w:themeColor="text1"/>
          <w:spacing w:val="14"/>
          <w:sz w:val="24"/>
          <w:szCs w:val="24"/>
        </w:rPr>
        <w:t xml:space="preserve"> </w:t>
      </w:r>
      <w:proofErr w:type="spellStart"/>
      <w:r w:rsidRPr="00C54A03">
        <w:rPr>
          <w:color w:val="000000" w:themeColor="text1"/>
          <w:sz w:val="24"/>
          <w:szCs w:val="24"/>
        </w:rPr>
        <w:t>colectare</w:t>
      </w:r>
      <w:proofErr w:type="spellEnd"/>
      <w:r w:rsidRPr="00C54A03">
        <w:rPr>
          <w:color w:val="000000" w:themeColor="text1"/>
          <w:spacing w:val="14"/>
          <w:sz w:val="24"/>
          <w:szCs w:val="24"/>
        </w:rPr>
        <w:t xml:space="preserve"> </w:t>
      </w:r>
      <w:r w:rsidRPr="00C54A03">
        <w:rPr>
          <w:color w:val="000000" w:themeColor="text1"/>
          <w:sz w:val="24"/>
          <w:szCs w:val="24"/>
        </w:rPr>
        <w:t>a</w:t>
      </w:r>
      <w:r w:rsidRPr="00C54A03">
        <w:rPr>
          <w:color w:val="000000" w:themeColor="text1"/>
          <w:spacing w:val="14"/>
          <w:sz w:val="24"/>
          <w:szCs w:val="24"/>
        </w:rPr>
        <w:t xml:space="preserve"> </w:t>
      </w:r>
      <w:proofErr w:type="spellStart"/>
      <w:r w:rsidRPr="00C54A03">
        <w:rPr>
          <w:color w:val="000000" w:themeColor="text1"/>
          <w:sz w:val="24"/>
          <w:szCs w:val="24"/>
        </w:rPr>
        <w:t>datelor</w:t>
      </w:r>
      <w:proofErr w:type="spellEnd"/>
      <w:r w:rsidRPr="00C54A03">
        <w:rPr>
          <w:color w:val="000000" w:themeColor="text1"/>
          <w:spacing w:val="14"/>
          <w:sz w:val="24"/>
          <w:szCs w:val="24"/>
        </w:rPr>
        <w:t xml:space="preserve"> </w:t>
      </w:r>
      <w:r w:rsidRPr="00C54A03">
        <w:rPr>
          <w:color w:val="000000" w:themeColor="text1"/>
          <w:sz w:val="24"/>
          <w:szCs w:val="24"/>
        </w:rPr>
        <w:t>din</w:t>
      </w:r>
      <w:r w:rsidRPr="00C54A03">
        <w:rPr>
          <w:color w:val="000000" w:themeColor="text1"/>
          <w:spacing w:val="16"/>
          <w:sz w:val="24"/>
          <w:szCs w:val="24"/>
        </w:rPr>
        <w:t xml:space="preserve"> </w:t>
      </w:r>
      <w:proofErr w:type="spellStart"/>
      <w:r w:rsidRPr="00C54A03">
        <w:rPr>
          <w:color w:val="000000" w:themeColor="text1"/>
          <w:sz w:val="24"/>
          <w:szCs w:val="24"/>
        </w:rPr>
        <w:t>teren</w:t>
      </w:r>
      <w:proofErr w:type="spellEnd"/>
      <w:r w:rsidRPr="00C54A03">
        <w:rPr>
          <w:color w:val="000000" w:themeColor="text1"/>
          <w:sz w:val="24"/>
          <w:szCs w:val="24"/>
        </w:rPr>
        <w:t>.</w:t>
      </w:r>
      <w:r w:rsidRPr="00C54A03">
        <w:rPr>
          <w:color w:val="000000" w:themeColor="text1"/>
          <w:spacing w:val="15"/>
          <w:sz w:val="24"/>
          <w:szCs w:val="24"/>
        </w:rPr>
        <w:t xml:space="preserve"> </w:t>
      </w:r>
      <w:proofErr w:type="spellStart"/>
      <w:r w:rsidRPr="00C54A03">
        <w:rPr>
          <w:color w:val="000000" w:themeColor="text1"/>
          <w:sz w:val="24"/>
          <w:szCs w:val="24"/>
          <w:lang w:val="fr-FR"/>
        </w:rPr>
        <w:t>Fișele</w:t>
      </w:r>
      <w:proofErr w:type="spellEnd"/>
      <w:r w:rsidRPr="00C54A03">
        <w:rPr>
          <w:color w:val="000000" w:themeColor="text1"/>
          <w:spacing w:val="15"/>
          <w:sz w:val="24"/>
          <w:szCs w:val="24"/>
          <w:lang w:val="fr-FR"/>
        </w:rPr>
        <w:t xml:space="preserve"> </w:t>
      </w:r>
      <w:r w:rsidRPr="00C54A03">
        <w:rPr>
          <w:color w:val="000000" w:themeColor="text1"/>
          <w:sz w:val="24"/>
          <w:szCs w:val="24"/>
          <w:lang w:val="fr-FR"/>
        </w:rPr>
        <w:t>de</w:t>
      </w:r>
      <w:r w:rsidRPr="00C54A03">
        <w:rPr>
          <w:color w:val="000000" w:themeColor="text1"/>
          <w:spacing w:val="16"/>
          <w:sz w:val="24"/>
          <w:szCs w:val="24"/>
          <w:lang w:val="fr-FR"/>
        </w:rPr>
        <w:t xml:space="preserve"> </w:t>
      </w:r>
      <w:proofErr w:type="spellStart"/>
      <w:r w:rsidRPr="00C54A03">
        <w:rPr>
          <w:color w:val="000000" w:themeColor="text1"/>
          <w:sz w:val="24"/>
          <w:szCs w:val="24"/>
          <w:lang w:val="fr-FR"/>
        </w:rPr>
        <w:t>teren</w:t>
      </w:r>
      <w:proofErr w:type="spellEnd"/>
      <w:r w:rsidRPr="00C54A03">
        <w:rPr>
          <w:color w:val="000000" w:themeColor="text1"/>
          <w:spacing w:val="15"/>
          <w:sz w:val="24"/>
          <w:szCs w:val="24"/>
          <w:lang w:val="fr-FR"/>
        </w:rPr>
        <w:t xml:space="preserve"> </w:t>
      </w:r>
      <w:proofErr w:type="spellStart"/>
      <w:r w:rsidRPr="00C54A03">
        <w:rPr>
          <w:color w:val="000000" w:themeColor="text1"/>
          <w:sz w:val="24"/>
          <w:szCs w:val="24"/>
          <w:lang w:val="fr-FR"/>
        </w:rPr>
        <w:t>completate</w:t>
      </w:r>
      <w:proofErr w:type="spellEnd"/>
      <w:r w:rsidRPr="00C54A03">
        <w:rPr>
          <w:color w:val="000000" w:themeColor="text1"/>
          <w:spacing w:val="14"/>
          <w:sz w:val="24"/>
          <w:szCs w:val="24"/>
          <w:lang w:val="fr-FR"/>
        </w:rPr>
        <w:t xml:space="preserve"> </w:t>
      </w:r>
      <w:proofErr w:type="spellStart"/>
      <w:r w:rsidRPr="00C54A03">
        <w:rPr>
          <w:color w:val="000000" w:themeColor="text1"/>
          <w:sz w:val="24"/>
          <w:szCs w:val="24"/>
          <w:lang w:val="fr-FR"/>
        </w:rPr>
        <w:t>descriu</w:t>
      </w:r>
      <w:proofErr w:type="spellEnd"/>
      <w:r w:rsidRPr="00C54A03">
        <w:rPr>
          <w:color w:val="000000" w:themeColor="text1"/>
          <w:spacing w:val="17"/>
          <w:sz w:val="24"/>
          <w:szCs w:val="24"/>
          <w:lang w:val="fr-FR"/>
        </w:rPr>
        <w:t xml:space="preserve"> </w:t>
      </w:r>
      <w:proofErr w:type="spellStart"/>
      <w:r w:rsidRPr="00C54A03">
        <w:rPr>
          <w:color w:val="000000" w:themeColor="text1"/>
          <w:sz w:val="24"/>
          <w:szCs w:val="24"/>
          <w:lang w:val="fr-FR"/>
        </w:rPr>
        <w:t>caracteristici</w:t>
      </w:r>
      <w:proofErr w:type="spellEnd"/>
      <w:r w:rsidRPr="00C54A03">
        <w:rPr>
          <w:color w:val="000000" w:themeColor="text1"/>
          <w:spacing w:val="22"/>
          <w:sz w:val="24"/>
          <w:szCs w:val="24"/>
          <w:lang w:val="fr-FR"/>
        </w:rPr>
        <w:t xml:space="preserve"> </w:t>
      </w:r>
      <w:r w:rsidRPr="00C54A03">
        <w:rPr>
          <w:color w:val="000000" w:themeColor="text1"/>
          <w:sz w:val="24"/>
          <w:szCs w:val="24"/>
          <w:lang w:val="fr-FR"/>
        </w:rPr>
        <w:t>structurale</w:t>
      </w:r>
      <w:r w:rsidRPr="00C54A03">
        <w:rPr>
          <w:color w:val="000000" w:themeColor="text1"/>
          <w:spacing w:val="-58"/>
          <w:sz w:val="24"/>
          <w:szCs w:val="24"/>
          <w:lang w:val="fr-FR"/>
        </w:rPr>
        <w:t xml:space="preserve"> </w:t>
      </w:r>
      <w:proofErr w:type="spellStart"/>
      <w:r w:rsidRPr="00C54A03">
        <w:rPr>
          <w:color w:val="000000" w:themeColor="text1"/>
          <w:sz w:val="24"/>
          <w:szCs w:val="24"/>
          <w:lang w:val="fr-FR"/>
        </w:rPr>
        <w:t>și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funcționale</w:t>
      </w:r>
      <w:proofErr w:type="spellEnd"/>
      <w:r w:rsidRPr="00C54A03">
        <w:rPr>
          <w:color w:val="000000" w:themeColor="text1"/>
          <w:sz w:val="24"/>
          <w:szCs w:val="24"/>
          <w:lang w:val="fr-FR"/>
        </w:rPr>
        <w:t xml:space="preserve"> ale </w:t>
      </w:r>
      <w:proofErr w:type="spellStart"/>
      <w:r w:rsidRPr="00C54A03">
        <w:rPr>
          <w:color w:val="000000" w:themeColor="text1"/>
          <w:sz w:val="24"/>
          <w:szCs w:val="24"/>
          <w:lang w:val="fr-FR"/>
        </w:rPr>
        <w:t>habitatelor</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precum</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și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presiuni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identificate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informațiile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astfel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colectate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intră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într</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r w:rsidRPr="00C54A03">
        <w:rPr>
          <w:color w:val="000000" w:themeColor="text1"/>
          <w:sz w:val="24"/>
          <w:szCs w:val="24"/>
          <w:lang w:val="fr-FR"/>
        </w:rPr>
        <w:t xml:space="preserve">un </w:t>
      </w:r>
      <w:proofErr w:type="spellStart"/>
      <w:r w:rsidRPr="00C54A03">
        <w:rPr>
          <w:color w:val="000000" w:themeColor="text1"/>
          <w:sz w:val="24"/>
          <w:szCs w:val="24"/>
          <w:lang w:val="fr-FR"/>
        </w:rPr>
        <w:t>prim</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proces</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agregare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primul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nivel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care </w:t>
      </w:r>
      <w:proofErr w:type="spellStart"/>
      <w:r w:rsidRPr="00C54A03">
        <w:rPr>
          <w:color w:val="000000" w:themeColor="text1"/>
          <w:sz w:val="24"/>
          <w:szCs w:val="24"/>
          <w:lang w:val="fr-FR"/>
        </w:rPr>
        <w:t>fiecare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fișă</w:t>
      </w:r>
      <w:proofErr w:type="spellEnd"/>
      <w:r w:rsidRPr="00C54A03">
        <w:rPr>
          <w:color w:val="000000" w:themeColor="text1"/>
          <w:sz w:val="24"/>
          <w:szCs w:val="24"/>
          <w:lang w:val="fr-FR"/>
        </w:rPr>
        <w:t xml:space="preserve"> are </w:t>
      </w:r>
      <w:proofErr w:type="spellStart"/>
      <w:r w:rsidRPr="00C54A03">
        <w:rPr>
          <w:color w:val="000000" w:themeColor="text1"/>
          <w:sz w:val="24"/>
          <w:szCs w:val="24"/>
          <w:lang w:val="fr-FR"/>
        </w:rPr>
        <w:t>asociat</w:t>
      </w:r>
      <w:proofErr w:type="spellEnd"/>
      <w:r w:rsidRPr="00C54A03">
        <w:rPr>
          <w:color w:val="000000" w:themeColor="text1"/>
          <w:sz w:val="24"/>
          <w:szCs w:val="24"/>
          <w:lang w:val="fr-FR"/>
        </w:rPr>
        <w:t xml:space="preserve"> o </w:t>
      </w:r>
      <w:proofErr w:type="spellStart"/>
      <w:r w:rsidRPr="00C54A03">
        <w:rPr>
          <w:color w:val="000000" w:themeColor="text1"/>
          <w:sz w:val="24"/>
          <w:szCs w:val="24"/>
          <w:lang w:val="fr-FR"/>
        </w:rPr>
        <w:t>localizare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stațială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cu</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precizie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metrică</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(1-3</w:t>
      </w:r>
      <w:r w:rsidRPr="00C54A03">
        <w:rPr>
          <w:color w:val="000000" w:themeColor="text1"/>
          <w:spacing w:val="1"/>
          <w:sz w:val="24"/>
          <w:szCs w:val="24"/>
          <w:lang w:val="fr-FR"/>
        </w:rPr>
        <w:t xml:space="preserve"> </w:t>
      </w:r>
      <w:r w:rsidRPr="00C54A03">
        <w:rPr>
          <w:color w:val="000000" w:themeColor="text1"/>
          <w:sz w:val="24"/>
          <w:szCs w:val="24"/>
          <w:lang w:val="fr-FR"/>
        </w:rPr>
        <w:t>m)</w:t>
      </w:r>
      <w:r w:rsidRPr="00C54A03">
        <w:rPr>
          <w:color w:val="000000" w:themeColor="text1"/>
          <w:spacing w:val="1"/>
          <w:sz w:val="24"/>
          <w:szCs w:val="24"/>
          <w:lang w:val="fr-FR"/>
        </w:rPr>
        <w:t xml:space="preserve"> </w:t>
      </w:r>
      <w:r w:rsidRPr="00C54A03">
        <w:rPr>
          <w:color w:val="000000" w:themeColor="text1"/>
          <w:sz w:val="24"/>
          <w:szCs w:val="24"/>
          <w:lang w:val="fr-FR"/>
        </w:rPr>
        <w:t>se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agregă</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într</w:t>
      </w:r>
      <w:proofErr w:type="spellEnd"/>
      <w:r w:rsidRPr="00C54A03">
        <w:rPr>
          <w:color w:val="000000" w:themeColor="text1"/>
          <w:sz w:val="24"/>
          <w:szCs w:val="24"/>
          <w:lang w:val="fr-FR"/>
        </w:rPr>
        <w:t>-un</w:t>
      </w:r>
      <w:r w:rsidRPr="00C54A03">
        <w:rPr>
          <w:color w:val="000000" w:themeColor="text1"/>
          <w:spacing w:val="1"/>
          <w:sz w:val="24"/>
          <w:szCs w:val="24"/>
          <w:lang w:val="fr-FR"/>
        </w:rPr>
        <w:t xml:space="preserve"> </w:t>
      </w:r>
      <w:r w:rsidRPr="00C54A03">
        <w:rPr>
          <w:color w:val="000000" w:themeColor="text1"/>
          <w:sz w:val="24"/>
          <w:szCs w:val="24"/>
          <w:lang w:val="fr-FR"/>
        </w:rPr>
        <w:t>plot</w:t>
      </w:r>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r w:rsidRPr="00C54A03">
        <w:rPr>
          <w:color w:val="000000" w:themeColor="text1"/>
          <w:sz w:val="24"/>
          <w:szCs w:val="24"/>
          <w:lang w:val="fr-FR"/>
        </w:rPr>
        <w:t>10</w:t>
      </w:r>
      <w:r w:rsidRPr="00C54A03">
        <w:rPr>
          <w:color w:val="000000" w:themeColor="text1"/>
          <w:spacing w:val="1"/>
          <w:sz w:val="24"/>
          <w:szCs w:val="24"/>
          <w:lang w:val="fr-FR"/>
        </w:rPr>
        <w:t xml:space="preserve"> </w:t>
      </w:r>
      <w:r w:rsidRPr="00C54A03">
        <w:rPr>
          <w:color w:val="000000" w:themeColor="text1"/>
          <w:sz w:val="24"/>
          <w:szCs w:val="24"/>
          <w:lang w:val="fr-FR"/>
        </w:rPr>
        <w:t>x</w:t>
      </w:r>
      <w:r w:rsidRPr="00C54A03">
        <w:rPr>
          <w:color w:val="000000" w:themeColor="text1"/>
          <w:spacing w:val="1"/>
          <w:sz w:val="24"/>
          <w:szCs w:val="24"/>
          <w:lang w:val="fr-FR"/>
        </w:rPr>
        <w:t xml:space="preserve"> </w:t>
      </w:r>
      <w:r w:rsidRPr="00C54A03">
        <w:rPr>
          <w:color w:val="000000" w:themeColor="text1"/>
          <w:sz w:val="24"/>
          <w:szCs w:val="24"/>
          <w:lang w:val="fr-FR"/>
        </w:rPr>
        <w:t>10</w:t>
      </w:r>
      <w:r w:rsidRPr="00C54A03">
        <w:rPr>
          <w:color w:val="000000" w:themeColor="text1"/>
          <w:spacing w:val="1"/>
          <w:sz w:val="24"/>
          <w:szCs w:val="24"/>
          <w:lang w:val="fr-FR"/>
        </w:rPr>
        <w:t xml:space="preserve"> </w:t>
      </w:r>
      <w:r w:rsidRPr="00C54A03">
        <w:rPr>
          <w:color w:val="000000" w:themeColor="text1"/>
          <w:sz w:val="24"/>
          <w:szCs w:val="24"/>
          <w:lang w:val="fr-FR"/>
        </w:rPr>
        <w:t>km.</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Această</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agregare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permite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caracterizarea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variabilității</w:t>
      </w:r>
      <w:proofErr w:type="spellEnd"/>
      <w:r w:rsidRPr="00C54A03">
        <w:rPr>
          <w:color w:val="000000" w:themeColor="text1"/>
          <w:sz w:val="24"/>
          <w:szCs w:val="24"/>
          <w:lang w:val="fr-FR"/>
        </w:rPr>
        <w:t xml:space="preserve"> interne a </w:t>
      </w:r>
      <w:proofErr w:type="spellStart"/>
      <w:r w:rsidRPr="00C54A03">
        <w:rPr>
          <w:color w:val="000000" w:themeColor="text1"/>
          <w:sz w:val="24"/>
          <w:szCs w:val="24"/>
          <w:lang w:val="fr-FR"/>
        </w:rPr>
        <w:t>habitatului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țintă</w:t>
      </w:r>
      <w:proofErr w:type="spellEnd"/>
      <w:r w:rsidRPr="00C54A03">
        <w:rPr>
          <w:color w:val="000000" w:themeColor="text1"/>
          <w:sz w:val="24"/>
          <w:szCs w:val="24"/>
          <w:lang w:val="fr-FR"/>
        </w:rPr>
        <w:t xml:space="preserve"> la </w:t>
      </w:r>
      <w:proofErr w:type="spellStart"/>
      <w:r w:rsidRPr="00C54A03">
        <w:rPr>
          <w:color w:val="000000" w:themeColor="text1"/>
          <w:sz w:val="24"/>
          <w:szCs w:val="24"/>
          <w:lang w:val="fr-FR"/>
        </w:rPr>
        <w:t>nivelul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unui</w:t>
      </w:r>
      <w:proofErr w:type="spellEnd"/>
      <w:r w:rsidRPr="00C54A03">
        <w:rPr>
          <w:color w:val="000000" w:themeColor="text1"/>
          <w:sz w:val="24"/>
          <w:szCs w:val="24"/>
          <w:lang w:val="fr-FR"/>
        </w:rPr>
        <w:t xml:space="preserve"> plot. </w:t>
      </w:r>
      <w:proofErr w:type="spellStart"/>
      <w:r w:rsidRPr="00C54A03">
        <w:rPr>
          <w:color w:val="000000" w:themeColor="text1"/>
          <w:sz w:val="24"/>
          <w:szCs w:val="24"/>
          <w:lang w:val="fr-FR"/>
        </w:rPr>
        <w:t>Plotul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reprezintă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unitatea</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bază</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pentru</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evaluare</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Metodele</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evaluare</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se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realizează</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fie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prin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evaluarea</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completă</w:t>
      </w:r>
      <w:proofErr w:type="spellEnd"/>
      <w:r w:rsidRPr="00C54A03">
        <w:rPr>
          <w:color w:val="000000" w:themeColor="text1"/>
          <w:spacing w:val="60"/>
          <w:sz w:val="24"/>
          <w:szCs w:val="24"/>
          <w:lang w:val="fr-FR"/>
        </w:rPr>
        <w:t xml:space="preserve"> </w:t>
      </w:r>
      <w:r w:rsidRPr="00C54A03">
        <w:rPr>
          <w:color w:val="000000" w:themeColor="text1"/>
          <w:sz w:val="24"/>
          <w:szCs w:val="24"/>
          <w:lang w:val="fr-FR"/>
        </w:rPr>
        <w:t>a</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habitatului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țintă</w:t>
      </w:r>
      <w:proofErr w:type="spellEnd"/>
      <w:r w:rsidRPr="00C54A03">
        <w:rPr>
          <w:color w:val="000000" w:themeColor="text1"/>
          <w:sz w:val="24"/>
          <w:szCs w:val="24"/>
          <w:lang w:val="fr-FR"/>
        </w:rPr>
        <w:t xml:space="preserve"> (3 = Complete </w:t>
      </w:r>
      <w:proofErr w:type="spellStart"/>
      <w:r w:rsidRPr="00C54A03">
        <w:rPr>
          <w:color w:val="000000" w:themeColor="text1"/>
          <w:sz w:val="24"/>
          <w:szCs w:val="24"/>
          <w:lang w:val="fr-FR"/>
        </w:rPr>
        <w:t>survey</w:t>
      </w:r>
      <w:proofErr w:type="spellEnd"/>
      <w:r w:rsidRPr="00C54A03">
        <w:rPr>
          <w:color w:val="000000" w:themeColor="text1"/>
          <w:sz w:val="24"/>
          <w:szCs w:val="24"/>
          <w:lang w:val="fr-FR"/>
        </w:rPr>
        <w:t xml:space="preserve"> or a</w:t>
      </w:r>
      <w:r w:rsidRPr="00C54A03">
        <w:rPr>
          <w:color w:val="000000" w:themeColor="text1"/>
          <w:spacing w:val="60"/>
          <w:sz w:val="24"/>
          <w:szCs w:val="24"/>
          <w:lang w:val="fr-FR"/>
        </w:rPr>
        <w:t xml:space="preserve"> </w:t>
      </w:r>
      <w:proofErr w:type="spellStart"/>
      <w:r w:rsidRPr="00C54A03">
        <w:rPr>
          <w:color w:val="000000" w:themeColor="text1"/>
          <w:sz w:val="24"/>
          <w:szCs w:val="24"/>
          <w:lang w:val="fr-FR"/>
        </w:rPr>
        <w:t>statistically</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robust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estimate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când</w:t>
      </w:r>
      <w:proofErr w:type="spellEnd"/>
      <w:r w:rsidRPr="00C54A03">
        <w:rPr>
          <w:color w:val="000000" w:themeColor="text1"/>
          <w:sz w:val="24"/>
          <w:szCs w:val="24"/>
          <w:lang w:val="fr-FR"/>
        </w:rPr>
        <w:t xml:space="preserve"> se </w:t>
      </w:r>
      <w:proofErr w:type="spellStart"/>
      <w:r w:rsidRPr="00C54A03">
        <w:rPr>
          <w:color w:val="000000" w:themeColor="text1"/>
          <w:sz w:val="24"/>
          <w:szCs w:val="24"/>
          <w:lang w:val="fr-FR"/>
        </w:rPr>
        <w:t>evaluează</w:t>
      </w:r>
      <w:proofErr w:type="spellEnd"/>
      <w:r w:rsidRPr="00C54A03">
        <w:rPr>
          <w:color w:val="000000" w:themeColor="text1"/>
          <w:sz w:val="24"/>
          <w:szCs w:val="24"/>
          <w:lang w:val="fr-FR"/>
        </w:rPr>
        <w:t xml:space="preserve"> un</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număr</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ploturi</w:t>
      </w:r>
      <w:proofErr w:type="spellEnd"/>
      <w:r w:rsidRPr="00C54A03">
        <w:rPr>
          <w:color w:val="000000" w:themeColor="text1"/>
          <w:sz w:val="24"/>
          <w:szCs w:val="24"/>
          <w:lang w:val="fr-FR"/>
        </w:rPr>
        <w:t xml:space="preserve"> mai </w:t>
      </w:r>
      <w:proofErr w:type="spellStart"/>
      <w:r w:rsidRPr="00C54A03">
        <w:rPr>
          <w:color w:val="000000" w:themeColor="text1"/>
          <w:sz w:val="24"/>
          <w:szCs w:val="24"/>
          <w:lang w:val="fr-FR"/>
        </w:rPr>
        <w:t>mic</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decât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numărul</w:t>
      </w:r>
      <w:proofErr w:type="spellEnd"/>
      <w:r w:rsidRPr="00C54A03">
        <w:rPr>
          <w:color w:val="000000" w:themeColor="text1"/>
          <w:sz w:val="24"/>
          <w:szCs w:val="24"/>
          <w:lang w:val="fr-FR"/>
        </w:rPr>
        <w:t xml:space="preserve"> total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care </w:t>
      </w:r>
      <w:proofErr w:type="spellStart"/>
      <w:r w:rsidRPr="00C54A03">
        <w:rPr>
          <w:color w:val="000000" w:themeColor="text1"/>
          <w:sz w:val="24"/>
          <w:szCs w:val="24"/>
          <w:lang w:val="fr-FR"/>
        </w:rPr>
        <w:t>avem</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habitatul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confirmat</w:t>
      </w:r>
      <w:proofErr w:type="spellEnd"/>
      <w:r w:rsidRPr="00C54A03">
        <w:rPr>
          <w:color w:val="000000" w:themeColor="text1"/>
          <w:sz w:val="24"/>
          <w:szCs w:val="24"/>
          <w:lang w:val="fr-FR"/>
        </w:rPr>
        <w:t xml:space="preserve"> (2= </w:t>
      </w:r>
      <w:proofErr w:type="spellStart"/>
      <w:r w:rsidRPr="00C54A03">
        <w:rPr>
          <w:color w:val="000000" w:themeColor="text1"/>
          <w:sz w:val="24"/>
          <w:szCs w:val="24"/>
          <w:lang w:val="fr-FR"/>
        </w:rPr>
        <w:t>Estimate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based</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 xml:space="preserve">on partial data </w:t>
      </w:r>
      <w:proofErr w:type="spellStart"/>
      <w:r w:rsidRPr="00C54A03">
        <w:rPr>
          <w:color w:val="000000" w:themeColor="text1"/>
          <w:sz w:val="24"/>
          <w:szCs w:val="24"/>
          <w:lang w:val="fr-FR"/>
        </w:rPr>
        <w:t>with</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some</w:t>
      </w:r>
      <w:proofErr w:type="spellEnd"/>
      <w:r w:rsidRPr="00C54A03">
        <w:rPr>
          <w:color w:val="000000" w:themeColor="text1"/>
          <w:sz w:val="24"/>
          <w:szCs w:val="24"/>
          <w:lang w:val="fr-FR"/>
        </w:rPr>
        <w:t xml:space="preserve"> extrapolation and/or </w:t>
      </w:r>
      <w:proofErr w:type="spellStart"/>
      <w:r w:rsidRPr="00C54A03">
        <w:rPr>
          <w:color w:val="000000" w:themeColor="text1"/>
          <w:sz w:val="24"/>
          <w:szCs w:val="24"/>
          <w:lang w:val="fr-FR"/>
        </w:rPr>
        <w:t>modelling</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când</w:t>
      </w:r>
      <w:proofErr w:type="spellEnd"/>
      <w:r w:rsidRPr="00C54A03">
        <w:rPr>
          <w:color w:val="000000" w:themeColor="text1"/>
          <w:sz w:val="24"/>
          <w:szCs w:val="24"/>
          <w:lang w:val="fr-FR"/>
        </w:rPr>
        <w:t xml:space="preserve"> se </w:t>
      </w:r>
      <w:proofErr w:type="spellStart"/>
      <w:r w:rsidRPr="00C54A03">
        <w:rPr>
          <w:color w:val="000000" w:themeColor="text1"/>
          <w:sz w:val="24"/>
          <w:szCs w:val="24"/>
          <w:lang w:val="fr-FR"/>
        </w:rPr>
        <w:t>evaluează</w:t>
      </w:r>
      <w:proofErr w:type="spellEnd"/>
      <w:r w:rsidRPr="00C54A03">
        <w:rPr>
          <w:color w:val="000000" w:themeColor="text1"/>
          <w:sz w:val="24"/>
          <w:szCs w:val="24"/>
          <w:lang w:val="fr-FR"/>
        </w:rPr>
        <w:t xml:space="preserve"> un </w:t>
      </w:r>
      <w:proofErr w:type="spellStart"/>
      <w:r w:rsidRPr="00C54A03">
        <w:rPr>
          <w:color w:val="000000" w:themeColor="text1"/>
          <w:sz w:val="24"/>
          <w:szCs w:val="24"/>
          <w:lang w:val="fr-FR"/>
        </w:rPr>
        <w:t>număr</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foarte</w:t>
      </w:r>
      <w:proofErr w:type="spellEnd"/>
      <w:r w:rsidRPr="00C54A03">
        <w:rPr>
          <w:color w:val="000000" w:themeColor="text1"/>
          <w:sz w:val="24"/>
          <w:szCs w:val="24"/>
          <w:lang w:val="fr-FR"/>
        </w:rPr>
        <w:t xml:space="preserve"> redus</w:t>
      </w:r>
      <w:r w:rsidRPr="00C54A03">
        <w:rPr>
          <w:color w:val="000000" w:themeColor="text1"/>
          <w:spacing w:val="1"/>
          <w:sz w:val="24"/>
          <w:szCs w:val="24"/>
          <w:lang w:val="fr-FR"/>
        </w:rPr>
        <w:t xml:space="preserve"> </w:t>
      </w:r>
      <w:r w:rsidRPr="00C54A03">
        <w:rPr>
          <w:color w:val="000000" w:themeColor="text1"/>
          <w:sz w:val="24"/>
          <w:szCs w:val="24"/>
          <w:lang w:val="fr-FR"/>
        </w:rPr>
        <w:t xml:space="preserve">de </w:t>
      </w:r>
      <w:proofErr w:type="spellStart"/>
      <w:r w:rsidRPr="00C54A03">
        <w:rPr>
          <w:color w:val="000000" w:themeColor="text1"/>
          <w:sz w:val="24"/>
          <w:szCs w:val="24"/>
          <w:lang w:val="fr-FR"/>
        </w:rPr>
        <w:t>ploturi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și</w:t>
      </w:r>
      <w:proofErr w:type="spellEnd"/>
      <w:r w:rsidRPr="00C54A03">
        <w:rPr>
          <w:color w:val="000000" w:themeColor="text1"/>
          <w:sz w:val="24"/>
          <w:szCs w:val="24"/>
          <w:lang w:val="fr-FR"/>
        </w:rPr>
        <w:t xml:space="preserve"> se </w:t>
      </w:r>
      <w:proofErr w:type="spellStart"/>
      <w:r w:rsidRPr="00C54A03">
        <w:rPr>
          <w:color w:val="000000" w:themeColor="text1"/>
          <w:sz w:val="24"/>
          <w:szCs w:val="24"/>
          <w:lang w:val="fr-FR"/>
        </w:rPr>
        <w:t>utilizează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părerea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expertului</w:t>
      </w:r>
      <w:proofErr w:type="spellEnd"/>
      <w:r w:rsidRPr="00C54A03">
        <w:rPr>
          <w:color w:val="000000" w:themeColor="text1"/>
          <w:sz w:val="24"/>
          <w:szCs w:val="24"/>
          <w:lang w:val="fr-FR"/>
        </w:rPr>
        <w:t xml:space="preserve"> (1 = </w:t>
      </w:r>
      <w:proofErr w:type="spellStart"/>
      <w:r w:rsidRPr="00C54A03">
        <w:rPr>
          <w:color w:val="000000" w:themeColor="text1"/>
          <w:sz w:val="24"/>
          <w:szCs w:val="24"/>
          <w:lang w:val="fr-FR"/>
        </w:rPr>
        <w:t>Estimate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based</w:t>
      </w:r>
      <w:proofErr w:type="spellEnd"/>
      <w:r w:rsidRPr="00C54A03">
        <w:rPr>
          <w:color w:val="000000" w:themeColor="text1"/>
          <w:sz w:val="24"/>
          <w:szCs w:val="24"/>
          <w:lang w:val="fr-FR"/>
        </w:rPr>
        <w:t xml:space="preserve"> on expert opinion </w:t>
      </w:r>
      <w:proofErr w:type="spellStart"/>
      <w:r w:rsidRPr="00C54A03">
        <w:rPr>
          <w:color w:val="000000" w:themeColor="text1"/>
          <w:sz w:val="24"/>
          <w:szCs w:val="24"/>
          <w:lang w:val="fr-FR"/>
        </w:rPr>
        <w:t>with</w:t>
      </w:r>
      <w:proofErr w:type="spellEnd"/>
      <w:r w:rsidRPr="00C54A03">
        <w:rPr>
          <w:color w:val="000000" w:themeColor="text1"/>
          <w:sz w:val="24"/>
          <w:szCs w:val="24"/>
          <w:lang w:val="fr-FR"/>
        </w:rPr>
        <w:t xml:space="preserve"> no or</w:t>
      </w:r>
      <w:r w:rsidRPr="00C54A03">
        <w:rPr>
          <w:color w:val="000000" w:themeColor="text1"/>
          <w:spacing w:val="1"/>
          <w:sz w:val="24"/>
          <w:szCs w:val="24"/>
          <w:lang w:val="fr-FR"/>
        </w:rPr>
        <w:t xml:space="preserve"> </w:t>
      </w:r>
      <w:r w:rsidRPr="00C54A03">
        <w:rPr>
          <w:color w:val="000000" w:themeColor="text1"/>
          <w:sz w:val="24"/>
          <w:szCs w:val="24"/>
          <w:lang w:val="fr-FR"/>
        </w:rPr>
        <w:t>minimal</w:t>
      </w:r>
      <w:r w:rsidRPr="00C54A03">
        <w:rPr>
          <w:color w:val="000000" w:themeColor="text1"/>
          <w:spacing w:val="1"/>
          <w:sz w:val="24"/>
          <w:szCs w:val="24"/>
          <w:lang w:val="fr-FR"/>
        </w:rPr>
        <w:t xml:space="preserve"> </w:t>
      </w:r>
      <w:r w:rsidRPr="00C54A03">
        <w:rPr>
          <w:color w:val="000000" w:themeColor="text1"/>
          <w:sz w:val="24"/>
          <w:szCs w:val="24"/>
          <w:lang w:val="fr-FR"/>
        </w:rPr>
        <w:t>sampling);</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atunci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când</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nu</w:t>
      </w:r>
      <w:r w:rsidRPr="00C54A03">
        <w:rPr>
          <w:color w:val="000000" w:themeColor="text1"/>
          <w:spacing w:val="1"/>
          <w:sz w:val="24"/>
          <w:szCs w:val="24"/>
          <w:lang w:val="fr-FR"/>
        </w:rPr>
        <w:t xml:space="preserve"> </w:t>
      </w:r>
      <w:r w:rsidRPr="00C54A03">
        <w:rPr>
          <w:color w:val="000000" w:themeColor="text1"/>
          <w:sz w:val="24"/>
          <w:szCs w:val="24"/>
          <w:lang w:val="fr-FR"/>
        </w:rPr>
        <w:t>se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evaluează</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nici</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un</w:t>
      </w:r>
      <w:r w:rsidRPr="00C54A03">
        <w:rPr>
          <w:color w:val="000000" w:themeColor="text1"/>
          <w:spacing w:val="1"/>
          <w:sz w:val="24"/>
          <w:szCs w:val="24"/>
          <w:lang w:val="fr-FR"/>
        </w:rPr>
        <w:t xml:space="preserve"> </w:t>
      </w:r>
      <w:r w:rsidRPr="00C54A03">
        <w:rPr>
          <w:color w:val="000000" w:themeColor="text1"/>
          <w:sz w:val="24"/>
          <w:szCs w:val="24"/>
          <w:lang w:val="fr-FR"/>
        </w:rPr>
        <w:t>plot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raport</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se</w:t>
      </w:r>
      <w:r w:rsidRPr="00C54A03">
        <w:rPr>
          <w:color w:val="000000" w:themeColor="text1"/>
          <w:spacing w:val="1"/>
          <w:sz w:val="24"/>
          <w:szCs w:val="24"/>
          <w:lang w:val="fr-FR"/>
        </w:rPr>
        <w:t xml:space="preserve"> </w:t>
      </w:r>
      <w:r w:rsidRPr="00C54A03">
        <w:rPr>
          <w:color w:val="000000" w:themeColor="text1"/>
          <w:sz w:val="24"/>
          <w:szCs w:val="24"/>
          <w:lang w:val="fr-FR"/>
        </w:rPr>
        <w:t>va</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menționa</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„date</w:t>
      </w:r>
      <w:r w:rsidRPr="00C54A03">
        <w:rPr>
          <w:color w:val="000000" w:themeColor="text1"/>
          <w:spacing w:val="-57"/>
          <w:sz w:val="24"/>
          <w:szCs w:val="24"/>
          <w:lang w:val="fr-FR"/>
        </w:rPr>
        <w:t xml:space="preserve"> </w:t>
      </w:r>
      <w:proofErr w:type="spellStart"/>
      <w:r w:rsidRPr="00C54A03">
        <w:rPr>
          <w:color w:val="000000" w:themeColor="text1"/>
          <w:sz w:val="24"/>
          <w:szCs w:val="24"/>
          <w:lang w:val="fr-FR"/>
        </w:rPr>
        <w:t>inexistente</w:t>
      </w:r>
      <w:proofErr w:type="spellEnd"/>
      <w:r w:rsidRPr="00C54A03">
        <w:rPr>
          <w:color w:val="000000" w:themeColor="text1"/>
          <w:sz w:val="24"/>
          <w:szCs w:val="24"/>
          <w:lang w:val="fr-FR"/>
        </w:rPr>
        <w:t>”</w:t>
      </w:r>
      <w:r w:rsidRPr="00C54A03">
        <w:rPr>
          <w:color w:val="000000" w:themeColor="text1"/>
          <w:spacing w:val="-3"/>
          <w:sz w:val="24"/>
          <w:szCs w:val="24"/>
          <w:lang w:val="fr-FR"/>
        </w:rPr>
        <w:t xml:space="preserve"> </w:t>
      </w:r>
      <w:r w:rsidRPr="00C54A03">
        <w:rPr>
          <w:color w:val="000000" w:themeColor="text1"/>
          <w:sz w:val="24"/>
          <w:szCs w:val="24"/>
          <w:lang w:val="fr-FR"/>
        </w:rPr>
        <w:t>(0 =</w:t>
      </w:r>
      <w:r w:rsidRPr="00C54A03">
        <w:rPr>
          <w:color w:val="000000" w:themeColor="text1"/>
          <w:spacing w:val="-1"/>
          <w:sz w:val="24"/>
          <w:szCs w:val="24"/>
          <w:lang w:val="fr-FR"/>
        </w:rPr>
        <w:t xml:space="preserve"> </w:t>
      </w:r>
      <w:r w:rsidRPr="00C54A03">
        <w:rPr>
          <w:color w:val="000000" w:themeColor="text1"/>
          <w:sz w:val="24"/>
          <w:szCs w:val="24"/>
          <w:lang w:val="fr-FR"/>
        </w:rPr>
        <w:t>Absent</w:t>
      </w:r>
      <w:r w:rsidRPr="00C54A03">
        <w:rPr>
          <w:color w:val="000000" w:themeColor="text1"/>
          <w:spacing w:val="2"/>
          <w:sz w:val="24"/>
          <w:szCs w:val="24"/>
          <w:lang w:val="fr-FR"/>
        </w:rPr>
        <w:t xml:space="preserve"> </w:t>
      </w:r>
      <w:r w:rsidRPr="00C54A03">
        <w:rPr>
          <w:color w:val="000000" w:themeColor="text1"/>
          <w:sz w:val="24"/>
          <w:szCs w:val="24"/>
          <w:lang w:val="fr-FR"/>
        </w:rPr>
        <w:t>data).</w:t>
      </w:r>
    </w:p>
    <w:p w14:paraId="17F00C3A" w14:textId="77777777" w:rsidR="007702CD" w:rsidRPr="00C54A03" w:rsidRDefault="007702CD" w:rsidP="008E33FD">
      <w:pPr>
        <w:pStyle w:val="BodyText"/>
        <w:jc w:val="both"/>
        <w:rPr>
          <w:color w:val="000000" w:themeColor="text1"/>
          <w:sz w:val="24"/>
          <w:szCs w:val="24"/>
          <w:lang w:val="fr-FR"/>
        </w:rPr>
      </w:pPr>
    </w:p>
    <w:p w14:paraId="6F11CFD4" w14:textId="77777777" w:rsidR="007702CD" w:rsidRPr="00C54A03" w:rsidRDefault="007702CD" w:rsidP="008E33FD">
      <w:pPr>
        <w:pStyle w:val="Heading2"/>
        <w:widowControl w:val="0"/>
        <w:tabs>
          <w:tab w:val="left" w:pos="1208"/>
        </w:tabs>
        <w:autoSpaceDE w:val="0"/>
        <w:autoSpaceDN w:val="0"/>
        <w:spacing w:before="0" w:beforeAutospacing="0" w:after="0" w:afterAutospacing="0"/>
        <w:jc w:val="both"/>
        <w:rPr>
          <w:color w:val="000000" w:themeColor="text1"/>
          <w:sz w:val="24"/>
          <w:szCs w:val="24"/>
        </w:rPr>
      </w:pPr>
      <w:proofErr w:type="spellStart"/>
      <w:r w:rsidRPr="00C54A03">
        <w:rPr>
          <w:color w:val="000000" w:themeColor="text1"/>
          <w:sz w:val="24"/>
          <w:szCs w:val="24"/>
        </w:rPr>
        <w:t>Evaluarea</w:t>
      </w:r>
      <w:proofErr w:type="spellEnd"/>
      <w:r w:rsidRPr="00C54A03">
        <w:rPr>
          <w:color w:val="000000" w:themeColor="text1"/>
          <w:spacing w:val="-3"/>
          <w:sz w:val="24"/>
          <w:szCs w:val="24"/>
        </w:rPr>
        <w:t xml:space="preserve"> </w:t>
      </w:r>
      <w:proofErr w:type="spellStart"/>
      <w:r w:rsidRPr="00C54A03">
        <w:rPr>
          <w:color w:val="000000" w:themeColor="text1"/>
          <w:sz w:val="24"/>
          <w:szCs w:val="24"/>
        </w:rPr>
        <w:t>stării</w:t>
      </w:r>
      <w:proofErr w:type="spellEnd"/>
      <w:r w:rsidRPr="00C54A03">
        <w:rPr>
          <w:color w:val="000000" w:themeColor="text1"/>
          <w:spacing w:val="-5"/>
          <w:sz w:val="24"/>
          <w:szCs w:val="24"/>
        </w:rPr>
        <w:t xml:space="preserve"> </w:t>
      </w:r>
      <w:r w:rsidRPr="00C54A03">
        <w:rPr>
          <w:color w:val="000000" w:themeColor="text1"/>
          <w:sz w:val="24"/>
          <w:szCs w:val="24"/>
        </w:rPr>
        <w:t>de</w:t>
      </w:r>
      <w:r w:rsidRPr="00C54A03">
        <w:rPr>
          <w:color w:val="000000" w:themeColor="text1"/>
          <w:spacing w:val="-3"/>
          <w:sz w:val="24"/>
          <w:szCs w:val="24"/>
        </w:rPr>
        <w:t xml:space="preserve"> </w:t>
      </w:r>
      <w:proofErr w:type="spellStart"/>
      <w:r w:rsidRPr="00C54A03">
        <w:rPr>
          <w:color w:val="000000" w:themeColor="text1"/>
          <w:sz w:val="24"/>
          <w:szCs w:val="24"/>
        </w:rPr>
        <w:t>conservare</w:t>
      </w:r>
      <w:proofErr w:type="spellEnd"/>
      <w:r w:rsidRPr="00C54A03">
        <w:rPr>
          <w:color w:val="000000" w:themeColor="text1"/>
          <w:spacing w:val="-4"/>
          <w:sz w:val="24"/>
          <w:szCs w:val="24"/>
        </w:rPr>
        <w:t xml:space="preserve"> </w:t>
      </w:r>
      <w:r w:rsidRPr="00C54A03">
        <w:rPr>
          <w:color w:val="000000" w:themeColor="text1"/>
          <w:sz w:val="24"/>
          <w:szCs w:val="24"/>
        </w:rPr>
        <w:t>pe</w:t>
      </w:r>
      <w:r w:rsidRPr="00C54A03">
        <w:rPr>
          <w:color w:val="000000" w:themeColor="text1"/>
          <w:spacing w:val="-3"/>
          <w:sz w:val="24"/>
          <w:szCs w:val="24"/>
        </w:rPr>
        <w:t xml:space="preserve"> </w:t>
      </w:r>
      <w:proofErr w:type="spellStart"/>
      <w:r w:rsidRPr="00C54A03">
        <w:rPr>
          <w:color w:val="000000" w:themeColor="text1"/>
          <w:sz w:val="24"/>
          <w:szCs w:val="24"/>
        </w:rPr>
        <w:t>bioregiune</w:t>
      </w:r>
      <w:proofErr w:type="spellEnd"/>
    </w:p>
    <w:p w14:paraId="195EF227" w14:textId="77777777" w:rsidR="007702CD" w:rsidRPr="00C54A03" w:rsidRDefault="007702CD" w:rsidP="00D97209">
      <w:pPr>
        <w:pStyle w:val="BodyText"/>
        <w:spacing w:before="157"/>
        <w:ind w:left="0" w:right="27"/>
        <w:jc w:val="both"/>
        <w:rPr>
          <w:color w:val="000000" w:themeColor="text1"/>
          <w:sz w:val="24"/>
          <w:szCs w:val="24"/>
        </w:rPr>
      </w:pPr>
      <w:proofErr w:type="spellStart"/>
      <w:r w:rsidRPr="00C54A03">
        <w:rPr>
          <w:color w:val="000000" w:themeColor="text1"/>
          <w:sz w:val="24"/>
          <w:szCs w:val="24"/>
        </w:rPr>
        <w:t>Evaluarea</w:t>
      </w:r>
      <w:proofErr w:type="spellEnd"/>
      <w:r w:rsidRPr="00C54A03">
        <w:rPr>
          <w:color w:val="000000" w:themeColor="text1"/>
          <w:sz w:val="24"/>
          <w:szCs w:val="24"/>
        </w:rPr>
        <w:t xml:space="preserve"> </w:t>
      </w:r>
      <w:proofErr w:type="spellStart"/>
      <w:r w:rsidRPr="00C54A03">
        <w:rPr>
          <w:color w:val="000000" w:themeColor="text1"/>
          <w:sz w:val="24"/>
          <w:szCs w:val="24"/>
        </w:rPr>
        <w:t>stării</w:t>
      </w:r>
      <w:proofErr w:type="spellEnd"/>
      <w:r w:rsidRPr="00C54A03">
        <w:rPr>
          <w:color w:val="000000" w:themeColor="text1"/>
          <w:sz w:val="24"/>
          <w:szCs w:val="24"/>
        </w:rPr>
        <w:t xml:space="preserve"> de </w:t>
      </w:r>
      <w:proofErr w:type="spellStart"/>
      <w:r w:rsidRPr="00C54A03">
        <w:rPr>
          <w:color w:val="000000" w:themeColor="text1"/>
          <w:sz w:val="24"/>
          <w:szCs w:val="24"/>
        </w:rPr>
        <w:t>conservare</w:t>
      </w:r>
      <w:proofErr w:type="spellEnd"/>
      <w:r w:rsidRPr="00C54A03">
        <w:rPr>
          <w:color w:val="000000" w:themeColor="text1"/>
          <w:sz w:val="24"/>
          <w:szCs w:val="24"/>
        </w:rPr>
        <w:t xml:space="preserve"> se </w:t>
      </w:r>
      <w:proofErr w:type="spellStart"/>
      <w:r w:rsidRPr="00C54A03">
        <w:rPr>
          <w:color w:val="000000" w:themeColor="text1"/>
          <w:sz w:val="24"/>
          <w:szCs w:val="24"/>
        </w:rPr>
        <w:t>realizează</w:t>
      </w:r>
      <w:proofErr w:type="spellEnd"/>
      <w:r w:rsidRPr="00C54A03">
        <w:rPr>
          <w:color w:val="000000" w:themeColor="text1"/>
          <w:sz w:val="24"/>
          <w:szCs w:val="24"/>
        </w:rPr>
        <w:t xml:space="preserve"> </w:t>
      </w:r>
      <w:proofErr w:type="spellStart"/>
      <w:r w:rsidRPr="00C54A03">
        <w:rPr>
          <w:color w:val="000000" w:themeColor="text1"/>
          <w:sz w:val="24"/>
          <w:szCs w:val="24"/>
        </w:rPr>
        <w:t>într</w:t>
      </w:r>
      <w:proofErr w:type="spellEnd"/>
      <w:r w:rsidRPr="00C54A03">
        <w:rPr>
          <w:color w:val="000000" w:themeColor="text1"/>
          <w:sz w:val="24"/>
          <w:szCs w:val="24"/>
        </w:rPr>
        <w:t xml:space="preserve">-un mod </w:t>
      </w:r>
      <w:proofErr w:type="spellStart"/>
      <w:r w:rsidRPr="00C54A03">
        <w:rPr>
          <w:color w:val="000000" w:themeColor="text1"/>
          <w:sz w:val="24"/>
          <w:szCs w:val="24"/>
        </w:rPr>
        <w:t>gregar</w:t>
      </w:r>
      <w:proofErr w:type="spellEnd"/>
      <w:r w:rsidRPr="00C54A03">
        <w:rPr>
          <w:color w:val="000000" w:themeColor="text1"/>
          <w:sz w:val="24"/>
          <w:szCs w:val="24"/>
        </w:rPr>
        <w:t xml:space="preserve"> </w:t>
      </w:r>
      <w:proofErr w:type="spellStart"/>
      <w:r w:rsidRPr="00C54A03">
        <w:rPr>
          <w:color w:val="000000" w:themeColor="text1"/>
          <w:sz w:val="24"/>
          <w:szCs w:val="24"/>
        </w:rPr>
        <w:t>pentru</w:t>
      </w:r>
      <w:proofErr w:type="spellEnd"/>
      <w:r w:rsidRPr="00C54A03">
        <w:rPr>
          <w:color w:val="000000" w:themeColor="text1"/>
          <w:sz w:val="24"/>
          <w:szCs w:val="24"/>
        </w:rPr>
        <w:t xml:space="preserve"> </w:t>
      </w:r>
      <w:proofErr w:type="spellStart"/>
      <w:r w:rsidRPr="00C54A03">
        <w:rPr>
          <w:color w:val="000000" w:themeColor="text1"/>
          <w:sz w:val="24"/>
          <w:szCs w:val="24"/>
        </w:rPr>
        <w:t>fiecare</w:t>
      </w:r>
      <w:proofErr w:type="spellEnd"/>
      <w:r w:rsidRPr="00C54A03">
        <w:rPr>
          <w:color w:val="000000" w:themeColor="text1"/>
          <w:sz w:val="24"/>
          <w:szCs w:val="24"/>
        </w:rPr>
        <w:t xml:space="preserve"> tip de habitat care a</w:t>
      </w:r>
      <w:r w:rsidRPr="00C54A03">
        <w:rPr>
          <w:color w:val="000000" w:themeColor="text1"/>
          <w:spacing w:val="1"/>
          <w:sz w:val="24"/>
          <w:szCs w:val="24"/>
        </w:rPr>
        <w:t xml:space="preserve"> </w:t>
      </w:r>
      <w:proofErr w:type="spellStart"/>
      <w:r w:rsidRPr="00C54A03">
        <w:rPr>
          <w:color w:val="000000" w:themeColor="text1"/>
          <w:sz w:val="24"/>
          <w:szCs w:val="24"/>
        </w:rPr>
        <w:t>fost</w:t>
      </w:r>
      <w:proofErr w:type="spellEnd"/>
      <w:r w:rsidRPr="00C54A03">
        <w:rPr>
          <w:color w:val="000000" w:themeColor="text1"/>
          <w:sz w:val="24"/>
          <w:szCs w:val="24"/>
        </w:rPr>
        <w:t xml:space="preserve"> </w:t>
      </w:r>
      <w:proofErr w:type="spellStart"/>
      <w:r w:rsidRPr="00C54A03">
        <w:rPr>
          <w:color w:val="000000" w:themeColor="text1"/>
          <w:sz w:val="24"/>
          <w:szCs w:val="24"/>
        </w:rPr>
        <w:t>inclus</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checklist, </w:t>
      </w:r>
      <w:proofErr w:type="spellStart"/>
      <w:r w:rsidRPr="00C54A03">
        <w:rPr>
          <w:color w:val="000000" w:themeColor="text1"/>
          <w:sz w:val="24"/>
          <w:szCs w:val="24"/>
        </w:rPr>
        <w:t>raportarea</w:t>
      </w:r>
      <w:proofErr w:type="spellEnd"/>
      <w:r w:rsidRPr="00C54A03">
        <w:rPr>
          <w:color w:val="000000" w:themeColor="text1"/>
          <w:sz w:val="24"/>
          <w:szCs w:val="24"/>
        </w:rPr>
        <w:t xml:space="preserve"> </w:t>
      </w:r>
      <w:proofErr w:type="spellStart"/>
      <w:r w:rsidRPr="00C54A03">
        <w:rPr>
          <w:color w:val="000000" w:themeColor="text1"/>
          <w:sz w:val="24"/>
          <w:szCs w:val="24"/>
        </w:rPr>
        <w:t>realizându</w:t>
      </w:r>
      <w:proofErr w:type="spellEnd"/>
      <w:r w:rsidRPr="00C54A03">
        <w:rPr>
          <w:color w:val="000000" w:themeColor="text1"/>
          <w:sz w:val="24"/>
          <w:szCs w:val="24"/>
        </w:rPr>
        <w:t xml:space="preserve">-se </w:t>
      </w:r>
      <w:proofErr w:type="spellStart"/>
      <w:r w:rsidRPr="00C54A03">
        <w:rPr>
          <w:color w:val="000000" w:themeColor="text1"/>
          <w:sz w:val="24"/>
          <w:szCs w:val="24"/>
        </w:rPr>
        <w:t>pentru</w:t>
      </w:r>
      <w:proofErr w:type="spellEnd"/>
      <w:r w:rsidRPr="00C54A03">
        <w:rPr>
          <w:color w:val="000000" w:themeColor="text1"/>
          <w:sz w:val="24"/>
          <w:szCs w:val="24"/>
        </w:rPr>
        <w:t xml:space="preserve"> </w:t>
      </w:r>
      <w:proofErr w:type="spellStart"/>
      <w:r w:rsidRPr="00C54A03">
        <w:rPr>
          <w:color w:val="000000" w:themeColor="text1"/>
          <w:sz w:val="24"/>
          <w:szCs w:val="24"/>
        </w:rPr>
        <w:t>habitatele</w:t>
      </w:r>
      <w:proofErr w:type="spellEnd"/>
      <w:r w:rsidRPr="00C54A03">
        <w:rPr>
          <w:color w:val="000000" w:themeColor="text1"/>
          <w:sz w:val="24"/>
          <w:szCs w:val="24"/>
        </w:rPr>
        <w:t xml:space="preserve"> </w:t>
      </w:r>
      <w:proofErr w:type="spellStart"/>
      <w:r w:rsidRPr="00C54A03">
        <w:rPr>
          <w:color w:val="000000" w:themeColor="text1"/>
          <w:sz w:val="24"/>
          <w:szCs w:val="24"/>
        </w:rPr>
        <w:t>prezente</w:t>
      </w:r>
      <w:proofErr w:type="spellEnd"/>
      <w:r w:rsidRPr="00C54A03">
        <w:rPr>
          <w:color w:val="000000" w:themeColor="text1"/>
          <w:sz w:val="24"/>
          <w:szCs w:val="24"/>
        </w:rPr>
        <w:t xml:space="preserve"> la </w:t>
      </w:r>
      <w:proofErr w:type="spellStart"/>
      <w:r w:rsidRPr="00C54A03">
        <w:rPr>
          <w:color w:val="000000" w:themeColor="text1"/>
          <w:sz w:val="24"/>
          <w:szCs w:val="24"/>
        </w:rPr>
        <w:t>nivel</w:t>
      </w:r>
      <w:proofErr w:type="spellEnd"/>
      <w:r w:rsidRPr="00C54A03">
        <w:rPr>
          <w:color w:val="000000" w:themeColor="text1"/>
          <w:sz w:val="24"/>
          <w:szCs w:val="24"/>
        </w:rPr>
        <w:t xml:space="preserve"> </w:t>
      </w:r>
      <w:proofErr w:type="spellStart"/>
      <w:r w:rsidRPr="00C54A03">
        <w:rPr>
          <w:color w:val="000000" w:themeColor="text1"/>
          <w:sz w:val="24"/>
          <w:szCs w:val="24"/>
        </w:rPr>
        <w:t>național</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cele</w:t>
      </w:r>
      <w:proofErr w:type="spellEnd"/>
      <w:r w:rsidRPr="00C54A03">
        <w:rPr>
          <w:color w:val="000000" w:themeColor="text1"/>
          <w:sz w:val="24"/>
          <w:szCs w:val="24"/>
        </w:rPr>
        <w:t xml:space="preserve"> 5</w:t>
      </w:r>
      <w:r w:rsidRPr="00C54A03">
        <w:rPr>
          <w:color w:val="000000" w:themeColor="text1"/>
          <w:spacing w:val="-57"/>
          <w:sz w:val="24"/>
          <w:szCs w:val="24"/>
        </w:rPr>
        <w:t xml:space="preserve"> </w:t>
      </w:r>
      <w:proofErr w:type="spellStart"/>
      <w:r w:rsidRPr="00C54A03">
        <w:rPr>
          <w:color w:val="000000" w:themeColor="text1"/>
          <w:sz w:val="24"/>
          <w:szCs w:val="24"/>
        </w:rPr>
        <w:t>bioregiuni</w:t>
      </w:r>
      <w:proofErr w:type="spellEnd"/>
      <w:r w:rsidRPr="00C54A03">
        <w:rPr>
          <w:color w:val="000000" w:themeColor="text1"/>
          <w:spacing w:val="-1"/>
          <w:sz w:val="24"/>
          <w:szCs w:val="24"/>
        </w:rPr>
        <w:t xml:space="preserve"> </w:t>
      </w:r>
      <w:proofErr w:type="spellStart"/>
      <w:r w:rsidRPr="00C54A03">
        <w:rPr>
          <w:color w:val="000000" w:themeColor="text1"/>
          <w:sz w:val="24"/>
          <w:szCs w:val="24"/>
        </w:rPr>
        <w:t>terestre</w:t>
      </w:r>
      <w:proofErr w:type="spellEnd"/>
      <w:r w:rsidRPr="00C54A03">
        <w:rPr>
          <w:color w:val="000000" w:themeColor="text1"/>
          <w:spacing w:val="-1"/>
          <w:sz w:val="24"/>
          <w:szCs w:val="24"/>
        </w:rPr>
        <w:t xml:space="preserve"> </w:t>
      </w:r>
      <w:proofErr w:type="spellStart"/>
      <w:r w:rsidRPr="00C54A03">
        <w:rPr>
          <w:color w:val="000000" w:themeColor="text1"/>
          <w:sz w:val="24"/>
          <w:szCs w:val="24"/>
        </w:rPr>
        <w:t>și</w:t>
      </w:r>
      <w:proofErr w:type="spellEnd"/>
      <w:r w:rsidRPr="00C54A03">
        <w:rPr>
          <w:color w:val="000000" w:themeColor="text1"/>
          <w:spacing w:val="-1"/>
          <w:sz w:val="24"/>
          <w:szCs w:val="24"/>
        </w:rPr>
        <w:t xml:space="preserve"> </w:t>
      </w:r>
      <w:proofErr w:type="spellStart"/>
      <w:r w:rsidRPr="00C54A03">
        <w:rPr>
          <w:color w:val="000000" w:themeColor="text1"/>
          <w:sz w:val="24"/>
          <w:szCs w:val="24"/>
        </w:rPr>
        <w:t>Regiunea</w:t>
      </w:r>
      <w:proofErr w:type="spellEnd"/>
      <w:r w:rsidRPr="00C54A03">
        <w:rPr>
          <w:color w:val="000000" w:themeColor="text1"/>
          <w:spacing w:val="-2"/>
          <w:sz w:val="24"/>
          <w:szCs w:val="24"/>
        </w:rPr>
        <w:t xml:space="preserve"> </w:t>
      </w:r>
      <w:proofErr w:type="spellStart"/>
      <w:r w:rsidRPr="00C54A03">
        <w:rPr>
          <w:color w:val="000000" w:themeColor="text1"/>
          <w:sz w:val="24"/>
          <w:szCs w:val="24"/>
        </w:rPr>
        <w:t>marină</w:t>
      </w:r>
      <w:proofErr w:type="spellEnd"/>
      <w:r w:rsidRPr="00C54A03">
        <w:rPr>
          <w:color w:val="000000" w:themeColor="text1"/>
          <w:sz w:val="24"/>
          <w:szCs w:val="24"/>
        </w:rPr>
        <w:t xml:space="preserve"> Marea</w:t>
      </w:r>
      <w:r w:rsidRPr="00C54A03">
        <w:rPr>
          <w:color w:val="000000" w:themeColor="text1"/>
          <w:spacing w:val="-1"/>
          <w:sz w:val="24"/>
          <w:szCs w:val="24"/>
        </w:rPr>
        <w:t xml:space="preserve"> </w:t>
      </w:r>
      <w:proofErr w:type="spellStart"/>
      <w:r w:rsidRPr="00C54A03">
        <w:rPr>
          <w:color w:val="000000" w:themeColor="text1"/>
          <w:sz w:val="24"/>
          <w:szCs w:val="24"/>
        </w:rPr>
        <w:t>Neagră</w:t>
      </w:r>
      <w:proofErr w:type="spellEnd"/>
      <w:r w:rsidRPr="00C54A03">
        <w:rPr>
          <w:color w:val="000000" w:themeColor="text1"/>
          <w:sz w:val="24"/>
          <w:szCs w:val="24"/>
        </w:rPr>
        <w:t>.</w:t>
      </w:r>
    </w:p>
    <w:p w14:paraId="6A7C78A3" w14:textId="77777777" w:rsidR="007702CD" w:rsidRPr="00C54A03" w:rsidRDefault="007702CD" w:rsidP="00D97209">
      <w:pPr>
        <w:pStyle w:val="BodyText"/>
        <w:ind w:left="0" w:right="27"/>
        <w:jc w:val="both"/>
        <w:rPr>
          <w:color w:val="000000" w:themeColor="text1"/>
          <w:sz w:val="24"/>
          <w:szCs w:val="24"/>
          <w:lang w:val="fr-FR"/>
        </w:rPr>
      </w:pPr>
      <w:proofErr w:type="spellStart"/>
      <w:r w:rsidRPr="00C54A03">
        <w:rPr>
          <w:color w:val="000000" w:themeColor="text1"/>
          <w:sz w:val="24"/>
          <w:szCs w:val="24"/>
        </w:rPr>
        <w:t>Simplificat</w:t>
      </w:r>
      <w:proofErr w:type="spellEnd"/>
      <w:r w:rsidRPr="00C54A03">
        <w:rPr>
          <w:color w:val="000000" w:themeColor="text1"/>
          <w:sz w:val="24"/>
          <w:szCs w:val="24"/>
        </w:rPr>
        <w:t xml:space="preserve">, </w:t>
      </w:r>
      <w:proofErr w:type="spellStart"/>
      <w:r w:rsidRPr="00C54A03">
        <w:rPr>
          <w:color w:val="000000" w:themeColor="text1"/>
          <w:sz w:val="24"/>
          <w:szCs w:val="24"/>
        </w:rPr>
        <w:t>starea</w:t>
      </w:r>
      <w:proofErr w:type="spellEnd"/>
      <w:r w:rsidRPr="00C54A03">
        <w:rPr>
          <w:color w:val="000000" w:themeColor="text1"/>
          <w:sz w:val="24"/>
          <w:szCs w:val="24"/>
        </w:rPr>
        <w:t xml:space="preserve"> de </w:t>
      </w:r>
      <w:proofErr w:type="spellStart"/>
      <w:r w:rsidRPr="00C54A03">
        <w:rPr>
          <w:color w:val="000000" w:themeColor="text1"/>
          <w:sz w:val="24"/>
          <w:szCs w:val="24"/>
        </w:rPr>
        <w:t>conservare</w:t>
      </w:r>
      <w:proofErr w:type="spellEnd"/>
      <w:r w:rsidRPr="00C54A03">
        <w:rPr>
          <w:color w:val="000000" w:themeColor="text1"/>
          <w:sz w:val="24"/>
          <w:szCs w:val="24"/>
        </w:rPr>
        <w:t xml:space="preserve"> </w:t>
      </w:r>
      <w:proofErr w:type="spellStart"/>
      <w:r w:rsidRPr="00C54A03">
        <w:rPr>
          <w:color w:val="000000" w:themeColor="text1"/>
          <w:sz w:val="24"/>
          <w:szCs w:val="24"/>
        </w:rPr>
        <w:t>favorabilă</w:t>
      </w:r>
      <w:proofErr w:type="spellEnd"/>
      <w:r w:rsidRPr="00C54A03">
        <w:rPr>
          <w:color w:val="000000" w:themeColor="text1"/>
          <w:sz w:val="24"/>
          <w:szCs w:val="24"/>
        </w:rPr>
        <w:t xml:space="preserve"> </w:t>
      </w:r>
      <w:proofErr w:type="spellStart"/>
      <w:r w:rsidRPr="00C54A03">
        <w:rPr>
          <w:color w:val="000000" w:themeColor="text1"/>
          <w:sz w:val="24"/>
          <w:szCs w:val="24"/>
        </w:rPr>
        <w:t>poate</w:t>
      </w:r>
      <w:proofErr w:type="spellEnd"/>
      <w:r w:rsidRPr="00C54A03">
        <w:rPr>
          <w:color w:val="000000" w:themeColor="text1"/>
          <w:sz w:val="24"/>
          <w:szCs w:val="24"/>
        </w:rPr>
        <w:t xml:space="preserve"> fi </w:t>
      </w:r>
      <w:proofErr w:type="spellStart"/>
      <w:r w:rsidRPr="00C54A03">
        <w:rPr>
          <w:color w:val="000000" w:themeColor="text1"/>
          <w:sz w:val="24"/>
          <w:szCs w:val="24"/>
        </w:rPr>
        <w:t>descrisă</w:t>
      </w:r>
      <w:proofErr w:type="spellEnd"/>
      <w:r w:rsidRPr="00C54A03">
        <w:rPr>
          <w:color w:val="000000" w:themeColor="text1"/>
          <w:sz w:val="24"/>
          <w:szCs w:val="24"/>
        </w:rPr>
        <w:t xml:space="preserve"> ca </w:t>
      </w:r>
      <w:proofErr w:type="spellStart"/>
      <w:r w:rsidRPr="00C54A03">
        <w:rPr>
          <w:color w:val="000000" w:themeColor="text1"/>
          <w:sz w:val="24"/>
          <w:szCs w:val="24"/>
        </w:rPr>
        <w:t>situaţia</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care un</w:t>
      </w:r>
      <w:r w:rsidRPr="00C54A03">
        <w:rPr>
          <w:color w:val="000000" w:themeColor="text1"/>
          <w:spacing w:val="60"/>
          <w:sz w:val="24"/>
          <w:szCs w:val="24"/>
        </w:rPr>
        <w:t xml:space="preserve"> </w:t>
      </w:r>
      <w:r w:rsidRPr="00C54A03">
        <w:rPr>
          <w:color w:val="000000" w:themeColor="text1"/>
          <w:sz w:val="24"/>
          <w:szCs w:val="24"/>
        </w:rPr>
        <w:t xml:space="preserve">tip de habitat </w:t>
      </w:r>
      <w:proofErr w:type="spellStart"/>
      <w:r w:rsidRPr="00C54A03">
        <w:rPr>
          <w:color w:val="000000" w:themeColor="text1"/>
          <w:sz w:val="24"/>
          <w:szCs w:val="24"/>
        </w:rPr>
        <w:t>sau</w:t>
      </w:r>
      <w:proofErr w:type="spellEnd"/>
      <w:r w:rsidRPr="00C54A03">
        <w:rPr>
          <w:color w:val="000000" w:themeColor="text1"/>
          <w:spacing w:val="1"/>
          <w:sz w:val="24"/>
          <w:szCs w:val="24"/>
        </w:rPr>
        <w:t xml:space="preserve"> </w:t>
      </w:r>
      <w:r w:rsidRPr="00C54A03">
        <w:rPr>
          <w:color w:val="000000" w:themeColor="text1"/>
          <w:sz w:val="24"/>
          <w:szCs w:val="24"/>
        </w:rPr>
        <w:t xml:space="preserve">o specie </w:t>
      </w:r>
      <w:proofErr w:type="spellStart"/>
      <w:r w:rsidRPr="00C54A03">
        <w:rPr>
          <w:color w:val="000000" w:themeColor="text1"/>
          <w:sz w:val="24"/>
          <w:szCs w:val="24"/>
        </w:rPr>
        <w:t>prosperă</w:t>
      </w:r>
      <w:proofErr w:type="spellEnd"/>
      <w:r w:rsidRPr="00C54A03">
        <w:rPr>
          <w:color w:val="000000" w:themeColor="text1"/>
          <w:sz w:val="24"/>
          <w:szCs w:val="24"/>
        </w:rPr>
        <w:t xml:space="preserve"> (</w:t>
      </w:r>
      <w:proofErr w:type="spellStart"/>
      <w:r w:rsidRPr="00C54A03">
        <w:rPr>
          <w:color w:val="000000" w:themeColor="text1"/>
          <w:sz w:val="24"/>
          <w:szCs w:val="24"/>
        </w:rPr>
        <w:t>atât</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ceea</w:t>
      </w:r>
      <w:proofErr w:type="spellEnd"/>
      <w:r w:rsidRPr="00C54A03">
        <w:rPr>
          <w:color w:val="000000" w:themeColor="text1"/>
          <w:sz w:val="24"/>
          <w:szCs w:val="24"/>
        </w:rPr>
        <w:t xml:space="preserve"> </w:t>
      </w:r>
      <w:proofErr w:type="spellStart"/>
      <w:r w:rsidRPr="00C54A03">
        <w:rPr>
          <w:color w:val="000000" w:themeColor="text1"/>
          <w:sz w:val="24"/>
          <w:szCs w:val="24"/>
        </w:rPr>
        <w:t>ce</w:t>
      </w:r>
      <w:proofErr w:type="spellEnd"/>
      <w:r w:rsidRPr="00C54A03">
        <w:rPr>
          <w:color w:val="000000" w:themeColor="text1"/>
          <w:sz w:val="24"/>
          <w:szCs w:val="24"/>
        </w:rPr>
        <w:t xml:space="preserve"> </w:t>
      </w:r>
      <w:proofErr w:type="spellStart"/>
      <w:r w:rsidRPr="00C54A03">
        <w:rPr>
          <w:color w:val="000000" w:themeColor="text1"/>
          <w:sz w:val="24"/>
          <w:szCs w:val="24"/>
        </w:rPr>
        <w:t>priveşte</w:t>
      </w:r>
      <w:proofErr w:type="spellEnd"/>
      <w:r w:rsidRPr="00C54A03">
        <w:rPr>
          <w:color w:val="000000" w:themeColor="text1"/>
          <w:sz w:val="24"/>
          <w:szCs w:val="24"/>
        </w:rPr>
        <w:t xml:space="preserve"> </w:t>
      </w:r>
      <w:proofErr w:type="spellStart"/>
      <w:r w:rsidRPr="00C54A03">
        <w:rPr>
          <w:color w:val="000000" w:themeColor="text1"/>
          <w:sz w:val="24"/>
          <w:szCs w:val="24"/>
        </w:rPr>
        <w:t>suprafaţa</w:t>
      </w:r>
      <w:proofErr w:type="spellEnd"/>
      <w:r w:rsidRPr="00C54A03">
        <w:rPr>
          <w:color w:val="000000" w:themeColor="text1"/>
          <w:sz w:val="24"/>
          <w:szCs w:val="24"/>
        </w:rPr>
        <w:t xml:space="preserve"> </w:t>
      </w:r>
      <w:proofErr w:type="spellStart"/>
      <w:r w:rsidRPr="00C54A03">
        <w:rPr>
          <w:color w:val="000000" w:themeColor="text1"/>
          <w:sz w:val="24"/>
          <w:szCs w:val="24"/>
        </w:rPr>
        <w:t>şi</w:t>
      </w:r>
      <w:proofErr w:type="spellEnd"/>
      <w:r w:rsidRPr="00C54A03">
        <w:rPr>
          <w:color w:val="000000" w:themeColor="text1"/>
          <w:sz w:val="24"/>
          <w:szCs w:val="24"/>
        </w:rPr>
        <w:t xml:space="preserve"> </w:t>
      </w:r>
      <w:proofErr w:type="spellStart"/>
      <w:r w:rsidRPr="00C54A03">
        <w:rPr>
          <w:color w:val="000000" w:themeColor="text1"/>
          <w:sz w:val="24"/>
          <w:szCs w:val="24"/>
        </w:rPr>
        <w:t>mărimea</w:t>
      </w:r>
      <w:proofErr w:type="spellEnd"/>
      <w:r w:rsidRPr="00C54A03">
        <w:rPr>
          <w:color w:val="000000" w:themeColor="text1"/>
          <w:sz w:val="24"/>
          <w:szCs w:val="24"/>
        </w:rPr>
        <w:t xml:space="preserve"> </w:t>
      </w:r>
      <w:proofErr w:type="spellStart"/>
      <w:r w:rsidRPr="00C54A03">
        <w:rPr>
          <w:color w:val="000000" w:themeColor="text1"/>
          <w:sz w:val="24"/>
          <w:szCs w:val="24"/>
        </w:rPr>
        <w:t>populaţiei</w:t>
      </w:r>
      <w:proofErr w:type="spellEnd"/>
      <w:r w:rsidRPr="00C54A03">
        <w:rPr>
          <w:color w:val="000000" w:themeColor="text1"/>
          <w:sz w:val="24"/>
          <w:szCs w:val="24"/>
        </w:rPr>
        <w:t xml:space="preserve">, </w:t>
      </w:r>
      <w:proofErr w:type="spellStart"/>
      <w:r w:rsidRPr="00C54A03">
        <w:rPr>
          <w:color w:val="000000" w:themeColor="text1"/>
          <w:sz w:val="24"/>
          <w:szCs w:val="24"/>
        </w:rPr>
        <w:t>cât</w:t>
      </w:r>
      <w:proofErr w:type="spellEnd"/>
      <w:r w:rsidRPr="00C54A03">
        <w:rPr>
          <w:color w:val="000000" w:themeColor="text1"/>
          <w:sz w:val="24"/>
          <w:szCs w:val="24"/>
        </w:rPr>
        <w:t xml:space="preserve"> </w:t>
      </w:r>
      <w:proofErr w:type="spellStart"/>
      <w:r w:rsidRPr="00C54A03">
        <w:rPr>
          <w:color w:val="000000" w:themeColor="text1"/>
          <w:sz w:val="24"/>
          <w:szCs w:val="24"/>
        </w:rPr>
        <w:t>şi</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ceea</w:t>
      </w:r>
      <w:proofErr w:type="spellEnd"/>
      <w:r w:rsidRPr="00C54A03">
        <w:rPr>
          <w:color w:val="000000" w:themeColor="text1"/>
          <w:sz w:val="24"/>
          <w:szCs w:val="24"/>
        </w:rPr>
        <w:t xml:space="preserve"> </w:t>
      </w:r>
      <w:proofErr w:type="spellStart"/>
      <w:r w:rsidRPr="00C54A03">
        <w:rPr>
          <w:color w:val="000000" w:themeColor="text1"/>
          <w:sz w:val="24"/>
          <w:szCs w:val="24"/>
        </w:rPr>
        <w:t>ce</w:t>
      </w:r>
      <w:proofErr w:type="spellEnd"/>
      <w:r w:rsidRPr="00C54A03">
        <w:rPr>
          <w:color w:val="000000" w:themeColor="text1"/>
          <w:sz w:val="24"/>
          <w:szCs w:val="24"/>
        </w:rPr>
        <w:t xml:space="preserve"> </w:t>
      </w:r>
      <w:proofErr w:type="spellStart"/>
      <w:r w:rsidRPr="00C54A03">
        <w:rPr>
          <w:color w:val="000000" w:themeColor="text1"/>
          <w:sz w:val="24"/>
          <w:szCs w:val="24"/>
        </w:rPr>
        <w:t>priveşte</w:t>
      </w:r>
      <w:proofErr w:type="spellEnd"/>
      <w:r w:rsidRPr="00C54A03">
        <w:rPr>
          <w:color w:val="000000" w:themeColor="text1"/>
          <w:spacing w:val="1"/>
          <w:sz w:val="24"/>
          <w:szCs w:val="24"/>
        </w:rPr>
        <w:t xml:space="preserve"> </w:t>
      </w:r>
      <w:proofErr w:type="spellStart"/>
      <w:r w:rsidRPr="00C54A03">
        <w:rPr>
          <w:color w:val="000000" w:themeColor="text1"/>
          <w:sz w:val="24"/>
          <w:szCs w:val="24"/>
        </w:rPr>
        <w:t>calitatea</w:t>
      </w:r>
      <w:proofErr w:type="spellEnd"/>
      <w:r w:rsidRPr="00C54A03">
        <w:rPr>
          <w:color w:val="000000" w:themeColor="text1"/>
          <w:sz w:val="24"/>
          <w:szCs w:val="24"/>
        </w:rPr>
        <w:t xml:space="preserve"> </w:t>
      </w:r>
      <w:proofErr w:type="spellStart"/>
      <w:r w:rsidRPr="00C54A03">
        <w:rPr>
          <w:color w:val="000000" w:themeColor="text1"/>
          <w:sz w:val="24"/>
          <w:szCs w:val="24"/>
        </w:rPr>
        <w:t>populaţiei</w:t>
      </w:r>
      <w:proofErr w:type="spellEnd"/>
      <w:r w:rsidRPr="00C54A03">
        <w:rPr>
          <w:color w:val="000000" w:themeColor="text1"/>
          <w:sz w:val="24"/>
          <w:szCs w:val="24"/>
        </w:rPr>
        <w:t xml:space="preserve">, </w:t>
      </w:r>
      <w:proofErr w:type="spellStart"/>
      <w:r w:rsidRPr="00C54A03">
        <w:rPr>
          <w:color w:val="000000" w:themeColor="text1"/>
          <w:sz w:val="24"/>
          <w:szCs w:val="24"/>
        </w:rPr>
        <w:t>inclusiv</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sensul</w:t>
      </w:r>
      <w:proofErr w:type="spellEnd"/>
      <w:r w:rsidRPr="00C54A03">
        <w:rPr>
          <w:color w:val="000000" w:themeColor="text1"/>
          <w:sz w:val="24"/>
          <w:szCs w:val="24"/>
        </w:rPr>
        <w:t xml:space="preserve"> </w:t>
      </w:r>
      <w:proofErr w:type="spellStart"/>
      <w:r w:rsidRPr="00C54A03">
        <w:rPr>
          <w:color w:val="000000" w:themeColor="text1"/>
          <w:sz w:val="24"/>
          <w:szCs w:val="24"/>
        </w:rPr>
        <w:t>capacităţii</w:t>
      </w:r>
      <w:proofErr w:type="spellEnd"/>
      <w:r w:rsidRPr="00C54A03">
        <w:rPr>
          <w:color w:val="000000" w:themeColor="text1"/>
          <w:sz w:val="24"/>
          <w:szCs w:val="24"/>
        </w:rPr>
        <w:t xml:space="preserve"> de </w:t>
      </w:r>
      <w:proofErr w:type="spellStart"/>
      <w:r w:rsidRPr="00C54A03">
        <w:rPr>
          <w:color w:val="000000" w:themeColor="text1"/>
          <w:sz w:val="24"/>
          <w:szCs w:val="24"/>
        </w:rPr>
        <w:t>reproducere</w:t>
      </w:r>
      <w:proofErr w:type="spellEnd"/>
      <w:r w:rsidRPr="00C54A03">
        <w:rPr>
          <w:color w:val="000000" w:themeColor="text1"/>
          <w:sz w:val="24"/>
          <w:szCs w:val="24"/>
        </w:rPr>
        <w:t xml:space="preserve">, </w:t>
      </w:r>
      <w:proofErr w:type="spellStart"/>
      <w:r w:rsidRPr="00C54A03">
        <w:rPr>
          <w:color w:val="000000" w:themeColor="text1"/>
          <w:sz w:val="24"/>
          <w:szCs w:val="24"/>
        </w:rPr>
        <w:t>structurii</w:t>
      </w:r>
      <w:proofErr w:type="spellEnd"/>
      <w:r w:rsidRPr="00C54A03">
        <w:rPr>
          <w:color w:val="000000" w:themeColor="text1"/>
          <w:sz w:val="24"/>
          <w:szCs w:val="24"/>
        </w:rPr>
        <w:t xml:space="preserve"> pe </w:t>
      </w:r>
      <w:proofErr w:type="spellStart"/>
      <w:r w:rsidRPr="00C54A03">
        <w:rPr>
          <w:color w:val="000000" w:themeColor="text1"/>
          <w:sz w:val="24"/>
          <w:szCs w:val="24"/>
        </w:rPr>
        <w:t>vârste</w:t>
      </w:r>
      <w:proofErr w:type="spellEnd"/>
      <w:r w:rsidRPr="00C54A03">
        <w:rPr>
          <w:color w:val="000000" w:themeColor="text1"/>
          <w:sz w:val="24"/>
          <w:szCs w:val="24"/>
        </w:rPr>
        <w:t xml:space="preserve">, </w:t>
      </w:r>
      <w:proofErr w:type="spellStart"/>
      <w:r w:rsidRPr="00C54A03">
        <w:rPr>
          <w:color w:val="000000" w:themeColor="text1"/>
          <w:sz w:val="24"/>
          <w:szCs w:val="24"/>
        </w:rPr>
        <w:t>mortalităţii</w:t>
      </w:r>
      <w:proofErr w:type="spellEnd"/>
      <w:r w:rsidRPr="00C54A03">
        <w:rPr>
          <w:color w:val="000000" w:themeColor="text1"/>
          <w:sz w:val="24"/>
          <w:szCs w:val="24"/>
        </w:rPr>
        <w:t xml:space="preserve">) </w:t>
      </w:r>
      <w:proofErr w:type="spellStart"/>
      <w:r w:rsidRPr="00C54A03">
        <w:rPr>
          <w:color w:val="000000" w:themeColor="text1"/>
          <w:sz w:val="24"/>
          <w:szCs w:val="24"/>
        </w:rPr>
        <w:t>şi</w:t>
      </w:r>
      <w:proofErr w:type="spellEnd"/>
      <w:r w:rsidRPr="00C54A03">
        <w:rPr>
          <w:color w:val="000000" w:themeColor="text1"/>
          <w:spacing w:val="1"/>
          <w:sz w:val="24"/>
          <w:szCs w:val="24"/>
        </w:rPr>
        <w:t xml:space="preserve"> </w:t>
      </w:r>
      <w:proofErr w:type="spellStart"/>
      <w:r w:rsidRPr="00C54A03">
        <w:rPr>
          <w:color w:val="000000" w:themeColor="text1"/>
          <w:sz w:val="24"/>
          <w:szCs w:val="24"/>
        </w:rPr>
        <w:t>există</w:t>
      </w:r>
      <w:proofErr w:type="spellEnd"/>
      <w:r w:rsidRPr="00C54A03">
        <w:rPr>
          <w:color w:val="000000" w:themeColor="text1"/>
          <w:sz w:val="24"/>
          <w:szCs w:val="24"/>
        </w:rPr>
        <w:t xml:space="preserve"> </w:t>
      </w:r>
      <w:proofErr w:type="spellStart"/>
      <w:r w:rsidRPr="00C54A03">
        <w:rPr>
          <w:color w:val="000000" w:themeColor="text1"/>
          <w:sz w:val="24"/>
          <w:szCs w:val="24"/>
        </w:rPr>
        <w:t>perspectivele</w:t>
      </w:r>
      <w:proofErr w:type="spellEnd"/>
      <w:r w:rsidRPr="00C54A03">
        <w:rPr>
          <w:color w:val="000000" w:themeColor="text1"/>
          <w:sz w:val="24"/>
          <w:szCs w:val="24"/>
        </w:rPr>
        <w:t xml:space="preserve"> </w:t>
      </w:r>
      <w:proofErr w:type="spellStart"/>
      <w:r w:rsidRPr="00C54A03">
        <w:rPr>
          <w:color w:val="000000" w:themeColor="text1"/>
          <w:sz w:val="24"/>
          <w:szCs w:val="24"/>
        </w:rPr>
        <w:t>să</w:t>
      </w:r>
      <w:proofErr w:type="spellEnd"/>
      <w:r w:rsidRPr="00C54A03">
        <w:rPr>
          <w:color w:val="000000" w:themeColor="text1"/>
          <w:sz w:val="24"/>
          <w:szCs w:val="24"/>
        </w:rPr>
        <w:t xml:space="preserve"> </w:t>
      </w:r>
      <w:proofErr w:type="spellStart"/>
      <w:r w:rsidRPr="00C54A03">
        <w:rPr>
          <w:color w:val="000000" w:themeColor="text1"/>
          <w:sz w:val="24"/>
          <w:szCs w:val="24"/>
        </w:rPr>
        <w:t>prospere</w:t>
      </w:r>
      <w:proofErr w:type="spellEnd"/>
      <w:r w:rsidRPr="00C54A03">
        <w:rPr>
          <w:color w:val="000000" w:themeColor="text1"/>
          <w:sz w:val="24"/>
          <w:szCs w:val="24"/>
        </w:rPr>
        <w:t xml:space="preserve"> de </w:t>
      </w:r>
      <w:proofErr w:type="spellStart"/>
      <w:r w:rsidRPr="00C54A03">
        <w:rPr>
          <w:color w:val="000000" w:themeColor="text1"/>
          <w:sz w:val="24"/>
          <w:szCs w:val="24"/>
        </w:rPr>
        <w:t>asemenea</w:t>
      </w:r>
      <w:proofErr w:type="spellEnd"/>
      <w:r w:rsidRPr="00C54A03">
        <w:rPr>
          <w:color w:val="000000" w:themeColor="text1"/>
          <w:sz w:val="24"/>
          <w:szCs w:val="24"/>
        </w:rPr>
        <w:t xml:space="preserve"> </w:t>
      </w:r>
      <w:proofErr w:type="spellStart"/>
      <w:r w:rsidRPr="00C54A03">
        <w:rPr>
          <w:color w:val="000000" w:themeColor="text1"/>
          <w:sz w:val="24"/>
          <w:szCs w:val="24"/>
        </w:rPr>
        <w:t>şi</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viitor</w:t>
      </w:r>
      <w:proofErr w:type="spellEnd"/>
      <w:r w:rsidRPr="00C54A03">
        <w:rPr>
          <w:color w:val="000000" w:themeColor="text1"/>
          <w:sz w:val="24"/>
          <w:szCs w:val="24"/>
        </w:rPr>
        <w:t xml:space="preserve"> </w:t>
      </w:r>
      <w:proofErr w:type="spellStart"/>
      <w:r w:rsidRPr="00C54A03">
        <w:rPr>
          <w:color w:val="000000" w:themeColor="text1"/>
          <w:sz w:val="24"/>
          <w:szCs w:val="24"/>
        </w:rPr>
        <w:t>fără</w:t>
      </w:r>
      <w:proofErr w:type="spellEnd"/>
      <w:r w:rsidRPr="00C54A03">
        <w:rPr>
          <w:color w:val="000000" w:themeColor="text1"/>
          <w:sz w:val="24"/>
          <w:szCs w:val="24"/>
        </w:rPr>
        <w:t xml:space="preserve"> </w:t>
      </w:r>
      <w:proofErr w:type="spellStart"/>
      <w:r w:rsidRPr="00C54A03">
        <w:rPr>
          <w:color w:val="000000" w:themeColor="text1"/>
          <w:sz w:val="24"/>
          <w:szCs w:val="24"/>
        </w:rPr>
        <w:t>modificări</w:t>
      </w:r>
      <w:proofErr w:type="spellEnd"/>
      <w:r w:rsidRPr="00C54A03">
        <w:rPr>
          <w:color w:val="000000" w:themeColor="text1"/>
          <w:sz w:val="24"/>
          <w:szCs w:val="24"/>
        </w:rPr>
        <w:t xml:space="preserve"> </w:t>
      </w:r>
      <w:proofErr w:type="spellStart"/>
      <w:r w:rsidRPr="00C54A03">
        <w:rPr>
          <w:color w:val="000000" w:themeColor="text1"/>
          <w:sz w:val="24"/>
          <w:szCs w:val="24"/>
        </w:rPr>
        <w:t>semnificative</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politicile</w:t>
      </w:r>
      <w:proofErr w:type="spellEnd"/>
      <w:r w:rsidRPr="00C54A03">
        <w:rPr>
          <w:color w:val="000000" w:themeColor="text1"/>
          <w:sz w:val="24"/>
          <w:szCs w:val="24"/>
        </w:rPr>
        <w:t xml:space="preserve"> </w:t>
      </w:r>
      <w:proofErr w:type="spellStart"/>
      <w:r w:rsidRPr="00C54A03">
        <w:rPr>
          <w:color w:val="000000" w:themeColor="text1"/>
          <w:sz w:val="24"/>
          <w:szCs w:val="24"/>
        </w:rPr>
        <w:t>şi</w:t>
      </w:r>
      <w:proofErr w:type="spellEnd"/>
      <w:r w:rsidRPr="00C54A03">
        <w:rPr>
          <w:color w:val="000000" w:themeColor="text1"/>
          <w:spacing w:val="1"/>
          <w:sz w:val="24"/>
          <w:szCs w:val="24"/>
        </w:rPr>
        <w:t xml:space="preserve"> </w:t>
      </w:r>
      <w:proofErr w:type="spellStart"/>
      <w:r w:rsidRPr="00C54A03">
        <w:rPr>
          <w:color w:val="000000" w:themeColor="text1"/>
          <w:sz w:val="24"/>
          <w:szCs w:val="24"/>
        </w:rPr>
        <w:t>managementul</w:t>
      </w:r>
      <w:proofErr w:type="spellEnd"/>
      <w:r w:rsidRPr="00C54A03">
        <w:rPr>
          <w:color w:val="000000" w:themeColor="text1"/>
          <w:sz w:val="24"/>
          <w:szCs w:val="24"/>
        </w:rPr>
        <w:t xml:space="preserve"> existent. </w:t>
      </w:r>
      <w:proofErr w:type="spellStart"/>
      <w:r w:rsidRPr="00C54A03">
        <w:rPr>
          <w:color w:val="000000" w:themeColor="text1"/>
          <w:sz w:val="24"/>
          <w:szCs w:val="24"/>
          <w:lang w:val="fr-FR"/>
        </w:rPr>
        <w:t>Faptul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că</w:t>
      </w:r>
      <w:proofErr w:type="spellEnd"/>
      <w:r w:rsidRPr="00C54A03">
        <w:rPr>
          <w:color w:val="000000" w:themeColor="text1"/>
          <w:sz w:val="24"/>
          <w:szCs w:val="24"/>
          <w:lang w:val="fr-FR"/>
        </w:rPr>
        <w:t xml:space="preserve"> un </w:t>
      </w:r>
      <w:proofErr w:type="spellStart"/>
      <w:r w:rsidRPr="00C54A03">
        <w:rPr>
          <w:color w:val="000000" w:themeColor="text1"/>
          <w:sz w:val="24"/>
          <w:szCs w:val="24"/>
          <w:lang w:val="fr-FR"/>
        </w:rPr>
        <w:t>tip</w:t>
      </w:r>
      <w:proofErr w:type="spellEnd"/>
      <w:r w:rsidRPr="00C54A03">
        <w:rPr>
          <w:color w:val="000000" w:themeColor="text1"/>
          <w:sz w:val="24"/>
          <w:szCs w:val="24"/>
          <w:lang w:val="fr-FR"/>
        </w:rPr>
        <w:t xml:space="preserve"> de habitat </w:t>
      </w:r>
      <w:proofErr w:type="spellStart"/>
      <w:r w:rsidRPr="00C54A03">
        <w:rPr>
          <w:color w:val="000000" w:themeColor="text1"/>
          <w:sz w:val="24"/>
          <w:szCs w:val="24"/>
          <w:lang w:val="fr-FR"/>
        </w:rPr>
        <w:t>sau</w:t>
      </w:r>
      <w:proofErr w:type="spellEnd"/>
      <w:r w:rsidRPr="00C54A03">
        <w:rPr>
          <w:color w:val="000000" w:themeColor="text1"/>
          <w:sz w:val="24"/>
          <w:szCs w:val="24"/>
          <w:lang w:val="fr-FR"/>
        </w:rPr>
        <w:t xml:space="preserve"> o </w:t>
      </w:r>
      <w:proofErr w:type="spellStart"/>
      <w:r w:rsidRPr="00C54A03">
        <w:rPr>
          <w:color w:val="000000" w:themeColor="text1"/>
          <w:sz w:val="24"/>
          <w:szCs w:val="24"/>
          <w:lang w:val="fr-FR"/>
        </w:rPr>
        <w:t>specie</w:t>
      </w:r>
      <w:proofErr w:type="spellEnd"/>
      <w:r w:rsidRPr="00C54A03">
        <w:rPr>
          <w:color w:val="000000" w:themeColor="text1"/>
          <w:sz w:val="24"/>
          <w:szCs w:val="24"/>
          <w:lang w:val="fr-FR"/>
        </w:rPr>
        <w:t xml:space="preserve"> nu</w:t>
      </w:r>
      <w:r w:rsidRPr="00C54A03">
        <w:rPr>
          <w:color w:val="000000" w:themeColor="text1"/>
          <w:spacing w:val="60"/>
          <w:sz w:val="24"/>
          <w:szCs w:val="24"/>
          <w:lang w:val="fr-FR"/>
        </w:rPr>
        <w:t xml:space="preserve"> </w:t>
      </w:r>
      <w:proofErr w:type="spellStart"/>
      <w:r w:rsidRPr="00C54A03">
        <w:rPr>
          <w:color w:val="000000" w:themeColor="text1"/>
          <w:sz w:val="24"/>
          <w:szCs w:val="24"/>
          <w:lang w:val="fr-FR"/>
        </w:rPr>
        <w:t>sunt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ameninţate</w:t>
      </w:r>
      <w:proofErr w:type="spellEnd"/>
      <w:r w:rsidRPr="00C54A03">
        <w:rPr>
          <w:color w:val="000000" w:themeColor="text1"/>
          <w:sz w:val="24"/>
          <w:szCs w:val="24"/>
          <w:lang w:val="fr-FR"/>
        </w:rPr>
        <w:t xml:space="preserve"> (ex: nu </w:t>
      </w:r>
      <w:proofErr w:type="spellStart"/>
      <w:r w:rsidRPr="00C54A03">
        <w:rPr>
          <w:color w:val="000000" w:themeColor="text1"/>
          <w:sz w:val="24"/>
          <w:szCs w:val="24"/>
          <w:lang w:val="fr-FR"/>
        </w:rPr>
        <w:t>există</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nici</w:t>
      </w:r>
      <w:proofErr w:type="spellEnd"/>
      <w:r w:rsidRPr="00C54A03">
        <w:rPr>
          <w:color w:val="000000" w:themeColor="text1"/>
          <w:sz w:val="24"/>
          <w:szCs w:val="24"/>
          <w:lang w:val="fr-FR"/>
        </w:rPr>
        <w:t xml:space="preserve"> un </w:t>
      </w:r>
      <w:proofErr w:type="spellStart"/>
      <w:r w:rsidRPr="00C54A03">
        <w:rPr>
          <w:color w:val="000000" w:themeColor="text1"/>
          <w:sz w:val="24"/>
          <w:szCs w:val="24"/>
          <w:lang w:val="fr-FR"/>
        </w:rPr>
        <w:t>risc</w:t>
      </w:r>
      <w:proofErr w:type="spellEnd"/>
      <w:r w:rsidRPr="00C54A03">
        <w:rPr>
          <w:color w:val="000000" w:themeColor="text1"/>
          <w:sz w:val="24"/>
          <w:szCs w:val="24"/>
          <w:lang w:val="fr-FR"/>
        </w:rPr>
        <w:t xml:space="preserve"> direct </w:t>
      </w:r>
      <w:proofErr w:type="spellStart"/>
      <w:r w:rsidRPr="00C54A03">
        <w:rPr>
          <w:color w:val="000000" w:themeColor="text1"/>
          <w:sz w:val="24"/>
          <w:szCs w:val="24"/>
          <w:lang w:val="fr-FR"/>
        </w:rPr>
        <w:t>să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devină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extincte</w:t>
      </w:r>
      <w:proofErr w:type="spellEnd"/>
      <w:r w:rsidRPr="00C54A03">
        <w:rPr>
          <w:color w:val="000000" w:themeColor="text1"/>
          <w:sz w:val="24"/>
          <w:szCs w:val="24"/>
          <w:lang w:val="fr-FR"/>
        </w:rPr>
        <w:t xml:space="preserve">) nu </w:t>
      </w:r>
      <w:proofErr w:type="spellStart"/>
      <w:r w:rsidRPr="00C54A03">
        <w:rPr>
          <w:color w:val="000000" w:themeColor="text1"/>
          <w:sz w:val="24"/>
          <w:szCs w:val="24"/>
          <w:lang w:val="fr-FR"/>
        </w:rPr>
        <w:t>înseamnă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acestea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sunt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stare</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conservare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favorabilă</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Obiectivul</w:t>
      </w:r>
      <w:proofErr w:type="spellEnd"/>
      <w:r w:rsidRPr="00C54A03">
        <w:rPr>
          <w:color w:val="000000" w:themeColor="text1"/>
          <w:spacing w:val="16"/>
          <w:sz w:val="24"/>
          <w:szCs w:val="24"/>
          <w:lang w:val="fr-FR"/>
        </w:rPr>
        <w:t xml:space="preserve"> </w:t>
      </w:r>
      <w:proofErr w:type="spellStart"/>
      <w:r w:rsidRPr="00C54A03">
        <w:rPr>
          <w:color w:val="000000" w:themeColor="text1"/>
          <w:sz w:val="24"/>
          <w:szCs w:val="24"/>
          <w:lang w:val="fr-FR"/>
        </w:rPr>
        <w:t>directivei</w:t>
      </w:r>
      <w:proofErr w:type="spellEnd"/>
      <w:r w:rsidRPr="00C54A03">
        <w:rPr>
          <w:color w:val="000000" w:themeColor="text1"/>
          <w:spacing w:val="17"/>
          <w:sz w:val="24"/>
          <w:szCs w:val="24"/>
          <w:lang w:val="fr-FR"/>
        </w:rPr>
        <w:t xml:space="preserve"> </w:t>
      </w:r>
      <w:r w:rsidRPr="00C54A03">
        <w:rPr>
          <w:color w:val="000000" w:themeColor="text1"/>
          <w:sz w:val="24"/>
          <w:szCs w:val="24"/>
          <w:lang w:val="fr-FR"/>
        </w:rPr>
        <w:t>este</w:t>
      </w:r>
      <w:r w:rsidRPr="00C54A03">
        <w:rPr>
          <w:color w:val="000000" w:themeColor="text1"/>
          <w:spacing w:val="17"/>
          <w:sz w:val="24"/>
          <w:szCs w:val="24"/>
          <w:lang w:val="fr-FR"/>
        </w:rPr>
        <w:t xml:space="preserve"> </w:t>
      </w:r>
      <w:proofErr w:type="spellStart"/>
      <w:r w:rsidRPr="00C54A03">
        <w:rPr>
          <w:color w:val="000000" w:themeColor="text1"/>
          <w:sz w:val="24"/>
          <w:szCs w:val="24"/>
          <w:lang w:val="fr-FR"/>
        </w:rPr>
        <w:t>definit</w:t>
      </w:r>
      <w:proofErr w:type="spellEnd"/>
      <w:r w:rsidRPr="00C54A03">
        <w:rPr>
          <w:color w:val="000000" w:themeColor="text1"/>
          <w:spacing w:val="17"/>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16"/>
          <w:sz w:val="24"/>
          <w:szCs w:val="24"/>
          <w:lang w:val="fr-FR"/>
        </w:rPr>
        <w:t xml:space="preserve"> </w:t>
      </w:r>
      <w:proofErr w:type="spellStart"/>
      <w:r w:rsidRPr="00C54A03">
        <w:rPr>
          <w:color w:val="000000" w:themeColor="text1"/>
          <w:sz w:val="24"/>
          <w:szCs w:val="24"/>
          <w:lang w:val="fr-FR"/>
        </w:rPr>
        <w:t>termeni</w:t>
      </w:r>
      <w:proofErr w:type="spellEnd"/>
      <w:r w:rsidRPr="00C54A03">
        <w:rPr>
          <w:color w:val="000000" w:themeColor="text1"/>
          <w:spacing w:val="17"/>
          <w:sz w:val="24"/>
          <w:szCs w:val="24"/>
          <w:lang w:val="fr-FR"/>
        </w:rPr>
        <w:t xml:space="preserve"> </w:t>
      </w:r>
      <w:proofErr w:type="spellStart"/>
      <w:r w:rsidRPr="00C54A03">
        <w:rPr>
          <w:color w:val="000000" w:themeColor="text1"/>
          <w:sz w:val="24"/>
          <w:szCs w:val="24"/>
          <w:lang w:val="fr-FR"/>
        </w:rPr>
        <w:t>pozitivi</w:t>
      </w:r>
      <w:proofErr w:type="spellEnd"/>
      <w:r w:rsidRPr="00C54A03">
        <w:rPr>
          <w:color w:val="000000" w:themeColor="text1"/>
          <w:sz w:val="24"/>
          <w:szCs w:val="24"/>
          <w:lang w:val="fr-FR"/>
        </w:rPr>
        <w:t>,</w:t>
      </w:r>
      <w:r w:rsidRPr="00C54A03">
        <w:rPr>
          <w:color w:val="000000" w:themeColor="text1"/>
          <w:spacing w:val="16"/>
          <w:sz w:val="24"/>
          <w:szCs w:val="24"/>
          <w:lang w:val="fr-FR"/>
        </w:rPr>
        <w:t xml:space="preserve"> </w:t>
      </w:r>
      <w:proofErr w:type="spellStart"/>
      <w:r w:rsidRPr="00C54A03">
        <w:rPr>
          <w:color w:val="000000" w:themeColor="text1"/>
          <w:sz w:val="24"/>
          <w:szCs w:val="24"/>
          <w:lang w:val="fr-FR"/>
        </w:rPr>
        <w:t>orientat</w:t>
      </w:r>
      <w:proofErr w:type="spellEnd"/>
      <w:r w:rsidRPr="00C54A03">
        <w:rPr>
          <w:color w:val="000000" w:themeColor="text1"/>
          <w:spacing w:val="17"/>
          <w:sz w:val="24"/>
          <w:szCs w:val="24"/>
          <w:lang w:val="fr-FR"/>
        </w:rPr>
        <w:t xml:space="preserve"> </w:t>
      </w:r>
      <w:proofErr w:type="spellStart"/>
      <w:r w:rsidRPr="00C54A03">
        <w:rPr>
          <w:color w:val="000000" w:themeColor="text1"/>
          <w:sz w:val="24"/>
          <w:szCs w:val="24"/>
          <w:lang w:val="fr-FR"/>
        </w:rPr>
        <w:t>spre</w:t>
      </w:r>
      <w:proofErr w:type="spellEnd"/>
      <w:r w:rsidRPr="00C54A03">
        <w:rPr>
          <w:color w:val="000000" w:themeColor="text1"/>
          <w:spacing w:val="15"/>
          <w:sz w:val="24"/>
          <w:szCs w:val="24"/>
          <w:lang w:val="fr-FR"/>
        </w:rPr>
        <w:t xml:space="preserve"> </w:t>
      </w:r>
      <w:r w:rsidRPr="00C54A03">
        <w:rPr>
          <w:color w:val="000000" w:themeColor="text1"/>
          <w:sz w:val="24"/>
          <w:szCs w:val="24"/>
          <w:lang w:val="fr-FR"/>
        </w:rPr>
        <w:t>o</w:t>
      </w:r>
      <w:r w:rsidRPr="00C54A03">
        <w:rPr>
          <w:color w:val="000000" w:themeColor="text1"/>
          <w:spacing w:val="15"/>
          <w:sz w:val="24"/>
          <w:szCs w:val="24"/>
          <w:lang w:val="fr-FR"/>
        </w:rPr>
        <w:t xml:space="preserve"> </w:t>
      </w:r>
      <w:proofErr w:type="spellStart"/>
      <w:r w:rsidRPr="00C54A03">
        <w:rPr>
          <w:color w:val="000000" w:themeColor="text1"/>
          <w:sz w:val="24"/>
          <w:szCs w:val="24"/>
          <w:lang w:val="fr-FR"/>
        </w:rPr>
        <w:t>situaţie</w:t>
      </w:r>
      <w:proofErr w:type="spellEnd"/>
      <w:r w:rsidRPr="00C54A03">
        <w:rPr>
          <w:color w:val="000000" w:themeColor="text1"/>
          <w:spacing w:val="16"/>
          <w:sz w:val="24"/>
          <w:szCs w:val="24"/>
          <w:lang w:val="fr-FR"/>
        </w:rPr>
        <w:t xml:space="preserve"> </w:t>
      </w:r>
      <w:proofErr w:type="spellStart"/>
      <w:r w:rsidRPr="00C54A03">
        <w:rPr>
          <w:color w:val="000000" w:themeColor="text1"/>
          <w:sz w:val="24"/>
          <w:szCs w:val="24"/>
          <w:lang w:val="fr-FR"/>
        </w:rPr>
        <w:t>favorabilă</w:t>
      </w:r>
      <w:proofErr w:type="spellEnd"/>
      <w:r w:rsidRPr="00C54A03">
        <w:rPr>
          <w:color w:val="000000" w:themeColor="text1"/>
          <w:spacing w:val="15"/>
          <w:sz w:val="24"/>
          <w:szCs w:val="24"/>
          <w:lang w:val="fr-FR"/>
        </w:rPr>
        <w:t xml:space="preserve"> </w:t>
      </w:r>
      <w:r w:rsidRPr="00C54A03">
        <w:rPr>
          <w:color w:val="000000" w:themeColor="text1"/>
          <w:sz w:val="24"/>
          <w:szCs w:val="24"/>
          <w:lang w:val="fr-FR"/>
        </w:rPr>
        <w:t>care</w:t>
      </w:r>
      <w:r w:rsidRPr="00C54A03">
        <w:rPr>
          <w:color w:val="000000" w:themeColor="text1"/>
          <w:spacing w:val="16"/>
          <w:sz w:val="24"/>
          <w:szCs w:val="24"/>
          <w:lang w:val="fr-FR"/>
        </w:rPr>
        <w:t xml:space="preserve"> </w:t>
      </w:r>
      <w:proofErr w:type="spellStart"/>
      <w:r w:rsidRPr="00C54A03">
        <w:rPr>
          <w:color w:val="000000" w:themeColor="text1"/>
          <w:sz w:val="24"/>
          <w:szCs w:val="24"/>
          <w:lang w:val="fr-FR"/>
        </w:rPr>
        <w:t>trebuie</w:t>
      </w:r>
      <w:proofErr w:type="spellEnd"/>
      <w:r w:rsidRPr="00C54A03">
        <w:rPr>
          <w:color w:val="000000" w:themeColor="text1"/>
          <w:spacing w:val="-58"/>
          <w:sz w:val="24"/>
          <w:szCs w:val="24"/>
          <w:lang w:val="fr-FR"/>
        </w:rPr>
        <w:t xml:space="preserve"> </w:t>
      </w:r>
      <w:proofErr w:type="spellStart"/>
      <w:r w:rsidRPr="00C54A03">
        <w:rPr>
          <w:color w:val="000000" w:themeColor="text1"/>
          <w:sz w:val="24"/>
          <w:szCs w:val="24"/>
          <w:lang w:val="fr-FR"/>
        </w:rPr>
        <w:t>să</w:t>
      </w:r>
      <w:proofErr w:type="spellEnd"/>
      <w:r w:rsidRPr="00C54A03">
        <w:rPr>
          <w:color w:val="000000" w:themeColor="text1"/>
          <w:sz w:val="24"/>
          <w:szCs w:val="24"/>
          <w:lang w:val="fr-FR"/>
        </w:rPr>
        <w:t xml:space="preserve"> fie </w:t>
      </w:r>
      <w:proofErr w:type="spellStart"/>
      <w:r w:rsidRPr="00C54A03">
        <w:rPr>
          <w:color w:val="000000" w:themeColor="text1"/>
          <w:sz w:val="24"/>
          <w:szCs w:val="24"/>
          <w:lang w:val="fr-FR"/>
        </w:rPr>
        <w:t>definită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atinsă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și</w:t>
      </w:r>
      <w:proofErr w:type="spellEnd"/>
      <w:r w:rsidRPr="00C54A03">
        <w:rPr>
          <w:color w:val="000000" w:themeColor="text1"/>
          <w:sz w:val="24"/>
          <w:szCs w:val="24"/>
          <w:lang w:val="fr-FR"/>
        </w:rPr>
        <w:t>/</w:t>
      </w:r>
      <w:proofErr w:type="spellStart"/>
      <w:r w:rsidRPr="00C54A03">
        <w:rPr>
          <w:color w:val="000000" w:themeColor="text1"/>
          <w:sz w:val="24"/>
          <w:szCs w:val="24"/>
          <w:lang w:val="fr-FR"/>
        </w:rPr>
        <w:t>sau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menţinută</w:t>
      </w:r>
      <w:proofErr w:type="spellEnd"/>
      <w:r w:rsidRPr="00C54A03">
        <w:rPr>
          <w:color w:val="000000" w:themeColor="text1"/>
          <w:sz w:val="24"/>
          <w:szCs w:val="24"/>
          <w:lang w:val="fr-FR"/>
        </w:rPr>
        <w:t xml:space="preserve">. Prin </w:t>
      </w:r>
      <w:proofErr w:type="spellStart"/>
      <w:r w:rsidRPr="00C54A03">
        <w:rPr>
          <w:color w:val="000000" w:themeColor="text1"/>
          <w:sz w:val="24"/>
          <w:szCs w:val="24"/>
          <w:lang w:val="fr-FR"/>
        </w:rPr>
        <w:t>urmare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obiectivul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Directivei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Habitate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urmărește</w:t>
      </w:r>
      <w:proofErr w:type="spellEnd"/>
      <w:r w:rsidRPr="00C54A03">
        <w:rPr>
          <w:color w:val="000000" w:themeColor="text1"/>
          <w:sz w:val="24"/>
          <w:szCs w:val="24"/>
          <w:lang w:val="fr-FR"/>
        </w:rPr>
        <w:t xml:space="preserve"> mai</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mult</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decât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evitarea</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lastRenderedPageBreak/>
        <w:t>dispariţiei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tipurilor</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2"/>
          <w:sz w:val="24"/>
          <w:szCs w:val="24"/>
          <w:lang w:val="fr-FR"/>
        </w:rPr>
        <w:t xml:space="preserve"> </w:t>
      </w:r>
      <w:proofErr w:type="spellStart"/>
      <w:r w:rsidRPr="00C54A03">
        <w:rPr>
          <w:color w:val="000000" w:themeColor="text1"/>
          <w:sz w:val="24"/>
          <w:szCs w:val="24"/>
          <w:lang w:val="fr-FR"/>
        </w:rPr>
        <w:t>habitate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sau</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speciilor</w:t>
      </w:r>
      <w:proofErr w:type="spellEnd"/>
      <w:r w:rsidRPr="00C54A03">
        <w:rPr>
          <w:color w:val="000000" w:themeColor="text1"/>
          <w:sz w:val="24"/>
          <w:szCs w:val="24"/>
          <w:lang w:val="fr-FR"/>
        </w:rPr>
        <w:t>.</w:t>
      </w:r>
    </w:p>
    <w:p w14:paraId="442D0771" w14:textId="77777777" w:rsidR="007702CD" w:rsidRPr="00C54A03" w:rsidRDefault="007702CD" w:rsidP="00D97209">
      <w:pPr>
        <w:pStyle w:val="BodyText"/>
        <w:spacing w:before="1"/>
        <w:ind w:left="0" w:right="27"/>
        <w:jc w:val="both"/>
        <w:rPr>
          <w:color w:val="000000" w:themeColor="text1"/>
          <w:sz w:val="24"/>
          <w:szCs w:val="24"/>
          <w:lang w:val="fr-FR"/>
        </w:rPr>
      </w:pPr>
      <w:proofErr w:type="spellStart"/>
      <w:r w:rsidRPr="00C54A03">
        <w:rPr>
          <w:color w:val="000000" w:themeColor="text1"/>
          <w:sz w:val="24"/>
          <w:szCs w:val="24"/>
          <w:lang w:val="fr-FR"/>
        </w:rPr>
        <w:t>Starea</w:t>
      </w:r>
      <w:proofErr w:type="spellEnd"/>
      <w:r w:rsidRPr="00C54A03">
        <w:rPr>
          <w:color w:val="000000" w:themeColor="text1"/>
          <w:spacing w:val="-3"/>
          <w:sz w:val="24"/>
          <w:szCs w:val="24"/>
          <w:lang w:val="fr-FR"/>
        </w:rPr>
        <w:t xml:space="preserve"> </w:t>
      </w:r>
      <w:r w:rsidRPr="00C54A03">
        <w:rPr>
          <w:color w:val="000000" w:themeColor="text1"/>
          <w:sz w:val="24"/>
          <w:szCs w:val="24"/>
          <w:lang w:val="fr-FR"/>
        </w:rPr>
        <w:t xml:space="preserve">de </w:t>
      </w:r>
      <w:proofErr w:type="spellStart"/>
      <w:r w:rsidRPr="00C54A03">
        <w:rPr>
          <w:color w:val="000000" w:themeColor="text1"/>
          <w:sz w:val="24"/>
          <w:szCs w:val="24"/>
          <w:lang w:val="fr-FR"/>
        </w:rPr>
        <w:t>conservare</w:t>
      </w:r>
      <w:proofErr w:type="spellEnd"/>
      <w:r w:rsidRPr="00C54A03">
        <w:rPr>
          <w:color w:val="000000" w:themeColor="text1"/>
          <w:spacing w:val="-3"/>
          <w:sz w:val="24"/>
          <w:szCs w:val="24"/>
          <w:lang w:val="fr-FR"/>
        </w:rPr>
        <w:t xml:space="preserve"> </w:t>
      </w:r>
      <w:proofErr w:type="spellStart"/>
      <w:r w:rsidRPr="00C54A03">
        <w:rPr>
          <w:color w:val="000000" w:themeColor="text1"/>
          <w:sz w:val="24"/>
          <w:szCs w:val="24"/>
          <w:lang w:val="fr-FR"/>
        </w:rPr>
        <w:t>nefavorabilă</w:t>
      </w:r>
      <w:proofErr w:type="spellEnd"/>
      <w:r w:rsidRPr="00C54A03">
        <w:rPr>
          <w:color w:val="000000" w:themeColor="text1"/>
          <w:spacing w:val="-2"/>
          <w:sz w:val="24"/>
          <w:szCs w:val="24"/>
          <w:lang w:val="fr-FR"/>
        </w:rPr>
        <w:t xml:space="preserve"> </w:t>
      </w:r>
      <w:r w:rsidRPr="00C54A03">
        <w:rPr>
          <w:color w:val="000000" w:themeColor="text1"/>
          <w:sz w:val="24"/>
          <w:szCs w:val="24"/>
          <w:lang w:val="fr-FR"/>
        </w:rPr>
        <w:t>este</w:t>
      </w:r>
      <w:r w:rsidRPr="00C54A03">
        <w:rPr>
          <w:color w:val="000000" w:themeColor="text1"/>
          <w:spacing w:val="-2"/>
          <w:sz w:val="24"/>
          <w:szCs w:val="24"/>
          <w:lang w:val="fr-FR"/>
        </w:rPr>
        <w:t xml:space="preserve"> </w:t>
      </w:r>
      <w:proofErr w:type="spellStart"/>
      <w:r w:rsidRPr="00C54A03">
        <w:rPr>
          <w:color w:val="000000" w:themeColor="text1"/>
          <w:sz w:val="24"/>
          <w:szCs w:val="24"/>
          <w:lang w:val="fr-FR"/>
        </w:rPr>
        <w:t>împărţită</w:t>
      </w:r>
      <w:proofErr w:type="spellEnd"/>
      <w:r w:rsidRPr="00C54A03">
        <w:rPr>
          <w:color w:val="000000" w:themeColor="text1"/>
          <w:spacing w:val="-2"/>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două</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clase:</w:t>
      </w:r>
    </w:p>
    <w:p w14:paraId="0E83480E" w14:textId="77777777" w:rsidR="007702CD" w:rsidRPr="00C54A03" w:rsidRDefault="007702CD" w:rsidP="00D97209">
      <w:pPr>
        <w:pStyle w:val="BodyText"/>
        <w:ind w:left="0" w:right="27"/>
        <w:jc w:val="both"/>
        <w:rPr>
          <w:color w:val="000000" w:themeColor="text1"/>
          <w:sz w:val="24"/>
          <w:szCs w:val="24"/>
          <w:lang w:val="fr-FR"/>
        </w:rPr>
      </w:pPr>
      <w:r w:rsidRPr="00C54A03">
        <w:rPr>
          <w:color w:val="000000" w:themeColor="text1"/>
          <w:sz w:val="24"/>
          <w:szCs w:val="24"/>
          <w:lang w:val="fr-FR"/>
        </w:rPr>
        <w:t>„</w:t>
      </w:r>
      <w:proofErr w:type="spellStart"/>
      <w:r w:rsidRPr="00C54A03">
        <w:rPr>
          <w:color w:val="000000" w:themeColor="text1"/>
          <w:sz w:val="24"/>
          <w:szCs w:val="24"/>
          <w:lang w:val="fr-FR"/>
        </w:rPr>
        <w:t>nefavorabil-inadecvat</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pentru</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situaţiile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care</w:t>
      </w:r>
      <w:r w:rsidRPr="00C54A03">
        <w:rPr>
          <w:color w:val="000000" w:themeColor="text1"/>
          <w:spacing w:val="1"/>
          <w:sz w:val="24"/>
          <w:szCs w:val="24"/>
          <w:lang w:val="fr-FR"/>
        </w:rPr>
        <w:t xml:space="preserve"> </w:t>
      </w:r>
      <w:r w:rsidRPr="00C54A03">
        <w:rPr>
          <w:color w:val="000000" w:themeColor="text1"/>
          <w:sz w:val="24"/>
          <w:szCs w:val="24"/>
          <w:lang w:val="fr-FR"/>
        </w:rPr>
        <w:t>este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necesară</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o</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schimbare</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a</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politicilor</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sau</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managementului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pentru</w:t>
      </w:r>
      <w:proofErr w:type="spellEnd"/>
      <w:r w:rsidRPr="00C54A03">
        <w:rPr>
          <w:color w:val="000000" w:themeColor="text1"/>
          <w:sz w:val="24"/>
          <w:szCs w:val="24"/>
          <w:lang w:val="fr-FR"/>
        </w:rPr>
        <w:t xml:space="preserve"> a </w:t>
      </w:r>
      <w:proofErr w:type="spellStart"/>
      <w:r w:rsidRPr="00C54A03">
        <w:rPr>
          <w:color w:val="000000" w:themeColor="text1"/>
          <w:sz w:val="24"/>
          <w:szCs w:val="24"/>
          <w:lang w:val="fr-FR"/>
        </w:rPr>
        <w:t>aduce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tipul</w:t>
      </w:r>
      <w:proofErr w:type="spellEnd"/>
      <w:r w:rsidRPr="00C54A03">
        <w:rPr>
          <w:color w:val="000000" w:themeColor="text1"/>
          <w:sz w:val="24"/>
          <w:szCs w:val="24"/>
          <w:lang w:val="fr-FR"/>
        </w:rPr>
        <w:t xml:space="preserve"> de habitat </w:t>
      </w:r>
      <w:proofErr w:type="spellStart"/>
      <w:r w:rsidRPr="00C54A03">
        <w:rPr>
          <w:color w:val="000000" w:themeColor="text1"/>
          <w:sz w:val="24"/>
          <w:szCs w:val="24"/>
          <w:lang w:val="fr-FR"/>
        </w:rPr>
        <w:t>sau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specia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stare</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conservare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favorabilă</w:t>
      </w:r>
      <w:proofErr w:type="spellEnd"/>
      <w:r w:rsidRPr="00C54A03">
        <w:rPr>
          <w:color w:val="000000" w:themeColor="text1"/>
          <w:sz w:val="24"/>
          <w:szCs w:val="24"/>
          <w:lang w:val="fr-FR"/>
        </w:rPr>
        <w:t>, dar nu</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există</w:t>
      </w:r>
      <w:proofErr w:type="spellEnd"/>
      <w:r w:rsidRPr="00C54A03">
        <w:rPr>
          <w:color w:val="000000" w:themeColor="text1"/>
          <w:spacing w:val="-2"/>
          <w:sz w:val="24"/>
          <w:szCs w:val="24"/>
          <w:lang w:val="fr-FR"/>
        </w:rPr>
        <w:t xml:space="preserve"> </w:t>
      </w:r>
      <w:proofErr w:type="spellStart"/>
      <w:r w:rsidRPr="00C54A03">
        <w:rPr>
          <w:color w:val="000000" w:themeColor="text1"/>
          <w:sz w:val="24"/>
          <w:szCs w:val="24"/>
          <w:lang w:val="fr-FR"/>
        </w:rPr>
        <w:t>nici</w:t>
      </w:r>
      <w:proofErr w:type="spellEnd"/>
      <w:r w:rsidRPr="00C54A03">
        <w:rPr>
          <w:color w:val="000000" w:themeColor="text1"/>
          <w:sz w:val="24"/>
          <w:szCs w:val="24"/>
          <w:lang w:val="fr-FR"/>
        </w:rPr>
        <w:t xml:space="preserve"> un </w:t>
      </w:r>
      <w:proofErr w:type="spellStart"/>
      <w:r w:rsidRPr="00C54A03">
        <w:rPr>
          <w:color w:val="000000" w:themeColor="text1"/>
          <w:sz w:val="24"/>
          <w:szCs w:val="24"/>
          <w:lang w:val="fr-FR"/>
        </w:rPr>
        <w:t>pericol</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dispariţie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viitorul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previzibil</w:t>
      </w:r>
      <w:proofErr w:type="spellEnd"/>
      <w:r w:rsidRPr="00C54A03">
        <w:rPr>
          <w:color w:val="000000" w:themeColor="text1"/>
          <w:sz w:val="24"/>
          <w:szCs w:val="24"/>
          <w:lang w:val="fr-FR"/>
        </w:rPr>
        <w:t xml:space="preserve"> (ex: 50-100</w:t>
      </w:r>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ani</w:t>
      </w:r>
      <w:proofErr w:type="spellEnd"/>
      <w:r w:rsidRPr="00C54A03">
        <w:rPr>
          <w:color w:val="000000" w:themeColor="text1"/>
          <w:sz w:val="24"/>
          <w:szCs w:val="24"/>
          <w:lang w:val="fr-FR"/>
        </w:rPr>
        <w:t>);</w:t>
      </w:r>
    </w:p>
    <w:p w14:paraId="5D6FF7EF" w14:textId="77777777" w:rsidR="007702CD" w:rsidRPr="00C54A03" w:rsidRDefault="007702CD" w:rsidP="00D97209">
      <w:pPr>
        <w:pStyle w:val="BodyText"/>
        <w:ind w:left="0" w:right="27"/>
        <w:jc w:val="both"/>
        <w:rPr>
          <w:color w:val="000000" w:themeColor="text1"/>
          <w:sz w:val="24"/>
          <w:szCs w:val="24"/>
          <w:lang w:val="fr-FR"/>
        </w:rPr>
      </w:pPr>
      <w:r w:rsidRPr="00C54A03">
        <w:rPr>
          <w:color w:val="000000" w:themeColor="text1"/>
          <w:sz w:val="24"/>
          <w:szCs w:val="24"/>
          <w:lang w:val="fr-FR"/>
        </w:rPr>
        <w:t>„</w:t>
      </w:r>
      <w:proofErr w:type="spellStart"/>
      <w:r w:rsidRPr="00C54A03">
        <w:rPr>
          <w:color w:val="000000" w:themeColor="text1"/>
          <w:sz w:val="24"/>
          <w:szCs w:val="24"/>
          <w:lang w:val="fr-FR"/>
        </w:rPr>
        <w:t>nefavorabil-rău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pentru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situaţiile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care </w:t>
      </w:r>
      <w:proofErr w:type="spellStart"/>
      <w:r w:rsidRPr="00C54A03">
        <w:rPr>
          <w:color w:val="000000" w:themeColor="text1"/>
          <w:sz w:val="24"/>
          <w:szCs w:val="24"/>
          <w:lang w:val="fr-FR"/>
        </w:rPr>
        <w:t>tipul</w:t>
      </w:r>
      <w:proofErr w:type="spellEnd"/>
      <w:r w:rsidRPr="00C54A03">
        <w:rPr>
          <w:color w:val="000000" w:themeColor="text1"/>
          <w:sz w:val="24"/>
          <w:szCs w:val="24"/>
          <w:lang w:val="fr-FR"/>
        </w:rPr>
        <w:t xml:space="preserve"> de habitat </w:t>
      </w:r>
      <w:proofErr w:type="spellStart"/>
      <w:r w:rsidRPr="00C54A03">
        <w:rPr>
          <w:color w:val="000000" w:themeColor="text1"/>
          <w:sz w:val="24"/>
          <w:szCs w:val="24"/>
          <w:lang w:val="fr-FR"/>
        </w:rPr>
        <w:t>sau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specia</w:t>
      </w:r>
      <w:proofErr w:type="spellEnd"/>
      <w:r w:rsidRPr="00C54A03">
        <w:rPr>
          <w:color w:val="000000" w:themeColor="text1"/>
          <w:sz w:val="24"/>
          <w:szCs w:val="24"/>
          <w:lang w:val="fr-FR"/>
        </w:rPr>
        <w:t xml:space="preserve"> este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pericol</w:t>
      </w:r>
      <w:proofErr w:type="spellEnd"/>
      <w:r w:rsidRPr="00C54A03">
        <w:rPr>
          <w:color w:val="000000" w:themeColor="text1"/>
          <w:sz w:val="24"/>
          <w:szCs w:val="24"/>
          <w:lang w:val="fr-FR"/>
        </w:rPr>
        <w:t xml:space="preserve"> de a </w:t>
      </w:r>
      <w:proofErr w:type="spellStart"/>
      <w:r w:rsidRPr="00C54A03">
        <w:rPr>
          <w:color w:val="000000" w:themeColor="text1"/>
          <w:sz w:val="24"/>
          <w:szCs w:val="24"/>
          <w:lang w:val="fr-FR"/>
        </w:rPr>
        <w:t>dispare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viitorul</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previzibil</w:t>
      </w:r>
      <w:proofErr w:type="spellEnd"/>
      <w:r w:rsidRPr="00C54A03">
        <w:rPr>
          <w:color w:val="000000" w:themeColor="text1"/>
          <w:sz w:val="24"/>
          <w:szCs w:val="24"/>
          <w:lang w:val="fr-FR"/>
        </w:rPr>
        <w:t xml:space="preserve"> (ex: 50-100 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ani</w:t>
      </w:r>
      <w:proofErr w:type="spellEnd"/>
      <w:r w:rsidRPr="00C54A03">
        <w:rPr>
          <w:color w:val="000000" w:themeColor="text1"/>
          <w:sz w:val="24"/>
          <w:szCs w:val="24"/>
          <w:lang w:val="fr-FR"/>
        </w:rPr>
        <w:t>).</w:t>
      </w:r>
    </w:p>
    <w:p w14:paraId="2B87642B" w14:textId="77777777" w:rsidR="007702CD" w:rsidRPr="00C54A03" w:rsidRDefault="007702CD" w:rsidP="00D97209">
      <w:pPr>
        <w:pStyle w:val="BodyText"/>
        <w:ind w:left="0" w:right="27"/>
        <w:jc w:val="both"/>
        <w:rPr>
          <w:color w:val="000000" w:themeColor="text1"/>
          <w:sz w:val="24"/>
          <w:szCs w:val="24"/>
          <w:lang w:val="fr-FR"/>
        </w:rPr>
      </w:pPr>
      <w:proofErr w:type="spellStart"/>
      <w:r w:rsidRPr="00C54A03">
        <w:rPr>
          <w:color w:val="000000" w:themeColor="text1"/>
          <w:sz w:val="24"/>
          <w:szCs w:val="24"/>
          <w:lang w:val="fr-FR"/>
        </w:rPr>
        <w:t>Pentru</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toate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situaţiile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care</w:t>
      </w:r>
      <w:r w:rsidRPr="00C54A03">
        <w:rPr>
          <w:color w:val="000000" w:themeColor="text1"/>
          <w:spacing w:val="1"/>
          <w:sz w:val="24"/>
          <w:szCs w:val="24"/>
          <w:lang w:val="fr-FR"/>
        </w:rPr>
        <w:t xml:space="preserve"> </w:t>
      </w:r>
      <w:r w:rsidRPr="00C54A03">
        <w:rPr>
          <w:color w:val="000000" w:themeColor="text1"/>
          <w:sz w:val="24"/>
          <w:szCs w:val="24"/>
          <w:lang w:val="fr-FR"/>
        </w:rPr>
        <w:t>nu</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există</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suficiente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informaţii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pentru</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a</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realiza</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o</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evaluare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corespunzătoare</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starea</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conservare</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este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considerată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necunoscută</w:t>
      </w:r>
      <w:proofErr w:type="spellEnd"/>
      <w:r w:rsidRPr="00C54A03">
        <w:rPr>
          <w:color w:val="000000" w:themeColor="text1"/>
          <w:sz w:val="24"/>
          <w:szCs w:val="24"/>
          <w:lang w:val="fr-FR"/>
        </w:rPr>
        <w:t>”.</w:t>
      </w:r>
    </w:p>
    <w:p w14:paraId="041A7F05" w14:textId="77777777" w:rsidR="007702CD" w:rsidRPr="00C54A03" w:rsidRDefault="007702CD" w:rsidP="00D97209">
      <w:pPr>
        <w:pStyle w:val="BodyText"/>
        <w:ind w:left="0" w:right="27"/>
        <w:jc w:val="both"/>
        <w:rPr>
          <w:color w:val="000000" w:themeColor="text1"/>
          <w:sz w:val="24"/>
          <w:szCs w:val="24"/>
          <w:lang w:val="fr-FR"/>
        </w:rPr>
      </w:pPr>
      <w:proofErr w:type="spellStart"/>
      <w:r w:rsidRPr="00C54A03">
        <w:rPr>
          <w:color w:val="000000" w:themeColor="text1"/>
          <w:sz w:val="24"/>
          <w:szCs w:val="24"/>
          <w:lang w:val="fr-FR"/>
        </w:rPr>
        <w:t>Pentru</w:t>
      </w:r>
      <w:proofErr w:type="spellEnd"/>
      <w:r w:rsidRPr="00C54A03">
        <w:rPr>
          <w:color w:val="000000" w:themeColor="text1"/>
          <w:sz w:val="24"/>
          <w:szCs w:val="24"/>
          <w:lang w:val="fr-FR"/>
        </w:rPr>
        <w:t xml:space="preserve"> o </w:t>
      </w:r>
      <w:proofErr w:type="spellStart"/>
      <w:r w:rsidRPr="00C54A03">
        <w:rPr>
          <w:color w:val="000000" w:themeColor="text1"/>
          <w:sz w:val="24"/>
          <w:szCs w:val="24"/>
          <w:lang w:val="fr-FR"/>
        </w:rPr>
        <w:t>reprezentare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grafică</w:t>
      </w:r>
      <w:proofErr w:type="spellEnd"/>
      <w:r w:rsidRPr="00C54A03">
        <w:rPr>
          <w:color w:val="000000" w:themeColor="text1"/>
          <w:sz w:val="24"/>
          <w:szCs w:val="24"/>
          <w:lang w:val="fr-FR"/>
        </w:rPr>
        <w:t xml:space="preserve"> a </w:t>
      </w:r>
      <w:proofErr w:type="spellStart"/>
      <w:r w:rsidRPr="00C54A03">
        <w:rPr>
          <w:color w:val="000000" w:themeColor="text1"/>
          <w:sz w:val="24"/>
          <w:szCs w:val="24"/>
          <w:lang w:val="fr-FR"/>
        </w:rPr>
        <w:t>celor</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patru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stări</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conservare</w:t>
      </w:r>
      <w:proofErr w:type="spellEnd"/>
      <w:r w:rsidRPr="00C54A03">
        <w:rPr>
          <w:color w:val="000000" w:themeColor="text1"/>
          <w:sz w:val="24"/>
          <w:szCs w:val="24"/>
          <w:lang w:val="fr-FR"/>
        </w:rPr>
        <w:t xml:space="preserve">, a </w:t>
      </w:r>
      <w:proofErr w:type="spellStart"/>
      <w:r w:rsidRPr="00C54A03">
        <w:rPr>
          <w:color w:val="000000" w:themeColor="text1"/>
          <w:sz w:val="24"/>
          <w:szCs w:val="24"/>
          <w:lang w:val="fr-FR"/>
        </w:rPr>
        <w:t>fost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adoptat</w:t>
      </w:r>
      <w:proofErr w:type="spellEnd"/>
      <w:r w:rsidRPr="00C54A03">
        <w:rPr>
          <w:color w:val="000000" w:themeColor="text1"/>
          <w:sz w:val="24"/>
          <w:szCs w:val="24"/>
          <w:lang w:val="fr-FR"/>
        </w:rPr>
        <w:t xml:space="preserve"> un </w:t>
      </w:r>
      <w:proofErr w:type="spellStart"/>
      <w:r w:rsidRPr="00C54A03">
        <w:rPr>
          <w:color w:val="000000" w:themeColor="text1"/>
          <w:sz w:val="24"/>
          <w:szCs w:val="24"/>
          <w:lang w:val="fr-FR"/>
        </w:rPr>
        <w:t>sistem</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codificare</w:t>
      </w:r>
      <w:proofErr w:type="spellEnd"/>
      <w:r w:rsidRPr="00C54A03">
        <w:rPr>
          <w:color w:val="000000" w:themeColor="text1"/>
          <w:spacing w:val="-57"/>
          <w:sz w:val="24"/>
          <w:szCs w:val="24"/>
          <w:lang w:val="fr-FR"/>
        </w:rPr>
        <w:t xml:space="preserve"> </w:t>
      </w:r>
      <w:proofErr w:type="spellStart"/>
      <w:r w:rsidRPr="00C54A03">
        <w:rPr>
          <w:color w:val="000000" w:themeColor="text1"/>
          <w:sz w:val="24"/>
          <w:szCs w:val="24"/>
          <w:lang w:val="fr-FR"/>
        </w:rPr>
        <w:t>pe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culori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prin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intermediul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îndrumarului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Comisiei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Europene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Evaluarea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și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raportarea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conformitate</w:t>
      </w:r>
      <w:proofErr w:type="spellEnd"/>
      <w:r w:rsidRPr="00C54A03">
        <w:rPr>
          <w:color w:val="000000" w:themeColor="text1"/>
          <w:spacing w:val="-57"/>
          <w:sz w:val="24"/>
          <w:szCs w:val="24"/>
          <w:lang w:val="fr-FR"/>
        </w:rPr>
        <w:t xml:space="preserve"> </w:t>
      </w:r>
      <w:proofErr w:type="spellStart"/>
      <w:r w:rsidRPr="00C54A03">
        <w:rPr>
          <w:color w:val="000000" w:themeColor="text1"/>
          <w:sz w:val="24"/>
          <w:szCs w:val="24"/>
          <w:lang w:val="fr-FR"/>
        </w:rPr>
        <w:t>cu</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Articolul</w:t>
      </w:r>
      <w:proofErr w:type="spellEnd"/>
      <w:r w:rsidRPr="00C54A03">
        <w:rPr>
          <w:color w:val="000000" w:themeColor="text1"/>
          <w:sz w:val="24"/>
          <w:szCs w:val="24"/>
          <w:lang w:val="fr-FR"/>
        </w:rPr>
        <w:t xml:space="preserve"> 17</w:t>
      </w:r>
      <w:r w:rsidRPr="00C54A03">
        <w:rPr>
          <w:color w:val="000000" w:themeColor="text1"/>
          <w:spacing w:val="-1"/>
          <w:sz w:val="24"/>
          <w:szCs w:val="24"/>
          <w:lang w:val="fr-FR"/>
        </w:rPr>
        <w:t xml:space="preserve"> </w:t>
      </w:r>
      <w:r w:rsidRPr="00C54A03">
        <w:rPr>
          <w:color w:val="000000" w:themeColor="text1"/>
          <w:sz w:val="24"/>
          <w:szCs w:val="24"/>
          <w:lang w:val="fr-FR"/>
        </w:rPr>
        <w:t xml:space="preserve">al </w:t>
      </w:r>
      <w:proofErr w:type="spellStart"/>
      <w:r w:rsidRPr="00C54A03">
        <w:rPr>
          <w:color w:val="000000" w:themeColor="text1"/>
          <w:sz w:val="24"/>
          <w:szCs w:val="24"/>
          <w:lang w:val="fr-FR"/>
        </w:rPr>
        <w:t>Directivei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Habitate</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r w:rsidRPr="00C54A03">
        <w:rPr>
          <w:color w:val="000000" w:themeColor="text1"/>
          <w:sz w:val="24"/>
          <w:szCs w:val="24"/>
          <w:lang w:val="fr-FR"/>
        </w:rPr>
        <w:t>Formate 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raportare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pentru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Perioada</w:t>
      </w:r>
      <w:proofErr w:type="spellEnd"/>
      <w:r w:rsidRPr="00C54A03">
        <w:rPr>
          <w:color w:val="000000" w:themeColor="text1"/>
          <w:sz w:val="24"/>
          <w:szCs w:val="24"/>
          <w:lang w:val="fr-FR"/>
        </w:rPr>
        <w:t xml:space="preserve"> 2012)</w:t>
      </w:r>
      <w:r w:rsidRPr="00C54A03">
        <w:rPr>
          <w:color w:val="000000" w:themeColor="text1"/>
          <w:spacing w:val="58"/>
          <w:sz w:val="24"/>
          <w:szCs w:val="24"/>
          <w:lang w:val="fr-FR"/>
        </w:rPr>
        <w:t xml:space="preserve"> </w:t>
      </w:r>
      <w:r w:rsidRPr="00C54A03">
        <w:rPr>
          <w:color w:val="000000" w:themeColor="text1"/>
          <w:sz w:val="24"/>
          <w:szCs w:val="24"/>
          <w:lang w:val="fr-FR"/>
        </w:rPr>
        <w:t>:</w:t>
      </w:r>
    </w:p>
    <w:p w14:paraId="07879B8A" w14:textId="77777777" w:rsidR="007702CD" w:rsidRPr="00C54A03" w:rsidRDefault="007702CD" w:rsidP="009E63E5">
      <w:pPr>
        <w:pStyle w:val="BodyText"/>
        <w:numPr>
          <w:ilvl w:val="0"/>
          <w:numId w:val="61"/>
        </w:numPr>
        <w:spacing w:line="274" w:lineRule="exact"/>
        <w:ind w:left="0" w:right="27" w:hanging="23"/>
        <w:jc w:val="both"/>
        <w:rPr>
          <w:color w:val="000000" w:themeColor="text1"/>
          <w:sz w:val="24"/>
          <w:szCs w:val="24"/>
        </w:rPr>
      </w:pPr>
      <w:proofErr w:type="spellStart"/>
      <w:r w:rsidRPr="00C54A03">
        <w:rPr>
          <w:color w:val="000000" w:themeColor="text1"/>
          <w:sz w:val="24"/>
          <w:szCs w:val="24"/>
        </w:rPr>
        <w:t>roşu</w:t>
      </w:r>
      <w:proofErr w:type="spellEnd"/>
      <w:r w:rsidRPr="00C54A03">
        <w:rPr>
          <w:color w:val="000000" w:themeColor="text1"/>
          <w:spacing w:val="-2"/>
          <w:sz w:val="24"/>
          <w:szCs w:val="24"/>
        </w:rPr>
        <w:t xml:space="preserve"> </w:t>
      </w:r>
      <w:proofErr w:type="spellStart"/>
      <w:r w:rsidRPr="00C54A03">
        <w:rPr>
          <w:color w:val="000000" w:themeColor="text1"/>
          <w:sz w:val="24"/>
          <w:szCs w:val="24"/>
        </w:rPr>
        <w:t>pentru</w:t>
      </w:r>
      <w:proofErr w:type="spellEnd"/>
      <w:r w:rsidRPr="00C54A03">
        <w:rPr>
          <w:color w:val="000000" w:themeColor="text1"/>
          <w:spacing w:val="-1"/>
          <w:sz w:val="24"/>
          <w:szCs w:val="24"/>
        </w:rPr>
        <w:t xml:space="preserve"> </w:t>
      </w:r>
      <w:r w:rsidRPr="00C54A03">
        <w:rPr>
          <w:color w:val="000000" w:themeColor="text1"/>
          <w:sz w:val="24"/>
          <w:szCs w:val="24"/>
        </w:rPr>
        <w:t>„</w:t>
      </w:r>
      <w:proofErr w:type="spellStart"/>
      <w:r w:rsidRPr="00C54A03">
        <w:rPr>
          <w:color w:val="000000" w:themeColor="text1"/>
          <w:sz w:val="24"/>
          <w:szCs w:val="24"/>
        </w:rPr>
        <w:t>nefavorabil-rău</w:t>
      </w:r>
      <w:proofErr w:type="spellEnd"/>
      <w:r w:rsidRPr="00C54A03">
        <w:rPr>
          <w:color w:val="000000" w:themeColor="text1"/>
          <w:sz w:val="24"/>
          <w:szCs w:val="24"/>
        </w:rPr>
        <w:t>”;</w:t>
      </w:r>
    </w:p>
    <w:p w14:paraId="7866C3DD" w14:textId="77777777" w:rsidR="00D97209" w:rsidRDefault="007702CD" w:rsidP="009E63E5">
      <w:pPr>
        <w:pStyle w:val="BodyText"/>
        <w:numPr>
          <w:ilvl w:val="0"/>
          <w:numId w:val="61"/>
        </w:numPr>
        <w:ind w:left="0" w:right="27" w:hanging="23"/>
        <w:jc w:val="both"/>
        <w:rPr>
          <w:color w:val="000000" w:themeColor="text1"/>
          <w:sz w:val="24"/>
          <w:szCs w:val="24"/>
        </w:rPr>
      </w:pPr>
      <w:proofErr w:type="spellStart"/>
      <w:r w:rsidRPr="00C54A03">
        <w:rPr>
          <w:color w:val="000000" w:themeColor="text1"/>
          <w:sz w:val="24"/>
          <w:szCs w:val="24"/>
        </w:rPr>
        <w:t>portocaliu</w:t>
      </w:r>
      <w:proofErr w:type="spellEnd"/>
      <w:r w:rsidRPr="00C54A03">
        <w:rPr>
          <w:color w:val="000000" w:themeColor="text1"/>
          <w:spacing w:val="-3"/>
          <w:sz w:val="24"/>
          <w:szCs w:val="24"/>
        </w:rPr>
        <w:t xml:space="preserve"> </w:t>
      </w:r>
      <w:proofErr w:type="spellStart"/>
      <w:r w:rsidRPr="00C54A03">
        <w:rPr>
          <w:color w:val="000000" w:themeColor="text1"/>
          <w:sz w:val="24"/>
          <w:szCs w:val="24"/>
        </w:rPr>
        <w:t>pentru</w:t>
      </w:r>
      <w:proofErr w:type="spellEnd"/>
      <w:r w:rsidRPr="00C54A03">
        <w:rPr>
          <w:color w:val="000000" w:themeColor="text1"/>
          <w:spacing w:val="-2"/>
          <w:sz w:val="24"/>
          <w:szCs w:val="24"/>
        </w:rPr>
        <w:t xml:space="preserve"> </w:t>
      </w:r>
      <w:r w:rsidRPr="00C54A03">
        <w:rPr>
          <w:color w:val="000000" w:themeColor="text1"/>
          <w:sz w:val="24"/>
          <w:szCs w:val="24"/>
        </w:rPr>
        <w:t>„</w:t>
      </w:r>
      <w:proofErr w:type="spellStart"/>
      <w:r w:rsidRPr="00C54A03">
        <w:rPr>
          <w:color w:val="000000" w:themeColor="text1"/>
          <w:sz w:val="24"/>
          <w:szCs w:val="24"/>
        </w:rPr>
        <w:t>nefavorabil-inadecvat</w:t>
      </w:r>
      <w:proofErr w:type="spellEnd"/>
      <w:r w:rsidRPr="00C54A03">
        <w:rPr>
          <w:color w:val="000000" w:themeColor="text1"/>
          <w:sz w:val="24"/>
          <w:szCs w:val="24"/>
        </w:rPr>
        <w:t>”;</w:t>
      </w:r>
    </w:p>
    <w:p w14:paraId="1974E11C" w14:textId="77777777" w:rsidR="00D97209" w:rsidRDefault="007702CD" w:rsidP="009E63E5">
      <w:pPr>
        <w:pStyle w:val="BodyText"/>
        <w:numPr>
          <w:ilvl w:val="0"/>
          <w:numId w:val="61"/>
        </w:numPr>
        <w:ind w:left="0" w:right="27" w:hanging="23"/>
        <w:jc w:val="both"/>
        <w:rPr>
          <w:color w:val="000000" w:themeColor="text1"/>
          <w:sz w:val="24"/>
          <w:szCs w:val="24"/>
        </w:rPr>
      </w:pPr>
      <w:proofErr w:type="spellStart"/>
      <w:r w:rsidRPr="00D97209">
        <w:rPr>
          <w:color w:val="000000" w:themeColor="text1"/>
          <w:sz w:val="24"/>
          <w:szCs w:val="24"/>
        </w:rPr>
        <w:t>verde</w:t>
      </w:r>
      <w:proofErr w:type="spellEnd"/>
      <w:r w:rsidRPr="00D97209">
        <w:rPr>
          <w:color w:val="000000" w:themeColor="text1"/>
          <w:spacing w:val="-4"/>
          <w:sz w:val="24"/>
          <w:szCs w:val="24"/>
        </w:rPr>
        <w:t xml:space="preserve"> </w:t>
      </w:r>
      <w:proofErr w:type="spellStart"/>
      <w:r w:rsidRPr="00D97209">
        <w:rPr>
          <w:color w:val="000000" w:themeColor="text1"/>
          <w:sz w:val="24"/>
          <w:szCs w:val="24"/>
        </w:rPr>
        <w:t>pentru</w:t>
      </w:r>
      <w:proofErr w:type="spellEnd"/>
      <w:r w:rsidRPr="00D97209">
        <w:rPr>
          <w:color w:val="000000" w:themeColor="text1"/>
          <w:spacing w:val="-1"/>
          <w:sz w:val="24"/>
          <w:szCs w:val="24"/>
        </w:rPr>
        <w:t xml:space="preserve"> </w:t>
      </w:r>
      <w:r w:rsidRPr="00D97209">
        <w:rPr>
          <w:color w:val="000000" w:themeColor="text1"/>
          <w:sz w:val="24"/>
          <w:szCs w:val="24"/>
        </w:rPr>
        <w:t>„</w:t>
      </w:r>
      <w:proofErr w:type="spellStart"/>
      <w:r w:rsidRPr="00D97209">
        <w:rPr>
          <w:color w:val="000000" w:themeColor="text1"/>
          <w:sz w:val="24"/>
          <w:szCs w:val="24"/>
        </w:rPr>
        <w:t>favorabil</w:t>
      </w:r>
      <w:proofErr w:type="spellEnd"/>
      <w:r w:rsidRPr="00D97209">
        <w:rPr>
          <w:color w:val="000000" w:themeColor="text1"/>
          <w:sz w:val="24"/>
          <w:szCs w:val="24"/>
        </w:rPr>
        <w:t>”;</w:t>
      </w:r>
    </w:p>
    <w:p w14:paraId="33ECB156" w14:textId="77777777" w:rsidR="007702CD" w:rsidRPr="00D97209" w:rsidRDefault="007702CD" w:rsidP="009E63E5">
      <w:pPr>
        <w:pStyle w:val="BodyText"/>
        <w:numPr>
          <w:ilvl w:val="0"/>
          <w:numId w:val="61"/>
        </w:numPr>
        <w:ind w:left="0" w:right="27" w:hanging="23"/>
        <w:jc w:val="both"/>
        <w:rPr>
          <w:color w:val="000000" w:themeColor="text1"/>
          <w:sz w:val="24"/>
          <w:szCs w:val="24"/>
        </w:rPr>
      </w:pPr>
      <w:proofErr w:type="spellStart"/>
      <w:r w:rsidRPr="00D97209">
        <w:rPr>
          <w:color w:val="000000" w:themeColor="text1"/>
          <w:sz w:val="24"/>
          <w:szCs w:val="24"/>
        </w:rPr>
        <w:t>gri</w:t>
      </w:r>
      <w:proofErr w:type="spellEnd"/>
      <w:r w:rsidRPr="00D97209">
        <w:rPr>
          <w:color w:val="000000" w:themeColor="text1"/>
          <w:spacing w:val="-2"/>
          <w:sz w:val="24"/>
          <w:szCs w:val="24"/>
        </w:rPr>
        <w:t xml:space="preserve"> </w:t>
      </w:r>
      <w:proofErr w:type="spellStart"/>
      <w:r w:rsidRPr="00D97209">
        <w:rPr>
          <w:color w:val="000000" w:themeColor="text1"/>
          <w:sz w:val="24"/>
          <w:szCs w:val="24"/>
        </w:rPr>
        <w:t>pentru</w:t>
      </w:r>
      <w:proofErr w:type="spellEnd"/>
      <w:r w:rsidRPr="00D97209">
        <w:rPr>
          <w:color w:val="000000" w:themeColor="text1"/>
          <w:spacing w:val="-2"/>
          <w:sz w:val="24"/>
          <w:szCs w:val="24"/>
        </w:rPr>
        <w:t xml:space="preserve"> </w:t>
      </w:r>
      <w:r w:rsidRPr="00D97209">
        <w:rPr>
          <w:color w:val="000000" w:themeColor="text1"/>
          <w:sz w:val="24"/>
          <w:szCs w:val="24"/>
        </w:rPr>
        <w:t>„</w:t>
      </w:r>
      <w:proofErr w:type="spellStart"/>
      <w:r w:rsidRPr="00D97209">
        <w:rPr>
          <w:color w:val="000000" w:themeColor="text1"/>
          <w:sz w:val="24"/>
          <w:szCs w:val="24"/>
        </w:rPr>
        <w:t>necunoscut</w:t>
      </w:r>
      <w:proofErr w:type="spellEnd"/>
      <w:r w:rsidRPr="00D97209">
        <w:rPr>
          <w:color w:val="000000" w:themeColor="text1"/>
          <w:sz w:val="24"/>
          <w:szCs w:val="24"/>
        </w:rPr>
        <w:t>”.</w:t>
      </w:r>
    </w:p>
    <w:p w14:paraId="1A5BF2A2" w14:textId="77777777" w:rsidR="007702CD" w:rsidRPr="00C54A03" w:rsidRDefault="007702CD" w:rsidP="00D97209">
      <w:pPr>
        <w:pStyle w:val="BodyText"/>
        <w:spacing w:before="40"/>
        <w:ind w:left="0" w:right="27"/>
        <w:jc w:val="both"/>
        <w:rPr>
          <w:color w:val="000000" w:themeColor="text1"/>
          <w:sz w:val="24"/>
          <w:szCs w:val="24"/>
        </w:rPr>
      </w:pPr>
      <w:proofErr w:type="spellStart"/>
      <w:r w:rsidRPr="00C54A03">
        <w:rPr>
          <w:color w:val="000000" w:themeColor="text1"/>
          <w:sz w:val="24"/>
          <w:szCs w:val="24"/>
        </w:rPr>
        <w:t>Având</w:t>
      </w:r>
      <w:proofErr w:type="spellEnd"/>
      <w:r w:rsidRPr="00C54A03">
        <w:rPr>
          <w:color w:val="000000" w:themeColor="text1"/>
          <w:spacing w:val="1"/>
          <w:sz w:val="24"/>
          <w:szCs w:val="24"/>
        </w:rPr>
        <w:t xml:space="preserve"> </w:t>
      </w:r>
      <w:proofErr w:type="spellStart"/>
      <w:r w:rsidRPr="00C54A03">
        <w:rPr>
          <w:color w:val="000000" w:themeColor="text1"/>
          <w:sz w:val="24"/>
          <w:szCs w:val="24"/>
        </w:rPr>
        <w:t>în</w:t>
      </w:r>
      <w:proofErr w:type="spellEnd"/>
      <w:r w:rsidRPr="00C54A03">
        <w:rPr>
          <w:color w:val="000000" w:themeColor="text1"/>
          <w:spacing w:val="1"/>
          <w:sz w:val="24"/>
          <w:szCs w:val="24"/>
        </w:rPr>
        <w:t xml:space="preserve"> </w:t>
      </w:r>
      <w:proofErr w:type="spellStart"/>
      <w:r w:rsidRPr="00C54A03">
        <w:rPr>
          <w:color w:val="000000" w:themeColor="text1"/>
          <w:sz w:val="24"/>
          <w:szCs w:val="24"/>
        </w:rPr>
        <w:t>vedere</w:t>
      </w:r>
      <w:proofErr w:type="spellEnd"/>
      <w:r w:rsidRPr="00C54A03">
        <w:rPr>
          <w:color w:val="000000" w:themeColor="text1"/>
          <w:spacing w:val="1"/>
          <w:sz w:val="24"/>
          <w:szCs w:val="24"/>
        </w:rPr>
        <w:t xml:space="preserve"> </w:t>
      </w:r>
      <w:proofErr w:type="spellStart"/>
      <w:r w:rsidRPr="00C54A03">
        <w:rPr>
          <w:color w:val="000000" w:themeColor="text1"/>
          <w:sz w:val="24"/>
          <w:szCs w:val="24"/>
        </w:rPr>
        <w:t>că</w:t>
      </w:r>
      <w:proofErr w:type="spellEnd"/>
      <w:r w:rsidRPr="00C54A03">
        <w:rPr>
          <w:color w:val="000000" w:themeColor="text1"/>
          <w:sz w:val="24"/>
          <w:szCs w:val="24"/>
        </w:rPr>
        <w:t xml:space="preserve"> </w:t>
      </w:r>
      <w:proofErr w:type="spellStart"/>
      <w:r w:rsidRPr="00C54A03">
        <w:rPr>
          <w:color w:val="000000" w:themeColor="text1"/>
          <w:sz w:val="24"/>
          <w:szCs w:val="24"/>
        </w:rPr>
        <w:t>speciile</w:t>
      </w:r>
      <w:proofErr w:type="spellEnd"/>
      <w:r w:rsidRPr="00C54A03">
        <w:rPr>
          <w:color w:val="000000" w:themeColor="text1"/>
          <w:spacing w:val="1"/>
          <w:sz w:val="24"/>
          <w:szCs w:val="24"/>
        </w:rPr>
        <w:t xml:space="preserve"> </w:t>
      </w:r>
      <w:proofErr w:type="spellStart"/>
      <w:r w:rsidRPr="00C54A03">
        <w:rPr>
          <w:color w:val="000000" w:themeColor="text1"/>
          <w:sz w:val="24"/>
          <w:szCs w:val="24"/>
        </w:rPr>
        <w:t>şi</w:t>
      </w:r>
      <w:proofErr w:type="spellEnd"/>
      <w:r w:rsidRPr="00C54A03">
        <w:rPr>
          <w:color w:val="000000" w:themeColor="text1"/>
          <w:spacing w:val="1"/>
          <w:sz w:val="24"/>
          <w:szCs w:val="24"/>
        </w:rPr>
        <w:t xml:space="preserve"> </w:t>
      </w:r>
      <w:proofErr w:type="spellStart"/>
      <w:r w:rsidRPr="00C54A03">
        <w:rPr>
          <w:color w:val="000000" w:themeColor="text1"/>
          <w:sz w:val="24"/>
          <w:szCs w:val="24"/>
        </w:rPr>
        <w:t>tipurile</w:t>
      </w:r>
      <w:proofErr w:type="spellEnd"/>
      <w:r w:rsidRPr="00C54A03">
        <w:rPr>
          <w:color w:val="000000" w:themeColor="text1"/>
          <w:sz w:val="24"/>
          <w:szCs w:val="24"/>
        </w:rPr>
        <w:t xml:space="preserve"> de </w:t>
      </w:r>
      <w:proofErr w:type="spellStart"/>
      <w:r w:rsidRPr="00C54A03">
        <w:rPr>
          <w:color w:val="000000" w:themeColor="text1"/>
          <w:sz w:val="24"/>
          <w:szCs w:val="24"/>
        </w:rPr>
        <w:t>habitatele</w:t>
      </w:r>
      <w:proofErr w:type="spellEnd"/>
      <w:r w:rsidRPr="00C54A03">
        <w:rPr>
          <w:color w:val="000000" w:themeColor="text1"/>
          <w:sz w:val="24"/>
          <w:szCs w:val="24"/>
        </w:rPr>
        <w:t xml:space="preserve"> de</w:t>
      </w:r>
      <w:r w:rsidRPr="00C54A03">
        <w:rPr>
          <w:color w:val="000000" w:themeColor="text1"/>
          <w:spacing w:val="1"/>
          <w:sz w:val="24"/>
          <w:szCs w:val="24"/>
        </w:rPr>
        <w:t xml:space="preserve"> </w:t>
      </w:r>
      <w:proofErr w:type="spellStart"/>
      <w:r w:rsidRPr="00C54A03">
        <w:rPr>
          <w:color w:val="000000" w:themeColor="text1"/>
          <w:sz w:val="24"/>
          <w:szCs w:val="24"/>
        </w:rPr>
        <w:t>importanţă</w:t>
      </w:r>
      <w:proofErr w:type="spellEnd"/>
      <w:r w:rsidRPr="00C54A03">
        <w:rPr>
          <w:color w:val="000000" w:themeColor="text1"/>
          <w:spacing w:val="1"/>
          <w:sz w:val="24"/>
          <w:szCs w:val="24"/>
        </w:rPr>
        <w:t xml:space="preserve"> </w:t>
      </w:r>
      <w:proofErr w:type="spellStart"/>
      <w:r w:rsidRPr="00C54A03">
        <w:rPr>
          <w:color w:val="000000" w:themeColor="text1"/>
          <w:sz w:val="24"/>
          <w:szCs w:val="24"/>
        </w:rPr>
        <w:t>comunitară</w:t>
      </w:r>
      <w:proofErr w:type="spellEnd"/>
      <w:r w:rsidRPr="00C54A03">
        <w:rPr>
          <w:color w:val="000000" w:themeColor="text1"/>
          <w:sz w:val="24"/>
          <w:szCs w:val="24"/>
        </w:rPr>
        <w:t xml:space="preserve"> au</w:t>
      </w:r>
      <w:r w:rsidRPr="00C54A03">
        <w:rPr>
          <w:color w:val="000000" w:themeColor="text1"/>
          <w:spacing w:val="1"/>
          <w:sz w:val="24"/>
          <w:szCs w:val="24"/>
        </w:rPr>
        <w:t xml:space="preserve"> </w:t>
      </w:r>
      <w:proofErr w:type="spellStart"/>
      <w:r w:rsidRPr="00C54A03">
        <w:rPr>
          <w:color w:val="000000" w:themeColor="text1"/>
          <w:sz w:val="24"/>
          <w:szCs w:val="24"/>
        </w:rPr>
        <w:t>fost</w:t>
      </w:r>
      <w:proofErr w:type="spellEnd"/>
      <w:r w:rsidRPr="00C54A03">
        <w:rPr>
          <w:color w:val="000000" w:themeColor="text1"/>
          <w:spacing w:val="60"/>
          <w:sz w:val="24"/>
          <w:szCs w:val="24"/>
        </w:rPr>
        <w:t xml:space="preserve"> </w:t>
      </w:r>
      <w:proofErr w:type="spellStart"/>
      <w:r w:rsidRPr="00C54A03">
        <w:rPr>
          <w:color w:val="000000" w:themeColor="text1"/>
          <w:sz w:val="24"/>
          <w:szCs w:val="24"/>
        </w:rPr>
        <w:t>listate</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pacing w:val="1"/>
          <w:sz w:val="24"/>
          <w:szCs w:val="24"/>
        </w:rPr>
        <w:t xml:space="preserve"> </w:t>
      </w:r>
      <w:proofErr w:type="spellStart"/>
      <w:r w:rsidRPr="00C54A03">
        <w:rPr>
          <w:color w:val="000000" w:themeColor="text1"/>
          <w:sz w:val="24"/>
          <w:szCs w:val="24"/>
        </w:rPr>
        <w:t>cadrul</w:t>
      </w:r>
      <w:proofErr w:type="spellEnd"/>
      <w:r w:rsidRPr="00C54A03">
        <w:rPr>
          <w:color w:val="000000" w:themeColor="text1"/>
          <w:sz w:val="24"/>
          <w:szCs w:val="24"/>
        </w:rPr>
        <w:t xml:space="preserve"> </w:t>
      </w:r>
      <w:proofErr w:type="spellStart"/>
      <w:r w:rsidRPr="00C54A03">
        <w:rPr>
          <w:color w:val="000000" w:themeColor="text1"/>
          <w:sz w:val="24"/>
          <w:szCs w:val="24"/>
        </w:rPr>
        <w:t>anexelor</w:t>
      </w:r>
      <w:proofErr w:type="spellEnd"/>
      <w:r w:rsidRPr="00C54A03">
        <w:rPr>
          <w:color w:val="000000" w:themeColor="text1"/>
          <w:sz w:val="24"/>
          <w:szCs w:val="24"/>
        </w:rPr>
        <w:t xml:space="preserve"> </w:t>
      </w:r>
      <w:proofErr w:type="spellStart"/>
      <w:r w:rsidRPr="00C54A03">
        <w:rPr>
          <w:color w:val="000000" w:themeColor="text1"/>
          <w:sz w:val="24"/>
          <w:szCs w:val="24"/>
        </w:rPr>
        <w:t>Directivei</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urma</w:t>
      </w:r>
      <w:proofErr w:type="spellEnd"/>
      <w:r w:rsidRPr="00C54A03">
        <w:rPr>
          <w:color w:val="000000" w:themeColor="text1"/>
          <w:sz w:val="24"/>
          <w:szCs w:val="24"/>
        </w:rPr>
        <w:t xml:space="preserve"> </w:t>
      </w:r>
      <w:proofErr w:type="spellStart"/>
      <w:r w:rsidRPr="00C54A03">
        <w:rPr>
          <w:color w:val="000000" w:themeColor="text1"/>
          <w:sz w:val="24"/>
          <w:szCs w:val="24"/>
        </w:rPr>
        <w:t>unor</w:t>
      </w:r>
      <w:proofErr w:type="spellEnd"/>
      <w:r w:rsidRPr="00C54A03">
        <w:rPr>
          <w:color w:val="000000" w:themeColor="text1"/>
          <w:sz w:val="24"/>
          <w:szCs w:val="24"/>
        </w:rPr>
        <w:t xml:space="preserve"> </w:t>
      </w:r>
      <w:proofErr w:type="spellStart"/>
      <w:r w:rsidRPr="00C54A03">
        <w:rPr>
          <w:color w:val="000000" w:themeColor="text1"/>
          <w:sz w:val="24"/>
          <w:szCs w:val="24"/>
        </w:rPr>
        <w:t>studii</w:t>
      </w:r>
      <w:proofErr w:type="spellEnd"/>
      <w:r w:rsidRPr="00C54A03">
        <w:rPr>
          <w:color w:val="000000" w:themeColor="text1"/>
          <w:sz w:val="24"/>
          <w:szCs w:val="24"/>
        </w:rPr>
        <w:t xml:space="preserve"> </w:t>
      </w:r>
      <w:proofErr w:type="spellStart"/>
      <w:r w:rsidRPr="00C54A03">
        <w:rPr>
          <w:color w:val="000000" w:themeColor="text1"/>
          <w:sz w:val="24"/>
          <w:szCs w:val="24"/>
        </w:rPr>
        <w:t>și</w:t>
      </w:r>
      <w:proofErr w:type="spellEnd"/>
      <w:r w:rsidRPr="00C54A03">
        <w:rPr>
          <w:color w:val="000000" w:themeColor="text1"/>
          <w:sz w:val="24"/>
          <w:szCs w:val="24"/>
        </w:rPr>
        <w:t xml:space="preserve"> </w:t>
      </w:r>
      <w:proofErr w:type="spellStart"/>
      <w:r w:rsidRPr="00C54A03">
        <w:rPr>
          <w:color w:val="000000" w:themeColor="text1"/>
          <w:sz w:val="24"/>
          <w:szCs w:val="24"/>
        </w:rPr>
        <w:t>aprecieri</w:t>
      </w:r>
      <w:proofErr w:type="spellEnd"/>
      <w:r w:rsidRPr="00C54A03">
        <w:rPr>
          <w:color w:val="000000" w:themeColor="text1"/>
          <w:sz w:val="24"/>
          <w:szCs w:val="24"/>
        </w:rPr>
        <w:t xml:space="preserve"> </w:t>
      </w:r>
      <w:proofErr w:type="spellStart"/>
      <w:r w:rsidRPr="00C54A03">
        <w:rPr>
          <w:color w:val="000000" w:themeColor="text1"/>
          <w:sz w:val="24"/>
          <w:szCs w:val="24"/>
        </w:rPr>
        <w:t>prin</w:t>
      </w:r>
      <w:proofErr w:type="spellEnd"/>
      <w:r w:rsidRPr="00C54A03">
        <w:rPr>
          <w:color w:val="000000" w:themeColor="text1"/>
          <w:sz w:val="24"/>
          <w:szCs w:val="24"/>
        </w:rPr>
        <w:t xml:space="preserve"> care s-a </w:t>
      </w:r>
      <w:proofErr w:type="spellStart"/>
      <w:r w:rsidRPr="00C54A03">
        <w:rPr>
          <w:color w:val="000000" w:themeColor="text1"/>
          <w:sz w:val="24"/>
          <w:szCs w:val="24"/>
        </w:rPr>
        <w:t>constatat</w:t>
      </w:r>
      <w:proofErr w:type="spellEnd"/>
      <w:r w:rsidRPr="00C54A03">
        <w:rPr>
          <w:color w:val="000000" w:themeColor="text1"/>
          <w:sz w:val="24"/>
          <w:szCs w:val="24"/>
        </w:rPr>
        <w:t xml:space="preserve"> </w:t>
      </w:r>
      <w:proofErr w:type="spellStart"/>
      <w:r w:rsidRPr="00C54A03">
        <w:rPr>
          <w:color w:val="000000" w:themeColor="text1"/>
          <w:sz w:val="24"/>
          <w:szCs w:val="24"/>
        </w:rPr>
        <w:t>că</w:t>
      </w:r>
      <w:proofErr w:type="spellEnd"/>
      <w:r w:rsidRPr="00C54A03">
        <w:rPr>
          <w:color w:val="000000" w:themeColor="text1"/>
          <w:sz w:val="24"/>
          <w:szCs w:val="24"/>
        </w:rPr>
        <w:t xml:space="preserve"> sunt </w:t>
      </w:r>
      <w:proofErr w:type="spellStart"/>
      <w:r w:rsidRPr="00C54A03">
        <w:rPr>
          <w:color w:val="000000" w:themeColor="text1"/>
          <w:sz w:val="24"/>
          <w:szCs w:val="24"/>
        </w:rPr>
        <w:t>ameninţate</w:t>
      </w:r>
      <w:proofErr w:type="spellEnd"/>
      <w:r w:rsidRPr="00C54A03">
        <w:rPr>
          <w:color w:val="000000" w:themeColor="text1"/>
          <w:sz w:val="24"/>
          <w:szCs w:val="24"/>
        </w:rPr>
        <w:t>,</w:t>
      </w:r>
      <w:r w:rsidRPr="00C54A03">
        <w:rPr>
          <w:color w:val="000000" w:themeColor="text1"/>
          <w:spacing w:val="1"/>
          <w:sz w:val="24"/>
          <w:szCs w:val="24"/>
        </w:rPr>
        <w:t xml:space="preserve"> </w:t>
      </w:r>
      <w:r w:rsidRPr="00C54A03">
        <w:rPr>
          <w:color w:val="000000" w:themeColor="text1"/>
          <w:sz w:val="24"/>
          <w:szCs w:val="24"/>
        </w:rPr>
        <w:t xml:space="preserve">rare </w:t>
      </w:r>
      <w:proofErr w:type="spellStart"/>
      <w:r w:rsidRPr="00C54A03">
        <w:rPr>
          <w:color w:val="000000" w:themeColor="text1"/>
          <w:sz w:val="24"/>
          <w:szCs w:val="24"/>
        </w:rPr>
        <w:t>sau</w:t>
      </w:r>
      <w:proofErr w:type="spellEnd"/>
      <w:r w:rsidRPr="00C54A03">
        <w:rPr>
          <w:color w:val="000000" w:themeColor="text1"/>
          <w:sz w:val="24"/>
          <w:szCs w:val="24"/>
        </w:rPr>
        <w:t xml:space="preserve"> </w:t>
      </w:r>
      <w:proofErr w:type="spellStart"/>
      <w:r w:rsidRPr="00C54A03">
        <w:rPr>
          <w:color w:val="000000" w:themeColor="text1"/>
          <w:sz w:val="24"/>
          <w:szCs w:val="24"/>
        </w:rPr>
        <w:t>endemice</w:t>
      </w:r>
      <w:proofErr w:type="spellEnd"/>
      <w:r w:rsidRPr="00C54A03">
        <w:rPr>
          <w:color w:val="000000" w:themeColor="text1"/>
          <w:sz w:val="24"/>
          <w:szCs w:val="24"/>
        </w:rPr>
        <w:t xml:space="preserve">, nu </w:t>
      </w:r>
      <w:proofErr w:type="spellStart"/>
      <w:r w:rsidRPr="00C54A03">
        <w:rPr>
          <w:color w:val="000000" w:themeColor="text1"/>
          <w:sz w:val="24"/>
          <w:szCs w:val="24"/>
        </w:rPr>
        <w:t>ar</w:t>
      </w:r>
      <w:proofErr w:type="spellEnd"/>
      <w:r w:rsidRPr="00C54A03">
        <w:rPr>
          <w:color w:val="000000" w:themeColor="text1"/>
          <w:sz w:val="24"/>
          <w:szCs w:val="24"/>
        </w:rPr>
        <w:t xml:space="preserve"> </w:t>
      </w:r>
      <w:proofErr w:type="spellStart"/>
      <w:r w:rsidRPr="00C54A03">
        <w:rPr>
          <w:color w:val="000000" w:themeColor="text1"/>
          <w:sz w:val="24"/>
          <w:szCs w:val="24"/>
        </w:rPr>
        <w:t>trebui</w:t>
      </w:r>
      <w:proofErr w:type="spellEnd"/>
      <w:r w:rsidRPr="00C54A03">
        <w:rPr>
          <w:color w:val="000000" w:themeColor="text1"/>
          <w:sz w:val="24"/>
          <w:szCs w:val="24"/>
        </w:rPr>
        <w:t xml:space="preserve"> </w:t>
      </w:r>
      <w:proofErr w:type="spellStart"/>
      <w:r w:rsidRPr="00C54A03">
        <w:rPr>
          <w:color w:val="000000" w:themeColor="text1"/>
          <w:sz w:val="24"/>
          <w:szCs w:val="24"/>
        </w:rPr>
        <w:t>să</w:t>
      </w:r>
      <w:proofErr w:type="spellEnd"/>
      <w:r w:rsidRPr="00C54A03">
        <w:rPr>
          <w:color w:val="000000" w:themeColor="text1"/>
          <w:sz w:val="24"/>
          <w:szCs w:val="24"/>
        </w:rPr>
        <w:t xml:space="preserve"> </w:t>
      </w:r>
      <w:proofErr w:type="spellStart"/>
      <w:r w:rsidRPr="00C54A03">
        <w:rPr>
          <w:color w:val="000000" w:themeColor="text1"/>
          <w:sz w:val="24"/>
          <w:szCs w:val="24"/>
        </w:rPr>
        <w:t>surprindă</w:t>
      </w:r>
      <w:proofErr w:type="spellEnd"/>
      <w:r w:rsidRPr="00C54A03">
        <w:rPr>
          <w:color w:val="000000" w:themeColor="text1"/>
          <w:sz w:val="24"/>
          <w:szCs w:val="24"/>
        </w:rPr>
        <w:t xml:space="preserve"> pe </w:t>
      </w:r>
      <w:proofErr w:type="spellStart"/>
      <w:r w:rsidRPr="00C54A03">
        <w:rPr>
          <w:color w:val="000000" w:themeColor="text1"/>
          <w:sz w:val="24"/>
          <w:szCs w:val="24"/>
        </w:rPr>
        <w:t>nimeni</w:t>
      </w:r>
      <w:proofErr w:type="spellEnd"/>
      <w:r w:rsidRPr="00C54A03">
        <w:rPr>
          <w:color w:val="000000" w:themeColor="text1"/>
          <w:sz w:val="24"/>
          <w:szCs w:val="24"/>
        </w:rPr>
        <w:t xml:space="preserve"> </w:t>
      </w:r>
      <w:proofErr w:type="spellStart"/>
      <w:r w:rsidRPr="00C54A03">
        <w:rPr>
          <w:color w:val="000000" w:themeColor="text1"/>
          <w:sz w:val="24"/>
          <w:szCs w:val="24"/>
        </w:rPr>
        <w:t>faptul</w:t>
      </w:r>
      <w:proofErr w:type="spellEnd"/>
      <w:r w:rsidRPr="00C54A03">
        <w:rPr>
          <w:color w:val="000000" w:themeColor="text1"/>
          <w:sz w:val="24"/>
          <w:szCs w:val="24"/>
        </w:rPr>
        <w:t xml:space="preserve"> </w:t>
      </w:r>
      <w:proofErr w:type="spellStart"/>
      <w:r w:rsidRPr="00C54A03">
        <w:rPr>
          <w:color w:val="000000" w:themeColor="text1"/>
          <w:sz w:val="24"/>
          <w:szCs w:val="24"/>
        </w:rPr>
        <w:t>că</w:t>
      </w:r>
      <w:proofErr w:type="spellEnd"/>
      <w:r w:rsidRPr="00C54A03">
        <w:rPr>
          <w:color w:val="000000" w:themeColor="text1"/>
          <w:sz w:val="24"/>
          <w:szCs w:val="24"/>
        </w:rPr>
        <w:t xml:space="preserve"> </w:t>
      </w:r>
      <w:proofErr w:type="spellStart"/>
      <w:r w:rsidRPr="00C54A03">
        <w:rPr>
          <w:color w:val="000000" w:themeColor="text1"/>
          <w:sz w:val="24"/>
          <w:szCs w:val="24"/>
        </w:rPr>
        <w:t>majoritatea</w:t>
      </w:r>
      <w:proofErr w:type="spellEnd"/>
      <w:r w:rsidRPr="00C54A03">
        <w:rPr>
          <w:color w:val="000000" w:themeColor="text1"/>
          <w:sz w:val="24"/>
          <w:szCs w:val="24"/>
        </w:rPr>
        <w:t xml:space="preserve"> </w:t>
      </w:r>
      <w:proofErr w:type="spellStart"/>
      <w:r w:rsidRPr="00C54A03">
        <w:rPr>
          <w:color w:val="000000" w:themeColor="text1"/>
          <w:sz w:val="24"/>
          <w:szCs w:val="24"/>
        </w:rPr>
        <w:t>dintre</w:t>
      </w:r>
      <w:proofErr w:type="spellEnd"/>
      <w:r w:rsidRPr="00C54A03">
        <w:rPr>
          <w:color w:val="000000" w:themeColor="text1"/>
          <w:sz w:val="24"/>
          <w:szCs w:val="24"/>
        </w:rPr>
        <w:t xml:space="preserve"> </w:t>
      </w:r>
      <w:proofErr w:type="spellStart"/>
      <w:r w:rsidRPr="00C54A03">
        <w:rPr>
          <w:color w:val="000000" w:themeColor="text1"/>
          <w:sz w:val="24"/>
          <w:szCs w:val="24"/>
        </w:rPr>
        <w:t>acestea</w:t>
      </w:r>
      <w:proofErr w:type="spellEnd"/>
      <w:r w:rsidRPr="00C54A03">
        <w:rPr>
          <w:color w:val="000000" w:themeColor="text1"/>
          <w:sz w:val="24"/>
          <w:szCs w:val="24"/>
        </w:rPr>
        <w:t xml:space="preserve"> se</w:t>
      </w:r>
      <w:r w:rsidRPr="00C54A03">
        <w:rPr>
          <w:color w:val="000000" w:themeColor="text1"/>
          <w:spacing w:val="1"/>
          <w:sz w:val="24"/>
          <w:szCs w:val="24"/>
        </w:rPr>
        <w:t xml:space="preserve"> </w:t>
      </w:r>
      <w:proofErr w:type="spellStart"/>
      <w:r w:rsidRPr="00C54A03">
        <w:rPr>
          <w:color w:val="000000" w:themeColor="text1"/>
          <w:sz w:val="24"/>
          <w:szCs w:val="24"/>
        </w:rPr>
        <w:t>încadrează</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categoriile</w:t>
      </w:r>
      <w:proofErr w:type="spellEnd"/>
      <w:r w:rsidRPr="00C54A03">
        <w:rPr>
          <w:color w:val="000000" w:themeColor="text1"/>
          <w:sz w:val="24"/>
          <w:szCs w:val="24"/>
        </w:rPr>
        <w:t xml:space="preserve">   „</w:t>
      </w:r>
      <w:proofErr w:type="spellStart"/>
      <w:r w:rsidRPr="00C54A03">
        <w:rPr>
          <w:color w:val="000000" w:themeColor="text1"/>
          <w:sz w:val="24"/>
          <w:szCs w:val="24"/>
        </w:rPr>
        <w:t>nefavorabil-inadecvat</w:t>
      </w:r>
      <w:proofErr w:type="spellEnd"/>
      <w:r w:rsidRPr="00C54A03">
        <w:rPr>
          <w:color w:val="000000" w:themeColor="text1"/>
          <w:sz w:val="24"/>
          <w:szCs w:val="24"/>
        </w:rPr>
        <w:t>” (</w:t>
      </w:r>
      <w:proofErr w:type="spellStart"/>
      <w:r w:rsidRPr="00C54A03">
        <w:rPr>
          <w:color w:val="000000" w:themeColor="text1"/>
          <w:sz w:val="24"/>
          <w:szCs w:val="24"/>
        </w:rPr>
        <w:t>portocoliu</w:t>
      </w:r>
      <w:proofErr w:type="spellEnd"/>
      <w:r w:rsidRPr="00C54A03">
        <w:rPr>
          <w:color w:val="000000" w:themeColor="text1"/>
          <w:sz w:val="24"/>
          <w:szCs w:val="24"/>
        </w:rPr>
        <w:t xml:space="preserve">) </w:t>
      </w:r>
      <w:proofErr w:type="spellStart"/>
      <w:r w:rsidRPr="00C54A03">
        <w:rPr>
          <w:color w:val="000000" w:themeColor="text1"/>
          <w:sz w:val="24"/>
          <w:szCs w:val="24"/>
        </w:rPr>
        <w:t>sau</w:t>
      </w:r>
      <w:proofErr w:type="spellEnd"/>
      <w:r w:rsidRPr="00C54A03">
        <w:rPr>
          <w:color w:val="000000" w:themeColor="text1"/>
          <w:sz w:val="24"/>
          <w:szCs w:val="24"/>
        </w:rPr>
        <w:t xml:space="preserve"> „</w:t>
      </w:r>
      <w:proofErr w:type="spellStart"/>
      <w:r w:rsidRPr="00C54A03">
        <w:rPr>
          <w:color w:val="000000" w:themeColor="text1"/>
          <w:sz w:val="24"/>
          <w:szCs w:val="24"/>
        </w:rPr>
        <w:t>nefavorabil-rău</w:t>
      </w:r>
      <w:proofErr w:type="spellEnd"/>
      <w:r w:rsidRPr="00C54A03">
        <w:rPr>
          <w:color w:val="000000" w:themeColor="text1"/>
          <w:sz w:val="24"/>
          <w:szCs w:val="24"/>
        </w:rPr>
        <w:t>”(</w:t>
      </w:r>
      <w:proofErr w:type="spellStart"/>
      <w:r w:rsidRPr="00C54A03">
        <w:rPr>
          <w:color w:val="000000" w:themeColor="text1"/>
          <w:sz w:val="24"/>
          <w:szCs w:val="24"/>
        </w:rPr>
        <w:t>roșu</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ceea</w:t>
      </w:r>
      <w:proofErr w:type="spellEnd"/>
      <w:r w:rsidRPr="00C54A03">
        <w:rPr>
          <w:color w:val="000000" w:themeColor="text1"/>
          <w:spacing w:val="1"/>
          <w:sz w:val="24"/>
          <w:szCs w:val="24"/>
        </w:rPr>
        <w:t xml:space="preserve"> </w:t>
      </w:r>
      <w:proofErr w:type="spellStart"/>
      <w:r w:rsidRPr="00C54A03">
        <w:rPr>
          <w:color w:val="000000" w:themeColor="text1"/>
          <w:sz w:val="24"/>
          <w:szCs w:val="24"/>
        </w:rPr>
        <w:t>ce</w:t>
      </w:r>
      <w:proofErr w:type="spellEnd"/>
      <w:r w:rsidRPr="00C54A03">
        <w:rPr>
          <w:color w:val="000000" w:themeColor="text1"/>
          <w:sz w:val="24"/>
          <w:szCs w:val="24"/>
        </w:rPr>
        <w:t xml:space="preserve"> </w:t>
      </w:r>
      <w:proofErr w:type="spellStart"/>
      <w:r w:rsidRPr="00C54A03">
        <w:rPr>
          <w:color w:val="000000" w:themeColor="text1"/>
          <w:sz w:val="24"/>
          <w:szCs w:val="24"/>
        </w:rPr>
        <w:t>privește</w:t>
      </w:r>
      <w:proofErr w:type="spellEnd"/>
      <w:r w:rsidRPr="00C54A03">
        <w:rPr>
          <w:color w:val="000000" w:themeColor="text1"/>
          <w:sz w:val="24"/>
          <w:szCs w:val="24"/>
        </w:rPr>
        <w:t xml:space="preserve"> </w:t>
      </w:r>
      <w:proofErr w:type="spellStart"/>
      <w:r w:rsidRPr="00C54A03">
        <w:rPr>
          <w:color w:val="000000" w:themeColor="text1"/>
          <w:sz w:val="24"/>
          <w:szCs w:val="24"/>
        </w:rPr>
        <w:t>starea</w:t>
      </w:r>
      <w:proofErr w:type="spellEnd"/>
      <w:r w:rsidRPr="00C54A03">
        <w:rPr>
          <w:color w:val="000000" w:themeColor="text1"/>
          <w:sz w:val="24"/>
          <w:szCs w:val="24"/>
        </w:rPr>
        <w:t xml:space="preserve"> lor de </w:t>
      </w:r>
      <w:proofErr w:type="spellStart"/>
      <w:r w:rsidRPr="00C54A03">
        <w:rPr>
          <w:color w:val="000000" w:themeColor="text1"/>
          <w:sz w:val="24"/>
          <w:szCs w:val="24"/>
        </w:rPr>
        <w:t>conservare</w:t>
      </w:r>
      <w:proofErr w:type="spellEnd"/>
      <w:r w:rsidRPr="00C54A03">
        <w:rPr>
          <w:color w:val="000000" w:themeColor="text1"/>
          <w:sz w:val="24"/>
          <w:szCs w:val="24"/>
        </w:rPr>
        <w:t xml:space="preserve">. </w:t>
      </w:r>
      <w:proofErr w:type="spellStart"/>
      <w:r w:rsidRPr="00C54A03">
        <w:rPr>
          <w:color w:val="000000" w:themeColor="text1"/>
          <w:sz w:val="24"/>
          <w:szCs w:val="24"/>
        </w:rPr>
        <w:t>Deasemenea</w:t>
      </w:r>
      <w:proofErr w:type="spellEnd"/>
      <w:r w:rsidRPr="00C54A03">
        <w:rPr>
          <w:color w:val="000000" w:themeColor="text1"/>
          <w:sz w:val="24"/>
          <w:szCs w:val="24"/>
        </w:rPr>
        <w:t xml:space="preserve">, </w:t>
      </w:r>
      <w:proofErr w:type="spellStart"/>
      <w:r w:rsidRPr="00C54A03">
        <w:rPr>
          <w:color w:val="000000" w:themeColor="text1"/>
          <w:sz w:val="24"/>
          <w:szCs w:val="24"/>
        </w:rPr>
        <w:t>ţinând</w:t>
      </w:r>
      <w:proofErr w:type="spellEnd"/>
      <w:r w:rsidRPr="00C54A03">
        <w:rPr>
          <w:color w:val="000000" w:themeColor="text1"/>
          <w:sz w:val="24"/>
          <w:szCs w:val="24"/>
        </w:rPr>
        <w:t xml:space="preserve"> </w:t>
      </w:r>
      <w:proofErr w:type="spellStart"/>
      <w:r w:rsidRPr="00C54A03">
        <w:rPr>
          <w:color w:val="000000" w:themeColor="text1"/>
          <w:sz w:val="24"/>
          <w:szCs w:val="24"/>
        </w:rPr>
        <w:t>cont</w:t>
      </w:r>
      <w:proofErr w:type="spellEnd"/>
      <w:r w:rsidRPr="00C54A03">
        <w:rPr>
          <w:color w:val="000000" w:themeColor="text1"/>
          <w:sz w:val="24"/>
          <w:szCs w:val="24"/>
        </w:rPr>
        <w:t xml:space="preserve"> de </w:t>
      </w:r>
      <w:proofErr w:type="spellStart"/>
      <w:r w:rsidRPr="00C54A03">
        <w:rPr>
          <w:color w:val="000000" w:themeColor="text1"/>
          <w:sz w:val="24"/>
          <w:szCs w:val="24"/>
        </w:rPr>
        <w:t>faptul</w:t>
      </w:r>
      <w:proofErr w:type="spellEnd"/>
      <w:r w:rsidRPr="00C54A03">
        <w:rPr>
          <w:color w:val="000000" w:themeColor="text1"/>
          <w:sz w:val="24"/>
          <w:szCs w:val="24"/>
        </w:rPr>
        <w:t xml:space="preserve"> </w:t>
      </w:r>
      <w:proofErr w:type="spellStart"/>
      <w:r w:rsidRPr="00C54A03">
        <w:rPr>
          <w:color w:val="000000" w:themeColor="text1"/>
          <w:sz w:val="24"/>
          <w:szCs w:val="24"/>
        </w:rPr>
        <w:t>că</w:t>
      </w:r>
      <w:proofErr w:type="spellEnd"/>
      <w:r w:rsidRPr="00C54A03">
        <w:rPr>
          <w:color w:val="000000" w:themeColor="text1"/>
          <w:sz w:val="24"/>
          <w:szCs w:val="24"/>
        </w:rPr>
        <w:t xml:space="preserve"> </w:t>
      </w:r>
      <w:proofErr w:type="spellStart"/>
      <w:r w:rsidRPr="00C54A03">
        <w:rPr>
          <w:color w:val="000000" w:themeColor="text1"/>
          <w:sz w:val="24"/>
          <w:szCs w:val="24"/>
        </w:rPr>
        <w:t>este</w:t>
      </w:r>
      <w:proofErr w:type="spellEnd"/>
      <w:r w:rsidRPr="00C54A03">
        <w:rPr>
          <w:color w:val="000000" w:themeColor="text1"/>
          <w:sz w:val="24"/>
          <w:szCs w:val="24"/>
        </w:rPr>
        <w:t xml:space="preserve"> </w:t>
      </w:r>
      <w:proofErr w:type="spellStart"/>
      <w:r w:rsidRPr="00C54A03">
        <w:rPr>
          <w:color w:val="000000" w:themeColor="text1"/>
          <w:sz w:val="24"/>
          <w:szCs w:val="24"/>
        </w:rPr>
        <w:t>necesară</w:t>
      </w:r>
      <w:proofErr w:type="spellEnd"/>
      <w:r w:rsidRPr="00C54A03">
        <w:rPr>
          <w:color w:val="000000" w:themeColor="text1"/>
          <w:spacing w:val="1"/>
          <w:sz w:val="24"/>
          <w:szCs w:val="24"/>
        </w:rPr>
        <w:t xml:space="preserve"> </w:t>
      </w:r>
      <w:r w:rsidRPr="00C54A03">
        <w:rPr>
          <w:color w:val="000000" w:themeColor="text1"/>
          <w:sz w:val="24"/>
          <w:szCs w:val="24"/>
        </w:rPr>
        <w:t xml:space="preserve">o </w:t>
      </w:r>
      <w:proofErr w:type="spellStart"/>
      <w:r w:rsidRPr="00C54A03">
        <w:rPr>
          <w:color w:val="000000" w:themeColor="text1"/>
          <w:sz w:val="24"/>
          <w:szCs w:val="24"/>
        </w:rPr>
        <w:t>lungă</w:t>
      </w:r>
      <w:proofErr w:type="spellEnd"/>
      <w:r w:rsidRPr="00C54A03">
        <w:rPr>
          <w:color w:val="000000" w:themeColor="text1"/>
          <w:spacing w:val="1"/>
          <w:sz w:val="24"/>
          <w:szCs w:val="24"/>
        </w:rPr>
        <w:t xml:space="preserve"> </w:t>
      </w:r>
      <w:proofErr w:type="spellStart"/>
      <w:r w:rsidRPr="00C54A03">
        <w:rPr>
          <w:color w:val="000000" w:themeColor="text1"/>
          <w:sz w:val="24"/>
          <w:szCs w:val="24"/>
        </w:rPr>
        <w:t>perioadă</w:t>
      </w:r>
      <w:proofErr w:type="spellEnd"/>
      <w:r w:rsidRPr="00C54A03">
        <w:rPr>
          <w:color w:val="000000" w:themeColor="text1"/>
          <w:sz w:val="24"/>
          <w:szCs w:val="24"/>
        </w:rPr>
        <w:t xml:space="preserve"> de </w:t>
      </w:r>
      <w:proofErr w:type="spellStart"/>
      <w:r w:rsidRPr="00C54A03">
        <w:rPr>
          <w:color w:val="000000" w:themeColor="text1"/>
          <w:sz w:val="24"/>
          <w:szCs w:val="24"/>
        </w:rPr>
        <w:t>timp</w:t>
      </w:r>
      <w:proofErr w:type="spellEnd"/>
      <w:r w:rsidRPr="00C54A03">
        <w:rPr>
          <w:color w:val="000000" w:themeColor="text1"/>
          <w:sz w:val="24"/>
          <w:szCs w:val="24"/>
        </w:rPr>
        <w:t xml:space="preserve"> </w:t>
      </w:r>
      <w:proofErr w:type="spellStart"/>
      <w:r w:rsidRPr="00C54A03">
        <w:rPr>
          <w:color w:val="000000" w:themeColor="text1"/>
          <w:sz w:val="24"/>
          <w:szCs w:val="24"/>
        </w:rPr>
        <w:t>pentru</w:t>
      </w:r>
      <w:proofErr w:type="spellEnd"/>
      <w:r w:rsidRPr="00C54A03">
        <w:rPr>
          <w:color w:val="000000" w:themeColor="text1"/>
          <w:sz w:val="24"/>
          <w:szCs w:val="24"/>
        </w:rPr>
        <w:t xml:space="preserve"> ca o specie </w:t>
      </w:r>
      <w:proofErr w:type="spellStart"/>
      <w:r w:rsidRPr="00C54A03">
        <w:rPr>
          <w:color w:val="000000" w:themeColor="text1"/>
          <w:sz w:val="24"/>
          <w:szCs w:val="24"/>
        </w:rPr>
        <w:t>sau</w:t>
      </w:r>
      <w:proofErr w:type="spellEnd"/>
      <w:r w:rsidRPr="00C54A03">
        <w:rPr>
          <w:color w:val="000000" w:themeColor="text1"/>
          <w:sz w:val="24"/>
          <w:szCs w:val="24"/>
        </w:rPr>
        <w:t xml:space="preserve"> un tip de habitat </w:t>
      </w:r>
      <w:proofErr w:type="spellStart"/>
      <w:r w:rsidRPr="00C54A03">
        <w:rPr>
          <w:color w:val="000000" w:themeColor="text1"/>
          <w:sz w:val="24"/>
          <w:szCs w:val="24"/>
        </w:rPr>
        <w:t>să</w:t>
      </w:r>
      <w:proofErr w:type="spellEnd"/>
      <w:r w:rsidRPr="00C54A03">
        <w:rPr>
          <w:color w:val="000000" w:themeColor="text1"/>
          <w:sz w:val="24"/>
          <w:szCs w:val="24"/>
        </w:rPr>
        <w:t xml:space="preserve"> </w:t>
      </w:r>
      <w:proofErr w:type="spellStart"/>
      <w:r w:rsidRPr="00C54A03">
        <w:rPr>
          <w:color w:val="000000" w:themeColor="text1"/>
          <w:sz w:val="24"/>
          <w:szCs w:val="24"/>
        </w:rPr>
        <w:t>ajungă</w:t>
      </w:r>
      <w:proofErr w:type="spellEnd"/>
      <w:r w:rsidRPr="00C54A03">
        <w:rPr>
          <w:color w:val="000000" w:themeColor="text1"/>
          <w:sz w:val="24"/>
          <w:szCs w:val="24"/>
        </w:rPr>
        <w:t xml:space="preserve"> </w:t>
      </w:r>
      <w:proofErr w:type="spellStart"/>
      <w:r w:rsidRPr="00C54A03">
        <w:rPr>
          <w:color w:val="000000" w:themeColor="text1"/>
          <w:sz w:val="24"/>
          <w:szCs w:val="24"/>
        </w:rPr>
        <w:t>într</w:t>
      </w:r>
      <w:proofErr w:type="spellEnd"/>
      <w:r w:rsidRPr="00C54A03">
        <w:rPr>
          <w:color w:val="000000" w:themeColor="text1"/>
          <w:sz w:val="24"/>
          <w:szCs w:val="24"/>
        </w:rPr>
        <w:t xml:space="preserve">-o stare de </w:t>
      </w:r>
      <w:proofErr w:type="spellStart"/>
      <w:r w:rsidRPr="00C54A03">
        <w:rPr>
          <w:color w:val="000000" w:themeColor="text1"/>
          <w:sz w:val="24"/>
          <w:szCs w:val="24"/>
        </w:rPr>
        <w:t>conservare</w:t>
      </w:r>
      <w:proofErr w:type="spellEnd"/>
      <w:r w:rsidRPr="00C54A03">
        <w:rPr>
          <w:color w:val="000000" w:themeColor="text1"/>
          <w:spacing w:val="1"/>
          <w:sz w:val="24"/>
          <w:szCs w:val="24"/>
        </w:rPr>
        <w:t xml:space="preserve"> </w:t>
      </w:r>
      <w:proofErr w:type="spellStart"/>
      <w:r w:rsidRPr="00C54A03">
        <w:rPr>
          <w:color w:val="000000" w:themeColor="text1"/>
          <w:sz w:val="24"/>
          <w:szCs w:val="24"/>
        </w:rPr>
        <w:t>favorabilă</w:t>
      </w:r>
      <w:proofErr w:type="spellEnd"/>
      <w:r w:rsidRPr="00C54A03">
        <w:rPr>
          <w:color w:val="000000" w:themeColor="text1"/>
          <w:sz w:val="24"/>
          <w:szCs w:val="24"/>
        </w:rPr>
        <w:t xml:space="preserve">, nu </w:t>
      </w:r>
      <w:proofErr w:type="spellStart"/>
      <w:r w:rsidRPr="00C54A03">
        <w:rPr>
          <w:color w:val="000000" w:themeColor="text1"/>
          <w:sz w:val="24"/>
          <w:szCs w:val="24"/>
        </w:rPr>
        <w:t>ar</w:t>
      </w:r>
      <w:proofErr w:type="spellEnd"/>
      <w:r w:rsidRPr="00C54A03">
        <w:rPr>
          <w:color w:val="000000" w:themeColor="text1"/>
          <w:sz w:val="24"/>
          <w:szCs w:val="24"/>
        </w:rPr>
        <w:t xml:space="preserve"> </w:t>
      </w:r>
      <w:proofErr w:type="spellStart"/>
      <w:r w:rsidRPr="00C54A03">
        <w:rPr>
          <w:color w:val="000000" w:themeColor="text1"/>
          <w:sz w:val="24"/>
          <w:szCs w:val="24"/>
        </w:rPr>
        <w:t>trebui</w:t>
      </w:r>
      <w:proofErr w:type="spellEnd"/>
      <w:r w:rsidRPr="00C54A03">
        <w:rPr>
          <w:color w:val="000000" w:themeColor="text1"/>
          <w:sz w:val="24"/>
          <w:szCs w:val="24"/>
        </w:rPr>
        <w:t xml:space="preserve"> </w:t>
      </w:r>
      <w:proofErr w:type="spellStart"/>
      <w:r w:rsidRPr="00C54A03">
        <w:rPr>
          <w:color w:val="000000" w:themeColor="text1"/>
          <w:sz w:val="24"/>
          <w:szCs w:val="24"/>
        </w:rPr>
        <w:t>să</w:t>
      </w:r>
      <w:proofErr w:type="spellEnd"/>
      <w:r w:rsidRPr="00C54A03">
        <w:rPr>
          <w:color w:val="000000" w:themeColor="text1"/>
          <w:sz w:val="24"/>
          <w:szCs w:val="24"/>
        </w:rPr>
        <w:t xml:space="preserve"> fie </w:t>
      </w:r>
      <w:proofErr w:type="spellStart"/>
      <w:r w:rsidRPr="00C54A03">
        <w:rPr>
          <w:color w:val="000000" w:themeColor="text1"/>
          <w:sz w:val="24"/>
          <w:szCs w:val="24"/>
        </w:rPr>
        <w:t>surprinzător</w:t>
      </w:r>
      <w:proofErr w:type="spellEnd"/>
      <w:r w:rsidRPr="00C54A03">
        <w:rPr>
          <w:color w:val="000000" w:themeColor="text1"/>
          <w:sz w:val="24"/>
          <w:szCs w:val="24"/>
        </w:rPr>
        <w:t xml:space="preserve"> </w:t>
      </w:r>
      <w:proofErr w:type="spellStart"/>
      <w:r w:rsidRPr="00C54A03">
        <w:rPr>
          <w:color w:val="000000" w:themeColor="text1"/>
          <w:sz w:val="24"/>
          <w:szCs w:val="24"/>
        </w:rPr>
        <w:t>faptul</w:t>
      </w:r>
      <w:proofErr w:type="spellEnd"/>
      <w:r w:rsidRPr="00C54A03">
        <w:rPr>
          <w:color w:val="000000" w:themeColor="text1"/>
          <w:sz w:val="24"/>
          <w:szCs w:val="24"/>
        </w:rPr>
        <w:t xml:space="preserve"> </w:t>
      </w:r>
      <w:proofErr w:type="spellStart"/>
      <w:r w:rsidRPr="00C54A03">
        <w:rPr>
          <w:color w:val="000000" w:themeColor="text1"/>
          <w:sz w:val="24"/>
          <w:szCs w:val="24"/>
        </w:rPr>
        <w:t>că</w:t>
      </w:r>
      <w:proofErr w:type="spellEnd"/>
      <w:r w:rsidRPr="00C54A03">
        <w:rPr>
          <w:color w:val="000000" w:themeColor="text1"/>
          <w:sz w:val="24"/>
          <w:szCs w:val="24"/>
        </w:rPr>
        <w:t xml:space="preserve"> </w:t>
      </w:r>
      <w:proofErr w:type="spellStart"/>
      <w:r w:rsidRPr="00C54A03">
        <w:rPr>
          <w:color w:val="000000" w:themeColor="text1"/>
          <w:sz w:val="24"/>
          <w:szCs w:val="24"/>
        </w:rPr>
        <w:t>respectiva</w:t>
      </w:r>
      <w:proofErr w:type="spellEnd"/>
      <w:r w:rsidRPr="00C54A03">
        <w:rPr>
          <w:color w:val="000000" w:themeColor="text1"/>
          <w:sz w:val="24"/>
          <w:szCs w:val="24"/>
        </w:rPr>
        <w:t xml:space="preserve"> specie </w:t>
      </w:r>
      <w:proofErr w:type="spellStart"/>
      <w:r w:rsidRPr="00C54A03">
        <w:rPr>
          <w:color w:val="000000" w:themeColor="text1"/>
          <w:sz w:val="24"/>
          <w:szCs w:val="24"/>
        </w:rPr>
        <w:t>sau</w:t>
      </w:r>
      <w:proofErr w:type="spellEnd"/>
      <w:r w:rsidRPr="00C54A03">
        <w:rPr>
          <w:color w:val="000000" w:themeColor="text1"/>
          <w:sz w:val="24"/>
          <w:szCs w:val="24"/>
        </w:rPr>
        <w:t xml:space="preserve"> </w:t>
      </w:r>
      <w:proofErr w:type="spellStart"/>
      <w:r w:rsidRPr="00C54A03">
        <w:rPr>
          <w:color w:val="000000" w:themeColor="text1"/>
          <w:sz w:val="24"/>
          <w:szCs w:val="24"/>
        </w:rPr>
        <w:t>respectivul</w:t>
      </w:r>
      <w:proofErr w:type="spellEnd"/>
      <w:r w:rsidRPr="00C54A03">
        <w:rPr>
          <w:color w:val="000000" w:themeColor="text1"/>
          <w:sz w:val="24"/>
          <w:szCs w:val="24"/>
        </w:rPr>
        <w:t xml:space="preserve"> tip de habitat</w:t>
      </w:r>
      <w:r w:rsidRPr="00C54A03">
        <w:rPr>
          <w:color w:val="000000" w:themeColor="text1"/>
          <w:spacing w:val="1"/>
          <w:sz w:val="24"/>
          <w:szCs w:val="24"/>
        </w:rPr>
        <w:t xml:space="preserve"> </w:t>
      </w:r>
      <w:proofErr w:type="spellStart"/>
      <w:r w:rsidRPr="00C54A03">
        <w:rPr>
          <w:color w:val="000000" w:themeColor="text1"/>
          <w:sz w:val="24"/>
          <w:szCs w:val="24"/>
        </w:rPr>
        <w:t>rămâne</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starea</w:t>
      </w:r>
      <w:proofErr w:type="spellEnd"/>
      <w:r w:rsidRPr="00C54A03">
        <w:rPr>
          <w:color w:val="000000" w:themeColor="text1"/>
          <w:sz w:val="24"/>
          <w:szCs w:val="24"/>
        </w:rPr>
        <w:t xml:space="preserve"> de </w:t>
      </w:r>
      <w:proofErr w:type="spellStart"/>
      <w:r w:rsidRPr="00C54A03">
        <w:rPr>
          <w:color w:val="000000" w:themeColor="text1"/>
          <w:sz w:val="24"/>
          <w:szCs w:val="24"/>
        </w:rPr>
        <w:t>conservare</w:t>
      </w:r>
      <w:proofErr w:type="spellEnd"/>
      <w:r w:rsidRPr="00C54A03">
        <w:rPr>
          <w:color w:val="000000" w:themeColor="text1"/>
          <w:sz w:val="24"/>
          <w:szCs w:val="24"/>
        </w:rPr>
        <w:t xml:space="preserve"> </w:t>
      </w:r>
      <w:proofErr w:type="spellStart"/>
      <w:r w:rsidRPr="00C54A03">
        <w:rPr>
          <w:color w:val="000000" w:themeColor="text1"/>
          <w:sz w:val="24"/>
          <w:szCs w:val="24"/>
        </w:rPr>
        <w:t>nefavorabilă</w:t>
      </w:r>
      <w:proofErr w:type="spellEnd"/>
      <w:r w:rsidRPr="00C54A03">
        <w:rPr>
          <w:color w:val="000000" w:themeColor="text1"/>
          <w:sz w:val="24"/>
          <w:szCs w:val="24"/>
        </w:rPr>
        <w:t xml:space="preserve"> un </w:t>
      </w:r>
      <w:proofErr w:type="spellStart"/>
      <w:r w:rsidRPr="00C54A03">
        <w:rPr>
          <w:color w:val="000000" w:themeColor="text1"/>
          <w:sz w:val="24"/>
          <w:szCs w:val="24"/>
        </w:rPr>
        <w:t>timp</w:t>
      </w:r>
      <w:proofErr w:type="spellEnd"/>
      <w:r w:rsidRPr="00C54A03">
        <w:rPr>
          <w:color w:val="000000" w:themeColor="text1"/>
          <w:sz w:val="24"/>
          <w:szCs w:val="24"/>
        </w:rPr>
        <w:t xml:space="preserve"> </w:t>
      </w:r>
      <w:proofErr w:type="spellStart"/>
      <w:r w:rsidRPr="00C54A03">
        <w:rPr>
          <w:color w:val="000000" w:themeColor="text1"/>
          <w:sz w:val="24"/>
          <w:szCs w:val="24"/>
        </w:rPr>
        <w:t>îndelungat</w:t>
      </w:r>
      <w:proofErr w:type="spellEnd"/>
      <w:r w:rsidRPr="00C54A03">
        <w:rPr>
          <w:color w:val="000000" w:themeColor="text1"/>
          <w:sz w:val="24"/>
          <w:szCs w:val="24"/>
        </w:rPr>
        <w:t xml:space="preserve">, </w:t>
      </w:r>
      <w:proofErr w:type="spellStart"/>
      <w:r w:rsidRPr="00C54A03">
        <w:rPr>
          <w:color w:val="000000" w:themeColor="text1"/>
          <w:sz w:val="24"/>
          <w:szCs w:val="24"/>
        </w:rPr>
        <w:t>chiar</w:t>
      </w:r>
      <w:proofErr w:type="spellEnd"/>
      <w:r w:rsidRPr="00C54A03">
        <w:rPr>
          <w:color w:val="000000" w:themeColor="text1"/>
          <w:sz w:val="24"/>
          <w:szCs w:val="24"/>
        </w:rPr>
        <w:t xml:space="preserve"> </w:t>
      </w:r>
      <w:proofErr w:type="spellStart"/>
      <w:r w:rsidRPr="00C54A03">
        <w:rPr>
          <w:color w:val="000000" w:themeColor="text1"/>
          <w:sz w:val="24"/>
          <w:szCs w:val="24"/>
        </w:rPr>
        <w:t>dacă</w:t>
      </w:r>
      <w:proofErr w:type="spellEnd"/>
      <w:r w:rsidRPr="00C54A03">
        <w:rPr>
          <w:color w:val="000000" w:themeColor="text1"/>
          <w:sz w:val="24"/>
          <w:szCs w:val="24"/>
        </w:rPr>
        <w:t xml:space="preserve"> la </w:t>
      </w:r>
      <w:proofErr w:type="spellStart"/>
      <w:r w:rsidRPr="00C54A03">
        <w:rPr>
          <w:color w:val="000000" w:themeColor="text1"/>
          <w:sz w:val="24"/>
          <w:szCs w:val="24"/>
        </w:rPr>
        <w:t>nivelul</w:t>
      </w:r>
      <w:proofErr w:type="spellEnd"/>
      <w:r w:rsidRPr="00C54A03">
        <w:rPr>
          <w:color w:val="000000" w:themeColor="text1"/>
          <w:sz w:val="24"/>
          <w:szCs w:val="24"/>
        </w:rPr>
        <w:t xml:space="preserve"> </w:t>
      </w:r>
      <w:proofErr w:type="spellStart"/>
      <w:r w:rsidRPr="00C54A03">
        <w:rPr>
          <w:color w:val="000000" w:themeColor="text1"/>
          <w:sz w:val="24"/>
          <w:szCs w:val="24"/>
        </w:rPr>
        <w:t>ariei</w:t>
      </w:r>
      <w:proofErr w:type="spellEnd"/>
      <w:r w:rsidRPr="00C54A03">
        <w:rPr>
          <w:color w:val="000000" w:themeColor="text1"/>
          <w:sz w:val="24"/>
          <w:szCs w:val="24"/>
        </w:rPr>
        <w:t xml:space="preserve"> </w:t>
      </w:r>
      <w:proofErr w:type="spellStart"/>
      <w:r w:rsidRPr="00C54A03">
        <w:rPr>
          <w:color w:val="000000" w:themeColor="text1"/>
          <w:sz w:val="24"/>
          <w:szCs w:val="24"/>
        </w:rPr>
        <w:t>naturale</w:t>
      </w:r>
      <w:proofErr w:type="spellEnd"/>
      <w:r w:rsidRPr="00C54A03">
        <w:rPr>
          <w:color w:val="000000" w:themeColor="text1"/>
          <w:spacing w:val="1"/>
          <w:sz w:val="24"/>
          <w:szCs w:val="24"/>
        </w:rPr>
        <w:t xml:space="preserve"> </w:t>
      </w:r>
      <w:proofErr w:type="spellStart"/>
      <w:r w:rsidRPr="00C54A03">
        <w:rPr>
          <w:color w:val="000000" w:themeColor="text1"/>
          <w:sz w:val="24"/>
          <w:szCs w:val="24"/>
        </w:rPr>
        <w:t>protejate</w:t>
      </w:r>
      <w:proofErr w:type="spellEnd"/>
      <w:r w:rsidRPr="00C54A03">
        <w:rPr>
          <w:color w:val="000000" w:themeColor="text1"/>
          <w:spacing w:val="-1"/>
          <w:sz w:val="24"/>
          <w:szCs w:val="24"/>
        </w:rPr>
        <w:t xml:space="preserve"> </w:t>
      </w:r>
      <w:r w:rsidRPr="00C54A03">
        <w:rPr>
          <w:color w:val="000000" w:themeColor="text1"/>
          <w:sz w:val="24"/>
          <w:szCs w:val="24"/>
        </w:rPr>
        <w:t>respective</w:t>
      </w:r>
      <w:r w:rsidRPr="00C54A03">
        <w:rPr>
          <w:color w:val="000000" w:themeColor="text1"/>
          <w:spacing w:val="-1"/>
          <w:sz w:val="24"/>
          <w:szCs w:val="24"/>
        </w:rPr>
        <w:t xml:space="preserve"> </w:t>
      </w:r>
      <w:r w:rsidRPr="00C54A03">
        <w:rPr>
          <w:color w:val="000000" w:themeColor="text1"/>
          <w:sz w:val="24"/>
          <w:szCs w:val="24"/>
        </w:rPr>
        <w:t>sunt</w:t>
      </w:r>
      <w:r w:rsidRPr="00C54A03">
        <w:rPr>
          <w:color w:val="000000" w:themeColor="text1"/>
          <w:spacing w:val="2"/>
          <w:sz w:val="24"/>
          <w:szCs w:val="24"/>
        </w:rPr>
        <w:t xml:space="preserve"> </w:t>
      </w:r>
      <w:proofErr w:type="spellStart"/>
      <w:r w:rsidRPr="00C54A03">
        <w:rPr>
          <w:color w:val="000000" w:themeColor="text1"/>
          <w:sz w:val="24"/>
          <w:szCs w:val="24"/>
        </w:rPr>
        <w:t>luate</w:t>
      </w:r>
      <w:proofErr w:type="spellEnd"/>
      <w:r w:rsidRPr="00C54A03">
        <w:rPr>
          <w:color w:val="000000" w:themeColor="text1"/>
          <w:spacing w:val="-1"/>
          <w:sz w:val="24"/>
          <w:szCs w:val="24"/>
        </w:rPr>
        <w:t xml:space="preserve"> </w:t>
      </w:r>
      <w:proofErr w:type="spellStart"/>
      <w:r w:rsidRPr="00C54A03">
        <w:rPr>
          <w:color w:val="000000" w:themeColor="text1"/>
          <w:sz w:val="24"/>
          <w:szCs w:val="24"/>
        </w:rPr>
        <w:t>măsuri</w:t>
      </w:r>
      <w:proofErr w:type="spellEnd"/>
      <w:r w:rsidRPr="00C54A03">
        <w:rPr>
          <w:color w:val="000000" w:themeColor="text1"/>
          <w:spacing w:val="-1"/>
          <w:sz w:val="24"/>
          <w:szCs w:val="24"/>
        </w:rPr>
        <w:t xml:space="preserve"> </w:t>
      </w:r>
      <w:proofErr w:type="spellStart"/>
      <w:r w:rsidRPr="00C54A03">
        <w:rPr>
          <w:color w:val="000000" w:themeColor="text1"/>
          <w:sz w:val="24"/>
          <w:szCs w:val="24"/>
        </w:rPr>
        <w:t>corespunzătoare</w:t>
      </w:r>
      <w:proofErr w:type="spellEnd"/>
      <w:r w:rsidRPr="00C54A03">
        <w:rPr>
          <w:color w:val="000000" w:themeColor="text1"/>
          <w:sz w:val="24"/>
          <w:szCs w:val="24"/>
        </w:rPr>
        <w:t>.</w:t>
      </w:r>
    </w:p>
    <w:p w14:paraId="5477E1C7" w14:textId="77777777" w:rsidR="007702CD" w:rsidRPr="00C54A03" w:rsidRDefault="007702CD" w:rsidP="008E33FD">
      <w:pPr>
        <w:pStyle w:val="BodyText"/>
        <w:spacing w:before="7"/>
        <w:jc w:val="both"/>
        <w:rPr>
          <w:color w:val="000000" w:themeColor="text1"/>
          <w:sz w:val="24"/>
          <w:szCs w:val="24"/>
        </w:rPr>
      </w:pPr>
    </w:p>
    <w:p w14:paraId="161D8096" w14:textId="77777777" w:rsidR="007702CD" w:rsidRPr="00C54A03" w:rsidRDefault="007702CD" w:rsidP="008E33FD">
      <w:pPr>
        <w:pStyle w:val="Heading2"/>
        <w:widowControl w:val="0"/>
        <w:tabs>
          <w:tab w:val="left" w:pos="1208"/>
        </w:tabs>
        <w:autoSpaceDE w:val="0"/>
        <w:autoSpaceDN w:val="0"/>
        <w:spacing w:before="0" w:beforeAutospacing="0" w:after="0" w:afterAutospacing="0"/>
        <w:jc w:val="both"/>
        <w:rPr>
          <w:color w:val="000000" w:themeColor="text1"/>
          <w:sz w:val="24"/>
          <w:szCs w:val="24"/>
        </w:rPr>
      </w:pPr>
      <w:proofErr w:type="spellStart"/>
      <w:r w:rsidRPr="00C54A03">
        <w:rPr>
          <w:color w:val="000000" w:themeColor="text1"/>
          <w:sz w:val="24"/>
          <w:szCs w:val="24"/>
        </w:rPr>
        <w:t>Evaluarea</w:t>
      </w:r>
      <w:proofErr w:type="spellEnd"/>
      <w:r w:rsidRPr="00C54A03">
        <w:rPr>
          <w:color w:val="000000" w:themeColor="text1"/>
          <w:spacing w:val="-3"/>
          <w:sz w:val="24"/>
          <w:szCs w:val="24"/>
        </w:rPr>
        <w:t xml:space="preserve"> </w:t>
      </w:r>
      <w:proofErr w:type="spellStart"/>
      <w:r w:rsidRPr="00C54A03">
        <w:rPr>
          <w:color w:val="000000" w:themeColor="text1"/>
          <w:sz w:val="24"/>
          <w:szCs w:val="24"/>
        </w:rPr>
        <w:t>tendințelor</w:t>
      </w:r>
      <w:proofErr w:type="spellEnd"/>
      <w:r w:rsidRPr="00C54A03">
        <w:rPr>
          <w:color w:val="000000" w:themeColor="text1"/>
          <w:spacing w:val="-3"/>
          <w:sz w:val="24"/>
          <w:szCs w:val="24"/>
        </w:rPr>
        <w:t xml:space="preserve"> </w:t>
      </w:r>
      <w:r w:rsidRPr="00C54A03">
        <w:rPr>
          <w:color w:val="000000" w:themeColor="text1"/>
          <w:sz w:val="24"/>
          <w:szCs w:val="24"/>
        </w:rPr>
        <w:t>pe</w:t>
      </w:r>
      <w:r w:rsidRPr="00C54A03">
        <w:rPr>
          <w:color w:val="000000" w:themeColor="text1"/>
          <w:spacing w:val="-3"/>
          <w:sz w:val="24"/>
          <w:szCs w:val="24"/>
        </w:rPr>
        <w:t xml:space="preserve"> </w:t>
      </w:r>
      <w:r w:rsidRPr="00C54A03">
        <w:rPr>
          <w:color w:val="000000" w:themeColor="text1"/>
          <w:sz w:val="24"/>
          <w:szCs w:val="24"/>
        </w:rPr>
        <w:t>termen</w:t>
      </w:r>
      <w:r w:rsidRPr="00C54A03">
        <w:rPr>
          <w:color w:val="000000" w:themeColor="text1"/>
          <w:spacing w:val="-3"/>
          <w:sz w:val="24"/>
          <w:szCs w:val="24"/>
        </w:rPr>
        <w:t xml:space="preserve"> </w:t>
      </w:r>
      <w:proofErr w:type="spellStart"/>
      <w:r w:rsidRPr="00C54A03">
        <w:rPr>
          <w:color w:val="000000" w:themeColor="text1"/>
          <w:sz w:val="24"/>
          <w:szCs w:val="24"/>
        </w:rPr>
        <w:t>scurt</w:t>
      </w:r>
      <w:proofErr w:type="spellEnd"/>
    </w:p>
    <w:p w14:paraId="04DAC68C" w14:textId="77777777" w:rsidR="007702CD" w:rsidRPr="00C54A03" w:rsidRDefault="007702CD" w:rsidP="00D97209">
      <w:pPr>
        <w:pStyle w:val="BodyText"/>
        <w:spacing w:before="155"/>
        <w:ind w:left="0" w:right="27"/>
        <w:jc w:val="both"/>
        <w:rPr>
          <w:color w:val="000000" w:themeColor="text1"/>
          <w:sz w:val="24"/>
          <w:szCs w:val="24"/>
        </w:rPr>
      </w:pPr>
      <w:proofErr w:type="spellStart"/>
      <w:r w:rsidRPr="00C54A03">
        <w:rPr>
          <w:color w:val="000000" w:themeColor="text1"/>
          <w:sz w:val="24"/>
          <w:szCs w:val="24"/>
        </w:rPr>
        <w:t>Având</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vedere</w:t>
      </w:r>
      <w:proofErr w:type="spellEnd"/>
      <w:r w:rsidRPr="00C54A03">
        <w:rPr>
          <w:color w:val="000000" w:themeColor="text1"/>
          <w:sz w:val="24"/>
          <w:szCs w:val="24"/>
        </w:rPr>
        <w:t xml:space="preserve"> </w:t>
      </w:r>
      <w:proofErr w:type="spellStart"/>
      <w:r w:rsidRPr="00C54A03">
        <w:rPr>
          <w:color w:val="000000" w:themeColor="text1"/>
          <w:sz w:val="24"/>
          <w:szCs w:val="24"/>
        </w:rPr>
        <w:t>că</w:t>
      </w:r>
      <w:proofErr w:type="spellEnd"/>
      <w:r w:rsidRPr="00C54A03">
        <w:rPr>
          <w:color w:val="000000" w:themeColor="text1"/>
          <w:sz w:val="24"/>
          <w:szCs w:val="24"/>
        </w:rPr>
        <w:t xml:space="preserve"> </w:t>
      </w:r>
      <w:proofErr w:type="spellStart"/>
      <w:r w:rsidRPr="00C54A03">
        <w:rPr>
          <w:color w:val="000000" w:themeColor="text1"/>
          <w:sz w:val="24"/>
          <w:szCs w:val="24"/>
        </w:rPr>
        <w:t>România</w:t>
      </w:r>
      <w:proofErr w:type="spellEnd"/>
      <w:r w:rsidRPr="00C54A03">
        <w:rPr>
          <w:color w:val="000000" w:themeColor="text1"/>
          <w:sz w:val="24"/>
          <w:szCs w:val="24"/>
        </w:rPr>
        <w:t xml:space="preserve"> </w:t>
      </w:r>
      <w:proofErr w:type="spellStart"/>
      <w:r w:rsidRPr="00C54A03">
        <w:rPr>
          <w:color w:val="000000" w:themeColor="text1"/>
          <w:sz w:val="24"/>
          <w:szCs w:val="24"/>
        </w:rPr>
        <w:t>este</w:t>
      </w:r>
      <w:proofErr w:type="spellEnd"/>
      <w:r w:rsidRPr="00C54A03">
        <w:rPr>
          <w:color w:val="000000" w:themeColor="text1"/>
          <w:sz w:val="24"/>
          <w:szCs w:val="24"/>
        </w:rPr>
        <w:t xml:space="preserve"> la a </w:t>
      </w:r>
      <w:proofErr w:type="spellStart"/>
      <w:r w:rsidRPr="00C54A03">
        <w:rPr>
          <w:color w:val="000000" w:themeColor="text1"/>
          <w:sz w:val="24"/>
          <w:szCs w:val="24"/>
        </w:rPr>
        <w:t>doua</w:t>
      </w:r>
      <w:proofErr w:type="spellEnd"/>
      <w:r w:rsidRPr="00C54A03">
        <w:rPr>
          <w:color w:val="000000" w:themeColor="text1"/>
          <w:sz w:val="24"/>
          <w:szCs w:val="24"/>
        </w:rPr>
        <w:t xml:space="preserve"> </w:t>
      </w:r>
      <w:proofErr w:type="spellStart"/>
      <w:r w:rsidRPr="00C54A03">
        <w:rPr>
          <w:color w:val="000000" w:themeColor="text1"/>
          <w:sz w:val="24"/>
          <w:szCs w:val="24"/>
        </w:rPr>
        <w:t>raportare</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baza</w:t>
      </w:r>
      <w:proofErr w:type="spellEnd"/>
      <w:r w:rsidRPr="00C54A03">
        <w:rPr>
          <w:color w:val="000000" w:themeColor="text1"/>
          <w:sz w:val="24"/>
          <w:szCs w:val="24"/>
        </w:rPr>
        <w:t xml:space="preserve"> art. 17 al </w:t>
      </w:r>
      <w:proofErr w:type="spellStart"/>
      <w:r w:rsidRPr="00C54A03">
        <w:rPr>
          <w:color w:val="000000" w:themeColor="text1"/>
          <w:sz w:val="24"/>
          <w:szCs w:val="24"/>
        </w:rPr>
        <w:t>Directivei</w:t>
      </w:r>
      <w:proofErr w:type="spellEnd"/>
      <w:r w:rsidRPr="00C54A03">
        <w:rPr>
          <w:color w:val="000000" w:themeColor="text1"/>
          <w:sz w:val="24"/>
          <w:szCs w:val="24"/>
        </w:rPr>
        <w:t xml:space="preserve"> </w:t>
      </w:r>
      <w:proofErr w:type="spellStart"/>
      <w:r w:rsidRPr="00C54A03">
        <w:rPr>
          <w:color w:val="000000" w:themeColor="text1"/>
          <w:sz w:val="24"/>
          <w:szCs w:val="24"/>
        </w:rPr>
        <w:t>Habitate</w:t>
      </w:r>
      <w:proofErr w:type="spellEnd"/>
      <w:r w:rsidRPr="00C54A03">
        <w:rPr>
          <w:color w:val="000000" w:themeColor="text1"/>
          <w:sz w:val="24"/>
          <w:szCs w:val="24"/>
        </w:rPr>
        <w:t>, prima</w:t>
      </w:r>
      <w:r w:rsidRPr="00C54A03">
        <w:rPr>
          <w:color w:val="000000" w:themeColor="text1"/>
          <w:spacing w:val="1"/>
          <w:sz w:val="24"/>
          <w:szCs w:val="24"/>
        </w:rPr>
        <w:t xml:space="preserve"> </w:t>
      </w:r>
      <w:proofErr w:type="spellStart"/>
      <w:r w:rsidRPr="00C54A03">
        <w:rPr>
          <w:color w:val="000000" w:themeColor="text1"/>
          <w:sz w:val="24"/>
          <w:szCs w:val="24"/>
        </w:rPr>
        <w:t>raportare</w:t>
      </w:r>
      <w:proofErr w:type="spellEnd"/>
      <w:r w:rsidRPr="00C54A03">
        <w:rPr>
          <w:color w:val="000000" w:themeColor="text1"/>
          <w:sz w:val="24"/>
          <w:szCs w:val="24"/>
        </w:rPr>
        <w:t xml:space="preserve"> </w:t>
      </w:r>
      <w:proofErr w:type="spellStart"/>
      <w:r w:rsidRPr="00C54A03">
        <w:rPr>
          <w:color w:val="000000" w:themeColor="text1"/>
          <w:sz w:val="24"/>
          <w:szCs w:val="24"/>
        </w:rPr>
        <w:t>rămânând</w:t>
      </w:r>
      <w:proofErr w:type="spellEnd"/>
      <w:r w:rsidRPr="00C54A03">
        <w:rPr>
          <w:color w:val="000000" w:themeColor="text1"/>
          <w:sz w:val="24"/>
          <w:szCs w:val="24"/>
        </w:rPr>
        <w:t xml:space="preserve"> de </w:t>
      </w:r>
      <w:proofErr w:type="spellStart"/>
      <w:r w:rsidRPr="00C54A03">
        <w:rPr>
          <w:color w:val="000000" w:themeColor="text1"/>
          <w:sz w:val="24"/>
          <w:szCs w:val="24"/>
        </w:rPr>
        <w:t>referință</w:t>
      </w:r>
      <w:proofErr w:type="spellEnd"/>
      <w:r w:rsidRPr="00C54A03">
        <w:rPr>
          <w:color w:val="000000" w:themeColor="text1"/>
          <w:sz w:val="24"/>
          <w:szCs w:val="24"/>
        </w:rPr>
        <w:t xml:space="preserve"> </w:t>
      </w:r>
      <w:proofErr w:type="spellStart"/>
      <w:r w:rsidRPr="00C54A03">
        <w:rPr>
          <w:color w:val="000000" w:themeColor="text1"/>
          <w:sz w:val="24"/>
          <w:szCs w:val="24"/>
        </w:rPr>
        <w:t>pentru</w:t>
      </w:r>
      <w:proofErr w:type="spellEnd"/>
      <w:r w:rsidRPr="00C54A03">
        <w:rPr>
          <w:color w:val="000000" w:themeColor="text1"/>
          <w:sz w:val="24"/>
          <w:szCs w:val="24"/>
        </w:rPr>
        <w:t xml:space="preserve"> </w:t>
      </w:r>
      <w:proofErr w:type="spellStart"/>
      <w:r w:rsidRPr="00C54A03">
        <w:rPr>
          <w:color w:val="000000" w:themeColor="text1"/>
          <w:sz w:val="24"/>
          <w:szCs w:val="24"/>
        </w:rPr>
        <w:t>următoarele</w:t>
      </w:r>
      <w:proofErr w:type="spellEnd"/>
      <w:r w:rsidRPr="00C54A03">
        <w:rPr>
          <w:color w:val="000000" w:themeColor="text1"/>
          <w:sz w:val="24"/>
          <w:szCs w:val="24"/>
        </w:rPr>
        <w:t xml:space="preserve"> </w:t>
      </w:r>
      <w:proofErr w:type="spellStart"/>
      <w:r w:rsidRPr="00C54A03">
        <w:rPr>
          <w:color w:val="000000" w:themeColor="text1"/>
          <w:sz w:val="24"/>
          <w:szCs w:val="24"/>
        </w:rPr>
        <w:t>rapoarte</w:t>
      </w:r>
      <w:proofErr w:type="spellEnd"/>
      <w:r w:rsidRPr="00C54A03">
        <w:rPr>
          <w:color w:val="000000" w:themeColor="text1"/>
          <w:sz w:val="24"/>
          <w:szCs w:val="24"/>
        </w:rPr>
        <w:t xml:space="preserve">, s-a </w:t>
      </w:r>
      <w:proofErr w:type="spellStart"/>
      <w:r w:rsidRPr="00C54A03">
        <w:rPr>
          <w:color w:val="000000" w:themeColor="text1"/>
          <w:sz w:val="24"/>
          <w:szCs w:val="24"/>
        </w:rPr>
        <w:t>realizat</w:t>
      </w:r>
      <w:proofErr w:type="spellEnd"/>
      <w:r w:rsidRPr="00C54A03">
        <w:rPr>
          <w:color w:val="000000" w:themeColor="text1"/>
          <w:sz w:val="24"/>
          <w:szCs w:val="24"/>
        </w:rPr>
        <w:t xml:space="preserve"> </w:t>
      </w:r>
      <w:proofErr w:type="spellStart"/>
      <w:r w:rsidRPr="00C54A03">
        <w:rPr>
          <w:color w:val="000000" w:themeColor="text1"/>
          <w:sz w:val="24"/>
          <w:szCs w:val="24"/>
        </w:rPr>
        <w:t>evaluarea</w:t>
      </w:r>
      <w:proofErr w:type="spellEnd"/>
      <w:r w:rsidRPr="00C54A03">
        <w:rPr>
          <w:color w:val="000000" w:themeColor="text1"/>
          <w:sz w:val="24"/>
          <w:szCs w:val="24"/>
        </w:rPr>
        <w:t xml:space="preserve"> </w:t>
      </w:r>
      <w:proofErr w:type="spellStart"/>
      <w:r w:rsidRPr="00C54A03">
        <w:rPr>
          <w:color w:val="000000" w:themeColor="text1"/>
          <w:sz w:val="24"/>
          <w:szCs w:val="24"/>
        </w:rPr>
        <w:t>tendințelor</w:t>
      </w:r>
      <w:proofErr w:type="spellEnd"/>
      <w:r w:rsidRPr="00C54A03">
        <w:rPr>
          <w:color w:val="000000" w:themeColor="text1"/>
          <w:sz w:val="24"/>
          <w:szCs w:val="24"/>
        </w:rPr>
        <w:t xml:space="preserve"> pe</w:t>
      </w:r>
      <w:r w:rsidRPr="00C54A03">
        <w:rPr>
          <w:color w:val="000000" w:themeColor="text1"/>
          <w:spacing w:val="1"/>
          <w:sz w:val="24"/>
          <w:szCs w:val="24"/>
        </w:rPr>
        <w:t xml:space="preserve"> </w:t>
      </w:r>
      <w:r w:rsidRPr="00C54A03">
        <w:rPr>
          <w:color w:val="000000" w:themeColor="text1"/>
          <w:sz w:val="24"/>
          <w:szCs w:val="24"/>
        </w:rPr>
        <w:t xml:space="preserve">termen </w:t>
      </w:r>
      <w:proofErr w:type="spellStart"/>
      <w:r w:rsidRPr="00C54A03">
        <w:rPr>
          <w:color w:val="000000" w:themeColor="text1"/>
          <w:sz w:val="24"/>
          <w:szCs w:val="24"/>
        </w:rPr>
        <w:t>scurt</w:t>
      </w:r>
      <w:proofErr w:type="spellEnd"/>
      <w:r w:rsidRPr="00C54A03">
        <w:rPr>
          <w:color w:val="000000" w:themeColor="text1"/>
          <w:sz w:val="24"/>
          <w:szCs w:val="24"/>
        </w:rPr>
        <w:t xml:space="preserve"> a </w:t>
      </w:r>
      <w:proofErr w:type="spellStart"/>
      <w:r w:rsidRPr="00C54A03">
        <w:rPr>
          <w:color w:val="000000" w:themeColor="text1"/>
          <w:sz w:val="24"/>
          <w:szCs w:val="24"/>
        </w:rPr>
        <w:t>stării</w:t>
      </w:r>
      <w:proofErr w:type="spellEnd"/>
      <w:r w:rsidRPr="00C54A03">
        <w:rPr>
          <w:color w:val="000000" w:themeColor="text1"/>
          <w:sz w:val="24"/>
          <w:szCs w:val="24"/>
        </w:rPr>
        <w:t xml:space="preserve"> de </w:t>
      </w:r>
      <w:proofErr w:type="spellStart"/>
      <w:r w:rsidRPr="00C54A03">
        <w:rPr>
          <w:color w:val="000000" w:themeColor="text1"/>
          <w:sz w:val="24"/>
          <w:szCs w:val="24"/>
        </w:rPr>
        <w:t>conservare</w:t>
      </w:r>
      <w:proofErr w:type="spellEnd"/>
      <w:r w:rsidRPr="00C54A03">
        <w:rPr>
          <w:color w:val="000000" w:themeColor="text1"/>
          <w:sz w:val="24"/>
          <w:szCs w:val="24"/>
        </w:rPr>
        <w:t xml:space="preserve"> cu </w:t>
      </w:r>
      <w:proofErr w:type="spellStart"/>
      <w:r w:rsidRPr="00C54A03">
        <w:rPr>
          <w:color w:val="000000" w:themeColor="text1"/>
          <w:sz w:val="24"/>
          <w:szCs w:val="24"/>
        </w:rPr>
        <w:t>utilizarea</w:t>
      </w:r>
      <w:proofErr w:type="spellEnd"/>
      <w:r w:rsidRPr="00C54A03">
        <w:rPr>
          <w:color w:val="000000" w:themeColor="text1"/>
          <w:sz w:val="24"/>
          <w:szCs w:val="24"/>
        </w:rPr>
        <w:t xml:space="preserve"> </w:t>
      </w:r>
      <w:proofErr w:type="spellStart"/>
      <w:r w:rsidRPr="00C54A03">
        <w:rPr>
          <w:color w:val="000000" w:themeColor="text1"/>
          <w:sz w:val="24"/>
          <w:szCs w:val="24"/>
        </w:rPr>
        <w:t>doar</w:t>
      </w:r>
      <w:proofErr w:type="spellEnd"/>
      <w:r w:rsidRPr="00C54A03">
        <w:rPr>
          <w:color w:val="000000" w:themeColor="text1"/>
          <w:sz w:val="24"/>
          <w:szCs w:val="24"/>
        </w:rPr>
        <w:t xml:space="preserve"> a </w:t>
      </w:r>
      <w:proofErr w:type="spellStart"/>
      <w:r w:rsidRPr="00C54A03">
        <w:rPr>
          <w:color w:val="000000" w:themeColor="text1"/>
          <w:sz w:val="24"/>
          <w:szCs w:val="24"/>
        </w:rPr>
        <w:t>unui</w:t>
      </w:r>
      <w:proofErr w:type="spellEnd"/>
      <w:r w:rsidRPr="00C54A03">
        <w:rPr>
          <w:color w:val="000000" w:themeColor="text1"/>
          <w:sz w:val="24"/>
          <w:szCs w:val="24"/>
        </w:rPr>
        <w:t xml:space="preserve"> </w:t>
      </w:r>
      <w:proofErr w:type="spellStart"/>
      <w:r w:rsidRPr="00C54A03">
        <w:rPr>
          <w:color w:val="000000" w:themeColor="text1"/>
          <w:sz w:val="24"/>
          <w:szCs w:val="24"/>
        </w:rPr>
        <w:t>ciclu</w:t>
      </w:r>
      <w:proofErr w:type="spellEnd"/>
      <w:r w:rsidRPr="00C54A03">
        <w:rPr>
          <w:color w:val="000000" w:themeColor="text1"/>
          <w:sz w:val="24"/>
          <w:szCs w:val="24"/>
        </w:rPr>
        <w:t xml:space="preserve"> de </w:t>
      </w:r>
      <w:proofErr w:type="spellStart"/>
      <w:r w:rsidRPr="00C54A03">
        <w:rPr>
          <w:color w:val="000000" w:themeColor="text1"/>
          <w:sz w:val="24"/>
          <w:szCs w:val="24"/>
        </w:rPr>
        <w:t>raportare</w:t>
      </w:r>
      <w:proofErr w:type="spellEnd"/>
      <w:r w:rsidRPr="00C54A03">
        <w:rPr>
          <w:color w:val="000000" w:themeColor="text1"/>
          <w:sz w:val="24"/>
          <w:szCs w:val="24"/>
        </w:rPr>
        <w:t xml:space="preserve">, </w:t>
      </w:r>
      <w:proofErr w:type="spellStart"/>
      <w:r w:rsidRPr="00C54A03">
        <w:rPr>
          <w:color w:val="000000" w:themeColor="text1"/>
          <w:sz w:val="24"/>
          <w:szCs w:val="24"/>
        </w:rPr>
        <w:t>spre</w:t>
      </w:r>
      <w:proofErr w:type="spellEnd"/>
      <w:r w:rsidRPr="00C54A03">
        <w:rPr>
          <w:color w:val="000000" w:themeColor="text1"/>
          <w:sz w:val="24"/>
          <w:szCs w:val="24"/>
        </w:rPr>
        <w:t xml:space="preserve"> </w:t>
      </w:r>
      <w:proofErr w:type="spellStart"/>
      <w:r w:rsidRPr="00C54A03">
        <w:rPr>
          <w:color w:val="000000" w:themeColor="text1"/>
          <w:sz w:val="24"/>
          <w:szCs w:val="24"/>
        </w:rPr>
        <w:t>deosebire</w:t>
      </w:r>
      <w:proofErr w:type="spellEnd"/>
      <w:r w:rsidRPr="00C54A03">
        <w:rPr>
          <w:color w:val="000000" w:themeColor="text1"/>
          <w:sz w:val="24"/>
          <w:szCs w:val="24"/>
        </w:rPr>
        <w:t xml:space="preserve"> de</w:t>
      </w:r>
      <w:r w:rsidRPr="00C54A03">
        <w:rPr>
          <w:color w:val="000000" w:themeColor="text1"/>
          <w:spacing w:val="1"/>
          <w:sz w:val="24"/>
          <w:szCs w:val="24"/>
        </w:rPr>
        <w:t xml:space="preserve"> </w:t>
      </w:r>
      <w:proofErr w:type="spellStart"/>
      <w:r w:rsidRPr="00C54A03">
        <w:rPr>
          <w:color w:val="000000" w:themeColor="text1"/>
          <w:sz w:val="24"/>
          <w:szCs w:val="24"/>
        </w:rPr>
        <w:t>metoda</w:t>
      </w:r>
      <w:proofErr w:type="spellEnd"/>
      <w:r w:rsidRPr="00C54A03">
        <w:rPr>
          <w:color w:val="000000" w:themeColor="text1"/>
          <w:spacing w:val="-2"/>
          <w:sz w:val="24"/>
          <w:szCs w:val="24"/>
        </w:rPr>
        <w:t xml:space="preserve"> </w:t>
      </w:r>
      <w:proofErr w:type="spellStart"/>
      <w:r w:rsidRPr="00C54A03">
        <w:rPr>
          <w:color w:val="000000" w:themeColor="text1"/>
          <w:sz w:val="24"/>
          <w:szCs w:val="24"/>
        </w:rPr>
        <w:t>recomandată</w:t>
      </w:r>
      <w:proofErr w:type="spellEnd"/>
      <w:r w:rsidRPr="00C54A03">
        <w:rPr>
          <w:color w:val="000000" w:themeColor="text1"/>
          <w:sz w:val="24"/>
          <w:szCs w:val="24"/>
        </w:rPr>
        <w:t>.</w:t>
      </w:r>
    </w:p>
    <w:p w14:paraId="57FFAA58" w14:textId="77777777" w:rsidR="007702CD" w:rsidRPr="00C54A03" w:rsidRDefault="007702CD" w:rsidP="00D97209">
      <w:pPr>
        <w:pStyle w:val="BodyText"/>
        <w:ind w:left="0" w:right="27"/>
        <w:jc w:val="both"/>
        <w:rPr>
          <w:color w:val="000000" w:themeColor="text1"/>
          <w:sz w:val="24"/>
          <w:szCs w:val="24"/>
        </w:rPr>
      </w:pPr>
      <w:proofErr w:type="spellStart"/>
      <w:r w:rsidRPr="00C54A03">
        <w:rPr>
          <w:color w:val="000000" w:themeColor="text1"/>
          <w:sz w:val="24"/>
          <w:szCs w:val="24"/>
        </w:rPr>
        <w:t>Metoda</w:t>
      </w:r>
      <w:proofErr w:type="spellEnd"/>
      <w:r w:rsidRPr="00C54A03">
        <w:rPr>
          <w:color w:val="000000" w:themeColor="text1"/>
          <w:sz w:val="24"/>
          <w:szCs w:val="24"/>
        </w:rPr>
        <w:t xml:space="preserve"> de </w:t>
      </w:r>
      <w:proofErr w:type="spellStart"/>
      <w:r w:rsidRPr="00C54A03">
        <w:rPr>
          <w:color w:val="000000" w:themeColor="text1"/>
          <w:sz w:val="24"/>
          <w:szCs w:val="24"/>
        </w:rPr>
        <w:t>evaluare</w:t>
      </w:r>
      <w:proofErr w:type="spellEnd"/>
      <w:r w:rsidRPr="00C54A03">
        <w:rPr>
          <w:color w:val="000000" w:themeColor="text1"/>
          <w:sz w:val="24"/>
          <w:szCs w:val="24"/>
        </w:rPr>
        <w:t xml:space="preserve"> a </w:t>
      </w:r>
      <w:proofErr w:type="spellStart"/>
      <w:r w:rsidRPr="00C54A03">
        <w:rPr>
          <w:color w:val="000000" w:themeColor="text1"/>
          <w:sz w:val="24"/>
          <w:szCs w:val="24"/>
        </w:rPr>
        <w:t>tendințelor</w:t>
      </w:r>
      <w:proofErr w:type="spellEnd"/>
      <w:r w:rsidRPr="00C54A03">
        <w:rPr>
          <w:color w:val="000000" w:themeColor="text1"/>
          <w:sz w:val="24"/>
          <w:szCs w:val="24"/>
        </w:rPr>
        <w:t xml:space="preserve"> de </w:t>
      </w:r>
      <w:proofErr w:type="spellStart"/>
      <w:r w:rsidRPr="00C54A03">
        <w:rPr>
          <w:color w:val="000000" w:themeColor="text1"/>
          <w:sz w:val="24"/>
          <w:szCs w:val="24"/>
        </w:rPr>
        <w:t>evoluție</w:t>
      </w:r>
      <w:proofErr w:type="spellEnd"/>
      <w:r w:rsidRPr="00C54A03">
        <w:rPr>
          <w:color w:val="000000" w:themeColor="text1"/>
          <w:sz w:val="24"/>
          <w:szCs w:val="24"/>
        </w:rPr>
        <w:t xml:space="preserve"> pe termen </w:t>
      </w:r>
      <w:proofErr w:type="spellStart"/>
      <w:r w:rsidRPr="00C54A03">
        <w:rPr>
          <w:color w:val="000000" w:themeColor="text1"/>
          <w:sz w:val="24"/>
          <w:szCs w:val="24"/>
        </w:rPr>
        <w:t>scurt</w:t>
      </w:r>
      <w:proofErr w:type="spellEnd"/>
      <w:r w:rsidRPr="00C54A03">
        <w:rPr>
          <w:color w:val="000000" w:themeColor="text1"/>
          <w:sz w:val="24"/>
          <w:szCs w:val="24"/>
        </w:rPr>
        <w:t xml:space="preserve"> </w:t>
      </w:r>
      <w:proofErr w:type="spellStart"/>
      <w:r w:rsidRPr="00C54A03">
        <w:rPr>
          <w:color w:val="000000" w:themeColor="text1"/>
          <w:sz w:val="24"/>
          <w:szCs w:val="24"/>
        </w:rPr>
        <w:t>utilizează</w:t>
      </w:r>
      <w:proofErr w:type="spellEnd"/>
      <w:r w:rsidRPr="00C54A03">
        <w:rPr>
          <w:color w:val="000000" w:themeColor="text1"/>
          <w:sz w:val="24"/>
          <w:szCs w:val="24"/>
        </w:rPr>
        <w:t xml:space="preserve"> </w:t>
      </w:r>
      <w:proofErr w:type="spellStart"/>
      <w:r w:rsidRPr="00C54A03">
        <w:rPr>
          <w:color w:val="000000" w:themeColor="text1"/>
          <w:sz w:val="24"/>
          <w:szCs w:val="24"/>
        </w:rPr>
        <w:t>tendința</w:t>
      </w:r>
      <w:proofErr w:type="spellEnd"/>
      <w:r w:rsidRPr="00C54A03">
        <w:rPr>
          <w:color w:val="000000" w:themeColor="text1"/>
          <w:sz w:val="24"/>
          <w:szCs w:val="24"/>
        </w:rPr>
        <w:t xml:space="preserve"> </w:t>
      </w:r>
      <w:proofErr w:type="spellStart"/>
      <w:r w:rsidRPr="00C54A03">
        <w:rPr>
          <w:color w:val="000000" w:themeColor="text1"/>
          <w:sz w:val="24"/>
          <w:szCs w:val="24"/>
        </w:rPr>
        <w:t>observată</w:t>
      </w:r>
      <w:proofErr w:type="spellEnd"/>
      <w:r w:rsidRPr="00C54A03">
        <w:rPr>
          <w:color w:val="000000" w:themeColor="text1"/>
          <w:sz w:val="24"/>
          <w:szCs w:val="24"/>
        </w:rPr>
        <w:t xml:space="preserve"> </w:t>
      </w:r>
      <w:proofErr w:type="spellStart"/>
      <w:r w:rsidRPr="00C54A03">
        <w:rPr>
          <w:color w:val="000000" w:themeColor="text1"/>
          <w:sz w:val="24"/>
          <w:szCs w:val="24"/>
        </w:rPr>
        <w:t>pentru</w:t>
      </w:r>
      <w:proofErr w:type="spellEnd"/>
      <w:r w:rsidRPr="00C54A03">
        <w:rPr>
          <w:color w:val="000000" w:themeColor="text1"/>
          <w:spacing w:val="1"/>
          <w:sz w:val="24"/>
          <w:szCs w:val="24"/>
        </w:rPr>
        <w:t xml:space="preserve"> </w:t>
      </w:r>
      <w:proofErr w:type="spellStart"/>
      <w:r w:rsidRPr="00C54A03">
        <w:rPr>
          <w:color w:val="000000" w:themeColor="text1"/>
          <w:sz w:val="24"/>
          <w:szCs w:val="24"/>
        </w:rPr>
        <w:t>parametrii</w:t>
      </w:r>
      <w:proofErr w:type="spellEnd"/>
      <w:r w:rsidRPr="00C54A03">
        <w:rPr>
          <w:color w:val="000000" w:themeColor="text1"/>
          <w:sz w:val="24"/>
          <w:szCs w:val="24"/>
        </w:rPr>
        <w:t xml:space="preserve"> de stare precum areal de </w:t>
      </w:r>
      <w:proofErr w:type="spellStart"/>
      <w:r w:rsidRPr="00C54A03">
        <w:rPr>
          <w:color w:val="000000" w:themeColor="text1"/>
          <w:sz w:val="24"/>
          <w:szCs w:val="24"/>
        </w:rPr>
        <w:t>distribuție</w:t>
      </w:r>
      <w:proofErr w:type="spellEnd"/>
      <w:r w:rsidRPr="00C54A03">
        <w:rPr>
          <w:color w:val="000000" w:themeColor="text1"/>
          <w:sz w:val="24"/>
          <w:szCs w:val="24"/>
        </w:rPr>
        <w:t xml:space="preserve"> </w:t>
      </w:r>
      <w:proofErr w:type="spellStart"/>
      <w:r w:rsidRPr="00C54A03">
        <w:rPr>
          <w:color w:val="000000" w:themeColor="text1"/>
          <w:sz w:val="24"/>
          <w:szCs w:val="24"/>
        </w:rPr>
        <w:t>și</w:t>
      </w:r>
      <w:proofErr w:type="spellEnd"/>
      <w:r w:rsidRPr="00C54A03">
        <w:rPr>
          <w:color w:val="000000" w:themeColor="text1"/>
          <w:sz w:val="24"/>
          <w:szCs w:val="24"/>
        </w:rPr>
        <w:t xml:space="preserve"> </w:t>
      </w:r>
      <w:proofErr w:type="spellStart"/>
      <w:r w:rsidRPr="00C54A03">
        <w:rPr>
          <w:color w:val="000000" w:themeColor="text1"/>
          <w:sz w:val="24"/>
          <w:szCs w:val="24"/>
        </w:rPr>
        <w:t>structură</w:t>
      </w:r>
      <w:proofErr w:type="spellEnd"/>
      <w:r w:rsidRPr="00C54A03">
        <w:rPr>
          <w:color w:val="000000" w:themeColor="text1"/>
          <w:sz w:val="24"/>
          <w:szCs w:val="24"/>
        </w:rPr>
        <w:t xml:space="preserve"> </w:t>
      </w:r>
      <w:proofErr w:type="spellStart"/>
      <w:r w:rsidRPr="00C54A03">
        <w:rPr>
          <w:color w:val="000000" w:themeColor="text1"/>
          <w:sz w:val="24"/>
          <w:szCs w:val="24"/>
        </w:rPr>
        <w:t>și</w:t>
      </w:r>
      <w:proofErr w:type="spellEnd"/>
      <w:r w:rsidRPr="00C54A03">
        <w:rPr>
          <w:color w:val="000000" w:themeColor="text1"/>
          <w:sz w:val="24"/>
          <w:szCs w:val="24"/>
        </w:rPr>
        <w:t xml:space="preserve"> </w:t>
      </w:r>
      <w:proofErr w:type="spellStart"/>
      <w:r w:rsidRPr="00C54A03">
        <w:rPr>
          <w:color w:val="000000" w:themeColor="text1"/>
          <w:sz w:val="24"/>
          <w:szCs w:val="24"/>
        </w:rPr>
        <w:t>funcții</w:t>
      </w:r>
      <w:proofErr w:type="spellEnd"/>
      <w:r w:rsidRPr="00C54A03">
        <w:rPr>
          <w:color w:val="000000" w:themeColor="text1"/>
          <w:sz w:val="24"/>
          <w:szCs w:val="24"/>
        </w:rPr>
        <w:t xml:space="preserve"> </w:t>
      </w:r>
      <w:proofErr w:type="spellStart"/>
      <w:r w:rsidRPr="00C54A03">
        <w:rPr>
          <w:color w:val="000000" w:themeColor="text1"/>
          <w:sz w:val="24"/>
          <w:szCs w:val="24"/>
        </w:rPr>
        <w:t>raportate</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urmă</w:t>
      </w:r>
      <w:proofErr w:type="spellEnd"/>
      <w:r w:rsidRPr="00C54A03">
        <w:rPr>
          <w:color w:val="000000" w:themeColor="text1"/>
          <w:sz w:val="24"/>
          <w:szCs w:val="24"/>
        </w:rPr>
        <w:t xml:space="preserve"> cu 2 </w:t>
      </w:r>
      <w:proofErr w:type="spellStart"/>
      <w:r w:rsidRPr="00C54A03">
        <w:rPr>
          <w:color w:val="000000" w:themeColor="text1"/>
          <w:sz w:val="24"/>
          <w:szCs w:val="24"/>
        </w:rPr>
        <w:t>cicluri</w:t>
      </w:r>
      <w:proofErr w:type="spellEnd"/>
      <w:r w:rsidRPr="00C54A03">
        <w:rPr>
          <w:color w:val="000000" w:themeColor="text1"/>
          <w:sz w:val="24"/>
          <w:szCs w:val="24"/>
        </w:rPr>
        <w:t xml:space="preserve"> de</w:t>
      </w:r>
      <w:r w:rsidRPr="00C54A03">
        <w:rPr>
          <w:color w:val="000000" w:themeColor="text1"/>
          <w:spacing w:val="1"/>
          <w:sz w:val="24"/>
          <w:szCs w:val="24"/>
        </w:rPr>
        <w:t xml:space="preserve"> </w:t>
      </w:r>
      <w:proofErr w:type="spellStart"/>
      <w:r w:rsidRPr="00C54A03">
        <w:rPr>
          <w:color w:val="000000" w:themeColor="text1"/>
          <w:sz w:val="24"/>
          <w:szCs w:val="24"/>
        </w:rPr>
        <w:t>raportare</w:t>
      </w:r>
      <w:proofErr w:type="spellEnd"/>
      <w:r w:rsidRPr="00C54A03">
        <w:rPr>
          <w:color w:val="000000" w:themeColor="text1"/>
          <w:spacing w:val="1"/>
          <w:sz w:val="24"/>
          <w:szCs w:val="24"/>
        </w:rPr>
        <w:t xml:space="preserve"> </w:t>
      </w:r>
      <w:r w:rsidRPr="00C54A03">
        <w:rPr>
          <w:color w:val="000000" w:themeColor="text1"/>
          <w:sz w:val="24"/>
          <w:szCs w:val="24"/>
        </w:rPr>
        <w:t>(de</w:t>
      </w:r>
      <w:r w:rsidRPr="00C54A03">
        <w:rPr>
          <w:color w:val="000000" w:themeColor="text1"/>
          <w:spacing w:val="1"/>
          <w:sz w:val="24"/>
          <w:szCs w:val="24"/>
        </w:rPr>
        <w:t xml:space="preserve"> </w:t>
      </w:r>
      <w:r w:rsidRPr="00C54A03">
        <w:rPr>
          <w:color w:val="000000" w:themeColor="text1"/>
          <w:sz w:val="24"/>
          <w:szCs w:val="24"/>
        </w:rPr>
        <w:t>6</w:t>
      </w:r>
      <w:r w:rsidRPr="00C54A03">
        <w:rPr>
          <w:color w:val="000000" w:themeColor="text1"/>
          <w:spacing w:val="1"/>
          <w:sz w:val="24"/>
          <w:szCs w:val="24"/>
        </w:rPr>
        <w:t xml:space="preserve"> </w:t>
      </w:r>
      <w:r w:rsidRPr="00C54A03">
        <w:rPr>
          <w:color w:val="000000" w:themeColor="text1"/>
          <w:sz w:val="24"/>
          <w:szCs w:val="24"/>
        </w:rPr>
        <w:t>ani).</w:t>
      </w:r>
      <w:r w:rsidRPr="00C54A03">
        <w:rPr>
          <w:color w:val="000000" w:themeColor="text1"/>
          <w:spacing w:val="1"/>
          <w:sz w:val="24"/>
          <w:szCs w:val="24"/>
        </w:rPr>
        <w:t xml:space="preserve"> </w:t>
      </w:r>
      <w:proofErr w:type="spellStart"/>
      <w:r w:rsidRPr="00C54A03">
        <w:rPr>
          <w:color w:val="000000" w:themeColor="text1"/>
          <w:sz w:val="24"/>
          <w:szCs w:val="24"/>
        </w:rPr>
        <w:t>Tendința</w:t>
      </w:r>
      <w:proofErr w:type="spellEnd"/>
      <w:r w:rsidRPr="00C54A03">
        <w:rPr>
          <w:color w:val="000000" w:themeColor="text1"/>
          <w:spacing w:val="1"/>
          <w:sz w:val="24"/>
          <w:szCs w:val="24"/>
        </w:rPr>
        <w:t xml:space="preserve"> </w:t>
      </w:r>
      <w:proofErr w:type="spellStart"/>
      <w:r w:rsidRPr="00C54A03">
        <w:rPr>
          <w:color w:val="000000" w:themeColor="text1"/>
          <w:sz w:val="24"/>
          <w:szCs w:val="24"/>
        </w:rPr>
        <w:t>fiind</w:t>
      </w:r>
      <w:proofErr w:type="spellEnd"/>
      <w:r w:rsidRPr="00C54A03">
        <w:rPr>
          <w:color w:val="000000" w:themeColor="text1"/>
          <w:spacing w:val="1"/>
          <w:sz w:val="24"/>
          <w:szCs w:val="24"/>
        </w:rPr>
        <w:t xml:space="preserve"> </w:t>
      </w:r>
      <w:proofErr w:type="spellStart"/>
      <w:r w:rsidRPr="00C54A03">
        <w:rPr>
          <w:color w:val="000000" w:themeColor="text1"/>
          <w:sz w:val="24"/>
          <w:szCs w:val="24"/>
        </w:rPr>
        <w:t>evaluată</w:t>
      </w:r>
      <w:proofErr w:type="spellEnd"/>
      <w:r w:rsidRPr="00C54A03">
        <w:rPr>
          <w:color w:val="000000" w:themeColor="text1"/>
          <w:spacing w:val="1"/>
          <w:sz w:val="24"/>
          <w:szCs w:val="24"/>
        </w:rPr>
        <w:t xml:space="preserve"> </w:t>
      </w:r>
      <w:proofErr w:type="spellStart"/>
      <w:r w:rsidRPr="00C54A03">
        <w:rPr>
          <w:color w:val="000000" w:themeColor="text1"/>
          <w:sz w:val="24"/>
          <w:szCs w:val="24"/>
        </w:rPr>
        <w:t>utilizând</w:t>
      </w:r>
      <w:proofErr w:type="spellEnd"/>
      <w:r w:rsidRPr="00C54A03">
        <w:rPr>
          <w:color w:val="000000" w:themeColor="text1"/>
          <w:spacing w:val="1"/>
          <w:sz w:val="24"/>
          <w:szCs w:val="24"/>
        </w:rPr>
        <w:t xml:space="preserve"> </w:t>
      </w:r>
      <w:proofErr w:type="spellStart"/>
      <w:r w:rsidRPr="00C54A03">
        <w:rPr>
          <w:color w:val="000000" w:themeColor="text1"/>
          <w:sz w:val="24"/>
          <w:szCs w:val="24"/>
        </w:rPr>
        <w:t>indicatori</w:t>
      </w:r>
      <w:proofErr w:type="spellEnd"/>
      <w:r w:rsidRPr="00C54A03">
        <w:rPr>
          <w:color w:val="000000" w:themeColor="text1"/>
          <w:spacing w:val="1"/>
          <w:sz w:val="24"/>
          <w:szCs w:val="24"/>
        </w:rPr>
        <w:t xml:space="preserve"> </w:t>
      </w:r>
      <w:proofErr w:type="spellStart"/>
      <w:r w:rsidRPr="00C54A03">
        <w:rPr>
          <w:color w:val="000000" w:themeColor="text1"/>
          <w:sz w:val="24"/>
          <w:szCs w:val="24"/>
        </w:rPr>
        <w:t>calitativi</w:t>
      </w:r>
      <w:proofErr w:type="spellEnd"/>
      <w:r w:rsidRPr="00C54A03">
        <w:rPr>
          <w:color w:val="000000" w:themeColor="text1"/>
          <w:spacing w:val="1"/>
          <w:sz w:val="24"/>
          <w:szCs w:val="24"/>
        </w:rPr>
        <w:t xml:space="preserve"> </w:t>
      </w:r>
      <w:r w:rsidRPr="00C54A03">
        <w:rPr>
          <w:color w:val="000000" w:themeColor="text1"/>
          <w:sz w:val="24"/>
          <w:szCs w:val="24"/>
        </w:rPr>
        <w:t>precum:</w:t>
      </w:r>
      <w:r w:rsidRPr="00C54A03">
        <w:rPr>
          <w:color w:val="000000" w:themeColor="text1"/>
          <w:spacing w:val="1"/>
          <w:sz w:val="24"/>
          <w:szCs w:val="24"/>
        </w:rPr>
        <w:t xml:space="preserve"> </w:t>
      </w:r>
      <w:proofErr w:type="spellStart"/>
      <w:r w:rsidRPr="00C54A03">
        <w:rPr>
          <w:color w:val="000000" w:themeColor="text1"/>
          <w:sz w:val="24"/>
          <w:szCs w:val="24"/>
        </w:rPr>
        <w:t>stabilă</w:t>
      </w:r>
      <w:proofErr w:type="spellEnd"/>
      <w:r w:rsidRPr="00C54A03">
        <w:rPr>
          <w:color w:val="000000" w:themeColor="text1"/>
          <w:sz w:val="24"/>
          <w:szCs w:val="24"/>
        </w:rPr>
        <w:t>,</w:t>
      </w:r>
      <w:r w:rsidRPr="00C54A03">
        <w:rPr>
          <w:color w:val="000000" w:themeColor="text1"/>
          <w:spacing w:val="60"/>
          <w:sz w:val="24"/>
          <w:szCs w:val="24"/>
        </w:rPr>
        <w:t xml:space="preserve"> </w:t>
      </w:r>
      <w:proofErr w:type="spellStart"/>
      <w:r w:rsidRPr="00C54A03">
        <w:rPr>
          <w:color w:val="000000" w:themeColor="text1"/>
          <w:sz w:val="24"/>
          <w:szCs w:val="24"/>
        </w:rPr>
        <w:t>în</w:t>
      </w:r>
      <w:proofErr w:type="spellEnd"/>
      <w:r w:rsidRPr="00C54A03">
        <w:rPr>
          <w:color w:val="000000" w:themeColor="text1"/>
          <w:spacing w:val="1"/>
          <w:sz w:val="24"/>
          <w:szCs w:val="24"/>
        </w:rPr>
        <w:t xml:space="preserve"> </w:t>
      </w:r>
      <w:proofErr w:type="spellStart"/>
      <w:r w:rsidRPr="00C54A03">
        <w:rPr>
          <w:color w:val="000000" w:themeColor="text1"/>
          <w:sz w:val="24"/>
          <w:szCs w:val="24"/>
        </w:rPr>
        <w:t>refacere</w:t>
      </w:r>
      <w:proofErr w:type="spellEnd"/>
      <w:r w:rsidRPr="00C54A03">
        <w:rPr>
          <w:color w:val="000000" w:themeColor="text1"/>
          <w:sz w:val="24"/>
          <w:szCs w:val="24"/>
        </w:rPr>
        <w:t>,</w:t>
      </w:r>
      <w:r w:rsidRPr="00C54A03">
        <w:rPr>
          <w:color w:val="000000" w:themeColor="text1"/>
          <w:spacing w:val="-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declin</w:t>
      </w:r>
      <w:proofErr w:type="spellEnd"/>
      <w:r w:rsidRPr="00C54A03">
        <w:rPr>
          <w:color w:val="000000" w:themeColor="text1"/>
          <w:sz w:val="24"/>
          <w:szCs w:val="24"/>
        </w:rPr>
        <w:t xml:space="preserve"> </w:t>
      </w:r>
      <w:proofErr w:type="spellStart"/>
      <w:r w:rsidRPr="00C54A03">
        <w:rPr>
          <w:color w:val="000000" w:themeColor="text1"/>
          <w:sz w:val="24"/>
          <w:szCs w:val="24"/>
        </w:rPr>
        <w:t>și</w:t>
      </w:r>
      <w:proofErr w:type="spellEnd"/>
      <w:r w:rsidRPr="00C54A03">
        <w:rPr>
          <w:color w:val="000000" w:themeColor="text1"/>
          <w:sz w:val="24"/>
          <w:szCs w:val="24"/>
        </w:rPr>
        <w:t xml:space="preserve"> </w:t>
      </w:r>
      <w:proofErr w:type="spellStart"/>
      <w:r w:rsidRPr="00C54A03">
        <w:rPr>
          <w:color w:val="000000" w:themeColor="text1"/>
          <w:sz w:val="24"/>
          <w:szCs w:val="24"/>
        </w:rPr>
        <w:t>necunoscut</w:t>
      </w:r>
      <w:proofErr w:type="spellEnd"/>
      <w:r w:rsidRPr="00C54A03">
        <w:rPr>
          <w:color w:val="000000" w:themeColor="text1"/>
          <w:sz w:val="24"/>
          <w:szCs w:val="24"/>
        </w:rPr>
        <w:t>.</w:t>
      </w:r>
    </w:p>
    <w:p w14:paraId="0636E8BC" w14:textId="77777777" w:rsidR="007702CD" w:rsidRPr="00C54A03" w:rsidRDefault="007702CD" w:rsidP="00D97209">
      <w:pPr>
        <w:pStyle w:val="BodyText"/>
        <w:ind w:left="0" w:right="27"/>
        <w:jc w:val="both"/>
        <w:rPr>
          <w:color w:val="000000" w:themeColor="text1"/>
          <w:sz w:val="24"/>
          <w:szCs w:val="24"/>
        </w:rPr>
      </w:pPr>
      <w:proofErr w:type="spellStart"/>
      <w:r w:rsidRPr="00C54A03">
        <w:rPr>
          <w:color w:val="000000" w:themeColor="text1"/>
          <w:sz w:val="24"/>
          <w:szCs w:val="24"/>
        </w:rPr>
        <w:t>Evaluarea</w:t>
      </w:r>
      <w:proofErr w:type="spellEnd"/>
      <w:r w:rsidRPr="00C54A03">
        <w:rPr>
          <w:color w:val="000000" w:themeColor="text1"/>
          <w:sz w:val="24"/>
          <w:szCs w:val="24"/>
        </w:rPr>
        <w:t xml:space="preserve"> </w:t>
      </w:r>
      <w:proofErr w:type="spellStart"/>
      <w:r w:rsidRPr="00C54A03">
        <w:rPr>
          <w:color w:val="000000" w:themeColor="text1"/>
          <w:sz w:val="24"/>
          <w:szCs w:val="24"/>
        </w:rPr>
        <w:t>tendințelor</w:t>
      </w:r>
      <w:proofErr w:type="spellEnd"/>
      <w:r w:rsidRPr="00C54A03">
        <w:rPr>
          <w:color w:val="000000" w:themeColor="text1"/>
          <w:sz w:val="24"/>
          <w:szCs w:val="24"/>
        </w:rPr>
        <w:t xml:space="preserve"> pe termen </w:t>
      </w:r>
      <w:proofErr w:type="spellStart"/>
      <w:r w:rsidRPr="00C54A03">
        <w:rPr>
          <w:color w:val="000000" w:themeColor="text1"/>
          <w:sz w:val="24"/>
          <w:szCs w:val="24"/>
        </w:rPr>
        <w:t>scurt</w:t>
      </w:r>
      <w:proofErr w:type="spellEnd"/>
      <w:r w:rsidRPr="00C54A03">
        <w:rPr>
          <w:color w:val="000000" w:themeColor="text1"/>
          <w:spacing w:val="1"/>
          <w:sz w:val="24"/>
          <w:szCs w:val="24"/>
        </w:rPr>
        <w:t xml:space="preserve"> </w:t>
      </w:r>
      <w:proofErr w:type="spellStart"/>
      <w:r w:rsidRPr="00C54A03">
        <w:rPr>
          <w:color w:val="000000" w:themeColor="text1"/>
          <w:sz w:val="24"/>
          <w:szCs w:val="24"/>
        </w:rPr>
        <w:t>reprezintă</w:t>
      </w:r>
      <w:proofErr w:type="spellEnd"/>
      <w:r w:rsidRPr="00C54A03">
        <w:rPr>
          <w:color w:val="000000" w:themeColor="text1"/>
          <w:sz w:val="24"/>
          <w:szCs w:val="24"/>
        </w:rPr>
        <w:t xml:space="preserve"> de </w:t>
      </w:r>
      <w:proofErr w:type="spellStart"/>
      <w:r w:rsidRPr="00C54A03">
        <w:rPr>
          <w:color w:val="000000" w:themeColor="text1"/>
          <w:sz w:val="24"/>
          <w:szCs w:val="24"/>
        </w:rPr>
        <w:t>asemenea</w:t>
      </w:r>
      <w:proofErr w:type="spellEnd"/>
      <w:r w:rsidRPr="00C54A03">
        <w:rPr>
          <w:color w:val="000000" w:themeColor="text1"/>
          <w:sz w:val="24"/>
          <w:szCs w:val="24"/>
        </w:rPr>
        <w:t xml:space="preserve"> </w:t>
      </w:r>
      <w:proofErr w:type="spellStart"/>
      <w:r w:rsidRPr="00C54A03">
        <w:rPr>
          <w:color w:val="000000" w:themeColor="text1"/>
          <w:sz w:val="24"/>
          <w:szCs w:val="24"/>
        </w:rPr>
        <w:t>cheie</w:t>
      </w:r>
      <w:proofErr w:type="spellEnd"/>
      <w:r w:rsidRPr="00C54A03">
        <w:rPr>
          <w:color w:val="000000" w:themeColor="text1"/>
          <w:sz w:val="24"/>
          <w:szCs w:val="24"/>
        </w:rPr>
        <w:t xml:space="preserve"> de control </w:t>
      </w:r>
      <w:proofErr w:type="spellStart"/>
      <w:r w:rsidRPr="00C54A03">
        <w:rPr>
          <w:color w:val="000000" w:themeColor="text1"/>
          <w:sz w:val="24"/>
          <w:szCs w:val="24"/>
        </w:rPr>
        <w:t>pentru</w:t>
      </w:r>
      <w:proofErr w:type="spellEnd"/>
      <w:r w:rsidRPr="00C54A03">
        <w:rPr>
          <w:color w:val="000000" w:themeColor="text1"/>
          <w:sz w:val="24"/>
          <w:szCs w:val="24"/>
        </w:rPr>
        <w:t xml:space="preserve"> </w:t>
      </w:r>
      <w:proofErr w:type="spellStart"/>
      <w:r w:rsidRPr="00C54A03">
        <w:rPr>
          <w:color w:val="000000" w:themeColor="text1"/>
          <w:sz w:val="24"/>
          <w:szCs w:val="24"/>
        </w:rPr>
        <w:t>analiza</w:t>
      </w:r>
      <w:proofErr w:type="spellEnd"/>
      <w:r w:rsidRPr="00C54A03">
        <w:rPr>
          <w:color w:val="000000" w:themeColor="text1"/>
          <w:sz w:val="24"/>
          <w:szCs w:val="24"/>
        </w:rPr>
        <w:t xml:space="preserve"> de</w:t>
      </w:r>
      <w:r w:rsidRPr="00C54A03">
        <w:rPr>
          <w:color w:val="000000" w:themeColor="text1"/>
          <w:spacing w:val="1"/>
          <w:sz w:val="24"/>
          <w:szCs w:val="24"/>
        </w:rPr>
        <w:t xml:space="preserve"> </w:t>
      </w:r>
      <w:proofErr w:type="spellStart"/>
      <w:r w:rsidRPr="00C54A03">
        <w:rPr>
          <w:color w:val="000000" w:themeColor="text1"/>
          <w:sz w:val="24"/>
          <w:szCs w:val="24"/>
        </w:rPr>
        <w:t>calitate</w:t>
      </w:r>
      <w:proofErr w:type="spellEnd"/>
      <w:r w:rsidRPr="00C54A03">
        <w:rPr>
          <w:color w:val="000000" w:themeColor="text1"/>
          <w:spacing w:val="-2"/>
          <w:sz w:val="24"/>
          <w:szCs w:val="24"/>
        </w:rPr>
        <w:t xml:space="preserve"> </w:t>
      </w:r>
      <w:r w:rsidRPr="00C54A03">
        <w:rPr>
          <w:color w:val="000000" w:themeColor="text1"/>
          <w:sz w:val="24"/>
          <w:szCs w:val="24"/>
        </w:rPr>
        <w:t>a</w:t>
      </w:r>
      <w:r w:rsidRPr="00C54A03">
        <w:rPr>
          <w:color w:val="000000" w:themeColor="text1"/>
          <w:spacing w:val="-1"/>
          <w:sz w:val="24"/>
          <w:szCs w:val="24"/>
        </w:rPr>
        <w:t xml:space="preserve"> </w:t>
      </w:r>
      <w:proofErr w:type="spellStart"/>
      <w:r w:rsidRPr="00C54A03">
        <w:rPr>
          <w:color w:val="000000" w:themeColor="text1"/>
          <w:sz w:val="24"/>
          <w:szCs w:val="24"/>
        </w:rPr>
        <w:t>rezultatelor</w:t>
      </w:r>
      <w:proofErr w:type="spellEnd"/>
      <w:r w:rsidRPr="00C54A03">
        <w:rPr>
          <w:color w:val="000000" w:themeColor="text1"/>
          <w:spacing w:val="-1"/>
          <w:sz w:val="24"/>
          <w:szCs w:val="24"/>
        </w:rPr>
        <w:t xml:space="preserve"> </w:t>
      </w:r>
      <w:proofErr w:type="spellStart"/>
      <w:r w:rsidRPr="00C54A03">
        <w:rPr>
          <w:color w:val="000000" w:themeColor="text1"/>
          <w:sz w:val="24"/>
          <w:szCs w:val="24"/>
        </w:rPr>
        <w:t>raportării</w:t>
      </w:r>
      <w:proofErr w:type="spellEnd"/>
      <w:r w:rsidRPr="00C54A03">
        <w:rPr>
          <w:color w:val="000000" w:themeColor="text1"/>
          <w:sz w:val="24"/>
          <w:szCs w:val="24"/>
        </w:rPr>
        <w:t xml:space="preserve"> </w:t>
      </w:r>
      <w:proofErr w:type="spellStart"/>
      <w:r w:rsidRPr="00C54A03">
        <w:rPr>
          <w:color w:val="000000" w:themeColor="text1"/>
          <w:sz w:val="24"/>
          <w:szCs w:val="24"/>
        </w:rPr>
        <w:t>succesive</w:t>
      </w:r>
      <w:proofErr w:type="spellEnd"/>
      <w:r w:rsidRPr="00C54A03">
        <w:rPr>
          <w:color w:val="000000" w:themeColor="text1"/>
          <w:sz w:val="24"/>
          <w:szCs w:val="24"/>
        </w:rPr>
        <w:t>.</w:t>
      </w:r>
    </w:p>
    <w:p w14:paraId="038B23F5" w14:textId="77777777" w:rsidR="007702CD" w:rsidRPr="00C54A03" w:rsidRDefault="007702CD" w:rsidP="008E33FD">
      <w:pPr>
        <w:pStyle w:val="BodyText"/>
        <w:spacing w:before="6"/>
        <w:jc w:val="both"/>
        <w:rPr>
          <w:color w:val="000000" w:themeColor="text1"/>
          <w:sz w:val="24"/>
          <w:szCs w:val="24"/>
        </w:rPr>
      </w:pPr>
    </w:p>
    <w:p w14:paraId="0BEF0F33" w14:textId="77777777" w:rsidR="007702CD" w:rsidRPr="00C54A03" w:rsidRDefault="007702CD" w:rsidP="008E33FD">
      <w:pPr>
        <w:pStyle w:val="Heading2"/>
        <w:widowControl w:val="0"/>
        <w:tabs>
          <w:tab w:val="left" w:pos="1208"/>
        </w:tabs>
        <w:autoSpaceDE w:val="0"/>
        <w:autoSpaceDN w:val="0"/>
        <w:spacing w:before="0" w:beforeAutospacing="0" w:after="0" w:afterAutospacing="0"/>
        <w:jc w:val="both"/>
        <w:rPr>
          <w:color w:val="000000" w:themeColor="text1"/>
          <w:sz w:val="24"/>
          <w:szCs w:val="24"/>
        </w:rPr>
      </w:pPr>
      <w:proofErr w:type="spellStart"/>
      <w:r w:rsidRPr="00C54A03">
        <w:rPr>
          <w:color w:val="000000" w:themeColor="text1"/>
          <w:sz w:val="24"/>
          <w:szCs w:val="24"/>
        </w:rPr>
        <w:t>Evaluarea</w:t>
      </w:r>
      <w:proofErr w:type="spellEnd"/>
      <w:r w:rsidRPr="00C54A03">
        <w:rPr>
          <w:color w:val="000000" w:themeColor="text1"/>
          <w:spacing w:val="-3"/>
          <w:sz w:val="24"/>
          <w:szCs w:val="24"/>
        </w:rPr>
        <w:t xml:space="preserve"> </w:t>
      </w:r>
      <w:proofErr w:type="spellStart"/>
      <w:r w:rsidRPr="00C54A03">
        <w:rPr>
          <w:color w:val="000000" w:themeColor="text1"/>
          <w:sz w:val="24"/>
          <w:szCs w:val="24"/>
        </w:rPr>
        <w:t>tendințelor</w:t>
      </w:r>
      <w:proofErr w:type="spellEnd"/>
      <w:r w:rsidRPr="00C54A03">
        <w:rPr>
          <w:color w:val="000000" w:themeColor="text1"/>
          <w:spacing w:val="-3"/>
          <w:sz w:val="24"/>
          <w:szCs w:val="24"/>
        </w:rPr>
        <w:t xml:space="preserve"> </w:t>
      </w:r>
      <w:r w:rsidRPr="00C54A03">
        <w:rPr>
          <w:color w:val="000000" w:themeColor="text1"/>
          <w:sz w:val="24"/>
          <w:szCs w:val="24"/>
        </w:rPr>
        <w:t>pe</w:t>
      </w:r>
      <w:r w:rsidRPr="00C54A03">
        <w:rPr>
          <w:color w:val="000000" w:themeColor="text1"/>
          <w:spacing w:val="-3"/>
          <w:sz w:val="24"/>
          <w:szCs w:val="24"/>
        </w:rPr>
        <w:t xml:space="preserve"> </w:t>
      </w:r>
      <w:r w:rsidRPr="00C54A03">
        <w:rPr>
          <w:color w:val="000000" w:themeColor="text1"/>
          <w:sz w:val="24"/>
          <w:szCs w:val="24"/>
        </w:rPr>
        <w:t>termen</w:t>
      </w:r>
      <w:r w:rsidRPr="00C54A03">
        <w:rPr>
          <w:color w:val="000000" w:themeColor="text1"/>
          <w:spacing w:val="-3"/>
          <w:sz w:val="24"/>
          <w:szCs w:val="24"/>
        </w:rPr>
        <w:t xml:space="preserve"> </w:t>
      </w:r>
      <w:r w:rsidRPr="00C54A03">
        <w:rPr>
          <w:color w:val="000000" w:themeColor="text1"/>
          <w:sz w:val="24"/>
          <w:szCs w:val="24"/>
        </w:rPr>
        <w:t>lung</w:t>
      </w:r>
    </w:p>
    <w:p w14:paraId="6D26DCE9" w14:textId="77777777" w:rsidR="007702CD" w:rsidRPr="00C54A03" w:rsidRDefault="007702CD" w:rsidP="00D97209">
      <w:pPr>
        <w:pStyle w:val="BodyText"/>
        <w:spacing w:before="157"/>
        <w:ind w:left="0" w:right="27"/>
        <w:jc w:val="both"/>
        <w:rPr>
          <w:color w:val="000000" w:themeColor="text1"/>
          <w:sz w:val="24"/>
          <w:szCs w:val="24"/>
        </w:rPr>
      </w:pPr>
      <w:proofErr w:type="spellStart"/>
      <w:r w:rsidRPr="00C54A03">
        <w:rPr>
          <w:color w:val="000000" w:themeColor="text1"/>
          <w:sz w:val="24"/>
          <w:szCs w:val="24"/>
        </w:rPr>
        <w:t>Având</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vedere</w:t>
      </w:r>
      <w:proofErr w:type="spellEnd"/>
      <w:r w:rsidRPr="00C54A03">
        <w:rPr>
          <w:color w:val="000000" w:themeColor="text1"/>
          <w:sz w:val="24"/>
          <w:szCs w:val="24"/>
        </w:rPr>
        <w:t xml:space="preserve"> </w:t>
      </w:r>
      <w:proofErr w:type="spellStart"/>
      <w:r w:rsidRPr="00C54A03">
        <w:rPr>
          <w:color w:val="000000" w:themeColor="text1"/>
          <w:sz w:val="24"/>
          <w:szCs w:val="24"/>
        </w:rPr>
        <w:t>că</w:t>
      </w:r>
      <w:proofErr w:type="spellEnd"/>
      <w:r w:rsidRPr="00C54A03">
        <w:rPr>
          <w:color w:val="000000" w:themeColor="text1"/>
          <w:sz w:val="24"/>
          <w:szCs w:val="24"/>
        </w:rPr>
        <w:t xml:space="preserve"> </w:t>
      </w:r>
      <w:proofErr w:type="spellStart"/>
      <w:r w:rsidRPr="00C54A03">
        <w:rPr>
          <w:color w:val="000000" w:themeColor="text1"/>
          <w:sz w:val="24"/>
          <w:szCs w:val="24"/>
        </w:rPr>
        <w:t>România</w:t>
      </w:r>
      <w:proofErr w:type="spellEnd"/>
      <w:r w:rsidRPr="00C54A03">
        <w:rPr>
          <w:color w:val="000000" w:themeColor="text1"/>
          <w:sz w:val="24"/>
          <w:szCs w:val="24"/>
        </w:rPr>
        <w:t xml:space="preserve"> </w:t>
      </w:r>
      <w:proofErr w:type="spellStart"/>
      <w:r w:rsidRPr="00C54A03">
        <w:rPr>
          <w:color w:val="000000" w:themeColor="text1"/>
          <w:sz w:val="24"/>
          <w:szCs w:val="24"/>
        </w:rPr>
        <w:t>este</w:t>
      </w:r>
      <w:proofErr w:type="spellEnd"/>
      <w:r w:rsidRPr="00C54A03">
        <w:rPr>
          <w:color w:val="000000" w:themeColor="text1"/>
          <w:sz w:val="24"/>
          <w:szCs w:val="24"/>
        </w:rPr>
        <w:t xml:space="preserve"> la a </w:t>
      </w:r>
      <w:proofErr w:type="spellStart"/>
      <w:r w:rsidRPr="00C54A03">
        <w:rPr>
          <w:color w:val="000000" w:themeColor="text1"/>
          <w:sz w:val="24"/>
          <w:szCs w:val="24"/>
        </w:rPr>
        <w:t>doua</w:t>
      </w:r>
      <w:proofErr w:type="spellEnd"/>
      <w:r w:rsidRPr="00C54A03">
        <w:rPr>
          <w:color w:val="000000" w:themeColor="text1"/>
          <w:sz w:val="24"/>
          <w:szCs w:val="24"/>
        </w:rPr>
        <w:t xml:space="preserve"> </w:t>
      </w:r>
      <w:proofErr w:type="spellStart"/>
      <w:r w:rsidRPr="00C54A03">
        <w:rPr>
          <w:color w:val="000000" w:themeColor="text1"/>
          <w:sz w:val="24"/>
          <w:szCs w:val="24"/>
        </w:rPr>
        <w:t>raportare</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baza</w:t>
      </w:r>
      <w:proofErr w:type="spellEnd"/>
      <w:r w:rsidRPr="00C54A03">
        <w:rPr>
          <w:color w:val="000000" w:themeColor="text1"/>
          <w:sz w:val="24"/>
          <w:szCs w:val="24"/>
        </w:rPr>
        <w:t xml:space="preserve"> art. 17 al </w:t>
      </w:r>
      <w:proofErr w:type="spellStart"/>
      <w:r w:rsidRPr="00C54A03">
        <w:rPr>
          <w:color w:val="000000" w:themeColor="text1"/>
          <w:sz w:val="24"/>
          <w:szCs w:val="24"/>
        </w:rPr>
        <w:t>Directivei</w:t>
      </w:r>
      <w:proofErr w:type="spellEnd"/>
      <w:r w:rsidRPr="00C54A03">
        <w:rPr>
          <w:color w:val="000000" w:themeColor="text1"/>
          <w:sz w:val="24"/>
          <w:szCs w:val="24"/>
        </w:rPr>
        <w:t xml:space="preserve"> </w:t>
      </w:r>
      <w:proofErr w:type="spellStart"/>
      <w:r w:rsidRPr="00C54A03">
        <w:rPr>
          <w:color w:val="000000" w:themeColor="text1"/>
          <w:sz w:val="24"/>
          <w:szCs w:val="24"/>
        </w:rPr>
        <w:t>Habitate</w:t>
      </w:r>
      <w:proofErr w:type="spellEnd"/>
      <w:r w:rsidRPr="00C54A03">
        <w:rPr>
          <w:color w:val="000000" w:themeColor="text1"/>
          <w:sz w:val="24"/>
          <w:szCs w:val="24"/>
        </w:rPr>
        <w:t>, prima</w:t>
      </w:r>
      <w:r w:rsidRPr="00C54A03">
        <w:rPr>
          <w:color w:val="000000" w:themeColor="text1"/>
          <w:spacing w:val="1"/>
          <w:sz w:val="24"/>
          <w:szCs w:val="24"/>
        </w:rPr>
        <w:t xml:space="preserve"> </w:t>
      </w:r>
      <w:proofErr w:type="spellStart"/>
      <w:r w:rsidRPr="00C54A03">
        <w:rPr>
          <w:color w:val="000000" w:themeColor="text1"/>
          <w:sz w:val="24"/>
          <w:szCs w:val="24"/>
        </w:rPr>
        <w:t>raportare</w:t>
      </w:r>
      <w:proofErr w:type="spellEnd"/>
      <w:r w:rsidRPr="00C54A03">
        <w:rPr>
          <w:color w:val="000000" w:themeColor="text1"/>
          <w:sz w:val="24"/>
          <w:szCs w:val="24"/>
        </w:rPr>
        <w:t xml:space="preserve"> </w:t>
      </w:r>
      <w:proofErr w:type="spellStart"/>
      <w:r w:rsidRPr="00C54A03">
        <w:rPr>
          <w:color w:val="000000" w:themeColor="text1"/>
          <w:sz w:val="24"/>
          <w:szCs w:val="24"/>
        </w:rPr>
        <w:t>rămânând</w:t>
      </w:r>
      <w:proofErr w:type="spellEnd"/>
      <w:r w:rsidRPr="00C54A03">
        <w:rPr>
          <w:color w:val="000000" w:themeColor="text1"/>
          <w:sz w:val="24"/>
          <w:szCs w:val="24"/>
        </w:rPr>
        <w:t xml:space="preserve"> de </w:t>
      </w:r>
      <w:proofErr w:type="spellStart"/>
      <w:r w:rsidRPr="00C54A03">
        <w:rPr>
          <w:color w:val="000000" w:themeColor="text1"/>
          <w:sz w:val="24"/>
          <w:szCs w:val="24"/>
        </w:rPr>
        <w:t>referință</w:t>
      </w:r>
      <w:proofErr w:type="spellEnd"/>
      <w:r w:rsidRPr="00C54A03">
        <w:rPr>
          <w:color w:val="000000" w:themeColor="text1"/>
          <w:sz w:val="24"/>
          <w:szCs w:val="24"/>
        </w:rPr>
        <w:t xml:space="preserve"> </w:t>
      </w:r>
      <w:proofErr w:type="spellStart"/>
      <w:r w:rsidRPr="00C54A03">
        <w:rPr>
          <w:color w:val="000000" w:themeColor="text1"/>
          <w:sz w:val="24"/>
          <w:szCs w:val="24"/>
        </w:rPr>
        <w:t>pentru</w:t>
      </w:r>
      <w:proofErr w:type="spellEnd"/>
      <w:r w:rsidRPr="00C54A03">
        <w:rPr>
          <w:color w:val="000000" w:themeColor="text1"/>
          <w:sz w:val="24"/>
          <w:szCs w:val="24"/>
        </w:rPr>
        <w:t xml:space="preserve"> </w:t>
      </w:r>
      <w:proofErr w:type="spellStart"/>
      <w:r w:rsidRPr="00C54A03">
        <w:rPr>
          <w:color w:val="000000" w:themeColor="text1"/>
          <w:sz w:val="24"/>
          <w:szCs w:val="24"/>
        </w:rPr>
        <w:t>următoarele</w:t>
      </w:r>
      <w:proofErr w:type="spellEnd"/>
      <w:r w:rsidRPr="00C54A03">
        <w:rPr>
          <w:color w:val="000000" w:themeColor="text1"/>
          <w:sz w:val="24"/>
          <w:szCs w:val="24"/>
        </w:rPr>
        <w:t xml:space="preserve"> </w:t>
      </w:r>
      <w:proofErr w:type="spellStart"/>
      <w:r w:rsidRPr="00C54A03">
        <w:rPr>
          <w:color w:val="000000" w:themeColor="text1"/>
          <w:sz w:val="24"/>
          <w:szCs w:val="24"/>
        </w:rPr>
        <w:t>rapoarte</w:t>
      </w:r>
      <w:proofErr w:type="spellEnd"/>
      <w:r w:rsidRPr="00C54A03">
        <w:rPr>
          <w:color w:val="000000" w:themeColor="text1"/>
          <w:sz w:val="24"/>
          <w:szCs w:val="24"/>
        </w:rPr>
        <w:t xml:space="preserve">, s-a </w:t>
      </w:r>
      <w:proofErr w:type="spellStart"/>
      <w:r w:rsidRPr="00C54A03">
        <w:rPr>
          <w:color w:val="000000" w:themeColor="text1"/>
          <w:sz w:val="24"/>
          <w:szCs w:val="24"/>
        </w:rPr>
        <w:t>realizat</w:t>
      </w:r>
      <w:proofErr w:type="spellEnd"/>
      <w:r w:rsidRPr="00C54A03">
        <w:rPr>
          <w:color w:val="000000" w:themeColor="text1"/>
          <w:sz w:val="24"/>
          <w:szCs w:val="24"/>
        </w:rPr>
        <w:t xml:space="preserve"> </w:t>
      </w:r>
      <w:proofErr w:type="spellStart"/>
      <w:r w:rsidRPr="00C54A03">
        <w:rPr>
          <w:color w:val="000000" w:themeColor="text1"/>
          <w:sz w:val="24"/>
          <w:szCs w:val="24"/>
        </w:rPr>
        <w:t>evaluarea</w:t>
      </w:r>
      <w:proofErr w:type="spellEnd"/>
      <w:r w:rsidRPr="00C54A03">
        <w:rPr>
          <w:color w:val="000000" w:themeColor="text1"/>
          <w:sz w:val="24"/>
          <w:szCs w:val="24"/>
        </w:rPr>
        <w:t xml:space="preserve"> </w:t>
      </w:r>
      <w:proofErr w:type="spellStart"/>
      <w:r w:rsidRPr="00C54A03">
        <w:rPr>
          <w:color w:val="000000" w:themeColor="text1"/>
          <w:sz w:val="24"/>
          <w:szCs w:val="24"/>
        </w:rPr>
        <w:t>tendințelor</w:t>
      </w:r>
      <w:proofErr w:type="spellEnd"/>
      <w:r w:rsidRPr="00C54A03">
        <w:rPr>
          <w:color w:val="000000" w:themeColor="text1"/>
          <w:sz w:val="24"/>
          <w:szCs w:val="24"/>
        </w:rPr>
        <w:t xml:space="preserve"> pe</w:t>
      </w:r>
      <w:r w:rsidRPr="00C54A03">
        <w:rPr>
          <w:color w:val="000000" w:themeColor="text1"/>
          <w:spacing w:val="1"/>
          <w:sz w:val="24"/>
          <w:szCs w:val="24"/>
        </w:rPr>
        <w:t xml:space="preserve"> </w:t>
      </w:r>
      <w:r w:rsidRPr="00C54A03">
        <w:rPr>
          <w:color w:val="000000" w:themeColor="text1"/>
          <w:sz w:val="24"/>
          <w:szCs w:val="24"/>
        </w:rPr>
        <w:t>termen lung</w:t>
      </w:r>
      <w:r w:rsidRPr="00C54A03">
        <w:rPr>
          <w:color w:val="000000" w:themeColor="text1"/>
          <w:spacing w:val="1"/>
          <w:sz w:val="24"/>
          <w:szCs w:val="24"/>
        </w:rPr>
        <w:t xml:space="preserve"> </w:t>
      </w:r>
      <w:r w:rsidRPr="00C54A03">
        <w:rPr>
          <w:color w:val="000000" w:themeColor="text1"/>
          <w:sz w:val="24"/>
          <w:szCs w:val="24"/>
        </w:rPr>
        <w:t xml:space="preserve">a </w:t>
      </w:r>
      <w:proofErr w:type="spellStart"/>
      <w:r w:rsidRPr="00C54A03">
        <w:rPr>
          <w:color w:val="000000" w:themeColor="text1"/>
          <w:sz w:val="24"/>
          <w:szCs w:val="24"/>
        </w:rPr>
        <w:t>stării</w:t>
      </w:r>
      <w:proofErr w:type="spellEnd"/>
      <w:r w:rsidRPr="00C54A03">
        <w:rPr>
          <w:color w:val="000000" w:themeColor="text1"/>
          <w:sz w:val="24"/>
          <w:szCs w:val="24"/>
        </w:rPr>
        <w:t xml:space="preserve"> de </w:t>
      </w:r>
      <w:proofErr w:type="spellStart"/>
      <w:r w:rsidRPr="00C54A03">
        <w:rPr>
          <w:color w:val="000000" w:themeColor="text1"/>
          <w:sz w:val="24"/>
          <w:szCs w:val="24"/>
        </w:rPr>
        <w:t>conservare</w:t>
      </w:r>
      <w:proofErr w:type="spellEnd"/>
      <w:r w:rsidRPr="00C54A03">
        <w:rPr>
          <w:color w:val="000000" w:themeColor="text1"/>
          <w:sz w:val="24"/>
          <w:szCs w:val="24"/>
        </w:rPr>
        <w:t xml:space="preserve"> cu </w:t>
      </w:r>
      <w:proofErr w:type="spellStart"/>
      <w:r w:rsidRPr="00C54A03">
        <w:rPr>
          <w:color w:val="000000" w:themeColor="text1"/>
          <w:sz w:val="24"/>
          <w:szCs w:val="24"/>
        </w:rPr>
        <w:t>utilizarea</w:t>
      </w:r>
      <w:proofErr w:type="spellEnd"/>
      <w:r w:rsidRPr="00C54A03">
        <w:rPr>
          <w:color w:val="000000" w:themeColor="text1"/>
          <w:sz w:val="24"/>
          <w:szCs w:val="24"/>
        </w:rPr>
        <w:t xml:space="preserve"> </w:t>
      </w:r>
      <w:proofErr w:type="spellStart"/>
      <w:r w:rsidRPr="00C54A03">
        <w:rPr>
          <w:color w:val="000000" w:themeColor="text1"/>
          <w:sz w:val="24"/>
          <w:szCs w:val="24"/>
        </w:rPr>
        <w:t>doar</w:t>
      </w:r>
      <w:proofErr w:type="spellEnd"/>
      <w:r w:rsidRPr="00C54A03">
        <w:rPr>
          <w:color w:val="000000" w:themeColor="text1"/>
          <w:sz w:val="24"/>
          <w:szCs w:val="24"/>
        </w:rPr>
        <w:t xml:space="preserve"> a </w:t>
      </w:r>
      <w:proofErr w:type="spellStart"/>
      <w:r w:rsidRPr="00C54A03">
        <w:rPr>
          <w:color w:val="000000" w:themeColor="text1"/>
          <w:sz w:val="24"/>
          <w:szCs w:val="24"/>
        </w:rPr>
        <w:t>unui</w:t>
      </w:r>
      <w:proofErr w:type="spellEnd"/>
      <w:r w:rsidRPr="00C54A03">
        <w:rPr>
          <w:color w:val="000000" w:themeColor="text1"/>
          <w:sz w:val="24"/>
          <w:szCs w:val="24"/>
        </w:rPr>
        <w:t xml:space="preserve"> </w:t>
      </w:r>
      <w:proofErr w:type="spellStart"/>
      <w:r w:rsidRPr="00C54A03">
        <w:rPr>
          <w:color w:val="000000" w:themeColor="text1"/>
          <w:sz w:val="24"/>
          <w:szCs w:val="24"/>
        </w:rPr>
        <w:t>ciclu</w:t>
      </w:r>
      <w:proofErr w:type="spellEnd"/>
      <w:r w:rsidRPr="00C54A03">
        <w:rPr>
          <w:color w:val="000000" w:themeColor="text1"/>
          <w:sz w:val="24"/>
          <w:szCs w:val="24"/>
        </w:rPr>
        <w:t xml:space="preserve"> de </w:t>
      </w:r>
      <w:proofErr w:type="spellStart"/>
      <w:r w:rsidRPr="00C54A03">
        <w:rPr>
          <w:color w:val="000000" w:themeColor="text1"/>
          <w:sz w:val="24"/>
          <w:szCs w:val="24"/>
        </w:rPr>
        <w:t>raportare</w:t>
      </w:r>
      <w:proofErr w:type="spellEnd"/>
      <w:r w:rsidRPr="00C54A03">
        <w:rPr>
          <w:color w:val="000000" w:themeColor="text1"/>
          <w:sz w:val="24"/>
          <w:szCs w:val="24"/>
        </w:rPr>
        <w:t xml:space="preserve">, </w:t>
      </w:r>
      <w:proofErr w:type="spellStart"/>
      <w:r w:rsidRPr="00C54A03">
        <w:rPr>
          <w:color w:val="000000" w:themeColor="text1"/>
          <w:sz w:val="24"/>
          <w:szCs w:val="24"/>
        </w:rPr>
        <w:t>spre</w:t>
      </w:r>
      <w:proofErr w:type="spellEnd"/>
      <w:r w:rsidRPr="00C54A03">
        <w:rPr>
          <w:color w:val="000000" w:themeColor="text1"/>
          <w:sz w:val="24"/>
          <w:szCs w:val="24"/>
        </w:rPr>
        <w:t xml:space="preserve"> </w:t>
      </w:r>
      <w:proofErr w:type="spellStart"/>
      <w:r w:rsidRPr="00C54A03">
        <w:rPr>
          <w:color w:val="000000" w:themeColor="text1"/>
          <w:sz w:val="24"/>
          <w:szCs w:val="24"/>
        </w:rPr>
        <w:t>deosebire</w:t>
      </w:r>
      <w:proofErr w:type="spellEnd"/>
      <w:r w:rsidRPr="00C54A03">
        <w:rPr>
          <w:color w:val="000000" w:themeColor="text1"/>
          <w:sz w:val="24"/>
          <w:szCs w:val="24"/>
        </w:rPr>
        <w:t xml:space="preserve"> de</w:t>
      </w:r>
      <w:r w:rsidRPr="00C54A03">
        <w:rPr>
          <w:color w:val="000000" w:themeColor="text1"/>
          <w:spacing w:val="1"/>
          <w:sz w:val="24"/>
          <w:szCs w:val="24"/>
        </w:rPr>
        <w:t xml:space="preserve"> </w:t>
      </w:r>
      <w:proofErr w:type="spellStart"/>
      <w:r w:rsidRPr="00C54A03">
        <w:rPr>
          <w:color w:val="000000" w:themeColor="text1"/>
          <w:sz w:val="24"/>
          <w:szCs w:val="24"/>
        </w:rPr>
        <w:t>metoda</w:t>
      </w:r>
      <w:proofErr w:type="spellEnd"/>
      <w:r w:rsidRPr="00C54A03">
        <w:rPr>
          <w:color w:val="000000" w:themeColor="text1"/>
          <w:spacing w:val="-2"/>
          <w:sz w:val="24"/>
          <w:szCs w:val="24"/>
        </w:rPr>
        <w:t xml:space="preserve"> </w:t>
      </w:r>
      <w:proofErr w:type="spellStart"/>
      <w:r w:rsidRPr="00C54A03">
        <w:rPr>
          <w:color w:val="000000" w:themeColor="text1"/>
          <w:sz w:val="24"/>
          <w:szCs w:val="24"/>
        </w:rPr>
        <w:t>recomandată</w:t>
      </w:r>
      <w:proofErr w:type="spellEnd"/>
      <w:r w:rsidRPr="00C54A03">
        <w:rPr>
          <w:color w:val="000000" w:themeColor="text1"/>
          <w:sz w:val="24"/>
          <w:szCs w:val="24"/>
        </w:rPr>
        <w:t>.</w:t>
      </w:r>
    </w:p>
    <w:p w14:paraId="06F5B821" w14:textId="77777777" w:rsidR="007702CD" w:rsidRPr="00C54A03" w:rsidRDefault="007702CD" w:rsidP="00D97209">
      <w:pPr>
        <w:pStyle w:val="BodyText"/>
        <w:spacing w:before="1"/>
        <w:ind w:left="0" w:right="27"/>
        <w:jc w:val="both"/>
        <w:rPr>
          <w:color w:val="000000" w:themeColor="text1"/>
          <w:sz w:val="24"/>
          <w:szCs w:val="24"/>
        </w:rPr>
      </w:pPr>
      <w:proofErr w:type="spellStart"/>
      <w:r w:rsidRPr="00C54A03">
        <w:rPr>
          <w:color w:val="000000" w:themeColor="text1"/>
          <w:sz w:val="24"/>
          <w:szCs w:val="24"/>
        </w:rPr>
        <w:t>Metoda</w:t>
      </w:r>
      <w:proofErr w:type="spellEnd"/>
      <w:r w:rsidRPr="00C54A03">
        <w:rPr>
          <w:color w:val="000000" w:themeColor="text1"/>
          <w:sz w:val="24"/>
          <w:szCs w:val="24"/>
        </w:rPr>
        <w:t xml:space="preserve"> de </w:t>
      </w:r>
      <w:proofErr w:type="spellStart"/>
      <w:r w:rsidRPr="00C54A03">
        <w:rPr>
          <w:color w:val="000000" w:themeColor="text1"/>
          <w:sz w:val="24"/>
          <w:szCs w:val="24"/>
        </w:rPr>
        <w:t>evaluare</w:t>
      </w:r>
      <w:proofErr w:type="spellEnd"/>
      <w:r w:rsidRPr="00C54A03">
        <w:rPr>
          <w:color w:val="000000" w:themeColor="text1"/>
          <w:sz w:val="24"/>
          <w:szCs w:val="24"/>
        </w:rPr>
        <w:t xml:space="preserve"> a </w:t>
      </w:r>
      <w:proofErr w:type="spellStart"/>
      <w:r w:rsidRPr="00C54A03">
        <w:rPr>
          <w:color w:val="000000" w:themeColor="text1"/>
          <w:sz w:val="24"/>
          <w:szCs w:val="24"/>
        </w:rPr>
        <w:t>tendințelor</w:t>
      </w:r>
      <w:proofErr w:type="spellEnd"/>
      <w:r w:rsidRPr="00C54A03">
        <w:rPr>
          <w:color w:val="000000" w:themeColor="text1"/>
          <w:sz w:val="24"/>
          <w:szCs w:val="24"/>
        </w:rPr>
        <w:t xml:space="preserve"> de </w:t>
      </w:r>
      <w:proofErr w:type="spellStart"/>
      <w:r w:rsidRPr="00C54A03">
        <w:rPr>
          <w:color w:val="000000" w:themeColor="text1"/>
          <w:sz w:val="24"/>
          <w:szCs w:val="24"/>
        </w:rPr>
        <w:t>evoluție</w:t>
      </w:r>
      <w:proofErr w:type="spellEnd"/>
      <w:r w:rsidRPr="00C54A03">
        <w:rPr>
          <w:color w:val="000000" w:themeColor="text1"/>
          <w:sz w:val="24"/>
          <w:szCs w:val="24"/>
        </w:rPr>
        <w:t xml:space="preserve"> pe termen lung </w:t>
      </w:r>
      <w:proofErr w:type="spellStart"/>
      <w:r w:rsidRPr="00C54A03">
        <w:rPr>
          <w:color w:val="000000" w:themeColor="text1"/>
          <w:sz w:val="24"/>
          <w:szCs w:val="24"/>
        </w:rPr>
        <w:t>utilizează</w:t>
      </w:r>
      <w:proofErr w:type="spellEnd"/>
      <w:r w:rsidRPr="00C54A03">
        <w:rPr>
          <w:color w:val="000000" w:themeColor="text1"/>
          <w:sz w:val="24"/>
          <w:szCs w:val="24"/>
        </w:rPr>
        <w:t xml:space="preserve"> </w:t>
      </w:r>
      <w:proofErr w:type="spellStart"/>
      <w:r w:rsidRPr="00C54A03">
        <w:rPr>
          <w:color w:val="000000" w:themeColor="text1"/>
          <w:sz w:val="24"/>
          <w:szCs w:val="24"/>
        </w:rPr>
        <w:t>tendința</w:t>
      </w:r>
      <w:proofErr w:type="spellEnd"/>
      <w:r w:rsidRPr="00C54A03">
        <w:rPr>
          <w:color w:val="000000" w:themeColor="text1"/>
          <w:sz w:val="24"/>
          <w:szCs w:val="24"/>
        </w:rPr>
        <w:t xml:space="preserve"> </w:t>
      </w:r>
      <w:proofErr w:type="spellStart"/>
      <w:r w:rsidRPr="00C54A03">
        <w:rPr>
          <w:color w:val="000000" w:themeColor="text1"/>
          <w:sz w:val="24"/>
          <w:szCs w:val="24"/>
        </w:rPr>
        <w:t>observată</w:t>
      </w:r>
      <w:proofErr w:type="spellEnd"/>
      <w:r w:rsidRPr="00C54A03">
        <w:rPr>
          <w:color w:val="000000" w:themeColor="text1"/>
          <w:sz w:val="24"/>
          <w:szCs w:val="24"/>
        </w:rPr>
        <w:t xml:space="preserve"> </w:t>
      </w:r>
      <w:proofErr w:type="spellStart"/>
      <w:r w:rsidRPr="00C54A03">
        <w:rPr>
          <w:color w:val="000000" w:themeColor="text1"/>
          <w:sz w:val="24"/>
          <w:szCs w:val="24"/>
        </w:rPr>
        <w:t>pentru</w:t>
      </w:r>
      <w:proofErr w:type="spellEnd"/>
      <w:r w:rsidRPr="00C54A03">
        <w:rPr>
          <w:color w:val="000000" w:themeColor="text1"/>
          <w:spacing w:val="1"/>
          <w:sz w:val="24"/>
          <w:szCs w:val="24"/>
        </w:rPr>
        <w:t xml:space="preserve"> </w:t>
      </w:r>
      <w:proofErr w:type="spellStart"/>
      <w:r w:rsidRPr="00C54A03">
        <w:rPr>
          <w:color w:val="000000" w:themeColor="text1"/>
          <w:sz w:val="24"/>
          <w:szCs w:val="24"/>
        </w:rPr>
        <w:t>parametrii</w:t>
      </w:r>
      <w:proofErr w:type="spellEnd"/>
      <w:r w:rsidRPr="00C54A03">
        <w:rPr>
          <w:color w:val="000000" w:themeColor="text1"/>
          <w:sz w:val="24"/>
          <w:szCs w:val="24"/>
        </w:rPr>
        <w:t xml:space="preserve"> de stare precum areal de </w:t>
      </w:r>
      <w:proofErr w:type="spellStart"/>
      <w:r w:rsidRPr="00C54A03">
        <w:rPr>
          <w:color w:val="000000" w:themeColor="text1"/>
          <w:sz w:val="24"/>
          <w:szCs w:val="24"/>
        </w:rPr>
        <w:t>distribuție</w:t>
      </w:r>
      <w:proofErr w:type="spellEnd"/>
      <w:r w:rsidRPr="00C54A03">
        <w:rPr>
          <w:color w:val="000000" w:themeColor="text1"/>
          <w:sz w:val="24"/>
          <w:szCs w:val="24"/>
        </w:rPr>
        <w:t xml:space="preserve"> </w:t>
      </w:r>
      <w:proofErr w:type="spellStart"/>
      <w:r w:rsidRPr="00C54A03">
        <w:rPr>
          <w:color w:val="000000" w:themeColor="text1"/>
          <w:sz w:val="24"/>
          <w:szCs w:val="24"/>
        </w:rPr>
        <w:t>și</w:t>
      </w:r>
      <w:proofErr w:type="spellEnd"/>
      <w:r w:rsidRPr="00C54A03">
        <w:rPr>
          <w:color w:val="000000" w:themeColor="text1"/>
          <w:sz w:val="24"/>
          <w:szCs w:val="24"/>
        </w:rPr>
        <w:t xml:space="preserve"> </w:t>
      </w:r>
      <w:proofErr w:type="spellStart"/>
      <w:r w:rsidRPr="00C54A03">
        <w:rPr>
          <w:color w:val="000000" w:themeColor="text1"/>
          <w:sz w:val="24"/>
          <w:szCs w:val="24"/>
        </w:rPr>
        <w:t>structură</w:t>
      </w:r>
      <w:proofErr w:type="spellEnd"/>
      <w:r w:rsidRPr="00C54A03">
        <w:rPr>
          <w:color w:val="000000" w:themeColor="text1"/>
          <w:sz w:val="24"/>
          <w:szCs w:val="24"/>
        </w:rPr>
        <w:t xml:space="preserve"> </w:t>
      </w:r>
      <w:proofErr w:type="spellStart"/>
      <w:r w:rsidRPr="00C54A03">
        <w:rPr>
          <w:color w:val="000000" w:themeColor="text1"/>
          <w:sz w:val="24"/>
          <w:szCs w:val="24"/>
        </w:rPr>
        <w:t>și</w:t>
      </w:r>
      <w:proofErr w:type="spellEnd"/>
      <w:r w:rsidRPr="00C54A03">
        <w:rPr>
          <w:color w:val="000000" w:themeColor="text1"/>
          <w:sz w:val="24"/>
          <w:szCs w:val="24"/>
        </w:rPr>
        <w:t xml:space="preserve"> </w:t>
      </w:r>
      <w:proofErr w:type="spellStart"/>
      <w:r w:rsidRPr="00C54A03">
        <w:rPr>
          <w:color w:val="000000" w:themeColor="text1"/>
          <w:sz w:val="24"/>
          <w:szCs w:val="24"/>
        </w:rPr>
        <w:t>funcții</w:t>
      </w:r>
      <w:proofErr w:type="spellEnd"/>
      <w:r w:rsidRPr="00C54A03">
        <w:rPr>
          <w:color w:val="000000" w:themeColor="text1"/>
          <w:sz w:val="24"/>
          <w:szCs w:val="24"/>
        </w:rPr>
        <w:t xml:space="preserve"> </w:t>
      </w:r>
      <w:proofErr w:type="spellStart"/>
      <w:r w:rsidRPr="00C54A03">
        <w:rPr>
          <w:color w:val="000000" w:themeColor="text1"/>
          <w:sz w:val="24"/>
          <w:szCs w:val="24"/>
        </w:rPr>
        <w:t>raportate</w:t>
      </w:r>
      <w:proofErr w:type="spellEnd"/>
      <w:r w:rsidRPr="00C54A03">
        <w:rPr>
          <w:color w:val="000000" w:themeColor="text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urmă</w:t>
      </w:r>
      <w:proofErr w:type="spellEnd"/>
      <w:r w:rsidRPr="00C54A03">
        <w:rPr>
          <w:color w:val="000000" w:themeColor="text1"/>
          <w:sz w:val="24"/>
          <w:szCs w:val="24"/>
        </w:rPr>
        <w:t xml:space="preserve"> cu 4 </w:t>
      </w:r>
      <w:proofErr w:type="spellStart"/>
      <w:r w:rsidRPr="00C54A03">
        <w:rPr>
          <w:color w:val="000000" w:themeColor="text1"/>
          <w:sz w:val="24"/>
          <w:szCs w:val="24"/>
        </w:rPr>
        <w:t>cicluri</w:t>
      </w:r>
      <w:proofErr w:type="spellEnd"/>
      <w:r w:rsidRPr="00C54A03">
        <w:rPr>
          <w:color w:val="000000" w:themeColor="text1"/>
          <w:sz w:val="24"/>
          <w:szCs w:val="24"/>
        </w:rPr>
        <w:t xml:space="preserve"> de</w:t>
      </w:r>
      <w:r w:rsidRPr="00C54A03">
        <w:rPr>
          <w:color w:val="000000" w:themeColor="text1"/>
          <w:spacing w:val="1"/>
          <w:sz w:val="24"/>
          <w:szCs w:val="24"/>
        </w:rPr>
        <w:t xml:space="preserve"> </w:t>
      </w:r>
      <w:proofErr w:type="spellStart"/>
      <w:r w:rsidRPr="00C54A03">
        <w:rPr>
          <w:color w:val="000000" w:themeColor="text1"/>
          <w:sz w:val="24"/>
          <w:szCs w:val="24"/>
        </w:rPr>
        <w:t>raportare</w:t>
      </w:r>
      <w:proofErr w:type="spellEnd"/>
      <w:r w:rsidRPr="00C54A03">
        <w:rPr>
          <w:color w:val="000000" w:themeColor="text1"/>
          <w:spacing w:val="1"/>
          <w:sz w:val="24"/>
          <w:szCs w:val="24"/>
        </w:rPr>
        <w:t xml:space="preserve"> </w:t>
      </w:r>
      <w:r w:rsidRPr="00C54A03">
        <w:rPr>
          <w:color w:val="000000" w:themeColor="text1"/>
          <w:sz w:val="24"/>
          <w:szCs w:val="24"/>
        </w:rPr>
        <w:t>(de</w:t>
      </w:r>
      <w:r w:rsidRPr="00C54A03">
        <w:rPr>
          <w:color w:val="000000" w:themeColor="text1"/>
          <w:spacing w:val="1"/>
          <w:sz w:val="24"/>
          <w:szCs w:val="24"/>
        </w:rPr>
        <w:t xml:space="preserve"> </w:t>
      </w:r>
      <w:r w:rsidRPr="00C54A03">
        <w:rPr>
          <w:color w:val="000000" w:themeColor="text1"/>
          <w:sz w:val="24"/>
          <w:szCs w:val="24"/>
        </w:rPr>
        <w:t>6</w:t>
      </w:r>
      <w:r w:rsidRPr="00C54A03">
        <w:rPr>
          <w:color w:val="000000" w:themeColor="text1"/>
          <w:spacing w:val="1"/>
          <w:sz w:val="24"/>
          <w:szCs w:val="24"/>
        </w:rPr>
        <w:t xml:space="preserve"> </w:t>
      </w:r>
      <w:r w:rsidRPr="00C54A03">
        <w:rPr>
          <w:color w:val="000000" w:themeColor="text1"/>
          <w:sz w:val="24"/>
          <w:szCs w:val="24"/>
        </w:rPr>
        <w:t>ani).</w:t>
      </w:r>
      <w:r w:rsidRPr="00C54A03">
        <w:rPr>
          <w:color w:val="000000" w:themeColor="text1"/>
          <w:spacing w:val="1"/>
          <w:sz w:val="24"/>
          <w:szCs w:val="24"/>
        </w:rPr>
        <w:t xml:space="preserve"> </w:t>
      </w:r>
      <w:proofErr w:type="spellStart"/>
      <w:r w:rsidRPr="00C54A03">
        <w:rPr>
          <w:color w:val="000000" w:themeColor="text1"/>
          <w:sz w:val="24"/>
          <w:szCs w:val="24"/>
        </w:rPr>
        <w:t>Tendința</w:t>
      </w:r>
      <w:proofErr w:type="spellEnd"/>
      <w:r w:rsidRPr="00C54A03">
        <w:rPr>
          <w:color w:val="000000" w:themeColor="text1"/>
          <w:spacing w:val="1"/>
          <w:sz w:val="24"/>
          <w:szCs w:val="24"/>
        </w:rPr>
        <w:t xml:space="preserve"> </w:t>
      </w:r>
      <w:proofErr w:type="spellStart"/>
      <w:r w:rsidRPr="00C54A03">
        <w:rPr>
          <w:color w:val="000000" w:themeColor="text1"/>
          <w:sz w:val="24"/>
          <w:szCs w:val="24"/>
        </w:rPr>
        <w:t>fiind</w:t>
      </w:r>
      <w:proofErr w:type="spellEnd"/>
      <w:r w:rsidRPr="00C54A03">
        <w:rPr>
          <w:color w:val="000000" w:themeColor="text1"/>
          <w:spacing w:val="1"/>
          <w:sz w:val="24"/>
          <w:szCs w:val="24"/>
        </w:rPr>
        <w:t xml:space="preserve"> </w:t>
      </w:r>
      <w:proofErr w:type="spellStart"/>
      <w:r w:rsidRPr="00C54A03">
        <w:rPr>
          <w:color w:val="000000" w:themeColor="text1"/>
          <w:sz w:val="24"/>
          <w:szCs w:val="24"/>
        </w:rPr>
        <w:t>evaluată</w:t>
      </w:r>
      <w:proofErr w:type="spellEnd"/>
      <w:r w:rsidRPr="00C54A03">
        <w:rPr>
          <w:color w:val="000000" w:themeColor="text1"/>
          <w:spacing w:val="1"/>
          <w:sz w:val="24"/>
          <w:szCs w:val="24"/>
        </w:rPr>
        <w:t xml:space="preserve"> </w:t>
      </w:r>
      <w:proofErr w:type="spellStart"/>
      <w:r w:rsidRPr="00C54A03">
        <w:rPr>
          <w:color w:val="000000" w:themeColor="text1"/>
          <w:sz w:val="24"/>
          <w:szCs w:val="24"/>
        </w:rPr>
        <w:t>utilizând</w:t>
      </w:r>
      <w:proofErr w:type="spellEnd"/>
      <w:r w:rsidRPr="00C54A03">
        <w:rPr>
          <w:color w:val="000000" w:themeColor="text1"/>
          <w:spacing w:val="1"/>
          <w:sz w:val="24"/>
          <w:szCs w:val="24"/>
        </w:rPr>
        <w:t xml:space="preserve"> </w:t>
      </w:r>
      <w:proofErr w:type="spellStart"/>
      <w:r w:rsidRPr="00C54A03">
        <w:rPr>
          <w:color w:val="000000" w:themeColor="text1"/>
          <w:sz w:val="24"/>
          <w:szCs w:val="24"/>
        </w:rPr>
        <w:t>indicatori</w:t>
      </w:r>
      <w:proofErr w:type="spellEnd"/>
      <w:r w:rsidRPr="00C54A03">
        <w:rPr>
          <w:color w:val="000000" w:themeColor="text1"/>
          <w:spacing w:val="1"/>
          <w:sz w:val="24"/>
          <w:szCs w:val="24"/>
        </w:rPr>
        <w:t xml:space="preserve"> </w:t>
      </w:r>
      <w:proofErr w:type="spellStart"/>
      <w:r w:rsidRPr="00C54A03">
        <w:rPr>
          <w:color w:val="000000" w:themeColor="text1"/>
          <w:sz w:val="24"/>
          <w:szCs w:val="24"/>
        </w:rPr>
        <w:t>calitativi</w:t>
      </w:r>
      <w:proofErr w:type="spellEnd"/>
      <w:r w:rsidRPr="00C54A03">
        <w:rPr>
          <w:color w:val="000000" w:themeColor="text1"/>
          <w:spacing w:val="1"/>
          <w:sz w:val="24"/>
          <w:szCs w:val="24"/>
        </w:rPr>
        <w:t xml:space="preserve"> </w:t>
      </w:r>
      <w:r w:rsidRPr="00C54A03">
        <w:rPr>
          <w:color w:val="000000" w:themeColor="text1"/>
          <w:sz w:val="24"/>
          <w:szCs w:val="24"/>
        </w:rPr>
        <w:t>precum:</w:t>
      </w:r>
      <w:r w:rsidRPr="00C54A03">
        <w:rPr>
          <w:color w:val="000000" w:themeColor="text1"/>
          <w:spacing w:val="1"/>
          <w:sz w:val="24"/>
          <w:szCs w:val="24"/>
        </w:rPr>
        <w:t xml:space="preserve"> </w:t>
      </w:r>
      <w:proofErr w:type="spellStart"/>
      <w:r w:rsidRPr="00C54A03">
        <w:rPr>
          <w:color w:val="000000" w:themeColor="text1"/>
          <w:sz w:val="24"/>
          <w:szCs w:val="24"/>
        </w:rPr>
        <w:t>stabilă</w:t>
      </w:r>
      <w:proofErr w:type="spellEnd"/>
      <w:r w:rsidRPr="00C54A03">
        <w:rPr>
          <w:color w:val="000000" w:themeColor="text1"/>
          <w:sz w:val="24"/>
          <w:szCs w:val="24"/>
        </w:rPr>
        <w:t>,</w:t>
      </w:r>
      <w:r w:rsidRPr="00C54A03">
        <w:rPr>
          <w:color w:val="000000" w:themeColor="text1"/>
          <w:spacing w:val="1"/>
          <w:sz w:val="24"/>
          <w:szCs w:val="24"/>
        </w:rPr>
        <w:t xml:space="preserve"> </w:t>
      </w:r>
      <w:proofErr w:type="spellStart"/>
      <w:r w:rsidRPr="00C54A03">
        <w:rPr>
          <w:color w:val="000000" w:themeColor="text1"/>
          <w:sz w:val="24"/>
          <w:szCs w:val="24"/>
        </w:rPr>
        <w:t>în</w:t>
      </w:r>
      <w:proofErr w:type="spellEnd"/>
      <w:r w:rsidRPr="00C54A03">
        <w:rPr>
          <w:color w:val="000000" w:themeColor="text1"/>
          <w:spacing w:val="1"/>
          <w:sz w:val="24"/>
          <w:szCs w:val="24"/>
        </w:rPr>
        <w:t xml:space="preserve"> </w:t>
      </w:r>
      <w:proofErr w:type="spellStart"/>
      <w:r w:rsidRPr="00C54A03">
        <w:rPr>
          <w:color w:val="000000" w:themeColor="text1"/>
          <w:sz w:val="24"/>
          <w:szCs w:val="24"/>
        </w:rPr>
        <w:t>refacere</w:t>
      </w:r>
      <w:proofErr w:type="spellEnd"/>
      <w:r w:rsidRPr="00C54A03">
        <w:rPr>
          <w:color w:val="000000" w:themeColor="text1"/>
          <w:sz w:val="24"/>
          <w:szCs w:val="24"/>
        </w:rPr>
        <w:t>,</w:t>
      </w:r>
      <w:r w:rsidRPr="00C54A03">
        <w:rPr>
          <w:color w:val="000000" w:themeColor="text1"/>
          <w:spacing w:val="-1"/>
          <w:sz w:val="24"/>
          <w:szCs w:val="24"/>
        </w:rPr>
        <w:t xml:space="preserve"> </w:t>
      </w:r>
      <w:proofErr w:type="spellStart"/>
      <w:r w:rsidRPr="00C54A03">
        <w:rPr>
          <w:color w:val="000000" w:themeColor="text1"/>
          <w:sz w:val="24"/>
          <w:szCs w:val="24"/>
        </w:rPr>
        <w:t>în</w:t>
      </w:r>
      <w:proofErr w:type="spellEnd"/>
      <w:r w:rsidRPr="00C54A03">
        <w:rPr>
          <w:color w:val="000000" w:themeColor="text1"/>
          <w:sz w:val="24"/>
          <w:szCs w:val="24"/>
        </w:rPr>
        <w:t xml:space="preserve"> </w:t>
      </w:r>
      <w:proofErr w:type="spellStart"/>
      <w:r w:rsidRPr="00C54A03">
        <w:rPr>
          <w:color w:val="000000" w:themeColor="text1"/>
          <w:sz w:val="24"/>
          <w:szCs w:val="24"/>
        </w:rPr>
        <w:t>declin</w:t>
      </w:r>
      <w:proofErr w:type="spellEnd"/>
      <w:r w:rsidRPr="00C54A03">
        <w:rPr>
          <w:color w:val="000000" w:themeColor="text1"/>
          <w:sz w:val="24"/>
          <w:szCs w:val="24"/>
        </w:rPr>
        <w:t xml:space="preserve"> </w:t>
      </w:r>
      <w:proofErr w:type="spellStart"/>
      <w:r w:rsidRPr="00C54A03">
        <w:rPr>
          <w:color w:val="000000" w:themeColor="text1"/>
          <w:sz w:val="24"/>
          <w:szCs w:val="24"/>
        </w:rPr>
        <w:t>și</w:t>
      </w:r>
      <w:proofErr w:type="spellEnd"/>
      <w:r w:rsidRPr="00C54A03">
        <w:rPr>
          <w:color w:val="000000" w:themeColor="text1"/>
          <w:sz w:val="24"/>
          <w:szCs w:val="24"/>
        </w:rPr>
        <w:t xml:space="preserve"> </w:t>
      </w:r>
      <w:proofErr w:type="spellStart"/>
      <w:r w:rsidRPr="00C54A03">
        <w:rPr>
          <w:color w:val="000000" w:themeColor="text1"/>
          <w:sz w:val="24"/>
          <w:szCs w:val="24"/>
        </w:rPr>
        <w:t>necunoscut</w:t>
      </w:r>
      <w:proofErr w:type="spellEnd"/>
      <w:r w:rsidRPr="00C54A03">
        <w:rPr>
          <w:color w:val="000000" w:themeColor="text1"/>
          <w:sz w:val="24"/>
          <w:szCs w:val="24"/>
        </w:rPr>
        <w:t>.</w:t>
      </w:r>
    </w:p>
    <w:p w14:paraId="1BA5899B" w14:textId="77777777" w:rsidR="007702CD" w:rsidRPr="00C54A03" w:rsidRDefault="007702CD" w:rsidP="00D97209">
      <w:pPr>
        <w:pStyle w:val="BodyText"/>
        <w:ind w:left="0" w:right="27"/>
        <w:jc w:val="both"/>
        <w:rPr>
          <w:color w:val="000000" w:themeColor="text1"/>
          <w:sz w:val="24"/>
          <w:szCs w:val="24"/>
        </w:rPr>
      </w:pPr>
      <w:proofErr w:type="spellStart"/>
      <w:r w:rsidRPr="00C54A03">
        <w:rPr>
          <w:color w:val="000000" w:themeColor="text1"/>
          <w:sz w:val="24"/>
          <w:szCs w:val="24"/>
        </w:rPr>
        <w:t>Evaluarea</w:t>
      </w:r>
      <w:proofErr w:type="spellEnd"/>
      <w:r w:rsidRPr="00C54A03">
        <w:rPr>
          <w:color w:val="000000" w:themeColor="text1"/>
          <w:sz w:val="24"/>
          <w:szCs w:val="24"/>
        </w:rPr>
        <w:t xml:space="preserve"> </w:t>
      </w:r>
      <w:proofErr w:type="spellStart"/>
      <w:r w:rsidRPr="00C54A03">
        <w:rPr>
          <w:color w:val="000000" w:themeColor="text1"/>
          <w:sz w:val="24"/>
          <w:szCs w:val="24"/>
        </w:rPr>
        <w:t>tendințelor</w:t>
      </w:r>
      <w:proofErr w:type="spellEnd"/>
      <w:r w:rsidRPr="00C54A03">
        <w:rPr>
          <w:color w:val="000000" w:themeColor="text1"/>
          <w:sz w:val="24"/>
          <w:szCs w:val="24"/>
        </w:rPr>
        <w:t xml:space="preserve"> pe termen lung</w:t>
      </w:r>
      <w:r w:rsidRPr="00C54A03">
        <w:rPr>
          <w:color w:val="000000" w:themeColor="text1"/>
          <w:spacing w:val="1"/>
          <w:sz w:val="24"/>
          <w:szCs w:val="24"/>
        </w:rPr>
        <w:t xml:space="preserve"> </w:t>
      </w:r>
      <w:proofErr w:type="spellStart"/>
      <w:r w:rsidRPr="00C54A03">
        <w:rPr>
          <w:color w:val="000000" w:themeColor="text1"/>
          <w:sz w:val="24"/>
          <w:szCs w:val="24"/>
        </w:rPr>
        <w:t>reprezintă</w:t>
      </w:r>
      <w:proofErr w:type="spellEnd"/>
      <w:r w:rsidRPr="00C54A03">
        <w:rPr>
          <w:color w:val="000000" w:themeColor="text1"/>
          <w:sz w:val="24"/>
          <w:szCs w:val="24"/>
        </w:rPr>
        <w:t xml:space="preserve"> de </w:t>
      </w:r>
      <w:proofErr w:type="spellStart"/>
      <w:r w:rsidRPr="00C54A03">
        <w:rPr>
          <w:color w:val="000000" w:themeColor="text1"/>
          <w:sz w:val="24"/>
          <w:szCs w:val="24"/>
        </w:rPr>
        <w:t>asemenea</w:t>
      </w:r>
      <w:proofErr w:type="spellEnd"/>
      <w:r w:rsidRPr="00C54A03">
        <w:rPr>
          <w:color w:val="000000" w:themeColor="text1"/>
          <w:sz w:val="24"/>
          <w:szCs w:val="24"/>
        </w:rPr>
        <w:t xml:space="preserve"> </w:t>
      </w:r>
      <w:proofErr w:type="spellStart"/>
      <w:r w:rsidRPr="00C54A03">
        <w:rPr>
          <w:color w:val="000000" w:themeColor="text1"/>
          <w:sz w:val="24"/>
          <w:szCs w:val="24"/>
        </w:rPr>
        <w:t>cheie</w:t>
      </w:r>
      <w:proofErr w:type="spellEnd"/>
      <w:r w:rsidRPr="00C54A03">
        <w:rPr>
          <w:color w:val="000000" w:themeColor="text1"/>
          <w:sz w:val="24"/>
          <w:szCs w:val="24"/>
        </w:rPr>
        <w:t xml:space="preserve"> de control </w:t>
      </w:r>
      <w:proofErr w:type="spellStart"/>
      <w:r w:rsidRPr="00C54A03">
        <w:rPr>
          <w:color w:val="000000" w:themeColor="text1"/>
          <w:sz w:val="24"/>
          <w:szCs w:val="24"/>
        </w:rPr>
        <w:t>pentru</w:t>
      </w:r>
      <w:proofErr w:type="spellEnd"/>
      <w:r w:rsidRPr="00C54A03">
        <w:rPr>
          <w:color w:val="000000" w:themeColor="text1"/>
          <w:sz w:val="24"/>
          <w:szCs w:val="24"/>
        </w:rPr>
        <w:t xml:space="preserve"> </w:t>
      </w:r>
      <w:proofErr w:type="spellStart"/>
      <w:r w:rsidRPr="00C54A03">
        <w:rPr>
          <w:color w:val="000000" w:themeColor="text1"/>
          <w:sz w:val="24"/>
          <w:szCs w:val="24"/>
        </w:rPr>
        <w:t>analiza</w:t>
      </w:r>
      <w:proofErr w:type="spellEnd"/>
      <w:r w:rsidRPr="00C54A03">
        <w:rPr>
          <w:color w:val="000000" w:themeColor="text1"/>
          <w:sz w:val="24"/>
          <w:szCs w:val="24"/>
        </w:rPr>
        <w:t xml:space="preserve"> de</w:t>
      </w:r>
      <w:r w:rsidRPr="00C54A03">
        <w:rPr>
          <w:color w:val="000000" w:themeColor="text1"/>
          <w:spacing w:val="1"/>
          <w:sz w:val="24"/>
          <w:szCs w:val="24"/>
        </w:rPr>
        <w:t xml:space="preserve"> </w:t>
      </w:r>
      <w:proofErr w:type="spellStart"/>
      <w:r w:rsidRPr="00C54A03">
        <w:rPr>
          <w:color w:val="000000" w:themeColor="text1"/>
          <w:sz w:val="24"/>
          <w:szCs w:val="24"/>
        </w:rPr>
        <w:t>calitate</w:t>
      </w:r>
      <w:proofErr w:type="spellEnd"/>
      <w:r w:rsidRPr="00C54A03">
        <w:rPr>
          <w:color w:val="000000" w:themeColor="text1"/>
          <w:spacing w:val="-2"/>
          <w:sz w:val="24"/>
          <w:szCs w:val="24"/>
        </w:rPr>
        <w:t xml:space="preserve"> </w:t>
      </w:r>
      <w:r w:rsidRPr="00C54A03">
        <w:rPr>
          <w:color w:val="000000" w:themeColor="text1"/>
          <w:sz w:val="24"/>
          <w:szCs w:val="24"/>
        </w:rPr>
        <w:t>a</w:t>
      </w:r>
      <w:r w:rsidRPr="00C54A03">
        <w:rPr>
          <w:color w:val="000000" w:themeColor="text1"/>
          <w:spacing w:val="-1"/>
          <w:sz w:val="24"/>
          <w:szCs w:val="24"/>
        </w:rPr>
        <w:t xml:space="preserve"> </w:t>
      </w:r>
      <w:proofErr w:type="spellStart"/>
      <w:r w:rsidRPr="00C54A03">
        <w:rPr>
          <w:color w:val="000000" w:themeColor="text1"/>
          <w:sz w:val="24"/>
          <w:szCs w:val="24"/>
        </w:rPr>
        <w:t>rezultatelor</w:t>
      </w:r>
      <w:proofErr w:type="spellEnd"/>
      <w:r w:rsidRPr="00C54A03">
        <w:rPr>
          <w:color w:val="000000" w:themeColor="text1"/>
          <w:spacing w:val="-1"/>
          <w:sz w:val="24"/>
          <w:szCs w:val="24"/>
        </w:rPr>
        <w:t xml:space="preserve"> </w:t>
      </w:r>
      <w:proofErr w:type="spellStart"/>
      <w:r w:rsidRPr="00C54A03">
        <w:rPr>
          <w:color w:val="000000" w:themeColor="text1"/>
          <w:sz w:val="24"/>
          <w:szCs w:val="24"/>
        </w:rPr>
        <w:t>raportării</w:t>
      </w:r>
      <w:proofErr w:type="spellEnd"/>
      <w:r w:rsidRPr="00C54A03">
        <w:rPr>
          <w:color w:val="000000" w:themeColor="text1"/>
          <w:sz w:val="24"/>
          <w:szCs w:val="24"/>
        </w:rPr>
        <w:t xml:space="preserve"> </w:t>
      </w:r>
      <w:proofErr w:type="spellStart"/>
      <w:r w:rsidRPr="00C54A03">
        <w:rPr>
          <w:color w:val="000000" w:themeColor="text1"/>
          <w:sz w:val="24"/>
          <w:szCs w:val="24"/>
        </w:rPr>
        <w:t>succesive</w:t>
      </w:r>
      <w:proofErr w:type="spellEnd"/>
      <w:r w:rsidRPr="00C54A03">
        <w:rPr>
          <w:color w:val="000000" w:themeColor="text1"/>
          <w:sz w:val="24"/>
          <w:szCs w:val="24"/>
        </w:rPr>
        <w:t>.</w:t>
      </w:r>
    </w:p>
    <w:p w14:paraId="389CBAF4" w14:textId="77777777" w:rsidR="007702CD" w:rsidRPr="00C54A03" w:rsidRDefault="007702CD" w:rsidP="008E33FD">
      <w:pPr>
        <w:pStyle w:val="BodyText"/>
        <w:spacing w:before="6"/>
        <w:jc w:val="both"/>
        <w:rPr>
          <w:color w:val="000000" w:themeColor="text1"/>
          <w:sz w:val="24"/>
          <w:szCs w:val="24"/>
        </w:rPr>
      </w:pPr>
    </w:p>
    <w:p w14:paraId="6FBCEC98" w14:textId="77777777" w:rsidR="007702CD" w:rsidRPr="00C54A03" w:rsidRDefault="007702CD" w:rsidP="008E33FD">
      <w:pPr>
        <w:pStyle w:val="Heading2"/>
        <w:widowControl w:val="0"/>
        <w:tabs>
          <w:tab w:val="left" w:pos="1208"/>
        </w:tabs>
        <w:autoSpaceDE w:val="0"/>
        <w:autoSpaceDN w:val="0"/>
        <w:spacing w:before="0" w:beforeAutospacing="0" w:after="0" w:afterAutospacing="0"/>
        <w:jc w:val="both"/>
        <w:rPr>
          <w:color w:val="000000" w:themeColor="text1"/>
          <w:sz w:val="24"/>
          <w:szCs w:val="24"/>
        </w:rPr>
      </w:pPr>
      <w:proofErr w:type="spellStart"/>
      <w:r w:rsidRPr="00C54A03">
        <w:rPr>
          <w:color w:val="000000" w:themeColor="text1"/>
          <w:sz w:val="24"/>
          <w:szCs w:val="24"/>
        </w:rPr>
        <w:t>Evaluarea</w:t>
      </w:r>
      <w:proofErr w:type="spellEnd"/>
      <w:r w:rsidRPr="00C54A03">
        <w:rPr>
          <w:color w:val="000000" w:themeColor="text1"/>
          <w:spacing w:val="-5"/>
          <w:sz w:val="24"/>
          <w:szCs w:val="24"/>
        </w:rPr>
        <w:t xml:space="preserve"> </w:t>
      </w:r>
      <w:proofErr w:type="spellStart"/>
      <w:r w:rsidRPr="00C54A03">
        <w:rPr>
          <w:color w:val="000000" w:themeColor="text1"/>
          <w:sz w:val="24"/>
          <w:szCs w:val="24"/>
        </w:rPr>
        <w:t>presiunilor</w:t>
      </w:r>
      <w:proofErr w:type="spellEnd"/>
      <w:r w:rsidRPr="00C54A03">
        <w:rPr>
          <w:color w:val="000000" w:themeColor="text1"/>
          <w:spacing w:val="-6"/>
          <w:sz w:val="24"/>
          <w:szCs w:val="24"/>
        </w:rPr>
        <w:t xml:space="preserve"> </w:t>
      </w:r>
      <w:proofErr w:type="spellStart"/>
      <w:r w:rsidRPr="00C54A03">
        <w:rPr>
          <w:color w:val="000000" w:themeColor="text1"/>
          <w:sz w:val="24"/>
          <w:szCs w:val="24"/>
        </w:rPr>
        <w:t>si</w:t>
      </w:r>
      <w:proofErr w:type="spellEnd"/>
      <w:r w:rsidRPr="00C54A03">
        <w:rPr>
          <w:color w:val="000000" w:themeColor="text1"/>
          <w:spacing w:val="-6"/>
          <w:sz w:val="24"/>
          <w:szCs w:val="24"/>
        </w:rPr>
        <w:t xml:space="preserve"> </w:t>
      </w:r>
      <w:proofErr w:type="spellStart"/>
      <w:r w:rsidRPr="00C54A03">
        <w:rPr>
          <w:color w:val="000000" w:themeColor="text1"/>
          <w:sz w:val="24"/>
          <w:szCs w:val="24"/>
        </w:rPr>
        <w:t>amenințărilor</w:t>
      </w:r>
      <w:proofErr w:type="spellEnd"/>
    </w:p>
    <w:p w14:paraId="3DCD67C6" w14:textId="77777777" w:rsidR="007702CD" w:rsidRPr="00C54A03" w:rsidRDefault="007702CD" w:rsidP="00D97209">
      <w:pPr>
        <w:pStyle w:val="BodyText"/>
        <w:spacing w:before="157"/>
        <w:ind w:left="0" w:right="27"/>
        <w:jc w:val="both"/>
        <w:rPr>
          <w:color w:val="000000" w:themeColor="text1"/>
          <w:sz w:val="24"/>
          <w:szCs w:val="24"/>
          <w:lang w:val="fr-FR"/>
        </w:rPr>
      </w:pPr>
      <w:r w:rsidRPr="00C54A03">
        <w:rPr>
          <w:color w:val="000000" w:themeColor="text1"/>
          <w:sz w:val="24"/>
          <w:szCs w:val="24"/>
          <w:lang w:val="fr-FR"/>
        </w:rPr>
        <w:lastRenderedPageBreak/>
        <w:t xml:space="preserve">Se </w:t>
      </w:r>
      <w:proofErr w:type="spellStart"/>
      <w:r w:rsidRPr="00C54A03">
        <w:rPr>
          <w:color w:val="000000" w:themeColor="text1"/>
          <w:sz w:val="24"/>
          <w:szCs w:val="24"/>
          <w:lang w:val="fr-FR"/>
        </w:rPr>
        <w:t>utilizează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nomenclatorul</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presiuni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și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amenințări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agreat</w:t>
      </w:r>
      <w:proofErr w:type="spellEnd"/>
      <w:r w:rsidRPr="00C54A03">
        <w:rPr>
          <w:color w:val="000000" w:themeColor="text1"/>
          <w:sz w:val="24"/>
          <w:szCs w:val="24"/>
          <w:lang w:val="fr-FR"/>
        </w:rPr>
        <w:t xml:space="preserve"> la </w:t>
      </w:r>
      <w:proofErr w:type="spellStart"/>
      <w:r w:rsidRPr="00C54A03">
        <w:rPr>
          <w:color w:val="000000" w:themeColor="text1"/>
          <w:sz w:val="24"/>
          <w:szCs w:val="24"/>
          <w:lang w:val="fr-FR"/>
        </w:rPr>
        <w:t>nivel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european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atașat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prezentului</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document.</w:t>
      </w:r>
    </w:p>
    <w:p w14:paraId="0C12E7C8" w14:textId="77777777" w:rsidR="007702CD" w:rsidRPr="00C54A03" w:rsidRDefault="007702CD" w:rsidP="00D97209">
      <w:pPr>
        <w:pStyle w:val="BodyText"/>
        <w:ind w:left="0" w:right="27"/>
        <w:jc w:val="both"/>
        <w:rPr>
          <w:color w:val="000000" w:themeColor="text1"/>
          <w:sz w:val="24"/>
          <w:szCs w:val="24"/>
          <w:lang w:val="fr-FR"/>
        </w:rPr>
      </w:pPr>
      <w:proofErr w:type="spellStart"/>
      <w:r w:rsidRPr="00C54A03">
        <w:rPr>
          <w:color w:val="000000" w:themeColor="text1"/>
          <w:sz w:val="24"/>
          <w:szCs w:val="24"/>
          <w:lang w:val="fr-FR"/>
        </w:rPr>
        <w:t>Presiunile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observate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studiul</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teren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sunt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evaluate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stabilindu</w:t>
      </w:r>
      <w:proofErr w:type="spellEnd"/>
      <w:r w:rsidRPr="00C54A03">
        <w:rPr>
          <w:color w:val="000000" w:themeColor="text1"/>
          <w:sz w:val="24"/>
          <w:szCs w:val="24"/>
          <w:lang w:val="fr-FR"/>
        </w:rPr>
        <w:t xml:space="preserve">-se </w:t>
      </w:r>
      <w:proofErr w:type="spellStart"/>
      <w:r w:rsidRPr="00C54A03">
        <w:rPr>
          <w:color w:val="000000" w:themeColor="text1"/>
          <w:sz w:val="24"/>
          <w:szCs w:val="24"/>
          <w:lang w:val="fr-FR"/>
        </w:rPr>
        <w:t>intensitatea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specifică</w:t>
      </w:r>
      <w:proofErr w:type="spellEnd"/>
      <w:r w:rsidRPr="00C54A03">
        <w:rPr>
          <w:color w:val="000000" w:themeColor="text1"/>
          <w:sz w:val="24"/>
          <w:szCs w:val="24"/>
          <w:lang w:val="fr-FR"/>
        </w:rPr>
        <w:t xml:space="preserve"> a </w:t>
      </w:r>
      <w:proofErr w:type="spellStart"/>
      <w:r w:rsidRPr="00C54A03">
        <w:rPr>
          <w:color w:val="000000" w:themeColor="text1"/>
          <w:sz w:val="24"/>
          <w:szCs w:val="24"/>
          <w:lang w:val="fr-FR"/>
        </w:rPr>
        <w:t>fiecăreia</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ce</w:t>
      </w:r>
      <w:r w:rsidRPr="00C54A03">
        <w:rPr>
          <w:color w:val="000000" w:themeColor="text1"/>
          <w:spacing w:val="30"/>
          <w:sz w:val="24"/>
          <w:szCs w:val="24"/>
          <w:lang w:val="fr-FR"/>
        </w:rPr>
        <w:t xml:space="preserve"> </w:t>
      </w:r>
      <w:r w:rsidRPr="00C54A03">
        <w:rPr>
          <w:color w:val="000000" w:themeColor="text1"/>
          <w:sz w:val="24"/>
          <w:szCs w:val="24"/>
          <w:lang w:val="fr-FR"/>
        </w:rPr>
        <w:t>se</w:t>
      </w:r>
      <w:r w:rsidRPr="00C54A03">
        <w:rPr>
          <w:color w:val="000000" w:themeColor="text1"/>
          <w:spacing w:val="34"/>
          <w:sz w:val="24"/>
          <w:szCs w:val="24"/>
          <w:lang w:val="fr-FR"/>
        </w:rPr>
        <w:t xml:space="preserve"> </w:t>
      </w:r>
      <w:proofErr w:type="spellStart"/>
      <w:r w:rsidRPr="00C54A03">
        <w:rPr>
          <w:color w:val="000000" w:themeColor="text1"/>
          <w:sz w:val="24"/>
          <w:szCs w:val="24"/>
          <w:lang w:val="fr-FR"/>
        </w:rPr>
        <w:t>exercită</w:t>
      </w:r>
      <w:proofErr w:type="spellEnd"/>
      <w:r w:rsidRPr="00C54A03">
        <w:rPr>
          <w:color w:val="000000" w:themeColor="text1"/>
          <w:spacing w:val="31"/>
          <w:sz w:val="24"/>
          <w:szCs w:val="24"/>
          <w:lang w:val="fr-FR"/>
        </w:rPr>
        <w:t xml:space="preserve"> </w:t>
      </w:r>
      <w:proofErr w:type="spellStart"/>
      <w:r w:rsidRPr="00C54A03">
        <w:rPr>
          <w:color w:val="000000" w:themeColor="text1"/>
          <w:sz w:val="24"/>
          <w:szCs w:val="24"/>
          <w:lang w:val="fr-FR"/>
        </w:rPr>
        <w:t>asupra</w:t>
      </w:r>
      <w:proofErr w:type="spellEnd"/>
      <w:r w:rsidRPr="00C54A03">
        <w:rPr>
          <w:color w:val="000000" w:themeColor="text1"/>
          <w:spacing w:val="30"/>
          <w:sz w:val="24"/>
          <w:szCs w:val="24"/>
          <w:lang w:val="fr-FR"/>
        </w:rPr>
        <w:t xml:space="preserve"> </w:t>
      </w:r>
      <w:proofErr w:type="spellStart"/>
      <w:r w:rsidRPr="00C54A03">
        <w:rPr>
          <w:color w:val="000000" w:themeColor="text1"/>
          <w:sz w:val="24"/>
          <w:szCs w:val="24"/>
          <w:lang w:val="fr-FR"/>
        </w:rPr>
        <w:t>habitatului</w:t>
      </w:r>
      <w:proofErr w:type="spellEnd"/>
      <w:r w:rsidRPr="00C54A03">
        <w:rPr>
          <w:color w:val="000000" w:themeColor="text1"/>
          <w:spacing w:val="32"/>
          <w:sz w:val="24"/>
          <w:szCs w:val="24"/>
          <w:lang w:val="fr-FR"/>
        </w:rPr>
        <w:t xml:space="preserve"> </w:t>
      </w:r>
      <w:proofErr w:type="spellStart"/>
      <w:r w:rsidRPr="00C54A03">
        <w:rPr>
          <w:color w:val="000000" w:themeColor="text1"/>
          <w:sz w:val="24"/>
          <w:szCs w:val="24"/>
          <w:lang w:val="fr-FR"/>
        </w:rPr>
        <w:t>țintă</w:t>
      </w:r>
      <w:proofErr w:type="spellEnd"/>
      <w:r w:rsidRPr="00C54A03">
        <w:rPr>
          <w:color w:val="000000" w:themeColor="text1"/>
          <w:sz w:val="24"/>
          <w:szCs w:val="24"/>
          <w:lang w:val="fr-FR"/>
        </w:rPr>
        <w:t>.</w:t>
      </w:r>
      <w:r w:rsidRPr="00C54A03">
        <w:rPr>
          <w:color w:val="000000" w:themeColor="text1"/>
          <w:spacing w:val="30"/>
          <w:sz w:val="24"/>
          <w:szCs w:val="24"/>
          <w:lang w:val="fr-FR"/>
        </w:rPr>
        <w:t xml:space="preserve"> </w:t>
      </w:r>
      <w:proofErr w:type="spellStart"/>
      <w:r w:rsidRPr="00C54A03">
        <w:rPr>
          <w:color w:val="000000" w:themeColor="text1"/>
          <w:sz w:val="24"/>
          <w:szCs w:val="24"/>
          <w:lang w:val="fr-FR"/>
        </w:rPr>
        <w:t>Categoriile</w:t>
      </w:r>
      <w:proofErr w:type="spellEnd"/>
      <w:r w:rsidRPr="00C54A03">
        <w:rPr>
          <w:color w:val="000000" w:themeColor="text1"/>
          <w:spacing w:val="31"/>
          <w:sz w:val="24"/>
          <w:szCs w:val="24"/>
          <w:lang w:val="fr-FR"/>
        </w:rPr>
        <w:t xml:space="preserve"> </w:t>
      </w:r>
      <w:r w:rsidRPr="00C54A03">
        <w:rPr>
          <w:color w:val="000000" w:themeColor="text1"/>
          <w:sz w:val="24"/>
          <w:szCs w:val="24"/>
          <w:lang w:val="fr-FR"/>
        </w:rPr>
        <w:t>de</w:t>
      </w:r>
      <w:r w:rsidRPr="00C54A03">
        <w:rPr>
          <w:color w:val="000000" w:themeColor="text1"/>
          <w:spacing w:val="33"/>
          <w:sz w:val="24"/>
          <w:szCs w:val="24"/>
          <w:lang w:val="fr-FR"/>
        </w:rPr>
        <w:t xml:space="preserve"> </w:t>
      </w:r>
      <w:proofErr w:type="spellStart"/>
      <w:r w:rsidRPr="00C54A03">
        <w:rPr>
          <w:color w:val="000000" w:themeColor="text1"/>
          <w:sz w:val="24"/>
          <w:szCs w:val="24"/>
          <w:lang w:val="fr-FR"/>
        </w:rPr>
        <w:t>evaluare</w:t>
      </w:r>
      <w:proofErr w:type="spellEnd"/>
      <w:r w:rsidRPr="00C54A03">
        <w:rPr>
          <w:color w:val="000000" w:themeColor="text1"/>
          <w:spacing w:val="31"/>
          <w:sz w:val="24"/>
          <w:szCs w:val="24"/>
          <w:lang w:val="fr-FR"/>
        </w:rPr>
        <w:t xml:space="preserve"> </w:t>
      </w:r>
      <w:r w:rsidRPr="00C54A03">
        <w:rPr>
          <w:color w:val="000000" w:themeColor="text1"/>
          <w:sz w:val="24"/>
          <w:szCs w:val="24"/>
          <w:lang w:val="fr-FR"/>
        </w:rPr>
        <w:t>a</w:t>
      </w:r>
      <w:r w:rsidRPr="00C54A03">
        <w:rPr>
          <w:color w:val="000000" w:themeColor="text1"/>
          <w:spacing w:val="33"/>
          <w:sz w:val="24"/>
          <w:szCs w:val="24"/>
          <w:lang w:val="fr-FR"/>
        </w:rPr>
        <w:t xml:space="preserve"> </w:t>
      </w:r>
      <w:proofErr w:type="spellStart"/>
      <w:r w:rsidRPr="00C54A03">
        <w:rPr>
          <w:color w:val="000000" w:themeColor="text1"/>
          <w:sz w:val="24"/>
          <w:szCs w:val="24"/>
          <w:lang w:val="fr-FR"/>
        </w:rPr>
        <w:t>intensității</w:t>
      </w:r>
      <w:proofErr w:type="spellEnd"/>
      <w:r w:rsidRPr="00C54A03">
        <w:rPr>
          <w:color w:val="000000" w:themeColor="text1"/>
          <w:spacing w:val="32"/>
          <w:sz w:val="24"/>
          <w:szCs w:val="24"/>
          <w:lang w:val="fr-FR"/>
        </w:rPr>
        <w:t xml:space="preserve"> </w:t>
      </w:r>
      <w:proofErr w:type="spellStart"/>
      <w:r w:rsidRPr="00C54A03">
        <w:rPr>
          <w:color w:val="000000" w:themeColor="text1"/>
          <w:sz w:val="24"/>
          <w:szCs w:val="24"/>
          <w:lang w:val="fr-FR"/>
        </w:rPr>
        <w:t>sunt</w:t>
      </w:r>
      <w:proofErr w:type="spellEnd"/>
      <w:r w:rsidRPr="00C54A03">
        <w:rPr>
          <w:color w:val="000000" w:themeColor="text1"/>
          <w:spacing w:val="31"/>
          <w:sz w:val="24"/>
          <w:szCs w:val="24"/>
          <w:lang w:val="fr-FR"/>
        </w:rPr>
        <w:t xml:space="preserve"> </w:t>
      </w:r>
      <w:r w:rsidRPr="00C54A03">
        <w:rPr>
          <w:color w:val="000000" w:themeColor="text1"/>
          <w:sz w:val="24"/>
          <w:szCs w:val="24"/>
          <w:lang w:val="fr-FR"/>
        </w:rPr>
        <w:t>de</w:t>
      </w:r>
      <w:r w:rsidRPr="00C54A03">
        <w:rPr>
          <w:color w:val="000000" w:themeColor="text1"/>
          <w:spacing w:val="31"/>
          <w:sz w:val="24"/>
          <w:szCs w:val="24"/>
          <w:lang w:val="fr-FR"/>
        </w:rPr>
        <w:t xml:space="preserve"> </w:t>
      </w:r>
      <w:proofErr w:type="spellStart"/>
      <w:r w:rsidRPr="00C54A03">
        <w:rPr>
          <w:color w:val="000000" w:themeColor="text1"/>
          <w:sz w:val="24"/>
          <w:szCs w:val="24"/>
          <w:lang w:val="fr-FR"/>
        </w:rPr>
        <w:t>asemenea</w:t>
      </w:r>
      <w:proofErr w:type="spellEnd"/>
      <w:r w:rsidRPr="00C54A03">
        <w:rPr>
          <w:color w:val="000000" w:themeColor="text1"/>
          <w:spacing w:val="31"/>
          <w:sz w:val="24"/>
          <w:szCs w:val="24"/>
          <w:lang w:val="fr-FR"/>
        </w:rPr>
        <w:t xml:space="preserve"> </w:t>
      </w:r>
      <w:r w:rsidRPr="00C54A03">
        <w:rPr>
          <w:color w:val="000000" w:themeColor="text1"/>
          <w:sz w:val="24"/>
          <w:szCs w:val="24"/>
          <w:lang w:val="fr-FR"/>
        </w:rPr>
        <w:t>de</w:t>
      </w:r>
      <w:r w:rsidRPr="00C54A03">
        <w:rPr>
          <w:color w:val="000000" w:themeColor="text1"/>
          <w:spacing w:val="-58"/>
          <w:sz w:val="24"/>
          <w:szCs w:val="24"/>
          <w:lang w:val="fr-FR"/>
        </w:rPr>
        <w:t xml:space="preserve"> </w:t>
      </w:r>
      <w:proofErr w:type="spellStart"/>
      <w:r w:rsidRPr="00C54A03">
        <w:rPr>
          <w:color w:val="000000" w:themeColor="text1"/>
          <w:sz w:val="24"/>
          <w:szCs w:val="24"/>
          <w:lang w:val="fr-FR"/>
        </w:rPr>
        <w:t>nivel</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calitativ</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respectiv</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intensitate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mică</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intensitate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medie</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intensitate</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mare,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intensitate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necunoscută</w:t>
      </w:r>
      <w:proofErr w:type="spellEnd"/>
      <w:r w:rsidRPr="00C54A03">
        <w:rPr>
          <w:color w:val="000000" w:themeColor="text1"/>
          <w:sz w:val="24"/>
          <w:szCs w:val="24"/>
          <w:lang w:val="fr-FR"/>
        </w:rPr>
        <w:t>.</w:t>
      </w:r>
    </w:p>
    <w:p w14:paraId="4C5296C2" w14:textId="77777777" w:rsidR="007702CD" w:rsidRPr="00C54A03" w:rsidRDefault="007702CD" w:rsidP="00D97209">
      <w:pPr>
        <w:pStyle w:val="BodyText"/>
        <w:spacing w:before="1"/>
        <w:ind w:left="0" w:right="27"/>
        <w:jc w:val="both"/>
        <w:rPr>
          <w:color w:val="000000" w:themeColor="text1"/>
          <w:sz w:val="24"/>
          <w:szCs w:val="24"/>
          <w:lang w:val="fr-FR"/>
        </w:rPr>
      </w:pPr>
      <w:proofErr w:type="spellStart"/>
      <w:r w:rsidRPr="00C54A03">
        <w:rPr>
          <w:color w:val="000000" w:themeColor="text1"/>
          <w:sz w:val="24"/>
          <w:szCs w:val="24"/>
          <w:lang w:val="fr-FR"/>
        </w:rPr>
        <w:t>Amenințările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estimate</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urma</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analizei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presiunilor</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existente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observate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teren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sunt</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evaluate</w:t>
      </w:r>
      <w:proofErr w:type="spellEnd"/>
      <w:r w:rsidRPr="00C54A03">
        <w:rPr>
          <w:color w:val="000000" w:themeColor="text1"/>
          <w:sz w:val="24"/>
          <w:szCs w:val="24"/>
          <w:lang w:val="fr-FR"/>
        </w:rPr>
        <w:t>,</w:t>
      </w:r>
      <w:r w:rsidRPr="00C54A03">
        <w:rPr>
          <w:color w:val="000000" w:themeColor="text1"/>
          <w:spacing w:val="-57"/>
          <w:sz w:val="24"/>
          <w:szCs w:val="24"/>
          <w:lang w:val="fr-FR"/>
        </w:rPr>
        <w:t xml:space="preserve"> </w:t>
      </w:r>
      <w:proofErr w:type="spellStart"/>
      <w:r w:rsidRPr="00C54A03">
        <w:rPr>
          <w:color w:val="000000" w:themeColor="text1"/>
          <w:sz w:val="24"/>
          <w:szCs w:val="24"/>
          <w:lang w:val="fr-FR"/>
        </w:rPr>
        <w:t>stabilindu</w:t>
      </w:r>
      <w:proofErr w:type="spellEnd"/>
      <w:r w:rsidRPr="00C54A03">
        <w:rPr>
          <w:color w:val="000000" w:themeColor="text1"/>
          <w:sz w:val="24"/>
          <w:szCs w:val="24"/>
          <w:lang w:val="fr-FR"/>
        </w:rPr>
        <w:t>-se</w:t>
      </w:r>
      <w:r w:rsidRPr="00C54A03">
        <w:rPr>
          <w:color w:val="000000" w:themeColor="text1"/>
          <w:spacing w:val="13"/>
          <w:sz w:val="24"/>
          <w:szCs w:val="24"/>
          <w:lang w:val="fr-FR"/>
        </w:rPr>
        <w:t xml:space="preserve"> </w:t>
      </w:r>
      <w:proofErr w:type="spellStart"/>
      <w:r w:rsidRPr="00C54A03">
        <w:rPr>
          <w:color w:val="000000" w:themeColor="text1"/>
          <w:sz w:val="24"/>
          <w:szCs w:val="24"/>
          <w:lang w:val="fr-FR"/>
        </w:rPr>
        <w:t>intensitatea</w:t>
      </w:r>
      <w:proofErr w:type="spellEnd"/>
      <w:r w:rsidRPr="00C54A03">
        <w:rPr>
          <w:color w:val="000000" w:themeColor="text1"/>
          <w:spacing w:val="16"/>
          <w:sz w:val="24"/>
          <w:szCs w:val="24"/>
          <w:lang w:val="fr-FR"/>
        </w:rPr>
        <w:t xml:space="preserve"> </w:t>
      </w:r>
      <w:proofErr w:type="spellStart"/>
      <w:r w:rsidRPr="00C54A03">
        <w:rPr>
          <w:color w:val="000000" w:themeColor="text1"/>
          <w:sz w:val="24"/>
          <w:szCs w:val="24"/>
          <w:lang w:val="fr-FR"/>
        </w:rPr>
        <w:t>specifică</w:t>
      </w:r>
      <w:proofErr w:type="spellEnd"/>
      <w:r w:rsidRPr="00C54A03">
        <w:rPr>
          <w:color w:val="000000" w:themeColor="text1"/>
          <w:spacing w:val="14"/>
          <w:sz w:val="24"/>
          <w:szCs w:val="24"/>
          <w:lang w:val="fr-FR"/>
        </w:rPr>
        <w:t xml:space="preserve"> </w:t>
      </w:r>
      <w:r w:rsidRPr="00C54A03">
        <w:rPr>
          <w:color w:val="000000" w:themeColor="text1"/>
          <w:sz w:val="24"/>
          <w:szCs w:val="24"/>
          <w:lang w:val="fr-FR"/>
        </w:rPr>
        <w:t>a</w:t>
      </w:r>
      <w:r w:rsidRPr="00C54A03">
        <w:rPr>
          <w:color w:val="000000" w:themeColor="text1"/>
          <w:spacing w:val="15"/>
          <w:sz w:val="24"/>
          <w:szCs w:val="24"/>
          <w:lang w:val="fr-FR"/>
        </w:rPr>
        <w:t xml:space="preserve"> </w:t>
      </w:r>
      <w:proofErr w:type="spellStart"/>
      <w:r w:rsidRPr="00C54A03">
        <w:rPr>
          <w:color w:val="000000" w:themeColor="text1"/>
          <w:sz w:val="24"/>
          <w:szCs w:val="24"/>
          <w:lang w:val="fr-FR"/>
        </w:rPr>
        <w:t>fiecăreia</w:t>
      </w:r>
      <w:proofErr w:type="spellEnd"/>
      <w:r w:rsidRPr="00C54A03">
        <w:rPr>
          <w:color w:val="000000" w:themeColor="text1"/>
          <w:spacing w:val="15"/>
          <w:sz w:val="24"/>
          <w:szCs w:val="24"/>
          <w:lang w:val="fr-FR"/>
        </w:rPr>
        <w:t xml:space="preserve"> </w:t>
      </w:r>
      <w:r w:rsidRPr="00C54A03">
        <w:rPr>
          <w:color w:val="000000" w:themeColor="text1"/>
          <w:sz w:val="24"/>
          <w:szCs w:val="24"/>
          <w:lang w:val="fr-FR"/>
        </w:rPr>
        <w:t>ce</w:t>
      </w:r>
      <w:r w:rsidRPr="00C54A03">
        <w:rPr>
          <w:color w:val="000000" w:themeColor="text1"/>
          <w:spacing w:val="17"/>
          <w:sz w:val="24"/>
          <w:szCs w:val="24"/>
          <w:lang w:val="fr-FR"/>
        </w:rPr>
        <w:t xml:space="preserve"> </w:t>
      </w:r>
      <w:r w:rsidRPr="00C54A03">
        <w:rPr>
          <w:color w:val="000000" w:themeColor="text1"/>
          <w:sz w:val="24"/>
          <w:szCs w:val="24"/>
          <w:lang w:val="fr-FR"/>
        </w:rPr>
        <w:t>se</w:t>
      </w:r>
      <w:r w:rsidRPr="00C54A03">
        <w:rPr>
          <w:color w:val="000000" w:themeColor="text1"/>
          <w:spacing w:val="14"/>
          <w:sz w:val="24"/>
          <w:szCs w:val="24"/>
          <w:lang w:val="fr-FR"/>
        </w:rPr>
        <w:t xml:space="preserve"> </w:t>
      </w:r>
      <w:proofErr w:type="spellStart"/>
      <w:r w:rsidRPr="00C54A03">
        <w:rPr>
          <w:color w:val="000000" w:themeColor="text1"/>
          <w:sz w:val="24"/>
          <w:szCs w:val="24"/>
          <w:lang w:val="fr-FR"/>
        </w:rPr>
        <w:t>exercită</w:t>
      </w:r>
      <w:proofErr w:type="spellEnd"/>
      <w:r w:rsidRPr="00C54A03">
        <w:rPr>
          <w:color w:val="000000" w:themeColor="text1"/>
          <w:spacing w:val="16"/>
          <w:sz w:val="24"/>
          <w:szCs w:val="24"/>
          <w:lang w:val="fr-FR"/>
        </w:rPr>
        <w:t xml:space="preserve"> </w:t>
      </w:r>
      <w:proofErr w:type="spellStart"/>
      <w:r w:rsidRPr="00C54A03">
        <w:rPr>
          <w:color w:val="000000" w:themeColor="text1"/>
          <w:sz w:val="24"/>
          <w:szCs w:val="24"/>
          <w:lang w:val="fr-FR"/>
        </w:rPr>
        <w:t>asupra</w:t>
      </w:r>
      <w:proofErr w:type="spellEnd"/>
      <w:r w:rsidRPr="00C54A03">
        <w:rPr>
          <w:color w:val="000000" w:themeColor="text1"/>
          <w:spacing w:val="16"/>
          <w:sz w:val="24"/>
          <w:szCs w:val="24"/>
          <w:lang w:val="fr-FR"/>
        </w:rPr>
        <w:t xml:space="preserve"> </w:t>
      </w:r>
      <w:proofErr w:type="spellStart"/>
      <w:r w:rsidRPr="00C54A03">
        <w:rPr>
          <w:color w:val="000000" w:themeColor="text1"/>
          <w:sz w:val="24"/>
          <w:szCs w:val="24"/>
          <w:lang w:val="fr-FR"/>
        </w:rPr>
        <w:t>habitatului</w:t>
      </w:r>
      <w:proofErr w:type="spellEnd"/>
      <w:r w:rsidRPr="00C54A03">
        <w:rPr>
          <w:color w:val="000000" w:themeColor="text1"/>
          <w:spacing w:val="16"/>
          <w:sz w:val="24"/>
          <w:szCs w:val="24"/>
          <w:lang w:val="fr-FR"/>
        </w:rPr>
        <w:t xml:space="preserve"> </w:t>
      </w:r>
      <w:proofErr w:type="spellStart"/>
      <w:r w:rsidRPr="00C54A03">
        <w:rPr>
          <w:color w:val="000000" w:themeColor="text1"/>
          <w:sz w:val="24"/>
          <w:szCs w:val="24"/>
          <w:lang w:val="fr-FR"/>
        </w:rPr>
        <w:t>țintă</w:t>
      </w:r>
      <w:proofErr w:type="spellEnd"/>
      <w:r w:rsidRPr="00C54A03">
        <w:rPr>
          <w:color w:val="000000" w:themeColor="text1"/>
          <w:sz w:val="24"/>
          <w:szCs w:val="24"/>
          <w:lang w:val="fr-FR"/>
        </w:rPr>
        <w:t>.</w:t>
      </w:r>
      <w:r w:rsidRPr="00C54A03">
        <w:rPr>
          <w:color w:val="000000" w:themeColor="text1"/>
          <w:spacing w:val="14"/>
          <w:sz w:val="24"/>
          <w:szCs w:val="24"/>
          <w:lang w:val="fr-FR"/>
        </w:rPr>
        <w:t xml:space="preserve"> </w:t>
      </w:r>
      <w:proofErr w:type="spellStart"/>
      <w:r w:rsidRPr="00C54A03">
        <w:rPr>
          <w:color w:val="000000" w:themeColor="text1"/>
          <w:sz w:val="24"/>
          <w:szCs w:val="24"/>
          <w:lang w:val="fr-FR"/>
        </w:rPr>
        <w:t>Categoriile</w:t>
      </w:r>
      <w:proofErr w:type="spellEnd"/>
      <w:r w:rsidRPr="00C54A03">
        <w:rPr>
          <w:color w:val="000000" w:themeColor="text1"/>
          <w:spacing w:val="15"/>
          <w:sz w:val="24"/>
          <w:szCs w:val="24"/>
          <w:lang w:val="fr-FR"/>
        </w:rPr>
        <w:t xml:space="preserve"> </w:t>
      </w:r>
      <w:r w:rsidR="003D505F" w:rsidRPr="00C54A03">
        <w:rPr>
          <w:color w:val="000000" w:themeColor="text1"/>
          <w:sz w:val="24"/>
          <w:szCs w:val="24"/>
          <w:lang w:val="fr-FR"/>
        </w:rPr>
        <w:t xml:space="preserve">de </w:t>
      </w:r>
      <w:proofErr w:type="spellStart"/>
      <w:r w:rsidRPr="00C54A03">
        <w:rPr>
          <w:color w:val="000000" w:themeColor="text1"/>
          <w:sz w:val="24"/>
          <w:szCs w:val="24"/>
          <w:lang w:val="fr-FR"/>
        </w:rPr>
        <w:t>evaluare</w:t>
      </w:r>
      <w:proofErr w:type="spellEnd"/>
      <w:r w:rsidRPr="00C54A03">
        <w:rPr>
          <w:color w:val="000000" w:themeColor="text1"/>
          <w:spacing w:val="35"/>
          <w:sz w:val="24"/>
          <w:szCs w:val="24"/>
          <w:lang w:val="fr-FR"/>
        </w:rPr>
        <w:t xml:space="preserve"> </w:t>
      </w:r>
      <w:r w:rsidRPr="00C54A03">
        <w:rPr>
          <w:color w:val="000000" w:themeColor="text1"/>
          <w:sz w:val="24"/>
          <w:szCs w:val="24"/>
          <w:lang w:val="fr-FR"/>
        </w:rPr>
        <w:t>a</w:t>
      </w:r>
      <w:r w:rsidRPr="00C54A03">
        <w:rPr>
          <w:color w:val="000000" w:themeColor="text1"/>
          <w:spacing w:val="36"/>
          <w:sz w:val="24"/>
          <w:szCs w:val="24"/>
          <w:lang w:val="fr-FR"/>
        </w:rPr>
        <w:t xml:space="preserve"> </w:t>
      </w:r>
      <w:proofErr w:type="spellStart"/>
      <w:r w:rsidRPr="00C54A03">
        <w:rPr>
          <w:color w:val="000000" w:themeColor="text1"/>
          <w:sz w:val="24"/>
          <w:szCs w:val="24"/>
          <w:lang w:val="fr-FR"/>
        </w:rPr>
        <w:t>intensității</w:t>
      </w:r>
      <w:proofErr w:type="spellEnd"/>
      <w:r w:rsidRPr="00C54A03">
        <w:rPr>
          <w:color w:val="000000" w:themeColor="text1"/>
          <w:spacing w:val="36"/>
          <w:sz w:val="24"/>
          <w:szCs w:val="24"/>
          <w:lang w:val="fr-FR"/>
        </w:rPr>
        <w:t xml:space="preserve"> </w:t>
      </w:r>
      <w:proofErr w:type="spellStart"/>
      <w:r w:rsidRPr="00C54A03">
        <w:rPr>
          <w:color w:val="000000" w:themeColor="text1"/>
          <w:sz w:val="24"/>
          <w:szCs w:val="24"/>
          <w:lang w:val="fr-FR"/>
        </w:rPr>
        <w:t>sunt</w:t>
      </w:r>
      <w:proofErr w:type="spellEnd"/>
      <w:r w:rsidRPr="00C54A03">
        <w:rPr>
          <w:color w:val="000000" w:themeColor="text1"/>
          <w:spacing w:val="37"/>
          <w:sz w:val="24"/>
          <w:szCs w:val="24"/>
          <w:lang w:val="fr-FR"/>
        </w:rPr>
        <w:t xml:space="preserve"> </w:t>
      </w:r>
      <w:r w:rsidRPr="00C54A03">
        <w:rPr>
          <w:color w:val="000000" w:themeColor="text1"/>
          <w:sz w:val="24"/>
          <w:szCs w:val="24"/>
          <w:lang w:val="fr-FR"/>
        </w:rPr>
        <w:t>de</w:t>
      </w:r>
      <w:r w:rsidRPr="00C54A03">
        <w:rPr>
          <w:color w:val="000000" w:themeColor="text1"/>
          <w:spacing w:val="36"/>
          <w:sz w:val="24"/>
          <w:szCs w:val="24"/>
          <w:lang w:val="fr-FR"/>
        </w:rPr>
        <w:t xml:space="preserve"> </w:t>
      </w:r>
      <w:proofErr w:type="spellStart"/>
      <w:r w:rsidRPr="00C54A03">
        <w:rPr>
          <w:color w:val="000000" w:themeColor="text1"/>
          <w:sz w:val="24"/>
          <w:szCs w:val="24"/>
          <w:lang w:val="fr-FR"/>
        </w:rPr>
        <w:t>asemenea</w:t>
      </w:r>
      <w:proofErr w:type="spellEnd"/>
      <w:r w:rsidRPr="00C54A03">
        <w:rPr>
          <w:color w:val="000000" w:themeColor="text1"/>
          <w:spacing w:val="35"/>
          <w:sz w:val="24"/>
          <w:szCs w:val="24"/>
          <w:lang w:val="fr-FR"/>
        </w:rPr>
        <w:t xml:space="preserve"> </w:t>
      </w:r>
      <w:r w:rsidRPr="00C54A03">
        <w:rPr>
          <w:color w:val="000000" w:themeColor="text1"/>
          <w:sz w:val="24"/>
          <w:szCs w:val="24"/>
          <w:lang w:val="fr-FR"/>
        </w:rPr>
        <w:t>de</w:t>
      </w:r>
      <w:r w:rsidRPr="00C54A03">
        <w:rPr>
          <w:color w:val="000000" w:themeColor="text1"/>
          <w:spacing w:val="36"/>
          <w:sz w:val="24"/>
          <w:szCs w:val="24"/>
          <w:lang w:val="fr-FR"/>
        </w:rPr>
        <w:t xml:space="preserve"> </w:t>
      </w:r>
      <w:proofErr w:type="spellStart"/>
      <w:r w:rsidRPr="00C54A03">
        <w:rPr>
          <w:color w:val="000000" w:themeColor="text1"/>
          <w:sz w:val="24"/>
          <w:szCs w:val="24"/>
          <w:lang w:val="fr-FR"/>
        </w:rPr>
        <w:t>nivel</w:t>
      </w:r>
      <w:proofErr w:type="spellEnd"/>
      <w:r w:rsidRPr="00C54A03">
        <w:rPr>
          <w:color w:val="000000" w:themeColor="text1"/>
          <w:spacing w:val="38"/>
          <w:sz w:val="24"/>
          <w:szCs w:val="24"/>
          <w:lang w:val="fr-FR"/>
        </w:rPr>
        <w:t xml:space="preserve"> </w:t>
      </w:r>
      <w:proofErr w:type="spellStart"/>
      <w:r w:rsidRPr="00C54A03">
        <w:rPr>
          <w:color w:val="000000" w:themeColor="text1"/>
          <w:sz w:val="24"/>
          <w:szCs w:val="24"/>
          <w:lang w:val="fr-FR"/>
        </w:rPr>
        <w:t>calitativ</w:t>
      </w:r>
      <w:proofErr w:type="spellEnd"/>
      <w:r w:rsidRPr="00C54A03">
        <w:rPr>
          <w:color w:val="000000" w:themeColor="text1"/>
          <w:sz w:val="24"/>
          <w:szCs w:val="24"/>
          <w:lang w:val="fr-FR"/>
        </w:rPr>
        <w:t>,</w:t>
      </w:r>
      <w:r w:rsidRPr="00C54A03">
        <w:rPr>
          <w:color w:val="000000" w:themeColor="text1"/>
          <w:spacing w:val="37"/>
          <w:sz w:val="24"/>
          <w:szCs w:val="24"/>
          <w:lang w:val="fr-FR"/>
        </w:rPr>
        <w:t xml:space="preserve"> </w:t>
      </w:r>
      <w:proofErr w:type="spellStart"/>
      <w:r w:rsidRPr="00C54A03">
        <w:rPr>
          <w:color w:val="000000" w:themeColor="text1"/>
          <w:sz w:val="24"/>
          <w:szCs w:val="24"/>
          <w:lang w:val="fr-FR"/>
        </w:rPr>
        <w:t>respectiv</w:t>
      </w:r>
      <w:proofErr w:type="spellEnd"/>
      <w:r w:rsidRPr="00C54A03">
        <w:rPr>
          <w:color w:val="000000" w:themeColor="text1"/>
          <w:sz w:val="24"/>
          <w:szCs w:val="24"/>
          <w:lang w:val="fr-FR"/>
        </w:rPr>
        <w:t>:</w:t>
      </w:r>
      <w:r w:rsidRPr="00C54A03">
        <w:rPr>
          <w:color w:val="000000" w:themeColor="text1"/>
          <w:spacing w:val="37"/>
          <w:sz w:val="24"/>
          <w:szCs w:val="24"/>
          <w:lang w:val="fr-FR"/>
        </w:rPr>
        <w:t xml:space="preserve"> </w:t>
      </w:r>
      <w:proofErr w:type="spellStart"/>
      <w:r w:rsidRPr="00C54A03">
        <w:rPr>
          <w:color w:val="000000" w:themeColor="text1"/>
          <w:sz w:val="24"/>
          <w:szCs w:val="24"/>
          <w:lang w:val="fr-FR"/>
        </w:rPr>
        <w:t>intensitate</w:t>
      </w:r>
      <w:proofErr w:type="spellEnd"/>
      <w:r w:rsidRPr="00C54A03">
        <w:rPr>
          <w:color w:val="000000" w:themeColor="text1"/>
          <w:spacing w:val="35"/>
          <w:sz w:val="24"/>
          <w:szCs w:val="24"/>
          <w:lang w:val="fr-FR"/>
        </w:rPr>
        <w:t xml:space="preserve"> </w:t>
      </w:r>
      <w:proofErr w:type="spellStart"/>
      <w:r w:rsidRPr="00C54A03">
        <w:rPr>
          <w:color w:val="000000" w:themeColor="text1"/>
          <w:sz w:val="24"/>
          <w:szCs w:val="24"/>
          <w:lang w:val="fr-FR"/>
        </w:rPr>
        <w:t>mică</w:t>
      </w:r>
      <w:proofErr w:type="spellEnd"/>
      <w:r w:rsidRPr="00C54A03">
        <w:rPr>
          <w:color w:val="000000" w:themeColor="text1"/>
          <w:sz w:val="24"/>
          <w:szCs w:val="24"/>
          <w:lang w:val="fr-FR"/>
        </w:rPr>
        <w:t>,</w:t>
      </w:r>
      <w:r w:rsidRPr="00C54A03">
        <w:rPr>
          <w:color w:val="000000" w:themeColor="text1"/>
          <w:spacing w:val="37"/>
          <w:sz w:val="24"/>
          <w:szCs w:val="24"/>
          <w:lang w:val="fr-FR"/>
        </w:rPr>
        <w:t xml:space="preserve"> </w:t>
      </w:r>
      <w:proofErr w:type="spellStart"/>
      <w:r w:rsidRPr="00C54A03">
        <w:rPr>
          <w:color w:val="000000" w:themeColor="text1"/>
          <w:sz w:val="24"/>
          <w:szCs w:val="24"/>
          <w:lang w:val="fr-FR"/>
        </w:rPr>
        <w:t>intensitate</w:t>
      </w:r>
      <w:proofErr w:type="spellEnd"/>
      <w:r w:rsidRPr="00C54A03">
        <w:rPr>
          <w:color w:val="000000" w:themeColor="text1"/>
          <w:spacing w:val="-57"/>
          <w:sz w:val="24"/>
          <w:szCs w:val="24"/>
          <w:lang w:val="fr-FR"/>
        </w:rPr>
        <w:t xml:space="preserve"> </w:t>
      </w:r>
      <w:proofErr w:type="spellStart"/>
      <w:r w:rsidRPr="00C54A03">
        <w:rPr>
          <w:color w:val="000000" w:themeColor="text1"/>
          <w:sz w:val="24"/>
          <w:szCs w:val="24"/>
          <w:lang w:val="fr-FR"/>
        </w:rPr>
        <w:t>medie</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intensitate</w:t>
      </w:r>
      <w:proofErr w:type="spellEnd"/>
      <w:r w:rsidRPr="00C54A03">
        <w:rPr>
          <w:color w:val="000000" w:themeColor="text1"/>
          <w:sz w:val="24"/>
          <w:szCs w:val="24"/>
          <w:lang w:val="fr-FR"/>
        </w:rPr>
        <w:t xml:space="preserve"> mare, </w:t>
      </w:r>
      <w:proofErr w:type="spellStart"/>
      <w:r w:rsidRPr="00C54A03">
        <w:rPr>
          <w:color w:val="000000" w:themeColor="text1"/>
          <w:sz w:val="24"/>
          <w:szCs w:val="24"/>
          <w:lang w:val="fr-FR"/>
        </w:rPr>
        <w:t>intensitate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necunoscută</w:t>
      </w:r>
      <w:proofErr w:type="spellEnd"/>
      <w:r w:rsidRPr="00C54A03">
        <w:rPr>
          <w:color w:val="000000" w:themeColor="text1"/>
          <w:sz w:val="24"/>
          <w:szCs w:val="24"/>
          <w:lang w:val="fr-FR"/>
        </w:rPr>
        <w:t>.</w:t>
      </w:r>
    </w:p>
    <w:p w14:paraId="176E65AC" w14:textId="77777777" w:rsidR="002328DF" w:rsidRPr="00C54A03" w:rsidRDefault="002328DF" w:rsidP="008E33FD">
      <w:pPr>
        <w:pStyle w:val="BodyText"/>
        <w:spacing w:before="1"/>
        <w:ind w:left="293" w:right="250"/>
        <w:jc w:val="both"/>
        <w:rPr>
          <w:color w:val="000000" w:themeColor="text1"/>
          <w:sz w:val="24"/>
          <w:szCs w:val="24"/>
          <w:lang w:val="fr-FR"/>
        </w:rPr>
      </w:pPr>
    </w:p>
    <w:p w14:paraId="013F3F1F" w14:textId="77777777" w:rsidR="007702CD" w:rsidRPr="00C54A03" w:rsidRDefault="007702CD" w:rsidP="008E33FD">
      <w:pPr>
        <w:pStyle w:val="Heading2"/>
        <w:widowControl w:val="0"/>
        <w:tabs>
          <w:tab w:val="left" w:pos="1208"/>
        </w:tabs>
        <w:autoSpaceDE w:val="0"/>
        <w:autoSpaceDN w:val="0"/>
        <w:spacing w:before="0" w:beforeAutospacing="0" w:after="0" w:afterAutospacing="0"/>
        <w:jc w:val="both"/>
        <w:rPr>
          <w:color w:val="000000" w:themeColor="text1"/>
          <w:sz w:val="24"/>
          <w:szCs w:val="24"/>
        </w:rPr>
      </w:pPr>
      <w:proofErr w:type="spellStart"/>
      <w:r w:rsidRPr="00C54A03">
        <w:rPr>
          <w:color w:val="000000" w:themeColor="text1"/>
          <w:sz w:val="24"/>
          <w:szCs w:val="24"/>
        </w:rPr>
        <w:t>Agregarea</w:t>
      </w:r>
      <w:proofErr w:type="spellEnd"/>
      <w:r w:rsidRPr="00C54A03">
        <w:rPr>
          <w:color w:val="000000" w:themeColor="text1"/>
          <w:spacing w:val="-4"/>
          <w:sz w:val="24"/>
          <w:szCs w:val="24"/>
        </w:rPr>
        <w:t xml:space="preserve"> </w:t>
      </w:r>
      <w:proofErr w:type="spellStart"/>
      <w:r w:rsidRPr="00C54A03">
        <w:rPr>
          <w:color w:val="000000" w:themeColor="text1"/>
          <w:sz w:val="24"/>
          <w:szCs w:val="24"/>
        </w:rPr>
        <w:t>informației</w:t>
      </w:r>
      <w:proofErr w:type="spellEnd"/>
      <w:r w:rsidRPr="00C54A03">
        <w:rPr>
          <w:color w:val="000000" w:themeColor="text1"/>
          <w:spacing w:val="-6"/>
          <w:sz w:val="24"/>
          <w:szCs w:val="24"/>
        </w:rPr>
        <w:t xml:space="preserve"> </w:t>
      </w:r>
      <w:r w:rsidRPr="00C54A03">
        <w:rPr>
          <w:color w:val="000000" w:themeColor="text1"/>
          <w:sz w:val="24"/>
          <w:szCs w:val="24"/>
        </w:rPr>
        <w:t>din</w:t>
      </w:r>
      <w:r w:rsidRPr="00C54A03">
        <w:rPr>
          <w:color w:val="000000" w:themeColor="text1"/>
          <w:spacing w:val="-5"/>
          <w:sz w:val="24"/>
          <w:szCs w:val="24"/>
        </w:rPr>
        <w:t xml:space="preserve"> </w:t>
      </w:r>
      <w:proofErr w:type="spellStart"/>
      <w:r w:rsidRPr="00C54A03">
        <w:rPr>
          <w:color w:val="000000" w:themeColor="text1"/>
          <w:sz w:val="24"/>
          <w:szCs w:val="24"/>
        </w:rPr>
        <w:t>ploturi</w:t>
      </w:r>
      <w:proofErr w:type="spellEnd"/>
      <w:r w:rsidRPr="00C54A03">
        <w:rPr>
          <w:color w:val="000000" w:themeColor="text1"/>
          <w:spacing w:val="-5"/>
          <w:sz w:val="24"/>
          <w:szCs w:val="24"/>
        </w:rPr>
        <w:t xml:space="preserve"> </w:t>
      </w:r>
      <w:r w:rsidRPr="00C54A03">
        <w:rPr>
          <w:color w:val="000000" w:themeColor="text1"/>
          <w:sz w:val="24"/>
          <w:szCs w:val="24"/>
        </w:rPr>
        <w:t>pe</w:t>
      </w:r>
      <w:r w:rsidRPr="00C54A03">
        <w:rPr>
          <w:color w:val="000000" w:themeColor="text1"/>
          <w:spacing w:val="-5"/>
          <w:sz w:val="24"/>
          <w:szCs w:val="24"/>
        </w:rPr>
        <w:t xml:space="preserve"> </w:t>
      </w:r>
      <w:proofErr w:type="spellStart"/>
      <w:r w:rsidRPr="00C54A03">
        <w:rPr>
          <w:color w:val="000000" w:themeColor="text1"/>
          <w:sz w:val="24"/>
          <w:szCs w:val="24"/>
        </w:rPr>
        <w:t>bioregiune</w:t>
      </w:r>
      <w:proofErr w:type="spellEnd"/>
    </w:p>
    <w:p w14:paraId="72652E3F" w14:textId="77777777" w:rsidR="007702CD" w:rsidRPr="00C54A03" w:rsidRDefault="007702CD" w:rsidP="00D97209">
      <w:pPr>
        <w:pStyle w:val="BodyText"/>
        <w:spacing w:before="157"/>
        <w:ind w:left="0"/>
        <w:jc w:val="both"/>
        <w:rPr>
          <w:color w:val="000000" w:themeColor="text1"/>
          <w:sz w:val="24"/>
          <w:szCs w:val="24"/>
          <w:lang w:val="fr-FR"/>
        </w:rPr>
      </w:pPr>
      <w:proofErr w:type="spellStart"/>
      <w:r w:rsidRPr="00C54A03">
        <w:rPr>
          <w:color w:val="000000" w:themeColor="text1"/>
          <w:sz w:val="24"/>
          <w:szCs w:val="24"/>
          <w:lang w:val="fr-FR"/>
        </w:rPr>
        <w:t>Modul</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agregare</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a</w:t>
      </w:r>
      <w:r w:rsidRPr="00C54A03">
        <w:rPr>
          <w:color w:val="000000" w:themeColor="text1"/>
          <w:spacing w:val="-2"/>
          <w:sz w:val="24"/>
          <w:szCs w:val="24"/>
          <w:lang w:val="fr-FR"/>
        </w:rPr>
        <w:t xml:space="preserve"> </w:t>
      </w:r>
      <w:proofErr w:type="spellStart"/>
      <w:r w:rsidRPr="00C54A03">
        <w:rPr>
          <w:color w:val="000000" w:themeColor="text1"/>
          <w:sz w:val="24"/>
          <w:szCs w:val="24"/>
          <w:lang w:val="fr-FR"/>
        </w:rPr>
        <w:t>datelor</w:t>
      </w:r>
      <w:proofErr w:type="spellEnd"/>
      <w:r w:rsidRPr="00C54A03">
        <w:rPr>
          <w:color w:val="000000" w:themeColor="text1"/>
          <w:sz w:val="24"/>
          <w:szCs w:val="24"/>
          <w:lang w:val="fr-FR"/>
        </w:rPr>
        <w:t xml:space="preserve"> se</w:t>
      </w:r>
      <w:r w:rsidRPr="00C54A03">
        <w:rPr>
          <w:color w:val="000000" w:themeColor="text1"/>
          <w:spacing w:val="-2"/>
          <w:sz w:val="24"/>
          <w:szCs w:val="24"/>
          <w:lang w:val="fr-FR"/>
        </w:rPr>
        <w:t xml:space="preserve"> </w:t>
      </w:r>
      <w:r w:rsidRPr="00C54A03">
        <w:rPr>
          <w:color w:val="000000" w:themeColor="text1"/>
          <w:sz w:val="24"/>
          <w:szCs w:val="24"/>
          <w:lang w:val="fr-FR"/>
        </w:rPr>
        <w:t>face</w:t>
      </w:r>
      <w:r w:rsidRPr="00C54A03">
        <w:rPr>
          <w:color w:val="000000" w:themeColor="text1"/>
          <w:spacing w:val="-2"/>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două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etape</w:t>
      </w:r>
      <w:proofErr w:type="spellEnd"/>
      <w:r w:rsidRPr="00C54A03">
        <w:rPr>
          <w:color w:val="000000" w:themeColor="text1"/>
          <w:sz w:val="24"/>
          <w:szCs w:val="24"/>
          <w:lang w:val="fr-FR"/>
        </w:rPr>
        <w:t>:</w:t>
      </w:r>
    </w:p>
    <w:p w14:paraId="2EAC2A9D" w14:textId="77777777" w:rsidR="007702CD" w:rsidRPr="00C54A03" w:rsidRDefault="007702CD" w:rsidP="00D97209">
      <w:pPr>
        <w:pStyle w:val="BodyText"/>
        <w:ind w:left="0" w:right="249"/>
        <w:jc w:val="both"/>
        <w:rPr>
          <w:color w:val="000000" w:themeColor="text1"/>
          <w:sz w:val="24"/>
          <w:szCs w:val="24"/>
          <w:lang w:val="fr-FR"/>
        </w:rPr>
      </w:pPr>
      <w:proofErr w:type="spellStart"/>
      <w:r w:rsidRPr="00C54A03">
        <w:rPr>
          <w:color w:val="000000" w:themeColor="text1"/>
          <w:sz w:val="24"/>
          <w:szCs w:val="24"/>
          <w:lang w:val="fr-FR"/>
        </w:rPr>
        <w:t>Agregarea</w:t>
      </w:r>
      <w:proofErr w:type="spellEnd"/>
      <w:r w:rsidRPr="00C54A03">
        <w:rPr>
          <w:color w:val="000000" w:themeColor="text1"/>
          <w:spacing w:val="5"/>
          <w:sz w:val="24"/>
          <w:szCs w:val="24"/>
          <w:lang w:val="fr-FR"/>
        </w:rPr>
        <w:t xml:space="preserve"> </w:t>
      </w:r>
      <w:proofErr w:type="spellStart"/>
      <w:r w:rsidRPr="00C54A03">
        <w:rPr>
          <w:color w:val="000000" w:themeColor="text1"/>
          <w:sz w:val="24"/>
          <w:szCs w:val="24"/>
          <w:lang w:val="fr-FR"/>
        </w:rPr>
        <w:t>spațială</w:t>
      </w:r>
      <w:proofErr w:type="spellEnd"/>
      <w:r w:rsidRPr="00C54A03">
        <w:rPr>
          <w:color w:val="000000" w:themeColor="text1"/>
          <w:sz w:val="24"/>
          <w:szCs w:val="24"/>
          <w:lang w:val="fr-FR"/>
        </w:rPr>
        <w:t>,</w:t>
      </w:r>
      <w:r w:rsidRPr="00C54A03">
        <w:rPr>
          <w:color w:val="000000" w:themeColor="text1"/>
          <w:spacing w:val="4"/>
          <w:sz w:val="24"/>
          <w:szCs w:val="24"/>
          <w:lang w:val="fr-FR"/>
        </w:rPr>
        <w:t xml:space="preserve"> </w:t>
      </w:r>
      <w:proofErr w:type="spellStart"/>
      <w:r w:rsidRPr="00C54A03">
        <w:rPr>
          <w:color w:val="000000" w:themeColor="text1"/>
          <w:sz w:val="24"/>
          <w:szCs w:val="24"/>
          <w:lang w:val="fr-FR"/>
        </w:rPr>
        <w:t>respectiv</w:t>
      </w:r>
      <w:proofErr w:type="spellEnd"/>
      <w:r w:rsidRPr="00C54A03">
        <w:rPr>
          <w:color w:val="000000" w:themeColor="text1"/>
          <w:spacing w:val="4"/>
          <w:sz w:val="24"/>
          <w:szCs w:val="24"/>
          <w:lang w:val="fr-FR"/>
        </w:rPr>
        <w:t xml:space="preserve"> </w:t>
      </w:r>
      <w:proofErr w:type="spellStart"/>
      <w:r w:rsidRPr="00C54A03">
        <w:rPr>
          <w:color w:val="000000" w:themeColor="text1"/>
          <w:sz w:val="24"/>
          <w:szCs w:val="24"/>
          <w:lang w:val="fr-FR"/>
        </w:rPr>
        <w:t>generarea</w:t>
      </w:r>
      <w:proofErr w:type="spellEnd"/>
      <w:r w:rsidRPr="00C54A03">
        <w:rPr>
          <w:color w:val="000000" w:themeColor="text1"/>
          <w:spacing w:val="4"/>
          <w:sz w:val="24"/>
          <w:szCs w:val="24"/>
          <w:lang w:val="fr-FR"/>
        </w:rPr>
        <w:t xml:space="preserve"> </w:t>
      </w:r>
      <w:proofErr w:type="spellStart"/>
      <w:r w:rsidRPr="00C54A03">
        <w:rPr>
          <w:color w:val="000000" w:themeColor="text1"/>
          <w:sz w:val="24"/>
          <w:szCs w:val="24"/>
          <w:lang w:val="fr-FR"/>
        </w:rPr>
        <w:t>hărților</w:t>
      </w:r>
      <w:proofErr w:type="spellEnd"/>
      <w:r w:rsidRPr="00C54A03">
        <w:rPr>
          <w:color w:val="000000" w:themeColor="text1"/>
          <w:spacing w:val="4"/>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7"/>
          <w:sz w:val="24"/>
          <w:szCs w:val="24"/>
          <w:lang w:val="fr-FR"/>
        </w:rPr>
        <w:t xml:space="preserve"> </w:t>
      </w:r>
      <w:proofErr w:type="spellStart"/>
      <w:r w:rsidRPr="00C54A03">
        <w:rPr>
          <w:color w:val="000000" w:themeColor="text1"/>
          <w:sz w:val="24"/>
          <w:szCs w:val="24"/>
          <w:lang w:val="fr-FR"/>
        </w:rPr>
        <w:t>conformitate</w:t>
      </w:r>
      <w:proofErr w:type="spellEnd"/>
      <w:r w:rsidRPr="00C54A03">
        <w:rPr>
          <w:color w:val="000000" w:themeColor="text1"/>
          <w:spacing w:val="4"/>
          <w:sz w:val="24"/>
          <w:szCs w:val="24"/>
          <w:lang w:val="fr-FR"/>
        </w:rPr>
        <w:t xml:space="preserve"> </w:t>
      </w:r>
      <w:proofErr w:type="spellStart"/>
      <w:r w:rsidRPr="00C54A03">
        <w:rPr>
          <w:color w:val="000000" w:themeColor="text1"/>
          <w:sz w:val="24"/>
          <w:szCs w:val="24"/>
          <w:lang w:val="fr-FR"/>
        </w:rPr>
        <w:t>cu</w:t>
      </w:r>
      <w:proofErr w:type="spellEnd"/>
      <w:r w:rsidRPr="00C54A03">
        <w:rPr>
          <w:color w:val="000000" w:themeColor="text1"/>
          <w:spacing w:val="7"/>
          <w:sz w:val="24"/>
          <w:szCs w:val="24"/>
          <w:lang w:val="fr-FR"/>
        </w:rPr>
        <w:t xml:space="preserve"> </w:t>
      </w:r>
      <w:proofErr w:type="spellStart"/>
      <w:r w:rsidRPr="00C54A03">
        <w:rPr>
          <w:color w:val="000000" w:themeColor="text1"/>
          <w:sz w:val="24"/>
          <w:szCs w:val="24"/>
          <w:lang w:val="fr-FR"/>
        </w:rPr>
        <w:t>formatul</w:t>
      </w:r>
      <w:proofErr w:type="spellEnd"/>
      <w:r w:rsidRPr="00C54A03">
        <w:rPr>
          <w:color w:val="000000" w:themeColor="text1"/>
          <w:spacing w:val="7"/>
          <w:sz w:val="24"/>
          <w:szCs w:val="24"/>
          <w:lang w:val="fr-FR"/>
        </w:rPr>
        <w:t xml:space="preserve"> </w:t>
      </w:r>
      <w:r w:rsidRPr="00C54A03">
        <w:rPr>
          <w:color w:val="000000" w:themeColor="text1"/>
          <w:sz w:val="24"/>
          <w:szCs w:val="24"/>
          <w:lang w:val="fr-FR"/>
        </w:rPr>
        <w:t>de</w:t>
      </w:r>
      <w:r w:rsidRPr="00C54A03">
        <w:rPr>
          <w:color w:val="000000" w:themeColor="text1"/>
          <w:spacing w:val="4"/>
          <w:sz w:val="24"/>
          <w:szCs w:val="24"/>
          <w:lang w:val="fr-FR"/>
        </w:rPr>
        <w:t xml:space="preserve"> </w:t>
      </w:r>
      <w:proofErr w:type="spellStart"/>
      <w:r w:rsidRPr="00C54A03">
        <w:rPr>
          <w:color w:val="000000" w:themeColor="text1"/>
          <w:sz w:val="24"/>
          <w:szCs w:val="24"/>
          <w:lang w:val="fr-FR"/>
        </w:rPr>
        <w:t>raportare</w:t>
      </w:r>
      <w:proofErr w:type="spellEnd"/>
      <w:r w:rsidRPr="00C54A03">
        <w:rPr>
          <w:color w:val="000000" w:themeColor="text1"/>
          <w:spacing w:val="4"/>
          <w:sz w:val="24"/>
          <w:szCs w:val="24"/>
          <w:lang w:val="fr-FR"/>
        </w:rPr>
        <w:t xml:space="preserve"> </w:t>
      </w:r>
      <w:proofErr w:type="spellStart"/>
      <w:r w:rsidRPr="00C54A03">
        <w:rPr>
          <w:color w:val="000000" w:themeColor="text1"/>
          <w:sz w:val="24"/>
          <w:szCs w:val="24"/>
          <w:lang w:val="fr-FR"/>
        </w:rPr>
        <w:t>pornind</w:t>
      </w:r>
      <w:proofErr w:type="spellEnd"/>
      <w:r w:rsidRPr="00C54A03">
        <w:rPr>
          <w:color w:val="000000" w:themeColor="text1"/>
          <w:spacing w:val="4"/>
          <w:sz w:val="24"/>
          <w:szCs w:val="24"/>
          <w:lang w:val="fr-FR"/>
        </w:rPr>
        <w:t xml:space="preserve"> </w:t>
      </w:r>
      <w:r w:rsidRPr="00C54A03">
        <w:rPr>
          <w:color w:val="000000" w:themeColor="text1"/>
          <w:sz w:val="24"/>
          <w:szCs w:val="24"/>
          <w:lang w:val="fr-FR"/>
        </w:rPr>
        <w:t>de</w:t>
      </w:r>
      <w:r w:rsidRPr="00C54A03">
        <w:rPr>
          <w:color w:val="000000" w:themeColor="text1"/>
          <w:spacing w:val="-57"/>
          <w:sz w:val="24"/>
          <w:szCs w:val="24"/>
          <w:lang w:val="fr-FR"/>
        </w:rPr>
        <w:t xml:space="preserve"> </w:t>
      </w:r>
      <w:r w:rsidRPr="00C54A03">
        <w:rPr>
          <w:color w:val="000000" w:themeColor="text1"/>
          <w:sz w:val="24"/>
          <w:szCs w:val="24"/>
          <w:lang w:val="fr-FR"/>
        </w:rPr>
        <w:t xml:space="preserve">la </w:t>
      </w:r>
      <w:proofErr w:type="spellStart"/>
      <w:r w:rsidRPr="00C54A03">
        <w:rPr>
          <w:color w:val="000000" w:themeColor="text1"/>
          <w:sz w:val="24"/>
          <w:szCs w:val="24"/>
          <w:lang w:val="fr-FR"/>
        </w:rPr>
        <w:t>ploturile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evaluate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și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estimate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sintetizându</w:t>
      </w:r>
      <w:proofErr w:type="spellEnd"/>
      <w:r w:rsidRPr="00C54A03">
        <w:rPr>
          <w:color w:val="000000" w:themeColor="text1"/>
          <w:sz w:val="24"/>
          <w:szCs w:val="24"/>
          <w:lang w:val="fr-FR"/>
        </w:rPr>
        <w:t xml:space="preserve">-se la </w:t>
      </w:r>
      <w:proofErr w:type="spellStart"/>
      <w:r w:rsidRPr="00C54A03">
        <w:rPr>
          <w:color w:val="000000" w:themeColor="text1"/>
          <w:sz w:val="24"/>
          <w:szCs w:val="24"/>
          <w:lang w:val="fr-FR"/>
        </w:rPr>
        <w:t>nivel</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bioregiune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și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respectiv</w:t>
      </w:r>
      <w:proofErr w:type="spellEnd"/>
      <w:r w:rsidRPr="00C54A03">
        <w:rPr>
          <w:color w:val="000000" w:themeColor="text1"/>
          <w:sz w:val="24"/>
          <w:szCs w:val="24"/>
          <w:lang w:val="fr-FR"/>
        </w:rPr>
        <w:t xml:space="preserve"> la </w:t>
      </w:r>
      <w:proofErr w:type="spellStart"/>
      <w:r w:rsidRPr="00C54A03">
        <w:rPr>
          <w:color w:val="000000" w:themeColor="text1"/>
          <w:sz w:val="24"/>
          <w:szCs w:val="24"/>
          <w:lang w:val="fr-FR"/>
        </w:rPr>
        <w:t>nivel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național</w:t>
      </w:r>
      <w:proofErr w:type="spellEnd"/>
      <w:r w:rsidRPr="00C54A03">
        <w:rPr>
          <w:color w:val="000000" w:themeColor="text1"/>
          <w:sz w:val="24"/>
          <w:szCs w:val="24"/>
          <w:lang w:val="fr-FR"/>
        </w:rPr>
        <w:t>.</w:t>
      </w:r>
      <w:r w:rsidRPr="00C54A03">
        <w:rPr>
          <w:color w:val="000000" w:themeColor="text1"/>
          <w:spacing w:val="-57"/>
          <w:sz w:val="24"/>
          <w:szCs w:val="24"/>
          <w:lang w:val="fr-FR"/>
        </w:rPr>
        <w:t xml:space="preserve"> </w:t>
      </w:r>
      <w:proofErr w:type="spellStart"/>
      <w:r w:rsidRPr="00C54A03">
        <w:rPr>
          <w:color w:val="000000" w:themeColor="text1"/>
          <w:sz w:val="24"/>
          <w:szCs w:val="24"/>
          <w:lang w:val="fr-FR"/>
        </w:rPr>
        <w:t>Agregarea</w:t>
      </w:r>
      <w:proofErr w:type="spellEnd"/>
      <w:r w:rsidRPr="00C54A03">
        <w:rPr>
          <w:color w:val="000000" w:themeColor="text1"/>
          <w:sz w:val="24"/>
          <w:szCs w:val="24"/>
          <w:lang w:val="fr-FR"/>
        </w:rPr>
        <w:t xml:space="preserve"> non-</w:t>
      </w:r>
      <w:proofErr w:type="spellStart"/>
      <w:r w:rsidRPr="00C54A03">
        <w:rPr>
          <w:color w:val="000000" w:themeColor="text1"/>
          <w:sz w:val="24"/>
          <w:szCs w:val="24"/>
          <w:lang w:val="fr-FR"/>
        </w:rPr>
        <w:t>spațială</w:t>
      </w:r>
      <w:proofErr w:type="spellEnd"/>
      <w:r w:rsidRPr="00C54A03">
        <w:rPr>
          <w:color w:val="000000" w:themeColor="text1"/>
          <w:sz w:val="24"/>
          <w:szCs w:val="24"/>
          <w:lang w:val="fr-FR"/>
        </w:rPr>
        <w:t xml:space="preserve"> care </w:t>
      </w:r>
      <w:proofErr w:type="spellStart"/>
      <w:r w:rsidRPr="00C54A03">
        <w:rPr>
          <w:color w:val="000000" w:themeColor="text1"/>
          <w:sz w:val="24"/>
          <w:szCs w:val="24"/>
          <w:lang w:val="fr-FR"/>
        </w:rPr>
        <w:t>presupune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generarea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fișierelor</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specifice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conformitate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formatul</w:t>
      </w:r>
      <w:proofErr w:type="spellEnd"/>
      <w:r w:rsidRPr="00C54A03">
        <w:rPr>
          <w:color w:val="000000" w:themeColor="text1"/>
          <w:sz w:val="24"/>
          <w:szCs w:val="24"/>
          <w:lang w:val="fr-FR"/>
        </w:rPr>
        <w:t xml:space="preserve"> de</w:t>
      </w:r>
      <w:r w:rsidRPr="00C54A03">
        <w:rPr>
          <w:color w:val="000000" w:themeColor="text1"/>
          <w:spacing w:val="-57"/>
          <w:sz w:val="24"/>
          <w:szCs w:val="24"/>
          <w:lang w:val="fr-FR"/>
        </w:rPr>
        <w:t xml:space="preserve"> </w:t>
      </w:r>
      <w:proofErr w:type="spellStart"/>
      <w:r w:rsidRPr="00C54A03">
        <w:rPr>
          <w:color w:val="000000" w:themeColor="text1"/>
          <w:sz w:val="24"/>
          <w:szCs w:val="24"/>
          <w:lang w:val="fr-FR"/>
        </w:rPr>
        <w:t>raportare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pornind</w:t>
      </w:r>
      <w:proofErr w:type="spellEnd"/>
      <w:r w:rsidRPr="00C54A03">
        <w:rPr>
          <w:color w:val="000000" w:themeColor="text1"/>
          <w:sz w:val="24"/>
          <w:szCs w:val="24"/>
          <w:lang w:val="fr-FR"/>
        </w:rPr>
        <w:t xml:space="preserve"> de la </w:t>
      </w:r>
      <w:proofErr w:type="spellStart"/>
      <w:r w:rsidRPr="00C54A03">
        <w:rPr>
          <w:color w:val="000000" w:themeColor="text1"/>
          <w:sz w:val="24"/>
          <w:szCs w:val="24"/>
          <w:lang w:val="fr-FR"/>
        </w:rPr>
        <w:t>datele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agregate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primar</w:t>
      </w:r>
      <w:proofErr w:type="spellEnd"/>
      <w:r w:rsidRPr="00C54A03">
        <w:rPr>
          <w:color w:val="000000" w:themeColor="text1"/>
          <w:sz w:val="24"/>
          <w:szCs w:val="24"/>
          <w:lang w:val="fr-FR"/>
        </w:rPr>
        <w:t xml:space="preserve">, prima </w:t>
      </w:r>
      <w:proofErr w:type="spellStart"/>
      <w:r w:rsidRPr="00C54A03">
        <w:rPr>
          <w:color w:val="000000" w:themeColor="text1"/>
          <w:sz w:val="24"/>
          <w:szCs w:val="24"/>
          <w:lang w:val="fr-FR"/>
        </w:rPr>
        <w:t>agregare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fiind</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prezentată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subcapitolul</w:t>
      </w:r>
      <w:proofErr w:type="spellEnd"/>
      <w:r w:rsidRPr="00C54A03">
        <w:rPr>
          <w:color w:val="000000" w:themeColor="text1"/>
          <w:sz w:val="24"/>
          <w:szCs w:val="24"/>
          <w:lang w:val="fr-FR"/>
        </w:rPr>
        <w:t xml:space="preserve"> 4.1.</w:t>
      </w:r>
      <w:r w:rsidRPr="00C54A03">
        <w:rPr>
          <w:color w:val="000000" w:themeColor="text1"/>
          <w:spacing w:val="1"/>
          <w:sz w:val="24"/>
          <w:szCs w:val="24"/>
          <w:lang w:val="fr-FR"/>
        </w:rPr>
        <w:t xml:space="preserve"> </w:t>
      </w:r>
      <w:r w:rsidRPr="00C54A03">
        <w:rPr>
          <w:color w:val="000000" w:themeColor="text1"/>
          <w:sz w:val="24"/>
          <w:szCs w:val="24"/>
          <w:lang w:val="fr-FR"/>
        </w:rPr>
        <w:t>Al</w:t>
      </w:r>
      <w:r w:rsidRPr="00C54A03">
        <w:rPr>
          <w:color w:val="000000" w:themeColor="text1"/>
          <w:spacing w:val="37"/>
          <w:sz w:val="24"/>
          <w:szCs w:val="24"/>
          <w:lang w:val="fr-FR"/>
        </w:rPr>
        <w:t xml:space="preserve"> </w:t>
      </w:r>
      <w:proofErr w:type="spellStart"/>
      <w:r w:rsidRPr="00C54A03">
        <w:rPr>
          <w:color w:val="000000" w:themeColor="text1"/>
          <w:sz w:val="24"/>
          <w:szCs w:val="24"/>
          <w:lang w:val="fr-FR"/>
        </w:rPr>
        <w:t>doilea</w:t>
      </w:r>
      <w:proofErr w:type="spellEnd"/>
      <w:r w:rsidRPr="00C54A03">
        <w:rPr>
          <w:color w:val="000000" w:themeColor="text1"/>
          <w:spacing w:val="36"/>
          <w:sz w:val="24"/>
          <w:szCs w:val="24"/>
          <w:lang w:val="fr-FR"/>
        </w:rPr>
        <w:t xml:space="preserve"> </w:t>
      </w:r>
      <w:proofErr w:type="spellStart"/>
      <w:r w:rsidRPr="00C54A03">
        <w:rPr>
          <w:color w:val="000000" w:themeColor="text1"/>
          <w:sz w:val="24"/>
          <w:szCs w:val="24"/>
          <w:lang w:val="fr-FR"/>
        </w:rPr>
        <w:t>nivel</w:t>
      </w:r>
      <w:proofErr w:type="spellEnd"/>
      <w:r w:rsidRPr="00C54A03">
        <w:rPr>
          <w:color w:val="000000" w:themeColor="text1"/>
          <w:spacing w:val="37"/>
          <w:sz w:val="24"/>
          <w:szCs w:val="24"/>
          <w:lang w:val="fr-FR"/>
        </w:rPr>
        <w:t xml:space="preserve"> </w:t>
      </w:r>
      <w:r w:rsidRPr="00C54A03">
        <w:rPr>
          <w:color w:val="000000" w:themeColor="text1"/>
          <w:sz w:val="24"/>
          <w:szCs w:val="24"/>
          <w:lang w:val="fr-FR"/>
        </w:rPr>
        <w:t>de</w:t>
      </w:r>
      <w:r w:rsidRPr="00C54A03">
        <w:rPr>
          <w:color w:val="000000" w:themeColor="text1"/>
          <w:spacing w:val="36"/>
          <w:sz w:val="24"/>
          <w:szCs w:val="24"/>
          <w:lang w:val="fr-FR"/>
        </w:rPr>
        <w:t xml:space="preserve"> </w:t>
      </w:r>
      <w:proofErr w:type="spellStart"/>
      <w:r w:rsidRPr="00C54A03">
        <w:rPr>
          <w:color w:val="000000" w:themeColor="text1"/>
          <w:sz w:val="24"/>
          <w:szCs w:val="24"/>
          <w:lang w:val="fr-FR"/>
        </w:rPr>
        <w:t>agregare</w:t>
      </w:r>
      <w:proofErr w:type="spellEnd"/>
      <w:r w:rsidRPr="00C54A03">
        <w:rPr>
          <w:color w:val="000000" w:themeColor="text1"/>
          <w:spacing w:val="35"/>
          <w:sz w:val="24"/>
          <w:szCs w:val="24"/>
          <w:lang w:val="fr-FR"/>
        </w:rPr>
        <w:t xml:space="preserve"> </w:t>
      </w:r>
      <w:r w:rsidRPr="00C54A03">
        <w:rPr>
          <w:color w:val="000000" w:themeColor="text1"/>
          <w:sz w:val="24"/>
          <w:szCs w:val="24"/>
          <w:lang w:val="fr-FR"/>
        </w:rPr>
        <w:t>este</w:t>
      </w:r>
      <w:r w:rsidRPr="00C54A03">
        <w:rPr>
          <w:color w:val="000000" w:themeColor="text1"/>
          <w:spacing w:val="37"/>
          <w:sz w:val="24"/>
          <w:szCs w:val="24"/>
          <w:lang w:val="fr-FR"/>
        </w:rPr>
        <w:t xml:space="preserve"> </w:t>
      </w:r>
      <w:r w:rsidRPr="00C54A03">
        <w:rPr>
          <w:color w:val="000000" w:themeColor="text1"/>
          <w:sz w:val="24"/>
          <w:szCs w:val="24"/>
          <w:lang w:val="fr-FR"/>
        </w:rPr>
        <w:t>al</w:t>
      </w:r>
      <w:r w:rsidRPr="00C54A03">
        <w:rPr>
          <w:color w:val="000000" w:themeColor="text1"/>
          <w:spacing w:val="37"/>
          <w:sz w:val="24"/>
          <w:szCs w:val="24"/>
          <w:lang w:val="fr-FR"/>
        </w:rPr>
        <w:t xml:space="preserve"> </w:t>
      </w:r>
      <w:proofErr w:type="spellStart"/>
      <w:r w:rsidRPr="00C54A03">
        <w:rPr>
          <w:color w:val="000000" w:themeColor="text1"/>
          <w:sz w:val="24"/>
          <w:szCs w:val="24"/>
          <w:lang w:val="fr-FR"/>
        </w:rPr>
        <w:t>atributelor</w:t>
      </w:r>
      <w:proofErr w:type="spellEnd"/>
      <w:r w:rsidRPr="00C54A03">
        <w:rPr>
          <w:color w:val="000000" w:themeColor="text1"/>
          <w:spacing w:val="41"/>
          <w:sz w:val="24"/>
          <w:szCs w:val="24"/>
          <w:lang w:val="fr-FR"/>
        </w:rPr>
        <w:t xml:space="preserve"> </w:t>
      </w:r>
      <w:proofErr w:type="spellStart"/>
      <w:r w:rsidRPr="00C54A03">
        <w:rPr>
          <w:color w:val="000000" w:themeColor="text1"/>
          <w:sz w:val="24"/>
          <w:szCs w:val="24"/>
          <w:lang w:val="fr-FR"/>
        </w:rPr>
        <w:t>specifice</w:t>
      </w:r>
      <w:proofErr w:type="spellEnd"/>
      <w:r w:rsidRPr="00C54A03">
        <w:rPr>
          <w:color w:val="000000" w:themeColor="text1"/>
          <w:spacing w:val="35"/>
          <w:sz w:val="24"/>
          <w:szCs w:val="24"/>
          <w:lang w:val="fr-FR"/>
        </w:rPr>
        <w:t xml:space="preserve"> </w:t>
      </w:r>
      <w:proofErr w:type="spellStart"/>
      <w:r w:rsidRPr="00C54A03">
        <w:rPr>
          <w:color w:val="000000" w:themeColor="text1"/>
          <w:sz w:val="24"/>
          <w:szCs w:val="24"/>
          <w:lang w:val="fr-FR"/>
        </w:rPr>
        <w:t>habitatelor</w:t>
      </w:r>
      <w:proofErr w:type="spellEnd"/>
      <w:r w:rsidRPr="00C54A03">
        <w:rPr>
          <w:color w:val="000000" w:themeColor="text1"/>
          <w:spacing w:val="36"/>
          <w:sz w:val="24"/>
          <w:szCs w:val="24"/>
          <w:lang w:val="fr-FR"/>
        </w:rPr>
        <w:t xml:space="preserve"> </w:t>
      </w:r>
      <w:proofErr w:type="spellStart"/>
      <w:r w:rsidRPr="00C54A03">
        <w:rPr>
          <w:color w:val="000000" w:themeColor="text1"/>
          <w:sz w:val="24"/>
          <w:szCs w:val="24"/>
          <w:lang w:val="fr-FR"/>
        </w:rPr>
        <w:t>țintă</w:t>
      </w:r>
      <w:proofErr w:type="spellEnd"/>
      <w:r w:rsidRPr="00C54A03">
        <w:rPr>
          <w:color w:val="000000" w:themeColor="text1"/>
          <w:spacing w:val="37"/>
          <w:sz w:val="24"/>
          <w:szCs w:val="24"/>
          <w:lang w:val="fr-FR"/>
        </w:rPr>
        <w:t xml:space="preserve"> </w:t>
      </w:r>
      <w:r w:rsidRPr="00C54A03">
        <w:rPr>
          <w:color w:val="000000" w:themeColor="text1"/>
          <w:sz w:val="24"/>
          <w:szCs w:val="24"/>
          <w:lang w:val="fr-FR"/>
        </w:rPr>
        <w:t>la</w:t>
      </w:r>
      <w:r w:rsidRPr="00C54A03">
        <w:rPr>
          <w:color w:val="000000" w:themeColor="text1"/>
          <w:spacing w:val="38"/>
          <w:sz w:val="24"/>
          <w:szCs w:val="24"/>
          <w:lang w:val="fr-FR"/>
        </w:rPr>
        <w:t xml:space="preserve"> </w:t>
      </w:r>
      <w:proofErr w:type="spellStart"/>
      <w:r w:rsidRPr="00C54A03">
        <w:rPr>
          <w:color w:val="000000" w:themeColor="text1"/>
          <w:sz w:val="24"/>
          <w:szCs w:val="24"/>
          <w:lang w:val="fr-FR"/>
        </w:rPr>
        <w:t>nivel</w:t>
      </w:r>
      <w:proofErr w:type="spellEnd"/>
      <w:r w:rsidRPr="00C54A03">
        <w:rPr>
          <w:color w:val="000000" w:themeColor="text1"/>
          <w:spacing w:val="37"/>
          <w:sz w:val="24"/>
          <w:szCs w:val="24"/>
          <w:lang w:val="fr-FR"/>
        </w:rPr>
        <w:t xml:space="preserve"> </w:t>
      </w:r>
      <w:r w:rsidRPr="00C54A03">
        <w:rPr>
          <w:color w:val="000000" w:themeColor="text1"/>
          <w:sz w:val="24"/>
          <w:szCs w:val="24"/>
          <w:lang w:val="fr-FR"/>
        </w:rPr>
        <w:t>de</w:t>
      </w:r>
      <w:r w:rsidRPr="00C54A03">
        <w:rPr>
          <w:color w:val="000000" w:themeColor="text1"/>
          <w:spacing w:val="36"/>
          <w:sz w:val="24"/>
          <w:szCs w:val="24"/>
          <w:lang w:val="fr-FR"/>
        </w:rPr>
        <w:t xml:space="preserve"> </w:t>
      </w:r>
      <w:r w:rsidRPr="00C54A03">
        <w:rPr>
          <w:color w:val="000000" w:themeColor="text1"/>
          <w:sz w:val="24"/>
          <w:szCs w:val="24"/>
          <w:lang w:val="fr-FR"/>
        </w:rPr>
        <w:t>plot</w:t>
      </w:r>
      <w:r w:rsidRPr="00C54A03">
        <w:rPr>
          <w:color w:val="000000" w:themeColor="text1"/>
          <w:spacing w:val="37"/>
          <w:sz w:val="24"/>
          <w:szCs w:val="24"/>
          <w:lang w:val="fr-FR"/>
        </w:rPr>
        <w:t xml:space="preserve"> </w:t>
      </w:r>
      <w:r w:rsidRPr="00C54A03">
        <w:rPr>
          <w:color w:val="000000" w:themeColor="text1"/>
          <w:sz w:val="24"/>
          <w:szCs w:val="24"/>
          <w:lang w:val="fr-FR"/>
        </w:rPr>
        <w:t>ce</w:t>
      </w:r>
      <w:r w:rsidRPr="00C54A03">
        <w:rPr>
          <w:color w:val="000000" w:themeColor="text1"/>
          <w:spacing w:val="37"/>
          <w:sz w:val="24"/>
          <w:szCs w:val="24"/>
          <w:lang w:val="fr-FR"/>
        </w:rPr>
        <w:t xml:space="preserve"> </w:t>
      </w:r>
      <w:proofErr w:type="spellStart"/>
      <w:r w:rsidRPr="00C54A03">
        <w:rPr>
          <w:color w:val="000000" w:themeColor="text1"/>
          <w:sz w:val="24"/>
          <w:szCs w:val="24"/>
          <w:lang w:val="fr-FR"/>
        </w:rPr>
        <w:t>sunt</w:t>
      </w:r>
      <w:proofErr w:type="spellEnd"/>
      <w:r w:rsidRPr="00C54A03">
        <w:rPr>
          <w:color w:val="000000" w:themeColor="text1"/>
          <w:spacing w:val="-57"/>
          <w:sz w:val="24"/>
          <w:szCs w:val="24"/>
          <w:lang w:val="fr-FR"/>
        </w:rPr>
        <w:t xml:space="preserve"> </w:t>
      </w:r>
      <w:proofErr w:type="spellStart"/>
      <w:r w:rsidRPr="00C54A03">
        <w:rPr>
          <w:color w:val="000000" w:themeColor="text1"/>
          <w:sz w:val="24"/>
          <w:szCs w:val="24"/>
          <w:lang w:val="fr-FR"/>
        </w:rPr>
        <w:t>ulterior</w:t>
      </w:r>
      <w:proofErr w:type="spellEnd"/>
      <w:r w:rsidRPr="00C54A03">
        <w:rPr>
          <w:color w:val="000000" w:themeColor="text1"/>
          <w:spacing w:val="-2"/>
          <w:sz w:val="24"/>
          <w:szCs w:val="24"/>
          <w:lang w:val="fr-FR"/>
        </w:rPr>
        <w:t xml:space="preserve"> </w:t>
      </w:r>
      <w:proofErr w:type="spellStart"/>
      <w:r w:rsidRPr="00C54A03">
        <w:rPr>
          <w:color w:val="000000" w:themeColor="text1"/>
          <w:sz w:val="24"/>
          <w:szCs w:val="24"/>
          <w:lang w:val="fr-FR"/>
        </w:rPr>
        <w:t>corelate</w:t>
      </w:r>
      <w:proofErr w:type="spellEnd"/>
      <w:r w:rsidRPr="00C54A03">
        <w:rPr>
          <w:color w:val="000000" w:themeColor="text1"/>
          <w:sz w:val="24"/>
          <w:szCs w:val="24"/>
          <w:lang w:val="fr-FR"/>
        </w:rPr>
        <w:t xml:space="preserve"> la</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nivel</w:t>
      </w:r>
      <w:proofErr w:type="spellEnd"/>
      <w:r w:rsidRPr="00C54A03">
        <w:rPr>
          <w:color w:val="000000" w:themeColor="text1"/>
          <w:spacing w:val="2"/>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bioregiune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vederea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raportării</w:t>
      </w:r>
      <w:proofErr w:type="spellEnd"/>
      <w:r w:rsidRPr="00C54A03">
        <w:rPr>
          <w:color w:val="000000" w:themeColor="text1"/>
          <w:sz w:val="24"/>
          <w:szCs w:val="24"/>
          <w:lang w:val="fr-FR"/>
        </w:rPr>
        <w:t>.</w:t>
      </w:r>
    </w:p>
    <w:p w14:paraId="1DEB947E" w14:textId="77777777" w:rsidR="007702CD" w:rsidRPr="00C54A03" w:rsidRDefault="007702CD" w:rsidP="00D97209">
      <w:pPr>
        <w:pStyle w:val="BodyText"/>
        <w:spacing w:before="1"/>
        <w:ind w:left="0" w:right="249"/>
        <w:jc w:val="both"/>
        <w:rPr>
          <w:color w:val="000000" w:themeColor="text1"/>
          <w:sz w:val="24"/>
          <w:szCs w:val="24"/>
          <w:lang w:val="fr-FR"/>
        </w:rPr>
      </w:pPr>
      <w:proofErr w:type="spellStart"/>
      <w:r w:rsidRPr="00C54A03">
        <w:rPr>
          <w:color w:val="000000" w:themeColor="text1"/>
          <w:sz w:val="24"/>
          <w:szCs w:val="24"/>
          <w:lang w:val="fr-FR"/>
        </w:rPr>
        <w:t>Informațiile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din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gridurile</w:t>
      </w:r>
      <w:proofErr w:type="spellEnd"/>
      <w:r w:rsidRPr="00C54A03">
        <w:rPr>
          <w:color w:val="000000" w:themeColor="text1"/>
          <w:sz w:val="24"/>
          <w:szCs w:val="24"/>
          <w:lang w:val="fr-FR"/>
        </w:rPr>
        <w:t xml:space="preserve"> de 10 x 10 km (</w:t>
      </w:r>
      <w:proofErr w:type="spellStart"/>
      <w:r w:rsidRPr="00C54A03">
        <w:rPr>
          <w:color w:val="000000" w:themeColor="text1"/>
          <w:sz w:val="24"/>
          <w:szCs w:val="24"/>
          <w:lang w:val="fr-FR"/>
        </w:rPr>
        <w:t>ploturi</w:t>
      </w:r>
      <w:proofErr w:type="spellEnd"/>
      <w:r w:rsidRPr="00C54A03">
        <w:rPr>
          <w:color w:val="000000" w:themeColor="text1"/>
          <w:sz w:val="24"/>
          <w:szCs w:val="24"/>
          <w:lang w:val="fr-FR"/>
        </w:rPr>
        <w:t xml:space="preserve">) la </w:t>
      </w:r>
      <w:proofErr w:type="spellStart"/>
      <w:r w:rsidRPr="00C54A03">
        <w:rPr>
          <w:color w:val="000000" w:themeColor="text1"/>
          <w:sz w:val="24"/>
          <w:szCs w:val="24"/>
          <w:lang w:val="fr-FR"/>
        </w:rPr>
        <w:t>nivel</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bioregiune</w:t>
      </w:r>
      <w:proofErr w:type="spellEnd"/>
      <w:r w:rsidRPr="00C54A03">
        <w:rPr>
          <w:color w:val="000000" w:themeColor="text1"/>
          <w:sz w:val="24"/>
          <w:szCs w:val="24"/>
          <w:lang w:val="fr-FR"/>
        </w:rPr>
        <w:t xml:space="preserve"> se </w:t>
      </w:r>
      <w:proofErr w:type="spellStart"/>
      <w:r w:rsidRPr="00C54A03">
        <w:rPr>
          <w:color w:val="000000" w:themeColor="text1"/>
          <w:sz w:val="24"/>
          <w:szCs w:val="24"/>
          <w:lang w:val="fr-FR"/>
        </w:rPr>
        <w:t>mediază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pentru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fiecare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categorie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dintre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parametrii</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stare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utilizându</w:t>
      </w:r>
      <w:proofErr w:type="spellEnd"/>
      <w:r w:rsidRPr="00C54A03">
        <w:rPr>
          <w:color w:val="000000" w:themeColor="text1"/>
          <w:sz w:val="24"/>
          <w:szCs w:val="24"/>
          <w:lang w:val="fr-FR"/>
        </w:rPr>
        <w:t xml:space="preserve">-se o </w:t>
      </w:r>
      <w:proofErr w:type="spellStart"/>
      <w:r w:rsidRPr="00C54A03">
        <w:rPr>
          <w:color w:val="000000" w:themeColor="text1"/>
          <w:sz w:val="24"/>
          <w:szCs w:val="24"/>
          <w:lang w:val="fr-FR"/>
        </w:rPr>
        <w:t>medie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ponderată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pentru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asumarea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deciziei</w:t>
      </w:r>
      <w:proofErr w:type="spellEnd"/>
      <w:r w:rsidRPr="00C54A03">
        <w:rPr>
          <w:color w:val="000000" w:themeColor="text1"/>
          <w:sz w:val="24"/>
          <w:szCs w:val="24"/>
          <w:lang w:val="fr-FR"/>
        </w:rPr>
        <w:t xml:space="preserve"> finale.</w:t>
      </w:r>
      <w:r w:rsidRPr="00C54A03">
        <w:rPr>
          <w:color w:val="000000" w:themeColor="text1"/>
          <w:spacing w:val="-57"/>
          <w:sz w:val="24"/>
          <w:szCs w:val="24"/>
          <w:lang w:val="fr-FR"/>
        </w:rPr>
        <w:t xml:space="preserve"> </w:t>
      </w:r>
      <w:proofErr w:type="spellStart"/>
      <w:r w:rsidRPr="00C54A03">
        <w:rPr>
          <w:color w:val="000000" w:themeColor="text1"/>
          <w:sz w:val="24"/>
          <w:szCs w:val="24"/>
          <w:lang w:val="fr-FR"/>
        </w:rPr>
        <w:t>Spre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exemplificare</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compoziția</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specifică</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ceea</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ce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reprezintă</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unul</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dintre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parametrii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esențiali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57"/>
          <w:sz w:val="24"/>
          <w:szCs w:val="24"/>
          <w:lang w:val="fr-FR"/>
        </w:rPr>
        <w:t xml:space="preserve"> </w:t>
      </w:r>
      <w:proofErr w:type="spellStart"/>
      <w:r w:rsidRPr="00C54A03">
        <w:rPr>
          <w:color w:val="000000" w:themeColor="text1"/>
          <w:sz w:val="24"/>
          <w:szCs w:val="24"/>
          <w:lang w:val="fr-FR"/>
        </w:rPr>
        <w:t>evaluarea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structurii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habitatelor</w:t>
      </w:r>
      <w:proofErr w:type="spellEnd"/>
      <w:r w:rsidRPr="00C54A03">
        <w:rPr>
          <w:color w:val="000000" w:themeColor="text1"/>
          <w:sz w:val="24"/>
          <w:szCs w:val="24"/>
          <w:lang w:val="fr-FR"/>
        </w:rPr>
        <w:t xml:space="preserve"> va </w:t>
      </w:r>
      <w:proofErr w:type="spellStart"/>
      <w:r w:rsidRPr="00C54A03">
        <w:rPr>
          <w:color w:val="000000" w:themeColor="text1"/>
          <w:sz w:val="24"/>
          <w:szCs w:val="24"/>
          <w:lang w:val="fr-FR"/>
        </w:rPr>
        <w:t>avea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valori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diferite</w:t>
      </w:r>
      <w:proofErr w:type="spellEnd"/>
      <w:r w:rsidRPr="00C54A03">
        <w:rPr>
          <w:color w:val="000000" w:themeColor="text1"/>
          <w:sz w:val="24"/>
          <w:szCs w:val="24"/>
          <w:lang w:val="fr-FR"/>
        </w:rPr>
        <w:t xml:space="preserve"> de la un plot la </w:t>
      </w:r>
      <w:proofErr w:type="spellStart"/>
      <w:r w:rsidRPr="00C54A03">
        <w:rPr>
          <w:color w:val="000000" w:themeColor="text1"/>
          <w:sz w:val="24"/>
          <w:szCs w:val="24"/>
          <w:lang w:val="fr-FR"/>
        </w:rPr>
        <w:t>altul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ceea</w:t>
      </w:r>
      <w:proofErr w:type="spellEnd"/>
      <w:r w:rsidRPr="00C54A03">
        <w:rPr>
          <w:color w:val="000000" w:themeColor="text1"/>
          <w:sz w:val="24"/>
          <w:szCs w:val="24"/>
          <w:lang w:val="fr-FR"/>
        </w:rPr>
        <w:t xml:space="preserve"> ce </w:t>
      </w:r>
      <w:proofErr w:type="spellStart"/>
      <w:r w:rsidRPr="00C54A03">
        <w:rPr>
          <w:color w:val="000000" w:themeColor="text1"/>
          <w:sz w:val="24"/>
          <w:szCs w:val="24"/>
          <w:lang w:val="fr-FR"/>
        </w:rPr>
        <w:t>impune</w:t>
      </w:r>
      <w:proofErr w:type="spellEnd"/>
      <w:r w:rsidRPr="00C54A03">
        <w:rPr>
          <w:color w:val="000000" w:themeColor="text1"/>
          <w:sz w:val="24"/>
          <w:szCs w:val="24"/>
          <w:lang w:val="fr-FR"/>
        </w:rPr>
        <w:t xml:space="preserve"> ca </w:t>
      </w:r>
      <w:proofErr w:type="spellStart"/>
      <w:r w:rsidRPr="00C54A03">
        <w:rPr>
          <w:color w:val="000000" w:themeColor="text1"/>
          <w:sz w:val="24"/>
          <w:szCs w:val="24"/>
          <w:lang w:val="fr-FR"/>
        </w:rPr>
        <w:t>din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punct</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vedere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sistematic</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să</w:t>
      </w:r>
      <w:proofErr w:type="spellEnd"/>
      <w:r w:rsidRPr="00C54A03">
        <w:rPr>
          <w:color w:val="000000" w:themeColor="text1"/>
          <w:sz w:val="24"/>
          <w:szCs w:val="24"/>
          <w:lang w:val="fr-FR"/>
        </w:rPr>
        <w:t xml:space="preserve"> fie </w:t>
      </w:r>
      <w:proofErr w:type="spellStart"/>
      <w:r w:rsidRPr="00C54A03">
        <w:rPr>
          <w:color w:val="000000" w:themeColor="text1"/>
          <w:sz w:val="24"/>
          <w:szCs w:val="24"/>
          <w:lang w:val="fr-FR"/>
        </w:rPr>
        <w:t>grupate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pe</w:t>
      </w:r>
      <w:proofErr w:type="spellEnd"/>
      <w:r w:rsidRPr="00C54A03">
        <w:rPr>
          <w:color w:val="000000" w:themeColor="text1"/>
          <w:sz w:val="24"/>
          <w:szCs w:val="24"/>
          <w:lang w:val="fr-FR"/>
        </w:rPr>
        <w:t xml:space="preserve"> clase de </w:t>
      </w:r>
      <w:proofErr w:type="spellStart"/>
      <w:r w:rsidRPr="00C54A03">
        <w:rPr>
          <w:color w:val="000000" w:themeColor="text1"/>
          <w:sz w:val="24"/>
          <w:szCs w:val="24"/>
          <w:lang w:val="fr-FR"/>
        </w:rPr>
        <w:t>bogăție</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specii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diferită</w:t>
      </w:r>
      <w:proofErr w:type="spellEnd"/>
      <w:r w:rsidRPr="00C54A03">
        <w:rPr>
          <w:color w:val="000000" w:themeColor="text1"/>
          <w:sz w:val="24"/>
          <w:szCs w:val="24"/>
          <w:lang w:val="fr-FR"/>
        </w:rPr>
        <w:t xml:space="preserve"> (mare, </w:t>
      </w:r>
      <w:proofErr w:type="spellStart"/>
      <w:r w:rsidRPr="00C54A03">
        <w:rPr>
          <w:color w:val="000000" w:themeColor="text1"/>
          <w:sz w:val="24"/>
          <w:szCs w:val="24"/>
          <w:lang w:val="fr-FR"/>
        </w:rPr>
        <w:t>medie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mică</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ponderea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fiecărei</w:t>
      </w:r>
      <w:proofErr w:type="spellEnd"/>
      <w:r w:rsidRPr="00C54A03">
        <w:rPr>
          <w:color w:val="000000" w:themeColor="text1"/>
          <w:sz w:val="24"/>
          <w:szCs w:val="24"/>
          <w:lang w:val="fr-FR"/>
        </w:rPr>
        <w:t xml:space="preserve"> clase </w:t>
      </w:r>
      <w:proofErr w:type="spellStart"/>
      <w:r w:rsidRPr="00C54A03">
        <w:rPr>
          <w:color w:val="000000" w:themeColor="text1"/>
          <w:sz w:val="24"/>
          <w:szCs w:val="24"/>
          <w:lang w:val="fr-FR"/>
        </w:rPr>
        <w:t>fiind</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cea</w:t>
      </w:r>
      <w:proofErr w:type="spellEnd"/>
      <w:r w:rsidRPr="00C54A03">
        <w:rPr>
          <w:color w:val="000000" w:themeColor="text1"/>
          <w:sz w:val="24"/>
          <w:szCs w:val="24"/>
          <w:lang w:val="fr-FR"/>
        </w:rPr>
        <w:t xml:space="preserve"> care va duce la </w:t>
      </w:r>
      <w:proofErr w:type="spellStart"/>
      <w:r w:rsidRPr="00C54A03">
        <w:rPr>
          <w:color w:val="000000" w:themeColor="text1"/>
          <w:sz w:val="24"/>
          <w:szCs w:val="24"/>
          <w:lang w:val="fr-FR"/>
        </w:rPr>
        <w:t>decizia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specifică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fiecărei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bioregiuni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Astfel</w:t>
      </w:r>
      <w:proofErr w:type="spellEnd"/>
      <w:r w:rsidRPr="00C54A03">
        <w:rPr>
          <w:color w:val="000000" w:themeColor="text1"/>
          <w:sz w:val="24"/>
          <w:szCs w:val="24"/>
          <w:lang w:val="fr-FR"/>
        </w:rPr>
        <w:t>, 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exemplu</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dacă</w:t>
      </w:r>
      <w:proofErr w:type="spellEnd"/>
      <w:r w:rsidRPr="00C54A03">
        <w:rPr>
          <w:color w:val="000000" w:themeColor="text1"/>
          <w:sz w:val="24"/>
          <w:szCs w:val="24"/>
          <w:lang w:val="fr-FR"/>
        </w:rPr>
        <w:t xml:space="preserve"> la </w:t>
      </w:r>
      <w:proofErr w:type="spellStart"/>
      <w:r w:rsidRPr="00C54A03">
        <w:rPr>
          <w:color w:val="000000" w:themeColor="text1"/>
          <w:sz w:val="24"/>
          <w:szCs w:val="24"/>
          <w:lang w:val="fr-FR"/>
        </w:rPr>
        <w:t>habitatul</w:t>
      </w:r>
      <w:proofErr w:type="spellEnd"/>
      <w:r w:rsidRPr="00C54A03">
        <w:rPr>
          <w:color w:val="000000" w:themeColor="text1"/>
          <w:sz w:val="24"/>
          <w:szCs w:val="24"/>
          <w:lang w:val="fr-FR"/>
        </w:rPr>
        <w:t xml:space="preserve"> 8110 </w:t>
      </w:r>
      <w:proofErr w:type="spellStart"/>
      <w:r w:rsidRPr="00C54A03">
        <w:rPr>
          <w:color w:val="000000" w:themeColor="text1"/>
          <w:sz w:val="24"/>
          <w:szCs w:val="24"/>
          <w:lang w:val="fr-FR"/>
        </w:rPr>
        <w:t>vom</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obține</w:t>
      </w:r>
      <w:proofErr w:type="spellEnd"/>
      <w:r w:rsidRPr="00C54A03">
        <w:rPr>
          <w:color w:val="000000" w:themeColor="text1"/>
          <w:sz w:val="24"/>
          <w:szCs w:val="24"/>
          <w:lang w:val="fr-FR"/>
        </w:rPr>
        <w:t xml:space="preserve"> 27 de </w:t>
      </w:r>
      <w:proofErr w:type="spellStart"/>
      <w:r w:rsidRPr="00C54A03">
        <w:rPr>
          <w:color w:val="000000" w:themeColor="text1"/>
          <w:sz w:val="24"/>
          <w:szCs w:val="24"/>
          <w:lang w:val="fr-FR"/>
        </w:rPr>
        <w:t>ploturi</w:t>
      </w:r>
      <w:proofErr w:type="spellEnd"/>
      <w:r w:rsidRPr="00C54A03">
        <w:rPr>
          <w:color w:val="000000" w:themeColor="text1"/>
          <w:sz w:val="24"/>
          <w:szCs w:val="24"/>
          <w:lang w:val="fr-FR"/>
        </w:rPr>
        <w:t xml:space="preserve"> care se </w:t>
      </w:r>
      <w:proofErr w:type="spellStart"/>
      <w:r w:rsidRPr="00C54A03">
        <w:rPr>
          <w:color w:val="000000" w:themeColor="text1"/>
          <w:sz w:val="24"/>
          <w:szCs w:val="24"/>
          <w:lang w:val="fr-FR"/>
        </w:rPr>
        <w:t>încadrează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clasa</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compoziție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specifică</w:t>
      </w:r>
      <w:proofErr w:type="spellEnd"/>
      <w:r w:rsidRPr="00C54A03">
        <w:rPr>
          <w:color w:val="000000" w:themeColor="text1"/>
          <w:sz w:val="24"/>
          <w:szCs w:val="24"/>
          <w:lang w:val="fr-FR"/>
        </w:rPr>
        <w:t xml:space="preserve"> mare (8 </w:t>
      </w:r>
      <w:proofErr w:type="spellStart"/>
      <w:r w:rsidRPr="00C54A03">
        <w:rPr>
          <w:color w:val="000000" w:themeColor="text1"/>
          <w:sz w:val="24"/>
          <w:szCs w:val="24"/>
          <w:lang w:val="fr-FR"/>
        </w:rPr>
        <w:t>specii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caracteristice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iar</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clasa</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compoziție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medie</w:t>
      </w:r>
      <w:proofErr w:type="spellEnd"/>
      <w:r w:rsidRPr="00C54A03">
        <w:rPr>
          <w:color w:val="000000" w:themeColor="text1"/>
          <w:sz w:val="24"/>
          <w:szCs w:val="24"/>
          <w:lang w:val="fr-FR"/>
        </w:rPr>
        <w:t xml:space="preserve"> (5</w:t>
      </w:r>
      <w:r w:rsidRPr="00C54A03">
        <w:rPr>
          <w:color w:val="000000" w:themeColor="text1"/>
          <w:spacing w:val="60"/>
          <w:sz w:val="24"/>
          <w:szCs w:val="24"/>
          <w:lang w:val="fr-FR"/>
        </w:rPr>
        <w:t xml:space="preserve"> </w:t>
      </w:r>
      <w:proofErr w:type="spellStart"/>
      <w:r w:rsidRPr="00C54A03">
        <w:rPr>
          <w:color w:val="000000" w:themeColor="text1"/>
          <w:sz w:val="24"/>
          <w:szCs w:val="24"/>
          <w:lang w:val="fr-FR"/>
        </w:rPr>
        <w:t>specii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caracteristice</w:t>
      </w:r>
      <w:proofErr w:type="spellEnd"/>
      <w:r w:rsidRPr="00C54A03">
        <w:rPr>
          <w:color w:val="000000" w:themeColor="text1"/>
          <w:sz w:val="24"/>
          <w:szCs w:val="24"/>
          <w:lang w:val="fr-FR"/>
        </w:rPr>
        <w:t>)</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vom</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avea</w:t>
      </w:r>
      <w:proofErr w:type="spellEnd"/>
      <w:r w:rsidRPr="00C54A03">
        <w:rPr>
          <w:color w:val="000000" w:themeColor="text1"/>
          <w:sz w:val="24"/>
          <w:szCs w:val="24"/>
          <w:lang w:val="fr-FR"/>
        </w:rPr>
        <w:t xml:space="preserve"> 7</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ploturi</w:t>
      </w:r>
      <w:proofErr w:type="spellEnd"/>
      <w:r w:rsidRPr="00C54A03">
        <w:rPr>
          <w:color w:val="000000" w:themeColor="text1"/>
          <w:sz w:val="24"/>
          <w:szCs w:val="24"/>
          <w:lang w:val="fr-FR"/>
        </w:rPr>
        <w:t xml:space="preserve"> care se </w:t>
      </w:r>
      <w:proofErr w:type="spellStart"/>
      <w:r w:rsidRPr="00C54A03">
        <w:rPr>
          <w:color w:val="000000" w:themeColor="text1"/>
          <w:sz w:val="24"/>
          <w:szCs w:val="24"/>
          <w:lang w:val="fr-FR"/>
        </w:rPr>
        <w:t>încadrează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aceasta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apoi</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clasa</w:t>
      </w:r>
      <w:proofErr w:type="spellEnd"/>
      <w:r w:rsidRPr="00C54A03">
        <w:rPr>
          <w:color w:val="000000" w:themeColor="text1"/>
          <w:sz w:val="24"/>
          <w:szCs w:val="24"/>
          <w:lang w:val="fr-FR"/>
        </w:rPr>
        <w:t xml:space="preserve"> de </w:t>
      </w:r>
      <w:proofErr w:type="spellStart"/>
      <w:r w:rsidRPr="00C54A03">
        <w:rPr>
          <w:color w:val="000000" w:themeColor="text1"/>
          <w:sz w:val="24"/>
          <w:szCs w:val="24"/>
          <w:lang w:val="fr-FR"/>
        </w:rPr>
        <w:t>compoziție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mică</w:t>
      </w:r>
      <w:proofErr w:type="spellEnd"/>
      <w:r w:rsidRPr="00C54A03">
        <w:rPr>
          <w:color w:val="000000" w:themeColor="text1"/>
          <w:sz w:val="24"/>
          <w:szCs w:val="24"/>
          <w:lang w:val="fr-FR"/>
        </w:rPr>
        <w:t xml:space="preserve"> (3 </w:t>
      </w:r>
      <w:proofErr w:type="spellStart"/>
      <w:r w:rsidRPr="00C54A03">
        <w:rPr>
          <w:color w:val="000000" w:themeColor="text1"/>
          <w:sz w:val="24"/>
          <w:szCs w:val="24"/>
          <w:lang w:val="fr-FR"/>
        </w:rPr>
        <w:t>specii</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caracteristice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putem</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deduce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că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raportul</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pe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bioregiunea</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țintă</w:t>
      </w:r>
      <w:proofErr w:type="spellEnd"/>
      <w:r w:rsidRPr="00C54A03">
        <w:rPr>
          <w:color w:val="000000" w:themeColor="text1"/>
          <w:sz w:val="24"/>
          <w:szCs w:val="24"/>
          <w:lang w:val="fr-FR"/>
        </w:rPr>
        <w:t xml:space="preserve"> este </w:t>
      </w:r>
      <w:proofErr w:type="spellStart"/>
      <w:r w:rsidRPr="00C54A03">
        <w:rPr>
          <w:color w:val="000000" w:themeColor="text1"/>
          <w:sz w:val="24"/>
          <w:szCs w:val="24"/>
          <w:lang w:val="fr-FR"/>
        </w:rPr>
        <w:t>considerat</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stare</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favorabilă</w:t>
      </w:r>
      <w:proofErr w:type="spellEnd"/>
      <w:r w:rsidRPr="00C54A03">
        <w:rPr>
          <w:color w:val="000000" w:themeColor="text1"/>
          <w:sz w:val="24"/>
          <w:szCs w:val="24"/>
          <w:lang w:val="fr-FR"/>
        </w:rPr>
        <w:t xml:space="preserve"> </w:t>
      </w:r>
      <w:proofErr w:type="spellStart"/>
      <w:r w:rsidRPr="00C54A03">
        <w:rPr>
          <w:color w:val="000000" w:themeColor="text1"/>
          <w:sz w:val="24"/>
          <w:szCs w:val="24"/>
          <w:lang w:val="fr-FR"/>
        </w:rPr>
        <w:t>în</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ceea</w:t>
      </w:r>
      <w:proofErr w:type="spellEnd"/>
      <w:r w:rsidRPr="00C54A03">
        <w:rPr>
          <w:color w:val="000000" w:themeColor="text1"/>
          <w:spacing w:val="-2"/>
          <w:sz w:val="24"/>
          <w:szCs w:val="24"/>
          <w:lang w:val="fr-FR"/>
        </w:rPr>
        <w:t xml:space="preserve"> </w:t>
      </w:r>
      <w:r w:rsidRPr="00C54A03">
        <w:rPr>
          <w:color w:val="000000" w:themeColor="text1"/>
          <w:sz w:val="24"/>
          <w:szCs w:val="24"/>
          <w:lang w:val="fr-FR"/>
        </w:rPr>
        <w:t>ce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privește</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evaluarea</w:t>
      </w:r>
      <w:proofErr w:type="spellEnd"/>
      <w:r w:rsidRPr="00C54A03">
        <w:rPr>
          <w:color w:val="000000" w:themeColor="text1"/>
          <w:spacing w:val="-1"/>
          <w:sz w:val="24"/>
          <w:szCs w:val="24"/>
          <w:lang w:val="fr-FR"/>
        </w:rPr>
        <w:t xml:space="preserve"> </w:t>
      </w:r>
      <w:proofErr w:type="spellStart"/>
      <w:r w:rsidRPr="00C54A03">
        <w:rPr>
          <w:color w:val="000000" w:themeColor="text1"/>
          <w:sz w:val="24"/>
          <w:szCs w:val="24"/>
          <w:lang w:val="fr-FR"/>
        </w:rPr>
        <w:t>structurii</w:t>
      </w:r>
      <w:proofErr w:type="spellEnd"/>
      <w:r w:rsidRPr="00C54A03">
        <w:rPr>
          <w:color w:val="000000" w:themeColor="text1"/>
          <w:sz w:val="24"/>
          <w:szCs w:val="24"/>
          <w:lang w:val="fr-FR"/>
        </w:rPr>
        <w:t>.</w:t>
      </w:r>
    </w:p>
    <w:p w14:paraId="71AC55E0" w14:textId="77777777" w:rsidR="007702CD" w:rsidRPr="00C54A03" w:rsidRDefault="007702CD" w:rsidP="00D97209">
      <w:pPr>
        <w:pStyle w:val="BodyText"/>
        <w:spacing w:before="1"/>
        <w:ind w:left="0" w:right="258"/>
        <w:jc w:val="both"/>
        <w:rPr>
          <w:color w:val="000000" w:themeColor="text1"/>
          <w:sz w:val="24"/>
          <w:szCs w:val="24"/>
          <w:lang w:val="fr-FR"/>
        </w:rPr>
      </w:pPr>
      <w:r w:rsidRPr="00C54A03">
        <w:rPr>
          <w:color w:val="000000" w:themeColor="text1"/>
          <w:sz w:val="24"/>
          <w:szCs w:val="24"/>
          <w:lang w:val="fr-FR"/>
        </w:rPr>
        <w:t>Al</w:t>
      </w:r>
      <w:r w:rsidRPr="00C54A03">
        <w:rPr>
          <w:color w:val="000000" w:themeColor="text1"/>
          <w:spacing w:val="31"/>
          <w:sz w:val="24"/>
          <w:szCs w:val="24"/>
          <w:lang w:val="fr-FR"/>
        </w:rPr>
        <w:t xml:space="preserve"> </w:t>
      </w:r>
      <w:proofErr w:type="spellStart"/>
      <w:r w:rsidRPr="00C54A03">
        <w:rPr>
          <w:color w:val="000000" w:themeColor="text1"/>
          <w:sz w:val="24"/>
          <w:szCs w:val="24"/>
          <w:lang w:val="fr-FR"/>
        </w:rPr>
        <w:t>treilea</w:t>
      </w:r>
      <w:proofErr w:type="spellEnd"/>
      <w:r w:rsidRPr="00C54A03">
        <w:rPr>
          <w:color w:val="000000" w:themeColor="text1"/>
          <w:spacing w:val="30"/>
          <w:sz w:val="24"/>
          <w:szCs w:val="24"/>
          <w:lang w:val="fr-FR"/>
        </w:rPr>
        <w:t xml:space="preserve"> </w:t>
      </w:r>
      <w:proofErr w:type="spellStart"/>
      <w:r w:rsidRPr="00C54A03">
        <w:rPr>
          <w:color w:val="000000" w:themeColor="text1"/>
          <w:sz w:val="24"/>
          <w:szCs w:val="24"/>
          <w:lang w:val="fr-FR"/>
        </w:rPr>
        <w:t>nivel</w:t>
      </w:r>
      <w:proofErr w:type="spellEnd"/>
      <w:r w:rsidRPr="00C54A03">
        <w:rPr>
          <w:color w:val="000000" w:themeColor="text1"/>
          <w:spacing w:val="32"/>
          <w:sz w:val="24"/>
          <w:szCs w:val="24"/>
          <w:lang w:val="fr-FR"/>
        </w:rPr>
        <w:t xml:space="preserve"> </w:t>
      </w:r>
      <w:r w:rsidRPr="00C54A03">
        <w:rPr>
          <w:color w:val="000000" w:themeColor="text1"/>
          <w:sz w:val="24"/>
          <w:szCs w:val="24"/>
          <w:lang w:val="fr-FR"/>
        </w:rPr>
        <w:t>de</w:t>
      </w:r>
      <w:r w:rsidRPr="00C54A03">
        <w:rPr>
          <w:color w:val="000000" w:themeColor="text1"/>
          <w:spacing w:val="30"/>
          <w:sz w:val="24"/>
          <w:szCs w:val="24"/>
          <w:lang w:val="fr-FR"/>
        </w:rPr>
        <w:t xml:space="preserve"> </w:t>
      </w:r>
      <w:proofErr w:type="spellStart"/>
      <w:r w:rsidRPr="00C54A03">
        <w:rPr>
          <w:color w:val="000000" w:themeColor="text1"/>
          <w:sz w:val="24"/>
          <w:szCs w:val="24"/>
          <w:lang w:val="fr-FR"/>
        </w:rPr>
        <w:t>agregare</w:t>
      </w:r>
      <w:proofErr w:type="spellEnd"/>
      <w:r w:rsidRPr="00C54A03">
        <w:rPr>
          <w:color w:val="000000" w:themeColor="text1"/>
          <w:spacing w:val="30"/>
          <w:sz w:val="24"/>
          <w:szCs w:val="24"/>
          <w:lang w:val="fr-FR"/>
        </w:rPr>
        <w:t xml:space="preserve"> </w:t>
      </w:r>
      <w:r w:rsidRPr="00C54A03">
        <w:rPr>
          <w:color w:val="000000" w:themeColor="text1"/>
          <w:sz w:val="24"/>
          <w:szCs w:val="24"/>
          <w:lang w:val="fr-FR"/>
        </w:rPr>
        <w:t>este</w:t>
      </w:r>
      <w:r w:rsidRPr="00C54A03">
        <w:rPr>
          <w:color w:val="000000" w:themeColor="text1"/>
          <w:spacing w:val="31"/>
          <w:sz w:val="24"/>
          <w:szCs w:val="24"/>
          <w:lang w:val="fr-FR"/>
        </w:rPr>
        <w:t xml:space="preserve"> </w:t>
      </w:r>
      <w:r w:rsidRPr="00C54A03">
        <w:rPr>
          <w:color w:val="000000" w:themeColor="text1"/>
          <w:sz w:val="24"/>
          <w:szCs w:val="24"/>
          <w:lang w:val="fr-FR"/>
        </w:rPr>
        <w:t>al</w:t>
      </w:r>
      <w:r w:rsidRPr="00C54A03">
        <w:rPr>
          <w:color w:val="000000" w:themeColor="text1"/>
          <w:spacing w:val="32"/>
          <w:sz w:val="24"/>
          <w:szCs w:val="24"/>
          <w:lang w:val="fr-FR"/>
        </w:rPr>
        <w:t xml:space="preserve"> </w:t>
      </w:r>
      <w:proofErr w:type="spellStart"/>
      <w:r w:rsidRPr="00C54A03">
        <w:rPr>
          <w:color w:val="000000" w:themeColor="text1"/>
          <w:sz w:val="24"/>
          <w:szCs w:val="24"/>
          <w:lang w:val="fr-FR"/>
        </w:rPr>
        <w:t>atributelor</w:t>
      </w:r>
      <w:proofErr w:type="spellEnd"/>
      <w:r w:rsidRPr="00C54A03">
        <w:rPr>
          <w:color w:val="000000" w:themeColor="text1"/>
          <w:spacing w:val="31"/>
          <w:sz w:val="24"/>
          <w:szCs w:val="24"/>
          <w:lang w:val="fr-FR"/>
        </w:rPr>
        <w:t xml:space="preserve"> </w:t>
      </w:r>
      <w:r w:rsidRPr="00C54A03">
        <w:rPr>
          <w:color w:val="000000" w:themeColor="text1"/>
          <w:sz w:val="24"/>
          <w:szCs w:val="24"/>
          <w:lang w:val="fr-FR"/>
        </w:rPr>
        <w:t>la</w:t>
      </w:r>
      <w:r w:rsidRPr="00C54A03">
        <w:rPr>
          <w:color w:val="000000" w:themeColor="text1"/>
          <w:spacing w:val="34"/>
          <w:sz w:val="24"/>
          <w:szCs w:val="24"/>
          <w:lang w:val="fr-FR"/>
        </w:rPr>
        <w:t xml:space="preserve"> </w:t>
      </w:r>
      <w:proofErr w:type="spellStart"/>
      <w:r w:rsidRPr="00C54A03">
        <w:rPr>
          <w:color w:val="000000" w:themeColor="text1"/>
          <w:sz w:val="24"/>
          <w:szCs w:val="24"/>
          <w:lang w:val="fr-FR"/>
        </w:rPr>
        <w:t>nivel</w:t>
      </w:r>
      <w:proofErr w:type="spellEnd"/>
      <w:r w:rsidRPr="00C54A03">
        <w:rPr>
          <w:color w:val="000000" w:themeColor="text1"/>
          <w:spacing w:val="31"/>
          <w:sz w:val="24"/>
          <w:szCs w:val="24"/>
          <w:lang w:val="fr-FR"/>
        </w:rPr>
        <w:t xml:space="preserve"> </w:t>
      </w:r>
      <w:proofErr w:type="spellStart"/>
      <w:r w:rsidRPr="00C54A03">
        <w:rPr>
          <w:color w:val="000000" w:themeColor="text1"/>
          <w:sz w:val="24"/>
          <w:szCs w:val="24"/>
          <w:lang w:val="fr-FR"/>
        </w:rPr>
        <w:t>național</w:t>
      </w:r>
      <w:proofErr w:type="spellEnd"/>
      <w:r w:rsidRPr="00C54A03">
        <w:rPr>
          <w:color w:val="000000" w:themeColor="text1"/>
          <w:spacing w:val="32"/>
          <w:sz w:val="24"/>
          <w:szCs w:val="24"/>
          <w:lang w:val="fr-FR"/>
        </w:rPr>
        <w:t xml:space="preserve"> </w:t>
      </w:r>
      <w:proofErr w:type="spellStart"/>
      <w:r w:rsidRPr="00C54A03">
        <w:rPr>
          <w:color w:val="000000" w:themeColor="text1"/>
          <w:sz w:val="24"/>
          <w:szCs w:val="24"/>
          <w:lang w:val="fr-FR"/>
        </w:rPr>
        <w:t>rezultate</w:t>
      </w:r>
      <w:proofErr w:type="spellEnd"/>
      <w:r w:rsidRPr="00C54A03">
        <w:rPr>
          <w:color w:val="000000" w:themeColor="text1"/>
          <w:spacing w:val="28"/>
          <w:sz w:val="24"/>
          <w:szCs w:val="24"/>
          <w:lang w:val="fr-FR"/>
        </w:rPr>
        <w:t xml:space="preserve"> </w:t>
      </w:r>
      <w:proofErr w:type="spellStart"/>
      <w:r w:rsidRPr="00C54A03">
        <w:rPr>
          <w:color w:val="000000" w:themeColor="text1"/>
          <w:sz w:val="24"/>
          <w:szCs w:val="24"/>
          <w:lang w:val="fr-FR"/>
        </w:rPr>
        <w:t>din</w:t>
      </w:r>
      <w:proofErr w:type="spellEnd"/>
      <w:r w:rsidRPr="00C54A03">
        <w:rPr>
          <w:color w:val="000000" w:themeColor="text1"/>
          <w:spacing w:val="32"/>
          <w:sz w:val="24"/>
          <w:szCs w:val="24"/>
          <w:lang w:val="fr-FR"/>
        </w:rPr>
        <w:t xml:space="preserve"> </w:t>
      </w:r>
      <w:proofErr w:type="spellStart"/>
      <w:r w:rsidRPr="00C54A03">
        <w:rPr>
          <w:color w:val="000000" w:themeColor="text1"/>
          <w:sz w:val="24"/>
          <w:szCs w:val="24"/>
          <w:lang w:val="fr-FR"/>
        </w:rPr>
        <w:t>agregarea</w:t>
      </w:r>
      <w:proofErr w:type="spellEnd"/>
      <w:r w:rsidRPr="00C54A03">
        <w:rPr>
          <w:color w:val="000000" w:themeColor="text1"/>
          <w:spacing w:val="30"/>
          <w:sz w:val="24"/>
          <w:szCs w:val="24"/>
          <w:lang w:val="fr-FR"/>
        </w:rPr>
        <w:t xml:space="preserve"> </w:t>
      </w:r>
      <w:proofErr w:type="spellStart"/>
      <w:r w:rsidRPr="00C54A03">
        <w:rPr>
          <w:color w:val="000000" w:themeColor="text1"/>
          <w:sz w:val="24"/>
          <w:szCs w:val="24"/>
          <w:lang w:val="fr-FR"/>
        </w:rPr>
        <w:t>datelor</w:t>
      </w:r>
      <w:proofErr w:type="spellEnd"/>
      <w:r w:rsidRPr="00C54A03">
        <w:rPr>
          <w:color w:val="000000" w:themeColor="text1"/>
          <w:spacing w:val="31"/>
          <w:sz w:val="24"/>
          <w:szCs w:val="24"/>
          <w:lang w:val="fr-FR"/>
        </w:rPr>
        <w:t xml:space="preserve"> </w:t>
      </w:r>
      <w:r w:rsidRPr="00C54A03">
        <w:rPr>
          <w:color w:val="000000" w:themeColor="text1"/>
          <w:sz w:val="24"/>
          <w:szCs w:val="24"/>
          <w:lang w:val="fr-FR"/>
        </w:rPr>
        <w:t>la</w:t>
      </w:r>
      <w:r w:rsidRPr="00C54A03">
        <w:rPr>
          <w:color w:val="000000" w:themeColor="text1"/>
          <w:spacing w:val="-58"/>
          <w:sz w:val="24"/>
          <w:szCs w:val="24"/>
          <w:lang w:val="fr-FR"/>
        </w:rPr>
        <w:t xml:space="preserve"> </w:t>
      </w:r>
      <w:proofErr w:type="spellStart"/>
      <w:r w:rsidRPr="00C54A03">
        <w:rPr>
          <w:color w:val="000000" w:themeColor="text1"/>
          <w:sz w:val="24"/>
          <w:szCs w:val="24"/>
          <w:lang w:val="fr-FR"/>
        </w:rPr>
        <w:t>nivel</w:t>
      </w:r>
      <w:proofErr w:type="spellEnd"/>
      <w:r w:rsidRPr="00C54A03">
        <w:rPr>
          <w:color w:val="000000" w:themeColor="text1"/>
          <w:spacing w:val="-1"/>
          <w:sz w:val="24"/>
          <w:szCs w:val="24"/>
          <w:lang w:val="fr-FR"/>
        </w:rPr>
        <w:t xml:space="preserve"> </w:t>
      </w:r>
      <w:r w:rsidRPr="00C54A03">
        <w:rPr>
          <w:color w:val="000000" w:themeColor="text1"/>
          <w:sz w:val="24"/>
          <w:szCs w:val="24"/>
          <w:lang w:val="fr-FR"/>
        </w:rPr>
        <w:t>de</w:t>
      </w:r>
      <w:r w:rsidRPr="00C54A03">
        <w:rPr>
          <w:color w:val="000000" w:themeColor="text1"/>
          <w:spacing w:val="-1"/>
          <w:sz w:val="24"/>
          <w:szCs w:val="24"/>
          <w:lang w:val="fr-FR"/>
        </w:rPr>
        <w:t xml:space="preserve"> </w:t>
      </w:r>
      <w:proofErr w:type="spellStart"/>
      <w:r w:rsidRPr="00C54A03">
        <w:rPr>
          <w:color w:val="000000" w:themeColor="text1"/>
          <w:sz w:val="24"/>
          <w:szCs w:val="24"/>
          <w:lang w:val="fr-FR"/>
        </w:rPr>
        <w:t>bioregiune</w:t>
      </w:r>
      <w:proofErr w:type="spellEnd"/>
      <w:r w:rsidRPr="00C54A03">
        <w:rPr>
          <w:color w:val="000000" w:themeColor="text1"/>
          <w:sz w:val="24"/>
          <w:szCs w:val="24"/>
          <w:lang w:val="fr-FR"/>
        </w:rPr>
        <w:t>.</w:t>
      </w:r>
    </w:p>
    <w:p w14:paraId="7B6763BD" w14:textId="77777777" w:rsidR="007702CD" w:rsidRPr="00C54A03" w:rsidRDefault="007702CD" w:rsidP="008E33FD">
      <w:pPr>
        <w:pStyle w:val="BodyText"/>
        <w:spacing w:before="6"/>
        <w:jc w:val="both"/>
        <w:rPr>
          <w:color w:val="000000" w:themeColor="text1"/>
          <w:sz w:val="24"/>
          <w:szCs w:val="24"/>
          <w:lang w:val="fr-FR"/>
        </w:rPr>
      </w:pPr>
    </w:p>
    <w:p w14:paraId="486A431E" w14:textId="77777777" w:rsidR="00491B45" w:rsidRPr="00C54A03" w:rsidRDefault="00491B45" w:rsidP="008E33FD">
      <w:pPr>
        <w:jc w:val="both"/>
        <w:rPr>
          <w:color w:val="000000" w:themeColor="text1"/>
        </w:rPr>
      </w:pPr>
    </w:p>
    <w:p w14:paraId="2F9DC0AC" w14:textId="77777777" w:rsidR="007702CD" w:rsidRPr="00B77E3F" w:rsidRDefault="00E87D2D" w:rsidP="00B77E3F">
      <w:pPr>
        <w:jc w:val="both"/>
        <w:rPr>
          <w:color w:val="000000" w:themeColor="text1"/>
          <w:lang w:val="fr-FR"/>
        </w:rPr>
      </w:pPr>
      <w:proofErr w:type="spellStart"/>
      <w:r w:rsidRPr="00C54A03">
        <w:rPr>
          <w:color w:val="000000" w:themeColor="text1"/>
          <w:lang w:val="fr-FR"/>
        </w:rPr>
        <w:t>Planul</w:t>
      </w:r>
      <w:proofErr w:type="spellEnd"/>
      <w:r w:rsidRPr="00C54A03">
        <w:rPr>
          <w:color w:val="000000" w:themeColor="text1"/>
          <w:lang w:val="fr-FR"/>
        </w:rPr>
        <w:t xml:space="preserve"> de </w:t>
      </w:r>
      <w:proofErr w:type="spellStart"/>
      <w:r w:rsidRPr="00C54A03">
        <w:rPr>
          <w:color w:val="000000" w:themeColor="text1"/>
          <w:lang w:val="fr-FR"/>
        </w:rPr>
        <w:t>monitorizare</w:t>
      </w:r>
      <w:proofErr w:type="spellEnd"/>
      <w:r w:rsidRPr="00C54A03">
        <w:rPr>
          <w:color w:val="000000" w:themeColor="text1"/>
          <w:lang w:val="fr-FR"/>
        </w:rPr>
        <w:t xml:space="preserve"> a </w:t>
      </w:r>
      <w:proofErr w:type="spellStart"/>
      <w:r w:rsidRPr="00C54A03">
        <w:rPr>
          <w:color w:val="000000" w:themeColor="text1"/>
          <w:lang w:val="fr-FR"/>
        </w:rPr>
        <w:t>habitatelor</w:t>
      </w:r>
      <w:proofErr w:type="spellEnd"/>
      <w:r w:rsidR="0003674E" w:rsidRPr="00C54A03">
        <w:rPr>
          <w:color w:val="000000" w:themeColor="text1"/>
          <w:lang w:val="fr-FR"/>
        </w:rPr>
        <w:t xml:space="preserve"> </w:t>
      </w:r>
      <w:r w:rsidRPr="00C54A03">
        <w:rPr>
          <w:color w:val="000000" w:themeColor="text1"/>
          <w:lang w:val="fr-FR"/>
        </w:rPr>
        <w:t xml:space="preserve">de </w:t>
      </w:r>
      <w:proofErr w:type="spellStart"/>
      <w:r w:rsidRPr="00C54A03">
        <w:rPr>
          <w:color w:val="000000" w:themeColor="text1"/>
          <w:lang w:val="fr-FR"/>
        </w:rPr>
        <w:t>grohotișuri</w:t>
      </w:r>
      <w:proofErr w:type="spellEnd"/>
      <w:r w:rsidR="007702CD" w:rsidRPr="00C54A03">
        <w:rPr>
          <w:color w:val="000000" w:themeColor="text1"/>
          <w:spacing w:val="-1"/>
          <w:lang w:val="fr-FR"/>
        </w:rPr>
        <w:t xml:space="preserve"> </w:t>
      </w:r>
      <w:proofErr w:type="spellStart"/>
      <w:r w:rsidRPr="00C54A03">
        <w:rPr>
          <w:color w:val="000000" w:themeColor="text1"/>
          <w:lang w:val="fr-FR"/>
        </w:rPr>
        <w:t>și</w:t>
      </w:r>
      <w:proofErr w:type="spellEnd"/>
      <w:r w:rsidR="007702CD" w:rsidRPr="00C54A03">
        <w:rPr>
          <w:color w:val="000000" w:themeColor="text1"/>
          <w:spacing w:val="-2"/>
          <w:lang w:val="fr-FR"/>
        </w:rPr>
        <w:t xml:space="preserve"> </w:t>
      </w:r>
      <w:proofErr w:type="spellStart"/>
      <w:r w:rsidRPr="00C54A03">
        <w:rPr>
          <w:color w:val="000000" w:themeColor="text1"/>
          <w:lang w:val="fr-FR"/>
        </w:rPr>
        <w:t>stâncării</w:t>
      </w:r>
      <w:proofErr w:type="spellEnd"/>
      <w:r w:rsidR="007702CD" w:rsidRPr="00C54A03">
        <w:rPr>
          <w:color w:val="000000" w:themeColor="text1"/>
          <w:spacing w:val="1"/>
          <w:lang w:val="fr-FR"/>
        </w:rPr>
        <w:t xml:space="preserve"> </w:t>
      </w:r>
      <w:r w:rsidR="007702CD" w:rsidRPr="00C54A03">
        <w:rPr>
          <w:color w:val="000000" w:themeColor="text1"/>
          <w:lang w:val="fr-FR"/>
        </w:rPr>
        <w:t>este</w:t>
      </w:r>
      <w:r w:rsidR="007702CD" w:rsidRPr="00C54A03">
        <w:rPr>
          <w:color w:val="000000" w:themeColor="text1"/>
          <w:spacing w:val="1"/>
          <w:lang w:val="fr-FR"/>
        </w:rPr>
        <w:t xml:space="preserve"> </w:t>
      </w:r>
      <w:r w:rsidR="007702CD" w:rsidRPr="00C54A03">
        <w:rPr>
          <w:color w:val="000000" w:themeColor="text1"/>
          <w:lang w:val="fr-FR"/>
        </w:rPr>
        <w:t>parte</w:t>
      </w:r>
      <w:r w:rsidR="007702CD" w:rsidRPr="00C54A03">
        <w:rPr>
          <w:color w:val="000000" w:themeColor="text1"/>
          <w:spacing w:val="1"/>
          <w:lang w:val="fr-FR"/>
        </w:rPr>
        <w:t xml:space="preserve"> </w:t>
      </w:r>
      <w:r w:rsidR="007702CD" w:rsidRPr="00C54A03">
        <w:rPr>
          <w:color w:val="000000" w:themeColor="text1"/>
          <w:lang w:val="fr-FR"/>
        </w:rPr>
        <w:t>a</w:t>
      </w:r>
      <w:r w:rsidR="007702CD" w:rsidRPr="00C54A03">
        <w:rPr>
          <w:color w:val="000000" w:themeColor="text1"/>
          <w:spacing w:val="1"/>
          <w:lang w:val="fr-FR"/>
        </w:rPr>
        <w:t xml:space="preserve"> </w:t>
      </w:r>
      <w:proofErr w:type="spellStart"/>
      <w:r w:rsidR="007702CD" w:rsidRPr="00C54A03">
        <w:rPr>
          <w:color w:val="000000" w:themeColor="text1"/>
          <w:lang w:val="fr-FR"/>
        </w:rPr>
        <w:t>metodologiei</w:t>
      </w:r>
      <w:proofErr w:type="spellEnd"/>
      <w:r w:rsidR="007702CD" w:rsidRPr="00C54A03">
        <w:rPr>
          <w:color w:val="000000" w:themeColor="text1"/>
          <w:spacing w:val="1"/>
          <w:lang w:val="fr-FR"/>
        </w:rPr>
        <w:t xml:space="preserve"> </w:t>
      </w:r>
      <w:r w:rsidR="007702CD" w:rsidRPr="00C54A03">
        <w:rPr>
          <w:color w:val="000000" w:themeColor="text1"/>
          <w:lang w:val="fr-FR"/>
        </w:rPr>
        <w:t>de</w:t>
      </w:r>
      <w:r w:rsidR="007702CD" w:rsidRPr="00C54A03">
        <w:rPr>
          <w:color w:val="000000" w:themeColor="text1"/>
          <w:spacing w:val="1"/>
          <w:lang w:val="fr-FR"/>
        </w:rPr>
        <w:t xml:space="preserve"> </w:t>
      </w:r>
      <w:proofErr w:type="spellStart"/>
      <w:r w:rsidR="007702CD" w:rsidRPr="00C54A03">
        <w:rPr>
          <w:color w:val="000000" w:themeColor="text1"/>
          <w:lang w:val="fr-FR"/>
        </w:rPr>
        <w:t>monitorizare</w:t>
      </w:r>
      <w:proofErr w:type="spellEnd"/>
      <w:r w:rsidR="007702CD" w:rsidRPr="00C54A03">
        <w:rPr>
          <w:color w:val="000000" w:themeColor="text1"/>
          <w:lang w:val="fr-FR"/>
        </w:rPr>
        <w:t xml:space="preserve"> </w:t>
      </w:r>
      <w:proofErr w:type="spellStart"/>
      <w:r w:rsidR="007702CD" w:rsidRPr="00C54A03">
        <w:rPr>
          <w:color w:val="000000" w:themeColor="text1"/>
          <w:lang w:val="fr-FR"/>
        </w:rPr>
        <w:t>și</w:t>
      </w:r>
      <w:proofErr w:type="spellEnd"/>
      <w:r w:rsidR="007702CD" w:rsidRPr="00C54A03">
        <w:rPr>
          <w:color w:val="000000" w:themeColor="text1"/>
          <w:lang w:val="fr-FR"/>
        </w:rPr>
        <w:t xml:space="preserve"> </w:t>
      </w:r>
      <w:proofErr w:type="spellStart"/>
      <w:r w:rsidR="007702CD" w:rsidRPr="00C54A03">
        <w:rPr>
          <w:color w:val="000000" w:themeColor="text1"/>
          <w:lang w:val="fr-FR"/>
        </w:rPr>
        <w:t>sunt</w:t>
      </w:r>
      <w:proofErr w:type="spellEnd"/>
      <w:r w:rsidR="007702CD" w:rsidRPr="00C54A03">
        <w:rPr>
          <w:color w:val="000000" w:themeColor="text1"/>
          <w:lang w:val="fr-FR"/>
        </w:rPr>
        <w:t xml:space="preserve"> redate </w:t>
      </w:r>
      <w:proofErr w:type="spellStart"/>
      <w:r w:rsidR="007702CD" w:rsidRPr="00C54A03">
        <w:rPr>
          <w:color w:val="000000" w:themeColor="text1"/>
          <w:lang w:val="fr-FR"/>
        </w:rPr>
        <w:t>următoarele</w:t>
      </w:r>
      <w:proofErr w:type="spellEnd"/>
      <w:r w:rsidR="007702CD" w:rsidRPr="00C54A03">
        <w:rPr>
          <w:color w:val="000000" w:themeColor="text1"/>
          <w:lang w:val="fr-FR"/>
        </w:rPr>
        <w:t xml:space="preserve"> </w:t>
      </w:r>
      <w:proofErr w:type="spellStart"/>
      <w:r w:rsidR="007702CD" w:rsidRPr="00C54A03">
        <w:rPr>
          <w:color w:val="000000" w:themeColor="text1"/>
          <w:lang w:val="fr-FR"/>
        </w:rPr>
        <w:t>elemente</w:t>
      </w:r>
      <w:proofErr w:type="spellEnd"/>
      <w:r w:rsidR="007702CD" w:rsidRPr="00C54A03">
        <w:rPr>
          <w:color w:val="000000" w:themeColor="text1"/>
          <w:lang w:val="fr-FR"/>
        </w:rPr>
        <w:t xml:space="preserve">: </w:t>
      </w:r>
      <w:proofErr w:type="spellStart"/>
      <w:r w:rsidR="007702CD" w:rsidRPr="00C54A03">
        <w:rPr>
          <w:color w:val="000000" w:themeColor="text1"/>
          <w:lang w:val="fr-FR"/>
        </w:rPr>
        <w:t>codul</w:t>
      </w:r>
      <w:proofErr w:type="spellEnd"/>
      <w:r w:rsidR="007702CD" w:rsidRPr="00C54A03">
        <w:rPr>
          <w:color w:val="000000" w:themeColor="text1"/>
          <w:lang w:val="fr-FR"/>
        </w:rPr>
        <w:t xml:space="preserve"> Natura 2000 </w:t>
      </w:r>
      <w:proofErr w:type="spellStart"/>
      <w:r w:rsidR="007702CD" w:rsidRPr="00C54A03">
        <w:rPr>
          <w:color w:val="000000" w:themeColor="text1"/>
          <w:lang w:val="fr-FR"/>
        </w:rPr>
        <w:t>și</w:t>
      </w:r>
      <w:proofErr w:type="spellEnd"/>
      <w:r w:rsidR="007702CD" w:rsidRPr="00C54A03">
        <w:rPr>
          <w:color w:val="000000" w:themeColor="text1"/>
          <w:lang w:val="fr-FR"/>
        </w:rPr>
        <w:t xml:space="preserve"> </w:t>
      </w:r>
      <w:proofErr w:type="spellStart"/>
      <w:r w:rsidR="007702CD" w:rsidRPr="00C54A03">
        <w:rPr>
          <w:color w:val="000000" w:themeColor="text1"/>
          <w:lang w:val="fr-FR"/>
        </w:rPr>
        <w:t>denumirea</w:t>
      </w:r>
      <w:proofErr w:type="spellEnd"/>
      <w:r w:rsidR="007702CD" w:rsidRPr="00C54A03">
        <w:rPr>
          <w:color w:val="000000" w:themeColor="text1"/>
          <w:lang w:val="fr-FR"/>
        </w:rPr>
        <w:t xml:space="preserve"> </w:t>
      </w:r>
      <w:proofErr w:type="spellStart"/>
      <w:r w:rsidR="007702CD" w:rsidRPr="00C54A03">
        <w:rPr>
          <w:color w:val="000000" w:themeColor="text1"/>
          <w:lang w:val="fr-FR"/>
        </w:rPr>
        <w:t>habitatului</w:t>
      </w:r>
      <w:proofErr w:type="spellEnd"/>
      <w:r w:rsidR="007702CD" w:rsidRPr="00C54A03">
        <w:rPr>
          <w:color w:val="000000" w:themeColor="text1"/>
          <w:lang w:val="fr-FR"/>
        </w:rPr>
        <w:t>,</w:t>
      </w:r>
      <w:r w:rsidR="007702CD" w:rsidRPr="00C54A03">
        <w:rPr>
          <w:color w:val="000000" w:themeColor="text1"/>
          <w:spacing w:val="1"/>
          <w:lang w:val="fr-FR"/>
        </w:rPr>
        <w:t xml:space="preserve"> </w:t>
      </w:r>
      <w:proofErr w:type="spellStart"/>
      <w:r w:rsidR="007702CD" w:rsidRPr="00C54A03">
        <w:rPr>
          <w:color w:val="000000" w:themeColor="text1"/>
          <w:lang w:val="fr-FR"/>
        </w:rPr>
        <w:t>perioadele</w:t>
      </w:r>
      <w:proofErr w:type="spellEnd"/>
      <w:r w:rsidR="007702CD" w:rsidRPr="00C54A03">
        <w:rPr>
          <w:color w:val="000000" w:themeColor="text1"/>
          <w:spacing w:val="-1"/>
          <w:lang w:val="fr-FR"/>
        </w:rPr>
        <w:t xml:space="preserve"> </w:t>
      </w:r>
      <w:r w:rsidR="007702CD" w:rsidRPr="00C54A03">
        <w:rPr>
          <w:color w:val="000000" w:themeColor="text1"/>
          <w:lang w:val="fr-FR"/>
        </w:rPr>
        <w:t>optime</w:t>
      </w:r>
      <w:r w:rsidR="007702CD" w:rsidRPr="00C54A03">
        <w:rPr>
          <w:color w:val="000000" w:themeColor="text1"/>
          <w:spacing w:val="-1"/>
          <w:lang w:val="fr-FR"/>
        </w:rPr>
        <w:t xml:space="preserve"> </w:t>
      </w:r>
      <w:r w:rsidR="007702CD" w:rsidRPr="00C54A03">
        <w:rPr>
          <w:color w:val="000000" w:themeColor="text1"/>
          <w:lang w:val="fr-FR"/>
        </w:rPr>
        <w:t>de</w:t>
      </w:r>
      <w:r w:rsidR="007702CD" w:rsidRPr="00C54A03">
        <w:rPr>
          <w:color w:val="000000" w:themeColor="text1"/>
          <w:spacing w:val="-2"/>
          <w:lang w:val="fr-FR"/>
        </w:rPr>
        <w:t xml:space="preserve"> </w:t>
      </w:r>
      <w:proofErr w:type="spellStart"/>
      <w:r w:rsidR="007702CD" w:rsidRPr="00C54A03">
        <w:rPr>
          <w:color w:val="000000" w:themeColor="text1"/>
          <w:lang w:val="fr-FR"/>
        </w:rPr>
        <w:t>monitorizare</w:t>
      </w:r>
      <w:proofErr w:type="spellEnd"/>
      <w:r w:rsidR="007702CD" w:rsidRPr="00C54A03">
        <w:rPr>
          <w:color w:val="000000" w:themeColor="text1"/>
          <w:lang w:val="fr-FR"/>
        </w:rPr>
        <w:t xml:space="preserve">, </w:t>
      </w:r>
      <w:proofErr w:type="spellStart"/>
      <w:r w:rsidR="007702CD" w:rsidRPr="00C54A03">
        <w:rPr>
          <w:color w:val="000000" w:themeColor="text1"/>
          <w:lang w:val="fr-FR"/>
        </w:rPr>
        <w:t>metoda</w:t>
      </w:r>
      <w:proofErr w:type="spellEnd"/>
      <w:r w:rsidR="007702CD" w:rsidRPr="00C54A03">
        <w:rPr>
          <w:color w:val="000000" w:themeColor="text1"/>
          <w:spacing w:val="-2"/>
          <w:lang w:val="fr-FR"/>
        </w:rPr>
        <w:t xml:space="preserve"> </w:t>
      </w:r>
      <w:proofErr w:type="spellStart"/>
      <w:r w:rsidR="007702CD" w:rsidRPr="00C54A03">
        <w:rPr>
          <w:color w:val="000000" w:themeColor="text1"/>
          <w:lang w:val="fr-FR"/>
        </w:rPr>
        <w:t>utilizată</w:t>
      </w:r>
      <w:proofErr w:type="spellEnd"/>
      <w:r w:rsidR="007702CD" w:rsidRPr="00C54A03">
        <w:rPr>
          <w:color w:val="000000" w:themeColor="text1"/>
          <w:lang w:val="fr-FR"/>
        </w:rPr>
        <w:t xml:space="preserve"> </w:t>
      </w:r>
      <w:proofErr w:type="spellStart"/>
      <w:r w:rsidR="007702CD" w:rsidRPr="00C54A03">
        <w:rPr>
          <w:color w:val="000000" w:themeColor="text1"/>
          <w:lang w:val="fr-FR"/>
        </w:rPr>
        <w:t>și</w:t>
      </w:r>
      <w:proofErr w:type="spellEnd"/>
      <w:r w:rsidR="007702CD" w:rsidRPr="00C54A03">
        <w:rPr>
          <w:color w:val="000000" w:themeColor="text1"/>
          <w:spacing w:val="-1"/>
          <w:lang w:val="fr-FR"/>
        </w:rPr>
        <w:t xml:space="preserve"> </w:t>
      </w:r>
      <w:proofErr w:type="spellStart"/>
      <w:r w:rsidR="007702CD" w:rsidRPr="00C54A03">
        <w:rPr>
          <w:color w:val="000000" w:themeColor="text1"/>
          <w:lang w:val="fr-FR"/>
        </w:rPr>
        <w:t>anumite</w:t>
      </w:r>
      <w:proofErr w:type="spellEnd"/>
      <w:r w:rsidR="007702CD" w:rsidRPr="00C54A03">
        <w:rPr>
          <w:color w:val="000000" w:themeColor="text1"/>
          <w:spacing w:val="-1"/>
          <w:lang w:val="fr-FR"/>
        </w:rPr>
        <w:t xml:space="preserve"> </w:t>
      </w:r>
      <w:proofErr w:type="spellStart"/>
      <w:r w:rsidR="007702CD" w:rsidRPr="00C54A03">
        <w:rPr>
          <w:color w:val="000000" w:themeColor="text1"/>
          <w:lang w:val="fr-FR"/>
        </w:rPr>
        <w:t>observații</w:t>
      </w:r>
      <w:proofErr w:type="spellEnd"/>
      <w:r w:rsidR="007702CD" w:rsidRPr="00C54A03">
        <w:rPr>
          <w:color w:val="000000" w:themeColor="text1"/>
          <w:lang w:val="fr-FR"/>
        </w:rPr>
        <w:t xml:space="preserve"> (de</w:t>
      </w:r>
      <w:r w:rsidR="007702CD" w:rsidRPr="00C54A03">
        <w:rPr>
          <w:color w:val="000000" w:themeColor="text1"/>
          <w:spacing w:val="-2"/>
          <w:lang w:val="fr-FR"/>
        </w:rPr>
        <w:t xml:space="preserve"> </w:t>
      </w:r>
      <w:r w:rsidR="007702CD" w:rsidRPr="00C54A03">
        <w:rPr>
          <w:color w:val="000000" w:themeColor="text1"/>
          <w:lang w:val="fr-FR"/>
        </w:rPr>
        <w:t xml:space="preserve">la </w:t>
      </w:r>
      <w:proofErr w:type="spellStart"/>
      <w:r w:rsidR="007702CD" w:rsidRPr="00C54A03">
        <w:rPr>
          <w:color w:val="000000" w:themeColor="text1"/>
          <w:lang w:val="fr-FR"/>
        </w:rPr>
        <w:t>caz</w:t>
      </w:r>
      <w:proofErr w:type="spellEnd"/>
      <w:r w:rsidR="007702CD" w:rsidRPr="00C54A03">
        <w:rPr>
          <w:color w:val="000000" w:themeColor="text1"/>
          <w:lang w:val="fr-FR"/>
        </w:rPr>
        <w:t xml:space="preserve"> la </w:t>
      </w:r>
      <w:proofErr w:type="spellStart"/>
      <w:r w:rsidR="007702CD" w:rsidRPr="00C54A03">
        <w:rPr>
          <w:color w:val="000000" w:themeColor="text1"/>
          <w:lang w:val="fr-FR"/>
        </w:rPr>
        <w:t>caz</w:t>
      </w:r>
      <w:proofErr w:type="spellEnd"/>
      <w:r w:rsidR="007702CD" w:rsidRPr="00C54A03">
        <w:rPr>
          <w:color w:val="000000" w:themeColor="text1"/>
          <w:lang w:val="fr-FR"/>
        </w:rPr>
        <w:t>).</w:t>
      </w:r>
    </w:p>
    <w:p w14:paraId="51F55A1B" w14:textId="77777777" w:rsidR="007702CD" w:rsidRPr="00F100E1" w:rsidRDefault="007702CD" w:rsidP="008E33FD">
      <w:pPr>
        <w:pStyle w:val="BodyText"/>
        <w:ind w:left="293" w:right="250"/>
        <w:jc w:val="both"/>
        <w:rPr>
          <w:strike/>
          <w:color w:val="000000" w:themeColor="text1"/>
          <w:sz w:val="24"/>
          <w:szCs w:val="24"/>
          <w:lang w:val="fr-FR"/>
        </w:rPr>
        <w:sectPr w:rsidR="007702CD" w:rsidRPr="00F100E1" w:rsidSect="00D97209">
          <w:pgSz w:w="11910" w:h="16840"/>
          <w:pgMar w:top="1066" w:right="878" w:bottom="1685" w:left="835" w:header="0" w:footer="1411" w:gutter="0"/>
          <w:cols w:space="708"/>
        </w:sectPr>
      </w:pPr>
    </w:p>
    <w:p w14:paraId="4C8E8C8F" w14:textId="77777777" w:rsidR="007702CD" w:rsidRPr="00C56257" w:rsidRDefault="007702CD" w:rsidP="008E33FD">
      <w:pPr>
        <w:spacing w:before="90"/>
        <w:ind w:left="90" w:right="3994"/>
        <w:jc w:val="both"/>
        <w:rPr>
          <w:b/>
          <w:color w:val="000000" w:themeColor="text1"/>
        </w:rPr>
      </w:pPr>
      <w:r w:rsidRPr="00C56257">
        <w:rPr>
          <w:b/>
          <w:color w:val="000000" w:themeColor="text1"/>
        </w:rPr>
        <w:lastRenderedPageBreak/>
        <w:t>Tabel–Planul</w:t>
      </w:r>
      <w:r w:rsidRPr="00C56257">
        <w:rPr>
          <w:b/>
          <w:color w:val="000000" w:themeColor="text1"/>
          <w:spacing w:val="-3"/>
        </w:rPr>
        <w:t xml:space="preserve"> </w:t>
      </w:r>
      <w:r w:rsidRPr="00C56257">
        <w:rPr>
          <w:b/>
          <w:color w:val="000000" w:themeColor="text1"/>
        </w:rPr>
        <w:t>de</w:t>
      </w:r>
      <w:r w:rsidRPr="00C56257">
        <w:rPr>
          <w:b/>
          <w:color w:val="000000" w:themeColor="text1"/>
          <w:spacing w:val="-3"/>
        </w:rPr>
        <w:t xml:space="preserve"> </w:t>
      </w:r>
      <w:r w:rsidRPr="00C56257">
        <w:rPr>
          <w:b/>
          <w:color w:val="000000" w:themeColor="text1"/>
        </w:rPr>
        <w:t>monitorizare</w:t>
      </w:r>
      <w:r w:rsidRPr="00C56257">
        <w:rPr>
          <w:b/>
          <w:color w:val="000000" w:themeColor="text1"/>
          <w:spacing w:val="-3"/>
        </w:rPr>
        <w:t xml:space="preserve"> </w:t>
      </w:r>
      <w:r w:rsidRPr="00C56257">
        <w:rPr>
          <w:b/>
          <w:color w:val="000000" w:themeColor="text1"/>
        </w:rPr>
        <w:t>a</w:t>
      </w:r>
      <w:r w:rsidRPr="00C56257">
        <w:rPr>
          <w:b/>
          <w:color w:val="000000" w:themeColor="text1"/>
          <w:spacing w:val="-2"/>
        </w:rPr>
        <w:t xml:space="preserve"> </w:t>
      </w:r>
      <w:r w:rsidRPr="00C56257">
        <w:rPr>
          <w:b/>
          <w:color w:val="000000" w:themeColor="text1"/>
        </w:rPr>
        <w:t>habitatelor</w:t>
      </w:r>
      <w:r w:rsidRPr="00C56257">
        <w:rPr>
          <w:b/>
          <w:color w:val="000000" w:themeColor="text1"/>
          <w:spacing w:val="-3"/>
        </w:rPr>
        <w:t xml:space="preserve"> </w:t>
      </w:r>
      <w:r w:rsidRPr="00C56257">
        <w:rPr>
          <w:b/>
          <w:color w:val="000000" w:themeColor="text1"/>
        </w:rPr>
        <w:t>de grohotișuri</w:t>
      </w:r>
      <w:r w:rsidRPr="00C56257">
        <w:rPr>
          <w:b/>
          <w:color w:val="000000" w:themeColor="text1"/>
          <w:spacing w:val="-2"/>
        </w:rPr>
        <w:t xml:space="preserve"> </w:t>
      </w:r>
      <w:r w:rsidRPr="00C56257">
        <w:rPr>
          <w:b/>
          <w:color w:val="000000" w:themeColor="text1"/>
        </w:rPr>
        <w:t>și</w:t>
      </w:r>
      <w:r w:rsidRPr="00C56257">
        <w:rPr>
          <w:b/>
          <w:color w:val="000000" w:themeColor="text1"/>
          <w:spacing w:val="-2"/>
        </w:rPr>
        <w:t xml:space="preserve"> </w:t>
      </w:r>
      <w:r w:rsidRPr="00C56257">
        <w:rPr>
          <w:b/>
          <w:color w:val="000000" w:themeColor="text1"/>
        </w:rPr>
        <w:t>stâncării</w:t>
      </w:r>
    </w:p>
    <w:p w14:paraId="13B3201F" w14:textId="77777777" w:rsidR="007702CD" w:rsidRPr="00C56257" w:rsidRDefault="007702CD" w:rsidP="008E33FD">
      <w:pPr>
        <w:pStyle w:val="BodyText"/>
        <w:spacing w:before="11"/>
        <w:jc w:val="both"/>
        <w:rPr>
          <w:b/>
          <w:color w:val="000000" w:themeColor="text1"/>
          <w:sz w:val="24"/>
          <w:szCs w:val="24"/>
          <w:lang w:val="fr-FR"/>
        </w:rPr>
      </w:pPr>
    </w:p>
    <w:tbl>
      <w:tblPr>
        <w:tblW w:w="14885" w:type="dxa"/>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02"/>
        <w:gridCol w:w="521"/>
        <w:gridCol w:w="541"/>
        <w:gridCol w:w="557"/>
        <w:gridCol w:w="557"/>
        <w:gridCol w:w="557"/>
        <w:gridCol w:w="557"/>
        <w:gridCol w:w="502"/>
        <w:gridCol w:w="557"/>
        <w:gridCol w:w="557"/>
        <w:gridCol w:w="559"/>
        <w:gridCol w:w="557"/>
        <w:gridCol w:w="759"/>
        <w:gridCol w:w="2547"/>
        <w:gridCol w:w="218"/>
        <w:gridCol w:w="2437"/>
      </w:tblGrid>
      <w:tr w:rsidR="007702CD" w:rsidRPr="00C56257" w14:paraId="241FD20B" w14:textId="77777777" w:rsidTr="0003674E">
        <w:trPr>
          <w:trHeight w:val="525"/>
        </w:trPr>
        <w:tc>
          <w:tcPr>
            <w:tcW w:w="2902" w:type="dxa"/>
            <w:vMerge w:val="restart"/>
            <w:shd w:val="clear" w:color="auto" w:fill="D9D9D9"/>
          </w:tcPr>
          <w:p w14:paraId="59E3F464" w14:textId="77777777" w:rsidR="007702CD" w:rsidRPr="00C56257" w:rsidRDefault="007702CD" w:rsidP="008E33FD">
            <w:pPr>
              <w:pStyle w:val="TableParagraph"/>
              <w:spacing w:before="121" w:line="278" w:lineRule="auto"/>
              <w:ind w:left="1231" w:right="149" w:hanging="1057"/>
              <w:jc w:val="both"/>
              <w:rPr>
                <w:b/>
                <w:color w:val="000000" w:themeColor="text1"/>
                <w:sz w:val="24"/>
                <w:szCs w:val="24"/>
              </w:rPr>
            </w:pPr>
            <w:r w:rsidRPr="00C56257">
              <w:rPr>
                <w:b/>
                <w:color w:val="000000" w:themeColor="text1"/>
                <w:sz w:val="24"/>
                <w:szCs w:val="24"/>
              </w:rPr>
              <w:t>Denumirea şi codul Natura</w:t>
            </w:r>
            <w:r w:rsidRPr="00C56257">
              <w:rPr>
                <w:b/>
                <w:color w:val="000000" w:themeColor="text1"/>
                <w:spacing w:val="-52"/>
                <w:sz w:val="24"/>
                <w:szCs w:val="24"/>
              </w:rPr>
              <w:t xml:space="preserve"> </w:t>
            </w:r>
            <w:r w:rsidRPr="00C56257">
              <w:rPr>
                <w:b/>
                <w:color w:val="000000" w:themeColor="text1"/>
                <w:sz w:val="24"/>
                <w:szCs w:val="24"/>
              </w:rPr>
              <w:t>2000</w:t>
            </w:r>
          </w:p>
        </w:tc>
        <w:tc>
          <w:tcPr>
            <w:tcW w:w="6781" w:type="dxa"/>
            <w:gridSpan w:val="12"/>
            <w:shd w:val="clear" w:color="auto" w:fill="D9D9D9"/>
          </w:tcPr>
          <w:p w14:paraId="192383D6" w14:textId="77777777" w:rsidR="007702CD" w:rsidRPr="00C56257" w:rsidRDefault="007702CD" w:rsidP="008E33FD">
            <w:pPr>
              <w:pStyle w:val="TableParagraph"/>
              <w:spacing w:before="17"/>
              <w:ind w:left="1846"/>
              <w:jc w:val="both"/>
              <w:rPr>
                <w:b/>
                <w:color w:val="000000" w:themeColor="text1"/>
                <w:sz w:val="24"/>
                <w:szCs w:val="24"/>
              </w:rPr>
            </w:pPr>
            <w:r w:rsidRPr="00C56257">
              <w:rPr>
                <w:b/>
                <w:color w:val="000000" w:themeColor="text1"/>
                <w:sz w:val="24"/>
                <w:szCs w:val="24"/>
              </w:rPr>
              <w:t>Perioade</w:t>
            </w:r>
            <w:r w:rsidRPr="00C56257">
              <w:rPr>
                <w:b/>
                <w:color w:val="000000" w:themeColor="text1"/>
                <w:spacing w:val="-1"/>
                <w:sz w:val="24"/>
                <w:szCs w:val="24"/>
              </w:rPr>
              <w:t xml:space="preserve"> </w:t>
            </w:r>
            <w:r w:rsidRPr="00C56257">
              <w:rPr>
                <w:b/>
                <w:color w:val="000000" w:themeColor="text1"/>
                <w:sz w:val="24"/>
                <w:szCs w:val="24"/>
              </w:rPr>
              <w:t>optime</w:t>
            </w:r>
            <w:r w:rsidRPr="00C56257">
              <w:rPr>
                <w:b/>
                <w:color w:val="000000" w:themeColor="text1"/>
                <w:spacing w:val="-1"/>
                <w:sz w:val="24"/>
                <w:szCs w:val="24"/>
              </w:rPr>
              <w:t xml:space="preserve"> </w:t>
            </w:r>
            <w:r w:rsidRPr="00C56257">
              <w:rPr>
                <w:b/>
                <w:color w:val="000000" w:themeColor="text1"/>
                <w:sz w:val="24"/>
                <w:szCs w:val="24"/>
              </w:rPr>
              <w:t>de</w:t>
            </w:r>
            <w:r w:rsidRPr="00C56257">
              <w:rPr>
                <w:b/>
                <w:color w:val="000000" w:themeColor="text1"/>
                <w:spacing w:val="-3"/>
                <w:sz w:val="24"/>
                <w:szCs w:val="24"/>
              </w:rPr>
              <w:t xml:space="preserve"> </w:t>
            </w:r>
            <w:r w:rsidRPr="00C56257">
              <w:rPr>
                <w:b/>
                <w:color w:val="000000" w:themeColor="text1"/>
                <w:sz w:val="24"/>
                <w:szCs w:val="24"/>
              </w:rPr>
              <w:t>monitorizare</w:t>
            </w:r>
          </w:p>
        </w:tc>
        <w:tc>
          <w:tcPr>
            <w:tcW w:w="2765" w:type="dxa"/>
            <w:gridSpan w:val="2"/>
            <w:vMerge w:val="restart"/>
            <w:shd w:val="clear" w:color="auto" w:fill="D9D9D9"/>
          </w:tcPr>
          <w:p w14:paraId="0285649D" w14:textId="77777777" w:rsidR="007702CD" w:rsidRPr="00C56257" w:rsidRDefault="007702CD" w:rsidP="008E33FD">
            <w:pPr>
              <w:pStyle w:val="TableParagraph"/>
              <w:spacing w:before="2"/>
              <w:jc w:val="both"/>
              <w:rPr>
                <w:b/>
                <w:color w:val="000000" w:themeColor="text1"/>
                <w:sz w:val="24"/>
                <w:szCs w:val="24"/>
              </w:rPr>
            </w:pPr>
          </w:p>
          <w:p w14:paraId="52719388" w14:textId="77777777" w:rsidR="007702CD" w:rsidRPr="00C56257" w:rsidRDefault="007702CD" w:rsidP="008E33FD">
            <w:pPr>
              <w:pStyle w:val="TableParagraph"/>
              <w:ind w:left="605"/>
              <w:jc w:val="both"/>
              <w:rPr>
                <w:b/>
                <w:color w:val="000000" w:themeColor="text1"/>
                <w:sz w:val="24"/>
                <w:szCs w:val="24"/>
              </w:rPr>
            </w:pPr>
            <w:r w:rsidRPr="00C56257">
              <w:rPr>
                <w:b/>
                <w:color w:val="000000" w:themeColor="text1"/>
                <w:sz w:val="24"/>
                <w:szCs w:val="24"/>
              </w:rPr>
              <w:t>Metoda</w:t>
            </w:r>
            <w:r w:rsidRPr="00C56257">
              <w:rPr>
                <w:b/>
                <w:color w:val="000000" w:themeColor="text1"/>
                <w:spacing w:val="-3"/>
                <w:sz w:val="24"/>
                <w:szCs w:val="24"/>
              </w:rPr>
              <w:t xml:space="preserve"> </w:t>
            </w:r>
            <w:r w:rsidRPr="00C56257">
              <w:rPr>
                <w:b/>
                <w:color w:val="000000" w:themeColor="text1"/>
                <w:sz w:val="24"/>
                <w:szCs w:val="24"/>
              </w:rPr>
              <w:t>utilizată</w:t>
            </w:r>
          </w:p>
        </w:tc>
        <w:tc>
          <w:tcPr>
            <w:tcW w:w="2437" w:type="dxa"/>
            <w:vMerge w:val="restart"/>
            <w:shd w:val="clear" w:color="auto" w:fill="D9D9D9"/>
          </w:tcPr>
          <w:p w14:paraId="6A35A099" w14:textId="77777777" w:rsidR="007702CD" w:rsidRPr="00C56257" w:rsidRDefault="007702CD" w:rsidP="008E33FD">
            <w:pPr>
              <w:pStyle w:val="TableParagraph"/>
              <w:spacing w:before="2"/>
              <w:jc w:val="both"/>
              <w:rPr>
                <w:b/>
                <w:color w:val="000000" w:themeColor="text1"/>
                <w:sz w:val="24"/>
                <w:szCs w:val="24"/>
              </w:rPr>
            </w:pPr>
          </w:p>
          <w:p w14:paraId="265EF669" w14:textId="77777777" w:rsidR="007702CD" w:rsidRPr="00C56257" w:rsidRDefault="007702CD" w:rsidP="008E33FD">
            <w:pPr>
              <w:pStyle w:val="TableParagraph"/>
              <w:ind w:left="979" w:right="971"/>
              <w:jc w:val="both"/>
              <w:rPr>
                <w:b/>
                <w:color w:val="000000" w:themeColor="text1"/>
                <w:sz w:val="24"/>
                <w:szCs w:val="24"/>
              </w:rPr>
            </w:pPr>
            <w:r w:rsidRPr="00C56257">
              <w:rPr>
                <w:b/>
                <w:color w:val="000000" w:themeColor="text1"/>
                <w:sz w:val="24"/>
                <w:szCs w:val="24"/>
              </w:rPr>
              <w:t>Obs.</w:t>
            </w:r>
          </w:p>
        </w:tc>
      </w:tr>
      <w:tr w:rsidR="007702CD" w:rsidRPr="00C56257" w14:paraId="5956C0F6" w14:textId="77777777" w:rsidTr="0003674E">
        <w:trPr>
          <w:trHeight w:val="491"/>
        </w:trPr>
        <w:tc>
          <w:tcPr>
            <w:tcW w:w="2902" w:type="dxa"/>
            <w:vMerge/>
            <w:tcBorders>
              <w:top w:val="nil"/>
            </w:tcBorders>
            <w:shd w:val="clear" w:color="auto" w:fill="D9D9D9"/>
          </w:tcPr>
          <w:p w14:paraId="73C9B6CD" w14:textId="77777777" w:rsidR="007702CD" w:rsidRPr="00C56257" w:rsidRDefault="007702CD" w:rsidP="008E33FD">
            <w:pPr>
              <w:jc w:val="both"/>
              <w:rPr>
                <w:color w:val="000000" w:themeColor="text1"/>
              </w:rPr>
            </w:pPr>
          </w:p>
        </w:tc>
        <w:tc>
          <w:tcPr>
            <w:tcW w:w="521" w:type="dxa"/>
            <w:shd w:val="clear" w:color="auto" w:fill="D9D9D9"/>
          </w:tcPr>
          <w:p w14:paraId="1C76C944" w14:textId="77777777" w:rsidR="007702CD" w:rsidRPr="00C56257" w:rsidRDefault="007702CD" w:rsidP="008E33FD">
            <w:pPr>
              <w:pStyle w:val="TableParagraph"/>
              <w:spacing w:line="249" w:lineRule="exact"/>
              <w:ind w:left="28"/>
              <w:jc w:val="both"/>
              <w:rPr>
                <w:color w:val="000000" w:themeColor="text1"/>
                <w:sz w:val="24"/>
                <w:szCs w:val="24"/>
              </w:rPr>
            </w:pPr>
            <w:r w:rsidRPr="00C56257">
              <w:rPr>
                <w:color w:val="000000" w:themeColor="text1"/>
                <w:sz w:val="24"/>
                <w:szCs w:val="24"/>
              </w:rPr>
              <w:t>I</w:t>
            </w:r>
          </w:p>
        </w:tc>
        <w:tc>
          <w:tcPr>
            <w:tcW w:w="541" w:type="dxa"/>
            <w:shd w:val="clear" w:color="auto" w:fill="D9D9D9"/>
          </w:tcPr>
          <w:p w14:paraId="1413F3AC" w14:textId="77777777" w:rsidR="007702CD" w:rsidRPr="00C56257" w:rsidRDefault="007702CD" w:rsidP="008E33FD">
            <w:pPr>
              <w:pStyle w:val="TableParagraph"/>
              <w:spacing w:line="249" w:lineRule="exact"/>
              <w:ind w:left="25"/>
              <w:jc w:val="both"/>
              <w:rPr>
                <w:color w:val="000000" w:themeColor="text1"/>
                <w:sz w:val="24"/>
                <w:szCs w:val="24"/>
              </w:rPr>
            </w:pPr>
            <w:r w:rsidRPr="00C56257">
              <w:rPr>
                <w:color w:val="000000" w:themeColor="text1"/>
                <w:sz w:val="24"/>
                <w:szCs w:val="24"/>
              </w:rPr>
              <w:t>II</w:t>
            </w:r>
          </w:p>
        </w:tc>
        <w:tc>
          <w:tcPr>
            <w:tcW w:w="557" w:type="dxa"/>
            <w:shd w:val="clear" w:color="auto" w:fill="D9D9D9"/>
          </w:tcPr>
          <w:p w14:paraId="5C77C947" w14:textId="77777777" w:rsidR="007702CD" w:rsidRPr="00C56257" w:rsidRDefault="007702CD" w:rsidP="008E33FD">
            <w:pPr>
              <w:pStyle w:val="TableParagraph"/>
              <w:spacing w:line="249" w:lineRule="exact"/>
              <w:ind w:left="27"/>
              <w:jc w:val="both"/>
              <w:rPr>
                <w:color w:val="000000" w:themeColor="text1"/>
                <w:sz w:val="24"/>
                <w:szCs w:val="24"/>
              </w:rPr>
            </w:pPr>
            <w:r w:rsidRPr="00C56257">
              <w:rPr>
                <w:color w:val="000000" w:themeColor="text1"/>
                <w:sz w:val="24"/>
                <w:szCs w:val="24"/>
              </w:rPr>
              <w:t>III</w:t>
            </w:r>
          </w:p>
        </w:tc>
        <w:tc>
          <w:tcPr>
            <w:tcW w:w="557" w:type="dxa"/>
            <w:shd w:val="clear" w:color="auto" w:fill="D9D9D9"/>
          </w:tcPr>
          <w:p w14:paraId="7A7180AE" w14:textId="77777777" w:rsidR="007702CD" w:rsidRPr="00C56257" w:rsidRDefault="007702CD" w:rsidP="008E33FD">
            <w:pPr>
              <w:pStyle w:val="TableParagraph"/>
              <w:spacing w:line="249" w:lineRule="exact"/>
              <w:ind w:left="25"/>
              <w:jc w:val="both"/>
              <w:rPr>
                <w:color w:val="000000" w:themeColor="text1"/>
                <w:sz w:val="24"/>
                <w:szCs w:val="24"/>
              </w:rPr>
            </w:pPr>
            <w:r w:rsidRPr="00C56257">
              <w:rPr>
                <w:color w:val="000000" w:themeColor="text1"/>
                <w:sz w:val="24"/>
                <w:szCs w:val="24"/>
              </w:rPr>
              <w:t>IV</w:t>
            </w:r>
          </w:p>
        </w:tc>
        <w:tc>
          <w:tcPr>
            <w:tcW w:w="557" w:type="dxa"/>
            <w:shd w:val="clear" w:color="auto" w:fill="D9D9D9"/>
          </w:tcPr>
          <w:p w14:paraId="6F6295E2" w14:textId="77777777" w:rsidR="007702CD" w:rsidRPr="00C56257" w:rsidRDefault="007702CD" w:rsidP="008E33FD">
            <w:pPr>
              <w:pStyle w:val="TableParagraph"/>
              <w:spacing w:line="249" w:lineRule="exact"/>
              <w:ind w:left="25"/>
              <w:jc w:val="both"/>
              <w:rPr>
                <w:color w:val="000000" w:themeColor="text1"/>
                <w:sz w:val="24"/>
                <w:szCs w:val="24"/>
              </w:rPr>
            </w:pPr>
            <w:r w:rsidRPr="00C56257">
              <w:rPr>
                <w:color w:val="000000" w:themeColor="text1"/>
                <w:sz w:val="24"/>
                <w:szCs w:val="24"/>
              </w:rPr>
              <w:t>V</w:t>
            </w:r>
          </w:p>
        </w:tc>
        <w:tc>
          <w:tcPr>
            <w:tcW w:w="557" w:type="dxa"/>
            <w:shd w:val="clear" w:color="auto" w:fill="D9D9D9"/>
          </w:tcPr>
          <w:p w14:paraId="341CF6EA" w14:textId="77777777" w:rsidR="007702CD" w:rsidRPr="00C56257" w:rsidRDefault="007702CD" w:rsidP="008E33FD">
            <w:pPr>
              <w:pStyle w:val="TableParagraph"/>
              <w:spacing w:line="249" w:lineRule="exact"/>
              <w:ind w:left="24"/>
              <w:jc w:val="both"/>
              <w:rPr>
                <w:color w:val="000000" w:themeColor="text1"/>
                <w:sz w:val="24"/>
                <w:szCs w:val="24"/>
              </w:rPr>
            </w:pPr>
            <w:r w:rsidRPr="00C56257">
              <w:rPr>
                <w:color w:val="000000" w:themeColor="text1"/>
                <w:sz w:val="24"/>
                <w:szCs w:val="24"/>
              </w:rPr>
              <w:t>VI</w:t>
            </w:r>
          </w:p>
        </w:tc>
        <w:tc>
          <w:tcPr>
            <w:tcW w:w="502" w:type="dxa"/>
            <w:shd w:val="clear" w:color="auto" w:fill="D9D9D9"/>
          </w:tcPr>
          <w:p w14:paraId="56393391" w14:textId="77777777" w:rsidR="007702CD" w:rsidRPr="00C56257" w:rsidRDefault="007702CD" w:rsidP="008E33FD">
            <w:pPr>
              <w:pStyle w:val="TableParagraph"/>
              <w:spacing w:line="249" w:lineRule="exact"/>
              <w:ind w:left="24"/>
              <w:jc w:val="both"/>
              <w:rPr>
                <w:color w:val="000000" w:themeColor="text1"/>
                <w:sz w:val="24"/>
                <w:szCs w:val="24"/>
              </w:rPr>
            </w:pPr>
            <w:r w:rsidRPr="00C56257">
              <w:rPr>
                <w:color w:val="000000" w:themeColor="text1"/>
                <w:sz w:val="24"/>
                <w:szCs w:val="24"/>
              </w:rPr>
              <w:t>VII</w:t>
            </w:r>
          </w:p>
        </w:tc>
        <w:tc>
          <w:tcPr>
            <w:tcW w:w="557" w:type="dxa"/>
            <w:shd w:val="clear" w:color="auto" w:fill="D9D9D9"/>
          </w:tcPr>
          <w:p w14:paraId="6B7C233B" w14:textId="77777777" w:rsidR="007702CD" w:rsidRPr="00C56257" w:rsidRDefault="007702CD" w:rsidP="008E33FD">
            <w:pPr>
              <w:pStyle w:val="TableParagraph"/>
              <w:spacing w:line="249" w:lineRule="exact"/>
              <w:ind w:left="27"/>
              <w:jc w:val="both"/>
              <w:rPr>
                <w:color w:val="000000" w:themeColor="text1"/>
                <w:sz w:val="24"/>
                <w:szCs w:val="24"/>
              </w:rPr>
            </w:pPr>
            <w:r w:rsidRPr="00C56257">
              <w:rPr>
                <w:color w:val="000000" w:themeColor="text1"/>
                <w:sz w:val="24"/>
                <w:szCs w:val="24"/>
              </w:rPr>
              <w:t>VIII</w:t>
            </w:r>
          </w:p>
        </w:tc>
        <w:tc>
          <w:tcPr>
            <w:tcW w:w="557" w:type="dxa"/>
            <w:shd w:val="clear" w:color="auto" w:fill="D9D9D9"/>
          </w:tcPr>
          <w:p w14:paraId="14607B4F" w14:textId="77777777" w:rsidR="007702CD" w:rsidRPr="00C56257" w:rsidRDefault="007702CD" w:rsidP="008E33FD">
            <w:pPr>
              <w:pStyle w:val="TableParagraph"/>
              <w:spacing w:line="249" w:lineRule="exact"/>
              <w:ind w:left="26"/>
              <w:jc w:val="both"/>
              <w:rPr>
                <w:color w:val="000000" w:themeColor="text1"/>
                <w:sz w:val="24"/>
                <w:szCs w:val="24"/>
              </w:rPr>
            </w:pPr>
            <w:r w:rsidRPr="00C56257">
              <w:rPr>
                <w:color w:val="000000" w:themeColor="text1"/>
                <w:sz w:val="24"/>
                <w:szCs w:val="24"/>
              </w:rPr>
              <w:t>IX</w:t>
            </w:r>
          </w:p>
        </w:tc>
        <w:tc>
          <w:tcPr>
            <w:tcW w:w="559" w:type="dxa"/>
            <w:shd w:val="clear" w:color="auto" w:fill="D9D9D9"/>
          </w:tcPr>
          <w:p w14:paraId="54673654" w14:textId="77777777" w:rsidR="007702CD" w:rsidRPr="00C56257" w:rsidRDefault="007702CD" w:rsidP="008E33FD">
            <w:pPr>
              <w:pStyle w:val="TableParagraph"/>
              <w:spacing w:line="249" w:lineRule="exact"/>
              <w:ind w:left="26"/>
              <w:jc w:val="both"/>
              <w:rPr>
                <w:color w:val="000000" w:themeColor="text1"/>
                <w:sz w:val="24"/>
                <w:szCs w:val="24"/>
              </w:rPr>
            </w:pPr>
            <w:r w:rsidRPr="00C56257">
              <w:rPr>
                <w:color w:val="000000" w:themeColor="text1"/>
                <w:sz w:val="24"/>
                <w:szCs w:val="24"/>
              </w:rPr>
              <w:t>X</w:t>
            </w:r>
          </w:p>
        </w:tc>
        <w:tc>
          <w:tcPr>
            <w:tcW w:w="557" w:type="dxa"/>
            <w:shd w:val="clear" w:color="auto" w:fill="D9D9D9"/>
          </w:tcPr>
          <w:p w14:paraId="169C09F0" w14:textId="77777777" w:rsidR="007702CD" w:rsidRPr="00C56257" w:rsidRDefault="007702CD" w:rsidP="008E33FD">
            <w:pPr>
              <w:pStyle w:val="TableParagraph"/>
              <w:spacing w:line="249" w:lineRule="exact"/>
              <w:ind w:left="24"/>
              <w:jc w:val="both"/>
              <w:rPr>
                <w:color w:val="000000" w:themeColor="text1"/>
                <w:sz w:val="24"/>
                <w:szCs w:val="24"/>
              </w:rPr>
            </w:pPr>
            <w:r w:rsidRPr="00C56257">
              <w:rPr>
                <w:color w:val="000000" w:themeColor="text1"/>
                <w:sz w:val="24"/>
                <w:szCs w:val="24"/>
              </w:rPr>
              <w:t>XI</w:t>
            </w:r>
          </w:p>
        </w:tc>
        <w:tc>
          <w:tcPr>
            <w:tcW w:w="759" w:type="dxa"/>
            <w:shd w:val="clear" w:color="auto" w:fill="D9D9D9"/>
          </w:tcPr>
          <w:p w14:paraId="7B35F25B" w14:textId="77777777" w:rsidR="007702CD" w:rsidRPr="00C56257" w:rsidRDefault="007702CD" w:rsidP="008E33FD">
            <w:pPr>
              <w:pStyle w:val="TableParagraph"/>
              <w:spacing w:line="249" w:lineRule="exact"/>
              <w:ind w:left="24"/>
              <w:jc w:val="both"/>
              <w:rPr>
                <w:color w:val="000000" w:themeColor="text1"/>
                <w:sz w:val="24"/>
                <w:szCs w:val="24"/>
              </w:rPr>
            </w:pPr>
            <w:r w:rsidRPr="00C56257">
              <w:rPr>
                <w:color w:val="000000" w:themeColor="text1"/>
                <w:sz w:val="24"/>
                <w:szCs w:val="24"/>
              </w:rPr>
              <w:t>XII</w:t>
            </w:r>
          </w:p>
        </w:tc>
        <w:tc>
          <w:tcPr>
            <w:tcW w:w="2765" w:type="dxa"/>
            <w:gridSpan w:val="2"/>
            <w:vMerge/>
            <w:tcBorders>
              <w:top w:val="nil"/>
            </w:tcBorders>
            <w:shd w:val="clear" w:color="auto" w:fill="D9D9D9"/>
          </w:tcPr>
          <w:p w14:paraId="5F9F99C6" w14:textId="77777777" w:rsidR="007702CD" w:rsidRPr="00C56257" w:rsidRDefault="007702CD" w:rsidP="008E33FD">
            <w:pPr>
              <w:jc w:val="both"/>
              <w:rPr>
                <w:color w:val="000000" w:themeColor="text1"/>
              </w:rPr>
            </w:pPr>
          </w:p>
        </w:tc>
        <w:tc>
          <w:tcPr>
            <w:tcW w:w="2437" w:type="dxa"/>
            <w:vMerge/>
            <w:tcBorders>
              <w:top w:val="nil"/>
            </w:tcBorders>
            <w:shd w:val="clear" w:color="auto" w:fill="D9D9D9"/>
          </w:tcPr>
          <w:p w14:paraId="08DB1F91" w14:textId="77777777" w:rsidR="007702CD" w:rsidRPr="00C56257" w:rsidRDefault="007702CD" w:rsidP="008E33FD">
            <w:pPr>
              <w:jc w:val="both"/>
              <w:rPr>
                <w:color w:val="000000" w:themeColor="text1"/>
              </w:rPr>
            </w:pPr>
          </w:p>
        </w:tc>
      </w:tr>
      <w:tr w:rsidR="007702CD" w:rsidRPr="00C56257" w14:paraId="0260853D" w14:textId="77777777" w:rsidTr="0003674E">
        <w:trPr>
          <w:trHeight w:val="1764"/>
        </w:trPr>
        <w:tc>
          <w:tcPr>
            <w:tcW w:w="2902" w:type="dxa"/>
          </w:tcPr>
          <w:p w14:paraId="70357B8D" w14:textId="77777777" w:rsidR="007702CD" w:rsidRPr="00C56257" w:rsidRDefault="007702CD" w:rsidP="008E33FD">
            <w:pPr>
              <w:pStyle w:val="TableParagraph"/>
              <w:spacing w:before="3"/>
              <w:jc w:val="both"/>
              <w:rPr>
                <w:b/>
                <w:color w:val="000000" w:themeColor="text1"/>
                <w:sz w:val="24"/>
                <w:szCs w:val="24"/>
              </w:rPr>
            </w:pPr>
          </w:p>
          <w:p w14:paraId="4ED1B66D" w14:textId="77777777" w:rsidR="007702CD" w:rsidRPr="00C56257" w:rsidRDefault="007702CD" w:rsidP="008E33FD">
            <w:pPr>
              <w:pStyle w:val="TableParagraph"/>
              <w:ind w:left="86" w:right="66"/>
              <w:jc w:val="both"/>
              <w:rPr>
                <w:color w:val="000000" w:themeColor="text1"/>
                <w:sz w:val="24"/>
                <w:szCs w:val="24"/>
              </w:rPr>
            </w:pPr>
            <w:r w:rsidRPr="00C56257">
              <w:rPr>
                <w:color w:val="000000" w:themeColor="text1"/>
                <w:sz w:val="24"/>
                <w:szCs w:val="24"/>
              </w:rPr>
              <w:t>8110 Grohotișuri silicioase din</w:t>
            </w:r>
            <w:r w:rsidRPr="00C56257">
              <w:rPr>
                <w:color w:val="000000" w:themeColor="text1"/>
                <w:spacing w:val="-52"/>
                <w:sz w:val="24"/>
                <w:szCs w:val="24"/>
              </w:rPr>
              <w:t xml:space="preserve"> </w:t>
            </w:r>
            <w:r w:rsidRPr="00C56257">
              <w:rPr>
                <w:color w:val="000000" w:themeColor="text1"/>
                <w:sz w:val="24"/>
                <w:szCs w:val="24"/>
              </w:rPr>
              <w:t>etajele</w:t>
            </w:r>
            <w:r w:rsidRPr="00C56257">
              <w:rPr>
                <w:color w:val="000000" w:themeColor="text1"/>
                <w:spacing w:val="-1"/>
                <w:sz w:val="24"/>
                <w:szCs w:val="24"/>
              </w:rPr>
              <w:t xml:space="preserve"> </w:t>
            </w:r>
            <w:r w:rsidRPr="00C56257">
              <w:rPr>
                <w:color w:val="000000" w:themeColor="text1"/>
                <w:sz w:val="24"/>
                <w:szCs w:val="24"/>
              </w:rPr>
              <w:t>montan și alpin</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1"/>
                <w:sz w:val="24"/>
                <w:szCs w:val="24"/>
              </w:rPr>
              <w:t xml:space="preserve"> </w:t>
            </w:r>
            <w:r w:rsidRPr="00C56257">
              <w:rPr>
                <w:color w:val="000000" w:themeColor="text1"/>
                <w:sz w:val="24"/>
                <w:szCs w:val="24"/>
              </w:rPr>
              <w:t>Androsacetalia alpinae și</w:t>
            </w:r>
            <w:r w:rsidRPr="00C56257">
              <w:rPr>
                <w:color w:val="000000" w:themeColor="text1"/>
                <w:spacing w:val="1"/>
                <w:sz w:val="24"/>
                <w:szCs w:val="24"/>
              </w:rPr>
              <w:t xml:space="preserve"> </w:t>
            </w:r>
            <w:r w:rsidRPr="00C56257">
              <w:rPr>
                <w:color w:val="000000" w:themeColor="text1"/>
                <w:sz w:val="24"/>
                <w:szCs w:val="24"/>
              </w:rPr>
              <w:t>Galeopsitalia</w:t>
            </w:r>
            <w:r w:rsidRPr="00C56257">
              <w:rPr>
                <w:color w:val="000000" w:themeColor="text1"/>
                <w:spacing w:val="-3"/>
                <w:sz w:val="24"/>
                <w:szCs w:val="24"/>
              </w:rPr>
              <w:t xml:space="preserve"> </w:t>
            </w:r>
            <w:r w:rsidRPr="00C56257">
              <w:rPr>
                <w:color w:val="000000" w:themeColor="text1"/>
                <w:sz w:val="24"/>
                <w:szCs w:val="24"/>
              </w:rPr>
              <w:t>ladani</w:t>
            </w:r>
          </w:p>
        </w:tc>
        <w:tc>
          <w:tcPr>
            <w:tcW w:w="521" w:type="dxa"/>
          </w:tcPr>
          <w:p w14:paraId="5E504425" w14:textId="77777777" w:rsidR="007702CD" w:rsidRPr="00C56257" w:rsidRDefault="007702CD" w:rsidP="008E33FD">
            <w:pPr>
              <w:pStyle w:val="TableParagraph"/>
              <w:jc w:val="both"/>
              <w:rPr>
                <w:color w:val="000000" w:themeColor="text1"/>
                <w:sz w:val="24"/>
                <w:szCs w:val="24"/>
              </w:rPr>
            </w:pPr>
          </w:p>
        </w:tc>
        <w:tc>
          <w:tcPr>
            <w:tcW w:w="541" w:type="dxa"/>
          </w:tcPr>
          <w:p w14:paraId="48532365" w14:textId="77777777" w:rsidR="007702CD" w:rsidRPr="00C56257" w:rsidRDefault="007702CD" w:rsidP="008E33FD">
            <w:pPr>
              <w:pStyle w:val="TableParagraph"/>
              <w:jc w:val="both"/>
              <w:rPr>
                <w:color w:val="000000" w:themeColor="text1"/>
                <w:sz w:val="24"/>
                <w:szCs w:val="24"/>
              </w:rPr>
            </w:pPr>
          </w:p>
        </w:tc>
        <w:tc>
          <w:tcPr>
            <w:tcW w:w="557" w:type="dxa"/>
          </w:tcPr>
          <w:p w14:paraId="3881BF5F"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649765A5"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1F234562"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27297D4C" w14:textId="77777777" w:rsidR="007702CD" w:rsidRPr="00C56257" w:rsidRDefault="007702CD" w:rsidP="008E33FD">
            <w:pPr>
              <w:pStyle w:val="TableParagraph"/>
              <w:jc w:val="both"/>
              <w:rPr>
                <w:color w:val="000000" w:themeColor="text1"/>
                <w:sz w:val="24"/>
                <w:szCs w:val="24"/>
              </w:rPr>
            </w:pPr>
          </w:p>
        </w:tc>
        <w:tc>
          <w:tcPr>
            <w:tcW w:w="502" w:type="dxa"/>
            <w:shd w:val="clear" w:color="auto" w:fill="BEBEBE"/>
          </w:tcPr>
          <w:p w14:paraId="7DB88507"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2AD45521"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2ED2A8EF" w14:textId="77777777" w:rsidR="007702CD" w:rsidRPr="00C56257" w:rsidRDefault="007702CD" w:rsidP="008E33FD">
            <w:pPr>
              <w:pStyle w:val="TableParagraph"/>
              <w:jc w:val="both"/>
              <w:rPr>
                <w:color w:val="000000" w:themeColor="text1"/>
                <w:sz w:val="24"/>
                <w:szCs w:val="24"/>
              </w:rPr>
            </w:pPr>
          </w:p>
        </w:tc>
        <w:tc>
          <w:tcPr>
            <w:tcW w:w="559" w:type="dxa"/>
            <w:shd w:val="clear" w:color="auto" w:fill="BEBEBE"/>
          </w:tcPr>
          <w:p w14:paraId="62A79969" w14:textId="77777777" w:rsidR="007702CD" w:rsidRPr="00C56257" w:rsidRDefault="007702CD" w:rsidP="008E33FD">
            <w:pPr>
              <w:pStyle w:val="TableParagraph"/>
              <w:jc w:val="both"/>
              <w:rPr>
                <w:color w:val="000000" w:themeColor="text1"/>
                <w:sz w:val="24"/>
                <w:szCs w:val="24"/>
              </w:rPr>
            </w:pPr>
          </w:p>
        </w:tc>
        <w:tc>
          <w:tcPr>
            <w:tcW w:w="557" w:type="dxa"/>
          </w:tcPr>
          <w:p w14:paraId="52B54103" w14:textId="77777777" w:rsidR="007702CD" w:rsidRPr="00C56257" w:rsidRDefault="007702CD" w:rsidP="008E33FD">
            <w:pPr>
              <w:pStyle w:val="TableParagraph"/>
              <w:jc w:val="both"/>
              <w:rPr>
                <w:color w:val="000000" w:themeColor="text1"/>
                <w:sz w:val="24"/>
                <w:szCs w:val="24"/>
              </w:rPr>
            </w:pPr>
          </w:p>
        </w:tc>
        <w:tc>
          <w:tcPr>
            <w:tcW w:w="759" w:type="dxa"/>
          </w:tcPr>
          <w:p w14:paraId="0E8BF133" w14:textId="77777777" w:rsidR="007702CD" w:rsidRPr="00C56257" w:rsidRDefault="007702CD" w:rsidP="008E33FD">
            <w:pPr>
              <w:pStyle w:val="TableParagraph"/>
              <w:jc w:val="both"/>
              <w:rPr>
                <w:color w:val="000000" w:themeColor="text1"/>
                <w:sz w:val="24"/>
                <w:szCs w:val="24"/>
              </w:rPr>
            </w:pPr>
          </w:p>
        </w:tc>
        <w:tc>
          <w:tcPr>
            <w:tcW w:w="2547" w:type="dxa"/>
            <w:tcBorders>
              <w:right w:val="nil"/>
            </w:tcBorders>
          </w:tcPr>
          <w:p w14:paraId="29B0F497" w14:textId="77777777" w:rsidR="007702CD" w:rsidRPr="00C56257" w:rsidRDefault="007702CD" w:rsidP="008E33FD">
            <w:pPr>
              <w:pStyle w:val="TableParagraph"/>
              <w:spacing w:line="247" w:lineRule="exact"/>
              <w:ind w:left="24"/>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04A40E24" w14:textId="77777777" w:rsidR="007702CD" w:rsidRPr="00C56257" w:rsidRDefault="007702CD" w:rsidP="008E33FD">
            <w:pPr>
              <w:pStyle w:val="TableParagraph"/>
              <w:spacing w:before="9"/>
              <w:jc w:val="both"/>
              <w:rPr>
                <w:b/>
                <w:color w:val="000000" w:themeColor="text1"/>
                <w:sz w:val="24"/>
                <w:szCs w:val="24"/>
              </w:rPr>
            </w:pPr>
          </w:p>
          <w:p w14:paraId="24BF20EB" w14:textId="77777777" w:rsidR="007702CD" w:rsidRPr="00C56257" w:rsidRDefault="007702CD" w:rsidP="009E63E5">
            <w:pPr>
              <w:pStyle w:val="TableParagraph"/>
              <w:numPr>
                <w:ilvl w:val="0"/>
                <w:numId w:val="50"/>
              </w:numPr>
              <w:tabs>
                <w:tab w:val="left" w:pos="277"/>
              </w:tabs>
              <w:spacing w:line="276" w:lineRule="auto"/>
              <w:ind w:right="83" w:firstLine="0"/>
              <w:jc w:val="both"/>
              <w:rPr>
                <w:color w:val="000000" w:themeColor="text1"/>
                <w:sz w:val="24"/>
                <w:szCs w:val="24"/>
              </w:rPr>
            </w:pPr>
            <w:r w:rsidRPr="00C56257">
              <w:rPr>
                <w:color w:val="000000" w:themeColor="text1"/>
                <w:sz w:val="24"/>
                <w:szCs w:val="24"/>
              </w:rPr>
              <w:t>metoda</w:t>
            </w:r>
            <w:r w:rsidRPr="00C56257">
              <w:rPr>
                <w:color w:val="000000" w:themeColor="text1"/>
                <w:spacing w:val="8"/>
                <w:sz w:val="24"/>
                <w:szCs w:val="24"/>
              </w:rPr>
              <w:t xml:space="preserve"> </w:t>
            </w:r>
            <w:r w:rsidRPr="00C56257">
              <w:rPr>
                <w:color w:val="000000" w:themeColor="text1"/>
                <w:sz w:val="24"/>
                <w:szCs w:val="24"/>
              </w:rPr>
              <w:t>releveelor</w:t>
            </w:r>
            <w:r w:rsidRPr="00C56257">
              <w:rPr>
                <w:color w:val="000000" w:themeColor="text1"/>
                <w:spacing w:val="8"/>
                <w:sz w:val="24"/>
                <w:szCs w:val="24"/>
              </w:rPr>
              <w:t xml:space="preserve">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535EA6CB" w14:textId="77777777" w:rsidR="007702CD" w:rsidRPr="00C56257" w:rsidRDefault="007702CD" w:rsidP="009E63E5">
            <w:pPr>
              <w:pStyle w:val="TableParagraph"/>
              <w:numPr>
                <w:ilvl w:val="0"/>
                <w:numId w:val="50"/>
              </w:numPr>
              <w:tabs>
                <w:tab w:val="left" w:pos="262"/>
              </w:tabs>
              <w:spacing w:before="201"/>
              <w:ind w:left="262" w:hanging="238"/>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18" w:type="dxa"/>
            <w:tcBorders>
              <w:left w:val="nil"/>
            </w:tcBorders>
          </w:tcPr>
          <w:p w14:paraId="7131A843" w14:textId="77777777" w:rsidR="007702CD" w:rsidRPr="00C56257" w:rsidRDefault="007702CD" w:rsidP="008E33FD">
            <w:pPr>
              <w:pStyle w:val="TableParagraph"/>
              <w:jc w:val="both"/>
              <w:rPr>
                <w:b/>
                <w:color w:val="000000" w:themeColor="text1"/>
                <w:sz w:val="24"/>
                <w:szCs w:val="24"/>
              </w:rPr>
            </w:pPr>
          </w:p>
          <w:p w14:paraId="19110F79" w14:textId="77777777" w:rsidR="007702CD" w:rsidRPr="00C56257" w:rsidRDefault="007702CD" w:rsidP="008E33FD">
            <w:pPr>
              <w:pStyle w:val="TableParagraph"/>
              <w:spacing w:before="210"/>
              <w:ind w:left="67"/>
              <w:jc w:val="both"/>
              <w:rPr>
                <w:color w:val="000000" w:themeColor="text1"/>
                <w:sz w:val="24"/>
                <w:szCs w:val="24"/>
              </w:rPr>
            </w:pPr>
            <w:r w:rsidRPr="00C56257">
              <w:rPr>
                <w:color w:val="000000" w:themeColor="text1"/>
                <w:sz w:val="24"/>
                <w:szCs w:val="24"/>
              </w:rPr>
              <w:t>a</w:t>
            </w:r>
          </w:p>
        </w:tc>
        <w:tc>
          <w:tcPr>
            <w:tcW w:w="2437" w:type="dxa"/>
          </w:tcPr>
          <w:p w14:paraId="3E8B559F" w14:textId="77777777" w:rsidR="007702CD" w:rsidRPr="00C56257" w:rsidRDefault="007702CD" w:rsidP="008E33FD">
            <w:pPr>
              <w:pStyle w:val="TableParagraph"/>
              <w:spacing w:before="49" w:line="276" w:lineRule="auto"/>
              <w:ind w:left="26" w:right="162"/>
              <w:jc w:val="both"/>
              <w:rPr>
                <w:color w:val="000000" w:themeColor="text1"/>
                <w:sz w:val="24"/>
                <w:szCs w:val="24"/>
              </w:rPr>
            </w:pPr>
            <w:r w:rsidRPr="00C56257">
              <w:rPr>
                <w:color w:val="000000" w:themeColor="text1"/>
                <w:sz w:val="24"/>
                <w:szCs w:val="24"/>
              </w:rPr>
              <w:t>Min 6 relevee/ transecte</w:t>
            </w:r>
            <w:r w:rsidRPr="00C56257">
              <w:rPr>
                <w:color w:val="000000" w:themeColor="text1"/>
                <w:spacing w:val="1"/>
                <w:sz w:val="24"/>
                <w:szCs w:val="24"/>
              </w:rPr>
              <w:t xml:space="preserve"> </w:t>
            </w:r>
            <w:r w:rsidRPr="00C56257">
              <w:rPr>
                <w:color w:val="000000" w:themeColor="text1"/>
                <w:sz w:val="24"/>
                <w:szCs w:val="24"/>
              </w:rPr>
              <w:t>de monitorizare în cadrul</w:t>
            </w:r>
            <w:r w:rsidRPr="00C56257">
              <w:rPr>
                <w:color w:val="000000" w:themeColor="text1"/>
                <w:spacing w:val="-52"/>
                <w:sz w:val="24"/>
                <w:szCs w:val="24"/>
              </w:rPr>
              <w:t xml:space="preserve"> </w:t>
            </w:r>
            <w:r w:rsidRPr="00C56257">
              <w:rPr>
                <w:color w:val="000000" w:themeColor="text1"/>
                <w:sz w:val="24"/>
                <w:szCs w:val="24"/>
              </w:rPr>
              <w:t>ariilor naturale țintă şi în</w:t>
            </w:r>
            <w:r w:rsidRPr="00C56257">
              <w:rPr>
                <w:color w:val="000000" w:themeColor="text1"/>
                <w:spacing w:val="-52"/>
                <w:sz w:val="24"/>
                <w:szCs w:val="24"/>
              </w:rPr>
              <w:t xml:space="preserve"> </w:t>
            </w:r>
            <w:r w:rsidRPr="00C56257">
              <w:rPr>
                <w:color w:val="000000" w:themeColor="text1"/>
                <w:sz w:val="24"/>
                <w:szCs w:val="24"/>
              </w:rPr>
              <w:t>afara acestora, în situația</w:t>
            </w:r>
            <w:r w:rsidRPr="00C56257">
              <w:rPr>
                <w:color w:val="000000" w:themeColor="text1"/>
                <w:spacing w:val="-52"/>
                <w:sz w:val="24"/>
                <w:szCs w:val="24"/>
              </w:rPr>
              <w:t xml:space="preserve"> </w:t>
            </w:r>
            <w:r w:rsidRPr="00C56257">
              <w:rPr>
                <w:color w:val="000000" w:themeColor="text1"/>
                <w:sz w:val="24"/>
                <w:szCs w:val="24"/>
              </w:rPr>
              <w:t>prezenței habitatului.</w:t>
            </w:r>
          </w:p>
        </w:tc>
      </w:tr>
      <w:tr w:rsidR="007702CD" w:rsidRPr="00C56257" w14:paraId="0BE836EB" w14:textId="77777777" w:rsidTr="0003674E">
        <w:trPr>
          <w:trHeight w:val="1764"/>
        </w:trPr>
        <w:tc>
          <w:tcPr>
            <w:tcW w:w="2902" w:type="dxa"/>
          </w:tcPr>
          <w:p w14:paraId="4BE42BC8" w14:textId="77777777" w:rsidR="007702CD" w:rsidRPr="00C56257" w:rsidRDefault="007702CD" w:rsidP="008E33FD">
            <w:pPr>
              <w:pStyle w:val="TableParagraph"/>
              <w:spacing w:before="2"/>
              <w:jc w:val="both"/>
              <w:rPr>
                <w:b/>
                <w:color w:val="000000" w:themeColor="text1"/>
                <w:sz w:val="24"/>
                <w:szCs w:val="24"/>
              </w:rPr>
            </w:pPr>
          </w:p>
          <w:p w14:paraId="0B708176" w14:textId="77777777" w:rsidR="007702CD" w:rsidRPr="00C56257" w:rsidRDefault="007702CD" w:rsidP="008E33FD">
            <w:pPr>
              <w:pStyle w:val="TableParagraph"/>
              <w:ind w:left="86" w:right="120"/>
              <w:jc w:val="both"/>
              <w:rPr>
                <w:color w:val="000000" w:themeColor="text1"/>
                <w:sz w:val="24"/>
                <w:szCs w:val="24"/>
              </w:rPr>
            </w:pPr>
            <w:r w:rsidRPr="00C56257">
              <w:rPr>
                <w:color w:val="000000" w:themeColor="text1"/>
                <w:sz w:val="24"/>
                <w:szCs w:val="24"/>
              </w:rPr>
              <w:t>8120 Grohotișuri calcaroase și</w:t>
            </w:r>
            <w:r w:rsidRPr="00C56257">
              <w:rPr>
                <w:color w:val="000000" w:themeColor="text1"/>
                <w:spacing w:val="-52"/>
                <w:sz w:val="24"/>
                <w:szCs w:val="24"/>
              </w:rPr>
              <w:t xml:space="preserve"> </w:t>
            </w:r>
            <w:r w:rsidRPr="00C56257">
              <w:rPr>
                <w:color w:val="000000" w:themeColor="text1"/>
                <w:sz w:val="24"/>
                <w:szCs w:val="24"/>
              </w:rPr>
              <w:t>de</w:t>
            </w:r>
            <w:r w:rsidRPr="00C56257">
              <w:rPr>
                <w:color w:val="000000" w:themeColor="text1"/>
                <w:spacing w:val="2"/>
                <w:sz w:val="24"/>
                <w:szCs w:val="24"/>
              </w:rPr>
              <w:t xml:space="preserve"> </w:t>
            </w:r>
            <w:r w:rsidRPr="00C56257">
              <w:rPr>
                <w:color w:val="000000" w:themeColor="text1"/>
                <w:sz w:val="24"/>
                <w:szCs w:val="24"/>
              </w:rPr>
              <w:t>șisturi calcaroase</w:t>
            </w:r>
            <w:r w:rsidRPr="00C56257">
              <w:rPr>
                <w:color w:val="000000" w:themeColor="text1"/>
                <w:spacing w:val="2"/>
                <w:sz w:val="24"/>
                <w:szCs w:val="24"/>
              </w:rPr>
              <w:t xml:space="preserve"> </w:t>
            </w:r>
            <w:r w:rsidRPr="00C56257">
              <w:rPr>
                <w:color w:val="000000" w:themeColor="text1"/>
                <w:sz w:val="24"/>
                <w:szCs w:val="24"/>
              </w:rPr>
              <w:t>din</w:t>
            </w:r>
            <w:r w:rsidRPr="00C56257">
              <w:rPr>
                <w:color w:val="000000" w:themeColor="text1"/>
                <w:spacing w:val="1"/>
                <w:sz w:val="24"/>
                <w:szCs w:val="24"/>
              </w:rPr>
              <w:t xml:space="preserve"> </w:t>
            </w:r>
            <w:r w:rsidRPr="00C56257">
              <w:rPr>
                <w:color w:val="000000" w:themeColor="text1"/>
                <w:sz w:val="24"/>
                <w:szCs w:val="24"/>
              </w:rPr>
              <w:t>etajele</w:t>
            </w:r>
            <w:r w:rsidRPr="00C56257">
              <w:rPr>
                <w:color w:val="000000" w:themeColor="text1"/>
                <w:spacing w:val="-1"/>
                <w:sz w:val="24"/>
                <w:szCs w:val="24"/>
              </w:rPr>
              <w:t xml:space="preserve"> </w:t>
            </w:r>
            <w:r w:rsidRPr="00C56257">
              <w:rPr>
                <w:color w:val="000000" w:themeColor="text1"/>
                <w:sz w:val="24"/>
                <w:szCs w:val="24"/>
              </w:rPr>
              <w:t>montan și alpin</w:t>
            </w:r>
            <w:r w:rsidRPr="00C56257">
              <w:rPr>
                <w:color w:val="000000" w:themeColor="text1"/>
                <w:spacing w:val="1"/>
                <w:sz w:val="24"/>
                <w:szCs w:val="24"/>
              </w:rPr>
              <w:t xml:space="preserve"> </w:t>
            </w:r>
            <w:r w:rsidRPr="00C56257">
              <w:rPr>
                <w:color w:val="000000" w:themeColor="text1"/>
                <w:sz w:val="24"/>
                <w:szCs w:val="24"/>
              </w:rPr>
              <w:t>-</w:t>
            </w:r>
            <w:r w:rsidRPr="00C56257">
              <w:rPr>
                <w:color w:val="000000" w:themeColor="text1"/>
                <w:spacing w:val="1"/>
                <w:sz w:val="24"/>
                <w:szCs w:val="24"/>
              </w:rPr>
              <w:t xml:space="preserve"> </w:t>
            </w:r>
            <w:r w:rsidRPr="00C56257">
              <w:rPr>
                <w:color w:val="000000" w:themeColor="text1"/>
                <w:sz w:val="24"/>
                <w:szCs w:val="24"/>
              </w:rPr>
              <w:t>Thlaspietea</w:t>
            </w:r>
            <w:r w:rsidRPr="00C56257">
              <w:rPr>
                <w:color w:val="000000" w:themeColor="text1"/>
                <w:spacing w:val="-3"/>
                <w:sz w:val="24"/>
                <w:szCs w:val="24"/>
              </w:rPr>
              <w:t xml:space="preserve"> </w:t>
            </w:r>
            <w:r w:rsidRPr="00C56257">
              <w:rPr>
                <w:color w:val="000000" w:themeColor="text1"/>
                <w:sz w:val="24"/>
                <w:szCs w:val="24"/>
              </w:rPr>
              <w:t>rotundifolii</w:t>
            </w:r>
          </w:p>
        </w:tc>
        <w:tc>
          <w:tcPr>
            <w:tcW w:w="521" w:type="dxa"/>
          </w:tcPr>
          <w:p w14:paraId="76234243" w14:textId="77777777" w:rsidR="007702CD" w:rsidRPr="00C56257" w:rsidRDefault="007702CD" w:rsidP="008E33FD">
            <w:pPr>
              <w:pStyle w:val="TableParagraph"/>
              <w:jc w:val="both"/>
              <w:rPr>
                <w:color w:val="000000" w:themeColor="text1"/>
                <w:sz w:val="24"/>
                <w:szCs w:val="24"/>
              </w:rPr>
            </w:pPr>
          </w:p>
        </w:tc>
        <w:tc>
          <w:tcPr>
            <w:tcW w:w="541" w:type="dxa"/>
          </w:tcPr>
          <w:p w14:paraId="41B1FF99" w14:textId="77777777" w:rsidR="007702CD" w:rsidRPr="00C56257" w:rsidRDefault="007702CD" w:rsidP="008E33FD">
            <w:pPr>
              <w:pStyle w:val="TableParagraph"/>
              <w:jc w:val="both"/>
              <w:rPr>
                <w:color w:val="000000" w:themeColor="text1"/>
                <w:sz w:val="24"/>
                <w:szCs w:val="24"/>
              </w:rPr>
            </w:pPr>
          </w:p>
        </w:tc>
        <w:tc>
          <w:tcPr>
            <w:tcW w:w="557" w:type="dxa"/>
          </w:tcPr>
          <w:p w14:paraId="64A762C7"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0485501A"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095EA6D4"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0F32BB08" w14:textId="77777777" w:rsidR="007702CD" w:rsidRPr="00C56257" w:rsidRDefault="007702CD" w:rsidP="008E33FD">
            <w:pPr>
              <w:pStyle w:val="TableParagraph"/>
              <w:jc w:val="both"/>
              <w:rPr>
                <w:color w:val="000000" w:themeColor="text1"/>
                <w:sz w:val="24"/>
                <w:szCs w:val="24"/>
              </w:rPr>
            </w:pPr>
          </w:p>
        </w:tc>
        <w:tc>
          <w:tcPr>
            <w:tcW w:w="502" w:type="dxa"/>
            <w:shd w:val="clear" w:color="auto" w:fill="BEBEBE"/>
          </w:tcPr>
          <w:p w14:paraId="283DD53C"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672A2288"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567B9D09" w14:textId="77777777" w:rsidR="007702CD" w:rsidRPr="00C56257" w:rsidRDefault="007702CD" w:rsidP="008E33FD">
            <w:pPr>
              <w:pStyle w:val="TableParagraph"/>
              <w:jc w:val="both"/>
              <w:rPr>
                <w:color w:val="000000" w:themeColor="text1"/>
                <w:sz w:val="24"/>
                <w:szCs w:val="24"/>
              </w:rPr>
            </w:pPr>
          </w:p>
        </w:tc>
        <w:tc>
          <w:tcPr>
            <w:tcW w:w="559" w:type="dxa"/>
            <w:shd w:val="clear" w:color="auto" w:fill="BEBEBE"/>
          </w:tcPr>
          <w:p w14:paraId="5F44561B" w14:textId="77777777" w:rsidR="007702CD" w:rsidRPr="00C56257" w:rsidRDefault="007702CD" w:rsidP="008E33FD">
            <w:pPr>
              <w:pStyle w:val="TableParagraph"/>
              <w:jc w:val="both"/>
              <w:rPr>
                <w:color w:val="000000" w:themeColor="text1"/>
                <w:sz w:val="24"/>
                <w:szCs w:val="24"/>
              </w:rPr>
            </w:pPr>
          </w:p>
        </w:tc>
        <w:tc>
          <w:tcPr>
            <w:tcW w:w="557" w:type="dxa"/>
          </w:tcPr>
          <w:p w14:paraId="5BA842F7" w14:textId="77777777" w:rsidR="007702CD" w:rsidRPr="00C56257" w:rsidRDefault="007702CD" w:rsidP="008E33FD">
            <w:pPr>
              <w:pStyle w:val="TableParagraph"/>
              <w:jc w:val="both"/>
              <w:rPr>
                <w:color w:val="000000" w:themeColor="text1"/>
                <w:sz w:val="24"/>
                <w:szCs w:val="24"/>
              </w:rPr>
            </w:pPr>
          </w:p>
        </w:tc>
        <w:tc>
          <w:tcPr>
            <w:tcW w:w="759" w:type="dxa"/>
          </w:tcPr>
          <w:p w14:paraId="611DF2EB" w14:textId="77777777" w:rsidR="007702CD" w:rsidRPr="00C56257" w:rsidRDefault="007702CD" w:rsidP="008E33FD">
            <w:pPr>
              <w:pStyle w:val="TableParagraph"/>
              <w:jc w:val="both"/>
              <w:rPr>
                <w:color w:val="000000" w:themeColor="text1"/>
                <w:sz w:val="24"/>
                <w:szCs w:val="24"/>
              </w:rPr>
            </w:pPr>
          </w:p>
        </w:tc>
        <w:tc>
          <w:tcPr>
            <w:tcW w:w="2547" w:type="dxa"/>
            <w:tcBorders>
              <w:right w:val="nil"/>
            </w:tcBorders>
          </w:tcPr>
          <w:p w14:paraId="54FCFE82" w14:textId="77777777" w:rsidR="007702CD" w:rsidRPr="00C56257" w:rsidRDefault="007702CD" w:rsidP="008E33FD">
            <w:pPr>
              <w:pStyle w:val="TableParagraph"/>
              <w:spacing w:line="247" w:lineRule="exact"/>
              <w:ind w:left="24"/>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08BC929A" w14:textId="77777777" w:rsidR="007702CD" w:rsidRPr="00C56257" w:rsidRDefault="007702CD" w:rsidP="008E33FD">
            <w:pPr>
              <w:pStyle w:val="TableParagraph"/>
              <w:spacing w:before="9"/>
              <w:jc w:val="both"/>
              <w:rPr>
                <w:b/>
                <w:color w:val="000000" w:themeColor="text1"/>
                <w:sz w:val="24"/>
                <w:szCs w:val="24"/>
              </w:rPr>
            </w:pPr>
          </w:p>
          <w:p w14:paraId="4550DB76" w14:textId="77777777" w:rsidR="007702CD" w:rsidRPr="00C56257" w:rsidRDefault="007702CD" w:rsidP="009E63E5">
            <w:pPr>
              <w:pStyle w:val="TableParagraph"/>
              <w:numPr>
                <w:ilvl w:val="0"/>
                <w:numId w:val="49"/>
              </w:numPr>
              <w:tabs>
                <w:tab w:val="left" w:pos="277"/>
              </w:tabs>
              <w:spacing w:line="276" w:lineRule="auto"/>
              <w:ind w:right="83" w:firstLine="0"/>
              <w:jc w:val="both"/>
              <w:rPr>
                <w:color w:val="000000" w:themeColor="text1"/>
                <w:sz w:val="24"/>
                <w:szCs w:val="24"/>
              </w:rPr>
            </w:pPr>
            <w:r w:rsidRPr="00C56257">
              <w:rPr>
                <w:color w:val="000000" w:themeColor="text1"/>
                <w:sz w:val="24"/>
                <w:szCs w:val="24"/>
              </w:rPr>
              <w:t>metoda</w:t>
            </w:r>
            <w:r w:rsidRPr="00C56257">
              <w:rPr>
                <w:color w:val="000000" w:themeColor="text1"/>
                <w:spacing w:val="8"/>
                <w:sz w:val="24"/>
                <w:szCs w:val="24"/>
              </w:rPr>
              <w:t xml:space="preserve"> </w:t>
            </w:r>
            <w:r w:rsidRPr="00C56257">
              <w:rPr>
                <w:color w:val="000000" w:themeColor="text1"/>
                <w:sz w:val="24"/>
                <w:szCs w:val="24"/>
              </w:rPr>
              <w:t>releveelor</w:t>
            </w:r>
            <w:r w:rsidRPr="00C56257">
              <w:rPr>
                <w:color w:val="000000" w:themeColor="text1"/>
                <w:spacing w:val="8"/>
                <w:sz w:val="24"/>
                <w:szCs w:val="24"/>
              </w:rPr>
              <w:t xml:space="preserve">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4A001C94" w14:textId="77777777" w:rsidR="007702CD" w:rsidRPr="00C56257" w:rsidRDefault="007702CD" w:rsidP="009E63E5">
            <w:pPr>
              <w:pStyle w:val="TableParagraph"/>
              <w:numPr>
                <w:ilvl w:val="0"/>
                <w:numId w:val="49"/>
              </w:numPr>
              <w:tabs>
                <w:tab w:val="left" w:pos="262"/>
              </w:tabs>
              <w:spacing w:before="201"/>
              <w:ind w:left="262" w:hanging="238"/>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18" w:type="dxa"/>
            <w:tcBorders>
              <w:left w:val="nil"/>
            </w:tcBorders>
          </w:tcPr>
          <w:p w14:paraId="01552406" w14:textId="77777777" w:rsidR="007702CD" w:rsidRPr="00C56257" w:rsidRDefault="007702CD" w:rsidP="008E33FD">
            <w:pPr>
              <w:pStyle w:val="TableParagraph"/>
              <w:jc w:val="both"/>
              <w:rPr>
                <w:b/>
                <w:color w:val="000000" w:themeColor="text1"/>
                <w:sz w:val="24"/>
                <w:szCs w:val="24"/>
              </w:rPr>
            </w:pPr>
          </w:p>
          <w:p w14:paraId="3A53ADE2" w14:textId="77777777" w:rsidR="007702CD" w:rsidRPr="00C56257" w:rsidRDefault="007702CD" w:rsidP="008E33FD">
            <w:pPr>
              <w:pStyle w:val="TableParagraph"/>
              <w:spacing w:before="209"/>
              <w:ind w:left="67"/>
              <w:jc w:val="both"/>
              <w:rPr>
                <w:color w:val="000000" w:themeColor="text1"/>
                <w:sz w:val="24"/>
                <w:szCs w:val="24"/>
              </w:rPr>
            </w:pPr>
            <w:r w:rsidRPr="00C56257">
              <w:rPr>
                <w:color w:val="000000" w:themeColor="text1"/>
                <w:sz w:val="24"/>
                <w:szCs w:val="24"/>
              </w:rPr>
              <w:t>a</w:t>
            </w:r>
          </w:p>
        </w:tc>
        <w:tc>
          <w:tcPr>
            <w:tcW w:w="2437" w:type="dxa"/>
          </w:tcPr>
          <w:p w14:paraId="37427751" w14:textId="77777777" w:rsidR="007702CD" w:rsidRPr="00C56257" w:rsidRDefault="007702CD" w:rsidP="008E33FD">
            <w:pPr>
              <w:pStyle w:val="TableParagraph"/>
              <w:spacing w:before="49" w:line="276" w:lineRule="auto"/>
              <w:ind w:left="26" w:right="162"/>
              <w:jc w:val="both"/>
              <w:rPr>
                <w:color w:val="000000" w:themeColor="text1"/>
                <w:sz w:val="24"/>
                <w:szCs w:val="24"/>
              </w:rPr>
            </w:pPr>
            <w:r w:rsidRPr="00C56257">
              <w:rPr>
                <w:color w:val="000000" w:themeColor="text1"/>
                <w:sz w:val="24"/>
                <w:szCs w:val="24"/>
              </w:rPr>
              <w:t>Min 6 relevee/ transecte</w:t>
            </w:r>
            <w:r w:rsidRPr="00C56257">
              <w:rPr>
                <w:color w:val="000000" w:themeColor="text1"/>
                <w:spacing w:val="1"/>
                <w:sz w:val="24"/>
                <w:szCs w:val="24"/>
              </w:rPr>
              <w:t xml:space="preserve"> </w:t>
            </w:r>
            <w:r w:rsidRPr="00C56257">
              <w:rPr>
                <w:color w:val="000000" w:themeColor="text1"/>
                <w:sz w:val="24"/>
                <w:szCs w:val="24"/>
              </w:rPr>
              <w:t>de monitorizare în cadrul</w:t>
            </w:r>
            <w:r w:rsidRPr="00C56257">
              <w:rPr>
                <w:color w:val="000000" w:themeColor="text1"/>
                <w:spacing w:val="-52"/>
                <w:sz w:val="24"/>
                <w:szCs w:val="24"/>
              </w:rPr>
              <w:t xml:space="preserve"> </w:t>
            </w:r>
            <w:r w:rsidRPr="00C56257">
              <w:rPr>
                <w:color w:val="000000" w:themeColor="text1"/>
                <w:sz w:val="24"/>
                <w:szCs w:val="24"/>
              </w:rPr>
              <w:t>ariilor naturale țintă şi în</w:t>
            </w:r>
            <w:r w:rsidRPr="00C56257">
              <w:rPr>
                <w:color w:val="000000" w:themeColor="text1"/>
                <w:spacing w:val="-52"/>
                <w:sz w:val="24"/>
                <w:szCs w:val="24"/>
              </w:rPr>
              <w:t xml:space="preserve"> </w:t>
            </w:r>
            <w:r w:rsidRPr="00C56257">
              <w:rPr>
                <w:color w:val="000000" w:themeColor="text1"/>
                <w:sz w:val="24"/>
                <w:szCs w:val="24"/>
              </w:rPr>
              <w:t>afara acestora, în situația</w:t>
            </w:r>
            <w:r w:rsidRPr="00C56257">
              <w:rPr>
                <w:color w:val="000000" w:themeColor="text1"/>
                <w:spacing w:val="-52"/>
                <w:sz w:val="24"/>
                <w:szCs w:val="24"/>
              </w:rPr>
              <w:t xml:space="preserve"> </w:t>
            </w:r>
            <w:r w:rsidRPr="00C56257">
              <w:rPr>
                <w:color w:val="000000" w:themeColor="text1"/>
                <w:sz w:val="24"/>
                <w:szCs w:val="24"/>
              </w:rPr>
              <w:t>prezenței habitatului.</w:t>
            </w:r>
          </w:p>
        </w:tc>
      </w:tr>
      <w:tr w:rsidR="007702CD" w:rsidRPr="00C56257" w14:paraId="2676AEAB" w14:textId="77777777" w:rsidTr="0003674E">
        <w:trPr>
          <w:trHeight w:val="1764"/>
        </w:trPr>
        <w:tc>
          <w:tcPr>
            <w:tcW w:w="2902" w:type="dxa"/>
          </w:tcPr>
          <w:p w14:paraId="668F9CB3" w14:textId="77777777" w:rsidR="007702CD" w:rsidRPr="00C56257" w:rsidRDefault="007702CD" w:rsidP="008E33FD">
            <w:pPr>
              <w:pStyle w:val="TableParagraph"/>
              <w:jc w:val="both"/>
              <w:rPr>
                <w:b/>
                <w:color w:val="000000" w:themeColor="text1"/>
                <w:sz w:val="24"/>
                <w:szCs w:val="24"/>
              </w:rPr>
            </w:pPr>
          </w:p>
          <w:p w14:paraId="2E7B7C3C" w14:textId="77777777" w:rsidR="007702CD" w:rsidRPr="00C56257" w:rsidRDefault="007702CD" w:rsidP="008E33FD">
            <w:pPr>
              <w:pStyle w:val="TableParagraph"/>
              <w:spacing w:before="3"/>
              <w:jc w:val="both"/>
              <w:rPr>
                <w:b/>
                <w:color w:val="000000" w:themeColor="text1"/>
                <w:sz w:val="24"/>
                <w:szCs w:val="24"/>
              </w:rPr>
            </w:pPr>
          </w:p>
          <w:p w14:paraId="5259D147" w14:textId="77777777" w:rsidR="007702CD" w:rsidRPr="00C56257" w:rsidRDefault="007702CD" w:rsidP="008E33FD">
            <w:pPr>
              <w:pStyle w:val="TableParagraph"/>
              <w:ind w:left="86" w:right="488"/>
              <w:jc w:val="both"/>
              <w:rPr>
                <w:color w:val="000000" w:themeColor="text1"/>
                <w:sz w:val="24"/>
                <w:szCs w:val="24"/>
              </w:rPr>
            </w:pPr>
            <w:r w:rsidRPr="00C56257">
              <w:rPr>
                <w:color w:val="000000" w:themeColor="text1"/>
                <w:sz w:val="24"/>
                <w:szCs w:val="24"/>
              </w:rPr>
              <w:t>8160* Grohotișuri medio-</w:t>
            </w:r>
            <w:r w:rsidRPr="00C56257">
              <w:rPr>
                <w:color w:val="000000" w:themeColor="text1"/>
                <w:spacing w:val="-52"/>
                <w:sz w:val="24"/>
                <w:szCs w:val="24"/>
              </w:rPr>
              <w:t xml:space="preserve"> </w:t>
            </w:r>
            <w:r w:rsidRPr="00C56257">
              <w:rPr>
                <w:color w:val="000000" w:themeColor="text1"/>
                <w:sz w:val="24"/>
                <w:szCs w:val="24"/>
              </w:rPr>
              <w:t>europene calcaroase din</w:t>
            </w:r>
            <w:r w:rsidRPr="00C56257">
              <w:rPr>
                <w:color w:val="000000" w:themeColor="text1"/>
                <w:spacing w:val="1"/>
                <w:sz w:val="24"/>
                <w:szCs w:val="24"/>
              </w:rPr>
              <w:t xml:space="preserve"> </w:t>
            </w:r>
            <w:r w:rsidRPr="00C56257">
              <w:rPr>
                <w:color w:val="000000" w:themeColor="text1"/>
                <w:sz w:val="24"/>
                <w:szCs w:val="24"/>
              </w:rPr>
              <w:t>etajele</w:t>
            </w:r>
            <w:r w:rsidRPr="00C56257">
              <w:rPr>
                <w:color w:val="000000" w:themeColor="text1"/>
                <w:spacing w:val="-1"/>
                <w:sz w:val="24"/>
                <w:szCs w:val="24"/>
              </w:rPr>
              <w:t xml:space="preserve"> </w:t>
            </w:r>
            <w:r w:rsidRPr="00C56257">
              <w:rPr>
                <w:color w:val="000000" w:themeColor="text1"/>
                <w:sz w:val="24"/>
                <w:szCs w:val="24"/>
              </w:rPr>
              <w:t>colinar</w:t>
            </w:r>
            <w:r w:rsidRPr="00C56257">
              <w:rPr>
                <w:color w:val="000000" w:themeColor="text1"/>
                <w:spacing w:val="-3"/>
                <w:sz w:val="24"/>
                <w:szCs w:val="24"/>
              </w:rPr>
              <w:t xml:space="preserve"> </w:t>
            </w:r>
            <w:r w:rsidRPr="00C56257">
              <w:rPr>
                <w:color w:val="000000" w:themeColor="text1"/>
                <w:sz w:val="24"/>
                <w:szCs w:val="24"/>
              </w:rPr>
              <w:t>și montan</w:t>
            </w:r>
          </w:p>
        </w:tc>
        <w:tc>
          <w:tcPr>
            <w:tcW w:w="521" w:type="dxa"/>
          </w:tcPr>
          <w:p w14:paraId="5ABE7592" w14:textId="77777777" w:rsidR="007702CD" w:rsidRPr="00C56257" w:rsidRDefault="007702CD" w:rsidP="008E33FD">
            <w:pPr>
              <w:pStyle w:val="TableParagraph"/>
              <w:jc w:val="both"/>
              <w:rPr>
                <w:color w:val="000000" w:themeColor="text1"/>
                <w:sz w:val="24"/>
                <w:szCs w:val="24"/>
              </w:rPr>
            </w:pPr>
          </w:p>
        </w:tc>
        <w:tc>
          <w:tcPr>
            <w:tcW w:w="541" w:type="dxa"/>
          </w:tcPr>
          <w:p w14:paraId="57B147A4" w14:textId="77777777" w:rsidR="007702CD" w:rsidRPr="00C56257" w:rsidRDefault="007702CD" w:rsidP="008E33FD">
            <w:pPr>
              <w:pStyle w:val="TableParagraph"/>
              <w:jc w:val="both"/>
              <w:rPr>
                <w:color w:val="000000" w:themeColor="text1"/>
                <w:sz w:val="24"/>
                <w:szCs w:val="24"/>
              </w:rPr>
            </w:pPr>
          </w:p>
        </w:tc>
        <w:tc>
          <w:tcPr>
            <w:tcW w:w="557" w:type="dxa"/>
          </w:tcPr>
          <w:p w14:paraId="4716441B"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3C3F9E5E"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6FAB5ED4"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1C61CD53" w14:textId="77777777" w:rsidR="007702CD" w:rsidRPr="00C56257" w:rsidRDefault="007702CD" w:rsidP="008E33FD">
            <w:pPr>
              <w:pStyle w:val="TableParagraph"/>
              <w:jc w:val="both"/>
              <w:rPr>
                <w:color w:val="000000" w:themeColor="text1"/>
                <w:sz w:val="24"/>
                <w:szCs w:val="24"/>
              </w:rPr>
            </w:pPr>
          </w:p>
        </w:tc>
        <w:tc>
          <w:tcPr>
            <w:tcW w:w="502" w:type="dxa"/>
            <w:shd w:val="clear" w:color="auto" w:fill="BEBEBE"/>
          </w:tcPr>
          <w:p w14:paraId="6F0EA89D"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20678978"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3F1192F1" w14:textId="77777777" w:rsidR="007702CD" w:rsidRPr="00C56257" w:rsidRDefault="007702CD" w:rsidP="008E33FD">
            <w:pPr>
              <w:pStyle w:val="TableParagraph"/>
              <w:jc w:val="both"/>
              <w:rPr>
                <w:color w:val="000000" w:themeColor="text1"/>
                <w:sz w:val="24"/>
                <w:szCs w:val="24"/>
              </w:rPr>
            </w:pPr>
          </w:p>
        </w:tc>
        <w:tc>
          <w:tcPr>
            <w:tcW w:w="559" w:type="dxa"/>
            <w:shd w:val="clear" w:color="auto" w:fill="BEBEBE"/>
          </w:tcPr>
          <w:p w14:paraId="203EF2EE" w14:textId="77777777" w:rsidR="007702CD" w:rsidRPr="00C56257" w:rsidRDefault="007702CD" w:rsidP="008E33FD">
            <w:pPr>
              <w:pStyle w:val="TableParagraph"/>
              <w:jc w:val="both"/>
              <w:rPr>
                <w:color w:val="000000" w:themeColor="text1"/>
                <w:sz w:val="24"/>
                <w:szCs w:val="24"/>
              </w:rPr>
            </w:pPr>
          </w:p>
        </w:tc>
        <w:tc>
          <w:tcPr>
            <w:tcW w:w="557" w:type="dxa"/>
          </w:tcPr>
          <w:p w14:paraId="29FA63F6" w14:textId="77777777" w:rsidR="007702CD" w:rsidRPr="00C56257" w:rsidRDefault="007702CD" w:rsidP="008E33FD">
            <w:pPr>
              <w:pStyle w:val="TableParagraph"/>
              <w:jc w:val="both"/>
              <w:rPr>
                <w:color w:val="000000" w:themeColor="text1"/>
                <w:sz w:val="24"/>
                <w:szCs w:val="24"/>
              </w:rPr>
            </w:pPr>
          </w:p>
        </w:tc>
        <w:tc>
          <w:tcPr>
            <w:tcW w:w="759" w:type="dxa"/>
          </w:tcPr>
          <w:p w14:paraId="05D9A37F" w14:textId="77777777" w:rsidR="007702CD" w:rsidRPr="00C56257" w:rsidRDefault="007702CD" w:rsidP="008E33FD">
            <w:pPr>
              <w:pStyle w:val="TableParagraph"/>
              <w:jc w:val="both"/>
              <w:rPr>
                <w:color w:val="000000" w:themeColor="text1"/>
                <w:sz w:val="24"/>
                <w:szCs w:val="24"/>
              </w:rPr>
            </w:pPr>
          </w:p>
        </w:tc>
        <w:tc>
          <w:tcPr>
            <w:tcW w:w="2547" w:type="dxa"/>
            <w:tcBorders>
              <w:right w:val="nil"/>
            </w:tcBorders>
          </w:tcPr>
          <w:p w14:paraId="0961EB6C" w14:textId="77777777" w:rsidR="007702CD" w:rsidRPr="00C56257" w:rsidRDefault="007702CD" w:rsidP="008E33FD">
            <w:pPr>
              <w:pStyle w:val="TableParagraph"/>
              <w:spacing w:line="247" w:lineRule="exact"/>
              <w:ind w:left="24"/>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0C914F20" w14:textId="77777777" w:rsidR="007702CD" w:rsidRPr="00C56257" w:rsidRDefault="007702CD" w:rsidP="008E33FD">
            <w:pPr>
              <w:pStyle w:val="TableParagraph"/>
              <w:spacing w:before="9"/>
              <w:jc w:val="both"/>
              <w:rPr>
                <w:b/>
                <w:color w:val="000000" w:themeColor="text1"/>
                <w:sz w:val="24"/>
                <w:szCs w:val="24"/>
              </w:rPr>
            </w:pPr>
          </w:p>
          <w:p w14:paraId="3D953DA4" w14:textId="77777777" w:rsidR="007702CD" w:rsidRPr="00C56257" w:rsidRDefault="007702CD" w:rsidP="009E63E5">
            <w:pPr>
              <w:pStyle w:val="TableParagraph"/>
              <w:numPr>
                <w:ilvl w:val="0"/>
                <w:numId w:val="48"/>
              </w:numPr>
              <w:tabs>
                <w:tab w:val="left" w:pos="277"/>
              </w:tabs>
              <w:spacing w:line="276" w:lineRule="auto"/>
              <w:ind w:right="83" w:firstLine="0"/>
              <w:jc w:val="both"/>
              <w:rPr>
                <w:color w:val="000000" w:themeColor="text1"/>
                <w:sz w:val="24"/>
                <w:szCs w:val="24"/>
              </w:rPr>
            </w:pPr>
            <w:r w:rsidRPr="00C56257">
              <w:rPr>
                <w:color w:val="000000" w:themeColor="text1"/>
                <w:sz w:val="24"/>
                <w:szCs w:val="24"/>
              </w:rPr>
              <w:t>metoda</w:t>
            </w:r>
            <w:r w:rsidRPr="00C56257">
              <w:rPr>
                <w:color w:val="000000" w:themeColor="text1"/>
                <w:spacing w:val="8"/>
                <w:sz w:val="24"/>
                <w:szCs w:val="24"/>
              </w:rPr>
              <w:t xml:space="preserve"> </w:t>
            </w:r>
            <w:r w:rsidRPr="00C56257">
              <w:rPr>
                <w:color w:val="000000" w:themeColor="text1"/>
                <w:sz w:val="24"/>
                <w:szCs w:val="24"/>
              </w:rPr>
              <w:t>releveelor</w:t>
            </w:r>
            <w:r w:rsidRPr="00C56257">
              <w:rPr>
                <w:color w:val="000000" w:themeColor="text1"/>
                <w:spacing w:val="8"/>
                <w:sz w:val="24"/>
                <w:szCs w:val="24"/>
              </w:rPr>
              <w:t xml:space="preserve">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216A8D34" w14:textId="77777777" w:rsidR="007702CD" w:rsidRPr="00C56257" w:rsidRDefault="007702CD" w:rsidP="009E63E5">
            <w:pPr>
              <w:pStyle w:val="TableParagraph"/>
              <w:numPr>
                <w:ilvl w:val="0"/>
                <w:numId w:val="48"/>
              </w:numPr>
              <w:tabs>
                <w:tab w:val="left" w:pos="262"/>
              </w:tabs>
              <w:spacing w:before="201"/>
              <w:ind w:left="262" w:hanging="238"/>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18" w:type="dxa"/>
            <w:tcBorders>
              <w:left w:val="nil"/>
            </w:tcBorders>
          </w:tcPr>
          <w:p w14:paraId="0FB7C874" w14:textId="77777777" w:rsidR="007702CD" w:rsidRPr="00C56257" w:rsidRDefault="007702CD" w:rsidP="008E33FD">
            <w:pPr>
              <w:pStyle w:val="TableParagraph"/>
              <w:jc w:val="both"/>
              <w:rPr>
                <w:b/>
                <w:color w:val="000000" w:themeColor="text1"/>
                <w:sz w:val="24"/>
                <w:szCs w:val="24"/>
              </w:rPr>
            </w:pPr>
          </w:p>
          <w:p w14:paraId="1891C556" w14:textId="77777777" w:rsidR="007702CD" w:rsidRPr="00C56257" w:rsidRDefault="007702CD" w:rsidP="008E33FD">
            <w:pPr>
              <w:pStyle w:val="TableParagraph"/>
              <w:spacing w:before="209"/>
              <w:ind w:left="67"/>
              <w:jc w:val="both"/>
              <w:rPr>
                <w:color w:val="000000" w:themeColor="text1"/>
                <w:sz w:val="24"/>
                <w:szCs w:val="24"/>
              </w:rPr>
            </w:pPr>
            <w:r w:rsidRPr="00C56257">
              <w:rPr>
                <w:color w:val="000000" w:themeColor="text1"/>
                <w:sz w:val="24"/>
                <w:szCs w:val="24"/>
              </w:rPr>
              <w:t>a</w:t>
            </w:r>
          </w:p>
        </w:tc>
        <w:tc>
          <w:tcPr>
            <w:tcW w:w="2437" w:type="dxa"/>
          </w:tcPr>
          <w:p w14:paraId="2B4C3AC0" w14:textId="77777777" w:rsidR="007702CD" w:rsidRPr="00C56257" w:rsidRDefault="007702CD" w:rsidP="008E33FD">
            <w:pPr>
              <w:pStyle w:val="TableParagraph"/>
              <w:spacing w:before="49" w:line="276" w:lineRule="auto"/>
              <w:ind w:left="26" w:right="162"/>
              <w:jc w:val="both"/>
              <w:rPr>
                <w:color w:val="000000" w:themeColor="text1"/>
                <w:sz w:val="24"/>
                <w:szCs w:val="24"/>
              </w:rPr>
            </w:pPr>
            <w:r w:rsidRPr="00C56257">
              <w:rPr>
                <w:color w:val="000000" w:themeColor="text1"/>
                <w:sz w:val="24"/>
                <w:szCs w:val="24"/>
              </w:rPr>
              <w:t>Min 6 relevee/ transecte</w:t>
            </w:r>
            <w:r w:rsidRPr="00C56257">
              <w:rPr>
                <w:color w:val="000000" w:themeColor="text1"/>
                <w:spacing w:val="1"/>
                <w:sz w:val="24"/>
                <w:szCs w:val="24"/>
              </w:rPr>
              <w:t xml:space="preserve"> </w:t>
            </w:r>
            <w:r w:rsidRPr="00C56257">
              <w:rPr>
                <w:color w:val="000000" w:themeColor="text1"/>
                <w:sz w:val="24"/>
                <w:szCs w:val="24"/>
              </w:rPr>
              <w:t>de monitorizare în cadrul</w:t>
            </w:r>
            <w:r w:rsidRPr="00C56257">
              <w:rPr>
                <w:color w:val="000000" w:themeColor="text1"/>
                <w:spacing w:val="-52"/>
                <w:sz w:val="24"/>
                <w:szCs w:val="24"/>
              </w:rPr>
              <w:t xml:space="preserve"> </w:t>
            </w:r>
            <w:r w:rsidRPr="00C56257">
              <w:rPr>
                <w:color w:val="000000" w:themeColor="text1"/>
                <w:sz w:val="24"/>
                <w:szCs w:val="24"/>
              </w:rPr>
              <w:t>ariilor naturale țintă şi în</w:t>
            </w:r>
            <w:r w:rsidRPr="00C56257">
              <w:rPr>
                <w:color w:val="000000" w:themeColor="text1"/>
                <w:spacing w:val="-52"/>
                <w:sz w:val="24"/>
                <w:szCs w:val="24"/>
              </w:rPr>
              <w:t xml:space="preserve"> </w:t>
            </w:r>
            <w:r w:rsidRPr="00C56257">
              <w:rPr>
                <w:color w:val="000000" w:themeColor="text1"/>
                <w:sz w:val="24"/>
                <w:szCs w:val="24"/>
              </w:rPr>
              <w:t>afara acestora, în situația</w:t>
            </w:r>
            <w:r w:rsidRPr="00C56257">
              <w:rPr>
                <w:color w:val="000000" w:themeColor="text1"/>
                <w:spacing w:val="-52"/>
                <w:sz w:val="24"/>
                <w:szCs w:val="24"/>
              </w:rPr>
              <w:t xml:space="preserve"> </w:t>
            </w:r>
            <w:r w:rsidRPr="00C56257">
              <w:rPr>
                <w:color w:val="000000" w:themeColor="text1"/>
                <w:sz w:val="24"/>
                <w:szCs w:val="24"/>
              </w:rPr>
              <w:t>prezenței habitatului.</w:t>
            </w:r>
          </w:p>
        </w:tc>
      </w:tr>
      <w:tr w:rsidR="007702CD" w:rsidRPr="00C56257" w14:paraId="51FD7B45" w14:textId="77777777" w:rsidTr="0003674E">
        <w:trPr>
          <w:trHeight w:val="1766"/>
        </w:trPr>
        <w:tc>
          <w:tcPr>
            <w:tcW w:w="2902" w:type="dxa"/>
          </w:tcPr>
          <w:p w14:paraId="3217A492" w14:textId="77777777" w:rsidR="007702CD" w:rsidRPr="00C56257" w:rsidRDefault="007702CD" w:rsidP="008E33FD">
            <w:pPr>
              <w:pStyle w:val="TableParagraph"/>
              <w:jc w:val="both"/>
              <w:rPr>
                <w:b/>
                <w:color w:val="000000" w:themeColor="text1"/>
                <w:sz w:val="24"/>
                <w:szCs w:val="24"/>
              </w:rPr>
            </w:pPr>
          </w:p>
          <w:p w14:paraId="501155B2" w14:textId="77777777" w:rsidR="007702CD" w:rsidRPr="00C56257" w:rsidRDefault="007702CD" w:rsidP="008E33FD">
            <w:pPr>
              <w:pStyle w:val="TableParagraph"/>
              <w:spacing w:before="3"/>
              <w:jc w:val="both"/>
              <w:rPr>
                <w:b/>
                <w:color w:val="000000" w:themeColor="text1"/>
                <w:sz w:val="24"/>
                <w:szCs w:val="24"/>
              </w:rPr>
            </w:pPr>
          </w:p>
          <w:p w14:paraId="441173A4" w14:textId="77777777" w:rsidR="007702CD" w:rsidRPr="00C56257" w:rsidRDefault="007702CD" w:rsidP="008E33FD">
            <w:pPr>
              <w:pStyle w:val="TableParagraph"/>
              <w:ind w:left="86" w:right="153"/>
              <w:jc w:val="both"/>
              <w:rPr>
                <w:color w:val="000000" w:themeColor="text1"/>
                <w:sz w:val="24"/>
                <w:szCs w:val="24"/>
              </w:rPr>
            </w:pPr>
            <w:r w:rsidRPr="00C56257">
              <w:rPr>
                <w:color w:val="000000" w:themeColor="text1"/>
                <w:sz w:val="24"/>
                <w:szCs w:val="24"/>
              </w:rPr>
              <w:t>8210 Versanți stâncoși cu</w:t>
            </w:r>
            <w:r w:rsidRPr="00C56257">
              <w:rPr>
                <w:color w:val="000000" w:themeColor="text1"/>
                <w:spacing w:val="1"/>
                <w:sz w:val="24"/>
                <w:szCs w:val="24"/>
              </w:rPr>
              <w:t xml:space="preserve"> </w:t>
            </w:r>
            <w:r w:rsidRPr="00C56257">
              <w:rPr>
                <w:color w:val="000000" w:themeColor="text1"/>
                <w:sz w:val="24"/>
                <w:szCs w:val="24"/>
              </w:rPr>
              <w:t>vegetație chasmofitică pe roci</w:t>
            </w:r>
            <w:r w:rsidRPr="00C56257">
              <w:rPr>
                <w:color w:val="000000" w:themeColor="text1"/>
                <w:spacing w:val="-53"/>
                <w:sz w:val="24"/>
                <w:szCs w:val="24"/>
              </w:rPr>
              <w:t xml:space="preserve"> </w:t>
            </w:r>
            <w:r w:rsidRPr="00C56257">
              <w:rPr>
                <w:color w:val="000000" w:themeColor="text1"/>
                <w:sz w:val="24"/>
                <w:szCs w:val="24"/>
              </w:rPr>
              <w:t>calcaroase</w:t>
            </w:r>
          </w:p>
        </w:tc>
        <w:tc>
          <w:tcPr>
            <w:tcW w:w="521" w:type="dxa"/>
          </w:tcPr>
          <w:p w14:paraId="6C8E3C95" w14:textId="77777777" w:rsidR="007702CD" w:rsidRPr="00C56257" w:rsidRDefault="007702CD" w:rsidP="008E33FD">
            <w:pPr>
              <w:pStyle w:val="TableParagraph"/>
              <w:jc w:val="both"/>
              <w:rPr>
                <w:color w:val="000000" w:themeColor="text1"/>
                <w:sz w:val="24"/>
                <w:szCs w:val="24"/>
              </w:rPr>
            </w:pPr>
          </w:p>
        </w:tc>
        <w:tc>
          <w:tcPr>
            <w:tcW w:w="541" w:type="dxa"/>
          </w:tcPr>
          <w:p w14:paraId="27B71073" w14:textId="77777777" w:rsidR="007702CD" w:rsidRPr="00C56257" w:rsidRDefault="007702CD" w:rsidP="008E33FD">
            <w:pPr>
              <w:pStyle w:val="TableParagraph"/>
              <w:jc w:val="both"/>
              <w:rPr>
                <w:color w:val="000000" w:themeColor="text1"/>
                <w:sz w:val="24"/>
                <w:szCs w:val="24"/>
              </w:rPr>
            </w:pPr>
          </w:p>
        </w:tc>
        <w:tc>
          <w:tcPr>
            <w:tcW w:w="557" w:type="dxa"/>
          </w:tcPr>
          <w:p w14:paraId="34FECA0B"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2D99DFAA"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0326442B"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6E11DD11" w14:textId="77777777" w:rsidR="007702CD" w:rsidRPr="00C56257" w:rsidRDefault="007702CD" w:rsidP="008E33FD">
            <w:pPr>
              <w:pStyle w:val="TableParagraph"/>
              <w:jc w:val="both"/>
              <w:rPr>
                <w:color w:val="000000" w:themeColor="text1"/>
                <w:sz w:val="24"/>
                <w:szCs w:val="24"/>
              </w:rPr>
            </w:pPr>
          </w:p>
        </w:tc>
        <w:tc>
          <w:tcPr>
            <w:tcW w:w="502" w:type="dxa"/>
            <w:shd w:val="clear" w:color="auto" w:fill="BEBEBE"/>
          </w:tcPr>
          <w:p w14:paraId="3E5ABEE7"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3A5A79B6"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3BFC1422" w14:textId="77777777" w:rsidR="007702CD" w:rsidRPr="00C56257" w:rsidRDefault="007702CD" w:rsidP="008E33FD">
            <w:pPr>
              <w:pStyle w:val="TableParagraph"/>
              <w:jc w:val="both"/>
              <w:rPr>
                <w:color w:val="000000" w:themeColor="text1"/>
                <w:sz w:val="24"/>
                <w:szCs w:val="24"/>
              </w:rPr>
            </w:pPr>
          </w:p>
        </w:tc>
        <w:tc>
          <w:tcPr>
            <w:tcW w:w="559" w:type="dxa"/>
            <w:shd w:val="clear" w:color="auto" w:fill="BEBEBE"/>
          </w:tcPr>
          <w:p w14:paraId="509D2E19" w14:textId="77777777" w:rsidR="007702CD" w:rsidRPr="00C56257" w:rsidRDefault="007702CD" w:rsidP="008E33FD">
            <w:pPr>
              <w:pStyle w:val="TableParagraph"/>
              <w:jc w:val="both"/>
              <w:rPr>
                <w:color w:val="000000" w:themeColor="text1"/>
                <w:sz w:val="24"/>
                <w:szCs w:val="24"/>
              </w:rPr>
            </w:pPr>
          </w:p>
        </w:tc>
        <w:tc>
          <w:tcPr>
            <w:tcW w:w="557" w:type="dxa"/>
          </w:tcPr>
          <w:p w14:paraId="38FE5571" w14:textId="77777777" w:rsidR="007702CD" w:rsidRPr="00C56257" w:rsidRDefault="007702CD" w:rsidP="008E33FD">
            <w:pPr>
              <w:pStyle w:val="TableParagraph"/>
              <w:jc w:val="both"/>
              <w:rPr>
                <w:color w:val="000000" w:themeColor="text1"/>
                <w:sz w:val="24"/>
                <w:szCs w:val="24"/>
              </w:rPr>
            </w:pPr>
          </w:p>
        </w:tc>
        <w:tc>
          <w:tcPr>
            <w:tcW w:w="759" w:type="dxa"/>
          </w:tcPr>
          <w:p w14:paraId="10209A28" w14:textId="77777777" w:rsidR="007702CD" w:rsidRPr="00C56257" w:rsidRDefault="007702CD" w:rsidP="008E33FD">
            <w:pPr>
              <w:pStyle w:val="TableParagraph"/>
              <w:jc w:val="both"/>
              <w:rPr>
                <w:color w:val="000000" w:themeColor="text1"/>
                <w:sz w:val="24"/>
                <w:szCs w:val="24"/>
              </w:rPr>
            </w:pPr>
          </w:p>
        </w:tc>
        <w:tc>
          <w:tcPr>
            <w:tcW w:w="2547" w:type="dxa"/>
            <w:tcBorders>
              <w:right w:val="nil"/>
            </w:tcBorders>
          </w:tcPr>
          <w:p w14:paraId="4DC6BCA8" w14:textId="77777777" w:rsidR="007702CD" w:rsidRPr="00C56257" w:rsidRDefault="007702CD" w:rsidP="008E33FD">
            <w:pPr>
              <w:pStyle w:val="TableParagraph"/>
              <w:spacing w:line="247" w:lineRule="exact"/>
              <w:ind w:left="24"/>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5C4067D9" w14:textId="77777777" w:rsidR="007702CD" w:rsidRPr="00C56257" w:rsidRDefault="007702CD" w:rsidP="008E33FD">
            <w:pPr>
              <w:pStyle w:val="TableParagraph"/>
              <w:spacing w:before="9"/>
              <w:jc w:val="both"/>
              <w:rPr>
                <w:b/>
                <w:color w:val="000000" w:themeColor="text1"/>
                <w:sz w:val="24"/>
                <w:szCs w:val="24"/>
              </w:rPr>
            </w:pPr>
          </w:p>
          <w:p w14:paraId="2DDCE279" w14:textId="77777777" w:rsidR="007702CD" w:rsidRPr="00C56257" w:rsidRDefault="007702CD" w:rsidP="009E63E5">
            <w:pPr>
              <w:pStyle w:val="TableParagraph"/>
              <w:numPr>
                <w:ilvl w:val="0"/>
                <w:numId w:val="47"/>
              </w:numPr>
              <w:tabs>
                <w:tab w:val="left" w:pos="277"/>
              </w:tabs>
              <w:spacing w:line="276" w:lineRule="auto"/>
              <w:ind w:right="83" w:firstLine="0"/>
              <w:jc w:val="both"/>
              <w:rPr>
                <w:color w:val="000000" w:themeColor="text1"/>
                <w:sz w:val="24"/>
                <w:szCs w:val="24"/>
              </w:rPr>
            </w:pPr>
            <w:r w:rsidRPr="00C56257">
              <w:rPr>
                <w:color w:val="000000" w:themeColor="text1"/>
                <w:sz w:val="24"/>
                <w:szCs w:val="24"/>
              </w:rPr>
              <w:t>metoda</w:t>
            </w:r>
            <w:r w:rsidRPr="00C56257">
              <w:rPr>
                <w:color w:val="000000" w:themeColor="text1"/>
                <w:spacing w:val="8"/>
                <w:sz w:val="24"/>
                <w:szCs w:val="24"/>
              </w:rPr>
              <w:t xml:space="preserve"> </w:t>
            </w:r>
            <w:r w:rsidRPr="00C56257">
              <w:rPr>
                <w:color w:val="000000" w:themeColor="text1"/>
                <w:sz w:val="24"/>
                <w:szCs w:val="24"/>
              </w:rPr>
              <w:t>releveelor</w:t>
            </w:r>
            <w:r w:rsidRPr="00C56257">
              <w:rPr>
                <w:color w:val="000000" w:themeColor="text1"/>
                <w:spacing w:val="8"/>
                <w:sz w:val="24"/>
                <w:szCs w:val="24"/>
              </w:rPr>
              <w:t xml:space="preserve">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0DE9125A" w14:textId="77777777" w:rsidR="007702CD" w:rsidRPr="00C56257" w:rsidRDefault="007702CD" w:rsidP="009E63E5">
            <w:pPr>
              <w:pStyle w:val="TableParagraph"/>
              <w:numPr>
                <w:ilvl w:val="0"/>
                <w:numId w:val="47"/>
              </w:numPr>
              <w:tabs>
                <w:tab w:val="left" w:pos="262"/>
              </w:tabs>
              <w:spacing w:before="200"/>
              <w:ind w:left="262" w:hanging="238"/>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18" w:type="dxa"/>
            <w:tcBorders>
              <w:left w:val="nil"/>
            </w:tcBorders>
          </w:tcPr>
          <w:p w14:paraId="4171CABB" w14:textId="77777777" w:rsidR="007702CD" w:rsidRPr="00C56257" w:rsidRDefault="007702CD" w:rsidP="008E33FD">
            <w:pPr>
              <w:pStyle w:val="TableParagraph"/>
              <w:jc w:val="both"/>
              <w:rPr>
                <w:b/>
                <w:color w:val="000000" w:themeColor="text1"/>
                <w:sz w:val="24"/>
                <w:szCs w:val="24"/>
              </w:rPr>
            </w:pPr>
          </w:p>
          <w:p w14:paraId="457B3F13" w14:textId="77777777" w:rsidR="007702CD" w:rsidRPr="00C56257" w:rsidRDefault="007702CD" w:rsidP="008E33FD">
            <w:pPr>
              <w:pStyle w:val="TableParagraph"/>
              <w:spacing w:before="209"/>
              <w:ind w:left="67"/>
              <w:jc w:val="both"/>
              <w:rPr>
                <w:color w:val="000000" w:themeColor="text1"/>
                <w:sz w:val="24"/>
                <w:szCs w:val="24"/>
              </w:rPr>
            </w:pPr>
            <w:r w:rsidRPr="00C56257">
              <w:rPr>
                <w:color w:val="000000" w:themeColor="text1"/>
                <w:sz w:val="24"/>
                <w:szCs w:val="24"/>
              </w:rPr>
              <w:t>a</w:t>
            </w:r>
          </w:p>
        </w:tc>
        <w:tc>
          <w:tcPr>
            <w:tcW w:w="2437" w:type="dxa"/>
          </w:tcPr>
          <w:p w14:paraId="242F9F42" w14:textId="77777777" w:rsidR="007702CD" w:rsidRPr="00C56257" w:rsidRDefault="007702CD" w:rsidP="008E33FD">
            <w:pPr>
              <w:pStyle w:val="TableParagraph"/>
              <w:spacing w:before="49" w:line="276" w:lineRule="auto"/>
              <w:ind w:left="26" w:right="162"/>
              <w:jc w:val="both"/>
              <w:rPr>
                <w:color w:val="000000" w:themeColor="text1"/>
                <w:sz w:val="24"/>
                <w:szCs w:val="24"/>
              </w:rPr>
            </w:pPr>
            <w:r w:rsidRPr="00C56257">
              <w:rPr>
                <w:color w:val="000000" w:themeColor="text1"/>
                <w:sz w:val="24"/>
                <w:szCs w:val="24"/>
              </w:rPr>
              <w:t>Min 6 relevee/ transecte</w:t>
            </w:r>
            <w:r w:rsidRPr="00C56257">
              <w:rPr>
                <w:color w:val="000000" w:themeColor="text1"/>
                <w:spacing w:val="1"/>
                <w:sz w:val="24"/>
                <w:szCs w:val="24"/>
              </w:rPr>
              <w:t xml:space="preserve"> </w:t>
            </w:r>
            <w:r w:rsidRPr="00C56257">
              <w:rPr>
                <w:color w:val="000000" w:themeColor="text1"/>
                <w:sz w:val="24"/>
                <w:szCs w:val="24"/>
              </w:rPr>
              <w:t>de monitorizare în cadrul</w:t>
            </w:r>
            <w:r w:rsidRPr="00C56257">
              <w:rPr>
                <w:color w:val="000000" w:themeColor="text1"/>
                <w:spacing w:val="-52"/>
                <w:sz w:val="24"/>
                <w:szCs w:val="24"/>
              </w:rPr>
              <w:t xml:space="preserve"> </w:t>
            </w:r>
            <w:r w:rsidRPr="00C56257">
              <w:rPr>
                <w:color w:val="000000" w:themeColor="text1"/>
                <w:sz w:val="24"/>
                <w:szCs w:val="24"/>
              </w:rPr>
              <w:t>ariilor naturale țintă şi în</w:t>
            </w:r>
            <w:r w:rsidRPr="00C56257">
              <w:rPr>
                <w:color w:val="000000" w:themeColor="text1"/>
                <w:spacing w:val="-52"/>
                <w:sz w:val="24"/>
                <w:szCs w:val="24"/>
              </w:rPr>
              <w:t xml:space="preserve"> </w:t>
            </w:r>
            <w:r w:rsidRPr="00C56257">
              <w:rPr>
                <w:color w:val="000000" w:themeColor="text1"/>
                <w:sz w:val="24"/>
                <w:szCs w:val="24"/>
              </w:rPr>
              <w:t>afara acestora, în situația</w:t>
            </w:r>
            <w:r w:rsidRPr="00C56257">
              <w:rPr>
                <w:color w:val="000000" w:themeColor="text1"/>
                <w:spacing w:val="-52"/>
                <w:sz w:val="24"/>
                <w:szCs w:val="24"/>
              </w:rPr>
              <w:t xml:space="preserve"> </w:t>
            </w:r>
            <w:r w:rsidRPr="00C56257">
              <w:rPr>
                <w:color w:val="000000" w:themeColor="text1"/>
                <w:sz w:val="24"/>
                <w:szCs w:val="24"/>
              </w:rPr>
              <w:t>prezenței habitatului.</w:t>
            </w:r>
          </w:p>
        </w:tc>
      </w:tr>
      <w:tr w:rsidR="007702CD" w:rsidRPr="00C56257" w14:paraId="3B3E96E2" w14:textId="77777777" w:rsidTr="00102A1A">
        <w:trPr>
          <w:trHeight w:val="1764"/>
        </w:trPr>
        <w:tc>
          <w:tcPr>
            <w:tcW w:w="2902" w:type="dxa"/>
          </w:tcPr>
          <w:p w14:paraId="046EED2C" w14:textId="77777777" w:rsidR="007702CD" w:rsidRPr="00C56257" w:rsidRDefault="007702CD" w:rsidP="008E33FD">
            <w:pPr>
              <w:pStyle w:val="TableParagraph"/>
              <w:jc w:val="both"/>
              <w:rPr>
                <w:b/>
                <w:color w:val="000000" w:themeColor="text1"/>
                <w:sz w:val="24"/>
                <w:szCs w:val="24"/>
              </w:rPr>
            </w:pPr>
          </w:p>
          <w:p w14:paraId="2E8D6210" w14:textId="77777777" w:rsidR="007702CD" w:rsidRPr="00C56257" w:rsidRDefault="007702CD" w:rsidP="008E33FD">
            <w:pPr>
              <w:pStyle w:val="TableParagraph"/>
              <w:spacing w:before="3"/>
              <w:jc w:val="both"/>
              <w:rPr>
                <w:b/>
                <w:color w:val="000000" w:themeColor="text1"/>
                <w:sz w:val="24"/>
                <w:szCs w:val="24"/>
              </w:rPr>
            </w:pPr>
          </w:p>
          <w:p w14:paraId="00F7D8AE" w14:textId="77777777" w:rsidR="007702CD" w:rsidRPr="00C56257" w:rsidRDefault="007702CD" w:rsidP="008E33FD">
            <w:pPr>
              <w:pStyle w:val="TableParagraph"/>
              <w:ind w:left="86" w:right="153"/>
              <w:jc w:val="both"/>
              <w:rPr>
                <w:color w:val="000000" w:themeColor="text1"/>
                <w:sz w:val="24"/>
                <w:szCs w:val="24"/>
              </w:rPr>
            </w:pPr>
            <w:r w:rsidRPr="00C56257">
              <w:rPr>
                <w:color w:val="000000" w:themeColor="text1"/>
                <w:sz w:val="24"/>
                <w:szCs w:val="24"/>
              </w:rPr>
              <w:t>8220 Versanți stâncoși cu</w:t>
            </w:r>
            <w:r w:rsidRPr="00C56257">
              <w:rPr>
                <w:color w:val="000000" w:themeColor="text1"/>
                <w:spacing w:val="1"/>
                <w:sz w:val="24"/>
                <w:szCs w:val="24"/>
              </w:rPr>
              <w:t xml:space="preserve"> </w:t>
            </w:r>
            <w:r w:rsidRPr="00C56257">
              <w:rPr>
                <w:color w:val="000000" w:themeColor="text1"/>
                <w:sz w:val="24"/>
                <w:szCs w:val="24"/>
              </w:rPr>
              <w:t>vegetație chasmofitică pe roci</w:t>
            </w:r>
            <w:r w:rsidRPr="00C56257">
              <w:rPr>
                <w:color w:val="000000" w:themeColor="text1"/>
                <w:spacing w:val="-53"/>
                <w:sz w:val="24"/>
                <w:szCs w:val="24"/>
              </w:rPr>
              <w:t xml:space="preserve"> </w:t>
            </w:r>
            <w:r w:rsidRPr="00C56257">
              <w:rPr>
                <w:color w:val="000000" w:themeColor="text1"/>
                <w:sz w:val="24"/>
                <w:szCs w:val="24"/>
              </w:rPr>
              <w:t>silicioase</w:t>
            </w:r>
          </w:p>
        </w:tc>
        <w:tc>
          <w:tcPr>
            <w:tcW w:w="521" w:type="dxa"/>
          </w:tcPr>
          <w:p w14:paraId="3F404F05" w14:textId="77777777" w:rsidR="007702CD" w:rsidRPr="00C56257" w:rsidRDefault="007702CD" w:rsidP="008E33FD">
            <w:pPr>
              <w:pStyle w:val="TableParagraph"/>
              <w:jc w:val="both"/>
              <w:rPr>
                <w:color w:val="000000" w:themeColor="text1"/>
                <w:sz w:val="24"/>
                <w:szCs w:val="24"/>
              </w:rPr>
            </w:pPr>
          </w:p>
        </w:tc>
        <w:tc>
          <w:tcPr>
            <w:tcW w:w="541" w:type="dxa"/>
          </w:tcPr>
          <w:p w14:paraId="21245B6B" w14:textId="77777777" w:rsidR="007702CD" w:rsidRPr="00C56257" w:rsidRDefault="007702CD" w:rsidP="008E33FD">
            <w:pPr>
              <w:pStyle w:val="TableParagraph"/>
              <w:jc w:val="both"/>
              <w:rPr>
                <w:color w:val="000000" w:themeColor="text1"/>
                <w:sz w:val="24"/>
                <w:szCs w:val="24"/>
              </w:rPr>
            </w:pPr>
          </w:p>
        </w:tc>
        <w:tc>
          <w:tcPr>
            <w:tcW w:w="557" w:type="dxa"/>
          </w:tcPr>
          <w:p w14:paraId="0AD3ECB2"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7F2C0D73"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580CFC19"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053026B9" w14:textId="77777777" w:rsidR="007702CD" w:rsidRPr="00C56257" w:rsidRDefault="007702CD" w:rsidP="008E33FD">
            <w:pPr>
              <w:pStyle w:val="TableParagraph"/>
              <w:jc w:val="both"/>
              <w:rPr>
                <w:color w:val="000000" w:themeColor="text1"/>
                <w:sz w:val="24"/>
                <w:szCs w:val="24"/>
              </w:rPr>
            </w:pPr>
          </w:p>
        </w:tc>
        <w:tc>
          <w:tcPr>
            <w:tcW w:w="502" w:type="dxa"/>
            <w:shd w:val="clear" w:color="auto" w:fill="BEBEBE"/>
          </w:tcPr>
          <w:p w14:paraId="234A404E"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7291B38B" w14:textId="77777777" w:rsidR="007702CD" w:rsidRPr="00C56257" w:rsidRDefault="007702CD" w:rsidP="008E33FD">
            <w:pPr>
              <w:pStyle w:val="TableParagraph"/>
              <w:jc w:val="both"/>
              <w:rPr>
                <w:color w:val="000000" w:themeColor="text1"/>
                <w:sz w:val="24"/>
                <w:szCs w:val="24"/>
              </w:rPr>
            </w:pPr>
          </w:p>
        </w:tc>
        <w:tc>
          <w:tcPr>
            <w:tcW w:w="557" w:type="dxa"/>
            <w:shd w:val="clear" w:color="auto" w:fill="BEBEBE"/>
          </w:tcPr>
          <w:p w14:paraId="5AA1D913" w14:textId="77777777" w:rsidR="007702CD" w:rsidRPr="00C56257" w:rsidRDefault="007702CD" w:rsidP="008E33FD">
            <w:pPr>
              <w:pStyle w:val="TableParagraph"/>
              <w:jc w:val="both"/>
              <w:rPr>
                <w:color w:val="000000" w:themeColor="text1"/>
                <w:sz w:val="24"/>
                <w:szCs w:val="24"/>
              </w:rPr>
            </w:pPr>
          </w:p>
        </w:tc>
        <w:tc>
          <w:tcPr>
            <w:tcW w:w="559" w:type="dxa"/>
            <w:shd w:val="clear" w:color="auto" w:fill="BEBEBE"/>
          </w:tcPr>
          <w:p w14:paraId="0E11983B" w14:textId="77777777" w:rsidR="007702CD" w:rsidRPr="00C56257" w:rsidRDefault="007702CD" w:rsidP="008E33FD">
            <w:pPr>
              <w:pStyle w:val="TableParagraph"/>
              <w:jc w:val="both"/>
              <w:rPr>
                <w:color w:val="000000" w:themeColor="text1"/>
                <w:sz w:val="24"/>
                <w:szCs w:val="24"/>
              </w:rPr>
            </w:pPr>
          </w:p>
        </w:tc>
        <w:tc>
          <w:tcPr>
            <w:tcW w:w="557" w:type="dxa"/>
          </w:tcPr>
          <w:p w14:paraId="5409B93E" w14:textId="77777777" w:rsidR="007702CD" w:rsidRPr="00C56257" w:rsidRDefault="007702CD" w:rsidP="008E33FD">
            <w:pPr>
              <w:pStyle w:val="TableParagraph"/>
              <w:jc w:val="both"/>
              <w:rPr>
                <w:color w:val="000000" w:themeColor="text1"/>
                <w:sz w:val="24"/>
                <w:szCs w:val="24"/>
              </w:rPr>
            </w:pPr>
          </w:p>
        </w:tc>
        <w:tc>
          <w:tcPr>
            <w:tcW w:w="759" w:type="dxa"/>
          </w:tcPr>
          <w:p w14:paraId="14146701" w14:textId="77777777" w:rsidR="007702CD" w:rsidRPr="00C56257" w:rsidRDefault="007702CD" w:rsidP="008E33FD">
            <w:pPr>
              <w:pStyle w:val="TableParagraph"/>
              <w:jc w:val="both"/>
              <w:rPr>
                <w:color w:val="000000" w:themeColor="text1"/>
                <w:sz w:val="24"/>
                <w:szCs w:val="24"/>
              </w:rPr>
            </w:pPr>
          </w:p>
        </w:tc>
        <w:tc>
          <w:tcPr>
            <w:tcW w:w="2765" w:type="dxa"/>
            <w:gridSpan w:val="2"/>
          </w:tcPr>
          <w:p w14:paraId="6DC03EEB" w14:textId="77777777" w:rsidR="007702CD" w:rsidRPr="00C56257" w:rsidRDefault="007702CD" w:rsidP="008E33FD">
            <w:pPr>
              <w:pStyle w:val="TableParagraph"/>
              <w:spacing w:line="247" w:lineRule="exact"/>
              <w:ind w:left="24"/>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033AA800" w14:textId="77777777" w:rsidR="007702CD" w:rsidRPr="00C56257" w:rsidRDefault="007702CD" w:rsidP="008E33FD">
            <w:pPr>
              <w:pStyle w:val="TableParagraph"/>
              <w:spacing w:before="9"/>
              <w:jc w:val="both"/>
              <w:rPr>
                <w:b/>
                <w:color w:val="000000" w:themeColor="text1"/>
                <w:sz w:val="24"/>
                <w:szCs w:val="24"/>
              </w:rPr>
            </w:pPr>
          </w:p>
          <w:p w14:paraId="7C4BA764" w14:textId="77777777" w:rsidR="007702CD" w:rsidRPr="00C56257" w:rsidRDefault="007702CD" w:rsidP="009E63E5">
            <w:pPr>
              <w:pStyle w:val="TableParagraph"/>
              <w:numPr>
                <w:ilvl w:val="0"/>
                <w:numId w:val="46"/>
              </w:numPr>
              <w:tabs>
                <w:tab w:val="left" w:pos="277"/>
              </w:tabs>
              <w:spacing w:line="276" w:lineRule="auto"/>
              <w:ind w:right="21" w:firstLine="0"/>
              <w:jc w:val="both"/>
              <w:rPr>
                <w:color w:val="000000" w:themeColor="text1"/>
                <w:sz w:val="24"/>
                <w:szCs w:val="24"/>
              </w:rPr>
            </w:pPr>
            <w:r w:rsidRPr="00C56257">
              <w:rPr>
                <w:color w:val="000000" w:themeColor="text1"/>
                <w:sz w:val="24"/>
                <w:szCs w:val="24"/>
              </w:rPr>
              <w:t>metoda</w:t>
            </w:r>
            <w:r w:rsidRPr="00C56257">
              <w:rPr>
                <w:color w:val="000000" w:themeColor="text1"/>
                <w:spacing w:val="10"/>
                <w:sz w:val="24"/>
                <w:szCs w:val="24"/>
              </w:rPr>
              <w:t xml:space="preserve"> </w:t>
            </w:r>
            <w:r w:rsidRPr="00C56257">
              <w:rPr>
                <w:color w:val="000000" w:themeColor="text1"/>
                <w:sz w:val="24"/>
                <w:szCs w:val="24"/>
              </w:rPr>
              <w:t>releveelor</w:t>
            </w:r>
            <w:r w:rsidRPr="00C56257">
              <w:rPr>
                <w:color w:val="000000" w:themeColor="text1"/>
                <w:spacing w:val="10"/>
                <w:sz w:val="24"/>
                <w:szCs w:val="24"/>
              </w:rPr>
              <w:t xml:space="preserve"> </w:t>
            </w:r>
            <w:r w:rsidRPr="00C56257">
              <w:rPr>
                <w:color w:val="000000" w:themeColor="text1"/>
                <w:sz w:val="24"/>
                <w:szCs w:val="24"/>
              </w:rPr>
              <w:t>sau</w:t>
            </w:r>
            <w:r w:rsidRPr="00C56257">
              <w:rPr>
                <w:color w:val="000000" w:themeColor="text1"/>
                <w:spacing w:val="7"/>
                <w:sz w:val="24"/>
                <w:szCs w:val="24"/>
              </w:rPr>
              <w:t xml:space="preserve"> </w:t>
            </w:r>
            <w:r w:rsidRPr="00C56257">
              <w:rPr>
                <w:color w:val="000000" w:themeColor="text1"/>
                <w:sz w:val="24"/>
                <w:szCs w:val="24"/>
              </w:rPr>
              <w:t>a</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7D61ABA7" w14:textId="77777777" w:rsidR="007702CD" w:rsidRPr="00C56257" w:rsidRDefault="007702CD" w:rsidP="009E63E5">
            <w:pPr>
              <w:pStyle w:val="TableParagraph"/>
              <w:numPr>
                <w:ilvl w:val="0"/>
                <w:numId w:val="46"/>
              </w:numPr>
              <w:tabs>
                <w:tab w:val="left" w:pos="262"/>
              </w:tabs>
              <w:spacing w:before="201"/>
              <w:ind w:left="262" w:hanging="238"/>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437" w:type="dxa"/>
          </w:tcPr>
          <w:p w14:paraId="27030E0C" w14:textId="77777777" w:rsidR="007702CD" w:rsidRPr="00C56257" w:rsidRDefault="007702CD" w:rsidP="008E33FD">
            <w:pPr>
              <w:pStyle w:val="TableParagraph"/>
              <w:spacing w:before="49" w:line="276" w:lineRule="auto"/>
              <w:ind w:left="26" w:right="163"/>
              <w:jc w:val="both"/>
              <w:rPr>
                <w:color w:val="000000" w:themeColor="text1"/>
                <w:sz w:val="24"/>
                <w:szCs w:val="24"/>
              </w:rPr>
            </w:pPr>
            <w:r w:rsidRPr="00C56257">
              <w:rPr>
                <w:color w:val="000000" w:themeColor="text1"/>
                <w:sz w:val="24"/>
                <w:szCs w:val="24"/>
              </w:rPr>
              <w:t>Min 6 relevee/ transecte</w:t>
            </w:r>
            <w:r w:rsidRPr="00C56257">
              <w:rPr>
                <w:color w:val="000000" w:themeColor="text1"/>
                <w:spacing w:val="1"/>
                <w:sz w:val="24"/>
                <w:szCs w:val="24"/>
              </w:rPr>
              <w:t xml:space="preserve"> </w:t>
            </w:r>
            <w:r w:rsidRPr="00C56257">
              <w:rPr>
                <w:color w:val="000000" w:themeColor="text1"/>
                <w:sz w:val="24"/>
                <w:szCs w:val="24"/>
              </w:rPr>
              <w:t>de monitorizare în cadrul</w:t>
            </w:r>
            <w:r w:rsidRPr="00C56257">
              <w:rPr>
                <w:color w:val="000000" w:themeColor="text1"/>
                <w:spacing w:val="-52"/>
                <w:sz w:val="24"/>
                <w:szCs w:val="24"/>
              </w:rPr>
              <w:t xml:space="preserve"> </w:t>
            </w:r>
            <w:r w:rsidRPr="00C56257">
              <w:rPr>
                <w:color w:val="000000" w:themeColor="text1"/>
                <w:sz w:val="24"/>
                <w:szCs w:val="24"/>
              </w:rPr>
              <w:t>ariilor naturale țintă şi în</w:t>
            </w:r>
            <w:r w:rsidRPr="00C56257">
              <w:rPr>
                <w:color w:val="000000" w:themeColor="text1"/>
                <w:spacing w:val="-52"/>
                <w:sz w:val="24"/>
                <w:szCs w:val="24"/>
              </w:rPr>
              <w:t xml:space="preserve"> </w:t>
            </w:r>
            <w:r w:rsidRPr="00C56257">
              <w:rPr>
                <w:color w:val="000000" w:themeColor="text1"/>
                <w:sz w:val="24"/>
                <w:szCs w:val="24"/>
              </w:rPr>
              <w:t>afara acestora, în situația</w:t>
            </w:r>
            <w:r w:rsidRPr="00C56257">
              <w:rPr>
                <w:color w:val="000000" w:themeColor="text1"/>
                <w:spacing w:val="-52"/>
                <w:sz w:val="24"/>
                <w:szCs w:val="24"/>
              </w:rPr>
              <w:t xml:space="preserve"> </w:t>
            </w:r>
            <w:r w:rsidRPr="00C56257">
              <w:rPr>
                <w:color w:val="000000" w:themeColor="text1"/>
                <w:sz w:val="24"/>
                <w:szCs w:val="24"/>
              </w:rPr>
              <w:t>prezenței habitatului.</w:t>
            </w:r>
          </w:p>
        </w:tc>
      </w:tr>
      <w:tr w:rsidR="007702CD" w:rsidRPr="00C56257" w14:paraId="78BD4B46" w14:textId="77777777" w:rsidTr="00102A1A">
        <w:trPr>
          <w:trHeight w:val="1761"/>
        </w:trPr>
        <w:tc>
          <w:tcPr>
            <w:tcW w:w="2902" w:type="dxa"/>
            <w:tcBorders>
              <w:bottom w:val="single" w:sz="6" w:space="0" w:color="000000"/>
            </w:tcBorders>
          </w:tcPr>
          <w:p w14:paraId="6B2F429A" w14:textId="77777777" w:rsidR="007702CD" w:rsidRPr="00C56257" w:rsidRDefault="007702CD" w:rsidP="008E33FD">
            <w:pPr>
              <w:pStyle w:val="TableParagraph"/>
              <w:spacing w:before="2"/>
              <w:jc w:val="both"/>
              <w:rPr>
                <w:b/>
                <w:color w:val="000000" w:themeColor="text1"/>
                <w:sz w:val="24"/>
                <w:szCs w:val="24"/>
              </w:rPr>
            </w:pPr>
          </w:p>
          <w:p w14:paraId="0F1AFA5F" w14:textId="77777777" w:rsidR="007702CD" w:rsidRPr="00C56257" w:rsidRDefault="007702CD" w:rsidP="008E33FD">
            <w:pPr>
              <w:pStyle w:val="TableParagraph"/>
              <w:ind w:left="86" w:right="205"/>
              <w:jc w:val="both"/>
              <w:rPr>
                <w:color w:val="000000" w:themeColor="text1"/>
                <w:sz w:val="24"/>
                <w:szCs w:val="24"/>
              </w:rPr>
            </w:pPr>
            <w:r w:rsidRPr="00C56257">
              <w:rPr>
                <w:color w:val="000000" w:themeColor="text1"/>
                <w:sz w:val="24"/>
                <w:szCs w:val="24"/>
              </w:rPr>
              <w:t>8230 Comunități pioniere din</w:t>
            </w:r>
            <w:r w:rsidRPr="00C56257">
              <w:rPr>
                <w:color w:val="000000" w:themeColor="text1"/>
                <w:spacing w:val="-52"/>
                <w:sz w:val="24"/>
                <w:szCs w:val="24"/>
              </w:rPr>
              <w:t xml:space="preserve"> </w:t>
            </w:r>
            <w:r w:rsidRPr="00C56257">
              <w:rPr>
                <w:color w:val="000000" w:themeColor="text1"/>
                <w:sz w:val="24"/>
                <w:szCs w:val="24"/>
              </w:rPr>
              <w:t>Sedo-Scleranthion sau Sedo</w:t>
            </w:r>
            <w:r w:rsidRPr="00C56257">
              <w:rPr>
                <w:color w:val="000000" w:themeColor="text1"/>
                <w:spacing w:val="1"/>
                <w:sz w:val="24"/>
                <w:szCs w:val="24"/>
              </w:rPr>
              <w:t xml:space="preserve"> </w:t>
            </w:r>
            <w:r w:rsidRPr="00C56257">
              <w:rPr>
                <w:color w:val="000000" w:themeColor="text1"/>
                <w:sz w:val="24"/>
                <w:szCs w:val="24"/>
              </w:rPr>
              <w:t>albi-Veronicion dillenii pe</w:t>
            </w:r>
            <w:r w:rsidRPr="00C56257">
              <w:rPr>
                <w:color w:val="000000" w:themeColor="text1"/>
                <w:spacing w:val="1"/>
                <w:sz w:val="24"/>
                <w:szCs w:val="24"/>
              </w:rPr>
              <w:t xml:space="preserve"> </w:t>
            </w:r>
            <w:r w:rsidRPr="00C56257">
              <w:rPr>
                <w:color w:val="000000" w:themeColor="text1"/>
                <w:sz w:val="24"/>
                <w:szCs w:val="24"/>
              </w:rPr>
              <w:t>stâncării</w:t>
            </w:r>
            <w:r w:rsidRPr="00C56257">
              <w:rPr>
                <w:color w:val="000000" w:themeColor="text1"/>
                <w:spacing w:val="-3"/>
                <w:sz w:val="24"/>
                <w:szCs w:val="24"/>
              </w:rPr>
              <w:t xml:space="preserve"> </w:t>
            </w:r>
            <w:r w:rsidRPr="00C56257">
              <w:rPr>
                <w:color w:val="000000" w:themeColor="text1"/>
                <w:sz w:val="24"/>
                <w:szCs w:val="24"/>
              </w:rPr>
              <w:t>silicioase</w:t>
            </w:r>
          </w:p>
        </w:tc>
        <w:tc>
          <w:tcPr>
            <w:tcW w:w="521" w:type="dxa"/>
            <w:tcBorders>
              <w:bottom w:val="single" w:sz="6" w:space="0" w:color="000000"/>
            </w:tcBorders>
          </w:tcPr>
          <w:p w14:paraId="1903BBB2" w14:textId="77777777" w:rsidR="007702CD" w:rsidRPr="00C56257" w:rsidRDefault="007702CD" w:rsidP="008E33FD">
            <w:pPr>
              <w:pStyle w:val="TableParagraph"/>
              <w:jc w:val="both"/>
              <w:rPr>
                <w:color w:val="000000" w:themeColor="text1"/>
                <w:sz w:val="24"/>
                <w:szCs w:val="24"/>
              </w:rPr>
            </w:pPr>
          </w:p>
        </w:tc>
        <w:tc>
          <w:tcPr>
            <w:tcW w:w="541" w:type="dxa"/>
            <w:tcBorders>
              <w:bottom w:val="single" w:sz="6" w:space="0" w:color="000000"/>
            </w:tcBorders>
          </w:tcPr>
          <w:p w14:paraId="3F446372" w14:textId="77777777" w:rsidR="007702CD" w:rsidRPr="00C56257" w:rsidRDefault="007702CD" w:rsidP="008E33FD">
            <w:pPr>
              <w:pStyle w:val="TableParagraph"/>
              <w:jc w:val="both"/>
              <w:rPr>
                <w:color w:val="000000" w:themeColor="text1"/>
                <w:sz w:val="24"/>
                <w:szCs w:val="24"/>
              </w:rPr>
            </w:pPr>
          </w:p>
        </w:tc>
        <w:tc>
          <w:tcPr>
            <w:tcW w:w="557" w:type="dxa"/>
            <w:tcBorders>
              <w:bottom w:val="single" w:sz="6" w:space="0" w:color="000000"/>
            </w:tcBorders>
          </w:tcPr>
          <w:p w14:paraId="3DA7E6B4" w14:textId="77777777" w:rsidR="007702CD" w:rsidRPr="00C56257" w:rsidRDefault="007702CD" w:rsidP="008E33FD">
            <w:pPr>
              <w:pStyle w:val="TableParagraph"/>
              <w:jc w:val="both"/>
              <w:rPr>
                <w:color w:val="000000" w:themeColor="text1"/>
                <w:sz w:val="24"/>
                <w:szCs w:val="24"/>
              </w:rPr>
            </w:pPr>
          </w:p>
        </w:tc>
        <w:tc>
          <w:tcPr>
            <w:tcW w:w="557" w:type="dxa"/>
            <w:tcBorders>
              <w:bottom w:val="single" w:sz="6" w:space="0" w:color="000000"/>
            </w:tcBorders>
            <w:shd w:val="clear" w:color="auto" w:fill="BEBEBE"/>
          </w:tcPr>
          <w:p w14:paraId="6D4A5C82" w14:textId="77777777" w:rsidR="007702CD" w:rsidRPr="00C56257" w:rsidRDefault="007702CD" w:rsidP="008E33FD">
            <w:pPr>
              <w:pStyle w:val="TableParagraph"/>
              <w:jc w:val="both"/>
              <w:rPr>
                <w:color w:val="000000" w:themeColor="text1"/>
                <w:sz w:val="24"/>
                <w:szCs w:val="24"/>
              </w:rPr>
            </w:pPr>
          </w:p>
        </w:tc>
        <w:tc>
          <w:tcPr>
            <w:tcW w:w="557" w:type="dxa"/>
            <w:tcBorders>
              <w:bottom w:val="single" w:sz="6" w:space="0" w:color="000000"/>
            </w:tcBorders>
            <w:shd w:val="clear" w:color="auto" w:fill="BEBEBE"/>
          </w:tcPr>
          <w:p w14:paraId="58CBCE40" w14:textId="77777777" w:rsidR="007702CD" w:rsidRPr="00C56257" w:rsidRDefault="007702CD" w:rsidP="008E33FD">
            <w:pPr>
              <w:pStyle w:val="TableParagraph"/>
              <w:jc w:val="both"/>
              <w:rPr>
                <w:color w:val="000000" w:themeColor="text1"/>
                <w:sz w:val="24"/>
                <w:szCs w:val="24"/>
              </w:rPr>
            </w:pPr>
          </w:p>
        </w:tc>
        <w:tc>
          <w:tcPr>
            <w:tcW w:w="557" w:type="dxa"/>
            <w:tcBorders>
              <w:bottom w:val="single" w:sz="6" w:space="0" w:color="000000"/>
            </w:tcBorders>
            <w:shd w:val="clear" w:color="auto" w:fill="BEBEBE"/>
          </w:tcPr>
          <w:p w14:paraId="1DB4642A" w14:textId="77777777" w:rsidR="007702CD" w:rsidRPr="00C56257" w:rsidRDefault="007702CD" w:rsidP="008E33FD">
            <w:pPr>
              <w:pStyle w:val="TableParagraph"/>
              <w:jc w:val="both"/>
              <w:rPr>
                <w:color w:val="000000" w:themeColor="text1"/>
                <w:sz w:val="24"/>
                <w:szCs w:val="24"/>
              </w:rPr>
            </w:pPr>
          </w:p>
        </w:tc>
        <w:tc>
          <w:tcPr>
            <w:tcW w:w="502" w:type="dxa"/>
            <w:tcBorders>
              <w:bottom w:val="single" w:sz="6" w:space="0" w:color="000000"/>
            </w:tcBorders>
            <w:shd w:val="clear" w:color="auto" w:fill="BEBEBE"/>
          </w:tcPr>
          <w:p w14:paraId="2C735CDA" w14:textId="77777777" w:rsidR="007702CD" w:rsidRPr="00C56257" w:rsidRDefault="007702CD" w:rsidP="008E33FD">
            <w:pPr>
              <w:pStyle w:val="TableParagraph"/>
              <w:jc w:val="both"/>
              <w:rPr>
                <w:color w:val="000000" w:themeColor="text1"/>
                <w:sz w:val="24"/>
                <w:szCs w:val="24"/>
              </w:rPr>
            </w:pPr>
          </w:p>
        </w:tc>
        <w:tc>
          <w:tcPr>
            <w:tcW w:w="557" w:type="dxa"/>
            <w:tcBorders>
              <w:bottom w:val="single" w:sz="6" w:space="0" w:color="000000"/>
            </w:tcBorders>
            <w:shd w:val="clear" w:color="auto" w:fill="BEBEBE"/>
          </w:tcPr>
          <w:p w14:paraId="60BDD682" w14:textId="77777777" w:rsidR="007702CD" w:rsidRPr="00C56257" w:rsidRDefault="007702CD" w:rsidP="008E33FD">
            <w:pPr>
              <w:pStyle w:val="TableParagraph"/>
              <w:jc w:val="both"/>
              <w:rPr>
                <w:color w:val="000000" w:themeColor="text1"/>
                <w:sz w:val="24"/>
                <w:szCs w:val="24"/>
              </w:rPr>
            </w:pPr>
          </w:p>
        </w:tc>
        <w:tc>
          <w:tcPr>
            <w:tcW w:w="557" w:type="dxa"/>
            <w:tcBorders>
              <w:bottom w:val="single" w:sz="6" w:space="0" w:color="000000"/>
            </w:tcBorders>
            <w:shd w:val="clear" w:color="auto" w:fill="BEBEBE"/>
          </w:tcPr>
          <w:p w14:paraId="6DDB25B8" w14:textId="77777777" w:rsidR="007702CD" w:rsidRPr="00C56257" w:rsidRDefault="007702CD" w:rsidP="008E33FD">
            <w:pPr>
              <w:pStyle w:val="TableParagraph"/>
              <w:jc w:val="both"/>
              <w:rPr>
                <w:color w:val="000000" w:themeColor="text1"/>
                <w:sz w:val="24"/>
                <w:szCs w:val="24"/>
              </w:rPr>
            </w:pPr>
          </w:p>
        </w:tc>
        <w:tc>
          <w:tcPr>
            <w:tcW w:w="559" w:type="dxa"/>
            <w:tcBorders>
              <w:bottom w:val="single" w:sz="6" w:space="0" w:color="000000"/>
            </w:tcBorders>
            <w:shd w:val="clear" w:color="auto" w:fill="BEBEBE"/>
          </w:tcPr>
          <w:p w14:paraId="0B4304A6" w14:textId="77777777" w:rsidR="007702CD" w:rsidRPr="00C56257" w:rsidRDefault="007702CD" w:rsidP="008E33FD">
            <w:pPr>
              <w:pStyle w:val="TableParagraph"/>
              <w:jc w:val="both"/>
              <w:rPr>
                <w:color w:val="000000" w:themeColor="text1"/>
                <w:sz w:val="24"/>
                <w:szCs w:val="24"/>
              </w:rPr>
            </w:pPr>
          </w:p>
        </w:tc>
        <w:tc>
          <w:tcPr>
            <w:tcW w:w="557" w:type="dxa"/>
            <w:tcBorders>
              <w:bottom w:val="single" w:sz="6" w:space="0" w:color="000000"/>
            </w:tcBorders>
          </w:tcPr>
          <w:p w14:paraId="25161113" w14:textId="77777777" w:rsidR="007702CD" w:rsidRPr="00C56257" w:rsidRDefault="007702CD" w:rsidP="008E33FD">
            <w:pPr>
              <w:pStyle w:val="TableParagraph"/>
              <w:jc w:val="both"/>
              <w:rPr>
                <w:color w:val="000000" w:themeColor="text1"/>
                <w:sz w:val="24"/>
                <w:szCs w:val="24"/>
              </w:rPr>
            </w:pPr>
          </w:p>
        </w:tc>
        <w:tc>
          <w:tcPr>
            <w:tcW w:w="759" w:type="dxa"/>
            <w:tcBorders>
              <w:bottom w:val="single" w:sz="6" w:space="0" w:color="000000"/>
            </w:tcBorders>
          </w:tcPr>
          <w:p w14:paraId="5A99C54A" w14:textId="77777777" w:rsidR="007702CD" w:rsidRPr="00C56257" w:rsidRDefault="007702CD" w:rsidP="008E33FD">
            <w:pPr>
              <w:pStyle w:val="TableParagraph"/>
              <w:jc w:val="both"/>
              <w:rPr>
                <w:color w:val="000000" w:themeColor="text1"/>
                <w:sz w:val="24"/>
                <w:szCs w:val="24"/>
              </w:rPr>
            </w:pPr>
          </w:p>
        </w:tc>
        <w:tc>
          <w:tcPr>
            <w:tcW w:w="2765" w:type="dxa"/>
            <w:gridSpan w:val="2"/>
            <w:tcBorders>
              <w:bottom w:val="single" w:sz="6" w:space="0" w:color="000000"/>
            </w:tcBorders>
          </w:tcPr>
          <w:p w14:paraId="58329B59" w14:textId="77777777" w:rsidR="007702CD" w:rsidRPr="00C56257" w:rsidRDefault="007702CD" w:rsidP="008E33FD">
            <w:pPr>
              <w:pStyle w:val="TableParagraph"/>
              <w:spacing w:line="247" w:lineRule="exact"/>
              <w:ind w:left="24"/>
              <w:jc w:val="both"/>
              <w:rPr>
                <w:color w:val="000000" w:themeColor="text1"/>
                <w:sz w:val="24"/>
                <w:szCs w:val="24"/>
              </w:rPr>
            </w:pPr>
            <w:r w:rsidRPr="00C56257">
              <w:rPr>
                <w:color w:val="000000" w:themeColor="text1"/>
                <w:sz w:val="24"/>
                <w:szCs w:val="24"/>
              </w:rPr>
              <w:t>Observaţii</w:t>
            </w:r>
            <w:r w:rsidRPr="00C56257">
              <w:rPr>
                <w:color w:val="000000" w:themeColor="text1"/>
                <w:spacing w:val="-3"/>
                <w:sz w:val="24"/>
                <w:szCs w:val="24"/>
              </w:rPr>
              <w:t xml:space="preserve"> </w:t>
            </w:r>
            <w:r w:rsidRPr="00C56257">
              <w:rPr>
                <w:color w:val="000000" w:themeColor="text1"/>
                <w:sz w:val="24"/>
                <w:szCs w:val="24"/>
              </w:rPr>
              <w:t>directe</w:t>
            </w:r>
            <w:r w:rsidRPr="00C56257">
              <w:rPr>
                <w:color w:val="000000" w:themeColor="text1"/>
                <w:spacing w:val="-4"/>
                <w:sz w:val="24"/>
                <w:szCs w:val="24"/>
              </w:rPr>
              <w:t xml:space="preserve"> </w:t>
            </w:r>
            <w:r w:rsidRPr="00C56257">
              <w:rPr>
                <w:color w:val="000000" w:themeColor="text1"/>
                <w:sz w:val="24"/>
                <w:szCs w:val="24"/>
              </w:rPr>
              <w:t>prin:</w:t>
            </w:r>
          </w:p>
          <w:p w14:paraId="287E7BA7" w14:textId="77777777" w:rsidR="007702CD" w:rsidRPr="00C56257" w:rsidRDefault="007702CD" w:rsidP="008E33FD">
            <w:pPr>
              <w:pStyle w:val="TableParagraph"/>
              <w:spacing w:before="9"/>
              <w:jc w:val="both"/>
              <w:rPr>
                <w:b/>
                <w:color w:val="000000" w:themeColor="text1"/>
                <w:sz w:val="24"/>
                <w:szCs w:val="24"/>
              </w:rPr>
            </w:pPr>
          </w:p>
          <w:p w14:paraId="175A72BD" w14:textId="77777777" w:rsidR="007702CD" w:rsidRPr="00C56257" w:rsidRDefault="007702CD" w:rsidP="009E63E5">
            <w:pPr>
              <w:pStyle w:val="TableParagraph"/>
              <w:numPr>
                <w:ilvl w:val="0"/>
                <w:numId w:val="45"/>
              </w:numPr>
              <w:tabs>
                <w:tab w:val="left" w:pos="277"/>
              </w:tabs>
              <w:spacing w:line="276" w:lineRule="auto"/>
              <w:ind w:right="21" w:firstLine="0"/>
              <w:jc w:val="both"/>
              <w:rPr>
                <w:color w:val="000000" w:themeColor="text1"/>
                <w:sz w:val="24"/>
                <w:szCs w:val="24"/>
              </w:rPr>
            </w:pPr>
            <w:r w:rsidRPr="00C56257">
              <w:rPr>
                <w:color w:val="000000" w:themeColor="text1"/>
                <w:sz w:val="24"/>
                <w:szCs w:val="24"/>
              </w:rPr>
              <w:t>metoda</w:t>
            </w:r>
            <w:r w:rsidRPr="00C56257">
              <w:rPr>
                <w:color w:val="000000" w:themeColor="text1"/>
                <w:spacing w:val="10"/>
                <w:sz w:val="24"/>
                <w:szCs w:val="24"/>
              </w:rPr>
              <w:t xml:space="preserve"> </w:t>
            </w:r>
            <w:r w:rsidRPr="00C56257">
              <w:rPr>
                <w:color w:val="000000" w:themeColor="text1"/>
                <w:sz w:val="24"/>
                <w:szCs w:val="24"/>
              </w:rPr>
              <w:t>releveelor</w:t>
            </w:r>
            <w:r w:rsidRPr="00C56257">
              <w:rPr>
                <w:color w:val="000000" w:themeColor="text1"/>
                <w:spacing w:val="10"/>
                <w:sz w:val="24"/>
                <w:szCs w:val="24"/>
              </w:rPr>
              <w:t xml:space="preserve"> </w:t>
            </w:r>
            <w:r w:rsidRPr="00C56257">
              <w:rPr>
                <w:color w:val="000000" w:themeColor="text1"/>
                <w:sz w:val="24"/>
                <w:szCs w:val="24"/>
              </w:rPr>
              <w:t>sau</w:t>
            </w:r>
            <w:r w:rsidRPr="00C56257">
              <w:rPr>
                <w:color w:val="000000" w:themeColor="text1"/>
                <w:spacing w:val="7"/>
                <w:sz w:val="24"/>
                <w:szCs w:val="24"/>
              </w:rPr>
              <w:t xml:space="preserve"> </w:t>
            </w:r>
            <w:r w:rsidRPr="00C56257">
              <w:rPr>
                <w:color w:val="000000" w:themeColor="text1"/>
                <w:sz w:val="24"/>
                <w:szCs w:val="24"/>
              </w:rPr>
              <w:t>a</w:t>
            </w:r>
            <w:r w:rsidRPr="00C56257">
              <w:rPr>
                <w:color w:val="000000" w:themeColor="text1"/>
                <w:spacing w:val="-52"/>
                <w:sz w:val="24"/>
                <w:szCs w:val="24"/>
              </w:rPr>
              <w:t xml:space="preserve"> </w:t>
            </w:r>
            <w:r w:rsidRPr="00C56257">
              <w:rPr>
                <w:color w:val="000000" w:themeColor="text1"/>
                <w:sz w:val="24"/>
                <w:szCs w:val="24"/>
              </w:rPr>
              <w:t>transectelor</w:t>
            </w:r>
            <w:r w:rsidRPr="00C56257">
              <w:rPr>
                <w:color w:val="000000" w:themeColor="text1"/>
                <w:spacing w:val="-3"/>
                <w:sz w:val="24"/>
                <w:szCs w:val="24"/>
              </w:rPr>
              <w:t xml:space="preserve"> </w:t>
            </w:r>
            <w:r w:rsidRPr="00C56257">
              <w:rPr>
                <w:color w:val="000000" w:themeColor="text1"/>
                <w:sz w:val="24"/>
                <w:szCs w:val="24"/>
              </w:rPr>
              <w:t>itinerante</w:t>
            </w:r>
          </w:p>
          <w:p w14:paraId="03F07190" w14:textId="77777777" w:rsidR="007702CD" w:rsidRPr="00C56257" w:rsidRDefault="007702CD" w:rsidP="009E63E5">
            <w:pPr>
              <w:pStyle w:val="TableParagraph"/>
              <w:numPr>
                <w:ilvl w:val="0"/>
                <w:numId w:val="45"/>
              </w:numPr>
              <w:tabs>
                <w:tab w:val="left" w:pos="262"/>
              </w:tabs>
              <w:spacing w:before="200"/>
              <w:ind w:left="262" w:hanging="238"/>
              <w:jc w:val="both"/>
              <w:rPr>
                <w:color w:val="000000" w:themeColor="text1"/>
                <w:sz w:val="24"/>
                <w:szCs w:val="24"/>
              </w:rPr>
            </w:pPr>
            <w:r w:rsidRPr="00C56257">
              <w:rPr>
                <w:color w:val="000000" w:themeColor="text1"/>
                <w:sz w:val="24"/>
                <w:szCs w:val="24"/>
              </w:rPr>
              <w:t>metoda</w:t>
            </w:r>
            <w:r w:rsidRPr="00C56257">
              <w:rPr>
                <w:color w:val="000000" w:themeColor="text1"/>
                <w:spacing w:val="-1"/>
                <w:sz w:val="24"/>
                <w:szCs w:val="24"/>
              </w:rPr>
              <w:t xml:space="preserve"> </w:t>
            </w:r>
            <w:r w:rsidRPr="00C56257">
              <w:rPr>
                <w:color w:val="000000" w:themeColor="text1"/>
                <w:sz w:val="24"/>
                <w:szCs w:val="24"/>
              </w:rPr>
              <w:t>Braun-Blanquet</w:t>
            </w:r>
          </w:p>
        </w:tc>
        <w:tc>
          <w:tcPr>
            <w:tcW w:w="2437" w:type="dxa"/>
            <w:tcBorders>
              <w:bottom w:val="single" w:sz="6" w:space="0" w:color="000000"/>
            </w:tcBorders>
          </w:tcPr>
          <w:p w14:paraId="3A415DEE" w14:textId="77777777" w:rsidR="007702CD" w:rsidRPr="00C56257" w:rsidRDefault="007702CD" w:rsidP="008E33FD">
            <w:pPr>
              <w:pStyle w:val="TableParagraph"/>
              <w:spacing w:before="49" w:line="276" w:lineRule="auto"/>
              <w:ind w:left="26" w:right="163"/>
              <w:jc w:val="both"/>
              <w:rPr>
                <w:color w:val="000000" w:themeColor="text1"/>
                <w:sz w:val="24"/>
                <w:szCs w:val="24"/>
              </w:rPr>
            </w:pPr>
            <w:r w:rsidRPr="00C56257">
              <w:rPr>
                <w:color w:val="000000" w:themeColor="text1"/>
                <w:sz w:val="24"/>
                <w:szCs w:val="24"/>
              </w:rPr>
              <w:t>Min 6 relevee/ transecte</w:t>
            </w:r>
            <w:r w:rsidRPr="00C56257">
              <w:rPr>
                <w:color w:val="000000" w:themeColor="text1"/>
                <w:spacing w:val="1"/>
                <w:sz w:val="24"/>
                <w:szCs w:val="24"/>
              </w:rPr>
              <w:t xml:space="preserve"> </w:t>
            </w:r>
            <w:r w:rsidRPr="00C56257">
              <w:rPr>
                <w:color w:val="000000" w:themeColor="text1"/>
                <w:sz w:val="24"/>
                <w:szCs w:val="24"/>
              </w:rPr>
              <w:t>de monitorizare în cadrul</w:t>
            </w:r>
            <w:r w:rsidRPr="00C56257">
              <w:rPr>
                <w:color w:val="000000" w:themeColor="text1"/>
                <w:spacing w:val="-52"/>
                <w:sz w:val="24"/>
                <w:szCs w:val="24"/>
              </w:rPr>
              <w:t xml:space="preserve"> </w:t>
            </w:r>
            <w:r w:rsidRPr="00C56257">
              <w:rPr>
                <w:color w:val="000000" w:themeColor="text1"/>
                <w:sz w:val="24"/>
                <w:szCs w:val="24"/>
              </w:rPr>
              <w:t>ariilor naturale țintă şi în</w:t>
            </w:r>
            <w:r w:rsidRPr="00C56257">
              <w:rPr>
                <w:color w:val="000000" w:themeColor="text1"/>
                <w:spacing w:val="-52"/>
                <w:sz w:val="24"/>
                <w:szCs w:val="24"/>
              </w:rPr>
              <w:t xml:space="preserve"> </w:t>
            </w:r>
            <w:r w:rsidRPr="00C56257">
              <w:rPr>
                <w:color w:val="000000" w:themeColor="text1"/>
                <w:sz w:val="24"/>
                <w:szCs w:val="24"/>
              </w:rPr>
              <w:t>afara acestora, în situația</w:t>
            </w:r>
            <w:r w:rsidRPr="00C56257">
              <w:rPr>
                <w:color w:val="000000" w:themeColor="text1"/>
                <w:spacing w:val="-52"/>
                <w:sz w:val="24"/>
                <w:szCs w:val="24"/>
              </w:rPr>
              <w:t xml:space="preserve"> </w:t>
            </w:r>
            <w:r w:rsidRPr="00C56257">
              <w:rPr>
                <w:color w:val="000000" w:themeColor="text1"/>
                <w:sz w:val="24"/>
                <w:szCs w:val="24"/>
              </w:rPr>
              <w:t>prezenței habitatului.</w:t>
            </w:r>
          </w:p>
        </w:tc>
      </w:tr>
    </w:tbl>
    <w:p w14:paraId="10FDB824" w14:textId="77777777" w:rsidR="003D505F" w:rsidRPr="00C56257" w:rsidRDefault="003D505F" w:rsidP="008E33FD">
      <w:pPr>
        <w:spacing w:after="160" w:line="259" w:lineRule="auto"/>
        <w:jc w:val="both"/>
        <w:rPr>
          <w:bCs/>
          <w:color w:val="000000" w:themeColor="text1"/>
        </w:rPr>
        <w:sectPr w:rsidR="003D505F" w:rsidRPr="00C56257" w:rsidSect="00E1608A">
          <w:headerReference w:type="even" r:id="rId79"/>
          <w:headerReference w:type="default" r:id="rId80"/>
          <w:footerReference w:type="default" r:id="rId81"/>
          <w:headerReference w:type="first" r:id="rId82"/>
          <w:pgSz w:w="16840" w:h="11910" w:orient="landscape"/>
          <w:pgMar w:top="1066" w:right="1411" w:bottom="245" w:left="1598" w:header="0" w:footer="1412" w:gutter="0"/>
          <w:cols w:space="708"/>
          <w:docGrid w:linePitch="326"/>
        </w:sectPr>
      </w:pPr>
    </w:p>
    <w:p w14:paraId="708DEC5B" w14:textId="77777777" w:rsidR="00E64D7B" w:rsidRPr="00F07D5E" w:rsidRDefault="00F07D5E" w:rsidP="008E33FD">
      <w:pPr>
        <w:spacing w:after="160" w:line="259" w:lineRule="auto"/>
        <w:jc w:val="both"/>
        <w:rPr>
          <w:b/>
          <w:bCs/>
          <w:color w:val="000000" w:themeColor="text1"/>
        </w:rPr>
      </w:pPr>
      <w:r w:rsidRPr="00F07D5E">
        <w:rPr>
          <w:b/>
          <w:bCs/>
          <w:color w:val="000000" w:themeColor="text1"/>
        </w:rPr>
        <w:lastRenderedPageBreak/>
        <w:t>8.2</w:t>
      </w:r>
      <w:r w:rsidRPr="00F07D5E">
        <w:rPr>
          <w:b/>
          <w:color w:val="365F91"/>
          <w:sz w:val="22"/>
          <w:szCs w:val="22"/>
        </w:rPr>
        <w:t xml:space="preserve"> </w:t>
      </w:r>
      <w:r w:rsidRPr="00F07D5E">
        <w:rPr>
          <w:b/>
          <w:bCs/>
          <w:color w:val="000000" w:themeColor="text1"/>
        </w:rPr>
        <w:t>Metodologiile de monitorizare a habitatelor de grohotișuri și stâncării</w:t>
      </w:r>
    </w:p>
    <w:p w14:paraId="0FB15081" w14:textId="77777777" w:rsidR="0092497B" w:rsidRPr="00C56257" w:rsidRDefault="0092497B" w:rsidP="0092497B">
      <w:pPr>
        <w:pStyle w:val="BodyText"/>
        <w:spacing w:line="274" w:lineRule="exact"/>
        <w:ind w:left="0"/>
        <w:jc w:val="both"/>
        <w:rPr>
          <w:rFonts w:eastAsia="Times New Roman"/>
          <w:b/>
          <w:color w:val="000000" w:themeColor="text1"/>
          <w:sz w:val="24"/>
          <w:szCs w:val="24"/>
          <w:lang w:val="ro-RO"/>
        </w:rPr>
      </w:pPr>
      <w:r w:rsidRPr="0017673F">
        <w:rPr>
          <w:rFonts w:eastAsia="Times New Roman"/>
          <w:bCs/>
          <w:color w:val="000000" w:themeColor="text1"/>
          <w:sz w:val="24"/>
          <w:szCs w:val="24"/>
          <w:lang w:val="ro-RO"/>
        </w:rPr>
        <w:t xml:space="preserve">Metodologia pentru colectarea datelor din teren </w:t>
      </w:r>
      <w:r>
        <w:rPr>
          <w:rFonts w:eastAsia="Times New Roman"/>
          <w:bCs/>
          <w:color w:val="000000" w:themeColor="text1"/>
          <w:sz w:val="24"/>
          <w:szCs w:val="24"/>
          <w:lang w:val="ro-RO"/>
        </w:rPr>
        <w:t xml:space="preserve"> și pentru evaluarea stăr</w:t>
      </w:r>
      <w:r w:rsidRPr="00E12F5B">
        <w:rPr>
          <w:rFonts w:eastAsia="Times New Roman"/>
          <w:bCs/>
          <w:color w:val="000000" w:themeColor="text1"/>
          <w:sz w:val="24"/>
          <w:szCs w:val="24"/>
          <w:lang w:val="ro-RO"/>
        </w:rPr>
        <w:t>ii de conservare</w:t>
      </w:r>
      <w:r>
        <w:rPr>
          <w:rFonts w:eastAsia="Times New Roman"/>
          <w:bCs/>
          <w:color w:val="000000" w:themeColor="text1"/>
          <w:sz w:val="24"/>
          <w:szCs w:val="24"/>
          <w:lang w:val="ro-RO"/>
        </w:rPr>
        <w:t xml:space="preserve"> </w:t>
      </w:r>
      <w:r w:rsidRPr="0017673F">
        <w:rPr>
          <w:rFonts w:eastAsia="Times New Roman"/>
          <w:bCs/>
          <w:color w:val="000000" w:themeColor="text1"/>
          <w:sz w:val="24"/>
          <w:szCs w:val="24"/>
          <w:lang w:val="ro-RO"/>
        </w:rPr>
        <w:t>sunt descrise la pct 2.2  pentru  grupele de habitate: sărături, dune continentale, apă dulce, pajiști, mlaștini și turbării, grohotișuri și stâncării</w:t>
      </w:r>
      <w:r w:rsidRPr="0017673F">
        <w:rPr>
          <w:rFonts w:eastAsia="Times New Roman"/>
          <w:b/>
          <w:color w:val="000000" w:themeColor="text1"/>
          <w:sz w:val="24"/>
          <w:szCs w:val="24"/>
          <w:lang w:val="ro-RO"/>
        </w:rPr>
        <w:t>.</w:t>
      </w:r>
    </w:p>
    <w:p w14:paraId="206A18A4" w14:textId="77777777" w:rsidR="00F07D5E" w:rsidRPr="00C56257" w:rsidRDefault="00F07D5E" w:rsidP="008E33FD">
      <w:pPr>
        <w:spacing w:after="160" w:line="259" w:lineRule="auto"/>
        <w:jc w:val="both"/>
        <w:rPr>
          <w:bCs/>
          <w:color w:val="000000" w:themeColor="text1"/>
        </w:rPr>
      </w:pPr>
    </w:p>
    <w:p w14:paraId="214012C3" w14:textId="77777777" w:rsidR="00E64D7B" w:rsidRPr="00F07D5E" w:rsidRDefault="00E870D1" w:rsidP="009E63E5">
      <w:pPr>
        <w:pStyle w:val="ListParagraph"/>
        <w:numPr>
          <w:ilvl w:val="1"/>
          <w:numId w:val="180"/>
        </w:numPr>
        <w:spacing w:after="160" w:line="259" w:lineRule="auto"/>
        <w:jc w:val="both"/>
        <w:rPr>
          <w:rFonts w:ascii="Times New Roman" w:hAnsi="Times New Roman" w:cs="Times New Roman"/>
          <w:b/>
          <w:bCs/>
          <w:color w:val="000000" w:themeColor="text1"/>
          <w:lang w:val="fr-FR"/>
        </w:rPr>
      </w:pPr>
      <w:r w:rsidRPr="00F07D5E">
        <w:rPr>
          <w:rFonts w:ascii="Times New Roman" w:hAnsi="Times New Roman" w:cs="Times New Roman"/>
          <w:b/>
          <w:bCs/>
          <w:color w:val="000000" w:themeColor="text1"/>
          <w:lang w:val="fr-FR"/>
        </w:rPr>
        <w:t xml:space="preserve">Lista </w:t>
      </w:r>
      <w:proofErr w:type="spellStart"/>
      <w:r w:rsidRPr="00F07D5E">
        <w:rPr>
          <w:rFonts w:ascii="Times New Roman" w:hAnsi="Times New Roman" w:cs="Times New Roman"/>
          <w:b/>
          <w:bCs/>
          <w:color w:val="000000" w:themeColor="text1"/>
          <w:lang w:val="fr-FR"/>
        </w:rPr>
        <w:t>cu</w:t>
      </w:r>
      <w:proofErr w:type="spellEnd"/>
      <w:r w:rsidR="0003674E" w:rsidRPr="00F07D5E">
        <w:rPr>
          <w:rFonts w:ascii="Times New Roman" w:hAnsi="Times New Roman" w:cs="Times New Roman"/>
          <w:b/>
          <w:bCs/>
          <w:color w:val="000000" w:themeColor="text1"/>
          <w:lang w:val="fr-FR"/>
        </w:rPr>
        <w:t xml:space="preserve"> </w:t>
      </w:r>
      <w:proofErr w:type="spellStart"/>
      <w:r w:rsidR="0003674E" w:rsidRPr="00F07D5E">
        <w:rPr>
          <w:rFonts w:ascii="Times New Roman" w:hAnsi="Times New Roman" w:cs="Times New Roman"/>
          <w:b/>
          <w:bCs/>
          <w:color w:val="000000" w:themeColor="text1"/>
          <w:lang w:val="fr-FR"/>
        </w:rPr>
        <w:t>siturile</w:t>
      </w:r>
      <w:proofErr w:type="spellEnd"/>
      <w:r w:rsidR="0003674E" w:rsidRPr="00F07D5E">
        <w:rPr>
          <w:rFonts w:ascii="Times New Roman" w:hAnsi="Times New Roman" w:cs="Times New Roman"/>
          <w:b/>
          <w:bCs/>
          <w:color w:val="000000" w:themeColor="text1"/>
          <w:lang w:val="fr-FR"/>
        </w:rPr>
        <w:t xml:space="preserve"> de </w:t>
      </w:r>
      <w:proofErr w:type="spellStart"/>
      <w:r w:rsidR="0003674E" w:rsidRPr="00F07D5E">
        <w:rPr>
          <w:rFonts w:ascii="Times New Roman" w:hAnsi="Times New Roman" w:cs="Times New Roman"/>
          <w:b/>
          <w:bCs/>
          <w:color w:val="000000" w:themeColor="text1"/>
          <w:lang w:val="fr-FR"/>
        </w:rPr>
        <w:t>importanță</w:t>
      </w:r>
      <w:proofErr w:type="spellEnd"/>
      <w:r w:rsidR="0003674E" w:rsidRPr="00F07D5E">
        <w:rPr>
          <w:rFonts w:ascii="Times New Roman" w:hAnsi="Times New Roman" w:cs="Times New Roman"/>
          <w:b/>
          <w:bCs/>
          <w:color w:val="000000" w:themeColor="text1"/>
          <w:lang w:val="fr-FR"/>
        </w:rPr>
        <w:t xml:space="preserve"> </w:t>
      </w:r>
      <w:proofErr w:type="spellStart"/>
      <w:r w:rsidR="0003674E" w:rsidRPr="00F07D5E">
        <w:rPr>
          <w:rFonts w:ascii="Times New Roman" w:hAnsi="Times New Roman" w:cs="Times New Roman"/>
          <w:b/>
          <w:bCs/>
          <w:color w:val="000000" w:themeColor="text1"/>
          <w:lang w:val="fr-FR"/>
        </w:rPr>
        <w:t>c</w:t>
      </w:r>
      <w:r w:rsidRPr="00F07D5E">
        <w:rPr>
          <w:rFonts w:ascii="Times New Roman" w:hAnsi="Times New Roman" w:cs="Times New Roman"/>
          <w:b/>
          <w:bCs/>
          <w:color w:val="000000" w:themeColor="text1"/>
          <w:lang w:val="fr-FR"/>
        </w:rPr>
        <w:t>omunitară</w:t>
      </w:r>
      <w:proofErr w:type="spellEnd"/>
      <w:r w:rsidRPr="00F07D5E">
        <w:rPr>
          <w:rFonts w:ascii="Times New Roman" w:hAnsi="Times New Roman" w:cs="Times New Roman"/>
          <w:b/>
          <w:bCs/>
          <w:color w:val="000000" w:themeColor="text1"/>
          <w:lang w:val="fr-FR"/>
        </w:rPr>
        <w:t xml:space="preserve"> </w:t>
      </w:r>
      <w:proofErr w:type="spellStart"/>
      <w:r w:rsidRPr="00F07D5E">
        <w:rPr>
          <w:rFonts w:ascii="Times New Roman" w:hAnsi="Times New Roman" w:cs="Times New Roman"/>
          <w:b/>
          <w:bCs/>
          <w:color w:val="000000" w:themeColor="text1"/>
          <w:lang w:val="fr-FR"/>
        </w:rPr>
        <w:t>pentru</w:t>
      </w:r>
      <w:proofErr w:type="spellEnd"/>
      <w:r w:rsidRPr="00F07D5E">
        <w:rPr>
          <w:rFonts w:ascii="Times New Roman" w:hAnsi="Times New Roman" w:cs="Times New Roman"/>
          <w:b/>
          <w:bCs/>
          <w:color w:val="000000" w:themeColor="text1"/>
          <w:lang w:val="fr-FR"/>
        </w:rPr>
        <w:t xml:space="preserve"> </w:t>
      </w:r>
      <w:proofErr w:type="spellStart"/>
      <w:r w:rsidRPr="00F07D5E">
        <w:rPr>
          <w:rFonts w:ascii="Times New Roman" w:hAnsi="Times New Roman" w:cs="Times New Roman"/>
          <w:b/>
          <w:bCs/>
          <w:color w:val="000000" w:themeColor="text1"/>
          <w:lang w:val="fr-FR"/>
        </w:rPr>
        <w:t>habitatele</w:t>
      </w:r>
      <w:proofErr w:type="spellEnd"/>
      <w:r w:rsidRPr="00F07D5E">
        <w:rPr>
          <w:rFonts w:ascii="Times New Roman" w:hAnsi="Times New Roman" w:cs="Times New Roman"/>
          <w:b/>
          <w:bCs/>
          <w:color w:val="000000" w:themeColor="text1"/>
          <w:lang w:val="fr-FR"/>
        </w:rPr>
        <w:t xml:space="preserve"> de </w:t>
      </w:r>
      <w:proofErr w:type="spellStart"/>
      <w:r w:rsidR="00227782" w:rsidRPr="00F07D5E">
        <w:rPr>
          <w:rFonts w:ascii="Times New Roman" w:hAnsi="Times New Roman" w:cs="Times New Roman"/>
          <w:b/>
          <w:bCs/>
          <w:color w:val="000000" w:themeColor="text1"/>
          <w:lang w:val="fr-FR"/>
        </w:rPr>
        <w:t>grohotișuri</w:t>
      </w:r>
      <w:proofErr w:type="spellEnd"/>
      <w:r w:rsidR="00227782" w:rsidRPr="00F07D5E">
        <w:rPr>
          <w:rFonts w:ascii="Times New Roman" w:hAnsi="Times New Roman" w:cs="Times New Roman"/>
          <w:b/>
          <w:bCs/>
          <w:color w:val="000000" w:themeColor="text1"/>
          <w:lang w:val="fr-FR"/>
        </w:rPr>
        <w:t xml:space="preserve"> </w:t>
      </w:r>
      <w:proofErr w:type="spellStart"/>
      <w:r w:rsidR="00227782" w:rsidRPr="00F07D5E">
        <w:rPr>
          <w:rFonts w:ascii="Times New Roman" w:hAnsi="Times New Roman" w:cs="Times New Roman"/>
          <w:b/>
          <w:bCs/>
          <w:color w:val="000000" w:themeColor="text1"/>
          <w:lang w:val="fr-FR"/>
        </w:rPr>
        <w:t>și</w:t>
      </w:r>
      <w:proofErr w:type="spellEnd"/>
      <w:r w:rsidR="00227782" w:rsidRPr="00F07D5E">
        <w:rPr>
          <w:rFonts w:ascii="Times New Roman" w:hAnsi="Times New Roman" w:cs="Times New Roman"/>
          <w:b/>
          <w:bCs/>
          <w:color w:val="000000" w:themeColor="text1"/>
          <w:lang w:val="fr-FR"/>
        </w:rPr>
        <w:t xml:space="preserve"> </w:t>
      </w:r>
      <w:proofErr w:type="spellStart"/>
      <w:r w:rsidR="00227782" w:rsidRPr="00F07D5E">
        <w:rPr>
          <w:rFonts w:ascii="Times New Roman" w:hAnsi="Times New Roman" w:cs="Times New Roman"/>
          <w:b/>
          <w:bCs/>
          <w:color w:val="000000" w:themeColor="text1"/>
          <w:lang w:val="fr-FR"/>
        </w:rPr>
        <w:t>stâncării</w:t>
      </w:r>
      <w:proofErr w:type="spellEnd"/>
    </w:p>
    <w:tbl>
      <w:tblPr>
        <w:tblW w:w="0" w:type="auto"/>
        <w:tblInd w:w="2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62"/>
        <w:gridCol w:w="2136"/>
        <w:gridCol w:w="4220"/>
      </w:tblGrid>
      <w:tr w:rsidR="00E64D7B" w:rsidRPr="00C56257" w14:paraId="0D2F6D2D" w14:textId="77777777" w:rsidTr="008E48EB">
        <w:trPr>
          <w:trHeight w:val="251"/>
        </w:trPr>
        <w:tc>
          <w:tcPr>
            <w:tcW w:w="3262" w:type="dxa"/>
          </w:tcPr>
          <w:p w14:paraId="321C8BBF" w14:textId="77777777" w:rsidR="00E64D7B" w:rsidRPr="00C56257" w:rsidRDefault="00E64D7B" w:rsidP="00577948">
            <w:pPr>
              <w:pStyle w:val="TableParagraph"/>
              <w:spacing w:line="232" w:lineRule="exact"/>
              <w:jc w:val="both"/>
              <w:rPr>
                <w:b/>
                <w:color w:val="000000" w:themeColor="text1"/>
                <w:sz w:val="24"/>
                <w:szCs w:val="24"/>
              </w:rPr>
            </w:pPr>
            <w:r w:rsidRPr="00C56257">
              <w:rPr>
                <w:b/>
                <w:color w:val="000000" w:themeColor="text1"/>
                <w:sz w:val="24"/>
                <w:szCs w:val="24"/>
              </w:rPr>
              <w:t>Tip</w:t>
            </w:r>
            <w:r w:rsidRPr="00C56257">
              <w:rPr>
                <w:b/>
                <w:color w:val="000000" w:themeColor="text1"/>
                <w:spacing w:val="-1"/>
                <w:sz w:val="24"/>
                <w:szCs w:val="24"/>
              </w:rPr>
              <w:t xml:space="preserve"> </w:t>
            </w:r>
            <w:r w:rsidRPr="00C56257">
              <w:rPr>
                <w:b/>
                <w:color w:val="000000" w:themeColor="text1"/>
                <w:sz w:val="24"/>
                <w:szCs w:val="24"/>
              </w:rPr>
              <w:t>habitat Natura</w:t>
            </w:r>
            <w:r w:rsidRPr="00C56257">
              <w:rPr>
                <w:b/>
                <w:color w:val="000000" w:themeColor="text1"/>
                <w:spacing w:val="-4"/>
                <w:sz w:val="24"/>
                <w:szCs w:val="24"/>
              </w:rPr>
              <w:t xml:space="preserve"> </w:t>
            </w:r>
            <w:r w:rsidRPr="00C56257">
              <w:rPr>
                <w:b/>
                <w:color w:val="000000" w:themeColor="text1"/>
                <w:sz w:val="24"/>
                <w:szCs w:val="24"/>
              </w:rPr>
              <w:t>2000</w:t>
            </w:r>
          </w:p>
        </w:tc>
        <w:tc>
          <w:tcPr>
            <w:tcW w:w="2136" w:type="dxa"/>
          </w:tcPr>
          <w:p w14:paraId="0C29EE1D" w14:textId="77777777" w:rsidR="00E64D7B" w:rsidRPr="00C56257" w:rsidRDefault="005D6D53" w:rsidP="008E48EB">
            <w:pPr>
              <w:pStyle w:val="TableParagraph"/>
              <w:spacing w:line="232" w:lineRule="exact"/>
              <w:ind w:left="294" w:right="630"/>
              <w:jc w:val="both"/>
              <w:rPr>
                <w:b/>
                <w:color w:val="000000" w:themeColor="text1"/>
                <w:sz w:val="24"/>
                <w:szCs w:val="24"/>
              </w:rPr>
            </w:pPr>
            <w:r>
              <w:rPr>
                <w:b/>
                <w:color w:val="000000" w:themeColor="text1"/>
                <w:sz w:val="24"/>
                <w:szCs w:val="24"/>
              </w:rPr>
              <w:t xml:space="preserve">Cod </w:t>
            </w:r>
            <w:r w:rsidR="00E64D7B" w:rsidRPr="00C56257">
              <w:rPr>
                <w:b/>
                <w:color w:val="000000" w:themeColor="text1"/>
                <w:sz w:val="24"/>
                <w:szCs w:val="24"/>
              </w:rPr>
              <w:t>Sit Natura</w:t>
            </w:r>
            <w:r w:rsidR="00E64D7B" w:rsidRPr="00C56257">
              <w:rPr>
                <w:b/>
                <w:color w:val="000000" w:themeColor="text1"/>
                <w:spacing w:val="-1"/>
                <w:sz w:val="24"/>
                <w:szCs w:val="24"/>
              </w:rPr>
              <w:t xml:space="preserve"> </w:t>
            </w:r>
            <w:r w:rsidR="008E48EB">
              <w:rPr>
                <w:b/>
                <w:color w:val="000000" w:themeColor="text1"/>
                <w:spacing w:val="-1"/>
                <w:sz w:val="24"/>
                <w:szCs w:val="24"/>
              </w:rPr>
              <w:t>2</w:t>
            </w:r>
            <w:r w:rsidR="00E64D7B" w:rsidRPr="00C56257">
              <w:rPr>
                <w:b/>
                <w:color w:val="000000" w:themeColor="text1"/>
                <w:sz w:val="24"/>
                <w:szCs w:val="24"/>
              </w:rPr>
              <w:t>000</w:t>
            </w:r>
          </w:p>
        </w:tc>
        <w:tc>
          <w:tcPr>
            <w:tcW w:w="4220" w:type="dxa"/>
          </w:tcPr>
          <w:p w14:paraId="3FA08C34" w14:textId="77777777" w:rsidR="00E64D7B" w:rsidRPr="00C56257" w:rsidRDefault="005D6D53" w:rsidP="008E33FD">
            <w:pPr>
              <w:pStyle w:val="TableParagraph"/>
              <w:spacing w:line="232" w:lineRule="exact"/>
              <w:ind w:left="214" w:right="206"/>
              <w:jc w:val="both"/>
              <w:rPr>
                <w:b/>
                <w:color w:val="000000" w:themeColor="text1"/>
                <w:sz w:val="24"/>
                <w:szCs w:val="24"/>
              </w:rPr>
            </w:pPr>
            <w:r>
              <w:rPr>
                <w:b/>
                <w:color w:val="000000" w:themeColor="text1"/>
                <w:sz w:val="24"/>
                <w:szCs w:val="24"/>
              </w:rPr>
              <w:t xml:space="preserve">Nume </w:t>
            </w:r>
            <w:r w:rsidRPr="00C56257">
              <w:rPr>
                <w:b/>
                <w:color w:val="000000" w:themeColor="text1"/>
                <w:sz w:val="24"/>
                <w:szCs w:val="24"/>
              </w:rPr>
              <w:t>Sit Natura</w:t>
            </w:r>
            <w:r w:rsidRPr="00C56257">
              <w:rPr>
                <w:b/>
                <w:color w:val="000000" w:themeColor="text1"/>
                <w:spacing w:val="-1"/>
                <w:sz w:val="24"/>
                <w:szCs w:val="24"/>
              </w:rPr>
              <w:t xml:space="preserve"> </w:t>
            </w:r>
            <w:r w:rsidRPr="00C56257">
              <w:rPr>
                <w:b/>
                <w:color w:val="000000" w:themeColor="text1"/>
                <w:sz w:val="24"/>
                <w:szCs w:val="24"/>
              </w:rPr>
              <w:t>2000</w:t>
            </w:r>
          </w:p>
        </w:tc>
      </w:tr>
      <w:tr w:rsidR="00CE4002" w:rsidRPr="00C56257" w14:paraId="3BCC110F" w14:textId="77777777" w:rsidTr="008E48EB">
        <w:trPr>
          <w:trHeight w:val="254"/>
        </w:trPr>
        <w:tc>
          <w:tcPr>
            <w:tcW w:w="3262" w:type="dxa"/>
            <w:vMerge w:val="restart"/>
          </w:tcPr>
          <w:p w14:paraId="6F7C195B" w14:textId="77777777" w:rsidR="00CE4002" w:rsidRPr="00C56257" w:rsidRDefault="00CE4002" w:rsidP="00CE4002">
            <w:pPr>
              <w:pStyle w:val="TableParagraph"/>
              <w:tabs>
                <w:tab w:val="left" w:pos="770"/>
              </w:tabs>
              <w:ind w:right="331"/>
              <w:jc w:val="both"/>
              <w:rPr>
                <w:color w:val="000000" w:themeColor="text1"/>
                <w:sz w:val="24"/>
                <w:szCs w:val="24"/>
              </w:rPr>
            </w:pPr>
            <w:r w:rsidRPr="00C56257">
              <w:rPr>
                <w:color w:val="000000" w:themeColor="text1"/>
                <w:sz w:val="24"/>
                <w:szCs w:val="24"/>
              </w:rPr>
              <w:t>8110</w:t>
            </w:r>
            <w:r w:rsidRPr="00C56257">
              <w:rPr>
                <w:color w:val="000000" w:themeColor="text1"/>
                <w:sz w:val="24"/>
                <w:szCs w:val="24"/>
              </w:rPr>
              <w:tab/>
              <w:t>Grohotișuri</w:t>
            </w:r>
            <w:r w:rsidRPr="00C56257">
              <w:rPr>
                <w:color w:val="000000" w:themeColor="text1"/>
                <w:spacing w:val="-5"/>
                <w:sz w:val="24"/>
                <w:szCs w:val="24"/>
              </w:rPr>
              <w:t xml:space="preserve"> </w:t>
            </w:r>
            <w:r w:rsidRPr="00C56257">
              <w:rPr>
                <w:color w:val="000000" w:themeColor="text1"/>
                <w:sz w:val="24"/>
                <w:szCs w:val="24"/>
              </w:rPr>
              <w:t>silicioase</w:t>
            </w:r>
            <w:r w:rsidRPr="00C56257">
              <w:rPr>
                <w:color w:val="000000" w:themeColor="text1"/>
                <w:spacing w:val="-3"/>
                <w:sz w:val="24"/>
                <w:szCs w:val="24"/>
              </w:rPr>
              <w:t xml:space="preserve"> </w:t>
            </w:r>
            <w:r w:rsidRPr="00C56257">
              <w:rPr>
                <w:color w:val="000000" w:themeColor="text1"/>
                <w:sz w:val="24"/>
                <w:szCs w:val="24"/>
              </w:rPr>
              <w:t>din</w:t>
            </w:r>
            <w:r w:rsidRPr="00C56257">
              <w:rPr>
                <w:color w:val="000000" w:themeColor="text1"/>
                <w:spacing w:val="-5"/>
                <w:sz w:val="24"/>
                <w:szCs w:val="24"/>
              </w:rPr>
              <w:t xml:space="preserve"> </w:t>
            </w:r>
            <w:r w:rsidRPr="00C56257">
              <w:rPr>
                <w:color w:val="000000" w:themeColor="text1"/>
                <w:sz w:val="24"/>
                <w:szCs w:val="24"/>
              </w:rPr>
              <w:t>etajele</w:t>
            </w:r>
            <w:r w:rsidRPr="00C56257">
              <w:rPr>
                <w:color w:val="000000" w:themeColor="text1"/>
                <w:spacing w:val="-3"/>
                <w:sz w:val="24"/>
                <w:szCs w:val="24"/>
              </w:rPr>
              <w:t xml:space="preserve"> </w:t>
            </w:r>
            <w:r w:rsidRPr="00C56257">
              <w:rPr>
                <w:color w:val="000000" w:themeColor="text1"/>
                <w:sz w:val="24"/>
                <w:szCs w:val="24"/>
              </w:rPr>
              <w:t>montan</w:t>
            </w:r>
            <w:r w:rsidRPr="00C56257">
              <w:rPr>
                <w:color w:val="000000" w:themeColor="text1"/>
                <w:spacing w:val="-5"/>
                <w:sz w:val="24"/>
                <w:szCs w:val="24"/>
              </w:rPr>
              <w:t xml:space="preserve"> </w:t>
            </w:r>
            <w:r w:rsidRPr="00C56257">
              <w:rPr>
                <w:color w:val="000000" w:themeColor="text1"/>
                <w:sz w:val="24"/>
                <w:szCs w:val="24"/>
              </w:rPr>
              <w:t>și</w:t>
            </w:r>
            <w:r w:rsidRPr="00C56257">
              <w:rPr>
                <w:color w:val="000000" w:themeColor="text1"/>
                <w:spacing w:val="-52"/>
                <w:sz w:val="24"/>
                <w:szCs w:val="24"/>
              </w:rPr>
              <w:t xml:space="preserve"> </w:t>
            </w:r>
            <w:r w:rsidRPr="00C56257">
              <w:rPr>
                <w:color w:val="000000" w:themeColor="text1"/>
                <w:sz w:val="24"/>
                <w:szCs w:val="24"/>
              </w:rPr>
              <w:t>alpin (</w:t>
            </w:r>
            <w:r w:rsidRPr="00C56257">
              <w:rPr>
                <w:i/>
                <w:color w:val="000000" w:themeColor="text1"/>
                <w:sz w:val="24"/>
                <w:szCs w:val="24"/>
              </w:rPr>
              <w:t xml:space="preserve">Androsacetalia alpinae </w:t>
            </w:r>
            <w:r w:rsidRPr="00C56257">
              <w:rPr>
                <w:color w:val="000000" w:themeColor="text1"/>
                <w:sz w:val="24"/>
                <w:szCs w:val="24"/>
              </w:rPr>
              <w:t xml:space="preserve">și </w:t>
            </w:r>
            <w:r w:rsidRPr="00C56257">
              <w:rPr>
                <w:i/>
                <w:color w:val="000000" w:themeColor="text1"/>
                <w:sz w:val="24"/>
                <w:szCs w:val="24"/>
              </w:rPr>
              <w:t>Galeopsietalia</w:t>
            </w:r>
            <w:r w:rsidRPr="00C56257">
              <w:rPr>
                <w:i/>
                <w:color w:val="000000" w:themeColor="text1"/>
                <w:spacing w:val="1"/>
                <w:sz w:val="24"/>
                <w:szCs w:val="24"/>
              </w:rPr>
              <w:t xml:space="preserve"> </w:t>
            </w:r>
            <w:r w:rsidRPr="00C56257">
              <w:rPr>
                <w:i/>
                <w:color w:val="000000" w:themeColor="text1"/>
                <w:sz w:val="24"/>
                <w:szCs w:val="24"/>
              </w:rPr>
              <w:t>ladani</w:t>
            </w:r>
            <w:r w:rsidRPr="00C56257">
              <w:rPr>
                <w:color w:val="000000" w:themeColor="text1"/>
                <w:sz w:val="24"/>
                <w:szCs w:val="24"/>
              </w:rPr>
              <w:t>)</w:t>
            </w:r>
          </w:p>
        </w:tc>
        <w:tc>
          <w:tcPr>
            <w:tcW w:w="2136" w:type="dxa"/>
          </w:tcPr>
          <w:p w14:paraId="06E5B93D" w14:textId="77777777" w:rsidR="00CE4002" w:rsidRPr="008E48EB" w:rsidRDefault="00CE4002" w:rsidP="008E48EB">
            <w:pPr>
              <w:pStyle w:val="TableParagraph"/>
              <w:spacing w:line="235" w:lineRule="exact"/>
              <w:ind w:left="294" w:right="629"/>
              <w:rPr>
                <w:color w:val="000000" w:themeColor="text1"/>
                <w:sz w:val="24"/>
                <w:szCs w:val="24"/>
              </w:rPr>
            </w:pPr>
            <w:r w:rsidRPr="008E48EB">
              <w:rPr>
                <w:color w:val="000000"/>
              </w:rPr>
              <w:t>ROSCI0002</w:t>
            </w:r>
          </w:p>
        </w:tc>
        <w:tc>
          <w:tcPr>
            <w:tcW w:w="4220" w:type="dxa"/>
          </w:tcPr>
          <w:p w14:paraId="36001255" w14:textId="77777777" w:rsidR="00CE4002" w:rsidRPr="008E48EB" w:rsidRDefault="00CE4002" w:rsidP="008E48EB">
            <w:pPr>
              <w:pStyle w:val="TableParagraph"/>
              <w:spacing w:line="235" w:lineRule="exact"/>
              <w:ind w:left="294" w:right="205"/>
              <w:rPr>
                <w:color w:val="000000" w:themeColor="text1"/>
                <w:sz w:val="24"/>
                <w:szCs w:val="24"/>
              </w:rPr>
            </w:pPr>
            <w:r w:rsidRPr="008E48EB">
              <w:rPr>
                <w:color w:val="000000"/>
              </w:rPr>
              <w:t>Apuseni</w:t>
            </w:r>
          </w:p>
        </w:tc>
      </w:tr>
      <w:tr w:rsidR="00CE4002" w:rsidRPr="00C56257" w14:paraId="5CD538DF" w14:textId="77777777" w:rsidTr="008E48EB">
        <w:trPr>
          <w:trHeight w:val="251"/>
        </w:trPr>
        <w:tc>
          <w:tcPr>
            <w:tcW w:w="3262" w:type="dxa"/>
            <w:vMerge/>
            <w:tcBorders>
              <w:top w:val="nil"/>
            </w:tcBorders>
          </w:tcPr>
          <w:p w14:paraId="1EB73F8C" w14:textId="77777777" w:rsidR="00CE4002" w:rsidRPr="00C56257" w:rsidRDefault="00CE4002" w:rsidP="00CE4002">
            <w:pPr>
              <w:jc w:val="both"/>
              <w:rPr>
                <w:color w:val="000000" w:themeColor="text1"/>
              </w:rPr>
            </w:pPr>
          </w:p>
        </w:tc>
        <w:tc>
          <w:tcPr>
            <w:tcW w:w="2136" w:type="dxa"/>
          </w:tcPr>
          <w:p w14:paraId="770DA231" w14:textId="77777777" w:rsidR="00CE4002" w:rsidRPr="008E48EB" w:rsidRDefault="00CE4002" w:rsidP="008E48EB">
            <w:pPr>
              <w:pStyle w:val="TableParagraph"/>
              <w:spacing w:line="232" w:lineRule="exact"/>
              <w:ind w:left="294" w:right="629"/>
              <w:rPr>
                <w:color w:val="000000" w:themeColor="text1"/>
                <w:sz w:val="24"/>
                <w:szCs w:val="24"/>
              </w:rPr>
            </w:pPr>
            <w:r w:rsidRPr="008E48EB">
              <w:rPr>
                <w:color w:val="000000"/>
              </w:rPr>
              <w:t>ROSCI0013</w:t>
            </w:r>
          </w:p>
        </w:tc>
        <w:tc>
          <w:tcPr>
            <w:tcW w:w="4220" w:type="dxa"/>
          </w:tcPr>
          <w:p w14:paraId="611424D0" w14:textId="77777777" w:rsidR="00CE4002" w:rsidRPr="008E48EB" w:rsidRDefault="00CE4002" w:rsidP="008E48EB">
            <w:pPr>
              <w:pStyle w:val="TableParagraph"/>
              <w:spacing w:line="232" w:lineRule="exact"/>
              <w:ind w:left="294" w:right="206"/>
              <w:rPr>
                <w:color w:val="000000" w:themeColor="text1"/>
                <w:sz w:val="24"/>
                <w:szCs w:val="24"/>
              </w:rPr>
            </w:pPr>
            <w:r w:rsidRPr="008E48EB">
              <w:rPr>
                <w:color w:val="000000"/>
              </w:rPr>
              <w:t>Bucegi</w:t>
            </w:r>
          </w:p>
        </w:tc>
      </w:tr>
      <w:tr w:rsidR="00CE4002" w:rsidRPr="00C56257" w14:paraId="0FCAB3B7" w14:textId="77777777" w:rsidTr="008E48EB">
        <w:trPr>
          <w:trHeight w:val="254"/>
        </w:trPr>
        <w:tc>
          <w:tcPr>
            <w:tcW w:w="3262" w:type="dxa"/>
            <w:vMerge/>
            <w:tcBorders>
              <w:top w:val="nil"/>
            </w:tcBorders>
          </w:tcPr>
          <w:p w14:paraId="7AF39FC5" w14:textId="77777777" w:rsidR="00CE4002" w:rsidRPr="00C56257" w:rsidRDefault="00CE4002" w:rsidP="00CE4002">
            <w:pPr>
              <w:jc w:val="both"/>
              <w:rPr>
                <w:color w:val="000000" w:themeColor="text1"/>
              </w:rPr>
            </w:pPr>
          </w:p>
        </w:tc>
        <w:tc>
          <w:tcPr>
            <w:tcW w:w="2136" w:type="dxa"/>
          </w:tcPr>
          <w:p w14:paraId="6F4543D2" w14:textId="77777777" w:rsidR="00CE4002" w:rsidRPr="008E48EB" w:rsidRDefault="00CE4002" w:rsidP="008E48EB">
            <w:pPr>
              <w:pStyle w:val="TableParagraph"/>
              <w:spacing w:line="234" w:lineRule="exact"/>
              <w:ind w:left="294" w:right="629"/>
              <w:rPr>
                <w:color w:val="000000" w:themeColor="text1"/>
                <w:sz w:val="24"/>
                <w:szCs w:val="24"/>
              </w:rPr>
            </w:pPr>
            <w:r w:rsidRPr="008E48EB">
              <w:rPr>
                <w:color w:val="000000"/>
              </w:rPr>
              <w:t>ROSCI0016</w:t>
            </w:r>
          </w:p>
        </w:tc>
        <w:tc>
          <w:tcPr>
            <w:tcW w:w="4220" w:type="dxa"/>
          </w:tcPr>
          <w:p w14:paraId="4F47C7D9" w14:textId="77777777" w:rsidR="00CE4002" w:rsidRPr="008E48EB" w:rsidRDefault="00CE4002" w:rsidP="008E48EB">
            <w:pPr>
              <w:pStyle w:val="TableParagraph"/>
              <w:spacing w:line="234" w:lineRule="exact"/>
              <w:ind w:left="294" w:right="204"/>
              <w:rPr>
                <w:color w:val="000000" w:themeColor="text1"/>
                <w:sz w:val="24"/>
                <w:szCs w:val="24"/>
              </w:rPr>
            </w:pPr>
            <w:r w:rsidRPr="008E48EB">
              <w:rPr>
                <w:color w:val="000000"/>
              </w:rPr>
              <w:t>Buteasa</w:t>
            </w:r>
          </w:p>
        </w:tc>
      </w:tr>
      <w:tr w:rsidR="00CE4002" w:rsidRPr="00C56257" w14:paraId="32C0A370" w14:textId="77777777" w:rsidTr="008E48EB">
        <w:trPr>
          <w:trHeight w:val="254"/>
        </w:trPr>
        <w:tc>
          <w:tcPr>
            <w:tcW w:w="3262" w:type="dxa"/>
            <w:vMerge/>
            <w:tcBorders>
              <w:top w:val="nil"/>
            </w:tcBorders>
          </w:tcPr>
          <w:p w14:paraId="6E5D2BD3" w14:textId="77777777" w:rsidR="00CE4002" w:rsidRPr="00C56257" w:rsidRDefault="00CE4002" w:rsidP="00CE4002">
            <w:pPr>
              <w:jc w:val="both"/>
              <w:rPr>
                <w:color w:val="000000" w:themeColor="text1"/>
              </w:rPr>
            </w:pPr>
          </w:p>
        </w:tc>
        <w:tc>
          <w:tcPr>
            <w:tcW w:w="2136" w:type="dxa"/>
          </w:tcPr>
          <w:p w14:paraId="07672E46" w14:textId="77777777" w:rsidR="00CE4002" w:rsidRPr="008E48EB" w:rsidRDefault="00CE4002" w:rsidP="008E48EB">
            <w:pPr>
              <w:pStyle w:val="TableParagraph"/>
              <w:spacing w:line="234" w:lineRule="exact"/>
              <w:ind w:left="294" w:right="629"/>
              <w:rPr>
                <w:color w:val="000000" w:themeColor="text1"/>
                <w:sz w:val="24"/>
                <w:szCs w:val="24"/>
              </w:rPr>
            </w:pPr>
            <w:r w:rsidRPr="008E48EB">
              <w:rPr>
                <w:color w:val="000000"/>
              </w:rPr>
              <w:t>ROSCI0038</w:t>
            </w:r>
          </w:p>
        </w:tc>
        <w:tc>
          <w:tcPr>
            <w:tcW w:w="4220" w:type="dxa"/>
          </w:tcPr>
          <w:p w14:paraId="1C66E735" w14:textId="77777777" w:rsidR="00CE4002" w:rsidRPr="008E48EB" w:rsidRDefault="00CE4002" w:rsidP="008E48EB">
            <w:pPr>
              <w:pStyle w:val="TableParagraph"/>
              <w:spacing w:line="234" w:lineRule="exact"/>
              <w:ind w:left="294" w:right="206"/>
              <w:rPr>
                <w:color w:val="000000" w:themeColor="text1"/>
                <w:sz w:val="24"/>
                <w:szCs w:val="24"/>
              </w:rPr>
            </w:pPr>
            <w:r w:rsidRPr="008E48EB">
              <w:rPr>
                <w:color w:val="000000"/>
              </w:rPr>
              <w:t>Ciucaș</w:t>
            </w:r>
          </w:p>
        </w:tc>
      </w:tr>
      <w:tr w:rsidR="00CE4002" w:rsidRPr="00C56257" w14:paraId="357B256A" w14:textId="77777777" w:rsidTr="008E48EB">
        <w:trPr>
          <w:trHeight w:val="251"/>
        </w:trPr>
        <w:tc>
          <w:tcPr>
            <w:tcW w:w="3262" w:type="dxa"/>
            <w:vMerge/>
            <w:tcBorders>
              <w:top w:val="nil"/>
            </w:tcBorders>
          </w:tcPr>
          <w:p w14:paraId="234AC898" w14:textId="77777777" w:rsidR="00CE4002" w:rsidRPr="00C56257" w:rsidRDefault="00CE4002" w:rsidP="00CE4002">
            <w:pPr>
              <w:jc w:val="both"/>
              <w:rPr>
                <w:color w:val="000000" w:themeColor="text1"/>
              </w:rPr>
            </w:pPr>
          </w:p>
        </w:tc>
        <w:tc>
          <w:tcPr>
            <w:tcW w:w="2136" w:type="dxa"/>
          </w:tcPr>
          <w:p w14:paraId="06FE3EF2" w14:textId="77777777" w:rsidR="00CE4002" w:rsidRPr="008E48EB" w:rsidRDefault="00507CCA" w:rsidP="008E48EB">
            <w:pPr>
              <w:pStyle w:val="TableParagraph"/>
              <w:spacing w:line="232" w:lineRule="exact"/>
              <w:ind w:left="294" w:right="629"/>
              <w:rPr>
                <w:color w:val="000000" w:themeColor="text1"/>
                <w:sz w:val="24"/>
                <w:szCs w:val="24"/>
              </w:rPr>
            </w:pPr>
            <w:r>
              <w:rPr>
                <w:color w:val="000000"/>
              </w:rPr>
              <w:t>ROSAC</w:t>
            </w:r>
            <w:r w:rsidR="00CE4002" w:rsidRPr="008E48EB">
              <w:rPr>
                <w:color w:val="000000"/>
              </w:rPr>
              <w:t>0046</w:t>
            </w:r>
          </w:p>
        </w:tc>
        <w:tc>
          <w:tcPr>
            <w:tcW w:w="4220" w:type="dxa"/>
          </w:tcPr>
          <w:p w14:paraId="62C18794" w14:textId="77777777" w:rsidR="00CE4002" w:rsidRPr="008E48EB" w:rsidRDefault="00CE4002" w:rsidP="008E48EB">
            <w:pPr>
              <w:pStyle w:val="TableParagraph"/>
              <w:spacing w:line="232" w:lineRule="exact"/>
              <w:ind w:left="294" w:right="205"/>
              <w:rPr>
                <w:color w:val="000000" w:themeColor="text1"/>
                <w:sz w:val="24"/>
                <w:szCs w:val="24"/>
              </w:rPr>
            </w:pPr>
            <w:r w:rsidRPr="008E48EB">
              <w:rPr>
                <w:color w:val="000000"/>
              </w:rPr>
              <w:t>Cozia</w:t>
            </w:r>
          </w:p>
        </w:tc>
      </w:tr>
      <w:tr w:rsidR="00CE4002" w:rsidRPr="00C56257" w14:paraId="76DE05DB" w14:textId="77777777" w:rsidTr="008E48EB">
        <w:trPr>
          <w:trHeight w:val="253"/>
        </w:trPr>
        <w:tc>
          <w:tcPr>
            <w:tcW w:w="3262" w:type="dxa"/>
            <w:vMerge/>
            <w:tcBorders>
              <w:top w:val="nil"/>
            </w:tcBorders>
          </w:tcPr>
          <w:p w14:paraId="50571585" w14:textId="77777777" w:rsidR="00CE4002" w:rsidRPr="00C56257" w:rsidRDefault="00CE4002" w:rsidP="00CE4002">
            <w:pPr>
              <w:jc w:val="both"/>
              <w:rPr>
                <w:color w:val="000000" w:themeColor="text1"/>
              </w:rPr>
            </w:pPr>
          </w:p>
        </w:tc>
        <w:tc>
          <w:tcPr>
            <w:tcW w:w="2136" w:type="dxa"/>
          </w:tcPr>
          <w:p w14:paraId="37E16A21" w14:textId="77777777" w:rsidR="00CE4002" w:rsidRPr="008E48EB" w:rsidRDefault="000521DB" w:rsidP="008E48EB">
            <w:pPr>
              <w:pStyle w:val="TableParagraph"/>
              <w:spacing w:line="234" w:lineRule="exact"/>
              <w:ind w:left="294" w:right="629"/>
              <w:rPr>
                <w:color w:val="000000" w:themeColor="text1"/>
                <w:sz w:val="24"/>
                <w:szCs w:val="24"/>
              </w:rPr>
            </w:pPr>
            <w:r>
              <w:rPr>
                <w:color w:val="000000"/>
              </w:rPr>
              <w:t>ROSAC0069</w:t>
            </w:r>
          </w:p>
        </w:tc>
        <w:tc>
          <w:tcPr>
            <w:tcW w:w="4220" w:type="dxa"/>
          </w:tcPr>
          <w:p w14:paraId="5DB15385" w14:textId="77777777" w:rsidR="00CE4002" w:rsidRPr="008E48EB" w:rsidRDefault="00CE4002" w:rsidP="008E48EB">
            <w:pPr>
              <w:pStyle w:val="TableParagraph"/>
              <w:spacing w:line="234" w:lineRule="exact"/>
              <w:ind w:left="294" w:right="204"/>
              <w:rPr>
                <w:color w:val="000000" w:themeColor="text1"/>
                <w:sz w:val="24"/>
                <w:szCs w:val="24"/>
              </w:rPr>
            </w:pPr>
            <w:r w:rsidRPr="008E48EB">
              <w:rPr>
                <w:color w:val="000000"/>
              </w:rPr>
              <w:t>Domogled - Valea Cernei</w:t>
            </w:r>
          </w:p>
        </w:tc>
      </w:tr>
      <w:tr w:rsidR="00CE4002" w:rsidRPr="00C56257" w14:paraId="7662F90C" w14:textId="77777777" w:rsidTr="008E48EB">
        <w:trPr>
          <w:trHeight w:val="251"/>
        </w:trPr>
        <w:tc>
          <w:tcPr>
            <w:tcW w:w="3262" w:type="dxa"/>
            <w:vMerge/>
            <w:tcBorders>
              <w:top w:val="nil"/>
            </w:tcBorders>
          </w:tcPr>
          <w:p w14:paraId="3E939C05" w14:textId="77777777" w:rsidR="00CE4002" w:rsidRPr="00C56257" w:rsidRDefault="00CE4002" w:rsidP="00CE4002">
            <w:pPr>
              <w:jc w:val="both"/>
              <w:rPr>
                <w:color w:val="000000" w:themeColor="text1"/>
              </w:rPr>
            </w:pPr>
          </w:p>
        </w:tc>
        <w:tc>
          <w:tcPr>
            <w:tcW w:w="2136" w:type="dxa"/>
          </w:tcPr>
          <w:p w14:paraId="3FD5303A" w14:textId="77777777" w:rsidR="00CE4002" w:rsidRPr="008E48EB" w:rsidRDefault="00507CCA" w:rsidP="008E48EB">
            <w:pPr>
              <w:pStyle w:val="TableParagraph"/>
              <w:spacing w:line="232" w:lineRule="exact"/>
              <w:ind w:left="294" w:right="629"/>
              <w:rPr>
                <w:color w:val="000000" w:themeColor="text1"/>
                <w:sz w:val="24"/>
                <w:szCs w:val="24"/>
              </w:rPr>
            </w:pPr>
            <w:r>
              <w:rPr>
                <w:color w:val="000000"/>
              </w:rPr>
              <w:t>ROSAC</w:t>
            </w:r>
            <w:r w:rsidR="00CE4002" w:rsidRPr="008E48EB">
              <w:rPr>
                <w:color w:val="000000"/>
              </w:rPr>
              <w:t>0085</w:t>
            </w:r>
          </w:p>
        </w:tc>
        <w:tc>
          <w:tcPr>
            <w:tcW w:w="4220" w:type="dxa"/>
          </w:tcPr>
          <w:p w14:paraId="70A7F4B0" w14:textId="77777777" w:rsidR="00CE4002" w:rsidRPr="008E48EB" w:rsidRDefault="00CE4002" w:rsidP="008E48EB">
            <w:pPr>
              <w:pStyle w:val="TableParagraph"/>
              <w:spacing w:line="232" w:lineRule="exact"/>
              <w:ind w:left="294" w:right="206"/>
              <w:rPr>
                <w:color w:val="000000" w:themeColor="text1"/>
                <w:sz w:val="24"/>
                <w:szCs w:val="24"/>
              </w:rPr>
            </w:pPr>
            <w:r w:rsidRPr="008E48EB">
              <w:rPr>
                <w:color w:val="000000"/>
              </w:rPr>
              <w:t>Frumoasa</w:t>
            </w:r>
          </w:p>
        </w:tc>
      </w:tr>
      <w:tr w:rsidR="00CE4002" w:rsidRPr="00C56257" w14:paraId="30EB63B9" w14:textId="77777777" w:rsidTr="008E48EB">
        <w:trPr>
          <w:trHeight w:val="254"/>
        </w:trPr>
        <w:tc>
          <w:tcPr>
            <w:tcW w:w="3262" w:type="dxa"/>
            <w:vMerge/>
            <w:tcBorders>
              <w:top w:val="nil"/>
            </w:tcBorders>
          </w:tcPr>
          <w:p w14:paraId="4DF93DF7" w14:textId="77777777" w:rsidR="00CE4002" w:rsidRPr="00C56257" w:rsidRDefault="00CE4002" w:rsidP="00CE4002">
            <w:pPr>
              <w:jc w:val="both"/>
              <w:rPr>
                <w:color w:val="000000" w:themeColor="text1"/>
              </w:rPr>
            </w:pPr>
          </w:p>
        </w:tc>
        <w:tc>
          <w:tcPr>
            <w:tcW w:w="2136" w:type="dxa"/>
          </w:tcPr>
          <w:p w14:paraId="6DCB0944" w14:textId="77777777" w:rsidR="00CE4002" w:rsidRPr="008E48EB" w:rsidRDefault="00CE4002" w:rsidP="008E48EB">
            <w:pPr>
              <w:pStyle w:val="TableParagraph"/>
              <w:spacing w:line="234" w:lineRule="exact"/>
              <w:ind w:left="294" w:right="629"/>
              <w:rPr>
                <w:color w:val="000000" w:themeColor="text1"/>
                <w:sz w:val="24"/>
                <w:szCs w:val="24"/>
              </w:rPr>
            </w:pPr>
            <w:r w:rsidRPr="008E48EB">
              <w:rPr>
                <w:color w:val="000000"/>
              </w:rPr>
              <w:t>ROS</w:t>
            </w:r>
            <w:r w:rsidR="00507CCA">
              <w:rPr>
                <w:color w:val="000000"/>
              </w:rPr>
              <w:t>AC</w:t>
            </w:r>
            <w:r w:rsidRPr="008E48EB">
              <w:rPr>
                <w:color w:val="000000"/>
              </w:rPr>
              <w:t>0122</w:t>
            </w:r>
          </w:p>
        </w:tc>
        <w:tc>
          <w:tcPr>
            <w:tcW w:w="4220" w:type="dxa"/>
          </w:tcPr>
          <w:p w14:paraId="212F5C0F" w14:textId="77777777" w:rsidR="00CE4002" w:rsidRPr="008E48EB" w:rsidRDefault="00CE4002" w:rsidP="008E48EB">
            <w:pPr>
              <w:pStyle w:val="TableParagraph"/>
              <w:spacing w:line="234" w:lineRule="exact"/>
              <w:ind w:left="294" w:right="206"/>
              <w:rPr>
                <w:color w:val="000000" w:themeColor="text1"/>
                <w:sz w:val="24"/>
                <w:szCs w:val="24"/>
              </w:rPr>
            </w:pPr>
            <w:r w:rsidRPr="008E48EB">
              <w:rPr>
                <w:color w:val="000000"/>
              </w:rPr>
              <w:t>Munții Făgăraș</w:t>
            </w:r>
          </w:p>
        </w:tc>
      </w:tr>
      <w:tr w:rsidR="00CE4002" w:rsidRPr="00C56257" w14:paraId="780400CC" w14:textId="77777777" w:rsidTr="008E48EB">
        <w:trPr>
          <w:trHeight w:val="251"/>
        </w:trPr>
        <w:tc>
          <w:tcPr>
            <w:tcW w:w="3262" w:type="dxa"/>
            <w:vMerge/>
            <w:tcBorders>
              <w:top w:val="nil"/>
            </w:tcBorders>
          </w:tcPr>
          <w:p w14:paraId="515D737E" w14:textId="77777777" w:rsidR="00CE4002" w:rsidRPr="00C56257" w:rsidRDefault="00CE4002" w:rsidP="00CE4002">
            <w:pPr>
              <w:jc w:val="both"/>
              <w:rPr>
                <w:color w:val="000000" w:themeColor="text1"/>
              </w:rPr>
            </w:pPr>
          </w:p>
        </w:tc>
        <w:tc>
          <w:tcPr>
            <w:tcW w:w="2136" w:type="dxa"/>
          </w:tcPr>
          <w:p w14:paraId="092486F6" w14:textId="77777777" w:rsidR="00CE4002" w:rsidRPr="008E48EB" w:rsidRDefault="00507CCA" w:rsidP="008E48EB">
            <w:pPr>
              <w:pStyle w:val="TableParagraph"/>
              <w:spacing w:line="232" w:lineRule="exact"/>
              <w:ind w:left="294" w:right="629"/>
              <w:rPr>
                <w:color w:val="000000" w:themeColor="text1"/>
                <w:sz w:val="24"/>
                <w:szCs w:val="24"/>
              </w:rPr>
            </w:pPr>
            <w:r>
              <w:rPr>
                <w:color w:val="000000"/>
              </w:rPr>
              <w:t>ROSAC</w:t>
            </w:r>
            <w:r w:rsidR="00CE4002" w:rsidRPr="008E48EB">
              <w:rPr>
                <w:color w:val="000000"/>
              </w:rPr>
              <w:t>0124</w:t>
            </w:r>
          </w:p>
        </w:tc>
        <w:tc>
          <w:tcPr>
            <w:tcW w:w="4220" w:type="dxa"/>
          </w:tcPr>
          <w:p w14:paraId="595A4B34" w14:textId="77777777" w:rsidR="00CE4002" w:rsidRPr="008E48EB" w:rsidRDefault="00CE4002" w:rsidP="008E48EB">
            <w:pPr>
              <w:pStyle w:val="TableParagraph"/>
              <w:spacing w:line="232" w:lineRule="exact"/>
              <w:ind w:left="294" w:right="206"/>
              <w:rPr>
                <w:color w:val="000000" w:themeColor="text1"/>
                <w:sz w:val="24"/>
                <w:szCs w:val="24"/>
              </w:rPr>
            </w:pPr>
            <w:r w:rsidRPr="008E48EB">
              <w:rPr>
                <w:color w:val="000000"/>
              </w:rPr>
              <w:t>Munții Maramureșului</w:t>
            </w:r>
          </w:p>
        </w:tc>
      </w:tr>
      <w:tr w:rsidR="00CE4002" w:rsidRPr="00C56257" w14:paraId="7154B651" w14:textId="77777777" w:rsidTr="008E48EB">
        <w:trPr>
          <w:trHeight w:val="253"/>
        </w:trPr>
        <w:tc>
          <w:tcPr>
            <w:tcW w:w="3262" w:type="dxa"/>
            <w:vMerge/>
            <w:tcBorders>
              <w:top w:val="nil"/>
            </w:tcBorders>
          </w:tcPr>
          <w:p w14:paraId="4C9F9C6D" w14:textId="77777777" w:rsidR="00CE4002" w:rsidRPr="00C56257" w:rsidRDefault="00CE4002" w:rsidP="00CE4002">
            <w:pPr>
              <w:jc w:val="both"/>
              <w:rPr>
                <w:color w:val="000000" w:themeColor="text1"/>
              </w:rPr>
            </w:pPr>
          </w:p>
        </w:tc>
        <w:tc>
          <w:tcPr>
            <w:tcW w:w="2136" w:type="dxa"/>
          </w:tcPr>
          <w:p w14:paraId="2240E76D" w14:textId="77777777" w:rsidR="00CE4002" w:rsidRPr="008E48EB" w:rsidRDefault="00CE4002" w:rsidP="008E48EB">
            <w:pPr>
              <w:pStyle w:val="TableParagraph"/>
              <w:spacing w:line="234" w:lineRule="exact"/>
              <w:ind w:left="294" w:right="629"/>
              <w:rPr>
                <w:color w:val="000000" w:themeColor="text1"/>
                <w:sz w:val="24"/>
                <w:szCs w:val="24"/>
              </w:rPr>
            </w:pPr>
            <w:r w:rsidRPr="008E48EB">
              <w:rPr>
                <w:color w:val="000000"/>
              </w:rPr>
              <w:t>ROSCI0125</w:t>
            </w:r>
          </w:p>
        </w:tc>
        <w:tc>
          <w:tcPr>
            <w:tcW w:w="4220" w:type="dxa"/>
          </w:tcPr>
          <w:p w14:paraId="2EFB14AB" w14:textId="77777777" w:rsidR="00CE4002" w:rsidRPr="008E48EB" w:rsidRDefault="00CE4002" w:rsidP="008E48EB">
            <w:pPr>
              <w:pStyle w:val="TableParagraph"/>
              <w:spacing w:line="234" w:lineRule="exact"/>
              <w:ind w:left="294" w:right="206"/>
              <w:rPr>
                <w:color w:val="000000" w:themeColor="text1"/>
                <w:sz w:val="24"/>
                <w:szCs w:val="24"/>
              </w:rPr>
            </w:pPr>
            <w:r w:rsidRPr="008E48EB">
              <w:rPr>
                <w:color w:val="000000"/>
              </w:rPr>
              <w:t>Munții Rodnei</w:t>
            </w:r>
          </w:p>
        </w:tc>
      </w:tr>
      <w:tr w:rsidR="00CE4002" w:rsidRPr="00C56257" w14:paraId="649B8F0B" w14:textId="77777777" w:rsidTr="008E48EB">
        <w:trPr>
          <w:trHeight w:val="253"/>
        </w:trPr>
        <w:tc>
          <w:tcPr>
            <w:tcW w:w="3262" w:type="dxa"/>
            <w:vMerge/>
            <w:tcBorders>
              <w:top w:val="nil"/>
            </w:tcBorders>
          </w:tcPr>
          <w:p w14:paraId="59E3253B" w14:textId="77777777" w:rsidR="00CE4002" w:rsidRPr="00C56257" w:rsidRDefault="00CE4002" w:rsidP="00CE4002">
            <w:pPr>
              <w:jc w:val="both"/>
              <w:rPr>
                <w:color w:val="000000" w:themeColor="text1"/>
              </w:rPr>
            </w:pPr>
          </w:p>
        </w:tc>
        <w:tc>
          <w:tcPr>
            <w:tcW w:w="2136" w:type="dxa"/>
          </w:tcPr>
          <w:p w14:paraId="7A18202C" w14:textId="77777777" w:rsidR="00CE4002" w:rsidRPr="008E48EB" w:rsidRDefault="00CE4002" w:rsidP="008E48EB">
            <w:pPr>
              <w:pStyle w:val="TableParagraph"/>
              <w:spacing w:line="234" w:lineRule="exact"/>
              <w:ind w:left="294" w:right="629"/>
              <w:rPr>
                <w:color w:val="000000" w:themeColor="text1"/>
                <w:sz w:val="24"/>
                <w:szCs w:val="24"/>
              </w:rPr>
            </w:pPr>
            <w:r w:rsidRPr="008E48EB">
              <w:rPr>
                <w:color w:val="000000"/>
              </w:rPr>
              <w:t>ROSCI0126</w:t>
            </w:r>
          </w:p>
        </w:tc>
        <w:tc>
          <w:tcPr>
            <w:tcW w:w="4220" w:type="dxa"/>
          </w:tcPr>
          <w:p w14:paraId="0A972CBA" w14:textId="77777777" w:rsidR="00CE4002" w:rsidRPr="008E48EB" w:rsidRDefault="00CE4002" w:rsidP="008E48EB">
            <w:pPr>
              <w:pStyle w:val="TableParagraph"/>
              <w:spacing w:line="234" w:lineRule="exact"/>
              <w:ind w:left="294" w:right="206"/>
              <w:rPr>
                <w:color w:val="000000" w:themeColor="text1"/>
                <w:sz w:val="24"/>
                <w:szCs w:val="24"/>
              </w:rPr>
            </w:pPr>
            <w:r w:rsidRPr="008E48EB">
              <w:rPr>
                <w:color w:val="000000"/>
              </w:rPr>
              <w:t>Munții Țarcu</w:t>
            </w:r>
          </w:p>
        </w:tc>
      </w:tr>
      <w:tr w:rsidR="00CE4002" w:rsidRPr="00C56257" w14:paraId="6161EB7E" w14:textId="77777777" w:rsidTr="008E48EB">
        <w:trPr>
          <w:trHeight w:val="251"/>
        </w:trPr>
        <w:tc>
          <w:tcPr>
            <w:tcW w:w="3262" w:type="dxa"/>
            <w:vMerge/>
            <w:tcBorders>
              <w:top w:val="nil"/>
            </w:tcBorders>
          </w:tcPr>
          <w:p w14:paraId="3ECB9108" w14:textId="77777777" w:rsidR="00CE4002" w:rsidRPr="00C56257" w:rsidRDefault="00CE4002" w:rsidP="00CE4002">
            <w:pPr>
              <w:jc w:val="both"/>
              <w:rPr>
                <w:color w:val="000000" w:themeColor="text1"/>
              </w:rPr>
            </w:pPr>
          </w:p>
        </w:tc>
        <w:tc>
          <w:tcPr>
            <w:tcW w:w="2136" w:type="dxa"/>
          </w:tcPr>
          <w:p w14:paraId="2287B94C" w14:textId="77777777" w:rsidR="00CE4002" w:rsidRPr="008E48EB" w:rsidRDefault="00507CCA" w:rsidP="008E48EB">
            <w:pPr>
              <w:pStyle w:val="TableParagraph"/>
              <w:spacing w:line="232" w:lineRule="exact"/>
              <w:ind w:left="294" w:right="629"/>
              <w:rPr>
                <w:color w:val="000000" w:themeColor="text1"/>
                <w:sz w:val="24"/>
                <w:szCs w:val="24"/>
              </w:rPr>
            </w:pPr>
            <w:r>
              <w:rPr>
                <w:color w:val="000000"/>
              </w:rPr>
              <w:t>ROSAC</w:t>
            </w:r>
            <w:r w:rsidR="00CE4002" w:rsidRPr="008E48EB">
              <w:rPr>
                <w:color w:val="000000"/>
              </w:rPr>
              <w:t>0188</w:t>
            </w:r>
          </w:p>
        </w:tc>
        <w:tc>
          <w:tcPr>
            <w:tcW w:w="4220" w:type="dxa"/>
          </w:tcPr>
          <w:p w14:paraId="4BDC66D6" w14:textId="77777777" w:rsidR="00CE4002" w:rsidRPr="008E48EB" w:rsidRDefault="00CE4002" w:rsidP="008E48EB">
            <w:pPr>
              <w:pStyle w:val="TableParagraph"/>
              <w:spacing w:line="232" w:lineRule="exact"/>
              <w:ind w:left="294" w:right="206"/>
              <w:rPr>
                <w:color w:val="000000" w:themeColor="text1"/>
                <w:sz w:val="24"/>
                <w:szCs w:val="24"/>
              </w:rPr>
            </w:pPr>
            <w:r w:rsidRPr="008E48EB">
              <w:rPr>
                <w:color w:val="000000"/>
              </w:rPr>
              <w:t>Parâng</w:t>
            </w:r>
          </w:p>
        </w:tc>
      </w:tr>
      <w:tr w:rsidR="00CE4002" w:rsidRPr="00C56257" w14:paraId="23BDDAF9" w14:textId="77777777" w:rsidTr="008E48EB">
        <w:trPr>
          <w:trHeight w:val="254"/>
        </w:trPr>
        <w:tc>
          <w:tcPr>
            <w:tcW w:w="3262" w:type="dxa"/>
            <w:vMerge/>
            <w:tcBorders>
              <w:top w:val="nil"/>
            </w:tcBorders>
          </w:tcPr>
          <w:p w14:paraId="0494331E" w14:textId="77777777" w:rsidR="00CE4002" w:rsidRPr="00C56257" w:rsidRDefault="00CE4002" w:rsidP="00CE4002">
            <w:pPr>
              <w:jc w:val="both"/>
              <w:rPr>
                <w:color w:val="000000" w:themeColor="text1"/>
              </w:rPr>
            </w:pPr>
          </w:p>
        </w:tc>
        <w:tc>
          <w:tcPr>
            <w:tcW w:w="2136" w:type="dxa"/>
          </w:tcPr>
          <w:p w14:paraId="4479C06B" w14:textId="77777777" w:rsidR="00CE4002" w:rsidRPr="008E48EB" w:rsidRDefault="00507CCA" w:rsidP="008E48EB">
            <w:pPr>
              <w:pStyle w:val="TableParagraph"/>
              <w:spacing w:line="234" w:lineRule="exact"/>
              <w:ind w:left="294" w:right="629"/>
              <w:rPr>
                <w:color w:val="000000" w:themeColor="text1"/>
                <w:sz w:val="24"/>
                <w:szCs w:val="24"/>
              </w:rPr>
            </w:pPr>
            <w:r>
              <w:rPr>
                <w:color w:val="000000"/>
              </w:rPr>
              <w:t>ROSAC</w:t>
            </w:r>
            <w:r w:rsidR="00CE4002" w:rsidRPr="008E48EB">
              <w:rPr>
                <w:color w:val="000000"/>
              </w:rPr>
              <w:t>0208</w:t>
            </w:r>
          </w:p>
        </w:tc>
        <w:tc>
          <w:tcPr>
            <w:tcW w:w="4220" w:type="dxa"/>
          </w:tcPr>
          <w:p w14:paraId="0DD79D65" w14:textId="77777777" w:rsidR="00CE4002" w:rsidRPr="008E48EB" w:rsidRDefault="00CE4002" w:rsidP="008E48EB">
            <w:pPr>
              <w:pStyle w:val="TableParagraph"/>
              <w:spacing w:line="234" w:lineRule="exact"/>
              <w:ind w:left="294" w:right="203"/>
              <w:rPr>
                <w:color w:val="000000" w:themeColor="text1"/>
                <w:sz w:val="24"/>
                <w:szCs w:val="24"/>
              </w:rPr>
            </w:pPr>
            <w:r w:rsidRPr="008E48EB">
              <w:rPr>
                <w:color w:val="000000"/>
              </w:rPr>
              <w:t>Putna - Vrancea</w:t>
            </w:r>
          </w:p>
        </w:tc>
      </w:tr>
      <w:tr w:rsidR="00CE4002" w:rsidRPr="00C56257" w14:paraId="42D2B124" w14:textId="77777777" w:rsidTr="008E48EB">
        <w:trPr>
          <w:trHeight w:val="253"/>
        </w:trPr>
        <w:tc>
          <w:tcPr>
            <w:tcW w:w="3262" w:type="dxa"/>
            <w:vMerge/>
            <w:tcBorders>
              <w:top w:val="nil"/>
            </w:tcBorders>
          </w:tcPr>
          <w:p w14:paraId="45864D89" w14:textId="77777777" w:rsidR="00CE4002" w:rsidRPr="00C56257" w:rsidRDefault="00CE4002" w:rsidP="00CE4002">
            <w:pPr>
              <w:jc w:val="both"/>
              <w:rPr>
                <w:color w:val="000000" w:themeColor="text1"/>
              </w:rPr>
            </w:pPr>
          </w:p>
        </w:tc>
        <w:tc>
          <w:tcPr>
            <w:tcW w:w="2136" w:type="dxa"/>
          </w:tcPr>
          <w:p w14:paraId="4C595AC2" w14:textId="77777777" w:rsidR="00CE4002" w:rsidRPr="008E48EB" w:rsidRDefault="00507CCA" w:rsidP="008E48EB">
            <w:pPr>
              <w:pStyle w:val="TableParagraph"/>
              <w:spacing w:line="234" w:lineRule="exact"/>
              <w:ind w:left="294" w:right="629"/>
              <w:rPr>
                <w:color w:val="000000" w:themeColor="text1"/>
                <w:sz w:val="24"/>
                <w:szCs w:val="24"/>
              </w:rPr>
            </w:pPr>
            <w:r>
              <w:rPr>
                <w:color w:val="000000"/>
              </w:rPr>
              <w:t>ROSAC</w:t>
            </w:r>
            <w:r w:rsidR="00CE4002" w:rsidRPr="008E48EB">
              <w:rPr>
                <w:color w:val="000000"/>
              </w:rPr>
              <w:t>0260</w:t>
            </w:r>
          </w:p>
        </w:tc>
        <w:tc>
          <w:tcPr>
            <w:tcW w:w="4220" w:type="dxa"/>
          </w:tcPr>
          <w:p w14:paraId="1AFBA416" w14:textId="77777777" w:rsidR="00CE4002" w:rsidRPr="008E48EB" w:rsidRDefault="00CE4002" w:rsidP="008E48EB">
            <w:pPr>
              <w:pStyle w:val="TableParagraph"/>
              <w:spacing w:line="234" w:lineRule="exact"/>
              <w:ind w:left="294" w:right="206"/>
              <w:rPr>
                <w:color w:val="000000" w:themeColor="text1"/>
                <w:sz w:val="24"/>
                <w:szCs w:val="24"/>
              </w:rPr>
            </w:pPr>
            <w:r w:rsidRPr="008E48EB">
              <w:rPr>
                <w:color w:val="000000"/>
              </w:rPr>
              <w:t>Valea Cepelor</w:t>
            </w:r>
          </w:p>
        </w:tc>
      </w:tr>
      <w:tr w:rsidR="00CE4002" w:rsidRPr="00C56257" w14:paraId="136121CB" w14:textId="77777777" w:rsidTr="008E48EB">
        <w:trPr>
          <w:trHeight w:val="251"/>
        </w:trPr>
        <w:tc>
          <w:tcPr>
            <w:tcW w:w="3262" w:type="dxa"/>
            <w:vMerge/>
            <w:tcBorders>
              <w:top w:val="nil"/>
            </w:tcBorders>
          </w:tcPr>
          <w:p w14:paraId="27E2810E" w14:textId="77777777" w:rsidR="00CE4002" w:rsidRPr="00C56257" w:rsidRDefault="00CE4002" w:rsidP="00CE4002">
            <w:pPr>
              <w:jc w:val="both"/>
              <w:rPr>
                <w:color w:val="000000" w:themeColor="text1"/>
              </w:rPr>
            </w:pPr>
          </w:p>
        </w:tc>
        <w:tc>
          <w:tcPr>
            <w:tcW w:w="2136" w:type="dxa"/>
          </w:tcPr>
          <w:p w14:paraId="377DBACC" w14:textId="77777777" w:rsidR="00CE4002" w:rsidRPr="008E48EB" w:rsidRDefault="00507CCA" w:rsidP="008E48EB">
            <w:pPr>
              <w:pStyle w:val="TableParagraph"/>
              <w:spacing w:line="232" w:lineRule="exact"/>
              <w:ind w:left="294"/>
              <w:rPr>
                <w:color w:val="000000" w:themeColor="text1"/>
                <w:sz w:val="24"/>
                <w:szCs w:val="24"/>
              </w:rPr>
            </w:pPr>
            <w:r>
              <w:rPr>
                <w:color w:val="000000"/>
              </w:rPr>
              <w:t>ROSAC</w:t>
            </w:r>
            <w:r w:rsidR="00CE4002" w:rsidRPr="008E48EB">
              <w:rPr>
                <w:color w:val="000000"/>
              </w:rPr>
              <w:t>0262</w:t>
            </w:r>
          </w:p>
        </w:tc>
        <w:tc>
          <w:tcPr>
            <w:tcW w:w="4220" w:type="dxa"/>
          </w:tcPr>
          <w:p w14:paraId="6D73ED3D" w14:textId="77777777" w:rsidR="00CE4002" w:rsidRPr="008E48EB" w:rsidRDefault="00CE4002" w:rsidP="008E48EB">
            <w:pPr>
              <w:pStyle w:val="TableParagraph"/>
              <w:spacing w:line="232" w:lineRule="exact"/>
              <w:ind w:left="294" w:right="206"/>
              <w:rPr>
                <w:color w:val="000000" w:themeColor="text1"/>
                <w:sz w:val="24"/>
                <w:szCs w:val="24"/>
              </w:rPr>
            </w:pPr>
            <w:r w:rsidRPr="008E48EB">
              <w:rPr>
                <w:color w:val="000000"/>
              </w:rPr>
              <w:t>Valea Iadei</w:t>
            </w:r>
          </w:p>
        </w:tc>
      </w:tr>
      <w:tr w:rsidR="00CE4002" w:rsidRPr="00C56257" w14:paraId="209E8B1D" w14:textId="77777777" w:rsidTr="008E48EB">
        <w:trPr>
          <w:trHeight w:val="253"/>
        </w:trPr>
        <w:tc>
          <w:tcPr>
            <w:tcW w:w="3262" w:type="dxa"/>
            <w:vMerge/>
            <w:tcBorders>
              <w:top w:val="nil"/>
            </w:tcBorders>
          </w:tcPr>
          <w:p w14:paraId="105A1A21" w14:textId="77777777" w:rsidR="00CE4002" w:rsidRPr="00C56257" w:rsidRDefault="00CE4002" w:rsidP="00CE4002">
            <w:pPr>
              <w:jc w:val="both"/>
              <w:rPr>
                <w:color w:val="000000" w:themeColor="text1"/>
              </w:rPr>
            </w:pPr>
          </w:p>
        </w:tc>
        <w:tc>
          <w:tcPr>
            <w:tcW w:w="2136" w:type="dxa"/>
          </w:tcPr>
          <w:p w14:paraId="6BA90BFF" w14:textId="77777777" w:rsidR="00CE4002" w:rsidRPr="008E48EB" w:rsidRDefault="00CE4002" w:rsidP="008E48EB">
            <w:pPr>
              <w:pStyle w:val="TableParagraph"/>
              <w:spacing w:line="234" w:lineRule="exact"/>
              <w:ind w:left="294"/>
              <w:rPr>
                <w:color w:val="000000" w:themeColor="text1"/>
                <w:sz w:val="24"/>
                <w:szCs w:val="24"/>
              </w:rPr>
            </w:pPr>
            <w:r w:rsidRPr="008E48EB">
              <w:rPr>
                <w:color w:val="000000"/>
              </w:rPr>
              <w:t>ROSCI0381</w:t>
            </w:r>
          </w:p>
        </w:tc>
        <w:tc>
          <w:tcPr>
            <w:tcW w:w="4220" w:type="dxa"/>
          </w:tcPr>
          <w:p w14:paraId="4F3E35B0" w14:textId="77777777" w:rsidR="00CE4002" w:rsidRPr="008E48EB" w:rsidRDefault="00CE4002" w:rsidP="008E48EB">
            <w:pPr>
              <w:pStyle w:val="TableParagraph"/>
              <w:spacing w:line="234" w:lineRule="exact"/>
              <w:ind w:left="294" w:right="206"/>
              <w:rPr>
                <w:color w:val="000000" w:themeColor="text1"/>
                <w:sz w:val="24"/>
                <w:szCs w:val="24"/>
              </w:rPr>
            </w:pPr>
            <w:r w:rsidRPr="008E48EB">
              <w:rPr>
                <w:color w:val="000000"/>
              </w:rPr>
              <w:t>Râul Târgului - Argeșel - Râușor</w:t>
            </w:r>
          </w:p>
        </w:tc>
      </w:tr>
      <w:tr w:rsidR="00A46032" w:rsidRPr="00C56257" w14:paraId="0E76E27A" w14:textId="77777777" w:rsidTr="00993B86">
        <w:trPr>
          <w:trHeight w:val="251"/>
        </w:trPr>
        <w:tc>
          <w:tcPr>
            <w:tcW w:w="3262" w:type="dxa"/>
            <w:vMerge w:val="restart"/>
          </w:tcPr>
          <w:p w14:paraId="7D4B99C5" w14:textId="77777777" w:rsidR="00A46032" w:rsidRPr="00C56257" w:rsidRDefault="00A46032" w:rsidP="008E33FD">
            <w:pPr>
              <w:pStyle w:val="TableParagraph"/>
              <w:jc w:val="both"/>
              <w:rPr>
                <w:color w:val="000000" w:themeColor="text1"/>
                <w:sz w:val="24"/>
                <w:szCs w:val="24"/>
              </w:rPr>
            </w:pPr>
            <w:r w:rsidRPr="00C56257">
              <w:rPr>
                <w:color w:val="000000" w:themeColor="text1"/>
                <w:sz w:val="24"/>
                <w:szCs w:val="24"/>
              </w:rPr>
              <w:t>8120 Grohotișuri calcaroase și de șisturi calcaroase</w:t>
            </w:r>
            <w:r w:rsidRPr="00C56257">
              <w:rPr>
                <w:color w:val="000000" w:themeColor="text1"/>
                <w:spacing w:val="1"/>
                <w:sz w:val="24"/>
                <w:szCs w:val="24"/>
              </w:rPr>
              <w:t xml:space="preserve"> </w:t>
            </w:r>
            <w:r w:rsidRPr="00C56257">
              <w:rPr>
                <w:color w:val="000000" w:themeColor="text1"/>
                <w:sz w:val="24"/>
                <w:szCs w:val="24"/>
              </w:rPr>
              <w:t>din</w:t>
            </w:r>
            <w:r w:rsidRPr="00C56257">
              <w:rPr>
                <w:color w:val="000000" w:themeColor="text1"/>
                <w:spacing w:val="-4"/>
                <w:sz w:val="24"/>
                <w:szCs w:val="24"/>
              </w:rPr>
              <w:t xml:space="preserve"> </w:t>
            </w:r>
            <w:r w:rsidRPr="00C56257">
              <w:rPr>
                <w:color w:val="000000" w:themeColor="text1"/>
                <w:sz w:val="24"/>
                <w:szCs w:val="24"/>
              </w:rPr>
              <w:t>etajele</w:t>
            </w:r>
            <w:r w:rsidRPr="00C56257">
              <w:rPr>
                <w:color w:val="000000" w:themeColor="text1"/>
                <w:spacing w:val="-3"/>
                <w:sz w:val="24"/>
                <w:szCs w:val="24"/>
              </w:rPr>
              <w:t xml:space="preserve"> </w:t>
            </w:r>
            <w:r w:rsidRPr="00C56257">
              <w:rPr>
                <w:color w:val="000000" w:themeColor="text1"/>
                <w:sz w:val="24"/>
                <w:szCs w:val="24"/>
              </w:rPr>
              <w:t>montan</w:t>
            </w:r>
            <w:r w:rsidRPr="00C56257">
              <w:rPr>
                <w:color w:val="000000" w:themeColor="text1"/>
                <w:spacing w:val="-3"/>
                <w:sz w:val="24"/>
                <w:szCs w:val="24"/>
              </w:rPr>
              <w:t xml:space="preserve"> </w:t>
            </w:r>
            <w:r w:rsidRPr="00C56257">
              <w:rPr>
                <w:color w:val="000000" w:themeColor="text1"/>
                <w:sz w:val="24"/>
                <w:szCs w:val="24"/>
              </w:rPr>
              <w:t>și</w:t>
            </w:r>
            <w:r w:rsidRPr="00C56257">
              <w:rPr>
                <w:color w:val="000000" w:themeColor="text1"/>
                <w:spacing w:val="-2"/>
                <w:sz w:val="24"/>
                <w:szCs w:val="24"/>
              </w:rPr>
              <w:t xml:space="preserve"> </w:t>
            </w:r>
            <w:r w:rsidRPr="00C56257">
              <w:rPr>
                <w:color w:val="000000" w:themeColor="text1"/>
                <w:sz w:val="24"/>
                <w:szCs w:val="24"/>
              </w:rPr>
              <w:t>alpin</w:t>
            </w:r>
            <w:r w:rsidRPr="00C56257">
              <w:rPr>
                <w:color w:val="000000" w:themeColor="text1"/>
                <w:spacing w:val="-3"/>
                <w:sz w:val="24"/>
                <w:szCs w:val="24"/>
              </w:rPr>
              <w:t xml:space="preserve"> </w:t>
            </w:r>
            <w:r w:rsidRPr="00C56257">
              <w:rPr>
                <w:color w:val="000000" w:themeColor="text1"/>
                <w:sz w:val="24"/>
                <w:szCs w:val="24"/>
              </w:rPr>
              <w:t>(</w:t>
            </w:r>
            <w:r w:rsidRPr="00A46032">
              <w:rPr>
                <w:i/>
                <w:color w:val="000000" w:themeColor="text1"/>
                <w:sz w:val="24"/>
                <w:szCs w:val="24"/>
              </w:rPr>
              <w:t>Thlaspietea</w:t>
            </w:r>
            <w:r w:rsidRPr="00A46032">
              <w:rPr>
                <w:i/>
                <w:color w:val="000000" w:themeColor="text1"/>
                <w:spacing w:val="-6"/>
                <w:sz w:val="24"/>
                <w:szCs w:val="24"/>
              </w:rPr>
              <w:t xml:space="preserve"> </w:t>
            </w:r>
            <w:r w:rsidRPr="00A46032">
              <w:rPr>
                <w:i/>
                <w:color w:val="000000" w:themeColor="text1"/>
                <w:sz w:val="24"/>
                <w:szCs w:val="24"/>
              </w:rPr>
              <w:t>rotundifolii)</w:t>
            </w:r>
          </w:p>
        </w:tc>
        <w:tc>
          <w:tcPr>
            <w:tcW w:w="2136" w:type="dxa"/>
            <w:vAlign w:val="bottom"/>
          </w:tcPr>
          <w:p w14:paraId="58570A49" w14:textId="77777777" w:rsidR="00A46032" w:rsidRPr="00A46032" w:rsidRDefault="00A46032" w:rsidP="00A46032">
            <w:pPr>
              <w:pStyle w:val="TableParagraph"/>
              <w:spacing w:line="234" w:lineRule="exact"/>
              <w:ind w:left="294"/>
              <w:rPr>
                <w:color w:val="000000"/>
              </w:rPr>
            </w:pPr>
            <w:r w:rsidRPr="00A46032">
              <w:rPr>
                <w:color w:val="000000"/>
              </w:rPr>
              <w:t>ROSCI0002</w:t>
            </w:r>
          </w:p>
        </w:tc>
        <w:tc>
          <w:tcPr>
            <w:tcW w:w="4220" w:type="dxa"/>
            <w:vAlign w:val="bottom"/>
          </w:tcPr>
          <w:p w14:paraId="1E3265C4" w14:textId="77777777" w:rsidR="00A46032" w:rsidRPr="00A46032" w:rsidRDefault="00A46032" w:rsidP="00A46032">
            <w:pPr>
              <w:pStyle w:val="TableParagraph"/>
              <w:spacing w:line="234" w:lineRule="exact"/>
              <w:ind w:left="294" w:right="205"/>
              <w:rPr>
                <w:color w:val="000000"/>
              </w:rPr>
            </w:pPr>
            <w:r w:rsidRPr="00A46032">
              <w:rPr>
                <w:color w:val="000000"/>
              </w:rPr>
              <w:t>Apuseni</w:t>
            </w:r>
          </w:p>
        </w:tc>
      </w:tr>
      <w:tr w:rsidR="00A46032" w:rsidRPr="00C56257" w14:paraId="78FEED69" w14:textId="77777777" w:rsidTr="00993B86">
        <w:trPr>
          <w:trHeight w:val="253"/>
        </w:trPr>
        <w:tc>
          <w:tcPr>
            <w:tcW w:w="3262" w:type="dxa"/>
            <w:vMerge/>
            <w:tcBorders>
              <w:top w:val="nil"/>
            </w:tcBorders>
          </w:tcPr>
          <w:p w14:paraId="01DB26BC" w14:textId="77777777" w:rsidR="00A46032" w:rsidRPr="00C56257" w:rsidRDefault="00A46032" w:rsidP="008E33FD">
            <w:pPr>
              <w:jc w:val="both"/>
              <w:rPr>
                <w:color w:val="000000" w:themeColor="text1"/>
              </w:rPr>
            </w:pPr>
          </w:p>
        </w:tc>
        <w:tc>
          <w:tcPr>
            <w:tcW w:w="2136" w:type="dxa"/>
            <w:vAlign w:val="bottom"/>
          </w:tcPr>
          <w:p w14:paraId="4F69A78E" w14:textId="77777777" w:rsidR="00A46032" w:rsidRPr="00A46032" w:rsidRDefault="00A46032" w:rsidP="00A46032">
            <w:pPr>
              <w:pStyle w:val="TableParagraph"/>
              <w:spacing w:line="234" w:lineRule="exact"/>
              <w:ind w:left="294"/>
              <w:rPr>
                <w:color w:val="000000"/>
              </w:rPr>
            </w:pPr>
            <w:r w:rsidRPr="00A46032">
              <w:rPr>
                <w:color w:val="000000"/>
              </w:rPr>
              <w:t>ROSCI0013</w:t>
            </w:r>
          </w:p>
        </w:tc>
        <w:tc>
          <w:tcPr>
            <w:tcW w:w="4220" w:type="dxa"/>
            <w:vAlign w:val="bottom"/>
          </w:tcPr>
          <w:p w14:paraId="234DC157" w14:textId="77777777" w:rsidR="00A46032" w:rsidRPr="00A46032" w:rsidRDefault="00A46032" w:rsidP="00A46032">
            <w:pPr>
              <w:pStyle w:val="TableParagraph"/>
              <w:spacing w:line="234" w:lineRule="exact"/>
              <w:ind w:left="294" w:right="206"/>
              <w:rPr>
                <w:color w:val="000000"/>
              </w:rPr>
            </w:pPr>
            <w:r w:rsidRPr="00A46032">
              <w:rPr>
                <w:color w:val="000000"/>
              </w:rPr>
              <w:t>Bucegi</w:t>
            </w:r>
          </w:p>
        </w:tc>
      </w:tr>
      <w:tr w:rsidR="00A46032" w:rsidRPr="00C56257" w14:paraId="655BDA0B" w14:textId="77777777" w:rsidTr="00993B86">
        <w:trPr>
          <w:trHeight w:val="251"/>
        </w:trPr>
        <w:tc>
          <w:tcPr>
            <w:tcW w:w="3262" w:type="dxa"/>
            <w:vMerge/>
            <w:tcBorders>
              <w:top w:val="nil"/>
            </w:tcBorders>
          </w:tcPr>
          <w:p w14:paraId="66E6C7EF" w14:textId="77777777" w:rsidR="00A46032" w:rsidRPr="00C56257" w:rsidRDefault="00A46032" w:rsidP="008E33FD">
            <w:pPr>
              <w:jc w:val="both"/>
              <w:rPr>
                <w:color w:val="000000" w:themeColor="text1"/>
              </w:rPr>
            </w:pPr>
          </w:p>
        </w:tc>
        <w:tc>
          <w:tcPr>
            <w:tcW w:w="2136" w:type="dxa"/>
            <w:vAlign w:val="bottom"/>
          </w:tcPr>
          <w:p w14:paraId="3E910027" w14:textId="77777777" w:rsidR="00A46032" w:rsidRPr="00A46032" w:rsidRDefault="00507CCA" w:rsidP="00A46032">
            <w:pPr>
              <w:pStyle w:val="TableParagraph"/>
              <w:spacing w:line="234" w:lineRule="exact"/>
              <w:ind w:left="294"/>
              <w:rPr>
                <w:color w:val="000000"/>
              </w:rPr>
            </w:pPr>
            <w:r>
              <w:rPr>
                <w:color w:val="000000"/>
              </w:rPr>
              <w:t>ROSAC</w:t>
            </w:r>
            <w:r w:rsidR="00A46032" w:rsidRPr="00A46032">
              <w:rPr>
                <w:color w:val="000000"/>
              </w:rPr>
              <w:t>0015</w:t>
            </w:r>
          </w:p>
        </w:tc>
        <w:tc>
          <w:tcPr>
            <w:tcW w:w="4220" w:type="dxa"/>
            <w:vAlign w:val="bottom"/>
          </w:tcPr>
          <w:p w14:paraId="5BBFBA53" w14:textId="77777777" w:rsidR="00A46032" w:rsidRPr="00A46032" w:rsidRDefault="00A46032" w:rsidP="00A46032">
            <w:pPr>
              <w:pStyle w:val="TableParagraph"/>
              <w:spacing w:line="234" w:lineRule="exact"/>
              <w:ind w:left="294" w:right="204"/>
              <w:rPr>
                <w:color w:val="000000"/>
              </w:rPr>
            </w:pPr>
            <w:r w:rsidRPr="00A46032">
              <w:rPr>
                <w:color w:val="000000"/>
              </w:rPr>
              <w:t>Buila - Vânturarița</w:t>
            </w:r>
          </w:p>
        </w:tc>
      </w:tr>
      <w:tr w:rsidR="00A46032" w:rsidRPr="00C56257" w14:paraId="78403B78" w14:textId="77777777" w:rsidTr="00993B86">
        <w:trPr>
          <w:trHeight w:val="253"/>
        </w:trPr>
        <w:tc>
          <w:tcPr>
            <w:tcW w:w="3262" w:type="dxa"/>
            <w:vMerge/>
            <w:tcBorders>
              <w:top w:val="nil"/>
            </w:tcBorders>
          </w:tcPr>
          <w:p w14:paraId="0FC8B450" w14:textId="77777777" w:rsidR="00A46032" w:rsidRPr="00C56257" w:rsidRDefault="00A46032" w:rsidP="008E33FD">
            <w:pPr>
              <w:jc w:val="both"/>
              <w:rPr>
                <w:color w:val="000000" w:themeColor="text1"/>
              </w:rPr>
            </w:pPr>
          </w:p>
        </w:tc>
        <w:tc>
          <w:tcPr>
            <w:tcW w:w="2136" w:type="dxa"/>
            <w:vAlign w:val="bottom"/>
          </w:tcPr>
          <w:p w14:paraId="21BA0C26" w14:textId="77777777" w:rsidR="00A46032" w:rsidRPr="00A46032" w:rsidRDefault="00A46032" w:rsidP="00507CCA">
            <w:pPr>
              <w:pStyle w:val="TableParagraph"/>
              <w:spacing w:line="234" w:lineRule="exact"/>
              <w:ind w:left="294"/>
              <w:rPr>
                <w:color w:val="000000"/>
              </w:rPr>
            </w:pPr>
            <w:r w:rsidRPr="00A46032">
              <w:rPr>
                <w:color w:val="000000"/>
              </w:rPr>
              <w:t>ROS</w:t>
            </w:r>
            <w:r w:rsidR="00507CCA">
              <w:rPr>
                <w:color w:val="000000"/>
              </w:rPr>
              <w:t>AC</w:t>
            </w:r>
            <w:r w:rsidRPr="00A46032">
              <w:rPr>
                <w:color w:val="000000"/>
              </w:rPr>
              <w:t>0027</w:t>
            </w:r>
          </w:p>
        </w:tc>
        <w:tc>
          <w:tcPr>
            <w:tcW w:w="4220" w:type="dxa"/>
            <w:vAlign w:val="bottom"/>
          </w:tcPr>
          <w:p w14:paraId="7970D249" w14:textId="77777777" w:rsidR="00A46032" w:rsidRPr="00A46032" w:rsidRDefault="00A46032" w:rsidP="00A46032">
            <w:pPr>
              <w:pStyle w:val="TableParagraph"/>
              <w:spacing w:line="234" w:lineRule="exact"/>
              <w:ind w:left="294" w:right="206"/>
              <w:rPr>
                <w:color w:val="000000"/>
              </w:rPr>
            </w:pPr>
            <w:r w:rsidRPr="00A46032">
              <w:rPr>
                <w:color w:val="000000"/>
              </w:rPr>
              <w:t>Cheile Bicazului - Hășmaș</w:t>
            </w:r>
          </w:p>
        </w:tc>
      </w:tr>
      <w:tr w:rsidR="00A46032" w:rsidRPr="00C56257" w14:paraId="63DFD284" w14:textId="77777777" w:rsidTr="00993B86">
        <w:trPr>
          <w:trHeight w:val="254"/>
        </w:trPr>
        <w:tc>
          <w:tcPr>
            <w:tcW w:w="3262" w:type="dxa"/>
            <w:vMerge/>
            <w:tcBorders>
              <w:top w:val="nil"/>
            </w:tcBorders>
          </w:tcPr>
          <w:p w14:paraId="53365BA9" w14:textId="77777777" w:rsidR="00A46032" w:rsidRPr="00C56257" w:rsidRDefault="00A46032" w:rsidP="008E33FD">
            <w:pPr>
              <w:jc w:val="both"/>
              <w:rPr>
                <w:color w:val="000000" w:themeColor="text1"/>
              </w:rPr>
            </w:pPr>
          </w:p>
        </w:tc>
        <w:tc>
          <w:tcPr>
            <w:tcW w:w="2136" w:type="dxa"/>
            <w:vAlign w:val="bottom"/>
          </w:tcPr>
          <w:p w14:paraId="67673FFA" w14:textId="77777777" w:rsidR="00A46032" w:rsidRPr="00A46032" w:rsidRDefault="00A46032" w:rsidP="00A46032">
            <w:pPr>
              <w:pStyle w:val="TableParagraph"/>
              <w:spacing w:line="234" w:lineRule="exact"/>
              <w:ind w:left="294"/>
              <w:rPr>
                <w:color w:val="000000"/>
              </w:rPr>
            </w:pPr>
            <w:r w:rsidRPr="00A46032">
              <w:rPr>
                <w:color w:val="000000"/>
              </w:rPr>
              <w:t>ROSCI0031</w:t>
            </w:r>
          </w:p>
        </w:tc>
        <w:tc>
          <w:tcPr>
            <w:tcW w:w="4220" w:type="dxa"/>
            <w:vAlign w:val="bottom"/>
          </w:tcPr>
          <w:p w14:paraId="7F0E5500" w14:textId="77777777" w:rsidR="00A46032" w:rsidRPr="00A46032" w:rsidRDefault="00A46032" w:rsidP="00A46032">
            <w:pPr>
              <w:pStyle w:val="TableParagraph"/>
              <w:spacing w:line="234" w:lineRule="exact"/>
              <w:ind w:left="294" w:right="206"/>
              <w:rPr>
                <w:color w:val="000000"/>
              </w:rPr>
            </w:pPr>
            <w:r w:rsidRPr="00A46032">
              <w:rPr>
                <w:color w:val="000000"/>
              </w:rPr>
              <w:t>Cheile Nerei - Beușnița</w:t>
            </w:r>
          </w:p>
        </w:tc>
      </w:tr>
      <w:tr w:rsidR="00A46032" w:rsidRPr="00C56257" w14:paraId="4E5E8208" w14:textId="77777777" w:rsidTr="00993B86">
        <w:trPr>
          <w:trHeight w:val="251"/>
        </w:trPr>
        <w:tc>
          <w:tcPr>
            <w:tcW w:w="3262" w:type="dxa"/>
            <w:vMerge/>
            <w:tcBorders>
              <w:top w:val="nil"/>
            </w:tcBorders>
          </w:tcPr>
          <w:p w14:paraId="1C9BF2FD" w14:textId="77777777" w:rsidR="00A46032" w:rsidRPr="00C56257" w:rsidRDefault="00A46032" w:rsidP="008E33FD">
            <w:pPr>
              <w:jc w:val="both"/>
              <w:rPr>
                <w:color w:val="000000" w:themeColor="text1"/>
              </w:rPr>
            </w:pPr>
          </w:p>
        </w:tc>
        <w:tc>
          <w:tcPr>
            <w:tcW w:w="2136" w:type="dxa"/>
            <w:vAlign w:val="bottom"/>
          </w:tcPr>
          <w:p w14:paraId="25C59001" w14:textId="77777777" w:rsidR="00A46032" w:rsidRPr="00A46032" w:rsidRDefault="00507CCA" w:rsidP="00A46032">
            <w:pPr>
              <w:pStyle w:val="TableParagraph"/>
              <w:spacing w:line="234" w:lineRule="exact"/>
              <w:ind w:left="294"/>
              <w:rPr>
                <w:color w:val="000000"/>
              </w:rPr>
            </w:pPr>
            <w:r>
              <w:rPr>
                <w:color w:val="000000"/>
              </w:rPr>
              <w:t>ROSAC</w:t>
            </w:r>
            <w:r w:rsidR="00A46032" w:rsidRPr="00A46032">
              <w:rPr>
                <w:color w:val="000000"/>
              </w:rPr>
              <w:t>0033</w:t>
            </w:r>
          </w:p>
        </w:tc>
        <w:tc>
          <w:tcPr>
            <w:tcW w:w="4220" w:type="dxa"/>
            <w:vAlign w:val="bottom"/>
          </w:tcPr>
          <w:p w14:paraId="273243C4" w14:textId="77777777" w:rsidR="00A46032" w:rsidRPr="00A46032" w:rsidRDefault="00A46032" w:rsidP="00A46032">
            <w:pPr>
              <w:pStyle w:val="TableParagraph"/>
              <w:spacing w:line="234" w:lineRule="exact"/>
              <w:ind w:left="294" w:right="206"/>
              <w:rPr>
                <w:color w:val="000000"/>
              </w:rPr>
            </w:pPr>
            <w:r w:rsidRPr="00A46032">
              <w:rPr>
                <w:color w:val="000000"/>
              </w:rPr>
              <w:t>Cheile Șugăului - Munticelu</w:t>
            </w:r>
          </w:p>
        </w:tc>
      </w:tr>
      <w:tr w:rsidR="00A46032" w:rsidRPr="00C56257" w14:paraId="5EDF02AD" w14:textId="77777777" w:rsidTr="00993B86">
        <w:trPr>
          <w:trHeight w:val="254"/>
        </w:trPr>
        <w:tc>
          <w:tcPr>
            <w:tcW w:w="3262" w:type="dxa"/>
            <w:vMerge/>
            <w:tcBorders>
              <w:top w:val="nil"/>
            </w:tcBorders>
          </w:tcPr>
          <w:p w14:paraId="1AAF3FDB" w14:textId="77777777" w:rsidR="00A46032" w:rsidRPr="00C56257" w:rsidRDefault="00A46032" w:rsidP="008E33FD">
            <w:pPr>
              <w:jc w:val="both"/>
              <w:rPr>
                <w:color w:val="000000" w:themeColor="text1"/>
              </w:rPr>
            </w:pPr>
          </w:p>
        </w:tc>
        <w:tc>
          <w:tcPr>
            <w:tcW w:w="2136" w:type="dxa"/>
            <w:vAlign w:val="bottom"/>
          </w:tcPr>
          <w:p w14:paraId="50316AF5" w14:textId="77777777" w:rsidR="00A46032" w:rsidRPr="00A46032" w:rsidRDefault="00507CCA" w:rsidP="00A46032">
            <w:pPr>
              <w:pStyle w:val="TableParagraph"/>
              <w:spacing w:line="234" w:lineRule="exact"/>
              <w:ind w:left="294"/>
              <w:rPr>
                <w:color w:val="000000"/>
              </w:rPr>
            </w:pPr>
            <w:r>
              <w:rPr>
                <w:color w:val="000000"/>
              </w:rPr>
              <w:t>ROSAC</w:t>
            </w:r>
            <w:r w:rsidR="00A46032" w:rsidRPr="00A46032">
              <w:rPr>
                <w:color w:val="000000"/>
              </w:rPr>
              <w:t>0035</w:t>
            </w:r>
          </w:p>
        </w:tc>
        <w:tc>
          <w:tcPr>
            <w:tcW w:w="4220" w:type="dxa"/>
            <w:vAlign w:val="bottom"/>
          </w:tcPr>
          <w:p w14:paraId="12E10DE7" w14:textId="77777777" w:rsidR="00A46032" w:rsidRPr="00A46032" w:rsidRDefault="00A46032" w:rsidP="00A46032">
            <w:pPr>
              <w:pStyle w:val="TableParagraph"/>
              <w:spacing w:line="234" w:lineRule="exact"/>
              <w:ind w:left="294" w:right="205"/>
              <w:rPr>
                <w:color w:val="000000"/>
              </w:rPr>
            </w:pPr>
            <w:r w:rsidRPr="00A46032">
              <w:rPr>
                <w:color w:val="000000"/>
              </w:rPr>
              <w:t>Cheile Turzii</w:t>
            </w:r>
          </w:p>
        </w:tc>
      </w:tr>
      <w:tr w:rsidR="00A46032" w:rsidRPr="00C56257" w14:paraId="1E03C727" w14:textId="77777777" w:rsidTr="00993B86">
        <w:trPr>
          <w:trHeight w:val="251"/>
        </w:trPr>
        <w:tc>
          <w:tcPr>
            <w:tcW w:w="3262" w:type="dxa"/>
            <w:vMerge/>
            <w:tcBorders>
              <w:top w:val="nil"/>
            </w:tcBorders>
          </w:tcPr>
          <w:p w14:paraId="2C7683AF" w14:textId="77777777" w:rsidR="00A46032" w:rsidRPr="00C56257" w:rsidRDefault="00A46032" w:rsidP="008E33FD">
            <w:pPr>
              <w:jc w:val="both"/>
              <w:rPr>
                <w:color w:val="000000" w:themeColor="text1"/>
              </w:rPr>
            </w:pPr>
          </w:p>
        </w:tc>
        <w:tc>
          <w:tcPr>
            <w:tcW w:w="2136" w:type="dxa"/>
            <w:vAlign w:val="bottom"/>
          </w:tcPr>
          <w:p w14:paraId="59A6AC6F" w14:textId="77777777" w:rsidR="00A46032" w:rsidRPr="00A46032" w:rsidRDefault="00A46032" w:rsidP="00A46032">
            <w:pPr>
              <w:pStyle w:val="TableParagraph"/>
              <w:spacing w:line="234" w:lineRule="exact"/>
              <w:ind w:left="294"/>
              <w:rPr>
                <w:color w:val="000000"/>
              </w:rPr>
            </w:pPr>
            <w:r w:rsidRPr="00A46032">
              <w:rPr>
                <w:color w:val="000000"/>
              </w:rPr>
              <w:t>ROSCI0038</w:t>
            </w:r>
          </w:p>
        </w:tc>
        <w:tc>
          <w:tcPr>
            <w:tcW w:w="4220" w:type="dxa"/>
            <w:vAlign w:val="bottom"/>
          </w:tcPr>
          <w:p w14:paraId="6A3212B0" w14:textId="77777777" w:rsidR="00A46032" w:rsidRPr="00A46032" w:rsidRDefault="00A46032" w:rsidP="00A46032">
            <w:pPr>
              <w:pStyle w:val="TableParagraph"/>
              <w:spacing w:line="234" w:lineRule="exact"/>
              <w:ind w:left="294" w:right="206"/>
              <w:rPr>
                <w:color w:val="000000"/>
              </w:rPr>
            </w:pPr>
            <w:r w:rsidRPr="00A46032">
              <w:rPr>
                <w:color w:val="000000"/>
              </w:rPr>
              <w:t>Ciucaș</w:t>
            </w:r>
          </w:p>
        </w:tc>
      </w:tr>
      <w:tr w:rsidR="00A46032" w:rsidRPr="00C56257" w14:paraId="53D210C4" w14:textId="77777777" w:rsidTr="00993B86">
        <w:trPr>
          <w:trHeight w:val="254"/>
        </w:trPr>
        <w:tc>
          <w:tcPr>
            <w:tcW w:w="3262" w:type="dxa"/>
            <w:vMerge/>
            <w:tcBorders>
              <w:top w:val="nil"/>
            </w:tcBorders>
          </w:tcPr>
          <w:p w14:paraId="11FBD526" w14:textId="77777777" w:rsidR="00A46032" w:rsidRPr="00C56257" w:rsidRDefault="00A46032" w:rsidP="008E33FD">
            <w:pPr>
              <w:jc w:val="both"/>
              <w:rPr>
                <w:color w:val="000000" w:themeColor="text1"/>
              </w:rPr>
            </w:pPr>
          </w:p>
        </w:tc>
        <w:tc>
          <w:tcPr>
            <w:tcW w:w="2136" w:type="dxa"/>
            <w:vAlign w:val="bottom"/>
          </w:tcPr>
          <w:p w14:paraId="052CCC34" w14:textId="77777777" w:rsidR="00A46032" w:rsidRPr="00A46032" w:rsidRDefault="000521DB" w:rsidP="00A46032">
            <w:pPr>
              <w:pStyle w:val="TableParagraph"/>
              <w:spacing w:line="234" w:lineRule="exact"/>
              <w:ind w:left="294"/>
              <w:rPr>
                <w:color w:val="000000"/>
              </w:rPr>
            </w:pPr>
            <w:r>
              <w:rPr>
                <w:color w:val="000000"/>
              </w:rPr>
              <w:t>ROSAC0069</w:t>
            </w:r>
          </w:p>
        </w:tc>
        <w:tc>
          <w:tcPr>
            <w:tcW w:w="4220" w:type="dxa"/>
            <w:vAlign w:val="bottom"/>
          </w:tcPr>
          <w:p w14:paraId="22A29F9D" w14:textId="77777777" w:rsidR="00A46032" w:rsidRPr="00A46032" w:rsidRDefault="00A46032" w:rsidP="00A46032">
            <w:pPr>
              <w:pStyle w:val="TableParagraph"/>
              <w:spacing w:line="234" w:lineRule="exact"/>
              <w:ind w:left="294" w:right="206"/>
              <w:rPr>
                <w:color w:val="000000"/>
              </w:rPr>
            </w:pPr>
            <w:r w:rsidRPr="00A46032">
              <w:rPr>
                <w:color w:val="000000"/>
              </w:rPr>
              <w:t>Domogled - Valea Cernei</w:t>
            </w:r>
          </w:p>
        </w:tc>
      </w:tr>
      <w:tr w:rsidR="00A46032" w:rsidRPr="00C56257" w14:paraId="6D1C317A" w14:textId="77777777" w:rsidTr="00993B86">
        <w:trPr>
          <w:trHeight w:val="252"/>
        </w:trPr>
        <w:tc>
          <w:tcPr>
            <w:tcW w:w="3262" w:type="dxa"/>
            <w:vMerge/>
            <w:tcBorders>
              <w:top w:val="nil"/>
            </w:tcBorders>
          </w:tcPr>
          <w:p w14:paraId="3CDA1B07" w14:textId="77777777" w:rsidR="00A46032" w:rsidRPr="00C56257" w:rsidRDefault="00A46032" w:rsidP="008E33FD">
            <w:pPr>
              <w:jc w:val="both"/>
              <w:rPr>
                <w:color w:val="000000" w:themeColor="text1"/>
              </w:rPr>
            </w:pPr>
          </w:p>
        </w:tc>
        <w:tc>
          <w:tcPr>
            <w:tcW w:w="2136" w:type="dxa"/>
            <w:vAlign w:val="bottom"/>
          </w:tcPr>
          <w:p w14:paraId="164B9DA2" w14:textId="77777777" w:rsidR="00A46032" w:rsidRPr="00A46032" w:rsidRDefault="00507CCA" w:rsidP="00507CCA">
            <w:pPr>
              <w:pStyle w:val="TableParagraph"/>
              <w:spacing w:line="234" w:lineRule="exact"/>
              <w:ind w:left="294"/>
              <w:rPr>
                <w:color w:val="000000"/>
              </w:rPr>
            </w:pPr>
            <w:r>
              <w:rPr>
                <w:color w:val="000000"/>
              </w:rPr>
              <w:t>ROSAC</w:t>
            </w:r>
            <w:r w:rsidR="00A46032" w:rsidRPr="00A46032">
              <w:rPr>
                <w:color w:val="000000"/>
              </w:rPr>
              <w:t>0121</w:t>
            </w:r>
          </w:p>
        </w:tc>
        <w:tc>
          <w:tcPr>
            <w:tcW w:w="4220" w:type="dxa"/>
            <w:vAlign w:val="bottom"/>
          </w:tcPr>
          <w:p w14:paraId="6DEB0B44" w14:textId="77777777" w:rsidR="00A46032" w:rsidRPr="00A46032" w:rsidRDefault="00A46032" w:rsidP="00A46032">
            <w:pPr>
              <w:pStyle w:val="TableParagraph"/>
              <w:spacing w:line="234" w:lineRule="exact"/>
              <w:ind w:left="294" w:right="206"/>
              <w:rPr>
                <w:color w:val="000000"/>
              </w:rPr>
            </w:pPr>
            <w:r w:rsidRPr="00A46032">
              <w:rPr>
                <w:color w:val="000000"/>
              </w:rPr>
              <w:t>Muntele Vulcan</w:t>
            </w:r>
          </w:p>
        </w:tc>
      </w:tr>
      <w:tr w:rsidR="00A46032" w:rsidRPr="00C56257" w14:paraId="3618B79E" w14:textId="77777777" w:rsidTr="00993B86">
        <w:trPr>
          <w:trHeight w:val="253"/>
        </w:trPr>
        <w:tc>
          <w:tcPr>
            <w:tcW w:w="3262" w:type="dxa"/>
            <w:vMerge/>
            <w:tcBorders>
              <w:top w:val="nil"/>
            </w:tcBorders>
          </w:tcPr>
          <w:p w14:paraId="6DA3063C" w14:textId="77777777" w:rsidR="00A46032" w:rsidRPr="00C56257" w:rsidRDefault="00A46032" w:rsidP="008E33FD">
            <w:pPr>
              <w:jc w:val="both"/>
              <w:rPr>
                <w:color w:val="000000" w:themeColor="text1"/>
              </w:rPr>
            </w:pPr>
          </w:p>
        </w:tc>
        <w:tc>
          <w:tcPr>
            <w:tcW w:w="2136" w:type="dxa"/>
            <w:vAlign w:val="bottom"/>
          </w:tcPr>
          <w:p w14:paraId="223321D0" w14:textId="77777777" w:rsidR="00A46032" w:rsidRPr="00A46032" w:rsidRDefault="00507CCA" w:rsidP="00A46032">
            <w:pPr>
              <w:pStyle w:val="TableParagraph"/>
              <w:spacing w:line="234" w:lineRule="exact"/>
              <w:ind w:left="294"/>
              <w:rPr>
                <w:color w:val="000000"/>
              </w:rPr>
            </w:pPr>
            <w:r>
              <w:rPr>
                <w:color w:val="000000"/>
              </w:rPr>
              <w:t>ROSAC</w:t>
            </w:r>
            <w:r w:rsidR="00A46032" w:rsidRPr="00A46032">
              <w:rPr>
                <w:color w:val="000000"/>
              </w:rPr>
              <w:t>0122</w:t>
            </w:r>
          </w:p>
        </w:tc>
        <w:tc>
          <w:tcPr>
            <w:tcW w:w="4220" w:type="dxa"/>
            <w:vAlign w:val="bottom"/>
          </w:tcPr>
          <w:p w14:paraId="1EA4DF56" w14:textId="77777777" w:rsidR="00A46032" w:rsidRPr="00A46032" w:rsidRDefault="00A46032" w:rsidP="00A46032">
            <w:pPr>
              <w:pStyle w:val="TableParagraph"/>
              <w:spacing w:line="234" w:lineRule="exact"/>
              <w:ind w:left="294" w:right="206"/>
              <w:rPr>
                <w:color w:val="000000"/>
              </w:rPr>
            </w:pPr>
            <w:r w:rsidRPr="00A46032">
              <w:rPr>
                <w:color w:val="000000"/>
              </w:rPr>
              <w:t>Munții Făgăraș</w:t>
            </w:r>
          </w:p>
        </w:tc>
      </w:tr>
      <w:tr w:rsidR="00A46032" w:rsidRPr="00C56257" w14:paraId="57F28225" w14:textId="77777777" w:rsidTr="00993B86">
        <w:trPr>
          <w:trHeight w:val="254"/>
        </w:trPr>
        <w:tc>
          <w:tcPr>
            <w:tcW w:w="3262" w:type="dxa"/>
            <w:vMerge/>
            <w:tcBorders>
              <w:top w:val="nil"/>
            </w:tcBorders>
          </w:tcPr>
          <w:p w14:paraId="6D48E5EA" w14:textId="77777777" w:rsidR="00A46032" w:rsidRPr="00C56257" w:rsidRDefault="00A46032" w:rsidP="008E33FD">
            <w:pPr>
              <w:jc w:val="both"/>
              <w:rPr>
                <w:color w:val="000000" w:themeColor="text1"/>
              </w:rPr>
            </w:pPr>
          </w:p>
        </w:tc>
        <w:tc>
          <w:tcPr>
            <w:tcW w:w="2136" w:type="dxa"/>
            <w:vAlign w:val="bottom"/>
          </w:tcPr>
          <w:p w14:paraId="20A920B8" w14:textId="77777777" w:rsidR="00A46032" w:rsidRPr="00A46032" w:rsidRDefault="00507CCA" w:rsidP="00507CCA">
            <w:pPr>
              <w:pStyle w:val="TableParagraph"/>
              <w:spacing w:line="234" w:lineRule="exact"/>
              <w:ind w:left="294"/>
              <w:rPr>
                <w:color w:val="000000"/>
              </w:rPr>
            </w:pPr>
            <w:r>
              <w:rPr>
                <w:color w:val="000000"/>
              </w:rPr>
              <w:t>ROSAC</w:t>
            </w:r>
            <w:r w:rsidR="00A46032" w:rsidRPr="00A46032">
              <w:rPr>
                <w:color w:val="000000"/>
              </w:rPr>
              <w:t>0124</w:t>
            </w:r>
          </w:p>
        </w:tc>
        <w:tc>
          <w:tcPr>
            <w:tcW w:w="4220" w:type="dxa"/>
            <w:vAlign w:val="bottom"/>
          </w:tcPr>
          <w:p w14:paraId="1358FD1A" w14:textId="77777777" w:rsidR="00A46032" w:rsidRPr="00A46032" w:rsidRDefault="00A46032" w:rsidP="00A46032">
            <w:pPr>
              <w:pStyle w:val="TableParagraph"/>
              <w:spacing w:line="234" w:lineRule="exact"/>
              <w:ind w:left="294" w:right="206"/>
              <w:rPr>
                <w:color w:val="000000"/>
              </w:rPr>
            </w:pPr>
            <w:r w:rsidRPr="00A46032">
              <w:rPr>
                <w:color w:val="000000"/>
              </w:rPr>
              <w:t>Munții Maramureșului</w:t>
            </w:r>
          </w:p>
        </w:tc>
      </w:tr>
      <w:tr w:rsidR="00A46032" w:rsidRPr="00C56257" w14:paraId="66F8DA7A" w14:textId="77777777" w:rsidTr="00993B86">
        <w:trPr>
          <w:trHeight w:val="251"/>
        </w:trPr>
        <w:tc>
          <w:tcPr>
            <w:tcW w:w="3262" w:type="dxa"/>
            <w:vMerge/>
            <w:tcBorders>
              <w:top w:val="nil"/>
            </w:tcBorders>
          </w:tcPr>
          <w:p w14:paraId="0D77AC06" w14:textId="77777777" w:rsidR="00A46032" w:rsidRPr="00C56257" w:rsidRDefault="00A46032" w:rsidP="008E33FD">
            <w:pPr>
              <w:jc w:val="both"/>
              <w:rPr>
                <w:color w:val="000000" w:themeColor="text1"/>
              </w:rPr>
            </w:pPr>
          </w:p>
        </w:tc>
        <w:tc>
          <w:tcPr>
            <w:tcW w:w="2136" w:type="dxa"/>
            <w:vAlign w:val="bottom"/>
          </w:tcPr>
          <w:p w14:paraId="430F08D8" w14:textId="77777777" w:rsidR="00A46032" w:rsidRPr="00A46032" w:rsidRDefault="00A46032" w:rsidP="00A46032">
            <w:pPr>
              <w:pStyle w:val="TableParagraph"/>
              <w:spacing w:line="234" w:lineRule="exact"/>
              <w:ind w:left="294"/>
              <w:rPr>
                <w:color w:val="000000"/>
              </w:rPr>
            </w:pPr>
            <w:r w:rsidRPr="00A46032">
              <w:rPr>
                <w:color w:val="000000"/>
              </w:rPr>
              <w:t>ROSCI0125</w:t>
            </w:r>
          </w:p>
        </w:tc>
        <w:tc>
          <w:tcPr>
            <w:tcW w:w="4220" w:type="dxa"/>
            <w:vAlign w:val="bottom"/>
          </w:tcPr>
          <w:p w14:paraId="32D315D2" w14:textId="77777777" w:rsidR="00A46032" w:rsidRPr="00A46032" w:rsidRDefault="00A46032" w:rsidP="00A46032">
            <w:pPr>
              <w:pStyle w:val="TableParagraph"/>
              <w:spacing w:line="234" w:lineRule="exact"/>
              <w:ind w:left="294" w:right="206"/>
              <w:rPr>
                <w:color w:val="000000"/>
              </w:rPr>
            </w:pPr>
            <w:r w:rsidRPr="00A46032">
              <w:rPr>
                <w:color w:val="000000"/>
              </w:rPr>
              <w:t>Munții Rodnei</w:t>
            </w:r>
          </w:p>
        </w:tc>
      </w:tr>
      <w:tr w:rsidR="00A46032" w:rsidRPr="00C56257" w14:paraId="63504B3D" w14:textId="77777777" w:rsidTr="00993B86">
        <w:trPr>
          <w:trHeight w:val="253"/>
        </w:trPr>
        <w:tc>
          <w:tcPr>
            <w:tcW w:w="3262" w:type="dxa"/>
            <w:vMerge/>
            <w:tcBorders>
              <w:top w:val="nil"/>
            </w:tcBorders>
          </w:tcPr>
          <w:p w14:paraId="73E25535" w14:textId="77777777" w:rsidR="00A46032" w:rsidRPr="00C56257" w:rsidRDefault="00A46032" w:rsidP="008E33FD">
            <w:pPr>
              <w:jc w:val="both"/>
              <w:rPr>
                <w:color w:val="000000" w:themeColor="text1"/>
              </w:rPr>
            </w:pPr>
          </w:p>
        </w:tc>
        <w:tc>
          <w:tcPr>
            <w:tcW w:w="2136" w:type="dxa"/>
            <w:vAlign w:val="bottom"/>
          </w:tcPr>
          <w:p w14:paraId="4CEBB8C1" w14:textId="77777777" w:rsidR="00A46032" w:rsidRPr="00A46032" w:rsidRDefault="00507CCA" w:rsidP="00A46032">
            <w:pPr>
              <w:pStyle w:val="TableParagraph"/>
              <w:spacing w:line="234" w:lineRule="exact"/>
              <w:ind w:left="294"/>
              <w:rPr>
                <w:color w:val="000000"/>
              </w:rPr>
            </w:pPr>
            <w:r>
              <w:rPr>
                <w:color w:val="000000"/>
              </w:rPr>
              <w:t>ROSAC</w:t>
            </w:r>
            <w:r w:rsidR="00A46032" w:rsidRPr="00A46032">
              <w:rPr>
                <w:color w:val="000000"/>
              </w:rPr>
              <w:t>0128</w:t>
            </w:r>
          </w:p>
        </w:tc>
        <w:tc>
          <w:tcPr>
            <w:tcW w:w="4220" w:type="dxa"/>
            <w:vAlign w:val="bottom"/>
          </w:tcPr>
          <w:p w14:paraId="0A1BB08A" w14:textId="77777777" w:rsidR="00A46032" w:rsidRPr="00A46032" w:rsidRDefault="00A46032" w:rsidP="00A46032">
            <w:pPr>
              <w:pStyle w:val="TableParagraph"/>
              <w:spacing w:line="234" w:lineRule="exact"/>
              <w:ind w:left="294" w:right="206"/>
              <w:rPr>
                <w:color w:val="000000"/>
              </w:rPr>
            </w:pPr>
            <w:r w:rsidRPr="00A46032">
              <w:rPr>
                <w:color w:val="000000"/>
              </w:rPr>
              <w:t>Nordul Gorjului de Est</w:t>
            </w:r>
          </w:p>
        </w:tc>
      </w:tr>
      <w:tr w:rsidR="00A46032" w:rsidRPr="00C56257" w14:paraId="73D530C4" w14:textId="77777777" w:rsidTr="00993B86">
        <w:trPr>
          <w:trHeight w:val="253"/>
        </w:trPr>
        <w:tc>
          <w:tcPr>
            <w:tcW w:w="3262" w:type="dxa"/>
            <w:vMerge/>
            <w:tcBorders>
              <w:top w:val="nil"/>
            </w:tcBorders>
          </w:tcPr>
          <w:p w14:paraId="1A634A57" w14:textId="77777777" w:rsidR="00A46032" w:rsidRPr="00C56257" w:rsidRDefault="00A46032" w:rsidP="008E33FD">
            <w:pPr>
              <w:jc w:val="both"/>
              <w:rPr>
                <w:color w:val="000000" w:themeColor="text1"/>
              </w:rPr>
            </w:pPr>
          </w:p>
        </w:tc>
        <w:tc>
          <w:tcPr>
            <w:tcW w:w="2136" w:type="dxa"/>
            <w:vAlign w:val="bottom"/>
          </w:tcPr>
          <w:p w14:paraId="6E27A3A6" w14:textId="77777777" w:rsidR="00A46032" w:rsidRPr="00A46032" w:rsidRDefault="00507CCA" w:rsidP="00A46032">
            <w:pPr>
              <w:pStyle w:val="TableParagraph"/>
              <w:spacing w:line="234" w:lineRule="exact"/>
              <w:ind w:left="294"/>
              <w:rPr>
                <w:color w:val="000000"/>
              </w:rPr>
            </w:pPr>
            <w:r>
              <w:rPr>
                <w:color w:val="000000"/>
              </w:rPr>
              <w:t>ROSAC</w:t>
            </w:r>
            <w:r w:rsidR="00A46032" w:rsidRPr="00A46032">
              <w:rPr>
                <w:color w:val="000000"/>
              </w:rPr>
              <w:t>0129</w:t>
            </w:r>
          </w:p>
        </w:tc>
        <w:tc>
          <w:tcPr>
            <w:tcW w:w="4220" w:type="dxa"/>
            <w:vAlign w:val="bottom"/>
          </w:tcPr>
          <w:p w14:paraId="01BE126A" w14:textId="77777777" w:rsidR="00A46032" w:rsidRPr="00A46032" w:rsidRDefault="00A46032" w:rsidP="00A46032">
            <w:pPr>
              <w:pStyle w:val="TableParagraph"/>
              <w:spacing w:line="234" w:lineRule="exact"/>
              <w:ind w:left="294" w:right="206"/>
              <w:rPr>
                <w:color w:val="000000"/>
              </w:rPr>
            </w:pPr>
            <w:r w:rsidRPr="00A46032">
              <w:rPr>
                <w:color w:val="000000"/>
              </w:rPr>
              <w:t>Nordul Gorjului de Vest</w:t>
            </w:r>
          </w:p>
        </w:tc>
      </w:tr>
      <w:tr w:rsidR="00A46032" w:rsidRPr="00C56257" w14:paraId="0825A86A" w14:textId="77777777" w:rsidTr="00993B86">
        <w:trPr>
          <w:trHeight w:val="253"/>
        </w:trPr>
        <w:tc>
          <w:tcPr>
            <w:tcW w:w="3262" w:type="dxa"/>
            <w:vMerge/>
            <w:tcBorders>
              <w:top w:val="nil"/>
            </w:tcBorders>
          </w:tcPr>
          <w:p w14:paraId="54BCBB40" w14:textId="77777777" w:rsidR="00A46032" w:rsidRPr="00C56257" w:rsidRDefault="00A46032" w:rsidP="008E33FD">
            <w:pPr>
              <w:jc w:val="both"/>
              <w:rPr>
                <w:color w:val="000000" w:themeColor="text1"/>
              </w:rPr>
            </w:pPr>
          </w:p>
        </w:tc>
        <w:tc>
          <w:tcPr>
            <w:tcW w:w="2136" w:type="dxa"/>
            <w:vAlign w:val="bottom"/>
          </w:tcPr>
          <w:p w14:paraId="67687451" w14:textId="77777777" w:rsidR="00A46032" w:rsidRPr="00A46032" w:rsidRDefault="00507CCA" w:rsidP="00507CCA">
            <w:pPr>
              <w:pStyle w:val="TableParagraph"/>
              <w:spacing w:line="234" w:lineRule="exact"/>
              <w:ind w:left="294"/>
              <w:rPr>
                <w:color w:val="000000"/>
              </w:rPr>
            </w:pPr>
            <w:r>
              <w:rPr>
                <w:color w:val="000000"/>
              </w:rPr>
              <w:t>ROSAC</w:t>
            </w:r>
            <w:r w:rsidR="00A46032" w:rsidRPr="00A46032">
              <w:rPr>
                <w:color w:val="000000"/>
              </w:rPr>
              <w:t>0194</w:t>
            </w:r>
          </w:p>
        </w:tc>
        <w:tc>
          <w:tcPr>
            <w:tcW w:w="4220" w:type="dxa"/>
            <w:vAlign w:val="bottom"/>
          </w:tcPr>
          <w:p w14:paraId="2D43411C" w14:textId="77777777" w:rsidR="00A46032" w:rsidRPr="00A46032" w:rsidRDefault="00A46032" w:rsidP="00A46032">
            <w:pPr>
              <w:pStyle w:val="TableParagraph"/>
              <w:spacing w:line="234" w:lineRule="exact"/>
              <w:ind w:left="294" w:right="206"/>
              <w:rPr>
                <w:color w:val="000000"/>
              </w:rPr>
            </w:pPr>
            <w:r w:rsidRPr="00A46032">
              <w:rPr>
                <w:color w:val="000000"/>
              </w:rPr>
              <w:t>Piatra Craiului</w:t>
            </w:r>
          </w:p>
        </w:tc>
      </w:tr>
      <w:tr w:rsidR="00A46032" w:rsidRPr="00C56257" w14:paraId="22ECC432" w14:textId="77777777" w:rsidTr="00993B86">
        <w:trPr>
          <w:trHeight w:val="253"/>
        </w:trPr>
        <w:tc>
          <w:tcPr>
            <w:tcW w:w="3262" w:type="dxa"/>
            <w:vMerge/>
            <w:tcBorders>
              <w:top w:val="nil"/>
            </w:tcBorders>
          </w:tcPr>
          <w:p w14:paraId="27BAAACC" w14:textId="77777777" w:rsidR="00A46032" w:rsidRPr="00C56257" w:rsidRDefault="00A46032" w:rsidP="008E33FD">
            <w:pPr>
              <w:jc w:val="both"/>
              <w:rPr>
                <w:color w:val="000000" w:themeColor="text1"/>
              </w:rPr>
            </w:pPr>
          </w:p>
        </w:tc>
        <w:tc>
          <w:tcPr>
            <w:tcW w:w="2136" w:type="dxa"/>
            <w:vAlign w:val="bottom"/>
          </w:tcPr>
          <w:p w14:paraId="3F37281B" w14:textId="77777777" w:rsidR="00A46032" w:rsidRPr="00A46032" w:rsidRDefault="00507CCA" w:rsidP="00A46032">
            <w:pPr>
              <w:pStyle w:val="TableParagraph"/>
              <w:spacing w:line="234" w:lineRule="exact"/>
              <w:ind w:left="294"/>
              <w:rPr>
                <w:color w:val="000000"/>
              </w:rPr>
            </w:pPr>
            <w:r>
              <w:rPr>
                <w:color w:val="000000"/>
              </w:rPr>
              <w:t>ROSAC</w:t>
            </w:r>
            <w:r w:rsidR="00A46032" w:rsidRPr="00A46032">
              <w:rPr>
                <w:color w:val="000000"/>
              </w:rPr>
              <w:t>0195</w:t>
            </w:r>
          </w:p>
        </w:tc>
        <w:tc>
          <w:tcPr>
            <w:tcW w:w="4220" w:type="dxa"/>
            <w:vAlign w:val="bottom"/>
          </w:tcPr>
          <w:p w14:paraId="420A5F09" w14:textId="77777777" w:rsidR="00A46032" w:rsidRPr="00A46032" w:rsidRDefault="00A46032" w:rsidP="00A46032">
            <w:pPr>
              <w:pStyle w:val="TableParagraph"/>
              <w:spacing w:line="234" w:lineRule="exact"/>
              <w:ind w:left="294" w:right="206"/>
              <w:rPr>
                <w:color w:val="000000"/>
              </w:rPr>
            </w:pPr>
            <w:r w:rsidRPr="00A46032">
              <w:rPr>
                <w:color w:val="000000"/>
              </w:rPr>
              <w:t>Piatra Mare</w:t>
            </w:r>
          </w:p>
        </w:tc>
      </w:tr>
      <w:tr w:rsidR="00A46032" w:rsidRPr="00C56257" w14:paraId="307B48CD" w14:textId="77777777" w:rsidTr="00993B86">
        <w:trPr>
          <w:trHeight w:val="253"/>
        </w:trPr>
        <w:tc>
          <w:tcPr>
            <w:tcW w:w="3262" w:type="dxa"/>
            <w:vMerge/>
            <w:tcBorders>
              <w:top w:val="nil"/>
            </w:tcBorders>
          </w:tcPr>
          <w:p w14:paraId="702F8987" w14:textId="77777777" w:rsidR="00A46032" w:rsidRPr="00C56257" w:rsidRDefault="00A46032" w:rsidP="008E33FD">
            <w:pPr>
              <w:jc w:val="both"/>
              <w:rPr>
                <w:color w:val="000000" w:themeColor="text1"/>
              </w:rPr>
            </w:pPr>
          </w:p>
        </w:tc>
        <w:tc>
          <w:tcPr>
            <w:tcW w:w="2136" w:type="dxa"/>
            <w:vAlign w:val="bottom"/>
          </w:tcPr>
          <w:p w14:paraId="6ABBF84D" w14:textId="77777777" w:rsidR="00A46032" w:rsidRPr="00A46032" w:rsidRDefault="00A46032" w:rsidP="00A46032">
            <w:pPr>
              <w:pStyle w:val="TableParagraph"/>
              <w:spacing w:line="234" w:lineRule="exact"/>
              <w:ind w:left="294"/>
              <w:rPr>
                <w:color w:val="000000"/>
              </w:rPr>
            </w:pPr>
            <w:r w:rsidRPr="00A46032">
              <w:rPr>
                <w:color w:val="000000"/>
              </w:rPr>
              <w:t>ROSCI0206</w:t>
            </w:r>
          </w:p>
        </w:tc>
        <w:tc>
          <w:tcPr>
            <w:tcW w:w="4220" w:type="dxa"/>
            <w:vAlign w:val="bottom"/>
          </w:tcPr>
          <w:p w14:paraId="48319058" w14:textId="77777777" w:rsidR="00A46032" w:rsidRPr="00A46032" w:rsidRDefault="00A46032" w:rsidP="00A46032">
            <w:pPr>
              <w:pStyle w:val="TableParagraph"/>
              <w:spacing w:line="234" w:lineRule="exact"/>
              <w:ind w:left="294" w:right="206"/>
              <w:rPr>
                <w:color w:val="000000"/>
              </w:rPr>
            </w:pPr>
            <w:r w:rsidRPr="00A46032">
              <w:rPr>
                <w:color w:val="000000"/>
              </w:rPr>
              <w:t>Porțile de Fier</w:t>
            </w:r>
          </w:p>
        </w:tc>
      </w:tr>
      <w:tr w:rsidR="00A46032" w:rsidRPr="00C56257" w14:paraId="7EEBF0EE" w14:textId="77777777" w:rsidTr="00993B86">
        <w:trPr>
          <w:trHeight w:val="254"/>
        </w:trPr>
        <w:tc>
          <w:tcPr>
            <w:tcW w:w="3262" w:type="dxa"/>
            <w:vMerge/>
            <w:tcBorders>
              <w:top w:val="nil"/>
            </w:tcBorders>
          </w:tcPr>
          <w:p w14:paraId="04A4A93B" w14:textId="77777777" w:rsidR="00A46032" w:rsidRPr="00C56257" w:rsidRDefault="00A46032" w:rsidP="008E33FD">
            <w:pPr>
              <w:jc w:val="both"/>
              <w:rPr>
                <w:color w:val="000000" w:themeColor="text1"/>
              </w:rPr>
            </w:pPr>
          </w:p>
        </w:tc>
        <w:tc>
          <w:tcPr>
            <w:tcW w:w="2136" w:type="dxa"/>
            <w:vAlign w:val="bottom"/>
          </w:tcPr>
          <w:p w14:paraId="3BFCFE39" w14:textId="77777777" w:rsidR="00A46032" w:rsidRPr="00A46032" w:rsidRDefault="00A46032" w:rsidP="00A46032">
            <w:pPr>
              <w:pStyle w:val="TableParagraph"/>
              <w:spacing w:line="234" w:lineRule="exact"/>
              <w:ind w:left="294"/>
              <w:rPr>
                <w:color w:val="000000"/>
              </w:rPr>
            </w:pPr>
            <w:r w:rsidRPr="00A46032">
              <w:rPr>
                <w:color w:val="000000"/>
              </w:rPr>
              <w:t>ROSCI0207</w:t>
            </w:r>
          </w:p>
        </w:tc>
        <w:tc>
          <w:tcPr>
            <w:tcW w:w="4220" w:type="dxa"/>
            <w:vAlign w:val="bottom"/>
          </w:tcPr>
          <w:p w14:paraId="73B1969D" w14:textId="77777777" w:rsidR="00A46032" w:rsidRPr="00A46032" w:rsidRDefault="00A46032" w:rsidP="00A46032">
            <w:pPr>
              <w:pStyle w:val="TableParagraph"/>
              <w:spacing w:line="234" w:lineRule="exact"/>
              <w:ind w:left="294" w:right="206"/>
              <w:rPr>
                <w:color w:val="000000"/>
              </w:rPr>
            </w:pPr>
            <w:r w:rsidRPr="00A46032">
              <w:rPr>
                <w:color w:val="000000"/>
              </w:rPr>
              <w:t>Postăvarul</w:t>
            </w:r>
          </w:p>
        </w:tc>
      </w:tr>
      <w:tr w:rsidR="00A46032" w:rsidRPr="00C56257" w14:paraId="1D428D65" w14:textId="77777777" w:rsidTr="00993B86">
        <w:trPr>
          <w:trHeight w:val="254"/>
        </w:trPr>
        <w:tc>
          <w:tcPr>
            <w:tcW w:w="3262" w:type="dxa"/>
            <w:vMerge w:val="restart"/>
          </w:tcPr>
          <w:p w14:paraId="3C86C9E1" w14:textId="77777777" w:rsidR="00A46032" w:rsidRPr="00C56257" w:rsidRDefault="00A46032" w:rsidP="008E33FD">
            <w:pPr>
              <w:pStyle w:val="TableParagraph"/>
              <w:spacing w:line="242" w:lineRule="auto"/>
              <w:ind w:right="332"/>
              <w:jc w:val="both"/>
              <w:rPr>
                <w:color w:val="000000" w:themeColor="text1"/>
                <w:sz w:val="24"/>
                <w:szCs w:val="24"/>
              </w:rPr>
            </w:pPr>
            <w:r w:rsidRPr="00C56257">
              <w:rPr>
                <w:color w:val="000000" w:themeColor="text1"/>
                <w:sz w:val="24"/>
                <w:szCs w:val="24"/>
              </w:rPr>
              <w:t>8160* Grohotișuri medio-europene calcaroase din</w:t>
            </w:r>
            <w:r w:rsidRPr="00C56257">
              <w:rPr>
                <w:color w:val="000000" w:themeColor="text1"/>
                <w:spacing w:val="-52"/>
                <w:sz w:val="24"/>
                <w:szCs w:val="24"/>
              </w:rPr>
              <w:t xml:space="preserve"> </w:t>
            </w:r>
            <w:r w:rsidRPr="00C56257">
              <w:rPr>
                <w:color w:val="000000" w:themeColor="text1"/>
                <w:sz w:val="24"/>
                <w:szCs w:val="24"/>
              </w:rPr>
              <w:t>etajele</w:t>
            </w:r>
            <w:r w:rsidRPr="00C56257">
              <w:rPr>
                <w:color w:val="000000" w:themeColor="text1"/>
                <w:spacing w:val="-1"/>
                <w:sz w:val="24"/>
                <w:szCs w:val="24"/>
              </w:rPr>
              <w:t xml:space="preserve"> </w:t>
            </w:r>
            <w:r w:rsidRPr="00C56257">
              <w:rPr>
                <w:color w:val="000000" w:themeColor="text1"/>
                <w:sz w:val="24"/>
                <w:szCs w:val="24"/>
              </w:rPr>
              <w:t>colinar</w:t>
            </w:r>
            <w:r w:rsidRPr="00C56257">
              <w:rPr>
                <w:color w:val="000000" w:themeColor="text1"/>
                <w:spacing w:val="-2"/>
                <w:sz w:val="24"/>
                <w:szCs w:val="24"/>
              </w:rPr>
              <w:t xml:space="preserve"> </w:t>
            </w:r>
            <w:r w:rsidRPr="00C56257">
              <w:rPr>
                <w:color w:val="000000" w:themeColor="text1"/>
                <w:sz w:val="24"/>
                <w:szCs w:val="24"/>
              </w:rPr>
              <w:t>și</w:t>
            </w:r>
            <w:r w:rsidRPr="00C56257">
              <w:rPr>
                <w:color w:val="000000" w:themeColor="text1"/>
                <w:spacing w:val="1"/>
                <w:sz w:val="24"/>
                <w:szCs w:val="24"/>
              </w:rPr>
              <w:t xml:space="preserve"> </w:t>
            </w:r>
            <w:r w:rsidRPr="00C56257">
              <w:rPr>
                <w:color w:val="000000" w:themeColor="text1"/>
                <w:sz w:val="24"/>
                <w:szCs w:val="24"/>
              </w:rPr>
              <w:t>montan</w:t>
            </w:r>
          </w:p>
        </w:tc>
        <w:tc>
          <w:tcPr>
            <w:tcW w:w="2136" w:type="dxa"/>
            <w:vAlign w:val="bottom"/>
          </w:tcPr>
          <w:p w14:paraId="19FB9A7A" w14:textId="77777777" w:rsidR="00A46032" w:rsidRPr="00A46032" w:rsidRDefault="00A46032" w:rsidP="00A46032">
            <w:pPr>
              <w:pStyle w:val="TableParagraph"/>
              <w:spacing w:line="234" w:lineRule="exact"/>
              <w:ind w:left="294"/>
              <w:rPr>
                <w:color w:val="000000"/>
              </w:rPr>
            </w:pPr>
            <w:r w:rsidRPr="00A46032">
              <w:rPr>
                <w:color w:val="000000"/>
              </w:rPr>
              <w:t>ROSCI0002</w:t>
            </w:r>
          </w:p>
        </w:tc>
        <w:tc>
          <w:tcPr>
            <w:tcW w:w="4220" w:type="dxa"/>
            <w:vAlign w:val="bottom"/>
          </w:tcPr>
          <w:p w14:paraId="6461F6B6" w14:textId="77777777" w:rsidR="00A46032" w:rsidRPr="00A46032" w:rsidRDefault="00A46032" w:rsidP="00A46032">
            <w:pPr>
              <w:pStyle w:val="TableParagraph"/>
              <w:spacing w:line="234" w:lineRule="exact"/>
              <w:ind w:left="294" w:right="205"/>
              <w:rPr>
                <w:color w:val="000000"/>
              </w:rPr>
            </w:pPr>
            <w:r w:rsidRPr="00A46032">
              <w:rPr>
                <w:color w:val="000000"/>
              </w:rPr>
              <w:t>Apuseni</w:t>
            </w:r>
          </w:p>
        </w:tc>
      </w:tr>
      <w:tr w:rsidR="00A46032" w:rsidRPr="00C56257" w14:paraId="4AD804BB" w14:textId="77777777" w:rsidTr="00993B86">
        <w:trPr>
          <w:trHeight w:val="251"/>
        </w:trPr>
        <w:tc>
          <w:tcPr>
            <w:tcW w:w="3262" w:type="dxa"/>
            <w:vMerge/>
            <w:tcBorders>
              <w:top w:val="nil"/>
            </w:tcBorders>
          </w:tcPr>
          <w:p w14:paraId="1D371709" w14:textId="77777777" w:rsidR="00A46032" w:rsidRPr="00C56257" w:rsidRDefault="00A46032" w:rsidP="008E33FD">
            <w:pPr>
              <w:jc w:val="both"/>
              <w:rPr>
                <w:color w:val="000000" w:themeColor="text1"/>
              </w:rPr>
            </w:pPr>
          </w:p>
        </w:tc>
        <w:tc>
          <w:tcPr>
            <w:tcW w:w="2136" w:type="dxa"/>
            <w:vAlign w:val="bottom"/>
          </w:tcPr>
          <w:p w14:paraId="657B88B6" w14:textId="77777777" w:rsidR="00A46032" w:rsidRPr="00A46032" w:rsidRDefault="00A46032" w:rsidP="00A46032">
            <w:pPr>
              <w:pStyle w:val="TableParagraph"/>
              <w:spacing w:line="234" w:lineRule="exact"/>
              <w:ind w:left="294"/>
              <w:rPr>
                <w:color w:val="000000"/>
              </w:rPr>
            </w:pPr>
            <w:r w:rsidRPr="00A46032">
              <w:rPr>
                <w:color w:val="000000"/>
              </w:rPr>
              <w:t>ROSCI0013</w:t>
            </w:r>
          </w:p>
        </w:tc>
        <w:tc>
          <w:tcPr>
            <w:tcW w:w="4220" w:type="dxa"/>
            <w:vAlign w:val="bottom"/>
          </w:tcPr>
          <w:p w14:paraId="4F38A328" w14:textId="77777777" w:rsidR="00A46032" w:rsidRPr="00A46032" w:rsidRDefault="00A46032" w:rsidP="00A46032">
            <w:pPr>
              <w:pStyle w:val="TableParagraph"/>
              <w:spacing w:line="234" w:lineRule="exact"/>
              <w:ind w:left="294" w:right="206"/>
              <w:rPr>
                <w:color w:val="000000"/>
              </w:rPr>
            </w:pPr>
            <w:r w:rsidRPr="00A46032">
              <w:rPr>
                <w:color w:val="000000"/>
              </w:rPr>
              <w:t>Bucegi</w:t>
            </w:r>
          </w:p>
        </w:tc>
      </w:tr>
      <w:tr w:rsidR="00A46032" w:rsidRPr="00C56257" w14:paraId="7F109DDB" w14:textId="77777777" w:rsidTr="00993B86">
        <w:trPr>
          <w:trHeight w:val="254"/>
        </w:trPr>
        <w:tc>
          <w:tcPr>
            <w:tcW w:w="3262" w:type="dxa"/>
            <w:vMerge/>
            <w:tcBorders>
              <w:top w:val="nil"/>
            </w:tcBorders>
          </w:tcPr>
          <w:p w14:paraId="5C3A538C" w14:textId="77777777" w:rsidR="00A46032" w:rsidRPr="00C56257" w:rsidRDefault="00A46032" w:rsidP="008E33FD">
            <w:pPr>
              <w:jc w:val="both"/>
              <w:rPr>
                <w:color w:val="000000" w:themeColor="text1"/>
              </w:rPr>
            </w:pPr>
          </w:p>
        </w:tc>
        <w:tc>
          <w:tcPr>
            <w:tcW w:w="2136" w:type="dxa"/>
            <w:vAlign w:val="bottom"/>
          </w:tcPr>
          <w:p w14:paraId="44A404FD" w14:textId="77777777" w:rsidR="00A46032" w:rsidRPr="00A46032" w:rsidRDefault="00A46032" w:rsidP="00507CCA">
            <w:pPr>
              <w:pStyle w:val="TableParagraph"/>
              <w:spacing w:line="234" w:lineRule="exact"/>
              <w:ind w:left="294"/>
              <w:rPr>
                <w:color w:val="000000"/>
              </w:rPr>
            </w:pPr>
            <w:r w:rsidRPr="00A46032">
              <w:rPr>
                <w:color w:val="000000"/>
              </w:rPr>
              <w:t>RO</w:t>
            </w:r>
            <w:r w:rsidR="00507CCA">
              <w:rPr>
                <w:color w:val="000000"/>
              </w:rPr>
              <w:t>SAC</w:t>
            </w:r>
            <w:r w:rsidRPr="00A46032">
              <w:rPr>
                <w:color w:val="000000"/>
              </w:rPr>
              <w:t>0035</w:t>
            </w:r>
          </w:p>
        </w:tc>
        <w:tc>
          <w:tcPr>
            <w:tcW w:w="4220" w:type="dxa"/>
            <w:vAlign w:val="bottom"/>
          </w:tcPr>
          <w:p w14:paraId="636043A9" w14:textId="77777777" w:rsidR="00A46032" w:rsidRPr="00A46032" w:rsidRDefault="00A46032" w:rsidP="00A46032">
            <w:pPr>
              <w:pStyle w:val="TableParagraph"/>
              <w:spacing w:line="234" w:lineRule="exact"/>
              <w:ind w:left="294" w:right="206"/>
              <w:rPr>
                <w:color w:val="000000"/>
              </w:rPr>
            </w:pPr>
            <w:r w:rsidRPr="00A46032">
              <w:rPr>
                <w:color w:val="000000"/>
              </w:rPr>
              <w:t>Cheile Turzii</w:t>
            </w:r>
          </w:p>
        </w:tc>
      </w:tr>
      <w:tr w:rsidR="00A46032" w:rsidRPr="00C56257" w14:paraId="22642008" w14:textId="77777777" w:rsidTr="00993B86">
        <w:trPr>
          <w:trHeight w:val="251"/>
        </w:trPr>
        <w:tc>
          <w:tcPr>
            <w:tcW w:w="3262" w:type="dxa"/>
            <w:vMerge/>
            <w:tcBorders>
              <w:top w:val="nil"/>
            </w:tcBorders>
          </w:tcPr>
          <w:p w14:paraId="3B84D73D" w14:textId="77777777" w:rsidR="00A46032" w:rsidRPr="00C56257" w:rsidRDefault="00A46032" w:rsidP="008E33FD">
            <w:pPr>
              <w:jc w:val="both"/>
              <w:rPr>
                <w:color w:val="000000" w:themeColor="text1"/>
              </w:rPr>
            </w:pPr>
          </w:p>
        </w:tc>
        <w:tc>
          <w:tcPr>
            <w:tcW w:w="2136" w:type="dxa"/>
            <w:vAlign w:val="bottom"/>
          </w:tcPr>
          <w:p w14:paraId="72422296" w14:textId="77777777" w:rsidR="00A46032" w:rsidRPr="00A46032" w:rsidRDefault="000521DB" w:rsidP="00A46032">
            <w:pPr>
              <w:pStyle w:val="TableParagraph"/>
              <w:spacing w:line="234" w:lineRule="exact"/>
              <w:ind w:left="294"/>
              <w:rPr>
                <w:color w:val="000000"/>
              </w:rPr>
            </w:pPr>
            <w:r>
              <w:rPr>
                <w:color w:val="000000"/>
              </w:rPr>
              <w:t>ROSAC0069</w:t>
            </w:r>
          </w:p>
        </w:tc>
        <w:tc>
          <w:tcPr>
            <w:tcW w:w="4220" w:type="dxa"/>
            <w:vAlign w:val="bottom"/>
          </w:tcPr>
          <w:p w14:paraId="6E35D61E" w14:textId="77777777" w:rsidR="00A46032" w:rsidRPr="00A46032" w:rsidRDefault="00A46032" w:rsidP="00A46032">
            <w:pPr>
              <w:pStyle w:val="TableParagraph"/>
              <w:spacing w:line="234" w:lineRule="exact"/>
              <w:ind w:left="294" w:right="206"/>
              <w:rPr>
                <w:color w:val="000000"/>
              </w:rPr>
            </w:pPr>
            <w:r w:rsidRPr="00A46032">
              <w:rPr>
                <w:color w:val="000000"/>
              </w:rPr>
              <w:t>Domogled - Valea Cernei</w:t>
            </w:r>
          </w:p>
        </w:tc>
      </w:tr>
      <w:tr w:rsidR="00A46032" w:rsidRPr="00C56257" w14:paraId="208B4BB3" w14:textId="77777777" w:rsidTr="00993B86">
        <w:trPr>
          <w:trHeight w:val="253"/>
        </w:trPr>
        <w:tc>
          <w:tcPr>
            <w:tcW w:w="3262" w:type="dxa"/>
            <w:vMerge/>
            <w:tcBorders>
              <w:top w:val="nil"/>
            </w:tcBorders>
          </w:tcPr>
          <w:p w14:paraId="762D925E" w14:textId="77777777" w:rsidR="00A46032" w:rsidRPr="00C56257" w:rsidRDefault="00A46032" w:rsidP="008E33FD">
            <w:pPr>
              <w:jc w:val="both"/>
              <w:rPr>
                <w:color w:val="000000" w:themeColor="text1"/>
              </w:rPr>
            </w:pPr>
          </w:p>
        </w:tc>
        <w:tc>
          <w:tcPr>
            <w:tcW w:w="2136" w:type="dxa"/>
            <w:vAlign w:val="bottom"/>
          </w:tcPr>
          <w:p w14:paraId="4D551A95" w14:textId="77777777" w:rsidR="00A46032" w:rsidRPr="00A46032" w:rsidRDefault="00507CCA" w:rsidP="00A46032">
            <w:pPr>
              <w:pStyle w:val="TableParagraph"/>
              <w:spacing w:line="234" w:lineRule="exact"/>
              <w:ind w:left="294"/>
              <w:rPr>
                <w:color w:val="000000"/>
              </w:rPr>
            </w:pPr>
            <w:r>
              <w:rPr>
                <w:color w:val="000000"/>
              </w:rPr>
              <w:t>ROSAC</w:t>
            </w:r>
            <w:r w:rsidR="00A46032" w:rsidRPr="00A46032">
              <w:rPr>
                <w:color w:val="000000"/>
              </w:rPr>
              <w:t>0102</w:t>
            </w:r>
          </w:p>
        </w:tc>
        <w:tc>
          <w:tcPr>
            <w:tcW w:w="4220" w:type="dxa"/>
            <w:vAlign w:val="bottom"/>
          </w:tcPr>
          <w:p w14:paraId="54E99879" w14:textId="77777777" w:rsidR="00A46032" w:rsidRPr="00A46032" w:rsidRDefault="00A46032" w:rsidP="00A46032">
            <w:pPr>
              <w:pStyle w:val="TableParagraph"/>
              <w:spacing w:line="234" w:lineRule="exact"/>
              <w:ind w:left="294" w:right="205"/>
              <w:rPr>
                <w:color w:val="000000"/>
              </w:rPr>
            </w:pPr>
            <w:r w:rsidRPr="00A46032">
              <w:rPr>
                <w:color w:val="000000"/>
              </w:rPr>
              <w:t>Leaota</w:t>
            </w:r>
          </w:p>
        </w:tc>
      </w:tr>
      <w:tr w:rsidR="00A46032" w:rsidRPr="00C56257" w14:paraId="75BD0AF4" w14:textId="77777777" w:rsidTr="00993B86">
        <w:trPr>
          <w:trHeight w:val="251"/>
        </w:trPr>
        <w:tc>
          <w:tcPr>
            <w:tcW w:w="3262" w:type="dxa"/>
            <w:vMerge/>
            <w:tcBorders>
              <w:top w:val="nil"/>
            </w:tcBorders>
          </w:tcPr>
          <w:p w14:paraId="1AE3E187" w14:textId="77777777" w:rsidR="00A46032" w:rsidRPr="00C56257" w:rsidRDefault="00A46032" w:rsidP="008E33FD">
            <w:pPr>
              <w:jc w:val="both"/>
              <w:rPr>
                <w:color w:val="000000" w:themeColor="text1"/>
              </w:rPr>
            </w:pPr>
          </w:p>
        </w:tc>
        <w:tc>
          <w:tcPr>
            <w:tcW w:w="2136" w:type="dxa"/>
            <w:vAlign w:val="bottom"/>
          </w:tcPr>
          <w:p w14:paraId="334FC72B" w14:textId="77777777" w:rsidR="00A46032" w:rsidRPr="00A46032" w:rsidRDefault="00507CCA" w:rsidP="00A46032">
            <w:pPr>
              <w:pStyle w:val="TableParagraph"/>
              <w:spacing w:line="234" w:lineRule="exact"/>
              <w:ind w:left="294"/>
              <w:rPr>
                <w:color w:val="000000"/>
              </w:rPr>
            </w:pPr>
            <w:r>
              <w:rPr>
                <w:color w:val="000000"/>
              </w:rPr>
              <w:t>ROSAC</w:t>
            </w:r>
            <w:r w:rsidR="00A46032" w:rsidRPr="00A46032">
              <w:rPr>
                <w:color w:val="000000"/>
              </w:rPr>
              <w:t>0253</w:t>
            </w:r>
          </w:p>
        </w:tc>
        <w:tc>
          <w:tcPr>
            <w:tcW w:w="4220" w:type="dxa"/>
            <w:vAlign w:val="bottom"/>
          </w:tcPr>
          <w:p w14:paraId="16988F45" w14:textId="77777777" w:rsidR="00A46032" w:rsidRPr="00A46032" w:rsidRDefault="00A46032" w:rsidP="00A46032">
            <w:pPr>
              <w:pStyle w:val="TableParagraph"/>
              <w:spacing w:line="234" w:lineRule="exact"/>
              <w:ind w:left="294" w:right="206"/>
              <w:rPr>
                <w:color w:val="000000"/>
              </w:rPr>
            </w:pPr>
            <w:r w:rsidRPr="00A46032">
              <w:rPr>
                <w:color w:val="000000"/>
              </w:rPr>
              <w:t>Trascău</w:t>
            </w:r>
          </w:p>
        </w:tc>
      </w:tr>
      <w:tr w:rsidR="00A46032" w:rsidRPr="00C56257" w14:paraId="59421AFD" w14:textId="77777777" w:rsidTr="00993B86">
        <w:trPr>
          <w:trHeight w:val="254"/>
        </w:trPr>
        <w:tc>
          <w:tcPr>
            <w:tcW w:w="3262" w:type="dxa"/>
            <w:vMerge/>
            <w:tcBorders>
              <w:top w:val="nil"/>
            </w:tcBorders>
          </w:tcPr>
          <w:p w14:paraId="705A1804" w14:textId="77777777" w:rsidR="00A46032" w:rsidRPr="00C56257" w:rsidRDefault="00A46032" w:rsidP="008E33FD">
            <w:pPr>
              <w:jc w:val="both"/>
              <w:rPr>
                <w:color w:val="000000" w:themeColor="text1"/>
              </w:rPr>
            </w:pPr>
          </w:p>
        </w:tc>
        <w:tc>
          <w:tcPr>
            <w:tcW w:w="2136" w:type="dxa"/>
            <w:vAlign w:val="bottom"/>
          </w:tcPr>
          <w:p w14:paraId="4B584884" w14:textId="77777777" w:rsidR="00A46032" w:rsidRPr="00A46032" w:rsidRDefault="00507CCA" w:rsidP="00A46032">
            <w:pPr>
              <w:pStyle w:val="TableParagraph"/>
              <w:spacing w:line="234" w:lineRule="exact"/>
              <w:ind w:left="294"/>
              <w:rPr>
                <w:color w:val="000000"/>
              </w:rPr>
            </w:pPr>
            <w:r>
              <w:rPr>
                <w:color w:val="000000"/>
              </w:rPr>
              <w:t>ROSAC</w:t>
            </w:r>
            <w:r w:rsidR="00A46032" w:rsidRPr="00A46032">
              <w:rPr>
                <w:color w:val="000000"/>
              </w:rPr>
              <w:t>0262</w:t>
            </w:r>
          </w:p>
        </w:tc>
        <w:tc>
          <w:tcPr>
            <w:tcW w:w="4220" w:type="dxa"/>
            <w:vAlign w:val="bottom"/>
          </w:tcPr>
          <w:p w14:paraId="14E2BB8F" w14:textId="77777777" w:rsidR="00A46032" w:rsidRPr="00A46032" w:rsidRDefault="00A46032" w:rsidP="00A46032">
            <w:pPr>
              <w:pStyle w:val="TableParagraph"/>
              <w:spacing w:line="234" w:lineRule="exact"/>
              <w:ind w:left="294" w:right="206"/>
              <w:rPr>
                <w:color w:val="000000"/>
              </w:rPr>
            </w:pPr>
            <w:r w:rsidRPr="00A46032">
              <w:rPr>
                <w:color w:val="000000"/>
              </w:rPr>
              <w:t>Valea Iadei</w:t>
            </w:r>
          </w:p>
        </w:tc>
      </w:tr>
      <w:tr w:rsidR="001604AB" w:rsidRPr="00C56257" w14:paraId="369631B7" w14:textId="77777777" w:rsidTr="00993B86">
        <w:trPr>
          <w:trHeight w:val="254"/>
        </w:trPr>
        <w:tc>
          <w:tcPr>
            <w:tcW w:w="3262" w:type="dxa"/>
            <w:vMerge w:val="restart"/>
          </w:tcPr>
          <w:p w14:paraId="58124509" w14:textId="77777777" w:rsidR="001604AB" w:rsidRPr="00C56257" w:rsidRDefault="001604AB" w:rsidP="008E33FD">
            <w:pPr>
              <w:pStyle w:val="TableParagraph"/>
              <w:tabs>
                <w:tab w:val="left" w:pos="767"/>
              </w:tabs>
              <w:spacing w:line="242" w:lineRule="auto"/>
              <w:ind w:right="36"/>
              <w:jc w:val="both"/>
              <w:rPr>
                <w:color w:val="000000" w:themeColor="text1"/>
                <w:sz w:val="24"/>
                <w:szCs w:val="24"/>
              </w:rPr>
            </w:pPr>
            <w:r w:rsidRPr="00C56257">
              <w:rPr>
                <w:color w:val="000000" w:themeColor="text1"/>
                <w:sz w:val="24"/>
                <w:szCs w:val="24"/>
              </w:rPr>
              <w:t>8210</w:t>
            </w:r>
            <w:r w:rsidRPr="00C56257">
              <w:rPr>
                <w:color w:val="000000" w:themeColor="text1"/>
                <w:sz w:val="24"/>
                <w:szCs w:val="24"/>
              </w:rPr>
              <w:tab/>
              <w:t>Versanți stâncoși cu vegetație chasmofitică pe</w:t>
            </w:r>
            <w:r w:rsidRPr="00C56257">
              <w:rPr>
                <w:color w:val="000000" w:themeColor="text1"/>
                <w:spacing w:val="-52"/>
                <w:sz w:val="24"/>
                <w:szCs w:val="24"/>
              </w:rPr>
              <w:t xml:space="preserve"> </w:t>
            </w:r>
            <w:r w:rsidRPr="00C56257">
              <w:rPr>
                <w:color w:val="000000" w:themeColor="text1"/>
                <w:sz w:val="24"/>
                <w:szCs w:val="24"/>
              </w:rPr>
              <w:t>roci</w:t>
            </w:r>
            <w:r w:rsidRPr="00C56257">
              <w:rPr>
                <w:color w:val="000000" w:themeColor="text1"/>
                <w:spacing w:val="-2"/>
                <w:sz w:val="24"/>
                <w:szCs w:val="24"/>
              </w:rPr>
              <w:t xml:space="preserve"> </w:t>
            </w:r>
            <w:r w:rsidRPr="00C56257">
              <w:rPr>
                <w:color w:val="000000" w:themeColor="text1"/>
                <w:sz w:val="24"/>
                <w:szCs w:val="24"/>
              </w:rPr>
              <w:t>calcaroase</w:t>
            </w:r>
          </w:p>
        </w:tc>
        <w:tc>
          <w:tcPr>
            <w:tcW w:w="2136" w:type="dxa"/>
            <w:vAlign w:val="bottom"/>
          </w:tcPr>
          <w:p w14:paraId="4FEF3E0A" w14:textId="77777777" w:rsidR="001604AB" w:rsidRPr="001604AB" w:rsidRDefault="001604AB" w:rsidP="001604AB">
            <w:pPr>
              <w:pStyle w:val="TableParagraph"/>
              <w:spacing w:line="234" w:lineRule="exact"/>
              <w:ind w:left="294"/>
              <w:rPr>
                <w:color w:val="000000"/>
              </w:rPr>
            </w:pPr>
            <w:r w:rsidRPr="001604AB">
              <w:rPr>
                <w:color w:val="000000"/>
              </w:rPr>
              <w:t>ROSCI0002</w:t>
            </w:r>
          </w:p>
        </w:tc>
        <w:tc>
          <w:tcPr>
            <w:tcW w:w="4220" w:type="dxa"/>
            <w:vAlign w:val="bottom"/>
          </w:tcPr>
          <w:p w14:paraId="282BE252" w14:textId="77777777" w:rsidR="001604AB" w:rsidRPr="001604AB" w:rsidRDefault="001604AB" w:rsidP="001604AB">
            <w:pPr>
              <w:pStyle w:val="TableParagraph"/>
              <w:spacing w:line="234" w:lineRule="exact"/>
              <w:ind w:left="294" w:right="205"/>
              <w:rPr>
                <w:color w:val="000000"/>
              </w:rPr>
            </w:pPr>
            <w:r w:rsidRPr="001604AB">
              <w:rPr>
                <w:color w:val="000000"/>
              </w:rPr>
              <w:t>Apuseni</w:t>
            </w:r>
          </w:p>
        </w:tc>
      </w:tr>
      <w:tr w:rsidR="001604AB" w:rsidRPr="00C56257" w14:paraId="2282A279" w14:textId="77777777" w:rsidTr="00993B86">
        <w:trPr>
          <w:trHeight w:val="251"/>
        </w:trPr>
        <w:tc>
          <w:tcPr>
            <w:tcW w:w="3262" w:type="dxa"/>
            <w:vMerge/>
            <w:tcBorders>
              <w:top w:val="nil"/>
            </w:tcBorders>
          </w:tcPr>
          <w:p w14:paraId="3AFE0FB9" w14:textId="77777777" w:rsidR="001604AB" w:rsidRPr="00C56257" w:rsidRDefault="001604AB" w:rsidP="008E33FD">
            <w:pPr>
              <w:jc w:val="both"/>
              <w:rPr>
                <w:color w:val="000000" w:themeColor="text1"/>
              </w:rPr>
            </w:pPr>
          </w:p>
        </w:tc>
        <w:tc>
          <w:tcPr>
            <w:tcW w:w="2136" w:type="dxa"/>
            <w:vAlign w:val="bottom"/>
          </w:tcPr>
          <w:p w14:paraId="3FAE08AB" w14:textId="77777777" w:rsidR="001604AB" w:rsidRPr="001604AB" w:rsidRDefault="001604AB" w:rsidP="001604AB">
            <w:pPr>
              <w:pStyle w:val="TableParagraph"/>
              <w:spacing w:line="234" w:lineRule="exact"/>
              <w:ind w:left="294"/>
              <w:rPr>
                <w:color w:val="000000"/>
              </w:rPr>
            </w:pPr>
            <w:r w:rsidRPr="001604AB">
              <w:rPr>
                <w:color w:val="000000"/>
              </w:rPr>
              <w:t>ROSCI0013</w:t>
            </w:r>
          </w:p>
        </w:tc>
        <w:tc>
          <w:tcPr>
            <w:tcW w:w="4220" w:type="dxa"/>
            <w:vAlign w:val="bottom"/>
          </w:tcPr>
          <w:p w14:paraId="128F6782" w14:textId="77777777" w:rsidR="001604AB" w:rsidRPr="001604AB" w:rsidRDefault="001604AB" w:rsidP="001604AB">
            <w:pPr>
              <w:pStyle w:val="TableParagraph"/>
              <w:spacing w:line="234" w:lineRule="exact"/>
              <w:ind w:left="294" w:right="206"/>
              <w:rPr>
                <w:color w:val="000000"/>
              </w:rPr>
            </w:pPr>
            <w:r w:rsidRPr="001604AB">
              <w:rPr>
                <w:color w:val="000000"/>
              </w:rPr>
              <w:t>Bucegi</w:t>
            </w:r>
          </w:p>
        </w:tc>
      </w:tr>
      <w:tr w:rsidR="001604AB" w:rsidRPr="00C56257" w14:paraId="50CDA4E6" w14:textId="77777777" w:rsidTr="00993B86">
        <w:trPr>
          <w:trHeight w:val="253"/>
        </w:trPr>
        <w:tc>
          <w:tcPr>
            <w:tcW w:w="3262" w:type="dxa"/>
            <w:vMerge/>
            <w:tcBorders>
              <w:top w:val="nil"/>
            </w:tcBorders>
          </w:tcPr>
          <w:p w14:paraId="089FB0EF" w14:textId="77777777" w:rsidR="001604AB" w:rsidRPr="00C56257" w:rsidRDefault="001604AB" w:rsidP="008E33FD">
            <w:pPr>
              <w:jc w:val="both"/>
              <w:rPr>
                <w:color w:val="000000" w:themeColor="text1"/>
              </w:rPr>
            </w:pPr>
          </w:p>
        </w:tc>
        <w:tc>
          <w:tcPr>
            <w:tcW w:w="2136" w:type="dxa"/>
            <w:vAlign w:val="bottom"/>
          </w:tcPr>
          <w:p w14:paraId="71538468" w14:textId="77777777" w:rsidR="001604AB" w:rsidRPr="001604AB" w:rsidRDefault="00507CCA" w:rsidP="001604AB">
            <w:pPr>
              <w:pStyle w:val="TableParagraph"/>
              <w:spacing w:line="234" w:lineRule="exact"/>
              <w:ind w:left="294"/>
              <w:rPr>
                <w:color w:val="000000"/>
              </w:rPr>
            </w:pPr>
            <w:r>
              <w:rPr>
                <w:color w:val="000000"/>
              </w:rPr>
              <w:t>ROSAC</w:t>
            </w:r>
            <w:r w:rsidR="001604AB" w:rsidRPr="001604AB">
              <w:rPr>
                <w:color w:val="000000"/>
              </w:rPr>
              <w:t>0015</w:t>
            </w:r>
          </w:p>
        </w:tc>
        <w:tc>
          <w:tcPr>
            <w:tcW w:w="4220" w:type="dxa"/>
            <w:vAlign w:val="bottom"/>
          </w:tcPr>
          <w:p w14:paraId="2C0B83D7" w14:textId="77777777" w:rsidR="001604AB" w:rsidRPr="001604AB" w:rsidRDefault="001604AB" w:rsidP="001604AB">
            <w:pPr>
              <w:pStyle w:val="TableParagraph"/>
              <w:spacing w:line="234" w:lineRule="exact"/>
              <w:ind w:left="294" w:right="204"/>
              <w:rPr>
                <w:color w:val="000000"/>
              </w:rPr>
            </w:pPr>
            <w:r w:rsidRPr="001604AB">
              <w:rPr>
                <w:color w:val="000000"/>
              </w:rPr>
              <w:t>Buila - Vânturarița</w:t>
            </w:r>
          </w:p>
        </w:tc>
      </w:tr>
      <w:tr w:rsidR="001604AB" w:rsidRPr="00C56257" w14:paraId="388A0C37" w14:textId="77777777" w:rsidTr="00993B86">
        <w:trPr>
          <w:trHeight w:val="251"/>
        </w:trPr>
        <w:tc>
          <w:tcPr>
            <w:tcW w:w="3262" w:type="dxa"/>
            <w:vMerge/>
            <w:tcBorders>
              <w:top w:val="nil"/>
            </w:tcBorders>
          </w:tcPr>
          <w:p w14:paraId="7C3BE491" w14:textId="77777777" w:rsidR="001604AB" w:rsidRPr="00C56257" w:rsidRDefault="001604AB" w:rsidP="008E33FD">
            <w:pPr>
              <w:jc w:val="both"/>
              <w:rPr>
                <w:color w:val="000000" w:themeColor="text1"/>
              </w:rPr>
            </w:pPr>
          </w:p>
        </w:tc>
        <w:tc>
          <w:tcPr>
            <w:tcW w:w="2136" w:type="dxa"/>
            <w:vAlign w:val="bottom"/>
          </w:tcPr>
          <w:p w14:paraId="20BC86CA" w14:textId="77777777" w:rsidR="001604AB" w:rsidRPr="001604AB" w:rsidRDefault="001604AB" w:rsidP="001604AB">
            <w:pPr>
              <w:pStyle w:val="TableParagraph"/>
              <w:spacing w:line="234" w:lineRule="exact"/>
              <w:ind w:left="294"/>
              <w:rPr>
                <w:color w:val="000000"/>
              </w:rPr>
            </w:pPr>
            <w:r w:rsidRPr="001604AB">
              <w:rPr>
                <w:color w:val="000000"/>
              </w:rPr>
              <w:t>ROSCI0024</w:t>
            </w:r>
          </w:p>
        </w:tc>
        <w:tc>
          <w:tcPr>
            <w:tcW w:w="4220" w:type="dxa"/>
            <w:vAlign w:val="bottom"/>
          </w:tcPr>
          <w:p w14:paraId="7B8BAD73" w14:textId="77777777" w:rsidR="001604AB" w:rsidRPr="001604AB" w:rsidRDefault="001604AB" w:rsidP="001604AB">
            <w:pPr>
              <w:pStyle w:val="TableParagraph"/>
              <w:spacing w:line="234" w:lineRule="exact"/>
              <w:ind w:left="294" w:right="206"/>
              <w:rPr>
                <w:color w:val="000000"/>
              </w:rPr>
            </w:pPr>
            <w:r w:rsidRPr="001604AB">
              <w:rPr>
                <w:color w:val="000000"/>
              </w:rPr>
              <w:t>Ceahlău</w:t>
            </w:r>
          </w:p>
        </w:tc>
      </w:tr>
      <w:tr w:rsidR="001604AB" w:rsidRPr="00C56257" w14:paraId="7B769ED8" w14:textId="77777777" w:rsidTr="00993B86">
        <w:trPr>
          <w:trHeight w:val="254"/>
        </w:trPr>
        <w:tc>
          <w:tcPr>
            <w:tcW w:w="3262" w:type="dxa"/>
            <w:vMerge/>
            <w:tcBorders>
              <w:top w:val="nil"/>
            </w:tcBorders>
          </w:tcPr>
          <w:p w14:paraId="23036223" w14:textId="77777777" w:rsidR="001604AB" w:rsidRPr="00C56257" w:rsidRDefault="001604AB" w:rsidP="008E33FD">
            <w:pPr>
              <w:jc w:val="both"/>
              <w:rPr>
                <w:color w:val="000000" w:themeColor="text1"/>
              </w:rPr>
            </w:pPr>
          </w:p>
        </w:tc>
        <w:tc>
          <w:tcPr>
            <w:tcW w:w="2136" w:type="dxa"/>
            <w:vAlign w:val="bottom"/>
          </w:tcPr>
          <w:p w14:paraId="53D8AF7B" w14:textId="77777777" w:rsidR="001604AB" w:rsidRPr="001604AB" w:rsidRDefault="00507CCA" w:rsidP="001604AB">
            <w:pPr>
              <w:pStyle w:val="TableParagraph"/>
              <w:spacing w:line="234" w:lineRule="exact"/>
              <w:ind w:left="294"/>
              <w:rPr>
                <w:color w:val="000000"/>
              </w:rPr>
            </w:pPr>
            <w:r>
              <w:rPr>
                <w:color w:val="000000"/>
              </w:rPr>
              <w:t>ROSAC</w:t>
            </w:r>
            <w:r w:rsidR="001604AB" w:rsidRPr="001604AB">
              <w:rPr>
                <w:color w:val="000000"/>
              </w:rPr>
              <w:t>0027</w:t>
            </w:r>
          </w:p>
        </w:tc>
        <w:tc>
          <w:tcPr>
            <w:tcW w:w="4220" w:type="dxa"/>
            <w:vAlign w:val="bottom"/>
          </w:tcPr>
          <w:p w14:paraId="3AD0E890" w14:textId="77777777" w:rsidR="001604AB" w:rsidRPr="001604AB" w:rsidRDefault="001604AB" w:rsidP="001604AB">
            <w:pPr>
              <w:pStyle w:val="TableParagraph"/>
              <w:spacing w:line="234" w:lineRule="exact"/>
              <w:ind w:left="294" w:right="206"/>
              <w:rPr>
                <w:color w:val="000000"/>
              </w:rPr>
            </w:pPr>
            <w:r w:rsidRPr="001604AB">
              <w:rPr>
                <w:color w:val="000000"/>
              </w:rPr>
              <w:t>Cheile Bicazului - Hășmaș</w:t>
            </w:r>
          </w:p>
        </w:tc>
      </w:tr>
      <w:tr w:rsidR="001604AB" w:rsidRPr="00C56257" w14:paraId="10C97BAD" w14:textId="77777777" w:rsidTr="00993B86">
        <w:trPr>
          <w:trHeight w:val="251"/>
        </w:trPr>
        <w:tc>
          <w:tcPr>
            <w:tcW w:w="3262" w:type="dxa"/>
            <w:vMerge/>
            <w:tcBorders>
              <w:top w:val="nil"/>
            </w:tcBorders>
          </w:tcPr>
          <w:p w14:paraId="10B8D010" w14:textId="77777777" w:rsidR="001604AB" w:rsidRPr="00C56257" w:rsidRDefault="001604AB" w:rsidP="008E33FD">
            <w:pPr>
              <w:jc w:val="both"/>
              <w:rPr>
                <w:color w:val="000000" w:themeColor="text1"/>
              </w:rPr>
            </w:pPr>
          </w:p>
        </w:tc>
        <w:tc>
          <w:tcPr>
            <w:tcW w:w="2136" w:type="dxa"/>
            <w:vAlign w:val="bottom"/>
          </w:tcPr>
          <w:p w14:paraId="1D12B893" w14:textId="77777777" w:rsidR="001604AB" w:rsidRPr="001604AB" w:rsidRDefault="001604AB" w:rsidP="001604AB">
            <w:pPr>
              <w:pStyle w:val="TableParagraph"/>
              <w:spacing w:line="234" w:lineRule="exact"/>
              <w:ind w:left="294"/>
              <w:rPr>
                <w:color w:val="000000"/>
              </w:rPr>
            </w:pPr>
            <w:r w:rsidRPr="001604AB">
              <w:rPr>
                <w:color w:val="000000"/>
              </w:rPr>
              <w:t>ROSCI0031</w:t>
            </w:r>
          </w:p>
        </w:tc>
        <w:tc>
          <w:tcPr>
            <w:tcW w:w="4220" w:type="dxa"/>
            <w:vAlign w:val="bottom"/>
          </w:tcPr>
          <w:p w14:paraId="723FB32B" w14:textId="77777777" w:rsidR="001604AB" w:rsidRPr="001604AB" w:rsidRDefault="001604AB" w:rsidP="001604AB">
            <w:pPr>
              <w:pStyle w:val="TableParagraph"/>
              <w:spacing w:line="234" w:lineRule="exact"/>
              <w:ind w:left="294" w:right="206"/>
              <w:rPr>
                <w:color w:val="000000"/>
              </w:rPr>
            </w:pPr>
            <w:r w:rsidRPr="001604AB">
              <w:rPr>
                <w:color w:val="000000"/>
              </w:rPr>
              <w:t>Cheile Nerei - Beușnița</w:t>
            </w:r>
          </w:p>
        </w:tc>
      </w:tr>
      <w:tr w:rsidR="001604AB" w:rsidRPr="00C56257" w14:paraId="2F79202F" w14:textId="77777777" w:rsidTr="00993B86">
        <w:trPr>
          <w:trHeight w:val="253"/>
        </w:trPr>
        <w:tc>
          <w:tcPr>
            <w:tcW w:w="3262" w:type="dxa"/>
            <w:vMerge/>
            <w:tcBorders>
              <w:top w:val="nil"/>
            </w:tcBorders>
          </w:tcPr>
          <w:p w14:paraId="1C9A437D" w14:textId="77777777" w:rsidR="001604AB" w:rsidRPr="00C56257" w:rsidRDefault="001604AB" w:rsidP="008E33FD">
            <w:pPr>
              <w:jc w:val="both"/>
              <w:rPr>
                <w:color w:val="000000" w:themeColor="text1"/>
              </w:rPr>
            </w:pPr>
          </w:p>
        </w:tc>
        <w:tc>
          <w:tcPr>
            <w:tcW w:w="2136" w:type="dxa"/>
            <w:vAlign w:val="bottom"/>
          </w:tcPr>
          <w:p w14:paraId="651BC941" w14:textId="77777777" w:rsidR="001604AB" w:rsidRPr="001604AB" w:rsidRDefault="00813885" w:rsidP="00813885">
            <w:pPr>
              <w:pStyle w:val="TableParagraph"/>
              <w:spacing w:line="234" w:lineRule="exact"/>
              <w:ind w:left="294"/>
              <w:rPr>
                <w:color w:val="000000"/>
              </w:rPr>
            </w:pPr>
            <w:r>
              <w:rPr>
                <w:color w:val="000000"/>
              </w:rPr>
              <w:t>ROSAC</w:t>
            </w:r>
            <w:r w:rsidR="001604AB" w:rsidRPr="001604AB">
              <w:rPr>
                <w:color w:val="000000"/>
              </w:rPr>
              <w:t>0032</w:t>
            </w:r>
          </w:p>
        </w:tc>
        <w:tc>
          <w:tcPr>
            <w:tcW w:w="4220" w:type="dxa"/>
            <w:vAlign w:val="bottom"/>
          </w:tcPr>
          <w:p w14:paraId="7604C150" w14:textId="77777777" w:rsidR="001604AB" w:rsidRPr="001604AB" w:rsidRDefault="001604AB" w:rsidP="001604AB">
            <w:pPr>
              <w:pStyle w:val="TableParagraph"/>
              <w:spacing w:line="234" w:lineRule="exact"/>
              <w:ind w:left="294" w:right="206"/>
              <w:rPr>
                <w:color w:val="000000"/>
              </w:rPr>
            </w:pPr>
            <w:r w:rsidRPr="001604AB">
              <w:rPr>
                <w:color w:val="000000"/>
              </w:rPr>
              <w:t>Cheile Rudăriei</w:t>
            </w:r>
          </w:p>
        </w:tc>
      </w:tr>
      <w:tr w:rsidR="001604AB" w:rsidRPr="00C56257" w14:paraId="787F32D7" w14:textId="77777777" w:rsidTr="00993B86">
        <w:trPr>
          <w:trHeight w:val="253"/>
        </w:trPr>
        <w:tc>
          <w:tcPr>
            <w:tcW w:w="3262" w:type="dxa"/>
            <w:vMerge/>
            <w:tcBorders>
              <w:top w:val="nil"/>
            </w:tcBorders>
          </w:tcPr>
          <w:p w14:paraId="54D48A4F" w14:textId="77777777" w:rsidR="001604AB" w:rsidRPr="00C56257" w:rsidRDefault="001604AB" w:rsidP="008E33FD">
            <w:pPr>
              <w:jc w:val="both"/>
              <w:rPr>
                <w:color w:val="000000" w:themeColor="text1"/>
              </w:rPr>
            </w:pPr>
          </w:p>
        </w:tc>
        <w:tc>
          <w:tcPr>
            <w:tcW w:w="2136" w:type="dxa"/>
            <w:vAlign w:val="bottom"/>
          </w:tcPr>
          <w:p w14:paraId="78CACD5D"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0033</w:t>
            </w:r>
          </w:p>
        </w:tc>
        <w:tc>
          <w:tcPr>
            <w:tcW w:w="4220" w:type="dxa"/>
            <w:vAlign w:val="bottom"/>
          </w:tcPr>
          <w:p w14:paraId="173572BB" w14:textId="77777777" w:rsidR="001604AB" w:rsidRPr="001604AB" w:rsidRDefault="001604AB" w:rsidP="001604AB">
            <w:pPr>
              <w:pStyle w:val="TableParagraph"/>
              <w:spacing w:line="234" w:lineRule="exact"/>
              <w:ind w:left="294" w:right="206"/>
              <w:rPr>
                <w:color w:val="000000"/>
              </w:rPr>
            </w:pPr>
            <w:r w:rsidRPr="001604AB">
              <w:rPr>
                <w:color w:val="000000"/>
              </w:rPr>
              <w:t>Cheile Șugăului - Munticelu</w:t>
            </w:r>
          </w:p>
        </w:tc>
      </w:tr>
      <w:tr w:rsidR="001604AB" w:rsidRPr="00C56257" w14:paraId="766CC46E" w14:textId="77777777" w:rsidTr="00993B86">
        <w:trPr>
          <w:trHeight w:val="251"/>
        </w:trPr>
        <w:tc>
          <w:tcPr>
            <w:tcW w:w="3262" w:type="dxa"/>
            <w:vMerge/>
            <w:tcBorders>
              <w:top w:val="nil"/>
            </w:tcBorders>
          </w:tcPr>
          <w:p w14:paraId="42CE6A2D" w14:textId="77777777" w:rsidR="001604AB" w:rsidRPr="00C56257" w:rsidRDefault="001604AB" w:rsidP="008E33FD">
            <w:pPr>
              <w:jc w:val="both"/>
              <w:rPr>
                <w:color w:val="000000" w:themeColor="text1"/>
              </w:rPr>
            </w:pPr>
          </w:p>
        </w:tc>
        <w:tc>
          <w:tcPr>
            <w:tcW w:w="2136" w:type="dxa"/>
            <w:vAlign w:val="bottom"/>
          </w:tcPr>
          <w:p w14:paraId="03CC14CC"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0034</w:t>
            </w:r>
          </w:p>
        </w:tc>
        <w:tc>
          <w:tcPr>
            <w:tcW w:w="4220" w:type="dxa"/>
            <w:vAlign w:val="bottom"/>
          </w:tcPr>
          <w:p w14:paraId="47467E6C" w14:textId="77777777" w:rsidR="001604AB" w:rsidRPr="001604AB" w:rsidRDefault="001604AB" w:rsidP="001604AB">
            <w:pPr>
              <w:pStyle w:val="TableParagraph"/>
              <w:spacing w:line="234" w:lineRule="exact"/>
              <w:ind w:left="294" w:right="206"/>
              <w:rPr>
                <w:color w:val="000000"/>
              </w:rPr>
            </w:pPr>
            <w:r w:rsidRPr="001604AB">
              <w:rPr>
                <w:color w:val="000000"/>
              </w:rPr>
              <w:t>Cheile Turenilor</w:t>
            </w:r>
          </w:p>
        </w:tc>
      </w:tr>
      <w:tr w:rsidR="001604AB" w:rsidRPr="00C56257" w14:paraId="1D228BD1" w14:textId="77777777" w:rsidTr="00993B86">
        <w:trPr>
          <w:trHeight w:val="254"/>
        </w:trPr>
        <w:tc>
          <w:tcPr>
            <w:tcW w:w="3262" w:type="dxa"/>
            <w:vMerge/>
            <w:tcBorders>
              <w:top w:val="nil"/>
            </w:tcBorders>
          </w:tcPr>
          <w:p w14:paraId="45B8AFF0" w14:textId="77777777" w:rsidR="001604AB" w:rsidRPr="00C56257" w:rsidRDefault="001604AB" w:rsidP="008E33FD">
            <w:pPr>
              <w:jc w:val="both"/>
              <w:rPr>
                <w:color w:val="000000" w:themeColor="text1"/>
              </w:rPr>
            </w:pPr>
          </w:p>
        </w:tc>
        <w:tc>
          <w:tcPr>
            <w:tcW w:w="2136" w:type="dxa"/>
            <w:vAlign w:val="bottom"/>
          </w:tcPr>
          <w:p w14:paraId="59426D51"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0035</w:t>
            </w:r>
          </w:p>
        </w:tc>
        <w:tc>
          <w:tcPr>
            <w:tcW w:w="4220" w:type="dxa"/>
            <w:vAlign w:val="bottom"/>
          </w:tcPr>
          <w:p w14:paraId="6468A22D" w14:textId="77777777" w:rsidR="001604AB" w:rsidRPr="001604AB" w:rsidRDefault="001604AB" w:rsidP="001604AB">
            <w:pPr>
              <w:pStyle w:val="TableParagraph"/>
              <w:spacing w:line="234" w:lineRule="exact"/>
              <w:ind w:left="294" w:right="206"/>
              <w:rPr>
                <w:color w:val="000000"/>
              </w:rPr>
            </w:pPr>
            <w:r w:rsidRPr="001604AB">
              <w:rPr>
                <w:color w:val="000000"/>
              </w:rPr>
              <w:t>Cheile Turzii</w:t>
            </w:r>
          </w:p>
        </w:tc>
      </w:tr>
      <w:tr w:rsidR="001604AB" w:rsidRPr="00C56257" w14:paraId="7E449014" w14:textId="77777777" w:rsidTr="00993B86">
        <w:trPr>
          <w:trHeight w:val="251"/>
        </w:trPr>
        <w:tc>
          <w:tcPr>
            <w:tcW w:w="3262" w:type="dxa"/>
            <w:vMerge/>
            <w:tcBorders>
              <w:top w:val="nil"/>
            </w:tcBorders>
          </w:tcPr>
          <w:p w14:paraId="515A80E1" w14:textId="77777777" w:rsidR="001604AB" w:rsidRPr="00C56257" w:rsidRDefault="001604AB" w:rsidP="008E33FD">
            <w:pPr>
              <w:jc w:val="both"/>
              <w:rPr>
                <w:color w:val="000000" w:themeColor="text1"/>
              </w:rPr>
            </w:pPr>
          </w:p>
        </w:tc>
        <w:tc>
          <w:tcPr>
            <w:tcW w:w="2136" w:type="dxa"/>
            <w:vAlign w:val="bottom"/>
          </w:tcPr>
          <w:p w14:paraId="180F1B2C" w14:textId="77777777" w:rsidR="001604AB" w:rsidRPr="001604AB" w:rsidRDefault="001604AB" w:rsidP="001604AB">
            <w:pPr>
              <w:pStyle w:val="TableParagraph"/>
              <w:spacing w:line="234" w:lineRule="exact"/>
              <w:ind w:left="294"/>
              <w:rPr>
                <w:color w:val="000000"/>
              </w:rPr>
            </w:pPr>
            <w:r w:rsidRPr="001604AB">
              <w:rPr>
                <w:color w:val="000000"/>
              </w:rPr>
              <w:t>ROSCI0036</w:t>
            </w:r>
          </w:p>
        </w:tc>
        <w:tc>
          <w:tcPr>
            <w:tcW w:w="4220" w:type="dxa"/>
            <w:vAlign w:val="bottom"/>
          </w:tcPr>
          <w:p w14:paraId="16921BE3" w14:textId="77777777" w:rsidR="001604AB" w:rsidRPr="001604AB" w:rsidRDefault="001604AB" w:rsidP="001604AB">
            <w:pPr>
              <w:pStyle w:val="TableParagraph"/>
              <w:spacing w:line="234" w:lineRule="exact"/>
              <w:ind w:left="294" w:right="206"/>
              <w:rPr>
                <w:color w:val="000000"/>
              </w:rPr>
            </w:pPr>
            <w:r w:rsidRPr="001604AB">
              <w:rPr>
                <w:color w:val="000000"/>
              </w:rPr>
              <w:t>Cheile Vârghișului</w:t>
            </w:r>
          </w:p>
        </w:tc>
      </w:tr>
      <w:tr w:rsidR="001604AB" w:rsidRPr="00C56257" w14:paraId="5FD81378" w14:textId="77777777" w:rsidTr="00993B86">
        <w:trPr>
          <w:trHeight w:val="253"/>
        </w:trPr>
        <w:tc>
          <w:tcPr>
            <w:tcW w:w="3262" w:type="dxa"/>
            <w:vMerge/>
            <w:tcBorders>
              <w:top w:val="nil"/>
            </w:tcBorders>
          </w:tcPr>
          <w:p w14:paraId="27584D72" w14:textId="77777777" w:rsidR="001604AB" w:rsidRPr="00C56257" w:rsidRDefault="001604AB" w:rsidP="008E33FD">
            <w:pPr>
              <w:jc w:val="both"/>
              <w:rPr>
                <w:color w:val="000000" w:themeColor="text1"/>
              </w:rPr>
            </w:pPr>
          </w:p>
        </w:tc>
        <w:tc>
          <w:tcPr>
            <w:tcW w:w="2136" w:type="dxa"/>
            <w:vAlign w:val="bottom"/>
          </w:tcPr>
          <w:p w14:paraId="019FE3C3" w14:textId="77777777" w:rsidR="001604AB" w:rsidRPr="001604AB" w:rsidRDefault="001604AB" w:rsidP="001604AB">
            <w:pPr>
              <w:pStyle w:val="TableParagraph"/>
              <w:spacing w:line="234" w:lineRule="exact"/>
              <w:ind w:left="294"/>
              <w:rPr>
                <w:color w:val="000000"/>
              </w:rPr>
            </w:pPr>
            <w:r w:rsidRPr="001604AB">
              <w:rPr>
                <w:color w:val="000000"/>
              </w:rPr>
              <w:t>ROSCI0038</w:t>
            </w:r>
          </w:p>
        </w:tc>
        <w:tc>
          <w:tcPr>
            <w:tcW w:w="4220" w:type="dxa"/>
            <w:vAlign w:val="bottom"/>
          </w:tcPr>
          <w:p w14:paraId="6DF15F0B" w14:textId="77777777" w:rsidR="001604AB" w:rsidRPr="001604AB" w:rsidRDefault="001604AB" w:rsidP="001604AB">
            <w:pPr>
              <w:pStyle w:val="TableParagraph"/>
              <w:spacing w:line="234" w:lineRule="exact"/>
              <w:ind w:left="294" w:right="205"/>
              <w:rPr>
                <w:color w:val="000000"/>
              </w:rPr>
            </w:pPr>
            <w:r w:rsidRPr="001604AB">
              <w:rPr>
                <w:color w:val="000000"/>
              </w:rPr>
              <w:t>Ciucaș</w:t>
            </w:r>
          </w:p>
        </w:tc>
      </w:tr>
      <w:tr w:rsidR="001604AB" w:rsidRPr="00C56257" w14:paraId="5D47CC92" w14:textId="77777777" w:rsidTr="00993B86">
        <w:trPr>
          <w:trHeight w:val="251"/>
        </w:trPr>
        <w:tc>
          <w:tcPr>
            <w:tcW w:w="3262" w:type="dxa"/>
            <w:vMerge/>
            <w:tcBorders>
              <w:top w:val="nil"/>
            </w:tcBorders>
          </w:tcPr>
          <w:p w14:paraId="7F6FCC50" w14:textId="77777777" w:rsidR="001604AB" w:rsidRPr="00C56257" w:rsidRDefault="001604AB" w:rsidP="008E33FD">
            <w:pPr>
              <w:jc w:val="both"/>
              <w:rPr>
                <w:color w:val="000000" w:themeColor="text1"/>
              </w:rPr>
            </w:pPr>
          </w:p>
        </w:tc>
        <w:tc>
          <w:tcPr>
            <w:tcW w:w="2136" w:type="dxa"/>
            <w:vAlign w:val="bottom"/>
          </w:tcPr>
          <w:p w14:paraId="7EFE2493" w14:textId="77777777" w:rsidR="001604AB" w:rsidRPr="001604AB" w:rsidRDefault="001604AB" w:rsidP="001604AB">
            <w:pPr>
              <w:pStyle w:val="TableParagraph"/>
              <w:spacing w:line="234" w:lineRule="exact"/>
              <w:ind w:left="294"/>
              <w:rPr>
                <w:color w:val="000000"/>
              </w:rPr>
            </w:pPr>
            <w:r w:rsidRPr="001604AB">
              <w:rPr>
                <w:color w:val="000000"/>
              </w:rPr>
              <w:t>ROSCI0042</w:t>
            </w:r>
          </w:p>
        </w:tc>
        <w:tc>
          <w:tcPr>
            <w:tcW w:w="4220" w:type="dxa"/>
            <w:vAlign w:val="bottom"/>
          </w:tcPr>
          <w:p w14:paraId="76CE23FE" w14:textId="77777777" w:rsidR="001604AB" w:rsidRPr="001604AB" w:rsidRDefault="001604AB" w:rsidP="001604AB">
            <w:pPr>
              <w:pStyle w:val="TableParagraph"/>
              <w:spacing w:line="234" w:lineRule="exact"/>
              <w:ind w:left="294" w:right="206"/>
              <w:rPr>
                <w:color w:val="000000"/>
              </w:rPr>
            </w:pPr>
            <w:r w:rsidRPr="001604AB">
              <w:rPr>
                <w:color w:val="000000"/>
              </w:rPr>
              <w:t>Codru Moma</w:t>
            </w:r>
          </w:p>
        </w:tc>
      </w:tr>
      <w:tr w:rsidR="001604AB" w:rsidRPr="00C56257" w14:paraId="0B75C499" w14:textId="77777777" w:rsidTr="00993B86">
        <w:trPr>
          <w:trHeight w:val="254"/>
        </w:trPr>
        <w:tc>
          <w:tcPr>
            <w:tcW w:w="3262" w:type="dxa"/>
            <w:vMerge/>
            <w:tcBorders>
              <w:top w:val="nil"/>
            </w:tcBorders>
          </w:tcPr>
          <w:p w14:paraId="267FDC46" w14:textId="77777777" w:rsidR="001604AB" w:rsidRPr="00C56257" w:rsidRDefault="001604AB" w:rsidP="008E33FD">
            <w:pPr>
              <w:jc w:val="both"/>
              <w:rPr>
                <w:color w:val="000000" w:themeColor="text1"/>
              </w:rPr>
            </w:pPr>
          </w:p>
        </w:tc>
        <w:tc>
          <w:tcPr>
            <w:tcW w:w="2136" w:type="dxa"/>
            <w:vAlign w:val="bottom"/>
          </w:tcPr>
          <w:p w14:paraId="12323E1A" w14:textId="77777777" w:rsidR="001604AB" w:rsidRPr="001604AB" w:rsidRDefault="000521DB" w:rsidP="001604AB">
            <w:pPr>
              <w:pStyle w:val="TableParagraph"/>
              <w:spacing w:line="234" w:lineRule="exact"/>
              <w:ind w:left="294"/>
              <w:rPr>
                <w:color w:val="000000"/>
              </w:rPr>
            </w:pPr>
            <w:r>
              <w:rPr>
                <w:color w:val="000000"/>
              </w:rPr>
              <w:t>ROSAC0069</w:t>
            </w:r>
          </w:p>
        </w:tc>
        <w:tc>
          <w:tcPr>
            <w:tcW w:w="4220" w:type="dxa"/>
            <w:vAlign w:val="bottom"/>
          </w:tcPr>
          <w:p w14:paraId="2C8528AA" w14:textId="77777777" w:rsidR="001604AB" w:rsidRPr="001604AB" w:rsidRDefault="001604AB" w:rsidP="001604AB">
            <w:pPr>
              <w:pStyle w:val="TableParagraph"/>
              <w:spacing w:line="234" w:lineRule="exact"/>
              <w:ind w:left="294" w:right="206"/>
              <w:rPr>
                <w:color w:val="000000"/>
              </w:rPr>
            </w:pPr>
            <w:r w:rsidRPr="001604AB">
              <w:rPr>
                <w:color w:val="000000"/>
              </w:rPr>
              <w:t>Domogled - Valea Cernei</w:t>
            </w:r>
          </w:p>
        </w:tc>
      </w:tr>
      <w:tr w:rsidR="001604AB" w:rsidRPr="00C56257" w14:paraId="0BA4DF68" w14:textId="77777777" w:rsidTr="00993B86">
        <w:trPr>
          <w:trHeight w:val="253"/>
        </w:trPr>
        <w:tc>
          <w:tcPr>
            <w:tcW w:w="3262" w:type="dxa"/>
            <w:vMerge/>
            <w:tcBorders>
              <w:top w:val="nil"/>
            </w:tcBorders>
          </w:tcPr>
          <w:p w14:paraId="4003D5F5" w14:textId="77777777" w:rsidR="001604AB" w:rsidRPr="00C56257" w:rsidRDefault="001604AB" w:rsidP="008E33FD">
            <w:pPr>
              <w:jc w:val="both"/>
              <w:rPr>
                <w:color w:val="000000" w:themeColor="text1"/>
              </w:rPr>
            </w:pPr>
          </w:p>
        </w:tc>
        <w:tc>
          <w:tcPr>
            <w:tcW w:w="2136" w:type="dxa"/>
            <w:vAlign w:val="bottom"/>
          </w:tcPr>
          <w:p w14:paraId="6E33F091" w14:textId="77777777" w:rsidR="001604AB" w:rsidRPr="001604AB" w:rsidRDefault="001604AB" w:rsidP="001604AB">
            <w:pPr>
              <w:pStyle w:val="TableParagraph"/>
              <w:spacing w:line="234" w:lineRule="exact"/>
              <w:ind w:left="294"/>
              <w:rPr>
                <w:color w:val="000000"/>
              </w:rPr>
            </w:pPr>
            <w:r w:rsidRPr="001604AB">
              <w:rPr>
                <w:color w:val="000000"/>
              </w:rPr>
              <w:t>ROSCI0087</w:t>
            </w:r>
          </w:p>
        </w:tc>
        <w:tc>
          <w:tcPr>
            <w:tcW w:w="4220" w:type="dxa"/>
            <w:vAlign w:val="bottom"/>
          </w:tcPr>
          <w:p w14:paraId="59A0DF57" w14:textId="77777777" w:rsidR="001604AB" w:rsidRPr="001604AB" w:rsidRDefault="001604AB" w:rsidP="001604AB">
            <w:pPr>
              <w:pStyle w:val="TableParagraph"/>
              <w:spacing w:line="234" w:lineRule="exact"/>
              <w:ind w:left="294" w:right="206"/>
              <w:rPr>
                <w:color w:val="000000"/>
              </w:rPr>
            </w:pPr>
            <w:r w:rsidRPr="001604AB">
              <w:rPr>
                <w:color w:val="000000"/>
              </w:rPr>
              <w:t>Grădiștea Muncelului - Cioclovina</w:t>
            </w:r>
          </w:p>
        </w:tc>
      </w:tr>
      <w:tr w:rsidR="001604AB" w:rsidRPr="00C56257" w14:paraId="42DD3B15" w14:textId="77777777" w:rsidTr="00993B86">
        <w:trPr>
          <w:trHeight w:val="251"/>
        </w:trPr>
        <w:tc>
          <w:tcPr>
            <w:tcW w:w="3262" w:type="dxa"/>
            <w:vMerge/>
            <w:tcBorders>
              <w:top w:val="nil"/>
            </w:tcBorders>
          </w:tcPr>
          <w:p w14:paraId="4F1B413E" w14:textId="77777777" w:rsidR="001604AB" w:rsidRPr="00C56257" w:rsidRDefault="001604AB" w:rsidP="008E33FD">
            <w:pPr>
              <w:jc w:val="both"/>
              <w:rPr>
                <w:color w:val="000000" w:themeColor="text1"/>
              </w:rPr>
            </w:pPr>
          </w:p>
        </w:tc>
        <w:tc>
          <w:tcPr>
            <w:tcW w:w="2136" w:type="dxa"/>
            <w:vAlign w:val="bottom"/>
          </w:tcPr>
          <w:p w14:paraId="63A2C4A8" w14:textId="77777777" w:rsidR="001604AB" w:rsidRPr="001604AB" w:rsidRDefault="001604AB" w:rsidP="001604AB">
            <w:pPr>
              <w:pStyle w:val="TableParagraph"/>
              <w:spacing w:line="234" w:lineRule="exact"/>
              <w:ind w:left="294"/>
              <w:rPr>
                <w:color w:val="000000"/>
              </w:rPr>
            </w:pPr>
            <w:r w:rsidRPr="001604AB">
              <w:rPr>
                <w:color w:val="000000"/>
              </w:rPr>
              <w:t>ROSCI0110</w:t>
            </w:r>
          </w:p>
        </w:tc>
        <w:tc>
          <w:tcPr>
            <w:tcW w:w="4220" w:type="dxa"/>
            <w:vAlign w:val="bottom"/>
          </w:tcPr>
          <w:p w14:paraId="765F58C3" w14:textId="77777777" w:rsidR="001604AB" w:rsidRPr="001604AB" w:rsidRDefault="001604AB" w:rsidP="001604AB">
            <w:pPr>
              <w:pStyle w:val="TableParagraph"/>
              <w:spacing w:line="234" w:lineRule="exact"/>
              <w:ind w:left="294" w:right="206"/>
              <w:rPr>
                <w:color w:val="000000"/>
              </w:rPr>
            </w:pPr>
            <w:r w:rsidRPr="001604AB">
              <w:rPr>
                <w:color w:val="000000"/>
              </w:rPr>
              <w:t>Măgurile Băiței</w:t>
            </w:r>
          </w:p>
        </w:tc>
      </w:tr>
      <w:tr w:rsidR="001604AB" w:rsidRPr="00C56257" w14:paraId="6001D153" w14:textId="77777777" w:rsidTr="00993B86">
        <w:trPr>
          <w:trHeight w:val="253"/>
        </w:trPr>
        <w:tc>
          <w:tcPr>
            <w:tcW w:w="3262" w:type="dxa"/>
            <w:vMerge/>
            <w:tcBorders>
              <w:top w:val="nil"/>
            </w:tcBorders>
          </w:tcPr>
          <w:p w14:paraId="3C30736A" w14:textId="77777777" w:rsidR="001604AB" w:rsidRPr="00C56257" w:rsidRDefault="001604AB" w:rsidP="008E33FD">
            <w:pPr>
              <w:jc w:val="both"/>
              <w:rPr>
                <w:color w:val="000000" w:themeColor="text1"/>
              </w:rPr>
            </w:pPr>
          </w:p>
        </w:tc>
        <w:tc>
          <w:tcPr>
            <w:tcW w:w="2136" w:type="dxa"/>
            <w:vAlign w:val="bottom"/>
          </w:tcPr>
          <w:p w14:paraId="29C87ABB"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0121</w:t>
            </w:r>
          </w:p>
        </w:tc>
        <w:tc>
          <w:tcPr>
            <w:tcW w:w="4220" w:type="dxa"/>
            <w:vAlign w:val="bottom"/>
          </w:tcPr>
          <w:p w14:paraId="0B192DE1" w14:textId="77777777" w:rsidR="001604AB" w:rsidRPr="001604AB" w:rsidRDefault="001604AB" w:rsidP="001604AB">
            <w:pPr>
              <w:pStyle w:val="TableParagraph"/>
              <w:spacing w:line="234" w:lineRule="exact"/>
              <w:ind w:left="294" w:right="206"/>
              <w:rPr>
                <w:color w:val="000000"/>
              </w:rPr>
            </w:pPr>
            <w:r w:rsidRPr="001604AB">
              <w:rPr>
                <w:color w:val="000000"/>
              </w:rPr>
              <w:t>Muntele Vulcan</w:t>
            </w:r>
          </w:p>
        </w:tc>
      </w:tr>
      <w:tr w:rsidR="001604AB" w:rsidRPr="00C56257" w14:paraId="0A0ADA2E" w14:textId="77777777" w:rsidTr="00993B86">
        <w:trPr>
          <w:trHeight w:val="251"/>
        </w:trPr>
        <w:tc>
          <w:tcPr>
            <w:tcW w:w="3262" w:type="dxa"/>
            <w:vMerge/>
            <w:tcBorders>
              <w:top w:val="nil"/>
            </w:tcBorders>
          </w:tcPr>
          <w:p w14:paraId="40C84D05" w14:textId="77777777" w:rsidR="001604AB" w:rsidRPr="00C56257" w:rsidRDefault="001604AB" w:rsidP="008E33FD">
            <w:pPr>
              <w:jc w:val="both"/>
              <w:rPr>
                <w:color w:val="000000" w:themeColor="text1"/>
              </w:rPr>
            </w:pPr>
          </w:p>
        </w:tc>
        <w:tc>
          <w:tcPr>
            <w:tcW w:w="2136" w:type="dxa"/>
            <w:vAlign w:val="bottom"/>
          </w:tcPr>
          <w:p w14:paraId="5F3F99EC"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0122</w:t>
            </w:r>
          </w:p>
        </w:tc>
        <w:tc>
          <w:tcPr>
            <w:tcW w:w="4220" w:type="dxa"/>
            <w:vAlign w:val="bottom"/>
          </w:tcPr>
          <w:p w14:paraId="2600DC29" w14:textId="77777777" w:rsidR="001604AB" w:rsidRPr="001604AB" w:rsidRDefault="001604AB" w:rsidP="001604AB">
            <w:pPr>
              <w:pStyle w:val="TableParagraph"/>
              <w:spacing w:line="234" w:lineRule="exact"/>
              <w:ind w:left="294" w:right="206"/>
              <w:rPr>
                <w:color w:val="000000"/>
              </w:rPr>
            </w:pPr>
            <w:r w:rsidRPr="001604AB">
              <w:rPr>
                <w:color w:val="000000"/>
              </w:rPr>
              <w:t>Munții Făgăraș</w:t>
            </w:r>
          </w:p>
        </w:tc>
      </w:tr>
      <w:tr w:rsidR="001604AB" w:rsidRPr="00C56257" w14:paraId="5455A9A2" w14:textId="77777777" w:rsidTr="00993B86">
        <w:trPr>
          <w:trHeight w:val="253"/>
        </w:trPr>
        <w:tc>
          <w:tcPr>
            <w:tcW w:w="3262" w:type="dxa"/>
            <w:vMerge/>
            <w:tcBorders>
              <w:top w:val="nil"/>
            </w:tcBorders>
          </w:tcPr>
          <w:p w14:paraId="5D60BC8C" w14:textId="77777777" w:rsidR="001604AB" w:rsidRPr="00C56257" w:rsidRDefault="001604AB" w:rsidP="008E33FD">
            <w:pPr>
              <w:jc w:val="both"/>
              <w:rPr>
                <w:color w:val="000000" w:themeColor="text1"/>
              </w:rPr>
            </w:pPr>
          </w:p>
        </w:tc>
        <w:tc>
          <w:tcPr>
            <w:tcW w:w="2136" w:type="dxa"/>
            <w:vAlign w:val="bottom"/>
          </w:tcPr>
          <w:p w14:paraId="632E3CA5"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0124</w:t>
            </w:r>
          </w:p>
        </w:tc>
        <w:tc>
          <w:tcPr>
            <w:tcW w:w="4220" w:type="dxa"/>
            <w:vAlign w:val="bottom"/>
          </w:tcPr>
          <w:p w14:paraId="7FD97475" w14:textId="77777777" w:rsidR="001604AB" w:rsidRPr="001604AB" w:rsidRDefault="001604AB" w:rsidP="001604AB">
            <w:pPr>
              <w:pStyle w:val="TableParagraph"/>
              <w:spacing w:line="234" w:lineRule="exact"/>
              <w:ind w:left="294" w:right="206"/>
              <w:rPr>
                <w:color w:val="000000"/>
              </w:rPr>
            </w:pPr>
            <w:r w:rsidRPr="001604AB">
              <w:rPr>
                <w:color w:val="000000"/>
              </w:rPr>
              <w:t>Munții Maramureșului</w:t>
            </w:r>
          </w:p>
        </w:tc>
      </w:tr>
      <w:tr w:rsidR="001604AB" w:rsidRPr="00C56257" w14:paraId="52BF037C" w14:textId="77777777" w:rsidTr="00993B86">
        <w:trPr>
          <w:trHeight w:val="251"/>
        </w:trPr>
        <w:tc>
          <w:tcPr>
            <w:tcW w:w="3262" w:type="dxa"/>
            <w:vMerge/>
            <w:tcBorders>
              <w:top w:val="nil"/>
            </w:tcBorders>
          </w:tcPr>
          <w:p w14:paraId="755992E0" w14:textId="77777777" w:rsidR="001604AB" w:rsidRPr="00C56257" w:rsidRDefault="001604AB" w:rsidP="008E33FD">
            <w:pPr>
              <w:jc w:val="both"/>
              <w:rPr>
                <w:color w:val="000000" w:themeColor="text1"/>
              </w:rPr>
            </w:pPr>
          </w:p>
        </w:tc>
        <w:tc>
          <w:tcPr>
            <w:tcW w:w="2136" w:type="dxa"/>
            <w:vAlign w:val="bottom"/>
          </w:tcPr>
          <w:p w14:paraId="08649237" w14:textId="77777777" w:rsidR="001604AB" w:rsidRPr="001604AB" w:rsidRDefault="001604AB" w:rsidP="001604AB">
            <w:pPr>
              <w:pStyle w:val="TableParagraph"/>
              <w:spacing w:line="234" w:lineRule="exact"/>
              <w:ind w:left="294"/>
              <w:rPr>
                <w:color w:val="000000"/>
              </w:rPr>
            </w:pPr>
            <w:r w:rsidRPr="001604AB">
              <w:rPr>
                <w:color w:val="000000"/>
              </w:rPr>
              <w:t>ROSCI0125</w:t>
            </w:r>
          </w:p>
        </w:tc>
        <w:tc>
          <w:tcPr>
            <w:tcW w:w="4220" w:type="dxa"/>
            <w:vAlign w:val="bottom"/>
          </w:tcPr>
          <w:p w14:paraId="1549FEC2" w14:textId="77777777" w:rsidR="001604AB" w:rsidRPr="001604AB" w:rsidRDefault="001604AB" w:rsidP="001604AB">
            <w:pPr>
              <w:pStyle w:val="TableParagraph"/>
              <w:spacing w:line="234" w:lineRule="exact"/>
              <w:ind w:left="294" w:right="206"/>
              <w:rPr>
                <w:color w:val="000000"/>
              </w:rPr>
            </w:pPr>
            <w:r w:rsidRPr="001604AB">
              <w:rPr>
                <w:color w:val="000000"/>
              </w:rPr>
              <w:t>Munții Rodnei</w:t>
            </w:r>
          </w:p>
        </w:tc>
      </w:tr>
      <w:tr w:rsidR="001604AB" w:rsidRPr="00C56257" w14:paraId="779D2C34" w14:textId="77777777" w:rsidTr="00993B86">
        <w:trPr>
          <w:trHeight w:val="253"/>
        </w:trPr>
        <w:tc>
          <w:tcPr>
            <w:tcW w:w="3262" w:type="dxa"/>
            <w:vMerge/>
            <w:tcBorders>
              <w:top w:val="nil"/>
            </w:tcBorders>
          </w:tcPr>
          <w:p w14:paraId="04F58FEE" w14:textId="77777777" w:rsidR="001604AB" w:rsidRPr="00C56257" w:rsidRDefault="001604AB" w:rsidP="008E33FD">
            <w:pPr>
              <w:jc w:val="both"/>
              <w:rPr>
                <w:color w:val="000000" w:themeColor="text1"/>
              </w:rPr>
            </w:pPr>
          </w:p>
        </w:tc>
        <w:tc>
          <w:tcPr>
            <w:tcW w:w="2136" w:type="dxa"/>
            <w:vAlign w:val="bottom"/>
          </w:tcPr>
          <w:p w14:paraId="5B9F55CE"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0128</w:t>
            </w:r>
          </w:p>
        </w:tc>
        <w:tc>
          <w:tcPr>
            <w:tcW w:w="4220" w:type="dxa"/>
            <w:vAlign w:val="bottom"/>
          </w:tcPr>
          <w:p w14:paraId="0AABB075" w14:textId="77777777" w:rsidR="001604AB" w:rsidRPr="001604AB" w:rsidRDefault="001604AB" w:rsidP="001604AB">
            <w:pPr>
              <w:pStyle w:val="TableParagraph"/>
              <w:spacing w:line="234" w:lineRule="exact"/>
              <w:ind w:left="294" w:right="206"/>
              <w:rPr>
                <w:color w:val="000000"/>
              </w:rPr>
            </w:pPr>
            <w:r w:rsidRPr="001604AB">
              <w:rPr>
                <w:color w:val="000000"/>
              </w:rPr>
              <w:t>Nordul Gorjului de Est</w:t>
            </w:r>
          </w:p>
        </w:tc>
      </w:tr>
      <w:tr w:rsidR="001604AB" w:rsidRPr="00C56257" w14:paraId="0B60239E" w14:textId="77777777" w:rsidTr="00993B86">
        <w:trPr>
          <w:trHeight w:val="253"/>
        </w:trPr>
        <w:tc>
          <w:tcPr>
            <w:tcW w:w="3262" w:type="dxa"/>
            <w:vMerge/>
            <w:tcBorders>
              <w:top w:val="nil"/>
            </w:tcBorders>
          </w:tcPr>
          <w:p w14:paraId="63B5AD77" w14:textId="77777777" w:rsidR="001604AB" w:rsidRPr="00C56257" w:rsidRDefault="001604AB" w:rsidP="008E33FD">
            <w:pPr>
              <w:jc w:val="both"/>
              <w:rPr>
                <w:color w:val="000000" w:themeColor="text1"/>
              </w:rPr>
            </w:pPr>
          </w:p>
        </w:tc>
        <w:tc>
          <w:tcPr>
            <w:tcW w:w="2136" w:type="dxa"/>
            <w:vAlign w:val="bottom"/>
          </w:tcPr>
          <w:p w14:paraId="4BCCA1B2"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0129</w:t>
            </w:r>
          </w:p>
        </w:tc>
        <w:tc>
          <w:tcPr>
            <w:tcW w:w="4220" w:type="dxa"/>
            <w:vAlign w:val="bottom"/>
          </w:tcPr>
          <w:p w14:paraId="0463FFFC" w14:textId="77777777" w:rsidR="001604AB" w:rsidRPr="001604AB" w:rsidRDefault="001604AB" w:rsidP="001604AB">
            <w:pPr>
              <w:pStyle w:val="TableParagraph"/>
              <w:spacing w:line="234" w:lineRule="exact"/>
              <w:ind w:left="294" w:right="206"/>
              <w:rPr>
                <w:color w:val="000000"/>
              </w:rPr>
            </w:pPr>
            <w:r w:rsidRPr="001604AB">
              <w:rPr>
                <w:color w:val="000000"/>
              </w:rPr>
              <w:t>Nordul Gorjului de Vest</w:t>
            </w:r>
          </w:p>
        </w:tc>
      </w:tr>
      <w:tr w:rsidR="001604AB" w:rsidRPr="00C56257" w14:paraId="386DBDD5" w14:textId="77777777" w:rsidTr="00993B86">
        <w:trPr>
          <w:trHeight w:val="253"/>
        </w:trPr>
        <w:tc>
          <w:tcPr>
            <w:tcW w:w="3262" w:type="dxa"/>
            <w:vMerge/>
            <w:tcBorders>
              <w:top w:val="nil"/>
            </w:tcBorders>
          </w:tcPr>
          <w:p w14:paraId="0243194D" w14:textId="77777777" w:rsidR="001604AB" w:rsidRPr="00C56257" w:rsidRDefault="001604AB" w:rsidP="008E33FD">
            <w:pPr>
              <w:jc w:val="both"/>
              <w:rPr>
                <w:color w:val="000000" w:themeColor="text1"/>
              </w:rPr>
            </w:pPr>
          </w:p>
        </w:tc>
        <w:tc>
          <w:tcPr>
            <w:tcW w:w="2136" w:type="dxa"/>
            <w:vAlign w:val="bottom"/>
          </w:tcPr>
          <w:p w14:paraId="632E5B96"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0194</w:t>
            </w:r>
          </w:p>
        </w:tc>
        <w:tc>
          <w:tcPr>
            <w:tcW w:w="4220" w:type="dxa"/>
            <w:vAlign w:val="bottom"/>
          </w:tcPr>
          <w:p w14:paraId="047C87AD" w14:textId="77777777" w:rsidR="001604AB" w:rsidRPr="001604AB" w:rsidRDefault="001604AB" w:rsidP="001604AB">
            <w:pPr>
              <w:pStyle w:val="TableParagraph"/>
              <w:spacing w:line="234" w:lineRule="exact"/>
              <w:ind w:left="294" w:right="206"/>
              <w:rPr>
                <w:color w:val="000000"/>
              </w:rPr>
            </w:pPr>
            <w:r w:rsidRPr="001604AB">
              <w:rPr>
                <w:color w:val="000000"/>
              </w:rPr>
              <w:t>Piatra Craiului</w:t>
            </w:r>
          </w:p>
        </w:tc>
      </w:tr>
      <w:tr w:rsidR="001604AB" w:rsidRPr="00C56257" w14:paraId="12DB5EAE" w14:textId="77777777" w:rsidTr="00993B86">
        <w:trPr>
          <w:trHeight w:val="253"/>
        </w:trPr>
        <w:tc>
          <w:tcPr>
            <w:tcW w:w="3262" w:type="dxa"/>
            <w:vMerge/>
            <w:tcBorders>
              <w:top w:val="nil"/>
            </w:tcBorders>
          </w:tcPr>
          <w:p w14:paraId="651860E1" w14:textId="77777777" w:rsidR="001604AB" w:rsidRPr="00C56257" w:rsidRDefault="001604AB" w:rsidP="008E33FD">
            <w:pPr>
              <w:jc w:val="both"/>
              <w:rPr>
                <w:color w:val="000000" w:themeColor="text1"/>
              </w:rPr>
            </w:pPr>
          </w:p>
        </w:tc>
        <w:tc>
          <w:tcPr>
            <w:tcW w:w="2136" w:type="dxa"/>
            <w:vAlign w:val="bottom"/>
          </w:tcPr>
          <w:p w14:paraId="73498308" w14:textId="77777777" w:rsidR="001604AB" w:rsidRPr="001604AB" w:rsidRDefault="00813885" w:rsidP="00813885">
            <w:pPr>
              <w:pStyle w:val="TableParagraph"/>
              <w:spacing w:line="234" w:lineRule="exact"/>
              <w:ind w:left="294"/>
              <w:rPr>
                <w:color w:val="000000"/>
              </w:rPr>
            </w:pPr>
            <w:r>
              <w:rPr>
                <w:color w:val="000000"/>
              </w:rPr>
              <w:t>ROSCI</w:t>
            </w:r>
            <w:r w:rsidR="001604AB" w:rsidRPr="001604AB">
              <w:rPr>
                <w:color w:val="000000"/>
              </w:rPr>
              <w:t>0195</w:t>
            </w:r>
          </w:p>
        </w:tc>
        <w:tc>
          <w:tcPr>
            <w:tcW w:w="4220" w:type="dxa"/>
            <w:vAlign w:val="bottom"/>
          </w:tcPr>
          <w:p w14:paraId="6634CE4D" w14:textId="77777777" w:rsidR="001604AB" w:rsidRPr="001604AB" w:rsidRDefault="001604AB" w:rsidP="001604AB">
            <w:pPr>
              <w:pStyle w:val="TableParagraph"/>
              <w:spacing w:line="234" w:lineRule="exact"/>
              <w:ind w:left="294" w:right="206"/>
              <w:rPr>
                <w:color w:val="000000"/>
              </w:rPr>
            </w:pPr>
            <w:r w:rsidRPr="001604AB">
              <w:rPr>
                <w:color w:val="000000"/>
              </w:rPr>
              <w:t>Piatra Mare</w:t>
            </w:r>
          </w:p>
        </w:tc>
      </w:tr>
      <w:tr w:rsidR="001604AB" w:rsidRPr="00C56257" w14:paraId="18AF1B0F" w14:textId="77777777" w:rsidTr="00993B86">
        <w:trPr>
          <w:trHeight w:val="253"/>
        </w:trPr>
        <w:tc>
          <w:tcPr>
            <w:tcW w:w="3262" w:type="dxa"/>
            <w:vMerge/>
            <w:tcBorders>
              <w:top w:val="nil"/>
            </w:tcBorders>
          </w:tcPr>
          <w:p w14:paraId="04CBF29C" w14:textId="77777777" w:rsidR="001604AB" w:rsidRPr="00C56257" w:rsidRDefault="001604AB" w:rsidP="008E33FD">
            <w:pPr>
              <w:jc w:val="both"/>
              <w:rPr>
                <w:color w:val="000000" w:themeColor="text1"/>
              </w:rPr>
            </w:pPr>
          </w:p>
        </w:tc>
        <w:tc>
          <w:tcPr>
            <w:tcW w:w="2136" w:type="dxa"/>
            <w:vAlign w:val="bottom"/>
          </w:tcPr>
          <w:p w14:paraId="1F270365" w14:textId="77777777" w:rsidR="001604AB" w:rsidRPr="001604AB" w:rsidRDefault="001604AB" w:rsidP="001604AB">
            <w:pPr>
              <w:pStyle w:val="TableParagraph"/>
              <w:spacing w:line="234" w:lineRule="exact"/>
              <w:ind w:left="294"/>
              <w:rPr>
                <w:color w:val="000000"/>
              </w:rPr>
            </w:pPr>
            <w:r w:rsidRPr="001604AB">
              <w:rPr>
                <w:color w:val="000000"/>
              </w:rPr>
              <w:t>ROSCI0206</w:t>
            </w:r>
          </w:p>
        </w:tc>
        <w:tc>
          <w:tcPr>
            <w:tcW w:w="4220" w:type="dxa"/>
            <w:vAlign w:val="bottom"/>
          </w:tcPr>
          <w:p w14:paraId="36BA006D" w14:textId="77777777" w:rsidR="001604AB" w:rsidRPr="001604AB" w:rsidRDefault="001604AB" w:rsidP="001604AB">
            <w:pPr>
              <w:pStyle w:val="TableParagraph"/>
              <w:spacing w:line="234" w:lineRule="exact"/>
              <w:ind w:left="294" w:right="206"/>
              <w:rPr>
                <w:color w:val="000000"/>
              </w:rPr>
            </w:pPr>
            <w:r w:rsidRPr="001604AB">
              <w:rPr>
                <w:color w:val="000000"/>
              </w:rPr>
              <w:t>Porțile de Fier</w:t>
            </w:r>
          </w:p>
        </w:tc>
      </w:tr>
      <w:tr w:rsidR="001604AB" w:rsidRPr="00C56257" w14:paraId="5E8B44C4" w14:textId="77777777" w:rsidTr="00993B86">
        <w:trPr>
          <w:trHeight w:val="253"/>
        </w:trPr>
        <w:tc>
          <w:tcPr>
            <w:tcW w:w="3262" w:type="dxa"/>
            <w:vMerge/>
            <w:tcBorders>
              <w:top w:val="nil"/>
            </w:tcBorders>
          </w:tcPr>
          <w:p w14:paraId="10ADD08A" w14:textId="77777777" w:rsidR="001604AB" w:rsidRPr="00C56257" w:rsidRDefault="001604AB" w:rsidP="008E33FD">
            <w:pPr>
              <w:jc w:val="both"/>
              <w:rPr>
                <w:color w:val="000000" w:themeColor="text1"/>
              </w:rPr>
            </w:pPr>
          </w:p>
        </w:tc>
        <w:tc>
          <w:tcPr>
            <w:tcW w:w="2136" w:type="dxa"/>
            <w:vAlign w:val="bottom"/>
          </w:tcPr>
          <w:p w14:paraId="7725F98C" w14:textId="77777777" w:rsidR="001604AB" w:rsidRPr="001604AB" w:rsidRDefault="001604AB" w:rsidP="001604AB">
            <w:pPr>
              <w:pStyle w:val="TableParagraph"/>
              <w:spacing w:line="234" w:lineRule="exact"/>
              <w:ind w:left="294"/>
              <w:rPr>
                <w:color w:val="000000"/>
              </w:rPr>
            </w:pPr>
            <w:r w:rsidRPr="001604AB">
              <w:rPr>
                <w:color w:val="000000"/>
              </w:rPr>
              <w:t>ROSCI0207</w:t>
            </w:r>
          </w:p>
        </w:tc>
        <w:tc>
          <w:tcPr>
            <w:tcW w:w="4220" w:type="dxa"/>
            <w:vAlign w:val="bottom"/>
          </w:tcPr>
          <w:p w14:paraId="06E371A4" w14:textId="77777777" w:rsidR="001604AB" w:rsidRPr="001604AB" w:rsidRDefault="001604AB" w:rsidP="001604AB">
            <w:pPr>
              <w:pStyle w:val="TableParagraph"/>
              <w:spacing w:line="234" w:lineRule="exact"/>
              <w:ind w:left="294" w:right="206"/>
              <w:rPr>
                <w:color w:val="000000"/>
              </w:rPr>
            </w:pPr>
            <w:r w:rsidRPr="001604AB">
              <w:rPr>
                <w:color w:val="000000"/>
              </w:rPr>
              <w:t>Postăvarul</w:t>
            </w:r>
          </w:p>
        </w:tc>
      </w:tr>
      <w:tr w:rsidR="001604AB" w:rsidRPr="00C56257" w14:paraId="6F79F0DA" w14:textId="77777777" w:rsidTr="00993B86">
        <w:trPr>
          <w:trHeight w:val="253"/>
        </w:trPr>
        <w:tc>
          <w:tcPr>
            <w:tcW w:w="3262" w:type="dxa"/>
            <w:vMerge/>
            <w:tcBorders>
              <w:top w:val="nil"/>
            </w:tcBorders>
          </w:tcPr>
          <w:p w14:paraId="1FDA0924" w14:textId="77777777" w:rsidR="001604AB" w:rsidRPr="00C56257" w:rsidRDefault="001604AB" w:rsidP="008E33FD">
            <w:pPr>
              <w:jc w:val="both"/>
              <w:rPr>
                <w:color w:val="000000" w:themeColor="text1"/>
              </w:rPr>
            </w:pPr>
          </w:p>
        </w:tc>
        <w:tc>
          <w:tcPr>
            <w:tcW w:w="2136" w:type="dxa"/>
            <w:vAlign w:val="bottom"/>
          </w:tcPr>
          <w:p w14:paraId="0A9D802D"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0212</w:t>
            </w:r>
          </w:p>
        </w:tc>
        <w:tc>
          <w:tcPr>
            <w:tcW w:w="4220" w:type="dxa"/>
            <w:vAlign w:val="bottom"/>
          </w:tcPr>
          <w:p w14:paraId="574AE682" w14:textId="77777777" w:rsidR="001604AB" w:rsidRPr="001604AB" w:rsidRDefault="001604AB" w:rsidP="001604AB">
            <w:pPr>
              <w:pStyle w:val="TableParagraph"/>
              <w:spacing w:line="234" w:lineRule="exact"/>
              <w:ind w:left="294" w:right="206"/>
              <w:rPr>
                <w:color w:val="000000"/>
              </w:rPr>
            </w:pPr>
            <w:r w:rsidRPr="001604AB">
              <w:rPr>
                <w:color w:val="000000"/>
              </w:rPr>
              <w:t>Rarău - Giumalău</w:t>
            </w:r>
          </w:p>
        </w:tc>
      </w:tr>
      <w:tr w:rsidR="001604AB" w:rsidRPr="00C56257" w14:paraId="4FFA2641" w14:textId="77777777" w:rsidTr="00993B86">
        <w:trPr>
          <w:trHeight w:val="253"/>
        </w:trPr>
        <w:tc>
          <w:tcPr>
            <w:tcW w:w="3262" w:type="dxa"/>
            <w:vMerge/>
            <w:tcBorders>
              <w:top w:val="nil"/>
            </w:tcBorders>
          </w:tcPr>
          <w:p w14:paraId="3419BD0D" w14:textId="77777777" w:rsidR="001604AB" w:rsidRPr="00C56257" w:rsidRDefault="001604AB" w:rsidP="008E33FD">
            <w:pPr>
              <w:jc w:val="both"/>
              <w:rPr>
                <w:color w:val="000000" w:themeColor="text1"/>
              </w:rPr>
            </w:pPr>
          </w:p>
        </w:tc>
        <w:tc>
          <w:tcPr>
            <w:tcW w:w="2136" w:type="dxa"/>
            <w:vAlign w:val="bottom"/>
          </w:tcPr>
          <w:p w14:paraId="5A767E41" w14:textId="77777777" w:rsidR="001604AB" w:rsidRPr="001604AB" w:rsidRDefault="001604AB" w:rsidP="001604AB">
            <w:pPr>
              <w:pStyle w:val="TableParagraph"/>
              <w:spacing w:line="234" w:lineRule="exact"/>
              <w:ind w:left="294"/>
              <w:rPr>
                <w:color w:val="000000"/>
              </w:rPr>
            </w:pPr>
            <w:r w:rsidRPr="001604AB">
              <w:rPr>
                <w:color w:val="000000"/>
              </w:rPr>
              <w:t>ROSCI0226</w:t>
            </w:r>
          </w:p>
        </w:tc>
        <w:tc>
          <w:tcPr>
            <w:tcW w:w="4220" w:type="dxa"/>
            <w:vAlign w:val="bottom"/>
          </w:tcPr>
          <w:p w14:paraId="0ED657FC" w14:textId="77777777" w:rsidR="001604AB" w:rsidRPr="001604AB" w:rsidRDefault="001604AB" w:rsidP="001604AB">
            <w:pPr>
              <w:pStyle w:val="TableParagraph"/>
              <w:spacing w:line="234" w:lineRule="exact"/>
              <w:ind w:left="294" w:right="206"/>
              <w:rPr>
                <w:color w:val="000000"/>
              </w:rPr>
            </w:pPr>
            <w:r w:rsidRPr="001604AB">
              <w:rPr>
                <w:color w:val="000000"/>
              </w:rPr>
              <w:t>Semenic - Cheile Carașului</w:t>
            </w:r>
          </w:p>
        </w:tc>
      </w:tr>
      <w:tr w:rsidR="001604AB" w:rsidRPr="00C56257" w14:paraId="5A209539" w14:textId="77777777" w:rsidTr="00993B86">
        <w:trPr>
          <w:trHeight w:val="251"/>
        </w:trPr>
        <w:tc>
          <w:tcPr>
            <w:tcW w:w="3262" w:type="dxa"/>
            <w:vMerge/>
            <w:tcBorders>
              <w:top w:val="nil"/>
            </w:tcBorders>
          </w:tcPr>
          <w:p w14:paraId="4A9A5EEF" w14:textId="77777777" w:rsidR="001604AB" w:rsidRPr="00C56257" w:rsidRDefault="001604AB" w:rsidP="008E33FD">
            <w:pPr>
              <w:jc w:val="both"/>
              <w:rPr>
                <w:color w:val="000000" w:themeColor="text1"/>
              </w:rPr>
            </w:pPr>
          </w:p>
        </w:tc>
        <w:tc>
          <w:tcPr>
            <w:tcW w:w="2136" w:type="dxa"/>
            <w:vAlign w:val="bottom"/>
          </w:tcPr>
          <w:p w14:paraId="1F38D011"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0235</w:t>
            </w:r>
          </w:p>
        </w:tc>
        <w:tc>
          <w:tcPr>
            <w:tcW w:w="4220" w:type="dxa"/>
            <w:vAlign w:val="bottom"/>
          </w:tcPr>
          <w:p w14:paraId="6192DC76" w14:textId="77777777" w:rsidR="001604AB" w:rsidRPr="001604AB" w:rsidRDefault="001604AB" w:rsidP="001604AB">
            <w:pPr>
              <w:pStyle w:val="TableParagraph"/>
              <w:spacing w:line="234" w:lineRule="exact"/>
              <w:ind w:left="294" w:right="206"/>
              <w:rPr>
                <w:color w:val="000000"/>
              </w:rPr>
            </w:pPr>
            <w:r w:rsidRPr="001604AB">
              <w:rPr>
                <w:color w:val="000000"/>
              </w:rPr>
              <w:t>Stânca Tohani</w:t>
            </w:r>
          </w:p>
        </w:tc>
      </w:tr>
      <w:tr w:rsidR="001604AB" w:rsidRPr="00C56257" w14:paraId="6995879C" w14:textId="77777777" w:rsidTr="00993B86">
        <w:trPr>
          <w:trHeight w:val="253"/>
        </w:trPr>
        <w:tc>
          <w:tcPr>
            <w:tcW w:w="3262" w:type="dxa"/>
            <w:vMerge/>
            <w:tcBorders>
              <w:top w:val="nil"/>
            </w:tcBorders>
          </w:tcPr>
          <w:p w14:paraId="2F099D4D" w14:textId="77777777" w:rsidR="001604AB" w:rsidRPr="00C56257" w:rsidRDefault="001604AB" w:rsidP="008E33FD">
            <w:pPr>
              <w:jc w:val="both"/>
              <w:rPr>
                <w:color w:val="000000" w:themeColor="text1"/>
              </w:rPr>
            </w:pPr>
          </w:p>
        </w:tc>
        <w:tc>
          <w:tcPr>
            <w:tcW w:w="2136" w:type="dxa"/>
            <w:vAlign w:val="bottom"/>
          </w:tcPr>
          <w:p w14:paraId="1EE4548A"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0239</w:t>
            </w:r>
          </w:p>
        </w:tc>
        <w:tc>
          <w:tcPr>
            <w:tcW w:w="4220" w:type="dxa"/>
            <w:vAlign w:val="bottom"/>
          </w:tcPr>
          <w:p w14:paraId="388BE323" w14:textId="77777777" w:rsidR="001604AB" w:rsidRPr="001604AB" w:rsidRDefault="001604AB" w:rsidP="001604AB">
            <w:pPr>
              <w:pStyle w:val="TableParagraph"/>
              <w:spacing w:line="234" w:lineRule="exact"/>
              <w:ind w:left="294" w:right="206"/>
              <w:rPr>
                <w:color w:val="000000"/>
              </w:rPr>
            </w:pPr>
            <w:r w:rsidRPr="001604AB">
              <w:rPr>
                <w:color w:val="000000"/>
              </w:rPr>
              <w:t>Târnovu Mare - Latorița</w:t>
            </w:r>
          </w:p>
        </w:tc>
      </w:tr>
      <w:tr w:rsidR="001604AB" w:rsidRPr="00C56257" w14:paraId="4A577683" w14:textId="77777777" w:rsidTr="00993B86">
        <w:trPr>
          <w:trHeight w:val="254"/>
        </w:trPr>
        <w:tc>
          <w:tcPr>
            <w:tcW w:w="3262" w:type="dxa"/>
            <w:vMerge/>
            <w:tcBorders>
              <w:top w:val="nil"/>
            </w:tcBorders>
          </w:tcPr>
          <w:p w14:paraId="288059F8" w14:textId="77777777" w:rsidR="001604AB" w:rsidRPr="00C56257" w:rsidRDefault="001604AB" w:rsidP="008E33FD">
            <w:pPr>
              <w:jc w:val="both"/>
              <w:rPr>
                <w:color w:val="000000" w:themeColor="text1"/>
              </w:rPr>
            </w:pPr>
          </w:p>
        </w:tc>
        <w:tc>
          <w:tcPr>
            <w:tcW w:w="2136" w:type="dxa"/>
            <w:vAlign w:val="bottom"/>
          </w:tcPr>
          <w:p w14:paraId="5F0840F4" w14:textId="77777777" w:rsidR="001604AB" w:rsidRPr="001604AB" w:rsidRDefault="001604AB" w:rsidP="001604AB">
            <w:pPr>
              <w:pStyle w:val="TableParagraph"/>
              <w:spacing w:line="234" w:lineRule="exact"/>
              <w:ind w:left="294"/>
              <w:rPr>
                <w:color w:val="000000"/>
              </w:rPr>
            </w:pPr>
            <w:r w:rsidRPr="001604AB">
              <w:rPr>
                <w:color w:val="000000"/>
              </w:rPr>
              <w:t>ROSCI0264</w:t>
            </w:r>
          </w:p>
        </w:tc>
        <w:tc>
          <w:tcPr>
            <w:tcW w:w="4220" w:type="dxa"/>
            <w:vAlign w:val="bottom"/>
          </w:tcPr>
          <w:p w14:paraId="5AB0C3E1" w14:textId="77777777" w:rsidR="001604AB" w:rsidRPr="001604AB" w:rsidRDefault="001604AB" w:rsidP="001604AB">
            <w:pPr>
              <w:pStyle w:val="TableParagraph"/>
              <w:spacing w:line="234" w:lineRule="exact"/>
              <w:ind w:left="294" w:right="206"/>
              <w:rPr>
                <w:color w:val="000000"/>
              </w:rPr>
            </w:pPr>
            <w:r w:rsidRPr="001604AB">
              <w:rPr>
                <w:color w:val="000000"/>
              </w:rPr>
              <w:t>Valea Izei și Dealul Solovan</w:t>
            </w:r>
          </w:p>
        </w:tc>
      </w:tr>
      <w:tr w:rsidR="001604AB" w:rsidRPr="00C56257" w14:paraId="0A20B62A" w14:textId="77777777" w:rsidTr="00993B86">
        <w:trPr>
          <w:trHeight w:val="251"/>
        </w:trPr>
        <w:tc>
          <w:tcPr>
            <w:tcW w:w="3262" w:type="dxa"/>
            <w:vMerge/>
            <w:tcBorders>
              <w:top w:val="nil"/>
            </w:tcBorders>
          </w:tcPr>
          <w:p w14:paraId="186A6F63" w14:textId="77777777" w:rsidR="001604AB" w:rsidRPr="00C56257" w:rsidRDefault="001604AB" w:rsidP="008E33FD">
            <w:pPr>
              <w:jc w:val="both"/>
              <w:rPr>
                <w:color w:val="000000" w:themeColor="text1"/>
              </w:rPr>
            </w:pPr>
          </w:p>
        </w:tc>
        <w:tc>
          <w:tcPr>
            <w:tcW w:w="2136" w:type="dxa"/>
            <w:vAlign w:val="bottom"/>
          </w:tcPr>
          <w:p w14:paraId="463FDCBE"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0283</w:t>
            </w:r>
          </w:p>
        </w:tc>
        <w:tc>
          <w:tcPr>
            <w:tcW w:w="4220" w:type="dxa"/>
            <w:vAlign w:val="bottom"/>
          </w:tcPr>
          <w:p w14:paraId="1B042C35" w14:textId="77777777" w:rsidR="001604AB" w:rsidRPr="001604AB" w:rsidRDefault="001604AB" w:rsidP="001604AB">
            <w:pPr>
              <w:pStyle w:val="TableParagraph"/>
              <w:spacing w:line="234" w:lineRule="exact"/>
              <w:ind w:left="294" w:right="206"/>
              <w:rPr>
                <w:color w:val="000000"/>
              </w:rPr>
            </w:pPr>
            <w:r w:rsidRPr="001604AB">
              <w:rPr>
                <w:color w:val="000000"/>
              </w:rPr>
              <w:t>Cheile Doftanei</w:t>
            </w:r>
          </w:p>
        </w:tc>
      </w:tr>
      <w:tr w:rsidR="001604AB" w:rsidRPr="00C56257" w14:paraId="6A335FE5" w14:textId="77777777" w:rsidTr="00993B86">
        <w:trPr>
          <w:trHeight w:val="254"/>
        </w:trPr>
        <w:tc>
          <w:tcPr>
            <w:tcW w:w="3262" w:type="dxa"/>
            <w:vMerge/>
            <w:tcBorders>
              <w:top w:val="nil"/>
            </w:tcBorders>
          </w:tcPr>
          <w:p w14:paraId="23F9129F" w14:textId="77777777" w:rsidR="001604AB" w:rsidRPr="00C56257" w:rsidRDefault="001604AB" w:rsidP="008E33FD">
            <w:pPr>
              <w:jc w:val="both"/>
              <w:rPr>
                <w:color w:val="000000" w:themeColor="text1"/>
              </w:rPr>
            </w:pPr>
          </w:p>
        </w:tc>
        <w:tc>
          <w:tcPr>
            <w:tcW w:w="2136" w:type="dxa"/>
            <w:vAlign w:val="bottom"/>
          </w:tcPr>
          <w:p w14:paraId="254C1B6E"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0304</w:t>
            </w:r>
          </w:p>
        </w:tc>
        <w:tc>
          <w:tcPr>
            <w:tcW w:w="4220" w:type="dxa"/>
            <w:vAlign w:val="bottom"/>
          </w:tcPr>
          <w:p w14:paraId="73C5113E" w14:textId="77777777" w:rsidR="001604AB" w:rsidRPr="001604AB" w:rsidRDefault="001604AB" w:rsidP="001604AB">
            <w:pPr>
              <w:pStyle w:val="TableParagraph"/>
              <w:spacing w:line="234" w:lineRule="exact"/>
              <w:ind w:left="294" w:right="206"/>
              <w:rPr>
                <w:color w:val="000000"/>
              </w:rPr>
            </w:pPr>
            <w:r w:rsidRPr="001604AB">
              <w:rPr>
                <w:color w:val="000000"/>
              </w:rPr>
              <w:t>Hârtibaciu Sud - Vest</w:t>
            </w:r>
          </w:p>
        </w:tc>
      </w:tr>
      <w:tr w:rsidR="001604AB" w:rsidRPr="00C56257" w14:paraId="1545AC6A" w14:textId="77777777" w:rsidTr="00993B86">
        <w:trPr>
          <w:trHeight w:val="251"/>
        </w:trPr>
        <w:tc>
          <w:tcPr>
            <w:tcW w:w="3262" w:type="dxa"/>
            <w:vMerge/>
            <w:tcBorders>
              <w:top w:val="nil"/>
            </w:tcBorders>
          </w:tcPr>
          <w:p w14:paraId="4FF2D571" w14:textId="77777777" w:rsidR="001604AB" w:rsidRPr="00C56257" w:rsidRDefault="001604AB" w:rsidP="008E33FD">
            <w:pPr>
              <w:jc w:val="both"/>
              <w:rPr>
                <w:color w:val="000000" w:themeColor="text1"/>
              </w:rPr>
            </w:pPr>
          </w:p>
        </w:tc>
        <w:tc>
          <w:tcPr>
            <w:tcW w:w="2136" w:type="dxa"/>
            <w:vAlign w:val="bottom"/>
          </w:tcPr>
          <w:p w14:paraId="31F3368E"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0322</w:t>
            </w:r>
          </w:p>
        </w:tc>
        <w:tc>
          <w:tcPr>
            <w:tcW w:w="4220" w:type="dxa"/>
            <w:vAlign w:val="bottom"/>
          </w:tcPr>
          <w:p w14:paraId="5A80ABA5" w14:textId="77777777" w:rsidR="001604AB" w:rsidRPr="001604AB" w:rsidRDefault="001604AB" w:rsidP="001604AB">
            <w:pPr>
              <w:pStyle w:val="TableParagraph"/>
              <w:spacing w:line="234" w:lineRule="exact"/>
              <w:ind w:left="294" w:right="206"/>
              <w:rPr>
                <w:color w:val="000000"/>
              </w:rPr>
            </w:pPr>
            <w:r w:rsidRPr="001604AB">
              <w:rPr>
                <w:color w:val="000000"/>
              </w:rPr>
              <w:t>Muntele Șes</w:t>
            </w:r>
          </w:p>
        </w:tc>
      </w:tr>
      <w:tr w:rsidR="001604AB" w:rsidRPr="00C56257" w14:paraId="52C2399D" w14:textId="77777777" w:rsidTr="00993B86">
        <w:trPr>
          <w:trHeight w:val="253"/>
        </w:trPr>
        <w:tc>
          <w:tcPr>
            <w:tcW w:w="3262" w:type="dxa"/>
            <w:vMerge w:val="restart"/>
          </w:tcPr>
          <w:p w14:paraId="2CF41F53" w14:textId="77777777" w:rsidR="001604AB" w:rsidRPr="00C56257" w:rsidRDefault="001604AB" w:rsidP="008E33FD">
            <w:pPr>
              <w:pStyle w:val="TableParagraph"/>
              <w:tabs>
                <w:tab w:val="left" w:pos="767"/>
              </w:tabs>
              <w:spacing w:line="242" w:lineRule="auto"/>
              <w:ind w:right="36"/>
              <w:jc w:val="both"/>
              <w:rPr>
                <w:color w:val="000000" w:themeColor="text1"/>
                <w:sz w:val="24"/>
                <w:szCs w:val="24"/>
              </w:rPr>
            </w:pPr>
            <w:r w:rsidRPr="00C56257">
              <w:rPr>
                <w:color w:val="000000" w:themeColor="text1"/>
                <w:sz w:val="24"/>
                <w:szCs w:val="24"/>
              </w:rPr>
              <w:t>8220</w:t>
            </w:r>
            <w:r w:rsidRPr="00C56257">
              <w:rPr>
                <w:color w:val="000000" w:themeColor="text1"/>
                <w:sz w:val="24"/>
                <w:szCs w:val="24"/>
              </w:rPr>
              <w:tab/>
              <w:t>Versanți stancoși cu vegetație chasmofitică pe</w:t>
            </w:r>
            <w:r w:rsidRPr="00C56257">
              <w:rPr>
                <w:color w:val="000000" w:themeColor="text1"/>
                <w:spacing w:val="-52"/>
                <w:sz w:val="24"/>
                <w:szCs w:val="24"/>
              </w:rPr>
              <w:t xml:space="preserve"> </w:t>
            </w:r>
            <w:r w:rsidRPr="00C56257">
              <w:rPr>
                <w:color w:val="000000" w:themeColor="text1"/>
                <w:sz w:val="24"/>
                <w:szCs w:val="24"/>
              </w:rPr>
              <w:t>roci</w:t>
            </w:r>
            <w:r w:rsidRPr="00C56257">
              <w:rPr>
                <w:color w:val="000000" w:themeColor="text1"/>
                <w:spacing w:val="-2"/>
                <w:sz w:val="24"/>
                <w:szCs w:val="24"/>
              </w:rPr>
              <w:t xml:space="preserve"> </w:t>
            </w:r>
            <w:r w:rsidRPr="00C56257">
              <w:rPr>
                <w:color w:val="000000" w:themeColor="text1"/>
                <w:sz w:val="24"/>
                <w:szCs w:val="24"/>
              </w:rPr>
              <w:t>silicioase</w:t>
            </w:r>
          </w:p>
        </w:tc>
        <w:tc>
          <w:tcPr>
            <w:tcW w:w="2136" w:type="dxa"/>
            <w:vAlign w:val="bottom"/>
          </w:tcPr>
          <w:p w14:paraId="2C626B33" w14:textId="77777777" w:rsidR="001604AB" w:rsidRPr="001604AB" w:rsidRDefault="001604AB" w:rsidP="001604AB">
            <w:pPr>
              <w:pStyle w:val="TableParagraph"/>
              <w:spacing w:line="234" w:lineRule="exact"/>
              <w:ind w:left="294"/>
              <w:rPr>
                <w:color w:val="000000"/>
              </w:rPr>
            </w:pPr>
            <w:r w:rsidRPr="001604AB">
              <w:rPr>
                <w:color w:val="000000"/>
              </w:rPr>
              <w:t>ROSCI0002</w:t>
            </w:r>
          </w:p>
        </w:tc>
        <w:tc>
          <w:tcPr>
            <w:tcW w:w="4220" w:type="dxa"/>
            <w:vAlign w:val="bottom"/>
          </w:tcPr>
          <w:p w14:paraId="56B75845" w14:textId="77777777" w:rsidR="001604AB" w:rsidRPr="001604AB" w:rsidRDefault="001604AB" w:rsidP="001604AB">
            <w:pPr>
              <w:pStyle w:val="TableParagraph"/>
              <w:spacing w:line="234" w:lineRule="exact"/>
              <w:ind w:left="294" w:right="205"/>
              <w:rPr>
                <w:color w:val="000000"/>
              </w:rPr>
            </w:pPr>
            <w:r w:rsidRPr="001604AB">
              <w:rPr>
                <w:color w:val="000000"/>
              </w:rPr>
              <w:t>Apuseni</w:t>
            </w:r>
          </w:p>
        </w:tc>
      </w:tr>
      <w:tr w:rsidR="001604AB" w:rsidRPr="00C56257" w14:paraId="6668B5C6" w14:textId="77777777" w:rsidTr="00993B86">
        <w:trPr>
          <w:trHeight w:val="251"/>
        </w:trPr>
        <w:tc>
          <w:tcPr>
            <w:tcW w:w="3262" w:type="dxa"/>
            <w:vMerge/>
            <w:tcBorders>
              <w:top w:val="nil"/>
            </w:tcBorders>
          </w:tcPr>
          <w:p w14:paraId="0029211E" w14:textId="77777777" w:rsidR="001604AB" w:rsidRPr="00C56257" w:rsidRDefault="001604AB" w:rsidP="008E33FD">
            <w:pPr>
              <w:jc w:val="both"/>
              <w:rPr>
                <w:color w:val="000000" w:themeColor="text1"/>
              </w:rPr>
            </w:pPr>
          </w:p>
        </w:tc>
        <w:tc>
          <w:tcPr>
            <w:tcW w:w="2136" w:type="dxa"/>
            <w:vAlign w:val="bottom"/>
          </w:tcPr>
          <w:p w14:paraId="44E830A6" w14:textId="77777777" w:rsidR="001604AB" w:rsidRPr="001604AB" w:rsidRDefault="001604AB" w:rsidP="001604AB">
            <w:pPr>
              <w:pStyle w:val="TableParagraph"/>
              <w:spacing w:line="234" w:lineRule="exact"/>
              <w:ind w:left="294"/>
              <w:rPr>
                <w:color w:val="000000"/>
              </w:rPr>
            </w:pPr>
            <w:r w:rsidRPr="001604AB">
              <w:rPr>
                <w:color w:val="000000"/>
              </w:rPr>
              <w:t>ROSCI0019</w:t>
            </w:r>
          </w:p>
        </w:tc>
        <w:tc>
          <w:tcPr>
            <w:tcW w:w="4220" w:type="dxa"/>
            <w:vAlign w:val="bottom"/>
          </w:tcPr>
          <w:p w14:paraId="1A9F255A" w14:textId="77777777" w:rsidR="001604AB" w:rsidRPr="001604AB" w:rsidRDefault="001604AB" w:rsidP="001604AB">
            <w:pPr>
              <w:pStyle w:val="TableParagraph"/>
              <w:spacing w:line="234" w:lineRule="exact"/>
              <w:ind w:left="294" w:right="204"/>
              <w:rPr>
                <w:color w:val="000000"/>
              </w:rPr>
            </w:pPr>
            <w:r w:rsidRPr="001604AB">
              <w:rPr>
                <w:color w:val="000000"/>
              </w:rPr>
              <w:t>Călimani - Gurghiu</w:t>
            </w:r>
          </w:p>
        </w:tc>
      </w:tr>
      <w:tr w:rsidR="001604AB" w:rsidRPr="00C56257" w14:paraId="4EDFF218" w14:textId="77777777" w:rsidTr="00993B86">
        <w:trPr>
          <w:trHeight w:val="254"/>
        </w:trPr>
        <w:tc>
          <w:tcPr>
            <w:tcW w:w="3262" w:type="dxa"/>
            <w:vMerge/>
            <w:tcBorders>
              <w:top w:val="nil"/>
            </w:tcBorders>
          </w:tcPr>
          <w:p w14:paraId="5A126317" w14:textId="77777777" w:rsidR="001604AB" w:rsidRPr="00C56257" w:rsidRDefault="001604AB" w:rsidP="008E33FD">
            <w:pPr>
              <w:jc w:val="both"/>
              <w:rPr>
                <w:color w:val="000000" w:themeColor="text1"/>
              </w:rPr>
            </w:pPr>
          </w:p>
        </w:tc>
        <w:tc>
          <w:tcPr>
            <w:tcW w:w="2136" w:type="dxa"/>
            <w:vAlign w:val="bottom"/>
          </w:tcPr>
          <w:p w14:paraId="0E70545B" w14:textId="77777777" w:rsidR="001604AB" w:rsidRPr="001604AB" w:rsidRDefault="001604AB" w:rsidP="001604AB">
            <w:pPr>
              <w:pStyle w:val="TableParagraph"/>
              <w:spacing w:line="234" w:lineRule="exact"/>
              <w:ind w:left="294"/>
              <w:rPr>
                <w:color w:val="000000"/>
              </w:rPr>
            </w:pPr>
            <w:r w:rsidRPr="001604AB">
              <w:rPr>
                <w:color w:val="000000"/>
              </w:rPr>
              <w:t>ROSCI0042</w:t>
            </w:r>
          </w:p>
        </w:tc>
        <w:tc>
          <w:tcPr>
            <w:tcW w:w="4220" w:type="dxa"/>
            <w:vAlign w:val="bottom"/>
          </w:tcPr>
          <w:p w14:paraId="0660E939" w14:textId="77777777" w:rsidR="001604AB" w:rsidRPr="001604AB" w:rsidRDefault="001604AB" w:rsidP="001604AB">
            <w:pPr>
              <w:pStyle w:val="TableParagraph"/>
              <w:spacing w:line="234" w:lineRule="exact"/>
              <w:ind w:left="294" w:right="205"/>
              <w:rPr>
                <w:color w:val="000000"/>
              </w:rPr>
            </w:pPr>
            <w:r w:rsidRPr="001604AB">
              <w:rPr>
                <w:color w:val="000000"/>
              </w:rPr>
              <w:t>Codru Moma</w:t>
            </w:r>
          </w:p>
        </w:tc>
      </w:tr>
      <w:tr w:rsidR="001604AB" w:rsidRPr="00C56257" w14:paraId="25EC29E3" w14:textId="77777777" w:rsidTr="00993B86">
        <w:trPr>
          <w:trHeight w:val="251"/>
        </w:trPr>
        <w:tc>
          <w:tcPr>
            <w:tcW w:w="3262" w:type="dxa"/>
            <w:vMerge/>
            <w:tcBorders>
              <w:top w:val="nil"/>
            </w:tcBorders>
          </w:tcPr>
          <w:p w14:paraId="00575A04" w14:textId="77777777" w:rsidR="001604AB" w:rsidRPr="00C56257" w:rsidRDefault="001604AB" w:rsidP="008E33FD">
            <w:pPr>
              <w:jc w:val="both"/>
              <w:rPr>
                <w:color w:val="000000" w:themeColor="text1"/>
              </w:rPr>
            </w:pPr>
          </w:p>
        </w:tc>
        <w:tc>
          <w:tcPr>
            <w:tcW w:w="2136" w:type="dxa"/>
            <w:vAlign w:val="bottom"/>
          </w:tcPr>
          <w:p w14:paraId="3224F005"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0046</w:t>
            </w:r>
          </w:p>
        </w:tc>
        <w:tc>
          <w:tcPr>
            <w:tcW w:w="4220" w:type="dxa"/>
            <w:vAlign w:val="bottom"/>
          </w:tcPr>
          <w:p w14:paraId="4E18BBDF" w14:textId="77777777" w:rsidR="001604AB" w:rsidRPr="001604AB" w:rsidRDefault="001604AB" w:rsidP="001604AB">
            <w:pPr>
              <w:pStyle w:val="TableParagraph"/>
              <w:spacing w:line="234" w:lineRule="exact"/>
              <w:ind w:left="294" w:right="206"/>
              <w:rPr>
                <w:color w:val="000000"/>
              </w:rPr>
            </w:pPr>
            <w:r w:rsidRPr="001604AB">
              <w:rPr>
                <w:color w:val="000000"/>
              </w:rPr>
              <w:t>Cozia</w:t>
            </w:r>
          </w:p>
        </w:tc>
      </w:tr>
      <w:tr w:rsidR="001604AB" w:rsidRPr="00C56257" w14:paraId="05B7759A" w14:textId="77777777" w:rsidTr="00993B86">
        <w:trPr>
          <w:trHeight w:val="253"/>
        </w:trPr>
        <w:tc>
          <w:tcPr>
            <w:tcW w:w="3262" w:type="dxa"/>
            <w:vMerge/>
            <w:tcBorders>
              <w:top w:val="nil"/>
            </w:tcBorders>
          </w:tcPr>
          <w:p w14:paraId="700FB511" w14:textId="77777777" w:rsidR="001604AB" w:rsidRPr="00C56257" w:rsidRDefault="001604AB" w:rsidP="008E33FD">
            <w:pPr>
              <w:jc w:val="both"/>
              <w:rPr>
                <w:color w:val="000000" w:themeColor="text1"/>
              </w:rPr>
            </w:pPr>
          </w:p>
        </w:tc>
        <w:tc>
          <w:tcPr>
            <w:tcW w:w="2136" w:type="dxa"/>
            <w:vAlign w:val="bottom"/>
          </w:tcPr>
          <w:p w14:paraId="25A23195" w14:textId="77777777" w:rsidR="001604AB" w:rsidRPr="001604AB" w:rsidRDefault="00813885" w:rsidP="00813885">
            <w:pPr>
              <w:pStyle w:val="TableParagraph"/>
              <w:spacing w:line="234" w:lineRule="exact"/>
              <w:ind w:left="294"/>
              <w:rPr>
                <w:color w:val="000000"/>
              </w:rPr>
            </w:pPr>
            <w:r>
              <w:rPr>
                <w:color w:val="000000"/>
              </w:rPr>
              <w:t>ROSAC</w:t>
            </w:r>
            <w:r w:rsidR="001604AB" w:rsidRPr="001604AB">
              <w:rPr>
                <w:color w:val="000000"/>
              </w:rPr>
              <w:t>0062</w:t>
            </w:r>
          </w:p>
        </w:tc>
        <w:tc>
          <w:tcPr>
            <w:tcW w:w="4220" w:type="dxa"/>
            <w:vAlign w:val="bottom"/>
          </w:tcPr>
          <w:p w14:paraId="5A54E3E4" w14:textId="77777777" w:rsidR="001604AB" w:rsidRPr="001604AB" w:rsidRDefault="001604AB" w:rsidP="001604AB">
            <w:pPr>
              <w:pStyle w:val="TableParagraph"/>
              <w:spacing w:line="234" w:lineRule="exact"/>
              <w:ind w:left="294" w:right="204"/>
              <w:rPr>
                <w:color w:val="000000"/>
              </w:rPr>
            </w:pPr>
            <w:r w:rsidRPr="001604AB">
              <w:rPr>
                <w:color w:val="000000"/>
              </w:rPr>
              <w:t>Defileul Crișului Repede - Pădurea Craiului</w:t>
            </w:r>
          </w:p>
        </w:tc>
      </w:tr>
      <w:tr w:rsidR="001604AB" w:rsidRPr="00C56257" w14:paraId="57DDED6A" w14:textId="77777777" w:rsidTr="00993B86">
        <w:trPr>
          <w:trHeight w:val="254"/>
        </w:trPr>
        <w:tc>
          <w:tcPr>
            <w:tcW w:w="3262" w:type="dxa"/>
            <w:vMerge/>
            <w:tcBorders>
              <w:top w:val="nil"/>
            </w:tcBorders>
          </w:tcPr>
          <w:p w14:paraId="6A274B44" w14:textId="77777777" w:rsidR="001604AB" w:rsidRPr="00C56257" w:rsidRDefault="001604AB" w:rsidP="008E33FD">
            <w:pPr>
              <w:jc w:val="both"/>
              <w:rPr>
                <w:color w:val="000000" w:themeColor="text1"/>
              </w:rPr>
            </w:pPr>
          </w:p>
        </w:tc>
        <w:tc>
          <w:tcPr>
            <w:tcW w:w="2136" w:type="dxa"/>
            <w:vAlign w:val="bottom"/>
          </w:tcPr>
          <w:p w14:paraId="007F63FF" w14:textId="77777777" w:rsidR="001604AB" w:rsidRPr="001604AB" w:rsidRDefault="001604AB" w:rsidP="001604AB">
            <w:pPr>
              <w:pStyle w:val="TableParagraph"/>
              <w:spacing w:line="234" w:lineRule="exact"/>
              <w:ind w:left="294"/>
              <w:rPr>
                <w:color w:val="000000"/>
              </w:rPr>
            </w:pPr>
            <w:r w:rsidRPr="001604AB">
              <w:rPr>
                <w:color w:val="000000"/>
              </w:rPr>
              <w:t>ROSCI0063</w:t>
            </w:r>
          </w:p>
        </w:tc>
        <w:tc>
          <w:tcPr>
            <w:tcW w:w="4220" w:type="dxa"/>
            <w:vAlign w:val="bottom"/>
          </w:tcPr>
          <w:p w14:paraId="322BDD84" w14:textId="77777777" w:rsidR="001604AB" w:rsidRPr="001604AB" w:rsidRDefault="001604AB" w:rsidP="001604AB">
            <w:pPr>
              <w:pStyle w:val="TableParagraph"/>
              <w:spacing w:line="234" w:lineRule="exact"/>
              <w:ind w:left="294" w:right="206"/>
              <w:rPr>
                <w:color w:val="000000"/>
              </w:rPr>
            </w:pPr>
            <w:r w:rsidRPr="001604AB">
              <w:rPr>
                <w:color w:val="000000"/>
              </w:rPr>
              <w:t>Defileul Jiului</w:t>
            </w:r>
          </w:p>
        </w:tc>
      </w:tr>
      <w:tr w:rsidR="001604AB" w:rsidRPr="00C56257" w14:paraId="463B696A" w14:textId="77777777" w:rsidTr="00993B86">
        <w:trPr>
          <w:trHeight w:val="251"/>
        </w:trPr>
        <w:tc>
          <w:tcPr>
            <w:tcW w:w="3262" w:type="dxa"/>
            <w:vMerge/>
            <w:tcBorders>
              <w:top w:val="nil"/>
            </w:tcBorders>
          </w:tcPr>
          <w:p w14:paraId="77E9E664" w14:textId="77777777" w:rsidR="001604AB" w:rsidRPr="00C56257" w:rsidRDefault="001604AB" w:rsidP="008E33FD">
            <w:pPr>
              <w:jc w:val="both"/>
              <w:rPr>
                <w:color w:val="000000" w:themeColor="text1"/>
              </w:rPr>
            </w:pPr>
          </w:p>
        </w:tc>
        <w:tc>
          <w:tcPr>
            <w:tcW w:w="2136" w:type="dxa"/>
            <w:vAlign w:val="bottom"/>
          </w:tcPr>
          <w:p w14:paraId="63387B9E" w14:textId="77777777" w:rsidR="001604AB" w:rsidRPr="001604AB" w:rsidRDefault="000521DB" w:rsidP="001604AB">
            <w:pPr>
              <w:pStyle w:val="TableParagraph"/>
              <w:spacing w:line="234" w:lineRule="exact"/>
              <w:ind w:left="294"/>
              <w:rPr>
                <w:color w:val="000000"/>
              </w:rPr>
            </w:pPr>
            <w:r>
              <w:rPr>
                <w:color w:val="000000"/>
              </w:rPr>
              <w:t>ROSAC0069</w:t>
            </w:r>
          </w:p>
        </w:tc>
        <w:tc>
          <w:tcPr>
            <w:tcW w:w="4220" w:type="dxa"/>
            <w:vAlign w:val="bottom"/>
          </w:tcPr>
          <w:p w14:paraId="08EB4ED1" w14:textId="77777777" w:rsidR="001604AB" w:rsidRPr="001604AB" w:rsidRDefault="001604AB" w:rsidP="001604AB">
            <w:pPr>
              <w:pStyle w:val="TableParagraph"/>
              <w:spacing w:line="234" w:lineRule="exact"/>
              <w:ind w:left="294" w:right="206"/>
              <w:rPr>
                <w:color w:val="000000"/>
              </w:rPr>
            </w:pPr>
            <w:r w:rsidRPr="001604AB">
              <w:rPr>
                <w:color w:val="000000"/>
              </w:rPr>
              <w:t>Domogled - Valea Cernei</w:t>
            </w:r>
          </w:p>
        </w:tc>
      </w:tr>
      <w:tr w:rsidR="001604AB" w:rsidRPr="00C56257" w14:paraId="786DB0C9" w14:textId="77777777" w:rsidTr="00993B86">
        <w:trPr>
          <w:trHeight w:val="254"/>
        </w:trPr>
        <w:tc>
          <w:tcPr>
            <w:tcW w:w="3262" w:type="dxa"/>
            <w:vMerge/>
            <w:tcBorders>
              <w:top w:val="nil"/>
            </w:tcBorders>
          </w:tcPr>
          <w:p w14:paraId="7047D7E7" w14:textId="77777777" w:rsidR="001604AB" w:rsidRPr="00C56257" w:rsidRDefault="001604AB" w:rsidP="008E33FD">
            <w:pPr>
              <w:jc w:val="both"/>
              <w:rPr>
                <w:color w:val="000000" w:themeColor="text1"/>
              </w:rPr>
            </w:pPr>
          </w:p>
        </w:tc>
        <w:tc>
          <w:tcPr>
            <w:tcW w:w="2136" w:type="dxa"/>
            <w:vAlign w:val="bottom"/>
          </w:tcPr>
          <w:p w14:paraId="0F32B54D"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0085</w:t>
            </w:r>
          </w:p>
        </w:tc>
        <w:tc>
          <w:tcPr>
            <w:tcW w:w="4220" w:type="dxa"/>
            <w:vAlign w:val="bottom"/>
          </w:tcPr>
          <w:p w14:paraId="27621288" w14:textId="77777777" w:rsidR="001604AB" w:rsidRPr="001604AB" w:rsidRDefault="001604AB" w:rsidP="001604AB">
            <w:pPr>
              <w:pStyle w:val="TableParagraph"/>
              <w:spacing w:line="234" w:lineRule="exact"/>
              <w:ind w:left="294" w:right="206"/>
              <w:rPr>
                <w:color w:val="000000"/>
              </w:rPr>
            </w:pPr>
            <w:r w:rsidRPr="001604AB">
              <w:rPr>
                <w:color w:val="000000"/>
              </w:rPr>
              <w:t>Frumoasa</w:t>
            </w:r>
          </w:p>
        </w:tc>
      </w:tr>
      <w:tr w:rsidR="001604AB" w:rsidRPr="00C56257" w14:paraId="286F6E4A" w14:textId="77777777" w:rsidTr="00993B86">
        <w:trPr>
          <w:trHeight w:val="251"/>
        </w:trPr>
        <w:tc>
          <w:tcPr>
            <w:tcW w:w="3262" w:type="dxa"/>
            <w:vMerge/>
            <w:tcBorders>
              <w:top w:val="nil"/>
            </w:tcBorders>
          </w:tcPr>
          <w:p w14:paraId="232416DE" w14:textId="77777777" w:rsidR="001604AB" w:rsidRPr="00C56257" w:rsidRDefault="001604AB" w:rsidP="008E33FD">
            <w:pPr>
              <w:jc w:val="both"/>
              <w:rPr>
                <w:color w:val="000000" w:themeColor="text1"/>
              </w:rPr>
            </w:pPr>
          </w:p>
        </w:tc>
        <w:tc>
          <w:tcPr>
            <w:tcW w:w="2136" w:type="dxa"/>
            <w:vAlign w:val="bottom"/>
          </w:tcPr>
          <w:p w14:paraId="3A8E0243"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0122</w:t>
            </w:r>
          </w:p>
        </w:tc>
        <w:tc>
          <w:tcPr>
            <w:tcW w:w="4220" w:type="dxa"/>
            <w:vAlign w:val="bottom"/>
          </w:tcPr>
          <w:p w14:paraId="74F9A658" w14:textId="77777777" w:rsidR="001604AB" w:rsidRPr="001604AB" w:rsidRDefault="001604AB" w:rsidP="001604AB">
            <w:pPr>
              <w:pStyle w:val="TableParagraph"/>
              <w:spacing w:line="234" w:lineRule="exact"/>
              <w:ind w:left="294" w:right="206"/>
              <w:rPr>
                <w:color w:val="000000"/>
              </w:rPr>
            </w:pPr>
            <w:r w:rsidRPr="001604AB">
              <w:rPr>
                <w:color w:val="000000"/>
              </w:rPr>
              <w:t>Munții Făgăraș</w:t>
            </w:r>
          </w:p>
        </w:tc>
      </w:tr>
      <w:tr w:rsidR="001604AB" w:rsidRPr="00C56257" w14:paraId="00B7FA99" w14:textId="77777777" w:rsidTr="00993B86">
        <w:trPr>
          <w:trHeight w:val="254"/>
        </w:trPr>
        <w:tc>
          <w:tcPr>
            <w:tcW w:w="3262" w:type="dxa"/>
            <w:vMerge/>
            <w:tcBorders>
              <w:top w:val="nil"/>
            </w:tcBorders>
          </w:tcPr>
          <w:p w14:paraId="55E6CB26" w14:textId="77777777" w:rsidR="001604AB" w:rsidRPr="00C56257" w:rsidRDefault="001604AB" w:rsidP="008E33FD">
            <w:pPr>
              <w:jc w:val="both"/>
              <w:rPr>
                <w:color w:val="000000" w:themeColor="text1"/>
              </w:rPr>
            </w:pPr>
          </w:p>
        </w:tc>
        <w:tc>
          <w:tcPr>
            <w:tcW w:w="2136" w:type="dxa"/>
            <w:vAlign w:val="bottom"/>
          </w:tcPr>
          <w:p w14:paraId="120C4879"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0124</w:t>
            </w:r>
          </w:p>
        </w:tc>
        <w:tc>
          <w:tcPr>
            <w:tcW w:w="4220" w:type="dxa"/>
            <w:vAlign w:val="bottom"/>
          </w:tcPr>
          <w:p w14:paraId="7C45115C" w14:textId="77777777" w:rsidR="001604AB" w:rsidRPr="001604AB" w:rsidRDefault="001604AB" w:rsidP="001604AB">
            <w:pPr>
              <w:pStyle w:val="TableParagraph"/>
              <w:spacing w:line="234" w:lineRule="exact"/>
              <w:ind w:left="294" w:right="206"/>
              <w:rPr>
                <w:color w:val="000000"/>
              </w:rPr>
            </w:pPr>
            <w:r w:rsidRPr="001604AB">
              <w:rPr>
                <w:color w:val="000000"/>
              </w:rPr>
              <w:t>Munții Maramureșului</w:t>
            </w:r>
          </w:p>
        </w:tc>
      </w:tr>
      <w:tr w:rsidR="001604AB" w:rsidRPr="00C56257" w14:paraId="3FC4DA07" w14:textId="77777777" w:rsidTr="00993B86">
        <w:trPr>
          <w:trHeight w:val="254"/>
        </w:trPr>
        <w:tc>
          <w:tcPr>
            <w:tcW w:w="3262" w:type="dxa"/>
            <w:vMerge/>
            <w:tcBorders>
              <w:top w:val="nil"/>
            </w:tcBorders>
          </w:tcPr>
          <w:p w14:paraId="2D1582F2" w14:textId="77777777" w:rsidR="001604AB" w:rsidRPr="00C56257" w:rsidRDefault="001604AB" w:rsidP="008E33FD">
            <w:pPr>
              <w:jc w:val="both"/>
              <w:rPr>
                <w:color w:val="000000" w:themeColor="text1"/>
              </w:rPr>
            </w:pPr>
          </w:p>
        </w:tc>
        <w:tc>
          <w:tcPr>
            <w:tcW w:w="2136" w:type="dxa"/>
            <w:vAlign w:val="bottom"/>
          </w:tcPr>
          <w:p w14:paraId="2D4D3CB5" w14:textId="77777777" w:rsidR="001604AB" w:rsidRPr="001604AB" w:rsidRDefault="001604AB" w:rsidP="001604AB">
            <w:pPr>
              <w:pStyle w:val="TableParagraph"/>
              <w:spacing w:line="234" w:lineRule="exact"/>
              <w:ind w:left="294"/>
              <w:rPr>
                <w:color w:val="000000"/>
              </w:rPr>
            </w:pPr>
            <w:r w:rsidRPr="001604AB">
              <w:rPr>
                <w:color w:val="000000"/>
              </w:rPr>
              <w:t>ROSCI0125</w:t>
            </w:r>
          </w:p>
        </w:tc>
        <w:tc>
          <w:tcPr>
            <w:tcW w:w="4220" w:type="dxa"/>
            <w:vAlign w:val="bottom"/>
          </w:tcPr>
          <w:p w14:paraId="071EB2FA" w14:textId="77777777" w:rsidR="001604AB" w:rsidRPr="001604AB" w:rsidRDefault="001604AB" w:rsidP="001604AB">
            <w:pPr>
              <w:pStyle w:val="TableParagraph"/>
              <w:spacing w:line="234" w:lineRule="exact"/>
              <w:ind w:left="294" w:right="206"/>
              <w:rPr>
                <w:color w:val="000000"/>
              </w:rPr>
            </w:pPr>
            <w:r w:rsidRPr="001604AB">
              <w:rPr>
                <w:color w:val="000000"/>
              </w:rPr>
              <w:t>Munții Rodnei</w:t>
            </w:r>
          </w:p>
        </w:tc>
      </w:tr>
      <w:tr w:rsidR="001604AB" w:rsidRPr="00C56257" w14:paraId="63298528" w14:textId="77777777" w:rsidTr="00993B86">
        <w:trPr>
          <w:trHeight w:val="251"/>
        </w:trPr>
        <w:tc>
          <w:tcPr>
            <w:tcW w:w="3262" w:type="dxa"/>
            <w:vMerge/>
            <w:tcBorders>
              <w:top w:val="nil"/>
            </w:tcBorders>
          </w:tcPr>
          <w:p w14:paraId="7DED1F62" w14:textId="77777777" w:rsidR="001604AB" w:rsidRPr="00C56257" w:rsidRDefault="001604AB" w:rsidP="008E33FD">
            <w:pPr>
              <w:jc w:val="both"/>
              <w:rPr>
                <w:color w:val="000000" w:themeColor="text1"/>
              </w:rPr>
            </w:pPr>
          </w:p>
        </w:tc>
        <w:tc>
          <w:tcPr>
            <w:tcW w:w="2136" w:type="dxa"/>
            <w:vAlign w:val="bottom"/>
          </w:tcPr>
          <w:p w14:paraId="0CD9FD39" w14:textId="77777777" w:rsidR="001604AB" w:rsidRPr="001604AB" w:rsidRDefault="001604AB" w:rsidP="001604AB">
            <w:pPr>
              <w:pStyle w:val="TableParagraph"/>
              <w:spacing w:line="234" w:lineRule="exact"/>
              <w:ind w:left="294"/>
              <w:rPr>
                <w:color w:val="000000"/>
              </w:rPr>
            </w:pPr>
            <w:r w:rsidRPr="001604AB">
              <w:rPr>
                <w:color w:val="000000"/>
              </w:rPr>
              <w:t>ROSCI0126</w:t>
            </w:r>
          </w:p>
        </w:tc>
        <w:tc>
          <w:tcPr>
            <w:tcW w:w="4220" w:type="dxa"/>
            <w:vAlign w:val="bottom"/>
          </w:tcPr>
          <w:p w14:paraId="21D428AF" w14:textId="77777777" w:rsidR="001604AB" w:rsidRPr="001604AB" w:rsidRDefault="001604AB" w:rsidP="001604AB">
            <w:pPr>
              <w:pStyle w:val="TableParagraph"/>
              <w:spacing w:line="234" w:lineRule="exact"/>
              <w:ind w:left="294" w:right="206"/>
              <w:rPr>
                <w:color w:val="000000"/>
              </w:rPr>
            </w:pPr>
            <w:r w:rsidRPr="001604AB">
              <w:rPr>
                <w:color w:val="000000"/>
              </w:rPr>
              <w:t>Munții Țarcu</w:t>
            </w:r>
          </w:p>
        </w:tc>
      </w:tr>
      <w:tr w:rsidR="001604AB" w:rsidRPr="00C56257" w14:paraId="3479F9B9" w14:textId="77777777" w:rsidTr="00993B86">
        <w:trPr>
          <w:trHeight w:val="254"/>
        </w:trPr>
        <w:tc>
          <w:tcPr>
            <w:tcW w:w="3262" w:type="dxa"/>
            <w:vMerge/>
            <w:tcBorders>
              <w:top w:val="nil"/>
            </w:tcBorders>
          </w:tcPr>
          <w:p w14:paraId="4AE64997" w14:textId="77777777" w:rsidR="001604AB" w:rsidRPr="00C56257" w:rsidRDefault="001604AB" w:rsidP="008E33FD">
            <w:pPr>
              <w:jc w:val="both"/>
              <w:rPr>
                <w:color w:val="000000" w:themeColor="text1"/>
              </w:rPr>
            </w:pPr>
          </w:p>
        </w:tc>
        <w:tc>
          <w:tcPr>
            <w:tcW w:w="2136" w:type="dxa"/>
            <w:vAlign w:val="bottom"/>
          </w:tcPr>
          <w:p w14:paraId="7FA1FB92"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0188</w:t>
            </w:r>
          </w:p>
        </w:tc>
        <w:tc>
          <w:tcPr>
            <w:tcW w:w="4220" w:type="dxa"/>
            <w:vAlign w:val="bottom"/>
          </w:tcPr>
          <w:p w14:paraId="043D0874" w14:textId="77777777" w:rsidR="001604AB" w:rsidRPr="001604AB" w:rsidRDefault="001604AB" w:rsidP="001604AB">
            <w:pPr>
              <w:pStyle w:val="TableParagraph"/>
              <w:spacing w:line="234" w:lineRule="exact"/>
              <w:ind w:left="294" w:right="206"/>
              <w:rPr>
                <w:color w:val="000000"/>
              </w:rPr>
            </w:pPr>
            <w:r w:rsidRPr="001604AB">
              <w:rPr>
                <w:color w:val="000000"/>
              </w:rPr>
              <w:t>Parâng</w:t>
            </w:r>
          </w:p>
        </w:tc>
      </w:tr>
      <w:tr w:rsidR="001604AB" w:rsidRPr="00C56257" w14:paraId="070B2F82" w14:textId="77777777" w:rsidTr="00993B86">
        <w:trPr>
          <w:trHeight w:val="251"/>
        </w:trPr>
        <w:tc>
          <w:tcPr>
            <w:tcW w:w="3262" w:type="dxa"/>
            <w:vMerge/>
            <w:tcBorders>
              <w:top w:val="nil"/>
            </w:tcBorders>
          </w:tcPr>
          <w:p w14:paraId="466DEECC" w14:textId="77777777" w:rsidR="001604AB" w:rsidRPr="00C56257" w:rsidRDefault="001604AB" w:rsidP="008E33FD">
            <w:pPr>
              <w:jc w:val="both"/>
              <w:rPr>
                <w:color w:val="000000" w:themeColor="text1"/>
              </w:rPr>
            </w:pPr>
          </w:p>
        </w:tc>
        <w:tc>
          <w:tcPr>
            <w:tcW w:w="2136" w:type="dxa"/>
            <w:vAlign w:val="bottom"/>
          </w:tcPr>
          <w:p w14:paraId="026ED19E"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0196</w:t>
            </w:r>
          </w:p>
        </w:tc>
        <w:tc>
          <w:tcPr>
            <w:tcW w:w="4220" w:type="dxa"/>
            <w:vAlign w:val="bottom"/>
          </w:tcPr>
          <w:p w14:paraId="706C5524" w14:textId="77777777" w:rsidR="001604AB" w:rsidRPr="001604AB" w:rsidRDefault="001604AB" w:rsidP="001604AB">
            <w:pPr>
              <w:pStyle w:val="TableParagraph"/>
              <w:spacing w:line="234" w:lineRule="exact"/>
              <w:ind w:left="294" w:right="206"/>
              <w:rPr>
                <w:color w:val="000000"/>
              </w:rPr>
            </w:pPr>
            <w:r w:rsidRPr="001604AB">
              <w:rPr>
                <w:color w:val="000000"/>
              </w:rPr>
              <w:t>Pietrosul Broștenilor - Cheile Zugrenilor</w:t>
            </w:r>
          </w:p>
        </w:tc>
      </w:tr>
      <w:tr w:rsidR="001604AB" w:rsidRPr="00C56257" w14:paraId="2C54158E" w14:textId="77777777" w:rsidTr="00993B86">
        <w:trPr>
          <w:trHeight w:val="253"/>
        </w:trPr>
        <w:tc>
          <w:tcPr>
            <w:tcW w:w="3262" w:type="dxa"/>
            <w:vMerge/>
            <w:tcBorders>
              <w:top w:val="nil"/>
            </w:tcBorders>
          </w:tcPr>
          <w:p w14:paraId="532A4825" w14:textId="77777777" w:rsidR="001604AB" w:rsidRPr="00C56257" w:rsidRDefault="001604AB" w:rsidP="008E33FD">
            <w:pPr>
              <w:jc w:val="both"/>
              <w:rPr>
                <w:color w:val="000000" w:themeColor="text1"/>
              </w:rPr>
            </w:pPr>
          </w:p>
        </w:tc>
        <w:tc>
          <w:tcPr>
            <w:tcW w:w="2136" w:type="dxa"/>
            <w:vAlign w:val="bottom"/>
          </w:tcPr>
          <w:p w14:paraId="181E9CF1" w14:textId="77777777" w:rsidR="001604AB" w:rsidRPr="001604AB" w:rsidRDefault="001604AB" w:rsidP="001604AB">
            <w:pPr>
              <w:pStyle w:val="TableParagraph"/>
              <w:spacing w:line="234" w:lineRule="exact"/>
              <w:ind w:left="294"/>
              <w:rPr>
                <w:color w:val="000000"/>
              </w:rPr>
            </w:pPr>
            <w:r w:rsidRPr="001604AB">
              <w:rPr>
                <w:color w:val="000000"/>
              </w:rPr>
              <w:t>ROSCI0206</w:t>
            </w:r>
          </w:p>
        </w:tc>
        <w:tc>
          <w:tcPr>
            <w:tcW w:w="4220" w:type="dxa"/>
            <w:vAlign w:val="bottom"/>
          </w:tcPr>
          <w:p w14:paraId="697799CC" w14:textId="77777777" w:rsidR="001604AB" w:rsidRPr="001604AB" w:rsidRDefault="001604AB" w:rsidP="001604AB">
            <w:pPr>
              <w:pStyle w:val="TableParagraph"/>
              <w:spacing w:line="234" w:lineRule="exact"/>
              <w:ind w:left="294" w:right="206"/>
              <w:rPr>
                <w:color w:val="000000"/>
              </w:rPr>
            </w:pPr>
            <w:r w:rsidRPr="001604AB">
              <w:rPr>
                <w:color w:val="000000"/>
              </w:rPr>
              <w:t>Porțile de Fier</w:t>
            </w:r>
          </w:p>
        </w:tc>
      </w:tr>
      <w:tr w:rsidR="001604AB" w:rsidRPr="00C56257" w14:paraId="1BF23490" w14:textId="77777777" w:rsidTr="00993B86">
        <w:trPr>
          <w:trHeight w:val="251"/>
        </w:trPr>
        <w:tc>
          <w:tcPr>
            <w:tcW w:w="3262" w:type="dxa"/>
            <w:vMerge/>
            <w:tcBorders>
              <w:top w:val="nil"/>
            </w:tcBorders>
          </w:tcPr>
          <w:p w14:paraId="30CBB863" w14:textId="77777777" w:rsidR="001604AB" w:rsidRPr="00C56257" w:rsidRDefault="001604AB" w:rsidP="008E33FD">
            <w:pPr>
              <w:jc w:val="both"/>
              <w:rPr>
                <w:color w:val="000000" w:themeColor="text1"/>
              </w:rPr>
            </w:pPr>
          </w:p>
        </w:tc>
        <w:tc>
          <w:tcPr>
            <w:tcW w:w="2136" w:type="dxa"/>
            <w:vAlign w:val="bottom"/>
          </w:tcPr>
          <w:p w14:paraId="126D729A"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0216</w:t>
            </w:r>
          </w:p>
        </w:tc>
        <w:tc>
          <w:tcPr>
            <w:tcW w:w="4220" w:type="dxa"/>
            <w:vAlign w:val="bottom"/>
          </w:tcPr>
          <w:p w14:paraId="0BD2401C" w14:textId="77777777" w:rsidR="001604AB" w:rsidRPr="001604AB" w:rsidRDefault="001604AB" w:rsidP="001604AB">
            <w:pPr>
              <w:pStyle w:val="TableParagraph"/>
              <w:spacing w:line="234" w:lineRule="exact"/>
              <w:ind w:left="294" w:right="206"/>
              <w:rPr>
                <w:color w:val="000000"/>
              </w:rPr>
            </w:pPr>
            <w:r w:rsidRPr="001604AB">
              <w:rPr>
                <w:color w:val="000000"/>
              </w:rPr>
              <w:t>Reghiu Scruntar</w:t>
            </w:r>
          </w:p>
        </w:tc>
      </w:tr>
      <w:tr w:rsidR="001604AB" w:rsidRPr="00C56257" w14:paraId="1CF23FA7" w14:textId="77777777" w:rsidTr="00993B86">
        <w:trPr>
          <w:trHeight w:val="254"/>
        </w:trPr>
        <w:tc>
          <w:tcPr>
            <w:tcW w:w="3262" w:type="dxa"/>
            <w:vMerge/>
            <w:tcBorders>
              <w:top w:val="nil"/>
            </w:tcBorders>
          </w:tcPr>
          <w:p w14:paraId="35D7293E" w14:textId="77777777" w:rsidR="001604AB" w:rsidRPr="00C56257" w:rsidRDefault="001604AB" w:rsidP="008E33FD">
            <w:pPr>
              <w:jc w:val="both"/>
              <w:rPr>
                <w:color w:val="000000" w:themeColor="text1"/>
              </w:rPr>
            </w:pPr>
          </w:p>
        </w:tc>
        <w:tc>
          <w:tcPr>
            <w:tcW w:w="2136" w:type="dxa"/>
            <w:vAlign w:val="bottom"/>
          </w:tcPr>
          <w:p w14:paraId="1A55FA74"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0262</w:t>
            </w:r>
          </w:p>
        </w:tc>
        <w:tc>
          <w:tcPr>
            <w:tcW w:w="4220" w:type="dxa"/>
            <w:vAlign w:val="bottom"/>
          </w:tcPr>
          <w:p w14:paraId="6F760031" w14:textId="77777777" w:rsidR="001604AB" w:rsidRPr="001604AB" w:rsidRDefault="001604AB" w:rsidP="001604AB">
            <w:pPr>
              <w:pStyle w:val="TableParagraph"/>
              <w:spacing w:line="234" w:lineRule="exact"/>
              <w:ind w:left="294" w:right="203"/>
              <w:rPr>
                <w:color w:val="000000"/>
              </w:rPr>
            </w:pPr>
            <w:r w:rsidRPr="001604AB">
              <w:rPr>
                <w:color w:val="000000"/>
              </w:rPr>
              <w:t>Valea Iadei</w:t>
            </w:r>
          </w:p>
        </w:tc>
      </w:tr>
      <w:tr w:rsidR="00E64D7B" w:rsidRPr="00C56257" w14:paraId="789DC3FE" w14:textId="77777777" w:rsidTr="008E48EB">
        <w:trPr>
          <w:trHeight w:val="253"/>
        </w:trPr>
        <w:tc>
          <w:tcPr>
            <w:tcW w:w="3262" w:type="dxa"/>
            <w:vMerge/>
            <w:tcBorders>
              <w:top w:val="nil"/>
            </w:tcBorders>
          </w:tcPr>
          <w:p w14:paraId="1480BA38" w14:textId="77777777" w:rsidR="00E64D7B" w:rsidRPr="00C56257" w:rsidRDefault="00E64D7B" w:rsidP="008E33FD">
            <w:pPr>
              <w:jc w:val="both"/>
              <w:rPr>
                <w:color w:val="000000" w:themeColor="text1"/>
              </w:rPr>
            </w:pPr>
          </w:p>
        </w:tc>
        <w:tc>
          <w:tcPr>
            <w:tcW w:w="2136" w:type="dxa"/>
          </w:tcPr>
          <w:p w14:paraId="2974B3F0" w14:textId="77777777" w:rsidR="00E64D7B" w:rsidRPr="001604AB" w:rsidRDefault="00813885" w:rsidP="00813885">
            <w:pPr>
              <w:pStyle w:val="TableParagraph"/>
              <w:spacing w:line="234" w:lineRule="exact"/>
              <w:ind w:left="294"/>
              <w:rPr>
                <w:color w:val="000000"/>
              </w:rPr>
            </w:pPr>
            <w:r>
              <w:rPr>
                <w:color w:val="000000"/>
              </w:rPr>
              <w:t>ROSAC</w:t>
            </w:r>
            <w:r w:rsidR="00E64D7B" w:rsidRPr="001604AB">
              <w:rPr>
                <w:color w:val="000000"/>
              </w:rPr>
              <w:t>0322</w:t>
            </w:r>
          </w:p>
        </w:tc>
        <w:tc>
          <w:tcPr>
            <w:tcW w:w="4220" w:type="dxa"/>
          </w:tcPr>
          <w:p w14:paraId="7D27BD80" w14:textId="77777777" w:rsidR="00E64D7B" w:rsidRPr="001604AB" w:rsidRDefault="001604AB" w:rsidP="001604AB">
            <w:pPr>
              <w:pStyle w:val="TableParagraph"/>
              <w:spacing w:line="234" w:lineRule="exact"/>
              <w:ind w:left="294" w:right="206"/>
              <w:rPr>
                <w:color w:val="000000"/>
              </w:rPr>
            </w:pPr>
            <w:r w:rsidRPr="001604AB">
              <w:rPr>
                <w:color w:val="000000"/>
              </w:rPr>
              <w:t>Muntele Șes</w:t>
            </w:r>
          </w:p>
        </w:tc>
      </w:tr>
      <w:tr w:rsidR="001604AB" w:rsidRPr="00C56257" w14:paraId="6A83FC7E" w14:textId="77777777" w:rsidTr="00993B86">
        <w:trPr>
          <w:trHeight w:val="251"/>
        </w:trPr>
        <w:tc>
          <w:tcPr>
            <w:tcW w:w="3262" w:type="dxa"/>
            <w:vMerge w:val="restart"/>
          </w:tcPr>
          <w:p w14:paraId="5774E813" w14:textId="77777777" w:rsidR="001604AB" w:rsidRPr="00C56257" w:rsidRDefault="001604AB" w:rsidP="008E33FD">
            <w:pPr>
              <w:pStyle w:val="TableParagraph"/>
              <w:tabs>
                <w:tab w:val="left" w:pos="770"/>
              </w:tabs>
              <w:ind w:right="-44"/>
              <w:jc w:val="both"/>
              <w:rPr>
                <w:color w:val="000000" w:themeColor="text1"/>
                <w:sz w:val="24"/>
                <w:szCs w:val="24"/>
              </w:rPr>
            </w:pPr>
            <w:r w:rsidRPr="00C56257">
              <w:rPr>
                <w:color w:val="000000" w:themeColor="text1"/>
                <w:sz w:val="24"/>
                <w:szCs w:val="24"/>
              </w:rPr>
              <w:t>8230</w:t>
            </w:r>
            <w:r w:rsidRPr="00C56257">
              <w:rPr>
                <w:color w:val="000000" w:themeColor="text1"/>
                <w:sz w:val="24"/>
                <w:szCs w:val="24"/>
              </w:rPr>
              <w:tab/>
              <w:t xml:space="preserve">Comunități pioniere din </w:t>
            </w:r>
            <w:r w:rsidRPr="00C56257">
              <w:rPr>
                <w:i/>
                <w:color w:val="000000" w:themeColor="text1"/>
                <w:sz w:val="24"/>
                <w:szCs w:val="24"/>
              </w:rPr>
              <w:t xml:space="preserve">Sedo-Scleranthion </w:t>
            </w:r>
            <w:r w:rsidRPr="00C56257">
              <w:rPr>
                <w:color w:val="000000" w:themeColor="text1"/>
                <w:sz w:val="24"/>
                <w:szCs w:val="24"/>
              </w:rPr>
              <w:t>sau</w:t>
            </w:r>
            <w:r w:rsidRPr="00C56257">
              <w:rPr>
                <w:color w:val="000000" w:themeColor="text1"/>
                <w:spacing w:val="-52"/>
                <w:sz w:val="24"/>
                <w:szCs w:val="24"/>
              </w:rPr>
              <w:t xml:space="preserve"> </w:t>
            </w:r>
            <w:r w:rsidRPr="00C56257">
              <w:rPr>
                <w:color w:val="000000" w:themeColor="text1"/>
                <w:sz w:val="24"/>
                <w:szCs w:val="24"/>
              </w:rPr>
              <w:t>din</w:t>
            </w:r>
            <w:r w:rsidRPr="00C56257">
              <w:rPr>
                <w:color w:val="000000" w:themeColor="text1"/>
                <w:spacing w:val="7"/>
                <w:sz w:val="24"/>
                <w:szCs w:val="24"/>
              </w:rPr>
              <w:t xml:space="preserve"> </w:t>
            </w:r>
            <w:r w:rsidRPr="00C56257">
              <w:rPr>
                <w:i/>
                <w:color w:val="000000" w:themeColor="text1"/>
                <w:sz w:val="24"/>
                <w:szCs w:val="24"/>
              </w:rPr>
              <w:t>Sedo</w:t>
            </w:r>
            <w:r w:rsidRPr="00C56257">
              <w:rPr>
                <w:i/>
                <w:color w:val="000000" w:themeColor="text1"/>
                <w:spacing w:val="8"/>
                <w:sz w:val="24"/>
                <w:szCs w:val="24"/>
              </w:rPr>
              <w:t xml:space="preserve"> </w:t>
            </w:r>
            <w:r w:rsidRPr="00C56257">
              <w:rPr>
                <w:i/>
                <w:color w:val="000000" w:themeColor="text1"/>
                <w:sz w:val="24"/>
                <w:szCs w:val="24"/>
              </w:rPr>
              <w:t>albi-Veronicion</w:t>
            </w:r>
            <w:r w:rsidRPr="00C56257">
              <w:rPr>
                <w:i/>
                <w:color w:val="000000" w:themeColor="text1"/>
                <w:spacing w:val="5"/>
                <w:sz w:val="24"/>
                <w:szCs w:val="24"/>
              </w:rPr>
              <w:t xml:space="preserve"> </w:t>
            </w:r>
            <w:r w:rsidRPr="00C56257">
              <w:rPr>
                <w:i/>
                <w:color w:val="000000" w:themeColor="text1"/>
                <w:sz w:val="24"/>
                <w:szCs w:val="24"/>
              </w:rPr>
              <w:t>dillenii</w:t>
            </w:r>
            <w:r w:rsidRPr="00C56257">
              <w:rPr>
                <w:i/>
                <w:color w:val="000000" w:themeColor="text1"/>
                <w:spacing w:val="9"/>
                <w:sz w:val="24"/>
                <w:szCs w:val="24"/>
              </w:rPr>
              <w:t xml:space="preserve"> </w:t>
            </w:r>
            <w:r w:rsidRPr="00C56257">
              <w:rPr>
                <w:color w:val="000000" w:themeColor="text1"/>
                <w:sz w:val="24"/>
                <w:szCs w:val="24"/>
              </w:rPr>
              <w:t>pe</w:t>
            </w:r>
            <w:r w:rsidRPr="00C56257">
              <w:rPr>
                <w:color w:val="000000" w:themeColor="text1"/>
                <w:spacing w:val="6"/>
                <w:sz w:val="24"/>
                <w:szCs w:val="24"/>
              </w:rPr>
              <w:t xml:space="preserve"> </w:t>
            </w:r>
            <w:r w:rsidRPr="00C56257">
              <w:rPr>
                <w:color w:val="000000" w:themeColor="text1"/>
                <w:sz w:val="24"/>
                <w:szCs w:val="24"/>
              </w:rPr>
              <w:t>stâncării</w:t>
            </w:r>
            <w:r w:rsidRPr="00C56257">
              <w:rPr>
                <w:color w:val="000000" w:themeColor="text1"/>
                <w:spacing w:val="1"/>
                <w:sz w:val="24"/>
                <w:szCs w:val="24"/>
              </w:rPr>
              <w:t xml:space="preserve"> </w:t>
            </w:r>
            <w:r w:rsidRPr="00C56257">
              <w:rPr>
                <w:color w:val="000000" w:themeColor="text1"/>
                <w:sz w:val="24"/>
                <w:szCs w:val="24"/>
              </w:rPr>
              <w:t>silicioase</w:t>
            </w:r>
          </w:p>
        </w:tc>
        <w:tc>
          <w:tcPr>
            <w:tcW w:w="2136" w:type="dxa"/>
            <w:vAlign w:val="bottom"/>
          </w:tcPr>
          <w:p w14:paraId="3AF80408" w14:textId="77777777" w:rsidR="001604AB" w:rsidRPr="001604AB" w:rsidRDefault="001604AB" w:rsidP="001604AB">
            <w:pPr>
              <w:pStyle w:val="TableParagraph"/>
              <w:spacing w:line="234" w:lineRule="exact"/>
              <w:ind w:left="294"/>
              <w:rPr>
                <w:color w:val="000000"/>
              </w:rPr>
            </w:pPr>
            <w:r w:rsidRPr="001604AB">
              <w:rPr>
                <w:color w:val="000000"/>
              </w:rPr>
              <w:t>ROSCI0123</w:t>
            </w:r>
          </w:p>
        </w:tc>
        <w:tc>
          <w:tcPr>
            <w:tcW w:w="4220" w:type="dxa"/>
            <w:vAlign w:val="bottom"/>
          </w:tcPr>
          <w:p w14:paraId="57BF8CA8" w14:textId="77777777" w:rsidR="001604AB" w:rsidRPr="001604AB" w:rsidRDefault="001604AB" w:rsidP="001604AB">
            <w:pPr>
              <w:pStyle w:val="TableParagraph"/>
              <w:spacing w:line="234" w:lineRule="exact"/>
              <w:ind w:left="294" w:right="203"/>
              <w:rPr>
                <w:color w:val="000000"/>
              </w:rPr>
            </w:pPr>
            <w:r w:rsidRPr="001604AB">
              <w:rPr>
                <w:color w:val="000000"/>
              </w:rPr>
              <w:t>Munții Măcinului</w:t>
            </w:r>
          </w:p>
        </w:tc>
      </w:tr>
      <w:tr w:rsidR="001604AB" w:rsidRPr="00C56257" w14:paraId="3487F7F4" w14:textId="77777777" w:rsidTr="00993B86">
        <w:trPr>
          <w:trHeight w:val="254"/>
        </w:trPr>
        <w:tc>
          <w:tcPr>
            <w:tcW w:w="3262" w:type="dxa"/>
            <w:vMerge/>
            <w:tcBorders>
              <w:top w:val="nil"/>
            </w:tcBorders>
          </w:tcPr>
          <w:p w14:paraId="647A6A74" w14:textId="77777777" w:rsidR="001604AB" w:rsidRPr="00C56257" w:rsidRDefault="001604AB" w:rsidP="008E33FD">
            <w:pPr>
              <w:jc w:val="both"/>
              <w:rPr>
                <w:color w:val="000000" w:themeColor="text1"/>
              </w:rPr>
            </w:pPr>
          </w:p>
        </w:tc>
        <w:tc>
          <w:tcPr>
            <w:tcW w:w="2136" w:type="dxa"/>
            <w:vAlign w:val="bottom"/>
          </w:tcPr>
          <w:p w14:paraId="4752C792"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0124</w:t>
            </w:r>
          </w:p>
        </w:tc>
        <w:tc>
          <w:tcPr>
            <w:tcW w:w="4220" w:type="dxa"/>
            <w:vAlign w:val="bottom"/>
          </w:tcPr>
          <w:p w14:paraId="4DBF074D" w14:textId="77777777" w:rsidR="001604AB" w:rsidRPr="001604AB" w:rsidRDefault="001604AB" w:rsidP="001604AB">
            <w:pPr>
              <w:pStyle w:val="TableParagraph"/>
              <w:spacing w:line="234" w:lineRule="exact"/>
              <w:ind w:left="294" w:right="206"/>
              <w:rPr>
                <w:color w:val="000000"/>
              </w:rPr>
            </w:pPr>
            <w:r w:rsidRPr="001604AB">
              <w:rPr>
                <w:color w:val="000000"/>
              </w:rPr>
              <w:t>Munții Maramureșului</w:t>
            </w:r>
          </w:p>
        </w:tc>
      </w:tr>
      <w:tr w:rsidR="001604AB" w:rsidRPr="00C56257" w14:paraId="1F0A9988" w14:textId="77777777" w:rsidTr="00993B86">
        <w:trPr>
          <w:trHeight w:val="251"/>
        </w:trPr>
        <w:tc>
          <w:tcPr>
            <w:tcW w:w="3262" w:type="dxa"/>
            <w:vMerge/>
            <w:tcBorders>
              <w:top w:val="nil"/>
            </w:tcBorders>
          </w:tcPr>
          <w:p w14:paraId="5F402374" w14:textId="77777777" w:rsidR="001604AB" w:rsidRPr="00C56257" w:rsidRDefault="001604AB" w:rsidP="008E33FD">
            <w:pPr>
              <w:jc w:val="both"/>
              <w:rPr>
                <w:color w:val="000000" w:themeColor="text1"/>
              </w:rPr>
            </w:pPr>
          </w:p>
        </w:tc>
        <w:tc>
          <w:tcPr>
            <w:tcW w:w="2136" w:type="dxa"/>
            <w:vAlign w:val="bottom"/>
          </w:tcPr>
          <w:p w14:paraId="3A9D14D9" w14:textId="77777777" w:rsidR="001604AB" w:rsidRPr="001604AB" w:rsidRDefault="001604AB" w:rsidP="001604AB">
            <w:pPr>
              <w:pStyle w:val="TableParagraph"/>
              <w:spacing w:line="234" w:lineRule="exact"/>
              <w:ind w:left="294"/>
              <w:rPr>
                <w:color w:val="000000"/>
              </w:rPr>
            </w:pPr>
            <w:r w:rsidRPr="001604AB">
              <w:rPr>
                <w:color w:val="000000"/>
              </w:rPr>
              <w:t>ROSCI0201</w:t>
            </w:r>
          </w:p>
        </w:tc>
        <w:tc>
          <w:tcPr>
            <w:tcW w:w="4220" w:type="dxa"/>
            <w:vAlign w:val="bottom"/>
          </w:tcPr>
          <w:p w14:paraId="37359E67" w14:textId="77777777" w:rsidR="001604AB" w:rsidRPr="001604AB" w:rsidRDefault="001604AB" w:rsidP="001604AB">
            <w:pPr>
              <w:pStyle w:val="TableParagraph"/>
              <w:spacing w:line="234" w:lineRule="exact"/>
              <w:ind w:left="294" w:right="203"/>
              <w:rPr>
                <w:color w:val="000000"/>
              </w:rPr>
            </w:pPr>
            <w:r w:rsidRPr="001604AB">
              <w:rPr>
                <w:color w:val="000000"/>
              </w:rPr>
              <w:t>Podișul Nord Dobrogean</w:t>
            </w:r>
          </w:p>
        </w:tc>
      </w:tr>
      <w:tr w:rsidR="001604AB" w:rsidRPr="00C56257" w14:paraId="7B9FD870" w14:textId="77777777" w:rsidTr="00993B86">
        <w:trPr>
          <w:trHeight w:val="253"/>
        </w:trPr>
        <w:tc>
          <w:tcPr>
            <w:tcW w:w="3262" w:type="dxa"/>
            <w:vMerge/>
            <w:tcBorders>
              <w:top w:val="nil"/>
            </w:tcBorders>
          </w:tcPr>
          <w:p w14:paraId="74B0AE26" w14:textId="77777777" w:rsidR="001604AB" w:rsidRPr="00C56257" w:rsidRDefault="001604AB" w:rsidP="008E33FD">
            <w:pPr>
              <w:jc w:val="both"/>
              <w:rPr>
                <w:color w:val="000000" w:themeColor="text1"/>
              </w:rPr>
            </w:pPr>
          </w:p>
        </w:tc>
        <w:tc>
          <w:tcPr>
            <w:tcW w:w="2136" w:type="dxa"/>
            <w:vAlign w:val="bottom"/>
          </w:tcPr>
          <w:p w14:paraId="3915ED67" w14:textId="77777777" w:rsidR="001604AB" w:rsidRPr="001604AB" w:rsidRDefault="001604AB" w:rsidP="001604AB">
            <w:pPr>
              <w:pStyle w:val="TableParagraph"/>
              <w:spacing w:line="234" w:lineRule="exact"/>
              <w:ind w:left="294"/>
              <w:rPr>
                <w:color w:val="000000"/>
              </w:rPr>
            </w:pPr>
            <w:r w:rsidRPr="001604AB">
              <w:rPr>
                <w:color w:val="000000"/>
              </w:rPr>
              <w:t>ROSCI0206</w:t>
            </w:r>
          </w:p>
        </w:tc>
        <w:tc>
          <w:tcPr>
            <w:tcW w:w="4220" w:type="dxa"/>
            <w:vAlign w:val="bottom"/>
          </w:tcPr>
          <w:p w14:paraId="19415D2A" w14:textId="77777777" w:rsidR="001604AB" w:rsidRPr="001604AB" w:rsidRDefault="001604AB" w:rsidP="001604AB">
            <w:pPr>
              <w:pStyle w:val="TableParagraph"/>
              <w:spacing w:line="234" w:lineRule="exact"/>
              <w:ind w:left="294" w:right="206"/>
              <w:rPr>
                <w:color w:val="000000"/>
              </w:rPr>
            </w:pPr>
            <w:r w:rsidRPr="001604AB">
              <w:rPr>
                <w:color w:val="000000"/>
              </w:rPr>
              <w:t>Porțile de Fier</w:t>
            </w:r>
          </w:p>
        </w:tc>
      </w:tr>
      <w:tr w:rsidR="001604AB" w:rsidRPr="00C56257" w14:paraId="0105085D" w14:textId="77777777" w:rsidTr="00993B86">
        <w:trPr>
          <w:trHeight w:val="253"/>
        </w:trPr>
        <w:tc>
          <w:tcPr>
            <w:tcW w:w="3262" w:type="dxa"/>
            <w:vMerge/>
            <w:tcBorders>
              <w:top w:val="nil"/>
            </w:tcBorders>
          </w:tcPr>
          <w:p w14:paraId="3E3F4C21" w14:textId="77777777" w:rsidR="001604AB" w:rsidRPr="00C56257" w:rsidRDefault="001604AB" w:rsidP="008E33FD">
            <w:pPr>
              <w:jc w:val="both"/>
              <w:rPr>
                <w:color w:val="000000" w:themeColor="text1"/>
              </w:rPr>
            </w:pPr>
          </w:p>
        </w:tc>
        <w:tc>
          <w:tcPr>
            <w:tcW w:w="2136" w:type="dxa"/>
            <w:vAlign w:val="bottom"/>
          </w:tcPr>
          <w:p w14:paraId="1D58692E"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0235</w:t>
            </w:r>
          </w:p>
        </w:tc>
        <w:tc>
          <w:tcPr>
            <w:tcW w:w="4220" w:type="dxa"/>
            <w:vAlign w:val="bottom"/>
          </w:tcPr>
          <w:p w14:paraId="63C7BF5C" w14:textId="77777777" w:rsidR="001604AB" w:rsidRPr="001604AB" w:rsidRDefault="001604AB" w:rsidP="001604AB">
            <w:pPr>
              <w:pStyle w:val="TableParagraph"/>
              <w:spacing w:line="234" w:lineRule="exact"/>
              <w:ind w:left="294" w:right="206"/>
              <w:rPr>
                <w:color w:val="000000"/>
              </w:rPr>
            </w:pPr>
            <w:r w:rsidRPr="001604AB">
              <w:rPr>
                <w:color w:val="000000"/>
              </w:rPr>
              <w:t>Stânca Tohani</w:t>
            </w:r>
          </w:p>
        </w:tc>
      </w:tr>
      <w:tr w:rsidR="001604AB" w:rsidRPr="00C56257" w14:paraId="6822BAF1" w14:textId="77777777" w:rsidTr="00993B86">
        <w:trPr>
          <w:trHeight w:val="251"/>
        </w:trPr>
        <w:tc>
          <w:tcPr>
            <w:tcW w:w="3262" w:type="dxa"/>
            <w:vMerge/>
            <w:tcBorders>
              <w:top w:val="nil"/>
            </w:tcBorders>
          </w:tcPr>
          <w:p w14:paraId="391E8664" w14:textId="77777777" w:rsidR="001604AB" w:rsidRPr="00C56257" w:rsidRDefault="001604AB" w:rsidP="008E33FD">
            <w:pPr>
              <w:jc w:val="both"/>
              <w:rPr>
                <w:color w:val="000000" w:themeColor="text1"/>
              </w:rPr>
            </w:pPr>
          </w:p>
        </w:tc>
        <w:tc>
          <w:tcPr>
            <w:tcW w:w="2136" w:type="dxa"/>
            <w:vAlign w:val="bottom"/>
          </w:tcPr>
          <w:p w14:paraId="6316836B" w14:textId="77777777" w:rsidR="001604AB" w:rsidRPr="001604AB" w:rsidRDefault="00813885" w:rsidP="001604AB">
            <w:pPr>
              <w:pStyle w:val="TableParagraph"/>
              <w:spacing w:line="234" w:lineRule="exact"/>
              <w:ind w:left="294"/>
              <w:rPr>
                <w:color w:val="000000"/>
              </w:rPr>
            </w:pPr>
            <w:r>
              <w:rPr>
                <w:color w:val="000000"/>
              </w:rPr>
              <w:t>ROSAC</w:t>
            </w:r>
            <w:r w:rsidR="001604AB" w:rsidRPr="001604AB">
              <w:rPr>
                <w:color w:val="000000"/>
              </w:rPr>
              <w:t>0304</w:t>
            </w:r>
          </w:p>
        </w:tc>
        <w:tc>
          <w:tcPr>
            <w:tcW w:w="4220" w:type="dxa"/>
            <w:vAlign w:val="bottom"/>
          </w:tcPr>
          <w:p w14:paraId="71BC840C" w14:textId="77777777" w:rsidR="001604AB" w:rsidRPr="001604AB" w:rsidRDefault="001604AB" w:rsidP="001604AB">
            <w:pPr>
              <w:pStyle w:val="TableParagraph"/>
              <w:spacing w:line="234" w:lineRule="exact"/>
              <w:ind w:left="294" w:right="206"/>
              <w:rPr>
                <w:color w:val="000000"/>
              </w:rPr>
            </w:pPr>
            <w:r w:rsidRPr="001604AB">
              <w:rPr>
                <w:color w:val="000000"/>
              </w:rPr>
              <w:t>Hârtibaciu Sud - Vest</w:t>
            </w:r>
          </w:p>
        </w:tc>
      </w:tr>
      <w:tr w:rsidR="001604AB" w:rsidRPr="00C56257" w14:paraId="090E5BAA" w14:textId="77777777" w:rsidTr="00993B86">
        <w:trPr>
          <w:trHeight w:val="254"/>
        </w:trPr>
        <w:tc>
          <w:tcPr>
            <w:tcW w:w="3262" w:type="dxa"/>
            <w:vMerge/>
            <w:tcBorders>
              <w:top w:val="nil"/>
            </w:tcBorders>
          </w:tcPr>
          <w:p w14:paraId="176A8FB0" w14:textId="77777777" w:rsidR="001604AB" w:rsidRPr="00C56257" w:rsidRDefault="001604AB" w:rsidP="008E33FD">
            <w:pPr>
              <w:jc w:val="both"/>
              <w:rPr>
                <w:color w:val="000000" w:themeColor="text1"/>
              </w:rPr>
            </w:pPr>
          </w:p>
        </w:tc>
        <w:tc>
          <w:tcPr>
            <w:tcW w:w="2136" w:type="dxa"/>
            <w:vAlign w:val="bottom"/>
          </w:tcPr>
          <w:p w14:paraId="6E170822" w14:textId="77777777" w:rsidR="001604AB" w:rsidRPr="001604AB" w:rsidRDefault="001604AB" w:rsidP="001604AB">
            <w:pPr>
              <w:pStyle w:val="TableParagraph"/>
              <w:spacing w:line="234" w:lineRule="exact"/>
              <w:ind w:left="294"/>
              <w:rPr>
                <w:color w:val="000000"/>
              </w:rPr>
            </w:pPr>
            <w:r w:rsidRPr="001604AB">
              <w:rPr>
                <w:color w:val="000000"/>
              </w:rPr>
              <w:t>ROSCI0406</w:t>
            </w:r>
          </w:p>
        </w:tc>
        <w:tc>
          <w:tcPr>
            <w:tcW w:w="4220" w:type="dxa"/>
            <w:vAlign w:val="bottom"/>
          </w:tcPr>
          <w:p w14:paraId="049FFF36" w14:textId="77777777" w:rsidR="001604AB" w:rsidRPr="001604AB" w:rsidRDefault="001604AB" w:rsidP="001604AB">
            <w:pPr>
              <w:pStyle w:val="TableParagraph"/>
              <w:spacing w:line="234" w:lineRule="exact"/>
              <w:ind w:left="294" w:right="206"/>
              <w:rPr>
                <w:color w:val="000000"/>
              </w:rPr>
            </w:pPr>
            <w:r w:rsidRPr="001604AB">
              <w:rPr>
                <w:color w:val="000000"/>
              </w:rPr>
              <w:t>Zarandul de Est</w:t>
            </w:r>
          </w:p>
        </w:tc>
      </w:tr>
    </w:tbl>
    <w:p w14:paraId="06DF4035" w14:textId="77777777" w:rsidR="00E64D7B" w:rsidRPr="00C56257" w:rsidRDefault="00E64D7B" w:rsidP="008E33FD">
      <w:pPr>
        <w:pStyle w:val="BodyText"/>
        <w:spacing w:before="11"/>
        <w:jc w:val="both"/>
        <w:rPr>
          <w:color w:val="000000" w:themeColor="text1"/>
          <w:sz w:val="24"/>
          <w:szCs w:val="24"/>
        </w:rPr>
      </w:pPr>
    </w:p>
    <w:p w14:paraId="3DAEF49D" w14:textId="77777777" w:rsidR="00BC3A0F" w:rsidRPr="00C56257" w:rsidRDefault="00BC3A0F" w:rsidP="008E33FD">
      <w:pPr>
        <w:spacing w:after="160" w:line="259" w:lineRule="auto"/>
        <w:jc w:val="both"/>
        <w:rPr>
          <w:bCs/>
          <w:color w:val="000000" w:themeColor="text1"/>
        </w:rPr>
      </w:pPr>
    </w:p>
    <w:p w14:paraId="7BEB102F" w14:textId="77777777" w:rsidR="00BC3A0F" w:rsidRPr="00C56257" w:rsidRDefault="00B77E3F" w:rsidP="008E33FD">
      <w:pPr>
        <w:spacing w:after="160" w:line="259" w:lineRule="auto"/>
        <w:jc w:val="both"/>
        <w:rPr>
          <w:bCs/>
          <w:color w:val="000000" w:themeColor="text1"/>
        </w:rPr>
      </w:pPr>
      <w:r>
        <w:rPr>
          <w:b/>
          <w:bCs/>
          <w:color w:val="000000" w:themeColor="text1"/>
        </w:rPr>
        <w:t>8.4</w:t>
      </w:r>
      <w:r w:rsidR="0003674E" w:rsidRPr="00C56257">
        <w:rPr>
          <w:b/>
          <w:bCs/>
          <w:color w:val="000000" w:themeColor="text1"/>
        </w:rPr>
        <w:t>. Lista cu presiunile și a</w:t>
      </w:r>
      <w:r w:rsidR="00E870D1" w:rsidRPr="00C56257">
        <w:rPr>
          <w:b/>
          <w:bCs/>
          <w:color w:val="000000" w:themeColor="text1"/>
        </w:rPr>
        <w:t>menințările ce acționează asupra habitatelor</w:t>
      </w:r>
      <w:r w:rsidR="0003674E" w:rsidRPr="00C56257">
        <w:rPr>
          <w:b/>
          <w:bCs/>
          <w:color w:val="000000" w:themeColor="text1"/>
        </w:rPr>
        <w:t xml:space="preserve"> de </w:t>
      </w:r>
      <w:r w:rsidR="00227782" w:rsidRPr="00C56257">
        <w:rPr>
          <w:b/>
          <w:bCs/>
          <w:color w:val="000000" w:themeColor="text1"/>
        </w:rPr>
        <w:t xml:space="preserve">grohotișuri și </w:t>
      </w:r>
      <w:r w:rsidR="00227782" w:rsidRPr="00C54A03">
        <w:rPr>
          <w:color w:val="000000" w:themeColor="text1"/>
        </w:rPr>
        <w:t>stâncării</w:t>
      </w:r>
      <w:r w:rsidR="00A84BF5" w:rsidRPr="00C54A03">
        <w:t xml:space="preserve"> </w:t>
      </w:r>
      <w:bookmarkStart w:id="34" w:name="_Hlk140145586"/>
      <w:r w:rsidR="00A84BF5" w:rsidRPr="00C54A03">
        <w:rPr>
          <w:color w:val="000000" w:themeColor="text1"/>
        </w:rPr>
        <w:t xml:space="preserve">poate fi selectată de la următoarea adresa web: </w:t>
      </w:r>
      <w:r>
        <w:fldChar w:fldCharType="begin"/>
      </w:r>
      <w:r>
        <w:instrText>HYPERLINK "https://cdr.eionet.europa.eu/help/habitats_art17"</w:instrText>
      </w:r>
      <w:r>
        <w:fldChar w:fldCharType="separate"/>
      </w:r>
      <w:r w:rsidR="0092497B" w:rsidRPr="007A20AE">
        <w:rPr>
          <w:rStyle w:val="Hyperlink"/>
        </w:rPr>
        <w:t>https://cdr.eionet.europa.eu/help/habitats_art17</w:t>
      </w:r>
      <w:r>
        <w:rPr>
          <w:rStyle w:val="Hyperlink"/>
        </w:rPr>
        <w:fldChar w:fldCharType="end"/>
      </w:r>
      <w:r w:rsidR="0092497B">
        <w:rPr>
          <w:color w:val="000000" w:themeColor="text1"/>
        </w:rPr>
        <w:t xml:space="preserve"> </w:t>
      </w:r>
      <w:r w:rsidR="00A84BF5" w:rsidRPr="00C54A03">
        <w:rPr>
          <w:color w:val="000000" w:themeColor="text1"/>
        </w:rPr>
        <w:t>.</w:t>
      </w:r>
    </w:p>
    <w:bookmarkEnd w:id="34"/>
    <w:p w14:paraId="03D8E386" w14:textId="77777777" w:rsidR="00E870D1" w:rsidRPr="00C56257" w:rsidRDefault="00B77E3F" w:rsidP="008E33FD">
      <w:pPr>
        <w:spacing w:after="160" w:line="259" w:lineRule="auto"/>
        <w:jc w:val="both"/>
        <w:rPr>
          <w:b/>
          <w:bCs/>
          <w:color w:val="000000" w:themeColor="text1"/>
        </w:rPr>
      </w:pPr>
      <w:r>
        <w:rPr>
          <w:b/>
          <w:bCs/>
          <w:color w:val="000000" w:themeColor="text1"/>
        </w:rPr>
        <w:t>8.5</w:t>
      </w:r>
      <w:r w:rsidR="00E870D1" w:rsidRPr="00C56257">
        <w:rPr>
          <w:b/>
          <w:bCs/>
          <w:color w:val="000000" w:themeColor="text1"/>
        </w:rPr>
        <w:t xml:space="preserve">.  Lista cu </w:t>
      </w:r>
      <w:r w:rsidR="0003674E" w:rsidRPr="00C56257">
        <w:rPr>
          <w:b/>
          <w:bCs/>
          <w:color w:val="000000" w:themeColor="text1"/>
        </w:rPr>
        <w:t>m</w:t>
      </w:r>
      <w:r w:rsidR="00E870D1" w:rsidRPr="00C56257">
        <w:rPr>
          <w:b/>
          <w:bCs/>
          <w:color w:val="000000" w:themeColor="text1"/>
        </w:rPr>
        <w:t xml:space="preserve">ăsurile de conservare ce se pot aplica habitatelor de </w:t>
      </w:r>
      <w:r w:rsidR="00227782" w:rsidRPr="00C56257">
        <w:rPr>
          <w:b/>
          <w:bCs/>
          <w:color w:val="000000" w:themeColor="text1"/>
        </w:rPr>
        <w:t>grohotișuri și stâncării</w:t>
      </w:r>
    </w:p>
    <w:p w14:paraId="329D3651" w14:textId="77777777" w:rsidR="009870E5" w:rsidRPr="00C56257" w:rsidRDefault="009870E5" w:rsidP="0009479B">
      <w:pPr>
        <w:pStyle w:val="BodyText"/>
        <w:ind w:left="0" w:right="14"/>
        <w:jc w:val="both"/>
        <w:rPr>
          <w:color w:val="000000" w:themeColor="text1"/>
          <w:sz w:val="24"/>
          <w:szCs w:val="24"/>
          <w:lang w:val="fr-FR"/>
        </w:rPr>
      </w:pPr>
      <w:proofErr w:type="spellStart"/>
      <w:r w:rsidRPr="00C56257">
        <w:rPr>
          <w:color w:val="000000" w:themeColor="text1"/>
          <w:sz w:val="24"/>
          <w:szCs w:val="24"/>
          <w:lang w:val="fr-FR"/>
        </w:rPr>
        <w:t>Principalul</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scop</w:t>
      </w:r>
      <w:proofErr w:type="spellEnd"/>
      <w:r w:rsidRPr="00C56257">
        <w:rPr>
          <w:color w:val="000000" w:themeColor="text1"/>
          <w:sz w:val="24"/>
          <w:szCs w:val="24"/>
          <w:lang w:val="fr-FR"/>
        </w:rPr>
        <w:t xml:space="preserve"> al </w:t>
      </w:r>
      <w:proofErr w:type="spellStart"/>
      <w:r w:rsidRPr="00C56257">
        <w:rPr>
          <w:color w:val="000000" w:themeColor="text1"/>
          <w:sz w:val="24"/>
          <w:szCs w:val="24"/>
          <w:lang w:val="fr-FR"/>
        </w:rPr>
        <w:t>implementării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acestor</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măsuri</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 xml:space="preserve"> are </w:t>
      </w: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vedere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menținerea</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arealului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actual</w:t>
      </w:r>
      <w:proofErr w:type="spellEnd"/>
      <w:r w:rsidRPr="00C56257">
        <w:rPr>
          <w:color w:val="000000" w:themeColor="text1"/>
          <w:sz w:val="24"/>
          <w:szCs w:val="24"/>
          <w:lang w:val="fr-FR"/>
        </w:rPr>
        <w:t xml:space="preserve"> al </w:t>
      </w:r>
      <w:proofErr w:type="spellStart"/>
      <w:r w:rsidRPr="00C56257">
        <w:rPr>
          <w:color w:val="000000" w:themeColor="text1"/>
          <w:sz w:val="24"/>
          <w:szCs w:val="24"/>
          <w:lang w:val="fr-FR"/>
        </w:rPr>
        <w:t>habitatului</w:t>
      </w:r>
      <w:proofErr w:type="spellEnd"/>
      <w:r w:rsidRPr="00C56257">
        <w:rPr>
          <w:color w:val="000000" w:themeColor="text1"/>
          <w:sz w:val="24"/>
          <w:szCs w:val="24"/>
          <w:lang w:val="fr-FR"/>
        </w:rPr>
        <w:t xml:space="preserve">. Aceste </w:t>
      </w:r>
      <w:proofErr w:type="spellStart"/>
      <w:r w:rsidRPr="00C56257">
        <w:rPr>
          <w:color w:val="000000" w:themeColor="text1"/>
          <w:sz w:val="24"/>
          <w:szCs w:val="24"/>
          <w:lang w:val="fr-FR"/>
        </w:rPr>
        <w:t>informații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despre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măsurile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sunt</w:t>
      </w:r>
      <w:proofErr w:type="spellEnd"/>
      <w:r w:rsidRPr="00C56257">
        <w:rPr>
          <w:color w:val="000000" w:themeColor="text1"/>
          <w:sz w:val="24"/>
          <w:szCs w:val="24"/>
          <w:lang w:val="fr-FR"/>
        </w:rPr>
        <w:t xml:space="preserve"> utile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inclusiv</w:t>
      </w:r>
      <w:proofErr w:type="spellEnd"/>
      <w:r w:rsidRPr="00C56257">
        <w:rPr>
          <w:color w:val="000000" w:themeColor="text1"/>
          <w:sz w:val="24"/>
          <w:szCs w:val="24"/>
          <w:lang w:val="fr-FR"/>
        </w:rPr>
        <w:t xml:space="preserve"> la </w:t>
      </w:r>
      <w:proofErr w:type="spellStart"/>
      <w:r w:rsidRPr="00C56257">
        <w:rPr>
          <w:color w:val="000000" w:themeColor="text1"/>
          <w:sz w:val="24"/>
          <w:szCs w:val="24"/>
          <w:lang w:val="fr-FR"/>
        </w:rPr>
        <w:t>planurile</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gestionare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luate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pentru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întreținerea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sau</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restabilirea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habitatelor</w:t>
      </w:r>
      <w:proofErr w:type="spellEnd"/>
      <w:r w:rsidRPr="00C56257">
        <w:rPr>
          <w:color w:val="000000" w:themeColor="text1"/>
          <w:sz w:val="24"/>
          <w:szCs w:val="24"/>
          <w:lang w:val="fr-FR"/>
        </w:rPr>
        <w:t xml:space="preserve"> la</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starea</w:t>
      </w:r>
      <w:proofErr w:type="spellEnd"/>
      <w:r w:rsidRPr="00C56257">
        <w:rPr>
          <w:color w:val="000000" w:themeColor="text1"/>
          <w:spacing w:val="-2"/>
          <w:sz w:val="24"/>
          <w:szCs w:val="24"/>
          <w:lang w:val="fr-FR"/>
        </w:rPr>
        <w:t xml:space="preserve"> </w:t>
      </w:r>
      <w:r w:rsidRPr="00C56257">
        <w:rPr>
          <w:color w:val="000000" w:themeColor="text1"/>
          <w:sz w:val="24"/>
          <w:szCs w:val="24"/>
          <w:lang w:val="fr-FR"/>
        </w:rPr>
        <w:t>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conservare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favorabilă</w:t>
      </w:r>
      <w:proofErr w:type="spellEnd"/>
      <w:r w:rsidRPr="00C56257">
        <w:rPr>
          <w:color w:val="000000" w:themeColor="text1"/>
          <w:sz w:val="24"/>
          <w:szCs w:val="24"/>
          <w:lang w:val="fr-FR"/>
        </w:rPr>
        <w:t>.</w:t>
      </w:r>
    </w:p>
    <w:p w14:paraId="54398276" w14:textId="77777777" w:rsidR="009870E5" w:rsidRPr="00C56257" w:rsidRDefault="009870E5" w:rsidP="0009479B">
      <w:pPr>
        <w:pStyle w:val="BodyText"/>
        <w:ind w:left="0" w:right="14"/>
        <w:jc w:val="both"/>
        <w:rPr>
          <w:color w:val="000000" w:themeColor="text1"/>
          <w:sz w:val="24"/>
          <w:szCs w:val="24"/>
          <w:lang w:val="fr-FR"/>
        </w:rPr>
      </w:pPr>
    </w:p>
    <w:p w14:paraId="3D4EDC2F" w14:textId="77777777" w:rsidR="009870E5" w:rsidRPr="00C56257" w:rsidRDefault="009870E5" w:rsidP="0009479B">
      <w:pPr>
        <w:pStyle w:val="BodyText"/>
        <w:ind w:left="0" w:right="14"/>
        <w:jc w:val="both"/>
        <w:rPr>
          <w:color w:val="000000" w:themeColor="text1"/>
          <w:sz w:val="24"/>
          <w:szCs w:val="24"/>
          <w:lang w:val="fr-FR"/>
        </w:rPr>
      </w:pPr>
      <w:proofErr w:type="spellStart"/>
      <w:r w:rsidRPr="00C56257">
        <w:rPr>
          <w:color w:val="000000" w:themeColor="text1"/>
          <w:sz w:val="24"/>
          <w:szCs w:val="24"/>
          <w:lang w:val="fr-FR"/>
        </w:rPr>
        <w:t>În</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urma</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identificării</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categoriilor</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presiuni</w:t>
      </w:r>
      <w:proofErr w:type="spellEnd"/>
      <w:r w:rsidRPr="00C56257">
        <w:rPr>
          <w:color w:val="000000" w:themeColor="text1"/>
          <w:sz w:val="24"/>
          <w:szCs w:val="24"/>
          <w:lang w:val="fr-FR"/>
        </w:rPr>
        <w:t xml:space="preserve">, se </w:t>
      </w:r>
      <w:proofErr w:type="spellStart"/>
      <w:r w:rsidRPr="00C56257">
        <w:rPr>
          <w:color w:val="000000" w:themeColor="text1"/>
          <w:sz w:val="24"/>
          <w:szCs w:val="24"/>
          <w:lang w:val="fr-FR"/>
        </w:rPr>
        <w:t>propune</w:t>
      </w:r>
      <w:proofErr w:type="spellEnd"/>
      <w:r w:rsidRPr="00C56257">
        <w:rPr>
          <w:color w:val="000000" w:themeColor="text1"/>
          <w:sz w:val="24"/>
          <w:szCs w:val="24"/>
          <w:lang w:val="fr-FR"/>
        </w:rPr>
        <w:t xml:space="preserve"> un set de </w:t>
      </w:r>
      <w:proofErr w:type="spellStart"/>
      <w:r w:rsidRPr="00C56257">
        <w:rPr>
          <w:color w:val="000000" w:themeColor="text1"/>
          <w:sz w:val="24"/>
          <w:szCs w:val="24"/>
          <w:lang w:val="fr-FR"/>
        </w:rPr>
        <w:t>măsuri</w:t>
      </w:r>
      <w:proofErr w:type="spellEnd"/>
      <w:r w:rsidRPr="00C56257">
        <w:rPr>
          <w:color w:val="000000" w:themeColor="text1"/>
          <w:sz w:val="24"/>
          <w:szCs w:val="24"/>
          <w:lang w:val="fr-FR"/>
        </w:rPr>
        <w:t xml:space="preserve"> de </w:t>
      </w:r>
      <w:proofErr w:type="spellStart"/>
      <w:r w:rsidRPr="00C56257">
        <w:rPr>
          <w:color w:val="000000" w:themeColor="text1"/>
          <w:sz w:val="24"/>
          <w:szCs w:val="24"/>
          <w:lang w:val="fr-FR"/>
        </w:rPr>
        <w:t>conservare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w:t>
      </w:r>
      <w:proofErr w:type="spellStart"/>
      <w:r w:rsidRPr="00C56257">
        <w:rPr>
          <w:color w:val="000000" w:themeColor="text1"/>
          <w:sz w:val="24"/>
          <w:szCs w:val="24"/>
          <w:lang w:val="fr-FR"/>
        </w:rPr>
        <w:t>generale</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și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particulare</w:t>
      </w:r>
      <w:proofErr w:type="spellEnd"/>
      <w:r w:rsidRPr="00C56257">
        <w:rPr>
          <w:color w:val="000000" w:themeColor="text1"/>
          <w:sz w:val="24"/>
          <w:szCs w:val="24"/>
          <w:lang w:val="fr-FR"/>
        </w:rPr>
        <w:t>),</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adaptate</w:t>
      </w:r>
      <w:proofErr w:type="spellEnd"/>
      <w:r w:rsidRPr="00C56257">
        <w:rPr>
          <w:color w:val="000000" w:themeColor="text1"/>
          <w:sz w:val="24"/>
          <w:szCs w:val="24"/>
          <w:lang w:val="fr-FR"/>
        </w:rPr>
        <w:t xml:space="preserve"> </w:t>
      </w:r>
      <w:proofErr w:type="spellStart"/>
      <w:r w:rsidRPr="00C56257">
        <w:rPr>
          <w:color w:val="000000" w:themeColor="text1"/>
          <w:sz w:val="24"/>
          <w:szCs w:val="24"/>
          <w:lang w:val="fr-FR"/>
        </w:rPr>
        <w:t>grupului</w:t>
      </w:r>
      <w:proofErr w:type="spellEnd"/>
      <w:r w:rsidRPr="00C56257">
        <w:rPr>
          <w:color w:val="000000" w:themeColor="text1"/>
          <w:sz w:val="24"/>
          <w:szCs w:val="24"/>
          <w:lang w:val="fr-FR"/>
        </w:rPr>
        <w:t xml:space="preserve"> de</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habitate</w:t>
      </w:r>
      <w:proofErr w:type="spellEnd"/>
      <w:r w:rsidRPr="00C56257">
        <w:rPr>
          <w:color w:val="000000" w:themeColor="text1"/>
          <w:spacing w:val="-1"/>
          <w:sz w:val="24"/>
          <w:szCs w:val="24"/>
          <w:lang w:val="fr-FR"/>
        </w:rPr>
        <w:t xml:space="preserve"> </w:t>
      </w:r>
      <w:r w:rsidRPr="00C56257">
        <w:rPr>
          <w:color w:val="000000" w:themeColor="text1"/>
          <w:sz w:val="24"/>
          <w:szCs w:val="24"/>
          <w:lang w:val="fr-FR"/>
        </w:rPr>
        <w:t>(</w:t>
      </w:r>
      <w:proofErr w:type="spellStart"/>
      <w:r w:rsidRPr="00C56257">
        <w:rPr>
          <w:color w:val="000000" w:themeColor="text1"/>
          <w:sz w:val="24"/>
          <w:szCs w:val="24"/>
          <w:lang w:val="fr-FR"/>
        </w:rPr>
        <w:t>vezi</w:t>
      </w:r>
      <w:proofErr w:type="spellEnd"/>
      <w:r w:rsidRPr="00C56257">
        <w:rPr>
          <w:color w:val="000000" w:themeColor="text1"/>
          <w:spacing w:val="-1"/>
          <w:sz w:val="24"/>
          <w:szCs w:val="24"/>
          <w:lang w:val="fr-FR"/>
        </w:rPr>
        <w:t xml:space="preserve"> </w:t>
      </w:r>
      <w:proofErr w:type="spellStart"/>
      <w:r w:rsidRPr="00C56257">
        <w:rPr>
          <w:color w:val="000000" w:themeColor="text1"/>
          <w:sz w:val="24"/>
          <w:szCs w:val="24"/>
          <w:lang w:val="fr-FR"/>
        </w:rPr>
        <w:t>tabelul</w:t>
      </w:r>
      <w:proofErr w:type="spellEnd"/>
      <w:r w:rsidRPr="00C56257">
        <w:rPr>
          <w:color w:val="000000" w:themeColor="text1"/>
          <w:sz w:val="24"/>
          <w:szCs w:val="24"/>
          <w:lang w:val="fr-FR"/>
        </w:rPr>
        <w:t xml:space="preserve"> de</w:t>
      </w:r>
      <w:r w:rsidRPr="00C56257">
        <w:rPr>
          <w:color w:val="000000" w:themeColor="text1"/>
          <w:spacing w:val="-1"/>
          <w:sz w:val="24"/>
          <w:szCs w:val="24"/>
          <w:lang w:val="fr-FR"/>
        </w:rPr>
        <w:t xml:space="preserve"> </w:t>
      </w:r>
      <w:r w:rsidRPr="00C56257">
        <w:rPr>
          <w:color w:val="000000" w:themeColor="text1"/>
          <w:sz w:val="24"/>
          <w:szCs w:val="24"/>
          <w:lang w:val="fr-FR"/>
        </w:rPr>
        <w:t>mai</w:t>
      </w:r>
      <w:r w:rsidRPr="00C56257">
        <w:rPr>
          <w:color w:val="000000" w:themeColor="text1"/>
          <w:spacing w:val="-1"/>
          <w:sz w:val="24"/>
          <w:szCs w:val="24"/>
          <w:lang w:val="fr-FR"/>
        </w:rPr>
        <w:t xml:space="preserve"> </w:t>
      </w:r>
      <w:proofErr w:type="spellStart"/>
      <w:r w:rsidRPr="00C56257">
        <w:rPr>
          <w:color w:val="000000" w:themeColor="text1"/>
          <w:sz w:val="24"/>
          <w:szCs w:val="24"/>
          <w:lang w:val="fr-FR"/>
        </w:rPr>
        <w:t>jos</w:t>
      </w:r>
      <w:proofErr w:type="spellEnd"/>
      <w:r w:rsidRPr="00C56257">
        <w:rPr>
          <w:color w:val="000000" w:themeColor="text1"/>
          <w:sz w:val="24"/>
          <w:szCs w:val="24"/>
          <w:lang w:val="fr-FR"/>
        </w:rPr>
        <w:t>).</w:t>
      </w:r>
    </w:p>
    <w:p w14:paraId="1561BF75" w14:textId="77777777" w:rsidR="00E05F03" w:rsidRPr="00C56257" w:rsidRDefault="00E05F03" w:rsidP="008E33FD">
      <w:pPr>
        <w:pStyle w:val="BodyText"/>
        <w:ind w:left="380" w:right="62"/>
        <w:jc w:val="both"/>
        <w:rPr>
          <w:color w:val="000000" w:themeColor="text1"/>
          <w:sz w:val="24"/>
          <w:szCs w:val="24"/>
          <w:lang w:val="fr-FR"/>
        </w:rPr>
      </w:pPr>
    </w:p>
    <w:tbl>
      <w:tblPr>
        <w:tblW w:w="0" w:type="auto"/>
        <w:tblInd w:w="2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50"/>
        <w:gridCol w:w="856"/>
        <w:gridCol w:w="1752"/>
        <w:gridCol w:w="5100"/>
        <w:gridCol w:w="1530"/>
      </w:tblGrid>
      <w:tr w:rsidR="00F07D5E" w:rsidRPr="00C56257" w14:paraId="682A2385" w14:textId="77777777" w:rsidTr="00F07D5E">
        <w:trPr>
          <w:trHeight w:val="760"/>
        </w:trPr>
        <w:tc>
          <w:tcPr>
            <w:tcW w:w="650" w:type="dxa"/>
            <w:shd w:val="clear" w:color="auto" w:fill="8DB4E2"/>
          </w:tcPr>
          <w:p w14:paraId="61FAB0D0" w14:textId="77777777" w:rsidR="00F07D5E" w:rsidRPr="00F100E1" w:rsidRDefault="00F07D5E" w:rsidP="00F100E1">
            <w:pPr>
              <w:widowControl w:val="0"/>
              <w:autoSpaceDE w:val="0"/>
              <w:autoSpaceDN w:val="0"/>
              <w:ind w:left="163" w:right="133" w:firstLine="4"/>
              <w:jc w:val="both"/>
              <w:rPr>
                <w:b/>
              </w:rPr>
            </w:pPr>
            <w:r w:rsidRPr="00F100E1">
              <w:rPr>
                <w:b/>
              </w:rPr>
              <w:t>Nr.</w:t>
            </w:r>
            <w:r w:rsidRPr="00F100E1">
              <w:rPr>
                <w:b/>
                <w:spacing w:val="-52"/>
              </w:rPr>
              <w:t xml:space="preserve"> </w:t>
            </w:r>
            <w:r w:rsidRPr="00F100E1">
              <w:rPr>
                <w:b/>
              </w:rPr>
              <w:t>crt.</w:t>
            </w:r>
          </w:p>
        </w:tc>
        <w:tc>
          <w:tcPr>
            <w:tcW w:w="856" w:type="dxa"/>
            <w:shd w:val="clear" w:color="auto" w:fill="8DB4E2"/>
          </w:tcPr>
          <w:p w14:paraId="695DF613" w14:textId="77777777" w:rsidR="00F07D5E" w:rsidRPr="00F100E1" w:rsidRDefault="00F07D5E" w:rsidP="00F100E1">
            <w:pPr>
              <w:widowControl w:val="0"/>
              <w:autoSpaceDE w:val="0"/>
              <w:autoSpaceDN w:val="0"/>
              <w:spacing w:line="251" w:lineRule="exact"/>
              <w:ind w:right="219"/>
              <w:jc w:val="both"/>
              <w:rPr>
                <w:b/>
              </w:rPr>
            </w:pPr>
            <w:r w:rsidRPr="00F100E1">
              <w:rPr>
                <w:b/>
              </w:rPr>
              <w:t>Cod</w:t>
            </w:r>
          </w:p>
        </w:tc>
        <w:tc>
          <w:tcPr>
            <w:tcW w:w="1752" w:type="dxa"/>
            <w:shd w:val="clear" w:color="auto" w:fill="8DB4E2"/>
          </w:tcPr>
          <w:p w14:paraId="54B620ED" w14:textId="77777777" w:rsidR="00F07D5E" w:rsidRPr="00F100E1" w:rsidRDefault="00F07D5E" w:rsidP="00F100E1">
            <w:pPr>
              <w:widowControl w:val="0"/>
              <w:autoSpaceDE w:val="0"/>
              <w:autoSpaceDN w:val="0"/>
              <w:ind w:left="363" w:right="332" w:firstLine="31"/>
              <w:jc w:val="both"/>
              <w:rPr>
                <w:b/>
              </w:rPr>
            </w:pPr>
            <w:r w:rsidRPr="00F100E1">
              <w:rPr>
                <w:b/>
              </w:rPr>
              <w:t>Măsuri de</w:t>
            </w:r>
            <w:r w:rsidRPr="00F100E1">
              <w:rPr>
                <w:b/>
                <w:spacing w:val="-52"/>
              </w:rPr>
              <w:t xml:space="preserve"> </w:t>
            </w:r>
            <w:r w:rsidRPr="00F100E1">
              <w:rPr>
                <w:b/>
              </w:rPr>
              <w:t>conservare</w:t>
            </w:r>
          </w:p>
        </w:tc>
        <w:tc>
          <w:tcPr>
            <w:tcW w:w="5100" w:type="dxa"/>
            <w:shd w:val="clear" w:color="auto" w:fill="8DB4E2"/>
          </w:tcPr>
          <w:p w14:paraId="6A19FEC2" w14:textId="77777777" w:rsidR="00F07D5E" w:rsidRPr="00F100E1" w:rsidRDefault="00F07D5E" w:rsidP="00B77E3F">
            <w:pPr>
              <w:widowControl w:val="0"/>
              <w:autoSpaceDE w:val="0"/>
              <w:autoSpaceDN w:val="0"/>
              <w:spacing w:line="251" w:lineRule="exact"/>
              <w:ind w:right="1457"/>
              <w:jc w:val="both"/>
              <w:rPr>
                <w:b/>
              </w:rPr>
            </w:pPr>
            <w:r w:rsidRPr="00F100E1">
              <w:rPr>
                <w:b/>
              </w:rPr>
              <w:t>Descriere</w:t>
            </w:r>
          </w:p>
        </w:tc>
        <w:tc>
          <w:tcPr>
            <w:tcW w:w="1530" w:type="dxa"/>
            <w:shd w:val="clear" w:color="auto" w:fill="8DB4E2"/>
          </w:tcPr>
          <w:p w14:paraId="024F5071" w14:textId="77777777" w:rsidR="00F07D5E" w:rsidRPr="00F100E1" w:rsidRDefault="00F07D5E" w:rsidP="00F100E1">
            <w:pPr>
              <w:widowControl w:val="0"/>
              <w:autoSpaceDE w:val="0"/>
              <w:autoSpaceDN w:val="0"/>
              <w:spacing w:line="251" w:lineRule="exact"/>
              <w:ind w:left="126" w:right="115"/>
              <w:jc w:val="both"/>
              <w:rPr>
                <w:b/>
              </w:rPr>
            </w:pPr>
            <w:r w:rsidRPr="00F100E1">
              <w:rPr>
                <w:b/>
              </w:rPr>
              <w:t>Principalele</w:t>
            </w:r>
          </w:p>
          <w:p w14:paraId="37CDAB1C" w14:textId="77777777" w:rsidR="00F07D5E" w:rsidRPr="00F100E1" w:rsidRDefault="00F07D5E" w:rsidP="00F100E1">
            <w:pPr>
              <w:widowControl w:val="0"/>
              <w:autoSpaceDE w:val="0"/>
              <w:autoSpaceDN w:val="0"/>
              <w:spacing w:line="252" w:lineRule="exact"/>
              <w:ind w:left="287" w:right="271" w:hanging="1"/>
              <w:jc w:val="both"/>
              <w:rPr>
                <w:b/>
              </w:rPr>
            </w:pPr>
            <w:r w:rsidRPr="00F100E1">
              <w:rPr>
                <w:b/>
              </w:rPr>
              <w:t>presiuni</w:t>
            </w:r>
            <w:r w:rsidRPr="00F100E1">
              <w:rPr>
                <w:b/>
                <w:spacing w:val="1"/>
              </w:rPr>
              <w:t xml:space="preserve"> </w:t>
            </w:r>
            <w:r w:rsidRPr="00F100E1">
              <w:rPr>
                <w:b/>
              </w:rPr>
              <w:t>abordate</w:t>
            </w:r>
          </w:p>
        </w:tc>
      </w:tr>
      <w:tr w:rsidR="00F07D5E" w:rsidRPr="00C56257" w14:paraId="00A2A000" w14:textId="77777777" w:rsidTr="0009479B">
        <w:trPr>
          <w:trHeight w:val="4042"/>
        </w:trPr>
        <w:tc>
          <w:tcPr>
            <w:tcW w:w="650" w:type="dxa"/>
          </w:tcPr>
          <w:p w14:paraId="33A187B3" w14:textId="77777777" w:rsidR="00F07D5E" w:rsidRPr="00F100E1" w:rsidRDefault="00F07D5E" w:rsidP="00F100E1">
            <w:pPr>
              <w:widowControl w:val="0"/>
              <w:autoSpaceDE w:val="0"/>
              <w:autoSpaceDN w:val="0"/>
              <w:spacing w:line="247" w:lineRule="exact"/>
              <w:ind w:left="107"/>
              <w:jc w:val="both"/>
            </w:pPr>
            <w:r w:rsidRPr="00F100E1">
              <w:t>1.</w:t>
            </w:r>
          </w:p>
        </w:tc>
        <w:tc>
          <w:tcPr>
            <w:tcW w:w="856" w:type="dxa"/>
          </w:tcPr>
          <w:p w14:paraId="56DFA475" w14:textId="77777777" w:rsidR="00F07D5E" w:rsidRPr="00C56257" w:rsidRDefault="00F07D5E" w:rsidP="00F100E1">
            <w:pPr>
              <w:widowControl w:val="0"/>
              <w:autoSpaceDE w:val="0"/>
              <w:autoSpaceDN w:val="0"/>
              <w:jc w:val="both"/>
            </w:pPr>
          </w:p>
          <w:p w14:paraId="5CB512D0" w14:textId="77777777" w:rsidR="00F07D5E" w:rsidRPr="00C56257" w:rsidRDefault="00F07D5E" w:rsidP="00F100E1">
            <w:pPr>
              <w:widowControl w:val="0"/>
              <w:autoSpaceDE w:val="0"/>
              <w:autoSpaceDN w:val="0"/>
              <w:jc w:val="both"/>
            </w:pPr>
          </w:p>
          <w:p w14:paraId="299FAE80" w14:textId="77777777" w:rsidR="00F07D5E" w:rsidRPr="00C56257" w:rsidRDefault="00F07D5E" w:rsidP="00F100E1">
            <w:pPr>
              <w:widowControl w:val="0"/>
              <w:autoSpaceDE w:val="0"/>
              <w:autoSpaceDN w:val="0"/>
              <w:jc w:val="both"/>
            </w:pPr>
          </w:p>
          <w:p w14:paraId="6DF61E6B" w14:textId="77777777" w:rsidR="00F07D5E" w:rsidRPr="00C56257" w:rsidRDefault="00F07D5E" w:rsidP="00F100E1">
            <w:pPr>
              <w:widowControl w:val="0"/>
              <w:autoSpaceDE w:val="0"/>
              <w:autoSpaceDN w:val="0"/>
              <w:jc w:val="both"/>
            </w:pPr>
          </w:p>
          <w:p w14:paraId="15F9D85F" w14:textId="77777777" w:rsidR="00F07D5E" w:rsidRPr="00C56257" w:rsidRDefault="00F07D5E" w:rsidP="00F100E1">
            <w:pPr>
              <w:widowControl w:val="0"/>
              <w:autoSpaceDE w:val="0"/>
              <w:autoSpaceDN w:val="0"/>
              <w:jc w:val="both"/>
            </w:pPr>
          </w:p>
          <w:p w14:paraId="2CEE84C3" w14:textId="77777777" w:rsidR="00F07D5E" w:rsidRPr="00C56257" w:rsidRDefault="00F07D5E" w:rsidP="00F100E1">
            <w:pPr>
              <w:widowControl w:val="0"/>
              <w:autoSpaceDE w:val="0"/>
              <w:autoSpaceDN w:val="0"/>
              <w:jc w:val="both"/>
            </w:pPr>
          </w:p>
          <w:p w14:paraId="5567F4EB" w14:textId="77777777" w:rsidR="00F07D5E" w:rsidRPr="00F100E1" w:rsidRDefault="00F07D5E" w:rsidP="00F100E1">
            <w:pPr>
              <w:widowControl w:val="0"/>
              <w:autoSpaceDE w:val="0"/>
              <w:autoSpaceDN w:val="0"/>
              <w:spacing w:before="4"/>
              <w:jc w:val="both"/>
            </w:pPr>
          </w:p>
          <w:p w14:paraId="102BD189" w14:textId="77777777" w:rsidR="00F07D5E" w:rsidRPr="00F100E1" w:rsidRDefault="00F07D5E" w:rsidP="00F100E1">
            <w:pPr>
              <w:widowControl w:val="0"/>
              <w:autoSpaceDE w:val="0"/>
              <w:autoSpaceDN w:val="0"/>
              <w:ind w:right="210"/>
              <w:jc w:val="both"/>
            </w:pPr>
            <w:r w:rsidRPr="00F100E1">
              <w:t>CA09</w:t>
            </w:r>
          </w:p>
        </w:tc>
        <w:tc>
          <w:tcPr>
            <w:tcW w:w="1752" w:type="dxa"/>
          </w:tcPr>
          <w:p w14:paraId="7C123967" w14:textId="77777777" w:rsidR="00F07D5E" w:rsidRPr="00C56257" w:rsidRDefault="00F07D5E" w:rsidP="00F100E1">
            <w:pPr>
              <w:widowControl w:val="0"/>
              <w:autoSpaceDE w:val="0"/>
              <w:autoSpaceDN w:val="0"/>
              <w:jc w:val="both"/>
            </w:pPr>
          </w:p>
          <w:p w14:paraId="62310CF1" w14:textId="77777777" w:rsidR="00F07D5E" w:rsidRPr="00C56257" w:rsidRDefault="00F07D5E" w:rsidP="00F100E1">
            <w:pPr>
              <w:widowControl w:val="0"/>
              <w:autoSpaceDE w:val="0"/>
              <w:autoSpaceDN w:val="0"/>
              <w:jc w:val="both"/>
            </w:pPr>
          </w:p>
          <w:p w14:paraId="0ECA6261" w14:textId="77777777" w:rsidR="00F07D5E" w:rsidRPr="00F100E1" w:rsidRDefault="00F07D5E" w:rsidP="00F100E1">
            <w:pPr>
              <w:widowControl w:val="0"/>
              <w:autoSpaceDE w:val="0"/>
              <w:autoSpaceDN w:val="0"/>
              <w:spacing w:before="5"/>
              <w:jc w:val="both"/>
            </w:pPr>
          </w:p>
          <w:p w14:paraId="052CDB24" w14:textId="77777777" w:rsidR="00F07D5E" w:rsidRPr="00F100E1" w:rsidRDefault="00F07D5E" w:rsidP="00F100E1">
            <w:pPr>
              <w:widowControl w:val="0"/>
              <w:autoSpaceDE w:val="0"/>
              <w:autoSpaceDN w:val="0"/>
              <w:ind w:left="108" w:right="233"/>
              <w:jc w:val="both"/>
            </w:pPr>
            <w:r w:rsidRPr="00F100E1">
              <w:t>Gestionarea,</w:t>
            </w:r>
            <w:r w:rsidRPr="00F100E1">
              <w:rPr>
                <w:spacing w:val="1"/>
              </w:rPr>
              <w:t xml:space="preserve"> </w:t>
            </w:r>
            <w:r w:rsidRPr="00F100E1">
              <w:t>utilizarea</w:t>
            </w:r>
            <w:r w:rsidRPr="00F100E1">
              <w:rPr>
                <w:spacing w:val="1"/>
              </w:rPr>
              <w:t xml:space="preserve"> </w:t>
            </w:r>
            <w:r w:rsidRPr="00F100E1">
              <w:t>îngrășămintelor</w:t>
            </w:r>
            <w:r w:rsidRPr="00F100E1">
              <w:rPr>
                <w:spacing w:val="-52"/>
              </w:rPr>
              <w:t xml:space="preserve"> </w:t>
            </w:r>
            <w:r w:rsidRPr="00F100E1">
              <w:t>naturale</w:t>
            </w:r>
            <w:r w:rsidRPr="00F100E1">
              <w:rPr>
                <w:spacing w:val="-1"/>
              </w:rPr>
              <w:t xml:space="preserve"> </w:t>
            </w:r>
            <w:r w:rsidRPr="00F100E1">
              <w:t>și</w:t>
            </w:r>
            <w:r w:rsidRPr="00F100E1">
              <w:rPr>
                <w:spacing w:val="1"/>
              </w:rPr>
              <w:t xml:space="preserve"> </w:t>
            </w:r>
            <w:r w:rsidRPr="00F100E1">
              <w:t>a</w:t>
            </w:r>
            <w:r w:rsidRPr="00F100E1">
              <w:rPr>
                <w:spacing w:val="1"/>
              </w:rPr>
              <w:t xml:space="preserve"> </w:t>
            </w:r>
            <w:r w:rsidRPr="00F100E1">
              <w:t>substanțelor</w:t>
            </w:r>
            <w:r w:rsidRPr="00F100E1">
              <w:rPr>
                <w:spacing w:val="1"/>
              </w:rPr>
              <w:t xml:space="preserve"> </w:t>
            </w:r>
            <w:r w:rsidRPr="00F100E1">
              <w:t>chimice în</w:t>
            </w:r>
            <w:r w:rsidRPr="00F100E1">
              <w:rPr>
                <w:spacing w:val="1"/>
              </w:rPr>
              <w:t xml:space="preserve"> </w:t>
            </w:r>
            <w:r w:rsidRPr="00F100E1">
              <w:t>producția</w:t>
            </w:r>
            <w:r w:rsidRPr="00F100E1">
              <w:rPr>
                <w:spacing w:val="1"/>
              </w:rPr>
              <w:t xml:space="preserve"> </w:t>
            </w:r>
            <w:r w:rsidRPr="00F100E1">
              <w:t>agricolă</w:t>
            </w:r>
            <w:r w:rsidRPr="00F100E1">
              <w:rPr>
                <w:spacing w:val="1"/>
              </w:rPr>
              <w:t xml:space="preserve"> </w:t>
            </w:r>
            <w:r w:rsidRPr="00F100E1">
              <w:t>(vegetală și</w:t>
            </w:r>
            <w:r w:rsidRPr="00F100E1">
              <w:rPr>
                <w:spacing w:val="1"/>
              </w:rPr>
              <w:t xml:space="preserve"> </w:t>
            </w:r>
            <w:r w:rsidRPr="00F100E1">
              <w:t>animală)</w:t>
            </w:r>
          </w:p>
        </w:tc>
        <w:tc>
          <w:tcPr>
            <w:tcW w:w="5100" w:type="dxa"/>
          </w:tcPr>
          <w:p w14:paraId="24DF9486" w14:textId="77777777" w:rsidR="00F07D5E" w:rsidRPr="00F100E1" w:rsidRDefault="00F07D5E" w:rsidP="00F100E1">
            <w:pPr>
              <w:widowControl w:val="0"/>
              <w:autoSpaceDE w:val="0"/>
              <w:autoSpaceDN w:val="0"/>
              <w:ind w:left="109" w:right="304"/>
              <w:jc w:val="both"/>
            </w:pPr>
            <w:r w:rsidRPr="00F100E1">
              <w:t>Gestionarea</w:t>
            </w:r>
            <w:r w:rsidRPr="00F100E1">
              <w:rPr>
                <w:spacing w:val="-4"/>
              </w:rPr>
              <w:t xml:space="preserve"> </w:t>
            </w:r>
            <w:r w:rsidRPr="00F100E1">
              <w:t>(reducerea</w:t>
            </w:r>
            <w:r w:rsidRPr="00F100E1">
              <w:rPr>
                <w:spacing w:val="-2"/>
              </w:rPr>
              <w:t xml:space="preserve"> </w:t>
            </w:r>
            <w:r w:rsidRPr="00F100E1">
              <w:t>sau</w:t>
            </w:r>
            <w:r w:rsidRPr="00F100E1">
              <w:rPr>
                <w:spacing w:val="-7"/>
              </w:rPr>
              <w:t xml:space="preserve"> </w:t>
            </w:r>
            <w:r w:rsidRPr="00F100E1">
              <w:t>eliminarea)</w:t>
            </w:r>
            <w:r w:rsidRPr="00F100E1">
              <w:rPr>
                <w:spacing w:val="-52"/>
              </w:rPr>
              <w:t xml:space="preserve"> </w:t>
            </w:r>
            <w:r w:rsidRPr="00F100E1">
              <w:t>utilizării:</w:t>
            </w:r>
          </w:p>
          <w:p w14:paraId="3051A51C" w14:textId="77777777" w:rsidR="00F07D5E" w:rsidRPr="00F100E1" w:rsidRDefault="00F07D5E" w:rsidP="009E63E5">
            <w:pPr>
              <w:widowControl w:val="0"/>
              <w:numPr>
                <w:ilvl w:val="0"/>
                <w:numId w:val="168"/>
              </w:numPr>
              <w:tabs>
                <w:tab w:val="left" w:pos="235"/>
              </w:tabs>
              <w:autoSpaceDE w:val="0"/>
              <w:autoSpaceDN w:val="0"/>
              <w:ind w:right="398" w:firstLine="0"/>
              <w:jc w:val="both"/>
            </w:pPr>
            <w:r w:rsidRPr="00F100E1">
              <w:t>îngrășăminte (de exemplu, minerale,</w:t>
            </w:r>
            <w:r w:rsidRPr="00F100E1">
              <w:rPr>
                <w:spacing w:val="-52"/>
              </w:rPr>
              <w:t xml:space="preserve"> </w:t>
            </w:r>
            <w:r w:rsidRPr="00F100E1">
              <w:t>gunoi de</w:t>
            </w:r>
            <w:r w:rsidRPr="00F100E1">
              <w:rPr>
                <w:spacing w:val="-1"/>
              </w:rPr>
              <w:t xml:space="preserve"> </w:t>
            </w:r>
            <w:r w:rsidRPr="00F100E1">
              <w:t>grajd,</w:t>
            </w:r>
            <w:r w:rsidRPr="00F100E1">
              <w:rPr>
                <w:spacing w:val="-1"/>
              </w:rPr>
              <w:t xml:space="preserve"> </w:t>
            </w:r>
            <w:r w:rsidRPr="00F100E1">
              <w:t>nămol</w:t>
            </w:r>
            <w:r w:rsidRPr="00F100E1">
              <w:rPr>
                <w:spacing w:val="1"/>
              </w:rPr>
              <w:t xml:space="preserve"> </w:t>
            </w:r>
            <w:r w:rsidRPr="00F100E1">
              <w:t>biologic)</w:t>
            </w:r>
          </w:p>
          <w:p w14:paraId="4737E123" w14:textId="77777777" w:rsidR="00F07D5E" w:rsidRPr="00F100E1" w:rsidRDefault="00F07D5E" w:rsidP="009E63E5">
            <w:pPr>
              <w:widowControl w:val="0"/>
              <w:numPr>
                <w:ilvl w:val="0"/>
                <w:numId w:val="168"/>
              </w:numPr>
              <w:tabs>
                <w:tab w:val="left" w:pos="235"/>
              </w:tabs>
              <w:autoSpaceDE w:val="0"/>
              <w:autoSpaceDN w:val="0"/>
              <w:ind w:right="203" w:firstLine="0"/>
              <w:jc w:val="both"/>
            </w:pPr>
            <w:r w:rsidRPr="00F100E1">
              <w:t>pesticide, fungicide, tratarea de</w:t>
            </w:r>
            <w:r w:rsidRPr="00F100E1">
              <w:rPr>
                <w:spacing w:val="1"/>
              </w:rPr>
              <w:t xml:space="preserve"> </w:t>
            </w:r>
            <w:r w:rsidRPr="00F100E1">
              <w:t>semințelor, erbicide, agenți de întârziere</w:t>
            </w:r>
            <w:r w:rsidRPr="00F100E1">
              <w:rPr>
                <w:spacing w:val="-52"/>
              </w:rPr>
              <w:t xml:space="preserve"> </w:t>
            </w:r>
            <w:r w:rsidRPr="00F100E1">
              <w:t>a creșterii, hormoni și alte substanțe</w:t>
            </w:r>
            <w:r w:rsidRPr="00F100E1">
              <w:rPr>
                <w:spacing w:val="1"/>
              </w:rPr>
              <w:t xml:space="preserve"> </w:t>
            </w:r>
            <w:r w:rsidRPr="00F100E1">
              <w:t>chimice</w:t>
            </w:r>
            <w:r w:rsidRPr="00F100E1">
              <w:rPr>
                <w:spacing w:val="-1"/>
              </w:rPr>
              <w:t xml:space="preserve"> </w:t>
            </w:r>
            <w:r w:rsidRPr="00F100E1">
              <w:t>utilizate</w:t>
            </w:r>
            <w:r w:rsidRPr="00F100E1">
              <w:rPr>
                <w:spacing w:val="-1"/>
              </w:rPr>
              <w:t xml:space="preserve"> </w:t>
            </w:r>
            <w:r w:rsidRPr="00F100E1">
              <w:t>în</w:t>
            </w:r>
            <w:r w:rsidRPr="00F100E1">
              <w:rPr>
                <w:spacing w:val="-4"/>
              </w:rPr>
              <w:t xml:space="preserve"> </w:t>
            </w:r>
            <w:r w:rsidRPr="00F100E1">
              <w:t>producția</w:t>
            </w:r>
            <w:r w:rsidRPr="00F100E1">
              <w:rPr>
                <w:spacing w:val="-1"/>
              </w:rPr>
              <w:t xml:space="preserve"> </w:t>
            </w:r>
            <w:r w:rsidRPr="00F100E1">
              <w:t>de</w:t>
            </w:r>
            <w:r w:rsidRPr="00F100E1">
              <w:rPr>
                <w:spacing w:val="-3"/>
              </w:rPr>
              <w:t xml:space="preserve"> </w:t>
            </w:r>
            <w:r w:rsidRPr="00F100E1">
              <w:t>plante</w:t>
            </w:r>
          </w:p>
          <w:p w14:paraId="45C4DDDF" w14:textId="77777777" w:rsidR="00F07D5E" w:rsidRPr="00F100E1" w:rsidRDefault="00F07D5E" w:rsidP="009E63E5">
            <w:pPr>
              <w:widowControl w:val="0"/>
              <w:numPr>
                <w:ilvl w:val="0"/>
                <w:numId w:val="168"/>
              </w:numPr>
              <w:tabs>
                <w:tab w:val="left" w:pos="235"/>
              </w:tabs>
              <w:autoSpaceDE w:val="0"/>
              <w:autoSpaceDN w:val="0"/>
              <w:ind w:right="1040" w:firstLine="0"/>
              <w:jc w:val="both"/>
            </w:pPr>
            <w:r w:rsidRPr="00F100E1">
              <w:t>rodenticide și alte produse de</w:t>
            </w:r>
            <w:r w:rsidRPr="00F100E1">
              <w:rPr>
                <w:spacing w:val="-52"/>
              </w:rPr>
              <w:t xml:space="preserve"> </w:t>
            </w:r>
            <w:r w:rsidRPr="00F100E1">
              <w:t>combatere</w:t>
            </w:r>
            <w:r w:rsidRPr="00F100E1">
              <w:rPr>
                <w:spacing w:val="-3"/>
              </w:rPr>
              <w:t xml:space="preserve"> </w:t>
            </w:r>
            <w:r w:rsidRPr="00F100E1">
              <w:t>a dăunătorilor</w:t>
            </w:r>
          </w:p>
          <w:p w14:paraId="2C808BE7" w14:textId="77777777" w:rsidR="00F07D5E" w:rsidRPr="00F100E1" w:rsidRDefault="00F07D5E" w:rsidP="009E63E5">
            <w:pPr>
              <w:widowControl w:val="0"/>
              <w:numPr>
                <w:ilvl w:val="0"/>
                <w:numId w:val="168"/>
              </w:numPr>
              <w:tabs>
                <w:tab w:val="left" w:pos="237"/>
              </w:tabs>
              <w:autoSpaceDE w:val="0"/>
              <w:autoSpaceDN w:val="0"/>
              <w:ind w:right="173" w:firstLine="0"/>
              <w:jc w:val="both"/>
            </w:pPr>
            <w:r w:rsidRPr="00F100E1">
              <w:t>viermicide și alte produse veterinare</w:t>
            </w:r>
            <w:r w:rsidRPr="00F100E1">
              <w:rPr>
                <w:spacing w:val="1"/>
              </w:rPr>
              <w:t xml:space="preserve"> </w:t>
            </w:r>
            <w:r w:rsidRPr="00F100E1">
              <w:t>utilizate în producția animală (de</w:t>
            </w:r>
            <w:r w:rsidRPr="00F100E1">
              <w:rPr>
                <w:spacing w:val="1"/>
              </w:rPr>
              <w:t xml:space="preserve"> </w:t>
            </w:r>
            <w:r w:rsidRPr="00F100E1">
              <w:t>exemplu, diclofenac și / sau alte produse</w:t>
            </w:r>
            <w:r w:rsidRPr="00F100E1">
              <w:rPr>
                <w:spacing w:val="-52"/>
              </w:rPr>
              <w:t xml:space="preserve"> </w:t>
            </w:r>
            <w:r w:rsidRPr="00F100E1">
              <w:t>veterinare</w:t>
            </w:r>
            <w:r w:rsidRPr="00F100E1">
              <w:rPr>
                <w:spacing w:val="-1"/>
              </w:rPr>
              <w:t xml:space="preserve"> </w:t>
            </w:r>
            <w:r w:rsidRPr="00F100E1">
              <w:t>similare).</w:t>
            </w:r>
          </w:p>
          <w:p w14:paraId="5A83F93A" w14:textId="77777777" w:rsidR="00F07D5E" w:rsidRPr="00F100E1" w:rsidRDefault="00F07D5E" w:rsidP="00F100E1">
            <w:pPr>
              <w:widowControl w:val="0"/>
              <w:autoSpaceDE w:val="0"/>
              <w:autoSpaceDN w:val="0"/>
              <w:spacing w:line="251" w:lineRule="exact"/>
              <w:ind w:left="109"/>
              <w:jc w:val="both"/>
            </w:pPr>
            <w:r w:rsidRPr="00F100E1">
              <w:t>De</w:t>
            </w:r>
            <w:r w:rsidRPr="00F100E1">
              <w:rPr>
                <w:spacing w:val="-2"/>
              </w:rPr>
              <w:t xml:space="preserve"> </w:t>
            </w:r>
            <w:r w:rsidRPr="00F100E1">
              <w:t>asemenea</w:t>
            </w:r>
            <w:r w:rsidRPr="00F100E1">
              <w:rPr>
                <w:spacing w:val="-3"/>
              </w:rPr>
              <w:t xml:space="preserve"> </w:t>
            </w:r>
            <w:r w:rsidRPr="00F100E1">
              <w:t>include</w:t>
            </w:r>
            <w:r w:rsidRPr="00F100E1">
              <w:rPr>
                <w:spacing w:val="-2"/>
              </w:rPr>
              <w:t xml:space="preserve"> </w:t>
            </w:r>
            <w:r w:rsidRPr="00F100E1">
              <w:t>dezvoltarea</w:t>
            </w:r>
            <w:r w:rsidRPr="00F100E1">
              <w:rPr>
                <w:spacing w:val="-3"/>
              </w:rPr>
              <w:t xml:space="preserve"> </w:t>
            </w:r>
            <w:r w:rsidRPr="00F100E1">
              <w:t>și</w:t>
            </w:r>
          </w:p>
          <w:p w14:paraId="13FD1DE2" w14:textId="77777777" w:rsidR="00F07D5E" w:rsidRPr="00F100E1" w:rsidRDefault="00F07D5E" w:rsidP="00F100E1">
            <w:pPr>
              <w:widowControl w:val="0"/>
              <w:autoSpaceDE w:val="0"/>
              <w:autoSpaceDN w:val="0"/>
              <w:spacing w:line="252" w:lineRule="exact"/>
              <w:ind w:left="109" w:right="138"/>
              <w:jc w:val="both"/>
            </w:pPr>
            <w:r w:rsidRPr="00F100E1">
              <w:t>menținerea promontorilor de conservare,</w:t>
            </w:r>
            <w:r w:rsidRPr="00F100E1">
              <w:rPr>
                <w:spacing w:val="-52"/>
              </w:rPr>
              <w:t xml:space="preserve"> </w:t>
            </w:r>
            <w:r w:rsidRPr="00F100E1">
              <w:t>sau</w:t>
            </w:r>
            <w:r w:rsidRPr="00F100E1">
              <w:rPr>
                <w:spacing w:val="-1"/>
              </w:rPr>
              <w:t xml:space="preserve"> </w:t>
            </w:r>
            <w:r w:rsidRPr="00F100E1">
              <w:t>a marginilor</w:t>
            </w:r>
            <w:r w:rsidRPr="00F100E1">
              <w:rPr>
                <w:spacing w:val="-2"/>
              </w:rPr>
              <w:t xml:space="preserve"> </w:t>
            </w:r>
            <w:r w:rsidRPr="00F100E1">
              <w:t>culturilor.</w:t>
            </w:r>
          </w:p>
        </w:tc>
        <w:tc>
          <w:tcPr>
            <w:tcW w:w="1530" w:type="dxa"/>
          </w:tcPr>
          <w:p w14:paraId="70702B95" w14:textId="77777777" w:rsidR="00F07D5E" w:rsidRPr="00C56257" w:rsidRDefault="00F07D5E" w:rsidP="00F100E1">
            <w:pPr>
              <w:widowControl w:val="0"/>
              <w:autoSpaceDE w:val="0"/>
              <w:autoSpaceDN w:val="0"/>
              <w:jc w:val="both"/>
            </w:pPr>
          </w:p>
          <w:p w14:paraId="1A44F415" w14:textId="77777777" w:rsidR="00F07D5E" w:rsidRPr="00C56257" w:rsidRDefault="00F07D5E" w:rsidP="00F100E1">
            <w:pPr>
              <w:widowControl w:val="0"/>
              <w:autoSpaceDE w:val="0"/>
              <w:autoSpaceDN w:val="0"/>
              <w:jc w:val="both"/>
            </w:pPr>
          </w:p>
          <w:p w14:paraId="62549455" w14:textId="77777777" w:rsidR="00F07D5E" w:rsidRPr="00C56257" w:rsidRDefault="00F07D5E" w:rsidP="00F100E1">
            <w:pPr>
              <w:widowControl w:val="0"/>
              <w:autoSpaceDE w:val="0"/>
              <w:autoSpaceDN w:val="0"/>
              <w:jc w:val="both"/>
            </w:pPr>
          </w:p>
          <w:p w14:paraId="61CB5E63" w14:textId="77777777" w:rsidR="00F07D5E" w:rsidRPr="00C56257" w:rsidRDefault="00F07D5E" w:rsidP="00F100E1">
            <w:pPr>
              <w:widowControl w:val="0"/>
              <w:autoSpaceDE w:val="0"/>
              <w:autoSpaceDN w:val="0"/>
              <w:jc w:val="both"/>
            </w:pPr>
          </w:p>
          <w:p w14:paraId="51F0F02E" w14:textId="77777777" w:rsidR="00F07D5E" w:rsidRPr="00C56257" w:rsidRDefault="00F07D5E" w:rsidP="00F100E1">
            <w:pPr>
              <w:widowControl w:val="0"/>
              <w:autoSpaceDE w:val="0"/>
              <w:autoSpaceDN w:val="0"/>
              <w:jc w:val="both"/>
            </w:pPr>
          </w:p>
          <w:p w14:paraId="233AE3FD" w14:textId="77777777" w:rsidR="00F07D5E" w:rsidRPr="00F100E1" w:rsidRDefault="00F07D5E" w:rsidP="00F100E1">
            <w:pPr>
              <w:widowControl w:val="0"/>
              <w:autoSpaceDE w:val="0"/>
              <w:autoSpaceDN w:val="0"/>
              <w:spacing w:before="5"/>
              <w:jc w:val="both"/>
            </w:pPr>
          </w:p>
          <w:p w14:paraId="25491B22" w14:textId="77777777" w:rsidR="00F07D5E" w:rsidRPr="00F100E1" w:rsidRDefault="00F07D5E" w:rsidP="00F100E1">
            <w:pPr>
              <w:widowControl w:val="0"/>
              <w:autoSpaceDE w:val="0"/>
              <w:autoSpaceDN w:val="0"/>
              <w:ind w:left="110" w:right="225"/>
              <w:jc w:val="both"/>
            </w:pPr>
            <w:r w:rsidRPr="00F100E1">
              <w:t>A14 parţial,</w:t>
            </w:r>
            <w:r w:rsidRPr="00F100E1">
              <w:rPr>
                <w:spacing w:val="-52"/>
              </w:rPr>
              <w:t xml:space="preserve"> </w:t>
            </w:r>
            <w:r w:rsidRPr="00F100E1">
              <w:t>A19, A20,</w:t>
            </w:r>
            <w:r w:rsidRPr="00F100E1">
              <w:rPr>
                <w:spacing w:val="1"/>
              </w:rPr>
              <w:t xml:space="preserve"> </w:t>
            </w:r>
            <w:r w:rsidRPr="00F100E1">
              <w:t>A21</w:t>
            </w:r>
          </w:p>
        </w:tc>
      </w:tr>
      <w:tr w:rsidR="00F07D5E" w:rsidRPr="00C56257" w14:paraId="230CFA66" w14:textId="77777777" w:rsidTr="00F07D5E">
        <w:trPr>
          <w:trHeight w:val="1517"/>
        </w:trPr>
        <w:tc>
          <w:tcPr>
            <w:tcW w:w="650" w:type="dxa"/>
          </w:tcPr>
          <w:p w14:paraId="79E0DFC3" w14:textId="77777777" w:rsidR="00F07D5E" w:rsidRPr="00F100E1" w:rsidRDefault="00F07D5E" w:rsidP="00F100E1">
            <w:pPr>
              <w:widowControl w:val="0"/>
              <w:autoSpaceDE w:val="0"/>
              <w:autoSpaceDN w:val="0"/>
              <w:spacing w:line="247" w:lineRule="exact"/>
              <w:ind w:left="107"/>
              <w:jc w:val="both"/>
            </w:pPr>
            <w:r w:rsidRPr="00F100E1">
              <w:t>2.</w:t>
            </w:r>
          </w:p>
        </w:tc>
        <w:tc>
          <w:tcPr>
            <w:tcW w:w="856" w:type="dxa"/>
          </w:tcPr>
          <w:p w14:paraId="42F52BC9" w14:textId="77777777" w:rsidR="00F07D5E" w:rsidRPr="00C56257" w:rsidRDefault="00F07D5E" w:rsidP="00F100E1">
            <w:pPr>
              <w:widowControl w:val="0"/>
              <w:autoSpaceDE w:val="0"/>
              <w:autoSpaceDN w:val="0"/>
              <w:jc w:val="both"/>
            </w:pPr>
          </w:p>
          <w:p w14:paraId="529D8B45" w14:textId="77777777" w:rsidR="00F07D5E" w:rsidRPr="00F100E1" w:rsidRDefault="00F07D5E" w:rsidP="00F100E1">
            <w:pPr>
              <w:widowControl w:val="0"/>
              <w:autoSpaceDE w:val="0"/>
              <w:autoSpaceDN w:val="0"/>
              <w:spacing w:before="3"/>
              <w:jc w:val="both"/>
            </w:pPr>
          </w:p>
          <w:p w14:paraId="00F4BA53" w14:textId="77777777" w:rsidR="00F07D5E" w:rsidRPr="00F100E1" w:rsidRDefault="00F07D5E" w:rsidP="00F100E1">
            <w:pPr>
              <w:widowControl w:val="0"/>
              <w:autoSpaceDE w:val="0"/>
              <w:autoSpaceDN w:val="0"/>
              <w:spacing w:before="1"/>
              <w:ind w:right="210"/>
              <w:jc w:val="both"/>
            </w:pPr>
            <w:r w:rsidRPr="00F100E1">
              <w:t>CA16</w:t>
            </w:r>
          </w:p>
        </w:tc>
        <w:tc>
          <w:tcPr>
            <w:tcW w:w="1752" w:type="dxa"/>
          </w:tcPr>
          <w:p w14:paraId="479CB6FA" w14:textId="77777777" w:rsidR="00F07D5E" w:rsidRPr="00F100E1" w:rsidRDefault="00F07D5E" w:rsidP="00F100E1">
            <w:pPr>
              <w:widowControl w:val="0"/>
              <w:autoSpaceDE w:val="0"/>
              <w:autoSpaceDN w:val="0"/>
              <w:ind w:left="108" w:right="581"/>
              <w:jc w:val="both"/>
            </w:pPr>
            <w:r w:rsidRPr="00F100E1">
              <w:t>Alte măsuri</w:t>
            </w:r>
            <w:r w:rsidRPr="00F100E1">
              <w:rPr>
                <w:spacing w:val="-52"/>
              </w:rPr>
              <w:t xml:space="preserve"> </w:t>
            </w:r>
            <w:r w:rsidRPr="00F100E1">
              <w:t>legate de</w:t>
            </w:r>
            <w:r w:rsidRPr="00F100E1">
              <w:rPr>
                <w:spacing w:val="1"/>
              </w:rPr>
              <w:t xml:space="preserve"> </w:t>
            </w:r>
            <w:r w:rsidRPr="00F100E1">
              <w:t>practicile</w:t>
            </w:r>
            <w:r w:rsidRPr="00F100E1">
              <w:rPr>
                <w:spacing w:val="1"/>
              </w:rPr>
              <w:t xml:space="preserve"> </w:t>
            </w:r>
            <w:r w:rsidRPr="00F100E1">
              <w:t>agricole</w:t>
            </w:r>
          </w:p>
        </w:tc>
        <w:tc>
          <w:tcPr>
            <w:tcW w:w="5100" w:type="dxa"/>
          </w:tcPr>
          <w:p w14:paraId="622470D5" w14:textId="77777777" w:rsidR="00F07D5E" w:rsidRPr="00F100E1" w:rsidRDefault="00F07D5E" w:rsidP="00F100E1">
            <w:pPr>
              <w:widowControl w:val="0"/>
              <w:autoSpaceDE w:val="0"/>
              <w:autoSpaceDN w:val="0"/>
              <w:ind w:left="109" w:right="217"/>
              <w:jc w:val="both"/>
            </w:pPr>
            <w:r w:rsidRPr="00F100E1">
              <w:t>Alte măsuri legate de practicile agricole</w:t>
            </w:r>
            <w:r w:rsidRPr="00F100E1">
              <w:rPr>
                <w:spacing w:val="-53"/>
              </w:rPr>
              <w:t xml:space="preserve"> </w:t>
            </w:r>
            <w:r w:rsidRPr="00F100E1">
              <w:t>sau de culturile agricole care nu sunt</w:t>
            </w:r>
            <w:r w:rsidRPr="00F100E1">
              <w:rPr>
                <w:spacing w:val="1"/>
              </w:rPr>
              <w:t xml:space="preserve"> </w:t>
            </w:r>
            <w:r w:rsidRPr="00F100E1">
              <w:t>acoperite de celelalte măsuri CA de ex.</w:t>
            </w:r>
            <w:r w:rsidRPr="00F100E1">
              <w:rPr>
                <w:spacing w:val="1"/>
              </w:rPr>
              <w:t xml:space="preserve"> </w:t>
            </w:r>
            <w:r w:rsidRPr="00F100E1">
              <w:t>adaptarea metodelor și / sau a</w:t>
            </w:r>
            <w:r w:rsidRPr="00F100E1">
              <w:rPr>
                <w:spacing w:val="1"/>
              </w:rPr>
              <w:t xml:space="preserve"> </w:t>
            </w:r>
            <w:r w:rsidRPr="00F100E1">
              <w:t>momentului</w:t>
            </w:r>
            <w:r w:rsidRPr="00F100E1">
              <w:rPr>
                <w:spacing w:val="-1"/>
              </w:rPr>
              <w:t xml:space="preserve"> </w:t>
            </w:r>
            <w:r w:rsidRPr="00F100E1">
              <w:t>de</w:t>
            </w:r>
            <w:r w:rsidRPr="00F100E1">
              <w:rPr>
                <w:spacing w:val="-3"/>
              </w:rPr>
              <w:t xml:space="preserve"> </w:t>
            </w:r>
            <w:r w:rsidRPr="00F100E1">
              <w:t>recoltare</w:t>
            </w:r>
            <w:r w:rsidRPr="00F100E1">
              <w:rPr>
                <w:spacing w:val="-1"/>
              </w:rPr>
              <w:t xml:space="preserve"> </w:t>
            </w:r>
            <w:r w:rsidRPr="00F100E1">
              <w:t>pentru</w:t>
            </w:r>
            <w:r w:rsidRPr="00F100E1">
              <w:rPr>
                <w:spacing w:val="-4"/>
              </w:rPr>
              <w:t xml:space="preserve"> </w:t>
            </w:r>
            <w:r w:rsidRPr="00F100E1">
              <w:t>a</w:t>
            </w:r>
            <w:r w:rsidRPr="00F100E1">
              <w:rPr>
                <w:spacing w:val="-1"/>
              </w:rPr>
              <w:t xml:space="preserve"> </w:t>
            </w:r>
            <w:r w:rsidRPr="00F100E1">
              <w:t>evita</w:t>
            </w:r>
          </w:p>
          <w:p w14:paraId="2B0982C8" w14:textId="77777777" w:rsidR="00F07D5E" w:rsidRPr="00F100E1" w:rsidRDefault="00F07D5E" w:rsidP="00F100E1">
            <w:pPr>
              <w:widowControl w:val="0"/>
              <w:autoSpaceDE w:val="0"/>
              <w:autoSpaceDN w:val="0"/>
              <w:spacing w:line="238" w:lineRule="exact"/>
              <w:ind w:left="109"/>
              <w:jc w:val="both"/>
            </w:pPr>
            <w:r w:rsidRPr="00F100E1">
              <w:t>perturbarea</w:t>
            </w:r>
            <w:r w:rsidRPr="00F100E1">
              <w:rPr>
                <w:spacing w:val="-4"/>
              </w:rPr>
              <w:t xml:space="preserve"> </w:t>
            </w:r>
            <w:r w:rsidRPr="00F100E1">
              <w:t>păsărilor</w:t>
            </w:r>
            <w:r w:rsidRPr="00F100E1">
              <w:rPr>
                <w:spacing w:val="-3"/>
              </w:rPr>
              <w:t xml:space="preserve"> </w:t>
            </w:r>
            <w:r w:rsidRPr="00F100E1">
              <w:t>cuibăritoare.</w:t>
            </w:r>
          </w:p>
        </w:tc>
        <w:tc>
          <w:tcPr>
            <w:tcW w:w="1530" w:type="dxa"/>
          </w:tcPr>
          <w:p w14:paraId="26EAFF9C" w14:textId="77777777" w:rsidR="00F07D5E" w:rsidRPr="00F100E1" w:rsidRDefault="00F07D5E" w:rsidP="00F100E1">
            <w:pPr>
              <w:widowControl w:val="0"/>
              <w:autoSpaceDE w:val="0"/>
              <w:autoSpaceDN w:val="0"/>
              <w:spacing w:before="4"/>
              <w:jc w:val="both"/>
            </w:pPr>
          </w:p>
          <w:p w14:paraId="205CCC0E" w14:textId="77777777" w:rsidR="00F07D5E" w:rsidRPr="00F100E1" w:rsidRDefault="00F07D5E" w:rsidP="008E33FD">
            <w:pPr>
              <w:widowControl w:val="0"/>
              <w:autoSpaceDE w:val="0"/>
              <w:autoSpaceDN w:val="0"/>
              <w:ind w:left="110" w:right="369"/>
              <w:jc w:val="both"/>
            </w:pPr>
            <w:r w:rsidRPr="00F100E1">
              <w:t>A04, A17,</w:t>
            </w:r>
            <w:r w:rsidRPr="00F100E1">
              <w:rPr>
                <w:spacing w:val="-52"/>
              </w:rPr>
              <w:t xml:space="preserve"> </w:t>
            </w:r>
            <w:r w:rsidRPr="00F100E1">
              <w:t>A22, A23,</w:t>
            </w:r>
            <w:r w:rsidRPr="00F100E1">
              <w:rPr>
                <w:spacing w:val="-52"/>
              </w:rPr>
              <w:t xml:space="preserve"> </w:t>
            </w:r>
            <w:r w:rsidRPr="00F100E1">
              <w:t>A24, A34,</w:t>
            </w:r>
            <w:r w:rsidRPr="00F100E1">
              <w:rPr>
                <w:spacing w:val="-52"/>
              </w:rPr>
              <w:t xml:space="preserve"> </w:t>
            </w:r>
            <w:r w:rsidRPr="00F100E1">
              <w:t>A35</w:t>
            </w:r>
          </w:p>
        </w:tc>
      </w:tr>
      <w:tr w:rsidR="00F07D5E" w:rsidRPr="00C56257" w14:paraId="20CF58FD" w14:textId="77777777" w:rsidTr="0009479B">
        <w:trPr>
          <w:trHeight w:val="1963"/>
        </w:trPr>
        <w:tc>
          <w:tcPr>
            <w:tcW w:w="650" w:type="dxa"/>
          </w:tcPr>
          <w:p w14:paraId="43EECF34" w14:textId="77777777" w:rsidR="00F07D5E" w:rsidRPr="00F100E1" w:rsidRDefault="00F07D5E" w:rsidP="00F100E1">
            <w:pPr>
              <w:widowControl w:val="0"/>
              <w:autoSpaceDE w:val="0"/>
              <w:autoSpaceDN w:val="0"/>
              <w:spacing w:line="247" w:lineRule="exact"/>
              <w:ind w:left="107"/>
              <w:jc w:val="both"/>
            </w:pPr>
            <w:r w:rsidRPr="00F100E1">
              <w:lastRenderedPageBreak/>
              <w:t>3.</w:t>
            </w:r>
          </w:p>
        </w:tc>
        <w:tc>
          <w:tcPr>
            <w:tcW w:w="856" w:type="dxa"/>
          </w:tcPr>
          <w:p w14:paraId="3B8FE7EA" w14:textId="77777777" w:rsidR="00F07D5E" w:rsidRPr="00C56257" w:rsidRDefault="00F07D5E" w:rsidP="00F100E1">
            <w:pPr>
              <w:widowControl w:val="0"/>
              <w:autoSpaceDE w:val="0"/>
              <w:autoSpaceDN w:val="0"/>
              <w:jc w:val="both"/>
            </w:pPr>
          </w:p>
          <w:p w14:paraId="1AC0D6AC" w14:textId="77777777" w:rsidR="00F07D5E" w:rsidRPr="00C56257" w:rsidRDefault="00F07D5E" w:rsidP="00F100E1">
            <w:pPr>
              <w:widowControl w:val="0"/>
              <w:autoSpaceDE w:val="0"/>
              <w:autoSpaceDN w:val="0"/>
              <w:jc w:val="both"/>
            </w:pPr>
          </w:p>
          <w:p w14:paraId="72F85614" w14:textId="77777777" w:rsidR="00F07D5E" w:rsidRPr="00C56257" w:rsidRDefault="00F07D5E" w:rsidP="00F100E1">
            <w:pPr>
              <w:widowControl w:val="0"/>
              <w:autoSpaceDE w:val="0"/>
              <w:autoSpaceDN w:val="0"/>
              <w:jc w:val="both"/>
            </w:pPr>
          </w:p>
          <w:p w14:paraId="3C0B360D" w14:textId="77777777" w:rsidR="00F07D5E" w:rsidRPr="00F100E1" w:rsidRDefault="00F07D5E" w:rsidP="00F100E1">
            <w:pPr>
              <w:widowControl w:val="0"/>
              <w:autoSpaceDE w:val="0"/>
              <w:autoSpaceDN w:val="0"/>
              <w:spacing w:before="178"/>
              <w:ind w:right="222"/>
              <w:jc w:val="both"/>
            </w:pPr>
            <w:r w:rsidRPr="00F100E1">
              <w:t>CB04</w:t>
            </w:r>
          </w:p>
        </w:tc>
        <w:tc>
          <w:tcPr>
            <w:tcW w:w="1752" w:type="dxa"/>
          </w:tcPr>
          <w:p w14:paraId="15256312" w14:textId="77777777" w:rsidR="00F07D5E" w:rsidRPr="00C56257" w:rsidRDefault="00F07D5E" w:rsidP="00F100E1">
            <w:pPr>
              <w:widowControl w:val="0"/>
              <w:autoSpaceDE w:val="0"/>
              <w:autoSpaceDN w:val="0"/>
              <w:jc w:val="both"/>
            </w:pPr>
          </w:p>
          <w:p w14:paraId="565674EA" w14:textId="77777777" w:rsidR="00F07D5E" w:rsidRPr="00F100E1" w:rsidRDefault="00F07D5E" w:rsidP="00F100E1">
            <w:pPr>
              <w:widowControl w:val="0"/>
              <w:autoSpaceDE w:val="0"/>
              <w:autoSpaceDN w:val="0"/>
              <w:spacing w:before="5"/>
              <w:jc w:val="both"/>
            </w:pPr>
          </w:p>
          <w:p w14:paraId="4DD02ADF" w14:textId="77777777" w:rsidR="00F07D5E" w:rsidRPr="00F100E1" w:rsidRDefault="00F07D5E" w:rsidP="00F100E1">
            <w:pPr>
              <w:widowControl w:val="0"/>
              <w:autoSpaceDE w:val="0"/>
              <w:autoSpaceDN w:val="0"/>
              <w:ind w:left="108" w:right="251"/>
              <w:jc w:val="both"/>
            </w:pPr>
            <w:r w:rsidRPr="00F100E1">
              <w:t>Adaptarea /</w:t>
            </w:r>
            <w:r w:rsidRPr="00F100E1">
              <w:rPr>
                <w:spacing w:val="1"/>
              </w:rPr>
              <w:t xml:space="preserve"> </w:t>
            </w:r>
            <w:r w:rsidRPr="00F100E1">
              <w:t>gestionarea</w:t>
            </w:r>
            <w:r w:rsidRPr="00F100E1">
              <w:rPr>
                <w:spacing w:val="1"/>
              </w:rPr>
              <w:t xml:space="preserve"> </w:t>
            </w:r>
            <w:r w:rsidRPr="00F100E1">
              <w:t>reîmpăduririi și</w:t>
            </w:r>
            <w:r w:rsidRPr="00F100E1">
              <w:rPr>
                <w:spacing w:val="-52"/>
              </w:rPr>
              <w:t xml:space="preserve"> </w:t>
            </w:r>
            <w:r w:rsidRPr="00F100E1">
              <w:t>regenerării</w:t>
            </w:r>
            <w:r w:rsidRPr="00F100E1">
              <w:rPr>
                <w:spacing w:val="1"/>
              </w:rPr>
              <w:t xml:space="preserve"> </w:t>
            </w:r>
            <w:r w:rsidRPr="00F100E1">
              <w:t>pădurilor</w:t>
            </w:r>
          </w:p>
        </w:tc>
        <w:tc>
          <w:tcPr>
            <w:tcW w:w="5100" w:type="dxa"/>
          </w:tcPr>
          <w:p w14:paraId="46097C23" w14:textId="77777777" w:rsidR="00F07D5E" w:rsidRPr="00F100E1" w:rsidRDefault="00F07D5E" w:rsidP="0009479B">
            <w:pPr>
              <w:widowControl w:val="0"/>
              <w:autoSpaceDE w:val="0"/>
              <w:autoSpaceDN w:val="0"/>
              <w:ind w:left="109" w:right="129"/>
              <w:jc w:val="both"/>
            </w:pPr>
            <w:r w:rsidRPr="00F100E1">
              <w:t>Adaptarea sau gestionarea</w:t>
            </w:r>
            <w:r w:rsidRPr="00F100E1">
              <w:rPr>
                <w:spacing w:val="1"/>
              </w:rPr>
              <w:t xml:space="preserve"> </w:t>
            </w:r>
            <w:r w:rsidRPr="00F100E1">
              <w:t>reîmpăduririlor</w:t>
            </w:r>
            <w:r w:rsidRPr="00F100E1">
              <w:rPr>
                <w:spacing w:val="-4"/>
              </w:rPr>
              <w:t xml:space="preserve"> </w:t>
            </w:r>
            <w:r w:rsidRPr="00F100E1">
              <w:t>pentru</w:t>
            </w:r>
            <w:r w:rsidRPr="00F100E1">
              <w:rPr>
                <w:spacing w:val="-3"/>
              </w:rPr>
              <w:t xml:space="preserve"> </w:t>
            </w:r>
            <w:r w:rsidRPr="00F100E1">
              <w:t>a</w:t>
            </w:r>
            <w:r w:rsidRPr="00F100E1">
              <w:rPr>
                <w:spacing w:val="-5"/>
              </w:rPr>
              <w:t xml:space="preserve"> </w:t>
            </w:r>
            <w:r w:rsidRPr="00F100E1">
              <w:t>reface</w:t>
            </w:r>
            <w:r w:rsidRPr="00F100E1">
              <w:rPr>
                <w:spacing w:val="-3"/>
              </w:rPr>
              <w:t xml:space="preserve"> </w:t>
            </w:r>
            <w:r w:rsidRPr="00F100E1">
              <w:t>habitatele</w:t>
            </w:r>
            <w:r w:rsidRPr="00F100E1">
              <w:rPr>
                <w:spacing w:val="-52"/>
              </w:rPr>
              <w:t xml:space="preserve"> </w:t>
            </w:r>
            <w:r w:rsidRPr="00F100E1">
              <w:t>forestiere și habitatele speciilor tipice de</w:t>
            </w:r>
            <w:r w:rsidRPr="00F100E1">
              <w:rPr>
                <w:spacing w:val="1"/>
              </w:rPr>
              <w:t xml:space="preserve"> </w:t>
            </w:r>
            <w:r w:rsidRPr="00F100E1">
              <w:t>pădure, incluzând, de exemplu,</w:t>
            </w:r>
            <w:r w:rsidRPr="00F100E1">
              <w:rPr>
                <w:spacing w:val="1"/>
              </w:rPr>
              <w:t xml:space="preserve"> </w:t>
            </w:r>
            <w:r w:rsidRPr="00F100E1">
              <w:t>conversia, pe termen lung, a plantațiilor</w:t>
            </w:r>
            <w:r w:rsidRPr="00F100E1">
              <w:rPr>
                <w:spacing w:val="1"/>
              </w:rPr>
              <w:t xml:space="preserve"> </w:t>
            </w:r>
            <w:r w:rsidRPr="00F100E1">
              <w:t>cu aliniamente în păduri autohtone, sau</w:t>
            </w:r>
            <w:r w:rsidRPr="00F100E1">
              <w:rPr>
                <w:spacing w:val="1"/>
              </w:rPr>
              <w:t xml:space="preserve"> </w:t>
            </w:r>
            <w:r w:rsidRPr="00F100E1">
              <w:t>adaptarea tehnicilor de reîmpădurire,</w:t>
            </w:r>
            <w:r w:rsidRPr="00F100E1">
              <w:rPr>
                <w:spacing w:val="1"/>
              </w:rPr>
              <w:t xml:space="preserve"> </w:t>
            </w:r>
            <w:r w:rsidRPr="00F100E1">
              <w:t>cum</w:t>
            </w:r>
            <w:r w:rsidRPr="00F100E1">
              <w:rPr>
                <w:spacing w:val="-6"/>
              </w:rPr>
              <w:t xml:space="preserve"> </w:t>
            </w:r>
            <w:r w:rsidRPr="00F100E1">
              <w:t>ar fi utilizarea</w:t>
            </w:r>
            <w:r w:rsidRPr="00F100E1">
              <w:rPr>
                <w:spacing w:val="-3"/>
              </w:rPr>
              <w:t xml:space="preserve"> </w:t>
            </w:r>
            <w:r w:rsidRPr="00F100E1">
              <w:t>regenerării naturale</w:t>
            </w:r>
            <w:r w:rsidR="0009479B">
              <w:t xml:space="preserve"> </w:t>
            </w:r>
            <w:r w:rsidRPr="00F100E1">
              <w:t>sau</w:t>
            </w:r>
            <w:r w:rsidRPr="00F100E1">
              <w:rPr>
                <w:spacing w:val="-1"/>
              </w:rPr>
              <w:t xml:space="preserve"> </w:t>
            </w:r>
            <w:r w:rsidRPr="00F100E1">
              <w:t>a</w:t>
            </w:r>
            <w:r w:rsidRPr="00F100E1">
              <w:rPr>
                <w:spacing w:val="-2"/>
              </w:rPr>
              <w:t xml:space="preserve"> </w:t>
            </w:r>
            <w:r w:rsidRPr="00F100E1">
              <w:t>focului.</w:t>
            </w:r>
          </w:p>
        </w:tc>
        <w:tc>
          <w:tcPr>
            <w:tcW w:w="1530" w:type="dxa"/>
          </w:tcPr>
          <w:p w14:paraId="74EC1D5C" w14:textId="77777777" w:rsidR="00F07D5E" w:rsidRPr="00C56257" w:rsidRDefault="00F07D5E" w:rsidP="00F100E1">
            <w:pPr>
              <w:widowControl w:val="0"/>
              <w:autoSpaceDE w:val="0"/>
              <w:autoSpaceDN w:val="0"/>
              <w:jc w:val="both"/>
            </w:pPr>
          </w:p>
          <w:p w14:paraId="212F39AD" w14:textId="77777777" w:rsidR="00F07D5E" w:rsidRPr="00C56257" w:rsidRDefault="00F07D5E" w:rsidP="00F100E1">
            <w:pPr>
              <w:widowControl w:val="0"/>
              <w:autoSpaceDE w:val="0"/>
              <w:autoSpaceDN w:val="0"/>
              <w:jc w:val="both"/>
            </w:pPr>
          </w:p>
          <w:p w14:paraId="2BC46104" w14:textId="77777777" w:rsidR="00F07D5E" w:rsidRPr="00F100E1" w:rsidRDefault="00F07D5E" w:rsidP="00F100E1">
            <w:pPr>
              <w:widowControl w:val="0"/>
              <w:autoSpaceDE w:val="0"/>
              <w:autoSpaceDN w:val="0"/>
              <w:spacing w:before="202"/>
              <w:ind w:left="110" w:right="237"/>
              <w:jc w:val="both"/>
            </w:pPr>
            <w:r w:rsidRPr="00F100E1">
              <w:t>B02 parţial,</w:t>
            </w:r>
            <w:r w:rsidRPr="00F100E1">
              <w:rPr>
                <w:spacing w:val="-52"/>
              </w:rPr>
              <w:t xml:space="preserve"> </w:t>
            </w:r>
            <w:r w:rsidRPr="00F100E1">
              <w:t>B03, B05,</w:t>
            </w:r>
          </w:p>
          <w:p w14:paraId="27CA8EA7" w14:textId="77777777" w:rsidR="00F07D5E" w:rsidRPr="00F100E1" w:rsidRDefault="00F07D5E" w:rsidP="00F100E1">
            <w:pPr>
              <w:widowControl w:val="0"/>
              <w:autoSpaceDE w:val="0"/>
              <w:autoSpaceDN w:val="0"/>
              <w:spacing w:line="251" w:lineRule="exact"/>
              <w:ind w:left="110"/>
              <w:jc w:val="both"/>
            </w:pPr>
            <w:r w:rsidRPr="00F100E1">
              <w:t>B17</w:t>
            </w:r>
            <w:r w:rsidRPr="00F100E1">
              <w:rPr>
                <w:spacing w:val="-1"/>
              </w:rPr>
              <w:t xml:space="preserve"> </w:t>
            </w:r>
            <w:r w:rsidRPr="00F100E1">
              <w:t>parţial</w:t>
            </w:r>
          </w:p>
        </w:tc>
      </w:tr>
      <w:tr w:rsidR="00F07D5E" w:rsidRPr="00C56257" w14:paraId="33FAD50F" w14:textId="77777777" w:rsidTr="00F07D5E">
        <w:trPr>
          <w:trHeight w:val="1267"/>
        </w:trPr>
        <w:tc>
          <w:tcPr>
            <w:tcW w:w="650" w:type="dxa"/>
          </w:tcPr>
          <w:p w14:paraId="4D959DDA" w14:textId="77777777" w:rsidR="00F07D5E" w:rsidRPr="00F100E1" w:rsidRDefault="00F07D5E" w:rsidP="00F100E1">
            <w:pPr>
              <w:widowControl w:val="0"/>
              <w:autoSpaceDE w:val="0"/>
              <w:autoSpaceDN w:val="0"/>
              <w:spacing w:line="247" w:lineRule="exact"/>
              <w:ind w:left="107"/>
              <w:jc w:val="both"/>
            </w:pPr>
            <w:r w:rsidRPr="00F100E1">
              <w:t>4.</w:t>
            </w:r>
          </w:p>
        </w:tc>
        <w:tc>
          <w:tcPr>
            <w:tcW w:w="856" w:type="dxa"/>
          </w:tcPr>
          <w:p w14:paraId="7FD59A05" w14:textId="77777777" w:rsidR="00F07D5E" w:rsidRPr="00C56257" w:rsidRDefault="00F07D5E" w:rsidP="00F100E1">
            <w:pPr>
              <w:widowControl w:val="0"/>
              <w:autoSpaceDE w:val="0"/>
              <w:autoSpaceDN w:val="0"/>
              <w:jc w:val="both"/>
            </w:pPr>
          </w:p>
          <w:p w14:paraId="4082AC40" w14:textId="77777777" w:rsidR="00F07D5E" w:rsidRPr="00F100E1" w:rsidRDefault="00F07D5E" w:rsidP="00F100E1">
            <w:pPr>
              <w:widowControl w:val="0"/>
              <w:autoSpaceDE w:val="0"/>
              <w:autoSpaceDN w:val="0"/>
              <w:spacing w:before="5"/>
              <w:jc w:val="both"/>
            </w:pPr>
          </w:p>
          <w:p w14:paraId="7016E598" w14:textId="77777777" w:rsidR="00F07D5E" w:rsidRPr="00F100E1" w:rsidRDefault="00F07D5E" w:rsidP="00F100E1">
            <w:pPr>
              <w:widowControl w:val="0"/>
              <w:autoSpaceDE w:val="0"/>
              <w:autoSpaceDN w:val="0"/>
              <w:ind w:right="210"/>
              <w:jc w:val="both"/>
            </w:pPr>
            <w:r w:rsidRPr="00F100E1">
              <w:t>CA07</w:t>
            </w:r>
          </w:p>
        </w:tc>
        <w:tc>
          <w:tcPr>
            <w:tcW w:w="1752" w:type="dxa"/>
          </w:tcPr>
          <w:p w14:paraId="3972E9F6" w14:textId="77777777" w:rsidR="00F07D5E" w:rsidRPr="00F100E1" w:rsidRDefault="00F07D5E" w:rsidP="00F100E1">
            <w:pPr>
              <w:widowControl w:val="0"/>
              <w:autoSpaceDE w:val="0"/>
              <w:autoSpaceDN w:val="0"/>
              <w:spacing w:before="121"/>
              <w:ind w:left="108" w:right="569"/>
              <w:jc w:val="both"/>
            </w:pPr>
            <w:r w:rsidRPr="00F100E1">
              <w:t>Recreerea</w:t>
            </w:r>
            <w:r w:rsidRPr="00F100E1">
              <w:rPr>
                <w:spacing w:val="1"/>
              </w:rPr>
              <w:t xml:space="preserve"> </w:t>
            </w:r>
            <w:r w:rsidRPr="00F100E1">
              <w:t>habitatelor</w:t>
            </w:r>
            <w:r w:rsidRPr="00F100E1">
              <w:rPr>
                <w:spacing w:val="1"/>
              </w:rPr>
              <w:t xml:space="preserve"> </w:t>
            </w:r>
            <w:r w:rsidRPr="00F100E1">
              <w:t>agricole din</w:t>
            </w:r>
            <w:r w:rsidRPr="00F100E1">
              <w:rPr>
                <w:spacing w:val="-52"/>
              </w:rPr>
              <w:t xml:space="preserve"> </w:t>
            </w:r>
            <w:r w:rsidRPr="00F100E1">
              <w:t>Anexa I</w:t>
            </w:r>
          </w:p>
        </w:tc>
        <w:tc>
          <w:tcPr>
            <w:tcW w:w="5100" w:type="dxa"/>
          </w:tcPr>
          <w:p w14:paraId="08865205" w14:textId="77777777" w:rsidR="0009479B" w:rsidRPr="0009479B" w:rsidRDefault="00F07D5E" w:rsidP="0009479B">
            <w:pPr>
              <w:widowControl w:val="0"/>
              <w:autoSpaceDE w:val="0"/>
              <w:autoSpaceDN w:val="0"/>
              <w:ind w:left="109" w:right="129"/>
              <w:jc w:val="both"/>
            </w:pPr>
            <w:r w:rsidRPr="00F100E1">
              <w:t>Terenul care a fost folosit anterior fie</w:t>
            </w:r>
            <w:r w:rsidRPr="00F100E1">
              <w:rPr>
                <w:spacing w:val="1"/>
              </w:rPr>
              <w:t xml:space="preserve"> </w:t>
            </w:r>
            <w:r w:rsidRPr="00F100E1">
              <w:t>pentru agricultură (de ex. teren arabil),</w:t>
            </w:r>
            <w:r w:rsidRPr="00F100E1">
              <w:rPr>
                <w:spacing w:val="1"/>
              </w:rPr>
              <w:t xml:space="preserve"> </w:t>
            </w:r>
            <w:r w:rsidRPr="00F100E1">
              <w:t>pentru</w:t>
            </w:r>
            <w:r w:rsidRPr="00F100E1">
              <w:rPr>
                <w:spacing w:val="-3"/>
              </w:rPr>
              <w:t xml:space="preserve"> </w:t>
            </w:r>
            <w:r w:rsidRPr="00F100E1">
              <w:t>silvicultură</w:t>
            </w:r>
            <w:r w:rsidRPr="00F100E1">
              <w:rPr>
                <w:spacing w:val="-4"/>
              </w:rPr>
              <w:t xml:space="preserve"> </w:t>
            </w:r>
            <w:r w:rsidRPr="00F100E1">
              <w:t>(de</w:t>
            </w:r>
            <w:r w:rsidRPr="00F100E1">
              <w:rPr>
                <w:spacing w:val="-4"/>
              </w:rPr>
              <w:t xml:space="preserve"> </w:t>
            </w:r>
            <w:r w:rsidRPr="00F100E1">
              <w:t>exemplu,</w:t>
            </w:r>
            <w:r w:rsidRPr="00F100E1">
              <w:rPr>
                <w:spacing w:val="-2"/>
              </w:rPr>
              <w:t xml:space="preserve"> </w:t>
            </w:r>
            <w:r w:rsidRPr="00F100E1">
              <w:t>plantație</w:t>
            </w:r>
            <w:r w:rsidR="0009479B">
              <w:t xml:space="preserve"> </w:t>
            </w:r>
            <w:r w:rsidRPr="00F100E1">
              <w:t>populară), să fie destinat unei alte</w:t>
            </w:r>
            <w:r w:rsidRPr="00F100E1">
              <w:rPr>
                <w:spacing w:val="1"/>
              </w:rPr>
              <w:t xml:space="preserve"> </w:t>
            </w:r>
            <w:r w:rsidRPr="00F100E1">
              <w:t>utilizări;</w:t>
            </w:r>
            <w:r w:rsidRPr="00F100E1">
              <w:rPr>
                <w:spacing w:val="-3"/>
              </w:rPr>
              <w:t xml:space="preserve"> </w:t>
            </w:r>
            <w:r w:rsidRPr="00F100E1">
              <w:t>(re)</w:t>
            </w:r>
            <w:r w:rsidRPr="00F100E1">
              <w:rPr>
                <w:spacing w:val="-3"/>
              </w:rPr>
              <w:t xml:space="preserve"> </w:t>
            </w:r>
            <w:r w:rsidRPr="00F100E1">
              <w:t>crearea</w:t>
            </w:r>
            <w:r w:rsidRPr="00F100E1">
              <w:rPr>
                <w:spacing w:val="-2"/>
              </w:rPr>
              <w:t xml:space="preserve"> </w:t>
            </w:r>
            <w:r w:rsidRPr="00F100E1">
              <w:t>/</w:t>
            </w:r>
            <w:r w:rsidRPr="00F100E1">
              <w:rPr>
                <w:spacing w:val="-3"/>
              </w:rPr>
              <w:t xml:space="preserve"> </w:t>
            </w:r>
            <w:r w:rsidRPr="00F100E1">
              <w:t>restaurarea</w:t>
            </w:r>
            <w:r w:rsidRPr="00F100E1">
              <w:rPr>
                <w:spacing w:val="-1"/>
              </w:rPr>
              <w:t xml:space="preserve"> </w:t>
            </w:r>
            <w:r w:rsidRPr="00F100E1">
              <w:t>ca</w:t>
            </w:r>
            <w:r w:rsidRPr="00F100E1">
              <w:rPr>
                <w:spacing w:val="-2"/>
              </w:rPr>
              <w:t xml:space="preserve"> </w:t>
            </w:r>
            <w:r w:rsidRPr="00F100E1">
              <w:t>tip</w:t>
            </w:r>
            <w:r w:rsidR="0009479B">
              <w:t xml:space="preserve"> </w:t>
            </w:r>
            <w:r w:rsidR="0009479B" w:rsidRPr="0009479B">
              <w:t>de habitat agricol din Anexa I. Include, de exemplu, recreerea unei pajiști din anexa I dintr-o plantație forestieră.</w:t>
            </w:r>
            <w:r w:rsidR="0009479B">
              <w:t xml:space="preserve"> </w:t>
            </w:r>
            <w:r w:rsidR="0009479B" w:rsidRPr="0009479B">
              <w:t>Acesta este un proces care ar putea dura</w:t>
            </w:r>
          </w:p>
          <w:p w14:paraId="24054084" w14:textId="77777777" w:rsidR="00F07D5E" w:rsidRPr="00F100E1" w:rsidRDefault="0009479B" w:rsidP="0009479B">
            <w:pPr>
              <w:widowControl w:val="0"/>
              <w:autoSpaceDE w:val="0"/>
              <w:autoSpaceDN w:val="0"/>
              <w:spacing w:line="252" w:lineRule="exact"/>
              <w:ind w:left="109" w:right="129"/>
              <w:jc w:val="both"/>
            </w:pPr>
            <w:r w:rsidRPr="0009479B">
              <w:t>mult timp pentru a restabili pe deplin structura și funcțiile habitatelor.</w:t>
            </w:r>
          </w:p>
        </w:tc>
        <w:tc>
          <w:tcPr>
            <w:tcW w:w="1530" w:type="dxa"/>
          </w:tcPr>
          <w:p w14:paraId="7888D25B" w14:textId="77777777" w:rsidR="00F07D5E" w:rsidRPr="00F100E1" w:rsidRDefault="00F07D5E" w:rsidP="008E33FD">
            <w:pPr>
              <w:widowControl w:val="0"/>
              <w:autoSpaceDE w:val="0"/>
              <w:autoSpaceDN w:val="0"/>
              <w:spacing w:before="121"/>
              <w:ind w:left="110" w:right="381"/>
              <w:jc w:val="both"/>
            </w:pPr>
            <w:r w:rsidRPr="00F100E1">
              <w:t>A02, B01,</w:t>
            </w:r>
            <w:r w:rsidRPr="00F100E1">
              <w:rPr>
                <w:spacing w:val="-52"/>
              </w:rPr>
              <w:t xml:space="preserve"> </w:t>
            </w:r>
            <w:r w:rsidRPr="00F100E1">
              <w:t>C05, D01,</w:t>
            </w:r>
            <w:r w:rsidRPr="00F100E1">
              <w:rPr>
                <w:spacing w:val="-52"/>
              </w:rPr>
              <w:t xml:space="preserve"> </w:t>
            </w:r>
            <w:r w:rsidRPr="00F100E1">
              <w:t>D03, F01,</w:t>
            </w:r>
            <w:r w:rsidRPr="00F100E1">
              <w:rPr>
                <w:spacing w:val="-52"/>
              </w:rPr>
              <w:t xml:space="preserve"> </w:t>
            </w:r>
            <w:r w:rsidRPr="00F100E1">
              <w:t>F03, F05</w:t>
            </w:r>
          </w:p>
        </w:tc>
      </w:tr>
      <w:tr w:rsidR="00F07D5E" w:rsidRPr="00C56257" w14:paraId="4063ADA4" w14:textId="77777777" w:rsidTr="0009479B">
        <w:trPr>
          <w:trHeight w:val="2764"/>
        </w:trPr>
        <w:tc>
          <w:tcPr>
            <w:tcW w:w="650" w:type="dxa"/>
          </w:tcPr>
          <w:p w14:paraId="38CC7EC9" w14:textId="77777777" w:rsidR="00F07D5E" w:rsidRPr="00F100E1" w:rsidRDefault="00F07D5E" w:rsidP="00F100E1">
            <w:pPr>
              <w:widowControl w:val="0"/>
              <w:autoSpaceDE w:val="0"/>
              <w:autoSpaceDN w:val="0"/>
              <w:spacing w:line="247" w:lineRule="exact"/>
              <w:ind w:left="107"/>
              <w:jc w:val="both"/>
            </w:pPr>
            <w:r w:rsidRPr="00F100E1">
              <w:t>5.</w:t>
            </w:r>
          </w:p>
        </w:tc>
        <w:tc>
          <w:tcPr>
            <w:tcW w:w="856" w:type="dxa"/>
          </w:tcPr>
          <w:p w14:paraId="1828B2CC" w14:textId="77777777" w:rsidR="00F07D5E" w:rsidRPr="00C56257" w:rsidRDefault="00F07D5E" w:rsidP="00F100E1">
            <w:pPr>
              <w:widowControl w:val="0"/>
              <w:autoSpaceDE w:val="0"/>
              <w:autoSpaceDN w:val="0"/>
              <w:jc w:val="both"/>
            </w:pPr>
          </w:p>
          <w:p w14:paraId="6C60046A" w14:textId="77777777" w:rsidR="00F07D5E" w:rsidRPr="00C56257" w:rsidRDefault="00F07D5E" w:rsidP="00F100E1">
            <w:pPr>
              <w:widowControl w:val="0"/>
              <w:autoSpaceDE w:val="0"/>
              <w:autoSpaceDN w:val="0"/>
              <w:jc w:val="both"/>
            </w:pPr>
          </w:p>
          <w:p w14:paraId="3A963B36" w14:textId="77777777" w:rsidR="00F07D5E" w:rsidRPr="00C56257" w:rsidRDefault="00F07D5E" w:rsidP="00F100E1">
            <w:pPr>
              <w:widowControl w:val="0"/>
              <w:autoSpaceDE w:val="0"/>
              <w:autoSpaceDN w:val="0"/>
              <w:jc w:val="both"/>
            </w:pPr>
          </w:p>
          <w:p w14:paraId="306A6541" w14:textId="77777777" w:rsidR="00F07D5E" w:rsidRPr="00C56257" w:rsidRDefault="00F07D5E" w:rsidP="00F100E1">
            <w:pPr>
              <w:widowControl w:val="0"/>
              <w:autoSpaceDE w:val="0"/>
              <w:autoSpaceDN w:val="0"/>
              <w:jc w:val="both"/>
            </w:pPr>
          </w:p>
          <w:p w14:paraId="7CBB31E5" w14:textId="77777777" w:rsidR="00F07D5E" w:rsidRPr="00C56257" w:rsidRDefault="00F07D5E" w:rsidP="00F100E1">
            <w:pPr>
              <w:widowControl w:val="0"/>
              <w:autoSpaceDE w:val="0"/>
              <w:autoSpaceDN w:val="0"/>
              <w:spacing w:before="5"/>
              <w:jc w:val="both"/>
            </w:pPr>
          </w:p>
          <w:p w14:paraId="347622BE" w14:textId="77777777" w:rsidR="00F07D5E" w:rsidRPr="00F100E1" w:rsidRDefault="00F07D5E" w:rsidP="00F100E1">
            <w:pPr>
              <w:widowControl w:val="0"/>
              <w:autoSpaceDE w:val="0"/>
              <w:autoSpaceDN w:val="0"/>
              <w:ind w:left="108"/>
              <w:jc w:val="both"/>
            </w:pPr>
            <w:r w:rsidRPr="00F100E1">
              <w:t>CC03</w:t>
            </w:r>
          </w:p>
        </w:tc>
        <w:tc>
          <w:tcPr>
            <w:tcW w:w="1752" w:type="dxa"/>
          </w:tcPr>
          <w:p w14:paraId="331F92F0" w14:textId="77777777" w:rsidR="00F07D5E" w:rsidRPr="00F100E1" w:rsidRDefault="00F07D5E" w:rsidP="00F100E1">
            <w:pPr>
              <w:widowControl w:val="0"/>
              <w:autoSpaceDE w:val="0"/>
              <w:autoSpaceDN w:val="0"/>
              <w:spacing w:before="1"/>
              <w:ind w:left="108" w:right="130"/>
              <w:jc w:val="both"/>
            </w:pPr>
            <w:r w:rsidRPr="00F100E1">
              <w:rPr>
                <w:color w:val="1F2023"/>
              </w:rPr>
              <w:t>Adaptarea /</w:t>
            </w:r>
            <w:r w:rsidRPr="00F100E1">
              <w:rPr>
                <w:color w:val="1F2023"/>
                <w:spacing w:val="1"/>
              </w:rPr>
              <w:t xml:space="preserve"> </w:t>
            </w:r>
            <w:r w:rsidRPr="00F100E1">
              <w:rPr>
                <w:color w:val="1F2023"/>
              </w:rPr>
              <w:t>gestionarea</w:t>
            </w:r>
            <w:r w:rsidRPr="00F100E1">
              <w:rPr>
                <w:color w:val="1F2023"/>
                <w:spacing w:val="1"/>
              </w:rPr>
              <w:t xml:space="preserve"> </w:t>
            </w:r>
            <w:r w:rsidRPr="00F100E1">
              <w:rPr>
                <w:color w:val="1F2023"/>
              </w:rPr>
              <w:t>producerii de</w:t>
            </w:r>
            <w:r w:rsidRPr="00F100E1">
              <w:rPr>
                <w:color w:val="1F2023"/>
                <w:spacing w:val="1"/>
              </w:rPr>
              <w:t xml:space="preserve"> </w:t>
            </w:r>
            <w:r w:rsidRPr="00F100E1">
              <w:rPr>
                <w:color w:val="1F2023"/>
              </w:rPr>
              <w:t>energie</w:t>
            </w:r>
            <w:r w:rsidRPr="00F100E1">
              <w:rPr>
                <w:color w:val="1F2023"/>
                <w:spacing w:val="1"/>
              </w:rPr>
              <w:t xml:space="preserve"> </w:t>
            </w:r>
            <w:r w:rsidRPr="00F100E1">
              <w:rPr>
                <w:color w:val="1F2023"/>
              </w:rPr>
              <w:t>regenerabil</w:t>
            </w:r>
            <w:r w:rsidRPr="00F100E1">
              <w:t>ă</w:t>
            </w:r>
            <w:r w:rsidRPr="00F100E1">
              <w:rPr>
                <w:color w:val="1F2023"/>
              </w:rPr>
              <w:t>, a</w:t>
            </w:r>
            <w:r w:rsidRPr="00F100E1">
              <w:rPr>
                <w:color w:val="1F2023"/>
                <w:spacing w:val="1"/>
              </w:rPr>
              <w:t xml:space="preserve"> </w:t>
            </w:r>
            <w:r w:rsidRPr="00F100E1">
              <w:rPr>
                <w:color w:val="1F2023"/>
              </w:rPr>
              <w:t>instalațiilor și</w:t>
            </w:r>
            <w:r w:rsidRPr="00F100E1">
              <w:rPr>
                <w:color w:val="1F2023"/>
                <w:spacing w:val="1"/>
              </w:rPr>
              <w:t xml:space="preserve"> </w:t>
            </w:r>
            <w:r w:rsidRPr="00F100E1">
              <w:rPr>
                <w:color w:val="1F2023"/>
              </w:rPr>
              <w:t>facilitatilor de</w:t>
            </w:r>
            <w:r w:rsidRPr="00F100E1">
              <w:rPr>
                <w:color w:val="1F2023"/>
                <w:spacing w:val="1"/>
              </w:rPr>
              <w:t xml:space="preserve"> </w:t>
            </w:r>
            <w:r w:rsidRPr="00F100E1">
              <w:rPr>
                <w:color w:val="1F2023"/>
              </w:rPr>
              <w:t>func</w:t>
            </w:r>
            <w:r w:rsidRPr="00F100E1">
              <w:t>ț</w:t>
            </w:r>
            <w:r w:rsidRPr="00F100E1">
              <w:rPr>
                <w:color w:val="1F2023"/>
              </w:rPr>
              <w:t>ionare a</w:t>
            </w:r>
            <w:r w:rsidRPr="00F100E1">
              <w:rPr>
                <w:color w:val="1F2023"/>
                <w:spacing w:val="1"/>
              </w:rPr>
              <w:t xml:space="preserve"> </w:t>
            </w:r>
            <w:r w:rsidRPr="00F100E1">
              <w:rPr>
                <w:color w:val="1F2023"/>
              </w:rPr>
              <w:t>acestor</w:t>
            </w:r>
            <w:r w:rsidRPr="00F100E1">
              <w:rPr>
                <w:color w:val="1F2023"/>
                <w:spacing w:val="-7"/>
              </w:rPr>
              <w:t xml:space="preserve"> </w:t>
            </w:r>
            <w:r w:rsidRPr="00F100E1">
              <w:rPr>
                <w:color w:val="1F2023"/>
              </w:rPr>
              <w:t>instalații.</w:t>
            </w:r>
          </w:p>
        </w:tc>
        <w:tc>
          <w:tcPr>
            <w:tcW w:w="5100" w:type="dxa"/>
          </w:tcPr>
          <w:p w14:paraId="5D54D8B4" w14:textId="77777777" w:rsidR="00F07D5E" w:rsidRPr="00F100E1" w:rsidRDefault="00F07D5E" w:rsidP="00F100E1">
            <w:pPr>
              <w:widowControl w:val="0"/>
              <w:autoSpaceDE w:val="0"/>
              <w:autoSpaceDN w:val="0"/>
              <w:ind w:left="109" w:right="125"/>
              <w:jc w:val="both"/>
            </w:pPr>
            <w:r w:rsidRPr="00F100E1">
              <w:rPr>
                <w:color w:val="1F2023"/>
              </w:rPr>
              <w:t>Adaptarea</w:t>
            </w:r>
            <w:r w:rsidRPr="00F100E1">
              <w:rPr>
                <w:color w:val="1F2023"/>
                <w:spacing w:val="3"/>
              </w:rPr>
              <w:t xml:space="preserve"> </w:t>
            </w:r>
            <w:r w:rsidRPr="00F100E1">
              <w:rPr>
                <w:color w:val="1F2023"/>
              </w:rPr>
              <w:t>și</w:t>
            </w:r>
            <w:r w:rsidRPr="00F100E1">
              <w:rPr>
                <w:color w:val="1F2023"/>
                <w:spacing w:val="7"/>
              </w:rPr>
              <w:t xml:space="preserve"> </w:t>
            </w:r>
            <w:r w:rsidRPr="00F100E1">
              <w:rPr>
                <w:color w:val="1F2023"/>
              </w:rPr>
              <w:t>gestionarea</w:t>
            </w:r>
            <w:r w:rsidRPr="00F100E1">
              <w:rPr>
                <w:color w:val="1F2023"/>
                <w:spacing w:val="4"/>
              </w:rPr>
              <w:t xml:space="preserve"> </w:t>
            </w:r>
            <w:r w:rsidRPr="00F100E1">
              <w:rPr>
                <w:color w:val="1F2023"/>
              </w:rPr>
              <w:t>(inclusiv</w:t>
            </w:r>
            <w:r w:rsidRPr="00F100E1">
              <w:rPr>
                <w:color w:val="1F2023"/>
                <w:spacing w:val="1"/>
              </w:rPr>
              <w:t xml:space="preserve"> </w:t>
            </w:r>
            <w:r w:rsidRPr="00F100E1">
              <w:rPr>
                <w:color w:val="1F2023"/>
              </w:rPr>
              <w:t>oprirea și evitarea) instalării și</w:t>
            </w:r>
            <w:r w:rsidRPr="00F100E1">
              <w:rPr>
                <w:color w:val="1F2023"/>
                <w:spacing w:val="1"/>
              </w:rPr>
              <w:t xml:space="preserve"> </w:t>
            </w:r>
            <w:r w:rsidRPr="00F100E1">
              <w:rPr>
                <w:color w:val="1F2023"/>
              </w:rPr>
              <w:t>funcționării infrastructurilor de energiei</w:t>
            </w:r>
            <w:r w:rsidRPr="00F100E1">
              <w:rPr>
                <w:color w:val="1F2023"/>
                <w:spacing w:val="1"/>
              </w:rPr>
              <w:t xml:space="preserve"> </w:t>
            </w:r>
            <w:r w:rsidRPr="00F100E1">
              <w:rPr>
                <w:color w:val="1F2023"/>
              </w:rPr>
              <w:t>regenerabil</w:t>
            </w:r>
            <w:r w:rsidRPr="00F100E1">
              <w:t xml:space="preserve">ă </w:t>
            </w:r>
            <w:r w:rsidRPr="00F100E1">
              <w:rPr>
                <w:color w:val="1F2023"/>
              </w:rPr>
              <w:t>(cu excepția energiei hidro).</w:t>
            </w:r>
            <w:r w:rsidRPr="00F100E1">
              <w:rPr>
                <w:color w:val="1F2023"/>
                <w:spacing w:val="-52"/>
              </w:rPr>
              <w:t xml:space="preserve"> </w:t>
            </w:r>
            <w:r w:rsidRPr="00F100E1">
              <w:rPr>
                <w:color w:val="1F2023"/>
              </w:rPr>
              <w:t>Aceasta include, de asemenea, măsuri</w:t>
            </w:r>
            <w:r w:rsidRPr="00F100E1">
              <w:rPr>
                <w:color w:val="1F2023"/>
                <w:spacing w:val="1"/>
              </w:rPr>
              <w:t xml:space="preserve"> </w:t>
            </w:r>
            <w:r w:rsidRPr="00F100E1">
              <w:rPr>
                <w:color w:val="1F2023"/>
              </w:rPr>
              <w:t>pentru a atenua impactul parcurilor</w:t>
            </w:r>
            <w:r w:rsidRPr="00F100E1">
              <w:rPr>
                <w:color w:val="1F2023"/>
                <w:spacing w:val="1"/>
              </w:rPr>
              <w:t xml:space="preserve"> </w:t>
            </w:r>
            <w:r w:rsidRPr="00F100E1">
              <w:rPr>
                <w:color w:val="1F2023"/>
              </w:rPr>
              <w:t>eoliene, cum ar fi evitarea construirii de</w:t>
            </w:r>
            <w:r w:rsidRPr="00F100E1">
              <w:rPr>
                <w:color w:val="1F2023"/>
                <w:spacing w:val="1"/>
              </w:rPr>
              <w:t xml:space="preserve"> </w:t>
            </w:r>
            <w:r w:rsidRPr="00F100E1">
              <w:rPr>
                <w:color w:val="1F2023"/>
              </w:rPr>
              <w:t>turbine în locuri sensibile (de exemplu,</w:t>
            </w:r>
            <w:r w:rsidRPr="00F100E1">
              <w:rPr>
                <w:color w:val="1F2023"/>
                <w:spacing w:val="1"/>
              </w:rPr>
              <w:t xml:space="preserve"> </w:t>
            </w:r>
            <w:r w:rsidRPr="00F100E1">
              <w:rPr>
                <w:color w:val="1F2023"/>
              </w:rPr>
              <w:t>blocaje de migrație a p</w:t>
            </w:r>
            <w:r w:rsidRPr="00F100E1">
              <w:t>ă</w:t>
            </w:r>
            <w:r w:rsidRPr="00F100E1">
              <w:rPr>
                <w:color w:val="1F2023"/>
              </w:rPr>
              <w:t>s</w:t>
            </w:r>
            <w:r w:rsidRPr="00F100E1">
              <w:t>ă</w:t>
            </w:r>
            <w:r w:rsidRPr="00F100E1">
              <w:rPr>
                <w:color w:val="1F2023"/>
              </w:rPr>
              <w:t>rilor), oprirea</w:t>
            </w:r>
            <w:r w:rsidRPr="00F100E1">
              <w:rPr>
                <w:color w:val="1F2023"/>
                <w:spacing w:val="1"/>
              </w:rPr>
              <w:t xml:space="preserve"> </w:t>
            </w:r>
            <w:r w:rsidRPr="00F100E1">
              <w:rPr>
                <w:color w:val="1F2023"/>
              </w:rPr>
              <w:t>turbinelor în anumite condiții și / sau</w:t>
            </w:r>
            <w:r w:rsidRPr="00F100E1">
              <w:rPr>
                <w:color w:val="1F2023"/>
                <w:spacing w:val="1"/>
              </w:rPr>
              <w:t xml:space="preserve"> </w:t>
            </w:r>
            <w:r w:rsidRPr="00F100E1">
              <w:rPr>
                <w:color w:val="1F2023"/>
              </w:rPr>
              <w:t>perioade</w:t>
            </w:r>
            <w:r w:rsidRPr="00F100E1">
              <w:rPr>
                <w:color w:val="1F2023"/>
                <w:spacing w:val="-3"/>
              </w:rPr>
              <w:t xml:space="preserve"> </w:t>
            </w:r>
            <w:r w:rsidRPr="00F100E1">
              <w:rPr>
                <w:color w:val="1F2023"/>
              </w:rPr>
              <w:t>deosebit de problematice</w:t>
            </w:r>
            <w:r w:rsidRPr="00F100E1">
              <w:rPr>
                <w:color w:val="1F2023"/>
                <w:spacing w:val="-1"/>
              </w:rPr>
              <w:t xml:space="preserve"> </w:t>
            </w:r>
            <w:r w:rsidRPr="00F100E1">
              <w:rPr>
                <w:color w:val="1F2023"/>
              </w:rPr>
              <w:t>ale</w:t>
            </w:r>
          </w:p>
          <w:p w14:paraId="1B0A513A" w14:textId="77777777" w:rsidR="00F07D5E" w:rsidRPr="00F100E1" w:rsidRDefault="00F07D5E" w:rsidP="00F100E1">
            <w:pPr>
              <w:widowControl w:val="0"/>
              <w:autoSpaceDE w:val="0"/>
              <w:autoSpaceDN w:val="0"/>
              <w:spacing w:line="240" w:lineRule="exact"/>
              <w:ind w:left="109"/>
              <w:jc w:val="both"/>
            </w:pPr>
            <w:r w:rsidRPr="00F100E1">
              <w:rPr>
                <w:color w:val="1F2023"/>
              </w:rPr>
              <w:t>anului</w:t>
            </w:r>
            <w:r w:rsidRPr="00F100E1">
              <w:rPr>
                <w:color w:val="1F2023"/>
                <w:spacing w:val="-2"/>
              </w:rPr>
              <w:t xml:space="preserve"> </w:t>
            </w:r>
            <w:r w:rsidRPr="00F100E1">
              <w:rPr>
                <w:color w:val="1F2023"/>
              </w:rPr>
              <w:t>(de</w:t>
            </w:r>
            <w:r w:rsidRPr="00F100E1">
              <w:rPr>
                <w:color w:val="1F2023"/>
                <w:spacing w:val="-3"/>
              </w:rPr>
              <w:t xml:space="preserve"> </w:t>
            </w:r>
            <w:r w:rsidRPr="00F100E1">
              <w:rPr>
                <w:color w:val="1F2023"/>
              </w:rPr>
              <w:t>exemplu,</w:t>
            </w:r>
            <w:r w:rsidRPr="00F100E1">
              <w:rPr>
                <w:color w:val="1F2023"/>
                <w:spacing w:val="-2"/>
              </w:rPr>
              <w:t xml:space="preserve"> </w:t>
            </w:r>
            <w:r w:rsidRPr="00F100E1">
              <w:rPr>
                <w:color w:val="1F2023"/>
              </w:rPr>
              <w:t>migrația</w:t>
            </w:r>
            <w:r w:rsidRPr="00F100E1">
              <w:rPr>
                <w:color w:val="1F2023"/>
                <w:spacing w:val="-2"/>
              </w:rPr>
              <w:t xml:space="preserve"> </w:t>
            </w:r>
            <w:r w:rsidRPr="00F100E1">
              <w:rPr>
                <w:color w:val="1F2023"/>
              </w:rPr>
              <w:t>maximă).</w:t>
            </w:r>
          </w:p>
        </w:tc>
        <w:tc>
          <w:tcPr>
            <w:tcW w:w="1530" w:type="dxa"/>
          </w:tcPr>
          <w:p w14:paraId="75DADDC2" w14:textId="77777777" w:rsidR="00F07D5E" w:rsidRPr="00C56257" w:rsidRDefault="00F07D5E" w:rsidP="00F100E1">
            <w:pPr>
              <w:widowControl w:val="0"/>
              <w:autoSpaceDE w:val="0"/>
              <w:autoSpaceDN w:val="0"/>
              <w:jc w:val="both"/>
            </w:pPr>
          </w:p>
          <w:p w14:paraId="687A4473" w14:textId="77777777" w:rsidR="00F07D5E" w:rsidRPr="00C56257" w:rsidRDefault="00F07D5E" w:rsidP="00F100E1">
            <w:pPr>
              <w:widowControl w:val="0"/>
              <w:autoSpaceDE w:val="0"/>
              <w:autoSpaceDN w:val="0"/>
              <w:jc w:val="both"/>
            </w:pPr>
          </w:p>
          <w:p w14:paraId="35A0DC0D" w14:textId="77777777" w:rsidR="00F07D5E" w:rsidRPr="00C56257" w:rsidRDefault="00F07D5E" w:rsidP="00F100E1">
            <w:pPr>
              <w:widowControl w:val="0"/>
              <w:autoSpaceDE w:val="0"/>
              <w:autoSpaceDN w:val="0"/>
              <w:jc w:val="both"/>
            </w:pPr>
          </w:p>
          <w:p w14:paraId="7726A441" w14:textId="77777777" w:rsidR="00F07D5E" w:rsidRPr="00C56257" w:rsidRDefault="00F07D5E" w:rsidP="00F100E1">
            <w:pPr>
              <w:widowControl w:val="0"/>
              <w:autoSpaceDE w:val="0"/>
              <w:autoSpaceDN w:val="0"/>
              <w:jc w:val="both"/>
            </w:pPr>
          </w:p>
          <w:p w14:paraId="20784109" w14:textId="77777777" w:rsidR="00F07D5E" w:rsidRPr="00F100E1" w:rsidRDefault="00F07D5E" w:rsidP="00F100E1">
            <w:pPr>
              <w:widowControl w:val="0"/>
              <w:autoSpaceDE w:val="0"/>
              <w:autoSpaceDN w:val="0"/>
              <w:spacing w:before="154"/>
              <w:ind w:left="110" w:right="353"/>
              <w:jc w:val="both"/>
            </w:pPr>
            <w:r w:rsidRPr="00F100E1">
              <w:t>D01, D03,</w:t>
            </w:r>
            <w:r w:rsidRPr="00F100E1">
              <w:rPr>
                <w:spacing w:val="-52"/>
              </w:rPr>
              <w:t xml:space="preserve"> </w:t>
            </w:r>
            <w:r w:rsidRPr="00F100E1">
              <w:t>D04,</w:t>
            </w:r>
            <w:r w:rsidRPr="00F100E1">
              <w:rPr>
                <w:spacing w:val="-1"/>
              </w:rPr>
              <w:t xml:space="preserve"> </w:t>
            </w:r>
            <w:r w:rsidRPr="00F100E1">
              <w:t>D05</w:t>
            </w:r>
          </w:p>
        </w:tc>
      </w:tr>
      <w:tr w:rsidR="00F07D5E" w:rsidRPr="00C56257" w14:paraId="78B98C3F" w14:textId="77777777" w:rsidTr="00F07D5E">
        <w:trPr>
          <w:trHeight w:val="5689"/>
        </w:trPr>
        <w:tc>
          <w:tcPr>
            <w:tcW w:w="650" w:type="dxa"/>
          </w:tcPr>
          <w:p w14:paraId="4B094F55" w14:textId="77777777" w:rsidR="00F07D5E" w:rsidRPr="00F100E1" w:rsidRDefault="00F07D5E" w:rsidP="00F100E1">
            <w:pPr>
              <w:widowControl w:val="0"/>
              <w:autoSpaceDE w:val="0"/>
              <w:autoSpaceDN w:val="0"/>
              <w:spacing w:line="247" w:lineRule="exact"/>
              <w:ind w:left="107"/>
              <w:jc w:val="both"/>
            </w:pPr>
            <w:r w:rsidRPr="00F100E1">
              <w:rPr>
                <w:color w:val="000009"/>
              </w:rPr>
              <w:t>6.</w:t>
            </w:r>
          </w:p>
        </w:tc>
        <w:tc>
          <w:tcPr>
            <w:tcW w:w="856" w:type="dxa"/>
          </w:tcPr>
          <w:p w14:paraId="3F355927" w14:textId="77777777" w:rsidR="00F07D5E" w:rsidRPr="00C56257" w:rsidRDefault="00F07D5E" w:rsidP="00F100E1">
            <w:pPr>
              <w:widowControl w:val="0"/>
              <w:autoSpaceDE w:val="0"/>
              <w:autoSpaceDN w:val="0"/>
              <w:jc w:val="both"/>
            </w:pPr>
          </w:p>
          <w:p w14:paraId="7CAA0EDF" w14:textId="77777777" w:rsidR="00F07D5E" w:rsidRPr="00C56257" w:rsidRDefault="00F07D5E" w:rsidP="00F100E1">
            <w:pPr>
              <w:widowControl w:val="0"/>
              <w:autoSpaceDE w:val="0"/>
              <w:autoSpaceDN w:val="0"/>
              <w:jc w:val="both"/>
            </w:pPr>
          </w:p>
          <w:p w14:paraId="23097BD2" w14:textId="77777777" w:rsidR="00F07D5E" w:rsidRPr="00C56257" w:rsidRDefault="00F07D5E" w:rsidP="00F100E1">
            <w:pPr>
              <w:widowControl w:val="0"/>
              <w:autoSpaceDE w:val="0"/>
              <w:autoSpaceDN w:val="0"/>
              <w:jc w:val="both"/>
            </w:pPr>
          </w:p>
          <w:p w14:paraId="3DDFF60A" w14:textId="77777777" w:rsidR="00F07D5E" w:rsidRPr="00C56257" w:rsidRDefault="00F07D5E" w:rsidP="00F100E1">
            <w:pPr>
              <w:widowControl w:val="0"/>
              <w:autoSpaceDE w:val="0"/>
              <w:autoSpaceDN w:val="0"/>
              <w:jc w:val="both"/>
            </w:pPr>
          </w:p>
          <w:p w14:paraId="53EEB3CD" w14:textId="77777777" w:rsidR="00F07D5E" w:rsidRPr="00C56257" w:rsidRDefault="00F07D5E" w:rsidP="00F100E1">
            <w:pPr>
              <w:widowControl w:val="0"/>
              <w:autoSpaceDE w:val="0"/>
              <w:autoSpaceDN w:val="0"/>
              <w:jc w:val="both"/>
            </w:pPr>
          </w:p>
          <w:p w14:paraId="077494F8" w14:textId="77777777" w:rsidR="00F07D5E" w:rsidRPr="00C56257" w:rsidRDefault="00F07D5E" w:rsidP="00F100E1">
            <w:pPr>
              <w:widowControl w:val="0"/>
              <w:autoSpaceDE w:val="0"/>
              <w:autoSpaceDN w:val="0"/>
              <w:jc w:val="both"/>
            </w:pPr>
          </w:p>
          <w:p w14:paraId="1E83AB3D" w14:textId="77777777" w:rsidR="00F07D5E" w:rsidRPr="00C56257" w:rsidRDefault="00F07D5E" w:rsidP="00F100E1">
            <w:pPr>
              <w:widowControl w:val="0"/>
              <w:autoSpaceDE w:val="0"/>
              <w:autoSpaceDN w:val="0"/>
              <w:jc w:val="both"/>
            </w:pPr>
          </w:p>
          <w:p w14:paraId="3C4CFF07" w14:textId="77777777" w:rsidR="00F07D5E" w:rsidRPr="00C56257" w:rsidRDefault="00F07D5E" w:rsidP="00F100E1">
            <w:pPr>
              <w:widowControl w:val="0"/>
              <w:autoSpaceDE w:val="0"/>
              <w:autoSpaceDN w:val="0"/>
              <w:jc w:val="both"/>
            </w:pPr>
          </w:p>
          <w:p w14:paraId="70E08E66" w14:textId="77777777" w:rsidR="00F07D5E" w:rsidRPr="00C56257" w:rsidRDefault="00F07D5E" w:rsidP="00F100E1">
            <w:pPr>
              <w:widowControl w:val="0"/>
              <w:autoSpaceDE w:val="0"/>
              <w:autoSpaceDN w:val="0"/>
              <w:jc w:val="both"/>
            </w:pPr>
          </w:p>
          <w:p w14:paraId="71C3DD9B" w14:textId="77777777" w:rsidR="00F07D5E" w:rsidRPr="00C56257" w:rsidRDefault="00F07D5E" w:rsidP="00F100E1">
            <w:pPr>
              <w:widowControl w:val="0"/>
              <w:autoSpaceDE w:val="0"/>
              <w:autoSpaceDN w:val="0"/>
              <w:jc w:val="both"/>
            </w:pPr>
          </w:p>
          <w:p w14:paraId="02197B93" w14:textId="77777777" w:rsidR="00F07D5E" w:rsidRPr="00F100E1" w:rsidRDefault="00F07D5E" w:rsidP="00F100E1">
            <w:pPr>
              <w:widowControl w:val="0"/>
              <w:autoSpaceDE w:val="0"/>
              <w:autoSpaceDN w:val="0"/>
              <w:spacing w:before="143"/>
              <w:ind w:left="108"/>
              <w:jc w:val="both"/>
            </w:pPr>
            <w:r w:rsidRPr="00F100E1">
              <w:rPr>
                <w:color w:val="000009"/>
              </w:rPr>
              <w:t>CE01</w:t>
            </w:r>
          </w:p>
        </w:tc>
        <w:tc>
          <w:tcPr>
            <w:tcW w:w="1752" w:type="dxa"/>
          </w:tcPr>
          <w:p w14:paraId="26A6580C" w14:textId="77777777" w:rsidR="00F07D5E" w:rsidRPr="00C56257" w:rsidRDefault="00F07D5E" w:rsidP="00F100E1">
            <w:pPr>
              <w:widowControl w:val="0"/>
              <w:autoSpaceDE w:val="0"/>
              <w:autoSpaceDN w:val="0"/>
              <w:jc w:val="both"/>
            </w:pPr>
          </w:p>
          <w:p w14:paraId="568C8D31" w14:textId="77777777" w:rsidR="00F07D5E" w:rsidRPr="00C56257" w:rsidRDefault="00F07D5E" w:rsidP="00F100E1">
            <w:pPr>
              <w:widowControl w:val="0"/>
              <w:autoSpaceDE w:val="0"/>
              <w:autoSpaceDN w:val="0"/>
              <w:jc w:val="both"/>
            </w:pPr>
          </w:p>
          <w:p w14:paraId="6911708F" w14:textId="77777777" w:rsidR="00F07D5E" w:rsidRPr="00C56257" w:rsidRDefault="00F07D5E" w:rsidP="00F100E1">
            <w:pPr>
              <w:widowControl w:val="0"/>
              <w:autoSpaceDE w:val="0"/>
              <w:autoSpaceDN w:val="0"/>
              <w:jc w:val="both"/>
            </w:pPr>
          </w:p>
          <w:p w14:paraId="5D17FD08" w14:textId="77777777" w:rsidR="00F07D5E" w:rsidRPr="00C56257" w:rsidRDefault="00F07D5E" w:rsidP="00F100E1">
            <w:pPr>
              <w:widowControl w:val="0"/>
              <w:autoSpaceDE w:val="0"/>
              <w:autoSpaceDN w:val="0"/>
              <w:jc w:val="both"/>
            </w:pPr>
          </w:p>
          <w:p w14:paraId="7C530900" w14:textId="77777777" w:rsidR="00F07D5E" w:rsidRPr="00C56257" w:rsidRDefault="00F07D5E" w:rsidP="00F100E1">
            <w:pPr>
              <w:widowControl w:val="0"/>
              <w:autoSpaceDE w:val="0"/>
              <w:autoSpaceDN w:val="0"/>
              <w:jc w:val="both"/>
            </w:pPr>
          </w:p>
          <w:p w14:paraId="188D30D3" w14:textId="77777777" w:rsidR="00F07D5E" w:rsidRPr="00C56257" w:rsidRDefault="00F07D5E" w:rsidP="00F100E1">
            <w:pPr>
              <w:widowControl w:val="0"/>
              <w:autoSpaceDE w:val="0"/>
              <w:autoSpaceDN w:val="0"/>
              <w:jc w:val="both"/>
            </w:pPr>
          </w:p>
          <w:p w14:paraId="7B96D0D0" w14:textId="77777777" w:rsidR="00F07D5E" w:rsidRPr="00C56257" w:rsidRDefault="00F07D5E" w:rsidP="00F100E1">
            <w:pPr>
              <w:widowControl w:val="0"/>
              <w:autoSpaceDE w:val="0"/>
              <w:autoSpaceDN w:val="0"/>
              <w:jc w:val="both"/>
            </w:pPr>
          </w:p>
          <w:p w14:paraId="63D5A44F" w14:textId="77777777" w:rsidR="00F07D5E" w:rsidRPr="00C56257" w:rsidRDefault="00F07D5E" w:rsidP="00F100E1">
            <w:pPr>
              <w:widowControl w:val="0"/>
              <w:autoSpaceDE w:val="0"/>
              <w:autoSpaceDN w:val="0"/>
              <w:jc w:val="both"/>
            </w:pPr>
          </w:p>
          <w:p w14:paraId="160D6882" w14:textId="77777777" w:rsidR="00F07D5E" w:rsidRPr="00F100E1" w:rsidRDefault="00F07D5E" w:rsidP="00F100E1">
            <w:pPr>
              <w:widowControl w:val="0"/>
              <w:autoSpaceDE w:val="0"/>
              <w:autoSpaceDN w:val="0"/>
              <w:spacing w:before="188"/>
              <w:ind w:left="108" w:right="337"/>
              <w:jc w:val="both"/>
            </w:pPr>
            <w:r w:rsidRPr="00F100E1">
              <w:rPr>
                <w:color w:val="1F2023"/>
              </w:rPr>
              <w:t>Reducerea</w:t>
            </w:r>
            <w:r w:rsidRPr="00F100E1">
              <w:rPr>
                <w:color w:val="1F2023"/>
                <w:spacing w:val="1"/>
              </w:rPr>
              <w:t xml:space="preserve"> </w:t>
            </w:r>
            <w:r w:rsidRPr="00F100E1">
              <w:rPr>
                <w:color w:val="1F2023"/>
              </w:rPr>
              <w:t>impactului</w:t>
            </w:r>
            <w:r w:rsidRPr="00F100E1">
              <w:rPr>
                <w:color w:val="1F2023"/>
                <w:spacing w:val="1"/>
              </w:rPr>
              <w:t xml:space="preserve"> </w:t>
            </w:r>
            <w:r w:rsidRPr="00F100E1">
              <w:rPr>
                <w:color w:val="1F2023"/>
              </w:rPr>
              <w:t>activităților de</w:t>
            </w:r>
            <w:r w:rsidRPr="00F100E1">
              <w:rPr>
                <w:color w:val="1F2023"/>
                <w:spacing w:val="-52"/>
              </w:rPr>
              <w:t xml:space="preserve"> </w:t>
            </w:r>
            <w:r w:rsidRPr="00F100E1">
              <w:rPr>
                <w:color w:val="1F2023"/>
              </w:rPr>
              <w:t>transport și al</w:t>
            </w:r>
            <w:r w:rsidRPr="00F100E1">
              <w:rPr>
                <w:color w:val="1F2023"/>
                <w:spacing w:val="1"/>
              </w:rPr>
              <w:t xml:space="preserve"> </w:t>
            </w:r>
            <w:r w:rsidRPr="00F100E1">
              <w:rPr>
                <w:color w:val="1F2023"/>
              </w:rPr>
              <w:t>infrastructurii</w:t>
            </w:r>
          </w:p>
        </w:tc>
        <w:tc>
          <w:tcPr>
            <w:tcW w:w="5100" w:type="dxa"/>
          </w:tcPr>
          <w:p w14:paraId="1B6EF5BB" w14:textId="77777777" w:rsidR="00F07D5E" w:rsidRPr="00F100E1" w:rsidRDefault="00F07D5E" w:rsidP="00F100E1">
            <w:pPr>
              <w:widowControl w:val="0"/>
              <w:autoSpaceDE w:val="0"/>
              <w:autoSpaceDN w:val="0"/>
              <w:ind w:left="109" w:right="112"/>
              <w:jc w:val="both"/>
            </w:pPr>
            <w:r w:rsidRPr="00F100E1">
              <w:rPr>
                <w:color w:val="1F2023"/>
              </w:rPr>
              <w:t>Reducerea impactului infrastructurilor de</w:t>
            </w:r>
            <w:r w:rsidRPr="00F100E1">
              <w:rPr>
                <w:color w:val="1F2023"/>
                <w:spacing w:val="-52"/>
              </w:rPr>
              <w:t xml:space="preserve"> </w:t>
            </w:r>
            <w:r w:rsidRPr="00F100E1">
              <w:rPr>
                <w:color w:val="1F2023"/>
              </w:rPr>
              <w:t>transport (drumuri, căi ferate, poduri,</w:t>
            </w:r>
            <w:r w:rsidRPr="00F100E1">
              <w:rPr>
                <w:color w:val="1F2023"/>
                <w:spacing w:val="1"/>
              </w:rPr>
              <w:t xml:space="preserve"> </w:t>
            </w:r>
            <w:r w:rsidRPr="00F100E1">
              <w:rPr>
                <w:color w:val="1F2023"/>
              </w:rPr>
              <w:t>viaducte, tuneluri, benzi și canale de</w:t>
            </w:r>
            <w:r w:rsidRPr="00F100E1">
              <w:rPr>
                <w:color w:val="1F2023"/>
                <w:spacing w:val="1"/>
              </w:rPr>
              <w:t xml:space="preserve"> </w:t>
            </w:r>
            <w:r w:rsidRPr="00F100E1">
              <w:rPr>
                <w:color w:val="1F2023"/>
              </w:rPr>
              <w:t>navigație,</w:t>
            </w:r>
            <w:r w:rsidRPr="00F100E1">
              <w:rPr>
                <w:color w:val="1F2023"/>
                <w:spacing w:val="3"/>
              </w:rPr>
              <w:t xml:space="preserve"> </w:t>
            </w:r>
            <w:r w:rsidRPr="00F100E1">
              <w:rPr>
                <w:color w:val="1F2023"/>
              </w:rPr>
              <w:t>strâmtori, porturi,</w:t>
            </w:r>
            <w:r w:rsidRPr="00F100E1">
              <w:rPr>
                <w:color w:val="1F2023"/>
                <w:spacing w:val="1"/>
              </w:rPr>
              <w:t xml:space="preserve"> </w:t>
            </w:r>
            <w:r w:rsidRPr="00F100E1">
              <w:rPr>
                <w:color w:val="1F2023"/>
              </w:rPr>
              <w:t>aerodromuri) și activități de transport</w:t>
            </w:r>
            <w:r w:rsidRPr="00F100E1">
              <w:rPr>
                <w:color w:val="1F2023"/>
                <w:spacing w:val="1"/>
              </w:rPr>
              <w:t xml:space="preserve"> </w:t>
            </w:r>
            <w:r w:rsidRPr="00F100E1">
              <w:rPr>
                <w:color w:val="1F2023"/>
              </w:rPr>
              <w:t>asupra habitatelor și speciilor vizate de</w:t>
            </w:r>
            <w:r w:rsidRPr="00F100E1">
              <w:rPr>
                <w:color w:val="1F2023"/>
                <w:spacing w:val="1"/>
              </w:rPr>
              <w:t xml:space="preserve"> </w:t>
            </w:r>
            <w:r w:rsidRPr="00F100E1">
              <w:rPr>
                <w:color w:val="1F2023"/>
              </w:rPr>
              <w:t>directivele</w:t>
            </w:r>
            <w:r w:rsidRPr="00F100E1">
              <w:rPr>
                <w:color w:val="1F2023"/>
                <w:spacing w:val="-2"/>
              </w:rPr>
              <w:t xml:space="preserve"> </w:t>
            </w:r>
            <w:r w:rsidRPr="00F100E1">
              <w:rPr>
                <w:color w:val="1F2023"/>
              </w:rPr>
              <w:t>privind</w:t>
            </w:r>
            <w:r w:rsidRPr="00F100E1">
              <w:rPr>
                <w:color w:val="1F2023"/>
                <w:spacing w:val="-4"/>
              </w:rPr>
              <w:t xml:space="preserve"> </w:t>
            </w:r>
            <w:r w:rsidRPr="00F100E1">
              <w:rPr>
                <w:color w:val="1F2023"/>
              </w:rPr>
              <w:t>conservarea</w:t>
            </w:r>
            <w:r w:rsidRPr="00F100E1">
              <w:rPr>
                <w:color w:val="1F2023"/>
                <w:spacing w:val="-2"/>
              </w:rPr>
              <w:t xml:space="preserve"> </w:t>
            </w:r>
            <w:r w:rsidRPr="00F100E1">
              <w:rPr>
                <w:color w:val="1F2023"/>
              </w:rPr>
              <w:t>naturii.</w:t>
            </w:r>
          </w:p>
          <w:p w14:paraId="0AD5CABF" w14:textId="77777777" w:rsidR="00F07D5E" w:rsidRPr="00F100E1" w:rsidRDefault="00F07D5E" w:rsidP="00F100E1">
            <w:pPr>
              <w:widowControl w:val="0"/>
              <w:autoSpaceDE w:val="0"/>
              <w:autoSpaceDN w:val="0"/>
              <w:ind w:left="109" w:right="121"/>
              <w:jc w:val="both"/>
            </w:pPr>
            <w:r w:rsidRPr="00F100E1">
              <w:rPr>
                <w:color w:val="1F2023"/>
              </w:rPr>
              <w:t>Aceasta include, de exemplu, construirea</w:t>
            </w:r>
            <w:r w:rsidRPr="00F100E1">
              <w:rPr>
                <w:color w:val="1F2023"/>
                <w:spacing w:val="-52"/>
              </w:rPr>
              <w:t xml:space="preserve"> </w:t>
            </w:r>
            <w:r w:rsidRPr="00F100E1">
              <w:rPr>
                <w:color w:val="1F2023"/>
              </w:rPr>
              <w:t>și gestionarea pasajelor pentru animale,</w:t>
            </w:r>
            <w:r w:rsidRPr="00F100E1">
              <w:rPr>
                <w:color w:val="1F2023"/>
                <w:spacing w:val="1"/>
              </w:rPr>
              <w:t xml:space="preserve"> </w:t>
            </w:r>
            <w:r w:rsidRPr="00F100E1">
              <w:rPr>
                <w:color w:val="1F2023"/>
              </w:rPr>
              <w:t>dezvoltarea infrastructurii verzi /</w:t>
            </w:r>
            <w:r w:rsidRPr="00F100E1">
              <w:rPr>
                <w:color w:val="1F2023"/>
                <w:spacing w:val="1"/>
              </w:rPr>
              <w:t xml:space="preserve"> </w:t>
            </w:r>
            <w:r w:rsidRPr="00F100E1">
              <w:rPr>
                <w:color w:val="1F2023"/>
              </w:rPr>
              <w:t>albastre, gestionarea traficului și a</w:t>
            </w:r>
            <w:r w:rsidRPr="00F100E1">
              <w:rPr>
                <w:color w:val="1F2023"/>
                <w:spacing w:val="1"/>
              </w:rPr>
              <w:t xml:space="preserve"> </w:t>
            </w:r>
            <w:r w:rsidRPr="00F100E1">
              <w:rPr>
                <w:color w:val="1F2023"/>
              </w:rPr>
              <w:t>infrastructurii marine și fluviale pentru,</w:t>
            </w:r>
            <w:r w:rsidRPr="00F100E1">
              <w:rPr>
                <w:color w:val="1F2023"/>
                <w:spacing w:val="1"/>
              </w:rPr>
              <w:t xml:space="preserve"> </w:t>
            </w:r>
            <w:r w:rsidRPr="00F100E1">
              <w:rPr>
                <w:color w:val="1F2023"/>
              </w:rPr>
              <w:t>de exemplu, reducerea eroziunii</w:t>
            </w:r>
            <w:r w:rsidRPr="00F100E1">
              <w:rPr>
                <w:color w:val="1F2023"/>
                <w:spacing w:val="1"/>
              </w:rPr>
              <w:t xml:space="preserve"> </w:t>
            </w:r>
            <w:r w:rsidRPr="00F100E1">
              <w:rPr>
                <w:color w:val="1F2023"/>
              </w:rPr>
              <w:t>malurilor și descurajarea distrugerii</w:t>
            </w:r>
            <w:r w:rsidRPr="00F100E1">
              <w:rPr>
                <w:color w:val="1F2023"/>
                <w:spacing w:val="1"/>
              </w:rPr>
              <w:t xml:space="preserve"> </w:t>
            </w:r>
            <w:r w:rsidRPr="00F100E1">
              <w:rPr>
                <w:color w:val="1F2023"/>
              </w:rPr>
              <w:t>acestora (de exemplu, lăsând iarba să</w:t>
            </w:r>
            <w:r w:rsidRPr="00F100E1">
              <w:rPr>
                <w:color w:val="1F2023"/>
                <w:spacing w:val="1"/>
              </w:rPr>
              <w:t xml:space="preserve"> </w:t>
            </w:r>
            <w:r w:rsidRPr="00F100E1">
              <w:rPr>
                <w:color w:val="1F2023"/>
              </w:rPr>
              <w:t>crească mult timp sau folosind „speria</w:t>
            </w:r>
            <w:r w:rsidRPr="00F100E1">
              <w:rPr>
                <w:color w:val="1F2023"/>
                <w:spacing w:val="1"/>
              </w:rPr>
              <w:t xml:space="preserve"> </w:t>
            </w:r>
            <w:r w:rsidRPr="00F100E1">
              <w:rPr>
                <w:color w:val="1F2023"/>
              </w:rPr>
              <w:t>activă”) „tactici) păsări din utilizarea</w:t>
            </w:r>
            <w:r w:rsidRPr="00F100E1">
              <w:rPr>
                <w:color w:val="1F2023"/>
                <w:spacing w:val="1"/>
              </w:rPr>
              <w:t xml:space="preserve"> </w:t>
            </w:r>
            <w:r w:rsidRPr="00F100E1">
              <w:rPr>
                <w:color w:val="1F2023"/>
              </w:rPr>
              <w:t>aerodromului / aeroporturilor. De</w:t>
            </w:r>
            <w:r w:rsidRPr="00F100E1">
              <w:rPr>
                <w:color w:val="1F2023"/>
                <w:spacing w:val="1"/>
              </w:rPr>
              <w:t xml:space="preserve"> </w:t>
            </w:r>
            <w:r w:rsidRPr="00F100E1">
              <w:rPr>
                <w:color w:val="1F2023"/>
              </w:rPr>
              <w:t>asemenea, include orice măsuri de</w:t>
            </w:r>
            <w:r w:rsidRPr="00F100E1">
              <w:rPr>
                <w:color w:val="1F2023"/>
                <w:spacing w:val="1"/>
              </w:rPr>
              <w:t xml:space="preserve"> </w:t>
            </w:r>
            <w:r w:rsidRPr="00F100E1">
              <w:rPr>
                <w:color w:val="1F2023"/>
              </w:rPr>
              <w:t>reducere a poluării fonice și luminoase.</w:t>
            </w:r>
            <w:r w:rsidRPr="00F100E1">
              <w:rPr>
                <w:color w:val="1F2023"/>
                <w:spacing w:val="1"/>
              </w:rPr>
              <w:t xml:space="preserve"> </w:t>
            </w:r>
            <w:r w:rsidRPr="00F100E1">
              <w:rPr>
                <w:color w:val="1F2023"/>
              </w:rPr>
              <w:t>Reglementarea traficului sau construcția</w:t>
            </w:r>
            <w:r w:rsidRPr="00F100E1">
              <w:rPr>
                <w:color w:val="1F2023"/>
                <w:spacing w:val="1"/>
              </w:rPr>
              <w:t xml:space="preserve"> </w:t>
            </w:r>
            <w:r w:rsidRPr="00F100E1">
              <w:rPr>
                <w:color w:val="1F2023"/>
              </w:rPr>
              <w:t>infrastructurii</w:t>
            </w:r>
            <w:r w:rsidRPr="00F100E1">
              <w:rPr>
                <w:color w:val="1F2023"/>
                <w:spacing w:val="-1"/>
              </w:rPr>
              <w:t xml:space="preserve"> </w:t>
            </w:r>
            <w:r w:rsidRPr="00F100E1">
              <w:rPr>
                <w:color w:val="1F2023"/>
              </w:rPr>
              <w:t>de</w:t>
            </w:r>
            <w:r w:rsidRPr="00F100E1">
              <w:rPr>
                <w:color w:val="1F2023"/>
                <w:spacing w:val="-1"/>
              </w:rPr>
              <w:t xml:space="preserve"> </w:t>
            </w:r>
            <w:r w:rsidRPr="00F100E1">
              <w:rPr>
                <w:color w:val="1F2023"/>
              </w:rPr>
              <w:t>circulație</w:t>
            </w:r>
            <w:r w:rsidRPr="00F100E1">
              <w:rPr>
                <w:color w:val="1F2023"/>
                <w:spacing w:val="-2"/>
              </w:rPr>
              <w:t xml:space="preserve"> </w:t>
            </w:r>
            <w:r w:rsidRPr="00F100E1">
              <w:rPr>
                <w:color w:val="1F2023"/>
              </w:rPr>
              <w:t>pentru</w:t>
            </w:r>
            <w:r w:rsidRPr="00F100E1">
              <w:rPr>
                <w:color w:val="1F2023"/>
                <w:spacing w:val="-1"/>
              </w:rPr>
              <w:t xml:space="preserve"> </w:t>
            </w:r>
            <w:r w:rsidRPr="00F100E1">
              <w:rPr>
                <w:color w:val="1F2023"/>
              </w:rPr>
              <w:t>a</w:t>
            </w:r>
          </w:p>
          <w:p w14:paraId="46CFC3A0" w14:textId="77777777" w:rsidR="00F07D5E" w:rsidRPr="00F100E1" w:rsidRDefault="00F07D5E" w:rsidP="00F100E1">
            <w:pPr>
              <w:widowControl w:val="0"/>
              <w:autoSpaceDE w:val="0"/>
              <w:autoSpaceDN w:val="0"/>
              <w:spacing w:line="252" w:lineRule="exact"/>
              <w:ind w:left="109" w:right="228"/>
              <w:jc w:val="both"/>
            </w:pPr>
            <w:r w:rsidRPr="00F100E1">
              <w:rPr>
                <w:color w:val="1F2023"/>
              </w:rPr>
              <w:t>reduce poluarea chimică / cu particule</w:t>
            </w:r>
            <w:r w:rsidRPr="00F100E1">
              <w:rPr>
                <w:color w:val="1F2023"/>
                <w:spacing w:val="1"/>
              </w:rPr>
              <w:t xml:space="preserve"> </w:t>
            </w:r>
            <w:r w:rsidRPr="00F100E1">
              <w:rPr>
                <w:color w:val="1F2023"/>
              </w:rPr>
              <w:t>care</w:t>
            </w:r>
            <w:r w:rsidRPr="00F100E1">
              <w:rPr>
                <w:color w:val="1F2023"/>
                <w:spacing w:val="-3"/>
              </w:rPr>
              <w:t xml:space="preserve"> </w:t>
            </w:r>
            <w:r w:rsidRPr="00F100E1">
              <w:rPr>
                <w:color w:val="1F2023"/>
              </w:rPr>
              <w:t>ar</w:t>
            </w:r>
            <w:r w:rsidRPr="00F100E1">
              <w:rPr>
                <w:color w:val="1F2023"/>
                <w:spacing w:val="-3"/>
              </w:rPr>
              <w:t xml:space="preserve"> </w:t>
            </w:r>
            <w:r w:rsidRPr="00F100E1">
              <w:rPr>
                <w:color w:val="1F2023"/>
              </w:rPr>
              <w:t>trebui raportată</w:t>
            </w:r>
            <w:r w:rsidRPr="00F100E1">
              <w:rPr>
                <w:color w:val="1F2023"/>
                <w:spacing w:val="-1"/>
              </w:rPr>
              <w:t xml:space="preserve"> </w:t>
            </w:r>
            <w:r w:rsidRPr="00F100E1">
              <w:rPr>
                <w:color w:val="1F2023"/>
              </w:rPr>
              <w:t>sub</w:t>
            </w:r>
            <w:r w:rsidRPr="00F100E1">
              <w:rPr>
                <w:color w:val="1F2023"/>
                <w:spacing w:val="-4"/>
              </w:rPr>
              <w:t xml:space="preserve"> </w:t>
            </w:r>
            <w:r w:rsidRPr="00F100E1">
              <w:rPr>
                <w:color w:val="1F2023"/>
              </w:rPr>
              <w:t>codul CE03.</w:t>
            </w:r>
          </w:p>
        </w:tc>
        <w:tc>
          <w:tcPr>
            <w:tcW w:w="1530" w:type="dxa"/>
          </w:tcPr>
          <w:p w14:paraId="2B909A7B" w14:textId="77777777" w:rsidR="00F07D5E" w:rsidRPr="00C56257" w:rsidRDefault="00F07D5E" w:rsidP="00F100E1">
            <w:pPr>
              <w:widowControl w:val="0"/>
              <w:autoSpaceDE w:val="0"/>
              <w:autoSpaceDN w:val="0"/>
              <w:jc w:val="both"/>
            </w:pPr>
          </w:p>
          <w:p w14:paraId="658333DA" w14:textId="77777777" w:rsidR="00F07D5E" w:rsidRPr="00C56257" w:rsidRDefault="00F07D5E" w:rsidP="00F100E1">
            <w:pPr>
              <w:widowControl w:val="0"/>
              <w:autoSpaceDE w:val="0"/>
              <w:autoSpaceDN w:val="0"/>
              <w:jc w:val="both"/>
            </w:pPr>
          </w:p>
          <w:p w14:paraId="756923DC" w14:textId="77777777" w:rsidR="00F07D5E" w:rsidRPr="00C56257" w:rsidRDefault="00F07D5E" w:rsidP="00F100E1">
            <w:pPr>
              <w:widowControl w:val="0"/>
              <w:autoSpaceDE w:val="0"/>
              <w:autoSpaceDN w:val="0"/>
              <w:jc w:val="both"/>
            </w:pPr>
          </w:p>
          <w:p w14:paraId="5D919DD0" w14:textId="77777777" w:rsidR="00F07D5E" w:rsidRPr="00C56257" w:rsidRDefault="00F07D5E" w:rsidP="00F100E1">
            <w:pPr>
              <w:widowControl w:val="0"/>
              <w:autoSpaceDE w:val="0"/>
              <w:autoSpaceDN w:val="0"/>
              <w:jc w:val="both"/>
            </w:pPr>
          </w:p>
          <w:p w14:paraId="36602E2C" w14:textId="77777777" w:rsidR="00F07D5E" w:rsidRPr="00C56257" w:rsidRDefault="00F07D5E" w:rsidP="00F100E1">
            <w:pPr>
              <w:widowControl w:val="0"/>
              <w:autoSpaceDE w:val="0"/>
              <w:autoSpaceDN w:val="0"/>
              <w:jc w:val="both"/>
            </w:pPr>
          </w:p>
          <w:p w14:paraId="22D82042" w14:textId="77777777" w:rsidR="00F07D5E" w:rsidRPr="00C56257" w:rsidRDefault="00F07D5E" w:rsidP="00F100E1">
            <w:pPr>
              <w:widowControl w:val="0"/>
              <w:autoSpaceDE w:val="0"/>
              <w:autoSpaceDN w:val="0"/>
              <w:jc w:val="both"/>
            </w:pPr>
          </w:p>
          <w:p w14:paraId="585A4863" w14:textId="77777777" w:rsidR="00F07D5E" w:rsidRPr="00C56257" w:rsidRDefault="00F07D5E" w:rsidP="00F100E1">
            <w:pPr>
              <w:widowControl w:val="0"/>
              <w:autoSpaceDE w:val="0"/>
              <w:autoSpaceDN w:val="0"/>
              <w:jc w:val="both"/>
            </w:pPr>
          </w:p>
          <w:p w14:paraId="1A97D196" w14:textId="77777777" w:rsidR="00F07D5E" w:rsidRPr="00C56257" w:rsidRDefault="00F07D5E" w:rsidP="00F100E1">
            <w:pPr>
              <w:widowControl w:val="0"/>
              <w:autoSpaceDE w:val="0"/>
              <w:autoSpaceDN w:val="0"/>
              <w:jc w:val="both"/>
            </w:pPr>
          </w:p>
          <w:p w14:paraId="4D50363E" w14:textId="77777777" w:rsidR="00F07D5E" w:rsidRPr="00C56257" w:rsidRDefault="00F07D5E" w:rsidP="00F100E1">
            <w:pPr>
              <w:widowControl w:val="0"/>
              <w:autoSpaceDE w:val="0"/>
              <w:autoSpaceDN w:val="0"/>
              <w:jc w:val="both"/>
            </w:pPr>
          </w:p>
          <w:p w14:paraId="193DBEB2" w14:textId="77777777" w:rsidR="00F07D5E" w:rsidRPr="00F100E1" w:rsidRDefault="00F07D5E" w:rsidP="00F100E1">
            <w:pPr>
              <w:widowControl w:val="0"/>
              <w:autoSpaceDE w:val="0"/>
              <w:autoSpaceDN w:val="0"/>
              <w:spacing w:before="4"/>
              <w:jc w:val="both"/>
            </w:pPr>
          </w:p>
          <w:p w14:paraId="70C961CB" w14:textId="77777777" w:rsidR="00F07D5E" w:rsidRPr="00F100E1" w:rsidRDefault="00F07D5E" w:rsidP="00F100E1">
            <w:pPr>
              <w:widowControl w:val="0"/>
              <w:autoSpaceDE w:val="0"/>
              <w:autoSpaceDN w:val="0"/>
              <w:ind w:left="110" w:right="402"/>
              <w:jc w:val="both"/>
            </w:pPr>
            <w:r w:rsidRPr="00F100E1">
              <w:t>E01, E02,</w:t>
            </w:r>
            <w:r w:rsidRPr="00F100E1">
              <w:rPr>
                <w:spacing w:val="-52"/>
              </w:rPr>
              <w:t xml:space="preserve"> </w:t>
            </w:r>
            <w:r w:rsidRPr="00F100E1">
              <w:t>E03, E04</w:t>
            </w:r>
          </w:p>
        </w:tc>
      </w:tr>
      <w:tr w:rsidR="00F07D5E" w:rsidRPr="00C56257" w14:paraId="02ED4F11" w14:textId="77777777" w:rsidTr="00F07D5E">
        <w:trPr>
          <w:trHeight w:val="2529"/>
        </w:trPr>
        <w:tc>
          <w:tcPr>
            <w:tcW w:w="650" w:type="dxa"/>
          </w:tcPr>
          <w:p w14:paraId="0146557C" w14:textId="77777777" w:rsidR="00F07D5E" w:rsidRPr="00F100E1" w:rsidRDefault="00F07D5E" w:rsidP="00F100E1">
            <w:pPr>
              <w:widowControl w:val="0"/>
              <w:autoSpaceDE w:val="0"/>
              <w:autoSpaceDN w:val="0"/>
              <w:spacing w:line="247" w:lineRule="exact"/>
              <w:ind w:left="107"/>
              <w:jc w:val="both"/>
            </w:pPr>
            <w:r w:rsidRPr="00F100E1">
              <w:lastRenderedPageBreak/>
              <w:t>7.</w:t>
            </w:r>
          </w:p>
        </w:tc>
        <w:tc>
          <w:tcPr>
            <w:tcW w:w="856" w:type="dxa"/>
          </w:tcPr>
          <w:p w14:paraId="024A2E9F" w14:textId="77777777" w:rsidR="00F07D5E" w:rsidRPr="00C56257" w:rsidRDefault="00F07D5E" w:rsidP="00F100E1">
            <w:pPr>
              <w:widowControl w:val="0"/>
              <w:autoSpaceDE w:val="0"/>
              <w:autoSpaceDN w:val="0"/>
              <w:jc w:val="both"/>
            </w:pPr>
          </w:p>
          <w:p w14:paraId="72EB428E" w14:textId="77777777" w:rsidR="00F07D5E" w:rsidRPr="00C56257" w:rsidRDefault="00F07D5E" w:rsidP="00F100E1">
            <w:pPr>
              <w:widowControl w:val="0"/>
              <w:autoSpaceDE w:val="0"/>
              <w:autoSpaceDN w:val="0"/>
              <w:jc w:val="both"/>
            </w:pPr>
          </w:p>
          <w:p w14:paraId="46654126" w14:textId="77777777" w:rsidR="00F07D5E" w:rsidRPr="00C56257" w:rsidRDefault="00F07D5E" w:rsidP="00F100E1">
            <w:pPr>
              <w:widowControl w:val="0"/>
              <w:autoSpaceDE w:val="0"/>
              <w:autoSpaceDN w:val="0"/>
              <w:jc w:val="both"/>
            </w:pPr>
          </w:p>
          <w:p w14:paraId="35812E30" w14:textId="77777777" w:rsidR="00F07D5E" w:rsidRPr="00F100E1" w:rsidRDefault="00F07D5E" w:rsidP="00F100E1">
            <w:pPr>
              <w:widowControl w:val="0"/>
              <w:autoSpaceDE w:val="0"/>
              <w:autoSpaceDN w:val="0"/>
              <w:spacing w:before="4"/>
              <w:jc w:val="both"/>
            </w:pPr>
          </w:p>
          <w:p w14:paraId="37D5CA0B" w14:textId="77777777" w:rsidR="00F07D5E" w:rsidRPr="00F100E1" w:rsidRDefault="00F07D5E" w:rsidP="00F100E1">
            <w:pPr>
              <w:widowControl w:val="0"/>
              <w:autoSpaceDE w:val="0"/>
              <w:autoSpaceDN w:val="0"/>
              <w:ind w:left="108"/>
              <w:jc w:val="both"/>
            </w:pPr>
            <w:r w:rsidRPr="00F100E1">
              <w:t>CI01</w:t>
            </w:r>
          </w:p>
        </w:tc>
        <w:tc>
          <w:tcPr>
            <w:tcW w:w="1752" w:type="dxa"/>
          </w:tcPr>
          <w:p w14:paraId="1FB4E356" w14:textId="77777777" w:rsidR="00F07D5E" w:rsidRPr="00F100E1" w:rsidRDefault="00F07D5E" w:rsidP="00F100E1">
            <w:pPr>
              <w:widowControl w:val="0"/>
              <w:autoSpaceDE w:val="0"/>
              <w:autoSpaceDN w:val="0"/>
              <w:ind w:left="108" w:right="105"/>
              <w:jc w:val="both"/>
            </w:pPr>
            <w:r w:rsidRPr="00F100E1">
              <w:t>Detectarea</w:t>
            </w:r>
            <w:r w:rsidRPr="00F100E1">
              <w:rPr>
                <w:spacing w:val="1"/>
              </w:rPr>
              <w:t xml:space="preserve"> </w:t>
            </w:r>
            <w:r w:rsidRPr="00F100E1">
              <w:t>timpurie și</w:t>
            </w:r>
            <w:r w:rsidRPr="00F100E1">
              <w:rPr>
                <w:spacing w:val="1"/>
              </w:rPr>
              <w:t xml:space="preserve"> </w:t>
            </w:r>
            <w:r w:rsidRPr="00F100E1">
              <w:t>eradicarea rapidă</w:t>
            </w:r>
            <w:r w:rsidRPr="00F100E1">
              <w:rPr>
                <w:spacing w:val="-52"/>
              </w:rPr>
              <w:t xml:space="preserve"> </w:t>
            </w:r>
            <w:r w:rsidRPr="00F100E1">
              <w:t>a speciilor,</w:t>
            </w:r>
            <w:r w:rsidRPr="00F100E1">
              <w:rPr>
                <w:spacing w:val="1"/>
              </w:rPr>
              <w:t xml:space="preserve"> </w:t>
            </w:r>
            <w:r w:rsidRPr="00F100E1">
              <w:t>alohtone,</w:t>
            </w:r>
            <w:r w:rsidRPr="00F100E1">
              <w:rPr>
                <w:spacing w:val="1"/>
              </w:rPr>
              <w:t xml:space="preserve"> </w:t>
            </w:r>
            <w:r w:rsidRPr="00F100E1">
              <w:t>invazive</w:t>
            </w:r>
            <w:r w:rsidRPr="00F100E1">
              <w:rPr>
                <w:spacing w:val="1"/>
              </w:rPr>
              <w:t xml:space="preserve"> </w:t>
            </w:r>
            <w:r w:rsidRPr="00F100E1">
              <w:t>considerate de</w:t>
            </w:r>
            <w:r w:rsidRPr="00F100E1">
              <w:rPr>
                <w:spacing w:val="1"/>
              </w:rPr>
              <w:t xml:space="preserve"> </w:t>
            </w:r>
            <w:r w:rsidRPr="00F100E1">
              <w:t>interes pentru</w:t>
            </w:r>
            <w:r w:rsidRPr="00F100E1">
              <w:rPr>
                <w:spacing w:val="1"/>
              </w:rPr>
              <w:t xml:space="preserve"> </w:t>
            </w:r>
            <w:r w:rsidRPr="00F100E1">
              <w:t>Uniunea</w:t>
            </w:r>
          </w:p>
          <w:p w14:paraId="79821DD3" w14:textId="77777777" w:rsidR="00F07D5E" w:rsidRPr="00F100E1" w:rsidRDefault="00F07D5E" w:rsidP="00F100E1">
            <w:pPr>
              <w:widowControl w:val="0"/>
              <w:autoSpaceDE w:val="0"/>
              <w:autoSpaceDN w:val="0"/>
              <w:spacing w:line="239" w:lineRule="exact"/>
              <w:ind w:left="108"/>
              <w:jc w:val="both"/>
            </w:pPr>
            <w:r w:rsidRPr="00F100E1">
              <w:t>Europeană</w:t>
            </w:r>
          </w:p>
        </w:tc>
        <w:tc>
          <w:tcPr>
            <w:tcW w:w="5100" w:type="dxa"/>
          </w:tcPr>
          <w:p w14:paraId="0FBF21B7" w14:textId="77777777" w:rsidR="00F07D5E" w:rsidRPr="00F100E1" w:rsidRDefault="00F07D5E" w:rsidP="00F100E1">
            <w:pPr>
              <w:widowControl w:val="0"/>
              <w:autoSpaceDE w:val="0"/>
              <w:autoSpaceDN w:val="0"/>
              <w:ind w:left="109" w:right="266"/>
              <w:jc w:val="both"/>
            </w:pPr>
            <w:r w:rsidRPr="00F100E1">
              <w:rPr>
                <w:color w:val="1F2023"/>
              </w:rPr>
              <w:t>Stabilirea și funcționarea sistemului de</w:t>
            </w:r>
            <w:r w:rsidRPr="00F100E1">
              <w:rPr>
                <w:color w:val="1F2023"/>
                <w:spacing w:val="-52"/>
              </w:rPr>
              <w:t xml:space="preserve"> </w:t>
            </w:r>
            <w:r w:rsidRPr="00F100E1">
              <w:rPr>
                <w:color w:val="1F2023"/>
              </w:rPr>
              <w:t>detectare timpurie și eradicare rapidă a</w:t>
            </w:r>
            <w:r w:rsidRPr="00F100E1">
              <w:rPr>
                <w:color w:val="1F2023"/>
                <w:spacing w:val="-52"/>
              </w:rPr>
              <w:t xml:space="preserve"> </w:t>
            </w:r>
            <w:r w:rsidRPr="00F100E1">
              <w:rPr>
                <w:color w:val="1F2023"/>
              </w:rPr>
              <w:t>speciilor străine invazive de interes</w:t>
            </w:r>
            <w:r w:rsidRPr="00F100E1">
              <w:rPr>
                <w:color w:val="1F2023"/>
                <w:spacing w:val="1"/>
              </w:rPr>
              <w:t xml:space="preserve"> </w:t>
            </w:r>
            <w:r w:rsidRPr="00F100E1">
              <w:rPr>
                <w:color w:val="1F2023"/>
              </w:rPr>
              <w:t>pentru Uniunea Europeană (în</w:t>
            </w:r>
            <w:r w:rsidRPr="00F100E1">
              <w:rPr>
                <w:color w:val="1F2023"/>
                <w:spacing w:val="1"/>
              </w:rPr>
              <w:t xml:space="preserve"> </w:t>
            </w:r>
            <w:r w:rsidRPr="00F100E1">
              <w:rPr>
                <w:color w:val="1F2023"/>
              </w:rPr>
              <w:t>conformitate cu Regulamentul (UE) nr.</w:t>
            </w:r>
            <w:r w:rsidRPr="00F100E1">
              <w:rPr>
                <w:color w:val="1F2023"/>
                <w:spacing w:val="-52"/>
              </w:rPr>
              <w:t xml:space="preserve"> </w:t>
            </w:r>
            <w:r w:rsidRPr="00F100E1">
              <w:rPr>
                <w:color w:val="1F2023"/>
              </w:rPr>
              <w:t>1143/2014).</w:t>
            </w:r>
          </w:p>
          <w:p w14:paraId="327D18E9" w14:textId="77777777" w:rsidR="00F07D5E" w:rsidRPr="00F100E1" w:rsidRDefault="00F07D5E" w:rsidP="00F100E1">
            <w:pPr>
              <w:widowControl w:val="0"/>
              <w:autoSpaceDE w:val="0"/>
              <w:autoSpaceDN w:val="0"/>
              <w:ind w:left="109" w:right="394"/>
              <w:jc w:val="both"/>
            </w:pPr>
            <w:r w:rsidRPr="00F100E1">
              <w:rPr>
                <w:color w:val="1F2023"/>
              </w:rPr>
              <w:t>Aceasta include, de asemenea, măsuri</w:t>
            </w:r>
            <w:r w:rsidRPr="00F100E1">
              <w:rPr>
                <w:color w:val="1F2023"/>
                <w:spacing w:val="-52"/>
              </w:rPr>
              <w:t xml:space="preserve"> </w:t>
            </w:r>
            <w:r w:rsidRPr="00F100E1">
              <w:rPr>
                <w:color w:val="1F2023"/>
              </w:rPr>
              <w:t>pentru</w:t>
            </w:r>
            <w:r w:rsidRPr="00F100E1">
              <w:rPr>
                <w:color w:val="1F2023"/>
                <w:spacing w:val="-1"/>
              </w:rPr>
              <w:t xml:space="preserve"> </w:t>
            </w:r>
            <w:r w:rsidRPr="00F100E1">
              <w:rPr>
                <w:color w:val="1F2023"/>
              </w:rPr>
              <w:t>prevenirea sau</w:t>
            </w:r>
            <w:r w:rsidRPr="00F100E1">
              <w:rPr>
                <w:color w:val="1F2023"/>
                <w:spacing w:val="-2"/>
              </w:rPr>
              <w:t xml:space="preserve"> </w:t>
            </w:r>
            <w:r w:rsidRPr="00F100E1">
              <w:rPr>
                <w:color w:val="1F2023"/>
              </w:rPr>
              <w:t>reducerea</w:t>
            </w:r>
          </w:p>
          <w:p w14:paraId="04317BAA" w14:textId="77777777" w:rsidR="00F07D5E" w:rsidRPr="00F100E1" w:rsidRDefault="00F07D5E" w:rsidP="00F100E1">
            <w:pPr>
              <w:widowControl w:val="0"/>
              <w:autoSpaceDE w:val="0"/>
              <w:autoSpaceDN w:val="0"/>
              <w:spacing w:line="252" w:lineRule="exact"/>
              <w:ind w:left="109" w:right="852"/>
              <w:jc w:val="both"/>
            </w:pPr>
            <w:r w:rsidRPr="00F100E1">
              <w:rPr>
                <w:color w:val="1F2023"/>
              </w:rPr>
              <w:t>probabilității înființării și intrării</w:t>
            </w:r>
            <w:r w:rsidRPr="00F100E1">
              <w:rPr>
                <w:color w:val="1F2023"/>
                <w:spacing w:val="-53"/>
              </w:rPr>
              <w:t xml:space="preserve"> </w:t>
            </w:r>
            <w:r w:rsidRPr="00F100E1">
              <w:rPr>
                <w:color w:val="1F2023"/>
              </w:rPr>
              <w:t>speciilor</w:t>
            </w:r>
            <w:r w:rsidRPr="00F100E1">
              <w:rPr>
                <w:color w:val="1F2023"/>
                <w:spacing w:val="-3"/>
              </w:rPr>
              <w:t xml:space="preserve"> </w:t>
            </w:r>
            <w:r w:rsidRPr="00F100E1">
              <w:rPr>
                <w:color w:val="1F2023"/>
              </w:rPr>
              <w:t>alohtone</w:t>
            </w:r>
            <w:r w:rsidRPr="00F100E1">
              <w:rPr>
                <w:color w:val="1F2023"/>
                <w:spacing w:val="-1"/>
              </w:rPr>
              <w:t xml:space="preserve"> </w:t>
            </w:r>
            <w:r w:rsidRPr="00F100E1">
              <w:rPr>
                <w:color w:val="1F2023"/>
              </w:rPr>
              <w:t>invazive.</w:t>
            </w:r>
          </w:p>
        </w:tc>
        <w:tc>
          <w:tcPr>
            <w:tcW w:w="1530" w:type="dxa"/>
          </w:tcPr>
          <w:p w14:paraId="7961D423" w14:textId="77777777" w:rsidR="00F07D5E" w:rsidRPr="00C56257" w:rsidRDefault="00F07D5E" w:rsidP="00F100E1">
            <w:pPr>
              <w:widowControl w:val="0"/>
              <w:autoSpaceDE w:val="0"/>
              <w:autoSpaceDN w:val="0"/>
              <w:jc w:val="both"/>
            </w:pPr>
          </w:p>
          <w:p w14:paraId="39144970" w14:textId="77777777" w:rsidR="00F07D5E" w:rsidRPr="00C56257" w:rsidRDefault="00F07D5E" w:rsidP="00F100E1">
            <w:pPr>
              <w:widowControl w:val="0"/>
              <w:autoSpaceDE w:val="0"/>
              <w:autoSpaceDN w:val="0"/>
              <w:jc w:val="both"/>
            </w:pPr>
          </w:p>
          <w:p w14:paraId="5A5217F1" w14:textId="77777777" w:rsidR="00F07D5E" w:rsidRPr="00C56257" w:rsidRDefault="00F07D5E" w:rsidP="00F100E1">
            <w:pPr>
              <w:widowControl w:val="0"/>
              <w:autoSpaceDE w:val="0"/>
              <w:autoSpaceDN w:val="0"/>
              <w:jc w:val="both"/>
            </w:pPr>
          </w:p>
          <w:p w14:paraId="1A6D529E" w14:textId="77777777" w:rsidR="00F07D5E" w:rsidRPr="00F100E1" w:rsidRDefault="00F07D5E" w:rsidP="00F100E1">
            <w:pPr>
              <w:widowControl w:val="0"/>
              <w:autoSpaceDE w:val="0"/>
              <w:autoSpaceDN w:val="0"/>
              <w:spacing w:before="4"/>
              <w:jc w:val="both"/>
            </w:pPr>
          </w:p>
          <w:p w14:paraId="6F07379C" w14:textId="77777777" w:rsidR="00F07D5E" w:rsidRPr="00F100E1" w:rsidRDefault="00F07D5E" w:rsidP="00F100E1">
            <w:pPr>
              <w:widowControl w:val="0"/>
              <w:autoSpaceDE w:val="0"/>
              <w:autoSpaceDN w:val="0"/>
              <w:ind w:left="110"/>
              <w:jc w:val="both"/>
            </w:pPr>
            <w:r w:rsidRPr="00F100E1">
              <w:t>I01</w:t>
            </w:r>
          </w:p>
        </w:tc>
      </w:tr>
      <w:tr w:rsidR="00F07D5E" w:rsidRPr="00C56257" w14:paraId="762C9B35" w14:textId="77777777" w:rsidTr="00F07D5E">
        <w:trPr>
          <w:trHeight w:val="2529"/>
        </w:trPr>
        <w:tc>
          <w:tcPr>
            <w:tcW w:w="650" w:type="dxa"/>
          </w:tcPr>
          <w:p w14:paraId="64FEE829" w14:textId="77777777" w:rsidR="00F07D5E" w:rsidRPr="00F100E1" w:rsidRDefault="00F07D5E" w:rsidP="00F100E1">
            <w:pPr>
              <w:widowControl w:val="0"/>
              <w:autoSpaceDE w:val="0"/>
              <w:autoSpaceDN w:val="0"/>
              <w:spacing w:line="247" w:lineRule="exact"/>
              <w:ind w:left="107"/>
              <w:jc w:val="both"/>
            </w:pPr>
            <w:r w:rsidRPr="00F100E1">
              <w:t>8.</w:t>
            </w:r>
          </w:p>
        </w:tc>
        <w:tc>
          <w:tcPr>
            <w:tcW w:w="856" w:type="dxa"/>
          </w:tcPr>
          <w:p w14:paraId="221D5473" w14:textId="77777777" w:rsidR="00F07D5E" w:rsidRPr="00C56257" w:rsidRDefault="00F07D5E" w:rsidP="00F100E1">
            <w:pPr>
              <w:widowControl w:val="0"/>
              <w:autoSpaceDE w:val="0"/>
              <w:autoSpaceDN w:val="0"/>
              <w:jc w:val="both"/>
            </w:pPr>
            <w:r w:rsidRPr="00F100E1">
              <w:t>CI03</w:t>
            </w:r>
          </w:p>
        </w:tc>
        <w:tc>
          <w:tcPr>
            <w:tcW w:w="1752" w:type="dxa"/>
          </w:tcPr>
          <w:p w14:paraId="5A3D8B4E" w14:textId="77777777" w:rsidR="00F07D5E" w:rsidRPr="00F100E1" w:rsidRDefault="00F07D5E" w:rsidP="00F100E1">
            <w:pPr>
              <w:widowControl w:val="0"/>
              <w:autoSpaceDE w:val="0"/>
              <w:autoSpaceDN w:val="0"/>
              <w:ind w:left="108" w:right="105"/>
              <w:jc w:val="both"/>
            </w:pPr>
            <w:r w:rsidRPr="00F100E1">
              <w:rPr>
                <w:color w:val="1F2023"/>
              </w:rPr>
              <w:t>Managementul,</w:t>
            </w:r>
            <w:r w:rsidRPr="00F100E1">
              <w:rPr>
                <w:color w:val="1F2023"/>
                <w:spacing w:val="-52"/>
              </w:rPr>
              <w:t xml:space="preserve"> </w:t>
            </w:r>
            <w:r w:rsidRPr="00F100E1">
              <w:rPr>
                <w:color w:val="1F2023"/>
              </w:rPr>
              <w:t>controlul sau</w:t>
            </w:r>
            <w:r w:rsidRPr="00F100E1">
              <w:rPr>
                <w:color w:val="1F2023"/>
                <w:spacing w:val="1"/>
              </w:rPr>
              <w:t xml:space="preserve"> </w:t>
            </w:r>
            <w:r w:rsidRPr="00F100E1">
              <w:rPr>
                <w:color w:val="1F2023"/>
              </w:rPr>
              <w:t>eradicarea altor</w:t>
            </w:r>
            <w:r w:rsidRPr="00F100E1">
              <w:rPr>
                <w:color w:val="1F2023"/>
                <w:spacing w:val="-52"/>
              </w:rPr>
              <w:t xml:space="preserve"> </w:t>
            </w:r>
            <w:r w:rsidRPr="00F100E1">
              <w:rPr>
                <w:color w:val="1F2023"/>
              </w:rPr>
              <w:t>specii alohtone</w:t>
            </w:r>
            <w:r w:rsidRPr="00F100E1">
              <w:rPr>
                <w:color w:val="1F2023"/>
                <w:spacing w:val="-52"/>
              </w:rPr>
              <w:t xml:space="preserve"> </w:t>
            </w:r>
            <w:r w:rsidRPr="00F100E1">
              <w:rPr>
                <w:color w:val="1F2023"/>
              </w:rPr>
              <w:t>invazive</w:t>
            </w:r>
          </w:p>
        </w:tc>
        <w:tc>
          <w:tcPr>
            <w:tcW w:w="5100" w:type="dxa"/>
          </w:tcPr>
          <w:p w14:paraId="06160CC6" w14:textId="77777777" w:rsidR="00F07D5E" w:rsidRPr="00F100E1" w:rsidRDefault="00F07D5E" w:rsidP="00F100E1">
            <w:pPr>
              <w:widowControl w:val="0"/>
              <w:autoSpaceDE w:val="0"/>
              <w:autoSpaceDN w:val="0"/>
              <w:ind w:left="109" w:right="266"/>
              <w:jc w:val="both"/>
              <w:rPr>
                <w:color w:val="1F2023"/>
              </w:rPr>
            </w:pPr>
            <w:r w:rsidRPr="00F100E1">
              <w:rPr>
                <w:color w:val="1F2023"/>
              </w:rPr>
              <w:t>Gestionarea, controlul răspândirii altor specii exotice „invazive” (adică orice specie introdusă în perioada modernă care este stabilită în sălbăticie în afara ariei sale naturale și a cărei introducere și / sau răspândire reprezintă o amenințare concretă, sau potențială pentru habitate și specii, indiferent de dinamica populației invazive (ex. controlul Acacia spp.)) sau</w:t>
            </w:r>
          </w:p>
          <w:p w14:paraId="16F4CED1" w14:textId="77777777" w:rsidR="00F07D5E" w:rsidRPr="00F100E1" w:rsidRDefault="00F07D5E" w:rsidP="00F100E1">
            <w:pPr>
              <w:widowControl w:val="0"/>
              <w:autoSpaceDE w:val="0"/>
              <w:autoSpaceDN w:val="0"/>
              <w:ind w:left="109" w:right="266"/>
              <w:jc w:val="both"/>
              <w:rPr>
                <w:color w:val="1F2023"/>
              </w:rPr>
            </w:pPr>
            <w:r w:rsidRPr="00F100E1">
              <w:rPr>
                <w:color w:val="1F2023"/>
              </w:rPr>
              <w:t>eradicarea populațiilor stabilite ale altor specii străine.</w:t>
            </w:r>
          </w:p>
        </w:tc>
        <w:tc>
          <w:tcPr>
            <w:tcW w:w="1530" w:type="dxa"/>
          </w:tcPr>
          <w:p w14:paraId="48AED4F5" w14:textId="77777777" w:rsidR="00F07D5E" w:rsidRPr="00C56257" w:rsidRDefault="00F07D5E" w:rsidP="00F100E1">
            <w:pPr>
              <w:widowControl w:val="0"/>
              <w:autoSpaceDE w:val="0"/>
              <w:autoSpaceDN w:val="0"/>
              <w:jc w:val="both"/>
            </w:pPr>
            <w:r w:rsidRPr="00C56257">
              <w:t>I02</w:t>
            </w:r>
          </w:p>
        </w:tc>
      </w:tr>
      <w:tr w:rsidR="00F07D5E" w:rsidRPr="00C56257" w14:paraId="407E2FC2" w14:textId="77777777" w:rsidTr="0009479B">
        <w:trPr>
          <w:trHeight w:val="343"/>
        </w:trPr>
        <w:tc>
          <w:tcPr>
            <w:tcW w:w="650" w:type="dxa"/>
          </w:tcPr>
          <w:p w14:paraId="284B4926" w14:textId="77777777" w:rsidR="00F07D5E" w:rsidRPr="00F100E1" w:rsidRDefault="00F07D5E" w:rsidP="00F100E1">
            <w:pPr>
              <w:widowControl w:val="0"/>
              <w:autoSpaceDE w:val="0"/>
              <w:autoSpaceDN w:val="0"/>
              <w:spacing w:line="247" w:lineRule="exact"/>
              <w:ind w:left="107"/>
              <w:jc w:val="both"/>
            </w:pPr>
            <w:r w:rsidRPr="00F100E1">
              <w:t>9.</w:t>
            </w:r>
          </w:p>
        </w:tc>
        <w:tc>
          <w:tcPr>
            <w:tcW w:w="856" w:type="dxa"/>
          </w:tcPr>
          <w:p w14:paraId="6B420B3F" w14:textId="77777777" w:rsidR="00F07D5E" w:rsidRPr="00F100E1" w:rsidRDefault="00F07D5E" w:rsidP="00F100E1">
            <w:pPr>
              <w:widowControl w:val="0"/>
              <w:autoSpaceDE w:val="0"/>
              <w:autoSpaceDN w:val="0"/>
              <w:jc w:val="both"/>
            </w:pPr>
            <w:r w:rsidRPr="00F100E1">
              <w:t>CJ02</w:t>
            </w:r>
          </w:p>
        </w:tc>
        <w:tc>
          <w:tcPr>
            <w:tcW w:w="1752" w:type="dxa"/>
          </w:tcPr>
          <w:p w14:paraId="5FB664EC" w14:textId="77777777" w:rsidR="00F07D5E" w:rsidRPr="00F100E1" w:rsidRDefault="00F07D5E" w:rsidP="00F100E1">
            <w:pPr>
              <w:widowControl w:val="0"/>
              <w:autoSpaceDE w:val="0"/>
              <w:autoSpaceDN w:val="0"/>
              <w:spacing w:line="256" w:lineRule="exact"/>
              <w:ind w:left="108" w:right="105"/>
              <w:jc w:val="both"/>
              <w:rPr>
                <w:color w:val="1F2023"/>
              </w:rPr>
            </w:pPr>
            <w:r w:rsidRPr="00F100E1">
              <w:rPr>
                <w:color w:val="1F2023"/>
              </w:rPr>
              <w:t>Reducerea impactul indus</w:t>
            </w:r>
          </w:p>
          <w:p w14:paraId="734AA772" w14:textId="77777777" w:rsidR="00F07D5E" w:rsidRPr="00F100E1" w:rsidRDefault="00F07D5E" w:rsidP="00F100E1">
            <w:pPr>
              <w:widowControl w:val="0"/>
              <w:autoSpaceDE w:val="0"/>
              <w:autoSpaceDN w:val="0"/>
              <w:ind w:left="108" w:right="105"/>
              <w:jc w:val="both"/>
              <w:rPr>
                <w:color w:val="1F2023"/>
              </w:rPr>
            </w:pPr>
            <w:r w:rsidRPr="00F100E1">
              <w:rPr>
                <w:color w:val="1F2023"/>
              </w:rPr>
              <w:t>de modificările hidrologice multifuncționale</w:t>
            </w:r>
          </w:p>
        </w:tc>
        <w:tc>
          <w:tcPr>
            <w:tcW w:w="5100" w:type="dxa"/>
          </w:tcPr>
          <w:p w14:paraId="1206A7F8" w14:textId="77777777" w:rsidR="00F07D5E" w:rsidRPr="00F100E1" w:rsidRDefault="00F07D5E" w:rsidP="00F100E1">
            <w:pPr>
              <w:widowControl w:val="0"/>
              <w:autoSpaceDE w:val="0"/>
              <w:autoSpaceDN w:val="0"/>
              <w:spacing w:line="256" w:lineRule="exact"/>
              <w:ind w:left="109" w:right="266"/>
              <w:jc w:val="both"/>
              <w:rPr>
                <w:color w:val="1F2023"/>
              </w:rPr>
            </w:pPr>
            <w:r w:rsidRPr="00F100E1">
              <w:rPr>
                <w:color w:val="1F2023"/>
              </w:rPr>
              <w:t>Reducerea impactului depozitelor de deșeuri, îndepărtarea sedimentelor,</w:t>
            </w:r>
          </w:p>
          <w:p w14:paraId="246689C5" w14:textId="77777777" w:rsidR="00F07D5E" w:rsidRPr="00F100E1" w:rsidRDefault="00F07D5E" w:rsidP="00F100E1">
            <w:pPr>
              <w:widowControl w:val="0"/>
              <w:autoSpaceDE w:val="0"/>
              <w:autoSpaceDN w:val="0"/>
              <w:ind w:left="109" w:right="266"/>
              <w:jc w:val="both"/>
              <w:rPr>
                <w:color w:val="1F2023"/>
              </w:rPr>
            </w:pPr>
            <w:r w:rsidRPr="00F100E1">
              <w:rPr>
                <w:color w:val="1F2023"/>
              </w:rPr>
              <w:t>canalizarea, modificarea cursurilor de apă, modificarea regimului de inundații și alte modificări ale funcționării. hidrologice sau ale caracteristicilor fizice ale corpurilor de apă, care nu pot fi ușor asociate cu una dintre categoriile de mai sus.</w:t>
            </w:r>
          </w:p>
        </w:tc>
        <w:tc>
          <w:tcPr>
            <w:tcW w:w="1530" w:type="dxa"/>
          </w:tcPr>
          <w:p w14:paraId="0CC018A5" w14:textId="77777777" w:rsidR="00F07D5E" w:rsidRPr="00C56257" w:rsidRDefault="00F07D5E" w:rsidP="00F100E1">
            <w:pPr>
              <w:widowControl w:val="0"/>
              <w:autoSpaceDE w:val="0"/>
              <w:autoSpaceDN w:val="0"/>
              <w:jc w:val="both"/>
            </w:pPr>
            <w:r w:rsidRPr="00F100E1">
              <w:t>K01, K02,</w:t>
            </w:r>
            <w:r w:rsidRPr="00F100E1">
              <w:rPr>
                <w:spacing w:val="-52"/>
              </w:rPr>
              <w:t xml:space="preserve"> </w:t>
            </w:r>
            <w:r w:rsidRPr="00F100E1">
              <w:t>K03, K04,</w:t>
            </w:r>
            <w:r w:rsidRPr="00F100E1">
              <w:rPr>
                <w:spacing w:val="-52"/>
              </w:rPr>
              <w:t xml:space="preserve"> </w:t>
            </w:r>
            <w:r w:rsidRPr="00F100E1">
              <w:t>K05</w:t>
            </w:r>
          </w:p>
        </w:tc>
      </w:tr>
      <w:tr w:rsidR="00F07D5E" w:rsidRPr="00C56257" w14:paraId="04523504" w14:textId="77777777" w:rsidTr="00F07D5E">
        <w:trPr>
          <w:trHeight w:val="1486"/>
        </w:trPr>
        <w:tc>
          <w:tcPr>
            <w:tcW w:w="650" w:type="dxa"/>
          </w:tcPr>
          <w:p w14:paraId="43FAF9B2" w14:textId="77777777" w:rsidR="00F07D5E" w:rsidRPr="00F100E1" w:rsidRDefault="00F07D5E" w:rsidP="00F100E1">
            <w:pPr>
              <w:widowControl w:val="0"/>
              <w:autoSpaceDE w:val="0"/>
              <w:autoSpaceDN w:val="0"/>
              <w:spacing w:line="247" w:lineRule="exact"/>
              <w:ind w:left="107"/>
              <w:jc w:val="both"/>
            </w:pPr>
            <w:r w:rsidRPr="00F100E1">
              <w:t>10.</w:t>
            </w:r>
          </w:p>
        </w:tc>
        <w:tc>
          <w:tcPr>
            <w:tcW w:w="856" w:type="dxa"/>
          </w:tcPr>
          <w:p w14:paraId="0E4A01CD" w14:textId="77777777" w:rsidR="00F07D5E" w:rsidRPr="00F100E1" w:rsidRDefault="00F07D5E" w:rsidP="00F100E1">
            <w:pPr>
              <w:widowControl w:val="0"/>
              <w:autoSpaceDE w:val="0"/>
              <w:autoSpaceDN w:val="0"/>
              <w:jc w:val="both"/>
            </w:pPr>
            <w:r w:rsidRPr="00F100E1">
              <w:t xml:space="preserve"> CL02</w:t>
            </w:r>
          </w:p>
        </w:tc>
        <w:tc>
          <w:tcPr>
            <w:tcW w:w="1752" w:type="dxa"/>
          </w:tcPr>
          <w:p w14:paraId="4833CAAC" w14:textId="77777777" w:rsidR="00F07D5E" w:rsidRPr="00F100E1" w:rsidRDefault="00F07D5E" w:rsidP="00F100E1">
            <w:pPr>
              <w:widowControl w:val="0"/>
              <w:autoSpaceDE w:val="0"/>
              <w:autoSpaceDN w:val="0"/>
              <w:spacing w:line="256" w:lineRule="exact"/>
              <w:ind w:left="108" w:right="105"/>
              <w:jc w:val="both"/>
              <w:rPr>
                <w:color w:val="1F2023"/>
              </w:rPr>
            </w:pPr>
            <w:r w:rsidRPr="00F100E1">
              <w:rPr>
                <w:color w:val="1F2023"/>
              </w:rPr>
              <w:t>Minimalizarea/prevenirea impactului catastrofelor geoogice și naturale</w:t>
            </w:r>
          </w:p>
        </w:tc>
        <w:tc>
          <w:tcPr>
            <w:tcW w:w="5100" w:type="dxa"/>
          </w:tcPr>
          <w:p w14:paraId="05F300FB" w14:textId="77777777" w:rsidR="00F07D5E" w:rsidRPr="00F100E1" w:rsidRDefault="00F07D5E" w:rsidP="00F100E1">
            <w:pPr>
              <w:widowControl w:val="0"/>
              <w:autoSpaceDE w:val="0"/>
              <w:autoSpaceDN w:val="0"/>
              <w:spacing w:line="256" w:lineRule="exact"/>
              <w:ind w:left="109"/>
              <w:jc w:val="both"/>
              <w:rPr>
                <w:color w:val="1F2023"/>
              </w:rPr>
            </w:pPr>
            <w:r w:rsidRPr="00F100E1">
              <w:rPr>
                <w:color w:val="1F2023"/>
              </w:rPr>
              <w:t>Minimizarea (și, dacă este posibil, prevenirea) impactului evenimentelor geologice (de exemplu, activitatea vulcanică) și a evenimentelor naturale extreme (de exemplu, valuri, furtuni, alunecări de teren, inundații, incendii sălbatice) asupra habitatelor și speciilor.</w:t>
            </w:r>
          </w:p>
        </w:tc>
        <w:tc>
          <w:tcPr>
            <w:tcW w:w="1530" w:type="dxa"/>
          </w:tcPr>
          <w:p w14:paraId="56793E27" w14:textId="77777777" w:rsidR="00F07D5E" w:rsidRPr="00F100E1" w:rsidRDefault="00F07D5E" w:rsidP="00F100E1">
            <w:pPr>
              <w:widowControl w:val="0"/>
              <w:autoSpaceDE w:val="0"/>
              <w:autoSpaceDN w:val="0"/>
              <w:jc w:val="both"/>
            </w:pPr>
            <w:r w:rsidRPr="00F100E1">
              <w:t>M01, M02, M03, M04, M05, M06, M07, M08, M09, M10</w:t>
            </w:r>
          </w:p>
        </w:tc>
      </w:tr>
    </w:tbl>
    <w:p w14:paraId="60C87B92" w14:textId="77777777" w:rsidR="00E05F03" w:rsidRPr="00C56257" w:rsidRDefault="00E05F03" w:rsidP="008E33FD">
      <w:pPr>
        <w:pStyle w:val="BodyText"/>
        <w:ind w:left="380" w:right="62"/>
        <w:jc w:val="both"/>
        <w:rPr>
          <w:color w:val="000000" w:themeColor="text1"/>
          <w:sz w:val="24"/>
          <w:szCs w:val="24"/>
          <w:lang w:val="fr-FR"/>
        </w:rPr>
      </w:pPr>
    </w:p>
    <w:p w14:paraId="063974D2" w14:textId="77777777" w:rsidR="00227782" w:rsidRPr="00C56257" w:rsidRDefault="00227782" w:rsidP="008E33FD">
      <w:pPr>
        <w:spacing w:after="160" w:line="259" w:lineRule="auto"/>
        <w:jc w:val="both"/>
        <w:rPr>
          <w:bCs/>
          <w:color w:val="000000" w:themeColor="text1"/>
        </w:rPr>
      </w:pPr>
    </w:p>
    <w:p w14:paraId="65435B87" w14:textId="77777777" w:rsidR="00227782" w:rsidRPr="00C56257" w:rsidRDefault="00227782" w:rsidP="008E33FD">
      <w:pPr>
        <w:spacing w:after="160" w:line="259" w:lineRule="auto"/>
        <w:jc w:val="both"/>
        <w:rPr>
          <w:bCs/>
          <w:color w:val="000000" w:themeColor="text1"/>
        </w:rPr>
      </w:pPr>
    </w:p>
    <w:p w14:paraId="641B2F92" w14:textId="77777777" w:rsidR="00227782" w:rsidRPr="00C56257" w:rsidRDefault="00227782" w:rsidP="008E33FD">
      <w:pPr>
        <w:spacing w:after="160" w:line="259" w:lineRule="auto"/>
        <w:jc w:val="both"/>
        <w:rPr>
          <w:bCs/>
          <w:color w:val="000000" w:themeColor="text1"/>
        </w:rPr>
      </w:pPr>
    </w:p>
    <w:p w14:paraId="01FCD29A" w14:textId="77777777" w:rsidR="00227782" w:rsidRPr="00C56257" w:rsidRDefault="00227782" w:rsidP="008E33FD">
      <w:pPr>
        <w:spacing w:after="160" w:line="259" w:lineRule="auto"/>
        <w:jc w:val="both"/>
        <w:rPr>
          <w:bCs/>
          <w:color w:val="000000" w:themeColor="text1"/>
        </w:rPr>
      </w:pPr>
    </w:p>
    <w:p w14:paraId="5B281A43" w14:textId="77777777" w:rsidR="00227782" w:rsidRPr="00C56257" w:rsidRDefault="00227782" w:rsidP="008E33FD">
      <w:pPr>
        <w:spacing w:after="160" w:line="259" w:lineRule="auto"/>
        <w:jc w:val="both"/>
        <w:rPr>
          <w:bCs/>
          <w:color w:val="000000" w:themeColor="text1"/>
        </w:rPr>
      </w:pPr>
    </w:p>
    <w:p w14:paraId="2C845EA6" w14:textId="77777777" w:rsidR="00227782" w:rsidRPr="00783BB5" w:rsidRDefault="00227782" w:rsidP="008E33FD">
      <w:pPr>
        <w:spacing w:after="160" w:line="259" w:lineRule="auto"/>
        <w:jc w:val="both"/>
        <w:rPr>
          <w:b/>
          <w:bCs/>
          <w:color w:val="000000" w:themeColor="text1"/>
        </w:rPr>
      </w:pPr>
    </w:p>
    <w:p w14:paraId="6D2FDCC5" w14:textId="77777777" w:rsidR="00783BB5" w:rsidRDefault="00783BB5">
      <w:pPr>
        <w:spacing w:after="160" w:line="259" w:lineRule="auto"/>
        <w:rPr>
          <w:b/>
          <w:bCs/>
          <w:color w:val="000000" w:themeColor="text1"/>
        </w:rPr>
      </w:pPr>
      <w:r>
        <w:rPr>
          <w:b/>
          <w:bCs/>
          <w:color w:val="000000" w:themeColor="text1"/>
        </w:rPr>
        <w:br w:type="page"/>
      </w:r>
    </w:p>
    <w:p w14:paraId="603562EE" w14:textId="77777777" w:rsidR="004C3D75" w:rsidRPr="00C56257" w:rsidRDefault="004C3D75" w:rsidP="00C54A03">
      <w:pPr>
        <w:spacing w:after="160" w:line="259" w:lineRule="auto"/>
        <w:jc w:val="right"/>
        <w:rPr>
          <w:b/>
          <w:bCs/>
          <w:color w:val="000000" w:themeColor="text1"/>
        </w:rPr>
      </w:pPr>
      <w:r w:rsidRPr="00C56257">
        <w:rPr>
          <w:b/>
          <w:bCs/>
          <w:color w:val="000000" w:themeColor="text1"/>
        </w:rPr>
        <w:lastRenderedPageBreak/>
        <w:t>Anexa nr. 9 la Ghidul habitate</w:t>
      </w:r>
    </w:p>
    <w:p w14:paraId="7B213DEB" w14:textId="77777777" w:rsidR="004C3D75" w:rsidRPr="00F100E1" w:rsidRDefault="004C3D75" w:rsidP="00F100E1">
      <w:pPr>
        <w:spacing w:after="160" w:line="259" w:lineRule="auto"/>
        <w:jc w:val="both"/>
        <w:rPr>
          <w:b/>
          <w:color w:val="000000" w:themeColor="text1"/>
        </w:rPr>
      </w:pPr>
      <w:r w:rsidRPr="00C56257">
        <w:rPr>
          <w:b/>
          <w:bCs/>
          <w:color w:val="000000" w:themeColor="text1"/>
        </w:rPr>
        <w:t>Ghidul cu  protocoalele de monitorizare si metodologiile unitare de monitorizare a starii de conservare a habitatelor de  peșteri</w:t>
      </w:r>
    </w:p>
    <w:p w14:paraId="45514B12" w14:textId="77777777" w:rsidR="004C3D75" w:rsidRPr="00C56257" w:rsidRDefault="004C3D75" w:rsidP="008E33FD">
      <w:pPr>
        <w:spacing w:after="160" w:line="259" w:lineRule="auto"/>
        <w:jc w:val="both"/>
        <w:rPr>
          <w:b/>
          <w:color w:val="000000" w:themeColor="text1"/>
        </w:rPr>
      </w:pPr>
      <w:r w:rsidRPr="00C56257">
        <w:rPr>
          <w:b/>
          <w:color w:val="000000" w:themeColor="text1"/>
        </w:rPr>
        <w:t>II.  Metodologia de monitorizare a stării de conservare a habitatelor de  peșteri</w:t>
      </w:r>
    </w:p>
    <w:p w14:paraId="5AB9BE30" w14:textId="77777777" w:rsidR="004C3D75" w:rsidRPr="00C56257" w:rsidRDefault="004C3D75" w:rsidP="008E33FD">
      <w:pPr>
        <w:spacing w:line="276" w:lineRule="auto"/>
        <w:jc w:val="both"/>
        <w:rPr>
          <w:rFonts w:eastAsia="Calibri"/>
          <w:color w:val="000000" w:themeColor="text1"/>
        </w:rPr>
      </w:pPr>
      <w:r w:rsidRPr="00C56257">
        <w:rPr>
          <w:color w:val="000000" w:themeColor="text1"/>
        </w:rPr>
        <w:t xml:space="preserve">Monitorizarea habitatului 8310 trebuie să țină cont de faptul că peșterile reprezintă o componentă a unui biosistem complex, în care resursele abiotice și biotice ale acestora sunt în continuitate spațială ori interdependență cu cele din spațiile subterane adiacente nepenetrabile omului (sistemul de fisuri, fante, subconducte, acviferul carstic), relieful de la suprafață, învelișul de sol și vegetal. </w:t>
      </w:r>
    </w:p>
    <w:p w14:paraId="22C230AC" w14:textId="77777777" w:rsidR="004C3D75" w:rsidRPr="00C56257" w:rsidRDefault="004C3D75" w:rsidP="008E33FD">
      <w:pPr>
        <w:spacing w:line="259" w:lineRule="auto"/>
        <w:jc w:val="both"/>
        <w:rPr>
          <w:rFonts w:eastAsia="Calibri"/>
          <w:color w:val="000000" w:themeColor="text1"/>
        </w:rPr>
      </w:pPr>
      <w:r w:rsidRPr="00C56257">
        <w:rPr>
          <w:rFonts w:eastAsia="Calibri"/>
          <w:color w:val="000000" w:themeColor="text1"/>
        </w:rPr>
        <w:t>Monitorizarea habitatului 8310 trebuie să includă cuantificarea următoarele caracteristici ale mediului subteran:</w:t>
      </w:r>
    </w:p>
    <w:p w14:paraId="0ED20C48" w14:textId="77777777" w:rsidR="004C3D75" w:rsidRPr="00C56257" w:rsidRDefault="004C3D75" w:rsidP="009E63E5">
      <w:pPr>
        <w:numPr>
          <w:ilvl w:val="0"/>
          <w:numId w:val="156"/>
        </w:numPr>
        <w:spacing w:line="259" w:lineRule="auto"/>
        <w:jc w:val="both"/>
        <w:rPr>
          <w:color w:val="000000" w:themeColor="text1"/>
        </w:rPr>
      </w:pPr>
      <w:r w:rsidRPr="00C56257">
        <w:rPr>
          <w:color w:val="000000" w:themeColor="text1"/>
        </w:rPr>
        <w:t>topoclimatul subteran (temperatura aerului, umiditatea relativă, ventilaţia) şi implicaţiile acestuia asupra golului subteran;</w:t>
      </w:r>
    </w:p>
    <w:p w14:paraId="2B2DD8CF" w14:textId="77777777" w:rsidR="004C3D75" w:rsidRPr="00C56257" w:rsidRDefault="004C3D75" w:rsidP="009E63E5">
      <w:pPr>
        <w:numPr>
          <w:ilvl w:val="0"/>
          <w:numId w:val="156"/>
        </w:numPr>
        <w:spacing w:line="259" w:lineRule="auto"/>
        <w:jc w:val="both"/>
        <w:rPr>
          <w:color w:val="000000" w:themeColor="text1"/>
        </w:rPr>
      </w:pPr>
      <w:r w:rsidRPr="00C56257">
        <w:rPr>
          <w:color w:val="000000" w:themeColor="text1"/>
        </w:rPr>
        <w:t>configuraţia spaţiilor monitorizate, caracteristicile umpluturii speleice şi regimul hidrologic al galeriilor;</w:t>
      </w:r>
    </w:p>
    <w:p w14:paraId="18E34EF3" w14:textId="77777777" w:rsidR="004C3D75" w:rsidRPr="00C56257" w:rsidRDefault="004C3D75" w:rsidP="009E63E5">
      <w:pPr>
        <w:numPr>
          <w:ilvl w:val="0"/>
          <w:numId w:val="156"/>
        </w:numPr>
        <w:spacing w:line="259" w:lineRule="auto"/>
        <w:jc w:val="both"/>
        <w:rPr>
          <w:color w:val="000000" w:themeColor="text1"/>
        </w:rPr>
      </w:pPr>
      <w:r w:rsidRPr="00C56257">
        <w:rPr>
          <w:color w:val="000000" w:themeColor="text1"/>
        </w:rPr>
        <w:t>categoriile de risc şi gradul de ameninţare asupra stării de conservare a peşterilor.</w:t>
      </w:r>
    </w:p>
    <w:p w14:paraId="63587A45" w14:textId="77777777" w:rsidR="004C3D75" w:rsidRDefault="004C3D75" w:rsidP="00C54A03">
      <w:pPr>
        <w:spacing w:line="276" w:lineRule="auto"/>
        <w:jc w:val="both"/>
        <w:rPr>
          <w:rFonts w:eastAsia="Calibri"/>
          <w:color w:val="000000" w:themeColor="text1"/>
        </w:rPr>
      </w:pPr>
      <w:r w:rsidRPr="00C56257">
        <w:rPr>
          <w:rFonts w:eastAsia="Calibri"/>
          <w:color w:val="000000" w:themeColor="text1"/>
        </w:rPr>
        <w:t>În ceea ce privește habitatul 8330 se va avea în vedere poziția acestuia în raport cu uscatul și la existența unor specii de nevertebrate și alge, și nu dimensiunea cavității. În concluzie, pentru a fomaliza o delimitare strict metodologică de alte tipuri de habitate submerse (golurile din recifi), considem o peșteră submersă acea cavitate care să permită accesul omului și care să depășească lungimea acestuia.</w:t>
      </w:r>
    </w:p>
    <w:p w14:paraId="54579988" w14:textId="77777777" w:rsidR="00C54A03" w:rsidRPr="00C56257" w:rsidRDefault="00C54A03" w:rsidP="00C54A03">
      <w:pPr>
        <w:spacing w:line="276" w:lineRule="auto"/>
        <w:ind w:right="194"/>
        <w:jc w:val="both"/>
        <w:rPr>
          <w:bCs/>
          <w:color w:val="000000" w:themeColor="text1"/>
        </w:rPr>
      </w:pPr>
    </w:p>
    <w:p w14:paraId="3FA9E8E6" w14:textId="77777777" w:rsidR="004C3D75" w:rsidRPr="00C56257" w:rsidRDefault="004C3D75" w:rsidP="008E33FD">
      <w:pPr>
        <w:spacing w:after="160" w:line="259" w:lineRule="auto"/>
        <w:jc w:val="both"/>
        <w:rPr>
          <w:b/>
          <w:color w:val="000000" w:themeColor="text1"/>
        </w:rPr>
      </w:pPr>
      <w:r w:rsidRPr="00C56257">
        <w:rPr>
          <w:b/>
          <w:color w:val="000000" w:themeColor="text1"/>
        </w:rPr>
        <w:t>III. Protocol de monitorizare a stării de conservare a habitatelor de  peșteri</w:t>
      </w:r>
    </w:p>
    <w:p w14:paraId="74588802" w14:textId="77777777" w:rsidR="004C3D75" w:rsidRPr="00C56257" w:rsidRDefault="004C3D75" w:rsidP="008E33FD">
      <w:pPr>
        <w:keepNext/>
        <w:keepLines/>
        <w:spacing w:before="240" w:line="259" w:lineRule="auto"/>
        <w:jc w:val="both"/>
        <w:outlineLvl w:val="0"/>
        <w:rPr>
          <w:b/>
          <w:color w:val="000000" w:themeColor="text1"/>
        </w:rPr>
      </w:pPr>
      <w:bookmarkStart w:id="35" w:name="_Toc20393474"/>
      <w:bookmarkStart w:id="36" w:name="_Toc20820896"/>
      <w:r w:rsidRPr="00C56257">
        <w:rPr>
          <w:b/>
          <w:color w:val="000000" w:themeColor="text1"/>
        </w:rPr>
        <w:t xml:space="preserve">1. Descrierea metodologiei de monitorizare a </w:t>
      </w:r>
      <w:bookmarkEnd w:id="35"/>
      <w:r w:rsidRPr="00C56257">
        <w:rPr>
          <w:b/>
          <w:color w:val="000000" w:themeColor="text1"/>
        </w:rPr>
        <w:t>habitatului 8310</w:t>
      </w:r>
      <w:bookmarkEnd w:id="36"/>
    </w:p>
    <w:p w14:paraId="0366A75F" w14:textId="77777777" w:rsidR="004C3D75" w:rsidRPr="00C56257" w:rsidRDefault="004C3D75" w:rsidP="008E33FD">
      <w:pPr>
        <w:keepNext/>
        <w:keepLines/>
        <w:spacing w:before="40" w:after="160" w:line="259" w:lineRule="auto"/>
        <w:ind w:left="720"/>
        <w:jc w:val="both"/>
        <w:outlineLvl w:val="1"/>
        <w:rPr>
          <w:color w:val="000000" w:themeColor="text1"/>
          <w:lang w:val="it-IT"/>
        </w:rPr>
      </w:pPr>
      <w:bookmarkStart w:id="37" w:name="_Toc20820897"/>
      <w:r w:rsidRPr="00C56257">
        <w:rPr>
          <w:b/>
          <w:color w:val="000000" w:themeColor="text1"/>
        </w:rPr>
        <w:t>1.1 Definiții</w:t>
      </w:r>
      <w:bookmarkEnd w:id="37"/>
    </w:p>
    <w:p w14:paraId="142F97B2" w14:textId="77777777" w:rsidR="004C3D75" w:rsidRPr="00C56257" w:rsidRDefault="004C3D75" w:rsidP="008E33FD">
      <w:pPr>
        <w:spacing w:after="120" w:line="276" w:lineRule="auto"/>
        <w:jc w:val="both"/>
        <w:rPr>
          <w:rFonts w:eastAsia="Calibri"/>
          <w:color w:val="000000" w:themeColor="text1"/>
        </w:rPr>
      </w:pPr>
      <w:r w:rsidRPr="00C56257">
        <w:rPr>
          <w:rFonts w:eastAsia="Calibri"/>
          <w:color w:val="000000" w:themeColor="text1"/>
        </w:rPr>
        <w:t>Habitatul 8310 (peșteră închisă publicului) este considerat acea cavitatea naturală care nu este destinată exploatării turistice sau altor activități antropice care produc presiuni și amenințări asupra ecosistemului subteran (activități industriale, căi de circulație, depozite etc.).</w:t>
      </w:r>
    </w:p>
    <w:p w14:paraId="00DB3347" w14:textId="77777777" w:rsidR="004C3D75" w:rsidRPr="00C56257" w:rsidRDefault="004C3D75" w:rsidP="008E33FD">
      <w:pPr>
        <w:keepNext/>
        <w:keepLines/>
        <w:spacing w:before="40" w:after="160" w:line="259" w:lineRule="auto"/>
        <w:ind w:left="720"/>
        <w:jc w:val="both"/>
        <w:outlineLvl w:val="1"/>
        <w:rPr>
          <w:b/>
          <w:color w:val="000000" w:themeColor="text1"/>
        </w:rPr>
      </w:pPr>
      <w:bookmarkStart w:id="38" w:name="_Toc20820898"/>
      <w:r w:rsidRPr="00C56257">
        <w:rPr>
          <w:b/>
          <w:color w:val="000000" w:themeColor="text1"/>
        </w:rPr>
        <w:t>1.2 Identificarea habitatului 8310</w:t>
      </w:r>
      <w:bookmarkEnd w:id="38"/>
    </w:p>
    <w:p w14:paraId="744AD354" w14:textId="77777777" w:rsidR="004C3D75" w:rsidRPr="00C56257" w:rsidRDefault="004C3D75" w:rsidP="008E33FD">
      <w:pPr>
        <w:spacing w:after="120" w:line="276" w:lineRule="auto"/>
        <w:jc w:val="both"/>
        <w:rPr>
          <w:rFonts w:eastAsia="Calibri"/>
          <w:color w:val="000000" w:themeColor="text1"/>
        </w:rPr>
      </w:pPr>
      <w:r w:rsidRPr="00C56257">
        <w:rPr>
          <w:rFonts w:eastAsia="Calibri"/>
          <w:color w:val="000000" w:themeColor="text1"/>
        </w:rPr>
        <w:t>Din definițiile peșterii rezultă că denumirea sa este un termen generic, iar condiția de accesibilitate a acesteia (cavitate care să permită intrarea omului) o formalizare și delimitare strict metodologică și managerială.</w:t>
      </w:r>
    </w:p>
    <w:p w14:paraId="759A219E" w14:textId="77777777" w:rsidR="004C3D75" w:rsidRPr="00C56257" w:rsidRDefault="004C3D75" w:rsidP="008E33FD">
      <w:pPr>
        <w:spacing w:after="120" w:line="276" w:lineRule="auto"/>
        <w:jc w:val="both"/>
        <w:rPr>
          <w:rFonts w:eastAsia="Calibri"/>
          <w:color w:val="000000" w:themeColor="text1"/>
        </w:rPr>
      </w:pPr>
      <w:r w:rsidRPr="00C56257">
        <w:rPr>
          <w:rFonts w:eastAsia="Calibri"/>
          <w:color w:val="000000" w:themeColor="text1"/>
        </w:rPr>
        <w:t>Peștera este parte a unui biosistem carstic unitar extins în volumul rocii gazdă și delimitat la suprafața terenului de legăturile acesteia cu rețeaua subterană, care permit accesul în subteran și circulația apei, curenților de aer și faunei (deschideri speologice, ponoare, sorburi, izbucuri, găuri de vânt, fisuri deschise etc.).</w:t>
      </w:r>
    </w:p>
    <w:p w14:paraId="3508A98E" w14:textId="77777777" w:rsidR="004C3D75" w:rsidRPr="00C56257" w:rsidRDefault="004C3D75" w:rsidP="008E33FD">
      <w:pPr>
        <w:spacing w:after="120" w:line="276" w:lineRule="auto"/>
        <w:jc w:val="both"/>
        <w:rPr>
          <w:rFonts w:eastAsia="Calibri"/>
          <w:color w:val="000000" w:themeColor="text1"/>
        </w:rPr>
      </w:pPr>
      <w:r w:rsidRPr="00C56257">
        <w:rPr>
          <w:rFonts w:eastAsia="Calibri"/>
          <w:color w:val="000000" w:themeColor="text1"/>
        </w:rPr>
        <w:t>Limitele Habitatul 8310 trebuie țină cont de unitatea biosistemului carstic și de legăturile structurale și funcționale dintre cavitatea naturală propriu-zisă și restul rețelei subterane, din următoarele considerente:</w:t>
      </w:r>
    </w:p>
    <w:p w14:paraId="285D6981" w14:textId="77777777" w:rsidR="004C3D75" w:rsidRPr="00C56257" w:rsidRDefault="004C3D75" w:rsidP="009E63E5">
      <w:pPr>
        <w:numPr>
          <w:ilvl w:val="0"/>
          <w:numId w:val="154"/>
        </w:numPr>
        <w:spacing w:after="160" w:line="276" w:lineRule="auto"/>
        <w:contextualSpacing/>
        <w:jc w:val="both"/>
        <w:rPr>
          <w:rFonts w:eastAsia="Calibri"/>
          <w:color w:val="000000" w:themeColor="text1"/>
        </w:rPr>
      </w:pPr>
      <w:r w:rsidRPr="00C56257">
        <w:rPr>
          <w:rFonts w:eastAsia="Calibri"/>
          <w:color w:val="000000" w:themeColor="text1"/>
        </w:rPr>
        <w:t>prin intermediul circulației subterane a apei, formele de relief și depozitele subterane (endocarstice) sunt corelate morfogenetic și morfodinamic cu cele de la suprafață (exocarstice);</w:t>
      </w:r>
    </w:p>
    <w:p w14:paraId="22A54731" w14:textId="77777777" w:rsidR="004C3D75" w:rsidRPr="00C56257" w:rsidRDefault="004C3D75" w:rsidP="009E63E5">
      <w:pPr>
        <w:numPr>
          <w:ilvl w:val="0"/>
          <w:numId w:val="154"/>
        </w:numPr>
        <w:spacing w:after="160" w:line="276" w:lineRule="auto"/>
        <w:contextualSpacing/>
        <w:jc w:val="both"/>
        <w:rPr>
          <w:rFonts w:eastAsia="Calibri"/>
          <w:color w:val="000000" w:themeColor="text1"/>
        </w:rPr>
      </w:pPr>
      <w:r w:rsidRPr="00C56257">
        <w:rPr>
          <w:rFonts w:eastAsia="Calibri"/>
          <w:color w:val="000000" w:themeColor="text1"/>
        </w:rPr>
        <w:lastRenderedPageBreak/>
        <w:t>apa prezentă în peșteri (râuri subterane, lacuri, infiltrații) este parte a acviferelor carstice și circulația sa este determinată de funcționarea elementelor hidrocarstice de la suprafață (pierderi și apariții ale apei);</w:t>
      </w:r>
    </w:p>
    <w:p w14:paraId="39A8E7A9" w14:textId="77777777" w:rsidR="004C3D75" w:rsidRPr="00C56257" w:rsidRDefault="004C3D75" w:rsidP="009E63E5">
      <w:pPr>
        <w:numPr>
          <w:ilvl w:val="0"/>
          <w:numId w:val="154"/>
        </w:numPr>
        <w:spacing w:after="160" w:line="276" w:lineRule="auto"/>
        <w:contextualSpacing/>
        <w:jc w:val="both"/>
        <w:rPr>
          <w:rFonts w:eastAsia="Calibri"/>
          <w:color w:val="000000" w:themeColor="text1"/>
        </w:rPr>
      </w:pPr>
      <w:r w:rsidRPr="00C56257">
        <w:rPr>
          <w:rFonts w:eastAsia="Calibri"/>
          <w:color w:val="000000" w:themeColor="text1"/>
        </w:rPr>
        <w:t>fauna întâlnită în peșteri (endemică sau comună) nu este o faună cavernicolă, în sensul strict al termenului, ci este o faună care, prin specializarea și ecologia sa, este prezentă și în biotopurile subterane din jurul peșterii (biotopurile acvatic, litoclazic, coluvial, edafic).</w:t>
      </w:r>
    </w:p>
    <w:p w14:paraId="1FCC1577" w14:textId="77777777" w:rsidR="004C3D75" w:rsidRPr="00C56257" w:rsidRDefault="004C3D75" w:rsidP="009E63E5">
      <w:pPr>
        <w:numPr>
          <w:ilvl w:val="0"/>
          <w:numId w:val="154"/>
        </w:numPr>
        <w:spacing w:after="160" w:line="276" w:lineRule="auto"/>
        <w:contextualSpacing/>
        <w:jc w:val="both"/>
        <w:rPr>
          <w:rFonts w:eastAsia="Calibri"/>
          <w:color w:val="000000" w:themeColor="text1"/>
        </w:rPr>
      </w:pPr>
      <w:r w:rsidRPr="00C56257">
        <w:rPr>
          <w:rFonts w:eastAsia="Calibri"/>
          <w:color w:val="000000" w:themeColor="text1"/>
        </w:rPr>
        <w:t>presiunile și amenințările existente la suprafața terenului se pot manifesta direct sau indirect în cavitatea naturală, într-un timp scurt, prin intermediul deschiderilor de peșteră, râurilor subterane și proceselor de colaps specifice carstului sau într-un timp mai îndelungat, prin intermediul infiltrației apei, care poate avea efecte mecanice, chimice și biochimice.</w:t>
      </w:r>
    </w:p>
    <w:p w14:paraId="73602C40" w14:textId="77777777" w:rsidR="004C3D75" w:rsidRPr="00C56257" w:rsidRDefault="004C3D75" w:rsidP="008E33FD">
      <w:pPr>
        <w:spacing w:after="120" w:line="276" w:lineRule="auto"/>
        <w:jc w:val="both"/>
        <w:rPr>
          <w:rFonts w:eastAsia="Calibri"/>
          <w:color w:val="000000" w:themeColor="text1"/>
        </w:rPr>
      </w:pPr>
      <w:r w:rsidRPr="00C56257">
        <w:rPr>
          <w:rFonts w:eastAsia="Calibri"/>
          <w:color w:val="000000" w:themeColor="text1"/>
        </w:rPr>
        <w:t xml:space="preserve">Limitele biosistemului carstic al unei peșteri sunt stabilite, în mod formal, de către legislația națională (OUG 57/2007) la perimetrul de protecție al peșterii. </w:t>
      </w:r>
    </w:p>
    <w:p w14:paraId="4B8E9207" w14:textId="77777777" w:rsidR="004C3D75" w:rsidRPr="00C56257" w:rsidRDefault="004C3D75" w:rsidP="008E33FD">
      <w:pPr>
        <w:spacing w:after="120" w:line="276" w:lineRule="auto"/>
        <w:jc w:val="both"/>
        <w:rPr>
          <w:rFonts w:eastAsia="Calibri"/>
          <w:color w:val="000000" w:themeColor="text1"/>
        </w:rPr>
      </w:pPr>
      <w:r w:rsidRPr="00C56257">
        <w:rPr>
          <w:rFonts w:eastAsia="Calibri"/>
          <w:color w:val="000000" w:themeColor="text1"/>
        </w:rPr>
        <w:t>Delimitarea și monitorizarea habitatului 8310 trebuie să țină cont, inclusiv, de starea de conservare a perimetrului de protecție, printr-o secțiune distinctă a Fișei de monitorizare.</w:t>
      </w:r>
    </w:p>
    <w:p w14:paraId="3784FD45" w14:textId="77777777" w:rsidR="004C3D75" w:rsidRPr="00C56257" w:rsidRDefault="004C3D75" w:rsidP="008E33FD">
      <w:pPr>
        <w:keepNext/>
        <w:keepLines/>
        <w:spacing w:before="40" w:after="160" w:line="259" w:lineRule="auto"/>
        <w:ind w:left="720"/>
        <w:jc w:val="both"/>
        <w:outlineLvl w:val="1"/>
        <w:rPr>
          <w:b/>
          <w:color w:val="000000" w:themeColor="text1"/>
        </w:rPr>
      </w:pPr>
      <w:bookmarkStart w:id="39" w:name="_Toc20820899"/>
      <w:r w:rsidRPr="00C56257">
        <w:rPr>
          <w:b/>
          <w:color w:val="000000" w:themeColor="text1"/>
        </w:rPr>
        <w:t>1.3 Delimitarea habitatului 8310</w:t>
      </w:r>
      <w:bookmarkEnd w:id="39"/>
    </w:p>
    <w:p w14:paraId="03F51B09" w14:textId="77777777" w:rsidR="004C3D75" w:rsidRPr="00C56257" w:rsidRDefault="004C3D75" w:rsidP="008E33FD">
      <w:pPr>
        <w:spacing w:after="120" w:line="276" w:lineRule="auto"/>
        <w:jc w:val="both"/>
        <w:rPr>
          <w:rFonts w:eastAsia="Calibri"/>
          <w:color w:val="000000" w:themeColor="text1"/>
        </w:rPr>
      </w:pPr>
      <w:r w:rsidRPr="00C56257">
        <w:rPr>
          <w:rFonts w:eastAsia="Calibri"/>
          <w:color w:val="000000" w:themeColor="text1"/>
        </w:rPr>
        <w:t xml:space="preserve">Habitatul 8310 cuprinde </w:t>
      </w:r>
      <w:r w:rsidRPr="00C56257">
        <w:rPr>
          <w:rFonts w:eastAsia="Calibri"/>
          <w:i/>
          <w:color w:val="000000" w:themeColor="text1"/>
        </w:rPr>
        <w:t>spațiul subteran al cavităților naturale închise publicului și a rețelei subterane legate de acestea care permite circulația naturală a apei, curenților de aer, faunei și resurselor trofice</w:t>
      </w:r>
      <w:r w:rsidRPr="00C56257">
        <w:rPr>
          <w:rFonts w:eastAsia="Calibri"/>
          <w:color w:val="000000" w:themeColor="text1"/>
        </w:rPr>
        <w:t>.</w:t>
      </w:r>
    </w:p>
    <w:p w14:paraId="6D1AC903" w14:textId="77777777" w:rsidR="004C3D75" w:rsidRPr="00C56257" w:rsidRDefault="004C3D75" w:rsidP="008E33FD">
      <w:pPr>
        <w:spacing w:after="120" w:line="276" w:lineRule="auto"/>
        <w:jc w:val="both"/>
        <w:rPr>
          <w:rFonts w:eastAsia="Calibri"/>
          <w:color w:val="000000" w:themeColor="text1"/>
        </w:rPr>
      </w:pPr>
      <w:r w:rsidRPr="00C56257">
        <w:rPr>
          <w:rFonts w:eastAsia="Calibri"/>
          <w:color w:val="000000" w:themeColor="text1"/>
        </w:rPr>
        <w:t>Configurația rețelei subterane, impenetrabile, adiacente peșterilor, neputând fi cunoscută în întregime, datele de identificare al habitatului 8310 vor fi cele ale cavității naturale penetrabile.</w:t>
      </w:r>
    </w:p>
    <w:p w14:paraId="379E6064" w14:textId="77777777" w:rsidR="004C3D75" w:rsidRPr="00C56257" w:rsidRDefault="004C3D75" w:rsidP="008E33FD">
      <w:pPr>
        <w:spacing w:after="120" w:line="276" w:lineRule="auto"/>
        <w:jc w:val="both"/>
        <w:rPr>
          <w:rFonts w:eastAsia="Calibri"/>
          <w:color w:val="000000" w:themeColor="text1"/>
        </w:rPr>
      </w:pPr>
      <w:r w:rsidRPr="00C56257">
        <w:rPr>
          <w:rFonts w:eastAsia="Calibri"/>
          <w:color w:val="000000" w:themeColor="text1"/>
        </w:rPr>
        <w:t>Perimetrul de protecție al peșterii nu este parte a habitatului 8310, dar starea sa de conservare și în special a legăturilor acestuia cu peștera / rețeaua subterană au o stânsă legătură.</w:t>
      </w:r>
    </w:p>
    <w:p w14:paraId="51E4B02C" w14:textId="77777777" w:rsidR="004C3D75" w:rsidRPr="00C56257" w:rsidRDefault="004C3D75" w:rsidP="008E33FD">
      <w:pPr>
        <w:spacing w:after="120" w:line="276" w:lineRule="auto"/>
        <w:jc w:val="both"/>
        <w:rPr>
          <w:rFonts w:eastAsia="Calibri"/>
          <w:color w:val="000000" w:themeColor="text1"/>
        </w:rPr>
      </w:pPr>
      <w:r w:rsidRPr="00C56257">
        <w:rPr>
          <w:rFonts w:eastAsia="Calibri"/>
          <w:color w:val="000000" w:themeColor="text1"/>
        </w:rPr>
        <w:t>Distribuția habitatului 8310 pe teritoriul României este în funcție de repartiția carstului și a altor roci generatoare ori purtătoare de peșteri,  acesta fiind predominant în regiunile biogeografice alpină și continentală.</w:t>
      </w:r>
    </w:p>
    <w:p w14:paraId="4D476BA3" w14:textId="77777777" w:rsidR="004C3D75" w:rsidRPr="00C56257" w:rsidRDefault="004C3D75" w:rsidP="008E33FD">
      <w:pPr>
        <w:keepNext/>
        <w:keepLines/>
        <w:spacing w:before="40" w:after="160" w:line="259" w:lineRule="auto"/>
        <w:ind w:left="360"/>
        <w:jc w:val="both"/>
        <w:outlineLvl w:val="1"/>
        <w:rPr>
          <w:b/>
          <w:color w:val="000000" w:themeColor="text1"/>
        </w:rPr>
      </w:pPr>
      <w:bookmarkStart w:id="40" w:name="_Toc20820900"/>
      <w:r w:rsidRPr="00C56257">
        <w:rPr>
          <w:b/>
          <w:color w:val="000000" w:themeColor="text1"/>
        </w:rPr>
        <w:t>1.4.Paramerii monitorizați pentru habitatul 8310</w:t>
      </w:r>
      <w:bookmarkEnd w:id="40"/>
    </w:p>
    <w:p w14:paraId="47F93C62" w14:textId="77777777" w:rsidR="004C3D75" w:rsidRPr="00C56257" w:rsidRDefault="004C3D75" w:rsidP="008E33FD">
      <w:pPr>
        <w:spacing w:after="160" w:line="259" w:lineRule="auto"/>
        <w:jc w:val="both"/>
        <w:rPr>
          <w:rFonts w:eastAsia="Calibri"/>
          <w:color w:val="000000" w:themeColor="text1"/>
        </w:rPr>
      </w:pPr>
      <w:r w:rsidRPr="00C56257">
        <w:rPr>
          <w:rFonts w:eastAsia="Calibri"/>
          <w:color w:val="000000" w:themeColor="text1"/>
        </w:rPr>
        <w:t>Pe toată perioada de monitorizare a habitatului vor fi monitorizare şi cuantificate următoarele caracteristici ale mediului subteran:</w:t>
      </w:r>
    </w:p>
    <w:p w14:paraId="3F8E5238" w14:textId="77777777" w:rsidR="004C3D75" w:rsidRPr="00C56257" w:rsidRDefault="004C3D75" w:rsidP="009E63E5">
      <w:pPr>
        <w:numPr>
          <w:ilvl w:val="0"/>
          <w:numId w:val="156"/>
        </w:numPr>
        <w:spacing w:after="60" w:line="259" w:lineRule="auto"/>
        <w:jc w:val="both"/>
        <w:rPr>
          <w:color w:val="000000" w:themeColor="text1"/>
        </w:rPr>
      </w:pPr>
      <w:r w:rsidRPr="00C56257">
        <w:rPr>
          <w:color w:val="000000" w:themeColor="text1"/>
        </w:rPr>
        <w:t>caracteristicile mediului fizic – topoclimatul subteran (temperatura aerului, umiditatea relativă, ventilaţia) şi implicaţiile acestuia asupra golului subteran;</w:t>
      </w:r>
    </w:p>
    <w:p w14:paraId="51F50748" w14:textId="77777777" w:rsidR="004C3D75" w:rsidRPr="00C56257" w:rsidRDefault="004C3D75" w:rsidP="009E63E5">
      <w:pPr>
        <w:numPr>
          <w:ilvl w:val="0"/>
          <w:numId w:val="156"/>
        </w:numPr>
        <w:spacing w:after="60" w:line="259" w:lineRule="auto"/>
        <w:jc w:val="both"/>
        <w:rPr>
          <w:color w:val="000000" w:themeColor="text1"/>
        </w:rPr>
      </w:pPr>
      <w:r w:rsidRPr="00C56257">
        <w:rPr>
          <w:color w:val="000000" w:themeColor="text1"/>
        </w:rPr>
        <w:t>morfohidrografia cavităţilor subterane – configuraţia spaţiilor monitorizate, caracteristicile umpluturii speleice şi regimul hidrologic al galeriilor;</w:t>
      </w:r>
    </w:p>
    <w:p w14:paraId="4025464C" w14:textId="77777777" w:rsidR="004C3D75" w:rsidRPr="00C56257" w:rsidRDefault="004C3D75" w:rsidP="009E63E5">
      <w:pPr>
        <w:numPr>
          <w:ilvl w:val="0"/>
          <w:numId w:val="156"/>
        </w:numPr>
        <w:spacing w:after="60" w:line="259" w:lineRule="auto"/>
        <w:jc w:val="both"/>
        <w:rPr>
          <w:color w:val="000000" w:themeColor="text1"/>
        </w:rPr>
      </w:pPr>
      <w:r w:rsidRPr="00C56257">
        <w:rPr>
          <w:color w:val="000000" w:themeColor="text1"/>
        </w:rPr>
        <w:t>factorii de risc şi ameninţările – categoriile de risc şi gradul de ameninţare asupra stării de conservare a peşterilor.</w:t>
      </w:r>
    </w:p>
    <w:p w14:paraId="7106B616" w14:textId="77777777" w:rsidR="004C3D75" w:rsidRPr="00C56257" w:rsidRDefault="004C3D75" w:rsidP="008E33FD">
      <w:pPr>
        <w:spacing w:after="160" w:line="259" w:lineRule="auto"/>
        <w:jc w:val="both"/>
        <w:rPr>
          <w:rFonts w:eastAsia="Calibri"/>
          <w:color w:val="000000" w:themeColor="text1"/>
        </w:rPr>
      </w:pPr>
      <w:r w:rsidRPr="00C56257">
        <w:rPr>
          <w:rFonts w:eastAsia="Calibri"/>
          <w:color w:val="000000" w:themeColor="text1"/>
        </w:rPr>
        <w:t>Monitorizarea se va face în staţii fixe şi prin obsevaţii de ansamblu. Datele topoclimate vor fi monitorizare prin intermediul instrumentelor de stocare tip datalogger, elementele morfo</w:t>
      </w:r>
      <w:r w:rsidRPr="00C56257">
        <w:rPr>
          <w:rFonts w:eastAsia="Calibri"/>
          <w:color w:val="000000" w:themeColor="text1"/>
        </w:rPr>
        <w:softHyphen/>
        <w:t xml:space="preserve">hidrografice şi ameninţările vor fi stabilite prin observaţiile periodice stabilite în planul de monitorizare. </w:t>
      </w:r>
    </w:p>
    <w:p w14:paraId="29845A16" w14:textId="77777777" w:rsidR="004C3D75" w:rsidRPr="00C56257" w:rsidRDefault="004C3D75" w:rsidP="008E33FD">
      <w:pPr>
        <w:spacing w:after="160" w:line="259" w:lineRule="auto"/>
        <w:ind w:left="360"/>
        <w:contextualSpacing/>
        <w:jc w:val="both"/>
        <w:outlineLvl w:val="2"/>
        <w:rPr>
          <w:rFonts w:eastAsia="Calibri"/>
          <w:b/>
          <w:color w:val="000000" w:themeColor="text1"/>
        </w:rPr>
      </w:pPr>
      <w:bookmarkStart w:id="41" w:name="_Toc20820901"/>
      <w:r w:rsidRPr="00C56257">
        <w:rPr>
          <w:rFonts w:eastAsia="Calibri"/>
          <w:b/>
          <w:color w:val="000000" w:themeColor="text1"/>
        </w:rPr>
        <w:t>1.5.Caracteristicile mediului fizic</w:t>
      </w:r>
      <w:bookmarkEnd w:id="41"/>
    </w:p>
    <w:p w14:paraId="5580CDA4" w14:textId="77777777" w:rsidR="004C3D75" w:rsidRPr="00C56257" w:rsidRDefault="004C3D75" w:rsidP="008E33FD">
      <w:pPr>
        <w:spacing w:after="160" w:line="259" w:lineRule="auto"/>
        <w:jc w:val="both"/>
        <w:rPr>
          <w:rFonts w:eastAsia="Calibri"/>
          <w:color w:val="000000" w:themeColor="text1"/>
        </w:rPr>
      </w:pPr>
      <w:r w:rsidRPr="00C56257">
        <w:rPr>
          <w:rFonts w:eastAsia="Calibri"/>
          <w:color w:val="000000" w:themeColor="text1"/>
        </w:rPr>
        <w:lastRenderedPageBreak/>
        <w:t>Monitorizarea se va face prin înregistrări şi obsevaţii, în staţii fixe, care să surprindă diversitatea spaţiilor subterane. Criteriile de stabilire a staţiilor şi întreaga metodologie de monitorizare va fi aceeaşi pentru toate peşterile şi este explicată în fişa de teren.</w:t>
      </w:r>
    </w:p>
    <w:p w14:paraId="495DE9A4" w14:textId="77777777" w:rsidR="004C3D75" w:rsidRPr="00C56257" w:rsidRDefault="004C3D75" w:rsidP="008E33FD">
      <w:pPr>
        <w:spacing w:after="160" w:line="259" w:lineRule="auto"/>
        <w:ind w:left="360"/>
        <w:contextualSpacing/>
        <w:jc w:val="both"/>
        <w:outlineLvl w:val="3"/>
        <w:rPr>
          <w:rFonts w:eastAsia="Calibri"/>
          <w:b/>
          <w:color w:val="000000" w:themeColor="text1"/>
        </w:rPr>
      </w:pPr>
      <w:bookmarkStart w:id="42" w:name="_Toc20820902"/>
      <w:r w:rsidRPr="00C56257">
        <w:rPr>
          <w:rFonts w:eastAsia="Calibri"/>
          <w:b/>
          <w:color w:val="000000" w:themeColor="text1"/>
        </w:rPr>
        <w:t>1.5.1.Atmosferă exterior / intrare / subteran</w:t>
      </w:r>
      <w:bookmarkEnd w:id="42"/>
    </w:p>
    <w:tbl>
      <w:tblPr>
        <w:tblW w:w="927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93"/>
        <w:gridCol w:w="1309"/>
        <w:gridCol w:w="1309"/>
        <w:gridCol w:w="424"/>
        <w:gridCol w:w="698"/>
        <w:gridCol w:w="1122"/>
        <w:gridCol w:w="1309"/>
        <w:gridCol w:w="1506"/>
      </w:tblGrid>
      <w:tr w:rsidR="004C3D75" w:rsidRPr="00C56257" w14:paraId="4CE404BF" w14:textId="77777777" w:rsidTr="004C3D75">
        <w:tc>
          <w:tcPr>
            <w:tcW w:w="4635" w:type="dxa"/>
            <w:gridSpan w:val="4"/>
          </w:tcPr>
          <w:p w14:paraId="32D902FC" w14:textId="77777777" w:rsidR="004C3D75" w:rsidRPr="00C56257" w:rsidRDefault="004C3D75" w:rsidP="008E33FD">
            <w:pPr>
              <w:spacing w:before="60" w:after="160" w:line="259" w:lineRule="auto"/>
              <w:jc w:val="both"/>
              <w:rPr>
                <w:rFonts w:eastAsia="Calibri"/>
                <w:color w:val="000000" w:themeColor="text1"/>
              </w:rPr>
            </w:pPr>
            <w:r w:rsidRPr="00C56257">
              <w:rPr>
                <w:rFonts w:eastAsia="Calibri"/>
                <w:color w:val="000000" w:themeColor="text1"/>
              </w:rPr>
              <w:br w:type="page"/>
            </w:r>
            <w:r w:rsidRPr="00C56257">
              <w:rPr>
                <w:rFonts w:eastAsia="Calibri"/>
                <w:b/>
                <w:color w:val="000000" w:themeColor="text1"/>
              </w:rPr>
              <w:t xml:space="preserve">Peştera </w:t>
            </w:r>
            <w:r w:rsidRPr="00C56257">
              <w:rPr>
                <w:rFonts w:eastAsia="Calibri"/>
                <w:color w:val="000000" w:themeColor="text1"/>
              </w:rPr>
              <w:t>..........................................................</w:t>
            </w:r>
          </w:p>
          <w:p w14:paraId="4A543F2F" w14:textId="77777777" w:rsidR="004C3D75" w:rsidRPr="00C56257" w:rsidRDefault="004C3D75" w:rsidP="008E33FD">
            <w:pPr>
              <w:spacing w:before="60" w:after="160" w:line="259" w:lineRule="auto"/>
              <w:jc w:val="both"/>
              <w:rPr>
                <w:rFonts w:eastAsia="Calibri"/>
                <w:b/>
                <w:color w:val="000000" w:themeColor="text1"/>
              </w:rPr>
            </w:pPr>
            <w:r w:rsidRPr="00C56257">
              <w:rPr>
                <w:rFonts w:eastAsia="Calibri"/>
                <w:color w:val="000000" w:themeColor="text1"/>
              </w:rPr>
              <w:t>............................................................</w:t>
            </w:r>
          </w:p>
          <w:p w14:paraId="1D08CC69" w14:textId="77777777" w:rsidR="004C3D75" w:rsidRPr="00C56257" w:rsidRDefault="004C3D75" w:rsidP="008E33FD">
            <w:pPr>
              <w:spacing w:before="60" w:after="160" w:line="259" w:lineRule="auto"/>
              <w:jc w:val="both"/>
              <w:rPr>
                <w:rFonts w:eastAsia="Calibri"/>
                <w:b/>
                <w:color w:val="000000" w:themeColor="text1"/>
              </w:rPr>
            </w:pPr>
            <w:r w:rsidRPr="00C56257">
              <w:rPr>
                <w:rFonts w:eastAsia="Calibri"/>
                <w:b/>
                <w:color w:val="000000" w:themeColor="text1"/>
              </w:rPr>
              <w:t xml:space="preserve">nr. catalog </w:t>
            </w:r>
            <w:r w:rsidRPr="00C56257">
              <w:rPr>
                <w:rFonts w:eastAsia="Calibri"/>
                <w:color w:val="000000" w:themeColor="text1"/>
              </w:rPr>
              <w:t>............................</w:t>
            </w:r>
          </w:p>
        </w:tc>
        <w:tc>
          <w:tcPr>
            <w:tcW w:w="4635" w:type="dxa"/>
            <w:gridSpan w:val="4"/>
          </w:tcPr>
          <w:p w14:paraId="7596A5EB" w14:textId="77777777" w:rsidR="004C3D75" w:rsidRPr="00C56257" w:rsidRDefault="004C3D75" w:rsidP="008E33FD">
            <w:pPr>
              <w:spacing w:before="140" w:after="160" w:line="259" w:lineRule="auto"/>
              <w:jc w:val="both"/>
              <w:rPr>
                <w:rFonts w:eastAsia="Calibri"/>
                <w:color w:val="000000" w:themeColor="text1"/>
              </w:rPr>
            </w:pPr>
            <w:r w:rsidRPr="00C56257">
              <w:rPr>
                <w:rFonts w:eastAsia="Calibri"/>
                <w:b/>
                <w:color w:val="000000" w:themeColor="text1"/>
              </w:rPr>
              <w:t xml:space="preserve">data </w:t>
            </w:r>
            <w:r w:rsidRPr="00C56257">
              <w:rPr>
                <w:rFonts w:eastAsia="Calibri"/>
                <w:color w:val="000000" w:themeColor="text1"/>
              </w:rPr>
              <w:t>...............................................</w:t>
            </w:r>
          </w:p>
          <w:p w14:paraId="2F68170B" w14:textId="77777777" w:rsidR="004C3D75" w:rsidRPr="00C56257" w:rsidRDefault="004C3D75" w:rsidP="008E33FD">
            <w:pPr>
              <w:spacing w:before="60" w:after="160" w:line="259" w:lineRule="auto"/>
              <w:jc w:val="both"/>
              <w:rPr>
                <w:rFonts w:eastAsia="Calibri"/>
                <w:color w:val="000000" w:themeColor="text1"/>
              </w:rPr>
            </w:pPr>
            <w:r w:rsidRPr="00C56257">
              <w:rPr>
                <w:rFonts w:eastAsia="Calibri"/>
                <w:b/>
                <w:color w:val="000000" w:themeColor="text1"/>
              </w:rPr>
              <w:t xml:space="preserve">interval orar </w:t>
            </w:r>
            <w:r w:rsidRPr="00C56257">
              <w:rPr>
                <w:rFonts w:eastAsia="Calibri"/>
                <w:color w:val="000000" w:themeColor="text1"/>
              </w:rPr>
              <w:t>............... / .................</w:t>
            </w:r>
          </w:p>
          <w:p w14:paraId="4748BF69" w14:textId="77777777" w:rsidR="004C3D75" w:rsidRPr="00C56257" w:rsidRDefault="004C3D75" w:rsidP="008E33FD">
            <w:pPr>
              <w:spacing w:before="60" w:after="160" w:line="259" w:lineRule="auto"/>
              <w:jc w:val="both"/>
              <w:rPr>
                <w:rFonts w:eastAsia="Calibri"/>
                <w:color w:val="000000" w:themeColor="text1"/>
              </w:rPr>
            </w:pPr>
            <w:r w:rsidRPr="00C56257">
              <w:rPr>
                <w:rFonts w:eastAsia="Calibri"/>
                <w:b/>
                <w:color w:val="000000" w:themeColor="text1"/>
              </w:rPr>
              <w:t xml:space="preserve">autor fişe </w:t>
            </w:r>
            <w:r w:rsidRPr="00C56257">
              <w:rPr>
                <w:rFonts w:eastAsia="Calibri"/>
                <w:color w:val="000000" w:themeColor="text1"/>
              </w:rPr>
              <w:t>.............................................................</w:t>
            </w:r>
          </w:p>
        </w:tc>
      </w:tr>
      <w:tr w:rsidR="004C3D75" w:rsidRPr="00C56257" w14:paraId="54D80791" w14:textId="77777777" w:rsidTr="004C3D75">
        <w:tc>
          <w:tcPr>
            <w:tcW w:w="9270" w:type="dxa"/>
            <w:gridSpan w:val="8"/>
          </w:tcPr>
          <w:p w14:paraId="6296F8EA"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A. Caracteristicile mediului fizic</w:t>
            </w:r>
          </w:p>
        </w:tc>
      </w:tr>
      <w:tr w:rsidR="004C3D75" w:rsidRPr="00C56257" w14:paraId="6DC40D5D" w14:textId="77777777" w:rsidTr="004C3D75">
        <w:tc>
          <w:tcPr>
            <w:tcW w:w="9270" w:type="dxa"/>
            <w:gridSpan w:val="8"/>
          </w:tcPr>
          <w:p w14:paraId="7EA7285A"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 xml:space="preserve">A-1. Atmosferă exterior / intrare / subteran </w:t>
            </w:r>
          </w:p>
        </w:tc>
      </w:tr>
      <w:tr w:rsidR="004C3D75" w:rsidRPr="00C56257" w14:paraId="24801862" w14:textId="77777777" w:rsidTr="004C3D75">
        <w:tc>
          <w:tcPr>
            <w:tcW w:w="1593" w:type="dxa"/>
            <w:vAlign w:val="center"/>
          </w:tcPr>
          <w:p w14:paraId="15418E9E"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Loc observaţii / înregistrări</w:t>
            </w:r>
          </w:p>
        </w:tc>
        <w:tc>
          <w:tcPr>
            <w:tcW w:w="1309" w:type="dxa"/>
            <w:vAlign w:val="center"/>
          </w:tcPr>
          <w:p w14:paraId="0F08F12F"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Zona meroclimat</w:t>
            </w:r>
          </w:p>
        </w:tc>
        <w:tc>
          <w:tcPr>
            <w:tcW w:w="1309" w:type="dxa"/>
            <w:vAlign w:val="center"/>
          </w:tcPr>
          <w:p w14:paraId="65194AE0"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Distanţă intrare proximă</w:t>
            </w:r>
          </w:p>
        </w:tc>
        <w:tc>
          <w:tcPr>
            <w:tcW w:w="1122" w:type="dxa"/>
            <w:gridSpan w:val="2"/>
            <w:vAlign w:val="center"/>
          </w:tcPr>
          <w:p w14:paraId="165A5310" w14:textId="77777777" w:rsidR="004C3D75" w:rsidRPr="00C56257" w:rsidRDefault="004C3D75" w:rsidP="008E33FD">
            <w:pPr>
              <w:spacing w:line="259" w:lineRule="auto"/>
              <w:jc w:val="both"/>
              <w:rPr>
                <w:rFonts w:eastAsia="Calibri"/>
                <w:b/>
                <w:color w:val="000000" w:themeColor="text1"/>
                <w:vertAlign w:val="subscript"/>
              </w:rPr>
            </w:pPr>
            <w:r w:rsidRPr="00C56257">
              <w:rPr>
                <w:rFonts w:eastAsia="Calibri"/>
                <w:b/>
                <w:color w:val="000000" w:themeColor="text1"/>
              </w:rPr>
              <w:t>T-aer</w:t>
            </w:r>
          </w:p>
        </w:tc>
        <w:tc>
          <w:tcPr>
            <w:tcW w:w="1122" w:type="dxa"/>
            <w:vAlign w:val="center"/>
          </w:tcPr>
          <w:p w14:paraId="22313E91"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UR</w:t>
            </w:r>
          </w:p>
        </w:tc>
        <w:tc>
          <w:tcPr>
            <w:tcW w:w="1309" w:type="dxa"/>
            <w:vAlign w:val="center"/>
          </w:tcPr>
          <w:p w14:paraId="563A0B87"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Ventilaţie</w:t>
            </w:r>
          </w:p>
        </w:tc>
        <w:tc>
          <w:tcPr>
            <w:tcW w:w="1506" w:type="dxa"/>
            <w:vAlign w:val="center"/>
          </w:tcPr>
          <w:p w14:paraId="0BD9257E"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Menţiuni speciale</w:t>
            </w:r>
          </w:p>
        </w:tc>
      </w:tr>
      <w:tr w:rsidR="004C3D75" w:rsidRPr="00C56257" w14:paraId="5BE5EDBF" w14:textId="77777777" w:rsidTr="004C3D75">
        <w:tc>
          <w:tcPr>
            <w:tcW w:w="1593" w:type="dxa"/>
          </w:tcPr>
          <w:p w14:paraId="613437A0"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Exterior</w:t>
            </w:r>
          </w:p>
        </w:tc>
        <w:tc>
          <w:tcPr>
            <w:tcW w:w="1309" w:type="dxa"/>
          </w:tcPr>
          <w:p w14:paraId="2B46CEAA" w14:textId="77777777" w:rsidR="004C3D75" w:rsidRPr="00C56257" w:rsidRDefault="004C3D75" w:rsidP="008E33FD">
            <w:pPr>
              <w:spacing w:line="259" w:lineRule="auto"/>
              <w:jc w:val="both"/>
              <w:rPr>
                <w:rFonts w:eastAsia="Calibri"/>
                <w:b/>
                <w:color w:val="000000" w:themeColor="text1"/>
              </w:rPr>
            </w:pPr>
          </w:p>
        </w:tc>
        <w:tc>
          <w:tcPr>
            <w:tcW w:w="1309" w:type="dxa"/>
          </w:tcPr>
          <w:p w14:paraId="56732BEB" w14:textId="77777777" w:rsidR="004C3D75" w:rsidRPr="00C56257" w:rsidRDefault="004C3D75" w:rsidP="008E33FD">
            <w:pPr>
              <w:spacing w:line="259" w:lineRule="auto"/>
              <w:jc w:val="both"/>
              <w:rPr>
                <w:rFonts w:eastAsia="Calibri"/>
                <w:b/>
                <w:color w:val="000000" w:themeColor="text1"/>
              </w:rPr>
            </w:pPr>
          </w:p>
        </w:tc>
        <w:tc>
          <w:tcPr>
            <w:tcW w:w="1122" w:type="dxa"/>
            <w:gridSpan w:val="2"/>
          </w:tcPr>
          <w:p w14:paraId="1B68C03F" w14:textId="77777777" w:rsidR="004C3D75" w:rsidRPr="00C56257" w:rsidRDefault="004C3D75" w:rsidP="008E33FD">
            <w:pPr>
              <w:spacing w:line="259" w:lineRule="auto"/>
              <w:jc w:val="both"/>
              <w:rPr>
                <w:rFonts w:eastAsia="Calibri"/>
                <w:b/>
                <w:color w:val="000000" w:themeColor="text1"/>
              </w:rPr>
            </w:pPr>
          </w:p>
        </w:tc>
        <w:tc>
          <w:tcPr>
            <w:tcW w:w="1122" w:type="dxa"/>
          </w:tcPr>
          <w:p w14:paraId="1CA3FD9E" w14:textId="77777777" w:rsidR="004C3D75" w:rsidRPr="00C56257" w:rsidRDefault="004C3D75" w:rsidP="008E33FD">
            <w:pPr>
              <w:spacing w:line="259" w:lineRule="auto"/>
              <w:jc w:val="both"/>
              <w:rPr>
                <w:rFonts w:eastAsia="Calibri"/>
                <w:b/>
                <w:color w:val="000000" w:themeColor="text1"/>
              </w:rPr>
            </w:pPr>
          </w:p>
        </w:tc>
        <w:tc>
          <w:tcPr>
            <w:tcW w:w="1309" w:type="dxa"/>
          </w:tcPr>
          <w:p w14:paraId="5A4549DF" w14:textId="77777777" w:rsidR="004C3D75" w:rsidRPr="00C56257" w:rsidRDefault="004C3D75" w:rsidP="008E33FD">
            <w:pPr>
              <w:spacing w:line="259" w:lineRule="auto"/>
              <w:jc w:val="both"/>
              <w:rPr>
                <w:rFonts w:eastAsia="Calibri"/>
                <w:b/>
                <w:color w:val="000000" w:themeColor="text1"/>
              </w:rPr>
            </w:pPr>
          </w:p>
        </w:tc>
        <w:tc>
          <w:tcPr>
            <w:tcW w:w="1506" w:type="dxa"/>
          </w:tcPr>
          <w:p w14:paraId="2F2FE80C" w14:textId="77777777" w:rsidR="004C3D75" w:rsidRPr="00C56257" w:rsidRDefault="004C3D75" w:rsidP="008E33FD">
            <w:pPr>
              <w:spacing w:line="259" w:lineRule="auto"/>
              <w:jc w:val="both"/>
              <w:rPr>
                <w:rFonts w:eastAsia="Calibri"/>
                <w:b/>
                <w:color w:val="000000" w:themeColor="text1"/>
              </w:rPr>
            </w:pPr>
          </w:p>
        </w:tc>
      </w:tr>
      <w:tr w:rsidR="004C3D75" w:rsidRPr="00C56257" w14:paraId="253117A9" w14:textId="77777777" w:rsidTr="004C3D75">
        <w:tc>
          <w:tcPr>
            <w:tcW w:w="1593" w:type="dxa"/>
          </w:tcPr>
          <w:p w14:paraId="1EDEACFA"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Intrare</w:t>
            </w:r>
          </w:p>
        </w:tc>
        <w:tc>
          <w:tcPr>
            <w:tcW w:w="1309" w:type="dxa"/>
          </w:tcPr>
          <w:p w14:paraId="5F9EBE92" w14:textId="77777777" w:rsidR="004C3D75" w:rsidRPr="00C56257" w:rsidRDefault="004C3D75" w:rsidP="008E33FD">
            <w:pPr>
              <w:spacing w:line="259" w:lineRule="auto"/>
              <w:jc w:val="both"/>
              <w:rPr>
                <w:rFonts w:eastAsia="Calibri"/>
                <w:b/>
                <w:color w:val="000000" w:themeColor="text1"/>
              </w:rPr>
            </w:pPr>
          </w:p>
        </w:tc>
        <w:tc>
          <w:tcPr>
            <w:tcW w:w="1309" w:type="dxa"/>
          </w:tcPr>
          <w:p w14:paraId="6801D961" w14:textId="77777777" w:rsidR="004C3D75" w:rsidRPr="00C56257" w:rsidRDefault="004C3D75" w:rsidP="008E33FD">
            <w:pPr>
              <w:spacing w:line="259" w:lineRule="auto"/>
              <w:jc w:val="both"/>
              <w:rPr>
                <w:rFonts w:eastAsia="Calibri"/>
                <w:b/>
                <w:color w:val="000000" w:themeColor="text1"/>
              </w:rPr>
            </w:pPr>
          </w:p>
        </w:tc>
        <w:tc>
          <w:tcPr>
            <w:tcW w:w="1122" w:type="dxa"/>
            <w:gridSpan w:val="2"/>
          </w:tcPr>
          <w:p w14:paraId="29FD3F1F" w14:textId="77777777" w:rsidR="004C3D75" w:rsidRPr="00C56257" w:rsidRDefault="004C3D75" w:rsidP="008E33FD">
            <w:pPr>
              <w:spacing w:line="259" w:lineRule="auto"/>
              <w:jc w:val="both"/>
              <w:rPr>
                <w:rFonts w:eastAsia="Calibri"/>
                <w:b/>
                <w:color w:val="000000" w:themeColor="text1"/>
              </w:rPr>
            </w:pPr>
          </w:p>
        </w:tc>
        <w:tc>
          <w:tcPr>
            <w:tcW w:w="1122" w:type="dxa"/>
          </w:tcPr>
          <w:p w14:paraId="736B5CC7" w14:textId="77777777" w:rsidR="004C3D75" w:rsidRPr="00C56257" w:rsidRDefault="004C3D75" w:rsidP="008E33FD">
            <w:pPr>
              <w:spacing w:line="259" w:lineRule="auto"/>
              <w:jc w:val="both"/>
              <w:rPr>
                <w:rFonts w:eastAsia="Calibri"/>
                <w:b/>
                <w:color w:val="000000" w:themeColor="text1"/>
              </w:rPr>
            </w:pPr>
          </w:p>
        </w:tc>
        <w:tc>
          <w:tcPr>
            <w:tcW w:w="1309" w:type="dxa"/>
          </w:tcPr>
          <w:p w14:paraId="78D33A4C" w14:textId="77777777" w:rsidR="004C3D75" w:rsidRPr="00C56257" w:rsidRDefault="004C3D75" w:rsidP="008E33FD">
            <w:pPr>
              <w:spacing w:line="259" w:lineRule="auto"/>
              <w:jc w:val="both"/>
              <w:rPr>
                <w:rFonts w:eastAsia="Calibri"/>
                <w:b/>
                <w:color w:val="000000" w:themeColor="text1"/>
              </w:rPr>
            </w:pPr>
          </w:p>
        </w:tc>
        <w:tc>
          <w:tcPr>
            <w:tcW w:w="1506" w:type="dxa"/>
          </w:tcPr>
          <w:p w14:paraId="5A706720" w14:textId="77777777" w:rsidR="004C3D75" w:rsidRPr="00C56257" w:rsidRDefault="004C3D75" w:rsidP="008E33FD">
            <w:pPr>
              <w:spacing w:line="259" w:lineRule="auto"/>
              <w:jc w:val="both"/>
              <w:rPr>
                <w:rFonts w:eastAsia="Calibri"/>
                <w:b/>
                <w:color w:val="000000" w:themeColor="text1"/>
              </w:rPr>
            </w:pPr>
          </w:p>
        </w:tc>
      </w:tr>
      <w:tr w:rsidR="004C3D75" w:rsidRPr="00C56257" w14:paraId="7CFFB3DA" w14:textId="77777777" w:rsidTr="004C3D75">
        <w:tc>
          <w:tcPr>
            <w:tcW w:w="1593" w:type="dxa"/>
          </w:tcPr>
          <w:p w14:paraId="67656A7C"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Staţia 1</w:t>
            </w:r>
          </w:p>
        </w:tc>
        <w:tc>
          <w:tcPr>
            <w:tcW w:w="1309" w:type="dxa"/>
          </w:tcPr>
          <w:p w14:paraId="38B30AD0" w14:textId="77777777" w:rsidR="004C3D75" w:rsidRPr="00C56257" w:rsidRDefault="004C3D75" w:rsidP="008E33FD">
            <w:pPr>
              <w:spacing w:line="259" w:lineRule="auto"/>
              <w:jc w:val="both"/>
              <w:rPr>
                <w:rFonts w:eastAsia="Calibri"/>
                <w:b/>
                <w:color w:val="000000" w:themeColor="text1"/>
              </w:rPr>
            </w:pPr>
          </w:p>
        </w:tc>
        <w:tc>
          <w:tcPr>
            <w:tcW w:w="1309" w:type="dxa"/>
          </w:tcPr>
          <w:p w14:paraId="47B29964" w14:textId="77777777" w:rsidR="004C3D75" w:rsidRPr="00C56257" w:rsidRDefault="004C3D75" w:rsidP="008E33FD">
            <w:pPr>
              <w:spacing w:line="259" w:lineRule="auto"/>
              <w:jc w:val="both"/>
              <w:rPr>
                <w:rFonts w:eastAsia="Calibri"/>
                <w:b/>
                <w:color w:val="000000" w:themeColor="text1"/>
              </w:rPr>
            </w:pPr>
          </w:p>
        </w:tc>
        <w:tc>
          <w:tcPr>
            <w:tcW w:w="1122" w:type="dxa"/>
            <w:gridSpan w:val="2"/>
          </w:tcPr>
          <w:p w14:paraId="29B36447" w14:textId="77777777" w:rsidR="004C3D75" w:rsidRPr="00C56257" w:rsidRDefault="004C3D75" w:rsidP="008E33FD">
            <w:pPr>
              <w:spacing w:line="259" w:lineRule="auto"/>
              <w:jc w:val="both"/>
              <w:rPr>
                <w:rFonts w:eastAsia="Calibri"/>
                <w:b/>
                <w:color w:val="000000" w:themeColor="text1"/>
              </w:rPr>
            </w:pPr>
          </w:p>
        </w:tc>
        <w:tc>
          <w:tcPr>
            <w:tcW w:w="1122" w:type="dxa"/>
          </w:tcPr>
          <w:p w14:paraId="621AAE30" w14:textId="77777777" w:rsidR="004C3D75" w:rsidRPr="00C56257" w:rsidRDefault="004C3D75" w:rsidP="008E33FD">
            <w:pPr>
              <w:spacing w:line="259" w:lineRule="auto"/>
              <w:jc w:val="both"/>
              <w:rPr>
                <w:rFonts w:eastAsia="Calibri"/>
                <w:b/>
                <w:color w:val="000000" w:themeColor="text1"/>
              </w:rPr>
            </w:pPr>
          </w:p>
        </w:tc>
        <w:tc>
          <w:tcPr>
            <w:tcW w:w="1309" w:type="dxa"/>
          </w:tcPr>
          <w:p w14:paraId="349962B2" w14:textId="77777777" w:rsidR="004C3D75" w:rsidRPr="00C56257" w:rsidRDefault="004C3D75" w:rsidP="008E33FD">
            <w:pPr>
              <w:spacing w:line="259" w:lineRule="auto"/>
              <w:jc w:val="both"/>
              <w:rPr>
                <w:rFonts w:eastAsia="Calibri"/>
                <w:b/>
                <w:color w:val="000000" w:themeColor="text1"/>
              </w:rPr>
            </w:pPr>
          </w:p>
        </w:tc>
        <w:tc>
          <w:tcPr>
            <w:tcW w:w="1506" w:type="dxa"/>
          </w:tcPr>
          <w:p w14:paraId="7B6C18C8" w14:textId="77777777" w:rsidR="004C3D75" w:rsidRPr="00C56257" w:rsidRDefault="004C3D75" w:rsidP="008E33FD">
            <w:pPr>
              <w:spacing w:line="259" w:lineRule="auto"/>
              <w:jc w:val="both"/>
              <w:rPr>
                <w:rFonts w:eastAsia="Calibri"/>
                <w:b/>
                <w:color w:val="000000" w:themeColor="text1"/>
              </w:rPr>
            </w:pPr>
          </w:p>
        </w:tc>
      </w:tr>
      <w:tr w:rsidR="004C3D75" w:rsidRPr="00C56257" w14:paraId="459D36AE" w14:textId="77777777" w:rsidTr="004C3D75">
        <w:tc>
          <w:tcPr>
            <w:tcW w:w="1593" w:type="dxa"/>
          </w:tcPr>
          <w:p w14:paraId="78A3B47E"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Staţia 2</w:t>
            </w:r>
          </w:p>
        </w:tc>
        <w:tc>
          <w:tcPr>
            <w:tcW w:w="1309" w:type="dxa"/>
          </w:tcPr>
          <w:p w14:paraId="3B50412E" w14:textId="77777777" w:rsidR="004C3D75" w:rsidRPr="00C56257" w:rsidRDefault="004C3D75" w:rsidP="008E33FD">
            <w:pPr>
              <w:spacing w:line="259" w:lineRule="auto"/>
              <w:jc w:val="both"/>
              <w:rPr>
                <w:rFonts w:eastAsia="Calibri"/>
                <w:b/>
                <w:color w:val="000000" w:themeColor="text1"/>
              </w:rPr>
            </w:pPr>
          </w:p>
        </w:tc>
        <w:tc>
          <w:tcPr>
            <w:tcW w:w="1309" w:type="dxa"/>
          </w:tcPr>
          <w:p w14:paraId="10E161D9" w14:textId="77777777" w:rsidR="004C3D75" w:rsidRPr="00C56257" w:rsidRDefault="004C3D75" w:rsidP="008E33FD">
            <w:pPr>
              <w:spacing w:line="259" w:lineRule="auto"/>
              <w:jc w:val="both"/>
              <w:rPr>
                <w:rFonts w:eastAsia="Calibri"/>
                <w:b/>
                <w:color w:val="000000" w:themeColor="text1"/>
              </w:rPr>
            </w:pPr>
          </w:p>
        </w:tc>
        <w:tc>
          <w:tcPr>
            <w:tcW w:w="1122" w:type="dxa"/>
            <w:gridSpan w:val="2"/>
          </w:tcPr>
          <w:p w14:paraId="31737708" w14:textId="77777777" w:rsidR="004C3D75" w:rsidRPr="00C56257" w:rsidRDefault="004C3D75" w:rsidP="008E33FD">
            <w:pPr>
              <w:spacing w:line="259" w:lineRule="auto"/>
              <w:jc w:val="both"/>
              <w:rPr>
                <w:rFonts w:eastAsia="Calibri"/>
                <w:b/>
                <w:color w:val="000000" w:themeColor="text1"/>
              </w:rPr>
            </w:pPr>
          </w:p>
        </w:tc>
        <w:tc>
          <w:tcPr>
            <w:tcW w:w="1122" w:type="dxa"/>
          </w:tcPr>
          <w:p w14:paraId="35AA4666" w14:textId="77777777" w:rsidR="004C3D75" w:rsidRPr="00C56257" w:rsidRDefault="004C3D75" w:rsidP="008E33FD">
            <w:pPr>
              <w:spacing w:line="259" w:lineRule="auto"/>
              <w:jc w:val="both"/>
              <w:rPr>
                <w:rFonts w:eastAsia="Calibri"/>
                <w:b/>
                <w:color w:val="000000" w:themeColor="text1"/>
              </w:rPr>
            </w:pPr>
          </w:p>
        </w:tc>
        <w:tc>
          <w:tcPr>
            <w:tcW w:w="1309" w:type="dxa"/>
          </w:tcPr>
          <w:p w14:paraId="605B7E63" w14:textId="77777777" w:rsidR="004C3D75" w:rsidRPr="00C56257" w:rsidRDefault="004C3D75" w:rsidP="008E33FD">
            <w:pPr>
              <w:spacing w:line="259" w:lineRule="auto"/>
              <w:jc w:val="both"/>
              <w:rPr>
                <w:rFonts w:eastAsia="Calibri"/>
                <w:b/>
                <w:color w:val="000000" w:themeColor="text1"/>
              </w:rPr>
            </w:pPr>
          </w:p>
        </w:tc>
        <w:tc>
          <w:tcPr>
            <w:tcW w:w="1506" w:type="dxa"/>
          </w:tcPr>
          <w:p w14:paraId="310C72CF" w14:textId="77777777" w:rsidR="004C3D75" w:rsidRPr="00C56257" w:rsidRDefault="004C3D75" w:rsidP="008E33FD">
            <w:pPr>
              <w:spacing w:line="259" w:lineRule="auto"/>
              <w:jc w:val="both"/>
              <w:rPr>
                <w:rFonts w:eastAsia="Calibri"/>
                <w:b/>
                <w:color w:val="000000" w:themeColor="text1"/>
              </w:rPr>
            </w:pPr>
          </w:p>
        </w:tc>
      </w:tr>
      <w:tr w:rsidR="004C3D75" w:rsidRPr="00C56257" w14:paraId="236EA123" w14:textId="77777777" w:rsidTr="004C3D75">
        <w:tc>
          <w:tcPr>
            <w:tcW w:w="1593" w:type="dxa"/>
          </w:tcPr>
          <w:p w14:paraId="3B4795FD"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Staţia 3</w:t>
            </w:r>
          </w:p>
        </w:tc>
        <w:tc>
          <w:tcPr>
            <w:tcW w:w="1309" w:type="dxa"/>
          </w:tcPr>
          <w:p w14:paraId="4451F083" w14:textId="77777777" w:rsidR="004C3D75" w:rsidRPr="00C56257" w:rsidRDefault="004C3D75" w:rsidP="008E33FD">
            <w:pPr>
              <w:spacing w:line="259" w:lineRule="auto"/>
              <w:jc w:val="both"/>
              <w:rPr>
                <w:rFonts w:eastAsia="Calibri"/>
                <w:b/>
                <w:color w:val="000000" w:themeColor="text1"/>
              </w:rPr>
            </w:pPr>
          </w:p>
        </w:tc>
        <w:tc>
          <w:tcPr>
            <w:tcW w:w="1309" w:type="dxa"/>
          </w:tcPr>
          <w:p w14:paraId="1684B71F" w14:textId="77777777" w:rsidR="004C3D75" w:rsidRPr="00C56257" w:rsidRDefault="004C3D75" w:rsidP="008E33FD">
            <w:pPr>
              <w:spacing w:line="259" w:lineRule="auto"/>
              <w:jc w:val="both"/>
              <w:rPr>
                <w:rFonts w:eastAsia="Calibri"/>
                <w:b/>
                <w:color w:val="000000" w:themeColor="text1"/>
              </w:rPr>
            </w:pPr>
          </w:p>
        </w:tc>
        <w:tc>
          <w:tcPr>
            <w:tcW w:w="1122" w:type="dxa"/>
            <w:gridSpan w:val="2"/>
          </w:tcPr>
          <w:p w14:paraId="7C71D874" w14:textId="77777777" w:rsidR="004C3D75" w:rsidRPr="00C56257" w:rsidRDefault="004C3D75" w:rsidP="008E33FD">
            <w:pPr>
              <w:spacing w:line="259" w:lineRule="auto"/>
              <w:jc w:val="both"/>
              <w:rPr>
                <w:rFonts w:eastAsia="Calibri"/>
                <w:b/>
                <w:color w:val="000000" w:themeColor="text1"/>
              </w:rPr>
            </w:pPr>
          </w:p>
        </w:tc>
        <w:tc>
          <w:tcPr>
            <w:tcW w:w="1122" w:type="dxa"/>
          </w:tcPr>
          <w:p w14:paraId="3689E32F" w14:textId="77777777" w:rsidR="004C3D75" w:rsidRPr="00C56257" w:rsidRDefault="004C3D75" w:rsidP="008E33FD">
            <w:pPr>
              <w:spacing w:line="259" w:lineRule="auto"/>
              <w:jc w:val="both"/>
              <w:rPr>
                <w:rFonts w:eastAsia="Calibri"/>
                <w:b/>
                <w:color w:val="000000" w:themeColor="text1"/>
              </w:rPr>
            </w:pPr>
          </w:p>
        </w:tc>
        <w:tc>
          <w:tcPr>
            <w:tcW w:w="1309" w:type="dxa"/>
          </w:tcPr>
          <w:p w14:paraId="62DD6474" w14:textId="77777777" w:rsidR="004C3D75" w:rsidRPr="00C56257" w:rsidRDefault="004C3D75" w:rsidP="008E33FD">
            <w:pPr>
              <w:spacing w:line="259" w:lineRule="auto"/>
              <w:jc w:val="both"/>
              <w:rPr>
                <w:rFonts w:eastAsia="Calibri"/>
                <w:b/>
                <w:color w:val="000000" w:themeColor="text1"/>
              </w:rPr>
            </w:pPr>
          </w:p>
        </w:tc>
        <w:tc>
          <w:tcPr>
            <w:tcW w:w="1506" w:type="dxa"/>
          </w:tcPr>
          <w:p w14:paraId="6263A2EF" w14:textId="77777777" w:rsidR="004C3D75" w:rsidRPr="00C56257" w:rsidRDefault="004C3D75" w:rsidP="008E33FD">
            <w:pPr>
              <w:spacing w:line="259" w:lineRule="auto"/>
              <w:jc w:val="both"/>
              <w:rPr>
                <w:rFonts w:eastAsia="Calibri"/>
                <w:b/>
                <w:color w:val="000000" w:themeColor="text1"/>
              </w:rPr>
            </w:pPr>
          </w:p>
        </w:tc>
      </w:tr>
      <w:tr w:rsidR="004C3D75" w:rsidRPr="00C56257" w14:paraId="557ABE83" w14:textId="77777777" w:rsidTr="004C3D75">
        <w:tc>
          <w:tcPr>
            <w:tcW w:w="1593" w:type="dxa"/>
          </w:tcPr>
          <w:p w14:paraId="66288E49"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Staţia 4</w:t>
            </w:r>
          </w:p>
        </w:tc>
        <w:tc>
          <w:tcPr>
            <w:tcW w:w="1309" w:type="dxa"/>
          </w:tcPr>
          <w:p w14:paraId="3CE766CE" w14:textId="77777777" w:rsidR="004C3D75" w:rsidRPr="00C56257" w:rsidRDefault="004C3D75" w:rsidP="008E33FD">
            <w:pPr>
              <w:spacing w:line="259" w:lineRule="auto"/>
              <w:jc w:val="both"/>
              <w:rPr>
                <w:rFonts w:eastAsia="Calibri"/>
                <w:b/>
                <w:color w:val="000000" w:themeColor="text1"/>
              </w:rPr>
            </w:pPr>
          </w:p>
        </w:tc>
        <w:tc>
          <w:tcPr>
            <w:tcW w:w="1309" w:type="dxa"/>
          </w:tcPr>
          <w:p w14:paraId="145FAFFA" w14:textId="77777777" w:rsidR="004C3D75" w:rsidRPr="00C56257" w:rsidRDefault="004C3D75" w:rsidP="008E33FD">
            <w:pPr>
              <w:spacing w:line="259" w:lineRule="auto"/>
              <w:jc w:val="both"/>
              <w:rPr>
                <w:rFonts w:eastAsia="Calibri"/>
                <w:b/>
                <w:color w:val="000000" w:themeColor="text1"/>
              </w:rPr>
            </w:pPr>
          </w:p>
        </w:tc>
        <w:tc>
          <w:tcPr>
            <w:tcW w:w="1122" w:type="dxa"/>
            <w:gridSpan w:val="2"/>
          </w:tcPr>
          <w:p w14:paraId="35EEB3B5" w14:textId="77777777" w:rsidR="004C3D75" w:rsidRPr="00C56257" w:rsidRDefault="004C3D75" w:rsidP="008E33FD">
            <w:pPr>
              <w:spacing w:line="259" w:lineRule="auto"/>
              <w:jc w:val="both"/>
              <w:rPr>
                <w:rFonts w:eastAsia="Calibri"/>
                <w:b/>
                <w:color w:val="000000" w:themeColor="text1"/>
              </w:rPr>
            </w:pPr>
          </w:p>
        </w:tc>
        <w:tc>
          <w:tcPr>
            <w:tcW w:w="1122" w:type="dxa"/>
          </w:tcPr>
          <w:p w14:paraId="2170EED6" w14:textId="77777777" w:rsidR="004C3D75" w:rsidRPr="00C56257" w:rsidRDefault="004C3D75" w:rsidP="008E33FD">
            <w:pPr>
              <w:spacing w:line="259" w:lineRule="auto"/>
              <w:jc w:val="both"/>
              <w:rPr>
                <w:rFonts w:eastAsia="Calibri"/>
                <w:b/>
                <w:color w:val="000000" w:themeColor="text1"/>
              </w:rPr>
            </w:pPr>
          </w:p>
        </w:tc>
        <w:tc>
          <w:tcPr>
            <w:tcW w:w="1309" w:type="dxa"/>
          </w:tcPr>
          <w:p w14:paraId="0487578B" w14:textId="77777777" w:rsidR="004C3D75" w:rsidRPr="00C56257" w:rsidRDefault="004C3D75" w:rsidP="008E33FD">
            <w:pPr>
              <w:spacing w:line="259" w:lineRule="auto"/>
              <w:jc w:val="both"/>
              <w:rPr>
                <w:rFonts w:eastAsia="Calibri"/>
                <w:b/>
                <w:color w:val="000000" w:themeColor="text1"/>
              </w:rPr>
            </w:pPr>
          </w:p>
        </w:tc>
        <w:tc>
          <w:tcPr>
            <w:tcW w:w="1506" w:type="dxa"/>
          </w:tcPr>
          <w:p w14:paraId="57363421" w14:textId="77777777" w:rsidR="004C3D75" w:rsidRPr="00C56257" w:rsidRDefault="004C3D75" w:rsidP="008E33FD">
            <w:pPr>
              <w:spacing w:line="259" w:lineRule="auto"/>
              <w:jc w:val="both"/>
              <w:rPr>
                <w:rFonts w:eastAsia="Calibri"/>
                <w:b/>
                <w:color w:val="000000" w:themeColor="text1"/>
              </w:rPr>
            </w:pPr>
          </w:p>
        </w:tc>
      </w:tr>
      <w:tr w:rsidR="004C3D75" w:rsidRPr="00C56257" w14:paraId="28622921" w14:textId="77777777" w:rsidTr="004C3D75">
        <w:tc>
          <w:tcPr>
            <w:tcW w:w="1593" w:type="dxa"/>
          </w:tcPr>
          <w:p w14:paraId="60EB9057"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Staţia 5</w:t>
            </w:r>
          </w:p>
        </w:tc>
        <w:tc>
          <w:tcPr>
            <w:tcW w:w="1309" w:type="dxa"/>
          </w:tcPr>
          <w:p w14:paraId="480D30E6" w14:textId="77777777" w:rsidR="004C3D75" w:rsidRPr="00C56257" w:rsidRDefault="004C3D75" w:rsidP="008E33FD">
            <w:pPr>
              <w:spacing w:line="259" w:lineRule="auto"/>
              <w:jc w:val="both"/>
              <w:rPr>
                <w:rFonts w:eastAsia="Calibri"/>
                <w:b/>
                <w:color w:val="000000" w:themeColor="text1"/>
              </w:rPr>
            </w:pPr>
          </w:p>
        </w:tc>
        <w:tc>
          <w:tcPr>
            <w:tcW w:w="1309" w:type="dxa"/>
          </w:tcPr>
          <w:p w14:paraId="3D19B27C" w14:textId="77777777" w:rsidR="004C3D75" w:rsidRPr="00C56257" w:rsidRDefault="004C3D75" w:rsidP="008E33FD">
            <w:pPr>
              <w:spacing w:line="259" w:lineRule="auto"/>
              <w:jc w:val="both"/>
              <w:rPr>
                <w:rFonts w:eastAsia="Calibri"/>
                <w:b/>
                <w:color w:val="000000" w:themeColor="text1"/>
              </w:rPr>
            </w:pPr>
          </w:p>
        </w:tc>
        <w:tc>
          <w:tcPr>
            <w:tcW w:w="1122" w:type="dxa"/>
            <w:gridSpan w:val="2"/>
          </w:tcPr>
          <w:p w14:paraId="1DE10B1A" w14:textId="77777777" w:rsidR="004C3D75" w:rsidRPr="00C56257" w:rsidRDefault="004C3D75" w:rsidP="008E33FD">
            <w:pPr>
              <w:spacing w:line="259" w:lineRule="auto"/>
              <w:jc w:val="both"/>
              <w:rPr>
                <w:rFonts w:eastAsia="Calibri"/>
                <w:b/>
                <w:color w:val="000000" w:themeColor="text1"/>
              </w:rPr>
            </w:pPr>
          </w:p>
        </w:tc>
        <w:tc>
          <w:tcPr>
            <w:tcW w:w="1122" w:type="dxa"/>
          </w:tcPr>
          <w:p w14:paraId="5D73A5EE" w14:textId="77777777" w:rsidR="004C3D75" w:rsidRPr="00C56257" w:rsidRDefault="004C3D75" w:rsidP="008E33FD">
            <w:pPr>
              <w:spacing w:line="259" w:lineRule="auto"/>
              <w:jc w:val="both"/>
              <w:rPr>
                <w:rFonts w:eastAsia="Calibri"/>
                <w:b/>
                <w:color w:val="000000" w:themeColor="text1"/>
              </w:rPr>
            </w:pPr>
          </w:p>
        </w:tc>
        <w:tc>
          <w:tcPr>
            <w:tcW w:w="1309" w:type="dxa"/>
          </w:tcPr>
          <w:p w14:paraId="38B19239" w14:textId="77777777" w:rsidR="004C3D75" w:rsidRPr="00C56257" w:rsidRDefault="004C3D75" w:rsidP="008E33FD">
            <w:pPr>
              <w:spacing w:line="259" w:lineRule="auto"/>
              <w:jc w:val="both"/>
              <w:rPr>
                <w:rFonts w:eastAsia="Calibri"/>
                <w:b/>
                <w:color w:val="000000" w:themeColor="text1"/>
              </w:rPr>
            </w:pPr>
          </w:p>
        </w:tc>
        <w:tc>
          <w:tcPr>
            <w:tcW w:w="1506" w:type="dxa"/>
          </w:tcPr>
          <w:p w14:paraId="0F436ABA" w14:textId="77777777" w:rsidR="004C3D75" w:rsidRPr="00C56257" w:rsidRDefault="004C3D75" w:rsidP="008E33FD">
            <w:pPr>
              <w:spacing w:line="259" w:lineRule="auto"/>
              <w:jc w:val="both"/>
              <w:rPr>
                <w:rFonts w:eastAsia="Calibri"/>
                <w:b/>
                <w:color w:val="000000" w:themeColor="text1"/>
              </w:rPr>
            </w:pPr>
          </w:p>
        </w:tc>
      </w:tr>
      <w:tr w:rsidR="004C3D75" w:rsidRPr="00C56257" w14:paraId="5BEB92A9" w14:textId="77777777" w:rsidTr="004C3D75">
        <w:tc>
          <w:tcPr>
            <w:tcW w:w="1593" w:type="dxa"/>
          </w:tcPr>
          <w:p w14:paraId="58D09C5F"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Staţia 6</w:t>
            </w:r>
          </w:p>
        </w:tc>
        <w:tc>
          <w:tcPr>
            <w:tcW w:w="1309" w:type="dxa"/>
          </w:tcPr>
          <w:p w14:paraId="560BC9FE" w14:textId="77777777" w:rsidR="004C3D75" w:rsidRPr="00C56257" w:rsidRDefault="004C3D75" w:rsidP="008E33FD">
            <w:pPr>
              <w:spacing w:line="259" w:lineRule="auto"/>
              <w:jc w:val="both"/>
              <w:rPr>
                <w:rFonts w:eastAsia="Calibri"/>
                <w:b/>
                <w:color w:val="000000" w:themeColor="text1"/>
              </w:rPr>
            </w:pPr>
          </w:p>
        </w:tc>
        <w:tc>
          <w:tcPr>
            <w:tcW w:w="1309" w:type="dxa"/>
          </w:tcPr>
          <w:p w14:paraId="1D50FB2E" w14:textId="77777777" w:rsidR="004C3D75" w:rsidRPr="00C56257" w:rsidRDefault="004C3D75" w:rsidP="008E33FD">
            <w:pPr>
              <w:spacing w:line="259" w:lineRule="auto"/>
              <w:jc w:val="both"/>
              <w:rPr>
                <w:rFonts w:eastAsia="Calibri"/>
                <w:b/>
                <w:color w:val="000000" w:themeColor="text1"/>
              </w:rPr>
            </w:pPr>
          </w:p>
        </w:tc>
        <w:tc>
          <w:tcPr>
            <w:tcW w:w="1122" w:type="dxa"/>
            <w:gridSpan w:val="2"/>
          </w:tcPr>
          <w:p w14:paraId="46C0C863" w14:textId="77777777" w:rsidR="004C3D75" w:rsidRPr="00C56257" w:rsidRDefault="004C3D75" w:rsidP="008E33FD">
            <w:pPr>
              <w:spacing w:line="259" w:lineRule="auto"/>
              <w:jc w:val="both"/>
              <w:rPr>
                <w:rFonts w:eastAsia="Calibri"/>
                <w:b/>
                <w:color w:val="000000" w:themeColor="text1"/>
              </w:rPr>
            </w:pPr>
          </w:p>
        </w:tc>
        <w:tc>
          <w:tcPr>
            <w:tcW w:w="1122" w:type="dxa"/>
          </w:tcPr>
          <w:p w14:paraId="6CD44C0A" w14:textId="77777777" w:rsidR="004C3D75" w:rsidRPr="00C56257" w:rsidRDefault="004C3D75" w:rsidP="008E33FD">
            <w:pPr>
              <w:spacing w:line="259" w:lineRule="auto"/>
              <w:jc w:val="both"/>
              <w:rPr>
                <w:rFonts w:eastAsia="Calibri"/>
                <w:b/>
                <w:color w:val="000000" w:themeColor="text1"/>
              </w:rPr>
            </w:pPr>
          </w:p>
        </w:tc>
        <w:tc>
          <w:tcPr>
            <w:tcW w:w="1309" w:type="dxa"/>
          </w:tcPr>
          <w:p w14:paraId="2775FFD0" w14:textId="77777777" w:rsidR="004C3D75" w:rsidRPr="00C56257" w:rsidRDefault="004C3D75" w:rsidP="008E33FD">
            <w:pPr>
              <w:spacing w:line="259" w:lineRule="auto"/>
              <w:jc w:val="both"/>
              <w:rPr>
                <w:rFonts w:eastAsia="Calibri"/>
                <w:b/>
                <w:color w:val="000000" w:themeColor="text1"/>
              </w:rPr>
            </w:pPr>
          </w:p>
        </w:tc>
        <w:tc>
          <w:tcPr>
            <w:tcW w:w="1506" w:type="dxa"/>
          </w:tcPr>
          <w:p w14:paraId="74E3A2DB" w14:textId="77777777" w:rsidR="004C3D75" w:rsidRPr="00C56257" w:rsidRDefault="004C3D75" w:rsidP="008E33FD">
            <w:pPr>
              <w:spacing w:line="259" w:lineRule="auto"/>
              <w:jc w:val="both"/>
              <w:rPr>
                <w:rFonts w:eastAsia="Calibri"/>
                <w:b/>
                <w:color w:val="000000" w:themeColor="text1"/>
              </w:rPr>
            </w:pPr>
          </w:p>
        </w:tc>
      </w:tr>
    </w:tbl>
    <w:p w14:paraId="776634D5" w14:textId="77777777" w:rsidR="004C3D75" w:rsidRPr="00C56257" w:rsidRDefault="004C3D75" w:rsidP="008E33FD">
      <w:pPr>
        <w:spacing w:line="276" w:lineRule="auto"/>
        <w:jc w:val="both"/>
        <w:rPr>
          <w:rFonts w:eastAsia="Calibri"/>
          <w:color w:val="000000" w:themeColor="text1"/>
        </w:rPr>
      </w:pPr>
    </w:p>
    <w:p w14:paraId="2705CE9C" w14:textId="77777777" w:rsidR="004C3D75" w:rsidRPr="00C56257" w:rsidRDefault="004C3D75" w:rsidP="008E33FD">
      <w:pPr>
        <w:spacing w:line="276" w:lineRule="auto"/>
        <w:ind w:left="1871" w:hanging="1871"/>
        <w:jc w:val="both"/>
        <w:rPr>
          <w:rFonts w:eastAsia="Calibri"/>
          <w:color w:val="000000" w:themeColor="text1"/>
        </w:rPr>
      </w:pPr>
      <w:r w:rsidRPr="00C56257">
        <w:rPr>
          <w:rFonts w:eastAsia="Calibri"/>
          <w:b/>
          <w:i/>
          <w:color w:val="000000" w:themeColor="text1"/>
        </w:rPr>
        <w:t>Staţie exterioară</w:t>
      </w:r>
      <w:r w:rsidRPr="00C56257">
        <w:rPr>
          <w:rFonts w:eastAsia="Calibri"/>
          <w:b/>
          <w:color w:val="000000" w:themeColor="text1"/>
        </w:rPr>
        <w:t>:</w:t>
      </w:r>
      <w:r w:rsidRPr="00C56257">
        <w:rPr>
          <w:rFonts w:eastAsia="Calibri"/>
          <w:color w:val="000000" w:themeColor="text1"/>
        </w:rPr>
        <w:tab/>
        <w:t>– staţie fixă, în proximitatea intrării, marcată şi cu localizare descrisă în planul de monitorizare (pentru a fi cunoscută de întreaga echipă);</w:t>
      </w:r>
    </w:p>
    <w:p w14:paraId="24D3FAA2" w14:textId="77777777" w:rsidR="004C3D75" w:rsidRPr="00C56257" w:rsidRDefault="004C3D75" w:rsidP="008E33FD">
      <w:pPr>
        <w:spacing w:line="276" w:lineRule="auto"/>
        <w:ind w:left="1875"/>
        <w:jc w:val="both"/>
        <w:rPr>
          <w:rFonts w:eastAsia="Calibri"/>
          <w:color w:val="000000" w:themeColor="text1"/>
        </w:rPr>
      </w:pPr>
      <w:r w:rsidRPr="00C56257">
        <w:rPr>
          <w:rFonts w:eastAsia="Calibri"/>
          <w:color w:val="000000" w:themeColor="text1"/>
        </w:rPr>
        <w:t>– înregistrările se vor face, dacă este posibil la 1,5 m faţă de sol şi versant (abrupt), în locuri umbrite şi cât mai puţin ecranate de vegetaţie (arboret).</w:t>
      </w:r>
    </w:p>
    <w:p w14:paraId="7342E906" w14:textId="77777777" w:rsidR="004C3D75" w:rsidRPr="00C56257" w:rsidRDefault="004C3D75" w:rsidP="008E33FD">
      <w:pPr>
        <w:spacing w:line="276" w:lineRule="auto"/>
        <w:ind w:left="1871" w:hanging="1871"/>
        <w:jc w:val="both"/>
        <w:rPr>
          <w:rFonts w:eastAsia="Calibri"/>
          <w:color w:val="000000" w:themeColor="text1"/>
        </w:rPr>
      </w:pPr>
      <w:r w:rsidRPr="00C56257">
        <w:rPr>
          <w:rFonts w:eastAsia="Calibri"/>
          <w:b/>
          <w:i/>
          <w:color w:val="000000" w:themeColor="text1"/>
        </w:rPr>
        <w:t>Staţie intrare:</w:t>
      </w:r>
      <w:r w:rsidRPr="00C56257">
        <w:rPr>
          <w:rFonts w:eastAsia="Calibri"/>
          <w:color w:val="000000" w:themeColor="text1"/>
        </w:rPr>
        <w:tab/>
        <w:t>– staţie în secţiunea intării principale sau frecventată de lilieci pentru acces în adăpost;</w:t>
      </w:r>
    </w:p>
    <w:p w14:paraId="68F272A7" w14:textId="77777777" w:rsidR="004C3D75" w:rsidRPr="00C56257" w:rsidRDefault="004C3D75" w:rsidP="008E33FD">
      <w:pPr>
        <w:spacing w:line="276" w:lineRule="auto"/>
        <w:ind w:left="1875"/>
        <w:jc w:val="both"/>
        <w:rPr>
          <w:rFonts w:eastAsia="Calibri"/>
          <w:color w:val="000000" w:themeColor="text1"/>
        </w:rPr>
      </w:pPr>
      <w:r w:rsidRPr="00C56257">
        <w:rPr>
          <w:rFonts w:eastAsia="Calibri"/>
          <w:color w:val="000000" w:themeColor="text1"/>
        </w:rPr>
        <w:t>– localizată prin GPS şi (după caz) metode auxiliare;</w:t>
      </w:r>
    </w:p>
    <w:p w14:paraId="38256B07" w14:textId="77777777" w:rsidR="004C3D75" w:rsidRPr="00C56257" w:rsidRDefault="004C3D75" w:rsidP="008E33FD">
      <w:pPr>
        <w:spacing w:line="276" w:lineRule="auto"/>
        <w:ind w:left="1875"/>
        <w:jc w:val="both"/>
        <w:rPr>
          <w:rFonts w:eastAsia="Calibri"/>
          <w:color w:val="000000" w:themeColor="text1"/>
        </w:rPr>
      </w:pPr>
      <w:r w:rsidRPr="00C56257">
        <w:rPr>
          <w:rFonts w:eastAsia="Calibri"/>
          <w:color w:val="000000" w:themeColor="text1"/>
        </w:rPr>
        <w:t>– înregistrările (</w:t>
      </w:r>
      <w:r w:rsidRPr="00C56257">
        <w:rPr>
          <w:rFonts w:eastAsia="Calibri"/>
          <w:b/>
          <w:i/>
          <w:color w:val="000000" w:themeColor="text1"/>
        </w:rPr>
        <w:t>T, UR</w:t>
      </w:r>
      <w:r w:rsidRPr="00C56257">
        <w:rPr>
          <w:rFonts w:eastAsia="Calibri"/>
          <w:color w:val="000000" w:themeColor="text1"/>
        </w:rPr>
        <w:t xml:space="preserve"> şi </w:t>
      </w:r>
      <w:r w:rsidRPr="00C56257">
        <w:rPr>
          <w:rFonts w:eastAsia="Calibri"/>
          <w:b/>
          <w:i/>
          <w:color w:val="000000" w:themeColor="text1"/>
        </w:rPr>
        <w:t>V</w:t>
      </w:r>
      <w:r w:rsidRPr="00C56257">
        <w:rPr>
          <w:rFonts w:eastAsia="Calibri"/>
          <w:color w:val="000000" w:themeColor="text1"/>
        </w:rPr>
        <w:t>) se vor face la 1 m de sol sau în centru secţiunii (secţiuni joase).</w:t>
      </w:r>
    </w:p>
    <w:p w14:paraId="0E87B6C6" w14:textId="77777777" w:rsidR="004C3D75" w:rsidRPr="00C56257" w:rsidRDefault="004C3D75" w:rsidP="008E33FD">
      <w:pPr>
        <w:spacing w:line="276" w:lineRule="auto"/>
        <w:ind w:left="1871" w:hanging="1871"/>
        <w:jc w:val="both"/>
        <w:rPr>
          <w:rFonts w:eastAsia="Calibri"/>
          <w:color w:val="000000" w:themeColor="text1"/>
        </w:rPr>
      </w:pPr>
      <w:r w:rsidRPr="00C56257">
        <w:rPr>
          <w:rFonts w:eastAsia="Calibri"/>
          <w:b/>
          <w:i/>
          <w:color w:val="000000" w:themeColor="text1"/>
        </w:rPr>
        <w:t>Staţie subterană:</w:t>
      </w:r>
      <w:r w:rsidRPr="00C56257">
        <w:rPr>
          <w:rFonts w:eastAsia="Calibri"/>
          <w:color w:val="000000" w:themeColor="text1"/>
        </w:rPr>
        <w:tab/>
        <w:t>– locul staţiei, numărul şi distanţa dintre staţii de stabilesc în funcţie de dezvoltarea, denivelarea, configuraţia spaţială a peşterii şi locurile frecventate de lilieci;</w:t>
      </w:r>
    </w:p>
    <w:p w14:paraId="077B8B7F" w14:textId="77777777" w:rsidR="004C3D75" w:rsidRPr="00C56257" w:rsidRDefault="004C3D75" w:rsidP="008E33FD">
      <w:pPr>
        <w:spacing w:line="276" w:lineRule="auto"/>
        <w:ind w:left="1871" w:hanging="1871"/>
        <w:jc w:val="both"/>
        <w:rPr>
          <w:rFonts w:eastAsia="Calibri"/>
          <w:color w:val="000000" w:themeColor="text1"/>
        </w:rPr>
      </w:pPr>
      <w:r w:rsidRPr="00C56257">
        <w:rPr>
          <w:rFonts w:eastAsia="Calibri"/>
          <w:color w:val="000000" w:themeColor="text1"/>
        </w:rPr>
        <w:tab/>
        <w:t>– staţia se localizează pe planul peşterii;</w:t>
      </w:r>
    </w:p>
    <w:p w14:paraId="29A33824" w14:textId="77777777" w:rsidR="004C3D75" w:rsidRPr="00C56257" w:rsidRDefault="004C3D75" w:rsidP="008E33FD">
      <w:pPr>
        <w:spacing w:line="276" w:lineRule="auto"/>
        <w:ind w:left="1875"/>
        <w:jc w:val="both"/>
        <w:rPr>
          <w:rFonts w:eastAsia="Calibri"/>
          <w:color w:val="000000" w:themeColor="text1"/>
        </w:rPr>
      </w:pPr>
      <w:r w:rsidRPr="00C56257">
        <w:rPr>
          <w:rFonts w:eastAsia="Calibri"/>
          <w:color w:val="000000" w:themeColor="text1"/>
        </w:rPr>
        <w:t>– înregistrările (</w:t>
      </w:r>
      <w:r w:rsidRPr="00C56257">
        <w:rPr>
          <w:rFonts w:eastAsia="Calibri"/>
          <w:b/>
          <w:i/>
          <w:color w:val="000000" w:themeColor="text1"/>
        </w:rPr>
        <w:t>T, UR</w:t>
      </w:r>
      <w:r w:rsidRPr="00C56257">
        <w:rPr>
          <w:rFonts w:eastAsia="Calibri"/>
          <w:color w:val="000000" w:themeColor="text1"/>
        </w:rPr>
        <w:t xml:space="preserve"> şi </w:t>
      </w:r>
      <w:r w:rsidRPr="00C56257">
        <w:rPr>
          <w:rFonts w:eastAsia="Calibri"/>
          <w:b/>
          <w:i/>
          <w:color w:val="000000" w:themeColor="text1"/>
        </w:rPr>
        <w:t>V</w:t>
      </w:r>
      <w:r w:rsidRPr="00C56257">
        <w:rPr>
          <w:rFonts w:eastAsia="Calibri"/>
          <w:color w:val="000000" w:themeColor="text1"/>
        </w:rPr>
        <w:t>) se vor face la 1 m de sol sau în centru secţiunii (secţiuni joase); alte observaţii se vor face în secţiunea şi proximitatea staţiei.</w:t>
      </w:r>
    </w:p>
    <w:p w14:paraId="75AD8EF9" w14:textId="77777777" w:rsidR="004C3D75" w:rsidRPr="00C56257" w:rsidRDefault="004C3D75" w:rsidP="008E33FD">
      <w:pPr>
        <w:spacing w:line="276" w:lineRule="auto"/>
        <w:ind w:left="1871" w:hanging="1871"/>
        <w:jc w:val="both"/>
        <w:rPr>
          <w:rFonts w:eastAsia="Calibri"/>
          <w:color w:val="000000" w:themeColor="text1"/>
        </w:rPr>
      </w:pPr>
      <w:r w:rsidRPr="00C56257">
        <w:rPr>
          <w:rFonts w:eastAsia="Calibri"/>
          <w:b/>
          <w:i/>
          <w:color w:val="000000" w:themeColor="text1"/>
        </w:rPr>
        <w:t>Zona meroclimatică</w:t>
      </w:r>
      <w:r w:rsidRPr="00C56257">
        <w:rPr>
          <w:rFonts w:eastAsia="Calibri"/>
          <w:color w:val="000000" w:themeColor="text1"/>
        </w:rPr>
        <w:t xml:space="preserve"> – staţiile subterane se încadrează în următoarele zone meroclimatice: diferenţiate prin simboluri:</w:t>
      </w:r>
    </w:p>
    <w:p w14:paraId="1E52D4C1"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Ve</w:t>
      </w:r>
      <w:r w:rsidRPr="00C56257">
        <w:rPr>
          <w:rFonts w:eastAsia="Calibri"/>
          <w:color w:val="000000" w:themeColor="text1"/>
        </w:rPr>
        <w:t xml:space="preserve"> – zonă vestibulară;</w:t>
      </w:r>
    </w:p>
    <w:p w14:paraId="6AB8B1F9"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St</w:t>
      </w:r>
      <w:r w:rsidRPr="00C56257">
        <w:rPr>
          <w:rFonts w:eastAsia="Calibri"/>
          <w:color w:val="000000" w:themeColor="text1"/>
        </w:rPr>
        <w:t xml:space="preserve"> – zonă de stabilitate;</w:t>
      </w:r>
    </w:p>
    <w:p w14:paraId="4A9090B2"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Pe</w:t>
      </w:r>
      <w:r w:rsidRPr="00C56257">
        <w:rPr>
          <w:rFonts w:eastAsia="Calibri"/>
          <w:color w:val="000000" w:themeColor="text1"/>
        </w:rPr>
        <w:t xml:space="preserve"> – zonă perturbată (cursuri de apă, ventilaţie secundară prin fisuri, fermentaţie guano etc.).</w:t>
      </w:r>
    </w:p>
    <w:p w14:paraId="270BE471" w14:textId="77777777" w:rsidR="004C3D75" w:rsidRPr="00C56257" w:rsidRDefault="004C3D75" w:rsidP="008E33FD">
      <w:pPr>
        <w:spacing w:line="276" w:lineRule="auto"/>
        <w:ind w:left="1871" w:hanging="1871"/>
        <w:jc w:val="both"/>
        <w:rPr>
          <w:rFonts w:eastAsia="Calibri"/>
          <w:color w:val="000000" w:themeColor="text1"/>
        </w:rPr>
      </w:pPr>
      <w:r w:rsidRPr="00C56257">
        <w:rPr>
          <w:rFonts w:eastAsia="Calibri"/>
          <w:b/>
          <w:i/>
          <w:color w:val="000000" w:themeColor="text1"/>
        </w:rPr>
        <w:t>Temperatură aer</w:t>
      </w:r>
      <w:r w:rsidRPr="00C56257">
        <w:rPr>
          <w:rFonts w:eastAsia="Calibri"/>
          <w:b/>
          <w:i/>
          <w:color w:val="000000" w:themeColor="text1"/>
        </w:rPr>
        <w:tab/>
      </w:r>
      <w:r w:rsidRPr="00C56257">
        <w:rPr>
          <w:rFonts w:eastAsia="Calibri"/>
          <w:color w:val="000000" w:themeColor="text1"/>
        </w:rPr>
        <w:t>– vezi procedură înregistrare.</w:t>
      </w:r>
    </w:p>
    <w:p w14:paraId="0E478C7C" w14:textId="77777777" w:rsidR="004C3D75" w:rsidRPr="00C56257" w:rsidRDefault="004C3D75" w:rsidP="008E33FD">
      <w:pPr>
        <w:spacing w:line="276" w:lineRule="auto"/>
        <w:ind w:left="1871" w:hanging="1871"/>
        <w:jc w:val="both"/>
        <w:rPr>
          <w:rFonts w:eastAsia="Calibri"/>
          <w:color w:val="000000" w:themeColor="text1"/>
        </w:rPr>
      </w:pPr>
      <w:r w:rsidRPr="00C56257">
        <w:rPr>
          <w:rFonts w:eastAsia="Calibri"/>
          <w:b/>
          <w:i/>
          <w:color w:val="000000" w:themeColor="text1"/>
        </w:rPr>
        <w:lastRenderedPageBreak/>
        <w:t>Umiditate relativă</w:t>
      </w:r>
      <w:r w:rsidRPr="00C56257">
        <w:rPr>
          <w:rFonts w:eastAsia="Calibri"/>
          <w:b/>
          <w:i/>
          <w:color w:val="000000" w:themeColor="text1"/>
        </w:rPr>
        <w:tab/>
      </w:r>
      <w:r w:rsidRPr="00C56257">
        <w:rPr>
          <w:rFonts w:eastAsia="Calibri"/>
          <w:color w:val="000000" w:themeColor="text1"/>
        </w:rPr>
        <w:t>– vezi procedură înregistrare.</w:t>
      </w:r>
    </w:p>
    <w:p w14:paraId="69E524D2" w14:textId="77777777" w:rsidR="004C3D75" w:rsidRPr="00C56257" w:rsidRDefault="004C3D75" w:rsidP="008E33FD">
      <w:pPr>
        <w:spacing w:line="276" w:lineRule="auto"/>
        <w:ind w:left="1871" w:hanging="1871"/>
        <w:jc w:val="both"/>
        <w:rPr>
          <w:rFonts w:eastAsia="Calibri"/>
          <w:color w:val="000000" w:themeColor="text1"/>
        </w:rPr>
      </w:pPr>
      <w:r w:rsidRPr="00C56257">
        <w:rPr>
          <w:rFonts w:eastAsia="Calibri"/>
          <w:b/>
          <w:i/>
          <w:color w:val="000000" w:themeColor="text1"/>
        </w:rPr>
        <w:t>Ventilaţie</w:t>
      </w:r>
      <w:r w:rsidRPr="00C56257">
        <w:rPr>
          <w:rFonts w:eastAsia="Calibri"/>
          <w:b/>
          <w:i/>
          <w:color w:val="000000" w:themeColor="text1"/>
        </w:rPr>
        <w:tab/>
      </w:r>
      <w:r w:rsidRPr="00C56257">
        <w:rPr>
          <w:rFonts w:eastAsia="Calibri"/>
          <w:color w:val="000000" w:themeColor="text1"/>
        </w:rPr>
        <w:t>– în cazul unei ventilaţii evidente, direcţia curentului de aer va fi observată direct şi stabilită astfel, în raport cu intrarea de referinţă:</w:t>
      </w:r>
    </w:p>
    <w:p w14:paraId="16C279D6"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E–I</w:t>
      </w:r>
      <w:r w:rsidRPr="00C56257">
        <w:rPr>
          <w:rFonts w:eastAsia="Calibri"/>
          <w:color w:val="000000" w:themeColor="text1"/>
        </w:rPr>
        <w:t xml:space="preserve"> (exterior–interior);</w:t>
      </w:r>
    </w:p>
    <w:p w14:paraId="3DC8CFA6"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I–E</w:t>
      </w:r>
      <w:r w:rsidRPr="00C56257">
        <w:rPr>
          <w:rFonts w:eastAsia="Calibri"/>
          <w:color w:val="000000" w:themeColor="text1"/>
        </w:rPr>
        <w:t xml:space="preserve"> (interior–exterior)</w:t>
      </w:r>
    </w:p>
    <w:p w14:paraId="5BD2E307" w14:textId="77777777" w:rsidR="004C3D75" w:rsidRPr="00C56257" w:rsidRDefault="004C3D75" w:rsidP="008E33FD">
      <w:pPr>
        <w:spacing w:line="276" w:lineRule="auto"/>
        <w:ind w:left="1871" w:hanging="1871"/>
        <w:jc w:val="both"/>
        <w:rPr>
          <w:rFonts w:eastAsia="Calibri"/>
          <w:color w:val="000000" w:themeColor="text1"/>
        </w:rPr>
      </w:pPr>
      <w:r w:rsidRPr="00C56257">
        <w:rPr>
          <w:rFonts w:eastAsia="Calibri"/>
          <w:b/>
          <w:i/>
          <w:color w:val="000000" w:themeColor="text1"/>
        </w:rPr>
        <w:t>Menţiuni speciale</w:t>
      </w:r>
      <w:r w:rsidRPr="00C56257">
        <w:rPr>
          <w:rFonts w:eastAsia="Calibri"/>
          <w:b/>
          <w:i/>
          <w:color w:val="000000" w:themeColor="text1"/>
        </w:rPr>
        <w:tab/>
      </w:r>
      <w:r w:rsidRPr="00C56257">
        <w:rPr>
          <w:rFonts w:eastAsia="Calibri"/>
          <w:color w:val="000000" w:themeColor="text1"/>
        </w:rPr>
        <w:t>se vor menţiona următoarele fenomene legate de parametri atmosferei subterane:</w:t>
      </w:r>
    </w:p>
    <w:p w14:paraId="445C6793"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În</w:t>
      </w:r>
      <w:r w:rsidRPr="00C56257">
        <w:rPr>
          <w:rFonts w:eastAsia="Calibri"/>
          <w:color w:val="000000" w:themeColor="text1"/>
        </w:rPr>
        <w:t xml:space="preserve"> – îngheţ observat prin cruste, stalactite sau stalagmite din gheaţă;</w:t>
      </w:r>
    </w:p>
    <w:p w14:paraId="27FE38B0"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Us</w:t>
      </w:r>
      <w:r w:rsidRPr="00C56257">
        <w:rPr>
          <w:rFonts w:eastAsia="Calibri"/>
          <w:color w:val="000000" w:themeColor="text1"/>
        </w:rPr>
        <w:t xml:space="preserve"> – uscăciunea pereţilor;</w:t>
      </w:r>
    </w:p>
    <w:p w14:paraId="5ED179F3"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Co</w:t>
      </w:r>
      <w:r w:rsidRPr="00C56257">
        <w:rPr>
          <w:rFonts w:eastAsia="Calibri"/>
          <w:color w:val="000000" w:themeColor="text1"/>
        </w:rPr>
        <w:t xml:space="preserve"> – bolte picurătoare şi pereţi uzi datorită condensului;</w:t>
      </w:r>
    </w:p>
    <w:p w14:paraId="25403A18"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Pu</w:t>
      </w:r>
      <w:r w:rsidRPr="00C56257">
        <w:rPr>
          <w:rFonts w:eastAsia="Calibri"/>
          <w:color w:val="000000" w:themeColor="text1"/>
        </w:rPr>
        <w:t xml:space="preserve"> – transport de pulberi datorită ventilaţiei (covor de praf).</w:t>
      </w:r>
    </w:p>
    <w:p w14:paraId="2C0163E4" w14:textId="77777777" w:rsidR="004C3D75" w:rsidRPr="00C56257" w:rsidRDefault="004C3D75" w:rsidP="008E33FD">
      <w:pPr>
        <w:spacing w:line="276" w:lineRule="auto"/>
        <w:ind w:left="2835" w:hanging="2835"/>
        <w:jc w:val="both"/>
        <w:rPr>
          <w:rFonts w:eastAsia="Calibri"/>
          <w:color w:val="000000" w:themeColor="text1"/>
        </w:rPr>
      </w:pPr>
    </w:p>
    <w:p w14:paraId="4C61EC02" w14:textId="77777777" w:rsidR="004C3D75" w:rsidRPr="00C56257" w:rsidRDefault="004C3D75" w:rsidP="008E33FD">
      <w:pPr>
        <w:spacing w:after="160" w:line="259" w:lineRule="auto"/>
        <w:ind w:left="360"/>
        <w:contextualSpacing/>
        <w:jc w:val="both"/>
        <w:outlineLvl w:val="3"/>
        <w:rPr>
          <w:rFonts w:eastAsia="Calibri"/>
          <w:b/>
          <w:color w:val="000000" w:themeColor="text1"/>
        </w:rPr>
      </w:pPr>
      <w:bookmarkStart w:id="43" w:name="_Toc20820903"/>
      <w:r w:rsidRPr="00C56257">
        <w:rPr>
          <w:rFonts w:eastAsia="Calibri"/>
          <w:b/>
          <w:color w:val="000000" w:themeColor="text1"/>
        </w:rPr>
        <w:t>1.5.2 Elemente morfohidrografice</w:t>
      </w:r>
      <w:bookmarkEnd w:id="43"/>
    </w:p>
    <w:p w14:paraId="63A7DBD2" w14:textId="77777777" w:rsidR="004C3D75" w:rsidRPr="00C56257" w:rsidRDefault="004C3D75" w:rsidP="008E33FD">
      <w:pPr>
        <w:spacing w:line="276" w:lineRule="auto"/>
        <w:jc w:val="both"/>
        <w:rPr>
          <w:rFonts w:eastAsia="Calibri"/>
          <w:color w:val="000000" w:themeColor="text1"/>
        </w:rPr>
      </w:pPr>
    </w:p>
    <w:tbl>
      <w:tblPr>
        <w:tblW w:w="927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12"/>
        <w:gridCol w:w="1309"/>
        <w:gridCol w:w="1309"/>
        <w:gridCol w:w="935"/>
        <w:gridCol w:w="1122"/>
        <w:gridCol w:w="965"/>
        <w:gridCol w:w="1159"/>
        <w:gridCol w:w="1159"/>
      </w:tblGrid>
      <w:tr w:rsidR="004C3D75" w:rsidRPr="00C56257" w14:paraId="7D9C70A0" w14:textId="77777777" w:rsidTr="004C3D75">
        <w:tc>
          <w:tcPr>
            <w:tcW w:w="1312" w:type="dxa"/>
            <w:vAlign w:val="center"/>
          </w:tcPr>
          <w:p w14:paraId="39A8F1FD" w14:textId="77777777" w:rsidR="004C3D75" w:rsidRPr="00C56257" w:rsidRDefault="004C3D75" w:rsidP="008E33FD">
            <w:pPr>
              <w:spacing w:line="276" w:lineRule="auto"/>
              <w:jc w:val="both"/>
              <w:rPr>
                <w:rFonts w:eastAsia="Calibri"/>
                <w:b/>
                <w:color w:val="000000" w:themeColor="text1"/>
              </w:rPr>
            </w:pPr>
            <w:r w:rsidRPr="00C56257">
              <w:rPr>
                <w:rFonts w:eastAsia="Calibri"/>
                <w:b/>
                <w:color w:val="000000" w:themeColor="text1"/>
              </w:rPr>
              <w:t>Loc observaţii / înregistrări</w:t>
            </w:r>
          </w:p>
        </w:tc>
        <w:tc>
          <w:tcPr>
            <w:tcW w:w="1309" w:type="dxa"/>
            <w:vAlign w:val="center"/>
          </w:tcPr>
          <w:p w14:paraId="21584390" w14:textId="77777777" w:rsidR="004C3D75" w:rsidRPr="00C56257" w:rsidRDefault="004C3D75" w:rsidP="008E33FD">
            <w:pPr>
              <w:spacing w:line="276" w:lineRule="auto"/>
              <w:jc w:val="both"/>
              <w:rPr>
                <w:rFonts w:eastAsia="Calibri"/>
                <w:b/>
                <w:color w:val="000000" w:themeColor="text1"/>
              </w:rPr>
            </w:pPr>
            <w:r w:rsidRPr="00C56257">
              <w:rPr>
                <w:rFonts w:eastAsia="Calibri"/>
                <w:b/>
                <w:color w:val="000000" w:themeColor="text1"/>
              </w:rPr>
              <w:t>Morfologie loc staţie (golul)</w:t>
            </w:r>
          </w:p>
        </w:tc>
        <w:tc>
          <w:tcPr>
            <w:tcW w:w="1309" w:type="dxa"/>
            <w:vAlign w:val="center"/>
          </w:tcPr>
          <w:p w14:paraId="5224BE2F" w14:textId="77777777" w:rsidR="004C3D75" w:rsidRPr="00C56257" w:rsidRDefault="004C3D75" w:rsidP="008E33FD">
            <w:pPr>
              <w:spacing w:line="276" w:lineRule="auto"/>
              <w:jc w:val="both"/>
              <w:rPr>
                <w:rFonts w:eastAsia="Calibri"/>
                <w:b/>
                <w:color w:val="000000" w:themeColor="text1"/>
              </w:rPr>
            </w:pPr>
            <w:r w:rsidRPr="00C56257">
              <w:rPr>
                <w:rFonts w:eastAsia="Calibri"/>
                <w:b/>
                <w:color w:val="000000" w:themeColor="text1"/>
              </w:rPr>
              <w:t>Umplutură gol</w:t>
            </w:r>
          </w:p>
        </w:tc>
        <w:tc>
          <w:tcPr>
            <w:tcW w:w="935" w:type="dxa"/>
            <w:vAlign w:val="center"/>
          </w:tcPr>
          <w:p w14:paraId="66A0E6DD" w14:textId="77777777" w:rsidR="004C3D75" w:rsidRPr="00C56257" w:rsidRDefault="004C3D75" w:rsidP="008E33FD">
            <w:pPr>
              <w:spacing w:line="276" w:lineRule="auto"/>
              <w:jc w:val="both"/>
              <w:rPr>
                <w:rFonts w:eastAsia="Calibri"/>
                <w:b/>
                <w:color w:val="000000" w:themeColor="text1"/>
              </w:rPr>
            </w:pPr>
            <w:r w:rsidRPr="00C56257">
              <w:rPr>
                <w:rFonts w:eastAsia="Calibri"/>
                <w:b/>
                <w:color w:val="000000" w:themeColor="text1"/>
              </w:rPr>
              <w:t>Regim</w:t>
            </w:r>
          </w:p>
          <w:p w14:paraId="45C5ABAA" w14:textId="77777777" w:rsidR="004C3D75" w:rsidRPr="00C56257" w:rsidRDefault="004C3D75" w:rsidP="008E33FD">
            <w:pPr>
              <w:spacing w:line="276" w:lineRule="auto"/>
              <w:jc w:val="both"/>
              <w:rPr>
                <w:rFonts w:eastAsia="Calibri"/>
                <w:b/>
                <w:color w:val="000000" w:themeColor="text1"/>
              </w:rPr>
            </w:pPr>
            <w:r w:rsidRPr="00C56257">
              <w:rPr>
                <w:rFonts w:eastAsia="Calibri"/>
                <w:b/>
                <w:color w:val="000000" w:themeColor="text1"/>
              </w:rPr>
              <w:t>hidro.</w:t>
            </w:r>
          </w:p>
        </w:tc>
        <w:tc>
          <w:tcPr>
            <w:tcW w:w="1122" w:type="dxa"/>
            <w:vAlign w:val="center"/>
          </w:tcPr>
          <w:p w14:paraId="4B576A81" w14:textId="77777777" w:rsidR="004C3D75" w:rsidRPr="00C56257" w:rsidRDefault="004C3D75" w:rsidP="008E33FD">
            <w:pPr>
              <w:spacing w:line="276" w:lineRule="auto"/>
              <w:jc w:val="both"/>
              <w:rPr>
                <w:rFonts w:eastAsia="Calibri"/>
                <w:b/>
                <w:color w:val="000000" w:themeColor="text1"/>
              </w:rPr>
            </w:pPr>
            <w:r w:rsidRPr="00C56257">
              <w:rPr>
                <w:rFonts w:eastAsia="Calibri"/>
                <w:b/>
                <w:color w:val="000000" w:themeColor="text1"/>
              </w:rPr>
              <w:t>Acumu</w:t>
            </w:r>
            <w:r w:rsidRPr="00C56257">
              <w:rPr>
                <w:rFonts w:eastAsia="Calibri"/>
                <w:b/>
                <w:color w:val="000000" w:themeColor="text1"/>
              </w:rPr>
              <w:softHyphen/>
              <w:t>lare apă</w:t>
            </w:r>
          </w:p>
        </w:tc>
        <w:tc>
          <w:tcPr>
            <w:tcW w:w="965" w:type="dxa"/>
            <w:vAlign w:val="center"/>
          </w:tcPr>
          <w:p w14:paraId="739DB738" w14:textId="77777777" w:rsidR="004C3D75" w:rsidRPr="00C56257" w:rsidRDefault="004C3D75" w:rsidP="008E33FD">
            <w:pPr>
              <w:spacing w:line="276" w:lineRule="auto"/>
              <w:jc w:val="both"/>
              <w:rPr>
                <w:rFonts w:eastAsia="Calibri"/>
                <w:b/>
                <w:color w:val="000000" w:themeColor="text1"/>
              </w:rPr>
            </w:pPr>
            <w:r w:rsidRPr="00C56257">
              <w:rPr>
                <w:rFonts w:eastAsia="Calibri"/>
                <w:b/>
                <w:color w:val="000000" w:themeColor="text1"/>
              </w:rPr>
              <w:t>Ivire apă</w:t>
            </w:r>
          </w:p>
        </w:tc>
        <w:tc>
          <w:tcPr>
            <w:tcW w:w="1159" w:type="dxa"/>
            <w:vAlign w:val="center"/>
          </w:tcPr>
          <w:p w14:paraId="048ACFD1" w14:textId="77777777" w:rsidR="004C3D75" w:rsidRPr="00C56257" w:rsidRDefault="004C3D75" w:rsidP="008E33FD">
            <w:pPr>
              <w:spacing w:line="276" w:lineRule="auto"/>
              <w:jc w:val="both"/>
              <w:rPr>
                <w:rFonts w:eastAsia="Calibri"/>
                <w:b/>
                <w:color w:val="000000" w:themeColor="text1"/>
              </w:rPr>
            </w:pPr>
            <w:r w:rsidRPr="00C56257">
              <w:rPr>
                <w:rFonts w:eastAsia="Calibri"/>
                <w:b/>
                <w:color w:val="000000" w:themeColor="text1"/>
              </w:rPr>
              <w:t>Sursă micro</w:t>
            </w:r>
            <w:r w:rsidRPr="00C56257">
              <w:rPr>
                <w:rFonts w:eastAsia="Calibri"/>
                <w:b/>
                <w:color w:val="000000" w:themeColor="text1"/>
              </w:rPr>
              <w:softHyphen/>
              <w:t>picături</w:t>
            </w:r>
          </w:p>
        </w:tc>
        <w:tc>
          <w:tcPr>
            <w:tcW w:w="1159" w:type="dxa"/>
            <w:vAlign w:val="center"/>
          </w:tcPr>
          <w:p w14:paraId="5C532AC3" w14:textId="77777777" w:rsidR="004C3D75" w:rsidRPr="00C56257" w:rsidRDefault="004C3D75" w:rsidP="008E33FD">
            <w:pPr>
              <w:spacing w:line="276" w:lineRule="auto"/>
              <w:jc w:val="both"/>
              <w:rPr>
                <w:rFonts w:eastAsia="Calibri"/>
                <w:b/>
                <w:color w:val="000000" w:themeColor="text1"/>
              </w:rPr>
            </w:pPr>
            <w:r w:rsidRPr="00C56257">
              <w:rPr>
                <w:rFonts w:eastAsia="Calibri"/>
                <w:b/>
                <w:color w:val="000000" w:themeColor="text1"/>
              </w:rPr>
              <w:t>Menţiuni speciale</w:t>
            </w:r>
          </w:p>
        </w:tc>
      </w:tr>
      <w:tr w:rsidR="004C3D75" w:rsidRPr="00C56257" w14:paraId="3F1D37EA" w14:textId="77777777" w:rsidTr="004C3D75">
        <w:tc>
          <w:tcPr>
            <w:tcW w:w="1312" w:type="dxa"/>
          </w:tcPr>
          <w:p w14:paraId="759998A4" w14:textId="77777777" w:rsidR="004C3D75" w:rsidRPr="00C56257" w:rsidRDefault="004C3D75" w:rsidP="008E33FD">
            <w:pPr>
              <w:spacing w:line="276" w:lineRule="auto"/>
              <w:jc w:val="both"/>
              <w:rPr>
                <w:rFonts w:eastAsia="Calibri"/>
                <w:b/>
                <w:color w:val="000000" w:themeColor="text1"/>
              </w:rPr>
            </w:pPr>
            <w:r w:rsidRPr="00C56257">
              <w:rPr>
                <w:rFonts w:eastAsia="Calibri"/>
                <w:b/>
                <w:color w:val="000000" w:themeColor="text1"/>
              </w:rPr>
              <w:t>Intrare</w:t>
            </w:r>
          </w:p>
        </w:tc>
        <w:tc>
          <w:tcPr>
            <w:tcW w:w="1309" w:type="dxa"/>
          </w:tcPr>
          <w:p w14:paraId="2081C8C9" w14:textId="77777777" w:rsidR="004C3D75" w:rsidRPr="00C56257" w:rsidRDefault="004C3D75" w:rsidP="008E33FD">
            <w:pPr>
              <w:spacing w:line="276" w:lineRule="auto"/>
              <w:jc w:val="both"/>
              <w:rPr>
                <w:rFonts w:eastAsia="Calibri"/>
                <w:b/>
                <w:color w:val="000000" w:themeColor="text1"/>
              </w:rPr>
            </w:pPr>
          </w:p>
        </w:tc>
        <w:tc>
          <w:tcPr>
            <w:tcW w:w="1309" w:type="dxa"/>
          </w:tcPr>
          <w:p w14:paraId="2E008E94" w14:textId="77777777" w:rsidR="004C3D75" w:rsidRPr="00C56257" w:rsidRDefault="004C3D75" w:rsidP="008E33FD">
            <w:pPr>
              <w:spacing w:line="276" w:lineRule="auto"/>
              <w:jc w:val="both"/>
              <w:rPr>
                <w:rFonts w:eastAsia="Calibri"/>
                <w:b/>
                <w:color w:val="000000" w:themeColor="text1"/>
              </w:rPr>
            </w:pPr>
          </w:p>
        </w:tc>
        <w:tc>
          <w:tcPr>
            <w:tcW w:w="935" w:type="dxa"/>
          </w:tcPr>
          <w:p w14:paraId="666A8926" w14:textId="77777777" w:rsidR="004C3D75" w:rsidRPr="00C56257" w:rsidRDefault="004C3D75" w:rsidP="008E33FD">
            <w:pPr>
              <w:spacing w:line="276" w:lineRule="auto"/>
              <w:jc w:val="both"/>
              <w:rPr>
                <w:rFonts w:eastAsia="Calibri"/>
                <w:b/>
                <w:color w:val="000000" w:themeColor="text1"/>
              </w:rPr>
            </w:pPr>
          </w:p>
        </w:tc>
        <w:tc>
          <w:tcPr>
            <w:tcW w:w="1122" w:type="dxa"/>
          </w:tcPr>
          <w:p w14:paraId="201C584A" w14:textId="77777777" w:rsidR="004C3D75" w:rsidRPr="00C56257" w:rsidRDefault="004C3D75" w:rsidP="008E33FD">
            <w:pPr>
              <w:spacing w:line="276" w:lineRule="auto"/>
              <w:jc w:val="both"/>
              <w:rPr>
                <w:rFonts w:eastAsia="Calibri"/>
                <w:b/>
                <w:color w:val="000000" w:themeColor="text1"/>
              </w:rPr>
            </w:pPr>
          </w:p>
        </w:tc>
        <w:tc>
          <w:tcPr>
            <w:tcW w:w="965" w:type="dxa"/>
          </w:tcPr>
          <w:p w14:paraId="7A73CE6B" w14:textId="77777777" w:rsidR="004C3D75" w:rsidRPr="00C56257" w:rsidRDefault="004C3D75" w:rsidP="008E33FD">
            <w:pPr>
              <w:spacing w:line="276" w:lineRule="auto"/>
              <w:jc w:val="both"/>
              <w:rPr>
                <w:rFonts w:eastAsia="Calibri"/>
                <w:b/>
                <w:color w:val="000000" w:themeColor="text1"/>
              </w:rPr>
            </w:pPr>
          </w:p>
        </w:tc>
        <w:tc>
          <w:tcPr>
            <w:tcW w:w="1159" w:type="dxa"/>
          </w:tcPr>
          <w:p w14:paraId="47C2E046" w14:textId="77777777" w:rsidR="004C3D75" w:rsidRPr="00C56257" w:rsidRDefault="004C3D75" w:rsidP="008E33FD">
            <w:pPr>
              <w:spacing w:line="276" w:lineRule="auto"/>
              <w:jc w:val="both"/>
              <w:rPr>
                <w:rFonts w:eastAsia="Calibri"/>
                <w:b/>
                <w:color w:val="000000" w:themeColor="text1"/>
              </w:rPr>
            </w:pPr>
          </w:p>
        </w:tc>
        <w:tc>
          <w:tcPr>
            <w:tcW w:w="1159" w:type="dxa"/>
          </w:tcPr>
          <w:p w14:paraId="1A22AB95" w14:textId="77777777" w:rsidR="004C3D75" w:rsidRPr="00C56257" w:rsidRDefault="004C3D75" w:rsidP="008E33FD">
            <w:pPr>
              <w:spacing w:line="276" w:lineRule="auto"/>
              <w:jc w:val="both"/>
              <w:rPr>
                <w:rFonts w:eastAsia="Calibri"/>
                <w:b/>
                <w:color w:val="000000" w:themeColor="text1"/>
              </w:rPr>
            </w:pPr>
          </w:p>
        </w:tc>
      </w:tr>
      <w:tr w:rsidR="004C3D75" w:rsidRPr="00C56257" w14:paraId="4984B82E" w14:textId="77777777" w:rsidTr="004C3D75">
        <w:tc>
          <w:tcPr>
            <w:tcW w:w="1312" w:type="dxa"/>
          </w:tcPr>
          <w:p w14:paraId="5EF6DC1B" w14:textId="77777777" w:rsidR="004C3D75" w:rsidRPr="00C56257" w:rsidRDefault="004C3D75" w:rsidP="008E33FD">
            <w:pPr>
              <w:spacing w:line="276" w:lineRule="auto"/>
              <w:jc w:val="both"/>
              <w:rPr>
                <w:rFonts w:eastAsia="Calibri"/>
                <w:b/>
                <w:color w:val="000000" w:themeColor="text1"/>
              </w:rPr>
            </w:pPr>
            <w:r w:rsidRPr="00C56257">
              <w:rPr>
                <w:rFonts w:eastAsia="Calibri"/>
                <w:b/>
                <w:color w:val="000000" w:themeColor="text1"/>
              </w:rPr>
              <w:t>Staţia 1</w:t>
            </w:r>
          </w:p>
        </w:tc>
        <w:tc>
          <w:tcPr>
            <w:tcW w:w="1309" w:type="dxa"/>
          </w:tcPr>
          <w:p w14:paraId="3F66D851" w14:textId="77777777" w:rsidR="004C3D75" w:rsidRPr="00C56257" w:rsidRDefault="004C3D75" w:rsidP="008E33FD">
            <w:pPr>
              <w:spacing w:line="276" w:lineRule="auto"/>
              <w:jc w:val="both"/>
              <w:rPr>
                <w:rFonts w:eastAsia="Calibri"/>
                <w:b/>
                <w:color w:val="000000" w:themeColor="text1"/>
              </w:rPr>
            </w:pPr>
          </w:p>
        </w:tc>
        <w:tc>
          <w:tcPr>
            <w:tcW w:w="1309" w:type="dxa"/>
          </w:tcPr>
          <w:p w14:paraId="67857377" w14:textId="77777777" w:rsidR="004C3D75" w:rsidRPr="00C56257" w:rsidRDefault="004C3D75" w:rsidP="008E33FD">
            <w:pPr>
              <w:spacing w:line="276" w:lineRule="auto"/>
              <w:jc w:val="both"/>
              <w:rPr>
                <w:rFonts w:eastAsia="Calibri"/>
                <w:b/>
                <w:color w:val="000000" w:themeColor="text1"/>
              </w:rPr>
            </w:pPr>
          </w:p>
        </w:tc>
        <w:tc>
          <w:tcPr>
            <w:tcW w:w="935" w:type="dxa"/>
          </w:tcPr>
          <w:p w14:paraId="05AB867C" w14:textId="77777777" w:rsidR="004C3D75" w:rsidRPr="00C56257" w:rsidRDefault="004C3D75" w:rsidP="008E33FD">
            <w:pPr>
              <w:spacing w:line="276" w:lineRule="auto"/>
              <w:jc w:val="both"/>
              <w:rPr>
                <w:rFonts w:eastAsia="Calibri"/>
                <w:b/>
                <w:color w:val="000000" w:themeColor="text1"/>
              </w:rPr>
            </w:pPr>
          </w:p>
        </w:tc>
        <w:tc>
          <w:tcPr>
            <w:tcW w:w="1122" w:type="dxa"/>
          </w:tcPr>
          <w:p w14:paraId="2052E5E4" w14:textId="77777777" w:rsidR="004C3D75" w:rsidRPr="00C56257" w:rsidRDefault="004C3D75" w:rsidP="008E33FD">
            <w:pPr>
              <w:spacing w:line="276" w:lineRule="auto"/>
              <w:jc w:val="both"/>
              <w:rPr>
                <w:rFonts w:eastAsia="Calibri"/>
                <w:b/>
                <w:color w:val="000000" w:themeColor="text1"/>
              </w:rPr>
            </w:pPr>
          </w:p>
        </w:tc>
        <w:tc>
          <w:tcPr>
            <w:tcW w:w="965" w:type="dxa"/>
          </w:tcPr>
          <w:p w14:paraId="274A2110" w14:textId="77777777" w:rsidR="004C3D75" w:rsidRPr="00C56257" w:rsidRDefault="004C3D75" w:rsidP="008E33FD">
            <w:pPr>
              <w:spacing w:line="276" w:lineRule="auto"/>
              <w:jc w:val="both"/>
              <w:rPr>
                <w:rFonts w:eastAsia="Calibri"/>
                <w:b/>
                <w:color w:val="000000" w:themeColor="text1"/>
              </w:rPr>
            </w:pPr>
          </w:p>
        </w:tc>
        <w:tc>
          <w:tcPr>
            <w:tcW w:w="1159" w:type="dxa"/>
          </w:tcPr>
          <w:p w14:paraId="61E3365B" w14:textId="77777777" w:rsidR="004C3D75" w:rsidRPr="00C56257" w:rsidRDefault="004C3D75" w:rsidP="008E33FD">
            <w:pPr>
              <w:spacing w:line="276" w:lineRule="auto"/>
              <w:jc w:val="both"/>
              <w:rPr>
                <w:rFonts w:eastAsia="Calibri"/>
                <w:b/>
                <w:color w:val="000000" w:themeColor="text1"/>
              </w:rPr>
            </w:pPr>
          </w:p>
        </w:tc>
        <w:tc>
          <w:tcPr>
            <w:tcW w:w="1159" w:type="dxa"/>
          </w:tcPr>
          <w:p w14:paraId="64A92F34" w14:textId="77777777" w:rsidR="004C3D75" w:rsidRPr="00C56257" w:rsidRDefault="004C3D75" w:rsidP="008E33FD">
            <w:pPr>
              <w:spacing w:line="276" w:lineRule="auto"/>
              <w:jc w:val="both"/>
              <w:rPr>
                <w:rFonts w:eastAsia="Calibri"/>
                <w:b/>
                <w:color w:val="000000" w:themeColor="text1"/>
              </w:rPr>
            </w:pPr>
          </w:p>
        </w:tc>
      </w:tr>
      <w:tr w:rsidR="004C3D75" w:rsidRPr="00C56257" w14:paraId="7AB947B9" w14:textId="77777777" w:rsidTr="004C3D75">
        <w:tc>
          <w:tcPr>
            <w:tcW w:w="1312" w:type="dxa"/>
          </w:tcPr>
          <w:p w14:paraId="039A91D5" w14:textId="77777777" w:rsidR="004C3D75" w:rsidRPr="00C56257" w:rsidRDefault="004C3D75" w:rsidP="008E33FD">
            <w:pPr>
              <w:spacing w:line="276" w:lineRule="auto"/>
              <w:jc w:val="both"/>
              <w:rPr>
                <w:rFonts w:eastAsia="Calibri"/>
                <w:b/>
                <w:color w:val="000000" w:themeColor="text1"/>
              </w:rPr>
            </w:pPr>
            <w:r w:rsidRPr="00C56257">
              <w:rPr>
                <w:rFonts w:eastAsia="Calibri"/>
                <w:b/>
                <w:color w:val="000000" w:themeColor="text1"/>
              </w:rPr>
              <w:t>Staţia 2</w:t>
            </w:r>
          </w:p>
        </w:tc>
        <w:tc>
          <w:tcPr>
            <w:tcW w:w="1309" w:type="dxa"/>
          </w:tcPr>
          <w:p w14:paraId="5BD9590A" w14:textId="77777777" w:rsidR="004C3D75" w:rsidRPr="00C56257" w:rsidRDefault="004C3D75" w:rsidP="008E33FD">
            <w:pPr>
              <w:spacing w:line="276" w:lineRule="auto"/>
              <w:jc w:val="both"/>
              <w:rPr>
                <w:rFonts w:eastAsia="Calibri"/>
                <w:b/>
                <w:color w:val="000000" w:themeColor="text1"/>
              </w:rPr>
            </w:pPr>
          </w:p>
        </w:tc>
        <w:tc>
          <w:tcPr>
            <w:tcW w:w="1309" w:type="dxa"/>
          </w:tcPr>
          <w:p w14:paraId="3C39CB78" w14:textId="77777777" w:rsidR="004C3D75" w:rsidRPr="00C56257" w:rsidRDefault="004C3D75" w:rsidP="008E33FD">
            <w:pPr>
              <w:spacing w:line="276" w:lineRule="auto"/>
              <w:jc w:val="both"/>
              <w:rPr>
                <w:rFonts w:eastAsia="Calibri"/>
                <w:b/>
                <w:color w:val="000000" w:themeColor="text1"/>
              </w:rPr>
            </w:pPr>
          </w:p>
        </w:tc>
        <w:tc>
          <w:tcPr>
            <w:tcW w:w="935" w:type="dxa"/>
          </w:tcPr>
          <w:p w14:paraId="103F9795" w14:textId="77777777" w:rsidR="004C3D75" w:rsidRPr="00C56257" w:rsidRDefault="004C3D75" w:rsidP="008E33FD">
            <w:pPr>
              <w:spacing w:line="276" w:lineRule="auto"/>
              <w:jc w:val="both"/>
              <w:rPr>
                <w:rFonts w:eastAsia="Calibri"/>
                <w:b/>
                <w:color w:val="000000" w:themeColor="text1"/>
              </w:rPr>
            </w:pPr>
          </w:p>
        </w:tc>
        <w:tc>
          <w:tcPr>
            <w:tcW w:w="1122" w:type="dxa"/>
          </w:tcPr>
          <w:p w14:paraId="72A6F290" w14:textId="77777777" w:rsidR="004C3D75" w:rsidRPr="00C56257" w:rsidRDefault="004C3D75" w:rsidP="008E33FD">
            <w:pPr>
              <w:spacing w:line="276" w:lineRule="auto"/>
              <w:jc w:val="both"/>
              <w:rPr>
                <w:rFonts w:eastAsia="Calibri"/>
                <w:b/>
                <w:color w:val="000000" w:themeColor="text1"/>
              </w:rPr>
            </w:pPr>
          </w:p>
        </w:tc>
        <w:tc>
          <w:tcPr>
            <w:tcW w:w="965" w:type="dxa"/>
          </w:tcPr>
          <w:p w14:paraId="09B46A70" w14:textId="77777777" w:rsidR="004C3D75" w:rsidRPr="00C56257" w:rsidRDefault="004C3D75" w:rsidP="008E33FD">
            <w:pPr>
              <w:spacing w:line="276" w:lineRule="auto"/>
              <w:jc w:val="both"/>
              <w:rPr>
                <w:rFonts w:eastAsia="Calibri"/>
                <w:b/>
                <w:color w:val="000000" w:themeColor="text1"/>
              </w:rPr>
            </w:pPr>
          </w:p>
        </w:tc>
        <w:tc>
          <w:tcPr>
            <w:tcW w:w="1159" w:type="dxa"/>
          </w:tcPr>
          <w:p w14:paraId="6964025B" w14:textId="77777777" w:rsidR="004C3D75" w:rsidRPr="00C56257" w:rsidRDefault="004C3D75" w:rsidP="008E33FD">
            <w:pPr>
              <w:spacing w:line="276" w:lineRule="auto"/>
              <w:jc w:val="both"/>
              <w:rPr>
                <w:rFonts w:eastAsia="Calibri"/>
                <w:b/>
                <w:color w:val="000000" w:themeColor="text1"/>
              </w:rPr>
            </w:pPr>
          </w:p>
        </w:tc>
        <w:tc>
          <w:tcPr>
            <w:tcW w:w="1159" w:type="dxa"/>
          </w:tcPr>
          <w:p w14:paraId="3CBB5BB0" w14:textId="77777777" w:rsidR="004C3D75" w:rsidRPr="00C56257" w:rsidRDefault="004C3D75" w:rsidP="008E33FD">
            <w:pPr>
              <w:spacing w:line="276" w:lineRule="auto"/>
              <w:jc w:val="both"/>
              <w:rPr>
                <w:rFonts w:eastAsia="Calibri"/>
                <w:b/>
                <w:color w:val="000000" w:themeColor="text1"/>
              </w:rPr>
            </w:pPr>
          </w:p>
        </w:tc>
      </w:tr>
      <w:tr w:rsidR="004C3D75" w:rsidRPr="00C56257" w14:paraId="2C94D731" w14:textId="77777777" w:rsidTr="004C3D75">
        <w:tc>
          <w:tcPr>
            <w:tcW w:w="1312" w:type="dxa"/>
          </w:tcPr>
          <w:p w14:paraId="31018DC7" w14:textId="77777777" w:rsidR="004C3D75" w:rsidRPr="00C56257" w:rsidRDefault="004C3D75" w:rsidP="008E33FD">
            <w:pPr>
              <w:spacing w:line="276" w:lineRule="auto"/>
              <w:jc w:val="both"/>
              <w:rPr>
                <w:rFonts w:eastAsia="Calibri"/>
                <w:b/>
                <w:color w:val="000000" w:themeColor="text1"/>
              </w:rPr>
            </w:pPr>
            <w:r w:rsidRPr="00C56257">
              <w:rPr>
                <w:rFonts w:eastAsia="Calibri"/>
                <w:b/>
                <w:color w:val="000000" w:themeColor="text1"/>
              </w:rPr>
              <w:t>Staţia 3</w:t>
            </w:r>
          </w:p>
        </w:tc>
        <w:tc>
          <w:tcPr>
            <w:tcW w:w="1309" w:type="dxa"/>
          </w:tcPr>
          <w:p w14:paraId="23A8D1A7" w14:textId="77777777" w:rsidR="004C3D75" w:rsidRPr="00C56257" w:rsidRDefault="004C3D75" w:rsidP="008E33FD">
            <w:pPr>
              <w:spacing w:line="276" w:lineRule="auto"/>
              <w:jc w:val="both"/>
              <w:rPr>
                <w:rFonts w:eastAsia="Calibri"/>
                <w:b/>
                <w:color w:val="000000" w:themeColor="text1"/>
              </w:rPr>
            </w:pPr>
          </w:p>
        </w:tc>
        <w:tc>
          <w:tcPr>
            <w:tcW w:w="1309" w:type="dxa"/>
          </w:tcPr>
          <w:p w14:paraId="1E7FBCA7" w14:textId="77777777" w:rsidR="004C3D75" w:rsidRPr="00C56257" w:rsidRDefault="004C3D75" w:rsidP="008E33FD">
            <w:pPr>
              <w:spacing w:line="276" w:lineRule="auto"/>
              <w:jc w:val="both"/>
              <w:rPr>
                <w:rFonts w:eastAsia="Calibri"/>
                <w:b/>
                <w:color w:val="000000" w:themeColor="text1"/>
              </w:rPr>
            </w:pPr>
          </w:p>
        </w:tc>
        <w:tc>
          <w:tcPr>
            <w:tcW w:w="935" w:type="dxa"/>
          </w:tcPr>
          <w:p w14:paraId="25750300" w14:textId="77777777" w:rsidR="004C3D75" w:rsidRPr="00C56257" w:rsidRDefault="004C3D75" w:rsidP="008E33FD">
            <w:pPr>
              <w:spacing w:line="276" w:lineRule="auto"/>
              <w:jc w:val="both"/>
              <w:rPr>
                <w:rFonts w:eastAsia="Calibri"/>
                <w:b/>
                <w:color w:val="000000" w:themeColor="text1"/>
              </w:rPr>
            </w:pPr>
          </w:p>
        </w:tc>
        <w:tc>
          <w:tcPr>
            <w:tcW w:w="1122" w:type="dxa"/>
          </w:tcPr>
          <w:p w14:paraId="1500D08C" w14:textId="77777777" w:rsidR="004C3D75" w:rsidRPr="00C56257" w:rsidRDefault="004C3D75" w:rsidP="008E33FD">
            <w:pPr>
              <w:spacing w:line="276" w:lineRule="auto"/>
              <w:jc w:val="both"/>
              <w:rPr>
                <w:rFonts w:eastAsia="Calibri"/>
                <w:b/>
                <w:color w:val="000000" w:themeColor="text1"/>
              </w:rPr>
            </w:pPr>
          </w:p>
        </w:tc>
        <w:tc>
          <w:tcPr>
            <w:tcW w:w="965" w:type="dxa"/>
          </w:tcPr>
          <w:p w14:paraId="5B4D5184" w14:textId="77777777" w:rsidR="004C3D75" w:rsidRPr="00C56257" w:rsidRDefault="004C3D75" w:rsidP="008E33FD">
            <w:pPr>
              <w:spacing w:line="276" w:lineRule="auto"/>
              <w:jc w:val="both"/>
              <w:rPr>
                <w:rFonts w:eastAsia="Calibri"/>
                <w:b/>
                <w:color w:val="000000" w:themeColor="text1"/>
              </w:rPr>
            </w:pPr>
          </w:p>
        </w:tc>
        <w:tc>
          <w:tcPr>
            <w:tcW w:w="1159" w:type="dxa"/>
          </w:tcPr>
          <w:p w14:paraId="403D19CF" w14:textId="77777777" w:rsidR="004C3D75" w:rsidRPr="00C56257" w:rsidRDefault="004C3D75" w:rsidP="008E33FD">
            <w:pPr>
              <w:spacing w:line="276" w:lineRule="auto"/>
              <w:jc w:val="both"/>
              <w:rPr>
                <w:rFonts w:eastAsia="Calibri"/>
                <w:b/>
                <w:color w:val="000000" w:themeColor="text1"/>
              </w:rPr>
            </w:pPr>
          </w:p>
        </w:tc>
        <w:tc>
          <w:tcPr>
            <w:tcW w:w="1159" w:type="dxa"/>
          </w:tcPr>
          <w:p w14:paraId="0313E069" w14:textId="77777777" w:rsidR="004C3D75" w:rsidRPr="00C56257" w:rsidRDefault="004C3D75" w:rsidP="008E33FD">
            <w:pPr>
              <w:spacing w:line="276" w:lineRule="auto"/>
              <w:jc w:val="both"/>
              <w:rPr>
                <w:rFonts w:eastAsia="Calibri"/>
                <w:b/>
                <w:color w:val="000000" w:themeColor="text1"/>
              </w:rPr>
            </w:pPr>
          </w:p>
        </w:tc>
      </w:tr>
      <w:tr w:rsidR="004C3D75" w:rsidRPr="00C56257" w14:paraId="76864A05" w14:textId="77777777" w:rsidTr="004C3D75">
        <w:tc>
          <w:tcPr>
            <w:tcW w:w="1312" w:type="dxa"/>
          </w:tcPr>
          <w:p w14:paraId="65102B5F" w14:textId="77777777" w:rsidR="004C3D75" w:rsidRPr="00C56257" w:rsidRDefault="004C3D75" w:rsidP="008E33FD">
            <w:pPr>
              <w:spacing w:line="276" w:lineRule="auto"/>
              <w:jc w:val="both"/>
              <w:rPr>
                <w:rFonts w:eastAsia="Calibri"/>
                <w:b/>
                <w:color w:val="000000" w:themeColor="text1"/>
              </w:rPr>
            </w:pPr>
            <w:r w:rsidRPr="00C56257">
              <w:rPr>
                <w:rFonts w:eastAsia="Calibri"/>
                <w:b/>
                <w:color w:val="000000" w:themeColor="text1"/>
              </w:rPr>
              <w:t>Staţia 4</w:t>
            </w:r>
          </w:p>
        </w:tc>
        <w:tc>
          <w:tcPr>
            <w:tcW w:w="1309" w:type="dxa"/>
          </w:tcPr>
          <w:p w14:paraId="385CD1AD" w14:textId="77777777" w:rsidR="004C3D75" w:rsidRPr="00C56257" w:rsidRDefault="004C3D75" w:rsidP="008E33FD">
            <w:pPr>
              <w:spacing w:line="276" w:lineRule="auto"/>
              <w:jc w:val="both"/>
              <w:rPr>
                <w:rFonts w:eastAsia="Calibri"/>
                <w:b/>
                <w:color w:val="000000" w:themeColor="text1"/>
              </w:rPr>
            </w:pPr>
          </w:p>
        </w:tc>
        <w:tc>
          <w:tcPr>
            <w:tcW w:w="1309" w:type="dxa"/>
          </w:tcPr>
          <w:p w14:paraId="5BE49E7B" w14:textId="77777777" w:rsidR="004C3D75" w:rsidRPr="00C56257" w:rsidRDefault="004C3D75" w:rsidP="008E33FD">
            <w:pPr>
              <w:spacing w:line="276" w:lineRule="auto"/>
              <w:jc w:val="both"/>
              <w:rPr>
                <w:rFonts w:eastAsia="Calibri"/>
                <w:b/>
                <w:color w:val="000000" w:themeColor="text1"/>
              </w:rPr>
            </w:pPr>
          </w:p>
        </w:tc>
        <w:tc>
          <w:tcPr>
            <w:tcW w:w="935" w:type="dxa"/>
          </w:tcPr>
          <w:p w14:paraId="6CA0BD35" w14:textId="77777777" w:rsidR="004C3D75" w:rsidRPr="00C56257" w:rsidRDefault="004C3D75" w:rsidP="008E33FD">
            <w:pPr>
              <w:spacing w:line="276" w:lineRule="auto"/>
              <w:jc w:val="both"/>
              <w:rPr>
                <w:rFonts w:eastAsia="Calibri"/>
                <w:b/>
                <w:color w:val="000000" w:themeColor="text1"/>
              </w:rPr>
            </w:pPr>
          </w:p>
        </w:tc>
        <w:tc>
          <w:tcPr>
            <w:tcW w:w="1122" w:type="dxa"/>
          </w:tcPr>
          <w:p w14:paraId="6D878300" w14:textId="77777777" w:rsidR="004C3D75" w:rsidRPr="00C56257" w:rsidRDefault="004C3D75" w:rsidP="008E33FD">
            <w:pPr>
              <w:spacing w:line="276" w:lineRule="auto"/>
              <w:jc w:val="both"/>
              <w:rPr>
                <w:rFonts w:eastAsia="Calibri"/>
                <w:b/>
                <w:color w:val="000000" w:themeColor="text1"/>
              </w:rPr>
            </w:pPr>
          </w:p>
        </w:tc>
        <w:tc>
          <w:tcPr>
            <w:tcW w:w="965" w:type="dxa"/>
          </w:tcPr>
          <w:p w14:paraId="02B994CF" w14:textId="77777777" w:rsidR="004C3D75" w:rsidRPr="00C56257" w:rsidRDefault="004C3D75" w:rsidP="008E33FD">
            <w:pPr>
              <w:spacing w:line="276" w:lineRule="auto"/>
              <w:jc w:val="both"/>
              <w:rPr>
                <w:rFonts w:eastAsia="Calibri"/>
                <w:b/>
                <w:color w:val="000000" w:themeColor="text1"/>
              </w:rPr>
            </w:pPr>
          </w:p>
        </w:tc>
        <w:tc>
          <w:tcPr>
            <w:tcW w:w="1159" w:type="dxa"/>
          </w:tcPr>
          <w:p w14:paraId="248E7BC7" w14:textId="77777777" w:rsidR="004C3D75" w:rsidRPr="00C56257" w:rsidRDefault="004C3D75" w:rsidP="008E33FD">
            <w:pPr>
              <w:spacing w:line="276" w:lineRule="auto"/>
              <w:jc w:val="both"/>
              <w:rPr>
                <w:rFonts w:eastAsia="Calibri"/>
                <w:b/>
                <w:color w:val="000000" w:themeColor="text1"/>
              </w:rPr>
            </w:pPr>
          </w:p>
        </w:tc>
        <w:tc>
          <w:tcPr>
            <w:tcW w:w="1159" w:type="dxa"/>
          </w:tcPr>
          <w:p w14:paraId="092F4C14" w14:textId="77777777" w:rsidR="004C3D75" w:rsidRPr="00C56257" w:rsidRDefault="004C3D75" w:rsidP="008E33FD">
            <w:pPr>
              <w:spacing w:line="276" w:lineRule="auto"/>
              <w:jc w:val="both"/>
              <w:rPr>
                <w:rFonts w:eastAsia="Calibri"/>
                <w:b/>
                <w:color w:val="000000" w:themeColor="text1"/>
              </w:rPr>
            </w:pPr>
          </w:p>
        </w:tc>
      </w:tr>
      <w:tr w:rsidR="004C3D75" w:rsidRPr="00C56257" w14:paraId="031BB22B" w14:textId="77777777" w:rsidTr="004C3D75">
        <w:tc>
          <w:tcPr>
            <w:tcW w:w="1312" w:type="dxa"/>
          </w:tcPr>
          <w:p w14:paraId="18D288D8" w14:textId="77777777" w:rsidR="004C3D75" w:rsidRPr="00C56257" w:rsidRDefault="004C3D75" w:rsidP="008E33FD">
            <w:pPr>
              <w:spacing w:line="276" w:lineRule="auto"/>
              <w:jc w:val="both"/>
              <w:rPr>
                <w:rFonts w:eastAsia="Calibri"/>
                <w:b/>
                <w:color w:val="000000" w:themeColor="text1"/>
              </w:rPr>
            </w:pPr>
            <w:r w:rsidRPr="00C56257">
              <w:rPr>
                <w:rFonts w:eastAsia="Calibri"/>
                <w:b/>
                <w:color w:val="000000" w:themeColor="text1"/>
              </w:rPr>
              <w:t>Staţia 5</w:t>
            </w:r>
          </w:p>
        </w:tc>
        <w:tc>
          <w:tcPr>
            <w:tcW w:w="1309" w:type="dxa"/>
          </w:tcPr>
          <w:p w14:paraId="5FD89704" w14:textId="77777777" w:rsidR="004C3D75" w:rsidRPr="00C56257" w:rsidRDefault="004C3D75" w:rsidP="008E33FD">
            <w:pPr>
              <w:spacing w:line="276" w:lineRule="auto"/>
              <w:jc w:val="both"/>
              <w:rPr>
                <w:rFonts w:eastAsia="Calibri"/>
                <w:b/>
                <w:color w:val="000000" w:themeColor="text1"/>
              </w:rPr>
            </w:pPr>
          </w:p>
        </w:tc>
        <w:tc>
          <w:tcPr>
            <w:tcW w:w="1309" w:type="dxa"/>
          </w:tcPr>
          <w:p w14:paraId="13265869" w14:textId="77777777" w:rsidR="004C3D75" w:rsidRPr="00C56257" w:rsidRDefault="004C3D75" w:rsidP="008E33FD">
            <w:pPr>
              <w:spacing w:line="276" w:lineRule="auto"/>
              <w:jc w:val="both"/>
              <w:rPr>
                <w:rFonts w:eastAsia="Calibri"/>
                <w:b/>
                <w:color w:val="000000" w:themeColor="text1"/>
              </w:rPr>
            </w:pPr>
          </w:p>
        </w:tc>
        <w:tc>
          <w:tcPr>
            <w:tcW w:w="935" w:type="dxa"/>
          </w:tcPr>
          <w:p w14:paraId="411A7376" w14:textId="77777777" w:rsidR="004C3D75" w:rsidRPr="00C56257" w:rsidRDefault="004C3D75" w:rsidP="008E33FD">
            <w:pPr>
              <w:spacing w:line="276" w:lineRule="auto"/>
              <w:jc w:val="both"/>
              <w:rPr>
                <w:rFonts w:eastAsia="Calibri"/>
                <w:b/>
                <w:color w:val="000000" w:themeColor="text1"/>
              </w:rPr>
            </w:pPr>
          </w:p>
        </w:tc>
        <w:tc>
          <w:tcPr>
            <w:tcW w:w="1122" w:type="dxa"/>
          </w:tcPr>
          <w:p w14:paraId="2ECC3C00" w14:textId="77777777" w:rsidR="004C3D75" w:rsidRPr="00C56257" w:rsidRDefault="004C3D75" w:rsidP="008E33FD">
            <w:pPr>
              <w:spacing w:line="276" w:lineRule="auto"/>
              <w:jc w:val="both"/>
              <w:rPr>
                <w:rFonts w:eastAsia="Calibri"/>
                <w:b/>
                <w:color w:val="000000" w:themeColor="text1"/>
              </w:rPr>
            </w:pPr>
          </w:p>
        </w:tc>
        <w:tc>
          <w:tcPr>
            <w:tcW w:w="965" w:type="dxa"/>
          </w:tcPr>
          <w:p w14:paraId="6C26A670" w14:textId="77777777" w:rsidR="004C3D75" w:rsidRPr="00C56257" w:rsidRDefault="004C3D75" w:rsidP="008E33FD">
            <w:pPr>
              <w:spacing w:line="276" w:lineRule="auto"/>
              <w:jc w:val="both"/>
              <w:rPr>
                <w:rFonts w:eastAsia="Calibri"/>
                <w:b/>
                <w:color w:val="000000" w:themeColor="text1"/>
              </w:rPr>
            </w:pPr>
          </w:p>
        </w:tc>
        <w:tc>
          <w:tcPr>
            <w:tcW w:w="1159" w:type="dxa"/>
          </w:tcPr>
          <w:p w14:paraId="21CBF9BF" w14:textId="77777777" w:rsidR="004C3D75" w:rsidRPr="00C56257" w:rsidRDefault="004C3D75" w:rsidP="008E33FD">
            <w:pPr>
              <w:spacing w:line="276" w:lineRule="auto"/>
              <w:jc w:val="both"/>
              <w:rPr>
                <w:rFonts w:eastAsia="Calibri"/>
                <w:b/>
                <w:color w:val="000000" w:themeColor="text1"/>
              </w:rPr>
            </w:pPr>
          </w:p>
        </w:tc>
        <w:tc>
          <w:tcPr>
            <w:tcW w:w="1159" w:type="dxa"/>
          </w:tcPr>
          <w:p w14:paraId="2938CCF6" w14:textId="77777777" w:rsidR="004C3D75" w:rsidRPr="00C56257" w:rsidRDefault="004C3D75" w:rsidP="008E33FD">
            <w:pPr>
              <w:spacing w:line="276" w:lineRule="auto"/>
              <w:jc w:val="both"/>
              <w:rPr>
                <w:rFonts w:eastAsia="Calibri"/>
                <w:b/>
                <w:color w:val="000000" w:themeColor="text1"/>
              </w:rPr>
            </w:pPr>
          </w:p>
        </w:tc>
      </w:tr>
      <w:tr w:rsidR="004C3D75" w:rsidRPr="00C56257" w14:paraId="6BC7459C" w14:textId="77777777" w:rsidTr="004C3D75">
        <w:tc>
          <w:tcPr>
            <w:tcW w:w="1312" w:type="dxa"/>
          </w:tcPr>
          <w:p w14:paraId="588EC2F5" w14:textId="77777777" w:rsidR="004C3D75" w:rsidRPr="00C56257" w:rsidRDefault="004C3D75" w:rsidP="008E33FD">
            <w:pPr>
              <w:spacing w:line="276" w:lineRule="auto"/>
              <w:jc w:val="both"/>
              <w:rPr>
                <w:rFonts w:eastAsia="Calibri"/>
                <w:b/>
                <w:color w:val="000000" w:themeColor="text1"/>
              </w:rPr>
            </w:pPr>
            <w:r w:rsidRPr="00C56257">
              <w:rPr>
                <w:rFonts w:eastAsia="Calibri"/>
                <w:b/>
                <w:color w:val="000000" w:themeColor="text1"/>
              </w:rPr>
              <w:t>Staţia 6</w:t>
            </w:r>
          </w:p>
        </w:tc>
        <w:tc>
          <w:tcPr>
            <w:tcW w:w="1309" w:type="dxa"/>
          </w:tcPr>
          <w:p w14:paraId="77DA18B4" w14:textId="77777777" w:rsidR="004C3D75" w:rsidRPr="00C56257" w:rsidRDefault="004C3D75" w:rsidP="008E33FD">
            <w:pPr>
              <w:spacing w:line="276" w:lineRule="auto"/>
              <w:jc w:val="both"/>
              <w:rPr>
                <w:rFonts w:eastAsia="Calibri"/>
                <w:b/>
                <w:color w:val="000000" w:themeColor="text1"/>
              </w:rPr>
            </w:pPr>
          </w:p>
        </w:tc>
        <w:tc>
          <w:tcPr>
            <w:tcW w:w="1309" w:type="dxa"/>
          </w:tcPr>
          <w:p w14:paraId="04F2B139" w14:textId="77777777" w:rsidR="004C3D75" w:rsidRPr="00C56257" w:rsidRDefault="004C3D75" w:rsidP="008E33FD">
            <w:pPr>
              <w:spacing w:line="276" w:lineRule="auto"/>
              <w:jc w:val="both"/>
              <w:rPr>
                <w:rFonts w:eastAsia="Calibri"/>
                <w:b/>
                <w:color w:val="000000" w:themeColor="text1"/>
              </w:rPr>
            </w:pPr>
          </w:p>
        </w:tc>
        <w:tc>
          <w:tcPr>
            <w:tcW w:w="935" w:type="dxa"/>
          </w:tcPr>
          <w:p w14:paraId="6D8586AF" w14:textId="77777777" w:rsidR="004C3D75" w:rsidRPr="00C56257" w:rsidRDefault="004C3D75" w:rsidP="008E33FD">
            <w:pPr>
              <w:spacing w:line="276" w:lineRule="auto"/>
              <w:jc w:val="both"/>
              <w:rPr>
                <w:rFonts w:eastAsia="Calibri"/>
                <w:b/>
                <w:color w:val="000000" w:themeColor="text1"/>
              </w:rPr>
            </w:pPr>
          </w:p>
        </w:tc>
        <w:tc>
          <w:tcPr>
            <w:tcW w:w="1122" w:type="dxa"/>
          </w:tcPr>
          <w:p w14:paraId="368CE382" w14:textId="77777777" w:rsidR="004C3D75" w:rsidRPr="00C56257" w:rsidRDefault="004C3D75" w:rsidP="008E33FD">
            <w:pPr>
              <w:spacing w:line="276" w:lineRule="auto"/>
              <w:jc w:val="both"/>
              <w:rPr>
                <w:rFonts w:eastAsia="Calibri"/>
                <w:b/>
                <w:color w:val="000000" w:themeColor="text1"/>
              </w:rPr>
            </w:pPr>
          </w:p>
        </w:tc>
        <w:tc>
          <w:tcPr>
            <w:tcW w:w="965" w:type="dxa"/>
          </w:tcPr>
          <w:p w14:paraId="5600B67C" w14:textId="77777777" w:rsidR="004C3D75" w:rsidRPr="00C56257" w:rsidRDefault="004C3D75" w:rsidP="008E33FD">
            <w:pPr>
              <w:spacing w:line="276" w:lineRule="auto"/>
              <w:jc w:val="both"/>
              <w:rPr>
                <w:rFonts w:eastAsia="Calibri"/>
                <w:b/>
                <w:color w:val="000000" w:themeColor="text1"/>
              </w:rPr>
            </w:pPr>
          </w:p>
        </w:tc>
        <w:tc>
          <w:tcPr>
            <w:tcW w:w="1159" w:type="dxa"/>
          </w:tcPr>
          <w:p w14:paraId="74659F17" w14:textId="77777777" w:rsidR="004C3D75" w:rsidRPr="00C56257" w:rsidRDefault="004C3D75" w:rsidP="008E33FD">
            <w:pPr>
              <w:spacing w:line="276" w:lineRule="auto"/>
              <w:jc w:val="both"/>
              <w:rPr>
                <w:rFonts w:eastAsia="Calibri"/>
                <w:b/>
                <w:color w:val="000000" w:themeColor="text1"/>
              </w:rPr>
            </w:pPr>
          </w:p>
        </w:tc>
        <w:tc>
          <w:tcPr>
            <w:tcW w:w="1159" w:type="dxa"/>
          </w:tcPr>
          <w:p w14:paraId="799532B5" w14:textId="77777777" w:rsidR="004C3D75" w:rsidRPr="00C56257" w:rsidRDefault="004C3D75" w:rsidP="008E33FD">
            <w:pPr>
              <w:spacing w:line="276" w:lineRule="auto"/>
              <w:jc w:val="both"/>
              <w:rPr>
                <w:rFonts w:eastAsia="Calibri"/>
                <w:b/>
                <w:color w:val="000000" w:themeColor="text1"/>
              </w:rPr>
            </w:pPr>
          </w:p>
        </w:tc>
      </w:tr>
    </w:tbl>
    <w:p w14:paraId="56C65540" w14:textId="77777777" w:rsidR="004C3D75" w:rsidRPr="00C56257" w:rsidRDefault="004C3D75" w:rsidP="008E33FD">
      <w:pPr>
        <w:spacing w:line="276" w:lineRule="auto"/>
        <w:jc w:val="both"/>
        <w:rPr>
          <w:rFonts w:eastAsia="Calibri"/>
          <w:color w:val="000000" w:themeColor="text1"/>
        </w:rPr>
      </w:pPr>
    </w:p>
    <w:p w14:paraId="11C16187" w14:textId="77777777" w:rsidR="004C3D75" w:rsidRPr="00C56257" w:rsidRDefault="004C3D75" w:rsidP="008E33FD">
      <w:pPr>
        <w:spacing w:line="276" w:lineRule="auto"/>
        <w:ind w:left="2268" w:hanging="2268"/>
        <w:jc w:val="both"/>
        <w:rPr>
          <w:rFonts w:eastAsia="Calibri"/>
          <w:color w:val="000000" w:themeColor="text1"/>
        </w:rPr>
      </w:pPr>
      <w:r w:rsidRPr="00C56257">
        <w:rPr>
          <w:rFonts w:eastAsia="Calibri"/>
          <w:b/>
          <w:i/>
          <w:color w:val="000000" w:themeColor="text1"/>
        </w:rPr>
        <w:t>Morfologie loc staţie</w:t>
      </w:r>
      <w:r w:rsidRPr="00C56257">
        <w:rPr>
          <w:rFonts w:eastAsia="Calibri"/>
          <w:i/>
          <w:color w:val="000000" w:themeColor="text1"/>
        </w:rPr>
        <w:tab/>
      </w:r>
      <w:r w:rsidRPr="00C56257">
        <w:rPr>
          <w:rFonts w:eastAsia="Calibri"/>
          <w:color w:val="000000" w:themeColor="text1"/>
        </w:rPr>
        <w:t>– se notează morfologia spaţiului subteran în care este situată staţia, prin următoarele simboluri:</w:t>
      </w:r>
    </w:p>
    <w:p w14:paraId="42C73363"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Mg</w:t>
      </w:r>
      <w:r w:rsidRPr="00C56257">
        <w:rPr>
          <w:rFonts w:eastAsia="Calibri"/>
          <w:color w:val="000000" w:themeColor="text1"/>
        </w:rPr>
        <w:t xml:space="preserve"> – galerie cavasiorizontală sau puţin înclinată;</w:t>
      </w:r>
    </w:p>
    <w:p w14:paraId="6F0B3168"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Ms</w:t>
      </w:r>
      <w:r w:rsidRPr="00C56257">
        <w:rPr>
          <w:rFonts w:eastAsia="Calibri"/>
          <w:color w:val="000000" w:themeColor="text1"/>
        </w:rPr>
        <w:t xml:space="preserve"> – sală;</w:t>
      </w:r>
    </w:p>
    <w:p w14:paraId="1B7357D2"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Mp</w:t>
      </w:r>
      <w:r w:rsidRPr="00C56257">
        <w:rPr>
          <w:rFonts w:eastAsia="Calibri"/>
          <w:color w:val="000000" w:themeColor="text1"/>
        </w:rPr>
        <w:t xml:space="preserve"> – puţ sau galerii descendente cu pantă mare;</w:t>
      </w:r>
    </w:p>
    <w:p w14:paraId="32FCE2A4"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Mh</w:t>
      </w:r>
      <w:r w:rsidRPr="00C56257">
        <w:rPr>
          <w:rFonts w:eastAsia="Calibri"/>
          <w:color w:val="000000" w:themeColor="text1"/>
        </w:rPr>
        <w:t xml:space="preserve"> – horn sau galerii ascendente cu pantă mare;</w:t>
      </w:r>
    </w:p>
    <w:p w14:paraId="2A8F6EC4" w14:textId="77777777" w:rsidR="004C3D75" w:rsidRPr="00C56257" w:rsidRDefault="004C3D75" w:rsidP="008E33FD">
      <w:pPr>
        <w:spacing w:line="276" w:lineRule="auto"/>
        <w:ind w:left="2835" w:hanging="2835"/>
        <w:jc w:val="both"/>
        <w:rPr>
          <w:rFonts w:eastAsia="Calibri"/>
          <w:i/>
          <w:color w:val="000000" w:themeColor="text1"/>
        </w:rPr>
      </w:pPr>
      <w:r w:rsidRPr="00C56257">
        <w:rPr>
          <w:rFonts w:eastAsia="Calibri"/>
          <w:color w:val="000000" w:themeColor="text1"/>
        </w:rPr>
        <w:tab/>
      </w:r>
      <w:r w:rsidRPr="00C56257">
        <w:rPr>
          <w:rFonts w:eastAsia="Calibri"/>
          <w:b/>
          <w:i/>
          <w:color w:val="000000" w:themeColor="text1"/>
        </w:rPr>
        <w:t>Md</w:t>
      </w:r>
      <w:r w:rsidRPr="00C56257">
        <w:rPr>
          <w:rFonts w:eastAsia="Calibri"/>
          <w:color w:val="000000" w:themeColor="text1"/>
        </w:rPr>
        <w:t xml:space="preserve"> – diverticol.</w:t>
      </w:r>
    </w:p>
    <w:p w14:paraId="5B993017" w14:textId="77777777" w:rsidR="004C3D75" w:rsidRPr="00C56257" w:rsidRDefault="004C3D75" w:rsidP="008E33FD">
      <w:pPr>
        <w:spacing w:line="276" w:lineRule="auto"/>
        <w:ind w:left="2268" w:hanging="2268"/>
        <w:jc w:val="both"/>
        <w:rPr>
          <w:rFonts w:eastAsia="Calibri"/>
          <w:color w:val="000000" w:themeColor="text1"/>
        </w:rPr>
      </w:pPr>
      <w:r w:rsidRPr="00C56257">
        <w:rPr>
          <w:rFonts w:eastAsia="Calibri"/>
          <w:b/>
          <w:i/>
          <w:color w:val="000000" w:themeColor="text1"/>
        </w:rPr>
        <w:t>Umplutură gol</w:t>
      </w:r>
      <w:r w:rsidRPr="00C56257">
        <w:rPr>
          <w:rFonts w:eastAsia="Calibri"/>
          <w:i/>
          <w:color w:val="000000" w:themeColor="text1"/>
        </w:rPr>
        <w:tab/>
      </w:r>
      <w:r w:rsidRPr="00C56257">
        <w:rPr>
          <w:rFonts w:eastAsia="Calibri"/>
          <w:color w:val="000000" w:themeColor="text1"/>
        </w:rPr>
        <w:t>– se notează prezenţa şi mobilitatea umpluturii, în proximitatea staţiei, în funcţie de aspect şi modificările produse faţă de monitorizarea anterioară, astfel:</w:t>
      </w:r>
    </w:p>
    <w:p w14:paraId="1ED6C8DC"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Uc</w:t>
      </w:r>
      <w:r w:rsidRPr="00C56257">
        <w:rPr>
          <w:rFonts w:eastAsia="Calibri"/>
          <w:color w:val="000000" w:themeColor="text1"/>
        </w:rPr>
        <w:t xml:space="preserve"> – umplutură consolidată (depozite detritice, acumulări de blocuri, speleoteme);</w:t>
      </w:r>
    </w:p>
    <w:p w14:paraId="30E465FB"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Ur</w:t>
      </w:r>
      <w:r w:rsidRPr="00C56257">
        <w:rPr>
          <w:rFonts w:eastAsia="Calibri"/>
          <w:color w:val="000000" w:themeColor="text1"/>
        </w:rPr>
        <w:t xml:space="preserve"> – umplutură recentă; depuneri şi acumulări recente în secţiunea galeriei (zăpoare, aluvii, curgeri de noroi, prăbuşiri, grohotiş);</w:t>
      </w:r>
    </w:p>
    <w:p w14:paraId="452921A7" w14:textId="77777777" w:rsidR="004C3D75" w:rsidRPr="00C56257" w:rsidRDefault="004C3D75" w:rsidP="008E33FD">
      <w:pPr>
        <w:spacing w:line="276" w:lineRule="auto"/>
        <w:ind w:left="2835" w:hanging="2835"/>
        <w:jc w:val="both"/>
        <w:rPr>
          <w:rFonts w:eastAsia="Calibri"/>
          <w:i/>
          <w:color w:val="000000" w:themeColor="text1"/>
        </w:rPr>
      </w:pPr>
      <w:r w:rsidRPr="00C56257">
        <w:rPr>
          <w:rFonts w:eastAsia="Calibri"/>
          <w:color w:val="000000" w:themeColor="text1"/>
        </w:rPr>
        <w:tab/>
      </w:r>
      <w:r w:rsidRPr="00C56257">
        <w:rPr>
          <w:rFonts w:eastAsia="Calibri"/>
          <w:b/>
          <w:i/>
          <w:color w:val="000000" w:themeColor="text1"/>
        </w:rPr>
        <w:t>Um</w:t>
      </w:r>
      <w:r w:rsidRPr="00C56257">
        <w:rPr>
          <w:rFonts w:eastAsia="Calibri"/>
          <w:color w:val="000000" w:themeColor="text1"/>
        </w:rPr>
        <w:t xml:space="preserve"> – umplutură mobilă; deplasare a depozitelor de umplutură (alunecări, surpări, deplasări în masă, ruperi de speleoteme etc.).</w:t>
      </w:r>
    </w:p>
    <w:p w14:paraId="55FCEAD8" w14:textId="77777777" w:rsidR="004C3D75" w:rsidRPr="00C56257" w:rsidRDefault="004C3D75" w:rsidP="008E33FD">
      <w:pPr>
        <w:spacing w:line="276" w:lineRule="auto"/>
        <w:ind w:left="2268" w:hanging="2268"/>
        <w:jc w:val="both"/>
        <w:rPr>
          <w:rFonts w:eastAsia="Calibri"/>
          <w:color w:val="000000" w:themeColor="text1"/>
        </w:rPr>
      </w:pPr>
      <w:r w:rsidRPr="00C56257">
        <w:rPr>
          <w:rFonts w:eastAsia="Calibri"/>
          <w:b/>
          <w:i/>
          <w:color w:val="000000" w:themeColor="text1"/>
        </w:rPr>
        <w:t>Regim hidrologic</w:t>
      </w:r>
      <w:r w:rsidRPr="00C56257">
        <w:rPr>
          <w:rFonts w:eastAsia="Calibri"/>
          <w:i/>
          <w:color w:val="000000" w:themeColor="text1"/>
        </w:rPr>
        <w:tab/>
      </w:r>
      <w:r w:rsidRPr="00C56257">
        <w:rPr>
          <w:rFonts w:eastAsia="Calibri"/>
          <w:color w:val="000000" w:themeColor="text1"/>
        </w:rPr>
        <w:t>– se notează regimul hidrologic al spaţiului în care se află staţia, în momentul observaţiei, astfel:</w:t>
      </w:r>
    </w:p>
    <w:p w14:paraId="62CA3EE0"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lastRenderedPageBreak/>
        <w:tab/>
      </w:r>
      <w:r w:rsidRPr="00C56257">
        <w:rPr>
          <w:rFonts w:eastAsia="Calibri"/>
          <w:b/>
          <w:i/>
          <w:color w:val="000000" w:themeColor="text1"/>
        </w:rPr>
        <w:t>Ha</w:t>
      </w:r>
      <w:r w:rsidRPr="00C56257">
        <w:rPr>
          <w:rFonts w:eastAsia="Calibri"/>
          <w:color w:val="000000" w:themeColor="text1"/>
        </w:rPr>
        <w:t xml:space="preserve"> – gol activ (permanent sau temporar);</w:t>
      </w:r>
    </w:p>
    <w:p w14:paraId="03DB127C"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Hs</w:t>
      </w:r>
      <w:r w:rsidRPr="00C56257">
        <w:rPr>
          <w:rFonts w:eastAsia="Calibri"/>
          <w:color w:val="000000" w:themeColor="text1"/>
        </w:rPr>
        <w:t xml:space="preserve"> – gol subfosil;</w:t>
      </w:r>
    </w:p>
    <w:p w14:paraId="0660E33C"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Hf</w:t>
      </w:r>
      <w:r w:rsidRPr="00C56257">
        <w:rPr>
          <w:rFonts w:eastAsia="Calibri"/>
          <w:color w:val="000000" w:themeColor="text1"/>
        </w:rPr>
        <w:t xml:space="preserve"> – gol fosil (relict);</w:t>
      </w:r>
    </w:p>
    <w:p w14:paraId="4DFA3383" w14:textId="77777777" w:rsidR="004C3D75" w:rsidRPr="00C56257" w:rsidRDefault="004C3D75" w:rsidP="008E33FD">
      <w:pPr>
        <w:spacing w:line="276" w:lineRule="auto"/>
        <w:ind w:left="2835" w:hanging="2835"/>
        <w:jc w:val="both"/>
        <w:rPr>
          <w:rFonts w:eastAsia="Calibri"/>
          <w:i/>
          <w:color w:val="000000" w:themeColor="text1"/>
        </w:rPr>
      </w:pPr>
      <w:r w:rsidRPr="00C56257">
        <w:rPr>
          <w:rFonts w:eastAsia="Calibri"/>
          <w:color w:val="000000" w:themeColor="text1"/>
        </w:rPr>
        <w:tab/>
      </w:r>
      <w:r w:rsidRPr="00C56257">
        <w:rPr>
          <w:rFonts w:eastAsia="Calibri"/>
          <w:b/>
          <w:i/>
          <w:color w:val="000000" w:themeColor="text1"/>
        </w:rPr>
        <w:t>Hi</w:t>
      </w:r>
      <w:r w:rsidRPr="00C56257">
        <w:rPr>
          <w:rFonts w:eastAsia="Calibri"/>
          <w:color w:val="000000" w:themeColor="text1"/>
        </w:rPr>
        <w:t xml:space="preserve"> – gol afectat recent de o inundaţie.</w:t>
      </w:r>
    </w:p>
    <w:p w14:paraId="129703B5" w14:textId="77777777" w:rsidR="004C3D75" w:rsidRPr="00C56257" w:rsidRDefault="004C3D75" w:rsidP="008E33FD">
      <w:pPr>
        <w:spacing w:line="276" w:lineRule="auto"/>
        <w:ind w:left="2268" w:hanging="2268"/>
        <w:jc w:val="both"/>
        <w:rPr>
          <w:rFonts w:eastAsia="Calibri"/>
          <w:color w:val="000000" w:themeColor="text1"/>
        </w:rPr>
      </w:pPr>
      <w:r w:rsidRPr="00C56257">
        <w:rPr>
          <w:rFonts w:eastAsia="Calibri"/>
          <w:b/>
          <w:i/>
          <w:color w:val="000000" w:themeColor="text1"/>
        </w:rPr>
        <w:t>Acumulare apă</w:t>
      </w:r>
      <w:r w:rsidRPr="00C56257">
        <w:rPr>
          <w:rFonts w:eastAsia="Calibri"/>
          <w:i/>
          <w:color w:val="000000" w:themeColor="text1"/>
        </w:rPr>
        <w:tab/>
      </w:r>
      <w:r w:rsidRPr="00C56257">
        <w:rPr>
          <w:rFonts w:eastAsia="Calibri"/>
          <w:color w:val="000000" w:themeColor="text1"/>
        </w:rPr>
        <w:t>– se notează acumulările de apă, permanente sau temporare, care nu fac parte dintr-un drenaj subteran organizat, situate în secţiunea sau proximitatea staţiei, astfel:</w:t>
      </w:r>
    </w:p>
    <w:p w14:paraId="4675E56F"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Hl</w:t>
      </w:r>
      <w:r w:rsidRPr="00C56257">
        <w:rPr>
          <w:rFonts w:eastAsia="Calibri"/>
          <w:color w:val="000000" w:themeColor="text1"/>
        </w:rPr>
        <w:t xml:space="preserve"> – lac subteran (dimensiuni de ordinul metrilor/zecilor de metri);</w:t>
      </w:r>
    </w:p>
    <w:p w14:paraId="33EFB362"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Hg</w:t>
      </w:r>
      <w:r w:rsidRPr="00C56257">
        <w:rPr>
          <w:rFonts w:eastAsia="Calibri"/>
          <w:color w:val="000000" w:themeColor="text1"/>
        </w:rPr>
        <w:t xml:space="preserve"> – bazin de apă format într-o crustă calcitică (gur) sau excavaţie a planşeului (marmită, canal etc.);</w:t>
      </w:r>
    </w:p>
    <w:p w14:paraId="0DC18B33" w14:textId="77777777" w:rsidR="004C3D75" w:rsidRPr="00C56257" w:rsidRDefault="004C3D75" w:rsidP="008E33FD">
      <w:pPr>
        <w:spacing w:line="276" w:lineRule="auto"/>
        <w:ind w:left="2835" w:hanging="2835"/>
        <w:jc w:val="both"/>
        <w:rPr>
          <w:rFonts w:eastAsia="Calibri"/>
          <w:i/>
          <w:color w:val="000000" w:themeColor="text1"/>
        </w:rPr>
      </w:pPr>
      <w:r w:rsidRPr="00C56257">
        <w:rPr>
          <w:rFonts w:eastAsia="Calibri"/>
          <w:color w:val="000000" w:themeColor="text1"/>
        </w:rPr>
        <w:tab/>
      </w:r>
      <w:r w:rsidRPr="00C56257">
        <w:rPr>
          <w:rFonts w:eastAsia="Calibri"/>
          <w:b/>
          <w:i/>
          <w:color w:val="000000" w:themeColor="text1"/>
        </w:rPr>
        <w:t>Hb</w:t>
      </w:r>
      <w:r w:rsidRPr="00C56257">
        <w:rPr>
          <w:rFonts w:eastAsia="Calibri"/>
          <w:color w:val="000000" w:themeColor="text1"/>
        </w:rPr>
        <w:t xml:space="preserve"> – băltire a apei pe depozitele din planşeu.</w:t>
      </w:r>
    </w:p>
    <w:p w14:paraId="5505D9C6" w14:textId="77777777" w:rsidR="004C3D75" w:rsidRPr="00C56257" w:rsidRDefault="004C3D75" w:rsidP="008E33FD">
      <w:pPr>
        <w:spacing w:line="276" w:lineRule="auto"/>
        <w:ind w:left="2268" w:hanging="2268"/>
        <w:jc w:val="both"/>
        <w:rPr>
          <w:rFonts w:eastAsia="Calibri"/>
          <w:color w:val="000000" w:themeColor="text1"/>
        </w:rPr>
      </w:pPr>
      <w:r w:rsidRPr="00C56257">
        <w:rPr>
          <w:rFonts w:eastAsia="Calibri"/>
          <w:b/>
          <w:i/>
          <w:color w:val="000000" w:themeColor="text1"/>
        </w:rPr>
        <w:t>Ivire apă</w:t>
      </w:r>
      <w:r w:rsidRPr="00C56257">
        <w:rPr>
          <w:rFonts w:eastAsia="Calibri"/>
          <w:i/>
          <w:color w:val="000000" w:themeColor="text1"/>
        </w:rPr>
        <w:tab/>
      </w:r>
      <w:r w:rsidRPr="00C56257">
        <w:rPr>
          <w:rFonts w:eastAsia="Calibri"/>
          <w:color w:val="000000" w:themeColor="text1"/>
        </w:rPr>
        <w:t>– se notează existenţa unor iviri de apă, în secţiunea sau proximitatea staţiei, în momentul observaţiei, astfel:</w:t>
      </w:r>
    </w:p>
    <w:p w14:paraId="5C806E40"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b/>
          <w:i/>
          <w:color w:val="000000" w:themeColor="text1"/>
        </w:rPr>
        <w:tab/>
        <w:t>Aş</w:t>
      </w:r>
      <w:r w:rsidRPr="00C56257">
        <w:rPr>
          <w:rFonts w:eastAsia="Calibri"/>
          <w:b/>
          <w:color w:val="000000" w:themeColor="text1"/>
        </w:rPr>
        <w:t xml:space="preserve"> </w:t>
      </w:r>
      <w:r w:rsidRPr="00C56257">
        <w:rPr>
          <w:rFonts w:eastAsia="Calibri"/>
          <w:color w:val="000000" w:themeColor="text1"/>
        </w:rPr>
        <w:t>– şiroirea apei în cavitate;</w:t>
      </w:r>
    </w:p>
    <w:p w14:paraId="4612679D" w14:textId="77777777" w:rsidR="004C3D75" w:rsidRPr="00C56257" w:rsidRDefault="004C3D75" w:rsidP="008E33FD">
      <w:pPr>
        <w:spacing w:line="276" w:lineRule="auto"/>
        <w:ind w:left="2835" w:hanging="2835"/>
        <w:jc w:val="both"/>
        <w:rPr>
          <w:rFonts w:eastAsia="Calibri"/>
          <w:i/>
          <w:color w:val="000000" w:themeColor="text1"/>
        </w:rPr>
      </w:pPr>
      <w:r w:rsidRPr="00C56257">
        <w:rPr>
          <w:rFonts w:eastAsia="Calibri"/>
          <w:color w:val="000000" w:themeColor="text1"/>
        </w:rPr>
        <w:tab/>
      </w:r>
      <w:r w:rsidRPr="00C56257">
        <w:rPr>
          <w:rFonts w:eastAsia="Calibri"/>
          <w:b/>
          <w:i/>
          <w:color w:val="000000" w:themeColor="text1"/>
        </w:rPr>
        <w:t>Ap</w:t>
      </w:r>
      <w:r w:rsidRPr="00C56257">
        <w:rPr>
          <w:rFonts w:eastAsia="Calibri"/>
          <w:color w:val="000000" w:themeColor="text1"/>
        </w:rPr>
        <w:t xml:space="preserve"> – picurarea şi / sau prelingerea apei în cavitate.</w:t>
      </w:r>
    </w:p>
    <w:p w14:paraId="4B1DCE1F" w14:textId="77777777" w:rsidR="004C3D75" w:rsidRPr="00C56257" w:rsidRDefault="004C3D75" w:rsidP="008E33FD">
      <w:pPr>
        <w:spacing w:line="276" w:lineRule="auto"/>
        <w:ind w:left="2268" w:hanging="2268"/>
        <w:jc w:val="both"/>
        <w:rPr>
          <w:rFonts w:eastAsia="Calibri"/>
          <w:color w:val="000000" w:themeColor="text1"/>
        </w:rPr>
      </w:pPr>
      <w:r w:rsidRPr="00C56257">
        <w:rPr>
          <w:rFonts w:eastAsia="Calibri"/>
          <w:b/>
          <w:i/>
          <w:color w:val="000000" w:themeColor="text1"/>
        </w:rPr>
        <w:t>Sursă micropicături</w:t>
      </w:r>
      <w:r w:rsidRPr="00C56257">
        <w:rPr>
          <w:rFonts w:eastAsia="Calibri"/>
          <w:i/>
          <w:color w:val="000000" w:themeColor="text1"/>
        </w:rPr>
        <w:tab/>
      </w:r>
      <w:r w:rsidRPr="00C56257">
        <w:rPr>
          <w:rFonts w:eastAsia="Calibri"/>
          <w:color w:val="000000" w:themeColor="text1"/>
        </w:rPr>
        <w:t>– se notează prezenţa micropicăturilor, în secţiunea sau proximitatea staţiei, în momentul observaţiei, prin indicarea sursei:</w:t>
      </w:r>
    </w:p>
    <w:p w14:paraId="51795E2B"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b/>
          <w:i/>
          <w:color w:val="000000" w:themeColor="text1"/>
        </w:rPr>
        <w:tab/>
        <w:t>Mp</w:t>
      </w:r>
      <w:r w:rsidRPr="00C56257">
        <w:rPr>
          <w:rFonts w:eastAsia="Calibri"/>
          <w:color w:val="000000" w:themeColor="text1"/>
        </w:rPr>
        <w:t xml:space="preserve"> – micropicături din precipitaţii (numai pentru secţiunea intrării)</w:t>
      </w:r>
    </w:p>
    <w:p w14:paraId="381E6878" w14:textId="77777777" w:rsidR="004C3D75" w:rsidRPr="00C56257" w:rsidRDefault="004C3D75" w:rsidP="008E33FD">
      <w:pPr>
        <w:spacing w:line="276" w:lineRule="auto"/>
        <w:ind w:left="2835" w:hanging="2835"/>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Mc</w:t>
      </w:r>
      <w:r w:rsidRPr="00C56257">
        <w:rPr>
          <w:rFonts w:eastAsia="Calibri"/>
          <w:color w:val="000000" w:themeColor="text1"/>
        </w:rPr>
        <w:t xml:space="preserve"> – micropicături din cascade;</w:t>
      </w:r>
    </w:p>
    <w:p w14:paraId="019A9D10" w14:textId="77777777" w:rsidR="004C3D75" w:rsidRPr="00C56257" w:rsidRDefault="004C3D75" w:rsidP="008E33FD">
      <w:pPr>
        <w:spacing w:line="276" w:lineRule="auto"/>
        <w:ind w:left="2835" w:hanging="2835"/>
        <w:jc w:val="both"/>
        <w:rPr>
          <w:rFonts w:eastAsia="Calibri"/>
          <w:i/>
          <w:color w:val="000000" w:themeColor="text1"/>
        </w:rPr>
      </w:pPr>
      <w:r w:rsidRPr="00C56257">
        <w:rPr>
          <w:rFonts w:eastAsia="Calibri"/>
          <w:color w:val="000000" w:themeColor="text1"/>
        </w:rPr>
        <w:tab/>
      </w:r>
      <w:r w:rsidRPr="00C56257">
        <w:rPr>
          <w:rFonts w:eastAsia="Calibri"/>
          <w:b/>
          <w:i/>
          <w:color w:val="000000" w:themeColor="text1"/>
        </w:rPr>
        <w:t>Mş</w:t>
      </w:r>
      <w:r w:rsidRPr="00C56257">
        <w:rPr>
          <w:rFonts w:eastAsia="Calibri"/>
          <w:color w:val="000000" w:themeColor="text1"/>
        </w:rPr>
        <w:t xml:space="preserve"> – micropicături din şiroire.</w:t>
      </w:r>
    </w:p>
    <w:p w14:paraId="23881DA5" w14:textId="77777777" w:rsidR="004C3D75" w:rsidRPr="00C56257" w:rsidRDefault="004C3D75" w:rsidP="008E33FD">
      <w:pPr>
        <w:spacing w:line="276" w:lineRule="auto"/>
        <w:jc w:val="both"/>
        <w:rPr>
          <w:rFonts w:eastAsia="Calibri"/>
          <w:color w:val="000000" w:themeColor="text1"/>
        </w:rPr>
      </w:pPr>
      <w:r w:rsidRPr="00C56257">
        <w:rPr>
          <w:rFonts w:eastAsia="Calibri"/>
          <w:b/>
          <w:i/>
          <w:color w:val="000000" w:themeColor="text1"/>
        </w:rPr>
        <w:t>Menţiuni speciale</w:t>
      </w:r>
      <w:r w:rsidRPr="00C56257">
        <w:rPr>
          <w:rFonts w:eastAsia="Calibri"/>
          <w:i/>
          <w:color w:val="000000" w:themeColor="text1"/>
        </w:rPr>
        <w:tab/>
      </w:r>
      <w:r w:rsidRPr="00C56257">
        <w:rPr>
          <w:rFonts w:eastAsia="Calibri"/>
          <w:color w:val="000000" w:themeColor="text1"/>
        </w:rPr>
        <w:t>– la latitudinea observatorului.</w:t>
      </w:r>
    </w:p>
    <w:p w14:paraId="37E60A93" w14:textId="77777777" w:rsidR="004C3D75" w:rsidRPr="00C56257" w:rsidRDefault="004C3D75" w:rsidP="008E33FD">
      <w:pPr>
        <w:spacing w:line="276" w:lineRule="auto"/>
        <w:jc w:val="both"/>
        <w:rPr>
          <w:rFonts w:eastAsia="Calibri"/>
          <w:color w:val="000000" w:themeColor="text1"/>
        </w:rPr>
      </w:pPr>
    </w:p>
    <w:p w14:paraId="0F308142" w14:textId="77777777" w:rsidR="004C3D75" w:rsidRPr="00C56257" w:rsidRDefault="004C3D75" w:rsidP="008E33FD">
      <w:pPr>
        <w:spacing w:after="160" w:line="259" w:lineRule="auto"/>
        <w:ind w:left="360"/>
        <w:contextualSpacing/>
        <w:jc w:val="both"/>
        <w:outlineLvl w:val="3"/>
        <w:rPr>
          <w:rFonts w:eastAsia="Calibri"/>
          <w:b/>
          <w:color w:val="000000" w:themeColor="text1"/>
        </w:rPr>
      </w:pPr>
      <w:bookmarkStart w:id="44" w:name="_Toc20820904"/>
      <w:r w:rsidRPr="00C56257">
        <w:rPr>
          <w:rFonts w:eastAsia="Calibri"/>
          <w:b/>
          <w:color w:val="000000" w:themeColor="text1"/>
        </w:rPr>
        <w:t>1.5.3 Monitorizarea factorilor de risc</w:t>
      </w:r>
      <w:bookmarkEnd w:id="44"/>
    </w:p>
    <w:tbl>
      <w:tblPr>
        <w:tblW w:w="927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17"/>
        <w:gridCol w:w="2318"/>
        <w:gridCol w:w="2317"/>
        <w:gridCol w:w="579"/>
        <w:gridCol w:w="580"/>
        <w:gridCol w:w="579"/>
        <w:gridCol w:w="580"/>
      </w:tblGrid>
      <w:tr w:rsidR="004C3D75" w:rsidRPr="00C56257" w14:paraId="04857C12" w14:textId="77777777" w:rsidTr="004C3D75">
        <w:trPr>
          <w:tblHeader/>
        </w:trPr>
        <w:tc>
          <w:tcPr>
            <w:tcW w:w="2317" w:type="dxa"/>
            <w:vMerge w:val="restart"/>
            <w:vAlign w:val="center"/>
          </w:tcPr>
          <w:p w14:paraId="52DB86A9"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Categoria</w:t>
            </w:r>
          </w:p>
        </w:tc>
        <w:tc>
          <w:tcPr>
            <w:tcW w:w="2318" w:type="dxa"/>
            <w:vMerge w:val="restart"/>
            <w:vAlign w:val="center"/>
          </w:tcPr>
          <w:p w14:paraId="4AC9D863"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Originea</w:t>
            </w:r>
          </w:p>
        </w:tc>
        <w:tc>
          <w:tcPr>
            <w:tcW w:w="2317" w:type="dxa"/>
            <w:vMerge w:val="restart"/>
            <w:vAlign w:val="center"/>
          </w:tcPr>
          <w:p w14:paraId="3C7F2362" w14:textId="77777777" w:rsidR="004C3D75" w:rsidRPr="00C56257" w:rsidRDefault="004C3D75" w:rsidP="008E33FD">
            <w:pPr>
              <w:spacing w:line="259" w:lineRule="auto"/>
              <w:jc w:val="both"/>
              <w:rPr>
                <w:rFonts w:eastAsia="Calibri"/>
                <w:b/>
                <w:color w:val="000000" w:themeColor="text1"/>
                <w:spacing w:val="20"/>
              </w:rPr>
            </w:pPr>
            <w:r w:rsidRPr="00C56257">
              <w:rPr>
                <w:rFonts w:eastAsia="Calibri"/>
                <w:b/>
                <w:color w:val="000000" w:themeColor="text1"/>
                <w:spacing w:val="20"/>
              </w:rPr>
              <w:t>Cauza</w:t>
            </w:r>
          </w:p>
        </w:tc>
        <w:tc>
          <w:tcPr>
            <w:tcW w:w="2318" w:type="dxa"/>
            <w:gridSpan w:val="4"/>
          </w:tcPr>
          <w:p w14:paraId="747D4323"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Grad ameninţare</w:t>
            </w:r>
          </w:p>
        </w:tc>
      </w:tr>
      <w:tr w:rsidR="004C3D75" w:rsidRPr="00C56257" w14:paraId="512CFEE3" w14:textId="77777777" w:rsidTr="004C3D75">
        <w:trPr>
          <w:tblHeader/>
        </w:trPr>
        <w:tc>
          <w:tcPr>
            <w:tcW w:w="2317" w:type="dxa"/>
            <w:vMerge/>
            <w:vAlign w:val="center"/>
          </w:tcPr>
          <w:p w14:paraId="0FF576D0" w14:textId="77777777" w:rsidR="004C3D75" w:rsidRPr="00C56257" w:rsidRDefault="004C3D75" w:rsidP="008E33FD">
            <w:pPr>
              <w:spacing w:line="259" w:lineRule="auto"/>
              <w:jc w:val="both"/>
              <w:rPr>
                <w:rFonts w:eastAsia="Calibri"/>
                <w:b/>
                <w:color w:val="000000" w:themeColor="text1"/>
                <w:u w:val="single"/>
              </w:rPr>
            </w:pPr>
          </w:p>
        </w:tc>
        <w:tc>
          <w:tcPr>
            <w:tcW w:w="2318" w:type="dxa"/>
            <w:vMerge/>
            <w:vAlign w:val="center"/>
          </w:tcPr>
          <w:p w14:paraId="56DBCCD9" w14:textId="77777777" w:rsidR="004C3D75" w:rsidRPr="00C56257" w:rsidRDefault="004C3D75" w:rsidP="008E33FD">
            <w:pPr>
              <w:spacing w:line="259" w:lineRule="auto"/>
              <w:jc w:val="both"/>
              <w:rPr>
                <w:rFonts w:eastAsia="Calibri"/>
                <w:color w:val="000000" w:themeColor="text1"/>
              </w:rPr>
            </w:pPr>
          </w:p>
        </w:tc>
        <w:tc>
          <w:tcPr>
            <w:tcW w:w="2317" w:type="dxa"/>
            <w:vMerge/>
          </w:tcPr>
          <w:p w14:paraId="494E7F04" w14:textId="77777777" w:rsidR="004C3D75" w:rsidRPr="00C56257" w:rsidRDefault="004C3D75" w:rsidP="008E33FD">
            <w:pPr>
              <w:spacing w:line="259" w:lineRule="auto"/>
              <w:jc w:val="both"/>
              <w:rPr>
                <w:rFonts w:eastAsia="Calibri"/>
                <w:color w:val="000000" w:themeColor="text1"/>
                <w:spacing w:val="20"/>
              </w:rPr>
            </w:pPr>
          </w:p>
        </w:tc>
        <w:tc>
          <w:tcPr>
            <w:tcW w:w="579" w:type="dxa"/>
          </w:tcPr>
          <w:p w14:paraId="636BA2A7"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0</w:t>
            </w:r>
          </w:p>
        </w:tc>
        <w:tc>
          <w:tcPr>
            <w:tcW w:w="580" w:type="dxa"/>
          </w:tcPr>
          <w:p w14:paraId="334BD795"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1</w:t>
            </w:r>
          </w:p>
        </w:tc>
        <w:tc>
          <w:tcPr>
            <w:tcW w:w="579" w:type="dxa"/>
          </w:tcPr>
          <w:p w14:paraId="7F9A2CB7"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2</w:t>
            </w:r>
          </w:p>
        </w:tc>
        <w:tc>
          <w:tcPr>
            <w:tcW w:w="580" w:type="dxa"/>
          </w:tcPr>
          <w:p w14:paraId="58B27485"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3</w:t>
            </w:r>
          </w:p>
        </w:tc>
      </w:tr>
      <w:tr w:rsidR="004C3D75" w:rsidRPr="00C56257" w14:paraId="1F2D730A" w14:textId="77777777" w:rsidTr="004C3D75">
        <w:tc>
          <w:tcPr>
            <w:tcW w:w="2317" w:type="dxa"/>
            <w:vMerge w:val="restart"/>
            <w:vAlign w:val="center"/>
          </w:tcPr>
          <w:p w14:paraId="463B2BDF" w14:textId="77777777" w:rsidR="004C3D75" w:rsidRPr="00C56257" w:rsidRDefault="004C3D75" w:rsidP="008E33FD">
            <w:pPr>
              <w:spacing w:line="259" w:lineRule="auto"/>
              <w:jc w:val="both"/>
              <w:rPr>
                <w:rFonts w:eastAsia="Calibri"/>
                <w:b/>
                <w:color w:val="000000" w:themeColor="text1"/>
                <w:u w:val="single"/>
              </w:rPr>
            </w:pPr>
            <w:r w:rsidRPr="00C56257">
              <w:rPr>
                <w:rFonts w:eastAsia="Calibri"/>
                <w:b/>
                <w:color w:val="000000" w:themeColor="text1"/>
                <w:u w:val="single"/>
              </w:rPr>
              <w:t>Risc ambiental</w:t>
            </w:r>
          </w:p>
        </w:tc>
        <w:tc>
          <w:tcPr>
            <w:tcW w:w="2318" w:type="dxa"/>
            <w:vMerge w:val="restart"/>
            <w:vAlign w:val="center"/>
          </w:tcPr>
          <w:p w14:paraId="670EE8F2"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natural</w:t>
            </w:r>
          </w:p>
        </w:tc>
        <w:tc>
          <w:tcPr>
            <w:tcW w:w="2317" w:type="dxa"/>
          </w:tcPr>
          <w:p w14:paraId="420B6B13" w14:textId="77777777" w:rsidR="004C3D75" w:rsidRPr="00C56257" w:rsidRDefault="004C3D75" w:rsidP="008E33FD">
            <w:pPr>
              <w:spacing w:line="259" w:lineRule="auto"/>
              <w:jc w:val="both"/>
              <w:rPr>
                <w:rFonts w:eastAsia="Calibri"/>
                <w:color w:val="000000" w:themeColor="text1"/>
                <w:spacing w:val="20"/>
              </w:rPr>
            </w:pPr>
            <w:r w:rsidRPr="00C56257">
              <w:rPr>
                <w:rFonts w:eastAsia="Calibri"/>
                <w:color w:val="000000" w:themeColor="text1"/>
              </w:rPr>
              <w:t>degradarea şi modificarea structurii învelişului vegetal</w:t>
            </w:r>
          </w:p>
        </w:tc>
        <w:tc>
          <w:tcPr>
            <w:tcW w:w="579" w:type="dxa"/>
          </w:tcPr>
          <w:p w14:paraId="4B17859A" w14:textId="77777777" w:rsidR="004C3D75" w:rsidRPr="00C56257" w:rsidRDefault="004C3D75" w:rsidP="008E33FD">
            <w:pPr>
              <w:spacing w:line="259" w:lineRule="auto"/>
              <w:jc w:val="both"/>
              <w:rPr>
                <w:rFonts w:eastAsia="Calibri"/>
                <w:color w:val="000000" w:themeColor="text1"/>
              </w:rPr>
            </w:pPr>
          </w:p>
        </w:tc>
        <w:tc>
          <w:tcPr>
            <w:tcW w:w="580" w:type="dxa"/>
          </w:tcPr>
          <w:p w14:paraId="606D4CA5" w14:textId="77777777" w:rsidR="004C3D75" w:rsidRPr="00C56257" w:rsidRDefault="004C3D75" w:rsidP="008E33FD">
            <w:pPr>
              <w:spacing w:line="259" w:lineRule="auto"/>
              <w:jc w:val="both"/>
              <w:rPr>
                <w:rFonts w:eastAsia="Calibri"/>
                <w:color w:val="000000" w:themeColor="text1"/>
              </w:rPr>
            </w:pPr>
          </w:p>
        </w:tc>
        <w:tc>
          <w:tcPr>
            <w:tcW w:w="579" w:type="dxa"/>
          </w:tcPr>
          <w:p w14:paraId="5C223EC4" w14:textId="77777777" w:rsidR="004C3D75" w:rsidRPr="00C56257" w:rsidRDefault="004C3D75" w:rsidP="008E33FD">
            <w:pPr>
              <w:spacing w:line="259" w:lineRule="auto"/>
              <w:jc w:val="both"/>
              <w:rPr>
                <w:rFonts w:eastAsia="Calibri"/>
                <w:color w:val="000000" w:themeColor="text1"/>
              </w:rPr>
            </w:pPr>
          </w:p>
        </w:tc>
        <w:tc>
          <w:tcPr>
            <w:tcW w:w="580" w:type="dxa"/>
          </w:tcPr>
          <w:p w14:paraId="28CEC377" w14:textId="77777777" w:rsidR="004C3D75" w:rsidRPr="00C56257" w:rsidRDefault="004C3D75" w:rsidP="008E33FD">
            <w:pPr>
              <w:spacing w:line="259" w:lineRule="auto"/>
              <w:jc w:val="both"/>
              <w:rPr>
                <w:rFonts w:eastAsia="Calibri"/>
                <w:color w:val="000000" w:themeColor="text1"/>
              </w:rPr>
            </w:pPr>
          </w:p>
        </w:tc>
      </w:tr>
      <w:tr w:rsidR="004C3D75" w:rsidRPr="00C56257" w14:paraId="10E14519" w14:textId="77777777" w:rsidTr="004C3D75">
        <w:tc>
          <w:tcPr>
            <w:tcW w:w="2317" w:type="dxa"/>
            <w:vMerge/>
            <w:vAlign w:val="center"/>
          </w:tcPr>
          <w:p w14:paraId="2DA31310" w14:textId="77777777" w:rsidR="004C3D75" w:rsidRPr="00C56257" w:rsidRDefault="004C3D75" w:rsidP="008E33FD">
            <w:pPr>
              <w:spacing w:line="259" w:lineRule="auto"/>
              <w:jc w:val="both"/>
              <w:rPr>
                <w:rFonts w:eastAsia="Calibri"/>
                <w:b/>
                <w:color w:val="000000" w:themeColor="text1"/>
                <w:u w:val="single"/>
              </w:rPr>
            </w:pPr>
          </w:p>
        </w:tc>
        <w:tc>
          <w:tcPr>
            <w:tcW w:w="2318" w:type="dxa"/>
            <w:vMerge/>
            <w:vAlign w:val="center"/>
          </w:tcPr>
          <w:p w14:paraId="641F0AC7" w14:textId="77777777" w:rsidR="004C3D75" w:rsidRPr="00C56257" w:rsidRDefault="004C3D75" w:rsidP="008E33FD">
            <w:pPr>
              <w:spacing w:line="259" w:lineRule="auto"/>
              <w:jc w:val="both"/>
              <w:rPr>
                <w:rFonts w:eastAsia="Calibri"/>
                <w:b/>
                <w:color w:val="000000" w:themeColor="text1"/>
              </w:rPr>
            </w:pPr>
          </w:p>
        </w:tc>
        <w:tc>
          <w:tcPr>
            <w:tcW w:w="2317" w:type="dxa"/>
          </w:tcPr>
          <w:p w14:paraId="15ED5674" w14:textId="77777777" w:rsidR="004C3D75" w:rsidRPr="00C56257" w:rsidRDefault="004C3D75" w:rsidP="008E33FD">
            <w:pPr>
              <w:spacing w:line="259" w:lineRule="auto"/>
              <w:jc w:val="both"/>
              <w:rPr>
                <w:rFonts w:eastAsia="Calibri"/>
                <w:color w:val="000000" w:themeColor="text1"/>
              </w:rPr>
            </w:pPr>
            <w:r w:rsidRPr="00C56257">
              <w:rPr>
                <w:rFonts w:eastAsia="Calibri"/>
                <w:color w:val="000000" w:themeColor="text1"/>
              </w:rPr>
              <w:t>torenţialitate</w:t>
            </w:r>
          </w:p>
        </w:tc>
        <w:tc>
          <w:tcPr>
            <w:tcW w:w="579" w:type="dxa"/>
          </w:tcPr>
          <w:p w14:paraId="4D1A51AB" w14:textId="77777777" w:rsidR="004C3D75" w:rsidRPr="00C56257" w:rsidRDefault="004C3D75" w:rsidP="008E33FD">
            <w:pPr>
              <w:spacing w:line="259" w:lineRule="auto"/>
              <w:jc w:val="both"/>
              <w:rPr>
                <w:rFonts w:eastAsia="Calibri"/>
                <w:color w:val="000000" w:themeColor="text1"/>
              </w:rPr>
            </w:pPr>
          </w:p>
        </w:tc>
        <w:tc>
          <w:tcPr>
            <w:tcW w:w="580" w:type="dxa"/>
          </w:tcPr>
          <w:p w14:paraId="05BBE970" w14:textId="77777777" w:rsidR="004C3D75" w:rsidRPr="00C56257" w:rsidRDefault="004C3D75" w:rsidP="008E33FD">
            <w:pPr>
              <w:spacing w:line="259" w:lineRule="auto"/>
              <w:jc w:val="both"/>
              <w:rPr>
                <w:rFonts w:eastAsia="Calibri"/>
                <w:color w:val="000000" w:themeColor="text1"/>
              </w:rPr>
            </w:pPr>
          </w:p>
        </w:tc>
        <w:tc>
          <w:tcPr>
            <w:tcW w:w="579" w:type="dxa"/>
          </w:tcPr>
          <w:p w14:paraId="14F718C6" w14:textId="77777777" w:rsidR="004C3D75" w:rsidRPr="00C56257" w:rsidRDefault="004C3D75" w:rsidP="008E33FD">
            <w:pPr>
              <w:spacing w:line="259" w:lineRule="auto"/>
              <w:jc w:val="both"/>
              <w:rPr>
                <w:rFonts w:eastAsia="Calibri"/>
                <w:color w:val="000000" w:themeColor="text1"/>
              </w:rPr>
            </w:pPr>
          </w:p>
        </w:tc>
        <w:tc>
          <w:tcPr>
            <w:tcW w:w="580" w:type="dxa"/>
          </w:tcPr>
          <w:p w14:paraId="667E286A" w14:textId="77777777" w:rsidR="004C3D75" w:rsidRPr="00C56257" w:rsidRDefault="004C3D75" w:rsidP="008E33FD">
            <w:pPr>
              <w:spacing w:line="259" w:lineRule="auto"/>
              <w:jc w:val="both"/>
              <w:rPr>
                <w:rFonts w:eastAsia="Calibri"/>
                <w:color w:val="000000" w:themeColor="text1"/>
              </w:rPr>
            </w:pPr>
          </w:p>
        </w:tc>
      </w:tr>
      <w:tr w:rsidR="004C3D75" w:rsidRPr="00C56257" w14:paraId="2835811D" w14:textId="77777777" w:rsidTr="004C3D75">
        <w:tc>
          <w:tcPr>
            <w:tcW w:w="2317" w:type="dxa"/>
            <w:vMerge/>
            <w:vAlign w:val="center"/>
          </w:tcPr>
          <w:p w14:paraId="2D249AB6" w14:textId="77777777" w:rsidR="004C3D75" w:rsidRPr="00C56257" w:rsidRDefault="004C3D75" w:rsidP="008E33FD">
            <w:pPr>
              <w:spacing w:line="259" w:lineRule="auto"/>
              <w:jc w:val="both"/>
              <w:rPr>
                <w:rFonts w:eastAsia="Calibri"/>
                <w:b/>
                <w:color w:val="000000" w:themeColor="text1"/>
                <w:u w:val="single"/>
              </w:rPr>
            </w:pPr>
          </w:p>
        </w:tc>
        <w:tc>
          <w:tcPr>
            <w:tcW w:w="2318" w:type="dxa"/>
            <w:vMerge/>
            <w:vAlign w:val="center"/>
          </w:tcPr>
          <w:p w14:paraId="70500EA8" w14:textId="77777777" w:rsidR="004C3D75" w:rsidRPr="00C56257" w:rsidRDefault="004C3D75" w:rsidP="008E33FD">
            <w:pPr>
              <w:spacing w:line="259" w:lineRule="auto"/>
              <w:jc w:val="both"/>
              <w:rPr>
                <w:rFonts w:eastAsia="Calibri"/>
                <w:b/>
                <w:color w:val="000000" w:themeColor="text1"/>
              </w:rPr>
            </w:pPr>
          </w:p>
        </w:tc>
        <w:tc>
          <w:tcPr>
            <w:tcW w:w="2317" w:type="dxa"/>
          </w:tcPr>
          <w:p w14:paraId="4A4F3B5E" w14:textId="77777777" w:rsidR="004C3D75" w:rsidRPr="00C56257" w:rsidRDefault="004C3D75" w:rsidP="008E33FD">
            <w:pPr>
              <w:spacing w:line="259" w:lineRule="auto"/>
              <w:jc w:val="both"/>
              <w:rPr>
                <w:rFonts w:eastAsia="Calibri"/>
                <w:color w:val="000000" w:themeColor="text1"/>
              </w:rPr>
            </w:pPr>
            <w:r w:rsidRPr="00C56257">
              <w:rPr>
                <w:rFonts w:eastAsia="Calibri"/>
                <w:color w:val="000000" w:themeColor="text1"/>
              </w:rPr>
              <w:t>eroziunea solului</w:t>
            </w:r>
          </w:p>
        </w:tc>
        <w:tc>
          <w:tcPr>
            <w:tcW w:w="579" w:type="dxa"/>
          </w:tcPr>
          <w:p w14:paraId="5CA55432" w14:textId="77777777" w:rsidR="004C3D75" w:rsidRPr="00C56257" w:rsidRDefault="004C3D75" w:rsidP="008E33FD">
            <w:pPr>
              <w:spacing w:line="259" w:lineRule="auto"/>
              <w:jc w:val="both"/>
              <w:rPr>
                <w:rFonts w:eastAsia="Calibri"/>
                <w:color w:val="000000" w:themeColor="text1"/>
              </w:rPr>
            </w:pPr>
          </w:p>
        </w:tc>
        <w:tc>
          <w:tcPr>
            <w:tcW w:w="580" w:type="dxa"/>
          </w:tcPr>
          <w:p w14:paraId="4D9BF434" w14:textId="77777777" w:rsidR="004C3D75" w:rsidRPr="00C56257" w:rsidRDefault="004C3D75" w:rsidP="008E33FD">
            <w:pPr>
              <w:spacing w:line="259" w:lineRule="auto"/>
              <w:jc w:val="both"/>
              <w:rPr>
                <w:rFonts w:eastAsia="Calibri"/>
                <w:color w:val="000000" w:themeColor="text1"/>
              </w:rPr>
            </w:pPr>
          </w:p>
        </w:tc>
        <w:tc>
          <w:tcPr>
            <w:tcW w:w="579" w:type="dxa"/>
          </w:tcPr>
          <w:p w14:paraId="72F45A43" w14:textId="77777777" w:rsidR="004C3D75" w:rsidRPr="00C56257" w:rsidRDefault="004C3D75" w:rsidP="008E33FD">
            <w:pPr>
              <w:spacing w:line="259" w:lineRule="auto"/>
              <w:jc w:val="both"/>
              <w:rPr>
                <w:rFonts w:eastAsia="Calibri"/>
                <w:color w:val="000000" w:themeColor="text1"/>
              </w:rPr>
            </w:pPr>
          </w:p>
        </w:tc>
        <w:tc>
          <w:tcPr>
            <w:tcW w:w="580" w:type="dxa"/>
          </w:tcPr>
          <w:p w14:paraId="2337A158" w14:textId="77777777" w:rsidR="004C3D75" w:rsidRPr="00C56257" w:rsidRDefault="004C3D75" w:rsidP="008E33FD">
            <w:pPr>
              <w:spacing w:line="259" w:lineRule="auto"/>
              <w:jc w:val="both"/>
              <w:rPr>
                <w:rFonts w:eastAsia="Calibri"/>
                <w:color w:val="000000" w:themeColor="text1"/>
              </w:rPr>
            </w:pPr>
          </w:p>
        </w:tc>
      </w:tr>
      <w:tr w:rsidR="004C3D75" w:rsidRPr="00C56257" w14:paraId="14D5FBFA" w14:textId="77777777" w:rsidTr="004C3D75">
        <w:tc>
          <w:tcPr>
            <w:tcW w:w="2317" w:type="dxa"/>
            <w:vMerge/>
            <w:vAlign w:val="center"/>
          </w:tcPr>
          <w:p w14:paraId="27A70EB4" w14:textId="77777777" w:rsidR="004C3D75" w:rsidRPr="00C56257" w:rsidRDefault="004C3D75" w:rsidP="008E33FD">
            <w:pPr>
              <w:spacing w:line="259" w:lineRule="auto"/>
              <w:jc w:val="both"/>
              <w:rPr>
                <w:rFonts w:eastAsia="Calibri"/>
                <w:b/>
                <w:color w:val="000000" w:themeColor="text1"/>
                <w:u w:val="single"/>
              </w:rPr>
            </w:pPr>
          </w:p>
        </w:tc>
        <w:tc>
          <w:tcPr>
            <w:tcW w:w="2318" w:type="dxa"/>
            <w:vMerge/>
            <w:vAlign w:val="center"/>
          </w:tcPr>
          <w:p w14:paraId="4EEBC8B6" w14:textId="77777777" w:rsidR="004C3D75" w:rsidRPr="00C56257" w:rsidRDefault="004C3D75" w:rsidP="008E33FD">
            <w:pPr>
              <w:spacing w:line="259" w:lineRule="auto"/>
              <w:jc w:val="both"/>
              <w:rPr>
                <w:rFonts w:eastAsia="Calibri"/>
                <w:b/>
                <w:color w:val="000000" w:themeColor="text1"/>
              </w:rPr>
            </w:pPr>
          </w:p>
        </w:tc>
        <w:tc>
          <w:tcPr>
            <w:tcW w:w="2317" w:type="dxa"/>
          </w:tcPr>
          <w:p w14:paraId="467FC63C" w14:textId="77777777" w:rsidR="004C3D75" w:rsidRPr="00C56257" w:rsidRDefault="004C3D75" w:rsidP="008E33FD">
            <w:pPr>
              <w:spacing w:line="259" w:lineRule="auto"/>
              <w:jc w:val="both"/>
              <w:rPr>
                <w:rFonts w:eastAsia="Calibri"/>
                <w:color w:val="000000" w:themeColor="text1"/>
              </w:rPr>
            </w:pPr>
            <w:r w:rsidRPr="00C56257">
              <w:rPr>
                <w:rFonts w:eastAsia="Calibri"/>
                <w:color w:val="000000" w:themeColor="text1"/>
              </w:rPr>
              <w:t>prăbuşiri ale versantului (obturarea intrărilor/ deschiderea de noi intrări)</w:t>
            </w:r>
          </w:p>
        </w:tc>
        <w:tc>
          <w:tcPr>
            <w:tcW w:w="579" w:type="dxa"/>
          </w:tcPr>
          <w:p w14:paraId="2EE4B6A7" w14:textId="77777777" w:rsidR="004C3D75" w:rsidRPr="00C56257" w:rsidRDefault="004C3D75" w:rsidP="008E33FD">
            <w:pPr>
              <w:spacing w:line="259" w:lineRule="auto"/>
              <w:jc w:val="both"/>
              <w:rPr>
                <w:rFonts w:eastAsia="Calibri"/>
                <w:color w:val="000000" w:themeColor="text1"/>
              </w:rPr>
            </w:pPr>
          </w:p>
        </w:tc>
        <w:tc>
          <w:tcPr>
            <w:tcW w:w="580" w:type="dxa"/>
          </w:tcPr>
          <w:p w14:paraId="173FE9C1" w14:textId="77777777" w:rsidR="004C3D75" w:rsidRPr="00C56257" w:rsidRDefault="004C3D75" w:rsidP="008E33FD">
            <w:pPr>
              <w:spacing w:line="259" w:lineRule="auto"/>
              <w:jc w:val="both"/>
              <w:rPr>
                <w:rFonts w:eastAsia="Calibri"/>
                <w:color w:val="000000" w:themeColor="text1"/>
              </w:rPr>
            </w:pPr>
          </w:p>
        </w:tc>
        <w:tc>
          <w:tcPr>
            <w:tcW w:w="579" w:type="dxa"/>
          </w:tcPr>
          <w:p w14:paraId="09F756BA" w14:textId="77777777" w:rsidR="004C3D75" w:rsidRPr="00C56257" w:rsidRDefault="004C3D75" w:rsidP="008E33FD">
            <w:pPr>
              <w:spacing w:line="259" w:lineRule="auto"/>
              <w:jc w:val="both"/>
              <w:rPr>
                <w:rFonts w:eastAsia="Calibri"/>
                <w:color w:val="000000" w:themeColor="text1"/>
              </w:rPr>
            </w:pPr>
          </w:p>
        </w:tc>
        <w:tc>
          <w:tcPr>
            <w:tcW w:w="580" w:type="dxa"/>
          </w:tcPr>
          <w:p w14:paraId="70C6C73A" w14:textId="77777777" w:rsidR="004C3D75" w:rsidRPr="00C56257" w:rsidRDefault="004C3D75" w:rsidP="008E33FD">
            <w:pPr>
              <w:spacing w:line="259" w:lineRule="auto"/>
              <w:jc w:val="both"/>
              <w:rPr>
                <w:rFonts w:eastAsia="Calibri"/>
                <w:color w:val="000000" w:themeColor="text1"/>
              </w:rPr>
            </w:pPr>
          </w:p>
        </w:tc>
      </w:tr>
      <w:tr w:rsidR="004C3D75" w:rsidRPr="00C56257" w14:paraId="7CA9146C" w14:textId="77777777" w:rsidTr="004C3D75">
        <w:tc>
          <w:tcPr>
            <w:tcW w:w="2317" w:type="dxa"/>
            <w:vMerge/>
            <w:vAlign w:val="center"/>
          </w:tcPr>
          <w:p w14:paraId="70305BB1" w14:textId="77777777" w:rsidR="004C3D75" w:rsidRPr="00C56257" w:rsidRDefault="004C3D75" w:rsidP="008E33FD">
            <w:pPr>
              <w:spacing w:line="259" w:lineRule="auto"/>
              <w:jc w:val="both"/>
              <w:rPr>
                <w:rFonts w:eastAsia="Calibri"/>
                <w:b/>
                <w:color w:val="000000" w:themeColor="text1"/>
                <w:u w:val="single"/>
              </w:rPr>
            </w:pPr>
          </w:p>
        </w:tc>
        <w:tc>
          <w:tcPr>
            <w:tcW w:w="2318" w:type="dxa"/>
            <w:vMerge/>
            <w:vAlign w:val="center"/>
          </w:tcPr>
          <w:p w14:paraId="0A3A8625" w14:textId="77777777" w:rsidR="004C3D75" w:rsidRPr="00C56257" w:rsidRDefault="004C3D75" w:rsidP="008E33FD">
            <w:pPr>
              <w:spacing w:line="259" w:lineRule="auto"/>
              <w:jc w:val="both"/>
              <w:rPr>
                <w:rFonts w:eastAsia="Calibri"/>
                <w:b/>
                <w:color w:val="000000" w:themeColor="text1"/>
              </w:rPr>
            </w:pPr>
          </w:p>
        </w:tc>
        <w:tc>
          <w:tcPr>
            <w:tcW w:w="2317" w:type="dxa"/>
          </w:tcPr>
          <w:p w14:paraId="02390233" w14:textId="77777777" w:rsidR="004C3D75" w:rsidRPr="00C56257" w:rsidRDefault="004C3D75" w:rsidP="008E33FD">
            <w:pPr>
              <w:spacing w:line="259" w:lineRule="auto"/>
              <w:jc w:val="both"/>
              <w:rPr>
                <w:rFonts w:eastAsia="Calibri"/>
                <w:color w:val="000000" w:themeColor="text1"/>
              </w:rPr>
            </w:pPr>
            <w:r w:rsidRPr="00C56257">
              <w:rPr>
                <w:rFonts w:eastAsia="Calibri"/>
                <w:color w:val="000000" w:themeColor="text1"/>
              </w:rPr>
              <w:t>colmatarea intrărilor (viituri, râuri de pietre)</w:t>
            </w:r>
          </w:p>
        </w:tc>
        <w:tc>
          <w:tcPr>
            <w:tcW w:w="579" w:type="dxa"/>
          </w:tcPr>
          <w:p w14:paraId="60162050" w14:textId="77777777" w:rsidR="004C3D75" w:rsidRPr="00C56257" w:rsidRDefault="004C3D75" w:rsidP="008E33FD">
            <w:pPr>
              <w:spacing w:line="259" w:lineRule="auto"/>
              <w:jc w:val="both"/>
              <w:rPr>
                <w:rFonts w:eastAsia="Calibri"/>
                <w:color w:val="000000" w:themeColor="text1"/>
              </w:rPr>
            </w:pPr>
          </w:p>
        </w:tc>
        <w:tc>
          <w:tcPr>
            <w:tcW w:w="580" w:type="dxa"/>
          </w:tcPr>
          <w:p w14:paraId="4BE28956" w14:textId="77777777" w:rsidR="004C3D75" w:rsidRPr="00C56257" w:rsidRDefault="004C3D75" w:rsidP="008E33FD">
            <w:pPr>
              <w:spacing w:line="259" w:lineRule="auto"/>
              <w:jc w:val="both"/>
              <w:rPr>
                <w:rFonts w:eastAsia="Calibri"/>
                <w:color w:val="000000" w:themeColor="text1"/>
              </w:rPr>
            </w:pPr>
          </w:p>
        </w:tc>
        <w:tc>
          <w:tcPr>
            <w:tcW w:w="579" w:type="dxa"/>
          </w:tcPr>
          <w:p w14:paraId="4CBB84C7" w14:textId="77777777" w:rsidR="004C3D75" w:rsidRPr="00C56257" w:rsidRDefault="004C3D75" w:rsidP="008E33FD">
            <w:pPr>
              <w:spacing w:line="259" w:lineRule="auto"/>
              <w:jc w:val="both"/>
              <w:rPr>
                <w:rFonts w:eastAsia="Calibri"/>
                <w:color w:val="000000" w:themeColor="text1"/>
              </w:rPr>
            </w:pPr>
          </w:p>
        </w:tc>
        <w:tc>
          <w:tcPr>
            <w:tcW w:w="580" w:type="dxa"/>
          </w:tcPr>
          <w:p w14:paraId="50E1ACA5" w14:textId="77777777" w:rsidR="004C3D75" w:rsidRPr="00C56257" w:rsidRDefault="004C3D75" w:rsidP="008E33FD">
            <w:pPr>
              <w:spacing w:line="259" w:lineRule="auto"/>
              <w:jc w:val="both"/>
              <w:rPr>
                <w:rFonts w:eastAsia="Calibri"/>
                <w:color w:val="000000" w:themeColor="text1"/>
              </w:rPr>
            </w:pPr>
          </w:p>
        </w:tc>
      </w:tr>
      <w:tr w:rsidR="004C3D75" w:rsidRPr="00C56257" w14:paraId="5D1C5B93" w14:textId="77777777" w:rsidTr="004C3D75">
        <w:tc>
          <w:tcPr>
            <w:tcW w:w="2317" w:type="dxa"/>
            <w:vMerge/>
            <w:vAlign w:val="center"/>
          </w:tcPr>
          <w:p w14:paraId="7D81754E" w14:textId="77777777" w:rsidR="004C3D75" w:rsidRPr="00C56257" w:rsidRDefault="004C3D75" w:rsidP="008E33FD">
            <w:pPr>
              <w:spacing w:line="259" w:lineRule="auto"/>
              <w:jc w:val="both"/>
              <w:rPr>
                <w:rFonts w:eastAsia="Calibri"/>
                <w:b/>
                <w:color w:val="000000" w:themeColor="text1"/>
                <w:u w:val="single"/>
              </w:rPr>
            </w:pPr>
          </w:p>
        </w:tc>
        <w:tc>
          <w:tcPr>
            <w:tcW w:w="2318" w:type="dxa"/>
            <w:vMerge w:val="restart"/>
            <w:vAlign w:val="center"/>
          </w:tcPr>
          <w:p w14:paraId="6A7E3E20"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antropic</w:t>
            </w:r>
          </w:p>
        </w:tc>
        <w:tc>
          <w:tcPr>
            <w:tcW w:w="2317" w:type="dxa"/>
          </w:tcPr>
          <w:p w14:paraId="08223728" w14:textId="77777777" w:rsidR="004C3D75" w:rsidRPr="00C56257" w:rsidRDefault="004C3D75" w:rsidP="008E33FD">
            <w:pPr>
              <w:spacing w:line="259" w:lineRule="auto"/>
              <w:jc w:val="both"/>
              <w:rPr>
                <w:rFonts w:eastAsia="Calibri"/>
                <w:color w:val="000000" w:themeColor="text1"/>
              </w:rPr>
            </w:pPr>
            <w:r w:rsidRPr="00C56257">
              <w:rPr>
                <w:rFonts w:eastAsia="Calibri"/>
                <w:color w:val="000000" w:themeColor="text1"/>
              </w:rPr>
              <w:t>prezenţa carierelor</w:t>
            </w:r>
          </w:p>
        </w:tc>
        <w:tc>
          <w:tcPr>
            <w:tcW w:w="579" w:type="dxa"/>
          </w:tcPr>
          <w:p w14:paraId="23AAB1BB" w14:textId="77777777" w:rsidR="004C3D75" w:rsidRPr="00C56257" w:rsidRDefault="004C3D75" w:rsidP="008E33FD">
            <w:pPr>
              <w:spacing w:line="259" w:lineRule="auto"/>
              <w:jc w:val="both"/>
              <w:rPr>
                <w:rFonts w:eastAsia="Calibri"/>
                <w:color w:val="000000" w:themeColor="text1"/>
              </w:rPr>
            </w:pPr>
          </w:p>
        </w:tc>
        <w:tc>
          <w:tcPr>
            <w:tcW w:w="580" w:type="dxa"/>
          </w:tcPr>
          <w:p w14:paraId="66710F40" w14:textId="77777777" w:rsidR="004C3D75" w:rsidRPr="00C56257" w:rsidRDefault="004C3D75" w:rsidP="008E33FD">
            <w:pPr>
              <w:spacing w:line="259" w:lineRule="auto"/>
              <w:jc w:val="both"/>
              <w:rPr>
                <w:rFonts w:eastAsia="Calibri"/>
                <w:color w:val="000000" w:themeColor="text1"/>
              </w:rPr>
            </w:pPr>
          </w:p>
        </w:tc>
        <w:tc>
          <w:tcPr>
            <w:tcW w:w="579" w:type="dxa"/>
          </w:tcPr>
          <w:p w14:paraId="1A62EC8F" w14:textId="77777777" w:rsidR="004C3D75" w:rsidRPr="00C56257" w:rsidRDefault="004C3D75" w:rsidP="008E33FD">
            <w:pPr>
              <w:spacing w:line="259" w:lineRule="auto"/>
              <w:jc w:val="both"/>
              <w:rPr>
                <w:rFonts w:eastAsia="Calibri"/>
                <w:color w:val="000000" w:themeColor="text1"/>
              </w:rPr>
            </w:pPr>
          </w:p>
        </w:tc>
        <w:tc>
          <w:tcPr>
            <w:tcW w:w="580" w:type="dxa"/>
          </w:tcPr>
          <w:p w14:paraId="6019E969" w14:textId="77777777" w:rsidR="004C3D75" w:rsidRPr="00C56257" w:rsidRDefault="004C3D75" w:rsidP="008E33FD">
            <w:pPr>
              <w:spacing w:line="259" w:lineRule="auto"/>
              <w:jc w:val="both"/>
              <w:rPr>
                <w:rFonts w:eastAsia="Calibri"/>
                <w:color w:val="000000" w:themeColor="text1"/>
              </w:rPr>
            </w:pPr>
          </w:p>
        </w:tc>
      </w:tr>
      <w:tr w:rsidR="004C3D75" w:rsidRPr="00C56257" w14:paraId="3A06F6F7" w14:textId="77777777" w:rsidTr="004C3D75">
        <w:tc>
          <w:tcPr>
            <w:tcW w:w="2317" w:type="dxa"/>
            <w:vMerge/>
            <w:vAlign w:val="center"/>
          </w:tcPr>
          <w:p w14:paraId="23F20EF7" w14:textId="77777777" w:rsidR="004C3D75" w:rsidRPr="00C56257" w:rsidRDefault="004C3D75" w:rsidP="008E33FD">
            <w:pPr>
              <w:spacing w:line="259" w:lineRule="auto"/>
              <w:jc w:val="both"/>
              <w:rPr>
                <w:rFonts w:eastAsia="Calibri"/>
                <w:b/>
                <w:color w:val="000000" w:themeColor="text1"/>
                <w:u w:val="single"/>
              </w:rPr>
            </w:pPr>
          </w:p>
        </w:tc>
        <w:tc>
          <w:tcPr>
            <w:tcW w:w="2318" w:type="dxa"/>
            <w:vMerge/>
            <w:vAlign w:val="center"/>
          </w:tcPr>
          <w:p w14:paraId="1834D72D" w14:textId="77777777" w:rsidR="004C3D75" w:rsidRPr="00C56257" w:rsidRDefault="004C3D75" w:rsidP="008E33FD">
            <w:pPr>
              <w:spacing w:line="259" w:lineRule="auto"/>
              <w:jc w:val="both"/>
              <w:rPr>
                <w:rFonts w:eastAsia="Calibri"/>
                <w:b/>
                <w:color w:val="000000" w:themeColor="text1"/>
              </w:rPr>
            </w:pPr>
          </w:p>
        </w:tc>
        <w:tc>
          <w:tcPr>
            <w:tcW w:w="2317" w:type="dxa"/>
          </w:tcPr>
          <w:p w14:paraId="3E2F8ABA" w14:textId="77777777" w:rsidR="004C3D75" w:rsidRPr="00C56257" w:rsidRDefault="004C3D75" w:rsidP="008E33FD">
            <w:pPr>
              <w:spacing w:line="259" w:lineRule="auto"/>
              <w:jc w:val="both"/>
              <w:rPr>
                <w:rFonts w:eastAsia="Calibri"/>
                <w:color w:val="000000" w:themeColor="text1"/>
              </w:rPr>
            </w:pPr>
            <w:r w:rsidRPr="00C56257">
              <w:rPr>
                <w:rFonts w:eastAsia="Calibri"/>
                <w:color w:val="000000" w:themeColor="text1"/>
              </w:rPr>
              <w:t>defrişări atât în suprafaţa acoperită de peştera, cât şi în impluviul carstic</w:t>
            </w:r>
          </w:p>
        </w:tc>
        <w:tc>
          <w:tcPr>
            <w:tcW w:w="579" w:type="dxa"/>
          </w:tcPr>
          <w:p w14:paraId="40E9CFF2" w14:textId="77777777" w:rsidR="004C3D75" w:rsidRPr="00C56257" w:rsidRDefault="004C3D75" w:rsidP="008E33FD">
            <w:pPr>
              <w:spacing w:line="259" w:lineRule="auto"/>
              <w:jc w:val="both"/>
              <w:rPr>
                <w:rFonts w:eastAsia="Calibri"/>
                <w:color w:val="000000" w:themeColor="text1"/>
              </w:rPr>
            </w:pPr>
          </w:p>
        </w:tc>
        <w:tc>
          <w:tcPr>
            <w:tcW w:w="580" w:type="dxa"/>
          </w:tcPr>
          <w:p w14:paraId="64DB509A" w14:textId="77777777" w:rsidR="004C3D75" w:rsidRPr="00C56257" w:rsidRDefault="004C3D75" w:rsidP="008E33FD">
            <w:pPr>
              <w:spacing w:line="259" w:lineRule="auto"/>
              <w:jc w:val="both"/>
              <w:rPr>
                <w:rFonts w:eastAsia="Calibri"/>
                <w:color w:val="000000" w:themeColor="text1"/>
              </w:rPr>
            </w:pPr>
          </w:p>
        </w:tc>
        <w:tc>
          <w:tcPr>
            <w:tcW w:w="579" w:type="dxa"/>
          </w:tcPr>
          <w:p w14:paraId="4CB00E0B" w14:textId="77777777" w:rsidR="004C3D75" w:rsidRPr="00C56257" w:rsidRDefault="004C3D75" w:rsidP="008E33FD">
            <w:pPr>
              <w:spacing w:line="259" w:lineRule="auto"/>
              <w:jc w:val="both"/>
              <w:rPr>
                <w:rFonts w:eastAsia="Calibri"/>
                <w:color w:val="000000" w:themeColor="text1"/>
              </w:rPr>
            </w:pPr>
          </w:p>
        </w:tc>
        <w:tc>
          <w:tcPr>
            <w:tcW w:w="580" w:type="dxa"/>
          </w:tcPr>
          <w:p w14:paraId="19179DA1" w14:textId="77777777" w:rsidR="004C3D75" w:rsidRPr="00C56257" w:rsidRDefault="004C3D75" w:rsidP="008E33FD">
            <w:pPr>
              <w:spacing w:line="259" w:lineRule="auto"/>
              <w:jc w:val="both"/>
              <w:rPr>
                <w:rFonts w:eastAsia="Calibri"/>
                <w:color w:val="000000" w:themeColor="text1"/>
              </w:rPr>
            </w:pPr>
          </w:p>
        </w:tc>
      </w:tr>
      <w:tr w:rsidR="004C3D75" w:rsidRPr="00C56257" w14:paraId="135CA57F" w14:textId="77777777" w:rsidTr="004C3D75">
        <w:tc>
          <w:tcPr>
            <w:tcW w:w="2317" w:type="dxa"/>
            <w:vMerge/>
            <w:vAlign w:val="center"/>
          </w:tcPr>
          <w:p w14:paraId="383D3487" w14:textId="77777777" w:rsidR="004C3D75" w:rsidRPr="00C56257" w:rsidRDefault="004C3D75" w:rsidP="008E33FD">
            <w:pPr>
              <w:spacing w:line="259" w:lineRule="auto"/>
              <w:jc w:val="both"/>
              <w:rPr>
                <w:rFonts w:eastAsia="Calibri"/>
                <w:b/>
                <w:color w:val="000000" w:themeColor="text1"/>
                <w:u w:val="single"/>
              </w:rPr>
            </w:pPr>
          </w:p>
        </w:tc>
        <w:tc>
          <w:tcPr>
            <w:tcW w:w="2318" w:type="dxa"/>
            <w:vMerge/>
            <w:vAlign w:val="center"/>
          </w:tcPr>
          <w:p w14:paraId="1F14EDDF" w14:textId="77777777" w:rsidR="004C3D75" w:rsidRPr="00C56257" w:rsidRDefault="004C3D75" w:rsidP="008E33FD">
            <w:pPr>
              <w:spacing w:line="259" w:lineRule="auto"/>
              <w:jc w:val="both"/>
              <w:rPr>
                <w:rFonts w:eastAsia="Calibri"/>
                <w:b/>
                <w:color w:val="000000" w:themeColor="text1"/>
              </w:rPr>
            </w:pPr>
          </w:p>
        </w:tc>
        <w:tc>
          <w:tcPr>
            <w:tcW w:w="2317" w:type="dxa"/>
          </w:tcPr>
          <w:p w14:paraId="00F63ACA" w14:textId="77777777" w:rsidR="004C3D75" w:rsidRPr="00C56257" w:rsidRDefault="004C3D75" w:rsidP="008E33FD">
            <w:pPr>
              <w:spacing w:line="259" w:lineRule="auto"/>
              <w:jc w:val="both"/>
              <w:rPr>
                <w:rFonts w:eastAsia="Calibri"/>
                <w:color w:val="000000" w:themeColor="text1"/>
              </w:rPr>
            </w:pPr>
            <w:r w:rsidRPr="00C56257">
              <w:rPr>
                <w:rFonts w:eastAsia="Calibri"/>
                <w:color w:val="000000" w:themeColor="text1"/>
              </w:rPr>
              <w:t>agricultură intensivă (chimizarea solului, ierbicide, pesticide)</w:t>
            </w:r>
          </w:p>
        </w:tc>
        <w:tc>
          <w:tcPr>
            <w:tcW w:w="579" w:type="dxa"/>
          </w:tcPr>
          <w:p w14:paraId="013A0265" w14:textId="77777777" w:rsidR="004C3D75" w:rsidRPr="00C56257" w:rsidRDefault="004C3D75" w:rsidP="008E33FD">
            <w:pPr>
              <w:spacing w:line="259" w:lineRule="auto"/>
              <w:jc w:val="both"/>
              <w:rPr>
                <w:rFonts w:eastAsia="Calibri"/>
                <w:color w:val="000000" w:themeColor="text1"/>
              </w:rPr>
            </w:pPr>
          </w:p>
        </w:tc>
        <w:tc>
          <w:tcPr>
            <w:tcW w:w="580" w:type="dxa"/>
          </w:tcPr>
          <w:p w14:paraId="297A9A36" w14:textId="77777777" w:rsidR="004C3D75" w:rsidRPr="00C56257" w:rsidRDefault="004C3D75" w:rsidP="008E33FD">
            <w:pPr>
              <w:spacing w:line="259" w:lineRule="auto"/>
              <w:jc w:val="both"/>
              <w:rPr>
                <w:rFonts w:eastAsia="Calibri"/>
                <w:color w:val="000000" w:themeColor="text1"/>
              </w:rPr>
            </w:pPr>
          </w:p>
        </w:tc>
        <w:tc>
          <w:tcPr>
            <w:tcW w:w="579" w:type="dxa"/>
          </w:tcPr>
          <w:p w14:paraId="5F7ACD76" w14:textId="77777777" w:rsidR="004C3D75" w:rsidRPr="00C56257" w:rsidRDefault="004C3D75" w:rsidP="008E33FD">
            <w:pPr>
              <w:spacing w:line="259" w:lineRule="auto"/>
              <w:jc w:val="both"/>
              <w:rPr>
                <w:rFonts w:eastAsia="Calibri"/>
                <w:color w:val="000000" w:themeColor="text1"/>
              </w:rPr>
            </w:pPr>
          </w:p>
        </w:tc>
        <w:tc>
          <w:tcPr>
            <w:tcW w:w="580" w:type="dxa"/>
          </w:tcPr>
          <w:p w14:paraId="05291022" w14:textId="77777777" w:rsidR="004C3D75" w:rsidRPr="00C56257" w:rsidRDefault="004C3D75" w:rsidP="008E33FD">
            <w:pPr>
              <w:spacing w:line="259" w:lineRule="auto"/>
              <w:jc w:val="both"/>
              <w:rPr>
                <w:rFonts w:eastAsia="Calibri"/>
                <w:color w:val="000000" w:themeColor="text1"/>
              </w:rPr>
            </w:pPr>
          </w:p>
        </w:tc>
      </w:tr>
      <w:tr w:rsidR="004C3D75" w:rsidRPr="00C56257" w14:paraId="5E4770AC" w14:textId="77777777" w:rsidTr="004C3D75">
        <w:tc>
          <w:tcPr>
            <w:tcW w:w="2317" w:type="dxa"/>
            <w:vMerge/>
            <w:vAlign w:val="center"/>
          </w:tcPr>
          <w:p w14:paraId="6445B501" w14:textId="77777777" w:rsidR="004C3D75" w:rsidRPr="00C56257" w:rsidRDefault="004C3D75" w:rsidP="008E33FD">
            <w:pPr>
              <w:spacing w:line="259" w:lineRule="auto"/>
              <w:jc w:val="both"/>
              <w:rPr>
                <w:rFonts w:eastAsia="Calibri"/>
                <w:b/>
                <w:color w:val="000000" w:themeColor="text1"/>
                <w:u w:val="single"/>
              </w:rPr>
            </w:pPr>
          </w:p>
        </w:tc>
        <w:tc>
          <w:tcPr>
            <w:tcW w:w="2318" w:type="dxa"/>
            <w:vMerge/>
            <w:vAlign w:val="center"/>
          </w:tcPr>
          <w:p w14:paraId="613DC639" w14:textId="77777777" w:rsidR="004C3D75" w:rsidRPr="00C56257" w:rsidRDefault="004C3D75" w:rsidP="008E33FD">
            <w:pPr>
              <w:spacing w:line="259" w:lineRule="auto"/>
              <w:jc w:val="both"/>
              <w:rPr>
                <w:rFonts w:eastAsia="Calibri"/>
                <w:b/>
                <w:color w:val="000000" w:themeColor="text1"/>
              </w:rPr>
            </w:pPr>
          </w:p>
        </w:tc>
        <w:tc>
          <w:tcPr>
            <w:tcW w:w="2317" w:type="dxa"/>
          </w:tcPr>
          <w:p w14:paraId="19EA50E6" w14:textId="77777777" w:rsidR="004C3D75" w:rsidRPr="00C56257" w:rsidRDefault="004C3D75" w:rsidP="008E33FD">
            <w:pPr>
              <w:spacing w:line="259" w:lineRule="auto"/>
              <w:jc w:val="both"/>
              <w:rPr>
                <w:rFonts w:eastAsia="Calibri"/>
                <w:color w:val="000000" w:themeColor="text1"/>
              </w:rPr>
            </w:pPr>
            <w:r w:rsidRPr="00C56257">
              <w:rPr>
                <w:rFonts w:eastAsia="Calibri"/>
                <w:color w:val="000000" w:themeColor="text1"/>
              </w:rPr>
              <w:t>construcţii, căi de comunicaţii în perimetrul peşterii</w:t>
            </w:r>
          </w:p>
        </w:tc>
        <w:tc>
          <w:tcPr>
            <w:tcW w:w="579" w:type="dxa"/>
          </w:tcPr>
          <w:p w14:paraId="4D2E5960" w14:textId="77777777" w:rsidR="004C3D75" w:rsidRPr="00C56257" w:rsidRDefault="004C3D75" w:rsidP="008E33FD">
            <w:pPr>
              <w:spacing w:line="259" w:lineRule="auto"/>
              <w:jc w:val="both"/>
              <w:rPr>
                <w:rFonts w:eastAsia="Calibri"/>
                <w:color w:val="000000" w:themeColor="text1"/>
              </w:rPr>
            </w:pPr>
          </w:p>
        </w:tc>
        <w:tc>
          <w:tcPr>
            <w:tcW w:w="580" w:type="dxa"/>
          </w:tcPr>
          <w:p w14:paraId="06279F34" w14:textId="77777777" w:rsidR="004C3D75" w:rsidRPr="00C56257" w:rsidRDefault="004C3D75" w:rsidP="008E33FD">
            <w:pPr>
              <w:spacing w:line="259" w:lineRule="auto"/>
              <w:jc w:val="both"/>
              <w:rPr>
                <w:rFonts w:eastAsia="Calibri"/>
                <w:color w:val="000000" w:themeColor="text1"/>
              </w:rPr>
            </w:pPr>
          </w:p>
        </w:tc>
        <w:tc>
          <w:tcPr>
            <w:tcW w:w="579" w:type="dxa"/>
          </w:tcPr>
          <w:p w14:paraId="391353E0" w14:textId="77777777" w:rsidR="004C3D75" w:rsidRPr="00C56257" w:rsidRDefault="004C3D75" w:rsidP="008E33FD">
            <w:pPr>
              <w:spacing w:line="259" w:lineRule="auto"/>
              <w:jc w:val="both"/>
              <w:rPr>
                <w:rFonts w:eastAsia="Calibri"/>
                <w:color w:val="000000" w:themeColor="text1"/>
              </w:rPr>
            </w:pPr>
          </w:p>
        </w:tc>
        <w:tc>
          <w:tcPr>
            <w:tcW w:w="580" w:type="dxa"/>
          </w:tcPr>
          <w:p w14:paraId="358584E1" w14:textId="77777777" w:rsidR="004C3D75" w:rsidRPr="00C56257" w:rsidRDefault="004C3D75" w:rsidP="008E33FD">
            <w:pPr>
              <w:spacing w:line="259" w:lineRule="auto"/>
              <w:jc w:val="both"/>
              <w:rPr>
                <w:rFonts w:eastAsia="Calibri"/>
                <w:color w:val="000000" w:themeColor="text1"/>
              </w:rPr>
            </w:pPr>
          </w:p>
        </w:tc>
      </w:tr>
      <w:tr w:rsidR="004C3D75" w:rsidRPr="00C56257" w14:paraId="7BCAB34A" w14:textId="77777777" w:rsidTr="004C3D75">
        <w:tc>
          <w:tcPr>
            <w:tcW w:w="2317" w:type="dxa"/>
            <w:vMerge/>
            <w:vAlign w:val="center"/>
          </w:tcPr>
          <w:p w14:paraId="75BA5484" w14:textId="77777777" w:rsidR="004C3D75" w:rsidRPr="00C56257" w:rsidRDefault="004C3D75" w:rsidP="008E33FD">
            <w:pPr>
              <w:spacing w:line="259" w:lineRule="auto"/>
              <w:jc w:val="both"/>
              <w:rPr>
                <w:rFonts w:eastAsia="Calibri"/>
                <w:b/>
                <w:color w:val="000000" w:themeColor="text1"/>
                <w:u w:val="single"/>
              </w:rPr>
            </w:pPr>
          </w:p>
        </w:tc>
        <w:tc>
          <w:tcPr>
            <w:tcW w:w="2318" w:type="dxa"/>
            <w:vMerge/>
            <w:vAlign w:val="center"/>
          </w:tcPr>
          <w:p w14:paraId="08494A96" w14:textId="77777777" w:rsidR="004C3D75" w:rsidRPr="00C56257" w:rsidRDefault="004C3D75" w:rsidP="008E33FD">
            <w:pPr>
              <w:spacing w:line="259" w:lineRule="auto"/>
              <w:jc w:val="both"/>
              <w:rPr>
                <w:rFonts w:eastAsia="Calibri"/>
                <w:b/>
                <w:color w:val="000000" w:themeColor="text1"/>
              </w:rPr>
            </w:pPr>
          </w:p>
        </w:tc>
        <w:tc>
          <w:tcPr>
            <w:tcW w:w="2317" w:type="dxa"/>
          </w:tcPr>
          <w:p w14:paraId="7EBF0F11" w14:textId="77777777" w:rsidR="004C3D75" w:rsidRPr="00C56257" w:rsidRDefault="004C3D75" w:rsidP="008E33FD">
            <w:pPr>
              <w:spacing w:line="259" w:lineRule="auto"/>
              <w:jc w:val="both"/>
              <w:rPr>
                <w:rFonts w:eastAsia="Calibri"/>
                <w:color w:val="000000" w:themeColor="text1"/>
              </w:rPr>
            </w:pPr>
            <w:r w:rsidRPr="00C56257">
              <w:rPr>
                <w:rFonts w:eastAsia="Calibri"/>
                <w:color w:val="000000" w:themeColor="text1"/>
              </w:rPr>
              <w:t>captări de apă în impluviul carstic</w:t>
            </w:r>
          </w:p>
        </w:tc>
        <w:tc>
          <w:tcPr>
            <w:tcW w:w="579" w:type="dxa"/>
          </w:tcPr>
          <w:p w14:paraId="02B1F052" w14:textId="77777777" w:rsidR="004C3D75" w:rsidRPr="00C56257" w:rsidRDefault="004C3D75" w:rsidP="008E33FD">
            <w:pPr>
              <w:spacing w:line="259" w:lineRule="auto"/>
              <w:jc w:val="both"/>
              <w:rPr>
                <w:rFonts w:eastAsia="Calibri"/>
                <w:color w:val="000000" w:themeColor="text1"/>
              </w:rPr>
            </w:pPr>
          </w:p>
        </w:tc>
        <w:tc>
          <w:tcPr>
            <w:tcW w:w="580" w:type="dxa"/>
          </w:tcPr>
          <w:p w14:paraId="7F5D380D" w14:textId="77777777" w:rsidR="004C3D75" w:rsidRPr="00C56257" w:rsidRDefault="004C3D75" w:rsidP="008E33FD">
            <w:pPr>
              <w:spacing w:line="259" w:lineRule="auto"/>
              <w:jc w:val="both"/>
              <w:rPr>
                <w:rFonts w:eastAsia="Calibri"/>
                <w:color w:val="000000" w:themeColor="text1"/>
              </w:rPr>
            </w:pPr>
          </w:p>
        </w:tc>
        <w:tc>
          <w:tcPr>
            <w:tcW w:w="579" w:type="dxa"/>
          </w:tcPr>
          <w:p w14:paraId="363C48C1" w14:textId="77777777" w:rsidR="004C3D75" w:rsidRPr="00C56257" w:rsidRDefault="004C3D75" w:rsidP="008E33FD">
            <w:pPr>
              <w:spacing w:line="259" w:lineRule="auto"/>
              <w:jc w:val="both"/>
              <w:rPr>
                <w:rFonts w:eastAsia="Calibri"/>
                <w:color w:val="000000" w:themeColor="text1"/>
              </w:rPr>
            </w:pPr>
          </w:p>
        </w:tc>
        <w:tc>
          <w:tcPr>
            <w:tcW w:w="580" w:type="dxa"/>
          </w:tcPr>
          <w:p w14:paraId="41BFF299" w14:textId="77777777" w:rsidR="004C3D75" w:rsidRPr="00C56257" w:rsidRDefault="004C3D75" w:rsidP="008E33FD">
            <w:pPr>
              <w:spacing w:line="259" w:lineRule="auto"/>
              <w:jc w:val="both"/>
              <w:rPr>
                <w:rFonts w:eastAsia="Calibri"/>
                <w:color w:val="000000" w:themeColor="text1"/>
              </w:rPr>
            </w:pPr>
          </w:p>
        </w:tc>
      </w:tr>
      <w:tr w:rsidR="004C3D75" w:rsidRPr="00C56257" w14:paraId="7A2F390D" w14:textId="77777777" w:rsidTr="004C3D75">
        <w:tc>
          <w:tcPr>
            <w:tcW w:w="2317" w:type="dxa"/>
            <w:vMerge/>
            <w:vAlign w:val="center"/>
          </w:tcPr>
          <w:p w14:paraId="2A4D2AAD" w14:textId="77777777" w:rsidR="004C3D75" w:rsidRPr="00C56257" w:rsidRDefault="004C3D75" w:rsidP="008E33FD">
            <w:pPr>
              <w:spacing w:line="259" w:lineRule="auto"/>
              <w:jc w:val="both"/>
              <w:rPr>
                <w:rFonts w:eastAsia="Calibri"/>
                <w:b/>
                <w:color w:val="000000" w:themeColor="text1"/>
                <w:u w:val="single"/>
              </w:rPr>
            </w:pPr>
          </w:p>
        </w:tc>
        <w:tc>
          <w:tcPr>
            <w:tcW w:w="2318" w:type="dxa"/>
            <w:vMerge/>
            <w:vAlign w:val="center"/>
          </w:tcPr>
          <w:p w14:paraId="6D6AEE02" w14:textId="77777777" w:rsidR="004C3D75" w:rsidRPr="00C56257" w:rsidRDefault="004C3D75" w:rsidP="008E33FD">
            <w:pPr>
              <w:spacing w:line="259" w:lineRule="auto"/>
              <w:jc w:val="both"/>
              <w:rPr>
                <w:rFonts w:eastAsia="Calibri"/>
                <w:b/>
                <w:color w:val="000000" w:themeColor="text1"/>
              </w:rPr>
            </w:pPr>
          </w:p>
        </w:tc>
        <w:tc>
          <w:tcPr>
            <w:tcW w:w="2317" w:type="dxa"/>
          </w:tcPr>
          <w:p w14:paraId="3A39C7A6" w14:textId="77777777" w:rsidR="004C3D75" w:rsidRPr="00C56257" w:rsidRDefault="004C3D75" w:rsidP="008E33FD">
            <w:pPr>
              <w:spacing w:line="259" w:lineRule="auto"/>
              <w:jc w:val="both"/>
              <w:rPr>
                <w:rFonts w:eastAsia="Calibri"/>
                <w:color w:val="000000" w:themeColor="text1"/>
              </w:rPr>
            </w:pPr>
            <w:r w:rsidRPr="00C56257">
              <w:rPr>
                <w:rFonts w:eastAsia="Calibri"/>
                <w:color w:val="000000" w:themeColor="text1"/>
              </w:rPr>
              <w:t>poluarea solului şi apelor</w:t>
            </w:r>
          </w:p>
        </w:tc>
        <w:tc>
          <w:tcPr>
            <w:tcW w:w="579" w:type="dxa"/>
          </w:tcPr>
          <w:p w14:paraId="55AD0E22" w14:textId="77777777" w:rsidR="004C3D75" w:rsidRPr="00C56257" w:rsidRDefault="004C3D75" w:rsidP="008E33FD">
            <w:pPr>
              <w:spacing w:line="259" w:lineRule="auto"/>
              <w:jc w:val="both"/>
              <w:rPr>
                <w:rFonts w:eastAsia="Calibri"/>
                <w:color w:val="000000" w:themeColor="text1"/>
              </w:rPr>
            </w:pPr>
          </w:p>
        </w:tc>
        <w:tc>
          <w:tcPr>
            <w:tcW w:w="580" w:type="dxa"/>
          </w:tcPr>
          <w:p w14:paraId="6B041E98" w14:textId="77777777" w:rsidR="004C3D75" w:rsidRPr="00C56257" w:rsidRDefault="004C3D75" w:rsidP="008E33FD">
            <w:pPr>
              <w:spacing w:line="259" w:lineRule="auto"/>
              <w:jc w:val="both"/>
              <w:rPr>
                <w:rFonts w:eastAsia="Calibri"/>
                <w:color w:val="000000" w:themeColor="text1"/>
              </w:rPr>
            </w:pPr>
          </w:p>
        </w:tc>
        <w:tc>
          <w:tcPr>
            <w:tcW w:w="579" w:type="dxa"/>
          </w:tcPr>
          <w:p w14:paraId="18168ACF" w14:textId="77777777" w:rsidR="004C3D75" w:rsidRPr="00C56257" w:rsidRDefault="004C3D75" w:rsidP="008E33FD">
            <w:pPr>
              <w:spacing w:line="259" w:lineRule="auto"/>
              <w:jc w:val="both"/>
              <w:rPr>
                <w:rFonts w:eastAsia="Calibri"/>
                <w:color w:val="000000" w:themeColor="text1"/>
              </w:rPr>
            </w:pPr>
          </w:p>
        </w:tc>
        <w:tc>
          <w:tcPr>
            <w:tcW w:w="580" w:type="dxa"/>
          </w:tcPr>
          <w:p w14:paraId="33D7D5BB" w14:textId="77777777" w:rsidR="004C3D75" w:rsidRPr="00C56257" w:rsidRDefault="004C3D75" w:rsidP="008E33FD">
            <w:pPr>
              <w:spacing w:line="259" w:lineRule="auto"/>
              <w:jc w:val="both"/>
              <w:rPr>
                <w:rFonts w:eastAsia="Calibri"/>
                <w:color w:val="000000" w:themeColor="text1"/>
              </w:rPr>
            </w:pPr>
          </w:p>
        </w:tc>
      </w:tr>
      <w:tr w:rsidR="004C3D75" w:rsidRPr="00C56257" w14:paraId="5101BAF4" w14:textId="77777777" w:rsidTr="004C3D75">
        <w:trPr>
          <w:trHeight w:val="770"/>
        </w:trPr>
        <w:tc>
          <w:tcPr>
            <w:tcW w:w="2317" w:type="dxa"/>
            <w:vMerge w:val="restart"/>
            <w:vAlign w:val="center"/>
          </w:tcPr>
          <w:p w14:paraId="00ACAAED" w14:textId="77777777" w:rsidR="004C3D75" w:rsidRPr="00C56257" w:rsidRDefault="004C3D75" w:rsidP="008E33FD">
            <w:pPr>
              <w:spacing w:line="259" w:lineRule="auto"/>
              <w:jc w:val="both"/>
              <w:rPr>
                <w:rFonts w:eastAsia="Calibri"/>
                <w:b/>
                <w:color w:val="000000" w:themeColor="text1"/>
                <w:u w:val="single"/>
              </w:rPr>
            </w:pPr>
            <w:r w:rsidRPr="00C56257">
              <w:rPr>
                <w:rFonts w:eastAsia="Calibri"/>
                <w:b/>
                <w:color w:val="000000" w:themeColor="text1"/>
                <w:u w:val="single"/>
              </w:rPr>
              <w:t>Risc subteran</w:t>
            </w:r>
          </w:p>
        </w:tc>
        <w:tc>
          <w:tcPr>
            <w:tcW w:w="2318" w:type="dxa"/>
            <w:vMerge w:val="restart"/>
            <w:vAlign w:val="center"/>
          </w:tcPr>
          <w:p w14:paraId="7B25FBAB"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natural</w:t>
            </w:r>
          </w:p>
        </w:tc>
        <w:tc>
          <w:tcPr>
            <w:tcW w:w="2317" w:type="dxa"/>
          </w:tcPr>
          <w:p w14:paraId="7B34CA73" w14:textId="77777777" w:rsidR="004C3D75" w:rsidRPr="00C56257" w:rsidRDefault="004C3D75" w:rsidP="008E33FD">
            <w:pPr>
              <w:spacing w:line="259" w:lineRule="auto"/>
              <w:jc w:val="both"/>
              <w:rPr>
                <w:rFonts w:eastAsia="Calibri"/>
                <w:color w:val="000000" w:themeColor="text1"/>
              </w:rPr>
            </w:pPr>
            <w:r w:rsidRPr="00C56257">
              <w:rPr>
                <w:rFonts w:eastAsia="Calibri"/>
                <w:color w:val="000000" w:themeColor="text1"/>
              </w:rPr>
              <w:t xml:space="preserve">procese de colaps (prăbuşiri tavane şi galerii), incaziune </w:t>
            </w:r>
          </w:p>
        </w:tc>
        <w:tc>
          <w:tcPr>
            <w:tcW w:w="579" w:type="dxa"/>
          </w:tcPr>
          <w:p w14:paraId="3347A8C5" w14:textId="77777777" w:rsidR="004C3D75" w:rsidRPr="00C56257" w:rsidRDefault="004C3D75" w:rsidP="008E33FD">
            <w:pPr>
              <w:spacing w:line="259" w:lineRule="auto"/>
              <w:jc w:val="both"/>
              <w:rPr>
                <w:rFonts w:eastAsia="Calibri"/>
                <w:color w:val="000000" w:themeColor="text1"/>
              </w:rPr>
            </w:pPr>
          </w:p>
        </w:tc>
        <w:tc>
          <w:tcPr>
            <w:tcW w:w="580" w:type="dxa"/>
          </w:tcPr>
          <w:p w14:paraId="5F22654E" w14:textId="77777777" w:rsidR="004C3D75" w:rsidRPr="00C56257" w:rsidRDefault="004C3D75" w:rsidP="008E33FD">
            <w:pPr>
              <w:spacing w:line="259" w:lineRule="auto"/>
              <w:jc w:val="both"/>
              <w:rPr>
                <w:rFonts w:eastAsia="Calibri"/>
                <w:color w:val="000000" w:themeColor="text1"/>
              </w:rPr>
            </w:pPr>
          </w:p>
        </w:tc>
        <w:tc>
          <w:tcPr>
            <w:tcW w:w="579" w:type="dxa"/>
          </w:tcPr>
          <w:p w14:paraId="45955613" w14:textId="77777777" w:rsidR="004C3D75" w:rsidRPr="00C56257" w:rsidRDefault="004C3D75" w:rsidP="008E33FD">
            <w:pPr>
              <w:spacing w:line="259" w:lineRule="auto"/>
              <w:jc w:val="both"/>
              <w:rPr>
                <w:rFonts w:eastAsia="Calibri"/>
                <w:color w:val="000000" w:themeColor="text1"/>
              </w:rPr>
            </w:pPr>
          </w:p>
        </w:tc>
        <w:tc>
          <w:tcPr>
            <w:tcW w:w="580" w:type="dxa"/>
          </w:tcPr>
          <w:p w14:paraId="0D13F098" w14:textId="77777777" w:rsidR="004C3D75" w:rsidRPr="00C56257" w:rsidRDefault="004C3D75" w:rsidP="008E33FD">
            <w:pPr>
              <w:spacing w:line="259" w:lineRule="auto"/>
              <w:jc w:val="both"/>
              <w:rPr>
                <w:rFonts w:eastAsia="Calibri"/>
                <w:color w:val="000000" w:themeColor="text1"/>
              </w:rPr>
            </w:pPr>
          </w:p>
        </w:tc>
      </w:tr>
      <w:tr w:rsidR="004C3D75" w:rsidRPr="00C56257" w14:paraId="5B5EEFDE" w14:textId="77777777" w:rsidTr="004C3D75">
        <w:tc>
          <w:tcPr>
            <w:tcW w:w="2317" w:type="dxa"/>
            <w:vMerge/>
          </w:tcPr>
          <w:p w14:paraId="4A6E0446" w14:textId="77777777" w:rsidR="004C3D75" w:rsidRPr="00C56257" w:rsidRDefault="004C3D75" w:rsidP="008E33FD">
            <w:pPr>
              <w:spacing w:line="259" w:lineRule="auto"/>
              <w:jc w:val="both"/>
              <w:rPr>
                <w:rFonts w:eastAsia="Calibri"/>
                <w:b/>
                <w:color w:val="000000" w:themeColor="text1"/>
                <w:u w:val="single"/>
              </w:rPr>
            </w:pPr>
          </w:p>
        </w:tc>
        <w:tc>
          <w:tcPr>
            <w:tcW w:w="2318" w:type="dxa"/>
            <w:vMerge/>
          </w:tcPr>
          <w:p w14:paraId="79A6BEE7" w14:textId="77777777" w:rsidR="004C3D75" w:rsidRPr="00C56257" w:rsidRDefault="004C3D75" w:rsidP="008E33FD">
            <w:pPr>
              <w:spacing w:line="259" w:lineRule="auto"/>
              <w:jc w:val="both"/>
              <w:rPr>
                <w:rFonts w:eastAsia="Calibri"/>
                <w:b/>
                <w:color w:val="000000" w:themeColor="text1"/>
              </w:rPr>
            </w:pPr>
          </w:p>
        </w:tc>
        <w:tc>
          <w:tcPr>
            <w:tcW w:w="2317" w:type="dxa"/>
          </w:tcPr>
          <w:p w14:paraId="0CF69D15" w14:textId="77777777" w:rsidR="004C3D75" w:rsidRPr="00C56257" w:rsidRDefault="004C3D75" w:rsidP="008E33FD">
            <w:pPr>
              <w:spacing w:line="259" w:lineRule="auto"/>
              <w:jc w:val="both"/>
              <w:rPr>
                <w:rFonts w:eastAsia="Calibri"/>
                <w:color w:val="000000" w:themeColor="text1"/>
                <w:spacing w:val="20"/>
              </w:rPr>
            </w:pPr>
            <w:r w:rsidRPr="00C56257">
              <w:rPr>
                <w:rFonts w:eastAsia="Calibri"/>
                <w:color w:val="000000" w:themeColor="text1"/>
              </w:rPr>
              <w:t>deschidere de hornuri şi ferestre carstice</w:t>
            </w:r>
          </w:p>
        </w:tc>
        <w:tc>
          <w:tcPr>
            <w:tcW w:w="579" w:type="dxa"/>
          </w:tcPr>
          <w:p w14:paraId="6BF4D72A" w14:textId="77777777" w:rsidR="004C3D75" w:rsidRPr="00C56257" w:rsidRDefault="004C3D75" w:rsidP="008E33FD">
            <w:pPr>
              <w:spacing w:line="259" w:lineRule="auto"/>
              <w:jc w:val="both"/>
              <w:rPr>
                <w:rFonts w:eastAsia="Calibri"/>
                <w:color w:val="000000" w:themeColor="text1"/>
              </w:rPr>
            </w:pPr>
          </w:p>
        </w:tc>
        <w:tc>
          <w:tcPr>
            <w:tcW w:w="580" w:type="dxa"/>
          </w:tcPr>
          <w:p w14:paraId="2AEF4A5D" w14:textId="77777777" w:rsidR="004C3D75" w:rsidRPr="00C56257" w:rsidRDefault="004C3D75" w:rsidP="008E33FD">
            <w:pPr>
              <w:spacing w:line="259" w:lineRule="auto"/>
              <w:jc w:val="both"/>
              <w:rPr>
                <w:rFonts w:eastAsia="Calibri"/>
                <w:color w:val="000000" w:themeColor="text1"/>
              </w:rPr>
            </w:pPr>
          </w:p>
        </w:tc>
        <w:tc>
          <w:tcPr>
            <w:tcW w:w="579" w:type="dxa"/>
          </w:tcPr>
          <w:p w14:paraId="39049F09" w14:textId="77777777" w:rsidR="004C3D75" w:rsidRPr="00C56257" w:rsidRDefault="004C3D75" w:rsidP="008E33FD">
            <w:pPr>
              <w:spacing w:line="259" w:lineRule="auto"/>
              <w:jc w:val="both"/>
              <w:rPr>
                <w:rFonts w:eastAsia="Calibri"/>
                <w:color w:val="000000" w:themeColor="text1"/>
              </w:rPr>
            </w:pPr>
          </w:p>
        </w:tc>
        <w:tc>
          <w:tcPr>
            <w:tcW w:w="580" w:type="dxa"/>
          </w:tcPr>
          <w:p w14:paraId="01560087" w14:textId="77777777" w:rsidR="004C3D75" w:rsidRPr="00C56257" w:rsidRDefault="004C3D75" w:rsidP="008E33FD">
            <w:pPr>
              <w:spacing w:line="259" w:lineRule="auto"/>
              <w:jc w:val="both"/>
              <w:rPr>
                <w:rFonts w:eastAsia="Calibri"/>
                <w:color w:val="000000" w:themeColor="text1"/>
              </w:rPr>
            </w:pPr>
          </w:p>
        </w:tc>
      </w:tr>
      <w:tr w:rsidR="004C3D75" w:rsidRPr="00C56257" w14:paraId="51CBD56E" w14:textId="77777777" w:rsidTr="004C3D75">
        <w:tc>
          <w:tcPr>
            <w:tcW w:w="2317" w:type="dxa"/>
            <w:vMerge/>
          </w:tcPr>
          <w:p w14:paraId="6424F3A9" w14:textId="77777777" w:rsidR="004C3D75" w:rsidRPr="00C56257" w:rsidRDefault="004C3D75" w:rsidP="008E33FD">
            <w:pPr>
              <w:spacing w:line="259" w:lineRule="auto"/>
              <w:jc w:val="both"/>
              <w:rPr>
                <w:rFonts w:eastAsia="Calibri"/>
                <w:b/>
                <w:color w:val="000000" w:themeColor="text1"/>
                <w:u w:val="single"/>
              </w:rPr>
            </w:pPr>
          </w:p>
        </w:tc>
        <w:tc>
          <w:tcPr>
            <w:tcW w:w="2318" w:type="dxa"/>
            <w:vMerge/>
          </w:tcPr>
          <w:p w14:paraId="78A481CB" w14:textId="77777777" w:rsidR="004C3D75" w:rsidRPr="00C56257" w:rsidRDefault="004C3D75" w:rsidP="008E33FD">
            <w:pPr>
              <w:spacing w:line="259" w:lineRule="auto"/>
              <w:jc w:val="both"/>
              <w:rPr>
                <w:rFonts w:eastAsia="Calibri"/>
                <w:b/>
                <w:color w:val="000000" w:themeColor="text1"/>
              </w:rPr>
            </w:pPr>
          </w:p>
        </w:tc>
        <w:tc>
          <w:tcPr>
            <w:tcW w:w="2317" w:type="dxa"/>
          </w:tcPr>
          <w:p w14:paraId="5A143C0F" w14:textId="77777777" w:rsidR="004C3D75" w:rsidRPr="00C56257" w:rsidRDefault="004C3D75" w:rsidP="008E33FD">
            <w:pPr>
              <w:spacing w:line="259" w:lineRule="auto"/>
              <w:jc w:val="both"/>
              <w:rPr>
                <w:rFonts w:eastAsia="Calibri"/>
                <w:color w:val="000000" w:themeColor="text1"/>
                <w:spacing w:val="20"/>
              </w:rPr>
            </w:pPr>
            <w:r w:rsidRPr="00C56257">
              <w:rPr>
                <w:rFonts w:eastAsia="Calibri"/>
                <w:color w:val="000000" w:themeColor="text1"/>
              </w:rPr>
              <w:t>aport de depozite de la suprafaţă (grohotiş, sol, argilă, detritus vegetal)</w:t>
            </w:r>
          </w:p>
        </w:tc>
        <w:tc>
          <w:tcPr>
            <w:tcW w:w="579" w:type="dxa"/>
          </w:tcPr>
          <w:p w14:paraId="5550FA44" w14:textId="77777777" w:rsidR="004C3D75" w:rsidRPr="00C56257" w:rsidRDefault="004C3D75" w:rsidP="008E33FD">
            <w:pPr>
              <w:spacing w:line="259" w:lineRule="auto"/>
              <w:jc w:val="both"/>
              <w:rPr>
                <w:rFonts w:eastAsia="Calibri"/>
                <w:color w:val="000000" w:themeColor="text1"/>
              </w:rPr>
            </w:pPr>
          </w:p>
        </w:tc>
        <w:tc>
          <w:tcPr>
            <w:tcW w:w="580" w:type="dxa"/>
          </w:tcPr>
          <w:p w14:paraId="1E9DF559" w14:textId="77777777" w:rsidR="004C3D75" w:rsidRPr="00C56257" w:rsidRDefault="004C3D75" w:rsidP="008E33FD">
            <w:pPr>
              <w:spacing w:line="259" w:lineRule="auto"/>
              <w:jc w:val="both"/>
              <w:rPr>
                <w:rFonts w:eastAsia="Calibri"/>
                <w:color w:val="000000" w:themeColor="text1"/>
              </w:rPr>
            </w:pPr>
          </w:p>
        </w:tc>
        <w:tc>
          <w:tcPr>
            <w:tcW w:w="579" w:type="dxa"/>
          </w:tcPr>
          <w:p w14:paraId="2CDA075D" w14:textId="77777777" w:rsidR="004C3D75" w:rsidRPr="00C56257" w:rsidRDefault="004C3D75" w:rsidP="008E33FD">
            <w:pPr>
              <w:spacing w:line="259" w:lineRule="auto"/>
              <w:jc w:val="both"/>
              <w:rPr>
                <w:rFonts w:eastAsia="Calibri"/>
                <w:color w:val="000000" w:themeColor="text1"/>
              </w:rPr>
            </w:pPr>
          </w:p>
        </w:tc>
        <w:tc>
          <w:tcPr>
            <w:tcW w:w="580" w:type="dxa"/>
          </w:tcPr>
          <w:p w14:paraId="43593ED2" w14:textId="77777777" w:rsidR="004C3D75" w:rsidRPr="00C56257" w:rsidRDefault="004C3D75" w:rsidP="008E33FD">
            <w:pPr>
              <w:spacing w:line="259" w:lineRule="auto"/>
              <w:jc w:val="both"/>
              <w:rPr>
                <w:rFonts w:eastAsia="Calibri"/>
                <w:color w:val="000000" w:themeColor="text1"/>
              </w:rPr>
            </w:pPr>
          </w:p>
        </w:tc>
      </w:tr>
      <w:tr w:rsidR="004C3D75" w:rsidRPr="00C56257" w14:paraId="13023876" w14:textId="77777777" w:rsidTr="004C3D75">
        <w:tc>
          <w:tcPr>
            <w:tcW w:w="2317" w:type="dxa"/>
            <w:vMerge/>
          </w:tcPr>
          <w:p w14:paraId="13C7C052" w14:textId="77777777" w:rsidR="004C3D75" w:rsidRPr="00C56257" w:rsidRDefault="004C3D75" w:rsidP="008E33FD">
            <w:pPr>
              <w:spacing w:line="259" w:lineRule="auto"/>
              <w:jc w:val="both"/>
              <w:rPr>
                <w:rFonts w:eastAsia="Calibri"/>
                <w:b/>
                <w:color w:val="000000" w:themeColor="text1"/>
                <w:u w:val="single"/>
              </w:rPr>
            </w:pPr>
          </w:p>
        </w:tc>
        <w:tc>
          <w:tcPr>
            <w:tcW w:w="2318" w:type="dxa"/>
            <w:vMerge/>
          </w:tcPr>
          <w:p w14:paraId="7129B7B8" w14:textId="77777777" w:rsidR="004C3D75" w:rsidRPr="00C56257" w:rsidRDefault="004C3D75" w:rsidP="008E33FD">
            <w:pPr>
              <w:spacing w:line="259" w:lineRule="auto"/>
              <w:jc w:val="both"/>
              <w:rPr>
                <w:rFonts w:eastAsia="Calibri"/>
                <w:b/>
                <w:color w:val="000000" w:themeColor="text1"/>
              </w:rPr>
            </w:pPr>
          </w:p>
        </w:tc>
        <w:tc>
          <w:tcPr>
            <w:tcW w:w="2317" w:type="dxa"/>
          </w:tcPr>
          <w:p w14:paraId="6879F4F1" w14:textId="77777777" w:rsidR="004C3D75" w:rsidRPr="00C56257" w:rsidRDefault="004C3D75" w:rsidP="008E33FD">
            <w:pPr>
              <w:spacing w:line="259" w:lineRule="auto"/>
              <w:jc w:val="both"/>
              <w:rPr>
                <w:rFonts w:eastAsia="Calibri"/>
                <w:color w:val="000000" w:themeColor="text1"/>
                <w:spacing w:val="20"/>
              </w:rPr>
            </w:pPr>
            <w:r w:rsidRPr="00C56257">
              <w:rPr>
                <w:rFonts w:eastAsia="Calibri"/>
                <w:color w:val="000000" w:themeColor="text1"/>
              </w:rPr>
              <w:t>dezagregări frecvente cu formare de detritus mobil</w:t>
            </w:r>
          </w:p>
        </w:tc>
        <w:tc>
          <w:tcPr>
            <w:tcW w:w="579" w:type="dxa"/>
          </w:tcPr>
          <w:p w14:paraId="29B6BF5B" w14:textId="77777777" w:rsidR="004C3D75" w:rsidRPr="00C56257" w:rsidRDefault="004C3D75" w:rsidP="008E33FD">
            <w:pPr>
              <w:spacing w:line="259" w:lineRule="auto"/>
              <w:jc w:val="both"/>
              <w:rPr>
                <w:rFonts w:eastAsia="Calibri"/>
                <w:color w:val="000000" w:themeColor="text1"/>
              </w:rPr>
            </w:pPr>
          </w:p>
        </w:tc>
        <w:tc>
          <w:tcPr>
            <w:tcW w:w="580" w:type="dxa"/>
          </w:tcPr>
          <w:p w14:paraId="62D7DEEC" w14:textId="77777777" w:rsidR="004C3D75" w:rsidRPr="00C56257" w:rsidRDefault="004C3D75" w:rsidP="008E33FD">
            <w:pPr>
              <w:spacing w:line="259" w:lineRule="auto"/>
              <w:jc w:val="both"/>
              <w:rPr>
                <w:rFonts w:eastAsia="Calibri"/>
                <w:color w:val="000000" w:themeColor="text1"/>
              </w:rPr>
            </w:pPr>
          </w:p>
        </w:tc>
        <w:tc>
          <w:tcPr>
            <w:tcW w:w="579" w:type="dxa"/>
          </w:tcPr>
          <w:p w14:paraId="0E8FEDE9" w14:textId="77777777" w:rsidR="004C3D75" w:rsidRPr="00C56257" w:rsidRDefault="004C3D75" w:rsidP="008E33FD">
            <w:pPr>
              <w:spacing w:line="259" w:lineRule="auto"/>
              <w:jc w:val="both"/>
              <w:rPr>
                <w:rFonts w:eastAsia="Calibri"/>
                <w:color w:val="000000" w:themeColor="text1"/>
              </w:rPr>
            </w:pPr>
          </w:p>
        </w:tc>
        <w:tc>
          <w:tcPr>
            <w:tcW w:w="580" w:type="dxa"/>
          </w:tcPr>
          <w:p w14:paraId="42A6C5E2" w14:textId="77777777" w:rsidR="004C3D75" w:rsidRPr="00C56257" w:rsidRDefault="004C3D75" w:rsidP="008E33FD">
            <w:pPr>
              <w:spacing w:line="259" w:lineRule="auto"/>
              <w:jc w:val="both"/>
              <w:rPr>
                <w:rFonts w:eastAsia="Calibri"/>
                <w:color w:val="000000" w:themeColor="text1"/>
              </w:rPr>
            </w:pPr>
          </w:p>
        </w:tc>
      </w:tr>
      <w:tr w:rsidR="004C3D75" w:rsidRPr="00C56257" w14:paraId="6AF98077" w14:textId="77777777" w:rsidTr="004C3D75">
        <w:tc>
          <w:tcPr>
            <w:tcW w:w="2317" w:type="dxa"/>
            <w:vMerge/>
          </w:tcPr>
          <w:p w14:paraId="573CB3AC" w14:textId="77777777" w:rsidR="004C3D75" w:rsidRPr="00C56257" w:rsidRDefault="004C3D75" w:rsidP="008E33FD">
            <w:pPr>
              <w:spacing w:line="259" w:lineRule="auto"/>
              <w:jc w:val="both"/>
              <w:rPr>
                <w:rFonts w:eastAsia="Calibri"/>
                <w:b/>
                <w:color w:val="000000" w:themeColor="text1"/>
                <w:u w:val="single"/>
              </w:rPr>
            </w:pPr>
          </w:p>
        </w:tc>
        <w:tc>
          <w:tcPr>
            <w:tcW w:w="2318" w:type="dxa"/>
            <w:vMerge w:val="restart"/>
            <w:vAlign w:val="center"/>
          </w:tcPr>
          <w:p w14:paraId="4EC5BF26" w14:textId="77777777" w:rsidR="004C3D75" w:rsidRPr="00C56257" w:rsidRDefault="004C3D75" w:rsidP="008E33FD">
            <w:pPr>
              <w:spacing w:line="259" w:lineRule="auto"/>
              <w:jc w:val="both"/>
              <w:rPr>
                <w:rFonts w:eastAsia="Calibri"/>
                <w:b/>
                <w:color w:val="000000" w:themeColor="text1"/>
              </w:rPr>
            </w:pPr>
            <w:r w:rsidRPr="00C56257">
              <w:rPr>
                <w:rFonts w:eastAsia="Calibri"/>
                <w:b/>
                <w:color w:val="000000" w:themeColor="text1"/>
              </w:rPr>
              <w:t>antropic</w:t>
            </w:r>
          </w:p>
        </w:tc>
        <w:tc>
          <w:tcPr>
            <w:tcW w:w="2317" w:type="dxa"/>
          </w:tcPr>
          <w:p w14:paraId="134303B4" w14:textId="77777777" w:rsidR="004C3D75" w:rsidRPr="00C56257" w:rsidRDefault="004C3D75" w:rsidP="008E33FD">
            <w:pPr>
              <w:spacing w:line="259" w:lineRule="auto"/>
              <w:jc w:val="both"/>
              <w:rPr>
                <w:rFonts w:eastAsia="Calibri"/>
                <w:color w:val="000000" w:themeColor="text1"/>
                <w:spacing w:val="20"/>
              </w:rPr>
            </w:pPr>
            <w:r w:rsidRPr="00C56257">
              <w:rPr>
                <w:rFonts w:eastAsia="Calibri"/>
                <w:color w:val="000000" w:themeColor="text1"/>
              </w:rPr>
              <w:t>depozitarea de materiale şi substanţe toxice sau potenţial toxice</w:t>
            </w:r>
          </w:p>
        </w:tc>
        <w:tc>
          <w:tcPr>
            <w:tcW w:w="579" w:type="dxa"/>
          </w:tcPr>
          <w:p w14:paraId="0CF1BD47" w14:textId="77777777" w:rsidR="004C3D75" w:rsidRPr="00C56257" w:rsidRDefault="004C3D75" w:rsidP="008E33FD">
            <w:pPr>
              <w:spacing w:line="259" w:lineRule="auto"/>
              <w:jc w:val="both"/>
              <w:rPr>
                <w:rFonts w:eastAsia="Calibri"/>
                <w:color w:val="000000" w:themeColor="text1"/>
              </w:rPr>
            </w:pPr>
          </w:p>
        </w:tc>
        <w:tc>
          <w:tcPr>
            <w:tcW w:w="580" w:type="dxa"/>
          </w:tcPr>
          <w:p w14:paraId="30F6F8B4" w14:textId="77777777" w:rsidR="004C3D75" w:rsidRPr="00C56257" w:rsidRDefault="004C3D75" w:rsidP="008E33FD">
            <w:pPr>
              <w:spacing w:line="259" w:lineRule="auto"/>
              <w:jc w:val="both"/>
              <w:rPr>
                <w:rFonts w:eastAsia="Calibri"/>
                <w:color w:val="000000" w:themeColor="text1"/>
              </w:rPr>
            </w:pPr>
          </w:p>
        </w:tc>
        <w:tc>
          <w:tcPr>
            <w:tcW w:w="579" w:type="dxa"/>
          </w:tcPr>
          <w:p w14:paraId="0DAFD5CE" w14:textId="77777777" w:rsidR="004C3D75" w:rsidRPr="00C56257" w:rsidRDefault="004C3D75" w:rsidP="008E33FD">
            <w:pPr>
              <w:spacing w:line="259" w:lineRule="auto"/>
              <w:jc w:val="both"/>
              <w:rPr>
                <w:rFonts w:eastAsia="Calibri"/>
                <w:color w:val="000000" w:themeColor="text1"/>
              </w:rPr>
            </w:pPr>
          </w:p>
        </w:tc>
        <w:tc>
          <w:tcPr>
            <w:tcW w:w="580" w:type="dxa"/>
          </w:tcPr>
          <w:p w14:paraId="2DA9ED18" w14:textId="77777777" w:rsidR="004C3D75" w:rsidRPr="00C56257" w:rsidRDefault="004C3D75" w:rsidP="008E33FD">
            <w:pPr>
              <w:spacing w:line="259" w:lineRule="auto"/>
              <w:jc w:val="both"/>
              <w:rPr>
                <w:rFonts w:eastAsia="Calibri"/>
                <w:color w:val="000000" w:themeColor="text1"/>
              </w:rPr>
            </w:pPr>
          </w:p>
        </w:tc>
      </w:tr>
      <w:tr w:rsidR="004C3D75" w:rsidRPr="00C56257" w14:paraId="6F089D6E" w14:textId="77777777" w:rsidTr="004C3D75">
        <w:tc>
          <w:tcPr>
            <w:tcW w:w="2317" w:type="dxa"/>
            <w:vMerge/>
          </w:tcPr>
          <w:p w14:paraId="00C251C4" w14:textId="77777777" w:rsidR="004C3D75" w:rsidRPr="00C56257" w:rsidRDefault="004C3D75" w:rsidP="008E33FD">
            <w:pPr>
              <w:spacing w:line="259" w:lineRule="auto"/>
              <w:jc w:val="both"/>
              <w:rPr>
                <w:rFonts w:eastAsia="Calibri"/>
                <w:b/>
                <w:color w:val="000000" w:themeColor="text1"/>
                <w:u w:val="single"/>
              </w:rPr>
            </w:pPr>
          </w:p>
        </w:tc>
        <w:tc>
          <w:tcPr>
            <w:tcW w:w="2318" w:type="dxa"/>
            <w:vMerge/>
          </w:tcPr>
          <w:p w14:paraId="39C77B7C" w14:textId="77777777" w:rsidR="004C3D75" w:rsidRPr="00C56257" w:rsidRDefault="004C3D75" w:rsidP="008E33FD">
            <w:pPr>
              <w:spacing w:line="259" w:lineRule="auto"/>
              <w:jc w:val="both"/>
              <w:rPr>
                <w:rFonts w:eastAsia="Calibri"/>
                <w:color w:val="000000" w:themeColor="text1"/>
              </w:rPr>
            </w:pPr>
          </w:p>
        </w:tc>
        <w:tc>
          <w:tcPr>
            <w:tcW w:w="2317" w:type="dxa"/>
          </w:tcPr>
          <w:p w14:paraId="34D90F21" w14:textId="77777777" w:rsidR="004C3D75" w:rsidRPr="00C56257" w:rsidRDefault="004C3D75" w:rsidP="008E33FD">
            <w:pPr>
              <w:spacing w:line="259" w:lineRule="auto"/>
              <w:jc w:val="both"/>
              <w:rPr>
                <w:rFonts w:eastAsia="Calibri"/>
                <w:color w:val="000000" w:themeColor="text1"/>
                <w:spacing w:val="20"/>
              </w:rPr>
            </w:pPr>
            <w:r w:rsidRPr="00C56257">
              <w:rPr>
                <w:rFonts w:eastAsia="Calibri"/>
                <w:color w:val="000000" w:themeColor="text1"/>
              </w:rPr>
              <w:t>valorificări ale resurselor peşterii</w:t>
            </w:r>
          </w:p>
        </w:tc>
        <w:tc>
          <w:tcPr>
            <w:tcW w:w="579" w:type="dxa"/>
          </w:tcPr>
          <w:p w14:paraId="06262415" w14:textId="77777777" w:rsidR="004C3D75" w:rsidRPr="00C56257" w:rsidRDefault="004C3D75" w:rsidP="008E33FD">
            <w:pPr>
              <w:spacing w:line="259" w:lineRule="auto"/>
              <w:jc w:val="both"/>
              <w:rPr>
                <w:rFonts w:eastAsia="Calibri"/>
                <w:color w:val="000000" w:themeColor="text1"/>
              </w:rPr>
            </w:pPr>
          </w:p>
        </w:tc>
        <w:tc>
          <w:tcPr>
            <w:tcW w:w="580" w:type="dxa"/>
          </w:tcPr>
          <w:p w14:paraId="0042EADC" w14:textId="77777777" w:rsidR="004C3D75" w:rsidRPr="00C56257" w:rsidRDefault="004C3D75" w:rsidP="008E33FD">
            <w:pPr>
              <w:spacing w:line="259" w:lineRule="auto"/>
              <w:jc w:val="both"/>
              <w:rPr>
                <w:rFonts w:eastAsia="Calibri"/>
                <w:color w:val="000000" w:themeColor="text1"/>
              </w:rPr>
            </w:pPr>
          </w:p>
        </w:tc>
        <w:tc>
          <w:tcPr>
            <w:tcW w:w="579" w:type="dxa"/>
          </w:tcPr>
          <w:p w14:paraId="2238BA5D" w14:textId="77777777" w:rsidR="004C3D75" w:rsidRPr="00C56257" w:rsidRDefault="004C3D75" w:rsidP="008E33FD">
            <w:pPr>
              <w:spacing w:line="259" w:lineRule="auto"/>
              <w:jc w:val="both"/>
              <w:rPr>
                <w:rFonts w:eastAsia="Calibri"/>
                <w:color w:val="000000" w:themeColor="text1"/>
              </w:rPr>
            </w:pPr>
          </w:p>
        </w:tc>
        <w:tc>
          <w:tcPr>
            <w:tcW w:w="580" w:type="dxa"/>
          </w:tcPr>
          <w:p w14:paraId="75523D5A" w14:textId="77777777" w:rsidR="004C3D75" w:rsidRPr="00C56257" w:rsidRDefault="004C3D75" w:rsidP="008E33FD">
            <w:pPr>
              <w:spacing w:line="259" w:lineRule="auto"/>
              <w:jc w:val="both"/>
              <w:rPr>
                <w:rFonts w:eastAsia="Calibri"/>
                <w:color w:val="000000" w:themeColor="text1"/>
              </w:rPr>
            </w:pPr>
          </w:p>
        </w:tc>
      </w:tr>
      <w:tr w:rsidR="004C3D75" w:rsidRPr="00C56257" w14:paraId="72DF83A7" w14:textId="77777777" w:rsidTr="004C3D75">
        <w:tc>
          <w:tcPr>
            <w:tcW w:w="2317" w:type="dxa"/>
            <w:vMerge/>
          </w:tcPr>
          <w:p w14:paraId="388C68FE" w14:textId="77777777" w:rsidR="004C3D75" w:rsidRPr="00C56257" w:rsidRDefault="004C3D75" w:rsidP="008E33FD">
            <w:pPr>
              <w:spacing w:line="259" w:lineRule="auto"/>
              <w:jc w:val="both"/>
              <w:rPr>
                <w:rFonts w:eastAsia="Calibri"/>
                <w:b/>
                <w:color w:val="000000" w:themeColor="text1"/>
                <w:u w:val="single"/>
              </w:rPr>
            </w:pPr>
          </w:p>
        </w:tc>
        <w:tc>
          <w:tcPr>
            <w:tcW w:w="2318" w:type="dxa"/>
            <w:vMerge/>
          </w:tcPr>
          <w:p w14:paraId="7DA49EA1" w14:textId="77777777" w:rsidR="004C3D75" w:rsidRPr="00C56257" w:rsidRDefault="004C3D75" w:rsidP="008E33FD">
            <w:pPr>
              <w:spacing w:line="259" w:lineRule="auto"/>
              <w:jc w:val="both"/>
              <w:rPr>
                <w:rFonts w:eastAsia="Calibri"/>
                <w:color w:val="000000" w:themeColor="text1"/>
              </w:rPr>
            </w:pPr>
          </w:p>
        </w:tc>
        <w:tc>
          <w:tcPr>
            <w:tcW w:w="2317" w:type="dxa"/>
          </w:tcPr>
          <w:p w14:paraId="2F6675D5" w14:textId="77777777" w:rsidR="004C3D75" w:rsidRPr="00C56257" w:rsidRDefault="004C3D75" w:rsidP="008E33FD">
            <w:pPr>
              <w:spacing w:line="259" w:lineRule="auto"/>
              <w:jc w:val="both"/>
              <w:rPr>
                <w:rFonts w:eastAsia="Calibri"/>
                <w:color w:val="000000" w:themeColor="text1"/>
                <w:spacing w:val="20"/>
              </w:rPr>
            </w:pPr>
            <w:r w:rsidRPr="00C56257">
              <w:rPr>
                <w:rFonts w:eastAsia="Calibri"/>
                <w:color w:val="000000" w:themeColor="text1"/>
              </w:rPr>
              <w:t>dezobstrucţii şi decolmatări</w:t>
            </w:r>
          </w:p>
        </w:tc>
        <w:tc>
          <w:tcPr>
            <w:tcW w:w="579" w:type="dxa"/>
          </w:tcPr>
          <w:p w14:paraId="08C34339" w14:textId="77777777" w:rsidR="004C3D75" w:rsidRPr="00C56257" w:rsidRDefault="004C3D75" w:rsidP="008E33FD">
            <w:pPr>
              <w:spacing w:line="259" w:lineRule="auto"/>
              <w:jc w:val="both"/>
              <w:rPr>
                <w:rFonts w:eastAsia="Calibri"/>
                <w:color w:val="000000" w:themeColor="text1"/>
              </w:rPr>
            </w:pPr>
          </w:p>
        </w:tc>
        <w:tc>
          <w:tcPr>
            <w:tcW w:w="580" w:type="dxa"/>
          </w:tcPr>
          <w:p w14:paraId="45F6A930" w14:textId="77777777" w:rsidR="004C3D75" w:rsidRPr="00C56257" w:rsidRDefault="004C3D75" w:rsidP="008E33FD">
            <w:pPr>
              <w:spacing w:line="259" w:lineRule="auto"/>
              <w:jc w:val="both"/>
              <w:rPr>
                <w:rFonts w:eastAsia="Calibri"/>
                <w:color w:val="000000" w:themeColor="text1"/>
              </w:rPr>
            </w:pPr>
          </w:p>
        </w:tc>
        <w:tc>
          <w:tcPr>
            <w:tcW w:w="579" w:type="dxa"/>
          </w:tcPr>
          <w:p w14:paraId="22C57B38" w14:textId="77777777" w:rsidR="004C3D75" w:rsidRPr="00C56257" w:rsidRDefault="004C3D75" w:rsidP="008E33FD">
            <w:pPr>
              <w:spacing w:line="259" w:lineRule="auto"/>
              <w:jc w:val="both"/>
              <w:rPr>
                <w:rFonts w:eastAsia="Calibri"/>
                <w:color w:val="000000" w:themeColor="text1"/>
              </w:rPr>
            </w:pPr>
          </w:p>
        </w:tc>
        <w:tc>
          <w:tcPr>
            <w:tcW w:w="580" w:type="dxa"/>
          </w:tcPr>
          <w:p w14:paraId="0D14D296" w14:textId="77777777" w:rsidR="004C3D75" w:rsidRPr="00C56257" w:rsidRDefault="004C3D75" w:rsidP="008E33FD">
            <w:pPr>
              <w:spacing w:line="259" w:lineRule="auto"/>
              <w:jc w:val="both"/>
              <w:rPr>
                <w:rFonts w:eastAsia="Calibri"/>
                <w:color w:val="000000" w:themeColor="text1"/>
              </w:rPr>
            </w:pPr>
          </w:p>
        </w:tc>
      </w:tr>
      <w:tr w:rsidR="004C3D75" w:rsidRPr="00C56257" w14:paraId="45CEE01C" w14:textId="77777777" w:rsidTr="004C3D75">
        <w:tc>
          <w:tcPr>
            <w:tcW w:w="2317" w:type="dxa"/>
            <w:vMerge/>
          </w:tcPr>
          <w:p w14:paraId="03CAA298" w14:textId="77777777" w:rsidR="004C3D75" w:rsidRPr="00C56257" w:rsidRDefault="004C3D75" w:rsidP="008E33FD">
            <w:pPr>
              <w:spacing w:line="259" w:lineRule="auto"/>
              <w:jc w:val="both"/>
              <w:rPr>
                <w:rFonts w:eastAsia="Calibri"/>
                <w:b/>
                <w:color w:val="000000" w:themeColor="text1"/>
                <w:u w:val="single"/>
              </w:rPr>
            </w:pPr>
          </w:p>
        </w:tc>
        <w:tc>
          <w:tcPr>
            <w:tcW w:w="2318" w:type="dxa"/>
            <w:vMerge/>
          </w:tcPr>
          <w:p w14:paraId="0FCC5DB0" w14:textId="77777777" w:rsidR="004C3D75" w:rsidRPr="00C56257" w:rsidRDefault="004C3D75" w:rsidP="008E33FD">
            <w:pPr>
              <w:spacing w:line="259" w:lineRule="auto"/>
              <w:jc w:val="both"/>
              <w:rPr>
                <w:rFonts w:eastAsia="Calibri"/>
                <w:color w:val="000000" w:themeColor="text1"/>
              </w:rPr>
            </w:pPr>
          </w:p>
        </w:tc>
        <w:tc>
          <w:tcPr>
            <w:tcW w:w="2317" w:type="dxa"/>
          </w:tcPr>
          <w:p w14:paraId="2E32F2D1" w14:textId="77777777" w:rsidR="004C3D75" w:rsidRPr="00C56257" w:rsidRDefault="004C3D75" w:rsidP="008E33FD">
            <w:pPr>
              <w:spacing w:line="259" w:lineRule="auto"/>
              <w:jc w:val="both"/>
              <w:rPr>
                <w:rFonts w:eastAsia="Calibri"/>
                <w:color w:val="000000" w:themeColor="text1"/>
                <w:spacing w:val="20"/>
              </w:rPr>
            </w:pPr>
            <w:r w:rsidRPr="00C56257">
              <w:rPr>
                <w:rFonts w:eastAsia="Calibri"/>
                <w:color w:val="000000" w:themeColor="text1"/>
              </w:rPr>
              <w:t>turism excesiv şi/sau neorganizat</w:t>
            </w:r>
          </w:p>
        </w:tc>
        <w:tc>
          <w:tcPr>
            <w:tcW w:w="579" w:type="dxa"/>
          </w:tcPr>
          <w:p w14:paraId="739A1982" w14:textId="77777777" w:rsidR="004C3D75" w:rsidRPr="00C56257" w:rsidRDefault="004C3D75" w:rsidP="008E33FD">
            <w:pPr>
              <w:spacing w:line="259" w:lineRule="auto"/>
              <w:jc w:val="both"/>
              <w:rPr>
                <w:rFonts w:eastAsia="Calibri"/>
                <w:color w:val="000000" w:themeColor="text1"/>
              </w:rPr>
            </w:pPr>
          </w:p>
        </w:tc>
        <w:tc>
          <w:tcPr>
            <w:tcW w:w="580" w:type="dxa"/>
          </w:tcPr>
          <w:p w14:paraId="79D18B68" w14:textId="77777777" w:rsidR="004C3D75" w:rsidRPr="00C56257" w:rsidRDefault="004C3D75" w:rsidP="008E33FD">
            <w:pPr>
              <w:spacing w:line="259" w:lineRule="auto"/>
              <w:jc w:val="both"/>
              <w:rPr>
                <w:rFonts w:eastAsia="Calibri"/>
                <w:color w:val="000000" w:themeColor="text1"/>
              </w:rPr>
            </w:pPr>
          </w:p>
        </w:tc>
        <w:tc>
          <w:tcPr>
            <w:tcW w:w="579" w:type="dxa"/>
          </w:tcPr>
          <w:p w14:paraId="76DE064B" w14:textId="77777777" w:rsidR="004C3D75" w:rsidRPr="00C56257" w:rsidRDefault="004C3D75" w:rsidP="008E33FD">
            <w:pPr>
              <w:spacing w:line="259" w:lineRule="auto"/>
              <w:jc w:val="both"/>
              <w:rPr>
                <w:rFonts w:eastAsia="Calibri"/>
                <w:color w:val="000000" w:themeColor="text1"/>
              </w:rPr>
            </w:pPr>
          </w:p>
        </w:tc>
        <w:tc>
          <w:tcPr>
            <w:tcW w:w="580" w:type="dxa"/>
          </w:tcPr>
          <w:p w14:paraId="3EA472A4" w14:textId="77777777" w:rsidR="004C3D75" w:rsidRPr="00C56257" w:rsidRDefault="004C3D75" w:rsidP="008E33FD">
            <w:pPr>
              <w:spacing w:line="259" w:lineRule="auto"/>
              <w:jc w:val="both"/>
              <w:rPr>
                <w:rFonts w:eastAsia="Calibri"/>
                <w:color w:val="000000" w:themeColor="text1"/>
              </w:rPr>
            </w:pPr>
          </w:p>
        </w:tc>
      </w:tr>
      <w:tr w:rsidR="004C3D75" w:rsidRPr="00C56257" w14:paraId="41A01F90" w14:textId="77777777" w:rsidTr="004C3D75">
        <w:tc>
          <w:tcPr>
            <w:tcW w:w="2317" w:type="dxa"/>
            <w:vMerge/>
          </w:tcPr>
          <w:p w14:paraId="2C78668B" w14:textId="77777777" w:rsidR="004C3D75" w:rsidRPr="00C56257" w:rsidRDefault="004C3D75" w:rsidP="008E33FD">
            <w:pPr>
              <w:spacing w:line="259" w:lineRule="auto"/>
              <w:jc w:val="both"/>
              <w:rPr>
                <w:rFonts w:eastAsia="Calibri"/>
                <w:b/>
                <w:color w:val="000000" w:themeColor="text1"/>
                <w:u w:val="single"/>
              </w:rPr>
            </w:pPr>
          </w:p>
        </w:tc>
        <w:tc>
          <w:tcPr>
            <w:tcW w:w="2318" w:type="dxa"/>
            <w:vMerge/>
          </w:tcPr>
          <w:p w14:paraId="2202AA34" w14:textId="77777777" w:rsidR="004C3D75" w:rsidRPr="00C56257" w:rsidRDefault="004C3D75" w:rsidP="008E33FD">
            <w:pPr>
              <w:spacing w:line="259" w:lineRule="auto"/>
              <w:jc w:val="both"/>
              <w:rPr>
                <w:rFonts w:eastAsia="Calibri"/>
                <w:color w:val="000000" w:themeColor="text1"/>
              </w:rPr>
            </w:pPr>
          </w:p>
        </w:tc>
        <w:tc>
          <w:tcPr>
            <w:tcW w:w="2317" w:type="dxa"/>
          </w:tcPr>
          <w:p w14:paraId="5B486036" w14:textId="77777777" w:rsidR="004C3D75" w:rsidRPr="00C56257" w:rsidRDefault="004C3D75" w:rsidP="008E33FD">
            <w:pPr>
              <w:spacing w:line="259" w:lineRule="auto"/>
              <w:jc w:val="both"/>
              <w:rPr>
                <w:rFonts w:eastAsia="Calibri"/>
                <w:color w:val="000000" w:themeColor="text1"/>
                <w:spacing w:val="20"/>
              </w:rPr>
            </w:pPr>
            <w:r w:rsidRPr="00C56257">
              <w:rPr>
                <w:rFonts w:eastAsia="Calibri"/>
                <w:color w:val="000000" w:themeColor="text1"/>
              </w:rPr>
              <w:t>acte de vandalism</w:t>
            </w:r>
          </w:p>
        </w:tc>
        <w:tc>
          <w:tcPr>
            <w:tcW w:w="579" w:type="dxa"/>
          </w:tcPr>
          <w:p w14:paraId="029FD0DC" w14:textId="77777777" w:rsidR="004C3D75" w:rsidRPr="00C56257" w:rsidRDefault="004C3D75" w:rsidP="008E33FD">
            <w:pPr>
              <w:spacing w:line="259" w:lineRule="auto"/>
              <w:jc w:val="both"/>
              <w:rPr>
                <w:rFonts w:eastAsia="Calibri"/>
                <w:color w:val="000000" w:themeColor="text1"/>
              </w:rPr>
            </w:pPr>
          </w:p>
        </w:tc>
        <w:tc>
          <w:tcPr>
            <w:tcW w:w="580" w:type="dxa"/>
          </w:tcPr>
          <w:p w14:paraId="481C4836" w14:textId="77777777" w:rsidR="004C3D75" w:rsidRPr="00C56257" w:rsidRDefault="004C3D75" w:rsidP="008E33FD">
            <w:pPr>
              <w:spacing w:line="259" w:lineRule="auto"/>
              <w:jc w:val="both"/>
              <w:rPr>
                <w:rFonts w:eastAsia="Calibri"/>
                <w:color w:val="000000" w:themeColor="text1"/>
              </w:rPr>
            </w:pPr>
          </w:p>
        </w:tc>
        <w:tc>
          <w:tcPr>
            <w:tcW w:w="579" w:type="dxa"/>
          </w:tcPr>
          <w:p w14:paraId="000B139E" w14:textId="77777777" w:rsidR="004C3D75" w:rsidRPr="00C56257" w:rsidRDefault="004C3D75" w:rsidP="008E33FD">
            <w:pPr>
              <w:spacing w:line="259" w:lineRule="auto"/>
              <w:jc w:val="both"/>
              <w:rPr>
                <w:rFonts w:eastAsia="Calibri"/>
                <w:color w:val="000000" w:themeColor="text1"/>
              </w:rPr>
            </w:pPr>
          </w:p>
        </w:tc>
        <w:tc>
          <w:tcPr>
            <w:tcW w:w="580" w:type="dxa"/>
          </w:tcPr>
          <w:p w14:paraId="43FC5044" w14:textId="77777777" w:rsidR="004C3D75" w:rsidRPr="00C56257" w:rsidRDefault="004C3D75" w:rsidP="008E33FD">
            <w:pPr>
              <w:spacing w:line="259" w:lineRule="auto"/>
              <w:jc w:val="both"/>
              <w:rPr>
                <w:rFonts w:eastAsia="Calibri"/>
                <w:color w:val="000000" w:themeColor="text1"/>
              </w:rPr>
            </w:pPr>
          </w:p>
        </w:tc>
      </w:tr>
    </w:tbl>
    <w:p w14:paraId="36E7BD24" w14:textId="77777777" w:rsidR="004C3D75" w:rsidRPr="00C56257" w:rsidRDefault="004C3D75" w:rsidP="008E33FD">
      <w:pPr>
        <w:spacing w:line="276" w:lineRule="auto"/>
        <w:jc w:val="both"/>
        <w:rPr>
          <w:rFonts w:eastAsia="Calibri"/>
          <w:color w:val="000000" w:themeColor="text1"/>
        </w:rPr>
      </w:pPr>
    </w:p>
    <w:p w14:paraId="734FE225" w14:textId="77777777" w:rsidR="004C3D75" w:rsidRPr="00C56257" w:rsidRDefault="004C3D75" w:rsidP="008E33FD">
      <w:pPr>
        <w:spacing w:after="120" w:line="276" w:lineRule="auto"/>
        <w:jc w:val="both"/>
        <w:rPr>
          <w:rFonts w:eastAsia="Calibri"/>
          <w:color w:val="000000" w:themeColor="text1"/>
        </w:rPr>
      </w:pPr>
      <w:r w:rsidRPr="00C56257">
        <w:rPr>
          <w:rFonts w:eastAsia="Calibri"/>
          <w:color w:val="000000" w:themeColor="text1"/>
        </w:rPr>
        <w:t>Se monitorizează riscul şi ameninţarea directă sau indirectă asupra stării de conservare a peşterii, respectiv asupra integrităţii sale spaţiale, rezervelor subterane şi, în special, asupra biodiversităţii.</w:t>
      </w:r>
    </w:p>
    <w:p w14:paraId="5AA39E00" w14:textId="77777777" w:rsidR="004C3D75" w:rsidRPr="00C56257" w:rsidRDefault="004C3D75" w:rsidP="008E33FD">
      <w:pPr>
        <w:spacing w:after="120" w:line="276" w:lineRule="auto"/>
        <w:jc w:val="both"/>
        <w:rPr>
          <w:rFonts w:eastAsia="Calibri"/>
          <w:color w:val="000000" w:themeColor="text1"/>
        </w:rPr>
      </w:pPr>
      <w:r w:rsidRPr="00C56257">
        <w:rPr>
          <w:rFonts w:eastAsia="Calibri"/>
          <w:color w:val="000000" w:themeColor="text1"/>
        </w:rPr>
        <w:t>Aprecierea riscului şi a gradului de ameninţare se face atât prin constatare directă, cât şi prin previzionarea acestora.</w:t>
      </w:r>
    </w:p>
    <w:p w14:paraId="51F149E1" w14:textId="77777777" w:rsidR="004C3D75" w:rsidRPr="00C56257" w:rsidRDefault="004C3D75" w:rsidP="008E33FD">
      <w:pPr>
        <w:spacing w:after="120" w:line="276" w:lineRule="auto"/>
        <w:jc w:val="both"/>
        <w:rPr>
          <w:rFonts w:eastAsia="Calibri"/>
          <w:color w:val="000000" w:themeColor="text1"/>
        </w:rPr>
      </w:pPr>
      <w:r w:rsidRPr="00C56257">
        <w:rPr>
          <w:rFonts w:eastAsia="Calibri"/>
          <w:color w:val="000000" w:themeColor="text1"/>
        </w:rPr>
        <w:t>Stabilirea gradului de ameninţare rămâne la latitudinea operatorului, pe baza următoarei scări relative:</w:t>
      </w:r>
    </w:p>
    <w:p w14:paraId="30AC1B73" w14:textId="77777777" w:rsidR="004C3D75" w:rsidRPr="00C56257" w:rsidRDefault="004C3D75" w:rsidP="008E33FD">
      <w:pPr>
        <w:spacing w:line="276" w:lineRule="auto"/>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grad 0</w:t>
      </w:r>
      <w:r w:rsidRPr="00C56257">
        <w:rPr>
          <w:rFonts w:eastAsia="Calibri"/>
          <w:color w:val="000000" w:themeColor="text1"/>
        </w:rPr>
        <w:t xml:space="preserve"> – lipsa ameninţării;</w:t>
      </w:r>
    </w:p>
    <w:p w14:paraId="55A5D508" w14:textId="77777777" w:rsidR="004C3D75" w:rsidRPr="00C56257" w:rsidRDefault="004C3D75" w:rsidP="008E33FD">
      <w:pPr>
        <w:spacing w:line="276" w:lineRule="auto"/>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grad 1</w:t>
      </w:r>
      <w:r w:rsidRPr="00C56257">
        <w:rPr>
          <w:rFonts w:eastAsia="Calibri"/>
          <w:color w:val="000000" w:themeColor="text1"/>
        </w:rPr>
        <w:t xml:space="preserve"> – ameninţare slabă;</w:t>
      </w:r>
    </w:p>
    <w:p w14:paraId="55EA6DF8" w14:textId="77777777" w:rsidR="004C3D75" w:rsidRPr="00C56257" w:rsidRDefault="004C3D75" w:rsidP="008E33FD">
      <w:pPr>
        <w:spacing w:line="276" w:lineRule="auto"/>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grad 2</w:t>
      </w:r>
      <w:r w:rsidRPr="00C56257">
        <w:rPr>
          <w:rFonts w:eastAsia="Calibri"/>
          <w:color w:val="000000" w:themeColor="text1"/>
        </w:rPr>
        <w:t xml:space="preserve"> – ameninţare medie;</w:t>
      </w:r>
    </w:p>
    <w:p w14:paraId="1D89A9AC" w14:textId="77777777" w:rsidR="004C3D75" w:rsidRPr="00C56257" w:rsidRDefault="004C3D75" w:rsidP="008E33FD">
      <w:pPr>
        <w:spacing w:line="276" w:lineRule="auto"/>
        <w:jc w:val="both"/>
        <w:rPr>
          <w:rFonts w:eastAsia="Calibri"/>
          <w:color w:val="000000" w:themeColor="text1"/>
        </w:rPr>
      </w:pPr>
      <w:r w:rsidRPr="00C56257">
        <w:rPr>
          <w:rFonts w:eastAsia="Calibri"/>
          <w:color w:val="000000" w:themeColor="text1"/>
        </w:rPr>
        <w:tab/>
      </w:r>
      <w:r w:rsidRPr="00C56257">
        <w:rPr>
          <w:rFonts w:eastAsia="Calibri"/>
          <w:b/>
          <w:i/>
          <w:color w:val="000000" w:themeColor="text1"/>
        </w:rPr>
        <w:t>grad 3</w:t>
      </w:r>
      <w:r w:rsidRPr="00C56257">
        <w:rPr>
          <w:rFonts w:eastAsia="Calibri"/>
          <w:color w:val="000000" w:themeColor="text1"/>
        </w:rPr>
        <w:t xml:space="preserve"> – ameninţare maximă.</w:t>
      </w:r>
    </w:p>
    <w:p w14:paraId="453EF883" w14:textId="77777777" w:rsidR="004C3D75" w:rsidRPr="00C56257" w:rsidRDefault="004C3D75" w:rsidP="008E33FD">
      <w:pPr>
        <w:spacing w:line="276" w:lineRule="auto"/>
        <w:jc w:val="both"/>
        <w:rPr>
          <w:rFonts w:eastAsia="Calibri"/>
          <w:color w:val="000000" w:themeColor="text1"/>
        </w:rPr>
      </w:pPr>
    </w:p>
    <w:p w14:paraId="1BD088F1" w14:textId="77777777" w:rsidR="004C3D75" w:rsidRPr="00C56257" w:rsidRDefault="004C3D75" w:rsidP="008E33FD">
      <w:pPr>
        <w:spacing w:after="160" w:line="259" w:lineRule="auto"/>
        <w:jc w:val="both"/>
        <w:rPr>
          <w:b/>
          <w:color w:val="000000" w:themeColor="text1"/>
        </w:rPr>
      </w:pPr>
      <w:r w:rsidRPr="00C56257">
        <w:rPr>
          <w:rFonts w:eastAsia="Calibri"/>
          <w:b/>
          <w:color w:val="000000" w:themeColor="text1"/>
        </w:rPr>
        <w:br w:type="page"/>
      </w:r>
    </w:p>
    <w:p w14:paraId="2A2246BD" w14:textId="77777777" w:rsidR="004C3D75" w:rsidRPr="00C56257" w:rsidRDefault="004C3D75" w:rsidP="008E33FD">
      <w:pPr>
        <w:keepNext/>
        <w:keepLines/>
        <w:spacing w:before="240" w:line="259" w:lineRule="auto"/>
        <w:jc w:val="both"/>
        <w:outlineLvl w:val="0"/>
        <w:rPr>
          <w:b/>
          <w:color w:val="000000" w:themeColor="text1"/>
        </w:rPr>
      </w:pPr>
      <w:bookmarkStart w:id="45" w:name="_Toc20820905"/>
      <w:r w:rsidRPr="00C56257">
        <w:rPr>
          <w:b/>
          <w:color w:val="000000" w:themeColor="text1"/>
        </w:rPr>
        <w:lastRenderedPageBreak/>
        <w:t xml:space="preserve"> 1.6 Planul de monitorizare a habitatului 8310</w:t>
      </w:r>
      <w:bookmarkEnd w:id="45"/>
    </w:p>
    <w:p w14:paraId="00009B8D" w14:textId="77777777" w:rsidR="004C3D75" w:rsidRPr="00C56257" w:rsidRDefault="004C3D75" w:rsidP="008E33FD">
      <w:pPr>
        <w:spacing w:after="120" w:line="276" w:lineRule="auto"/>
        <w:contextualSpacing/>
        <w:jc w:val="both"/>
        <w:rPr>
          <w:color w:val="000000" w:themeColor="text1"/>
        </w:rPr>
      </w:pPr>
      <w:r w:rsidRPr="00C56257">
        <w:rPr>
          <w:color w:val="000000" w:themeColor="text1"/>
        </w:rPr>
        <w:t>Periodicitatea observațiilor pentru monitorizarea habitatului 8310 depinde de obiectivele obiectivele propuse și nu în ultimul rând de suprafața de acoperire la nivelul țării. Observațiile se pot efectua lunar (Tabelul 1), dacă dorim să monitorizăm cu precizie dinamica parametrilor și scoaterea în evidență a impactului exterior generat de factorii de risc (ex. lucrări de escavație în apropierea unei peșteri, potențiale poluri voluntare sau accidentale, deversări etc), respectiv trimestrial, în cazul peșterilor izolate și supuse unor factori de risc scăzut sau în cazul existenței unor lucrări silvice în perimetrul de protecție al acestora, dar fără impact direct asupra habitatului.</w:t>
      </w:r>
    </w:p>
    <w:p w14:paraId="325C305D" w14:textId="77777777" w:rsidR="004C3D75" w:rsidRPr="00C56257" w:rsidRDefault="004C3D75" w:rsidP="008E33FD">
      <w:pPr>
        <w:spacing w:after="120" w:line="276" w:lineRule="auto"/>
        <w:jc w:val="both"/>
        <w:rPr>
          <w:rFonts w:eastAsia="Calibri"/>
          <w:color w:val="000000" w:themeColor="text1"/>
        </w:rPr>
      </w:pPr>
      <w:r w:rsidRPr="00C56257">
        <w:rPr>
          <w:rFonts w:eastAsia="Calibri"/>
          <w:color w:val="000000" w:themeColor="text1"/>
        </w:rPr>
        <w:t>In planul de monitorizare al habitatului 8310 au fost stabilite următoarele perioade pentru observaţii şi colectarea datelor.</w:t>
      </w:r>
    </w:p>
    <w:p w14:paraId="15B825D9" w14:textId="77777777" w:rsidR="004C3D75" w:rsidRPr="00C56257" w:rsidRDefault="004C3D75" w:rsidP="008E33FD">
      <w:pPr>
        <w:spacing w:line="276" w:lineRule="auto"/>
        <w:jc w:val="both"/>
        <w:rPr>
          <w:rFonts w:eastAsia="Calibri"/>
          <w:color w:val="000000" w:themeColor="text1"/>
        </w:rPr>
      </w:pPr>
      <w:r w:rsidRPr="00C56257">
        <w:rPr>
          <w:rFonts w:eastAsia="Calibri"/>
          <w:color w:val="000000" w:themeColor="text1"/>
        </w:rPr>
        <w:t>Tabelul 1 – Planul de monitorizare în cazul prezenței factorilor de risc la nivel ridicat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2"/>
        <w:gridCol w:w="620"/>
        <w:gridCol w:w="618"/>
        <w:gridCol w:w="463"/>
        <w:gridCol w:w="619"/>
        <w:gridCol w:w="619"/>
        <w:gridCol w:w="619"/>
        <w:gridCol w:w="619"/>
        <w:gridCol w:w="619"/>
        <w:gridCol w:w="619"/>
        <w:gridCol w:w="464"/>
        <w:gridCol w:w="464"/>
        <w:gridCol w:w="619"/>
      </w:tblGrid>
      <w:tr w:rsidR="004C3D75" w:rsidRPr="00C56257" w14:paraId="51EC77C3" w14:textId="77777777" w:rsidTr="004C3D75">
        <w:tc>
          <w:tcPr>
            <w:tcW w:w="1579" w:type="pct"/>
            <w:tcBorders>
              <w:top w:val="single" w:sz="4" w:space="0" w:color="auto"/>
              <w:left w:val="single" w:sz="4" w:space="0" w:color="auto"/>
              <w:bottom w:val="single" w:sz="4" w:space="0" w:color="auto"/>
              <w:right w:val="single" w:sz="4" w:space="0" w:color="auto"/>
            </w:tcBorders>
            <w:shd w:val="clear" w:color="auto" w:fill="FFFFFF"/>
          </w:tcPr>
          <w:p w14:paraId="5490B0BA"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Metodă</w:t>
            </w:r>
          </w:p>
        </w:tc>
        <w:tc>
          <w:tcPr>
            <w:tcW w:w="305" w:type="pct"/>
            <w:tcBorders>
              <w:top w:val="single" w:sz="4" w:space="0" w:color="auto"/>
              <w:left w:val="single" w:sz="4" w:space="0" w:color="auto"/>
              <w:bottom w:val="single" w:sz="4" w:space="0" w:color="auto"/>
              <w:right w:val="single" w:sz="4" w:space="0" w:color="auto"/>
            </w:tcBorders>
            <w:shd w:val="clear" w:color="auto" w:fill="BFBFBF"/>
          </w:tcPr>
          <w:p w14:paraId="4DD8A091"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I</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0A94C215"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F</w:t>
            </w:r>
          </w:p>
        </w:tc>
        <w:tc>
          <w:tcPr>
            <w:tcW w:w="228" w:type="pct"/>
            <w:tcBorders>
              <w:top w:val="single" w:sz="4" w:space="0" w:color="auto"/>
              <w:left w:val="single" w:sz="4" w:space="0" w:color="auto"/>
              <w:bottom w:val="single" w:sz="4" w:space="0" w:color="auto"/>
              <w:right w:val="single" w:sz="4" w:space="0" w:color="auto"/>
            </w:tcBorders>
            <w:shd w:val="clear" w:color="auto" w:fill="BFBFBF"/>
          </w:tcPr>
          <w:p w14:paraId="07E64639"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M</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28209ABA"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A</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05DC96E2"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M</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7A951040"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I</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439D5146"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I</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0543C52C"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A</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13EFDB30"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S</w:t>
            </w:r>
          </w:p>
        </w:tc>
        <w:tc>
          <w:tcPr>
            <w:tcW w:w="228" w:type="pct"/>
            <w:tcBorders>
              <w:top w:val="single" w:sz="4" w:space="0" w:color="auto"/>
              <w:left w:val="single" w:sz="4" w:space="0" w:color="auto"/>
              <w:bottom w:val="single" w:sz="4" w:space="0" w:color="auto"/>
              <w:right w:val="single" w:sz="4" w:space="0" w:color="auto"/>
            </w:tcBorders>
            <w:shd w:val="clear" w:color="auto" w:fill="BFBFBF"/>
          </w:tcPr>
          <w:p w14:paraId="73B88EBC"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O</w:t>
            </w:r>
          </w:p>
        </w:tc>
        <w:tc>
          <w:tcPr>
            <w:tcW w:w="228" w:type="pct"/>
            <w:tcBorders>
              <w:top w:val="single" w:sz="4" w:space="0" w:color="auto"/>
              <w:left w:val="single" w:sz="4" w:space="0" w:color="auto"/>
              <w:bottom w:val="single" w:sz="4" w:space="0" w:color="auto"/>
              <w:right w:val="single" w:sz="4" w:space="0" w:color="auto"/>
            </w:tcBorders>
            <w:shd w:val="clear" w:color="auto" w:fill="BFBFBF"/>
          </w:tcPr>
          <w:p w14:paraId="0A48BB62"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N</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23496676"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D</w:t>
            </w:r>
          </w:p>
        </w:tc>
      </w:tr>
      <w:tr w:rsidR="004C3D75" w:rsidRPr="00C56257" w14:paraId="7ED8092F" w14:textId="77777777" w:rsidTr="004C3D75">
        <w:tc>
          <w:tcPr>
            <w:tcW w:w="1579" w:type="pct"/>
            <w:tcBorders>
              <w:top w:val="single" w:sz="4" w:space="0" w:color="auto"/>
              <w:left w:val="single" w:sz="4" w:space="0" w:color="auto"/>
              <w:bottom w:val="single" w:sz="4" w:space="0" w:color="auto"/>
              <w:right w:val="single" w:sz="4" w:space="0" w:color="auto"/>
            </w:tcBorders>
            <w:shd w:val="clear" w:color="auto" w:fill="FFFFFF"/>
          </w:tcPr>
          <w:p w14:paraId="77BB44D6" w14:textId="77777777" w:rsidR="004C3D75" w:rsidRPr="00C56257" w:rsidRDefault="004C3D75" w:rsidP="008E33FD">
            <w:pPr>
              <w:spacing w:before="60" w:after="60"/>
              <w:jc w:val="both"/>
              <w:rPr>
                <w:rFonts w:eastAsia="Calibri"/>
                <w:color w:val="000000" w:themeColor="text1"/>
                <w:lang w:eastAsia="hu-HU"/>
              </w:rPr>
            </w:pPr>
            <w:r w:rsidRPr="00C56257">
              <w:rPr>
                <w:rFonts w:eastAsia="Calibri"/>
                <w:color w:val="000000" w:themeColor="text1"/>
              </w:rPr>
              <w:t>Monitorizarea caracteristicilor mediului fizic</w:t>
            </w:r>
          </w:p>
        </w:tc>
        <w:tc>
          <w:tcPr>
            <w:tcW w:w="305" w:type="pct"/>
            <w:tcBorders>
              <w:top w:val="single" w:sz="4" w:space="0" w:color="auto"/>
              <w:left w:val="single" w:sz="4" w:space="0" w:color="auto"/>
              <w:bottom w:val="single" w:sz="4" w:space="0" w:color="auto"/>
              <w:right w:val="single" w:sz="4" w:space="0" w:color="auto"/>
            </w:tcBorders>
            <w:shd w:val="clear" w:color="auto" w:fill="7F7F7F"/>
          </w:tcPr>
          <w:p w14:paraId="664CAD24"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269B3165"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2AC2B813"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0B1C7637"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5DEFD021"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54106C03"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150C89C2"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1D0D82B6"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2A5C528A"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32D74A7B"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08511C11"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2AAE6150" w14:textId="77777777" w:rsidR="004C3D75" w:rsidRPr="00C56257" w:rsidRDefault="004C3D75" w:rsidP="008E33FD">
            <w:pPr>
              <w:spacing w:before="60" w:after="60"/>
              <w:jc w:val="both"/>
              <w:rPr>
                <w:rFonts w:eastAsia="Calibri"/>
                <w:color w:val="000000" w:themeColor="text1"/>
                <w:lang w:eastAsia="hu-HU"/>
              </w:rPr>
            </w:pPr>
          </w:p>
        </w:tc>
      </w:tr>
      <w:tr w:rsidR="004C3D75" w:rsidRPr="00C56257" w14:paraId="23CEE9FF" w14:textId="77777777" w:rsidTr="004C3D75">
        <w:tc>
          <w:tcPr>
            <w:tcW w:w="1579" w:type="pct"/>
            <w:tcBorders>
              <w:top w:val="single" w:sz="4" w:space="0" w:color="auto"/>
              <w:left w:val="single" w:sz="4" w:space="0" w:color="auto"/>
              <w:bottom w:val="single" w:sz="4" w:space="0" w:color="auto"/>
              <w:right w:val="single" w:sz="4" w:space="0" w:color="auto"/>
            </w:tcBorders>
            <w:shd w:val="clear" w:color="auto" w:fill="FFFFFF"/>
          </w:tcPr>
          <w:p w14:paraId="40E54915" w14:textId="77777777" w:rsidR="004C3D75" w:rsidRPr="00C56257" w:rsidRDefault="004C3D75" w:rsidP="008E33FD">
            <w:pPr>
              <w:spacing w:before="60" w:after="60"/>
              <w:jc w:val="both"/>
              <w:rPr>
                <w:color w:val="000000" w:themeColor="text1"/>
              </w:rPr>
            </w:pPr>
            <w:r w:rsidRPr="00C56257">
              <w:rPr>
                <w:color w:val="000000" w:themeColor="text1"/>
              </w:rPr>
              <w:t>Morfohidrologia subterană</w:t>
            </w:r>
          </w:p>
        </w:tc>
        <w:tc>
          <w:tcPr>
            <w:tcW w:w="305" w:type="pct"/>
            <w:tcBorders>
              <w:top w:val="single" w:sz="4" w:space="0" w:color="auto"/>
              <w:left w:val="single" w:sz="4" w:space="0" w:color="auto"/>
              <w:bottom w:val="single" w:sz="4" w:space="0" w:color="auto"/>
              <w:right w:val="single" w:sz="4" w:space="0" w:color="auto"/>
            </w:tcBorders>
            <w:shd w:val="clear" w:color="auto" w:fill="7F7F7F"/>
          </w:tcPr>
          <w:p w14:paraId="373191F5"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03B929FE"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718C9B69"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3A32F671"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50252B16"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3CF2C342"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483993C4"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63E6A968"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22FDE781"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01A708D9"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000B1D2A"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456A8DCE" w14:textId="77777777" w:rsidR="004C3D75" w:rsidRPr="00C56257" w:rsidRDefault="004C3D75" w:rsidP="008E33FD">
            <w:pPr>
              <w:spacing w:before="60" w:after="60"/>
              <w:jc w:val="both"/>
              <w:rPr>
                <w:rFonts w:eastAsia="Calibri"/>
                <w:color w:val="000000" w:themeColor="text1"/>
                <w:lang w:eastAsia="hu-HU"/>
              </w:rPr>
            </w:pPr>
          </w:p>
        </w:tc>
      </w:tr>
      <w:tr w:rsidR="004C3D75" w:rsidRPr="00C56257" w14:paraId="2C9B19F3" w14:textId="77777777" w:rsidTr="004C3D75">
        <w:tc>
          <w:tcPr>
            <w:tcW w:w="1579" w:type="pct"/>
            <w:tcBorders>
              <w:top w:val="single" w:sz="4" w:space="0" w:color="auto"/>
              <w:left w:val="single" w:sz="4" w:space="0" w:color="auto"/>
              <w:bottom w:val="single" w:sz="4" w:space="0" w:color="auto"/>
              <w:right w:val="single" w:sz="4" w:space="0" w:color="auto"/>
            </w:tcBorders>
            <w:shd w:val="clear" w:color="auto" w:fill="FFFFFF"/>
          </w:tcPr>
          <w:p w14:paraId="53F393E8" w14:textId="77777777" w:rsidR="004C3D75" w:rsidRPr="00C56257" w:rsidRDefault="004C3D75" w:rsidP="008E33FD">
            <w:pPr>
              <w:spacing w:before="60" w:after="60"/>
              <w:jc w:val="both"/>
              <w:rPr>
                <w:color w:val="000000" w:themeColor="text1"/>
              </w:rPr>
            </w:pPr>
            <w:r w:rsidRPr="00C56257">
              <w:rPr>
                <w:color w:val="000000" w:themeColor="text1"/>
              </w:rPr>
              <w:t xml:space="preserve">Tipul de habitat </w:t>
            </w:r>
          </w:p>
        </w:tc>
        <w:tc>
          <w:tcPr>
            <w:tcW w:w="305" w:type="pct"/>
            <w:tcBorders>
              <w:top w:val="single" w:sz="4" w:space="0" w:color="auto"/>
              <w:left w:val="single" w:sz="4" w:space="0" w:color="auto"/>
              <w:bottom w:val="single" w:sz="4" w:space="0" w:color="auto"/>
              <w:right w:val="single" w:sz="4" w:space="0" w:color="auto"/>
            </w:tcBorders>
            <w:shd w:val="clear" w:color="auto" w:fill="7F7F7F"/>
          </w:tcPr>
          <w:p w14:paraId="427E14EE"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79F5CCA5"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65B8BC24"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7B16A7FC"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2F3778DE"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7E249C1C" w14:textId="77777777" w:rsidR="004C3D75" w:rsidRPr="00C56257" w:rsidRDefault="004C3D75" w:rsidP="008E33FD">
            <w:pPr>
              <w:spacing w:before="60" w:after="60"/>
              <w:jc w:val="both"/>
              <w:rPr>
                <w:rFonts w:eastAsia="Calibri"/>
                <w:b/>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5D85D89A" w14:textId="77777777" w:rsidR="004C3D75" w:rsidRPr="00C56257" w:rsidRDefault="004C3D75" w:rsidP="008E33FD">
            <w:pPr>
              <w:spacing w:before="60" w:after="60"/>
              <w:jc w:val="both"/>
              <w:rPr>
                <w:rFonts w:eastAsia="Calibri"/>
                <w:b/>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72D384A7"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3794EC69"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673E47CB"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5B5513CE"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69E5B69A" w14:textId="77777777" w:rsidR="004C3D75" w:rsidRPr="00C56257" w:rsidRDefault="004C3D75" w:rsidP="008E33FD">
            <w:pPr>
              <w:spacing w:before="60" w:after="60"/>
              <w:jc w:val="both"/>
              <w:rPr>
                <w:rFonts w:eastAsia="Calibri"/>
                <w:color w:val="000000" w:themeColor="text1"/>
                <w:lang w:eastAsia="hu-HU"/>
              </w:rPr>
            </w:pPr>
          </w:p>
        </w:tc>
      </w:tr>
      <w:tr w:rsidR="004C3D75" w:rsidRPr="00C56257" w14:paraId="77BEFE0F" w14:textId="77777777" w:rsidTr="004C3D75">
        <w:tc>
          <w:tcPr>
            <w:tcW w:w="1579" w:type="pct"/>
            <w:tcBorders>
              <w:top w:val="single" w:sz="4" w:space="0" w:color="auto"/>
              <w:left w:val="single" w:sz="4" w:space="0" w:color="auto"/>
              <w:bottom w:val="single" w:sz="4" w:space="0" w:color="auto"/>
              <w:right w:val="single" w:sz="4" w:space="0" w:color="auto"/>
            </w:tcBorders>
            <w:shd w:val="clear" w:color="auto" w:fill="FFFFFF"/>
          </w:tcPr>
          <w:p w14:paraId="553F373F" w14:textId="77777777" w:rsidR="004C3D75" w:rsidRPr="00C56257" w:rsidRDefault="004C3D75" w:rsidP="008E33FD">
            <w:pPr>
              <w:spacing w:before="60" w:after="60"/>
              <w:jc w:val="both"/>
              <w:rPr>
                <w:color w:val="000000" w:themeColor="text1"/>
              </w:rPr>
            </w:pPr>
            <w:r w:rsidRPr="00C56257">
              <w:rPr>
                <w:color w:val="000000" w:themeColor="text1"/>
              </w:rPr>
              <w:t>Zona acoperită de habitat</w:t>
            </w:r>
          </w:p>
        </w:tc>
        <w:tc>
          <w:tcPr>
            <w:tcW w:w="305" w:type="pct"/>
            <w:tcBorders>
              <w:top w:val="single" w:sz="4" w:space="0" w:color="auto"/>
              <w:left w:val="single" w:sz="4" w:space="0" w:color="auto"/>
              <w:bottom w:val="single" w:sz="4" w:space="0" w:color="auto"/>
              <w:right w:val="single" w:sz="4" w:space="0" w:color="auto"/>
            </w:tcBorders>
            <w:shd w:val="clear" w:color="auto" w:fill="7F7F7F"/>
          </w:tcPr>
          <w:p w14:paraId="75376006"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686BB4D9"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0705CD9D"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04ADBF47"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188FC5F6"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5EAA2690" w14:textId="77777777" w:rsidR="004C3D75" w:rsidRPr="00C56257" w:rsidRDefault="004C3D75" w:rsidP="008E33FD">
            <w:pPr>
              <w:spacing w:before="60" w:after="60"/>
              <w:jc w:val="both"/>
              <w:rPr>
                <w:rFonts w:eastAsia="Calibri"/>
                <w:b/>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409644FE" w14:textId="77777777" w:rsidR="004C3D75" w:rsidRPr="00C56257" w:rsidRDefault="004C3D75" w:rsidP="008E33FD">
            <w:pPr>
              <w:spacing w:before="60" w:after="60"/>
              <w:jc w:val="both"/>
              <w:rPr>
                <w:rFonts w:eastAsia="Calibri"/>
                <w:b/>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5FE1A694"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6EC06197"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656CD849"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1BB2613B"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2548DFD0" w14:textId="77777777" w:rsidR="004C3D75" w:rsidRPr="00C56257" w:rsidRDefault="004C3D75" w:rsidP="008E33FD">
            <w:pPr>
              <w:spacing w:before="60" w:after="60"/>
              <w:jc w:val="both"/>
              <w:rPr>
                <w:rFonts w:eastAsia="Calibri"/>
                <w:color w:val="000000" w:themeColor="text1"/>
                <w:lang w:eastAsia="hu-HU"/>
              </w:rPr>
            </w:pPr>
          </w:p>
        </w:tc>
      </w:tr>
      <w:tr w:rsidR="004C3D75" w:rsidRPr="00C56257" w14:paraId="020CCBCC" w14:textId="77777777" w:rsidTr="004C3D75">
        <w:tc>
          <w:tcPr>
            <w:tcW w:w="1579" w:type="pct"/>
            <w:tcBorders>
              <w:top w:val="single" w:sz="4" w:space="0" w:color="auto"/>
              <w:left w:val="single" w:sz="4" w:space="0" w:color="auto"/>
              <w:bottom w:val="single" w:sz="4" w:space="0" w:color="auto"/>
              <w:right w:val="single" w:sz="4" w:space="0" w:color="auto"/>
            </w:tcBorders>
            <w:shd w:val="clear" w:color="auto" w:fill="FFFFFF"/>
          </w:tcPr>
          <w:p w14:paraId="75257AEF" w14:textId="77777777" w:rsidR="004C3D75" w:rsidRPr="00C56257" w:rsidRDefault="004C3D75" w:rsidP="008E33FD">
            <w:pPr>
              <w:spacing w:before="60" w:after="60"/>
              <w:jc w:val="both"/>
              <w:rPr>
                <w:color w:val="000000" w:themeColor="text1"/>
              </w:rPr>
            </w:pPr>
            <w:r w:rsidRPr="00C56257">
              <w:rPr>
                <w:color w:val="000000" w:themeColor="text1"/>
              </w:rPr>
              <w:t>Structura şi funcţiile specifice habitatului</w:t>
            </w:r>
          </w:p>
        </w:tc>
        <w:tc>
          <w:tcPr>
            <w:tcW w:w="305" w:type="pct"/>
            <w:tcBorders>
              <w:top w:val="single" w:sz="4" w:space="0" w:color="auto"/>
              <w:left w:val="single" w:sz="4" w:space="0" w:color="auto"/>
              <w:bottom w:val="single" w:sz="4" w:space="0" w:color="auto"/>
              <w:right w:val="single" w:sz="4" w:space="0" w:color="auto"/>
            </w:tcBorders>
            <w:shd w:val="clear" w:color="auto" w:fill="7F7F7F"/>
          </w:tcPr>
          <w:p w14:paraId="39EA1BD6"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653AA1B4"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155A62BD"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478AB929"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2FEE4531"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62E146D5" w14:textId="77777777" w:rsidR="004C3D75" w:rsidRPr="00C56257" w:rsidRDefault="004C3D75" w:rsidP="008E33FD">
            <w:pPr>
              <w:spacing w:before="60" w:after="60"/>
              <w:jc w:val="both"/>
              <w:rPr>
                <w:rFonts w:eastAsia="Calibri"/>
                <w:b/>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77675801" w14:textId="77777777" w:rsidR="004C3D75" w:rsidRPr="00C56257" w:rsidRDefault="004C3D75" w:rsidP="008E33FD">
            <w:pPr>
              <w:spacing w:before="60" w:after="60"/>
              <w:jc w:val="both"/>
              <w:rPr>
                <w:rFonts w:eastAsia="Calibri"/>
                <w:b/>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52A81D84"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1681343C"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75BDAF1F"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08F4237D"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19022331" w14:textId="77777777" w:rsidR="004C3D75" w:rsidRPr="00C56257" w:rsidRDefault="004C3D75" w:rsidP="008E33FD">
            <w:pPr>
              <w:spacing w:before="60" w:after="60"/>
              <w:jc w:val="both"/>
              <w:rPr>
                <w:rFonts w:eastAsia="Calibri"/>
                <w:color w:val="000000" w:themeColor="text1"/>
                <w:lang w:eastAsia="hu-HU"/>
              </w:rPr>
            </w:pPr>
          </w:p>
        </w:tc>
      </w:tr>
      <w:tr w:rsidR="004C3D75" w:rsidRPr="00C56257" w14:paraId="7624FF35" w14:textId="77777777" w:rsidTr="004C3D75">
        <w:tc>
          <w:tcPr>
            <w:tcW w:w="1579" w:type="pct"/>
            <w:tcBorders>
              <w:top w:val="single" w:sz="4" w:space="0" w:color="auto"/>
              <w:left w:val="single" w:sz="4" w:space="0" w:color="auto"/>
              <w:bottom w:val="single" w:sz="4" w:space="0" w:color="auto"/>
              <w:right w:val="single" w:sz="4" w:space="0" w:color="auto"/>
            </w:tcBorders>
            <w:shd w:val="clear" w:color="auto" w:fill="FFFFFF"/>
          </w:tcPr>
          <w:p w14:paraId="3FF2FF0A" w14:textId="77777777" w:rsidR="004C3D75" w:rsidRPr="00C56257" w:rsidRDefault="004C3D75" w:rsidP="008E33FD">
            <w:pPr>
              <w:spacing w:before="60" w:after="60"/>
              <w:jc w:val="both"/>
              <w:rPr>
                <w:color w:val="000000" w:themeColor="text1"/>
              </w:rPr>
            </w:pPr>
            <w:r w:rsidRPr="00C56257">
              <w:rPr>
                <w:color w:val="000000" w:themeColor="text1"/>
              </w:rPr>
              <w:t>Perspectivele în ceea ce priveşte tipul, aria de acoperire, structura şi funcţiile specifice</w:t>
            </w:r>
          </w:p>
        </w:tc>
        <w:tc>
          <w:tcPr>
            <w:tcW w:w="305" w:type="pct"/>
            <w:tcBorders>
              <w:top w:val="single" w:sz="4" w:space="0" w:color="auto"/>
              <w:left w:val="single" w:sz="4" w:space="0" w:color="auto"/>
              <w:bottom w:val="single" w:sz="4" w:space="0" w:color="auto"/>
              <w:right w:val="single" w:sz="4" w:space="0" w:color="auto"/>
            </w:tcBorders>
            <w:shd w:val="clear" w:color="auto" w:fill="7F7F7F"/>
          </w:tcPr>
          <w:p w14:paraId="682F09BC"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6F955FBD"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5086CBD2"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5E46225C"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43A112EA"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155F7FA4" w14:textId="77777777" w:rsidR="004C3D75" w:rsidRPr="00C56257" w:rsidRDefault="004C3D75" w:rsidP="008E33FD">
            <w:pPr>
              <w:spacing w:before="60" w:after="60"/>
              <w:jc w:val="both"/>
              <w:rPr>
                <w:rFonts w:eastAsia="Calibri"/>
                <w:b/>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0BB067E2" w14:textId="77777777" w:rsidR="004C3D75" w:rsidRPr="00C56257" w:rsidRDefault="004C3D75" w:rsidP="008E33FD">
            <w:pPr>
              <w:spacing w:before="60" w:after="60"/>
              <w:jc w:val="both"/>
              <w:rPr>
                <w:rFonts w:eastAsia="Calibri"/>
                <w:b/>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098E1083"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2A1C290A"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155F27FF"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7E8E206C"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2D7ED7AE" w14:textId="77777777" w:rsidR="004C3D75" w:rsidRPr="00C56257" w:rsidRDefault="004C3D75" w:rsidP="008E33FD">
            <w:pPr>
              <w:spacing w:before="60" w:after="60"/>
              <w:jc w:val="both"/>
              <w:rPr>
                <w:rFonts w:eastAsia="Calibri"/>
                <w:color w:val="000000" w:themeColor="text1"/>
                <w:lang w:eastAsia="hu-HU"/>
              </w:rPr>
            </w:pPr>
          </w:p>
        </w:tc>
      </w:tr>
    </w:tbl>
    <w:p w14:paraId="045F7BA9" w14:textId="77777777" w:rsidR="004C3D75" w:rsidRPr="00C56257" w:rsidRDefault="004C3D75" w:rsidP="008E33FD">
      <w:pPr>
        <w:spacing w:line="276" w:lineRule="auto"/>
        <w:jc w:val="both"/>
        <w:rPr>
          <w:rFonts w:eastAsia="Calibri"/>
          <w:color w:val="000000" w:themeColor="text1"/>
        </w:rPr>
      </w:pPr>
    </w:p>
    <w:p w14:paraId="5E17A8FB" w14:textId="77777777" w:rsidR="004C3D75" w:rsidRPr="00C56257" w:rsidRDefault="004C3D75" w:rsidP="008E33FD">
      <w:pPr>
        <w:spacing w:line="276" w:lineRule="auto"/>
        <w:jc w:val="both"/>
        <w:rPr>
          <w:rFonts w:eastAsia="Calibri"/>
          <w:color w:val="000000" w:themeColor="text1"/>
        </w:rPr>
      </w:pPr>
      <w:r w:rsidRPr="00C56257">
        <w:rPr>
          <w:rFonts w:eastAsia="Calibri"/>
          <w:color w:val="000000" w:themeColor="text1"/>
        </w:rPr>
        <w:t>Tabelul 2 – Planul de monitorizare în cazul prezenței factorilor de risc la nivel redus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2"/>
        <w:gridCol w:w="620"/>
        <w:gridCol w:w="618"/>
        <w:gridCol w:w="463"/>
        <w:gridCol w:w="619"/>
        <w:gridCol w:w="619"/>
        <w:gridCol w:w="619"/>
        <w:gridCol w:w="619"/>
        <w:gridCol w:w="619"/>
        <w:gridCol w:w="619"/>
        <w:gridCol w:w="464"/>
        <w:gridCol w:w="464"/>
        <w:gridCol w:w="619"/>
      </w:tblGrid>
      <w:tr w:rsidR="004C3D75" w:rsidRPr="00C56257" w14:paraId="3206EB88" w14:textId="77777777" w:rsidTr="004C3D75">
        <w:tc>
          <w:tcPr>
            <w:tcW w:w="1579" w:type="pct"/>
            <w:tcBorders>
              <w:top w:val="single" w:sz="4" w:space="0" w:color="auto"/>
              <w:left w:val="single" w:sz="4" w:space="0" w:color="auto"/>
              <w:bottom w:val="single" w:sz="4" w:space="0" w:color="auto"/>
              <w:right w:val="single" w:sz="4" w:space="0" w:color="auto"/>
            </w:tcBorders>
            <w:shd w:val="clear" w:color="auto" w:fill="FFFFFF"/>
          </w:tcPr>
          <w:p w14:paraId="4CBA93ED"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Metodă</w:t>
            </w:r>
          </w:p>
        </w:tc>
        <w:tc>
          <w:tcPr>
            <w:tcW w:w="305" w:type="pct"/>
            <w:tcBorders>
              <w:top w:val="single" w:sz="4" w:space="0" w:color="auto"/>
              <w:left w:val="single" w:sz="4" w:space="0" w:color="auto"/>
              <w:bottom w:val="single" w:sz="4" w:space="0" w:color="auto"/>
              <w:right w:val="single" w:sz="4" w:space="0" w:color="auto"/>
            </w:tcBorders>
            <w:shd w:val="clear" w:color="auto" w:fill="BFBFBF"/>
          </w:tcPr>
          <w:p w14:paraId="2CC9D6C5"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I</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56411E14"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F</w:t>
            </w:r>
          </w:p>
        </w:tc>
        <w:tc>
          <w:tcPr>
            <w:tcW w:w="228" w:type="pct"/>
            <w:tcBorders>
              <w:top w:val="single" w:sz="4" w:space="0" w:color="auto"/>
              <w:left w:val="single" w:sz="4" w:space="0" w:color="auto"/>
              <w:bottom w:val="single" w:sz="4" w:space="0" w:color="auto"/>
              <w:right w:val="single" w:sz="4" w:space="0" w:color="auto"/>
            </w:tcBorders>
            <w:shd w:val="clear" w:color="auto" w:fill="BFBFBF"/>
          </w:tcPr>
          <w:p w14:paraId="1B2BCF4B"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M</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7ABC248B"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A</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1ED2E075"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M</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1AF9BB01"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I</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7987C850"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I</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691C92AE"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A</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08341387"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S</w:t>
            </w:r>
          </w:p>
        </w:tc>
        <w:tc>
          <w:tcPr>
            <w:tcW w:w="228" w:type="pct"/>
            <w:tcBorders>
              <w:top w:val="single" w:sz="4" w:space="0" w:color="auto"/>
              <w:left w:val="single" w:sz="4" w:space="0" w:color="auto"/>
              <w:bottom w:val="single" w:sz="4" w:space="0" w:color="auto"/>
              <w:right w:val="single" w:sz="4" w:space="0" w:color="auto"/>
            </w:tcBorders>
            <w:shd w:val="clear" w:color="auto" w:fill="BFBFBF"/>
          </w:tcPr>
          <w:p w14:paraId="50DDCE40"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O</w:t>
            </w:r>
          </w:p>
        </w:tc>
        <w:tc>
          <w:tcPr>
            <w:tcW w:w="228" w:type="pct"/>
            <w:tcBorders>
              <w:top w:val="single" w:sz="4" w:space="0" w:color="auto"/>
              <w:left w:val="single" w:sz="4" w:space="0" w:color="auto"/>
              <w:bottom w:val="single" w:sz="4" w:space="0" w:color="auto"/>
              <w:right w:val="single" w:sz="4" w:space="0" w:color="auto"/>
            </w:tcBorders>
            <w:shd w:val="clear" w:color="auto" w:fill="BFBFBF"/>
          </w:tcPr>
          <w:p w14:paraId="683E4D88"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N</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393143E8"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D</w:t>
            </w:r>
          </w:p>
        </w:tc>
      </w:tr>
      <w:tr w:rsidR="004C3D75" w:rsidRPr="00C56257" w14:paraId="0B3FB67A" w14:textId="77777777" w:rsidTr="004C3D75">
        <w:tc>
          <w:tcPr>
            <w:tcW w:w="1579" w:type="pct"/>
            <w:tcBorders>
              <w:top w:val="single" w:sz="4" w:space="0" w:color="auto"/>
              <w:left w:val="single" w:sz="4" w:space="0" w:color="auto"/>
              <w:bottom w:val="single" w:sz="4" w:space="0" w:color="auto"/>
              <w:right w:val="single" w:sz="4" w:space="0" w:color="auto"/>
            </w:tcBorders>
            <w:shd w:val="clear" w:color="auto" w:fill="FFFFFF"/>
          </w:tcPr>
          <w:p w14:paraId="4E86887D" w14:textId="77777777" w:rsidR="004C3D75" w:rsidRPr="00C56257" w:rsidRDefault="004C3D75" w:rsidP="008E33FD">
            <w:pPr>
              <w:spacing w:before="60" w:after="60"/>
              <w:jc w:val="both"/>
              <w:rPr>
                <w:rFonts w:eastAsia="Calibri"/>
                <w:color w:val="000000" w:themeColor="text1"/>
                <w:lang w:eastAsia="hu-HU"/>
              </w:rPr>
            </w:pPr>
            <w:r w:rsidRPr="00C56257">
              <w:rPr>
                <w:rFonts w:eastAsia="Calibri"/>
                <w:color w:val="000000" w:themeColor="text1"/>
              </w:rPr>
              <w:t>Monitorizarea caracteristicilor mediului fizic</w:t>
            </w:r>
          </w:p>
        </w:tc>
        <w:tc>
          <w:tcPr>
            <w:tcW w:w="305" w:type="pct"/>
            <w:tcBorders>
              <w:top w:val="single" w:sz="4" w:space="0" w:color="auto"/>
              <w:left w:val="single" w:sz="4" w:space="0" w:color="auto"/>
              <w:bottom w:val="single" w:sz="4" w:space="0" w:color="auto"/>
              <w:right w:val="single" w:sz="4" w:space="0" w:color="auto"/>
            </w:tcBorders>
            <w:shd w:val="clear" w:color="auto" w:fill="595959"/>
          </w:tcPr>
          <w:p w14:paraId="1A2EF336"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16352341"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EEECE1"/>
          </w:tcPr>
          <w:p w14:paraId="0F9636C7"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595959"/>
          </w:tcPr>
          <w:p w14:paraId="10C032AF"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38651481"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18D063CB"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595959"/>
          </w:tcPr>
          <w:p w14:paraId="0D912ECD"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15BD2FF7"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15E5C0C5"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595959"/>
          </w:tcPr>
          <w:p w14:paraId="2A20F539"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EEECE1"/>
          </w:tcPr>
          <w:p w14:paraId="4D6C5343"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4FC31D16" w14:textId="77777777" w:rsidR="004C3D75" w:rsidRPr="00C56257" w:rsidRDefault="004C3D75" w:rsidP="008E33FD">
            <w:pPr>
              <w:spacing w:before="60" w:after="60"/>
              <w:jc w:val="both"/>
              <w:rPr>
                <w:rFonts w:eastAsia="Calibri"/>
                <w:color w:val="000000" w:themeColor="text1"/>
                <w:lang w:eastAsia="hu-HU"/>
              </w:rPr>
            </w:pPr>
          </w:p>
        </w:tc>
      </w:tr>
      <w:tr w:rsidR="004C3D75" w:rsidRPr="00C56257" w14:paraId="1D9C6134" w14:textId="77777777" w:rsidTr="004C3D75">
        <w:tc>
          <w:tcPr>
            <w:tcW w:w="1579" w:type="pct"/>
            <w:tcBorders>
              <w:top w:val="single" w:sz="4" w:space="0" w:color="auto"/>
              <w:left w:val="single" w:sz="4" w:space="0" w:color="auto"/>
              <w:bottom w:val="single" w:sz="4" w:space="0" w:color="auto"/>
              <w:right w:val="single" w:sz="4" w:space="0" w:color="auto"/>
            </w:tcBorders>
            <w:shd w:val="clear" w:color="auto" w:fill="FFFFFF"/>
          </w:tcPr>
          <w:p w14:paraId="264825DD" w14:textId="77777777" w:rsidR="004C3D75" w:rsidRPr="00C56257" w:rsidRDefault="004C3D75" w:rsidP="008E33FD">
            <w:pPr>
              <w:spacing w:before="60" w:after="60"/>
              <w:jc w:val="both"/>
              <w:rPr>
                <w:color w:val="000000" w:themeColor="text1"/>
              </w:rPr>
            </w:pPr>
            <w:r w:rsidRPr="00C56257">
              <w:rPr>
                <w:color w:val="000000" w:themeColor="text1"/>
              </w:rPr>
              <w:t>Morfohidrologia subterană</w:t>
            </w:r>
          </w:p>
        </w:tc>
        <w:tc>
          <w:tcPr>
            <w:tcW w:w="305" w:type="pct"/>
            <w:tcBorders>
              <w:top w:val="single" w:sz="4" w:space="0" w:color="auto"/>
              <w:left w:val="single" w:sz="4" w:space="0" w:color="auto"/>
              <w:bottom w:val="single" w:sz="4" w:space="0" w:color="auto"/>
              <w:right w:val="single" w:sz="4" w:space="0" w:color="auto"/>
            </w:tcBorders>
            <w:shd w:val="clear" w:color="auto" w:fill="595959"/>
          </w:tcPr>
          <w:p w14:paraId="38E143F6"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34F90272"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EEECE1"/>
          </w:tcPr>
          <w:p w14:paraId="4FDF8D3B"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595959"/>
          </w:tcPr>
          <w:p w14:paraId="4E39E4A7"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1E05BACE"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5CDC2609"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595959"/>
          </w:tcPr>
          <w:p w14:paraId="04ABFFC4"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557FA32C"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1CA3A5D4"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595959"/>
          </w:tcPr>
          <w:p w14:paraId="4D1D7D7F"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EEECE1"/>
          </w:tcPr>
          <w:p w14:paraId="7F6455E9"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4740D79C" w14:textId="77777777" w:rsidR="004C3D75" w:rsidRPr="00C56257" w:rsidRDefault="004C3D75" w:rsidP="008E33FD">
            <w:pPr>
              <w:spacing w:before="60" w:after="60"/>
              <w:jc w:val="both"/>
              <w:rPr>
                <w:rFonts w:eastAsia="Calibri"/>
                <w:color w:val="000000" w:themeColor="text1"/>
                <w:lang w:eastAsia="hu-HU"/>
              </w:rPr>
            </w:pPr>
          </w:p>
        </w:tc>
      </w:tr>
      <w:tr w:rsidR="004C3D75" w:rsidRPr="00C56257" w14:paraId="00915D84" w14:textId="77777777" w:rsidTr="004C3D75">
        <w:tc>
          <w:tcPr>
            <w:tcW w:w="1579" w:type="pct"/>
            <w:tcBorders>
              <w:top w:val="single" w:sz="4" w:space="0" w:color="auto"/>
              <w:left w:val="single" w:sz="4" w:space="0" w:color="auto"/>
              <w:bottom w:val="single" w:sz="4" w:space="0" w:color="auto"/>
              <w:right w:val="single" w:sz="4" w:space="0" w:color="auto"/>
            </w:tcBorders>
            <w:shd w:val="clear" w:color="auto" w:fill="FFFFFF"/>
          </w:tcPr>
          <w:p w14:paraId="1349C017" w14:textId="77777777" w:rsidR="004C3D75" w:rsidRPr="00C56257" w:rsidRDefault="004C3D75" w:rsidP="008E33FD">
            <w:pPr>
              <w:spacing w:before="60" w:after="60"/>
              <w:jc w:val="both"/>
              <w:rPr>
                <w:color w:val="000000" w:themeColor="text1"/>
              </w:rPr>
            </w:pPr>
            <w:r w:rsidRPr="00C56257">
              <w:rPr>
                <w:color w:val="000000" w:themeColor="text1"/>
              </w:rPr>
              <w:t xml:space="preserve">Tipul de habitat </w:t>
            </w:r>
          </w:p>
        </w:tc>
        <w:tc>
          <w:tcPr>
            <w:tcW w:w="305" w:type="pct"/>
            <w:tcBorders>
              <w:top w:val="single" w:sz="4" w:space="0" w:color="auto"/>
              <w:left w:val="single" w:sz="4" w:space="0" w:color="auto"/>
              <w:bottom w:val="single" w:sz="4" w:space="0" w:color="auto"/>
              <w:right w:val="single" w:sz="4" w:space="0" w:color="auto"/>
            </w:tcBorders>
            <w:shd w:val="clear" w:color="auto" w:fill="595959"/>
          </w:tcPr>
          <w:p w14:paraId="0F5AEEAD"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2E831ECB"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EEECE1"/>
          </w:tcPr>
          <w:p w14:paraId="77411135"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595959"/>
          </w:tcPr>
          <w:p w14:paraId="163E18B1"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6745EA48"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0039BDE7" w14:textId="77777777" w:rsidR="004C3D75" w:rsidRPr="00C56257" w:rsidRDefault="004C3D75" w:rsidP="008E33FD">
            <w:pPr>
              <w:spacing w:before="60" w:after="60"/>
              <w:jc w:val="both"/>
              <w:rPr>
                <w:rFonts w:eastAsia="Calibri"/>
                <w:b/>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595959"/>
          </w:tcPr>
          <w:p w14:paraId="4236F00E" w14:textId="77777777" w:rsidR="004C3D75" w:rsidRPr="00C56257" w:rsidRDefault="004C3D75" w:rsidP="008E33FD">
            <w:pPr>
              <w:spacing w:before="60" w:after="60"/>
              <w:jc w:val="both"/>
              <w:rPr>
                <w:rFonts w:eastAsia="Calibri"/>
                <w:b/>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50A41836"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4241B0A6"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595959"/>
          </w:tcPr>
          <w:p w14:paraId="6D22B2C2"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EEECE1"/>
          </w:tcPr>
          <w:p w14:paraId="6730B03D"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51E6066D" w14:textId="77777777" w:rsidR="004C3D75" w:rsidRPr="00C56257" w:rsidRDefault="004C3D75" w:rsidP="008E33FD">
            <w:pPr>
              <w:spacing w:before="60" w:after="60"/>
              <w:jc w:val="both"/>
              <w:rPr>
                <w:rFonts w:eastAsia="Calibri"/>
                <w:color w:val="000000" w:themeColor="text1"/>
                <w:lang w:eastAsia="hu-HU"/>
              </w:rPr>
            </w:pPr>
          </w:p>
        </w:tc>
      </w:tr>
      <w:tr w:rsidR="004C3D75" w:rsidRPr="00C56257" w14:paraId="293CE464" w14:textId="77777777" w:rsidTr="004C3D75">
        <w:tc>
          <w:tcPr>
            <w:tcW w:w="1579" w:type="pct"/>
            <w:tcBorders>
              <w:top w:val="single" w:sz="4" w:space="0" w:color="auto"/>
              <w:left w:val="single" w:sz="4" w:space="0" w:color="auto"/>
              <w:bottom w:val="single" w:sz="4" w:space="0" w:color="auto"/>
              <w:right w:val="single" w:sz="4" w:space="0" w:color="auto"/>
            </w:tcBorders>
            <w:shd w:val="clear" w:color="auto" w:fill="FFFFFF"/>
          </w:tcPr>
          <w:p w14:paraId="63BD433A" w14:textId="77777777" w:rsidR="004C3D75" w:rsidRPr="00C56257" w:rsidRDefault="004C3D75" w:rsidP="008E33FD">
            <w:pPr>
              <w:spacing w:before="60" w:after="60"/>
              <w:jc w:val="both"/>
              <w:rPr>
                <w:color w:val="000000" w:themeColor="text1"/>
              </w:rPr>
            </w:pPr>
            <w:r w:rsidRPr="00C56257">
              <w:rPr>
                <w:color w:val="000000" w:themeColor="text1"/>
              </w:rPr>
              <w:t>Zona acoperită de habitat</w:t>
            </w:r>
          </w:p>
        </w:tc>
        <w:tc>
          <w:tcPr>
            <w:tcW w:w="305" w:type="pct"/>
            <w:tcBorders>
              <w:top w:val="single" w:sz="4" w:space="0" w:color="auto"/>
              <w:left w:val="single" w:sz="4" w:space="0" w:color="auto"/>
              <w:bottom w:val="single" w:sz="4" w:space="0" w:color="auto"/>
              <w:right w:val="single" w:sz="4" w:space="0" w:color="auto"/>
            </w:tcBorders>
            <w:shd w:val="clear" w:color="auto" w:fill="595959"/>
          </w:tcPr>
          <w:p w14:paraId="6EC903B3"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309FEA75"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EEECE1"/>
          </w:tcPr>
          <w:p w14:paraId="01F24ADF"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595959"/>
          </w:tcPr>
          <w:p w14:paraId="472F019C"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715DAB24"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317B8362" w14:textId="77777777" w:rsidR="004C3D75" w:rsidRPr="00C56257" w:rsidRDefault="004C3D75" w:rsidP="008E33FD">
            <w:pPr>
              <w:spacing w:before="60" w:after="60"/>
              <w:jc w:val="both"/>
              <w:rPr>
                <w:rFonts w:eastAsia="Calibri"/>
                <w:b/>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595959"/>
          </w:tcPr>
          <w:p w14:paraId="6A6C1174" w14:textId="77777777" w:rsidR="004C3D75" w:rsidRPr="00C56257" w:rsidRDefault="004C3D75" w:rsidP="008E33FD">
            <w:pPr>
              <w:spacing w:before="60" w:after="60"/>
              <w:jc w:val="both"/>
              <w:rPr>
                <w:rFonts w:eastAsia="Calibri"/>
                <w:b/>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4EE67A96"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7AF9B876"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595959"/>
          </w:tcPr>
          <w:p w14:paraId="59267D41"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EEECE1"/>
          </w:tcPr>
          <w:p w14:paraId="34A00027"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7932B454" w14:textId="77777777" w:rsidR="004C3D75" w:rsidRPr="00C56257" w:rsidRDefault="004C3D75" w:rsidP="008E33FD">
            <w:pPr>
              <w:spacing w:before="60" w:after="60"/>
              <w:jc w:val="both"/>
              <w:rPr>
                <w:rFonts w:eastAsia="Calibri"/>
                <w:color w:val="000000" w:themeColor="text1"/>
                <w:lang w:eastAsia="hu-HU"/>
              </w:rPr>
            </w:pPr>
          </w:p>
        </w:tc>
      </w:tr>
      <w:tr w:rsidR="004C3D75" w:rsidRPr="00C56257" w14:paraId="4BCF5F41" w14:textId="77777777" w:rsidTr="004C3D75">
        <w:tc>
          <w:tcPr>
            <w:tcW w:w="1579" w:type="pct"/>
            <w:tcBorders>
              <w:top w:val="single" w:sz="4" w:space="0" w:color="auto"/>
              <w:left w:val="single" w:sz="4" w:space="0" w:color="auto"/>
              <w:bottom w:val="single" w:sz="4" w:space="0" w:color="auto"/>
              <w:right w:val="single" w:sz="4" w:space="0" w:color="auto"/>
            </w:tcBorders>
            <w:shd w:val="clear" w:color="auto" w:fill="FFFFFF"/>
          </w:tcPr>
          <w:p w14:paraId="20129D22" w14:textId="77777777" w:rsidR="004C3D75" w:rsidRPr="00C56257" w:rsidRDefault="004C3D75" w:rsidP="008E33FD">
            <w:pPr>
              <w:spacing w:before="60" w:after="60"/>
              <w:jc w:val="both"/>
              <w:rPr>
                <w:color w:val="000000" w:themeColor="text1"/>
              </w:rPr>
            </w:pPr>
            <w:r w:rsidRPr="00C56257">
              <w:rPr>
                <w:color w:val="000000" w:themeColor="text1"/>
              </w:rPr>
              <w:t>Structura şi funcţiile specifice habitatului</w:t>
            </w:r>
          </w:p>
        </w:tc>
        <w:tc>
          <w:tcPr>
            <w:tcW w:w="305" w:type="pct"/>
            <w:tcBorders>
              <w:top w:val="single" w:sz="4" w:space="0" w:color="auto"/>
              <w:left w:val="single" w:sz="4" w:space="0" w:color="auto"/>
              <w:bottom w:val="single" w:sz="4" w:space="0" w:color="auto"/>
              <w:right w:val="single" w:sz="4" w:space="0" w:color="auto"/>
            </w:tcBorders>
            <w:shd w:val="clear" w:color="auto" w:fill="595959"/>
          </w:tcPr>
          <w:p w14:paraId="0522DBCD"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2556EEAA"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EEECE1"/>
          </w:tcPr>
          <w:p w14:paraId="130EA329"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595959"/>
          </w:tcPr>
          <w:p w14:paraId="33962699"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22539918"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7C24FB91" w14:textId="77777777" w:rsidR="004C3D75" w:rsidRPr="00C56257" w:rsidRDefault="004C3D75" w:rsidP="008E33FD">
            <w:pPr>
              <w:spacing w:before="60" w:after="60"/>
              <w:jc w:val="both"/>
              <w:rPr>
                <w:rFonts w:eastAsia="Calibri"/>
                <w:b/>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595959"/>
          </w:tcPr>
          <w:p w14:paraId="31D3DF50" w14:textId="77777777" w:rsidR="004C3D75" w:rsidRPr="00C56257" w:rsidRDefault="004C3D75" w:rsidP="008E33FD">
            <w:pPr>
              <w:spacing w:before="60" w:after="60"/>
              <w:jc w:val="both"/>
              <w:rPr>
                <w:rFonts w:eastAsia="Calibri"/>
                <w:b/>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282AE0CC"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0FFEB8B2"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595959"/>
          </w:tcPr>
          <w:p w14:paraId="3A003C30"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EEECE1"/>
          </w:tcPr>
          <w:p w14:paraId="3611C7C4"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63298B3C" w14:textId="77777777" w:rsidR="004C3D75" w:rsidRPr="00C56257" w:rsidRDefault="004C3D75" w:rsidP="008E33FD">
            <w:pPr>
              <w:spacing w:before="60" w:after="60"/>
              <w:jc w:val="both"/>
              <w:rPr>
                <w:rFonts w:eastAsia="Calibri"/>
                <w:color w:val="000000" w:themeColor="text1"/>
                <w:lang w:eastAsia="hu-HU"/>
              </w:rPr>
            </w:pPr>
          </w:p>
        </w:tc>
      </w:tr>
      <w:tr w:rsidR="004C3D75" w:rsidRPr="00C56257" w14:paraId="461F9604" w14:textId="77777777" w:rsidTr="004C3D75">
        <w:tc>
          <w:tcPr>
            <w:tcW w:w="1579" w:type="pct"/>
            <w:tcBorders>
              <w:top w:val="single" w:sz="4" w:space="0" w:color="auto"/>
              <w:left w:val="single" w:sz="4" w:space="0" w:color="auto"/>
              <w:bottom w:val="single" w:sz="4" w:space="0" w:color="auto"/>
              <w:right w:val="single" w:sz="4" w:space="0" w:color="auto"/>
            </w:tcBorders>
            <w:shd w:val="clear" w:color="auto" w:fill="FFFFFF"/>
          </w:tcPr>
          <w:p w14:paraId="6D860E03" w14:textId="77777777" w:rsidR="004C3D75" w:rsidRPr="00C56257" w:rsidRDefault="004C3D75" w:rsidP="008E33FD">
            <w:pPr>
              <w:spacing w:before="60" w:after="60"/>
              <w:jc w:val="both"/>
              <w:rPr>
                <w:color w:val="000000" w:themeColor="text1"/>
              </w:rPr>
            </w:pPr>
            <w:r w:rsidRPr="00C56257">
              <w:rPr>
                <w:color w:val="000000" w:themeColor="text1"/>
              </w:rPr>
              <w:t>Perspectivele în ceea ce priveşte tipul, aria de acoperire, structura şi funcţiile specifice</w:t>
            </w:r>
          </w:p>
        </w:tc>
        <w:tc>
          <w:tcPr>
            <w:tcW w:w="305" w:type="pct"/>
            <w:tcBorders>
              <w:top w:val="single" w:sz="4" w:space="0" w:color="auto"/>
              <w:left w:val="single" w:sz="4" w:space="0" w:color="auto"/>
              <w:bottom w:val="single" w:sz="4" w:space="0" w:color="auto"/>
              <w:right w:val="single" w:sz="4" w:space="0" w:color="auto"/>
            </w:tcBorders>
            <w:shd w:val="clear" w:color="auto" w:fill="595959"/>
          </w:tcPr>
          <w:p w14:paraId="4AD47B48"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548A4C1A"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EEECE1"/>
          </w:tcPr>
          <w:p w14:paraId="58965E35"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595959"/>
          </w:tcPr>
          <w:p w14:paraId="1BA8EC26"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3A783FED"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323943EF" w14:textId="77777777" w:rsidR="004C3D75" w:rsidRPr="00C56257" w:rsidRDefault="004C3D75" w:rsidP="008E33FD">
            <w:pPr>
              <w:spacing w:before="60" w:after="60"/>
              <w:jc w:val="both"/>
              <w:rPr>
                <w:rFonts w:eastAsia="Calibri"/>
                <w:b/>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595959"/>
          </w:tcPr>
          <w:p w14:paraId="59F003AF" w14:textId="77777777" w:rsidR="004C3D75" w:rsidRPr="00C56257" w:rsidRDefault="004C3D75" w:rsidP="008E33FD">
            <w:pPr>
              <w:spacing w:before="60" w:after="60"/>
              <w:jc w:val="both"/>
              <w:rPr>
                <w:rFonts w:eastAsia="Calibri"/>
                <w:b/>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67CA44F0"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55C38866"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595959"/>
          </w:tcPr>
          <w:p w14:paraId="49548965"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EEECE1"/>
          </w:tcPr>
          <w:p w14:paraId="4B27C773"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EEECE1"/>
          </w:tcPr>
          <w:p w14:paraId="501B65DC" w14:textId="77777777" w:rsidR="004C3D75" w:rsidRPr="00C56257" w:rsidRDefault="004C3D75" w:rsidP="008E33FD">
            <w:pPr>
              <w:spacing w:before="60" w:after="60"/>
              <w:jc w:val="both"/>
              <w:rPr>
                <w:rFonts w:eastAsia="Calibri"/>
                <w:color w:val="000000" w:themeColor="text1"/>
                <w:lang w:eastAsia="hu-HU"/>
              </w:rPr>
            </w:pPr>
          </w:p>
        </w:tc>
      </w:tr>
    </w:tbl>
    <w:p w14:paraId="44CB0346" w14:textId="77777777" w:rsidR="004C3D75" w:rsidRPr="00C56257" w:rsidRDefault="004C3D75" w:rsidP="008E33FD">
      <w:pPr>
        <w:spacing w:line="276" w:lineRule="auto"/>
        <w:jc w:val="both"/>
        <w:rPr>
          <w:rFonts w:eastAsia="Calibri"/>
          <w:color w:val="000000" w:themeColor="text1"/>
        </w:rPr>
      </w:pPr>
    </w:p>
    <w:p w14:paraId="3B497CE1" w14:textId="77777777" w:rsidR="004C3D75" w:rsidRPr="00C56257" w:rsidRDefault="004C3D75" w:rsidP="008E33FD">
      <w:pPr>
        <w:keepNext/>
        <w:keepLines/>
        <w:spacing w:before="240" w:line="259" w:lineRule="auto"/>
        <w:jc w:val="both"/>
        <w:outlineLvl w:val="0"/>
        <w:rPr>
          <w:b/>
          <w:color w:val="000000" w:themeColor="text1"/>
        </w:rPr>
      </w:pPr>
      <w:bookmarkStart w:id="46" w:name="_Toc20820906"/>
      <w:r w:rsidRPr="00C56257">
        <w:rPr>
          <w:b/>
          <w:color w:val="000000" w:themeColor="text1"/>
        </w:rPr>
        <w:lastRenderedPageBreak/>
        <w:t xml:space="preserve"> 2. Descrierea metodologiei de monitorizare a habitatului 8330</w:t>
      </w:r>
      <w:bookmarkEnd w:id="46"/>
    </w:p>
    <w:p w14:paraId="0D48A586" w14:textId="77777777" w:rsidR="004C3D75" w:rsidRPr="00C56257" w:rsidRDefault="004C3D75" w:rsidP="008E33FD">
      <w:pPr>
        <w:keepNext/>
        <w:keepLines/>
        <w:spacing w:before="120" w:after="160" w:line="259" w:lineRule="auto"/>
        <w:ind w:left="360"/>
        <w:jc w:val="both"/>
        <w:outlineLvl w:val="1"/>
        <w:rPr>
          <w:b/>
          <w:color w:val="000000" w:themeColor="text1"/>
        </w:rPr>
      </w:pPr>
      <w:bookmarkStart w:id="47" w:name="_Toc20820907"/>
      <w:r w:rsidRPr="00C56257">
        <w:rPr>
          <w:b/>
          <w:color w:val="000000" w:themeColor="text1"/>
        </w:rPr>
        <w:t>2.1. Definiții</w:t>
      </w:r>
      <w:bookmarkEnd w:id="47"/>
    </w:p>
    <w:p w14:paraId="3702BABB" w14:textId="77777777" w:rsidR="004C3D75" w:rsidRPr="00C56257" w:rsidRDefault="004C3D75" w:rsidP="008E33FD">
      <w:pPr>
        <w:spacing w:line="276" w:lineRule="auto"/>
        <w:jc w:val="both"/>
        <w:rPr>
          <w:rFonts w:eastAsia="Calibri"/>
          <w:color w:val="000000" w:themeColor="text1"/>
        </w:rPr>
      </w:pPr>
    </w:p>
    <w:p w14:paraId="7EC2627C" w14:textId="77777777" w:rsidR="004C3D75" w:rsidRPr="00C56257" w:rsidRDefault="004C3D75" w:rsidP="008E33FD">
      <w:pPr>
        <w:spacing w:line="276" w:lineRule="auto"/>
        <w:jc w:val="both"/>
        <w:rPr>
          <w:rFonts w:eastAsia="Calibri"/>
          <w:color w:val="000000" w:themeColor="text1"/>
        </w:rPr>
      </w:pPr>
      <w:r w:rsidRPr="00C56257">
        <w:rPr>
          <w:rFonts w:eastAsia="Calibri"/>
          <w:color w:val="000000" w:themeColor="text1"/>
        </w:rPr>
        <w:t xml:space="preserve">Habitatul 8330 cuprinde peșteri marine complet sau parțial submerse este reprezentat de peșteri situate sub nivelul mării sau deschise spre mare, cel puțin în perioadele de maree înaltă, incluzând și peșterile marine parțial submerse. Fundul și pereții laterali ai acestor peșteri pot adăposti comunități de nevertebrate marine și de alge. Dintre speciile de alge roșii ce se pot regăsi in acest habitat se remarcă </w:t>
      </w:r>
      <w:r w:rsidRPr="00C56257">
        <w:rPr>
          <w:rFonts w:eastAsia="Calibri"/>
          <w:i/>
          <w:color w:val="000000" w:themeColor="text1"/>
        </w:rPr>
        <w:t>Hildebrandtia prototypus</w:t>
      </w:r>
      <w:r w:rsidRPr="00C56257">
        <w:rPr>
          <w:rFonts w:eastAsia="Calibri"/>
          <w:color w:val="000000" w:themeColor="text1"/>
        </w:rPr>
        <w:t xml:space="preserve"> și </w:t>
      </w:r>
      <w:r w:rsidRPr="00C56257">
        <w:rPr>
          <w:rFonts w:eastAsia="Calibri"/>
          <w:i/>
          <w:color w:val="000000" w:themeColor="text1"/>
        </w:rPr>
        <w:t>Phyllophora nervosa</w:t>
      </w:r>
      <w:r w:rsidRPr="00C56257">
        <w:rPr>
          <w:rFonts w:eastAsia="Calibri"/>
          <w:color w:val="000000" w:themeColor="text1"/>
        </w:rPr>
        <w:t xml:space="preserve"> (Moldovan et al., 2008).</w:t>
      </w:r>
    </w:p>
    <w:p w14:paraId="024924FD" w14:textId="77777777" w:rsidR="004C3D75" w:rsidRPr="00C56257" w:rsidRDefault="004C3D75" w:rsidP="008E33FD">
      <w:pPr>
        <w:spacing w:line="276" w:lineRule="auto"/>
        <w:jc w:val="both"/>
        <w:rPr>
          <w:rFonts w:eastAsia="Calibri"/>
          <w:color w:val="000000" w:themeColor="text1"/>
        </w:rPr>
      </w:pPr>
      <w:r w:rsidRPr="00C56257">
        <w:rPr>
          <w:rFonts w:eastAsia="Calibri"/>
          <w:color w:val="000000" w:themeColor="text1"/>
        </w:rPr>
        <w:t>Este de remarcat că în cazul acestui tip de habitat nu se face referire la dimensiunea cavității, ci doar la poziția acestuia în raport cu uscatul și la existența unor specii de nevertebrate și alge. Totuși, pentru a fomaliza o delimitare strict metodologică de alte tipuri de habitate submerse (de exemplu golurile din recifi), trebuie să considem o peșteră submersă acea cavitate care să permită accesul omului și care să depășească lungimea acestuia.</w:t>
      </w:r>
    </w:p>
    <w:p w14:paraId="4B1CADCA" w14:textId="77777777" w:rsidR="004C3D75" w:rsidRPr="00C56257" w:rsidRDefault="004C3D75" w:rsidP="008E33FD">
      <w:pPr>
        <w:keepNext/>
        <w:keepLines/>
        <w:spacing w:before="120" w:after="160" w:line="259" w:lineRule="auto"/>
        <w:ind w:left="360"/>
        <w:jc w:val="both"/>
        <w:outlineLvl w:val="1"/>
        <w:rPr>
          <w:b/>
          <w:color w:val="000000" w:themeColor="text1"/>
        </w:rPr>
      </w:pPr>
      <w:bookmarkStart w:id="48" w:name="_Toc20820908"/>
      <w:r w:rsidRPr="00C56257">
        <w:rPr>
          <w:b/>
          <w:color w:val="000000" w:themeColor="text1"/>
        </w:rPr>
        <w:t>2.2 Identificarea habitatului 8330</w:t>
      </w:r>
      <w:bookmarkEnd w:id="48"/>
    </w:p>
    <w:p w14:paraId="2643FAD9" w14:textId="77777777" w:rsidR="004C3D75" w:rsidRPr="00C56257" w:rsidRDefault="004C3D75" w:rsidP="008E33FD">
      <w:pPr>
        <w:spacing w:before="120" w:line="276" w:lineRule="auto"/>
        <w:jc w:val="both"/>
        <w:rPr>
          <w:rFonts w:eastAsia="Calibri"/>
          <w:color w:val="000000" w:themeColor="text1"/>
        </w:rPr>
      </w:pPr>
      <w:r w:rsidRPr="00C56257">
        <w:rPr>
          <w:rFonts w:eastAsia="Calibri"/>
          <w:color w:val="000000" w:themeColor="text1"/>
        </w:rPr>
        <w:t xml:space="preserve">În bioregiunea marina Marea Neagră, habitatul 8330 se identifică cu arealele alcătuite din roci calcaroase sarmatice. Localizarea cea mai frecventă a acestora este la baza rupturilor de pantă din versanții dolinelor submerse sau ai văilor submerse. Dimensiunea acestora variază de la dimensiuni de minim 3 m până la decimetri, având în general forma unui tunel, rareori cu ramificații ale galeriilor. În enele cazuri, peșterile submerse pot avea mai multe intrări. O caracteristică importantă a acestui habitat o reprezintă prezența faunei de nevertebrate cu comunități de midii </w:t>
      </w:r>
      <w:r w:rsidRPr="00C56257">
        <w:rPr>
          <w:rFonts w:eastAsia="Calibri"/>
          <w:i/>
          <w:color w:val="000000" w:themeColor="text1"/>
        </w:rPr>
        <w:t>(Mytilus eduli)</w:t>
      </w:r>
      <w:r w:rsidRPr="00C56257">
        <w:rPr>
          <w:rFonts w:eastAsia="Calibri"/>
          <w:color w:val="000000" w:themeColor="text1"/>
        </w:rPr>
        <w:t xml:space="preserve"> sau alge care tolerează umbra în zona intrării.</w:t>
      </w:r>
    </w:p>
    <w:p w14:paraId="18FB26DC" w14:textId="77777777" w:rsidR="004C3D75" w:rsidRPr="00C56257" w:rsidRDefault="004C3D75" w:rsidP="008E33FD">
      <w:pPr>
        <w:keepNext/>
        <w:keepLines/>
        <w:spacing w:before="120" w:after="160" w:line="259" w:lineRule="auto"/>
        <w:jc w:val="both"/>
        <w:outlineLvl w:val="1"/>
        <w:rPr>
          <w:b/>
          <w:color w:val="000000" w:themeColor="text1"/>
        </w:rPr>
      </w:pPr>
      <w:bookmarkStart w:id="49" w:name="_Toc20820909"/>
      <w:r w:rsidRPr="00C56257">
        <w:rPr>
          <w:b/>
          <w:color w:val="000000" w:themeColor="text1"/>
        </w:rPr>
        <w:t>2.3.Metodologie de monitorizare a habitatului 8330</w:t>
      </w:r>
      <w:bookmarkEnd w:id="49"/>
    </w:p>
    <w:p w14:paraId="760E7918" w14:textId="77777777" w:rsidR="004C3D75" w:rsidRPr="00C56257" w:rsidRDefault="004C3D75" w:rsidP="008E33FD">
      <w:pPr>
        <w:spacing w:before="120" w:line="276" w:lineRule="auto"/>
        <w:jc w:val="both"/>
        <w:rPr>
          <w:rFonts w:eastAsia="Calibri"/>
          <w:color w:val="000000" w:themeColor="text1"/>
        </w:rPr>
      </w:pPr>
      <w:r w:rsidRPr="00C56257">
        <w:rPr>
          <w:rFonts w:eastAsia="Calibri"/>
          <w:color w:val="000000" w:themeColor="text1"/>
        </w:rPr>
        <w:t xml:space="preserve">Principala caracteristică a habitatului 8330 este că se găsește sub nivel mării de aceea accesul pentru monitorizarea acestuia se poate realiza doar cu ajutorul scafandilor. Accesul la zonele in care au fost identificate peșteri submerse se face cu ajutorul bărcilor cu motor sau direct de la mal. Scufundările se vor efectua în echipe de 2 sau 3 scafandri echipați cu busola, batimetru, ruleta și sistem de scriere sub apă, inclusiv cu aparatura foto-video. De asemenea, sunt necesare echipamente pentru colectarea probelor de faună pentru identificarea ulterioară în laborator. </w:t>
      </w:r>
    </w:p>
    <w:p w14:paraId="2448903F" w14:textId="77777777" w:rsidR="004C3D75" w:rsidRPr="00C56257" w:rsidRDefault="004C3D75" w:rsidP="008E33FD">
      <w:pPr>
        <w:spacing w:before="120" w:line="276" w:lineRule="auto"/>
        <w:jc w:val="both"/>
        <w:rPr>
          <w:rFonts w:eastAsia="Calibri"/>
          <w:color w:val="000000" w:themeColor="text1"/>
        </w:rPr>
      </w:pPr>
      <w:r w:rsidRPr="00C56257">
        <w:rPr>
          <w:rFonts w:eastAsia="Calibri"/>
          <w:color w:val="000000" w:themeColor="text1"/>
        </w:rPr>
        <w:t>Localizarea poziției de scufundare se va realiza cu un aparat GPS plasat, fie în barcă, fie pe baliza de semnalizare folosită pentru scufundare.</w:t>
      </w:r>
    </w:p>
    <w:p w14:paraId="0ED2848D" w14:textId="77777777" w:rsidR="004C3D75" w:rsidRPr="00C56257" w:rsidRDefault="004C3D75" w:rsidP="008E33FD">
      <w:pPr>
        <w:spacing w:before="120" w:line="276" w:lineRule="auto"/>
        <w:jc w:val="both"/>
        <w:rPr>
          <w:rFonts w:eastAsia="Calibri"/>
          <w:color w:val="000000" w:themeColor="text1"/>
        </w:rPr>
      </w:pPr>
      <w:r w:rsidRPr="00C56257">
        <w:rPr>
          <w:rFonts w:eastAsia="Calibri"/>
          <w:color w:val="000000" w:themeColor="text1"/>
        </w:rPr>
        <w:t>Pentru a se caracteriza morfologia peșterii se vor avea in vedere caracterul de tunel (&gt;1 intrare) sau peștera închisă (o singura intrare), si se va realiza cartarea sau recartarea ei. Se va acorda atenție tipului de umplutura sedimentară, dar și prezentei elementelor de flora sau faună. De asemenea, se vor efectua măsurători ale adâncimii apei în interiorul peșterilor și se va urmări prezența clopotelor de aer, dar și gradul de iluminare, identificându-se zona de intrare, zona cu semi-întuneric sau zona întunecată.</w:t>
      </w:r>
    </w:p>
    <w:p w14:paraId="3D33C986" w14:textId="77777777" w:rsidR="004C3D75" w:rsidRPr="00C56257" w:rsidRDefault="004C3D75" w:rsidP="008E33FD">
      <w:pPr>
        <w:spacing w:before="120" w:line="276" w:lineRule="auto"/>
        <w:jc w:val="both"/>
        <w:rPr>
          <w:rFonts w:eastAsia="Calibri"/>
          <w:color w:val="000000" w:themeColor="text1"/>
        </w:rPr>
      </w:pPr>
      <w:r w:rsidRPr="00C56257">
        <w:rPr>
          <w:rFonts w:eastAsia="Calibri"/>
          <w:color w:val="000000" w:themeColor="text1"/>
        </w:rPr>
        <w:t>Tabelul 3 - Starea mediului natural a habitatului 8330</w:t>
      </w:r>
    </w:p>
    <w:tbl>
      <w:tblPr>
        <w:tblStyle w:val="TableGrid5"/>
        <w:tblW w:w="0" w:type="auto"/>
        <w:tblLook w:val="04A0" w:firstRow="1" w:lastRow="0" w:firstColumn="1" w:lastColumn="0" w:noHBand="0" w:noVBand="1"/>
      </w:tblPr>
      <w:tblGrid>
        <w:gridCol w:w="3539"/>
        <w:gridCol w:w="2268"/>
        <w:gridCol w:w="1985"/>
        <w:gridCol w:w="1836"/>
      </w:tblGrid>
      <w:tr w:rsidR="004C3D75" w:rsidRPr="00C56257" w14:paraId="06BF16D8" w14:textId="77777777" w:rsidTr="004C3D75">
        <w:tc>
          <w:tcPr>
            <w:tcW w:w="3539" w:type="dxa"/>
          </w:tcPr>
          <w:p w14:paraId="06C6EB48" w14:textId="77777777" w:rsidR="004C3D75" w:rsidRPr="00C56257" w:rsidRDefault="004C3D75" w:rsidP="008E33FD">
            <w:pPr>
              <w:tabs>
                <w:tab w:val="num" w:pos="901"/>
              </w:tabs>
              <w:spacing w:line="276" w:lineRule="auto"/>
              <w:ind w:left="908" w:hanging="346"/>
              <w:jc w:val="both"/>
              <w:rPr>
                <w:color w:val="000000" w:themeColor="text1"/>
                <w:lang w:val="en-US"/>
              </w:rPr>
            </w:pPr>
            <w:proofErr w:type="spellStart"/>
            <w:r w:rsidRPr="00C56257">
              <w:rPr>
                <w:color w:val="000000" w:themeColor="text1"/>
                <w:lang w:val="en-US"/>
              </w:rPr>
              <w:t>Dezvoltarea</w:t>
            </w:r>
            <w:proofErr w:type="spellEnd"/>
            <w:r w:rsidRPr="00C56257">
              <w:rPr>
                <w:color w:val="000000" w:themeColor="text1"/>
                <w:lang w:val="en-US"/>
              </w:rPr>
              <w:t xml:space="preserve"> </w:t>
            </w:r>
            <w:proofErr w:type="spellStart"/>
            <w:r w:rsidRPr="00C56257">
              <w:rPr>
                <w:color w:val="000000" w:themeColor="text1"/>
                <w:lang w:val="en-US"/>
              </w:rPr>
              <w:t>golului</w:t>
            </w:r>
            <w:proofErr w:type="spellEnd"/>
            <w:r w:rsidRPr="00C56257">
              <w:rPr>
                <w:color w:val="000000" w:themeColor="text1"/>
                <w:lang w:val="en-US"/>
              </w:rPr>
              <w:t xml:space="preserve"> </w:t>
            </w:r>
            <w:proofErr w:type="spellStart"/>
            <w:r w:rsidRPr="00C56257">
              <w:rPr>
                <w:color w:val="000000" w:themeColor="text1"/>
                <w:lang w:val="en-US"/>
              </w:rPr>
              <w:t>submers</w:t>
            </w:r>
            <w:proofErr w:type="spellEnd"/>
          </w:p>
        </w:tc>
        <w:tc>
          <w:tcPr>
            <w:tcW w:w="2268" w:type="dxa"/>
          </w:tcPr>
          <w:p w14:paraId="183CD538" w14:textId="77777777" w:rsidR="004C3D75" w:rsidRPr="00C56257" w:rsidRDefault="004C3D75" w:rsidP="008E33FD">
            <w:pPr>
              <w:tabs>
                <w:tab w:val="num" w:pos="901"/>
              </w:tabs>
              <w:spacing w:line="276" w:lineRule="auto"/>
              <w:ind w:left="908" w:hanging="346"/>
              <w:jc w:val="both"/>
              <w:rPr>
                <w:color w:val="000000" w:themeColor="text1"/>
                <w:lang w:val="en-US"/>
              </w:rPr>
            </w:pPr>
            <w:proofErr w:type="spellStart"/>
            <w:r w:rsidRPr="00C56257">
              <w:rPr>
                <w:color w:val="000000" w:themeColor="text1"/>
                <w:lang w:val="en-US"/>
              </w:rPr>
              <w:t>Lungime</w:t>
            </w:r>
            <w:proofErr w:type="spellEnd"/>
          </w:p>
        </w:tc>
        <w:tc>
          <w:tcPr>
            <w:tcW w:w="1985" w:type="dxa"/>
          </w:tcPr>
          <w:p w14:paraId="70CC7153" w14:textId="77777777" w:rsidR="004C3D75" w:rsidRPr="00C56257" w:rsidRDefault="004C3D75" w:rsidP="008E33FD">
            <w:pPr>
              <w:tabs>
                <w:tab w:val="num" w:pos="901"/>
              </w:tabs>
              <w:spacing w:line="276" w:lineRule="auto"/>
              <w:ind w:left="908" w:hanging="346"/>
              <w:jc w:val="both"/>
              <w:rPr>
                <w:color w:val="000000" w:themeColor="text1"/>
                <w:lang w:val="en-US"/>
              </w:rPr>
            </w:pPr>
            <w:proofErr w:type="spellStart"/>
            <w:r w:rsidRPr="00C56257">
              <w:rPr>
                <w:color w:val="000000" w:themeColor="text1"/>
                <w:lang w:val="en-US"/>
              </w:rPr>
              <w:t>Lațime</w:t>
            </w:r>
            <w:proofErr w:type="spellEnd"/>
          </w:p>
        </w:tc>
        <w:tc>
          <w:tcPr>
            <w:tcW w:w="1836" w:type="dxa"/>
          </w:tcPr>
          <w:p w14:paraId="6E246EE4" w14:textId="77777777" w:rsidR="004C3D75" w:rsidRPr="00C56257" w:rsidRDefault="004C3D75" w:rsidP="008E33FD">
            <w:pPr>
              <w:tabs>
                <w:tab w:val="num" w:pos="901"/>
              </w:tabs>
              <w:spacing w:line="276" w:lineRule="auto"/>
              <w:ind w:left="908" w:hanging="346"/>
              <w:jc w:val="both"/>
              <w:rPr>
                <w:color w:val="000000" w:themeColor="text1"/>
                <w:lang w:val="en-US"/>
              </w:rPr>
            </w:pPr>
            <w:proofErr w:type="spellStart"/>
            <w:r w:rsidRPr="00C56257">
              <w:rPr>
                <w:color w:val="000000" w:themeColor="text1"/>
                <w:lang w:val="en-US"/>
              </w:rPr>
              <w:t>Inălțime</w:t>
            </w:r>
            <w:proofErr w:type="spellEnd"/>
          </w:p>
        </w:tc>
      </w:tr>
      <w:tr w:rsidR="004C3D75" w:rsidRPr="00C56257" w14:paraId="60DC6927" w14:textId="77777777" w:rsidTr="004C3D75">
        <w:tc>
          <w:tcPr>
            <w:tcW w:w="3539" w:type="dxa"/>
          </w:tcPr>
          <w:p w14:paraId="6BDC133D" w14:textId="77777777" w:rsidR="004C3D75" w:rsidRPr="00C56257" w:rsidRDefault="004C3D75" w:rsidP="008E33FD">
            <w:pPr>
              <w:tabs>
                <w:tab w:val="num" w:pos="901"/>
              </w:tabs>
              <w:spacing w:line="276" w:lineRule="auto"/>
              <w:ind w:left="908" w:hanging="346"/>
              <w:jc w:val="both"/>
              <w:rPr>
                <w:color w:val="000000" w:themeColor="text1"/>
                <w:lang w:val="en-US"/>
              </w:rPr>
            </w:pPr>
            <w:proofErr w:type="spellStart"/>
            <w:r w:rsidRPr="00C56257">
              <w:rPr>
                <w:color w:val="000000" w:themeColor="text1"/>
                <w:lang w:val="en-US"/>
              </w:rPr>
              <w:t>Număr</w:t>
            </w:r>
            <w:proofErr w:type="spellEnd"/>
            <w:r w:rsidRPr="00C56257">
              <w:rPr>
                <w:color w:val="000000" w:themeColor="text1"/>
                <w:lang w:val="en-US"/>
              </w:rPr>
              <w:t xml:space="preserve"> </w:t>
            </w:r>
            <w:proofErr w:type="spellStart"/>
            <w:r w:rsidRPr="00C56257">
              <w:rPr>
                <w:color w:val="000000" w:themeColor="text1"/>
                <w:lang w:val="en-US"/>
              </w:rPr>
              <w:t>intrări</w:t>
            </w:r>
            <w:proofErr w:type="spellEnd"/>
          </w:p>
        </w:tc>
        <w:tc>
          <w:tcPr>
            <w:tcW w:w="2268" w:type="dxa"/>
          </w:tcPr>
          <w:p w14:paraId="74DB02E5" w14:textId="77777777" w:rsidR="004C3D75" w:rsidRPr="00C56257" w:rsidRDefault="004C3D75" w:rsidP="008E33FD">
            <w:pPr>
              <w:tabs>
                <w:tab w:val="num" w:pos="901"/>
              </w:tabs>
              <w:spacing w:line="276" w:lineRule="auto"/>
              <w:ind w:left="908" w:hanging="346"/>
              <w:jc w:val="both"/>
              <w:rPr>
                <w:color w:val="000000" w:themeColor="text1"/>
                <w:lang w:val="en-US"/>
              </w:rPr>
            </w:pPr>
            <w:proofErr w:type="spellStart"/>
            <w:r w:rsidRPr="00C56257">
              <w:rPr>
                <w:color w:val="000000" w:themeColor="text1"/>
                <w:lang w:val="en-US"/>
              </w:rPr>
              <w:t>Lungime</w:t>
            </w:r>
            <w:proofErr w:type="spellEnd"/>
          </w:p>
        </w:tc>
        <w:tc>
          <w:tcPr>
            <w:tcW w:w="1985" w:type="dxa"/>
          </w:tcPr>
          <w:p w14:paraId="110AEF39" w14:textId="77777777" w:rsidR="004C3D75" w:rsidRPr="00C56257" w:rsidRDefault="004C3D75" w:rsidP="008E33FD">
            <w:pPr>
              <w:tabs>
                <w:tab w:val="num" w:pos="901"/>
              </w:tabs>
              <w:spacing w:line="276" w:lineRule="auto"/>
              <w:ind w:left="908" w:hanging="346"/>
              <w:jc w:val="both"/>
              <w:rPr>
                <w:color w:val="000000" w:themeColor="text1"/>
                <w:lang w:val="en-US"/>
              </w:rPr>
            </w:pPr>
            <w:proofErr w:type="spellStart"/>
            <w:r w:rsidRPr="00C56257">
              <w:rPr>
                <w:color w:val="000000" w:themeColor="text1"/>
                <w:lang w:val="en-US"/>
              </w:rPr>
              <w:t>Lațime</w:t>
            </w:r>
            <w:proofErr w:type="spellEnd"/>
          </w:p>
        </w:tc>
        <w:tc>
          <w:tcPr>
            <w:tcW w:w="1836" w:type="dxa"/>
          </w:tcPr>
          <w:p w14:paraId="6B882410" w14:textId="77777777" w:rsidR="004C3D75" w:rsidRPr="00C56257" w:rsidRDefault="004C3D75" w:rsidP="008E33FD">
            <w:pPr>
              <w:tabs>
                <w:tab w:val="num" w:pos="901"/>
              </w:tabs>
              <w:spacing w:line="276" w:lineRule="auto"/>
              <w:ind w:left="908" w:hanging="346"/>
              <w:jc w:val="both"/>
              <w:rPr>
                <w:color w:val="000000" w:themeColor="text1"/>
                <w:lang w:val="en-US"/>
              </w:rPr>
            </w:pPr>
            <w:proofErr w:type="spellStart"/>
            <w:r w:rsidRPr="00C56257">
              <w:rPr>
                <w:color w:val="000000" w:themeColor="text1"/>
                <w:lang w:val="en-US"/>
              </w:rPr>
              <w:t>Inălțime</w:t>
            </w:r>
            <w:proofErr w:type="spellEnd"/>
          </w:p>
        </w:tc>
      </w:tr>
      <w:tr w:rsidR="004C3D75" w:rsidRPr="00C56257" w14:paraId="319513D7" w14:textId="77777777" w:rsidTr="004C3D75">
        <w:tc>
          <w:tcPr>
            <w:tcW w:w="3539" w:type="dxa"/>
          </w:tcPr>
          <w:p w14:paraId="02BAFA61" w14:textId="77777777" w:rsidR="004C3D75" w:rsidRPr="00C56257" w:rsidRDefault="004C3D75" w:rsidP="008E33FD">
            <w:pPr>
              <w:tabs>
                <w:tab w:val="num" w:pos="901"/>
              </w:tabs>
              <w:spacing w:line="276" w:lineRule="auto"/>
              <w:ind w:left="908" w:hanging="346"/>
              <w:jc w:val="both"/>
              <w:rPr>
                <w:color w:val="000000" w:themeColor="text1"/>
                <w:lang w:val="en-US"/>
              </w:rPr>
            </w:pPr>
            <w:proofErr w:type="spellStart"/>
            <w:r w:rsidRPr="00C56257">
              <w:rPr>
                <w:color w:val="000000" w:themeColor="text1"/>
                <w:lang w:val="en-US"/>
              </w:rPr>
              <w:t>Tendința</w:t>
            </w:r>
            <w:proofErr w:type="spellEnd"/>
            <w:r w:rsidRPr="00C56257">
              <w:rPr>
                <w:color w:val="000000" w:themeColor="text1"/>
                <w:lang w:val="en-US"/>
              </w:rPr>
              <w:t xml:space="preserve"> de </w:t>
            </w:r>
            <w:proofErr w:type="spellStart"/>
            <w:r w:rsidRPr="00C56257">
              <w:rPr>
                <w:color w:val="000000" w:themeColor="text1"/>
                <w:lang w:val="en-US"/>
              </w:rPr>
              <w:t>colmatare</w:t>
            </w:r>
            <w:proofErr w:type="spellEnd"/>
            <w:r w:rsidRPr="00C56257">
              <w:rPr>
                <w:color w:val="000000" w:themeColor="text1"/>
                <w:lang w:val="en-US"/>
              </w:rPr>
              <w:t xml:space="preserve"> / </w:t>
            </w:r>
            <w:proofErr w:type="spellStart"/>
            <w:r w:rsidRPr="00C56257">
              <w:rPr>
                <w:color w:val="000000" w:themeColor="text1"/>
                <w:lang w:val="en-US"/>
              </w:rPr>
              <w:t>blocare</w:t>
            </w:r>
            <w:proofErr w:type="spellEnd"/>
          </w:p>
        </w:tc>
        <w:tc>
          <w:tcPr>
            <w:tcW w:w="6089" w:type="dxa"/>
            <w:gridSpan w:val="3"/>
          </w:tcPr>
          <w:p w14:paraId="5A23FC5B" w14:textId="77777777" w:rsidR="004C3D75" w:rsidRPr="00C56257" w:rsidRDefault="004C3D75" w:rsidP="008E33FD">
            <w:pPr>
              <w:tabs>
                <w:tab w:val="num" w:pos="901"/>
              </w:tabs>
              <w:spacing w:line="276" w:lineRule="auto"/>
              <w:ind w:left="908" w:hanging="346"/>
              <w:jc w:val="both"/>
              <w:rPr>
                <w:color w:val="000000" w:themeColor="text1"/>
                <w:lang w:val="en-US"/>
              </w:rPr>
            </w:pPr>
          </w:p>
        </w:tc>
      </w:tr>
      <w:tr w:rsidR="004C3D75" w:rsidRPr="00C56257" w14:paraId="6666888E" w14:textId="77777777" w:rsidTr="004C3D75">
        <w:tc>
          <w:tcPr>
            <w:tcW w:w="3539" w:type="dxa"/>
          </w:tcPr>
          <w:p w14:paraId="3F26F559" w14:textId="77777777" w:rsidR="004C3D75" w:rsidRPr="00C56257" w:rsidRDefault="004C3D75" w:rsidP="008E33FD">
            <w:pPr>
              <w:tabs>
                <w:tab w:val="num" w:pos="901"/>
              </w:tabs>
              <w:spacing w:line="276" w:lineRule="auto"/>
              <w:ind w:left="908" w:hanging="346"/>
              <w:jc w:val="both"/>
              <w:rPr>
                <w:color w:val="000000" w:themeColor="text1"/>
                <w:lang w:val="en-US"/>
              </w:rPr>
            </w:pPr>
            <w:proofErr w:type="spellStart"/>
            <w:r w:rsidRPr="00C56257">
              <w:rPr>
                <w:color w:val="000000" w:themeColor="text1"/>
                <w:lang w:val="en-US"/>
              </w:rPr>
              <w:lastRenderedPageBreak/>
              <w:t>Acte</w:t>
            </w:r>
            <w:proofErr w:type="spellEnd"/>
            <w:r w:rsidRPr="00C56257">
              <w:rPr>
                <w:color w:val="000000" w:themeColor="text1"/>
                <w:lang w:val="en-US"/>
              </w:rPr>
              <w:t xml:space="preserve"> de vandalism</w:t>
            </w:r>
          </w:p>
        </w:tc>
        <w:tc>
          <w:tcPr>
            <w:tcW w:w="2268" w:type="dxa"/>
          </w:tcPr>
          <w:p w14:paraId="549F33CB" w14:textId="77777777" w:rsidR="004C3D75" w:rsidRPr="00C56257" w:rsidRDefault="004C3D75" w:rsidP="008E33FD">
            <w:pPr>
              <w:tabs>
                <w:tab w:val="num" w:pos="901"/>
              </w:tabs>
              <w:spacing w:line="276" w:lineRule="auto"/>
              <w:ind w:left="908" w:hanging="346"/>
              <w:jc w:val="both"/>
              <w:rPr>
                <w:color w:val="000000" w:themeColor="text1"/>
                <w:lang w:val="en-US"/>
              </w:rPr>
            </w:pPr>
            <w:proofErr w:type="spellStart"/>
            <w:r w:rsidRPr="00C56257">
              <w:rPr>
                <w:color w:val="000000" w:themeColor="text1"/>
                <w:lang w:val="en-US"/>
              </w:rPr>
              <w:t>Istorice</w:t>
            </w:r>
            <w:proofErr w:type="spellEnd"/>
          </w:p>
        </w:tc>
        <w:tc>
          <w:tcPr>
            <w:tcW w:w="1985" w:type="dxa"/>
          </w:tcPr>
          <w:p w14:paraId="7A92D220" w14:textId="77777777" w:rsidR="004C3D75" w:rsidRPr="00C56257" w:rsidRDefault="004C3D75" w:rsidP="008E33FD">
            <w:pPr>
              <w:tabs>
                <w:tab w:val="num" w:pos="901"/>
              </w:tabs>
              <w:spacing w:line="276" w:lineRule="auto"/>
              <w:ind w:left="908" w:hanging="346"/>
              <w:jc w:val="both"/>
              <w:rPr>
                <w:color w:val="000000" w:themeColor="text1"/>
                <w:lang w:val="en-US"/>
              </w:rPr>
            </w:pPr>
            <w:proofErr w:type="spellStart"/>
            <w:r w:rsidRPr="00C56257">
              <w:rPr>
                <w:color w:val="000000" w:themeColor="text1"/>
                <w:lang w:val="en-US"/>
              </w:rPr>
              <w:t>Recente</w:t>
            </w:r>
            <w:proofErr w:type="spellEnd"/>
          </w:p>
        </w:tc>
        <w:tc>
          <w:tcPr>
            <w:tcW w:w="1836" w:type="dxa"/>
          </w:tcPr>
          <w:p w14:paraId="6D941E97" w14:textId="77777777" w:rsidR="004C3D75" w:rsidRPr="00C56257" w:rsidRDefault="004C3D75" w:rsidP="008E33FD">
            <w:pPr>
              <w:tabs>
                <w:tab w:val="num" w:pos="901"/>
              </w:tabs>
              <w:spacing w:line="276" w:lineRule="auto"/>
              <w:ind w:left="908" w:hanging="346"/>
              <w:jc w:val="both"/>
              <w:rPr>
                <w:color w:val="000000" w:themeColor="text1"/>
                <w:lang w:val="en-US"/>
              </w:rPr>
            </w:pPr>
          </w:p>
        </w:tc>
      </w:tr>
      <w:tr w:rsidR="004C3D75" w:rsidRPr="00C56257" w14:paraId="254B44D7" w14:textId="77777777" w:rsidTr="004C3D75">
        <w:tc>
          <w:tcPr>
            <w:tcW w:w="3539" w:type="dxa"/>
          </w:tcPr>
          <w:p w14:paraId="0691999D" w14:textId="77777777" w:rsidR="004C3D75" w:rsidRPr="00C56257" w:rsidRDefault="004C3D75" w:rsidP="008E33FD">
            <w:pPr>
              <w:tabs>
                <w:tab w:val="num" w:pos="901"/>
              </w:tabs>
              <w:spacing w:line="276" w:lineRule="auto"/>
              <w:ind w:left="908" w:hanging="346"/>
              <w:jc w:val="both"/>
              <w:rPr>
                <w:color w:val="000000" w:themeColor="text1"/>
                <w:lang w:val="en-US"/>
              </w:rPr>
            </w:pPr>
            <w:proofErr w:type="spellStart"/>
            <w:r w:rsidRPr="00C56257">
              <w:rPr>
                <w:color w:val="000000" w:themeColor="text1"/>
                <w:lang w:val="en-US"/>
              </w:rPr>
              <w:t>Deșeuri</w:t>
            </w:r>
            <w:proofErr w:type="spellEnd"/>
            <w:r w:rsidRPr="00C56257">
              <w:rPr>
                <w:color w:val="000000" w:themeColor="text1"/>
                <w:lang w:val="en-US"/>
              </w:rPr>
              <w:t xml:space="preserve"> </w:t>
            </w:r>
          </w:p>
        </w:tc>
        <w:tc>
          <w:tcPr>
            <w:tcW w:w="6089" w:type="dxa"/>
            <w:gridSpan w:val="3"/>
          </w:tcPr>
          <w:p w14:paraId="1ABED056" w14:textId="77777777" w:rsidR="004C3D75" w:rsidRPr="00C56257" w:rsidRDefault="004C3D75" w:rsidP="008E33FD">
            <w:pPr>
              <w:tabs>
                <w:tab w:val="num" w:pos="901"/>
              </w:tabs>
              <w:spacing w:line="276" w:lineRule="auto"/>
              <w:ind w:left="908" w:hanging="346"/>
              <w:jc w:val="both"/>
              <w:rPr>
                <w:color w:val="000000" w:themeColor="text1"/>
                <w:lang w:val="en-US"/>
              </w:rPr>
            </w:pPr>
          </w:p>
        </w:tc>
      </w:tr>
      <w:tr w:rsidR="004C3D75" w:rsidRPr="00C56257" w14:paraId="7E62AEB4" w14:textId="77777777" w:rsidTr="004C3D75">
        <w:tc>
          <w:tcPr>
            <w:tcW w:w="3539" w:type="dxa"/>
          </w:tcPr>
          <w:p w14:paraId="539CBE87" w14:textId="77777777" w:rsidR="004C3D75" w:rsidRPr="00C56257" w:rsidRDefault="004C3D75" w:rsidP="008E33FD">
            <w:pPr>
              <w:tabs>
                <w:tab w:val="num" w:pos="901"/>
              </w:tabs>
              <w:spacing w:line="276" w:lineRule="auto"/>
              <w:ind w:left="908" w:hanging="346"/>
              <w:jc w:val="both"/>
              <w:rPr>
                <w:color w:val="000000" w:themeColor="text1"/>
                <w:lang w:val="en-US"/>
              </w:rPr>
            </w:pPr>
            <w:proofErr w:type="spellStart"/>
            <w:r w:rsidRPr="00C56257">
              <w:rPr>
                <w:color w:val="000000" w:themeColor="text1"/>
                <w:lang w:val="en-US"/>
              </w:rPr>
              <w:t>Presiuni</w:t>
            </w:r>
            <w:proofErr w:type="spellEnd"/>
          </w:p>
        </w:tc>
        <w:tc>
          <w:tcPr>
            <w:tcW w:w="6089" w:type="dxa"/>
            <w:gridSpan w:val="3"/>
          </w:tcPr>
          <w:p w14:paraId="3F461364" w14:textId="77777777" w:rsidR="004C3D75" w:rsidRPr="00C56257" w:rsidRDefault="004C3D75" w:rsidP="008E33FD">
            <w:pPr>
              <w:tabs>
                <w:tab w:val="num" w:pos="901"/>
              </w:tabs>
              <w:spacing w:line="276" w:lineRule="auto"/>
              <w:ind w:left="908" w:hanging="346"/>
              <w:jc w:val="both"/>
              <w:rPr>
                <w:color w:val="000000" w:themeColor="text1"/>
                <w:lang w:val="en-US"/>
              </w:rPr>
            </w:pPr>
          </w:p>
        </w:tc>
      </w:tr>
      <w:tr w:rsidR="004C3D75" w:rsidRPr="00C56257" w14:paraId="63CFEE2D" w14:textId="77777777" w:rsidTr="004C3D75">
        <w:tc>
          <w:tcPr>
            <w:tcW w:w="3539" w:type="dxa"/>
          </w:tcPr>
          <w:p w14:paraId="2AD52541" w14:textId="77777777" w:rsidR="004C3D75" w:rsidRPr="00C56257" w:rsidRDefault="004C3D75" w:rsidP="008E33FD">
            <w:pPr>
              <w:tabs>
                <w:tab w:val="num" w:pos="901"/>
              </w:tabs>
              <w:spacing w:line="276" w:lineRule="auto"/>
              <w:ind w:left="908" w:hanging="346"/>
              <w:jc w:val="both"/>
              <w:rPr>
                <w:color w:val="000000" w:themeColor="text1"/>
                <w:lang w:val="en-US"/>
              </w:rPr>
            </w:pPr>
            <w:proofErr w:type="spellStart"/>
            <w:r w:rsidRPr="00C56257">
              <w:rPr>
                <w:color w:val="000000" w:themeColor="text1"/>
                <w:lang w:val="en-US"/>
              </w:rPr>
              <w:t>Amenințări</w:t>
            </w:r>
            <w:proofErr w:type="spellEnd"/>
          </w:p>
        </w:tc>
        <w:tc>
          <w:tcPr>
            <w:tcW w:w="6089" w:type="dxa"/>
            <w:gridSpan w:val="3"/>
          </w:tcPr>
          <w:p w14:paraId="4E02FDD0" w14:textId="77777777" w:rsidR="004C3D75" w:rsidRPr="00C56257" w:rsidRDefault="004C3D75" w:rsidP="008E33FD">
            <w:pPr>
              <w:tabs>
                <w:tab w:val="num" w:pos="901"/>
              </w:tabs>
              <w:spacing w:line="276" w:lineRule="auto"/>
              <w:ind w:left="908" w:hanging="346"/>
              <w:jc w:val="both"/>
              <w:rPr>
                <w:color w:val="000000" w:themeColor="text1"/>
                <w:lang w:val="en-US"/>
              </w:rPr>
            </w:pPr>
          </w:p>
        </w:tc>
      </w:tr>
    </w:tbl>
    <w:p w14:paraId="3AF1177A" w14:textId="77777777" w:rsidR="004C3D75" w:rsidRPr="00C56257" w:rsidRDefault="004C3D75" w:rsidP="008E33FD">
      <w:pPr>
        <w:spacing w:before="120" w:line="276" w:lineRule="auto"/>
        <w:jc w:val="both"/>
        <w:rPr>
          <w:rFonts w:eastAsia="Calibri"/>
          <w:color w:val="000000" w:themeColor="text1"/>
        </w:rPr>
      </w:pPr>
    </w:p>
    <w:p w14:paraId="4E1E8913" w14:textId="77777777" w:rsidR="004C3D75" w:rsidRPr="00C56257" w:rsidRDefault="004C3D75" w:rsidP="008E33FD">
      <w:pPr>
        <w:spacing w:before="120" w:line="276" w:lineRule="auto"/>
        <w:jc w:val="both"/>
        <w:rPr>
          <w:rFonts w:eastAsia="Calibri"/>
          <w:color w:val="000000" w:themeColor="text1"/>
        </w:rPr>
      </w:pPr>
      <w:r w:rsidRPr="00C56257">
        <w:rPr>
          <w:rFonts w:eastAsia="Calibri"/>
          <w:color w:val="000000" w:themeColor="text1"/>
        </w:rPr>
        <w:t>Tabelul 4 –Compoziția biotică a habitatului 8330</w:t>
      </w:r>
    </w:p>
    <w:tbl>
      <w:tblPr>
        <w:tblStyle w:val="TableGrid5"/>
        <w:tblW w:w="0" w:type="auto"/>
        <w:tblLook w:val="04A0" w:firstRow="1" w:lastRow="0" w:firstColumn="1" w:lastColumn="0" w:noHBand="0" w:noVBand="1"/>
      </w:tblPr>
      <w:tblGrid>
        <w:gridCol w:w="3539"/>
        <w:gridCol w:w="2268"/>
        <w:gridCol w:w="1985"/>
        <w:gridCol w:w="1836"/>
      </w:tblGrid>
      <w:tr w:rsidR="004C3D75" w:rsidRPr="00C56257" w14:paraId="4FBE85A4" w14:textId="77777777" w:rsidTr="004C3D75">
        <w:tc>
          <w:tcPr>
            <w:tcW w:w="3539" w:type="dxa"/>
          </w:tcPr>
          <w:p w14:paraId="047D6B02" w14:textId="77777777" w:rsidR="004C3D75" w:rsidRPr="00C56257" w:rsidRDefault="004C3D75" w:rsidP="008E33FD">
            <w:pPr>
              <w:tabs>
                <w:tab w:val="num" w:pos="901"/>
              </w:tabs>
              <w:spacing w:before="120" w:after="60" w:line="276" w:lineRule="auto"/>
              <w:ind w:left="901" w:hanging="340"/>
              <w:jc w:val="both"/>
              <w:rPr>
                <w:color w:val="000000" w:themeColor="text1"/>
                <w:lang w:val="en-US"/>
              </w:rPr>
            </w:pPr>
            <w:proofErr w:type="spellStart"/>
            <w:r w:rsidRPr="00C56257">
              <w:rPr>
                <w:color w:val="000000" w:themeColor="text1"/>
                <w:lang w:val="en-US"/>
              </w:rPr>
              <w:t>Diversitatea</w:t>
            </w:r>
            <w:proofErr w:type="spellEnd"/>
            <w:r w:rsidRPr="00C56257">
              <w:rPr>
                <w:color w:val="000000" w:themeColor="text1"/>
                <w:lang w:val="en-US"/>
              </w:rPr>
              <w:t xml:space="preserve"> </w:t>
            </w:r>
            <w:proofErr w:type="spellStart"/>
            <w:r w:rsidRPr="00C56257">
              <w:rPr>
                <w:color w:val="000000" w:themeColor="text1"/>
                <w:lang w:val="en-US"/>
              </w:rPr>
              <w:t>speciilor</w:t>
            </w:r>
            <w:proofErr w:type="spellEnd"/>
            <w:r w:rsidRPr="00C56257">
              <w:rPr>
                <w:color w:val="000000" w:themeColor="text1"/>
                <w:lang w:val="en-US"/>
              </w:rPr>
              <w:t xml:space="preserve"> marine/</w:t>
            </w:r>
            <w:proofErr w:type="spellStart"/>
            <w:r w:rsidRPr="00C56257">
              <w:rPr>
                <w:color w:val="000000" w:themeColor="text1"/>
                <w:lang w:val="en-US"/>
              </w:rPr>
              <w:t>litorale</w:t>
            </w:r>
            <w:proofErr w:type="spellEnd"/>
          </w:p>
        </w:tc>
        <w:tc>
          <w:tcPr>
            <w:tcW w:w="6089" w:type="dxa"/>
            <w:gridSpan w:val="3"/>
          </w:tcPr>
          <w:p w14:paraId="5A7EDBAE" w14:textId="77777777" w:rsidR="004C3D75" w:rsidRPr="00C56257" w:rsidRDefault="004C3D75" w:rsidP="008E33FD">
            <w:pPr>
              <w:tabs>
                <w:tab w:val="num" w:pos="901"/>
              </w:tabs>
              <w:spacing w:before="120" w:after="60" w:line="276" w:lineRule="auto"/>
              <w:ind w:left="901" w:hanging="340"/>
              <w:jc w:val="both"/>
              <w:rPr>
                <w:color w:val="000000" w:themeColor="text1"/>
                <w:lang w:val="en-US"/>
              </w:rPr>
            </w:pPr>
          </w:p>
        </w:tc>
      </w:tr>
      <w:tr w:rsidR="004C3D75" w:rsidRPr="00C56257" w14:paraId="64C5CD10" w14:textId="77777777" w:rsidTr="004C3D75">
        <w:tc>
          <w:tcPr>
            <w:tcW w:w="3539" w:type="dxa"/>
          </w:tcPr>
          <w:p w14:paraId="5B19BFD7" w14:textId="77777777" w:rsidR="004C3D75" w:rsidRPr="00C56257" w:rsidRDefault="004C3D75" w:rsidP="008E33FD">
            <w:pPr>
              <w:tabs>
                <w:tab w:val="num" w:pos="901"/>
              </w:tabs>
              <w:spacing w:before="120" w:after="60" w:line="276" w:lineRule="auto"/>
              <w:ind w:left="901" w:hanging="340"/>
              <w:jc w:val="both"/>
              <w:rPr>
                <w:color w:val="000000" w:themeColor="text1"/>
                <w:lang w:val="en-US"/>
              </w:rPr>
            </w:pPr>
            <w:proofErr w:type="spellStart"/>
            <w:r w:rsidRPr="00C56257">
              <w:rPr>
                <w:color w:val="000000" w:themeColor="text1"/>
                <w:lang w:val="en-US"/>
              </w:rPr>
              <w:t>Specii</w:t>
            </w:r>
            <w:proofErr w:type="spellEnd"/>
            <w:r w:rsidRPr="00C56257">
              <w:rPr>
                <w:color w:val="000000" w:themeColor="text1"/>
                <w:lang w:val="en-US"/>
              </w:rPr>
              <w:t xml:space="preserve"> marine</w:t>
            </w:r>
          </w:p>
        </w:tc>
        <w:tc>
          <w:tcPr>
            <w:tcW w:w="2268" w:type="dxa"/>
          </w:tcPr>
          <w:p w14:paraId="05E17E17" w14:textId="77777777" w:rsidR="004C3D75" w:rsidRPr="00C56257" w:rsidRDefault="004C3D75" w:rsidP="008E33FD">
            <w:pPr>
              <w:tabs>
                <w:tab w:val="num" w:pos="901"/>
              </w:tabs>
              <w:spacing w:before="120" w:after="60" w:line="276" w:lineRule="auto"/>
              <w:ind w:left="901" w:hanging="340"/>
              <w:jc w:val="both"/>
              <w:rPr>
                <w:color w:val="000000" w:themeColor="text1"/>
                <w:lang w:val="en-US"/>
              </w:rPr>
            </w:pPr>
          </w:p>
        </w:tc>
        <w:tc>
          <w:tcPr>
            <w:tcW w:w="1985" w:type="dxa"/>
          </w:tcPr>
          <w:p w14:paraId="36AEE9CF" w14:textId="77777777" w:rsidR="004C3D75" w:rsidRPr="00C56257" w:rsidRDefault="004C3D75" w:rsidP="008E33FD">
            <w:pPr>
              <w:tabs>
                <w:tab w:val="num" w:pos="901"/>
              </w:tabs>
              <w:spacing w:before="120" w:after="60" w:line="276" w:lineRule="auto"/>
              <w:ind w:left="901" w:hanging="340"/>
              <w:jc w:val="both"/>
              <w:rPr>
                <w:color w:val="000000" w:themeColor="text1"/>
                <w:lang w:val="en-US"/>
              </w:rPr>
            </w:pPr>
          </w:p>
        </w:tc>
        <w:tc>
          <w:tcPr>
            <w:tcW w:w="1836" w:type="dxa"/>
          </w:tcPr>
          <w:p w14:paraId="6F4C7F8A" w14:textId="77777777" w:rsidR="004C3D75" w:rsidRPr="00C56257" w:rsidRDefault="004C3D75" w:rsidP="008E33FD">
            <w:pPr>
              <w:tabs>
                <w:tab w:val="num" w:pos="901"/>
              </w:tabs>
              <w:spacing w:before="120" w:after="60" w:line="276" w:lineRule="auto"/>
              <w:ind w:left="901" w:hanging="340"/>
              <w:jc w:val="both"/>
              <w:rPr>
                <w:color w:val="000000" w:themeColor="text1"/>
                <w:lang w:val="en-US"/>
              </w:rPr>
            </w:pPr>
          </w:p>
        </w:tc>
      </w:tr>
      <w:tr w:rsidR="004C3D75" w:rsidRPr="00C56257" w14:paraId="7B2AB2B0" w14:textId="77777777" w:rsidTr="004C3D75">
        <w:tc>
          <w:tcPr>
            <w:tcW w:w="3539" w:type="dxa"/>
          </w:tcPr>
          <w:p w14:paraId="1358C970" w14:textId="77777777" w:rsidR="004C3D75" w:rsidRPr="00C56257" w:rsidRDefault="004C3D75" w:rsidP="008E33FD">
            <w:pPr>
              <w:tabs>
                <w:tab w:val="num" w:pos="901"/>
              </w:tabs>
              <w:spacing w:before="120" w:after="60" w:line="276" w:lineRule="auto"/>
              <w:ind w:left="901" w:hanging="340"/>
              <w:jc w:val="both"/>
              <w:rPr>
                <w:color w:val="000000" w:themeColor="text1"/>
                <w:lang w:val="en-US"/>
              </w:rPr>
            </w:pPr>
            <w:proofErr w:type="spellStart"/>
            <w:r w:rsidRPr="00C56257">
              <w:rPr>
                <w:color w:val="000000" w:themeColor="text1"/>
                <w:lang w:val="en-US"/>
              </w:rPr>
              <w:t>Specii</w:t>
            </w:r>
            <w:proofErr w:type="spellEnd"/>
            <w:r w:rsidRPr="00C56257">
              <w:rPr>
                <w:color w:val="000000" w:themeColor="text1"/>
                <w:lang w:val="en-US"/>
              </w:rPr>
              <w:t xml:space="preserve"> </w:t>
            </w:r>
            <w:proofErr w:type="spellStart"/>
            <w:r w:rsidRPr="00C56257">
              <w:rPr>
                <w:color w:val="000000" w:themeColor="text1"/>
                <w:lang w:val="en-US"/>
              </w:rPr>
              <w:t>litorale</w:t>
            </w:r>
            <w:proofErr w:type="spellEnd"/>
          </w:p>
        </w:tc>
        <w:tc>
          <w:tcPr>
            <w:tcW w:w="2268" w:type="dxa"/>
          </w:tcPr>
          <w:p w14:paraId="5034935F" w14:textId="77777777" w:rsidR="004C3D75" w:rsidRPr="00C56257" w:rsidRDefault="004C3D75" w:rsidP="008E33FD">
            <w:pPr>
              <w:tabs>
                <w:tab w:val="num" w:pos="901"/>
              </w:tabs>
              <w:spacing w:before="120" w:after="60" w:line="276" w:lineRule="auto"/>
              <w:ind w:left="901" w:hanging="340"/>
              <w:jc w:val="both"/>
              <w:rPr>
                <w:color w:val="000000" w:themeColor="text1"/>
                <w:lang w:val="en-US"/>
              </w:rPr>
            </w:pPr>
          </w:p>
        </w:tc>
        <w:tc>
          <w:tcPr>
            <w:tcW w:w="1985" w:type="dxa"/>
          </w:tcPr>
          <w:p w14:paraId="0C067A82" w14:textId="77777777" w:rsidR="004C3D75" w:rsidRPr="00C56257" w:rsidRDefault="004C3D75" w:rsidP="008E33FD">
            <w:pPr>
              <w:tabs>
                <w:tab w:val="num" w:pos="901"/>
              </w:tabs>
              <w:spacing w:before="120" w:after="60" w:line="276" w:lineRule="auto"/>
              <w:ind w:left="901" w:hanging="340"/>
              <w:jc w:val="both"/>
              <w:rPr>
                <w:color w:val="000000" w:themeColor="text1"/>
                <w:lang w:val="en-US"/>
              </w:rPr>
            </w:pPr>
          </w:p>
        </w:tc>
        <w:tc>
          <w:tcPr>
            <w:tcW w:w="1836" w:type="dxa"/>
          </w:tcPr>
          <w:p w14:paraId="6F967C47" w14:textId="77777777" w:rsidR="004C3D75" w:rsidRPr="00C56257" w:rsidRDefault="004C3D75" w:rsidP="008E33FD">
            <w:pPr>
              <w:tabs>
                <w:tab w:val="num" w:pos="901"/>
              </w:tabs>
              <w:spacing w:before="120" w:after="60" w:line="276" w:lineRule="auto"/>
              <w:ind w:left="901" w:hanging="340"/>
              <w:jc w:val="both"/>
              <w:rPr>
                <w:color w:val="000000" w:themeColor="text1"/>
                <w:lang w:val="en-US"/>
              </w:rPr>
            </w:pPr>
          </w:p>
        </w:tc>
      </w:tr>
      <w:tr w:rsidR="004C3D75" w:rsidRPr="00C56257" w14:paraId="7FB374A3" w14:textId="77777777" w:rsidTr="004C3D75">
        <w:tc>
          <w:tcPr>
            <w:tcW w:w="3539" w:type="dxa"/>
          </w:tcPr>
          <w:p w14:paraId="301616BB" w14:textId="77777777" w:rsidR="004C3D75" w:rsidRPr="00C56257" w:rsidRDefault="004C3D75" w:rsidP="008E33FD">
            <w:pPr>
              <w:tabs>
                <w:tab w:val="num" w:pos="901"/>
              </w:tabs>
              <w:spacing w:before="120" w:after="60" w:line="276" w:lineRule="auto"/>
              <w:ind w:left="901" w:hanging="340"/>
              <w:jc w:val="both"/>
              <w:rPr>
                <w:color w:val="000000" w:themeColor="text1"/>
                <w:lang w:val="en-US"/>
              </w:rPr>
            </w:pPr>
            <w:proofErr w:type="spellStart"/>
            <w:r w:rsidRPr="00C56257">
              <w:rPr>
                <w:color w:val="000000" w:themeColor="text1"/>
                <w:lang w:val="en-US"/>
              </w:rPr>
              <w:t>Starea</w:t>
            </w:r>
            <w:proofErr w:type="spellEnd"/>
            <w:r w:rsidRPr="00C56257">
              <w:rPr>
                <w:color w:val="000000" w:themeColor="text1"/>
                <w:lang w:val="en-US"/>
              </w:rPr>
              <w:t xml:space="preserve"> de </w:t>
            </w:r>
            <w:proofErr w:type="spellStart"/>
            <w:r w:rsidRPr="00C56257">
              <w:rPr>
                <w:color w:val="000000" w:themeColor="text1"/>
                <w:lang w:val="en-US"/>
              </w:rPr>
              <w:t>conservare</w:t>
            </w:r>
            <w:proofErr w:type="spellEnd"/>
            <w:r w:rsidRPr="00C56257">
              <w:rPr>
                <w:color w:val="000000" w:themeColor="text1"/>
                <w:lang w:val="en-US"/>
              </w:rPr>
              <w:t xml:space="preserve"> a </w:t>
            </w:r>
            <w:proofErr w:type="spellStart"/>
            <w:r w:rsidRPr="00C56257">
              <w:rPr>
                <w:color w:val="000000" w:themeColor="text1"/>
                <w:lang w:val="en-US"/>
              </w:rPr>
              <w:t>speciilor</w:t>
            </w:r>
            <w:proofErr w:type="spellEnd"/>
            <w:r w:rsidRPr="00C56257">
              <w:rPr>
                <w:color w:val="000000" w:themeColor="text1"/>
                <w:lang w:val="en-US"/>
              </w:rPr>
              <w:t xml:space="preserve"> marine</w:t>
            </w:r>
          </w:p>
        </w:tc>
        <w:tc>
          <w:tcPr>
            <w:tcW w:w="6089" w:type="dxa"/>
            <w:gridSpan w:val="3"/>
          </w:tcPr>
          <w:p w14:paraId="5A72C319" w14:textId="77777777" w:rsidR="004C3D75" w:rsidRPr="00C56257" w:rsidRDefault="004C3D75" w:rsidP="008E33FD">
            <w:pPr>
              <w:tabs>
                <w:tab w:val="num" w:pos="901"/>
              </w:tabs>
              <w:spacing w:before="120" w:after="60" w:line="276" w:lineRule="auto"/>
              <w:ind w:left="901" w:hanging="340"/>
              <w:jc w:val="both"/>
              <w:rPr>
                <w:color w:val="000000" w:themeColor="text1"/>
                <w:lang w:val="en-US"/>
              </w:rPr>
            </w:pPr>
          </w:p>
        </w:tc>
      </w:tr>
      <w:tr w:rsidR="004C3D75" w:rsidRPr="00C56257" w14:paraId="236D67DB" w14:textId="77777777" w:rsidTr="004C3D75">
        <w:tc>
          <w:tcPr>
            <w:tcW w:w="3539" w:type="dxa"/>
          </w:tcPr>
          <w:p w14:paraId="228E9A43" w14:textId="77777777" w:rsidR="004C3D75" w:rsidRPr="00C56257" w:rsidRDefault="004C3D75" w:rsidP="008E33FD">
            <w:pPr>
              <w:tabs>
                <w:tab w:val="num" w:pos="901"/>
              </w:tabs>
              <w:spacing w:before="120" w:after="60" w:line="276" w:lineRule="auto"/>
              <w:ind w:left="901" w:hanging="340"/>
              <w:jc w:val="both"/>
              <w:rPr>
                <w:color w:val="000000" w:themeColor="text1"/>
                <w:lang w:val="en-US"/>
              </w:rPr>
            </w:pPr>
            <w:proofErr w:type="spellStart"/>
            <w:r w:rsidRPr="00C56257">
              <w:rPr>
                <w:color w:val="000000" w:themeColor="text1"/>
                <w:lang w:val="en-US"/>
              </w:rPr>
              <w:t>Starea</w:t>
            </w:r>
            <w:proofErr w:type="spellEnd"/>
            <w:r w:rsidRPr="00C56257">
              <w:rPr>
                <w:color w:val="000000" w:themeColor="text1"/>
                <w:lang w:val="en-US"/>
              </w:rPr>
              <w:t xml:space="preserve"> de </w:t>
            </w:r>
            <w:proofErr w:type="spellStart"/>
            <w:r w:rsidRPr="00C56257">
              <w:rPr>
                <w:color w:val="000000" w:themeColor="text1"/>
                <w:lang w:val="en-US"/>
              </w:rPr>
              <w:t>conservare</w:t>
            </w:r>
            <w:proofErr w:type="spellEnd"/>
            <w:r w:rsidRPr="00C56257">
              <w:rPr>
                <w:color w:val="000000" w:themeColor="text1"/>
                <w:lang w:val="en-US"/>
              </w:rPr>
              <w:t xml:space="preserve"> a </w:t>
            </w:r>
            <w:proofErr w:type="spellStart"/>
            <w:r w:rsidRPr="00C56257">
              <w:rPr>
                <w:color w:val="000000" w:themeColor="text1"/>
                <w:lang w:val="en-US"/>
              </w:rPr>
              <w:t>speciilor</w:t>
            </w:r>
            <w:proofErr w:type="spellEnd"/>
            <w:r w:rsidRPr="00C56257">
              <w:rPr>
                <w:color w:val="000000" w:themeColor="text1"/>
                <w:lang w:val="en-US"/>
              </w:rPr>
              <w:t xml:space="preserve"> marine</w:t>
            </w:r>
          </w:p>
        </w:tc>
        <w:tc>
          <w:tcPr>
            <w:tcW w:w="6089" w:type="dxa"/>
            <w:gridSpan w:val="3"/>
          </w:tcPr>
          <w:p w14:paraId="53C0B85B" w14:textId="77777777" w:rsidR="004C3D75" w:rsidRPr="00C56257" w:rsidRDefault="004C3D75" w:rsidP="008E33FD">
            <w:pPr>
              <w:tabs>
                <w:tab w:val="num" w:pos="901"/>
              </w:tabs>
              <w:spacing w:before="120" w:after="60" w:line="276" w:lineRule="auto"/>
              <w:ind w:left="901" w:hanging="340"/>
              <w:jc w:val="both"/>
              <w:rPr>
                <w:color w:val="000000" w:themeColor="text1"/>
                <w:lang w:val="en-US"/>
              </w:rPr>
            </w:pPr>
          </w:p>
        </w:tc>
      </w:tr>
      <w:tr w:rsidR="004C3D75" w:rsidRPr="00C56257" w14:paraId="75A0D764" w14:textId="77777777" w:rsidTr="004C3D75">
        <w:tc>
          <w:tcPr>
            <w:tcW w:w="3539" w:type="dxa"/>
          </w:tcPr>
          <w:p w14:paraId="37360C82" w14:textId="77777777" w:rsidR="004C3D75" w:rsidRPr="00C56257" w:rsidRDefault="004C3D75" w:rsidP="008E33FD">
            <w:pPr>
              <w:tabs>
                <w:tab w:val="num" w:pos="901"/>
              </w:tabs>
              <w:spacing w:before="120" w:after="60" w:line="276" w:lineRule="auto"/>
              <w:ind w:left="901" w:hanging="340"/>
              <w:jc w:val="both"/>
              <w:rPr>
                <w:color w:val="000000" w:themeColor="text1"/>
                <w:lang w:val="en-US"/>
              </w:rPr>
            </w:pPr>
            <w:proofErr w:type="spellStart"/>
            <w:r w:rsidRPr="00C56257">
              <w:rPr>
                <w:color w:val="000000" w:themeColor="text1"/>
                <w:lang w:val="en-US"/>
              </w:rPr>
              <w:t>Presiuni</w:t>
            </w:r>
            <w:proofErr w:type="spellEnd"/>
          </w:p>
        </w:tc>
        <w:tc>
          <w:tcPr>
            <w:tcW w:w="6089" w:type="dxa"/>
            <w:gridSpan w:val="3"/>
          </w:tcPr>
          <w:p w14:paraId="2F8AA9CD" w14:textId="77777777" w:rsidR="004C3D75" w:rsidRPr="00C56257" w:rsidRDefault="004C3D75" w:rsidP="008E33FD">
            <w:pPr>
              <w:tabs>
                <w:tab w:val="num" w:pos="901"/>
              </w:tabs>
              <w:spacing w:before="120" w:after="60" w:line="276" w:lineRule="auto"/>
              <w:ind w:left="901" w:hanging="340"/>
              <w:jc w:val="both"/>
              <w:rPr>
                <w:color w:val="000000" w:themeColor="text1"/>
                <w:lang w:val="en-US"/>
              </w:rPr>
            </w:pPr>
          </w:p>
        </w:tc>
      </w:tr>
      <w:tr w:rsidR="004C3D75" w:rsidRPr="00C56257" w14:paraId="7D7B19C8" w14:textId="77777777" w:rsidTr="004C3D75">
        <w:tc>
          <w:tcPr>
            <w:tcW w:w="3539" w:type="dxa"/>
          </w:tcPr>
          <w:p w14:paraId="367400D4" w14:textId="77777777" w:rsidR="004C3D75" w:rsidRPr="00C56257" w:rsidRDefault="004C3D75" w:rsidP="008E33FD">
            <w:pPr>
              <w:tabs>
                <w:tab w:val="num" w:pos="901"/>
              </w:tabs>
              <w:spacing w:before="120" w:after="60" w:line="276" w:lineRule="auto"/>
              <w:ind w:left="901" w:hanging="340"/>
              <w:jc w:val="both"/>
              <w:rPr>
                <w:color w:val="000000" w:themeColor="text1"/>
                <w:lang w:val="en-US"/>
              </w:rPr>
            </w:pPr>
            <w:proofErr w:type="spellStart"/>
            <w:r w:rsidRPr="00C56257">
              <w:rPr>
                <w:color w:val="000000" w:themeColor="text1"/>
                <w:lang w:val="en-US"/>
              </w:rPr>
              <w:t>Amenințări</w:t>
            </w:r>
            <w:proofErr w:type="spellEnd"/>
          </w:p>
        </w:tc>
        <w:tc>
          <w:tcPr>
            <w:tcW w:w="6089" w:type="dxa"/>
            <w:gridSpan w:val="3"/>
          </w:tcPr>
          <w:p w14:paraId="1B509544" w14:textId="77777777" w:rsidR="004C3D75" w:rsidRPr="00C56257" w:rsidRDefault="004C3D75" w:rsidP="008E33FD">
            <w:pPr>
              <w:tabs>
                <w:tab w:val="num" w:pos="901"/>
              </w:tabs>
              <w:spacing w:before="120" w:after="60" w:line="276" w:lineRule="auto"/>
              <w:ind w:left="901" w:hanging="340"/>
              <w:jc w:val="both"/>
              <w:rPr>
                <w:color w:val="000000" w:themeColor="text1"/>
                <w:lang w:val="en-US"/>
              </w:rPr>
            </w:pPr>
          </w:p>
        </w:tc>
      </w:tr>
    </w:tbl>
    <w:p w14:paraId="769903D1" w14:textId="77777777" w:rsidR="004C3D75" w:rsidRPr="00C56257" w:rsidRDefault="004C3D75" w:rsidP="008E33FD">
      <w:pPr>
        <w:spacing w:before="120" w:line="276" w:lineRule="auto"/>
        <w:jc w:val="both"/>
        <w:rPr>
          <w:rFonts w:eastAsia="Calibri"/>
          <w:color w:val="000000" w:themeColor="text1"/>
        </w:rPr>
      </w:pPr>
    </w:p>
    <w:p w14:paraId="673453FF" w14:textId="77777777" w:rsidR="004C3D75" w:rsidRPr="00C56257" w:rsidRDefault="004C3D75" w:rsidP="008E33FD">
      <w:pPr>
        <w:spacing w:after="160" w:line="259" w:lineRule="auto"/>
        <w:jc w:val="both"/>
        <w:rPr>
          <w:b/>
          <w:color w:val="000000" w:themeColor="text1"/>
        </w:rPr>
      </w:pPr>
      <w:r w:rsidRPr="00C56257">
        <w:rPr>
          <w:rFonts w:eastAsia="Calibri"/>
          <w:b/>
          <w:color w:val="000000" w:themeColor="text1"/>
        </w:rPr>
        <w:br w:type="page"/>
      </w:r>
    </w:p>
    <w:p w14:paraId="5D874D34" w14:textId="77777777" w:rsidR="004C3D75" w:rsidRPr="00C56257" w:rsidRDefault="004C3D75" w:rsidP="008E33FD">
      <w:pPr>
        <w:keepNext/>
        <w:keepLines/>
        <w:spacing w:before="240" w:line="259" w:lineRule="auto"/>
        <w:jc w:val="both"/>
        <w:outlineLvl w:val="0"/>
        <w:rPr>
          <w:b/>
          <w:color w:val="000000" w:themeColor="text1"/>
        </w:rPr>
      </w:pPr>
      <w:bookmarkStart w:id="50" w:name="_Toc20820910"/>
      <w:r w:rsidRPr="00C56257">
        <w:rPr>
          <w:b/>
          <w:color w:val="000000" w:themeColor="text1"/>
        </w:rPr>
        <w:lastRenderedPageBreak/>
        <w:t>2.4.Planul de monitorizare a habitatului 8330</w:t>
      </w:r>
      <w:bookmarkEnd w:id="50"/>
    </w:p>
    <w:p w14:paraId="2AA9AF7D" w14:textId="77777777" w:rsidR="004C3D75" w:rsidRPr="00C56257" w:rsidRDefault="004C3D75" w:rsidP="008E33FD">
      <w:pPr>
        <w:spacing w:before="120" w:line="276" w:lineRule="auto"/>
        <w:jc w:val="both"/>
        <w:rPr>
          <w:rFonts w:eastAsia="Calibri"/>
          <w:color w:val="000000" w:themeColor="text1"/>
        </w:rPr>
      </w:pPr>
      <w:r w:rsidRPr="00C56257">
        <w:rPr>
          <w:rFonts w:eastAsia="Calibri"/>
          <w:color w:val="000000" w:themeColor="text1"/>
        </w:rPr>
        <w:t>Periodicitatea observațiilor pentru monitorizarea habitatului 8330 sunt în strânsă legătură cu condițiile atmosferice, deoarece accesul către acest tip de habitat se poate realiza doar cu ajutorul scafandrilor.</w:t>
      </w:r>
    </w:p>
    <w:p w14:paraId="4ABE21F4" w14:textId="77777777" w:rsidR="004C3D75" w:rsidRPr="00C56257" w:rsidRDefault="004C3D75" w:rsidP="008E33FD">
      <w:pPr>
        <w:spacing w:before="120" w:line="276" w:lineRule="auto"/>
        <w:jc w:val="both"/>
        <w:rPr>
          <w:rFonts w:eastAsia="Calibri"/>
          <w:color w:val="000000" w:themeColor="text1"/>
        </w:rPr>
      </w:pPr>
      <w:r w:rsidRPr="00C56257">
        <w:rPr>
          <w:rFonts w:eastAsia="Calibri"/>
          <w:color w:val="000000" w:themeColor="text1"/>
        </w:rPr>
        <w:t>Activitățile de scufundare trebuie să se realizeze doar în perioadele cu vreme calmă, cu valuri de înălțime redusă, vizibilitate atmosferica mare (pentru evitarea accidentelor nautice) și claritate mare a apei (peste 5 m). Datorita periodicității și intensității brizelor, condițiile optime de scufundare se întâlnesc, în general, în prima jumătate a zilei.</w:t>
      </w:r>
    </w:p>
    <w:p w14:paraId="7B297BC8" w14:textId="77777777" w:rsidR="004C3D75" w:rsidRPr="00C56257" w:rsidRDefault="004C3D75" w:rsidP="008E33FD">
      <w:pPr>
        <w:spacing w:before="120" w:line="276" w:lineRule="auto"/>
        <w:jc w:val="both"/>
        <w:rPr>
          <w:rFonts w:eastAsia="Calibri"/>
          <w:color w:val="000000" w:themeColor="text1"/>
        </w:rPr>
      </w:pPr>
      <w:r w:rsidRPr="00C56257">
        <w:rPr>
          <w:rFonts w:eastAsia="Calibri"/>
          <w:color w:val="000000" w:themeColor="text1"/>
        </w:rPr>
        <w:t>In general, deplasările in zona litorala se vor planifica pentru mai multe zile, astfel încât sa existe certitudinea ca se pot efectua activitățile submerse în cazul în care în unele zile vremea va fi nefavorabilă.</w:t>
      </w:r>
    </w:p>
    <w:p w14:paraId="017EA850" w14:textId="77777777" w:rsidR="004C3D75" w:rsidRPr="00C56257" w:rsidRDefault="004C3D75" w:rsidP="008E33FD">
      <w:pPr>
        <w:spacing w:line="276" w:lineRule="auto"/>
        <w:jc w:val="both"/>
        <w:rPr>
          <w:rFonts w:eastAsia="Calibri"/>
          <w:color w:val="000000" w:themeColor="text1"/>
        </w:rPr>
      </w:pPr>
      <w:r w:rsidRPr="00C56257">
        <w:rPr>
          <w:rFonts w:eastAsia="Calibri"/>
          <w:color w:val="000000" w:themeColor="text1"/>
        </w:rPr>
        <w:t>Tabelul 5 – Planul de monitorizare a habitaului 8330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2"/>
        <w:gridCol w:w="620"/>
        <w:gridCol w:w="618"/>
        <w:gridCol w:w="463"/>
        <w:gridCol w:w="619"/>
        <w:gridCol w:w="619"/>
        <w:gridCol w:w="619"/>
        <w:gridCol w:w="619"/>
        <w:gridCol w:w="619"/>
        <w:gridCol w:w="619"/>
        <w:gridCol w:w="464"/>
        <w:gridCol w:w="464"/>
        <w:gridCol w:w="619"/>
      </w:tblGrid>
      <w:tr w:rsidR="004C3D75" w:rsidRPr="00C56257" w14:paraId="4689A450" w14:textId="77777777" w:rsidTr="004C3D75">
        <w:tc>
          <w:tcPr>
            <w:tcW w:w="1579" w:type="pct"/>
            <w:tcBorders>
              <w:top w:val="single" w:sz="4" w:space="0" w:color="auto"/>
              <w:left w:val="single" w:sz="4" w:space="0" w:color="auto"/>
              <w:bottom w:val="single" w:sz="4" w:space="0" w:color="auto"/>
              <w:right w:val="single" w:sz="4" w:space="0" w:color="auto"/>
            </w:tcBorders>
            <w:shd w:val="clear" w:color="auto" w:fill="FFFFFF"/>
          </w:tcPr>
          <w:p w14:paraId="730BB3E4"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Metodă</w:t>
            </w:r>
          </w:p>
        </w:tc>
        <w:tc>
          <w:tcPr>
            <w:tcW w:w="305" w:type="pct"/>
            <w:tcBorders>
              <w:top w:val="single" w:sz="4" w:space="0" w:color="auto"/>
              <w:left w:val="single" w:sz="4" w:space="0" w:color="auto"/>
              <w:bottom w:val="single" w:sz="4" w:space="0" w:color="auto"/>
              <w:right w:val="single" w:sz="4" w:space="0" w:color="auto"/>
            </w:tcBorders>
            <w:shd w:val="clear" w:color="auto" w:fill="BFBFBF"/>
          </w:tcPr>
          <w:p w14:paraId="23011FD3"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I</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7D2EB98A"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F</w:t>
            </w:r>
          </w:p>
        </w:tc>
        <w:tc>
          <w:tcPr>
            <w:tcW w:w="228" w:type="pct"/>
            <w:tcBorders>
              <w:top w:val="single" w:sz="4" w:space="0" w:color="auto"/>
              <w:left w:val="single" w:sz="4" w:space="0" w:color="auto"/>
              <w:bottom w:val="single" w:sz="4" w:space="0" w:color="auto"/>
              <w:right w:val="single" w:sz="4" w:space="0" w:color="auto"/>
            </w:tcBorders>
            <w:shd w:val="clear" w:color="auto" w:fill="BFBFBF"/>
          </w:tcPr>
          <w:p w14:paraId="0490E5D0"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M</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45CD07A5"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A</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65AB2FCA"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M</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735532F8"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I</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26914516"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I</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2E143389"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A</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5809E0BD"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S</w:t>
            </w:r>
          </w:p>
        </w:tc>
        <w:tc>
          <w:tcPr>
            <w:tcW w:w="228" w:type="pct"/>
            <w:tcBorders>
              <w:top w:val="single" w:sz="4" w:space="0" w:color="auto"/>
              <w:left w:val="single" w:sz="4" w:space="0" w:color="auto"/>
              <w:bottom w:val="single" w:sz="4" w:space="0" w:color="auto"/>
              <w:right w:val="single" w:sz="4" w:space="0" w:color="auto"/>
            </w:tcBorders>
            <w:shd w:val="clear" w:color="auto" w:fill="BFBFBF"/>
          </w:tcPr>
          <w:p w14:paraId="0DFFA7ED"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O</w:t>
            </w:r>
          </w:p>
        </w:tc>
        <w:tc>
          <w:tcPr>
            <w:tcW w:w="228" w:type="pct"/>
            <w:tcBorders>
              <w:top w:val="single" w:sz="4" w:space="0" w:color="auto"/>
              <w:left w:val="single" w:sz="4" w:space="0" w:color="auto"/>
              <w:bottom w:val="single" w:sz="4" w:space="0" w:color="auto"/>
              <w:right w:val="single" w:sz="4" w:space="0" w:color="auto"/>
            </w:tcBorders>
            <w:shd w:val="clear" w:color="auto" w:fill="BFBFBF"/>
          </w:tcPr>
          <w:p w14:paraId="23D9ECD7"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N</w:t>
            </w:r>
          </w:p>
        </w:tc>
        <w:tc>
          <w:tcPr>
            <w:tcW w:w="304" w:type="pct"/>
            <w:tcBorders>
              <w:top w:val="single" w:sz="4" w:space="0" w:color="auto"/>
              <w:left w:val="single" w:sz="4" w:space="0" w:color="auto"/>
              <w:bottom w:val="single" w:sz="4" w:space="0" w:color="auto"/>
              <w:right w:val="single" w:sz="4" w:space="0" w:color="auto"/>
            </w:tcBorders>
            <w:shd w:val="clear" w:color="auto" w:fill="BFBFBF"/>
          </w:tcPr>
          <w:p w14:paraId="7A5FC15A" w14:textId="77777777" w:rsidR="004C3D75" w:rsidRPr="00C56257" w:rsidRDefault="004C3D75" w:rsidP="008E33FD">
            <w:pPr>
              <w:spacing w:before="60" w:after="60"/>
              <w:jc w:val="both"/>
              <w:rPr>
                <w:rFonts w:eastAsia="Calibri"/>
                <w:b/>
                <w:color w:val="000000" w:themeColor="text1"/>
                <w:lang w:eastAsia="hu-HU"/>
              </w:rPr>
            </w:pPr>
            <w:r w:rsidRPr="00C56257">
              <w:rPr>
                <w:rFonts w:eastAsia="Calibri"/>
                <w:b/>
                <w:color w:val="000000" w:themeColor="text1"/>
              </w:rPr>
              <w:t>D</w:t>
            </w:r>
          </w:p>
        </w:tc>
      </w:tr>
      <w:tr w:rsidR="004C3D75" w:rsidRPr="00C56257" w14:paraId="7A3EF520" w14:textId="77777777" w:rsidTr="004C3D75">
        <w:tc>
          <w:tcPr>
            <w:tcW w:w="1579" w:type="pct"/>
            <w:tcBorders>
              <w:top w:val="single" w:sz="4" w:space="0" w:color="auto"/>
              <w:left w:val="single" w:sz="4" w:space="0" w:color="auto"/>
              <w:bottom w:val="single" w:sz="4" w:space="0" w:color="auto"/>
              <w:right w:val="single" w:sz="4" w:space="0" w:color="auto"/>
            </w:tcBorders>
            <w:shd w:val="clear" w:color="auto" w:fill="FFFFFF"/>
          </w:tcPr>
          <w:p w14:paraId="29716C67" w14:textId="77777777" w:rsidR="004C3D75" w:rsidRPr="00C56257" w:rsidRDefault="004C3D75" w:rsidP="008E33FD">
            <w:pPr>
              <w:spacing w:before="60" w:after="60"/>
              <w:jc w:val="both"/>
              <w:rPr>
                <w:rFonts w:eastAsia="Calibri"/>
                <w:color w:val="000000" w:themeColor="text1"/>
                <w:lang w:eastAsia="hu-HU"/>
              </w:rPr>
            </w:pPr>
            <w:r w:rsidRPr="00C56257">
              <w:rPr>
                <w:rFonts w:eastAsia="Calibri"/>
                <w:color w:val="000000" w:themeColor="text1"/>
              </w:rPr>
              <w:t>Monitorizarea caracteristicilor mediului fizic</w:t>
            </w:r>
          </w:p>
        </w:tc>
        <w:tc>
          <w:tcPr>
            <w:tcW w:w="305" w:type="pct"/>
            <w:tcBorders>
              <w:top w:val="single" w:sz="4" w:space="0" w:color="auto"/>
              <w:left w:val="single" w:sz="4" w:space="0" w:color="auto"/>
              <w:bottom w:val="single" w:sz="4" w:space="0" w:color="auto"/>
              <w:right w:val="single" w:sz="4" w:space="0" w:color="auto"/>
            </w:tcBorders>
            <w:shd w:val="clear" w:color="auto" w:fill="auto"/>
          </w:tcPr>
          <w:p w14:paraId="7F586F00"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auto"/>
          </w:tcPr>
          <w:p w14:paraId="7EA74D0E"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auto"/>
          </w:tcPr>
          <w:p w14:paraId="73440E3D"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14E3399E"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6C2614D3"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0BF9C5DC"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08284F49"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0D764624"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0D6D8369"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3D570CB1"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auto"/>
          </w:tcPr>
          <w:p w14:paraId="4F8EA8F5"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auto"/>
          </w:tcPr>
          <w:p w14:paraId="2EF4A3DC" w14:textId="77777777" w:rsidR="004C3D75" w:rsidRPr="00C56257" w:rsidRDefault="004C3D75" w:rsidP="008E33FD">
            <w:pPr>
              <w:spacing w:before="60" w:after="60"/>
              <w:jc w:val="both"/>
              <w:rPr>
                <w:rFonts w:eastAsia="Calibri"/>
                <w:color w:val="000000" w:themeColor="text1"/>
                <w:lang w:eastAsia="hu-HU"/>
              </w:rPr>
            </w:pPr>
          </w:p>
        </w:tc>
      </w:tr>
      <w:tr w:rsidR="004C3D75" w:rsidRPr="00C56257" w14:paraId="05C9AA0E" w14:textId="77777777" w:rsidTr="004C3D75">
        <w:tc>
          <w:tcPr>
            <w:tcW w:w="1579" w:type="pct"/>
            <w:tcBorders>
              <w:top w:val="single" w:sz="4" w:space="0" w:color="auto"/>
              <w:left w:val="single" w:sz="4" w:space="0" w:color="auto"/>
              <w:bottom w:val="single" w:sz="4" w:space="0" w:color="auto"/>
              <w:right w:val="single" w:sz="4" w:space="0" w:color="auto"/>
            </w:tcBorders>
            <w:shd w:val="clear" w:color="auto" w:fill="FFFFFF"/>
          </w:tcPr>
          <w:p w14:paraId="5C4ED465" w14:textId="77777777" w:rsidR="004C3D75" w:rsidRPr="00C56257" w:rsidRDefault="004C3D75" w:rsidP="008E33FD">
            <w:pPr>
              <w:spacing w:before="60" w:after="60"/>
              <w:jc w:val="both"/>
              <w:rPr>
                <w:color w:val="000000" w:themeColor="text1"/>
              </w:rPr>
            </w:pPr>
            <w:r w:rsidRPr="00C56257">
              <w:rPr>
                <w:color w:val="000000" w:themeColor="text1"/>
              </w:rPr>
              <w:t>Monitorizarea componentei mediului biotic</w:t>
            </w:r>
          </w:p>
        </w:tc>
        <w:tc>
          <w:tcPr>
            <w:tcW w:w="305" w:type="pct"/>
            <w:tcBorders>
              <w:top w:val="single" w:sz="4" w:space="0" w:color="auto"/>
              <w:left w:val="single" w:sz="4" w:space="0" w:color="auto"/>
              <w:bottom w:val="single" w:sz="4" w:space="0" w:color="auto"/>
              <w:right w:val="single" w:sz="4" w:space="0" w:color="auto"/>
            </w:tcBorders>
            <w:shd w:val="clear" w:color="auto" w:fill="auto"/>
          </w:tcPr>
          <w:p w14:paraId="573705A0"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auto"/>
          </w:tcPr>
          <w:p w14:paraId="74DFAA48"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auto"/>
          </w:tcPr>
          <w:p w14:paraId="43948038"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3307CC1F"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4D2E8AB1"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0D8B8271"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3C17F03C"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7D67F6B3"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7F7F7F"/>
          </w:tcPr>
          <w:p w14:paraId="1870271E"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7F7F7F"/>
          </w:tcPr>
          <w:p w14:paraId="21996791" w14:textId="77777777" w:rsidR="004C3D75" w:rsidRPr="00C56257" w:rsidRDefault="004C3D75" w:rsidP="008E33FD">
            <w:pPr>
              <w:spacing w:before="60" w:after="60"/>
              <w:jc w:val="both"/>
              <w:rPr>
                <w:rFonts w:eastAsia="Calibri"/>
                <w:color w:val="000000" w:themeColor="text1"/>
                <w:lang w:eastAsia="hu-HU"/>
              </w:rPr>
            </w:pPr>
          </w:p>
        </w:tc>
        <w:tc>
          <w:tcPr>
            <w:tcW w:w="228" w:type="pct"/>
            <w:tcBorders>
              <w:top w:val="single" w:sz="4" w:space="0" w:color="auto"/>
              <w:left w:val="single" w:sz="4" w:space="0" w:color="auto"/>
              <w:bottom w:val="single" w:sz="4" w:space="0" w:color="auto"/>
              <w:right w:val="single" w:sz="4" w:space="0" w:color="auto"/>
            </w:tcBorders>
            <w:shd w:val="clear" w:color="auto" w:fill="auto"/>
          </w:tcPr>
          <w:p w14:paraId="1526EBF6" w14:textId="77777777" w:rsidR="004C3D75" w:rsidRPr="00C56257" w:rsidRDefault="004C3D75" w:rsidP="008E33FD">
            <w:pPr>
              <w:spacing w:before="60" w:after="60"/>
              <w:jc w:val="both"/>
              <w:rPr>
                <w:rFonts w:eastAsia="Calibri"/>
                <w:color w:val="000000" w:themeColor="text1"/>
                <w:lang w:eastAsia="hu-HU"/>
              </w:rPr>
            </w:pPr>
          </w:p>
        </w:tc>
        <w:tc>
          <w:tcPr>
            <w:tcW w:w="304" w:type="pct"/>
            <w:tcBorders>
              <w:top w:val="single" w:sz="4" w:space="0" w:color="auto"/>
              <w:left w:val="single" w:sz="4" w:space="0" w:color="auto"/>
              <w:bottom w:val="single" w:sz="4" w:space="0" w:color="auto"/>
              <w:right w:val="single" w:sz="4" w:space="0" w:color="auto"/>
            </w:tcBorders>
            <w:shd w:val="clear" w:color="auto" w:fill="auto"/>
          </w:tcPr>
          <w:p w14:paraId="1136FE62" w14:textId="77777777" w:rsidR="004C3D75" w:rsidRPr="00C56257" w:rsidRDefault="004C3D75" w:rsidP="008E33FD">
            <w:pPr>
              <w:spacing w:before="60" w:after="60"/>
              <w:jc w:val="both"/>
              <w:rPr>
                <w:rFonts w:eastAsia="Calibri"/>
                <w:color w:val="000000" w:themeColor="text1"/>
                <w:lang w:eastAsia="hu-HU"/>
              </w:rPr>
            </w:pPr>
          </w:p>
        </w:tc>
      </w:tr>
    </w:tbl>
    <w:p w14:paraId="248D9442" w14:textId="77777777" w:rsidR="004C3D75" w:rsidRPr="00F100E1" w:rsidRDefault="004C3D75" w:rsidP="008E33FD">
      <w:pPr>
        <w:spacing w:before="120" w:line="276" w:lineRule="auto"/>
        <w:jc w:val="both"/>
        <w:rPr>
          <w:rFonts w:eastAsia="Calibri"/>
          <w:color w:val="000000" w:themeColor="text1"/>
        </w:rPr>
      </w:pPr>
    </w:p>
    <w:p w14:paraId="667D7227" w14:textId="77777777" w:rsidR="004C3D75" w:rsidRPr="00F100E1" w:rsidRDefault="004C3D75" w:rsidP="008E33FD">
      <w:pPr>
        <w:spacing w:after="160" w:line="259" w:lineRule="auto"/>
        <w:jc w:val="both"/>
        <w:rPr>
          <w:b/>
          <w:color w:val="000000" w:themeColor="text1"/>
        </w:rPr>
      </w:pPr>
    </w:p>
    <w:p w14:paraId="75913BA0" w14:textId="77777777" w:rsidR="004C3D75" w:rsidRPr="00F100E1" w:rsidRDefault="004C3D75" w:rsidP="008E33FD">
      <w:pPr>
        <w:spacing w:after="160" w:line="259" w:lineRule="auto"/>
        <w:ind w:left="720"/>
        <w:jc w:val="both"/>
        <w:rPr>
          <w:b/>
          <w:color w:val="000000" w:themeColor="text1"/>
        </w:rPr>
      </w:pPr>
      <w:r w:rsidRPr="00F100E1">
        <w:rPr>
          <w:b/>
          <w:color w:val="000000" w:themeColor="text1"/>
        </w:rPr>
        <w:t>IV. Lista cu Suprafețele de Importanță Comunitară pentru habitatele de peșteri</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333"/>
        <w:gridCol w:w="1357"/>
        <w:gridCol w:w="2399"/>
        <w:gridCol w:w="5085"/>
      </w:tblGrid>
      <w:tr w:rsidR="004C3D75" w:rsidRPr="00C56257" w14:paraId="2938651E" w14:textId="77777777" w:rsidTr="004C3D75">
        <w:trPr>
          <w:tblHeader/>
          <w:tblCellSpacing w:w="0" w:type="dxa"/>
        </w:trPr>
        <w:tc>
          <w:tcPr>
            <w:tcW w:w="655" w:type="pct"/>
          </w:tcPr>
          <w:p w14:paraId="5FA953D2" w14:textId="77777777" w:rsidR="004C3D75" w:rsidRPr="00C56257" w:rsidRDefault="004C3D75" w:rsidP="008E33FD">
            <w:pPr>
              <w:jc w:val="both"/>
              <w:rPr>
                <w:b/>
                <w:bCs/>
                <w:color w:val="000000" w:themeColor="text1"/>
                <w:lang w:eastAsia="ro-RO"/>
              </w:rPr>
            </w:pPr>
            <w:r w:rsidRPr="00C56257">
              <w:rPr>
                <w:b/>
                <w:bCs/>
                <w:color w:val="000000" w:themeColor="text1"/>
                <w:lang w:eastAsia="ro-RO"/>
              </w:rPr>
              <w:t>Nr. crt.</w:t>
            </w:r>
          </w:p>
        </w:tc>
        <w:tc>
          <w:tcPr>
            <w:tcW w:w="667" w:type="pct"/>
            <w:shd w:val="clear" w:color="auto" w:fill="auto"/>
            <w:vAlign w:val="center"/>
            <w:hideMark/>
          </w:tcPr>
          <w:p w14:paraId="7E01924D" w14:textId="77777777" w:rsidR="004C3D75" w:rsidRPr="00C56257" w:rsidRDefault="004C3D75" w:rsidP="008E33FD">
            <w:pPr>
              <w:jc w:val="both"/>
              <w:rPr>
                <w:b/>
                <w:bCs/>
                <w:color w:val="000000" w:themeColor="text1"/>
                <w:lang w:eastAsia="ro-RO"/>
              </w:rPr>
            </w:pPr>
            <w:r w:rsidRPr="00C56257">
              <w:rPr>
                <w:b/>
                <w:bCs/>
                <w:color w:val="000000" w:themeColor="text1"/>
                <w:lang w:eastAsia="ro-RO"/>
              </w:rPr>
              <w:t>Cod habitat</w:t>
            </w:r>
          </w:p>
        </w:tc>
        <w:tc>
          <w:tcPr>
            <w:tcW w:w="1179" w:type="pct"/>
            <w:shd w:val="clear" w:color="auto" w:fill="auto"/>
            <w:vAlign w:val="center"/>
            <w:hideMark/>
          </w:tcPr>
          <w:p w14:paraId="1D568D36" w14:textId="77777777" w:rsidR="004C3D75" w:rsidRPr="00C56257" w:rsidRDefault="004C3D75" w:rsidP="008E33FD">
            <w:pPr>
              <w:jc w:val="both"/>
              <w:rPr>
                <w:b/>
                <w:bCs/>
                <w:color w:val="000000" w:themeColor="text1"/>
                <w:lang w:eastAsia="ro-RO"/>
              </w:rPr>
            </w:pPr>
            <w:r w:rsidRPr="00C56257">
              <w:rPr>
                <w:b/>
                <w:bCs/>
                <w:color w:val="000000" w:themeColor="text1"/>
                <w:lang w:eastAsia="ro-RO"/>
              </w:rPr>
              <w:t>Cod sit</w:t>
            </w:r>
          </w:p>
        </w:tc>
        <w:tc>
          <w:tcPr>
            <w:tcW w:w="2499" w:type="pct"/>
          </w:tcPr>
          <w:p w14:paraId="1C740033" w14:textId="77777777" w:rsidR="004C3D75" w:rsidRPr="00C56257" w:rsidRDefault="004C3D75" w:rsidP="008E33FD">
            <w:pPr>
              <w:jc w:val="both"/>
              <w:rPr>
                <w:b/>
                <w:bCs/>
                <w:color w:val="000000" w:themeColor="text1"/>
                <w:lang w:eastAsia="ro-RO"/>
              </w:rPr>
            </w:pPr>
            <w:r w:rsidRPr="00C56257">
              <w:rPr>
                <w:b/>
                <w:bCs/>
                <w:color w:val="000000" w:themeColor="text1"/>
                <w:lang w:eastAsia="ro-RO"/>
              </w:rPr>
              <w:t>Denumire sit</w:t>
            </w:r>
          </w:p>
        </w:tc>
      </w:tr>
      <w:tr w:rsidR="004C3D75" w:rsidRPr="00C56257" w14:paraId="76BBE6B4" w14:textId="77777777" w:rsidTr="004C3D75">
        <w:trPr>
          <w:tblCellSpacing w:w="0" w:type="dxa"/>
        </w:trPr>
        <w:tc>
          <w:tcPr>
            <w:tcW w:w="655" w:type="pct"/>
          </w:tcPr>
          <w:p w14:paraId="738BF966"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5BEBC586"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7F058F1A" w14:textId="77777777" w:rsidR="004C3D75" w:rsidRPr="00C56257" w:rsidRDefault="004C3D75" w:rsidP="008E33FD">
            <w:pPr>
              <w:jc w:val="both"/>
              <w:rPr>
                <w:color w:val="000000" w:themeColor="text1"/>
                <w:lang w:eastAsia="ro-RO"/>
              </w:rPr>
            </w:pPr>
            <w:r w:rsidRPr="00C56257">
              <w:rPr>
                <w:color w:val="000000" w:themeColor="text1"/>
                <w:lang w:eastAsia="ro-RO"/>
              </w:rPr>
              <w:t>ROSCI0200</w:t>
            </w:r>
          </w:p>
        </w:tc>
        <w:tc>
          <w:tcPr>
            <w:tcW w:w="2499" w:type="pct"/>
          </w:tcPr>
          <w:p w14:paraId="134FC817" w14:textId="77777777" w:rsidR="004C3D75" w:rsidRPr="00C56257" w:rsidRDefault="004C3D75" w:rsidP="008E33FD">
            <w:pPr>
              <w:jc w:val="both"/>
              <w:rPr>
                <w:color w:val="000000" w:themeColor="text1"/>
                <w:lang w:eastAsia="ro-RO"/>
              </w:rPr>
            </w:pPr>
            <w:r w:rsidRPr="00C56257">
              <w:rPr>
                <w:color w:val="000000" w:themeColor="text1"/>
                <w:lang w:eastAsia="ro-RO"/>
              </w:rPr>
              <w:t>Platoul Vașcău</w:t>
            </w:r>
          </w:p>
        </w:tc>
      </w:tr>
      <w:tr w:rsidR="004C3D75" w:rsidRPr="00C56257" w14:paraId="1B651449" w14:textId="77777777" w:rsidTr="004C3D75">
        <w:trPr>
          <w:tblCellSpacing w:w="0" w:type="dxa"/>
        </w:trPr>
        <w:tc>
          <w:tcPr>
            <w:tcW w:w="655" w:type="pct"/>
          </w:tcPr>
          <w:p w14:paraId="218E8B1E"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747BBDF6"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4A336BD2" w14:textId="77777777" w:rsidR="004C3D75" w:rsidRPr="00C56257" w:rsidRDefault="004C3D75" w:rsidP="008E33FD">
            <w:pPr>
              <w:jc w:val="both"/>
              <w:rPr>
                <w:color w:val="000000" w:themeColor="text1"/>
                <w:lang w:eastAsia="ro-RO"/>
              </w:rPr>
            </w:pPr>
            <w:r w:rsidRPr="00C56257">
              <w:rPr>
                <w:color w:val="000000" w:themeColor="text1"/>
                <w:lang w:eastAsia="ro-RO"/>
              </w:rPr>
              <w:t>ROSCI0015</w:t>
            </w:r>
          </w:p>
        </w:tc>
        <w:tc>
          <w:tcPr>
            <w:tcW w:w="2499" w:type="pct"/>
          </w:tcPr>
          <w:p w14:paraId="31BC2F08" w14:textId="77777777" w:rsidR="004C3D75" w:rsidRPr="00C56257" w:rsidRDefault="004C3D75" w:rsidP="008E33FD">
            <w:pPr>
              <w:jc w:val="both"/>
              <w:rPr>
                <w:color w:val="000000" w:themeColor="text1"/>
                <w:lang w:eastAsia="ro-RO"/>
              </w:rPr>
            </w:pPr>
            <w:r w:rsidRPr="00C56257">
              <w:rPr>
                <w:color w:val="000000" w:themeColor="text1"/>
                <w:lang w:eastAsia="ro-RO"/>
              </w:rPr>
              <w:t>Buila - Vânturarița</w:t>
            </w:r>
          </w:p>
        </w:tc>
      </w:tr>
      <w:tr w:rsidR="004C3D75" w:rsidRPr="00C56257" w14:paraId="4AFEB723" w14:textId="77777777" w:rsidTr="004C3D75">
        <w:trPr>
          <w:tblCellSpacing w:w="0" w:type="dxa"/>
        </w:trPr>
        <w:tc>
          <w:tcPr>
            <w:tcW w:w="655" w:type="pct"/>
          </w:tcPr>
          <w:p w14:paraId="0FC7E7D9"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03163392"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05C52350" w14:textId="77777777" w:rsidR="004C3D75" w:rsidRPr="00C56257" w:rsidRDefault="004C3D75" w:rsidP="008E33FD">
            <w:pPr>
              <w:jc w:val="both"/>
              <w:rPr>
                <w:color w:val="000000" w:themeColor="text1"/>
                <w:lang w:eastAsia="ro-RO"/>
              </w:rPr>
            </w:pPr>
            <w:r w:rsidRPr="00C56257">
              <w:rPr>
                <w:color w:val="000000" w:themeColor="text1"/>
                <w:lang w:eastAsia="ro-RO"/>
              </w:rPr>
              <w:t>ROSCI0069</w:t>
            </w:r>
          </w:p>
        </w:tc>
        <w:tc>
          <w:tcPr>
            <w:tcW w:w="2499" w:type="pct"/>
          </w:tcPr>
          <w:p w14:paraId="76E85B2D" w14:textId="77777777" w:rsidR="004C3D75" w:rsidRPr="00C56257" w:rsidRDefault="004C3D75" w:rsidP="008E33FD">
            <w:pPr>
              <w:jc w:val="both"/>
              <w:rPr>
                <w:color w:val="000000" w:themeColor="text1"/>
                <w:lang w:eastAsia="ro-RO"/>
              </w:rPr>
            </w:pPr>
            <w:r w:rsidRPr="00C56257">
              <w:rPr>
                <w:color w:val="000000" w:themeColor="text1"/>
                <w:lang w:eastAsia="ro-RO"/>
              </w:rPr>
              <w:t>Domogled - Valea Cernei</w:t>
            </w:r>
          </w:p>
        </w:tc>
      </w:tr>
      <w:tr w:rsidR="004C3D75" w:rsidRPr="00C56257" w14:paraId="1F523D47" w14:textId="77777777" w:rsidTr="004C3D75">
        <w:trPr>
          <w:tblCellSpacing w:w="0" w:type="dxa"/>
        </w:trPr>
        <w:tc>
          <w:tcPr>
            <w:tcW w:w="655" w:type="pct"/>
          </w:tcPr>
          <w:p w14:paraId="28C496B4"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18D63AD4"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6D9B9CC5" w14:textId="77777777" w:rsidR="004C3D75" w:rsidRPr="00C56257" w:rsidRDefault="004C3D75" w:rsidP="008E33FD">
            <w:pPr>
              <w:jc w:val="both"/>
              <w:rPr>
                <w:color w:val="000000" w:themeColor="text1"/>
                <w:lang w:eastAsia="ro-RO"/>
              </w:rPr>
            </w:pPr>
            <w:r w:rsidRPr="00C56257">
              <w:rPr>
                <w:color w:val="000000" w:themeColor="text1"/>
                <w:lang w:eastAsia="ro-RO"/>
              </w:rPr>
              <w:t>ROSCI0002</w:t>
            </w:r>
          </w:p>
        </w:tc>
        <w:tc>
          <w:tcPr>
            <w:tcW w:w="2499" w:type="pct"/>
          </w:tcPr>
          <w:p w14:paraId="05DA35E5" w14:textId="77777777" w:rsidR="004C3D75" w:rsidRPr="00C56257" w:rsidRDefault="004C3D75" w:rsidP="008E33FD">
            <w:pPr>
              <w:jc w:val="both"/>
              <w:rPr>
                <w:color w:val="000000" w:themeColor="text1"/>
                <w:lang w:eastAsia="ro-RO"/>
              </w:rPr>
            </w:pPr>
            <w:r w:rsidRPr="00C56257">
              <w:rPr>
                <w:color w:val="000000" w:themeColor="text1"/>
                <w:lang w:eastAsia="ro-RO"/>
              </w:rPr>
              <w:t>Apuseni</w:t>
            </w:r>
          </w:p>
        </w:tc>
      </w:tr>
      <w:tr w:rsidR="004C3D75" w:rsidRPr="00C56257" w14:paraId="602CC2CA" w14:textId="77777777" w:rsidTr="004C3D75">
        <w:trPr>
          <w:tblCellSpacing w:w="0" w:type="dxa"/>
        </w:trPr>
        <w:tc>
          <w:tcPr>
            <w:tcW w:w="655" w:type="pct"/>
          </w:tcPr>
          <w:p w14:paraId="31059147"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3DA32B62"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37C4193B" w14:textId="77777777" w:rsidR="004C3D75" w:rsidRPr="00C56257" w:rsidRDefault="004C3D75" w:rsidP="008E33FD">
            <w:pPr>
              <w:jc w:val="both"/>
              <w:rPr>
                <w:color w:val="000000" w:themeColor="text1"/>
                <w:lang w:eastAsia="ro-RO"/>
              </w:rPr>
            </w:pPr>
            <w:r w:rsidRPr="00C56257">
              <w:rPr>
                <w:color w:val="000000" w:themeColor="text1"/>
                <w:lang w:eastAsia="ro-RO"/>
              </w:rPr>
              <w:t>ROSCI0090</w:t>
            </w:r>
          </w:p>
        </w:tc>
        <w:tc>
          <w:tcPr>
            <w:tcW w:w="2499" w:type="pct"/>
          </w:tcPr>
          <w:p w14:paraId="7908C2F9" w14:textId="77777777" w:rsidR="004C3D75" w:rsidRPr="00C56257" w:rsidRDefault="004C3D75" w:rsidP="008E33FD">
            <w:pPr>
              <w:jc w:val="both"/>
              <w:rPr>
                <w:color w:val="000000" w:themeColor="text1"/>
                <w:lang w:eastAsia="ro-RO"/>
              </w:rPr>
            </w:pPr>
            <w:r w:rsidRPr="00C56257">
              <w:rPr>
                <w:color w:val="000000" w:themeColor="text1"/>
                <w:lang w:eastAsia="ro-RO"/>
              </w:rPr>
              <w:t>Harghita Mădăraș</w:t>
            </w:r>
          </w:p>
        </w:tc>
      </w:tr>
      <w:tr w:rsidR="004C3D75" w:rsidRPr="00C56257" w14:paraId="4ED5ED06" w14:textId="77777777" w:rsidTr="004C3D75">
        <w:trPr>
          <w:tblCellSpacing w:w="0" w:type="dxa"/>
        </w:trPr>
        <w:tc>
          <w:tcPr>
            <w:tcW w:w="655" w:type="pct"/>
          </w:tcPr>
          <w:p w14:paraId="3039B4CC"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30D9C1CA"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2CEC2765" w14:textId="77777777" w:rsidR="004C3D75" w:rsidRPr="00C56257" w:rsidRDefault="004C3D75" w:rsidP="008E33FD">
            <w:pPr>
              <w:jc w:val="both"/>
              <w:rPr>
                <w:color w:val="000000" w:themeColor="text1"/>
                <w:lang w:eastAsia="ro-RO"/>
              </w:rPr>
            </w:pPr>
            <w:r w:rsidRPr="00C56257">
              <w:rPr>
                <w:color w:val="000000" w:themeColor="text1"/>
                <w:lang w:eastAsia="ro-RO"/>
              </w:rPr>
              <w:t>ROSCI0087</w:t>
            </w:r>
          </w:p>
        </w:tc>
        <w:tc>
          <w:tcPr>
            <w:tcW w:w="2499" w:type="pct"/>
          </w:tcPr>
          <w:p w14:paraId="7AB00C54" w14:textId="77777777" w:rsidR="004C3D75" w:rsidRPr="00C56257" w:rsidRDefault="004C3D75" w:rsidP="008E33FD">
            <w:pPr>
              <w:jc w:val="both"/>
              <w:rPr>
                <w:color w:val="000000" w:themeColor="text1"/>
                <w:lang w:eastAsia="ro-RO"/>
              </w:rPr>
            </w:pPr>
            <w:r w:rsidRPr="00C56257">
              <w:rPr>
                <w:color w:val="000000" w:themeColor="text1"/>
                <w:lang w:eastAsia="ro-RO"/>
              </w:rPr>
              <w:t>Grădiștea Muncelului - Cioclovina</w:t>
            </w:r>
          </w:p>
        </w:tc>
      </w:tr>
      <w:tr w:rsidR="004C3D75" w:rsidRPr="00C56257" w14:paraId="0D8E979D" w14:textId="77777777" w:rsidTr="004C3D75">
        <w:trPr>
          <w:tblCellSpacing w:w="0" w:type="dxa"/>
        </w:trPr>
        <w:tc>
          <w:tcPr>
            <w:tcW w:w="655" w:type="pct"/>
          </w:tcPr>
          <w:p w14:paraId="7FF2D86A"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22656786"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274153D3" w14:textId="77777777" w:rsidR="004C3D75" w:rsidRPr="00C56257" w:rsidRDefault="004C3D75" w:rsidP="008E33FD">
            <w:pPr>
              <w:jc w:val="both"/>
              <w:rPr>
                <w:color w:val="000000" w:themeColor="text1"/>
                <w:lang w:eastAsia="ro-RO"/>
              </w:rPr>
            </w:pPr>
            <w:r w:rsidRPr="00C56257">
              <w:rPr>
                <w:color w:val="000000" w:themeColor="text1"/>
                <w:lang w:eastAsia="ro-RO"/>
              </w:rPr>
              <w:t>ROSCI0013</w:t>
            </w:r>
          </w:p>
        </w:tc>
        <w:tc>
          <w:tcPr>
            <w:tcW w:w="2499" w:type="pct"/>
          </w:tcPr>
          <w:p w14:paraId="10399ED2" w14:textId="77777777" w:rsidR="004C3D75" w:rsidRPr="00C56257" w:rsidRDefault="004C3D75" w:rsidP="008E33FD">
            <w:pPr>
              <w:jc w:val="both"/>
              <w:rPr>
                <w:color w:val="000000" w:themeColor="text1"/>
                <w:lang w:eastAsia="ro-RO"/>
              </w:rPr>
            </w:pPr>
            <w:r w:rsidRPr="00C56257">
              <w:rPr>
                <w:color w:val="000000" w:themeColor="text1"/>
                <w:lang w:eastAsia="ro-RO"/>
              </w:rPr>
              <w:t>Bucegi</w:t>
            </w:r>
          </w:p>
        </w:tc>
      </w:tr>
      <w:tr w:rsidR="004C3D75" w:rsidRPr="00C56257" w14:paraId="03CAF9E8" w14:textId="77777777" w:rsidTr="004C3D75">
        <w:trPr>
          <w:tblCellSpacing w:w="0" w:type="dxa"/>
        </w:trPr>
        <w:tc>
          <w:tcPr>
            <w:tcW w:w="655" w:type="pct"/>
          </w:tcPr>
          <w:p w14:paraId="325B13CA"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6B12F73C"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51A3A43E" w14:textId="77777777" w:rsidR="004C3D75" w:rsidRPr="00C56257" w:rsidRDefault="004C3D75" w:rsidP="008E33FD">
            <w:pPr>
              <w:jc w:val="both"/>
              <w:rPr>
                <w:color w:val="000000" w:themeColor="text1"/>
                <w:lang w:eastAsia="ro-RO"/>
              </w:rPr>
            </w:pPr>
            <w:r w:rsidRPr="00C56257">
              <w:rPr>
                <w:color w:val="000000" w:themeColor="text1"/>
                <w:lang w:eastAsia="ro-RO"/>
              </w:rPr>
              <w:t>ROSCI0194</w:t>
            </w:r>
          </w:p>
        </w:tc>
        <w:tc>
          <w:tcPr>
            <w:tcW w:w="2499" w:type="pct"/>
          </w:tcPr>
          <w:p w14:paraId="0DE0CAA6" w14:textId="77777777" w:rsidR="004C3D75" w:rsidRPr="00C56257" w:rsidRDefault="004C3D75" w:rsidP="008E33FD">
            <w:pPr>
              <w:jc w:val="both"/>
              <w:rPr>
                <w:color w:val="000000" w:themeColor="text1"/>
                <w:lang w:eastAsia="ro-RO"/>
              </w:rPr>
            </w:pPr>
            <w:r w:rsidRPr="00C56257">
              <w:rPr>
                <w:color w:val="000000" w:themeColor="text1"/>
                <w:lang w:eastAsia="ro-RO"/>
              </w:rPr>
              <w:t>Piatra Craiului</w:t>
            </w:r>
          </w:p>
        </w:tc>
      </w:tr>
      <w:tr w:rsidR="004C3D75" w:rsidRPr="00C56257" w14:paraId="50A8BF04" w14:textId="77777777" w:rsidTr="004C3D75">
        <w:trPr>
          <w:tblCellSpacing w:w="0" w:type="dxa"/>
        </w:trPr>
        <w:tc>
          <w:tcPr>
            <w:tcW w:w="655" w:type="pct"/>
          </w:tcPr>
          <w:p w14:paraId="1CE1E438"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20FCEEE5"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226583A9" w14:textId="77777777" w:rsidR="004C3D75" w:rsidRPr="00C56257" w:rsidRDefault="004C3D75" w:rsidP="008E33FD">
            <w:pPr>
              <w:jc w:val="both"/>
              <w:rPr>
                <w:color w:val="000000" w:themeColor="text1"/>
                <w:lang w:eastAsia="ro-RO"/>
              </w:rPr>
            </w:pPr>
            <w:r w:rsidRPr="00C56257">
              <w:rPr>
                <w:color w:val="000000" w:themeColor="text1"/>
                <w:lang w:eastAsia="ro-RO"/>
              </w:rPr>
              <w:t>ROSCI0226</w:t>
            </w:r>
          </w:p>
        </w:tc>
        <w:tc>
          <w:tcPr>
            <w:tcW w:w="2499" w:type="pct"/>
          </w:tcPr>
          <w:p w14:paraId="2B78B447" w14:textId="77777777" w:rsidR="004C3D75" w:rsidRPr="00C56257" w:rsidRDefault="004C3D75" w:rsidP="008E33FD">
            <w:pPr>
              <w:jc w:val="both"/>
              <w:rPr>
                <w:color w:val="000000" w:themeColor="text1"/>
                <w:lang w:eastAsia="ro-RO"/>
              </w:rPr>
            </w:pPr>
            <w:r w:rsidRPr="00C56257">
              <w:rPr>
                <w:color w:val="000000" w:themeColor="text1"/>
                <w:lang w:eastAsia="ro-RO"/>
              </w:rPr>
              <w:t>Semenic - Cheile Carașului</w:t>
            </w:r>
          </w:p>
        </w:tc>
      </w:tr>
      <w:tr w:rsidR="004C3D75" w:rsidRPr="00C56257" w14:paraId="533D7B3F" w14:textId="77777777" w:rsidTr="004C3D75">
        <w:trPr>
          <w:tblCellSpacing w:w="0" w:type="dxa"/>
        </w:trPr>
        <w:tc>
          <w:tcPr>
            <w:tcW w:w="655" w:type="pct"/>
          </w:tcPr>
          <w:p w14:paraId="74B4D145"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57CD3595"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768D7628" w14:textId="77777777" w:rsidR="004C3D75" w:rsidRPr="00C56257" w:rsidRDefault="004C3D75" w:rsidP="008E33FD">
            <w:pPr>
              <w:jc w:val="both"/>
              <w:rPr>
                <w:color w:val="000000" w:themeColor="text1"/>
                <w:lang w:eastAsia="ro-RO"/>
              </w:rPr>
            </w:pPr>
            <w:r w:rsidRPr="00C56257">
              <w:rPr>
                <w:color w:val="000000" w:themeColor="text1"/>
                <w:lang w:eastAsia="ro-RO"/>
              </w:rPr>
              <w:t>ROSCI0024</w:t>
            </w:r>
          </w:p>
        </w:tc>
        <w:tc>
          <w:tcPr>
            <w:tcW w:w="2499" w:type="pct"/>
          </w:tcPr>
          <w:p w14:paraId="2BFAE55A" w14:textId="77777777" w:rsidR="004C3D75" w:rsidRPr="00C56257" w:rsidRDefault="004C3D75" w:rsidP="008E33FD">
            <w:pPr>
              <w:jc w:val="both"/>
              <w:rPr>
                <w:color w:val="000000" w:themeColor="text1"/>
                <w:lang w:eastAsia="ro-RO"/>
              </w:rPr>
            </w:pPr>
            <w:r w:rsidRPr="00C56257">
              <w:rPr>
                <w:color w:val="000000" w:themeColor="text1"/>
                <w:lang w:eastAsia="ro-RO"/>
              </w:rPr>
              <w:t>Ceahlău</w:t>
            </w:r>
          </w:p>
        </w:tc>
      </w:tr>
      <w:tr w:rsidR="004C3D75" w:rsidRPr="00C56257" w14:paraId="11BC9813" w14:textId="77777777" w:rsidTr="004C3D75">
        <w:trPr>
          <w:tblCellSpacing w:w="0" w:type="dxa"/>
        </w:trPr>
        <w:tc>
          <w:tcPr>
            <w:tcW w:w="655" w:type="pct"/>
          </w:tcPr>
          <w:p w14:paraId="78ADF9A6"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454F465F"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0D4B881A" w14:textId="77777777" w:rsidR="004C3D75" w:rsidRPr="00C56257" w:rsidRDefault="004C3D75" w:rsidP="008E33FD">
            <w:pPr>
              <w:jc w:val="both"/>
              <w:rPr>
                <w:color w:val="000000" w:themeColor="text1"/>
                <w:lang w:eastAsia="ro-RO"/>
              </w:rPr>
            </w:pPr>
            <w:r w:rsidRPr="00C56257">
              <w:rPr>
                <w:color w:val="000000" w:themeColor="text1"/>
                <w:lang w:eastAsia="ro-RO"/>
              </w:rPr>
              <w:t>ROSCI0123</w:t>
            </w:r>
          </w:p>
        </w:tc>
        <w:tc>
          <w:tcPr>
            <w:tcW w:w="2499" w:type="pct"/>
          </w:tcPr>
          <w:p w14:paraId="25B0FBE7" w14:textId="77777777" w:rsidR="004C3D75" w:rsidRPr="00C56257" w:rsidRDefault="004C3D75" w:rsidP="008E33FD">
            <w:pPr>
              <w:jc w:val="both"/>
              <w:rPr>
                <w:color w:val="000000" w:themeColor="text1"/>
                <w:lang w:eastAsia="ro-RO"/>
              </w:rPr>
            </w:pPr>
            <w:r w:rsidRPr="00C56257">
              <w:rPr>
                <w:color w:val="000000" w:themeColor="text1"/>
                <w:lang w:eastAsia="ro-RO"/>
              </w:rPr>
              <w:t>Munții Măcinului</w:t>
            </w:r>
          </w:p>
        </w:tc>
      </w:tr>
      <w:tr w:rsidR="004C3D75" w:rsidRPr="00C56257" w14:paraId="7F0994F1" w14:textId="77777777" w:rsidTr="004C3D75">
        <w:trPr>
          <w:tblCellSpacing w:w="0" w:type="dxa"/>
        </w:trPr>
        <w:tc>
          <w:tcPr>
            <w:tcW w:w="655" w:type="pct"/>
          </w:tcPr>
          <w:p w14:paraId="0B22CB80"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50E5A2A0"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149CA5A6" w14:textId="77777777" w:rsidR="004C3D75" w:rsidRPr="00C56257" w:rsidRDefault="004C3D75" w:rsidP="008E33FD">
            <w:pPr>
              <w:jc w:val="both"/>
              <w:rPr>
                <w:color w:val="000000" w:themeColor="text1"/>
                <w:lang w:eastAsia="ro-RO"/>
              </w:rPr>
            </w:pPr>
            <w:r w:rsidRPr="00C56257">
              <w:rPr>
                <w:color w:val="000000" w:themeColor="text1"/>
                <w:lang w:eastAsia="ro-RO"/>
              </w:rPr>
              <w:t>ROSCI0191</w:t>
            </w:r>
          </w:p>
        </w:tc>
        <w:tc>
          <w:tcPr>
            <w:tcW w:w="2499" w:type="pct"/>
          </w:tcPr>
          <w:p w14:paraId="588B9CC2" w14:textId="77777777" w:rsidR="004C3D75" w:rsidRPr="00C56257" w:rsidRDefault="004C3D75" w:rsidP="008E33FD">
            <w:pPr>
              <w:jc w:val="both"/>
              <w:rPr>
                <w:color w:val="000000" w:themeColor="text1"/>
                <w:lang w:eastAsia="ro-RO"/>
              </w:rPr>
            </w:pPr>
            <w:r w:rsidRPr="00C56257">
              <w:rPr>
                <w:color w:val="000000" w:themeColor="text1"/>
                <w:lang w:eastAsia="ro-RO"/>
              </w:rPr>
              <w:t>Peștera Limanu</w:t>
            </w:r>
          </w:p>
        </w:tc>
      </w:tr>
      <w:tr w:rsidR="004C3D75" w:rsidRPr="00C56257" w14:paraId="667A0CE8" w14:textId="77777777" w:rsidTr="004C3D75">
        <w:trPr>
          <w:tblCellSpacing w:w="0" w:type="dxa"/>
        </w:trPr>
        <w:tc>
          <w:tcPr>
            <w:tcW w:w="655" w:type="pct"/>
          </w:tcPr>
          <w:p w14:paraId="2DA3D2EB"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00DF5479"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12B843EE" w14:textId="77777777" w:rsidR="004C3D75" w:rsidRPr="00C56257" w:rsidRDefault="004C3D75" w:rsidP="008E33FD">
            <w:pPr>
              <w:jc w:val="both"/>
              <w:rPr>
                <w:color w:val="000000" w:themeColor="text1"/>
                <w:lang w:eastAsia="ro-RO"/>
              </w:rPr>
            </w:pPr>
            <w:r w:rsidRPr="00C56257">
              <w:rPr>
                <w:color w:val="000000" w:themeColor="text1"/>
                <w:lang w:eastAsia="ro-RO"/>
              </w:rPr>
              <w:t>ROSCI0206</w:t>
            </w:r>
          </w:p>
        </w:tc>
        <w:tc>
          <w:tcPr>
            <w:tcW w:w="2499" w:type="pct"/>
          </w:tcPr>
          <w:p w14:paraId="4212CE1D" w14:textId="77777777" w:rsidR="004C3D75" w:rsidRPr="00C56257" w:rsidRDefault="004C3D75" w:rsidP="008E33FD">
            <w:pPr>
              <w:jc w:val="both"/>
              <w:rPr>
                <w:color w:val="000000" w:themeColor="text1"/>
                <w:lang w:eastAsia="ro-RO"/>
              </w:rPr>
            </w:pPr>
            <w:r w:rsidRPr="00C56257">
              <w:rPr>
                <w:color w:val="000000" w:themeColor="text1"/>
                <w:lang w:eastAsia="ro-RO"/>
              </w:rPr>
              <w:t>Porțile de Fier</w:t>
            </w:r>
          </w:p>
        </w:tc>
      </w:tr>
      <w:tr w:rsidR="004C3D75" w:rsidRPr="00C56257" w14:paraId="72DD03EC" w14:textId="77777777" w:rsidTr="004C3D75">
        <w:trPr>
          <w:tblCellSpacing w:w="0" w:type="dxa"/>
        </w:trPr>
        <w:tc>
          <w:tcPr>
            <w:tcW w:w="655" w:type="pct"/>
          </w:tcPr>
          <w:p w14:paraId="734E04AF"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131696B4"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64A024DF" w14:textId="77777777" w:rsidR="004C3D75" w:rsidRPr="00C56257" w:rsidRDefault="004C3D75" w:rsidP="008E33FD">
            <w:pPr>
              <w:jc w:val="both"/>
              <w:rPr>
                <w:color w:val="000000" w:themeColor="text1"/>
                <w:lang w:eastAsia="ro-RO"/>
              </w:rPr>
            </w:pPr>
            <w:r w:rsidRPr="00C56257">
              <w:rPr>
                <w:color w:val="000000" w:themeColor="text1"/>
                <w:lang w:eastAsia="ro-RO"/>
              </w:rPr>
              <w:t>ROSCI0122</w:t>
            </w:r>
          </w:p>
        </w:tc>
        <w:tc>
          <w:tcPr>
            <w:tcW w:w="2499" w:type="pct"/>
          </w:tcPr>
          <w:p w14:paraId="6EB362AA" w14:textId="77777777" w:rsidR="004C3D75" w:rsidRPr="00C56257" w:rsidRDefault="004C3D75" w:rsidP="008E33FD">
            <w:pPr>
              <w:jc w:val="both"/>
              <w:rPr>
                <w:color w:val="000000" w:themeColor="text1"/>
                <w:lang w:eastAsia="ro-RO"/>
              </w:rPr>
            </w:pPr>
            <w:r w:rsidRPr="00C56257">
              <w:rPr>
                <w:color w:val="000000" w:themeColor="text1"/>
                <w:lang w:eastAsia="ro-RO"/>
              </w:rPr>
              <w:t>Munții Făgăraș</w:t>
            </w:r>
          </w:p>
        </w:tc>
      </w:tr>
      <w:tr w:rsidR="004C3D75" w:rsidRPr="00C56257" w14:paraId="1A55516B" w14:textId="77777777" w:rsidTr="004C3D75">
        <w:trPr>
          <w:tblCellSpacing w:w="0" w:type="dxa"/>
        </w:trPr>
        <w:tc>
          <w:tcPr>
            <w:tcW w:w="655" w:type="pct"/>
          </w:tcPr>
          <w:p w14:paraId="23EC71CB"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40D6325E"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74570DC5" w14:textId="77777777" w:rsidR="004C3D75" w:rsidRPr="00C56257" w:rsidRDefault="004C3D75" w:rsidP="008E33FD">
            <w:pPr>
              <w:jc w:val="both"/>
              <w:rPr>
                <w:color w:val="000000" w:themeColor="text1"/>
                <w:lang w:eastAsia="ro-RO"/>
              </w:rPr>
            </w:pPr>
            <w:r w:rsidRPr="00C56257">
              <w:rPr>
                <w:color w:val="000000" w:themeColor="text1"/>
                <w:lang w:eastAsia="ro-RO"/>
              </w:rPr>
              <w:t>ROSCI0240</w:t>
            </w:r>
          </w:p>
        </w:tc>
        <w:tc>
          <w:tcPr>
            <w:tcW w:w="2499" w:type="pct"/>
          </w:tcPr>
          <w:p w14:paraId="4AB845A9" w14:textId="77777777" w:rsidR="004C3D75" w:rsidRPr="00C56257" w:rsidRDefault="004C3D75" w:rsidP="008E33FD">
            <w:pPr>
              <w:jc w:val="both"/>
              <w:rPr>
                <w:color w:val="000000" w:themeColor="text1"/>
                <w:lang w:eastAsia="ro-RO"/>
              </w:rPr>
            </w:pPr>
            <w:r w:rsidRPr="00C56257">
              <w:rPr>
                <w:color w:val="000000" w:themeColor="text1"/>
                <w:lang w:eastAsia="ro-RO"/>
              </w:rPr>
              <w:t>Tășad</w:t>
            </w:r>
          </w:p>
        </w:tc>
      </w:tr>
      <w:tr w:rsidR="004C3D75" w:rsidRPr="00C56257" w14:paraId="47058A9A" w14:textId="77777777" w:rsidTr="004C3D75">
        <w:trPr>
          <w:tblCellSpacing w:w="0" w:type="dxa"/>
        </w:trPr>
        <w:tc>
          <w:tcPr>
            <w:tcW w:w="655" w:type="pct"/>
          </w:tcPr>
          <w:p w14:paraId="5621345C"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52E299FE"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5A3A86AE" w14:textId="77777777" w:rsidR="004C3D75" w:rsidRPr="00C56257" w:rsidRDefault="004C3D75" w:rsidP="008E33FD">
            <w:pPr>
              <w:jc w:val="both"/>
              <w:rPr>
                <w:color w:val="000000" w:themeColor="text1"/>
                <w:lang w:eastAsia="ro-RO"/>
              </w:rPr>
            </w:pPr>
            <w:r w:rsidRPr="00C56257">
              <w:rPr>
                <w:color w:val="000000" w:themeColor="text1"/>
                <w:lang w:eastAsia="ro-RO"/>
              </w:rPr>
              <w:t>ROSCI0031</w:t>
            </w:r>
          </w:p>
        </w:tc>
        <w:tc>
          <w:tcPr>
            <w:tcW w:w="2499" w:type="pct"/>
          </w:tcPr>
          <w:p w14:paraId="124DA026" w14:textId="77777777" w:rsidR="004C3D75" w:rsidRPr="00C56257" w:rsidRDefault="004C3D75" w:rsidP="008E33FD">
            <w:pPr>
              <w:jc w:val="both"/>
              <w:rPr>
                <w:color w:val="000000" w:themeColor="text1"/>
                <w:lang w:eastAsia="ro-RO"/>
              </w:rPr>
            </w:pPr>
            <w:r w:rsidRPr="00C56257">
              <w:rPr>
                <w:color w:val="000000" w:themeColor="text1"/>
                <w:lang w:eastAsia="ro-RO"/>
              </w:rPr>
              <w:t>Cheile Nerei - Beușnița</w:t>
            </w:r>
          </w:p>
        </w:tc>
      </w:tr>
      <w:tr w:rsidR="004C3D75" w:rsidRPr="00C56257" w14:paraId="1EA5C705" w14:textId="77777777" w:rsidTr="004C3D75">
        <w:trPr>
          <w:tblCellSpacing w:w="0" w:type="dxa"/>
        </w:trPr>
        <w:tc>
          <w:tcPr>
            <w:tcW w:w="655" w:type="pct"/>
          </w:tcPr>
          <w:p w14:paraId="3AA303A6"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1ACFB8A5"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2DEB5467" w14:textId="77777777" w:rsidR="004C3D75" w:rsidRPr="00C56257" w:rsidRDefault="004C3D75" w:rsidP="008E33FD">
            <w:pPr>
              <w:jc w:val="both"/>
              <w:rPr>
                <w:color w:val="000000" w:themeColor="text1"/>
                <w:lang w:eastAsia="ro-RO"/>
              </w:rPr>
            </w:pPr>
            <w:r w:rsidRPr="00C56257">
              <w:rPr>
                <w:color w:val="000000" w:themeColor="text1"/>
                <w:lang w:eastAsia="ro-RO"/>
              </w:rPr>
              <w:t>ROSCI0114</w:t>
            </w:r>
          </w:p>
        </w:tc>
        <w:tc>
          <w:tcPr>
            <w:tcW w:w="2499" w:type="pct"/>
          </w:tcPr>
          <w:p w14:paraId="3811D1AE" w14:textId="77777777" w:rsidR="004C3D75" w:rsidRPr="00C56257" w:rsidRDefault="004C3D75" w:rsidP="008E33FD">
            <w:pPr>
              <w:jc w:val="both"/>
              <w:rPr>
                <w:color w:val="000000" w:themeColor="text1"/>
                <w:lang w:eastAsia="ro-RO"/>
              </w:rPr>
            </w:pPr>
            <w:r w:rsidRPr="00C56257">
              <w:rPr>
                <w:color w:val="000000" w:themeColor="text1"/>
                <w:lang w:eastAsia="ro-RO"/>
              </w:rPr>
              <w:t>Mlaștina Hergheliei - Obanul Mare și Peștera Movilei</w:t>
            </w:r>
          </w:p>
        </w:tc>
      </w:tr>
      <w:tr w:rsidR="004C3D75" w:rsidRPr="00C56257" w14:paraId="3567FCCE" w14:textId="77777777" w:rsidTr="004C3D75">
        <w:trPr>
          <w:tblCellSpacing w:w="0" w:type="dxa"/>
        </w:trPr>
        <w:tc>
          <w:tcPr>
            <w:tcW w:w="655" w:type="pct"/>
          </w:tcPr>
          <w:p w14:paraId="58D0D73E"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5EDE49DA"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10C4125B" w14:textId="77777777" w:rsidR="004C3D75" w:rsidRPr="00C56257" w:rsidRDefault="004C3D75" w:rsidP="008E33FD">
            <w:pPr>
              <w:jc w:val="both"/>
              <w:rPr>
                <w:color w:val="000000" w:themeColor="text1"/>
                <w:lang w:eastAsia="ro-RO"/>
              </w:rPr>
            </w:pPr>
            <w:r w:rsidRPr="00C56257">
              <w:rPr>
                <w:color w:val="000000" w:themeColor="text1"/>
                <w:lang w:eastAsia="ro-RO"/>
              </w:rPr>
              <w:t>ROSCI0019</w:t>
            </w:r>
          </w:p>
        </w:tc>
        <w:tc>
          <w:tcPr>
            <w:tcW w:w="2499" w:type="pct"/>
          </w:tcPr>
          <w:p w14:paraId="4D00DE96" w14:textId="77777777" w:rsidR="004C3D75" w:rsidRPr="00C56257" w:rsidRDefault="004C3D75" w:rsidP="008E33FD">
            <w:pPr>
              <w:jc w:val="both"/>
              <w:rPr>
                <w:color w:val="000000" w:themeColor="text1"/>
                <w:lang w:eastAsia="ro-RO"/>
              </w:rPr>
            </w:pPr>
            <w:r w:rsidRPr="00C56257">
              <w:rPr>
                <w:color w:val="000000" w:themeColor="text1"/>
                <w:lang w:eastAsia="ro-RO"/>
              </w:rPr>
              <w:t>Căldările Zăbalei</w:t>
            </w:r>
          </w:p>
        </w:tc>
      </w:tr>
      <w:tr w:rsidR="004C3D75" w:rsidRPr="00C56257" w14:paraId="16F69565" w14:textId="77777777" w:rsidTr="004C3D75">
        <w:trPr>
          <w:tblCellSpacing w:w="0" w:type="dxa"/>
        </w:trPr>
        <w:tc>
          <w:tcPr>
            <w:tcW w:w="655" w:type="pct"/>
          </w:tcPr>
          <w:p w14:paraId="715A3C48"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2DC78101"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59ACDE1A" w14:textId="77777777" w:rsidR="004C3D75" w:rsidRPr="00C56257" w:rsidRDefault="004C3D75" w:rsidP="008E33FD">
            <w:pPr>
              <w:jc w:val="both"/>
              <w:rPr>
                <w:color w:val="000000" w:themeColor="text1"/>
                <w:lang w:eastAsia="ro-RO"/>
              </w:rPr>
            </w:pPr>
            <w:r w:rsidRPr="00C56257">
              <w:rPr>
                <w:color w:val="000000" w:themeColor="text1"/>
                <w:lang w:eastAsia="ro-RO"/>
              </w:rPr>
              <w:t>ROSCI0215</w:t>
            </w:r>
          </w:p>
        </w:tc>
        <w:tc>
          <w:tcPr>
            <w:tcW w:w="2499" w:type="pct"/>
          </w:tcPr>
          <w:p w14:paraId="57D16402" w14:textId="77777777" w:rsidR="004C3D75" w:rsidRPr="00C56257" w:rsidRDefault="004C3D75" w:rsidP="008E33FD">
            <w:pPr>
              <w:jc w:val="both"/>
              <w:rPr>
                <w:color w:val="000000" w:themeColor="text1"/>
                <w:lang w:eastAsia="ro-RO"/>
              </w:rPr>
            </w:pPr>
            <w:r w:rsidRPr="00C56257">
              <w:rPr>
                <w:color w:val="000000" w:themeColor="text1"/>
                <w:lang w:eastAsia="ro-RO"/>
              </w:rPr>
              <w:t>Recifii Jurasici Cheia</w:t>
            </w:r>
          </w:p>
        </w:tc>
      </w:tr>
      <w:tr w:rsidR="004C3D75" w:rsidRPr="00C56257" w14:paraId="001D79C1" w14:textId="77777777" w:rsidTr="004C3D75">
        <w:trPr>
          <w:tblCellSpacing w:w="0" w:type="dxa"/>
        </w:trPr>
        <w:tc>
          <w:tcPr>
            <w:tcW w:w="655" w:type="pct"/>
          </w:tcPr>
          <w:p w14:paraId="0CCDF00D"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537EEA94"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46FA1106" w14:textId="77777777" w:rsidR="004C3D75" w:rsidRPr="00C56257" w:rsidRDefault="004C3D75" w:rsidP="008E33FD">
            <w:pPr>
              <w:jc w:val="both"/>
              <w:rPr>
                <w:color w:val="000000" w:themeColor="text1"/>
                <w:lang w:eastAsia="ro-RO"/>
              </w:rPr>
            </w:pPr>
            <w:r w:rsidRPr="00C56257">
              <w:rPr>
                <w:color w:val="000000" w:themeColor="text1"/>
                <w:lang w:eastAsia="ro-RO"/>
              </w:rPr>
              <w:t>ROSCI0189</w:t>
            </w:r>
          </w:p>
        </w:tc>
        <w:tc>
          <w:tcPr>
            <w:tcW w:w="2499" w:type="pct"/>
          </w:tcPr>
          <w:p w14:paraId="026BE42E" w14:textId="77777777" w:rsidR="004C3D75" w:rsidRPr="00C56257" w:rsidRDefault="004C3D75" w:rsidP="008E33FD">
            <w:pPr>
              <w:jc w:val="both"/>
              <w:rPr>
                <w:color w:val="000000" w:themeColor="text1"/>
                <w:lang w:eastAsia="ro-RO"/>
              </w:rPr>
            </w:pPr>
            <w:r w:rsidRPr="00C56257">
              <w:rPr>
                <w:color w:val="000000" w:themeColor="text1"/>
                <w:lang w:eastAsia="ro-RO"/>
              </w:rPr>
              <w:t>Pârâul Barlangos</w:t>
            </w:r>
          </w:p>
        </w:tc>
      </w:tr>
      <w:tr w:rsidR="004C3D75" w:rsidRPr="00C56257" w14:paraId="78C430A6" w14:textId="77777777" w:rsidTr="004C3D75">
        <w:trPr>
          <w:tblCellSpacing w:w="0" w:type="dxa"/>
        </w:trPr>
        <w:tc>
          <w:tcPr>
            <w:tcW w:w="655" w:type="pct"/>
          </w:tcPr>
          <w:p w14:paraId="05D487B5"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4566E3C5"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173CCEED" w14:textId="77777777" w:rsidR="004C3D75" w:rsidRPr="00C56257" w:rsidRDefault="004C3D75" w:rsidP="008E33FD">
            <w:pPr>
              <w:jc w:val="both"/>
              <w:rPr>
                <w:color w:val="000000" w:themeColor="text1"/>
                <w:lang w:eastAsia="ro-RO"/>
              </w:rPr>
            </w:pPr>
            <w:r w:rsidRPr="00C56257">
              <w:rPr>
                <w:color w:val="000000" w:themeColor="text1"/>
                <w:lang w:eastAsia="ro-RO"/>
              </w:rPr>
              <w:t>ROSCI0198</w:t>
            </w:r>
          </w:p>
        </w:tc>
        <w:tc>
          <w:tcPr>
            <w:tcW w:w="2499" w:type="pct"/>
          </w:tcPr>
          <w:p w14:paraId="12DB0E67" w14:textId="77777777" w:rsidR="004C3D75" w:rsidRPr="00C56257" w:rsidRDefault="004C3D75" w:rsidP="008E33FD">
            <w:pPr>
              <w:jc w:val="both"/>
              <w:rPr>
                <w:color w:val="000000" w:themeColor="text1"/>
                <w:lang w:eastAsia="ro-RO"/>
              </w:rPr>
            </w:pPr>
            <w:r w:rsidRPr="00C56257">
              <w:rPr>
                <w:color w:val="000000" w:themeColor="text1"/>
                <w:lang w:eastAsia="ro-RO"/>
              </w:rPr>
              <w:t>Platoul Mehedinți</w:t>
            </w:r>
          </w:p>
        </w:tc>
      </w:tr>
      <w:tr w:rsidR="004C3D75" w:rsidRPr="00C56257" w14:paraId="79820D4C" w14:textId="77777777" w:rsidTr="004C3D75">
        <w:trPr>
          <w:tblCellSpacing w:w="0" w:type="dxa"/>
        </w:trPr>
        <w:tc>
          <w:tcPr>
            <w:tcW w:w="655" w:type="pct"/>
          </w:tcPr>
          <w:p w14:paraId="198B4917"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0F7FC9B4"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3469C9C5" w14:textId="77777777" w:rsidR="004C3D75" w:rsidRPr="00C56257" w:rsidRDefault="004C3D75" w:rsidP="008E33FD">
            <w:pPr>
              <w:jc w:val="both"/>
              <w:rPr>
                <w:color w:val="000000" w:themeColor="text1"/>
                <w:lang w:eastAsia="ro-RO"/>
              </w:rPr>
            </w:pPr>
            <w:r w:rsidRPr="00C56257">
              <w:rPr>
                <w:color w:val="000000" w:themeColor="text1"/>
                <w:lang w:eastAsia="ro-RO"/>
              </w:rPr>
              <w:t>ROSCI0125</w:t>
            </w:r>
          </w:p>
        </w:tc>
        <w:tc>
          <w:tcPr>
            <w:tcW w:w="2499" w:type="pct"/>
          </w:tcPr>
          <w:p w14:paraId="596E5A10" w14:textId="77777777" w:rsidR="004C3D75" w:rsidRPr="00C56257" w:rsidRDefault="004C3D75" w:rsidP="008E33FD">
            <w:pPr>
              <w:jc w:val="both"/>
              <w:rPr>
                <w:color w:val="000000" w:themeColor="text1"/>
                <w:lang w:eastAsia="ro-RO"/>
              </w:rPr>
            </w:pPr>
            <w:r w:rsidRPr="00C56257">
              <w:rPr>
                <w:color w:val="000000" w:themeColor="text1"/>
                <w:lang w:eastAsia="ro-RO"/>
              </w:rPr>
              <w:t>Munții Rodnei</w:t>
            </w:r>
          </w:p>
        </w:tc>
      </w:tr>
      <w:tr w:rsidR="004C3D75" w:rsidRPr="00C56257" w14:paraId="4D54115D" w14:textId="77777777" w:rsidTr="004C3D75">
        <w:trPr>
          <w:tblCellSpacing w:w="0" w:type="dxa"/>
        </w:trPr>
        <w:tc>
          <w:tcPr>
            <w:tcW w:w="655" w:type="pct"/>
          </w:tcPr>
          <w:p w14:paraId="0D45159F"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2E5B35BA"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7C28E68D" w14:textId="77777777" w:rsidR="004C3D75" w:rsidRPr="00C56257" w:rsidRDefault="004C3D75" w:rsidP="008E33FD">
            <w:pPr>
              <w:jc w:val="both"/>
              <w:rPr>
                <w:color w:val="000000" w:themeColor="text1"/>
                <w:lang w:eastAsia="ro-RO"/>
              </w:rPr>
            </w:pPr>
            <w:r w:rsidRPr="00C56257">
              <w:rPr>
                <w:color w:val="000000" w:themeColor="text1"/>
                <w:lang w:eastAsia="ro-RO"/>
              </w:rPr>
              <w:t>ROSCI0062</w:t>
            </w:r>
          </w:p>
        </w:tc>
        <w:tc>
          <w:tcPr>
            <w:tcW w:w="2499" w:type="pct"/>
          </w:tcPr>
          <w:p w14:paraId="4821A216" w14:textId="77777777" w:rsidR="004C3D75" w:rsidRPr="00C56257" w:rsidRDefault="004C3D75" w:rsidP="008E33FD">
            <w:pPr>
              <w:jc w:val="both"/>
              <w:rPr>
                <w:color w:val="000000" w:themeColor="text1"/>
                <w:lang w:eastAsia="ro-RO"/>
              </w:rPr>
            </w:pPr>
            <w:r w:rsidRPr="00C56257">
              <w:rPr>
                <w:color w:val="000000" w:themeColor="text1"/>
                <w:lang w:eastAsia="ro-RO"/>
              </w:rPr>
              <w:t>Defileul Crișului Repede - Pădurea Craiului</w:t>
            </w:r>
          </w:p>
        </w:tc>
      </w:tr>
      <w:tr w:rsidR="004C3D75" w:rsidRPr="00C56257" w14:paraId="493F614E" w14:textId="77777777" w:rsidTr="004C3D75">
        <w:trPr>
          <w:tblCellSpacing w:w="0" w:type="dxa"/>
        </w:trPr>
        <w:tc>
          <w:tcPr>
            <w:tcW w:w="655" w:type="pct"/>
          </w:tcPr>
          <w:p w14:paraId="2D2B01CA"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65F07686"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54FFF235" w14:textId="77777777" w:rsidR="004C3D75" w:rsidRPr="00C56257" w:rsidRDefault="004C3D75" w:rsidP="008E33FD">
            <w:pPr>
              <w:jc w:val="both"/>
              <w:rPr>
                <w:color w:val="000000" w:themeColor="text1"/>
                <w:lang w:eastAsia="ro-RO"/>
              </w:rPr>
            </w:pPr>
            <w:r w:rsidRPr="00C56257">
              <w:rPr>
                <w:color w:val="000000" w:themeColor="text1"/>
                <w:lang w:eastAsia="ro-RO"/>
              </w:rPr>
              <w:t>ROSCI0201</w:t>
            </w:r>
          </w:p>
        </w:tc>
        <w:tc>
          <w:tcPr>
            <w:tcW w:w="2499" w:type="pct"/>
          </w:tcPr>
          <w:p w14:paraId="79FBBAEF" w14:textId="77777777" w:rsidR="004C3D75" w:rsidRPr="00C56257" w:rsidRDefault="004C3D75" w:rsidP="008E33FD">
            <w:pPr>
              <w:jc w:val="both"/>
              <w:rPr>
                <w:color w:val="000000" w:themeColor="text1"/>
                <w:lang w:eastAsia="ro-RO"/>
              </w:rPr>
            </w:pPr>
            <w:r w:rsidRPr="00C56257">
              <w:rPr>
                <w:color w:val="000000" w:themeColor="text1"/>
                <w:lang w:eastAsia="ro-RO"/>
              </w:rPr>
              <w:t>Podișul Nord Dobrogean</w:t>
            </w:r>
          </w:p>
        </w:tc>
      </w:tr>
      <w:tr w:rsidR="004C3D75" w:rsidRPr="00C56257" w14:paraId="4E55C3A3" w14:textId="77777777" w:rsidTr="004C3D75">
        <w:trPr>
          <w:tblCellSpacing w:w="0" w:type="dxa"/>
        </w:trPr>
        <w:tc>
          <w:tcPr>
            <w:tcW w:w="655" w:type="pct"/>
          </w:tcPr>
          <w:p w14:paraId="1F84B831"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419AF4E3"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70B16E12" w14:textId="77777777" w:rsidR="004C3D75" w:rsidRPr="00C56257" w:rsidRDefault="004C3D75" w:rsidP="008E33FD">
            <w:pPr>
              <w:jc w:val="both"/>
              <w:rPr>
                <w:color w:val="000000" w:themeColor="text1"/>
                <w:lang w:eastAsia="ro-RO"/>
              </w:rPr>
            </w:pPr>
            <w:r w:rsidRPr="00C56257">
              <w:rPr>
                <w:color w:val="000000" w:themeColor="text1"/>
                <w:lang w:eastAsia="ro-RO"/>
              </w:rPr>
              <w:t>ROSCI0036</w:t>
            </w:r>
          </w:p>
        </w:tc>
        <w:tc>
          <w:tcPr>
            <w:tcW w:w="2499" w:type="pct"/>
          </w:tcPr>
          <w:p w14:paraId="61D89EED" w14:textId="77777777" w:rsidR="004C3D75" w:rsidRPr="00C56257" w:rsidRDefault="004C3D75" w:rsidP="008E33FD">
            <w:pPr>
              <w:jc w:val="both"/>
              <w:rPr>
                <w:color w:val="000000" w:themeColor="text1"/>
                <w:lang w:eastAsia="ro-RO"/>
              </w:rPr>
            </w:pPr>
            <w:r w:rsidRPr="00C56257">
              <w:rPr>
                <w:color w:val="000000" w:themeColor="text1"/>
                <w:lang w:eastAsia="ro-RO"/>
              </w:rPr>
              <w:t>Cheile Vârghișului</w:t>
            </w:r>
          </w:p>
        </w:tc>
      </w:tr>
      <w:tr w:rsidR="004C3D75" w:rsidRPr="00C56257" w14:paraId="5A2D8E91" w14:textId="77777777" w:rsidTr="004C3D75">
        <w:trPr>
          <w:tblCellSpacing w:w="0" w:type="dxa"/>
        </w:trPr>
        <w:tc>
          <w:tcPr>
            <w:tcW w:w="655" w:type="pct"/>
          </w:tcPr>
          <w:p w14:paraId="4B3F2060"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4FC9ECBF"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hideMark/>
          </w:tcPr>
          <w:p w14:paraId="108C4E7B" w14:textId="77777777" w:rsidR="004C3D75" w:rsidRPr="00C56257" w:rsidRDefault="004C3D75" w:rsidP="008E33FD">
            <w:pPr>
              <w:jc w:val="both"/>
              <w:rPr>
                <w:color w:val="000000" w:themeColor="text1"/>
                <w:lang w:eastAsia="ro-RO"/>
              </w:rPr>
            </w:pPr>
            <w:r w:rsidRPr="00C56257">
              <w:rPr>
                <w:color w:val="000000" w:themeColor="text1"/>
                <w:lang w:eastAsia="ro-RO"/>
              </w:rPr>
              <w:t>ROSCI0236</w:t>
            </w:r>
          </w:p>
        </w:tc>
        <w:tc>
          <w:tcPr>
            <w:tcW w:w="2499" w:type="pct"/>
          </w:tcPr>
          <w:p w14:paraId="71AB7828" w14:textId="77777777" w:rsidR="004C3D75" w:rsidRPr="00C56257" w:rsidRDefault="004C3D75" w:rsidP="008E33FD">
            <w:pPr>
              <w:jc w:val="both"/>
              <w:rPr>
                <w:color w:val="000000" w:themeColor="text1"/>
                <w:lang w:eastAsia="ro-RO"/>
              </w:rPr>
            </w:pPr>
            <w:r w:rsidRPr="00C56257">
              <w:rPr>
                <w:color w:val="000000" w:themeColor="text1"/>
                <w:lang w:eastAsia="ro-RO"/>
              </w:rPr>
              <w:t>Strei - Hațeg</w:t>
            </w:r>
          </w:p>
        </w:tc>
      </w:tr>
      <w:tr w:rsidR="004C3D75" w:rsidRPr="00C56257" w14:paraId="3DC4A2DC" w14:textId="77777777" w:rsidTr="004C3D75">
        <w:trPr>
          <w:tblCellSpacing w:w="0" w:type="dxa"/>
        </w:trPr>
        <w:tc>
          <w:tcPr>
            <w:tcW w:w="655" w:type="pct"/>
          </w:tcPr>
          <w:p w14:paraId="20C32A38"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tcPr>
          <w:p w14:paraId="7A375C24"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tcPr>
          <w:p w14:paraId="38D6BAF4" w14:textId="77777777" w:rsidR="004C3D75" w:rsidRPr="00C56257" w:rsidRDefault="004C3D75" w:rsidP="008E33FD">
            <w:pPr>
              <w:jc w:val="both"/>
              <w:rPr>
                <w:color w:val="000000" w:themeColor="text1"/>
                <w:lang w:eastAsia="ro-RO"/>
              </w:rPr>
            </w:pPr>
            <w:r w:rsidRPr="00C56257">
              <w:rPr>
                <w:color w:val="000000" w:themeColor="text1"/>
                <w:lang w:eastAsia="ro-RO"/>
              </w:rPr>
              <w:t>ROSCI0027</w:t>
            </w:r>
          </w:p>
        </w:tc>
        <w:tc>
          <w:tcPr>
            <w:tcW w:w="2499" w:type="pct"/>
          </w:tcPr>
          <w:p w14:paraId="20CEEF72" w14:textId="77777777" w:rsidR="004C3D75" w:rsidRPr="00C56257" w:rsidRDefault="004C3D75" w:rsidP="008E33FD">
            <w:pPr>
              <w:jc w:val="both"/>
              <w:rPr>
                <w:color w:val="000000" w:themeColor="text1"/>
                <w:lang w:eastAsia="ro-RO"/>
              </w:rPr>
            </w:pPr>
            <w:r w:rsidRPr="00C56257">
              <w:rPr>
                <w:color w:val="000000" w:themeColor="text1"/>
                <w:lang w:eastAsia="ro-RO"/>
              </w:rPr>
              <w:t>Cheile Bicazului–Hăşmaş</w:t>
            </w:r>
          </w:p>
        </w:tc>
      </w:tr>
      <w:tr w:rsidR="004C3D75" w:rsidRPr="00C56257" w14:paraId="14FA0562" w14:textId="77777777" w:rsidTr="004C3D75">
        <w:trPr>
          <w:tblCellSpacing w:w="0" w:type="dxa"/>
        </w:trPr>
        <w:tc>
          <w:tcPr>
            <w:tcW w:w="655" w:type="pct"/>
          </w:tcPr>
          <w:p w14:paraId="3BA89F79"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tcPr>
          <w:p w14:paraId="4EFABEB8"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tcPr>
          <w:p w14:paraId="047389EA" w14:textId="77777777" w:rsidR="004C3D75" w:rsidRPr="00C56257" w:rsidRDefault="004C3D75" w:rsidP="008E33FD">
            <w:pPr>
              <w:jc w:val="both"/>
              <w:rPr>
                <w:color w:val="000000" w:themeColor="text1"/>
                <w:lang w:eastAsia="ro-RO"/>
              </w:rPr>
            </w:pPr>
            <w:r w:rsidRPr="00C56257">
              <w:rPr>
                <w:color w:val="000000" w:themeColor="text1"/>
                <w:lang w:eastAsia="ro-RO"/>
              </w:rPr>
              <w:t>ROSCI0042</w:t>
            </w:r>
          </w:p>
        </w:tc>
        <w:tc>
          <w:tcPr>
            <w:tcW w:w="2499" w:type="pct"/>
          </w:tcPr>
          <w:p w14:paraId="5F7E8D27" w14:textId="77777777" w:rsidR="004C3D75" w:rsidRPr="00C56257" w:rsidRDefault="004C3D75" w:rsidP="008E33FD">
            <w:pPr>
              <w:jc w:val="both"/>
              <w:rPr>
                <w:color w:val="000000" w:themeColor="text1"/>
                <w:lang w:eastAsia="ro-RO"/>
              </w:rPr>
            </w:pPr>
            <w:r w:rsidRPr="00C56257">
              <w:rPr>
                <w:color w:val="000000" w:themeColor="text1"/>
                <w:lang w:eastAsia="ro-RO"/>
              </w:rPr>
              <w:t>Codru Moma</w:t>
            </w:r>
          </w:p>
        </w:tc>
      </w:tr>
      <w:tr w:rsidR="004C3D75" w:rsidRPr="00C56257" w14:paraId="1B47FCED" w14:textId="77777777" w:rsidTr="004C3D75">
        <w:trPr>
          <w:tblCellSpacing w:w="0" w:type="dxa"/>
        </w:trPr>
        <w:tc>
          <w:tcPr>
            <w:tcW w:w="655" w:type="pct"/>
          </w:tcPr>
          <w:p w14:paraId="56AD4FE0"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tcPr>
          <w:p w14:paraId="51DE24F5"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tcPr>
          <w:p w14:paraId="523CAA03" w14:textId="77777777" w:rsidR="004C3D75" w:rsidRPr="00C56257" w:rsidRDefault="004C3D75" w:rsidP="008E33FD">
            <w:pPr>
              <w:jc w:val="both"/>
              <w:rPr>
                <w:color w:val="000000" w:themeColor="text1"/>
                <w:lang w:eastAsia="ro-RO"/>
              </w:rPr>
            </w:pPr>
            <w:r w:rsidRPr="00C56257">
              <w:rPr>
                <w:color w:val="000000" w:themeColor="text1"/>
                <w:lang w:eastAsia="ro-RO"/>
              </w:rPr>
              <w:t>ROSCI0128</w:t>
            </w:r>
          </w:p>
        </w:tc>
        <w:tc>
          <w:tcPr>
            <w:tcW w:w="2499" w:type="pct"/>
          </w:tcPr>
          <w:p w14:paraId="7C531B37" w14:textId="77777777" w:rsidR="004C3D75" w:rsidRPr="00C56257" w:rsidRDefault="004C3D75" w:rsidP="008E33FD">
            <w:pPr>
              <w:jc w:val="both"/>
              <w:rPr>
                <w:color w:val="000000" w:themeColor="text1"/>
                <w:lang w:eastAsia="ro-RO"/>
              </w:rPr>
            </w:pPr>
            <w:r w:rsidRPr="00C56257">
              <w:rPr>
                <w:color w:val="000000" w:themeColor="text1"/>
                <w:lang w:eastAsia="ro-RO"/>
              </w:rPr>
              <w:t>Nordul Gorjului de Est</w:t>
            </w:r>
          </w:p>
        </w:tc>
      </w:tr>
      <w:tr w:rsidR="004C3D75" w:rsidRPr="00C56257" w14:paraId="1C43A58F" w14:textId="77777777" w:rsidTr="004C3D75">
        <w:trPr>
          <w:tblCellSpacing w:w="0" w:type="dxa"/>
        </w:trPr>
        <w:tc>
          <w:tcPr>
            <w:tcW w:w="655" w:type="pct"/>
          </w:tcPr>
          <w:p w14:paraId="33BED1F6"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tcPr>
          <w:p w14:paraId="3A89973F"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tcPr>
          <w:p w14:paraId="4B7C0D4C" w14:textId="77777777" w:rsidR="004C3D75" w:rsidRPr="00C56257" w:rsidRDefault="004C3D75" w:rsidP="008E33FD">
            <w:pPr>
              <w:jc w:val="both"/>
              <w:rPr>
                <w:color w:val="000000" w:themeColor="text1"/>
                <w:lang w:eastAsia="ro-RO"/>
              </w:rPr>
            </w:pPr>
            <w:r w:rsidRPr="00C56257">
              <w:rPr>
                <w:color w:val="000000" w:themeColor="text1"/>
                <w:lang w:eastAsia="ro-RO"/>
              </w:rPr>
              <w:t>ROSCI0129</w:t>
            </w:r>
          </w:p>
        </w:tc>
        <w:tc>
          <w:tcPr>
            <w:tcW w:w="2499" w:type="pct"/>
          </w:tcPr>
          <w:p w14:paraId="71170C66" w14:textId="77777777" w:rsidR="004C3D75" w:rsidRPr="00C56257" w:rsidRDefault="004C3D75" w:rsidP="008E33FD">
            <w:pPr>
              <w:jc w:val="both"/>
              <w:rPr>
                <w:color w:val="000000" w:themeColor="text1"/>
                <w:lang w:eastAsia="ro-RO"/>
              </w:rPr>
            </w:pPr>
            <w:r w:rsidRPr="00C56257">
              <w:rPr>
                <w:color w:val="000000" w:themeColor="text1"/>
                <w:lang w:eastAsia="ro-RO"/>
              </w:rPr>
              <w:t>Nordul Gorjului de Vest</w:t>
            </w:r>
          </w:p>
        </w:tc>
      </w:tr>
      <w:tr w:rsidR="004C3D75" w:rsidRPr="00C56257" w14:paraId="726E4E19" w14:textId="77777777" w:rsidTr="004C3D75">
        <w:trPr>
          <w:trHeight w:val="303"/>
          <w:tblCellSpacing w:w="0" w:type="dxa"/>
        </w:trPr>
        <w:tc>
          <w:tcPr>
            <w:tcW w:w="655" w:type="pct"/>
          </w:tcPr>
          <w:p w14:paraId="6A332634"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tcPr>
          <w:p w14:paraId="474D8F21"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tcPr>
          <w:p w14:paraId="0578B098" w14:textId="77777777" w:rsidR="004C3D75" w:rsidRPr="00C56257" w:rsidRDefault="004C3D75" w:rsidP="008E33FD">
            <w:pPr>
              <w:jc w:val="both"/>
              <w:rPr>
                <w:color w:val="000000" w:themeColor="text1"/>
                <w:lang w:eastAsia="ro-RO"/>
              </w:rPr>
            </w:pPr>
            <w:r w:rsidRPr="00C56257">
              <w:rPr>
                <w:color w:val="000000" w:themeColor="text1"/>
                <w:lang w:eastAsia="ro-RO"/>
              </w:rPr>
              <w:t xml:space="preserve">ROSCI0192 </w:t>
            </w:r>
          </w:p>
        </w:tc>
        <w:tc>
          <w:tcPr>
            <w:tcW w:w="2499" w:type="pct"/>
          </w:tcPr>
          <w:p w14:paraId="021B7543" w14:textId="77777777" w:rsidR="004C3D75" w:rsidRPr="00C56257" w:rsidRDefault="004C3D75" w:rsidP="008E33FD">
            <w:pPr>
              <w:jc w:val="both"/>
              <w:rPr>
                <w:color w:val="000000" w:themeColor="text1"/>
                <w:lang w:eastAsia="ro-RO"/>
              </w:rPr>
            </w:pPr>
            <w:r w:rsidRPr="00C56257">
              <w:rPr>
                <w:color w:val="000000" w:themeColor="text1"/>
                <w:lang w:eastAsia="ro-RO"/>
              </w:rPr>
              <w:t>Pestera Magurici</w:t>
            </w:r>
          </w:p>
        </w:tc>
      </w:tr>
      <w:tr w:rsidR="004C3D75" w:rsidRPr="00C56257" w14:paraId="2FE967DC" w14:textId="77777777" w:rsidTr="004C3D75">
        <w:trPr>
          <w:tblCellSpacing w:w="0" w:type="dxa"/>
        </w:trPr>
        <w:tc>
          <w:tcPr>
            <w:tcW w:w="655" w:type="pct"/>
          </w:tcPr>
          <w:p w14:paraId="0CB70F39"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tcPr>
          <w:p w14:paraId="65CFA4BE"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tcPr>
          <w:p w14:paraId="69EFFF36" w14:textId="77777777" w:rsidR="004C3D75" w:rsidRPr="00C56257" w:rsidRDefault="004C3D75" w:rsidP="008E33FD">
            <w:pPr>
              <w:jc w:val="both"/>
              <w:rPr>
                <w:color w:val="000000" w:themeColor="text1"/>
                <w:lang w:eastAsia="ro-RO"/>
              </w:rPr>
            </w:pPr>
            <w:r w:rsidRPr="00C56257">
              <w:rPr>
                <w:color w:val="000000" w:themeColor="text1"/>
                <w:lang w:eastAsia="ro-RO"/>
              </w:rPr>
              <w:t>ROSCI0193</w:t>
            </w:r>
          </w:p>
        </w:tc>
        <w:tc>
          <w:tcPr>
            <w:tcW w:w="2499" w:type="pct"/>
          </w:tcPr>
          <w:p w14:paraId="371EB3ED" w14:textId="77777777" w:rsidR="004C3D75" w:rsidRPr="00C56257" w:rsidRDefault="004C3D75" w:rsidP="008E33FD">
            <w:pPr>
              <w:jc w:val="both"/>
              <w:rPr>
                <w:color w:val="000000" w:themeColor="text1"/>
                <w:lang w:eastAsia="ro-RO"/>
              </w:rPr>
            </w:pPr>
            <w:r w:rsidRPr="00C56257">
              <w:rPr>
                <w:color w:val="000000" w:themeColor="text1"/>
                <w:lang w:eastAsia="ro-RO"/>
              </w:rPr>
              <w:t>Peştera Tăuşoare</w:t>
            </w:r>
          </w:p>
        </w:tc>
      </w:tr>
      <w:tr w:rsidR="004C3D75" w:rsidRPr="00C56257" w14:paraId="3142D88B" w14:textId="77777777" w:rsidTr="004C3D75">
        <w:trPr>
          <w:tblCellSpacing w:w="0" w:type="dxa"/>
        </w:trPr>
        <w:tc>
          <w:tcPr>
            <w:tcW w:w="655" w:type="pct"/>
          </w:tcPr>
          <w:p w14:paraId="284237D1"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tcPr>
          <w:p w14:paraId="0F641F0D"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tcPr>
          <w:p w14:paraId="0F07EC33" w14:textId="77777777" w:rsidR="004C3D75" w:rsidRPr="00C56257" w:rsidRDefault="004C3D75" w:rsidP="008E33FD">
            <w:pPr>
              <w:jc w:val="both"/>
              <w:rPr>
                <w:color w:val="000000" w:themeColor="text1"/>
                <w:lang w:eastAsia="ro-RO"/>
              </w:rPr>
            </w:pPr>
            <w:r w:rsidRPr="00C56257">
              <w:rPr>
                <w:color w:val="000000" w:themeColor="text1"/>
                <w:lang w:eastAsia="ro-RO"/>
              </w:rPr>
              <w:t>ROSCI0253</w:t>
            </w:r>
          </w:p>
        </w:tc>
        <w:tc>
          <w:tcPr>
            <w:tcW w:w="2499" w:type="pct"/>
          </w:tcPr>
          <w:p w14:paraId="3DFD1607" w14:textId="77777777" w:rsidR="004C3D75" w:rsidRPr="00C56257" w:rsidRDefault="004C3D75" w:rsidP="008E33FD">
            <w:pPr>
              <w:jc w:val="both"/>
              <w:rPr>
                <w:color w:val="000000" w:themeColor="text1"/>
                <w:lang w:eastAsia="ro-RO"/>
              </w:rPr>
            </w:pPr>
            <w:r w:rsidRPr="00C56257">
              <w:rPr>
                <w:color w:val="000000" w:themeColor="text1"/>
                <w:lang w:eastAsia="ro-RO"/>
              </w:rPr>
              <w:t>Trascău</w:t>
            </w:r>
          </w:p>
        </w:tc>
      </w:tr>
      <w:tr w:rsidR="004C3D75" w:rsidRPr="00C56257" w14:paraId="73C67A67" w14:textId="77777777" w:rsidTr="004C3D75">
        <w:trPr>
          <w:tblCellSpacing w:w="0" w:type="dxa"/>
        </w:trPr>
        <w:tc>
          <w:tcPr>
            <w:tcW w:w="655" w:type="pct"/>
          </w:tcPr>
          <w:p w14:paraId="6C7A29B4"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tcPr>
          <w:p w14:paraId="259EDD19"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tcPr>
          <w:p w14:paraId="5A94C18D" w14:textId="77777777" w:rsidR="004C3D75" w:rsidRPr="00C56257" w:rsidRDefault="004C3D75" w:rsidP="008E33FD">
            <w:pPr>
              <w:jc w:val="both"/>
              <w:rPr>
                <w:color w:val="000000" w:themeColor="text1"/>
                <w:lang w:eastAsia="ro-RO"/>
              </w:rPr>
            </w:pPr>
            <w:r w:rsidRPr="00C56257">
              <w:rPr>
                <w:color w:val="000000" w:themeColor="text1"/>
                <w:lang w:eastAsia="ro-RO"/>
              </w:rPr>
              <w:t xml:space="preserve">ROSCI0328 </w:t>
            </w:r>
          </w:p>
        </w:tc>
        <w:tc>
          <w:tcPr>
            <w:tcW w:w="2499" w:type="pct"/>
          </w:tcPr>
          <w:p w14:paraId="17D22447" w14:textId="77777777" w:rsidR="004C3D75" w:rsidRPr="00C56257" w:rsidRDefault="004C3D75" w:rsidP="008E33FD">
            <w:pPr>
              <w:jc w:val="both"/>
              <w:rPr>
                <w:color w:val="000000" w:themeColor="text1"/>
                <w:lang w:eastAsia="ro-RO"/>
              </w:rPr>
            </w:pPr>
            <w:r w:rsidRPr="00C56257">
              <w:rPr>
                <w:color w:val="000000" w:themeColor="text1"/>
                <w:lang w:eastAsia="ro-RO"/>
              </w:rPr>
              <w:t>Obcinele Bucovinei</w:t>
            </w:r>
          </w:p>
        </w:tc>
      </w:tr>
      <w:tr w:rsidR="004C3D75" w:rsidRPr="00C56257" w14:paraId="516ABAFC" w14:textId="77777777" w:rsidTr="004C3D75">
        <w:trPr>
          <w:tblCellSpacing w:w="0" w:type="dxa"/>
        </w:trPr>
        <w:tc>
          <w:tcPr>
            <w:tcW w:w="655" w:type="pct"/>
          </w:tcPr>
          <w:p w14:paraId="2052AD9E"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tcPr>
          <w:p w14:paraId="1EDB44F7"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tcPr>
          <w:p w14:paraId="5CF184E8" w14:textId="77777777" w:rsidR="004C3D75" w:rsidRPr="00C56257" w:rsidRDefault="004C3D75" w:rsidP="008E33FD">
            <w:pPr>
              <w:jc w:val="both"/>
              <w:rPr>
                <w:color w:val="000000" w:themeColor="text1"/>
                <w:lang w:eastAsia="ro-RO"/>
              </w:rPr>
            </w:pPr>
            <w:r w:rsidRPr="00C56257">
              <w:rPr>
                <w:color w:val="000000" w:themeColor="text1"/>
                <w:lang w:eastAsia="ro-RO"/>
              </w:rPr>
              <w:t>ROSCI0352</w:t>
            </w:r>
          </w:p>
        </w:tc>
        <w:tc>
          <w:tcPr>
            <w:tcW w:w="2499" w:type="pct"/>
          </w:tcPr>
          <w:p w14:paraId="38849591" w14:textId="77777777" w:rsidR="004C3D75" w:rsidRPr="00C56257" w:rsidRDefault="004C3D75" w:rsidP="008E33FD">
            <w:pPr>
              <w:jc w:val="both"/>
              <w:rPr>
                <w:color w:val="000000" w:themeColor="text1"/>
                <w:lang w:eastAsia="ro-RO"/>
              </w:rPr>
            </w:pPr>
            <w:r w:rsidRPr="00C56257">
              <w:rPr>
                <w:color w:val="000000" w:themeColor="text1"/>
                <w:lang w:eastAsia="ro-RO"/>
              </w:rPr>
              <w:t>Perşani</w:t>
            </w:r>
          </w:p>
        </w:tc>
      </w:tr>
      <w:tr w:rsidR="004C3D75" w:rsidRPr="00C56257" w14:paraId="2356E440" w14:textId="77777777" w:rsidTr="004C3D75">
        <w:trPr>
          <w:tblCellSpacing w:w="0" w:type="dxa"/>
        </w:trPr>
        <w:tc>
          <w:tcPr>
            <w:tcW w:w="655" w:type="pct"/>
          </w:tcPr>
          <w:p w14:paraId="06943130"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tcPr>
          <w:p w14:paraId="7E2FB788"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tcPr>
          <w:p w14:paraId="07A0C5FC" w14:textId="77777777" w:rsidR="004C3D75" w:rsidRPr="00C56257" w:rsidRDefault="004C3D75" w:rsidP="008E33FD">
            <w:pPr>
              <w:jc w:val="both"/>
              <w:rPr>
                <w:color w:val="000000" w:themeColor="text1"/>
                <w:lang w:eastAsia="ro-RO"/>
              </w:rPr>
            </w:pPr>
            <w:r w:rsidRPr="00C56257">
              <w:rPr>
                <w:color w:val="000000" w:themeColor="text1"/>
                <w:lang w:eastAsia="ro-RO"/>
              </w:rPr>
              <w:t>ROSCI0355</w:t>
            </w:r>
          </w:p>
        </w:tc>
        <w:tc>
          <w:tcPr>
            <w:tcW w:w="2499" w:type="pct"/>
          </w:tcPr>
          <w:p w14:paraId="3DD8057A" w14:textId="77777777" w:rsidR="004C3D75" w:rsidRPr="00C56257" w:rsidRDefault="004C3D75" w:rsidP="008E33FD">
            <w:pPr>
              <w:jc w:val="both"/>
              <w:rPr>
                <w:color w:val="000000" w:themeColor="text1"/>
                <w:lang w:eastAsia="ro-RO"/>
              </w:rPr>
            </w:pPr>
            <w:r w:rsidRPr="00C56257">
              <w:rPr>
                <w:color w:val="000000" w:themeColor="text1"/>
                <w:lang w:eastAsia="ro-RO"/>
              </w:rPr>
              <w:t>Podișul Lipovei - Poiana Ruscă</w:t>
            </w:r>
          </w:p>
        </w:tc>
      </w:tr>
      <w:tr w:rsidR="004C3D75" w:rsidRPr="00C56257" w14:paraId="56CD2B94" w14:textId="77777777" w:rsidTr="004C3D75">
        <w:trPr>
          <w:tblCellSpacing w:w="0" w:type="dxa"/>
        </w:trPr>
        <w:tc>
          <w:tcPr>
            <w:tcW w:w="655" w:type="pct"/>
          </w:tcPr>
          <w:p w14:paraId="577F374D"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tcPr>
          <w:p w14:paraId="46796CD3" w14:textId="77777777" w:rsidR="004C3D75" w:rsidRPr="00C56257" w:rsidRDefault="004C3D75" w:rsidP="008E33FD">
            <w:pPr>
              <w:jc w:val="both"/>
              <w:rPr>
                <w:color w:val="000000" w:themeColor="text1"/>
                <w:lang w:eastAsia="ro-RO"/>
              </w:rPr>
            </w:pPr>
            <w:r w:rsidRPr="00C56257">
              <w:rPr>
                <w:color w:val="000000" w:themeColor="text1"/>
                <w:lang w:eastAsia="ro-RO"/>
              </w:rPr>
              <w:t>8310</w:t>
            </w:r>
          </w:p>
        </w:tc>
        <w:tc>
          <w:tcPr>
            <w:tcW w:w="1179" w:type="pct"/>
            <w:shd w:val="clear" w:color="auto" w:fill="auto"/>
          </w:tcPr>
          <w:p w14:paraId="3B50AB0D" w14:textId="77777777" w:rsidR="004C3D75" w:rsidRPr="00C56257" w:rsidRDefault="004C3D75" w:rsidP="008E33FD">
            <w:pPr>
              <w:jc w:val="both"/>
              <w:rPr>
                <w:color w:val="000000" w:themeColor="text1"/>
                <w:lang w:eastAsia="ro-RO"/>
              </w:rPr>
            </w:pPr>
            <w:r w:rsidRPr="00C56257">
              <w:rPr>
                <w:color w:val="000000" w:themeColor="text1"/>
                <w:lang w:eastAsia="ro-RO"/>
              </w:rPr>
              <w:t xml:space="preserve">ROSCI0375 </w:t>
            </w:r>
          </w:p>
        </w:tc>
        <w:tc>
          <w:tcPr>
            <w:tcW w:w="2499" w:type="pct"/>
          </w:tcPr>
          <w:p w14:paraId="20BEE7BE" w14:textId="77777777" w:rsidR="004C3D75" w:rsidRPr="00C56257" w:rsidRDefault="004C3D75" w:rsidP="008E33FD">
            <w:pPr>
              <w:jc w:val="both"/>
              <w:rPr>
                <w:color w:val="000000" w:themeColor="text1"/>
                <w:lang w:eastAsia="ro-RO"/>
              </w:rPr>
            </w:pPr>
            <w:r w:rsidRPr="00C56257">
              <w:rPr>
                <w:color w:val="000000" w:themeColor="text1"/>
                <w:lang w:eastAsia="ro-RO"/>
              </w:rPr>
              <w:t>Munţii Metaliferi</w:t>
            </w:r>
          </w:p>
        </w:tc>
      </w:tr>
      <w:tr w:rsidR="004C3D75" w:rsidRPr="00C56257" w14:paraId="1A8AC16F" w14:textId="77777777" w:rsidTr="004C3D75">
        <w:trPr>
          <w:tblCellSpacing w:w="0" w:type="dxa"/>
        </w:trPr>
        <w:tc>
          <w:tcPr>
            <w:tcW w:w="655" w:type="pct"/>
          </w:tcPr>
          <w:p w14:paraId="180DB884"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616C5B12" w14:textId="77777777" w:rsidR="004C3D75" w:rsidRPr="00C56257" w:rsidRDefault="004C3D75" w:rsidP="008E33FD">
            <w:pPr>
              <w:jc w:val="both"/>
              <w:rPr>
                <w:color w:val="000000" w:themeColor="text1"/>
                <w:lang w:eastAsia="ro-RO"/>
              </w:rPr>
            </w:pPr>
            <w:r w:rsidRPr="00C56257">
              <w:rPr>
                <w:color w:val="000000" w:themeColor="text1"/>
                <w:lang w:eastAsia="ro-RO"/>
              </w:rPr>
              <w:t>8330</w:t>
            </w:r>
          </w:p>
        </w:tc>
        <w:tc>
          <w:tcPr>
            <w:tcW w:w="1179" w:type="pct"/>
            <w:shd w:val="clear" w:color="auto" w:fill="auto"/>
            <w:hideMark/>
          </w:tcPr>
          <w:p w14:paraId="14EEA772" w14:textId="77777777" w:rsidR="004C3D75" w:rsidRPr="00C56257" w:rsidRDefault="004C3D75" w:rsidP="008E33FD">
            <w:pPr>
              <w:jc w:val="both"/>
              <w:rPr>
                <w:color w:val="000000" w:themeColor="text1"/>
                <w:lang w:eastAsia="ro-RO"/>
              </w:rPr>
            </w:pPr>
            <w:r w:rsidRPr="00C56257">
              <w:rPr>
                <w:color w:val="000000" w:themeColor="text1"/>
                <w:lang w:eastAsia="ro-RO"/>
              </w:rPr>
              <w:t>ROSCI0273</w:t>
            </w:r>
          </w:p>
        </w:tc>
        <w:tc>
          <w:tcPr>
            <w:tcW w:w="2499" w:type="pct"/>
          </w:tcPr>
          <w:p w14:paraId="229A7517" w14:textId="77777777" w:rsidR="004C3D75" w:rsidRPr="00C56257" w:rsidRDefault="004C3D75" w:rsidP="008E33FD">
            <w:pPr>
              <w:jc w:val="both"/>
              <w:rPr>
                <w:color w:val="000000" w:themeColor="text1"/>
                <w:lang w:eastAsia="ro-RO"/>
              </w:rPr>
            </w:pPr>
            <w:r w:rsidRPr="00C56257">
              <w:rPr>
                <w:color w:val="000000" w:themeColor="text1"/>
                <w:lang w:eastAsia="ro-RO"/>
              </w:rPr>
              <w:t>Zona marină de la Capul Tuzla</w:t>
            </w:r>
          </w:p>
        </w:tc>
      </w:tr>
      <w:tr w:rsidR="004C3D75" w:rsidRPr="00C56257" w14:paraId="21D19BFC" w14:textId="77777777" w:rsidTr="004C3D75">
        <w:trPr>
          <w:tblCellSpacing w:w="0" w:type="dxa"/>
        </w:trPr>
        <w:tc>
          <w:tcPr>
            <w:tcW w:w="655" w:type="pct"/>
          </w:tcPr>
          <w:p w14:paraId="582B7D24" w14:textId="77777777" w:rsidR="004C3D75" w:rsidRPr="00C56257" w:rsidRDefault="004C3D75" w:rsidP="009E63E5">
            <w:pPr>
              <w:numPr>
                <w:ilvl w:val="0"/>
                <w:numId w:val="158"/>
              </w:numPr>
              <w:spacing w:after="160" w:line="259" w:lineRule="auto"/>
              <w:contextualSpacing/>
              <w:jc w:val="both"/>
              <w:rPr>
                <w:color w:val="000000" w:themeColor="text1"/>
                <w:lang w:eastAsia="ro-RO"/>
              </w:rPr>
            </w:pPr>
          </w:p>
        </w:tc>
        <w:tc>
          <w:tcPr>
            <w:tcW w:w="667" w:type="pct"/>
            <w:shd w:val="clear" w:color="auto" w:fill="auto"/>
            <w:hideMark/>
          </w:tcPr>
          <w:p w14:paraId="176CA24D" w14:textId="77777777" w:rsidR="004C3D75" w:rsidRPr="00C56257" w:rsidRDefault="004C3D75" w:rsidP="008E33FD">
            <w:pPr>
              <w:jc w:val="both"/>
              <w:rPr>
                <w:color w:val="000000" w:themeColor="text1"/>
                <w:lang w:eastAsia="ro-RO"/>
              </w:rPr>
            </w:pPr>
            <w:r w:rsidRPr="00C56257">
              <w:rPr>
                <w:color w:val="000000" w:themeColor="text1"/>
                <w:lang w:eastAsia="ro-RO"/>
              </w:rPr>
              <w:t>8330</w:t>
            </w:r>
          </w:p>
        </w:tc>
        <w:tc>
          <w:tcPr>
            <w:tcW w:w="1179" w:type="pct"/>
            <w:shd w:val="clear" w:color="auto" w:fill="auto"/>
            <w:hideMark/>
          </w:tcPr>
          <w:p w14:paraId="3D9B1DBE" w14:textId="77777777" w:rsidR="004C3D75" w:rsidRPr="00C56257" w:rsidRDefault="004C3D75" w:rsidP="008E33FD">
            <w:pPr>
              <w:jc w:val="both"/>
              <w:rPr>
                <w:color w:val="000000" w:themeColor="text1"/>
                <w:lang w:eastAsia="ro-RO"/>
              </w:rPr>
            </w:pPr>
            <w:r w:rsidRPr="00C56257">
              <w:rPr>
                <w:color w:val="000000" w:themeColor="text1"/>
                <w:lang w:eastAsia="ro-RO"/>
              </w:rPr>
              <w:t>ROSCI0293</w:t>
            </w:r>
          </w:p>
        </w:tc>
        <w:tc>
          <w:tcPr>
            <w:tcW w:w="2499" w:type="pct"/>
          </w:tcPr>
          <w:p w14:paraId="02D0DD97" w14:textId="77777777" w:rsidR="004C3D75" w:rsidRPr="00C56257" w:rsidRDefault="004C3D75" w:rsidP="008E33FD">
            <w:pPr>
              <w:jc w:val="both"/>
              <w:rPr>
                <w:color w:val="000000" w:themeColor="text1"/>
                <w:lang w:eastAsia="ro-RO"/>
              </w:rPr>
            </w:pPr>
            <w:r w:rsidRPr="00C56257">
              <w:rPr>
                <w:color w:val="000000" w:themeColor="text1"/>
                <w:lang w:eastAsia="ro-RO"/>
              </w:rPr>
              <w:t>Costinesti - 23 August</w:t>
            </w:r>
          </w:p>
        </w:tc>
      </w:tr>
    </w:tbl>
    <w:p w14:paraId="0159D9E3" w14:textId="77777777" w:rsidR="004C3D75" w:rsidRPr="00F100E1" w:rsidRDefault="004C3D75" w:rsidP="008E33FD">
      <w:pPr>
        <w:spacing w:after="160" w:line="259" w:lineRule="auto"/>
        <w:jc w:val="both"/>
        <w:rPr>
          <w:b/>
          <w:color w:val="000000" w:themeColor="text1"/>
        </w:rPr>
      </w:pPr>
    </w:p>
    <w:p w14:paraId="6F087A95" w14:textId="77777777" w:rsidR="004C3D75" w:rsidRPr="00F100E1" w:rsidRDefault="004C3D75" w:rsidP="008E33FD">
      <w:pPr>
        <w:spacing w:after="160" w:line="259" w:lineRule="auto"/>
        <w:jc w:val="both"/>
        <w:rPr>
          <w:b/>
          <w:color w:val="000000" w:themeColor="text1"/>
        </w:rPr>
      </w:pPr>
      <w:r w:rsidRPr="00F100E1">
        <w:rPr>
          <w:b/>
          <w:color w:val="000000" w:themeColor="text1"/>
        </w:rPr>
        <w:t>V. Lista cu Presiunile și Amenințările ce acționează asupra habitatelor de  peșteri</w:t>
      </w:r>
    </w:p>
    <w:tbl>
      <w:tblPr>
        <w:tblW w:w="5000" w:type="pct"/>
        <w:tblLook w:val="04A0" w:firstRow="1" w:lastRow="0" w:firstColumn="1" w:lastColumn="0" w:noHBand="0" w:noVBand="1"/>
      </w:tblPr>
      <w:tblGrid>
        <w:gridCol w:w="924"/>
        <w:gridCol w:w="9250"/>
      </w:tblGrid>
      <w:tr w:rsidR="004C3D75" w:rsidRPr="00C56257" w14:paraId="7FCC0E95" w14:textId="77777777" w:rsidTr="004C3D75">
        <w:trPr>
          <w:trHeight w:val="300"/>
        </w:trPr>
        <w:tc>
          <w:tcPr>
            <w:tcW w:w="4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538AE9" w14:textId="77777777" w:rsidR="004C3D75" w:rsidRPr="00C56257" w:rsidRDefault="004C3D75" w:rsidP="008E33FD">
            <w:pPr>
              <w:jc w:val="both"/>
              <w:rPr>
                <w:b/>
                <w:bCs/>
                <w:color w:val="000000" w:themeColor="text1"/>
                <w:lang w:eastAsia="ro-RO"/>
              </w:rPr>
            </w:pPr>
            <w:r w:rsidRPr="00C56257">
              <w:rPr>
                <w:b/>
                <w:bCs/>
                <w:color w:val="000000" w:themeColor="text1"/>
                <w:lang w:eastAsia="ro-RO"/>
              </w:rPr>
              <w:t>Cod</w:t>
            </w:r>
          </w:p>
        </w:tc>
        <w:tc>
          <w:tcPr>
            <w:tcW w:w="4546" w:type="pct"/>
            <w:tcBorders>
              <w:top w:val="single" w:sz="4" w:space="0" w:color="auto"/>
              <w:left w:val="nil"/>
              <w:bottom w:val="single" w:sz="4" w:space="0" w:color="auto"/>
              <w:right w:val="single" w:sz="4" w:space="0" w:color="auto"/>
            </w:tcBorders>
            <w:shd w:val="clear" w:color="auto" w:fill="auto"/>
            <w:noWrap/>
            <w:vAlign w:val="bottom"/>
            <w:hideMark/>
          </w:tcPr>
          <w:p w14:paraId="2704D780" w14:textId="77777777" w:rsidR="004C3D75" w:rsidRPr="00C56257" w:rsidRDefault="004C3D75" w:rsidP="008E33FD">
            <w:pPr>
              <w:jc w:val="both"/>
              <w:rPr>
                <w:b/>
                <w:bCs/>
                <w:color w:val="000000" w:themeColor="text1"/>
                <w:lang w:eastAsia="ro-RO"/>
              </w:rPr>
            </w:pPr>
            <w:r w:rsidRPr="00C56257">
              <w:rPr>
                <w:b/>
                <w:bCs/>
                <w:color w:val="000000" w:themeColor="text1"/>
                <w:lang w:eastAsia="ro-RO"/>
              </w:rPr>
              <w:t>Denumire presiune</w:t>
            </w:r>
          </w:p>
        </w:tc>
      </w:tr>
      <w:tr w:rsidR="004C3D75" w:rsidRPr="00C54A03" w14:paraId="73EAFC00" w14:textId="77777777" w:rsidTr="004C3D75">
        <w:trPr>
          <w:trHeight w:val="300"/>
        </w:trPr>
        <w:tc>
          <w:tcPr>
            <w:tcW w:w="454" w:type="pct"/>
            <w:tcBorders>
              <w:top w:val="nil"/>
              <w:left w:val="single" w:sz="4" w:space="0" w:color="auto"/>
              <w:bottom w:val="single" w:sz="4" w:space="0" w:color="auto"/>
              <w:right w:val="single" w:sz="4" w:space="0" w:color="auto"/>
            </w:tcBorders>
            <w:shd w:val="clear" w:color="auto" w:fill="auto"/>
            <w:noWrap/>
            <w:vAlign w:val="bottom"/>
            <w:hideMark/>
          </w:tcPr>
          <w:p w14:paraId="5258561A"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A23</w:t>
            </w:r>
          </w:p>
        </w:tc>
        <w:tc>
          <w:tcPr>
            <w:tcW w:w="4546" w:type="pct"/>
            <w:tcBorders>
              <w:top w:val="nil"/>
              <w:left w:val="nil"/>
              <w:bottom w:val="single" w:sz="4" w:space="0" w:color="auto"/>
              <w:right w:val="single" w:sz="4" w:space="0" w:color="auto"/>
            </w:tcBorders>
            <w:shd w:val="clear" w:color="auto" w:fill="auto"/>
            <w:noWrap/>
            <w:vAlign w:val="bottom"/>
            <w:hideMark/>
          </w:tcPr>
          <w:p w14:paraId="21EBF38C"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Use of other pest control methods in agriculture (excluding tillage)</w:t>
            </w:r>
          </w:p>
        </w:tc>
      </w:tr>
      <w:tr w:rsidR="004C3D75" w:rsidRPr="00C54A03" w14:paraId="0CDBF833" w14:textId="77777777" w:rsidTr="004C3D75">
        <w:trPr>
          <w:trHeight w:val="300"/>
        </w:trPr>
        <w:tc>
          <w:tcPr>
            <w:tcW w:w="454" w:type="pct"/>
            <w:tcBorders>
              <w:top w:val="nil"/>
              <w:left w:val="single" w:sz="4" w:space="0" w:color="auto"/>
              <w:bottom w:val="single" w:sz="4" w:space="0" w:color="auto"/>
              <w:right w:val="single" w:sz="4" w:space="0" w:color="auto"/>
            </w:tcBorders>
            <w:shd w:val="clear" w:color="auto" w:fill="auto"/>
            <w:noWrap/>
            <w:vAlign w:val="bottom"/>
            <w:hideMark/>
          </w:tcPr>
          <w:p w14:paraId="18D28A68"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B02</w:t>
            </w:r>
          </w:p>
        </w:tc>
        <w:tc>
          <w:tcPr>
            <w:tcW w:w="4546" w:type="pct"/>
            <w:tcBorders>
              <w:top w:val="nil"/>
              <w:left w:val="nil"/>
              <w:bottom w:val="single" w:sz="4" w:space="0" w:color="auto"/>
              <w:right w:val="single" w:sz="4" w:space="0" w:color="auto"/>
            </w:tcBorders>
            <w:shd w:val="clear" w:color="auto" w:fill="auto"/>
            <w:noWrap/>
            <w:vAlign w:val="bottom"/>
            <w:hideMark/>
          </w:tcPr>
          <w:p w14:paraId="60147BBD"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Conversion to other types of forests including monocultures</w:t>
            </w:r>
          </w:p>
        </w:tc>
      </w:tr>
      <w:tr w:rsidR="004C3D75" w:rsidRPr="00C54A03" w14:paraId="33A082C3" w14:textId="77777777" w:rsidTr="004C3D75">
        <w:trPr>
          <w:trHeight w:val="300"/>
        </w:trPr>
        <w:tc>
          <w:tcPr>
            <w:tcW w:w="454" w:type="pct"/>
            <w:tcBorders>
              <w:top w:val="nil"/>
              <w:left w:val="single" w:sz="4" w:space="0" w:color="auto"/>
              <w:bottom w:val="single" w:sz="4" w:space="0" w:color="auto"/>
              <w:right w:val="single" w:sz="4" w:space="0" w:color="auto"/>
            </w:tcBorders>
            <w:shd w:val="clear" w:color="auto" w:fill="auto"/>
            <w:noWrap/>
            <w:vAlign w:val="bottom"/>
            <w:hideMark/>
          </w:tcPr>
          <w:p w14:paraId="6DCD7DA3"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B05</w:t>
            </w:r>
          </w:p>
        </w:tc>
        <w:tc>
          <w:tcPr>
            <w:tcW w:w="4546" w:type="pct"/>
            <w:tcBorders>
              <w:top w:val="nil"/>
              <w:left w:val="nil"/>
              <w:bottom w:val="single" w:sz="4" w:space="0" w:color="auto"/>
              <w:right w:val="single" w:sz="4" w:space="0" w:color="auto"/>
            </w:tcBorders>
            <w:shd w:val="clear" w:color="auto" w:fill="auto"/>
            <w:noWrap/>
            <w:vAlign w:val="bottom"/>
            <w:hideMark/>
          </w:tcPr>
          <w:p w14:paraId="7F59D07F"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Logging without replanting or natural regrowth</w:t>
            </w:r>
          </w:p>
        </w:tc>
      </w:tr>
      <w:tr w:rsidR="004C3D75" w:rsidRPr="00C54A03" w14:paraId="2B755CCB" w14:textId="77777777" w:rsidTr="004C3D75">
        <w:trPr>
          <w:trHeight w:val="300"/>
        </w:trPr>
        <w:tc>
          <w:tcPr>
            <w:tcW w:w="454" w:type="pct"/>
            <w:tcBorders>
              <w:top w:val="nil"/>
              <w:left w:val="single" w:sz="4" w:space="0" w:color="auto"/>
              <w:bottom w:val="single" w:sz="4" w:space="0" w:color="auto"/>
              <w:right w:val="single" w:sz="4" w:space="0" w:color="auto"/>
            </w:tcBorders>
            <w:shd w:val="clear" w:color="auto" w:fill="auto"/>
            <w:noWrap/>
            <w:vAlign w:val="bottom"/>
            <w:hideMark/>
          </w:tcPr>
          <w:p w14:paraId="2FC53899"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B08</w:t>
            </w:r>
          </w:p>
        </w:tc>
        <w:tc>
          <w:tcPr>
            <w:tcW w:w="4546" w:type="pct"/>
            <w:tcBorders>
              <w:top w:val="nil"/>
              <w:left w:val="nil"/>
              <w:bottom w:val="single" w:sz="4" w:space="0" w:color="auto"/>
              <w:right w:val="single" w:sz="4" w:space="0" w:color="auto"/>
            </w:tcBorders>
            <w:shd w:val="clear" w:color="auto" w:fill="auto"/>
            <w:noWrap/>
            <w:vAlign w:val="bottom"/>
            <w:hideMark/>
          </w:tcPr>
          <w:p w14:paraId="3C19238B"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Removal of old trees (excluding dead or dying trees)</w:t>
            </w:r>
          </w:p>
        </w:tc>
      </w:tr>
      <w:tr w:rsidR="004C3D75" w:rsidRPr="00C54A03" w14:paraId="7C89AF29" w14:textId="77777777" w:rsidTr="004C3D75">
        <w:trPr>
          <w:trHeight w:val="300"/>
        </w:trPr>
        <w:tc>
          <w:tcPr>
            <w:tcW w:w="454" w:type="pct"/>
            <w:tcBorders>
              <w:top w:val="nil"/>
              <w:left w:val="single" w:sz="4" w:space="0" w:color="auto"/>
              <w:bottom w:val="single" w:sz="4" w:space="0" w:color="auto"/>
              <w:right w:val="single" w:sz="4" w:space="0" w:color="auto"/>
            </w:tcBorders>
            <w:shd w:val="clear" w:color="auto" w:fill="auto"/>
            <w:noWrap/>
            <w:vAlign w:val="bottom"/>
            <w:hideMark/>
          </w:tcPr>
          <w:p w14:paraId="5075B4A8"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B09</w:t>
            </w:r>
          </w:p>
        </w:tc>
        <w:tc>
          <w:tcPr>
            <w:tcW w:w="4546" w:type="pct"/>
            <w:tcBorders>
              <w:top w:val="nil"/>
              <w:left w:val="nil"/>
              <w:bottom w:val="single" w:sz="4" w:space="0" w:color="auto"/>
              <w:right w:val="single" w:sz="4" w:space="0" w:color="auto"/>
            </w:tcBorders>
            <w:shd w:val="clear" w:color="auto" w:fill="auto"/>
            <w:noWrap/>
            <w:vAlign w:val="bottom"/>
            <w:hideMark/>
          </w:tcPr>
          <w:p w14:paraId="4EA073DC"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Clear-cutting, removal of all trees</w:t>
            </w:r>
          </w:p>
        </w:tc>
      </w:tr>
      <w:tr w:rsidR="004C3D75" w:rsidRPr="00C54A03" w14:paraId="2B131BE8" w14:textId="77777777" w:rsidTr="004C3D75">
        <w:trPr>
          <w:trHeight w:val="300"/>
        </w:trPr>
        <w:tc>
          <w:tcPr>
            <w:tcW w:w="454" w:type="pct"/>
            <w:tcBorders>
              <w:top w:val="nil"/>
              <w:left w:val="single" w:sz="4" w:space="0" w:color="auto"/>
              <w:bottom w:val="single" w:sz="4" w:space="0" w:color="auto"/>
              <w:right w:val="single" w:sz="4" w:space="0" w:color="auto"/>
            </w:tcBorders>
            <w:shd w:val="clear" w:color="auto" w:fill="auto"/>
            <w:noWrap/>
            <w:vAlign w:val="bottom"/>
            <w:hideMark/>
          </w:tcPr>
          <w:p w14:paraId="4911BBD8"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F07</w:t>
            </w:r>
          </w:p>
        </w:tc>
        <w:tc>
          <w:tcPr>
            <w:tcW w:w="4546" w:type="pct"/>
            <w:tcBorders>
              <w:top w:val="nil"/>
              <w:left w:val="nil"/>
              <w:bottom w:val="single" w:sz="4" w:space="0" w:color="auto"/>
              <w:right w:val="single" w:sz="4" w:space="0" w:color="auto"/>
            </w:tcBorders>
            <w:shd w:val="clear" w:color="auto" w:fill="auto"/>
            <w:noWrap/>
            <w:vAlign w:val="bottom"/>
            <w:hideMark/>
          </w:tcPr>
          <w:p w14:paraId="4860225D"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Sports, tourism and leisure activities</w:t>
            </w:r>
          </w:p>
        </w:tc>
      </w:tr>
      <w:tr w:rsidR="004C3D75" w:rsidRPr="00C54A03" w14:paraId="2A8DA8D8" w14:textId="77777777" w:rsidTr="004C3D75">
        <w:trPr>
          <w:trHeight w:val="300"/>
        </w:trPr>
        <w:tc>
          <w:tcPr>
            <w:tcW w:w="454" w:type="pct"/>
            <w:tcBorders>
              <w:top w:val="nil"/>
              <w:left w:val="single" w:sz="4" w:space="0" w:color="auto"/>
              <w:bottom w:val="single" w:sz="4" w:space="0" w:color="auto"/>
              <w:right w:val="single" w:sz="4" w:space="0" w:color="auto"/>
            </w:tcBorders>
            <w:shd w:val="clear" w:color="auto" w:fill="auto"/>
            <w:noWrap/>
            <w:vAlign w:val="bottom"/>
            <w:hideMark/>
          </w:tcPr>
          <w:p w14:paraId="1722701F"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H04</w:t>
            </w:r>
          </w:p>
        </w:tc>
        <w:tc>
          <w:tcPr>
            <w:tcW w:w="4546" w:type="pct"/>
            <w:tcBorders>
              <w:top w:val="nil"/>
              <w:left w:val="nil"/>
              <w:bottom w:val="single" w:sz="4" w:space="0" w:color="auto"/>
              <w:right w:val="single" w:sz="4" w:space="0" w:color="auto"/>
            </w:tcBorders>
            <w:shd w:val="clear" w:color="auto" w:fill="auto"/>
            <w:noWrap/>
            <w:vAlign w:val="bottom"/>
            <w:hideMark/>
          </w:tcPr>
          <w:p w14:paraId="1F340AC3"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Vandalism or arson</w:t>
            </w:r>
          </w:p>
        </w:tc>
      </w:tr>
    </w:tbl>
    <w:p w14:paraId="17931D52" w14:textId="77777777" w:rsidR="004C3D75" w:rsidRPr="00C54A03" w:rsidRDefault="004C3D75" w:rsidP="008E33FD">
      <w:pPr>
        <w:spacing w:after="160" w:line="259" w:lineRule="auto"/>
        <w:jc w:val="both"/>
        <w:rPr>
          <w:b/>
          <w:color w:val="000000" w:themeColor="text1"/>
          <w:highlight w:val="cyan"/>
        </w:rPr>
      </w:pPr>
    </w:p>
    <w:p w14:paraId="01D884C5" w14:textId="77777777" w:rsidR="004C3D75" w:rsidRPr="00C54A03" w:rsidRDefault="004C3D75" w:rsidP="008E33FD">
      <w:pPr>
        <w:spacing w:after="160" w:line="259" w:lineRule="auto"/>
        <w:jc w:val="both"/>
        <w:rPr>
          <w:b/>
          <w:color w:val="000000" w:themeColor="text1"/>
          <w:highlight w:val="cyan"/>
        </w:rPr>
      </w:pPr>
      <w:r w:rsidRPr="00C54A03">
        <w:rPr>
          <w:b/>
          <w:color w:val="000000" w:themeColor="text1"/>
          <w:highlight w:val="cyan"/>
        </w:rPr>
        <w:t>VI.  Lista cu Măsurile de conservare ce se pot aplica habitatelor de  peșteri</w:t>
      </w:r>
    </w:p>
    <w:tbl>
      <w:tblPr>
        <w:tblW w:w="5000" w:type="pct"/>
        <w:tblLayout w:type="fixed"/>
        <w:tblLook w:val="04A0" w:firstRow="1" w:lastRow="0" w:firstColumn="1" w:lastColumn="0" w:noHBand="0" w:noVBand="1"/>
      </w:tblPr>
      <w:tblGrid>
        <w:gridCol w:w="905"/>
        <w:gridCol w:w="9269"/>
      </w:tblGrid>
      <w:tr w:rsidR="004C3D75" w:rsidRPr="00C54A03" w14:paraId="2062CDE1" w14:textId="77777777" w:rsidTr="004C3D75">
        <w:trPr>
          <w:trHeight w:val="300"/>
        </w:trPr>
        <w:tc>
          <w:tcPr>
            <w:tcW w:w="44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6A32F6" w14:textId="77777777" w:rsidR="004C3D75" w:rsidRPr="00C54A03" w:rsidRDefault="004C3D75" w:rsidP="008E33FD">
            <w:pPr>
              <w:jc w:val="both"/>
              <w:rPr>
                <w:b/>
                <w:bCs/>
                <w:color w:val="000000" w:themeColor="text1"/>
                <w:highlight w:val="cyan"/>
                <w:lang w:eastAsia="ro-RO"/>
              </w:rPr>
            </w:pPr>
            <w:r w:rsidRPr="00C54A03">
              <w:rPr>
                <w:b/>
                <w:bCs/>
                <w:color w:val="000000" w:themeColor="text1"/>
                <w:highlight w:val="cyan"/>
                <w:lang w:eastAsia="ro-RO"/>
              </w:rPr>
              <w:t>Cod</w:t>
            </w:r>
          </w:p>
        </w:tc>
        <w:tc>
          <w:tcPr>
            <w:tcW w:w="4555" w:type="pct"/>
            <w:tcBorders>
              <w:top w:val="single" w:sz="4" w:space="0" w:color="auto"/>
              <w:left w:val="nil"/>
              <w:bottom w:val="single" w:sz="4" w:space="0" w:color="auto"/>
              <w:right w:val="single" w:sz="4" w:space="0" w:color="auto"/>
            </w:tcBorders>
            <w:shd w:val="clear" w:color="auto" w:fill="auto"/>
            <w:noWrap/>
            <w:vAlign w:val="bottom"/>
            <w:hideMark/>
          </w:tcPr>
          <w:p w14:paraId="0731E675" w14:textId="77777777" w:rsidR="004C3D75" w:rsidRPr="00C54A03" w:rsidRDefault="004C3D75" w:rsidP="008E33FD">
            <w:pPr>
              <w:jc w:val="both"/>
              <w:rPr>
                <w:b/>
                <w:bCs/>
                <w:color w:val="000000" w:themeColor="text1"/>
                <w:highlight w:val="cyan"/>
                <w:lang w:eastAsia="ro-RO"/>
              </w:rPr>
            </w:pPr>
            <w:r w:rsidRPr="00C54A03">
              <w:rPr>
                <w:b/>
                <w:bCs/>
                <w:color w:val="000000" w:themeColor="text1"/>
                <w:highlight w:val="cyan"/>
                <w:lang w:eastAsia="ro-RO"/>
              </w:rPr>
              <w:t>Denumire măsuri</w:t>
            </w:r>
          </w:p>
        </w:tc>
      </w:tr>
      <w:tr w:rsidR="004C3D75" w:rsidRPr="00C54A03" w14:paraId="0F48900D" w14:textId="77777777" w:rsidTr="004C3D75">
        <w:trPr>
          <w:trHeight w:val="300"/>
        </w:trPr>
        <w:tc>
          <w:tcPr>
            <w:tcW w:w="445" w:type="pct"/>
            <w:tcBorders>
              <w:top w:val="nil"/>
              <w:left w:val="single" w:sz="4" w:space="0" w:color="auto"/>
              <w:bottom w:val="single" w:sz="4" w:space="0" w:color="auto"/>
              <w:right w:val="single" w:sz="4" w:space="0" w:color="auto"/>
            </w:tcBorders>
            <w:shd w:val="clear" w:color="auto" w:fill="auto"/>
            <w:noWrap/>
            <w:vAlign w:val="bottom"/>
            <w:hideMark/>
          </w:tcPr>
          <w:p w14:paraId="0980ED22"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CA09</w:t>
            </w:r>
          </w:p>
        </w:tc>
        <w:tc>
          <w:tcPr>
            <w:tcW w:w="4555" w:type="pct"/>
            <w:tcBorders>
              <w:top w:val="nil"/>
              <w:left w:val="nil"/>
              <w:bottom w:val="single" w:sz="4" w:space="0" w:color="auto"/>
              <w:right w:val="single" w:sz="4" w:space="0" w:color="auto"/>
            </w:tcBorders>
            <w:shd w:val="clear" w:color="auto" w:fill="auto"/>
            <w:noWrap/>
            <w:vAlign w:val="bottom"/>
            <w:hideMark/>
          </w:tcPr>
          <w:p w14:paraId="3215F444"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Manage the use of natural fertilisers and chemicals in agricultural (plant and animal) production</w:t>
            </w:r>
          </w:p>
        </w:tc>
      </w:tr>
      <w:tr w:rsidR="004C3D75" w:rsidRPr="00C54A03" w14:paraId="0D32B9F1" w14:textId="77777777" w:rsidTr="004C3D75">
        <w:trPr>
          <w:trHeight w:val="300"/>
        </w:trPr>
        <w:tc>
          <w:tcPr>
            <w:tcW w:w="445" w:type="pct"/>
            <w:tcBorders>
              <w:top w:val="nil"/>
              <w:left w:val="single" w:sz="4" w:space="0" w:color="auto"/>
              <w:bottom w:val="single" w:sz="4" w:space="0" w:color="auto"/>
              <w:right w:val="single" w:sz="4" w:space="0" w:color="auto"/>
            </w:tcBorders>
            <w:shd w:val="clear" w:color="auto" w:fill="auto"/>
            <w:noWrap/>
            <w:vAlign w:val="bottom"/>
            <w:hideMark/>
          </w:tcPr>
          <w:p w14:paraId="6DCAF0CD"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CB05</w:t>
            </w:r>
          </w:p>
        </w:tc>
        <w:tc>
          <w:tcPr>
            <w:tcW w:w="4555" w:type="pct"/>
            <w:tcBorders>
              <w:top w:val="nil"/>
              <w:left w:val="nil"/>
              <w:bottom w:val="single" w:sz="4" w:space="0" w:color="auto"/>
              <w:right w:val="single" w:sz="4" w:space="0" w:color="auto"/>
            </w:tcBorders>
            <w:shd w:val="clear" w:color="auto" w:fill="auto"/>
            <w:noWrap/>
            <w:vAlign w:val="bottom"/>
            <w:hideMark/>
          </w:tcPr>
          <w:p w14:paraId="1D84DD83"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Adapt/change forest management and exploitation practices</w:t>
            </w:r>
          </w:p>
        </w:tc>
      </w:tr>
      <w:tr w:rsidR="004C3D75" w:rsidRPr="00C54A03" w14:paraId="028F2571" w14:textId="77777777" w:rsidTr="004C3D75">
        <w:trPr>
          <w:trHeight w:val="300"/>
        </w:trPr>
        <w:tc>
          <w:tcPr>
            <w:tcW w:w="445" w:type="pct"/>
            <w:tcBorders>
              <w:top w:val="nil"/>
              <w:left w:val="single" w:sz="4" w:space="0" w:color="auto"/>
              <w:bottom w:val="single" w:sz="4" w:space="0" w:color="auto"/>
              <w:right w:val="single" w:sz="4" w:space="0" w:color="auto"/>
            </w:tcBorders>
            <w:shd w:val="clear" w:color="auto" w:fill="auto"/>
            <w:noWrap/>
            <w:vAlign w:val="bottom"/>
            <w:hideMark/>
          </w:tcPr>
          <w:p w14:paraId="6E1413BC"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CB06</w:t>
            </w:r>
          </w:p>
        </w:tc>
        <w:tc>
          <w:tcPr>
            <w:tcW w:w="4555" w:type="pct"/>
            <w:tcBorders>
              <w:top w:val="nil"/>
              <w:left w:val="nil"/>
              <w:bottom w:val="single" w:sz="4" w:space="0" w:color="auto"/>
              <w:right w:val="single" w:sz="4" w:space="0" w:color="auto"/>
            </w:tcBorders>
            <w:shd w:val="clear" w:color="auto" w:fill="auto"/>
            <w:noWrap/>
            <w:vAlign w:val="bottom"/>
            <w:hideMark/>
          </w:tcPr>
          <w:p w14:paraId="1346148D"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Stop forest management and exploitation practices</w:t>
            </w:r>
          </w:p>
        </w:tc>
      </w:tr>
      <w:tr w:rsidR="004C3D75" w:rsidRPr="00C54A03" w14:paraId="1E7AE892" w14:textId="77777777" w:rsidTr="004C3D75">
        <w:trPr>
          <w:trHeight w:val="300"/>
        </w:trPr>
        <w:tc>
          <w:tcPr>
            <w:tcW w:w="445" w:type="pct"/>
            <w:tcBorders>
              <w:top w:val="nil"/>
              <w:left w:val="single" w:sz="4" w:space="0" w:color="auto"/>
              <w:bottom w:val="single" w:sz="4" w:space="0" w:color="auto"/>
              <w:right w:val="single" w:sz="4" w:space="0" w:color="auto"/>
            </w:tcBorders>
            <w:shd w:val="clear" w:color="auto" w:fill="auto"/>
            <w:noWrap/>
            <w:vAlign w:val="bottom"/>
            <w:hideMark/>
          </w:tcPr>
          <w:p w14:paraId="489C06B7"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CB08</w:t>
            </w:r>
          </w:p>
        </w:tc>
        <w:tc>
          <w:tcPr>
            <w:tcW w:w="4555" w:type="pct"/>
            <w:tcBorders>
              <w:top w:val="nil"/>
              <w:left w:val="nil"/>
              <w:bottom w:val="single" w:sz="4" w:space="0" w:color="auto"/>
              <w:right w:val="single" w:sz="4" w:space="0" w:color="auto"/>
            </w:tcBorders>
            <w:shd w:val="clear" w:color="auto" w:fill="auto"/>
            <w:noWrap/>
            <w:vAlign w:val="bottom"/>
            <w:hideMark/>
          </w:tcPr>
          <w:p w14:paraId="24BA69D5"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Restoration of Annex I forest habitats</w:t>
            </w:r>
          </w:p>
        </w:tc>
      </w:tr>
      <w:tr w:rsidR="004C3D75" w:rsidRPr="00C54A03" w14:paraId="5928AA4F" w14:textId="77777777" w:rsidTr="004C3D75">
        <w:trPr>
          <w:trHeight w:val="300"/>
        </w:trPr>
        <w:tc>
          <w:tcPr>
            <w:tcW w:w="445" w:type="pct"/>
            <w:tcBorders>
              <w:top w:val="nil"/>
              <w:left w:val="single" w:sz="4" w:space="0" w:color="auto"/>
              <w:bottom w:val="single" w:sz="4" w:space="0" w:color="auto"/>
              <w:right w:val="single" w:sz="4" w:space="0" w:color="auto"/>
            </w:tcBorders>
            <w:shd w:val="clear" w:color="auto" w:fill="auto"/>
            <w:noWrap/>
            <w:vAlign w:val="bottom"/>
            <w:hideMark/>
          </w:tcPr>
          <w:p w14:paraId="6C38FADC"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lastRenderedPageBreak/>
              <w:t>CB09</w:t>
            </w:r>
          </w:p>
        </w:tc>
        <w:tc>
          <w:tcPr>
            <w:tcW w:w="4555" w:type="pct"/>
            <w:tcBorders>
              <w:top w:val="nil"/>
              <w:left w:val="nil"/>
              <w:bottom w:val="single" w:sz="4" w:space="0" w:color="auto"/>
              <w:right w:val="single" w:sz="4" w:space="0" w:color="auto"/>
            </w:tcBorders>
            <w:shd w:val="clear" w:color="auto" w:fill="auto"/>
            <w:noWrap/>
            <w:vAlign w:val="bottom"/>
            <w:hideMark/>
          </w:tcPr>
          <w:p w14:paraId="60FCB13F"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Manage the use of chemicals for fertilisation, liming and pest control in forestry</w:t>
            </w:r>
          </w:p>
        </w:tc>
      </w:tr>
      <w:tr w:rsidR="004C3D75" w:rsidRPr="00C54A03" w14:paraId="42BD3485" w14:textId="77777777" w:rsidTr="004C3D75">
        <w:trPr>
          <w:trHeight w:val="300"/>
        </w:trPr>
        <w:tc>
          <w:tcPr>
            <w:tcW w:w="445" w:type="pct"/>
            <w:tcBorders>
              <w:top w:val="nil"/>
              <w:left w:val="single" w:sz="4" w:space="0" w:color="auto"/>
              <w:bottom w:val="single" w:sz="4" w:space="0" w:color="auto"/>
              <w:right w:val="single" w:sz="4" w:space="0" w:color="auto"/>
            </w:tcBorders>
            <w:shd w:val="clear" w:color="auto" w:fill="auto"/>
            <w:noWrap/>
            <w:vAlign w:val="bottom"/>
            <w:hideMark/>
          </w:tcPr>
          <w:p w14:paraId="081A6C2C"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CF03</w:t>
            </w:r>
          </w:p>
        </w:tc>
        <w:tc>
          <w:tcPr>
            <w:tcW w:w="4555" w:type="pct"/>
            <w:tcBorders>
              <w:top w:val="nil"/>
              <w:left w:val="nil"/>
              <w:bottom w:val="single" w:sz="4" w:space="0" w:color="auto"/>
              <w:right w:val="single" w:sz="4" w:space="0" w:color="auto"/>
            </w:tcBorders>
            <w:shd w:val="clear" w:color="auto" w:fill="auto"/>
            <w:noWrap/>
            <w:vAlign w:val="bottom"/>
            <w:hideMark/>
          </w:tcPr>
          <w:p w14:paraId="78B494CB"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Reduce impact of outdoor sports, leisure and recreational activities</w:t>
            </w:r>
          </w:p>
        </w:tc>
      </w:tr>
      <w:tr w:rsidR="004C3D75" w:rsidRPr="00C56257" w14:paraId="23CD1FDE" w14:textId="77777777" w:rsidTr="004C3D75">
        <w:trPr>
          <w:trHeight w:val="300"/>
        </w:trPr>
        <w:tc>
          <w:tcPr>
            <w:tcW w:w="445" w:type="pct"/>
            <w:tcBorders>
              <w:top w:val="nil"/>
              <w:left w:val="single" w:sz="4" w:space="0" w:color="auto"/>
              <w:bottom w:val="single" w:sz="4" w:space="0" w:color="auto"/>
              <w:right w:val="single" w:sz="4" w:space="0" w:color="auto"/>
            </w:tcBorders>
            <w:shd w:val="clear" w:color="auto" w:fill="auto"/>
            <w:noWrap/>
            <w:vAlign w:val="bottom"/>
            <w:hideMark/>
          </w:tcPr>
          <w:p w14:paraId="6F94A70F" w14:textId="77777777" w:rsidR="004C3D75" w:rsidRPr="00C54A03" w:rsidRDefault="004C3D75" w:rsidP="008E33FD">
            <w:pPr>
              <w:jc w:val="both"/>
              <w:rPr>
                <w:color w:val="000000" w:themeColor="text1"/>
                <w:highlight w:val="cyan"/>
                <w:lang w:eastAsia="ro-RO"/>
              </w:rPr>
            </w:pPr>
            <w:r w:rsidRPr="00C54A03">
              <w:rPr>
                <w:color w:val="000000" w:themeColor="text1"/>
                <w:highlight w:val="cyan"/>
                <w:lang w:eastAsia="ro-RO"/>
              </w:rPr>
              <w:t>CH03</w:t>
            </w:r>
          </w:p>
        </w:tc>
        <w:tc>
          <w:tcPr>
            <w:tcW w:w="4555" w:type="pct"/>
            <w:tcBorders>
              <w:top w:val="nil"/>
              <w:left w:val="nil"/>
              <w:bottom w:val="single" w:sz="4" w:space="0" w:color="auto"/>
              <w:right w:val="single" w:sz="4" w:space="0" w:color="auto"/>
            </w:tcBorders>
            <w:shd w:val="clear" w:color="auto" w:fill="auto"/>
            <w:noWrap/>
            <w:vAlign w:val="bottom"/>
            <w:hideMark/>
          </w:tcPr>
          <w:p w14:paraId="34D9D500" w14:textId="77777777" w:rsidR="004C3D75" w:rsidRPr="00C56257" w:rsidRDefault="004C3D75" w:rsidP="008E33FD">
            <w:pPr>
              <w:jc w:val="both"/>
              <w:rPr>
                <w:color w:val="000000" w:themeColor="text1"/>
                <w:lang w:eastAsia="ro-RO"/>
              </w:rPr>
            </w:pPr>
            <w:r w:rsidRPr="00C54A03">
              <w:rPr>
                <w:color w:val="000000" w:themeColor="text1"/>
                <w:highlight w:val="cyan"/>
                <w:lang w:eastAsia="ro-RO"/>
              </w:rPr>
              <w:t>Reduce impact of other specific human actions</w:t>
            </w:r>
          </w:p>
        </w:tc>
      </w:tr>
    </w:tbl>
    <w:p w14:paraId="0F4C4A57" w14:textId="77777777" w:rsidR="004C3D75" w:rsidRPr="00C56257" w:rsidRDefault="004C3D75" w:rsidP="00F100E1">
      <w:pPr>
        <w:spacing w:after="160" w:line="259" w:lineRule="auto"/>
        <w:jc w:val="both"/>
        <w:rPr>
          <w:bCs/>
          <w:color w:val="000000" w:themeColor="text1"/>
        </w:rPr>
      </w:pPr>
    </w:p>
    <w:p w14:paraId="7CCC920A" w14:textId="77777777" w:rsidR="004C3D75" w:rsidRPr="00C56257" w:rsidRDefault="004C3D75" w:rsidP="00F100E1">
      <w:pPr>
        <w:spacing w:after="160" w:line="259" w:lineRule="auto"/>
        <w:jc w:val="both"/>
        <w:rPr>
          <w:bCs/>
          <w:color w:val="000000" w:themeColor="text1"/>
        </w:rPr>
      </w:pPr>
    </w:p>
    <w:p w14:paraId="4F0B90CE" w14:textId="77777777" w:rsidR="004C3D75" w:rsidRPr="00C56257" w:rsidRDefault="004C3D75" w:rsidP="00F100E1">
      <w:pPr>
        <w:spacing w:after="160" w:line="259" w:lineRule="auto"/>
        <w:jc w:val="both"/>
        <w:rPr>
          <w:bCs/>
          <w:color w:val="000000" w:themeColor="text1"/>
        </w:rPr>
      </w:pPr>
    </w:p>
    <w:p w14:paraId="09BEFC64" w14:textId="77777777" w:rsidR="00227782" w:rsidRPr="00C56257" w:rsidRDefault="00227782" w:rsidP="008E33FD">
      <w:pPr>
        <w:spacing w:after="160" w:line="259" w:lineRule="auto"/>
        <w:jc w:val="both"/>
        <w:rPr>
          <w:bCs/>
          <w:color w:val="000000" w:themeColor="text1"/>
        </w:rPr>
      </w:pPr>
    </w:p>
    <w:p w14:paraId="7EE53BBA" w14:textId="77777777" w:rsidR="00227782" w:rsidRPr="00C56257" w:rsidRDefault="00227782" w:rsidP="008E33FD">
      <w:pPr>
        <w:spacing w:after="160" w:line="259" w:lineRule="auto"/>
        <w:jc w:val="both"/>
        <w:rPr>
          <w:bCs/>
          <w:color w:val="000000" w:themeColor="text1"/>
        </w:rPr>
      </w:pPr>
    </w:p>
    <w:p w14:paraId="3B313FA3" w14:textId="77777777" w:rsidR="00227782" w:rsidRPr="00C56257" w:rsidRDefault="00227782" w:rsidP="008E33FD">
      <w:pPr>
        <w:spacing w:after="160" w:line="259" w:lineRule="auto"/>
        <w:jc w:val="both"/>
        <w:rPr>
          <w:bCs/>
          <w:color w:val="000000" w:themeColor="text1"/>
        </w:rPr>
      </w:pPr>
    </w:p>
    <w:p w14:paraId="6B632DCC" w14:textId="77777777" w:rsidR="00227782" w:rsidRPr="00C56257" w:rsidRDefault="00227782" w:rsidP="008E33FD">
      <w:pPr>
        <w:spacing w:after="160" w:line="259" w:lineRule="auto"/>
        <w:jc w:val="both"/>
        <w:rPr>
          <w:bCs/>
          <w:color w:val="000000" w:themeColor="text1"/>
        </w:rPr>
      </w:pPr>
    </w:p>
    <w:p w14:paraId="56E0E64A" w14:textId="77777777" w:rsidR="00227782" w:rsidRPr="00C56257" w:rsidRDefault="00227782" w:rsidP="008E33FD">
      <w:pPr>
        <w:spacing w:after="160" w:line="259" w:lineRule="auto"/>
        <w:jc w:val="both"/>
        <w:rPr>
          <w:bCs/>
          <w:color w:val="000000" w:themeColor="text1"/>
        </w:rPr>
      </w:pPr>
    </w:p>
    <w:p w14:paraId="0CEF9667" w14:textId="77777777" w:rsidR="00227782" w:rsidRPr="00C56257" w:rsidRDefault="00227782" w:rsidP="008E33FD">
      <w:pPr>
        <w:spacing w:after="160" w:line="259" w:lineRule="auto"/>
        <w:jc w:val="both"/>
        <w:rPr>
          <w:bCs/>
          <w:color w:val="000000" w:themeColor="text1"/>
        </w:rPr>
      </w:pPr>
    </w:p>
    <w:p w14:paraId="5E69A803" w14:textId="77777777" w:rsidR="00227782" w:rsidRPr="00C56257" w:rsidRDefault="00227782" w:rsidP="008E33FD">
      <w:pPr>
        <w:spacing w:after="160" w:line="259" w:lineRule="auto"/>
        <w:jc w:val="both"/>
        <w:rPr>
          <w:bCs/>
          <w:color w:val="000000" w:themeColor="text1"/>
        </w:rPr>
      </w:pPr>
    </w:p>
    <w:p w14:paraId="165F5695" w14:textId="77777777" w:rsidR="00227782" w:rsidRPr="00C56257" w:rsidRDefault="00227782" w:rsidP="008E33FD">
      <w:pPr>
        <w:spacing w:after="160" w:line="259" w:lineRule="auto"/>
        <w:jc w:val="both"/>
        <w:rPr>
          <w:bCs/>
          <w:color w:val="000000" w:themeColor="text1"/>
        </w:rPr>
      </w:pPr>
    </w:p>
    <w:p w14:paraId="62893D49" w14:textId="77777777" w:rsidR="00227782" w:rsidRPr="00C56257" w:rsidRDefault="00227782" w:rsidP="008E33FD">
      <w:pPr>
        <w:spacing w:after="160" w:line="259" w:lineRule="auto"/>
        <w:jc w:val="both"/>
        <w:rPr>
          <w:bCs/>
          <w:color w:val="000000" w:themeColor="text1"/>
        </w:rPr>
      </w:pPr>
    </w:p>
    <w:p w14:paraId="46010B56" w14:textId="77777777" w:rsidR="00227782" w:rsidRPr="00C56257" w:rsidRDefault="00227782" w:rsidP="008E33FD">
      <w:pPr>
        <w:spacing w:after="160" w:line="259" w:lineRule="auto"/>
        <w:jc w:val="both"/>
        <w:rPr>
          <w:bCs/>
          <w:color w:val="000000" w:themeColor="text1"/>
        </w:rPr>
      </w:pPr>
    </w:p>
    <w:p w14:paraId="311CB8B6" w14:textId="77777777" w:rsidR="00227782" w:rsidRPr="00C56257" w:rsidRDefault="00227782" w:rsidP="008E33FD">
      <w:pPr>
        <w:spacing w:after="160" w:line="259" w:lineRule="auto"/>
        <w:jc w:val="both"/>
        <w:rPr>
          <w:bCs/>
          <w:color w:val="000000" w:themeColor="text1"/>
        </w:rPr>
      </w:pPr>
    </w:p>
    <w:p w14:paraId="35E6E91F" w14:textId="77777777" w:rsidR="00227782" w:rsidRPr="00C56257" w:rsidRDefault="00227782" w:rsidP="008E33FD">
      <w:pPr>
        <w:spacing w:after="160" w:line="259" w:lineRule="auto"/>
        <w:jc w:val="both"/>
        <w:rPr>
          <w:bCs/>
          <w:color w:val="000000" w:themeColor="text1"/>
        </w:rPr>
      </w:pPr>
    </w:p>
    <w:p w14:paraId="768A1D47" w14:textId="77777777" w:rsidR="00227782" w:rsidRPr="00C56257" w:rsidRDefault="00227782" w:rsidP="008E33FD">
      <w:pPr>
        <w:spacing w:after="160" w:line="259" w:lineRule="auto"/>
        <w:jc w:val="both"/>
        <w:rPr>
          <w:bCs/>
          <w:color w:val="000000" w:themeColor="text1"/>
        </w:rPr>
      </w:pPr>
    </w:p>
    <w:p w14:paraId="2B9236E3" w14:textId="77777777" w:rsidR="00227782" w:rsidRPr="00C56257" w:rsidRDefault="00227782" w:rsidP="008E33FD">
      <w:pPr>
        <w:spacing w:after="160" w:line="259" w:lineRule="auto"/>
        <w:jc w:val="both"/>
        <w:rPr>
          <w:bCs/>
          <w:color w:val="000000" w:themeColor="text1"/>
        </w:rPr>
      </w:pPr>
    </w:p>
    <w:p w14:paraId="23507351" w14:textId="77777777" w:rsidR="00227782" w:rsidRPr="00C56257" w:rsidRDefault="00227782" w:rsidP="008E33FD">
      <w:pPr>
        <w:spacing w:after="160" w:line="259" w:lineRule="auto"/>
        <w:jc w:val="both"/>
        <w:rPr>
          <w:bCs/>
          <w:color w:val="000000" w:themeColor="text1"/>
        </w:rPr>
      </w:pPr>
    </w:p>
    <w:p w14:paraId="60649D86" w14:textId="77777777" w:rsidR="00227782" w:rsidRPr="00C56257" w:rsidRDefault="00227782" w:rsidP="008E33FD">
      <w:pPr>
        <w:spacing w:after="160" w:line="259" w:lineRule="auto"/>
        <w:jc w:val="both"/>
        <w:rPr>
          <w:bCs/>
          <w:color w:val="000000" w:themeColor="text1"/>
        </w:rPr>
      </w:pPr>
      <w:r w:rsidRPr="00C56257">
        <w:rPr>
          <w:bCs/>
          <w:color w:val="000000" w:themeColor="text1"/>
        </w:rPr>
        <w:br w:type="page"/>
      </w:r>
    </w:p>
    <w:p w14:paraId="0EFC193D" w14:textId="77777777" w:rsidR="0007555D" w:rsidRDefault="00FE0FCD" w:rsidP="00F100E1">
      <w:pPr>
        <w:spacing w:after="160" w:line="259" w:lineRule="auto"/>
        <w:jc w:val="both"/>
        <w:rPr>
          <w:b/>
          <w:bCs/>
          <w:color w:val="000000"/>
        </w:rPr>
      </w:pPr>
      <w:r>
        <w:rPr>
          <w:b/>
          <w:bCs/>
          <w:color w:val="000000"/>
        </w:rPr>
        <w:lastRenderedPageBreak/>
        <w:t>Capitolul</w:t>
      </w:r>
      <w:r w:rsidR="0007555D" w:rsidRPr="00C56257">
        <w:rPr>
          <w:b/>
          <w:bCs/>
          <w:color w:val="000000"/>
        </w:rPr>
        <w:t xml:space="preserve"> 10</w:t>
      </w:r>
      <w:r>
        <w:rPr>
          <w:b/>
          <w:bCs/>
          <w:color w:val="000000"/>
        </w:rPr>
        <w:t>.</w:t>
      </w:r>
      <w:r w:rsidR="0007555D" w:rsidRPr="00C56257">
        <w:rPr>
          <w:b/>
          <w:bCs/>
          <w:color w:val="000000"/>
        </w:rPr>
        <w:t>Ghidul cu  protoco</w:t>
      </w:r>
      <w:r w:rsidR="0060540B">
        <w:rPr>
          <w:b/>
          <w:bCs/>
          <w:color w:val="000000"/>
        </w:rPr>
        <w:t>lul</w:t>
      </w:r>
      <w:r w:rsidR="0007555D" w:rsidRPr="00C56257">
        <w:rPr>
          <w:b/>
          <w:bCs/>
          <w:color w:val="000000"/>
        </w:rPr>
        <w:t xml:space="preserve"> de monitorizare și metodologi</w:t>
      </w:r>
      <w:r w:rsidR="0060540B">
        <w:rPr>
          <w:b/>
          <w:bCs/>
          <w:color w:val="000000"/>
        </w:rPr>
        <w:t>a</w:t>
      </w:r>
      <w:r w:rsidR="0007555D" w:rsidRPr="00C56257">
        <w:rPr>
          <w:b/>
          <w:bCs/>
          <w:color w:val="000000"/>
        </w:rPr>
        <w:t xml:space="preserve"> unitar</w:t>
      </w:r>
      <w:r w:rsidR="0060540B">
        <w:rPr>
          <w:b/>
          <w:bCs/>
          <w:color w:val="000000"/>
        </w:rPr>
        <w:t>ă</w:t>
      </w:r>
      <w:r w:rsidR="0007555D" w:rsidRPr="00C56257">
        <w:rPr>
          <w:b/>
          <w:bCs/>
          <w:color w:val="000000"/>
        </w:rPr>
        <w:t xml:space="preserve"> de monitorizare a stării de conservare a habitatelor forestiere</w:t>
      </w:r>
    </w:p>
    <w:p w14:paraId="786100CA" w14:textId="77777777" w:rsidR="0060540B" w:rsidRPr="0060540B" w:rsidRDefault="0060540B" w:rsidP="0060540B">
      <w:pPr>
        <w:spacing w:after="160" w:line="259" w:lineRule="auto"/>
        <w:jc w:val="both"/>
        <w:rPr>
          <w:b/>
          <w:bCs/>
          <w:color w:val="000000"/>
        </w:rPr>
      </w:pPr>
    </w:p>
    <w:p w14:paraId="3C683819" w14:textId="77777777" w:rsidR="0060540B" w:rsidRPr="0060540B" w:rsidRDefault="0060540B" w:rsidP="0060540B">
      <w:pPr>
        <w:spacing w:after="160" w:line="259" w:lineRule="auto"/>
        <w:jc w:val="both"/>
        <w:rPr>
          <w:b/>
          <w:bCs/>
          <w:color w:val="000000"/>
        </w:rPr>
      </w:pPr>
      <w:r>
        <w:rPr>
          <w:b/>
          <w:bCs/>
          <w:color w:val="000000"/>
        </w:rPr>
        <w:t xml:space="preserve"> </w:t>
      </w:r>
      <w:r w:rsidRPr="0060540B">
        <w:rPr>
          <w:b/>
          <w:bCs/>
          <w:color w:val="000000"/>
        </w:rPr>
        <w:t>Tabelul 1. Lista habitatelor forestiere de interes comunitar din țara noastră</w:t>
      </w:r>
    </w:p>
    <w:tbl>
      <w:tblPr>
        <w:tblW w:w="0" w:type="auto"/>
        <w:tblInd w:w="264" w:type="dxa"/>
        <w:tblLook w:val="04A0" w:firstRow="1" w:lastRow="0" w:firstColumn="1" w:lastColumn="0" w:noHBand="0" w:noVBand="1"/>
      </w:tblPr>
      <w:tblGrid>
        <w:gridCol w:w="504"/>
        <w:gridCol w:w="864"/>
        <w:gridCol w:w="8077"/>
      </w:tblGrid>
      <w:tr w:rsidR="0060540B" w:rsidRPr="0060540B" w14:paraId="4D6959F1" w14:textId="77777777" w:rsidTr="0060540B">
        <w:trPr>
          <w:trHeight w:val="458"/>
        </w:trPr>
        <w:tc>
          <w:tcPr>
            <w:tcW w:w="240" w:type="dxa"/>
            <w:vMerge w:val="restart"/>
            <w:tcBorders>
              <w:top w:val="single" w:sz="4" w:space="0" w:color="auto"/>
              <w:left w:val="single" w:sz="4" w:space="0" w:color="auto"/>
              <w:bottom w:val="single" w:sz="4" w:space="0" w:color="000000"/>
              <w:right w:val="single" w:sz="4" w:space="0" w:color="auto"/>
            </w:tcBorders>
            <w:shd w:val="clear" w:color="auto" w:fill="92D050"/>
            <w:vAlign w:val="center"/>
            <w:hideMark/>
          </w:tcPr>
          <w:p w14:paraId="053CF486" w14:textId="77777777" w:rsidR="0060540B" w:rsidRPr="0060540B" w:rsidRDefault="0060540B" w:rsidP="0060540B">
            <w:pPr>
              <w:spacing w:after="160" w:line="259" w:lineRule="auto"/>
              <w:jc w:val="both"/>
              <w:rPr>
                <w:color w:val="000000"/>
                <w:sz w:val="22"/>
                <w:szCs w:val="22"/>
              </w:rPr>
            </w:pPr>
            <w:r w:rsidRPr="0060540B">
              <w:rPr>
                <w:color w:val="000000"/>
                <w:sz w:val="22"/>
                <w:szCs w:val="22"/>
              </w:rPr>
              <w:t>Nr.</w:t>
            </w:r>
            <w:r w:rsidRPr="0060540B">
              <w:rPr>
                <w:color w:val="000000"/>
                <w:sz w:val="22"/>
                <w:szCs w:val="22"/>
              </w:rPr>
              <w:br/>
              <w:t>crt.</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92D050"/>
            <w:vAlign w:val="center"/>
            <w:hideMark/>
          </w:tcPr>
          <w:p w14:paraId="0E7D5934" w14:textId="77777777" w:rsidR="0060540B" w:rsidRPr="0060540B" w:rsidRDefault="0060540B" w:rsidP="0060540B">
            <w:pPr>
              <w:spacing w:after="160" w:line="259" w:lineRule="auto"/>
              <w:jc w:val="both"/>
              <w:rPr>
                <w:color w:val="000000"/>
                <w:sz w:val="22"/>
                <w:szCs w:val="22"/>
              </w:rPr>
            </w:pPr>
            <w:r w:rsidRPr="0060540B">
              <w:rPr>
                <w:color w:val="000000"/>
                <w:sz w:val="22"/>
                <w:szCs w:val="22"/>
              </w:rPr>
              <w:t>Cod</w:t>
            </w:r>
            <w:r w:rsidRPr="0060540B">
              <w:rPr>
                <w:color w:val="000000"/>
                <w:sz w:val="22"/>
                <w:szCs w:val="22"/>
              </w:rPr>
              <w:br/>
              <w:t>Habitat</w:t>
            </w:r>
          </w:p>
        </w:tc>
        <w:tc>
          <w:tcPr>
            <w:tcW w:w="8077" w:type="dxa"/>
            <w:vMerge w:val="restart"/>
            <w:tcBorders>
              <w:top w:val="single" w:sz="4" w:space="0" w:color="auto"/>
              <w:left w:val="single" w:sz="4" w:space="0" w:color="auto"/>
              <w:bottom w:val="single" w:sz="4" w:space="0" w:color="auto"/>
              <w:right w:val="single" w:sz="4" w:space="0" w:color="auto"/>
            </w:tcBorders>
            <w:shd w:val="clear" w:color="auto" w:fill="92D050"/>
            <w:vAlign w:val="center"/>
            <w:hideMark/>
          </w:tcPr>
          <w:p w14:paraId="79D3CCEB" w14:textId="77777777" w:rsidR="0060540B" w:rsidRPr="0060540B" w:rsidRDefault="0060540B" w:rsidP="0060540B">
            <w:pPr>
              <w:spacing w:after="160" w:line="259" w:lineRule="auto"/>
              <w:jc w:val="both"/>
              <w:rPr>
                <w:color w:val="000000"/>
                <w:sz w:val="22"/>
                <w:szCs w:val="22"/>
              </w:rPr>
            </w:pPr>
            <w:r w:rsidRPr="0060540B">
              <w:rPr>
                <w:color w:val="000000"/>
                <w:sz w:val="22"/>
                <w:szCs w:val="22"/>
              </w:rPr>
              <w:t>Denumire Habitat</w:t>
            </w:r>
          </w:p>
        </w:tc>
      </w:tr>
      <w:tr w:rsidR="0060540B" w:rsidRPr="0060540B" w14:paraId="6B393112" w14:textId="77777777" w:rsidTr="0060540B">
        <w:trPr>
          <w:trHeight w:val="458"/>
        </w:trPr>
        <w:tc>
          <w:tcPr>
            <w:tcW w:w="240" w:type="dxa"/>
            <w:vMerge/>
            <w:tcBorders>
              <w:top w:val="single" w:sz="4" w:space="0" w:color="auto"/>
              <w:left w:val="single" w:sz="4" w:space="0" w:color="auto"/>
              <w:bottom w:val="single" w:sz="4" w:space="0" w:color="000000"/>
              <w:right w:val="single" w:sz="4" w:space="0" w:color="auto"/>
            </w:tcBorders>
            <w:shd w:val="clear" w:color="auto" w:fill="92D050"/>
            <w:vAlign w:val="center"/>
            <w:hideMark/>
          </w:tcPr>
          <w:p w14:paraId="5DAC5514" w14:textId="77777777" w:rsidR="0060540B" w:rsidRPr="0060540B" w:rsidRDefault="0060540B" w:rsidP="0060540B">
            <w:pPr>
              <w:spacing w:after="160" w:line="259" w:lineRule="auto"/>
              <w:jc w:val="both"/>
              <w:rPr>
                <w:color w:val="000000"/>
                <w:sz w:val="22"/>
                <w:szCs w:val="22"/>
              </w:rPr>
            </w:pPr>
          </w:p>
        </w:tc>
        <w:tc>
          <w:tcPr>
            <w:tcW w:w="0" w:type="auto"/>
            <w:vMerge/>
            <w:tcBorders>
              <w:top w:val="single" w:sz="4" w:space="0" w:color="auto"/>
              <w:left w:val="single" w:sz="4" w:space="0" w:color="auto"/>
              <w:bottom w:val="single" w:sz="4" w:space="0" w:color="000000"/>
              <w:right w:val="single" w:sz="4" w:space="0" w:color="auto"/>
            </w:tcBorders>
            <w:shd w:val="clear" w:color="auto" w:fill="92D050"/>
            <w:vAlign w:val="center"/>
            <w:hideMark/>
          </w:tcPr>
          <w:p w14:paraId="3748DB00" w14:textId="77777777" w:rsidR="0060540B" w:rsidRPr="0060540B" w:rsidRDefault="0060540B" w:rsidP="0060540B">
            <w:pPr>
              <w:spacing w:after="160" w:line="259" w:lineRule="auto"/>
              <w:jc w:val="both"/>
              <w:rPr>
                <w:color w:val="000000"/>
                <w:sz w:val="22"/>
                <w:szCs w:val="22"/>
              </w:rPr>
            </w:pPr>
          </w:p>
        </w:tc>
        <w:tc>
          <w:tcPr>
            <w:tcW w:w="8077" w:type="dxa"/>
            <w:vMerge/>
            <w:tcBorders>
              <w:top w:val="single" w:sz="4" w:space="0" w:color="auto"/>
              <w:left w:val="single" w:sz="4" w:space="0" w:color="auto"/>
              <w:bottom w:val="single" w:sz="4" w:space="0" w:color="auto"/>
              <w:right w:val="single" w:sz="4" w:space="0" w:color="auto"/>
            </w:tcBorders>
            <w:shd w:val="clear" w:color="auto" w:fill="92D050"/>
            <w:vAlign w:val="center"/>
            <w:hideMark/>
          </w:tcPr>
          <w:p w14:paraId="010656B6" w14:textId="77777777" w:rsidR="0060540B" w:rsidRPr="0060540B" w:rsidRDefault="0060540B" w:rsidP="0060540B">
            <w:pPr>
              <w:spacing w:after="160" w:line="259" w:lineRule="auto"/>
              <w:jc w:val="both"/>
              <w:rPr>
                <w:color w:val="000000"/>
                <w:sz w:val="22"/>
                <w:szCs w:val="22"/>
              </w:rPr>
            </w:pPr>
          </w:p>
        </w:tc>
      </w:tr>
      <w:tr w:rsidR="0060540B" w:rsidRPr="0060540B" w14:paraId="3261C5BE"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0C1C7F26" w14:textId="77777777" w:rsidR="0060540B" w:rsidRPr="0060540B" w:rsidRDefault="0060540B" w:rsidP="0060540B">
            <w:pPr>
              <w:spacing w:after="160" w:line="259" w:lineRule="auto"/>
              <w:jc w:val="both"/>
              <w:rPr>
                <w:color w:val="000000"/>
                <w:sz w:val="22"/>
                <w:szCs w:val="22"/>
              </w:rPr>
            </w:pPr>
            <w:r w:rsidRPr="0060540B">
              <w:rPr>
                <w:color w:val="000000"/>
                <w:sz w:val="22"/>
                <w:szCs w:val="22"/>
              </w:rPr>
              <w:t>1</w:t>
            </w:r>
          </w:p>
        </w:tc>
        <w:tc>
          <w:tcPr>
            <w:tcW w:w="0" w:type="auto"/>
            <w:tcBorders>
              <w:top w:val="nil"/>
              <w:left w:val="nil"/>
              <w:bottom w:val="single" w:sz="4" w:space="0" w:color="auto"/>
              <w:right w:val="single" w:sz="4" w:space="0" w:color="auto"/>
            </w:tcBorders>
            <w:shd w:val="clear" w:color="auto" w:fill="auto"/>
            <w:noWrap/>
            <w:vAlign w:val="center"/>
            <w:hideMark/>
          </w:tcPr>
          <w:p w14:paraId="3C467A58"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9110</w:t>
            </w:r>
          </w:p>
        </w:tc>
        <w:tc>
          <w:tcPr>
            <w:tcW w:w="8077" w:type="dxa"/>
            <w:tcBorders>
              <w:top w:val="nil"/>
              <w:left w:val="nil"/>
              <w:bottom w:val="single" w:sz="4" w:space="0" w:color="auto"/>
              <w:right w:val="single" w:sz="4" w:space="0" w:color="auto"/>
            </w:tcBorders>
            <w:shd w:val="clear" w:color="auto" w:fill="auto"/>
            <w:vAlign w:val="center"/>
            <w:hideMark/>
          </w:tcPr>
          <w:p w14:paraId="76D05BE1" w14:textId="77777777" w:rsidR="0060540B" w:rsidRPr="0060540B" w:rsidRDefault="0060540B" w:rsidP="0060540B">
            <w:pPr>
              <w:spacing w:after="160" w:line="259" w:lineRule="auto"/>
              <w:jc w:val="both"/>
              <w:rPr>
                <w:color w:val="000000"/>
                <w:sz w:val="22"/>
                <w:szCs w:val="22"/>
              </w:rPr>
            </w:pPr>
            <w:r w:rsidRPr="0060540B">
              <w:rPr>
                <w:color w:val="000000"/>
                <w:sz w:val="22"/>
                <w:szCs w:val="22"/>
              </w:rPr>
              <w:t xml:space="preserve">Păduri de fag de tip </w:t>
            </w:r>
            <w:r w:rsidRPr="0060540B">
              <w:rPr>
                <w:i/>
                <w:iCs/>
                <w:color w:val="000000"/>
                <w:sz w:val="22"/>
                <w:szCs w:val="22"/>
              </w:rPr>
              <w:t>Luzulo-Fagetum</w:t>
            </w:r>
          </w:p>
        </w:tc>
      </w:tr>
      <w:tr w:rsidR="0060540B" w:rsidRPr="0060540B" w14:paraId="21174A7E"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6BEBDF5D" w14:textId="77777777" w:rsidR="0060540B" w:rsidRPr="0060540B" w:rsidRDefault="0060540B" w:rsidP="0060540B">
            <w:pPr>
              <w:spacing w:after="160" w:line="259" w:lineRule="auto"/>
              <w:jc w:val="both"/>
              <w:rPr>
                <w:color w:val="000000"/>
                <w:sz w:val="22"/>
                <w:szCs w:val="22"/>
              </w:rPr>
            </w:pPr>
            <w:r w:rsidRPr="0060540B">
              <w:rPr>
                <w:color w:val="000000"/>
                <w:sz w:val="22"/>
                <w:szCs w:val="22"/>
              </w:rPr>
              <w:t>2</w:t>
            </w:r>
          </w:p>
        </w:tc>
        <w:tc>
          <w:tcPr>
            <w:tcW w:w="0" w:type="auto"/>
            <w:tcBorders>
              <w:top w:val="nil"/>
              <w:left w:val="nil"/>
              <w:bottom w:val="single" w:sz="4" w:space="0" w:color="auto"/>
              <w:right w:val="single" w:sz="4" w:space="0" w:color="auto"/>
            </w:tcBorders>
            <w:shd w:val="clear" w:color="auto" w:fill="auto"/>
            <w:noWrap/>
            <w:vAlign w:val="center"/>
            <w:hideMark/>
          </w:tcPr>
          <w:p w14:paraId="52E4EEB7"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9130</w:t>
            </w:r>
          </w:p>
        </w:tc>
        <w:tc>
          <w:tcPr>
            <w:tcW w:w="8077" w:type="dxa"/>
            <w:tcBorders>
              <w:top w:val="nil"/>
              <w:left w:val="nil"/>
              <w:bottom w:val="single" w:sz="4" w:space="0" w:color="auto"/>
              <w:right w:val="single" w:sz="4" w:space="0" w:color="auto"/>
            </w:tcBorders>
            <w:shd w:val="clear" w:color="auto" w:fill="auto"/>
            <w:vAlign w:val="center"/>
            <w:hideMark/>
          </w:tcPr>
          <w:p w14:paraId="33A6CD1B" w14:textId="77777777" w:rsidR="0060540B" w:rsidRPr="0060540B" w:rsidRDefault="0060540B" w:rsidP="0060540B">
            <w:pPr>
              <w:spacing w:after="160" w:line="259" w:lineRule="auto"/>
              <w:jc w:val="both"/>
              <w:rPr>
                <w:color w:val="000000"/>
                <w:sz w:val="22"/>
                <w:szCs w:val="22"/>
              </w:rPr>
            </w:pPr>
            <w:r w:rsidRPr="0060540B">
              <w:rPr>
                <w:color w:val="000000"/>
                <w:sz w:val="22"/>
                <w:szCs w:val="22"/>
              </w:rPr>
              <w:t xml:space="preserve">Păduri de fag de tip </w:t>
            </w:r>
            <w:r w:rsidRPr="0060540B">
              <w:rPr>
                <w:i/>
                <w:iCs/>
                <w:color w:val="000000"/>
                <w:sz w:val="22"/>
                <w:szCs w:val="22"/>
              </w:rPr>
              <w:t>Asperulo-Fagetum</w:t>
            </w:r>
          </w:p>
        </w:tc>
      </w:tr>
      <w:tr w:rsidR="0060540B" w:rsidRPr="0060540B" w14:paraId="4C3B0FF6"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15919AC5" w14:textId="77777777" w:rsidR="0060540B" w:rsidRPr="0060540B" w:rsidRDefault="0060540B" w:rsidP="0060540B">
            <w:pPr>
              <w:spacing w:after="160" w:line="259" w:lineRule="auto"/>
              <w:jc w:val="both"/>
              <w:rPr>
                <w:color w:val="000000"/>
                <w:sz w:val="22"/>
                <w:szCs w:val="22"/>
              </w:rPr>
            </w:pPr>
            <w:r w:rsidRPr="0060540B">
              <w:rPr>
                <w:color w:val="000000"/>
                <w:sz w:val="22"/>
                <w:szCs w:val="22"/>
              </w:rPr>
              <w:t>3</w:t>
            </w:r>
          </w:p>
        </w:tc>
        <w:tc>
          <w:tcPr>
            <w:tcW w:w="0" w:type="auto"/>
            <w:tcBorders>
              <w:top w:val="nil"/>
              <w:left w:val="nil"/>
              <w:bottom w:val="single" w:sz="4" w:space="0" w:color="auto"/>
              <w:right w:val="single" w:sz="4" w:space="0" w:color="auto"/>
            </w:tcBorders>
            <w:shd w:val="clear" w:color="auto" w:fill="auto"/>
            <w:noWrap/>
            <w:vAlign w:val="center"/>
            <w:hideMark/>
          </w:tcPr>
          <w:p w14:paraId="0DEB26A0"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9150</w:t>
            </w:r>
          </w:p>
        </w:tc>
        <w:tc>
          <w:tcPr>
            <w:tcW w:w="8077" w:type="dxa"/>
            <w:tcBorders>
              <w:top w:val="nil"/>
              <w:left w:val="nil"/>
              <w:bottom w:val="single" w:sz="4" w:space="0" w:color="auto"/>
              <w:right w:val="single" w:sz="4" w:space="0" w:color="auto"/>
            </w:tcBorders>
            <w:shd w:val="clear" w:color="auto" w:fill="auto"/>
            <w:vAlign w:val="center"/>
            <w:hideMark/>
          </w:tcPr>
          <w:p w14:paraId="11357E4D" w14:textId="77777777" w:rsidR="0060540B" w:rsidRPr="0060540B" w:rsidRDefault="0060540B" w:rsidP="0060540B">
            <w:pPr>
              <w:spacing w:after="160" w:line="259" w:lineRule="auto"/>
              <w:jc w:val="both"/>
              <w:rPr>
                <w:color w:val="000000"/>
                <w:sz w:val="22"/>
                <w:szCs w:val="22"/>
              </w:rPr>
            </w:pPr>
            <w:r w:rsidRPr="0060540B">
              <w:rPr>
                <w:color w:val="000000"/>
                <w:sz w:val="22"/>
                <w:szCs w:val="22"/>
              </w:rPr>
              <w:t xml:space="preserve">Păduri medio-europene de fag din </w:t>
            </w:r>
            <w:r w:rsidRPr="0060540B">
              <w:rPr>
                <w:i/>
                <w:iCs/>
                <w:color w:val="000000"/>
                <w:sz w:val="22"/>
                <w:szCs w:val="22"/>
              </w:rPr>
              <w:t>Cephalanthero-Fagion</w:t>
            </w:r>
            <w:r w:rsidRPr="0060540B">
              <w:rPr>
                <w:color w:val="000000"/>
                <w:sz w:val="22"/>
                <w:szCs w:val="22"/>
              </w:rPr>
              <w:t xml:space="preserve"> pe substrate calcaroase</w:t>
            </w:r>
          </w:p>
        </w:tc>
      </w:tr>
      <w:tr w:rsidR="0060540B" w:rsidRPr="0060540B" w14:paraId="5DB1E335"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10E02EDB" w14:textId="77777777" w:rsidR="0060540B" w:rsidRPr="0060540B" w:rsidRDefault="0060540B" w:rsidP="0060540B">
            <w:pPr>
              <w:spacing w:after="160" w:line="259" w:lineRule="auto"/>
              <w:jc w:val="both"/>
              <w:rPr>
                <w:color w:val="000000"/>
                <w:sz w:val="22"/>
                <w:szCs w:val="22"/>
              </w:rPr>
            </w:pPr>
            <w:r w:rsidRPr="0060540B">
              <w:rPr>
                <w:color w:val="000000"/>
                <w:sz w:val="22"/>
                <w:szCs w:val="22"/>
              </w:rPr>
              <w:t>4</w:t>
            </w:r>
          </w:p>
        </w:tc>
        <w:tc>
          <w:tcPr>
            <w:tcW w:w="0" w:type="auto"/>
            <w:tcBorders>
              <w:top w:val="nil"/>
              <w:left w:val="nil"/>
              <w:bottom w:val="single" w:sz="4" w:space="0" w:color="auto"/>
              <w:right w:val="single" w:sz="4" w:space="0" w:color="auto"/>
            </w:tcBorders>
            <w:shd w:val="clear" w:color="auto" w:fill="auto"/>
            <w:noWrap/>
            <w:vAlign w:val="center"/>
            <w:hideMark/>
          </w:tcPr>
          <w:p w14:paraId="03723CE9"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9170</w:t>
            </w:r>
          </w:p>
        </w:tc>
        <w:tc>
          <w:tcPr>
            <w:tcW w:w="8077" w:type="dxa"/>
            <w:tcBorders>
              <w:top w:val="nil"/>
              <w:left w:val="nil"/>
              <w:bottom w:val="single" w:sz="4" w:space="0" w:color="auto"/>
              <w:right w:val="single" w:sz="4" w:space="0" w:color="auto"/>
            </w:tcBorders>
            <w:shd w:val="clear" w:color="auto" w:fill="auto"/>
            <w:vAlign w:val="center"/>
            <w:hideMark/>
          </w:tcPr>
          <w:p w14:paraId="509776B5" w14:textId="77777777" w:rsidR="0060540B" w:rsidRPr="0060540B" w:rsidRDefault="0060540B" w:rsidP="0060540B">
            <w:pPr>
              <w:spacing w:after="160" w:line="259" w:lineRule="auto"/>
              <w:jc w:val="both"/>
              <w:rPr>
                <w:color w:val="000000"/>
                <w:sz w:val="22"/>
                <w:szCs w:val="22"/>
              </w:rPr>
            </w:pPr>
            <w:r w:rsidRPr="0060540B">
              <w:rPr>
                <w:color w:val="000000"/>
                <w:sz w:val="22"/>
                <w:szCs w:val="22"/>
              </w:rPr>
              <w:t xml:space="preserve">Păduri de stejar cu carpen de tip </w:t>
            </w:r>
            <w:r w:rsidRPr="0060540B">
              <w:rPr>
                <w:i/>
                <w:iCs/>
                <w:color w:val="000000"/>
                <w:sz w:val="22"/>
                <w:szCs w:val="22"/>
              </w:rPr>
              <w:t>Galio-Carpinetum</w:t>
            </w:r>
          </w:p>
        </w:tc>
      </w:tr>
      <w:tr w:rsidR="0060540B" w:rsidRPr="0060540B" w14:paraId="2EA5DFFD"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0C663FD9" w14:textId="77777777" w:rsidR="0060540B" w:rsidRPr="0060540B" w:rsidRDefault="0060540B" w:rsidP="0060540B">
            <w:pPr>
              <w:spacing w:after="160" w:line="259" w:lineRule="auto"/>
              <w:jc w:val="both"/>
              <w:rPr>
                <w:color w:val="000000"/>
                <w:sz w:val="22"/>
                <w:szCs w:val="22"/>
              </w:rPr>
            </w:pPr>
            <w:r w:rsidRPr="0060540B">
              <w:rPr>
                <w:color w:val="000000"/>
                <w:sz w:val="22"/>
                <w:szCs w:val="22"/>
              </w:rPr>
              <w:t>5</w:t>
            </w:r>
          </w:p>
        </w:tc>
        <w:tc>
          <w:tcPr>
            <w:tcW w:w="0" w:type="auto"/>
            <w:tcBorders>
              <w:top w:val="nil"/>
              <w:left w:val="nil"/>
              <w:bottom w:val="single" w:sz="4" w:space="0" w:color="auto"/>
              <w:right w:val="single" w:sz="4" w:space="0" w:color="auto"/>
            </w:tcBorders>
            <w:shd w:val="clear" w:color="auto" w:fill="auto"/>
            <w:noWrap/>
            <w:vAlign w:val="center"/>
            <w:hideMark/>
          </w:tcPr>
          <w:p w14:paraId="49AC2845"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9180*</w:t>
            </w:r>
          </w:p>
        </w:tc>
        <w:tc>
          <w:tcPr>
            <w:tcW w:w="8077" w:type="dxa"/>
            <w:tcBorders>
              <w:top w:val="nil"/>
              <w:left w:val="nil"/>
              <w:bottom w:val="single" w:sz="4" w:space="0" w:color="auto"/>
              <w:right w:val="single" w:sz="4" w:space="0" w:color="auto"/>
            </w:tcBorders>
            <w:shd w:val="clear" w:color="auto" w:fill="auto"/>
            <w:vAlign w:val="center"/>
            <w:hideMark/>
          </w:tcPr>
          <w:p w14:paraId="6C91C0FF" w14:textId="77777777" w:rsidR="0060540B" w:rsidRPr="0060540B" w:rsidRDefault="0060540B" w:rsidP="0060540B">
            <w:pPr>
              <w:spacing w:after="160" w:line="259" w:lineRule="auto"/>
              <w:jc w:val="both"/>
              <w:rPr>
                <w:color w:val="000000"/>
                <w:sz w:val="22"/>
                <w:szCs w:val="22"/>
              </w:rPr>
            </w:pPr>
            <w:r w:rsidRPr="0060540B">
              <w:rPr>
                <w:color w:val="000000"/>
                <w:sz w:val="22"/>
                <w:szCs w:val="22"/>
              </w:rPr>
              <w:t xml:space="preserve">Păduri din </w:t>
            </w:r>
            <w:r w:rsidRPr="0060540B">
              <w:rPr>
                <w:i/>
                <w:iCs/>
                <w:color w:val="000000"/>
                <w:sz w:val="22"/>
                <w:szCs w:val="22"/>
              </w:rPr>
              <w:t>Tilio-Acerion</w:t>
            </w:r>
            <w:r w:rsidRPr="0060540B">
              <w:rPr>
                <w:color w:val="000000"/>
                <w:sz w:val="22"/>
                <w:szCs w:val="22"/>
              </w:rPr>
              <w:t xml:space="preserve"> pe versanţi, grohotişuri şi ravene</w:t>
            </w:r>
          </w:p>
        </w:tc>
      </w:tr>
      <w:tr w:rsidR="0060540B" w:rsidRPr="0060540B" w14:paraId="0B7B5E2A"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2C8EAF60" w14:textId="77777777" w:rsidR="0060540B" w:rsidRPr="0060540B" w:rsidRDefault="0060540B" w:rsidP="0060540B">
            <w:pPr>
              <w:spacing w:after="160" w:line="259" w:lineRule="auto"/>
              <w:jc w:val="both"/>
              <w:rPr>
                <w:color w:val="000000"/>
                <w:sz w:val="22"/>
                <w:szCs w:val="22"/>
              </w:rPr>
            </w:pPr>
            <w:r w:rsidRPr="0060540B">
              <w:rPr>
                <w:color w:val="000000"/>
                <w:sz w:val="22"/>
                <w:szCs w:val="22"/>
              </w:rPr>
              <w:t>6</w:t>
            </w:r>
          </w:p>
        </w:tc>
        <w:tc>
          <w:tcPr>
            <w:tcW w:w="0" w:type="auto"/>
            <w:tcBorders>
              <w:top w:val="nil"/>
              <w:left w:val="nil"/>
              <w:bottom w:val="single" w:sz="4" w:space="0" w:color="auto"/>
              <w:right w:val="single" w:sz="4" w:space="0" w:color="auto"/>
            </w:tcBorders>
            <w:shd w:val="clear" w:color="auto" w:fill="auto"/>
            <w:noWrap/>
            <w:vAlign w:val="center"/>
            <w:hideMark/>
          </w:tcPr>
          <w:p w14:paraId="78EAADC5"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91AA</w:t>
            </w:r>
          </w:p>
        </w:tc>
        <w:tc>
          <w:tcPr>
            <w:tcW w:w="8077" w:type="dxa"/>
            <w:tcBorders>
              <w:top w:val="nil"/>
              <w:left w:val="nil"/>
              <w:bottom w:val="single" w:sz="4" w:space="0" w:color="auto"/>
              <w:right w:val="single" w:sz="4" w:space="0" w:color="auto"/>
            </w:tcBorders>
            <w:shd w:val="clear" w:color="auto" w:fill="auto"/>
            <w:vAlign w:val="center"/>
            <w:hideMark/>
          </w:tcPr>
          <w:p w14:paraId="5E194BBC" w14:textId="77777777" w:rsidR="0060540B" w:rsidRPr="0060540B" w:rsidRDefault="0060540B" w:rsidP="0060540B">
            <w:pPr>
              <w:spacing w:after="160" w:line="259" w:lineRule="auto"/>
              <w:jc w:val="both"/>
              <w:rPr>
                <w:color w:val="000000"/>
                <w:sz w:val="22"/>
                <w:szCs w:val="22"/>
              </w:rPr>
            </w:pPr>
            <w:r w:rsidRPr="0060540B">
              <w:rPr>
                <w:color w:val="000000"/>
                <w:sz w:val="22"/>
                <w:szCs w:val="22"/>
              </w:rPr>
              <w:t>Vegetație forestieră ponto-sarmatică cu stejar pufos</w:t>
            </w:r>
          </w:p>
        </w:tc>
      </w:tr>
      <w:tr w:rsidR="0060540B" w:rsidRPr="0060540B" w14:paraId="3C81D2AB"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16D83632" w14:textId="77777777" w:rsidR="0060540B" w:rsidRPr="0060540B" w:rsidRDefault="0060540B" w:rsidP="0060540B">
            <w:pPr>
              <w:spacing w:after="160" w:line="259" w:lineRule="auto"/>
              <w:jc w:val="both"/>
              <w:rPr>
                <w:color w:val="000000"/>
                <w:sz w:val="22"/>
                <w:szCs w:val="22"/>
              </w:rPr>
            </w:pPr>
            <w:r w:rsidRPr="0060540B">
              <w:rPr>
                <w:color w:val="000000"/>
                <w:sz w:val="22"/>
                <w:szCs w:val="22"/>
              </w:rPr>
              <w:t>7</w:t>
            </w:r>
          </w:p>
        </w:tc>
        <w:tc>
          <w:tcPr>
            <w:tcW w:w="0" w:type="auto"/>
            <w:tcBorders>
              <w:top w:val="nil"/>
              <w:left w:val="nil"/>
              <w:bottom w:val="single" w:sz="4" w:space="0" w:color="auto"/>
              <w:right w:val="single" w:sz="4" w:space="0" w:color="auto"/>
            </w:tcBorders>
            <w:shd w:val="clear" w:color="auto" w:fill="auto"/>
            <w:noWrap/>
            <w:vAlign w:val="center"/>
            <w:hideMark/>
          </w:tcPr>
          <w:p w14:paraId="7FA3D3D5"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91D0*</w:t>
            </w:r>
          </w:p>
        </w:tc>
        <w:tc>
          <w:tcPr>
            <w:tcW w:w="8077" w:type="dxa"/>
            <w:tcBorders>
              <w:top w:val="nil"/>
              <w:left w:val="nil"/>
              <w:bottom w:val="single" w:sz="4" w:space="0" w:color="auto"/>
              <w:right w:val="single" w:sz="4" w:space="0" w:color="auto"/>
            </w:tcBorders>
            <w:shd w:val="clear" w:color="auto" w:fill="auto"/>
            <w:vAlign w:val="center"/>
            <w:hideMark/>
          </w:tcPr>
          <w:p w14:paraId="4B029102" w14:textId="77777777" w:rsidR="0060540B" w:rsidRPr="0060540B" w:rsidRDefault="0060540B" w:rsidP="0060540B">
            <w:pPr>
              <w:spacing w:after="160" w:line="259" w:lineRule="auto"/>
              <w:jc w:val="both"/>
              <w:rPr>
                <w:color w:val="000000"/>
                <w:sz w:val="22"/>
                <w:szCs w:val="22"/>
              </w:rPr>
            </w:pPr>
            <w:r w:rsidRPr="0060540B">
              <w:rPr>
                <w:color w:val="000000"/>
                <w:sz w:val="22"/>
                <w:szCs w:val="22"/>
              </w:rPr>
              <w:t>Turbării cu vegetaţie forestieră</w:t>
            </w:r>
          </w:p>
        </w:tc>
      </w:tr>
      <w:tr w:rsidR="0060540B" w:rsidRPr="0060540B" w14:paraId="458746A6" w14:textId="77777777" w:rsidTr="0060540B">
        <w:trPr>
          <w:trHeight w:val="630"/>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5B7BB4E6" w14:textId="77777777" w:rsidR="0060540B" w:rsidRPr="0060540B" w:rsidRDefault="0060540B" w:rsidP="0060540B">
            <w:pPr>
              <w:spacing w:after="160" w:line="259" w:lineRule="auto"/>
              <w:jc w:val="both"/>
              <w:rPr>
                <w:color w:val="000000"/>
                <w:sz w:val="22"/>
                <w:szCs w:val="22"/>
              </w:rPr>
            </w:pPr>
            <w:r w:rsidRPr="0060540B">
              <w:rPr>
                <w:color w:val="000000"/>
                <w:sz w:val="22"/>
                <w:szCs w:val="22"/>
              </w:rPr>
              <w:t>8</w:t>
            </w:r>
          </w:p>
        </w:tc>
        <w:tc>
          <w:tcPr>
            <w:tcW w:w="0" w:type="auto"/>
            <w:tcBorders>
              <w:top w:val="nil"/>
              <w:left w:val="nil"/>
              <w:bottom w:val="single" w:sz="4" w:space="0" w:color="auto"/>
              <w:right w:val="single" w:sz="4" w:space="0" w:color="auto"/>
            </w:tcBorders>
            <w:shd w:val="clear" w:color="auto" w:fill="auto"/>
            <w:noWrap/>
            <w:vAlign w:val="center"/>
            <w:hideMark/>
          </w:tcPr>
          <w:p w14:paraId="33D7C009"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91E0*</w:t>
            </w:r>
          </w:p>
        </w:tc>
        <w:tc>
          <w:tcPr>
            <w:tcW w:w="8077" w:type="dxa"/>
            <w:tcBorders>
              <w:top w:val="nil"/>
              <w:left w:val="nil"/>
              <w:bottom w:val="single" w:sz="4" w:space="0" w:color="auto"/>
              <w:right w:val="single" w:sz="4" w:space="0" w:color="auto"/>
            </w:tcBorders>
            <w:shd w:val="clear" w:color="auto" w:fill="auto"/>
            <w:vAlign w:val="center"/>
            <w:hideMark/>
          </w:tcPr>
          <w:p w14:paraId="76EEE2FF" w14:textId="77777777" w:rsidR="0060540B" w:rsidRPr="0060540B" w:rsidRDefault="0060540B" w:rsidP="0060540B">
            <w:pPr>
              <w:spacing w:after="160" w:line="259" w:lineRule="auto"/>
              <w:jc w:val="both"/>
              <w:rPr>
                <w:color w:val="000000"/>
                <w:sz w:val="22"/>
                <w:szCs w:val="22"/>
              </w:rPr>
            </w:pPr>
            <w:r w:rsidRPr="0060540B">
              <w:rPr>
                <w:color w:val="000000"/>
                <w:sz w:val="22"/>
                <w:szCs w:val="22"/>
              </w:rPr>
              <w:t xml:space="preserve">Păduri aluviale cu </w:t>
            </w:r>
            <w:r w:rsidRPr="0060540B">
              <w:rPr>
                <w:i/>
                <w:iCs/>
                <w:color w:val="000000"/>
                <w:sz w:val="22"/>
                <w:szCs w:val="22"/>
              </w:rPr>
              <w:t>Alnus glutinosa</w:t>
            </w:r>
            <w:r w:rsidRPr="0060540B">
              <w:rPr>
                <w:color w:val="000000"/>
                <w:sz w:val="22"/>
                <w:szCs w:val="22"/>
              </w:rPr>
              <w:t xml:space="preserve"> şi </w:t>
            </w:r>
            <w:r w:rsidRPr="0060540B">
              <w:rPr>
                <w:i/>
                <w:iCs/>
                <w:color w:val="000000"/>
                <w:sz w:val="22"/>
                <w:szCs w:val="22"/>
              </w:rPr>
              <w:t>Fraxinus excelsior</w:t>
            </w:r>
            <w:r w:rsidRPr="0060540B">
              <w:rPr>
                <w:color w:val="000000"/>
                <w:sz w:val="22"/>
                <w:szCs w:val="22"/>
              </w:rPr>
              <w:t xml:space="preserve"> (</w:t>
            </w:r>
            <w:r w:rsidRPr="0060540B">
              <w:rPr>
                <w:i/>
                <w:iCs/>
                <w:color w:val="000000"/>
                <w:sz w:val="22"/>
                <w:szCs w:val="22"/>
              </w:rPr>
              <w:t>Alno-Padion</w:t>
            </w:r>
            <w:r w:rsidRPr="0060540B">
              <w:rPr>
                <w:color w:val="000000"/>
                <w:sz w:val="22"/>
                <w:szCs w:val="22"/>
              </w:rPr>
              <w:t xml:space="preserve">, </w:t>
            </w:r>
            <w:r w:rsidRPr="0060540B">
              <w:rPr>
                <w:i/>
                <w:iCs/>
                <w:color w:val="000000"/>
                <w:sz w:val="22"/>
                <w:szCs w:val="22"/>
              </w:rPr>
              <w:t>Alnion incanae</w:t>
            </w:r>
            <w:r w:rsidRPr="0060540B">
              <w:rPr>
                <w:color w:val="000000"/>
                <w:sz w:val="22"/>
                <w:szCs w:val="22"/>
              </w:rPr>
              <w:t xml:space="preserve">, </w:t>
            </w:r>
            <w:r w:rsidRPr="0060540B">
              <w:rPr>
                <w:i/>
                <w:iCs/>
                <w:color w:val="000000"/>
                <w:sz w:val="22"/>
                <w:szCs w:val="22"/>
              </w:rPr>
              <w:t>Salicion albae</w:t>
            </w:r>
            <w:r w:rsidRPr="0060540B">
              <w:rPr>
                <w:color w:val="000000"/>
                <w:sz w:val="22"/>
                <w:szCs w:val="22"/>
              </w:rPr>
              <w:t>)</w:t>
            </w:r>
          </w:p>
        </w:tc>
      </w:tr>
      <w:tr w:rsidR="0060540B" w:rsidRPr="0060540B" w14:paraId="019374FD" w14:textId="77777777" w:rsidTr="0060540B">
        <w:trPr>
          <w:trHeight w:val="630"/>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71AE2B70"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w:t>
            </w:r>
          </w:p>
        </w:tc>
        <w:tc>
          <w:tcPr>
            <w:tcW w:w="0" w:type="auto"/>
            <w:tcBorders>
              <w:top w:val="nil"/>
              <w:left w:val="nil"/>
              <w:bottom w:val="single" w:sz="4" w:space="0" w:color="auto"/>
              <w:right w:val="single" w:sz="4" w:space="0" w:color="auto"/>
            </w:tcBorders>
            <w:shd w:val="clear" w:color="auto" w:fill="auto"/>
            <w:noWrap/>
            <w:vAlign w:val="center"/>
            <w:hideMark/>
          </w:tcPr>
          <w:p w14:paraId="41C55F6C"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91F0</w:t>
            </w:r>
          </w:p>
        </w:tc>
        <w:tc>
          <w:tcPr>
            <w:tcW w:w="8077" w:type="dxa"/>
            <w:tcBorders>
              <w:top w:val="nil"/>
              <w:left w:val="nil"/>
              <w:bottom w:val="single" w:sz="4" w:space="0" w:color="auto"/>
              <w:right w:val="single" w:sz="4" w:space="0" w:color="auto"/>
            </w:tcBorders>
            <w:shd w:val="clear" w:color="auto" w:fill="auto"/>
            <w:vAlign w:val="center"/>
            <w:hideMark/>
          </w:tcPr>
          <w:p w14:paraId="4BEA9643" w14:textId="77777777" w:rsidR="0060540B" w:rsidRPr="0060540B" w:rsidRDefault="0060540B" w:rsidP="0060540B">
            <w:pPr>
              <w:spacing w:after="160" w:line="259" w:lineRule="auto"/>
              <w:jc w:val="both"/>
              <w:rPr>
                <w:color w:val="000000"/>
                <w:sz w:val="22"/>
                <w:szCs w:val="22"/>
              </w:rPr>
            </w:pPr>
            <w:r w:rsidRPr="0060540B">
              <w:rPr>
                <w:color w:val="000000"/>
                <w:sz w:val="22"/>
                <w:szCs w:val="22"/>
              </w:rPr>
              <w:t xml:space="preserve">Păduri ripariene mixte cu </w:t>
            </w:r>
            <w:r w:rsidRPr="0060540B">
              <w:rPr>
                <w:i/>
                <w:iCs/>
                <w:color w:val="000000"/>
                <w:sz w:val="22"/>
                <w:szCs w:val="22"/>
              </w:rPr>
              <w:t>Quercus robur</w:t>
            </w:r>
            <w:r w:rsidRPr="0060540B">
              <w:rPr>
                <w:color w:val="000000"/>
                <w:sz w:val="22"/>
                <w:szCs w:val="22"/>
              </w:rPr>
              <w:t xml:space="preserve">, </w:t>
            </w:r>
            <w:r w:rsidRPr="0060540B">
              <w:rPr>
                <w:i/>
                <w:iCs/>
                <w:color w:val="000000"/>
                <w:sz w:val="22"/>
                <w:szCs w:val="22"/>
              </w:rPr>
              <w:t>Ulmus laevis</w:t>
            </w:r>
            <w:r w:rsidRPr="0060540B">
              <w:rPr>
                <w:color w:val="000000"/>
                <w:sz w:val="22"/>
                <w:szCs w:val="22"/>
              </w:rPr>
              <w:t xml:space="preserve">, </w:t>
            </w:r>
            <w:r w:rsidRPr="0060540B">
              <w:rPr>
                <w:i/>
                <w:iCs/>
                <w:color w:val="000000"/>
                <w:sz w:val="22"/>
                <w:szCs w:val="22"/>
              </w:rPr>
              <w:t>Fraxinus excelsior</w:t>
            </w:r>
            <w:r w:rsidRPr="0060540B">
              <w:rPr>
                <w:color w:val="000000"/>
                <w:sz w:val="22"/>
                <w:szCs w:val="22"/>
              </w:rPr>
              <w:t xml:space="preserve"> sau </w:t>
            </w:r>
            <w:r w:rsidRPr="0060540B">
              <w:rPr>
                <w:i/>
                <w:iCs/>
                <w:color w:val="000000"/>
                <w:sz w:val="22"/>
                <w:szCs w:val="22"/>
              </w:rPr>
              <w:t>Fraxinus angustifolia</w:t>
            </w:r>
            <w:r w:rsidRPr="0060540B">
              <w:rPr>
                <w:color w:val="000000"/>
                <w:sz w:val="22"/>
                <w:szCs w:val="22"/>
              </w:rPr>
              <w:t>, din lungul marilor rauri (</w:t>
            </w:r>
            <w:r w:rsidRPr="0060540B">
              <w:rPr>
                <w:i/>
                <w:iCs/>
                <w:color w:val="000000"/>
                <w:sz w:val="22"/>
                <w:szCs w:val="22"/>
              </w:rPr>
              <w:t>Ulmenion minoris</w:t>
            </w:r>
            <w:r w:rsidRPr="0060540B">
              <w:rPr>
                <w:color w:val="000000"/>
                <w:sz w:val="22"/>
                <w:szCs w:val="22"/>
              </w:rPr>
              <w:t>)</w:t>
            </w:r>
          </w:p>
        </w:tc>
      </w:tr>
      <w:tr w:rsidR="0060540B" w:rsidRPr="0060540B" w14:paraId="64545E04"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10FBCFED" w14:textId="77777777" w:rsidR="0060540B" w:rsidRPr="0060540B" w:rsidRDefault="0060540B" w:rsidP="0060540B">
            <w:pPr>
              <w:spacing w:after="160" w:line="259" w:lineRule="auto"/>
              <w:jc w:val="both"/>
              <w:rPr>
                <w:color w:val="000000"/>
                <w:sz w:val="22"/>
                <w:szCs w:val="22"/>
              </w:rPr>
            </w:pPr>
            <w:r w:rsidRPr="0060540B">
              <w:rPr>
                <w:color w:val="000000"/>
                <w:sz w:val="22"/>
                <w:szCs w:val="22"/>
              </w:rPr>
              <w:t>10</w:t>
            </w:r>
          </w:p>
        </w:tc>
        <w:tc>
          <w:tcPr>
            <w:tcW w:w="0" w:type="auto"/>
            <w:tcBorders>
              <w:top w:val="nil"/>
              <w:left w:val="nil"/>
              <w:bottom w:val="single" w:sz="4" w:space="0" w:color="auto"/>
              <w:right w:val="single" w:sz="4" w:space="0" w:color="auto"/>
            </w:tcBorders>
            <w:shd w:val="clear" w:color="auto" w:fill="auto"/>
            <w:noWrap/>
            <w:vAlign w:val="center"/>
            <w:hideMark/>
          </w:tcPr>
          <w:p w14:paraId="27646B8D"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91H0*</w:t>
            </w:r>
          </w:p>
        </w:tc>
        <w:tc>
          <w:tcPr>
            <w:tcW w:w="8077" w:type="dxa"/>
            <w:tcBorders>
              <w:top w:val="nil"/>
              <w:left w:val="nil"/>
              <w:bottom w:val="single" w:sz="4" w:space="0" w:color="auto"/>
              <w:right w:val="single" w:sz="4" w:space="0" w:color="auto"/>
            </w:tcBorders>
            <w:shd w:val="clear" w:color="auto" w:fill="auto"/>
            <w:vAlign w:val="center"/>
            <w:hideMark/>
          </w:tcPr>
          <w:p w14:paraId="527EC4E5" w14:textId="77777777" w:rsidR="0060540B" w:rsidRPr="0060540B" w:rsidRDefault="0060540B" w:rsidP="0060540B">
            <w:pPr>
              <w:spacing w:after="160" w:line="259" w:lineRule="auto"/>
              <w:jc w:val="both"/>
              <w:rPr>
                <w:color w:val="000000"/>
                <w:sz w:val="22"/>
                <w:szCs w:val="22"/>
              </w:rPr>
            </w:pPr>
            <w:r w:rsidRPr="0060540B">
              <w:rPr>
                <w:color w:val="000000"/>
                <w:sz w:val="22"/>
                <w:szCs w:val="22"/>
              </w:rPr>
              <w:t xml:space="preserve">Vegetaţie forestieră panonică cu </w:t>
            </w:r>
            <w:r w:rsidRPr="0060540B">
              <w:rPr>
                <w:i/>
                <w:iCs/>
                <w:color w:val="000000"/>
                <w:sz w:val="22"/>
                <w:szCs w:val="22"/>
              </w:rPr>
              <w:t>Quercus pubescens</w:t>
            </w:r>
          </w:p>
        </w:tc>
      </w:tr>
      <w:tr w:rsidR="0060540B" w:rsidRPr="0060540B" w14:paraId="055098A6"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13A7B94A" w14:textId="77777777" w:rsidR="0060540B" w:rsidRPr="0060540B" w:rsidRDefault="0060540B" w:rsidP="0060540B">
            <w:pPr>
              <w:spacing w:after="160" w:line="259" w:lineRule="auto"/>
              <w:jc w:val="both"/>
              <w:rPr>
                <w:color w:val="000000"/>
                <w:sz w:val="22"/>
                <w:szCs w:val="22"/>
              </w:rPr>
            </w:pPr>
            <w:r w:rsidRPr="0060540B">
              <w:rPr>
                <w:color w:val="000000"/>
                <w:sz w:val="22"/>
                <w:szCs w:val="22"/>
              </w:rPr>
              <w:t>11</w:t>
            </w:r>
          </w:p>
        </w:tc>
        <w:tc>
          <w:tcPr>
            <w:tcW w:w="0" w:type="auto"/>
            <w:tcBorders>
              <w:top w:val="nil"/>
              <w:left w:val="nil"/>
              <w:bottom w:val="single" w:sz="4" w:space="0" w:color="auto"/>
              <w:right w:val="single" w:sz="4" w:space="0" w:color="auto"/>
            </w:tcBorders>
            <w:shd w:val="clear" w:color="auto" w:fill="auto"/>
            <w:noWrap/>
            <w:vAlign w:val="center"/>
            <w:hideMark/>
          </w:tcPr>
          <w:p w14:paraId="247C0CB3"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91I0*</w:t>
            </w:r>
          </w:p>
        </w:tc>
        <w:tc>
          <w:tcPr>
            <w:tcW w:w="8077" w:type="dxa"/>
            <w:tcBorders>
              <w:top w:val="nil"/>
              <w:left w:val="nil"/>
              <w:bottom w:val="single" w:sz="4" w:space="0" w:color="auto"/>
              <w:right w:val="single" w:sz="4" w:space="0" w:color="auto"/>
            </w:tcBorders>
            <w:shd w:val="clear" w:color="auto" w:fill="auto"/>
            <w:vAlign w:val="center"/>
            <w:hideMark/>
          </w:tcPr>
          <w:p w14:paraId="45FFE713" w14:textId="77777777" w:rsidR="0060540B" w:rsidRPr="0060540B" w:rsidRDefault="0060540B" w:rsidP="0060540B">
            <w:pPr>
              <w:spacing w:after="160" w:line="259" w:lineRule="auto"/>
              <w:jc w:val="both"/>
              <w:rPr>
                <w:color w:val="000000"/>
                <w:sz w:val="22"/>
                <w:szCs w:val="22"/>
              </w:rPr>
            </w:pPr>
            <w:r w:rsidRPr="0060540B">
              <w:rPr>
                <w:color w:val="000000"/>
                <w:sz w:val="22"/>
                <w:szCs w:val="22"/>
              </w:rPr>
              <w:t xml:space="preserve">Vegetație de silvostepă eurosiberiană cu </w:t>
            </w:r>
            <w:r w:rsidRPr="0060540B">
              <w:rPr>
                <w:i/>
                <w:iCs/>
                <w:color w:val="000000"/>
                <w:sz w:val="22"/>
                <w:szCs w:val="22"/>
              </w:rPr>
              <w:t>Quercus spp</w:t>
            </w:r>
          </w:p>
        </w:tc>
      </w:tr>
      <w:tr w:rsidR="0060540B" w:rsidRPr="0060540B" w14:paraId="0AA63399"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7FFCDC7C" w14:textId="77777777" w:rsidR="0060540B" w:rsidRPr="0060540B" w:rsidRDefault="0060540B" w:rsidP="0060540B">
            <w:pPr>
              <w:spacing w:after="160" w:line="259" w:lineRule="auto"/>
              <w:jc w:val="both"/>
              <w:rPr>
                <w:color w:val="000000"/>
                <w:sz w:val="22"/>
                <w:szCs w:val="22"/>
              </w:rPr>
            </w:pPr>
            <w:r w:rsidRPr="0060540B">
              <w:rPr>
                <w:color w:val="000000"/>
                <w:sz w:val="22"/>
                <w:szCs w:val="22"/>
              </w:rPr>
              <w:t>12</w:t>
            </w:r>
          </w:p>
        </w:tc>
        <w:tc>
          <w:tcPr>
            <w:tcW w:w="0" w:type="auto"/>
            <w:tcBorders>
              <w:top w:val="nil"/>
              <w:left w:val="nil"/>
              <w:bottom w:val="single" w:sz="4" w:space="0" w:color="auto"/>
              <w:right w:val="single" w:sz="4" w:space="0" w:color="auto"/>
            </w:tcBorders>
            <w:shd w:val="clear" w:color="auto" w:fill="auto"/>
            <w:noWrap/>
            <w:vAlign w:val="center"/>
            <w:hideMark/>
          </w:tcPr>
          <w:p w14:paraId="22A38C7E"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91K0</w:t>
            </w:r>
          </w:p>
        </w:tc>
        <w:tc>
          <w:tcPr>
            <w:tcW w:w="8077" w:type="dxa"/>
            <w:tcBorders>
              <w:top w:val="nil"/>
              <w:left w:val="nil"/>
              <w:bottom w:val="single" w:sz="4" w:space="0" w:color="auto"/>
              <w:right w:val="single" w:sz="4" w:space="0" w:color="auto"/>
            </w:tcBorders>
            <w:shd w:val="clear" w:color="auto" w:fill="auto"/>
            <w:vAlign w:val="center"/>
            <w:hideMark/>
          </w:tcPr>
          <w:p w14:paraId="77517298" w14:textId="77777777" w:rsidR="0060540B" w:rsidRPr="0060540B" w:rsidRDefault="0060540B" w:rsidP="0060540B">
            <w:pPr>
              <w:spacing w:after="160" w:line="259" w:lineRule="auto"/>
              <w:jc w:val="both"/>
              <w:rPr>
                <w:color w:val="000000"/>
                <w:sz w:val="22"/>
                <w:szCs w:val="22"/>
              </w:rPr>
            </w:pPr>
            <w:r w:rsidRPr="0060540B">
              <w:rPr>
                <w:color w:val="000000"/>
                <w:sz w:val="22"/>
                <w:szCs w:val="22"/>
              </w:rPr>
              <w:t>Păduri ilirice de Fagus sylvatica (</w:t>
            </w:r>
            <w:r w:rsidRPr="0060540B">
              <w:rPr>
                <w:i/>
                <w:iCs/>
                <w:color w:val="000000"/>
                <w:sz w:val="22"/>
                <w:szCs w:val="22"/>
              </w:rPr>
              <w:t>Aremonio-Fagion</w:t>
            </w:r>
            <w:r w:rsidRPr="0060540B">
              <w:rPr>
                <w:color w:val="000000"/>
                <w:sz w:val="22"/>
                <w:szCs w:val="22"/>
              </w:rPr>
              <w:t>)</w:t>
            </w:r>
          </w:p>
        </w:tc>
      </w:tr>
      <w:tr w:rsidR="0060540B" w:rsidRPr="0060540B" w14:paraId="739D8191"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25162A28" w14:textId="77777777" w:rsidR="0060540B" w:rsidRPr="0060540B" w:rsidRDefault="0060540B" w:rsidP="0060540B">
            <w:pPr>
              <w:spacing w:after="160" w:line="259" w:lineRule="auto"/>
              <w:jc w:val="both"/>
              <w:rPr>
                <w:color w:val="000000"/>
                <w:sz w:val="22"/>
                <w:szCs w:val="22"/>
              </w:rPr>
            </w:pPr>
            <w:r w:rsidRPr="0060540B">
              <w:rPr>
                <w:color w:val="000000"/>
                <w:sz w:val="22"/>
                <w:szCs w:val="22"/>
              </w:rPr>
              <w:t>13</w:t>
            </w:r>
          </w:p>
        </w:tc>
        <w:tc>
          <w:tcPr>
            <w:tcW w:w="0" w:type="auto"/>
            <w:tcBorders>
              <w:top w:val="nil"/>
              <w:left w:val="nil"/>
              <w:bottom w:val="single" w:sz="4" w:space="0" w:color="auto"/>
              <w:right w:val="single" w:sz="4" w:space="0" w:color="auto"/>
            </w:tcBorders>
            <w:shd w:val="clear" w:color="auto" w:fill="auto"/>
            <w:noWrap/>
            <w:vAlign w:val="center"/>
            <w:hideMark/>
          </w:tcPr>
          <w:p w14:paraId="5E5C1580"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91L0</w:t>
            </w:r>
          </w:p>
        </w:tc>
        <w:tc>
          <w:tcPr>
            <w:tcW w:w="8077" w:type="dxa"/>
            <w:tcBorders>
              <w:top w:val="nil"/>
              <w:left w:val="nil"/>
              <w:bottom w:val="single" w:sz="4" w:space="0" w:color="auto"/>
              <w:right w:val="single" w:sz="4" w:space="0" w:color="auto"/>
            </w:tcBorders>
            <w:shd w:val="clear" w:color="auto" w:fill="auto"/>
            <w:vAlign w:val="center"/>
            <w:hideMark/>
          </w:tcPr>
          <w:p w14:paraId="0DB1A898" w14:textId="77777777" w:rsidR="0060540B" w:rsidRPr="0060540B" w:rsidRDefault="0060540B" w:rsidP="0060540B">
            <w:pPr>
              <w:spacing w:after="160" w:line="259" w:lineRule="auto"/>
              <w:jc w:val="both"/>
              <w:rPr>
                <w:color w:val="000000"/>
                <w:sz w:val="22"/>
                <w:szCs w:val="22"/>
              </w:rPr>
            </w:pPr>
            <w:r w:rsidRPr="0060540B">
              <w:rPr>
                <w:color w:val="000000"/>
                <w:sz w:val="22"/>
                <w:szCs w:val="22"/>
              </w:rPr>
              <w:t>Păduri ilirice de stejar cu carpen (</w:t>
            </w:r>
            <w:r w:rsidRPr="0060540B">
              <w:rPr>
                <w:i/>
                <w:iCs/>
                <w:color w:val="000000"/>
                <w:sz w:val="22"/>
                <w:szCs w:val="22"/>
              </w:rPr>
              <w:t>Erythronio-Carpiniori</w:t>
            </w:r>
            <w:r w:rsidRPr="0060540B">
              <w:rPr>
                <w:color w:val="000000"/>
                <w:sz w:val="22"/>
                <w:szCs w:val="22"/>
              </w:rPr>
              <w:t>)</w:t>
            </w:r>
          </w:p>
        </w:tc>
      </w:tr>
      <w:tr w:rsidR="0060540B" w:rsidRPr="0060540B" w14:paraId="4D9E4B52"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7C809A46" w14:textId="77777777" w:rsidR="0060540B" w:rsidRPr="0060540B" w:rsidRDefault="0060540B" w:rsidP="0060540B">
            <w:pPr>
              <w:spacing w:after="160" w:line="259" w:lineRule="auto"/>
              <w:jc w:val="both"/>
              <w:rPr>
                <w:color w:val="000000"/>
                <w:sz w:val="22"/>
                <w:szCs w:val="22"/>
              </w:rPr>
            </w:pPr>
            <w:r w:rsidRPr="0060540B">
              <w:rPr>
                <w:color w:val="000000"/>
                <w:sz w:val="22"/>
                <w:szCs w:val="22"/>
              </w:rPr>
              <w:t>14</w:t>
            </w:r>
          </w:p>
        </w:tc>
        <w:tc>
          <w:tcPr>
            <w:tcW w:w="0" w:type="auto"/>
            <w:tcBorders>
              <w:top w:val="nil"/>
              <w:left w:val="nil"/>
              <w:bottom w:val="single" w:sz="4" w:space="0" w:color="auto"/>
              <w:right w:val="single" w:sz="4" w:space="0" w:color="auto"/>
            </w:tcBorders>
            <w:shd w:val="clear" w:color="auto" w:fill="auto"/>
            <w:noWrap/>
            <w:vAlign w:val="center"/>
            <w:hideMark/>
          </w:tcPr>
          <w:p w14:paraId="6CAB6058"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91M0</w:t>
            </w:r>
          </w:p>
        </w:tc>
        <w:tc>
          <w:tcPr>
            <w:tcW w:w="8077" w:type="dxa"/>
            <w:tcBorders>
              <w:top w:val="nil"/>
              <w:left w:val="nil"/>
              <w:bottom w:val="single" w:sz="4" w:space="0" w:color="auto"/>
              <w:right w:val="single" w:sz="4" w:space="0" w:color="auto"/>
            </w:tcBorders>
            <w:shd w:val="clear" w:color="auto" w:fill="auto"/>
            <w:vAlign w:val="center"/>
            <w:hideMark/>
          </w:tcPr>
          <w:p w14:paraId="059C05FC" w14:textId="77777777" w:rsidR="0060540B" w:rsidRPr="0060540B" w:rsidRDefault="0060540B" w:rsidP="0060540B">
            <w:pPr>
              <w:spacing w:after="160" w:line="259" w:lineRule="auto"/>
              <w:jc w:val="both"/>
              <w:rPr>
                <w:color w:val="000000"/>
                <w:sz w:val="22"/>
                <w:szCs w:val="22"/>
              </w:rPr>
            </w:pPr>
            <w:r w:rsidRPr="0060540B">
              <w:rPr>
                <w:color w:val="000000"/>
                <w:sz w:val="22"/>
                <w:szCs w:val="22"/>
              </w:rPr>
              <w:t>Păduri balcano-panonice de cer și gorun</w:t>
            </w:r>
          </w:p>
        </w:tc>
      </w:tr>
      <w:tr w:rsidR="0060540B" w:rsidRPr="0060540B" w14:paraId="64EC89D5"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4CBC5A29" w14:textId="77777777" w:rsidR="0060540B" w:rsidRPr="0060540B" w:rsidRDefault="0060540B" w:rsidP="0060540B">
            <w:pPr>
              <w:spacing w:after="160" w:line="259" w:lineRule="auto"/>
              <w:jc w:val="both"/>
              <w:rPr>
                <w:color w:val="000000"/>
                <w:sz w:val="22"/>
                <w:szCs w:val="22"/>
              </w:rPr>
            </w:pPr>
            <w:r w:rsidRPr="0060540B">
              <w:rPr>
                <w:color w:val="000000"/>
                <w:sz w:val="22"/>
                <w:szCs w:val="22"/>
              </w:rPr>
              <w:t>15</w:t>
            </w:r>
          </w:p>
        </w:tc>
        <w:tc>
          <w:tcPr>
            <w:tcW w:w="0" w:type="auto"/>
            <w:tcBorders>
              <w:top w:val="nil"/>
              <w:left w:val="nil"/>
              <w:bottom w:val="single" w:sz="4" w:space="0" w:color="auto"/>
              <w:right w:val="single" w:sz="4" w:space="0" w:color="auto"/>
            </w:tcBorders>
            <w:shd w:val="clear" w:color="auto" w:fill="auto"/>
            <w:noWrap/>
            <w:vAlign w:val="center"/>
            <w:hideMark/>
          </w:tcPr>
          <w:p w14:paraId="70DBBAC5"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91Q0</w:t>
            </w:r>
          </w:p>
        </w:tc>
        <w:tc>
          <w:tcPr>
            <w:tcW w:w="8077" w:type="dxa"/>
            <w:tcBorders>
              <w:top w:val="nil"/>
              <w:left w:val="nil"/>
              <w:bottom w:val="single" w:sz="4" w:space="0" w:color="auto"/>
              <w:right w:val="single" w:sz="4" w:space="0" w:color="auto"/>
            </w:tcBorders>
            <w:shd w:val="clear" w:color="auto" w:fill="auto"/>
            <w:vAlign w:val="center"/>
            <w:hideMark/>
          </w:tcPr>
          <w:p w14:paraId="38991CA4" w14:textId="77777777" w:rsidR="0060540B" w:rsidRPr="0060540B" w:rsidRDefault="0060540B" w:rsidP="0060540B">
            <w:pPr>
              <w:spacing w:after="160" w:line="259" w:lineRule="auto"/>
              <w:jc w:val="both"/>
              <w:rPr>
                <w:color w:val="000000"/>
                <w:sz w:val="22"/>
                <w:szCs w:val="22"/>
              </w:rPr>
            </w:pPr>
            <w:r w:rsidRPr="0060540B">
              <w:rPr>
                <w:color w:val="000000"/>
                <w:sz w:val="22"/>
                <w:szCs w:val="22"/>
              </w:rPr>
              <w:t xml:space="preserve">Păduri relictare de </w:t>
            </w:r>
            <w:r w:rsidRPr="0060540B">
              <w:rPr>
                <w:i/>
                <w:iCs/>
                <w:color w:val="000000"/>
                <w:sz w:val="22"/>
                <w:szCs w:val="22"/>
              </w:rPr>
              <w:t>Pinus sylvestris</w:t>
            </w:r>
            <w:r w:rsidRPr="0060540B">
              <w:rPr>
                <w:color w:val="000000"/>
                <w:sz w:val="22"/>
                <w:szCs w:val="22"/>
              </w:rPr>
              <w:t xml:space="preserve"> pe substrat calcaros</w:t>
            </w:r>
          </w:p>
        </w:tc>
      </w:tr>
      <w:tr w:rsidR="0060540B" w:rsidRPr="0060540B" w14:paraId="3F689F4D"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61708A71" w14:textId="77777777" w:rsidR="0060540B" w:rsidRPr="0060540B" w:rsidRDefault="0060540B" w:rsidP="0060540B">
            <w:pPr>
              <w:spacing w:after="160" w:line="259" w:lineRule="auto"/>
              <w:jc w:val="both"/>
              <w:rPr>
                <w:color w:val="000000"/>
                <w:sz w:val="22"/>
                <w:szCs w:val="22"/>
              </w:rPr>
            </w:pPr>
            <w:r w:rsidRPr="0060540B">
              <w:rPr>
                <w:color w:val="000000"/>
                <w:sz w:val="22"/>
                <w:szCs w:val="22"/>
              </w:rPr>
              <w:t>16</w:t>
            </w:r>
          </w:p>
        </w:tc>
        <w:tc>
          <w:tcPr>
            <w:tcW w:w="0" w:type="auto"/>
            <w:tcBorders>
              <w:top w:val="nil"/>
              <w:left w:val="nil"/>
              <w:bottom w:val="single" w:sz="4" w:space="0" w:color="auto"/>
              <w:right w:val="single" w:sz="4" w:space="0" w:color="auto"/>
            </w:tcBorders>
            <w:shd w:val="clear" w:color="auto" w:fill="auto"/>
            <w:noWrap/>
            <w:vAlign w:val="center"/>
            <w:hideMark/>
          </w:tcPr>
          <w:p w14:paraId="357BF7A1"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91V0</w:t>
            </w:r>
          </w:p>
        </w:tc>
        <w:tc>
          <w:tcPr>
            <w:tcW w:w="8077" w:type="dxa"/>
            <w:tcBorders>
              <w:top w:val="nil"/>
              <w:left w:val="nil"/>
              <w:bottom w:val="single" w:sz="4" w:space="0" w:color="auto"/>
              <w:right w:val="single" w:sz="4" w:space="0" w:color="auto"/>
            </w:tcBorders>
            <w:shd w:val="clear" w:color="auto" w:fill="auto"/>
            <w:vAlign w:val="center"/>
            <w:hideMark/>
          </w:tcPr>
          <w:p w14:paraId="6FD7A883" w14:textId="77777777" w:rsidR="0060540B" w:rsidRPr="0060540B" w:rsidRDefault="0060540B" w:rsidP="0060540B">
            <w:pPr>
              <w:spacing w:after="160" w:line="259" w:lineRule="auto"/>
              <w:jc w:val="both"/>
              <w:rPr>
                <w:color w:val="000000"/>
                <w:sz w:val="22"/>
                <w:szCs w:val="22"/>
              </w:rPr>
            </w:pPr>
            <w:r w:rsidRPr="0060540B">
              <w:rPr>
                <w:color w:val="000000"/>
                <w:sz w:val="22"/>
                <w:szCs w:val="22"/>
              </w:rPr>
              <w:t>Păduri dacice de fag (</w:t>
            </w:r>
            <w:r w:rsidRPr="0060540B">
              <w:rPr>
                <w:i/>
                <w:iCs/>
                <w:color w:val="000000"/>
                <w:sz w:val="22"/>
                <w:szCs w:val="22"/>
              </w:rPr>
              <w:t>Symphyto-Fagion</w:t>
            </w:r>
            <w:r w:rsidRPr="0060540B">
              <w:rPr>
                <w:color w:val="000000"/>
                <w:sz w:val="22"/>
                <w:szCs w:val="22"/>
              </w:rPr>
              <w:t>)</w:t>
            </w:r>
          </w:p>
        </w:tc>
      </w:tr>
      <w:tr w:rsidR="0060540B" w:rsidRPr="0060540B" w14:paraId="0B4E22FA"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2BB4349A" w14:textId="77777777" w:rsidR="0060540B" w:rsidRPr="0060540B" w:rsidRDefault="0060540B" w:rsidP="0060540B">
            <w:pPr>
              <w:spacing w:after="160" w:line="259" w:lineRule="auto"/>
              <w:jc w:val="both"/>
              <w:rPr>
                <w:color w:val="000000"/>
                <w:sz w:val="22"/>
                <w:szCs w:val="22"/>
              </w:rPr>
            </w:pPr>
            <w:r w:rsidRPr="0060540B">
              <w:rPr>
                <w:color w:val="000000"/>
                <w:sz w:val="22"/>
                <w:szCs w:val="22"/>
              </w:rPr>
              <w:t>17</w:t>
            </w:r>
          </w:p>
        </w:tc>
        <w:tc>
          <w:tcPr>
            <w:tcW w:w="0" w:type="auto"/>
            <w:tcBorders>
              <w:top w:val="nil"/>
              <w:left w:val="nil"/>
              <w:bottom w:val="single" w:sz="4" w:space="0" w:color="auto"/>
              <w:right w:val="single" w:sz="4" w:space="0" w:color="auto"/>
            </w:tcBorders>
            <w:shd w:val="clear" w:color="auto" w:fill="auto"/>
            <w:noWrap/>
            <w:vAlign w:val="center"/>
            <w:hideMark/>
          </w:tcPr>
          <w:p w14:paraId="3B52B370"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91X0*</w:t>
            </w:r>
          </w:p>
        </w:tc>
        <w:tc>
          <w:tcPr>
            <w:tcW w:w="8077" w:type="dxa"/>
            <w:tcBorders>
              <w:top w:val="nil"/>
              <w:left w:val="nil"/>
              <w:bottom w:val="single" w:sz="4" w:space="0" w:color="auto"/>
              <w:right w:val="single" w:sz="4" w:space="0" w:color="auto"/>
            </w:tcBorders>
            <w:shd w:val="clear" w:color="auto" w:fill="auto"/>
            <w:vAlign w:val="center"/>
            <w:hideMark/>
          </w:tcPr>
          <w:p w14:paraId="6EBAB211" w14:textId="77777777" w:rsidR="0060540B" w:rsidRPr="0060540B" w:rsidRDefault="0060540B" w:rsidP="0060540B">
            <w:pPr>
              <w:spacing w:after="160" w:line="259" w:lineRule="auto"/>
              <w:jc w:val="both"/>
              <w:rPr>
                <w:color w:val="000000"/>
                <w:sz w:val="22"/>
                <w:szCs w:val="22"/>
              </w:rPr>
            </w:pPr>
            <w:r w:rsidRPr="0060540B">
              <w:rPr>
                <w:color w:val="000000"/>
                <w:sz w:val="22"/>
                <w:szCs w:val="22"/>
              </w:rPr>
              <w:t>Păduri dobrogene de fag</w:t>
            </w:r>
          </w:p>
        </w:tc>
      </w:tr>
      <w:tr w:rsidR="0060540B" w:rsidRPr="0060540B" w14:paraId="32F5D652"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4FA07A68" w14:textId="77777777" w:rsidR="0060540B" w:rsidRPr="0060540B" w:rsidRDefault="0060540B" w:rsidP="0060540B">
            <w:pPr>
              <w:spacing w:after="160" w:line="259" w:lineRule="auto"/>
              <w:jc w:val="both"/>
              <w:rPr>
                <w:color w:val="000000"/>
                <w:sz w:val="22"/>
                <w:szCs w:val="22"/>
              </w:rPr>
            </w:pPr>
            <w:r w:rsidRPr="0060540B">
              <w:rPr>
                <w:color w:val="000000"/>
                <w:sz w:val="22"/>
                <w:szCs w:val="22"/>
              </w:rPr>
              <w:t>18</w:t>
            </w:r>
          </w:p>
        </w:tc>
        <w:tc>
          <w:tcPr>
            <w:tcW w:w="0" w:type="auto"/>
            <w:tcBorders>
              <w:top w:val="nil"/>
              <w:left w:val="nil"/>
              <w:bottom w:val="single" w:sz="4" w:space="0" w:color="auto"/>
              <w:right w:val="single" w:sz="4" w:space="0" w:color="auto"/>
            </w:tcBorders>
            <w:shd w:val="clear" w:color="auto" w:fill="auto"/>
            <w:noWrap/>
            <w:vAlign w:val="center"/>
            <w:hideMark/>
          </w:tcPr>
          <w:p w14:paraId="5A84BA5A"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91Y0</w:t>
            </w:r>
          </w:p>
        </w:tc>
        <w:tc>
          <w:tcPr>
            <w:tcW w:w="8077" w:type="dxa"/>
            <w:tcBorders>
              <w:top w:val="nil"/>
              <w:left w:val="nil"/>
              <w:bottom w:val="single" w:sz="4" w:space="0" w:color="auto"/>
              <w:right w:val="single" w:sz="4" w:space="0" w:color="auto"/>
            </w:tcBorders>
            <w:shd w:val="clear" w:color="auto" w:fill="auto"/>
            <w:vAlign w:val="center"/>
            <w:hideMark/>
          </w:tcPr>
          <w:p w14:paraId="30EDEEFB" w14:textId="77777777" w:rsidR="0060540B" w:rsidRPr="0060540B" w:rsidRDefault="0060540B" w:rsidP="0060540B">
            <w:pPr>
              <w:spacing w:after="160" w:line="259" w:lineRule="auto"/>
              <w:jc w:val="both"/>
              <w:rPr>
                <w:color w:val="000000"/>
                <w:sz w:val="22"/>
                <w:szCs w:val="22"/>
              </w:rPr>
            </w:pPr>
            <w:r w:rsidRPr="0060540B">
              <w:rPr>
                <w:color w:val="000000"/>
                <w:sz w:val="22"/>
                <w:szCs w:val="22"/>
              </w:rPr>
              <w:t>Păduri dacice de stejar și carpen</w:t>
            </w:r>
          </w:p>
        </w:tc>
      </w:tr>
      <w:tr w:rsidR="0060540B" w:rsidRPr="0060540B" w14:paraId="08D951CB"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1C2BD80A" w14:textId="77777777" w:rsidR="0060540B" w:rsidRPr="0060540B" w:rsidRDefault="0060540B" w:rsidP="0060540B">
            <w:pPr>
              <w:spacing w:after="160" w:line="259" w:lineRule="auto"/>
              <w:jc w:val="both"/>
              <w:rPr>
                <w:color w:val="000000"/>
                <w:sz w:val="22"/>
                <w:szCs w:val="22"/>
              </w:rPr>
            </w:pPr>
            <w:r w:rsidRPr="0060540B">
              <w:rPr>
                <w:color w:val="000000"/>
                <w:sz w:val="22"/>
                <w:szCs w:val="22"/>
              </w:rPr>
              <w:t>19</w:t>
            </w:r>
          </w:p>
        </w:tc>
        <w:tc>
          <w:tcPr>
            <w:tcW w:w="0" w:type="auto"/>
            <w:tcBorders>
              <w:top w:val="nil"/>
              <w:left w:val="nil"/>
              <w:bottom w:val="single" w:sz="4" w:space="0" w:color="auto"/>
              <w:right w:val="single" w:sz="4" w:space="0" w:color="auto"/>
            </w:tcBorders>
            <w:shd w:val="clear" w:color="auto" w:fill="auto"/>
            <w:noWrap/>
            <w:vAlign w:val="center"/>
            <w:hideMark/>
          </w:tcPr>
          <w:p w14:paraId="590BBFB6"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9260</w:t>
            </w:r>
          </w:p>
        </w:tc>
        <w:tc>
          <w:tcPr>
            <w:tcW w:w="8077" w:type="dxa"/>
            <w:tcBorders>
              <w:top w:val="nil"/>
              <w:left w:val="nil"/>
              <w:bottom w:val="single" w:sz="4" w:space="0" w:color="auto"/>
              <w:right w:val="single" w:sz="4" w:space="0" w:color="auto"/>
            </w:tcBorders>
            <w:shd w:val="clear" w:color="auto" w:fill="auto"/>
            <w:vAlign w:val="center"/>
            <w:hideMark/>
          </w:tcPr>
          <w:p w14:paraId="32C69F48" w14:textId="77777777" w:rsidR="0060540B" w:rsidRPr="0060540B" w:rsidRDefault="0060540B" w:rsidP="0060540B">
            <w:pPr>
              <w:spacing w:after="160" w:line="259" w:lineRule="auto"/>
              <w:jc w:val="both"/>
              <w:rPr>
                <w:color w:val="000000"/>
                <w:sz w:val="22"/>
                <w:szCs w:val="22"/>
              </w:rPr>
            </w:pPr>
            <w:r w:rsidRPr="0060540B">
              <w:rPr>
                <w:color w:val="000000"/>
                <w:sz w:val="22"/>
                <w:szCs w:val="22"/>
              </w:rPr>
              <w:t xml:space="preserve">Păduri de </w:t>
            </w:r>
            <w:r w:rsidRPr="0060540B">
              <w:rPr>
                <w:i/>
                <w:iCs/>
                <w:color w:val="000000"/>
                <w:sz w:val="22"/>
                <w:szCs w:val="22"/>
              </w:rPr>
              <w:t>Castanea sativa</w:t>
            </w:r>
          </w:p>
        </w:tc>
      </w:tr>
      <w:tr w:rsidR="0060540B" w:rsidRPr="0060540B" w14:paraId="45D3E875"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14239AE9" w14:textId="77777777" w:rsidR="0060540B" w:rsidRPr="0060540B" w:rsidRDefault="0060540B" w:rsidP="0060540B">
            <w:pPr>
              <w:spacing w:after="160" w:line="259" w:lineRule="auto"/>
              <w:jc w:val="both"/>
              <w:rPr>
                <w:color w:val="000000"/>
                <w:sz w:val="22"/>
                <w:szCs w:val="22"/>
              </w:rPr>
            </w:pPr>
            <w:r w:rsidRPr="0060540B">
              <w:rPr>
                <w:color w:val="000000"/>
                <w:sz w:val="22"/>
                <w:szCs w:val="22"/>
              </w:rPr>
              <w:t>20</w:t>
            </w:r>
          </w:p>
        </w:tc>
        <w:tc>
          <w:tcPr>
            <w:tcW w:w="0" w:type="auto"/>
            <w:tcBorders>
              <w:top w:val="nil"/>
              <w:left w:val="nil"/>
              <w:bottom w:val="single" w:sz="4" w:space="0" w:color="auto"/>
              <w:right w:val="single" w:sz="4" w:space="0" w:color="auto"/>
            </w:tcBorders>
            <w:shd w:val="clear" w:color="auto" w:fill="auto"/>
            <w:noWrap/>
            <w:vAlign w:val="center"/>
            <w:hideMark/>
          </w:tcPr>
          <w:p w14:paraId="34FA9F08"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92A0</w:t>
            </w:r>
          </w:p>
        </w:tc>
        <w:tc>
          <w:tcPr>
            <w:tcW w:w="8077" w:type="dxa"/>
            <w:tcBorders>
              <w:top w:val="nil"/>
              <w:left w:val="nil"/>
              <w:bottom w:val="single" w:sz="4" w:space="0" w:color="auto"/>
              <w:right w:val="single" w:sz="4" w:space="0" w:color="auto"/>
            </w:tcBorders>
            <w:shd w:val="clear" w:color="auto" w:fill="auto"/>
            <w:vAlign w:val="center"/>
            <w:hideMark/>
          </w:tcPr>
          <w:p w14:paraId="0DB3CD33" w14:textId="77777777" w:rsidR="0060540B" w:rsidRPr="0060540B" w:rsidRDefault="0060540B" w:rsidP="0060540B">
            <w:pPr>
              <w:spacing w:after="160" w:line="259" w:lineRule="auto"/>
              <w:jc w:val="both"/>
              <w:rPr>
                <w:color w:val="000000"/>
                <w:sz w:val="22"/>
                <w:szCs w:val="22"/>
              </w:rPr>
            </w:pPr>
            <w:r w:rsidRPr="0060540B">
              <w:rPr>
                <w:color w:val="000000"/>
                <w:sz w:val="22"/>
                <w:szCs w:val="22"/>
              </w:rPr>
              <w:t xml:space="preserve">Zăvoaie cu </w:t>
            </w:r>
            <w:r w:rsidRPr="0060540B">
              <w:rPr>
                <w:i/>
                <w:iCs/>
                <w:color w:val="000000"/>
                <w:sz w:val="22"/>
                <w:szCs w:val="22"/>
              </w:rPr>
              <w:t>Salix alba</w:t>
            </w:r>
            <w:r w:rsidRPr="0060540B">
              <w:rPr>
                <w:color w:val="000000"/>
                <w:sz w:val="22"/>
                <w:szCs w:val="22"/>
              </w:rPr>
              <w:t xml:space="preserve"> și </w:t>
            </w:r>
            <w:r w:rsidRPr="0060540B">
              <w:rPr>
                <w:i/>
                <w:iCs/>
                <w:color w:val="000000"/>
                <w:sz w:val="22"/>
                <w:szCs w:val="22"/>
              </w:rPr>
              <w:t>Populus alba</w:t>
            </w:r>
          </w:p>
        </w:tc>
      </w:tr>
      <w:tr w:rsidR="0060540B" w:rsidRPr="0060540B" w14:paraId="2EA669C1"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6D899C8E" w14:textId="77777777" w:rsidR="0060540B" w:rsidRPr="0060540B" w:rsidRDefault="0060540B" w:rsidP="0060540B">
            <w:pPr>
              <w:spacing w:after="160" w:line="259" w:lineRule="auto"/>
              <w:jc w:val="both"/>
              <w:rPr>
                <w:color w:val="000000"/>
                <w:sz w:val="22"/>
                <w:szCs w:val="22"/>
              </w:rPr>
            </w:pPr>
            <w:r w:rsidRPr="0060540B">
              <w:rPr>
                <w:color w:val="000000"/>
                <w:sz w:val="22"/>
                <w:szCs w:val="22"/>
              </w:rPr>
              <w:t>21</w:t>
            </w:r>
          </w:p>
        </w:tc>
        <w:tc>
          <w:tcPr>
            <w:tcW w:w="0" w:type="auto"/>
            <w:tcBorders>
              <w:top w:val="nil"/>
              <w:left w:val="nil"/>
              <w:bottom w:val="single" w:sz="4" w:space="0" w:color="auto"/>
              <w:right w:val="single" w:sz="4" w:space="0" w:color="auto"/>
            </w:tcBorders>
            <w:shd w:val="clear" w:color="auto" w:fill="auto"/>
            <w:noWrap/>
            <w:vAlign w:val="center"/>
            <w:hideMark/>
          </w:tcPr>
          <w:p w14:paraId="5347DB70"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92D0</w:t>
            </w:r>
          </w:p>
        </w:tc>
        <w:tc>
          <w:tcPr>
            <w:tcW w:w="8077" w:type="dxa"/>
            <w:tcBorders>
              <w:top w:val="nil"/>
              <w:left w:val="nil"/>
              <w:bottom w:val="nil"/>
              <w:right w:val="single" w:sz="4" w:space="0" w:color="auto"/>
            </w:tcBorders>
            <w:shd w:val="clear" w:color="auto" w:fill="auto"/>
            <w:vAlign w:val="center"/>
            <w:hideMark/>
          </w:tcPr>
          <w:p w14:paraId="06BA283D" w14:textId="77777777" w:rsidR="0060540B" w:rsidRPr="0060540B" w:rsidRDefault="0060540B" w:rsidP="0060540B">
            <w:pPr>
              <w:spacing w:after="160" w:line="259" w:lineRule="auto"/>
              <w:jc w:val="both"/>
              <w:rPr>
                <w:color w:val="000000"/>
                <w:sz w:val="22"/>
                <w:szCs w:val="22"/>
              </w:rPr>
            </w:pPr>
            <w:r w:rsidRPr="0060540B">
              <w:rPr>
                <w:color w:val="000000"/>
                <w:sz w:val="22"/>
                <w:szCs w:val="22"/>
              </w:rPr>
              <w:t>Galerii şi tufărişuri sud-europene de luncă (</w:t>
            </w:r>
            <w:r w:rsidRPr="0060540B">
              <w:rPr>
                <w:i/>
                <w:iCs/>
                <w:color w:val="000000"/>
                <w:sz w:val="22"/>
                <w:szCs w:val="22"/>
              </w:rPr>
              <w:t>Nerio-Tamaricetea</w:t>
            </w:r>
            <w:r w:rsidRPr="0060540B">
              <w:rPr>
                <w:color w:val="000000"/>
                <w:sz w:val="22"/>
                <w:szCs w:val="22"/>
              </w:rPr>
              <w:t xml:space="preserve"> şi </w:t>
            </w:r>
            <w:r w:rsidRPr="0060540B">
              <w:rPr>
                <w:i/>
                <w:iCs/>
                <w:color w:val="000000"/>
                <w:sz w:val="22"/>
                <w:szCs w:val="22"/>
              </w:rPr>
              <w:t>Securinegion tinctoriae)</w:t>
            </w:r>
          </w:p>
        </w:tc>
      </w:tr>
      <w:tr w:rsidR="0060540B" w:rsidRPr="0060540B" w14:paraId="33548AAA"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4133D06E" w14:textId="77777777" w:rsidR="0060540B" w:rsidRPr="0060540B" w:rsidRDefault="0060540B" w:rsidP="0060540B">
            <w:pPr>
              <w:spacing w:after="160" w:line="259" w:lineRule="auto"/>
              <w:jc w:val="both"/>
              <w:rPr>
                <w:color w:val="000000"/>
                <w:sz w:val="22"/>
                <w:szCs w:val="22"/>
              </w:rPr>
            </w:pPr>
            <w:r w:rsidRPr="0060540B">
              <w:rPr>
                <w:color w:val="000000"/>
                <w:sz w:val="22"/>
                <w:szCs w:val="22"/>
              </w:rPr>
              <w:t>22</w:t>
            </w:r>
          </w:p>
        </w:tc>
        <w:tc>
          <w:tcPr>
            <w:tcW w:w="0" w:type="auto"/>
            <w:tcBorders>
              <w:top w:val="nil"/>
              <w:left w:val="nil"/>
              <w:bottom w:val="single" w:sz="4" w:space="0" w:color="auto"/>
              <w:right w:val="single" w:sz="4" w:space="0" w:color="auto"/>
            </w:tcBorders>
            <w:shd w:val="clear" w:color="auto" w:fill="auto"/>
            <w:noWrap/>
            <w:vAlign w:val="center"/>
            <w:hideMark/>
          </w:tcPr>
          <w:p w14:paraId="7BCFD217"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9410</w:t>
            </w:r>
          </w:p>
        </w:tc>
        <w:tc>
          <w:tcPr>
            <w:tcW w:w="8077" w:type="dxa"/>
            <w:tcBorders>
              <w:top w:val="single" w:sz="4" w:space="0" w:color="auto"/>
              <w:left w:val="nil"/>
              <w:bottom w:val="single" w:sz="4" w:space="0" w:color="auto"/>
              <w:right w:val="single" w:sz="4" w:space="0" w:color="auto"/>
            </w:tcBorders>
            <w:shd w:val="clear" w:color="auto" w:fill="auto"/>
            <w:vAlign w:val="center"/>
            <w:hideMark/>
          </w:tcPr>
          <w:p w14:paraId="6EBBBD28" w14:textId="77777777" w:rsidR="0060540B" w:rsidRPr="0060540B" w:rsidRDefault="0060540B" w:rsidP="0060540B">
            <w:pPr>
              <w:spacing w:after="160" w:line="259" w:lineRule="auto"/>
              <w:jc w:val="both"/>
              <w:rPr>
                <w:color w:val="000000"/>
                <w:sz w:val="22"/>
                <w:szCs w:val="22"/>
              </w:rPr>
            </w:pPr>
            <w:r w:rsidRPr="0060540B">
              <w:rPr>
                <w:color w:val="000000"/>
                <w:sz w:val="22"/>
                <w:szCs w:val="22"/>
              </w:rPr>
              <w:t xml:space="preserve">Păduri acidofile de </w:t>
            </w:r>
            <w:r w:rsidRPr="0060540B">
              <w:rPr>
                <w:i/>
                <w:iCs/>
                <w:color w:val="000000"/>
                <w:sz w:val="22"/>
                <w:szCs w:val="22"/>
              </w:rPr>
              <w:t>Picea abies</w:t>
            </w:r>
            <w:r w:rsidRPr="0060540B">
              <w:rPr>
                <w:color w:val="000000"/>
                <w:sz w:val="22"/>
                <w:szCs w:val="22"/>
              </w:rPr>
              <w:t xml:space="preserve"> din regiunea montană (</w:t>
            </w:r>
            <w:r w:rsidRPr="0060540B">
              <w:rPr>
                <w:i/>
                <w:iCs/>
                <w:color w:val="000000"/>
                <w:sz w:val="22"/>
                <w:szCs w:val="22"/>
              </w:rPr>
              <w:t>Vaccinio-Piceetea</w:t>
            </w:r>
            <w:r w:rsidRPr="0060540B">
              <w:rPr>
                <w:color w:val="000000"/>
                <w:sz w:val="22"/>
                <w:szCs w:val="22"/>
              </w:rPr>
              <w:t>)</w:t>
            </w:r>
          </w:p>
        </w:tc>
      </w:tr>
      <w:tr w:rsidR="0060540B" w:rsidRPr="0060540B" w14:paraId="04F3C838"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4D585B39" w14:textId="77777777" w:rsidR="0060540B" w:rsidRPr="0060540B" w:rsidRDefault="0060540B" w:rsidP="0060540B">
            <w:pPr>
              <w:spacing w:after="160" w:line="259" w:lineRule="auto"/>
              <w:jc w:val="both"/>
              <w:rPr>
                <w:color w:val="000000"/>
                <w:sz w:val="22"/>
                <w:szCs w:val="22"/>
              </w:rPr>
            </w:pPr>
            <w:r w:rsidRPr="0060540B">
              <w:rPr>
                <w:color w:val="000000"/>
                <w:sz w:val="22"/>
                <w:szCs w:val="22"/>
              </w:rPr>
              <w:t>23</w:t>
            </w:r>
          </w:p>
        </w:tc>
        <w:tc>
          <w:tcPr>
            <w:tcW w:w="0" w:type="auto"/>
            <w:tcBorders>
              <w:top w:val="nil"/>
              <w:left w:val="nil"/>
              <w:bottom w:val="single" w:sz="4" w:space="0" w:color="auto"/>
              <w:right w:val="single" w:sz="4" w:space="0" w:color="auto"/>
            </w:tcBorders>
            <w:shd w:val="clear" w:color="auto" w:fill="auto"/>
            <w:noWrap/>
            <w:vAlign w:val="center"/>
            <w:hideMark/>
          </w:tcPr>
          <w:p w14:paraId="51B06DC7"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9420</w:t>
            </w:r>
          </w:p>
        </w:tc>
        <w:tc>
          <w:tcPr>
            <w:tcW w:w="8077" w:type="dxa"/>
            <w:tcBorders>
              <w:top w:val="nil"/>
              <w:left w:val="nil"/>
              <w:bottom w:val="single" w:sz="4" w:space="0" w:color="auto"/>
              <w:right w:val="single" w:sz="4" w:space="0" w:color="auto"/>
            </w:tcBorders>
            <w:shd w:val="clear" w:color="auto" w:fill="auto"/>
            <w:vAlign w:val="center"/>
            <w:hideMark/>
          </w:tcPr>
          <w:p w14:paraId="78703D7C" w14:textId="77777777" w:rsidR="0060540B" w:rsidRPr="0060540B" w:rsidRDefault="0060540B" w:rsidP="0060540B">
            <w:pPr>
              <w:spacing w:after="160" w:line="259" w:lineRule="auto"/>
              <w:jc w:val="both"/>
              <w:rPr>
                <w:color w:val="000000"/>
                <w:sz w:val="22"/>
                <w:szCs w:val="22"/>
              </w:rPr>
            </w:pPr>
            <w:r w:rsidRPr="0060540B">
              <w:rPr>
                <w:color w:val="000000"/>
                <w:sz w:val="22"/>
                <w:szCs w:val="22"/>
              </w:rPr>
              <w:t xml:space="preserve">Păduri alpine de </w:t>
            </w:r>
            <w:r w:rsidRPr="0060540B">
              <w:rPr>
                <w:i/>
                <w:iCs/>
                <w:color w:val="000000"/>
                <w:sz w:val="22"/>
                <w:szCs w:val="22"/>
              </w:rPr>
              <w:t>Larix decidua</w:t>
            </w:r>
            <w:r w:rsidRPr="0060540B">
              <w:rPr>
                <w:color w:val="000000"/>
                <w:sz w:val="22"/>
                <w:szCs w:val="22"/>
              </w:rPr>
              <w:t xml:space="preserve"> şi/sau </w:t>
            </w:r>
            <w:r w:rsidRPr="0060540B">
              <w:rPr>
                <w:i/>
                <w:iCs/>
                <w:color w:val="000000"/>
                <w:sz w:val="22"/>
                <w:szCs w:val="22"/>
              </w:rPr>
              <w:t>Pinus cembra</w:t>
            </w:r>
          </w:p>
        </w:tc>
      </w:tr>
      <w:tr w:rsidR="0060540B" w:rsidRPr="0060540B" w14:paraId="166E4507" w14:textId="77777777" w:rsidTr="0060540B">
        <w:trPr>
          <w:trHeight w:val="315"/>
        </w:trPr>
        <w:tc>
          <w:tcPr>
            <w:tcW w:w="240" w:type="dxa"/>
            <w:tcBorders>
              <w:top w:val="nil"/>
              <w:left w:val="single" w:sz="4" w:space="0" w:color="auto"/>
              <w:bottom w:val="single" w:sz="4" w:space="0" w:color="auto"/>
              <w:right w:val="single" w:sz="4" w:space="0" w:color="auto"/>
            </w:tcBorders>
            <w:shd w:val="clear" w:color="auto" w:fill="auto"/>
            <w:vAlign w:val="center"/>
            <w:hideMark/>
          </w:tcPr>
          <w:p w14:paraId="1754BDB9" w14:textId="77777777" w:rsidR="0060540B" w:rsidRPr="0060540B" w:rsidRDefault="0060540B" w:rsidP="0060540B">
            <w:pPr>
              <w:spacing w:after="160" w:line="259" w:lineRule="auto"/>
              <w:jc w:val="both"/>
              <w:rPr>
                <w:color w:val="000000"/>
                <w:sz w:val="22"/>
                <w:szCs w:val="22"/>
              </w:rPr>
            </w:pPr>
            <w:r w:rsidRPr="0060540B">
              <w:rPr>
                <w:color w:val="000000"/>
                <w:sz w:val="22"/>
                <w:szCs w:val="22"/>
              </w:rPr>
              <w:t>24</w:t>
            </w:r>
          </w:p>
        </w:tc>
        <w:tc>
          <w:tcPr>
            <w:tcW w:w="0" w:type="auto"/>
            <w:tcBorders>
              <w:top w:val="nil"/>
              <w:left w:val="nil"/>
              <w:bottom w:val="single" w:sz="4" w:space="0" w:color="auto"/>
              <w:right w:val="single" w:sz="4" w:space="0" w:color="auto"/>
            </w:tcBorders>
            <w:shd w:val="clear" w:color="auto" w:fill="auto"/>
            <w:noWrap/>
            <w:vAlign w:val="center"/>
            <w:hideMark/>
          </w:tcPr>
          <w:p w14:paraId="28FF3095" w14:textId="77777777" w:rsidR="0060540B" w:rsidRPr="0060540B" w:rsidRDefault="0060540B" w:rsidP="0060540B">
            <w:pPr>
              <w:spacing w:after="160" w:line="259" w:lineRule="auto"/>
              <w:jc w:val="both"/>
              <w:rPr>
                <w:color w:val="000000"/>
                <w:sz w:val="22"/>
                <w:szCs w:val="22"/>
              </w:rPr>
            </w:pPr>
            <w:r w:rsidRPr="0060540B">
              <w:rPr>
                <w:color w:val="000000"/>
                <w:sz w:val="22"/>
                <w:szCs w:val="22"/>
              </w:rPr>
              <w:t>9530*</w:t>
            </w:r>
          </w:p>
        </w:tc>
        <w:tc>
          <w:tcPr>
            <w:tcW w:w="8077" w:type="dxa"/>
            <w:tcBorders>
              <w:top w:val="nil"/>
              <w:left w:val="nil"/>
              <w:bottom w:val="single" w:sz="4" w:space="0" w:color="auto"/>
              <w:right w:val="single" w:sz="4" w:space="0" w:color="auto"/>
            </w:tcBorders>
            <w:shd w:val="clear" w:color="auto" w:fill="auto"/>
            <w:vAlign w:val="center"/>
            <w:hideMark/>
          </w:tcPr>
          <w:p w14:paraId="60F79DD1" w14:textId="77777777" w:rsidR="0060540B" w:rsidRPr="0060540B" w:rsidRDefault="0060540B" w:rsidP="0060540B">
            <w:pPr>
              <w:spacing w:after="160" w:line="259" w:lineRule="auto"/>
              <w:jc w:val="both"/>
              <w:rPr>
                <w:color w:val="000000"/>
                <w:sz w:val="22"/>
                <w:szCs w:val="22"/>
              </w:rPr>
            </w:pPr>
            <w:r w:rsidRPr="0060540B">
              <w:rPr>
                <w:color w:val="000000"/>
                <w:sz w:val="22"/>
                <w:szCs w:val="22"/>
              </w:rPr>
              <w:t>Păduri (sub)mediteraneene de pini negri endemici</w:t>
            </w:r>
          </w:p>
        </w:tc>
      </w:tr>
    </w:tbl>
    <w:p w14:paraId="1F5AD8D0" w14:textId="77777777" w:rsidR="0007555D" w:rsidRPr="00C56257" w:rsidRDefault="0007555D" w:rsidP="008E33FD">
      <w:pPr>
        <w:widowControl w:val="0"/>
        <w:autoSpaceDE w:val="0"/>
        <w:autoSpaceDN w:val="0"/>
        <w:adjustRightInd w:val="0"/>
        <w:ind w:firstLine="708"/>
        <w:jc w:val="both"/>
        <w:rPr>
          <w:rFonts w:eastAsia="Calibri"/>
          <w:b/>
          <w:iCs/>
          <w:strike/>
        </w:rPr>
      </w:pPr>
    </w:p>
    <w:p w14:paraId="7B3C7109" w14:textId="77777777" w:rsidR="0007555D" w:rsidRPr="00C56257" w:rsidRDefault="00FE0FCD" w:rsidP="008E33FD">
      <w:pPr>
        <w:widowControl w:val="0"/>
        <w:autoSpaceDE w:val="0"/>
        <w:autoSpaceDN w:val="0"/>
        <w:adjustRightInd w:val="0"/>
        <w:ind w:firstLine="708"/>
        <w:jc w:val="both"/>
        <w:rPr>
          <w:rFonts w:eastAsia="Calibri"/>
          <w:b/>
          <w:iCs/>
        </w:rPr>
      </w:pPr>
      <w:r>
        <w:rPr>
          <w:rFonts w:eastAsia="Calibri"/>
          <w:b/>
          <w:iCs/>
        </w:rPr>
        <w:t>10.1</w:t>
      </w:r>
      <w:r w:rsidR="0007555D" w:rsidRPr="00C56257">
        <w:rPr>
          <w:rFonts w:eastAsia="Calibri"/>
          <w:b/>
          <w:iCs/>
        </w:rPr>
        <w:t xml:space="preserve">. Metodologia de monitorizare  a stării de conservare a habitatelor forestiere </w:t>
      </w:r>
    </w:p>
    <w:p w14:paraId="58C95F6D" w14:textId="77777777" w:rsidR="0007555D" w:rsidRPr="00C56257" w:rsidRDefault="0007555D" w:rsidP="008E33FD">
      <w:pPr>
        <w:widowControl w:val="0"/>
        <w:autoSpaceDE w:val="0"/>
        <w:autoSpaceDN w:val="0"/>
        <w:adjustRightInd w:val="0"/>
        <w:jc w:val="both"/>
        <w:rPr>
          <w:rFonts w:eastAsia="Calibri"/>
        </w:rPr>
      </w:pPr>
    </w:p>
    <w:p w14:paraId="405ECDDC"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Evaluarea stării de conservare a habitatelor forestiere necesită obținerea a două tipuri de informații:</w:t>
      </w:r>
    </w:p>
    <w:p w14:paraId="100C5508" w14:textId="77777777" w:rsidR="0007555D" w:rsidRPr="00C56257" w:rsidRDefault="0007555D" w:rsidP="008E33FD">
      <w:pPr>
        <w:widowControl w:val="0"/>
        <w:autoSpaceDE w:val="0"/>
        <w:autoSpaceDN w:val="0"/>
        <w:adjustRightInd w:val="0"/>
        <w:ind w:left="782"/>
        <w:contextualSpacing/>
        <w:jc w:val="both"/>
        <w:rPr>
          <w:rFonts w:eastAsia="Calibri"/>
          <w:b/>
        </w:rPr>
      </w:pPr>
      <w:r w:rsidRPr="00C56257">
        <w:rPr>
          <w:rFonts w:eastAsia="Calibri"/>
          <w:b/>
        </w:rPr>
        <w:t xml:space="preserve">a) spațiale: </w:t>
      </w:r>
      <w:r w:rsidRPr="00C56257">
        <w:rPr>
          <w:rFonts w:eastAsia="Calibri"/>
        </w:rPr>
        <w:t xml:space="preserve">localizarea spațială, suprafața efectivă ocupată și configurația spațială a distribuției habitatului. </w:t>
      </w:r>
      <w:r w:rsidRPr="00C56257">
        <w:rPr>
          <w:rFonts w:eastAsia="Calibri"/>
          <w:b/>
          <w:i/>
        </w:rPr>
        <w:t>Aceste informații se obțin prin activități de cartare a habitatelor.</w:t>
      </w:r>
    </w:p>
    <w:p w14:paraId="4426BACB" w14:textId="77777777" w:rsidR="0007555D" w:rsidRPr="00C56257" w:rsidRDefault="0007555D" w:rsidP="008E33FD">
      <w:pPr>
        <w:widowControl w:val="0"/>
        <w:autoSpaceDE w:val="0"/>
        <w:autoSpaceDN w:val="0"/>
        <w:adjustRightInd w:val="0"/>
        <w:ind w:left="782"/>
        <w:contextualSpacing/>
        <w:jc w:val="both"/>
        <w:rPr>
          <w:rFonts w:eastAsia="Calibri"/>
          <w:b/>
        </w:rPr>
      </w:pPr>
      <w:r w:rsidRPr="00C56257">
        <w:rPr>
          <w:rFonts w:eastAsia="Calibri"/>
          <w:b/>
        </w:rPr>
        <w:t>b) descriptive, referitoare la calitatea habitatului:</w:t>
      </w:r>
      <w:r w:rsidRPr="00C56257">
        <w:rPr>
          <w:rFonts w:eastAsia="Calibri"/>
        </w:rPr>
        <w:t xml:space="preserve"> structura, funcțiile, presiunile, amenințările, măsurile de conservare aplicate și/sau necesare. </w:t>
      </w:r>
      <w:r w:rsidRPr="00C56257">
        <w:rPr>
          <w:rFonts w:eastAsia="Calibri"/>
          <w:b/>
        </w:rPr>
        <w:t xml:space="preserve"> </w:t>
      </w:r>
      <w:r w:rsidRPr="00C56257">
        <w:rPr>
          <w:rFonts w:eastAsia="Calibri"/>
          <w:b/>
          <w:i/>
        </w:rPr>
        <w:t>Aceste informații se obțin prin activități de inventariere (integrală sau statistică/eșantioane).</w:t>
      </w:r>
    </w:p>
    <w:p w14:paraId="1CD8E201" w14:textId="77777777" w:rsidR="0007555D" w:rsidRPr="00C56257" w:rsidRDefault="0007555D" w:rsidP="008E33FD">
      <w:pPr>
        <w:widowControl w:val="0"/>
        <w:autoSpaceDE w:val="0"/>
        <w:autoSpaceDN w:val="0"/>
        <w:adjustRightInd w:val="0"/>
        <w:ind w:left="782"/>
        <w:contextualSpacing/>
        <w:jc w:val="both"/>
        <w:rPr>
          <w:rFonts w:eastAsia="Calibri"/>
          <w:b/>
        </w:rPr>
      </w:pPr>
    </w:p>
    <w:p w14:paraId="4762F530" w14:textId="77777777" w:rsidR="0007555D" w:rsidRPr="00C56257" w:rsidRDefault="00FE0FCD" w:rsidP="008E33FD">
      <w:pPr>
        <w:widowControl w:val="0"/>
        <w:autoSpaceDE w:val="0"/>
        <w:autoSpaceDN w:val="0"/>
        <w:adjustRightInd w:val="0"/>
        <w:ind w:left="709"/>
        <w:jc w:val="both"/>
        <w:rPr>
          <w:rFonts w:eastAsia="Calibri"/>
          <w:iCs/>
        </w:rPr>
      </w:pPr>
      <w:r>
        <w:rPr>
          <w:rFonts w:eastAsia="Calibri"/>
          <w:b/>
          <w:iCs/>
          <w:color w:val="000000"/>
        </w:rPr>
        <w:t>10</w:t>
      </w:r>
      <w:r w:rsidR="0007555D" w:rsidRPr="00C56257">
        <w:rPr>
          <w:rFonts w:eastAsia="Calibri"/>
          <w:b/>
          <w:iCs/>
          <w:color w:val="000000"/>
        </w:rPr>
        <w:t>.1.</w:t>
      </w:r>
      <w:r>
        <w:rPr>
          <w:rFonts w:eastAsia="Calibri"/>
          <w:b/>
          <w:iCs/>
          <w:color w:val="000000"/>
        </w:rPr>
        <w:t>2</w:t>
      </w:r>
      <w:r w:rsidR="0007555D" w:rsidRPr="00C56257">
        <w:rPr>
          <w:rFonts w:eastAsia="Calibri"/>
          <w:b/>
          <w:iCs/>
          <w:color w:val="000000"/>
        </w:rPr>
        <w:t xml:space="preserve"> Evaluarea </w:t>
      </w:r>
      <w:r w:rsidR="0007555D" w:rsidRPr="00C56257">
        <w:rPr>
          <w:rFonts w:eastAsia="Calibri"/>
          <w:b/>
          <w:iCs/>
        </w:rPr>
        <w:t>suprafeței și a distribuției spațiale a</w:t>
      </w:r>
      <w:r w:rsidR="0007555D" w:rsidRPr="00C56257">
        <w:rPr>
          <w:rFonts w:eastAsia="Calibri"/>
          <w:b/>
        </w:rPr>
        <w:t xml:space="preserve"> </w:t>
      </w:r>
      <w:r w:rsidR="0007555D" w:rsidRPr="00C56257">
        <w:rPr>
          <w:rFonts w:eastAsia="Calibri"/>
          <w:b/>
          <w:iCs/>
        </w:rPr>
        <w:t xml:space="preserve">habitatelor forestiere </w:t>
      </w:r>
    </w:p>
    <w:p w14:paraId="3A650E73" w14:textId="77777777" w:rsidR="0007555D" w:rsidRPr="00C56257" w:rsidRDefault="0007555D" w:rsidP="008E33FD">
      <w:pPr>
        <w:widowControl w:val="0"/>
        <w:autoSpaceDE w:val="0"/>
        <w:autoSpaceDN w:val="0"/>
        <w:adjustRightInd w:val="0"/>
        <w:jc w:val="both"/>
        <w:rPr>
          <w:rFonts w:eastAsia="Calibri"/>
          <w:iCs/>
          <w:color w:val="FF0000"/>
        </w:rPr>
      </w:pPr>
    </w:p>
    <w:p w14:paraId="51E82DB7" w14:textId="77777777" w:rsidR="0007555D" w:rsidRPr="00C56257" w:rsidRDefault="0007555D" w:rsidP="008E33FD">
      <w:pPr>
        <w:widowControl w:val="0"/>
        <w:autoSpaceDE w:val="0"/>
        <w:autoSpaceDN w:val="0"/>
        <w:adjustRightInd w:val="0"/>
        <w:jc w:val="both"/>
        <w:rPr>
          <w:rFonts w:eastAsia="Calibri"/>
        </w:rPr>
      </w:pPr>
      <w:r w:rsidRPr="00C56257">
        <w:rPr>
          <w:rFonts w:eastAsia="Calibri"/>
          <w:iCs/>
        </w:rPr>
        <w:t xml:space="preserve">Evaluarea acestor doi parametri spațiali din </w:t>
      </w:r>
      <w:r w:rsidRPr="00C56257">
        <w:rPr>
          <w:rFonts w:eastAsia="Calibri"/>
        </w:rPr>
        <w:t>matricea de evaluare generală a stării de conservare (suprafața și distribuția habitatului) se va realiza printr-un proces de cartare, pornind de la următoarele surse de informații:</w:t>
      </w:r>
    </w:p>
    <w:p w14:paraId="532E9A73" w14:textId="77777777" w:rsidR="0007555D" w:rsidRPr="00C56257" w:rsidRDefault="0007555D" w:rsidP="008E33FD">
      <w:pPr>
        <w:widowControl w:val="0"/>
        <w:numPr>
          <w:ilvl w:val="0"/>
          <w:numId w:val="4"/>
        </w:numPr>
        <w:autoSpaceDE w:val="0"/>
        <w:autoSpaceDN w:val="0"/>
        <w:adjustRightInd w:val="0"/>
        <w:contextualSpacing/>
        <w:jc w:val="both"/>
        <w:rPr>
          <w:rFonts w:eastAsia="Calibri"/>
        </w:rPr>
      </w:pPr>
      <w:r w:rsidRPr="00C56257">
        <w:rPr>
          <w:rFonts w:eastAsia="Calibri"/>
        </w:rPr>
        <w:t xml:space="preserve">baza de date GIS cu acoperirea terenurilor obținută prin </w:t>
      </w:r>
      <w:r w:rsidRPr="00C56257">
        <w:rPr>
          <w:rFonts w:eastAsia="Calibri"/>
          <w:i/>
          <w:iCs/>
          <w:color w:val="000000"/>
          <w:kern w:val="24"/>
        </w:rPr>
        <w:t>fotointerpretarea</w:t>
      </w:r>
      <w:r w:rsidRPr="00C56257">
        <w:rPr>
          <w:rFonts w:eastAsia="Calibri"/>
          <w:color w:val="000000"/>
          <w:kern w:val="24"/>
        </w:rPr>
        <w:t xml:space="preserve"> pe ortofotoplanurile digitale realizată în cadrul sistemului național de monitorizare a pădurilor;</w:t>
      </w:r>
    </w:p>
    <w:p w14:paraId="3DE806DE" w14:textId="77777777" w:rsidR="0007555D" w:rsidRPr="00C56257" w:rsidRDefault="0007555D" w:rsidP="008E33FD">
      <w:pPr>
        <w:widowControl w:val="0"/>
        <w:numPr>
          <w:ilvl w:val="0"/>
          <w:numId w:val="4"/>
        </w:numPr>
        <w:autoSpaceDE w:val="0"/>
        <w:autoSpaceDN w:val="0"/>
        <w:adjustRightInd w:val="0"/>
        <w:contextualSpacing/>
        <w:jc w:val="both"/>
        <w:rPr>
          <w:rFonts w:eastAsia="Calibri"/>
        </w:rPr>
      </w:pPr>
      <w:r w:rsidRPr="00C56257">
        <w:rPr>
          <w:rFonts w:eastAsia="Calibri"/>
          <w:color w:val="000000"/>
          <w:kern w:val="24"/>
        </w:rPr>
        <w:t>hărțile amenajistice ale tipurilor de arborete disponibile în format vectorial sau raster;</w:t>
      </w:r>
    </w:p>
    <w:p w14:paraId="095C4B5E" w14:textId="77777777" w:rsidR="0007555D" w:rsidRPr="00C56257" w:rsidRDefault="0007555D" w:rsidP="008E33FD">
      <w:pPr>
        <w:widowControl w:val="0"/>
        <w:numPr>
          <w:ilvl w:val="0"/>
          <w:numId w:val="4"/>
        </w:numPr>
        <w:autoSpaceDE w:val="0"/>
        <w:autoSpaceDN w:val="0"/>
        <w:adjustRightInd w:val="0"/>
        <w:contextualSpacing/>
        <w:jc w:val="both"/>
        <w:rPr>
          <w:rFonts w:eastAsia="Calibri"/>
        </w:rPr>
      </w:pPr>
      <w:r w:rsidRPr="00C56257">
        <w:rPr>
          <w:rFonts w:eastAsia="Calibri"/>
          <w:color w:val="000000"/>
          <w:kern w:val="24"/>
        </w:rPr>
        <w:t>baza de date geospaţială a vegetaţiei forestiere potenţiale a României (Doniţă et al., 2008);</w:t>
      </w:r>
    </w:p>
    <w:p w14:paraId="34C40B06" w14:textId="77777777" w:rsidR="0007555D" w:rsidRPr="00C56257" w:rsidRDefault="0007555D" w:rsidP="008E33FD">
      <w:pPr>
        <w:widowControl w:val="0"/>
        <w:numPr>
          <w:ilvl w:val="0"/>
          <w:numId w:val="4"/>
        </w:numPr>
        <w:autoSpaceDE w:val="0"/>
        <w:autoSpaceDN w:val="0"/>
        <w:adjustRightInd w:val="0"/>
        <w:contextualSpacing/>
        <w:jc w:val="both"/>
        <w:rPr>
          <w:rFonts w:eastAsia="Calibri"/>
        </w:rPr>
      </w:pPr>
      <w:r w:rsidRPr="00C56257">
        <w:rPr>
          <w:rFonts w:eastAsia="Calibri"/>
        </w:rPr>
        <w:t>hărțile de distribuție a habitatelor forestiere realizate pentru SCI-uri prin proiectele POS Mediu;</w:t>
      </w:r>
    </w:p>
    <w:p w14:paraId="5FE7AFA8" w14:textId="77777777" w:rsidR="0007555D" w:rsidRPr="00C56257" w:rsidRDefault="0007555D" w:rsidP="008E33FD">
      <w:pPr>
        <w:widowControl w:val="0"/>
        <w:numPr>
          <w:ilvl w:val="0"/>
          <w:numId w:val="4"/>
        </w:numPr>
        <w:autoSpaceDE w:val="0"/>
        <w:autoSpaceDN w:val="0"/>
        <w:adjustRightInd w:val="0"/>
        <w:ind w:right="-135"/>
        <w:contextualSpacing/>
        <w:jc w:val="both"/>
        <w:rPr>
          <w:rFonts w:eastAsia="Calibri"/>
          <w:lang w:eastAsia="ro-RO"/>
        </w:rPr>
      </w:pPr>
      <w:r w:rsidRPr="00C56257">
        <w:rPr>
          <w:rFonts w:eastAsia="Calibri"/>
        </w:rPr>
        <w:t xml:space="preserve">hărțile de distribuție a habitatelor forestiere realizate în cadrul unor proiecte LIFE (ex. </w:t>
      </w:r>
      <w:r w:rsidRPr="00C56257">
        <w:rPr>
          <w:rFonts w:eastAsia="Calibri"/>
          <w:color w:val="000000"/>
        </w:rPr>
        <w:t xml:space="preserve">9530* Vegetație forestieră sub-mediteraneeana cu endemitul </w:t>
      </w:r>
      <w:r w:rsidRPr="00C56257">
        <w:rPr>
          <w:rFonts w:eastAsia="Calibri"/>
          <w:i/>
          <w:color w:val="000000"/>
        </w:rPr>
        <w:t>Pinus nigra ssp. banatica</w:t>
      </w:r>
      <w:r w:rsidRPr="00C56257">
        <w:rPr>
          <w:rFonts w:eastAsia="Calibri"/>
        </w:rPr>
        <w:t xml:space="preserve">, </w:t>
      </w:r>
      <w:r w:rsidRPr="00C56257">
        <w:rPr>
          <w:rFonts w:eastAsia="Calibri"/>
          <w:color w:val="000000"/>
        </w:rPr>
        <w:t xml:space="preserve">9420 Păduri de </w:t>
      </w:r>
      <w:r w:rsidRPr="00C56257">
        <w:rPr>
          <w:rFonts w:eastAsia="Calibri"/>
          <w:i/>
          <w:color w:val="000000"/>
        </w:rPr>
        <w:t>Larix decidua</w:t>
      </w:r>
      <w:r w:rsidRPr="00C56257">
        <w:rPr>
          <w:rFonts w:eastAsia="Calibri"/>
          <w:color w:val="000000"/>
        </w:rPr>
        <w:t xml:space="preserve"> și/sau </w:t>
      </w:r>
      <w:r w:rsidRPr="00C56257">
        <w:rPr>
          <w:rFonts w:eastAsia="Calibri"/>
          <w:i/>
          <w:color w:val="000000"/>
        </w:rPr>
        <w:t>Pinus cembra</w:t>
      </w:r>
      <w:r w:rsidRPr="00C56257">
        <w:rPr>
          <w:rFonts w:eastAsia="Calibri"/>
        </w:rPr>
        <w:t xml:space="preserve"> din regiunea montană, </w:t>
      </w:r>
      <w:r w:rsidRPr="00C56257">
        <w:rPr>
          <w:rFonts w:eastAsia="Calibri"/>
          <w:color w:val="000000"/>
        </w:rPr>
        <w:t xml:space="preserve">9260 Vegetație forestieră cu </w:t>
      </w:r>
      <w:r w:rsidRPr="00C56257">
        <w:rPr>
          <w:rFonts w:eastAsia="Calibri"/>
          <w:i/>
          <w:color w:val="000000"/>
        </w:rPr>
        <w:t>Castanea sativa,</w:t>
      </w:r>
      <w:r w:rsidRPr="00C56257">
        <w:rPr>
          <w:rFonts w:eastAsia="Calibri"/>
        </w:rPr>
        <w:t xml:space="preserve"> </w:t>
      </w:r>
      <w:r w:rsidRPr="00C56257">
        <w:rPr>
          <w:rFonts w:eastAsia="Calibri"/>
          <w:lang w:eastAsia="ro-RO"/>
        </w:rPr>
        <w:t>9180* Păduri din Tilio-Acerion pe versanți abrupți, grohotișuri și ravene,</w:t>
      </w:r>
      <w:r w:rsidRPr="00C56257">
        <w:rPr>
          <w:rFonts w:eastAsia="Calibri"/>
        </w:rPr>
        <w:t xml:space="preserve"> </w:t>
      </w:r>
      <w:r w:rsidRPr="00C56257">
        <w:rPr>
          <w:rFonts w:eastAsia="Calibri"/>
          <w:lang w:eastAsia="ro-RO"/>
        </w:rPr>
        <w:t xml:space="preserve">91D0* Turbării cu vegetație forestieră, 91E0* Păduri aluviale cu </w:t>
      </w:r>
      <w:r w:rsidRPr="00C56257">
        <w:rPr>
          <w:rFonts w:eastAsia="Calibri"/>
          <w:i/>
          <w:iCs/>
          <w:lang w:eastAsia="ro-RO"/>
        </w:rPr>
        <w:t>Alnus glutinosa</w:t>
      </w:r>
      <w:r w:rsidRPr="00C56257">
        <w:rPr>
          <w:rFonts w:eastAsia="Calibri"/>
          <w:lang w:eastAsia="ro-RO"/>
        </w:rPr>
        <w:t xml:space="preserve"> și </w:t>
      </w:r>
      <w:r w:rsidRPr="00C56257">
        <w:rPr>
          <w:rFonts w:eastAsia="Calibri"/>
          <w:i/>
          <w:iCs/>
          <w:lang w:eastAsia="ro-RO"/>
        </w:rPr>
        <w:t>Fraxinus excelsior</w:t>
      </w:r>
      <w:r w:rsidRPr="00C56257">
        <w:rPr>
          <w:rFonts w:eastAsia="Calibri"/>
          <w:lang w:eastAsia="ro-RO"/>
        </w:rPr>
        <w:t xml:space="preserve"> (Alno-Padion, Alnion incanae, Salicion albae), 91H0* Vegetație forestieră panonică cu </w:t>
      </w:r>
      <w:r w:rsidRPr="00C56257">
        <w:rPr>
          <w:rFonts w:eastAsia="Calibri"/>
          <w:i/>
          <w:lang w:eastAsia="ro-RO"/>
        </w:rPr>
        <w:t>Quercus pubescens,</w:t>
      </w:r>
      <w:r w:rsidRPr="00C56257">
        <w:rPr>
          <w:rFonts w:eastAsia="Calibri"/>
          <w:lang w:eastAsia="ro-RO"/>
        </w:rPr>
        <w:t xml:space="preserve"> etc.;</w:t>
      </w:r>
    </w:p>
    <w:p w14:paraId="564AAF00" w14:textId="77777777" w:rsidR="0007555D" w:rsidRPr="00C56257" w:rsidRDefault="0007555D" w:rsidP="008E33FD">
      <w:pPr>
        <w:widowControl w:val="0"/>
        <w:numPr>
          <w:ilvl w:val="0"/>
          <w:numId w:val="4"/>
        </w:numPr>
        <w:autoSpaceDE w:val="0"/>
        <w:autoSpaceDN w:val="0"/>
        <w:adjustRightInd w:val="0"/>
        <w:ind w:right="-135"/>
        <w:contextualSpacing/>
        <w:jc w:val="both"/>
        <w:rPr>
          <w:rFonts w:eastAsia="Calibri"/>
          <w:lang w:eastAsia="ro-RO"/>
        </w:rPr>
      </w:pPr>
      <w:r w:rsidRPr="00C56257">
        <w:rPr>
          <w:rFonts w:eastAsia="Calibri"/>
          <w:lang w:eastAsia="ro-RO"/>
        </w:rPr>
        <w:t>cartare în teren combinată cu teledecție.</w:t>
      </w:r>
    </w:p>
    <w:p w14:paraId="0A286D38" w14:textId="77777777" w:rsidR="0007555D" w:rsidRPr="00C56257" w:rsidRDefault="0007555D" w:rsidP="008E33FD">
      <w:pPr>
        <w:spacing w:after="160" w:line="259" w:lineRule="auto"/>
        <w:jc w:val="both"/>
        <w:rPr>
          <w:color w:val="000000"/>
        </w:rPr>
      </w:pPr>
      <w:r w:rsidRPr="00C56257">
        <w:rPr>
          <w:noProof/>
          <w:color w:val="000000"/>
          <w:highlight w:val="yellow"/>
          <w:lang w:val="en-US"/>
        </w:rPr>
        <w:drawing>
          <wp:anchor distT="0" distB="0" distL="114300" distR="114300" simplePos="0" relativeHeight="251659264" behindDoc="1" locked="0" layoutInCell="1" allowOverlap="1" wp14:anchorId="13883391" wp14:editId="6B2EF860">
            <wp:simplePos x="0" y="0"/>
            <wp:positionH relativeFrom="margin">
              <wp:posOffset>1485900</wp:posOffset>
            </wp:positionH>
            <wp:positionV relativeFrom="paragraph">
              <wp:posOffset>799465</wp:posOffset>
            </wp:positionV>
            <wp:extent cx="2587625" cy="1795780"/>
            <wp:effectExtent l="0" t="0" r="3175" b="0"/>
            <wp:wrapTight wrapText="bothSides">
              <wp:wrapPolygon edited="0">
                <wp:start x="0" y="0"/>
                <wp:lineTo x="0" y="21310"/>
                <wp:lineTo x="21467" y="21310"/>
                <wp:lineTo x="21467"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87625" cy="1795780"/>
                    </a:xfrm>
                    <a:prstGeom prst="rect">
                      <a:avLst/>
                    </a:prstGeom>
                    <a:noFill/>
                  </pic:spPr>
                </pic:pic>
              </a:graphicData>
            </a:graphic>
            <wp14:sizeRelH relativeFrom="margin">
              <wp14:pctWidth>0</wp14:pctWidth>
            </wp14:sizeRelH>
            <wp14:sizeRelV relativeFrom="margin">
              <wp14:pctHeight>0</wp14:pctHeight>
            </wp14:sizeRelV>
          </wp:anchor>
        </w:drawing>
      </w:r>
      <w:r w:rsidRPr="00C56257">
        <w:rPr>
          <w:color w:val="000000"/>
        </w:rPr>
        <w:t xml:space="preserve">Datorită volumului mare de date colectate din ploturile din teren și a numărului mare al acestora, la nivelul țării au fost constituite zece echipe de teren, formate din doi sau trei membri, experți în biodiversitate. Astfel, harta țării a fost împărțită în zece zone, fiecărei echipe fiindu-i atribuită câte o zonă de activitate (Figura 2). </w:t>
      </w:r>
    </w:p>
    <w:p w14:paraId="4BF2A521" w14:textId="77777777" w:rsidR="0007555D" w:rsidRPr="00C56257" w:rsidRDefault="0007555D" w:rsidP="008E33FD">
      <w:pPr>
        <w:spacing w:after="160" w:line="259" w:lineRule="auto"/>
        <w:jc w:val="both"/>
        <w:rPr>
          <w:color w:val="000000"/>
        </w:rPr>
      </w:pPr>
    </w:p>
    <w:p w14:paraId="36B5CE23" w14:textId="77777777" w:rsidR="0007555D" w:rsidRPr="00C56257" w:rsidRDefault="0007555D" w:rsidP="008E33FD">
      <w:pPr>
        <w:spacing w:after="160" w:line="259" w:lineRule="auto"/>
        <w:jc w:val="both"/>
        <w:rPr>
          <w:color w:val="000000"/>
        </w:rPr>
      </w:pPr>
    </w:p>
    <w:p w14:paraId="77B1E4CF" w14:textId="77777777" w:rsidR="0007555D" w:rsidRPr="00C56257" w:rsidRDefault="0007555D" w:rsidP="008E33FD">
      <w:pPr>
        <w:spacing w:after="160" w:line="259" w:lineRule="auto"/>
        <w:jc w:val="both"/>
        <w:rPr>
          <w:color w:val="000000"/>
        </w:rPr>
      </w:pPr>
    </w:p>
    <w:p w14:paraId="7EA3E011" w14:textId="77777777" w:rsidR="0007555D" w:rsidRPr="00C56257" w:rsidRDefault="0007555D" w:rsidP="008E33FD">
      <w:pPr>
        <w:spacing w:after="160" w:line="259" w:lineRule="auto"/>
        <w:jc w:val="both"/>
        <w:rPr>
          <w:color w:val="000000"/>
        </w:rPr>
      </w:pPr>
    </w:p>
    <w:p w14:paraId="6FD7EA94" w14:textId="77777777" w:rsidR="0007555D" w:rsidRPr="00C56257" w:rsidRDefault="0007555D" w:rsidP="008E33FD">
      <w:pPr>
        <w:spacing w:after="160" w:line="259" w:lineRule="auto"/>
        <w:jc w:val="both"/>
        <w:rPr>
          <w:color w:val="000000"/>
        </w:rPr>
      </w:pPr>
    </w:p>
    <w:p w14:paraId="494F1A17" w14:textId="77777777" w:rsidR="0007555D" w:rsidRPr="00C56257" w:rsidRDefault="0007555D" w:rsidP="008E33FD">
      <w:pPr>
        <w:spacing w:after="160" w:line="259" w:lineRule="auto"/>
        <w:jc w:val="both"/>
        <w:rPr>
          <w:color w:val="000000"/>
        </w:rPr>
      </w:pPr>
    </w:p>
    <w:p w14:paraId="7AA8B49A" w14:textId="77777777" w:rsidR="0060540B" w:rsidRDefault="0007555D" w:rsidP="00F100E1">
      <w:pPr>
        <w:jc w:val="both"/>
      </w:pPr>
      <w:r w:rsidRPr="00C56257">
        <w:t xml:space="preserve">                                    </w:t>
      </w:r>
    </w:p>
    <w:p w14:paraId="35256664" w14:textId="77777777" w:rsidR="0007555D" w:rsidRPr="00C56257" w:rsidRDefault="0007555D" w:rsidP="00F100E1">
      <w:pPr>
        <w:jc w:val="both"/>
      </w:pPr>
      <w:r w:rsidRPr="00C56257">
        <w:t>Figura 2. Harta României cu zonele de activitate ale echipelor de teren</w:t>
      </w:r>
    </w:p>
    <w:p w14:paraId="76D5DA46" w14:textId="77777777" w:rsidR="0007555D" w:rsidRPr="00C56257" w:rsidRDefault="0007555D" w:rsidP="008E33FD">
      <w:pPr>
        <w:spacing w:after="160" w:line="259" w:lineRule="auto"/>
        <w:jc w:val="both"/>
        <w:rPr>
          <w:color w:val="000000"/>
        </w:rPr>
      </w:pPr>
    </w:p>
    <w:p w14:paraId="0523A85E" w14:textId="77777777" w:rsidR="0007555D" w:rsidRPr="00C56257" w:rsidRDefault="0007555D" w:rsidP="008E33FD">
      <w:pPr>
        <w:spacing w:after="160" w:line="259" w:lineRule="auto"/>
        <w:jc w:val="both"/>
        <w:rPr>
          <w:color w:val="000000"/>
        </w:rPr>
      </w:pPr>
      <w:r w:rsidRPr="00C56257">
        <w:rPr>
          <w:color w:val="000000"/>
        </w:rPr>
        <w:t xml:space="preserve">Membrii echipelor au fost instruiți asupra modului de colectare a datelor din teren necesare evaluării stării de conservare a habitatelor de interes comunitar, asupra tipului de date ce trebuie colectate și au primit metodologia, aparatura și materialele cartografice necesare realizări acestei activități. Datele colectate se </w:t>
      </w:r>
      <w:r w:rsidRPr="00C56257">
        <w:rPr>
          <w:color w:val="000000"/>
        </w:rPr>
        <w:lastRenderedPageBreak/>
        <w:t>notează (stochează) atât pe fișa de teren cât și într-un tablet-PC (pe care este instalat un soft specific și special colectării datelor din teren) aflat în dotarea fiecărei echipe.</w:t>
      </w:r>
    </w:p>
    <w:p w14:paraId="43FED838" w14:textId="77777777" w:rsidR="0007555D" w:rsidRPr="00C56257" w:rsidRDefault="0007555D" w:rsidP="008E33FD">
      <w:pPr>
        <w:spacing w:after="160" w:line="259" w:lineRule="auto"/>
        <w:jc w:val="both"/>
        <w:rPr>
          <w:color w:val="000000"/>
        </w:rPr>
      </w:pPr>
      <w:r w:rsidRPr="00C56257">
        <w:rPr>
          <w:b/>
          <w:color w:val="000000"/>
        </w:rPr>
        <w:t xml:space="preserve">Materialul cartografic utilizat. </w:t>
      </w:r>
      <w:r w:rsidRPr="00C56257">
        <w:rPr>
          <w:color w:val="000000"/>
        </w:rPr>
        <w:t xml:space="preserve">Mai multe țări europene au dezvoltat în ultimii ani programe de cartare a habitatelor, fie pornind de la asociațiile fitosociologice/unități de vegetație, fie de la diverse sisteme de clasificare a habitatelor/biotopurilor (EUNIS, Palaearctic, CORINE, sisteme naționale de clasificare, etc.) pentru a răspunde cerințelor de conservare, management și de raportare cu privire la starea de conservare a habitatelor de interes comunitar, cerute prin Directiva Habitate. </w:t>
      </w:r>
    </w:p>
    <w:p w14:paraId="22B9AD6B" w14:textId="77777777" w:rsidR="0007555D" w:rsidRPr="00C56257" w:rsidRDefault="0007555D" w:rsidP="008E33FD">
      <w:pPr>
        <w:spacing w:line="259" w:lineRule="auto"/>
        <w:jc w:val="both"/>
        <w:rPr>
          <w:color w:val="000000"/>
        </w:rPr>
      </w:pPr>
      <w:r w:rsidRPr="00C56257">
        <w:rPr>
          <w:color w:val="000000"/>
        </w:rPr>
        <w:t>Întrucât România nu are/a avut un program de cartare a vegetației și/sau a habitatelor/biotopurilor la nivel național, în cadrul acestui proiect se are în vedere realizarea unei cartări a habitatelor forestiere pentru care nu există informații spațiale suficiente și actuale și o revizuire/reactualizare a hărților pentru habitatele forestiere pentru care astfel de informații există.</w:t>
      </w:r>
    </w:p>
    <w:p w14:paraId="483EA9E1" w14:textId="77777777" w:rsidR="0007555D" w:rsidRPr="00C56257" w:rsidRDefault="0007555D" w:rsidP="008E33FD">
      <w:pPr>
        <w:jc w:val="both"/>
        <w:rPr>
          <w:color w:val="000000"/>
        </w:rPr>
      </w:pPr>
      <w:r w:rsidRPr="00C56257">
        <w:rPr>
          <w:color w:val="000000"/>
        </w:rPr>
        <w:t>Pentru realizarea efectivă a procesului de colectare a datelor din ploturile de monitorizare, experților în biodiversitate le sunt necesare o serie de materiale cartografice (Figura 3), atât în format fizic cât și digital:</w:t>
      </w:r>
    </w:p>
    <w:p w14:paraId="2707E592" w14:textId="77777777" w:rsidR="0007555D" w:rsidRPr="00C56257" w:rsidRDefault="0007555D" w:rsidP="00F100E1">
      <w:pPr>
        <w:jc w:val="both"/>
        <w:rPr>
          <w:color w:val="000000"/>
        </w:rPr>
      </w:pPr>
      <w:r w:rsidRPr="00C56257">
        <w:rPr>
          <w:color w:val="000000"/>
        </w:rPr>
        <w:t>a)</w:t>
      </w:r>
      <w:r w:rsidRPr="00C56257">
        <w:rPr>
          <w:color w:val="000000"/>
        </w:rPr>
        <w:tab/>
        <w:t>Ortofotoplanuri în culori naturale (RGB) scara 1:5000</w:t>
      </w:r>
    </w:p>
    <w:p w14:paraId="74FEDACB" w14:textId="77777777" w:rsidR="0007555D" w:rsidRPr="00C56257" w:rsidRDefault="0007555D" w:rsidP="00F100E1">
      <w:pPr>
        <w:jc w:val="both"/>
        <w:rPr>
          <w:color w:val="000000"/>
        </w:rPr>
      </w:pPr>
      <w:r w:rsidRPr="00C56257">
        <w:rPr>
          <w:color w:val="000000"/>
        </w:rPr>
        <w:t>b)</w:t>
      </w:r>
      <w:r w:rsidRPr="00C56257">
        <w:rPr>
          <w:color w:val="000000"/>
        </w:rPr>
        <w:tab/>
        <w:t>Hărți topografice scara 1:25 000</w:t>
      </w:r>
    </w:p>
    <w:p w14:paraId="701C85E5" w14:textId="77777777" w:rsidR="0007555D" w:rsidRPr="00C56257" w:rsidRDefault="0007555D" w:rsidP="00F100E1">
      <w:pPr>
        <w:jc w:val="both"/>
        <w:rPr>
          <w:color w:val="000000"/>
        </w:rPr>
      </w:pPr>
      <w:r w:rsidRPr="00C56257">
        <w:rPr>
          <w:color w:val="000000"/>
        </w:rPr>
        <w:t>c)</w:t>
      </w:r>
      <w:r w:rsidRPr="00C56257">
        <w:rPr>
          <w:color w:val="000000"/>
        </w:rPr>
        <w:tab/>
        <w:t>Hărți amenajistice scara 1:50 000</w:t>
      </w:r>
    </w:p>
    <w:p w14:paraId="11498E9E" w14:textId="77777777" w:rsidR="0007555D" w:rsidRPr="00C56257" w:rsidRDefault="0007555D" w:rsidP="00F100E1">
      <w:pPr>
        <w:jc w:val="both"/>
        <w:rPr>
          <w:color w:val="000000"/>
        </w:rPr>
      </w:pPr>
      <w:r w:rsidRPr="00C56257">
        <w:rPr>
          <w:color w:val="000000"/>
        </w:rPr>
        <w:t>d)</w:t>
      </w:r>
      <w:r w:rsidRPr="00C56257">
        <w:rPr>
          <w:color w:val="000000"/>
        </w:rPr>
        <w:tab/>
        <w:t xml:space="preserve">Hărți topografice scara 1:200 000 </w:t>
      </w:r>
    </w:p>
    <w:p w14:paraId="4DF0F094" w14:textId="77777777" w:rsidR="0007555D" w:rsidRPr="00C56257" w:rsidRDefault="0007555D" w:rsidP="00F100E1">
      <w:pPr>
        <w:jc w:val="both"/>
        <w:rPr>
          <w:color w:val="000000"/>
        </w:rPr>
      </w:pPr>
    </w:p>
    <w:p w14:paraId="2F4A4BE9" w14:textId="77777777" w:rsidR="0007555D" w:rsidRPr="00C56257" w:rsidRDefault="0007555D" w:rsidP="00F100E1">
      <w:pPr>
        <w:widowControl w:val="0"/>
        <w:autoSpaceDE w:val="0"/>
        <w:autoSpaceDN w:val="0"/>
        <w:adjustRightInd w:val="0"/>
        <w:ind w:right="-135"/>
        <w:contextualSpacing/>
        <w:jc w:val="both"/>
        <w:rPr>
          <w:rFonts w:eastAsia="Calibri"/>
          <w:lang w:eastAsia="ro-RO"/>
        </w:rPr>
      </w:pPr>
      <w:r w:rsidRPr="00C56257">
        <w:rPr>
          <w:noProof/>
          <w:color w:val="000000"/>
          <w:lang w:val="en-US"/>
        </w:rPr>
        <w:drawing>
          <wp:inline distT="0" distB="0" distL="0" distR="0" wp14:anchorId="03FB5C49" wp14:editId="5D101517">
            <wp:extent cx="3838575" cy="3121001"/>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82593" cy="3156790"/>
                    </a:xfrm>
                    <a:prstGeom prst="rect">
                      <a:avLst/>
                    </a:prstGeom>
                    <a:noFill/>
                    <a:ln>
                      <a:noFill/>
                    </a:ln>
                  </pic:spPr>
                </pic:pic>
              </a:graphicData>
            </a:graphic>
          </wp:inline>
        </w:drawing>
      </w:r>
    </w:p>
    <w:p w14:paraId="504F03EF" w14:textId="77777777" w:rsidR="0007555D" w:rsidRPr="00C56257" w:rsidRDefault="0007555D" w:rsidP="00F100E1">
      <w:pPr>
        <w:spacing w:after="160" w:line="259" w:lineRule="auto"/>
        <w:jc w:val="both"/>
        <w:rPr>
          <w:color w:val="000000"/>
        </w:rPr>
      </w:pPr>
      <w:r w:rsidRPr="00C56257">
        <w:rPr>
          <w:color w:val="000000"/>
        </w:rPr>
        <w:t>Figura 3. Materialul cartografic utilizat de echipele de teren</w:t>
      </w:r>
    </w:p>
    <w:p w14:paraId="0256BCF2" w14:textId="77777777" w:rsidR="0007555D" w:rsidRPr="00C56257" w:rsidRDefault="0007555D" w:rsidP="008E33FD">
      <w:pPr>
        <w:spacing w:after="160" w:line="259" w:lineRule="auto"/>
        <w:jc w:val="both"/>
        <w:rPr>
          <w:color w:val="000000"/>
        </w:rPr>
      </w:pPr>
      <w:r w:rsidRPr="00C56257">
        <w:rPr>
          <w:color w:val="000000"/>
        </w:rPr>
        <w:t>Aceste hărți ajută la localizarea exactă a ploturilor de monitorizare și a căilor de acces către acestea, precum și la orientarea mai bună în teren a specialiștilor implicați în procesul de colectare a datelor.</w:t>
      </w:r>
    </w:p>
    <w:p w14:paraId="549B5094" w14:textId="77777777" w:rsidR="0007555D" w:rsidRPr="00C56257" w:rsidRDefault="00FE0FCD" w:rsidP="008E33FD">
      <w:pPr>
        <w:widowControl w:val="0"/>
        <w:autoSpaceDE w:val="0"/>
        <w:autoSpaceDN w:val="0"/>
        <w:adjustRightInd w:val="0"/>
        <w:ind w:left="810"/>
        <w:contextualSpacing/>
        <w:jc w:val="both"/>
        <w:rPr>
          <w:rFonts w:eastAsia="Calibri"/>
        </w:rPr>
      </w:pPr>
      <w:r>
        <w:rPr>
          <w:rFonts w:eastAsia="Calibri"/>
          <w:b/>
        </w:rPr>
        <w:t>10</w:t>
      </w:r>
      <w:r w:rsidR="0007555D" w:rsidRPr="00C56257">
        <w:rPr>
          <w:rFonts w:eastAsia="Calibri"/>
          <w:b/>
        </w:rPr>
        <w:t>.</w:t>
      </w:r>
      <w:r>
        <w:rPr>
          <w:rFonts w:eastAsia="Calibri"/>
          <w:b/>
        </w:rPr>
        <w:t>1</w:t>
      </w:r>
      <w:r w:rsidR="0007555D" w:rsidRPr="00C56257">
        <w:rPr>
          <w:rFonts w:eastAsia="Calibri"/>
          <w:b/>
        </w:rPr>
        <w:t>.</w:t>
      </w:r>
      <w:r>
        <w:rPr>
          <w:rFonts w:eastAsia="Calibri"/>
          <w:b/>
        </w:rPr>
        <w:t>3.</w:t>
      </w:r>
      <w:r w:rsidR="0007555D" w:rsidRPr="00C56257">
        <w:rPr>
          <w:rFonts w:eastAsia="Calibri"/>
          <w:b/>
        </w:rPr>
        <w:t xml:space="preserve"> Evaluarea parametrilor descriptivi ai calității habitatului (</w:t>
      </w:r>
      <w:r w:rsidR="0007555D" w:rsidRPr="00C56257">
        <w:rPr>
          <w:rFonts w:eastAsia="Calibri"/>
        </w:rPr>
        <w:t>structura, funcțiile, presiunile, amenințările, măsurile de conservare aplicate și/sau necesare)</w:t>
      </w:r>
      <w:r w:rsidR="0007555D" w:rsidRPr="00C56257">
        <w:rPr>
          <w:rFonts w:eastAsia="Calibri"/>
          <w:b/>
        </w:rPr>
        <w:t xml:space="preserve"> </w:t>
      </w:r>
    </w:p>
    <w:p w14:paraId="656F0E3D" w14:textId="77777777" w:rsidR="0007555D" w:rsidRPr="00C56257" w:rsidRDefault="0007555D" w:rsidP="008E33FD">
      <w:pPr>
        <w:widowControl w:val="0"/>
        <w:autoSpaceDE w:val="0"/>
        <w:autoSpaceDN w:val="0"/>
        <w:adjustRightInd w:val="0"/>
        <w:jc w:val="both"/>
        <w:rPr>
          <w:rFonts w:eastAsia="Calibri"/>
        </w:rPr>
      </w:pPr>
    </w:p>
    <w:p w14:paraId="70822E26" w14:textId="77777777" w:rsidR="0007555D" w:rsidRPr="00C56257" w:rsidRDefault="0007555D" w:rsidP="008E33FD">
      <w:pPr>
        <w:widowControl w:val="0"/>
        <w:autoSpaceDE w:val="0"/>
        <w:autoSpaceDN w:val="0"/>
        <w:adjustRightInd w:val="0"/>
        <w:jc w:val="both"/>
        <w:rPr>
          <w:lang w:eastAsia="ro-RO"/>
        </w:rPr>
      </w:pPr>
      <w:r w:rsidRPr="00C56257">
        <w:rPr>
          <w:lang w:eastAsia="ro-RO"/>
        </w:rPr>
        <w:t xml:space="preserve">Habitatele de pădure </w:t>
      </w:r>
      <w:r w:rsidRPr="00C56257">
        <w:rPr>
          <w:rFonts w:eastAsia="Calibri"/>
          <w:lang w:eastAsia="ro-RO"/>
        </w:rPr>
        <w:t xml:space="preserve">ocupă în general o suprafaţă întinsă, au o distribuţie în suprafeţe mari, continuă, uneori combinată cu o distribuţie fragmentată, în suprafeţe mici, răspândite în cea mai mare parte a ţării, ceea ce implică un efort considerabil pentru monitorizarea stării lor de conservare. Având în vedere că resursele disponibile pentru activitatea de monitorizare sunt limitate şi ar fi de dorit obţinerea datelor şi informaţiilor </w:t>
      </w:r>
      <w:r w:rsidRPr="00C56257">
        <w:rPr>
          <w:rFonts w:eastAsia="Calibri"/>
          <w:lang w:eastAsia="ro-RO"/>
        </w:rPr>
        <w:lastRenderedPageBreak/>
        <w:t xml:space="preserve">necesare cu efort minim, evaluarea şi monitorizarea integrală/completă la nivel naţional şi la nivel de regiune biogeografică nu este posibilă decât în cazuri excepţionale (ex. habitate cu distribuţie restrânsă). </w:t>
      </w:r>
    </w:p>
    <w:p w14:paraId="4D314889" w14:textId="77777777" w:rsidR="0007555D" w:rsidRPr="00C56257" w:rsidRDefault="0007555D" w:rsidP="008E33FD">
      <w:pPr>
        <w:widowControl w:val="0"/>
        <w:autoSpaceDE w:val="0"/>
        <w:autoSpaceDN w:val="0"/>
        <w:adjustRightInd w:val="0"/>
        <w:jc w:val="both"/>
        <w:rPr>
          <w:lang w:eastAsia="ro-RO"/>
        </w:rPr>
      </w:pPr>
      <w:r w:rsidRPr="00C56257">
        <w:rPr>
          <w:rFonts w:eastAsia="Calibri"/>
          <w:lang w:eastAsia="ro-RO"/>
        </w:rPr>
        <w:t>În procesul de evaluare şi monitorizare a habitatelor forestiere se vor utiliza datele culese în sistemele de evaluare și monitorizare a r</w:t>
      </w:r>
      <w:r w:rsidRPr="00C56257">
        <w:rPr>
          <w:lang w:eastAsia="ro-RO"/>
        </w:rPr>
        <w:t>esurselor forestiere existente,</w:t>
      </w:r>
      <w:r w:rsidRPr="00C56257">
        <w:rPr>
          <w:rFonts w:eastAsia="Calibri"/>
          <w:b/>
          <w:bCs/>
          <w:lang w:eastAsia="ro-RO"/>
        </w:rPr>
        <w:t xml:space="preserve"> </w:t>
      </w:r>
      <w:r w:rsidRPr="00C56257">
        <w:rPr>
          <w:lang w:eastAsia="ro-RO"/>
        </w:rPr>
        <w:t xml:space="preserve">planurile de management ale siturilor Natura 2000, </w:t>
      </w:r>
      <w:r w:rsidRPr="00C56257">
        <w:rPr>
          <w:rFonts w:eastAsia="Calibri"/>
          <w:lang w:eastAsia="ro-RO"/>
        </w:rPr>
        <w:t xml:space="preserve">iar acolo unde datele furnizate de aceste sisteme nu sunt suficiente se vor face </w:t>
      </w:r>
      <w:r w:rsidRPr="00C56257">
        <w:rPr>
          <w:rFonts w:eastAsia="Calibri"/>
          <w:b/>
          <w:lang w:eastAsia="ro-RO"/>
        </w:rPr>
        <w:t>investigaţii suplimentare în teren</w:t>
      </w:r>
      <w:r w:rsidRPr="00C56257">
        <w:rPr>
          <w:rFonts w:eastAsia="Calibri"/>
          <w:lang w:eastAsia="ro-RO"/>
        </w:rPr>
        <w:t xml:space="preserve">. </w:t>
      </w:r>
    </w:p>
    <w:p w14:paraId="76B89CCA" w14:textId="77777777" w:rsidR="0007555D" w:rsidRPr="00C56257" w:rsidRDefault="0007555D" w:rsidP="008E33FD">
      <w:pPr>
        <w:widowControl w:val="0"/>
        <w:autoSpaceDE w:val="0"/>
        <w:autoSpaceDN w:val="0"/>
        <w:adjustRightInd w:val="0"/>
        <w:jc w:val="both"/>
        <w:rPr>
          <w:b/>
          <w:i/>
          <w:highlight w:val="yellow"/>
          <w:bdr w:val="none" w:sz="0" w:space="0" w:color="auto" w:frame="1"/>
        </w:rPr>
      </w:pPr>
      <w:bookmarkStart w:id="51" w:name="_Hlk95743943"/>
      <w:r w:rsidRPr="00C56257">
        <w:rPr>
          <w:b/>
          <w:bCs/>
          <w:lang w:eastAsia="ro-RO"/>
        </w:rPr>
        <w:t>Sistemul de monitorizare a vegetației forestiere</w:t>
      </w:r>
      <w:r w:rsidRPr="00C56257">
        <w:rPr>
          <w:rFonts w:eastAsia="Calibri"/>
          <w:lang w:eastAsia="ro-RO"/>
        </w:rPr>
        <w:t xml:space="preserve"> </w:t>
      </w:r>
      <w:bookmarkEnd w:id="51"/>
      <w:r w:rsidRPr="00C56257">
        <w:rPr>
          <w:rFonts w:eastAsia="Calibri"/>
          <w:lang w:eastAsia="ro-RO"/>
        </w:rPr>
        <w:t>evaluează resursele forestiere naţionale printr-o inventariere statistică, bazată pe o metodă de eşantionare sistematică, combinată şi multistagială, realizată cu o periodicitate de 5 ani.</w:t>
      </w:r>
      <w:r w:rsidRPr="00C56257">
        <w:rPr>
          <w:lang w:eastAsia="ro-RO"/>
        </w:rPr>
        <w:t xml:space="preserve"> În procesul de </w:t>
      </w:r>
      <w:r w:rsidRPr="00C56257">
        <w:rPr>
          <w:rFonts w:eastAsia="Calibri"/>
          <w:b/>
          <w:bCs/>
          <w:lang w:eastAsia="ro-RO"/>
        </w:rPr>
        <w:t>amenajare a pădurilor</w:t>
      </w:r>
      <w:r w:rsidRPr="00C56257">
        <w:rPr>
          <w:lang w:eastAsia="ro-RO"/>
        </w:rPr>
        <w:t>, fiecare arboret (ua) este</w:t>
      </w:r>
      <w:r w:rsidRPr="00C56257">
        <w:rPr>
          <w:rFonts w:eastAsia="Calibri"/>
          <w:lang w:eastAsia="ro-RO"/>
        </w:rPr>
        <w:t xml:space="preserve"> parcurs de inginerii amenajişti o dată la 10 ani, ocazie cu care se descriu, pe bază de măsurători şi estimări, parametrii necesari caracterizării stării actuale şi gestionării pentru următorii 10 ani a acestuia. </w:t>
      </w:r>
      <w:r w:rsidRPr="00C56257">
        <w:rPr>
          <w:b/>
          <w:bCs/>
          <w:lang w:eastAsia="ro-RO"/>
        </w:rPr>
        <w:t xml:space="preserve">Planurile de management ale siturilor Natura 2000 </w:t>
      </w:r>
      <w:r w:rsidRPr="00C56257">
        <w:t>se elaborează cu o periodicitate de 5(10) ani și oferă informații detaliate cu privire la parametrii spațiali și la cei descriptivi ai tuturor tipurilor de habitate de interes comunitar de pe teritoriul siturilor respective.</w:t>
      </w:r>
    </w:p>
    <w:p w14:paraId="2363D63D" w14:textId="77777777" w:rsidR="0007555D" w:rsidRPr="00C56257" w:rsidRDefault="0007555D" w:rsidP="008E33FD">
      <w:pPr>
        <w:widowControl w:val="0"/>
        <w:autoSpaceDE w:val="0"/>
        <w:autoSpaceDN w:val="0"/>
        <w:adjustRightInd w:val="0"/>
        <w:jc w:val="both"/>
        <w:rPr>
          <w:rFonts w:eastAsia="Calibri"/>
          <w:bCs/>
        </w:rPr>
      </w:pPr>
      <w:r w:rsidRPr="00C56257">
        <w:rPr>
          <w:rFonts w:eastAsia="Calibri"/>
        </w:rPr>
        <w:t xml:space="preserve">Analiza </w:t>
      </w:r>
      <w:r w:rsidRPr="00C56257">
        <w:rPr>
          <w:rFonts w:eastAsia="Calibri"/>
          <w:b/>
        </w:rPr>
        <w:t>metodologiei folosite la</w:t>
      </w:r>
      <w:r w:rsidRPr="00C56257">
        <w:rPr>
          <w:b/>
          <w:bCs/>
          <w:lang w:eastAsia="ro-RO"/>
        </w:rPr>
        <w:t xml:space="preserve"> monitorizarea vegetației forestiere</w:t>
      </w:r>
      <w:r w:rsidRPr="00C56257">
        <w:rPr>
          <w:rFonts w:eastAsia="Calibri"/>
        </w:rPr>
        <w:t xml:space="preserve"> și a </w:t>
      </w:r>
      <w:r w:rsidRPr="00C56257">
        <w:rPr>
          <w:rFonts w:eastAsia="Calibri"/>
          <w:b/>
          <w:bCs/>
        </w:rPr>
        <w:t xml:space="preserve">Formatului de raportare pentru perioada 2013-2018, </w:t>
      </w:r>
      <w:r w:rsidRPr="00C56257">
        <w:rPr>
          <w:rFonts w:eastAsia="Calibri"/>
          <w:bCs/>
        </w:rPr>
        <w:t xml:space="preserve">solicitat de CE pentru </w:t>
      </w:r>
      <w:r w:rsidRPr="00C56257">
        <w:rPr>
          <w:rFonts w:eastAsia="Calibri"/>
        </w:rPr>
        <w:t>R</w:t>
      </w:r>
      <w:r w:rsidRPr="00C56257">
        <w:rPr>
          <w:rFonts w:eastAsia="Calibri"/>
          <w:bCs/>
        </w:rPr>
        <w:t xml:space="preserve">aportarea în baza Articolului 17 al </w:t>
      </w:r>
      <w:r w:rsidRPr="00C56257">
        <w:rPr>
          <w:rFonts w:eastAsia="Calibri"/>
        </w:rPr>
        <w:t>Directivei Habitate, evidențiază o serie de aspecte comune și de sinergii între aceste sisteme de monitorizare, cum ar fi</w:t>
      </w:r>
      <w:r w:rsidRPr="00C56257">
        <w:rPr>
          <w:rFonts w:eastAsia="Calibri"/>
          <w:bCs/>
        </w:rPr>
        <w:t xml:space="preserve">: </w:t>
      </w:r>
    </w:p>
    <w:p w14:paraId="481EA885" w14:textId="77777777" w:rsidR="0007555D" w:rsidRPr="00C56257" w:rsidRDefault="0007555D" w:rsidP="008E33FD">
      <w:pPr>
        <w:widowControl w:val="0"/>
        <w:numPr>
          <w:ilvl w:val="0"/>
          <w:numId w:val="6"/>
        </w:numPr>
        <w:autoSpaceDE w:val="0"/>
        <w:autoSpaceDN w:val="0"/>
        <w:adjustRightInd w:val="0"/>
        <w:contextualSpacing/>
        <w:jc w:val="both"/>
        <w:rPr>
          <w:rFonts w:eastAsia="Calibri"/>
        </w:rPr>
      </w:pPr>
      <w:r w:rsidRPr="00C56257">
        <w:rPr>
          <w:rFonts w:eastAsia="Calibri"/>
        </w:rPr>
        <w:t>Abordare unitară, complexă și detaliată la nivel național;</w:t>
      </w:r>
    </w:p>
    <w:p w14:paraId="5B33BF4C" w14:textId="77777777" w:rsidR="0007555D" w:rsidRPr="00C56257" w:rsidRDefault="0007555D" w:rsidP="008E33FD">
      <w:pPr>
        <w:widowControl w:val="0"/>
        <w:numPr>
          <w:ilvl w:val="0"/>
          <w:numId w:val="6"/>
        </w:numPr>
        <w:autoSpaceDE w:val="0"/>
        <w:autoSpaceDN w:val="0"/>
        <w:adjustRightInd w:val="0"/>
        <w:contextualSpacing/>
        <w:jc w:val="both"/>
        <w:rPr>
          <w:rFonts w:eastAsia="Calibri"/>
        </w:rPr>
      </w:pPr>
      <w:r w:rsidRPr="00C56257">
        <w:rPr>
          <w:rFonts w:eastAsia="Calibri"/>
        </w:rPr>
        <w:t>Metodă statistică de eșantionare, care a sigură o precizie satisfăcătoare a evaluărilor, cu costuri rezonabile;</w:t>
      </w:r>
    </w:p>
    <w:p w14:paraId="6B3E9D4D" w14:textId="77777777" w:rsidR="0007555D" w:rsidRPr="00C56257" w:rsidRDefault="0007555D" w:rsidP="008E33FD">
      <w:pPr>
        <w:widowControl w:val="0"/>
        <w:numPr>
          <w:ilvl w:val="0"/>
          <w:numId w:val="6"/>
        </w:numPr>
        <w:autoSpaceDE w:val="0"/>
        <w:autoSpaceDN w:val="0"/>
        <w:adjustRightInd w:val="0"/>
        <w:contextualSpacing/>
        <w:jc w:val="both"/>
        <w:rPr>
          <w:rFonts w:eastAsia="Calibri"/>
        </w:rPr>
      </w:pPr>
      <w:r w:rsidRPr="00C56257">
        <w:rPr>
          <w:rFonts w:eastAsia="Calibri"/>
        </w:rPr>
        <w:t xml:space="preserve">Colectare ciclică a datelor de monitorizare, cu o periodicitate relativ apropiată (5 ani, respectiv 6 ani la </w:t>
      </w:r>
      <w:r w:rsidRPr="00C56257">
        <w:rPr>
          <w:rFonts w:eastAsia="Calibri"/>
          <w:bCs/>
        </w:rPr>
        <w:t xml:space="preserve">Articolul 17 al </w:t>
      </w:r>
      <w:r w:rsidRPr="00C56257">
        <w:rPr>
          <w:rFonts w:eastAsia="Calibri"/>
        </w:rPr>
        <w:t>Directivei Habitate);</w:t>
      </w:r>
    </w:p>
    <w:p w14:paraId="5C2572E1" w14:textId="77777777" w:rsidR="0007555D" w:rsidRPr="00C56257" w:rsidRDefault="0007555D" w:rsidP="008E33FD">
      <w:pPr>
        <w:widowControl w:val="0"/>
        <w:numPr>
          <w:ilvl w:val="0"/>
          <w:numId w:val="6"/>
        </w:numPr>
        <w:autoSpaceDE w:val="0"/>
        <w:autoSpaceDN w:val="0"/>
        <w:adjustRightInd w:val="0"/>
        <w:contextualSpacing/>
        <w:jc w:val="both"/>
        <w:rPr>
          <w:rFonts w:eastAsia="Calibri"/>
        </w:rPr>
      </w:pPr>
      <w:r w:rsidRPr="00C56257">
        <w:rPr>
          <w:lang w:eastAsia="ro-RO"/>
        </w:rPr>
        <w:t>În cadrul sistemului de monitorizare a vegetației forestiere</w:t>
      </w:r>
      <w:r w:rsidRPr="00C56257">
        <w:rPr>
          <w:rFonts w:eastAsia="Calibri"/>
        </w:rPr>
        <w:t xml:space="preserve"> se colectează o serie de date/informații utile pentru evaluarea parametrilor descriptivi ai calității habitatului.</w:t>
      </w:r>
    </w:p>
    <w:p w14:paraId="23B50EC3" w14:textId="77777777" w:rsidR="0007555D" w:rsidRPr="00C56257" w:rsidRDefault="0007555D" w:rsidP="008E33FD">
      <w:pPr>
        <w:widowControl w:val="0"/>
        <w:autoSpaceDE w:val="0"/>
        <w:autoSpaceDN w:val="0"/>
        <w:adjustRightInd w:val="0"/>
        <w:jc w:val="both"/>
        <w:rPr>
          <w:rFonts w:eastAsia="Calibri"/>
        </w:rPr>
      </w:pPr>
      <w:r w:rsidRPr="00C56257">
        <w:rPr>
          <w:rFonts w:eastAsia="Calibri"/>
        </w:rPr>
        <w:t xml:space="preserve">Astfel, aceste </w:t>
      </w:r>
      <w:r w:rsidRPr="00C56257">
        <w:rPr>
          <w:rFonts w:eastAsia="Calibri"/>
          <w:bCs/>
        </w:rPr>
        <w:t>date pot să contribuie într-o măsură semnificativă la îndeplinirea la standarde ridicate a obligațiilor de monitorizare și raportare a stării de conservare a habitatelor forestiere în baza art. 17 al Directivei Habitate</w:t>
      </w:r>
      <w:r w:rsidRPr="00C56257">
        <w:rPr>
          <w:rFonts w:eastAsia="Calibri"/>
        </w:rPr>
        <w:t>, datorită următoarelor motive:</w:t>
      </w:r>
    </w:p>
    <w:p w14:paraId="74040D54" w14:textId="77777777" w:rsidR="0007555D" w:rsidRPr="00C56257" w:rsidRDefault="0007555D" w:rsidP="008E33FD">
      <w:pPr>
        <w:widowControl w:val="0"/>
        <w:numPr>
          <w:ilvl w:val="0"/>
          <w:numId w:val="7"/>
        </w:numPr>
        <w:autoSpaceDE w:val="0"/>
        <w:autoSpaceDN w:val="0"/>
        <w:adjustRightInd w:val="0"/>
        <w:contextualSpacing/>
        <w:jc w:val="both"/>
        <w:rPr>
          <w:rFonts w:eastAsia="Calibri"/>
        </w:rPr>
      </w:pPr>
      <w:r w:rsidRPr="00C56257">
        <w:rPr>
          <w:rFonts w:eastAsia="Calibri"/>
        </w:rPr>
        <w:t>Metodologie de colectare a datelor robustă, fundamentată statistic, validată și verificabilă în teren;</w:t>
      </w:r>
    </w:p>
    <w:p w14:paraId="5A803C16" w14:textId="77777777" w:rsidR="0007555D" w:rsidRPr="00C56257" w:rsidRDefault="0007555D" w:rsidP="008E33FD">
      <w:pPr>
        <w:widowControl w:val="0"/>
        <w:numPr>
          <w:ilvl w:val="0"/>
          <w:numId w:val="7"/>
        </w:numPr>
        <w:autoSpaceDE w:val="0"/>
        <w:autoSpaceDN w:val="0"/>
        <w:adjustRightInd w:val="0"/>
        <w:contextualSpacing/>
        <w:jc w:val="both"/>
        <w:rPr>
          <w:rFonts w:eastAsia="Calibri"/>
        </w:rPr>
      </w:pPr>
      <w:r w:rsidRPr="00C56257">
        <w:rPr>
          <w:rFonts w:eastAsia="Calibri"/>
        </w:rPr>
        <w:t>Infrastructură și logistică existentă/disponibilă;</w:t>
      </w:r>
    </w:p>
    <w:p w14:paraId="048DF97A" w14:textId="77777777" w:rsidR="0007555D" w:rsidRPr="00C56257" w:rsidRDefault="0007555D" w:rsidP="008E33FD">
      <w:pPr>
        <w:widowControl w:val="0"/>
        <w:numPr>
          <w:ilvl w:val="0"/>
          <w:numId w:val="7"/>
        </w:numPr>
        <w:autoSpaceDE w:val="0"/>
        <w:autoSpaceDN w:val="0"/>
        <w:adjustRightInd w:val="0"/>
        <w:contextualSpacing/>
        <w:jc w:val="both"/>
        <w:rPr>
          <w:rFonts w:eastAsia="Calibri"/>
        </w:rPr>
      </w:pPr>
      <w:r w:rsidRPr="00C56257">
        <w:rPr>
          <w:rFonts w:eastAsia="Calibri"/>
        </w:rPr>
        <w:t>Personal de specialitate instruit, calificat și experimentat;</w:t>
      </w:r>
    </w:p>
    <w:p w14:paraId="55A87CDC" w14:textId="77777777" w:rsidR="0007555D" w:rsidRPr="00C56257" w:rsidRDefault="0007555D" w:rsidP="008E33FD">
      <w:pPr>
        <w:widowControl w:val="0"/>
        <w:numPr>
          <w:ilvl w:val="0"/>
          <w:numId w:val="7"/>
        </w:numPr>
        <w:autoSpaceDE w:val="0"/>
        <w:autoSpaceDN w:val="0"/>
        <w:adjustRightInd w:val="0"/>
        <w:contextualSpacing/>
        <w:jc w:val="both"/>
        <w:rPr>
          <w:rFonts w:eastAsia="Calibri"/>
        </w:rPr>
      </w:pPr>
      <w:r w:rsidRPr="00C56257">
        <w:rPr>
          <w:rFonts w:eastAsia="Calibri"/>
        </w:rPr>
        <w:t>Instruire centralizată și unitară a personalului de teren, cu sesiuni anuale de calibrare și instruire a echipelor; metode robuste de stocare și prelucrare a datelor;</w:t>
      </w:r>
    </w:p>
    <w:p w14:paraId="3BCADEF6" w14:textId="77777777" w:rsidR="0007555D" w:rsidRPr="00C56257" w:rsidRDefault="0007555D" w:rsidP="008E33FD">
      <w:pPr>
        <w:widowControl w:val="0"/>
        <w:numPr>
          <w:ilvl w:val="0"/>
          <w:numId w:val="7"/>
        </w:numPr>
        <w:autoSpaceDE w:val="0"/>
        <w:autoSpaceDN w:val="0"/>
        <w:adjustRightInd w:val="0"/>
        <w:contextualSpacing/>
        <w:jc w:val="both"/>
        <w:rPr>
          <w:rFonts w:eastAsia="Calibri"/>
        </w:rPr>
      </w:pPr>
      <w:r w:rsidRPr="00C56257">
        <w:rPr>
          <w:rFonts w:eastAsia="Calibri"/>
        </w:rPr>
        <w:t>Suprafața eșantionată semnificativă datorită numărului ridicat de suprafețe de monitorizare;</w:t>
      </w:r>
    </w:p>
    <w:p w14:paraId="70D85171" w14:textId="77777777" w:rsidR="0007555D" w:rsidRPr="00C56257" w:rsidRDefault="0007555D" w:rsidP="008E33FD">
      <w:pPr>
        <w:widowControl w:val="0"/>
        <w:numPr>
          <w:ilvl w:val="0"/>
          <w:numId w:val="7"/>
        </w:numPr>
        <w:autoSpaceDE w:val="0"/>
        <w:autoSpaceDN w:val="0"/>
        <w:adjustRightInd w:val="0"/>
        <w:contextualSpacing/>
        <w:jc w:val="both"/>
        <w:rPr>
          <w:rFonts w:eastAsia="Calibri"/>
        </w:rPr>
      </w:pPr>
      <w:r w:rsidRPr="00C56257">
        <w:rPr>
          <w:rFonts w:eastAsia="Calibri"/>
        </w:rPr>
        <w:t>Evaluarea stării de conservare a habitatelor forestiere reprezintă o contribuție adițională a s</w:t>
      </w:r>
      <w:r w:rsidRPr="00C56257">
        <w:rPr>
          <w:lang w:eastAsia="ro-RO"/>
        </w:rPr>
        <w:t>istemul de monitorizare a vegetației forestiere</w:t>
      </w:r>
      <w:r w:rsidRPr="00C56257">
        <w:rPr>
          <w:rFonts w:eastAsia="Calibri"/>
        </w:rPr>
        <w:t>;</w:t>
      </w:r>
    </w:p>
    <w:p w14:paraId="35B9403B" w14:textId="77777777" w:rsidR="0007555D" w:rsidRPr="00C56257" w:rsidRDefault="0007555D" w:rsidP="008E33FD">
      <w:pPr>
        <w:widowControl w:val="0"/>
        <w:numPr>
          <w:ilvl w:val="0"/>
          <w:numId w:val="7"/>
        </w:numPr>
        <w:autoSpaceDE w:val="0"/>
        <w:autoSpaceDN w:val="0"/>
        <w:adjustRightInd w:val="0"/>
        <w:contextualSpacing/>
        <w:jc w:val="both"/>
        <w:rPr>
          <w:rFonts w:eastAsia="Calibri"/>
        </w:rPr>
      </w:pPr>
      <w:r w:rsidRPr="00C56257">
        <w:rPr>
          <w:rFonts w:eastAsia="Calibri"/>
        </w:rPr>
        <w:t>Posibilitate de extindere/replicare a sistemului și pentru alte grupe de tipuri de habitate;</w:t>
      </w:r>
    </w:p>
    <w:p w14:paraId="1EE1EBBB" w14:textId="77777777" w:rsidR="0007555D" w:rsidRPr="00C56257" w:rsidRDefault="0007555D" w:rsidP="008E33FD">
      <w:pPr>
        <w:widowControl w:val="0"/>
        <w:numPr>
          <w:ilvl w:val="0"/>
          <w:numId w:val="7"/>
        </w:numPr>
        <w:autoSpaceDE w:val="0"/>
        <w:autoSpaceDN w:val="0"/>
        <w:adjustRightInd w:val="0"/>
        <w:contextualSpacing/>
        <w:jc w:val="both"/>
        <w:rPr>
          <w:rFonts w:eastAsia="Calibri"/>
        </w:rPr>
      </w:pPr>
      <w:r w:rsidRPr="00C56257">
        <w:rPr>
          <w:rFonts w:eastAsia="Calibri"/>
        </w:rPr>
        <w:t>Deși colectarea de date suplimentare față de datele standard necesită costuri suplimentare, per ansamblu, utilizarea unui sistem existent de monitorizare pentru îndeplinirea mai multor obiective duce la reducerea costurilor. Se estimează că suplimentarea colectării de date pentru a răspunde necesităților de raportare pentru habitatele forestiere duce la o creștere a fondurilor necesare de cca. 25-30% față de cele actuale.</w:t>
      </w:r>
    </w:p>
    <w:p w14:paraId="5C1D25AC" w14:textId="77777777" w:rsidR="0007555D" w:rsidRPr="00C56257" w:rsidRDefault="0007555D" w:rsidP="008E33FD">
      <w:pPr>
        <w:widowControl w:val="0"/>
        <w:autoSpaceDE w:val="0"/>
        <w:autoSpaceDN w:val="0"/>
        <w:adjustRightInd w:val="0"/>
        <w:jc w:val="both"/>
        <w:rPr>
          <w:rFonts w:eastAsia="Calibri"/>
        </w:rPr>
      </w:pPr>
      <w:r w:rsidRPr="00C56257">
        <w:rPr>
          <w:rFonts w:eastAsia="Calibri"/>
        </w:rPr>
        <w:t xml:space="preserve">Aceste rațiuni justifică faptul că cele mai multe țări europene utilizează datele din </w:t>
      </w:r>
      <w:r w:rsidRPr="00C56257">
        <w:rPr>
          <w:lang w:eastAsia="ro-RO"/>
        </w:rPr>
        <w:t>sistemele de monitorizare a vegetației forestiere</w:t>
      </w:r>
      <w:r w:rsidRPr="00C56257">
        <w:rPr>
          <w:rFonts w:eastAsia="Calibri"/>
        </w:rPr>
        <w:t xml:space="preserve"> pentru evaluarea parametrilor descriptivi ai calității habitatului în vederea monitorizării și raportării stării de conservare a habitatelor de interes comunitar (ex. Austria, Germania, Slovenia etc.).</w:t>
      </w:r>
    </w:p>
    <w:p w14:paraId="653B0EEC" w14:textId="77777777" w:rsidR="0007555D" w:rsidRPr="00C56257" w:rsidRDefault="0007555D" w:rsidP="008E33FD">
      <w:pPr>
        <w:widowControl w:val="0"/>
        <w:autoSpaceDE w:val="0"/>
        <w:autoSpaceDN w:val="0"/>
        <w:adjustRightInd w:val="0"/>
        <w:jc w:val="both"/>
        <w:rPr>
          <w:rFonts w:eastAsia="Calibri"/>
        </w:rPr>
      </w:pPr>
    </w:p>
    <w:p w14:paraId="25B872F7" w14:textId="77777777" w:rsidR="0007555D" w:rsidRPr="00C56257" w:rsidRDefault="0007555D" w:rsidP="008E33FD">
      <w:pPr>
        <w:spacing w:after="160" w:line="259" w:lineRule="auto"/>
        <w:jc w:val="both"/>
        <w:rPr>
          <w:color w:val="000000"/>
        </w:rPr>
      </w:pPr>
      <w:r w:rsidRPr="00C56257">
        <w:rPr>
          <w:b/>
          <w:bCs/>
          <w:color w:val="000000"/>
        </w:rPr>
        <w:t xml:space="preserve">Structura și funcțiile habitatelor. </w:t>
      </w:r>
      <w:r w:rsidRPr="00C56257">
        <w:rPr>
          <w:color w:val="000000"/>
        </w:rPr>
        <w:t xml:space="preserve">Capitolul „Structură și funcții” al raportului oferă informații despre proporția suprafeței unui habitat aflată în condiții bune sau rele, tendința de evoluție și speciile </w:t>
      </w:r>
      <w:r w:rsidRPr="00C56257">
        <w:rPr>
          <w:color w:val="000000"/>
        </w:rPr>
        <w:lastRenderedPageBreak/>
        <w:t>caracteristice. Structura este considerată ca fiind componenta fizică a unui habitat, referindu-se la elementele componente ale biotopului (roca, substratul, relieful, solul) și ale biocenozei (arboretul, seminţisul, subarboretul, stratul ierbos), în timp ce funcțiile unui habitat reprezintă procesele ecologice (modul de regenerare al arboretului, intensitatea vătămărilor arborilor şi a regenerării, fragmentarea habitatelor forestiere) care asigură menținerea acestuia în timp și spațiu. Condiția unui habitat se apreciază la nivel de regiune biogeografică în funcție de:</w:t>
      </w:r>
    </w:p>
    <w:p w14:paraId="301F318B" w14:textId="77777777" w:rsidR="0007555D" w:rsidRPr="00C56257" w:rsidRDefault="0007555D" w:rsidP="008E33FD">
      <w:pPr>
        <w:numPr>
          <w:ilvl w:val="0"/>
          <w:numId w:val="11"/>
        </w:numPr>
        <w:spacing w:line="259" w:lineRule="auto"/>
        <w:ind w:left="714" w:hanging="357"/>
        <w:jc w:val="both"/>
        <w:rPr>
          <w:color w:val="000000"/>
        </w:rPr>
      </w:pPr>
      <w:r w:rsidRPr="00C56257">
        <w:rPr>
          <w:color w:val="000000"/>
        </w:rPr>
        <w:t>suprafața în bune condiții</w:t>
      </w:r>
    </w:p>
    <w:p w14:paraId="37BC63BC" w14:textId="77777777" w:rsidR="0007555D" w:rsidRPr="00C56257" w:rsidRDefault="0007555D" w:rsidP="008E33FD">
      <w:pPr>
        <w:numPr>
          <w:ilvl w:val="0"/>
          <w:numId w:val="11"/>
        </w:numPr>
        <w:spacing w:line="259" w:lineRule="auto"/>
        <w:ind w:left="714" w:hanging="357"/>
        <w:jc w:val="both"/>
        <w:rPr>
          <w:color w:val="000000"/>
        </w:rPr>
      </w:pPr>
      <w:r w:rsidRPr="00C56257">
        <w:rPr>
          <w:color w:val="000000"/>
        </w:rPr>
        <w:t>suprafața care nu este în bune condiții</w:t>
      </w:r>
    </w:p>
    <w:p w14:paraId="514AECA7" w14:textId="77777777" w:rsidR="0007555D" w:rsidRPr="00C56257" w:rsidRDefault="0007555D" w:rsidP="008E33FD">
      <w:pPr>
        <w:numPr>
          <w:ilvl w:val="0"/>
          <w:numId w:val="11"/>
        </w:numPr>
        <w:spacing w:line="259" w:lineRule="auto"/>
        <w:ind w:left="714" w:hanging="357"/>
        <w:jc w:val="both"/>
        <w:rPr>
          <w:color w:val="000000"/>
        </w:rPr>
      </w:pPr>
      <w:r w:rsidRPr="00C56257">
        <w:rPr>
          <w:color w:val="000000"/>
        </w:rPr>
        <w:t>suprafața unde condiția nu este cunoscută.</w:t>
      </w:r>
    </w:p>
    <w:p w14:paraId="426595D7" w14:textId="77777777" w:rsidR="0007555D" w:rsidRPr="00C56257" w:rsidRDefault="0007555D" w:rsidP="008E33FD">
      <w:pPr>
        <w:spacing w:line="259" w:lineRule="auto"/>
        <w:ind w:left="714"/>
        <w:jc w:val="both"/>
        <w:rPr>
          <w:color w:val="000000"/>
        </w:rPr>
      </w:pPr>
    </w:p>
    <w:p w14:paraId="4E322468" w14:textId="77777777" w:rsidR="0007555D" w:rsidRPr="00C56257" w:rsidRDefault="0007555D" w:rsidP="008E33FD">
      <w:pPr>
        <w:spacing w:line="259" w:lineRule="auto"/>
        <w:jc w:val="both"/>
        <w:rPr>
          <w:color w:val="000000"/>
        </w:rPr>
      </w:pPr>
      <w:r w:rsidRPr="00C56257">
        <w:rPr>
          <w:color w:val="000000"/>
        </w:rPr>
        <w:t>Conform ghidului de raportare, dacă mai mult de 25% din suprafața unui tip de habitat dintr-o regiune biogeografică este evaluată ca fiind „nefavorabilă” (nu este în bune condiții), starea Structurii și a funcțiilor este „Nefavorabilă-rea”. Nu sunt oferite însă criterii numerice pentru starea „Favorabilă” sau „Nefavorabilă-inadecvată”. În rapoartele anterioare, statele membre au folosit diferite praguri ale proporției suprafeței, prin care să realizeze procesul de evaluare al acestui parametru. Ideal ar fi ca întreaga suprafață a tipului de habitat să fie în condiții bune, însă acest lucru este greu de realizat în practică și de aceea este acceptat ca o parte a suprafeței  habitatului să nu fie considerată ca fiind în bune condiții, și cu toate acestea starea Structurii și a funcțiilor sa fie apreciată ca fiind „Favorabilă”.</w:t>
      </w:r>
    </w:p>
    <w:p w14:paraId="74AB98AC" w14:textId="77777777" w:rsidR="0007555D" w:rsidRPr="00C56257" w:rsidRDefault="0007555D" w:rsidP="008E33FD">
      <w:pPr>
        <w:spacing w:line="259" w:lineRule="auto"/>
        <w:jc w:val="both"/>
        <w:rPr>
          <w:color w:val="000000"/>
        </w:rPr>
      </w:pPr>
      <w:r w:rsidRPr="00C56257">
        <w:rPr>
          <w:color w:val="000000"/>
        </w:rPr>
        <w:t xml:space="preserve">Se recomandă totuși folosirea unui prag de 90% din suprafața unui habitat ca fiind în bune condiții pentru a aprecia starea Structurii și funcțiilor „Favorabilă”. Dacă un stat membru folosește o valoare diferită față de cea recomandată, aceasta trebuie notată și explicată. </w:t>
      </w:r>
    </w:p>
    <w:p w14:paraId="760CF817" w14:textId="77777777" w:rsidR="0007555D" w:rsidRPr="00C56257" w:rsidRDefault="0007555D" w:rsidP="008E33FD">
      <w:pPr>
        <w:spacing w:line="259" w:lineRule="auto"/>
        <w:jc w:val="both"/>
        <w:rPr>
          <w:color w:val="000000"/>
        </w:rPr>
      </w:pPr>
    </w:p>
    <w:p w14:paraId="6A968310" w14:textId="77777777" w:rsidR="0007555D" w:rsidRPr="00C56257" w:rsidRDefault="0007555D" w:rsidP="008E33FD">
      <w:pPr>
        <w:spacing w:after="160" w:line="259" w:lineRule="auto"/>
        <w:jc w:val="both"/>
        <w:rPr>
          <w:color w:val="000000"/>
        </w:rPr>
      </w:pPr>
      <w:r w:rsidRPr="00C56257">
        <w:rPr>
          <w:b/>
          <w:bCs/>
          <w:color w:val="000000"/>
        </w:rPr>
        <w:t xml:space="preserve">Principalele presiuni și amenințări. </w:t>
      </w:r>
      <w:r w:rsidRPr="00C56257">
        <w:rPr>
          <w:color w:val="000000"/>
        </w:rPr>
        <w:t>Conform definițiilor din ghidul de raportare în baza Articolului 17 din Directiva Habitate, „Presiunile” sunt reprezentate de factorii care acționează în sens negativ asupra viabilității habitatului sau asupra speciilor caracteristice componente, pe parcursul perioadei de raportare (6 ani), în timp ce „Amenințările” sunt factori ce se preconizează că vor acționa în viitor, pe parcursul a două perioade de raportare (12 ani) de la sfârșitul perioadei de raportare curente.</w:t>
      </w:r>
    </w:p>
    <w:p w14:paraId="2B2EEEA1" w14:textId="77777777" w:rsidR="0007555D" w:rsidRPr="00C56257" w:rsidRDefault="0007555D" w:rsidP="008E33FD">
      <w:pPr>
        <w:spacing w:line="259" w:lineRule="auto"/>
        <w:jc w:val="both"/>
        <w:rPr>
          <w:color w:val="000000"/>
        </w:rPr>
      </w:pPr>
      <w:r w:rsidRPr="00C56257">
        <w:rPr>
          <w:color w:val="000000"/>
        </w:rPr>
        <w:t>Presiunile și amenințările pot avea intensitate:</w:t>
      </w:r>
    </w:p>
    <w:p w14:paraId="42856CF5" w14:textId="77777777" w:rsidR="0007555D" w:rsidRPr="00C56257" w:rsidRDefault="0007555D" w:rsidP="008E33FD">
      <w:pPr>
        <w:numPr>
          <w:ilvl w:val="0"/>
          <w:numId w:val="6"/>
        </w:numPr>
        <w:spacing w:line="259" w:lineRule="auto"/>
        <w:contextualSpacing/>
        <w:jc w:val="both"/>
        <w:rPr>
          <w:color w:val="000000"/>
        </w:rPr>
      </w:pPr>
      <w:r w:rsidRPr="00C56257">
        <w:rPr>
          <w:color w:val="000000"/>
        </w:rPr>
        <w:t>Mare (High – H): atunci când acționează pe o suprafață întinsă, cu un impact direct asupra parametrilor habitatului, sau când împiedică îmbunătățirea stării de conservare a acestuia</w:t>
      </w:r>
    </w:p>
    <w:p w14:paraId="13B1BE03" w14:textId="77777777" w:rsidR="0007555D" w:rsidRPr="00C56257" w:rsidRDefault="0007555D" w:rsidP="008E33FD">
      <w:pPr>
        <w:numPr>
          <w:ilvl w:val="0"/>
          <w:numId w:val="6"/>
        </w:numPr>
        <w:spacing w:line="259" w:lineRule="auto"/>
        <w:contextualSpacing/>
        <w:jc w:val="both"/>
        <w:rPr>
          <w:color w:val="000000"/>
        </w:rPr>
      </w:pPr>
      <w:r w:rsidRPr="00C56257">
        <w:rPr>
          <w:color w:val="000000"/>
        </w:rPr>
        <w:t>Medie (Medium – M): atunci când au o influență medie și indirectă, acționând regional în interiorul habitatului.</w:t>
      </w:r>
    </w:p>
    <w:p w14:paraId="24D325C0" w14:textId="77777777" w:rsidR="0007555D" w:rsidRPr="00C56257" w:rsidRDefault="0007555D" w:rsidP="008E33FD">
      <w:pPr>
        <w:spacing w:line="259" w:lineRule="auto"/>
        <w:jc w:val="both"/>
        <w:rPr>
          <w:color w:val="000000"/>
        </w:rPr>
      </w:pPr>
      <w:r w:rsidRPr="00C56257">
        <w:rPr>
          <w:color w:val="000000"/>
        </w:rPr>
        <w:t>Principalele presiuni și amenințări în cazul habitatelor forestiere (maxim 10) sunt următoarele:</w:t>
      </w:r>
    </w:p>
    <w:p w14:paraId="535BF41E" w14:textId="77777777" w:rsidR="0007555D" w:rsidRPr="00C56257" w:rsidRDefault="0007555D" w:rsidP="00F100E1">
      <w:pPr>
        <w:numPr>
          <w:ilvl w:val="0"/>
          <w:numId w:val="12"/>
        </w:numPr>
        <w:spacing w:line="259" w:lineRule="auto"/>
        <w:jc w:val="both"/>
        <w:rPr>
          <w:color w:val="000000"/>
        </w:rPr>
      </w:pPr>
      <w:r w:rsidRPr="00C56257">
        <w:rPr>
          <w:color w:val="000000"/>
        </w:rPr>
        <w:t>Pășunatul intensiv, cod A09</w:t>
      </w:r>
    </w:p>
    <w:p w14:paraId="09B0F3AD" w14:textId="77777777" w:rsidR="0007555D" w:rsidRPr="00C56257" w:rsidRDefault="0007555D" w:rsidP="00F100E1">
      <w:pPr>
        <w:numPr>
          <w:ilvl w:val="0"/>
          <w:numId w:val="12"/>
        </w:numPr>
        <w:spacing w:line="259" w:lineRule="auto"/>
        <w:jc w:val="both"/>
        <w:rPr>
          <w:color w:val="000000"/>
        </w:rPr>
      </w:pPr>
      <w:r w:rsidRPr="00C56257">
        <w:rPr>
          <w:color w:val="000000"/>
        </w:rPr>
        <w:t>Pășunatul extensiv, cod A10</w:t>
      </w:r>
    </w:p>
    <w:p w14:paraId="6480DFFB" w14:textId="77777777" w:rsidR="0007555D" w:rsidRPr="00C56257" w:rsidRDefault="0007555D" w:rsidP="00F100E1">
      <w:pPr>
        <w:numPr>
          <w:ilvl w:val="0"/>
          <w:numId w:val="12"/>
        </w:numPr>
        <w:spacing w:line="259" w:lineRule="auto"/>
        <w:jc w:val="both"/>
        <w:rPr>
          <w:color w:val="000000"/>
        </w:rPr>
      </w:pPr>
      <w:r w:rsidRPr="00C56257">
        <w:rPr>
          <w:color w:val="000000"/>
        </w:rPr>
        <w:t>Exploatarea arborilor individuali (Tăiere selectivă), cod B06</w:t>
      </w:r>
    </w:p>
    <w:p w14:paraId="3F1D7980" w14:textId="77777777" w:rsidR="0007555D" w:rsidRPr="00C56257" w:rsidRDefault="0007555D" w:rsidP="00F100E1">
      <w:pPr>
        <w:numPr>
          <w:ilvl w:val="0"/>
          <w:numId w:val="12"/>
        </w:numPr>
        <w:spacing w:line="259" w:lineRule="auto"/>
        <w:jc w:val="both"/>
        <w:rPr>
          <w:color w:val="000000"/>
        </w:rPr>
      </w:pPr>
      <w:r w:rsidRPr="00C56257">
        <w:rPr>
          <w:color w:val="000000"/>
        </w:rPr>
        <w:t>Extragerea arborilor morți sau aproape morți, inclusiv a resturilor acestora, cod B07</w:t>
      </w:r>
    </w:p>
    <w:p w14:paraId="68CAEAC1" w14:textId="77777777" w:rsidR="0007555D" w:rsidRPr="00C56257" w:rsidRDefault="0007555D" w:rsidP="00F100E1">
      <w:pPr>
        <w:numPr>
          <w:ilvl w:val="0"/>
          <w:numId w:val="12"/>
        </w:numPr>
        <w:spacing w:line="259" w:lineRule="auto"/>
        <w:jc w:val="both"/>
        <w:rPr>
          <w:color w:val="000000"/>
        </w:rPr>
      </w:pPr>
      <w:r w:rsidRPr="00C56257">
        <w:rPr>
          <w:color w:val="000000"/>
        </w:rPr>
        <w:t>Extragerea arborilor bătrâni (excluzând arborii morți sau aproape morți), cod B08</w:t>
      </w:r>
    </w:p>
    <w:p w14:paraId="4B9CE45A" w14:textId="77777777" w:rsidR="0007555D" w:rsidRPr="00C56257" w:rsidRDefault="0007555D" w:rsidP="00F100E1">
      <w:pPr>
        <w:numPr>
          <w:ilvl w:val="0"/>
          <w:numId w:val="12"/>
        </w:numPr>
        <w:spacing w:line="259" w:lineRule="auto"/>
        <w:jc w:val="both"/>
        <w:rPr>
          <w:color w:val="000000"/>
        </w:rPr>
      </w:pPr>
      <w:r w:rsidRPr="00C56257">
        <w:rPr>
          <w:color w:val="000000"/>
        </w:rPr>
        <w:t>Tăiere rasă, extragerea tuturor arborilor, cod B09</w:t>
      </w:r>
    </w:p>
    <w:p w14:paraId="5CF11C4C" w14:textId="77777777" w:rsidR="0007555D" w:rsidRPr="00C56257" w:rsidRDefault="0007555D" w:rsidP="00F100E1">
      <w:pPr>
        <w:numPr>
          <w:ilvl w:val="0"/>
          <w:numId w:val="12"/>
        </w:numPr>
        <w:spacing w:line="259" w:lineRule="auto"/>
        <w:jc w:val="both"/>
        <w:rPr>
          <w:color w:val="000000"/>
        </w:rPr>
      </w:pPr>
      <w:r w:rsidRPr="00C56257">
        <w:rPr>
          <w:color w:val="000000"/>
        </w:rPr>
        <w:t>Exploatare ilegală, cod B10</w:t>
      </w:r>
    </w:p>
    <w:p w14:paraId="28D77404" w14:textId="77777777" w:rsidR="0007555D" w:rsidRPr="00C56257" w:rsidRDefault="0007555D" w:rsidP="00F100E1">
      <w:pPr>
        <w:numPr>
          <w:ilvl w:val="0"/>
          <w:numId w:val="12"/>
        </w:numPr>
        <w:spacing w:line="259" w:lineRule="auto"/>
        <w:jc w:val="both"/>
        <w:rPr>
          <w:color w:val="000000"/>
        </w:rPr>
      </w:pPr>
      <w:r w:rsidRPr="00C56257">
        <w:rPr>
          <w:color w:val="000000"/>
        </w:rPr>
        <w:t xml:space="preserve">Transportul lemnului, cod B16 </w:t>
      </w:r>
    </w:p>
    <w:p w14:paraId="6C8A8036" w14:textId="77777777" w:rsidR="0007555D" w:rsidRPr="00C56257" w:rsidRDefault="0007555D" w:rsidP="00F100E1">
      <w:pPr>
        <w:numPr>
          <w:ilvl w:val="0"/>
          <w:numId w:val="12"/>
        </w:numPr>
        <w:spacing w:line="259" w:lineRule="auto"/>
        <w:jc w:val="both"/>
        <w:rPr>
          <w:color w:val="000000"/>
        </w:rPr>
      </w:pPr>
      <w:r w:rsidRPr="00C56257">
        <w:rPr>
          <w:color w:val="000000"/>
        </w:rPr>
        <w:t>Utilizarea substanțelor chimice pentru protecția plantelor în silvicultură, cod B20</w:t>
      </w:r>
    </w:p>
    <w:p w14:paraId="186591C1" w14:textId="77777777" w:rsidR="0007555D" w:rsidRPr="00C56257" w:rsidRDefault="0007555D" w:rsidP="00F100E1">
      <w:pPr>
        <w:spacing w:line="259" w:lineRule="auto"/>
        <w:ind w:left="360" w:hanging="450"/>
        <w:jc w:val="both"/>
        <w:rPr>
          <w:color w:val="000000"/>
        </w:rPr>
      </w:pPr>
      <w:r w:rsidRPr="00C56257">
        <w:rPr>
          <w:color w:val="000000"/>
        </w:rPr>
        <w:tab/>
        <w:t>-     Procese naturale abiotice (eroziune, secetă), cod L01</w:t>
      </w:r>
    </w:p>
    <w:p w14:paraId="0B954F97" w14:textId="77777777" w:rsidR="0007555D" w:rsidRPr="00C56257" w:rsidRDefault="0007555D" w:rsidP="00F100E1">
      <w:pPr>
        <w:spacing w:after="160" w:line="259" w:lineRule="auto"/>
        <w:jc w:val="both"/>
        <w:rPr>
          <w:b/>
          <w:bCs/>
          <w:color w:val="000000"/>
        </w:rPr>
      </w:pPr>
      <w:r w:rsidRPr="00C56257">
        <w:rPr>
          <w:b/>
          <w:bCs/>
          <w:color w:val="000000"/>
        </w:rPr>
        <w:t xml:space="preserve"> </w:t>
      </w:r>
    </w:p>
    <w:p w14:paraId="7A1B095A" w14:textId="77777777" w:rsidR="0007555D" w:rsidRPr="00C56257" w:rsidRDefault="0007555D" w:rsidP="00F100E1">
      <w:pPr>
        <w:spacing w:after="160" w:line="259" w:lineRule="auto"/>
        <w:jc w:val="both"/>
        <w:rPr>
          <w:color w:val="000000"/>
        </w:rPr>
      </w:pPr>
      <w:r w:rsidRPr="00C56257">
        <w:rPr>
          <w:b/>
          <w:bCs/>
          <w:color w:val="000000"/>
        </w:rPr>
        <w:lastRenderedPageBreak/>
        <w:t xml:space="preserve">Măsuri de conservare. </w:t>
      </w:r>
      <w:r w:rsidRPr="00C56257">
        <w:rPr>
          <w:color w:val="000000"/>
        </w:rPr>
        <w:t>Măsurile de conservare au ca scop menținerea sau restabilirea stării favorabile de conservare a unui habitat. În funcție de starea măsurilor, dacă acestea sunt necesare se va răspunde la următoarele trei întrebări:</w:t>
      </w:r>
    </w:p>
    <w:p w14:paraId="7A42B60E" w14:textId="77777777" w:rsidR="0007555D" w:rsidRPr="00C56257" w:rsidRDefault="0007555D" w:rsidP="008E33FD">
      <w:pPr>
        <w:numPr>
          <w:ilvl w:val="0"/>
          <w:numId w:val="13"/>
        </w:numPr>
        <w:spacing w:line="259" w:lineRule="auto"/>
        <w:jc w:val="both"/>
        <w:rPr>
          <w:color w:val="000000"/>
        </w:rPr>
      </w:pPr>
      <w:r w:rsidRPr="00C56257">
        <w:rPr>
          <w:color w:val="000000"/>
        </w:rPr>
        <w:t>Măsurile au fost identificate dar nu au fost aplicate încă? (DA/NU); sau</w:t>
      </w:r>
    </w:p>
    <w:p w14:paraId="6C4F3ABC" w14:textId="77777777" w:rsidR="0007555D" w:rsidRPr="00C56257" w:rsidRDefault="0007555D" w:rsidP="008E33FD">
      <w:pPr>
        <w:numPr>
          <w:ilvl w:val="0"/>
          <w:numId w:val="13"/>
        </w:numPr>
        <w:spacing w:line="259" w:lineRule="auto"/>
        <w:jc w:val="both"/>
        <w:rPr>
          <w:color w:val="000000"/>
        </w:rPr>
      </w:pPr>
      <w:r w:rsidRPr="00C56257">
        <w:rPr>
          <w:color w:val="000000"/>
        </w:rPr>
        <w:t>Măsurile au fost identificate și aplicate? (DA/NU); sau</w:t>
      </w:r>
    </w:p>
    <w:p w14:paraId="368D1DAE" w14:textId="77777777" w:rsidR="0007555D" w:rsidRPr="00C56257" w:rsidRDefault="0007555D" w:rsidP="008E33FD">
      <w:pPr>
        <w:numPr>
          <w:ilvl w:val="0"/>
          <w:numId w:val="13"/>
        </w:numPr>
        <w:spacing w:line="259" w:lineRule="auto"/>
        <w:jc w:val="both"/>
        <w:rPr>
          <w:color w:val="000000"/>
        </w:rPr>
      </w:pPr>
      <w:r w:rsidRPr="00C56257">
        <w:rPr>
          <w:color w:val="000000"/>
        </w:rPr>
        <w:t>Sunt necesare măsuri dar nu pot fi identificate? (DA/NU).</w:t>
      </w:r>
    </w:p>
    <w:p w14:paraId="5EB87EE4" w14:textId="77777777" w:rsidR="0007555D" w:rsidRPr="00C56257" w:rsidRDefault="0007555D" w:rsidP="008E33FD">
      <w:pPr>
        <w:spacing w:line="259" w:lineRule="auto"/>
        <w:jc w:val="both"/>
        <w:rPr>
          <w:color w:val="000000"/>
        </w:rPr>
      </w:pPr>
      <w:r w:rsidRPr="00C56257">
        <w:rPr>
          <w:color w:val="000000"/>
        </w:rPr>
        <w:t>Dacă măsurile de conservare au fost identificate și aplicate, se va selecta opțiunea care reprezintă scopul principal al acestora:</w:t>
      </w:r>
    </w:p>
    <w:p w14:paraId="66E8D322" w14:textId="77777777" w:rsidR="0007555D" w:rsidRPr="00C56257" w:rsidRDefault="0007555D" w:rsidP="008E33FD">
      <w:pPr>
        <w:numPr>
          <w:ilvl w:val="0"/>
          <w:numId w:val="14"/>
        </w:numPr>
        <w:spacing w:line="259" w:lineRule="auto"/>
        <w:jc w:val="both"/>
        <w:rPr>
          <w:color w:val="000000"/>
        </w:rPr>
      </w:pPr>
      <w:r w:rsidRPr="00C56257">
        <w:rPr>
          <w:color w:val="000000"/>
        </w:rPr>
        <w:t>Menținerea arealului curent, a suprafeței sau a structurii și funcțiilor tipului de habitat;</w:t>
      </w:r>
    </w:p>
    <w:p w14:paraId="0CF8A52F" w14:textId="77777777" w:rsidR="0007555D" w:rsidRPr="00C56257" w:rsidRDefault="0007555D" w:rsidP="008E33FD">
      <w:pPr>
        <w:numPr>
          <w:ilvl w:val="0"/>
          <w:numId w:val="14"/>
        </w:numPr>
        <w:spacing w:line="259" w:lineRule="auto"/>
        <w:jc w:val="both"/>
        <w:rPr>
          <w:color w:val="000000"/>
        </w:rPr>
      </w:pPr>
      <w:r w:rsidRPr="00C56257">
        <w:rPr>
          <w:color w:val="000000"/>
        </w:rPr>
        <w:t>Extinderea arealului curent al tipului de habitat;</w:t>
      </w:r>
    </w:p>
    <w:p w14:paraId="39E5A9C8" w14:textId="77777777" w:rsidR="0007555D" w:rsidRPr="00C56257" w:rsidRDefault="0007555D" w:rsidP="008E33FD">
      <w:pPr>
        <w:numPr>
          <w:ilvl w:val="0"/>
          <w:numId w:val="14"/>
        </w:numPr>
        <w:spacing w:line="259" w:lineRule="auto"/>
        <w:jc w:val="both"/>
        <w:rPr>
          <w:color w:val="000000"/>
        </w:rPr>
      </w:pPr>
      <w:r w:rsidRPr="00C56257">
        <w:rPr>
          <w:color w:val="000000"/>
        </w:rPr>
        <w:t>Creșterea suprafeței acoperite de habitat;</w:t>
      </w:r>
    </w:p>
    <w:p w14:paraId="3AAF2FDA" w14:textId="77777777" w:rsidR="0007555D" w:rsidRPr="00C56257" w:rsidRDefault="0007555D" w:rsidP="008E33FD">
      <w:pPr>
        <w:numPr>
          <w:ilvl w:val="0"/>
          <w:numId w:val="14"/>
        </w:numPr>
        <w:spacing w:line="259" w:lineRule="auto"/>
        <w:jc w:val="both"/>
        <w:rPr>
          <w:color w:val="000000"/>
        </w:rPr>
      </w:pPr>
      <w:r w:rsidRPr="00C56257">
        <w:rPr>
          <w:color w:val="000000"/>
        </w:rPr>
        <w:t>Restabilirea structurii și funcțiilor, incluzând starea speciilor caracteristice.</w:t>
      </w:r>
    </w:p>
    <w:p w14:paraId="6DCBA1FF" w14:textId="77777777" w:rsidR="0007555D" w:rsidRPr="00C56257" w:rsidRDefault="0007555D" w:rsidP="008E33FD">
      <w:pPr>
        <w:spacing w:line="259" w:lineRule="auto"/>
        <w:jc w:val="both"/>
        <w:rPr>
          <w:color w:val="000000"/>
        </w:rPr>
      </w:pPr>
      <w:r w:rsidRPr="00C56257">
        <w:rPr>
          <w:color w:val="000000"/>
        </w:rPr>
        <w:t>În funcție de locația unde măsurile de conservare au fost identificate și aplicate, se va indica una din opțiunile următoare:</w:t>
      </w:r>
    </w:p>
    <w:p w14:paraId="3812B1BE" w14:textId="77777777" w:rsidR="0007555D" w:rsidRPr="00C56257" w:rsidRDefault="0007555D" w:rsidP="008E33FD">
      <w:pPr>
        <w:numPr>
          <w:ilvl w:val="0"/>
          <w:numId w:val="15"/>
        </w:numPr>
        <w:spacing w:line="259" w:lineRule="auto"/>
        <w:jc w:val="both"/>
        <w:rPr>
          <w:color w:val="000000"/>
        </w:rPr>
      </w:pPr>
      <w:r w:rsidRPr="00C56257">
        <w:rPr>
          <w:color w:val="000000"/>
        </w:rPr>
        <w:t>Doar în interiorul siturilor Natura 2000;</w:t>
      </w:r>
    </w:p>
    <w:p w14:paraId="40399479" w14:textId="77777777" w:rsidR="0007555D" w:rsidRPr="00C56257" w:rsidRDefault="0007555D" w:rsidP="008E33FD">
      <w:pPr>
        <w:numPr>
          <w:ilvl w:val="0"/>
          <w:numId w:val="15"/>
        </w:numPr>
        <w:spacing w:line="259" w:lineRule="auto"/>
        <w:jc w:val="both"/>
        <w:rPr>
          <w:color w:val="000000"/>
        </w:rPr>
      </w:pPr>
      <w:r w:rsidRPr="00C56257">
        <w:rPr>
          <w:color w:val="000000"/>
        </w:rPr>
        <w:t>Atât în interiorul cât și în afara siturilor Natura 2000;</w:t>
      </w:r>
    </w:p>
    <w:p w14:paraId="7C01C69C" w14:textId="77777777" w:rsidR="0007555D" w:rsidRPr="00C56257" w:rsidRDefault="0007555D" w:rsidP="008E33FD">
      <w:pPr>
        <w:numPr>
          <w:ilvl w:val="0"/>
          <w:numId w:val="15"/>
        </w:numPr>
        <w:spacing w:line="259" w:lineRule="auto"/>
        <w:jc w:val="both"/>
        <w:rPr>
          <w:color w:val="000000"/>
        </w:rPr>
      </w:pPr>
      <w:r w:rsidRPr="00C56257">
        <w:rPr>
          <w:color w:val="000000"/>
        </w:rPr>
        <w:t>Doar în afara siturilor Natura 2000.</w:t>
      </w:r>
    </w:p>
    <w:p w14:paraId="6B2D5B03" w14:textId="77777777" w:rsidR="0007555D" w:rsidRPr="00C56257" w:rsidRDefault="0007555D" w:rsidP="008E33FD">
      <w:pPr>
        <w:spacing w:line="259" w:lineRule="auto"/>
        <w:jc w:val="both"/>
        <w:rPr>
          <w:color w:val="000000"/>
        </w:rPr>
      </w:pPr>
      <w:r w:rsidRPr="00C56257">
        <w:rPr>
          <w:color w:val="000000"/>
        </w:rPr>
        <w:t>În funcție  de perioada când măsurile de conservare vor începe sau se așteaptă să producă efecte pozitive, se va selecta una din următoarele opțiuni:</w:t>
      </w:r>
    </w:p>
    <w:p w14:paraId="4609642C" w14:textId="77777777" w:rsidR="0007555D" w:rsidRPr="00C56257" w:rsidRDefault="0007555D" w:rsidP="008E33FD">
      <w:pPr>
        <w:numPr>
          <w:ilvl w:val="0"/>
          <w:numId w:val="16"/>
        </w:numPr>
        <w:jc w:val="both"/>
        <w:rPr>
          <w:color w:val="000000"/>
        </w:rPr>
      </w:pPr>
      <w:r w:rsidRPr="00C56257">
        <w:rPr>
          <w:color w:val="000000"/>
        </w:rPr>
        <w:t>Rezultate pe termen scurt (în decursul perioadei curente de raportare, anii 2013 - 2018);</w:t>
      </w:r>
    </w:p>
    <w:p w14:paraId="7154BCFB" w14:textId="77777777" w:rsidR="0007555D" w:rsidRPr="00C56257" w:rsidRDefault="0007555D" w:rsidP="008E33FD">
      <w:pPr>
        <w:numPr>
          <w:ilvl w:val="0"/>
          <w:numId w:val="16"/>
        </w:numPr>
        <w:jc w:val="both"/>
        <w:rPr>
          <w:color w:val="000000"/>
        </w:rPr>
      </w:pPr>
      <w:r w:rsidRPr="00C56257">
        <w:rPr>
          <w:color w:val="000000"/>
        </w:rPr>
        <w:t xml:space="preserve">Rezultate pe termen mediu (în decursul a două perioade de raportare, anii 2019 - 2030); </w:t>
      </w:r>
    </w:p>
    <w:p w14:paraId="5AE2D095" w14:textId="77777777" w:rsidR="0007555D" w:rsidRPr="00C56257" w:rsidRDefault="0007555D" w:rsidP="008E33FD">
      <w:pPr>
        <w:numPr>
          <w:ilvl w:val="0"/>
          <w:numId w:val="16"/>
        </w:numPr>
        <w:jc w:val="both"/>
        <w:rPr>
          <w:color w:val="000000"/>
        </w:rPr>
      </w:pPr>
      <w:r w:rsidRPr="00C56257">
        <w:rPr>
          <w:color w:val="000000"/>
        </w:rPr>
        <w:t>Rezultate pe termen lung (după anul 2030).</w:t>
      </w:r>
    </w:p>
    <w:p w14:paraId="4A68D771" w14:textId="77777777" w:rsidR="0007555D" w:rsidRPr="00C56257" w:rsidRDefault="0007555D" w:rsidP="00F100E1">
      <w:pPr>
        <w:spacing w:after="160" w:line="259" w:lineRule="auto"/>
        <w:jc w:val="both"/>
        <w:rPr>
          <w:bCs/>
          <w:color w:val="000000"/>
        </w:rPr>
      </w:pPr>
    </w:p>
    <w:p w14:paraId="331DF8CC" w14:textId="77777777" w:rsidR="0007555D" w:rsidRPr="00C56257" w:rsidRDefault="0007555D" w:rsidP="00F100E1">
      <w:pPr>
        <w:spacing w:after="160" w:line="259" w:lineRule="auto"/>
        <w:jc w:val="both"/>
        <w:rPr>
          <w:bCs/>
          <w:color w:val="000000"/>
        </w:rPr>
      </w:pPr>
      <w:r w:rsidRPr="00C56257">
        <w:rPr>
          <w:bCs/>
          <w:color w:val="000000"/>
        </w:rPr>
        <w:t>Principalele măsuri de conservare (maxim 10) sunt următoarele:</w:t>
      </w:r>
    </w:p>
    <w:p w14:paraId="1FDE6F6C" w14:textId="77777777" w:rsidR="0007555D" w:rsidRPr="00C56257" w:rsidRDefault="0007555D" w:rsidP="008E33FD">
      <w:pPr>
        <w:numPr>
          <w:ilvl w:val="0"/>
          <w:numId w:val="17"/>
        </w:numPr>
        <w:spacing w:line="259" w:lineRule="auto"/>
        <w:ind w:left="714" w:hanging="357"/>
        <w:jc w:val="both"/>
        <w:rPr>
          <w:color w:val="000000"/>
        </w:rPr>
      </w:pPr>
      <w:r w:rsidRPr="00C56257">
        <w:rPr>
          <w:color w:val="000000"/>
        </w:rPr>
        <w:t>Prevenirea conversiei habitatelor (semi-) naturale și a pădurilor (semi-) naturale în plantații intensive forestiere, cod CB01;</w:t>
      </w:r>
    </w:p>
    <w:p w14:paraId="33653663" w14:textId="77777777" w:rsidR="0007555D" w:rsidRPr="00C56257" w:rsidRDefault="0007555D" w:rsidP="008E33FD">
      <w:pPr>
        <w:numPr>
          <w:ilvl w:val="0"/>
          <w:numId w:val="17"/>
        </w:numPr>
        <w:spacing w:line="259" w:lineRule="auto"/>
        <w:ind w:left="714" w:hanging="357"/>
        <w:jc w:val="both"/>
        <w:rPr>
          <w:color w:val="000000"/>
        </w:rPr>
      </w:pPr>
      <w:r w:rsidRPr="00C56257">
        <w:rPr>
          <w:color w:val="000000"/>
        </w:rPr>
        <w:t>Menținerea practicilor tradiționale existente de gestionare și exploatare a pădurilor, cod CB02;</w:t>
      </w:r>
    </w:p>
    <w:p w14:paraId="4CE437A0" w14:textId="77777777" w:rsidR="0007555D" w:rsidRPr="00C56257" w:rsidRDefault="0007555D" w:rsidP="008E33FD">
      <w:pPr>
        <w:numPr>
          <w:ilvl w:val="0"/>
          <w:numId w:val="17"/>
        </w:numPr>
        <w:spacing w:line="259" w:lineRule="auto"/>
        <w:ind w:left="714" w:hanging="357"/>
        <w:jc w:val="both"/>
        <w:rPr>
          <w:color w:val="000000"/>
        </w:rPr>
      </w:pPr>
      <w:r w:rsidRPr="00C56257">
        <w:rPr>
          <w:color w:val="000000"/>
        </w:rPr>
        <w:t>Adaptarea/gestionarea reîmpăduririlor și regenerarea pădurilor, cod CB04;</w:t>
      </w:r>
    </w:p>
    <w:p w14:paraId="6A36CFC9" w14:textId="77777777" w:rsidR="0007555D" w:rsidRPr="00C56257" w:rsidRDefault="0007555D" w:rsidP="008E33FD">
      <w:pPr>
        <w:numPr>
          <w:ilvl w:val="0"/>
          <w:numId w:val="17"/>
        </w:numPr>
        <w:spacing w:line="259" w:lineRule="auto"/>
        <w:ind w:left="714" w:hanging="357"/>
        <w:jc w:val="both"/>
        <w:rPr>
          <w:color w:val="000000"/>
        </w:rPr>
      </w:pPr>
      <w:r w:rsidRPr="00C56257">
        <w:rPr>
          <w:color w:val="000000"/>
        </w:rPr>
        <w:t>Adaptarea/schimbarea practicilor de gestionare și exploatare a pădurilor, cod CB05;</w:t>
      </w:r>
    </w:p>
    <w:p w14:paraId="53CE49FB" w14:textId="77777777" w:rsidR="0007555D" w:rsidRPr="00C56257" w:rsidRDefault="0007555D" w:rsidP="008E33FD">
      <w:pPr>
        <w:numPr>
          <w:ilvl w:val="0"/>
          <w:numId w:val="17"/>
        </w:numPr>
        <w:spacing w:line="259" w:lineRule="auto"/>
        <w:ind w:left="714" w:hanging="357"/>
        <w:jc w:val="both"/>
        <w:rPr>
          <w:color w:val="000000"/>
        </w:rPr>
      </w:pPr>
      <w:r w:rsidRPr="00C56257">
        <w:rPr>
          <w:color w:val="000000"/>
        </w:rPr>
        <w:t>Combaterea exploatărilor ilegale, cod CB07;</w:t>
      </w:r>
    </w:p>
    <w:p w14:paraId="2BF8F49B" w14:textId="77777777" w:rsidR="0007555D" w:rsidRPr="00C56257" w:rsidRDefault="0007555D" w:rsidP="008E33FD">
      <w:pPr>
        <w:numPr>
          <w:ilvl w:val="0"/>
          <w:numId w:val="17"/>
        </w:numPr>
        <w:spacing w:line="259" w:lineRule="auto"/>
        <w:ind w:left="714" w:hanging="357"/>
        <w:jc w:val="both"/>
        <w:rPr>
          <w:color w:val="000000"/>
        </w:rPr>
      </w:pPr>
      <w:r w:rsidRPr="00C56257">
        <w:rPr>
          <w:color w:val="000000"/>
        </w:rPr>
        <w:t>Restaurarea habitatelor forestiere din Anexa I, cod CB08;</w:t>
      </w:r>
    </w:p>
    <w:p w14:paraId="08CCB0A9" w14:textId="77777777" w:rsidR="0007555D" w:rsidRPr="00C56257" w:rsidRDefault="0007555D" w:rsidP="008E33FD">
      <w:pPr>
        <w:numPr>
          <w:ilvl w:val="0"/>
          <w:numId w:val="17"/>
        </w:numPr>
        <w:spacing w:line="259" w:lineRule="auto"/>
        <w:ind w:left="714" w:hanging="357"/>
        <w:jc w:val="both"/>
        <w:rPr>
          <w:color w:val="000000"/>
        </w:rPr>
      </w:pPr>
      <w:r w:rsidRPr="00C56257">
        <w:rPr>
          <w:color w:val="000000"/>
        </w:rPr>
        <w:t>Gestionarea  folosirii substanțelor chimice pentru fertilizare și combaterea dăunătorilor în silvicultură, cod CB09;</w:t>
      </w:r>
    </w:p>
    <w:p w14:paraId="2FA1E869" w14:textId="77777777" w:rsidR="0007555D" w:rsidRPr="00C56257" w:rsidRDefault="0007555D" w:rsidP="008E33FD">
      <w:pPr>
        <w:numPr>
          <w:ilvl w:val="0"/>
          <w:numId w:val="17"/>
        </w:numPr>
        <w:spacing w:line="259" w:lineRule="auto"/>
        <w:ind w:left="714" w:hanging="357"/>
        <w:jc w:val="both"/>
        <w:rPr>
          <w:color w:val="000000"/>
        </w:rPr>
      </w:pPr>
      <w:r w:rsidRPr="00C56257">
        <w:rPr>
          <w:color w:val="000000"/>
        </w:rPr>
        <w:t>Reducerea poluării apelor de suprafață sau subterane, provenită din activități forestiere, cod CB10;</w:t>
      </w:r>
    </w:p>
    <w:p w14:paraId="715DD3A4" w14:textId="77777777" w:rsidR="0007555D" w:rsidRPr="00C56257" w:rsidRDefault="0007555D" w:rsidP="008E33FD">
      <w:pPr>
        <w:numPr>
          <w:ilvl w:val="0"/>
          <w:numId w:val="17"/>
        </w:numPr>
        <w:spacing w:line="259" w:lineRule="auto"/>
        <w:ind w:left="714" w:hanging="357"/>
        <w:jc w:val="both"/>
        <w:rPr>
          <w:color w:val="000000"/>
        </w:rPr>
      </w:pPr>
      <w:r w:rsidRPr="00C56257">
        <w:rPr>
          <w:color w:val="000000"/>
        </w:rPr>
        <w:t>Reducerea poluării aerului din activitățile forestiere, cod CB11;</w:t>
      </w:r>
    </w:p>
    <w:p w14:paraId="378D3011" w14:textId="77777777" w:rsidR="0007555D" w:rsidRPr="00C56257" w:rsidRDefault="0007555D" w:rsidP="008E33FD">
      <w:pPr>
        <w:numPr>
          <w:ilvl w:val="0"/>
          <w:numId w:val="17"/>
        </w:numPr>
        <w:spacing w:line="259" w:lineRule="auto"/>
        <w:ind w:left="714" w:hanging="357"/>
        <w:jc w:val="both"/>
        <w:rPr>
          <w:color w:val="000000"/>
        </w:rPr>
      </w:pPr>
      <w:r w:rsidRPr="00C56257">
        <w:rPr>
          <w:color w:val="000000"/>
        </w:rPr>
        <w:t>Reducerea poluării solului din activitățile forestiere, cod CB13.</w:t>
      </w:r>
    </w:p>
    <w:p w14:paraId="3E79CED2" w14:textId="77777777" w:rsidR="0007555D" w:rsidRPr="00C56257" w:rsidRDefault="0007555D" w:rsidP="008E33FD">
      <w:pPr>
        <w:widowControl w:val="0"/>
        <w:autoSpaceDE w:val="0"/>
        <w:autoSpaceDN w:val="0"/>
        <w:adjustRightInd w:val="0"/>
        <w:jc w:val="both"/>
        <w:rPr>
          <w:rFonts w:eastAsia="Calibri"/>
        </w:rPr>
      </w:pPr>
    </w:p>
    <w:p w14:paraId="6200358A" w14:textId="77777777" w:rsidR="0007555D" w:rsidRPr="00C56257" w:rsidRDefault="0007555D" w:rsidP="008E33FD">
      <w:pPr>
        <w:spacing w:after="160" w:line="259" w:lineRule="auto"/>
        <w:jc w:val="both"/>
        <w:rPr>
          <w:color w:val="000000"/>
        </w:rPr>
      </w:pPr>
      <w:r w:rsidRPr="00C56257">
        <w:rPr>
          <w:b/>
          <w:bCs/>
          <w:color w:val="000000"/>
        </w:rPr>
        <w:t xml:space="preserve">Perspective. </w:t>
      </w:r>
      <w:r w:rsidRPr="00C56257">
        <w:rPr>
          <w:color w:val="000000"/>
        </w:rPr>
        <w:t>În evaluarea stării de conservare trebuie să se țină cont și de perspectivele de evoluție ale habitatului. În ceea ce privește Starea de conservare favorabilă, Articolul 1, litera „e” din Directiva Habitate prevede să fie îndeplinite simultan următoarele cerințe:</w:t>
      </w:r>
    </w:p>
    <w:p w14:paraId="3D12D483" w14:textId="77777777" w:rsidR="0007555D" w:rsidRPr="00C56257" w:rsidRDefault="0007555D" w:rsidP="008E33FD">
      <w:pPr>
        <w:numPr>
          <w:ilvl w:val="0"/>
          <w:numId w:val="18"/>
        </w:numPr>
        <w:spacing w:line="259" w:lineRule="auto"/>
        <w:jc w:val="both"/>
        <w:rPr>
          <w:color w:val="000000"/>
        </w:rPr>
      </w:pPr>
      <w:r w:rsidRPr="00C56257">
        <w:rPr>
          <w:color w:val="000000"/>
        </w:rPr>
        <w:t>Arealul natural și suprafața acoperită din interiorul acestuia să fie stabile sau în creștere;</w:t>
      </w:r>
    </w:p>
    <w:p w14:paraId="166F7637" w14:textId="77777777" w:rsidR="0007555D" w:rsidRPr="00C56257" w:rsidRDefault="0007555D" w:rsidP="008E33FD">
      <w:pPr>
        <w:numPr>
          <w:ilvl w:val="0"/>
          <w:numId w:val="18"/>
        </w:numPr>
        <w:spacing w:line="259" w:lineRule="auto"/>
        <w:jc w:val="both"/>
        <w:rPr>
          <w:color w:val="000000"/>
        </w:rPr>
      </w:pPr>
      <w:r w:rsidRPr="00C56257">
        <w:rPr>
          <w:color w:val="000000"/>
        </w:rPr>
        <w:t>Structura și funcțiile specifice care sunt necesare pentru existența pe termen lung a habitatului există și continuă să existe și în viitorul previzibil;</w:t>
      </w:r>
    </w:p>
    <w:p w14:paraId="4D16E08A" w14:textId="77777777" w:rsidR="0007555D" w:rsidRPr="00C56257" w:rsidRDefault="0007555D" w:rsidP="008E33FD">
      <w:pPr>
        <w:numPr>
          <w:ilvl w:val="0"/>
          <w:numId w:val="18"/>
        </w:numPr>
        <w:spacing w:line="259" w:lineRule="auto"/>
        <w:jc w:val="both"/>
        <w:rPr>
          <w:color w:val="000000"/>
        </w:rPr>
      </w:pPr>
      <w:r w:rsidRPr="00C56257">
        <w:rPr>
          <w:color w:val="000000"/>
        </w:rPr>
        <w:t>Starea de conservare a speciilor caracteristice este favorabilă.</w:t>
      </w:r>
    </w:p>
    <w:p w14:paraId="01B0EFB2" w14:textId="77777777" w:rsidR="0007555D" w:rsidRPr="00C56257" w:rsidRDefault="0007555D" w:rsidP="008E33FD">
      <w:pPr>
        <w:spacing w:line="259" w:lineRule="auto"/>
        <w:jc w:val="both"/>
        <w:rPr>
          <w:color w:val="000000"/>
        </w:rPr>
      </w:pPr>
      <w:r w:rsidRPr="00C56257">
        <w:rPr>
          <w:color w:val="000000"/>
        </w:rPr>
        <w:lastRenderedPageBreak/>
        <w:t>Perspectivele de evoluție se determină prin evaluarea individuală a tendințelor viitoare preconizate a trei parametrii (areal, suprafață, structură și funcții) ținând cont de starea actuală de conservare, de amenințări dar și de măsurile de conservare aplicate sau planificate pentru viitor. După ce perspectivele fiecărui parametru au fost evaluate, acestea trebuie agregate pentru a oferi o evaluare generală, ce poate fi împărțită în trei etape:</w:t>
      </w:r>
    </w:p>
    <w:p w14:paraId="7BE81FCE" w14:textId="77777777" w:rsidR="0007555D" w:rsidRPr="00C56257" w:rsidRDefault="0007555D" w:rsidP="00F100E1">
      <w:pPr>
        <w:numPr>
          <w:ilvl w:val="0"/>
          <w:numId w:val="19"/>
        </w:numPr>
        <w:spacing w:line="259" w:lineRule="auto"/>
        <w:jc w:val="both"/>
        <w:rPr>
          <w:color w:val="000000"/>
        </w:rPr>
      </w:pPr>
      <w:r w:rsidRPr="00C56257">
        <w:rPr>
          <w:color w:val="000000"/>
        </w:rPr>
        <w:t>Tendința viitoare a unui parametru;</w:t>
      </w:r>
    </w:p>
    <w:p w14:paraId="13191F1F" w14:textId="77777777" w:rsidR="0007555D" w:rsidRPr="00C56257" w:rsidRDefault="0007555D" w:rsidP="00F100E1">
      <w:pPr>
        <w:numPr>
          <w:ilvl w:val="0"/>
          <w:numId w:val="19"/>
        </w:numPr>
        <w:spacing w:line="259" w:lineRule="auto"/>
        <w:jc w:val="both"/>
        <w:rPr>
          <w:color w:val="000000"/>
        </w:rPr>
      </w:pPr>
      <w:r w:rsidRPr="00C56257">
        <w:rPr>
          <w:color w:val="000000"/>
        </w:rPr>
        <w:t>Perspectivele unui parametru;</w:t>
      </w:r>
    </w:p>
    <w:p w14:paraId="45CBA76D" w14:textId="77777777" w:rsidR="0007555D" w:rsidRPr="00C56257" w:rsidRDefault="0007555D" w:rsidP="00F100E1">
      <w:pPr>
        <w:numPr>
          <w:ilvl w:val="0"/>
          <w:numId w:val="19"/>
        </w:numPr>
        <w:spacing w:line="259" w:lineRule="auto"/>
        <w:jc w:val="both"/>
        <w:rPr>
          <w:color w:val="000000"/>
        </w:rPr>
      </w:pPr>
      <w:r w:rsidRPr="00C56257">
        <w:rPr>
          <w:color w:val="000000"/>
        </w:rPr>
        <w:t>Evaluarea perspectivelor generale pentru un habitat.</w:t>
      </w:r>
    </w:p>
    <w:p w14:paraId="30E2DF29" w14:textId="77777777" w:rsidR="0007555D" w:rsidRPr="00C56257" w:rsidRDefault="0007555D" w:rsidP="00F100E1">
      <w:pPr>
        <w:spacing w:line="259" w:lineRule="auto"/>
        <w:jc w:val="both"/>
        <w:rPr>
          <w:color w:val="000000"/>
        </w:rPr>
      </w:pPr>
      <w:r w:rsidRPr="00C56257">
        <w:rPr>
          <w:color w:val="000000"/>
        </w:rPr>
        <w:t>Perspectivele de evoluție pentru primele două etape se determină conform celor prezentate în Tabelul 3.</w:t>
      </w:r>
    </w:p>
    <w:p w14:paraId="0A97E437" w14:textId="77777777" w:rsidR="0007555D" w:rsidRPr="00C56257" w:rsidRDefault="0007555D" w:rsidP="00F100E1">
      <w:pPr>
        <w:spacing w:line="259" w:lineRule="auto"/>
        <w:jc w:val="both"/>
        <w:rPr>
          <w:color w:val="000000"/>
        </w:rPr>
      </w:pPr>
    </w:p>
    <w:p w14:paraId="001ACDED" w14:textId="77777777" w:rsidR="0007555D" w:rsidRPr="00C56257" w:rsidRDefault="0007555D" w:rsidP="00F100E1">
      <w:pPr>
        <w:spacing w:after="160" w:line="259" w:lineRule="auto"/>
        <w:jc w:val="both"/>
        <w:rPr>
          <w:bCs/>
          <w:color w:val="000000"/>
        </w:rPr>
      </w:pPr>
      <w:r w:rsidRPr="00C56257">
        <w:rPr>
          <w:bCs/>
          <w:color w:val="000000"/>
        </w:rPr>
        <w:t>Tabelul 3. Evaluarea perspectivelor unui parametru (etapele 1 și 2)</w:t>
      </w:r>
    </w:p>
    <w:tbl>
      <w:tblPr>
        <w:tblW w:w="9006" w:type="dxa"/>
        <w:tblLook w:val="04A0" w:firstRow="1" w:lastRow="0" w:firstColumn="1" w:lastColumn="0" w:noHBand="0" w:noVBand="1"/>
      </w:tblPr>
      <w:tblGrid>
        <w:gridCol w:w="1776"/>
        <w:gridCol w:w="2133"/>
        <w:gridCol w:w="2089"/>
        <w:gridCol w:w="1552"/>
        <w:gridCol w:w="1456"/>
      </w:tblGrid>
      <w:tr w:rsidR="0007555D" w:rsidRPr="00C56257" w14:paraId="4BE88E28" w14:textId="77777777" w:rsidTr="0007555D">
        <w:trPr>
          <w:trHeight w:val="315"/>
        </w:trPr>
        <w:tc>
          <w:tcPr>
            <w:tcW w:w="3909" w:type="dxa"/>
            <w:gridSpan w:val="2"/>
            <w:tcBorders>
              <w:top w:val="single" w:sz="8" w:space="0" w:color="305496"/>
              <w:left w:val="single" w:sz="8" w:space="0" w:color="305496"/>
              <w:bottom w:val="single" w:sz="8" w:space="0" w:color="305496"/>
              <w:right w:val="single" w:sz="8" w:space="0" w:color="305496"/>
            </w:tcBorders>
            <w:shd w:val="clear" w:color="auto" w:fill="auto"/>
            <w:noWrap/>
            <w:vAlign w:val="bottom"/>
            <w:hideMark/>
          </w:tcPr>
          <w:p w14:paraId="1F5ABC90" w14:textId="77777777" w:rsidR="0007555D" w:rsidRPr="00C56257" w:rsidRDefault="0007555D" w:rsidP="00F100E1">
            <w:pPr>
              <w:spacing w:after="160" w:line="259" w:lineRule="auto"/>
              <w:jc w:val="both"/>
              <w:rPr>
                <w:color w:val="000000"/>
              </w:rPr>
            </w:pPr>
            <w:r w:rsidRPr="00C56257">
              <w:rPr>
                <w:color w:val="000000"/>
              </w:rPr>
              <w:t>Etapa 1 Tendința parametrului</w:t>
            </w:r>
          </w:p>
        </w:tc>
        <w:tc>
          <w:tcPr>
            <w:tcW w:w="2089" w:type="dxa"/>
            <w:tcBorders>
              <w:top w:val="nil"/>
              <w:left w:val="nil"/>
              <w:bottom w:val="nil"/>
              <w:right w:val="nil"/>
            </w:tcBorders>
            <w:shd w:val="clear" w:color="auto" w:fill="auto"/>
            <w:noWrap/>
            <w:vAlign w:val="bottom"/>
            <w:hideMark/>
          </w:tcPr>
          <w:p w14:paraId="7700B461" w14:textId="77777777" w:rsidR="0007555D" w:rsidRPr="00C56257" w:rsidRDefault="0007555D" w:rsidP="00F100E1">
            <w:pPr>
              <w:spacing w:after="160" w:line="259" w:lineRule="auto"/>
              <w:jc w:val="both"/>
              <w:rPr>
                <w:color w:val="000000"/>
              </w:rPr>
            </w:pPr>
          </w:p>
        </w:tc>
        <w:tc>
          <w:tcPr>
            <w:tcW w:w="3008" w:type="dxa"/>
            <w:gridSpan w:val="2"/>
            <w:tcBorders>
              <w:top w:val="single" w:sz="8" w:space="0" w:color="305496"/>
              <w:left w:val="single" w:sz="8" w:space="0" w:color="305496"/>
              <w:bottom w:val="single" w:sz="8" w:space="0" w:color="305496"/>
              <w:right w:val="single" w:sz="8" w:space="0" w:color="305496"/>
            </w:tcBorders>
            <w:shd w:val="clear" w:color="auto" w:fill="auto"/>
            <w:noWrap/>
            <w:vAlign w:val="bottom"/>
            <w:hideMark/>
          </w:tcPr>
          <w:p w14:paraId="7114F42E" w14:textId="77777777" w:rsidR="0007555D" w:rsidRPr="00C56257" w:rsidRDefault="0007555D" w:rsidP="00F100E1">
            <w:pPr>
              <w:spacing w:after="160" w:line="259" w:lineRule="auto"/>
              <w:jc w:val="both"/>
              <w:rPr>
                <w:color w:val="000000"/>
              </w:rPr>
            </w:pPr>
            <w:r w:rsidRPr="00C56257">
              <w:rPr>
                <w:color w:val="000000"/>
              </w:rPr>
              <w:t>Etapa 2 Perspectivele parametrului</w:t>
            </w:r>
          </w:p>
        </w:tc>
      </w:tr>
      <w:tr w:rsidR="0007555D" w:rsidRPr="00C56257" w14:paraId="7CB1BEDA" w14:textId="77777777" w:rsidTr="0007555D">
        <w:trPr>
          <w:trHeight w:val="315"/>
        </w:trPr>
        <w:tc>
          <w:tcPr>
            <w:tcW w:w="0" w:type="auto"/>
            <w:tcBorders>
              <w:top w:val="nil"/>
              <w:left w:val="nil"/>
              <w:bottom w:val="nil"/>
              <w:right w:val="nil"/>
            </w:tcBorders>
            <w:shd w:val="clear" w:color="auto" w:fill="auto"/>
            <w:noWrap/>
            <w:vAlign w:val="bottom"/>
            <w:hideMark/>
          </w:tcPr>
          <w:p w14:paraId="33A281B4" w14:textId="77777777" w:rsidR="0007555D" w:rsidRPr="00C56257" w:rsidRDefault="0007555D" w:rsidP="00F100E1">
            <w:pPr>
              <w:spacing w:after="160" w:line="259" w:lineRule="auto"/>
              <w:jc w:val="both"/>
              <w:rPr>
                <w:color w:val="000000"/>
              </w:rPr>
            </w:pPr>
          </w:p>
        </w:tc>
        <w:tc>
          <w:tcPr>
            <w:tcW w:w="2133" w:type="dxa"/>
            <w:tcBorders>
              <w:top w:val="nil"/>
              <w:left w:val="nil"/>
              <w:bottom w:val="nil"/>
              <w:right w:val="nil"/>
            </w:tcBorders>
            <w:shd w:val="clear" w:color="auto" w:fill="auto"/>
            <w:noWrap/>
            <w:vAlign w:val="bottom"/>
            <w:hideMark/>
          </w:tcPr>
          <w:p w14:paraId="7C56A2D0" w14:textId="77777777" w:rsidR="0007555D" w:rsidRPr="00C56257" w:rsidRDefault="0007555D" w:rsidP="00F100E1">
            <w:pPr>
              <w:spacing w:after="160" w:line="259" w:lineRule="auto"/>
              <w:jc w:val="both"/>
              <w:rPr>
                <w:color w:val="000000"/>
              </w:rPr>
            </w:pPr>
          </w:p>
        </w:tc>
        <w:tc>
          <w:tcPr>
            <w:tcW w:w="2089" w:type="dxa"/>
            <w:tcBorders>
              <w:top w:val="nil"/>
              <w:left w:val="nil"/>
              <w:bottom w:val="nil"/>
              <w:right w:val="nil"/>
            </w:tcBorders>
            <w:shd w:val="clear" w:color="auto" w:fill="auto"/>
            <w:noWrap/>
            <w:vAlign w:val="bottom"/>
            <w:hideMark/>
          </w:tcPr>
          <w:p w14:paraId="22B11042" w14:textId="77777777" w:rsidR="0007555D" w:rsidRPr="00C56257" w:rsidRDefault="0007555D" w:rsidP="00F100E1">
            <w:pPr>
              <w:spacing w:after="160" w:line="259" w:lineRule="auto"/>
              <w:jc w:val="both"/>
              <w:rPr>
                <w:color w:val="000000"/>
              </w:rPr>
            </w:pPr>
          </w:p>
        </w:tc>
        <w:tc>
          <w:tcPr>
            <w:tcW w:w="1552" w:type="dxa"/>
            <w:tcBorders>
              <w:top w:val="nil"/>
              <w:left w:val="nil"/>
              <w:bottom w:val="nil"/>
              <w:right w:val="nil"/>
            </w:tcBorders>
            <w:shd w:val="clear" w:color="auto" w:fill="auto"/>
            <w:noWrap/>
            <w:vAlign w:val="bottom"/>
            <w:hideMark/>
          </w:tcPr>
          <w:p w14:paraId="7DC96FD7" w14:textId="77777777" w:rsidR="0007555D" w:rsidRPr="00C56257" w:rsidRDefault="0007555D" w:rsidP="00F100E1">
            <w:pPr>
              <w:spacing w:after="160" w:line="259" w:lineRule="auto"/>
              <w:jc w:val="both"/>
              <w:rPr>
                <w:color w:val="000000"/>
              </w:rPr>
            </w:pPr>
          </w:p>
        </w:tc>
        <w:tc>
          <w:tcPr>
            <w:tcW w:w="1456" w:type="dxa"/>
            <w:tcBorders>
              <w:top w:val="nil"/>
              <w:left w:val="nil"/>
              <w:bottom w:val="nil"/>
              <w:right w:val="nil"/>
            </w:tcBorders>
            <w:shd w:val="clear" w:color="auto" w:fill="auto"/>
            <w:noWrap/>
            <w:vAlign w:val="bottom"/>
            <w:hideMark/>
          </w:tcPr>
          <w:p w14:paraId="33D49054" w14:textId="77777777" w:rsidR="0007555D" w:rsidRPr="00C56257" w:rsidRDefault="0007555D" w:rsidP="00F100E1">
            <w:pPr>
              <w:spacing w:after="160" w:line="259" w:lineRule="auto"/>
              <w:jc w:val="both"/>
              <w:rPr>
                <w:color w:val="000000"/>
              </w:rPr>
            </w:pPr>
          </w:p>
        </w:tc>
      </w:tr>
      <w:tr w:rsidR="0007555D" w:rsidRPr="00C56257" w14:paraId="0EA34388" w14:textId="77777777" w:rsidTr="0007555D">
        <w:trPr>
          <w:trHeight w:val="600"/>
        </w:trPr>
        <w:tc>
          <w:tcPr>
            <w:tcW w:w="0" w:type="auto"/>
            <w:tcBorders>
              <w:top w:val="single" w:sz="8" w:space="0" w:color="305496"/>
              <w:left w:val="single" w:sz="8" w:space="0" w:color="305496"/>
              <w:bottom w:val="single" w:sz="4" w:space="0" w:color="auto"/>
              <w:right w:val="single" w:sz="4" w:space="0" w:color="auto"/>
            </w:tcBorders>
            <w:shd w:val="clear" w:color="auto" w:fill="auto"/>
            <w:vAlign w:val="center"/>
            <w:hideMark/>
          </w:tcPr>
          <w:p w14:paraId="49F3B751" w14:textId="77777777" w:rsidR="0007555D" w:rsidRPr="00C56257" w:rsidRDefault="0007555D" w:rsidP="00F100E1">
            <w:pPr>
              <w:spacing w:after="160" w:line="259" w:lineRule="auto"/>
              <w:jc w:val="both"/>
              <w:rPr>
                <w:color w:val="000000"/>
              </w:rPr>
            </w:pPr>
            <w:r w:rsidRPr="00C56257">
              <w:rPr>
                <w:color w:val="000000"/>
              </w:rPr>
              <w:t xml:space="preserve">Relația între amenințări </w:t>
            </w:r>
            <w:r w:rsidRPr="00C56257">
              <w:rPr>
                <w:color w:val="000000"/>
              </w:rPr>
              <w:br/>
              <w:t>și măsuri</w:t>
            </w:r>
          </w:p>
        </w:tc>
        <w:tc>
          <w:tcPr>
            <w:tcW w:w="2133" w:type="dxa"/>
            <w:tcBorders>
              <w:top w:val="single" w:sz="8" w:space="0" w:color="305496"/>
              <w:left w:val="nil"/>
              <w:bottom w:val="single" w:sz="4" w:space="0" w:color="auto"/>
              <w:right w:val="single" w:sz="8" w:space="0" w:color="305496"/>
            </w:tcBorders>
            <w:shd w:val="clear" w:color="auto" w:fill="auto"/>
            <w:vAlign w:val="center"/>
            <w:hideMark/>
          </w:tcPr>
          <w:p w14:paraId="25CC7DA9" w14:textId="77777777" w:rsidR="0007555D" w:rsidRPr="00C56257" w:rsidRDefault="0007555D" w:rsidP="00F100E1">
            <w:pPr>
              <w:spacing w:after="160" w:line="259" w:lineRule="auto"/>
              <w:jc w:val="both"/>
              <w:rPr>
                <w:color w:val="000000"/>
              </w:rPr>
            </w:pPr>
            <w:r w:rsidRPr="00C56257">
              <w:rPr>
                <w:color w:val="000000"/>
              </w:rPr>
              <w:t>Tendința preconizată reflectă relația între amenințări și măsuri</w:t>
            </w:r>
          </w:p>
        </w:tc>
        <w:tc>
          <w:tcPr>
            <w:tcW w:w="2089" w:type="dxa"/>
            <w:tcBorders>
              <w:top w:val="single" w:sz="4" w:space="0" w:color="auto"/>
              <w:left w:val="nil"/>
              <w:bottom w:val="single" w:sz="4" w:space="0" w:color="auto"/>
              <w:right w:val="nil"/>
            </w:tcBorders>
            <w:shd w:val="clear" w:color="auto" w:fill="auto"/>
            <w:vAlign w:val="center"/>
            <w:hideMark/>
          </w:tcPr>
          <w:p w14:paraId="30FD9111" w14:textId="77777777" w:rsidR="0007555D" w:rsidRPr="00C56257" w:rsidRDefault="0007555D" w:rsidP="00F100E1">
            <w:pPr>
              <w:spacing w:after="160" w:line="259" w:lineRule="auto"/>
              <w:jc w:val="both"/>
              <w:rPr>
                <w:color w:val="000000"/>
              </w:rPr>
            </w:pPr>
            <w:r w:rsidRPr="00C56257">
              <w:rPr>
                <w:color w:val="000000"/>
              </w:rPr>
              <w:t>Starea curentă de</w:t>
            </w:r>
            <w:r w:rsidRPr="00C56257">
              <w:rPr>
                <w:color w:val="000000"/>
              </w:rPr>
              <w:br/>
              <w:t xml:space="preserve"> conservare a parametrului</w:t>
            </w:r>
          </w:p>
        </w:tc>
        <w:tc>
          <w:tcPr>
            <w:tcW w:w="3008" w:type="dxa"/>
            <w:gridSpan w:val="2"/>
            <w:tcBorders>
              <w:top w:val="single" w:sz="8" w:space="0" w:color="305496"/>
              <w:left w:val="single" w:sz="8" w:space="0" w:color="305496"/>
              <w:bottom w:val="single" w:sz="4" w:space="0" w:color="auto"/>
              <w:right w:val="single" w:sz="8" w:space="0" w:color="305496"/>
            </w:tcBorders>
            <w:shd w:val="clear" w:color="auto" w:fill="auto"/>
            <w:vAlign w:val="center"/>
            <w:hideMark/>
          </w:tcPr>
          <w:p w14:paraId="0AB2F665" w14:textId="77777777" w:rsidR="0007555D" w:rsidRPr="00C56257" w:rsidRDefault="0007555D" w:rsidP="00F100E1">
            <w:pPr>
              <w:spacing w:after="160" w:line="259" w:lineRule="auto"/>
              <w:jc w:val="both"/>
              <w:rPr>
                <w:color w:val="000000"/>
              </w:rPr>
            </w:pPr>
            <w:r w:rsidRPr="00C56257">
              <w:rPr>
                <w:color w:val="000000"/>
              </w:rPr>
              <w:t>Perspectivele rezultate</w:t>
            </w:r>
            <w:r w:rsidRPr="00C56257">
              <w:rPr>
                <w:color w:val="000000"/>
              </w:rPr>
              <w:br/>
              <w:t xml:space="preserve"> ale parametrului</w:t>
            </w:r>
          </w:p>
        </w:tc>
      </w:tr>
      <w:tr w:rsidR="0007555D" w:rsidRPr="00C56257" w14:paraId="1EE068A3" w14:textId="77777777" w:rsidTr="0007555D">
        <w:trPr>
          <w:trHeight w:val="458"/>
        </w:trPr>
        <w:tc>
          <w:tcPr>
            <w:tcW w:w="0" w:type="auto"/>
            <w:vMerge w:val="restart"/>
            <w:tcBorders>
              <w:top w:val="nil"/>
              <w:left w:val="single" w:sz="8" w:space="0" w:color="305496"/>
              <w:bottom w:val="single" w:sz="4" w:space="0" w:color="auto"/>
              <w:right w:val="single" w:sz="4" w:space="0" w:color="auto"/>
            </w:tcBorders>
            <w:shd w:val="clear" w:color="auto" w:fill="auto"/>
            <w:hideMark/>
          </w:tcPr>
          <w:p w14:paraId="28626CC8" w14:textId="77777777" w:rsidR="0007555D" w:rsidRPr="00C56257" w:rsidRDefault="0007555D" w:rsidP="00F100E1">
            <w:pPr>
              <w:spacing w:after="160" w:line="259" w:lineRule="auto"/>
              <w:jc w:val="both"/>
              <w:rPr>
                <w:color w:val="000000"/>
              </w:rPr>
            </w:pPr>
            <w:r w:rsidRPr="00C56257">
              <w:rPr>
                <w:color w:val="000000"/>
              </w:rPr>
              <w:t>Relația între amenințările care acționează asupra parametrului (în mare parte amenințări cu impact neseminificativ și/sau mediu) și măsurile de conservare; nicio schimbare reală a stării parametrului așteptat</w:t>
            </w:r>
          </w:p>
        </w:tc>
        <w:tc>
          <w:tcPr>
            <w:tcW w:w="2133" w:type="dxa"/>
            <w:vMerge w:val="restart"/>
            <w:tcBorders>
              <w:top w:val="nil"/>
              <w:left w:val="single" w:sz="4" w:space="0" w:color="auto"/>
              <w:bottom w:val="single" w:sz="4" w:space="0" w:color="auto"/>
              <w:right w:val="single" w:sz="8" w:space="0" w:color="305496"/>
            </w:tcBorders>
            <w:shd w:val="clear" w:color="auto" w:fill="auto"/>
            <w:noWrap/>
            <w:vAlign w:val="center"/>
            <w:hideMark/>
          </w:tcPr>
          <w:p w14:paraId="62F40D38" w14:textId="77777777" w:rsidR="0007555D" w:rsidRPr="00C56257" w:rsidRDefault="0007555D" w:rsidP="00F100E1">
            <w:pPr>
              <w:spacing w:after="160" w:line="259" w:lineRule="auto"/>
              <w:jc w:val="both"/>
              <w:rPr>
                <w:color w:val="000000"/>
              </w:rPr>
            </w:pPr>
            <w:r w:rsidRPr="00C56257">
              <w:rPr>
                <w:color w:val="000000"/>
              </w:rPr>
              <w:t>general stabilă</w:t>
            </w:r>
          </w:p>
        </w:tc>
        <w:tc>
          <w:tcPr>
            <w:tcW w:w="2089" w:type="dxa"/>
            <w:vMerge w:val="restart"/>
            <w:tcBorders>
              <w:top w:val="nil"/>
              <w:left w:val="nil"/>
              <w:bottom w:val="single" w:sz="4" w:space="0" w:color="auto"/>
              <w:right w:val="nil"/>
            </w:tcBorders>
            <w:shd w:val="clear" w:color="000000" w:fill="92D050"/>
            <w:noWrap/>
            <w:vAlign w:val="center"/>
            <w:hideMark/>
          </w:tcPr>
          <w:p w14:paraId="47AC1202" w14:textId="77777777" w:rsidR="0007555D" w:rsidRPr="00C56257" w:rsidRDefault="0007555D" w:rsidP="00F100E1">
            <w:pPr>
              <w:spacing w:after="160" w:line="259" w:lineRule="auto"/>
              <w:jc w:val="both"/>
              <w:rPr>
                <w:color w:val="000000"/>
              </w:rPr>
            </w:pPr>
            <w:r w:rsidRPr="00C56257">
              <w:rPr>
                <w:color w:val="000000"/>
              </w:rPr>
              <w:t>Favorabilă</w:t>
            </w:r>
          </w:p>
        </w:tc>
        <w:tc>
          <w:tcPr>
            <w:tcW w:w="3008" w:type="dxa"/>
            <w:gridSpan w:val="2"/>
            <w:vMerge w:val="restart"/>
            <w:tcBorders>
              <w:top w:val="single" w:sz="4" w:space="0" w:color="auto"/>
              <w:left w:val="single" w:sz="8" w:space="0" w:color="305496"/>
              <w:bottom w:val="single" w:sz="4" w:space="0" w:color="auto"/>
              <w:right w:val="single" w:sz="8" w:space="0" w:color="305496"/>
            </w:tcBorders>
            <w:shd w:val="clear" w:color="000000" w:fill="92D050"/>
            <w:noWrap/>
            <w:hideMark/>
          </w:tcPr>
          <w:p w14:paraId="2F3BA973" w14:textId="77777777" w:rsidR="0007555D" w:rsidRPr="00C56257" w:rsidRDefault="0007555D" w:rsidP="00F100E1">
            <w:pPr>
              <w:spacing w:after="160" w:line="259" w:lineRule="auto"/>
              <w:jc w:val="both"/>
              <w:rPr>
                <w:color w:val="000000"/>
              </w:rPr>
            </w:pPr>
            <w:r w:rsidRPr="00C56257">
              <w:rPr>
                <w:color w:val="000000"/>
              </w:rPr>
              <w:t>bune</w:t>
            </w:r>
          </w:p>
        </w:tc>
      </w:tr>
      <w:tr w:rsidR="0007555D" w:rsidRPr="00C56257" w14:paraId="62BEC7BB"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221AF01C"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7E7A332A" w14:textId="77777777" w:rsidR="0007555D" w:rsidRPr="00C56257" w:rsidRDefault="0007555D" w:rsidP="00F100E1">
            <w:pPr>
              <w:spacing w:after="160" w:line="259" w:lineRule="auto"/>
              <w:jc w:val="both"/>
              <w:rPr>
                <w:color w:val="000000"/>
              </w:rPr>
            </w:pPr>
          </w:p>
        </w:tc>
        <w:tc>
          <w:tcPr>
            <w:tcW w:w="2089" w:type="dxa"/>
            <w:vMerge/>
            <w:tcBorders>
              <w:top w:val="nil"/>
              <w:left w:val="nil"/>
              <w:bottom w:val="single" w:sz="4" w:space="0" w:color="auto"/>
              <w:right w:val="nil"/>
            </w:tcBorders>
            <w:vAlign w:val="center"/>
            <w:hideMark/>
          </w:tcPr>
          <w:p w14:paraId="3109E006" w14:textId="77777777" w:rsidR="0007555D" w:rsidRPr="00C56257" w:rsidRDefault="0007555D" w:rsidP="00F100E1">
            <w:pPr>
              <w:spacing w:after="160" w:line="259" w:lineRule="auto"/>
              <w:jc w:val="both"/>
              <w:rPr>
                <w:color w:val="000000"/>
              </w:rPr>
            </w:pPr>
          </w:p>
        </w:tc>
        <w:tc>
          <w:tcPr>
            <w:tcW w:w="3008" w:type="dxa"/>
            <w:gridSpan w:val="2"/>
            <w:vMerge/>
            <w:tcBorders>
              <w:top w:val="single" w:sz="4" w:space="0" w:color="auto"/>
              <w:left w:val="single" w:sz="8" w:space="0" w:color="305496"/>
              <w:bottom w:val="single" w:sz="4" w:space="0" w:color="auto"/>
              <w:right w:val="single" w:sz="8" w:space="0" w:color="305496"/>
            </w:tcBorders>
            <w:vAlign w:val="center"/>
            <w:hideMark/>
          </w:tcPr>
          <w:p w14:paraId="62E41321" w14:textId="77777777" w:rsidR="0007555D" w:rsidRPr="00C56257" w:rsidRDefault="0007555D" w:rsidP="00F100E1">
            <w:pPr>
              <w:spacing w:after="160" w:line="259" w:lineRule="auto"/>
              <w:jc w:val="both"/>
              <w:rPr>
                <w:color w:val="000000"/>
              </w:rPr>
            </w:pPr>
          </w:p>
        </w:tc>
      </w:tr>
      <w:tr w:rsidR="0007555D" w:rsidRPr="00C56257" w14:paraId="1AC61E2B"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4C013C9B"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667EE0D2" w14:textId="77777777" w:rsidR="0007555D" w:rsidRPr="00C56257" w:rsidRDefault="0007555D" w:rsidP="00F100E1">
            <w:pPr>
              <w:spacing w:after="160" w:line="259" w:lineRule="auto"/>
              <w:jc w:val="both"/>
              <w:rPr>
                <w:color w:val="000000"/>
              </w:rPr>
            </w:pPr>
          </w:p>
        </w:tc>
        <w:tc>
          <w:tcPr>
            <w:tcW w:w="2089" w:type="dxa"/>
            <w:vMerge w:val="restart"/>
            <w:tcBorders>
              <w:top w:val="nil"/>
              <w:left w:val="nil"/>
              <w:bottom w:val="single" w:sz="4" w:space="0" w:color="auto"/>
              <w:right w:val="nil"/>
            </w:tcBorders>
            <w:shd w:val="clear" w:color="000000" w:fill="FFC000"/>
            <w:vAlign w:val="center"/>
            <w:hideMark/>
          </w:tcPr>
          <w:p w14:paraId="2C83C250" w14:textId="77777777" w:rsidR="0007555D" w:rsidRPr="00C56257" w:rsidRDefault="0007555D" w:rsidP="00F100E1">
            <w:pPr>
              <w:spacing w:after="160" w:line="259" w:lineRule="auto"/>
              <w:jc w:val="both"/>
              <w:rPr>
                <w:color w:val="000000"/>
              </w:rPr>
            </w:pPr>
            <w:r w:rsidRPr="00C56257">
              <w:rPr>
                <w:color w:val="000000"/>
              </w:rPr>
              <w:t>Nefavorabilă</w:t>
            </w:r>
            <w:r w:rsidRPr="00C56257">
              <w:rPr>
                <w:color w:val="000000"/>
              </w:rPr>
              <w:br/>
              <w:t>inadecvată</w:t>
            </w:r>
          </w:p>
        </w:tc>
        <w:tc>
          <w:tcPr>
            <w:tcW w:w="3008" w:type="dxa"/>
            <w:gridSpan w:val="2"/>
            <w:vMerge w:val="restart"/>
            <w:tcBorders>
              <w:top w:val="single" w:sz="4" w:space="0" w:color="auto"/>
              <w:left w:val="single" w:sz="8" w:space="0" w:color="305496"/>
              <w:bottom w:val="single" w:sz="4" w:space="0" w:color="auto"/>
              <w:right w:val="single" w:sz="8" w:space="0" w:color="305496"/>
            </w:tcBorders>
            <w:shd w:val="clear" w:color="000000" w:fill="FFC000"/>
            <w:noWrap/>
            <w:hideMark/>
          </w:tcPr>
          <w:p w14:paraId="55C251BA" w14:textId="77777777" w:rsidR="0007555D" w:rsidRPr="00C56257" w:rsidRDefault="0007555D" w:rsidP="00F100E1">
            <w:pPr>
              <w:spacing w:after="160" w:line="259" w:lineRule="auto"/>
              <w:jc w:val="both"/>
              <w:rPr>
                <w:color w:val="000000"/>
              </w:rPr>
            </w:pPr>
            <w:r w:rsidRPr="00C56257">
              <w:rPr>
                <w:color w:val="000000"/>
              </w:rPr>
              <w:t>slabe</w:t>
            </w:r>
          </w:p>
        </w:tc>
      </w:tr>
      <w:tr w:rsidR="0007555D" w:rsidRPr="00C56257" w14:paraId="5375A03E"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3D802A0B"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78D9BA57" w14:textId="77777777" w:rsidR="0007555D" w:rsidRPr="00C56257" w:rsidRDefault="0007555D" w:rsidP="00F100E1">
            <w:pPr>
              <w:spacing w:after="160" w:line="259" w:lineRule="auto"/>
              <w:jc w:val="both"/>
              <w:rPr>
                <w:color w:val="000000"/>
              </w:rPr>
            </w:pPr>
          </w:p>
        </w:tc>
        <w:tc>
          <w:tcPr>
            <w:tcW w:w="2089" w:type="dxa"/>
            <w:vMerge/>
            <w:tcBorders>
              <w:top w:val="nil"/>
              <w:left w:val="nil"/>
              <w:bottom w:val="single" w:sz="4" w:space="0" w:color="auto"/>
              <w:right w:val="nil"/>
            </w:tcBorders>
            <w:vAlign w:val="center"/>
            <w:hideMark/>
          </w:tcPr>
          <w:p w14:paraId="53CE8D59" w14:textId="77777777" w:rsidR="0007555D" w:rsidRPr="00C56257" w:rsidRDefault="0007555D" w:rsidP="00F100E1">
            <w:pPr>
              <w:spacing w:after="160" w:line="259" w:lineRule="auto"/>
              <w:jc w:val="both"/>
              <w:rPr>
                <w:color w:val="000000"/>
              </w:rPr>
            </w:pPr>
          </w:p>
        </w:tc>
        <w:tc>
          <w:tcPr>
            <w:tcW w:w="3008" w:type="dxa"/>
            <w:gridSpan w:val="2"/>
            <w:vMerge/>
            <w:tcBorders>
              <w:top w:val="single" w:sz="4" w:space="0" w:color="auto"/>
              <w:left w:val="single" w:sz="8" w:space="0" w:color="305496"/>
              <w:bottom w:val="single" w:sz="4" w:space="0" w:color="auto"/>
              <w:right w:val="single" w:sz="8" w:space="0" w:color="305496"/>
            </w:tcBorders>
            <w:vAlign w:val="center"/>
            <w:hideMark/>
          </w:tcPr>
          <w:p w14:paraId="36115EFB" w14:textId="77777777" w:rsidR="0007555D" w:rsidRPr="00C56257" w:rsidRDefault="0007555D" w:rsidP="00F100E1">
            <w:pPr>
              <w:spacing w:after="160" w:line="259" w:lineRule="auto"/>
              <w:jc w:val="both"/>
              <w:rPr>
                <w:color w:val="000000"/>
              </w:rPr>
            </w:pPr>
          </w:p>
        </w:tc>
      </w:tr>
      <w:tr w:rsidR="0007555D" w:rsidRPr="00C56257" w14:paraId="69D2D868"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62915B4A"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7D680DE1" w14:textId="77777777" w:rsidR="0007555D" w:rsidRPr="00C56257" w:rsidRDefault="0007555D" w:rsidP="00F100E1">
            <w:pPr>
              <w:spacing w:after="160" w:line="259" w:lineRule="auto"/>
              <w:jc w:val="both"/>
              <w:rPr>
                <w:color w:val="000000"/>
              </w:rPr>
            </w:pPr>
          </w:p>
        </w:tc>
        <w:tc>
          <w:tcPr>
            <w:tcW w:w="2089" w:type="dxa"/>
            <w:vMerge w:val="restart"/>
            <w:tcBorders>
              <w:top w:val="nil"/>
              <w:left w:val="nil"/>
              <w:bottom w:val="single" w:sz="4" w:space="0" w:color="auto"/>
              <w:right w:val="nil"/>
            </w:tcBorders>
            <w:shd w:val="clear" w:color="000000" w:fill="FF0000"/>
            <w:vAlign w:val="center"/>
            <w:hideMark/>
          </w:tcPr>
          <w:p w14:paraId="1BE97570" w14:textId="77777777" w:rsidR="0007555D" w:rsidRPr="00C56257" w:rsidRDefault="0007555D" w:rsidP="00F100E1">
            <w:pPr>
              <w:spacing w:after="160" w:line="259" w:lineRule="auto"/>
              <w:jc w:val="both"/>
              <w:rPr>
                <w:color w:val="000000"/>
              </w:rPr>
            </w:pPr>
            <w:r w:rsidRPr="00C56257">
              <w:rPr>
                <w:color w:val="000000"/>
              </w:rPr>
              <w:t>Nefavorabilă</w:t>
            </w:r>
            <w:r w:rsidRPr="00C56257">
              <w:rPr>
                <w:color w:val="000000"/>
              </w:rPr>
              <w:br/>
              <w:t>rea</w:t>
            </w:r>
          </w:p>
        </w:tc>
        <w:tc>
          <w:tcPr>
            <w:tcW w:w="3008" w:type="dxa"/>
            <w:gridSpan w:val="2"/>
            <w:vMerge w:val="restart"/>
            <w:tcBorders>
              <w:top w:val="single" w:sz="4" w:space="0" w:color="auto"/>
              <w:left w:val="single" w:sz="8" w:space="0" w:color="305496"/>
              <w:bottom w:val="single" w:sz="4" w:space="0" w:color="auto"/>
              <w:right w:val="single" w:sz="8" w:space="0" w:color="305496"/>
            </w:tcBorders>
            <w:shd w:val="clear" w:color="000000" w:fill="FF0000"/>
            <w:noWrap/>
            <w:hideMark/>
          </w:tcPr>
          <w:p w14:paraId="664B1789" w14:textId="77777777" w:rsidR="0007555D" w:rsidRPr="00C56257" w:rsidRDefault="0007555D" w:rsidP="00F100E1">
            <w:pPr>
              <w:spacing w:after="160" w:line="259" w:lineRule="auto"/>
              <w:jc w:val="both"/>
              <w:rPr>
                <w:color w:val="000000"/>
              </w:rPr>
            </w:pPr>
            <w:r w:rsidRPr="00C56257">
              <w:rPr>
                <w:color w:val="000000"/>
              </w:rPr>
              <w:t>rele</w:t>
            </w:r>
          </w:p>
        </w:tc>
      </w:tr>
      <w:tr w:rsidR="0007555D" w:rsidRPr="00C56257" w14:paraId="523217B7"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58C4EE5D"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15F944CC" w14:textId="77777777" w:rsidR="0007555D" w:rsidRPr="00C56257" w:rsidRDefault="0007555D" w:rsidP="00F100E1">
            <w:pPr>
              <w:spacing w:after="160" w:line="259" w:lineRule="auto"/>
              <w:jc w:val="both"/>
              <w:rPr>
                <w:color w:val="000000"/>
              </w:rPr>
            </w:pPr>
          </w:p>
        </w:tc>
        <w:tc>
          <w:tcPr>
            <w:tcW w:w="2089" w:type="dxa"/>
            <w:vMerge/>
            <w:tcBorders>
              <w:top w:val="nil"/>
              <w:left w:val="nil"/>
              <w:bottom w:val="single" w:sz="4" w:space="0" w:color="auto"/>
              <w:right w:val="nil"/>
            </w:tcBorders>
            <w:vAlign w:val="center"/>
            <w:hideMark/>
          </w:tcPr>
          <w:p w14:paraId="16D105E0" w14:textId="77777777" w:rsidR="0007555D" w:rsidRPr="00C56257" w:rsidRDefault="0007555D" w:rsidP="00F100E1">
            <w:pPr>
              <w:spacing w:after="160" w:line="259" w:lineRule="auto"/>
              <w:jc w:val="both"/>
              <w:rPr>
                <w:color w:val="000000"/>
              </w:rPr>
            </w:pPr>
          </w:p>
        </w:tc>
        <w:tc>
          <w:tcPr>
            <w:tcW w:w="3008" w:type="dxa"/>
            <w:gridSpan w:val="2"/>
            <w:vMerge/>
            <w:tcBorders>
              <w:top w:val="single" w:sz="4" w:space="0" w:color="auto"/>
              <w:left w:val="single" w:sz="8" w:space="0" w:color="305496"/>
              <w:bottom w:val="single" w:sz="4" w:space="0" w:color="auto"/>
              <w:right w:val="single" w:sz="8" w:space="0" w:color="305496"/>
            </w:tcBorders>
            <w:vAlign w:val="center"/>
            <w:hideMark/>
          </w:tcPr>
          <w:p w14:paraId="6BDB2BF4" w14:textId="77777777" w:rsidR="0007555D" w:rsidRPr="00C56257" w:rsidRDefault="0007555D" w:rsidP="00F100E1">
            <w:pPr>
              <w:spacing w:after="160" w:line="259" w:lineRule="auto"/>
              <w:jc w:val="both"/>
              <w:rPr>
                <w:color w:val="000000"/>
              </w:rPr>
            </w:pPr>
          </w:p>
        </w:tc>
      </w:tr>
      <w:tr w:rsidR="0007555D" w:rsidRPr="00C56257" w14:paraId="23C58F9F"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66C4ACDB"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2228448C" w14:textId="77777777" w:rsidR="0007555D" w:rsidRPr="00C56257" w:rsidRDefault="0007555D" w:rsidP="00F100E1">
            <w:pPr>
              <w:spacing w:after="160" w:line="259" w:lineRule="auto"/>
              <w:jc w:val="both"/>
              <w:rPr>
                <w:color w:val="000000"/>
              </w:rPr>
            </w:pPr>
          </w:p>
        </w:tc>
        <w:tc>
          <w:tcPr>
            <w:tcW w:w="2089" w:type="dxa"/>
            <w:vMerge w:val="restart"/>
            <w:tcBorders>
              <w:top w:val="nil"/>
              <w:left w:val="nil"/>
              <w:bottom w:val="single" w:sz="4" w:space="0" w:color="auto"/>
              <w:right w:val="nil"/>
            </w:tcBorders>
            <w:shd w:val="clear" w:color="000000" w:fill="A6A6A6"/>
            <w:noWrap/>
            <w:vAlign w:val="center"/>
            <w:hideMark/>
          </w:tcPr>
          <w:p w14:paraId="7DDA736A" w14:textId="77777777" w:rsidR="0007555D" w:rsidRPr="00C56257" w:rsidRDefault="0007555D" w:rsidP="00F100E1">
            <w:pPr>
              <w:spacing w:after="160" w:line="259" w:lineRule="auto"/>
              <w:jc w:val="both"/>
              <w:rPr>
                <w:color w:val="000000"/>
              </w:rPr>
            </w:pPr>
            <w:r w:rsidRPr="00C56257">
              <w:rPr>
                <w:color w:val="000000"/>
              </w:rPr>
              <w:t>Necunoscută</w:t>
            </w:r>
          </w:p>
        </w:tc>
        <w:tc>
          <w:tcPr>
            <w:tcW w:w="3008" w:type="dxa"/>
            <w:gridSpan w:val="2"/>
            <w:vMerge w:val="restart"/>
            <w:tcBorders>
              <w:top w:val="single" w:sz="4" w:space="0" w:color="auto"/>
              <w:left w:val="single" w:sz="8" w:space="0" w:color="305496"/>
              <w:bottom w:val="single" w:sz="4" w:space="0" w:color="auto"/>
              <w:right w:val="single" w:sz="8" w:space="0" w:color="305496"/>
            </w:tcBorders>
            <w:shd w:val="clear" w:color="000000" w:fill="A6A6A6"/>
            <w:noWrap/>
            <w:hideMark/>
          </w:tcPr>
          <w:p w14:paraId="408AB16E" w14:textId="77777777" w:rsidR="0007555D" w:rsidRPr="00C56257" w:rsidRDefault="0007555D" w:rsidP="00F100E1">
            <w:pPr>
              <w:spacing w:after="160" w:line="259" w:lineRule="auto"/>
              <w:jc w:val="both"/>
              <w:rPr>
                <w:color w:val="000000"/>
              </w:rPr>
            </w:pPr>
            <w:r w:rsidRPr="00C56257">
              <w:rPr>
                <w:color w:val="000000"/>
              </w:rPr>
              <w:t>necunoscute</w:t>
            </w:r>
          </w:p>
        </w:tc>
      </w:tr>
      <w:tr w:rsidR="0007555D" w:rsidRPr="00C56257" w14:paraId="5B3BBAA1"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6D238540"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06BBD4D3" w14:textId="77777777" w:rsidR="0007555D" w:rsidRPr="00C56257" w:rsidRDefault="0007555D" w:rsidP="00F100E1">
            <w:pPr>
              <w:spacing w:after="160" w:line="259" w:lineRule="auto"/>
              <w:jc w:val="both"/>
              <w:rPr>
                <w:color w:val="000000"/>
              </w:rPr>
            </w:pPr>
          </w:p>
        </w:tc>
        <w:tc>
          <w:tcPr>
            <w:tcW w:w="2089" w:type="dxa"/>
            <w:vMerge/>
            <w:tcBorders>
              <w:top w:val="nil"/>
              <w:left w:val="nil"/>
              <w:bottom w:val="single" w:sz="4" w:space="0" w:color="auto"/>
              <w:right w:val="nil"/>
            </w:tcBorders>
            <w:vAlign w:val="center"/>
            <w:hideMark/>
          </w:tcPr>
          <w:p w14:paraId="6EE05DC5" w14:textId="77777777" w:rsidR="0007555D" w:rsidRPr="00C56257" w:rsidRDefault="0007555D" w:rsidP="00F100E1">
            <w:pPr>
              <w:spacing w:after="160" w:line="259" w:lineRule="auto"/>
              <w:jc w:val="both"/>
              <w:rPr>
                <w:color w:val="000000"/>
              </w:rPr>
            </w:pPr>
          </w:p>
        </w:tc>
        <w:tc>
          <w:tcPr>
            <w:tcW w:w="3008" w:type="dxa"/>
            <w:gridSpan w:val="2"/>
            <w:vMerge/>
            <w:tcBorders>
              <w:top w:val="single" w:sz="4" w:space="0" w:color="auto"/>
              <w:left w:val="single" w:sz="8" w:space="0" w:color="305496"/>
              <w:bottom w:val="single" w:sz="4" w:space="0" w:color="auto"/>
              <w:right w:val="single" w:sz="8" w:space="0" w:color="305496"/>
            </w:tcBorders>
            <w:vAlign w:val="center"/>
            <w:hideMark/>
          </w:tcPr>
          <w:p w14:paraId="307A3478" w14:textId="77777777" w:rsidR="0007555D" w:rsidRPr="00C56257" w:rsidRDefault="0007555D" w:rsidP="00F100E1">
            <w:pPr>
              <w:spacing w:after="160" w:line="259" w:lineRule="auto"/>
              <w:jc w:val="both"/>
              <w:rPr>
                <w:color w:val="000000"/>
              </w:rPr>
            </w:pPr>
          </w:p>
        </w:tc>
      </w:tr>
      <w:tr w:rsidR="0007555D" w:rsidRPr="00C56257" w14:paraId="1749568F" w14:textId="77777777" w:rsidTr="0007555D">
        <w:trPr>
          <w:trHeight w:val="458"/>
        </w:trPr>
        <w:tc>
          <w:tcPr>
            <w:tcW w:w="0" w:type="auto"/>
            <w:vMerge w:val="restart"/>
            <w:tcBorders>
              <w:top w:val="nil"/>
              <w:left w:val="single" w:sz="8" w:space="0" w:color="305496"/>
              <w:bottom w:val="single" w:sz="4" w:space="0" w:color="auto"/>
              <w:right w:val="single" w:sz="4" w:space="0" w:color="auto"/>
            </w:tcBorders>
            <w:shd w:val="clear" w:color="auto" w:fill="auto"/>
            <w:hideMark/>
          </w:tcPr>
          <w:p w14:paraId="1D73A6EE" w14:textId="77777777" w:rsidR="0007555D" w:rsidRPr="00C56257" w:rsidRDefault="0007555D" w:rsidP="00F100E1">
            <w:pPr>
              <w:spacing w:after="160" w:line="259" w:lineRule="auto"/>
              <w:jc w:val="both"/>
              <w:rPr>
                <w:color w:val="000000"/>
              </w:rPr>
            </w:pPr>
            <w:r w:rsidRPr="00C56257">
              <w:rPr>
                <w:color w:val="000000"/>
              </w:rPr>
              <w:t xml:space="preserve">Se așteaptă ca amenințările să aibă influență negativă asupra stării parametrului (în mare aprte </w:t>
            </w:r>
            <w:r w:rsidRPr="00C56257">
              <w:rPr>
                <w:color w:val="000000"/>
              </w:rPr>
              <w:lastRenderedPageBreak/>
              <w:t>amenințări cu impact mare sau mediu, indiferent de măsurile luate</w:t>
            </w:r>
          </w:p>
        </w:tc>
        <w:tc>
          <w:tcPr>
            <w:tcW w:w="2133" w:type="dxa"/>
            <w:vMerge w:val="restart"/>
            <w:tcBorders>
              <w:top w:val="nil"/>
              <w:left w:val="single" w:sz="4" w:space="0" w:color="auto"/>
              <w:bottom w:val="single" w:sz="4" w:space="0" w:color="auto"/>
              <w:right w:val="single" w:sz="8" w:space="0" w:color="305496"/>
            </w:tcBorders>
            <w:shd w:val="clear" w:color="auto" w:fill="auto"/>
            <w:noWrap/>
            <w:vAlign w:val="center"/>
            <w:hideMark/>
          </w:tcPr>
          <w:p w14:paraId="78D7B646" w14:textId="77777777" w:rsidR="0007555D" w:rsidRPr="00C56257" w:rsidRDefault="0007555D" w:rsidP="00F100E1">
            <w:pPr>
              <w:spacing w:after="160" w:line="259" w:lineRule="auto"/>
              <w:jc w:val="both"/>
              <w:rPr>
                <w:color w:val="000000"/>
              </w:rPr>
            </w:pPr>
            <w:r w:rsidRPr="00C56257">
              <w:rPr>
                <w:color w:val="000000"/>
              </w:rPr>
              <w:lastRenderedPageBreak/>
              <w:t>negativă / foarte negativă</w:t>
            </w:r>
          </w:p>
        </w:tc>
        <w:tc>
          <w:tcPr>
            <w:tcW w:w="2089" w:type="dxa"/>
            <w:vMerge w:val="restart"/>
            <w:tcBorders>
              <w:top w:val="nil"/>
              <w:left w:val="nil"/>
              <w:bottom w:val="single" w:sz="4" w:space="0" w:color="auto"/>
              <w:right w:val="nil"/>
            </w:tcBorders>
            <w:shd w:val="clear" w:color="000000" w:fill="92D050"/>
            <w:noWrap/>
            <w:vAlign w:val="center"/>
            <w:hideMark/>
          </w:tcPr>
          <w:p w14:paraId="06789604" w14:textId="77777777" w:rsidR="0007555D" w:rsidRPr="00C56257" w:rsidRDefault="0007555D" w:rsidP="00F100E1">
            <w:pPr>
              <w:spacing w:after="160" w:line="259" w:lineRule="auto"/>
              <w:jc w:val="both"/>
              <w:rPr>
                <w:color w:val="000000"/>
              </w:rPr>
            </w:pPr>
            <w:r w:rsidRPr="00C56257">
              <w:rPr>
                <w:color w:val="000000"/>
              </w:rPr>
              <w:t>Favorabilă</w:t>
            </w:r>
          </w:p>
        </w:tc>
        <w:tc>
          <w:tcPr>
            <w:tcW w:w="1552" w:type="dxa"/>
            <w:vMerge w:val="restart"/>
            <w:tcBorders>
              <w:top w:val="nil"/>
              <w:left w:val="single" w:sz="8" w:space="0" w:color="305496"/>
              <w:bottom w:val="single" w:sz="4" w:space="0" w:color="auto"/>
              <w:right w:val="single" w:sz="4" w:space="0" w:color="auto"/>
            </w:tcBorders>
            <w:shd w:val="clear" w:color="000000" w:fill="FFC000"/>
            <w:noWrap/>
            <w:hideMark/>
          </w:tcPr>
          <w:p w14:paraId="5B1FD139" w14:textId="77777777" w:rsidR="0007555D" w:rsidRPr="00C56257" w:rsidRDefault="0007555D" w:rsidP="00F100E1">
            <w:pPr>
              <w:spacing w:after="160" w:line="259" w:lineRule="auto"/>
              <w:jc w:val="both"/>
              <w:rPr>
                <w:color w:val="000000"/>
              </w:rPr>
            </w:pPr>
            <w:r w:rsidRPr="00C56257">
              <w:rPr>
                <w:color w:val="000000"/>
              </w:rPr>
              <w:t>slabe (negative)</w:t>
            </w:r>
          </w:p>
        </w:tc>
        <w:tc>
          <w:tcPr>
            <w:tcW w:w="1456" w:type="dxa"/>
            <w:vMerge w:val="restart"/>
            <w:tcBorders>
              <w:top w:val="nil"/>
              <w:left w:val="single" w:sz="4" w:space="0" w:color="auto"/>
              <w:bottom w:val="single" w:sz="4" w:space="0" w:color="auto"/>
              <w:right w:val="single" w:sz="8" w:space="0" w:color="305496"/>
            </w:tcBorders>
            <w:shd w:val="clear" w:color="000000" w:fill="FF0000"/>
            <w:hideMark/>
          </w:tcPr>
          <w:p w14:paraId="6EAA5344" w14:textId="77777777" w:rsidR="0007555D" w:rsidRPr="00C56257" w:rsidRDefault="0007555D" w:rsidP="00F100E1">
            <w:pPr>
              <w:spacing w:after="160" w:line="259" w:lineRule="auto"/>
              <w:jc w:val="both"/>
              <w:rPr>
                <w:color w:val="000000"/>
              </w:rPr>
            </w:pPr>
            <w:r w:rsidRPr="00C56257">
              <w:rPr>
                <w:color w:val="000000"/>
              </w:rPr>
              <w:t>rele (foarte</w:t>
            </w:r>
            <w:r w:rsidRPr="00C56257">
              <w:rPr>
                <w:color w:val="000000"/>
              </w:rPr>
              <w:br/>
              <w:t>negative)</w:t>
            </w:r>
          </w:p>
        </w:tc>
      </w:tr>
      <w:tr w:rsidR="0007555D" w:rsidRPr="00C56257" w14:paraId="35E1DE07"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738A735A"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217847DF" w14:textId="77777777" w:rsidR="0007555D" w:rsidRPr="00C56257" w:rsidRDefault="0007555D" w:rsidP="00F100E1">
            <w:pPr>
              <w:spacing w:after="160" w:line="259" w:lineRule="auto"/>
              <w:jc w:val="both"/>
              <w:rPr>
                <w:color w:val="000000"/>
              </w:rPr>
            </w:pPr>
          </w:p>
        </w:tc>
        <w:tc>
          <w:tcPr>
            <w:tcW w:w="2089" w:type="dxa"/>
            <w:vMerge/>
            <w:tcBorders>
              <w:top w:val="nil"/>
              <w:left w:val="nil"/>
              <w:bottom w:val="single" w:sz="4" w:space="0" w:color="auto"/>
              <w:right w:val="nil"/>
            </w:tcBorders>
            <w:vAlign w:val="center"/>
            <w:hideMark/>
          </w:tcPr>
          <w:p w14:paraId="1E69F960" w14:textId="77777777" w:rsidR="0007555D" w:rsidRPr="00C56257" w:rsidRDefault="0007555D" w:rsidP="00F100E1">
            <w:pPr>
              <w:spacing w:after="160" w:line="259" w:lineRule="auto"/>
              <w:jc w:val="both"/>
              <w:rPr>
                <w:color w:val="000000"/>
              </w:rPr>
            </w:pPr>
          </w:p>
        </w:tc>
        <w:tc>
          <w:tcPr>
            <w:tcW w:w="1552" w:type="dxa"/>
            <w:vMerge/>
            <w:tcBorders>
              <w:top w:val="nil"/>
              <w:left w:val="single" w:sz="8" w:space="0" w:color="305496"/>
              <w:bottom w:val="single" w:sz="4" w:space="0" w:color="auto"/>
              <w:right w:val="single" w:sz="4" w:space="0" w:color="auto"/>
            </w:tcBorders>
            <w:vAlign w:val="center"/>
            <w:hideMark/>
          </w:tcPr>
          <w:p w14:paraId="629096AA" w14:textId="77777777" w:rsidR="0007555D" w:rsidRPr="00C56257" w:rsidRDefault="0007555D" w:rsidP="00F100E1">
            <w:pPr>
              <w:spacing w:after="160" w:line="259" w:lineRule="auto"/>
              <w:jc w:val="both"/>
              <w:rPr>
                <w:color w:val="000000"/>
              </w:rPr>
            </w:pPr>
          </w:p>
        </w:tc>
        <w:tc>
          <w:tcPr>
            <w:tcW w:w="1456" w:type="dxa"/>
            <w:vMerge/>
            <w:tcBorders>
              <w:top w:val="nil"/>
              <w:left w:val="single" w:sz="4" w:space="0" w:color="auto"/>
              <w:bottom w:val="single" w:sz="4" w:space="0" w:color="auto"/>
              <w:right w:val="single" w:sz="8" w:space="0" w:color="305496"/>
            </w:tcBorders>
            <w:vAlign w:val="center"/>
            <w:hideMark/>
          </w:tcPr>
          <w:p w14:paraId="5FF0D9D6" w14:textId="77777777" w:rsidR="0007555D" w:rsidRPr="00C56257" w:rsidRDefault="0007555D" w:rsidP="00F100E1">
            <w:pPr>
              <w:spacing w:after="160" w:line="259" w:lineRule="auto"/>
              <w:jc w:val="both"/>
              <w:rPr>
                <w:color w:val="000000"/>
              </w:rPr>
            </w:pPr>
          </w:p>
        </w:tc>
      </w:tr>
      <w:tr w:rsidR="0007555D" w:rsidRPr="00C56257" w14:paraId="179BE393"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350F92FA"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318651E5" w14:textId="77777777" w:rsidR="0007555D" w:rsidRPr="00C56257" w:rsidRDefault="0007555D" w:rsidP="00F100E1">
            <w:pPr>
              <w:spacing w:after="160" w:line="259" w:lineRule="auto"/>
              <w:jc w:val="both"/>
              <w:rPr>
                <w:color w:val="000000"/>
              </w:rPr>
            </w:pPr>
          </w:p>
        </w:tc>
        <w:tc>
          <w:tcPr>
            <w:tcW w:w="2089" w:type="dxa"/>
            <w:vMerge w:val="restart"/>
            <w:tcBorders>
              <w:top w:val="nil"/>
              <w:left w:val="nil"/>
              <w:bottom w:val="single" w:sz="4" w:space="0" w:color="auto"/>
              <w:right w:val="nil"/>
            </w:tcBorders>
            <w:shd w:val="clear" w:color="000000" w:fill="FFC000"/>
            <w:vAlign w:val="center"/>
            <w:hideMark/>
          </w:tcPr>
          <w:p w14:paraId="09008634" w14:textId="77777777" w:rsidR="0007555D" w:rsidRPr="00C56257" w:rsidRDefault="0007555D" w:rsidP="00F100E1">
            <w:pPr>
              <w:spacing w:after="160" w:line="259" w:lineRule="auto"/>
              <w:jc w:val="both"/>
              <w:rPr>
                <w:color w:val="000000"/>
              </w:rPr>
            </w:pPr>
            <w:r w:rsidRPr="00C56257">
              <w:rPr>
                <w:color w:val="000000"/>
              </w:rPr>
              <w:t>Nefavorabilă</w:t>
            </w:r>
            <w:r w:rsidRPr="00C56257">
              <w:rPr>
                <w:color w:val="000000"/>
              </w:rPr>
              <w:br/>
              <w:t>inadecvată</w:t>
            </w:r>
          </w:p>
        </w:tc>
        <w:tc>
          <w:tcPr>
            <w:tcW w:w="1552" w:type="dxa"/>
            <w:vMerge w:val="restart"/>
            <w:tcBorders>
              <w:top w:val="nil"/>
              <w:left w:val="single" w:sz="8" w:space="0" w:color="305496"/>
              <w:bottom w:val="single" w:sz="4" w:space="0" w:color="auto"/>
              <w:right w:val="single" w:sz="4" w:space="0" w:color="auto"/>
            </w:tcBorders>
            <w:shd w:val="clear" w:color="000000" w:fill="FFC000"/>
            <w:noWrap/>
            <w:hideMark/>
          </w:tcPr>
          <w:p w14:paraId="74291B5B" w14:textId="77777777" w:rsidR="0007555D" w:rsidRPr="00C56257" w:rsidRDefault="0007555D" w:rsidP="00F100E1">
            <w:pPr>
              <w:spacing w:after="160" w:line="259" w:lineRule="auto"/>
              <w:jc w:val="both"/>
              <w:rPr>
                <w:color w:val="000000"/>
              </w:rPr>
            </w:pPr>
            <w:r w:rsidRPr="00C56257">
              <w:rPr>
                <w:color w:val="000000"/>
              </w:rPr>
              <w:t>slabe (negative)</w:t>
            </w:r>
          </w:p>
        </w:tc>
        <w:tc>
          <w:tcPr>
            <w:tcW w:w="1456" w:type="dxa"/>
            <w:vMerge w:val="restart"/>
            <w:tcBorders>
              <w:top w:val="nil"/>
              <w:left w:val="single" w:sz="4" w:space="0" w:color="auto"/>
              <w:bottom w:val="single" w:sz="4" w:space="0" w:color="auto"/>
              <w:right w:val="single" w:sz="8" w:space="0" w:color="305496"/>
            </w:tcBorders>
            <w:shd w:val="clear" w:color="000000" w:fill="FF0000"/>
            <w:hideMark/>
          </w:tcPr>
          <w:p w14:paraId="680B612D" w14:textId="77777777" w:rsidR="0007555D" w:rsidRPr="00C56257" w:rsidRDefault="0007555D" w:rsidP="00F100E1">
            <w:pPr>
              <w:spacing w:after="160" w:line="259" w:lineRule="auto"/>
              <w:jc w:val="both"/>
              <w:rPr>
                <w:color w:val="000000"/>
              </w:rPr>
            </w:pPr>
            <w:r w:rsidRPr="00C56257">
              <w:rPr>
                <w:color w:val="000000"/>
              </w:rPr>
              <w:t>rele (foarte</w:t>
            </w:r>
            <w:r w:rsidRPr="00C56257">
              <w:rPr>
                <w:color w:val="000000"/>
              </w:rPr>
              <w:br/>
              <w:t>negative)</w:t>
            </w:r>
          </w:p>
        </w:tc>
      </w:tr>
      <w:tr w:rsidR="0007555D" w:rsidRPr="00C56257" w14:paraId="68C4D775"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52764B47"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1F32CA92" w14:textId="77777777" w:rsidR="0007555D" w:rsidRPr="00C56257" w:rsidRDefault="0007555D" w:rsidP="00F100E1">
            <w:pPr>
              <w:spacing w:after="160" w:line="259" w:lineRule="auto"/>
              <w:jc w:val="both"/>
              <w:rPr>
                <w:color w:val="000000"/>
              </w:rPr>
            </w:pPr>
          </w:p>
        </w:tc>
        <w:tc>
          <w:tcPr>
            <w:tcW w:w="2089" w:type="dxa"/>
            <w:vMerge/>
            <w:tcBorders>
              <w:top w:val="nil"/>
              <w:left w:val="nil"/>
              <w:bottom w:val="single" w:sz="4" w:space="0" w:color="auto"/>
              <w:right w:val="nil"/>
            </w:tcBorders>
            <w:vAlign w:val="center"/>
            <w:hideMark/>
          </w:tcPr>
          <w:p w14:paraId="7A920C77" w14:textId="77777777" w:rsidR="0007555D" w:rsidRPr="00C56257" w:rsidRDefault="0007555D" w:rsidP="00F100E1">
            <w:pPr>
              <w:spacing w:after="160" w:line="259" w:lineRule="auto"/>
              <w:jc w:val="both"/>
              <w:rPr>
                <w:color w:val="000000"/>
              </w:rPr>
            </w:pPr>
          </w:p>
        </w:tc>
        <w:tc>
          <w:tcPr>
            <w:tcW w:w="1552" w:type="dxa"/>
            <w:vMerge/>
            <w:tcBorders>
              <w:top w:val="nil"/>
              <w:left w:val="single" w:sz="8" w:space="0" w:color="305496"/>
              <w:bottom w:val="single" w:sz="4" w:space="0" w:color="auto"/>
              <w:right w:val="single" w:sz="4" w:space="0" w:color="auto"/>
            </w:tcBorders>
            <w:vAlign w:val="center"/>
            <w:hideMark/>
          </w:tcPr>
          <w:p w14:paraId="4FF531BB" w14:textId="77777777" w:rsidR="0007555D" w:rsidRPr="00C56257" w:rsidRDefault="0007555D" w:rsidP="00F100E1">
            <w:pPr>
              <w:spacing w:after="160" w:line="259" w:lineRule="auto"/>
              <w:jc w:val="both"/>
              <w:rPr>
                <w:color w:val="000000"/>
              </w:rPr>
            </w:pPr>
          </w:p>
        </w:tc>
        <w:tc>
          <w:tcPr>
            <w:tcW w:w="1456" w:type="dxa"/>
            <w:vMerge/>
            <w:tcBorders>
              <w:top w:val="nil"/>
              <w:left w:val="single" w:sz="4" w:space="0" w:color="auto"/>
              <w:bottom w:val="single" w:sz="4" w:space="0" w:color="auto"/>
              <w:right w:val="single" w:sz="8" w:space="0" w:color="305496"/>
            </w:tcBorders>
            <w:vAlign w:val="center"/>
            <w:hideMark/>
          </w:tcPr>
          <w:p w14:paraId="0C81C08F" w14:textId="77777777" w:rsidR="0007555D" w:rsidRPr="00C56257" w:rsidRDefault="0007555D" w:rsidP="00F100E1">
            <w:pPr>
              <w:spacing w:after="160" w:line="259" w:lineRule="auto"/>
              <w:jc w:val="both"/>
              <w:rPr>
                <w:color w:val="000000"/>
              </w:rPr>
            </w:pPr>
          </w:p>
        </w:tc>
      </w:tr>
      <w:tr w:rsidR="0007555D" w:rsidRPr="00C56257" w14:paraId="3924D03B"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628A9578"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799500FF" w14:textId="77777777" w:rsidR="0007555D" w:rsidRPr="00C56257" w:rsidRDefault="0007555D" w:rsidP="00F100E1">
            <w:pPr>
              <w:spacing w:after="160" w:line="259" w:lineRule="auto"/>
              <w:jc w:val="both"/>
              <w:rPr>
                <w:color w:val="000000"/>
              </w:rPr>
            </w:pPr>
          </w:p>
        </w:tc>
        <w:tc>
          <w:tcPr>
            <w:tcW w:w="2089" w:type="dxa"/>
            <w:vMerge w:val="restart"/>
            <w:tcBorders>
              <w:top w:val="nil"/>
              <w:left w:val="nil"/>
              <w:bottom w:val="single" w:sz="4" w:space="0" w:color="auto"/>
              <w:right w:val="nil"/>
            </w:tcBorders>
            <w:shd w:val="clear" w:color="000000" w:fill="FF0000"/>
            <w:vAlign w:val="center"/>
            <w:hideMark/>
          </w:tcPr>
          <w:p w14:paraId="64541FC2" w14:textId="77777777" w:rsidR="0007555D" w:rsidRPr="00C56257" w:rsidRDefault="0007555D" w:rsidP="00F100E1">
            <w:pPr>
              <w:spacing w:after="160" w:line="259" w:lineRule="auto"/>
              <w:jc w:val="both"/>
              <w:rPr>
                <w:color w:val="000000"/>
              </w:rPr>
            </w:pPr>
            <w:r w:rsidRPr="00C56257">
              <w:rPr>
                <w:color w:val="000000"/>
              </w:rPr>
              <w:t>Nefavorabilă</w:t>
            </w:r>
            <w:r w:rsidRPr="00C56257">
              <w:rPr>
                <w:color w:val="000000"/>
              </w:rPr>
              <w:br/>
              <w:t>rea</w:t>
            </w:r>
          </w:p>
        </w:tc>
        <w:tc>
          <w:tcPr>
            <w:tcW w:w="3008" w:type="dxa"/>
            <w:gridSpan w:val="2"/>
            <w:vMerge w:val="restart"/>
            <w:tcBorders>
              <w:top w:val="single" w:sz="4" w:space="0" w:color="auto"/>
              <w:left w:val="single" w:sz="8" w:space="0" w:color="305496"/>
              <w:bottom w:val="single" w:sz="4" w:space="0" w:color="auto"/>
              <w:right w:val="single" w:sz="8" w:space="0" w:color="305496"/>
            </w:tcBorders>
            <w:shd w:val="clear" w:color="000000" w:fill="FF0000"/>
            <w:noWrap/>
            <w:hideMark/>
          </w:tcPr>
          <w:p w14:paraId="0A534FB0" w14:textId="77777777" w:rsidR="0007555D" w:rsidRPr="00C56257" w:rsidRDefault="0007555D" w:rsidP="00F100E1">
            <w:pPr>
              <w:spacing w:after="160" w:line="259" w:lineRule="auto"/>
              <w:jc w:val="both"/>
              <w:rPr>
                <w:color w:val="000000"/>
              </w:rPr>
            </w:pPr>
            <w:r w:rsidRPr="00C56257">
              <w:rPr>
                <w:color w:val="000000"/>
              </w:rPr>
              <w:t>rele</w:t>
            </w:r>
          </w:p>
        </w:tc>
      </w:tr>
      <w:tr w:rsidR="0007555D" w:rsidRPr="00C56257" w14:paraId="187DB9E2"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5455313D"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634EC7C7" w14:textId="77777777" w:rsidR="0007555D" w:rsidRPr="00C56257" w:rsidRDefault="0007555D" w:rsidP="00F100E1">
            <w:pPr>
              <w:spacing w:after="160" w:line="259" w:lineRule="auto"/>
              <w:jc w:val="both"/>
              <w:rPr>
                <w:color w:val="000000"/>
              </w:rPr>
            </w:pPr>
          </w:p>
        </w:tc>
        <w:tc>
          <w:tcPr>
            <w:tcW w:w="2089" w:type="dxa"/>
            <w:vMerge/>
            <w:tcBorders>
              <w:top w:val="nil"/>
              <w:left w:val="nil"/>
              <w:bottom w:val="single" w:sz="4" w:space="0" w:color="auto"/>
              <w:right w:val="nil"/>
            </w:tcBorders>
            <w:vAlign w:val="center"/>
            <w:hideMark/>
          </w:tcPr>
          <w:p w14:paraId="6052F63B" w14:textId="77777777" w:rsidR="0007555D" w:rsidRPr="00C56257" w:rsidRDefault="0007555D" w:rsidP="00F100E1">
            <w:pPr>
              <w:spacing w:after="160" w:line="259" w:lineRule="auto"/>
              <w:jc w:val="both"/>
              <w:rPr>
                <w:color w:val="000000"/>
              </w:rPr>
            </w:pPr>
          </w:p>
        </w:tc>
        <w:tc>
          <w:tcPr>
            <w:tcW w:w="3008" w:type="dxa"/>
            <w:gridSpan w:val="2"/>
            <w:vMerge/>
            <w:tcBorders>
              <w:top w:val="single" w:sz="4" w:space="0" w:color="auto"/>
              <w:left w:val="single" w:sz="8" w:space="0" w:color="305496"/>
              <w:bottom w:val="single" w:sz="4" w:space="0" w:color="auto"/>
              <w:right w:val="single" w:sz="8" w:space="0" w:color="305496"/>
            </w:tcBorders>
            <w:vAlign w:val="center"/>
            <w:hideMark/>
          </w:tcPr>
          <w:p w14:paraId="69BD2693" w14:textId="77777777" w:rsidR="0007555D" w:rsidRPr="00C56257" w:rsidRDefault="0007555D" w:rsidP="00F100E1">
            <w:pPr>
              <w:spacing w:after="160" w:line="259" w:lineRule="auto"/>
              <w:jc w:val="both"/>
              <w:rPr>
                <w:color w:val="000000"/>
              </w:rPr>
            </w:pPr>
          </w:p>
        </w:tc>
      </w:tr>
      <w:tr w:rsidR="0007555D" w:rsidRPr="00C56257" w14:paraId="43C0EF04"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2A50DCD5"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7B34A706" w14:textId="77777777" w:rsidR="0007555D" w:rsidRPr="00C56257" w:rsidRDefault="0007555D" w:rsidP="00F100E1">
            <w:pPr>
              <w:spacing w:after="160" w:line="259" w:lineRule="auto"/>
              <w:jc w:val="both"/>
              <w:rPr>
                <w:color w:val="000000"/>
              </w:rPr>
            </w:pPr>
          </w:p>
        </w:tc>
        <w:tc>
          <w:tcPr>
            <w:tcW w:w="2089" w:type="dxa"/>
            <w:vMerge w:val="restart"/>
            <w:tcBorders>
              <w:top w:val="nil"/>
              <w:left w:val="nil"/>
              <w:bottom w:val="single" w:sz="4" w:space="0" w:color="auto"/>
              <w:right w:val="nil"/>
            </w:tcBorders>
            <w:shd w:val="clear" w:color="000000" w:fill="A6A6A6"/>
            <w:noWrap/>
            <w:vAlign w:val="center"/>
            <w:hideMark/>
          </w:tcPr>
          <w:p w14:paraId="2DF8949B" w14:textId="77777777" w:rsidR="0007555D" w:rsidRPr="00C56257" w:rsidRDefault="0007555D" w:rsidP="00F100E1">
            <w:pPr>
              <w:spacing w:after="160" w:line="259" w:lineRule="auto"/>
              <w:jc w:val="both"/>
              <w:rPr>
                <w:color w:val="000000"/>
              </w:rPr>
            </w:pPr>
            <w:r w:rsidRPr="00C56257">
              <w:rPr>
                <w:color w:val="000000"/>
              </w:rPr>
              <w:t>Necunoscută</w:t>
            </w:r>
          </w:p>
        </w:tc>
        <w:tc>
          <w:tcPr>
            <w:tcW w:w="1552" w:type="dxa"/>
            <w:vMerge w:val="restart"/>
            <w:tcBorders>
              <w:top w:val="nil"/>
              <w:left w:val="single" w:sz="8" w:space="0" w:color="305496"/>
              <w:bottom w:val="single" w:sz="4" w:space="0" w:color="auto"/>
              <w:right w:val="single" w:sz="4" w:space="0" w:color="auto"/>
            </w:tcBorders>
            <w:shd w:val="clear" w:color="000000" w:fill="FFC000"/>
            <w:noWrap/>
            <w:hideMark/>
          </w:tcPr>
          <w:p w14:paraId="3469C8DD" w14:textId="77777777" w:rsidR="0007555D" w:rsidRPr="00C56257" w:rsidRDefault="0007555D" w:rsidP="00F100E1">
            <w:pPr>
              <w:spacing w:after="160" w:line="259" w:lineRule="auto"/>
              <w:jc w:val="both"/>
              <w:rPr>
                <w:color w:val="000000"/>
              </w:rPr>
            </w:pPr>
            <w:r w:rsidRPr="00C56257">
              <w:rPr>
                <w:color w:val="000000"/>
              </w:rPr>
              <w:t>slabe (negative)</w:t>
            </w:r>
          </w:p>
        </w:tc>
        <w:tc>
          <w:tcPr>
            <w:tcW w:w="1456" w:type="dxa"/>
            <w:vMerge w:val="restart"/>
            <w:tcBorders>
              <w:top w:val="nil"/>
              <w:left w:val="single" w:sz="4" w:space="0" w:color="auto"/>
              <w:bottom w:val="single" w:sz="4" w:space="0" w:color="auto"/>
              <w:right w:val="single" w:sz="8" w:space="0" w:color="305496"/>
            </w:tcBorders>
            <w:shd w:val="clear" w:color="000000" w:fill="FF0000"/>
            <w:hideMark/>
          </w:tcPr>
          <w:p w14:paraId="594B95DC" w14:textId="77777777" w:rsidR="0007555D" w:rsidRPr="00C56257" w:rsidRDefault="0007555D" w:rsidP="00F100E1">
            <w:pPr>
              <w:spacing w:after="160" w:line="259" w:lineRule="auto"/>
              <w:jc w:val="both"/>
              <w:rPr>
                <w:color w:val="000000"/>
              </w:rPr>
            </w:pPr>
            <w:r w:rsidRPr="00C56257">
              <w:rPr>
                <w:color w:val="000000"/>
              </w:rPr>
              <w:t>rele (foarte</w:t>
            </w:r>
            <w:r w:rsidRPr="00C56257">
              <w:rPr>
                <w:color w:val="000000"/>
              </w:rPr>
              <w:br/>
              <w:t>negative)</w:t>
            </w:r>
          </w:p>
        </w:tc>
      </w:tr>
      <w:tr w:rsidR="0007555D" w:rsidRPr="00C56257" w14:paraId="082D8571"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5B9E3AFA"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60497072" w14:textId="77777777" w:rsidR="0007555D" w:rsidRPr="00C56257" w:rsidRDefault="0007555D" w:rsidP="00F100E1">
            <w:pPr>
              <w:spacing w:after="160" w:line="259" w:lineRule="auto"/>
              <w:jc w:val="both"/>
              <w:rPr>
                <w:color w:val="000000"/>
              </w:rPr>
            </w:pPr>
          </w:p>
        </w:tc>
        <w:tc>
          <w:tcPr>
            <w:tcW w:w="2089" w:type="dxa"/>
            <w:vMerge/>
            <w:tcBorders>
              <w:top w:val="nil"/>
              <w:left w:val="nil"/>
              <w:bottom w:val="single" w:sz="4" w:space="0" w:color="auto"/>
              <w:right w:val="nil"/>
            </w:tcBorders>
            <w:vAlign w:val="center"/>
            <w:hideMark/>
          </w:tcPr>
          <w:p w14:paraId="7C6BA744" w14:textId="77777777" w:rsidR="0007555D" w:rsidRPr="00C56257" w:rsidRDefault="0007555D" w:rsidP="00F100E1">
            <w:pPr>
              <w:spacing w:after="160" w:line="259" w:lineRule="auto"/>
              <w:jc w:val="both"/>
              <w:rPr>
                <w:color w:val="000000"/>
              </w:rPr>
            </w:pPr>
          </w:p>
        </w:tc>
        <w:tc>
          <w:tcPr>
            <w:tcW w:w="1552" w:type="dxa"/>
            <w:vMerge/>
            <w:tcBorders>
              <w:top w:val="nil"/>
              <w:left w:val="single" w:sz="8" w:space="0" w:color="305496"/>
              <w:bottom w:val="single" w:sz="4" w:space="0" w:color="auto"/>
              <w:right w:val="single" w:sz="4" w:space="0" w:color="auto"/>
            </w:tcBorders>
            <w:vAlign w:val="center"/>
            <w:hideMark/>
          </w:tcPr>
          <w:p w14:paraId="48FCE472" w14:textId="77777777" w:rsidR="0007555D" w:rsidRPr="00C56257" w:rsidRDefault="0007555D" w:rsidP="00F100E1">
            <w:pPr>
              <w:spacing w:after="160" w:line="259" w:lineRule="auto"/>
              <w:jc w:val="both"/>
              <w:rPr>
                <w:color w:val="000000"/>
              </w:rPr>
            </w:pPr>
          </w:p>
        </w:tc>
        <w:tc>
          <w:tcPr>
            <w:tcW w:w="1456" w:type="dxa"/>
            <w:vMerge/>
            <w:tcBorders>
              <w:top w:val="nil"/>
              <w:left w:val="single" w:sz="4" w:space="0" w:color="auto"/>
              <w:bottom w:val="single" w:sz="4" w:space="0" w:color="auto"/>
              <w:right w:val="single" w:sz="8" w:space="0" w:color="305496"/>
            </w:tcBorders>
            <w:vAlign w:val="center"/>
            <w:hideMark/>
          </w:tcPr>
          <w:p w14:paraId="28D4D649" w14:textId="77777777" w:rsidR="0007555D" w:rsidRPr="00C56257" w:rsidRDefault="0007555D" w:rsidP="00F100E1">
            <w:pPr>
              <w:spacing w:after="160" w:line="259" w:lineRule="auto"/>
              <w:jc w:val="both"/>
              <w:rPr>
                <w:color w:val="000000"/>
              </w:rPr>
            </w:pPr>
          </w:p>
        </w:tc>
      </w:tr>
      <w:tr w:rsidR="0007555D" w:rsidRPr="00C56257" w14:paraId="629A90D3" w14:textId="77777777" w:rsidTr="0007555D">
        <w:trPr>
          <w:trHeight w:val="458"/>
        </w:trPr>
        <w:tc>
          <w:tcPr>
            <w:tcW w:w="0" w:type="auto"/>
            <w:vMerge w:val="restart"/>
            <w:tcBorders>
              <w:top w:val="nil"/>
              <w:left w:val="single" w:sz="8" w:space="0" w:color="305496"/>
              <w:bottom w:val="single" w:sz="4" w:space="0" w:color="auto"/>
              <w:right w:val="single" w:sz="4" w:space="0" w:color="auto"/>
            </w:tcBorders>
            <w:shd w:val="clear" w:color="auto" w:fill="auto"/>
            <w:hideMark/>
          </w:tcPr>
          <w:p w14:paraId="5564E823" w14:textId="77777777" w:rsidR="0007555D" w:rsidRPr="00C56257" w:rsidRDefault="0007555D" w:rsidP="00F100E1">
            <w:pPr>
              <w:spacing w:after="160" w:line="259" w:lineRule="auto"/>
              <w:jc w:val="both"/>
              <w:rPr>
                <w:color w:val="000000"/>
              </w:rPr>
            </w:pPr>
            <w:r w:rsidRPr="00C56257">
              <w:rPr>
                <w:color w:val="000000"/>
              </w:rPr>
              <w:t>Niciuna (sau doar amenințări cu impact nesemnificativ) și/sau măsuri efective luate: influență pozitivă asupra stării parametrului</w:t>
            </w:r>
          </w:p>
        </w:tc>
        <w:tc>
          <w:tcPr>
            <w:tcW w:w="2133" w:type="dxa"/>
            <w:vMerge w:val="restart"/>
            <w:tcBorders>
              <w:top w:val="nil"/>
              <w:left w:val="single" w:sz="4" w:space="0" w:color="auto"/>
              <w:bottom w:val="single" w:sz="4" w:space="0" w:color="auto"/>
              <w:right w:val="single" w:sz="8" w:space="0" w:color="305496"/>
            </w:tcBorders>
            <w:shd w:val="clear" w:color="auto" w:fill="auto"/>
            <w:noWrap/>
            <w:vAlign w:val="center"/>
            <w:hideMark/>
          </w:tcPr>
          <w:p w14:paraId="1B2A6760" w14:textId="77777777" w:rsidR="0007555D" w:rsidRPr="00C56257" w:rsidRDefault="0007555D" w:rsidP="00F100E1">
            <w:pPr>
              <w:spacing w:after="160" w:line="259" w:lineRule="auto"/>
              <w:jc w:val="both"/>
              <w:rPr>
                <w:color w:val="000000"/>
              </w:rPr>
            </w:pPr>
            <w:r w:rsidRPr="00C56257">
              <w:rPr>
                <w:color w:val="000000"/>
              </w:rPr>
              <w:t>pozitivă / foarte pozitivă</w:t>
            </w:r>
          </w:p>
        </w:tc>
        <w:tc>
          <w:tcPr>
            <w:tcW w:w="2089" w:type="dxa"/>
            <w:vMerge w:val="restart"/>
            <w:tcBorders>
              <w:top w:val="nil"/>
              <w:left w:val="nil"/>
              <w:bottom w:val="single" w:sz="4" w:space="0" w:color="auto"/>
              <w:right w:val="nil"/>
            </w:tcBorders>
            <w:shd w:val="clear" w:color="000000" w:fill="92D050"/>
            <w:noWrap/>
            <w:vAlign w:val="center"/>
            <w:hideMark/>
          </w:tcPr>
          <w:p w14:paraId="44CC8D7D" w14:textId="77777777" w:rsidR="0007555D" w:rsidRPr="00C56257" w:rsidRDefault="0007555D" w:rsidP="00F100E1">
            <w:pPr>
              <w:spacing w:after="160" w:line="259" w:lineRule="auto"/>
              <w:jc w:val="both"/>
              <w:rPr>
                <w:color w:val="000000"/>
              </w:rPr>
            </w:pPr>
            <w:r w:rsidRPr="00C56257">
              <w:rPr>
                <w:color w:val="000000"/>
              </w:rPr>
              <w:t>Favorabilă</w:t>
            </w:r>
          </w:p>
        </w:tc>
        <w:tc>
          <w:tcPr>
            <w:tcW w:w="3008" w:type="dxa"/>
            <w:gridSpan w:val="2"/>
            <w:vMerge w:val="restart"/>
            <w:tcBorders>
              <w:top w:val="single" w:sz="4" w:space="0" w:color="auto"/>
              <w:left w:val="single" w:sz="8" w:space="0" w:color="305496"/>
              <w:bottom w:val="single" w:sz="4" w:space="0" w:color="auto"/>
              <w:right w:val="single" w:sz="8" w:space="0" w:color="305496"/>
            </w:tcBorders>
            <w:shd w:val="clear" w:color="000000" w:fill="92D050"/>
            <w:noWrap/>
            <w:hideMark/>
          </w:tcPr>
          <w:p w14:paraId="765CD66A" w14:textId="77777777" w:rsidR="0007555D" w:rsidRPr="00C56257" w:rsidRDefault="0007555D" w:rsidP="00F100E1">
            <w:pPr>
              <w:spacing w:after="160" w:line="259" w:lineRule="auto"/>
              <w:jc w:val="both"/>
              <w:rPr>
                <w:color w:val="000000"/>
              </w:rPr>
            </w:pPr>
            <w:r w:rsidRPr="00C56257">
              <w:rPr>
                <w:color w:val="000000"/>
              </w:rPr>
              <w:t>bune</w:t>
            </w:r>
          </w:p>
        </w:tc>
      </w:tr>
      <w:tr w:rsidR="0007555D" w:rsidRPr="00C56257" w14:paraId="382DD4B4"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5EB2D348"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0D6048D3" w14:textId="77777777" w:rsidR="0007555D" w:rsidRPr="00C56257" w:rsidRDefault="0007555D" w:rsidP="00F100E1">
            <w:pPr>
              <w:spacing w:after="160" w:line="259" w:lineRule="auto"/>
              <w:jc w:val="both"/>
              <w:rPr>
                <w:color w:val="000000"/>
              </w:rPr>
            </w:pPr>
          </w:p>
        </w:tc>
        <w:tc>
          <w:tcPr>
            <w:tcW w:w="2089" w:type="dxa"/>
            <w:vMerge/>
            <w:tcBorders>
              <w:top w:val="nil"/>
              <w:left w:val="nil"/>
              <w:bottom w:val="single" w:sz="4" w:space="0" w:color="auto"/>
              <w:right w:val="nil"/>
            </w:tcBorders>
            <w:vAlign w:val="center"/>
            <w:hideMark/>
          </w:tcPr>
          <w:p w14:paraId="41D68E0F" w14:textId="77777777" w:rsidR="0007555D" w:rsidRPr="00C56257" w:rsidRDefault="0007555D" w:rsidP="00F100E1">
            <w:pPr>
              <w:spacing w:after="160" w:line="259" w:lineRule="auto"/>
              <w:jc w:val="both"/>
              <w:rPr>
                <w:color w:val="000000"/>
              </w:rPr>
            </w:pPr>
          </w:p>
        </w:tc>
        <w:tc>
          <w:tcPr>
            <w:tcW w:w="3008" w:type="dxa"/>
            <w:gridSpan w:val="2"/>
            <w:vMerge/>
            <w:tcBorders>
              <w:top w:val="single" w:sz="4" w:space="0" w:color="auto"/>
              <w:left w:val="single" w:sz="8" w:space="0" w:color="305496"/>
              <w:bottom w:val="single" w:sz="4" w:space="0" w:color="auto"/>
              <w:right w:val="single" w:sz="8" w:space="0" w:color="305496"/>
            </w:tcBorders>
            <w:vAlign w:val="center"/>
            <w:hideMark/>
          </w:tcPr>
          <w:p w14:paraId="5F14B342" w14:textId="77777777" w:rsidR="0007555D" w:rsidRPr="00C56257" w:rsidRDefault="0007555D" w:rsidP="00F100E1">
            <w:pPr>
              <w:spacing w:after="160" w:line="259" w:lineRule="auto"/>
              <w:jc w:val="both"/>
              <w:rPr>
                <w:color w:val="000000"/>
              </w:rPr>
            </w:pPr>
          </w:p>
        </w:tc>
      </w:tr>
      <w:tr w:rsidR="0007555D" w:rsidRPr="00C56257" w14:paraId="11FC1159"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5145BC2E"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7B5112CA" w14:textId="77777777" w:rsidR="0007555D" w:rsidRPr="00C56257" w:rsidRDefault="0007555D" w:rsidP="00F100E1">
            <w:pPr>
              <w:spacing w:after="160" w:line="259" w:lineRule="auto"/>
              <w:jc w:val="both"/>
              <w:rPr>
                <w:color w:val="000000"/>
              </w:rPr>
            </w:pPr>
          </w:p>
        </w:tc>
        <w:tc>
          <w:tcPr>
            <w:tcW w:w="2089" w:type="dxa"/>
            <w:vMerge w:val="restart"/>
            <w:tcBorders>
              <w:top w:val="nil"/>
              <w:left w:val="nil"/>
              <w:bottom w:val="single" w:sz="4" w:space="0" w:color="auto"/>
              <w:right w:val="nil"/>
            </w:tcBorders>
            <w:shd w:val="clear" w:color="000000" w:fill="FFC000"/>
            <w:vAlign w:val="center"/>
            <w:hideMark/>
          </w:tcPr>
          <w:p w14:paraId="704AC6AB" w14:textId="77777777" w:rsidR="0007555D" w:rsidRPr="00C56257" w:rsidRDefault="0007555D" w:rsidP="00F100E1">
            <w:pPr>
              <w:spacing w:after="160" w:line="259" w:lineRule="auto"/>
              <w:jc w:val="both"/>
              <w:rPr>
                <w:color w:val="000000"/>
              </w:rPr>
            </w:pPr>
            <w:r w:rsidRPr="00C56257">
              <w:rPr>
                <w:color w:val="000000"/>
              </w:rPr>
              <w:t>Nefavorabilă</w:t>
            </w:r>
            <w:r w:rsidRPr="00C56257">
              <w:rPr>
                <w:color w:val="000000"/>
              </w:rPr>
              <w:br/>
              <w:t>inadecvată</w:t>
            </w:r>
          </w:p>
        </w:tc>
        <w:tc>
          <w:tcPr>
            <w:tcW w:w="1552" w:type="dxa"/>
            <w:vMerge w:val="restart"/>
            <w:tcBorders>
              <w:top w:val="nil"/>
              <w:left w:val="single" w:sz="8" w:space="0" w:color="305496"/>
              <w:bottom w:val="single" w:sz="4" w:space="0" w:color="auto"/>
              <w:right w:val="single" w:sz="4" w:space="0" w:color="auto"/>
            </w:tcBorders>
            <w:shd w:val="clear" w:color="000000" w:fill="FFC000"/>
            <w:noWrap/>
            <w:hideMark/>
          </w:tcPr>
          <w:p w14:paraId="7FB46E8D" w14:textId="77777777" w:rsidR="0007555D" w:rsidRPr="00C56257" w:rsidRDefault="0007555D" w:rsidP="00F100E1">
            <w:pPr>
              <w:spacing w:after="160" w:line="259" w:lineRule="auto"/>
              <w:jc w:val="both"/>
              <w:rPr>
                <w:color w:val="000000"/>
              </w:rPr>
            </w:pPr>
            <w:r w:rsidRPr="00C56257">
              <w:rPr>
                <w:color w:val="000000"/>
              </w:rPr>
              <w:t>slabe (negative)</w:t>
            </w:r>
          </w:p>
        </w:tc>
        <w:tc>
          <w:tcPr>
            <w:tcW w:w="1456" w:type="dxa"/>
            <w:vMerge w:val="restart"/>
            <w:tcBorders>
              <w:top w:val="nil"/>
              <w:left w:val="single" w:sz="4" w:space="0" w:color="auto"/>
              <w:bottom w:val="single" w:sz="4" w:space="0" w:color="auto"/>
              <w:right w:val="single" w:sz="8" w:space="0" w:color="305496"/>
            </w:tcBorders>
            <w:shd w:val="clear" w:color="000000" w:fill="92D050"/>
            <w:hideMark/>
          </w:tcPr>
          <w:p w14:paraId="48020EBC" w14:textId="77777777" w:rsidR="0007555D" w:rsidRPr="00C56257" w:rsidRDefault="0007555D" w:rsidP="00F100E1">
            <w:pPr>
              <w:spacing w:after="160" w:line="259" w:lineRule="auto"/>
              <w:jc w:val="both"/>
              <w:rPr>
                <w:color w:val="000000"/>
              </w:rPr>
            </w:pPr>
            <w:r w:rsidRPr="00C56257">
              <w:rPr>
                <w:color w:val="000000"/>
              </w:rPr>
              <w:t>bune (foarte</w:t>
            </w:r>
            <w:r w:rsidRPr="00C56257">
              <w:rPr>
                <w:color w:val="000000"/>
              </w:rPr>
              <w:br/>
              <w:t>pozitive)</w:t>
            </w:r>
          </w:p>
        </w:tc>
      </w:tr>
      <w:tr w:rsidR="0007555D" w:rsidRPr="00C56257" w14:paraId="0AD1216D"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0E324F03"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3B0DEB19" w14:textId="77777777" w:rsidR="0007555D" w:rsidRPr="00C56257" w:rsidRDefault="0007555D" w:rsidP="00F100E1">
            <w:pPr>
              <w:spacing w:after="160" w:line="259" w:lineRule="auto"/>
              <w:jc w:val="both"/>
              <w:rPr>
                <w:color w:val="000000"/>
              </w:rPr>
            </w:pPr>
          </w:p>
        </w:tc>
        <w:tc>
          <w:tcPr>
            <w:tcW w:w="2089" w:type="dxa"/>
            <w:vMerge/>
            <w:tcBorders>
              <w:top w:val="nil"/>
              <w:left w:val="nil"/>
              <w:bottom w:val="single" w:sz="4" w:space="0" w:color="auto"/>
              <w:right w:val="nil"/>
            </w:tcBorders>
            <w:vAlign w:val="center"/>
            <w:hideMark/>
          </w:tcPr>
          <w:p w14:paraId="20010316" w14:textId="77777777" w:rsidR="0007555D" w:rsidRPr="00C56257" w:rsidRDefault="0007555D" w:rsidP="00F100E1">
            <w:pPr>
              <w:spacing w:after="160" w:line="259" w:lineRule="auto"/>
              <w:jc w:val="both"/>
              <w:rPr>
                <w:color w:val="000000"/>
              </w:rPr>
            </w:pPr>
          </w:p>
        </w:tc>
        <w:tc>
          <w:tcPr>
            <w:tcW w:w="1552" w:type="dxa"/>
            <w:vMerge/>
            <w:tcBorders>
              <w:top w:val="nil"/>
              <w:left w:val="single" w:sz="8" w:space="0" w:color="305496"/>
              <w:bottom w:val="single" w:sz="4" w:space="0" w:color="auto"/>
              <w:right w:val="single" w:sz="4" w:space="0" w:color="auto"/>
            </w:tcBorders>
            <w:vAlign w:val="center"/>
            <w:hideMark/>
          </w:tcPr>
          <w:p w14:paraId="61E03723" w14:textId="77777777" w:rsidR="0007555D" w:rsidRPr="00C56257" w:rsidRDefault="0007555D" w:rsidP="00F100E1">
            <w:pPr>
              <w:spacing w:after="160" w:line="259" w:lineRule="auto"/>
              <w:jc w:val="both"/>
              <w:rPr>
                <w:color w:val="000000"/>
              </w:rPr>
            </w:pPr>
          </w:p>
        </w:tc>
        <w:tc>
          <w:tcPr>
            <w:tcW w:w="1456" w:type="dxa"/>
            <w:vMerge/>
            <w:tcBorders>
              <w:top w:val="nil"/>
              <w:left w:val="single" w:sz="4" w:space="0" w:color="auto"/>
              <w:bottom w:val="single" w:sz="4" w:space="0" w:color="auto"/>
              <w:right w:val="single" w:sz="8" w:space="0" w:color="305496"/>
            </w:tcBorders>
            <w:vAlign w:val="center"/>
            <w:hideMark/>
          </w:tcPr>
          <w:p w14:paraId="71B012E0" w14:textId="77777777" w:rsidR="0007555D" w:rsidRPr="00C56257" w:rsidRDefault="0007555D" w:rsidP="00F100E1">
            <w:pPr>
              <w:spacing w:after="160" w:line="259" w:lineRule="auto"/>
              <w:jc w:val="both"/>
              <w:rPr>
                <w:color w:val="000000"/>
              </w:rPr>
            </w:pPr>
          </w:p>
        </w:tc>
      </w:tr>
      <w:tr w:rsidR="0007555D" w:rsidRPr="00C56257" w14:paraId="2D43C8A7"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13FC046E"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46429B6B" w14:textId="77777777" w:rsidR="0007555D" w:rsidRPr="00C56257" w:rsidRDefault="0007555D" w:rsidP="00F100E1">
            <w:pPr>
              <w:spacing w:after="160" w:line="259" w:lineRule="auto"/>
              <w:jc w:val="both"/>
              <w:rPr>
                <w:color w:val="000000"/>
              </w:rPr>
            </w:pPr>
          </w:p>
        </w:tc>
        <w:tc>
          <w:tcPr>
            <w:tcW w:w="2089" w:type="dxa"/>
            <w:vMerge w:val="restart"/>
            <w:tcBorders>
              <w:top w:val="nil"/>
              <w:left w:val="nil"/>
              <w:bottom w:val="single" w:sz="4" w:space="0" w:color="auto"/>
              <w:right w:val="nil"/>
            </w:tcBorders>
            <w:shd w:val="clear" w:color="000000" w:fill="FF0000"/>
            <w:vAlign w:val="center"/>
            <w:hideMark/>
          </w:tcPr>
          <w:p w14:paraId="04513F34" w14:textId="77777777" w:rsidR="0007555D" w:rsidRPr="00C56257" w:rsidRDefault="0007555D" w:rsidP="00F100E1">
            <w:pPr>
              <w:spacing w:after="160" w:line="259" w:lineRule="auto"/>
              <w:jc w:val="both"/>
              <w:rPr>
                <w:color w:val="000000"/>
              </w:rPr>
            </w:pPr>
            <w:r w:rsidRPr="00C56257">
              <w:rPr>
                <w:color w:val="000000"/>
              </w:rPr>
              <w:t>Nefavorabilă</w:t>
            </w:r>
            <w:r w:rsidRPr="00C56257">
              <w:rPr>
                <w:color w:val="000000"/>
              </w:rPr>
              <w:br/>
              <w:t>rea</w:t>
            </w:r>
          </w:p>
        </w:tc>
        <w:tc>
          <w:tcPr>
            <w:tcW w:w="1552" w:type="dxa"/>
            <w:vMerge w:val="restart"/>
            <w:tcBorders>
              <w:top w:val="nil"/>
              <w:left w:val="single" w:sz="8" w:space="0" w:color="305496"/>
              <w:bottom w:val="single" w:sz="4" w:space="0" w:color="auto"/>
              <w:right w:val="single" w:sz="4" w:space="0" w:color="auto"/>
            </w:tcBorders>
            <w:shd w:val="clear" w:color="000000" w:fill="FFC000"/>
            <w:noWrap/>
            <w:hideMark/>
          </w:tcPr>
          <w:p w14:paraId="3BF24D83" w14:textId="77777777" w:rsidR="0007555D" w:rsidRPr="00C56257" w:rsidRDefault="0007555D" w:rsidP="00F100E1">
            <w:pPr>
              <w:spacing w:after="160" w:line="259" w:lineRule="auto"/>
              <w:jc w:val="both"/>
              <w:rPr>
                <w:color w:val="000000"/>
              </w:rPr>
            </w:pPr>
            <w:r w:rsidRPr="00C56257">
              <w:rPr>
                <w:color w:val="000000"/>
              </w:rPr>
              <w:t>slabe (negative)</w:t>
            </w:r>
          </w:p>
        </w:tc>
        <w:tc>
          <w:tcPr>
            <w:tcW w:w="1456" w:type="dxa"/>
            <w:vMerge w:val="restart"/>
            <w:tcBorders>
              <w:top w:val="nil"/>
              <w:left w:val="single" w:sz="4" w:space="0" w:color="auto"/>
              <w:bottom w:val="single" w:sz="4" w:space="0" w:color="auto"/>
              <w:right w:val="single" w:sz="8" w:space="0" w:color="305496"/>
            </w:tcBorders>
            <w:shd w:val="clear" w:color="000000" w:fill="92D050"/>
            <w:hideMark/>
          </w:tcPr>
          <w:p w14:paraId="59946717" w14:textId="77777777" w:rsidR="0007555D" w:rsidRPr="00C56257" w:rsidRDefault="0007555D" w:rsidP="00F100E1">
            <w:pPr>
              <w:spacing w:after="160" w:line="259" w:lineRule="auto"/>
              <w:jc w:val="both"/>
              <w:rPr>
                <w:color w:val="000000"/>
              </w:rPr>
            </w:pPr>
            <w:r w:rsidRPr="00C56257">
              <w:rPr>
                <w:color w:val="000000"/>
              </w:rPr>
              <w:t>bune (foarte</w:t>
            </w:r>
            <w:r w:rsidRPr="00C56257">
              <w:rPr>
                <w:color w:val="000000"/>
              </w:rPr>
              <w:br/>
              <w:t>pozitive)</w:t>
            </w:r>
          </w:p>
        </w:tc>
      </w:tr>
      <w:tr w:rsidR="0007555D" w:rsidRPr="00C56257" w14:paraId="2725701E"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1C758CB5"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64A3ADA7" w14:textId="77777777" w:rsidR="0007555D" w:rsidRPr="00C56257" w:rsidRDefault="0007555D" w:rsidP="00F100E1">
            <w:pPr>
              <w:spacing w:after="160" w:line="259" w:lineRule="auto"/>
              <w:jc w:val="both"/>
              <w:rPr>
                <w:color w:val="000000"/>
              </w:rPr>
            </w:pPr>
          </w:p>
        </w:tc>
        <w:tc>
          <w:tcPr>
            <w:tcW w:w="2089" w:type="dxa"/>
            <w:vMerge/>
            <w:tcBorders>
              <w:top w:val="nil"/>
              <w:left w:val="nil"/>
              <w:bottom w:val="single" w:sz="4" w:space="0" w:color="auto"/>
              <w:right w:val="nil"/>
            </w:tcBorders>
            <w:vAlign w:val="center"/>
            <w:hideMark/>
          </w:tcPr>
          <w:p w14:paraId="7649DED1" w14:textId="77777777" w:rsidR="0007555D" w:rsidRPr="00C56257" w:rsidRDefault="0007555D" w:rsidP="00F100E1">
            <w:pPr>
              <w:spacing w:after="160" w:line="259" w:lineRule="auto"/>
              <w:jc w:val="both"/>
              <w:rPr>
                <w:color w:val="000000"/>
              </w:rPr>
            </w:pPr>
          </w:p>
        </w:tc>
        <w:tc>
          <w:tcPr>
            <w:tcW w:w="1552" w:type="dxa"/>
            <w:vMerge/>
            <w:tcBorders>
              <w:top w:val="nil"/>
              <w:left w:val="single" w:sz="8" w:space="0" w:color="305496"/>
              <w:bottom w:val="single" w:sz="4" w:space="0" w:color="auto"/>
              <w:right w:val="single" w:sz="4" w:space="0" w:color="auto"/>
            </w:tcBorders>
            <w:vAlign w:val="center"/>
            <w:hideMark/>
          </w:tcPr>
          <w:p w14:paraId="0AF6017F" w14:textId="77777777" w:rsidR="0007555D" w:rsidRPr="00C56257" w:rsidRDefault="0007555D" w:rsidP="00F100E1">
            <w:pPr>
              <w:spacing w:after="160" w:line="259" w:lineRule="auto"/>
              <w:jc w:val="both"/>
              <w:rPr>
                <w:color w:val="000000"/>
              </w:rPr>
            </w:pPr>
          </w:p>
        </w:tc>
        <w:tc>
          <w:tcPr>
            <w:tcW w:w="1456" w:type="dxa"/>
            <w:vMerge/>
            <w:tcBorders>
              <w:top w:val="nil"/>
              <w:left w:val="single" w:sz="4" w:space="0" w:color="auto"/>
              <w:bottom w:val="single" w:sz="4" w:space="0" w:color="auto"/>
              <w:right w:val="single" w:sz="8" w:space="0" w:color="305496"/>
            </w:tcBorders>
            <w:vAlign w:val="center"/>
            <w:hideMark/>
          </w:tcPr>
          <w:p w14:paraId="1AA42B7F" w14:textId="77777777" w:rsidR="0007555D" w:rsidRPr="00C56257" w:rsidRDefault="0007555D" w:rsidP="00F100E1">
            <w:pPr>
              <w:spacing w:after="160" w:line="259" w:lineRule="auto"/>
              <w:jc w:val="both"/>
              <w:rPr>
                <w:color w:val="000000"/>
              </w:rPr>
            </w:pPr>
          </w:p>
        </w:tc>
      </w:tr>
      <w:tr w:rsidR="0007555D" w:rsidRPr="00C56257" w14:paraId="723347CB"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624B0597"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732251C3" w14:textId="77777777" w:rsidR="0007555D" w:rsidRPr="00C56257" w:rsidRDefault="0007555D" w:rsidP="00F100E1">
            <w:pPr>
              <w:spacing w:after="160" w:line="259" w:lineRule="auto"/>
              <w:jc w:val="both"/>
              <w:rPr>
                <w:color w:val="000000"/>
              </w:rPr>
            </w:pPr>
          </w:p>
        </w:tc>
        <w:tc>
          <w:tcPr>
            <w:tcW w:w="2089" w:type="dxa"/>
            <w:vMerge w:val="restart"/>
            <w:tcBorders>
              <w:top w:val="nil"/>
              <w:left w:val="nil"/>
              <w:bottom w:val="single" w:sz="4" w:space="0" w:color="auto"/>
              <w:right w:val="nil"/>
            </w:tcBorders>
            <w:shd w:val="clear" w:color="000000" w:fill="A6A6A6"/>
            <w:noWrap/>
            <w:vAlign w:val="center"/>
            <w:hideMark/>
          </w:tcPr>
          <w:p w14:paraId="06A792DD" w14:textId="77777777" w:rsidR="0007555D" w:rsidRPr="00C56257" w:rsidRDefault="0007555D" w:rsidP="00F100E1">
            <w:pPr>
              <w:spacing w:after="160" w:line="259" w:lineRule="auto"/>
              <w:jc w:val="both"/>
              <w:rPr>
                <w:color w:val="000000"/>
              </w:rPr>
            </w:pPr>
            <w:r w:rsidRPr="00C56257">
              <w:rPr>
                <w:color w:val="000000"/>
              </w:rPr>
              <w:t>Necunoscută</w:t>
            </w:r>
          </w:p>
        </w:tc>
        <w:tc>
          <w:tcPr>
            <w:tcW w:w="1552" w:type="dxa"/>
            <w:vMerge w:val="restart"/>
            <w:tcBorders>
              <w:top w:val="nil"/>
              <w:left w:val="single" w:sz="8" w:space="0" w:color="305496"/>
              <w:bottom w:val="single" w:sz="4" w:space="0" w:color="auto"/>
              <w:right w:val="single" w:sz="4" w:space="0" w:color="auto"/>
            </w:tcBorders>
            <w:shd w:val="clear" w:color="000000" w:fill="FFC000"/>
            <w:noWrap/>
            <w:hideMark/>
          </w:tcPr>
          <w:p w14:paraId="65B9E6D9" w14:textId="77777777" w:rsidR="0007555D" w:rsidRPr="00C56257" w:rsidRDefault="0007555D" w:rsidP="00F100E1">
            <w:pPr>
              <w:spacing w:after="160" w:line="259" w:lineRule="auto"/>
              <w:jc w:val="both"/>
              <w:rPr>
                <w:color w:val="000000"/>
              </w:rPr>
            </w:pPr>
            <w:r w:rsidRPr="00C56257">
              <w:rPr>
                <w:color w:val="000000"/>
              </w:rPr>
              <w:t>slabe (negative)</w:t>
            </w:r>
          </w:p>
        </w:tc>
        <w:tc>
          <w:tcPr>
            <w:tcW w:w="1456" w:type="dxa"/>
            <w:vMerge w:val="restart"/>
            <w:tcBorders>
              <w:top w:val="nil"/>
              <w:left w:val="single" w:sz="4" w:space="0" w:color="auto"/>
              <w:bottom w:val="single" w:sz="4" w:space="0" w:color="auto"/>
              <w:right w:val="single" w:sz="8" w:space="0" w:color="305496"/>
            </w:tcBorders>
            <w:shd w:val="clear" w:color="000000" w:fill="92D050"/>
            <w:hideMark/>
          </w:tcPr>
          <w:p w14:paraId="27DA0660" w14:textId="77777777" w:rsidR="0007555D" w:rsidRPr="00C56257" w:rsidRDefault="0007555D" w:rsidP="00F100E1">
            <w:pPr>
              <w:spacing w:after="160" w:line="259" w:lineRule="auto"/>
              <w:jc w:val="both"/>
              <w:rPr>
                <w:color w:val="000000"/>
              </w:rPr>
            </w:pPr>
            <w:r w:rsidRPr="00C56257">
              <w:rPr>
                <w:color w:val="000000"/>
              </w:rPr>
              <w:t>bune (foarte</w:t>
            </w:r>
            <w:r w:rsidRPr="00C56257">
              <w:rPr>
                <w:color w:val="000000"/>
              </w:rPr>
              <w:br/>
              <w:t>pozitive)</w:t>
            </w:r>
          </w:p>
        </w:tc>
      </w:tr>
      <w:tr w:rsidR="0007555D" w:rsidRPr="00C56257" w14:paraId="2F672FEC" w14:textId="77777777" w:rsidTr="0007555D">
        <w:trPr>
          <w:trHeight w:val="458"/>
        </w:trPr>
        <w:tc>
          <w:tcPr>
            <w:tcW w:w="0" w:type="auto"/>
            <w:vMerge/>
            <w:tcBorders>
              <w:top w:val="nil"/>
              <w:left w:val="single" w:sz="8" w:space="0" w:color="305496"/>
              <w:bottom w:val="single" w:sz="4" w:space="0" w:color="auto"/>
              <w:right w:val="single" w:sz="4" w:space="0" w:color="auto"/>
            </w:tcBorders>
            <w:vAlign w:val="center"/>
            <w:hideMark/>
          </w:tcPr>
          <w:p w14:paraId="34563C6B"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4" w:space="0" w:color="auto"/>
              <w:right w:val="single" w:sz="8" w:space="0" w:color="305496"/>
            </w:tcBorders>
            <w:vAlign w:val="center"/>
            <w:hideMark/>
          </w:tcPr>
          <w:p w14:paraId="6B58B082" w14:textId="77777777" w:rsidR="0007555D" w:rsidRPr="00C56257" w:rsidRDefault="0007555D" w:rsidP="00F100E1">
            <w:pPr>
              <w:spacing w:after="160" w:line="259" w:lineRule="auto"/>
              <w:jc w:val="both"/>
              <w:rPr>
                <w:color w:val="000000"/>
              </w:rPr>
            </w:pPr>
          </w:p>
        </w:tc>
        <w:tc>
          <w:tcPr>
            <w:tcW w:w="2089" w:type="dxa"/>
            <w:vMerge/>
            <w:tcBorders>
              <w:top w:val="nil"/>
              <w:left w:val="nil"/>
              <w:bottom w:val="single" w:sz="4" w:space="0" w:color="auto"/>
              <w:right w:val="nil"/>
            </w:tcBorders>
            <w:vAlign w:val="center"/>
            <w:hideMark/>
          </w:tcPr>
          <w:p w14:paraId="44784AAF" w14:textId="77777777" w:rsidR="0007555D" w:rsidRPr="00C56257" w:rsidRDefault="0007555D" w:rsidP="00F100E1">
            <w:pPr>
              <w:spacing w:after="160" w:line="259" w:lineRule="auto"/>
              <w:jc w:val="both"/>
              <w:rPr>
                <w:color w:val="000000"/>
              </w:rPr>
            </w:pPr>
          </w:p>
        </w:tc>
        <w:tc>
          <w:tcPr>
            <w:tcW w:w="1552" w:type="dxa"/>
            <w:vMerge/>
            <w:tcBorders>
              <w:top w:val="nil"/>
              <w:left w:val="single" w:sz="8" w:space="0" w:color="305496"/>
              <w:bottom w:val="single" w:sz="4" w:space="0" w:color="auto"/>
              <w:right w:val="single" w:sz="4" w:space="0" w:color="auto"/>
            </w:tcBorders>
            <w:vAlign w:val="center"/>
            <w:hideMark/>
          </w:tcPr>
          <w:p w14:paraId="55D6054C" w14:textId="77777777" w:rsidR="0007555D" w:rsidRPr="00C56257" w:rsidRDefault="0007555D" w:rsidP="00F100E1">
            <w:pPr>
              <w:spacing w:after="160" w:line="259" w:lineRule="auto"/>
              <w:jc w:val="both"/>
              <w:rPr>
                <w:color w:val="000000"/>
              </w:rPr>
            </w:pPr>
          </w:p>
        </w:tc>
        <w:tc>
          <w:tcPr>
            <w:tcW w:w="1456" w:type="dxa"/>
            <w:vMerge/>
            <w:tcBorders>
              <w:top w:val="nil"/>
              <w:left w:val="single" w:sz="4" w:space="0" w:color="auto"/>
              <w:bottom w:val="single" w:sz="4" w:space="0" w:color="auto"/>
              <w:right w:val="single" w:sz="8" w:space="0" w:color="305496"/>
            </w:tcBorders>
            <w:vAlign w:val="center"/>
            <w:hideMark/>
          </w:tcPr>
          <w:p w14:paraId="0E9619C4" w14:textId="77777777" w:rsidR="0007555D" w:rsidRPr="00C56257" w:rsidRDefault="0007555D" w:rsidP="00F100E1">
            <w:pPr>
              <w:spacing w:after="160" w:line="259" w:lineRule="auto"/>
              <w:jc w:val="both"/>
              <w:rPr>
                <w:color w:val="000000"/>
              </w:rPr>
            </w:pPr>
          </w:p>
        </w:tc>
      </w:tr>
      <w:tr w:rsidR="0007555D" w:rsidRPr="00C56257" w14:paraId="433438CD" w14:textId="77777777" w:rsidTr="0007555D">
        <w:trPr>
          <w:trHeight w:val="458"/>
        </w:trPr>
        <w:tc>
          <w:tcPr>
            <w:tcW w:w="0" w:type="auto"/>
            <w:vMerge w:val="restart"/>
            <w:tcBorders>
              <w:top w:val="nil"/>
              <w:left w:val="single" w:sz="8" w:space="0" w:color="305496"/>
              <w:bottom w:val="single" w:sz="8" w:space="0" w:color="305496"/>
              <w:right w:val="single" w:sz="4" w:space="0" w:color="auto"/>
            </w:tcBorders>
            <w:shd w:val="clear" w:color="auto" w:fill="auto"/>
            <w:hideMark/>
          </w:tcPr>
          <w:p w14:paraId="24A641A9" w14:textId="77777777" w:rsidR="0007555D" w:rsidRPr="00C56257" w:rsidRDefault="0007555D" w:rsidP="00F100E1">
            <w:pPr>
              <w:spacing w:after="160" w:line="259" w:lineRule="auto"/>
              <w:jc w:val="both"/>
              <w:rPr>
                <w:color w:val="000000"/>
              </w:rPr>
            </w:pPr>
            <w:r w:rsidRPr="00C56257">
              <w:rPr>
                <w:color w:val="000000"/>
              </w:rPr>
              <w:t>Amenințări și/sau măsuri necunoascute luate sau interacțiunea nu poate fi prezisă</w:t>
            </w:r>
          </w:p>
        </w:tc>
        <w:tc>
          <w:tcPr>
            <w:tcW w:w="2133" w:type="dxa"/>
            <w:vMerge w:val="restart"/>
            <w:tcBorders>
              <w:top w:val="nil"/>
              <w:left w:val="single" w:sz="4" w:space="0" w:color="auto"/>
              <w:bottom w:val="single" w:sz="8" w:space="0" w:color="305496"/>
              <w:right w:val="single" w:sz="8" w:space="0" w:color="305496"/>
            </w:tcBorders>
            <w:shd w:val="clear" w:color="auto" w:fill="auto"/>
            <w:noWrap/>
            <w:vAlign w:val="center"/>
            <w:hideMark/>
          </w:tcPr>
          <w:p w14:paraId="1931AA77" w14:textId="77777777" w:rsidR="0007555D" w:rsidRPr="00C56257" w:rsidRDefault="0007555D" w:rsidP="00F100E1">
            <w:pPr>
              <w:spacing w:after="160" w:line="259" w:lineRule="auto"/>
              <w:jc w:val="both"/>
              <w:rPr>
                <w:color w:val="000000"/>
              </w:rPr>
            </w:pPr>
            <w:r w:rsidRPr="00C56257">
              <w:rPr>
                <w:color w:val="000000"/>
              </w:rPr>
              <w:t>necunoscută</w:t>
            </w:r>
          </w:p>
        </w:tc>
        <w:tc>
          <w:tcPr>
            <w:tcW w:w="2089" w:type="dxa"/>
            <w:vMerge w:val="restart"/>
            <w:tcBorders>
              <w:top w:val="nil"/>
              <w:left w:val="nil"/>
              <w:bottom w:val="single" w:sz="4" w:space="0" w:color="auto"/>
              <w:right w:val="nil"/>
            </w:tcBorders>
            <w:shd w:val="clear" w:color="000000" w:fill="92D050"/>
            <w:noWrap/>
            <w:vAlign w:val="center"/>
            <w:hideMark/>
          </w:tcPr>
          <w:p w14:paraId="2165684E" w14:textId="77777777" w:rsidR="0007555D" w:rsidRPr="00C56257" w:rsidRDefault="0007555D" w:rsidP="00F100E1">
            <w:pPr>
              <w:spacing w:after="160" w:line="259" w:lineRule="auto"/>
              <w:jc w:val="both"/>
              <w:rPr>
                <w:color w:val="000000"/>
              </w:rPr>
            </w:pPr>
            <w:r w:rsidRPr="00C56257">
              <w:rPr>
                <w:color w:val="000000"/>
              </w:rPr>
              <w:t>Favorabilă</w:t>
            </w:r>
          </w:p>
        </w:tc>
        <w:tc>
          <w:tcPr>
            <w:tcW w:w="3008" w:type="dxa"/>
            <w:gridSpan w:val="2"/>
            <w:vMerge w:val="restart"/>
            <w:tcBorders>
              <w:top w:val="single" w:sz="4" w:space="0" w:color="auto"/>
              <w:left w:val="single" w:sz="8" w:space="0" w:color="305496"/>
              <w:bottom w:val="single" w:sz="8" w:space="0" w:color="305496"/>
              <w:right w:val="single" w:sz="8" w:space="0" w:color="305496"/>
            </w:tcBorders>
            <w:shd w:val="clear" w:color="000000" w:fill="A6A6A6"/>
            <w:noWrap/>
            <w:hideMark/>
          </w:tcPr>
          <w:p w14:paraId="4A5F4057" w14:textId="77777777" w:rsidR="0007555D" w:rsidRPr="00C56257" w:rsidRDefault="0007555D" w:rsidP="00F100E1">
            <w:pPr>
              <w:spacing w:after="160" w:line="259" w:lineRule="auto"/>
              <w:jc w:val="both"/>
              <w:rPr>
                <w:color w:val="000000"/>
              </w:rPr>
            </w:pPr>
            <w:r w:rsidRPr="00C56257">
              <w:rPr>
                <w:color w:val="000000"/>
              </w:rPr>
              <w:t>necunoscute</w:t>
            </w:r>
          </w:p>
        </w:tc>
      </w:tr>
      <w:tr w:rsidR="0007555D" w:rsidRPr="00C56257" w14:paraId="01FCF9E2" w14:textId="77777777" w:rsidTr="0007555D">
        <w:trPr>
          <w:trHeight w:val="458"/>
        </w:trPr>
        <w:tc>
          <w:tcPr>
            <w:tcW w:w="0" w:type="auto"/>
            <w:vMerge/>
            <w:tcBorders>
              <w:top w:val="nil"/>
              <w:left w:val="single" w:sz="8" w:space="0" w:color="305496"/>
              <w:bottom w:val="single" w:sz="8" w:space="0" w:color="305496"/>
              <w:right w:val="single" w:sz="4" w:space="0" w:color="auto"/>
            </w:tcBorders>
            <w:vAlign w:val="center"/>
            <w:hideMark/>
          </w:tcPr>
          <w:p w14:paraId="4573D93A"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8" w:space="0" w:color="305496"/>
              <w:right w:val="single" w:sz="8" w:space="0" w:color="305496"/>
            </w:tcBorders>
            <w:vAlign w:val="center"/>
            <w:hideMark/>
          </w:tcPr>
          <w:p w14:paraId="08616E39" w14:textId="77777777" w:rsidR="0007555D" w:rsidRPr="00C56257" w:rsidRDefault="0007555D" w:rsidP="00F100E1">
            <w:pPr>
              <w:spacing w:after="160" w:line="259" w:lineRule="auto"/>
              <w:jc w:val="both"/>
              <w:rPr>
                <w:color w:val="000000"/>
              </w:rPr>
            </w:pPr>
          </w:p>
        </w:tc>
        <w:tc>
          <w:tcPr>
            <w:tcW w:w="2089" w:type="dxa"/>
            <w:vMerge/>
            <w:tcBorders>
              <w:top w:val="nil"/>
              <w:left w:val="nil"/>
              <w:bottom w:val="single" w:sz="4" w:space="0" w:color="auto"/>
              <w:right w:val="nil"/>
            </w:tcBorders>
            <w:vAlign w:val="center"/>
            <w:hideMark/>
          </w:tcPr>
          <w:p w14:paraId="1CCE469E" w14:textId="77777777" w:rsidR="0007555D" w:rsidRPr="00C56257" w:rsidRDefault="0007555D" w:rsidP="00F100E1">
            <w:pPr>
              <w:spacing w:after="160" w:line="259" w:lineRule="auto"/>
              <w:jc w:val="both"/>
              <w:rPr>
                <w:color w:val="000000"/>
              </w:rPr>
            </w:pPr>
          </w:p>
        </w:tc>
        <w:tc>
          <w:tcPr>
            <w:tcW w:w="3008" w:type="dxa"/>
            <w:gridSpan w:val="2"/>
            <w:vMerge/>
            <w:tcBorders>
              <w:top w:val="single" w:sz="4" w:space="0" w:color="auto"/>
              <w:left w:val="single" w:sz="8" w:space="0" w:color="305496"/>
              <w:bottom w:val="single" w:sz="8" w:space="0" w:color="305496"/>
              <w:right w:val="single" w:sz="8" w:space="0" w:color="305496"/>
            </w:tcBorders>
            <w:vAlign w:val="center"/>
            <w:hideMark/>
          </w:tcPr>
          <w:p w14:paraId="3077E0EF" w14:textId="77777777" w:rsidR="0007555D" w:rsidRPr="00C56257" w:rsidRDefault="0007555D" w:rsidP="00F100E1">
            <w:pPr>
              <w:spacing w:after="160" w:line="259" w:lineRule="auto"/>
              <w:jc w:val="both"/>
              <w:rPr>
                <w:color w:val="000000"/>
              </w:rPr>
            </w:pPr>
          </w:p>
        </w:tc>
      </w:tr>
      <w:tr w:rsidR="0007555D" w:rsidRPr="00C56257" w14:paraId="56F8FDB9" w14:textId="77777777" w:rsidTr="0007555D">
        <w:trPr>
          <w:trHeight w:val="458"/>
        </w:trPr>
        <w:tc>
          <w:tcPr>
            <w:tcW w:w="0" w:type="auto"/>
            <w:vMerge/>
            <w:tcBorders>
              <w:top w:val="nil"/>
              <w:left w:val="single" w:sz="8" w:space="0" w:color="305496"/>
              <w:bottom w:val="single" w:sz="8" w:space="0" w:color="305496"/>
              <w:right w:val="single" w:sz="4" w:space="0" w:color="auto"/>
            </w:tcBorders>
            <w:vAlign w:val="center"/>
            <w:hideMark/>
          </w:tcPr>
          <w:p w14:paraId="610B0A66"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8" w:space="0" w:color="305496"/>
              <w:right w:val="single" w:sz="8" w:space="0" w:color="305496"/>
            </w:tcBorders>
            <w:vAlign w:val="center"/>
            <w:hideMark/>
          </w:tcPr>
          <w:p w14:paraId="7F9AC6D7" w14:textId="77777777" w:rsidR="0007555D" w:rsidRPr="00C56257" w:rsidRDefault="0007555D" w:rsidP="00F100E1">
            <w:pPr>
              <w:spacing w:after="160" w:line="259" w:lineRule="auto"/>
              <w:jc w:val="both"/>
              <w:rPr>
                <w:color w:val="000000"/>
              </w:rPr>
            </w:pPr>
          </w:p>
        </w:tc>
        <w:tc>
          <w:tcPr>
            <w:tcW w:w="2089" w:type="dxa"/>
            <w:vMerge w:val="restart"/>
            <w:tcBorders>
              <w:top w:val="nil"/>
              <w:left w:val="nil"/>
              <w:bottom w:val="single" w:sz="4" w:space="0" w:color="auto"/>
              <w:right w:val="nil"/>
            </w:tcBorders>
            <w:shd w:val="clear" w:color="000000" w:fill="FFC000"/>
            <w:vAlign w:val="center"/>
            <w:hideMark/>
          </w:tcPr>
          <w:p w14:paraId="6FCB2A80" w14:textId="77777777" w:rsidR="0007555D" w:rsidRPr="00C56257" w:rsidRDefault="0007555D" w:rsidP="00F100E1">
            <w:pPr>
              <w:spacing w:after="160" w:line="259" w:lineRule="auto"/>
              <w:jc w:val="both"/>
              <w:rPr>
                <w:color w:val="000000"/>
              </w:rPr>
            </w:pPr>
            <w:r w:rsidRPr="00C56257">
              <w:rPr>
                <w:color w:val="000000"/>
              </w:rPr>
              <w:t>Nefavorabilă</w:t>
            </w:r>
            <w:r w:rsidRPr="00C56257">
              <w:rPr>
                <w:color w:val="000000"/>
              </w:rPr>
              <w:br/>
              <w:t>inadecvată</w:t>
            </w:r>
          </w:p>
        </w:tc>
        <w:tc>
          <w:tcPr>
            <w:tcW w:w="3008" w:type="dxa"/>
            <w:gridSpan w:val="2"/>
            <w:vMerge/>
            <w:tcBorders>
              <w:top w:val="nil"/>
              <w:left w:val="nil"/>
              <w:bottom w:val="single" w:sz="4" w:space="0" w:color="auto"/>
              <w:right w:val="nil"/>
            </w:tcBorders>
            <w:vAlign w:val="center"/>
            <w:hideMark/>
          </w:tcPr>
          <w:p w14:paraId="602A6F34" w14:textId="77777777" w:rsidR="0007555D" w:rsidRPr="00C56257" w:rsidRDefault="0007555D" w:rsidP="00F100E1">
            <w:pPr>
              <w:spacing w:after="160" w:line="259" w:lineRule="auto"/>
              <w:jc w:val="both"/>
              <w:rPr>
                <w:color w:val="000000"/>
              </w:rPr>
            </w:pPr>
          </w:p>
        </w:tc>
      </w:tr>
      <w:tr w:rsidR="0007555D" w:rsidRPr="00C56257" w14:paraId="33D589A4" w14:textId="77777777" w:rsidTr="0007555D">
        <w:trPr>
          <w:trHeight w:val="458"/>
        </w:trPr>
        <w:tc>
          <w:tcPr>
            <w:tcW w:w="0" w:type="auto"/>
            <w:vMerge/>
            <w:tcBorders>
              <w:top w:val="nil"/>
              <w:left w:val="single" w:sz="8" w:space="0" w:color="305496"/>
              <w:bottom w:val="single" w:sz="8" w:space="0" w:color="305496"/>
              <w:right w:val="single" w:sz="4" w:space="0" w:color="auto"/>
            </w:tcBorders>
            <w:vAlign w:val="center"/>
            <w:hideMark/>
          </w:tcPr>
          <w:p w14:paraId="292A8843"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8" w:space="0" w:color="305496"/>
              <w:right w:val="single" w:sz="8" w:space="0" w:color="305496"/>
            </w:tcBorders>
            <w:vAlign w:val="center"/>
            <w:hideMark/>
          </w:tcPr>
          <w:p w14:paraId="5FBA34F3" w14:textId="77777777" w:rsidR="0007555D" w:rsidRPr="00C56257" w:rsidRDefault="0007555D" w:rsidP="00F100E1">
            <w:pPr>
              <w:spacing w:after="160" w:line="259" w:lineRule="auto"/>
              <w:jc w:val="both"/>
              <w:rPr>
                <w:color w:val="000000"/>
              </w:rPr>
            </w:pPr>
          </w:p>
        </w:tc>
        <w:tc>
          <w:tcPr>
            <w:tcW w:w="2089" w:type="dxa"/>
            <w:vMerge/>
            <w:tcBorders>
              <w:top w:val="nil"/>
              <w:left w:val="nil"/>
              <w:bottom w:val="single" w:sz="4" w:space="0" w:color="auto"/>
              <w:right w:val="nil"/>
            </w:tcBorders>
            <w:vAlign w:val="center"/>
            <w:hideMark/>
          </w:tcPr>
          <w:p w14:paraId="058E3A7A" w14:textId="77777777" w:rsidR="0007555D" w:rsidRPr="00C56257" w:rsidRDefault="0007555D" w:rsidP="00F100E1">
            <w:pPr>
              <w:spacing w:after="160" w:line="259" w:lineRule="auto"/>
              <w:jc w:val="both"/>
              <w:rPr>
                <w:color w:val="000000"/>
              </w:rPr>
            </w:pPr>
          </w:p>
        </w:tc>
        <w:tc>
          <w:tcPr>
            <w:tcW w:w="3008" w:type="dxa"/>
            <w:gridSpan w:val="2"/>
            <w:vMerge/>
            <w:tcBorders>
              <w:top w:val="nil"/>
              <w:left w:val="nil"/>
              <w:bottom w:val="single" w:sz="4" w:space="0" w:color="auto"/>
              <w:right w:val="nil"/>
            </w:tcBorders>
            <w:vAlign w:val="center"/>
            <w:hideMark/>
          </w:tcPr>
          <w:p w14:paraId="3C6618E3" w14:textId="77777777" w:rsidR="0007555D" w:rsidRPr="00C56257" w:rsidRDefault="0007555D" w:rsidP="00F100E1">
            <w:pPr>
              <w:spacing w:after="160" w:line="259" w:lineRule="auto"/>
              <w:jc w:val="both"/>
              <w:rPr>
                <w:color w:val="000000"/>
              </w:rPr>
            </w:pPr>
          </w:p>
        </w:tc>
      </w:tr>
      <w:tr w:rsidR="0007555D" w:rsidRPr="00C56257" w14:paraId="5FFB3807" w14:textId="77777777" w:rsidTr="0007555D">
        <w:trPr>
          <w:trHeight w:val="458"/>
        </w:trPr>
        <w:tc>
          <w:tcPr>
            <w:tcW w:w="0" w:type="auto"/>
            <w:vMerge/>
            <w:tcBorders>
              <w:top w:val="nil"/>
              <w:left w:val="single" w:sz="8" w:space="0" w:color="305496"/>
              <w:bottom w:val="single" w:sz="8" w:space="0" w:color="305496"/>
              <w:right w:val="single" w:sz="4" w:space="0" w:color="auto"/>
            </w:tcBorders>
            <w:vAlign w:val="center"/>
            <w:hideMark/>
          </w:tcPr>
          <w:p w14:paraId="220E35DE"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8" w:space="0" w:color="305496"/>
              <w:right w:val="single" w:sz="8" w:space="0" w:color="305496"/>
            </w:tcBorders>
            <w:vAlign w:val="center"/>
            <w:hideMark/>
          </w:tcPr>
          <w:p w14:paraId="16353E99" w14:textId="77777777" w:rsidR="0007555D" w:rsidRPr="00C56257" w:rsidRDefault="0007555D" w:rsidP="00F100E1">
            <w:pPr>
              <w:spacing w:after="160" w:line="259" w:lineRule="auto"/>
              <w:jc w:val="both"/>
              <w:rPr>
                <w:color w:val="000000"/>
              </w:rPr>
            </w:pPr>
          </w:p>
        </w:tc>
        <w:tc>
          <w:tcPr>
            <w:tcW w:w="2089" w:type="dxa"/>
            <w:vMerge w:val="restart"/>
            <w:tcBorders>
              <w:top w:val="nil"/>
              <w:left w:val="nil"/>
              <w:bottom w:val="single" w:sz="4" w:space="0" w:color="auto"/>
              <w:right w:val="nil"/>
            </w:tcBorders>
            <w:shd w:val="clear" w:color="000000" w:fill="FF0000"/>
            <w:vAlign w:val="center"/>
            <w:hideMark/>
          </w:tcPr>
          <w:p w14:paraId="13AF28DC" w14:textId="77777777" w:rsidR="0007555D" w:rsidRPr="00C56257" w:rsidRDefault="0007555D" w:rsidP="00F100E1">
            <w:pPr>
              <w:spacing w:after="160" w:line="259" w:lineRule="auto"/>
              <w:jc w:val="both"/>
              <w:rPr>
                <w:color w:val="000000"/>
              </w:rPr>
            </w:pPr>
            <w:r w:rsidRPr="00C56257">
              <w:rPr>
                <w:color w:val="000000"/>
              </w:rPr>
              <w:t>Nefavorabilă</w:t>
            </w:r>
            <w:r w:rsidRPr="00C56257">
              <w:rPr>
                <w:color w:val="000000"/>
              </w:rPr>
              <w:br/>
              <w:t>rea</w:t>
            </w:r>
          </w:p>
        </w:tc>
        <w:tc>
          <w:tcPr>
            <w:tcW w:w="3008" w:type="dxa"/>
            <w:gridSpan w:val="2"/>
            <w:vMerge/>
            <w:tcBorders>
              <w:top w:val="nil"/>
              <w:left w:val="nil"/>
              <w:bottom w:val="single" w:sz="4" w:space="0" w:color="auto"/>
              <w:right w:val="nil"/>
            </w:tcBorders>
            <w:vAlign w:val="center"/>
            <w:hideMark/>
          </w:tcPr>
          <w:p w14:paraId="41BF3904" w14:textId="77777777" w:rsidR="0007555D" w:rsidRPr="00C56257" w:rsidRDefault="0007555D" w:rsidP="00F100E1">
            <w:pPr>
              <w:spacing w:after="160" w:line="259" w:lineRule="auto"/>
              <w:jc w:val="both"/>
              <w:rPr>
                <w:color w:val="000000"/>
              </w:rPr>
            </w:pPr>
          </w:p>
        </w:tc>
      </w:tr>
      <w:tr w:rsidR="0007555D" w:rsidRPr="00C56257" w14:paraId="7C5438CA" w14:textId="77777777" w:rsidTr="0007555D">
        <w:trPr>
          <w:trHeight w:val="458"/>
        </w:trPr>
        <w:tc>
          <w:tcPr>
            <w:tcW w:w="0" w:type="auto"/>
            <w:vMerge/>
            <w:tcBorders>
              <w:top w:val="nil"/>
              <w:left w:val="single" w:sz="8" w:space="0" w:color="305496"/>
              <w:bottom w:val="single" w:sz="8" w:space="0" w:color="305496"/>
              <w:right w:val="single" w:sz="4" w:space="0" w:color="auto"/>
            </w:tcBorders>
            <w:vAlign w:val="center"/>
            <w:hideMark/>
          </w:tcPr>
          <w:p w14:paraId="43A13BC2"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8" w:space="0" w:color="305496"/>
              <w:right w:val="single" w:sz="8" w:space="0" w:color="305496"/>
            </w:tcBorders>
            <w:vAlign w:val="center"/>
            <w:hideMark/>
          </w:tcPr>
          <w:p w14:paraId="1B7E6BCD" w14:textId="77777777" w:rsidR="0007555D" w:rsidRPr="00C56257" w:rsidRDefault="0007555D" w:rsidP="00F100E1">
            <w:pPr>
              <w:spacing w:after="160" w:line="259" w:lineRule="auto"/>
              <w:jc w:val="both"/>
              <w:rPr>
                <w:color w:val="000000"/>
              </w:rPr>
            </w:pPr>
          </w:p>
        </w:tc>
        <w:tc>
          <w:tcPr>
            <w:tcW w:w="2089" w:type="dxa"/>
            <w:vMerge/>
            <w:tcBorders>
              <w:top w:val="nil"/>
              <w:left w:val="nil"/>
              <w:bottom w:val="single" w:sz="4" w:space="0" w:color="auto"/>
              <w:right w:val="nil"/>
            </w:tcBorders>
            <w:vAlign w:val="center"/>
            <w:hideMark/>
          </w:tcPr>
          <w:p w14:paraId="5BFA67A5" w14:textId="77777777" w:rsidR="0007555D" w:rsidRPr="00C56257" w:rsidRDefault="0007555D" w:rsidP="00F100E1">
            <w:pPr>
              <w:spacing w:after="160" w:line="259" w:lineRule="auto"/>
              <w:jc w:val="both"/>
              <w:rPr>
                <w:color w:val="000000"/>
              </w:rPr>
            </w:pPr>
          </w:p>
        </w:tc>
        <w:tc>
          <w:tcPr>
            <w:tcW w:w="3008" w:type="dxa"/>
            <w:gridSpan w:val="2"/>
            <w:vMerge/>
            <w:tcBorders>
              <w:top w:val="nil"/>
              <w:left w:val="nil"/>
              <w:bottom w:val="single" w:sz="4" w:space="0" w:color="auto"/>
              <w:right w:val="nil"/>
            </w:tcBorders>
            <w:vAlign w:val="center"/>
            <w:hideMark/>
          </w:tcPr>
          <w:p w14:paraId="30670C6B" w14:textId="77777777" w:rsidR="0007555D" w:rsidRPr="00C56257" w:rsidRDefault="0007555D" w:rsidP="00F100E1">
            <w:pPr>
              <w:spacing w:after="160" w:line="259" w:lineRule="auto"/>
              <w:jc w:val="both"/>
              <w:rPr>
                <w:color w:val="000000"/>
              </w:rPr>
            </w:pPr>
          </w:p>
        </w:tc>
      </w:tr>
      <w:tr w:rsidR="0007555D" w:rsidRPr="00C56257" w14:paraId="56DF15D5" w14:textId="77777777" w:rsidTr="0007555D">
        <w:trPr>
          <w:trHeight w:val="458"/>
        </w:trPr>
        <w:tc>
          <w:tcPr>
            <w:tcW w:w="0" w:type="auto"/>
            <w:vMerge/>
            <w:tcBorders>
              <w:top w:val="nil"/>
              <w:left w:val="single" w:sz="8" w:space="0" w:color="305496"/>
              <w:bottom w:val="single" w:sz="8" w:space="0" w:color="305496"/>
              <w:right w:val="single" w:sz="4" w:space="0" w:color="auto"/>
            </w:tcBorders>
            <w:vAlign w:val="center"/>
            <w:hideMark/>
          </w:tcPr>
          <w:p w14:paraId="46138801"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8" w:space="0" w:color="305496"/>
              <w:right w:val="single" w:sz="8" w:space="0" w:color="305496"/>
            </w:tcBorders>
            <w:vAlign w:val="center"/>
            <w:hideMark/>
          </w:tcPr>
          <w:p w14:paraId="76557A7B" w14:textId="77777777" w:rsidR="0007555D" w:rsidRPr="00C56257" w:rsidRDefault="0007555D" w:rsidP="00F100E1">
            <w:pPr>
              <w:spacing w:after="160" w:line="259" w:lineRule="auto"/>
              <w:jc w:val="both"/>
              <w:rPr>
                <w:color w:val="000000"/>
              </w:rPr>
            </w:pPr>
          </w:p>
        </w:tc>
        <w:tc>
          <w:tcPr>
            <w:tcW w:w="2089" w:type="dxa"/>
            <w:vMerge w:val="restart"/>
            <w:tcBorders>
              <w:top w:val="nil"/>
              <w:left w:val="nil"/>
              <w:bottom w:val="single" w:sz="4" w:space="0" w:color="auto"/>
              <w:right w:val="nil"/>
            </w:tcBorders>
            <w:shd w:val="clear" w:color="000000" w:fill="A6A6A6"/>
            <w:noWrap/>
            <w:vAlign w:val="center"/>
            <w:hideMark/>
          </w:tcPr>
          <w:p w14:paraId="4848C502" w14:textId="77777777" w:rsidR="0007555D" w:rsidRPr="00C56257" w:rsidRDefault="0007555D" w:rsidP="00F100E1">
            <w:pPr>
              <w:spacing w:after="160" w:line="259" w:lineRule="auto"/>
              <w:jc w:val="both"/>
              <w:rPr>
                <w:color w:val="000000"/>
              </w:rPr>
            </w:pPr>
            <w:r w:rsidRPr="00C56257">
              <w:rPr>
                <w:color w:val="000000"/>
              </w:rPr>
              <w:t>Necunoscută</w:t>
            </w:r>
          </w:p>
        </w:tc>
        <w:tc>
          <w:tcPr>
            <w:tcW w:w="3008" w:type="dxa"/>
            <w:gridSpan w:val="2"/>
            <w:vMerge/>
            <w:tcBorders>
              <w:top w:val="nil"/>
              <w:left w:val="nil"/>
              <w:bottom w:val="single" w:sz="4" w:space="0" w:color="auto"/>
              <w:right w:val="nil"/>
            </w:tcBorders>
            <w:vAlign w:val="center"/>
            <w:hideMark/>
          </w:tcPr>
          <w:p w14:paraId="2ABAAF2D" w14:textId="77777777" w:rsidR="0007555D" w:rsidRPr="00C56257" w:rsidRDefault="0007555D" w:rsidP="00F100E1">
            <w:pPr>
              <w:spacing w:after="160" w:line="259" w:lineRule="auto"/>
              <w:jc w:val="both"/>
              <w:rPr>
                <w:color w:val="000000"/>
              </w:rPr>
            </w:pPr>
          </w:p>
        </w:tc>
      </w:tr>
      <w:tr w:rsidR="0007555D" w:rsidRPr="00C56257" w14:paraId="1E75B41C" w14:textId="77777777" w:rsidTr="0007555D">
        <w:trPr>
          <w:trHeight w:val="458"/>
        </w:trPr>
        <w:tc>
          <w:tcPr>
            <w:tcW w:w="0" w:type="auto"/>
            <w:vMerge/>
            <w:tcBorders>
              <w:top w:val="nil"/>
              <w:left w:val="single" w:sz="8" w:space="0" w:color="305496"/>
              <w:bottom w:val="single" w:sz="8" w:space="0" w:color="305496"/>
              <w:right w:val="single" w:sz="4" w:space="0" w:color="auto"/>
            </w:tcBorders>
            <w:vAlign w:val="center"/>
            <w:hideMark/>
          </w:tcPr>
          <w:p w14:paraId="475566F8" w14:textId="77777777" w:rsidR="0007555D" w:rsidRPr="00C56257" w:rsidRDefault="0007555D" w:rsidP="00F100E1">
            <w:pPr>
              <w:spacing w:after="160" w:line="259" w:lineRule="auto"/>
              <w:jc w:val="both"/>
              <w:rPr>
                <w:color w:val="000000"/>
              </w:rPr>
            </w:pPr>
          </w:p>
        </w:tc>
        <w:tc>
          <w:tcPr>
            <w:tcW w:w="2133" w:type="dxa"/>
            <w:vMerge/>
            <w:tcBorders>
              <w:top w:val="nil"/>
              <w:left w:val="single" w:sz="4" w:space="0" w:color="auto"/>
              <w:bottom w:val="single" w:sz="8" w:space="0" w:color="305496"/>
              <w:right w:val="single" w:sz="8" w:space="0" w:color="305496"/>
            </w:tcBorders>
            <w:vAlign w:val="center"/>
            <w:hideMark/>
          </w:tcPr>
          <w:p w14:paraId="325C02B9" w14:textId="77777777" w:rsidR="0007555D" w:rsidRPr="00C56257" w:rsidRDefault="0007555D" w:rsidP="00F100E1">
            <w:pPr>
              <w:spacing w:after="160" w:line="259" w:lineRule="auto"/>
              <w:jc w:val="both"/>
              <w:rPr>
                <w:color w:val="000000"/>
              </w:rPr>
            </w:pPr>
          </w:p>
        </w:tc>
        <w:tc>
          <w:tcPr>
            <w:tcW w:w="2089" w:type="dxa"/>
            <w:vMerge/>
            <w:tcBorders>
              <w:top w:val="nil"/>
              <w:left w:val="nil"/>
              <w:bottom w:val="single" w:sz="4" w:space="0" w:color="auto"/>
              <w:right w:val="nil"/>
            </w:tcBorders>
            <w:vAlign w:val="center"/>
            <w:hideMark/>
          </w:tcPr>
          <w:p w14:paraId="0EE149C1" w14:textId="77777777" w:rsidR="0007555D" w:rsidRPr="00C56257" w:rsidRDefault="0007555D" w:rsidP="00F100E1">
            <w:pPr>
              <w:spacing w:after="160" w:line="259" w:lineRule="auto"/>
              <w:jc w:val="both"/>
              <w:rPr>
                <w:color w:val="000000"/>
              </w:rPr>
            </w:pPr>
          </w:p>
        </w:tc>
        <w:tc>
          <w:tcPr>
            <w:tcW w:w="3008" w:type="dxa"/>
            <w:gridSpan w:val="2"/>
            <w:vMerge/>
            <w:tcBorders>
              <w:top w:val="nil"/>
              <w:left w:val="nil"/>
              <w:bottom w:val="single" w:sz="4" w:space="0" w:color="auto"/>
              <w:right w:val="nil"/>
            </w:tcBorders>
            <w:vAlign w:val="center"/>
            <w:hideMark/>
          </w:tcPr>
          <w:p w14:paraId="73D71CB8" w14:textId="77777777" w:rsidR="0007555D" w:rsidRPr="00C56257" w:rsidRDefault="0007555D" w:rsidP="00F100E1">
            <w:pPr>
              <w:spacing w:after="160" w:line="259" w:lineRule="auto"/>
              <w:jc w:val="both"/>
              <w:rPr>
                <w:color w:val="000000"/>
              </w:rPr>
            </w:pPr>
          </w:p>
        </w:tc>
      </w:tr>
    </w:tbl>
    <w:p w14:paraId="248B53FD" w14:textId="77777777" w:rsidR="0007555D" w:rsidRPr="00C56257" w:rsidRDefault="0007555D" w:rsidP="00F100E1">
      <w:pPr>
        <w:spacing w:after="160" w:line="259" w:lineRule="auto"/>
        <w:jc w:val="both"/>
        <w:rPr>
          <w:b/>
          <w:color w:val="000000"/>
        </w:rPr>
      </w:pPr>
    </w:p>
    <w:p w14:paraId="1021E522" w14:textId="77777777" w:rsidR="0007555D" w:rsidRPr="00C56257" w:rsidRDefault="0007555D" w:rsidP="00F100E1">
      <w:pPr>
        <w:spacing w:after="160" w:line="259" w:lineRule="auto"/>
        <w:jc w:val="both"/>
        <w:rPr>
          <w:color w:val="000000"/>
        </w:rPr>
      </w:pPr>
      <w:r w:rsidRPr="00C56257">
        <w:rPr>
          <w:b/>
          <w:color w:val="000000"/>
        </w:rPr>
        <w:t xml:space="preserve">Evaluarea tendințelor pe termen scurt și pe termen lung. </w:t>
      </w:r>
      <w:r w:rsidRPr="00C56257">
        <w:rPr>
          <w:color w:val="000000"/>
        </w:rPr>
        <w:t xml:space="preserve">Tendințele sunt o parte esențială a evaluării tuturor parametrilor necesari determinării stării de conservare a unui habitat, cu excepția „Perspectivelor” (Areal, Suprafață, Structură și funcții) și reprezentă o manifestare direcțională a unui parametru în timp, putând fi apreciată ca fiind: </w:t>
      </w:r>
      <w:r w:rsidRPr="00C56257">
        <w:rPr>
          <w:i/>
          <w:iCs/>
          <w:color w:val="000000"/>
        </w:rPr>
        <w:t>stabilă/ în creștere/ în descreștere/ incertă/ necunoscută</w:t>
      </w:r>
    </w:p>
    <w:p w14:paraId="7F60031E" w14:textId="77777777" w:rsidR="0007555D" w:rsidRPr="00C56257" w:rsidRDefault="0007555D" w:rsidP="008E33FD">
      <w:pPr>
        <w:spacing w:after="160" w:line="259" w:lineRule="auto"/>
        <w:jc w:val="both"/>
        <w:rPr>
          <w:b/>
          <w:color w:val="000000"/>
        </w:rPr>
      </w:pPr>
      <w:r w:rsidRPr="00C56257">
        <w:rPr>
          <w:color w:val="000000"/>
        </w:rPr>
        <w:t>În funcție de perioada pentru care se evaluează tendințele, acestea pot fi pe termen scurt și pe termen lung, conform celor prezentate în Tabelul 4.</w:t>
      </w:r>
    </w:p>
    <w:p w14:paraId="216497D4" w14:textId="77777777" w:rsidR="0007555D" w:rsidRPr="00C56257" w:rsidRDefault="0007555D" w:rsidP="00F100E1">
      <w:pPr>
        <w:spacing w:after="160" w:line="259" w:lineRule="auto"/>
        <w:jc w:val="both"/>
        <w:rPr>
          <w:bCs/>
          <w:color w:val="000000"/>
        </w:rPr>
      </w:pPr>
      <w:r w:rsidRPr="00C56257">
        <w:rPr>
          <w:bCs/>
          <w:color w:val="000000"/>
        </w:rPr>
        <w:t>Tabelul 4. Perioadele de evaluare a tendințelor</w:t>
      </w:r>
    </w:p>
    <w:tbl>
      <w:tblPr>
        <w:tblW w:w="0" w:type="auto"/>
        <w:tblLook w:val="04A0" w:firstRow="1" w:lastRow="0" w:firstColumn="1" w:lastColumn="0" w:noHBand="0" w:noVBand="1"/>
      </w:tblPr>
      <w:tblGrid>
        <w:gridCol w:w="1656"/>
        <w:gridCol w:w="8518"/>
      </w:tblGrid>
      <w:tr w:rsidR="0007555D" w:rsidRPr="00C56257" w14:paraId="2A3E828E" w14:textId="77777777" w:rsidTr="0007555D">
        <w:trPr>
          <w:trHeight w:val="300"/>
        </w:trPr>
        <w:tc>
          <w:tcPr>
            <w:tcW w:w="0" w:type="auto"/>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2B21524B" w14:textId="77777777" w:rsidR="0007555D" w:rsidRPr="00C56257" w:rsidRDefault="0007555D" w:rsidP="00F100E1">
            <w:pPr>
              <w:spacing w:after="160" w:line="259" w:lineRule="auto"/>
              <w:jc w:val="both"/>
              <w:rPr>
                <w:color w:val="000000"/>
              </w:rPr>
            </w:pPr>
            <w:r w:rsidRPr="00C56257">
              <w:rPr>
                <w:color w:val="000000"/>
              </w:rPr>
              <w:t>Tendința</w:t>
            </w:r>
          </w:p>
        </w:tc>
        <w:tc>
          <w:tcPr>
            <w:tcW w:w="0" w:type="auto"/>
            <w:tcBorders>
              <w:top w:val="single" w:sz="4" w:space="0" w:color="auto"/>
              <w:left w:val="nil"/>
              <w:bottom w:val="single" w:sz="4" w:space="0" w:color="auto"/>
              <w:right w:val="single" w:sz="4" w:space="0" w:color="auto"/>
            </w:tcBorders>
            <w:shd w:val="clear" w:color="auto" w:fill="92D050"/>
            <w:noWrap/>
            <w:vAlign w:val="bottom"/>
            <w:hideMark/>
          </w:tcPr>
          <w:p w14:paraId="385EDC84" w14:textId="77777777" w:rsidR="0007555D" w:rsidRPr="00C56257" w:rsidRDefault="0007555D" w:rsidP="00F100E1">
            <w:pPr>
              <w:spacing w:after="160" w:line="259" w:lineRule="auto"/>
              <w:jc w:val="both"/>
              <w:rPr>
                <w:color w:val="000000"/>
              </w:rPr>
            </w:pPr>
            <w:r w:rsidRPr="00C56257">
              <w:rPr>
                <w:color w:val="000000"/>
              </w:rPr>
              <w:t>Perioada de evaluare a tendinței</w:t>
            </w:r>
          </w:p>
        </w:tc>
      </w:tr>
      <w:tr w:rsidR="0007555D" w:rsidRPr="00C56257" w14:paraId="7BC69A26" w14:textId="77777777" w:rsidTr="0007555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B2349D1" w14:textId="77777777" w:rsidR="0007555D" w:rsidRPr="00C56257" w:rsidRDefault="0007555D" w:rsidP="00F100E1">
            <w:pPr>
              <w:spacing w:after="160" w:line="259" w:lineRule="auto"/>
              <w:jc w:val="both"/>
              <w:rPr>
                <w:color w:val="000000"/>
              </w:rPr>
            </w:pPr>
            <w:r w:rsidRPr="00C56257">
              <w:rPr>
                <w:color w:val="000000"/>
              </w:rPr>
              <w:t>Pe termen scurt</w:t>
            </w:r>
          </w:p>
        </w:tc>
        <w:tc>
          <w:tcPr>
            <w:tcW w:w="0" w:type="auto"/>
            <w:tcBorders>
              <w:top w:val="nil"/>
              <w:left w:val="nil"/>
              <w:bottom w:val="single" w:sz="4" w:space="0" w:color="auto"/>
              <w:right w:val="single" w:sz="4" w:space="0" w:color="auto"/>
            </w:tcBorders>
            <w:shd w:val="clear" w:color="auto" w:fill="auto"/>
            <w:noWrap/>
            <w:vAlign w:val="bottom"/>
            <w:hideMark/>
          </w:tcPr>
          <w:p w14:paraId="53D3B4A9" w14:textId="77777777" w:rsidR="0007555D" w:rsidRPr="00C56257" w:rsidRDefault="0007555D" w:rsidP="00F100E1">
            <w:pPr>
              <w:spacing w:after="160" w:line="259" w:lineRule="auto"/>
              <w:jc w:val="both"/>
              <w:rPr>
                <w:color w:val="000000"/>
              </w:rPr>
            </w:pPr>
            <w:r w:rsidRPr="00C56257">
              <w:rPr>
                <w:color w:val="000000"/>
              </w:rPr>
              <w:t>Două perioade de raportare (12 ani, sau o perioadă cât se poate de apropiată de aceasta)</w:t>
            </w:r>
          </w:p>
        </w:tc>
      </w:tr>
      <w:tr w:rsidR="0007555D" w:rsidRPr="00C56257" w14:paraId="6F7519C5" w14:textId="77777777" w:rsidTr="0007555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D148D15" w14:textId="77777777" w:rsidR="0007555D" w:rsidRPr="00C56257" w:rsidRDefault="0007555D" w:rsidP="00F100E1">
            <w:pPr>
              <w:spacing w:after="160" w:line="259" w:lineRule="auto"/>
              <w:jc w:val="both"/>
              <w:rPr>
                <w:color w:val="000000"/>
              </w:rPr>
            </w:pPr>
            <w:r w:rsidRPr="00C56257">
              <w:rPr>
                <w:color w:val="000000"/>
              </w:rPr>
              <w:lastRenderedPageBreak/>
              <w:t>Pe termen lung</w:t>
            </w:r>
          </w:p>
        </w:tc>
        <w:tc>
          <w:tcPr>
            <w:tcW w:w="0" w:type="auto"/>
            <w:tcBorders>
              <w:top w:val="nil"/>
              <w:left w:val="nil"/>
              <w:bottom w:val="single" w:sz="4" w:space="0" w:color="auto"/>
              <w:right w:val="single" w:sz="4" w:space="0" w:color="auto"/>
            </w:tcBorders>
            <w:shd w:val="clear" w:color="auto" w:fill="auto"/>
            <w:noWrap/>
            <w:vAlign w:val="bottom"/>
            <w:hideMark/>
          </w:tcPr>
          <w:p w14:paraId="68751A0B" w14:textId="77777777" w:rsidR="0007555D" w:rsidRPr="00C56257" w:rsidRDefault="0007555D" w:rsidP="00F100E1">
            <w:pPr>
              <w:spacing w:after="160" w:line="259" w:lineRule="auto"/>
              <w:jc w:val="both"/>
              <w:rPr>
                <w:color w:val="000000"/>
              </w:rPr>
            </w:pPr>
            <w:r w:rsidRPr="00C56257">
              <w:rPr>
                <w:color w:val="000000"/>
              </w:rPr>
              <w:t>Patru perioade de raportare (24 de ani sau o perioadă cât se poate de apropiată de aceasta)</w:t>
            </w:r>
          </w:p>
        </w:tc>
      </w:tr>
    </w:tbl>
    <w:p w14:paraId="7A6A8B7B" w14:textId="77777777" w:rsidR="0007555D" w:rsidRPr="00C56257" w:rsidRDefault="0007555D" w:rsidP="00F100E1">
      <w:pPr>
        <w:spacing w:after="160" w:line="259" w:lineRule="auto"/>
        <w:jc w:val="both"/>
        <w:rPr>
          <w:color w:val="000000"/>
        </w:rPr>
      </w:pPr>
    </w:p>
    <w:p w14:paraId="6475E3B2" w14:textId="77777777" w:rsidR="0007555D" w:rsidRPr="00C56257" w:rsidRDefault="0007555D" w:rsidP="008E33FD">
      <w:pPr>
        <w:spacing w:after="160" w:line="259" w:lineRule="auto"/>
        <w:jc w:val="both"/>
        <w:rPr>
          <w:b/>
          <w:color w:val="000000"/>
        </w:rPr>
      </w:pPr>
      <w:r w:rsidRPr="00C56257">
        <w:rPr>
          <w:color w:val="000000"/>
        </w:rPr>
        <w:t>Este necesară indicarea metodei folosite pentru evaluarea tendințelor pe termen scurt și astfel va fi selectată una din următoarele metode:</w:t>
      </w:r>
    </w:p>
    <w:p w14:paraId="19AD00CD" w14:textId="77777777" w:rsidR="0007555D" w:rsidRPr="00C56257" w:rsidRDefault="0007555D" w:rsidP="008E33FD">
      <w:pPr>
        <w:spacing w:after="160" w:line="259" w:lineRule="auto"/>
        <w:jc w:val="both"/>
        <w:rPr>
          <w:bCs/>
          <w:color w:val="000000"/>
        </w:rPr>
      </w:pPr>
      <w:r w:rsidRPr="00C56257">
        <w:rPr>
          <w:bCs/>
          <w:color w:val="000000"/>
        </w:rPr>
        <w:t xml:space="preserve">a) </w:t>
      </w:r>
      <w:r w:rsidRPr="00C56257">
        <w:rPr>
          <w:bCs/>
          <w:i/>
          <w:iCs/>
          <w:color w:val="000000"/>
        </w:rPr>
        <w:t>Studiu complet sau o estimare statistică robustă (de exemplu compararea a două hărți cu arealul habitatului bazate pe date de distribuție cu precizie ridicată, sau monitorizare dedicată a distribuției unui habitat, cu o precizie statistică bună);</w:t>
      </w:r>
    </w:p>
    <w:p w14:paraId="1D0489D9" w14:textId="77777777" w:rsidR="0007555D" w:rsidRPr="00C56257" w:rsidRDefault="0007555D" w:rsidP="008E33FD">
      <w:pPr>
        <w:spacing w:after="160" w:line="259" w:lineRule="auto"/>
        <w:jc w:val="both"/>
        <w:rPr>
          <w:bCs/>
          <w:color w:val="000000"/>
        </w:rPr>
      </w:pPr>
      <w:r w:rsidRPr="00C56257">
        <w:rPr>
          <w:bCs/>
          <w:color w:val="000000"/>
        </w:rPr>
        <w:t xml:space="preserve">b) </w:t>
      </w:r>
      <w:r w:rsidRPr="00C56257">
        <w:rPr>
          <w:bCs/>
          <w:i/>
          <w:iCs/>
          <w:color w:val="000000"/>
        </w:rPr>
        <w:t>Bazată în principal pe extrapolarea dintr-o cantitate limitată de date (de exemplu tendințe derivate din date colectate în alte scopuri, sau din date colectate doar dintr-o porțiune a arealului unui habitat, sau tendințe bazate pe măsurarea unor alți predictori ai distribuției habitatului, cum ar fi schimbări în acoperirea terenului);</w:t>
      </w:r>
    </w:p>
    <w:p w14:paraId="52290759" w14:textId="77777777" w:rsidR="0007555D" w:rsidRPr="00C56257" w:rsidRDefault="0007555D" w:rsidP="008E33FD">
      <w:pPr>
        <w:spacing w:after="160" w:line="259" w:lineRule="auto"/>
        <w:jc w:val="both"/>
        <w:rPr>
          <w:bCs/>
          <w:color w:val="000000"/>
        </w:rPr>
      </w:pPr>
      <w:r w:rsidRPr="00C56257">
        <w:rPr>
          <w:bCs/>
          <w:color w:val="000000"/>
        </w:rPr>
        <w:t xml:space="preserve">c) </w:t>
      </w:r>
      <w:r w:rsidRPr="00C56257">
        <w:rPr>
          <w:bCs/>
          <w:i/>
          <w:iCs/>
          <w:color w:val="000000"/>
        </w:rPr>
        <w:t>Bazată în principal pe opinia experților cu date foarte limitate;</w:t>
      </w:r>
    </w:p>
    <w:p w14:paraId="0B0BC00C" w14:textId="77777777" w:rsidR="0007555D" w:rsidRPr="00C56257" w:rsidRDefault="0007555D" w:rsidP="008E33FD">
      <w:pPr>
        <w:spacing w:after="160" w:line="259" w:lineRule="auto"/>
        <w:jc w:val="both"/>
        <w:rPr>
          <w:bCs/>
          <w:color w:val="000000"/>
        </w:rPr>
      </w:pPr>
      <w:r w:rsidRPr="00C56257">
        <w:rPr>
          <w:bCs/>
          <w:color w:val="000000"/>
        </w:rPr>
        <w:t xml:space="preserve">d) </w:t>
      </w:r>
      <w:r w:rsidRPr="00C56257">
        <w:rPr>
          <w:bCs/>
          <w:i/>
          <w:iCs/>
          <w:color w:val="000000"/>
        </w:rPr>
        <w:t>Date insuficiente sau indisponibile.</w:t>
      </w:r>
    </w:p>
    <w:p w14:paraId="5CD33040" w14:textId="77777777" w:rsidR="0007555D" w:rsidRPr="00C56257" w:rsidRDefault="0007555D" w:rsidP="008E33FD">
      <w:pPr>
        <w:spacing w:after="160" w:line="259" w:lineRule="auto"/>
        <w:jc w:val="both"/>
        <w:rPr>
          <w:color w:val="000000"/>
        </w:rPr>
      </w:pPr>
      <w:r w:rsidRPr="00C56257">
        <w:rPr>
          <w:color w:val="000000"/>
        </w:rPr>
        <w:t>Acolo unde datele au fost compilate din mai multe surse, se alege categoria pentru cea mai importantă sursă de date.</w:t>
      </w:r>
    </w:p>
    <w:p w14:paraId="2CEEE151" w14:textId="77777777" w:rsidR="0007555D" w:rsidRPr="00C56257" w:rsidRDefault="0007555D" w:rsidP="008E33FD">
      <w:pPr>
        <w:spacing w:after="160" w:line="259" w:lineRule="auto"/>
        <w:jc w:val="both"/>
        <w:rPr>
          <w:color w:val="000000"/>
        </w:rPr>
      </w:pPr>
      <w:r w:rsidRPr="00C56257">
        <w:rPr>
          <w:color w:val="000000"/>
        </w:rPr>
        <w:t>După stabilirea tendințelor parametrilor, se poate evalua tendința generală din cadrul stării de conservare a unui habitat, așa cum se prezintă în Tabelul 5.</w:t>
      </w:r>
    </w:p>
    <w:p w14:paraId="6346A0A3" w14:textId="77777777" w:rsidR="0007555D" w:rsidRPr="00C56257" w:rsidRDefault="0007555D" w:rsidP="008E33FD">
      <w:pPr>
        <w:spacing w:after="160" w:line="259" w:lineRule="auto"/>
        <w:jc w:val="both"/>
        <w:rPr>
          <w:b/>
          <w:color w:val="000000"/>
        </w:rPr>
      </w:pPr>
    </w:p>
    <w:p w14:paraId="278D809B" w14:textId="77777777" w:rsidR="0007555D" w:rsidRPr="00C56257" w:rsidRDefault="0007555D" w:rsidP="00F100E1">
      <w:pPr>
        <w:spacing w:after="160" w:line="259" w:lineRule="auto"/>
        <w:jc w:val="both"/>
        <w:rPr>
          <w:bCs/>
          <w:color w:val="000000"/>
        </w:rPr>
      </w:pPr>
      <w:r w:rsidRPr="00C56257">
        <w:rPr>
          <w:bCs/>
          <w:color w:val="000000"/>
        </w:rPr>
        <w:t>Tabelul 5. Evaluarea tendinței generale din cadrul Stării de conservare a unui habitat</w:t>
      </w:r>
    </w:p>
    <w:tbl>
      <w:tblPr>
        <w:tblW w:w="0" w:type="auto"/>
        <w:jc w:val="center"/>
        <w:tblLook w:val="04A0" w:firstRow="1" w:lastRow="0" w:firstColumn="1" w:lastColumn="0" w:noHBand="0" w:noVBand="1"/>
      </w:tblPr>
      <w:tblGrid>
        <w:gridCol w:w="1318"/>
        <w:gridCol w:w="1180"/>
        <w:gridCol w:w="1658"/>
        <w:gridCol w:w="1805"/>
        <w:gridCol w:w="4213"/>
      </w:tblGrid>
      <w:tr w:rsidR="0007555D" w:rsidRPr="00C56257" w14:paraId="11A4042C" w14:textId="77777777" w:rsidTr="0007555D">
        <w:trPr>
          <w:trHeight w:val="630"/>
          <w:jc w:val="center"/>
        </w:trPr>
        <w:tc>
          <w:tcPr>
            <w:tcW w:w="0" w:type="auto"/>
            <w:gridSpan w:val="4"/>
            <w:tcBorders>
              <w:top w:val="single" w:sz="4" w:space="0" w:color="auto"/>
              <w:left w:val="single" w:sz="4" w:space="0" w:color="auto"/>
              <w:bottom w:val="single" w:sz="4" w:space="0" w:color="auto"/>
              <w:right w:val="single" w:sz="4" w:space="0" w:color="auto"/>
            </w:tcBorders>
            <w:shd w:val="clear" w:color="auto" w:fill="C2D69B"/>
            <w:vAlign w:val="bottom"/>
            <w:hideMark/>
          </w:tcPr>
          <w:p w14:paraId="7A8B89A8" w14:textId="77777777" w:rsidR="0007555D" w:rsidRPr="00C56257" w:rsidRDefault="0007555D" w:rsidP="00F100E1">
            <w:pPr>
              <w:spacing w:after="160" w:line="259" w:lineRule="auto"/>
              <w:jc w:val="both"/>
              <w:rPr>
                <w:color w:val="000000"/>
              </w:rPr>
            </w:pPr>
            <w:r w:rsidRPr="00C56257">
              <w:rPr>
                <w:color w:val="000000"/>
              </w:rPr>
              <w:t>Tendința pe termen scurt a parametrilor (Areal, Suprafața acoperită de habitat, Structură și funcții)</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C2D69B"/>
            <w:vAlign w:val="center"/>
            <w:hideMark/>
          </w:tcPr>
          <w:p w14:paraId="562CD995" w14:textId="77777777" w:rsidR="0007555D" w:rsidRPr="00C56257" w:rsidRDefault="0007555D" w:rsidP="00F100E1">
            <w:pPr>
              <w:spacing w:after="160" w:line="259" w:lineRule="auto"/>
              <w:jc w:val="both"/>
              <w:rPr>
                <w:color w:val="000000"/>
              </w:rPr>
            </w:pPr>
            <w:r w:rsidRPr="00C56257">
              <w:rPr>
                <w:color w:val="000000"/>
              </w:rPr>
              <w:t xml:space="preserve">Tendința generală din </w:t>
            </w:r>
            <w:r w:rsidRPr="00C56257">
              <w:rPr>
                <w:color w:val="000000"/>
              </w:rPr>
              <w:br/>
              <w:t>Starea de conservare</w:t>
            </w:r>
          </w:p>
        </w:tc>
      </w:tr>
      <w:tr w:rsidR="0007555D" w:rsidRPr="00C56257" w14:paraId="0364D4F1" w14:textId="77777777" w:rsidTr="0007555D">
        <w:trPr>
          <w:trHeight w:val="600"/>
          <w:jc w:val="center"/>
        </w:trPr>
        <w:tc>
          <w:tcPr>
            <w:tcW w:w="0" w:type="auto"/>
            <w:tcBorders>
              <w:top w:val="nil"/>
              <w:left w:val="single" w:sz="4" w:space="0" w:color="auto"/>
              <w:bottom w:val="single" w:sz="4" w:space="0" w:color="auto"/>
              <w:right w:val="single" w:sz="4" w:space="0" w:color="auto"/>
            </w:tcBorders>
            <w:shd w:val="clear" w:color="auto" w:fill="C2D69B"/>
            <w:vAlign w:val="center"/>
            <w:hideMark/>
          </w:tcPr>
          <w:p w14:paraId="5C40B3B2" w14:textId="77777777" w:rsidR="0007555D" w:rsidRPr="00C56257" w:rsidRDefault="0007555D" w:rsidP="00F100E1">
            <w:pPr>
              <w:spacing w:after="160" w:line="259" w:lineRule="auto"/>
              <w:jc w:val="both"/>
              <w:rPr>
                <w:color w:val="000000"/>
              </w:rPr>
            </w:pPr>
            <w:r w:rsidRPr="00C56257">
              <w:rPr>
                <w:color w:val="000000"/>
              </w:rPr>
              <w:t>Valoare</w:t>
            </w:r>
            <w:r w:rsidRPr="00C56257">
              <w:rPr>
                <w:color w:val="000000"/>
              </w:rPr>
              <w:br/>
              <w:t xml:space="preserve"> „în creștere”</w:t>
            </w:r>
          </w:p>
        </w:tc>
        <w:tc>
          <w:tcPr>
            <w:tcW w:w="0" w:type="auto"/>
            <w:tcBorders>
              <w:top w:val="nil"/>
              <w:left w:val="nil"/>
              <w:bottom w:val="single" w:sz="4" w:space="0" w:color="auto"/>
              <w:right w:val="single" w:sz="4" w:space="0" w:color="auto"/>
            </w:tcBorders>
            <w:shd w:val="clear" w:color="auto" w:fill="C2D69B"/>
            <w:vAlign w:val="center"/>
            <w:hideMark/>
          </w:tcPr>
          <w:p w14:paraId="393A97D8" w14:textId="77777777" w:rsidR="0007555D" w:rsidRPr="00C56257" w:rsidRDefault="0007555D" w:rsidP="00F100E1">
            <w:pPr>
              <w:spacing w:after="160" w:line="259" w:lineRule="auto"/>
              <w:jc w:val="both"/>
              <w:rPr>
                <w:color w:val="000000"/>
              </w:rPr>
            </w:pPr>
            <w:r w:rsidRPr="00C56257">
              <w:rPr>
                <w:color w:val="000000"/>
              </w:rPr>
              <w:t>Valoare</w:t>
            </w:r>
            <w:r w:rsidRPr="00C56257">
              <w:rPr>
                <w:color w:val="000000"/>
              </w:rPr>
              <w:br/>
              <w:t>„stabilă”</w:t>
            </w:r>
          </w:p>
        </w:tc>
        <w:tc>
          <w:tcPr>
            <w:tcW w:w="0" w:type="auto"/>
            <w:tcBorders>
              <w:top w:val="nil"/>
              <w:left w:val="nil"/>
              <w:bottom w:val="single" w:sz="4" w:space="0" w:color="auto"/>
              <w:right w:val="single" w:sz="4" w:space="0" w:color="auto"/>
            </w:tcBorders>
            <w:shd w:val="clear" w:color="auto" w:fill="C2D69B"/>
            <w:vAlign w:val="center"/>
            <w:hideMark/>
          </w:tcPr>
          <w:p w14:paraId="17E00DB1" w14:textId="77777777" w:rsidR="0007555D" w:rsidRPr="00C56257" w:rsidRDefault="0007555D" w:rsidP="00F100E1">
            <w:pPr>
              <w:spacing w:after="160" w:line="259" w:lineRule="auto"/>
              <w:jc w:val="both"/>
              <w:rPr>
                <w:color w:val="000000"/>
              </w:rPr>
            </w:pPr>
            <w:r w:rsidRPr="00C56257">
              <w:rPr>
                <w:color w:val="000000"/>
              </w:rPr>
              <w:t>Valoare</w:t>
            </w:r>
            <w:r w:rsidRPr="00C56257">
              <w:rPr>
                <w:color w:val="000000"/>
              </w:rPr>
              <w:br/>
              <w:t>„în descreștere”</w:t>
            </w:r>
          </w:p>
        </w:tc>
        <w:tc>
          <w:tcPr>
            <w:tcW w:w="0" w:type="auto"/>
            <w:tcBorders>
              <w:top w:val="nil"/>
              <w:left w:val="nil"/>
              <w:bottom w:val="single" w:sz="4" w:space="0" w:color="auto"/>
              <w:right w:val="single" w:sz="4" w:space="0" w:color="auto"/>
            </w:tcBorders>
            <w:shd w:val="clear" w:color="auto" w:fill="C2D69B"/>
            <w:vAlign w:val="center"/>
            <w:hideMark/>
          </w:tcPr>
          <w:p w14:paraId="0979F913" w14:textId="77777777" w:rsidR="0007555D" w:rsidRPr="00C56257" w:rsidRDefault="0007555D" w:rsidP="00F100E1">
            <w:pPr>
              <w:spacing w:after="160" w:line="259" w:lineRule="auto"/>
              <w:jc w:val="both"/>
              <w:rPr>
                <w:color w:val="000000"/>
              </w:rPr>
            </w:pPr>
            <w:r w:rsidRPr="00C56257">
              <w:rPr>
                <w:color w:val="000000"/>
              </w:rPr>
              <w:t>Valoare</w:t>
            </w:r>
            <w:r w:rsidRPr="00C56257">
              <w:rPr>
                <w:color w:val="000000"/>
              </w:rPr>
              <w:br/>
              <w:t>„necunoscută”</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55031A" w14:textId="77777777" w:rsidR="0007555D" w:rsidRPr="00C56257" w:rsidRDefault="0007555D" w:rsidP="00F100E1">
            <w:pPr>
              <w:spacing w:after="160" w:line="259" w:lineRule="auto"/>
              <w:jc w:val="both"/>
              <w:rPr>
                <w:color w:val="000000"/>
              </w:rPr>
            </w:pPr>
          </w:p>
        </w:tc>
      </w:tr>
      <w:tr w:rsidR="0007555D" w:rsidRPr="00C56257" w14:paraId="23CE7640" w14:textId="77777777" w:rsidTr="0007555D">
        <w:trPr>
          <w:trHeight w:val="300"/>
          <w:jc w:val="center"/>
        </w:trPr>
        <w:tc>
          <w:tcPr>
            <w:tcW w:w="0" w:type="auto"/>
            <w:tcBorders>
              <w:top w:val="nil"/>
              <w:left w:val="single" w:sz="4" w:space="0" w:color="auto"/>
              <w:bottom w:val="nil"/>
              <w:right w:val="single" w:sz="4" w:space="0" w:color="auto"/>
            </w:tcBorders>
            <w:shd w:val="clear" w:color="auto" w:fill="auto"/>
            <w:noWrap/>
            <w:vAlign w:val="center"/>
            <w:hideMark/>
          </w:tcPr>
          <w:p w14:paraId="4E49C285" w14:textId="77777777" w:rsidR="0007555D" w:rsidRPr="00C56257" w:rsidRDefault="0007555D" w:rsidP="00F100E1">
            <w:pPr>
              <w:spacing w:after="160" w:line="259" w:lineRule="auto"/>
              <w:jc w:val="both"/>
              <w:rPr>
                <w:color w:val="000000"/>
              </w:rPr>
            </w:pPr>
            <w:r w:rsidRPr="00C56257">
              <w:rPr>
                <w:color w:val="000000"/>
              </w:rPr>
              <w:t>3</w:t>
            </w:r>
          </w:p>
        </w:tc>
        <w:tc>
          <w:tcPr>
            <w:tcW w:w="0" w:type="auto"/>
            <w:tcBorders>
              <w:top w:val="nil"/>
              <w:left w:val="nil"/>
              <w:bottom w:val="nil"/>
              <w:right w:val="single" w:sz="4" w:space="0" w:color="auto"/>
            </w:tcBorders>
            <w:shd w:val="clear" w:color="auto" w:fill="auto"/>
            <w:noWrap/>
            <w:vAlign w:val="center"/>
            <w:hideMark/>
          </w:tcPr>
          <w:p w14:paraId="7EB83F28"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7D5BCF5F"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462F7ACE" w14:textId="77777777" w:rsidR="0007555D" w:rsidRPr="00C56257" w:rsidRDefault="0007555D" w:rsidP="00F100E1">
            <w:pPr>
              <w:spacing w:after="160" w:line="259" w:lineRule="auto"/>
              <w:jc w:val="both"/>
              <w:rPr>
                <w:color w:val="000000"/>
              </w:rPr>
            </w:pPr>
            <w:r w:rsidRPr="00C56257">
              <w:rPr>
                <w:color w:val="000000"/>
              </w:rPr>
              <w:t>0</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2686FE17" w14:textId="77777777" w:rsidR="0007555D" w:rsidRPr="00C56257" w:rsidRDefault="0007555D" w:rsidP="00F100E1">
            <w:pPr>
              <w:spacing w:after="160" w:line="259" w:lineRule="auto"/>
              <w:jc w:val="both"/>
              <w:rPr>
                <w:color w:val="000000"/>
              </w:rPr>
            </w:pPr>
            <w:r w:rsidRPr="00C56257">
              <w:rPr>
                <w:color w:val="000000"/>
              </w:rPr>
              <w:t>Îmbunătățită</w:t>
            </w:r>
            <w:r w:rsidRPr="00C56257">
              <w:rPr>
                <w:color w:val="000000"/>
              </w:rPr>
              <w:br/>
              <w:t>(</w:t>
            </w:r>
            <w:r w:rsidRPr="00C56257">
              <w:rPr>
                <w:i/>
                <w:iCs/>
                <w:color w:val="000000"/>
              </w:rPr>
              <w:t>doar tendințe în creștere sau stabile</w:t>
            </w:r>
            <w:r w:rsidRPr="00C56257">
              <w:rPr>
                <w:color w:val="000000"/>
              </w:rPr>
              <w:t>)</w:t>
            </w:r>
          </w:p>
        </w:tc>
      </w:tr>
      <w:tr w:rsidR="0007555D" w:rsidRPr="00C56257" w14:paraId="788BB541" w14:textId="77777777" w:rsidTr="0007555D">
        <w:trPr>
          <w:trHeight w:val="300"/>
          <w:jc w:val="center"/>
        </w:trPr>
        <w:tc>
          <w:tcPr>
            <w:tcW w:w="0" w:type="auto"/>
            <w:tcBorders>
              <w:top w:val="nil"/>
              <w:left w:val="single" w:sz="4" w:space="0" w:color="auto"/>
              <w:bottom w:val="nil"/>
              <w:right w:val="single" w:sz="4" w:space="0" w:color="auto"/>
            </w:tcBorders>
            <w:shd w:val="clear" w:color="auto" w:fill="auto"/>
            <w:noWrap/>
            <w:vAlign w:val="center"/>
            <w:hideMark/>
          </w:tcPr>
          <w:p w14:paraId="429B2A13" w14:textId="77777777" w:rsidR="0007555D" w:rsidRPr="00C56257" w:rsidRDefault="0007555D" w:rsidP="00F100E1">
            <w:pPr>
              <w:spacing w:after="160" w:line="259" w:lineRule="auto"/>
              <w:jc w:val="both"/>
              <w:rPr>
                <w:color w:val="000000"/>
              </w:rPr>
            </w:pPr>
            <w:r w:rsidRPr="00C56257">
              <w:rPr>
                <w:color w:val="000000"/>
              </w:rPr>
              <w:t>2</w:t>
            </w:r>
          </w:p>
        </w:tc>
        <w:tc>
          <w:tcPr>
            <w:tcW w:w="0" w:type="auto"/>
            <w:tcBorders>
              <w:top w:val="nil"/>
              <w:left w:val="nil"/>
              <w:bottom w:val="nil"/>
              <w:right w:val="single" w:sz="4" w:space="0" w:color="auto"/>
            </w:tcBorders>
            <w:shd w:val="clear" w:color="auto" w:fill="auto"/>
            <w:noWrap/>
            <w:vAlign w:val="center"/>
            <w:hideMark/>
          </w:tcPr>
          <w:p w14:paraId="55A9F6EA"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nil"/>
              <w:right w:val="single" w:sz="4" w:space="0" w:color="auto"/>
            </w:tcBorders>
            <w:shd w:val="clear" w:color="auto" w:fill="auto"/>
            <w:noWrap/>
            <w:vAlign w:val="center"/>
            <w:hideMark/>
          </w:tcPr>
          <w:p w14:paraId="74724AF1"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5FB1FAE2" w14:textId="77777777" w:rsidR="0007555D" w:rsidRPr="00C56257" w:rsidRDefault="0007555D" w:rsidP="00F100E1">
            <w:pPr>
              <w:spacing w:after="160" w:line="259" w:lineRule="auto"/>
              <w:jc w:val="both"/>
              <w:rPr>
                <w:color w:val="000000"/>
              </w:rPr>
            </w:pPr>
            <w:r w:rsidRPr="00C56257">
              <w:rPr>
                <w:color w:val="000000"/>
              </w:rPr>
              <w:t>0</w:t>
            </w:r>
          </w:p>
        </w:tc>
        <w:tc>
          <w:tcPr>
            <w:tcW w:w="0" w:type="auto"/>
            <w:vMerge/>
            <w:tcBorders>
              <w:top w:val="nil"/>
              <w:left w:val="single" w:sz="4" w:space="0" w:color="auto"/>
              <w:bottom w:val="single" w:sz="4" w:space="0" w:color="auto"/>
              <w:right w:val="single" w:sz="4" w:space="0" w:color="auto"/>
            </w:tcBorders>
            <w:vAlign w:val="center"/>
            <w:hideMark/>
          </w:tcPr>
          <w:p w14:paraId="49F28957" w14:textId="77777777" w:rsidR="0007555D" w:rsidRPr="00C56257" w:rsidRDefault="0007555D" w:rsidP="00F100E1">
            <w:pPr>
              <w:spacing w:after="160" w:line="259" w:lineRule="auto"/>
              <w:jc w:val="both"/>
              <w:rPr>
                <w:color w:val="000000"/>
              </w:rPr>
            </w:pPr>
          </w:p>
        </w:tc>
      </w:tr>
      <w:tr w:rsidR="0007555D" w:rsidRPr="00C56257" w14:paraId="030A4D2A" w14:textId="77777777" w:rsidTr="0007555D">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B578F9"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single" w:sz="4" w:space="0" w:color="auto"/>
              <w:right w:val="single" w:sz="4" w:space="0" w:color="auto"/>
            </w:tcBorders>
            <w:shd w:val="clear" w:color="auto" w:fill="auto"/>
            <w:noWrap/>
            <w:vAlign w:val="center"/>
            <w:hideMark/>
          </w:tcPr>
          <w:p w14:paraId="26EEB3C3" w14:textId="77777777" w:rsidR="0007555D" w:rsidRPr="00C56257" w:rsidRDefault="0007555D" w:rsidP="00F100E1">
            <w:pPr>
              <w:spacing w:after="160" w:line="259" w:lineRule="auto"/>
              <w:jc w:val="both"/>
              <w:rPr>
                <w:color w:val="000000"/>
              </w:rPr>
            </w:pPr>
            <w:r w:rsidRPr="00C56257">
              <w:rPr>
                <w:color w:val="000000"/>
              </w:rPr>
              <w:t>2</w:t>
            </w:r>
          </w:p>
        </w:tc>
        <w:tc>
          <w:tcPr>
            <w:tcW w:w="0" w:type="auto"/>
            <w:tcBorders>
              <w:top w:val="nil"/>
              <w:left w:val="nil"/>
              <w:bottom w:val="single" w:sz="4" w:space="0" w:color="auto"/>
              <w:right w:val="single" w:sz="4" w:space="0" w:color="auto"/>
            </w:tcBorders>
            <w:shd w:val="clear" w:color="auto" w:fill="auto"/>
            <w:noWrap/>
            <w:vAlign w:val="center"/>
            <w:hideMark/>
          </w:tcPr>
          <w:p w14:paraId="2E73085F"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single" w:sz="4" w:space="0" w:color="auto"/>
              <w:right w:val="single" w:sz="4" w:space="0" w:color="auto"/>
            </w:tcBorders>
            <w:shd w:val="clear" w:color="auto" w:fill="auto"/>
            <w:noWrap/>
            <w:vAlign w:val="center"/>
            <w:hideMark/>
          </w:tcPr>
          <w:p w14:paraId="0E14F7C3" w14:textId="77777777" w:rsidR="0007555D" w:rsidRPr="00C56257" w:rsidRDefault="0007555D" w:rsidP="00F100E1">
            <w:pPr>
              <w:spacing w:after="160" w:line="259" w:lineRule="auto"/>
              <w:jc w:val="both"/>
              <w:rPr>
                <w:color w:val="000000"/>
              </w:rPr>
            </w:pPr>
            <w:r w:rsidRPr="00C56257">
              <w:rPr>
                <w:color w:val="000000"/>
              </w:rPr>
              <w:t>0</w:t>
            </w:r>
          </w:p>
        </w:tc>
        <w:tc>
          <w:tcPr>
            <w:tcW w:w="0" w:type="auto"/>
            <w:vMerge/>
            <w:tcBorders>
              <w:top w:val="nil"/>
              <w:left w:val="single" w:sz="4" w:space="0" w:color="auto"/>
              <w:bottom w:val="single" w:sz="4" w:space="0" w:color="auto"/>
              <w:right w:val="single" w:sz="4" w:space="0" w:color="auto"/>
            </w:tcBorders>
            <w:vAlign w:val="center"/>
            <w:hideMark/>
          </w:tcPr>
          <w:p w14:paraId="55719FBF" w14:textId="77777777" w:rsidR="0007555D" w:rsidRPr="00C56257" w:rsidRDefault="0007555D" w:rsidP="00F100E1">
            <w:pPr>
              <w:spacing w:after="160" w:line="259" w:lineRule="auto"/>
              <w:jc w:val="both"/>
              <w:rPr>
                <w:color w:val="000000"/>
              </w:rPr>
            </w:pPr>
          </w:p>
        </w:tc>
      </w:tr>
      <w:tr w:rsidR="0007555D" w:rsidRPr="00C56257" w14:paraId="67B9DB10" w14:textId="77777777" w:rsidTr="0007555D">
        <w:trPr>
          <w:trHeight w:val="300"/>
          <w:jc w:val="center"/>
        </w:trPr>
        <w:tc>
          <w:tcPr>
            <w:tcW w:w="0" w:type="auto"/>
            <w:tcBorders>
              <w:top w:val="nil"/>
              <w:left w:val="single" w:sz="4" w:space="0" w:color="auto"/>
              <w:bottom w:val="nil"/>
              <w:right w:val="single" w:sz="4" w:space="0" w:color="auto"/>
            </w:tcBorders>
            <w:shd w:val="clear" w:color="auto" w:fill="auto"/>
            <w:noWrap/>
            <w:vAlign w:val="center"/>
            <w:hideMark/>
          </w:tcPr>
          <w:p w14:paraId="3D3EF184"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32C423B5" w14:textId="77777777" w:rsidR="0007555D" w:rsidRPr="00C56257" w:rsidRDefault="0007555D" w:rsidP="00F100E1">
            <w:pPr>
              <w:spacing w:after="160" w:line="259" w:lineRule="auto"/>
              <w:jc w:val="both"/>
              <w:rPr>
                <w:color w:val="000000"/>
              </w:rPr>
            </w:pPr>
            <w:r w:rsidRPr="00C56257">
              <w:rPr>
                <w:color w:val="000000"/>
              </w:rPr>
              <w:t>3</w:t>
            </w:r>
          </w:p>
        </w:tc>
        <w:tc>
          <w:tcPr>
            <w:tcW w:w="0" w:type="auto"/>
            <w:tcBorders>
              <w:top w:val="nil"/>
              <w:left w:val="nil"/>
              <w:bottom w:val="nil"/>
              <w:right w:val="single" w:sz="4" w:space="0" w:color="auto"/>
            </w:tcBorders>
            <w:shd w:val="clear" w:color="auto" w:fill="auto"/>
            <w:noWrap/>
            <w:vAlign w:val="center"/>
            <w:hideMark/>
          </w:tcPr>
          <w:p w14:paraId="299A9D90"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nil"/>
            </w:tcBorders>
            <w:shd w:val="clear" w:color="auto" w:fill="auto"/>
            <w:noWrap/>
            <w:vAlign w:val="center"/>
            <w:hideMark/>
          </w:tcPr>
          <w:p w14:paraId="2B9B69BE" w14:textId="77777777" w:rsidR="0007555D" w:rsidRPr="00C56257" w:rsidRDefault="0007555D" w:rsidP="00F100E1">
            <w:pPr>
              <w:spacing w:after="160" w:line="259" w:lineRule="auto"/>
              <w:jc w:val="both"/>
              <w:rPr>
                <w:color w:val="000000"/>
              </w:rPr>
            </w:pPr>
            <w:r w:rsidRPr="00C56257">
              <w:rPr>
                <w:color w:val="000000"/>
              </w:rPr>
              <w:t>0</w:t>
            </w:r>
          </w:p>
        </w:tc>
        <w:tc>
          <w:tcPr>
            <w:tcW w:w="0" w:type="auto"/>
            <w:vMerge w:val="restart"/>
            <w:tcBorders>
              <w:top w:val="nil"/>
              <w:left w:val="single" w:sz="4" w:space="0" w:color="auto"/>
              <w:bottom w:val="single" w:sz="4" w:space="0" w:color="000000"/>
              <w:right w:val="single" w:sz="4" w:space="0" w:color="auto"/>
            </w:tcBorders>
            <w:shd w:val="clear" w:color="auto" w:fill="auto"/>
            <w:vAlign w:val="bottom"/>
            <w:hideMark/>
          </w:tcPr>
          <w:p w14:paraId="04345BFE" w14:textId="77777777" w:rsidR="0007555D" w:rsidRPr="00C56257" w:rsidRDefault="0007555D" w:rsidP="00F100E1">
            <w:pPr>
              <w:spacing w:after="160" w:line="259" w:lineRule="auto"/>
              <w:jc w:val="both"/>
              <w:rPr>
                <w:color w:val="000000"/>
              </w:rPr>
            </w:pPr>
            <w:r w:rsidRPr="00C56257">
              <w:rPr>
                <w:color w:val="000000"/>
              </w:rPr>
              <w:t>Stabilă</w:t>
            </w:r>
            <w:r w:rsidRPr="00C56257">
              <w:rPr>
                <w:color w:val="000000"/>
              </w:rPr>
              <w:br/>
              <w:t>(</w:t>
            </w:r>
            <w:r w:rsidRPr="00C56257">
              <w:rPr>
                <w:i/>
                <w:iCs/>
                <w:color w:val="000000"/>
              </w:rPr>
              <w:t>Doar tendințe stabile sau tendințele stabile și tendințele îmbunătățite domină)</w:t>
            </w:r>
            <w:r w:rsidRPr="00C56257">
              <w:rPr>
                <w:i/>
                <w:iCs/>
                <w:color w:val="000000"/>
              </w:rPr>
              <w:br/>
              <w:t>*Magnitudinea tendinței trebuie luată în considerare. Tendința generală a Stării de conservare este stabilă doar în cazul unor scăderi moderate (&lt;1% pe an).</w:t>
            </w:r>
          </w:p>
        </w:tc>
      </w:tr>
      <w:tr w:rsidR="0007555D" w:rsidRPr="00C56257" w14:paraId="23F3EE24" w14:textId="77777777" w:rsidTr="0007555D">
        <w:trPr>
          <w:trHeight w:val="300"/>
          <w:jc w:val="center"/>
        </w:trPr>
        <w:tc>
          <w:tcPr>
            <w:tcW w:w="0" w:type="auto"/>
            <w:tcBorders>
              <w:top w:val="nil"/>
              <w:left w:val="single" w:sz="4" w:space="0" w:color="auto"/>
              <w:bottom w:val="nil"/>
              <w:right w:val="single" w:sz="4" w:space="0" w:color="auto"/>
            </w:tcBorders>
            <w:shd w:val="clear" w:color="auto" w:fill="auto"/>
            <w:noWrap/>
            <w:vAlign w:val="center"/>
            <w:hideMark/>
          </w:tcPr>
          <w:p w14:paraId="6015F311" w14:textId="77777777" w:rsidR="0007555D" w:rsidRPr="00C56257" w:rsidRDefault="0007555D" w:rsidP="00F100E1">
            <w:pPr>
              <w:spacing w:after="160" w:line="259" w:lineRule="auto"/>
              <w:jc w:val="both"/>
              <w:rPr>
                <w:color w:val="000000"/>
              </w:rPr>
            </w:pPr>
            <w:r w:rsidRPr="00C56257">
              <w:rPr>
                <w:color w:val="000000"/>
              </w:rPr>
              <w:t>2</w:t>
            </w:r>
          </w:p>
        </w:tc>
        <w:tc>
          <w:tcPr>
            <w:tcW w:w="0" w:type="auto"/>
            <w:tcBorders>
              <w:top w:val="nil"/>
              <w:left w:val="nil"/>
              <w:bottom w:val="nil"/>
              <w:right w:val="single" w:sz="4" w:space="0" w:color="auto"/>
            </w:tcBorders>
            <w:shd w:val="clear" w:color="auto" w:fill="auto"/>
            <w:noWrap/>
            <w:vAlign w:val="center"/>
            <w:hideMark/>
          </w:tcPr>
          <w:p w14:paraId="451AAF7D"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2BCB1FDC"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nil"/>
              <w:right w:val="nil"/>
            </w:tcBorders>
            <w:shd w:val="clear" w:color="auto" w:fill="auto"/>
            <w:noWrap/>
            <w:vAlign w:val="center"/>
            <w:hideMark/>
          </w:tcPr>
          <w:p w14:paraId="2A91FF68" w14:textId="77777777" w:rsidR="0007555D" w:rsidRPr="00C56257" w:rsidRDefault="0007555D" w:rsidP="00F100E1">
            <w:pPr>
              <w:spacing w:after="160" w:line="259" w:lineRule="auto"/>
              <w:jc w:val="both"/>
              <w:rPr>
                <w:color w:val="000000"/>
              </w:rPr>
            </w:pPr>
            <w:r w:rsidRPr="00C56257">
              <w:rPr>
                <w:color w:val="000000"/>
              </w:rPr>
              <w:t>0</w:t>
            </w:r>
          </w:p>
        </w:tc>
        <w:tc>
          <w:tcPr>
            <w:tcW w:w="0" w:type="auto"/>
            <w:vMerge/>
            <w:tcBorders>
              <w:top w:val="nil"/>
              <w:left w:val="single" w:sz="4" w:space="0" w:color="auto"/>
              <w:bottom w:val="single" w:sz="4" w:space="0" w:color="000000"/>
              <w:right w:val="single" w:sz="4" w:space="0" w:color="auto"/>
            </w:tcBorders>
            <w:vAlign w:val="center"/>
            <w:hideMark/>
          </w:tcPr>
          <w:p w14:paraId="3E00135F" w14:textId="77777777" w:rsidR="0007555D" w:rsidRPr="00C56257" w:rsidRDefault="0007555D" w:rsidP="00F100E1">
            <w:pPr>
              <w:spacing w:after="160" w:line="259" w:lineRule="auto"/>
              <w:jc w:val="both"/>
              <w:rPr>
                <w:color w:val="000000"/>
              </w:rPr>
            </w:pPr>
          </w:p>
        </w:tc>
      </w:tr>
      <w:tr w:rsidR="0007555D" w:rsidRPr="00C56257" w14:paraId="2ACD86AE" w14:textId="77777777" w:rsidTr="0007555D">
        <w:trPr>
          <w:trHeight w:val="300"/>
          <w:jc w:val="center"/>
        </w:trPr>
        <w:tc>
          <w:tcPr>
            <w:tcW w:w="0" w:type="auto"/>
            <w:tcBorders>
              <w:top w:val="nil"/>
              <w:left w:val="single" w:sz="4" w:space="0" w:color="auto"/>
              <w:bottom w:val="nil"/>
              <w:right w:val="single" w:sz="4" w:space="0" w:color="auto"/>
            </w:tcBorders>
            <w:shd w:val="clear" w:color="auto" w:fill="auto"/>
            <w:noWrap/>
            <w:vAlign w:val="center"/>
            <w:hideMark/>
          </w:tcPr>
          <w:p w14:paraId="6003B19E" w14:textId="77777777" w:rsidR="0007555D" w:rsidRPr="00C56257" w:rsidRDefault="0007555D" w:rsidP="00F100E1">
            <w:pPr>
              <w:spacing w:after="160" w:line="259" w:lineRule="auto"/>
              <w:jc w:val="both"/>
              <w:rPr>
                <w:color w:val="000000"/>
              </w:rPr>
            </w:pPr>
            <w:r w:rsidRPr="00C56257">
              <w:rPr>
                <w:color w:val="000000"/>
              </w:rPr>
              <w:t>2</w:t>
            </w:r>
          </w:p>
        </w:tc>
        <w:tc>
          <w:tcPr>
            <w:tcW w:w="0" w:type="auto"/>
            <w:tcBorders>
              <w:top w:val="nil"/>
              <w:left w:val="nil"/>
              <w:bottom w:val="nil"/>
              <w:right w:val="single" w:sz="4" w:space="0" w:color="auto"/>
            </w:tcBorders>
            <w:shd w:val="clear" w:color="auto" w:fill="auto"/>
            <w:noWrap/>
            <w:vAlign w:val="center"/>
            <w:hideMark/>
          </w:tcPr>
          <w:p w14:paraId="08C1F2BD"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1389E533"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nil"/>
            </w:tcBorders>
            <w:shd w:val="clear" w:color="auto" w:fill="auto"/>
            <w:noWrap/>
            <w:vAlign w:val="center"/>
            <w:hideMark/>
          </w:tcPr>
          <w:p w14:paraId="2C2A9345" w14:textId="77777777" w:rsidR="0007555D" w:rsidRPr="00C56257" w:rsidRDefault="0007555D" w:rsidP="00F100E1">
            <w:pPr>
              <w:spacing w:after="160" w:line="259" w:lineRule="auto"/>
              <w:jc w:val="both"/>
              <w:rPr>
                <w:color w:val="000000"/>
              </w:rPr>
            </w:pPr>
            <w:r w:rsidRPr="00C56257">
              <w:rPr>
                <w:color w:val="000000"/>
              </w:rPr>
              <w:t>1</w:t>
            </w:r>
          </w:p>
        </w:tc>
        <w:tc>
          <w:tcPr>
            <w:tcW w:w="0" w:type="auto"/>
            <w:vMerge/>
            <w:tcBorders>
              <w:top w:val="nil"/>
              <w:left w:val="single" w:sz="4" w:space="0" w:color="auto"/>
              <w:bottom w:val="single" w:sz="4" w:space="0" w:color="000000"/>
              <w:right w:val="single" w:sz="4" w:space="0" w:color="auto"/>
            </w:tcBorders>
            <w:vAlign w:val="center"/>
            <w:hideMark/>
          </w:tcPr>
          <w:p w14:paraId="78608B50" w14:textId="77777777" w:rsidR="0007555D" w:rsidRPr="00C56257" w:rsidRDefault="0007555D" w:rsidP="00F100E1">
            <w:pPr>
              <w:spacing w:after="160" w:line="259" w:lineRule="auto"/>
              <w:jc w:val="both"/>
              <w:rPr>
                <w:color w:val="000000"/>
              </w:rPr>
            </w:pPr>
          </w:p>
        </w:tc>
      </w:tr>
      <w:tr w:rsidR="0007555D" w:rsidRPr="00C56257" w14:paraId="7340462A" w14:textId="77777777" w:rsidTr="0007555D">
        <w:trPr>
          <w:trHeight w:val="300"/>
          <w:jc w:val="center"/>
        </w:trPr>
        <w:tc>
          <w:tcPr>
            <w:tcW w:w="0" w:type="auto"/>
            <w:tcBorders>
              <w:top w:val="nil"/>
              <w:left w:val="single" w:sz="4" w:space="0" w:color="auto"/>
              <w:bottom w:val="nil"/>
              <w:right w:val="single" w:sz="4" w:space="0" w:color="auto"/>
            </w:tcBorders>
            <w:shd w:val="clear" w:color="auto" w:fill="auto"/>
            <w:noWrap/>
            <w:vAlign w:val="center"/>
            <w:hideMark/>
          </w:tcPr>
          <w:p w14:paraId="29B49C8D"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nil"/>
              <w:right w:val="single" w:sz="4" w:space="0" w:color="auto"/>
            </w:tcBorders>
            <w:shd w:val="clear" w:color="auto" w:fill="auto"/>
            <w:noWrap/>
            <w:vAlign w:val="center"/>
            <w:hideMark/>
          </w:tcPr>
          <w:p w14:paraId="10E690D0"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nil"/>
              <w:right w:val="single" w:sz="4" w:space="0" w:color="auto"/>
            </w:tcBorders>
            <w:shd w:val="clear" w:color="auto" w:fill="auto"/>
            <w:noWrap/>
            <w:vAlign w:val="center"/>
            <w:hideMark/>
          </w:tcPr>
          <w:p w14:paraId="784E28E4"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nil"/>
              <w:right w:val="nil"/>
            </w:tcBorders>
            <w:shd w:val="clear" w:color="auto" w:fill="auto"/>
            <w:noWrap/>
            <w:vAlign w:val="center"/>
            <w:hideMark/>
          </w:tcPr>
          <w:p w14:paraId="6983AEE8" w14:textId="77777777" w:rsidR="0007555D" w:rsidRPr="00C56257" w:rsidRDefault="0007555D" w:rsidP="00F100E1">
            <w:pPr>
              <w:spacing w:after="160" w:line="259" w:lineRule="auto"/>
              <w:jc w:val="both"/>
              <w:rPr>
                <w:color w:val="000000"/>
              </w:rPr>
            </w:pPr>
            <w:r w:rsidRPr="00C56257">
              <w:rPr>
                <w:color w:val="000000"/>
              </w:rPr>
              <w:t>0</w:t>
            </w:r>
          </w:p>
        </w:tc>
        <w:tc>
          <w:tcPr>
            <w:tcW w:w="0" w:type="auto"/>
            <w:vMerge/>
            <w:tcBorders>
              <w:top w:val="nil"/>
              <w:left w:val="single" w:sz="4" w:space="0" w:color="auto"/>
              <w:bottom w:val="single" w:sz="4" w:space="0" w:color="000000"/>
              <w:right w:val="single" w:sz="4" w:space="0" w:color="auto"/>
            </w:tcBorders>
            <w:vAlign w:val="center"/>
            <w:hideMark/>
          </w:tcPr>
          <w:p w14:paraId="7BD9F2B0" w14:textId="77777777" w:rsidR="0007555D" w:rsidRPr="00C56257" w:rsidRDefault="0007555D" w:rsidP="00F100E1">
            <w:pPr>
              <w:spacing w:after="160" w:line="259" w:lineRule="auto"/>
              <w:jc w:val="both"/>
              <w:rPr>
                <w:color w:val="000000"/>
              </w:rPr>
            </w:pPr>
          </w:p>
        </w:tc>
      </w:tr>
      <w:tr w:rsidR="0007555D" w:rsidRPr="00C56257" w14:paraId="56B9EE89" w14:textId="77777777" w:rsidTr="0007555D">
        <w:trPr>
          <w:trHeight w:val="300"/>
          <w:jc w:val="center"/>
        </w:trPr>
        <w:tc>
          <w:tcPr>
            <w:tcW w:w="0" w:type="auto"/>
            <w:tcBorders>
              <w:top w:val="nil"/>
              <w:left w:val="single" w:sz="4" w:space="0" w:color="auto"/>
              <w:bottom w:val="nil"/>
              <w:right w:val="single" w:sz="4" w:space="0" w:color="auto"/>
            </w:tcBorders>
            <w:shd w:val="clear" w:color="auto" w:fill="auto"/>
            <w:noWrap/>
            <w:vAlign w:val="center"/>
            <w:hideMark/>
          </w:tcPr>
          <w:p w14:paraId="03D0BFC2"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nil"/>
              <w:right w:val="single" w:sz="4" w:space="0" w:color="auto"/>
            </w:tcBorders>
            <w:shd w:val="clear" w:color="auto" w:fill="auto"/>
            <w:noWrap/>
            <w:vAlign w:val="center"/>
            <w:hideMark/>
          </w:tcPr>
          <w:p w14:paraId="7A592ABF"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nil"/>
              <w:right w:val="single" w:sz="4" w:space="0" w:color="auto"/>
            </w:tcBorders>
            <w:shd w:val="clear" w:color="auto" w:fill="auto"/>
            <w:noWrap/>
            <w:vAlign w:val="center"/>
            <w:hideMark/>
          </w:tcPr>
          <w:p w14:paraId="49C9E735"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nil"/>
            </w:tcBorders>
            <w:shd w:val="clear" w:color="auto" w:fill="auto"/>
            <w:noWrap/>
            <w:vAlign w:val="center"/>
            <w:hideMark/>
          </w:tcPr>
          <w:p w14:paraId="61B7C5FA" w14:textId="77777777" w:rsidR="0007555D" w:rsidRPr="00C56257" w:rsidRDefault="0007555D" w:rsidP="00F100E1">
            <w:pPr>
              <w:spacing w:after="160" w:line="259" w:lineRule="auto"/>
              <w:jc w:val="both"/>
              <w:rPr>
                <w:color w:val="000000"/>
              </w:rPr>
            </w:pPr>
            <w:r w:rsidRPr="00C56257">
              <w:rPr>
                <w:color w:val="000000"/>
              </w:rPr>
              <w:t>1</w:t>
            </w:r>
          </w:p>
        </w:tc>
        <w:tc>
          <w:tcPr>
            <w:tcW w:w="0" w:type="auto"/>
            <w:vMerge/>
            <w:tcBorders>
              <w:top w:val="nil"/>
              <w:left w:val="single" w:sz="4" w:space="0" w:color="auto"/>
              <w:bottom w:val="single" w:sz="4" w:space="0" w:color="000000"/>
              <w:right w:val="single" w:sz="4" w:space="0" w:color="auto"/>
            </w:tcBorders>
            <w:vAlign w:val="center"/>
            <w:hideMark/>
          </w:tcPr>
          <w:p w14:paraId="6232ECF9" w14:textId="77777777" w:rsidR="0007555D" w:rsidRPr="00C56257" w:rsidRDefault="0007555D" w:rsidP="00F100E1">
            <w:pPr>
              <w:spacing w:after="160" w:line="259" w:lineRule="auto"/>
              <w:jc w:val="both"/>
              <w:rPr>
                <w:color w:val="000000"/>
              </w:rPr>
            </w:pPr>
          </w:p>
        </w:tc>
      </w:tr>
      <w:tr w:rsidR="0007555D" w:rsidRPr="00C56257" w14:paraId="477ED6A8" w14:textId="77777777" w:rsidTr="0007555D">
        <w:trPr>
          <w:trHeight w:val="300"/>
          <w:jc w:val="center"/>
        </w:trPr>
        <w:tc>
          <w:tcPr>
            <w:tcW w:w="0" w:type="auto"/>
            <w:tcBorders>
              <w:top w:val="nil"/>
              <w:left w:val="single" w:sz="4" w:space="0" w:color="auto"/>
              <w:bottom w:val="nil"/>
              <w:right w:val="single" w:sz="4" w:space="0" w:color="auto"/>
            </w:tcBorders>
            <w:shd w:val="clear" w:color="auto" w:fill="auto"/>
            <w:noWrap/>
            <w:vAlign w:val="center"/>
            <w:hideMark/>
          </w:tcPr>
          <w:p w14:paraId="3600F50E" w14:textId="77777777" w:rsidR="0007555D" w:rsidRPr="00C56257" w:rsidRDefault="0007555D" w:rsidP="00F100E1">
            <w:pPr>
              <w:spacing w:after="160" w:line="259" w:lineRule="auto"/>
              <w:jc w:val="both"/>
              <w:rPr>
                <w:color w:val="000000"/>
              </w:rPr>
            </w:pPr>
            <w:r w:rsidRPr="00C56257">
              <w:rPr>
                <w:color w:val="000000"/>
              </w:rPr>
              <w:t> </w:t>
            </w:r>
          </w:p>
        </w:tc>
        <w:tc>
          <w:tcPr>
            <w:tcW w:w="0" w:type="auto"/>
            <w:tcBorders>
              <w:top w:val="nil"/>
              <w:left w:val="nil"/>
              <w:bottom w:val="nil"/>
              <w:right w:val="single" w:sz="4" w:space="0" w:color="auto"/>
            </w:tcBorders>
            <w:shd w:val="clear" w:color="auto" w:fill="auto"/>
            <w:noWrap/>
            <w:vAlign w:val="center"/>
            <w:hideMark/>
          </w:tcPr>
          <w:p w14:paraId="5DC5FA84" w14:textId="77777777" w:rsidR="0007555D" w:rsidRPr="00C56257" w:rsidRDefault="0007555D" w:rsidP="00F100E1">
            <w:pPr>
              <w:spacing w:after="160" w:line="259" w:lineRule="auto"/>
              <w:jc w:val="both"/>
              <w:rPr>
                <w:color w:val="000000"/>
              </w:rPr>
            </w:pPr>
            <w:r w:rsidRPr="00C56257">
              <w:rPr>
                <w:color w:val="000000"/>
              </w:rPr>
              <w:t> </w:t>
            </w:r>
          </w:p>
        </w:tc>
        <w:tc>
          <w:tcPr>
            <w:tcW w:w="0" w:type="auto"/>
            <w:tcBorders>
              <w:top w:val="nil"/>
              <w:left w:val="nil"/>
              <w:bottom w:val="nil"/>
              <w:right w:val="single" w:sz="4" w:space="0" w:color="auto"/>
            </w:tcBorders>
            <w:shd w:val="clear" w:color="auto" w:fill="auto"/>
            <w:noWrap/>
            <w:vAlign w:val="center"/>
            <w:hideMark/>
          </w:tcPr>
          <w:p w14:paraId="0F289164" w14:textId="77777777" w:rsidR="0007555D" w:rsidRPr="00C56257" w:rsidRDefault="0007555D" w:rsidP="00F100E1">
            <w:pPr>
              <w:spacing w:after="160" w:line="259" w:lineRule="auto"/>
              <w:jc w:val="both"/>
              <w:rPr>
                <w:color w:val="000000"/>
              </w:rPr>
            </w:pPr>
            <w:r w:rsidRPr="00C56257">
              <w:rPr>
                <w:color w:val="000000"/>
              </w:rPr>
              <w:t> </w:t>
            </w:r>
          </w:p>
        </w:tc>
        <w:tc>
          <w:tcPr>
            <w:tcW w:w="0" w:type="auto"/>
            <w:tcBorders>
              <w:top w:val="nil"/>
              <w:left w:val="nil"/>
              <w:bottom w:val="nil"/>
              <w:right w:val="nil"/>
            </w:tcBorders>
            <w:shd w:val="clear" w:color="auto" w:fill="auto"/>
            <w:noWrap/>
            <w:vAlign w:val="center"/>
            <w:hideMark/>
          </w:tcPr>
          <w:p w14:paraId="225E7156" w14:textId="77777777" w:rsidR="0007555D" w:rsidRPr="00C56257" w:rsidRDefault="0007555D" w:rsidP="00F100E1">
            <w:pPr>
              <w:spacing w:after="160" w:line="259" w:lineRule="auto"/>
              <w:jc w:val="both"/>
              <w:rPr>
                <w:color w:val="000000"/>
              </w:rPr>
            </w:pPr>
          </w:p>
        </w:tc>
        <w:tc>
          <w:tcPr>
            <w:tcW w:w="0" w:type="auto"/>
            <w:vMerge/>
            <w:tcBorders>
              <w:top w:val="nil"/>
              <w:left w:val="single" w:sz="4" w:space="0" w:color="auto"/>
              <w:bottom w:val="single" w:sz="4" w:space="0" w:color="000000"/>
              <w:right w:val="single" w:sz="4" w:space="0" w:color="auto"/>
            </w:tcBorders>
            <w:vAlign w:val="center"/>
            <w:hideMark/>
          </w:tcPr>
          <w:p w14:paraId="1C2EB913" w14:textId="77777777" w:rsidR="0007555D" w:rsidRPr="00C56257" w:rsidRDefault="0007555D" w:rsidP="00F100E1">
            <w:pPr>
              <w:spacing w:after="160" w:line="259" w:lineRule="auto"/>
              <w:jc w:val="both"/>
              <w:rPr>
                <w:color w:val="000000"/>
              </w:rPr>
            </w:pPr>
          </w:p>
        </w:tc>
      </w:tr>
      <w:tr w:rsidR="0007555D" w:rsidRPr="00C56257" w14:paraId="72BCE695" w14:textId="77777777" w:rsidTr="0007555D">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FDD32E" w14:textId="77777777" w:rsidR="0007555D" w:rsidRPr="00C56257" w:rsidRDefault="0007555D" w:rsidP="00F100E1">
            <w:pPr>
              <w:spacing w:after="160" w:line="259" w:lineRule="auto"/>
              <w:jc w:val="both"/>
              <w:rPr>
                <w:color w:val="000000"/>
              </w:rPr>
            </w:pPr>
            <w:r w:rsidRPr="00C56257">
              <w:rPr>
                <w:color w:val="000000"/>
              </w:rPr>
              <w:lastRenderedPageBreak/>
              <w:t> </w:t>
            </w:r>
          </w:p>
        </w:tc>
        <w:tc>
          <w:tcPr>
            <w:tcW w:w="0" w:type="auto"/>
            <w:tcBorders>
              <w:top w:val="nil"/>
              <w:left w:val="nil"/>
              <w:bottom w:val="single" w:sz="4" w:space="0" w:color="auto"/>
              <w:right w:val="single" w:sz="4" w:space="0" w:color="auto"/>
            </w:tcBorders>
            <w:shd w:val="clear" w:color="auto" w:fill="auto"/>
            <w:noWrap/>
            <w:vAlign w:val="center"/>
            <w:hideMark/>
          </w:tcPr>
          <w:p w14:paraId="0F9B77FC" w14:textId="77777777" w:rsidR="0007555D" w:rsidRPr="00C56257" w:rsidRDefault="0007555D" w:rsidP="00F100E1">
            <w:pPr>
              <w:spacing w:after="160" w:line="259" w:lineRule="auto"/>
              <w:jc w:val="both"/>
              <w:rPr>
                <w:color w:val="000000"/>
              </w:rPr>
            </w:pPr>
            <w:r w:rsidRPr="00C56257">
              <w:rPr>
                <w:color w:val="000000"/>
              </w:rPr>
              <w:t> </w:t>
            </w:r>
          </w:p>
        </w:tc>
        <w:tc>
          <w:tcPr>
            <w:tcW w:w="0" w:type="auto"/>
            <w:tcBorders>
              <w:top w:val="nil"/>
              <w:left w:val="nil"/>
              <w:bottom w:val="single" w:sz="4" w:space="0" w:color="auto"/>
              <w:right w:val="single" w:sz="4" w:space="0" w:color="auto"/>
            </w:tcBorders>
            <w:shd w:val="clear" w:color="auto" w:fill="auto"/>
            <w:noWrap/>
            <w:vAlign w:val="center"/>
            <w:hideMark/>
          </w:tcPr>
          <w:p w14:paraId="5A56C414" w14:textId="77777777" w:rsidR="0007555D" w:rsidRPr="00C56257" w:rsidRDefault="0007555D" w:rsidP="00F100E1">
            <w:pPr>
              <w:spacing w:after="160" w:line="259" w:lineRule="auto"/>
              <w:jc w:val="both"/>
              <w:rPr>
                <w:color w:val="000000"/>
              </w:rPr>
            </w:pPr>
            <w:r w:rsidRPr="00C56257">
              <w:rPr>
                <w:color w:val="000000"/>
              </w:rPr>
              <w:t> </w:t>
            </w:r>
          </w:p>
        </w:tc>
        <w:tc>
          <w:tcPr>
            <w:tcW w:w="0" w:type="auto"/>
            <w:tcBorders>
              <w:top w:val="nil"/>
              <w:left w:val="nil"/>
              <w:bottom w:val="single" w:sz="4" w:space="0" w:color="auto"/>
              <w:right w:val="nil"/>
            </w:tcBorders>
            <w:shd w:val="clear" w:color="auto" w:fill="auto"/>
            <w:noWrap/>
            <w:vAlign w:val="center"/>
            <w:hideMark/>
          </w:tcPr>
          <w:p w14:paraId="4DAD22AF" w14:textId="77777777" w:rsidR="0007555D" w:rsidRPr="00C56257" w:rsidRDefault="0007555D" w:rsidP="00F100E1">
            <w:pPr>
              <w:spacing w:after="160" w:line="259" w:lineRule="auto"/>
              <w:jc w:val="both"/>
              <w:rPr>
                <w:color w:val="000000"/>
              </w:rPr>
            </w:pPr>
            <w:r w:rsidRPr="00C56257">
              <w:rPr>
                <w:color w:val="000000"/>
              </w:rPr>
              <w:t> </w:t>
            </w:r>
          </w:p>
        </w:tc>
        <w:tc>
          <w:tcPr>
            <w:tcW w:w="0" w:type="auto"/>
            <w:vMerge/>
            <w:tcBorders>
              <w:top w:val="nil"/>
              <w:left w:val="single" w:sz="4" w:space="0" w:color="auto"/>
              <w:bottom w:val="single" w:sz="4" w:space="0" w:color="000000"/>
              <w:right w:val="single" w:sz="4" w:space="0" w:color="auto"/>
            </w:tcBorders>
            <w:vAlign w:val="center"/>
            <w:hideMark/>
          </w:tcPr>
          <w:p w14:paraId="0618713D" w14:textId="77777777" w:rsidR="0007555D" w:rsidRPr="00C56257" w:rsidRDefault="0007555D" w:rsidP="00F100E1">
            <w:pPr>
              <w:spacing w:after="160" w:line="259" w:lineRule="auto"/>
              <w:jc w:val="both"/>
              <w:rPr>
                <w:color w:val="000000"/>
              </w:rPr>
            </w:pPr>
          </w:p>
        </w:tc>
      </w:tr>
      <w:tr w:rsidR="0007555D" w:rsidRPr="00C56257" w14:paraId="1A14CBDB" w14:textId="77777777" w:rsidTr="0007555D">
        <w:trPr>
          <w:trHeight w:val="300"/>
          <w:jc w:val="center"/>
        </w:trPr>
        <w:tc>
          <w:tcPr>
            <w:tcW w:w="0" w:type="auto"/>
            <w:tcBorders>
              <w:top w:val="nil"/>
              <w:left w:val="single" w:sz="4" w:space="0" w:color="auto"/>
              <w:bottom w:val="nil"/>
              <w:right w:val="single" w:sz="4" w:space="0" w:color="auto"/>
            </w:tcBorders>
            <w:shd w:val="clear" w:color="auto" w:fill="auto"/>
            <w:noWrap/>
            <w:vAlign w:val="center"/>
            <w:hideMark/>
          </w:tcPr>
          <w:p w14:paraId="53E6CF86"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58B42903"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1296300F" w14:textId="77777777" w:rsidR="0007555D" w:rsidRPr="00C56257" w:rsidRDefault="0007555D" w:rsidP="00F100E1">
            <w:pPr>
              <w:spacing w:after="160" w:line="259" w:lineRule="auto"/>
              <w:jc w:val="both"/>
              <w:rPr>
                <w:color w:val="000000"/>
              </w:rPr>
            </w:pPr>
            <w:r w:rsidRPr="00C56257">
              <w:rPr>
                <w:color w:val="000000"/>
              </w:rPr>
              <w:t>3</w:t>
            </w:r>
          </w:p>
        </w:tc>
        <w:tc>
          <w:tcPr>
            <w:tcW w:w="0" w:type="auto"/>
            <w:tcBorders>
              <w:top w:val="nil"/>
              <w:left w:val="nil"/>
              <w:bottom w:val="nil"/>
              <w:right w:val="single" w:sz="4" w:space="0" w:color="auto"/>
            </w:tcBorders>
            <w:shd w:val="clear" w:color="auto" w:fill="auto"/>
            <w:noWrap/>
            <w:vAlign w:val="center"/>
            <w:hideMark/>
          </w:tcPr>
          <w:p w14:paraId="26BE6C5E" w14:textId="77777777" w:rsidR="0007555D" w:rsidRPr="00C56257" w:rsidRDefault="0007555D" w:rsidP="00F100E1">
            <w:pPr>
              <w:spacing w:after="160" w:line="259" w:lineRule="auto"/>
              <w:jc w:val="both"/>
              <w:rPr>
                <w:color w:val="000000"/>
              </w:rPr>
            </w:pPr>
            <w:r w:rsidRPr="00C56257">
              <w:rPr>
                <w:color w:val="000000"/>
              </w:rPr>
              <w:t>0</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14:paraId="72501F79" w14:textId="77777777" w:rsidR="0007555D" w:rsidRPr="00C56257" w:rsidRDefault="0007555D" w:rsidP="00F100E1">
            <w:pPr>
              <w:spacing w:after="160" w:line="259" w:lineRule="auto"/>
              <w:jc w:val="both"/>
              <w:rPr>
                <w:color w:val="000000"/>
              </w:rPr>
            </w:pPr>
            <w:r w:rsidRPr="00C56257">
              <w:rPr>
                <w:color w:val="000000"/>
              </w:rPr>
              <w:t xml:space="preserve">Deteriorată </w:t>
            </w:r>
          </w:p>
          <w:p w14:paraId="06D4502F" w14:textId="77777777" w:rsidR="0007555D" w:rsidRPr="00C56257" w:rsidRDefault="0007555D" w:rsidP="00F100E1">
            <w:pPr>
              <w:spacing w:after="160" w:line="259" w:lineRule="auto"/>
              <w:jc w:val="both"/>
              <w:rPr>
                <w:color w:val="000000"/>
              </w:rPr>
            </w:pPr>
            <w:r w:rsidRPr="00C56257">
              <w:rPr>
                <w:color w:val="000000"/>
              </w:rPr>
              <w:br/>
              <w:t>(</w:t>
            </w:r>
            <w:r w:rsidRPr="00C56257">
              <w:rPr>
                <w:i/>
                <w:iCs/>
                <w:color w:val="000000"/>
              </w:rPr>
              <w:t>Domină tendințele în descreștere)</w:t>
            </w:r>
            <w:r w:rsidRPr="00C56257">
              <w:rPr>
                <w:i/>
                <w:iCs/>
                <w:color w:val="000000"/>
              </w:rPr>
              <w:br/>
              <w:t>*Magnitudinea tendinței trebuie luată în considerare. Tendința generală a Stării de conservare prezintă scăderi importante (&gt;1% pe an)</w:t>
            </w:r>
          </w:p>
        </w:tc>
      </w:tr>
      <w:tr w:rsidR="0007555D" w:rsidRPr="00C56257" w14:paraId="7C069E52" w14:textId="77777777" w:rsidTr="0007555D">
        <w:trPr>
          <w:trHeight w:val="300"/>
          <w:jc w:val="center"/>
        </w:trPr>
        <w:tc>
          <w:tcPr>
            <w:tcW w:w="0" w:type="auto"/>
            <w:tcBorders>
              <w:top w:val="nil"/>
              <w:left w:val="single" w:sz="4" w:space="0" w:color="auto"/>
              <w:bottom w:val="nil"/>
              <w:right w:val="single" w:sz="4" w:space="0" w:color="auto"/>
            </w:tcBorders>
            <w:shd w:val="clear" w:color="auto" w:fill="auto"/>
            <w:noWrap/>
            <w:vAlign w:val="center"/>
            <w:hideMark/>
          </w:tcPr>
          <w:p w14:paraId="2ADD4D8D"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nil"/>
              <w:right w:val="single" w:sz="4" w:space="0" w:color="auto"/>
            </w:tcBorders>
            <w:shd w:val="clear" w:color="auto" w:fill="auto"/>
            <w:noWrap/>
            <w:vAlign w:val="center"/>
            <w:hideMark/>
          </w:tcPr>
          <w:p w14:paraId="06F4EE85"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7D6F250D" w14:textId="77777777" w:rsidR="0007555D" w:rsidRPr="00C56257" w:rsidRDefault="0007555D" w:rsidP="00F100E1">
            <w:pPr>
              <w:spacing w:after="160" w:line="259" w:lineRule="auto"/>
              <w:jc w:val="both"/>
              <w:rPr>
                <w:color w:val="000000"/>
              </w:rPr>
            </w:pPr>
            <w:r w:rsidRPr="00C56257">
              <w:rPr>
                <w:color w:val="000000"/>
              </w:rPr>
              <w:t>2</w:t>
            </w:r>
          </w:p>
        </w:tc>
        <w:tc>
          <w:tcPr>
            <w:tcW w:w="0" w:type="auto"/>
            <w:tcBorders>
              <w:top w:val="nil"/>
              <w:left w:val="nil"/>
              <w:bottom w:val="nil"/>
              <w:right w:val="single" w:sz="4" w:space="0" w:color="auto"/>
            </w:tcBorders>
            <w:shd w:val="clear" w:color="auto" w:fill="auto"/>
            <w:noWrap/>
            <w:vAlign w:val="center"/>
            <w:hideMark/>
          </w:tcPr>
          <w:p w14:paraId="2BED6187" w14:textId="77777777" w:rsidR="0007555D" w:rsidRPr="00C56257" w:rsidRDefault="0007555D" w:rsidP="00F100E1">
            <w:pPr>
              <w:spacing w:after="160" w:line="259" w:lineRule="auto"/>
              <w:jc w:val="both"/>
              <w:rPr>
                <w:color w:val="000000"/>
              </w:rPr>
            </w:pPr>
            <w:r w:rsidRPr="00C56257">
              <w:rPr>
                <w:color w:val="000000"/>
              </w:rPr>
              <w:t>0</w:t>
            </w:r>
          </w:p>
        </w:tc>
        <w:tc>
          <w:tcPr>
            <w:tcW w:w="0" w:type="auto"/>
            <w:vMerge/>
            <w:tcBorders>
              <w:top w:val="nil"/>
              <w:left w:val="single" w:sz="4" w:space="0" w:color="auto"/>
              <w:bottom w:val="single" w:sz="4" w:space="0" w:color="000000"/>
              <w:right w:val="single" w:sz="4" w:space="0" w:color="auto"/>
            </w:tcBorders>
            <w:vAlign w:val="center"/>
            <w:hideMark/>
          </w:tcPr>
          <w:p w14:paraId="4CC350FB" w14:textId="77777777" w:rsidR="0007555D" w:rsidRPr="00C56257" w:rsidRDefault="0007555D" w:rsidP="00F100E1">
            <w:pPr>
              <w:spacing w:after="160" w:line="259" w:lineRule="auto"/>
              <w:jc w:val="both"/>
              <w:rPr>
                <w:color w:val="000000"/>
              </w:rPr>
            </w:pPr>
          </w:p>
        </w:tc>
      </w:tr>
      <w:tr w:rsidR="0007555D" w:rsidRPr="00C56257" w14:paraId="11223F2F" w14:textId="77777777" w:rsidTr="0007555D">
        <w:trPr>
          <w:trHeight w:val="300"/>
          <w:jc w:val="center"/>
        </w:trPr>
        <w:tc>
          <w:tcPr>
            <w:tcW w:w="0" w:type="auto"/>
            <w:tcBorders>
              <w:top w:val="nil"/>
              <w:left w:val="single" w:sz="4" w:space="0" w:color="auto"/>
              <w:bottom w:val="nil"/>
              <w:right w:val="single" w:sz="4" w:space="0" w:color="auto"/>
            </w:tcBorders>
            <w:shd w:val="clear" w:color="auto" w:fill="auto"/>
            <w:noWrap/>
            <w:vAlign w:val="center"/>
            <w:hideMark/>
          </w:tcPr>
          <w:p w14:paraId="24F4BAA2"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5BA8A2A8"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nil"/>
              <w:right w:val="single" w:sz="4" w:space="0" w:color="auto"/>
            </w:tcBorders>
            <w:shd w:val="clear" w:color="auto" w:fill="auto"/>
            <w:noWrap/>
            <w:vAlign w:val="center"/>
            <w:hideMark/>
          </w:tcPr>
          <w:p w14:paraId="6F74DDA5" w14:textId="77777777" w:rsidR="0007555D" w:rsidRPr="00C56257" w:rsidRDefault="0007555D" w:rsidP="00F100E1">
            <w:pPr>
              <w:spacing w:after="160" w:line="259" w:lineRule="auto"/>
              <w:jc w:val="both"/>
              <w:rPr>
                <w:color w:val="000000"/>
              </w:rPr>
            </w:pPr>
            <w:r w:rsidRPr="00C56257">
              <w:rPr>
                <w:color w:val="000000"/>
              </w:rPr>
              <w:t>2</w:t>
            </w:r>
          </w:p>
        </w:tc>
        <w:tc>
          <w:tcPr>
            <w:tcW w:w="0" w:type="auto"/>
            <w:tcBorders>
              <w:top w:val="nil"/>
              <w:left w:val="nil"/>
              <w:bottom w:val="nil"/>
              <w:right w:val="single" w:sz="4" w:space="0" w:color="auto"/>
            </w:tcBorders>
            <w:shd w:val="clear" w:color="auto" w:fill="auto"/>
            <w:noWrap/>
            <w:vAlign w:val="center"/>
            <w:hideMark/>
          </w:tcPr>
          <w:p w14:paraId="7168023E" w14:textId="77777777" w:rsidR="0007555D" w:rsidRPr="00C56257" w:rsidRDefault="0007555D" w:rsidP="00F100E1">
            <w:pPr>
              <w:spacing w:after="160" w:line="259" w:lineRule="auto"/>
              <w:jc w:val="both"/>
              <w:rPr>
                <w:color w:val="000000"/>
              </w:rPr>
            </w:pPr>
            <w:r w:rsidRPr="00C56257">
              <w:rPr>
                <w:color w:val="000000"/>
              </w:rPr>
              <w:t>0</w:t>
            </w:r>
          </w:p>
        </w:tc>
        <w:tc>
          <w:tcPr>
            <w:tcW w:w="0" w:type="auto"/>
            <w:vMerge/>
            <w:tcBorders>
              <w:top w:val="nil"/>
              <w:left w:val="single" w:sz="4" w:space="0" w:color="auto"/>
              <w:bottom w:val="single" w:sz="4" w:space="0" w:color="000000"/>
              <w:right w:val="single" w:sz="4" w:space="0" w:color="auto"/>
            </w:tcBorders>
            <w:vAlign w:val="center"/>
            <w:hideMark/>
          </w:tcPr>
          <w:p w14:paraId="3E2AF5BE" w14:textId="77777777" w:rsidR="0007555D" w:rsidRPr="00C56257" w:rsidRDefault="0007555D" w:rsidP="00F100E1">
            <w:pPr>
              <w:spacing w:after="160" w:line="259" w:lineRule="auto"/>
              <w:jc w:val="both"/>
              <w:rPr>
                <w:color w:val="000000"/>
              </w:rPr>
            </w:pPr>
          </w:p>
        </w:tc>
      </w:tr>
      <w:tr w:rsidR="0007555D" w:rsidRPr="00C56257" w14:paraId="37C29E33" w14:textId="77777777" w:rsidTr="0007555D">
        <w:trPr>
          <w:trHeight w:val="300"/>
          <w:jc w:val="center"/>
        </w:trPr>
        <w:tc>
          <w:tcPr>
            <w:tcW w:w="0" w:type="auto"/>
            <w:tcBorders>
              <w:top w:val="nil"/>
              <w:left w:val="single" w:sz="4" w:space="0" w:color="auto"/>
              <w:bottom w:val="nil"/>
              <w:right w:val="single" w:sz="4" w:space="0" w:color="auto"/>
            </w:tcBorders>
            <w:shd w:val="clear" w:color="auto" w:fill="auto"/>
            <w:noWrap/>
            <w:vAlign w:val="center"/>
            <w:hideMark/>
          </w:tcPr>
          <w:p w14:paraId="69DEBAA6"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20AB6493"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6A3E0EF3" w14:textId="77777777" w:rsidR="0007555D" w:rsidRPr="00C56257" w:rsidRDefault="0007555D" w:rsidP="00F100E1">
            <w:pPr>
              <w:spacing w:after="160" w:line="259" w:lineRule="auto"/>
              <w:jc w:val="both"/>
              <w:rPr>
                <w:color w:val="000000"/>
              </w:rPr>
            </w:pPr>
            <w:r w:rsidRPr="00C56257">
              <w:rPr>
                <w:color w:val="000000"/>
              </w:rPr>
              <w:t>2</w:t>
            </w:r>
          </w:p>
        </w:tc>
        <w:tc>
          <w:tcPr>
            <w:tcW w:w="0" w:type="auto"/>
            <w:tcBorders>
              <w:top w:val="nil"/>
              <w:left w:val="nil"/>
              <w:bottom w:val="nil"/>
              <w:right w:val="single" w:sz="4" w:space="0" w:color="auto"/>
            </w:tcBorders>
            <w:shd w:val="clear" w:color="auto" w:fill="auto"/>
            <w:noWrap/>
            <w:vAlign w:val="center"/>
            <w:hideMark/>
          </w:tcPr>
          <w:p w14:paraId="69D07F47" w14:textId="77777777" w:rsidR="0007555D" w:rsidRPr="00C56257" w:rsidRDefault="0007555D" w:rsidP="00F100E1">
            <w:pPr>
              <w:spacing w:after="160" w:line="259" w:lineRule="auto"/>
              <w:jc w:val="both"/>
              <w:rPr>
                <w:color w:val="000000"/>
              </w:rPr>
            </w:pPr>
            <w:r w:rsidRPr="00C56257">
              <w:rPr>
                <w:color w:val="000000"/>
              </w:rPr>
              <w:t>1</w:t>
            </w:r>
          </w:p>
        </w:tc>
        <w:tc>
          <w:tcPr>
            <w:tcW w:w="0" w:type="auto"/>
            <w:vMerge/>
            <w:tcBorders>
              <w:top w:val="nil"/>
              <w:left w:val="single" w:sz="4" w:space="0" w:color="auto"/>
              <w:bottom w:val="single" w:sz="4" w:space="0" w:color="000000"/>
              <w:right w:val="single" w:sz="4" w:space="0" w:color="auto"/>
            </w:tcBorders>
            <w:vAlign w:val="center"/>
            <w:hideMark/>
          </w:tcPr>
          <w:p w14:paraId="7EAFC26C" w14:textId="77777777" w:rsidR="0007555D" w:rsidRPr="00C56257" w:rsidRDefault="0007555D" w:rsidP="00F100E1">
            <w:pPr>
              <w:spacing w:after="160" w:line="259" w:lineRule="auto"/>
              <w:jc w:val="both"/>
              <w:rPr>
                <w:color w:val="000000"/>
              </w:rPr>
            </w:pPr>
          </w:p>
        </w:tc>
      </w:tr>
      <w:tr w:rsidR="0007555D" w:rsidRPr="00C56257" w14:paraId="38EE3FFF" w14:textId="77777777" w:rsidTr="0007555D">
        <w:trPr>
          <w:trHeight w:val="300"/>
          <w:jc w:val="center"/>
        </w:trPr>
        <w:tc>
          <w:tcPr>
            <w:tcW w:w="0" w:type="auto"/>
            <w:tcBorders>
              <w:top w:val="nil"/>
              <w:left w:val="single" w:sz="4" w:space="0" w:color="auto"/>
              <w:bottom w:val="nil"/>
              <w:right w:val="single" w:sz="4" w:space="0" w:color="auto"/>
            </w:tcBorders>
            <w:shd w:val="clear" w:color="auto" w:fill="auto"/>
            <w:noWrap/>
            <w:vAlign w:val="center"/>
            <w:hideMark/>
          </w:tcPr>
          <w:p w14:paraId="403BD2D5"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52141A15" w14:textId="77777777" w:rsidR="0007555D" w:rsidRPr="00C56257" w:rsidRDefault="0007555D" w:rsidP="00F100E1">
            <w:pPr>
              <w:spacing w:after="160" w:line="259" w:lineRule="auto"/>
              <w:jc w:val="both"/>
              <w:rPr>
                <w:color w:val="000000"/>
              </w:rPr>
            </w:pPr>
            <w:r w:rsidRPr="00C56257">
              <w:rPr>
                <w:color w:val="000000"/>
              </w:rPr>
              <w:t>2</w:t>
            </w:r>
          </w:p>
        </w:tc>
        <w:tc>
          <w:tcPr>
            <w:tcW w:w="0" w:type="auto"/>
            <w:tcBorders>
              <w:top w:val="nil"/>
              <w:left w:val="nil"/>
              <w:bottom w:val="nil"/>
              <w:right w:val="single" w:sz="4" w:space="0" w:color="auto"/>
            </w:tcBorders>
            <w:shd w:val="clear" w:color="auto" w:fill="auto"/>
            <w:noWrap/>
            <w:vAlign w:val="center"/>
            <w:hideMark/>
          </w:tcPr>
          <w:p w14:paraId="68397643"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nil"/>
              <w:right w:val="single" w:sz="4" w:space="0" w:color="auto"/>
            </w:tcBorders>
            <w:shd w:val="clear" w:color="auto" w:fill="auto"/>
            <w:noWrap/>
            <w:vAlign w:val="center"/>
            <w:hideMark/>
          </w:tcPr>
          <w:p w14:paraId="7F7AD1FC" w14:textId="77777777" w:rsidR="0007555D" w:rsidRPr="00C56257" w:rsidRDefault="0007555D" w:rsidP="00F100E1">
            <w:pPr>
              <w:spacing w:after="160" w:line="259" w:lineRule="auto"/>
              <w:jc w:val="both"/>
              <w:rPr>
                <w:color w:val="000000"/>
              </w:rPr>
            </w:pPr>
            <w:r w:rsidRPr="00C56257">
              <w:rPr>
                <w:color w:val="000000"/>
              </w:rPr>
              <w:t>0</w:t>
            </w:r>
          </w:p>
        </w:tc>
        <w:tc>
          <w:tcPr>
            <w:tcW w:w="0" w:type="auto"/>
            <w:vMerge/>
            <w:tcBorders>
              <w:top w:val="nil"/>
              <w:left w:val="single" w:sz="4" w:space="0" w:color="auto"/>
              <w:bottom w:val="single" w:sz="4" w:space="0" w:color="000000"/>
              <w:right w:val="single" w:sz="4" w:space="0" w:color="auto"/>
            </w:tcBorders>
            <w:vAlign w:val="center"/>
            <w:hideMark/>
          </w:tcPr>
          <w:p w14:paraId="25D6B519" w14:textId="77777777" w:rsidR="0007555D" w:rsidRPr="00C56257" w:rsidRDefault="0007555D" w:rsidP="00F100E1">
            <w:pPr>
              <w:spacing w:after="160" w:line="259" w:lineRule="auto"/>
              <w:jc w:val="both"/>
              <w:rPr>
                <w:color w:val="000000"/>
              </w:rPr>
            </w:pPr>
          </w:p>
        </w:tc>
      </w:tr>
      <w:tr w:rsidR="0007555D" w:rsidRPr="00C56257" w14:paraId="51B9DAD9" w14:textId="77777777" w:rsidTr="0007555D">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19F128"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single" w:sz="4" w:space="0" w:color="auto"/>
              <w:right w:val="single" w:sz="4" w:space="0" w:color="auto"/>
            </w:tcBorders>
            <w:shd w:val="clear" w:color="auto" w:fill="auto"/>
            <w:noWrap/>
            <w:vAlign w:val="center"/>
            <w:hideMark/>
          </w:tcPr>
          <w:p w14:paraId="29454501"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single" w:sz="4" w:space="0" w:color="auto"/>
              <w:right w:val="single" w:sz="4" w:space="0" w:color="auto"/>
            </w:tcBorders>
            <w:shd w:val="clear" w:color="auto" w:fill="auto"/>
            <w:noWrap/>
            <w:vAlign w:val="center"/>
            <w:hideMark/>
          </w:tcPr>
          <w:p w14:paraId="6174F70D"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single" w:sz="4" w:space="0" w:color="auto"/>
              <w:right w:val="single" w:sz="4" w:space="0" w:color="auto"/>
            </w:tcBorders>
            <w:shd w:val="clear" w:color="auto" w:fill="auto"/>
            <w:noWrap/>
            <w:vAlign w:val="center"/>
            <w:hideMark/>
          </w:tcPr>
          <w:p w14:paraId="5F3696B2" w14:textId="77777777" w:rsidR="0007555D" w:rsidRPr="00C56257" w:rsidRDefault="0007555D" w:rsidP="00F100E1">
            <w:pPr>
              <w:spacing w:after="160" w:line="259" w:lineRule="auto"/>
              <w:jc w:val="both"/>
              <w:rPr>
                <w:color w:val="000000"/>
              </w:rPr>
            </w:pPr>
            <w:r w:rsidRPr="00C56257">
              <w:rPr>
                <w:color w:val="000000"/>
              </w:rPr>
              <w:t>0</w:t>
            </w:r>
          </w:p>
        </w:tc>
        <w:tc>
          <w:tcPr>
            <w:tcW w:w="0" w:type="auto"/>
            <w:vMerge/>
            <w:tcBorders>
              <w:top w:val="nil"/>
              <w:left w:val="single" w:sz="4" w:space="0" w:color="auto"/>
              <w:bottom w:val="single" w:sz="4" w:space="0" w:color="000000"/>
              <w:right w:val="single" w:sz="4" w:space="0" w:color="auto"/>
            </w:tcBorders>
            <w:vAlign w:val="center"/>
            <w:hideMark/>
          </w:tcPr>
          <w:p w14:paraId="4C4016DC" w14:textId="77777777" w:rsidR="0007555D" w:rsidRPr="00C56257" w:rsidRDefault="0007555D" w:rsidP="00F100E1">
            <w:pPr>
              <w:spacing w:after="160" w:line="259" w:lineRule="auto"/>
              <w:jc w:val="both"/>
              <w:rPr>
                <w:color w:val="000000"/>
              </w:rPr>
            </w:pPr>
          </w:p>
        </w:tc>
      </w:tr>
      <w:tr w:rsidR="0007555D" w:rsidRPr="00C56257" w14:paraId="1C14D927" w14:textId="77777777" w:rsidTr="0007555D">
        <w:trPr>
          <w:trHeight w:val="300"/>
          <w:jc w:val="center"/>
        </w:trPr>
        <w:tc>
          <w:tcPr>
            <w:tcW w:w="0" w:type="auto"/>
            <w:tcBorders>
              <w:top w:val="nil"/>
              <w:left w:val="single" w:sz="4" w:space="0" w:color="auto"/>
              <w:bottom w:val="nil"/>
              <w:right w:val="single" w:sz="4" w:space="0" w:color="auto"/>
            </w:tcBorders>
            <w:shd w:val="clear" w:color="auto" w:fill="auto"/>
            <w:noWrap/>
            <w:vAlign w:val="center"/>
            <w:hideMark/>
          </w:tcPr>
          <w:p w14:paraId="620DAA5F"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414DDBCC"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62F6006B"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127AE483" w14:textId="77777777" w:rsidR="0007555D" w:rsidRPr="00C56257" w:rsidRDefault="0007555D" w:rsidP="00F100E1">
            <w:pPr>
              <w:spacing w:after="160" w:line="259" w:lineRule="auto"/>
              <w:jc w:val="both"/>
              <w:rPr>
                <w:color w:val="000000"/>
              </w:rPr>
            </w:pPr>
            <w:r w:rsidRPr="00C56257">
              <w:rPr>
                <w:color w:val="000000"/>
              </w:rPr>
              <w:t>3</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0F9D2EB0" w14:textId="77777777" w:rsidR="0007555D" w:rsidRPr="00C56257" w:rsidRDefault="0007555D" w:rsidP="00F100E1">
            <w:pPr>
              <w:spacing w:after="160" w:line="259" w:lineRule="auto"/>
              <w:jc w:val="both"/>
              <w:rPr>
                <w:color w:val="000000"/>
              </w:rPr>
            </w:pPr>
            <w:r w:rsidRPr="00C56257">
              <w:rPr>
                <w:color w:val="000000"/>
              </w:rPr>
              <w:t>Necunoscută</w:t>
            </w:r>
            <w:r w:rsidRPr="00C56257">
              <w:rPr>
                <w:color w:val="000000"/>
              </w:rPr>
              <w:br/>
            </w:r>
            <w:r w:rsidRPr="00C56257">
              <w:rPr>
                <w:color w:val="000000"/>
              </w:rPr>
              <w:br/>
            </w:r>
            <w:r w:rsidRPr="00C56257">
              <w:rPr>
                <w:i/>
                <w:iCs/>
                <w:color w:val="000000"/>
              </w:rPr>
              <w:t>(Domină tendințele necunoscute)</w:t>
            </w:r>
          </w:p>
        </w:tc>
      </w:tr>
      <w:tr w:rsidR="0007555D" w:rsidRPr="00C56257" w14:paraId="60987408" w14:textId="77777777" w:rsidTr="0007555D">
        <w:trPr>
          <w:trHeight w:val="300"/>
          <w:jc w:val="center"/>
        </w:trPr>
        <w:tc>
          <w:tcPr>
            <w:tcW w:w="0" w:type="auto"/>
            <w:tcBorders>
              <w:top w:val="nil"/>
              <w:left w:val="single" w:sz="4" w:space="0" w:color="auto"/>
              <w:bottom w:val="nil"/>
              <w:right w:val="single" w:sz="4" w:space="0" w:color="auto"/>
            </w:tcBorders>
            <w:shd w:val="clear" w:color="auto" w:fill="auto"/>
            <w:noWrap/>
            <w:vAlign w:val="center"/>
            <w:hideMark/>
          </w:tcPr>
          <w:p w14:paraId="66DB5E05"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nil"/>
              <w:right w:val="single" w:sz="4" w:space="0" w:color="auto"/>
            </w:tcBorders>
            <w:shd w:val="clear" w:color="auto" w:fill="auto"/>
            <w:noWrap/>
            <w:vAlign w:val="center"/>
            <w:hideMark/>
          </w:tcPr>
          <w:p w14:paraId="08B2D025"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4EE7C540"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2C870FBA" w14:textId="77777777" w:rsidR="0007555D" w:rsidRPr="00C56257" w:rsidRDefault="0007555D" w:rsidP="00F100E1">
            <w:pPr>
              <w:spacing w:after="160" w:line="259" w:lineRule="auto"/>
              <w:jc w:val="both"/>
              <w:rPr>
                <w:color w:val="000000"/>
              </w:rPr>
            </w:pPr>
            <w:r w:rsidRPr="00C56257">
              <w:rPr>
                <w:color w:val="000000"/>
              </w:rPr>
              <w:t>2</w:t>
            </w:r>
          </w:p>
        </w:tc>
        <w:tc>
          <w:tcPr>
            <w:tcW w:w="0" w:type="auto"/>
            <w:vMerge/>
            <w:tcBorders>
              <w:top w:val="nil"/>
              <w:left w:val="single" w:sz="4" w:space="0" w:color="auto"/>
              <w:bottom w:val="single" w:sz="4" w:space="0" w:color="000000"/>
              <w:right w:val="single" w:sz="4" w:space="0" w:color="auto"/>
            </w:tcBorders>
            <w:vAlign w:val="center"/>
            <w:hideMark/>
          </w:tcPr>
          <w:p w14:paraId="5473267D" w14:textId="77777777" w:rsidR="0007555D" w:rsidRPr="00C56257" w:rsidRDefault="0007555D" w:rsidP="00F100E1">
            <w:pPr>
              <w:spacing w:after="160" w:line="259" w:lineRule="auto"/>
              <w:jc w:val="both"/>
              <w:rPr>
                <w:color w:val="000000"/>
              </w:rPr>
            </w:pPr>
          </w:p>
        </w:tc>
      </w:tr>
      <w:tr w:rsidR="0007555D" w:rsidRPr="00C56257" w14:paraId="2DC3BBF7" w14:textId="77777777" w:rsidTr="0007555D">
        <w:trPr>
          <w:trHeight w:val="300"/>
          <w:jc w:val="center"/>
        </w:trPr>
        <w:tc>
          <w:tcPr>
            <w:tcW w:w="0" w:type="auto"/>
            <w:tcBorders>
              <w:top w:val="nil"/>
              <w:left w:val="single" w:sz="4" w:space="0" w:color="auto"/>
              <w:bottom w:val="nil"/>
              <w:right w:val="single" w:sz="4" w:space="0" w:color="auto"/>
            </w:tcBorders>
            <w:shd w:val="clear" w:color="auto" w:fill="auto"/>
            <w:noWrap/>
            <w:vAlign w:val="center"/>
            <w:hideMark/>
          </w:tcPr>
          <w:p w14:paraId="53A842F4"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791D61A1"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nil"/>
              <w:right w:val="single" w:sz="4" w:space="0" w:color="auto"/>
            </w:tcBorders>
            <w:shd w:val="clear" w:color="auto" w:fill="auto"/>
            <w:noWrap/>
            <w:vAlign w:val="center"/>
            <w:hideMark/>
          </w:tcPr>
          <w:p w14:paraId="77375944"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2168889B" w14:textId="77777777" w:rsidR="0007555D" w:rsidRPr="00C56257" w:rsidRDefault="0007555D" w:rsidP="00F100E1">
            <w:pPr>
              <w:spacing w:after="160" w:line="259" w:lineRule="auto"/>
              <w:jc w:val="both"/>
              <w:rPr>
                <w:color w:val="000000"/>
              </w:rPr>
            </w:pPr>
            <w:r w:rsidRPr="00C56257">
              <w:rPr>
                <w:color w:val="000000"/>
              </w:rPr>
              <w:t>2</w:t>
            </w:r>
          </w:p>
        </w:tc>
        <w:tc>
          <w:tcPr>
            <w:tcW w:w="0" w:type="auto"/>
            <w:vMerge/>
            <w:tcBorders>
              <w:top w:val="nil"/>
              <w:left w:val="single" w:sz="4" w:space="0" w:color="auto"/>
              <w:bottom w:val="single" w:sz="4" w:space="0" w:color="000000"/>
              <w:right w:val="single" w:sz="4" w:space="0" w:color="auto"/>
            </w:tcBorders>
            <w:vAlign w:val="center"/>
            <w:hideMark/>
          </w:tcPr>
          <w:p w14:paraId="424D625F" w14:textId="77777777" w:rsidR="0007555D" w:rsidRPr="00C56257" w:rsidRDefault="0007555D" w:rsidP="00F100E1">
            <w:pPr>
              <w:spacing w:after="160" w:line="259" w:lineRule="auto"/>
              <w:jc w:val="both"/>
              <w:rPr>
                <w:color w:val="000000"/>
              </w:rPr>
            </w:pPr>
          </w:p>
        </w:tc>
      </w:tr>
      <w:tr w:rsidR="0007555D" w:rsidRPr="00C56257" w14:paraId="7F8AB8F9" w14:textId="77777777" w:rsidTr="0007555D">
        <w:trPr>
          <w:trHeight w:val="300"/>
          <w:jc w:val="center"/>
        </w:trPr>
        <w:tc>
          <w:tcPr>
            <w:tcW w:w="0" w:type="auto"/>
            <w:tcBorders>
              <w:top w:val="nil"/>
              <w:left w:val="single" w:sz="4" w:space="0" w:color="auto"/>
              <w:bottom w:val="nil"/>
              <w:right w:val="single" w:sz="4" w:space="0" w:color="auto"/>
            </w:tcBorders>
            <w:shd w:val="clear" w:color="auto" w:fill="auto"/>
            <w:noWrap/>
            <w:vAlign w:val="center"/>
            <w:hideMark/>
          </w:tcPr>
          <w:p w14:paraId="490ECA52"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57749297"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2E288CCA"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nil"/>
              <w:right w:val="single" w:sz="4" w:space="0" w:color="auto"/>
            </w:tcBorders>
            <w:shd w:val="clear" w:color="auto" w:fill="auto"/>
            <w:noWrap/>
            <w:vAlign w:val="center"/>
            <w:hideMark/>
          </w:tcPr>
          <w:p w14:paraId="64ADE45E" w14:textId="77777777" w:rsidR="0007555D" w:rsidRPr="00C56257" w:rsidRDefault="0007555D" w:rsidP="00F100E1">
            <w:pPr>
              <w:spacing w:after="160" w:line="259" w:lineRule="auto"/>
              <w:jc w:val="both"/>
              <w:rPr>
                <w:color w:val="000000"/>
              </w:rPr>
            </w:pPr>
            <w:r w:rsidRPr="00C56257">
              <w:rPr>
                <w:color w:val="000000"/>
              </w:rPr>
              <w:t>2</w:t>
            </w:r>
          </w:p>
        </w:tc>
        <w:tc>
          <w:tcPr>
            <w:tcW w:w="0" w:type="auto"/>
            <w:vMerge/>
            <w:tcBorders>
              <w:top w:val="nil"/>
              <w:left w:val="single" w:sz="4" w:space="0" w:color="auto"/>
              <w:bottom w:val="single" w:sz="4" w:space="0" w:color="000000"/>
              <w:right w:val="single" w:sz="4" w:space="0" w:color="auto"/>
            </w:tcBorders>
            <w:vAlign w:val="center"/>
            <w:hideMark/>
          </w:tcPr>
          <w:p w14:paraId="7E1ED2D2" w14:textId="77777777" w:rsidR="0007555D" w:rsidRPr="00C56257" w:rsidRDefault="0007555D" w:rsidP="00F100E1">
            <w:pPr>
              <w:spacing w:after="160" w:line="259" w:lineRule="auto"/>
              <w:jc w:val="both"/>
              <w:rPr>
                <w:color w:val="000000"/>
              </w:rPr>
            </w:pPr>
          </w:p>
        </w:tc>
      </w:tr>
      <w:tr w:rsidR="0007555D" w:rsidRPr="00C56257" w14:paraId="4931EA4E" w14:textId="77777777" w:rsidTr="0007555D">
        <w:trPr>
          <w:trHeight w:val="300"/>
          <w:jc w:val="center"/>
        </w:trPr>
        <w:tc>
          <w:tcPr>
            <w:tcW w:w="0" w:type="auto"/>
            <w:tcBorders>
              <w:top w:val="nil"/>
              <w:left w:val="single" w:sz="4" w:space="0" w:color="auto"/>
              <w:bottom w:val="nil"/>
              <w:right w:val="single" w:sz="4" w:space="0" w:color="auto"/>
            </w:tcBorders>
            <w:shd w:val="clear" w:color="auto" w:fill="auto"/>
            <w:noWrap/>
            <w:vAlign w:val="center"/>
            <w:hideMark/>
          </w:tcPr>
          <w:p w14:paraId="07E71DE0"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nil"/>
              <w:right w:val="single" w:sz="4" w:space="0" w:color="auto"/>
            </w:tcBorders>
            <w:shd w:val="clear" w:color="auto" w:fill="auto"/>
            <w:noWrap/>
            <w:vAlign w:val="center"/>
            <w:hideMark/>
          </w:tcPr>
          <w:p w14:paraId="4871BFC4"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nil"/>
              <w:right w:val="single" w:sz="4" w:space="0" w:color="auto"/>
            </w:tcBorders>
            <w:shd w:val="clear" w:color="auto" w:fill="auto"/>
            <w:noWrap/>
            <w:vAlign w:val="center"/>
            <w:hideMark/>
          </w:tcPr>
          <w:p w14:paraId="4ED68E2E"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nil"/>
              <w:right w:val="single" w:sz="4" w:space="0" w:color="auto"/>
            </w:tcBorders>
            <w:shd w:val="clear" w:color="auto" w:fill="auto"/>
            <w:noWrap/>
            <w:vAlign w:val="center"/>
            <w:hideMark/>
          </w:tcPr>
          <w:p w14:paraId="18195B99" w14:textId="77777777" w:rsidR="0007555D" w:rsidRPr="00C56257" w:rsidRDefault="0007555D" w:rsidP="00F100E1">
            <w:pPr>
              <w:spacing w:after="160" w:line="259" w:lineRule="auto"/>
              <w:jc w:val="both"/>
              <w:rPr>
                <w:color w:val="000000"/>
              </w:rPr>
            </w:pPr>
            <w:r w:rsidRPr="00C56257">
              <w:rPr>
                <w:color w:val="000000"/>
              </w:rPr>
              <w:t>1</w:t>
            </w:r>
          </w:p>
        </w:tc>
        <w:tc>
          <w:tcPr>
            <w:tcW w:w="0" w:type="auto"/>
            <w:vMerge/>
            <w:tcBorders>
              <w:top w:val="nil"/>
              <w:left w:val="single" w:sz="4" w:space="0" w:color="auto"/>
              <w:bottom w:val="single" w:sz="4" w:space="0" w:color="000000"/>
              <w:right w:val="single" w:sz="4" w:space="0" w:color="auto"/>
            </w:tcBorders>
            <w:vAlign w:val="center"/>
            <w:hideMark/>
          </w:tcPr>
          <w:p w14:paraId="1FDBAABD" w14:textId="77777777" w:rsidR="0007555D" w:rsidRPr="00C56257" w:rsidRDefault="0007555D" w:rsidP="00F100E1">
            <w:pPr>
              <w:spacing w:after="160" w:line="259" w:lineRule="auto"/>
              <w:jc w:val="both"/>
              <w:rPr>
                <w:color w:val="000000"/>
              </w:rPr>
            </w:pPr>
          </w:p>
        </w:tc>
      </w:tr>
      <w:tr w:rsidR="0007555D" w:rsidRPr="00C56257" w14:paraId="5F714A18" w14:textId="77777777" w:rsidTr="0007555D">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F67D6B" w14:textId="77777777" w:rsidR="0007555D" w:rsidRPr="00C56257" w:rsidRDefault="0007555D" w:rsidP="00F100E1">
            <w:pPr>
              <w:spacing w:after="160" w:line="259" w:lineRule="auto"/>
              <w:jc w:val="both"/>
              <w:rPr>
                <w:color w:val="000000"/>
              </w:rPr>
            </w:pPr>
            <w:r w:rsidRPr="00C56257">
              <w:rPr>
                <w:color w:val="000000"/>
              </w:rPr>
              <w:t>0</w:t>
            </w:r>
          </w:p>
        </w:tc>
        <w:tc>
          <w:tcPr>
            <w:tcW w:w="0" w:type="auto"/>
            <w:tcBorders>
              <w:top w:val="nil"/>
              <w:left w:val="nil"/>
              <w:bottom w:val="single" w:sz="4" w:space="0" w:color="auto"/>
              <w:right w:val="single" w:sz="4" w:space="0" w:color="auto"/>
            </w:tcBorders>
            <w:shd w:val="clear" w:color="auto" w:fill="auto"/>
            <w:noWrap/>
            <w:vAlign w:val="center"/>
            <w:hideMark/>
          </w:tcPr>
          <w:p w14:paraId="7D36257E"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single" w:sz="4" w:space="0" w:color="auto"/>
              <w:right w:val="single" w:sz="4" w:space="0" w:color="auto"/>
            </w:tcBorders>
            <w:shd w:val="clear" w:color="auto" w:fill="auto"/>
            <w:noWrap/>
            <w:vAlign w:val="center"/>
            <w:hideMark/>
          </w:tcPr>
          <w:p w14:paraId="214958BF" w14:textId="77777777" w:rsidR="0007555D" w:rsidRPr="00C56257" w:rsidRDefault="0007555D" w:rsidP="00F100E1">
            <w:pPr>
              <w:spacing w:after="160" w:line="259" w:lineRule="auto"/>
              <w:jc w:val="both"/>
              <w:rPr>
                <w:color w:val="000000"/>
              </w:rPr>
            </w:pPr>
            <w:r w:rsidRPr="00C56257">
              <w:rPr>
                <w:color w:val="000000"/>
              </w:rPr>
              <w:t>1</w:t>
            </w:r>
          </w:p>
        </w:tc>
        <w:tc>
          <w:tcPr>
            <w:tcW w:w="0" w:type="auto"/>
            <w:tcBorders>
              <w:top w:val="nil"/>
              <w:left w:val="nil"/>
              <w:bottom w:val="single" w:sz="4" w:space="0" w:color="auto"/>
              <w:right w:val="single" w:sz="4" w:space="0" w:color="auto"/>
            </w:tcBorders>
            <w:shd w:val="clear" w:color="auto" w:fill="auto"/>
            <w:noWrap/>
            <w:vAlign w:val="center"/>
            <w:hideMark/>
          </w:tcPr>
          <w:p w14:paraId="15DE6889" w14:textId="77777777" w:rsidR="0007555D" w:rsidRPr="00C56257" w:rsidRDefault="0007555D" w:rsidP="00F100E1">
            <w:pPr>
              <w:spacing w:after="160" w:line="259" w:lineRule="auto"/>
              <w:jc w:val="both"/>
              <w:rPr>
                <w:color w:val="000000"/>
              </w:rPr>
            </w:pPr>
            <w:r w:rsidRPr="00C56257">
              <w:rPr>
                <w:color w:val="000000"/>
              </w:rPr>
              <w:t>1</w:t>
            </w:r>
          </w:p>
        </w:tc>
        <w:tc>
          <w:tcPr>
            <w:tcW w:w="0" w:type="auto"/>
            <w:vMerge/>
            <w:tcBorders>
              <w:top w:val="nil"/>
              <w:left w:val="single" w:sz="4" w:space="0" w:color="auto"/>
              <w:bottom w:val="single" w:sz="4" w:space="0" w:color="000000"/>
              <w:right w:val="single" w:sz="4" w:space="0" w:color="auto"/>
            </w:tcBorders>
            <w:vAlign w:val="center"/>
            <w:hideMark/>
          </w:tcPr>
          <w:p w14:paraId="105D1EBF" w14:textId="77777777" w:rsidR="0007555D" w:rsidRPr="00C56257" w:rsidRDefault="0007555D" w:rsidP="00F100E1">
            <w:pPr>
              <w:spacing w:after="160" w:line="259" w:lineRule="auto"/>
              <w:jc w:val="both"/>
              <w:rPr>
                <w:color w:val="000000"/>
              </w:rPr>
            </w:pPr>
          </w:p>
        </w:tc>
      </w:tr>
    </w:tbl>
    <w:p w14:paraId="18346A37" w14:textId="77777777" w:rsidR="0007555D" w:rsidRPr="00C56257" w:rsidRDefault="0007555D" w:rsidP="00F100E1">
      <w:pPr>
        <w:spacing w:after="160" w:line="259" w:lineRule="auto"/>
        <w:jc w:val="both"/>
        <w:rPr>
          <w:b/>
          <w:color w:val="000000"/>
        </w:rPr>
      </w:pPr>
    </w:p>
    <w:p w14:paraId="2DDB7E3F" w14:textId="77777777" w:rsidR="0007555D" w:rsidRPr="00C56257" w:rsidRDefault="0007555D" w:rsidP="00F100E1">
      <w:pPr>
        <w:spacing w:after="160" w:line="259" w:lineRule="auto"/>
        <w:jc w:val="both"/>
        <w:rPr>
          <w:b/>
          <w:color w:val="000000"/>
        </w:rPr>
      </w:pPr>
      <w:r w:rsidRPr="00C56257">
        <w:rPr>
          <w:b/>
          <w:color w:val="000000"/>
        </w:rPr>
        <w:t xml:space="preserve">Evaluarea stării de conservare pe regiune biogeografică. </w:t>
      </w:r>
      <w:r w:rsidRPr="00C56257">
        <w:rPr>
          <w:color w:val="000000"/>
        </w:rPr>
        <w:t>Evaluarea stării generale de conservare se determină pentru fiecare tip de habitat pe fiecare regiune biogeografică în parte, atribuindu-se una din cele patru categorii de evaluare („Favorabilă”, „Nefavorabilă – inadecvată”, „Nefavorabilă – rea” sau „Necunoscută”), în funcție de starea parametrilor (areal, suprafață, structură și funcții, perspective) determinați în capitolele anterioare și  evaluați conform matricei din Tabelul 6.</w:t>
      </w:r>
    </w:p>
    <w:p w14:paraId="58870E8D" w14:textId="77777777" w:rsidR="0007555D" w:rsidRPr="00C56257" w:rsidRDefault="0007555D" w:rsidP="00F100E1">
      <w:pPr>
        <w:spacing w:after="160" w:line="259" w:lineRule="auto"/>
        <w:jc w:val="both"/>
        <w:rPr>
          <w:bCs/>
          <w:color w:val="000000"/>
        </w:rPr>
      </w:pPr>
      <w:r w:rsidRPr="00C56257">
        <w:rPr>
          <w:bCs/>
          <w:color w:val="000000"/>
        </w:rPr>
        <w:t xml:space="preserve">Tabelul 6. Evaluarea stării generale de conservare </w:t>
      </w:r>
    </w:p>
    <w:tbl>
      <w:tblPr>
        <w:tblW w:w="0" w:type="auto"/>
        <w:tblLayout w:type="fixed"/>
        <w:tblLook w:val="04A0" w:firstRow="1" w:lastRow="0" w:firstColumn="1" w:lastColumn="0" w:noHBand="0" w:noVBand="1"/>
      </w:tblPr>
      <w:tblGrid>
        <w:gridCol w:w="1435"/>
        <w:gridCol w:w="1800"/>
        <w:gridCol w:w="2070"/>
        <w:gridCol w:w="1620"/>
        <w:gridCol w:w="2091"/>
      </w:tblGrid>
      <w:tr w:rsidR="0007555D" w:rsidRPr="00C56257" w14:paraId="05E305EF" w14:textId="77777777" w:rsidTr="0007555D">
        <w:trPr>
          <w:trHeight w:val="1817"/>
        </w:trPr>
        <w:tc>
          <w:tcPr>
            <w:tcW w:w="1435" w:type="dxa"/>
            <w:tcBorders>
              <w:top w:val="single" w:sz="4" w:space="0" w:color="auto"/>
              <w:left w:val="single" w:sz="4" w:space="0" w:color="auto"/>
              <w:bottom w:val="single" w:sz="4" w:space="0" w:color="auto"/>
              <w:right w:val="single" w:sz="4" w:space="0" w:color="auto"/>
            </w:tcBorders>
            <w:shd w:val="clear" w:color="auto" w:fill="auto"/>
            <w:hideMark/>
          </w:tcPr>
          <w:p w14:paraId="504624FE" w14:textId="77777777" w:rsidR="0007555D" w:rsidRPr="00C56257" w:rsidRDefault="0007555D" w:rsidP="00F100E1">
            <w:pPr>
              <w:spacing w:after="160" w:line="259" w:lineRule="auto"/>
              <w:jc w:val="both"/>
              <w:rPr>
                <w:color w:val="000000"/>
              </w:rPr>
            </w:pPr>
            <w:r w:rsidRPr="00C56257">
              <w:rPr>
                <w:color w:val="000000"/>
              </w:rPr>
              <w:t xml:space="preserve">Starea </w:t>
            </w:r>
            <w:r w:rsidRPr="00C56257">
              <w:rPr>
                <w:color w:val="000000"/>
              </w:rPr>
              <w:br/>
              <w:t>parametrilor</w:t>
            </w:r>
          </w:p>
        </w:tc>
        <w:tc>
          <w:tcPr>
            <w:tcW w:w="1800" w:type="dxa"/>
            <w:tcBorders>
              <w:top w:val="single" w:sz="4" w:space="0" w:color="auto"/>
              <w:left w:val="nil"/>
              <w:bottom w:val="single" w:sz="4" w:space="0" w:color="auto"/>
              <w:right w:val="single" w:sz="4" w:space="0" w:color="auto"/>
            </w:tcBorders>
            <w:shd w:val="clear" w:color="auto" w:fill="auto"/>
            <w:vAlign w:val="center"/>
            <w:hideMark/>
          </w:tcPr>
          <w:p w14:paraId="2E060216" w14:textId="77777777" w:rsidR="0007555D" w:rsidRPr="00C56257" w:rsidRDefault="0007555D" w:rsidP="00F100E1">
            <w:pPr>
              <w:spacing w:after="160" w:line="259" w:lineRule="auto"/>
              <w:jc w:val="both"/>
              <w:rPr>
                <w:color w:val="000000"/>
              </w:rPr>
            </w:pPr>
            <w:r w:rsidRPr="00C56257">
              <w:rPr>
                <w:color w:val="000000"/>
              </w:rPr>
              <w:t>Toți parametrii „favorabili”, sau</w:t>
            </w:r>
            <w:r w:rsidRPr="00C56257">
              <w:rPr>
                <w:color w:val="000000"/>
              </w:rPr>
              <w:br/>
              <w:t>trei „favorabili” și unul „necunoscut”</w:t>
            </w:r>
          </w:p>
        </w:tc>
        <w:tc>
          <w:tcPr>
            <w:tcW w:w="2070" w:type="dxa"/>
            <w:tcBorders>
              <w:top w:val="single" w:sz="4" w:space="0" w:color="auto"/>
              <w:left w:val="nil"/>
              <w:bottom w:val="single" w:sz="4" w:space="0" w:color="auto"/>
              <w:right w:val="single" w:sz="4" w:space="0" w:color="auto"/>
            </w:tcBorders>
            <w:shd w:val="clear" w:color="auto" w:fill="auto"/>
            <w:vAlign w:val="center"/>
            <w:hideMark/>
          </w:tcPr>
          <w:p w14:paraId="378AC95B" w14:textId="77777777" w:rsidR="0007555D" w:rsidRPr="00C56257" w:rsidRDefault="0007555D" w:rsidP="00F100E1">
            <w:pPr>
              <w:spacing w:after="160" w:line="259" w:lineRule="auto"/>
              <w:jc w:val="both"/>
              <w:rPr>
                <w:color w:val="000000"/>
              </w:rPr>
            </w:pPr>
            <w:r w:rsidRPr="00C56257">
              <w:rPr>
                <w:color w:val="000000"/>
              </w:rPr>
              <w:t>Unul sau mai mulți</w:t>
            </w:r>
            <w:r w:rsidRPr="00C56257">
              <w:rPr>
                <w:color w:val="000000"/>
              </w:rPr>
              <w:br/>
              <w:t>„nefavorabili-inadecvați”</w:t>
            </w:r>
            <w:r w:rsidRPr="00C56257">
              <w:rPr>
                <w:color w:val="000000"/>
              </w:rPr>
              <w:br/>
              <w:t>dar niciunul „nefavorabil-rău”</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14:paraId="625B66D9" w14:textId="77777777" w:rsidR="0007555D" w:rsidRPr="00C56257" w:rsidRDefault="0007555D" w:rsidP="00F100E1">
            <w:pPr>
              <w:spacing w:after="160" w:line="259" w:lineRule="auto"/>
              <w:jc w:val="both"/>
              <w:rPr>
                <w:color w:val="000000"/>
              </w:rPr>
            </w:pPr>
            <w:r w:rsidRPr="00C56257">
              <w:rPr>
                <w:color w:val="000000"/>
              </w:rPr>
              <w:t>Unul sau mai mulți</w:t>
            </w:r>
            <w:r w:rsidRPr="00C56257">
              <w:rPr>
                <w:color w:val="000000"/>
              </w:rPr>
              <w:br/>
              <w:t>„nefavorabil-rău”</w:t>
            </w:r>
          </w:p>
        </w:tc>
        <w:tc>
          <w:tcPr>
            <w:tcW w:w="2091" w:type="dxa"/>
            <w:tcBorders>
              <w:top w:val="single" w:sz="4" w:space="0" w:color="auto"/>
              <w:left w:val="nil"/>
              <w:bottom w:val="single" w:sz="4" w:space="0" w:color="auto"/>
              <w:right w:val="single" w:sz="4" w:space="0" w:color="auto"/>
            </w:tcBorders>
            <w:shd w:val="clear" w:color="auto" w:fill="auto"/>
            <w:vAlign w:val="center"/>
            <w:hideMark/>
          </w:tcPr>
          <w:p w14:paraId="678574E9" w14:textId="77777777" w:rsidR="0007555D" w:rsidRPr="00C56257" w:rsidRDefault="0007555D" w:rsidP="00F100E1">
            <w:pPr>
              <w:spacing w:after="160" w:line="259" w:lineRule="auto"/>
              <w:jc w:val="both"/>
              <w:rPr>
                <w:color w:val="000000"/>
              </w:rPr>
            </w:pPr>
            <w:r w:rsidRPr="00C56257">
              <w:rPr>
                <w:color w:val="000000"/>
              </w:rPr>
              <w:t>Doi sau mai mulți „necunoscuți”</w:t>
            </w:r>
            <w:r w:rsidRPr="00C56257">
              <w:rPr>
                <w:color w:val="000000"/>
              </w:rPr>
              <w:br/>
              <w:t>combinați cu „favorabil” sau toți</w:t>
            </w:r>
            <w:r w:rsidRPr="00C56257">
              <w:rPr>
                <w:color w:val="000000"/>
              </w:rPr>
              <w:br/>
              <w:t>„necunoscuți”</w:t>
            </w:r>
          </w:p>
        </w:tc>
      </w:tr>
      <w:tr w:rsidR="0007555D" w:rsidRPr="00C56257" w14:paraId="2DC01977" w14:textId="77777777" w:rsidTr="0007555D">
        <w:trPr>
          <w:trHeight w:val="900"/>
        </w:trPr>
        <w:tc>
          <w:tcPr>
            <w:tcW w:w="1435" w:type="dxa"/>
            <w:tcBorders>
              <w:top w:val="nil"/>
              <w:left w:val="single" w:sz="4" w:space="0" w:color="auto"/>
              <w:bottom w:val="single" w:sz="4" w:space="0" w:color="auto"/>
              <w:right w:val="single" w:sz="4" w:space="0" w:color="auto"/>
            </w:tcBorders>
            <w:shd w:val="clear" w:color="auto" w:fill="auto"/>
            <w:hideMark/>
          </w:tcPr>
          <w:p w14:paraId="71675BE4" w14:textId="77777777" w:rsidR="0007555D" w:rsidRPr="00C56257" w:rsidRDefault="0007555D" w:rsidP="00F100E1">
            <w:pPr>
              <w:spacing w:after="160" w:line="259" w:lineRule="auto"/>
              <w:jc w:val="both"/>
              <w:rPr>
                <w:color w:val="000000"/>
              </w:rPr>
            </w:pPr>
            <w:r w:rsidRPr="00C56257">
              <w:rPr>
                <w:color w:val="000000"/>
              </w:rPr>
              <w:t>Evaluarea generală</w:t>
            </w:r>
            <w:r w:rsidRPr="00C56257">
              <w:rPr>
                <w:color w:val="000000"/>
              </w:rPr>
              <w:br/>
              <w:t xml:space="preserve"> a stării de</w:t>
            </w:r>
            <w:r w:rsidRPr="00C56257">
              <w:rPr>
                <w:color w:val="000000"/>
              </w:rPr>
              <w:br/>
              <w:t xml:space="preserve"> conservare</w:t>
            </w:r>
          </w:p>
        </w:tc>
        <w:tc>
          <w:tcPr>
            <w:tcW w:w="1800" w:type="dxa"/>
            <w:tcBorders>
              <w:top w:val="nil"/>
              <w:left w:val="nil"/>
              <w:bottom w:val="single" w:sz="4" w:space="0" w:color="auto"/>
              <w:right w:val="single" w:sz="4" w:space="0" w:color="auto"/>
            </w:tcBorders>
            <w:shd w:val="clear" w:color="000000" w:fill="92D050"/>
            <w:noWrap/>
            <w:vAlign w:val="center"/>
            <w:hideMark/>
          </w:tcPr>
          <w:p w14:paraId="253D3144" w14:textId="77777777" w:rsidR="0007555D" w:rsidRPr="00C56257" w:rsidRDefault="0007555D" w:rsidP="00F100E1">
            <w:pPr>
              <w:spacing w:after="160" w:line="259" w:lineRule="auto"/>
              <w:jc w:val="both"/>
              <w:rPr>
                <w:color w:val="000000"/>
              </w:rPr>
            </w:pPr>
            <w:r w:rsidRPr="00C56257">
              <w:rPr>
                <w:color w:val="000000"/>
              </w:rPr>
              <w:t>„Favorabilă”</w:t>
            </w:r>
          </w:p>
        </w:tc>
        <w:tc>
          <w:tcPr>
            <w:tcW w:w="2070" w:type="dxa"/>
            <w:tcBorders>
              <w:top w:val="nil"/>
              <w:left w:val="nil"/>
              <w:bottom w:val="single" w:sz="4" w:space="0" w:color="auto"/>
              <w:right w:val="single" w:sz="4" w:space="0" w:color="auto"/>
            </w:tcBorders>
            <w:shd w:val="clear" w:color="000000" w:fill="FFC000"/>
            <w:noWrap/>
            <w:vAlign w:val="center"/>
            <w:hideMark/>
          </w:tcPr>
          <w:p w14:paraId="3797C5DC" w14:textId="77777777" w:rsidR="0007555D" w:rsidRPr="00C56257" w:rsidRDefault="0007555D" w:rsidP="00F100E1">
            <w:pPr>
              <w:spacing w:after="160" w:line="259" w:lineRule="auto"/>
              <w:jc w:val="both"/>
              <w:rPr>
                <w:color w:val="000000"/>
              </w:rPr>
            </w:pPr>
            <w:r w:rsidRPr="00C56257">
              <w:rPr>
                <w:color w:val="000000"/>
              </w:rPr>
              <w:t>„Nefavorabilă-inadecvată”</w:t>
            </w:r>
          </w:p>
        </w:tc>
        <w:tc>
          <w:tcPr>
            <w:tcW w:w="1620" w:type="dxa"/>
            <w:tcBorders>
              <w:top w:val="nil"/>
              <w:left w:val="nil"/>
              <w:bottom w:val="single" w:sz="4" w:space="0" w:color="auto"/>
              <w:right w:val="single" w:sz="4" w:space="0" w:color="auto"/>
            </w:tcBorders>
            <w:shd w:val="clear" w:color="000000" w:fill="FF0000"/>
            <w:noWrap/>
            <w:vAlign w:val="center"/>
            <w:hideMark/>
          </w:tcPr>
          <w:p w14:paraId="548E5FB0" w14:textId="77777777" w:rsidR="0007555D" w:rsidRPr="00C56257" w:rsidRDefault="0007555D" w:rsidP="00F100E1">
            <w:pPr>
              <w:spacing w:after="160" w:line="259" w:lineRule="auto"/>
              <w:jc w:val="both"/>
              <w:rPr>
                <w:color w:val="000000"/>
              </w:rPr>
            </w:pPr>
            <w:r w:rsidRPr="00C56257">
              <w:rPr>
                <w:color w:val="000000"/>
              </w:rPr>
              <w:t>„Nefavorabilă-rea”</w:t>
            </w:r>
          </w:p>
        </w:tc>
        <w:tc>
          <w:tcPr>
            <w:tcW w:w="2091" w:type="dxa"/>
            <w:tcBorders>
              <w:top w:val="nil"/>
              <w:left w:val="nil"/>
              <w:bottom w:val="single" w:sz="4" w:space="0" w:color="auto"/>
              <w:right w:val="single" w:sz="4" w:space="0" w:color="auto"/>
            </w:tcBorders>
            <w:shd w:val="clear" w:color="000000" w:fill="BFBFBF"/>
            <w:noWrap/>
            <w:vAlign w:val="center"/>
            <w:hideMark/>
          </w:tcPr>
          <w:p w14:paraId="74F9C9D0" w14:textId="77777777" w:rsidR="0007555D" w:rsidRPr="00C56257" w:rsidRDefault="0007555D" w:rsidP="00F100E1">
            <w:pPr>
              <w:spacing w:after="160" w:line="259" w:lineRule="auto"/>
              <w:jc w:val="both"/>
              <w:rPr>
                <w:color w:val="000000"/>
              </w:rPr>
            </w:pPr>
            <w:r w:rsidRPr="00C56257">
              <w:rPr>
                <w:color w:val="000000"/>
              </w:rPr>
              <w:t>„Necunoscută”</w:t>
            </w:r>
          </w:p>
        </w:tc>
      </w:tr>
    </w:tbl>
    <w:p w14:paraId="3D9DA919" w14:textId="77777777" w:rsidR="0007555D" w:rsidRPr="00C56257" w:rsidRDefault="0007555D" w:rsidP="00F100E1">
      <w:pPr>
        <w:spacing w:after="160" w:line="259" w:lineRule="auto"/>
        <w:jc w:val="both"/>
        <w:rPr>
          <w:b/>
          <w:i/>
          <w:iCs/>
          <w:color w:val="000000"/>
        </w:rPr>
      </w:pPr>
    </w:p>
    <w:p w14:paraId="646CE6C4" w14:textId="77777777" w:rsidR="0007555D" w:rsidRPr="00C56257" w:rsidRDefault="0007555D" w:rsidP="008E33FD">
      <w:pPr>
        <w:spacing w:after="160" w:line="259" w:lineRule="auto"/>
        <w:jc w:val="both"/>
        <w:rPr>
          <w:bCs/>
          <w:color w:val="000000"/>
        </w:rPr>
      </w:pPr>
      <w:r w:rsidRPr="00C56257">
        <w:rPr>
          <w:bCs/>
          <w:color w:val="000000"/>
        </w:rPr>
        <w:t xml:space="preserve">De asemenea, se evaluează perspectiva de evoluție a habitatului la nivelul regiunii biogeografice în raport cu perspectivele parametrilor: </w:t>
      </w:r>
      <w:r w:rsidRPr="00C56257">
        <w:rPr>
          <w:color w:val="000000"/>
        </w:rPr>
        <w:t>Areal, Suprafață și Structură și funcții</w:t>
      </w:r>
      <w:r w:rsidRPr="00C56257">
        <w:rPr>
          <w:bCs/>
          <w:color w:val="000000"/>
        </w:rPr>
        <w:t>, conform matricei din Tabelul 7.</w:t>
      </w:r>
    </w:p>
    <w:p w14:paraId="40DDE05E" w14:textId="77777777" w:rsidR="0007555D" w:rsidRPr="00C56257" w:rsidRDefault="0007555D" w:rsidP="00F100E1">
      <w:pPr>
        <w:spacing w:after="160" w:line="259" w:lineRule="auto"/>
        <w:jc w:val="both"/>
        <w:rPr>
          <w:bCs/>
          <w:color w:val="000000"/>
        </w:rPr>
      </w:pPr>
      <w:r w:rsidRPr="00C56257">
        <w:rPr>
          <w:bCs/>
          <w:color w:val="000000"/>
        </w:rPr>
        <w:t>Tabelul 7. Evaluarea perspectivei de evoluție a habitatului la nivelul regiunii biogeografice</w:t>
      </w:r>
    </w:p>
    <w:tbl>
      <w:tblPr>
        <w:tblW w:w="8990" w:type="dxa"/>
        <w:tblLook w:val="04A0" w:firstRow="1" w:lastRow="0" w:firstColumn="1" w:lastColumn="0" w:noHBand="0" w:noVBand="1"/>
      </w:tblPr>
      <w:tblGrid>
        <w:gridCol w:w="1576"/>
        <w:gridCol w:w="2001"/>
        <w:gridCol w:w="1847"/>
        <w:gridCol w:w="1766"/>
        <w:gridCol w:w="1800"/>
      </w:tblGrid>
      <w:tr w:rsidR="0007555D" w:rsidRPr="00C56257" w14:paraId="61511C86" w14:textId="77777777" w:rsidTr="0007555D">
        <w:trPr>
          <w:trHeight w:val="615"/>
        </w:trPr>
        <w:tc>
          <w:tcPr>
            <w:tcW w:w="149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AF556F5" w14:textId="77777777" w:rsidR="0007555D" w:rsidRPr="00C56257" w:rsidRDefault="0007555D" w:rsidP="00F100E1">
            <w:pPr>
              <w:spacing w:after="160" w:line="259" w:lineRule="auto"/>
              <w:jc w:val="both"/>
              <w:rPr>
                <w:color w:val="000000"/>
              </w:rPr>
            </w:pPr>
            <w:r w:rsidRPr="00C56257">
              <w:rPr>
                <w:color w:val="000000"/>
              </w:rPr>
              <w:lastRenderedPageBreak/>
              <w:t>Evaluarea perspectivelor</w:t>
            </w:r>
          </w:p>
        </w:tc>
        <w:tc>
          <w:tcPr>
            <w:tcW w:w="2001" w:type="dxa"/>
            <w:tcBorders>
              <w:top w:val="single" w:sz="8" w:space="0" w:color="auto"/>
              <w:left w:val="nil"/>
              <w:bottom w:val="single" w:sz="8" w:space="0" w:color="auto"/>
              <w:right w:val="single" w:sz="8" w:space="0" w:color="auto"/>
            </w:tcBorders>
            <w:shd w:val="clear" w:color="000000" w:fill="92D050"/>
            <w:noWrap/>
            <w:vAlign w:val="center"/>
            <w:hideMark/>
          </w:tcPr>
          <w:p w14:paraId="5115C28E" w14:textId="77777777" w:rsidR="0007555D" w:rsidRPr="00C56257" w:rsidRDefault="0007555D" w:rsidP="00F100E1">
            <w:pPr>
              <w:spacing w:after="160" w:line="259" w:lineRule="auto"/>
              <w:jc w:val="both"/>
              <w:rPr>
                <w:color w:val="000000"/>
              </w:rPr>
            </w:pPr>
            <w:r w:rsidRPr="00C56257">
              <w:rPr>
                <w:color w:val="000000"/>
              </w:rPr>
              <w:t>Favorabilă</w:t>
            </w:r>
          </w:p>
        </w:tc>
        <w:tc>
          <w:tcPr>
            <w:tcW w:w="1890" w:type="dxa"/>
            <w:tcBorders>
              <w:top w:val="single" w:sz="8" w:space="0" w:color="auto"/>
              <w:left w:val="nil"/>
              <w:bottom w:val="single" w:sz="8" w:space="0" w:color="auto"/>
              <w:right w:val="single" w:sz="8" w:space="0" w:color="auto"/>
            </w:tcBorders>
            <w:shd w:val="clear" w:color="000000" w:fill="FFC000"/>
            <w:vAlign w:val="center"/>
            <w:hideMark/>
          </w:tcPr>
          <w:p w14:paraId="4AD59B5A" w14:textId="77777777" w:rsidR="0007555D" w:rsidRPr="00C56257" w:rsidRDefault="0007555D" w:rsidP="00F100E1">
            <w:pPr>
              <w:spacing w:after="160" w:line="259" w:lineRule="auto"/>
              <w:jc w:val="both"/>
              <w:rPr>
                <w:color w:val="000000"/>
              </w:rPr>
            </w:pPr>
            <w:r w:rsidRPr="00C56257">
              <w:rPr>
                <w:color w:val="000000"/>
              </w:rPr>
              <w:t>Nefavorabilă</w:t>
            </w:r>
            <w:r w:rsidRPr="00C56257">
              <w:rPr>
                <w:color w:val="000000"/>
              </w:rPr>
              <w:br/>
              <w:t>inadecvată</w:t>
            </w:r>
          </w:p>
        </w:tc>
        <w:tc>
          <w:tcPr>
            <w:tcW w:w="1800" w:type="dxa"/>
            <w:tcBorders>
              <w:top w:val="single" w:sz="8" w:space="0" w:color="auto"/>
              <w:left w:val="nil"/>
              <w:bottom w:val="single" w:sz="8" w:space="0" w:color="auto"/>
              <w:right w:val="single" w:sz="8" w:space="0" w:color="auto"/>
            </w:tcBorders>
            <w:shd w:val="clear" w:color="000000" w:fill="FF0000"/>
            <w:vAlign w:val="center"/>
            <w:hideMark/>
          </w:tcPr>
          <w:p w14:paraId="7FB59665" w14:textId="77777777" w:rsidR="0007555D" w:rsidRPr="00C56257" w:rsidRDefault="0007555D" w:rsidP="00F100E1">
            <w:pPr>
              <w:spacing w:after="160" w:line="259" w:lineRule="auto"/>
              <w:jc w:val="both"/>
              <w:rPr>
                <w:color w:val="000000"/>
              </w:rPr>
            </w:pPr>
            <w:r w:rsidRPr="00C56257">
              <w:rPr>
                <w:color w:val="000000"/>
              </w:rPr>
              <w:t>Nefavorabilă</w:t>
            </w:r>
            <w:r w:rsidRPr="00C56257">
              <w:rPr>
                <w:color w:val="000000"/>
              </w:rPr>
              <w:br/>
              <w:t xml:space="preserve"> rea</w:t>
            </w:r>
          </w:p>
        </w:tc>
        <w:tc>
          <w:tcPr>
            <w:tcW w:w="1800" w:type="dxa"/>
            <w:tcBorders>
              <w:top w:val="single" w:sz="8" w:space="0" w:color="auto"/>
              <w:left w:val="nil"/>
              <w:bottom w:val="single" w:sz="8" w:space="0" w:color="auto"/>
              <w:right w:val="single" w:sz="8" w:space="0" w:color="auto"/>
            </w:tcBorders>
            <w:shd w:val="clear" w:color="000000" w:fill="BFBFBF"/>
            <w:noWrap/>
            <w:vAlign w:val="center"/>
            <w:hideMark/>
          </w:tcPr>
          <w:p w14:paraId="7457A490" w14:textId="77777777" w:rsidR="0007555D" w:rsidRPr="00C56257" w:rsidRDefault="0007555D" w:rsidP="00F100E1">
            <w:pPr>
              <w:spacing w:after="160" w:line="259" w:lineRule="auto"/>
              <w:jc w:val="both"/>
              <w:rPr>
                <w:color w:val="000000"/>
              </w:rPr>
            </w:pPr>
            <w:r w:rsidRPr="00C56257">
              <w:rPr>
                <w:color w:val="000000"/>
              </w:rPr>
              <w:t>Necunoscută</w:t>
            </w:r>
          </w:p>
        </w:tc>
      </w:tr>
      <w:tr w:rsidR="0007555D" w:rsidRPr="00C56257" w14:paraId="3C4607BC" w14:textId="77777777" w:rsidTr="0007555D">
        <w:trPr>
          <w:trHeight w:val="3210"/>
        </w:trPr>
        <w:tc>
          <w:tcPr>
            <w:tcW w:w="1499" w:type="dxa"/>
            <w:tcBorders>
              <w:top w:val="nil"/>
              <w:left w:val="single" w:sz="8" w:space="0" w:color="auto"/>
              <w:bottom w:val="single" w:sz="8" w:space="0" w:color="auto"/>
              <w:right w:val="single" w:sz="8" w:space="0" w:color="auto"/>
            </w:tcBorders>
            <w:shd w:val="clear" w:color="auto" w:fill="auto"/>
            <w:vAlign w:val="center"/>
            <w:hideMark/>
          </w:tcPr>
          <w:p w14:paraId="7FC03663" w14:textId="77777777" w:rsidR="0007555D" w:rsidRPr="00C56257" w:rsidRDefault="0007555D" w:rsidP="00F100E1">
            <w:pPr>
              <w:spacing w:after="160" w:line="259" w:lineRule="auto"/>
              <w:jc w:val="both"/>
              <w:rPr>
                <w:color w:val="000000"/>
              </w:rPr>
            </w:pPr>
            <w:r w:rsidRPr="00C56257">
              <w:rPr>
                <w:color w:val="000000"/>
              </w:rPr>
              <w:t xml:space="preserve">Perspectivele parametrilor: </w:t>
            </w:r>
            <w:bookmarkStart w:id="52" w:name="_Hlk95228429"/>
            <w:r w:rsidRPr="00C56257">
              <w:rPr>
                <w:color w:val="000000"/>
              </w:rPr>
              <w:t>Areal, Suprafață și Structură și funcții</w:t>
            </w:r>
            <w:bookmarkEnd w:id="52"/>
          </w:p>
        </w:tc>
        <w:tc>
          <w:tcPr>
            <w:tcW w:w="2001" w:type="dxa"/>
            <w:tcBorders>
              <w:top w:val="nil"/>
              <w:left w:val="nil"/>
              <w:bottom w:val="single" w:sz="8" w:space="0" w:color="auto"/>
              <w:right w:val="single" w:sz="8" w:space="0" w:color="auto"/>
            </w:tcBorders>
            <w:shd w:val="clear" w:color="000000" w:fill="92D050"/>
            <w:hideMark/>
          </w:tcPr>
          <w:p w14:paraId="0BF381E2" w14:textId="77777777" w:rsidR="0007555D" w:rsidRPr="00C56257" w:rsidRDefault="0007555D" w:rsidP="00F100E1">
            <w:pPr>
              <w:spacing w:after="160" w:line="259" w:lineRule="auto"/>
              <w:jc w:val="both"/>
              <w:rPr>
                <w:color w:val="000000"/>
              </w:rPr>
            </w:pPr>
            <w:r w:rsidRPr="00C56257">
              <w:rPr>
                <w:color w:val="000000"/>
              </w:rPr>
              <w:t>Toți parametrii au perspective „bune”</w:t>
            </w:r>
            <w:r w:rsidRPr="00C56257">
              <w:rPr>
                <w:color w:val="000000"/>
              </w:rPr>
              <w:br/>
            </w:r>
            <w:r w:rsidRPr="00C56257">
              <w:rPr>
                <w:color w:val="000000"/>
              </w:rPr>
              <w:br/>
              <w:t>SAU</w:t>
            </w:r>
            <w:r w:rsidRPr="00C56257">
              <w:rPr>
                <w:color w:val="000000"/>
              </w:rPr>
              <w:br/>
            </w:r>
            <w:r w:rsidRPr="00C56257">
              <w:rPr>
                <w:color w:val="000000"/>
              </w:rPr>
              <w:br/>
              <w:t>perspectiva unui parametru „necunoscută” și celelalte două perspective „bune”</w:t>
            </w:r>
          </w:p>
        </w:tc>
        <w:tc>
          <w:tcPr>
            <w:tcW w:w="1890" w:type="dxa"/>
            <w:tcBorders>
              <w:top w:val="nil"/>
              <w:left w:val="nil"/>
              <w:bottom w:val="single" w:sz="8" w:space="0" w:color="auto"/>
              <w:right w:val="single" w:sz="8" w:space="0" w:color="auto"/>
            </w:tcBorders>
            <w:shd w:val="clear" w:color="000000" w:fill="FFC000"/>
            <w:vAlign w:val="center"/>
            <w:hideMark/>
          </w:tcPr>
          <w:p w14:paraId="17CA6FC7" w14:textId="77777777" w:rsidR="0007555D" w:rsidRPr="00C56257" w:rsidRDefault="0007555D" w:rsidP="00F100E1">
            <w:pPr>
              <w:spacing w:after="160" w:line="259" w:lineRule="auto"/>
              <w:jc w:val="both"/>
              <w:rPr>
                <w:color w:val="000000"/>
              </w:rPr>
            </w:pPr>
            <w:r w:rsidRPr="00C56257">
              <w:rPr>
                <w:color w:val="000000"/>
              </w:rPr>
              <w:t>Orice altă combinție</w:t>
            </w:r>
          </w:p>
        </w:tc>
        <w:tc>
          <w:tcPr>
            <w:tcW w:w="1800" w:type="dxa"/>
            <w:tcBorders>
              <w:top w:val="nil"/>
              <w:left w:val="nil"/>
              <w:bottom w:val="single" w:sz="8" w:space="0" w:color="auto"/>
              <w:right w:val="single" w:sz="8" w:space="0" w:color="auto"/>
            </w:tcBorders>
            <w:shd w:val="clear" w:color="000000" w:fill="FF0000"/>
            <w:vAlign w:val="center"/>
            <w:hideMark/>
          </w:tcPr>
          <w:p w14:paraId="4C2EF35E" w14:textId="77777777" w:rsidR="0007555D" w:rsidRPr="00C56257" w:rsidRDefault="0007555D" w:rsidP="00F100E1">
            <w:pPr>
              <w:spacing w:after="160" w:line="259" w:lineRule="auto"/>
              <w:jc w:val="both"/>
              <w:rPr>
                <w:color w:val="000000"/>
              </w:rPr>
            </w:pPr>
            <w:r w:rsidRPr="00C56257">
              <w:rPr>
                <w:color w:val="000000"/>
              </w:rPr>
              <w:t>Unul sau mai multi parametrii au perspective „rele”</w:t>
            </w:r>
          </w:p>
        </w:tc>
        <w:tc>
          <w:tcPr>
            <w:tcW w:w="1800" w:type="dxa"/>
            <w:tcBorders>
              <w:top w:val="nil"/>
              <w:left w:val="nil"/>
              <w:bottom w:val="single" w:sz="8" w:space="0" w:color="auto"/>
              <w:right w:val="single" w:sz="8" w:space="0" w:color="auto"/>
            </w:tcBorders>
            <w:shd w:val="clear" w:color="000000" w:fill="BFBFBF"/>
            <w:vAlign w:val="center"/>
            <w:hideMark/>
          </w:tcPr>
          <w:p w14:paraId="403B4154" w14:textId="77777777" w:rsidR="0007555D" w:rsidRPr="00C56257" w:rsidRDefault="0007555D" w:rsidP="00F100E1">
            <w:pPr>
              <w:spacing w:after="160" w:line="259" w:lineRule="auto"/>
              <w:jc w:val="both"/>
              <w:rPr>
                <w:color w:val="000000"/>
              </w:rPr>
            </w:pPr>
            <w:r w:rsidRPr="00C56257">
              <w:rPr>
                <w:color w:val="000000"/>
              </w:rPr>
              <w:t>Doi sau mai mulți parametrii au perspective „necunoscute” și niciunul nu are perspective „rele”</w:t>
            </w:r>
          </w:p>
        </w:tc>
      </w:tr>
    </w:tbl>
    <w:p w14:paraId="65A3976E" w14:textId="77777777" w:rsidR="0007555D" w:rsidRPr="00C56257" w:rsidRDefault="0007555D" w:rsidP="008E33FD">
      <w:pPr>
        <w:widowControl w:val="0"/>
        <w:autoSpaceDE w:val="0"/>
        <w:autoSpaceDN w:val="0"/>
        <w:adjustRightInd w:val="0"/>
        <w:jc w:val="both"/>
        <w:rPr>
          <w:rFonts w:eastAsia="Calibri"/>
        </w:rPr>
      </w:pPr>
    </w:p>
    <w:p w14:paraId="4FF53286" w14:textId="77777777" w:rsidR="0007555D" w:rsidRPr="00C56257" w:rsidRDefault="0007555D" w:rsidP="00F100E1">
      <w:pPr>
        <w:jc w:val="both"/>
      </w:pPr>
    </w:p>
    <w:p w14:paraId="0CA0172C" w14:textId="77777777" w:rsidR="0007555D" w:rsidRPr="00C56257" w:rsidRDefault="0007555D" w:rsidP="00F100E1">
      <w:pPr>
        <w:jc w:val="both"/>
      </w:pPr>
    </w:p>
    <w:p w14:paraId="74A5BA50" w14:textId="77777777" w:rsidR="0007555D" w:rsidRPr="00C56257" w:rsidRDefault="00FE0FCD" w:rsidP="00F100E1">
      <w:pPr>
        <w:spacing w:after="160" w:line="259" w:lineRule="auto"/>
        <w:jc w:val="both"/>
        <w:rPr>
          <w:b/>
          <w:bCs/>
          <w:color w:val="000000"/>
        </w:rPr>
      </w:pPr>
      <w:r>
        <w:rPr>
          <w:b/>
          <w:color w:val="000000"/>
        </w:rPr>
        <w:t>10.2</w:t>
      </w:r>
      <w:r w:rsidR="0007555D" w:rsidRPr="00C56257">
        <w:rPr>
          <w:b/>
          <w:color w:val="000000"/>
        </w:rPr>
        <w:t>.</w:t>
      </w:r>
      <w:bookmarkStart w:id="53" w:name="_Hlk24636858"/>
      <w:bookmarkEnd w:id="53"/>
      <w:r w:rsidR="0007555D" w:rsidRPr="00C56257">
        <w:rPr>
          <w:rFonts w:eastAsia="Calibri"/>
          <w:b/>
          <w:bCs/>
        </w:rPr>
        <w:t xml:space="preserve"> P</w:t>
      </w:r>
      <w:r w:rsidR="0007555D" w:rsidRPr="00C56257">
        <w:rPr>
          <w:b/>
          <w:bCs/>
          <w:color w:val="000000"/>
        </w:rPr>
        <w:t xml:space="preserve">rotocolul de monitorizare a habitatelor forestiere </w:t>
      </w:r>
    </w:p>
    <w:p w14:paraId="14E98C45" w14:textId="77777777" w:rsidR="0007555D" w:rsidRPr="00C56257" w:rsidRDefault="0007555D" w:rsidP="00F100E1">
      <w:pPr>
        <w:jc w:val="both"/>
      </w:pPr>
    </w:p>
    <w:p w14:paraId="5EB6FA9F" w14:textId="77777777" w:rsidR="0007555D" w:rsidRPr="00C56257" w:rsidRDefault="00FE0FCD" w:rsidP="00F100E1">
      <w:pPr>
        <w:spacing w:after="160" w:line="259" w:lineRule="auto"/>
        <w:jc w:val="both"/>
        <w:rPr>
          <w:b/>
          <w:bCs/>
          <w:color w:val="000000"/>
        </w:rPr>
      </w:pPr>
      <w:r>
        <w:rPr>
          <w:b/>
          <w:bCs/>
          <w:color w:val="000000"/>
        </w:rPr>
        <w:t>10.2</w:t>
      </w:r>
      <w:r w:rsidR="0007555D" w:rsidRPr="00C56257">
        <w:rPr>
          <w:b/>
          <w:bCs/>
          <w:color w:val="000000"/>
        </w:rPr>
        <w:t>.1. Protocolul de colectare a datelor din teren pentru habitatele forestiere de interes comunitar</w:t>
      </w:r>
    </w:p>
    <w:p w14:paraId="2CB99183" w14:textId="77777777" w:rsidR="0007555D" w:rsidRPr="00C56257" w:rsidRDefault="0007555D" w:rsidP="008E33FD">
      <w:pPr>
        <w:spacing w:after="160" w:line="259" w:lineRule="auto"/>
        <w:jc w:val="both"/>
        <w:rPr>
          <w:color w:val="000000"/>
        </w:rPr>
      </w:pPr>
      <w:r w:rsidRPr="00C56257">
        <w:rPr>
          <w:b/>
          <w:color w:val="000000"/>
        </w:rPr>
        <w:t xml:space="preserve">Modul de colectare a datelor la nivel național. </w:t>
      </w:r>
      <w:r w:rsidRPr="00C56257">
        <w:rPr>
          <w:color w:val="000000"/>
        </w:rPr>
        <w:t>Directiva Habitate (92/43/CEE) prevede ca fiecare stat membru al Uniunii Europene să asigure menţinerea sau refacerea stării favorabile de conservare a habitatelor forestiere de interes comunitar, să asigure protecția biodiversității dar și îmbunătățirea calității mediului natural.</w:t>
      </w:r>
    </w:p>
    <w:p w14:paraId="661009B5" w14:textId="77777777" w:rsidR="0007555D" w:rsidRPr="00C56257" w:rsidRDefault="0007555D" w:rsidP="008E33FD">
      <w:pPr>
        <w:spacing w:after="160" w:line="259" w:lineRule="auto"/>
        <w:jc w:val="both"/>
        <w:rPr>
          <w:color w:val="000000"/>
        </w:rPr>
      </w:pPr>
      <w:r w:rsidRPr="00C56257">
        <w:rPr>
          <w:color w:val="000000"/>
        </w:rPr>
        <w:t>Metodologia pentru actualizarea, completarea și îmbunătățirea protocoalelor de monitorizare a habitatelor de interes comunitar, în conformitate cu noul format de raportare al Articolului 17 din Directiva Habitate, a fost elaborată în scopul implementării unor proceduri obiective, fundamentate ştiinţific, repetabile şi comparabile în timp, care să permită colectarea datelor din teren, evaluarea stării de conservare a habitatelor vizate și dinamica temporală a acestora.</w:t>
      </w:r>
    </w:p>
    <w:p w14:paraId="10514AA9" w14:textId="77777777" w:rsidR="0007555D" w:rsidRPr="00C56257" w:rsidRDefault="0007555D" w:rsidP="00F100E1">
      <w:pPr>
        <w:spacing w:after="160" w:line="259" w:lineRule="auto"/>
        <w:jc w:val="both"/>
        <w:rPr>
          <w:b/>
          <w:bCs/>
          <w:color w:val="000000"/>
        </w:rPr>
      </w:pPr>
      <w:r w:rsidRPr="00C56257">
        <w:rPr>
          <w:b/>
          <w:color w:val="000000"/>
        </w:rPr>
        <w:t>Siturile NATURA 2000 (pSCI, SCI) pentru tipurile de habitate din Anexa I a Directivei Habitate</w:t>
      </w:r>
      <w:r w:rsidRPr="00C56257">
        <w:rPr>
          <w:b/>
          <w:i/>
          <w:iCs/>
          <w:color w:val="000000"/>
        </w:rPr>
        <w:t xml:space="preserve">. </w:t>
      </w:r>
      <w:r w:rsidRPr="00C56257">
        <w:rPr>
          <w:b/>
          <w:bCs/>
          <w:color w:val="000000"/>
        </w:rPr>
        <w:t>Relația plot de monitorizare / Rețea Natura 2000</w:t>
      </w:r>
    </w:p>
    <w:p w14:paraId="19A9EA12" w14:textId="77777777" w:rsidR="0007555D" w:rsidRPr="00C56257" w:rsidRDefault="0007555D" w:rsidP="008E33FD">
      <w:pPr>
        <w:spacing w:after="160" w:line="259" w:lineRule="auto"/>
        <w:jc w:val="both"/>
        <w:rPr>
          <w:color w:val="000000"/>
        </w:rPr>
      </w:pPr>
      <w:r w:rsidRPr="00C56257">
        <w:rPr>
          <w:color w:val="000000"/>
        </w:rPr>
        <w:t>Rețeaua Natura 2000 este o rețea europeană de zone naturale protejate care cuprinde un eșantion reprezentativ de specii sălbatice și habitate naturale de interes comunitar. Prezentul ghid face referire doar la siturile de importanță comunitară (SCI), care au fost identificate  și declarate pe baze științifice, conform Directivei Habitate. Acestea au scopul principal de a menține starea de conservare favorabilă a habitatelor de interes comunitar pe care le au în componență sau aducerea acestora la o stare favorabilă de conservare.</w:t>
      </w:r>
    </w:p>
    <w:p w14:paraId="2685829E" w14:textId="77777777" w:rsidR="0007555D" w:rsidRPr="00C56257" w:rsidRDefault="0007555D" w:rsidP="008E33FD">
      <w:pPr>
        <w:spacing w:after="160" w:line="259" w:lineRule="auto"/>
        <w:jc w:val="both"/>
        <w:rPr>
          <w:color w:val="000000"/>
        </w:rPr>
      </w:pPr>
      <w:r w:rsidRPr="00C56257">
        <w:rPr>
          <w:color w:val="000000"/>
        </w:rPr>
        <w:t>Pentru a se determina relația plot de monitorizare – rețea Natura 2000 a fost efectuată o analiză spațială între baza de date cu suprafețele de probă (ploturi de monitorizare) și rețeaua Natura 2000 (</w:t>
      </w:r>
      <w:hyperlink r:id="rId85" w:history="1">
        <w:r w:rsidRPr="00C56257">
          <w:rPr>
            <w:rFonts w:eastAsia="Cambria"/>
            <w:color w:val="0000FF"/>
            <w:u w:val="single"/>
          </w:rPr>
          <w:t>http://www.mmediu.ro/articol/date-gis/434</w:t>
        </w:r>
      </w:hyperlink>
      <w:r w:rsidRPr="00C56257">
        <w:rPr>
          <w:color w:val="000000"/>
        </w:rPr>
        <w:t>) la nivelul țării, rezultând astfel un număr de  ploturi de monitorizare situate atât în interiorul cât și în afara rețelei Natura 2000.</w:t>
      </w:r>
    </w:p>
    <w:p w14:paraId="6AF0A536" w14:textId="77777777" w:rsidR="0007555D" w:rsidRPr="00C56257" w:rsidRDefault="0007555D" w:rsidP="008E33FD">
      <w:pPr>
        <w:spacing w:after="160" w:line="259" w:lineRule="auto"/>
        <w:jc w:val="both"/>
        <w:rPr>
          <w:color w:val="000000"/>
        </w:rPr>
      </w:pPr>
      <w:r w:rsidRPr="00C56257">
        <w:rPr>
          <w:color w:val="000000"/>
        </w:rPr>
        <w:lastRenderedPageBreak/>
        <w:t>În urma analizei spațiale a rezultat un număr total de 3357 ploturi de monitorizare  a habitatelor forestiere la nivelul țării, din care 1308 că se află în interiorul rețelei Natura 2000, iar 2049 de ploturi se află în afara acesteia (Tabelul 8).</w:t>
      </w:r>
    </w:p>
    <w:p w14:paraId="2CFF0334" w14:textId="77777777" w:rsidR="0007555D" w:rsidRPr="00C56257" w:rsidRDefault="0007555D" w:rsidP="00F100E1">
      <w:pPr>
        <w:spacing w:after="160" w:line="259" w:lineRule="auto"/>
        <w:jc w:val="both"/>
        <w:rPr>
          <w:bCs/>
          <w:color w:val="000000"/>
        </w:rPr>
      </w:pPr>
      <w:r w:rsidRPr="00C56257">
        <w:rPr>
          <w:bCs/>
          <w:color w:val="000000"/>
        </w:rPr>
        <w:t xml:space="preserve">Tabelul 8. Ploturile de monitorizare </w:t>
      </w:r>
      <w:r w:rsidRPr="00C56257">
        <w:rPr>
          <w:color w:val="000000"/>
        </w:rPr>
        <w:t xml:space="preserve">a habitatelor forestiere la nivel național </w:t>
      </w:r>
      <w:r w:rsidRPr="00C56257">
        <w:rPr>
          <w:bCs/>
          <w:color w:val="000000"/>
        </w:rPr>
        <w:t>situate în interiorul și din afara rețelei Natura 2000</w:t>
      </w:r>
    </w:p>
    <w:tbl>
      <w:tblPr>
        <w:tblW w:w="8635" w:type="dxa"/>
        <w:tblLook w:val="04A0" w:firstRow="1" w:lastRow="0" w:firstColumn="1" w:lastColumn="0" w:noHBand="0" w:noVBand="1"/>
      </w:tblPr>
      <w:tblGrid>
        <w:gridCol w:w="2785"/>
        <w:gridCol w:w="3240"/>
        <w:gridCol w:w="2610"/>
      </w:tblGrid>
      <w:tr w:rsidR="0007555D" w:rsidRPr="00C56257" w14:paraId="3B37E778" w14:textId="77777777" w:rsidTr="0007555D">
        <w:trPr>
          <w:trHeight w:val="600"/>
        </w:trPr>
        <w:tc>
          <w:tcPr>
            <w:tcW w:w="2785"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4E2A9BA9" w14:textId="77777777" w:rsidR="0007555D" w:rsidRPr="00C56257" w:rsidRDefault="0007555D" w:rsidP="00F100E1">
            <w:pPr>
              <w:spacing w:after="160" w:line="259" w:lineRule="auto"/>
              <w:jc w:val="both"/>
              <w:rPr>
                <w:b/>
                <w:color w:val="000000"/>
              </w:rPr>
            </w:pPr>
            <w:r w:rsidRPr="00C56257">
              <w:rPr>
                <w:b/>
                <w:color w:val="000000"/>
              </w:rPr>
              <w:t>Ploturi de monitorizare</w:t>
            </w:r>
            <w:r w:rsidRPr="00C56257">
              <w:rPr>
                <w:b/>
                <w:color w:val="000000"/>
              </w:rPr>
              <w:br/>
              <w:t xml:space="preserve"> din rețeaua Natura 2000</w:t>
            </w:r>
          </w:p>
        </w:tc>
        <w:tc>
          <w:tcPr>
            <w:tcW w:w="3240" w:type="dxa"/>
            <w:tcBorders>
              <w:top w:val="single" w:sz="4" w:space="0" w:color="auto"/>
              <w:left w:val="nil"/>
              <w:bottom w:val="single" w:sz="4" w:space="0" w:color="auto"/>
              <w:right w:val="single" w:sz="4" w:space="0" w:color="auto"/>
            </w:tcBorders>
            <w:shd w:val="clear" w:color="auto" w:fill="92D050"/>
            <w:vAlign w:val="center"/>
            <w:hideMark/>
          </w:tcPr>
          <w:p w14:paraId="53A27DF5" w14:textId="77777777" w:rsidR="0007555D" w:rsidRPr="00C56257" w:rsidRDefault="0007555D" w:rsidP="00F100E1">
            <w:pPr>
              <w:spacing w:after="160" w:line="259" w:lineRule="auto"/>
              <w:jc w:val="both"/>
              <w:rPr>
                <w:b/>
                <w:color w:val="000000"/>
              </w:rPr>
            </w:pPr>
            <w:r w:rsidRPr="00C56257">
              <w:rPr>
                <w:b/>
                <w:color w:val="000000"/>
              </w:rPr>
              <w:t>Ploturi de monitorizare</w:t>
            </w:r>
            <w:r w:rsidRPr="00C56257">
              <w:rPr>
                <w:b/>
                <w:color w:val="000000"/>
              </w:rPr>
              <w:br/>
              <w:t xml:space="preserve"> în afara rețelei Natura 2000</w:t>
            </w:r>
          </w:p>
        </w:tc>
        <w:tc>
          <w:tcPr>
            <w:tcW w:w="2610" w:type="dxa"/>
            <w:tcBorders>
              <w:top w:val="single" w:sz="4" w:space="0" w:color="auto"/>
              <w:left w:val="nil"/>
              <w:bottom w:val="single" w:sz="4" w:space="0" w:color="auto"/>
              <w:right w:val="single" w:sz="4" w:space="0" w:color="auto"/>
            </w:tcBorders>
            <w:shd w:val="clear" w:color="auto" w:fill="92D050"/>
            <w:vAlign w:val="center"/>
            <w:hideMark/>
          </w:tcPr>
          <w:p w14:paraId="1BC6F87F" w14:textId="77777777" w:rsidR="0007555D" w:rsidRPr="00C56257" w:rsidRDefault="0007555D" w:rsidP="00F100E1">
            <w:pPr>
              <w:spacing w:after="160" w:line="259" w:lineRule="auto"/>
              <w:jc w:val="both"/>
              <w:rPr>
                <w:b/>
                <w:color w:val="000000"/>
              </w:rPr>
            </w:pPr>
            <w:r w:rsidRPr="00C56257">
              <w:rPr>
                <w:b/>
                <w:color w:val="000000"/>
              </w:rPr>
              <w:t xml:space="preserve">Total Ploturi </w:t>
            </w:r>
            <w:r w:rsidRPr="00C56257">
              <w:rPr>
                <w:b/>
                <w:color w:val="000000"/>
              </w:rPr>
              <w:br/>
              <w:t>de monitorizare</w:t>
            </w:r>
          </w:p>
        </w:tc>
      </w:tr>
      <w:tr w:rsidR="0007555D" w:rsidRPr="00C56257" w14:paraId="45AB2DA8" w14:textId="77777777" w:rsidTr="0007555D">
        <w:trPr>
          <w:trHeight w:val="458"/>
        </w:trPr>
        <w:tc>
          <w:tcPr>
            <w:tcW w:w="2785" w:type="dxa"/>
            <w:tcBorders>
              <w:top w:val="nil"/>
              <w:left w:val="single" w:sz="4" w:space="0" w:color="auto"/>
              <w:bottom w:val="single" w:sz="4" w:space="0" w:color="auto"/>
              <w:right w:val="single" w:sz="4" w:space="0" w:color="auto"/>
            </w:tcBorders>
            <w:shd w:val="clear" w:color="auto" w:fill="auto"/>
            <w:noWrap/>
            <w:vAlign w:val="center"/>
            <w:hideMark/>
          </w:tcPr>
          <w:p w14:paraId="6AB7BD6F" w14:textId="77777777" w:rsidR="0007555D" w:rsidRPr="00C56257" w:rsidRDefault="0007555D" w:rsidP="00F100E1">
            <w:pPr>
              <w:spacing w:line="259" w:lineRule="auto"/>
              <w:jc w:val="both"/>
              <w:rPr>
                <w:b/>
                <w:color w:val="000000"/>
              </w:rPr>
            </w:pPr>
            <w:r w:rsidRPr="00C56257">
              <w:rPr>
                <w:b/>
                <w:color w:val="000000"/>
              </w:rPr>
              <w:t>1308</w:t>
            </w:r>
          </w:p>
        </w:tc>
        <w:tc>
          <w:tcPr>
            <w:tcW w:w="3240" w:type="dxa"/>
            <w:tcBorders>
              <w:top w:val="nil"/>
              <w:left w:val="single" w:sz="4" w:space="0" w:color="auto"/>
              <w:bottom w:val="single" w:sz="4" w:space="0" w:color="auto"/>
              <w:right w:val="single" w:sz="4" w:space="0" w:color="auto"/>
            </w:tcBorders>
            <w:shd w:val="clear" w:color="auto" w:fill="auto"/>
            <w:noWrap/>
            <w:vAlign w:val="center"/>
            <w:hideMark/>
          </w:tcPr>
          <w:p w14:paraId="25EB392C" w14:textId="77777777" w:rsidR="0007555D" w:rsidRPr="00C56257" w:rsidRDefault="0007555D" w:rsidP="00F100E1">
            <w:pPr>
              <w:spacing w:line="259" w:lineRule="auto"/>
              <w:jc w:val="both"/>
              <w:rPr>
                <w:b/>
                <w:color w:val="000000"/>
              </w:rPr>
            </w:pPr>
            <w:r w:rsidRPr="00C56257">
              <w:rPr>
                <w:b/>
                <w:color w:val="000000"/>
              </w:rPr>
              <w:t>2049</w:t>
            </w:r>
          </w:p>
        </w:tc>
        <w:tc>
          <w:tcPr>
            <w:tcW w:w="2610" w:type="dxa"/>
            <w:tcBorders>
              <w:top w:val="nil"/>
              <w:left w:val="single" w:sz="4" w:space="0" w:color="auto"/>
              <w:bottom w:val="single" w:sz="4" w:space="0" w:color="auto"/>
              <w:right w:val="single" w:sz="4" w:space="0" w:color="auto"/>
            </w:tcBorders>
            <w:shd w:val="clear" w:color="auto" w:fill="auto"/>
            <w:noWrap/>
            <w:vAlign w:val="center"/>
            <w:hideMark/>
          </w:tcPr>
          <w:p w14:paraId="4BFD0B66" w14:textId="77777777" w:rsidR="0007555D" w:rsidRPr="00C56257" w:rsidRDefault="0007555D" w:rsidP="00F100E1">
            <w:pPr>
              <w:spacing w:line="259" w:lineRule="auto"/>
              <w:jc w:val="both"/>
              <w:rPr>
                <w:b/>
                <w:color w:val="000000"/>
              </w:rPr>
            </w:pPr>
            <w:r w:rsidRPr="00C56257">
              <w:rPr>
                <w:b/>
                <w:color w:val="000000"/>
              </w:rPr>
              <w:t>3357</w:t>
            </w:r>
          </w:p>
        </w:tc>
      </w:tr>
    </w:tbl>
    <w:p w14:paraId="53036B8F" w14:textId="77777777" w:rsidR="0007555D" w:rsidRPr="00C56257" w:rsidRDefault="0007555D" w:rsidP="00F100E1">
      <w:pPr>
        <w:spacing w:after="160" w:line="259" w:lineRule="auto"/>
        <w:jc w:val="both"/>
        <w:rPr>
          <w:b/>
          <w:color w:val="000000"/>
        </w:rPr>
      </w:pPr>
    </w:p>
    <w:p w14:paraId="45422B82" w14:textId="77777777" w:rsidR="0007555D" w:rsidRPr="00C56257" w:rsidRDefault="0007555D" w:rsidP="00F100E1">
      <w:pPr>
        <w:spacing w:after="160" w:line="259" w:lineRule="auto"/>
        <w:jc w:val="both"/>
        <w:rPr>
          <w:b/>
          <w:color w:val="000000"/>
        </w:rPr>
      </w:pPr>
      <w:r w:rsidRPr="00C56257">
        <w:rPr>
          <w:b/>
          <w:color w:val="000000"/>
        </w:rPr>
        <w:t>Fișa de teren</w:t>
      </w:r>
    </w:p>
    <w:p w14:paraId="168BFCE9" w14:textId="77777777" w:rsidR="0007555D" w:rsidRPr="00C56257" w:rsidRDefault="0007555D" w:rsidP="00F100E1">
      <w:pPr>
        <w:spacing w:after="160" w:line="259" w:lineRule="auto"/>
        <w:jc w:val="both"/>
        <w:rPr>
          <w:color w:val="000000"/>
        </w:rPr>
      </w:pPr>
      <w:r w:rsidRPr="00C56257">
        <w:rPr>
          <w:color w:val="000000"/>
        </w:rPr>
        <w:t>În procesul de colectare a datelor de teren un rol important îl reprezintă fișa de teren și implicit completarea acesteia. De menționat este faptul că se completează o fișă de teren pentru fiecare plot parcurs de către echipele de teren. Completarea fișelor se efectuează strict în teren, acordându-se o atenție deosebită descrierii parametrilor de pe fișă, raportați la situația din fiecare plot în parte.</w:t>
      </w:r>
    </w:p>
    <w:p w14:paraId="13723297" w14:textId="77777777" w:rsidR="0007555D" w:rsidRPr="00C56257" w:rsidRDefault="0007555D" w:rsidP="00F100E1">
      <w:pPr>
        <w:spacing w:after="160" w:line="259" w:lineRule="auto"/>
        <w:jc w:val="both"/>
        <w:rPr>
          <w:b/>
          <w:color w:val="000000"/>
        </w:rPr>
      </w:pPr>
      <w:r w:rsidRPr="00C56257">
        <w:rPr>
          <w:b/>
          <w:color w:val="000000"/>
        </w:rPr>
        <w:t>FIŞĂ EVALUARE/MONITORIZARE HABITATE FORESTIERE</w:t>
      </w:r>
    </w:p>
    <w:p w14:paraId="1F0B8A52" w14:textId="77777777" w:rsidR="0007555D" w:rsidRPr="00C56257" w:rsidRDefault="0007555D" w:rsidP="00F100E1">
      <w:pPr>
        <w:spacing w:after="160" w:line="259" w:lineRule="auto"/>
        <w:jc w:val="both"/>
        <w:rPr>
          <w:b/>
          <w:color w:val="000000"/>
        </w:rPr>
      </w:pPr>
      <w:r w:rsidRPr="00C56257">
        <w:rPr>
          <w:b/>
          <w:color w:val="000000"/>
        </w:rPr>
        <w:t>1. Date identificare sondaj:</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47"/>
        <w:gridCol w:w="547"/>
        <w:gridCol w:w="547"/>
        <w:gridCol w:w="547"/>
        <w:gridCol w:w="547"/>
        <w:gridCol w:w="547"/>
        <w:gridCol w:w="547"/>
        <w:gridCol w:w="547"/>
        <w:gridCol w:w="547"/>
        <w:gridCol w:w="547"/>
        <w:gridCol w:w="1094"/>
        <w:gridCol w:w="1094"/>
      </w:tblGrid>
      <w:tr w:rsidR="0007555D" w:rsidRPr="00C56257" w14:paraId="088CAD1F" w14:textId="77777777" w:rsidTr="0007555D">
        <w:trPr>
          <w:gridAfter w:val="4"/>
          <w:wAfter w:w="3282" w:type="dxa"/>
          <w:trHeight w:val="302"/>
        </w:trPr>
        <w:tc>
          <w:tcPr>
            <w:tcW w:w="4376" w:type="dxa"/>
            <w:gridSpan w:val="8"/>
            <w:vAlign w:val="center"/>
          </w:tcPr>
          <w:p w14:paraId="18C63FDC" w14:textId="77777777" w:rsidR="0007555D" w:rsidRPr="00C56257" w:rsidRDefault="0007555D" w:rsidP="00F100E1">
            <w:pPr>
              <w:spacing w:after="160" w:line="259" w:lineRule="auto"/>
              <w:jc w:val="both"/>
              <w:rPr>
                <w:color w:val="000000"/>
              </w:rPr>
            </w:pPr>
            <w:r w:rsidRPr="00C56257">
              <w:rPr>
                <w:color w:val="000000"/>
              </w:rPr>
              <w:t xml:space="preserve">Cod sondaj </w:t>
            </w:r>
          </w:p>
        </w:tc>
      </w:tr>
      <w:tr w:rsidR="0007555D" w:rsidRPr="00C56257" w14:paraId="5E33E766" w14:textId="77777777" w:rsidTr="0007555D">
        <w:trPr>
          <w:gridAfter w:val="4"/>
          <w:wAfter w:w="3282" w:type="dxa"/>
          <w:trHeight w:val="418"/>
        </w:trPr>
        <w:tc>
          <w:tcPr>
            <w:tcW w:w="547" w:type="dxa"/>
            <w:vAlign w:val="center"/>
          </w:tcPr>
          <w:p w14:paraId="17DA3BB5" w14:textId="77777777" w:rsidR="0007555D" w:rsidRPr="00C56257" w:rsidRDefault="0007555D" w:rsidP="00F100E1">
            <w:pPr>
              <w:spacing w:after="160" w:line="259" w:lineRule="auto"/>
              <w:jc w:val="both"/>
              <w:rPr>
                <w:color w:val="000000"/>
              </w:rPr>
            </w:pPr>
          </w:p>
        </w:tc>
        <w:tc>
          <w:tcPr>
            <w:tcW w:w="547" w:type="dxa"/>
            <w:vAlign w:val="center"/>
          </w:tcPr>
          <w:p w14:paraId="2A314022" w14:textId="77777777" w:rsidR="0007555D" w:rsidRPr="00C56257" w:rsidRDefault="0007555D" w:rsidP="00F100E1">
            <w:pPr>
              <w:spacing w:after="160" w:line="259" w:lineRule="auto"/>
              <w:jc w:val="both"/>
              <w:rPr>
                <w:color w:val="000000"/>
              </w:rPr>
            </w:pPr>
          </w:p>
        </w:tc>
        <w:tc>
          <w:tcPr>
            <w:tcW w:w="547" w:type="dxa"/>
            <w:vAlign w:val="center"/>
          </w:tcPr>
          <w:p w14:paraId="3E7626BA" w14:textId="77777777" w:rsidR="0007555D" w:rsidRPr="00C56257" w:rsidRDefault="0007555D" w:rsidP="00F100E1">
            <w:pPr>
              <w:spacing w:after="160" w:line="259" w:lineRule="auto"/>
              <w:jc w:val="both"/>
              <w:rPr>
                <w:color w:val="000000"/>
              </w:rPr>
            </w:pPr>
          </w:p>
        </w:tc>
        <w:tc>
          <w:tcPr>
            <w:tcW w:w="547" w:type="dxa"/>
            <w:vAlign w:val="center"/>
          </w:tcPr>
          <w:p w14:paraId="55B88742" w14:textId="77777777" w:rsidR="0007555D" w:rsidRPr="00C56257" w:rsidRDefault="0007555D" w:rsidP="00F100E1">
            <w:pPr>
              <w:spacing w:after="160" w:line="259" w:lineRule="auto"/>
              <w:jc w:val="both"/>
              <w:rPr>
                <w:color w:val="000000"/>
              </w:rPr>
            </w:pPr>
          </w:p>
        </w:tc>
        <w:tc>
          <w:tcPr>
            <w:tcW w:w="547" w:type="dxa"/>
            <w:vAlign w:val="center"/>
          </w:tcPr>
          <w:p w14:paraId="2329D914" w14:textId="77777777" w:rsidR="0007555D" w:rsidRPr="00C56257" w:rsidRDefault="0007555D" w:rsidP="00F100E1">
            <w:pPr>
              <w:spacing w:after="160" w:line="259" w:lineRule="auto"/>
              <w:jc w:val="both"/>
              <w:rPr>
                <w:color w:val="000000"/>
              </w:rPr>
            </w:pPr>
          </w:p>
        </w:tc>
        <w:tc>
          <w:tcPr>
            <w:tcW w:w="547" w:type="dxa"/>
            <w:vAlign w:val="center"/>
          </w:tcPr>
          <w:p w14:paraId="17798F89" w14:textId="77777777" w:rsidR="0007555D" w:rsidRPr="00C56257" w:rsidRDefault="0007555D" w:rsidP="00F100E1">
            <w:pPr>
              <w:spacing w:after="160" w:line="259" w:lineRule="auto"/>
              <w:jc w:val="both"/>
              <w:rPr>
                <w:color w:val="000000"/>
              </w:rPr>
            </w:pPr>
          </w:p>
        </w:tc>
        <w:tc>
          <w:tcPr>
            <w:tcW w:w="547" w:type="dxa"/>
            <w:vAlign w:val="center"/>
          </w:tcPr>
          <w:p w14:paraId="2D84483F" w14:textId="77777777" w:rsidR="0007555D" w:rsidRPr="00C56257" w:rsidRDefault="0007555D" w:rsidP="00F100E1">
            <w:pPr>
              <w:spacing w:after="160" w:line="259" w:lineRule="auto"/>
              <w:jc w:val="both"/>
              <w:rPr>
                <w:color w:val="000000"/>
              </w:rPr>
            </w:pPr>
          </w:p>
        </w:tc>
        <w:tc>
          <w:tcPr>
            <w:tcW w:w="547" w:type="dxa"/>
            <w:vAlign w:val="center"/>
          </w:tcPr>
          <w:p w14:paraId="46D46BAF" w14:textId="77777777" w:rsidR="0007555D" w:rsidRPr="00C56257" w:rsidRDefault="0007555D" w:rsidP="00F100E1">
            <w:pPr>
              <w:spacing w:after="160" w:line="259" w:lineRule="auto"/>
              <w:jc w:val="both"/>
              <w:rPr>
                <w:color w:val="000000"/>
              </w:rPr>
            </w:pPr>
          </w:p>
        </w:tc>
      </w:tr>
      <w:tr w:rsidR="0007555D" w:rsidRPr="00C56257" w14:paraId="132A31FF" w14:textId="77777777" w:rsidTr="0007555D">
        <w:trPr>
          <w:trHeight w:val="302"/>
        </w:trPr>
        <w:tc>
          <w:tcPr>
            <w:tcW w:w="5470" w:type="dxa"/>
            <w:gridSpan w:val="10"/>
            <w:tcBorders>
              <w:top w:val="single" w:sz="12" w:space="0" w:color="auto"/>
            </w:tcBorders>
            <w:vAlign w:val="center"/>
          </w:tcPr>
          <w:p w14:paraId="08411132" w14:textId="77777777" w:rsidR="0007555D" w:rsidRPr="00C56257" w:rsidRDefault="0007555D" w:rsidP="00F100E1">
            <w:pPr>
              <w:spacing w:after="160" w:line="259" w:lineRule="auto"/>
              <w:jc w:val="both"/>
              <w:rPr>
                <w:color w:val="000000"/>
              </w:rPr>
            </w:pPr>
            <w:r w:rsidRPr="00C56257">
              <w:rPr>
                <w:color w:val="000000"/>
              </w:rPr>
              <w:t>Cod SP</w:t>
            </w:r>
          </w:p>
        </w:tc>
        <w:tc>
          <w:tcPr>
            <w:tcW w:w="1094" w:type="dxa"/>
            <w:tcBorders>
              <w:top w:val="single" w:sz="12" w:space="0" w:color="auto"/>
            </w:tcBorders>
            <w:vAlign w:val="center"/>
          </w:tcPr>
          <w:p w14:paraId="433D562C" w14:textId="77777777" w:rsidR="0007555D" w:rsidRPr="00C56257" w:rsidRDefault="0007555D" w:rsidP="00F100E1">
            <w:pPr>
              <w:spacing w:after="160" w:line="259" w:lineRule="auto"/>
              <w:jc w:val="both"/>
              <w:rPr>
                <w:color w:val="000000"/>
              </w:rPr>
            </w:pPr>
            <w:r w:rsidRPr="00C56257">
              <w:rPr>
                <w:color w:val="000000"/>
              </w:rPr>
              <w:t>Nr. SP</w:t>
            </w:r>
          </w:p>
        </w:tc>
        <w:tc>
          <w:tcPr>
            <w:tcW w:w="1094" w:type="dxa"/>
            <w:tcBorders>
              <w:top w:val="single" w:sz="12" w:space="0" w:color="auto"/>
            </w:tcBorders>
            <w:vAlign w:val="center"/>
          </w:tcPr>
          <w:p w14:paraId="231FB9DE" w14:textId="77777777" w:rsidR="0007555D" w:rsidRPr="00C56257" w:rsidRDefault="0007555D" w:rsidP="00F100E1">
            <w:pPr>
              <w:spacing w:after="160" w:line="259" w:lineRule="auto"/>
              <w:jc w:val="both"/>
              <w:rPr>
                <w:color w:val="000000"/>
              </w:rPr>
            </w:pPr>
            <w:r w:rsidRPr="00C56257">
              <w:rPr>
                <w:color w:val="000000"/>
              </w:rPr>
              <w:t>Nr. SSP</w:t>
            </w:r>
          </w:p>
        </w:tc>
      </w:tr>
      <w:tr w:rsidR="0007555D" w:rsidRPr="00C56257" w14:paraId="6F0AFD42" w14:textId="77777777" w:rsidTr="0007555D">
        <w:trPr>
          <w:trHeight w:val="418"/>
        </w:trPr>
        <w:tc>
          <w:tcPr>
            <w:tcW w:w="547" w:type="dxa"/>
            <w:tcBorders>
              <w:bottom w:val="single" w:sz="12" w:space="0" w:color="auto"/>
            </w:tcBorders>
            <w:vAlign w:val="center"/>
          </w:tcPr>
          <w:p w14:paraId="54CCCDE4" w14:textId="77777777" w:rsidR="0007555D" w:rsidRPr="00C56257" w:rsidRDefault="0007555D" w:rsidP="00F100E1">
            <w:pPr>
              <w:spacing w:after="160" w:line="259" w:lineRule="auto"/>
              <w:jc w:val="both"/>
              <w:rPr>
                <w:color w:val="000000"/>
              </w:rPr>
            </w:pPr>
          </w:p>
        </w:tc>
        <w:tc>
          <w:tcPr>
            <w:tcW w:w="547" w:type="dxa"/>
            <w:tcBorders>
              <w:bottom w:val="single" w:sz="12" w:space="0" w:color="auto"/>
            </w:tcBorders>
          </w:tcPr>
          <w:p w14:paraId="50037DE4" w14:textId="77777777" w:rsidR="0007555D" w:rsidRPr="00C56257" w:rsidRDefault="0007555D" w:rsidP="00F100E1">
            <w:pPr>
              <w:spacing w:after="160" w:line="259" w:lineRule="auto"/>
              <w:jc w:val="both"/>
              <w:rPr>
                <w:color w:val="000000"/>
              </w:rPr>
            </w:pPr>
          </w:p>
        </w:tc>
        <w:tc>
          <w:tcPr>
            <w:tcW w:w="547" w:type="dxa"/>
            <w:tcBorders>
              <w:bottom w:val="single" w:sz="12" w:space="0" w:color="auto"/>
            </w:tcBorders>
          </w:tcPr>
          <w:p w14:paraId="31017A68" w14:textId="77777777" w:rsidR="0007555D" w:rsidRPr="00C56257" w:rsidRDefault="0007555D" w:rsidP="00F100E1">
            <w:pPr>
              <w:spacing w:after="160" w:line="259" w:lineRule="auto"/>
              <w:jc w:val="both"/>
              <w:rPr>
                <w:color w:val="000000"/>
              </w:rPr>
            </w:pPr>
          </w:p>
        </w:tc>
        <w:tc>
          <w:tcPr>
            <w:tcW w:w="547" w:type="dxa"/>
            <w:tcBorders>
              <w:bottom w:val="single" w:sz="12" w:space="0" w:color="auto"/>
            </w:tcBorders>
            <w:vAlign w:val="center"/>
          </w:tcPr>
          <w:p w14:paraId="20C1B4CF" w14:textId="77777777" w:rsidR="0007555D" w:rsidRPr="00C56257" w:rsidRDefault="0007555D" w:rsidP="00F100E1">
            <w:pPr>
              <w:spacing w:after="160" w:line="259" w:lineRule="auto"/>
              <w:jc w:val="both"/>
              <w:rPr>
                <w:color w:val="000000"/>
              </w:rPr>
            </w:pPr>
          </w:p>
        </w:tc>
        <w:tc>
          <w:tcPr>
            <w:tcW w:w="547" w:type="dxa"/>
            <w:tcBorders>
              <w:bottom w:val="single" w:sz="12" w:space="0" w:color="auto"/>
            </w:tcBorders>
            <w:vAlign w:val="center"/>
          </w:tcPr>
          <w:p w14:paraId="4242388C" w14:textId="77777777" w:rsidR="0007555D" w:rsidRPr="00C56257" w:rsidRDefault="0007555D" w:rsidP="00F100E1">
            <w:pPr>
              <w:spacing w:after="160" w:line="259" w:lineRule="auto"/>
              <w:jc w:val="both"/>
              <w:rPr>
                <w:color w:val="000000"/>
              </w:rPr>
            </w:pPr>
          </w:p>
        </w:tc>
        <w:tc>
          <w:tcPr>
            <w:tcW w:w="547" w:type="dxa"/>
            <w:tcBorders>
              <w:bottom w:val="single" w:sz="12" w:space="0" w:color="auto"/>
            </w:tcBorders>
            <w:vAlign w:val="center"/>
          </w:tcPr>
          <w:p w14:paraId="01803A6A" w14:textId="77777777" w:rsidR="0007555D" w:rsidRPr="00C56257" w:rsidRDefault="0007555D" w:rsidP="00F100E1">
            <w:pPr>
              <w:spacing w:after="160" w:line="259" w:lineRule="auto"/>
              <w:jc w:val="both"/>
              <w:rPr>
                <w:color w:val="000000"/>
              </w:rPr>
            </w:pPr>
          </w:p>
        </w:tc>
        <w:tc>
          <w:tcPr>
            <w:tcW w:w="547" w:type="dxa"/>
            <w:tcBorders>
              <w:bottom w:val="single" w:sz="12" w:space="0" w:color="auto"/>
            </w:tcBorders>
            <w:vAlign w:val="center"/>
          </w:tcPr>
          <w:p w14:paraId="2F4DA909" w14:textId="77777777" w:rsidR="0007555D" w:rsidRPr="00C56257" w:rsidRDefault="0007555D" w:rsidP="00F100E1">
            <w:pPr>
              <w:spacing w:after="160" w:line="259" w:lineRule="auto"/>
              <w:jc w:val="both"/>
              <w:rPr>
                <w:color w:val="000000"/>
              </w:rPr>
            </w:pPr>
          </w:p>
        </w:tc>
        <w:tc>
          <w:tcPr>
            <w:tcW w:w="547" w:type="dxa"/>
            <w:tcBorders>
              <w:bottom w:val="single" w:sz="12" w:space="0" w:color="auto"/>
            </w:tcBorders>
            <w:vAlign w:val="center"/>
          </w:tcPr>
          <w:p w14:paraId="515A7E69" w14:textId="77777777" w:rsidR="0007555D" w:rsidRPr="00C56257" w:rsidRDefault="0007555D" w:rsidP="00F100E1">
            <w:pPr>
              <w:spacing w:after="160" w:line="259" w:lineRule="auto"/>
              <w:jc w:val="both"/>
              <w:rPr>
                <w:color w:val="000000"/>
              </w:rPr>
            </w:pPr>
          </w:p>
        </w:tc>
        <w:tc>
          <w:tcPr>
            <w:tcW w:w="547" w:type="dxa"/>
            <w:tcBorders>
              <w:bottom w:val="single" w:sz="12" w:space="0" w:color="auto"/>
            </w:tcBorders>
            <w:vAlign w:val="center"/>
          </w:tcPr>
          <w:p w14:paraId="17B053B5" w14:textId="77777777" w:rsidR="0007555D" w:rsidRPr="00C56257" w:rsidRDefault="0007555D" w:rsidP="00F100E1">
            <w:pPr>
              <w:spacing w:after="160" w:line="259" w:lineRule="auto"/>
              <w:jc w:val="both"/>
              <w:rPr>
                <w:color w:val="000000"/>
              </w:rPr>
            </w:pPr>
          </w:p>
        </w:tc>
        <w:tc>
          <w:tcPr>
            <w:tcW w:w="547" w:type="dxa"/>
            <w:vAlign w:val="center"/>
          </w:tcPr>
          <w:p w14:paraId="6288028B" w14:textId="77777777" w:rsidR="0007555D" w:rsidRPr="00C56257" w:rsidRDefault="0007555D" w:rsidP="00F100E1">
            <w:pPr>
              <w:spacing w:after="160" w:line="259" w:lineRule="auto"/>
              <w:jc w:val="both"/>
              <w:rPr>
                <w:color w:val="000000"/>
              </w:rPr>
            </w:pPr>
          </w:p>
        </w:tc>
        <w:tc>
          <w:tcPr>
            <w:tcW w:w="1094" w:type="dxa"/>
          </w:tcPr>
          <w:p w14:paraId="16D68CC1" w14:textId="77777777" w:rsidR="0007555D" w:rsidRPr="00C56257" w:rsidRDefault="0007555D" w:rsidP="00F100E1">
            <w:pPr>
              <w:spacing w:after="160" w:line="259" w:lineRule="auto"/>
              <w:jc w:val="both"/>
              <w:rPr>
                <w:color w:val="000000"/>
              </w:rPr>
            </w:pPr>
          </w:p>
        </w:tc>
        <w:tc>
          <w:tcPr>
            <w:tcW w:w="1094" w:type="dxa"/>
          </w:tcPr>
          <w:p w14:paraId="3FE27E10" w14:textId="77777777" w:rsidR="0007555D" w:rsidRPr="00C56257" w:rsidRDefault="0007555D" w:rsidP="00F100E1">
            <w:pPr>
              <w:spacing w:after="160" w:line="259" w:lineRule="auto"/>
              <w:jc w:val="both"/>
              <w:rPr>
                <w:color w:val="000000"/>
              </w:rPr>
            </w:pPr>
          </w:p>
        </w:tc>
      </w:tr>
    </w:tbl>
    <w:p w14:paraId="13A2B7D4" w14:textId="77777777" w:rsidR="0007555D" w:rsidRPr="00C56257" w:rsidRDefault="0007555D" w:rsidP="00F100E1">
      <w:pPr>
        <w:spacing w:after="160" w:line="259" w:lineRule="auto"/>
        <w:jc w:val="both"/>
        <w:rPr>
          <w:color w:val="000000"/>
        </w:rPr>
      </w:pPr>
    </w:p>
    <w:p w14:paraId="6472F463" w14:textId="77777777" w:rsidR="0007555D" w:rsidRPr="00C56257" w:rsidRDefault="0007555D" w:rsidP="00F100E1">
      <w:pPr>
        <w:spacing w:after="160" w:line="259" w:lineRule="auto"/>
        <w:jc w:val="both"/>
        <w:rPr>
          <w:b/>
          <w:color w:val="000000"/>
        </w:rPr>
      </w:pPr>
      <w:r w:rsidRPr="00C56257">
        <w:rPr>
          <w:b/>
          <w:color w:val="000000"/>
        </w:rPr>
        <w:t>2. Date identificare habitat:</w:t>
      </w:r>
    </w:p>
    <w:tbl>
      <w:tblPr>
        <w:tblStyle w:val="TableGrid"/>
        <w:tblW w:w="8535"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43"/>
        <w:gridCol w:w="536"/>
        <w:gridCol w:w="536"/>
        <w:gridCol w:w="544"/>
        <w:gridCol w:w="434"/>
        <w:gridCol w:w="5942"/>
      </w:tblGrid>
      <w:tr w:rsidR="0007555D" w:rsidRPr="00C56257" w14:paraId="5E28B77D" w14:textId="77777777" w:rsidTr="0007555D">
        <w:trPr>
          <w:gridAfter w:val="2"/>
          <w:wAfter w:w="6376" w:type="dxa"/>
          <w:trHeight w:val="302"/>
        </w:trPr>
        <w:tc>
          <w:tcPr>
            <w:tcW w:w="2159" w:type="dxa"/>
            <w:gridSpan w:val="4"/>
          </w:tcPr>
          <w:p w14:paraId="291678E5" w14:textId="77777777" w:rsidR="0007555D" w:rsidRPr="00C56257" w:rsidRDefault="0007555D" w:rsidP="00F100E1">
            <w:pPr>
              <w:spacing w:after="160" w:line="259" w:lineRule="auto"/>
              <w:jc w:val="both"/>
              <w:rPr>
                <w:color w:val="000000"/>
              </w:rPr>
            </w:pPr>
            <w:r w:rsidRPr="00C56257">
              <w:rPr>
                <w:color w:val="000000"/>
              </w:rPr>
              <w:t>COD Habitat</w:t>
            </w:r>
          </w:p>
        </w:tc>
      </w:tr>
      <w:tr w:rsidR="0007555D" w:rsidRPr="00C56257" w14:paraId="023E23D3" w14:textId="77777777" w:rsidTr="0007555D">
        <w:trPr>
          <w:gridAfter w:val="2"/>
          <w:wAfter w:w="6376" w:type="dxa"/>
          <w:trHeight w:val="418"/>
        </w:trPr>
        <w:tc>
          <w:tcPr>
            <w:tcW w:w="543" w:type="dxa"/>
          </w:tcPr>
          <w:p w14:paraId="5B142F7E" w14:textId="77777777" w:rsidR="0007555D" w:rsidRPr="00C56257" w:rsidRDefault="0007555D" w:rsidP="00F100E1">
            <w:pPr>
              <w:spacing w:after="160" w:line="259" w:lineRule="auto"/>
              <w:jc w:val="both"/>
              <w:rPr>
                <w:color w:val="000000"/>
              </w:rPr>
            </w:pPr>
          </w:p>
        </w:tc>
        <w:tc>
          <w:tcPr>
            <w:tcW w:w="536" w:type="dxa"/>
          </w:tcPr>
          <w:p w14:paraId="306EE2FF" w14:textId="77777777" w:rsidR="0007555D" w:rsidRPr="00C56257" w:rsidRDefault="0007555D" w:rsidP="00F100E1">
            <w:pPr>
              <w:spacing w:after="160" w:line="259" w:lineRule="auto"/>
              <w:jc w:val="both"/>
              <w:rPr>
                <w:color w:val="000000"/>
              </w:rPr>
            </w:pPr>
          </w:p>
        </w:tc>
        <w:tc>
          <w:tcPr>
            <w:tcW w:w="536" w:type="dxa"/>
          </w:tcPr>
          <w:p w14:paraId="29070B88" w14:textId="77777777" w:rsidR="0007555D" w:rsidRPr="00C56257" w:rsidRDefault="0007555D" w:rsidP="00F100E1">
            <w:pPr>
              <w:spacing w:after="160" w:line="259" w:lineRule="auto"/>
              <w:jc w:val="both"/>
              <w:rPr>
                <w:color w:val="000000"/>
              </w:rPr>
            </w:pPr>
          </w:p>
        </w:tc>
        <w:tc>
          <w:tcPr>
            <w:tcW w:w="544" w:type="dxa"/>
          </w:tcPr>
          <w:p w14:paraId="0E523168" w14:textId="77777777" w:rsidR="0007555D" w:rsidRPr="00C56257" w:rsidRDefault="0007555D" w:rsidP="00F100E1">
            <w:pPr>
              <w:spacing w:after="160" w:line="259" w:lineRule="auto"/>
              <w:jc w:val="both"/>
              <w:rPr>
                <w:color w:val="000000"/>
              </w:rPr>
            </w:pPr>
          </w:p>
        </w:tc>
      </w:tr>
      <w:tr w:rsidR="0007555D" w:rsidRPr="00C56257" w14:paraId="4C099EE8" w14:textId="77777777" w:rsidTr="0007555D">
        <w:trPr>
          <w:trHeight w:val="302"/>
        </w:trPr>
        <w:tc>
          <w:tcPr>
            <w:tcW w:w="8535" w:type="dxa"/>
            <w:gridSpan w:val="6"/>
            <w:tcBorders>
              <w:top w:val="single" w:sz="12" w:space="0" w:color="auto"/>
            </w:tcBorders>
          </w:tcPr>
          <w:p w14:paraId="24F0FC3E" w14:textId="77777777" w:rsidR="0007555D" w:rsidRPr="00C56257" w:rsidRDefault="0007555D" w:rsidP="00F100E1">
            <w:pPr>
              <w:spacing w:after="160" w:line="259" w:lineRule="auto"/>
              <w:jc w:val="both"/>
              <w:rPr>
                <w:color w:val="000000"/>
              </w:rPr>
            </w:pPr>
            <w:r w:rsidRPr="00C56257">
              <w:rPr>
                <w:color w:val="000000"/>
              </w:rPr>
              <w:t>Denumire Habitat:</w:t>
            </w:r>
          </w:p>
        </w:tc>
      </w:tr>
      <w:tr w:rsidR="0007555D" w:rsidRPr="00C56257" w14:paraId="3C63C6AB" w14:textId="77777777" w:rsidTr="0007555D">
        <w:trPr>
          <w:gridAfter w:val="1"/>
          <w:wAfter w:w="5942" w:type="dxa"/>
          <w:trHeight w:val="302"/>
        </w:trPr>
        <w:tc>
          <w:tcPr>
            <w:tcW w:w="2593" w:type="dxa"/>
            <w:gridSpan w:val="5"/>
            <w:tcBorders>
              <w:top w:val="single" w:sz="12" w:space="0" w:color="auto"/>
            </w:tcBorders>
          </w:tcPr>
          <w:p w14:paraId="28220698" w14:textId="77777777" w:rsidR="0007555D" w:rsidRPr="00C56257" w:rsidRDefault="0007555D" w:rsidP="00F100E1">
            <w:pPr>
              <w:spacing w:after="160" w:line="259" w:lineRule="auto"/>
              <w:jc w:val="both"/>
              <w:rPr>
                <w:color w:val="000000"/>
              </w:rPr>
            </w:pPr>
            <w:r w:rsidRPr="00C56257">
              <w:rPr>
                <w:color w:val="000000"/>
              </w:rPr>
              <w:t>Regiunea biogeografică</w:t>
            </w:r>
          </w:p>
        </w:tc>
      </w:tr>
      <w:tr w:rsidR="0007555D" w:rsidRPr="00C56257" w14:paraId="69DDE82E" w14:textId="77777777" w:rsidTr="0007555D">
        <w:trPr>
          <w:gridAfter w:val="1"/>
          <w:wAfter w:w="5942" w:type="dxa"/>
          <w:trHeight w:val="418"/>
        </w:trPr>
        <w:tc>
          <w:tcPr>
            <w:tcW w:w="543" w:type="dxa"/>
          </w:tcPr>
          <w:p w14:paraId="5AC9529B" w14:textId="77777777" w:rsidR="0007555D" w:rsidRPr="00C56257" w:rsidRDefault="0007555D" w:rsidP="00F100E1">
            <w:pPr>
              <w:spacing w:after="160" w:line="259" w:lineRule="auto"/>
              <w:jc w:val="both"/>
              <w:rPr>
                <w:color w:val="000000"/>
              </w:rPr>
            </w:pPr>
          </w:p>
        </w:tc>
        <w:tc>
          <w:tcPr>
            <w:tcW w:w="2050" w:type="dxa"/>
            <w:gridSpan w:val="4"/>
            <w:vAlign w:val="center"/>
          </w:tcPr>
          <w:p w14:paraId="7872DEE5" w14:textId="77777777" w:rsidR="0007555D" w:rsidRPr="00C56257" w:rsidRDefault="0007555D" w:rsidP="00F100E1">
            <w:pPr>
              <w:spacing w:after="160" w:line="259" w:lineRule="auto"/>
              <w:jc w:val="both"/>
              <w:rPr>
                <w:color w:val="000000"/>
              </w:rPr>
            </w:pPr>
            <w:r w:rsidRPr="00C56257">
              <w:rPr>
                <w:color w:val="000000"/>
              </w:rPr>
              <w:t>ALP</w:t>
            </w:r>
          </w:p>
        </w:tc>
      </w:tr>
      <w:tr w:rsidR="0007555D" w:rsidRPr="00C56257" w14:paraId="57855F69" w14:textId="77777777" w:rsidTr="0007555D">
        <w:trPr>
          <w:gridAfter w:val="1"/>
          <w:wAfter w:w="5942" w:type="dxa"/>
          <w:trHeight w:val="418"/>
        </w:trPr>
        <w:tc>
          <w:tcPr>
            <w:tcW w:w="543" w:type="dxa"/>
          </w:tcPr>
          <w:p w14:paraId="0121299F" w14:textId="77777777" w:rsidR="0007555D" w:rsidRPr="00C56257" w:rsidRDefault="0007555D" w:rsidP="00F100E1">
            <w:pPr>
              <w:spacing w:after="160" w:line="259" w:lineRule="auto"/>
              <w:jc w:val="both"/>
              <w:rPr>
                <w:color w:val="000000"/>
              </w:rPr>
            </w:pPr>
          </w:p>
        </w:tc>
        <w:tc>
          <w:tcPr>
            <w:tcW w:w="2050" w:type="dxa"/>
            <w:gridSpan w:val="4"/>
            <w:vAlign w:val="center"/>
          </w:tcPr>
          <w:p w14:paraId="7046645E" w14:textId="77777777" w:rsidR="0007555D" w:rsidRPr="00C56257" w:rsidRDefault="0007555D" w:rsidP="00F100E1">
            <w:pPr>
              <w:spacing w:after="160" w:line="259" w:lineRule="auto"/>
              <w:jc w:val="both"/>
              <w:rPr>
                <w:color w:val="000000"/>
              </w:rPr>
            </w:pPr>
            <w:r w:rsidRPr="00C56257">
              <w:rPr>
                <w:color w:val="000000"/>
              </w:rPr>
              <w:t>BLS</w:t>
            </w:r>
          </w:p>
        </w:tc>
      </w:tr>
      <w:tr w:rsidR="0007555D" w:rsidRPr="00C56257" w14:paraId="0A28FECF" w14:textId="77777777" w:rsidTr="0007555D">
        <w:trPr>
          <w:gridAfter w:val="1"/>
          <w:wAfter w:w="5942" w:type="dxa"/>
          <w:trHeight w:val="418"/>
        </w:trPr>
        <w:tc>
          <w:tcPr>
            <w:tcW w:w="543" w:type="dxa"/>
          </w:tcPr>
          <w:p w14:paraId="32AA2EDD" w14:textId="77777777" w:rsidR="0007555D" w:rsidRPr="00C56257" w:rsidRDefault="0007555D" w:rsidP="00F100E1">
            <w:pPr>
              <w:spacing w:after="160" w:line="259" w:lineRule="auto"/>
              <w:jc w:val="both"/>
              <w:rPr>
                <w:color w:val="000000"/>
              </w:rPr>
            </w:pPr>
          </w:p>
        </w:tc>
        <w:tc>
          <w:tcPr>
            <w:tcW w:w="2050" w:type="dxa"/>
            <w:gridSpan w:val="4"/>
            <w:vAlign w:val="center"/>
          </w:tcPr>
          <w:p w14:paraId="45D4A775" w14:textId="77777777" w:rsidR="0007555D" w:rsidRPr="00C56257" w:rsidRDefault="0007555D" w:rsidP="00F100E1">
            <w:pPr>
              <w:spacing w:after="160" w:line="259" w:lineRule="auto"/>
              <w:jc w:val="both"/>
              <w:rPr>
                <w:color w:val="000000"/>
              </w:rPr>
            </w:pPr>
            <w:r w:rsidRPr="00C56257">
              <w:rPr>
                <w:color w:val="000000"/>
              </w:rPr>
              <w:t>CON</w:t>
            </w:r>
          </w:p>
        </w:tc>
      </w:tr>
      <w:tr w:rsidR="0007555D" w:rsidRPr="00C56257" w14:paraId="3B1A76FC" w14:textId="77777777" w:rsidTr="0007555D">
        <w:trPr>
          <w:gridAfter w:val="1"/>
          <w:wAfter w:w="5942" w:type="dxa"/>
          <w:trHeight w:val="418"/>
        </w:trPr>
        <w:tc>
          <w:tcPr>
            <w:tcW w:w="543" w:type="dxa"/>
          </w:tcPr>
          <w:p w14:paraId="61C413BA" w14:textId="77777777" w:rsidR="0007555D" w:rsidRPr="00C56257" w:rsidRDefault="0007555D" w:rsidP="00F100E1">
            <w:pPr>
              <w:spacing w:after="160" w:line="259" w:lineRule="auto"/>
              <w:jc w:val="both"/>
              <w:rPr>
                <w:color w:val="000000"/>
              </w:rPr>
            </w:pPr>
          </w:p>
        </w:tc>
        <w:tc>
          <w:tcPr>
            <w:tcW w:w="2050" w:type="dxa"/>
            <w:gridSpan w:val="4"/>
            <w:vAlign w:val="center"/>
          </w:tcPr>
          <w:p w14:paraId="3A35C02E" w14:textId="77777777" w:rsidR="0007555D" w:rsidRPr="00C56257" w:rsidRDefault="0007555D" w:rsidP="00F100E1">
            <w:pPr>
              <w:spacing w:after="160" w:line="259" w:lineRule="auto"/>
              <w:jc w:val="both"/>
              <w:rPr>
                <w:color w:val="000000"/>
              </w:rPr>
            </w:pPr>
            <w:r w:rsidRPr="00C56257">
              <w:rPr>
                <w:color w:val="000000"/>
              </w:rPr>
              <w:t>PAN</w:t>
            </w:r>
          </w:p>
        </w:tc>
      </w:tr>
      <w:tr w:rsidR="0007555D" w:rsidRPr="00C56257" w14:paraId="4DAB37E0" w14:textId="77777777" w:rsidTr="0007555D">
        <w:trPr>
          <w:gridAfter w:val="1"/>
          <w:wAfter w:w="5942" w:type="dxa"/>
          <w:trHeight w:val="418"/>
        </w:trPr>
        <w:tc>
          <w:tcPr>
            <w:tcW w:w="543" w:type="dxa"/>
          </w:tcPr>
          <w:p w14:paraId="015365F6" w14:textId="77777777" w:rsidR="0007555D" w:rsidRPr="00C56257" w:rsidRDefault="0007555D" w:rsidP="00F100E1">
            <w:pPr>
              <w:spacing w:after="160" w:line="259" w:lineRule="auto"/>
              <w:jc w:val="both"/>
              <w:rPr>
                <w:color w:val="000000"/>
              </w:rPr>
            </w:pPr>
          </w:p>
        </w:tc>
        <w:tc>
          <w:tcPr>
            <w:tcW w:w="2050" w:type="dxa"/>
            <w:gridSpan w:val="4"/>
            <w:vAlign w:val="center"/>
          </w:tcPr>
          <w:p w14:paraId="777B3B9F" w14:textId="77777777" w:rsidR="0007555D" w:rsidRPr="00C56257" w:rsidRDefault="0007555D" w:rsidP="00F100E1">
            <w:pPr>
              <w:spacing w:after="160" w:line="259" w:lineRule="auto"/>
              <w:jc w:val="both"/>
              <w:rPr>
                <w:color w:val="000000"/>
              </w:rPr>
            </w:pPr>
            <w:r w:rsidRPr="00C56257">
              <w:rPr>
                <w:color w:val="000000"/>
              </w:rPr>
              <w:t>STE</w:t>
            </w:r>
          </w:p>
        </w:tc>
      </w:tr>
    </w:tbl>
    <w:p w14:paraId="3C8B6E28" w14:textId="77777777" w:rsidR="0007555D" w:rsidRPr="00C56257" w:rsidRDefault="0007555D" w:rsidP="00F100E1">
      <w:pPr>
        <w:spacing w:after="160" w:line="259" w:lineRule="auto"/>
        <w:jc w:val="both"/>
        <w:rPr>
          <w:b/>
          <w:color w:val="000000"/>
        </w:rPr>
      </w:pPr>
    </w:p>
    <w:p w14:paraId="4C0DCFF1" w14:textId="77777777" w:rsidR="0007555D" w:rsidRPr="00C56257" w:rsidRDefault="0007555D" w:rsidP="00F100E1">
      <w:pPr>
        <w:spacing w:after="160" w:line="259" w:lineRule="auto"/>
        <w:jc w:val="both"/>
        <w:rPr>
          <w:b/>
          <w:color w:val="000000"/>
        </w:rPr>
      </w:pPr>
      <w:r w:rsidRPr="00C56257">
        <w:rPr>
          <w:b/>
          <w:color w:val="000000"/>
        </w:rPr>
        <w:lastRenderedPageBreak/>
        <w:t>3. Specii caracteristice</w:t>
      </w:r>
    </w:p>
    <w:p w14:paraId="48EF4178" w14:textId="77777777" w:rsidR="0007555D" w:rsidRPr="00C56257" w:rsidRDefault="0007555D" w:rsidP="00F100E1">
      <w:pPr>
        <w:spacing w:after="160" w:line="259" w:lineRule="auto"/>
        <w:jc w:val="both"/>
        <w:rPr>
          <w:b/>
          <w:color w:val="000000"/>
        </w:rPr>
      </w:pPr>
    </w:p>
    <w:tbl>
      <w:tblPr>
        <w:tblpPr w:leftFromText="180" w:rightFromText="180" w:vertAnchor="text" w:horzAnchor="margin" w:tblpY="-26"/>
        <w:tblOverlap w:val="never"/>
        <w:tblW w:w="8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3"/>
        <w:gridCol w:w="3948"/>
        <w:gridCol w:w="3948"/>
      </w:tblGrid>
      <w:tr w:rsidR="0007555D" w:rsidRPr="00C56257" w14:paraId="54E822C4" w14:textId="77777777" w:rsidTr="0007555D">
        <w:trPr>
          <w:trHeight w:val="403"/>
        </w:trPr>
        <w:tc>
          <w:tcPr>
            <w:tcW w:w="623" w:type="dxa"/>
            <w:tcBorders>
              <w:top w:val="single" w:sz="12" w:space="0" w:color="auto"/>
              <w:left w:val="single" w:sz="12" w:space="0" w:color="auto"/>
            </w:tcBorders>
          </w:tcPr>
          <w:p w14:paraId="1DAF682C" w14:textId="77777777" w:rsidR="0007555D" w:rsidRPr="00C56257" w:rsidRDefault="0007555D" w:rsidP="00F100E1">
            <w:pPr>
              <w:spacing w:after="160" w:line="259" w:lineRule="auto"/>
              <w:jc w:val="both"/>
              <w:rPr>
                <w:b/>
                <w:color w:val="000000"/>
              </w:rPr>
            </w:pPr>
            <w:r w:rsidRPr="00C56257">
              <w:rPr>
                <w:b/>
                <w:color w:val="000000"/>
              </w:rPr>
              <w:t>Nr.</w:t>
            </w:r>
          </w:p>
          <w:p w14:paraId="6D3C0FB6" w14:textId="77777777" w:rsidR="0007555D" w:rsidRPr="00C56257" w:rsidRDefault="0007555D" w:rsidP="00F100E1">
            <w:pPr>
              <w:spacing w:after="160" w:line="259" w:lineRule="auto"/>
              <w:jc w:val="both"/>
              <w:rPr>
                <w:b/>
                <w:color w:val="000000"/>
              </w:rPr>
            </w:pPr>
            <w:r w:rsidRPr="00C56257">
              <w:rPr>
                <w:b/>
                <w:color w:val="000000"/>
              </w:rPr>
              <w:t xml:space="preserve"> crt.</w:t>
            </w:r>
          </w:p>
        </w:tc>
        <w:tc>
          <w:tcPr>
            <w:tcW w:w="3948" w:type="dxa"/>
            <w:tcBorders>
              <w:top w:val="single" w:sz="12" w:space="0" w:color="auto"/>
              <w:right w:val="single" w:sz="12" w:space="0" w:color="auto"/>
            </w:tcBorders>
            <w:vAlign w:val="center"/>
          </w:tcPr>
          <w:p w14:paraId="3433AE02" w14:textId="77777777" w:rsidR="0007555D" w:rsidRPr="00C56257" w:rsidRDefault="0007555D" w:rsidP="00F100E1">
            <w:pPr>
              <w:spacing w:after="160" w:line="259" w:lineRule="auto"/>
              <w:jc w:val="both"/>
              <w:rPr>
                <w:b/>
                <w:color w:val="000000"/>
              </w:rPr>
            </w:pPr>
            <w:r w:rsidRPr="00C56257">
              <w:rPr>
                <w:b/>
                <w:color w:val="000000"/>
              </w:rPr>
              <w:t>Denumire științifică</w:t>
            </w:r>
          </w:p>
        </w:tc>
        <w:tc>
          <w:tcPr>
            <w:tcW w:w="3948" w:type="dxa"/>
            <w:tcBorders>
              <w:top w:val="single" w:sz="12" w:space="0" w:color="auto"/>
              <w:right w:val="single" w:sz="12" w:space="0" w:color="auto"/>
            </w:tcBorders>
            <w:vAlign w:val="center"/>
          </w:tcPr>
          <w:p w14:paraId="3DA743FD" w14:textId="77777777" w:rsidR="0007555D" w:rsidRPr="00C56257" w:rsidRDefault="0007555D" w:rsidP="00F100E1">
            <w:pPr>
              <w:spacing w:after="160" w:line="259" w:lineRule="auto"/>
              <w:jc w:val="both"/>
              <w:rPr>
                <w:b/>
                <w:color w:val="000000"/>
              </w:rPr>
            </w:pPr>
            <w:r w:rsidRPr="00C56257">
              <w:rPr>
                <w:b/>
                <w:color w:val="000000"/>
              </w:rPr>
              <w:t>Observații</w:t>
            </w:r>
          </w:p>
        </w:tc>
      </w:tr>
      <w:tr w:rsidR="0007555D" w:rsidRPr="00C56257" w14:paraId="51CF69EE" w14:textId="77777777" w:rsidTr="0007555D">
        <w:trPr>
          <w:trHeight w:val="263"/>
        </w:trPr>
        <w:tc>
          <w:tcPr>
            <w:tcW w:w="623" w:type="dxa"/>
            <w:tcBorders>
              <w:left w:val="single" w:sz="12" w:space="0" w:color="auto"/>
              <w:bottom w:val="single" w:sz="4" w:space="0" w:color="auto"/>
            </w:tcBorders>
          </w:tcPr>
          <w:p w14:paraId="688A9B95" w14:textId="77777777" w:rsidR="0007555D" w:rsidRPr="00C56257" w:rsidRDefault="0007555D" w:rsidP="00F100E1">
            <w:pPr>
              <w:spacing w:after="160" w:line="259" w:lineRule="auto"/>
              <w:jc w:val="both"/>
              <w:rPr>
                <w:b/>
                <w:color w:val="000000"/>
              </w:rPr>
            </w:pPr>
            <w:r w:rsidRPr="00C56257">
              <w:rPr>
                <w:b/>
                <w:color w:val="000000"/>
              </w:rPr>
              <w:t>1</w:t>
            </w:r>
          </w:p>
        </w:tc>
        <w:tc>
          <w:tcPr>
            <w:tcW w:w="3948" w:type="dxa"/>
            <w:tcBorders>
              <w:bottom w:val="single" w:sz="4" w:space="0" w:color="auto"/>
              <w:right w:val="single" w:sz="12" w:space="0" w:color="auto"/>
            </w:tcBorders>
          </w:tcPr>
          <w:p w14:paraId="287F8FED" w14:textId="77777777" w:rsidR="0007555D" w:rsidRPr="00C56257" w:rsidRDefault="0007555D" w:rsidP="00F100E1">
            <w:pPr>
              <w:spacing w:after="160" w:line="259" w:lineRule="auto"/>
              <w:jc w:val="both"/>
              <w:rPr>
                <w:b/>
                <w:color w:val="000000"/>
              </w:rPr>
            </w:pPr>
          </w:p>
        </w:tc>
        <w:tc>
          <w:tcPr>
            <w:tcW w:w="3948" w:type="dxa"/>
            <w:tcBorders>
              <w:bottom w:val="single" w:sz="4" w:space="0" w:color="auto"/>
              <w:right w:val="single" w:sz="12" w:space="0" w:color="auto"/>
            </w:tcBorders>
            <w:vAlign w:val="center"/>
          </w:tcPr>
          <w:p w14:paraId="40C1470C" w14:textId="77777777" w:rsidR="0007555D" w:rsidRPr="00C56257" w:rsidRDefault="0007555D" w:rsidP="00F100E1">
            <w:pPr>
              <w:spacing w:after="160" w:line="259" w:lineRule="auto"/>
              <w:jc w:val="both"/>
              <w:rPr>
                <w:b/>
                <w:color w:val="000000"/>
              </w:rPr>
            </w:pPr>
          </w:p>
        </w:tc>
      </w:tr>
      <w:tr w:rsidR="0007555D" w:rsidRPr="00C56257" w14:paraId="6629A38A" w14:textId="77777777" w:rsidTr="0007555D">
        <w:trPr>
          <w:trHeight w:val="263"/>
        </w:trPr>
        <w:tc>
          <w:tcPr>
            <w:tcW w:w="623" w:type="dxa"/>
            <w:tcBorders>
              <w:left w:val="single" w:sz="12" w:space="0" w:color="auto"/>
              <w:bottom w:val="single" w:sz="4" w:space="0" w:color="auto"/>
            </w:tcBorders>
          </w:tcPr>
          <w:p w14:paraId="1D1FAFBF" w14:textId="77777777" w:rsidR="0007555D" w:rsidRPr="00C56257" w:rsidRDefault="0007555D" w:rsidP="00F100E1">
            <w:pPr>
              <w:spacing w:after="160" w:line="259" w:lineRule="auto"/>
              <w:jc w:val="both"/>
              <w:rPr>
                <w:b/>
                <w:color w:val="000000"/>
              </w:rPr>
            </w:pPr>
            <w:r w:rsidRPr="00C56257">
              <w:rPr>
                <w:b/>
                <w:color w:val="000000"/>
              </w:rPr>
              <w:t>2</w:t>
            </w:r>
          </w:p>
        </w:tc>
        <w:tc>
          <w:tcPr>
            <w:tcW w:w="3948" w:type="dxa"/>
            <w:tcBorders>
              <w:bottom w:val="single" w:sz="4" w:space="0" w:color="auto"/>
              <w:right w:val="single" w:sz="12" w:space="0" w:color="auto"/>
            </w:tcBorders>
          </w:tcPr>
          <w:p w14:paraId="63A5F585" w14:textId="77777777" w:rsidR="0007555D" w:rsidRPr="00C56257" w:rsidRDefault="0007555D" w:rsidP="00F100E1">
            <w:pPr>
              <w:spacing w:after="160" w:line="259" w:lineRule="auto"/>
              <w:jc w:val="both"/>
              <w:rPr>
                <w:b/>
                <w:color w:val="000000"/>
              </w:rPr>
            </w:pPr>
          </w:p>
        </w:tc>
        <w:tc>
          <w:tcPr>
            <w:tcW w:w="3948" w:type="dxa"/>
            <w:tcBorders>
              <w:bottom w:val="single" w:sz="4" w:space="0" w:color="auto"/>
              <w:right w:val="single" w:sz="12" w:space="0" w:color="auto"/>
            </w:tcBorders>
            <w:vAlign w:val="center"/>
          </w:tcPr>
          <w:p w14:paraId="70C8E5ED" w14:textId="77777777" w:rsidR="0007555D" w:rsidRPr="00C56257" w:rsidRDefault="0007555D" w:rsidP="00F100E1">
            <w:pPr>
              <w:spacing w:after="160" w:line="259" w:lineRule="auto"/>
              <w:jc w:val="both"/>
              <w:rPr>
                <w:b/>
                <w:color w:val="000000"/>
              </w:rPr>
            </w:pPr>
          </w:p>
        </w:tc>
      </w:tr>
      <w:tr w:rsidR="0007555D" w:rsidRPr="00C56257" w14:paraId="43FF81D4" w14:textId="77777777" w:rsidTr="0007555D">
        <w:trPr>
          <w:trHeight w:val="263"/>
        </w:trPr>
        <w:tc>
          <w:tcPr>
            <w:tcW w:w="8519" w:type="dxa"/>
            <w:gridSpan w:val="3"/>
            <w:tcBorders>
              <w:top w:val="single" w:sz="4" w:space="0" w:color="auto"/>
              <w:left w:val="nil"/>
              <w:bottom w:val="nil"/>
              <w:right w:val="nil"/>
            </w:tcBorders>
          </w:tcPr>
          <w:p w14:paraId="6673DB71" w14:textId="77777777" w:rsidR="0007555D" w:rsidRPr="00C56257" w:rsidRDefault="0007555D" w:rsidP="00F100E1">
            <w:pPr>
              <w:spacing w:after="160" w:line="259" w:lineRule="auto"/>
              <w:jc w:val="both"/>
              <w:rPr>
                <w:b/>
                <w:color w:val="000000"/>
              </w:rPr>
            </w:pPr>
          </w:p>
          <w:p w14:paraId="05B676FD" w14:textId="77777777" w:rsidR="0007555D" w:rsidRPr="00C56257" w:rsidRDefault="0007555D" w:rsidP="00F100E1">
            <w:pPr>
              <w:spacing w:after="160" w:line="259" w:lineRule="auto"/>
              <w:jc w:val="both"/>
              <w:rPr>
                <w:b/>
                <w:color w:val="000000"/>
              </w:rPr>
            </w:pPr>
            <w:r w:rsidRPr="00C56257">
              <w:rPr>
                <w:b/>
                <w:color w:val="000000"/>
              </w:rPr>
              <w:t>4. Presiuni actuale sau pe perioada de raportare (maxim 10 presiuni)</w:t>
            </w:r>
          </w:p>
        </w:tc>
      </w:tr>
    </w:tbl>
    <w:p w14:paraId="3C248B84" w14:textId="77777777" w:rsidR="0007555D" w:rsidRPr="00C56257" w:rsidRDefault="0007555D" w:rsidP="00F100E1">
      <w:pPr>
        <w:spacing w:after="160" w:line="259" w:lineRule="auto"/>
        <w:jc w:val="both"/>
        <w:rPr>
          <w:b/>
          <w:color w:val="000000"/>
        </w:rPr>
      </w:pPr>
    </w:p>
    <w:tbl>
      <w:tblPr>
        <w:tblW w:w="84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6"/>
        <w:gridCol w:w="975"/>
        <w:gridCol w:w="3529"/>
        <w:gridCol w:w="1350"/>
        <w:gridCol w:w="1620"/>
      </w:tblGrid>
      <w:tr w:rsidR="0007555D" w:rsidRPr="00C56257" w14:paraId="3B6E1233" w14:textId="77777777" w:rsidTr="0007555D">
        <w:tc>
          <w:tcPr>
            <w:tcW w:w="976" w:type="dxa"/>
            <w:vMerge w:val="restart"/>
            <w:tcBorders>
              <w:top w:val="single" w:sz="12" w:space="0" w:color="auto"/>
              <w:left w:val="single" w:sz="12" w:space="0" w:color="auto"/>
            </w:tcBorders>
            <w:vAlign w:val="center"/>
          </w:tcPr>
          <w:p w14:paraId="61091733" w14:textId="77777777" w:rsidR="0007555D" w:rsidRPr="00C56257" w:rsidRDefault="0007555D" w:rsidP="00F100E1">
            <w:pPr>
              <w:spacing w:after="160" w:line="259" w:lineRule="auto"/>
              <w:jc w:val="both"/>
              <w:rPr>
                <w:b/>
                <w:color w:val="000000"/>
              </w:rPr>
            </w:pPr>
            <w:r w:rsidRPr="00C56257">
              <w:rPr>
                <w:b/>
                <w:color w:val="000000"/>
              </w:rPr>
              <w:t>Nr. crt.</w:t>
            </w:r>
          </w:p>
        </w:tc>
        <w:tc>
          <w:tcPr>
            <w:tcW w:w="4504" w:type="dxa"/>
            <w:gridSpan w:val="2"/>
            <w:tcBorders>
              <w:top w:val="single" w:sz="12" w:space="0" w:color="auto"/>
            </w:tcBorders>
            <w:vAlign w:val="center"/>
          </w:tcPr>
          <w:p w14:paraId="34CBEDF9" w14:textId="77777777" w:rsidR="0007555D" w:rsidRPr="00C56257" w:rsidRDefault="0007555D" w:rsidP="00F100E1">
            <w:pPr>
              <w:spacing w:after="160" w:line="259" w:lineRule="auto"/>
              <w:jc w:val="both"/>
              <w:rPr>
                <w:b/>
                <w:color w:val="000000"/>
              </w:rPr>
            </w:pPr>
            <w:r w:rsidRPr="00C56257">
              <w:rPr>
                <w:b/>
                <w:color w:val="000000"/>
              </w:rPr>
              <w:t>Presiunea</w:t>
            </w:r>
          </w:p>
        </w:tc>
        <w:tc>
          <w:tcPr>
            <w:tcW w:w="1350" w:type="dxa"/>
            <w:vMerge w:val="restart"/>
            <w:tcBorders>
              <w:top w:val="single" w:sz="12" w:space="0" w:color="auto"/>
            </w:tcBorders>
            <w:vAlign w:val="center"/>
          </w:tcPr>
          <w:p w14:paraId="0E753942" w14:textId="77777777" w:rsidR="0007555D" w:rsidRPr="00C56257" w:rsidRDefault="0007555D" w:rsidP="00F100E1">
            <w:pPr>
              <w:spacing w:after="160" w:line="259" w:lineRule="auto"/>
              <w:jc w:val="both"/>
              <w:rPr>
                <w:b/>
                <w:color w:val="000000"/>
              </w:rPr>
            </w:pPr>
            <w:r w:rsidRPr="00C56257">
              <w:rPr>
                <w:b/>
                <w:color w:val="000000"/>
              </w:rPr>
              <w:t>Intensitate</w:t>
            </w:r>
          </w:p>
        </w:tc>
        <w:tc>
          <w:tcPr>
            <w:tcW w:w="1620" w:type="dxa"/>
            <w:vMerge w:val="restart"/>
            <w:tcBorders>
              <w:top w:val="single" w:sz="12" w:space="0" w:color="auto"/>
              <w:right w:val="single" w:sz="12" w:space="0" w:color="auto"/>
            </w:tcBorders>
            <w:vAlign w:val="center"/>
          </w:tcPr>
          <w:p w14:paraId="42225D9C" w14:textId="77777777" w:rsidR="0007555D" w:rsidRPr="00C56257" w:rsidRDefault="0007555D" w:rsidP="00F100E1">
            <w:pPr>
              <w:spacing w:after="160" w:line="259" w:lineRule="auto"/>
              <w:jc w:val="both"/>
              <w:rPr>
                <w:b/>
                <w:color w:val="000000"/>
              </w:rPr>
            </w:pPr>
            <w:r w:rsidRPr="00C56257">
              <w:rPr>
                <w:b/>
                <w:color w:val="000000"/>
              </w:rPr>
              <w:t>Observaţii</w:t>
            </w:r>
          </w:p>
        </w:tc>
      </w:tr>
      <w:tr w:rsidR="0007555D" w:rsidRPr="00C56257" w14:paraId="4F5DF9DA" w14:textId="77777777" w:rsidTr="0007555D">
        <w:tc>
          <w:tcPr>
            <w:tcW w:w="976" w:type="dxa"/>
            <w:vMerge/>
            <w:tcBorders>
              <w:left w:val="single" w:sz="12" w:space="0" w:color="auto"/>
            </w:tcBorders>
          </w:tcPr>
          <w:p w14:paraId="08BCF0EB" w14:textId="77777777" w:rsidR="0007555D" w:rsidRPr="00C56257" w:rsidRDefault="0007555D" w:rsidP="00F100E1">
            <w:pPr>
              <w:spacing w:after="160" w:line="259" w:lineRule="auto"/>
              <w:jc w:val="both"/>
              <w:rPr>
                <w:b/>
                <w:color w:val="000000"/>
              </w:rPr>
            </w:pPr>
          </w:p>
        </w:tc>
        <w:tc>
          <w:tcPr>
            <w:tcW w:w="975" w:type="dxa"/>
          </w:tcPr>
          <w:p w14:paraId="5373184C" w14:textId="77777777" w:rsidR="0007555D" w:rsidRPr="00C56257" w:rsidRDefault="0007555D" w:rsidP="00F100E1">
            <w:pPr>
              <w:spacing w:after="160" w:line="259" w:lineRule="auto"/>
              <w:jc w:val="both"/>
              <w:rPr>
                <w:b/>
                <w:color w:val="000000"/>
              </w:rPr>
            </w:pPr>
            <w:r w:rsidRPr="00C56257">
              <w:rPr>
                <w:b/>
                <w:color w:val="000000"/>
              </w:rPr>
              <w:t>Cod</w:t>
            </w:r>
          </w:p>
        </w:tc>
        <w:tc>
          <w:tcPr>
            <w:tcW w:w="3529" w:type="dxa"/>
          </w:tcPr>
          <w:p w14:paraId="01780CE8" w14:textId="77777777" w:rsidR="0007555D" w:rsidRPr="00C56257" w:rsidRDefault="0007555D" w:rsidP="00F100E1">
            <w:pPr>
              <w:spacing w:after="160" w:line="259" w:lineRule="auto"/>
              <w:jc w:val="both"/>
              <w:rPr>
                <w:b/>
                <w:color w:val="000000"/>
              </w:rPr>
            </w:pPr>
            <w:r w:rsidRPr="00C56257">
              <w:rPr>
                <w:b/>
                <w:color w:val="000000"/>
              </w:rPr>
              <w:t>Denumire</w:t>
            </w:r>
          </w:p>
        </w:tc>
        <w:tc>
          <w:tcPr>
            <w:tcW w:w="1350" w:type="dxa"/>
            <w:vMerge/>
          </w:tcPr>
          <w:p w14:paraId="7593C5F8" w14:textId="77777777" w:rsidR="0007555D" w:rsidRPr="00C56257" w:rsidRDefault="0007555D" w:rsidP="00F100E1">
            <w:pPr>
              <w:spacing w:after="160" w:line="259" w:lineRule="auto"/>
              <w:jc w:val="both"/>
              <w:rPr>
                <w:b/>
                <w:color w:val="000000"/>
              </w:rPr>
            </w:pPr>
          </w:p>
        </w:tc>
        <w:tc>
          <w:tcPr>
            <w:tcW w:w="1620" w:type="dxa"/>
            <w:vMerge/>
            <w:tcBorders>
              <w:right w:val="single" w:sz="12" w:space="0" w:color="auto"/>
            </w:tcBorders>
          </w:tcPr>
          <w:p w14:paraId="411EA2F2" w14:textId="77777777" w:rsidR="0007555D" w:rsidRPr="00C56257" w:rsidRDefault="0007555D" w:rsidP="00F100E1">
            <w:pPr>
              <w:spacing w:after="160" w:line="259" w:lineRule="auto"/>
              <w:jc w:val="both"/>
              <w:rPr>
                <w:b/>
                <w:color w:val="000000"/>
              </w:rPr>
            </w:pPr>
          </w:p>
        </w:tc>
      </w:tr>
      <w:tr w:rsidR="0007555D" w:rsidRPr="00C56257" w14:paraId="3ED70E6B" w14:textId="77777777" w:rsidTr="0007555D">
        <w:trPr>
          <w:trHeight w:val="360"/>
        </w:trPr>
        <w:tc>
          <w:tcPr>
            <w:tcW w:w="976" w:type="dxa"/>
            <w:tcBorders>
              <w:left w:val="single" w:sz="12" w:space="0" w:color="auto"/>
            </w:tcBorders>
          </w:tcPr>
          <w:p w14:paraId="6346F52A" w14:textId="77777777" w:rsidR="0007555D" w:rsidRPr="00C56257" w:rsidRDefault="0007555D" w:rsidP="00F100E1">
            <w:pPr>
              <w:spacing w:after="160" w:line="259" w:lineRule="auto"/>
              <w:jc w:val="both"/>
              <w:rPr>
                <w:b/>
                <w:color w:val="000000"/>
              </w:rPr>
            </w:pPr>
            <w:r w:rsidRPr="00C56257">
              <w:rPr>
                <w:b/>
                <w:color w:val="000000"/>
              </w:rPr>
              <w:t>1</w:t>
            </w:r>
          </w:p>
        </w:tc>
        <w:tc>
          <w:tcPr>
            <w:tcW w:w="975" w:type="dxa"/>
          </w:tcPr>
          <w:p w14:paraId="34382559" w14:textId="77777777" w:rsidR="0007555D" w:rsidRPr="00C56257" w:rsidRDefault="0007555D" w:rsidP="00F100E1">
            <w:pPr>
              <w:spacing w:after="160" w:line="259" w:lineRule="auto"/>
              <w:jc w:val="both"/>
              <w:rPr>
                <w:b/>
                <w:color w:val="000000"/>
              </w:rPr>
            </w:pPr>
          </w:p>
        </w:tc>
        <w:tc>
          <w:tcPr>
            <w:tcW w:w="3529" w:type="dxa"/>
          </w:tcPr>
          <w:p w14:paraId="68FDA00C" w14:textId="77777777" w:rsidR="0007555D" w:rsidRPr="00C56257" w:rsidRDefault="0007555D" w:rsidP="00F100E1">
            <w:pPr>
              <w:spacing w:after="160" w:line="259" w:lineRule="auto"/>
              <w:jc w:val="both"/>
              <w:rPr>
                <w:b/>
                <w:color w:val="000000"/>
              </w:rPr>
            </w:pPr>
          </w:p>
        </w:tc>
        <w:tc>
          <w:tcPr>
            <w:tcW w:w="1350" w:type="dxa"/>
          </w:tcPr>
          <w:p w14:paraId="64F1C898" w14:textId="77777777" w:rsidR="0007555D" w:rsidRPr="00C56257" w:rsidRDefault="0007555D" w:rsidP="00F100E1">
            <w:pPr>
              <w:spacing w:after="160" w:line="259" w:lineRule="auto"/>
              <w:jc w:val="both"/>
              <w:rPr>
                <w:b/>
                <w:color w:val="000000"/>
              </w:rPr>
            </w:pPr>
          </w:p>
        </w:tc>
        <w:tc>
          <w:tcPr>
            <w:tcW w:w="1620" w:type="dxa"/>
            <w:tcBorders>
              <w:right w:val="single" w:sz="12" w:space="0" w:color="auto"/>
            </w:tcBorders>
          </w:tcPr>
          <w:p w14:paraId="2AA96010" w14:textId="77777777" w:rsidR="0007555D" w:rsidRPr="00C56257" w:rsidRDefault="0007555D" w:rsidP="00F100E1">
            <w:pPr>
              <w:spacing w:after="160" w:line="259" w:lineRule="auto"/>
              <w:jc w:val="both"/>
              <w:rPr>
                <w:b/>
                <w:color w:val="000000"/>
              </w:rPr>
            </w:pPr>
          </w:p>
        </w:tc>
      </w:tr>
      <w:tr w:rsidR="0007555D" w:rsidRPr="00C56257" w14:paraId="09AB2C08" w14:textId="77777777" w:rsidTr="0007555D">
        <w:trPr>
          <w:trHeight w:val="360"/>
        </w:trPr>
        <w:tc>
          <w:tcPr>
            <w:tcW w:w="976" w:type="dxa"/>
            <w:tcBorders>
              <w:left w:val="single" w:sz="12" w:space="0" w:color="auto"/>
            </w:tcBorders>
          </w:tcPr>
          <w:p w14:paraId="5B50F915" w14:textId="77777777" w:rsidR="0007555D" w:rsidRPr="00C56257" w:rsidRDefault="0007555D" w:rsidP="00F100E1">
            <w:pPr>
              <w:spacing w:after="160" w:line="259" w:lineRule="auto"/>
              <w:jc w:val="both"/>
              <w:rPr>
                <w:b/>
                <w:color w:val="000000"/>
              </w:rPr>
            </w:pPr>
            <w:r w:rsidRPr="00C56257">
              <w:rPr>
                <w:b/>
                <w:color w:val="000000"/>
              </w:rPr>
              <w:t>2……</w:t>
            </w:r>
          </w:p>
        </w:tc>
        <w:tc>
          <w:tcPr>
            <w:tcW w:w="975" w:type="dxa"/>
          </w:tcPr>
          <w:p w14:paraId="4C708F24" w14:textId="77777777" w:rsidR="0007555D" w:rsidRPr="00C56257" w:rsidRDefault="0007555D" w:rsidP="00F100E1">
            <w:pPr>
              <w:spacing w:after="160" w:line="259" w:lineRule="auto"/>
              <w:jc w:val="both"/>
              <w:rPr>
                <w:b/>
                <w:color w:val="000000"/>
              </w:rPr>
            </w:pPr>
          </w:p>
        </w:tc>
        <w:tc>
          <w:tcPr>
            <w:tcW w:w="3529" w:type="dxa"/>
          </w:tcPr>
          <w:p w14:paraId="1530433B" w14:textId="77777777" w:rsidR="0007555D" w:rsidRPr="00C56257" w:rsidRDefault="0007555D" w:rsidP="00F100E1">
            <w:pPr>
              <w:spacing w:after="160" w:line="259" w:lineRule="auto"/>
              <w:jc w:val="both"/>
              <w:rPr>
                <w:b/>
                <w:color w:val="000000"/>
              </w:rPr>
            </w:pPr>
          </w:p>
        </w:tc>
        <w:tc>
          <w:tcPr>
            <w:tcW w:w="1350" w:type="dxa"/>
          </w:tcPr>
          <w:p w14:paraId="778FD82A" w14:textId="77777777" w:rsidR="0007555D" w:rsidRPr="00C56257" w:rsidRDefault="0007555D" w:rsidP="00F100E1">
            <w:pPr>
              <w:spacing w:after="160" w:line="259" w:lineRule="auto"/>
              <w:jc w:val="both"/>
              <w:rPr>
                <w:b/>
                <w:color w:val="000000"/>
              </w:rPr>
            </w:pPr>
          </w:p>
        </w:tc>
        <w:tc>
          <w:tcPr>
            <w:tcW w:w="1620" w:type="dxa"/>
            <w:tcBorders>
              <w:right w:val="single" w:sz="12" w:space="0" w:color="auto"/>
            </w:tcBorders>
          </w:tcPr>
          <w:p w14:paraId="6464CA20" w14:textId="77777777" w:rsidR="0007555D" w:rsidRPr="00C56257" w:rsidRDefault="0007555D" w:rsidP="00F100E1">
            <w:pPr>
              <w:spacing w:after="160" w:line="259" w:lineRule="auto"/>
              <w:jc w:val="both"/>
              <w:rPr>
                <w:b/>
                <w:color w:val="000000"/>
              </w:rPr>
            </w:pPr>
          </w:p>
        </w:tc>
      </w:tr>
    </w:tbl>
    <w:p w14:paraId="06C4F2CC" w14:textId="77777777" w:rsidR="0007555D" w:rsidRPr="00C56257" w:rsidRDefault="0007555D" w:rsidP="00F100E1">
      <w:pPr>
        <w:spacing w:after="160" w:line="259" w:lineRule="auto"/>
        <w:jc w:val="both"/>
        <w:rPr>
          <w:b/>
          <w:color w:val="000000"/>
        </w:rPr>
      </w:pPr>
    </w:p>
    <w:p w14:paraId="4CA31EF3" w14:textId="77777777" w:rsidR="0007555D" w:rsidRPr="00C56257" w:rsidRDefault="0007555D" w:rsidP="00F100E1">
      <w:pPr>
        <w:spacing w:after="160" w:line="259" w:lineRule="auto"/>
        <w:jc w:val="both"/>
        <w:rPr>
          <w:b/>
          <w:color w:val="000000"/>
        </w:rPr>
      </w:pPr>
      <w:r w:rsidRPr="00C56257">
        <w:rPr>
          <w:b/>
          <w:color w:val="000000"/>
        </w:rPr>
        <w:t>5. Amenințări viitoare (maxim 10 amenințări)</w:t>
      </w:r>
    </w:p>
    <w:tbl>
      <w:tblPr>
        <w:tblW w:w="84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6"/>
        <w:gridCol w:w="975"/>
        <w:gridCol w:w="3529"/>
        <w:gridCol w:w="1350"/>
        <w:gridCol w:w="1620"/>
      </w:tblGrid>
      <w:tr w:rsidR="0007555D" w:rsidRPr="00C56257" w14:paraId="4CA725A4" w14:textId="77777777" w:rsidTr="0007555D">
        <w:tc>
          <w:tcPr>
            <w:tcW w:w="976" w:type="dxa"/>
            <w:vMerge w:val="restart"/>
            <w:tcBorders>
              <w:top w:val="single" w:sz="12" w:space="0" w:color="auto"/>
              <w:left w:val="single" w:sz="12" w:space="0" w:color="auto"/>
            </w:tcBorders>
            <w:vAlign w:val="center"/>
          </w:tcPr>
          <w:p w14:paraId="28E73BE0" w14:textId="77777777" w:rsidR="0007555D" w:rsidRPr="00C56257" w:rsidRDefault="0007555D" w:rsidP="00F100E1">
            <w:pPr>
              <w:spacing w:after="160" w:line="259" w:lineRule="auto"/>
              <w:jc w:val="both"/>
              <w:rPr>
                <w:b/>
                <w:color w:val="000000"/>
              </w:rPr>
            </w:pPr>
            <w:r w:rsidRPr="00C56257">
              <w:rPr>
                <w:b/>
                <w:color w:val="000000"/>
              </w:rPr>
              <w:t>Nr. crt.</w:t>
            </w:r>
          </w:p>
        </w:tc>
        <w:tc>
          <w:tcPr>
            <w:tcW w:w="4504" w:type="dxa"/>
            <w:gridSpan w:val="2"/>
            <w:tcBorders>
              <w:top w:val="single" w:sz="12" w:space="0" w:color="auto"/>
            </w:tcBorders>
            <w:vAlign w:val="center"/>
          </w:tcPr>
          <w:p w14:paraId="49F0D3EB" w14:textId="77777777" w:rsidR="0007555D" w:rsidRPr="00C56257" w:rsidRDefault="0007555D" w:rsidP="00F100E1">
            <w:pPr>
              <w:spacing w:after="160" w:line="259" w:lineRule="auto"/>
              <w:jc w:val="both"/>
              <w:rPr>
                <w:b/>
                <w:color w:val="000000"/>
              </w:rPr>
            </w:pPr>
            <w:r w:rsidRPr="00C56257">
              <w:rPr>
                <w:b/>
                <w:color w:val="000000"/>
              </w:rPr>
              <w:t>Amenințarea</w:t>
            </w:r>
          </w:p>
        </w:tc>
        <w:tc>
          <w:tcPr>
            <w:tcW w:w="1350" w:type="dxa"/>
            <w:vMerge w:val="restart"/>
            <w:tcBorders>
              <w:top w:val="single" w:sz="12" w:space="0" w:color="auto"/>
            </w:tcBorders>
            <w:vAlign w:val="center"/>
          </w:tcPr>
          <w:p w14:paraId="36FECC84" w14:textId="77777777" w:rsidR="0007555D" w:rsidRPr="00C56257" w:rsidRDefault="0007555D" w:rsidP="00F100E1">
            <w:pPr>
              <w:spacing w:after="160" w:line="259" w:lineRule="auto"/>
              <w:jc w:val="both"/>
              <w:rPr>
                <w:b/>
                <w:color w:val="000000"/>
              </w:rPr>
            </w:pPr>
            <w:r w:rsidRPr="00C56257">
              <w:rPr>
                <w:b/>
                <w:color w:val="000000"/>
              </w:rPr>
              <w:t>Intensitate</w:t>
            </w:r>
          </w:p>
        </w:tc>
        <w:tc>
          <w:tcPr>
            <w:tcW w:w="1620" w:type="dxa"/>
            <w:vMerge w:val="restart"/>
            <w:tcBorders>
              <w:top w:val="single" w:sz="12" w:space="0" w:color="auto"/>
              <w:right w:val="single" w:sz="12" w:space="0" w:color="auto"/>
            </w:tcBorders>
            <w:vAlign w:val="center"/>
          </w:tcPr>
          <w:p w14:paraId="67F8BE3D" w14:textId="77777777" w:rsidR="0007555D" w:rsidRPr="00C56257" w:rsidRDefault="0007555D" w:rsidP="00F100E1">
            <w:pPr>
              <w:spacing w:after="160" w:line="259" w:lineRule="auto"/>
              <w:jc w:val="both"/>
              <w:rPr>
                <w:b/>
                <w:color w:val="000000"/>
              </w:rPr>
            </w:pPr>
            <w:r w:rsidRPr="00C56257">
              <w:rPr>
                <w:b/>
                <w:color w:val="000000"/>
              </w:rPr>
              <w:t>Observaţii</w:t>
            </w:r>
          </w:p>
        </w:tc>
      </w:tr>
      <w:tr w:rsidR="0007555D" w:rsidRPr="00C56257" w14:paraId="4EC77199" w14:textId="77777777" w:rsidTr="0007555D">
        <w:tc>
          <w:tcPr>
            <w:tcW w:w="976" w:type="dxa"/>
            <w:vMerge/>
            <w:tcBorders>
              <w:left w:val="single" w:sz="12" w:space="0" w:color="auto"/>
            </w:tcBorders>
          </w:tcPr>
          <w:p w14:paraId="435BEB9B" w14:textId="77777777" w:rsidR="0007555D" w:rsidRPr="00C56257" w:rsidRDefault="0007555D" w:rsidP="00F100E1">
            <w:pPr>
              <w:spacing w:after="160" w:line="259" w:lineRule="auto"/>
              <w:jc w:val="both"/>
              <w:rPr>
                <w:b/>
                <w:color w:val="000000"/>
              </w:rPr>
            </w:pPr>
          </w:p>
        </w:tc>
        <w:tc>
          <w:tcPr>
            <w:tcW w:w="975" w:type="dxa"/>
          </w:tcPr>
          <w:p w14:paraId="386A69C8" w14:textId="77777777" w:rsidR="0007555D" w:rsidRPr="00C56257" w:rsidRDefault="0007555D" w:rsidP="00F100E1">
            <w:pPr>
              <w:spacing w:after="160" w:line="259" w:lineRule="auto"/>
              <w:jc w:val="both"/>
              <w:rPr>
                <w:b/>
                <w:color w:val="000000"/>
              </w:rPr>
            </w:pPr>
            <w:r w:rsidRPr="00C56257">
              <w:rPr>
                <w:b/>
                <w:color w:val="000000"/>
              </w:rPr>
              <w:t>Cod</w:t>
            </w:r>
          </w:p>
        </w:tc>
        <w:tc>
          <w:tcPr>
            <w:tcW w:w="3529" w:type="dxa"/>
          </w:tcPr>
          <w:p w14:paraId="6568FAA4" w14:textId="77777777" w:rsidR="0007555D" w:rsidRPr="00C56257" w:rsidRDefault="0007555D" w:rsidP="00F100E1">
            <w:pPr>
              <w:spacing w:after="160" w:line="259" w:lineRule="auto"/>
              <w:jc w:val="both"/>
              <w:rPr>
                <w:b/>
                <w:color w:val="000000"/>
              </w:rPr>
            </w:pPr>
            <w:r w:rsidRPr="00C56257">
              <w:rPr>
                <w:b/>
                <w:color w:val="000000"/>
              </w:rPr>
              <w:t>Denumire</w:t>
            </w:r>
          </w:p>
        </w:tc>
        <w:tc>
          <w:tcPr>
            <w:tcW w:w="1350" w:type="dxa"/>
            <w:vMerge/>
          </w:tcPr>
          <w:p w14:paraId="07644F61" w14:textId="77777777" w:rsidR="0007555D" w:rsidRPr="00C56257" w:rsidRDefault="0007555D" w:rsidP="00F100E1">
            <w:pPr>
              <w:spacing w:after="160" w:line="259" w:lineRule="auto"/>
              <w:jc w:val="both"/>
              <w:rPr>
                <w:b/>
                <w:color w:val="000000"/>
              </w:rPr>
            </w:pPr>
          </w:p>
        </w:tc>
        <w:tc>
          <w:tcPr>
            <w:tcW w:w="1620" w:type="dxa"/>
            <w:vMerge/>
            <w:tcBorders>
              <w:right w:val="single" w:sz="12" w:space="0" w:color="auto"/>
            </w:tcBorders>
          </w:tcPr>
          <w:p w14:paraId="2E4601FF" w14:textId="77777777" w:rsidR="0007555D" w:rsidRPr="00C56257" w:rsidRDefault="0007555D" w:rsidP="00F100E1">
            <w:pPr>
              <w:spacing w:after="160" w:line="259" w:lineRule="auto"/>
              <w:jc w:val="both"/>
              <w:rPr>
                <w:b/>
                <w:color w:val="000000"/>
              </w:rPr>
            </w:pPr>
          </w:p>
        </w:tc>
      </w:tr>
      <w:tr w:rsidR="0007555D" w:rsidRPr="00C56257" w14:paraId="701721BA" w14:textId="77777777" w:rsidTr="0007555D">
        <w:trPr>
          <w:trHeight w:val="360"/>
        </w:trPr>
        <w:tc>
          <w:tcPr>
            <w:tcW w:w="976" w:type="dxa"/>
            <w:tcBorders>
              <w:left w:val="single" w:sz="12" w:space="0" w:color="auto"/>
            </w:tcBorders>
          </w:tcPr>
          <w:p w14:paraId="545DCBE1" w14:textId="77777777" w:rsidR="0007555D" w:rsidRPr="00C56257" w:rsidRDefault="0007555D" w:rsidP="00F100E1">
            <w:pPr>
              <w:spacing w:after="160" w:line="259" w:lineRule="auto"/>
              <w:jc w:val="both"/>
              <w:rPr>
                <w:b/>
                <w:color w:val="000000"/>
              </w:rPr>
            </w:pPr>
            <w:r w:rsidRPr="00C56257">
              <w:rPr>
                <w:b/>
                <w:color w:val="000000"/>
              </w:rPr>
              <w:t>1</w:t>
            </w:r>
          </w:p>
        </w:tc>
        <w:tc>
          <w:tcPr>
            <w:tcW w:w="975" w:type="dxa"/>
          </w:tcPr>
          <w:p w14:paraId="2D6353A7" w14:textId="77777777" w:rsidR="0007555D" w:rsidRPr="00C56257" w:rsidRDefault="0007555D" w:rsidP="00F100E1">
            <w:pPr>
              <w:spacing w:after="160" w:line="259" w:lineRule="auto"/>
              <w:jc w:val="both"/>
              <w:rPr>
                <w:b/>
                <w:color w:val="000000"/>
              </w:rPr>
            </w:pPr>
          </w:p>
        </w:tc>
        <w:tc>
          <w:tcPr>
            <w:tcW w:w="3529" w:type="dxa"/>
          </w:tcPr>
          <w:p w14:paraId="568CEA22" w14:textId="77777777" w:rsidR="0007555D" w:rsidRPr="00C56257" w:rsidRDefault="0007555D" w:rsidP="00F100E1">
            <w:pPr>
              <w:spacing w:after="160" w:line="259" w:lineRule="auto"/>
              <w:jc w:val="both"/>
              <w:rPr>
                <w:b/>
                <w:color w:val="000000"/>
              </w:rPr>
            </w:pPr>
          </w:p>
        </w:tc>
        <w:tc>
          <w:tcPr>
            <w:tcW w:w="1350" w:type="dxa"/>
          </w:tcPr>
          <w:p w14:paraId="76FF0A97" w14:textId="77777777" w:rsidR="0007555D" w:rsidRPr="00C56257" w:rsidRDefault="0007555D" w:rsidP="00F100E1">
            <w:pPr>
              <w:spacing w:after="160" w:line="259" w:lineRule="auto"/>
              <w:jc w:val="both"/>
              <w:rPr>
                <w:b/>
                <w:color w:val="000000"/>
              </w:rPr>
            </w:pPr>
          </w:p>
        </w:tc>
        <w:tc>
          <w:tcPr>
            <w:tcW w:w="1620" w:type="dxa"/>
            <w:tcBorders>
              <w:right w:val="single" w:sz="12" w:space="0" w:color="auto"/>
            </w:tcBorders>
          </w:tcPr>
          <w:p w14:paraId="314646CE" w14:textId="77777777" w:rsidR="0007555D" w:rsidRPr="00C56257" w:rsidRDefault="0007555D" w:rsidP="00F100E1">
            <w:pPr>
              <w:spacing w:after="160" w:line="259" w:lineRule="auto"/>
              <w:jc w:val="both"/>
              <w:rPr>
                <w:b/>
                <w:color w:val="000000"/>
              </w:rPr>
            </w:pPr>
          </w:p>
        </w:tc>
      </w:tr>
      <w:tr w:rsidR="0007555D" w:rsidRPr="00C56257" w14:paraId="2609D4F3" w14:textId="77777777" w:rsidTr="0007555D">
        <w:trPr>
          <w:trHeight w:val="360"/>
        </w:trPr>
        <w:tc>
          <w:tcPr>
            <w:tcW w:w="976" w:type="dxa"/>
            <w:tcBorders>
              <w:left w:val="single" w:sz="12" w:space="0" w:color="auto"/>
            </w:tcBorders>
          </w:tcPr>
          <w:p w14:paraId="4275D50E" w14:textId="77777777" w:rsidR="0007555D" w:rsidRPr="00C56257" w:rsidRDefault="0007555D" w:rsidP="00F100E1">
            <w:pPr>
              <w:spacing w:after="160" w:line="259" w:lineRule="auto"/>
              <w:jc w:val="both"/>
              <w:rPr>
                <w:b/>
                <w:color w:val="000000"/>
              </w:rPr>
            </w:pPr>
            <w:r w:rsidRPr="00C56257">
              <w:rPr>
                <w:b/>
                <w:color w:val="000000"/>
              </w:rPr>
              <w:t>2…..</w:t>
            </w:r>
          </w:p>
        </w:tc>
        <w:tc>
          <w:tcPr>
            <w:tcW w:w="975" w:type="dxa"/>
          </w:tcPr>
          <w:p w14:paraId="3D7B56EC" w14:textId="77777777" w:rsidR="0007555D" w:rsidRPr="00C56257" w:rsidRDefault="0007555D" w:rsidP="00F100E1">
            <w:pPr>
              <w:spacing w:after="160" w:line="259" w:lineRule="auto"/>
              <w:jc w:val="both"/>
              <w:rPr>
                <w:b/>
                <w:color w:val="000000"/>
              </w:rPr>
            </w:pPr>
          </w:p>
        </w:tc>
        <w:tc>
          <w:tcPr>
            <w:tcW w:w="3529" w:type="dxa"/>
          </w:tcPr>
          <w:p w14:paraId="3FC27799" w14:textId="77777777" w:rsidR="0007555D" w:rsidRPr="00C56257" w:rsidRDefault="0007555D" w:rsidP="00F100E1">
            <w:pPr>
              <w:spacing w:after="160" w:line="259" w:lineRule="auto"/>
              <w:jc w:val="both"/>
              <w:rPr>
                <w:b/>
                <w:color w:val="000000"/>
              </w:rPr>
            </w:pPr>
          </w:p>
        </w:tc>
        <w:tc>
          <w:tcPr>
            <w:tcW w:w="1350" w:type="dxa"/>
          </w:tcPr>
          <w:p w14:paraId="2272F696" w14:textId="77777777" w:rsidR="0007555D" w:rsidRPr="00C56257" w:rsidRDefault="0007555D" w:rsidP="00F100E1">
            <w:pPr>
              <w:spacing w:after="160" w:line="259" w:lineRule="auto"/>
              <w:jc w:val="both"/>
              <w:rPr>
                <w:b/>
                <w:color w:val="000000"/>
              </w:rPr>
            </w:pPr>
          </w:p>
        </w:tc>
        <w:tc>
          <w:tcPr>
            <w:tcW w:w="1620" w:type="dxa"/>
            <w:tcBorders>
              <w:right w:val="single" w:sz="12" w:space="0" w:color="auto"/>
            </w:tcBorders>
          </w:tcPr>
          <w:p w14:paraId="2F6A8F57" w14:textId="77777777" w:rsidR="0007555D" w:rsidRPr="00C56257" w:rsidRDefault="0007555D" w:rsidP="00F100E1">
            <w:pPr>
              <w:spacing w:after="160" w:line="259" w:lineRule="auto"/>
              <w:jc w:val="both"/>
              <w:rPr>
                <w:b/>
                <w:color w:val="000000"/>
              </w:rPr>
            </w:pPr>
          </w:p>
        </w:tc>
      </w:tr>
    </w:tbl>
    <w:p w14:paraId="623B27AC" w14:textId="77777777" w:rsidR="0007555D" w:rsidRPr="00C56257" w:rsidRDefault="0007555D" w:rsidP="00F100E1">
      <w:pPr>
        <w:spacing w:after="160" w:line="259" w:lineRule="auto"/>
        <w:jc w:val="both"/>
        <w:rPr>
          <w:b/>
          <w:color w:val="000000"/>
        </w:rPr>
      </w:pPr>
    </w:p>
    <w:p w14:paraId="126DD092" w14:textId="77777777" w:rsidR="0007555D" w:rsidRPr="00C56257" w:rsidRDefault="0007555D" w:rsidP="00F100E1">
      <w:pPr>
        <w:spacing w:after="160" w:line="259" w:lineRule="auto"/>
        <w:jc w:val="both"/>
        <w:rPr>
          <w:b/>
          <w:color w:val="000000"/>
        </w:rPr>
      </w:pPr>
      <w:r w:rsidRPr="00C56257">
        <w:rPr>
          <w:b/>
          <w:color w:val="000000"/>
        </w:rPr>
        <w:t>6. Observații generale habitat</w:t>
      </w:r>
    </w:p>
    <w:p w14:paraId="19E737C6" w14:textId="77777777" w:rsidR="0007555D" w:rsidRPr="00C56257" w:rsidRDefault="0007555D" w:rsidP="00F100E1">
      <w:pPr>
        <w:spacing w:after="160" w:line="259" w:lineRule="auto"/>
        <w:jc w:val="both"/>
        <w:rPr>
          <w:b/>
          <w:color w:val="000000"/>
        </w:rPr>
      </w:pPr>
      <w:r w:rsidRPr="00C56257">
        <w:rPr>
          <w:b/>
          <w:color w:val="000000"/>
        </w:rPr>
        <w:t>6.1.Hazarde/riscuri...................................................................................................................</w:t>
      </w:r>
    </w:p>
    <w:p w14:paraId="56536C63" w14:textId="77777777" w:rsidR="0007555D" w:rsidRPr="00C56257" w:rsidRDefault="0007555D" w:rsidP="00F100E1">
      <w:pPr>
        <w:spacing w:after="160" w:line="259" w:lineRule="auto"/>
        <w:jc w:val="both"/>
        <w:rPr>
          <w:b/>
          <w:color w:val="000000"/>
        </w:rPr>
      </w:pPr>
      <w:r w:rsidRPr="00C56257">
        <w:rPr>
          <w:b/>
          <w:color w:val="000000"/>
        </w:rPr>
        <w:t>6.2.Viabilitatea pe termen lung...............................................................................................</w:t>
      </w:r>
    </w:p>
    <w:p w14:paraId="5971FA6A" w14:textId="77777777" w:rsidR="0007555D" w:rsidRPr="00C56257" w:rsidRDefault="0007555D" w:rsidP="00F100E1">
      <w:pPr>
        <w:spacing w:after="160" w:line="259" w:lineRule="auto"/>
        <w:jc w:val="both"/>
        <w:rPr>
          <w:b/>
          <w:color w:val="000000"/>
        </w:rPr>
      </w:pPr>
      <w:r w:rsidRPr="00C56257">
        <w:rPr>
          <w:b/>
          <w:color w:val="000000"/>
        </w:rPr>
        <w:t>6.3. Impactul măsurilor de management în siturile N2000 (publicații/rapoarte).............</w:t>
      </w:r>
    </w:p>
    <w:p w14:paraId="04A0964B" w14:textId="77777777" w:rsidR="0007555D" w:rsidRPr="00C56257" w:rsidRDefault="0007555D" w:rsidP="00F100E1">
      <w:pPr>
        <w:spacing w:after="160" w:line="259" w:lineRule="auto"/>
        <w:jc w:val="both"/>
        <w:rPr>
          <w:b/>
          <w:color w:val="000000"/>
        </w:rPr>
      </w:pPr>
      <w:r w:rsidRPr="00C56257">
        <w:rPr>
          <w:b/>
          <w:color w:val="000000"/>
        </w:rPr>
        <w:t>6.4. Măsuri de conservare implementate..............................................................................</w:t>
      </w:r>
    </w:p>
    <w:p w14:paraId="1FB2704C" w14:textId="77777777" w:rsidR="0007555D" w:rsidRPr="00C56257" w:rsidRDefault="0007555D" w:rsidP="00F100E1">
      <w:pPr>
        <w:spacing w:after="160" w:line="259" w:lineRule="auto"/>
        <w:jc w:val="both"/>
        <w:rPr>
          <w:b/>
          <w:color w:val="000000"/>
        </w:rPr>
      </w:pPr>
      <w:r w:rsidRPr="00C56257">
        <w:rPr>
          <w:b/>
          <w:color w:val="000000"/>
        </w:rPr>
        <w:t>7. Date stațiune (Stațiunea SSP)</w:t>
      </w:r>
    </w:p>
    <w:tbl>
      <w:tblPr>
        <w:tblW w:w="8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4027"/>
      </w:tblGrid>
      <w:tr w:rsidR="0007555D" w:rsidRPr="00C56257" w14:paraId="0EE7817A" w14:textId="77777777" w:rsidTr="0007555D">
        <w:trPr>
          <w:trHeight w:val="360"/>
        </w:trPr>
        <w:tc>
          <w:tcPr>
            <w:tcW w:w="4428" w:type="dxa"/>
            <w:vAlign w:val="center"/>
          </w:tcPr>
          <w:p w14:paraId="1B8ADE2A" w14:textId="77777777" w:rsidR="0007555D" w:rsidRPr="00C56257" w:rsidRDefault="0007555D" w:rsidP="00F100E1">
            <w:pPr>
              <w:spacing w:after="160" w:line="259" w:lineRule="auto"/>
              <w:jc w:val="both"/>
              <w:rPr>
                <w:bCs/>
                <w:color w:val="000000"/>
              </w:rPr>
            </w:pPr>
            <w:r w:rsidRPr="00C56257">
              <w:rPr>
                <w:bCs/>
                <w:color w:val="000000"/>
              </w:rPr>
              <w:t>INFORMAŢII DESCRIPTIVE</w:t>
            </w:r>
          </w:p>
        </w:tc>
        <w:tc>
          <w:tcPr>
            <w:tcW w:w="4027" w:type="dxa"/>
            <w:vAlign w:val="center"/>
          </w:tcPr>
          <w:p w14:paraId="3979C0D5" w14:textId="77777777" w:rsidR="0007555D" w:rsidRPr="00C56257" w:rsidRDefault="0007555D" w:rsidP="00F100E1">
            <w:pPr>
              <w:spacing w:after="160" w:line="259" w:lineRule="auto"/>
              <w:jc w:val="both"/>
              <w:rPr>
                <w:bCs/>
                <w:color w:val="000000"/>
              </w:rPr>
            </w:pPr>
            <w:r w:rsidRPr="00C56257">
              <w:rPr>
                <w:bCs/>
                <w:color w:val="000000"/>
              </w:rPr>
              <w:t>CARACTERISTICI</w:t>
            </w:r>
          </w:p>
        </w:tc>
      </w:tr>
      <w:tr w:rsidR="0007555D" w:rsidRPr="00C56257" w14:paraId="4906EB8E" w14:textId="77777777" w:rsidTr="0007555D">
        <w:trPr>
          <w:trHeight w:val="360"/>
        </w:trPr>
        <w:tc>
          <w:tcPr>
            <w:tcW w:w="4428" w:type="dxa"/>
            <w:vAlign w:val="center"/>
          </w:tcPr>
          <w:p w14:paraId="625ECD7B" w14:textId="77777777" w:rsidR="0007555D" w:rsidRPr="00C56257" w:rsidRDefault="0007555D" w:rsidP="00F100E1">
            <w:pPr>
              <w:spacing w:after="160" w:line="259" w:lineRule="auto"/>
              <w:jc w:val="both"/>
              <w:rPr>
                <w:bCs/>
                <w:color w:val="000000"/>
              </w:rPr>
            </w:pPr>
            <w:r w:rsidRPr="00C56257">
              <w:rPr>
                <w:bCs/>
                <w:color w:val="000000"/>
              </w:rPr>
              <w:t>7.1   Geomorfologie</w:t>
            </w:r>
          </w:p>
        </w:tc>
        <w:tc>
          <w:tcPr>
            <w:tcW w:w="4027" w:type="dxa"/>
            <w:vAlign w:val="center"/>
          </w:tcPr>
          <w:p w14:paraId="69FDCF4F" w14:textId="77777777" w:rsidR="0007555D" w:rsidRPr="00C56257" w:rsidRDefault="0007555D" w:rsidP="00F100E1">
            <w:pPr>
              <w:spacing w:after="160" w:line="259" w:lineRule="auto"/>
              <w:jc w:val="both"/>
              <w:rPr>
                <w:bCs/>
                <w:color w:val="000000"/>
              </w:rPr>
            </w:pPr>
          </w:p>
        </w:tc>
      </w:tr>
      <w:tr w:rsidR="0007555D" w:rsidRPr="00C56257" w14:paraId="06C5F7AC" w14:textId="77777777" w:rsidTr="0007555D">
        <w:trPr>
          <w:trHeight w:val="360"/>
          <w:hidden/>
        </w:trPr>
        <w:tc>
          <w:tcPr>
            <w:tcW w:w="4428" w:type="dxa"/>
            <w:vAlign w:val="center"/>
          </w:tcPr>
          <w:p w14:paraId="298788F8" w14:textId="77777777" w:rsidR="0007555D" w:rsidRPr="00C56257" w:rsidRDefault="0007555D" w:rsidP="00F100E1">
            <w:pPr>
              <w:numPr>
                <w:ilvl w:val="0"/>
                <w:numId w:val="10"/>
              </w:numPr>
              <w:spacing w:after="160" w:line="259" w:lineRule="auto"/>
              <w:jc w:val="both"/>
              <w:rPr>
                <w:bCs/>
                <w:vanish/>
                <w:color w:val="000000"/>
              </w:rPr>
            </w:pPr>
          </w:p>
          <w:p w14:paraId="4F9E5887" w14:textId="77777777" w:rsidR="0007555D" w:rsidRPr="00C56257" w:rsidRDefault="0007555D" w:rsidP="00F100E1">
            <w:pPr>
              <w:numPr>
                <w:ilvl w:val="0"/>
                <w:numId w:val="10"/>
              </w:numPr>
              <w:spacing w:after="160" w:line="259" w:lineRule="auto"/>
              <w:jc w:val="both"/>
              <w:rPr>
                <w:bCs/>
                <w:vanish/>
                <w:color w:val="000000"/>
              </w:rPr>
            </w:pPr>
          </w:p>
          <w:p w14:paraId="08B702FF" w14:textId="77777777" w:rsidR="0007555D" w:rsidRPr="00C56257" w:rsidRDefault="0007555D" w:rsidP="00F100E1">
            <w:pPr>
              <w:numPr>
                <w:ilvl w:val="0"/>
                <w:numId w:val="10"/>
              </w:numPr>
              <w:spacing w:after="160" w:line="259" w:lineRule="auto"/>
              <w:jc w:val="both"/>
              <w:rPr>
                <w:bCs/>
                <w:vanish/>
                <w:color w:val="000000"/>
              </w:rPr>
            </w:pPr>
          </w:p>
          <w:p w14:paraId="6FFA9CD8" w14:textId="77777777" w:rsidR="0007555D" w:rsidRPr="00C56257" w:rsidRDefault="0007555D" w:rsidP="00F100E1">
            <w:pPr>
              <w:numPr>
                <w:ilvl w:val="0"/>
                <w:numId w:val="10"/>
              </w:numPr>
              <w:spacing w:after="160" w:line="259" w:lineRule="auto"/>
              <w:jc w:val="both"/>
              <w:rPr>
                <w:bCs/>
                <w:vanish/>
                <w:color w:val="000000"/>
              </w:rPr>
            </w:pPr>
          </w:p>
          <w:p w14:paraId="7C5FEAC0" w14:textId="77777777" w:rsidR="0007555D" w:rsidRPr="00C56257" w:rsidRDefault="0007555D" w:rsidP="00F100E1">
            <w:pPr>
              <w:numPr>
                <w:ilvl w:val="0"/>
                <w:numId w:val="10"/>
              </w:numPr>
              <w:spacing w:after="160" w:line="259" w:lineRule="auto"/>
              <w:jc w:val="both"/>
              <w:rPr>
                <w:bCs/>
                <w:vanish/>
                <w:color w:val="000000"/>
              </w:rPr>
            </w:pPr>
          </w:p>
          <w:p w14:paraId="06BDB154" w14:textId="77777777" w:rsidR="0007555D" w:rsidRPr="00C56257" w:rsidRDefault="0007555D" w:rsidP="00F100E1">
            <w:pPr>
              <w:numPr>
                <w:ilvl w:val="0"/>
                <w:numId w:val="10"/>
              </w:numPr>
              <w:spacing w:after="160" w:line="259" w:lineRule="auto"/>
              <w:jc w:val="both"/>
              <w:rPr>
                <w:bCs/>
                <w:vanish/>
                <w:color w:val="000000"/>
              </w:rPr>
            </w:pPr>
          </w:p>
          <w:p w14:paraId="36489472" w14:textId="77777777" w:rsidR="0007555D" w:rsidRPr="00C56257" w:rsidRDefault="0007555D" w:rsidP="00F100E1">
            <w:pPr>
              <w:numPr>
                <w:ilvl w:val="0"/>
                <w:numId w:val="10"/>
              </w:numPr>
              <w:spacing w:after="160" w:line="259" w:lineRule="auto"/>
              <w:jc w:val="both"/>
              <w:rPr>
                <w:bCs/>
                <w:vanish/>
                <w:color w:val="000000"/>
              </w:rPr>
            </w:pPr>
          </w:p>
          <w:p w14:paraId="1973A458" w14:textId="77777777" w:rsidR="0007555D" w:rsidRPr="00C56257" w:rsidRDefault="0007555D" w:rsidP="00F100E1">
            <w:pPr>
              <w:spacing w:after="160" w:line="259" w:lineRule="auto"/>
              <w:jc w:val="both"/>
              <w:rPr>
                <w:color w:val="000000"/>
              </w:rPr>
            </w:pPr>
            <w:r w:rsidRPr="00C56257">
              <w:rPr>
                <w:color w:val="000000"/>
              </w:rPr>
              <w:t xml:space="preserve">   7.1.1.Configuraţia terenului</w:t>
            </w:r>
          </w:p>
        </w:tc>
        <w:tc>
          <w:tcPr>
            <w:tcW w:w="4027" w:type="dxa"/>
            <w:vAlign w:val="center"/>
          </w:tcPr>
          <w:p w14:paraId="04749006" w14:textId="77777777" w:rsidR="0007555D" w:rsidRPr="00C56257" w:rsidRDefault="0007555D" w:rsidP="00F100E1">
            <w:pPr>
              <w:spacing w:after="160" w:line="259" w:lineRule="auto"/>
              <w:jc w:val="both"/>
              <w:rPr>
                <w:bCs/>
                <w:color w:val="000000"/>
              </w:rPr>
            </w:pPr>
          </w:p>
        </w:tc>
      </w:tr>
      <w:tr w:rsidR="0007555D" w:rsidRPr="00C56257" w14:paraId="74CCA1CC" w14:textId="77777777" w:rsidTr="0007555D">
        <w:trPr>
          <w:trHeight w:val="360"/>
        </w:trPr>
        <w:tc>
          <w:tcPr>
            <w:tcW w:w="4428" w:type="dxa"/>
            <w:vAlign w:val="center"/>
          </w:tcPr>
          <w:p w14:paraId="73BB2B84" w14:textId="77777777" w:rsidR="0007555D" w:rsidRPr="00C56257" w:rsidRDefault="0007555D" w:rsidP="00F100E1">
            <w:pPr>
              <w:spacing w:after="160" w:line="259" w:lineRule="auto"/>
              <w:jc w:val="both"/>
              <w:rPr>
                <w:color w:val="000000"/>
              </w:rPr>
            </w:pPr>
            <w:r w:rsidRPr="00C56257">
              <w:rPr>
                <w:color w:val="000000"/>
              </w:rPr>
              <w:t xml:space="preserve">   7.1.2.  Expoziţia</w:t>
            </w:r>
          </w:p>
        </w:tc>
        <w:tc>
          <w:tcPr>
            <w:tcW w:w="4027" w:type="dxa"/>
            <w:vAlign w:val="center"/>
          </w:tcPr>
          <w:p w14:paraId="6E816355" w14:textId="77777777" w:rsidR="0007555D" w:rsidRPr="00C56257" w:rsidRDefault="0007555D" w:rsidP="00F100E1">
            <w:pPr>
              <w:spacing w:after="160" w:line="259" w:lineRule="auto"/>
              <w:jc w:val="both"/>
              <w:rPr>
                <w:bCs/>
                <w:color w:val="000000"/>
              </w:rPr>
            </w:pPr>
          </w:p>
        </w:tc>
      </w:tr>
      <w:tr w:rsidR="0007555D" w:rsidRPr="00C56257" w14:paraId="3DB9004C" w14:textId="77777777" w:rsidTr="0007555D">
        <w:trPr>
          <w:trHeight w:val="360"/>
        </w:trPr>
        <w:tc>
          <w:tcPr>
            <w:tcW w:w="4428" w:type="dxa"/>
            <w:vAlign w:val="center"/>
          </w:tcPr>
          <w:p w14:paraId="6967FAEE" w14:textId="77777777" w:rsidR="0007555D" w:rsidRPr="00C56257" w:rsidRDefault="0007555D" w:rsidP="00F100E1">
            <w:pPr>
              <w:spacing w:after="160" w:line="259" w:lineRule="auto"/>
              <w:jc w:val="both"/>
              <w:rPr>
                <w:color w:val="000000"/>
              </w:rPr>
            </w:pPr>
            <w:r w:rsidRPr="00C56257">
              <w:rPr>
                <w:color w:val="000000"/>
              </w:rPr>
              <w:lastRenderedPageBreak/>
              <w:t xml:space="preserve">   7.1.3. Înclinarea terenului (grade)</w:t>
            </w:r>
          </w:p>
        </w:tc>
        <w:tc>
          <w:tcPr>
            <w:tcW w:w="4027" w:type="dxa"/>
            <w:vAlign w:val="center"/>
          </w:tcPr>
          <w:p w14:paraId="551264FC" w14:textId="77777777" w:rsidR="0007555D" w:rsidRPr="00C56257" w:rsidRDefault="0007555D" w:rsidP="00F100E1">
            <w:pPr>
              <w:spacing w:after="160" w:line="259" w:lineRule="auto"/>
              <w:jc w:val="both"/>
              <w:rPr>
                <w:bCs/>
                <w:color w:val="000000"/>
              </w:rPr>
            </w:pPr>
          </w:p>
        </w:tc>
      </w:tr>
      <w:tr w:rsidR="0007555D" w:rsidRPr="00C56257" w14:paraId="304AA2E3" w14:textId="77777777" w:rsidTr="0007555D">
        <w:trPr>
          <w:trHeight w:val="360"/>
        </w:trPr>
        <w:tc>
          <w:tcPr>
            <w:tcW w:w="4428" w:type="dxa"/>
            <w:vAlign w:val="center"/>
          </w:tcPr>
          <w:p w14:paraId="7D4D3AE6" w14:textId="77777777" w:rsidR="0007555D" w:rsidRPr="00C56257" w:rsidRDefault="0007555D" w:rsidP="00F100E1">
            <w:pPr>
              <w:spacing w:after="160" w:line="259" w:lineRule="auto"/>
              <w:jc w:val="both"/>
              <w:rPr>
                <w:bCs/>
                <w:color w:val="000000"/>
              </w:rPr>
            </w:pPr>
            <w:r w:rsidRPr="00C56257">
              <w:rPr>
                <w:bCs/>
                <w:color w:val="000000"/>
              </w:rPr>
              <w:t>7.2   Geologie</w:t>
            </w:r>
          </w:p>
        </w:tc>
        <w:tc>
          <w:tcPr>
            <w:tcW w:w="4027" w:type="dxa"/>
            <w:vAlign w:val="center"/>
          </w:tcPr>
          <w:p w14:paraId="16D97AD9" w14:textId="77777777" w:rsidR="0007555D" w:rsidRPr="00C56257" w:rsidRDefault="0007555D" w:rsidP="00F100E1">
            <w:pPr>
              <w:spacing w:after="160" w:line="259" w:lineRule="auto"/>
              <w:jc w:val="both"/>
              <w:rPr>
                <w:bCs/>
                <w:color w:val="000000"/>
              </w:rPr>
            </w:pPr>
          </w:p>
        </w:tc>
      </w:tr>
      <w:tr w:rsidR="0007555D" w:rsidRPr="00C56257" w14:paraId="709369A6" w14:textId="77777777" w:rsidTr="0007555D">
        <w:trPr>
          <w:trHeight w:val="360"/>
        </w:trPr>
        <w:tc>
          <w:tcPr>
            <w:tcW w:w="4428" w:type="dxa"/>
          </w:tcPr>
          <w:p w14:paraId="3A579FF4" w14:textId="77777777" w:rsidR="0007555D" w:rsidRPr="00C56257" w:rsidRDefault="0007555D" w:rsidP="00F100E1">
            <w:pPr>
              <w:spacing w:after="160" w:line="259" w:lineRule="auto"/>
              <w:jc w:val="both"/>
              <w:rPr>
                <w:bCs/>
                <w:color w:val="000000"/>
              </w:rPr>
            </w:pPr>
            <w:r w:rsidRPr="00C56257">
              <w:rPr>
                <w:bCs/>
                <w:color w:val="000000"/>
              </w:rPr>
              <w:t>7.2.1. Roca/substrat</w:t>
            </w:r>
          </w:p>
        </w:tc>
        <w:tc>
          <w:tcPr>
            <w:tcW w:w="4027" w:type="dxa"/>
            <w:vAlign w:val="center"/>
          </w:tcPr>
          <w:p w14:paraId="4EA0240A" w14:textId="77777777" w:rsidR="0007555D" w:rsidRPr="00C56257" w:rsidRDefault="0007555D" w:rsidP="00F100E1">
            <w:pPr>
              <w:spacing w:after="160" w:line="259" w:lineRule="auto"/>
              <w:jc w:val="both"/>
              <w:rPr>
                <w:bCs/>
                <w:color w:val="000000"/>
              </w:rPr>
            </w:pPr>
          </w:p>
        </w:tc>
      </w:tr>
      <w:tr w:rsidR="0007555D" w:rsidRPr="00C56257" w14:paraId="751ECC7D" w14:textId="77777777" w:rsidTr="0007555D">
        <w:trPr>
          <w:trHeight w:val="360"/>
        </w:trPr>
        <w:tc>
          <w:tcPr>
            <w:tcW w:w="4428" w:type="dxa"/>
          </w:tcPr>
          <w:p w14:paraId="6248F339" w14:textId="77777777" w:rsidR="0007555D" w:rsidRPr="00C56257" w:rsidRDefault="0007555D" w:rsidP="00F100E1">
            <w:pPr>
              <w:spacing w:after="160" w:line="259" w:lineRule="auto"/>
              <w:jc w:val="both"/>
              <w:rPr>
                <w:bCs/>
                <w:color w:val="000000"/>
              </w:rPr>
            </w:pPr>
            <w:r w:rsidRPr="00C56257">
              <w:rPr>
                <w:bCs/>
                <w:color w:val="000000"/>
              </w:rPr>
              <w:t>7.2.2. Roca la suprafaţă (%)</w:t>
            </w:r>
          </w:p>
        </w:tc>
        <w:tc>
          <w:tcPr>
            <w:tcW w:w="4027" w:type="dxa"/>
            <w:vAlign w:val="center"/>
          </w:tcPr>
          <w:p w14:paraId="23A7BD88" w14:textId="77777777" w:rsidR="0007555D" w:rsidRPr="00C56257" w:rsidRDefault="0007555D" w:rsidP="00F100E1">
            <w:pPr>
              <w:spacing w:after="160" w:line="259" w:lineRule="auto"/>
              <w:jc w:val="both"/>
              <w:rPr>
                <w:bCs/>
                <w:color w:val="000000"/>
              </w:rPr>
            </w:pPr>
          </w:p>
        </w:tc>
      </w:tr>
      <w:tr w:rsidR="0007555D" w:rsidRPr="00C56257" w14:paraId="4089786D" w14:textId="77777777" w:rsidTr="0007555D">
        <w:trPr>
          <w:trHeight w:val="360"/>
        </w:trPr>
        <w:tc>
          <w:tcPr>
            <w:tcW w:w="4428" w:type="dxa"/>
          </w:tcPr>
          <w:p w14:paraId="3997DF8E" w14:textId="77777777" w:rsidR="0007555D" w:rsidRPr="00C56257" w:rsidRDefault="0007555D" w:rsidP="00F100E1">
            <w:pPr>
              <w:spacing w:after="160" w:line="259" w:lineRule="auto"/>
              <w:jc w:val="both"/>
              <w:rPr>
                <w:bCs/>
                <w:color w:val="000000"/>
              </w:rPr>
            </w:pPr>
            <w:r w:rsidRPr="00C56257">
              <w:rPr>
                <w:bCs/>
                <w:color w:val="000000"/>
              </w:rPr>
              <w:t>7.3. Pedologie</w:t>
            </w:r>
          </w:p>
        </w:tc>
        <w:tc>
          <w:tcPr>
            <w:tcW w:w="4027" w:type="dxa"/>
            <w:vAlign w:val="center"/>
          </w:tcPr>
          <w:p w14:paraId="12682614" w14:textId="77777777" w:rsidR="0007555D" w:rsidRPr="00C56257" w:rsidRDefault="0007555D" w:rsidP="00F100E1">
            <w:pPr>
              <w:spacing w:after="160" w:line="259" w:lineRule="auto"/>
              <w:jc w:val="both"/>
              <w:rPr>
                <w:bCs/>
                <w:color w:val="000000"/>
              </w:rPr>
            </w:pPr>
          </w:p>
        </w:tc>
      </w:tr>
      <w:tr w:rsidR="0007555D" w:rsidRPr="00C56257" w14:paraId="1BF468F5" w14:textId="77777777" w:rsidTr="0007555D">
        <w:trPr>
          <w:trHeight w:val="360"/>
        </w:trPr>
        <w:tc>
          <w:tcPr>
            <w:tcW w:w="4428" w:type="dxa"/>
          </w:tcPr>
          <w:p w14:paraId="74DDB90C" w14:textId="77777777" w:rsidR="0007555D" w:rsidRPr="00C56257" w:rsidRDefault="0007555D" w:rsidP="00F100E1">
            <w:pPr>
              <w:spacing w:after="160" w:line="259" w:lineRule="auto"/>
              <w:jc w:val="both"/>
              <w:rPr>
                <w:bCs/>
                <w:color w:val="000000"/>
              </w:rPr>
            </w:pPr>
            <w:r w:rsidRPr="00C56257">
              <w:rPr>
                <w:bCs/>
                <w:color w:val="000000"/>
              </w:rPr>
              <w:t>7.3.1. Tip sol</w:t>
            </w:r>
          </w:p>
        </w:tc>
        <w:tc>
          <w:tcPr>
            <w:tcW w:w="4027" w:type="dxa"/>
            <w:vAlign w:val="center"/>
          </w:tcPr>
          <w:p w14:paraId="7910FE30" w14:textId="77777777" w:rsidR="0007555D" w:rsidRPr="00C56257" w:rsidRDefault="0007555D" w:rsidP="00F100E1">
            <w:pPr>
              <w:spacing w:after="160" w:line="259" w:lineRule="auto"/>
              <w:jc w:val="both"/>
              <w:rPr>
                <w:bCs/>
                <w:color w:val="000000"/>
              </w:rPr>
            </w:pPr>
          </w:p>
        </w:tc>
      </w:tr>
      <w:tr w:rsidR="0007555D" w:rsidRPr="00C56257" w14:paraId="1370B3F4" w14:textId="77777777" w:rsidTr="0007555D">
        <w:trPr>
          <w:trHeight w:val="360"/>
        </w:trPr>
        <w:tc>
          <w:tcPr>
            <w:tcW w:w="4428" w:type="dxa"/>
          </w:tcPr>
          <w:p w14:paraId="0A6B39AD" w14:textId="77777777" w:rsidR="0007555D" w:rsidRPr="00C56257" w:rsidRDefault="0007555D" w:rsidP="00F100E1">
            <w:pPr>
              <w:spacing w:after="160" w:line="259" w:lineRule="auto"/>
              <w:jc w:val="both"/>
              <w:rPr>
                <w:bCs/>
                <w:color w:val="000000"/>
              </w:rPr>
            </w:pPr>
            <w:r w:rsidRPr="00C56257">
              <w:rPr>
                <w:bCs/>
                <w:color w:val="000000"/>
              </w:rPr>
              <w:t>7.3.2. Tip humus</w:t>
            </w:r>
          </w:p>
        </w:tc>
        <w:tc>
          <w:tcPr>
            <w:tcW w:w="4027" w:type="dxa"/>
            <w:vAlign w:val="center"/>
          </w:tcPr>
          <w:p w14:paraId="4E905DF1" w14:textId="77777777" w:rsidR="0007555D" w:rsidRPr="00C56257" w:rsidRDefault="0007555D" w:rsidP="00F100E1">
            <w:pPr>
              <w:spacing w:after="160" w:line="259" w:lineRule="auto"/>
              <w:jc w:val="both"/>
              <w:rPr>
                <w:bCs/>
                <w:color w:val="000000"/>
              </w:rPr>
            </w:pPr>
          </w:p>
        </w:tc>
      </w:tr>
      <w:tr w:rsidR="0007555D" w:rsidRPr="00C56257" w14:paraId="6C9F1BE4" w14:textId="77777777" w:rsidTr="0007555D">
        <w:trPr>
          <w:trHeight w:val="360"/>
        </w:trPr>
        <w:tc>
          <w:tcPr>
            <w:tcW w:w="4428" w:type="dxa"/>
          </w:tcPr>
          <w:p w14:paraId="65B46377" w14:textId="77777777" w:rsidR="0007555D" w:rsidRPr="00C56257" w:rsidRDefault="0007555D" w:rsidP="00F100E1">
            <w:pPr>
              <w:spacing w:after="160" w:line="259" w:lineRule="auto"/>
              <w:jc w:val="both"/>
              <w:rPr>
                <w:bCs/>
                <w:color w:val="000000"/>
              </w:rPr>
            </w:pPr>
            <w:r w:rsidRPr="00C56257">
              <w:rPr>
                <w:bCs/>
                <w:color w:val="000000"/>
              </w:rPr>
              <w:t>7.3.3. Profil (cm)</w:t>
            </w:r>
          </w:p>
        </w:tc>
        <w:tc>
          <w:tcPr>
            <w:tcW w:w="4027" w:type="dxa"/>
            <w:vAlign w:val="center"/>
          </w:tcPr>
          <w:p w14:paraId="5458C58A" w14:textId="77777777" w:rsidR="0007555D" w:rsidRPr="00C56257" w:rsidRDefault="0007555D" w:rsidP="00F100E1">
            <w:pPr>
              <w:spacing w:after="160" w:line="259" w:lineRule="auto"/>
              <w:jc w:val="both"/>
              <w:rPr>
                <w:bCs/>
                <w:color w:val="000000"/>
              </w:rPr>
            </w:pPr>
          </w:p>
        </w:tc>
      </w:tr>
      <w:tr w:rsidR="0007555D" w:rsidRPr="00C56257" w14:paraId="02A9583F" w14:textId="77777777" w:rsidTr="0007555D">
        <w:trPr>
          <w:trHeight w:val="360"/>
        </w:trPr>
        <w:tc>
          <w:tcPr>
            <w:tcW w:w="4428" w:type="dxa"/>
          </w:tcPr>
          <w:p w14:paraId="2EFDF516" w14:textId="77777777" w:rsidR="0007555D" w:rsidRPr="00C56257" w:rsidRDefault="0007555D" w:rsidP="00F100E1">
            <w:pPr>
              <w:spacing w:after="160" w:line="259" w:lineRule="auto"/>
              <w:jc w:val="both"/>
              <w:rPr>
                <w:bCs/>
                <w:color w:val="000000"/>
              </w:rPr>
            </w:pPr>
            <w:r w:rsidRPr="00C56257">
              <w:rPr>
                <w:bCs/>
                <w:color w:val="000000"/>
              </w:rPr>
              <w:t>7.3.4. Schelet (%)</w:t>
            </w:r>
          </w:p>
        </w:tc>
        <w:tc>
          <w:tcPr>
            <w:tcW w:w="4027" w:type="dxa"/>
            <w:vAlign w:val="center"/>
          </w:tcPr>
          <w:p w14:paraId="5FB01F30" w14:textId="77777777" w:rsidR="0007555D" w:rsidRPr="00C56257" w:rsidRDefault="0007555D" w:rsidP="00F100E1">
            <w:pPr>
              <w:spacing w:after="160" w:line="259" w:lineRule="auto"/>
              <w:jc w:val="both"/>
              <w:rPr>
                <w:bCs/>
                <w:color w:val="000000"/>
              </w:rPr>
            </w:pPr>
          </w:p>
        </w:tc>
      </w:tr>
      <w:tr w:rsidR="0007555D" w:rsidRPr="00C56257" w14:paraId="37CDFCF5" w14:textId="77777777" w:rsidTr="0007555D">
        <w:trPr>
          <w:trHeight w:val="360"/>
        </w:trPr>
        <w:tc>
          <w:tcPr>
            <w:tcW w:w="4428" w:type="dxa"/>
          </w:tcPr>
          <w:p w14:paraId="35AB1A44" w14:textId="77777777" w:rsidR="0007555D" w:rsidRPr="00C56257" w:rsidRDefault="0007555D" w:rsidP="00F100E1">
            <w:pPr>
              <w:spacing w:after="160" w:line="259" w:lineRule="auto"/>
              <w:jc w:val="both"/>
              <w:rPr>
                <w:bCs/>
                <w:color w:val="000000"/>
              </w:rPr>
            </w:pPr>
            <w:r w:rsidRPr="00C56257">
              <w:rPr>
                <w:bCs/>
                <w:color w:val="000000"/>
              </w:rPr>
              <w:t>7.3.5. Submersie</w:t>
            </w:r>
          </w:p>
        </w:tc>
        <w:tc>
          <w:tcPr>
            <w:tcW w:w="4027" w:type="dxa"/>
            <w:vAlign w:val="center"/>
          </w:tcPr>
          <w:p w14:paraId="001B7116" w14:textId="77777777" w:rsidR="0007555D" w:rsidRPr="00C56257" w:rsidRDefault="0007555D" w:rsidP="00F100E1">
            <w:pPr>
              <w:spacing w:after="160" w:line="259" w:lineRule="auto"/>
              <w:jc w:val="both"/>
              <w:rPr>
                <w:bCs/>
                <w:color w:val="000000"/>
              </w:rPr>
            </w:pPr>
          </w:p>
        </w:tc>
      </w:tr>
      <w:tr w:rsidR="0007555D" w:rsidRPr="00C56257" w14:paraId="254C474B" w14:textId="77777777" w:rsidTr="0007555D">
        <w:trPr>
          <w:trHeight w:val="360"/>
        </w:trPr>
        <w:tc>
          <w:tcPr>
            <w:tcW w:w="4428" w:type="dxa"/>
          </w:tcPr>
          <w:p w14:paraId="746E2409" w14:textId="77777777" w:rsidR="0007555D" w:rsidRPr="00C56257" w:rsidRDefault="0007555D" w:rsidP="00F100E1">
            <w:pPr>
              <w:spacing w:after="160" w:line="259" w:lineRule="auto"/>
              <w:jc w:val="both"/>
              <w:rPr>
                <w:bCs/>
                <w:color w:val="000000"/>
              </w:rPr>
            </w:pPr>
            <w:r w:rsidRPr="00C56257">
              <w:rPr>
                <w:bCs/>
                <w:color w:val="000000"/>
              </w:rPr>
              <w:t>7.3.6. Drenaj extern</w:t>
            </w:r>
          </w:p>
        </w:tc>
        <w:tc>
          <w:tcPr>
            <w:tcW w:w="4027" w:type="dxa"/>
            <w:vAlign w:val="center"/>
          </w:tcPr>
          <w:p w14:paraId="40695E1D" w14:textId="77777777" w:rsidR="0007555D" w:rsidRPr="00C56257" w:rsidRDefault="0007555D" w:rsidP="00F100E1">
            <w:pPr>
              <w:spacing w:after="160" w:line="259" w:lineRule="auto"/>
              <w:jc w:val="both"/>
              <w:rPr>
                <w:bCs/>
                <w:color w:val="000000"/>
              </w:rPr>
            </w:pPr>
          </w:p>
        </w:tc>
      </w:tr>
      <w:tr w:rsidR="0007555D" w:rsidRPr="00C56257" w14:paraId="1CDE8752" w14:textId="77777777" w:rsidTr="0007555D">
        <w:trPr>
          <w:trHeight w:val="360"/>
        </w:trPr>
        <w:tc>
          <w:tcPr>
            <w:tcW w:w="4428" w:type="dxa"/>
          </w:tcPr>
          <w:p w14:paraId="7A57CA08" w14:textId="77777777" w:rsidR="0007555D" w:rsidRPr="00C56257" w:rsidRDefault="0007555D" w:rsidP="00F100E1">
            <w:pPr>
              <w:spacing w:after="160" w:line="259" w:lineRule="auto"/>
              <w:jc w:val="both"/>
              <w:rPr>
                <w:bCs/>
                <w:color w:val="000000"/>
              </w:rPr>
            </w:pPr>
            <w:r w:rsidRPr="00C56257">
              <w:rPr>
                <w:bCs/>
                <w:color w:val="000000"/>
              </w:rPr>
              <w:t>7.3.7. Drenaj intern</w:t>
            </w:r>
          </w:p>
        </w:tc>
        <w:tc>
          <w:tcPr>
            <w:tcW w:w="4027" w:type="dxa"/>
            <w:vAlign w:val="center"/>
          </w:tcPr>
          <w:p w14:paraId="14EE812E" w14:textId="77777777" w:rsidR="0007555D" w:rsidRPr="00C56257" w:rsidRDefault="0007555D" w:rsidP="00F100E1">
            <w:pPr>
              <w:spacing w:after="160" w:line="259" w:lineRule="auto"/>
              <w:jc w:val="both"/>
              <w:rPr>
                <w:bCs/>
                <w:color w:val="000000"/>
              </w:rPr>
            </w:pPr>
          </w:p>
        </w:tc>
      </w:tr>
    </w:tbl>
    <w:p w14:paraId="1FFA24D1" w14:textId="77777777" w:rsidR="0007555D" w:rsidRPr="00C56257" w:rsidRDefault="0007555D" w:rsidP="00F100E1">
      <w:pPr>
        <w:spacing w:after="160" w:line="259" w:lineRule="auto"/>
        <w:jc w:val="both"/>
        <w:rPr>
          <w:b/>
          <w:color w:val="000000"/>
        </w:rPr>
      </w:pPr>
    </w:p>
    <w:p w14:paraId="5A63191A" w14:textId="77777777" w:rsidR="0007555D" w:rsidRPr="00C56257" w:rsidRDefault="0007555D" w:rsidP="00F100E1">
      <w:pPr>
        <w:spacing w:after="160" w:line="259" w:lineRule="auto"/>
        <w:jc w:val="both"/>
        <w:rPr>
          <w:b/>
          <w:color w:val="000000"/>
        </w:rPr>
      </w:pPr>
      <w:r w:rsidRPr="00C56257">
        <w:rPr>
          <w:b/>
          <w:color w:val="000000"/>
        </w:rPr>
        <w:t>8. Date vegetație (Vegetația SSP)</w:t>
      </w:r>
    </w:p>
    <w:tbl>
      <w:tblPr>
        <w:tblW w:w="8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4027"/>
      </w:tblGrid>
      <w:tr w:rsidR="0007555D" w:rsidRPr="00C56257" w14:paraId="3CA8F1CD" w14:textId="77777777" w:rsidTr="0007555D">
        <w:trPr>
          <w:trHeight w:val="360"/>
        </w:trPr>
        <w:tc>
          <w:tcPr>
            <w:tcW w:w="4428" w:type="dxa"/>
          </w:tcPr>
          <w:p w14:paraId="26C6D69C" w14:textId="77777777" w:rsidR="0007555D" w:rsidRPr="00C56257" w:rsidRDefault="0007555D" w:rsidP="00F100E1">
            <w:pPr>
              <w:spacing w:after="160" w:line="259" w:lineRule="auto"/>
              <w:jc w:val="both"/>
              <w:rPr>
                <w:bCs/>
                <w:color w:val="000000"/>
              </w:rPr>
            </w:pPr>
            <w:r w:rsidRPr="00C56257">
              <w:rPr>
                <w:bCs/>
                <w:color w:val="000000"/>
              </w:rPr>
              <w:t>8.1. Tipul de pădure</w:t>
            </w:r>
          </w:p>
        </w:tc>
        <w:tc>
          <w:tcPr>
            <w:tcW w:w="4027" w:type="dxa"/>
            <w:vAlign w:val="center"/>
          </w:tcPr>
          <w:p w14:paraId="3523E22F" w14:textId="77777777" w:rsidR="0007555D" w:rsidRPr="00C56257" w:rsidRDefault="0007555D" w:rsidP="00F100E1">
            <w:pPr>
              <w:spacing w:after="160" w:line="259" w:lineRule="auto"/>
              <w:jc w:val="both"/>
              <w:rPr>
                <w:bCs/>
                <w:color w:val="000000"/>
              </w:rPr>
            </w:pPr>
          </w:p>
        </w:tc>
      </w:tr>
      <w:tr w:rsidR="0007555D" w:rsidRPr="00C56257" w14:paraId="5E5432AF" w14:textId="77777777" w:rsidTr="0007555D">
        <w:trPr>
          <w:trHeight w:val="360"/>
        </w:trPr>
        <w:tc>
          <w:tcPr>
            <w:tcW w:w="4428" w:type="dxa"/>
            <w:vAlign w:val="center"/>
          </w:tcPr>
          <w:p w14:paraId="38511F50" w14:textId="77777777" w:rsidR="0007555D" w:rsidRPr="00C56257" w:rsidRDefault="0007555D" w:rsidP="00F100E1">
            <w:pPr>
              <w:spacing w:after="160" w:line="259" w:lineRule="auto"/>
              <w:jc w:val="both"/>
              <w:rPr>
                <w:bCs/>
                <w:color w:val="000000"/>
              </w:rPr>
            </w:pPr>
            <w:r w:rsidRPr="00C56257">
              <w:rPr>
                <w:bCs/>
                <w:color w:val="000000"/>
              </w:rPr>
              <w:t>8.2. Tip floră indicatoare</w:t>
            </w:r>
          </w:p>
        </w:tc>
        <w:tc>
          <w:tcPr>
            <w:tcW w:w="4027" w:type="dxa"/>
            <w:vAlign w:val="center"/>
          </w:tcPr>
          <w:p w14:paraId="1B2B11BD" w14:textId="77777777" w:rsidR="0007555D" w:rsidRPr="00C56257" w:rsidRDefault="0007555D" w:rsidP="00F100E1">
            <w:pPr>
              <w:spacing w:after="160" w:line="259" w:lineRule="auto"/>
              <w:jc w:val="both"/>
              <w:rPr>
                <w:bCs/>
                <w:color w:val="000000"/>
              </w:rPr>
            </w:pPr>
          </w:p>
        </w:tc>
      </w:tr>
      <w:tr w:rsidR="0007555D" w:rsidRPr="00C56257" w14:paraId="2BD4B212" w14:textId="77777777" w:rsidTr="0007555D">
        <w:trPr>
          <w:trHeight w:val="360"/>
        </w:trPr>
        <w:tc>
          <w:tcPr>
            <w:tcW w:w="4428" w:type="dxa"/>
            <w:vAlign w:val="center"/>
          </w:tcPr>
          <w:p w14:paraId="5F295829" w14:textId="77777777" w:rsidR="0007555D" w:rsidRPr="00C56257" w:rsidRDefault="0007555D" w:rsidP="00F100E1">
            <w:pPr>
              <w:spacing w:after="160" w:line="259" w:lineRule="auto"/>
              <w:jc w:val="both"/>
              <w:rPr>
                <w:bCs/>
                <w:color w:val="000000"/>
              </w:rPr>
            </w:pPr>
            <w:r w:rsidRPr="00C56257">
              <w:rPr>
                <w:bCs/>
                <w:color w:val="000000"/>
              </w:rPr>
              <w:t>8.3.  Subtip floră indicatoare</w:t>
            </w:r>
          </w:p>
        </w:tc>
        <w:tc>
          <w:tcPr>
            <w:tcW w:w="4027" w:type="dxa"/>
            <w:vAlign w:val="center"/>
          </w:tcPr>
          <w:p w14:paraId="50280F02" w14:textId="77777777" w:rsidR="0007555D" w:rsidRPr="00C56257" w:rsidRDefault="0007555D" w:rsidP="00F100E1">
            <w:pPr>
              <w:spacing w:after="160" w:line="259" w:lineRule="auto"/>
              <w:jc w:val="both"/>
              <w:rPr>
                <w:bCs/>
                <w:color w:val="000000"/>
              </w:rPr>
            </w:pPr>
          </w:p>
        </w:tc>
      </w:tr>
      <w:tr w:rsidR="0007555D" w:rsidRPr="00C56257" w14:paraId="5E4AF5BC" w14:textId="77777777" w:rsidTr="0007555D">
        <w:trPr>
          <w:trHeight w:val="360"/>
        </w:trPr>
        <w:tc>
          <w:tcPr>
            <w:tcW w:w="4428" w:type="dxa"/>
            <w:vAlign w:val="center"/>
          </w:tcPr>
          <w:p w14:paraId="19C01710" w14:textId="77777777" w:rsidR="0007555D" w:rsidRPr="00C56257" w:rsidRDefault="0007555D" w:rsidP="00F100E1">
            <w:pPr>
              <w:spacing w:after="160" w:line="259" w:lineRule="auto"/>
              <w:jc w:val="both"/>
              <w:rPr>
                <w:bCs/>
                <w:color w:val="000000"/>
              </w:rPr>
            </w:pPr>
            <w:r w:rsidRPr="00C56257">
              <w:rPr>
                <w:bCs/>
                <w:color w:val="000000"/>
              </w:rPr>
              <w:t>8.4.  Asociaţia vegetală</w:t>
            </w:r>
          </w:p>
        </w:tc>
        <w:tc>
          <w:tcPr>
            <w:tcW w:w="4027" w:type="dxa"/>
            <w:vAlign w:val="center"/>
          </w:tcPr>
          <w:p w14:paraId="79416EF7" w14:textId="77777777" w:rsidR="0007555D" w:rsidRPr="00C56257" w:rsidRDefault="0007555D" w:rsidP="00F100E1">
            <w:pPr>
              <w:spacing w:after="160" w:line="259" w:lineRule="auto"/>
              <w:jc w:val="both"/>
              <w:rPr>
                <w:bCs/>
                <w:color w:val="000000"/>
              </w:rPr>
            </w:pPr>
          </w:p>
        </w:tc>
      </w:tr>
    </w:tbl>
    <w:p w14:paraId="7CC21ECF" w14:textId="77777777" w:rsidR="0007555D" w:rsidRPr="00C56257" w:rsidRDefault="0007555D" w:rsidP="00F100E1">
      <w:pPr>
        <w:spacing w:after="160" w:line="259" w:lineRule="auto"/>
        <w:jc w:val="both"/>
        <w:rPr>
          <w:b/>
          <w:color w:val="000000"/>
        </w:rPr>
      </w:pPr>
    </w:p>
    <w:p w14:paraId="3E24F285" w14:textId="77777777" w:rsidR="0007555D" w:rsidRPr="00C56257" w:rsidRDefault="0007555D" w:rsidP="00F100E1">
      <w:pPr>
        <w:spacing w:after="160" w:line="259" w:lineRule="auto"/>
        <w:jc w:val="both"/>
        <w:rPr>
          <w:b/>
          <w:color w:val="000000"/>
        </w:rPr>
      </w:pPr>
      <w:r w:rsidRPr="00C56257">
        <w:rPr>
          <w:b/>
          <w:color w:val="000000"/>
        </w:rPr>
        <w:t>9. Indicatori ai structurii și funcționării habitatului (SSP)</w:t>
      </w:r>
    </w:p>
    <w:tbl>
      <w:tblPr>
        <w:tblW w:w="8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4027"/>
      </w:tblGrid>
      <w:tr w:rsidR="0007555D" w:rsidRPr="00C56257" w14:paraId="5491E3A8" w14:textId="77777777" w:rsidTr="0007555D">
        <w:trPr>
          <w:trHeight w:val="360"/>
        </w:trPr>
        <w:tc>
          <w:tcPr>
            <w:tcW w:w="4428" w:type="dxa"/>
            <w:vAlign w:val="center"/>
          </w:tcPr>
          <w:p w14:paraId="2A78B3F5" w14:textId="77777777" w:rsidR="0007555D" w:rsidRPr="00C56257" w:rsidRDefault="0007555D" w:rsidP="00F100E1">
            <w:pPr>
              <w:spacing w:after="160" w:line="259" w:lineRule="auto"/>
              <w:jc w:val="both"/>
              <w:rPr>
                <w:bCs/>
                <w:color w:val="000000"/>
              </w:rPr>
            </w:pPr>
            <w:r w:rsidRPr="00C56257">
              <w:rPr>
                <w:bCs/>
                <w:color w:val="000000"/>
              </w:rPr>
              <w:t>9.1.Arboretul (stratul arborescent)</w:t>
            </w:r>
          </w:p>
        </w:tc>
        <w:tc>
          <w:tcPr>
            <w:tcW w:w="4027" w:type="dxa"/>
            <w:vAlign w:val="center"/>
          </w:tcPr>
          <w:p w14:paraId="739C7719" w14:textId="77777777" w:rsidR="0007555D" w:rsidRPr="00C56257" w:rsidRDefault="0007555D" w:rsidP="00F100E1">
            <w:pPr>
              <w:spacing w:after="160" w:line="259" w:lineRule="auto"/>
              <w:jc w:val="both"/>
              <w:rPr>
                <w:bCs/>
                <w:color w:val="000000"/>
              </w:rPr>
            </w:pPr>
          </w:p>
        </w:tc>
      </w:tr>
      <w:tr w:rsidR="0007555D" w:rsidRPr="00C56257" w14:paraId="48FAF3AE" w14:textId="77777777" w:rsidTr="0007555D">
        <w:trPr>
          <w:trHeight w:val="360"/>
        </w:trPr>
        <w:tc>
          <w:tcPr>
            <w:tcW w:w="4428" w:type="dxa"/>
            <w:vAlign w:val="center"/>
          </w:tcPr>
          <w:p w14:paraId="7BD77B52" w14:textId="77777777" w:rsidR="0007555D" w:rsidRPr="00C56257" w:rsidRDefault="0007555D" w:rsidP="00F100E1">
            <w:pPr>
              <w:spacing w:after="160" w:line="259" w:lineRule="auto"/>
              <w:jc w:val="both"/>
              <w:rPr>
                <w:bCs/>
                <w:color w:val="000000"/>
              </w:rPr>
            </w:pPr>
            <w:r w:rsidRPr="00C56257">
              <w:rPr>
                <w:bCs/>
                <w:color w:val="000000"/>
              </w:rPr>
              <w:t xml:space="preserve">   9.1.1. Specia (i)</w:t>
            </w:r>
          </w:p>
        </w:tc>
        <w:tc>
          <w:tcPr>
            <w:tcW w:w="4027" w:type="dxa"/>
            <w:vAlign w:val="center"/>
          </w:tcPr>
          <w:p w14:paraId="14A2EA15" w14:textId="77777777" w:rsidR="0007555D" w:rsidRPr="00C56257" w:rsidRDefault="0007555D" w:rsidP="00F100E1">
            <w:pPr>
              <w:spacing w:after="160" w:line="259" w:lineRule="auto"/>
              <w:jc w:val="both"/>
              <w:rPr>
                <w:bCs/>
                <w:color w:val="000000"/>
              </w:rPr>
            </w:pPr>
          </w:p>
        </w:tc>
      </w:tr>
      <w:tr w:rsidR="0007555D" w:rsidRPr="00C56257" w14:paraId="53485DA2" w14:textId="77777777" w:rsidTr="0007555D">
        <w:trPr>
          <w:trHeight w:val="360"/>
        </w:trPr>
        <w:tc>
          <w:tcPr>
            <w:tcW w:w="4428" w:type="dxa"/>
            <w:vAlign w:val="center"/>
          </w:tcPr>
          <w:p w14:paraId="5E63420F" w14:textId="77777777" w:rsidR="0007555D" w:rsidRPr="00C56257" w:rsidRDefault="0007555D" w:rsidP="00F100E1">
            <w:pPr>
              <w:spacing w:after="160" w:line="259" w:lineRule="auto"/>
              <w:jc w:val="both"/>
              <w:rPr>
                <w:bCs/>
                <w:color w:val="000000"/>
              </w:rPr>
            </w:pPr>
            <w:r w:rsidRPr="00C56257">
              <w:rPr>
                <w:bCs/>
                <w:color w:val="000000"/>
              </w:rPr>
              <w:t xml:space="preserve">   9.1.2. Compoziţia arboretului</w:t>
            </w:r>
          </w:p>
        </w:tc>
        <w:tc>
          <w:tcPr>
            <w:tcW w:w="4027" w:type="dxa"/>
            <w:vAlign w:val="center"/>
          </w:tcPr>
          <w:p w14:paraId="20EA3036" w14:textId="77777777" w:rsidR="0007555D" w:rsidRPr="00C56257" w:rsidRDefault="0007555D" w:rsidP="00F100E1">
            <w:pPr>
              <w:spacing w:after="160" w:line="259" w:lineRule="auto"/>
              <w:jc w:val="both"/>
              <w:rPr>
                <w:bCs/>
                <w:color w:val="000000"/>
              </w:rPr>
            </w:pPr>
          </w:p>
        </w:tc>
      </w:tr>
      <w:tr w:rsidR="0007555D" w:rsidRPr="00C56257" w14:paraId="29F5908C" w14:textId="77777777" w:rsidTr="0007555D">
        <w:trPr>
          <w:trHeight w:val="360"/>
        </w:trPr>
        <w:tc>
          <w:tcPr>
            <w:tcW w:w="4428" w:type="dxa"/>
            <w:vAlign w:val="center"/>
          </w:tcPr>
          <w:p w14:paraId="1A3CFDC6" w14:textId="77777777" w:rsidR="0007555D" w:rsidRPr="00C56257" w:rsidRDefault="0007555D" w:rsidP="00F100E1">
            <w:pPr>
              <w:spacing w:after="160" w:line="259" w:lineRule="auto"/>
              <w:jc w:val="both"/>
              <w:rPr>
                <w:bCs/>
                <w:color w:val="000000"/>
              </w:rPr>
            </w:pPr>
            <w:r w:rsidRPr="00C56257">
              <w:rPr>
                <w:bCs/>
                <w:color w:val="000000"/>
              </w:rPr>
              <w:t xml:space="preserve">   9.1.3. Caracterul actual al arboretului</w:t>
            </w:r>
          </w:p>
        </w:tc>
        <w:tc>
          <w:tcPr>
            <w:tcW w:w="4027" w:type="dxa"/>
            <w:vAlign w:val="center"/>
          </w:tcPr>
          <w:p w14:paraId="30E05A51" w14:textId="77777777" w:rsidR="0007555D" w:rsidRPr="00C56257" w:rsidRDefault="0007555D" w:rsidP="00F100E1">
            <w:pPr>
              <w:spacing w:after="160" w:line="259" w:lineRule="auto"/>
              <w:jc w:val="both"/>
              <w:rPr>
                <w:bCs/>
                <w:color w:val="000000"/>
              </w:rPr>
            </w:pPr>
          </w:p>
        </w:tc>
      </w:tr>
      <w:tr w:rsidR="0007555D" w:rsidRPr="00C56257" w14:paraId="75BA54CB" w14:textId="77777777" w:rsidTr="0007555D">
        <w:trPr>
          <w:trHeight w:val="360"/>
        </w:trPr>
        <w:tc>
          <w:tcPr>
            <w:tcW w:w="4428" w:type="dxa"/>
            <w:vAlign w:val="center"/>
          </w:tcPr>
          <w:p w14:paraId="4CB70A66" w14:textId="77777777" w:rsidR="0007555D" w:rsidRPr="00C56257" w:rsidRDefault="0007555D" w:rsidP="00F100E1">
            <w:pPr>
              <w:spacing w:after="160" w:line="259" w:lineRule="auto"/>
              <w:jc w:val="both"/>
              <w:rPr>
                <w:bCs/>
                <w:color w:val="000000"/>
              </w:rPr>
            </w:pPr>
            <w:r w:rsidRPr="00C56257">
              <w:rPr>
                <w:bCs/>
                <w:color w:val="000000"/>
              </w:rPr>
              <w:t xml:space="preserve">   9.1.4. Nativitatea arboretului</w:t>
            </w:r>
          </w:p>
        </w:tc>
        <w:tc>
          <w:tcPr>
            <w:tcW w:w="4027" w:type="dxa"/>
            <w:vAlign w:val="center"/>
          </w:tcPr>
          <w:p w14:paraId="2516C618" w14:textId="77777777" w:rsidR="0007555D" w:rsidRPr="00C56257" w:rsidRDefault="0007555D" w:rsidP="00F100E1">
            <w:pPr>
              <w:spacing w:after="160" w:line="259" w:lineRule="auto"/>
              <w:jc w:val="both"/>
              <w:rPr>
                <w:bCs/>
                <w:color w:val="000000"/>
              </w:rPr>
            </w:pPr>
          </w:p>
        </w:tc>
      </w:tr>
      <w:tr w:rsidR="0007555D" w:rsidRPr="00C56257" w14:paraId="0253866F" w14:textId="77777777" w:rsidTr="0007555D">
        <w:trPr>
          <w:trHeight w:val="360"/>
        </w:trPr>
        <w:tc>
          <w:tcPr>
            <w:tcW w:w="4428" w:type="dxa"/>
            <w:vAlign w:val="center"/>
          </w:tcPr>
          <w:p w14:paraId="0853D3EE" w14:textId="77777777" w:rsidR="0007555D" w:rsidRPr="00C56257" w:rsidRDefault="0007555D" w:rsidP="00F100E1">
            <w:pPr>
              <w:spacing w:after="160" w:line="259" w:lineRule="auto"/>
              <w:jc w:val="both"/>
              <w:rPr>
                <w:bCs/>
                <w:color w:val="000000"/>
              </w:rPr>
            </w:pPr>
            <w:r w:rsidRPr="00C56257">
              <w:rPr>
                <w:bCs/>
                <w:color w:val="000000"/>
              </w:rPr>
              <w:t xml:space="preserve">   9.1.5. Modul de regenerare al arboretului</w:t>
            </w:r>
          </w:p>
        </w:tc>
        <w:tc>
          <w:tcPr>
            <w:tcW w:w="4027" w:type="dxa"/>
            <w:vAlign w:val="center"/>
          </w:tcPr>
          <w:p w14:paraId="12F5FF65" w14:textId="77777777" w:rsidR="0007555D" w:rsidRPr="00C56257" w:rsidRDefault="0007555D" w:rsidP="00F100E1">
            <w:pPr>
              <w:spacing w:after="160" w:line="259" w:lineRule="auto"/>
              <w:jc w:val="both"/>
              <w:rPr>
                <w:bCs/>
                <w:color w:val="000000"/>
              </w:rPr>
            </w:pPr>
          </w:p>
        </w:tc>
      </w:tr>
      <w:tr w:rsidR="0007555D" w:rsidRPr="00C56257" w14:paraId="42ACBC55" w14:textId="77777777" w:rsidTr="0007555D">
        <w:trPr>
          <w:trHeight w:val="360"/>
        </w:trPr>
        <w:tc>
          <w:tcPr>
            <w:tcW w:w="4428" w:type="dxa"/>
            <w:vAlign w:val="center"/>
          </w:tcPr>
          <w:p w14:paraId="59590167" w14:textId="77777777" w:rsidR="0007555D" w:rsidRPr="00C56257" w:rsidRDefault="0007555D" w:rsidP="00F100E1">
            <w:pPr>
              <w:spacing w:after="160" w:line="259" w:lineRule="auto"/>
              <w:jc w:val="both"/>
              <w:rPr>
                <w:bCs/>
                <w:color w:val="000000"/>
              </w:rPr>
            </w:pPr>
            <w:r w:rsidRPr="00C56257">
              <w:rPr>
                <w:bCs/>
                <w:color w:val="000000"/>
              </w:rPr>
              <w:t xml:space="preserve">   9.1.6. Gradul de naturalitate al arboretului</w:t>
            </w:r>
          </w:p>
        </w:tc>
        <w:tc>
          <w:tcPr>
            <w:tcW w:w="4027" w:type="dxa"/>
            <w:vAlign w:val="center"/>
          </w:tcPr>
          <w:p w14:paraId="4697A549" w14:textId="77777777" w:rsidR="0007555D" w:rsidRPr="00C56257" w:rsidRDefault="0007555D" w:rsidP="00F100E1">
            <w:pPr>
              <w:spacing w:after="160" w:line="259" w:lineRule="auto"/>
              <w:jc w:val="both"/>
              <w:rPr>
                <w:bCs/>
                <w:color w:val="000000"/>
              </w:rPr>
            </w:pPr>
          </w:p>
        </w:tc>
      </w:tr>
      <w:tr w:rsidR="0007555D" w:rsidRPr="00C56257" w14:paraId="7DA0D72E" w14:textId="77777777" w:rsidTr="0007555D">
        <w:trPr>
          <w:trHeight w:val="360"/>
        </w:trPr>
        <w:tc>
          <w:tcPr>
            <w:tcW w:w="4428" w:type="dxa"/>
            <w:vAlign w:val="center"/>
          </w:tcPr>
          <w:p w14:paraId="77C1E869" w14:textId="77777777" w:rsidR="0007555D" w:rsidRPr="00C56257" w:rsidRDefault="0007555D" w:rsidP="00F100E1">
            <w:pPr>
              <w:spacing w:after="160" w:line="259" w:lineRule="auto"/>
              <w:jc w:val="both"/>
              <w:rPr>
                <w:bCs/>
                <w:color w:val="000000"/>
              </w:rPr>
            </w:pPr>
            <w:r w:rsidRPr="00C56257">
              <w:rPr>
                <w:bCs/>
                <w:color w:val="000000"/>
              </w:rPr>
              <w:t xml:space="preserve">   9.1.7. Consistenţa</w:t>
            </w:r>
          </w:p>
        </w:tc>
        <w:tc>
          <w:tcPr>
            <w:tcW w:w="4027" w:type="dxa"/>
            <w:vAlign w:val="center"/>
          </w:tcPr>
          <w:p w14:paraId="64FDF4AF" w14:textId="77777777" w:rsidR="0007555D" w:rsidRPr="00C56257" w:rsidRDefault="0007555D" w:rsidP="00F100E1">
            <w:pPr>
              <w:spacing w:after="160" w:line="259" w:lineRule="auto"/>
              <w:jc w:val="both"/>
              <w:rPr>
                <w:bCs/>
                <w:color w:val="000000"/>
              </w:rPr>
            </w:pPr>
          </w:p>
        </w:tc>
      </w:tr>
      <w:tr w:rsidR="0007555D" w:rsidRPr="00C56257" w14:paraId="74643662" w14:textId="77777777" w:rsidTr="0007555D">
        <w:trPr>
          <w:trHeight w:val="360"/>
        </w:trPr>
        <w:tc>
          <w:tcPr>
            <w:tcW w:w="4428" w:type="dxa"/>
            <w:vAlign w:val="center"/>
          </w:tcPr>
          <w:p w14:paraId="1E6BF859" w14:textId="77777777" w:rsidR="0007555D" w:rsidRPr="00C56257" w:rsidRDefault="0007555D" w:rsidP="00F100E1">
            <w:pPr>
              <w:spacing w:after="160" w:line="259" w:lineRule="auto"/>
              <w:jc w:val="both"/>
              <w:rPr>
                <w:bCs/>
                <w:color w:val="000000"/>
              </w:rPr>
            </w:pPr>
            <w:r w:rsidRPr="00C56257">
              <w:rPr>
                <w:bCs/>
                <w:color w:val="000000"/>
              </w:rPr>
              <w:t>9.2. Subarboretul (stratul arbustiv)</w:t>
            </w:r>
          </w:p>
        </w:tc>
        <w:tc>
          <w:tcPr>
            <w:tcW w:w="4027" w:type="dxa"/>
            <w:vAlign w:val="center"/>
          </w:tcPr>
          <w:p w14:paraId="2F2332E5" w14:textId="77777777" w:rsidR="0007555D" w:rsidRPr="00C56257" w:rsidRDefault="0007555D" w:rsidP="00F100E1">
            <w:pPr>
              <w:spacing w:after="160" w:line="259" w:lineRule="auto"/>
              <w:jc w:val="both"/>
              <w:rPr>
                <w:bCs/>
                <w:color w:val="000000"/>
              </w:rPr>
            </w:pPr>
          </w:p>
        </w:tc>
      </w:tr>
      <w:tr w:rsidR="0007555D" w:rsidRPr="00C56257" w14:paraId="2F3FE1B2" w14:textId="77777777" w:rsidTr="0007555D">
        <w:trPr>
          <w:trHeight w:val="360"/>
        </w:trPr>
        <w:tc>
          <w:tcPr>
            <w:tcW w:w="4428" w:type="dxa"/>
            <w:vAlign w:val="center"/>
          </w:tcPr>
          <w:p w14:paraId="43873A79" w14:textId="77777777" w:rsidR="0007555D" w:rsidRPr="00C56257" w:rsidRDefault="0007555D" w:rsidP="00F100E1">
            <w:pPr>
              <w:spacing w:after="160" w:line="259" w:lineRule="auto"/>
              <w:jc w:val="both"/>
              <w:rPr>
                <w:bCs/>
                <w:color w:val="000000"/>
              </w:rPr>
            </w:pPr>
            <w:r w:rsidRPr="00C56257">
              <w:rPr>
                <w:bCs/>
                <w:color w:val="000000"/>
              </w:rPr>
              <w:lastRenderedPageBreak/>
              <w:t xml:space="preserve">   9.2.1. Specia (i)</w:t>
            </w:r>
          </w:p>
        </w:tc>
        <w:tc>
          <w:tcPr>
            <w:tcW w:w="4027" w:type="dxa"/>
            <w:vAlign w:val="center"/>
          </w:tcPr>
          <w:p w14:paraId="35DB0AF3" w14:textId="77777777" w:rsidR="0007555D" w:rsidRPr="00C56257" w:rsidRDefault="0007555D" w:rsidP="00F100E1">
            <w:pPr>
              <w:spacing w:after="160" w:line="259" w:lineRule="auto"/>
              <w:jc w:val="both"/>
              <w:rPr>
                <w:bCs/>
                <w:color w:val="000000"/>
              </w:rPr>
            </w:pPr>
          </w:p>
        </w:tc>
      </w:tr>
      <w:tr w:rsidR="0007555D" w:rsidRPr="00C56257" w14:paraId="7E57AE38" w14:textId="77777777" w:rsidTr="0007555D">
        <w:trPr>
          <w:trHeight w:val="360"/>
        </w:trPr>
        <w:tc>
          <w:tcPr>
            <w:tcW w:w="4428" w:type="dxa"/>
            <w:vAlign w:val="center"/>
          </w:tcPr>
          <w:p w14:paraId="40C24633" w14:textId="77777777" w:rsidR="0007555D" w:rsidRPr="00C56257" w:rsidRDefault="0007555D" w:rsidP="00F100E1">
            <w:pPr>
              <w:spacing w:after="160" w:line="259" w:lineRule="auto"/>
              <w:jc w:val="both"/>
              <w:rPr>
                <w:bCs/>
                <w:color w:val="000000"/>
              </w:rPr>
            </w:pPr>
            <w:r w:rsidRPr="00C56257">
              <w:rPr>
                <w:bCs/>
                <w:color w:val="000000"/>
              </w:rPr>
              <w:t xml:space="preserve">   9.2.2. Acoperirea cu arbuşti</w:t>
            </w:r>
          </w:p>
        </w:tc>
        <w:tc>
          <w:tcPr>
            <w:tcW w:w="4027" w:type="dxa"/>
            <w:vAlign w:val="center"/>
          </w:tcPr>
          <w:p w14:paraId="780BF8E0" w14:textId="77777777" w:rsidR="0007555D" w:rsidRPr="00C56257" w:rsidRDefault="0007555D" w:rsidP="00F100E1">
            <w:pPr>
              <w:spacing w:after="160" w:line="259" w:lineRule="auto"/>
              <w:jc w:val="both"/>
              <w:rPr>
                <w:bCs/>
                <w:color w:val="000000"/>
              </w:rPr>
            </w:pPr>
          </w:p>
        </w:tc>
      </w:tr>
      <w:tr w:rsidR="0007555D" w:rsidRPr="00C56257" w14:paraId="3A1FE1D3" w14:textId="77777777" w:rsidTr="0007555D">
        <w:trPr>
          <w:trHeight w:val="360"/>
        </w:trPr>
        <w:tc>
          <w:tcPr>
            <w:tcW w:w="4428" w:type="dxa"/>
            <w:vAlign w:val="center"/>
          </w:tcPr>
          <w:p w14:paraId="04C39C80" w14:textId="77777777" w:rsidR="0007555D" w:rsidRPr="00C56257" w:rsidRDefault="0007555D" w:rsidP="00F100E1">
            <w:pPr>
              <w:spacing w:after="160" w:line="259" w:lineRule="auto"/>
              <w:jc w:val="both"/>
              <w:rPr>
                <w:bCs/>
                <w:color w:val="000000"/>
              </w:rPr>
            </w:pPr>
            <w:r w:rsidRPr="00C56257">
              <w:rPr>
                <w:bCs/>
                <w:color w:val="000000"/>
              </w:rPr>
              <w:t>9.3. Regenerarea (stratul puieţilor)</w:t>
            </w:r>
          </w:p>
        </w:tc>
        <w:tc>
          <w:tcPr>
            <w:tcW w:w="4027" w:type="dxa"/>
            <w:vAlign w:val="center"/>
          </w:tcPr>
          <w:p w14:paraId="5F577B3E" w14:textId="77777777" w:rsidR="0007555D" w:rsidRPr="00C56257" w:rsidRDefault="0007555D" w:rsidP="00F100E1">
            <w:pPr>
              <w:spacing w:after="160" w:line="259" w:lineRule="auto"/>
              <w:jc w:val="both"/>
              <w:rPr>
                <w:bCs/>
                <w:color w:val="000000"/>
              </w:rPr>
            </w:pPr>
          </w:p>
        </w:tc>
      </w:tr>
      <w:tr w:rsidR="0007555D" w:rsidRPr="00C56257" w14:paraId="641C7BB3" w14:textId="77777777" w:rsidTr="0007555D">
        <w:trPr>
          <w:trHeight w:val="360"/>
        </w:trPr>
        <w:tc>
          <w:tcPr>
            <w:tcW w:w="4428" w:type="dxa"/>
            <w:vAlign w:val="center"/>
          </w:tcPr>
          <w:p w14:paraId="74272F7F" w14:textId="77777777" w:rsidR="0007555D" w:rsidRPr="00C56257" w:rsidRDefault="0007555D" w:rsidP="00F100E1">
            <w:pPr>
              <w:spacing w:after="160" w:line="259" w:lineRule="auto"/>
              <w:jc w:val="both"/>
              <w:rPr>
                <w:bCs/>
                <w:color w:val="000000"/>
              </w:rPr>
            </w:pPr>
            <w:r w:rsidRPr="00C56257">
              <w:rPr>
                <w:bCs/>
                <w:color w:val="000000"/>
              </w:rPr>
              <w:t xml:space="preserve">   9.3.1. Număr specii de arbori în regenerare</w:t>
            </w:r>
          </w:p>
        </w:tc>
        <w:tc>
          <w:tcPr>
            <w:tcW w:w="4027" w:type="dxa"/>
            <w:vAlign w:val="center"/>
          </w:tcPr>
          <w:p w14:paraId="1E55FECB" w14:textId="77777777" w:rsidR="0007555D" w:rsidRPr="00C56257" w:rsidRDefault="0007555D" w:rsidP="00F100E1">
            <w:pPr>
              <w:spacing w:after="160" w:line="259" w:lineRule="auto"/>
              <w:jc w:val="both"/>
              <w:rPr>
                <w:bCs/>
                <w:color w:val="000000"/>
              </w:rPr>
            </w:pPr>
          </w:p>
        </w:tc>
      </w:tr>
      <w:tr w:rsidR="0007555D" w:rsidRPr="00C56257" w14:paraId="7138BA8A" w14:textId="77777777" w:rsidTr="0007555D">
        <w:trPr>
          <w:trHeight w:val="360"/>
        </w:trPr>
        <w:tc>
          <w:tcPr>
            <w:tcW w:w="4428" w:type="dxa"/>
            <w:vAlign w:val="center"/>
          </w:tcPr>
          <w:p w14:paraId="33C26695" w14:textId="77777777" w:rsidR="0007555D" w:rsidRPr="00C56257" w:rsidRDefault="0007555D" w:rsidP="00F100E1">
            <w:pPr>
              <w:spacing w:after="160" w:line="259" w:lineRule="auto"/>
              <w:jc w:val="both"/>
              <w:rPr>
                <w:bCs/>
                <w:color w:val="000000"/>
              </w:rPr>
            </w:pPr>
            <w:r w:rsidRPr="00C56257">
              <w:rPr>
                <w:bCs/>
                <w:color w:val="000000"/>
              </w:rPr>
              <w:t xml:space="preserve">   9.3.2. Distribuţia regenerării</w:t>
            </w:r>
          </w:p>
        </w:tc>
        <w:tc>
          <w:tcPr>
            <w:tcW w:w="4027" w:type="dxa"/>
            <w:vAlign w:val="center"/>
          </w:tcPr>
          <w:p w14:paraId="43E632D4" w14:textId="77777777" w:rsidR="0007555D" w:rsidRPr="00C56257" w:rsidRDefault="0007555D" w:rsidP="00F100E1">
            <w:pPr>
              <w:spacing w:after="160" w:line="259" w:lineRule="auto"/>
              <w:jc w:val="both"/>
              <w:rPr>
                <w:bCs/>
                <w:color w:val="000000"/>
              </w:rPr>
            </w:pPr>
          </w:p>
        </w:tc>
      </w:tr>
      <w:tr w:rsidR="0007555D" w:rsidRPr="00C56257" w14:paraId="43C84905" w14:textId="77777777" w:rsidTr="0007555D">
        <w:trPr>
          <w:trHeight w:val="360"/>
        </w:trPr>
        <w:tc>
          <w:tcPr>
            <w:tcW w:w="4428" w:type="dxa"/>
            <w:vAlign w:val="center"/>
          </w:tcPr>
          <w:p w14:paraId="285943EF" w14:textId="77777777" w:rsidR="0007555D" w:rsidRPr="00C56257" w:rsidRDefault="0007555D" w:rsidP="00F100E1">
            <w:pPr>
              <w:spacing w:after="160" w:line="259" w:lineRule="auto"/>
              <w:jc w:val="both"/>
              <w:rPr>
                <w:bCs/>
                <w:color w:val="000000"/>
              </w:rPr>
            </w:pPr>
            <w:r w:rsidRPr="00C56257">
              <w:rPr>
                <w:bCs/>
                <w:color w:val="000000"/>
              </w:rPr>
              <w:t xml:space="preserve">   9.3.3. Gradul de acoperire al regenerării</w:t>
            </w:r>
          </w:p>
        </w:tc>
        <w:tc>
          <w:tcPr>
            <w:tcW w:w="4027" w:type="dxa"/>
            <w:vAlign w:val="center"/>
          </w:tcPr>
          <w:p w14:paraId="038FEEC9" w14:textId="77777777" w:rsidR="0007555D" w:rsidRPr="00C56257" w:rsidRDefault="0007555D" w:rsidP="00F100E1">
            <w:pPr>
              <w:spacing w:after="160" w:line="259" w:lineRule="auto"/>
              <w:jc w:val="both"/>
              <w:rPr>
                <w:bCs/>
                <w:color w:val="000000"/>
              </w:rPr>
            </w:pPr>
          </w:p>
        </w:tc>
      </w:tr>
      <w:tr w:rsidR="0007555D" w:rsidRPr="00C56257" w14:paraId="6D7D0F7F" w14:textId="77777777" w:rsidTr="0007555D">
        <w:trPr>
          <w:trHeight w:val="360"/>
        </w:trPr>
        <w:tc>
          <w:tcPr>
            <w:tcW w:w="4428" w:type="dxa"/>
            <w:vAlign w:val="center"/>
          </w:tcPr>
          <w:p w14:paraId="75A620E6" w14:textId="77777777" w:rsidR="0007555D" w:rsidRPr="00C56257" w:rsidRDefault="0007555D" w:rsidP="00F100E1">
            <w:pPr>
              <w:spacing w:after="160" w:line="259" w:lineRule="auto"/>
              <w:jc w:val="both"/>
              <w:rPr>
                <w:bCs/>
                <w:color w:val="000000"/>
              </w:rPr>
            </w:pPr>
            <w:r w:rsidRPr="00C56257">
              <w:rPr>
                <w:bCs/>
                <w:color w:val="000000"/>
              </w:rPr>
              <w:t xml:space="preserve">   9.3.4. Factori negativi</w:t>
            </w:r>
          </w:p>
        </w:tc>
        <w:tc>
          <w:tcPr>
            <w:tcW w:w="4027" w:type="dxa"/>
            <w:vAlign w:val="center"/>
          </w:tcPr>
          <w:p w14:paraId="014920D4" w14:textId="77777777" w:rsidR="0007555D" w:rsidRPr="00C56257" w:rsidRDefault="0007555D" w:rsidP="00F100E1">
            <w:pPr>
              <w:spacing w:after="160" w:line="259" w:lineRule="auto"/>
              <w:jc w:val="both"/>
              <w:rPr>
                <w:bCs/>
                <w:color w:val="000000"/>
              </w:rPr>
            </w:pPr>
          </w:p>
        </w:tc>
      </w:tr>
      <w:tr w:rsidR="0007555D" w:rsidRPr="00C56257" w14:paraId="429039E3" w14:textId="77777777" w:rsidTr="0007555D">
        <w:trPr>
          <w:trHeight w:val="360"/>
        </w:trPr>
        <w:tc>
          <w:tcPr>
            <w:tcW w:w="4428" w:type="dxa"/>
            <w:vAlign w:val="center"/>
          </w:tcPr>
          <w:p w14:paraId="71C87AF6" w14:textId="77777777" w:rsidR="0007555D" w:rsidRPr="00C56257" w:rsidRDefault="0007555D" w:rsidP="00F100E1">
            <w:pPr>
              <w:spacing w:after="160" w:line="259" w:lineRule="auto"/>
              <w:jc w:val="both"/>
              <w:rPr>
                <w:bCs/>
                <w:color w:val="000000"/>
              </w:rPr>
            </w:pPr>
            <w:r w:rsidRPr="00C56257">
              <w:rPr>
                <w:bCs/>
                <w:color w:val="000000"/>
              </w:rPr>
              <w:t>9.4. Pătura erbacee (stratul ierbos)</w:t>
            </w:r>
          </w:p>
        </w:tc>
        <w:tc>
          <w:tcPr>
            <w:tcW w:w="4027" w:type="dxa"/>
            <w:vAlign w:val="center"/>
          </w:tcPr>
          <w:p w14:paraId="33223677" w14:textId="77777777" w:rsidR="0007555D" w:rsidRPr="00C56257" w:rsidRDefault="0007555D" w:rsidP="00F100E1">
            <w:pPr>
              <w:spacing w:after="160" w:line="259" w:lineRule="auto"/>
              <w:jc w:val="both"/>
              <w:rPr>
                <w:bCs/>
                <w:color w:val="000000"/>
              </w:rPr>
            </w:pPr>
          </w:p>
        </w:tc>
      </w:tr>
      <w:tr w:rsidR="0007555D" w:rsidRPr="00C56257" w14:paraId="70BA990A" w14:textId="77777777" w:rsidTr="0007555D">
        <w:trPr>
          <w:trHeight w:val="360"/>
        </w:trPr>
        <w:tc>
          <w:tcPr>
            <w:tcW w:w="4428" w:type="dxa"/>
            <w:vAlign w:val="center"/>
          </w:tcPr>
          <w:p w14:paraId="32099E52" w14:textId="77777777" w:rsidR="0007555D" w:rsidRPr="00C56257" w:rsidRDefault="0007555D" w:rsidP="00F100E1">
            <w:pPr>
              <w:spacing w:after="160" w:line="259" w:lineRule="auto"/>
              <w:jc w:val="both"/>
              <w:rPr>
                <w:bCs/>
                <w:color w:val="000000"/>
              </w:rPr>
            </w:pPr>
            <w:r w:rsidRPr="00C56257">
              <w:rPr>
                <w:bCs/>
                <w:color w:val="000000"/>
              </w:rPr>
              <w:t xml:space="preserve">   9.4.1. Acoperirea cu vegetaţie ierboasă</w:t>
            </w:r>
          </w:p>
        </w:tc>
        <w:tc>
          <w:tcPr>
            <w:tcW w:w="4027" w:type="dxa"/>
            <w:vAlign w:val="center"/>
          </w:tcPr>
          <w:p w14:paraId="360B75FF" w14:textId="77777777" w:rsidR="0007555D" w:rsidRPr="00C56257" w:rsidRDefault="0007555D" w:rsidP="00F100E1">
            <w:pPr>
              <w:spacing w:after="160" w:line="259" w:lineRule="auto"/>
              <w:jc w:val="both"/>
              <w:rPr>
                <w:bCs/>
                <w:color w:val="000000"/>
              </w:rPr>
            </w:pPr>
          </w:p>
        </w:tc>
      </w:tr>
      <w:tr w:rsidR="0007555D" w:rsidRPr="00C56257" w14:paraId="3825E755" w14:textId="77777777" w:rsidTr="0007555D">
        <w:trPr>
          <w:trHeight w:val="360"/>
        </w:trPr>
        <w:tc>
          <w:tcPr>
            <w:tcW w:w="4428" w:type="dxa"/>
            <w:vAlign w:val="center"/>
          </w:tcPr>
          <w:p w14:paraId="418E19EE" w14:textId="77777777" w:rsidR="0007555D" w:rsidRPr="00C56257" w:rsidRDefault="0007555D" w:rsidP="00F100E1">
            <w:pPr>
              <w:spacing w:after="160" w:line="259" w:lineRule="auto"/>
              <w:jc w:val="both"/>
              <w:rPr>
                <w:bCs/>
                <w:color w:val="000000"/>
              </w:rPr>
            </w:pPr>
            <w:r w:rsidRPr="00C56257">
              <w:rPr>
                <w:bCs/>
                <w:color w:val="000000"/>
              </w:rPr>
              <w:t>9.5. Lemnul mort</w:t>
            </w:r>
          </w:p>
        </w:tc>
        <w:tc>
          <w:tcPr>
            <w:tcW w:w="4027" w:type="dxa"/>
            <w:vAlign w:val="center"/>
          </w:tcPr>
          <w:p w14:paraId="03859EB3" w14:textId="77777777" w:rsidR="0007555D" w:rsidRPr="00C56257" w:rsidRDefault="0007555D" w:rsidP="00F100E1">
            <w:pPr>
              <w:spacing w:after="160" w:line="259" w:lineRule="auto"/>
              <w:jc w:val="both"/>
              <w:rPr>
                <w:bCs/>
                <w:color w:val="000000"/>
              </w:rPr>
            </w:pPr>
          </w:p>
        </w:tc>
      </w:tr>
      <w:tr w:rsidR="0007555D" w:rsidRPr="00C56257" w14:paraId="26710421" w14:textId="77777777" w:rsidTr="0007555D">
        <w:trPr>
          <w:trHeight w:val="360"/>
        </w:trPr>
        <w:tc>
          <w:tcPr>
            <w:tcW w:w="4428" w:type="dxa"/>
            <w:vAlign w:val="center"/>
          </w:tcPr>
          <w:p w14:paraId="21288B76" w14:textId="77777777" w:rsidR="0007555D" w:rsidRPr="00C56257" w:rsidRDefault="0007555D" w:rsidP="00F100E1">
            <w:pPr>
              <w:spacing w:after="160" w:line="259" w:lineRule="auto"/>
              <w:jc w:val="both"/>
              <w:rPr>
                <w:bCs/>
                <w:color w:val="000000"/>
              </w:rPr>
            </w:pPr>
            <w:r w:rsidRPr="00C56257">
              <w:rPr>
                <w:bCs/>
                <w:color w:val="000000"/>
              </w:rPr>
              <w:t xml:space="preserve">   9.5.1.Prezenţa lemnului mort căzut la pământ</w:t>
            </w:r>
          </w:p>
        </w:tc>
        <w:tc>
          <w:tcPr>
            <w:tcW w:w="4027" w:type="dxa"/>
            <w:vAlign w:val="center"/>
          </w:tcPr>
          <w:p w14:paraId="2B7AF0B4" w14:textId="77777777" w:rsidR="0007555D" w:rsidRPr="00C56257" w:rsidRDefault="0007555D" w:rsidP="00F100E1">
            <w:pPr>
              <w:spacing w:after="160" w:line="259" w:lineRule="auto"/>
              <w:jc w:val="both"/>
              <w:rPr>
                <w:bCs/>
                <w:color w:val="000000"/>
              </w:rPr>
            </w:pPr>
          </w:p>
        </w:tc>
      </w:tr>
      <w:tr w:rsidR="0007555D" w:rsidRPr="00C56257" w14:paraId="761D262F" w14:textId="77777777" w:rsidTr="0007555D">
        <w:trPr>
          <w:trHeight w:val="360"/>
        </w:trPr>
        <w:tc>
          <w:tcPr>
            <w:tcW w:w="4428" w:type="dxa"/>
            <w:vAlign w:val="center"/>
          </w:tcPr>
          <w:p w14:paraId="58B83E8D" w14:textId="77777777" w:rsidR="0007555D" w:rsidRPr="00C56257" w:rsidRDefault="0007555D" w:rsidP="00F100E1">
            <w:pPr>
              <w:spacing w:after="160" w:line="259" w:lineRule="auto"/>
              <w:jc w:val="both"/>
              <w:rPr>
                <w:bCs/>
                <w:color w:val="000000"/>
              </w:rPr>
            </w:pPr>
            <w:r w:rsidRPr="00C56257">
              <w:rPr>
                <w:bCs/>
                <w:color w:val="000000"/>
              </w:rPr>
              <w:t xml:space="preserve">   9.5.2. Prezenţa cioatelor</w:t>
            </w:r>
          </w:p>
        </w:tc>
        <w:tc>
          <w:tcPr>
            <w:tcW w:w="4027" w:type="dxa"/>
            <w:vAlign w:val="center"/>
          </w:tcPr>
          <w:p w14:paraId="2F449BE3" w14:textId="77777777" w:rsidR="0007555D" w:rsidRPr="00C56257" w:rsidRDefault="0007555D" w:rsidP="00F100E1">
            <w:pPr>
              <w:spacing w:after="160" w:line="259" w:lineRule="auto"/>
              <w:jc w:val="both"/>
              <w:rPr>
                <w:bCs/>
                <w:color w:val="000000"/>
              </w:rPr>
            </w:pPr>
          </w:p>
        </w:tc>
      </w:tr>
      <w:tr w:rsidR="0007555D" w:rsidRPr="00C56257" w14:paraId="361F2ABB" w14:textId="77777777" w:rsidTr="0007555D">
        <w:trPr>
          <w:trHeight w:val="360"/>
        </w:trPr>
        <w:tc>
          <w:tcPr>
            <w:tcW w:w="4428" w:type="dxa"/>
            <w:vAlign w:val="center"/>
          </w:tcPr>
          <w:p w14:paraId="574EC74B" w14:textId="77777777" w:rsidR="0007555D" w:rsidRPr="00C56257" w:rsidRDefault="0007555D" w:rsidP="00F100E1">
            <w:pPr>
              <w:spacing w:after="160" w:line="259" w:lineRule="auto"/>
              <w:jc w:val="both"/>
              <w:rPr>
                <w:bCs/>
                <w:color w:val="000000"/>
              </w:rPr>
            </w:pPr>
            <w:r w:rsidRPr="00C56257">
              <w:rPr>
                <w:bCs/>
                <w:color w:val="000000"/>
              </w:rPr>
              <w:t xml:space="preserve">   9.5.3. Prezenţa grămezilor de crăci</w:t>
            </w:r>
          </w:p>
        </w:tc>
        <w:tc>
          <w:tcPr>
            <w:tcW w:w="4027" w:type="dxa"/>
            <w:vAlign w:val="center"/>
          </w:tcPr>
          <w:p w14:paraId="04406995" w14:textId="77777777" w:rsidR="0007555D" w:rsidRPr="00C56257" w:rsidRDefault="0007555D" w:rsidP="00F100E1">
            <w:pPr>
              <w:spacing w:after="160" w:line="259" w:lineRule="auto"/>
              <w:jc w:val="both"/>
              <w:rPr>
                <w:bCs/>
                <w:color w:val="000000"/>
              </w:rPr>
            </w:pPr>
          </w:p>
        </w:tc>
      </w:tr>
      <w:tr w:rsidR="0007555D" w:rsidRPr="00C56257" w14:paraId="74EF5D8E" w14:textId="77777777" w:rsidTr="0007555D">
        <w:trPr>
          <w:trHeight w:val="360"/>
        </w:trPr>
        <w:tc>
          <w:tcPr>
            <w:tcW w:w="4428" w:type="dxa"/>
            <w:vAlign w:val="center"/>
          </w:tcPr>
          <w:p w14:paraId="64B72B36" w14:textId="77777777" w:rsidR="0007555D" w:rsidRPr="00C56257" w:rsidRDefault="0007555D" w:rsidP="00F100E1">
            <w:pPr>
              <w:spacing w:after="160" w:line="259" w:lineRule="auto"/>
              <w:jc w:val="both"/>
              <w:rPr>
                <w:bCs/>
                <w:color w:val="000000"/>
              </w:rPr>
            </w:pPr>
            <w:r w:rsidRPr="00C56257">
              <w:rPr>
                <w:bCs/>
                <w:color w:val="000000"/>
              </w:rPr>
              <w:t>9.6. Vătămări produse arborilor de  factorii abiotici</w:t>
            </w:r>
          </w:p>
        </w:tc>
        <w:tc>
          <w:tcPr>
            <w:tcW w:w="4027" w:type="dxa"/>
            <w:vAlign w:val="center"/>
          </w:tcPr>
          <w:p w14:paraId="6201AA4E" w14:textId="77777777" w:rsidR="0007555D" w:rsidRPr="00C56257" w:rsidRDefault="0007555D" w:rsidP="00F100E1">
            <w:pPr>
              <w:spacing w:after="160" w:line="259" w:lineRule="auto"/>
              <w:jc w:val="both"/>
              <w:rPr>
                <w:bCs/>
                <w:color w:val="000000"/>
              </w:rPr>
            </w:pPr>
          </w:p>
        </w:tc>
      </w:tr>
      <w:tr w:rsidR="0007555D" w:rsidRPr="00C56257" w14:paraId="74A24F42" w14:textId="77777777" w:rsidTr="0007555D">
        <w:trPr>
          <w:trHeight w:val="360"/>
        </w:trPr>
        <w:tc>
          <w:tcPr>
            <w:tcW w:w="4428" w:type="dxa"/>
            <w:vAlign w:val="center"/>
          </w:tcPr>
          <w:p w14:paraId="1DE50E05" w14:textId="77777777" w:rsidR="0007555D" w:rsidRPr="00C56257" w:rsidRDefault="0007555D" w:rsidP="00F100E1">
            <w:pPr>
              <w:spacing w:after="160" w:line="259" w:lineRule="auto"/>
              <w:jc w:val="both"/>
              <w:rPr>
                <w:bCs/>
                <w:color w:val="000000"/>
              </w:rPr>
            </w:pPr>
            <w:r w:rsidRPr="00C56257">
              <w:rPr>
                <w:bCs/>
                <w:color w:val="000000"/>
              </w:rPr>
              <w:t xml:space="preserve">   9.6.1. Tip vătămare</w:t>
            </w:r>
          </w:p>
        </w:tc>
        <w:tc>
          <w:tcPr>
            <w:tcW w:w="4027" w:type="dxa"/>
            <w:vAlign w:val="center"/>
          </w:tcPr>
          <w:p w14:paraId="77578BFD" w14:textId="77777777" w:rsidR="0007555D" w:rsidRPr="00C56257" w:rsidRDefault="0007555D" w:rsidP="00F100E1">
            <w:pPr>
              <w:spacing w:after="160" w:line="259" w:lineRule="auto"/>
              <w:jc w:val="both"/>
              <w:rPr>
                <w:bCs/>
                <w:color w:val="000000"/>
              </w:rPr>
            </w:pPr>
          </w:p>
        </w:tc>
      </w:tr>
      <w:tr w:rsidR="0007555D" w:rsidRPr="00C56257" w14:paraId="69168EDD" w14:textId="77777777" w:rsidTr="0007555D">
        <w:trPr>
          <w:trHeight w:val="360"/>
        </w:trPr>
        <w:tc>
          <w:tcPr>
            <w:tcW w:w="4428" w:type="dxa"/>
            <w:vAlign w:val="center"/>
          </w:tcPr>
          <w:p w14:paraId="11C79BFA" w14:textId="77777777" w:rsidR="0007555D" w:rsidRPr="00C56257" w:rsidRDefault="0007555D" w:rsidP="00F100E1">
            <w:pPr>
              <w:spacing w:after="160" w:line="259" w:lineRule="auto"/>
              <w:jc w:val="both"/>
              <w:rPr>
                <w:bCs/>
                <w:color w:val="000000"/>
              </w:rPr>
            </w:pPr>
            <w:r w:rsidRPr="00C56257">
              <w:rPr>
                <w:bCs/>
                <w:color w:val="000000"/>
              </w:rPr>
              <w:t xml:space="preserve">   9.6.2. Grad / intensitate vătămare</w:t>
            </w:r>
          </w:p>
        </w:tc>
        <w:tc>
          <w:tcPr>
            <w:tcW w:w="4027" w:type="dxa"/>
            <w:vAlign w:val="center"/>
          </w:tcPr>
          <w:p w14:paraId="31B7892F" w14:textId="77777777" w:rsidR="0007555D" w:rsidRPr="00C56257" w:rsidRDefault="0007555D" w:rsidP="00F100E1">
            <w:pPr>
              <w:spacing w:after="160" w:line="259" w:lineRule="auto"/>
              <w:jc w:val="both"/>
              <w:rPr>
                <w:bCs/>
                <w:color w:val="000000"/>
              </w:rPr>
            </w:pPr>
          </w:p>
        </w:tc>
      </w:tr>
      <w:tr w:rsidR="0007555D" w:rsidRPr="00C56257" w14:paraId="759E43F8" w14:textId="77777777" w:rsidTr="0007555D">
        <w:trPr>
          <w:trHeight w:val="360"/>
        </w:trPr>
        <w:tc>
          <w:tcPr>
            <w:tcW w:w="4428" w:type="dxa"/>
            <w:vAlign w:val="center"/>
          </w:tcPr>
          <w:p w14:paraId="2173965E" w14:textId="77777777" w:rsidR="0007555D" w:rsidRPr="00C56257" w:rsidRDefault="0007555D" w:rsidP="00F100E1">
            <w:pPr>
              <w:spacing w:after="160" w:line="259" w:lineRule="auto"/>
              <w:jc w:val="both"/>
              <w:rPr>
                <w:bCs/>
                <w:color w:val="000000"/>
              </w:rPr>
            </w:pPr>
            <w:r w:rsidRPr="00C56257">
              <w:rPr>
                <w:bCs/>
                <w:color w:val="000000"/>
              </w:rPr>
              <w:t xml:space="preserve">   9.6.3. Vechime vătămare</w:t>
            </w:r>
          </w:p>
        </w:tc>
        <w:tc>
          <w:tcPr>
            <w:tcW w:w="4027" w:type="dxa"/>
            <w:vAlign w:val="center"/>
          </w:tcPr>
          <w:p w14:paraId="6A5C6512" w14:textId="77777777" w:rsidR="0007555D" w:rsidRPr="00C56257" w:rsidRDefault="0007555D" w:rsidP="00F100E1">
            <w:pPr>
              <w:spacing w:after="160" w:line="259" w:lineRule="auto"/>
              <w:jc w:val="both"/>
              <w:rPr>
                <w:bCs/>
                <w:color w:val="000000"/>
              </w:rPr>
            </w:pPr>
          </w:p>
        </w:tc>
      </w:tr>
      <w:tr w:rsidR="0007555D" w:rsidRPr="00C56257" w14:paraId="076C8815" w14:textId="77777777" w:rsidTr="0007555D">
        <w:trPr>
          <w:trHeight w:val="360"/>
        </w:trPr>
        <w:tc>
          <w:tcPr>
            <w:tcW w:w="4428" w:type="dxa"/>
            <w:vAlign w:val="center"/>
          </w:tcPr>
          <w:p w14:paraId="53A27887" w14:textId="77777777" w:rsidR="0007555D" w:rsidRPr="00C56257" w:rsidRDefault="0007555D" w:rsidP="00F100E1">
            <w:pPr>
              <w:spacing w:after="160" w:line="259" w:lineRule="auto"/>
              <w:jc w:val="both"/>
              <w:rPr>
                <w:bCs/>
                <w:color w:val="000000"/>
              </w:rPr>
            </w:pPr>
            <w:r w:rsidRPr="00C56257">
              <w:rPr>
                <w:bCs/>
                <w:color w:val="000000"/>
              </w:rPr>
              <w:t>9.7. Vătămări produse arborilor de factorii biotici</w:t>
            </w:r>
          </w:p>
        </w:tc>
        <w:tc>
          <w:tcPr>
            <w:tcW w:w="4027" w:type="dxa"/>
            <w:vAlign w:val="center"/>
          </w:tcPr>
          <w:p w14:paraId="1AF6C191" w14:textId="77777777" w:rsidR="0007555D" w:rsidRPr="00C56257" w:rsidRDefault="0007555D" w:rsidP="00F100E1">
            <w:pPr>
              <w:spacing w:after="160" w:line="259" w:lineRule="auto"/>
              <w:jc w:val="both"/>
              <w:rPr>
                <w:bCs/>
                <w:color w:val="000000"/>
              </w:rPr>
            </w:pPr>
          </w:p>
        </w:tc>
      </w:tr>
      <w:tr w:rsidR="0007555D" w:rsidRPr="00C56257" w14:paraId="45EE930C" w14:textId="77777777" w:rsidTr="0007555D">
        <w:trPr>
          <w:trHeight w:val="360"/>
        </w:trPr>
        <w:tc>
          <w:tcPr>
            <w:tcW w:w="4428" w:type="dxa"/>
            <w:vAlign w:val="center"/>
          </w:tcPr>
          <w:p w14:paraId="69AD4E24" w14:textId="77777777" w:rsidR="0007555D" w:rsidRPr="00C56257" w:rsidRDefault="0007555D" w:rsidP="00F100E1">
            <w:pPr>
              <w:spacing w:after="160" w:line="259" w:lineRule="auto"/>
              <w:jc w:val="both"/>
              <w:rPr>
                <w:bCs/>
                <w:color w:val="000000"/>
              </w:rPr>
            </w:pPr>
            <w:r w:rsidRPr="00C56257">
              <w:rPr>
                <w:bCs/>
                <w:color w:val="000000"/>
              </w:rPr>
              <w:t xml:space="preserve">   9.7.1. Tip vătămare</w:t>
            </w:r>
          </w:p>
        </w:tc>
        <w:tc>
          <w:tcPr>
            <w:tcW w:w="4027" w:type="dxa"/>
            <w:vAlign w:val="center"/>
          </w:tcPr>
          <w:p w14:paraId="389BA3FA" w14:textId="77777777" w:rsidR="0007555D" w:rsidRPr="00C56257" w:rsidRDefault="0007555D" w:rsidP="00F100E1">
            <w:pPr>
              <w:spacing w:after="160" w:line="259" w:lineRule="auto"/>
              <w:jc w:val="both"/>
              <w:rPr>
                <w:bCs/>
                <w:color w:val="000000"/>
              </w:rPr>
            </w:pPr>
          </w:p>
        </w:tc>
      </w:tr>
      <w:tr w:rsidR="0007555D" w:rsidRPr="00C56257" w14:paraId="3F6C88CC" w14:textId="77777777" w:rsidTr="0007555D">
        <w:trPr>
          <w:trHeight w:val="360"/>
        </w:trPr>
        <w:tc>
          <w:tcPr>
            <w:tcW w:w="4428" w:type="dxa"/>
            <w:vAlign w:val="center"/>
          </w:tcPr>
          <w:p w14:paraId="6C8C1C68" w14:textId="77777777" w:rsidR="0007555D" w:rsidRPr="00C56257" w:rsidRDefault="0007555D" w:rsidP="00F100E1">
            <w:pPr>
              <w:spacing w:after="160" w:line="259" w:lineRule="auto"/>
              <w:jc w:val="both"/>
              <w:rPr>
                <w:bCs/>
                <w:color w:val="000000"/>
              </w:rPr>
            </w:pPr>
            <w:r w:rsidRPr="00C56257">
              <w:rPr>
                <w:bCs/>
                <w:color w:val="000000"/>
              </w:rPr>
              <w:t xml:space="preserve">   9.7.2. Grad / intensitate vătămare</w:t>
            </w:r>
          </w:p>
        </w:tc>
        <w:tc>
          <w:tcPr>
            <w:tcW w:w="4027" w:type="dxa"/>
            <w:vAlign w:val="center"/>
          </w:tcPr>
          <w:p w14:paraId="562AB4F2" w14:textId="77777777" w:rsidR="0007555D" w:rsidRPr="00C56257" w:rsidRDefault="0007555D" w:rsidP="00F100E1">
            <w:pPr>
              <w:spacing w:after="160" w:line="259" w:lineRule="auto"/>
              <w:jc w:val="both"/>
              <w:rPr>
                <w:bCs/>
                <w:color w:val="000000"/>
              </w:rPr>
            </w:pPr>
          </w:p>
        </w:tc>
      </w:tr>
      <w:tr w:rsidR="0007555D" w:rsidRPr="00C56257" w14:paraId="0CC2FF6F" w14:textId="77777777" w:rsidTr="0007555D">
        <w:trPr>
          <w:trHeight w:val="360"/>
        </w:trPr>
        <w:tc>
          <w:tcPr>
            <w:tcW w:w="4428" w:type="dxa"/>
            <w:vAlign w:val="center"/>
          </w:tcPr>
          <w:p w14:paraId="41C8CEA1" w14:textId="77777777" w:rsidR="0007555D" w:rsidRPr="00C56257" w:rsidRDefault="0007555D" w:rsidP="00F100E1">
            <w:pPr>
              <w:spacing w:after="160" w:line="259" w:lineRule="auto"/>
              <w:jc w:val="both"/>
              <w:rPr>
                <w:bCs/>
                <w:color w:val="000000"/>
              </w:rPr>
            </w:pPr>
            <w:r w:rsidRPr="00C56257">
              <w:rPr>
                <w:bCs/>
                <w:color w:val="000000"/>
              </w:rPr>
              <w:t xml:space="preserve">   9.7.3.Vechime vătămare</w:t>
            </w:r>
          </w:p>
        </w:tc>
        <w:tc>
          <w:tcPr>
            <w:tcW w:w="4027" w:type="dxa"/>
            <w:vAlign w:val="center"/>
          </w:tcPr>
          <w:p w14:paraId="4FABCC21" w14:textId="77777777" w:rsidR="0007555D" w:rsidRPr="00C56257" w:rsidRDefault="0007555D" w:rsidP="00F100E1">
            <w:pPr>
              <w:spacing w:after="160" w:line="259" w:lineRule="auto"/>
              <w:jc w:val="both"/>
              <w:rPr>
                <w:bCs/>
                <w:color w:val="000000"/>
              </w:rPr>
            </w:pPr>
          </w:p>
        </w:tc>
      </w:tr>
      <w:tr w:rsidR="0007555D" w:rsidRPr="00C56257" w14:paraId="6DBC129C" w14:textId="77777777" w:rsidTr="0007555D">
        <w:trPr>
          <w:trHeight w:val="360"/>
        </w:trPr>
        <w:tc>
          <w:tcPr>
            <w:tcW w:w="4428" w:type="dxa"/>
            <w:vAlign w:val="center"/>
          </w:tcPr>
          <w:p w14:paraId="2FCDF8F3" w14:textId="77777777" w:rsidR="0007555D" w:rsidRPr="00C56257" w:rsidRDefault="0007555D" w:rsidP="00F100E1">
            <w:pPr>
              <w:spacing w:after="160" w:line="259" w:lineRule="auto"/>
              <w:jc w:val="both"/>
              <w:rPr>
                <w:bCs/>
                <w:color w:val="000000"/>
              </w:rPr>
            </w:pPr>
            <w:r w:rsidRPr="00C56257">
              <w:rPr>
                <w:bCs/>
                <w:color w:val="000000"/>
              </w:rPr>
              <w:t>9.8. Vătămări produse regenerării (stratului puieţilor)</w:t>
            </w:r>
          </w:p>
        </w:tc>
        <w:tc>
          <w:tcPr>
            <w:tcW w:w="4027" w:type="dxa"/>
            <w:vAlign w:val="center"/>
          </w:tcPr>
          <w:p w14:paraId="0BD461E4" w14:textId="77777777" w:rsidR="0007555D" w:rsidRPr="00C56257" w:rsidRDefault="0007555D" w:rsidP="00F100E1">
            <w:pPr>
              <w:spacing w:after="160" w:line="259" w:lineRule="auto"/>
              <w:jc w:val="both"/>
              <w:rPr>
                <w:bCs/>
                <w:color w:val="000000"/>
              </w:rPr>
            </w:pPr>
          </w:p>
        </w:tc>
      </w:tr>
      <w:tr w:rsidR="0007555D" w:rsidRPr="00C56257" w14:paraId="1AEA1C59" w14:textId="77777777" w:rsidTr="0007555D">
        <w:trPr>
          <w:trHeight w:val="360"/>
        </w:trPr>
        <w:tc>
          <w:tcPr>
            <w:tcW w:w="4428" w:type="dxa"/>
            <w:vAlign w:val="center"/>
          </w:tcPr>
          <w:p w14:paraId="6322E002" w14:textId="77777777" w:rsidR="0007555D" w:rsidRPr="00C56257" w:rsidRDefault="0007555D" w:rsidP="00F100E1">
            <w:pPr>
              <w:spacing w:after="160" w:line="259" w:lineRule="auto"/>
              <w:jc w:val="both"/>
              <w:rPr>
                <w:bCs/>
                <w:color w:val="000000"/>
              </w:rPr>
            </w:pPr>
            <w:r w:rsidRPr="00C56257">
              <w:rPr>
                <w:bCs/>
                <w:color w:val="000000"/>
              </w:rPr>
              <w:t xml:space="preserve">   9.8.1. Vătămări</w:t>
            </w:r>
          </w:p>
        </w:tc>
        <w:tc>
          <w:tcPr>
            <w:tcW w:w="4027" w:type="dxa"/>
            <w:vAlign w:val="center"/>
          </w:tcPr>
          <w:p w14:paraId="4BF897F3" w14:textId="77777777" w:rsidR="0007555D" w:rsidRPr="00C56257" w:rsidRDefault="0007555D" w:rsidP="00F100E1">
            <w:pPr>
              <w:spacing w:after="160" w:line="259" w:lineRule="auto"/>
              <w:jc w:val="both"/>
              <w:rPr>
                <w:bCs/>
                <w:color w:val="000000"/>
              </w:rPr>
            </w:pPr>
          </w:p>
        </w:tc>
      </w:tr>
      <w:tr w:rsidR="0007555D" w:rsidRPr="00C56257" w14:paraId="58C1AFAF" w14:textId="77777777" w:rsidTr="0007555D">
        <w:trPr>
          <w:trHeight w:val="360"/>
        </w:trPr>
        <w:tc>
          <w:tcPr>
            <w:tcW w:w="4428" w:type="dxa"/>
            <w:vAlign w:val="center"/>
          </w:tcPr>
          <w:p w14:paraId="224E385C" w14:textId="77777777" w:rsidR="0007555D" w:rsidRPr="00C56257" w:rsidRDefault="0007555D" w:rsidP="00F100E1">
            <w:pPr>
              <w:spacing w:after="160" w:line="259" w:lineRule="auto"/>
              <w:jc w:val="both"/>
              <w:rPr>
                <w:bCs/>
                <w:color w:val="000000"/>
              </w:rPr>
            </w:pPr>
            <w:r w:rsidRPr="00C56257">
              <w:rPr>
                <w:bCs/>
                <w:color w:val="000000"/>
              </w:rPr>
              <w:t xml:space="preserve">   9.8.2. Procent puieţi vătămaţi (%)</w:t>
            </w:r>
          </w:p>
        </w:tc>
        <w:tc>
          <w:tcPr>
            <w:tcW w:w="4027" w:type="dxa"/>
            <w:vAlign w:val="center"/>
          </w:tcPr>
          <w:p w14:paraId="2DD4D37A" w14:textId="77777777" w:rsidR="0007555D" w:rsidRPr="00C56257" w:rsidRDefault="0007555D" w:rsidP="00F100E1">
            <w:pPr>
              <w:spacing w:after="160" w:line="259" w:lineRule="auto"/>
              <w:jc w:val="both"/>
              <w:rPr>
                <w:bCs/>
                <w:color w:val="000000"/>
              </w:rPr>
            </w:pPr>
          </w:p>
        </w:tc>
      </w:tr>
      <w:tr w:rsidR="0007555D" w:rsidRPr="00C56257" w14:paraId="4E8EAC76" w14:textId="77777777" w:rsidTr="0007555D">
        <w:trPr>
          <w:trHeight w:val="360"/>
        </w:trPr>
        <w:tc>
          <w:tcPr>
            <w:tcW w:w="4428" w:type="dxa"/>
            <w:vAlign w:val="center"/>
          </w:tcPr>
          <w:p w14:paraId="197DA78A" w14:textId="77777777" w:rsidR="0007555D" w:rsidRPr="00C56257" w:rsidRDefault="0007555D" w:rsidP="00F100E1">
            <w:pPr>
              <w:spacing w:after="160" w:line="259" w:lineRule="auto"/>
              <w:jc w:val="both"/>
              <w:rPr>
                <w:bCs/>
                <w:color w:val="000000"/>
              </w:rPr>
            </w:pPr>
            <w:r w:rsidRPr="00C56257">
              <w:rPr>
                <w:bCs/>
                <w:color w:val="000000"/>
              </w:rPr>
              <w:t xml:space="preserve">   9.8.3. Procent puieţi cu stare sanitară precară (%)</w:t>
            </w:r>
          </w:p>
        </w:tc>
        <w:tc>
          <w:tcPr>
            <w:tcW w:w="4027" w:type="dxa"/>
            <w:vAlign w:val="center"/>
          </w:tcPr>
          <w:p w14:paraId="0491203E" w14:textId="77777777" w:rsidR="0007555D" w:rsidRPr="00C56257" w:rsidRDefault="0007555D" w:rsidP="00F100E1">
            <w:pPr>
              <w:spacing w:after="160" w:line="259" w:lineRule="auto"/>
              <w:jc w:val="both"/>
              <w:rPr>
                <w:bCs/>
                <w:color w:val="000000"/>
              </w:rPr>
            </w:pPr>
          </w:p>
        </w:tc>
      </w:tr>
      <w:tr w:rsidR="0007555D" w:rsidRPr="00C56257" w14:paraId="00EEC8BD" w14:textId="77777777" w:rsidTr="0007555D">
        <w:trPr>
          <w:trHeight w:val="360"/>
        </w:trPr>
        <w:tc>
          <w:tcPr>
            <w:tcW w:w="4428" w:type="dxa"/>
            <w:vAlign w:val="center"/>
          </w:tcPr>
          <w:p w14:paraId="527AFEB6" w14:textId="77777777" w:rsidR="0007555D" w:rsidRPr="00C56257" w:rsidRDefault="0007555D" w:rsidP="00F100E1">
            <w:pPr>
              <w:spacing w:after="160" w:line="259" w:lineRule="auto"/>
              <w:jc w:val="both"/>
              <w:rPr>
                <w:bCs/>
                <w:color w:val="000000"/>
              </w:rPr>
            </w:pPr>
            <w:r w:rsidRPr="00C56257">
              <w:rPr>
                <w:bCs/>
                <w:color w:val="000000"/>
              </w:rPr>
              <w:lastRenderedPageBreak/>
              <w:t>9.9. Păşunatul</w:t>
            </w:r>
          </w:p>
        </w:tc>
        <w:tc>
          <w:tcPr>
            <w:tcW w:w="4027" w:type="dxa"/>
            <w:vAlign w:val="center"/>
          </w:tcPr>
          <w:p w14:paraId="538A6FC5" w14:textId="77777777" w:rsidR="0007555D" w:rsidRPr="00C56257" w:rsidRDefault="0007555D" w:rsidP="00F100E1">
            <w:pPr>
              <w:spacing w:after="160" w:line="259" w:lineRule="auto"/>
              <w:jc w:val="both"/>
              <w:rPr>
                <w:bCs/>
                <w:color w:val="000000"/>
              </w:rPr>
            </w:pPr>
          </w:p>
        </w:tc>
      </w:tr>
      <w:tr w:rsidR="0007555D" w:rsidRPr="00C56257" w14:paraId="18C55F86" w14:textId="77777777" w:rsidTr="0007555D">
        <w:trPr>
          <w:trHeight w:val="360"/>
        </w:trPr>
        <w:tc>
          <w:tcPr>
            <w:tcW w:w="4428" w:type="dxa"/>
            <w:vAlign w:val="center"/>
          </w:tcPr>
          <w:p w14:paraId="6397AAEA" w14:textId="77777777" w:rsidR="0007555D" w:rsidRPr="00C56257" w:rsidRDefault="0007555D" w:rsidP="00F100E1">
            <w:pPr>
              <w:spacing w:after="160" w:line="259" w:lineRule="auto"/>
              <w:jc w:val="both"/>
              <w:rPr>
                <w:bCs/>
                <w:color w:val="000000"/>
              </w:rPr>
            </w:pPr>
            <w:r w:rsidRPr="00C56257">
              <w:rPr>
                <w:bCs/>
                <w:color w:val="000000"/>
              </w:rPr>
              <w:t xml:space="preserve">   9.9.1. Felul păşunatului</w:t>
            </w:r>
          </w:p>
        </w:tc>
        <w:tc>
          <w:tcPr>
            <w:tcW w:w="4027" w:type="dxa"/>
            <w:vAlign w:val="center"/>
          </w:tcPr>
          <w:p w14:paraId="4C84ABF3" w14:textId="77777777" w:rsidR="0007555D" w:rsidRPr="00C56257" w:rsidRDefault="0007555D" w:rsidP="00F100E1">
            <w:pPr>
              <w:spacing w:after="160" w:line="259" w:lineRule="auto"/>
              <w:jc w:val="both"/>
              <w:rPr>
                <w:bCs/>
                <w:color w:val="000000"/>
              </w:rPr>
            </w:pPr>
          </w:p>
        </w:tc>
      </w:tr>
      <w:tr w:rsidR="0007555D" w:rsidRPr="00C56257" w14:paraId="02E29175" w14:textId="77777777" w:rsidTr="0007555D">
        <w:trPr>
          <w:trHeight w:val="360"/>
        </w:trPr>
        <w:tc>
          <w:tcPr>
            <w:tcW w:w="4428" w:type="dxa"/>
            <w:vAlign w:val="center"/>
          </w:tcPr>
          <w:p w14:paraId="66EE4DC7" w14:textId="77777777" w:rsidR="0007555D" w:rsidRPr="00C56257" w:rsidRDefault="0007555D" w:rsidP="00F100E1">
            <w:pPr>
              <w:spacing w:after="160" w:line="259" w:lineRule="auto"/>
              <w:jc w:val="both"/>
              <w:rPr>
                <w:bCs/>
                <w:color w:val="000000"/>
              </w:rPr>
            </w:pPr>
            <w:r w:rsidRPr="00C56257">
              <w:rPr>
                <w:bCs/>
                <w:color w:val="000000"/>
              </w:rPr>
              <w:t xml:space="preserve">   9.9.2. Intensitatea păşunatului</w:t>
            </w:r>
          </w:p>
        </w:tc>
        <w:tc>
          <w:tcPr>
            <w:tcW w:w="4027" w:type="dxa"/>
            <w:vAlign w:val="center"/>
          </w:tcPr>
          <w:p w14:paraId="5F2AAAAD" w14:textId="77777777" w:rsidR="0007555D" w:rsidRPr="00C56257" w:rsidRDefault="0007555D" w:rsidP="00F100E1">
            <w:pPr>
              <w:spacing w:after="160" w:line="259" w:lineRule="auto"/>
              <w:jc w:val="both"/>
              <w:rPr>
                <w:bCs/>
                <w:color w:val="000000"/>
              </w:rPr>
            </w:pPr>
          </w:p>
        </w:tc>
      </w:tr>
    </w:tbl>
    <w:p w14:paraId="48F2EA7A" w14:textId="77777777" w:rsidR="0007555D" w:rsidRPr="00C56257" w:rsidRDefault="0007555D" w:rsidP="00F100E1">
      <w:pPr>
        <w:spacing w:after="160" w:line="259" w:lineRule="auto"/>
        <w:jc w:val="both"/>
        <w:rPr>
          <w:b/>
          <w:color w:val="000000"/>
        </w:rPr>
      </w:pPr>
    </w:p>
    <w:p w14:paraId="2A1A3446" w14:textId="77777777" w:rsidR="0007555D" w:rsidRPr="00C56257" w:rsidRDefault="0007555D" w:rsidP="008E33FD">
      <w:pPr>
        <w:spacing w:after="160" w:line="259" w:lineRule="auto"/>
        <w:jc w:val="both"/>
        <w:rPr>
          <w:bCs/>
          <w:color w:val="000000"/>
        </w:rPr>
      </w:pPr>
      <w:r w:rsidRPr="00C56257">
        <w:rPr>
          <w:b/>
          <w:color w:val="000000"/>
        </w:rPr>
        <w:t xml:space="preserve">Parametrii evaluați. </w:t>
      </w:r>
      <w:r w:rsidRPr="00C56257">
        <w:rPr>
          <w:bCs/>
          <w:iCs/>
          <w:color w:val="000000"/>
        </w:rPr>
        <w:t xml:space="preserve">Seturile de date colectate vor fi utilizate la estimarea parametrilor descriptivi utilizați în </w:t>
      </w:r>
      <w:r w:rsidRPr="00C56257">
        <w:rPr>
          <w:bCs/>
          <w:color w:val="000000"/>
        </w:rPr>
        <w:t xml:space="preserve">matricea de evaluare generală a stării de conservare a habitatelor forestiere, </w:t>
      </w:r>
      <w:bookmarkStart w:id="54" w:name="_Hlk94623597"/>
      <w:r w:rsidRPr="00C56257">
        <w:rPr>
          <w:bCs/>
          <w:color w:val="000000"/>
        </w:rPr>
        <w:t xml:space="preserve">după cum se prezintă în Tabelul </w:t>
      </w:r>
      <w:bookmarkEnd w:id="54"/>
      <w:r w:rsidRPr="00C56257">
        <w:rPr>
          <w:bCs/>
          <w:color w:val="000000"/>
        </w:rPr>
        <w:t>9.</w:t>
      </w:r>
    </w:p>
    <w:p w14:paraId="4A5425C4" w14:textId="77777777" w:rsidR="0007555D" w:rsidRPr="00C56257" w:rsidRDefault="0007555D" w:rsidP="00F100E1">
      <w:pPr>
        <w:spacing w:after="160" w:line="259" w:lineRule="auto"/>
        <w:jc w:val="both"/>
        <w:rPr>
          <w:bCs/>
          <w:color w:val="000000"/>
        </w:rPr>
      </w:pPr>
      <w:r w:rsidRPr="00C56257">
        <w:rPr>
          <w:bCs/>
          <w:color w:val="000000"/>
        </w:rPr>
        <w:t>Tabelul 9. Tipurile de date colectate din suprafețele de monitorizare utilizate la estimarea parametrilor de evaluare a stării de conservare a habitatelor</w:t>
      </w:r>
    </w:p>
    <w:tbl>
      <w:tblPr>
        <w:tblStyle w:val="TableGrid"/>
        <w:tblW w:w="0" w:type="auto"/>
        <w:tblLook w:val="04A0" w:firstRow="1" w:lastRow="0" w:firstColumn="1" w:lastColumn="0" w:noHBand="0" w:noVBand="1"/>
      </w:tblPr>
      <w:tblGrid>
        <w:gridCol w:w="3794"/>
        <w:gridCol w:w="5782"/>
      </w:tblGrid>
      <w:tr w:rsidR="0007555D" w:rsidRPr="00C56257" w14:paraId="7B7161C0" w14:textId="77777777" w:rsidTr="0007555D">
        <w:tc>
          <w:tcPr>
            <w:tcW w:w="3794" w:type="dxa"/>
            <w:shd w:val="clear" w:color="auto" w:fill="92D050"/>
          </w:tcPr>
          <w:p w14:paraId="19399CDC" w14:textId="77777777" w:rsidR="0007555D" w:rsidRPr="00C56257" w:rsidRDefault="0007555D" w:rsidP="00F100E1">
            <w:pPr>
              <w:spacing w:after="160" w:line="259" w:lineRule="auto"/>
              <w:jc w:val="both"/>
              <w:rPr>
                <w:iCs/>
                <w:color w:val="000000"/>
              </w:rPr>
            </w:pPr>
            <w:r w:rsidRPr="00C56257">
              <w:rPr>
                <w:iCs/>
                <w:color w:val="000000"/>
              </w:rPr>
              <w:t>Parametrul de evaluare a stării de conservare a habitatelor</w:t>
            </w:r>
          </w:p>
        </w:tc>
        <w:tc>
          <w:tcPr>
            <w:tcW w:w="5782" w:type="dxa"/>
            <w:shd w:val="clear" w:color="auto" w:fill="92D050"/>
          </w:tcPr>
          <w:p w14:paraId="5243506E" w14:textId="77777777" w:rsidR="0007555D" w:rsidRPr="00C56257" w:rsidRDefault="0007555D" w:rsidP="00F100E1">
            <w:pPr>
              <w:spacing w:after="160" w:line="259" w:lineRule="auto"/>
              <w:jc w:val="both"/>
              <w:rPr>
                <w:iCs/>
                <w:color w:val="000000"/>
              </w:rPr>
            </w:pPr>
            <w:r w:rsidRPr="00C56257">
              <w:rPr>
                <w:iCs/>
                <w:color w:val="000000"/>
              </w:rPr>
              <w:t>Tipuri de date colectate din suprafețele de monitorizare</w:t>
            </w:r>
          </w:p>
        </w:tc>
      </w:tr>
      <w:tr w:rsidR="0007555D" w:rsidRPr="00C56257" w14:paraId="28CA75A8" w14:textId="77777777" w:rsidTr="0007555D">
        <w:tc>
          <w:tcPr>
            <w:tcW w:w="3794" w:type="dxa"/>
            <w:vMerge w:val="restart"/>
          </w:tcPr>
          <w:p w14:paraId="47C00221" w14:textId="77777777" w:rsidR="0007555D" w:rsidRPr="00C56257" w:rsidRDefault="0007555D" w:rsidP="00F100E1">
            <w:pPr>
              <w:spacing w:after="160" w:line="259" w:lineRule="auto"/>
              <w:jc w:val="both"/>
              <w:rPr>
                <w:iCs/>
                <w:color w:val="000000"/>
              </w:rPr>
            </w:pPr>
            <w:r w:rsidRPr="00C56257">
              <w:rPr>
                <w:iCs/>
                <w:color w:val="000000"/>
              </w:rPr>
              <w:t>Specii tipice</w:t>
            </w:r>
          </w:p>
        </w:tc>
        <w:tc>
          <w:tcPr>
            <w:tcW w:w="5782" w:type="dxa"/>
          </w:tcPr>
          <w:p w14:paraId="2C1E7DBD" w14:textId="77777777" w:rsidR="0007555D" w:rsidRPr="00C56257" w:rsidRDefault="0007555D" w:rsidP="00F100E1">
            <w:pPr>
              <w:spacing w:after="160" w:line="259" w:lineRule="auto"/>
              <w:jc w:val="both"/>
              <w:rPr>
                <w:iCs/>
                <w:color w:val="000000"/>
              </w:rPr>
            </w:pPr>
            <w:r w:rsidRPr="00C56257">
              <w:rPr>
                <w:iCs/>
                <w:color w:val="000000"/>
              </w:rPr>
              <w:t xml:space="preserve">compoziția arboretului </w:t>
            </w:r>
          </w:p>
        </w:tc>
      </w:tr>
      <w:tr w:rsidR="0007555D" w:rsidRPr="00C56257" w14:paraId="25BD00ED" w14:textId="77777777" w:rsidTr="0007555D">
        <w:tc>
          <w:tcPr>
            <w:tcW w:w="3794" w:type="dxa"/>
            <w:vMerge/>
          </w:tcPr>
          <w:p w14:paraId="7A107822" w14:textId="77777777" w:rsidR="0007555D" w:rsidRPr="00C56257" w:rsidRDefault="0007555D" w:rsidP="00F100E1">
            <w:pPr>
              <w:spacing w:after="160" w:line="259" w:lineRule="auto"/>
              <w:jc w:val="both"/>
              <w:rPr>
                <w:iCs/>
                <w:color w:val="000000"/>
              </w:rPr>
            </w:pPr>
          </w:p>
        </w:tc>
        <w:tc>
          <w:tcPr>
            <w:tcW w:w="5782" w:type="dxa"/>
          </w:tcPr>
          <w:p w14:paraId="64DDA2D7" w14:textId="77777777" w:rsidR="0007555D" w:rsidRPr="00C56257" w:rsidRDefault="0007555D" w:rsidP="00F100E1">
            <w:pPr>
              <w:spacing w:after="160" w:line="259" w:lineRule="auto"/>
              <w:jc w:val="both"/>
              <w:rPr>
                <w:iCs/>
                <w:color w:val="000000"/>
              </w:rPr>
            </w:pPr>
            <w:r w:rsidRPr="00C56257">
              <w:rPr>
                <w:iCs/>
                <w:color w:val="000000"/>
              </w:rPr>
              <w:t>compoziția semințișului</w:t>
            </w:r>
          </w:p>
        </w:tc>
      </w:tr>
      <w:tr w:rsidR="0007555D" w:rsidRPr="00C56257" w14:paraId="1720A01B" w14:textId="77777777" w:rsidTr="0007555D">
        <w:tc>
          <w:tcPr>
            <w:tcW w:w="3794" w:type="dxa"/>
            <w:vMerge/>
          </w:tcPr>
          <w:p w14:paraId="5ED95060" w14:textId="77777777" w:rsidR="0007555D" w:rsidRPr="00C56257" w:rsidRDefault="0007555D" w:rsidP="00F100E1">
            <w:pPr>
              <w:spacing w:after="160" w:line="259" w:lineRule="auto"/>
              <w:jc w:val="both"/>
              <w:rPr>
                <w:iCs/>
                <w:color w:val="000000"/>
              </w:rPr>
            </w:pPr>
          </w:p>
        </w:tc>
        <w:tc>
          <w:tcPr>
            <w:tcW w:w="5782" w:type="dxa"/>
          </w:tcPr>
          <w:p w14:paraId="51ED4944" w14:textId="77777777" w:rsidR="0007555D" w:rsidRPr="00C56257" w:rsidRDefault="0007555D" w:rsidP="00F100E1">
            <w:pPr>
              <w:spacing w:after="160" w:line="259" w:lineRule="auto"/>
              <w:jc w:val="both"/>
              <w:rPr>
                <w:iCs/>
                <w:color w:val="000000"/>
              </w:rPr>
            </w:pPr>
            <w:r w:rsidRPr="00C56257">
              <w:rPr>
                <w:iCs/>
                <w:color w:val="000000"/>
              </w:rPr>
              <w:t>gradul de naturalitate al arboretului</w:t>
            </w:r>
          </w:p>
        </w:tc>
      </w:tr>
      <w:tr w:rsidR="0007555D" w:rsidRPr="00C56257" w14:paraId="6666DE20" w14:textId="77777777" w:rsidTr="0007555D">
        <w:tc>
          <w:tcPr>
            <w:tcW w:w="3794" w:type="dxa"/>
            <w:vMerge w:val="restart"/>
          </w:tcPr>
          <w:p w14:paraId="59AADC96" w14:textId="77777777" w:rsidR="0007555D" w:rsidRPr="00C56257" w:rsidRDefault="0007555D" w:rsidP="00F100E1">
            <w:pPr>
              <w:spacing w:after="160" w:line="259" w:lineRule="auto"/>
              <w:jc w:val="both"/>
              <w:rPr>
                <w:iCs/>
                <w:color w:val="000000"/>
              </w:rPr>
            </w:pPr>
            <w:r w:rsidRPr="00C56257">
              <w:rPr>
                <w:iCs/>
                <w:color w:val="000000"/>
              </w:rPr>
              <w:t>Structură și funcții</w:t>
            </w:r>
          </w:p>
        </w:tc>
        <w:tc>
          <w:tcPr>
            <w:tcW w:w="5782" w:type="dxa"/>
          </w:tcPr>
          <w:p w14:paraId="0ADD49DA" w14:textId="77777777" w:rsidR="0007555D" w:rsidRPr="00C56257" w:rsidRDefault="0007555D" w:rsidP="00F100E1">
            <w:pPr>
              <w:spacing w:after="160" w:line="259" w:lineRule="auto"/>
              <w:jc w:val="both"/>
              <w:rPr>
                <w:iCs/>
                <w:color w:val="000000"/>
              </w:rPr>
            </w:pPr>
            <w:r w:rsidRPr="00C56257">
              <w:rPr>
                <w:iCs/>
                <w:color w:val="000000"/>
              </w:rPr>
              <w:t>consistența/gradul de acoperire al arboretului</w:t>
            </w:r>
          </w:p>
        </w:tc>
      </w:tr>
      <w:tr w:rsidR="0007555D" w:rsidRPr="00C56257" w14:paraId="7AC2DEF4" w14:textId="77777777" w:rsidTr="0007555D">
        <w:tc>
          <w:tcPr>
            <w:tcW w:w="3794" w:type="dxa"/>
            <w:vMerge/>
          </w:tcPr>
          <w:p w14:paraId="136458BB" w14:textId="77777777" w:rsidR="0007555D" w:rsidRPr="00C56257" w:rsidRDefault="0007555D" w:rsidP="00F100E1">
            <w:pPr>
              <w:spacing w:after="160" w:line="259" w:lineRule="auto"/>
              <w:jc w:val="both"/>
              <w:rPr>
                <w:iCs/>
                <w:color w:val="000000"/>
              </w:rPr>
            </w:pPr>
          </w:p>
        </w:tc>
        <w:tc>
          <w:tcPr>
            <w:tcW w:w="5782" w:type="dxa"/>
          </w:tcPr>
          <w:p w14:paraId="0BACAF04" w14:textId="77777777" w:rsidR="0007555D" w:rsidRPr="00C56257" w:rsidRDefault="0007555D" w:rsidP="00F100E1">
            <w:pPr>
              <w:spacing w:after="160" w:line="259" w:lineRule="auto"/>
              <w:jc w:val="both"/>
              <w:rPr>
                <w:iCs/>
                <w:color w:val="000000"/>
              </w:rPr>
            </w:pPr>
            <w:r w:rsidRPr="00C56257">
              <w:rPr>
                <w:iCs/>
                <w:color w:val="000000"/>
              </w:rPr>
              <w:t>vârsta arboretului</w:t>
            </w:r>
          </w:p>
        </w:tc>
      </w:tr>
      <w:tr w:rsidR="0007555D" w:rsidRPr="00C56257" w14:paraId="093A587D" w14:textId="77777777" w:rsidTr="0007555D">
        <w:tc>
          <w:tcPr>
            <w:tcW w:w="3794" w:type="dxa"/>
            <w:vMerge/>
          </w:tcPr>
          <w:p w14:paraId="20F020D1" w14:textId="77777777" w:rsidR="0007555D" w:rsidRPr="00C56257" w:rsidRDefault="0007555D" w:rsidP="00F100E1">
            <w:pPr>
              <w:spacing w:after="160" w:line="259" w:lineRule="auto"/>
              <w:jc w:val="both"/>
              <w:rPr>
                <w:iCs/>
                <w:color w:val="000000"/>
              </w:rPr>
            </w:pPr>
          </w:p>
        </w:tc>
        <w:tc>
          <w:tcPr>
            <w:tcW w:w="5782" w:type="dxa"/>
          </w:tcPr>
          <w:p w14:paraId="3727B43D" w14:textId="77777777" w:rsidR="0007555D" w:rsidRPr="00C56257" w:rsidRDefault="0007555D" w:rsidP="00F100E1">
            <w:pPr>
              <w:spacing w:after="160" w:line="259" w:lineRule="auto"/>
              <w:jc w:val="both"/>
              <w:rPr>
                <w:iCs/>
                <w:color w:val="000000"/>
              </w:rPr>
            </w:pPr>
            <w:r w:rsidRPr="00C56257">
              <w:rPr>
                <w:iCs/>
                <w:color w:val="000000"/>
              </w:rPr>
              <w:t>lemnul mort</w:t>
            </w:r>
          </w:p>
        </w:tc>
      </w:tr>
      <w:tr w:rsidR="0007555D" w:rsidRPr="00C56257" w14:paraId="44055BD9" w14:textId="77777777" w:rsidTr="0007555D">
        <w:tc>
          <w:tcPr>
            <w:tcW w:w="3794" w:type="dxa"/>
            <w:vMerge w:val="restart"/>
          </w:tcPr>
          <w:p w14:paraId="1E615C19" w14:textId="77777777" w:rsidR="0007555D" w:rsidRPr="00C56257" w:rsidRDefault="0007555D" w:rsidP="00F100E1">
            <w:pPr>
              <w:spacing w:after="160" w:line="259" w:lineRule="auto"/>
              <w:jc w:val="both"/>
              <w:rPr>
                <w:iCs/>
                <w:color w:val="000000"/>
              </w:rPr>
            </w:pPr>
            <w:r w:rsidRPr="00C56257">
              <w:rPr>
                <w:iCs/>
                <w:color w:val="000000"/>
              </w:rPr>
              <w:t>Presiuni și amenințări</w:t>
            </w:r>
          </w:p>
        </w:tc>
        <w:tc>
          <w:tcPr>
            <w:tcW w:w="5782" w:type="dxa"/>
          </w:tcPr>
          <w:p w14:paraId="1816F6C3" w14:textId="77777777" w:rsidR="0007555D" w:rsidRPr="00C56257" w:rsidRDefault="0007555D" w:rsidP="00F100E1">
            <w:pPr>
              <w:spacing w:after="160" w:line="259" w:lineRule="auto"/>
              <w:jc w:val="both"/>
              <w:rPr>
                <w:iCs/>
                <w:color w:val="000000"/>
              </w:rPr>
            </w:pPr>
            <w:r w:rsidRPr="00C56257">
              <w:rPr>
                <w:iCs/>
                <w:color w:val="000000"/>
              </w:rPr>
              <w:t>vătămări produse de factorii abiotici și biotici</w:t>
            </w:r>
          </w:p>
        </w:tc>
      </w:tr>
      <w:tr w:rsidR="0007555D" w:rsidRPr="00C56257" w14:paraId="5CDB46A1" w14:textId="77777777" w:rsidTr="0007555D">
        <w:tc>
          <w:tcPr>
            <w:tcW w:w="3794" w:type="dxa"/>
            <w:vMerge/>
          </w:tcPr>
          <w:p w14:paraId="1CA178D6" w14:textId="77777777" w:rsidR="0007555D" w:rsidRPr="00C56257" w:rsidRDefault="0007555D" w:rsidP="00F100E1">
            <w:pPr>
              <w:spacing w:after="160" w:line="259" w:lineRule="auto"/>
              <w:jc w:val="both"/>
              <w:rPr>
                <w:iCs/>
                <w:color w:val="000000"/>
              </w:rPr>
            </w:pPr>
          </w:p>
        </w:tc>
        <w:tc>
          <w:tcPr>
            <w:tcW w:w="5782" w:type="dxa"/>
          </w:tcPr>
          <w:p w14:paraId="79A57DE2" w14:textId="77777777" w:rsidR="0007555D" w:rsidRPr="00C56257" w:rsidRDefault="0007555D" w:rsidP="00F100E1">
            <w:pPr>
              <w:spacing w:after="160" w:line="259" w:lineRule="auto"/>
              <w:jc w:val="both"/>
              <w:rPr>
                <w:iCs/>
                <w:color w:val="000000"/>
              </w:rPr>
            </w:pPr>
            <w:r w:rsidRPr="00C56257">
              <w:rPr>
                <w:iCs/>
                <w:color w:val="000000"/>
              </w:rPr>
              <w:t>tip de presiuni</w:t>
            </w:r>
          </w:p>
        </w:tc>
      </w:tr>
      <w:tr w:rsidR="0007555D" w:rsidRPr="00C56257" w14:paraId="22529215" w14:textId="77777777" w:rsidTr="0007555D">
        <w:tc>
          <w:tcPr>
            <w:tcW w:w="3794" w:type="dxa"/>
            <w:vMerge/>
          </w:tcPr>
          <w:p w14:paraId="63316E52" w14:textId="77777777" w:rsidR="0007555D" w:rsidRPr="00C56257" w:rsidRDefault="0007555D" w:rsidP="00F100E1">
            <w:pPr>
              <w:spacing w:after="160" w:line="259" w:lineRule="auto"/>
              <w:jc w:val="both"/>
              <w:rPr>
                <w:iCs/>
                <w:color w:val="000000"/>
              </w:rPr>
            </w:pPr>
          </w:p>
        </w:tc>
        <w:tc>
          <w:tcPr>
            <w:tcW w:w="5782" w:type="dxa"/>
          </w:tcPr>
          <w:p w14:paraId="7A6225D7" w14:textId="77777777" w:rsidR="0007555D" w:rsidRPr="00C56257" w:rsidRDefault="0007555D" w:rsidP="00F100E1">
            <w:pPr>
              <w:spacing w:after="160" w:line="259" w:lineRule="auto"/>
              <w:jc w:val="both"/>
              <w:rPr>
                <w:iCs/>
                <w:color w:val="000000"/>
              </w:rPr>
            </w:pPr>
            <w:r w:rsidRPr="00C56257">
              <w:rPr>
                <w:iCs/>
                <w:color w:val="000000"/>
              </w:rPr>
              <w:t>intensitatea presiunii</w:t>
            </w:r>
          </w:p>
        </w:tc>
      </w:tr>
      <w:tr w:rsidR="0007555D" w:rsidRPr="00C56257" w14:paraId="460A8D2D" w14:textId="77777777" w:rsidTr="0007555D">
        <w:tc>
          <w:tcPr>
            <w:tcW w:w="3794" w:type="dxa"/>
            <w:vMerge/>
          </w:tcPr>
          <w:p w14:paraId="54BAF589" w14:textId="77777777" w:rsidR="0007555D" w:rsidRPr="00C56257" w:rsidRDefault="0007555D" w:rsidP="00F100E1">
            <w:pPr>
              <w:spacing w:after="160" w:line="259" w:lineRule="auto"/>
              <w:jc w:val="both"/>
              <w:rPr>
                <w:iCs/>
                <w:color w:val="000000"/>
              </w:rPr>
            </w:pPr>
          </w:p>
        </w:tc>
        <w:tc>
          <w:tcPr>
            <w:tcW w:w="5782" w:type="dxa"/>
          </w:tcPr>
          <w:p w14:paraId="236A74AB" w14:textId="77777777" w:rsidR="0007555D" w:rsidRPr="00C56257" w:rsidRDefault="0007555D" w:rsidP="00F100E1">
            <w:pPr>
              <w:spacing w:after="160" w:line="259" w:lineRule="auto"/>
              <w:jc w:val="both"/>
              <w:rPr>
                <w:iCs/>
                <w:color w:val="000000"/>
              </w:rPr>
            </w:pPr>
            <w:r w:rsidRPr="00C56257">
              <w:rPr>
                <w:iCs/>
                <w:color w:val="000000"/>
              </w:rPr>
              <w:t>durata de manifestare a presiunii</w:t>
            </w:r>
          </w:p>
        </w:tc>
      </w:tr>
      <w:tr w:rsidR="0007555D" w:rsidRPr="00C56257" w14:paraId="56C653FC" w14:textId="77777777" w:rsidTr="0007555D">
        <w:tc>
          <w:tcPr>
            <w:tcW w:w="3794" w:type="dxa"/>
            <w:vMerge/>
          </w:tcPr>
          <w:p w14:paraId="1DD6D503" w14:textId="77777777" w:rsidR="0007555D" w:rsidRPr="00C56257" w:rsidRDefault="0007555D" w:rsidP="00F100E1">
            <w:pPr>
              <w:spacing w:after="160" w:line="259" w:lineRule="auto"/>
              <w:jc w:val="both"/>
              <w:rPr>
                <w:iCs/>
                <w:color w:val="000000"/>
              </w:rPr>
            </w:pPr>
          </w:p>
        </w:tc>
        <w:tc>
          <w:tcPr>
            <w:tcW w:w="5782" w:type="dxa"/>
          </w:tcPr>
          <w:p w14:paraId="55B68983" w14:textId="77777777" w:rsidR="0007555D" w:rsidRPr="00C56257" w:rsidRDefault="0007555D" w:rsidP="00F100E1">
            <w:pPr>
              <w:spacing w:after="160" w:line="259" w:lineRule="auto"/>
              <w:jc w:val="both"/>
              <w:rPr>
                <w:iCs/>
                <w:color w:val="000000"/>
              </w:rPr>
            </w:pPr>
            <w:r w:rsidRPr="00C56257">
              <w:rPr>
                <w:iCs/>
                <w:color w:val="000000"/>
              </w:rPr>
              <w:t>amenințări potențiale</w:t>
            </w:r>
          </w:p>
        </w:tc>
      </w:tr>
      <w:tr w:rsidR="0007555D" w:rsidRPr="00C56257" w14:paraId="09DA32AD" w14:textId="77777777" w:rsidTr="0007555D">
        <w:tc>
          <w:tcPr>
            <w:tcW w:w="3794" w:type="dxa"/>
            <w:vMerge/>
          </w:tcPr>
          <w:p w14:paraId="1190CBE2" w14:textId="77777777" w:rsidR="0007555D" w:rsidRPr="00C56257" w:rsidRDefault="0007555D" w:rsidP="00F100E1">
            <w:pPr>
              <w:spacing w:after="160" w:line="259" w:lineRule="auto"/>
              <w:jc w:val="both"/>
              <w:rPr>
                <w:iCs/>
                <w:color w:val="000000"/>
              </w:rPr>
            </w:pPr>
          </w:p>
        </w:tc>
        <w:tc>
          <w:tcPr>
            <w:tcW w:w="5782" w:type="dxa"/>
          </w:tcPr>
          <w:p w14:paraId="7AEA4EB3" w14:textId="77777777" w:rsidR="0007555D" w:rsidRPr="00C56257" w:rsidRDefault="0007555D" w:rsidP="00F100E1">
            <w:pPr>
              <w:spacing w:after="160" w:line="259" w:lineRule="auto"/>
              <w:jc w:val="both"/>
              <w:rPr>
                <w:iCs/>
                <w:color w:val="000000"/>
              </w:rPr>
            </w:pPr>
            <w:r w:rsidRPr="00C56257">
              <w:rPr>
                <w:iCs/>
                <w:color w:val="000000"/>
              </w:rPr>
              <w:t>hazarde/riscuri</w:t>
            </w:r>
          </w:p>
        </w:tc>
      </w:tr>
      <w:tr w:rsidR="0007555D" w:rsidRPr="00C56257" w14:paraId="451D0531" w14:textId="77777777" w:rsidTr="0007555D">
        <w:tc>
          <w:tcPr>
            <w:tcW w:w="3794" w:type="dxa"/>
            <w:vMerge/>
          </w:tcPr>
          <w:p w14:paraId="12D6BDE3" w14:textId="77777777" w:rsidR="0007555D" w:rsidRPr="00C56257" w:rsidRDefault="0007555D" w:rsidP="00F100E1">
            <w:pPr>
              <w:spacing w:after="160" w:line="259" w:lineRule="auto"/>
              <w:jc w:val="both"/>
              <w:rPr>
                <w:iCs/>
                <w:color w:val="000000"/>
              </w:rPr>
            </w:pPr>
          </w:p>
        </w:tc>
        <w:tc>
          <w:tcPr>
            <w:tcW w:w="5782" w:type="dxa"/>
          </w:tcPr>
          <w:p w14:paraId="533F794B" w14:textId="77777777" w:rsidR="0007555D" w:rsidRPr="00C56257" w:rsidRDefault="0007555D" w:rsidP="00F100E1">
            <w:pPr>
              <w:spacing w:after="160" w:line="259" w:lineRule="auto"/>
              <w:jc w:val="both"/>
              <w:rPr>
                <w:iCs/>
                <w:color w:val="000000"/>
              </w:rPr>
            </w:pPr>
            <w:r w:rsidRPr="00C56257">
              <w:rPr>
                <w:iCs/>
                <w:color w:val="000000"/>
              </w:rPr>
              <w:t>viabilitatea pădurii/habitatului pe termen lung</w:t>
            </w:r>
          </w:p>
        </w:tc>
      </w:tr>
    </w:tbl>
    <w:p w14:paraId="055D0591" w14:textId="77777777" w:rsidR="0007555D" w:rsidRPr="00C56257" w:rsidRDefault="0007555D" w:rsidP="00F100E1">
      <w:pPr>
        <w:spacing w:after="160" w:line="259" w:lineRule="auto"/>
        <w:jc w:val="both"/>
        <w:rPr>
          <w:b/>
          <w:color w:val="000000"/>
        </w:rPr>
      </w:pPr>
    </w:p>
    <w:p w14:paraId="5CAB3A34" w14:textId="77777777" w:rsidR="0007555D" w:rsidRPr="00C56257" w:rsidRDefault="0007555D" w:rsidP="008E33FD">
      <w:pPr>
        <w:spacing w:after="160" w:line="259" w:lineRule="auto"/>
        <w:jc w:val="both"/>
        <w:rPr>
          <w:iCs/>
          <w:color w:val="000000"/>
        </w:rPr>
      </w:pPr>
      <w:r w:rsidRPr="00C56257">
        <w:rPr>
          <w:iCs/>
          <w:color w:val="000000"/>
        </w:rPr>
        <w:t>Pentru evaluarea parametrilor utilizați în caracterizarea stării de conservare pot fi luate în considerare și alte tipuri de date în afara celor prezentate în Tabelul 9.</w:t>
      </w:r>
    </w:p>
    <w:p w14:paraId="2FE4D560" w14:textId="77777777" w:rsidR="0007555D" w:rsidRPr="00C56257" w:rsidRDefault="0007555D" w:rsidP="008E33FD">
      <w:pPr>
        <w:spacing w:after="160" w:line="259" w:lineRule="auto"/>
        <w:jc w:val="both"/>
        <w:rPr>
          <w:iCs/>
          <w:color w:val="000000"/>
        </w:rPr>
      </w:pPr>
      <w:r w:rsidRPr="00C56257">
        <w:rPr>
          <w:iCs/>
          <w:color w:val="000000"/>
        </w:rPr>
        <w:t>Cu prilejul colectării datelor din teren, fiecărui tip de date colectate i se acordă o valoare în conformitate cu instrucțiunile de colectare/teren, în principal sunt valori predefinite pentru a se putea realiza cu ușurință integrarea datelor colectate. In general se utilizează clase/intervale pentru datele cantitative sau categorii de valori pentru datele calitative. În baza de date, aceste valori sunt convertite în categorii: A, B, C, X = exprimă starea parametrului în fiecare suprafaţă de probă (A = excelentă; B = bună; C = medie sau redusă; X = necunoscută).</w:t>
      </w:r>
    </w:p>
    <w:p w14:paraId="78DAA0B5" w14:textId="77777777" w:rsidR="0007555D" w:rsidRPr="00C56257" w:rsidRDefault="0007555D" w:rsidP="008E33FD">
      <w:pPr>
        <w:spacing w:after="160" w:line="259" w:lineRule="auto"/>
        <w:jc w:val="both"/>
        <w:rPr>
          <w:color w:val="000000"/>
        </w:rPr>
      </w:pPr>
      <w:r w:rsidRPr="00C56257">
        <w:rPr>
          <w:b/>
          <w:bCs/>
          <w:color w:val="000000"/>
        </w:rPr>
        <w:lastRenderedPageBreak/>
        <w:t xml:space="preserve">Eșantionarea habitatelor în vederea inventarierii acestora. </w:t>
      </w:r>
      <w:r w:rsidRPr="00C56257">
        <w:rPr>
          <w:color w:val="000000"/>
        </w:rPr>
        <w:t>Colectarea datelor de teren pentru evaluarea parametrilor descriptivi ai calității habitatului se face dintr-o rețea de sondaje şi suprafeţe de probă, proiectată la nivel național, pentru a asigura o precizie cât mai bună a estimărilor cu costuri cât mai mici. Metoda utilizată este o metodă statistică, bazată pe o eşantionare sistematică şi multistagială.</w:t>
      </w:r>
    </w:p>
    <w:p w14:paraId="765441FA" w14:textId="77777777" w:rsidR="0007555D" w:rsidRPr="00C56257" w:rsidRDefault="0007555D" w:rsidP="008E33FD">
      <w:pPr>
        <w:spacing w:line="259" w:lineRule="auto"/>
        <w:jc w:val="both"/>
        <w:rPr>
          <w:color w:val="000000"/>
        </w:rPr>
      </w:pPr>
      <w:r w:rsidRPr="00C56257">
        <w:rPr>
          <w:color w:val="000000"/>
        </w:rPr>
        <w:t xml:space="preserve">Unităţile  de  eşantionaj  sunt distribuite sistematic la nivelul întregului teritoriu al ţării, pornind din centrul Sistemului naţional de coordonate Stereografic 1970, prin  diviziunea sistematică a acestuia în pătrate de 4 x 4 km. </w:t>
      </w:r>
    </w:p>
    <w:p w14:paraId="19740856" w14:textId="77777777" w:rsidR="0007555D" w:rsidRPr="00C56257" w:rsidRDefault="0007555D" w:rsidP="008E33FD">
      <w:pPr>
        <w:spacing w:line="259" w:lineRule="auto"/>
        <w:jc w:val="both"/>
        <w:rPr>
          <w:color w:val="000000"/>
        </w:rPr>
      </w:pPr>
      <w:r w:rsidRPr="00C56257">
        <w:rPr>
          <w:color w:val="000000"/>
        </w:rPr>
        <w:t xml:space="preserve">Procedura de lucru se realizează în 2 etape: </w:t>
      </w:r>
    </w:p>
    <w:p w14:paraId="1370901B" w14:textId="77777777" w:rsidR="0007555D" w:rsidRPr="00C56257" w:rsidRDefault="0007555D" w:rsidP="009E63E5">
      <w:pPr>
        <w:numPr>
          <w:ilvl w:val="0"/>
          <w:numId w:val="152"/>
        </w:numPr>
        <w:spacing w:line="259" w:lineRule="auto"/>
        <w:contextualSpacing/>
        <w:jc w:val="both"/>
        <w:rPr>
          <w:color w:val="000000"/>
        </w:rPr>
      </w:pPr>
      <w:r w:rsidRPr="00C56257">
        <w:rPr>
          <w:color w:val="000000"/>
        </w:rPr>
        <w:t xml:space="preserve">etapa 1 - fotointerpretarea pe ortofotoplanurile digitale; </w:t>
      </w:r>
    </w:p>
    <w:p w14:paraId="60550C83" w14:textId="77777777" w:rsidR="0007555D" w:rsidRPr="00C56257" w:rsidRDefault="0007555D" w:rsidP="009E63E5">
      <w:pPr>
        <w:numPr>
          <w:ilvl w:val="0"/>
          <w:numId w:val="152"/>
        </w:numPr>
        <w:spacing w:line="259" w:lineRule="auto"/>
        <w:contextualSpacing/>
        <w:jc w:val="both"/>
        <w:rPr>
          <w:color w:val="000000"/>
        </w:rPr>
      </w:pPr>
      <w:r w:rsidRPr="00C56257">
        <w:rPr>
          <w:color w:val="000000"/>
        </w:rPr>
        <w:t xml:space="preserve">etapa 2 -  măsurători de teren în suprafeţele de probă fotointerpretate ca fiind localizate în terenuri cu vegetaţie forestieră. </w:t>
      </w:r>
    </w:p>
    <w:p w14:paraId="39CDD9FA" w14:textId="77777777" w:rsidR="0007555D" w:rsidRPr="00C56257" w:rsidRDefault="0007555D" w:rsidP="008E33FD">
      <w:pPr>
        <w:spacing w:line="259" w:lineRule="auto"/>
        <w:jc w:val="both"/>
        <w:rPr>
          <w:color w:val="000000"/>
        </w:rPr>
      </w:pPr>
      <w:r w:rsidRPr="00C56257">
        <w:rPr>
          <w:color w:val="000000"/>
        </w:rPr>
        <w:t xml:space="preserve">Pătratele de 4x4 km sunt împărţite la rândul lor în câte 16 pătrate de 1x1 km. În pătratul de 1x1 km situat în colţul de sud–vest al fiecărui  pătrat de 4x4 km este amplasat  câte un sondaj compus din 4 suprafeţe de probă situate în colţurile unui pătrat cu latura de 250 m. Laturile pătratelor sunt orientate pe direcţia nord-sud, respectiv est-vest. </w:t>
      </w:r>
    </w:p>
    <w:p w14:paraId="2930243D" w14:textId="77777777" w:rsidR="0007555D" w:rsidRPr="00C56257" w:rsidRDefault="0007555D" w:rsidP="008E33FD">
      <w:pPr>
        <w:spacing w:line="259" w:lineRule="auto"/>
        <w:jc w:val="both"/>
        <w:rPr>
          <w:color w:val="000000"/>
        </w:rPr>
      </w:pPr>
      <w:r w:rsidRPr="00C56257">
        <w:rPr>
          <w:color w:val="000000"/>
        </w:rPr>
        <w:t xml:space="preserve">Pentru a asigura o acoperire cât mai bună a teritoriului ţării cu sondaje, fiecare al doilea rând de sondaje a fost deplasat spre est cu 2 km. În acest fel s-a obţinut o reţea sistematică interpenetrantă, nealiniată de suprafeţe de probă permanente, care acoperă optim teritoriul României, potrivit scopurilor propuse. Reţeaua, astfel proiectată, este reprezentativă pentru întreg teritoriul României, asigurând precizia necesară a datelor şi informaţiilor despre resursele forestiere la nivel naţional. </w:t>
      </w:r>
    </w:p>
    <w:p w14:paraId="36EAF886" w14:textId="77777777" w:rsidR="0007555D" w:rsidRPr="00C56257" w:rsidRDefault="0007555D" w:rsidP="008E33FD">
      <w:pPr>
        <w:spacing w:line="259" w:lineRule="auto"/>
        <w:jc w:val="both"/>
        <w:rPr>
          <w:color w:val="000000"/>
        </w:rPr>
      </w:pPr>
      <w:r w:rsidRPr="00C56257">
        <w:rPr>
          <w:color w:val="000000"/>
        </w:rPr>
        <w:t>Reţeaua de 4x4 km pentru monitorizarea habitatelor forestiere cuprinde un număr total de 14915 sondaje cu 59660 de suprafeţe de probă. Prin fotointerpretarea ortofotoplanurilor la scara 1:5000 s-au identificat 6756 sondaje forestiere (sondaje care au cel puţin o suprafaţă de probă situată în terenuri cu vegetaţie forestieră) cu 22122 de suprafeţe de probă care trebuie vizitate în teren pentru culegerea de date despre vegetaţia forestieră. În procesul de colectare a datelor din teren, la habitatele cu distribuție fragmentată (91H0, 91X0, 91Q0) au fost amplasate sondaje suplimentare rețelei informatice de monitorizare (sondajele au fost amplasate în funcție de distribuția tipului de habitat).</w:t>
      </w:r>
    </w:p>
    <w:p w14:paraId="6F4D07A4" w14:textId="77777777" w:rsidR="0007555D" w:rsidRPr="00C56257" w:rsidRDefault="0007555D" w:rsidP="008E33FD">
      <w:pPr>
        <w:spacing w:line="259" w:lineRule="auto"/>
        <w:jc w:val="both"/>
        <w:rPr>
          <w:color w:val="000000"/>
        </w:rPr>
      </w:pPr>
      <w:r w:rsidRPr="00C56257">
        <w:rPr>
          <w:color w:val="000000"/>
        </w:rPr>
        <w:t>Modul de amplasare a sondajelor în cadrul reţelei naţionale de 4x4 km este prezentat în Figura 4. Modelul rezultat este un romb cu diagonala mică de 4 km şi diagonala mare de 8 km. În fiecare din cele 4 colţuri ale acestui romb este amplasat câte un sondaj cu 4 suprafeţe de probă.</w:t>
      </w:r>
    </w:p>
    <w:p w14:paraId="792B0C0C" w14:textId="77777777" w:rsidR="0007555D" w:rsidRPr="00C56257" w:rsidRDefault="0007555D" w:rsidP="008E33FD">
      <w:pPr>
        <w:spacing w:line="259" w:lineRule="auto"/>
        <w:jc w:val="both"/>
        <w:rPr>
          <w:color w:val="000000"/>
        </w:rPr>
      </w:pPr>
    </w:p>
    <w:p w14:paraId="037A10BD" w14:textId="77777777" w:rsidR="0007555D" w:rsidRPr="00C56257" w:rsidRDefault="0007555D" w:rsidP="00F100E1">
      <w:pPr>
        <w:spacing w:after="160" w:line="259" w:lineRule="auto"/>
        <w:jc w:val="both"/>
        <w:rPr>
          <w:b/>
          <w:color w:val="000000"/>
        </w:rPr>
      </w:pPr>
      <w:r w:rsidRPr="00C56257">
        <w:rPr>
          <w:b/>
          <w:noProof/>
          <w:color w:val="000000"/>
          <w:lang w:val="en-US"/>
        </w:rPr>
        <w:lastRenderedPageBreak/>
        <w:drawing>
          <wp:inline distT="0" distB="0" distL="0" distR="0" wp14:anchorId="4D05F284" wp14:editId="78357FA7">
            <wp:extent cx="4577080" cy="323977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577080" cy="3239770"/>
                    </a:xfrm>
                    <a:prstGeom prst="rect">
                      <a:avLst/>
                    </a:prstGeom>
                    <a:noFill/>
                    <a:ln>
                      <a:noFill/>
                    </a:ln>
                  </pic:spPr>
                </pic:pic>
              </a:graphicData>
            </a:graphic>
          </wp:inline>
        </w:drawing>
      </w:r>
    </w:p>
    <w:p w14:paraId="7CE0D72E" w14:textId="77777777" w:rsidR="0007555D" w:rsidRPr="00C56257" w:rsidRDefault="0007555D" w:rsidP="00F100E1">
      <w:pPr>
        <w:spacing w:after="160" w:line="259" w:lineRule="auto"/>
        <w:jc w:val="both"/>
        <w:rPr>
          <w:bCs/>
          <w:color w:val="000000"/>
        </w:rPr>
      </w:pPr>
      <w:r w:rsidRPr="00C56257">
        <w:rPr>
          <w:bCs/>
          <w:color w:val="000000"/>
        </w:rPr>
        <w:t>Figura 4. Modul de amplasare a sondajelor în cadrul rețelei naționale de monitorizare a vegetației forestiere</w:t>
      </w:r>
    </w:p>
    <w:p w14:paraId="58AC0C93" w14:textId="77777777" w:rsidR="0007555D" w:rsidRPr="00C56257" w:rsidRDefault="0007555D" w:rsidP="00F100E1">
      <w:pPr>
        <w:spacing w:after="160" w:line="259" w:lineRule="auto"/>
        <w:jc w:val="both"/>
        <w:rPr>
          <w:color w:val="000000"/>
        </w:rPr>
      </w:pPr>
      <w:r w:rsidRPr="00C56257">
        <w:rPr>
          <w:color w:val="000000"/>
        </w:rPr>
        <w:t>Raportarea cu privire la distribuţia şi arealul fiecărui tip de habitat se face în reţeaua de 10x10 km INSPIRE (formatul standard 10x10 Km ETRS, proiecţie ETRS 89LAEA 5210) (Figura 5).</w:t>
      </w:r>
    </w:p>
    <w:p w14:paraId="5B6B4FD2" w14:textId="77777777" w:rsidR="0007555D" w:rsidRPr="00C56257" w:rsidRDefault="0007555D" w:rsidP="00F100E1">
      <w:pPr>
        <w:spacing w:after="160" w:line="259" w:lineRule="auto"/>
        <w:jc w:val="both"/>
        <w:rPr>
          <w:b/>
          <w:color w:val="000000"/>
        </w:rPr>
      </w:pPr>
      <w:r w:rsidRPr="00C56257">
        <w:rPr>
          <w:b/>
          <w:noProof/>
          <w:color w:val="000000"/>
          <w:lang w:val="en-US"/>
        </w:rPr>
        <w:drawing>
          <wp:inline distT="0" distB="0" distL="0" distR="0" wp14:anchorId="376F115F" wp14:editId="3AFA2BF9">
            <wp:extent cx="4661885" cy="3278437"/>
            <wp:effectExtent l="0" t="0" r="5715" b="0"/>
            <wp:docPr id="30" name="Picture 30" descr="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O"/>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95216" cy="3301877"/>
                    </a:xfrm>
                    <a:prstGeom prst="rect">
                      <a:avLst/>
                    </a:prstGeom>
                    <a:noFill/>
                    <a:ln>
                      <a:noFill/>
                    </a:ln>
                  </pic:spPr>
                </pic:pic>
              </a:graphicData>
            </a:graphic>
          </wp:inline>
        </w:drawing>
      </w:r>
    </w:p>
    <w:p w14:paraId="3EE2251F" w14:textId="77777777" w:rsidR="0007555D" w:rsidRPr="00C56257" w:rsidRDefault="0007555D" w:rsidP="00F100E1">
      <w:pPr>
        <w:spacing w:after="160" w:line="259" w:lineRule="auto"/>
        <w:jc w:val="both"/>
        <w:rPr>
          <w:bCs/>
          <w:color w:val="000000"/>
        </w:rPr>
      </w:pPr>
      <w:r w:rsidRPr="00C56257">
        <w:rPr>
          <w:bCs/>
          <w:color w:val="000000"/>
        </w:rPr>
        <w:t>Figura 5. Formatul standard al gridului pentru realizarea hărţilor de distribuţie a habitatelor şi speciilor de importanţă comunitară în România (10x10 Km ETRS, proiecţie ETRS 89LAEA 5210)</w:t>
      </w:r>
    </w:p>
    <w:p w14:paraId="04B6FD71" w14:textId="77777777" w:rsidR="0007555D" w:rsidRPr="00C56257" w:rsidRDefault="0007555D" w:rsidP="008E33FD">
      <w:pPr>
        <w:spacing w:after="160" w:line="259" w:lineRule="auto"/>
        <w:jc w:val="both"/>
        <w:rPr>
          <w:color w:val="000000"/>
        </w:rPr>
      </w:pPr>
      <w:r w:rsidRPr="00C56257">
        <w:rPr>
          <w:color w:val="000000"/>
        </w:rPr>
        <w:t xml:space="preserve">Peste reţeaua </w:t>
      </w:r>
      <w:bookmarkStart w:id="55" w:name="_Hlk95744797"/>
      <w:r w:rsidRPr="00C56257">
        <w:rPr>
          <w:color w:val="000000"/>
        </w:rPr>
        <w:t xml:space="preserve">de monitorizare a vegetației forestiere </w:t>
      </w:r>
      <w:bookmarkEnd w:id="55"/>
      <w:r w:rsidRPr="00C56257">
        <w:rPr>
          <w:color w:val="000000"/>
        </w:rPr>
        <w:t xml:space="preserve">de 4x4 km s-a suprapus rețeaua INSPIRE de 10x10 km. În fiecare pătrat INSPIRE de 10x10 km sunt situate între 5 şi 7 sondaje din reţeaua de monitorizare a vegetației forestiere de 4x4 km (Figura 6). </w:t>
      </w:r>
    </w:p>
    <w:p w14:paraId="7B259018" w14:textId="77777777" w:rsidR="0007555D" w:rsidRPr="00C56257" w:rsidRDefault="0007555D" w:rsidP="00F100E1">
      <w:pPr>
        <w:spacing w:after="160" w:line="259" w:lineRule="auto"/>
        <w:jc w:val="both"/>
        <w:rPr>
          <w:b/>
          <w:color w:val="000000"/>
        </w:rPr>
      </w:pPr>
      <w:r w:rsidRPr="00C56257">
        <w:rPr>
          <w:b/>
          <w:noProof/>
          <w:color w:val="000000"/>
          <w:lang w:val="en-US"/>
        </w:rPr>
        <w:lastRenderedPageBreak/>
        <w:drawing>
          <wp:inline distT="0" distB="0" distL="0" distR="0" wp14:anchorId="2A75CDB8" wp14:editId="0461D2A8">
            <wp:extent cx="4831080" cy="3419475"/>
            <wp:effectExtent l="0" t="0" r="7620" b="9525"/>
            <wp:docPr id="8" name="Picture 8" descr="C:\Users\Gheorghe Marin\Desktop\habit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heorghe Marin\Desktop\habitate.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831080" cy="3419475"/>
                    </a:xfrm>
                    <a:prstGeom prst="rect">
                      <a:avLst/>
                    </a:prstGeom>
                    <a:noFill/>
                    <a:ln>
                      <a:noFill/>
                    </a:ln>
                  </pic:spPr>
                </pic:pic>
              </a:graphicData>
            </a:graphic>
          </wp:inline>
        </w:drawing>
      </w:r>
    </w:p>
    <w:p w14:paraId="6B15E3D3" w14:textId="77777777" w:rsidR="0007555D" w:rsidRPr="00C56257" w:rsidRDefault="0007555D" w:rsidP="00F100E1">
      <w:pPr>
        <w:spacing w:after="160" w:line="259" w:lineRule="auto"/>
        <w:jc w:val="both"/>
        <w:rPr>
          <w:bCs/>
          <w:color w:val="000000"/>
        </w:rPr>
      </w:pPr>
      <w:r w:rsidRPr="00C56257">
        <w:rPr>
          <w:bCs/>
          <w:color w:val="000000"/>
        </w:rPr>
        <w:t xml:space="preserve">Figura 6. Suprapunerea formatului standard INSPIRE (10X10 Km ETRS, proiecţie ETRS 89LAEA 5210) peste reţeaua naţională </w:t>
      </w:r>
      <w:r w:rsidRPr="00C56257">
        <w:rPr>
          <w:color w:val="000000"/>
        </w:rPr>
        <w:t>de monitorizare a vegetației forestiere</w:t>
      </w:r>
      <w:r w:rsidRPr="00C56257">
        <w:rPr>
          <w:bCs/>
          <w:color w:val="000000"/>
        </w:rPr>
        <w:t xml:space="preserve"> de 4x4 km </w:t>
      </w:r>
    </w:p>
    <w:p w14:paraId="41D20047" w14:textId="77777777" w:rsidR="0007555D" w:rsidRPr="00C56257" w:rsidRDefault="0007555D" w:rsidP="008E33FD">
      <w:pPr>
        <w:spacing w:after="160" w:line="259" w:lineRule="auto"/>
        <w:jc w:val="both"/>
        <w:rPr>
          <w:color w:val="000000"/>
        </w:rPr>
      </w:pPr>
      <w:r w:rsidRPr="00C56257">
        <w:rPr>
          <w:color w:val="000000"/>
        </w:rPr>
        <w:t>Informaţiile din toate aceste sondaje vor fi analizate pentru evaluarea atributelor/parametrilor pe baza cărora se face evaluarea stării de conservare a fiecărui habitat.</w:t>
      </w:r>
    </w:p>
    <w:p w14:paraId="3061698D" w14:textId="77777777" w:rsidR="0007555D" w:rsidRPr="00C56257" w:rsidRDefault="0007555D" w:rsidP="008E33FD">
      <w:pPr>
        <w:spacing w:after="160" w:line="259" w:lineRule="auto"/>
        <w:jc w:val="both"/>
        <w:rPr>
          <w:color w:val="000000"/>
        </w:rPr>
      </w:pPr>
      <w:r w:rsidRPr="00C56257">
        <w:rPr>
          <w:color w:val="000000"/>
        </w:rPr>
        <w:t xml:space="preserve">Sondajul folosit în cadrul sistemului de monitorizare a vegetației forestiere are forma unui pătrat cu latura de 250 m, în colţurile căruia se găsesc patru suprafeţe e </w:t>
      </w:r>
    </w:p>
    <w:p w14:paraId="241B242F" w14:textId="77777777" w:rsidR="0007555D" w:rsidRPr="00C56257" w:rsidRDefault="0007555D" w:rsidP="008E33FD">
      <w:pPr>
        <w:spacing w:after="160" w:line="259" w:lineRule="auto"/>
        <w:jc w:val="both"/>
        <w:rPr>
          <w:color w:val="000000"/>
        </w:rPr>
      </w:pPr>
      <w:r w:rsidRPr="00C56257">
        <w:rPr>
          <w:color w:val="000000"/>
        </w:rPr>
        <w:t xml:space="preserve">probă din care se culeg date de teren despre vegetaţia forestieră. </w:t>
      </w:r>
      <w:r w:rsidRPr="00C56257">
        <w:rPr>
          <w:i/>
          <w:color w:val="000000"/>
        </w:rPr>
        <w:t>Sondajul forestier</w:t>
      </w:r>
      <w:r w:rsidRPr="00C56257">
        <w:rPr>
          <w:color w:val="000000"/>
        </w:rPr>
        <w:t xml:space="preserve"> este sondajul care are cel puţin o suprafaţă de probă localizată în terenurile cu vegetaţie forestieră. </w:t>
      </w:r>
    </w:p>
    <w:p w14:paraId="4047F05F" w14:textId="77777777" w:rsidR="0007555D" w:rsidRPr="00C56257" w:rsidRDefault="0007555D" w:rsidP="008E33FD">
      <w:pPr>
        <w:spacing w:after="160" w:line="259" w:lineRule="auto"/>
        <w:jc w:val="both"/>
        <w:rPr>
          <w:color w:val="000000"/>
        </w:rPr>
      </w:pPr>
      <w:r w:rsidRPr="00C56257">
        <w:rPr>
          <w:color w:val="000000"/>
        </w:rPr>
        <w:t>Un sondaj este constituit din patru suprafeţe de probă (SP1, SP2, SP3 şi SP4) şi patru laturi ale sondajului (L1, L2, L3 şi L4) care sunt situate în aceleaşi poziţii în toate sondajele (Figura 7). Astfel, SP1 este situată întotdeauna în colţul de sud-vest al sondajului, SP2 în colţul de nord-vest, SP3 în cel de nord-est, iar SP4 în colţul de sud-est al sondajului.  Latura L1 a sondajului este totdeauna cea dintre SP1 şi SP2, L2 cea dintre SP2 şi SP3, L3 cea dintre SP3 şi SP4 iar latura L4 este cea dintre SP4 şi SP1.</w:t>
      </w:r>
    </w:p>
    <w:p w14:paraId="22DD496D" w14:textId="77777777" w:rsidR="0007555D" w:rsidRPr="00C56257" w:rsidRDefault="0007555D" w:rsidP="00F100E1">
      <w:pPr>
        <w:spacing w:after="160" w:line="259" w:lineRule="auto"/>
        <w:jc w:val="both"/>
        <w:rPr>
          <w:color w:val="000000"/>
        </w:rPr>
      </w:pPr>
      <w:r w:rsidRPr="00C56257">
        <w:rPr>
          <w:noProof/>
          <w:color w:val="000000"/>
          <w:lang w:val="en-US"/>
        </w:rPr>
        <w:drawing>
          <wp:inline distT="0" distB="0" distL="0" distR="0" wp14:anchorId="37DB1D18" wp14:editId="6BF8060C">
            <wp:extent cx="2161540" cy="2161540"/>
            <wp:effectExtent l="0" t="0" r="0" b="0"/>
            <wp:docPr id="7" name="Picture 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61540" cy="2161540"/>
                    </a:xfrm>
                    <a:prstGeom prst="rect">
                      <a:avLst/>
                    </a:prstGeom>
                    <a:noFill/>
                    <a:ln>
                      <a:noFill/>
                    </a:ln>
                  </pic:spPr>
                </pic:pic>
              </a:graphicData>
            </a:graphic>
          </wp:inline>
        </w:drawing>
      </w:r>
    </w:p>
    <w:p w14:paraId="1E569711" w14:textId="77777777" w:rsidR="0007555D" w:rsidRPr="00C56257" w:rsidRDefault="0007555D" w:rsidP="00F100E1">
      <w:pPr>
        <w:spacing w:after="160" w:line="259" w:lineRule="auto"/>
        <w:jc w:val="both"/>
        <w:rPr>
          <w:bCs/>
          <w:color w:val="000000"/>
        </w:rPr>
      </w:pPr>
      <w:r w:rsidRPr="00C56257">
        <w:rPr>
          <w:bCs/>
          <w:color w:val="000000"/>
        </w:rPr>
        <w:lastRenderedPageBreak/>
        <w:t>Figura 7. Structura sondajului (SP 1...4 = suprafeţe de probă; L 1...4 = laturile sondajului; 250 m = distanţa între centrele suprafeţelor de   probă)</w:t>
      </w:r>
    </w:p>
    <w:p w14:paraId="7AEE310D" w14:textId="77777777" w:rsidR="0007555D" w:rsidRPr="00C56257" w:rsidRDefault="0007555D" w:rsidP="00F100E1">
      <w:pPr>
        <w:spacing w:after="160" w:line="259" w:lineRule="auto"/>
        <w:jc w:val="both"/>
        <w:rPr>
          <w:b/>
          <w:color w:val="000000"/>
        </w:rPr>
      </w:pPr>
      <w:r w:rsidRPr="00C56257">
        <w:rPr>
          <w:color w:val="000000"/>
        </w:rPr>
        <w:t xml:space="preserve">O suprafaţă de probă (SP) este formată din trei cercuri concentrice cu razele de 7,98 m, 12,62 m şi 25 m, amplasate în centrul suprafeţei de probă (CSP) şi doi “sateliţi” formaţi din câte două cercuri concentrice cu razele de 1 m şi 1,78 m ale căror centre sunt situate la distanţa de 10 m de o parte şi de alta a CSP pe direcţia est-vest (Figura 8). </w:t>
      </w:r>
      <w:r w:rsidRPr="00C56257">
        <w:rPr>
          <w:b/>
          <w:noProof/>
          <w:color w:val="000000"/>
          <w:lang w:val="en-US"/>
        </w:rPr>
        <w:drawing>
          <wp:inline distT="0" distB="0" distL="0" distR="0" wp14:anchorId="250CDC84" wp14:editId="79748BFE">
            <wp:extent cx="3245485" cy="2706370"/>
            <wp:effectExtent l="0" t="0" r="0" b="0"/>
            <wp:docPr id="31" name="Picture 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45485" cy="2706370"/>
                    </a:xfrm>
                    <a:prstGeom prst="rect">
                      <a:avLst/>
                    </a:prstGeom>
                    <a:noFill/>
                    <a:ln>
                      <a:noFill/>
                    </a:ln>
                  </pic:spPr>
                </pic:pic>
              </a:graphicData>
            </a:graphic>
          </wp:inline>
        </w:drawing>
      </w:r>
    </w:p>
    <w:p w14:paraId="1EDCC3AC" w14:textId="77777777" w:rsidR="0007555D" w:rsidRPr="00C56257" w:rsidRDefault="0007555D" w:rsidP="00F100E1">
      <w:pPr>
        <w:spacing w:after="160" w:line="259" w:lineRule="auto"/>
        <w:jc w:val="both"/>
        <w:rPr>
          <w:b/>
          <w:color w:val="000000"/>
        </w:rPr>
      </w:pPr>
    </w:p>
    <w:p w14:paraId="164B7262" w14:textId="77777777" w:rsidR="0007555D" w:rsidRPr="00C56257" w:rsidRDefault="0007555D" w:rsidP="00F100E1">
      <w:pPr>
        <w:spacing w:after="160" w:line="259" w:lineRule="auto"/>
        <w:jc w:val="both"/>
        <w:rPr>
          <w:bCs/>
          <w:color w:val="000000"/>
        </w:rPr>
      </w:pPr>
      <w:r w:rsidRPr="00C56257">
        <w:rPr>
          <w:bCs/>
          <w:color w:val="000000"/>
        </w:rPr>
        <w:t>Figura 8. Structura suprafeţei de probă (SP)</w:t>
      </w:r>
    </w:p>
    <w:p w14:paraId="676FC55C" w14:textId="77777777" w:rsidR="0007555D" w:rsidRPr="00C56257" w:rsidRDefault="0007555D" w:rsidP="008E33FD">
      <w:pPr>
        <w:spacing w:after="160" w:line="259" w:lineRule="auto"/>
        <w:jc w:val="both"/>
        <w:rPr>
          <w:color w:val="000000"/>
        </w:rPr>
      </w:pPr>
      <w:r w:rsidRPr="00C56257">
        <w:rPr>
          <w:color w:val="000000"/>
        </w:rPr>
        <w:t xml:space="preserve">Centrul fiecărei suprafeţe de probă este definit în cadrul reţelei de 4x4 km prin coordonate geografice (latitudine şi longitudine). Centrele suprafeţelor de probă sunt identificate pe teren cu ajutorul dispozitivelor GPS şi sunt marcate cu o tijă metalică, pentru a putea fi identificate cu precizie la următoarea măsurătoare cu ajutorul detectoarelor de metale.  </w:t>
      </w:r>
    </w:p>
    <w:p w14:paraId="45F33742" w14:textId="77777777" w:rsidR="0007555D" w:rsidRPr="00C56257" w:rsidRDefault="0007555D" w:rsidP="008E33FD">
      <w:pPr>
        <w:spacing w:after="160" w:line="259" w:lineRule="auto"/>
        <w:jc w:val="both"/>
        <w:rPr>
          <w:color w:val="000000"/>
        </w:rPr>
      </w:pPr>
      <w:r w:rsidRPr="00C56257">
        <w:rPr>
          <w:color w:val="000000"/>
        </w:rPr>
        <w:t>Monitorizarea habitatelor forestiere de importanţă comunitară se va realiza cu o periodicitate de cinci (5) ani, având în vedere că acestea sunt edificatoare pentru specii longevive, cu o dinamică relativ lentă. Doar în cazuri excepţionale, în care integritatea habitatului este afectată de factori disturbatori biotici sau abiotici (incendii, vătămări produse de agenţi patogeni sau insecte, uscări, etc.), se recomandă investigaţii cu o frecvenţă anuală pentru a detecta cauzele, amploarea fenomenului şi a recomanda măsurile de management adecvate. Activitatea de culegere a datelor de teren se va efectua în perioada sezonului de vegetaţie, preferabil în perioada iunie – octombrie, după topirea completă a stratului de zăpadă în etajul montan, în momentul de maximă afirmare a aspectului estival al fitocenozelor caracteristice tipului de habitat. Monitorizarea habitatelor forestiere de importanţă comunitară cu o periodicitate de 5 ani este justificată şi de faptul că suprafeţele de probă din reţeaua de monitorizare a vegetației forestiere sunt revizitate pe teren la fiecare 5 ani. Anual, în fiecare din primii 4 ani ai ciclului sunt revizitate circa un sfert din numărul de suprafeţe de probă situate în terenurile cu vegetaţie forestieră.</w:t>
      </w:r>
    </w:p>
    <w:p w14:paraId="1E9BBAD7" w14:textId="77777777" w:rsidR="0007555D" w:rsidRPr="00C56257" w:rsidRDefault="0007555D" w:rsidP="008E33FD">
      <w:pPr>
        <w:spacing w:line="259" w:lineRule="auto"/>
        <w:jc w:val="both"/>
        <w:rPr>
          <w:color w:val="000000"/>
        </w:rPr>
      </w:pPr>
      <w:r w:rsidRPr="00C56257">
        <w:rPr>
          <w:color w:val="000000"/>
        </w:rPr>
        <w:t>Măsurătorile care se fac în fiecare suprafaţă de probă sunt următoarele:</w:t>
      </w:r>
    </w:p>
    <w:p w14:paraId="575B981B" w14:textId="77777777" w:rsidR="0007555D" w:rsidRPr="00C56257" w:rsidRDefault="0007555D" w:rsidP="008E33FD">
      <w:pPr>
        <w:spacing w:line="259" w:lineRule="auto"/>
        <w:jc w:val="both"/>
        <w:rPr>
          <w:color w:val="000000"/>
        </w:rPr>
      </w:pPr>
      <w:r w:rsidRPr="00C56257">
        <w:rPr>
          <w:color w:val="000000"/>
        </w:rPr>
        <w:t>- în cercul cu raza de 1m: măsurarea regenerării (arbori eşantion/puieţi) cu înălţimea între 10 cm şi 50 cm;</w:t>
      </w:r>
    </w:p>
    <w:p w14:paraId="6FE72104" w14:textId="77777777" w:rsidR="0007555D" w:rsidRPr="00C56257" w:rsidRDefault="0007555D" w:rsidP="008E33FD">
      <w:pPr>
        <w:spacing w:line="259" w:lineRule="auto"/>
        <w:jc w:val="both"/>
        <w:rPr>
          <w:color w:val="000000"/>
        </w:rPr>
      </w:pPr>
      <w:r w:rsidRPr="00C56257">
        <w:rPr>
          <w:color w:val="000000"/>
        </w:rPr>
        <w:t>- în cercul cu raza de 1,78m: măsurarea regenerării (arbori eşantion/puieţi) cu înălţimea  &gt;50 cm şi DBH&lt;56 mm;</w:t>
      </w:r>
    </w:p>
    <w:p w14:paraId="10EA9529" w14:textId="77777777" w:rsidR="0007555D" w:rsidRPr="00C56257" w:rsidRDefault="0007555D" w:rsidP="008E33FD">
      <w:pPr>
        <w:spacing w:line="259" w:lineRule="auto"/>
        <w:jc w:val="both"/>
        <w:rPr>
          <w:color w:val="000000"/>
        </w:rPr>
      </w:pPr>
      <w:r w:rsidRPr="00C56257">
        <w:rPr>
          <w:color w:val="000000"/>
        </w:rPr>
        <w:lastRenderedPageBreak/>
        <w:t>- în cercul cu raza de 7,98 m (200m</w:t>
      </w:r>
      <w:r w:rsidRPr="00C56257">
        <w:rPr>
          <w:color w:val="000000"/>
          <w:vertAlign w:val="superscript"/>
        </w:rPr>
        <w:t>2</w:t>
      </w:r>
      <w:r w:rsidRPr="00C56257">
        <w:rPr>
          <w:color w:val="000000"/>
        </w:rPr>
        <w:t>, R2): măsurarea arborilor eşantion cu 56mm≤DBH≤285mm, a lemnului mort, arbuştilor şi florei indicatoare;</w:t>
      </w:r>
    </w:p>
    <w:p w14:paraId="1268FF5E" w14:textId="77777777" w:rsidR="0007555D" w:rsidRPr="00C56257" w:rsidRDefault="0007555D" w:rsidP="008E33FD">
      <w:pPr>
        <w:spacing w:line="259" w:lineRule="auto"/>
        <w:jc w:val="both"/>
        <w:rPr>
          <w:color w:val="000000"/>
        </w:rPr>
      </w:pPr>
      <w:r w:rsidRPr="00C56257">
        <w:rPr>
          <w:color w:val="000000"/>
        </w:rPr>
        <w:t>- în cercul cu raza de 12,62m (500m</w:t>
      </w:r>
      <w:r w:rsidRPr="00C56257">
        <w:rPr>
          <w:color w:val="000000"/>
          <w:vertAlign w:val="superscript"/>
        </w:rPr>
        <w:t>2</w:t>
      </w:r>
      <w:r w:rsidRPr="00C56257">
        <w:rPr>
          <w:color w:val="000000"/>
        </w:rPr>
        <w:t>, R5): măsurarea arborilor eşantion cu DBH&gt;285mm;</w:t>
      </w:r>
    </w:p>
    <w:p w14:paraId="611978D6" w14:textId="77777777" w:rsidR="0007555D" w:rsidRPr="00C56257" w:rsidRDefault="0007555D" w:rsidP="008E33FD">
      <w:pPr>
        <w:spacing w:line="259" w:lineRule="auto"/>
        <w:jc w:val="both"/>
        <w:rPr>
          <w:color w:val="000000"/>
        </w:rPr>
      </w:pPr>
      <w:r w:rsidRPr="00C56257">
        <w:rPr>
          <w:color w:val="000000"/>
        </w:rPr>
        <w:t>- în cercul cu raza de 25m: determinarea caracteristicilor staţionale, lizierei pădurii, solurilor forestiere şi prelevarea carotelor de creştere din arbori.</w:t>
      </w:r>
    </w:p>
    <w:p w14:paraId="293D92B8" w14:textId="77777777" w:rsidR="0007555D" w:rsidRPr="00C56257" w:rsidRDefault="0007555D" w:rsidP="008E33FD">
      <w:pPr>
        <w:spacing w:line="259" w:lineRule="auto"/>
        <w:jc w:val="both"/>
        <w:rPr>
          <w:color w:val="000000"/>
        </w:rPr>
      </w:pPr>
      <w:r w:rsidRPr="00C56257">
        <w:rPr>
          <w:color w:val="000000"/>
        </w:rPr>
        <w:t xml:space="preserve">Informaţiile se culeg prin măsurători directe cu instrumente adecvate (diametre, înălţimi ale arborilor etc.) sau prin estimări (consistenţa arboretului etc.). </w:t>
      </w:r>
    </w:p>
    <w:p w14:paraId="3A3262AD" w14:textId="77777777" w:rsidR="0007555D" w:rsidRPr="00C56257" w:rsidRDefault="0007555D" w:rsidP="008E33FD">
      <w:pPr>
        <w:spacing w:line="259" w:lineRule="auto"/>
        <w:jc w:val="both"/>
        <w:rPr>
          <w:color w:val="000000"/>
        </w:rPr>
      </w:pPr>
      <w:r w:rsidRPr="00C56257">
        <w:rPr>
          <w:color w:val="000000"/>
        </w:rPr>
        <w:t xml:space="preserve">Informaţiile colectate din teren din fiecare suprafaţă de probă vor permite estimarea/cuantificarea cu acoperire statistică a atributelor/parametrilor necesari pentru evaluarea stării de conservare a habitatelor forestiere. </w:t>
      </w:r>
    </w:p>
    <w:p w14:paraId="3A006BC7" w14:textId="77777777" w:rsidR="0007555D" w:rsidRPr="00C56257" w:rsidRDefault="0007555D" w:rsidP="008E33FD">
      <w:pPr>
        <w:spacing w:line="259" w:lineRule="auto"/>
        <w:jc w:val="both"/>
        <w:rPr>
          <w:color w:val="000000"/>
        </w:rPr>
      </w:pPr>
      <w:r w:rsidRPr="00C56257">
        <w:rPr>
          <w:color w:val="000000"/>
        </w:rPr>
        <w:t xml:space="preserve">Pentru asigurarea calităţii datelor de teren, acestea sunt verificate şi validate înainte de stocarea şi prelucrarea lor, pentru a avea siguranţa că măsurătorile de teren s-au făcut conform standardelor folosite în cadrul </w:t>
      </w:r>
      <w:bookmarkStart w:id="56" w:name="_Hlk95745194"/>
      <w:r w:rsidRPr="00C56257">
        <w:rPr>
          <w:color w:val="000000"/>
        </w:rPr>
        <w:t>sistemului de monitorizare a vegetației forestiere</w:t>
      </w:r>
      <w:bookmarkEnd w:id="56"/>
      <w:r w:rsidRPr="00C56257">
        <w:rPr>
          <w:color w:val="000000"/>
        </w:rPr>
        <w:t xml:space="preserve">. </w:t>
      </w:r>
    </w:p>
    <w:p w14:paraId="3D337E78" w14:textId="77777777" w:rsidR="0007555D" w:rsidRPr="00C56257" w:rsidRDefault="0007555D" w:rsidP="008E33FD">
      <w:pPr>
        <w:spacing w:line="259" w:lineRule="auto"/>
        <w:jc w:val="both"/>
        <w:rPr>
          <w:color w:val="000000"/>
        </w:rPr>
      </w:pPr>
      <w:r w:rsidRPr="00C56257">
        <w:rPr>
          <w:color w:val="000000"/>
        </w:rPr>
        <w:t xml:space="preserve">O primă etapă de verificare şi validare a datelor de teren este realizată prin programul informatic de introducere a acestora, prin sistemul de restricţii la introducerea datelor de teren şi interconectări între diverse teme şi niveluri ale bazei de date. </w:t>
      </w:r>
    </w:p>
    <w:p w14:paraId="7B879EE0" w14:textId="77777777" w:rsidR="0007555D" w:rsidRPr="00C56257" w:rsidRDefault="0007555D" w:rsidP="008E33FD">
      <w:pPr>
        <w:spacing w:line="259" w:lineRule="auto"/>
        <w:jc w:val="both"/>
        <w:rPr>
          <w:color w:val="000000"/>
        </w:rPr>
      </w:pPr>
      <w:r w:rsidRPr="00C56257">
        <w:rPr>
          <w:color w:val="000000"/>
        </w:rPr>
        <w:t xml:space="preserve">A doua etapă de verificare şi validare a datelor de teren culese se realizează de către personalul cu sarcini speciale de verificare, care returnează echipelor de teren toate înregistrările neconforme, cu solicitarea de explicaţii sau de corectare a acestora. </w:t>
      </w:r>
    </w:p>
    <w:p w14:paraId="1CE6FD0D" w14:textId="77777777" w:rsidR="0007555D" w:rsidRPr="00C56257" w:rsidRDefault="0007555D" w:rsidP="008E33FD">
      <w:pPr>
        <w:spacing w:line="259" w:lineRule="auto"/>
        <w:jc w:val="both"/>
        <w:rPr>
          <w:color w:val="000000"/>
        </w:rPr>
      </w:pPr>
      <w:r w:rsidRPr="00C56257">
        <w:rPr>
          <w:color w:val="000000"/>
        </w:rPr>
        <w:t xml:space="preserve">A treia etapă de verificare a datelor de teren se realizează de echipele de control, care au sarcina de a verifica circa 5% din sondajele parcurse cu lucrări de culegere a datelor de teren. Acestea se deplasează în teren la sondaje alese aleatoriu, în care vor face  remăsurarea suprafeţele de probă. </w:t>
      </w:r>
    </w:p>
    <w:p w14:paraId="648690FF" w14:textId="77777777" w:rsidR="0007555D" w:rsidRPr="00C56257" w:rsidRDefault="0007555D" w:rsidP="008E33FD">
      <w:pPr>
        <w:spacing w:line="259" w:lineRule="auto"/>
        <w:jc w:val="both"/>
        <w:rPr>
          <w:color w:val="000000"/>
        </w:rPr>
      </w:pPr>
      <w:r w:rsidRPr="00C56257">
        <w:rPr>
          <w:color w:val="000000"/>
        </w:rPr>
        <w:t>Volumul mare şi complex de date din cadrul sistemului de monitorizare a vegetației forestiere a condus la proiectarea şi implementarea unui sistem informatic capabil să poată stoca şi prelucra aceste date.</w:t>
      </w:r>
    </w:p>
    <w:p w14:paraId="19756619" w14:textId="77777777" w:rsidR="0007555D" w:rsidRPr="00C56257" w:rsidRDefault="0007555D" w:rsidP="008E33FD">
      <w:pPr>
        <w:spacing w:after="160" w:line="259" w:lineRule="auto"/>
        <w:jc w:val="both"/>
        <w:rPr>
          <w:color w:val="000000"/>
        </w:rPr>
      </w:pPr>
      <w:r w:rsidRPr="00C56257">
        <w:rPr>
          <w:color w:val="000000"/>
        </w:rPr>
        <w:t>Stocarea datelor de teren se face folosind un sistem de gestiune a bazelor de date Oracle. Acesta este un sistem de baze relaţionale care stochează datele în tabele bidimensionale. Un astfel de sistem garantează atât siguranţa integrităţii datelor, cât şi o foarte bună gestionare a acestora, făcând posibilă intercorelarea datelor ce provin din surse interne cât şi din surse externe.</w:t>
      </w:r>
    </w:p>
    <w:p w14:paraId="47DA904B" w14:textId="77777777" w:rsidR="0007555D" w:rsidRPr="00C56257" w:rsidRDefault="0007555D" w:rsidP="008E33FD">
      <w:pPr>
        <w:spacing w:after="160" w:line="259" w:lineRule="auto"/>
        <w:jc w:val="both"/>
        <w:rPr>
          <w:color w:val="000000"/>
        </w:rPr>
      </w:pPr>
      <w:r w:rsidRPr="00C56257">
        <w:rPr>
          <w:color w:val="000000"/>
        </w:rPr>
        <w:t>Fiind proiectat ca un sistem modular, acesta este structurat în subsisteme şi module. Fiecare subsistem are propriile „intrări” şi „ieşiri”, putând transmite sau primi date de la oricare alt subsistem (Figura 9).</w:t>
      </w:r>
    </w:p>
    <w:p w14:paraId="26DE6477" w14:textId="77777777" w:rsidR="0007555D" w:rsidRPr="00C56257" w:rsidRDefault="0007555D" w:rsidP="00F100E1">
      <w:pPr>
        <w:spacing w:after="160" w:line="259" w:lineRule="auto"/>
        <w:jc w:val="both"/>
        <w:rPr>
          <w:b/>
          <w:color w:val="000000"/>
          <w:lang w:val="en-US"/>
        </w:rPr>
      </w:pPr>
      <w:r w:rsidRPr="00C56257">
        <w:rPr>
          <w:noProof/>
          <w:lang w:val="en-US"/>
        </w:rPr>
        <w:drawing>
          <wp:inline distT="0" distB="0" distL="0" distR="0" wp14:anchorId="072B7987" wp14:editId="29E1D309">
            <wp:extent cx="5731510" cy="2240577"/>
            <wp:effectExtent l="0" t="0" r="254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31510" cy="2240577"/>
                    </a:xfrm>
                    <a:prstGeom prst="rect">
                      <a:avLst/>
                    </a:prstGeom>
                    <a:noFill/>
                    <a:ln>
                      <a:noFill/>
                    </a:ln>
                  </pic:spPr>
                </pic:pic>
              </a:graphicData>
            </a:graphic>
          </wp:inline>
        </w:drawing>
      </w:r>
    </w:p>
    <w:p w14:paraId="3CC0ED31" w14:textId="77777777" w:rsidR="0007555D" w:rsidRPr="00C56257" w:rsidRDefault="0007555D" w:rsidP="00F100E1">
      <w:pPr>
        <w:spacing w:after="160" w:line="259" w:lineRule="auto"/>
        <w:jc w:val="both"/>
        <w:rPr>
          <w:bCs/>
          <w:color w:val="000000"/>
        </w:rPr>
      </w:pPr>
      <w:r w:rsidRPr="00C56257">
        <w:rPr>
          <w:bCs/>
          <w:color w:val="000000"/>
        </w:rPr>
        <w:t xml:space="preserve">Figura 9. Structura funcţională a sistemului informatic </w:t>
      </w:r>
      <w:r w:rsidRPr="00C56257">
        <w:rPr>
          <w:color w:val="000000"/>
        </w:rPr>
        <w:t>folosit la monitorizarea vegetației forestiere</w:t>
      </w:r>
    </w:p>
    <w:p w14:paraId="505840F9"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b/>
          <w:iCs/>
        </w:rPr>
        <w:t xml:space="preserve">Tipurile de date care se vor colecta din suprafețele de monitorizare. </w:t>
      </w:r>
      <w:r w:rsidRPr="00C56257">
        <w:rPr>
          <w:rFonts w:eastAsia="Calibri"/>
          <w:iCs/>
        </w:rPr>
        <w:t xml:space="preserve">Din fiecare suprafață/plot se </w:t>
      </w:r>
      <w:r w:rsidRPr="00C56257">
        <w:rPr>
          <w:rFonts w:eastAsia="Calibri"/>
          <w:iCs/>
        </w:rPr>
        <w:lastRenderedPageBreak/>
        <w:t>colectează următoarele tipuri de date:</w:t>
      </w:r>
    </w:p>
    <w:p w14:paraId="64C177EE" w14:textId="77777777" w:rsidR="0007555D" w:rsidRPr="00C56257" w:rsidRDefault="0007555D" w:rsidP="008E33FD">
      <w:pPr>
        <w:widowControl w:val="0"/>
        <w:numPr>
          <w:ilvl w:val="0"/>
          <w:numId w:val="8"/>
        </w:numPr>
        <w:autoSpaceDE w:val="0"/>
        <w:autoSpaceDN w:val="0"/>
        <w:adjustRightInd w:val="0"/>
        <w:contextualSpacing/>
        <w:jc w:val="both"/>
        <w:rPr>
          <w:rFonts w:eastAsia="Calibri"/>
          <w:iCs/>
        </w:rPr>
      </w:pPr>
      <w:r w:rsidRPr="00C56257">
        <w:rPr>
          <w:rFonts w:eastAsia="Calibri"/>
          <w:b/>
          <w:iCs/>
        </w:rPr>
        <w:t>Date privind cadrul fizico-geografic/stațiunea/biotopul</w:t>
      </w:r>
      <w:r w:rsidRPr="00C56257">
        <w:rPr>
          <w:rFonts w:eastAsia="Calibri"/>
          <w:iCs/>
        </w:rPr>
        <w:t>: roca/substratul litologic, % de rocă la suprafață, forma de relief, clasa de sol, tipul de humus, tipul de drenaj și submersibilitatea;</w:t>
      </w:r>
    </w:p>
    <w:p w14:paraId="6D22DFBE" w14:textId="77777777" w:rsidR="0007555D" w:rsidRPr="00C56257" w:rsidRDefault="0007555D" w:rsidP="008E33FD">
      <w:pPr>
        <w:widowControl w:val="0"/>
        <w:numPr>
          <w:ilvl w:val="0"/>
          <w:numId w:val="8"/>
        </w:numPr>
        <w:autoSpaceDE w:val="0"/>
        <w:autoSpaceDN w:val="0"/>
        <w:adjustRightInd w:val="0"/>
        <w:contextualSpacing/>
        <w:jc w:val="both"/>
        <w:rPr>
          <w:rFonts w:eastAsia="Calibri"/>
          <w:iCs/>
        </w:rPr>
      </w:pPr>
      <w:r w:rsidRPr="00C56257">
        <w:rPr>
          <w:rFonts w:eastAsia="Calibri"/>
          <w:b/>
          <w:iCs/>
        </w:rPr>
        <w:t>Date privind vegetația</w:t>
      </w:r>
      <w:r w:rsidRPr="00C56257">
        <w:rPr>
          <w:rFonts w:eastAsia="Calibri"/>
          <w:iCs/>
        </w:rPr>
        <w:t>: tipul de pădure/grupa de tipuri de pădure, tipul și subtipul de flora indicatoare, asociația vegetală;</w:t>
      </w:r>
    </w:p>
    <w:p w14:paraId="6DEE66A5" w14:textId="77777777" w:rsidR="0007555D" w:rsidRPr="00C56257" w:rsidRDefault="0007555D" w:rsidP="008E33FD">
      <w:pPr>
        <w:widowControl w:val="0"/>
        <w:numPr>
          <w:ilvl w:val="0"/>
          <w:numId w:val="8"/>
        </w:numPr>
        <w:autoSpaceDE w:val="0"/>
        <w:autoSpaceDN w:val="0"/>
        <w:adjustRightInd w:val="0"/>
        <w:contextualSpacing/>
        <w:jc w:val="both"/>
        <w:rPr>
          <w:rFonts w:eastAsia="Calibri"/>
          <w:iCs/>
        </w:rPr>
      </w:pPr>
      <w:r w:rsidRPr="00C56257">
        <w:rPr>
          <w:rFonts w:eastAsia="Calibri"/>
          <w:b/>
          <w:iCs/>
        </w:rPr>
        <w:t>Date privind etajul arborilor</w:t>
      </w:r>
      <w:r w:rsidRPr="00C56257">
        <w:rPr>
          <w:rFonts w:eastAsia="Calibri"/>
          <w:iCs/>
        </w:rPr>
        <w:t>: compoziția, modul de regenerare, gradul de naturalitate, consistența, lemnul mort;</w:t>
      </w:r>
    </w:p>
    <w:p w14:paraId="6DE4B40F" w14:textId="77777777" w:rsidR="0007555D" w:rsidRPr="00C56257" w:rsidRDefault="0007555D" w:rsidP="008E33FD">
      <w:pPr>
        <w:widowControl w:val="0"/>
        <w:numPr>
          <w:ilvl w:val="0"/>
          <w:numId w:val="8"/>
        </w:numPr>
        <w:autoSpaceDE w:val="0"/>
        <w:autoSpaceDN w:val="0"/>
        <w:adjustRightInd w:val="0"/>
        <w:contextualSpacing/>
        <w:jc w:val="both"/>
        <w:rPr>
          <w:rFonts w:eastAsia="Calibri"/>
          <w:iCs/>
        </w:rPr>
      </w:pPr>
      <w:r w:rsidRPr="00C56257">
        <w:rPr>
          <w:rFonts w:eastAsia="Calibri"/>
          <w:b/>
          <w:iCs/>
        </w:rPr>
        <w:t>Date privind semințișul/regenerarea</w:t>
      </w:r>
      <w:r w:rsidRPr="00C56257">
        <w:rPr>
          <w:rFonts w:eastAsia="Calibri"/>
          <w:iCs/>
        </w:rPr>
        <w:t>: specii de puieți, gradul de acoperire al regenerării, factori vătămători ai regenerării;</w:t>
      </w:r>
    </w:p>
    <w:p w14:paraId="79DCA7D8" w14:textId="77777777" w:rsidR="0007555D" w:rsidRPr="00C56257" w:rsidRDefault="0007555D" w:rsidP="008E33FD">
      <w:pPr>
        <w:widowControl w:val="0"/>
        <w:numPr>
          <w:ilvl w:val="0"/>
          <w:numId w:val="8"/>
        </w:numPr>
        <w:autoSpaceDE w:val="0"/>
        <w:autoSpaceDN w:val="0"/>
        <w:adjustRightInd w:val="0"/>
        <w:contextualSpacing/>
        <w:jc w:val="both"/>
        <w:rPr>
          <w:rFonts w:eastAsia="Calibri"/>
          <w:iCs/>
        </w:rPr>
      </w:pPr>
      <w:r w:rsidRPr="00C56257">
        <w:rPr>
          <w:rFonts w:eastAsia="Calibri"/>
          <w:b/>
          <w:iCs/>
        </w:rPr>
        <w:t>Date privind pătura erbacee/flora ierboasă</w:t>
      </w:r>
      <w:r w:rsidRPr="00C56257">
        <w:rPr>
          <w:rFonts w:eastAsia="Calibri"/>
          <w:iCs/>
        </w:rPr>
        <w:t>: acoperirea;</w:t>
      </w:r>
    </w:p>
    <w:p w14:paraId="2120082D" w14:textId="77777777" w:rsidR="0007555D" w:rsidRPr="00C56257" w:rsidRDefault="0007555D" w:rsidP="008E33FD">
      <w:pPr>
        <w:widowControl w:val="0"/>
        <w:numPr>
          <w:ilvl w:val="0"/>
          <w:numId w:val="8"/>
        </w:numPr>
        <w:autoSpaceDE w:val="0"/>
        <w:autoSpaceDN w:val="0"/>
        <w:adjustRightInd w:val="0"/>
        <w:contextualSpacing/>
        <w:jc w:val="both"/>
        <w:rPr>
          <w:rFonts w:eastAsia="Calibri"/>
          <w:iCs/>
        </w:rPr>
      </w:pPr>
      <w:r w:rsidRPr="00C56257">
        <w:rPr>
          <w:rFonts w:eastAsia="Calibri"/>
          <w:b/>
          <w:iCs/>
        </w:rPr>
        <w:t>Date privind vătămările</w:t>
      </w:r>
      <w:r w:rsidRPr="00C56257">
        <w:rPr>
          <w:rFonts w:eastAsia="Calibri"/>
          <w:iCs/>
        </w:rPr>
        <w:t>: factori vătămători biotici/abiotici, presiuni existente asupra biotopului și biocenozei, intensitatea presiunii, durata de manifestare a presiunii;</w:t>
      </w:r>
    </w:p>
    <w:p w14:paraId="64E65FD1" w14:textId="77777777" w:rsidR="0007555D" w:rsidRPr="00C56257" w:rsidRDefault="0007555D" w:rsidP="008E33FD">
      <w:pPr>
        <w:widowControl w:val="0"/>
        <w:numPr>
          <w:ilvl w:val="0"/>
          <w:numId w:val="8"/>
        </w:numPr>
        <w:autoSpaceDE w:val="0"/>
        <w:autoSpaceDN w:val="0"/>
        <w:adjustRightInd w:val="0"/>
        <w:contextualSpacing/>
        <w:jc w:val="both"/>
        <w:rPr>
          <w:rFonts w:eastAsia="Calibri"/>
          <w:iCs/>
        </w:rPr>
      </w:pPr>
      <w:r w:rsidRPr="00C56257">
        <w:rPr>
          <w:rFonts w:eastAsia="Calibri"/>
          <w:b/>
          <w:iCs/>
        </w:rPr>
        <w:t>Perspective</w:t>
      </w:r>
      <w:r w:rsidRPr="00C56257">
        <w:rPr>
          <w:rFonts w:eastAsia="Calibri"/>
          <w:iCs/>
        </w:rPr>
        <w:t>: amenințări potențiale, hazarde/riscuri, viabilitatea pădurii/habitatului pe termen lung.</w:t>
      </w:r>
    </w:p>
    <w:p w14:paraId="74F6BAFA" w14:textId="77777777" w:rsidR="0007555D" w:rsidRPr="00C56257" w:rsidRDefault="0007555D" w:rsidP="008E33FD">
      <w:pPr>
        <w:widowControl w:val="0"/>
        <w:autoSpaceDE w:val="0"/>
        <w:autoSpaceDN w:val="0"/>
        <w:adjustRightInd w:val="0"/>
        <w:jc w:val="both"/>
        <w:rPr>
          <w:rFonts w:eastAsia="Calibri"/>
          <w:iCs/>
        </w:rPr>
      </w:pPr>
    </w:p>
    <w:p w14:paraId="386FF1CC"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b/>
          <w:iCs/>
        </w:rPr>
        <w:t>Tipul de habitat</w:t>
      </w:r>
      <w:r w:rsidRPr="00C56257">
        <w:rPr>
          <w:rFonts w:eastAsia="Calibri"/>
          <w:iCs/>
        </w:rPr>
        <w:t xml:space="preserve"> căruia îi corespunde fiecare suprafață de monitorizare este dat de următoarele elemente: </w:t>
      </w:r>
      <w:r w:rsidRPr="00C56257">
        <w:rPr>
          <w:rFonts w:eastAsia="Calibri"/>
          <w:b/>
          <w:i/>
          <w:iCs/>
        </w:rPr>
        <w:t>tipul de pădure + compoziția arboretului + localizarea spațială a suprafeței/condiții fizico-geografice</w:t>
      </w:r>
      <w:r w:rsidRPr="00C56257">
        <w:rPr>
          <w:rFonts w:eastAsia="Calibri"/>
          <w:iCs/>
        </w:rPr>
        <w:t xml:space="preserve">. În cazul în care aceste elemente nu sunt suficiente pentru încadrarea plotului la un anumit tip de habitat (încadrarea este ambiguă), se vor lua în considerare și: </w:t>
      </w:r>
      <w:r w:rsidRPr="00C56257">
        <w:rPr>
          <w:rFonts w:eastAsia="Calibri"/>
          <w:b/>
          <w:i/>
          <w:iCs/>
        </w:rPr>
        <w:t xml:space="preserve">tipul de floră, tipul de humus, regimul hidrologic/nivelul apei freatice/gradul de inundabilitate/drenajul </w:t>
      </w:r>
      <w:r w:rsidRPr="00C56257">
        <w:rPr>
          <w:rFonts w:eastAsia="Calibri"/>
          <w:iCs/>
        </w:rPr>
        <w:t>(Tabelul 10).</w:t>
      </w:r>
    </w:p>
    <w:p w14:paraId="399BE505" w14:textId="77777777" w:rsidR="0007555D" w:rsidRPr="00C56257" w:rsidRDefault="0007555D" w:rsidP="00F100E1">
      <w:pPr>
        <w:widowControl w:val="0"/>
        <w:autoSpaceDE w:val="0"/>
        <w:autoSpaceDN w:val="0"/>
        <w:adjustRightInd w:val="0"/>
        <w:jc w:val="both"/>
        <w:rPr>
          <w:rFonts w:eastAsia="Calibri"/>
          <w:iCs/>
        </w:rPr>
      </w:pPr>
      <w:r w:rsidRPr="00C56257">
        <w:rPr>
          <w:rFonts w:eastAsia="Calibri"/>
          <w:iCs/>
        </w:rPr>
        <w:t>Tabelul 10. Elemente de diagnoză utilizate în stabilirea tipului de habitat</w:t>
      </w:r>
    </w:p>
    <w:tbl>
      <w:tblPr>
        <w:tblStyle w:val="TableGrid"/>
        <w:tblW w:w="0" w:type="auto"/>
        <w:tblLook w:val="04A0" w:firstRow="1" w:lastRow="0" w:firstColumn="1" w:lastColumn="0" w:noHBand="0" w:noVBand="1"/>
      </w:tblPr>
      <w:tblGrid>
        <w:gridCol w:w="3794"/>
        <w:gridCol w:w="5782"/>
      </w:tblGrid>
      <w:tr w:rsidR="0007555D" w:rsidRPr="00C56257" w14:paraId="77B49A68" w14:textId="77777777" w:rsidTr="0007555D">
        <w:tc>
          <w:tcPr>
            <w:tcW w:w="3794" w:type="dxa"/>
            <w:shd w:val="clear" w:color="auto" w:fill="BFBFBF"/>
          </w:tcPr>
          <w:p w14:paraId="2CADB65A" w14:textId="77777777" w:rsidR="0007555D" w:rsidRPr="00C56257" w:rsidRDefault="0007555D" w:rsidP="008E33FD">
            <w:pPr>
              <w:widowControl w:val="0"/>
              <w:autoSpaceDE w:val="0"/>
              <w:autoSpaceDN w:val="0"/>
              <w:adjustRightInd w:val="0"/>
              <w:jc w:val="both"/>
              <w:rPr>
                <w:rFonts w:eastAsia="Calibri"/>
                <w:b/>
                <w:iCs/>
              </w:rPr>
            </w:pPr>
            <w:r w:rsidRPr="00C56257">
              <w:rPr>
                <w:rFonts w:eastAsia="Calibri"/>
                <w:b/>
                <w:iCs/>
              </w:rPr>
              <w:t>Tipul de habitat</w:t>
            </w:r>
          </w:p>
        </w:tc>
        <w:tc>
          <w:tcPr>
            <w:tcW w:w="5782" w:type="dxa"/>
            <w:shd w:val="clear" w:color="auto" w:fill="BFBFBF"/>
          </w:tcPr>
          <w:p w14:paraId="1F3963C1"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b/>
                <w:iCs/>
              </w:rPr>
              <w:t>Tipuri de date colectate din suprafețele de monitorizare</w:t>
            </w:r>
          </w:p>
        </w:tc>
      </w:tr>
      <w:tr w:rsidR="0007555D" w:rsidRPr="00C56257" w14:paraId="1D05FEC3" w14:textId="77777777" w:rsidTr="0007555D">
        <w:tc>
          <w:tcPr>
            <w:tcW w:w="3794" w:type="dxa"/>
            <w:vMerge w:val="restart"/>
          </w:tcPr>
          <w:p w14:paraId="669489EE"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Chei de diagnoză a tipului de habitat</w:t>
            </w:r>
          </w:p>
        </w:tc>
        <w:tc>
          <w:tcPr>
            <w:tcW w:w="5782" w:type="dxa"/>
          </w:tcPr>
          <w:p w14:paraId="6B7C5CEE"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 xml:space="preserve">tipul de pădure </w:t>
            </w:r>
          </w:p>
        </w:tc>
      </w:tr>
      <w:tr w:rsidR="0007555D" w:rsidRPr="00C56257" w14:paraId="33068C3D" w14:textId="77777777" w:rsidTr="0007555D">
        <w:tc>
          <w:tcPr>
            <w:tcW w:w="3794" w:type="dxa"/>
            <w:vMerge/>
          </w:tcPr>
          <w:p w14:paraId="0A0B52B0" w14:textId="77777777" w:rsidR="0007555D" w:rsidRPr="00C56257" w:rsidRDefault="0007555D" w:rsidP="008E33FD">
            <w:pPr>
              <w:widowControl w:val="0"/>
              <w:autoSpaceDE w:val="0"/>
              <w:autoSpaceDN w:val="0"/>
              <w:adjustRightInd w:val="0"/>
              <w:jc w:val="both"/>
              <w:rPr>
                <w:rFonts w:eastAsia="Calibri"/>
                <w:iCs/>
              </w:rPr>
            </w:pPr>
          </w:p>
        </w:tc>
        <w:tc>
          <w:tcPr>
            <w:tcW w:w="5782" w:type="dxa"/>
          </w:tcPr>
          <w:p w14:paraId="6F6FE73A"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compoziția arboretului</w:t>
            </w:r>
          </w:p>
        </w:tc>
      </w:tr>
      <w:tr w:rsidR="0007555D" w:rsidRPr="00C56257" w14:paraId="41925777" w14:textId="77777777" w:rsidTr="0007555D">
        <w:tc>
          <w:tcPr>
            <w:tcW w:w="3794" w:type="dxa"/>
            <w:vMerge/>
          </w:tcPr>
          <w:p w14:paraId="1D3ED6DB" w14:textId="77777777" w:rsidR="0007555D" w:rsidRPr="00C56257" w:rsidRDefault="0007555D" w:rsidP="008E33FD">
            <w:pPr>
              <w:widowControl w:val="0"/>
              <w:autoSpaceDE w:val="0"/>
              <w:autoSpaceDN w:val="0"/>
              <w:adjustRightInd w:val="0"/>
              <w:jc w:val="both"/>
              <w:rPr>
                <w:rFonts w:eastAsia="Calibri"/>
                <w:iCs/>
              </w:rPr>
            </w:pPr>
          </w:p>
        </w:tc>
        <w:tc>
          <w:tcPr>
            <w:tcW w:w="5782" w:type="dxa"/>
          </w:tcPr>
          <w:p w14:paraId="0EC5491B"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localizarea spațială a suprafeței/condiții fizico-geografice</w:t>
            </w:r>
          </w:p>
        </w:tc>
      </w:tr>
      <w:tr w:rsidR="0007555D" w:rsidRPr="00C56257" w14:paraId="63DCCCEF" w14:textId="77777777" w:rsidTr="0007555D">
        <w:tc>
          <w:tcPr>
            <w:tcW w:w="3794" w:type="dxa"/>
            <w:vMerge/>
          </w:tcPr>
          <w:p w14:paraId="26325516" w14:textId="77777777" w:rsidR="0007555D" w:rsidRPr="00C56257" w:rsidRDefault="0007555D" w:rsidP="008E33FD">
            <w:pPr>
              <w:widowControl w:val="0"/>
              <w:autoSpaceDE w:val="0"/>
              <w:autoSpaceDN w:val="0"/>
              <w:adjustRightInd w:val="0"/>
              <w:jc w:val="both"/>
              <w:rPr>
                <w:rFonts w:eastAsia="Calibri"/>
                <w:iCs/>
              </w:rPr>
            </w:pPr>
          </w:p>
        </w:tc>
        <w:tc>
          <w:tcPr>
            <w:tcW w:w="5782" w:type="dxa"/>
          </w:tcPr>
          <w:p w14:paraId="73F6F332"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tipul de floră</w:t>
            </w:r>
          </w:p>
        </w:tc>
      </w:tr>
      <w:tr w:rsidR="0007555D" w:rsidRPr="00C56257" w14:paraId="25442AEB" w14:textId="77777777" w:rsidTr="0007555D">
        <w:tc>
          <w:tcPr>
            <w:tcW w:w="3794" w:type="dxa"/>
            <w:vMerge/>
          </w:tcPr>
          <w:p w14:paraId="28AECBC3" w14:textId="77777777" w:rsidR="0007555D" w:rsidRPr="00C56257" w:rsidRDefault="0007555D" w:rsidP="008E33FD">
            <w:pPr>
              <w:widowControl w:val="0"/>
              <w:autoSpaceDE w:val="0"/>
              <w:autoSpaceDN w:val="0"/>
              <w:adjustRightInd w:val="0"/>
              <w:jc w:val="both"/>
              <w:rPr>
                <w:rFonts w:eastAsia="Calibri"/>
                <w:iCs/>
              </w:rPr>
            </w:pPr>
          </w:p>
        </w:tc>
        <w:tc>
          <w:tcPr>
            <w:tcW w:w="5782" w:type="dxa"/>
          </w:tcPr>
          <w:p w14:paraId="54CBB0A2"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tipul de humus</w:t>
            </w:r>
          </w:p>
        </w:tc>
      </w:tr>
      <w:tr w:rsidR="0007555D" w:rsidRPr="00C56257" w14:paraId="4DC47E06" w14:textId="77777777" w:rsidTr="0007555D">
        <w:tc>
          <w:tcPr>
            <w:tcW w:w="3794" w:type="dxa"/>
            <w:vMerge/>
          </w:tcPr>
          <w:p w14:paraId="432F3AB5" w14:textId="77777777" w:rsidR="0007555D" w:rsidRPr="00C56257" w:rsidRDefault="0007555D" w:rsidP="008E33FD">
            <w:pPr>
              <w:widowControl w:val="0"/>
              <w:autoSpaceDE w:val="0"/>
              <w:autoSpaceDN w:val="0"/>
              <w:adjustRightInd w:val="0"/>
              <w:jc w:val="both"/>
              <w:rPr>
                <w:rFonts w:eastAsia="Calibri"/>
                <w:iCs/>
              </w:rPr>
            </w:pPr>
          </w:p>
        </w:tc>
        <w:tc>
          <w:tcPr>
            <w:tcW w:w="5782" w:type="dxa"/>
          </w:tcPr>
          <w:p w14:paraId="05EC1A95"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regimul hidrologic/nivelul apei freatice/gradul de inundabilitate/drenajul</w:t>
            </w:r>
          </w:p>
        </w:tc>
      </w:tr>
      <w:tr w:rsidR="0007555D" w:rsidRPr="00C56257" w14:paraId="1B5C2F98" w14:textId="77777777" w:rsidTr="0007555D">
        <w:tc>
          <w:tcPr>
            <w:tcW w:w="3794" w:type="dxa"/>
          </w:tcPr>
          <w:p w14:paraId="0623995B"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În cazul persistenței ambiguității</w:t>
            </w:r>
          </w:p>
        </w:tc>
        <w:tc>
          <w:tcPr>
            <w:tcW w:w="5782" w:type="dxa"/>
          </w:tcPr>
          <w:p w14:paraId="1EBEDE20"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pot fi luate în considerare și alte date: productivitatea arboretului</w:t>
            </w:r>
          </w:p>
        </w:tc>
      </w:tr>
    </w:tbl>
    <w:p w14:paraId="3A9A9603" w14:textId="77777777" w:rsidR="0007555D" w:rsidRPr="00C56257" w:rsidRDefault="0007555D" w:rsidP="008E33FD">
      <w:pPr>
        <w:widowControl w:val="0"/>
        <w:autoSpaceDE w:val="0"/>
        <w:autoSpaceDN w:val="0"/>
        <w:adjustRightInd w:val="0"/>
        <w:jc w:val="both"/>
        <w:rPr>
          <w:rFonts w:eastAsia="Calibri"/>
          <w:iCs/>
        </w:rPr>
      </w:pPr>
    </w:p>
    <w:p w14:paraId="5779C8FB" w14:textId="77777777" w:rsidR="0007555D" w:rsidRPr="00C56257" w:rsidRDefault="0007555D" w:rsidP="008E33FD">
      <w:pPr>
        <w:widowControl w:val="0"/>
        <w:autoSpaceDE w:val="0"/>
        <w:autoSpaceDN w:val="0"/>
        <w:adjustRightInd w:val="0"/>
        <w:jc w:val="both"/>
        <w:rPr>
          <w:rFonts w:eastAsia="Calibri"/>
        </w:rPr>
      </w:pPr>
      <w:r w:rsidRPr="00C56257">
        <w:rPr>
          <w:rFonts w:eastAsia="Calibri"/>
          <w:iCs/>
        </w:rPr>
        <w:t xml:space="preserve">Seturile de date colectate vor fi utilizate la estimarea parametrilor descriptivi utilizați în </w:t>
      </w:r>
      <w:r w:rsidRPr="00C56257">
        <w:rPr>
          <w:rFonts w:eastAsia="Calibri"/>
        </w:rPr>
        <w:t>matricea de evaluare generală a stării de conservare a habitatelor forestiere, după cum urmează (Tabelul 11):</w:t>
      </w:r>
    </w:p>
    <w:p w14:paraId="7620217E" w14:textId="77777777" w:rsidR="0007555D" w:rsidRPr="00C56257" w:rsidRDefault="0007555D" w:rsidP="008E33FD">
      <w:pPr>
        <w:widowControl w:val="0"/>
        <w:autoSpaceDE w:val="0"/>
        <w:autoSpaceDN w:val="0"/>
        <w:adjustRightInd w:val="0"/>
        <w:jc w:val="both"/>
        <w:rPr>
          <w:rFonts w:eastAsia="Calibri"/>
        </w:rPr>
      </w:pPr>
    </w:p>
    <w:p w14:paraId="49B1D695" w14:textId="77777777" w:rsidR="0007555D" w:rsidRPr="00C56257" w:rsidRDefault="0007555D" w:rsidP="00F100E1">
      <w:pPr>
        <w:widowControl w:val="0"/>
        <w:autoSpaceDE w:val="0"/>
        <w:autoSpaceDN w:val="0"/>
        <w:adjustRightInd w:val="0"/>
        <w:jc w:val="both"/>
        <w:rPr>
          <w:rFonts w:eastAsia="Calibri"/>
          <w:iCs/>
        </w:rPr>
      </w:pPr>
      <w:r w:rsidRPr="00C56257">
        <w:rPr>
          <w:rFonts w:eastAsia="Calibri"/>
          <w:iCs/>
        </w:rPr>
        <w:t>Tabelul 11. Tipurile de date colectate din suprafețele de monitorizare utilizate la estimarea parametrilor de evaluare a stării de conservare a habitatelor</w:t>
      </w:r>
    </w:p>
    <w:tbl>
      <w:tblPr>
        <w:tblStyle w:val="TableGrid"/>
        <w:tblW w:w="0" w:type="auto"/>
        <w:tblLook w:val="04A0" w:firstRow="1" w:lastRow="0" w:firstColumn="1" w:lastColumn="0" w:noHBand="0" w:noVBand="1"/>
      </w:tblPr>
      <w:tblGrid>
        <w:gridCol w:w="3794"/>
        <w:gridCol w:w="5782"/>
      </w:tblGrid>
      <w:tr w:rsidR="0007555D" w:rsidRPr="00C56257" w14:paraId="39CB39AA" w14:textId="77777777" w:rsidTr="0007555D">
        <w:tc>
          <w:tcPr>
            <w:tcW w:w="3794" w:type="dxa"/>
            <w:shd w:val="clear" w:color="auto" w:fill="BFBFBF"/>
          </w:tcPr>
          <w:p w14:paraId="4681FD0D" w14:textId="77777777" w:rsidR="0007555D" w:rsidRPr="00C56257" w:rsidRDefault="0007555D" w:rsidP="008E33FD">
            <w:pPr>
              <w:widowControl w:val="0"/>
              <w:autoSpaceDE w:val="0"/>
              <w:autoSpaceDN w:val="0"/>
              <w:adjustRightInd w:val="0"/>
              <w:jc w:val="both"/>
              <w:rPr>
                <w:rFonts w:eastAsia="Calibri"/>
                <w:b/>
                <w:iCs/>
              </w:rPr>
            </w:pPr>
            <w:r w:rsidRPr="00C56257">
              <w:rPr>
                <w:rFonts w:eastAsia="Calibri"/>
                <w:b/>
                <w:iCs/>
              </w:rPr>
              <w:t>Parametrul de evaluare a stării de conservare a habitatelor</w:t>
            </w:r>
          </w:p>
        </w:tc>
        <w:tc>
          <w:tcPr>
            <w:tcW w:w="5782" w:type="dxa"/>
            <w:shd w:val="clear" w:color="auto" w:fill="BFBFBF"/>
          </w:tcPr>
          <w:p w14:paraId="03D5BD49" w14:textId="77777777" w:rsidR="0007555D" w:rsidRPr="00C56257" w:rsidRDefault="0007555D" w:rsidP="008E33FD">
            <w:pPr>
              <w:widowControl w:val="0"/>
              <w:autoSpaceDE w:val="0"/>
              <w:autoSpaceDN w:val="0"/>
              <w:adjustRightInd w:val="0"/>
              <w:jc w:val="both"/>
              <w:rPr>
                <w:rFonts w:eastAsia="Calibri"/>
                <w:b/>
                <w:iCs/>
              </w:rPr>
            </w:pPr>
            <w:r w:rsidRPr="00C56257">
              <w:rPr>
                <w:rFonts w:eastAsia="Calibri"/>
                <w:b/>
                <w:iCs/>
              </w:rPr>
              <w:t>Tipuri de date colectate din suprafețele de monitorizare</w:t>
            </w:r>
          </w:p>
        </w:tc>
      </w:tr>
      <w:tr w:rsidR="0007555D" w:rsidRPr="00C56257" w14:paraId="62912044" w14:textId="77777777" w:rsidTr="0007555D">
        <w:tc>
          <w:tcPr>
            <w:tcW w:w="3794" w:type="dxa"/>
            <w:vMerge w:val="restart"/>
          </w:tcPr>
          <w:p w14:paraId="447005AD"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Specii tipice</w:t>
            </w:r>
          </w:p>
        </w:tc>
        <w:tc>
          <w:tcPr>
            <w:tcW w:w="5782" w:type="dxa"/>
          </w:tcPr>
          <w:p w14:paraId="18968C4D" w14:textId="77777777" w:rsidR="0007555D" w:rsidRPr="00C56257" w:rsidRDefault="0007555D" w:rsidP="008E33FD">
            <w:pPr>
              <w:widowControl w:val="0"/>
              <w:autoSpaceDE w:val="0"/>
              <w:autoSpaceDN w:val="0"/>
              <w:adjustRightInd w:val="0"/>
              <w:jc w:val="both"/>
              <w:rPr>
                <w:rFonts w:eastAsia="Calibri"/>
                <w:bCs/>
                <w:iCs/>
              </w:rPr>
            </w:pPr>
            <w:r w:rsidRPr="00C56257">
              <w:rPr>
                <w:rFonts w:eastAsia="Calibri"/>
                <w:bCs/>
                <w:iCs/>
              </w:rPr>
              <w:t xml:space="preserve">compoziția arboretului </w:t>
            </w:r>
          </w:p>
        </w:tc>
      </w:tr>
      <w:tr w:rsidR="0007555D" w:rsidRPr="00C56257" w14:paraId="28CE154D" w14:textId="77777777" w:rsidTr="0007555D">
        <w:tc>
          <w:tcPr>
            <w:tcW w:w="3794" w:type="dxa"/>
            <w:vMerge/>
          </w:tcPr>
          <w:p w14:paraId="748FB6AD" w14:textId="77777777" w:rsidR="0007555D" w:rsidRPr="00C56257" w:rsidRDefault="0007555D" w:rsidP="008E33FD">
            <w:pPr>
              <w:widowControl w:val="0"/>
              <w:autoSpaceDE w:val="0"/>
              <w:autoSpaceDN w:val="0"/>
              <w:adjustRightInd w:val="0"/>
              <w:jc w:val="both"/>
              <w:rPr>
                <w:rFonts w:eastAsia="Calibri"/>
                <w:iCs/>
              </w:rPr>
            </w:pPr>
          </w:p>
        </w:tc>
        <w:tc>
          <w:tcPr>
            <w:tcW w:w="5782" w:type="dxa"/>
          </w:tcPr>
          <w:p w14:paraId="48601338" w14:textId="77777777" w:rsidR="0007555D" w:rsidRPr="00C56257" w:rsidRDefault="0007555D" w:rsidP="008E33FD">
            <w:pPr>
              <w:widowControl w:val="0"/>
              <w:autoSpaceDE w:val="0"/>
              <w:autoSpaceDN w:val="0"/>
              <w:adjustRightInd w:val="0"/>
              <w:jc w:val="both"/>
              <w:rPr>
                <w:rFonts w:eastAsia="Calibri"/>
                <w:bCs/>
                <w:iCs/>
              </w:rPr>
            </w:pPr>
            <w:r w:rsidRPr="00C56257">
              <w:rPr>
                <w:rFonts w:eastAsia="Calibri"/>
                <w:bCs/>
                <w:iCs/>
              </w:rPr>
              <w:t>compoziția semințișului</w:t>
            </w:r>
          </w:p>
        </w:tc>
      </w:tr>
      <w:tr w:rsidR="0007555D" w:rsidRPr="00C56257" w14:paraId="4DCB4288" w14:textId="77777777" w:rsidTr="0007555D">
        <w:tc>
          <w:tcPr>
            <w:tcW w:w="3794" w:type="dxa"/>
            <w:vMerge/>
          </w:tcPr>
          <w:p w14:paraId="0513E92B" w14:textId="77777777" w:rsidR="0007555D" w:rsidRPr="00C56257" w:rsidRDefault="0007555D" w:rsidP="008E33FD">
            <w:pPr>
              <w:widowControl w:val="0"/>
              <w:autoSpaceDE w:val="0"/>
              <w:autoSpaceDN w:val="0"/>
              <w:adjustRightInd w:val="0"/>
              <w:jc w:val="both"/>
              <w:rPr>
                <w:rFonts w:eastAsia="Calibri"/>
                <w:iCs/>
              </w:rPr>
            </w:pPr>
          </w:p>
        </w:tc>
        <w:tc>
          <w:tcPr>
            <w:tcW w:w="5782" w:type="dxa"/>
          </w:tcPr>
          <w:p w14:paraId="67E4C0F4" w14:textId="77777777" w:rsidR="0007555D" w:rsidRPr="00C56257" w:rsidRDefault="0007555D" w:rsidP="008E33FD">
            <w:pPr>
              <w:widowControl w:val="0"/>
              <w:autoSpaceDE w:val="0"/>
              <w:autoSpaceDN w:val="0"/>
              <w:adjustRightInd w:val="0"/>
              <w:jc w:val="both"/>
              <w:rPr>
                <w:rFonts w:eastAsia="Calibri"/>
                <w:bCs/>
                <w:iCs/>
              </w:rPr>
            </w:pPr>
            <w:r w:rsidRPr="00C56257">
              <w:rPr>
                <w:rFonts w:eastAsia="Calibri"/>
                <w:bCs/>
                <w:iCs/>
              </w:rPr>
              <w:t>gradul de naturalitate al arboretului</w:t>
            </w:r>
          </w:p>
        </w:tc>
      </w:tr>
      <w:tr w:rsidR="0007555D" w:rsidRPr="00C56257" w14:paraId="7E66B916" w14:textId="77777777" w:rsidTr="0007555D">
        <w:tc>
          <w:tcPr>
            <w:tcW w:w="3794" w:type="dxa"/>
            <w:vMerge w:val="restart"/>
          </w:tcPr>
          <w:p w14:paraId="09C438D8"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Structură și funcții</w:t>
            </w:r>
          </w:p>
        </w:tc>
        <w:tc>
          <w:tcPr>
            <w:tcW w:w="5782" w:type="dxa"/>
          </w:tcPr>
          <w:p w14:paraId="47C57D5A" w14:textId="77777777" w:rsidR="0007555D" w:rsidRPr="00C56257" w:rsidRDefault="0007555D" w:rsidP="008E33FD">
            <w:pPr>
              <w:widowControl w:val="0"/>
              <w:autoSpaceDE w:val="0"/>
              <w:autoSpaceDN w:val="0"/>
              <w:adjustRightInd w:val="0"/>
              <w:jc w:val="both"/>
              <w:rPr>
                <w:rFonts w:eastAsia="Calibri"/>
                <w:bCs/>
                <w:iCs/>
              </w:rPr>
            </w:pPr>
            <w:r w:rsidRPr="00C56257">
              <w:rPr>
                <w:rFonts w:eastAsia="Calibri"/>
                <w:bCs/>
                <w:iCs/>
              </w:rPr>
              <w:t>consistența/gradul de acoperire al arboretului</w:t>
            </w:r>
          </w:p>
        </w:tc>
      </w:tr>
      <w:tr w:rsidR="0007555D" w:rsidRPr="00C56257" w14:paraId="421A0FD7" w14:textId="77777777" w:rsidTr="0007555D">
        <w:tc>
          <w:tcPr>
            <w:tcW w:w="3794" w:type="dxa"/>
            <w:vMerge/>
          </w:tcPr>
          <w:p w14:paraId="45D78790" w14:textId="77777777" w:rsidR="0007555D" w:rsidRPr="00C56257" w:rsidRDefault="0007555D" w:rsidP="008E33FD">
            <w:pPr>
              <w:widowControl w:val="0"/>
              <w:autoSpaceDE w:val="0"/>
              <w:autoSpaceDN w:val="0"/>
              <w:adjustRightInd w:val="0"/>
              <w:jc w:val="both"/>
              <w:rPr>
                <w:rFonts w:eastAsia="Calibri"/>
                <w:iCs/>
              </w:rPr>
            </w:pPr>
          </w:p>
        </w:tc>
        <w:tc>
          <w:tcPr>
            <w:tcW w:w="5782" w:type="dxa"/>
          </w:tcPr>
          <w:p w14:paraId="787881D7" w14:textId="77777777" w:rsidR="0007555D" w:rsidRPr="00C56257" w:rsidRDefault="0007555D" w:rsidP="008E33FD">
            <w:pPr>
              <w:widowControl w:val="0"/>
              <w:autoSpaceDE w:val="0"/>
              <w:autoSpaceDN w:val="0"/>
              <w:adjustRightInd w:val="0"/>
              <w:jc w:val="both"/>
              <w:rPr>
                <w:rFonts w:eastAsia="Calibri"/>
                <w:bCs/>
                <w:iCs/>
              </w:rPr>
            </w:pPr>
            <w:r w:rsidRPr="00C56257">
              <w:rPr>
                <w:rFonts w:eastAsia="Calibri"/>
                <w:bCs/>
                <w:iCs/>
              </w:rPr>
              <w:t>vârsta arboretului</w:t>
            </w:r>
          </w:p>
        </w:tc>
      </w:tr>
      <w:tr w:rsidR="0007555D" w:rsidRPr="00C56257" w14:paraId="313C5346" w14:textId="77777777" w:rsidTr="0007555D">
        <w:tc>
          <w:tcPr>
            <w:tcW w:w="3794" w:type="dxa"/>
            <w:vMerge/>
          </w:tcPr>
          <w:p w14:paraId="7CDE72F5" w14:textId="77777777" w:rsidR="0007555D" w:rsidRPr="00C56257" w:rsidRDefault="0007555D" w:rsidP="008E33FD">
            <w:pPr>
              <w:widowControl w:val="0"/>
              <w:autoSpaceDE w:val="0"/>
              <w:autoSpaceDN w:val="0"/>
              <w:adjustRightInd w:val="0"/>
              <w:jc w:val="both"/>
              <w:rPr>
                <w:rFonts w:eastAsia="Calibri"/>
                <w:iCs/>
              </w:rPr>
            </w:pPr>
          </w:p>
        </w:tc>
        <w:tc>
          <w:tcPr>
            <w:tcW w:w="5782" w:type="dxa"/>
          </w:tcPr>
          <w:p w14:paraId="7CED289F" w14:textId="77777777" w:rsidR="0007555D" w:rsidRPr="00C56257" w:rsidRDefault="0007555D" w:rsidP="008E33FD">
            <w:pPr>
              <w:widowControl w:val="0"/>
              <w:autoSpaceDE w:val="0"/>
              <w:autoSpaceDN w:val="0"/>
              <w:adjustRightInd w:val="0"/>
              <w:jc w:val="both"/>
              <w:rPr>
                <w:rFonts w:eastAsia="Calibri"/>
                <w:bCs/>
                <w:iCs/>
              </w:rPr>
            </w:pPr>
            <w:r w:rsidRPr="00C56257">
              <w:rPr>
                <w:rFonts w:eastAsia="Calibri"/>
                <w:bCs/>
                <w:iCs/>
              </w:rPr>
              <w:t>lemnul mort</w:t>
            </w:r>
          </w:p>
        </w:tc>
      </w:tr>
      <w:tr w:rsidR="0007555D" w:rsidRPr="00C56257" w14:paraId="447B11F2" w14:textId="77777777" w:rsidTr="0007555D">
        <w:tc>
          <w:tcPr>
            <w:tcW w:w="3794" w:type="dxa"/>
            <w:vMerge w:val="restart"/>
          </w:tcPr>
          <w:p w14:paraId="7253737A"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Presiuni și amenințări</w:t>
            </w:r>
          </w:p>
        </w:tc>
        <w:tc>
          <w:tcPr>
            <w:tcW w:w="5782" w:type="dxa"/>
          </w:tcPr>
          <w:p w14:paraId="0682015D"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vătămări produse de factorii abiotici și biotici</w:t>
            </w:r>
          </w:p>
        </w:tc>
      </w:tr>
      <w:tr w:rsidR="0007555D" w:rsidRPr="00C56257" w14:paraId="2A5B84C3" w14:textId="77777777" w:rsidTr="0007555D">
        <w:tc>
          <w:tcPr>
            <w:tcW w:w="3794" w:type="dxa"/>
            <w:vMerge/>
          </w:tcPr>
          <w:p w14:paraId="406C3D7E" w14:textId="77777777" w:rsidR="0007555D" w:rsidRPr="00C56257" w:rsidRDefault="0007555D" w:rsidP="008E33FD">
            <w:pPr>
              <w:widowControl w:val="0"/>
              <w:autoSpaceDE w:val="0"/>
              <w:autoSpaceDN w:val="0"/>
              <w:adjustRightInd w:val="0"/>
              <w:jc w:val="both"/>
              <w:rPr>
                <w:rFonts w:eastAsia="Calibri"/>
                <w:iCs/>
              </w:rPr>
            </w:pPr>
          </w:p>
        </w:tc>
        <w:tc>
          <w:tcPr>
            <w:tcW w:w="5782" w:type="dxa"/>
          </w:tcPr>
          <w:p w14:paraId="137FD6AE"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tip de presiuni</w:t>
            </w:r>
          </w:p>
        </w:tc>
      </w:tr>
      <w:tr w:rsidR="0007555D" w:rsidRPr="00C56257" w14:paraId="49FCA33D" w14:textId="77777777" w:rsidTr="0007555D">
        <w:tc>
          <w:tcPr>
            <w:tcW w:w="3794" w:type="dxa"/>
            <w:vMerge/>
          </w:tcPr>
          <w:p w14:paraId="1401057C" w14:textId="77777777" w:rsidR="0007555D" w:rsidRPr="00C56257" w:rsidRDefault="0007555D" w:rsidP="008E33FD">
            <w:pPr>
              <w:widowControl w:val="0"/>
              <w:autoSpaceDE w:val="0"/>
              <w:autoSpaceDN w:val="0"/>
              <w:adjustRightInd w:val="0"/>
              <w:jc w:val="both"/>
              <w:rPr>
                <w:rFonts w:eastAsia="Calibri"/>
                <w:iCs/>
              </w:rPr>
            </w:pPr>
          </w:p>
        </w:tc>
        <w:tc>
          <w:tcPr>
            <w:tcW w:w="5782" w:type="dxa"/>
          </w:tcPr>
          <w:p w14:paraId="063C14F5"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intensitatea presiunii</w:t>
            </w:r>
          </w:p>
        </w:tc>
      </w:tr>
      <w:tr w:rsidR="0007555D" w:rsidRPr="00C56257" w14:paraId="5516BDA9" w14:textId="77777777" w:rsidTr="0007555D">
        <w:tc>
          <w:tcPr>
            <w:tcW w:w="3794" w:type="dxa"/>
            <w:vMerge/>
          </w:tcPr>
          <w:p w14:paraId="7C0F49C0" w14:textId="77777777" w:rsidR="0007555D" w:rsidRPr="00C56257" w:rsidRDefault="0007555D" w:rsidP="008E33FD">
            <w:pPr>
              <w:widowControl w:val="0"/>
              <w:autoSpaceDE w:val="0"/>
              <w:autoSpaceDN w:val="0"/>
              <w:adjustRightInd w:val="0"/>
              <w:jc w:val="both"/>
              <w:rPr>
                <w:rFonts w:eastAsia="Calibri"/>
                <w:iCs/>
              </w:rPr>
            </w:pPr>
          </w:p>
        </w:tc>
        <w:tc>
          <w:tcPr>
            <w:tcW w:w="5782" w:type="dxa"/>
          </w:tcPr>
          <w:p w14:paraId="718D4ED9"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durata de manifestare a presiunii</w:t>
            </w:r>
          </w:p>
        </w:tc>
      </w:tr>
      <w:tr w:rsidR="0007555D" w:rsidRPr="00C56257" w14:paraId="3095252F" w14:textId="77777777" w:rsidTr="0007555D">
        <w:tc>
          <w:tcPr>
            <w:tcW w:w="3794" w:type="dxa"/>
            <w:vMerge/>
          </w:tcPr>
          <w:p w14:paraId="6476ECB6" w14:textId="77777777" w:rsidR="0007555D" w:rsidRPr="00C56257" w:rsidRDefault="0007555D" w:rsidP="008E33FD">
            <w:pPr>
              <w:widowControl w:val="0"/>
              <w:autoSpaceDE w:val="0"/>
              <w:autoSpaceDN w:val="0"/>
              <w:adjustRightInd w:val="0"/>
              <w:jc w:val="both"/>
              <w:rPr>
                <w:rFonts w:eastAsia="Calibri"/>
                <w:iCs/>
              </w:rPr>
            </w:pPr>
          </w:p>
        </w:tc>
        <w:tc>
          <w:tcPr>
            <w:tcW w:w="5782" w:type="dxa"/>
          </w:tcPr>
          <w:p w14:paraId="4163E6AC"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amenințări potențiale</w:t>
            </w:r>
          </w:p>
        </w:tc>
      </w:tr>
      <w:tr w:rsidR="0007555D" w:rsidRPr="00C56257" w14:paraId="5552C27C" w14:textId="77777777" w:rsidTr="0007555D">
        <w:tc>
          <w:tcPr>
            <w:tcW w:w="3794" w:type="dxa"/>
            <w:vMerge/>
          </w:tcPr>
          <w:p w14:paraId="64C0479A" w14:textId="77777777" w:rsidR="0007555D" w:rsidRPr="00C56257" w:rsidRDefault="0007555D" w:rsidP="008E33FD">
            <w:pPr>
              <w:widowControl w:val="0"/>
              <w:autoSpaceDE w:val="0"/>
              <w:autoSpaceDN w:val="0"/>
              <w:adjustRightInd w:val="0"/>
              <w:jc w:val="both"/>
              <w:rPr>
                <w:rFonts w:eastAsia="Calibri"/>
                <w:iCs/>
              </w:rPr>
            </w:pPr>
          </w:p>
        </w:tc>
        <w:tc>
          <w:tcPr>
            <w:tcW w:w="5782" w:type="dxa"/>
          </w:tcPr>
          <w:p w14:paraId="3F87BC62"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hazarde/riscuri</w:t>
            </w:r>
          </w:p>
        </w:tc>
      </w:tr>
      <w:tr w:rsidR="0007555D" w:rsidRPr="00C56257" w14:paraId="2D436B82" w14:textId="77777777" w:rsidTr="0007555D">
        <w:tc>
          <w:tcPr>
            <w:tcW w:w="3794" w:type="dxa"/>
            <w:vMerge/>
          </w:tcPr>
          <w:p w14:paraId="62FBE271" w14:textId="77777777" w:rsidR="0007555D" w:rsidRPr="00C56257" w:rsidRDefault="0007555D" w:rsidP="008E33FD">
            <w:pPr>
              <w:widowControl w:val="0"/>
              <w:autoSpaceDE w:val="0"/>
              <w:autoSpaceDN w:val="0"/>
              <w:adjustRightInd w:val="0"/>
              <w:jc w:val="both"/>
              <w:rPr>
                <w:rFonts w:eastAsia="Calibri"/>
                <w:iCs/>
              </w:rPr>
            </w:pPr>
          </w:p>
        </w:tc>
        <w:tc>
          <w:tcPr>
            <w:tcW w:w="5782" w:type="dxa"/>
          </w:tcPr>
          <w:p w14:paraId="742AE941"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viabilitatea pădurii/habitatului pe termen lung</w:t>
            </w:r>
          </w:p>
        </w:tc>
      </w:tr>
    </w:tbl>
    <w:p w14:paraId="0E802EAD" w14:textId="77777777" w:rsidR="0007555D" w:rsidRPr="00C56257" w:rsidRDefault="0007555D" w:rsidP="008E33FD">
      <w:pPr>
        <w:widowControl w:val="0"/>
        <w:autoSpaceDE w:val="0"/>
        <w:autoSpaceDN w:val="0"/>
        <w:adjustRightInd w:val="0"/>
        <w:jc w:val="both"/>
        <w:rPr>
          <w:rFonts w:eastAsia="Calibri"/>
          <w:iCs/>
        </w:rPr>
      </w:pPr>
    </w:p>
    <w:p w14:paraId="668B4B28" w14:textId="77777777" w:rsidR="0007555D" w:rsidRPr="00C56257" w:rsidRDefault="0007555D" w:rsidP="008E33FD">
      <w:pPr>
        <w:widowControl w:val="0"/>
        <w:autoSpaceDE w:val="0"/>
        <w:autoSpaceDN w:val="0"/>
        <w:adjustRightInd w:val="0"/>
        <w:jc w:val="both"/>
        <w:rPr>
          <w:rFonts w:eastAsia="Calibri"/>
          <w:iCs/>
        </w:rPr>
      </w:pPr>
      <w:r w:rsidRPr="00C56257">
        <w:rPr>
          <w:rFonts w:eastAsia="Calibri"/>
          <w:iCs/>
        </w:rPr>
        <w:t>Pentru evaluarea parametrilor utilizați în caracterizarea stării de conservare pot fi luate în considerare și alte tipuri de date în afara celor prezentate în Tabelul 11.</w:t>
      </w:r>
    </w:p>
    <w:p w14:paraId="08CF3319"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iCs/>
        </w:rPr>
        <w:t xml:space="preserve">Cu prilejul colectării datelor din teren, fiecărui tip de date colectate i se acordă o valoare în conformitate cu instrucțiunile de colectare/teren, în principal sunt valori predefinite pentru a se putea realiza integrarea datelor colectate. In general se utilizează clase/intervale pentru datele cantitative sau categorii de  valori pentru datele calitative. În baza de date, aceste valori sunt convertite în categorii: </w:t>
      </w:r>
      <w:r w:rsidRPr="00C56257">
        <w:rPr>
          <w:rFonts w:eastAsia="Calibri"/>
        </w:rPr>
        <w:t>A, B, C, X = exprimă starea parametrului în fiecare suprafaţă de probă (A = excelentă; B = bună; C = medie sau redusă; X = necunoscută).</w:t>
      </w:r>
    </w:p>
    <w:p w14:paraId="0FE7F956" w14:textId="77777777" w:rsidR="0007555D" w:rsidRPr="00C56257" w:rsidRDefault="0007555D" w:rsidP="008E33FD">
      <w:pPr>
        <w:widowControl w:val="0"/>
        <w:autoSpaceDE w:val="0"/>
        <w:autoSpaceDN w:val="0"/>
        <w:adjustRightInd w:val="0"/>
        <w:jc w:val="both"/>
        <w:rPr>
          <w:rFonts w:eastAsia="Calibri"/>
          <w:b/>
          <w:iCs/>
        </w:rPr>
      </w:pPr>
    </w:p>
    <w:p w14:paraId="51551502" w14:textId="77777777" w:rsidR="0007555D" w:rsidRPr="00C56257" w:rsidRDefault="00FE0FCD" w:rsidP="008E33FD">
      <w:pPr>
        <w:widowControl w:val="0"/>
        <w:autoSpaceDE w:val="0"/>
        <w:autoSpaceDN w:val="0"/>
        <w:adjustRightInd w:val="0"/>
        <w:jc w:val="both"/>
        <w:rPr>
          <w:rFonts w:eastAsia="Calibri"/>
          <w:b/>
          <w:iCs/>
        </w:rPr>
      </w:pPr>
      <w:r>
        <w:rPr>
          <w:rFonts w:eastAsia="Calibri"/>
          <w:b/>
          <w:iCs/>
        </w:rPr>
        <w:t>10.2.3</w:t>
      </w:r>
      <w:r w:rsidR="0007555D" w:rsidRPr="00C56257">
        <w:rPr>
          <w:rFonts w:eastAsia="Calibri"/>
          <w:b/>
          <w:iCs/>
        </w:rPr>
        <w:t xml:space="preserve">. Agregarea datelor pentru </w:t>
      </w:r>
      <w:r w:rsidR="0007555D" w:rsidRPr="00C56257">
        <w:rPr>
          <w:rFonts w:eastAsia="Calibri"/>
          <w:b/>
        </w:rPr>
        <w:t>evaluarea parametrilor descriptivi ai calității habitatului</w:t>
      </w:r>
    </w:p>
    <w:p w14:paraId="4813D37B" w14:textId="77777777" w:rsidR="0007555D" w:rsidRPr="00C56257" w:rsidRDefault="0007555D" w:rsidP="008E33FD">
      <w:pPr>
        <w:widowControl w:val="0"/>
        <w:autoSpaceDE w:val="0"/>
        <w:autoSpaceDN w:val="0"/>
        <w:adjustRightInd w:val="0"/>
        <w:jc w:val="both"/>
        <w:rPr>
          <w:rFonts w:eastAsia="Calibri"/>
          <w:b/>
          <w:iCs/>
        </w:rPr>
      </w:pPr>
    </w:p>
    <w:p w14:paraId="3BA4E2C9" w14:textId="77777777" w:rsidR="0007555D" w:rsidRPr="00C56257" w:rsidRDefault="0007555D" w:rsidP="008E33FD">
      <w:pPr>
        <w:widowControl w:val="0"/>
        <w:autoSpaceDE w:val="0"/>
        <w:autoSpaceDN w:val="0"/>
        <w:adjustRightInd w:val="0"/>
        <w:jc w:val="both"/>
        <w:rPr>
          <w:rFonts w:eastAsia="Calibri"/>
        </w:rPr>
      </w:pPr>
      <w:r w:rsidRPr="00C56257">
        <w:rPr>
          <w:rFonts w:eastAsia="Calibri"/>
        </w:rPr>
        <w:t xml:space="preserve">Evaluarea stării de conservare a habitatelor la nivel de regiune biogeografică se realizează prin agregarea datelor colectate din suprafeţele de probă permanente în care a fost identificat habitatul respectiv. Pentru fiecare tip de date/caracteristică colectată la nivel de plot, se stabilește starea pentru fiecare plot (A,B,C sau ne=ne-evaluat). </w:t>
      </w:r>
    </w:p>
    <w:p w14:paraId="3F9D0F56"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b/>
        </w:rPr>
        <w:t xml:space="preserve">Structură și funcții (specii tipice, structura biocenozei, funcționarea biocenozei). </w:t>
      </w:r>
      <w:r w:rsidRPr="00C56257">
        <w:rPr>
          <w:rFonts w:eastAsia="Calibri"/>
        </w:rPr>
        <w:t>Transformarea valorilor A, B,C ale caracteristicilor colectate la nivel de plot în valori globale ale stării de conservare la nivel regiune biogeografică (FV, U1, U2, X) se poate realiza prin aplicarea unui algoritm matematic de agregare (ex. algoritmul Pinnenberg propus în Germania, medie matematică, medie ponderată, etc.).</w:t>
      </w:r>
    </w:p>
    <w:p w14:paraId="076239AD"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Un posibil algoritm de agregare a datelor din ploturi la nivel biogeografic, prezentat cu titlu de exemplu, este următorul:</w:t>
      </w:r>
    </w:p>
    <w:tbl>
      <w:tblPr>
        <w:tblStyle w:val="TableGrid"/>
        <w:tblW w:w="9064" w:type="dxa"/>
        <w:jc w:val="center"/>
        <w:tblLayout w:type="fixed"/>
        <w:tblLook w:val="04A0" w:firstRow="1" w:lastRow="0" w:firstColumn="1" w:lastColumn="0" w:noHBand="0" w:noVBand="1"/>
      </w:tblPr>
      <w:tblGrid>
        <w:gridCol w:w="568"/>
        <w:gridCol w:w="1150"/>
        <w:gridCol w:w="1194"/>
        <w:gridCol w:w="1058"/>
        <w:gridCol w:w="850"/>
        <w:gridCol w:w="851"/>
        <w:gridCol w:w="850"/>
        <w:gridCol w:w="851"/>
        <w:gridCol w:w="844"/>
        <w:gridCol w:w="848"/>
      </w:tblGrid>
      <w:tr w:rsidR="0007555D" w:rsidRPr="00C56257" w14:paraId="04F9588D" w14:textId="77777777" w:rsidTr="0007555D">
        <w:trPr>
          <w:jc w:val="center"/>
        </w:trPr>
        <w:tc>
          <w:tcPr>
            <w:tcW w:w="568" w:type="dxa"/>
          </w:tcPr>
          <w:p w14:paraId="5E4B56BF"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Plot</w:t>
            </w:r>
          </w:p>
        </w:tc>
        <w:tc>
          <w:tcPr>
            <w:tcW w:w="3402" w:type="dxa"/>
            <w:gridSpan w:val="3"/>
          </w:tcPr>
          <w:p w14:paraId="0B4BC05F"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Specii tipice</w:t>
            </w:r>
          </w:p>
        </w:tc>
        <w:tc>
          <w:tcPr>
            <w:tcW w:w="2551" w:type="dxa"/>
            <w:gridSpan w:val="3"/>
          </w:tcPr>
          <w:p w14:paraId="741FADF6"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Structură</w:t>
            </w:r>
          </w:p>
        </w:tc>
        <w:tc>
          <w:tcPr>
            <w:tcW w:w="2543" w:type="dxa"/>
            <w:gridSpan w:val="3"/>
          </w:tcPr>
          <w:p w14:paraId="7E61B212"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Presiuni și amenințări</w:t>
            </w:r>
          </w:p>
        </w:tc>
      </w:tr>
      <w:tr w:rsidR="0007555D" w:rsidRPr="00C56257" w14:paraId="6126D8FC" w14:textId="77777777" w:rsidTr="0007555D">
        <w:trPr>
          <w:jc w:val="center"/>
        </w:trPr>
        <w:tc>
          <w:tcPr>
            <w:tcW w:w="568" w:type="dxa"/>
          </w:tcPr>
          <w:p w14:paraId="6CC6BE03" w14:textId="77777777" w:rsidR="0007555D" w:rsidRPr="00C56257" w:rsidRDefault="0007555D" w:rsidP="00F100E1">
            <w:pPr>
              <w:widowControl w:val="0"/>
              <w:autoSpaceDE w:val="0"/>
              <w:autoSpaceDN w:val="0"/>
              <w:adjustRightInd w:val="0"/>
              <w:jc w:val="both"/>
              <w:rPr>
                <w:rFonts w:eastAsia="Calibri"/>
              </w:rPr>
            </w:pPr>
          </w:p>
        </w:tc>
        <w:tc>
          <w:tcPr>
            <w:tcW w:w="1150" w:type="dxa"/>
          </w:tcPr>
          <w:p w14:paraId="1F745A0D"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Compoziția</w:t>
            </w:r>
          </w:p>
          <w:p w14:paraId="4DAF59FF"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arboretului</w:t>
            </w:r>
          </w:p>
        </w:tc>
        <w:tc>
          <w:tcPr>
            <w:tcW w:w="1194" w:type="dxa"/>
          </w:tcPr>
          <w:p w14:paraId="5B1C6B18"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Compoziția semințișului</w:t>
            </w:r>
          </w:p>
        </w:tc>
        <w:tc>
          <w:tcPr>
            <w:tcW w:w="1058" w:type="dxa"/>
          </w:tcPr>
          <w:p w14:paraId="6C45614A"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Naturalitatea</w:t>
            </w:r>
          </w:p>
        </w:tc>
        <w:tc>
          <w:tcPr>
            <w:tcW w:w="850" w:type="dxa"/>
          </w:tcPr>
          <w:p w14:paraId="3CB25177"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Consistență</w:t>
            </w:r>
          </w:p>
        </w:tc>
        <w:tc>
          <w:tcPr>
            <w:tcW w:w="851" w:type="dxa"/>
          </w:tcPr>
          <w:p w14:paraId="1FEC0631"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Vârstă</w:t>
            </w:r>
          </w:p>
        </w:tc>
        <w:tc>
          <w:tcPr>
            <w:tcW w:w="850" w:type="dxa"/>
          </w:tcPr>
          <w:p w14:paraId="3CB655F9"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lemn mort</w:t>
            </w:r>
          </w:p>
        </w:tc>
        <w:tc>
          <w:tcPr>
            <w:tcW w:w="851" w:type="dxa"/>
          </w:tcPr>
          <w:p w14:paraId="3A0D18EF"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vătămări</w:t>
            </w:r>
          </w:p>
        </w:tc>
        <w:tc>
          <w:tcPr>
            <w:tcW w:w="844" w:type="dxa"/>
          </w:tcPr>
          <w:p w14:paraId="23825CBF"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riscuri</w:t>
            </w:r>
          </w:p>
        </w:tc>
        <w:tc>
          <w:tcPr>
            <w:tcW w:w="848" w:type="dxa"/>
          </w:tcPr>
          <w:p w14:paraId="5B2CCFA5"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viabilitate</w:t>
            </w:r>
          </w:p>
        </w:tc>
      </w:tr>
      <w:tr w:rsidR="0007555D" w:rsidRPr="00C56257" w14:paraId="6857AA22" w14:textId="77777777" w:rsidTr="0007555D">
        <w:trPr>
          <w:jc w:val="center"/>
        </w:trPr>
        <w:tc>
          <w:tcPr>
            <w:tcW w:w="568" w:type="dxa"/>
          </w:tcPr>
          <w:p w14:paraId="2A5F38E7"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1</w:t>
            </w:r>
          </w:p>
        </w:tc>
        <w:tc>
          <w:tcPr>
            <w:tcW w:w="1150" w:type="dxa"/>
          </w:tcPr>
          <w:p w14:paraId="2216CB57"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A</w:t>
            </w:r>
          </w:p>
        </w:tc>
        <w:tc>
          <w:tcPr>
            <w:tcW w:w="1194" w:type="dxa"/>
          </w:tcPr>
          <w:p w14:paraId="5F837EC7"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A</w:t>
            </w:r>
          </w:p>
        </w:tc>
        <w:tc>
          <w:tcPr>
            <w:tcW w:w="1058" w:type="dxa"/>
          </w:tcPr>
          <w:p w14:paraId="52A37EA5"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A</w:t>
            </w:r>
          </w:p>
        </w:tc>
        <w:tc>
          <w:tcPr>
            <w:tcW w:w="850" w:type="dxa"/>
          </w:tcPr>
          <w:p w14:paraId="653E5E6D"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w:t>
            </w:r>
          </w:p>
        </w:tc>
        <w:tc>
          <w:tcPr>
            <w:tcW w:w="851" w:type="dxa"/>
          </w:tcPr>
          <w:p w14:paraId="24B95750"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w:t>
            </w:r>
          </w:p>
        </w:tc>
        <w:tc>
          <w:tcPr>
            <w:tcW w:w="850" w:type="dxa"/>
          </w:tcPr>
          <w:p w14:paraId="75575820"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B</w:t>
            </w:r>
          </w:p>
        </w:tc>
        <w:tc>
          <w:tcPr>
            <w:tcW w:w="851" w:type="dxa"/>
          </w:tcPr>
          <w:p w14:paraId="32DCA914"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w:t>
            </w:r>
          </w:p>
        </w:tc>
        <w:tc>
          <w:tcPr>
            <w:tcW w:w="844" w:type="dxa"/>
          </w:tcPr>
          <w:p w14:paraId="564F3C01"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w:t>
            </w:r>
          </w:p>
        </w:tc>
        <w:tc>
          <w:tcPr>
            <w:tcW w:w="848" w:type="dxa"/>
          </w:tcPr>
          <w:p w14:paraId="38BDE71A"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B</w:t>
            </w:r>
          </w:p>
        </w:tc>
      </w:tr>
      <w:tr w:rsidR="0007555D" w:rsidRPr="00C56257" w14:paraId="5E2C2844" w14:textId="77777777" w:rsidTr="0007555D">
        <w:trPr>
          <w:jc w:val="center"/>
        </w:trPr>
        <w:tc>
          <w:tcPr>
            <w:tcW w:w="568" w:type="dxa"/>
          </w:tcPr>
          <w:p w14:paraId="0626C474"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w:t>
            </w:r>
          </w:p>
        </w:tc>
        <w:tc>
          <w:tcPr>
            <w:tcW w:w="1150" w:type="dxa"/>
          </w:tcPr>
          <w:p w14:paraId="184B5169"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B</w:t>
            </w:r>
          </w:p>
        </w:tc>
        <w:tc>
          <w:tcPr>
            <w:tcW w:w="1194" w:type="dxa"/>
          </w:tcPr>
          <w:p w14:paraId="1C7EF69F"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w:t>
            </w:r>
          </w:p>
        </w:tc>
        <w:tc>
          <w:tcPr>
            <w:tcW w:w="1058" w:type="dxa"/>
          </w:tcPr>
          <w:p w14:paraId="4DC8048F"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w:t>
            </w:r>
          </w:p>
        </w:tc>
        <w:tc>
          <w:tcPr>
            <w:tcW w:w="850" w:type="dxa"/>
          </w:tcPr>
          <w:p w14:paraId="0D63B0C7"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A</w:t>
            </w:r>
          </w:p>
        </w:tc>
        <w:tc>
          <w:tcPr>
            <w:tcW w:w="851" w:type="dxa"/>
          </w:tcPr>
          <w:p w14:paraId="44817911"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B</w:t>
            </w:r>
          </w:p>
        </w:tc>
        <w:tc>
          <w:tcPr>
            <w:tcW w:w="850" w:type="dxa"/>
          </w:tcPr>
          <w:p w14:paraId="360E528D"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w:t>
            </w:r>
          </w:p>
        </w:tc>
        <w:tc>
          <w:tcPr>
            <w:tcW w:w="851" w:type="dxa"/>
          </w:tcPr>
          <w:p w14:paraId="5E81A8BD"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A</w:t>
            </w:r>
          </w:p>
        </w:tc>
        <w:tc>
          <w:tcPr>
            <w:tcW w:w="844" w:type="dxa"/>
          </w:tcPr>
          <w:p w14:paraId="2F33395F"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w:t>
            </w:r>
          </w:p>
        </w:tc>
        <w:tc>
          <w:tcPr>
            <w:tcW w:w="848" w:type="dxa"/>
          </w:tcPr>
          <w:p w14:paraId="5B2CBBC4"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B</w:t>
            </w:r>
          </w:p>
        </w:tc>
      </w:tr>
      <w:tr w:rsidR="0007555D" w:rsidRPr="00C56257" w14:paraId="709651C3" w14:textId="77777777" w:rsidTr="0007555D">
        <w:trPr>
          <w:jc w:val="center"/>
        </w:trPr>
        <w:tc>
          <w:tcPr>
            <w:tcW w:w="568" w:type="dxa"/>
          </w:tcPr>
          <w:p w14:paraId="5F119F47"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3</w:t>
            </w:r>
          </w:p>
        </w:tc>
        <w:tc>
          <w:tcPr>
            <w:tcW w:w="1150" w:type="dxa"/>
          </w:tcPr>
          <w:p w14:paraId="42185A2F"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B</w:t>
            </w:r>
          </w:p>
        </w:tc>
        <w:tc>
          <w:tcPr>
            <w:tcW w:w="1194" w:type="dxa"/>
          </w:tcPr>
          <w:p w14:paraId="3B488C6D"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B</w:t>
            </w:r>
          </w:p>
        </w:tc>
        <w:tc>
          <w:tcPr>
            <w:tcW w:w="1058" w:type="dxa"/>
          </w:tcPr>
          <w:p w14:paraId="693FF2C8"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w:t>
            </w:r>
          </w:p>
        </w:tc>
        <w:tc>
          <w:tcPr>
            <w:tcW w:w="850" w:type="dxa"/>
          </w:tcPr>
          <w:p w14:paraId="5551E3E8"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A</w:t>
            </w:r>
          </w:p>
        </w:tc>
        <w:tc>
          <w:tcPr>
            <w:tcW w:w="851" w:type="dxa"/>
          </w:tcPr>
          <w:p w14:paraId="41A121C9"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w:t>
            </w:r>
          </w:p>
        </w:tc>
        <w:tc>
          <w:tcPr>
            <w:tcW w:w="850" w:type="dxa"/>
          </w:tcPr>
          <w:p w14:paraId="5D99E213"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w:t>
            </w:r>
          </w:p>
        </w:tc>
        <w:tc>
          <w:tcPr>
            <w:tcW w:w="851" w:type="dxa"/>
          </w:tcPr>
          <w:p w14:paraId="7382ECBC"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A</w:t>
            </w:r>
          </w:p>
        </w:tc>
        <w:tc>
          <w:tcPr>
            <w:tcW w:w="844" w:type="dxa"/>
          </w:tcPr>
          <w:p w14:paraId="00C0CF7A"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A</w:t>
            </w:r>
          </w:p>
        </w:tc>
        <w:tc>
          <w:tcPr>
            <w:tcW w:w="848" w:type="dxa"/>
          </w:tcPr>
          <w:p w14:paraId="7FE43370"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B</w:t>
            </w:r>
          </w:p>
        </w:tc>
      </w:tr>
      <w:tr w:rsidR="0007555D" w:rsidRPr="00C56257" w14:paraId="37145379" w14:textId="77777777" w:rsidTr="0007555D">
        <w:trPr>
          <w:jc w:val="center"/>
        </w:trPr>
        <w:tc>
          <w:tcPr>
            <w:tcW w:w="568" w:type="dxa"/>
          </w:tcPr>
          <w:p w14:paraId="51CB97CE"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4</w:t>
            </w:r>
          </w:p>
        </w:tc>
        <w:tc>
          <w:tcPr>
            <w:tcW w:w="1150" w:type="dxa"/>
          </w:tcPr>
          <w:p w14:paraId="0A8B9E52" w14:textId="77777777" w:rsidR="0007555D" w:rsidRPr="00C56257" w:rsidRDefault="0007555D" w:rsidP="00F100E1">
            <w:pPr>
              <w:widowControl w:val="0"/>
              <w:autoSpaceDE w:val="0"/>
              <w:autoSpaceDN w:val="0"/>
              <w:adjustRightInd w:val="0"/>
              <w:jc w:val="both"/>
              <w:rPr>
                <w:rFonts w:eastAsia="Calibri"/>
              </w:rPr>
            </w:pPr>
          </w:p>
        </w:tc>
        <w:tc>
          <w:tcPr>
            <w:tcW w:w="1194" w:type="dxa"/>
          </w:tcPr>
          <w:p w14:paraId="29455328" w14:textId="77777777" w:rsidR="0007555D" w:rsidRPr="00C56257" w:rsidRDefault="0007555D" w:rsidP="00F100E1">
            <w:pPr>
              <w:widowControl w:val="0"/>
              <w:autoSpaceDE w:val="0"/>
              <w:autoSpaceDN w:val="0"/>
              <w:adjustRightInd w:val="0"/>
              <w:jc w:val="both"/>
              <w:rPr>
                <w:rFonts w:eastAsia="Calibri"/>
              </w:rPr>
            </w:pPr>
          </w:p>
        </w:tc>
        <w:tc>
          <w:tcPr>
            <w:tcW w:w="1058" w:type="dxa"/>
          </w:tcPr>
          <w:p w14:paraId="6393F52E" w14:textId="77777777" w:rsidR="0007555D" w:rsidRPr="00C56257" w:rsidRDefault="0007555D" w:rsidP="00F100E1">
            <w:pPr>
              <w:widowControl w:val="0"/>
              <w:autoSpaceDE w:val="0"/>
              <w:autoSpaceDN w:val="0"/>
              <w:adjustRightInd w:val="0"/>
              <w:jc w:val="both"/>
              <w:rPr>
                <w:rFonts w:eastAsia="Calibri"/>
              </w:rPr>
            </w:pPr>
          </w:p>
        </w:tc>
        <w:tc>
          <w:tcPr>
            <w:tcW w:w="850" w:type="dxa"/>
          </w:tcPr>
          <w:p w14:paraId="3E31C2C6" w14:textId="77777777" w:rsidR="0007555D" w:rsidRPr="00C56257" w:rsidRDefault="0007555D" w:rsidP="00F100E1">
            <w:pPr>
              <w:widowControl w:val="0"/>
              <w:autoSpaceDE w:val="0"/>
              <w:autoSpaceDN w:val="0"/>
              <w:adjustRightInd w:val="0"/>
              <w:jc w:val="both"/>
              <w:rPr>
                <w:rFonts w:eastAsia="Calibri"/>
              </w:rPr>
            </w:pPr>
          </w:p>
        </w:tc>
        <w:tc>
          <w:tcPr>
            <w:tcW w:w="851" w:type="dxa"/>
          </w:tcPr>
          <w:p w14:paraId="1609F056" w14:textId="77777777" w:rsidR="0007555D" w:rsidRPr="00C56257" w:rsidRDefault="0007555D" w:rsidP="00F100E1">
            <w:pPr>
              <w:widowControl w:val="0"/>
              <w:autoSpaceDE w:val="0"/>
              <w:autoSpaceDN w:val="0"/>
              <w:adjustRightInd w:val="0"/>
              <w:jc w:val="both"/>
              <w:rPr>
                <w:rFonts w:eastAsia="Calibri"/>
              </w:rPr>
            </w:pPr>
          </w:p>
        </w:tc>
        <w:tc>
          <w:tcPr>
            <w:tcW w:w="850" w:type="dxa"/>
          </w:tcPr>
          <w:p w14:paraId="1655D4E2" w14:textId="77777777" w:rsidR="0007555D" w:rsidRPr="00C56257" w:rsidRDefault="0007555D" w:rsidP="00F100E1">
            <w:pPr>
              <w:widowControl w:val="0"/>
              <w:autoSpaceDE w:val="0"/>
              <w:autoSpaceDN w:val="0"/>
              <w:adjustRightInd w:val="0"/>
              <w:jc w:val="both"/>
              <w:rPr>
                <w:rFonts w:eastAsia="Calibri"/>
              </w:rPr>
            </w:pPr>
          </w:p>
        </w:tc>
        <w:tc>
          <w:tcPr>
            <w:tcW w:w="851" w:type="dxa"/>
          </w:tcPr>
          <w:p w14:paraId="75D49A12" w14:textId="77777777" w:rsidR="0007555D" w:rsidRPr="00C56257" w:rsidRDefault="0007555D" w:rsidP="00F100E1">
            <w:pPr>
              <w:widowControl w:val="0"/>
              <w:autoSpaceDE w:val="0"/>
              <w:autoSpaceDN w:val="0"/>
              <w:adjustRightInd w:val="0"/>
              <w:jc w:val="both"/>
              <w:rPr>
                <w:rFonts w:eastAsia="Calibri"/>
              </w:rPr>
            </w:pPr>
          </w:p>
        </w:tc>
        <w:tc>
          <w:tcPr>
            <w:tcW w:w="844" w:type="dxa"/>
          </w:tcPr>
          <w:p w14:paraId="782798AD" w14:textId="77777777" w:rsidR="0007555D" w:rsidRPr="00C56257" w:rsidRDefault="0007555D" w:rsidP="00F100E1">
            <w:pPr>
              <w:widowControl w:val="0"/>
              <w:autoSpaceDE w:val="0"/>
              <w:autoSpaceDN w:val="0"/>
              <w:adjustRightInd w:val="0"/>
              <w:jc w:val="both"/>
              <w:rPr>
                <w:rFonts w:eastAsia="Calibri"/>
              </w:rPr>
            </w:pPr>
          </w:p>
        </w:tc>
        <w:tc>
          <w:tcPr>
            <w:tcW w:w="848" w:type="dxa"/>
          </w:tcPr>
          <w:p w14:paraId="221913AB" w14:textId="77777777" w:rsidR="0007555D" w:rsidRPr="00C56257" w:rsidRDefault="0007555D" w:rsidP="00F100E1">
            <w:pPr>
              <w:widowControl w:val="0"/>
              <w:autoSpaceDE w:val="0"/>
              <w:autoSpaceDN w:val="0"/>
              <w:adjustRightInd w:val="0"/>
              <w:jc w:val="both"/>
              <w:rPr>
                <w:rFonts w:eastAsia="Calibri"/>
              </w:rPr>
            </w:pPr>
          </w:p>
        </w:tc>
      </w:tr>
      <w:tr w:rsidR="0007555D" w:rsidRPr="00C56257" w14:paraId="54329C27" w14:textId="77777777" w:rsidTr="0007555D">
        <w:trPr>
          <w:jc w:val="center"/>
        </w:trPr>
        <w:tc>
          <w:tcPr>
            <w:tcW w:w="568" w:type="dxa"/>
          </w:tcPr>
          <w:p w14:paraId="21D32652"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5</w:t>
            </w:r>
          </w:p>
        </w:tc>
        <w:tc>
          <w:tcPr>
            <w:tcW w:w="1150" w:type="dxa"/>
          </w:tcPr>
          <w:p w14:paraId="3C71D7B4" w14:textId="77777777" w:rsidR="0007555D" w:rsidRPr="00C56257" w:rsidRDefault="0007555D" w:rsidP="00F100E1">
            <w:pPr>
              <w:widowControl w:val="0"/>
              <w:autoSpaceDE w:val="0"/>
              <w:autoSpaceDN w:val="0"/>
              <w:adjustRightInd w:val="0"/>
              <w:jc w:val="both"/>
              <w:rPr>
                <w:rFonts w:eastAsia="Calibri"/>
              </w:rPr>
            </w:pPr>
          </w:p>
        </w:tc>
        <w:tc>
          <w:tcPr>
            <w:tcW w:w="1194" w:type="dxa"/>
          </w:tcPr>
          <w:p w14:paraId="766CEBE7" w14:textId="77777777" w:rsidR="0007555D" w:rsidRPr="00C56257" w:rsidRDefault="0007555D" w:rsidP="00F100E1">
            <w:pPr>
              <w:widowControl w:val="0"/>
              <w:autoSpaceDE w:val="0"/>
              <w:autoSpaceDN w:val="0"/>
              <w:adjustRightInd w:val="0"/>
              <w:jc w:val="both"/>
              <w:rPr>
                <w:rFonts w:eastAsia="Calibri"/>
              </w:rPr>
            </w:pPr>
          </w:p>
        </w:tc>
        <w:tc>
          <w:tcPr>
            <w:tcW w:w="1058" w:type="dxa"/>
          </w:tcPr>
          <w:p w14:paraId="4BA3031D" w14:textId="77777777" w:rsidR="0007555D" w:rsidRPr="00C56257" w:rsidRDefault="0007555D" w:rsidP="00F100E1">
            <w:pPr>
              <w:widowControl w:val="0"/>
              <w:autoSpaceDE w:val="0"/>
              <w:autoSpaceDN w:val="0"/>
              <w:adjustRightInd w:val="0"/>
              <w:jc w:val="both"/>
              <w:rPr>
                <w:rFonts w:eastAsia="Calibri"/>
              </w:rPr>
            </w:pPr>
          </w:p>
        </w:tc>
        <w:tc>
          <w:tcPr>
            <w:tcW w:w="850" w:type="dxa"/>
          </w:tcPr>
          <w:p w14:paraId="47BB55AA" w14:textId="77777777" w:rsidR="0007555D" w:rsidRPr="00C56257" w:rsidRDefault="0007555D" w:rsidP="00F100E1">
            <w:pPr>
              <w:widowControl w:val="0"/>
              <w:autoSpaceDE w:val="0"/>
              <w:autoSpaceDN w:val="0"/>
              <w:adjustRightInd w:val="0"/>
              <w:jc w:val="both"/>
              <w:rPr>
                <w:rFonts w:eastAsia="Calibri"/>
              </w:rPr>
            </w:pPr>
          </w:p>
        </w:tc>
        <w:tc>
          <w:tcPr>
            <w:tcW w:w="851" w:type="dxa"/>
          </w:tcPr>
          <w:p w14:paraId="78D22456" w14:textId="77777777" w:rsidR="0007555D" w:rsidRPr="00C56257" w:rsidRDefault="0007555D" w:rsidP="00F100E1">
            <w:pPr>
              <w:widowControl w:val="0"/>
              <w:autoSpaceDE w:val="0"/>
              <w:autoSpaceDN w:val="0"/>
              <w:adjustRightInd w:val="0"/>
              <w:jc w:val="both"/>
              <w:rPr>
                <w:rFonts w:eastAsia="Calibri"/>
              </w:rPr>
            </w:pPr>
          </w:p>
        </w:tc>
        <w:tc>
          <w:tcPr>
            <w:tcW w:w="850" w:type="dxa"/>
          </w:tcPr>
          <w:p w14:paraId="30C8DF52" w14:textId="77777777" w:rsidR="0007555D" w:rsidRPr="00C56257" w:rsidRDefault="0007555D" w:rsidP="00F100E1">
            <w:pPr>
              <w:widowControl w:val="0"/>
              <w:autoSpaceDE w:val="0"/>
              <w:autoSpaceDN w:val="0"/>
              <w:adjustRightInd w:val="0"/>
              <w:jc w:val="both"/>
              <w:rPr>
                <w:rFonts w:eastAsia="Calibri"/>
              </w:rPr>
            </w:pPr>
          </w:p>
        </w:tc>
        <w:tc>
          <w:tcPr>
            <w:tcW w:w="851" w:type="dxa"/>
          </w:tcPr>
          <w:p w14:paraId="252C0BCE" w14:textId="77777777" w:rsidR="0007555D" w:rsidRPr="00C56257" w:rsidRDefault="0007555D" w:rsidP="00F100E1">
            <w:pPr>
              <w:widowControl w:val="0"/>
              <w:autoSpaceDE w:val="0"/>
              <w:autoSpaceDN w:val="0"/>
              <w:adjustRightInd w:val="0"/>
              <w:jc w:val="both"/>
              <w:rPr>
                <w:rFonts w:eastAsia="Calibri"/>
              </w:rPr>
            </w:pPr>
          </w:p>
        </w:tc>
        <w:tc>
          <w:tcPr>
            <w:tcW w:w="844" w:type="dxa"/>
          </w:tcPr>
          <w:p w14:paraId="25CDAE76" w14:textId="77777777" w:rsidR="0007555D" w:rsidRPr="00C56257" w:rsidRDefault="0007555D" w:rsidP="00F100E1">
            <w:pPr>
              <w:widowControl w:val="0"/>
              <w:autoSpaceDE w:val="0"/>
              <w:autoSpaceDN w:val="0"/>
              <w:adjustRightInd w:val="0"/>
              <w:jc w:val="both"/>
              <w:rPr>
                <w:rFonts w:eastAsia="Calibri"/>
              </w:rPr>
            </w:pPr>
          </w:p>
        </w:tc>
        <w:tc>
          <w:tcPr>
            <w:tcW w:w="848" w:type="dxa"/>
          </w:tcPr>
          <w:p w14:paraId="5EAAA96D" w14:textId="77777777" w:rsidR="0007555D" w:rsidRPr="00C56257" w:rsidRDefault="0007555D" w:rsidP="00F100E1">
            <w:pPr>
              <w:widowControl w:val="0"/>
              <w:autoSpaceDE w:val="0"/>
              <w:autoSpaceDN w:val="0"/>
              <w:adjustRightInd w:val="0"/>
              <w:jc w:val="both"/>
              <w:rPr>
                <w:rFonts w:eastAsia="Calibri"/>
              </w:rPr>
            </w:pPr>
          </w:p>
        </w:tc>
      </w:tr>
      <w:tr w:rsidR="0007555D" w:rsidRPr="00C56257" w14:paraId="6BB68FAC" w14:textId="77777777" w:rsidTr="0007555D">
        <w:trPr>
          <w:jc w:val="center"/>
        </w:trPr>
        <w:tc>
          <w:tcPr>
            <w:tcW w:w="568" w:type="dxa"/>
          </w:tcPr>
          <w:p w14:paraId="349D710A"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w:t>
            </w:r>
          </w:p>
        </w:tc>
        <w:tc>
          <w:tcPr>
            <w:tcW w:w="1150" w:type="dxa"/>
          </w:tcPr>
          <w:p w14:paraId="1706638D" w14:textId="77777777" w:rsidR="0007555D" w:rsidRPr="00C56257" w:rsidRDefault="0007555D" w:rsidP="00F100E1">
            <w:pPr>
              <w:widowControl w:val="0"/>
              <w:autoSpaceDE w:val="0"/>
              <w:autoSpaceDN w:val="0"/>
              <w:adjustRightInd w:val="0"/>
              <w:jc w:val="both"/>
              <w:rPr>
                <w:rFonts w:eastAsia="Calibri"/>
              </w:rPr>
            </w:pPr>
          </w:p>
        </w:tc>
        <w:tc>
          <w:tcPr>
            <w:tcW w:w="1194" w:type="dxa"/>
          </w:tcPr>
          <w:p w14:paraId="6B25E6AC" w14:textId="77777777" w:rsidR="0007555D" w:rsidRPr="00C56257" w:rsidRDefault="0007555D" w:rsidP="00F100E1">
            <w:pPr>
              <w:widowControl w:val="0"/>
              <w:autoSpaceDE w:val="0"/>
              <w:autoSpaceDN w:val="0"/>
              <w:adjustRightInd w:val="0"/>
              <w:jc w:val="both"/>
              <w:rPr>
                <w:rFonts w:eastAsia="Calibri"/>
              </w:rPr>
            </w:pPr>
          </w:p>
        </w:tc>
        <w:tc>
          <w:tcPr>
            <w:tcW w:w="1058" w:type="dxa"/>
          </w:tcPr>
          <w:p w14:paraId="280F3525" w14:textId="77777777" w:rsidR="0007555D" w:rsidRPr="00C56257" w:rsidRDefault="0007555D" w:rsidP="00F100E1">
            <w:pPr>
              <w:widowControl w:val="0"/>
              <w:autoSpaceDE w:val="0"/>
              <w:autoSpaceDN w:val="0"/>
              <w:adjustRightInd w:val="0"/>
              <w:jc w:val="both"/>
              <w:rPr>
                <w:rFonts w:eastAsia="Calibri"/>
              </w:rPr>
            </w:pPr>
          </w:p>
        </w:tc>
        <w:tc>
          <w:tcPr>
            <w:tcW w:w="850" w:type="dxa"/>
          </w:tcPr>
          <w:p w14:paraId="6A768C34" w14:textId="77777777" w:rsidR="0007555D" w:rsidRPr="00C56257" w:rsidRDefault="0007555D" w:rsidP="00F100E1">
            <w:pPr>
              <w:widowControl w:val="0"/>
              <w:autoSpaceDE w:val="0"/>
              <w:autoSpaceDN w:val="0"/>
              <w:adjustRightInd w:val="0"/>
              <w:jc w:val="both"/>
              <w:rPr>
                <w:rFonts w:eastAsia="Calibri"/>
              </w:rPr>
            </w:pPr>
          </w:p>
        </w:tc>
        <w:tc>
          <w:tcPr>
            <w:tcW w:w="851" w:type="dxa"/>
          </w:tcPr>
          <w:p w14:paraId="60ED96D5" w14:textId="77777777" w:rsidR="0007555D" w:rsidRPr="00C56257" w:rsidRDefault="0007555D" w:rsidP="00F100E1">
            <w:pPr>
              <w:widowControl w:val="0"/>
              <w:autoSpaceDE w:val="0"/>
              <w:autoSpaceDN w:val="0"/>
              <w:adjustRightInd w:val="0"/>
              <w:jc w:val="both"/>
              <w:rPr>
                <w:rFonts w:eastAsia="Calibri"/>
              </w:rPr>
            </w:pPr>
          </w:p>
        </w:tc>
        <w:tc>
          <w:tcPr>
            <w:tcW w:w="850" w:type="dxa"/>
          </w:tcPr>
          <w:p w14:paraId="15C05175" w14:textId="77777777" w:rsidR="0007555D" w:rsidRPr="00C56257" w:rsidRDefault="0007555D" w:rsidP="00F100E1">
            <w:pPr>
              <w:widowControl w:val="0"/>
              <w:autoSpaceDE w:val="0"/>
              <w:autoSpaceDN w:val="0"/>
              <w:adjustRightInd w:val="0"/>
              <w:jc w:val="both"/>
              <w:rPr>
                <w:rFonts w:eastAsia="Calibri"/>
              </w:rPr>
            </w:pPr>
          </w:p>
        </w:tc>
        <w:tc>
          <w:tcPr>
            <w:tcW w:w="851" w:type="dxa"/>
          </w:tcPr>
          <w:p w14:paraId="0E01B472" w14:textId="77777777" w:rsidR="0007555D" w:rsidRPr="00C56257" w:rsidRDefault="0007555D" w:rsidP="00F100E1">
            <w:pPr>
              <w:widowControl w:val="0"/>
              <w:autoSpaceDE w:val="0"/>
              <w:autoSpaceDN w:val="0"/>
              <w:adjustRightInd w:val="0"/>
              <w:jc w:val="both"/>
              <w:rPr>
                <w:rFonts w:eastAsia="Calibri"/>
              </w:rPr>
            </w:pPr>
          </w:p>
        </w:tc>
        <w:tc>
          <w:tcPr>
            <w:tcW w:w="844" w:type="dxa"/>
          </w:tcPr>
          <w:p w14:paraId="72744311" w14:textId="77777777" w:rsidR="0007555D" w:rsidRPr="00C56257" w:rsidRDefault="0007555D" w:rsidP="00F100E1">
            <w:pPr>
              <w:widowControl w:val="0"/>
              <w:autoSpaceDE w:val="0"/>
              <w:autoSpaceDN w:val="0"/>
              <w:adjustRightInd w:val="0"/>
              <w:jc w:val="both"/>
              <w:rPr>
                <w:rFonts w:eastAsia="Calibri"/>
              </w:rPr>
            </w:pPr>
          </w:p>
        </w:tc>
        <w:tc>
          <w:tcPr>
            <w:tcW w:w="848" w:type="dxa"/>
          </w:tcPr>
          <w:p w14:paraId="713DD238" w14:textId="77777777" w:rsidR="0007555D" w:rsidRPr="00C56257" w:rsidRDefault="0007555D" w:rsidP="00F100E1">
            <w:pPr>
              <w:widowControl w:val="0"/>
              <w:autoSpaceDE w:val="0"/>
              <w:autoSpaceDN w:val="0"/>
              <w:adjustRightInd w:val="0"/>
              <w:jc w:val="both"/>
              <w:rPr>
                <w:rFonts w:eastAsia="Calibri"/>
              </w:rPr>
            </w:pPr>
          </w:p>
        </w:tc>
      </w:tr>
      <w:tr w:rsidR="0007555D" w:rsidRPr="00C56257" w14:paraId="375FE6CD" w14:textId="77777777" w:rsidTr="0007555D">
        <w:trPr>
          <w:jc w:val="center"/>
        </w:trPr>
        <w:tc>
          <w:tcPr>
            <w:tcW w:w="568" w:type="dxa"/>
          </w:tcPr>
          <w:p w14:paraId="55B2B7E3"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n</w:t>
            </w:r>
          </w:p>
        </w:tc>
        <w:tc>
          <w:tcPr>
            <w:tcW w:w="1150" w:type="dxa"/>
          </w:tcPr>
          <w:p w14:paraId="444569CA" w14:textId="77777777" w:rsidR="0007555D" w:rsidRPr="00C56257" w:rsidRDefault="0007555D" w:rsidP="00F100E1">
            <w:pPr>
              <w:widowControl w:val="0"/>
              <w:autoSpaceDE w:val="0"/>
              <w:autoSpaceDN w:val="0"/>
              <w:adjustRightInd w:val="0"/>
              <w:jc w:val="both"/>
              <w:rPr>
                <w:rFonts w:eastAsia="Calibri"/>
              </w:rPr>
            </w:pPr>
          </w:p>
        </w:tc>
        <w:tc>
          <w:tcPr>
            <w:tcW w:w="1194" w:type="dxa"/>
          </w:tcPr>
          <w:p w14:paraId="35F83A8F" w14:textId="77777777" w:rsidR="0007555D" w:rsidRPr="00C56257" w:rsidRDefault="0007555D" w:rsidP="00F100E1">
            <w:pPr>
              <w:widowControl w:val="0"/>
              <w:autoSpaceDE w:val="0"/>
              <w:autoSpaceDN w:val="0"/>
              <w:adjustRightInd w:val="0"/>
              <w:jc w:val="both"/>
              <w:rPr>
                <w:rFonts w:eastAsia="Calibri"/>
              </w:rPr>
            </w:pPr>
          </w:p>
        </w:tc>
        <w:tc>
          <w:tcPr>
            <w:tcW w:w="1058" w:type="dxa"/>
          </w:tcPr>
          <w:p w14:paraId="0EEB4111" w14:textId="77777777" w:rsidR="0007555D" w:rsidRPr="00C56257" w:rsidRDefault="0007555D" w:rsidP="00F100E1">
            <w:pPr>
              <w:widowControl w:val="0"/>
              <w:autoSpaceDE w:val="0"/>
              <w:autoSpaceDN w:val="0"/>
              <w:adjustRightInd w:val="0"/>
              <w:jc w:val="both"/>
              <w:rPr>
                <w:rFonts w:eastAsia="Calibri"/>
              </w:rPr>
            </w:pPr>
          </w:p>
        </w:tc>
        <w:tc>
          <w:tcPr>
            <w:tcW w:w="850" w:type="dxa"/>
          </w:tcPr>
          <w:p w14:paraId="722BD6BB" w14:textId="77777777" w:rsidR="0007555D" w:rsidRPr="00C56257" w:rsidRDefault="0007555D" w:rsidP="00F100E1">
            <w:pPr>
              <w:widowControl w:val="0"/>
              <w:autoSpaceDE w:val="0"/>
              <w:autoSpaceDN w:val="0"/>
              <w:adjustRightInd w:val="0"/>
              <w:jc w:val="both"/>
              <w:rPr>
                <w:rFonts w:eastAsia="Calibri"/>
              </w:rPr>
            </w:pPr>
          </w:p>
        </w:tc>
        <w:tc>
          <w:tcPr>
            <w:tcW w:w="851" w:type="dxa"/>
          </w:tcPr>
          <w:p w14:paraId="16D9AE8F" w14:textId="77777777" w:rsidR="0007555D" w:rsidRPr="00C56257" w:rsidRDefault="0007555D" w:rsidP="00F100E1">
            <w:pPr>
              <w:widowControl w:val="0"/>
              <w:autoSpaceDE w:val="0"/>
              <w:autoSpaceDN w:val="0"/>
              <w:adjustRightInd w:val="0"/>
              <w:jc w:val="both"/>
              <w:rPr>
                <w:rFonts w:eastAsia="Calibri"/>
              </w:rPr>
            </w:pPr>
          </w:p>
        </w:tc>
        <w:tc>
          <w:tcPr>
            <w:tcW w:w="850" w:type="dxa"/>
          </w:tcPr>
          <w:p w14:paraId="380A69B5" w14:textId="77777777" w:rsidR="0007555D" w:rsidRPr="00C56257" w:rsidRDefault="0007555D" w:rsidP="00F100E1">
            <w:pPr>
              <w:widowControl w:val="0"/>
              <w:autoSpaceDE w:val="0"/>
              <w:autoSpaceDN w:val="0"/>
              <w:adjustRightInd w:val="0"/>
              <w:jc w:val="both"/>
              <w:rPr>
                <w:rFonts w:eastAsia="Calibri"/>
              </w:rPr>
            </w:pPr>
          </w:p>
        </w:tc>
        <w:tc>
          <w:tcPr>
            <w:tcW w:w="851" w:type="dxa"/>
          </w:tcPr>
          <w:p w14:paraId="028622B8" w14:textId="77777777" w:rsidR="0007555D" w:rsidRPr="00C56257" w:rsidRDefault="0007555D" w:rsidP="00F100E1">
            <w:pPr>
              <w:widowControl w:val="0"/>
              <w:autoSpaceDE w:val="0"/>
              <w:autoSpaceDN w:val="0"/>
              <w:adjustRightInd w:val="0"/>
              <w:jc w:val="both"/>
              <w:rPr>
                <w:rFonts w:eastAsia="Calibri"/>
              </w:rPr>
            </w:pPr>
          </w:p>
        </w:tc>
        <w:tc>
          <w:tcPr>
            <w:tcW w:w="844" w:type="dxa"/>
          </w:tcPr>
          <w:p w14:paraId="6EEE97C6" w14:textId="77777777" w:rsidR="0007555D" w:rsidRPr="00C56257" w:rsidRDefault="0007555D" w:rsidP="00F100E1">
            <w:pPr>
              <w:widowControl w:val="0"/>
              <w:autoSpaceDE w:val="0"/>
              <w:autoSpaceDN w:val="0"/>
              <w:adjustRightInd w:val="0"/>
              <w:jc w:val="both"/>
              <w:rPr>
                <w:rFonts w:eastAsia="Calibri"/>
              </w:rPr>
            </w:pPr>
          </w:p>
        </w:tc>
        <w:tc>
          <w:tcPr>
            <w:tcW w:w="848" w:type="dxa"/>
          </w:tcPr>
          <w:p w14:paraId="52418A35" w14:textId="77777777" w:rsidR="0007555D" w:rsidRPr="00C56257" w:rsidRDefault="0007555D" w:rsidP="00F100E1">
            <w:pPr>
              <w:widowControl w:val="0"/>
              <w:autoSpaceDE w:val="0"/>
              <w:autoSpaceDN w:val="0"/>
              <w:adjustRightInd w:val="0"/>
              <w:jc w:val="both"/>
              <w:rPr>
                <w:rFonts w:eastAsia="Calibri"/>
              </w:rPr>
            </w:pPr>
          </w:p>
        </w:tc>
      </w:tr>
    </w:tbl>
    <w:p w14:paraId="75260E40"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Valorile A, B,C, ne/na sunt transformate în valori numerice: A=1, B=2, C=3.</w:t>
      </w:r>
    </w:p>
    <w:tbl>
      <w:tblPr>
        <w:tblStyle w:val="TableGrid"/>
        <w:tblW w:w="9064" w:type="dxa"/>
        <w:jc w:val="center"/>
        <w:tblLayout w:type="fixed"/>
        <w:tblLook w:val="04A0" w:firstRow="1" w:lastRow="0" w:firstColumn="1" w:lastColumn="0" w:noHBand="0" w:noVBand="1"/>
      </w:tblPr>
      <w:tblGrid>
        <w:gridCol w:w="625"/>
        <w:gridCol w:w="1170"/>
        <w:gridCol w:w="1117"/>
        <w:gridCol w:w="1058"/>
        <w:gridCol w:w="850"/>
        <w:gridCol w:w="851"/>
        <w:gridCol w:w="850"/>
        <w:gridCol w:w="851"/>
        <w:gridCol w:w="844"/>
        <w:gridCol w:w="848"/>
      </w:tblGrid>
      <w:tr w:rsidR="0007555D" w:rsidRPr="00C56257" w14:paraId="72C9F2D1" w14:textId="77777777" w:rsidTr="0007555D">
        <w:trPr>
          <w:jc w:val="center"/>
        </w:trPr>
        <w:tc>
          <w:tcPr>
            <w:tcW w:w="625" w:type="dxa"/>
          </w:tcPr>
          <w:p w14:paraId="4FFDADE7"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Plot</w:t>
            </w:r>
          </w:p>
        </w:tc>
        <w:tc>
          <w:tcPr>
            <w:tcW w:w="3345" w:type="dxa"/>
            <w:gridSpan w:val="3"/>
          </w:tcPr>
          <w:p w14:paraId="52054C1C"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Specii tipice</w:t>
            </w:r>
          </w:p>
        </w:tc>
        <w:tc>
          <w:tcPr>
            <w:tcW w:w="2551" w:type="dxa"/>
            <w:gridSpan w:val="3"/>
          </w:tcPr>
          <w:p w14:paraId="3045BC2B"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Structură</w:t>
            </w:r>
          </w:p>
        </w:tc>
        <w:tc>
          <w:tcPr>
            <w:tcW w:w="2543" w:type="dxa"/>
            <w:gridSpan w:val="3"/>
          </w:tcPr>
          <w:p w14:paraId="7E5089F8"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Presiuni și amenințări</w:t>
            </w:r>
          </w:p>
        </w:tc>
      </w:tr>
      <w:tr w:rsidR="0007555D" w:rsidRPr="00C56257" w14:paraId="1C1DB515" w14:textId="77777777" w:rsidTr="0007555D">
        <w:trPr>
          <w:jc w:val="center"/>
        </w:trPr>
        <w:tc>
          <w:tcPr>
            <w:tcW w:w="625" w:type="dxa"/>
          </w:tcPr>
          <w:p w14:paraId="4875225A" w14:textId="77777777" w:rsidR="0007555D" w:rsidRPr="00C56257" w:rsidRDefault="0007555D" w:rsidP="00F100E1">
            <w:pPr>
              <w:widowControl w:val="0"/>
              <w:autoSpaceDE w:val="0"/>
              <w:autoSpaceDN w:val="0"/>
              <w:adjustRightInd w:val="0"/>
              <w:jc w:val="both"/>
              <w:rPr>
                <w:rFonts w:eastAsia="Calibri"/>
              </w:rPr>
            </w:pPr>
          </w:p>
        </w:tc>
        <w:tc>
          <w:tcPr>
            <w:tcW w:w="1170" w:type="dxa"/>
          </w:tcPr>
          <w:p w14:paraId="50B3BC39"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Compoziția</w:t>
            </w:r>
          </w:p>
          <w:p w14:paraId="1A48B545"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arboretul</w:t>
            </w:r>
            <w:r w:rsidRPr="00C56257">
              <w:rPr>
                <w:rFonts w:eastAsia="Calibri"/>
              </w:rPr>
              <w:lastRenderedPageBreak/>
              <w:t>ui</w:t>
            </w:r>
          </w:p>
        </w:tc>
        <w:tc>
          <w:tcPr>
            <w:tcW w:w="1117" w:type="dxa"/>
          </w:tcPr>
          <w:p w14:paraId="725ED462"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lastRenderedPageBreak/>
              <w:t>Compoziția semințiș</w:t>
            </w:r>
            <w:r w:rsidRPr="00C56257">
              <w:rPr>
                <w:rFonts w:eastAsia="Calibri"/>
              </w:rPr>
              <w:lastRenderedPageBreak/>
              <w:t>ului</w:t>
            </w:r>
          </w:p>
        </w:tc>
        <w:tc>
          <w:tcPr>
            <w:tcW w:w="1058" w:type="dxa"/>
          </w:tcPr>
          <w:p w14:paraId="3B0695E8"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lastRenderedPageBreak/>
              <w:t>Naturalitatea</w:t>
            </w:r>
          </w:p>
        </w:tc>
        <w:tc>
          <w:tcPr>
            <w:tcW w:w="850" w:type="dxa"/>
          </w:tcPr>
          <w:p w14:paraId="06B1CB1D"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Consistență</w:t>
            </w:r>
          </w:p>
        </w:tc>
        <w:tc>
          <w:tcPr>
            <w:tcW w:w="851" w:type="dxa"/>
          </w:tcPr>
          <w:p w14:paraId="6DC9C53D"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Vârstă</w:t>
            </w:r>
          </w:p>
        </w:tc>
        <w:tc>
          <w:tcPr>
            <w:tcW w:w="850" w:type="dxa"/>
          </w:tcPr>
          <w:p w14:paraId="70A0ADB8"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lemn mort</w:t>
            </w:r>
          </w:p>
        </w:tc>
        <w:tc>
          <w:tcPr>
            <w:tcW w:w="851" w:type="dxa"/>
          </w:tcPr>
          <w:p w14:paraId="5F354FB9"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vătămări</w:t>
            </w:r>
          </w:p>
        </w:tc>
        <w:tc>
          <w:tcPr>
            <w:tcW w:w="844" w:type="dxa"/>
          </w:tcPr>
          <w:p w14:paraId="1B404AFE"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riscuri</w:t>
            </w:r>
          </w:p>
        </w:tc>
        <w:tc>
          <w:tcPr>
            <w:tcW w:w="848" w:type="dxa"/>
          </w:tcPr>
          <w:p w14:paraId="0C89C380"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viabilitate</w:t>
            </w:r>
          </w:p>
        </w:tc>
      </w:tr>
      <w:tr w:rsidR="0007555D" w:rsidRPr="00C56257" w14:paraId="45C3F8FC" w14:textId="77777777" w:rsidTr="0007555D">
        <w:trPr>
          <w:jc w:val="center"/>
        </w:trPr>
        <w:tc>
          <w:tcPr>
            <w:tcW w:w="625" w:type="dxa"/>
          </w:tcPr>
          <w:p w14:paraId="3AB8A738"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1</w:t>
            </w:r>
          </w:p>
        </w:tc>
        <w:tc>
          <w:tcPr>
            <w:tcW w:w="1170" w:type="dxa"/>
          </w:tcPr>
          <w:p w14:paraId="58F3D8D9"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1</w:t>
            </w:r>
          </w:p>
        </w:tc>
        <w:tc>
          <w:tcPr>
            <w:tcW w:w="1117" w:type="dxa"/>
          </w:tcPr>
          <w:p w14:paraId="1DD2DDF1"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1</w:t>
            </w:r>
          </w:p>
        </w:tc>
        <w:tc>
          <w:tcPr>
            <w:tcW w:w="1058" w:type="dxa"/>
          </w:tcPr>
          <w:p w14:paraId="3D99299D"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1</w:t>
            </w:r>
          </w:p>
        </w:tc>
        <w:tc>
          <w:tcPr>
            <w:tcW w:w="850" w:type="dxa"/>
          </w:tcPr>
          <w:p w14:paraId="37DE3551"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3</w:t>
            </w:r>
          </w:p>
        </w:tc>
        <w:tc>
          <w:tcPr>
            <w:tcW w:w="851" w:type="dxa"/>
          </w:tcPr>
          <w:p w14:paraId="62B030A0"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3</w:t>
            </w:r>
          </w:p>
        </w:tc>
        <w:tc>
          <w:tcPr>
            <w:tcW w:w="850" w:type="dxa"/>
          </w:tcPr>
          <w:p w14:paraId="1C465FEA"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w:t>
            </w:r>
          </w:p>
        </w:tc>
        <w:tc>
          <w:tcPr>
            <w:tcW w:w="851" w:type="dxa"/>
          </w:tcPr>
          <w:p w14:paraId="52DA5C2A"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3</w:t>
            </w:r>
          </w:p>
        </w:tc>
        <w:tc>
          <w:tcPr>
            <w:tcW w:w="844" w:type="dxa"/>
          </w:tcPr>
          <w:p w14:paraId="1E0E8E07"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3</w:t>
            </w:r>
          </w:p>
        </w:tc>
        <w:tc>
          <w:tcPr>
            <w:tcW w:w="848" w:type="dxa"/>
          </w:tcPr>
          <w:p w14:paraId="2F6B630F"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w:t>
            </w:r>
          </w:p>
        </w:tc>
      </w:tr>
      <w:tr w:rsidR="0007555D" w:rsidRPr="00C56257" w14:paraId="2A5A2F4D" w14:textId="77777777" w:rsidTr="0007555D">
        <w:trPr>
          <w:jc w:val="center"/>
        </w:trPr>
        <w:tc>
          <w:tcPr>
            <w:tcW w:w="625" w:type="dxa"/>
          </w:tcPr>
          <w:p w14:paraId="0A33C0C7"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w:t>
            </w:r>
          </w:p>
        </w:tc>
        <w:tc>
          <w:tcPr>
            <w:tcW w:w="1170" w:type="dxa"/>
          </w:tcPr>
          <w:p w14:paraId="7E7754FA"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w:t>
            </w:r>
          </w:p>
        </w:tc>
        <w:tc>
          <w:tcPr>
            <w:tcW w:w="1117" w:type="dxa"/>
          </w:tcPr>
          <w:p w14:paraId="4303EDFC"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3</w:t>
            </w:r>
          </w:p>
        </w:tc>
        <w:tc>
          <w:tcPr>
            <w:tcW w:w="1058" w:type="dxa"/>
          </w:tcPr>
          <w:p w14:paraId="08CDBD6F"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3</w:t>
            </w:r>
          </w:p>
        </w:tc>
        <w:tc>
          <w:tcPr>
            <w:tcW w:w="850" w:type="dxa"/>
          </w:tcPr>
          <w:p w14:paraId="57E8F97B"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1</w:t>
            </w:r>
          </w:p>
        </w:tc>
        <w:tc>
          <w:tcPr>
            <w:tcW w:w="851" w:type="dxa"/>
          </w:tcPr>
          <w:p w14:paraId="1FB7B954"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w:t>
            </w:r>
          </w:p>
        </w:tc>
        <w:tc>
          <w:tcPr>
            <w:tcW w:w="850" w:type="dxa"/>
          </w:tcPr>
          <w:p w14:paraId="664D9697"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3</w:t>
            </w:r>
          </w:p>
        </w:tc>
        <w:tc>
          <w:tcPr>
            <w:tcW w:w="851" w:type="dxa"/>
          </w:tcPr>
          <w:p w14:paraId="49971F35"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1</w:t>
            </w:r>
          </w:p>
        </w:tc>
        <w:tc>
          <w:tcPr>
            <w:tcW w:w="844" w:type="dxa"/>
          </w:tcPr>
          <w:p w14:paraId="459513DD"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3</w:t>
            </w:r>
          </w:p>
        </w:tc>
        <w:tc>
          <w:tcPr>
            <w:tcW w:w="848" w:type="dxa"/>
          </w:tcPr>
          <w:p w14:paraId="0327D670"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w:t>
            </w:r>
          </w:p>
        </w:tc>
      </w:tr>
      <w:tr w:rsidR="0007555D" w:rsidRPr="00C56257" w14:paraId="5E3ED195" w14:textId="77777777" w:rsidTr="0007555D">
        <w:trPr>
          <w:jc w:val="center"/>
        </w:trPr>
        <w:tc>
          <w:tcPr>
            <w:tcW w:w="625" w:type="dxa"/>
          </w:tcPr>
          <w:p w14:paraId="60D561AF"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3</w:t>
            </w:r>
          </w:p>
        </w:tc>
        <w:tc>
          <w:tcPr>
            <w:tcW w:w="1170" w:type="dxa"/>
          </w:tcPr>
          <w:p w14:paraId="751156B4"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w:t>
            </w:r>
          </w:p>
        </w:tc>
        <w:tc>
          <w:tcPr>
            <w:tcW w:w="1117" w:type="dxa"/>
          </w:tcPr>
          <w:p w14:paraId="35383951"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w:t>
            </w:r>
          </w:p>
        </w:tc>
        <w:tc>
          <w:tcPr>
            <w:tcW w:w="1058" w:type="dxa"/>
          </w:tcPr>
          <w:p w14:paraId="48FBB111"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3</w:t>
            </w:r>
          </w:p>
        </w:tc>
        <w:tc>
          <w:tcPr>
            <w:tcW w:w="850" w:type="dxa"/>
          </w:tcPr>
          <w:p w14:paraId="7AC4AE71"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1</w:t>
            </w:r>
          </w:p>
        </w:tc>
        <w:tc>
          <w:tcPr>
            <w:tcW w:w="851" w:type="dxa"/>
          </w:tcPr>
          <w:p w14:paraId="66651A03"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3</w:t>
            </w:r>
          </w:p>
        </w:tc>
        <w:tc>
          <w:tcPr>
            <w:tcW w:w="850" w:type="dxa"/>
          </w:tcPr>
          <w:p w14:paraId="4FA3D3C2"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3</w:t>
            </w:r>
          </w:p>
        </w:tc>
        <w:tc>
          <w:tcPr>
            <w:tcW w:w="851" w:type="dxa"/>
          </w:tcPr>
          <w:p w14:paraId="5AFF9E2E"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1</w:t>
            </w:r>
          </w:p>
        </w:tc>
        <w:tc>
          <w:tcPr>
            <w:tcW w:w="844" w:type="dxa"/>
          </w:tcPr>
          <w:p w14:paraId="1B642959"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1</w:t>
            </w:r>
          </w:p>
        </w:tc>
        <w:tc>
          <w:tcPr>
            <w:tcW w:w="848" w:type="dxa"/>
          </w:tcPr>
          <w:p w14:paraId="6C92FE9E"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w:t>
            </w:r>
          </w:p>
        </w:tc>
      </w:tr>
      <w:tr w:rsidR="0007555D" w:rsidRPr="00C56257" w14:paraId="5E56973B" w14:textId="77777777" w:rsidTr="0007555D">
        <w:trPr>
          <w:jc w:val="center"/>
        </w:trPr>
        <w:tc>
          <w:tcPr>
            <w:tcW w:w="625" w:type="dxa"/>
          </w:tcPr>
          <w:p w14:paraId="2AFB2768"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4</w:t>
            </w:r>
          </w:p>
        </w:tc>
        <w:tc>
          <w:tcPr>
            <w:tcW w:w="1170" w:type="dxa"/>
          </w:tcPr>
          <w:p w14:paraId="0023984D" w14:textId="77777777" w:rsidR="0007555D" w:rsidRPr="00C56257" w:rsidRDefault="0007555D" w:rsidP="00F100E1">
            <w:pPr>
              <w:widowControl w:val="0"/>
              <w:autoSpaceDE w:val="0"/>
              <w:autoSpaceDN w:val="0"/>
              <w:adjustRightInd w:val="0"/>
              <w:jc w:val="both"/>
              <w:rPr>
                <w:rFonts w:eastAsia="Calibri"/>
              </w:rPr>
            </w:pPr>
          </w:p>
        </w:tc>
        <w:tc>
          <w:tcPr>
            <w:tcW w:w="1117" w:type="dxa"/>
          </w:tcPr>
          <w:p w14:paraId="70967B71" w14:textId="77777777" w:rsidR="0007555D" w:rsidRPr="00C56257" w:rsidRDefault="0007555D" w:rsidP="00F100E1">
            <w:pPr>
              <w:widowControl w:val="0"/>
              <w:autoSpaceDE w:val="0"/>
              <w:autoSpaceDN w:val="0"/>
              <w:adjustRightInd w:val="0"/>
              <w:jc w:val="both"/>
              <w:rPr>
                <w:rFonts w:eastAsia="Calibri"/>
              </w:rPr>
            </w:pPr>
          </w:p>
        </w:tc>
        <w:tc>
          <w:tcPr>
            <w:tcW w:w="1058" w:type="dxa"/>
          </w:tcPr>
          <w:p w14:paraId="580A841A" w14:textId="77777777" w:rsidR="0007555D" w:rsidRPr="00C56257" w:rsidRDefault="0007555D" w:rsidP="00F100E1">
            <w:pPr>
              <w:widowControl w:val="0"/>
              <w:autoSpaceDE w:val="0"/>
              <w:autoSpaceDN w:val="0"/>
              <w:adjustRightInd w:val="0"/>
              <w:jc w:val="both"/>
              <w:rPr>
                <w:rFonts w:eastAsia="Calibri"/>
              </w:rPr>
            </w:pPr>
          </w:p>
        </w:tc>
        <w:tc>
          <w:tcPr>
            <w:tcW w:w="850" w:type="dxa"/>
          </w:tcPr>
          <w:p w14:paraId="267AD0CF" w14:textId="77777777" w:rsidR="0007555D" w:rsidRPr="00C56257" w:rsidRDefault="0007555D" w:rsidP="00F100E1">
            <w:pPr>
              <w:widowControl w:val="0"/>
              <w:autoSpaceDE w:val="0"/>
              <w:autoSpaceDN w:val="0"/>
              <w:adjustRightInd w:val="0"/>
              <w:jc w:val="both"/>
              <w:rPr>
                <w:rFonts w:eastAsia="Calibri"/>
              </w:rPr>
            </w:pPr>
          </w:p>
        </w:tc>
        <w:tc>
          <w:tcPr>
            <w:tcW w:w="851" w:type="dxa"/>
          </w:tcPr>
          <w:p w14:paraId="50A9563C" w14:textId="77777777" w:rsidR="0007555D" w:rsidRPr="00C56257" w:rsidRDefault="0007555D" w:rsidP="00F100E1">
            <w:pPr>
              <w:widowControl w:val="0"/>
              <w:autoSpaceDE w:val="0"/>
              <w:autoSpaceDN w:val="0"/>
              <w:adjustRightInd w:val="0"/>
              <w:jc w:val="both"/>
              <w:rPr>
                <w:rFonts w:eastAsia="Calibri"/>
              </w:rPr>
            </w:pPr>
          </w:p>
        </w:tc>
        <w:tc>
          <w:tcPr>
            <w:tcW w:w="850" w:type="dxa"/>
          </w:tcPr>
          <w:p w14:paraId="0B5E2F1D" w14:textId="77777777" w:rsidR="0007555D" w:rsidRPr="00C56257" w:rsidRDefault="0007555D" w:rsidP="00F100E1">
            <w:pPr>
              <w:widowControl w:val="0"/>
              <w:autoSpaceDE w:val="0"/>
              <w:autoSpaceDN w:val="0"/>
              <w:adjustRightInd w:val="0"/>
              <w:jc w:val="both"/>
              <w:rPr>
                <w:rFonts w:eastAsia="Calibri"/>
              </w:rPr>
            </w:pPr>
          </w:p>
        </w:tc>
        <w:tc>
          <w:tcPr>
            <w:tcW w:w="851" w:type="dxa"/>
          </w:tcPr>
          <w:p w14:paraId="374233EB" w14:textId="77777777" w:rsidR="0007555D" w:rsidRPr="00C56257" w:rsidRDefault="0007555D" w:rsidP="00F100E1">
            <w:pPr>
              <w:widowControl w:val="0"/>
              <w:autoSpaceDE w:val="0"/>
              <w:autoSpaceDN w:val="0"/>
              <w:adjustRightInd w:val="0"/>
              <w:jc w:val="both"/>
              <w:rPr>
                <w:rFonts w:eastAsia="Calibri"/>
              </w:rPr>
            </w:pPr>
          </w:p>
        </w:tc>
        <w:tc>
          <w:tcPr>
            <w:tcW w:w="844" w:type="dxa"/>
          </w:tcPr>
          <w:p w14:paraId="01CE83AF" w14:textId="77777777" w:rsidR="0007555D" w:rsidRPr="00C56257" w:rsidRDefault="0007555D" w:rsidP="00F100E1">
            <w:pPr>
              <w:widowControl w:val="0"/>
              <w:autoSpaceDE w:val="0"/>
              <w:autoSpaceDN w:val="0"/>
              <w:adjustRightInd w:val="0"/>
              <w:jc w:val="both"/>
              <w:rPr>
                <w:rFonts w:eastAsia="Calibri"/>
              </w:rPr>
            </w:pPr>
          </w:p>
        </w:tc>
        <w:tc>
          <w:tcPr>
            <w:tcW w:w="848" w:type="dxa"/>
          </w:tcPr>
          <w:p w14:paraId="6A9E84B9" w14:textId="77777777" w:rsidR="0007555D" w:rsidRPr="00C56257" w:rsidRDefault="0007555D" w:rsidP="00F100E1">
            <w:pPr>
              <w:widowControl w:val="0"/>
              <w:autoSpaceDE w:val="0"/>
              <w:autoSpaceDN w:val="0"/>
              <w:adjustRightInd w:val="0"/>
              <w:jc w:val="both"/>
              <w:rPr>
                <w:rFonts w:eastAsia="Calibri"/>
              </w:rPr>
            </w:pPr>
          </w:p>
        </w:tc>
      </w:tr>
      <w:tr w:rsidR="0007555D" w:rsidRPr="00C56257" w14:paraId="316FD580" w14:textId="77777777" w:rsidTr="0007555D">
        <w:trPr>
          <w:jc w:val="center"/>
        </w:trPr>
        <w:tc>
          <w:tcPr>
            <w:tcW w:w="625" w:type="dxa"/>
          </w:tcPr>
          <w:p w14:paraId="3AF4A41A"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5</w:t>
            </w:r>
          </w:p>
        </w:tc>
        <w:tc>
          <w:tcPr>
            <w:tcW w:w="1170" w:type="dxa"/>
          </w:tcPr>
          <w:p w14:paraId="564841FA" w14:textId="77777777" w:rsidR="0007555D" w:rsidRPr="00C56257" w:rsidRDefault="0007555D" w:rsidP="00F100E1">
            <w:pPr>
              <w:widowControl w:val="0"/>
              <w:autoSpaceDE w:val="0"/>
              <w:autoSpaceDN w:val="0"/>
              <w:adjustRightInd w:val="0"/>
              <w:jc w:val="both"/>
              <w:rPr>
                <w:rFonts w:eastAsia="Calibri"/>
              </w:rPr>
            </w:pPr>
          </w:p>
        </w:tc>
        <w:tc>
          <w:tcPr>
            <w:tcW w:w="1117" w:type="dxa"/>
          </w:tcPr>
          <w:p w14:paraId="2D17E711" w14:textId="77777777" w:rsidR="0007555D" w:rsidRPr="00C56257" w:rsidRDefault="0007555D" w:rsidP="00F100E1">
            <w:pPr>
              <w:widowControl w:val="0"/>
              <w:autoSpaceDE w:val="0"/>
              <w:autoSpaceDN w:val="0"/>
              <w:adjustRightInd w:val="0"/>
              <w:jc w:val="both"/>
              <w:rPr>
                <w:rFonts w:eastAsia="Calibri"/>
              </w:rPr>
            </w:pPr>
          </w:p>
        </w:tc>
        <w:tc>
          <w:tcPr>
            <w:tcW w:w="1058" w:type="dxa"/>
          </w:tcPr>
          <w:p w14:paraId="09084973" w14:textId="77777777" w:rsidR="0007555D" w:rsidRPr="00C56257" w:rsidRDefault="0007555D" w:rsidP="00F100E1">
            <w:pPr>
              <w:widowControl w:val="0"/>
              <w:autoSpaceDE w:val="0"/>
              <w:autoSpaceDN w:val="0"/>
              <w:adjustRightInd w:val="0"/>
              <w:jc w:val="both"/>
              <w:rPr>
                <w:rFonts w:eastAsia="Calibri"/>
              </w:rPr>
            </w:pPr>
          </w:p>
        </w:tc>
        <w:tc>
          <w:tcPr>
            <w:tcW w:w="850" w:type="dxa"/>
          </w:tcPr>
          <w:p w14:paraId="1DF68530" w14:textId="77777777" w:rsidR="0007555D" w:rsidRPr="00C56257" w:rsidRDefault="0007555D" w:rsidP="00F100E1">
            <w:pPr>
              <w:widowControl w:val="0"/>
              <w:autoSpaceDE w:val="0"/>
              <w:autoSpaceDN w:val="0"/>
              <w:adjustRightInd w:val="0"/>
              <w:jc w:val="both"/>
              <w:rPr>
                <w:rFonts w:eastAsia="Calibri"/>
              </w:rPr>
            </w:pPr>
          </w:p>
        </w:tc>
        <w:tc>
          <w:tcPr>
            <w:tcW w:w="851" w:type="dxa"/>
          </w:tcPr>
          <w:p w14:paraId="1560560F" w14:textId="77777777" w:rsidR="0007555D" w:rsidRPr="00C56257" w:rsidRDefault="0007555D" w:rsidP="00F100E1">
            <w:pPr>
              <w:widowControl w:val="0"/>
              <w:autoSpaceDE w:val="0"/>
              <w:autoSpaceDN w:val="0"/>
              <w:adjustRightInd w:val="0"/>
              <w:jc w:val="both"/>
              <w:rPr>
                <w:rFonts w:eastAsia="Calibri"/>
              </w:rPr>
            </w:pPr>
          </w:p>
        </w:tc>
        <w:tc>
          <w:tcPr>
            <w:tcW w:w="850" w:type="dxa"/>
          </w:tcPr>
          <w:p w14:paraId="2BD24C33" w14:textId="77777777" w:rsidR="0007555D" w:rsidRPr="00C56257" w:rsidRDefault="0007555D" w:rsidP="00F100E1">
            <w:pPr>
              <w:widowControl w:val="0"/>
              <w:autoSpaceDE w:val="0"/>
              <w:autoSpaceDN w:val="0"/>
              <w:adjustRightInd w:val="0"/>
              <w:jc w:val="both"/>
              <w:rPr>
                <w:rFonts w:eastAsia="Calibri"/>
              </w:rPr>
            </w:pPr>
          </w:p>
        </w:tc>
        <w:tc>
          <w:tcPr>
            <w:tcW w:w="851" w:type="dxa"/>
          </w:tcPr>
          <w:p w14:paraId="3DC216B2" w14:textId="77777777" w:rsidR="0007555D" w:rsidRPr="00C56257" w:rsidRDefault="0007555D" w:rsidP="00F100E1">
            <w:pPr>
              <w:widowControl w:val="0"/>
              <w:autoSpaceDE w:val="0"/>
              <w:autoSpaceDN w:val="0"/>
              <w:adjustRightInd w:val="0"/>
              <w:jc w:val="both"/>
              <w:rPr>
                <w:rFonts w:eastAsia="Calibri"/>
              </w:rPr>
            </w:pPr>
          </w:p>
        </w:tc>
        <w:tc>
          <w:tcPr>
            <w:tcW w:w="844" w:type="dxa"/>
          </w:tcPr>
          <w:p w14:paraId="59ED8028" w14:textId="77777777" w:rsidR="0007555D" w:rsidRPr="00C56257" w:rsidRDefault="0007555D" w:rsidP="00F100E1">
            <w:pPr>
              <w:widowControl w:val="0"/>
              <w:autoSpaceDE w:val="0"/>
              <w:autoSpaceDN w:val="0"/>
              <w:adjustRightInd w:val="0"/>
              <w:jc w:val="both"/>
              <w:rPr>
                <w:rFonts w:eastAsia="Calibri"/>
              </w:rPr>
            </w:pPr>
          </w:p>
        </w:tc>
        <w:tc>
          <w:tcPr>
            <w:tcW w:w="848" w:type="dxa"/>
          </w:tcPr>
          <w:p w14:paraId="075A620A" w14:textId="77777777" w:rsidR="0007555D" w:rsidRPr="00C56257" w:rsidRDefault="0007555D" w:rsidP="00F100E1">
            <w:pPr>
              <w:widowControl w:val="0"/>
              <w:autoSpaceDE w:val="0"/>
              <w:autoSpaceDN w:val="0"/>
              <w:adjustRightInd w:val="0"/>
              <w:jc w:val="both"/>
              <w:rPr>
                <w:rFonts w:eastAsia="Calibri"/>
              </w:rPr>
            </w:pPr>
          </w:p>
        </w:tc>
      </w:tr>
      <w:tr w:rsidR="0007555D" w:rsidRPr="00C56257" w14:paraId="62C8CED3" w14:textId="77777777" w:rsidTr="0007555D">
        <w:trPr>
          <w:jc w:val="center"/>
        </w:trPr>
        <w:tc>
          <w:tcPr>
            <w:tcW w:w="625" w:type="dxa"/>
          </w:tcPr>
          <w:p w14:paraId="2A5E6E5C"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w:t>
            </w:r>
          </w:p>
        </w:tc>
        <w:tc>
          <w:tcPr>
            <w:tcW w:w="1170" w:type="dxa"/>
          </w:tcPr>
          <w:p w14:paraId="03BC979E" w14:textId="77777777" w:rsidR="0007555D" w:rsidRPr="00C56257" w:rsidRDefault="0007555D" w:rsidP="00F100E1">
            <w:pPr>
              <w:widowControl w:val="0"/>
              <w:autoSpaceDE w:val="0"/>
              <w:autoSpaceDN w:val="0"/>
              <w:adjustRightInd w:val="0"/>
              <w:jc w:val="both"/>
              <w:rPr>
                <w:rFonts w:eastAsia="Calibri"/>
              </w:rPr>
            </w:pPr>
          </w:p>
        </w:tc>
        <w:tc>
          <w:tcPr>
            <w:tcW w:w="1117" w:type="dxa"/>
          </w:tcPr>
          <w:p w14:paraId="751133DB" w14:textId="77777777" w:rsidR="0007555D" w:rsidRPr="00C56257" w:rsidRDefault="0007555D" w:rsidP="00F100E1">
            <w:pPr>
              <w:widowControl w:val="0"/>
              <w:autoSpaceDE w:val="0"/>
              <w:autoSpaceDN w:val="0"/>
              <w:adjustRightInd w:val="0"/>
              <w:jc w:val="both"/>
              <w:rPr>
                <w:rFonts w:eastAsia="Calibri"/>
              </w:rPr>
            </w:pPr>
          </w:p>
        </w:tc>
        <w:tc>
          <w:tcPr>
            <w:tcW w:w="1058" w:type="dxa"/>
          </w:tcPr>
          <w:p w14:paraId="2FFF3FE3" w14:textId="77777777" w:rsidR="0007555D" w:rsidRPr="00C56257" w:rsidRDefault="0007555D" w:rsidP="00F100E1">
            <w:pPr>
              <w:widowControl w:val="0"/>
              <w:autoSpaceDE w:val="0"/>
              <w:autoSpaceDN w:val="0"/>
              <w:adjustRightInd w:val="0"/>
              <w:jc w:val="both"/>
              <w:rPr>
                <w:rFonts w:eastAsia="Calibri"/>
              </w:rPr>
            </w:pPr>
          </w:p>
        </w:tc>
        <w:tc>
          <w:tcPr>
            <w:tcW w:w="850" w:type="dxa"/>
          </w:tcPr>
          <w:p w14:paraId="6E42AD85" w14:textId="77777777" w:rsidR="0007555D" w:rsidRPr="00C56257" w:rsidRDefault="0007555D" w:rsidP="00F100E1">
            <w:pPr>
              <w:widowControl w:val="0"/>
              <w:autoSpaceDE w:val="0"/>
              <w:autoSpaceDN w:val="0"/>
              <w:adjustRightInd w:val="0"/>
              <w:jc w:val="both"/>
              <w:rPr>
                <w:rFonts w:eastAsia="Calibri"/>
              </w:rPr>
            </w:pPr>
          </w:p>
        </w:tc>
        <w:tc>
          <w:tcPr>
            <w:tcW w:w="851" w:type="dxa"/>
          </w:tcPr>
          <w:p w14:paraId="0F07C127" w14:textId="77777777" w:rsidR="0007555D" w:rsidRPr="00C56257" w:rsidRDefault="0007555D" w:rsidP="00F100E1">
            <w:pPr>
              <w:widowControl w:val="0"/>
              <w:autoSpaceDE w:val="0"/>
              <w:autoSpaceDN w:val="0"/>
              <w:adjustRightInd w:val="0"/>
              <w:jc w:val="both"/>
              <w:rPr>
                <w:rFonts w:eastAsia="Calibri"/>
              </w:rPr>
            </w:pPr>
          </w:p>
        </w:tc>
        <w:tc>
          <w:tcPr>
            <w:tcW w:w="850" w:type="dxa"/>
          </w:tcPr>
          <w:p w14:paraId="3789B622" w14:textId="77777777" w:rsidR="0007555D" w:rsidRPr="00C56257" w:rsidRDefault="0007555D" w:rsidP="00F100E1">
            <w:pPr>
              <w:widowControl w:val="0"/>
              <w:autoSpaceDE w:val="0"/>
              <w:autoSpaceDN w:val="0"/>
              <w:adjustRightInd w:val="0"/>
              <w:jc w:val="both"/>
              <w:rPr>
                <w:rFonts w:eastAsia="Calibri"/>
              </w:rPr>
            </w:pPr>
          </w:p>
        </w:tc>
        <w:tc>
          <w:tcPr>
            <w:tcW w:w="851" w:type="dxa"/>
          </w:tcPr>
          <w:p w14:paraId="391CFC56" w14:textId="77777777" w:rsidR="0007555D" w:rsidRPr="00C56257" w:rsidRDefault="0007555D" w:rsidP="00F100E1">
            <w:pPr>
              <w:widowControl w:val="0"/>
              <w:autoSpaceDE w:val="0"/>
              <w:autoSpaceDN w:val="0"/>
              <w:adjustRightInd w:val="0"/>
              <w:jc w:val="both"/>
              <w:rPr>
                <w:rFonts w:eastAsia="Calibri"/>
              </w:rPr>
            </w:pPr>
          </w:p>
        </w:tc>
        <w:tc>
          <w:tcPr>
            <w:tcW w:w="844" w:type="dxa"/>
          </w:tcPr>
          <w:p w14:paraId="28093BBF" w14:textId="77777777" w:rsidR="0007555D" w:rsidRPr="00C56257" w:rsidRDefault="0007555D" w:rsidP="00F100E1">
            <w:pPr>
              <w:widowControl w:val="0"/>
              <w:autoSpaceDE w:val="0"/>
              <w:autoSpaceDN w:val="0"/>
              <w:adjustRightInd w:val="0"/>
              <w:jc w:val="both"/>
              <w:rPr>
                <w:rFonts w:eastAsia="Calibri"/>
              </w:rPr>
            </w:pPr>
          </w:p>
        </w:tc>
        <w:tc>
          <w:tcPr>
            <w:tcW w:w="848" w:type="dxa"/>
          </w:tcPr>
          <w:p w14:paraId="0545D353" w14:textId="77777777" w:rsidR="0007555D" w:rsidRPr="00C56257" w:rsidRDefault="0007555D" w:rsidP="00F100E1">
            <w:pPr>
              <w:widowControl w:val="0"/>
              <w:autoSpaceDE w:val="0"/>
              <w:autoSpaceDN w:val="0"/>
              <w:adjustRightInd w:val="0"/>
              <w:jc w:val="both"/>
              <w:rPr>
                <w:rFonts w:eastAsia="Calibri"/>
              </w:rPr>
            </w:pPr>
          </w:p>
        </w:tc>
      </w:tr>
      <w:tr w:rsidR="0007555D" w:rsidRPr="00C56257" w14:paraId="69903347" w14:textId="77777777" w:rsidTr="0007555D">
        <w:trPr>
          <w:jc w:val="center"/>
        </w:trPr>
        <w:tc>
          <w:tcPr>
            <w:tcW w:w="625" w:type="dxa"/>
          </w:tcPr>
          <w:p w14:paraId="4CB34CEB"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n</w:t>
            </w:r>
          </w:p>
        </w:tc>
        <w:tc>
          <w:tcPr>
            <w:tcW w:w="1170" w:type="dxa"/>
          </w:tcPr>
          <w:p w14:paraId="159AAC2A" w14:textId="77777777" w:rsidR="0007555D" w:rsidRPr="00C56257" w:rsidRDefault="0007555D" w:rsidP="00F100E1">
            <w:pPr>
              <w:widowControl w:val="0"/>
              <w:autoSpaceDE w:val="0"/>
              <w:autoSpaceDN w:val="0"/>
              <w:adjustRightInd w:val="0"/>
              <w:jc w:val="both"/>
              <w:rPr>
                <w:rFonts w:eastAsia="Calibri"/>
              </w:rPr>
            </w:pPr>
          </w:p>
        </w:tc>
        <w:tc>
          <w:tcPr>
            <w:tcW w:w="1117" w:type="dxa"/>
          </w:tcPr>
          <w:p w14:paraId="69CB8419" w14:textId="77777777" w:rsidR="0007555D" w:rsidRPr="00C56257" w:rsidRDefault="0007555D" w:rsidP="00F100E1">
            <w:pPr>
              <w:widowControl w:val="0"/>
              <w:autoSpaceDE w:val="0"/>
              <w:autoSpaceDN w:val="0"/>
              <w:adjustRightInd w:val="0"/>
              <w:jc w:val="both"/>
              <w:rPr>
                <w:rFonts w:eastAsia="Calibri"/>
              </w:rPr>
            </w:pPr>
          </w:p>
        </w:tc>
        <w:tc>
          <w:tcPr>
            <w:tcW w:w="1058" w:type="dxa"/>
          </w:tcPr>
          <w:p w14:paraId="3F979FCE" w14:textId="77777777" w:rsidR="0007555D" w:rsidRPr="00C56257" w:rsidRDefault="0007555D" w:rsidP="00F100E1">
            <w:pPr>
              <w:widowControl w:val="0"/>
              <w:autoSpaceDE w:val="0"/>
              <w:autoSpaceDN w:val="0"/>
              <w:adjustRightInd w:val="0"/>
              <w:jc w:val="both"/>
              <w:rPr>
                <w:rFonts w:eastAsia="Calibri"/>
              </w:rPr>
            </w:pPr>
          </w:p>
        </w:tc>
        <w:tc>
          <w:tcPr>
            <w:tcW w:w="850" w:type="dxa"/>
          </w:tcPr>
          <w:p w14:paraId="36DA6AD1" w14:textId="77777777" w:rsidR="0007555D" w:rsidRPr="00C56257" w:rsidRDefault="0007555D" w:rsidP="00F100E1">
            <w:pPr>
              <w:widowControl w:val="0"/>
              <w:autoSpaceDE w:val="0"/>
              <w:autoSpaceDN w:val="0"/>
              <w:adjustRightInd w:val="0"/>
              <w:jc w:val="both"/>
              <w:rPr>
                <w:rFonts w:eastAsia="Calibri"/>
              </w:rPr>
            </w:pPr>
          </w:p>
        </w:tc>
        <w:tc>
          <w:tcPr>
            <w:tcW w:w="851" w:type="dxa"/>
          </w:tcPr>
          <w:p w14:paraId="7440AA9D" w14:textId="77777777" w:rsidR="0007555D" w:rsidRPr="00C56257" w:rsidRDefault="0007555D" w:rsidP="00F100E1">
            <w:pPr>
              <w:widowControl w:val="0"/>
              <w:autoSpaceDE w:val="0"/>
              <w:autoSpaceDN w:val="0"/>
              <w:adjustRightInd w:val="0"/>
              <w:jc w:val="both"/>
              <w:rPr>
                <w:rFonts w:eastAsia="Calibri"/>
              </w:rPr>
            </w:pPr>
          </w:p>
        </w:tc>
        <w:tc>
          <w:tcPr>
            <w:tcW w:w="850" w:type="dxa"/>
          </w:tcPr>
          <w:p w14:paraId="6FDE4F4E" w14:textId="77777777" w:rsidR="0007555D" w:rsidRPr="00C56257" w:rsidRDefault="0007555D" w:rsidP="00F100E1">
            <w:pPr>
              <w:widowControl w:val="0"/>
              <w:autoSpaceDE w:val="0"/>
              <w:autoSpaceDN w:val="0"/>
              <w:adjustRightInd w:val="0"/>
              <w:jc w:val="both"/>
              <w:rPr>
                <w:rFonts w:eastAsia="Calibri"/>
              </w:rPr>
            </w:pPr>
          </w:p>
        </w:tc>
        <w:tc>
          <w:tcPr>
            <w:tcW w:w="851" w:type="dxa"/>
          </w:tcPr>
          <w:p w14:paraId="3E95505B" w14:textId="77777777" w:rsidR="0007555D" w:rsidRPr="00C56257" w:rsidRDefault="0007555D" w:rsidP="00F100E1">
            <w:pPr>
              <w:widowControl w:val="0"/>
              <w:autoSpaceDE w:val="0"/>
              <w:autoSpaceDN w:val="0"/>
              <w:adjustRightInd w:val="0"/>
              <w:jc w:val="both"/>
              <w:rPr>
                <w:rFonts w:eastAsia="Calibri"/>
              </w:rPr>
            </w:pPr>
          </w:p>
        </w:tc>
        <w:tc>
          <w:tcPr>
            <w:tcW w:w="844" w:type="dxa"/>
          </w:tcPr>
          <w:p w14:paraId="013897FE" w14:textId="77777777" w:rsidR="0007555D" w:rsidRPr="00C56257" w:rsidRDefault="0007555D" w:rsidP="00F100E1">
            <w:pPr>
              <w:widowControl w:val="0"/>
              <w:autoSpaceDE w:val="0"/>
              <w:autoSpaceDN w:val="0"/>
              <w:adjustRightInd w:val="0"/>
              <w:jc w:val="both"/>
              <w:rPr>
                <w:rFonts w:eastAsia="Calibri"/>
              </w:rPr>
            </w:pPr>
          </w:p>
        </w:tc>
        <w:tc>
          <w:tcPr>
            <w:tcW w:w="848" w:type="dxa"/>
          </w:tcPr>
          <w:p w14:paraId="732B9215" w14:textId="77777777" w:rsidR="0007555D" w:rsidRPr="00C56257" w:rsidRDefault="0007555D" w:rsidP="00F100E1">
            <w:pPr>
              <w:widowControl w:val="0"/>
              <w:autoSpaceDE w:val="0"/>
              <w:autoSpaceDN w:val="0"/>
              <w:adjustRightInd w:val="0"/>
              <w:jc w:val="both"/>
              <w:rPr>
                <w:rFonts w:eastAsia="Calibri"/>
              </w:rPr>
            </w:pPr>
          </w:p>
        </w:tc>
      </w:tr>
    </w:tbl>
    <w:p w14:paraId="5C0C15B7"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Apoi se stabilește valoarea medie, prin medie aritmetică simplă, pentru fiecare indicator.</w:t>
      </w:r>
    </w:p>
    <w:tbl>
      <w:tblPr>
        <w:tblStyle w:val="TableGrid"/>
        <w:tblW w:w="0" w:type="auto"/>
        <w:jc w:val="center"/>
        <w:tblLayout w:type="fixed"/>
        <w:tblLook w:val="04A0" w:firstRow="1" w:lastRow="0" w:firstColumn="1" w:lastColumn="0" w:noHBand="0" w:noVBand="1"/>
      </w:tblPr>
      <w:tblGrid>
        <w:gridCol w:w="815"/>
        <w:gridCol w:w="1984"/>
        <w:gridCol w:w="1985"/>
        <w:gridCol w:w="2126"/>
      </w:tblGrid>
      <w:tr w:rsidR="0007555D" w:rsidRPr="00C56257" w14:paraId="2B12CDA7" w14:textId="77777777" w:rsidTr="0007555D">
        <w:trPr>
          <w:jc w:val="center"/>
        </w:trPr>
        <w:tc>
          <w:tcPr>
            <w:tcW w:w="815" w:type="dxa"/>
          </w:tcPr>
          <w:p w14:paraId="56A9EF09"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Plot</w:t>
            </w:r>
          </w:p>
        </w:tc>
        <w:tc>
          <w:tcPr>
            <w:tcW w:w="1984" w:type="dxa"/>
          </w:tcPr>
          <w:p w14:paraId="50441924"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Specii tipice</w:t>
            </w:r>
          </w:p>
        </w:tc>
        <w:tc>
          <w:tcPr>
            <w:tcW w:w="1985" w:type="dxa"/>
          </w:tcPr>
          <w:p w14:paraId="5F8550FE"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Structură</w:t>
            </w:r>
          </w:p>
        </w:tc>
        <w:tc>
          <w:tcPr>
            <w:tcW w:w="2126" w:type="dxa"/>
          </w:tcPr>
          <w:p w14:paraId="18811517"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Presiuni și amenințări</w:t>
            </w:r>
          </w:p>
        </w:tc>
      </w:tr>
      <w:tr w:rsidR="0007555D" w:rsidRPr="00C56257" w14:paraId="7DE23CAE" w14:textId="77777777" w:rsidTr="0007555D">
        <w:trPr>
          <w:jc w:val="center"/>
        </w:trPr>
        <w:tc>
          <w:tcPr>
            <w:tcW w:w="815" w:type="dxa"/>
          </w:tcPr>
          <w:p w14:paraId="0B683F49"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1</w:t>
            </w:r>
          </w:p>
        </w:tc>
        <w:tc>
          <w:tcPr>
            <w:tcW w:w="1984" w:type="dxa"/>
          </w:tcPr>
          <w:p w14:paraId="39508F2A"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1</w:t>
            </w:r>
          </w:p>
        </w:tc>
        <w:tc>
          <w:tcPr>
            <w:tcW w:w="1985" w:type="dxa"/>
          </w:tcPr>
          <w:p w14:paraId="62910836"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2,67</w:t>
            </w:r>
          </w:p>
        </w:tc>
        <w:tc>
          <w:tcPr>
            <w:tcW w:w="2126" w:type="dxa"/>
          </w:tcPr>
          <w:p w14:paraId="70F4E42B"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2,67</w:t>
            </w:r>
          </w:p>
        </w:tc>
      </w:tr>
      <w:tr w:rsidR="0007555D" w:rsidRPr="00C56257" w14:paraId="12FF3C39" w14:textId="77777777" w:rsidTr="0007555D">
        <w:trPr>
          <w:jc w:val="center"/>
        </w:trPr>
        <w:tc>
          <w:tcPr>
            <w:tcW w:w="815" w:type="dxa"/>
          </w:tcPr>
          <w:p w14:paraId="6B3ED12D"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w:t>
            </w:r>
          </w:p>
        </w:tc>
        <w:tc>
          <w:tcPr>
            <w:tcW w:w="1984" w:type="dxa"/>
          </w:tcPr>
          <w:p w14:paraId="63EB8FD3"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2,67</w:t>
            </w:r>
          </w:p>
        </w:tc>
        <w:tc>
          <w:tcPr>
            <w:tcW w:w="1985" w:type="dxa"/>
          </w:tcPr>
          <w:p w14:paraId="5EF981D2"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w:t>
            </w:r>
          </w:p>
        </w:tc>
        <w:tc>
          <w:tcPr>
            <w:tcW w:w="2126" w:type="dxa"/>
          </w:tcPr>
          <w:p w14:paraId="24F62BE8"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w:t>
            </w:r>
          </w:p>
        </w:tc>
      </w:tr>
      <w:tr w:rsidR="0007555D" w:rsidRPr="00C56257" w14:paraId="69D12BD3" w14:textId="77777777" w:rsidTr="0007555D">
        <w:trPr>
          <w:jc w:val="center"/>
        </w:trPr>
        <w:tc>
          <w:tcPr>
            <w:tcW w:w="815" w:type="dxa"/>
          </w:tcPr>
          <w:p w14:paraId="64B6217C"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3</w:t>
            </w:r>
          </w:p>
        </w:tc>
        <w:tc>
          <w:tcPr>
            <w:tcW w:w="1984" w:type="dxa"/>
          </w:tcPr>
          <w:p w14:paraId="3A2F7687"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2,33</w:t>
            </w:r>
          </w:p>
        </w:tc>
        <w:tc>
          <w:tcPr>
            <w:tcW w:w="1985" w:type="dxa"/>
          </w:tcPr>
          <w:p w14:paraId="49E2E2C6"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2,33</w:t>
            </w:r>
          </w:p>
        </w:tc>
        <w:tc>
          <w:tcPr>
            <w:tcW w:w="2126" w:type="dxa"/>
          </w:tcPr>
          <w:p w14:paraId="20229595"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1,33</w:t>
            </w:r>
          </w:p>
        </w:tc>
      </w:tr>
      <w:tr w:rsidR="0007555D" w:rsidRPr="00C56257" w14:paraId="0B579D7B" w14:textId="77777777" w:rsidTr="0007555D">
        <w:trPr>
          <w:jc w:val="center"/>
        </w:trPr>
        <w:tc>
          <w:tcPr>
            <w:tcW w:w="815" w:type="dxa"/>
          </w:tcPr>
          <w:p w14:paraId="188B2E6C"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4</w:t>
            </w:r>
          </w:p>
        </w:tc>
        <w:tc>
          <w:tcPr>
            <w:tcW w:w="1984" w:type="dxa"/>
          </w:tcPr>
          <w:p w14:paraId="2E80A6DF" w14:textId="77777777" w:rsidR="0007555D" w:rsidRPr="00C56257" w:rsidRDefault="0007555D" w:rsidP="00F100E1">
            <w:pPr>
              <w:widowControl w:val="0"/>
              <w:autoSpaceDE w:val="0"/>
              <w:autoSpaceDN w:val="0"/>
              <w:adjustRightInd w:val="0"/>
              <w:jc w:val="both"/>
              <w:rPr>
                <w:rFonts w:eastAsia="Calibri"/>
              </w:rPr>
            </w:pPr>
          </w:p>
        </w:tc>
        <w:tc>
          <w:tcPr>
            <w:tcW w:w="1985" w:type="dxa"/>
          </w:tcPr>
          <w:p w14:paraId="188E9759" w14:textId="77777777" w:rsidR="0007555D" w:rsidRPr="00C56257" w:rsidRDefault="0007555D" w:rsidP="00F100E1">
            <w:pPr>
              <w:widowControl w:val="0"/>
              <w:autoSpaceDE w:val="0"/>
              <w:autoSpaceDN w:val="0"/>
              <w:adjustRightInd w:val="0"/>
              <w:jc w:val="both"/>
              <w:rPr>
                <w:rFonts w:eastAsia="Calibri"/>
              </w:rPr>
            </w:pPr>
          </w:p>
        </w:tc>
        <w:tc>
          <w:tcPr>
            <w:tcW w:w="2126" w:type="dxa"/>
          </w:tcPr>
          <w:p w14:paraId="3150FF1C" w14:textId="77777777" w:rsidR="0007555D" w:rsidRPr="00C56257" w:rsidRDefault="0007555D" w:rsidP="00F100E1">
            <w:pPr>
              <w:widowControl w:val="0"/>
              <w:autoSpaceDE w:val="0"/>
              <w:autoSpaceDN w:val="0"/>
              <w:adjustRightInd w:val="0"/>
              <w:jc w:val="both"/>
              <w:rPr>
                <w:rFonts w:eastAsia="Calibri"/>
              </w:rPr>
            </w:pPr>
          </w:p>
        </w:tc>
      </w:tr>
      <w:tr w:rsidR="0007555D" w:rsidRPr="00C56257" w14:paraId="4BA006C0" w14:textId="77777777" w:rsidTr="0007555D">
        <w:trPr>
          <w:jc w:val="center"/>
        </w:trPr>
        <w:tc>
          <w:tcPr>
            <w:tcW w:w="815" w:type="dxa"/>
          </w:tcPr>
          <w:p w14:paraId="3B413606"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5</w:t>
            </w:r>
          </w:p>
        </w:tc>
        <w:tc>
          <w:tcPr>
            <w:tcW w:w="1984" w:type="dxa"/>
          </w:tcPr>
          <w:p w14:paraId="4FC262D0" w14:textId="77777777" w:rsidR="0007555D" w:rsidRPr="00C56257" w:rsidRDefault="0007555D" w:rsidP="00F100E1">
            <w:pPr>
              <w:widowControl w:val="0"/>
              <w:autoSpaceDE w:val="0"/>
              <w:autoSpaceDN w:val="0"/>
              <w:adjustRightInd w:val="0"/>
              <w:jc w:val="both"/>
              <w:rPr>
                <w:rFonts w:eastAsia="Calibri"/>
              </w:rPr>
            </w:pPr>
          </w:p>
        </w:tc>
        <w:tc>
          <w:tcPr>
            <w:tcW w:w="1985" w:type="dxa"/>
          </w:tcPr>
          <w:p w14:paraId="6F55AF35" w14:textId="77777777" w:rsidR="0007555D" w:rsidRPr="00C56257" w:rsidRDefault="0007555D" w:rsidP="00F100E1">
            <w:pPr>
              <w:widowControl w:val="0"/>
              <w:autoSpaceDE w:val="0"/>
              <w:autoSpaceDN w:val="0"/>
              <w:adjustRightInd w:val="0"/>
              <w:jc w:val="both"/>
              <w:rPr>
                <w:rFonts w:eastAsia="Calibri"/>
              </w:rPr>
            </w:pPr>
          </w:p>
        </w:tc>
        <w:tc>
          <w:tcPr>
            <w:tcW w:w="2126" w:type="dxa"/>
          </w:tcPr>
          <w:p w14:paraId="452F88CD" w14:textId="77777777" w:rsidR="0007555D" w:rsidRPr="00C56257" w:rsidRDefault="0007555D" w:rsidP="00F100E1">
            <w:pPr>
              <w:widowControl w:val="0"/>
              <w:autoSpaceDE w:val="0"/>
              <w:autoSpaceDN w:val="0"/>
              <w:adjustRightInd w:val="0"/>
              <w:jc w:val="both"/>
              <w:rPr>
                <w:rFonts w:eastAsia="Calibri"/>
              </w:rPr>
            </w:pPr>
          </w:p>
        </w:tc>
      </w:tr>
      <w:tr w:rsidR="0007555D" w:rsidRPr="00C56257" w14:paraId="40F8D39D" w14:textId="77777777" w:rsidTr="0007555D">
        <w:trPr>
          <w:jc w:val="center"/>
        </w:trPr>
        <w:tc>
          <w:tcPr>
            <w:tcW w:w="815" w:type="dxa"/>
          </w:tcPr>
          <w:p w14:paraId="552FCB44"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w:t>
            </w:r>
          </w:p>
        </w:tc>
        <w:tc>
          <w:tcPr>
            <w:tcW w:w="1984" w:type="dxa"/>
          </w:tcPr>
          <w:p w14:paraId="2595CF8A" w14:textId="77777777" w:rsidR="0007555D" w:rsidRPr="00C56257" w:rsidRDefault="0007555D" w:rsidP="00F100E1">
            <w:pPr>
              <w:widowControl w:val="0"/>
              <w:autoSpaceDE w:val="0"/>
              <w:autoSpaceDN w:val="0"/>
              <w:adjustRightInd w:val="0"/>
              <w:jc w:val="both"/>
              <w:rPr>
                <w:rFonts w:eastAsia="Calibri"/>
              </w:rPr>
            </w:pPr>
          </w:p>
        </w:tc>
        <w:tc>
          <w:tcPr>
            <w:tcW w:w="1985" w:type="dxa"/>
          </w:tcPr>
          <w:p w14:paraId="7F47A0D1" w14:textId="77777777" w:rsidR="0007555D" w:rsidRPr="00C56257" w:rsidRDefault="0007555D" w:rsidP="00F100E1">
            <w:pPr>
              <w:widowControl w:val="0"/>
              <w:autoSpaceDE w:val="0"/>
              <w:autoSpaceDN w:val="0"/>
              <w:adjustRightInd w:val="0"/>
              <w:jc w:val="both"/>
              <w:rPr>
                <w:rFonts w:eastAsia="Calibri"/>
              </w:rPr>
            </w:pPr>
          </w:p>
        </w:tc>
        <w:tc>
          <w:tcPr>
            <w:tcW w:w="2126" w:type="dxa"/>
          </w:tcPr>
          <w:p w14:paraId="79F18143" w14:textId="77777777" w:rsidR="0007555D" w:rsidRPr="00C56257" w:rsidRDefault="0007555D" w:rsidP="00F100E1">
            <w:pPr>
              <w:widowControl w:val="0"/>
              <w:autoSpaceDE w:val="0"/>
              <w:autoSpaceDN w:val="0"/>
              <w:adjustRightInd w:val="0"/>
              <w:jc w:val="both"/>
              <w:rPr>
                <w:rFonts w:eastAsia="Calibri"/>
              </w:rPr>
            </w:pPr>
          </w:p>
        </w:tc>
      </w:tr>
      <w:tr w:rsidR="0007555D" w:rsidRPr="00C56257" w14:paraId="45B096E4" w14:textId="77777777" w:rsidTr="0007555D">
        <w:trPr>
          <w:jc w:val="center"/>
        </w:trPr>
        <w:tc>
          <w:tcPr>
            <w:tcW w:w="815" w:type="dxa"/>
          </w:tcPr>
          <w:p w14:paraId="24DAF3A5"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n</w:t>
            </w:r>
          </w:p>
        </w:tc>
        <w:tc>
          <w:tcPr>
            <w:tcW w:w="1984" w:type="dxa"/>
          </w:tcPr>
          <w:p w14:paraId="7EC1D0F6" w14:textId="77777777" w:rsidR="0007555D" w:rsidRPr="00C56257" w:rsidRDefault="0007555D" w:rsidP="00F100E1">
            <w:pPr>
              <w:widowControl w:val="0"/>
              <w:autoSpaceDE w:val="0"/>
              <w:autoSpaceDN w:val="0"/>
              <w:adjustRightInd w:val="0"/>
              <w:jc w:val="both"/>
              <w:rPr>
                <w:rFonts w:eastAsia="Calibri"/>
              </w:rPr>
            </w:pPr>
          </w:p>
        </w:tc>
        <w:tc>
          <w:tcPr>
            <w:tcW w:w="1985" w:type="dxa"/>
          </w:tcPr>
          <w:p w14:paraId="6C7A6D44" w14:textId="77777777" w:rsidR="0007555D" w:rsidRPr="00C56257" w:rsidRDefault="0007555D" w:rsidP="00F100E1">
            <w:pPr>
              <w:widowControl w:val="0"/>
              <w:autoSpaceDE w:val="0"/>
              <w:autoSpaceDN w:val="0"/>
              <w:adjustRightInd w:val="0"/>
              <w:jc w:val="both"/>
              <w:rPr>
                <w:rFonts w:eastAsia="Calibri"/>
              </w:rPr>
            </w:pPr>
          </w:p>
        </w:tc>
        <w:tc>
          <w:tcPr>
            <w:tcW w:w="2126" w:type="dxa"/>
          </w:tcPr>
          <w:p w14:paraId="2FBECC4E" w14:textId="77777777" w:rsidR="0007555D" w:rsidRPr="00C56257" w:rsidRDefault="0007555D" w:rsidP="00F100E1">
            <w:pPr>
              <w:widowControl w:val="0"/>
              <w:autoSpaceDE w:val="0"/>
              <w:autoSpaceDN w:val="0"/>
              <w:adjustRightInd w:val="0"/>
              <w:jc w:val="both"/>
              <w:rPr>
                <w:rFonts w:eastAsia="Calibri"/>
              </w:rPr>
            </w:pPr>
          </w:p>
        </w:tc>
      </w:tr>
    </w:tbl>
    <w:p w14:paraId="22997867"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Valorile numerice corespunzătoare fiecărui indicator sunt convertite în categorii de conservare, la nivelul fiecărui plot, după următoarea schemă: 1≤A&lt;1,33; 1,33≤B&lt;2,33; 2,33≤C&lt;3 (Figura 10).</w:t>
      </w:r>
    </w:p>
    <w:p w14:paraId="74ACDD82" w14:textId="77777777" w:rsidR="0007555D" w:rsidRPr="00C56257" w:rsidRDefault="0007555D" w:rsidP="008E33FD">
      <w:pPr>
        <w:widowControl w:val="0"/>
        <w:autoSpaceDE w:val="0"/>
        <w:autoSpaceDN w:val="0"/>
        <w:adjustRightInd w:val="0"/>
        <w:spacing w:before="240"/>
        <w:jc w:val="both"/>
        <w:rPr>
          <w:rFonts w:eastAsia="Calibri"/>
        </w:rPr>
      </w:pPr>
    </w:p>
    <w:tbl>
      <w:tblPr>
        <w:tblStyle w:val="TableGrid"/>
        <w:tblW w:w="0" w:type="auto"/>
        <w:tblLook w:val="04A0" w:firstRow="1" w:lastRow="0" w:firstColumn="1" w:lastColumn="0" w:noHBand="0" w:noVBand="1"/>
      </w:tblPr>
      <w:tblGrid>
        <w:gridCol w:w="1596"/>
        <w:gridCol w:w="1596"/>
        <w:gridCol w:w="1596"/>
        <w:gridCol w:w="1596"/>
        <w:gridCol w:w="1596"/>
        <w:gridCol w:w="1596"/>
      </w:tblGrid>
      <w:tr w:rsidR="0007555D" w:rsidRPr="00C56257" w14:paraId="1DEFB322" w14:textId="77777777" w:rsidTr="0007555D">
        <w:tc>
          <w:tcPr>
            <w:tcW w:w="3192" w:type="dxa"/>
            <w:gridSpan w:val="2"/>
            <w:tcBorders>
              <w:bottom w:val="single" w:sz="4" w:space="0" w:color="auto"/>
            </w:tcBorders>
            <w:shd w:val="clear" w:color="auto" w:fill="00FF00"/>
          </w:tcPr>
          <w:p w14:paraId="26BAB91E" w14:textId="77777777" w:rsidR="0007555D" w:rsidRPr="00C56257" w:rsidRDefault="0007555D" w:rsidP="00F100E1">
            <w:pPr>
              <w:widowControl w:val="0"/>
              <w:autoSpaceDE w:val="0"/>
              <w:autoSpaceDN w:val="0"/>
              <w:adjustRightInd w:val="0"/>
              <w:spacing w:before="240"/>
              <w:jc w:val="both"/>
              <w:rPr>
                <w:rFonts w:eastAsia="Calibri"/>
                <w:b/>
              </w:rPr>
            </w:pPr>
            <w:r w:rsidRPr="00C56257">
              <w:rPr>
                <w:rFonts w:eastAsia="Calibri"/>
                <w:b/>
              </w:rPr>
              <w:t>A</w:t>
            </w:r>
          </w:p>
        </w:tc>
        <w:tc>
          <w:tcPr>
            <w:tcW w:w="3192" w:type="dxa"/>
            <w:gridSpan w:val="2"/>
            <w:tcBorders>
              <w:bottom w:val="single" w:sz="4" w:space="0" w:color="auto"/>
            </w:tcBorders>
            <w:shd w:val="clear" w:color="auto" w:fill="FFCC00"/>
          </w:tcPr>
          <w:p w14:paraId="645C7529" w14:textId="77777777" w:rsidR="0007555D" w:rsidRPr="00C56257" w:rsidRDefault="0007555D" w:rsidP="00F100E1">
            <w:pPr>
              <w:widowControl w:val="0"/>
              <w:autoSpaceDE w:val="0"/>
              <w:autoSpaceDN w:val="0"/>
              <w:adjustRightInd w:val="0"/>
              <w:spacing w:before="240"/>
              <w:jc w:val="both"/>
              <w:rPr>
                <w:rFonts w:eastAsia="Calibri"/>
                <w:b/>
              </w:rPr>
            </w:pPr>
            <w:r w:rsidRPr="00C56257">
              <w:rPr>
                <w:rFonts w:eastAsia="Calibri"/>
                <w:b/>
              </w:rPr>
              <w:t>B</w:t>
            </w:r>
          </w:p>
        </w:tc>
        <w:tc>
          <w:tcPr>
            <w:tcW w:w="3192" w:type="dxa"/>
            <w:gridSpan w:val="2"/>
            <w:tcBorders>
              <w:bottom w:val="single" w:sz="4" w:space="0" w:color="auto"/>
            </w:tcBorders>
            <w:shd w:val="clear" w:color="auto" w:fill="FF0000"/>
          </w:tcPr>
          <w:p w14:paraId="4A0787C0" w14:textId="77777777" w:rsidR="0007555D" w:rsidRPr="00C56257" w:rsidRDefault="0007555D" w:rsidP="00F100E1">
            <w:pPr>
              <w:widowControl w:val="0"/>
              <w:autoSpaceDE w:val="0"/>
              <w:autoSpaceDN w:val="0"/>
              <w:adjustRightInd w:val="0"/>
              <w:spacing w:before="240"/>
              <w:jc w:val="both"/>
              <w:rPr>
                <w:rFonts w:eastAsia="Calibri"/>
                <w:b/>
              </w:rPr>
            </w:pPr>
            <w:r w:rsidRPr="00C56257">
              <w:rPr>
                <w:rFonts w:eastAsia="Calibri"/>
                <w:b/>
              </w:rPr>
              <w:t>C</w:t>
            </w:r>
          </w:p>
        </w:tc>
      </w:tr>
      <w:tr w:rsidR="0007555D" w:rsidRPr="00C56257" w14:paraId="1CAF9222" w14:textId="77777777" w:rsidTr="0007555D">
        <w:tc>
          <w:tcPr>
            <w:tcW w:w="1596" w:type="dxa"/>
            <w:tcBorders>
              <w:top w:val="single" w:sz="4" w:space="0" w:color="auto"/>
              <w:left w:val="nil"/>
              <w:bottom w:val="nil"/>
              <w:right w:val="nil"/>
            </w:tcBorders>
          </w:tcPr>
          <w:p w14:paraId="0FB7E5CA" w14:textId="77777777" w:rsidR="0007555D" w:rsidRPr="00C56257" w:rsidRDefault="0007555D" w:rsidP="008E33FD">
            <w:pPr>
              <w:widowControl w:val="0"/>
              <w:autoSpaceDE w:val="0"/>
              <w:autoSpaceDN w:val="0"/>
              <w:adjustRightInd w:val="0"/>
              <w:spacing w:before="240"/>
              <w:jc w:val="both"/>
              <w:rPr>
                <w:rFonts w:eastAsia="Calibri"/>
                <w:b/>
              </w:rPr>
            </w:pPr>
            <w:r w:rsidRPr="00C56257">
              <w:rPr>
                <w:rFonts w:eastAsia="Calibri"/>
                <w:b/>
              </w:rPr>
              <w:t>1</w:t>
            </w:r>
          </w:p>
        </w:tc>
        <w:tc>
          <w:tcPr>
            <w:tcW w:w="3192" w:type="dxa"/>
            <w:gridSpan w:val="2"/>
            <w:tcBorders>
              <w:top w:val="single" w:sz="4" w:space="0" w:color="auto"/>
              <w:left w:val="nil"/>
              <w:bottom w:val="nil"/>
              <w:right w:val="nil"/>
            </w:tcBorders>
          </w:tcPr>
          <w:p w14:paraId="1CF71FF8" w14:textId="77777777" w:rsidR="0007555D" w:rsidRPr="00C56257" w:rsidRDefault="0007555D" w:rsidP="00F100E1">
            <w:pPr>
              <w:widowControl w:val="0"/>
              <w:autoSpaceDE w:val="0"/>
              <w:autoSpaceDN w:val="0"/>
              <w:adjustRightInd w:val="0"/>
              <w:spacing w:before="240"/>
              <w:jc w:val="both"/>
              <w:rPr>
                <w:rFonts w:eastAsia="Calibri"/>
                <w:b/>
              </w:rPr>
            </w:pPr>
            <w:r w:rsidRPr="00C56257">
              <w:rPr>
                <w:rFonts w:eastAsia="Calibri"/>
                <w:b/>
              </w:rPr>
              <w:t>1,33</w:t>
            </w:r>
          </w:p>
        </w:tc>
        <w:tc>
          <w:tcPr>
            <w:tcW w:w="3192" w:type="dxa"/>
            <w:gridSpan w:val="2"/>
            <w:tcBorders>
              <w:top w:val="single" w:sz="4" w:space="0" w:color="auto"/>
              <w:left w:val="nil"/>
              <w:bottom w:val="nil"/>
              <w:right w:val="nil"/>
            </w:tcBorders>
          </w:tcPr>
          <w:p w14:paraId="4F923FAA" w14:textId="77777777" w:rsidR="0007555D" w:rsidRPr="00C56257" w:rsidRDefault="0007555D" w:rsidP="00F100E1">
            <w:pPr>
              <w:widowControl w:val="0"/>
              <w:autoSpaceDE w:val="0"/>
              <w:autoSpaceDN w:val="0"/>
              <w:adjustRightInd w:val="0"/>
              <w:spacing w:before="240"/>
              <w:jc w:val="both"/>
              <w:rPr>
                <w:rFonts w:eastAsia="Calibri"/>
                <w:b/>
              </w:rPr>
            </w:pPr>
            <w:r w:rsidRPr="00C56257">
              <w:rPr>
                <w:rFonts w:eastAsia="Calibri"/>
                <w:b/>
              </w:rPr>
              <w:t>2,33</w:t>
            </w:r>
          </w:p>
        </w:tc>
        <w:tc>
          <w:tcPr>
            <w:tcW w:w="1596" w:type="dxa"/>
            <w:tcBorders>
              <w:top w:val="single" w:sz="4" w:space="0" w:color="auto"/>
              <w:left w:val="nil"/>
              <w:bottom w:val="nil"/>
              <w:right w:val="nil"/>
            </w:tcBorders>
          </w:tcPr>
          <w:p w14:paraId="38A13D0B" w14:textId="77777777" w:rsidR="0007555D" w:rsidRPr="00C56257" w:rsidRDefault="0007555D" w:rsidP="00F100E1">
            <w:pPr>
              <w:widowControl w:val="0"/>
              <w:autoSpaceDE w:val="0"/>
              <w:autoSpaceDN w:val="0"/>
              <w:adjustRightInd w:val="0"/>
              <w:spacing w:before="240"/>
              <w:jc w:val="both"/>
              <w:rPr>
                <w:rFonts w:eastAsia="Calibri"/>
                <w:b/>
              </w:rPr>
            </w:pPr>
            <w:r w:rsidRPr="00C56257">
              <w:rPr>
                <w:rFonts w:eastAsia="Calibri"/>
                <w:b/>
              </w:rPr>
              <w:t>3</w:t>
            </w:r>
          </w:p>
        </w:tc>
      </w:tr>
    </w:tbl>
    <w:p w14:paraId="1685F29A"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Figura 10. Schema de convertire a valorilor numerice în categorii de conservare</w:t>
      </w:r>
    </w:p>
    <w:p w14:paraId="2BB8C607"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Categoriile de conservare pentru fiecare indicator la nivel de plot:</w:t>
      </w:r>
    </w:p>
    <w:tbl>
      <w:tblPr>
        <w:tblStyle w:val="TableGrid"/>
        <w:tblW w:w="0" w:type="auto"/>
        <w:jc w:val="center"/>
        <w:tblLayout w:type="fixed"/>
        <w:tblLook w:val="04A0" w:firstRow="1" w:lastRow="0" w:firstColumn="1" w:lastColumn="0" w:noHBand="0" w:noVBand="1"/>
      </w:tblPr>
      <w:tblGrid>
        <w:gridCol w:w="815"/>
        <w:gridCol w:w="1984"/>
        <w:gridCol w:w="1985"/>
        <w:gridCol w:w="2126"/>
      </w:tblGrid>
      <w:tr w:rsidR="0007555D" w:rsidRPr="00C56257" w14:paraId="42E84522" w14:textId="77777777" w:rsidTr="0007555D">
        <w:trPr>
          <w:jc w:val="center"/>
        </w:trPr>
        <w:tc>
          <w:tcPr>
            <w:tcW w:w="815" w:type="dxa"/>
          </w:tcPr>
          <w:p w14:paraId="6A91CA57"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Plot</w:t>
            </w:r>
          </w:p>
        </w:tc>
        <w:tc>
          <w:tcPr>
            <w:tcW w:w="1984" w:type="dxa"/>
          </w:tcPr>
          <w:p w14:paraId="760C569A"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Specii tipice</w:t>
            </w:r>
          </w:p>
        </w:tc>
        <w:tc>
          <w:tcPr>
            <w:tcW w:w="1985" w:type="dxa"/>
          </w:tcPr>
          <w:p w14:paraId="52633A78"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Structură</w:t>
            </w:r>
          </w:p>
        </w:tc>
        <w:tc>
          <w:tcPr>
            <w:tcW w:w="2126" w:type="dxa"/>
          </w:tcPr>
          <w:p w14:paraId="43C6F66B"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Presiuni și amenințări</w:t>
            </w:r>
          </w:p>
        </w:tc>
      </w:tr>
      <w:tr w:rsidR="0007555D" w:rsidRPr="00C56257" w14:paraId="3F2AF0FA" w14:textId="77777777" w:rsidTr="0007555D">
        <w:trPr>
          <w:jc w:val="center"/>
        </w:trPr>
        <w:tc>
          <w:tcPr>
            <w:tcW w:w="815" w:type="dxa"/>
          </w:tcPr>
          <w:p w14:paraId="63B0F028"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1</w:t>
            </w:r>
          </w:p>
        </w:tc>
        <w:tc>
          <w:tcPr>
            <w:tcW w:w="1984" w:type="dxa"/>
          </w:tcPr>
          <w:p w14:paraId="15FA2153"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A</w:t>
            </w:r>
          </w:p>
        </w:tc>
        <w:tc>
          <w:tcPr>
            <w:tcW w:w="1985" w:type="dxa"/>
          </w:tcPr>
          <w:p w14:paraId="37DD2B1E"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w:t>
            </w:r>
          </w:p>
        </w:tc>
        <w:tc>
          <w:tcPr>
            <w:tcW w:w="2126" w:type="dxa"/>
          </w:tcPr>
          <w:p w14:paraId="3ACC000E"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w:t>
            </w:r>
          </w:p>
        </w:tc>
      </w:tr>
      <w:tr w:rsidR="0007555D" w:rsidRPr="00C56257" w14:paraId="407E84BD" w14:textId="77777777" w:rsidTr="0007555D">
        <w:trPr>
          <w:jc w:val="center"/>
        </w:trPr>
        <w:tc>
          <w:tcPr>
            <w:tcW w:w="815" w:type="dxa"/>
          </w:tcPr>
          <w:p w14:paraId="6D6B8321"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w:t>
            </w:r>
          </w:p>
        </w:tc>
        <w:tc>
          <w:tcPr>
            <w:tcW w:w="1984" w:type="dxa"/>
          </w:tcPr>
          <w:p w14:paraId="509280CC"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w:t>
            </w:r>
          </w:p>
        </w:tc>
        <w:tc>
          <w:tcPr>
            <w:tcW w:w="1985" w:type="dxa"/>
          </w:tcPr>
          <w:p w14:paraId="1F63FD09"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B</w:t>
            </w:r>
          </w:p>
        </w:tc>
        <w:tc>
          <w:tcPr>
            <w:tcW w:w="2126" w:type="dxa"/>
          </w:tcPr>
          <w:p w14:paraId="59EEFD76"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B</w:t>
            </w:r>
          </w:p>
        </w:tc>
      </w:tr>
      <w:tr w:rsidR="0007555D" w:rsidRPr="00C56257" w14:paraId="016887D0" w14:textId="77777777" w:rsidTr="0007555D">
        <w:trPr>
          <w:jc w:val="center"/>
        </w:trPr>
        <w:tc>
          <w:tcPr>
            <w:tcW w:w="815" w:type="dxa"/>
          </w:tcPr>
          <w:p w14:paraId="50B71D94"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3</w:t>
            </w:r>
          </w:p>
        </w:tc>
        <w:tc>
          <w:tcPr>
            <w:tcW w:w="1984" w:type="dxa"/>
          </w:tcPr>
          <w:p w14:paraId="1BF68538"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B</w:t>
            </w:r>
          </w:p>
        </w:tc>
        <w:tc>
          <w:tcPr>
            <w:tcW w:w="1985" w:type="dxa"/>
          </w:tcPr>
          <w:p w14:paraId="5B616FA3"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B</w:t>
            </w:r>
          </w:p>
        </w:tc>
        <w:tc>
          <w:tcPr>
            <w:tcW w:w="2126" w:type="dxa"/>
          </w:tcPr>
          <w:p w14:paraId="4404A631"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A</w:t>
            </w:r>
          </w:p>
        </w:tc>
      </w:tr>
      <w:tr w:rsidR="0007555D" w:rsidRPr="00C56257" w14:paraId="4115DAA8" w14:textId="77777777" w:rsidTr="0007555D">
        <w:trPr>
          <w:jc w:val="center"/>
        </w:trPr>
        <w:tc>
          <w:tcPr>
            <w:tcW w:w="815" w:type="dxa"/>
          </w:tcPr>
          <w:p w14:paraId="222EDA28"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4</w:t>
            </w:r>
          </w:p>
        </w:tc>
        <w:tc>
          <w:tcPr>
            <w:tcW w:w="1984" w:type="dxa"/>
          </w:tcPr>
          <w:p w14:paraId="7A73EEB8" w14:textId="77777777" w:rsidR="0007555D" w:rsidRPr="00C56257" w:rsidRDefault="0007555D" w:rsidP="00F100E1">
            <w:pPr>
              <w:widowControl w:val="0"/>
              <w:autoSpaceDE w:val="0"/>
              <w:autoSpaceDN w:val="0"/>
              <w:adjustRightInd w:val="0"/>
              <w:jc w:val="both"/>
              <w:rPr>
                <w:rFonts w:eastAsia="Calibri"/>
              </w:rPr>
            </w:pPr>
          </w:p>
        </w:tc>
        <w:tc>
          <w:tcPr>
            <w:tcW w:w="1985" w:type="dxa"/>
          </w:tcPr>
          <w:p w14:paraId="4C9A0B68" w14:textId="77777777" w:rsidR="0007555D" w:rsidRPr="00C56257" w:rsidRDefault="0007555D" w:rsidP="00F100E1">
            <w:pPr>
              <w:widowControl w:val="0"/>
              <w:autoSpaceDE w:val="0"/>
              <w:autoSpaceDN w:val="0"/>
              <w:adjustRightInd w:val="0"/>
              <w:jc w:val="both"/>
              <w:rPr>
                <w:rFonts w:eastAsia="Calibri"/>
              </w:rPr>
            </w:pPr>
          </w:p>
        </w:tc>
        <w:tc>
          <w:tcPr>
            <w:tcW w:w="2126" w:type="dxa"/>
          </w:tcPr>
          <w:p w14:paraId="4CB46F12" w14:textId="77777777" w:rsidR="0007555D" w:rsidRPr="00C56257" w:rsidRDefault="0007555D" w:rsidP="00F100E1">
            <w:pPr>
              <w:widowControl w:val="0"/>
              <w:autoSpaceDE w:val="0"/>
              <w:autoSpaceDN w:val="0"/>
              <w:adjustRightInd w:val="0"/>
              <w:jc w:val="both"/>
              <w:rPr>
                <w:rFonts w:eastAsia="Calibri"/>
              </w:rPr>
            </w:pPr>
          </w:p>
        </w:tc>
      </w:tr>
      <w:tr w:rsidR="0007555D" w:rsidRPr="00C56257" w14:paraId="2EF765FC" w14:textId="77777777" w:rsidTr="0007555D">
        <w:trPr>
          <w:jc w:val="center"/>
        </w:trPr>
        <w:tc>
          <w:tcPr>
            <w:tcW w:w="815" w:type="dxa"/>
          </w:tcPr>
          <w:p w14:paraId="7E72460E"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5</w:t>
            </w:r>
          </w:p>
        </w:tc>
        <w:tc>
          <w:tcPr>
            <w:tcW w:w="1984" w:type="dxa"/>
          </w:tcPr>
          <w:p w14:paraId="00F67DED" w14:textId="77777777" w:rsidR="0007555D" w:rsidRPr="00C56257" w:rsidRDefault="0007555D" w:rsidP="00F100E1">
            <w:pPr>
              <w:widowControl w:val="0"/>
              <w:autoSpaceDE w:val="0"/>
              <w:autoSpaceDN w:val="0"/>
              <w:adjustRightInd w:val="0"/>
              <w:jc w:val="both"/>
              <w:rPr>
                <w:rFonts w:eastAsia="Calibri"/>
              </w:rPr>
            </w:pPr>
          </w:p>
        </w:tc>
        <w:tc>
          <w:tcPr>
            <w:tcW w:w="1985" w:type="dxa"/>
          </w:tcPr>
          <w:p w14:paraId="0B49A3E0" w14:textId="77777777" w:rsidR="0007555D" w:rsidRPr="00C56257" w:rsidRDefault="0007555D" w:rsidP="00F100E1">
            <w:pPr>
              <w:widowControl w:val="0"/>
              <w:autoSpaceDE w:val="0"/>
              <w:autoSpaceDN w:val="0"/>
              <w:adjustRightInd w:val="0"/>
              <w:jc w:val="both"/>
              <w:rPr>
                <w:rFonts w:eastAsia="Calibri"/>
              </w:rPr>
            </w:pPr>
          </w:p>
        </w:tc>
        <w:tc>
          <w:tcPr>
            <w:tcW w:w="2126" w:type="dxa"/>
          </w:tcPr>
          <w:p w14:paraId="23207363" w14:textId="77777777" w:rsidR="0007555D" w:rsidRPr="00C56257" w:rsidRDefault="0007555D" w:rsidP="00F100E1">
            <w:pPr>
              <w:widowControl w:val="0"/>
              <w:autoSpaceDE w:val="0"/>
              <w:autoSpaceDN w:val="0"/>
              <w:adjustRightInd w:val="0"/>
              <w:jc w:val="both"/>
              <w:rPr>
                <w:rFonts w:eastAsia="Calibri"/>
              </w:rPr>
            </w:pPr>
          </w:p>
        </w:tc>
      </w:tr>
      <w:tr w:rsidR="0007555D" w:rsidRPr="00C56257" w14:paraId="5B2DC22A" w14:textId="77777777" w:rsidTr="0007555D">
        <w:trPr>
          <w:jc w:val="center"/>
        </w:trPr>
        <w:tc>
          <w:tcPr>
            <w:tcW w:w="815" w:type="dxa"/>
          </w:tcPr>
          <w:p w14:paraId="64103B8A"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w:t>
            </w:r>
          </w:p>
        </w:tc>
        <w:tc>
          <w:tcPr>
            <w:tcW w:w="1984" w:type="dxa"/>
          </w:tcPr>
          <w:p w14:paraId="5DC90E29" w14:textId="77777777" w:rsidR="0007555D" w:rsidRPr="00C56257" w:rsidRDefault="0007555D" w:rsidP="00F100E1">
            <w:pPr>
              <w:widowControl w:val="0"/>
              <w:autoSpaceDE w:val="0"/>
              <w:autoSpaceDN w:val="0"/>
              <w:adjustRightInd w:val="0"/>
              <w:jc w:val="both"/>
              <w:rPr>
                <w:rFonts w:eastAsia="Calibri"/>
              </w:rPr>
            </w:pPr>
          </w:p>
        </w:tc>
        <w:tc>
          <w:tcPr>
            <w:tcW w:w="1985" w:type="dxa"/>
          </w:tcPr>
          <w:p w14:paraId="05312825" w14:textId="77777777" w:rsidR="0007555D" w:rsidRPr="00C56257" w:rsidRDefault="0007555D" w:rsidP="00F100E1">
            <w:pPr>
              <w:widowControl w:val="0"/>
              <w:autoSpaceDE w:val="0"/>
              <w:autoSpaceDN w:val="0"/>
              <w:adjustRightInd w:val="0"/>
              <w:jc w:val="both"/>
              <w:rPr>
                <w:rFonts w:eastAsia="Calibri"/>
              </w:rPr>
            </w:pPr>
          </w:p>
        </w:tc>
        <w:tc>
          <w:tcPr>
            <w:tcW w:w="2126" w:type="dxa"/>
          </w:tcPr>
          <w:p w14:paraId="49DDC079" w14:textId="77777777" w:rsidR="0007555D" w:rsidRPr="00C56257" w:rsidRDefault="0007555D" w:rsidP="00F100E1">
            <w:pPr>
              <w:widowControl w:val="0"/>
              <w:autoSpaceDE w:val="0"/>
              <w:autoSpaceDN w:val="0"/>
              <w:adjustRightInd w:val="0"/>
              <w:jc w:val="both"/>
              <w:rPr>
                <w:rFonts w:eastAsia="Calibri"/>
              </w:rPr>
            </w:pPr>
          </w:p>
        </w:tc>
      </w:tr>
      <w:tr w:rsidR="0007555D" w:rsidRPr="00C56257" w14:paraId="5738D7E9" w14:textId="77777777" w:rsidTr="0007555D">
        <w:trPr>
          <w:jc w:val="center"/>
        </w:trPr>
        <w:tc>
          <w:tcPr>
            <w:tcW w:w="815" w:type="dxa"/>
          </w:tcPr>
          <w:p w14:paraId="057EA7CB"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n</w:t>
            </w:r>
          </w:p>
        </w:tc>
        <w:tc>
          <w:tcPr>
            <w:tcW w:w="1984" w:type="dxa"/>
          </w:tcPr>
          <w:p w14:paraId="66F7C4C0" w14:textId="77777777" w:rsidR="0007555D" w:rsidRPr="00C56257" w:rsidRDefault="0007555D" w:rsidP="00F100E1">
            <w:pPr>
              <w:widowControl w:val="0"/>
              <w:autoSpaceDE w:val="0"/>
              <w:autoSpaceDN w:val="0"/>
              <w:adjustRightInd w:val="0"/>
              <w:jc w:val="both"/>
              <w:rPr>
                <w:rFonts w:eastAsia="Calibri"/>
              </w:rPr>
            </w:pPr>
          </w:p>
        </w:tc>
        <w:tc>
          <w:tcPr>
            <w:tcW w:w="1985" w:type="dxa"/>
          </w:tcPr>
          <w:p w14:paraId="4A43E7D2" w14:textId="77777777" w:rsidR="0007555D" w:rsidRPr="00C56257" w:rsidRDefault="0007555D" w:rsidP="00F100E1">
            <w:pPr>
              <w:widowControl w:val="0"/>
              <w:autoSpaceDE w:val="0"/>
              <w:autoSpaceDN w:val="0"/>
              <w:adjustRightInd w:val="0"/>
              <w:jc w:val="both"/>
              <w:rPr>
                <w:rFonts w:eastAsia="Calibri"/>
              </w:rPr>
            </w:pPr>
          </w:p>
        </w:tc>
        <w:tc>
          <w:tcPr>
            <w:tcW w:w="2126" w:type="dxa"/>
          </w:tcPr>
          <w:p w14:paraId="2A21369C" w14:textId="77777777" w:rsidR="0007555D" w:rsidRPr="00C56257" w:rsidRDefault="0007555D" w:rsidP="00F100E1">
            <w:pPr>
              <w:widowControl w:val="0"/>
              <w:autoSpaceDE w:val="0"/>
              <w:autoSpaceDN w:val="0"/>
              <w:adjustRightInd w:val="0"/>
              <w:jc w:val="both"/>
              <w:rPr>
                <w:rFonts w:eastAsia="Calibri"/>
              </w:rPr>
            </w:pPr>
          </w:p>
        </w:tc>
      </w:tr>
    </w:tbl>
    <w:p w14:paraId="3ABFEC4C"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Evaluarea stării de conservare la nivel de plot pe baza schemei de alocare Pinneberg:</w:t>
      </w:r>
    </w:p>
    <w:tbl>
      <w:tblPr>
        <w:tblStyle w:val="TableGrid"/>
        <w:tblW w:w="0" w:type="auto"/>
        <w:jc w:val="center"/>
        <w:tblLook w:val="04A0" w:firstRow="1" w:lastRow="0" w:firstColumn="1" w:lastColumn="0" w:noHBand="0" w:noVBand="1"/>
      </w:tblPr>
      <w:tblGrid>
        <w:gridCol w:w="1803"/>
        <w:gridCol w:w="413"/>
        <w:gridCol w:w="425"/>
        <w:gridCol w:w="426"/>
        <w:gridCol w:w="425"/>
        <w:gridCol w:w="425"/>
        <w:gridCol w:w="425"/>
        <w:gridCol w:w="426"/>
        <w:gridCol w:w="425"/>
        <w:gridCol w:w="425"/>
      </w:tblGrid>
      <w:tr w:rsidR="0007555D" w:rsidRPr="00C56257" w14:paraId="5C1C5272" w14:textId="77777777" w:rsidTr="0007555D">
        <w:trPr>
          <w:jc w:val="center"/>
        </w:trPr>
        <w:tc>
          <w:tcPr>
            <w:tcW w:w="1538" w:type="dxa"/>
          </w:tcPr>
          <w:p w14:paraId="6FD8F39A" w14:textId="77777777" w:rsidR="0007555D" w:rsidRPr="00C56257" w:rsidRDefault="0007555D" w:rsidP="00F100E1">
            <w:pPr>
              <w:widowControl w:val="0"/>
              <w:autoSpaceDE w:val="0"/>
              <w:autoSpaceDN w:val="0"/>
              <w:adjustRightInd w:val="0"/>
              <w:spacing w:before="240"/>
              <w:jc w:val="both"/>
              <w:rPr>
                <w:rFonts w:eastAsia="Calibri"/>
                <w:b/>
              </w:rPr>
            </w:pPr>
            <w:r w:rsidRPr="00C56257">
              <w:rPr>
                <w:rFonts w:eastAsia="Calibri"/>
                <w:b/>
              </w:rPr>
              <w:t>Specii tipice</w:t>
            </w:r>
          </w:p>
        </w:tc>
        <w:tc>
          <w:tcPr>
            <w:tcW w:w="413" w:type="dxa"/>
          </w:tcPr>
          <w:p w14:paraId="71064C89"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A</w:t>
            </w:r>
          </w:p>
        </w:tc>
        <w:tc>
          <w:tcPr>
            <w:tcW w:w="425" w:type="dxa"/>
          </w:tcPr>
          <w:p w14:paraId="19B30BB3"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A</w:t>
            </w:r>
          </w:p>
        </w:tc>
        <w:tc>
          <w:tcPr>
            <w:tcW w:w="426" w:type="dxa"/>
          </w:tcPr>
          <w:p w14:paraId="04D4831C"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A</w:t>
            </w:r>
          </w:p>
        </w:tc>
        <w:tc>
          <w:tcPr>
            <w:tcW w:w="425" w:type="dxa"/>
          </w:tcPr>
          <w:p w14:paraId="67B67BAC"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A</w:t>
            </w:r>
          </w:p>
        </w:tc>
        <w:tc>
          <w:tcPr>
            <w:tcW w:w="425" w:type="dxa"/>
          </w:tcPr>
          <w:p w14:paraId="5EB35FA8"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A</w:t>
            </w:r>
          </w:p>
        </w:tc>
        <w:tc>
          <w:tcPr>
            <w:tcW w:w="425" w:type="dxa"/>
          </w:tcPr>
          <w:p w14:paraId="226998A2"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A</w:t>
            </w:r>
          </w:p>
        </w:tc>
        <w:tc>
          <w:tcPr>
            <w:tcW w:w="426" w:type="dxa"/>
          </w:tcPr>
          <w:p w14:paraId="48114835"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B</w:t>
            </w:r>
          </w:p>
        </w:tc>
        <w:tc>
          <w:tcPr>
            <w:tcW w:w="425" w:type="dxa"/>
          </w:tcPr>
          <w:p w14:paraId="5A0BEC6C"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B</w:t>
            </w:r>
          </w:p>
        </w:tc>
        <w:tc>
          <w:tcPr>
            <w:tcW w:w="425" w:type="dxa"/>
          </w:tcPr>
          <w:p w14:paraId="1679DCE7"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C</w:t>
            </w:r>
          </w:p>
        </w:tc>
      </w:tr>
      <w:tr w:rsidR="0007555D" w:rsidRPr="00C56257" w14:paraId="01B66FA5" w14:textId="77777777" w:rsidTr="0007555D">
        <w:trPr>
          <w:jc w:val="center"/>
        </w:trPr>
        <w:tc>
          <w:tcPr>
            <w:tcW w:w="1538" w:type="dxa"/>
          </w:tcPr>
          <w:p w14:paraId="4593D906" w14:textId="77777777" w:rsidR="0007555D" w:rsidRPr="00C56257" w:rsidRDefault="0007555D" w:rsidP="00F100E1">
            <w:pPr>
              <w:widowControl w:val="0"/>
              <w:autoSpaceDE w:val="0"/>
              <w:autoSpaceDN w:val="0"/>
              <w:adjustRightInd w:val="0"/>
              <w:spacing w:before="240"/>
              <w:jc w:val="both"/>
              <w:rPr>
                <w:rFonts w:eastAsia="Calibri"/>
                <w:b/>
              </w:rPr>
            </w:pPr>
            <w:r w:rsidRPr="00C56257">
              <w:rPr>
                <w:rFonts w:eastAsia="Calibri"/>
                <w:b/>
              </w:rPr>
              <w:t>Structură</w:t>
            </w:r>
          </w:p>
        </w:tc>
        <w:tc>
          <w:tcPr>
            <w:tcW w:w="413" w:type="dxa"/>
          </w:tcPr>
          <w:p w14:paraId="53F98D73"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A</w:t>
            </w:r>
          </w:p>
        </w:tc>
        <w:tc>
          <w:tcPr>
            <w:tcW w:w="425" w:type="dxa"/>
          </w:tcPr>
          <w:p w14:paraId="27B45F8D"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A</w:t>
            </w:r>
          </w:p>
        </w:tc>
        <w:tc>
          <w:tcPr>
            <w:tcW w:w="426" w:type="dxa"/>
          </w:tcPr>
          <w:p w14:paraId="4DC277D8"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A</w:t>
            </w:r>
          </w:p>
        </w:tc>
        <w:tc>
          <w:tcPr>
            <w:tcW w:w="425" w:type="dxa"/>
          </w:tcPr>
          <w:p w14:paraId="387C6838"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B</w:t>
            </w:r>
          </w:p>
        </w:tc>
        <w:tc>
          <w:tcPr>
            <w:tcW w:w="425" w:type="dxa"/>
          </w:tcPr>
          <w:p w14:paraId="17B70284"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B</w:t>
            </w:r>
          </w:p>
        </w:tc>
        <w:tc>
          <w:tcPr>
            <w:tcW w:w="425" w:type="dxa"/>
          </w:tcPr>
          <w:p w14:paraId="62E83115"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C</w:t>
            </w:r>
          </w:p>
        </w:tc>
        <w:tc>
          <w:tcPr>
            <w:tcW w:w="426" w:type="dxa"/>
          </w:tcPr>
          <w:p w14:paraId="00AFD623"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B</w:t>
            </w:r>
          </w:p>
        </w:tc>
        <w:tc>
          <w:tcPr>
            <w:tcW w:w="425" w:type="dxa"/>
          </w:tcPr>
          <w:p w14:paraId="74B6B894"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C</w:t>
            </w:r>
          </w:p>
        </w:tc>
        <w:tc>
          <w:tcPr>
            <w:tcW w:w="425" w:type="dxa"/>
          </w:tcPr>
          <w:p w14:paraId="20D40AFE"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C</w:t>
            </w:r>
          </w:p>
        </w:tc>
      </w:tr>
      <w:tr w:rsidR="0007555D" w:rsidRPr="00C56257" w14:paraId="68057704" w14:textId="77777777" w:rsidTr="0007555D">
        <w:trPr>
          <w:jc w:val="center"/>
        </w:trPr>
        <w:tc>
          <w:tcPr>
            <w:tcW w:w="1538" w:type="dxa"/>
          </w:tcPr>
          <w:p w14:paraId="4EE5B75A" w14:textId="77777777" w:rsidR="0007555D" w:rsidRPr="00C56257" w:rsidRDefault="0007555D" w:rsidP="00F100E1">
            <w:pPr>
              <w:widowControl w:val="0"/>
              <w:autoSpaceDE w:val="0"/>
              <w:autoSpaceDN w:val="0"/>
              <w:adjustRightInd w:val="0"/>
              <w:spacing w:before="240"/>
              <w:jc w:val="both"/>
              <w:rPr>
                <w:rFonts w:eastAsia="Calibri"/>
                <w:b/>
              </w:rPr>
            </w:pPr>
            <w:r w:rsidRPr="00C56257">
              <w:rPr>
                <w:rFonts w:eastAsia="Calibri"/>
                <w:b/>
              </w:rPr>
              <w:t>Presiuni și amenințări</w:t>
            </w:r>
          </w:p>
        </w:tc>
        <w:tc>
          <w:tcPr>
            <w:tcW w:w="413" w:type="dxa"/>
          </w:tcPr>
          <w:p w14:paraId="5DB7CA31"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A</w:t>
            </w:r>
          </w:p>
        </w:tc>
        <w:tc>
          <w:tcPr>
            <w:tcW w:w="425" w:type="dxa"/>
          </w:tcPr>
          <w:p w14:paraId="6ED4AA1E"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B</w:t>
            </w:r>
          </w:p>
        </w:tc>
        <w:tc>
          <w:tcPr>
            <w:tcW w:w="426" w:type="dxa"/>
          </w:tcPr>
          <w:p w14:paraId="6F8F2573"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C</w:t>
            </w:r>
          </w:p>
        </w:tc>
        <w:tc>
          <w:tcPr>
            <w:tcW w:w="425" w:type="dxa"/>
          </w:tcPr>
          <w:p w14:paraId="619CA3FD"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B</w:t>
            </w:r>
          </w:p>
        </w:tc>
        <w:tc>
          <w:tcPr>
            <w:tcW w:w="425" w:type="dxa"/>
          </w:tcPr>
          <w:p w14:paraId="514BFA73"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C</w:t>
            </w:r>
          </w:p>
        </w:tc>
        <w:tc>
          <w:tcPr>
            <w:tcW w:w="425" w:type="dxa"/>
          </w:tcPr>
          <w:p w14:paraId="6AD3E9F0"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C</w:t>
            </w:r>
          </w:p>
        </w:tc>
        <w:tc>
          <w:tcPr>
            <w:tcW w:w="426" w:type="dxa"/>
          </w:tcPr>
          <w:p w14:paraId="5EC2860F"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C</w:t>
            </w:r>
          </w:p>
        </w:tc>
        <w:tc>
          <w:tcPr>
            <w:tcW w:w="425" w:type="dxa"/>
          </w:tcPr>
          <w:p w14:paraId="679DE09D"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C</w:t>
            </w:r>
          </w:p>
        </w:tc>
        <w:tc>
          <w:tcPr>
            <w:tcW w:w="425" w:type="dxa"/>
          </w:tcPr>
          <w:p w14:paraId="2EBEC7D8"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C</w:t>
            </w:r>
          </w:p>
        </w:tc>
      </w:tr>
      <w:tr w:rsidR="0007555D" w:rsidRPr="00C56257" w14:paraId="2548A5CD" w14:textId="77777777" w:rsidTr="0007555D">
        <w:trPr>
          <w:jc w:val="center"/>
        </w:trPr>
        <w:tc>
          <w:tcPr>
            <w:tcW w:w="1538" w:type="dxa"/>
            <w:shd w:val="clear" w:color="auto" w:fill="BFBFBF"/>
          </w:tcPr>
          <w:p w14:paraId="34B3D495" w14:textId="77777777" w:rsidR="0007555D" w:rsidRPr="00C56257" w:rsidRDefault="0007555D" w:rsidP="00F100E1">
            <w:pPr>
              <w:widowControl w:val="0"/>
              <w:autoSpaceDE w:val="0"/>
              <w:autoSpaceDN w:val="0"/>
              <w:adjustRightInd w:val="0"/>
              <w:spacing w:before="240"/>
              <w:jc w:val="both"/>
              <w:rPr>
                <w:rFonts w:eastAsia="Calibri"/>
                <w:b/>
              </w:rPr>
            </w:pPr>
            <w:r w:rsidRPr="00C56257">
              <w:rPr>
                <w:rFonts w:eastAsia="Calibri"/>
                <w:b/>
              </w:rPr>
              <w:lastRenderedPageBreak/>
              <w:t>Starea de conservare/plot</w:t>
            </w:r>
          </w:p>
        </w:tc>
        <w:tc>
          <w:tcPr>
            <w:tcW w:w="413" w:type="dxa"/>
            <w:shd w:val="clear" w:color="auto" w:fill="BFBFBF"/>
          </w:tcPr>
          <w:p w14:paraId="71EF22D4"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A</w:t>
            </w:r>
          </w:p>
        </w:tc>
        <w:tc>
          <w:tcPr>
            <w:tcW w:w="425" w:type="dxa"/>
            <w:shd w:val="clear" w:color="auto" w:fill="BFBFBF"/>
          </w:tcPr>
          <w:p w14:paraId="7E1822E3"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A</w:t>
            </w:r>
          </w:p>
        </w:tc>
        <w:tc>
          <w:tcPr>
            <w:tcW w:w="426" w:type="dxa"/>
            <w:shd w:val="clear" w:color="auto" w:fill="BFBFBF"/>
          </w:tcPr>
          <w:p w14:paraId="7EFF52AD"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B</w:t>
            </w:r>
          </w:p>
        </w:tc>
        <w:tc>
          <w:tcPr>
            <w:tcW w:w="425" w:type="dxa"/>
            <w:shd w:val="clear" w:color="auto" w:fill="BFBFBF"/>
          </w:tcPr>
          <w:p w14:paraId="2413AC90"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B</w:t>
            </w:r>
          </w:p>
        </w:tc>
        <w:tc>
          <w:tcPr>
            <w:tcW w:w="425" w:type="dxa"/>
            <w:shd w:val="clear" w:color="auto" w:fill="BFBFBF"/>
          </w:tcPr>
          <w:p w14:paraId="21CFD194"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B</w:t>
            </w:r>
          </w:p>
        </w:tc>
        <w:tc>
          <w:tcPr>
            <w:tcW w:w="425" w:type="dxa"/>
            <w:shd w:val="clear" w:color="auto" w:fill="BFBFBF"/>
          </w:tcPr>
          <w:p w14:paraId="3CA7D642"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C</w:t>
            </w:r>
          </w:p>
        </w:tc>
        <w:tc>
          <w:tcPr>
            <w:tcW w:w="426" w:type="dxa"/>
            <w:shd w:val="clear" w:color="auto" w:fill="BFBFBF"/>
          </w:tcPr>
          <w:p w14:paraId="0DD3845C"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C</w:t>
            </w:r>
          </w:p>
        </w:tc>
        <w:tc>
          <w:tcPr>
            <w:tcW w:w="425" w:type="dxa"/>
            <w:shd w:val="clear" w:color="auto" w:fill="BFBFBF"/>
          </w:tcPr>
          <w:p w14:paraId="068983DC"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C</w:t>
            </w:r>
          </w:p>
        </w:tc>
        <w:tc>
          <w:tcPr>
            <w:tcW w:w="425" w:type="dxa"/>
            <w:shd w:val="clear" w:color="auto" w:fill="BFBFBF"/>
          </w:tcPr>
          <w:p w14:paraId="64943881" w14:textId="77777777" w:rsidR="0007555D" w:rsidRPr="00C56257" w:rsidRDefault="0007555D" w:rsidP="00F100E1">
            <w:pPr>
              <w:widowControl w:val="0"/>
              <w:autoSpaceDE w:val="0"/>
              <w:autoSpaceDN w:val="0"/>
              <w:adjustRightInd w:val="0"/>
              <w:spacing w:before="240"/>
              <w:jc w:val="both"/>
              <w:rPr>
                <w:rFonts w:eastAsia="Calibri"/>
              </w:rPr>
            </w:pPr>
            <w:r w:rsidRPr="00C56257">
              <w:rPr>
                <w:rFonts w:eastAsia="Calibri"/>
              </w:rPr>
              <w:t>C</w:t>
            </w:r>
          </w:p>
        </w:tc>
      </w:tr>
    </w:tbl>
    <w:p w14:paraId="6F0D6364"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Starea de conservare la nivel de plot este următoarea:</w:t>
      </w:r>
    </w:p>
    <w:tbl>
      <w:tblPr>
        <w:tblStyle w:val="TableGrid"/>
        <w:tblW w:w="0" w:type="auto"/>
        <w:jc w:val="center"/>
        <w:tblLayout w:type="fixed"/>
        <w:tblLook w:val="04A0" w:firstRow="1" w:lastRow="0" w:firstColumn="1" w:lastColumn="0" w:noHBand="0" w:noVBand="1"/>
      </w:tblPr>
      <w:tblGrid>
        <w:gridCol w:w="815"/>
        <w:gridCol w:w="1984"/>
      </w:tblGrid>
      <w:tr w:rsidR="0007555D" w:rsidRPr="00C56257" w14:paraId="0DF9D5DD" w14:textId="77777777" w:rsidTr="0007555D">
        <w:trPr>
          <w:jc w:val="center"/>
        </w:trPr>
        <w:tc>
          <w:tcPr>
            <w:tcW w:w="815" w:type="dxa"/>
          </w:tcPr>
          <w:p w14:paraId="6FAADCD3"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Plot</w:t>
            </w:r>
          </w:p>
        </w:tc>
        <w:tc>
          <w:tcPr>
            <w:tcW w:w="1984" w:type="dxa"/>
          </w:tcPr>
          <w:p w14:paraId="08E68144"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Stare de conservare</w:t>
            </w:r>
          </w:p>
        </w:tc>
      </w:tr>
      <w:tr w:rsidR="0007555D" w:rsidRPr="00C56257" w14:paraId="2A2A6977" w14:textId="77777777" w:rsidTr="0007555D">
        <w:trPr>
          <w:jc w:val="center"/>
        </w:trPr>
        <w:tc>
          <w:tcPr>
            <w:tcW w:w="815" w:type="dxa"/>
          </w:tcPr>
          <w:p w14:paraId="448E2FB0"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1</w:t>
            </w:r>
          </w:p>
        </w:tc>
        <w:tc>
          <w:tcPr>
            <w:tcW w:w="1984" w:type="dxa"/>
          </w:tcPr>
          <w:p w14:paraId="1DC859D1"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w:t>
            </w:r>
          </w:p>
        </w:tc>
      </w:tr>
      <w:tr w:rsidR="0007555D" w:rsidRPr="00C56257" w14:paraId="2D71705F" w14:textId="77777777" w:rsidTr="0007555D">
        <w:trPr>
          <w:jc w:val="center"/>
        </w:trPr>
        <w:tc>
          <w:tcPr>
            <w:tcW w:w="815" w:type="dxa"/>
          </w:tcPr>
          <w:p w14:paraId="381CB919"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2</w:t>
            </w:r>
          </w:p>
        </w:tc>
        <w:tc>
          <w:tcPr>
            <w:tcW w:w="1984" w:type="dxa"/>
          </w:tcPr>
          <w:p w14:paraId="40F5B6C5"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C</w:t>
            </w:r>
          </w:p>
        </w:tc>
      </w:tr>
      <w:tr w:rsidR="0007555D" w:rsidRPr="00C56257" w14:paraId="62376B6C" w14:textId="77777777" w:rsidTr="0007555D">
        <w:trPr>
          <w:jc w:val="center"/>
        </w:trPr>
        <w:tc>
          <w:tcPr>
            <w:tcW w:w="815" w:type="dxa"/>
          </w:tcPr>
          <w:p w14:paraId="73F0A6F4"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3</w:t>
            </w:r>
          </w:p>
        </w:tc>
        <w:tc>
          <w:tcPr>
            <w:tcW w:w="1984" w:type="dxa"/>
          </w:tcPr>
          <w:p w14:paraId="7241D28D"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B</w:t>
            </w:r>
          </w:p>
        </w:tc>
      </w:tr>
      <w:tr w:rsidR="0007555D" w:rsidRPr="00C56257" w14:paraId="224CE6A0" w14:textId="77777777" w:rsidTr="0007555D">
        <w:trPr>
          <w:jc w:val="center"/>
        </w:trPr>
        <w:tc>
          <w:tcPr>
            <w:tcW w:w="815" w:type="dxa"/>
          </w:tcPr>
          <w:p w14:paraId="03210659"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4</w:t>
            </w:r>
          </w:p>
        </w:tc>
        <w:tc>
          <w:tcPr>
            <w:tcW w:w="1984" w:type="dxa"/>
          </w:tcPr>
          <w:p w14:paraId="24FD3E54" w14:textId="77777777" w:rsidR="0007555D" w:rsidRPr="00C56257" w:rsidRDefault="0007555D" w:rsidP="00F100E1">
            <w:pPr>
              <w:widowControl w:val="0"/>
              <w:autoSpaceDE w:val="0"/>
              <w:autoSpaceDN w:val="0"/>
              <w:adjustRightInd w:val="0"/>
              <w:jc w:val="both"/>
              <w:rPr>
                <w:rFonts w:eastAsia="Calibri"/>
              </w:rPr>
            </w:pPr>
          </w:p>
        </w:tc>
      </w:tr>
      <w:tr w:rsidR="0007555D" w:rsidRPr="00C56257" w14:paraId="7CFD5560" w14:textId="77777777" w:rsidTr="0007555D">
        <w:trPr>
          <w:jc w:val="center"/>
        </w:trPr>
        <w:tc>
          <w:tcPr>
            <w:tcW w:w="815" w:type="dxa"/>
          </w:tcPr>
          <w:p w14:paraId="7B3844E3"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5</w:t>
            </w:r>
          </w:p>
        </w:tc>
        <w:tc>
          <w:tcPr>
            <w:tcW w:w="1984" w:type="dxa"/>
          </w:tcPr>
          <w:p w14:paraId="38B7C495" w14:textId="77777777" w:rsidR="0007555D" w:rsidRPr="00C56257" w:rsidRDefault="0007555D" w:rsidP="00F100E1">
            <w:pPr>
              <w:widowControl w:val="0"/>
              <w:autoSpaceDE w:val="0"/>
              <w:autoSpaceDN w:val="0"/>
              <w:adjustRightInd w:val="0"/>
              <w:jc w:val="both"/>
              <w:rPr>
                <w:rFonts w:eastAsia="Calibri"/>
              </w:rPr>
            </w:pPr>
          </w:p>
        </w:tc>
      </w:tr>
      <w:tr w:rsidR="0007555D" w:rsidRPr="00C56257" w14:paraId="7103031E" w14:textId="77777777" w:rsidTr="0007555D">
        <w:trPr>
          <w:jc w:val="center"/>
        </w:trPr>
        <w:tc>
          <w:tcPr>
            <w:tcW w:w="815" w:type="dxa"/>
          </w:tcPr>
          <w:p w14:paraId="1DC14E7F"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w:t>
            </w:r>
          </w:p>
        </w:tc>
        <w:tc>
          <w:tcPr>
            <w:tcW w:w="1984" w:type="dxa"/>
          </w:tcPr>
          <w:p w14:paraId="1BED131D" w14:textId="77777777" w:rsidR="0007555D" w:rsidRPr="00C56257" w:rsidRDefault="0007555D" w:rsidP="00F100E1">
            <w:pPr>
              <w:widowControl w:val="0"/>
              <w:autoSpaceDE w:val="0"/>
              <w:autoSpaceDN w:val="0"/>
              <w:adjustRightInd w:val="0"/>
              <w:jc w:val="both"/>
              <w:rPr>
                <w:rFonts w:eastAsia="Calibri"/>
              </w:rPr>
            </w:pPr>
          </w:p>
        </w:tc>
      </w:tr>
      <w:tr w:rsidR="0007555D" w:rsidRPr="00C56257" w14:paraId="0DA98E21" w14:textId="77777777" w:rsidTr="0007555D">
        <w:trPr>
          <w:jc w:val="center"/>
        </w:trPr>
        <w:tc>
          <w:tcPr>
            <w:tcW w:w="815" w:type="dxa"/>
          </w:tcPr>
          <w:p w14:paraId="1B9B8FF6" w14:textId="77777777" w:rsidR="0007555D" w:rsidRPr="00C56257" w:rsidRDefault="0007555D" w:rsidP="00F100E1">
            <w:pPr>
              <w:widowControl w:val="0"/>
              <w:autoSpaceDE w:val="0"/>
              <w:autoSpaceDN w:val="0"/>
              <w:adjustRightInd w:val="0"/>
              <w:jc w:val="both"/>
              <w:rPr>
                <w:rFonts w:eastAsia="Calibri"/>
              </w:rPr>
            </w:pPr>
            <w:r w:rsidRPr="00C56257">
              <w:rPr>
                <w:rFonts w:eastAsia="Calibri"/>
              </w:rPr>
              <w:t>n</w:t>
            </w:r>
          </w:p>
        </w:tc>
        <w:tc>
          <w:tcPr>
            <w:tcW w:w="1984" w:type="dxa"/>
          </w:tcPr>
          <w:p w14:paraId="39EE7FCC" w14:textId="77777777" w:rsidR="0007555D" w:rsidRPr="00C56257" w:rsidRDefault="0007555D" w:rsidP="00F100E1">
            <w:pPr>
              <w:widowControl w:val="0"/>
              <w:autoSpaceDE w:val="0"/>
              <w:autoSpaceDN w:val="0"/>
              <w:adjustRightInd w:val="0"/>
              <w:jc w:val="both"/>
              <w:rPr>
                <w:rFonts w:eastAsia="Calibri"/>
              </w:rPr>
            </w:pPr>
          </w:p>
        </w:tc>
      </w:tr>
    </w:tbl>
    <w:p w14:paraId="3CBE335F"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 xml:space="preserve">Matricea de evaluare a stării de conservare a structurii şi funcţiilor habitatului la nivelul regiunii biogeografice, pe baza datelor obţinute cu ajutorul relaţiei (1) este redată în Tabelul 12. </w:t>
      </w:r>
    </w:p>
    <w:p w14:paraId="67C5A3DE" w14:textId="77777777" w:rsidR="0007555D" w:rsidRPr="00C56257" w:rsidRDefault="0007555D" w:rsidP="008E33FD">
      <w:pPr>
        <w:widowControl w:val="0"/>
        <w:autoSpaceDE w:val="0"/>
        <w:autoSpaceDN w:val="0"/>
        <w:adjustRightInd w:val="0"/>
        <w:spacing w:before="240"/>
        <w:ind w:left="540"/>
        <w:jc w:val="both"/>
        <w:rPr>
          <w:rFonts w:eastAsia="Calibri"/>
          <w:b/>
        </w:rPr>
      </w:pPr>
      <w:r w:rsidRPr="00C56257">
        <w:rPr>
          <w:rFonts w:eastAsia="Calibri"/>
          <w:b/>
        </w:rPr>
        <w:t>a%A + b%B + c%C+x%X=100</w:t>
      </w:r>
      <w:r w:rsidRPr="00C56257">
        <w:rPr>
          <w:rFonts w:eastAsia="Calibri"/>
          <w:b/>
        </w:rPr>
        <w:tab/>
      </w:r>
      <w:r w:rsidRPr="00C56257">
        <w:rPr>
          <w:rFonts w:eastAsia="Calibri"/>
          <w:b/>
        </w:rPr>
        <w:tab/>
        <w:t>(1)</w:t>
      </w:r>
    </w:p>
    <w:p w14:paraId="242C6C1E" w14:textId="77777777" w:rsidR="0007555D" w:rsidRPr="00C56257" w:rsidRDefault="0007555D" w:rsidP="008E33FD">
      <w:pPr>
        <w:widowControl w:val="0"/>
        <w:autoSpaceDE w:val="0"/>
        <w:autoSpaceDN w:val="0"/>
        <w:adjustRightInd w:val="0"/>
        <w:spacing w:before="240"/>
        <w:ind w:left="540"/>
        <w:jc w:val="both"/>
        <w:rPr>
          <w:rFonts w:eastAsia="Calibri"/>
        </w:rPr>
      </w:pPr>
      <w:r w:rsidRPr="00C56257">
        <w:rPr>
          <w:rFonts w:eastAsia="Calibri"/>
        </w:rPr>
        <w:t xml:space="preserve">în care: </w:t>
      </w:r>
    </w:p>
    <w:p w14:paraId="573C8706" w14:textId="77777777" w:rsidR="0007555D" w:rsidRPr="00C56257" w:rsidRDefault="0007555D" w:rsidP="008E33FD">
      <w:pPr>
        <w:widowControl w:val="0"/>
        <w:autoSpaceDE w:val="0"/>
        <w:autoSpaceDN w:val="0"/>
        <w:adjustRightInd w:val="0"/>
        <w:spacing w:before="240"/>
        <w:ind w:left="540"/>
        <w:jc w:val="both"/>
        <w:rPr>
          <w:rFonts w:eastAsia="Calibri"/>
        </w:rPr>
      </w:pPr>
      <w:r w:rsidRPr="00C56257">
        <w:rPr>
          <w:rFonts w:eastAsia="Calibri"/>
        </w:rPr>
        <w:t>A, B, C, X = exprimă starea de conservare a habitatului în fiecare suprafaţă de probă (A = excelentă; B = bună; C = medie sau redusă; X = necunoscută);</w:t>
      </w:r>
    </w:p>
    <w:p w14:paraId="4814E000" w14:textId="77777777" w:rsidR="0007555D" w:rsidRPr="00C56257" w:rsidRDefault="0007555D" w:rsidP="008E33FD">
      <w:pPr>
        <w:widowControl w:val="0"/>
        <w:autoSpaceDE w:val="0"/>
        <w:autoSpaceDN w:val="0"/>
        <w:adjustRightInd w:val="0"/>
        <w:spacing w:before="240"/>
        <w:ind w:left="540"/>
        <w:jc w:val="both"/>
        <w:rPr>
          <w:rFonts w:eastAsia="Calibri"/>
        </w:rPr>
      </w:pPr>
      <w:r w:rsidRPr="00C56257">
        <w:rPr>
          <w:rFonts w:eastAsia="Calibri"/>
        </w:rPr>
        <w:t>a%, b%, c%,x% = procentul de suprafeţe de probă care au starea de conservare A, B, C sau X.</w:t>
      </w:r>
    </w:p>
    <w:p w14:paraId="63E22C46" w14:textId="77777777" w:rsidR="0007555D" w:rsidRPr="00C56257" w:rsidRDefault="0007555D" w:rsidP="00F100E1">
      <w:pPr>
        <w:widowControl w:val="0"/>
        <w:autoSpaceDE w:val="0"/>
        <w:autoSpaceDN w:val="0"/>
        <w:adjustRightInd w:val="0"/>
        <w:spacing w:before="240"/>
        <w:ind w:left="540"/>
        <w:jc w:val="both"/>
        <w:rPr>
          <w:rFonts w:eastAsia="Calibri"/>
        </w:rPr>
      </w:pPr>
      <w:r w:rsidRPr="00C56257">
        <w:rPr>
          <w:rFonts w:eastAsia="Calibri"/>
        </w:rPr>
        <w:t>Tabelul 12. Matricea de evaluare a structurii şi funcţiilor habitatului la nivelul regiunii biogeografice</w:t>
      </w:r>
    </w:p>
    <w:tbl>
      <w:tblPr>
        <w:tblW w:w="961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2016"/>
        <w:gridCol w:w="2016"/>
        <w:gridCol w:w="2016"/>
        <w:gridCol w:w="1584"/>
      </w:tblGrid>
      <w:tr w:rsidR="0007555D" w:rsidRPr="00C56257" w14:paraId="16F64207" w14:textId="77777777" w:rsidTr="0007555D">
        <w:tc>
          <w:tcPr>
            <w:tcW w:w="1980" w:type="dxa"/>
            <w:shd w:val="clear" w:color="auto" w:fill="C0C0C0"/>
            <w:vAlign w:val="center"/>
          </w:tcPr>
          <w:p w14:paraId="76C9762F" w14:textId="77777777" w:rsidR="0007555D" w:rsidRPr="00C56257" w:rsidRDefault="0007555D" w:rsidP="008E33FD">
            <w:pPr>
              <w:spacing w:before="240"/>
              <w:ind w:right="-135"/>
              <w:jc w:val="both"/>
              <w:rPr>
                <w:rFonts w:eastAsia="Batang"/>
                <w:lang w:eastAsia="ko-KR"/>
              </w:rPr>
            </w:pPr>
            <w:r w:rsidRPr="00C56257">
              <w:rPr>
                <w:rFonts w:eastAsia="Batang"/>
                <w:lang w:eastAsia="ko-KR"/>
              </w:rPr>
              <w:t>Structură şi funcţii</w:t>
            </w:r>
          </w:p>
        </w:tc>
        <w:tc>
          <w:tcPr>
            <w:tcW w:w="2016" w:type="dxa"/>
            <w:shd w:val="clear" w:color="auto" w:fill="00FF00"/>
            <w:vAlign w:val="center"/>
          </w:tcPr>
          <w:p w14:paraId="29C7D379" w14:textId="77777777" w:rsidR="0007555D" w:rsidRPr="00C56257" w:rsidRDefault="0007555D" w:rsidP="008E33FD">
            <w:pPr>
              <w:spacing w:before="240"/>
              <w:ind w:right="-135"/>
              <w:jc w:val="both"/>
              <w:rPr>
                <w:rFonts w:eastAsia="Batang"/>
                <w:b/>
                <w:lang w:eastAsia="ko-KR"/>
              </w:rPr>
            </w:pPr>
            <w:r w:rsidRPr="00C56257">
              <w:rPr>
                <w:rFonts w:eastAsia="Batang"/>
                <w:lang w:eastAsia="ko-KR"/>
              </w:rPr>
              <w:t>Favorabilă (FV)</w:t>
            </w:r>
          </w:p>
        </w:tc>
        <w:tc>
          <w:tcPr>
            <w:tcW w:w="2016" w:type="dxa"/>
            <w:shd w:val="clear" w:color="auto" w:fill="FFCC00"/>
            <w:vAlign w:val="center"/>
          </w:tcPr>
          <w:p w14:paraId="7208A019" w14:textId="77777777" w:rsidR="0007555D" w:rsidRPr="00C56257" w:rsidRDefault="0007555D" w:rsidP="008E33FD">
            <w:pPr>
              <w:spacing w:before="240"/>
              <w:ind w:right="-135"/>
              <w:jc w:val="both"/>
              <w:rPr>
                <w:rFonts w:eastAsia="Batang"/>
                <w:lang w:eastAsia="ko-KR"/>
              </w:rPr>
            </w:pPr>
            <w:r w:rsidRPr="00C56257">
              <w:rPr>
                <w:rFonts w:eastAsia="Batang"/>
                <w:lang w:eastAsia="ko-KR"/>
              </w:rPr>
              <w:t>nefavorabilă-neadecvată (U1)</w:t>
            </w:r>
          </w:p>
        </w:tc>
        <w:tc>
          <w:tcPr>
            <w:tcW w:w="2016" w:type="dxa"/>
            <w:shd w:val="clear" w:color="auto" w:fill="FF0000"/>
            <w:vAlign w:val="center"/>
          </w:tcPr>
          <w:p w14:paraId="4FF2C270" w14:textId="77777777" w:rsidR="0007555D" w:rsidRPr="00C56257" w:rsidRDefault="0007555D" w:rsidP="008E33FD">
            <w:pPr>
              <w:spacing w:before="240"/>
              <w:ind w:right="-135"/>
              <w:jc w:val="both"/>
              <w:rPr>
                <w:rFonts w:eastAsia="Batang"/>
                <w:lang w:eastAsia="ko-KR"/>
              </w:rPr>
            </w:pPr>
            <w:r w:rsidRPr="00C56257">
              <w:rPr>
                <w:rFonts w:eastAsia="Batang"/>
                <w:lang w:eastAsia="ko-KR"/>
              </w:rPr>
              <w:t>nefavorabilă-rea  (U2)</w:t>
            </w:r>
          </w:p>
        </w:tc>
        <w:tc>
          <w:tcPr>
            <w:tcW w:w="1584" w:type="dxa"/>
            <w:vAlign w:val="center"/>
          </w:tcPr>
          <w:p w14:paraId="2F1A1722" w14:textId="77777777" w:rsidR="0007555D" w:rsidRPr="00C56257" w:rsidRDefault="0007555D" w:rsidP="008E33FD">
            <w:pPr>
              <w:spacing w:before="240"/>
              <w:ind w:right="-135"/>
              <w:jc w:val="both"/>
            </w:pPr>
            <w:r w:rsidRPr="00C56257">
              <w:t>necunoscută (X)</w:t>
            </w:r>
          </w:p>
        </w:tc>
      </w:tr>
      <w:tr w:rsidR="0007555D" w:rsidRPr="00C56257" w14:paraId="7B632133" w14:textId="77777777" w:rsidTr="0007555D">
        <w:tc>
          <w:tcPr>
            <w:tcW w:w="1980" w:type="dxa"/>
            <w:shd w:val="clear" w:color="auto" w:fill="C0C0C0"/>
            <w:vAlign w:val="center"/>
          </w:tcPr>
          <w:p w14:paraId="004FD5BF" w14:textId="77777777" w:rsidR="0007555D" w:rsidRPr="00C56257" w:rsidRDefault="0007555D" w:rsidP="008E33FD">
            <w:pPr>
              <w:spacing w:before="240"/>
              <w:ind w:right="-135"/>
              <w:jc w:val="both"/>
              <w:rPr>
                <w:rFonts w:eastAsia="Batang"/>
                <w:lang w:eastAsia="ko-KR"/>
              </w:rPr>
            </w:pPr>
            <w:r w:rsidRPr="00C56257">
              <w:rPr>
                <w:rFonts w:eastAsia="Batang"/>
                <w:lang w:eastAsia="ko-KR"/>
              </w:rPr>
              <w:t>(%)</w:t>
            </w:r>
          </w:p>
        </w:tc>
        <w:tc>
          <w:tcPr>
            <w:tcW w:w="2016" w:type="dxa"/>
            <w:shd w:val="clear" w:color="auto" w:fill="00FF00"/>
            <w:vAlign w:val="center"/>
          </w:tcPr>
          <w:p w14:paraId="11C7B3A4" w14:textId="77777777" w:rsidR="0007555D" w:rsidRPr="00C56257" w:rsidRDefault="0007555D" w:rsidP="008E33FD">
            <w:pPr>
              <w:spacing w:before="240"/>
              <w:ind w:right="-135"/>
              <w:jc w:val="both"/>
              <w:rPr>
                <w:rFonts w:eastAsia="Batang"/>
                <w:lang w:eastAsia="ko-KR"/>
              </w:rPr>
            </w:pPr>
            <w:r w:rsidRPr="00C56257">
              <w:rPr>
                <w:rFonts w:eastAsia="Batang"/>
                <w:lang w:eastAsia="ko-KR"/>
              </w:rPr>
              <w:t>A ≥ 50%;</w:t>
            </w:r>
          </w:p>
          <w:p w14:paraId="35435759" w14:textId="77777777" w:rsidR="0007555D" w:rsidRPr="00C56257" w:rsidRDefault="0007555D" w:rsidP="008E33FD">
            <w:pPr>
              <w:spacing w:before="240"/>
              <w:ind w:right="-135"/>
              <w:jc w:val="both"/>
              <w:rPr>
                <w:rFonts w:eastAsia="Batang"/>
                <w:lang w:eastAsia="ko-KR"/>
              </w:rPr>
            </w:pPr>
            <w:r w:rsidRPr="00C56257">
              <w:rPr>
                <w:rFonts w:eastAsia="Batang"/>
                <w:lang w:eastAsia="ko-KR"/>
              </w:rPr>
              <w:t>C &lt; 20 %</w:t>
            </w:r>
          </w:p>
        </w:tc>
        <w:tc>
          <w:tcPr>
            <w:tcW w:w="2016" w:type="dxa"/>
            <w:shd w:val="clear" w:color="auto" w:fill="FFCC00"/>
            <w:vAlign w:val="center"/>
          </w:tcPr>
          <w:p w14:paraId="737ABF16" w14:textId="77777777" w:rsidR="0007555D" w:rsidRPr="00C56257" w:rsidRDefault="0007555D" w:rsidP="008E33FD">
            <w:pPr>
              <w:spacing w:before="240"/>
              <w:ind w:right="-135"/>
              <w:jc w:val="both"/>
              <w:rPr>
                <w:rFonts w:eastAsia="Batang"/>
                <w:lang w:eastAsia="ko-KR"/>
              </w:rPr>
            </w:pPr>
            <w:r w:rsidRPr="00C56257">
              <w:rPr>
                <w:rFonts w:eastAsia="Batang"/>
                <w:lang w:eastAsia="ko-KR"/>
              </w:rPr>
              <w:t>toate celelalte combinaţii</w:t>
            </w:r>
          </w:p>
        </w:tc>
        <w:tc>
          <w:tcPr>
            <w:tcW w:w="2016" w:type="dxa"/>
            <w:shd w:val="clear" w:color="auto" w:fill="FF0000"/>
            <w:vAlign w:val="center"/>
          </w:tcPr>
          <w:p w14:paraId="4701A587" w14:textId="77777777" w:rsidR="0007555D" w:rsidRPr="00C56257" w:rsidRDefault="0007555D" w:rsidP="008E33FD">
            <w:pPr>
              <w:spacing w:before="240"/>
              <w:ind w:right="-135"/>
              <w:jc w:val="both"/>
              <w:rPr>
                <w:rFonts w:eastAsia="Batang"/>
                <w:lang w:eastAsia="ko-KR"/>
              </w:rPr>
            </w:pPr>
            <w:r w:rsidRPr="00C56257">
              <w:rPr>
                <w:rFonts w:eastAsia="Batang"/>
                <w:lang w:eastAsia="ko-KR"/>
              </w:rPr>
              <w:t>A&lt; 20%;</w:t>
            </w:r>
          </w:p>
          <w:p w14:paraId="253813AC" w14:textId="77777777" w:rsidR="0007555D" w:rsidRPr="00C56257" w:rsidRDefault="0007555D" w:rsidP="008E33FD">
            <w:pPr>
              <w:spacing w:before="240"/>
              <w:ind w:right="-135"/>
              <w:jc w:val="both"/>
              <w:rPr>
                <w:rFonts w:eastAsia="Batang"/>
                <w:lang w:eastAsia="ko-KR"/>
              </w:rPr>
            </w:pPr>
            <w:r w:rsidRPr="00C56257">
              <w:rPr>
                <w:rFonts w:eastAsia="Batang"/>
                <w:lang w:eastAsia="ko-KR"/>
              </w:rPr>
              <w:t>C ≥  50 %</w:t>
            </w:r>
          </w:p>
        </w:tc>
        <w:tc>
          <w:tcPr>
            <w:tcW w:w="1584" w:type="dxa"/>
            <w:vAlign w:val="center"/>
          </w:tcPr>
          <w:p w14:paraId="735768FA" w14:textId="77777777" w:rsidR="0007555D" w:rsidRPr="00C56257" w:rsidRDefault="0007555D" w:rsidP="008E33FD">
            <w:pPr>
              <w:spacing w:before="240"/>
              <w:ind w:right="-135"/>
              <w:jc w:val="both"/>
            </w:pPr>
            <w:r w:rsidRPr="00C56257">
              <w:t>X≥75%</w:t>
            </w:r>
          </w:p>
        </w:tc>
      </w:tr>
    </w:tbl>
    <w:p w14:paraId="24FD8E66" w14:textId="77777777" w:rsidR="0007555D" w:rsidRPr="00C56257" w:rsidRDefault="0007555D" w:rsidP="008E33FD">
      <w:pPr>
        <w:widowControl w:val="0"/>
        <w:autoSpaceDE w:val="0"/>
        <w:autoSpaceDN w:val="0"/>
        <w:adjustRightInd w:val="0"/>
        <w:spacing w:before="240"/>
        <w:jc w:val="both"/>
        <w:rPr>
          <w:rFonts w:eastAsia="Calibri"/>
          <w:bCs/>
        </w:rPr>
      </w:pPr>
      <w:r w:rsidRPr="00C56257">
        <w:rPr>
          <w:rFonts w:eastAsia="Calibri"/>
          <w:bCs/>
        </w:rPr>
        <w:t>Acest exemplu de agregare a datelor colectate la nivel de plot și la nivelul unei regiuni biogeografice are caracter informativ. În baza analizelor și a experienței acumulate în activitatea practică de colectare a datelor pot fi identificate și alte scheme de agregare.</w:t>
      </w:r>
    </w:p>
    <w:p w14:paraId="2E4CB60C" w14:textId="77777777" w:rsidR="0007555D" w:rsidRPr="00C56257" w:rsidRDefault="0007555D" w:rsidP="008E33FD">
      <w:pPr>
        <w:widowControl w:val="0"/>
        <w:tabs>
          <w:tab w:val="center" w:pos="4680"/>
        </w:tabs>
        <w:autoSpaceDE w:val="0"/>
        <w:autoSpaceDN w:val="0"/>
        <w:adjustRightInd w:val="0"/>
        <w:spacing w:before="240"/>
        <w:jc w:val="both"/>
        <w:rPr>
          <w:rFonts w:eastAsia="Calibri"/>
          <w:b/>
        </w:rPr>
      </w:pPr>
      <w:r w:rsidRPr="00C56257">
        <w:rPr>
          <w:rFonts w:eastAsia="Calibri"/>
          <w:b/>
        </w:rPr>
        <w:t>Perspectiva de evoluţie</w:t>
      </w:r>
      <w:r w:rsidRPr="00C56257">
        <w:rPr>
          <w:rFonts w:eastAsia="Calibri"/>
          <w:bCs/>
        </w:rPr>
        <w:t xml:space="preserve"> se stabilește în funcție de:</w:t>
      </w:r>
      <w:r w:rsidRPr="00C56257">
        <w:rPr>
          <w:rFonts w:eastAsia="Calibri"/>
          <w:b/>
        </w:rPr>
        <w:tab/>
      </w:r>
    </w:p>
    <w:p w14:paraId="4FF0BFC7" w14:textId="77777777" w:rsidR="0007555D" w:rsidRPr="00C56257" w:rsidRDefault="0007555D" w:rsidP="008E33FD">
      <w:pPr>
        <w:widowControl w:val="0"/>
        <w:numPr>
          <w:ilvl w:val="0"/>
          <w:numId w:val="9"/>
        </w:numPr>
        <w:autoSpaceDE w:val="0"/>
        <w:autoSpaceDN w:val="0"/>
        <w:adjustRightInd w:val="0"/>
        <w:spacing w:before="240"/>
        <w:jc w:val="both"/>
        <w:rPr>
          <w:rFonts w:eastAsia="Calibri"/>
          <w:b/>
        </w:rPr>
      </w:pPr>
      <w:r w:rsidRPr="00C56257">
        <w:rPr>
          <w:rFonts w:eastAsia="Calibri"/>
          <w:b/>
        </w:rPr>
        <w:t xml:space="preserve">Tendinţa viitoare </w:t>
      </w:r>
      <w:r w:rsidRPr="00C56257">
        <w:rPr>
          <w:rFonts w:eastAsia="Calibri"/>
        </w:rPr>
        <w:t>a stării de conservare a habitatului este rezultatul a două categorii de acţiuni antagonice: i) pe de o parte, presiunile actuale şi ameninţările potenţiale care pot acţiona asupra acestuia în următoarele 2 cicluri de raportare şi care au efect negativ asupra stării de conservare a acestuia; ii) pe de altă parte, măsurile de conservare a habitatului şi eficienţa acestora, care au efect pozitiv asupra stării de conservare a acestuia.</w:t>
      </w:r>
    </w:p>
    <w:p w14:paraId="61FA11D4" w14:textId="77777777" w:rsidR="0007555D" w:rsidRPr="00C56257" w:rsidRDefault="0007555D" w:rsidP="008E33FD">
      <w:pPr>
        <w:widowControl w:val="0"/>
        <w:numPr>
          <w:ilvl w:val="0"/>
          <w:numId w:val="9"/>
        </w:numPr>
        <w:autoSpaceDE w:val="0"/>
        <w:autoSpaceDN w:val="0"/>
        <w:adjustRightInd w:val="0"/>
        <w:spacing w:before="240"/>
        <w:jc w:val="both"/>
        <w:rPr>
          <w:rFonts w:eastAsia="Calibri"/>
          <w:b/>
        </w:rPr>
      </w:pPr>
      <w:r w:rsidRPr="00C56257">
        <w:rPr>
          <w:rFonts w:eastAsia="Calibri"/>
          <w:b/>
        </w:rPr>
        <w:t xml:space="preserve">Starea viitoare </w:t>
      </w:r>
      <w:r w:rsidRPr="00C56257">
        <w:rPr>
          <w:rFonts w:eastAsia="Calibri"/>
        </w:rPr>
        <w:t>de conservare a habitatului este evaluată în raport cu valorile prag/de referinţă favorabile (FRV) pentru fiecare dintre parametrii evaluaţi (areal, suprafaţă, structură şi funcţii).</w:t>
      </w:r>
      <w:r w:rsidRPr="00C56257">
        <w:rPr>
          <w:rFonts w:eastAsia="Calibri"/>
          <w:b/>
        </w:rPr>
        <w:t xml:space="preserve"> </w:t>
      </w:r>
    </w:p>
    <w:p w14:paraId="518AD85E"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lastRenderedPageBreak/>
        <w:t xml:space="preserve">Matricea de evaluare a perspectivei de evoluţie pentru fiecare tip de habitat la nivel de regiune biogeografică în funcţie de perspectiva parametrilor „areal”, „suprafaţă”, „structură şi funcţii” este redată în Tabelul 13, iar matricea de evaluare a perspectivei generale a habitatului la nivel de regiune biogeografică este prezentată în Tabelul 14. </w:t>
      </w:r>
    </w:p>
    <w:p w14:paraId="569B6CA2" w14:textId="77777777" w:rsidR="0007555D" w:rsidRPr="00C56257" w:rsidRDefault="0007555D" w:rsidP="008E33FD">
      <w:pPr>
        <w:widowControl w:val="0"/>
        <w:autoSpaceDE w:val="0"/>
        <w:autoSpaceDN w:val="0"/>
        <w:adjustRightInd w:val="0"/>
        <w:jc w:val="both"/>
        <w:rPr>
          <w:rFonts w:eastAsia="Calibri"/>
        </w:rPr>
      </w:pPr>
      <w:r w:rsidRPr="00C56257">
        <w:rPr>
          <w:rFonts w:eastAsia="Calibri"/>
        </w:rPr>
        <w:t xml:space="preserve">În Tabelul 13, </w:t>
      </w:r>
      <w:r w:rsidRPr="00C56257">
        <w:rPr>
          <w:rFonts w:eastAsia="Calibri"/>
          <w:b/>
        </w:rPr>
        <w:t>tendinţa viitoare</w:t>
      </w:r>
      <w:r w:rsidRPr="00C56257">
        <w:rPr>
          <w:rFonts w:eastAsia="Calibri"/>
        </w:rPr>
        <w:t xml:space="preserve"> pentru fiecare parametru este determinată astfel:</w:t>
      </w:r>
    </w:p>
    <w:p w14:paraId="23A35E91" w14:textId="77777777" w:rsidR="0007555D" w:rsidRPr="00C56257" w:rsidRDefault="0007555D" w:rsidP="008E33FD">
      <w:pPr>
        <w:widowControl w:val="0"/>
        <w:numPr>
          <w:ilvl w:val="1"/>
          <w:numId w:val="5"/>
        </w:numPr>
        <w:autoSpaceDE w:val="0"/>
        <w:autoSpaceDN w:val="0"/>
        <w:adjustRightInd w:val="0"/>
        <w:jc w:val="both"/>
        <w:rPr>
          <w:rFonts w:eastAsia="Calibri"/>
        </w:rPr>
      </w:pPr>
      <w:r w:rsidRPr="00C56257">
        <w:rPr>
          <w:rFonts w:eastAsia="Calibri"/>
        </w:rPr>
        <w:t>tendinţa pe termen scurt a arealului habitatului: conform celor prezentate în formatul de raportare;</w:t>
      </w:r>
    </w:p>
    <w:p w14:paraId="4D6FA0BD" w14:textId="77777777" w:rsidR="0007555D" w:rsidRPr="00C56257" w:rsidRDefault="0007555D" w:rsidP="008E33FD">
      <w:pPr>
        <w:widowControl w:val="0"/>
        <w:numPr>
          <w:ilvl w:val="1"/>
          <w:numId w:val="5"/>
        </w:numPr>
        <w:autoSpaceDE w:val="0"/>
        <w:autoSpaceDN w:val="0"/>
        <w:adjustRightInd w:val="0"/>
        <w:jc w:val="both"/>
        <w:rPr>
          <w:rFonts w:eastAsia="Calibri"/>
        </w:rPr>
      </w:pPr>
      <w:r w:rsidRPr="00C56257">
        <w:rPr>
          <w:rFonts w:eastAsia="Calibri"/>
        </w:rPr>
        <w:t>tendinţa pe termen scurt a suprafeţei habitatului: conform celor prezentate în formatul de raportare;</w:t>
      </w:r>
    </w:p>
    <w:p w14:paraId="4E76581D" w14:textId="77777777" w:rsidR="0007555D" w:rsidRPr="00C56257" w:rsidRDefault="0007555D" w:rsidP="008E33FD">
      <w:pPr>
        <w:widowControl w:val="0"/>
        <w:numPr>
          <w:ilvl w:val="1"/>
          <w:numId w:val="5"/>
        </w:numPr>
        <w:autoSpaceDE w:val="0"/>
        <w:autoSpaceDN w:val="0"/>
        <w:adjustRightInd w:val="0"/>
        <w:jc w:val="both"/>
        <w:rPr>
          <w:rFonts w:eastAsia="Calibri"/>
        </w:rPr>
      </w:pPr>
      <w:r w:rsidRPr="00C56257">
        <w:rPr>
          <w:rFonts w:eastAsia="Calibri"/>
        </w:rPr>
        <w:t xml:space="preserve">tendinţa pe termen scurt a structurii şi funcţiilor habitatului: rezultă din comparaţia termenilor relaţiei (1) pentru raportarea precedentă şi cea prezentă, care se extrapolează şi pe durata următoarelor 2 cicluri de raportare. </w:t>
      </w:r>
    </w:p>
    <w:p w14:paraId="2D1F2821" w14:textId="77777777" w:rsidR="0007555D" w:rsidRPr="00C56257" w:rsidRDefault="0007555D" w:rsidP="008E33FD">
      <w:pPr>
        <w:widowControl w:val="0"/>
        <w:autoSpaceDE w:val="0"/>
        <w:autoSpaceDN w:val="0"/>
        <w:adjustRightInd w:val="0"/>
        <w:jc w:val="both"/>
        <w:rPr>
          <w:rFonts w:eastAsia="Calibri"/>
        </w:rPr>
      </w:pPr>
      <w:r w:rsidRPr="00C56257">
        <w:rPr>
          <w:rFonts w:eastAsia="Calibri"/>
        </w:rPr>
        <w:t>În acelaşi tabel, starea viitoare a fiecărui parametru se determină prin comparaţia stării  proiectate/previzionate peste 2 cicluri de raportare cu starea favorabilă de referinţă. Starea fiecărui parametru peste 12 ani poate să fie “mai bună” (&gt;), “similară” (=), “mai redusă” (&lt;), “mult mai redusă” (&lt;&lt;), sau “necunoscută” (x) raportată la starea favorabilă/starea actuală a acestuia. Mai multe informaţii se găsesc în lucrarea „</w:t>
      </w:r>
      <w:r w:rsidRPr="00C56257">
        <w:rPr>
          <w:rFonts w:eastAsia="Calibri"/>
          <w:b/>
          <w:bCs/>
        </w:rPr>
        <w:t xml:space="preserve">Evaluarea şi raportarea in baza Articolului 17 al </w:t>
      </w:r>
      <w:r w:rsidRPr="00C56257">
        <w:rPr>
          <w:rFonts w:eastAsia="Calibri"/>
        </w:rPr>
        <w:t>Directivei Habitate</w:t>
      </w:r>
      <w:r w:rsidRPr="00C56257">
        <w:rPr>
          <w:rFonts w:eastAsia="Calibri"/>
          <w:b/>
          <w:bCs/>
        </w:rPr>
        <w:t>: Note explicative şi Ghidul, draft final, mai 2017</w:t>
      </w:r>
      <w:r w:rsidRPr="00C56257">
        <w:rPr>
          <w:rFonts w:eastAsia="Calibri"/>
        </w:rPr>
        <w:t>”, elaborată de către Centrul Tematic European pentru Diversitate Biologică, Anexa D</w:t>
      </w:r>
      <w:r w:rsidRPr="00C56257">
        <w:rPr>
          <w:rFonts w:eastAsia="Calibri"/>
          <w:i/>
        </w:rPr>
        <w:t xml:space="preserve"> ”Future prospects”</w:t>
      </w:r>
      <w:r w:rsidRPr="00C56257">
        <w:rPr>
          <w:rFonts w:eastAsia="Calibri"/>
        </w:rPr>
        <w:t>.</w:t>
      </w:r>
    </w:p>
    <w:p w14:paraId="1F533A6E" w14:textId="77777777" w:rsidR="0007555D" w:rsidRPr="00C56257" w:rsidRDefault="0007555D" w:rsidP="00F100E1">
      <w:pPr>
        <w:widowControl w:val="0"/>
        <w:autoSpaceDE w:val="0"/>
        <w:autoSpaceDN w:val="0"/>
        <w:adjustRightInd w:val="0"/>
        <w:spacing w:before="240"/>
        <w:ind w:left="720"/>
        <w:jc w:val="both"/>
        <w:rPr>
          <w:rFonts w:eastAsia="Calibri"/>
        </w:rPr>
      </w:pPr>
      <w:r w:rsidRPr="00C56257">
        <w:rPr>
          <w:rFonts w:eastAsia="Calibri"/>
        </w:rPr>
        <w:t xml:space="preserve">Tabelul 13. Matricea de evaluare a perspectivei de evoluţie pentru parametrii </w:t>
      </w:r>
      <w:r w:rsidRPr="00C56257">
        <w:rPr>
          <w:rFonts w:eastAsia="Calibri"/>
          <w:i/>
        </w:rPr>
        <w:t>„areal”</w:t>
      </w:r>
      <w:r w:rsidRPr="00C56257">
        <w:rPr>
          <w:rFonts w:eastAsia="Calibri"/>
        </w:rPr>
        <w:t xml:space="preserve">, </w:t>
      </w:r>
      <w:r w:rsidRPr="00C56257">
        <w:rPr>
          <w:rFonts w:eastAsia="Calibri"/>
          <w:i/>
        </w:rPr>
        <w:t>„suprafaţă”</w:t>
      </w:r>
      <w:r w:rsidRPr="00C56257">
        <w:rPr>
          <w:rFonts w:eastAsia="Calibri"/>
        </w:rPr>
        <w:t xml:space="preserve">, </w:t>
      </w:r>
      <w:r w:rsidRPr="00C56257">
        <w:rPr>
          <w:rFonts w:eastAsia="Calibri"/>
          <w:i/>
        </w:rPr>
        <w:t>„structură şi funcţii”</w:t>
      </w:r>
      <w:r w:rsidRPr="00C56257">
        <w:rPr>
          <w:rFonts w:eastAsia="Calibri"/>
        </w:rPr>
        <w:t xml:space="preserve"> pentru fiecare tip de habitat la nivel de regiune biogeografică</w:t>
      </w:r>
    </w:p>
    <w:tbl>
      <w:tblPr>
        <w:tblW w:w="9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2"/>
        <w:gridCol w:w="2142"/>
        <w:gridCol w:w="2148"/>
        <w:gridCol w:w="2822"/>
      </w:tblGrid>
      <w:tr w:rsidR="0007555D" w:rsidRPr="00C56257" w14:paraId="7DBDA6FC" w14:textId="77777777" w:rsidTr="0007555D">
        <w:trPr>
          <w:jc w:val="center"/>
        </w:trPr>
        <w:tc>
          <w:tcPr>
            <w:tcW w:w="2412" w:type="dxa"/>
            <w:shd w:val="clear" w:color="auto" w:fill="B3B3B3"/>
          </w:tcPr>
          <w:p w14:paraId="56F54987" w14:textId="77777777" w:rsidR="0007555D" w:rsidRPr="00C56257" w:rsidRDefault="0007555D" w:rsidP="008E33FD">
            <w:pPr>
              <w:widowControl w:val="0"/>
              <w:autoSpaceDE w:val="0"/>
              <w:autoSpaceDN w:val="0"/>
              <w:adjustRightInd w:val="0"/>
              <w:spacing w:before="240"/>
              <w:jc w:val="both"/>
              <w:rPr>
                <w:rFonts w:eastAsia="Calibri"/>
                <w:b/>
              </w:rPr>
            </w:pPr>
            <w:r w:rsidRPr="00C56257">
              <w:rPr>
                <w:rFonts w:eastAsia="Calibri"/>
                <w:b/>
              </w:rPr>
              <w:t>Parametrul</w:t>
            </w:r>
          </w:p>
        </w:tc>
        <w:tc>
          <w:tcPr>
            <w:tcW w:w="2142" w:type="dxa"/>
            <w:shd w:val="clear" w:color="auto" w:fill="B3B3B3"/>
          </w:tcPr>
          <w:p w14:paraId="1B12A965" w14:textId="77777777" w:rsidR="0007555D" w:rsidRPr="00C56257" w:rsidRDefault="0007555D" w:rsidP="008E33FD">
            <w:pPr>
              <w:widowControl w:val="0"/>
              <w:autoSpaceDE w:val="0"/>
              <w:autoSpaceDN w:val="0"/>
              <w:adjustRightInd w:val="0"/>
              <w:spacing w:before="240"/>
              <w:jc w:val="both"/>
              <w:rPr>
                <w:rFonts w:eastAsia="Calibri"/>
                <w:b/>
              </w:rPr>
            </w:pPr>
            <w:r w:rsidRPr="00C56257">
              <w:rPr>
                <w:rFonts w:eastAsia="Calibri"/>
                <w:b/>
              </w:rPr>
              <w:t>Tendinţa viitoare</w:t>
            </w:r>
          </w:p>
        </w:tc>
        <w:tc>
          <w:tcPr>
            <w:tcW w:w="2148" w:type="dxa"/>
            <w:shd w:val="clear" w:color="auto" w:fill="B3B3B3"/>
          </w:tcPr>
          <w:p w14:paraId="35F94A01" w14:textId="77777777" w:rsidR="0007555D" w:rsidRPr="00C56257" w:rsidRDefault="0007555D" w:rsidP="008E33FD">
            <w:pPr>
              <w:widowControl w:val="0"/>
              <w:autoSpaceDE w:val="0"/>
              <w:autoSpaceDN w:val="0"/>
              <w:adjustRightInd w:val="0"/>
              <w:spacing w:before="240"/>
              <w:jc w:val="both"/>
              <w:rPr>
                <w:rFonts w:eastAsia="Calibri"/>
                <w:b/>
              </w:rPr>
            </w:pPr>
            <w:r w:rsidRPr="00C56257">
              <w:rPr>
                <w:rFonts w:eastAsia="Calibri"/>
                <w:b/>
              </w:rPr>
              <w:t>Starea viitoare</w:t>
            </w:r>
          </w:p>
        </w:tc>
        <w:tc>
          <w:tcPr>
            <w:tcW w:w="2822" w:type="dxa"/>
            <w:shd w:val="clear" w:color="auto" w:fill="B3B3B3"/>
          </w:tcPr>
          <w:p w14:paraId="3798D8B0" w14:textId="77777777" w:rsidR="0007555D" w:rsidRPr="00C56257" w:rsidRDefault="0007555D" w:rsidP="008E33FD">
            <w:pPr>
              <w:widowControl w:val="0"/>
              <w:autoSpaceDE w:val="0"/>
              <w:autoSpaceDN w:val="0"/>
              <w:adjustRightInd w:val="0"/>
              <w:spacing w:before="240"/>
              <w:jc w:val="both"/>
              <w:rPr>
                <w:rFonts w:eastAsia="Calibri"/>
                <w:b/>
              </w:rPr>
            </w:pPr>
            <w:r w:rsidRPr="00C56257">
              <w:rPr>
                <w:rFonts w:eastAsia="Calibri"/>
                <w:b/>
              </w:rPr>
              <w:t>Perspectiva</w:t>
            </w:r>
          </w:p>
        </w:tc>
      </w:tr>
      <w:tr w:rsidR="0007555D" w:rsidRPr="00C56257" w14:paraId="2C231628" w14:textId="77777777" w:rsidTr="0007555D">
        <w:trPr>
          <w:jc w:val="center"/>
        </w:trPr>
        <w:tc>
          <w:tcPr>
            <w:tcW w:w="2412" w:type="dxa"/>
            <w:shd w:val="clear" w:color="auto" w:fill="B3B3B3"/>
          </w:tcPr>
          <w:p w14:paraId="6FBC0396"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Areal</w:t>
            </w:r>
          </w:p>
        </w:tc>
        <w:tc>
          <w:tcPr>
            <w:tcW w:w="2142" w:type="dxa"/>
            <w:shd w:val="clear" w:color="auto" w:fill="auto"/>
          </w:tcPr>
          <w:p w14:paraId="1AE27D04"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+/=/-/x</w:t>
            </w:r>
          </w:p>
        </w:tc>
        <w:tc>
          <w:tcPr>
            <w:tcW w:w="2148" w:type="dxa"/>
            <w:shd w:val="clear" w:color="auto" w:fill="auto"/>
          </w:tcPr>
          <w:p w14:paraId="7DE2CF1A"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&gt;/=/&lt;/&lt;&lt;/x</w:t>
            </w:r>
          </w:p>
        </w:tc>
        <w:tc>
          <w:tcPr>
            <w:tcW w:w="2822" w:type="dxa"/>
            <w:shd w:val="clear" w:color="auto" w:fill="auto"/>
          </w:tcPr>
          <w:p w14:paraId="013011AF"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Favorabilă (FV)/ nefavorabilă-neadecvată (U1)/  nefavorabilă-rea  (U2)/ necunoscută (X)</w:t>
            </w:r>
          </w:p>
        </w:tc>
      </w:tr>
      <w:tr w:rsidR="0007555D" w:rsidRPr="00C56257" w14:paraId="3F7253FA" w14:textId="77777777" w:rsidTr="0007555D">
        <w:trPr>
          <w:jc w:val="center"/>
        </w:trPr>
        <w:tc>
          <w:tcPr>
            <w:tcW w:w="2412" w:type="dxa"/>
            <w:shd w:val="clear" w:color="auto" w:fill="B3B3B3"/>
          </w:tcPr>
          <w:p w14:paraId="5915BD1F"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Suprafaţă</w:t>
            </w:r>
          </w:p>
        </w:tc>
        <w:tc>
          <w:tcPr>
            <w:tcW w:w="2142" w:type="dxa"/>
            <w:shd w:val="clear" w:color="auto" w:fill="auto"/>
          </w:tcPr>
          <w:p w14:paraId="32052345"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+/=/-/x</w:t>
            </w:r>
          </w:p>
        </w:tc>
        <w:tc>
          <w:tcPr>
            <w:tcW w:w="2148" w:type="dxa"/>
            <w:shd w:val="clear" w:color="auto" w:fill="auto"/>
          </w:tcPr>
          <w:p w14:paraId="0A26D780"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&gt;/=/&lt;/&lt;&lt;/x</w:t>
            </w:r>
          </w:p>
        </w:tc>
        <w:tc>
          <w:tcPr>
            <w:tcW w:w="2822" w:type="dxa"/>
            <w:shd w:val="clear" w:color="auto" w:fill="auto"/>
          </w:tcPr>
          <w:p w14:paraId="0F25FD47"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Favorabilă (FV)/ nefavorabilă-neadecvată U1)/  nefavorabilă-rea  U2)/ necunoscută (X)</w:t>
            </w:r>
          </w:p>
        </w:tc>
      </w:tr>
      <w:tr w:rsidR="0007555D" w:rsidRPr="00C56257" w14:paraId="1648DD6E" w14:textId="77777777" w:rsidTr="0007555D">
        <w:trPr>
          <w:jc w:val="center"/>
        </w:trPr>
        <w:tc>
          <w:tcPr>
            <w:tcW w:w="2412" w:type="dxa"/>
            <w:tcBorders>
              <w:bottom w:val="single" w:sz="12" w:space="0" w:color="auto"/>
            </w:tcBorders>
            <w:shd w:val="clear" w:color="auto" w:fill="B3B3B3"/>
          </w:tcPr>
          <w:p w14:paraId="200C66BA"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Structură şi funcţii</w:t>
            </w:r>
          </w:p>
        </w:tc>
        <w:tc>
          <w:tcPr>
            <w:tcW w:w="2142" w:type="dxa"/>
            <w:tcBorders>
              <w:bottom w:val="single" w:sz="12" w:space="0" w:color="auto"/>
            </w:tcBorders>
            <w:shd w:val="clear" w:color="auto" w:fill="auto"/>
          </w:tcPr>
          <w:p w14:paraId="16CDBD4C"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+/=/-/x</w:t>
            </w:r>
          </w:p>
        </w:tc>
        <w:tc>
          <w:tcPr>
            <w:tcW w:w="2148" w:type="dxa"/>
            <w:tcBorders>
              <w:bottom w:val="single" w:sz="12" w:space="0" w:color="auto"/>
            </w:tcBorders>
            <w:shd w:val="clear" w:color="auto" w:fill="auto"/>
          </w:tcPr>
          <w:p w14:paraId="6DE3CA46"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&gt;/=/&lt;/&lt;&lt;/x</w:t>
            </w:r>
          </w:p>
        </w:tc>
        <w:tc>
          <w:tcPr>
            <w:tcW w:w="2822" w:type="dxa"/>
            <w:tcBorders>
              <w:bottom w:val="single" w:sz="12" w:space="0" w:color="auto"/>
            </w:tcBorders>
            <w:shd w:val="clear" w:color="auto" w:fill="auto"/>
          </w:tcPr>
          <w:p w14:paraId="56D3CC13" w14:textId="77777777" w:rsidR="0007555D" w:rsidRPr="00C56257" w:rsidRDefault="0007555D" w:rsidP="008E33FD">
            <w:pPr>
              <w:widowControl w:val="0"/>
              <w:autoSpaceDE w:val="0"/>
              <w:autoSpaceDN w:val="0"/>
              <w:adjustRightInd w:val="0"/>
              <w:spacing w:before="240"/>
              <w:jc w:val="both"/>
              <w:rPr>
                <w:rFonts w:eastAsia="Calibri"/>
              </w:rPr>
            </w:pPr>
            <w:r w:rsidRPr="00C56257">
              <w:rPr>
                <w:rFonts w:eastAsia="Calibri"/>
              </w:rPr>
              <w:t>Favorabilă (FV)/ nefavorabilă-neadecvată U1)/  nefavorabilă-rea  U2)/ necunoscută (X)</w:t>
            </w:r>
          </w:p>
        </w:tc>
      </w:tr>
      <w:tr w:rsidR="0007555D" w:rsidRPr="00C56257" w14:paraId="7C251D0D" w14:textId="77777777" w:rsidTr="0007555D">
        <w:trPr>
          <w:jc w:val="center"/>
        </w:trPr>
        <w:tc>
          <w:tcPr>
            <w:tcW w:w="6702" w:type="dxa"/>
            <w:gridSpan w:val="3"/>
            <w:tcBorders>
              <w:top w:val="single" w:sz="12" w:space="0" w:color="auto"/>
              <w:left w:val="single" w:sz="12" w:space="0" w:color="auto"/>
              <w:bottom w:val="single" w:sz="12" w:space="0" w:color="auto"/>
              <w:right w:val="single" w:sz="12" w:space="0" w:color="auto"/>
            </w:tcBorders>
            <w:shd w:val="clear" w:color="auto" w:fill="B3B3B3"/>
          </w:tcPr>
          <w:p w14:paraId="0463875A" w14:textId="77777777" w:rsidR="0007555D" w:rsidRPr="00C56257" w:rsidRDefault="0007555D" w:rsidP="008E33FD">
            <w:pPr>
              <w:widowControl w:val="0"/>
              <w:autoSpaceDE w:val="0"/>
              <w:autoSpaceDN w:val="0"/>
              <w:adjustRightInd w:val="0"/>
              <w:spacing w:before="240"/>
              <w:jc w:val="both"/>
              <w:rPr>
                <w:rFonts w:eastAsia="Calibri"/>
                <w:b/>
              </w:rPr>
            </w:pPr>
            <w:r w:rsidRPr="00C56257">
              <w:rPr>
                <w:rFonts w:eastAsia="Calibri"/>
                <w:b/>
              </w:rPr>
              <w:t>Perspectiva de evoluţie</w:t>
            </w:r>
          </w:p>
        </w:tc>
        <w:tc>
          <w:tcPr>
            <w:tcW w:w="2822" w:type="dxa"/>
            <w:tcBorders>
              <w:top w:val="single" w:sz="12" w:space="0" w:color="auto"/>
              <w:left w:val="single" w:sz="12" w:space="0" w:color="auto"/>
              <w:bottom w:val="single" w:sz="12" w:space="0" w:color="auto"/>
              <w:right w:val="single" w:sz="12" w:space="0" w:color="auto"/>
            </w:tcBorders>
            <w:shd w:val="clear" w:color="auto" w:fill="B3B3B3"/>
          </w:tcPr>
          <w:p w14:paraId="794C389F" w14:textId="77777777" w:rsidR="0007555D" w:rsidRPr="00C56257" w:rsidRDefault="0007555D" w:rsidP="008E33FD">
            <w:pPr>
              <w:widowControl w:val="0"/>
              <w:autoSpaceDE w:val="0"/>
              <w:autoSpaceDN w:val="0"/>
              <w:adjustRightInd w:val="0"/>
              <w:spacing w:before="240"/>
              <w:jc w:val="both"/>
              <w:rPr>
                <w:rFonts w:eastAsia="Calibri"/>
                <w:b/>
              </w:rPr>
            </w:pPr>
          </w:p>
        </w:tc>
      </w:tr>
    </w:tbl>
    <w:p w14:paraId="36D86E24" w14:textId="77777777" w:rsidR="0007555D" w:rsidRPr="00C56257" w:rsidRDefault="0007555D" w:rsidP="00F100E1">
      <w:pPr>
        <w:widowControl w:val="0"/>
        <w:autoSpaceDE w:val="0"/>
        <w:autoSpaceDN w:val="0"/>
        <w:adjustRightInd w:val="0"/>
        <w:spacing w:before="240"/>
        <w:ind w:left="540"/>
        <w:jc w:val="both"/>
        <w:rPr>
          <w:rFonts w:eastAsia="Calibri"/>
        </w:rPr>
      </w:pPr>
      <w:r w:rsidRPr="00C56257">
        <w:rPr>
          <w:rFonts w:eastAsia="Calibri"/>
        </w:rPr>
        <w:t>Tabelul 14. Matricea de evaluare a perspectivei de evoluţie a habitatului la nivelul regiunii biogeografice</w:t>
      </w:r>
    </w:p>
    <w:tbl>
      <w:tblPr>
        <w:tblW w:w="961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2016"/>
        <w:gridCol w:w="2016"/>
        <w:gridCol w:w="1975"/>
        <w:gridCol w:w="1625"/>
      </w:tblGrid>
      <w:tr w:rsidR="0007555D" w:rsidRPr="00C56257" w14:paraId="7B44D8F3" w14:textId="77777777" w:rsidTr="0007555D">
        <w:tc>
          <w:tcPr>
            <w:tcW w:w="1980" w:type="dxa"/>
            <w:shd w:val="clear" w:color="auto" w:fill="C0C0C0"/>
            <w:vAlign w:val="center"/>
          </w:tcPr>
          <w:p w14:paraId="28061CA4" w14:textId="77777777" w:rsidR="0007555D" w:rsidRPr="00C56257" w:rsidRDefault="0007555D" w:rsidP="008E33FD">
            <w:pPr>
              <w:spacing w:before="240"/>
              <w:ind w:right="29"/>
              <w:jc w:val="both"/>
              <w:rPr>
                <w:rFonts w:eastAsia="Batang"/>
                <w:b/>
                <w:lang w:eastAsia="ko-KR"/>
              </w:rPr>
            </w:pPr>
            <w:r w:rsidRPr="00C56257">
              <w:rPr>
                <w:rFonts w:eastAsia="Batang"/>
                <w:lang w:eastAsia="ko-KR"/>
              </w:rPr>
              <w:t>Perspectiva de evoluţie</w:t>
            </w:r>
          </w:p>
        </w:tc>
        <w:tc>
          <w:tcPr>
            <w:tcW w:w="2016" w:type="dxa"/>
            <w:shd w:val="clear" w:color="auto" w:fill="00FF00"/>
            <w:vAlign w:val="center"/>
          </w:tcPr>
          <w:p w14:paraId="0D8596F3" w14:textId="77777777" w:rsidR="0007555D" w:rsidRPr="00C56257" w:rsidRDefault="0007555D" w:rsidP="008E33FD">
            <w:pPr>
              <w:spacing w:before="240"/>
              <w:ind w:right="29"/>
              <w:jc w:val="both"/>
              <w:rPr>
                <w:rFonts w:eastAsia="Batang"/>
                <w:b/>
                <w:lang w:eastAsia="ko-KR"/>
              </w:rPr>
            </w:pPr>
            <w:r w:rsidRPr="00C56257">
              <w:rPr>
                <w:rFonts w:eastAsia="Batang"/>
                <w:lang w:eastAsia="ko-KR"/>
              </w:rPr>
              <w:t>Favorabilă (FV)</w:t>
            </w:r>
          </w:p>
        </w:tc>
        <w:tc>
          <w:tcPr>
            <w:tcW w:w="2016" w:type="dxa"/>
            <w:shd w:val="clear" w:color="auto" w:fill="FFCC00"/>
            <w:vAlign w:val="center"/>
          </w:tcPr>
          <w:p w14:paraId="58FC93CF" w14:textId="77777777" w:rsidR="0007555D" w:rsidRPr="00C56257" w:rsidRDefault="0007555D" w:rsidP="008E33FD">
            <w:pPr>
              <w:spacing w:before="240"/>
              <w:ind w:right="29"/>
              <w:jc w:val="both"/>
              <w:rPr>
                <w:rFonts w:eastAsia="Batang"/>
                <w:lang w:eastAsia="ko-KR"/>
              </w:rPr>
            </w:pPr>
            <w:r w:rsidRPr="00C56257">
              <w:rPr>
                <w:rFonts w:eastAsia="Batang"/>
                <w:lang w:eastAsia="ko-KR"/>
              </w:rPr>
              <w:t>nefavorabilă-neadecvată (U1)</w:t>
            </w:r>
          </w:p>
        </w:tc>
        <w:tc>
          <w:tcPr>
            <w:tcW w:w="1975" w:type="dxa"/>
            <w:shd w:val="clear" w:color="auto" w:fill="FF0000"/>
            <w:vAlign w:val="center"/>
          </w:tcPr>
          <w:p w14:paraId="6CBF5A7E" w14:textId="77777777" w:rsidR="0007555D" w:rsidRPr="00C56257" w:rsidRDefault="0007555D" w:rsidP="008E33FD">
            <w:pPr>
              <w:spacing w:before="240"/>
              <w:ind w:right="29"/>
              <w:jc w:val="both"/>
              <w:rPr>
                <w:rFonts w:eastAsia="Batang"/>
                <w:lang w:eastAsia="ko-KR"/>
              </w:rPr>
            </w:pPr>
            <w:r w:rsidRPr="00C56257">
              <w:rPr>
                <w:rFonts w:eastAsia="Batang"/>
                <w:lang w:eastAsia="ko-KR"/>
              </w:rPr>
              <w:t>nefavorabilă-rea  (U2)</w:t>
            </w:r>
          </w:p>
        </w:tc>
        <w:tc>
          <w:tcPr>
            <w:tcW w:w="1625" w:type="dxa"/>
            <w:vAlign w:val="center"/>
          </w:tcPr>
          <w:p w14:paraId="03FF7C01" w14:textId="77777777" w:rsidR="0007555D" w:rsidRPr="00C56257" w:rsidRDefault="0007555D" w:rsidP="008E33FD">
            <w:pPr>
              <w:spacing w:before="240"/>
              <w:ind w:right="29"/>
              <w:jc w:val="both"/>
            </w:pPr>
            <w:r w:rsidRPr="00C56257">
              <w:t>necunoscută (X)</w:t>
            </w:r>
          </w:p>
        </w:tc>
      </w:tr>
      <w:tr w:rsidR="0007555D" w:rsidRPr="00C56257" w14:paraId="1ECAD3B9" w14:textId="77777777" w:rsidTr="0007555D">
        <w:tc>
          <w:tcPr>
            <w:tcW w:w="1980" w:type="dxa"/>
            <w:shd w:val="clear" w:color="auto" w:fill="C0C0C0"/>
            <w:vAlign w:val="center"/>
          </w:tcPr>
          <w:p w14:paraId="1B43D106" w14:textId="77777777" w:rsidR="0007555D" w:rsidRPr="00C56257" w:rsidRDefault="0007555D" w:rsidP="008E33FD">
            <w:pPr>
              <w:spacing w:before="240"/>
              <w:ind w:right="29"/>
              <w:jc w:val="both"/>
              <w:rPr>
                <w:rFonts w:eastAsia="Batang"/>
                <w:lang w:eastAsia="ko-KR"/>
              </w:rPr>
            </w:pPr>
          </w:p>
        </w:tc>
        <w:tc>
          <w:tcPr>
            <w:tcW w:w="2016" w:type="dxa"/>
            <w:shd w:val="clear" w:color="auto" w:fill="00FF00"/>
            <w:vAlign w:val="center"/>
          </w:tcPr>
          <w:p w14:paraId="13B698A4" w14:textId="77777777" w:rsidR="0007555D" w:rsidRPr="00C56257" w:rsidRDefault="0007555D" w:rsidP="008E33FD">
            <w:pPr>
              <w:spacing w:before="240"/>
              <w:ind w:right="29"/>
              <w:jc w:val="both"/>
              <w:rPr>
                <w:rFonts w:eastAsia="Batang"/>
                <w:lang w:eastAsia="ko-KR"/>
              </w:rPr>
            </w:pPr>
            <w:r w:rsidRPr="00C56257">
              <w:rPr>
                <w:rFonts w:eastAsia="Batang"/>
                <w:lang w:eastAsia="ko-KR"/>
              </w:rPr>
              <w:t>Toate 'verzi'</w:t>
            </w:r>
          </w:p>
          <w:p w14:paraId="5F0A8DAA" w14:textId="77777777" w:rsidR="0007555D" w:rsidRPr="00C56257" w:rsidRDefault="0007555D" w:rsidP="008E33FD">
            <w:pPr>
              <w:spacing w:before="240"/>
              <w:ind w:right="29"/>
              <w:jc w:val="both"/>
              <w:rPr>
                <w:rFonts w:eastAsia="Batang"/>
                <w:lang w:eastAsia="ko-KR"/>
              </w:rPr>
            </w:pPr>
            <w:r w:rsidRPr="00C56257">
              <w:rPr>
                <w:rFonts w:eastAsia="Batang"/>
                <w:lang w:eastAsia="ko-KR"/>
              </w:rPr>
              <w:t>SAU</w:t>
            </w:r>
          </w:p>
          <w:p w14:paraId="32E9948A" w14:textId="77777777" w:rsidR="0007555D" w:rsidRPr="00C56257" w:rsidRDefault="0007555D" w:rsidP="008E33FD">
            <w:pPr>
              <w:spacing w:before="240"/>
              <w:ind w:right="29"/>
              <w:jc w:val="both"/>
              <w:rPr>
                <w:rFonts w:eastAsia="Batang"/>
                <w:lang w:eastAsia="ko-KR"/>
              </w:rPr>
            </w:pPr>
            <w:r w:rsidRPr="00C56257">
              <w:rPr>
                <w:rFonts w:eastAsia="Batang"/>
                <w:lang w:eastAsia="ko-KR"/>
              </w:rPr>
              <w:t>două 'verzi' şi una 'necunoscută'</w:t>
            </w:r>
          </w:p>
        </w:tc>
        <w:tc>
          <w:tcPr>
            <w:tcW w:w="2016" w:type="dxa"/>
            <w:shd w:val="clear" w:color="auto" w:fill="FFCC00"/>
            <w:vAlign w:val="center"/>
          </w:tcPr>
          <w:p w14:paraId="45F44D8C" w14:textId="77777777" w:rsidR="0007555D" w:rsidRPr="00C56257" w:rsidRDefault="0007555D" w:rsidP="008E33FD">
            <w:pPr>
              <w:spacing w:before="240"/>
              <w:ind w:right="29"/>
              <w:jc w:val="both"/>
              <w:rPr>
                <w:rFonts w:eastAsia="Batang"/>
                <w:lang w:eastAsia="ko-KR"/>
              </w:rPr>
            </w:pPr>
            <w:r w:rsidRPr="00C56257">
              <w:rPr>
                <w:rFonts w:eastAsia="Batang"/>
                <w:lang w:eastAsia="ko-KR"/>
              </w:rPr>
              <w:t>Una sau mai multe 'chihlimbar' dar nu  'roşu'</w:t>
            </w:r>
          </w:p>
        </w:tc>
        <w:tc>
          <w:tcPr>
            <w:tcW w:w="1975" w:type="dxa"/>
            <w:shd w:val="clear" w:color="auto" w:fill="FF0000"/>
            <w:vAlign w:val="center"/>
          </w:tcPr>
          <w:p w14:paraId="484FBE6A" w14:textId="77777777" w:rsidR="0007555D" w:rsidRPr="00C56257" w:rsidRDefault="0007555D" w:rsidP="008E33FD">
            <w:pPr>
              <w:spacing w:before="240"/>
              <w:ind w:right="29"/>
              <w:jc w:val="both"/>
              <w:rPr>
                <w:rFonts w:eastAsia="Batang"/>
                <w:lang w:eastAsia="ko-KR"/>
              </w:rPr>
            </w:pPr>
            <w:r w:rsidRPr="00C56257">
              <w:rPr>
                <w:rFonts w:eastAsia="Batang"/>
                <w:lang w:eastAsia="ko-KR"/>
              </w:rPr>
              <w:t>Una mai multe  'roşu'</w:t>
            </w:r>
          </w:p>
        </w:tc>
        <w:tc>
          <w:tcPr>
            <w:tcW w:w="1625" w:type="dxa"/>
            <w:vAlign w:val="center"/>
          </w:tcPr>
          <w:p w14:paraId="3648B815" w14:textId="77777777" w:rsidR="0007555D" w:rsidRPr="00C56257" w:rsidRDefault="0007555D" w:rsidP="008E33FD">
            <w:pPr>
              <w:spacing w:before="240"/>
              <w:ind w:right="29"/>
              <w:jc w:val="both"/>
            </w:pPr>
            <w:r w:rsidRPr="00C56257">
              <w:t xml:space="preserve">Două sau mai multe 'necunoscute' combinate cu verde sau toate </w:t>
            </w:r>
            <w:r w:rsidRPr="00C56257">
              <w:rPr>
                <w:lang w:val="fr-FR"/>
              </w:rPr>
              <w:t>‘</w:t>
            </w:r>
            <w:r w:rsidRPr="00C56257">
              <w:t>necunoscute’</w:t>
            </w:r>
          </w:p>
        </w:tc>
      </w:tr>
    </w:tbl>
    <w:p w14:paraId="66292EBB" w14:textId="77777777" w:rsidR="0007555D" w:rsidRPr="00C56257" w:rsidRDefault="0007555D" w:rsidP="00F100E1">
      <w:pPr>
        <w:spacing w:after="160" w:line="259" w:lineRule="auto"/>
        <w:jc w:val="both"/>
        <w:rPr>
          <w:b/>
          <w:color w:val="000000"/>
        </w:rPr>
      </w:pPr>
    </w:p>
    <w:p w14:paraId="54F2A38F" w14:textId="77777777" w:rsidR="0007555D" w:rsidRPr="00C56257" w:rsidRDefault="0007555D" w:rsidP="008E33FD">
      <w:pPr>
        <w:spacing w:after="160" w:line="259" w:lineRule="auto"/>
        <w:jc w:val="both"/>
        <w:rPr>
          <w:b/>
          <w:color w:val="000000"/>
        </w:rPr>
      </w:pPr>
      <w:r w:rsidRPr="00C56257">
        <w:rPr>
          <w:b/>
          <w:color w:val="000000"/>
        </w:rPr>
        <w:t xml:space="preserve">Evaluarea stării de conservare pe regiune biogeografică. </w:t>
      </w:r>
      <w:r w:rsidRPr="00C56257">
        <w:rPr>
          <w:color w:val="000000"/>
        </w:rPr>
        <w:t>Evaluarea stării generale de conservare se determină pentru fiecare tip de habitat pe fiecare regiune biogeografică în parte, atribuindu-se una din cele patru categorii de evaluare („Favorabilă”, „Nefavorabilă – inadecvată”, „Nefavorabilă – rea” sau „Necunoscută”) în funcție de starea parametrilor (areal, suprafață, structură și funcții, perspective) determinați în capitolele anterioare și  evaluați conform matricei din Tabelul 15.</w:t>
      </w:r>
    </w:p>
    <w:p w14:paraId="7B7986CD" w14:textId="77777777" w:rsidR="0007555D" w:rsidRPr="00C56257" w:rsidRDefault="0007555D" w:rsidP="00F100E1">
      <w:pPr>
        <w:spacing w:after="160" w:line="259" w:lineRule="auto"/>
        <w:jc w:val="both"/>
        <w:rPr>
          <w:bCs/>
          <w:color w:val="000000"/>
        </w:rPr>
      </w:pPr>
      <w:r w:rsidRPr="00C56257">
        <w:rPr>
          <w:bCs/>
          <w:color w:val="000000"/>
        </w:rPr>
        <w:t xml:space="preserve">Tabelul 15. Evaluarea stării generale de conservare </w:t>
      </w:r>
    </w:p>
    <w:tbl>
      <w:tblPr>
        <w:tblW w:w="0" w:type="auto"/>
        <w:tblLayout w:type="fixed"/>
        <w:tblLook w:val="04A0" w:firstRow="1" w:lastRow="0" w:firstColumn="1" w:lastColumn="0" w:noHBand="0" w:noVBand="1"/>
      </w:tblPr>
      <w:tblGrid>
        <w:gridCol w:w="1435"/>
        <w:gridCol w:w="1800"/>
        <w:gridCol w:w="2070"/>
        <w:gridCol w:w="1710"/>
        <w:gridCol w:w="2001"/>
      </w:tblGrid>
      <w:tr w:rsidR="0007555D" w:rsidRPr="00C56257" w14:paraId="75C31CDF" w14:textId="77777777" w:rsidTr="0007555D">
        <w:trPr>
          <w:trHeight w:val="1035"/>
        </w:trPr>
        <w:tc>
          <w:tcPr>
            <w:tcW w:w="1435" w:type="dxa"/>
            <w:tcBorders>
              <w:top w:val="single" w:sz="4" w:space="0" w:color="auto"/>
              <w:left w:val="single" w:sz="4" w:space="0" w:color="auto"/>
              <w:bottom w:val="single" w:sz="4" w:space="0" w:color="auto"/>
              <w:right w:val="single" w:sz="4" w:space="0" w:color="auto"/>
            </w:tcBorders>
            <w:shd w:val="clear" w:color="auto" w:fill="auto"/>
            <w:hideMark/>
          </w:tcPr>
          <w:p w14:paraId="00356F39" w14:textId="77777777" w:rsidR="0007555D" w:rsidRPr="00C56257" w:rsidRDefault="0007555D" w:rsidP="00F100E1">
            <w:pPr>
              <w:spacing w:after="160" w:line="259" w:lineRule="auto"/>
              <w:jc w:val="both"/>
              <w:rPr>
                <w:color w:val="000000"/>
              </w:rPr>
            </w:pPr>
            <w:r w:rsidRPr="00C56257">
              <w:rPr>
                <w:color w:val="000000"/>
              </w:rPr>
              <w:t xml:space="preserve">Starea </w:t>
            </w:r>
            <w:r w:rsidRPr="00C56257">
              <w:rPr>
                <w:color w:val="000000"/>
              </w:rPr>
              <w:br/>
              <w:t>parametrilor</w:t>
            </w:r>
          </w:p>
        </w:tc>
        <w:tc>
          <w:tcPr>
            <w:tcW w:w="1800" w:type="dxa"/>
            <w:tcBorders>
              <w:top w:val="single" w:sz="4" w:space="0" w:color="auto"/>
              <w:left w:val="nil"/>
              <w:bottom w:val="single" w:sz="4" w:space="0" w:color="auto"/>
              <w:right w:val="single" w:sz="4" w:space="0" w:color="auto"/>
            </w:tcBorders>
            <w:shd w:val="clear" w:color="auto" w:fill="auto"/>
            <w:vAlign w:val="center"/>
            <w:hideMark/>
          </w:tcPr>
          <w:p w14:paraId="1CF87DDB" w14:textId="77777777" w:rsidR="0007555D" w:rsidRPr="00C56257" w:rsidRDefault="0007555D" w:rsidP="00F100E1">
            <w:pPr>
              <w:spacing w:after="160" w:line="259" w:lineRule="auto"/>
              <w:jc w:val="both"/>
              <w:rPr>
                <w:color w:val="000000"/>
              </w:rPr>
            </w:pPr>
            <w:r w:rsidRPr="00C56257">
              <w:rPr>
                <w:color w:val="000000"/>
              </w:rPr>
              <w:t>Toți parametrii „favorabili”, sau</w:t>
            </w:r>
            <w:r w:rsidRPr="00C56257">
              <w:rPr>
                <w:color w:val="000000"/>
              </w:rPr>
              <w:br/>
              <w:t>trei „favorabili” și unul „necunoscut”</w:t>
            </w:r>
          </w:p>
        </w:tc>
        <w:tc>
          <w:tcPr>
            <w:tcW w:w="2070" w:type="dxa"/>
            <w:tcBorders>
              <w:top w:val="single" w:sz="4" w:space="0" w:color="auto"/>
              <w:left w:val="nil"/>
              <w:bottom w:val="single" w:sz="4" w:space="0" w:color="auto"/>
              <w:right w:val="single" w:sz="4" w:space="0" w:color="auto"/>
            </w:tcBorders>
            <w:shd w:val="clear" w:color="auto" w:fill="auto"/>
            <w:vAlign w:val="center"/>
            <w:hideMark/>
          </w:tcPr>
          <w:p w14:paraId="0400EB1E" w14:textId="77777777" w:rsidR="0007555D" w:rsidRPr="00C56257" w:rsidRDefault="0007555D" w:rsidP="00F100E1">
            <w:pPr>
              <w:spacing w:after="160" w:line="259" w:lineRule="auto"/>
              <w:jc w:val="both"/>
              <w:rPr>
                <w:color w:val="000000"/>
              </w:rPr>
            </w:pPr>
            <w:r w:rsidRPr="00C56257">
              <w:rPr>
                <w:color w:val="000000"/>
              </w:rPr>
              <w:t>Unul sau mai mulți</w:t>
            </w:r>
            <w:r w:rsidRPr="00C56257">
              <w:rPr>
                <w:color w:val="000000"/>
              </w:rPr>
              <w:br/>
              <w:t>„nefavorabili-inadecvați”</w:t>
            </w:r>
            <w:r w:rsidRPr="00C56257">
              <w:rPr>
                <w:color w:val="000000"/>
              </w:rPr>
              <w:br/>
              <w:t>dar niciunul „nefavorabil-rău”</w:t>
            </w:r>
          </w:p>
        </w:tc>
        <w:tc>
          <w:tcPr>
            <w:tcW w:w="1710" w:type="dxa"/>
            <w:tcBorders>
              <w:top w:val="single" w:sz="4" w:space="0" w:color="auto"/>
              <w:left w:val="nil"/>
              <w:bottom w:val="single" w:sz="4" w:space="0" w:color="auto"/>
              <w:right w:val="single" w:sz="4" w:space="0" w:color="auto"/>
            </w:tcBorders>
            <w:shd w:val="clear" w:color="auto" w:fill="auto"/>
            <w:vAlign w:val="center"/>
            <w:hideMark/>
          </w:tcPr>
          <w:p w14:paraId="3248945F" w14:textId="77777777" w:rsidR="0007555D" w:rsidRPr="00C56257" w:rsidRDefault="0007555D" w:rsidP="00F100E1">
            <w:pPr>
              <w:spacing w:after="160" w:line="259" w:lineRule="auto"/>
              <w:jc w:val="both"/>
              <w:rPr>
                <w:color w:val="000000"/>
              </w:rPr>
            </w:pPr>
            <w:r w:rsidRPr="00C56257">
              <w:rPr>
                <w:color w:val="000000"/>
              </w:rPr>
              <w:t>Unul sau mai mulți</w:t>
            </w:r>
            <w:r w:rsidRPr="00C56257">
              <w:rPr>
                <w:color w:val="000000"/>
              </w:rPr>
              <w:br/>
              <w:t>„nefavorabil-rău”</w:t>
            </w:r>
          </w:p>
        </w:tc>
        <w:tc>
          <w:tcPr>
            <w:tcW w:w="2001" w:type="dxa"/>
            <w:tcBorders>
              <w:top w:val="single" w:sz="4" w:space="0" w:color="auto"/>
              <w:left w:val="nil"/>
              <w:bottom w:val="single" w:sz="4" w:space="0" w:color="auto"/>
              <w:right w:val="single" w:sz="4" w:space="0" w:color="auto"/>
            </w:tcBorders>
            <w:shd w:val="clear" w:color="auto" w:fill="auto"/>
            <w:vAlign w:val="center"/>
            <w:hideMark/>
          </w:tcPr>
          <w:p w14:paraId="2570DC60" w14:textId="77777777" w:rsidR="0007555D" w:rsidRPr="00C56257" w:rsidRDefault="0007555D" w:rsidP="00F100E1">
            <w:pPr>
              <w:spacing w:after="160" w:line="259" w:lineRule="auto"/>
              <w:jc w:val="both"/>
              <w:rPr>
                <w:color w:val="000000"/>
              </w:rPr>
            </w:pPr>
            <w:r w:rsidRPr="00C56257">
              <w:rPr>
                <w:color w:val="000000"/>
              </w:rPr>
              <w:t>Doi sau mai mulți „necunoscuți”</w:t>
            </w:r>
            <w:r w:rsidRPr="00C56257">
              <w:rPr>
                <w:color w:val="000000"/>
              </w:rPr>
              <w:br/>
              <w:t>combinați cu „favorabil” sau toți</w:t>
            </w:r>
            <w:r w:rsidRPr="00C56257">
              <w:rPr>
                <w:color w:val="000000"/>
              </w:rPr>
              <w:br/>
              <w:t>„necunoscuți”</w:t>
            </w:r>
          </w:p>
        </w:tc>
      </w:tr>
      <w:tr w:rsidR="0007555D" w:rsidRPr="00C56257" w14:paraId="413B19B6" w14:textId="77777777" w:rsidTr="0007555D">
        <w:trPr>
          <w:trHeight w:val="900"/>
        </w:trPr>
        <w:tc>
          <w:tcPr>
            <w:tcW w:w="1435" w:type="dxa"/>
            <w:tcBorders>
              <w:top w:val="nil"/>
              <w:left w:val="single" w:sz="4" w:space="0" w:color="auto"/>
              <w:bottom w:val="single" w:sz="4" w:space="0" w:color="auto"/>
              <w:right w:val="single" w:sz="4" w:space="0" w:color="auto"/>
            </w:tcBorders>
            <w:shd w:val="clear" w:color="auto" w:fill="auto"/>
            <w:hideMark/>
          </w:tcPr>
          <w:p w14:paraId="59379A96" w14:textId="77777777" w:rsidR="0007555D" w:rsidRPr="00C56257" w:rsidRDefault="0007555D" w:rsidP="00F100E1">
            <w:pPr>
              <w:spacing w:after="160" w:line="259" w:lineRule="auto"/>
              <w:jc w:val="both"/>
              <w:rPr>
                <w:color w:val="000000"/>
              </w:rPr>
            </w:pPr>
            <w:r w:rsidRPr="00C56257">
              <w:rPr>
                <w:color w:val="000000"/>
              </w:rPr>
              <w:t>Evaluarea generală</w:t>
            </w:r>
            <w:r w:rsidRPr="00C56257">
              <w:rPr>
                <w:color w:val="000000"/>
              </w:rPr>
              <w:br/>
              <w:t xml:space="preserve"> a stării de</w:t>
            </w:r>
            <w:r w:rsidRPr="00C56257">
              <w:rPr>
                <w:color w:val="000000"/>
              </w:rPr>
              <w:br/>
              <w:t xml:space="preserve"> conservare</w:t>
            </w:r>
          </w:p>
        </w:tc>
        <w:tc>
          <w:tcPr>
            <w:tcW w:w="1800" w:type="dxa"/>
            <w:tcBorders>
              <w:top w:val="nil"/>
              <w:left w:val="nil"/>
              <w:bottom w:val="single" w:sz="4" w:space="0" w:color="auto"/>
              <w:right w:val="single" w:sz="4" w:space="0" w:color="auto"/>
            </w:tcBorders>
            <w:shd w:val="clear" w:color="000000" w:fill="92D050"/>
            <w:noWrap/>
            <w:vAlign w:val="center"/>
            <w:hideMark/>
          </w:tcPr>
          <w:p w14:paraId="453244D5" w14:textId="77777777" w:rsidR="0007555D" w:rsidRPr="00C56257" w:rsidRDefault="0007555D" w:rsidP="00F100E1">
            <w:pPr>
              <w:spacing w:after="160" w:line="259" w:lineRule="auto"/>
              <w:jc w:val="both"/>
              <w:rPr>
                <w:color w:val="000000"/>
              </w:rPr>
            </w:pPr>
            <w:r w:rsidRPr="00C56257">
              <w:rPr>
                <w:color w:val="000000"/>
              </w:rPr>
              <w:t>„Favorabilă”</w:t>
            </w:r>
          </w:p>
        </w:tc>
        <w:tc>
          <w:tcPr>
            <w:tcW w:w="2070" w:type="dxa"/>
            <w:tcBorders>
              <w:top w:val="nil"/>
              <w:left w:val="nil"/>
              <w:bottom w:val="single" w:sz="4" w:space="0" w:color="auto"/>
              <w:right w:val="single" w:sz="4" w:space="0" w:color="auto"/>
            </w:tcBorders>
            <w:shd w:val="clear" w:color="000000" w:fill="FFC000"/>
            <w:noWrap/>
            <w:vAlign w:val="center"/>
            <w:hideMark/>
          </w:tcPr>
          <w:p w14:paraId="34877F23" w14:textId="77777777" w:rsidR="0007555D" w:rsidRPr="00C56257" w:rsidRDefault="0007555D" w:rsidP="00F100E1">
            <w:pPr>
              <w:spacing w:after="160" w:line="259" w:lineRule="auto"/>
              <w:jc w:val="both"/>
              <w:rPr>
                <w:color w:val="000000"/>
              </w:rPr>
            </w:pPr>
            <w:r w:rsidRPr="00C56257">
              <w:rPr>
                <w:color w:val="000000"/>
              </w:rPr>
              <w:t>„Nefavorabilă-inadecvată”</w:t>
            </w:r>
          </w:p>
        </w:tc>
        <w:tc>
          <w:tcPr>
            <w:tcW w:w="1710" w:type="dxa"/>
            <w:tcBorders>
              <w:top w:val="nil"/>
              <w:left w:val="nil"/>
              <w:bottom w:val="single" w:sz="4" w:space="0" w:color="auto"/>
              <w:right w:val="single" w:sz="4" w:space="0" w:color="auto"/>
            </w:tcBorders>
            <w:shd w:val="clear" w:color="000000" w:fill="FF0000"/>
            <w:noWrap/>
            <w:vAlign w:val="center"/>
            <w:hideMark/>
          </w:tcPr>
          <w:p w14:paraId="4D2540CC" w14:textId="77777777" w:rsidR="0007555D" w:rsidRPr="00C56257" w:rsidRDefault="0007555D" w:rsidP="00F100E1">
            <w:pPr>
              <w:spacing w:after="160" w:line="259" w:lineRule="auto"/>
              <w:jc w:val="both"/>
              <w:rPr>
                <w:color w:val="000000"/>
              </w:rPr>
            </w:pPr>
            <w:r w:rsidRPr="00C56257">
              <w:rPr>
                <w:color w:val="000000"/>
              </w:rPr>
              <w:t>„Nefavorabilă-rea”</w:t>
            </w:r>
          </w:p>
        </w:tc>
        <w:tc>
          <w:tcPr>
            <w:tcW w:w="2001" w:type="dxa"/>
            <w:tcBorders>
              <w:top w:val="nil"/>
              <w:left w:val="nil"/>
              <w:bottom w:val="single" w:sz="4" w:space="0" w:color="auto"/>
              <w:right w:val="single" w:sz="4" w:space="0" w:color="auto"/>
            </w:tcBorders>
            <w:shd w:val="clear" w:color="000000" w:fill="BFBFBF"/>
            <w:noWrap/>
            <w:vAlign w:val="center"/>
            <w:hideMark/>
          </w:tcPr>
          <w:p w14:paraId="2933BF35" w14:textId="77777777" w:rsidR="0007555D" w:rsidRPr="00C56257" w:rsidRDefault="0007555D" w:rsidP="00F100E1">
            <w:pPr>
              <w:spacing w:after="160" w:line="259" w:lineRule="auto"/>
              <w:jc w:val="both"/>
              <w:rPr>
                <w:color w:val="000000"/>
              </w:rPr>
            </w:pPr>
            <w:r w:rsidRPr="00C56257">
              <w:rPr>
                <w:color w:val="000000"/>
              </w:rPr>
              <w:t>„Necunoscută”</w:t>
            </w:r>
          </w:p>
        </w:tc>
      </w:tr>
    </w:tbl>
    <w:p w14:paraId="13564392" w14:textId="77777777" w:rsidR="0007555D" w:rsidRPr="00C56257" w:rsidRDefault="00FE0FCD" w:rsidP="00F100E1">
      <w:pPr>
        <w:tabs>
          <w:tab w:val="num" w:pos="360"/>
        </w:tabs>
        <w:spacing w:before="240"/>
        <w:ind w:left="360" w:hanging="360"/>
        <w:jc w:val="both"/>
        <w:rPr>
          <w:b/>
        </w:rPr>
      </w:pPr>
      <w:r>
        <w:rPr>
          <w:b/>
        </w:rPr>
        <w:t>10.3</w:t>
      </w:r>
      <w:r w:rsidR="0007555D" w:rsidRPr="00C56257">
        <w:rPr>
          <w:b/>
        </w:rPr>
        <w:t>. Lista cu S</w:t>
      </w:r>
      <w:r>
        <w:rPr>
          <w:b/>
        </w:rPr>
        <w:t>iturile</w:t>
      </w:r>
      <w:r w:rsidR="0007555D" w:rsidRPr="00C56257">
        <w:rPr>
          <w:b/>
        </w:rPr>
        <w:t xml:space="preserve"> de Importanță Comunitară pentru fiecare habitat forestier de interes comunitar</w:t>
      </w:r>
    </w:p>
    <w:p w14:paraId="6F6AF374" w14:textId="77777777" w:rsidR="0007555D" w:rsidRPr="00C56257" w:rsidRDefault="0007555D" w:rsidP="008E33FD">
      <w:pPr>
        <w:spacing w:line="259" w:lineRule="auto"/>
        <w:contextualSpacing/>
        <w:jc w:val="both"/>
        <w:rPr>
          <w:rFonts w:eastAsia="Calibri"/>
        </w:rPr>
      </w:pPr>
      <w:r w:rsidRPr="00C56257">
        <w:rPr>
          <w:rFonts w:eastAsia="Calibri"/>
        </w:rPr>
        <w:t xml:space="preserve">Lista suprafețelor de importanță comunitară pentru fiecare tip de habitat forestier a fost întocmită prin suprapunerea arealului habitatului peste harta SCI-urilor și prin consultarea planurilor de management ale acestora. </w:t>
      </w:r>
    </w:p>
    <w:p w14:paraId="750AAAEA" w14:textId="77777777" w:rsidR="0007555D" w:rsidRPr="00CE4E1F" w:rsidRDefault="0007555D" w:rsidP="008E33FD">
      <w:pPr>
        <w:spacing w:line="259" w:lineRule="auto"/>
        <w:contextualSpacing/>
        <w:jc w:val="both"/>
        <w:rPr>
          <w:rFonts w:eastAsia="Calibri"/>
          <w:b/>
          <w:bCs/>
        </w:rPr>
      </w:pPr>
      <w:bookmarkStart w:id="57" w:name="_Hlk140152022"/>
      <w:r w:rsidRPr="00CE4E1F">
        <w:rPr>
          <w:rFonts w:eastAsia="Calibri"/>
          <w:b/>
          <w:bCs/>
        </w:rPr>
        <w:t>Cu * sunt notate SCI-urile în care au fost amplasate suprafețe de monitorizare</w:t>
      </w:r>
      <w:r w:rsidR="00A31F54" w:rsidRPr="00CE4E1F">
        <w:rPr>
          <w:rFonts w:eastAsia="Calibri"/>
          <w:b/>
          <w:bCs/>
        </w:rPr>
        <w:t>:</w:t>
      </w:r>
    </w:p>
    <w:bookmarkEnd w:id="57"/>
    <w:p w14:paraId="354BC3ED" w14:textId="77777777" w:rsidR="0007555D" w:rsidRPr="00C56257" w:rsidRDefault="0007555D" w:rsidP="008E33FD">
      <w:pPr>
        <w:spacing w:line="259" w:lineRule="auto"/>
        <w:contextualSpacing/>
        <w:jc w:val="both"/>
        <w:rPr>
          <w:rFonts w:eastAsia="Calibri"/>
        </w:rPr>
      </w:pPr>
    </w:p>
    <w:p w14:paraId="36A82ABF"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9110 - Păduri de fag de tip </w:t>
      </w:r>
      <w:r w:rsidRPr="00C56257">
        <w:rPr>
          <w:rFonts w:eastAsia="Calibri"/>
          <w:b/>
          <w:i/>
          <w:iCs/>
        </w:rPr>
        <w:t>Luzulo-Fagetum</w:t>
      </w:r>
      <w:r w:rsidRPr="00C56257">
        <w:rPr>
          <w:rFonts w:eastAsia="Calibri"/>
          <w:b/>
        </w:rPr>
        <w:t xml:space="preserve"> </w:t>
      </w:r>
    </w:p>
    <w:p w14:paraId="6C7CBE72" w14:textId="77777777" w:rsidR="0007555D" w:rsidRPr="00C56257" w:rsidRDefault="0007555D" w:rsidP="008E33FD">
      <w:pPr>
        <w:spacing w:line="259" w:lineRule="auto"/>
        <w:contextualSpacing/>
        <w:jc w:val="both"/>
        <w:rPr>
          <w:rFonts w:eastAsia="Calibri"/>
        </w:rPr>
      </w:pPr>
    </w:p>
    <w:p w14:paraId="08A30C2F" w14:textId="77777777" w:rsidR="0007555D" w:rsidRPr="00C56257" w:rsidRDefault="0007555D" w:rsidP="008E33FD">
      <w:pPr>
        <w:spacing w:line="259" w:lineRule="auto"/>
        <w:contextualSpacing/>
        <w:jc w:val="both"/>
        <w:rPr>
          <w:rFonts w:eastAsia="Calibri"/>
        </w:rPr>
      </w:pPr>
      <w:r w:rsidRPr="00C56257">
        <w:rPr>
          <w:rFonts w:eastAsia="Calibri"/>
        </w:rPr>
        <w:t>ROSCI0002 Apuseni</w:t>
      </w:r>
    </w:p>
    <w:p w14:paraId="721728C9" w14:textId="77777777" w:rsidR="0007555D" w:rsidRPr="00C56257" w:rsidRDefault="0007555D" w:rsidP="008E33FD">
      <w:pPr>
        <w:spacing w:line="259" w:lineRule="auto"/>
        <w:contextualSpacing/>
        <w:jc w:val="both"/>
        <w:rPr>
          <w:rFonts w:eastAsia="Calibri"/>
        </w:rPr>
      </w:pPr>
      <w:r w:rsidRPr="00C56257">
        <w:rPr>
          <w:rFonts w:eastAsia="Calibri"/>
        </w:rPr>
        <w:t>ROSCI0009 Bisoca</w:t>
      </w:r>
    </w:p>
    <w:p w14:paraId="7D848C52" w14:textId="77777777" w:rsidR="0007555D" w:rsidRPr="00C56257" w:rsidRDefault="0007555D" w:rsidP="008E33FD">
      <w:pPr>
        <w:spacing w:line="259" w:lineRule="auto"/>
        <w:contextualSpacing/>
        <w:jc w:val="both"/>
        <w:rPr>
          <w:rFonts w:eastAsia="Calibri"/>
        </w:rPr>
      </w:pPr>
      <w:r w:rsidRPr="00C56257">
        <w:rPr>
          <w:rFonts w:eastAsia="Calibri"/>
        </w:rPr>
        <w:t>ROSCI0013 Bucegi *</w:t>
      </w:r>
    </w:p>
    <w:p w14:paraId="610815CE"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0015 Buila - Vânturarița</w:t>
      </w:r>
    </w:p>
    <w:p w14:paraId="0E396EF5" w14:textId="77777777" w:rsidR="0007555D" w:rsidRPr="00C56257" w:rsidRDefault="0007555D" w:rsidP="008E33FD">
      <w:pPr>
        <w:spacing w:line="259" w:lineRule="auto"/>
        <w:contextualSpacing/>
        <w:jc w:val="both"/>
        <w:rPr>
          <w:rFonts w:eastAsia="Calibri"/>
        </w:rPr>
      </w:pPr>
      <w:r w:rsidRPr="00C56257">
        <w:rPr>
          <w:rFonts w:eastAsia="Calibri"/>
        </w:rPr>
        <w:t>ROSCI0016 Buteasa</w:t>
      </w:r>
    </w:p>
    <w:p w14:paraId="4C626ECA" w14:textId="77777777" w:rsidR="0007555D" w:rsidRPr="00C56257" w:rsidRDefault="0007555D" w:rsidP="008E33FD">
      <w:pPr>
        <w:spacing w:line="259" w:lineRule="auto"/>
        <w:contextualSpacing/>
        <w:jc w:val="both"/>
        <w:rPr>
          <w:rFonts w:eastAsia="Calibri"/>
        </w:rPr>
      </w:pPr>
      <w:r w:rsidRPr="00C56257">
        <w:rPr>
          <w:rFonts w:eastAsia="Calibri"/>
        </w:rPr>
        <w:t>ROSCI0018 Căldările Zăbalei</w:t>
      </w:r>
    </w:p>
    <w:p w14:paraId="774127A7" w14:textId="77777777" w:rsidR="0007555D" w:rsidRPr="00C56257" w:rsidRDefault="0007555D" w:rsidP="008E33FD">
      <w:pPr>
        <w:spacing w:line="259" w:lineRule="auto"/>
        <w:contextualSpacing/>
        <w:jc w:val="both"/>
        <w:rPr>
          <w:rFonts w:eastAsia="Calibri"/>
        </w:rPr>
      </w:pPr>
      <w:r w:rsidRPr="00C56257">
        <w:rPr>
          <w:rFonts w:eastAsia="Calibri"/>
        </w:rPr>
        <w:t>ROSCI0019 Călimani - Gurghiu</w:t>
      </w:r>
    </w:p>
    <w:p w14:paraId="199B1D91" w14:textId="77777777" w:rsidR="0007555D" w:rsidRPr="00C56257" w:rsidRDefault="0007555D" w:rsidP="008E33FD">
      <w:pPr>
        <w:spacing w:line="259" w:lineRule="auto"/>
        <w:contextualSpacing/>
        <w:jc w:val="both"/>
        <w:rPr>
          <w:rFonts w:eastAsia="Calibri"/>
        </w:rPr>
      </w:pPr>
      <w:r w:rsidRPr="00C56257">
        <w:rPr>
          <w:rFonts w:eastAsia="Calibri"/>
        </w:rPr>
        <w:t>ROSCI0023 Cascada Mișina</w:t>
      </w:r>
    </w:p>
    <w:p w14:paraId="6ECA0CBA"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0024 Ceahlău</w:t>
      </w:r>
    </w:p>
    <w:p w14:paraId="58573F98"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w:t>
      </w:r>
      <w:r w:rsidR="008D554E">
        <w:rPr>
          <w:rFonts w:eastAsia="Calibri"/>
        </w:rPr>
        <w:t>AC</w:t>
      </w:r>
      <w:r w:rsidRPr="00C56257">
        <w:rPr>
          <w:rFonts w:eastAsia="Calibri"/>
        </w:rPr>
        <w:t>0026 Cenaru</w:t>
      </w:r>
    </w:p>
    <w:p w14:paraId="262F8628" w14:textId="77777777" w:rsidR="0007555D" w:rsidRPr="00C56257" w:rsidRDefault="0007555D" w:rsidP="008E33FD">
      <w:pPr>
        <w:spacing w:line="259" w:lineRule="auto"/>
        <w:contextualSpacing/>
        <w:jc w:val="both"/>
        <w:rPr>
          <w:rFonts w:eastAsia="Calibri"/>
        </w:rPr>
      </w:pPr>
      <w:r w:rsidRPr="00C56257">
        <w:rPr>
          <w:rFonts w:eastAsia="Calibri"/>
        </w:rPr>
        <w:t>RO</w:t>
      </w:r>
      <w:r w:rsidR="008D554E">
        <w:rPr>
          <w:rFonts w:eastAsia="Calibri"/>
        </w:rPr>
        <w:t>SAC</w:t>
      </w:r>
      <w:r w:rsidRPr="00C56257">
        <w:rPr>
          <w:rFonts w:eastAsia="Calibri"/>
        </w:rPr>
        <w:t>I0027 Cheile Bicazului - Hășmaș</w:t>
      </w:r>
    </w:p>
    <w:p w14:paraId="083A8181" w14:textId="77777777" w:rsidR="0007555D" w:rsidRPr="00C56257" w:rsidRDefault="0007555D" w:rsidP="008E33FD">
      <w:pPr>
        <w:spacing w:line="259" w:lineRule="auto"/>
        <w:contextualSpacing/>
        <w:jc w:val="both"/>
        <w:rPr>
          <w:rFonts w:eastAsia="Calibri"/>
        </w:rPr>
      </w:pPr>
      <w:r w:rsidRPr="00C56257">
        <w:rPr>
          <w:rFonts w:eastAsia="Calibri"/>
        </w:rPr>
        <w:t>ROSCI0029 Cheile Glodului, Cibului și Măzii</w:t>
      </w:r>
    </w:p>
    <w:p w14:paraId="4786E497" w14:textId="77777777" w:rsidR="0007555D" w:rsidRPr="00C56257" w:rsidRDefault="0007555D" w:rsidP="008E33FD">
      <w:pPr>
        <w:spacing w:line="259" w:lineRule="auto"/>
        <w:contextualSpacing/>
        <w:jc w:val="both"/>
        <w:rPr>
          <w:rFonts w:eastAsia="Calibri"/>
        </w:rPr>
      </w:pPr>
      <w:r w:rsidRPr="00C56257">
        <w:rPr>
          <w:rFonts w:eastAsia="Calibri"/>
        </w:rPr>
        <w:t>ROSCI0030 Cheile Lăpușului</w:t>
      </w:r>
    </w:p>
    <w:p w14:paraId="1CFC4D93" w14:textId="77777777" w:rsidR="0007555D" w:rsidRPr="00C56257" w:rsidRDefault="0007555D" w:rsidP="008E33FD">
      <w:pPr>
        <w:spacing w:line="259" w:lineRule="auto"/>
        <w:contextualSpacing/>
        <w:jc w:val="both"/>
        <w:rPr>
          <w:rFonts w:eastAsia="Calibri"/>
        </w:rPr>
      </w:pPr>
      <w:r w:rsidRPr="00C56257">
        <w:rPr>
          <w:rFonts w:eastAsia="Calibri"/>
        </w:rPr>
        <w:t>ROSCI0031 Cheile Nerei - Beușnița</w:t>
      </w:r>
    </w:p>
    <w:p w14:paraId="1638B647" w14:textId="77777777" w:rsidR="0007555D" w:rsidRPr="00C56257" w:rsidRDefault="0007555D" w:rsidP="008E33FD">
      <w:pPr>
        <w:spacing w:line="259" w:lineRule="auto"/>
        <w:contextualSpacing/>
        <w:jc w:val="both"/>
        <w:rPr>
          <w:rFonts w:eastAsia="Calibri"/>
        </w:rPr>
      </w:pPr>
      <w:r w:rsidRPr="00C56257">
        <w:rPr>
          <w:rFonts w:eastAsia="Calibri"/>
        </w:rPr>
        <w:t>ROSCI0032 Cheile Rudăriei</w:t>
      </w:r>
    </w:p>
    <w:p w14:paraId="18B58C46" w14:textId="77777777" w:rsidR="0007555D" w:rsidRPr="00C56257" w:rsidRDefault="0007555D" w:rsidP="008E33FD">
      <w:pPr>
        <w:spacing w:line="259" w:lineRule="auto"/>
        <w:contextualSpacing/>
        <w:jc w:val="both"/>
        <w:rPr>
          <w:rFonts w:eastAsia="Calibri"/>
        </w:rPr>
      </w:pPr>
      <w:r w:rsidRPr="00C56257">
        <w:rPr>
          <w:rFonts w:eastAsia="Calibri"/>
        </w:rPr>
        <w:t>ROSCI0035 Cheile Turzii</w:t>
      </w:r>
    </w:p>
    <w:p w14:paraId="07D3220A"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0036 Cheile Vârghișului</w:t>
      </w:r>
    </w:p>
    <w:p w14:paraId="49CD8D7C"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0037 Ciomad - Balvanyos</w:t>
      </w:r>
    </w:p>
    <w:p w14:paraId="6DB99C32" w14:textId="77777777" w:rsidR="0007555D" w:rsidRPr="00C56257" w:rsidRDefault="0007555D" w:rsidP="008E33FD">
      <w:pPr>
        <w:spacing w:line="259" w:lineRule="auto"/>
        <w:contextualSpacing/>
        <w:jc w:val="both"/>
        <w:rPr>
          <w:rFonts w:eastAsia="Calibri"/>
        </w:rPr>
      </w:pPr>
      <w:r w:rsidRPr="00C56257">
        <w:rPr>
          <w:rFonts w:eastAsia="Calibri"/>
        </w:rPr>
        <w:t>ROSCI0038 Ciucaș</w:t>
      </w:r>
    </w:p>
    <w:p w14:paraId="04AA1551" w14:textId="77777777" w:rsidR="0007555D" w:rsidRPr="00C56257" w:rsidRDefault="0007555D" w:rsidP="008E33FD">
      <w:pPr>
        <w:spacing w:line="259" w:lineRule="auto"/>
        <w:contextualSpacing/>
        <w:jc w:val="both"/>
        <w:rPr>
          <w:rFonts w:eastAsia="Calibri"/>
        </w:rPr>
      </w:pPr>
      <w:r w:rsidRPr="00C56257">
        <w:rPr>
          <w:rFonts w:eastAsia="Calibri"/>
        </w:rPr>
        <w:t>ROSCI0042 Codru Moma</w:t>
      </w:r>
    </w:p>
    <w:p w14:paraId="0C006E50"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0046 Cozia</w:t>
      </w:r>
    </w:p>
    <w:p w14:paraId="0794BB26"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0047 Creasta Nemirei *</w:t>
      </w:r>
    </w:p>
    <w:p w14:paraId="6FDC4A3D" w14:textId="77777777" w:rsidR="0007555D" w:rsidRPr="00C56257" w:rsidRDefault="0007555D" w:rsidP="008E33FD">
      <w:pPr>
        <w:spacing w:line="259" w:lineRule="auto"/>
        <w:contextualSpacing/>
        <w:jc w:val="both"/>
        <w:rPr>
          <w:rFonts w:eastAsia="Calibri"/>
        </w:rPr>
      </w:pPr>
      <w:r w:rsidRPr="00C56257">
        <w:rPr>
          <w:rFonts w:eastAsia="Calibri"/>
        </w:rPr>
        <w:t>ROSCI0051 Cușma *</w:t>
      </w:r>
    </w:p>
    <w:p w14:paraId="7118F128" w14:textId="77777777" w:rsidR="0007555D" w:rsidRPr="00C56257" w:rsidRDefault="0007555D" w:rsidP="008E33FD">
      <w:pPr>
        <w:spacing w:line="259" w:lineRule="auto"/>
        <w:contextualSpacing/>
        <w:jc w:val="both"/>
        <w:rPr>
          <w:rFonts w:eastAsia="Calibri"/>
        </w:rPr>
      </w:pPr>
      <w:r w:rsidRPr="00C56257">
        <w:rPr>
          <w:rFonts w:eastAsia="Calibri"/>
        </w:rPr>
        <w:t>ROSCI0052 Dăncioanea</w:t>
      </w:r>
    </w:p>
    <w:p w14:paraId="64E8740E"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0062 Defileul Crișului Repede - Pădurea Craiului</w:t>
      </w:r>
    </w:p>
    <w:p w14:paraId="44B925E9" w14:textId="77777777" w:rsidR="0007555D" w:rsidRPr="00C56257" w:rsidRDefault="0007555D" w:rsidP="008E33FD">
      <w:pPr>
        <w:spacing w:line="259" w:lineRule="auto"/>
        <w:contextualSpacing/>
        <w:jc w:val="both"/>
        <w:rPr>
          <w:rFonts w:eastAsia="Calibri"/>
        </w:rPr>
      </w:pPr>
      <w:r w:rsidRPr="00C56257">
        <w:rPr>
          <w:rFonts w:eastAsia="Calibri"/>
        </w:rPr>
        <w:t>ROSCI0063 Defileul Jiului *</w:t>
      </w:r>
    </w:p>
    <w:p w14:paraId="0DF039E8" w14:textId="77777777" w:rsidR="0007555D" w:rsidRPr="00C56257" w:rsidRDefault="0007555D" w:rsidP="008E33FD">
      <w:pPr>
        <w:spacing w:line="259" w:lineRule="auto"/>
        <w:contextualSpacing/>
        <w:jc w:val="both"/>
        <w:rPr>
          <w:rFonts w:eastAsia="Calibri"/>
        </w:rPr>
      </w:pPr>
      <w:r w:rsidRPr="00C56257">
        <w:rPr>
          <w:rFonts w:eastAsia="Calibri"/>
        </w:rPr>
        <w:t>ROSCI0069 Domogled - Valea Cernei *</w:t>
      </w:r>
    </w:p>
    <w:p w14:paraId="53EA4016" w14:textId="77777777" w:rsidR="0007555D" w:rsidRPr="00C56257" w:rsidRDefault="0007555D" w:rsidP="008E33FD">
      <w:pPr>
        <w:spacing w:line="259" w:lineRule="auto"/>
        <w:contextualSpacing/>
        <w:jc w:val="both"/>
        <w:rPr>
          <w:rFonts w:eastAsia="Calibri"/>
        </w:rPr>
      </w:pPr>
      <w:r w:rsidRPr="00C56257">
        <w:rPr>
          <w:rFonts w:eastAsia="Calibri"/>
        </w:rPr>
        <w:t>ROSCI0070 Drocea</w:t>
      </w:r>
    </w:p>
    <w:p w14:paraId="5CA97EC8" w14:textId="77777777" w:rsidR="0007555D" w:rsidRPr="00C56257" w:rsidRDefault="0007555D" w:rsidP="008E33FD">
      <w:pPr>
        <w:spacing w:line="259" w:lineRule="auto"/>
        <w:contextualSpacing/>
        <w:jc w:val="both"/>
        <w:rPr>
          <w:rFonts w:eastAsia="Calibri"/>
        </w:rPr>
      </w:pPr>
      <w:r w:rsidRPr="00C56257">
        <w:rPr>
          <w:rFonts w:eastAsia="Calibri"/>
        </w:rPr>
        <w:t>ROSCI0074 Făgetul Clujului - Valea Morii</w:t>
      </w:r>
    </w:p>
    <w:p w14:paraId="6D71A2FC"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0085 Frumoasa *</w:t>
      </w:r>
    </w:p>
    <w:p w14:paraId="3B867FB4" w14:textId="77777777" w:rsidR="0007555D" w:rsidRPr="00C56257" w:rsidRDefault="0007555D" w:rsidP="008E33FD">
      <w:pPr>
        <w:spacing w:line="259" w:lineRule="auto"/>
        <w:contextualSpacing/>
        <w:jc w:val="both"/>
        <w:rPr>
          <w:rFonts w:eastAsia="Calibri"/>
        </w:rPr>
      </w:pPr>
      <w:r w:rsidRPr="00C56257">
        <w:rPr>
          <w:rFonts w:eastAsia="Calibri"/>
        </w:rPr>
        <w:t>ROSCI0087 Grădiștea Muncelului - Cioclovina *</w:t>
      </w:r>
    </w:p>
    <w:p w14:paraId="31DDF46F" w14:textId="77777777" w:rsidR="0007555D" w:rsidRPr="00C56257" w:rsidRDefault="0007555D" w:rsidP="008E33FD">
      <w:pPr>
        <w:spacing w:line="259" w:lineRule="auto"/>
        <w:contextualSpacing/>
        <w:jc w:val="both"/>
        <w:rPr>
          <w:rFonts w:eastAsia="Calibri"/>
        </w:rPr>
      </w:pPr>
      <w:r w:rsidRPr="00C56257">
        <w:rPr>
          <w:rFonts w:eastAsia="Calibri"/>
        </w:rPr>
        <w:t>ROSCI0089 Gutâi - Creasta Cocoșului</w:t>
      </w:r>
    </w:p>
    <w:p w14:paraId="2AF70A36"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0091 Herculian</w:t>
      </w:r>
    </w:p>
    <w:p w14:paraId="624F82D2" w14:textId="77777777" w:rsidR="0007555D" w:rsidRPr="00C56257" w:rsidRDefault="0007555D" w:rsidP="008E33FD">
      <w:pPr>
        <w:spacing w:line="259" w:lineRule="auto"/>
        <w:contextualSpacing/>
        <w:jc w:val="both"/>
        <w:rPr>
          <w:rFonts w:eastAsia="Calibri"/>
        </w:rPr>
      </w:pPr>
      <w:r w:rsidRPr="00C56257">
        <w:rPr>
          <w:rFonts w:eastAsia="Calibri"/>
        </w:rPr>
        <w:t>ROSCI0092 Igniș</w:t>
      </w:r>
    </w:p>
    <w:p w14:paraId="1F5A9DE3" w14:textId="77777777" w:rsidR="0007555D" w:rsidRPr="00C56257" w:rsidRDefault="0007555D" w:rsidP="008E33FD">
      <w:pPr>
        <w:spacing w:line="259" w:lineRule="auto"/>
        <w:contextualSpacing/>
        <w:jc w:val="both"/>
        <w:rPr>
          <w:rFonts w:eastAsia="Calibri"/>
        </w:rPr>
      </w:pPr>
      <w:r w:rsidRPr="00C56257">
        <w:rPr>
          <w:rFonts w:eastAsia="Calibri"/>
        </w:rPr>
        <w:t>ROSCI0097 Lacul Negru</w:t>
      </w:r>
    </w:p>
    <w:p w14:paraId="7267E102"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0101 Larion</w:t>
      </w:r>
    </w:p>
    <w:p w14:paraId="162FF7E0"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0103 Lunca Buzăului</w:t>
      </w:r>
    </w:p>
    <w:p w14:paraId="49450073"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0120 Muntele Tâmpa</w:t>
      </w:r>
    </w:p>
    <w:p w14:paraId="772F1ED4"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0121 Muntele Vulcan</w:t>
      </w:r>
    </w:p>
    <w:p w14:paraId="65BEB029"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0122 Munții Făgăraș *</w:t>
      </w:r>
    </w:p>
    <w:p w14:paraId="5F790C8E"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0124 Munții Maramureșului</w:t>
      </w:r>
    </w:p>
    <w:p w14:paraId="41E3807F" w14:textId="77777777" w:rsidR="0007555D" w:rsidRPr="00C56257" w:rsidRDefault="0007555D" w:rsidP="008E33FD">
      <w:pPr>
        <w:spacing w:line="259" w:lineRule="auto"/>
        <w:contextualSpacing/>
        <w:jc w:val="both"/>
        <w:rPr>
          <w:rFonts w:eastAsia="Calibri"/>
        </w:rPr>
      </w:pPr>
      <w:r w:rsidRPr="00C56257">
        <w:rPr>
          <w:rFonts w:eastAsia="Calibri"/>
        </w:rPr>
        <w:t>ROSCI0125 Munții Rodnei</w:t>
      </w:r>
    </w:p>
    <w:p w14:paraId="4FC56AF7" w14:textId="77777777" w:rsidR="0007555D" w:rsidRPr="00C56257" w:rsidRDefault="0007555D" w:rsidP="008E33FD">
      <w:pPr>
        <w:spacing w:line="259" w:lineRule="auto"/>
        <w:contextualSpacing/>
        <w:jc w:val="both"/>
        <w:rPr>
          <w:rFonts w:eastAsia="Calibri"/>
        </w:rPr>
      </w:pPr>
      <w:r w:rsidRPr="00C56257">
        <w:rPr>
          <w:rFonts w:eastAsia="Calibri"/>
        </w:rPr>
        <w:t>ROSCI0126 Munții Țarcu *</w:t>
      </w:r>
    </w:p>
    <w:p w14:paraId="63A575F9" w14:textId="77777777" w:rsidR="0007555D" w:rsidRPr="00C56257" w:rsidRDefault="0007555D" w:rsidP="008E33FD">
      <w:pPr>
        <w:spacing w:line="259" w:lineRule="auto"/>
        <w:contextualSpacing/>
        <w:jc w:val="both"/>
        <w:rPr>
          <w:rFonts w:eastAsia="Calibri"/>
        </w:rPr>
      </w:pPr>
      <w:r w:rsidRPr="00C56257">
        <w:rPr>
          <w:rFonts w:eastAsia="Calibri"/>
        </w:rPr>
        <w:t>ROSCI0127 Muntioru Ursoaia</w:t>
      </w:r>
    </w:p>
    <w:p w14:paraId="5DABAF0A"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0128 Nordul Gorjului de Est *</w:t>
      </w:r>
    </w:p>
    <w:p w14:paraId="1E670DD1"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0129 Nordul Gorjului de Vest</w:t>
      </w:r>
    </w:p>
    <w:p w14:paraId="7289D613"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0130 Oituz - Ojdula</w:t>
      </w:r>
    </w:p>
    <w:p w14:paraId="2CE69E39"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0132 Oltul Mijlociu - Cibin - Hârtibaciu</w:t>
      </w:r>
    </w:p>
    <w:p w14:paraId="2650CC59"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0137 Pădurea Bogății *</w:t>
      </w:r>
    </w:p>
    <w:p w14:paraId="04BC2B6E"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0153 Pădurea Glodeasa</w:t>
      </w:r>
    </w:p>
    <w:p w14:paraId="41DADE2C" w14:textId="77777777" w:rsidR="0007555D" w:rsidRPr="00C56257" w:rsidRDefault="0007555D" w:rsidP="008E33FD">
      <w:pPr>
        <w:spacing w:line="259" w:lineRule="auto"/>
        <w:contextualSpacing/>
        <w:jc w:val="both"/>
        <w:rPr>
          <w:rFonts w:eastAsia="Calibri"/>
        </w:rPr>
      </w:pPr>
      <w:r w:rsidRPr="00C56257">
        <w:rPr>
          <w:rFonts w:eastAsia="Calibri"/>
        </w:rPr>
        <w:t>ROSCI0156 Munții Goșman</w:t>
      </w:r>
    </w:p>
    <w:p w14:paraId="048A1534" w14:textId="77777777" w:rsidR="0007555D" w:rsidRPr="00C56257" w:rsidRDefault="0007555D" w:rsidP="008E33FD">
      <w:pPr>
        <w:spacing w:line="259" w:lineRule="auto"/>
        <w:contextualSpacing/>
        <w:jc w:val="both"/>
        <w:rPr>
          <w:rFonts w:eastAsia="Calibri"/>
        </w:rPr>
      </w:pPr>
      <w:r w:rsidRPr="00C56257">
        <w:rPr>
          <w:rFonts w:eastAsia="Calibri"/>
        </w:rPr>
        <w:t>ROSCI0182 Pădurea Verdele</w:t>
      </w:r>
    </w:p>
    <w:p w14:paraId="405C2FDA"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0188 Parâng *</w:t>
      </w:r>
    </w:p>
    <w:p w14:paraId="2BA48E5F"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0190 Penteleu *</w:t>
      </w:r>
    </w:p>
    <w:p w14:paraId="62F6939F" w14:textId="77777777" w:rsidR="0007555D" w:rsidRPr="00C56257" w:rsidRDefault="0007555D" w:rsidP="008E33FD">
      <w:pPr>
        <w:spacing w:line="259" w:lineRule="auto"/>
        <w:contextualSpacing/>
        <w:jc w:val="both"/>
        <w:rPr>
          <w:rFonts w:eastAsia="Calibri"/>
        </w:rPr>
      </w:pPr>
      <w:r w:rsidRPr="00C56257">
        <w:rPr>
          <w:rFonts w:eastAsia="Calibri"/>
        </w:rPr>
        <w:t>ROSCI0193 Peștera Tăușoare</w:t>
      </w:r>
    </w:p>
    <w:p w14:paraId="288A350C"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w:t>
      </w:r>
      <w:r w:rsidR="008D554E">
        <w:rPr>
          <w:rFonts w:eastAsia="Calibri"/>
        </w:rPr>
        <w:t>AC</w:t>
      </w:r>
      <w:r w:rsidRPr="00C56257">
        <w:rPr>
          <w:rFonts w:eastAsia="Calibri"/>
        </w:rPr>
        <w:t>0194 Piatra Craiului</w:t>
      </w:r>
    </w:p>
    <w:p w14:paraId="5921D19E"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0198 Platoul Mehedinți</w:t>
      </w:r>
    </w:p>
    <w:p w14:paraId="01738673"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0200 Platoul Vașcău</w:t>
      </w:r>
    </w:p>
    <w:p w14:paraId="47F99A68" w14:textId="77777777" w:rsidR="0007555D" w:rsidRPr="00C56257" w:rsidRDefault="0007555D" w:rsidP="008E33FD">
      <w:pPr>
        <w:spacing w:line="259" w:lineRule="auto"/>
        <w:contextualSpacing/>
        <w:jc w:val="both"/>
        <w:rPr>
          <w:rFonts w:eastAsia="Calibri"/>
        </w:rPr>
      </w:pPr>
      <w:r w:rsidRPr="00C56257">
        <w:rPr>
          <w:rFonts w:eastAsia="Calibri"/>
        </w:rPr>
        <w:t>ROSCI0206 Porțile de Fier *</w:t>
      </w:r>
    </w:p>
    <w:p w14:paraId="4DA55D33" w14:textId="77777777" w:rsidR="0007555D" w:rsidRPr="00C56257" w:rsidRDefault="0007555D" w:rsidP="008E33FD">
      <w:pPr>
        <w:spacing w:line="259" w:lineRule="auto"/>
        <w:contextualSpacing/>
        <w:jc w:val="both"/>
        <w:rPr>
          <w:rFonts w:eastAsia="Calibri"/>
        </w:rPr>
      </w:pPr>
      <w:r w:rsidRPr="00C56257">
        <w:rPr>
          <w:rFonts w:eastAsia="Calibri"/>
        </w:rPr>
        <w:t>ROSCI0207 Postăvarul</w:t>
      </w:r>
    </w:p>
    <w:p w14:paraId="5BF55587"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0208 Putna - Vrancea *</w:t>
      </w:r>
    </w:p>
    <w:p w14:paraId="6DDEFA60"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0212 Rarău - Giumalău</w:t>
      </w:r>
    </w:p>
    <w:p w14:paraId="1E382904" w14:textId="77777777" w:rsidR="0007555D" w:rsidRPr="00C56257" w:rsidRDefault="0007555D" w:rsidP="008E33FD">
      <w:pPr>
        <w:spacing w:line="259" w:lineRule="auto"/>
        <w:contextualSpacing/>
        <w:jc w:val="both"/>
        <w:rPr>
          <w:rFonts w:eastAsia="Calibri"/>
        </w:rPr>
      </w:pPr>
      <w:r w:rsidRPr="00C56257">
        <w:rPr>
          <w:rFonts w:eastAsia="Calibri"/>
        </w:rPr>
        <w:t>ROS</w:t>
      </w:r>
      <w:bookmarkStart w:id="58" w:name="_Hlk140146366"/>
      <w:r w:rsidR="008D554E">
        <w:rPr>
          <w:rFonts w:eastAsia="Calibri"/>
        </w:rPr>
        <w:t>AC</w:t>
      </w:r>
      <w:bookmarkEnd w:id="58"/>
      <w:r w:rsidRPr="00C56257">
        <w:rPr>
          <w:rFonts w:eastAsia="Calibri"/>
        </w:rPr>
        <w:t>0216 Reghiu Scruntar</w:t>
      </w:r>
    </w:p>
    <w:p w14:paraId="6B8A46E8" w14:textId="77777777" w:rsidR="0007555D" w:rsidRPr="00C56257" w:rsidRDefault="0007555D" w:rsidP="008E33FD">
      <w:pPr>
        <w:spacing w:line="259" w:lineRule="auto"/>
        <w:contextualSpacing/>
        <w:jc w:val="both"/>
        <w:rPr>
          <w:rFonts w:eastAsia="Calibri"/>
        </w:rPr>
      </w:pPr>
      <w:r w:rsidRPr="00C56257">
        <w:rPr>
          <w:rFonts w:eastAsia="Calibri"/>
        </w:rPr>
        <w:t>ROSCI0217 Retezat</w:t>
      </w:r>
    </w:p>
    <w:p w14:paraId="32CF24EC"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Pr>
          <w:rFonts w:eastAsia="Calibri"/>
        </w:rPr>
        <w:t>AC</w:t>
      </w:r>
      <w:r w:rsidRPr="00C56257">
        <w:rPr>
          <w:rFonts w:eastAsia="Calibri"/>
        </w:rPr>
        <w:t>0219 Rusca Montană</w:t>
      </w:r>
    </w:p>
    <w:p w14:paraId="4FC84847" w14:textId="77777777" w:rsidR="0007555D" w:rsidRPr="00C56257" w:rsidRDefault="0007555D" w:rsidP="008E33FD">
      <w:pPr>
        <w:spacing w:line="259" w:lineRule="auto"/>
        <w:contextualSpacing/>
        <w:jc w:val="both"/>
        <w:rPr>
          <w:rFonts w:eastAsia="Calibri"/>
        </w:rPr>
      </w:pPr>
      <w:r w:rsidRPr="00C56257">
        <w:rPr>
          <w:rFonts w:eastAsia="Calibri"/>
        </w:rPr>
        <w:t>ROSCI0226 Semenic - Cheile Carașului</w:t>
      </w:r>
    </w:p>
    <w:p w14:paraId="51899DC4" w14:textId="77777777" w:rsidR="0007555D" w:rsidRPr="00C56257" w:rsidRDefault="0007555D" w:rsidP="008E33FD">
      <w:pPr>
        <w:spacing w:line="259" w:lineRule="auto"/>
        <w:contextualSpacing/>
        <w:jc w:val="both"/>
        <w:rPr>
          <w:rFonts w:eastAsia="Calibri"/>
        </w:rPr>
      </w:pPr>
      <w:r w:rsidRPr="00C56257">
        <w:rPr>
          <w:rFonts w:eastAsia="Calibri"/>
        </w:rPr>
        <w:t>ROS</w:t>
      </w:r>
      <w:r w:rsidR="008D554E" w:rsidRPr="008D554E">
        <w:rPr>
          <w:rFonts w:eastAsia="Calibri"/>
        </w:rPr>
        <w:t>AC</w:t>
      </w:r>
      <w:r w:rsidRPr="00C56257">
        <w:rPr>
          <w:rFonts w:eastAsia="Calibri"/>
        </w:rPr>
        <w:t>0227 Sighișoara - Târnava Mare</w:t>
      </w:r>
    </w:p>
    <w:p w14:paraId="2776371B" w14:textId="77777777" w:rsidR="0007555D" w:rsidRPr="00C56257" w:rsidRDefault="0007555D" w:rsidP="008E33FD">
      <w:pPr>
        <w:spacing w:line="259" w:lineRule="auto"/>
        <w:contextualSpacing/>
        <w:jc w:val="both"/>
        <w:rPr>
          <w:rFonts w:eastAsia="Calibri"/>
        </w:rPr>
      </w:pPr>
      <w:r w:rsidRPr="00C56257">
        <w:rPr>
          <w:rFonts w:eastAsia="Calibri"/>
        </w:rPr>
        <w:t>ROSCI0228 Șindrilița</w:t>
      </w:r>
    </w:p>
    <w:p w14:paraId="7D2CC48C" w14:textId="77777777" w:rsidR="0007555D" w:rsidRPr="00C56257" w:rsidRDefault="0007555D" w:rsidP="008E33FD">
      <w:pPr>
        <w:spacing w:line="259" w:lineRule="auto"/>
        <w:contextualSpacing/>
        <w:jc w:val="both"/>
        <w:rPr>
          <w:rFonts w:eastAsia="Calibri"/>
        </w:rPr>
      </w:pPr>
      <w:r w:rsidRPr="00C56257">
        <w:rPr>
          <w:rFonts w:eastAsia="Calibri"/>
        </w:rPr>
        <w:t>ROS</w:t>
      </w:r>
      <w:r w:rsidR="005411EF">
        <w:rPr>
          <w:rFonts w:eastAsia="Calibri"/>
        </w:rPr>
        <w:t>AC</w:t>
      </w:r>
      <w:r w:rsidRPr="00C56257">
        <w:rPr>
          <w:rFonts w:eastAsia="Calibri"/>
        </w:rPr>
        <w:t>0229 Siriu</w:t>
      </w:r>
    </w:p>
    <w:p w14:paraId="397D2279" w14:textId="77777777" w:rsidR="0007555D" w:rsidRPr="00C56257" w:rsidRDefault="0007555D" w:rsidP="008E33FD">
      <w:pPr>
        <w:spacing w:line="259" w:lineRule="auto"/>
        <w:contextualSpacing/>
        <w:jc w:val="both"/>
        <w:rPr>
          <w:rFonts w:eastAsia="Calibri"/>
        </w:rPr>
      </w:pPr>
      <w:r w:rsidRPr="00C56257">
        <w:rPr>
          <w:rFonts w:eastAsia="Calibri"/>
        </w:rPr>
        <w:t>ROS</w:t>
      </w:r>
      <w:r w:rsidR="005411EF">
        <w:rPr>
          <w:rFonts w:eastAsia="Calibri"/>
        </w:rPr>
        <w:t>AC</w:t>
      </w:r>
      <w:r w:rsidRPr="00C56257">
        <w:rPr>
          <w:rFonts w:eastAsia="Calibri"/>
        </w:rPr>
        <w:t>0230 Slănic</w:t>
      </w:r>
    </w:p>
    <w:p w14:paraId="10A0604A" w14:textId="77777777" w:rsidR="0007555D" w:rsidRPr="00C56257" w:rsidRDefault="0007555D" w:rsidP="008E33FD">
      <w:pPr>
        <w:spacing w:line="259" w:lineRule="auto"/>
        <w:contextualSpacing/>
        <w:jc w:val="both"/>
        <w:rPr>
          <w:rFonts w:eastAsia="Calibri"/>
        </w:rPr>
      </w:pPr>
      <w:r w:rsidRPr="00C56257">
        <w:rPr>
          <w:rFonts w:eastAsia="Calibri"/>
        </w:rPr>
        <w:t>ROS</w:t>
      </w:r>
      <w:r w:rsidR="005411EF">
        <w:rPr>
          <w:rFonts w:eastAsia="Calibri"/>
        </w:rPr>
        <w:t>AC</w:t>
      </w:r>
      <w:r w:rsidRPr="00C56257">
        <w:rPr>
          <w:rFonts w:eastAsia="Calibri"/>
        </w:rPr>
        <w:t>0233 Someșul Rece</w:t>
      </w:r>
    </w:p>
    <w:p w14:paraId="739AB2AC" w14:textId="77777777" w:rsidR="0007555D" w:rsidRPr="00C56257" w:rsidRDefault="0007555D" w:rsidP="008E33FD">
      <w:pPr>
        <w:spacing w:line="259" w:lineRule="auto"/>
        <w:contextualSpacing/>
        <w:jc w:val="both"/>
        <w:rPr>
          <w:rFonts w:eastAsia="Calibri"/>
        </w:rPr>
      </w:pPr>
      <w:r w:rsidRPr="00C56257">
        <w:rPr>
          <w:rFonts w:eastAsia="Calibri"/>
        </w:rPr>
        <w:t>ROSCI0236 Strei - Hațeg *</w:t>
      </w:r>
    </w:p>
    <w:p w14:paraId="10C56EBE" w14:textId="77777777" w:rsidR="0007555D" w:rsidRPr="00C56257" w:rsidRDefault="0007555D" w:rsidP="008E33FD">
      <w:pPr>
        <w:spacing w:line="259" w:lineRule="auto"/>
        <w:contextualSpacing/>
        <w:jc w:val="both"/>
        <w:rPr>
          <w:rFonts w:eastAsia="Calibri"/>
        </w:rPr>
      </w:pPr>
      <w:r w:rsidRPr="00C56257">
        <w:rPr>
          <w:rFonts w:eastAsia="Calibri"/>
        </w:rPr>
        <w:t>ROS</w:t>
      </w:r>
      <w:r w:rsidR="005411EF">
        <w:rPr>
          <w:rFonts w:eastAsia="Calibri"/>
        </w:rPr>
        <w:t>AC</w:t>
      </w:r>
      <w:r w:rsidRPr="00C56257">
        <w:rPr>
          <w:rFonts w:eastAsia="Calibri"/>
        </w:rPr>
        <w:t>0239 Târnovu Mare - Latorița</w:t>
      </w:r>
    </w:p>
    <w:p w14:paraId="0136250D" w14:textId="77777777" w:rsidR="0007555D" w:rsidRPr="00C56257" w:rsidRDefault="0007555D" w:rsidP="008E33FD">
      <w:pPr>
        <w:spacing w:line="259" w:lineRule="auto"/>
        <w:contextualSpacing/>
        <w:jc w:val="both"/>
        <w:rPr>
          <w:rFonts w:eastAsia="Calibri"/>
        </w:rPr>
      </w:pPr>
      <w:r w:rsidRPr="00C56257">
        <w:rPr>
          <w:rFonts w:eastAsia="Calibri"/>
        </w:rPr>
        <w:t>ROSCI0241 Tinovul Apa Lina - Honcsok</w:t>
      </w:r>
    </w:p>
    <w:p w14:paraId="153815C7" w14:textId="77777777" w:rsidR="0007555D" w:rsidRPr="00C56257" w:rsidRDefault="0007555D" w:rsidP="008E33FD">
      <w:pPr>
        <w:spacing w:line="259" w:lineRule="auto"/>
        <w:contextualSpacing/>
        <w:jc w:val="both"/>
        <w:rPr>
          <w:rFonts w:eastAsia="Calibri"/>
        </w:rPr>
      </w:pPr>
      <w:r w:rsidRPr="00C56257">
        <w:rPr>
          <w:rFonts w:eastAsia="Calibri"/>
        </w:rPr>
        <w:t>ROS</w:t>
      </w:r>
      <w:r w:rsidR="005411EF">
        <w:rPr>
          <w:rFonts w:eastAsia="Calibri"/>
        </w:rPr>
        <w:t>AC</w:t>
      </w:r>
      <w:r w:rsidRPr="00C56257">
        <w:rPr>
          <w:rFonts w:eastAsia="Calibri"/>
        </w:rPr>
        <w:t>0242 Tinovul Apa Roșie</w:t>
      </w:r>
    </w:p>
    <w:p w14:paraId="23A833A9" w14:textId="77777777" w:rsidR="0007555D" w:rsidRPr="00C56257" w:rsidRDefault="0007555D" w:rsidP="008E33FD">
      <w:pPr>
        <w:spacing w:line="259" w:lineRule="auto"/>
        <w:contextualSpacing/>
        <w:jc w:val="both"/>
        <w:rPr>
          <w:rFonts w:eastAsia="Calibri"/>
        </w:rPr>
      </w:pPr>
      <w:r w:rsidRPr="00C56257">
        <w:rPr>
          <w:rFonts w:eastAsia="Calibri"/>
        </w:rPr>
        <w:t>ROS</w:t>
      </w:r>
      <w:r w:rsidR="005411EF">
        <w:rPr>
          <w:rFonts w:eastAsia="Calibri"/>
        </w:rPr>
        <w:t>AC</w:t>
      </w:r>
      <w:r w:rsidRPr="00C56257">
        <w:rPr>
          <w:rFonts w:eastAsia="Calibri"/>
        </w:rPr>
        <w:t>0248 Tinovul Mohoș - Lacul Sf. Ana</w:t>
      </w:r>
    </w:p>
    <w:p w14:paraId="06D29A80" w14:textId="77777777" w:rsidR="0007555D" w:rsidRPr="00C56257" w:rsidRDefault="0007555D" w:rsidP="008E33FD">
      <w:pPr>
        <w:spacing w:line="259" w:lineRule="auto"/>
        <w:contextualSpacing/>
        <w:jc w:val="both"/>
        <w:rPr>
          <w:rFonts w:eastAsia="Calibri"/>
        </w:rPr>
      </w:pPr>
      <w:r w:rsidRPr="00C56257">
        <w:rPr>
          <w:rFonts w:eastAsia="Calibri"/>
        </w:rPr>
        <w:t>ROSCI0250 Ținutul Pădurenilor *</w:t>
      </w:r>
    </w:p>
    <w:p w14:paraId="587DCFE4" w14:textId="77777777" w:rsidR="0007555D" w:rsidRPr="00C56257" w:rsidRDefault="0007555D" w:rsidP="008E33FD">
      <w:pPr>
        <w:spacing w:line="259" w:lineRule="auto"/>
        <w:contextualSpacing/>
        <w:jc w:val="both"/>
        <w:rPr>
          <w:rFonts w:eastAsia="Calibri"/>
        </w:rPr>
      </w:pPr>
      <w:r w:rsidRPr="00C56257">
        <w:rPr>
          <w:rFonts w:eastAsia="Calibri"/>
        </w:rPr>
        <w:t>ROSCI0251 Tisa Superioară</w:t>
      </w:r>
    </w:p>
    <w:p w14:paraId="6D9D468A" w14:textId="77777777" w:rsidR="0007555D" w:rsidRPr="00C56257" w:rsidRDefault="0007555D" w:rsidP="008E33FD">
      <w:pPr>
        <w:spacing w:line="259" w:lineRule="auto"/>
        <w:contextualSpacing/>
        <w:jc w:val="both"/>
        <w:rPr>
          <w:rFonts w:eastAsia="Calibri"/>
        </w:rPr>
      </w:pPr>
      <w:r w:rsidRPr="00C56257">
        <w:rPr>
          <w:rFonts w:eastAsia="Calibri"/>
        </w:rPr>
        <w:t>ROS</w:t>
      </w:r>
      <w:r w:rsidR="005411EF">
        <w:rPr>
          <w:rFonts w:eastAsia="Calibri"/>
        </w:rPr>
        <w:t>AC</w:t>
      </w:r>
      <w:r w:rsidRPr="00C56257">
        <w:rPr>
          <w:rFonts w:eastAsia="Calibri"/>
        </w:rPr>
        <w:t>0253 Trascău *</w:t>
      </w:r>
    </w:p>
    <w:p w14:paraId="45A80316" w14:textId="77777777" w:rsidR="0007555D" w:rsidRPr="00C56257" w:rsidRDefault="0007555D" w:rsidP="008E33FD">
      <w:pPr>
        <w:spacing w:line="259" w:lineRule="auto"/>
        <w:contextualSpacing/>
        <w:jc w:val="both"/>
        <w:rPr>
          <w:rFonts w:eastAsia="Calibri"/>
        </w:rPr>
      </w:pPr>
      <w:r w:rsidRPr="00C56257">
        <w:rPr>
          <w:rFonts w:eastAsia="Calibri"/>
        </w:rPr>
        <w:t>ROSCI0256 Turbăria Ruginosu Zagon</w:t>
      </w:r>
    </w:p>
    <w:p w14:paraId="598B2CA5" w14:textId="77777777" w:rsidR="0007555D" w:rsidRPr="00C56257" w:rsidRDefault="0007555D" w:rsidP="008E33FD">
      <w:pPr>
        <w:spacing w:line="259" w:lineRule="auto"/>
        <w:contextualSpacing/>
        <w:jc w:val="both"/>
        <w:rPr>
          <w:rFonts w:eastAsia="Calibri"/>
        </w:rPr>
      </w:pPr>
      <w:r w:rsidRPr="00C56257">
        <w:rPr>
          <w:rFonts w:eastAsia="Calibri"/>
        </w:rPr>
        <w:t>ROSCI0258 Văile Brătiei și Brătioarei</w:t>
      </w:r>
    </w:p>
    <w:p w14:paraId="4B3CA4FC" w14:textId="77777777" w:rsidR="0007555D" w:rsidRPr="00C56257" w:rsidRDefault="0007555D" w:rsidP="008E33FD">
      <w:pPr>
        <w:spacing w:line="259" w:lineRule="auto"/>
        <w:contextualSpacing/>
        <w:jc w:val="both"/>
        <w:rPr>
          <w:rFonts w:eastAsia="Calibri"/>
        </w:rPr>
      </w:pPr>
      <w:r w:rsidRPr="00C56257">
        <w:rPr>
          <w:rFonts w:eastAsia="Calibri"/>
        </w:rPr>
        <w:t>ROS</w:t>
      </w:r>
      <w:r w:rsidR="005411EF">
        <w:rPr>
          <w:rFonts w:eastAsia="Calibri"/>
        </w:rPr>
        <w:t>AC</w:t>
      </w:r>
      <w:r w:rsidRPr="00C56257">
        <w:rPr>
          <w:rFonts w:eastAsia="Calibri"/>
        </w:rPr>
        <w:t>0260 Valea Cepelor</w:t>
      </w:r>
    </w:p>
    <w:p w14:paraId="709238BA" w14:textId="77777777" w:rsidR="0007555D" w:rsidRPr="00C56257" w:rsidRDefault="0007555D" w:rsidP="008E33FD">
      <w:pPr>
        <w:spacing w:line="259" w:lineRule="auto"/>
        <w:contextualSpacing/>
        <w:jc w:val="both"/>
        <w:rPr>
          <w:rFonts w:eastAsia="Calibri"/>
        </w:rPr>
      </w:pPr>
      <w:r w:rsidRPr="00C56257">
        <w:rPr>
          <w:rFonts w:eastAsia="Calibri"/>
        </w:rPr>
        <w:t>ROS</w:t>
      </w:r>
      <w:r w:rsidR="005411EF">
        <w:rPr>
          <w:rFonts w:eastAsia="Calibri"/>
        </w:rPr>
        <w:t>AC</w:t>
      </w:r>
      <w:r w:rsidRPr="00C56257">
        <w:rPr>
          <w:rFonts w:eastAsia="Calibri"/>
        </w:rPr>
        <w:t>0262 Valea Iad</w:t>
      </w:r>
      <w:r w:rsidR="005411EF">
        <w:rPr>
          <w:rFonts w:eastAsia="Calibri"/>
        </w:rPr>
        <w:t>ei</w:t>
      </w:r>
    </w:p>
    <w:p w14:paraId="349727F7" w14:textId="77777777" w:rsidR="0007555D" w:rsidRPr="00C56257" w:rsidRDefault="0007555D" w:rsidP="008E33FD">
      <w:pPr>
        <w:spacing w:line="259" w:lineRule="auto"/>
        <w:contextualSpacing/>
        <w:jc w:val="both"/>
        <w:rPr>
          <w:rFonts w:eastAsia="Calibri"/>
        </w:rPr>
      </w:pPr>
      <w:r w:rsidRPr="00C56257">
        <w:rPr>
          <w:rFonts w:eastAsia="Calibri"/>
        </w:rPr>
        <w:t>ROSCI0263 Valea Ierii</w:t>
      </w:r>
    </w:p>
    <w:p w14:paraId="25E4F3E4" w14:textId="77777777" w:rsidR="0007555D" w:rsidRPr="00C56257" w:rsidRDefault="0007555D" w:rsidP="008E33FD">
      <w:pPr>
        <w:spacing w:line="259" w:lineRule="auto"/>
        <w:contextualSpacing/>
        <w:jc w:val="both"/>
        <w:rPr>
          <w:rFonts w:eastAsia="Calibri"/>
        </w:rPr>
      </w:pPr>
      <w:r w:rsidRPr="00C56257">
        <w:rPr>
          <w:rFonts w:eastAsia="Calibri"/>
        </w:rPr>
        <w:t>ROSCI0264 Valea Izei și Dealul Solovan *</w:t>
      </w:r>
    </w:p>
    <w:p w14:paraId="5B6D3E67" w14:textId="77777777" w:rsidR="0007555D" w:rsidRPr="00C56257" w:rsidRDefault="0007555D" w:rsidP="008E33FD">
      <w:pPr>
        <w:spacing w:line="259" w:lineRule="auto"/>
        <w:contextualSpacing/>
        <w:jc w:val="both"/>
        <w:rPr>
          <w:rFonts w:eastAsia="Calibri"/>
        </w:rPr>
      </w:pPr>
      <w:r w:rsidRPr="00C56257">
        <w:rPr>
          <w:rFonts w:eastAsia="Calibri"/>
        </w:rPr>
        <w:t>ROSCI0268 Valea Vâlsanului</w:t>
      </w:r>
    </w:p>
    <w:p w14:paraId="08FFE7B0" w14:textId="77777777" w:rsidR="0007555D" w:rsidRPr="00C56257" w:rsidRDefault="0007555D" w:rsidP="008E33FD">
      <w:pPr>
        <w:spacing w:line="259" w:lineRule="auto"/>
        <w:contextualSpacing/>
        <w:jc w:val="both"/>
        <w:rPr>
          <w:rFonts w:eastAsia="Calibri"/>
        </w:rPr>
      </w:pPr>
      <w:r w:rsidRPr="00C56257">
        <w:rPr>
          <w:rFonts w:eastAsia="Calibri"/>
        </w:rPr>
        <w:t>ROS</w:t>
      </w:r>
      <w:r w:rsidR="005411EF">
        <w:rPr>
          <w:rFonts w:eastAsia="Calibri"/>
        </w:rPr>
        <w:t>AC</w:t>
      </w:r>
      <w:r w:rsidRPr="00C56257">
        <w:rPr>
          <w:rFonts w:eastAsia="Calibri"/>
        </w:rPr>
        <w:t>0270 Vânători-Neamț</w:t>
      </w:r>
    </w:p>
    <w:p w14:paraId="5C67FE7D" w14:textId="77777777" w:rsidR="0007555D" w:rsidRPr="00C56257" w:rsidRDefault="0007555D" w:rsidP="008E33FD">
      <w:pPr>
        <w:spacing w:line="259" w:lineRule="auto"/>
        <w:contextualSpacing/>
        <w:jc w:val="both"/>
        <w:rPr>
          <w:rFonts w:eastAsia="Calibri"/>
        </w:rPr>
      </w:pPr>
      <w:r w:rsidRPr="00C56257">
        <w:rPr>
          <w:rFonts w:eastAsia="Calibri"/>
        </w:rPr>
        <w:t>ROS</w:t>
      </w:r>
      <w:r w:rsidR="005411EF">
        <w:rPr>
          <w:rFonts w:eastAsia="Calibri"/>
        </w:rPr>
        <w:t>AC</w:t>
      </w:r>
      <w:r w:rsidRPr="00C56257">
        <w:rPr>
          <w:rFonts w:eastAsia="Calibri"/>
        </w:rPr>
        <w:t>0283 Cheile Doftanei</w:t>
      </w:r>
    </w:p>
    <w:p w14:paraId="1C9ADA0E" w14:textId="77777777" w:rsidR="0007555D" w:rsidRPr="00C56257" w:rsidRDefault="0007555D" w:rsidP="008E33FD">
      <w:pPr>
        <w:spacing w:line="259" w:lineRule="auto"/>
        <w:contextualSpacing/>
        <w:jc w:val="both"/>
        <w:rPr>
          <w:rFonts w:eastAsia="Calibri"/>
        </w:rPr>
      </w:pPr>
      <w:r w:rsidRPr="00C56257">
        <w:rPr>
          <w:rFonts w:eastAsia="Calibri"/>
        </w:rPr>
        <w:t>ROSCI0284 Cheile Teregovei</w:t>
      </w:r>
    </w:p>
    <w:p w14:paraId="7BABF9FD" w14:textId="77777777" w:rsidR="0007555D" w:rsidRPr="00C56257" w:rsidRDefault="0007555D" w:rsidP="008E33FD">
      <w:pPr>
        <w:spacing w:line="259" w:lineRule="auto"/>
        <w:contextualSpacing/>
        <w:jc w:val="both"/>
        <w:rPr>
          <w:rFonts w:eastAsia="Calibri"/>
        </w:rPr>
      </w:pPr>
      <w:r w:rsidRPr="00C56257">
        <w:rPr>
          <w:rFonts w:eastAsia="Calibri"/>
        </w:rPr>
        <w:t>ROSCI0285 Codrii seculari de la Strâmbu - Băiuț *</w:t>
      </w:r>
    </w:p>
    <w:p w14:paraId="0FA253E0" w14:textId="77777777" w:rsidR="0007555D" w:rsidRPr="00C56257" w:rsidRDefault="0007555D" w:rsidP="008E33FD">
      <w:pPr>
        <w:spacing w:line="259" w:lineRule="auto"/>
        <w:contextualSpacing/>
        <w:jc w:val="both"/>
        <w:rPr>
          <w:rFonts w:eastAsia="Calibri"/>
        </w:rPr>
      </w:pPr>
      <w:r w:rsidRPr="00C56257">
        <w:rPr>
          <w:rFonts w:eastAsia="Calibri"/>
        </w:rPr>
        <w:t>ROSCI0292 Coridorul Rusca Montană - Țarcu - Retezat *</w:t>
      </w:r>
    </w:p>
    <w:p w14:paraId="617880AE" w14:textId="77777777" w:rsidR="0007555D" w:rsidRPr="00C56257" w:rsidRDefault="0007555D" w:rsidP="008E33FD">
      <w:pPr>
        <w:spacing w:line="259" w:lineRule="auto"/>
        <w:contextualSpacing/>
        <w:jc w:val="both"/>
        <w:rPr>
          <w:rFonts w:eastAsia="Calibri"/>
        </w:rPr>
      </w:pPr>
      <w:r w:rsidRPr="00C56257">
        <w:rPr>
          <w:rFonts w:eastAsia="Calibri"/>
        </w:rPr>
        <w:t>ROS</w:t>
      </w:r>
      <w:r w:rsidR="005411EF">
        <w:rPr>
          <w:rFonts w:eastAsia="Calibri"/>
        </w:rPr>
        <w:t>AC</w:t>
      </w:r>
      <w:r w:rsidRPr="00C56257">
        <w:rPr>
          <w:rFonts w:eastAsia="Calibri"/>
        </w:rPr>
        <w:t>0297 Dealurile Târnavei Mici - Bicheș</w:t>
      </w:r>
    </w:p>
    <w:p w14:paraId="66ED77EA" w14:textId="77777777" w:rsidR="0007555D" w:rsidRPr="00C56257" w:rsidRDefault="0007555D" w:rsidP="008E33FD">
      <w:pPr>
        <w:spacing w:line="259" w:lineRule="auto"/>
        <w:contextualSpacing/>
        <w:jc w:val="both"/>
        <w:rPr>
          <w:rFonts w:eastAsia="Calibri"/>
        </w:rPr>
      </w:pPr>
      <w:r w:rsidRPr="00C56257">
        <w:rPr>
          <w:rFonts w:eastAsia="Calibri"/>
        </w:rPr>
        <w:t>ROS</w:t>
      </w:r>
      <w:r w:rsidR="005411EF">
        <w:rPr>
          <w:rFonts w:eastAsia="Calibri"/>
        </w:rPr>
        <w:t>AC</w:t>
      </w:r>
      <w:r w:rsidRPr="00C56257">
        <w:rPr>
          <w:rFonts w:eastAsia="Calibri"/>
        </w:rPr>
        <w:t>0298 Defileul Crișului Alb</w:t>
      </w:r>
    </w:p>
    <w:p w14:paraId="3F1E2AA5" w14:textId="77777777" w:rsidR="0007555D" w:rsidRPr="00C56257" w:rsidRDefault="0007555D" w:rsidP="008E33FD">
      <w:pPr>
        <w:spacing w:line="259" w:lineRule="auto"/>
        <w:contextualSpacing/>
        <w:jc w:val="both"/>
        <w:rPr>
          <w:rFonts w:eastAsia="Calibri"/>
        </w:rPr>
      </w:pPr>
      <w:r w:rsidRPr="00C56257">
        <w:rPr>
          <w:rFonts w:eastAsia="Calibri"/>
        </w:rPr>
        <w:t>ROS</w:t>
      </w:r>
      <w:r w:rsidR="00993E62">
        <w:rPr>
          <w:rFonts w:eastAsia="Calibri"/>
        </w:rPr>
        <w:t>AC</w:t>
      </w:r>
      <w:r w:rsidRPr="00C56257">
        <w:rPr>
          <w:rFonts w:eastAsia="Calibri"/>
        </w:rPr>
        <w:t>0303 Hârtibaciu Sud - Est</w:t>
      </w:r>
    </w:p>
    <w:p w14:paraId="0356BF3B" w14:textId="77777777" w:rsidR="0007555D" w:rsidRPr="00C56257" w:rsidRDefault="0007555D" w:rsidP="008E33FD">
      <w:pPr>
        <w:spacing w:line="259" w:lineRule="auto"/>
        <w:contextualSpacing/>
        <w:jc w:val="both"/>
        <w:rPr>
          <w:rFonts w:eastAsia="Calibri"/>
        </w:rPr>
      </w:pPr>
      <w:r w:rsidRPr="00C56257">
        <w:rPr>
          <w:rFonts w:eastAsia="Calibri"/>
        </w:rPr>
        <w:t>ROS</w:t>
      </w:r>
      <w:r w:rsidR="00993E62">
        <w:rPr>
          <w:rFonts w:eastAsia="Calibri"/>
        </w:rPr>
        <w:t>AC</w:t>
      </w:r>
      <w:r w:rsidRPr="00C56257">
        <w:rPr>
          <w:rFonts w:eastAsia="Calibri"/>
        </w:rPr>
        <w:t>0304 Hârtibaciu Sud - Vest</w:t>
      </w:r>
    </w:p>
    <w:p w14:paraId="31F2F242" w14:textId="77777777" w:rsidR="0007555D" w:rsidRPr="00C56257" w:rsidRDefault="0007555D" w:rsidP="008E33FD">
      <w:pPr>
        <w:spacing w:line="259" w:lineRule="auto"/>
        <w:contextualSpacing/>
        <w:jc w:val="both"/>
        <w:rPr>
          <w:rFonts w:eastAsia="Calibri"/>
        </w:rPr>
      </w:pPr>
      <w:r w:rsidRPr="00C56257">
        <w:rPr>
          <w:rFonts w:eastAsia="Calibri"/>
        </w:rPr>
        <w:t>ROSCI0314 Lozna</w:t>
      </w:r>
    </w:p>
    <w:p w14:paraId="50448DD1" w14:textId="77777777" w:rsidR="0007555D" w:rsidRPr="00C56257" w:rsidRDefault="0007555D" w:rsidP="008E33FD">
      <w:pPr>
        <w:spacing w:line="259" w:lineRule="auto"/>
        <w:contextualSpacing/>
        <w:jc w:val="both"/>
        <w:rPr>
          <w:rFonts w:eastAsia="Calibri"/>
        </w:rPr>
      </w:pPr>
      <w:r w:rsidRPr="00C56257">
        <w:rPr>
          <w:rFonts w:eastAsia="Calibri"/>
        </w:rPr>
        <w:t>ROS</w:t>
      </w:r>
      <w:r w:rsidR="00993E62">
        <w:rPr>
          <w:rFonts w:eastAsia="Calibri"/>
        </w:rPr>
        <w:t>AC</w:t>
      </w:r>
      <w:r w:rsidRPr="00C56257">
        <w:rPr>
          <w:rFonts w:eastAsia="Calibri"/>
        </w:rPr>
        <w:t>0318 Măgura Târgu Ocna</w:t>
      </w:r>
    </w:p>
    <w:p w14:paraId="71015B79" w14:textId="77777777" w:rsidR="0007555D" w:rsidRPr="00C56257" w:rsidRDefault="0007555D" w:rsidP="008E33FD">
      <w:pPr>
        <w:spacing w:line="259" w:lineRule="auto"/>
        <w:contextualSpacing/>
        <w:jc w:val="both"/>
        <w:rPr>
          <w:rFonts w:eastAsia="Calibri"/>
        </w:rPr>
      </w:pPr>
      <w:r w:rsidRPr="00C56257">
        <w:rPr>
          <w:rFonts w:eastAsia="Calibri"/>
        </w:rPr>
        <w:t>ROS</w:t>
      </w:r>
      <w:r w:rsidR="00993E62">
        <w:rPr>
          <w:rFonts w:eastAsia="Calibri"/>
        </w:rPr>
        <w:t>AC</w:t>
      </w:r>
      <w:r w:rsidRPr="00C56257">
        <w:rPr>
          <w:rFonts w:eastAsia="Calibri"/>
        </w:rPr>
        <w:t>0322 Muntele Șes *</w:t>
      </w:r>
    </w:p>
    <w:p w14:paraId="5C1F14E9" w14:textId="77777777" w:rsidR="0007555D" w:rsidRPr="00C56257" w:rsidRDefault="0007555D" w:rsidP="008E33FD">
      <w:pPr>
        <w:spacing w:line="259" w:lineRule="auto"/>
        <w:contextualSpacing/>
        <w:jc w:val="both"/>
        <w:rPr>
          <w:rFonts w:eastAsia="Calibri"/>
        </w:rPr>
      </w:pPr>
      <w:r w:rsidRPr="00C56257">
        <w:rPr>
          <w:rFonts w:eastAsia="Calibri"/>
        </w:rPr>
        <w:t>ROSCI0323 Munții Ciucului</w:t>
      </w:r>
    </w:p>
    <w:p w14:paraId="2F721479" w14:textId="77777777" w:rsidR="0007555D" w:rsidRPr="00C56257" w:rsidRDefault="0007555D" w:rsidP="008E33FD">
      <w:pPr>
        <w:spacing w:line="259" w:lineRule="auto"/>
        <w:contextualSpacing/>
        <w:jc w:val="both"/>
        <w:rPr>
          <w:rFonts w:eastAsia="Calibri"/>
        </w:rPr>
      </w:pPr>
      <w:r w:rsidRPr="00C56257">
        <w:rPr>
          <w:rFonts w:eastAsia="Calibri"/>
        </w:rPr>
        <w:t>ROSCI0324 Munții Bihor *</w:t>
      </w:r>
    </w:p>
    <w:p w14:paraId="46883A07" w14:textId="77777777" w:rsidR="0007555D" w:rsidRPr="00C56257" w:rsidRDefault="0007555D" w:rsidP="008E33FD">
      <w:pPr>
        <w:spacing w:line="259" w:lineRule="auto"/>
        <w:contextualSpacing/>
        <w:jc w:val="both"/>
        <w:rPr>
          <w:rFonts w:eastAsia="Calibri"/>
        </w:rPr>
      </w:pPr>
      <w:r w:rsidRPr="00C56257">
        <w:rPr>
          <w:rFonts w:eastAsia="Calibri"/>
        </w:rPr>
        <w:t>ROSCI0325 Munții Metaliferi</w:t>
      </w:r>
    </w:p>
    <w:p w14:paraId="7326F0BD"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w:t>
      </w:r>
      <w:r w:rsidR="00993E62">
        <w:rPr>
          <w:rFonts w:eastAsia="Calibri"/>
        </w:rPr>
        <w:t>AC</w:t>
      </w:r>
      <w:r w:rsidRPr="00C56257">
        <w:rPr>
          <w:rFonts w:eastAsia="Calibri"/>
        </w:rPr>
        <w:t>0326 Muscelele Argeșului</w:t>
      </w:r>
    </w:p>
    <w:p w14:paraId="37EE6677" w14:textId="77777777" w:rsidR="0007555D" w:rsidRPr="00C56257" w:rsidRDefault="0007555D" w:rsidP="008E33FD">
      <w:pPr>
        <w:spacing w:line="259" w:lineRule="auto"/>
        <w:contextualSpacing/>
        <w:jc w:val="both"/>
        <w:rPr>
          <w:rFonts w:eastAsia="Calibri"/>
        </w:rPr>
      </w:pPr>
      <w:r w:rsidRPr="00C56257">
        <w:rPr>
          <w:rFonts w:eastAsia="Calibri"/>
        </w:rPr>
        <w:t>ROSCI0327 Nemira - Lapoș</w:t>
      </w:r>
    </w:p>
    <w:p w14:paraId="4FDDBAF9" w14:textId="77777777" w:rsidR="0007555D" w:rsidRPr="00C56257" w:rsidRDefault="0007555D" w:rsidP="008E33FD">
      <w:pPr>
        <w:spacing w:line="259" w:lineRule="auto"/>
        <w:contextualSpacing/>
        <w:jc w:val="both"/>
        <w:rPr>
          <w:rFonts w:eastAsia="Calibri"/>
        </w:rPr>
      </w:pPr>
      <w:r w:rsidRPr="00C56257">
        <w:rPr>
          <w:rFonts w:eastAsia="Calibri"/>
        </w:rPr>
        <w:t>ROSCI0328 Obcinele Bucovinei</w:t>
      </w:r>
    </w:p>
    <w:p w14:paraId="085AB0D6" w14:textId="77777777" w:rsidR="0007555D" w:rsidRPr="00C56257" w:rsidRDefault="0007555D" w:rsidP="008E33FD">
      <w:pPr>
        <w:spacing w:line="259" w:lineRule="auto"/>
        <w:contextualSpacing/>
        <w:jc w:val="both"/>
        <w:rPr>
          <w:rFonts w:eastAsia="Calibri"/>
        </w:rPr>
      </w:pPr>
      <w:r w:rsidRPr="00C56257">
        <w:rPr>
          <w:rFonts w:eastAsia="Calibri"/>
        </w:rPr>
        <w:t>ROS</w:t>
      </w:r>
      <w:r w:rsidR="00993E62">
        <w:rPr>
          <w:rFonts w:eastAsia="Calibri"/>
        </w:rPr>
        <w:t>AC</w:t>
      </w:r>
      <w:r w:rsidRPr="00C56257">
        <w:rPr>
          <w:rFonts w:eastAsia="Calibri"/>
        </w:rPr>
        <w:t>0329 Oltul Superior</w:t>
      </w:r>
    </w:p>
    <w:p w14:paraId="1A3EB512" w14:textId="77777777" w:rsidR="0007555D" w:rsidRPr="00C56257" w:rsidRDefault="0007555D" w:rsidP="008E33FD">
      <w:pPr>
        <w:spacing w:line="259" w:lineRule="auto"/>
        <w:contextualSpacing/>
        <w:jc w:val="both"/>
        <w:rPr>
          <w:rFonts w:eastAsia="Calibri"/>
        </w:rPr>
      </w:pPr>
      <w:r w:rsidRPr="00C56257">
        <w:rPr>
          <w:rFonts w:eastAsia="Calibri"/>
        </w:rPr>
        <w:t>ROSCI0339 Pădurea Povernii - Valea Cernița</w:t>
      </w:r>
    </w:p>
    <w:p w14:paraId="72B53745" w14:textId="77777777" w:rsidR="0007555D" w:rsidRPr="00C56257" w:rsidRDefault="0007555D" w:rsidP="008E33FD">
      <w:pPr>
        <w:spacing w:line="259" w:lineRule="auto"/>
        <w:contextualSpacing/>
        <w:jc w:val="both"/>
        <w:rPr>
          <w:rFonts w:eastAsia="Calibri"/>
        </w:rPr>
      </w:pPr>
      <w:r w:rsidRPr="00C56257">
        <w:rPr>
          <w:rFonts w:eastAsia="Calibri"/>
        </w:rPr>
        <w:t>ROS</w:t>
      </w:r>
      <w:r w:rsidR="00993E62">
        <w:rPr>
          <w:rFonts w:eastAsia="Calibri"/>
        </w:rPr>
        <w:t>AC</w:t>
      </w:r>
      <w:r w:rsidRPr="00C56257">
        <w:rPr>
          <w:rFonts w:eastAsia="Calibri"/>
        </w:rPr>
        <w:t>0352 Perșani</w:t>
      </w:r>
    </w:p>
    <w:p w14:paraId="2D165A10" w14:textId="77777777" w:rsidR="0007555D" w:rsidRPr="00C56257" w:rsidRDefault="0007555D" w:rsidP="008E33FD">
      <w:pPr>
        <w:spacing w:line="259" w:lineRule="auto"/>
        <w:contextualSpacing/>
        <w:jc w:val="both"/>
        <w:rPr>
          <w:rFonts w:eastAsia="Calibri"/>
        </w:rPr>
      </w:pPr>
      <w:r w:rsidRPr="00C56257">
        <w:rPr>
          <w:rFonts w:eastAsia="Calibri"/>
        </w:rPr>
        <w:t>ROSCI0355 Podișul Lipovei - Poiana Ruscă *</w:t>
      </w:r>
    </w:p>
    <w:p w14:paraId="4D89E55D" w14:textId="77777777" w:rsidR="0007555D" w:rsidRPr="00C56257" w:rsidRDefault="0007555D" w:rsidP="008E33FD">
      <w:pPr>
        <w:spacing w:line="259" w:lineRule="auto"/>
        <w:contextualSpacing/>
        <w:jc w:val="both"/>
        <w:rPr>
          <w:rFonts w:eastAsia="Calibri"/>
        </w:rPr>
      </w:pPr>
      <w:r w:rsidRPr="00C56257">
        <w:rPr>
          <w:rFonts w:eastAsia="Calibri"/>
        </w:rPr>
        <w:t>ROS</w:t>
      </w:r>
      <w:r w:rsidR="00993E62">
        <w:rPr>
          <w:rFonts w:eastAsia="Calibri"/>
        </w:rPr>
        <w:t>AC</w:t>
      </w:r>
      <w:r w:rsidRPr="00C56257">
        <w:rPr>
          <w:rFonts w:eastAsia="Calibri"/>
        </w:rPr>
        <w:t>0357 Porumbeni</w:t>
      </w:r>
    </w:p>
    <w:p w14:paraId="3E30FA8D" w14:textId="77777777" w:rsidR="0007555D" w:rsidRPr="00C56257" w:rsidRDefault="0007555D" w:rsidP="008E33FD">
      <w:pPr>
        <w:spacing w:line="259" w:lineRule="auto"/>
        <w:contextualSpacing/>
        <w:jc w:val="both"/>
        <w:rPr>
          <w:rFonts w:eastAsia="Calibri"/>
        </w:rPr>
      </w:pPr>
      <w:r w:rsidRPr="00C56257">
        <w:rPr>
          <w:rFonts w:eastAsia="Calibri"/>
        </w:rPr>
        <w:t>ROSCI0358 Pricop - Huta - Certeze *</w:t>
      </w:r>
    </w:p>
    <w:p w14:paraId="7808BDEC" w14:textId="77777777" w:rsidR="0007555D" w:rsidRPr="00C56257" w:rsidRDefault="0007555D" w:rsidP="008E33FD">
      <w:pPr>
        <w:spacing w:line="259" w:lineRule="auto"/>
        <w:contextualSpacing/>
        <w:jc w:val="both"/>
        <w:rPr>
          <w:rFonts w:eastAsia="Calibri"/>
        </w:rPr>
      </w:pPr>
      <w:r w:rsidRPr="00C56257">
        <w:rPr>
          <w:rFonts w:eastAsia="Calibri"/>
        </w:rPr>
        <w:t>ROS</w:t>
      </w:r>
      <w:r w:rsidR="00993E62">
        <w:rPr>
          <w:rFonts w:eastAsia="Calibri"/>
        </w:rPr>
        <w:t>AC</w:t>
      </w:r>
      <w:r w:rsidRPr="00C56257">
        <w:rPr>
          <w:rFonts w:eastAsia="Calibri"/>
        </w:rPr>
        <w:t>0359 Prigoria - Bengești</w:t>
      </w:r>
    </w:p>
    <w:p w14:paraId="026B0A9D" w14:textId="77777777" w:rsidR="0007555D" w:rsidRPr="00C56257" w:rsidRDefault="0007555D" w:rsidP="008E33FD">
      <w:pPr>
        <w:spacing w:line="259" w:lineRule="auto"/>
        <w:contextualSpacing/>
        <w:jc w:val="both"/>
        <w:rPr>
          <w:rFonts w:eastAsia="Calibri"/>
        </w:rPr>
      </w:pPr>
      <w:r w:rsidRPr="00C56257">
        <w:rPr>
          <w:rFonts w:eastAsia="Calibri"/>
        </w:rPr>
        <w:t>ROSCI0377 Râul Putna</w:t>
      </w:r>
    </w:p>
    <w:p w14:paraId="5F82D085" w14:textId="77777777" w:rsidR="0007555D" w:rsidRPr="00C56257" w:rsidRDefault="0007555D" w:rsidP="008E33FD">
      <w:pPr>
        <w:spacing w:line="259" w:lineRule="auto"/>
        <w:contextualSpacing/>
        <w:jc w:val="both"/>
        <w:rPr>
          <w:rFonts w:eastAsia="Calibri"/>
        </w:rPr>
      </w:pPr>
      <w:r w:rsidRPr="00C56257">
        <w:rPr>
          <w:rFonts w:eastAsia="Calibri"/>
        </w:rPr>
        <w:t>ROSCI0381 Râul Târgului - Argeșel - Râușor</w:t>
      </w:r>
    </w:p>
    <w:p w14:paraId="388673F5" w14:textId="77777777" w:rsidR="0007555D" w:rsidRPr="00C56257" w:rsidRDefault="0007555D" w:rsidP="008E33FD">
      <w:pPr>
        <w:spacing w:line="259" w:lineRule="auto"/>
        <w:contextualSpacing/>
        <w:jc w:val="both"/>
        <w:rPr>
          <w:rFonts w:eastAsia="Calibri"/>
        </w:rPr>
      </w:pPr>
      <w:r w:rsidRPr="00C56257">
        <w:rPr>
          <w:rFonts w:eastAsia="Calibri"/>
        </w:rPr>
        <w:t>ROSCI0385 Râul Timiș între Rusca și Prisaca</w:t>
      </w:r>
    </w:p>
    <w:p w14:paraId="191B4F3B" w14:textId="77777777" w:rsidR="0007555D" w:rsidRPr="00C56257" w:rsidRDefault="0007555D" w:rsidP="008E33FD">
      <w:pPr>
        <w:spacing w:line="259" w:lineRule="auto"/>
        <w:contextualSpacing/>
        <w:jc w:val="both"/>
        <w:rPr>
          <w:rFonts w:eastAsia="Calibri"/>
        </w:rPr>
      </w:pPr>
      <w:r w:rsidRPr="00C56257">
        <w:rPr>
          <w:rFonts w:eastAsia="Calibri"/>
        </w:rPr>
        <w:t>ROSCI0395 Soveja</w:t>
      </w:r>
    </w:p>
    <w:p w14:paraId="47BB3A03" w14:textId="77777777" w:rsidR="0007555D" w:rsidRPr="00C56257" w:rsidRDefault="0007555D" w:rsidP="008E33FD">
      <w:pPr>
        <w:spacing w:line="259" w:lineRule="auto"/>
        <w:contextualSpacing/>
        <w:jc w:val="both"/>
        <w:rPr>
          <w:rFonts w:eastAsia="Calibri"/>
        </w:rPr>
      </w:pPr>
      <w:r w:rsidRPr="00C56257">
        <w:rPr>
          <w:rFonts w:eastAsia="Calibri"/>
        </w:rPr>
        <w:t>ROSCI0411 Groșii Țibleșului</w:t>
      </w:r>
    </w:p>
    <w:p w14:paraId="74AD6C0A" w14:textId="77777777" w:rsidR="0007555D" w:rsidRPr="00C56257" w:rsidRDefault="0007555D" w:rsidP="008E33FD">
      <w:pPr>
        <w:spacing w:line="259" w:lineRule="auto"/>
        <w:contextualSpacing/>
        <w:jc w:val="both"/>
        <w:rPr>
          <w:rFonts w:eastAsia="Calibri"/>
        </w:rPr>
      </w:pPr>
    </w:p>
    <w:p w14:paraId="3C16AB80"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9130 - Păduri de fag de  tip </w:t>
      </w:r>
      <w:r w:rsidRPr="00C56257">
        <w:rPr>
          <w:rFonts w:eastAsia="Calibri"/>
          <w:b/>
          <w:i/>
          <w:iCs/>
        </w:rPr>
        <w:t>Asperulo-Fagetum</w:t>
      </w:r>
      <w:r w:rsidRPr="00C56257">
        <w:rPr>
          <w:rFonts w:eastAsia="Calibri"/>
          <w:b/>
        </w:rPr>
        <w:t xml:space="preserve"> </w:t>
      </w:r>
    </w:p>
    <w:p w14:paraId="4CBE2EAE" w14:textId="77777777" w:rsidR="0007555D" w:rsidRPr="00C56257" w:rsidRDefault="0007555D" w:rsidP="008E33FD">
      <w:pPr>
        <w:spacing w:line="259" w:lineRule="auto"/>
        <w:contextualSpacing/>
        <w:jc w:val="both"/>
        <w:rPr>
          <w:rFonts w:eastAsia="Calibri"/>
        </w:rPr>
      </w:pPr>
    </w:p>
    <w:p w14:paraId="3711B99B" w14:textId="77777777" w:rsidR="0007555D" w:rsidRPr="00C56257" w:rsidRDefault="0007555D" w:rsidP="008E33FD">
      <w:pPr>
        <w:spacing w:line="259" w:lineRule="auto"/>
        <w:contextualSpacing/>
        <w:jc w:val="both"/>
        <w:rPr>
          <w:rFonts w:eastAsia="Calibri"/>
        </w:rPr>
      </w:pPr>
      <w:r w:rsidRPr="00C56257">
        <w:rPr>
          <w:rFonts w:eastAsia="Calibri"/>
        </w:rPr>
        <w:t>ROSCI0002 Apuseni</w:t>
      </w:r>
    </w:p>
    <w:p w14:paraId="3E0A3478" w14:textId="77777777" w:rsidR="0007555D" w:rsidRPr="00C56257" w:rsidRDefault="0007555D" w:rsidP="008E33FD">
      <w:pPr>
        <w:spacing w:line="259" w:lineRule="auto"/>
        <w:contextualSpacing/>
        <w:jc w:val="both"/>
        <w:rPr>
          <w:rFonts w:eastAsia="Calibri"/>
        </w:rPr>
      </w:pPr>
      <w:r w:rsidRPr="00C56257">
        <w:rPr>
          <w:rFonts w:eastAsia="Calibri"/>
        </w:rPr>
        <w:t>ROS</w:t>
      </w:r>
      <w:r w:rsidR="00782A7D">
        <w:rPr>
          <w:rFonts w:eastAsia="Calibri"/>
        </w:rPr>
        <w:t>AC</w:t>
      </w:r>
      <w:r w:rsidRPr="00C56257">
        <w:rPr>
          <w:rFonts w:eastAsia="Calibri"/>
        </w:rPr>
        <w:t>0003 Arboretele de castan comestibil de la Baia</w:t>
      </w:r>
      <w:r w:rsidR="00782A7D">
        <w:rPr>
          <w:rFonts w:eastAsia="Calibri"/>
        </w:rPr>
        <w:t xml:space="preserve"> Mare</w:t>
      </w:r>
    </w:p>
    <w:p w14:paraId="288BAC2C" w14:textId="77777777" w:rsidR="0007555D" w:rsidRPr="00C56257" w:rsidRDefault="0007555D" w:rsidP="008E33FD">
      <w:pPr>
        <w:spacing w:line="259" w:lineRule="auto"/>
        <w:contextualSpacing/>
        <w:jc w:val="both"/>
        <w:rPr>
          <w:rFonts w:eastAsia="Calibri"/>
        </w:rPr>
      </w:pPr>
      <w:r w:rsidRPr="00C56257">
        <w:rPr>
          <w:rFonts w:eastAsia="Calibri"/>
        </w:rPr>
        <w:t>ROSCI0009 Bisoca</w:t>
      </w:r>
    </w:p>
    <w:p w14:paraId="1158DFE4" w14:textId="77777777" w:rsidR="0007555D" w:rsidRPr="00C56257" w:rsidRDefault="0007555D" w:rsidP="008E33FD">
      <w:pPr>
        <w:spacing w:line="259" w:lineRule="auto"/>
        <w:contextualSpacing/>
        <w:jc w:val="both"/>
        <w:rPr>
          <w:rFonts w:eastAsia="Calibri"/>
        </w:rPr>
      </w:pPr>
      <w:r w:rsidRPr="00C56257">
        <w:rPr>
          <w:rFonts w:eastAsia="Calibri"/>
        </w:rPr>
        <w:t>ROS</w:t>
      </w:r>
      <w:r w:rsidR="00782A7D">
        <w:rPr>
          <w:rFonts w:eastAsia="Calibri"/>
        </w:rPr>
        <w:t>AC</w:t>
      </w:r>
      <w:r w:rsidRPr="00C56257">
        <w:rPr>
          <w:rFonts w:eastAsia="Calibri"/>
        </w:rPr>
        <w:t>0015 Buila - Vânturarița</w:t>
      </w:r>
    </w:p>
    <w:p w14:paraId="1991E162" w14:textId="77777777" w:rsidR="0007555D" w:rsidRPr="00C56257" w:rsidRDefault="0007555D" w:rsidP="008E33FD">
      <w:pPr>
        <w:spacing w:line="259" w:lineRule="auto"/>
        <w:contextualSpacing/>
        <w:jc w:val="both"/>
        <w:rPr>
          <w:rFonts w:eastAsia="Calibri"/>
        </w:rPr>
      </w:pPr>
      <w:r w:rsidRPr="00C56257">
        <w:rPr>
          <w:rFonts w:eastAsia="Calibri"/>
        </w:rPr>
        <w:t>ROSCI0018 Căldările Zăbalei</w:t>
      </w:r>
    </w:p>
    <w:p w14:paraId="0C801EE2" w14:textId="77777777" w:rsidR="0007555D" w:rsidRPr="00C56257" w:rsidRDefault="0007555D" w:rsidP="008E33FD">
      <w:pPr>
        <w:spacing w:line="259" w:lineRule="auto"/>
        <w:contextualSpacing/>
        <w:jc w:val="both"/>
        <w:rPr>
          <w:rFonts w:eastAsia="Calibri"/>
        </w:rPr>
      </w:pPr>
      <w:r w:rsidRPr="00C56257">
        <w:rPr>
          <w:rFonts w:eastAsia="Calibri"/>
        </w:rPr>
        <w:t>ROSCI0019 Călimani - Gurghiu *</w:t>
      </w:r>
    </w:p>
    <w:p w14:paraId="2A2D7302" w14:textId="77777777" w:rsidR="0007555D" w:rsidRPr="00C56257" w:rsidRDefault="0007555D" w:rsidP="008E33FD">
      <w:pPr>
        <w:spacing w:line="259" w:lineRule="auto"/>
        <w:contextualSpacing/>
        <w:jc w:val="both"/>
        <w:rPr>
          <w:rFonts w:eastAsia="Calibri"/>
        </w:rPr>
      </w:pPr>
      <w:r w:rsidRPr="00C56257">
        <w:rPr>
          <w:rFonts w:eastAsia="Calibri"/>
        </w:rPr>
        <w:t>ROS</w:t>
      </w:r>
      <w:r w:rsidR="00782A7D">
        <w:rPr>
          <w:rFonts w:eastAsia="Calibri"/>
        </w:rPr>
        <w:t>AC</w:t>
      </w:r>
      <w:r w:rsidRPr="00C56257">
        <w:rPr>
          <w:rFonts w:eastAsia="Calibri"/>
        </w:rPr>
        <w:t>0026 Cenaru</w:t>
      </w:r>
    </w:p>
    <w:p w14:paraId="2CA1E254" w14:textId="77777777" w:rsidR="0007555D" w:rsidRPr="00C56257" w:rsidRDefault="0007555D" w:rsidP="008E33FD">
      <w:pPr>
        <w:spacing w:line="259" w:lineRule="auto"/>
        <w:contextualSpacing/>
        <w:jc w:val="both"/>
        <w:rPr>
          <w:rFonts w:eastAsia="Calibri"/>
        </w:rPr>
      </w:pPr>
      <w:r w:rsidRPr="00C56257">
        <w:rPr>
          <w:rFonts w:eastAsia="Calibri"/>
        </w:rPr>
        <w:t>ROSCI0028 Cheile Cernei</w:t>
      </w:r>
    </w:p>
    <w:p w14:paraId="597478BF" w14:textId="77777777" w:rsidR="0007555D" w:rsidRPr="00C56257" w:rsidRDefault="0007555D" w:rsidP="008E33FD">
      <w:pPr>
        <w:spacing w:line="259" w:lineRule="auto"/>
        <w:contextualSpacing/>
        <w:jc w:val="both"/>
        <w:rPr>
          <w:rFonts w:eastAsia="Calibri"/>
        </w:rPr>
      </w:pPr>
      <w:r w:rsidRPr="00C56257">
        <w:rPr>
          <w:rFonts w:eastAsia="Calibri"/>
        </w:rPr>
        <w:t>ROSCI0029 Cheile Glodului, Cibului și Măzii</w:t>
      </w:r>
    </w:p>
    <w:p w14:paraId="6449151F" w14:textId="77777777" w:rsidR="0007555D" w:rsidRPr="00C56257" w:rsidRDefault="0007555D" w:rsidP="008E33FD">
      <w:pPr>
        <w:spacing w:line="259" w:lineRule="auto"/>
        <w:contextualSpacing/>
        <w:jc w:val="both"/>
        <w:rPr>
          <w:rFonts w:eastAsia="Calibri"/>
        </w:rPr>
      </w:pPr>
      <w:r w:rsidRPr="00C56257">
        <w:rPr>
          <w:rFonts w:eastAsia="Calibri"/>
        </w:rPr>
        <w:t>ROSCI0030 Cheile Lăpușului</w:t>
      </w:r>
    </w:p>
    <w:p w14:paraId="62BC2904" w14:textId="77777777" w:rsidR="0007555D" w:rsidRPr="00C56257" w:rsidRDefault="0007555D" w:rsidP="008E33FD">
      <w:pPr>
        <w:spacing w:line="259" w:lineRule="auto"/>
        <w:contextualSpacing/>
        <w:jc w:val="both"/>
        <w:rPr>
          <w:rFonts w:eastAsia="Calibri"/>
        </w:rPr>
      </w:pPr>
      <w:r w:rsidRPr="00C56257">
        <w:rPr>
          <w:rFonts w:eastAsia="Calibri"/>
        </w:rPr>
        <w:t>ROSCI0031 Cheile Nerei - Beușnița *</w:t>
      </w:r>
    </w:p>
    <w:p w14:paraId="677E67BA" w14:textId="77777777" w:rsidR="0007555D" w:rsidRPr="00C56257" w:rsidRDefault="0007555D" w:rsidP="008E33FD">
      <w:pPr>
        <w:spacing w:line="259" w:lineRule="auto"/>
        <w:contextualSpacing/>
        <w:jc w:val="both"/>
        <w:rPr>
          <w:rFonts w:eastAsia="Calibri"/>
        </w:rPr>
      </w:pPr>
      <w:r w:rsidRPr="00C56257">
        <w:rPr>
          <w:rFonts w:eastAsia="Calibri"/>
        </w:rPr>
        <w:t>ROS</w:t>
      </w:r>
      <w:r w:rsidR="00782A7D">
        <w:rPr>
          <w:rFonts w:eastAsia="Calibri"/>
        </w:rPr>
        <w:t>AC</w:t>
      </w:r>
      <w:r w:rsidRPr="00C56257">
        <w:rPr>
          <w:rFonts w:eastAsia="Calibri"/>
        </w:rPr>
        <w:t>0035 Cheile Turzii</w:t>
      </w:r>
    </w:p>
    <w:p w14:paraId="775E2C46" w14:textId="77777777" w:rsidR="0007555D" w:rsidRPr="00C56257" w:rsidRDefault="0007555D" w:rsidP="008E33FD">
      <w:pPr>
        <w:spacing w:line="259" w:lineRule="auto"/>
        <w:contextualSpacing/>
        <w:jc w:val="both"/>
        <w:rPr>
          <w:rFonts w:eastAsia="Calibri"/>
        </w:rPr>
      </w:pPr>
      <w:r w:rsidRPr="00C56257">
        <w:rPr>
          <w:rFonts w:eastAsia="Calibri"/>
        </w:rPr>
        <w:t>ROS</w:t>
      </w:r>
      <w:r w:rsidR="00782A7D">
        <w:rPr>
          <w:rFonts w:eastAsia="Calibri"/>
        </w:rPr>
        <w:t>AC</w:t>
      </w:r>
      <w:r w:rsidRPr="00C56257">
        <w:rPr>
          <w:rFonts w:eastAsia="Calibri"/>
        </w:rPr>
        <w:t>0037 Ciomad - Balvanyos</w:t>
      </w:r>
    </w:p>
    <w:p w14:paraId="72D5743C" w14:textId="77777777" w:rsidR="0007555D" w:rsidRPr="00C56257" w:rsidRDefault="0007555D" w:rsidP="008E33FD">
      <w:pPr>
        <w:spacing w:line="259" w:lineRule="auto"/>
        <w:contextualSpacing/>
        <w:jc w:val="both"/>
        <w:rPr>
          <w:rFonts w:eastAsia="Calibri"/>
        </w:rPr>
      </w:pPr>
      <w:r w:rsidRPr="00C56257">
        <w:rPr>
          <w:rFonts w:eastAsia="Calibri"/>
        </w:rPr>
        <w:t>ROSCI0038 Ciucaș</w:t>
      </w:r>
    </w:p>
    <w:p w14:paraId="01D916EA" w14:textId="77777777" w:rsidR="0007555D" w:rsidRPr="00C56257" w:rsidRDefault="0007555D" w:rsidP="008E33FD">
      <w:pPr>
        <w:spacing w:line="259" w:lineRule="auto"/>
        <w:contextualSpacing/>
        <w:jc w:val="both"/>
        <w:rPr>
          <w:rFonts w:eastAsia="Calibri"/>
        </w:rPr>
      </w:pPr>
      <w:r w:rsidRPr="00C56257">
        <w:rPr>
          <w:rFonts w:eastAsia="Calibri"/>
        </w:rPr>
        <w:t>ROSCI0042 Codru Moma *</w:t>
      </w:r>
    </w:p>
    <w:p w14:paraId="0050BEE4"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0045 Coridorul Jiului *</w:t>
      </w:r>
    </w:p>
    <w:p w14:paraId="34B7E6EE"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0046 Cozia *</w:t>
      </w:r>
    </w:p>
    <w:p w14:paraId="0E23087B" w14:textId="77777777" w:rsidR="0007555D" w:rsidRPr="00C56257" w:rsidRDefault="0007555D" w:rsidP="008E33FD">
      <w:pPr>
        <w:spacing w:line="259" w:lineRule="auto"/>
        <w:contextualSpacing/>
        <w:jc w:val="both"/>
        <w:rPr>
          <w:rFonts w:eastAsia="Calibri"/>
        </w:rPr>
      </w:pPr>
      <w:r w:rsidRPr="00C56257">
        <w:rPr>
          <w:rFonts w:eastAsia="Calibri"/>
        </w:rPr>
        <w:t>ROSCI0051 Cușma</w:t>
      </w:r>
    </w:p>
    <w:p w14:paraId="71091FF6" w14:textId="77777777" w:rsidR="0007555D" w:rsidRPr="00C56257" w:rsidRDefault="0007555D" w:rsidP="008E33FD">
      <w:pPr>
        <w:spacing w:line="259" w:lineRule="auto"/>
        <w:contextualSpacing/>
        <w:jc w:val="both"/>
        <w:rPr>
          <w:rFonts w:eastAsia="Calibri"/>
        </w:rPr>
      </w:pPr>
      <w:r w:rsidRPr="00C56257">
        <w:rPr>
          <w:rFonts w:eastAsia="Calibri"/>
        </w:rPr>
        <w:t>ROSCI0055 Dealul Cetății Lempeș - Mlaștina Hărman</w:t>
      </w:r>
    </w:p>
    <w:p w14:paraId="061C12F0"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0061 Defileul Crișului Negru</w:t>
      </w:r>
    </w:p>
    <w:p w14:paraId="7E0F2A52"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0062 Defileul Crișului Repede - Pădurea Craiului *</w:t>
      </w:r>
    </w:p>
    <w:p w14:paraId="26D78147" w14:textId="77777777" w:rsidR="0007555D" w:rsidRPr="00C56257" w:rsidRDefault="0007555D" w:rsidP="008E33FD">
      <w:pPr>
        <w:spacing w:line="259" w:lineRule="auto"/>
        <w:contextualSpacing/>
        <w:jc w:val="both"/>
        <w:rPr>
          <w:rFonts w:eastAsia="Calibri"/>
        </w:rPr>
      </w:pPr>
      <w:r w:rsidRPr="00C56257">
        <w:rPr>
          <w:rFonts w:eastAsia="Calibri"/>
        </w:rPr>
        <w:t>ROSCI0063 Defileul Jiului</w:t>
      </w:r>
    </w:p>
    <w:p w14:paraId="34875371"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0064 Defileul Mureșului *</w:t>
      </w:r>
    </w:p>
    <w:p w14:paraId="4698D6F0"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0069 Domogled - Valea Cernei</w:t>
      </w:r>
    </w:p>
    <w:p w14:paraId="707A9A90" w14:textId="77777777" w:rsidR="0007555D" w:rsidRPr="00C56257" w:rsidRDefault="0007555D" w:rsidP="008E33FD">
      <w:pPr>
        <w:spacing w:line="259" w:lineRule="auto"/>
        <w:contextualSpacing/>
        <w:jc w:val="both"/>
        <w:rPr>
          <w:rFonts w:eastAsia="Calibri"/>
        </w:rPr>
      </w:pPr>
      <w:r w:rsidRPr="00C56257">
        <w:rPr>
          <w:rFonts w:eastAsia="Calibri"/>
        </w:rPr>
        <w:t>ROSCI0070 Drocea *</w:t>
      </w:r>
    </w:p>
    <w:p w14:paraId="2A887D4D" w14:textId="77777777" w:rsidR="0007555D" w:rsidRPr="00C56257" w:rsidRDefault="0007555D" w:rsidP="008E33FD">
      <w:pPr>
        <w:spacing w:line="259" w:lineRule="auto"/>
        <w:contextualSpacing/>
        <w:jc w:val="both"/>
        <w:rPr>
          <w:rFonts w:eastAsia="Calibri"/>
        </w:rPr>
      </w:pPr>
      <w:r w:rsidRPr="00C56257">
        <w:rPr>
          <w:rFonts w:eastAsia="Calibri"/>
        </w:rPr>
        <w:t>ROSCI0074 Făgetul Clujului - Valea Morii</w:t>
      </w:r>
    </w:p>
    <w:p w14:paraId="513BB788" w14:textId="77777777" w:rsidR="0007555D" w:rsidRPr="00C56257" w:rsidRDefault="0007555D" w:rsidP="008E33FD">
      <w:pPr>
        <w:spacing w:line="259" w:lineRule="auto"/>
        <w:contextualSpacing/>
        <w:jc w:val="both"/>
        <w:rPr>
          <w:rFonts w:eastAsia="Calibri"/>
        </w:rPr>
      </w:pPr>
      <w:r w:rsidRPr="00C56257">
        <w:rPr>
          <w:rFonts w:eastAsia="Calibri"/>
        </w:rPr>
        <w:t>ROSCI0075 Pădurea Pătrăuți *</w:t>
      </w:r>
    </w:p>
    <w:p w14:paraId="7AFCBDF6" w14:textId="77777777" w:rsidR="0007555D" w:rsidRPr="00C56257" w:rsidRDefault="0007555D" w:rsidP="008E33FD">
      <w:pPr>
        <w:spacing w:line="259" w:lineRule="auto"/>
        <w:contextualSpacing/>
        <w:jc w:val="both"/>
        <w:rPr>
          <w:rFonts w:eastAsia="Calibri"/>
        </w:rPr>
      </w:pPr>
      <w:r w:rsidRPr="00C56257">
        <w:rPr>
          <w:rFonts w:eastAsia="Calibri"/>
        </w:rPr>
        <w:t>ROSCI0076 Dealul Mare - Hârlău</w:t>
      </w:r>
    </w:p>
    <w:p w14:paraId="4D10733D"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ROSCI0084 Ferice - Plai</w:t>
      </w:r>
    </w:p>
    <w:p w14:paraId="0B21C228"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0085 Frumoasa</w:t>
      </w:r>
    </w:p>
    <w:p w14:paraId="29222797" w14:textId="77777777" w:rsidR="0007555D" w:rsidRPr="00C56257" w:rsidRDefault="0007555D" w:rsidP="008E33FD">
      <w:pPr>
        <w:spacing w:line="259" w:lineRule="auto"/>
        <w:contextualSpacing/>
        <w:jc w:val="both"/>
        <w:rPr>
          <w:rFonts w:eastAsia="Calibri"/>
        </w:rPr>
      </w:pPr>
      <w:r w:rsidRPr="00C56257">
        <w:rPr>
          <w:rFonts w:eastAsia="Calibri"/>
        </w:rPr>
        <w:t>ROSCI0087 Grădiștea Muncelului - Cioclovina *</w:t>
      </w:r>
    </w:p>
    <w:p w14:paraId="1E558208"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0091 Herculian</w:t>
      </w:r>
    </w:p>
    <w:p w14:paraId="516A2CE5" w14:textId="77777777" w:rsidR="0007555D" w:rsidRPr="00C56257" w:rsidRDefault="0007555D" w:rsidP="008E33FD">
      <w:pPr>
        <w:spacing w:line="259" w:lineRule="auto"/>
        <w:contextualSpacing/>
        <w:jc w:val="both"/>
        <w:rPr>
          <w:rFonts w:eastAsia="Calibri"/>
        </w:rPr>
      </w:pPr>
      <w:r w:rsidRPr="00C56257">
        <w:rPr>
          <w:rFonts w:eastAsia="Calibri"/>
        </w:rPr>
        <w:t>ROSCI0092 Igniș</w:t>
      </w:r>
    </w:p>
    <w:p w14:paraId="71492BAC" w14:textId="77777777" w:rsidR="0007555D" w:rsidRPr="00C56257" w:rsidRDefault="0007555D" w:rsidP="008E33FD">
      <w:pPr>
        <w:spacing w:line="259" w:lineRule="auto"/>
        <w:contextualSpacing/>
        <w:jc w:val="both"/>
        <w:rPr>
          <w:rFonts w:eastAsia="Calibri"/>
        </w:rPr>
      </w:pPr>
      <w:r w:rsidRPr="00C56257">
        <w:rPr>
          <w:rFonts w:eastAsia="Calibri"/>
        </w:rPr>
        <w:t>ROSCI0097 Lacul Negru</w:t>
      </w:r>
    </w:p>
    <w:p w14:paraId="1F1D6790"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0103 Lunca Buzăului</w:t>
      </w:r>
    </w:p>
    <w:p w14:paraId="461ABF60"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0122 Munții Făgăraș</w:t>
      </w:r>
    </w:p>
    <w:p w14:paraId="0B2CAB55"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0124 Munții Maramureșului *</w:t>
      </w:r>
    </w:p>
    <w:p w14:paraId="4BB58D1B" w14:textId="77777777" w:rsidR="0007555D" w:rsidRPr="00C56257" w:rsidRDefault="0007555D" w:rsidP="008E33FD">
      <w:pPr>
        <w:spacing w:line="259" w:lineRule="auto"/>
        <w:contextualSpacing/>
        <w:jc w:val="both"/>
        <w:rPr>
          <w:rFonts w:eastAsia="Calibri"/>
        </w:rPr>
      </w:pPr>
      <w:r w:rsidRPr="00C56257">
        <w:rPr>
          <w:rFonts w:eastAsia="Calibri"/>
        </w:rPr>
        <w:t>ROSCI0126 Munții Țarcu</w:t>
      </w:r>
    </w:p>
    <w:p w14:paraId="0EF32B9D"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0128 Nordul Gorjului de Est *</w:t>
      </w:r>
    </w:p>
    <w:p w14:paraId="21DCE19B"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0129 Nordul Gorjului de Vest *</w:t>
      </w:r>
    </w:p>
    <w:p w14:paraId="31C7BA4C"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0130 Oituz – Ojdula</w:t>
      </w:r>
    </w:p>
    <w:p w14:paraId="5642B7EB"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0132 Oltul Mijlociu - Cibin - Hârtibaciu</w:t>
      </w:r>
    </w:p>
    <w:p w14:paraId="5896A90E"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0135 Pădurea Bârnova - Repedea *</w:t>
      </w:r>
    </w:p>
    <w:p w14:paraId="26E07380"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0137 Pădurea Bogății</w:t>
      </w:r>
    </w:p>
    <w:p w14:paraId="0BBBC12E"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0142 Pădurea Dălhăuți</w:t>
      </w:r>
    </w:p>
    <w:p w14:paraId="3CEEC6B8"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0148 Pădurea de stejar pufos de la Petiș</w:t>
      </w:r>
    </w:p>
    <w:p w14:paraId="2F4A65D9" w14:textId="77777777" w:rsidR="0007555D" w:rsidRPr="00C56257" w:rsidRDefault="0007555D" w:rsidP="008E33FD">
      <w:pPr>
        <w:spacing w:line="259" w:lineRule="auto"/>
        <w:contextualSpacing/>
        <w:jc w:val="both"/>
        <w:rPr>
          <w:rFonts w:eastAsia="Calibri"/>
        </w:rPr>
      </w:pPr>
      <w:r w:rsidRPr="00C56257">
        <w:rPr>
          <w:rFonts w:eastAsia="Calibri"/>
        </w:rPr>
        <w:t>ROSCI0152 Pădurea Floreanu - Frumușica - Ciurea</w:t>
      </w:r>
    </w:p>
    <w:p w14:paraId="543209FA" w14:textId="77777777" w:rsidR="0007555D" w:rsidRPr="00C56257" w:rsidRDefault="0007555D" w:rsidP="008E33FD">
      <w:pPr>
        <w:spacing w:line="259" w:lineRule="auto"/>
        <w:contextualSpacing/>
        <w:jc w:val="both"/>
        <w:rPr>
          <w:rFonts w:eastAsia="Calibri"/>
        </w:rPr>
      </w:pPr>
      <w:r w:rsidRPr="00C56257">
        <w:rPr>
          <w:rFonts w:eastAsia="Calibri"/>
        </w:rPr>
        <w:t>ROSCI0156 Munții Goșman</w:t>
      </w:r>
    </w:p>
    <w:p w14:paraId="1EB594FD"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0176 Pădurea Tătăruși</w:t>
      </w:r>
    </w:p>
    <w:p w14:paraId="3721673B" w14:textId="77777777" w:rsidR="0007555D" w:rsidRPr="00C56257" w:rsidRDefault="0007555D" w:rsidP="008E33FD">
      <w:pPr>
        <w:spacing w:line="259" w:lineRule="auto"/>
        <w:contextualSpacing/>
        <w:jc w:val="both"/>
        <w:rPr>
          <w:rFonts w:eastAsia="Calibri"/>
        </w:rPr>
      </w:pPr>
      <w:r w:rsidRPr="00C56257">
        <w:rPr>
          <w:rFonts w:eastAsia="Calibri"/>
        </w:rPr>
        <w:t>ROSCI0182 Pădurea Verdele</w:t>
      </w:r>
    </w:p>
    <w:p w14:paraId="17821A8D"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0186 Pădurile de Stejar Pufos de pe Târnava Mar</w:t>
      </w:r>
      <w:r w:rsidR="00A52452">
        <w:rPr>
          <w:rFonts w:eastAsia="Calibri"/>
        </w:rPr>
        <w:t>e</w:t>
      </w:r>
    </w:p>
    <w:p w14:paraId="75415E13" w14:textId="77777777" w:rsidR="0007555D" w:rsidRPr="00C56257" w:rsidRDefault="0007555D" w:rsidP="008E33FD">
      <w:pPr>
        <w:spacing w:line="259" w:lineRule="auto"/>
        <w:contextualSpacing/>
        <w:jc w:val="both"/>
        <w:rPr>
          <w:rFonts w:eastAsia="Calibri"/>
        </w:rPr>
      </w:pPr>
      <w:r w:rsidRPr="00C56257">
        <w:rPr>
          <w:rFonts w:eastAsia="Calibri"/>
        </w:rPr>
        <w:t>ROSCI0192 Peștera Măgurici</w:t>
      </w:r>
    </w:p>
    <w:p w14:paraId="67C2EA59"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0194 Piatra Craiului</w:t>
      </w:r>
    </w:p>
    <w:p w14:paraId="3BA54474"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0198 Platoul Mehedinți *</w:t>
      </w:r>
    </w:p>
    <w:p w14:paraId="4E3FF41A" w14:textId="77777777" w:rsidR="0007555D" w:rsidRPr="00C56257" w:rsidRDefault="0007555D" w:rsidP="008E33FD">
      <w:pPr>
        <w:spacing w:line="259" w:lineRule="auto"/>
        <w:contextualSpacing/>
        <w:jc w:val="both"/>
        <w:rPr>
          <w:rFonts w:eastAsia="Calibri"/>
        </w:rPr>
      </w:pPr>
      <w:r w:rsidRPr="00C56257">
        <w:rPr>
          <w:rFonts w:eastAsia="Calibri"/>
        </w:rPr>
        <w:t>RO</w:t>
      </w:r>
      <w:r w:rsidR="00A52452">
        <w:rPr>
          <w:rFonts w:eastAsia="Calibri"/>
        </w:rPr>
        <w:t>SAC</w:t>
      </w:r>
      <w:r w:rsidRPr="00C56257">
        <w:rPr>
          <w:rFonts w:eastAsia="Calibri"/>
        </w:rPr>
        <w:t>0199 Platoul Meledic</w:t>
      </w:r>
    </w:p>
    <w:p w14:paraId="06845ABF"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0200 Platoul Vașcău</w:t>
      </w:r>
    </w:p>
    <w:p w14:paraId="1E9A07F0" w14:textId="77777777" w:rsidR="0007555D" w:rsidRPr="00C56257" w:rsidRDefault="0007555D" w:rsidP="008E33FD">
      <w:pPr>
        <w:spacing w:line="259" w:lineRule="auto"/>
        <w:contextualSpacing/>
        <w:jc w:val="both"/>
        <w:rPr>
          <w:rFonts w:eastAsia="Calibri"/>
        </w:rPr>
      </w:pPr>
      <w:r w:rsidRPr="00C56257">
        <w:rPr>
          <w:rFonts w:eastAsia="Calibri"/>
        </w:rPr>
        <w:t>ROSCI0206 Porțile de Fier *</w:t>
      </w:r>
    </w:p>
    <w:p w14:paraId="162F3EA8"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0208 Putna - Vrancea</w:t>
      </w:r>
    </w:p>
    <w:p w14:paraId="2D837CE9" w14:textId="77777777" w:rsidR="0007555D" w:rsidRPr="00C56257" w:rsidRDefault="0007555D" w:rsidP="008E33FD">
      <w:pPr>
        <w:spacing w:line="259" w:lineRule="auto"/>
        <w:contextualSpacing/>
        <w:jc w:val="both"/>
        <w:rPr>
          <w:rFonts w:eastAsia="Calibri"/>
        </w:rPr>
      </w:pPr>
      <w:r w:rsidRPr="00C56257">
        <w:rPr>
          <w:rFonts w:eastAsia="Calibri"/>
        </w:rPr>
        <w:t>ROSCI0211 Podișul Secașelor</w:t>
      </w:r>
    </w:p>
    <w:p w14:paraId="285BD43B" w14:textId="77777777" w:rsidR="0007555D" w:rsidRPr="00C56257" w:rsidRDefault="0007555D" w:rsidP="008E33FD">
      <w:pPr>
        <w:spacing w:line="259" w:lineRule="auto"/>
        <w:contextualSpacing/>
        <w:jc w:val="both"/>
        <w:rPr>
          <w:rFonts w:eastAsia="Calibri"/>
        </w:rPr>
      </w:pPr>
      <w:r w:rsidRPr="00C56257">
        <w:rPr>
          <w:rFonts w:eastAsia="Calibri"/>
        </w:rPr>
        <w:t>ROSCI0214 Râul Tur</w:t>
      </w:r>
    </w:p>
    <w:p w14:paraId="65E9B040" w14:textId="77777777" w:rsidR="0007555D" w:rsidRPr="00C56257" w:rsidRDefault="0007555D" w:rsidP="008E33FD">
      <w:pPr>
        <w:spacing w:line="259" w:lineRule="auto"/>
        <w:contextualSpacing/>
        <w:jc w:val="both"/>
        <w:rPr>
          <w:rFonts w:eastAsia="Calibri"/>
        </w:rPr>
      </w:pPr>
      <w:r w:rsidRPr="00C56257">
        <w:rPr>
          <w:rFonts w:eastAsia="Calibri"/>
        </w:rPr>
        <w:t>ROSCI0216 Reghiu Scruntar</w:t>
      </w:r>
    </w:p>
    <w:p w14:paraId="511B78C4"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0219 Rusca Montană</w:t>
      </w:r>
    </w:p>
    <w:p w14:paraId="25F4D82A" w14:textId="77777777" w:rsidR="0007555D" w:rsidRPr="00C56257" w:rsidRDefault="0007555D" w:rsidP="008E33FD">
      <w:pPr>
        <w:spacing w:line="259" w:lineRule="auto"/>
        <w:contextualSpacing/>
        <w:jc w:val="both"/>
        <w:rPr>
          <w:rFonts w:eastAsia="Calibri"/>
        </w:rPr>
      </w:pPr>
      <w:r w:rsidRPr="00C56257">
        <w:rPr>
          <w:rFonts w:eastAsia="Calibri"/>
        </w:rPr>
        <w:t>ROSCI0226 Semenic - Cheile Carașului *</w:t>
      </w:r>
    </w:p>
    <w:p w14:paraId="3D157862" w14:textId="77777777" w:rsidR="0007555D" w:rsidRPr="00C56257" w:rsidRDefault="0007555D" w:rsidP="008E33FD">
      <w:pPr>
        <w:spacing w:line="259" w:lineRule="auto"/>
        <w:contextualSpacing/>
        <w:jc w:val="both"/>
        <w:rPr>
          <w:rFonts w:eastAsia="Calibri"/>
        </w:rPr>
      </w:pPr>
      <w:r w:rsidRPr="00C56257">
        <w:rPr>
          <w:rFonts w:eastAsia="Calibri"/>
        </w:rPr>
        <w:t>ROS</w:t>
      </w:r>
      <w:r w:rsidR="00A52452">
        <w:rPr>
          <w:rFonts w:eastAsia="Calibri"/>
        </w:rPr>
        <w:t>AC</w:t>
      </w:r>
      <w:r w:rsidRPr="00C56257">
        <w:rPr>
          <w:rFonts w:eastAsia="Calibri"/>
        </w:rPr>
        <w:t>0227 Sighișoara - Târnava Mare *</w:t>
      </w:r>
    </w:p>
    <w:p w14:paraId="7BB8191F" w14:textId="77777777" w:rsidR="0007555D" w:rsidRPr="00C56257" w:rsidRDefault="0007555D" w:rsidP="008E33FD">
      <w:pPr>
        <w:spacing w:line="259" w:lineRule="auto"/>
        <w:contextualSpacing/>
        <w:jc w:val="both"/>
        <w:rPr>
          <w:rFonts w:eastAsia="Calibri"/>
        </w:rPr>
      </w:pPr>
      <w:r w:rsidRPr="00C56257">
        <w:rPr>
          <w:rFonts w:eastAsia="Calibri"/>
        </w:rPr>
        <w:t>ROS</w:t>
      </w:r>
      <w:r w:rsidR="00E35062">
        <w:rPr>
          <w:rFonts w:eastAsia="Calibri"/>
        </w:rPr>
        <w:t>AC</w:t>
      </w:r>
      <w:r w:rsidRPr="00C56257">
        <w:rPr>
          <w:rFonts w:eastAsia="Calibri"/>
        </w:rPr>
        <w:t>0229 Siriu</w:t>
      </w:r>
    </w:p>
    <w:p w14:paraId="60A8AC13" w14:textId="77777777" w:rsidR="0007555D" w:rsidRPr="00C56257" w:rsidRDefault="0007555D" w:rsidP="008E33FD">
      <w:pPr>
        <w:spacing w:line="259" w:lineRule="auto"/>
        <w:contextualSpacing/>
        <w:jc w:val="both"/>
        <w:rPr>
          <w:rFonts w:eastAsia="Calibri"/>
        </w:rPr>
      </w:pPr>
      <w:r w:rsidRPr="00C56257">
        <w:rPr>
          <w:rFonts w:eastAsia="Calibri"/>
        </w:rPr>
        <w:t>ROS</w:t>
      </w:r>
      <w:r w:rsidR="00E35062">
        <w:rPr>
          <w:rFonts w:eastAsia="Calibri"/>
        </w:rPr>
        <w:t>AC</w:t>
      </w:r>
      <w:r w:rsidRPr="00C56257">
        <w:rPr>
          <w:rFonts w:eastAsia="Calibri"/>
        </w:rPr>
        <w:t>0230 Slănic</w:t>
      </w:r>
    </w:p>
    <w:p w14:paraId="41DE51CF" w14:textId="77777777" w:rsidR="0007555D" w:rsidRPr="00C56257" w:rsidRDefault="0007555D" w:rsidP="008E33FD">
      <w:pPr>
        <w:spacing w:line="259" w:lineRule="auto"/>
        <w:contextualSpacing/>
        <w:jc w:val="both"/>
        <w:rPr>
          <w:rFonts w:eastAsia="Calibri"/>
        </w:rPr>
      </w:pPr>
      <w:r w:rsidRPr="00C56257">
        <w:rPr>
          <w:rFonts w:eastAsia="Calibri"/>
        </w:rPr>
        <w:t>ROS</w:t>
      </w:r>
      <w:r w:rsidR="00E35062">
        <w:rPr>
          <w:rFonts w:eastAsia="Calibri"/>
        </w:rPr>
        <w:t>AC</w:t>
      </w:r>
      <w:r w:rsidRPr="00C56257">
        <w:rPr>
          <w:rFonts w:eastAsia="Calibri"/>
        </w:rPr>
        <w:t>0233 Someșul Rece</w:t>
      </w:r>
    </w:p>
    <w:p w14:paraId="08F5442D" w14:textId="77777777" w:rsidR="0007555D" w:rsidRPr="00C56257" w:rsidRDefault="0007555D" w:rsidP="00A52452">
      <w:pPr>
        <w:tabs>
          <w:tab w:val="left" w:pos="4010"/>
        </w:tabs>
        <w:spacing w:line="259" w:lineRule="auto"/>
        <w:contextualSpacing/>
        <w:jc w:val="both"/>
        <w:rPr>
          <w:rFonts w:eastAsia="Calibri"/>
        </w:rPr>
      </w:pPr>
      <w:r w:rsidRPr="00C56257">
        <w:rPr>
          <w:rFonts w:eastAsia="Calibri"/>
        </w:rPr>
        <w:t>ROSCI0236 Strei - Hațeg</w:t>
      </w:r>
      <w:r w:rsidR="00A52452">
        <w:rPr>
          <w:rFonts w:eastAsia="Calibri"/>
        </w:rPr>
        <w:tab/>
      </w:r>
    </w:p>
    <w:p w14:paraId="44451AE2" w14:textId="77777777" w:rsidR="0007555D" w:rsidRPr="00C56257" w:rsidRDefault="0007555D" w:rsidP="008E33FD">
      <w:pPr>
        <w:spacing w:line="259" w:lineRule="auto"/>
        <w:contextualSpacing/>
        <w:jc w:val="both"/>
        <w:rPr>
          <w:rFonts w:eastAsia="Calibri"/>
        </w:rPr>
      </w:pPr>
      <w:r w:rsidRPr="00C56257">
        <w:rPr>
          <w:rFonts w:eastAsia="Calibri"/>
        </w:rPr>
        <w:t>ROS</w:t>
      </w:r>
      <w:r w:rsidR="00E35062">
        <w:rPr>
          <w:rFonts w:eastAsia="Calibri"/>
        </w:rPr>
        <w:t>AC</w:t>
      </w:r>
      <w:r w:rsidRPr="00C56257">
        <w:rPr>
          <w:rFonts w:eastAsia="Calibri"/>
        </w:rPr>
        <w:t>0250 Ținutul Pădurenilor</w:t>
      </w:r>
    </w:p>
    <w:p w14:paraId="2A253435" w14:textId="77777777" w:rsidR="0007555D" w:rsidRPr="00C56257" w:rsidRDefault="0007555D" w:rsidP="008E33FD">
      <w:pPr>
        <w:spacing w:line="259" w:lineRule="auto"/>
        <w:contextualSpacing/>
        <w:jc w:val="both"/>
        <w:rPr>
          <w:rFonts w:eastAsia="Calibri"/>
        </w:rPr>
      </w:pPr>
      <w:r w:rsidRPr="00C56257">
        <w:rPr>
          <w:rFonts w:eastAsia="Calibri"/>
        </w:rPr>
        <w:t>ROSCI0251 Tisa Superioară</w:t>
      </w:r>
    </w:p>
    <w:p w14:paraId="7050A281" w14:textId="77777777" w:rsidR="0007555D" w:rsidRPr="00C56257" w:rsidRDefault="0007555D" w:rsidP="008E33FD">
      <w:pPr>
        <w:spacing w:line="259" w:lineRule="auto"/>
        <w:contextualSpacing/>
        <w:jc w:val="both"/>
        <w:rPr>
          <w:rFonts w:eastAsia="Calibri"/>
        </w:rPr>
      </w:pPr>
      <w:r w:rsidRPr="00C56257">
        <w:rPr>
          <w:rFonts w:eastAsia="Calibri"/>
        </w:rPr>
        <w:t>ROS</w:t>
      </w:r>
      <w:r w:rsidR="00E35062">
        <w:rPr>
          <w:rFonts w:eastAsia="Calibri"/>
        </w:rPr>
        <w:t>AC</w:t>
      </w:r>
      <w:r w:rsidRPr="00C56257">
        <w:rPr>
          <w:rFonts w:eastAsia="Calibri"/>
        </w:rPr>
        <w:t>0253 Trascău *</w:t>
      </w:r>
    </w:p>
    <w:p w14:paraId="6077131E" w14:textId="77777777" w:rsidR="0007555D" w:rsidRPr="00C56257" w:rsidRDefault="0007555D" w:rsidP="008E33FD">
      <w:pPr>
        <w:spacing w:line="259" w:lineRule="auto"/>
        <w:contextualSpacing/>
        <w:jc w:val="both"/>
        <w:rPr>
          <w:rFonts w:eastAsia="Calibri"/>
        </w:rPr>
      </w:pPr>
      <w:r w:rsidRPr="00C56257">
        <w:rPr>
          <w:rFonts w:eastAsia="Calibri"/>
        </w:rPr>
        <w:t>ROSCI0257 Tusa - Barcău</w:t>
      </w:r>
    </w:p>
    <w:p w14:paraId="5325413C" w14:textId="77777777" w:rsidR="0007555D" w:rsidRPr="00C56257" w:rsidRDefault="0007555D" w:rsidP="008E33FD">
      <w:pPr>
        <w:spacing w:line="259" w:lineRule="auto"/>
        <w:contextualSpacing/>
        <w:jc w:val="both"/>
        <w:rPr>
          <w:rFonts w:eastAsia="Calibri"/>
        </w:rPr>
      </w:pPr>
      <w:r w:rsidRPr="00C56257">
        <w:rPr>
          <w:rFonts w:eastAsia="Calibri"/>
        </w:rPr>
        <w:t>ROSCI0258 Văile Brătiei și Brătioarei</w:t>
      </w:r>
    </w:p>
    <w:p w14:paraId="574484BF" w14:textId="77777777" w:rsidR="0007555D" w:rsidRPr="00C56257" w:rsidRDefault="0007555D" w:rsidP="008E33FD">
      <w:pPr>
        <w:spacing w:line="259" w:lineRule="auto"/>
        <w:contextualSpacing/>
        <w:jc w:val="both"/>
        <w:rPr>
          <w:rFonts w:eastAsia="Calibri"/>
        </w:rPr>
      </w:pPr>
      <w:r w:rsidRPr="00C56257">
        <w:rPr>
          <w:rFonts w:eastAsia="Calibri"/>
        </w:rPr>
        <w:t>ROS</w:t>
      </w:r>
      <w:r w:rsidR="008C7828">
        <w:rPr>
          <w:rFonts w:eastAsia="Calibri"/>
        </w:rPr>
        <w:t>AC</w:t>
      </w:r>
      <w:r w:rsidRPr="00C56257">
        <w:rPr>
          <w:rFonts w:eastAsia="Calibri"/>
        </w:rPr>
        <w:t>0262 Valea Iad</w:t>
      </w:r>
      <w:r w:rsidR="008C7828">
        <w:rPr>
          <w:rFonts w:eastAsia="Calibri"/>
        </w:rPr>
        <w:t>ei</w:t>
      </w:r>
    </w:p>
    <w:p w14:paraId="7AA56714"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w:t>
      </w:r>
      <w:r w:rsidR="008C7828">
        <w:rPr>
          <w:rFonts w:eastAsia="Calibri"/>
        </w:rPr>
        <w:t>AC</w:t>
      </w:r>
      <w:r w:rsidRPr="00C56257">
        <w:rPr>
          <w:rFonts w:eastAsia="Calibri"/>
        </w:rPr>
        <w:t>0263 Valea Ierii</w:t>
      </w:r>
    </w:p>
    <w:p w14:paraId="36706659" w14:textId="77777777" w:rsidR="0007555D" w:rsidRPr="00C56257" w:rsidRDefault="0007555D" w:rsidP="008E33FD">
      <w:pPr>
        <w:spacing w:line="259" w:lineRule="auto"/>
        <w:contextualSpacing/>
        <w:jc w:val="both"/>
        <w:rPr>
          <w:rFonts w:eastAsia="Calibri"/>
        </w:rPr>
      </w:pPr>
      <w:r w:rsidRPr="00C56257">
        <w:rPr>
          <w:rFonts w:eastAsia="Calibri"/>
        </w:rPr>
        <w:t>ROSCI0264 Valea Izei și Dealul Solovan *</w:t>
      </w:r>
    </w:p>
    <w:p w14:paraId="11133662" w14:textId="77777777" w:rsidR="0007555D" w:rsidRPr="00C56257" w:rsidRDefault="0007555D" w:rsidP="008E33FD">
      <w:pPr>
        <w:spacing w:line="259" w:lineRule="auto"/>
        <w:contextualSpacing/>
        <w:jc w:val="both"/>
        <w:rPr>
          <w:rFonts w:eastAsia="Calibri"/>
        </w:rPr>
      </w:pPr>
      <w:r w:rsidRPr="00C56257">
        <w:rPr>
          <w:rFonts w:eastAsia="Calibri"/>
        </w:rPr>
        <w:t>ROSCI0267 Valea Roșie</w:t>
      </w:r>
    </w:p>
    <w:p w14:paraId="2919FD1C" w14:textId="77777777" w:rsidR="0007555D" w:rsidRPr="00C56257" w:rsidRDefault="0007555D" w:rsidP="008E33FD">
      <w:pPr>
        <w:spacing w:line="259" w:lineRule="auto"/>
        <w:contextualSpacing/>
        <w:jc w:val="both"/>
        <w:rPr>
          <w:rFonts w:eastAsia="Calibri"/>
        </w:rPr>
      </w:pPr>
      <w:r w:rsidRPr="00C56257">
        <w:rPr>
          <w:rFonts w:eastAsia="Calibri"/>
        </w:rPr>
        <w:t>ROSCI0268 Valea Vâlsanului *</w:t>
      </w:r>
    </w:p>
    <w:p w14:paraId="650FD4CA" w14:textId="77777777" w:rsidR="0007555D" w:rsidRPr="00C56257" w:rsidRDefault="0007555D" w:rsidP="008E33FD">
      <w:pPr>
        <w:spacing w:line="259" w:lineRule="auto"/>
        <w:contextualSpacing/>
        <w:jc w:val="both"/>
        <w:rPr>
          <w:rFonts w:eastAsia="Calibri"/>
        </w:rPr>
      </w:pPr>
      <w:r w:rsidRPr="00C56257">
        <w:rPr>
          <w:rFonts w:eastAsia="Calibri"/>
        </w:rPr>
        <w:t>ROS</w:t>
      </w:r>
      <w:r w:rsidR="008C7828">
        <w:rPr>
          <w:rFonts w:eastAsia="Calibri"/>
        </w:rPr>
        <w:t>AC</w:t>
      </w:r>
      <w:r w:rsidRPr="00C56257">
        <w:rPr>
          <w:rFonts w:eastAsia="Calibri"/>
        </w:rPr>
        <w:t>0270 Vânători-Neamț</w:t>
      </w:r>
    </w:p>
    <w:p w14:paraId="2B633D60" w14:textId="77777777" w:rsidR="0007555D" w:rsidRPr="00C56257" w:rsidRDefault="0007555D" w:rsidP="008E33FD">
      <w:pPr>
        <w:spacing w:line="259" w:lineRule="auto"/>
        <w:contextualSpacing/>
        <w:jc w:val="both"/>
        <w:rPr>
          <w:rFonts w:eastAsia="Calibri"/>
        </w:rPr>
      </w:pPr>
      <w:r w:rsidRPr="00C56257">
        <w:rPr>
          <w:rFonts w:eastAsia="Calibri"/>
        </w:rPr>
        <w:t>ROS</w:t>
      </w:r>
      <w:r w:rsidR="008C7828">
        <w:rPr>
          <w:rFonts w:eastAsia="Calibri"/>
        </w:rPr>
        <w:t>AC</w:t>
      </w:r>
      <w:r w:rsidRPr="00C56257">
        <w:rPr>
          <w:rFonts w:eastAsia="Calibri"/>
        </w:rPr>
        <w:t>0275 Bârsău - Șomcuta</w:t>
      </w:r>
    </w:p>
    <w:p w14:paraId="1936463F" w14:textId="77777777" w:rsidR="0007555D" w:rsidRPr="00C56257" w:rsidRDefault="0007555D" w:rsidP="008E33FD">
      <w:pPr>
        <w:spacing w:line="259" w:lineRule="auto"/>
        <w:contextualSpacing/>
        <w:jc w:val="both"/>
        <w:rPr>
          <w:rFonts w:eastAsia="Calibri"/>
        </w:rPr>
      </w:pPr>
      <w:r w:rsidRPr="00C56257">
        <w:rPr>
          <w:rFonts w:eastAsia="Calibri"/>
        </w:rPr>
        <w:t>ROS</w:t>
      </w:r>
      <w:r w:rsidR="008C7828">
        <w:rPr>
          <w:rFonts w:eastAsia="Calibri"/>
        </w:rPr>
        <w:t>AC</w:t>
      </w:r>
      <w:r w:rsidRPr="00C56257">
        <w:rPr>
          <w:rFonts w:eastAsia="Calibri"/>
        </w:rPr>
        <w:t>0283 Cheile Doftanei</w:t>
      </w:r>
    </w:p>
    <w:p w14:paraId="5231A578" w14:textId="77777777" w:rsidR="0007555D" w:rsidRPr="00C56257" w:rsidRDefault="0007555D" w:rsidP="008E33FD">
      <w:pPr>
        <w:spacing w:line="259" w:lineRule="auto"/>
        <w:contextualSpacing/>
        <w:jc w:val="both"/>
        <w:rPr>
          <w:rFonts w:eastAsia="Calibri"/>
        </w:rPr>
      </w:pPr>
      <w:r w:rsidRPr="00C56257">
        <w:rPr>
          <w:rFonts w:eastAsia="Calibri"/>
        </w:rPr>
        <w:t>ROS</w:t>
      </w:r>
      <w:r w:rsidR="008C7828">
        <w:rPr>
          <w:rFonts w:eastAsia="Calibri"/>
        </w:rPr>
        <w:t>AC</w:t>
      </w:r>
      <w:r w:rsidRPr="00C56257">
        <w:rPr>
          <w:rFonts w:eastAsia="Calibri"/>
        </w:rPr>
        <w:t>0289 Coridorul Drocea - Codru Moma *</w:t>
      </w:r>
    </w:p>
    <w:p w14:paraId="55A5CA7A" w14:textId="77777777" w:rsidR="0007555D" w:rsidRPr="00C56257" w:rsidRDefault="0007555D" w:rsidP="008E33FD">
      <w:pPr>
        <w:spacing w:line="259" w:lineRule="auto"/>
        <w:contextualSpacing/>
        <w:jc w:val="both"/>
        <w:rPr>
          <w:rFonts w:eastAsia="Calibri"/>
        </w:rPr>
      </w:pPr>
      <w:r w:rsidRPr="00C56257">
        <w:rPr>
          <w:rFonts w:eastAsia="Calibri"/>
        </w:rPr>
        <w:t>ROSCI0291 Coridorul Munții Bihorului - Codru Moma</w:t>
      </w:r>
    </w:p>
    <w:p w14:paraId="54559B03" w14:textId="77777777" w:rsidR="0007555D" w:rsidRPr="00C56257" w:rsidRDefault="0007555D" w:rsidP="008E33FD">
      <w:pPr>
        <w:spacing w:line="259" w:lineRule="auto"/>
        <w:contextualSpacing/>
        <w:jc w:val="both"/>
        <w:rPr>
          <w:rFonts w:eastAsia="Calibri"/>
        </w:rPr>
      </w:pPr>
      <w:r w:rsidRPr="00C56257">
        <w:rPr>
          <w:rFonts w:eastAsia="Calibri"/>
        </w:rPr>
        <w:t>ROSCI0296 Dealurile Drăgășaniului</w:t>
      </w:r>
    </w:p>
    <w:p w14:paraId="7328A31F" w14:textId="77777777" w:rsidR="0007555D" w:rsidRPr="00C56257" w:rsidRDefault="0007555D" w:rsidP="008E33FD">
      <w:pPr>
        <w:spacing w:line="259" w:lineRule="auto"/>
        <w:contextualSpacing/>
        <w:jc w:val="both"/>
        <w:rPr>
          <w:rFonts w:eastAsia="Calibri"/>
        </w:rPr>
      </w:pPr>
      <w:r w:rsidRPr="00C56257">
        <w:rPr>
          <w:rFonts w:eastAsia="Calibri"/>
        </w:rPr>
        <w:t>ROS</w:t>
      </w:r>
      <w:r w:rsidR="008C7828">
        <w:rPr>
          <w:rFonts w:eastAsia="Calibri"/>
        </w:rPr>
        <w:t>AC</w:t>
      </w:r>
      <w:r w:rsidRPr="00C56257">
        <w:rPr>
          <w:rFonts w:eastAsia="Calibri"/>
        </w:rPr>
        <w:t>0297 Dealurile Târnavei Mici - Bicheș *</w:t>
      </w:r>
    </w:p>
    <w:p w14:paraId="7906BEB7" w14:textId="77777777" w:rsidR="0007555D" w:rsidRPr="00C56257" w:rsidRDefault="0007555D" w:rsidP="008E33FD">
      <w:pPr>
        <w:spacing w:line="259" w:lineRule="auto"/>
        <w:contextualSpacing/>
        <w:jc w:val="both"/>
        <w:rPr>
          <w:rFonts w:eastAsia="Calibri"/>
        </w:rPr>
      </w:pPr>
      <w:r w:rsidRPr="00C56257">
        <w:rPr>
          <w:rFonts w:eastAsia="Calibri"/>
        </w:rPr>
        <w:t>ROSCI0298 Defileul Crișului Alb</w:t>
      </w:r>
    </w:p>
    <w:p w14:paraId="12CF6666" w14:textId="77777777" w:rsidR="0007555D" w:rsidRPr="00C56257" w:rsidRDefault="0007555D" w:rsidP="008E33FD">
      <w:pPr>
        <w:spacing w:line="259" w:lineRule="auto"/>
        <w:contextualSpacing/>
        <w:jc w:val="both"/>
        <w:rPr>
          <w:rFonts w:eastAsia="Calibri"/>
        </w:rPr>
      </w:pPr>
      <w:r w:rsidRPr="00C56257">
        <w:rPr>
          <w:rFonts w:eastAsia="Calibri"/>
        </w:rPr>
        <w:t>ROSCI0303 Hârtibaciu Sud - Est</w:t>
      </w:r>
    </w:p>
    <w:p w14:paraId="39980A88" w14:textId="77777777" w:rsidR="0007555D" w:rsidRPr="00C56257" w:rsidRDefault="0007555D" w:rsidP="008E33FD">
      <w:pPr>
        <w:spacing w:line="259" w:lineRule="auto"/>
        <w:contextualSpacing/>
        <w:jc w:val="both"/>
        <w:rPr>
          <w:rFonts w:eastAsia="Calibri"/>
        </w:rPr>
      </w:pPr>
      <w:r w:rsidRPr="00C56257">
        <w:rPr>
          <w:rFonts w:eastAsia="Calibri"/>
        </w:rPr>
        <w:t>ROS</w:t>
      </w:r>
      <w:r w:rsidR="008C7828">
        <w:rPr>
          <w:rFonts w:eastAsia="Calibri"/>
        </w:rPr>
        <w:t>AC</w:t>
      </w:r>
      <w:r w:rsidRPr="00C56257">
        <w:rPr>
          <w:rFonts w:eastAsia="Calibri"/>
        </w:rPr>
        <w:t>0304 Hârtibaciu Sud - Vest</w:t>
      </w:r>
    </w:p>
    <w:p w14:paraId="18D8D515" w14:textId="77777777" w:rsidR="0007555D" w:rsidRPr="00C56257" w:rsidRDefault="0007555D" w:rsidP="008E33FD">
      <w:pPr>
        <w:spacing w:line="259" w:lineRule="auto"/>
        <w:contextualSpacing/>
        <w:jc w:val="both"/>
        <w:rPr>
          <w:rFonts w:eastAsia="Calibri"/>
        </w:rPr>
      </w:pPr>
      <w:r w:rsidRPr="00C56257">
        <w:rPr>
          <w:rFonts w:eastAsia="Calibri"/>
        </w:rPr>
        <w:t>ROSCI0312 Castanii comestibili de la Buia</w:t>
      </w:r>
    </w:p>
    <w:p w14:paraId="517339A8" w14:textId="77777777" w:rsidR="0007555D" w:rsidRPr="00C56257" w:rsidRDefault="0007555D" w:rsidP="008E33FD">
      <w:pPr>
        <w:spacing w:line="259" w:lineRule="auto"/>
        <w:contextualSpacing/>
        <w:jc w:val="both"/>
        <w:rPr>
          <w:rFonts w:eastAsia="Calibri"/>
        </w:rPr>
      </w:pPr>
      <w:r w:rsidRPr="00C56257">
        <w:rPr>
          <w:rFonts w:eastAsia="Calibri"/>
        </w:rPr>
        <w:t>ROSCI0314 Lozna *</w:t>
      </w:r>
    </w:p>
    <w:p w14:paraId="4C77B042" w14:textId="77777777" w:rsidR="0007555D" w:rsidRPr="00C56257" w:rsidRDefault="0007555D" w:rsidP="008E33FD">
      <w:pPr>
        <w:spacing w:line="259" w:lineRule="auto"/>
        <w:contextualSpacing/>
        <w:jc w:val="both"/>
        <w:rPr>
          <w:rFonts w:eastAsia="Calibri"/>
        </w:rPr>
      </w:pPr>
      <w:r w:rsidRPr="00C56257">
        <w:rPr>
          <w:rFonts w:eastAsia="Calibri"/>
        </w:rPr>
        <w:t>ROSCI0320 Mociar</w:t>
      </w:r>
    </w:p>
    <w:p w14:paraId="26B19FBB" w14:textId="77777777" w:rsidR="0007555D" w:rsidRPr="00C56257" w:rsidRDefault="0007555D" w:rsidP="008E33FD">
      <w:pPr>
        <w:spacing w:line="259" w:lineRule="auto"/>
        <w:contextualSpacing/>
        <w:jc w:val="both"/>
        <w:rPr>
          <w:rFonts w:eastAsia="Calibri"/>
        </w:rPr>
      </w:pPr>
      <w:r w:rsidRPr="00C56257">
        <w:rPr>
          <w:rFonts w:eastAsia="Calibri"/>
        </w:rPr>
        <w:t>ROS</w:t>
      </w:r>
      <w:r w:rsidR="008C7828">
        <w:rPr>
          <w:rFonts w:eastAsia="Calibri"/>
        </w:rPr>
        <w:t>AC</w:t>
      </w:r>
      <w:r w:rsidRPr="00C56257">
        <w:rPr>
          <w:rFonts w:eastAsia="Calibri"/>
        </w:rPr>
        <w:t>0322 Muntele Șes *</w:t>
      </w:r>
    </w:p>
    <w:p w14:paraId="074994EA" w14:textId="77777777" w:rsidR="0007555D" w:rsidRPr="00C56257" w:rsidRDefault="0007555D" w:rsidP="008E33FD">
      <w:pPr>
        <w:spacing w:line="259" w:lineRule="auto"/>
        <w:contextualSpacing/>
        <w:jc w:val="both"/>
        <w:rPr>
          <w:rFonts w:eastAsia="Calibri"/>
        </w:rPr>
      </w:pPr>
      <w:r w:rsidRPr="00C56257">
        <w:rPr>
          <w:rFonts w:eastAsia="Calibri"/>
        </w:rPr>
        <w:t>ROSCI0324 Munții Bihor</w:t>
      </w:r>
    </w:p>
    <w:p w14:paraId="2CE28F87" w14:textId="77777777" w:rsidR="0007555D" w:rsidRPr="00C56257" w:rsidRDefault="0007555D" w:rsidP="008E33FD">
      <w:pPr>
        <w:spacing w:line="259" w:lineRule="auto"/>
        <w:contextualSpacing/>
        <w:jc w:val="both"/>
        <w:rPr>
          <w:rFonts w:eastAsia="Calibri"/>
        </w:rPr>
      </w:pPr>
      <w:r w:rsidRPr="00C56257">
        <w:rPr>
          <w:rFonts w:eastAsia="Calibri"/>
        </w:rPr>
        <w:t>ROSCI0325 Munții Metaliferi</w:t>
      </w:r>
    </w:p>
    <w:p w14:paraId="0AA90291" w14:textId="77777777" w:rsidR="0007555D" w:rsidRPr="00C56257" w:rsidRDefault="0007555D" w:rsidP="008E33FD">
      <w:pPr>
        <w:spacing w:line="259" w:lineRule="auto"/>
        <w:contextualSpacing/>
        <w:jc w:val="both"/>
        <w:rPr>
          <w:rFonts w:eastAsia="Calibri"/>
        </w:rPr>
      </w:pPr>
      <w:r w:rsidRPr="00C56257">
        <w:rPr>
          <w:rFonts w:eastAsia="Calibri"/>
        </w:rPr>
        <w:t>ROS</w:t>
      </w:r>
      <w:r w:rsidR="008C7828">
        <w:rPr>
          <w:rFonts w:eastAsia="Calibri"/>
        </w:rPr>
        <w:t>AC</w:t>
      </w:r>
      <w:r w:rsidRPr="00C56257">
        <w:rPr>
          <w:rFonts w:eastAsia="Calibri"/>
        </w:rPr>
        <w:t>0326 Muscelele Argeșului</w:t>
      </w:r>
    </w:p>
    <w:p w14:paraId="10D423F5" w14:textId="77777777" w:rsidR="0007555D" w:rsidRPr="00C56257" w:rsidRDefault="0007555D" w:rsidP="008E33FD">
      <w:pPr>
        <w:spacing w:line="259" w:lineRule="auto"/>
        <w:contextualSpacing/>
        <w:jc w:val="both"/>
        <w:rPr>
          <w:rFonts w:eastAsia="Calibri"/>
        </w:rPr>
      </w:pPr>
      <w:r w:rsidRPr="00C56257">
        <w:rPr>
          <w:rFonts w:eastAsia="Calibri"/>
        </w:rPr>
        <w:t>ROS</w:t>
      </w:r>
      <w:r w:rsidR="008C7828">
        <w:rPr>
          <w:rFonts w:eastAsia="Calibri"/>
        </w:rPr>
        <w:t>AC</w:t>
      </w:r>
      <w:r w:rsidRPr="00C56257">
        <w:rPr>
          <w:rFonts w:eastAsia="Calibri"/>
        </w:rPr>
        <w:t>0329 Oltul Superior</w:t>
      </w:r>
    </w:p>
    <w:p w14:paraId="35743915" w14:textId="77777777" w:rsidR="0007555D" w:rsidRPr="00C56257" w:rsidRDefault="0007555D" w:rsidP="008E33FD">
      <w:pPr>
        <w:spacing w:line="259" w:lineRule="auto"/>
        <w:contextualSpacing/>
        <w:jc w:val="both"/>
        <w:rPr>
          <w:rFonts w:eastAsia="Calibri"/>
        </w:rPr>
      </w:pPr>
      <w:r w:rsidRPr="00C56257">
        <w:rPr>
          <w:rFonts w:eastAsia="Calibri"/>
        </w:rPr>
        <w:t>ROSCI0334 Pădurea Buciumeni - Homocea</w:t>
      </w:r>
    </w:p>
    <w:p w14:paraId="46BEB49E" w14:textId="77777777" w:rsidR="0007555D" w:rsidRPr="00C56257" w:rsidRDefault="0007555D" w:rsidP="008E33FD">
      <w:pPr>
        <w:spacing w:line="259" w:lineRule="auto"/>
        <w:contextualSpacing/>
        <w:jc w:val="both"/>
        <w:rPr>
          <w:rFonts w:eastAsia="Calibri"/>
        </w:rPr>
      </w:pPr>
      <w:r w:rsidRPr="00C56257">
        <w:rPr>
          <w:rFonts w:eastAsia="Calibri"/>
        </w:rPr>
        <w:t>ROSCI0335 Pădurea Dobrina - Huși</w:t>
      </w:r>
    </w:p>
    <w:p w14:paraId="1D23F102" w14:textId="77777777" w:rsidR="0007555D" w:rsidRPr="00C56257" w:rsidRDefault="0007555D" w:rsidP="008E33FD">
      <w:pPr>
        <w:spacing w:line="259" w:lineRule="auto"/>
        <w:contextualSpacing/>
        <w:jc w:val="both"/>
        <w:rPr>
          <w:rFonts w:eastAsia="Calibri"/>
        </w:rPr>
      </w:pPr>
      <w:r w:rsidRPr="00C56257">
        <w:rPr>
          <w:rFonts w:eastAsia="Calibri"/>
        </w:rPr>
        <w:t>ROS</w:t>
      </w:r>
      <w:r w:rsidR="004F5FEC">
        <w:rPr>
          <w:rFonts w:eastAsia="Calibri"/>
        </w:rPr>
        <w:t>AC</w:t>
      </w:r>
      <w:r w:rsidRPr="00C56257">
        <w:rPr>
          <w:rFonts w:eastAsia="Calibri"/>
        </w:rPr>
        <w:t>0344 Pădurile din Sudul Piemontului Cândești</w:t>
      </w:r>
    </w:p>
    <w:p w14:paraId="06E1AAE1" w14:textId="77777777" w:rsidR="0007555D" w:rsidRPr="00C56257" w:rsidRDefault="0007555D" w:rsidP="008E33FD">
      <w:pPr>
        <w:spacing w:line="259" w:lineRule="auto"/>
        <w:contextualSpacing/>
        <w:jc w:val="both"/>
        <w:rPr>
          <w:rFonts w:eastAsia="Calibri"/>
        </w:rPr>
      </w:pPr>
      <w:r w:rsidRPr="00C56257">
        <w:rPr>
          <w:rFonts w:eastAsia="Calibri"/>
        </w:rPr>
        <w:t>ROSCI0351 Culmea Cucuieți</w:t>
      </w:r>
    </w:p>
    <w:p w14:paraId="1A65225A" w14:textId="77777777" w:rsidR="0007555D" w:rsidRPr="00C56257" w:rsidRDefault="0007555D" w:rsidP="008E33FD">
      <w:pPr>
        <w:spacing w:line="259" w:lineRule="auto"/>
        <w:contextualSpacing/>
        <w:jc w:val="both"/>
        <w:rPr>
          <w:rFonts w:eastAsia="Calibri"/>
        </w:rPr>
      </w:pPr>
      <w:r w:rsidRPr="00C56257">
        <w:rPr>
          <w:rFonts w:eastAsia="Calibri"/>
        </w:rPr>
        <w:t>ROS</w:t>
      </w:r>
      <w:r w:rsidR="004F5FEC">
        <w:rPr>
          <w:rFonts w:eastAsia="Calibri"/>
        </w:rPr>
        <w:t>AC</w:t>
      </w:r>
      <w:r w:rsidRPr="00C56257">
        <w:rPr>
          <w:rFonts w:eastAsia="Calibri"/>
        </w:rPr>
        <w:t>0352 Perșani</w:t>
      </w:r>
    </w:p>
    <w:p w14:paraId="34E39B68" w14:textId="77777777" w:rsidR="0007555D" w:rsidRPr="00C56257" w:rsidRDefault="0007555D" w:rsidP="008E33FD">
      <w:pPr>
        <w:spacing w:line="259" w:lineRule="auto"/>
        <w:contextualSpacing/>
        <w:jc w:val="both"/>
        <w:rPr>
          <w:rFonts w:eastAsia="Calibri"/>
        </w:rPr>
      </w:pPr>
      <w:r w:rsidRPr="00C56257">
        <w:rPr>
          <w:rFonts w:eastAsia="Calibri"/>
        </w:rPr>
        <w:t>ROS</w:t>
      </w:r>
      <w:r w:rsidR="004F5FEC">
        <w:rPr>
          <w:rFonts w:eastAsia="Calibri"/>
        </w:rPr>
        <w:t>AC</w:t>
      </w:r>
      <w:r w:rsidRPr="00C56257">
        <w:rPr>
          <w:rFonts w:eastAsia="Calibri"/>
        </w:rPr>
        <w:t>0354 Platforma Cotmeana</w:t>
      </w:r>
    </w:p>
    <w:p w14:paraId="1ACDADEA" w14:textId="77777777" w:rsidR="0007555D" w:rsidRPr="00C56257" w:rsidRDefault="0007555D" w:rsidP="008E33FD">
      <w:pPr>
        <w:spacing w:line="259" w:lineRule="auto"/>
        <w:contextualSpacing/>
        <w:jc w:val="both"/>
        <w:rPr>
          <w:rFonts w:eastAsia="Calibri"/>
        </w:rPr>
      </w:pPr>
      <w:r w:rsidRPr="00C56257">
        <w:rPr>
          <w:rFonts w:eastAsia="Calibri"/>
        </w:rPr>
        <w:t>ROSCI0355 Podișul Lipovei - Poiana Ruscă</w:t>
      </w:r>
    </w:p>
    <w:p w14:paraId="5F95A846" w14:textId="77777777" w:rsidR="0007555D" w:rsidRPr="00C56257" w:rsidRDefault="0007555D" w:rsidP="008E33FD">
      <w:pPr>
        <w:spacing w:line="259" w:lineRule="auto"/>
        <w:contextualSpacing/>
        <w:jc w:val="both"/>
        <w:rPr>
          <w:rFonts w:eastAsia="Calibri"/>
        </w:rPr>
      </w:pPr>
      <w:r w:rsidRPr="00C56257">
        <w:rPr>
          <w:rFonts w:eastAsia="Calibri"/>
        </w:rPr>
        <w:t>ROS</w:t>
      </w:r>
      <w:r w:rsidR="004F5FEC">
        <w:rPr>
          <w:rFonts w:eastAsia="Calibri"/>
        </w:rPr>
        <w:t>AC</w:t>
      </w:r>
      <w:r w:rsidRPr="00C56257">
        <w:rPr>
          <w:rFonts w:eastAsia="Calibri"/>
        </w:rPr>
        <w:t>0357 Porumbeni *</w:t>
      </w:r>
    </w:p>
    <w:p w14:paraId="0B655D19" w14:textId="77777777" w:rsidR="0007555D" w:rsidRPr="00C56257" w:rsidRDefault="0007555D" w:rsidP="008E33FD">
      <w:pPr>
        <w:spacing w:line="259" w:lineRule="auto"/>
        <w:contextualSpacing/>
        <w:jc w:val="both"/>
        <w:rPr>
          <w:rFonts w:eastAsia="Calibri"/>
        </w:rPr>
      </w:pPr>
      <w:r w:rsidRPr="00C56257">
        <w:rPr>
          <w:rFonts w:eastAsia="Calibri"/>
        </w:rPr>
        <w:t>ROSCI0358 Pricop - Huta - Certeze</w:t>
      </w:r>
    </w:p>
    <w:p w14:paraId="4AB14F7D" w14:textId="77777777" w:rsidR="0007555D" w:rsidRPr="00C56257" w:rsidRDefault="0007555D" w:rsidP="008E33FD">
      <w:pPr>
        <w:spacing w:line="259" w:lineRule="auto"/>
        <w:contextualSpacing/>
        <w:jc w:val="both"/>
        <w:rPr>
          <w:rFonts w:eastAsia="Calibri"/>
        </w:rPr>
      </w:pPr>
      <w:r w:rsidRPr="00C56257">
        <w:rPr>
          <w:rFonts w:eastAsia="Calibri"/>
        </w:rPr>
        <w:t>ROS</w:t>
      </w:r>
      <w:r w:rsidR="004F5FEC">
        <w:rPr>
          <w:rFonts w:eastAsia="Calibri"/>
        </w:rPr>
        <w:t>AC</w:t>
      </w:r>
      <w:r w:rsidRPr="00C56257">
        <w:rPr>
          <w:rFonts w:eastAsia="Calibri"/>
        </w:rPr>
        <w:t>0359 Prigoria - Bengești</w:t>
      </w:r>
    </w:p>
    <w:p w14:paraId="0F434C39" w14:textId="77777777" w:rsidR="0007555D" w:rsidRPr="00C56257" w:rsidRDefault="0007555D" w:rsidP="008E33FD">
      <w:pPr>
        <w:spacing w:line="259" w:lineRule="auto"/>
        <w:contextualSpacing/>
        <w:jc w:val="both"/>
        <w:rPr>
          <w:rFonts w:eastAsia="Calibri"/>
        </w:rPr>
      </w:pPr>
      <w:r w:rsidRPr="00C56257">
        <w:rPr>
          <w:rFonts w:eastAsia="Calibri"/>
        </w:rPr>
        <w:t>ROS</w:t>
      </w:r>
      <w:r w:rsidR="004F5FEC">
        <w:rPr>
          <w:rFonts w:eastAsia="Calibri"/>
        </w:rPr>
        <w:t>AC</w:t>
      </w:r>
      <w:r w:rsidRPr="00C56257">
        <w:rPr>
          <w:rFonts w:eastAsia="Calibri"/>
        </w:rPr>
        <w:t>0362 Râul Gilort</w:t>
      </w:r>
    </w:p>
    <w:p w14:paraId="23CFEA12" w14:textId="77777777" w:rsidR="0007555D" w:rsidRPr="00C56257" w:rsidRDefault="0007555D" w:rsidP="008E33FD">
      <w:pPr>
        <w:spacing w:line="259" w:lineRule="auto"/>
        <w:contextualSpacing/>
        <w:jc w:val="both"/>
        <w:rPr>
          <w:rFonts w:eastAsia="Calibri"/>
        </w:rPr>
      </w:pPr>
      <w:r w:rsidRPr="00C56257">
        <w:rPr>
          <w:rFonts w:eastAsia="Calibri"/>
        </w:rPr>
        <w:t>ROS</w:t>
      </w:r>
      <w:r w:rsidR="004F5FEC">
        <w:rPr>
          <w:rFonts w:eastAsia="Calibri"/>
        </w:rPr>
        <w:t>AC</w:t>
      </w:r>
      <w:r w:rsidRPr="00C56257">
        <w:rPr>
          <w:rFonts w:eastAsia="Calibri"/>
        </w:rPr>
        <w:t>0364 Râul Moldova între Tupilați și Roman</w:t>
      </w:r>
    </w:p>
    <w:p w14:paraId="7A537353" w14:textId="77777777" w:rsidR="0007555D" w:rsidRPr="00C56257" w:rsidRDefault="0007555D" w:rsidP="008E33FD">
      <w:pPr>
        <w:spacing w:line="259" w:lineRule="auto"/>
        <w:contextualSpacing/>
        <w:jc w:val="both"/>
        <w:rPr>
          <w:rFonts w:eastAsia="Calibri"/>
        </w:rPr>
      </w:pPr>
      <w:r w:rsidRPr="00C56257">
        <w:rPr>
          <w:rFonts w:eastAsia="Calibri"/>
        </w:rPr>
        <w:t>ROS</w:t>
      </w:r>
      <w:r w:rsidR="004F5FEC">
        <w:rPr>
          <w:rFonts w:eastAsia="Calibri"/>
        </w:rPr>
        <w:t>AC</w:t>
      </w:r>
      <w:r w:rsidRPr="00C56257">
        <w:rPr>
          <w:rFonts w:eastAsia="Calibri"/>
        </w:rPr>
        <w:t>0365 Râul Moldova între Păltinoasa și Ruși</w:t>
      </w:r>
    </w:p>
    <w:p w14:paraId="6E7C3F98" w14:textId="77777777" w:rsidR="0007555D" w:rsidRPr="00C56257" w:rsidRDefault="0007555D" w:rsidP="008E33FD">
      <w:pPr>
        <w:spacing w:line="259" w:lineRule="auto"/>
        <w:contextualSpacing/>
        <w:jc w:val="both"/>
        <w:rPr>
          <w:rFonts w:eastAsia="Calibri"/>
        </w:rPr>
      </w:pPr>
      <w:r w:rsidRPr="00C56257">
        <w:rPr>
          <w:rFonts w:eastAsia="Calibri"/>
        </w:rPr>
        <w:t>ROSCI0377 Râul Putna</w:t>
      </w:r>
    </w:p>
    <w:p w14:paraId="2FA0A195" w14:textId="77777777" w:rsidR="0007555D" w:rsidRPr="00C56257" w:rsidRDefault="0007555D" w:rsidP="008E33FD">
      <w:pPr>
        <w:spacing w:line="259" w:lineRule="auto"/>
        <w:contextualSpacing/>
        <w:jc w:val="both"/>
        <w:rPr>
          <w:rFonts w:eastAsia="Calibri"/>
        </w:rPr>
      </w:pPr>
      <w:r w:rsidRPr="00C56257">
        <w:rPr>
          <w:rFonts w:eastAsia="Calibri"/>
        </w:rPr>
        <w:t>ROSCI0379 Râul Suceava</w:t>
      </w:r>
    </w:p>
    <w:p w14:paraId="4063923E" w14:textId="77777777" w:rsidR="0007555D" w:rsidRPr="00C56257" w:rsidRDefault="0007555D" w:rsidP="008E33FD">
      <w:pPr>
        <w:spacing w:line="259" w:lineRule="auto"/>
        <w:contextualSpacing/>
        <w:jc w:val="both"/>
        <w:rPr>
          <w:rFonts w:eastAsia="Calibri"/>
        </w:rPr>
      </w:pPr>
      <w:r w:rsidRPr="00C56257">
        <w:rPr>
          <w:rFonts w:eastAsia="Calibri"/>
        </w:rPr>
        <w:t>ROSCI0381 Râul Târgului - Argeșel - Râușor</w:t>
      </w:r>
    </w:p>
    <w:p w14:paraId="46EE2871" w14:textId="77777777" w:rsidR="0007555D" w:rsidRPr="00C56257" w:rsidRDefault="0007555D" w:rsidP="008E33FD">
      <w:pPr>
        <w:spacing w:line="259" w:lineRule="auto"/>
        <w:contextualSpacing/>
        <w:jc w:val="both"/>
        <w:rPr>
          <w:rFonts w:eastAsia="Calibri"/>
        </w:rPr>
      </w:pPr>
      <w:r w:rsidRPr="00C56257">
        <w:rPr>
          <w:rFonts w:eastAsia="Calibri"/>
        </w:rPr>
        <w:t>ROSCI0383 Râul Târnava Mare între Odorheiu Secuiesc</w:t>
      </w:r>
    </w:p>
    <w:p w14:paraId="399261AD" w14:textId="77777777" w:rsidR="0007555D" w:rsidRPr="00C56257" w:rsidRDefault="0007555D" w:rsidP="008E33FD">
      <w:pPr>
        <w:spacing w:line="259" w:lineRule="auto"/>
        <w:contextualSpacing/>
        <w:jc w:val="both"/>
        <w:rPr>
          <w:rFonts w:eastAsia="Calibri"/>
        </w:rPr>
      </w:pPr>
      <w:r w:rsidRPr="00C56257">
        <w:rPr>
          <w:rFonts w:eastAsia="Calibri"/>
        </w:rPr>
        <w:t>ROSCI0385 Râul Timiș între Rusca și Prisaca</w:t>
      </w:r>
    </w:p>
    <w:p w14:paraId="3FB9EF88" w14:textId="77777777" w:rsidR="0007555D" w:rsidRPr="00C56257" w:rsidRDefault="0007555D" w:rsidP="008E33FD">
      <w:pPr>
        <w:spacing w:line="259" w:lineRule="auto"/>
        <w:contextualSpacing/>
        <w:jc w:val="both"/>
        <w:rPr>
          <w:rFonts w:eastAsia="Calibri"/>
        </w:rPr>
      </w:pPr>
      <w:r w:rsidRPr="00C56257">
        <w:rPr>
          <w:rFonts w:eastAsia="Calibri"/>
        </w:rPr>
        <w:t>ROS</w:t>
      </w:r>
      <w:r w:rsidR="004F5FEC">
        <w:rPr>
          <w:rFonts w:eastAsia="Calibri"/>
        </w:rPr>
        <w:t>AC</w:t>
      </w:r>
      <w:r w:rsidRPr="00C56257">
        <w:rPr>
          <w:rFonts w:eastAsia="Calibri"/>
        </w:rPr>
        <w:t>0395 Soveja</w:t>
      </w:r>
    </w:p>
    <w:p w14:paraId="5B270B66" w14:textId="77777777" w:rsidR="0007555D" w:rsidRPr="00C56257" w:rsidRDefault="0007555D" w:rsidP="008E33FD">
      <w:pPr>
        <w:spacing w:line="259" w:lineRule="auto"/>
        <w:contextualSpacing/>
        <w:jc w:val="both"/>
        <w:rPr>
          <w:rFonts w:eastAsia="Calibri"/>
        </w:rPr>
      </w:pPr>
      <w:r w:rsidRPr="00C56257">
        <w:rPr>
          <w:rFonts w:eastAsia="Calibri"/>
        </w:rPr>
        <w:t>ROSCI0399 Suharau - Darabani</w:t>
      </w:r>
    </w:p>
    <w:p w14:paraId="03ED1D7A" w14:textId="77777777" w:rsidR="0007555D" w:rsidRPr="00C56257" w:rsidRDefault="0007555D" w:rsidP="008E33FD">
      <w:pPr>
        <w:spacing w:line="259" w:lineRule="auto"/>
        <w:contextualSpacing/>
        <w:jc w:val="both"/>
        <w:rPr>
          <w:rFonts w:eastAsia="Calibri"/>
        </w:rPr>
      </w:pPr>
      <w:r w:rsidRPr="00C56257">
        <w:rPr>
          <w:rFonts w:eastAsia="Calibri"/>
        </w:rPr>
        <w:t>ROSCI0406 Zarandul de Est</w:t>
      </w:r>
    </w:p>
    <w:p w14:paraId="3A90877E" w14:textId="77777777" w:rsidR="0007555D" w:rsidRPr="00C56257" w:rsidRDefault="0007555D" w:rsidP="008E33FD">
      <w:pPr>
        <w:spacing w:line="259" w:lineRule="auto"/>
        <w:contextualSpacing/>
        <w:jc w:val="both"/>
        <w:rPr>
          <w:rFonts w:eastAsia="Calibri"/>
        </w:rPr>
      </w:pPr>
      <w:r w:rsidRPr="00C56257">
        <w:rPr>
          <w:rFonts w:eastAsia="Calibri"/>
        </w:rPr>
        <w:t>ROSCI0407 Zarandul de Vest</w:t>
      </w:r>
    </w:p>
    <w:p w14:paraId="55AAD320" w14:textId="77777777" w:rsidR="0007555D" w:rsidRPr="00C56257" w:rsidRDefault="0007555D" w:rsidP="008E33FD">
      <w:pPr>
        <w:spacing w:line="259" w:lineRule="auto"/>
        <w:contextualSpacing/>
        <w:jc w:val="both"/>
        <w:rPr>
          <w:rFonts w:eastAsia="Calibri"/>
        </w:rPr>
      </w:pPr>
      <w:r w:rsidRPr="00C56257">
        <w:rPr>
          <w:rFonts w:eastAsia="Calibri"/>
        </w:rPr>
        <w:t>ROSCI0424 Pădurea și Lacul Mărgineni</w:t>
      </w:r>
    </w:p>
    <w:p w14:paraId="1572511D" w14:textId="77777777" w:rsidR="0007555D" w:rsidRPr="00C56257" w:rsidRDefault="0007555D" w:rsidP="008E33FD">
      <w:pPr>
        <w:spacing w:line="259" w:lineRule="auto"/>
        <w:contextualSpacing/>
        <w:jc w:val="both"/>
        <w:rPr>
          <w:rFonts w:eastAsia="Calibri"/>
        </w:rPr>
      </w:pPr>
      <w:r w:rsidRPr="00C56257">
        <w:rPr>
          <w:rFonts w:eastAsia="Calibri"/>
        </w:rPr>
        <w:t>ROSCI0427 Pajiștile de la Liteni – Săvădisla</w:t>
      </w:r>
    </w:p>
    <w:p w14:paraId="5D9E7AE2"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ROSCI0432 Prunișor</w:t>
      </w:r>
    </w:p>
    <w:p w14:paraId="23DD1688" w14:textId="77777777" w:rsidR="0007555D" w:rsidRPr="00C56257" w:rsidRDefault="0007555D" w:rsidP="008E33FD">
      <w:pPr>
        <w:spacing w:line="259" w:lineRule="auto"/>
        <w:contextualSpacing/>
        <w:jc w:val="both"/>
        <w:rPr>
          <w:rFonts w:eastAsia="Calibri"/>
        </w:rPr>
      </w:pPr>
    </w:p>
    <w:p w14:paraId="73B61E7E" w14:textId="77777777" w:rsidR="0007555D" w:rsidRPr="00C56257" w:rsidRDefault="0007555D" w:rsidP="008E33FD">
      <w:pPr>
        <w:spacing w:line="259" w:lineRule="auto"/>
        <w:contextualSpacing/>
        <w:jc w:val="both"/>
        <w:rPr>
          <w:rFonts w:eastAsia="Calibri"/>
          <w:b/>
          <w:i/>
          <w:iCs/>
        </w:rPr>
      </w:pPr>
      <w:r w:rsidRPr="00C56257">
        <w:rPr>
          <w:rFonts w:eastAsia="Calibri"/>
          <w:b/>
        </w:rPr>
        <w:sym w:font="Wingdings" w:char="F09F"/>
      </w:r>
      <w:r w:rsidRPr="00C56257">
        <w:rPr>
          <w:rFonts w:eastAsia="Calibri"/>
          <w:b/>
        </w:rPr>
        <w:t xml:space="preserve"> 9150 - Păduri medio-europene de fag din </w:t>
      </w:r>
      <w:r w:rsidRPr="00C56257">
        <w:rPr>
          <w:rFonts w:eastAsia="Calibri"/>
          <w:b/>
          <w:i/>
          <w:iCs/>
        </w:rPr>
        <w:t>Cephalanthero-Fagion</w:t>
      </w:r>
    </w:p>
    <w:p w14:paraId="2CBCC5BB" w14:textId="77777777" w:rsidR="0007555D" w:rsidRPr="00C56257" w:rsidRDefault="0007555D" w:rsidP="008E33FD">
      <w:pPr>
        <w:spacing w:line="259" w:lineRule="auto"/>
        <w:contextualSpacing/>
        <w:jc w:val="both"/>
        <w:rPr>
          <w:rFonts w:eastAsia="Calibri"/>
          <w:b/>
          <w:i/>
          <w:iCs/>
        </w:rPr>
      </w:pPr>
    </w:p>
    <w:p w14:paraId="60FA5772" w14:textId="77777777" w:rsidR="0007555D" w:rsidRPr="00C56257" w:rsidRDefault="0007555D" w:rsidP="008E33FD">
      <w:pPr>
        <w:spacing w:line="259" w:lineRule="auto"/>
        <w:contextualSpacing/>
        <w:jc w:val="both"/>
        <w:rPr>
          <w:rFonts w:eastAsia="Calibri"/>
        </w:rPr>
      </w:pPr>
      <w:r w:rsidRPr="00C56257">
        <w:rPr>
          <w:rFonts w:eastAsia="Calibri"/>
        </w:rPr>
        <w:t>ROSCI0002 Apuseni</w:t>
      </w:r>
    </w:p>
    <w:p w14:paraId="7EF9994F" w14:textId="77777777" w:rsidR="0007555D" w:rsidRPr="00C56257" w:rsidRDefault="0007555D" w:rsidP="008E33FD">
      <w:pPr>
        <w:spacing w:line="259" w:lineRule="auto"/>
        <w:contextualSpacing/>
        <w:jc w:val="both"/>
        <w:rPr>
          <w:rFonts w:eastAsia="Calibri"/>
        </w:rPr>
      </w:pPr>
      <w:r w:rsidRPr="00C56257">
        <w:rPr>
          <w:rFonts w:eastAsia="Calibri"/>
        </w:rPr>
        <w:t>ROSCI0013 Bucegi</w:t>
      </w:r>
    </w:p>
    <w:p w14:paraId="487B774A" w14:textId="77777777" w:rsidR="0007555D" w:rsidRPr="00C56257" w:rsidRDefault="0007555D" w:rsidP="008E33FD">
      <w:pPr>
        <w:spacing w:line="259" w:lineRule="auto"/>
        <w:contextualSpacing/>
        <w:jc w:val="both"/>
        <w:rPr>
          <w:rFonts w:eastAsia="Calibri"/>
        </w:rPr>
      </w:pPr>
      <w:r w:rsidRPr="00C56257">
        <w:rPr>
          <w:rFonts w:eastAsia="Calibri"/>
        </w:rPr>
        <w:t>ROS</w:t>
      </w:r>
      <w:r w:rsidR="008D49E0">
        <w:rPr>
          <w:rFonts w:eastAsia="Calibri"/>
        </w:rPr>
        <w:t>AC</w:t>
      </w:r>
      <w:r w:rsidRPr="00C56257">
        <w:rPr>
          <w:rFonts w:eastAsia="Calibri"/>
        </w:rPr>
        <w:t>0015 Buila - Vânturarița</w:t>
      </w:r>
    </w:p>
    <w:p w14:paraId="439C3B02" w14:textId="77777777" w:rsidR="0007555D" w:rsidRPr="00C56257" w:rsidRDefault="0007555D" w:rsidP="008E33FD">
      <w:pPr>
        <w:spacing w:line="259" w:lineRule="auto"/>
        <w:contextualSpacing/>
        <w:jc w:val="both"/>
        <w:rPr>
          <w:rFonts w:eastAsia="Calibri"/>
        </w:rPr>
      </w:pPr>
      <w:r w:rsidRPr="00C56257">
        <w:rPr>
          <w:rFonts w:eastAsia="Calibri"/>
        </w:rPr>
        <w:t>ROSCI0031 Cheile Nerei - Beușnița *</w:t>
      </w:r>
    </w:p>
    <w:p w14:paraId="5B908F7F" w14:textId="77777777" w:rsidR="0007555D" w:rsidRPr="00C56257" w:rsidRDefault="0007555D" w:rsidP="008E33FD">
      <w:pPr>
        <w:spacing w:line="259" w:lineRule="auto"/>
        <w:contextualSpacing/>
        <w:jc w:val="both"/>
        <w:rPr>
          <w:rFonts w:eastAsia="Calibri"/>
        </w:rPr>
      </w:pPr>
      <w:r w:rsidRPr="00C56257">
        <w:rPr>
          <w:rFonts w:eastAsia="Calibri"/>
        </w:rPr>
        <w:t>ROSCI0038 Ciucaș</w:t>
      </w:r>
    </w:p>
    <w:p w14:paraId="53DDD7D2" w14:textId="77777777" w:rsidR="0007555D" w:rsidRPr="00C56257" w:rsidRDefault="0007555D" w:rsidP="008E33FD">
      <w:pPr>
        <w:spacing w:line="259" w:lineRule="auto"/>
        <w:contextualSpacing/>
        <w:jc w:val="both"/>
        <w:rPr>
          <w:rFonts w:eastAsia="Calibri"/>
        </w:rPr>
      </w:pPr>
      <w:r w:rsidRPr="00C56257">
        <w:rPr>
          <w:rFonts w:eastAsia="Calibri"/>
        </w:rPr>
        <w:t>ROS</w:t>
      </w:r>
      <w:r w:rsidR="008D49E0">
        <w:rPr>
          <w:rFonts w:eastAsia="Calibri"/>
        </w:rPr>
        <w:t>AC</w:t>
      </w:r>
      <w:r w:rsidRPr="00C56257">
        <w:rPr>
          <w:rFonts w:eastAsia="Calibri"/>
        </w:rPr>
        <w:t>0062 Defileul Crișului Repede - Pădurea Craiului</w:t>
      </w:r>
    </w:p>
    <w:p w14:paraId="00AD8795" w14:textId="77777777" w:rsidR="0007555D" w:rsidRPr="00C56257" w:rsidRDefault="0007555D" w:rsidP="008E33FD">
      <w:pPr>
        <w:spacing w:line="259" w:lineRule="auto"/>
        <w:contextualSpacing/>
        <w:jc w:val="both"/>
        <w:rPr>
          <w:rFonts w:eastAsia="Calibri"/>
        </w:rPr>
      </w:pPr>
      <w:r w:rsidRPr="00C56257">
        <w:rPr>
          <w:rFonts w:eastAsia="Calibri"/>
        </w:rPr>
        <w:t>ROSCI0063 Defileul Jiului</w:t>
      </w:r>
    </w:p>
    <w:p w14:paraId="1C370F03" w14:textId="77777777" w:rsidR="0007555D" w:rsidRPr="00C56257" w:rsidRDefault="0007555D" w:rsidP="008E33FD">
      <w:pPr>
        <w:spacing w:line="259" w:lineRule="auto"/>
        <w:contextualSpacing/>
        <w:jc w:val="both"/>
        <w:rPr>
          <w:rFonts w:eastAsia="Calibri"/>
        </w:rPr>
      </w:pPr>
      <w:r w:rsidRPr="00C56257">
        <w:rPr>
          <w:rFonts w:eastAsia="Calibri"/>
        </w:rPr>
        <w:t>ROS</w:t>
      </w:r>
      <w:r w:rsidR="008D49E0">
        <w:rPr>
          <w:rFonts w:eastAsia="Calibri"/>
        </w:rPr>
        <w:t>AC</w:t>
      </w:r>
      <w:r w:rsidRPr="00C56257">
        <w:rPr>
          <w:rFonts w:eastAsia="Calibri"/>
        </w:rPr>
        <w:t>0069 Domogled - Valea Cernei</w:t>
      </w:r>
    </w:p>
    <w:p w14:paraId="07479C31" w14:textId="77777777" w:rsidR="0007555D" w:rsidRPr="00C56257" w:rsidRDefault="0007555D" w:rsidP="008E33FD">
      <w:pPr>
        <w:spacing w:line="259" w:lineRule="auto"/>
        <w:contextualSpacing/>
        <w:jc w:val="both"/>
        <w:rPr>
          <w:rFonts w:eastAsia="Calibri"/>
        </w:rPr>
      </w:pPr>
      <w:r w:rsidRPr="00C56257">
        <w:rPr>
          <w:rFonts w:eastAsia="Calibri"/>
        </w:rPr>
        <w:t>ROSCI0087 Grădiștea Muncelului - Cioclovina</w:t>
      </w:r>
    </w:p>
    <w:p w14:paraId="613FC852" w14:textId="77777777" w:rsidR="0007555D" w:rsidRPr="00C56257" w:rsidRDefault="0007555D" w:rsidP="008E33FD">
      <w:pPr>
        <w:spacing w:line="259" w:lineRule="auto"/>
        <w:contextualSpacing/>
        <w:jc w:val="both"/>
        <w:rPr>
          <w:rFonts w:eastAsia="Calibri"/>
        </w:rPr>
      </w:pPr>
      <w:r w:rsidRPr="00C56257">
        <w:rPr>
          <w:rFonts w:eastAsia="Calibri"/>
        </w:rPr>
        <w:t>ROS</w:t>
      </w:r>
      <w:r w:rsidR="008D49E0">
        <w:rPr>
          <w:rFonts w:eastAsia="Calibri"/>
        </w:rPr>
        <w:t>AC</w:t>
      </w:r>
      <w:r w:rsidRPr="00C56257">
        <w:rPr>
          <w:rFonts w:eastAsia="Calibri"/>
        </w:rPr>
        <w:t>0102 Leaota</w:t>
      </w:r>
    </w:p>
    <w:p w14:paraId="66F4E30B" w14:textId="77777777" w:rsidR="0007555D" w:rsidRPr="00C56257" w:rsidRDefault="0007555D" w:rsidP="008E33FD">
      <w:pPr>
        <w:spacing w:line="259" w:lineRule="auto"/>
        <w:contextualSpacing/>
        <w:jc w:val="both"/>
        <w:rPr>
          <w:rFonts w:eastAsia="Calibri"/>
        </w:rPr>
      </w:pPr>
      <w:r w:rsidRPr="00C56257">
        <w:rPr>
          <w:rFonts w:eastAsia="Calibri"/>
        </w:rPr>
        <w:t>ROS</w:t>
      </w:r>
      <w:r w:rsidR="008D49E0">
        <w:rPr>
          <w:rFonts w:eastAsia="Calibri"/>
        </w:rPr>
        <w:t>AC</w:t>
      </w:r>
      <w:r w:rsidRPr="00C56257">
        <w:rPr>
          <w:rFonts w:eastAsia="Calibri"/>
        </w:rPr>
        <w:t>0120 Muntele Tâmpa</w:t>
      </w:r>
    </w:p>
    <w:p w14:paraId="5BB6F8B5" w14:textId="77777777" w:rsidR="0007555D" w:rsidRPr="00C56257" w:rsidRDefault="0007555D" w:rsidP="008E33FD">
      <w:pPr>
        <w:spacing w:line="259" w:lineRule="auto"/>
        <w:contextualSpacing/>
        <w:jc w:val="both"/>
        <w:rPr>
          <w:rFonts w:eastAsia="Calibri"/>
        </w:rPr>
      </w:pPr>
      <w:r w:rsidRPr="00C56257">
        <w:rPr>
          <w:rFonts w:eastAsia="Calibri"/>
        </w:rPr>
        <w:t>ROS</w:t>
      </w:r>
      <w:r w:rsidR="008D49E0">
        <w:rPr>
          <w:rFonts w:eastAsia="Calibri"/>
        </w:rPr>
        <w:t>AC</w:t>
      </w:r>
      <w:r w:rsidRPr="00C56257">
        <w:rPr>
          <w:rFonts w:eastAsia="Calibri"/>
        </w:rPr>
        <w:t>0121 Muntele Vulcan</w:t>
      </w:r>
    </w:p>
    <w:p w14:paraId="15701E2F" w14:textId="77777777" w:rsidR="0007555D" w:rsidRPr="00C56257" w:rsidRDefault="0007555D" w:rsidP="008E33FD">
      <w:pPr>
        <w:spacing w:line="259" w:lineRule="auto"/>
        <w:contextualSpacing/>
        <w:jc w:val="both"/>
        <w:rPr>
          <w:rFonts w:eastAsia="Calibri"/>
        </w:rPr>
      </w:pPr>
      <w:r w:rsidRPr="00C56257">
        <w:rPr>
          <w:rFonts w:eastAsia="Calibri"/>
        </w:rPr>
        <w:t>ROS</w:t>
      </w:r>
      <w:r w:rsidR="008D49E0">
        <w:rPr>
          <w:rFonts w:eastAsia="Calibri"/>
        </w:rPr>
        <w:t>AC</w:t>
      </w:r>
      <w:r w:rsidRPr="00C56257">
        <w:rPr>
          <w:rFonts w:eastAsia="Calibri"/>
        </w:rPr>
        <w:t>0122 Munții Făgăraș</w:t>
      </w:r>
    </w:p>
    <w:p w14:paraId="0942B02B" w14:textId="77777777" w:rsidR="0007555D" w:rsidRPr="00C56257" w:rsidRDefault="0007555D" w:rsidP="008E33FD">
      <w:pPr>
        <w:spacing w:line="259" w:lineRule="auto"/>
        <w:contextualSpacing/>
        <w:jc w:val="both"/>
        <w:rPr>
          <w:rFonts w:eastAsia="Calibri"/>
        </w:rPr>
      </w:pPr>
      <w:r w:rsidRPr="00C56257">
        <w:rPr>
          <w:rFonts w:eastAsia="Calibri"/>
        </w:rPr>
        <w:t>ROS</w:t>
      </w:r>
      <w:r w:rsidR="008D49E0">
        <w:rPr>
          <w:rFonts w:eastAsia="Calibri"/>
        </w:rPr>
        <w:t>AC</w:t>
      </w:r>
      <w:r w:rsidRPr="00C56257">
        <w:rPr>
          <w:rFonts w:eastAsia="Calibri"/>
        </w:rPr>
        <w:t>0124 Munții Maramureșului</w:t>
      </w:r>
    </w:p>
    <w:p w14:paraId="5E6D12D9" w14:textId="77777777" w:rsidR="0007555D" w:rsidRPr="00C56257" w:rsidRDefault="0007555D" w:rsidP="008E33FD">
      <w:pPr>
        <w:spacing w:line="259" w:lineRule="auto"/>
        <w:contextualSpacing/>
        <w:jc w:val="both"/>
        <w:rPr>
          <w:rFonts w:eastAsia="Calibri"/>
        </w:rPr>
      </w:pPr>
      <w:r w:rsidRPr="00C56257">
        <w:rPr>
          <w:rFonts w:eastAsia="Calibri"/>
        </w:rPr>
        <w:t>ROSCI0126 Munții Țarcu</w:t>
      </w:r>
    </w:p>
    <w:p w14:paraId="1978F5A3" w14:textId="77777777" w:rsidR="0007555D" w:rsidRPr="00C56257" w:rsidRDefault="0007555D" w:rsidP="008E33FD">
      <w:pPr>
        <w:spacing w:line="259" w:lineRule="auto"/>
        <w:contextualSpacing/>
        <w:jc w:val="both"/>
        <w:rPr>
          <w:rFonts w:eastAsia="Calibri"/>
        </w:rPr>
      </w:pPr>
      <w:r w:rsidRPr="00C56257">
        <w:rPr>
          <w:rFonts w:eastAsia="Calibri"/>
        </w:rPr>
        <w:t>ROS</w:t>
      </w:r>
      <w:r w:rsidR="008D49E0">
        <w:rPr>
          <w:rFonts w:eastAsia="Calibri"/>
        </w:rPr>
        <w:t>AC</w:t>
      </w:r>
      <w:r w:rsidRPr="00C56257">
        <w:rPr>
          <w:rFonts w:eastAsia="Calibri"/>
        </w:rPr>
        <w:t>0128 Nordul Gorjului de Est</w:t>
      </w:r>
    </w:p>
    <w:p w14:paraId="507429C8" w14:textId="77777777" w:rsidR="0007555D" w:rsidRPr="00C56257" w:rsidRDefault="0007555D" w:rsidP="008E33FD">
      <w:pPr>
        <w:spacing w:line="259" w:lineRule="auto"/>
        <w:contextualSpacing/>
        <w:jc w:val="both"/>
        <w:rPr>
          <w:rFonts w:eastAsia="Calibri"/>
        </w:rPr>
      </w:pPr>
      <w:r w:rsidRPr="00C56257">
        <w:rPr>
          <w:rFonts w:eastAsia="Calibri"/>
        </w:rPr>
        <w:t>ROS</w:t>
      </w:r>
      <w:r w:rsidR="008D49E0">
        <w:rPr>
          <w:rFonts w:eastAsia="Calibri"/>
        </w:rPr>
        <w:t>AC</w:t>
      </w:r>
      <w:r w:rsidRPr="00C56257">
        <w:rPr>
          <w:rFonts w:eastAsia="Calibri"/>
        </w:rPr>
        <w:t>0129 Nordul Gorjului de Vest</w:t>
      </w:r>
    </w:p>
    <w:p w14:paraId="1373C702" w14:textId="77777777" w:rsidR="0007555D" w:rsidRPr="00C56257" w:rsidRDefault="0007555D" w:rsidP="008E33FD">
      <w:pPr>
        <w:spacing w:line="259" w:lineRule="auto"/>
        <w:contextualSpacing/>
        <w:jc w:val="both"/>
        <w:rPr>
          <w:rFonts w:eastAsia="Calibri"/>
        </w:rPr>
      </w:pPr>
      <w:r w:rsidRPr="00C56257">
        <w:rPr>
          <w:rFonts w:eastAsia="Calibri"/>
        </w:rPr>
        <w:t>ROS</w:t>
      </w:r>
      <w:r w:rsidR="008D49E0">
        <w:rPr>
          <w:rFonts w:eastAsia="Calibri"/>
        </w:rPr>
        <w:t>AC</w:t>
      </w:r>
      <w:r w:rsidRPr="00C56257">
        <w:rPr>
          <w:rFonts w:eastAsia="Calibri"/>
        </w:rPr>
        <w:t>0137 Pădurea Bogății</w:t>
      </w:r>
    </w:p>
    <w:p w14:paraId="5BA65A09" w14:textId="77777777" w:rsidR="0007555D" w:rsidRPr="00C56257" w:rsidRDefault="0007555D" w:rsidP="008E33FD">
      <w:pPr>
        <w:spacing w:line="259" w:lineRule="auto"/>
        <w:contextualSpacing/>
        <w:jc w:val="both"/>
        <w:rPr>
          <w:rFonts w:eastAsia="Calibri"/>
        </w:rPr>
      </w:pPr>
      <w:r w:rsidRPr="00C56257">
        <w:rPr>
          <w:rFonts w:eastAsia="Calibri"/>
        </w:rPr>
        <w:t>ROS</w:t>
      </w:r>
      <w:r w:rsidR="008D49E0">
        <w:rPr>
          <w:rFonts w:eastAsia="Calibri"/>
        </w:rPr>
        <w:t>AC</w:t>
      </w:r>
      <w:r w:rsidRPr="00C56257">
        <w:rPr>
          <w:rFonts w:eastAsia="Calibri"/>
        </w:rPr>
        <w:t>0194 Piatra Craiului</w:t>
      </w:r>
    </w:p>
    <w:p w14:paraId="17D901F5" w14:textId="77777777" w:rsidR="0007555D" w:rsidRPr="00C56257" w:rsidRDefault="0007555D" w:rsidP="008E33FD">
      <w:pPr>
        <w:spacing w:line="259" w:lineRule="auto"/>
        <w:contextualSpacing/>
        <w:jc w:val="both"/>
        <w:rPr>
          <w:rFonts w:eastAsia="Calibri"/>
        </w:rPr>
      </w:pPr>
      <w:r w:rsidRPr="00C56257">
        <w:rPr>
          <w:rFonts w:eastAsia="Calibri"/>
        </w:rPr>
        <w:t>ROS</w:t>
      </w:r>
      <w:r w:rsidR="008D49E0">
        <w:rPr>
          <w:rFonts w:eastAsia="Calibri"/>
        </w:rPr>
        <w:t>AC</w:t>
      </w:r>
      <w:r w:rsidRPr="00C56257">
        <w:rPr>
          <w:rFonts w:eastAsia="Calibri"/>
        </w:rPr>
        <w:t>0198 Platoul Mehedinți</w:t>
      </w:r>
    </w:p>
    <w:p w14:paraId="7B2CE30D" w14:textId="77777777" w:rsidR="0007555D" w:rsidRPr="00C56257" w:rsidRDefault="0007555D" w:rsidP="008E33FD">
      <w:pPr>
        <w:spacing w:line="259" w:lineRule="auto"/>
        <w:contextualSpacing/>
        <w:jc w:val="both"/>
        <w:rPr>
          <w:rFonts w:eastAsia="Calibri"/>
        </w:rPr>
      </w:pPr>
      <w:r w:rsidRPr="00C56257">
        <w:rPr>
          <w:rFonts w:eastAsia="Calibri"/>
        </w:rPr>
        <w:t>ROS</w:t>
      </w:r>
      <w:r w:rsidR="008D49E0">
        <w:rPr>
          <w:rFonts w:eastAsia="Calibri"/>
        </w:rPr>
        <w:t>AC</w:t>
      </w:r>
      <w:r w:rsidRPr="00C56257">
        <w:rPr>
          <w:rFonts w:eastAsia="Calibri"/>
        </w:rPr>
        <w:t>0200 Platoul Vașcău</w:t>
      </w:r>
    </w:p>
    <w:p w14:paraId="040F5BC4" w14:textId="77777777" w:rsidR="0007555D" w:rsidRPr="00C56257" w:rsidRDefault="0007555D" w:rsidP="008E33FD">
      <w:pPr>
        <w:spacing w:line="259" w:lineRule="auto"/>
        <w:contextualSpacing/>
        <w:jc w:val="both"/>
        <w:rPr>
          <w:rFonts w:eastAsia="Calibri"/>
        </w:rPr>
      </w:pPr>
      <w:r w:rsidRPr="00C56257">
        <w:rPr>
          <w:rFonts w:eastAsia="Calibri"/>
        </w:rPr>
        <w:t>ROSCI0206 Porțile de Fier *</w:t>
      </w:r>
    </w:p>
    <w:p w14:paraId="5C40335C" w14:textId="77777777" w:rsidR="0007555D" w:rsidRPr="00C56257" w:rsidRDefault="0007555D" w:rsidP="008E33FD">
      <w:pPr>
        <w:spacing w:line="259" w:lineRule="auto"/>
        <w:contextualSpacing/>
        <w:jc w:val="both"/>
        <w:rPr>
          <w:rFonts w:eastAsia="Calibri"/>
        </w:rPr>
      </w:pPr>
      <w:r w:rsidRPr="00C56257">
        <w:rPr>
          <w:rFonts w:eastAsia="Calibri"/>
        </w:rPr>
        <w:t>ROSCI0207 Postăvarul</w:t>
      </w:r>
    </w:p>
    <w:p w14:paraId="25FF435D" w14:textId="77777777" w:rsidR="0007555D" w:rsidRPr="00C56257" w:rsidRDefault="0007555D" w:rsidP="008E33FD">
      <w:pPr>
        <w:spacing w:line="259" w:lineRule="auto"/>
        <w:contextualSpacing/>
        <w:jc w:val="both"/>
        <w:rPr>
          <w:rFonts w:eastAsia="Calibri"/>
        </w:rPr>
      </w:pPr>
      <w:r w:rsidRPr="00C56257">
        <w:rPr>
          <w:rFonts w:eastAsia="Calibri"/>
        </w:rPr>
        <w:t>ROSCI0226 Semenic - Cheile Carașului</w:t>
      </w:r>
    </w:p>
    <w:p w14:paraId="4CC812B0" w14:textId="77777777" w:rsidR="0007555D" w:rsidRPr="00C56257" w:rsidRDefault="0007555D" w:rsidP="008E33FD">
      <w:pPr>
        <w:spacing w:line="259" w:lineRule="auto"/>
        <w:contextualSpacing/>
        <w:jc w:val="both"/>
        <w:rPr>
          <w:rFonts w:eastAsia="Calibri"/>
        </w:rPr>
      </w:pPr>
      <w:r w:rsidRPr="00C56257">
        <w:rPr>
          <w:rFonts w:eastAsia="Calibri"/>
        </w:rPr>
        <w:t>ROSCI0236 Strei - Hațeg</w:t>
      </w:r>
    </w:p>
    <w:p w14:paraId="3281C3DA"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0253 Trascău</w:t>
      </w:r>
    </w:p>
    <w:p w14:paraId="37435AD6"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0270 Vânători-Neamț</w:t>
      </w:r>
    </w:p>
    <w:p w14:paraId="2E009903"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0322 Muntele Șes</w:t>
      </w:r>
    </w:p>
    <w:p w14:paraId="67FAD6B0" w14:textId="77777777" w:rsidR="0007555D" w:rsidRPr="00C56257" w:rsidRDefault="0007555D" w:rsidP="008E33FD">
      <w:pPr>
        <w:spacing w:line="259" w:lineRule="auto"/>
        <w:contextualSpacing/>
        <w:jc w:val="both"/>
        <w:rPr>
          <w:rFonts w:eastAsia="Calibri"/>
        </w:rPr>
      </w:pPr>
      <w:r w:rsidRPr="00C56257">
        <w:rPr>
          <w:rFonts w:eastAsia="Calibri"/>
        </w:rPr>
        <w:t>ROSCI0355 Podișul Lipovei - Poiana Ruscă</w:t>
      </w:r>
    </w:p>
    <w:p w14:paraId="1D0B0C89" w14:textId="77777777" w:rsidR="0007555D" w:rsidRPr="00C56257" w:rsidRDefault="0007555D" w:rsidP="008E33FD">
      <w:pPr>
        <w:spacing w:line="259" w:lineRule="auto"/>
        <w:contextualSpacing/>
        <w:jc w:val="both"/>
        <w:rPr>
          <w:rFonts w:eastAsia="Calibri"/>
        </w:rPr>
      </w:pPr>
      <w:r w:rsidRPr="00C56257">
        <w:rPr>
          <w:rFonts w:eastAsia="Calibri"/>
        </w:rPr>
        <w:t>ROSCI0381 Râul Târgului - Argeșel – Râușor</w:t>
      </w:r>
    </w:p>
    <w:p w14:paraId="4BEC9B24" w14:textId="77777777" w:rsidR="0007555D" w:rsidRPr="00C56257" w:rsidRDefault="0007555D" w:rsidP="008E33FD">
      <w:pPr>
        <w:spacing w:line="259" w:lineRule="auto"/>
        <w:contextualSpacing/>
        <w:jc w:val="both"/>
        <w:rPr>
          <w:rFonts w:eastAsia="Calibri"/>
        </w:rPr>
      </w:pPr>
    </w:p>
    <w:p w14:paraId="4F0896D5"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9170 - Păduri de stejar cu carpen de tip  </w:t>
      </w:r>
      <w:r w:rsidRPr="00C56257">
        <w:rPr>
          <w:rFonts w:eastAsia="Calibri"/>
          <w:b/>
          <w:i/>
          <w:iCs/>
        </w:rPr>
        <w:t>Galio-Carpinetum</w:t>
      </w:r>
      <w:r w:rsidRPr="00C56257">
        <w:rPr>
          <w:rFonts w:eastAsia="Calibri"/>
          <w:b/>
        </w:rPr>
        <w:t xml:space="preserve"> </w:t>
      </w:r>
    </w:p>
    <w:p w14:paraId="178F52A8" w14:textId="77777777" w:rsidR="0007555D" w:rsidRPr="00C56257" w:rsidRDefault="0007555D" w:rsidP="008E33FD">
      <w:pPr>
        <w:spacing w:line="259" w:lineRule="auto"/>
        <w:contextualSpacing/>
        <w:jc w:val="both"/>
        <w:rPr>
          <w:rFonts w:eastAsia="Calibri"/>
        </w:rPr>
      </w:pPr>
    </w:p>
    <w:p w14:paraId="7062B25F" w14:textId="77777777" w:rsidR="0007555D" w:rsidRPr="00C56257" w:rsidRDefault="0007555D" w:rsidP="008E33FD">
      <w:pPr>
        <w:spacing w:line="259" w:lineRule="auto"/>
        <w:contextualSpacing/>
        <w:jc w:val="both"/>
        <w:rPr>
          <w:rFonts w:eastAsia="Calibri"/>
        </w:rPr>
      </w:pPr>
      <w:r w:rsidRPr="00C56257">
        <w:rPr>
          <w:rFonts w:eastAsia="Calibri"/>
        </w:rPr>
        <w:t>ROSCI0002 Apuseni</w:t>
      </w:r>
    </w:p>
    <w:p w14:paraId="1561E152"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0003 Arboretele de castan comestibil de la Baia</w:t>
      </w:r>
      <w:r w:rsidR="00D4013E">
        <w:rPr>
          <w:rFonts w:eastAsia="Calibri"/>
        </w:rPr>
        <w:t xml:space="preserve"> Mare</w:t>
      </w:r>
    </w:p>
    <w:p w14:paraId="670DD589"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0008 Betfia</w:t>
      </w:r>
    </w:p>
    <w:p w14:paraId="18C5E54E" w14:textId="77777777" w:rsidR="0007555D" w:rsidRPr="00C56257" w:rsidRDefault="0007555D" w:rsidP="008E33FD">
      <w:pPr>
        <w:spacing w:line="259" w:lineRule="auto"/>
        <w:contextualSpacing/>
        <w:jc w:val="both"/>
        <w:rPr>
          <w:rFonts w:eastAsia="Calibri"/>
        </w:rPr>
      </w:pPr>
      <w:r w:rsidRPr="00C56257">
        <w:rPr>
          <w:rFonts w:eastAsia="Calibri"/>
        </w:rPr>
        <w:t>ROSCI0019 Călimani - Gurghiu *</w:t>
      </w:r>
    </w:p>
    <w:p w14:paraId="7AFA9076" w14:textId="77777777" w:rsidR="0007555D" w:rsidRPr="00C56257" w:rsidRDefault="0007555D" w:rsidP="008E33FD">
      <w:pPr>
        <w:spacing w:line="259" w:lineRule="auto"/>
        <w:contextualSpacing/>
        <w:jc w:val="both"/>
        <w:rPr>
          <w:rFonts w:eastAsia="Calibri"/>
        </w:rPr>
      </w:pPr>
      <w:r w:rsidRPr="00C56257">
        <w:rPr>
          <w:rFonts w:eastAsia="Calibri"/>
        </w:rPr>
        <w:t>ROSCI0030 Cheile Lăpușului</w:t>
      </w:r>
    </w:p>
    <w:p w14:paraId="798508BB" w14:textId="77777777" w:rsidR="0007555D" w:rsidRPr="00C56257" w:rsidRDefault="0007555D" w:rsidP="008E33FD">
      <w:pPr>
        <w:spacing w:line="259" w:lineRule="auto"/>
        <w:contextualSpacing/>
        <w:jc w:val="both"/>
        <w:rPr>
          <w:rFonts w:eastAsia="Calibri"/>
        </w:rPr>
      </w:pPr>
      <w:r w:rsidRPr="00C56257">
        <w:rPr>
          <w:rFonts w:eastAsia="Calibri"/>
        </w:rPr>
        <w:t>ROSCI0031 Cheile Nerei - Beușnița</w:t>
      </w:r>
    </w:p>
    <w:p w14:paraId="7FACF686"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0036 Cheile Vârghișului</w:t>
      </w:r>
    </w:p>
    <w:p w14:paraId="297A77FB"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0037 Ciomad - Balvanyos</w:t>
      </w:r>
    </w:p>
    <w:p w14:paraId="5A59910E" w14:textId="77777777" w:rsidR="0007555D" w:rsidRPr="00C56257" w:rsidRDefault="0007555D" w:rsidP="008E33FD">
      <w:pPr>
        <w:spacing w:line="259" w:lineRule="auto"/>
        <w:contextualSpacing/>
        <w:jc w:val="both"/>
        <w:rPr>
          <w:rFonts w:eastAsia="Calibri"/>
        </w:rPr>
      </w:pPr>
      <w:r w:rsidRPr="00C56257">
        <w:rPr>
          <w:rFonts w:eastAsia="Calibri"/>
        </w:rPr>
        <w:t>ROSCI0042 Codru Moma *</w:t>
      </w:r>
    </w:p>
    <w:p w14:paraId="391E9AC1"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ROSCI0045 Coridorul Jiului *</w:t>
      </w:r>
    </w:p>
    <w:p w14:paraId="6623C1B1"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0046 Cozia</w:t>
      </w:r>
    </w:p>
    <w:p w14:paraId="04CA8C81" w14:textId="77777777" w:rsidR="0007555D" w:rsidRPr="00C56257" w:rsidRDefault="0007555D" w:rsidP="008E33FD">
      <w:pPr>
        <w:spacing w:line="259" w:lineRule="auto"/>
        <w:contextualSpacing/>
        <w:jc w:val="both"/>
        <w:rPr>
          <w:rFonts w:eastAsia="Calibri"/>
        </w:rPr>
      </w:pPr>
      <w:r w:rsidRPr="00C56257">
        <w:rPr>
          <w:rFonts w:eastAsia="Calibri"/>
        </w:rPr>
        <w:t>ROSCI0051 Cușma *</w:t>
      </w:r>
    </w:p>
    <w:p w14:paraId="697CE53C" w14:textId="77777777" w:rsidR="0007555D" w:rsidRPr="00C56257" w:rsidRDefault="0007555D" w:rsidP="008E33FD">
      <w:pPr>
        <w:spacing w:line="259" w:lineRule="auto"/>
        <w:contextualSpacing/>
        <w:jc w:val="both"/>
        <w:rPr>
          <w:rFonts w:eastAsia="Calibri"/>
        </w:rPr>
      </w:pPr>
      <w:r w:rsidRPr="00C56257">
        <w:rPr>
          <w:rFonts w:eastAsia="Calibri"/>
        </w:rPr>
        <w:t>ROSCI0054 Dealul Cetății Deva</w:t>
      </w:r>
    </w:p>
    <w:p w14:paraId="77732DB9" w14:textId="77777777" w:rsidR="0007555D" w:rsidRPr="00C56257" w:rsidRDefault="0007555D" w:rsidP="008E33FD">
      <w:pPr>
        <w:spacing w:line="259" w:lineRule="auto"/>
        <w:contextualSpacing/>
        <w:jc w:val="both"/>
        <w:rPr>
          <w:rFonts w:eastAsia="Calibri"/>
        </w:rPr>
      </w:pPr>
      <w:r w:rsidRPr="00C56257">
        <w:rPr>
          <w:rFonts w:eastAsia="Calibri"/>
        </w:rPr>
        <w:t>ROSCI0055 Dealul Cetății Lempeș - Mlaștina Hărman</w:t>
      </w:r>
    </w:p>
    <w:p w14:paraId="18AE06E0"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0057 Dealul Istrița</w:t>
      </w:r>
    </w:p>
    <w:p w14:paraId="674A6BCE"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0061 Defileul Crișului Negru</w:t>
      </w:r>
    </w:p>
    <w:p w14:paraId="2D16B306"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0062 Defileul Crișului Repede - Pădurea Craiului</w:t>
      </w:r>
    </w:p>
    <w:p w14:paraId="5ADECA50" w14:textId="77777777" w:rsidR="0007555D" w:rsidRPr="00C56257" w:rsidRDefault="0007555D" w:rsidP="008E33FD">
      <w:pPr>
        <w:spacing w:line="259" w:lineRule="auto"/>
        <w:contextualSpacing/>
        <w:jc w:val="both"/>
        <w:rPr>
          <w:rFonts w:eastAsia="Calibri"/>
        </w:rPr>
      </w:pPr>
      <w:r w:rsidRPr="00C56257">
        <w:rPr>
          <w:rFonts w:eastAsia="Calibri"/>
        </w:rPr>
        <w:t>ROSCI0063 Defileul Jiului</w:t>
      </w:r>
    </w:p>
    <w:p w14:paraId="300456CD"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0064 Defileul Mureșului</w:t>
      </w:r>
    </w:p>
    <w:p w14:paraId="3182B3FD"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0069 Domogled - Valea Cernei</w:t>
      </w:r>
    </w:p>
    <w:p w14:paraId="7E3FCF9E" w14:textId="77777777" w:rsidR="0007555D" w:rsidRPr="00C56257" w:rsidRDefault="0007555D" w:rsidP="008E33FD">
      <w:pPr>
        <w:spacing w:line="259" w:lineRule="auto"/>
        <w:contextualSpacing/>
        <w:jc w:val="both"/>
        <w:rPr>
          <w:rFonts w:eastAsia="Calibri"/>
        </w:rPr>
      </w:pPr>
      <w:r w:rsidRPr="00C56257">
        <w:rPr>
          <w:rFonts w:eastAsia="Calibri"/>
        </w:rPr>
        <w:t>ROSCI0070 Drocea *</w:t>
      </w:r>
    </w:p>
    <w:p w14:paraId="710CD103" w14:textId="77777777" w:rsidR="0007555D" w:rsidRPr="00C56257" w:rsidRDefault="0007555D" w:rsidP="008E33FD">
      <w:pPr>
        <w:spacing w:line="259" w:lineRule="auto"/>
        <w:contextualSpacing/>
        <w:jc w:val="both"/>
        <w:rPr>
          <w:rFonts w:eastAsia="Calibri"/>
        </w:rPr>
      </w:pPr>
      <w:r w:rsidRPr="00C56257">
        <w:rPr>
          <w:rFonts w:eastAsia="Calibri"/>
        </w:rPr>
        <w:t>ROSCI0074 Făgetul Clujului - Valea Morii</w:t>
      </w:r>
    </w:p>
    <w:p w14:paraId="13BB6098" w14:textId="77777777" w:rsidR="0007555D" w:rsidRPr="00C56257" w:rsidRDefault="0007555D" w:rsidP="008E33FD">
      <w:pPr>
        <w:spacing w:line="259" w:lineRule="auto"/>
        <w:contextualSpacing/>
        <w:jc w:val="both"/>
        <w:rPr>
          <w:rFonts w:eastAsia="Calibri"/>
        </w:rPr>
      </w:pPr>
      <w:r w:rsidRPr="00C56257">
        <w:rPr>
          <w:rFonts w:eastAsia="Calibri"/>
        </w:rPr>
        <w:t>ROSCI0075 Pădurea Pătrăuți</w:t>
      </w:r>
    </w:p>
    <w:p w14:paraId="16756E7A" w14:textId="77777777" w:rsidR="0007555D" w:rsidRPr="00C56257" w:rsidRDefault="0007555D" w:rsidP="008E33FD">
      <w:pPr>
        <w:spacing w:line="259" w:lineRule="auto"/>
        <w:contextualSpacing/>
        <w:jc w:val="both"/>
        <w:rPr>
          <w:rFonts w:eastAsia="Calibri"/>
        </w:rPr>
      </w:pPr>
      <w:r w:rsidRPr="00C56257">
        <w:rPr>
          <w:rFonts w:eastAsia="Calibri"/>
        </w:rPr>
        <w:t>ROSCI0076 Dealul Mare - Hârlău</w:t>
      </w:r>
    </w:p>
    <w:p w14:paraId="321C0E32"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0085 Frumoasa</w:t>
      </w:r>
    </w:p>
    <w:p w14:paraId="79595FC3" w14:textId="77777777" w:rsidR="0007555D" w:rsidRPr="00C56257" w:rsidRDefault="0007555D" w:rsidP="008E33FD">
      <w:pPr>
        <w:spacing w:line="259" w:lineRule="auto"/>
        <w:contextualSpacing/>
        <w:jc w:val="both"/>
        <w:rPr>
          <w:rFonts w:eastAsia="Calibri"/>
        </w:rPr>
      </w:pPr>
      <w:r w:rsidRPr="00C56257">
        <w:rPr>
          <w:rFonts w:eastAsia="Calibri"/>
        </w:rPr>
        <w:t>ROSCI0087 Grădiștea Muncelului - Cioclovina</w:t>
      </w:r>
    </w:p>
    <w:p w14:paraId="74BBC69B"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0091 Herculian</w:t>
      </w:r>
    </w:p>
    <w:p w14:paraId="62BF116E" w14:textId="77777777" w:rsidR="0007555D" w:rsidRPr="00C56257" w:rsidRDefault="0007555D" w:rsidP="008E33FD">
      <w:pPr>
        <w:spacing w:line="259" w:lineRule="auto"/>
        <w:contextualSpacing/>
        <w:jc w:val="both"/>
        <w:rPr>
          <w:rFonts w:eastAsia="Calibri"/>
        </w:rPr>
      </w:pPr>
      <w:r w:rsidRPr="00C56257">
        <w:rPr>
          <w:rFonts w:eastAsia="Calibri"/>
        </w:rPr>
        <w:t>ROSCI0092 Igniș</w:t>
      </w:r>
    </w:p>
    <w:p w14:paraId="570CA32B"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0093 Insulele Stepice Șura Mică - Slimnic</w:t>
      </w:r>
    </w:p>
    <w:p w14:paraId="1ADC8C47"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0103 Lunca Buzăului</w:t>
      </w:r>
    </w:p>
    <w:p w14:paraId="19FE499A" w14:textId="77777777" w:rsidR="0007555D" w:rsidRPr="00C56257" w:rsidRDefault="0007555D" w:rsidP="008E33FD">
      <w:pPr>
        <w:spacing w:line="259" w:lineRule="auto"/>
        <w:contextualSpacing/>
        <w:jc w:val="both"/>
        <w:rPr>
          <w:rFonts w:eastAsia="Calibri"/>
        </w:rPr>
      </w:pPr>
      <w:r w:rsidRPr="00C56257">
        <w:rPr>
          <w:rFonts w:eastAsia="Calibri"/>
        </w:rPr>
        <w:t>ROSCI0110 Măgurile Băiței</w:t>
      </w:r>
    </w:p>
    <w:p w14:paraId="4B5A4933"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0122 Munții Făgăraș</w:t>
      </w:r>
    </w:p>
    <w:p w14:paraId="61B70277"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0124 Munții Maramureșului</w:t>
      </w:r>
    </w:p>
    <w:p w14:paraId="44E6805F" w14:textId="77777777" w:rsidR="0007555D" w:rsidRPr="00C56257" w:rsidRDefault="0007555D" w:rsidP="008E33FD">
      <w:pPr>
        <w:spacing w:line="259" w:lineRule="auto"/>
        <w:contextualSpacing/>
        <w:jc w:val="both"/>
        <w:rPr>
          <w:rFonts w:eastAsia="Calibri"/>
        </w:rPr>
      </w:pPr>
      <w:r w:rsidRPr="00C56257">
        <w:rPr>
          <w:rFonts w:eastAsia="Calibri"/>
        </w:rPr>
        <w:t>ROSCI0125 Munții Rodnei</w:t>
      </w:r>
    </w:p>
    <w:p w14:paraId="59D7A0FD" w14:textId="77777777" w:rsidR="0007555D" w:rsidRPr="00C56257" w:rsidRDefault="0007555D" w:rsidP="008E33FD">
      <w:pPr>
        <w:spacing w:line="259" w:lineRule="auto"/>
        <w:contextualSpacing/>
        <w:jc w:val="both"/>
        <w:rPr>
          <w:rFonts w:eastAsia="Calibri"/>
        </w:rPr>
      </w:pPr>
      <w:r w:rsidRPr="00C56257">
        <w:rPr>
          <w:rFonts w:eastAsia="Calibri"/>
        </w:rPr>
        <w:t>ROSCI0126 Munții Țarcu</w:t>
      </w:r>
    </w:p>
    <w:p w14:paraId="4047FA01"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0128 Nordul Gorjului de Est</w:t>
      </w:r>
    </w:p>
    <w:p w14:paraId="244EC804"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0129 Nordul Gorjului de Vest *</w:t>
      </w:r>
    </w:p>
    <w:p w14:paraId="7D5BF826" w14:textId="77777777" w:rsidR="0007555D" w:rsidRPr="00C56257" w:rsidRDefault="0007555D" w:rsidP="008E33FD">
      <w:pPr>
        <w:spacing w:line="259" w:lineRule="auto"/>
        <w:contextualSpacing/>
        <w:jc w:val="both"/>
        <w:rPr>
          <w:rFonts w:eastAsia="Calibri"/>
        </w:rPr>
      </w:pPr>
      <w:r w:rsidRPr="00C56257">
        <w:rPr>
          <w:rFonts w:eastAsia="Calibri"/>
        </w:rPr>
        <w:t>ROS</w:t>
      </w:r>
      <w:r w:rsidR="00D4013E">
        <w:rPr>
          <w:rFonts w:eastAsia="Calibri"/>
        </w:rPr>
        <w:t>AC</w:t>
      </w:r>
      <w:r w:rsidRPr="00C56257">
        <w:rPr>
          <w:rFonts w:eastAsia="Calibri"/>
        </w:rPr>
        <w:t>0130 Oituz - Ojdula</w:t>
      </w:r>
    </w:p>
    <w:p w14:paraId="4C4BBA92"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0132 Oltul Mijlociu - Cibin - Hârtibaciu</w:t>
      </w:r>
    </w:p>
    <w:p w14:paraId="10415B1E"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0135 Pădurea Bârnova - Repedea</w:t>
      </w:r>
    </w:p>
    <w:p w14:paraId="36514CD7"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0137 Pădurea Bogății</w:t>
      </w:r>
    </w:p>
    <w:p w14:paraId="67FD9DC2" w14:textId="77777777" w:rsidR="0007555D" w:rsidRPr="00C56257" w:rsidRDefault="0007555D" w:rsidP="008E33FD">
      <w:pPr>
        <w:spacing w:line="259" w:lineRule="auto"/>
        <w:contextualSpacing/>
        <w:jc w:val="both"/>
        <w:rPr>
          <w:rFonts w:eastAsia="Calibri"/>
        </w:rPr>
      </w:pPr>
      <w:r w:rsidRPr="00C56257">
        <w:rPr>
          <w:rFonts w:eastAsia="Calibri"/>
        </w:rPr>
        <w:t>ROSCI0141 Pădurea Ciornohal</w:t>
      </w:r>
    </w:p>
    <w:p w14:paraId="079A0A86"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0142 Pădurea Dălhăuți</w:t>
      </w:r>
    </w:p>
    <w:p w14:paraId="3B927180"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0144 Pădurea de gorun și stejar de pe Dealul Pur</w:t>
      </w:r>
    </w:p>
    <w:p w14:paraId="7C190587" w14:textId="77777777" w:rsidR="0007555D" w:rsidRPr="00C56257" w:rsidRDefault="0007555D" w:rsidP="008E33FD">
      <w:pPr>
        <w:spacing w:line="259" w:lineRule="auto"/>
        <w:contextualSpacing/>
        <w:jc w:val="both"/>
        <w:rPr>
          <w:rFonts w:eastAsia="Calibri"/>
        </w:rPr>
      </w:pPr>
      <w:r w:rsidRPr="00C56257">
        <w:rPr>
          <w:rFonts w:eastAsia="Calibri"/>
        </w:rPr>
        <w:t>ROSCI0146 Pădurea de stejar pufos de la Hoia</w:t>
      </w:r>
    </w:p>
    <w:p w14:paraId="66F5F790"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0147 Pădurea de stejar pufos de la Mirăslău</w:t>
      </w:r>
    </w:p>
    <w:p w14:paraId="05274255"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0148 Pădurea de stejar pufos de la Petiș</w:t>
      </w:r>
    </w:p>
    <w:p w14:paraId="4E286363" w14:textId="77777777" w:rsidR="0007555D" w:rsidRPr="00C56257" w:rsidRDefault="0007555D" w:rsidP="008E33FD">
      <w:pPr>
        <w:spacing w:line="259" w:lineRule="auto"/>
        <w:contextualSpacing/>
        <w:jc w:val="both"/>
        <w:rPr>
          <w:rFonts w:eastAsia="Calibri"/>
        </w:rPr>
      </w:pPr>
      <w:r w:rsidRPr="00C56257">
        <w:rPr>
          <w:rFonts w:eastAsia="Calibri"/>
        </w:rPr>
        <w:t>ROSCI0152 Pădurea Floreanu - Frumușica - Ciurea</w:t>
      </w:r>
    </w:p>
    <w:p w14:paraId="7E79A2C1" w14:textId="77777777" w:rsidR="0007555D" w:rsidRPr="00C56257" w:rsidRDefault="0007555D" w:rsidP="008E33FD">
      <w:pPr>
        <w:spacing w:line="259" w:lineRule="auto"/>
        <w:contextualSpacing/>
        <w:jc w:val="both"/>
        <w:rPr>
          <w:rFonts w:eastAsia="Calibri"/>
        </w:rPr>
      </w:pPr>
      <w:r w:rsidRPr="00C56257">
        <w:rPr>
          <w:rFonts w:eastAsia="Calibri"/>
        </w:rPr>
        <w:t>ROSCI0154 Pădurea Glodeni</w:t>
      </w:r>
    </w:p>
    <w:p w14:paraId="1B65C57E"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0155 Pădurea Goroniște</w:t>
      </w:r>
    </w:p>
    <w:p w14:paraId="2A564486" w14:textId="77777777" w:rsidR="0007555D" w:rsidRPr="00C56257" w:rsidRDefault="0007555D" w:rsidP="008E33FD">
      <w:pPr>
        <w:spacing w:line="259" w:lineRule="auto"/>
        <w:contextualSpacing/>
        <w:jc w:val="both"/>
        <w:rPr>
          <w:rFonts w:eastAsia="Calibri"/>
        </w:rPr>
      </w:pPr>
      <w:r w:rsidRPr="00C56257">
        <w:rPr>
          <w:rFonts w:eastAsia="Calibri"/>
        </w:rPr>
        <w:t>ROSCI0156 Munții Goșman</w:t>
      </w:r>
    </w:p>
    <w:p w14:paraId="4A8F82AD"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0159 Pădurea Homița</w:t>
      </w:r>
    </w:p>
    <w:p w14:paraId="7E94F0F3"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0186 Pădurile de Stejar Pufos de pe Târnava Mar</w:t>
      </w:r>
      <w:r w:rsidR="00862009">
        <w:rPr>
          <w:rFonts w:eastAsia="Calibri"/>
        </w:rPr>
        <w:t>E</w:t>
      </w:r>
    </w:p>
    <w:p w14:paraId="32EC8CC5"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0187 Pajiștile lui Suciu</w:t>
      </w:r>
    </w:p>
    <w:p w14:paraId="37E12A06"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0198 Platoul Mehedinți *</w:t>
      </w:r>
    </w:p>
    <w:p w14:paraId="5415F475"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w:t>
      </w:r>
      <w:r w:rsidR="00862009">
        <w:rPr>
          <w:rFonts w:eastAsia="Calibri"/>
        </w:rPr>
        <w:t>AC</w:t>
      </w:r>
      <w:r w:rsidRPr="00C56257">
        <w:rPr>
          <w:rFonts w:eastAsia="Calibri"/>
        </w:rPr>
        <w:t>0199 Platoul Meledic</w:t>
      </w:r>
    </w:p>
    <w:p w14:paraId="695002E5"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0200 Platoul Vașcău</w:t>
      </w:r>
    </w:p>
    <w:p w14:paraId="3D8BF597"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0205 Poienile cu narcise de la Dumbrava Vadului</w:t>
      </w:r>
    </w:p>
    <w:p w14:paraId="3D5978FF" w14:textId="77777777" w:rsidR="0007555D" w:rsidRPr="00C56257" w:rsidRDefault="0007555D" w:rsidP="008E33FD">
      <w:pPr>
        <w:spacing w:line="259" w:lineRule="auto"/>
        <w:contextualSpacing/>
        <w:jc w:val="both"/>
        <w:rPr>
          <w:rFonts w:eastAsia="Calibri"/>
        </w:rPr>
      </w:pPr>
      <w:r w:rsidRPr="00C56257">
        <w:rPr>
          <w:rFonts w:eastAsia="Calibri"/>
        </w:rPr>
        <w:t>ROSCI0206 Porțile de Fier *</w:t>
      </w:r>
    </w:p>
    <w:p w14:paraId="2C83B1FE"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0208 Putna - Vrancea</w:t>
      </w:r>
    </w:p>
    <w:p w14:paraId="53503191" w14:textId="77777777" w:rsidR="0007555D" w:rsidRPr="00C56257" w:rsidRDefault="0007555D" w:rsidP="008E33FD">
      <w:pPr>
        <w:spacing w:line="259" w:lineRule="auto"/>
        <w:contextualSpacing/>
        <w:jc w:val="both"/>
        <w:rPr>
          <w:rFonts w:eastAsia="Calibri"/>
        </w:rPr>
      </w:pPr>
      <w:r w:rsidRPr="00C56257">
        <w:rPr>
          <w:rFonts w:eastAsia="Calibri"/>
        </w:rPr>
        <w:t>ROSCI0211 Podișul Secașelor</w:t>
      </w:r>
    </w:p>
    <w:p w14:paraId="468A6EC7" w14:textId="77777777" w:rsidR="0007555D" w:rsidRPr="00C56257" w:rsidRDefault="0007555D" w:rsidP="008E33FD">
      <w:pPr>
        <w:spacing w:line="259" w:lineRule="auto"/>
        <w:contextualSpacing/>
        <w:jc w:val="both"/>
        <w:rPr>
          <w:rFonts w:eastAsia="Calibri"/>
        </w:rPr>
      </w:pPr>
      <w:r w:rsidRPr="00C56257">
        <w:rPr>
          <w:rFonts w:eastAsia="Calibri"/>
        </w:rPr>
        <w:t>RO</w:t>
      </w:r>
      <w:r w:rsidR="00862009">
        <w:rPr>
          <w:rFonts w:eastAsia="Calibri"/>
        </w:rPr>
        <w:t>SAC</w:t>
      </w:r>
      <w:r w:rsidRPr="00C56257">
        <w:rPr>
          <w:rFonts w:eastAsia="Calibri"/>
        </w:rPr>
        <w:t>I0214 Râul Tur</w:t>
      </w:r>
    </w:p>
    <w:p w14:paraId="47C89FBC" w14:textId="77777777" w:rsidR="0007555D" w:rsidRPr="00C56257" w:rsidRDefault="0007555D" w:rsidP="008E33FD">
      <w:pPr>
        <w:spacing w:line="259" w:lineRule="auto"/>
        <w:contextualSpacing/>
        <w:jc w:val="both"/>
        <w:rPr>
          <w:rFonts w:eastAsia="Calibri"/>
        </w:rPr>
      </w:pPr>
      <w:r w:rsidRPr="00C56257">
        <w:rPr>
          <w:rFonts w:eastAsia="Calibri"/>
        </w:rPr>
        <w:t>ROSCI0217 Retezat</w:t>
      </w:r>
    </w:p>
    <w:p w14:paraId="76A4C829" w14:textId="77777777" w:rsidR="0007555D" w:rsidRPr="00C56257" w:rsidRDefault="0007555D" w:rsidP="008E33FD">
      <w:pPr>
        <w:spacing w:line="259" w:lineRule="auto"/>
        <w:contextualSpacing/>
        <w:jc w:val="both"/>
        <w:rPr>
          <w:rFonts w:eastAsia="Calibri"/>
        </w:rPr>
      </w:pPr>
      <w:r w:rsidRPr="00C56257">
        <w:rPr>
          <w:rFonts w:eastAsia="Calibri"/>
        </w:rPr>
        <w:t>ROSCI0226 Semenic - Cheile Carașului</w:t>
      </w:r>
    </w:p>
    <w:p w14:paraId="2A9FB712"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0227 Sighișoara - Târnava Mare *</w:t>
      </w:r>
    </w:p>
    <w:p w14:paraId="4C3EEFDA"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0229 Siriu</w:t>
      </w:r>
    </w:p>
    <w:p w14:paraId="25844E85" w14:textId="77777777" w:rsidR="0007555D" w:rsidRPr="00C56257" w:rsidRDefault="0007555D" w:rsidP="008E33FD">
      <w:pPr>
        <w:spacing w:line="259" w:lineRule="auto"/>
        <w:contextualSpacing/>
        <w:jc w:val="both"/>
        <w:rPr>
          <w:rFonts w:eastAsia="Calibri"/>
        </w:rPr>
      </w:pPr>
      <w:r w:rsidRPr="00C56257">
        <w:rPr>
          <w:rFonts w:eastAsia="Calibri"/>
        </w:rPr>
        <w:t>ROSCI0232 Someșul Mare Superior</w:t>
      </w:r>
    </w:p>
    <w:p w14:paraId="5FC5135D"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0235 Stânca Tohani</w:t>
      </w:r>
    </w:p>
    <w:p w14:paraId="2684C8D4" w14:textId="77777777" w:rsidR="0007555D" w:rsidRPr="00C56257" w:rsidRDefault="0007555D" w:rsidP="008E33FD">
      <w:pPr>
        <w:spacing w:line="259" w:lineRule="auto"/>
        <w:contextualSpacing/>
        <w:jc w:val="both"/>
        <w:rPr>
          <w:rFonts w:eastAsia="Calibri"/>
        </w:rPr>
      </w:pPr>
      <w:r w:rsidRPr="00C56257">
        <w:rPr>
          <w:rFonts w:eastAsia="Calibri"/>
        </w:rPr>
        <w:t>ROSCI0236 Strei – Hațeg</w:t>
      </w:r>
    </w:p>
    <w:p w14:paraId="4F193206"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0240 Tășad</w:t>
      </w:r>
    </w:p>
    <w:p w14:paraId="14A0F530" w14:textId="77777777" w:rsidR="0007555D" w:rsidRPr="00C56257" w:rsidRDefault="0007555D" w:rsidP="008E33FD">
      <w:pPr>
        <w:spacing w:line="259" w:lineRule="auto"/>
        <w:contextualSpacing/>
        <w:jc w:val="both"/>
        <w:rPr>
          <w:rFonts w:eastAsia="Calibri"/>
        </w:rPr>
      </w:pPr>
      <w:r w:rsidRPr="00C56257">
        <w:rPr>
          <w:rFonts w:eastAsia="Calibri"/>
        </w:rPr>
        <w:t>ROSCI0241 Tinovul Apa Lina - Honcsok</w:t>
      </w:r>
    </w:p>
    <w:p w14:paraId="7DEAE037" w14:textId="77777777" w:rsidR="0007555D" w:rsidRPr="00C56257" w:rsidRDefault="0007555D" w:rsidP="008E33FD">
      <w:pPr>
        <w:spacing w:line="259" w:lineRule="auto"/>
        <w:contextualSpacing/>
        <w:jc w:val="both"/>
        <w:rPr>
          <w:rFonts w:eastAsia="Calibri"/>
        </w:rPr>
      </w:pPr>
      <w:r w:rsidRPr="00C56257">
        <w:rPr>
          <w:rFonts w:eastAsia="Calibri"/>
        </w:rPr>
        <w:t>ROSCI0251 Tisa Superioară *</w:t>
      </w:r>
    </w:p>
    <w:p w14:paraId="36A89D82"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0253 Trascău *</w:t>
      </w:r>
    </w:p>
    <w:p w14:paraId="7DAF640E" w14:textId="77777777" w:rsidR="0007555D" w:rsidRPr="00C56257" w:rsidRDefault="0007555D" w:rsidP="008E33FD">
      <w:pPr>
        <w:spacing w:line="259" w:lineRule="auto"/>
        <w:contextualSpacing/>
        <w:jc w:val="both"/>
        <w:rPr>
          <w:rFonts w:eastAsia="Calibri"/>
        </w:rPr>
      </w:pPr>
      <w:r w:rsidRPr="00C56257">
        <w:rPr>
          <w:rFonts w:eastAsia="Calibri"/>
        </w:rPr>
        <w:t>ROS</w:t>
      </w:r>
      <w:r w:rsidR="00862009">
        <w:rPr>
          <w:rFonts w:eastAsia="Calibri"/>
        </w:rPr>
        <w:t>AC</w:t>
      </w:r>
      <w:r w:rsidRPr="00C56257">
        <w:rPr>
          <w:rFonts w:eastAsia="Calibri"/>
        </w:rPr>
        <w:t>0263 Valea Ierii</w:t>
      </w:r>
    </w:p>
    <w:p w14:paraId="4C9E7980" w14:textId="77777777" w:rsidR="0007555D" w:rsidRPr="00C56257" w:rsidRDefault="0007555D" w:rsidP="008E33FD">
      <w:pPr>
        <w:spacing w:line="259" w:lineRule="auto"/>
        <w:contextualSpacing/>
        <w:jc w:val="both"/>
        <w:rPr>
          <w:rFonts w:eastAsia="Calibri"/>
        </w:rPr>
      </w:pPr>
      <w:r w:rsidRPr="00C56257">
        <w:rPr>
          <w:rFonts w:eastAsia="Calibri"/>
        </w:rPr>
        <w:t>ROSCI0264 Valea Izei și Dealul Solovan</w:t>
      </w:r>
    </w:p>
    <w:p w14:paraId="76A80C9F" w14:textId="77777777" w:rsidR="0007555D" w:rsidRPr="00C56257" w:rsidRDefault="0007555D" w:rsidP="008E33FD">
      <w:pPr>
        <w:spacing w:line="259" w:lineRule="auto"/>
        <w:contextualSpacing/>
        <w:jc w:val="both"/>
        <w:rPr>
          <w:rFonts w:eastAsia="Calibri"/>
        </w:rPr>
      </w:pPr>
      <w:r w:rsidRPr="00C56257">
        <w:rPr>
          <w:rFonts w:eastAsia="Calibri"/>
        </w:rPr>
        <w:t>ROSCI0268 Valea Vâlsanului</w:t>
      </w:r>
    </w:p>
    <w:p w14:paraId="27F929E6" w14:textId="77777777" w:rsidR="0007555D" w:rsidRPr="00C56257" w:rsidRDefault="0007555D" w:rsidP="008E33FD">
      <w:pPr>
        <w:spacing w:line="259" w:lineRule="auto"/>
        <w:contextualSpacing/>
        <w:jc w:val="both"/>
        <w:rPr>
          <w:rFonts w:eastAsia="Calibri"/>
        </w:rPr>
      </w:pPr>
      <w:r w:rsidRPr="00C56257">
        <w:rPr>
          <w:rFonts w:eastAsia="Calibri"/>
        </w:rPr>
        <w:t>ROS</w:t>
      </w:r>
      <w:r w:rsidR="0062457E">
        <w:rPr>
          <w:rFonts w:eastAsia="Calibri"/>
        </w:rPr>
        <w:t>AC</w:t>
      </w:r>
      <w:r w:rsidRPr="00C56257">
        <w:rPr>
          <w:rFonts w:eastAsia="Calibri"/>
        </w:rPr>
        <w:t>0270 Vânători-Neamț</w:t>
      </w:r>
    </w:p>
    <w:p w14:paraId="1CC91308" w14:textId="77777777" w:rsidR="0007555D" w:rsidRPr="00C56257" w:rsidRDefault="0007555D" w:rsidP="008E33FD">
      <w:pPr>
        <w:spacing w:line="259" w:lineRule="auto"/>
        <w:contextualSpacing/>
        <w:jc w:val="both"/>
        <w:rPr>
          <w:rFonts w:eastAsia="Calibri"/>
        </w:rPr>
      </w:pPr>
      <w:r w:rsidRPr="00C56257">
        <w:rPr>
          <w:rFonts w:eastAsia="Calibri"/>
        </w:rPr>
        <w:t>ROS</w:t>
      </w:r>
      <w:r w:rsidR="0062457E">
        <w:rPr>
          <w:rFonts w:eastAsia="Calibri"/>
        </w:rPr>
        <w:t>AC</w:t>
      </w:r>
      <w:r w:rsidRPr="00C56257">
        <w:rPr>
          <w:rFonts w:eastAsia="Calibri"/>
        </w:rPr>
        <w:t>0275 Bârsău - Șomcuta *</w:t>
      </w:r>
    </w:p>
    <w:p w14:paraId="68EBCF67" w14:textId="77777777" w:rsidR="0007555D" w:rsidRPr="00C56257" w:rsidRDefault="0007555D" w:rsidP="008E33FD">
      <w:pPr>
        <w:spacing w:line="259" w:lineRule="auto"/>
        <w:contextualSpacing/>
        <w:jc w:val="both"/>
        <w:rPr>
          <w:rFonts w:eastAsia="Calibri"/>
        </w:rPr>
      </w:pPr>
      <w:r w:rsidRPr="00C56257">
        <w:rPr>
          <w:rFonts w:eastAsia="Calibri"/>
        </w:rPr>
        <w:t>ROS</w:t>
      </w:r>
      <w:r w:rsidR="0062457E">
        <w:rPr>
          <w:rFonts w:eastAsia="Calibri"/>
        </w:rPr>
        <w:t>AC</w:t>
      </w:r>
      <w:r w:rsidRPr="00C56257">
        <w:rPr>
          <w:rFonts w:eastAsia="Calibri"/>
        </w:rPr>
        <w:t>0283 Cheile Doftanei</w:t>
      </w:r>
    </w:p>
    <w:p w14:paraId="398096C8" w14:textId="77777777" w:rsidR="0007555D" w:rsidRPr="00C56257" w:rsidRDefault="0007555D" w:rsidP="008E33FD">
      <w:pPr>
        <w:spacing w:line="259" w:lineRule="auto"/>
        <w:contextualSpacing/>
        <w:jc w:val="both"/>
        <w:rPr>
          <w:rFonts w:eastAsia="Calibri"/>
        </w:rPr>
      </w:pPr>
      <w:r w:rsidRPr="00C56257">
        <w:rPr>
          <w:rFonts w:eastAsia="Calibri"/>
        </w:rPr>
        <w:t>ROS</w:t>
      </w:r>
      <w:r w:rsidR="00DD6EEB">
        <w:rPr>
          <w:rFonts w:eastAsia="Calibri"/>
        </w:rPr>
        <w:t>AC</w:t>
      </w:r>
      <w:r w:rsidRPr="00C56257">
        <w:rPr>
          <w:rFonts w:eastAsia="Calibri"/>
        </w:rPr>
        <w:t>0289 Coridorul Drocea - Codru Moma</w:t>
      </w:r>
    </w:p>
    <w:p w14:paraId="152553DF" w14:textId="77777777" w:rsidR="0007555D" w:rsidRPr="00C56257" w:rsidRDefault="0007555D" w:rsidP="008E33FD">
      <w:pPr>
        <w:spacing w:line="259" w:lineRule="auto"/>
        <w:contextualSpacing/>
        <w:jc w:val="both"/>
        <w:rPr>
          <w:rFonts w:eastAsia="Calibri"/>
        </w:rPr>
      </w:pPr>
      <w:r w:rsidRPr="00C56257">
        <w:rPr>
          <w:rFonts w:eastAsia="Calibri"/>
        </w:rPr>
        <w:t>ROSCI0291 Coridorul Munții Bihorului - Codru Moma</w:t>
      </w:r>
    </w:p>
    <w:p w14:paraId="540F43FD" w14:textId="77777777" w:rsidR="0007555D" w:rsidRPr="00C56257" w:rsidRDefault="0007555D" w:rsidP="008E33FD">
      <w:pPr>
        <w:spacing w:line="259" w:lineRule="auto"/>
        <w:contextualSpacing/>
        <w:jc w:val="both"/>
        <w:rPr>
          <w:rFonts w:eastAsia="Calibri"/>
        </w:rPr>
      </w:pPr>
      <w:r w:rsidRPr="00C56257">
        <w:rPr>
          <w:rFonts w:eastAsia="Calibri"/>
        </w:rPr>
        <w:t>ROSCI0292 Coridorul Rusca Montană - Țarcu - Retezat</w:t>
      </w:r>
    </w:p>
    <w:p w14:paraId="68B020AB" w14:textId="77777777" w:rsidR="0007555D" w:rsidRPr="00C56257" w:rsidRDefault="0007555D" w:rsidP="008E33FD">
      <w:pPr>
        <w:spacing w:line="259" w:lineRule="auto"/>
        <w:contextualSpacing/>
        <w:jc w:val="both"/>
        <w:rPr>
          <w:rFonts w:eastAsia="Calibri"/>
        </w:rPr>
      </w:pPr>
      <w:r w:rsidRPr="00C56257">
        <w:rPr>
          <w:rFonts w:eastAsia="Calibri"/>
        </w:rPr>
        <w:t>ROSCI0295 Dealurile Clujului de Est</w:t>
      </w:r>
    </w:p>
    <w:p w14:paraId="47E21F34" w14:textId="77777777" w:rsidR="0007555D" w:rsidRPr="00C56257" w:rsidRDefault="0007555D" w:rsidP="008E33FD">
      <w:pPr>
        <w:spacing w:line="259" w:lineRule="auto"/>
        <w:contextualSpacing/>
        <w:jc w:val="both"/>
        <w:rPr>
          <w:rFonts w:eastAsia="Calibri"/>
        </w:rPr>
      </w:pPr>
      <w:r w:rsidRPr="00C56257">
        <w:rPr>
          <w:rFonts w:eastAsia="Calibri"/>
        </w:rPr>
        <w:t>ROSCI0296 Dealurile Drăgășaniului</w:t>
      </w:r>
    </w:p>
    <w:p w14:paraId="48D3FAFC" w14:textId="77777777" w:rsidR="0007555D" w:rsidRPr="00C56257" w:rsidRDefault="0007555D" w:rsidP="008E33FD">
      <w:pPr>
        <w:spacing w:line="259" w:lineRule="auto"/>
        <w:contextualSpacing/>
        <w:jc w:val="both"/>
        <w:rPr>
          <w:rFonts w:eastAsia="Calibri"/>
        </w:rPr>
      </w:pPr>
      <w:r w:rsidRPr="00C56257">
        <w:rPr>
          <w:rFonts w:eastAsia="Calibri"/>
        </w:rPr>
        <w:t>ROS</w:t>
      </w:r>
      <w:r w:rsidR="005050F7">
        <w:rPr>
          <w:rFonts w:eastAsia="Calibri"/>
        </w:rPr>
        <w:t>AC</w:t>
      </w:r>
      <w:r w:rsidRPr="00C56257">
        <w:rPr>
          <w:rFonts w:eastAsia="Calibri"/>
        </w:rPr>
        <w:t>0297 Dealurile Târnavei Mici - Bicheș *</w:t>
      </w:r>
    </w:p>
    <w:p w14:paraId="0750815F" w14:textId="77777777" w:rsidR="0007555D" w:rsidRPr="00C56257" w:rsidRDefault="0007555D" w:rsidP="008E33FD">
      <w:pPr>
        <w:spacing w:line="259" w:lineRule="auto"/>
        <w:contextualSpacing/>
        <w:jc w:val="both"/>
        <w:rPr>
          <w:rFonts w:eastAsia="Calibri"/>
        </w:rPr>
      </w:pPr>
      <w:r w:rsidRPr="00C56257">
        <w:rPr>
          <w:rFonts w:eastAsia="Calibri"/>
        </w:rPr>
        <w:t>ROS</w:t>
      </w:r>
      <w:r w:rsidR="005050F7">
        <w:rPr>
          <w:rFonts w:eastAsia="Calibri"/>
        </w:rPr>
        <w:t>AC</w:t>
      </w:r>
      <w:r w:rsidRPr="00C56257">
        <w:rPr>
          <w:rFonts w:eastAsia="Calibri"/>
        </w:rPr>
        <w:t>0298 Defileul Crișului Alb</w:t>
      </w:r>
    </w:p>
    <w:p w14:paraId="367FDB99" w14:textId="77777777" w:rsidR="0007555D" w:rsidRPr="00C56257" w:rsidRDefault="0007555D" w:rsidP="008E33FD">
      <w:pPr>
        <w:spacing w:line="259" w:lineRule="auto"/>
        <w:contextualSpacing/>
        <w:jc w:val="both"/>
        <w:rPr>
          <w:rFonts w:eastAsia="Calibri"/>
        </w:rPr>
      </w:pPr>
      <w:r w:rsidRPr="00C56257">
        <w:rPr>
          <w:rFonts w:eastAsia="Calibri"/>
        </w:rPr>
        <w:t>ROSCI0303 Hârtibaciu Sud - Est</w:t>
      </w:r>
    </w:p>
    <w:p w14:paraId="62185E5D" w14:textId="77777777" w:rsidR="0007555D" w:rsidRPr="00C56257" w:rsidRDefault="0007555D" w:rsidP="008E33FD">
      <w:pPr>
        <w:spacing w:line="259" w:lineRule="auto"/>
        <w:contextualSpacing/>
        <w:jc w:val="both"/>
        <w:rPr>
          <w:rFonts w:eastAsia="Calibri"/>
        </w:rPr>
      </w:pPr>
      <w:r w:rsidRPr="00C56257">
        <w:rPr>
          <w:rFonts w:eastAsia="Calibri"/>
        </w:rPr>
        <w:t>ROS</w:t>
      </w:r>
      <w:r w:rsidR="005050F7">
        <w:rPr>
          <w:rFonts w:eastAsia="Calibri"/>
        </w:rPr>
        <w:t>AC</w:t>
      </w:r>
      <w:r w:rsidRPr="00C56257">
        <w:rPr>
          <w:rFonts w:eastAsia="Calibri"/>
        </w:rPr>
        <w:t>0304 Hârtibaciu Sud - Vest *</w:t>
      </w:r>
    </w:p>
    <w:p w14:paraId="5BE8F132" w14:textId="77777777" w:rsidR="0007555D" w:rsidRPr="00C56257" w:rsidRDefault="0007555D" w:rsidP="008E33FD">
      <w:pPr>
        <w:spacing w:line="259" w:lineRule="auto"/>
        <w:contextualSpacing/>
        <w:jc w:val="both"/>
        <w:rPr>
          <w:rFonts w:eastAsia="Calibri"/>
        </w:rPr>
      </w:pPr>
      <w:r w:rsidRPr="00C56257">
        <w:rPr>
          <w:rFonts w:eastAsia="Calibri"/>
        </w:rPr>
        <w:t>ROSCI0314 Lozna *</w:t>
      </w:r>
    </w:p>
    <w:p w14:paraId="1279FC16" w14:textId="77777777" w:rsidR="0007555D" w:rsidRPr="00C56257" w:rsidRDefault="0007555D" w:rsidP="008E33FD">
      <w:pPr>
        <w:spacing w:line="259" w:lineRule="auto"/>
        <w:contextualSpacing/>
        <w:jc w:val="both"/>
        <w:rPr>
          <w:rFonts w:eastAsia="Calibri"/>
        </w:rPr>
      </w:pPr>
      <w:r w:rsidRPr="00C56257">
        <w:rPr>
          <w:rFonts w:eastAsia="Calibri"/>
        </w:rPr>
        <w:t>ROS</w:t>
      </w:r>
      <w:r w:rsidR="005050F7">
        <w:rPr>
          <w:rFonts w:eastAsia="Calibri"/>
        </w:rPr>
        <w:t>AC</w:t>
      </w:r>
      <w:r w:rsidRPr="00C56257">
        <w:rPr>
          <w:rFonts w:eastAsia="Calibri"/>
        </w:rPr>
        <w:t>0318 Măgura Târgu Ocna</w:t>
      </w:r>
    </w:p>
    <w:p w14:paraId="6CC88133" w14:textId="77777777" w:rsidR="0007555D" w:rsidRPr="00C56257" w:rsidRDefault="0007555D" w:rsidP="008E33FD">
      <w:pPr>
        <w:spacing w:line="259" w:lineRule="auto"/>
        <w:contextualSpacing/>
        <w:jc w:val="both"/>
        <w:rPr>
          <w:rFonts w:eastAsia="Calibri"/>
        </w:rPr>
      </w:pPr>
      <w:r w:rsidRPr="00C56257">
        <w:rPr>
          <w:rFonts w:eastAsia="Calibri"/>
        </w:rPr>
        <w:t>ROSCI0320 Mociar</w:t>
      </w:r>
    </w:p>
    <w:p w14:paraId="63117DFB" w14:textId="77777777" w:rsidR="0007555D" w:rsidRPr="00C56257" w:rsidRDefault="0007555D" w:rsidP="008E33FD">
      <w:pPr>
        <w:spacing w:line="259" w:lineRule="auto"/>
        <w:contextualSpacing/>
        <w:jc w:val="both"/>
        <w:rPr>
          <w:rFonts w:eastAsia="Calibri"/>
        </w:rPr>
      </w:pPr>
      <w:r w:rsidRPr="00C56257">
        <w:rPr>
          <w:rFonts w:eastAsia="Calibri"/>
        </w:rPr>
        <w:t>ROS</w:t>
      </w:r>
      <w:r w:rsidR="005050F7">
        <w:rPr>
          <w:rFonts w:eastAsia="Calibri"/>
        </w:rPr>
        <w:t>AC</w:t>
      </w:r>
      <w:r w:rsidRPr="00C56257">
        <w:rPr>
          <w:rFonts w:eastAsia="Calibri"/>
        </w:rPr>
        <w:t>0322 Muntele Șes *</w:t>
      </w:r>
    </w:p>
    <w:p w14:paraId="311AFB26" w14:textId="77777777" w:rsidR="0007555D" w:rsidRPr="00C56257" w:rsidRDefault="0007555D" w:rsidP="008E33FD">
      <w:pPr>
        <w:spacing w:line="259" w:lineRule="auto"/>
        <w:contextualSpacing/>
        <w:jc w:val="both"/>
        <w:rPr>
          <w:rFonts w:eastAsia="Calibri"/>
        </w:rPr>
      </w:pPr>
      <w:r w:rsidRPr="00C56257">
        <w:rPr>
          <w:rFonts w:eastAsia="Calibri"/>
        </w:rPr>
        <w:t>ROSCI0324 Munții Bihor</w:t>
      </w:r>
    </w:p>
    <w:p w14:paraId="7321A908" w14:textId="77777777" w:rsidR="0007555D" w:rsidRPr="00C56257" w:rsidRDefault="0007555D" w:rsidP="008E33FD">
      <w:pPr>
        <w:spacing w:line="259" w:lineRule="auto"/>
        <w:contextualSpacing/>
        <w:jc w:val="both"/>
        <w:rPr>
          <w:rFonts w:eastAsia="Calibri"/>
        </w:rPr>
      </w:pPr>
      <w:r w:rsidRPr="00C56257">
        <w:rPr>
          <w:rFonts w:eastAsia="Calibri"/>
        </w:rPr>
        <w:t>ROSCI0325 Munții Metaliferi *</w:t>
      </w:r>
    </w:p>
    <w:p w14:paraId="6D5E9C01" w14:textId="77777777" w:rsidR="0007555D" w:rsidRPr="00C56257" w:rsidRDefault="0007555D" w:rsidP="008E33FD">
      <w:pPr>
        <w:spacing w:line="259" w:lineRule="auto"/>
        <w:contextualSpacing/>
        <w:jc w:val="both"/>
        <w:rPr>
          <w:rFonts w:eastAsia="Calibri"/>
        </w:rPr>
      </w:pPr>
      <w:r w:rsidRPr="00C56257">
        <w:rPr>
          <w:rFonts w:eastAsia="Calibri"/>
        </w:rPr>
        <w:t>ROS</w:t>
      </w:r>
      <w:r w:rsidR="005050F7">
        <w:rPr>
          <w:rFonts w:eastAsia="Calibri"/>
        </w:rPr>
        <w:t>AC</w:t>
      </w:r>
      <w:r w:rsidRPr="00C56257">
        <w:rPr>
          <w:rFonts w:eastAsia="Calibri"/>
        </w:rPr>
        <w:t>0326 Muscelele Argeșului</w:t>
      </w:r>
    </w:p>
    <w:p w14:paraId="6193B531" w14:textId="77777777" w:rsidR="0007555D" w:rsidRPr="00C56257" w:rsidRDefault="0007555D" w:rsidP="008E33FD">
      <w:pPr>
        <w:spacing w:line="259" w:lineRule="auto"/>
        <w:contextualSpacing/>
        <w:jc w:val="both"/>
        <w:rPr>
          <w:rFonts w:eastAsia="Calibri"/>
        </w:rPr>
      </w:pPr>
      <w:r w:rsidRPr="00C56257">
        <w:rPr>
          <w:rFonts w:eastAsia="Calibri"/>
        </w:rPr>
        <w:t>ROS</w:t>
      </w:r>
      <w:r w:rsidR="005050F7">
        <w:rPr>
          <w:rFonts w:eastAsia="Calibri"/>
        </w:rPr>
        <w:t>AC</w:t>
      </w:r>
      <w:r w:rsidRPr="00C56257">
        <w:rPr>
          <w:rFonts w:eastAsia="Calibri"/>
        </w:rPr>
        <w:t>0329 Oltul Superior</w:t>
      </w:r>
    </w:p>
    <w:p w14:paraId="7A9B091D" w14:textId="77777777" w:rsidR="0007555D" w:rsidRPr="00C56257" w:rsidRDefault="0007555D" w:rsidP="008E33FD">
      <w:pPr>
        <w:spacing w:line="259" w:lineRule="auto"/>
        <w:contextualSpacing/>
        <w:jc w:val="both"/>
        <w:rPr>
          <w:rFonts w:eastAsia="Calibri"/>
        </w:rPr>
      </w:pPr>
      <w:r w:rsidRPr="00C56257">
        <w:rPr>
          <w:rFonts w:eastAsia="Calibri"/>
        </w:rPr>
        <w:t>ROSCI0333 Pajiștile Sărmășel - Milaș - Urmeniș</w:t>
      </w:r>
    </w:p>
    <w:p w14:paraId="28B9A874" w14:textId="77777777" w:rsidR="0007555D" w:rsidRPr="00C56257" w:rsidRDefault="0007555D" w:rsidP="008E33FD">
      <w:pPr>
        <w:spacing w:line="259" w:lineRule="auto"/>
        <w:contextualSpacing/>
        <w:jc w:val="both"/>
        <w:rPr>
          <w:rFonts w:eastAsia="Calibri"/>
        </w:rPr>
      </w:pPr>
      <w:r w:rsidRPr="00C56257">
        <w:rPr>
          <w:rFonts w:eastAsia="Calibri"/>
        </w:rPr>
        <w:t>ROS</w:t>
      </w:r>
      <w:r w:rsidR="005050F7">
        <w:rPr>
          <w:rFonts w:eastAsia="Calibri"/>
        </w:rPr>
        <w:t>AC</w:t>
      </w:r>
      <w:r w:rsidRPr="00C56257">
        <w:rPr>
          <w:rFonts w:eastAsia="Calibri"/>
        </w:rPr>
        <w:t>0334 Pădurea Buciumeni - Homocea</w:t>
      </w:r>
    </w:p>
    <w:p w14:paraId="75803AFC" w14:textId="77777777" w:rsidR="0007555D" w:rsidRPr="00C56257" w:rsidRDefault="0007555D" w:rsidP="008E33FD">
      <w:pPr>
        <w:spacing w:line="259" w:lineRule="auto"/>
        <w:contextualSpacing/>
        <w:jc w:val="both"/>
        <w:rPr>
          <w:rFonts w:eastAsia="Calibri"/>
        </w:rPr>
      </w:pPr>
      <w:r w:rsidRPr="00C56257">
        <w:rPr>
          <w:rFonts w:eastAsia="Calibri"/>
        </w:rPr>
        <w:t>ROSCI0335 Pădurea Dobrina - Huși</w:t>
      </w:r>
    </w:p>
    <w:p w14:paraId="5363D560" w14:textId="77777777" w:rsidR="0007555D" w:rsidRPr="00C56257" w:rsidRDefault="0007555D" w:rsidP="008E33FD">
      <w:pPr>
        <w:spacing w:line="259" w:lineRule="auto"/>
        <w:contextualSpacing/>
        <w:jc w:val="both"/>
        <w:rPr>
          <w:rFonts w:eastAsia="Calibri"/>
        </w:rPr>
      </w:pPr>
      <w:r w:rsidRPr="00C56257">
        <w:rPr>
          <w:rFonts w:eastAsia="Calibri"/>
        </w:rPr>
        <w:t>ROS</w:t>
      </w:r>
      <w:r w:rsidR="005050F7">
        <w:rPr>
          <w:rFonts w:eastAsia="Calibri"/>
        </w:rPr>
        <w:t>AC</w:t>
      </w:r>
      <w:r w:rsidRPr="00C56257">
        <w:rPr>
          <w:rFonts w:eastAsia="Calibri"/>
        </w:rPr>
        <w:t>0337 Pădurea Neudorfului</w:t>
      </w:r>
    </w:p>
    <w:p w14:paraId="37FD9938" w14:textId="77777777" w:rsidR="0007555D" w:rsidRPr="00C56257" w:rsidRDefault="0007555D" w:rsidP="008E33FD">
      <w:pPr>
        <w:spacing w:line="259" w:lineRule="auto"/>
        <w:contextualSpacing/>
        <w:jc w:val="both"/>
        <w:rPr>
          <w:rFonts w:eastAsia="Calibri"/>
        </w:rPr>
      </w:pPr>
      <w:r w:rsidRPr="00C56257">
        <w:rPr>
          <w:rFonts w:eastAsia="Calibri"/>
        </w:rPr>
        <w:t>ROSCI0339 Pădurea Povernii - Valea Cernița</w:t>
      </w:r>
    </w:p>
    <w:p w14:paraId="16EBCEEA"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ROSCI0342 Pădurea Târgu Mureș</w:t>
      </w:r>
    </w:p>
    <w:p w14:paraId="6F6DAB1D" w14:textId="77777777" w:rsidR="0007555D" w:rsidRPr="00C56257" w:rsidRDefault="0007555D" w:rsidP="008E33FD">
      <w:pPr>
        <w:spacing w:line="259" w:lineRule="auto"/>
        <w:contextualSpacing/>
        <w:jc w:val="both"/>
        <w:rPr>
          <w:rFonts w:eastAsia="Calibri"/>
        </w:rPr>
      </w:pPr>
      <w:r w:rsidRPr="00C56257">
        <w:rPr>
          <w:rFonts w:eastAsia="Calibri"/>
        </w:rPr>
        <w:t>ROS</w:t>
      </w:r>
      <w:r w:rsidR="005050F7">
        <w:rPr>
          <w:rFonts w:eastAsia="Calibri"/>
        </w:rPr>
        <w:t>AC</w:t>
      </w:r>
      <w:r w:rsidRPr="00C56257">
        <w:rPr>
          <w:rFonts w:eastAsia="Calibri"/>
        </w:rPr>
        <w:t>0344 Pădurile din Sudul Piemontului Cândești</w:t>
      </w:r>
    </w:p>
    <w:p w14:paraId="5D4A7C02" w14:textId="77777777" w:rsidR="0007555D" w:rsidRPr="00C56257" w:rsidRDefault="0007555D" w:rsidP="008E33FD">
      <w:pPr>
        <w:spacing w:line="259" w:lineRule="auto"/>
        <w:contextualSpacing/>
        <w:jc w:val="both"/>
        <w:rPr>
          <w:rFonts w:eastAsia="Calibri"/>
        </w:rPr>
      </w:pPr>
      <w:r w:rsidRPr="00C56257">
        <w:rPr>
          <w:rFonts w:eastAsia="Calibri"/>
        </w:rPr>
        <w:t>ROSCI0351 Culmea Cucuieți</w:t>
      </w:r>
    </w:p>
    <w:p w14:paraId="0D8437F7" w14:textId="77777777" w:rsidR="0007555D" w:rsidRPr="00C56257" w:rsidRDefault="0007555D" w:rsidP="008E33FD">
      <w:pPr>
        <w:spacing w:line="259" w:lineRule="auto"/>
        <w:contextualSpacing/>
        <w:jc w:val="both"/>
        <w:rPr>
          <w:rFonts w:eastAsia="Calibri"/>
        </w:rPr>
      </w:pPr>
      <w:r w:rsidRPr="00C56257">
        <w:rPr>
          <w:rFonts w:eastAsia="Calibri"/>
        </w:rPr>
        <w:t>ROS</w:t>
      </w:r>
      <w:r w:rsidR="005050F7">
        <w:rPr>
          <w:rFonts w:eastAsia="Calibri"/>
        </w:rPr>
        <w:t>AC</w:t>
      </w:r>
      <w:r w:rsidRPr="00C56257">
        <w:rPr>
          <w:rFonts w:eastAsia="Calibri"/>
        </w:rPr>
        <w:t>0352 Perșani</w:t>
      </w:r>
    </w:p>
    <w:p w14:paraId="2463AD0A" w14:textId="77777777" w:rsidR="0007555D" w:rsidRPr="00C56257" w:rsidRDefault="0007555D" w:rsidP="008E33FD">
      <w:pPr>
        <w:spacing w:line="259" w:lineRule="auto"/>
        <w:contextualSpacing/>
        <w:jc w:val="both"/>
        <w:rPr>
          <w:rFonts w:eastAsia="Calibri"/>
        </w:rPr>
      </w:pPr>
      <w:r w:rsidRPr="00C56257">
        <w:rPr>
          <w:rFonts w:eastAsia="Calibri"/>
        </w:rPr>
        <w:t>ROS</w:t>
      </w:r>
      <w:r w:rsidR="005050F7">
        <w:rPr>
          <w:rFonts w:eastAsia="Calibri"/>
        </w:rPr>
        <w:t>AC</w:t>
      </w:r>
      <w:r w:rsidRPr="00C56257">
        <w:rPr>
          <w:rFonts w:eastAsia="Calibri"/>
        </w:rPr>
        <w:t>0354 Platforma Cotmeana</w:t>
      </w:r>
    </w:p>
    <w:p w14:paraId="1EF215DA" w14:textId="77777777" w:rsidR="0007555D" w:rsidRPr="00C56257" w:rsidRDefault="0007555D" w:rsidP="008E33FD">
      <w:pPr>
        <w:spacing w:line="259" w:lineRule="auto"/>
        <w:contextualSpacing/>
        <w:jc w:val="both"/>
        <w:rPr>
          <w:rFonts w:eastAsia="Calibri"/>
        </w:rPr>
      </w:pPr>
      <w:r w:rsidRPr="00C56257">
        <w:rPr>
          <w:rFonts w:eastAsia="Calibri"/>
        </w:rPr>
        <w:t>ROSCI0355 Podișul Lipovei - Poiana Ruscă</w:t>
      </w:r>
    </w:p>
    <w:p w14:paraId="483D0F08" w14:textId="77777777" w:rsidR="0007555D" w:rsidRPr="00C56257" w:rsidRDefault="0007555D" w:rsidP="008E33FD">
      <w:pPr>
        <w:spacing w:line="259" w:lineRule="auto"/>
        <w:contextualSpacing/>
        <w:jc w:val="both"/>
        <w:rPr>
          <w:rFonts w:eastAsia="Calibri"/>
        </w:rPr>
      </w:pPr>
      <w:r w:rsidRPr="00C56257">
        <w:rPr>
          <w:rFonts w:eastAsia="Calibri"/>
        </w:rPr>
        <w:t>ROS</w:t>
      </w:r>
      <w:r w:rsidR="005050F7">
        <w:rPr>
          <w:rFonts w:eastAsia="Calibri"/>
        </w:rPr>
        <w:t>AC</w:t>
      </w:r>
      <w:r w:rsidRPr="00C56257">
        <w:rPr>
          <w:rFonts w:eastAsia="Calibri"/>
        </w:rPr>
        <w:t>0357 Porumbeni *</w:t>
      </w:r>
    </w:p>
    <w:p w14:paraId="697680A4" w14:textId="77777777" w:rsidR="0007555D" w:rsidRPr="00C56257" w:rsidRDefault="0007555D" w:rsidP="008E33FD">
      <w:pPr>
        <w:spacing w:line="259" w:lineRule="auto"/>
        <w:contextualSpacing/>
        <w:jc w:val="both"/>
        <w:rPr>
          <w:rFonts w:eastAsia="Calibri"/>
        </w:rPr>
      </w:pPr>
      <w:r w:rsidRPr="00C56257">
        <w:rPr>
          <w:rFonts w:eastAsia="Calibri"/>
        </w:rPr>
        <w:t>ROSCI0358 Pricop - Huta - Certeze</w:t>
      </w:r>
    </w:p>
    <w:p w14:paraId="02321283" w14:textId="77777777" w:rsidR="0007555D" w:rsidRPr="00C56257" w:rsidRDefault="0007555D" w:rsidP="008E33FD">
      <w:pPr>
        <w:spacing w:line="259" w:lineRule="auto"/>
        <w:contextualSpacing/>
        <w:jc w:val="both"/>
        <w:rPr>
          <w:rFonts w:eastAsia="Calibri"/>
        </w:rPr>
      </w:pPr>
      <w:r w:rsidRPr="00C56257">
        <w:rPr>
          <w:rFonts w:eastAsia="Calibri"/>
        </w:rPr>
        <w:t>ROS</w:t>
      </w:r>
      <w:r w:rsidR="005050F7">
        <w:rPr>
          <w:rFonts w:eastAsia="Calibri"/>
        </w:rPr>
        <w:t>AC</w:t>
      </w:r>
      <w:r w:rsidRPr="00C56257">
        <w:rPr>
          <w:rFonts w:eastAsia="Calibri"/>
        </w:rPr>
        <w:t>0359 Prigoria - Bengești</w:t>
      </w:r>
    </w:p>
    <w:p w14:paraId="55FCD387" w14:textId="77777777" w:rsidR="0007555D" w:rsidRPr="00C56257" w:rsidRDefault="0007555D" w:rsidP="008E33FD">
      <w:pPr>
        <w:spacing w:line="259" w:lineRule="auto"/>
        <w:contextualSpacing/>
        <w:jc w:val="both"/>
        <w:rPr>
          <w:rFonts w:eastAsia="Calibri"/>
        </w:rPr>
      </w:pPr>
      <w:r w:rsidRPr="00C56257">
        <w:rPr>
          <w:rFonts w:eastAsia="Calibri"/>
        </w:rPr>
        <w:t>ROS</w:t>
      </w:r>
      <w:r w:rsidR="005050F7">
        <w:rPr>
          <w:rFonts w:eastAsia="Calibri"/>
        </w:rPr>
        <w:t>AC</w:t>
      </w:r>
      <w:r w:rsidRPr="00C56257">
        <w:rPr>
          <w:rFonts w:eastAsia="Calibri"/>
        </w:rPr>
        <w:t>0362 Râul Gilort</w:t>
      </w:r>
    </w:p>
    <w:p w14:paraId="5F4BB4C4" w14:textId="77777777" w:rsidR="0007555D" w:rsidRPr="00C56257" w:rsidRDefault="0007555D" w:rsidP="008E33FD">
      <w:pPr>
        <w:spacing w:line="259" w:lineRule="auto"/>
        <w:contextualSpacing/>
        <w:jc w:val="both"/>
        <w:rPr>
          <w:rFonts w:eastAsia="Calibri"/>
        </w:rPr>
      </w:pPr>
      <w:r w:rsidRPr="00C56257">
        <w:rPr>
          <w:rFonts w:eastAsia="Calibri"/>
        </w:rPr>
        <w:t>ROS</w:t>
      </w:r>
      <w:r w:rsidR="005050F7">
        <w:rPr>
          <w:rFonts w:eastAsia="Calibri"/>
        </w:rPr>
        <w:t>AC</w:t>
      </w:r>
      <w:r w:rsidRPr="00C56257">
        <w:rPr>
          <w:rFonts w:eastAsia="Calibri"/>
        </w:rPr>
        <w:t>0364 Râul Moldova între Tupilați și Roman</w:t>
      </w:r>
    </w:p>
    <w:p w14:paraId="7662A20F" w14:textId="77777777" w:rsidR="0007555D" w:rsidRPr="00C56257" w:rsidRDefault="0007555D" w:rsidP="008E33FD">
      <w:pPr>
        <w:spacing w:line="259" w:lineRule="auto"/>
        <w:contextualSpacing/>
        <w:jc w:val="both"/>
        <w:rPr>
          <w:rFonts w:eastAsia="Calibri"/>
        </w:rPr>
      </w:pPr>
      <w:r w:rsidRPr="00C56257">
        <w:rPr>
          <w:rFonts w:eastAsia="Calibri"/>
        </w:rPr>
        <w:t>ROS</w:t>
      </w:r>
      <w:r w:rsidR="005050F7">
        <w:rPr>
          <w:rFonts w:eastAsia="Calibri"/>
        </w:rPr>
        <w:t>AC</w:t>
      </w:r>
      <w:r w:rsidRPr="00C56257">
        <w:rPr>
          <w:rFonts w:eastAsia="Calibri"/>
        </w:rPr>
        <w:t>0365 Râul Moldova între Păltinoasa și Ruși</w:t>
      </w:r>
    </w:p>
    <w:p w14:paraId="40F01801" w14:textId="77777777" w:rsidR="0007555D" w:rsidRPr="00C56257" w:rsidRDefault="0007555D" w:rsidP="008E33FD">
      <w:pPr>
        <w:spacing w:line="259" w:lineRule="auto"/>
        <w:contextualSpacing/>
        <w:jc w:val="both"/>
        <w:rPr>
          <w:rFonts w:eastAsia="Calibri"/>
        </w:rPr>
      </w:pPr>
      <w:r w:rsidRPr="00C56257">
        <w:rPr>
          <w:rFonts w:eastAsia="Calibri"/>
        </w:rPr>
        <w:t>ROS</w:t>
      </w:r>
      <w:r w:rsidR="005050F7">
        <w:rPr>
          <w:rFonts w:eastAsia="Calibri"/>
        </w:rPr>
        <w:t>AC</w:t>
      </w:r>
      <w:r w:rsidRPr="00C56257">
        <w:rPr>
          <w:rFonts w:eastAsia="Calibri"/>
        </w:rPr>
        <w:t>0366 Râul Motru</w:t>
      </w:r>
    </w:p>
    <w:p w14:paraId="55D5B042" w14:textId="77777777" w:rsidR="0007555D" w:rsidRPr="00C56257" w:rsidRDefault="0007555D" w:rsidP="008E33FD">
      <w:pPr>
        <w:spacing w:line="259" w:lineRule="auto"/>
        <w:contextualSpacing/>
        <w:jc w:val="both"/>
        <w:rPr>
          <w:rFonts w:eastAsia="Calibri"/>
        </w:rPr>
      </w:pPr>
      <w:r w:rsidRPr="00C56257">
        <w:rPr>
          <w:rFonts w:eastAsia="Calibri"/>
        </w:rPr>
        <w:t>ROSCI0367 Râul Mureș între Morești și Ogra</w:t>
      </w:r>
    </w:p>
    <w:p w14:paraId="01D7C246" w14:textId="77777777" w:rsidR="0007555D" w:rsidRPr="00C56257" w:rsidRDefault="0007555D" w:rsidP="008E33FD">
      <w:pPr>
        <w:spacing w:line="259" w:lineRule="auto"/>
        <w:contextualSpacing/>
        <w:jc w:val="both"/>
        <w:rPr>
          <w:rFonts w:eastAsia="Calibri"/>
        </w:rPr>
      </w:pPr>
      <w:r w:rsidRPr="00C56257">
        <w:rPr>
          <w:rFonts w:eastAsia="Calibri"/>
        </w:rPr>
        <w:t>ROSCI0368 Râul Mureș între Deda și Reghin</w:t>
      </w:r>
    </w:p>
    <w:p w14:paraId="4D44B94B" w14:textId="77777777" w:rsidR="0007555D" w:rsidRPr="00C56257" w:rsidRDefault="0007555D" w:rsidP="008E33FD">
      <w:pPr>
        <w:spacing w:line="259" w:lineRule="auto"/>
        <w:contextualSpacing/>
        <w:jc w:val="both"/>
        <w:rPr>
          <w:rFonts w:eastAsia="Calibri"/>
        </w:rPr>
      </w:pPr>
      <w:r w:rsidRPr="00C56257">
        <w:rPr>
          <w:rFonts w:eastAsia="Calibri"/>
        </w:rPr>
        <w:t>ROSCI0373 Râul Mureș între Brănișca și Ilia</w:t>
      </w:r>
    </w:p>
    <w:p w14:paraId="60853F20" w14:textId="77777777" w:rsidR="0007555D" w:rsidRPr="00C56257" w:rsidRDefault="0007555D" w:rsidP="008E33FD">
      <w:pPr>
        <w:spacing w:line="259" w:lineRule="auto"/>
        <w:contextualSpacing/>
        <w:jc w:val="both"/>
        <w:rPr>
          <w:rFonts w:eastAsia="Calibri"/>
        </w:rPr>
      </w:pPr>
      <w:r w:rsidRPr="00C56257">
        <w:rPr>
          <w:rFonts w:eastAsia="Calibri"/>
        </w:rPr>
        <w:t>ROSCI0377 Râul Putna</w:t>
      </w:r>
    </w:p>
    <w:p w14:paraId="72D3870A" w14:textId="77777777" w:rsidR="0007555D" w:rsidRPr="00C56257" w:rsidRDefault="0007555D" w:rsidP="008E33FD">
      <w:pPr>
        <w:spacing w:line="259" w:lineRule="auto"/>
        <w:contextualSpacing/>
        <w:jc w:val="both"/>
        <w:rPr>
          <w:rFonts w:eastAsia="Calibri"/>
        </w:rPr>
      </w:pPr>
      <w:r w:rsidRPr="00C56257">
        <w:rPr>
          <w:rFonts w:eastAsia="Calibri"/>
        </w:rPr>
        <w:t>ROSCI0378 Râul Siret între Pașcani și Roman</w:t>
      </w:r>
    </w:p>
    <w:p w14:paraId="37F0715C" w14:textId="77777777" w:rsidR="0007555D" w:rsidRPr="00C56257" w:rsidRDefault="0007555D" w:rsidP="008E33FD">
      <w:pPr>
        <w:spacing w:line="259" w:lineRule="auto"/>
        <w:contextualSpacing/>
        <w:jc w:val="both"/>
        <w:rPr>
          <w:rFonts w:eastAsia="Calibri"/>
        </w:rPr>
      </w:pPr>
      <w:r w:rsidRPr="00C56257">
        <w:rPr>
          <w:rFonts w:eastAsia="Calibri"/>
        </w:rPr>
        <w:t>ROS</w:t>
      </w:r>
      <w:r w:rsidR="005050F7">
        <w:rPr>
          <w:rFonts w:eastAsia="Calibri"/>
        </w:rPr>
        <w:t>AC</w:t>
      </w:r>
      <w:r w:rsidRPr="00C56257">
        <w:rPr>
          <w:rFonts w:eastAsia="Calibri"/>
        </w:rPr>
        <w:t>0384 Râul Târnava Mică</w:t>
      </w:r>
    </w:p>
    <w:p w14:paraId="1E39B176" w14:textId="77777777" w:rsidR="0007555D" w:rsidRPr="00C56257" w:rsidRDefault="0007555D" w:rsidP="008E33FD">
      <w:pPr>
        <w:spacing w:line="259" w:lineRule="auto"/>
        <w:contextualSpacing/>
        <w:jc w:val="both"/>
        <w:rPr>
          <w:rFonts w:eastAsia="Calibri"/>
        </w:rPr>
      </w:pPr>
      <w:r w:rsidRPr="00C56257">
        <w:rPr>
          <w:rFonts w:eastAsia="Calibri"/>
        </w:rPr>
        <w:t>ROSCI0393 Someșul Mare</w:t>
      </w:r>
    </w:p>
    <w:p w14:paraId="2659C9F2" w14:textId="77777777" w:rsidR="0007555D" w:rsidRPr="00C56257" w:rsidRDefault="0007555D" w:rsidP="008E33FD">
      <w:pPr>
        <w:spacing w:line="259" w:lineRule="auto"/>
        <w:contextualSpacing/>
        <w:jc w:val="both"/>
        <w:rPr>
          <w:rFonts w:eastAsia="Calibri"/>
        </w:rPr>
      </w:pPr>
      <w:r w:rsidRPr="00C56257">
        <w:rPr>
          <w:rFonts w:eastAsia="Calibri"/>
        </w:rPr>
        <w:t>ROSCI0397 Dealurile Podoleni</w:t>
      </w:r>
    </w:p>
    <w:p w14:paraId="5DA506BA" w14:textId="77777777" w:rsidR="0007555D" w:rsidRPr="00C56257" w:rsidRDefault="0007555D" w:rsidP="008E33FD">
      <w:pPr>
        <w:spacing w:line="259" w:lineRule="auto"/>
        <w:contextualSpacing/>
        <w:jc w:val="both"/>
        <w:rPr>
          <w:rFonts w:eastAsia="Calibri"/>
        </w:rPr>
      </w:pPr>
      <w:r w:rsidRPr="00C56257">
        <w:rPr>
          <w:rFonts w:eastAsia="Calibri"/>
        </w:rPr>
        <w:t>ROSCI0399 Suharau - Darabani</w:t>
      </w:r>
    </w:p>
    <w:p w14:paraId="1F000828" w14:textId="77777777" w:rsidR="0007555D" w:rsidRPr="00C56257" w:rsidRDefault="0007555D" w:rsidP="008E33FD">
      <w:pPr>
        <w:spacing w:line="259" w:lineRule="auto"/>
        <w:contextualSpacing/>
        <w:jc w:val="both"/>
        <w:rPr>
          <w:rFonts w:eastAsia="Calibri"/>
        </w:rPr>
      </w:pPr>
      <w:r w:rsidRPr="00C56257">
        <w:rPr>
          <w:rFonts w:eastAsia="Calibri"/>
        </w:rPr>
        <w:t>ROSCI0405 Dealurile Strehaia - Bâtlanele</w:t>
      </w:r>
    </w:p>
    <w:p w14:paraId="5F45A04D" w14:textId="77777777" w:rsidR="0007555D" w:rsidRPr="00C56257" w:rsidRDefault="0007555D" w:rsidP="008E33FD">
      <w:pPr>
        <w:spacing w:line="259" w:lineRule="auto"/>
        <w:contextualSpacing/>
        <w:jc w:val="both"/>
        <w:rPr>
          <w:rFonts w:eastAsia="Calibri"/>
        </w:rPr>
      </w:pPr>
      <w:r w:rsidRPr="00C56257">
        <w:rPr>
          <w:rFonts w:eastAsia="Calibri"/>
        </w:rPr>
        <w:t>ROSCI0406 Zarandul de Est</w:t>
      </w:r>
    </w:p>
    <w:p w14:paraId="0D23858A" w14:textId="77777777" w:rsidR="0007555D" w:rsidRPr="00C56257" w:rsidRDefault="0007555D" w:rsidP="008E33FD">
      <w:pPr>
        <w:spacing w:line="259" w:lineRule="auto"/>
        <w:contextualSpacing/>
        <w:jc w:val="both"/>
        <w:rPr>
          <w:rFonts w:eastAsia="Calibri"/>
        </w:rPr>
      </w:pPr>
      <w:r w:rsidRPr="00C56257">
        <w:rPr>
          <w:rFonts w:eastAsia="Calibri"/>
        </w:rPr>
        <w:t>ROSCI0407 Zarandul de Vest</w:t>
      </w:r>
    </w:p>
    <w:p w14:paraId="26C6B143" w14:textId="77777777" w:rsidR="0007555D" w:rsidRPr="00C56257" w:rsidRDefault="0007555D" w:rsidP="008E33FD">
      <w:pPr>
        <w:spacing w:line="259" w:lineRule="auto"/>
        <w:contextualSpacing/>
        <w:jc w:val="both"/>
        <w:rPr>
          <w:rFonts w:eastAsia="Calibri"/>
        </w:rPr>
      </w:pPr>
      <w:r w:rsidRPr="00C56257">
        <w:rPr>
          <w:rFonts w:eastAsia="Calibri"/>
        </w:rPr>
        <w:t>ROSCI0409 Fânațele de la Bogdana</w:t>
      </w:r>
    </w:p>
    <w:p w14:paraId="2F8B1EAC" w14:textId="77777777" w:rsidR="0007555D" w:rsidRPr="00C56257" w:rsidRDefault="0007555D" w:rsidP="008E33FD">
      <w:pPr>
        <w:spacing w:line="259" w:lineRule="auto"/>
        <w:contextualSpacing/>
        <w:jc w:val="both"/>
        <w:rPr>
          <w:rFonts w:eastAsia="Calibri"/>
        </w:rPr>
      </w:pPr>
      <w:r w:rsidRPr="00C56257">
        <w:rPr>
          <w:rFonts w:eastAsia="Calibri"/>
        </w:rPr>
        <w:t>ROSCI0416 Măgura Bătarci</w:t>
      </w:r>
    </w:p>
    <w:p w14:paraId="07248354" w14:textId="77777777" w:rsidR="0007555D" w:rsidRPr="00C56257" w:rsidRDefault="0007555D" w:rsidP="008E33FD">
      <w:pPr>
        <w:spacing w:line="259" w:lineRule="auto"/>
        <w:contextualSpacing/>
        <w:jc w:val="both"/>
        <w:rPr>
          <w:rFonts w:eastAsia="Calibri"/>
        </w:rPr>
      </w:pPr>
      <w:r w:rsidRPr="00C56257">
        <w:rPr>
          <w:rFonts w:eastAsia="Calibri"/>
        </w:rPr>
        <w:t>ROSCI0420 Oprănești</w:t>
      </w:r>
    </w:p>
    <w:p w14:paraId="1ECEF500" w14:textId="77777777" w:rsidR="0007555D" w:rsidRPr="00C56257" w:rsidRDefault="0007555D" w:rsidP="008E33FD">
      <w:pPr>
        <w:spacing w:line="259" w:lineRule="auto"/>
        <w:contextualSpacing/>
        <w:jc w:val="both"/>
        <w:rPr>
          <w:rFonts w:eastAsia="Calibri"/>
        </w:rPr>
      </w:pPr>
      <w:r w:rsidRPr="00C56257">
        <w:rPr>
          <w:rFonts w:eastAsia="Calibri"/>
        </w:rPr>
        <w:t>ROSCI0424 Pădurea și Lacul Mărgineni</w:t>
      </w:r>
    </w:p>
    <w:p w14:paraId="0499BF6B" w14:textId="77777777" w:rsidR="0007555D" w:rsidRPr="00C56257" w:rsidRDefault="0007555D" w:rsidP="008E33FD">
      <w:pPr>
        <w:spacing w:line="259" w:lineRule="auto"/>
        <w:contextualSpacing/>
        <w:jc w:val="both"/>
        <w:rPr>
          <w:rFonts w:eastAsia="Calibri"/>
        </w:rPr>
      </w:pPr>
      <w:r w:rsidRPr="00C56257">
        <w:rPr>
          <w:rFonts w:eastAsia="Calibri"/>
        </w:rPr>
        <w:t>ROSCI0427 Pajiștile de la Liteni – Săvădisla</w:t>
      </w:r>
    </w:p>
    <w:p w14:paraId="19512B1D" w14:textId="77777777" w:rsidR="0007555D" w:rsidRPr="00C56257" w:rsidRDefault="0007555D" w:rsidP="008E33FD">
      <w:pPr>
        <w:spacing w:line="259" w:lineRule="auto"/>
        <w:contextualSpacing/>
        <w:jc w:val="both"/>
        <w:rPr>
          <w:rFonts w:eastAsia="Calibri"/>
        </w:rPr>
      </w:pPr>
      <w:r w:rsidRPr="00C56257">
        <w:rPr>
          <w:rFonts w:eastAsia="Calibri"/>
        </w:rPr>
        <w:t>ROS</w:t>
      </w:r>
      <w:r w:rsidR="00F06B9E">
        <w:rPr>
          <w:rFonts w:eastAsia="Calibri"/>
        </w:rPr>
        <w:t>AC</w:t>
      </w:r>
      <w:r w:rsidRPr="00C56257">
        <w:rPr>
          <w:rFonts w:eastAsia="Calibri"/>
        </w:rPr>
        <w:t>0428 Pajiștile de la Mănărade</w:t>
      </w:r>
    </w:p>
    <w:p w14:paraId="59EFB6B3" w14:textId="77777777" w:rsidR="0007555D" w:rsidRPr="00C56257" w:rsidRDefault="0007555D" w:rsidP="008E33FD">
      <w:pPr>
        <w:spacing w:line="259" w:lineRule="auto"/>
        <w:contextualSpacing/>
        <w:jc w:val="both"/>
        <w:rPr>
          <w:rFonts w:eastAsia="Calibri"/>
        </w:rPr>
      </w:pPr>
      <w:r w:rsidRPr="00C56257">
        <w:rPr>
          <w:rFonts w:eastAsia="Calibri"/>
        </w:rPr>
        <w:t>ROSCI0432 Prunișor</w:t>
      </w:r>
    </w:p>
    <w:p w14:paraId="5C40CF96" w14:textId="77777777" w:rsidR="0007555D" w:rsidRPr="00C56257" w:rsidRDefault="0007555D" w:rsidP="008E33FD">
      <w:pPr>
        <w:spacing w:line="259" w:lineRule="auto"/>
        <w:contextualSpacing/>
        <w:jc w:val="both"/>
        <w:rPr>
          <w:rFonts w:eastAsia="Calibri"/>
        </w:rPr>
      </w:pPr>
      <w:r w:rsidRPr="00C56257">
        <w:rPr>
          <w:rFonts w:eastAsia="Calibri"/>
        </w:rPr>
        <w:t>ROSCI0434 Siretul Mijlociu</w:t>
      </w:r>
    </w:p>
    <w:p w14:paraId="3D68902C" w14:textId="77777777" w:rsidR="0007555D" w:rsidRPr="00C56257" w:rsidRDefault="0007555D" w:rsidP="008E33FD">
      <w:pPr>
        <w:spacing w:line="259" w:lineRule="auto"/>
        <w:contextualSpacing/>
        <w:jc w:val="both"/>
        <w:rPr>
          <w:rFonts w:eastAsia="Calibri"/>
        </w:rPr>
      </w:pPr>
      <w:r w:rsidRPr="00C56257">
        <w:rPr>
          <w:rFonts w:eastAsia="Calibri"/>
        </w:rPr>
        <w:t>ROSCI0435 Someșul între Rona și Țicău</w:t>
      </w:r>
    </w:p>
    <w:p w14:paraId="6F6FCA4A" w14:textId="77777777" w:rsidR="0007555D" w:rsidRPr="00C56257" w:rsidRDefault="0007555D" w:rsidP="008E33FD">
      <w:pPr>
        <w:spacing w:line="259" w:lineRule="auto"/>
        <w:contextualSpacing/>
        <w:jc w:val="both"/>
        <w:rPr>
          <w:rFonts w:eastAsia="Calibri"/>
        </w:rPr>
      </w:pPr>
      <w:r w:rsidRPr="00C56257">
        <w:rPr>
          <w:rFonts w:eastAsia="Calibri"/>
        </w:rPr>
        <w:t>ROSCI0441 Viile Tecii</w:t>
      </w:r>
    </w:p>
    <w:p w14:paraId="2EB05EB6" w14:textId="77777777" w:rsidR="0007555D" w:rsidRPr="00C56257" w:rsidRDefault="0007555D" w:rsidP="008E33FD">
      <w:pPr>
        <w:spacing w:line="259" w:lineRule="auto"/>
        <w:contextualSpacing/>
        <w:jc w:val="both"/>
        <w:rPr>
          <w:rFonts w:eastAsia="Calibri"/>
        </w:rPr>
      </w:pPr>
    </w:p>
    <w:p w14:paraId="3F2E4043" w14:textId="77777777" w:rsidR="0007555D" w:rsidRPr="00C56257" w:rsidRDefault="0007555D" w:rsidP="008E33FD">
      <w:pPr>
        <w:spacing w:line="259" w:lineRule="auto"/>
        <w:contextualSpacing/>
        <w:jc w:val="both"/>
        <w:rPr>
          <w:rFonts w:eastAsia="Calibri"/>
        </w:rPr>
      </w:pPr>
    </w:p>
    <w:p w14:paraId="6C642381"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9180 </w:t>
      </w:r>
      <w:r w:rsidRPr="00C56257">
        <w:rPr>
          <w:rFonts w:eastAsia="Calibri"/>
          <w:bCs/>
        </w:rPr>
        <w:t>*</w:t>
      </w:r>
      <w:r w:rsidRPr="00C56257">
        <w:rPr>
          <w:rFonts w:eastAsia="Calibri"/>
          <w:b/>
        </w:rPr>
        <w:t xml:space="preserve"> - Păduri din </w:t>
      </w:r>
      <w:r w:rsidRPr="00C56257">
        <w:rPr>
          <w:rFonts w:eastAsia="Calibri"/>
          <w:b/>
          <w:i/>
          <w:iCs/>
        </w:rPr>
        <w:t>Tilio-Acerion</w:t>
      </w:r>
      <w:r w:rsidRPr="00C56257">
        <w:rPr>
          <w:rFonts w:eastAsia="Calibri"/>
          <w:b/>
        </w:rPr>
        <w:t xml:space="preserve"> pe versanți abrupți, grohotișuri și ravene</w:t>
      </w:r>
    </w:p>
    <w:p w14:paraId="58B2EB8C" w14:textId="77777777" w:rsidR="0007555D" w:rsidRPr="00C56257" w:rsidRDefault="0007555D" w:rsidP="008E33FD">
      <w:pPr>
        <w:spacing w:line="259" w:lineRule="auto"/>
        <w:contextualSpacing/>
        <w:jc w:val="both"/>
        <w:rPr>
          <w:rFonts w:eastAsia="Calibri"/>
        </w:rPr>
      </w:pPr>
    </w:p>
    <w:p w14:paraId="6303320C" w14:textId="77777777" w:rsidR="0007555D" w:rsidRPr="00C56257" w:rsidRDefault="0007555D" w:rsidP="008E33FD">
      <w:pPr>
        <w:spacing w:line="259" w:lineRule="auto"/>
        <w:contextualSpacing/>
        <w:jc w:val="both"/>
        <w:rPr>
          <w:rFonts w:eastAsia="Calibri"/>
        </w:rPr>
      </w:pPr>
      <w:r w:rsidRPr="00C56257">
        <w:rPr>
          <w:rFonts w:eastAsia="Calibri"/>
        </w:rPr>
        <w:t>ROSCI0002 Apuseni *</w:t>
      </w:r>
    </w:p>
    <w:p w14:paraId="0CA3EE8C" w14:textId="77777777" w:rsidR="0007555D" w:rsidRPr="00C56257" w:rsidRDefault="0007555D" w:rsidP="008E33FD">
      <w:pPr>
        <w:spacing w:line="259" w:lineRule="auto"/>
        <w:contextualSpacing/>
        <w:jc w:val="both"/>
        <w:rPr>
          <w:rFonts w:eastAsia="Calibri"/>
        </w:rPr>
      </w:pPr>
      <w:r w:rsidRPr="00C56257">
        <w:rPr>
          <w:rFonts w:eastAsia="Calibri"/>
        </w:rPr>
        <w:t>ROSCI0013 Bucegi *</w:t>
      </w:r>
    </w:p>
    <w:p w14:paraId="080331D3" w14:textId="77777777" w:rsidR="0007555D" w:rsidRPr="00C56257" w:rsidRDefault="0007555D" w:rsidP="008E33FD">
      <w:pPr>
        <w:spacing w:line="259" w:lineRule="auto"/>
        <w:contextualSpacing/>
        <w:jc w:val="both"/>
        <w:rPr>
          <w:rFonts w:eastAsia="Calibri"/>
        </w:rPr>
      </w:pPr>
      <w:r w:rsidRPr="00C56257">
        <w:rPr>
          <w:rFonts w:eastAsia="Calibri"/>
        </w:rPr>
        <w:t>ROS</w:t>
      </w:r>
      <w:r w:rsidR="00834549">
        <w:rPr>
          <w:rFonts w:eastAsia="Calibri"/>
        </w:rPr>
        <w:t>AC</w:t>
      </w:r>
      <w:r w:rsidRPr="00C56257">
        <w:rPr>
          <w:rFonts w:eastAsia="Calibri"/>
        </w:rPr>
        <w:t>0015 Buila - Vânturarița *</w:t>
      </w:r>
    </w:p>
    <w:p w14:paraId="7D9B31A2" w14:textId="77777777" w:rsidR="0007555D" w:rsidRPr="00C56257" w:rsidRDefault="0007555D" w:rsidP="008E33FD">
      <w:pPr>
        <w:spacing w:line="259" w:lineRule="auto"/>
        <w:contextualSpacing/>
        <w:jc w:val="both"/>
        <w:rPr>
          <w:rFonts w:eastAsia="Calibri"/>
        </w:rPr>
      </w:pPr>
      <w:r w:rsidRPr="00C56257">
        <w:rPr>
          <w:rFonts w:eastAsia="Calibri"/>
        </w:rPr>
        <w:t>ROSCI0019 Călimani - Gurghiu *</w:t>
      </w:r>
    </w:p>
    <w:p w14:paraId="45CC06B7" w14:textId="77777777" w:rsidR="0007555D" w:rsidRPr="00C56257" w:rsidRDefault="0007555D" w:rsidP="008E33FD">
      <w:pPr>
        <w:spacing w:line="259" w:lineRule="auto"/>
        <w:contextualSpacing/>
        <w:jc w:val="both"/>
        <w:rPr>
          <w:rFonts w:eastAsia="Calibri"/>
        </w:rPr>
      </w:pPr>
      <w:r w:rsidRPr="00C56257">
        <w:rPr>
          <w:rFonts w:eastAsia="Calibri"/>
        </w:rPr>
        <w:t>ROS</w:t>
      </w:r>
      <w:r w:rsidR="00834549">
        <w:rPr>
          <w:rFonts w:eastAsia="Calibri"/>
        </w:rPr>
        <w:t>AC</w:t>
      </w:r>
      <w:r w:rsidRPr="00C56257">
        <w:rPr>
          <w:rFonts w:eastAsia="Calibri"/>
        </w:rPr>
        <w:t>0024 Ceahlău *</w:t>
      </w:r>
    </w:p>
    <w:p w14:paraId="3F2A85DA" w14:textId="77777777" w:rsidR="0007555D" w:rsidRPr="00C56257" w:rsidRDefault="0007555D" w:rsidP="008E33FD">
      <w:pPr>
        <w:spacing w:line="259" w:lineRule="auto"/>
        <w:contextualSpacing/>
        <w:jc w:val="both"/>
        <w:rPr>
          <w:rFonts w:eastAsia="Calibri"/>
        </w:rPr>
      </w:pPr>
      <w:r w:rsidRPr="00C56257">
        <w:rPr>
          <w:rFonts w:eastAsia="Calibri"/>
        </w:rPr>
        <w:t>ROS</w:t>
      </w:r>
      <w:r w:rsidR="00834549">
        <w:rPr>
          <w:rFonts w:eastAsia="Calibri"/>
        </w:rPr>
        <w:t>AC</w:t>
      </w:r>
      <w:r w:rsidRPr="00C56257">
        <w:rPr>
          <w:rFonts w:eastAsia="Calibri"/>
        </w:rPr>
        <w:t>0027 Cheile Bicazului - Hășmaș</w:t>
      </w:r>
    </w:p>
    <w:p w14:paraId="5D5DE132" w14:textId="77777777" w:rsidR="0007555D" w:rsidRPr="00C56257" w:rsidRDefault="0007555D" w:rsidP="008E33FD">
      <w:pPr>
        <w:spacing w:line="259" w:lineRule="auto"/>
        <w:contextualSpacing/>
        <w:jc w:val="both"/>
        <w:rPr>
          <w:rFonts w:eastAsia="Calibri"/>
        </w:rPr>
      </w:pPr>
      <w:r w:rsidRPr="00C56257">
        <w:rPr>
          <w:rFonts w:eastAsia="Calibri"/>
        </w:rPr>
        <w:t>ROSCI0029 Cheile Glodului, Cibului și Măzii</w:t>
      </w:r>
    </w:p>
    <w:p w14:paraId="759535AB"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ROSCI0030 Cheile Lăpușului</w:t>
      </w:r>
    </w:p>
    <w:p w14:paraId="7838E0A5" w14:textId="77777777" w:rsidR="0007555D" w:rsidRPr="00C56257" w:rsidRDefault="0007555D" w:rsidP="008E33FD">
      <w:pPr>
        <w:spacing w:line="259" w:lineRule="auto"/>
        <w:contextualSpacing/>
        <w:jc w:val="both"/>
        <w:rPr>
          <w:rFonts w:eastAsia="Calibri"/>
        </w:rPr>
      </w:pPr>
      <w:r w:rsidRPr="00C56257">
        <w:rPr>
          <w:rFonts w:eastAsia="Calibri"/>
        </w:rPr>
        <w:t>ROSCI0031 Cheile Nerei - Beușnița</w:t>
      </w:r>
    </w:p>
    <w:p w14:paraId="390F2024" w14:textId="77777777" w:rsidR="0007555D" w:rsidRPr="00C56257" w:rsidRDefault="0007555D" w:rsidP="008E33FD">
      <w:pPr>
        <w:spacing w:line="259" w:lineRule="auto"/>
        <w:contextualSpacing/>
        <w:jc w:val="both"/>
        <w:rPr>
          <w:rFonts w:eastAsia="Calibri"/>
        </w:rPr>
      </w:pPr>
      <w:r w:rsidRPr="00C56257">
        <w:rPr>
          <w:rFonts w:eastAsia="Calibri"/>
        </w:rPr>
        <w:t>ROS</w:t>
      </w:r>
      <w:r w:rsidR="00834549">
        <w:rPr>
          <w:rFonts w:eastAsia="Calibri"/>
        </w:rPr>
        <w:t>AC</w:t>
      </w:r>
      <w:r w:rsidRPr="00C56257">
        <w:rPr>
          <w:rFonts w:eastAsia="Calibri"/>
        </w:rPr>
        <w:t>0032 Cheile Rudăriei *</w:t>
      </w:r>
    </w:p>
    <w:p w14:paraId="1450C4D8" w14:textId="77777777" w:rsidR="0007555D" w:rsidRPr="00C56257" w:rsidRDefault="0007555D" w:rsidP="008E33FD">
      <w:pPr>
        <w:spacing w:line="259" w:lineRule="auto"/>
        <w:contextualSpacing/>
        <w:jc w:val="both"/>
        <w:rPr>
          <w:rFonts w:eastAsia="Calibri"/>
        </w:rPr>
      </w:pPr>
      <w:r w:rsidRPr="00C56257">
        <w:rPr>
          <w:rFonts w:eastAsia="Calibri"/>
        </w:rPr>
        <w:t>ROS</w:t>
      </w:r>
      <w:r w:rsidR="00834549">
        <w:rPr>
          <w:rFonts w:eastAsia="Calibri"/>
        </w:rPr>
        <w:t>AC</w:t>
      </w:r>
      <w:r w:rsidRPr="00C56257">
        <w:rPr>
          <w:rFonts w:eastAsia="Calibri"/>
        </w:rPr>
        <w:t>0035 Cheile Turzii</w:t>
      </w:r>
    </w:p>
    <w:p w14:paraId="799C5C0C" w14:textId="77777777" w:rsidR="0007555D" w:rsidRPr="00C56257" w:rsidRDefault="0007555D" w:rsidP="008E33FD">
      <w:pPr>
        <w:spacing w:line="259" w:lineRule="auto"/>
        <w:contextualSpacing/>
        <w:jc w:val="both"/>
        <w:rPr>
          <w:rFonts w:eastAsia="Calibri"/>
        </w:rPr>
      </w:pPr>
      <w:r w:rsidRPr="00C56257">
        <w:rPr>
          <w:rFonts w:eastAsia="Calibri"/>
        </w:rPr>
        <w:t>ROS</w:t>
      </w:r>
      <w:r w:rsidR="00834549">
        <w:rPr>
          <w:rFonts w:eastAsia="Calibri"/>
        </w:rPr>
        <w:t>AC</w:t>
      </w:r>
      <w:r w:rsidRPr="00C56257">
        <w:rPr>
          <w:rFonts w:eastAsia="Calibri"/>
        </w:rPr>
        <w:t>0036 Cheile Vârghișului</w:t>
      </w:r>
    </w:p>
    <w:p w14:paraId="7E84206E" w14:textId="77777777" w:rsidR="0007555D" w:rsidRPr="00C56257" w:rsidRDefault="0007555D" w:rsidP="008E33FD">
      <w:pPr>
        <w:spacing w:line="259" w:lineRule="auto"/>
        <w:contextualSpacing/>
        <w:jc w:val="both"/>
        <w:rPr>
          <w:rFonts w:eastAsia="Calibri"/>
        </w:rPr>
      </w:pPr>
      <w:r w:rsidRPr="00C56257">
        <w:rPr>
          <w:rFonts w:eastAsia="Calibri"/>
        </w:rPr>
        <w:t>ROSCI0038 Ciucaș *</w:t>
      </w:r>
    </w:p>
    <w:p w14:paraId="2DDD27B4" w14:textId="77777777" w:rsidR="0007555D" w:rsidRPr="00C56257" w:rsidRDefault="0007555D" w:rsidP="008E33FD">
      <w:pPr>
        <w:spacing w:line="259" w:lineRule="auto"/>
        <w:contextualSpacing/>
        <w:jc w:val="both"/>
        <w:rPr>
          <w:rFonts w:eastAsia="Calibri"/>
        </w:rPr>
      </w:pPr>
      <w:r w:rsidRPr="00C56257">
        <w:rPr>
          <w:rFonts w:eastAsia="Calibri"/>
        </w:rPr>
        <w:t>ROSCI0042 Codru Moma *</w:t>
      </w:r>
    </w:p>
    <w:p w14:paraId="1848F517" w14:textId="77777777" w:rsidR="0007555D" w:rsidRPr="00C56257" w:rsidRDefault="0007555D" w:rsidP="00834549">
      <w:pPr>
        <w:tabs>
          <w:tab w:val="left" w:pos="5640"/>
        </w:tabs>
        <w:spacing w:line="259" w:lineRule="auto"/>
        <w:contextualSpacing/>
        <w:jc w:val="both"/>
        <w:rPr>
          <w:rFonts w:eastAsia="Calibri"/>
        </w:rPr>
      </w:pPr>
      <w:r w:rsidRPr="00C56257">
        <w:rPr>
          <w:rFonts w:eastAsia="Calibri"/>
        </w:rPr>
        <w:t>ROS</w:t>
      </w:r>
      <w:r w:rsidR="00834549">
        <w:rPr>
          <w:rFonts w:eastAsia="Calibri"/>
        </w:rPr>
        <w:t>AC</w:t>
      </w:r>
      <w:r w:rsidRPr="00C56257">
        <w:rPr>
          <w:rFonts w:eastAsia="Calibri"/>
        </w:rPr>
        <w:t>0046 Cozia *</w:t>
      </w:r>
      <w:r w:rsidR="00834549">
        <w:rPr>
          <w:rFonts w:eastAsia="Calibri"/>
        </w:rPr>
        <w:tab/>
      </w:r>
    </w:p>
    <w:p w14:paraId="41EF3EE2" w14:textId="77777777" w:rsidR="0007555D" w:rsidRPr="00C56257" w:rsidRDefault="0007555D" w:rsidP="008E33FD">
      <w:pPr>
        <w:spacing w:line="259" w:lineRule="auto"/>
        <w:contextualSpacing/>
        <w:jc w:val="both"/>
        <w:rPr>
          <w:rFonts w:eastAsia="Calibri"/>
        </w:rPr>
      </w:pPr>
      <w:r w:rsidRPr="00C56257">
        <w:rPr>
          <w:rFonts w:eastAsia="Calibri"/>
        </w:rPr>
        <w:t>ROSCI0054 Dealul Cetății Deva</w:t>
      </w:r>
    </w:p>
    <w:p w14:paraId="124C418A" w14:textId="77777777" w:rsidR="0007555D" w:rsidRPr="00C56257" w:rsidRDefault="0007555D" w:rsidP="008E33FD">
      <w:pPr>
        <w:spacing w:line="259" w:lineRule="auto"/>
        <w:contextualSpacing/>
        <w:jc w:val="both"/>
        <w:rPr>
          <w:rFonts w:eastAsia="Calibri"/>
        </w:rPr>
      </w:pPr>
      <w:r w:rsidRPr="00C56257">
        <w:rPr>
          <w:rFonts w:eastAsia="Calibri"/>
        </w:rPr>
        <w:t>ROS</w:t>
      </w:r>
      <w:r w:rsidR="0010257D">
        <w:rPr>
          <w:rFonts w:eastAsia="Calibri"/>
        </w:rPr>
        <w:t>AC</w:t>
      </w:r>
      <w:r w:rsidRPr="00C56257">
        <w:rPr>
          <w:rFonts w:eastAsia="Calibri"/>
        </w:rPr>
        <w:t>0061 Defileul Crișului Negru</w:t>
      </w:r>
    </w:p>
    <w:p w14:paraId="127B1205" w14:textId="77777777" w:rsidR="0007555D" w:rsidRPr="00C56257" w:rsidRDefault="0007555D" w:rsidP="008E33FD">
      <w:pPr>
        <w:spacing w:line="259" w:lineRule="auto"/>
        <w:contextualSpacing/>
        <w:jc w:val="both"/>
        <w:rPr>
          <w:rFonts w:eastAsia="Calibri"/>
        </w:rPr>
      </w:pPr>
      <w:r w:rsidRPr="00C56257">
        <w:rPr>
          <w:rFonts w:eastAsia="Calibri"/>
        </w:rPr>
        <w:t>ROS</w:t>
      </w:r>
      <w:r w:rsidR="0010257D">
        <w:rPr>
          <w:rFonts w:eastAsia="Calibri"/>
        </w:rPr>
        <w:t>AC</w:t>
      </w:r>
      <w:r w:rsidRPr="00C56257">
        <w:rPr>
          <w:rFonts w:eastAsia="Calibri"/>
        </w:rPr>
        <w:t>0062 Defileul Crișului Repede - Pădurea Craiului</w:t>
      </w:r>
    </w:p>
    <w:p w14:paraId="166EF6DA" w14:textId="77777777" w:rsidR="0007555D" w:rsidRPr="00C56257" w:rsidRDefault="0007555D" w:rsidP="008E33FD">
      <w:pPr>
        <w:spacing w:line="259" w:lineRule="auto"/>
        <w:contextualSpacing/>
        <w:jc w:val="both"/>
        <w:rPr>
          <w:rFonts w:eastAsia="Calibri"/>
        </w:rPr>
      </w:pPr>
      <w:r w:rsidRPr="00C56257">
        <w:rPr>
          <w:rFonts w:eastAsia="Calibri"/>
        </w:rPr>
        <w:t>ROSCI0063 Defileul Jiului</w:t>
      </w:r>
    </w:p>
    <w:p w14:paraId="3A00C30A" w14:textId="77777777" w:rsidR="0007555D" w:rsidRPr="00C56257" w:rsidRDefault="0007555D" w:rsidP="008E33FD">
      <w:pPr>
        <w:spacing w:line="259" w:lineRule="auto"/>
        <w:contextualSpacing/>
        <w:jc w:val="both"/>
        <w:rPr>
          <w:rFonts w:eastAsia="Calibri"/>
        </w:rPr>
      </w:pPr>
      <w:r w:rsidRPr="00C56257">
        <w:rPr>
          <w:rFonts w:eastAsia="Calibri"/>
        </w:rPr>
        <w:t>ROS</w:t>
      </w:r>
      <w:r w:rsidR="0010257D">
        <w:rPr>
          <w:rFonts w:eastAsia="Calibri"/>
        </w:rPr>
        <w:t>AC</w:t>
      </w:r>
      <w:r w:rsidRPr="00C56257">
        <w:rPr>
          <w:rFonts w:eastAsia="Calibri"/>
        </w:rPr>
        <w:t>0064 Defileul Mureșului</w:t>
      </w:r>
    </w:p>
    <w:p w14:paraId="4A47392A" w14:textId="77777777" w:rsidR="0007555D" w:rsidRPr="00C56257" w:rsidRDefault="0007555D" w:rsidP="008E33FD">
      <w:pPr>
        <w:spacing w:line="259" w:lineRule="auto"/>
        <w:contextualSpacing/>
        <w:jc w:val="both"/>
        <w:rPr>
          <w:rFonts w:eastAsia="Calibri"/>
        </w:rPr>
      </w:pPr>
      <w:r w:rsidRPr="00C56257">
        <w:rPr>
          <w:rFonts w:eastAsia="Calibri"/>
        </w:rPr>
        <w:t>ROS</w:t>
      </w:r>
      <w:r w:rsidR="0010257D">
        <w:rPr>
          <w:rFonts w:eastAsia="Calibri"/>
        </w:rPr>
        <w:t>AC</w:t>
      </w:r>
      <w:r w:rsidRPr="00C56257">
        <w:rPr>
          <w:rFonts w:eastAsia="Calibri"/>
        </w:rPr>
        <w:t>0069 Domogled - Valea Cernei *</w:t>
      </w:r>
    </w:p>
    <w:p w14:paraId="2968D4A1" w14:textId="77777777" w:rsidR="0007555D" w:rsidRPr="00C56257" w:rsidRDefault="0007555D" w:rsidP="008E33FD">
      <w:pPr>
        <w:spacing w:line="259" w:lineRule="auto"/>
        <w:contextualSpacing/>
        <w:jc w:val="both"/>
        <w:rPr>
          <w:rFonts w:eastAsia="Calibri"/>
        </w:rPr>
      </w:pPr>
      <w:r w:rsidRPr="00C56257">
        <w:rPr>
          <w:rFonts w:eastAsia="Calibri"/>
        </w:rPr>
        <w:t>ROSCI0070 Drocea</w:t>
      </w:r>
    </w:p>
    <w:p w14:paraId="35B1EC32" w14:textId="77777777" w:rsidR="0007555D" w:rsidRPr="00C56257" w:rsidRDefault="0007555D" w:rsidP="008E33FD">
      <w:pPr>
        <w:spacing w:line="259" w:lineRule="auto"/>
        <w:contextualSpacing/>
        <w:jc w:val="both"/>
        <w:rPr>
          <w:rFonts w:eastAsia="Calibri"/>
        </w:rPr>
      </w:pPr>
      <w:r w:rsidRPr="00C56257">
        <w:rPr>
          <w:rFonts w:eastAsia="Calibri"/>
        </w:rPr>
        <w:t>ROSCI0087 Grădiștea Muncelului - Cioclovina *</w:t>
      </w:r>
    </w:p>
    <w:p w14:paraId="05BF0D7D" w14:textId="77777777" w:rsidR="0007555D" w:rsidRPr="00C56257" w:rsidRDefault="0007555D" w:rsidP="008E33FD">
      <w:pPr>
        <w:spacing w:line="259" w:lineRule="auto"/>
        <w:contextualSpacing/>
        <w:jc w:val="both"/>
        <w:rPr>
          <w:rFonts w:eastAsia="Calibri"/>
        </w:rPr>
      </w:pPr>
      <w:r w:rsidRPr="00C56257">
        <w:rPr>
          <w:rFonts w:eastAsia="Calibri"/>
        </w:rPr>
        <w:t>ROSCI0110 Măgurile Băiței</w:t>
      </w:r>
    </w:p>
    <w:p w14:paraId="0D75274A" w14:textId="77777777" w:rsidR="0007555D" w:rsidRPr="00C56257" w:rsidRDefault="0007555D" w:rsidP="008E33FD">
      <w:pPr>
        <w:spacing w:line="259" w:lineRule="auto"/>
        <w:contextualSpacing/>
        <w:jc w:val="both"/>
        <w:rPr>
          <w:rFonts w:eastAsia="Calibri"/>
        </w:rPr>
      </w:pPr>
      <w:r w:rsidRPr="00C56257">
        <w:rPr>
          <w:rFonts w:eastAsia="Calibri"/>
        </w:rPr>
        <w:t>ROS</w:t>
      </w:r>
      <w:r w:rsidR="0010257D">
        <w:rPr>
          <w:rFonts w:eastAsia="Calibri"/>
        </w:rPr>
        <w:t>AC</w:t>
      </w:r>
      <w:r w:rsidRPr="00C56257">
        <w:rPr>
          <w:rFonts w:eastAsia="Calibri"/>
        </w:rPr>
        <w:t>0120 Muntele Tâmpa *</w:t>
      </w:r>
    </w:p>
    <w:p w14:paraId="6271022B" w14:textId="77777777" w:rsidR="0007555D" w:rsidRPr="00C56257" w:rsidRDefault="0007555D" w:rsidP="008E33FD">
      <w:pPr>
        <w:spacing w:line="259" w:lineRule="auto"/>
        <w:contextualSpacing/>
        <w:jc w:val="both"/>
        <w:rPr>
          <w:rFonts w:eastAsia="Calibri"/>
        </w:rPr>
      </w:pPr>
      <w:r w:rsidRPr="00C56257">
        <w:rPr>
          <w:rFonts w:eastAsia="Calibri"/>
        </w:rPr>
        <w:t>ROS</w:t>
      </w:r>
      <w:r w:rsidR="0010257D">
        <w:rPr>
          <w:rFonts w:eastAsia="Calibri"/>
        </w:rPr>
        <w:t>AC</w:t>
      </w:r>
      <w:r w:rsidRPr="00C56257">
        <w:rPr>
          <w:rFonts w:eastAsia="Calibri"/>
        </w:rPr>
        <w:t>0121 Muntele Vulcan</w:t>
      </w:r>
    </w:p>
    <w:p w14:paraId="246D25FB" w14:textId="77777777" w:rsidR="0007555D" w:rsidRPr="00C56257" w:rsidRDefault="0007555D" w:rsidP="008E33FD">
      <w:pPr>
        <w:spacing w:line="259" w:lineRule="auto"/>
        <w:contextualSpacing/>
        <w:jc w:val="both"/>
        <w:rPr>
          <w:rFonts w:eastAsia="Calibri"/>
        </w:rPr>
      </w:pPr>
      <w:r w:rsidRPr="00C56257">
        <w:rPr>
          <w:rFonts w:eastAsia="Calibri"/>
        </w:rPr>
        <w:t>ROS</w:t>
      </w:r>
      <w:r w:rsidR="0010257D">
        <w:rPr>
          <w:rFonts w:eastAsia="Calibri"/>
        </w:rPr>
        <w:t>AC</w:t>
      </w:r>
      <w:r w:rsidRPr="00C56257">
        <w:rPr>
          <w:rFonts w:eastAsia="Calibri"/>
        </w:rPr>
        <w:t>0122 Munții Făgăraș *</w:t>
      </w:r>
    </w:p>
    <w:p w14:paraId="0A56D96A" w14:textId="77777777" w:rsidR="0007555D" w:rsidRPr="00C56257" w:rsidRDefault="0007555D" w:rsidP="008E33FD">
      <w:pPr>
        <w:spacing w:line="259" w:lineRule="auto"/>
        <w:contextualSpacing/>
        <w:jc w:val="both"/>
        <w:rPr>
          <w:rFonts w:eastAsia="Calibri"/>
        </w:rPr>
      </w:pPr>
      <w:r w:rsidRPr="00C56257">
        <w:rPr>
          <w:rFonts w:eastAsia="Calibri"/>
        </w:rPr>
        <w:t>ROS</w:t>
      </w:r>
      <w:r w:rsidR="0010257D">
        <w:rPr>
          <w:rFonts w:eastAsia="Calibri"/>
        </w:rPr>
        <w:t>AC</w:t>
      </w:r>
      <w:r w:rsidRPr="00C56257">
        <w:rPr>
          <w:rFonts w:eastAsia="Calibri"/>
        </w:rPr>
        <w:t>0124 Munții Maramureșului *</w:t>
      </w:r>
    </w:p>
    <w:p w14:paraId="40DF7912" w14:textId="77777777" w:rsidR="0007555D" w:rsidRPr="00C56257" w:rsidRDefault="0007555D" w:rsidP="008E33FD">
      <w:pPr>
        <w:spacing w:line="259" w:lineRule="auto"/>
        <w:contextualSpacing/>
        <w:jc w:val="both"/>
        <w:rPr>
          <w:rFonts w:eastAsia="Calibri"/>
        </w:rPr>
      </w:pPr>
      <w:r w:rsidRPr="00C56257">
        <w:rPr>
          <w:rFonts w:eastAsia="Calibri"/>
        </w:rPr>
        <w:t>ROSCI0126 Munții Țarcu</w:t>
      </w:r>
    </w:p>
    <w:p w14:paraId="58347EE8" w14:textId="77777777" w:rsidR="0007555D" w:rsidRPr="00C56257" w:rsidRDefault="0007555D" w:rsidP="008E33FD">
      <w:pPr>
        <w:spacing w:line="259" w:lineRule="auto"/>
        <w:contextualSpacing/>
        <w:jc w:val="both"/>
        <w:rPr>
          <w:rFonts w:eastAsia="Calibri"/>
        </w:rPr>
      </w:pPr>
      <w:r w:rsidRPr="00C56257">
        <w:rPr>
          <w:rFonts w:eastAsia="Calibri"/>
        </w:rPr>
        <w:t>ROS</w:t>
      </w:r>
      <w:r w:rsidR="0010257D">
        <w:rPr>
          <w:rFonts w:eastAsia="Calibri"/>
        </w:rPr>
        <w:t>AC</w:t>
      </w:r>
      <w:r w:rsidRPr="00C56257">
        <w:rPr>
          <w:rFonts w:eastAsia="Calibri"/>
        </w:rPr>
        <w:t>0128 Nordul Gorjului de Est</w:t>
      </w:r>
    </w:p>
    <w:p w14:paraId="70F55C2D" w14:textId="77777777" w:rsidR="0007555D" w:rsidRPr="00C56257" w:rsidRDefault="0007555D" w:rsidP="008E33FD">
      <w:pPr>
        <w:spacing w:line="259" w:lineRule="auto"/>
        <w:contextualSpacing/>
        <w:jc w:val="both"/>
        <w:rPr>
          <w:rFonts w:eastAsia="Calibri"/>
        </w:rPr>
      </w:pPr>
      <w:r w:rsidRPr="00C56257">
        <w:rPr>
          <w:rFonts w:eastAsia="Calibri"/>
        </w:rPr>
        <w:t>ROS</w:t>
      </w:r>
      <w:r w:rsidR="0010257D">
        <w:rPr>
          <w:rFonts w:eastAsia="Calibri"/>
        </w:rPr>
        <w:t>AC</w:t>
      </w:r>
      <w:r w:rsidRPr="00C56257">
        <w:rPr>
          <w:rFonts w:eastAsia="Calibri"/>
        </w:rPr>
        <w:t>0129 Nordul Gorjului de Vest *</w:t>
      </w:r>
    </w:p>
    <w:p w14:paraId="0FDE18A5" w14:textId="77777777" w:rsidR="0007555D" w:rsidRPr="00C56257" w:rsidRDefault="0007555D" w:rsidP="008E33FD">
      <w:pPr>
        <w:spacing w:line="259" w:lineRule="auto"/>
        <w:contextualSpacing/>
        <w:jc w:val="both"/>
        <w:rPr>
          <w:rFonts w:eastAsia="Calibri"/>
        </w:rPr>
      </w:pPr>
      <w:r w:rsidRPr="00C56257">
        <w:rPr>
          <w:rFonts w:eastAsia="Calibri"/>
        </w:rPr>
        <w:t>ROS</w:t>
      </w:r>
      <w:r w:rsidR="0010257D">
        <w:rPr>
          <w:rFonts w:eastAsia="Calibri"/>
        </w:rPr>
        <w:t>AC</w:t>
      </w:r>
      <w:r w:rsidRPr="00C56257">
        <w:rPr>
          <w:rFonts w:eastAsia="Calibri"/>
        </w:rPr>
        <w:t>0137 Pădurea Bogății *</w:t>
      </w:r>
    </w:p>
    <w:p w14:paraId="566433CD" w14:textId="77777777" w:rsidR="0007555D" w:rsidRPr="00C56257" w:rsidRDefault="0007555D" w:rsidP="008E33FD">
      <w:pPr>
        <w:spacing w:line="259" w:lineRule="auto"/>
        <w:contextualSpacing/>
        <w:jc w:val="both"/>
        <w:rPr>
          <w:rFonts w:eastAsia="Calibri"/>
        </w:rPr>
      </w:pPr>
      <w:r w:rsidRPr="00C56257">
        <w:rPr>
          <w:rFonts w:eastAsia="Calibri"/>
        </w:rPr>
        <w:t>ROS</w:t>
      </w:r>
      <w:r w:rsidR="00BA379B">
        <w:rPr>
          <w:rFonts w:eastAsia="Calibri"/>
        </w:rPr>
        <w:t>AC</w:t>
      </w:r>
      <w:r w:rsidRPr="00C56257">
        <w:rPr>
          <w:rFonts w:eastAsia="Calibri"/>
        </w:rPr>
        <w:t>0188 Parâng</w:t>
      </w:r>
    </w:p>
    <w:p w14:paraId="5D2432B6" w14:textId="77777777" w:rsidR="0007555D" w:rsidRPr="00C56257" w:rsidRDefault="0007555D" w:rsidP="008E33FD">
      <w:pPr>
        <w:spacing w:line="259" w:lineRule="auto"/>
        <w:contextualSpacing/>
        <w:jc w:val="both"/>
        <w:rPr>
          <w:rFonts w:eastAsia="Calibri"/>
        </w:rPr>
      </w:pPr>
      <w:r w:rsidRPr="00C56257">
        <w:rPr>
          <w:rFonts w:eastAsia="Calibri"/>
        </w:rPr>
        <w:t>ROSCI0195 Piatra Mare *</w:t>
      </w:r>
    </w:p>
    <w:p w14:paraId="50BA57E4" w14:textId="77777777" w:rsidR="0007555D" w:rsidRPr="00C56257" w:rsidRDefault="0007555D" w:rsidP="008E33FD">
      <w:pPr>
        <w:spacing w:line="259" w:lineRule="auto"/>
        <w:contextualSpacing/>
        <w:jc w:val="both"/>
        <w:rPr>
          <w:rFonts w:eastAsia="Calibri"/>
        </w:rPr>
      </w:pPr>
      <w:r w:rsidRPr="00C56257">
        <w:rPr>
          <w:rFonts w:eastAsia="Calibri"/>
        </w:rPr>
        <w:t>ROSCI0198 Platoul Mehedinți *</w:t>
      </w:r>
    </w:p>
    <w:p w14:paraId="17CAB5A0" w14:textId="77777777" w:rsidR="0007555D" w:rsidRPr="00C56257" w:rsidRDefault="0007555D" w:rsidP="008E33FD">
      <w:pPr>
        <w:spacing w:line="259" w:lineRule="auto"/>
        <w:contextualSpacing/>
        <w:jc w:val="both"/>
        <w:rPr>
          <w:rFonts w:eastAsia="Calibri"/>
        </w:rPr>
      </w:pPr>
      <w:r w:rsidRPr="00C56257">
        <w:rPr>
          <w:rFonts w:eastAsia="Calibri"/>
        </w:rPr>
        <w:t>ROSCI0206 Porțile de Fier</w:t>
      </w:r>
    </w:p>
    <w:p w14:paraId="56A66EE6" w14:textId="77777777" w:rsidR="0007555D" w:rsidRPr="00C56257" w:rsidRDefault="0007555D" w:rsidP="008E33FD">
      <w:pPr>
        <w:spacing w:line="259" w:lineRule="auto"/>
        <w:contextualSpacing/>
        <w:jc w:val="both"/>
        <w:rPr>
          <w:rFonts w:eastAsia="Calibri"/>
        </w:rPr>
      </w:pPr>
      <w:r w:rsidRPr="00C56257">
        <w:rPr>
          <w:rFonts w:eastAsia="Calibri"/>
        </w:rPr>
        <w:t>ROSCI0207 Postăvarul *</w:t>
      </w:r>
    </w:p>
    <w:p w14:paraId="49F95B19" w14:textId="77777777" w:rsidR="0007555D" w:rsidRPr="00C56257" w:rsidRDefault="0007555D" w:rsidP="008E33FD">
      <w:pPr>
        <w:spacing w:line="259" w:lineRule="auto"/>
        <w:contextualSpacing/>
        <w:jc w:val="both"/>
        <w:rPr>
          <w:rFonts w:eastAsia="Calibri"/>
        </w:rPr>
      </w:pPr>
      <w:r w:rsidRPr="00C56257">
        <w:rPr>
          <w:rFonts w:eastAsia="Calibri"/>
        </w:rPr>
        <w:t>ROS</w:t>
      </w:r>
      <w:r w:rsidR="00BA379B">
        <w:rPr>
          <w:rFonts w:eastAsia="Calibri"/>
        </w:rPr>
        <w:t>AC</w:t>
      </w:r>
      <w:r w:rsidRPr="00C56257">
        <w:rPr>
          <w:rFonts w:eastAsia="Calibri"/>
        </w:rPr>
        <w:t>0208 Putna - Vrancea *</w:t>
      </w:r>
    </w:p>
    <w:p w14:paraId="7E28BD59" w14:textId="77777777" w:rsidR="0007555D" w:rsidRPr="00C56257" w:rsidRDefault="0007555D" w:rsidP="008E33FD">
      <w:pPr>
        <w:spacing w:line="259" w:lineRule="auto"/>
        <w:contextualSpacing/>
        <w:jc w:val="both"/>
        <w:rPr>
          <w:rFonts w:eastAsia="Calibri"/>
        </w:rPr>
      </w:pPr>
      <w:r w:rsidRPr="00C56257">
        <w:rPr>
          <w:rFonts w:eastAsia="Calibri"/>
        </w:rPr>
        <w:t>ROSCI0217 Retezat</w:t>
      </w:r>
    </w:p>
    <w:p w14:paraId="7BF4F56A" w14:textId="77777777" w:rsidR="0007555D" w:rsidRPr="00C56257" w:rsidRDefault="0007555D" w:rsidP="008E33FD">
      <w:pPr>
        <w:spacing w:line="259" w:lineRule="auto"/>
        <w:contextualSpacing/>
        <w:jc w:val="both"/>
        <w:rPr>
          <w:rFonts w:eastAsia="Calibri"/>
        </w:rPr>
      </w:pPr>
      <w:r w:rsidRPr="00C56257">
        <w:rPr>
          <w:rFonts w:eastAsia="Calibri"/>
        </w:rPr>
        <w:t>ROSCI0226 Semenic - Cheile Carașului *</w:t>
      </w:r>
    </w:p>
    <w:p w14:paraId="7F77EDE6" w14:textId="77777777" w:rsidR="0007555D" w:rsidRPr="00C56257" w:rsidRDefault="0007555D" w:rsidP="008E33FD">
      <w:pPr>
        <w:spacing w:line="259" w:lineRule="auto"/>
        <w:contextualSpacing/>
        <w:jc w:val="both"/>
        <w:rPr>
          <w:rFonts w:eastAsia="Calibri"/>
        </w:rPr>
      </w:pPr>
      <w:r w:rsidRPr="00C56257">
        <w:rPr>
          <w:rFonts w:eastAsia="Calibri"/>
        </w:rPr>
        <w:t>ROS</w:t>
      </w:r>
      <w:r w:rsidR="009A67BE">
        <w:rPr>
          <w:rFonts w:eastAsia="Calibri"/>
        </w:rPr>
        <w:t>AC</w:t>
      </w:r>
      <w:r w:rsidRPr="00C56257">
        <w:rPr>
          <w:rFonts w:eastAsia="Calibri"/>
        </w:rPr>
        <w:t>0227 Sighișoara - Târnava Mare *</w:t>
      </w:r>
    </w:p>
    <w:p w14:paraId="36EE7D47" w14:textId="77777777" w:rsidR="0007555D" w:rsidRPr="00C56257" w:rsidRDefault="0007555D" w:rsidP="008E33FD">
      <w:pPr>
        <w:spacing w:line="259" w:lineRule="auto"/>
        <w:contextualSpacing/>
        <w:jc w:val="both"/>
        <w:rPr>
          <w:rFonts w:eastAsia="Calibri"/>
        </w:rPr>
      </w:pPr>
      <w:r w:rsidRPr="00C56257">
        <w:rPr>
          <w:rFonts w:eastAsia="Calibri"/>
        </w:rPr>
        <w:t>ROS</w:t>
      </w:r>
      <w:r w:rsidR="009A67BE">
        <w:rPr>
          <w:rFonts w:eastAsia="Calibri"/>
        </w:rPr>
        <w:t>AC</w:t>
      </w:r>
      <w:r w:rsidRPr="00C56257">
        <w:rPr>
          <w:rFonts w:eastAsia="Calibri"/>
        </w:rPr>
        <w:t>0229 Siriu *</w:t>
      </w:r>
    </w:p>
    <w:p w14:paraId="7648D5D8" w14:textId="77777777" w:rsidR="0007555D" w:rsidRPr="00C56257" w:rsidRDefault="0007555D" w:rsidP="008E33FD">
      <w:pPr>
        <w:spacing w:line="259" w:lineRule="auto"/>
        <w:contextualSpacing/>
        <w:jc w:val="both"/>
        <w:rPr>
          <w:rFonts w:eastAsia="Calibri"/>
        </w:rPr>
      </w:pPr>
      <w:r w:rsidRPr="00C56257">
        <w:rPr>
          <w:rFonts w:eastAsia="Calibri"/>
        </w:rPr>
        <w:t>ROS</w:t>
      </w:r>
      <w:r w:rsidR="009A67BE">
        <w:rPr>
          <w:rFonts w:eastAsia="Calibri"/>
        </w:rPr>
        <w:t>AC</w:t>
      </w:r>
      <w:r w:rsidRPr="00C56257">
        <w:rPr>
          <w:rFonts w:eastAsia="Calibri"/>
        </w:rPr>
        <w:t>0239 Târnovu Mare - Latorița</w:t>
      </w:r>
    </w:p>
    <w:p w14:paraId="6340C37E" w14:textId="77777777" w:rsidR="0007555D" w:rsidRPr="00C56257" w:rsidRDefault="0007555D" w:rsidP="008E33FD">
      <w:pPr>
        <w:spacing w:line="259" w:lineRule="auto"/>
        <w:contextualSpacing/>
        <w:jc w:val="both"/>
        <w:rPr>
          <w:rFonts w:eastAsia="Calibri"/>
        </w:rPr>
      </w:pPr>
      <w:r w:rsidRPr="00C56257">
        <w:rPr>
          <w:rFonts w:eastAsia="Calibri"/>
        </w:rPr>
        <w:t>ROS</w:t>
      </w:r>
      <w:r w:rsidR="009A67BE">
        <w:rPr>
          <w:rFonts w:eastAsia="Calibri"/>
        </w:rPr>
        <w:t>AC</w:t>
      </w:r>
      <w:r w:rsidRPr="00C56257">
        <w:rPr>
          <w:rFonts w:eastAsia="Calibri"/>
        </w:rPr>
        <w:t>0253 Trascău</w:t>
      </w:r>
    </w:p>
    <w:p w14:paraId="469894B6" w14:textId="77777777" w:rsidR="0007555D" w:rsidRPr="00C56257" w:rsidRDefault="0007555D" w:rsidP="008E33FD">
      <w:pPr>
        <w:spacing w:line="259" w:lineRule="auto"/>
        <w:contextualSpacing/>
        <w:jc w:val="both"/>
        <w:rPr>
          <w:rFonts w:eastAsia="Calibri"/>
        </w:rPr>
      </w:pPr>
      <w:r w:rsidRPr="00C56257">
        <w:rPr>
          <w:rFonts w:eastAsia="Calibri"/>
        </w:rPr>
        <w:t>ROS</w:t>
      </w:r>
      <w:r w:rsidR="009A67BE">
        <w:rPr>
          <w:rFonts w:eastAsia="Calibri"/>
        </w:rPr>
        <w:t>AC</w:t>
      </w:r>
      <w:r w:rsidRPr="00C56257">
        <w:rPr>
          <w:rFonts w:eastAsia="Calibri"/>
        </w:rPr>
        <w:t>0262 Valea Iadei</w:t>
      </w:r>
    </w:p>
    <w:p w14:paraId="668DDF15" w14:textId="77777777" w:rsidR="0007555D" w:rsidRPr="00C56257" w:rsidRDefault="0007555D" w:rsidP="008E33FD">
      <w:pPr>
        <w:spacing w:line="259" w:lineRule="auto"/>
        <w:contextualSpacing/>
        <w:jc w:val="both"/>
        <w:rPr>
          <w:rFonts w:eastAsia="Calibri"/>
        </w:rPr>
      </w:pPr>
      <w:r w:rsidRPr="00C56257">
        <w:rPr>
          <w:rFonts w:eastAsia="Calibri"/>
        </w:rPr>
        <w:t>ROS</w:t>
      </w:r>
      <w:r w:rsidR="009A67BE">
        <w:rPr>
          <w:rFonts w:eastAsia="Calibri"/>
        </w:rPr>
        <w:t>AC</w:t>
      </w:r>
      <w:r w:rsidRPr="00C56257">
        <w:rPr>
          <w:rFonts w:eastAsia="Calibri"/>
        </w:rPr>
        <w:t>0283 Cheile Doftanei *</w:t>
      </w:r>
    </w:p>
    <w:p w14:paraId="6BB42814" w14:textId="77777777" w:rsidR="0007555D" w:rsidRPr="00C56257" w:rsidRDefault="0007555D" w:rsidP="008E33FD">
      <w:pPr>
        <w:spacing w:line="259" w:lineRule="auto"/>
        <w:contextualSpacing/>
        <w:jc w:val="both"/>
        <w:rPr>
          <w:rFonts w:eastAsia="Calibri"/>
        </w:rPr>
      </w:pPr>
      <w:r w:rsidRPr="00C56257">
        <w:rPr>
          <w:rFonts w:eastAsia="Calibri"/>
        </w:rPr>
        <w:t>ROSCI0284 Cheile Teregovei *</w:t>
      </w:r>
    </w:p>
    <w:p w14:paraId="79728657" w14:textId="77777777" w:rsidR="0007555D" w:rsidRPr="00C56257" w:rsidRDefault="0007555D" w:rsidP="008E33FD">
      <w:pPr>
        <w:spacing w:line="259" w:lineRule="auto"/>
        <w:contextualSpacing/>
        <w:jc w:val="both"/>
        <w:rPr>
          <w:rFonts w:eastAsia="Calibri"/>
        </w:rPr>
      </w:pPr>
      <w:r w:rsidRPr="00C56257">
        <w:rPr>
          <w:rFonts w:eastAsia="Calibri"/>
        </w:rPr>
        <w:t>ROSCI0285 Codrii seculari de la Strâmbu - Băiuț</w:t>
      </w:r>
    </w:p>
    <w:p w14:paraId="3998BA35" w14:textId="77777777" w:rsidR="0007555D" w:rsidRPr="00C56257" w:rsidRDefault="0007555D" w:rsidP="008E33FD">
      <w:pPr>
        <w:spacing w:line="259" w:lineRule="auto"/>
        <w:contextualSpacing/>
        <w:jc w:val="both"/>
        <w:rPr>
          <w:rFonts w:eastAsia="Calibri"/>
        </w:rPr>
      </w:pPr>
      <w:r w:rsidRPr="00C56257">
        <w:rPr>
          <w:rFonts w:eastAsia="Calibri"/>
        </w:rPr>
        <w:t>ROSCI0292 Coridorul Rusca Montană - Țarcu - Retezat</w:t>
      </w:r>
    </w:p>
    <w:p w14:paraId="332C4DCF" w14:textId="77777777" w:rsidR="0007555D" w:rsidRPr="00C56257" w:rsidRDefault="0007555D" w:rsidP="008E33FD">
      <w:pPr>
        <w:spacing w:line="259" w:lineRule="auto"/>
        <w:contextualSpacing/>
        <w:jc w:val="both"/>
        <w:rPr>
          <w:rFonts w:eastAsia="Calibri"/>
        </w:rPr>
      </w:pPr>
      <w:r w:rsidRPr="00C56257">
        <w:rPr>
          <w:rFonts w:eastAsia="Calibri"/>
        </w:rPr>
        <w:t>ROSCI0325 Munții Metaliferi</w:t>
      </w:r>
    </w:p>
    <w:p w14:paraId="45B1CDC6" w14:textId="77777777" w:rsidR="0007555D" w:rsidRPr="00C56257" w:rsidRDefault="0007555D" w:rsidP="008E33FD">
      <w:pPr>
        <w:spacing w:line="259" w:lineRule="auto"/>
        <w:contextualSpacing/>
        <w:jc w:val="both"/>
        <w:rPr>
          <w:rFonts w:eastAsia="Calibri"/>
        </w:rPr>
      </w:pPr>
      <w:r w:rsidRPr="00C56257">
        <w:rPr>
          <w:rFonts w:eastAsia="Calibri"/>
        </w:rPr>
        <w:t>ROS</w:t>
      </w:r>
      <w:r w:rsidR="009A67BE">
        <w:rPr>
          <w:rFonts w:eastAsia="Calibri"/>
        </w:rPr>
        <w:t>AC</w:t>
      </w:r>
      <w:r w:rsidRPr="00C56257">
        <w:rPr>
          <w:rFonts w:eastAsia="Calibri"/>
        </w:rPr>
        <w:t>0354 Platforma Cotmeana</w:t>
      </w:r>
    </w:p>
    <w:p w14:paraId="512FFB06" w14:textId="77777777" w:rsidR="0007555D" w:rsidRPr="00C56257" w:rsidRDefault="0007555D" w:rsidP="008E33FD">
      <w:pPr>
        <w:spacing w:line="259" w:lineRule="auto"/>
        <w:contextualSpacing/>
        <w:jc w:val="both"/>
        <w:rPr>
          <w:rFonts w:eastAsia="Calibri"/>
        </w:rPr>
      </w:pPr>
      <w:r w:rsidRPr="00C56257">
        <w:rPr>
          <w:rFonts w:eastAsia="Calibri"/>
        </w:rPr>
        <w:t>ROS</w:t>
      </w:r>
      <w:r w:rsidR="009A67BE">
        <w:rPr>
          <w:rFonts w:eastAsia="Calibri"/>
        </w:rPr>
        <w:t>AC</w:t>
      </w:r>
      <w:r w:rsidRPr="00C56257">
        <w:rPr>
          <w:rFonts w:eastAsia="Calibri"/>
        </w:rPr>
        <w:t>0355 Podișul Lipovei - Poiana Ruscă</w:t>
      </w:r>
    </w:p>
    <w:p w14:paraId="38BDE3B5" w14:textId="77777777" w:rsidR="0007555D" w:rsidRPr="00C56257" w:rsidRDefault="0007555D" w:rsidP="008E33FD">
      <w:pPr>
        <w:spacing w:line="259" w:lineRule="auto"/>
        <w:contextualSpacing/>
        <w:jc w:val="both"/>
        <w:rPr>
          <w:rFonts w:eastAsia="Calibri"/>
        </w:rPr>
      </w:pPr>
      <w:r w:rsidRPr="00C56257">
        <w:rPr>
          <w:rFonts w:eastAsia="Calibri"/>
        </w:rPr>
        <w:t>ROSCI0406 Zarandul de Est</w:t>
      </w:r>
    </w:p>
    <w:p w14:paraId="67D55804"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ROSCI0407 Zarandul de Vest</w:t>
      </w:r>
    </w:p>
    <w:p w14:paraId="7E9E734E" w14:textId="77777777" w:rsidR="0007555D" w:rsidRPr="00C56257" w:rsidRDefault="0007555D" w:rsidP="008E33FD">
      <w:pPr>
        <w:spacing w:line="259" w:lineRule="auto"/>
        <w:contextualSpacing/>
        <w:jc w:val="both"/>
        <w:rPr>
          <w:rFonts w:eastAsia="Calibri"/>
        </w:rPr>
      </w:pPr>
    </w:p>
    <w:p w14:paraId="1FBA8015"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91AA *- Vegetație forestieră ponto-sarmatică cu stejar pufos</w:t>
      </w:r>
    </w:p>
    <w:p w14:paraId="50D06C23" w14:textId="77777777" w:rsidR="0007555D" w:rsidRPr="00C56257" w:rsidRDefault="0007555D" w:rsidP="008E33FD">
      <w:pPr>
        <w:spacing w:line="259" w:lineRule="auto"/>
        <w:contextualSpacing/>
        <w:jc w:val="both"/>
        <w:rPr>
          <w:rFonts w:eastAsia="Calibri"/>
        </w:rPr>
      </w:pPr>
    </w:p>
    <w:p w14:paraId="66D151A1" w14:textId="77777777" w:rsidR="0007555D" w:rsidRPr="00C56257" w:rsidRDefault="0007555D" w:rsidP="008E33FD">
      <w:pPr>
        <w:spacing w:line="259" w:lineRule="auto"/>
        <w:contextualSpacing/>
        <w:jc w:val="both"/>
        <w:rPr>
          <w:rFonts w:eastAsia="Calibri"/>
        </w:rPr>
      </w:pPr>
      <w:r w:rsidRPr="00C56257">
        <w:rPr>
          <w:rFonts w:eastAsia="Calibri"/>
        </w:rPr>
        <w:t>ROSCI0011 Braniștea Catârilor</w:t>
      </w:r>
    </w:p>
    <w:p w14:paraId="0735824E" w14:textId="77777777" w:rsidR="0007555D" w:rsidRPr="00C56257" w:rsidRDefault="0007555D" w:rsidP="008E33FD">
      <w:pPr>
        <w:spacing w:line="259" w:lineRule="auto"/>
        <w:contextualSpacing/>
        <w:jc w:val="both"/>
        <w:rPr>
          <w:rFonts w:eastAsia="Calibri"/>
        </w:rPr>
      </w:pPr>
      <w:r w:rsidRPr="00C56257">
        <w:rPr>
          <w:rFonts w:eastAsia="Calibri"/>
        </w:rPr>
        <w:t>ROSCI0022 Canaralele Dunării</w:t>
      </w:r>
    </w:p>
    <w:p w14:paraId="2AD4A4A2" w14:textId="77777777" w:rsidR="0007555D" w:rsidRPr="00C56257" w:rsidRDefault="0007555D" w:rsidP="008E33FD">
      <w:pPr>
        <w:spacing w:line="259" w:lineRule="auto"/>
        <w:contextualSpacing/>
        <w:jc w:val="both"/>
        <w:rPr>
          <w:rFonts w:eastAsia="Calibri"/>
        </w:rPr>
      </w:pPr>
      <w:r w:rsidRPr="00C56257">
        <w:rPr>
          <w:rFonts w:eastAsia="Calibri"/>
        </w:rPr>
        <w:t>ROSCI0043 Comana</w:t>
      </w:r>
    </w:p>
    <w:p w14:paraId="3ABC9A77"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0059 Dealul Perchiu</w:t>
      </w:r>
    </w:p>
    <w:p w14:paraId="707EA93C"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0060 Dealurile Agighiolului</w:t>
      </w:r>
    </w:p>
    <w:p w14:paraId="462F531D" w14:textId="77777777" w:rsidR="0007555D" w:rsidRPr="00C56257" w:rsidRDefault="0007555D" w:rsidP="008E33FD">
      <w:pPr>
        <w:spacing w:line="259" w:lineRule="auto"/>
        <w:contextualSpacing/>
        <w:jc w:val="both"/>
        <w:rPr>
          <w:rFonts w:eastAsia="Calibri"/>
        </w:rPr>
      </w:pPr>
      <w:r w:rsidRPr="00C56257">
        <w:rPr>
          <w:rFonts w:eastAsia="Calibri"/>
        </w:rPr>
        <w:t>ROSCI0065 Delta Dunării</w:t>
      </w:r>
    </w:p>
    <w:p w14:paraId="2094642B"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0071 Dumbrăveni - Valea Urluia - Lacul Vederoas</w:t>
      </w:r>
    </w:p>
    <w:p w14:paraId="77D376EC"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0072 Dunele de nisip de la Hanul Conachi</w:t>
      </w:r>
    </w:p>
    <w:p w14:paraId="06862982"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0083 Fântânița Murfatlar</w:t>
      </w:r>
    </w:p>
    <w:p w14:paraId="63F317BF" w14:textId="77777777" w:rsidR="0007555D" w:rsidRPr="00C56257" w:rsidRDefault="0007555D" w:rsidP="008E33FD">
      <w:pPr>
        <w:spacing w:line="259" w:lineRule="auto"/>
        <w:contextualSpacing/>
        <w:jc w:val="both"/>
        <w:rPr>
          <w:rFonts w:eastAsia="Calibri"/>
        </w:rPr>
      </w:pPr>
      <w:r w:rsidRPr="00C56257">
        <w:rPr>
          <w:rFonts w:eastAsia="Calibri"/>
        </w:rPr>
        <w:t>ROSCI0123 Munții Măcinului</w:t>
      </w:r>
    </w:p>
    <w:p w14:paraId="7FE2EB13"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0133 Pădurea Bădeana</w:t>
      </w:r>
    </w:p>
    <w:p w14:paraId="3F613F4C"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0139 Pădurea Breana - Roșcani</w:t>
      </w:r>
    </w:p>
    <w:p w14:paraId="10C62925"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0140 Pădurea Călugărească</w:t>
      </w:r>
    </w:p>
    <w:p w14:paraId="1D251E73" w14:textId="77777777" w:rsidR="0007555D" w:rsidRPr="00C56257" w:rsidRDefault="0007555D" w:rsidP="008E33FD">
      <w:pPr>
        <w:spacing w:line="259" w:lineRule="auto"/>
        <w:contextualSpacing/>
        <w:jc w:val="both"/>
        <w:rPr>
          <w:rFonts w:eastAsia="Calibri"/>
        </w:rPr>
      </w:pPr>
      <w:r w:rsidRPr="00C56257">
        <w:rPr>
          <w:rFonts w:eastAsia="Calibri"/>
        </w:rPr>
        <w:t>ROSCI0149 Pădurea Eseschioi - Lacul Bugeac</w:t>
      </w:r>
    </w:p>
    <w:p w14:paraId="340DE97C"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0151 Pădurea Gârboavele</w:t>
      </w:r>
    </w:p>
    <w:p w14:paraId="14C30D5F"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0157 Pădurea Hagieni - Cotul Văii</w:t>
      </w:r>
    </w:p>
    <w:p w14:paraId="19E4A864"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0163 Pădurea Mogoș - Mâțele</w:t>
      </w:r>
    </w:p>
    <w:p w14:paraId="741CC49D"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0165 Pădurea Pogănești</w:t>
      </w:r>
    </w:p>
    <w:p w14:paraId="0EAFB565"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0169 Pădurea Seaca - Movileni</w:t>
      </w:r>
    </w:p>
    <w:p w14:paraId="05CEAF00"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0171 Pădurea și pajiștile de la Mârzești</w:t>
      </w:r>
    </w:p>
    <w:p w14:paraId="651C352A"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0172 Pădurea și Valea Canaraua Fetii - Iortmac</w:t>
      </w:r>
    </w:p>
    <w:p w14:paraId="063085DF"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0174 Pădurea Studinița</w:t>
      </w:r>
    </w:p>
    <w:p w14:paraId="0E8C67EC" w14:textId="77777777" w:rsidR="0007555D" w:rsidRPr="00C56257" w:rsidRDefault="0007555D" w:rsidP="008E33FD">
      <w:pPr>
        <w:spacing w:line="259" w:lineRule="auto"/>
        <w:contextualSpacing/>
        <w:jc w:val="both"/>
        <w:rPr>
          <w:rFonts w:eastAsia="Calibri"/>
        </w:rPr>
      </w:pPr>
      <w:r w:rsidRPr="00C56257">
        <w:rPr>
          <w:rFonts w:eastAsia="Calibri"/>
        </w:rPr>
        <w:t>ROSCI0179 Pădurea Troianu</w:t>
      </w:r>
    </w:p>
    <w:p w14:paraId="3B7B8D25" w14:textId="77777777" w:rsidR="0007555D" w:rsidRPr="00C56257" w:rsidRDefault="0007555D" w:rsidP="008E33FD">
      <w:pPr>
        <w:spacing w:line="259" w:lineRule="auto"/>
        <w:contextualSpacing/>
        <w:jc w:val="both"/>
        <w:rPr>
          <w:rFonts w:eastAsia="Calibri"/>
        </w:rPr>
      </w:pPr>
      <w:r w:rsidRPr="00C56257">
        <w:rPr>
          <w:rFonts w:eastAsia="Calibri"/>
        </w:rPr>
        <w:t>ROSCI0201 Podișul Nord Dobrogean *</w:t>
      </w:r>
    </w:p>
    <w:p w14:paraId="0DE29811" w14:textId="77777777" w:rsidR="0007555D" w:rsidRPr="00C56257" w:rsidRDefault="0007555D" w:rsidP="008E33FD">
      <w:pPr>
        <w:spacing w:line="259" w:lineRule="auto"/>
        <w:contextualSpacing/>
        <w:jc w:val="both"/>
        <w:rPr>
          <w:rFonts w:eastAsia="Calibri"/>
        </w:rPr>
      </w:pPr>
      <w:r w:rsidRPr="00C56257">
        <w:rPr>
          <w:rFonts w:eastAsia="Calibri"/>
        </w:rPr>
        <w:t>ROSCI0206 Porțile de Fier</w:t>
      </w:r>
    </w:p>
    <w:p w14:paraId="48F06C90"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0215 Recifii Jurasici Cheia</w:t>
      </w:r>
    </w:p>
    <w:p w14:paraId="4A81A67B" w14:textId="77777777" w:rsidR="0007555D" w:rsidRPr="00C56257" w:rsidRDefault="0007555D" w:rsidP="008E33FD">
      <w:pPr>
        <w:spacing w:line="259" w:lineRule="auto"/>
        <w:contextualSpacing/>
        <w:jc w:val="both"/>
        <w:rPr>
          <w:rFonts w:eastAsia="Calibri"/>
        </w:rPr>
      </w:pPr>
      <w:r w:rsidRPr="00C56257">
        <w:rPr>
          <w:rFonts w:eastAsia="Calibri"/>
        </w:rPr>
        <w:t>ROSCI0353 Peștera – Deleni</w:t>
      </w:r>
    </w:p>
    <w:p w14:paraId="6ADC922D" w14:textId="77777777" w:rsidR="0007555D" w:rsidRPr="00C56257" w:rsidRDefault="0007555D" w:rsidP="008E33FD">
      <w:pPr>
        <w:spacing w:line="259" w:lineRule="auto"/>
        <w:contextualSpacing/>
        <w:jc w:val="both"/>
        <w:rPr>
          <w:rFonts w:eastAsia="Calibri"/>
        </w:rPr>
      </w:pPr>
    </w:p>
    <w:p w14:paraId="2AE0ABDB"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91D0 </w:t>
      </w:r>
      <w:r w:rsidRPr="00C56257">
        <w:rPr>
          <w:rFonts w:eastAsia="Calibri"/>
          <w:bCs/>
        </w:rPr>
        <w:t>*</w:t>
      </w:r>
      <w:r w:rsidRPr="00C56257">
        <w:rPr>
          <w:rFonts w:eastAsia="Calibri"/>
          <w:b/>
        </w:rPr>
        <w:t xml:space="preserve"> - Turbării cu vegetație forestieră </w:t>
      </w:r>
    </w:p>
    <w:p w14:paraId="082DAC6E" w14:textId="77777777" w:rsidR="0007555D" w:rsidRPr="00C56257" w:rsidRDefault="0007555D" w:rsidP="008E33FD">
      <w:pPr>
        <w:spacing w:line="259" w:lineRule="auto"/>
        <w:contextualSpacing/>
        <w:jc w:val="both"/>
        <w:rPr>
          <w:rFonts w:eastAsia="Calibri"/>
        </w:rPr>
      </w:pPr>
    </w:p>
    <w:p w14:paraId="5B3CB075" w14:textId="77777777" w:rsidR="0007555D" w:rsidRPr="00C56257" w:rsidRDefault="0007555D" w:rsidP="008E33FD">
      <w:pPr>
        <w:spacing w:line="259" w:lineRule="auto"/>
        <w:contextualSpacing/>
        <w:jc w:val="both"/>
        <w:rPr>
          <w:rFonts w:eastAsia="Calibri"/>
        </w:rPr>
      </w:pPr>
      <w:r w:rsidRPr="00C56257">
        <w:rPr>
          <w:rFonts w:eastAsia="Calibri"/>
        </w:rPr>
        <w:t>ROSCI0002 Apuseni *</w:t>
      </w:r>
    </w:p>
    <w:p w14:paraId="424A50B2"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0027 Cheile Bicazului - Hășmaș</w:t>
      </w:r>
    </w:p>
    <w:p w14:paraId="38068E7D"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0037 Ciomad - Balvanyos</w:t>
      </w:r>
    </w:p>
    <w:p w14:paraId="6E95125F"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0047 Creasta Nemirei</w:t>
      </w:r>
    </w:p>
    <w:p w14:paraId="67EEB2DB" w14:textId="77777777" w:rsidR="0007555D" w:rsidRPr="00C56257" w:rsidRDefault="0007555D" w:rsidP="008E33FD">
      <w:pPr>
        <w:spacing w:line="259" w:lineRule="auto"/>
        <w:contextualSpacing/>
        <w:jc w:val="both"/>
        <w:rPr>
          <w:rFonts w:eastAsia="Calibri"/>
        </w:rPr>
      </w:pPr>
      <w:r w:rsidRPr="00C56257">
        <w:rPr>
          <w:rFonts w:eastAsia="Calibri"/>
        </w:rPr>
        <w:t>ROSCI0051 Cușma *</w:t>
      </w:r>
    </w:p>
    <w:p w14:paraId="4B506E93"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0085 Frumoasa *</w:t>
      </w:r>
    </w:p>
    <w:p w14:paraId="67AED045" w14:textId="77777777" w:rsidR="0007555D" w:rsidRPr="00C56257" w:rsidRDefault="0007555D" w:rsidP="008E33FD">
      <w:pPr>
        <w:spacing w:line="259" w:lineRule="auto"/>
        <w:contextualSpacing/>
        <w:jc w:val="both"/>
        <w:rPr>
          <w:rFonts w:eastAsia="Calibri"/>
        </w:rPr>
      </w:pPr>
      <w:r w:rsidRPr="00C56257">
        <w:rPr>
          <w:rFonts w:eastAsia="Calibri"/>
        </w:rPr>
        <w:t>ROSCI0086 Găina – Lucina</w:t>
      </w:r>
    </w:p>
    <w:p w14:paraId="3878E339"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0090 Harghita Mădăraș *</w:t>
      </w:r>
    </w:p>
    <w:p w14:paraId="10B1DABA"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0101 Larion</w:t>
      </w:r>
    </w:p>
    <w:p w14:paraId="1220BCF5"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0111 Mestecănișul de la Reci *</w:t>
      </w:r>
    </w:p>
    <w:p w14:paraId="0CFDBD00"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0113 Mlaștina după Luncă</w:t>
      </w:r>
    </w:p>
    <w:p w14:paraId="7D48731A" w14:textId="77777777" w:rsidR="0007555D" w:rsidRPr="00C56257" w:rsidRDefault="0007555D" w:rsidP="008E33FD">
      <w:pPr>
        <w:spacing w:line="259" w:lineRule="auto"/>
        <w:contextualSpacing/>
        <w:jc w:val="both"/>
        <w:rPr>
          <w:rFonts w:eastAsia="Calibri"/>
        </w:rPr>
      </w:pPr>
      <w:r w:rsidRPr="00C56257">
        <w:rPr>
          <w:rFonts w:eastAsia="Calibri"/>
        </w:rPr>
        <w:t>ROSCI0116 Molhașurile Căpățânei *</w:t>
      </w:r>
    </w:p>
    <w:p w14:paraId="5F749EEF"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w:t>
      </w:r>
      <w:r w:rsidR="00C20EE2">
        <w:rPr>
          <w:rFonts w:eastAsia="Calibri"/>
        </w:rPr>
        <w:t>AC</w:t>
      </w:r>
      <w:r w:rsidRPr="00C56257">
        <w:rPr>
          <w:rFonts w:eastAsia="Calibri"/>
        </w:rPr>
        <w:t>0119 Muntele Mare</w:t>
      </w:r>
    </w:p>
    <w:p w14:paraId="180225A5"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0122 Munții Făgăraș *</w:t>
      </w:r>
    </w:p>
    <w:p w14:paraId="256AF738"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0124 Munții Maramureșului *</w:t>
      </w:r>
    </w:p>
    <w:p w14:paraId="139AF5BD"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0188 Parâng *</w:t>
      </w:r>
    </w:p>
    <w:p w14:paraId="3AD217B2"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0194 Piatra Craiului</w:t>
      </w:r>
    </w:p>
    <w:p w14:paraId="28E3DECF"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0212 Rarău - Giumalău</w:t>
      </w:r>
    </w:p>
    <w:p w14:paraId="48E76831"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0233 Someșul Rece</w:t>
      </w:r>
    </w:p>
    <w:p w14:paraId="7094F418" w14:textId="77777777" w:rsidR="0007555D" w:rsidRPr="00C56257" w:rsidRDefault="0007555D" w:rsidP="008E33FD">
      <w:pPr>
        <w:spacing w:line="259" w:lineRule="auto"/>
        <w:contextualSpacing/>
        <w:jc w:val="both"/>
        <w:rPr>
          <w:rFonts w:eastAsia="Calibri"/>
        </w:rPr>
      </w:pPr>
      <w:r w:rsidRPr="00C56257">
        <w:rPr>
          <w:rFonts w:eastAsia="Calibri"/>
        </w:rPr>
        <w:t>ROSCI0241 Tinovul Apa Lina - Honcsok</w:t>
      </w:r>
    </w:p>
    <w:p w14:paraId="1D6523D3"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0242 Tinovul Apa Roșie</w:t>
      </w:r>
    </w:p>
    <w:p w14:paraId="4C1C06BB"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0243 Tinovul de la Dealul Albinelor</w:t>
      </w:r>
    </w:p>
    <w:p w14:paraId="6A3B0CCC"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0244 Tinovul de la Fântâna Brazilor *</w:t>
      </w:r>
    </w:p>
    <w:p w14:paraId="7666D848"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0245 Tinovul de la Românești</w:t>
      </w:r>
    </w:p>
    <w:p w14:paraId="62842AC1" w14:textId="77777777" w:rsidR="0007555D" w:rsidRPr="00C56257" w:rsidRDefault="0007555D" w:rsidP="008E33FD">
      <w:pPr>
        <w:spacing w:line="259" w:lineRule="auto"/>
        <w:contextualSpacing/>
        <w:jc w:val="both"/>
        <w:rPr>
          <w:rFonts w:eastAsia="Calibri"/>
        </w:rPr>
      </w:pPr>
      <w:r w:rsidRPr="00C56257">
        <w:rPr>
          <w:rFonts w:eastAsia="Calibri"/>
        </w:rPr>
        <w:t>ROSCI0246 Tinovul Luci</w:t>
      </w:r>
    </w:p>
    <w:p w14:paraId="03691DD6"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0247 Tinovul Mare Poiana Stampei *</w:t>
      </w:r>
    </w:p>
    <w:p w14:paraId="72AA478C"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0248 Tinovul Mohoș - Lacul Sf. Ana *</w:t>
      </w:r>
    </w:p>
    <w:p w14:paraId="0987B787"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0249 Tinovul Șaru Dornei *</w:t>
      </w:r>
    </w:p>
    <w:p w14:paraId="36987EA6" w14:textId="77777777" w:rsidR="0007555D" w:rsidRPr="00C56257" w:rsidRDefault="0007555D" w:rsidP="008E33FD">
      <w:pPr>
        <w:spacing w:line="259" w:lineRule="auto"/>
        <w:contextualSpacing/>
        <w:jc w:val="both"/>
        <w:rPr>
          <w:rFonts w:eastAsia="Calibri"/>
        </w:rPr>
      </w:pPr>
      <w:r w:rsidRPr="00C56257">
        <w:rPr>
          <w:rFonts w:eastAsia="Calibri"/>
        </w:rPr>
        <w:t>ROSCI0256 Turbăria Ruginosu Zagon *</w:t>
      </w:r>
    </w:p>
    <w:p w14:paraId="133F8085" w14:textId="77777777" w:rsidR="0007555D" w:rsidRPr="00C56257" w:rsidRDefault="0007555D" w:rsidP="008E33FD">
      <w:pPr>
        <w:spacing w:line="259" w:lineRule="auto"/>
        <w:contextualSpacing/>
        <w:jc w:val="both"/>
        <w:rPr>
          <w:rFonts w:eastAsia="Calibri"/>
        </w:rPr>
      </w:pPr>
      <w:r w:rsidRPr="00C56257">
        <w:rPr>
          <w:rFonts w:eastAsia="Calibri"/>
        </w:rPr>
        <w:t>ROSCI0285 Codrii seculari de la Strâmbu - Băiuț</w:t>
      </w:r>
    </w:p>
    <w:p w14:paraId="06323C78" w14:textId="77777777" w:rsidR="0007555D" w:rsidRPr="00C56257" w:rsidRDefault="0007555D" w:rsidP="008E33FD">
      <w:pPr>
        <w:spacing w:line="259" w:lineRule="auto"/>
        <w:contextualSpacing/>
        <w:jc w:val="both"/>
        <w:rPr>
          <w:rFonts w:eastAsia="Calibri"/>
        </w:rPr>
      </w:pPr>
      <w:r w:rsidRPr="00C56257">
        <w:rPr>
          <w:rFonts w:eastAsia="Calibri"/>
        </w:rPr>
        <w:t>ROS</w:t>
      </w:r>
      <w:r w:rsidR="00C20EE2">
        <w:rPr>
          <w:rFonts w:eastAsia="Calibri"/>
        </w:rPr>
        <w:t>AC</w:t>
      </w:r>
      <w:r w:rsidRPr="00C56257">
        <w:rPr>
          <w:rFonts w:eastAsia="Calibri"/>
        </w:rPr>
        <w:t>0321 Moldova Superioară</w:t>
      </w:r>
    </w:p>
    <w:p w14:paraId="50468C61" w14:textId="77777777" w:rsidR="0007555D" w:rsidRPr="00C56257" w:rsidRDefault="0007555D" w:rsidP="008E33FD">
      <w:pPr>
        <w:spacing w:line="259" w:lineRule="auto"/>
        <w:contextualSpacing/>
        <w:jc w:val="both"/>
        <w:rPr>
          <w:rFonts w:eastAsia="Calibri"/>
        </w:rPr>
      </w:pPr>
      <w:r w:rsidRPr="00C56257">
        <w:rPr>
          <w:rFonts w:eastAsia="Calibri"/>
        </w:rPr>
        <w:t>ROSCI0327 Nemira - Lapoș</w:t>
      </w:r>
    </w:p>
    <w:p w14:paraId="3D843556" w14:textId="77777777" w:rsidR="0007555D" w:rsidRPr="00C56257" w:rsidRDefault="0007555D" w:rsidP="008E33FD">
      <w:pPr>
        <w:spacing w:line="259" w:lineRule="auto"/>
        <w:contextualSpacing/>
        <w:jc w:val="both"/>
        <w:rPr>
          <w:rFonts w:eastAsia="Calibri"/>
        </w:rPr>
      </w:pPr>
      <w:r w:rsidRPr="00C56257">
        <w:rPr>
          <w:rFonts w:eastAsia="Calibri"/>
        </w:rPr>
        <w:t>ROSCI0328 Obcinele Bucovinei *</w:t>
      </w:r>
    </w:p>
    <w:p w14:paraId="13FF04C1" w14:textId="77777777" w:rsidR="0007555D" w:rsidRPr="00C56257" w:rsidRDefault="0007555D" w:rsidP="008E33FD">
      <w:pPr>
        <w:spacing w:line="259" w:lineRule="auto"/>
        <w:contextualSpacing/>
        <w:jc w:val="both"/>
        <w:rPr>
          <w:rFonts w:eastAsia="Calibri"/>
        </w:rPr>
      </w:pPr>
      <w:r w:rsidRPr="00C56257">
        <w:rPr>
          <w:rFonts w:eastAsia="Calibri"/>
        </w:rPr>
        <w:t>ROS</w:t>
      </w:r>
      <w:r w:rsidR="00051F44">
        <w:rPr>
          <w:rFonts w:eastAsia="Calibri"/>
        </w:rPr>
        <w:t>AC</w:t>
      </w:r>
      <w:r w:rsidRPr="00C56257">
        <w:rPr>
          <w:rFonts w:eastAsia="Calibri"/>
        </w:rPr>
        <w:t>0395 Soveja</w:t>
      </w:r>
    </w:p>
    <w:p w14:paraId="396611CB" w14:textId="77777777" w:rsidR="0007555D" w:rsidRPr="00C56257" w:rsidRDefault="0007555D" w:rsidP="008E33FD">
      <w:pPr>
        <w:spacing w:line="259" w:lineRule="auto"/>
        <w:contextualSpacing/>
        <w:jc w:val="both"/>
        <w:rPr>
          <w:rFonts w:eastAsia="Calibri"/>
        </w:rPr>
      </w:pPr>
    </w:p>
    <w:p w14:paraId="1BC55CA2"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91E0 </w:t>
      </w:r>
      <w:r w:rsidRPr="00C56257">
        <w:rPr>
          <w:rFonts w:eastAsia="Calibri"/>
          <w:bCs/>
        </w:rPr>
        <w:t>*</w:t>
      </w:r>
      <w:r w:rsidRPr="00C56257">
        <w:rPr>
          <w:rFonts w:eastAsia="Calibri"/>
          <w:b/>
        </w:rPr>
        <w:t xml:space="preserve"> - Păduri aluviale cu </w:t>
      </w:r>
      <w:r w:rsidRPr="00C56257">
        <w:rPr>
          <w:rFonts w:eastAsia="Calibri"/>
          <w:b/>
          <w:i/>
          <w:iCs/>
        </w:rPr>
        <w:t>Alnus glutinosa</w:t>
      </w:r>
      <w:r w:rsidRPr="00C56257">
        <w:rPr>
          <w:rFonts w:eastAsia="Calibri"/>
          <w:b/>
        </w:rPr>
        <w:t xml:space="preserve"> și </w:t>
      </w:r>
      <w:r w:rsidRPr="00C56257">
        <w:rPr>
          <w:rFonts w:eastAsia="Calibri"/>
          <w:b/>
          <w:i/>
          <w:iCs/>
        </w:rPr>
        <w:t>Fraxinus excelsior</w:t>
      </w:r>
      <w:r w:rsidRPr="00C56257">
        <w:rPr>
          <w:rFonts w:eastAsia="Calibri"/>
          <w:b/>
        </w:rPr>
        <w:t xml:space="preserve"> (</w:t>
      </w:r>
      <w:r w:rsidRPr="00C56257">
        <w:rPr>
          <w:rFonts w:eastAsia="Calibri"/>
          <w:b/>
          <w:i/>
          <w:iCs/>
        </w:rPr>
        <w:t>Alno-Padion</w:t>
      </w:r>
      <w:r w:rsidRPr="00C56257">
        <w:rPr>
          <w:rFonts w:eastAsia="Calibri"/>
          <w:b/>
        </w:rPr>
        <w:t xml:space="preserve">, </w:t>
      </w:r>
      <w:r w:rsidRPr="00C56257">
        <w:rPr>
          <w:rFonts w:eastAsia="Calibri"/>
          <w:b/>
          <w:i/>
          <w:iCs/>
        </w:rPr>
        <w:t>Alnion incanae</w:t>
      </w:r>
      <w:r w:rsidRPr="00C56257">
        <w:rPr>
          <w:rFonts w:eastAsia="Calibri"/>
          <w:b/>
        </w:rPr>
        <w:t xml:space="preserve">, </w:t>
      </w:r>
      <w:r w:rsidRPr="00C56257">
        <w:rPr>
          <w:rFonts w:eastAsia="Calibri"/>
          <w:b/>
          <w:i/>
          <w:iCs/>
        </w:rPr>
        <w:t>Salicion albae</w:t>
      </w:r>
      <w:r w:rsidRPr="00C56257">
        <w:rPr>
          <w:rFonts w:eastAsia="Calibri"/>
          <w:b/>
        </w:rPr>
        <w:t>)</w:t>
      </w:r>
    </w:p>
    <w:p w14:paraId="7D7F7C0E" w14:textId="77777777" w:rsidR="0007555D" w:rsidRPr="00C56257" w:rsidRDefault="0007555D" w:rsidP="008E33FD">
      <w:pPr>
        <w:spacing w:line="259" w:lineRule="auto"/>
        <w:contextualSpacing/>
        <w:jc w:val="both"/>
        <w:rPr>
          <w:rFonts w:eastAsia="Calibri"/>
        </w:rPr>
      </w:pPr>
    </w:p>
    <w:p w14:paraId="1EC710AF" w14:textId="77777777" w:rsidR="0007555D" w:rsidRPr="00C56257" w:rsidRDefault="0007555D" w:rsidP="008E33FD">
      <w:pPr>
        <w:spacing w:line="259" w:lineRule="auto"/>
        <w:contextualSpacing/>
        <w:jc w:val="both"/>
        <w:rPr>
          <w:rFonts w:eastAsia="Calibri"/>
        </w:rPr>
      </w:pPr>
      <w:r w:rsidRPr="00C56257">
        <w:rPr>
          <w:rFonts w:eastAsia="Calibri"/>
        </w:rPr>
        <w:t>ROSCI0001 Aninișurile de pe Tărlung *</w:t>
      </w:r>
    </w:p>
    <w:p w14:paraId="55D7DD1E" w14:textId="77777777" w:rsidR="0007555D" w:rsidRPr="00C56257" w:rsidRDefault="0007555D" w:rsidP="008E33FD">
      <w:pPr>
        <w:spacing w:line="259" w:lineRule="auto"/>
        <w:contextualSpacing/>
        <w:jc w:val="both"/>
        <w:rPr>
          <w:rFonts w:eastAsia="Calibri"/>
        </w:rPr>
      </w:pPr>
      <w:r w:rsidRPr="00C56257">
        <w:rPr>
          <w:rFonts w:eastAsia="Calibri"/>
        </w:rPr>
        <w:t>ROSCI0002 Apuseni *</w:t>
      </w:r>
    </w:p>
    <w:p w14:paraId="554AB60B" w14:textId="77777777" w:rsidR="0007555D" w:rsidRPr="00C56257" w:rsidRDefault="0007555D" w:rsidP="008E33FD">
      <w:pPr>
        <w:spacing w:line="259" w:lineRule="auto"/>
        <w:contextualSpacing/>
        <w:jc w:val="both"/>
        <w:rPr>
          <w:rFonts w:eastAsia="Calibri"/>
        </w:rPr>
      </w:pPr>
      <w:r w:rsidRPr="00C56257">
        <w:rPr>
          <w:rFonts w:eastAsia="Calibri"/>
        </w:rPr>
        <w:t>ROSCI0006 Balta Mică a Brăilei</w:t>
      </w:r>
    </w:p>
    <w:p w14:paraId="2E369E49"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0007 Bazinul Ciucului de Jos</w:t>
      </w:r>
    </w:p>
    <w:p w14:paraId="00632BA4"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0010 Bistrița Aurie</w:t>
      </w:r>
    </w:p>
    <w:p w14:paraId="778DF33D" w14:textId="77777777" w:rsidR="0007555D" w:rsidRPr="00C56257" w:rsidRDefault="0007555D" w:rsidP="008E33FD">
      <w:pPr>
        <w:spacing w:line="259" w:lineRule="auto"/>
        <w:contextualSpacing/>
        <w:jc w:val="both"/>
        <w:rPr>
          <w:rFonts w:eastAsia="Calibri"/>
        </w:rPr>
      </w:pPr>
      <w:r w:rsidRPr="00C56257">
        <w:rPr>
          <w:rFonts w:eastAsia="Calibri"/>
        </w:rPr>
        <w:t>ROSCI0013 Bucegi</w:t>
      </w:r>
    </w:p>
    <w:p w14:paraId="1BB96200"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0015 Buila - Vânturarița</w:t>
      </w:r>
    </w:p>
    <w:p w14:paraId="31F15F03" w14:textId="77777777" w:rsidR="0007555D" w:rsidRPr="00C56257" w:rsidRDefault="0007555D" w:rsidP="008E33FD">
      <w:pPr>
        <w:spacing w:line="259" w:lineRule="auto"/>
        <w:contextualSpacing/>
        <w:jc w:val="both"/>
        <w:rPr>
          <w:rFonts w:eastAsia="Calibri"/>
        </w:rPr>
      </w:pPr>
      <w:r w:rsidRPr="00C56257">
        <w:rPr>
          <w:rFonts w:eastAsia="Calibri"/>
        </w:rPr>
        <w:t>ROSCI0019 Călimani - Gurghiu *</w:t>
      </w:r>
    </w:p>
    <w:p w14:paraId="13D6B4BC"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0024 Ceahlău</w:t>
      </w:r>
    </w:p>
    <w:p w14:paraId="2EE03E14"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0027 Cheile Bicazului - Hășmaș *</w:t>
      </w:r>
    </w:p>
    <w:p w14:paraId="6BBA5E6E" w14:textId="77777777" w:rsidR="0007555D" w:rsidRPr="00C56257" w:rsidRDefault="0007555D" w:rsidP="008E33FD">
      <w:pPr>
        <w:spacing w:line="259" w:lineRule="auto"/>
        <w:contextualSpacing/>
        <w:jc w:val="both"/>
        <w:rPr>
          <w:rFonts w:eastAsia="Calibri"/>
        </w:rPr>
      </w:pPr>
      <w:r w:rsidRPr="00C56257">
        <w:rPr>
          <w:rFonts w:eastAsia="Calibri"/>
        </w:rPr>
        <w:t>ROSCI0030 Cheile Lăpușului</w:t>
      </w:r>
    </w:p>
    <w:p w14:paraId="67C581A4" w14:textId="77777777" w:rsidR="0007555D" w:rsidRPr="00C56257" w:rsidRDefault="0007555D" w:rsidP="008E33FD">
      <w:pPr>
        <w:spacing w:line="259" w:lineRule="auto"/>
        <w:contextualSpacing/>
        <w:jc w:val="both"/>
        <w:rPr>
          <w:rFonts w:eastAsia="Calibri"/>
        </w:rPr>
      </w:pPr>
      <w:r w:rsidRPr="00C56257">
        <w:rPr>
          <w:rFonts w:eastAsia="Calibri"/>
        </w:rPr>
        <w:t>ROSCI0031 Cheile Nerei - Beușnița</w:t>
      </w:r>
    </w:p>
    <w:p w14:paraId="1F0B6F22"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0032 Cheile Rudăriei</w:t>
      </w:r>
    </w:p>
    <w:p w14:paraId="14B33D2D"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0035 Cheile Turzii</w:t>
      </w:r>
    </w:p>
    <w:p w14:paraId="3B3EA850"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0036 Cheile Vârghișului</w:t>
      </w:r>
    </w:p>
    <w:p w14:paraId="6DCBCB0B" w14:textId="77777777" w:rsidR="0007555D" w:rsidRPr="00C56257" w:rsidRDefault="0007555D" w:rsidP="008E33FD">
      <w:pPr>
        <w:spacing w:line="259" w:lineRule="auto"/>
        <w:contextualSpacing/>
        <w:jc w:val="both"/>
        <w:rPr>
          <w:rFonts w:eastAsia="Calibri"/>
        </w:rPr>
      </w:pPr>
      <w:r w:rsidRPr="00C56257">
        <w:rPr>
          <w:rFonts w:eastAsia="Calibri"/>
        </w:rPr>
        <w:t>ROSCI0038 Ciucaș *</w:t>
      </w:r>
    </w:p>
    <w:p w14:paraId="3E3957DD" w14:textId="77777777" w:rsidR="0007555D" w:rsidRPr="00C56257" w:rsidRDefault="0007555D" w:rsidP="008E33FD">
      <w:pPr>
        <w:spacing w:line="259" w:lineRule="auto"/>
        <w:contextualSpacing/>
        <w:jc w:val="both"/>
        <w:rPr>
          <w:rFonts w:eastAsia="Calibri"/>
        </w:rPr>
      </w:pPr>
      <w:r w:rsidRPr="00C56257">
        <w:rPr>
          <w:rFonts w:eastAsia="Calibri"/>
        </w:rPr>
        <w:t>ROSCI0042 Codru Moma *</w:t>
      </w:r>
    </w:p>
    <w:p w14:paraId="38EC7E4B" w14:textId="77777777" w:rsidR="0007555D" w:rsidRPr="00C56257" w:rsidRDefault="0007555D" w:rsidP="008E33FD">
      <w:pPr>
        <w:spacing w:line="259" w:lineRule="auto"/>
        <w:contextualSpacing/>
        <w:jc w:val="both"/>
        <w:rPr>
          <w:rFonts w:eastAsia="Calibri"/>
        </w:rPr>
      </w:pPr>
      <w:r w:rsidRPr="00C56257">
        <w:rPr>
          <w:rFonts w:eastAsia="Calibri"/>
        </w:rPr>
        <w:t>ROSCI0043 Comana</w:t>
      </w:r>
    </w:p>
    <w:p w14:paraId="63B5E83F" w14:textId="77777777" w:rsidR="0007555D" w:rsidRPr="00C56257" w:rsidRDefault="0007555D" w:rsidP="008E33FD">
      <w:pPr>
        <w:spacing w:line="259" w:lineRule="auto"/>
        <w:contextualSpacing/>
        <w:jc w:val="both"/>
        <w:rPr>
          <w:rFonts w:eastAsia="Calibri"/>
        </w:rPr>
      </w:pPr>
      <w:r w:rsidRPr="00C56257">
        <w:rPr>
          <w:rFonts w:eastAsia="Calibri"/>
        </w:rPr>
        <w:t>ROSCI0044 Corabia - Turnu Măgurele</w:t>
      </w:r>
    </w:p>
    <w:p w14:paraId="549BB365"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0045 Coridorul Jiului</w:t>
      </w:r>
    </w:p>
    <w:p w14:paraId="743E02DA"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w:t>
      </w:r>
      <w:r w:rsidR="00AF1D6D">
        <w:rPr>
          <w:rFonts w:eastAsia="Calibri"/>
        </w:rPr>
        <w:t>AC</w:t>
      </w:r>
      <w:r w:rsidRPr="00C56257">
        <w:rPr>
          <w:rFonts w:eastAsia="Calibri"/>
        </w:rPr>
        <w:t>0046 Cozia</w:t>
      </w:r>
    </w:p>
    <w:p w14:paraId="0A006B3F" w14:textId="77777777" w:rsidR="0007555D" w:rsidRPr="00C56257" w:rsidRDefault="0007555D" w:rsidP="008E33FD">
      <w:pPr>
        <w:spacing w:line="259" w:lineRule="auto"/>
        <w:contextualSpacing/>
        <w:jc w:val="both"/>
        <w:rPr>
          <w:rFonts w:eastAsia="Calibri"/>
        </w:rPr>
      </w:pPr>
      <w:r w:rsidRPr="00C56257">
        <w:rPr>
          <w:rFonts w:eastAsia="Calibri"/>
        </w:rPr>
        <w:t>ROSCI0051 Cușma *</w:t>
      </w:r>
    </w:p>
    <w:p w14:paraId="4D1F01B7"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0062 Defileul Crișului Repede - Pădurea Craiului</w:t>
      </w:r>
    </w:p>
    <w:p w14:paraId="39919B4E" w14:textId="77777777" w:rsidR="0007555D" w:rsidRPr="00C56257" w:rsidRDefault="0007555D" w:rsidP="008E33FD">
      <w:pPr>
        <w:spacing w:line="259" w:lineRule="auto"/>
        <w:contextualSpacing/>
        <w:jc w:val="both"/>
        <w:rPr>
          <w:rFonts w:eastAsia="Calibri"/>
        </w:rPr>
      </w:pPr>
      <w:r w:rsidRPr="00C56257">
        <w:rPr>
          <w:rFonts w:eastAsia="Calibri"/>
        </w:rPr>
        <w:t>ROSCI0063 Defileul Jiului</w:t>
      </w:r>
    </w:p>
    <w:p w14:paraId="21FFC04D"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0064 Defileul Mureșului</w:t>
      </w:r>
    </w:p>
    <w:p w14:paraId="6B810FF4"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0068 Diosig</w:t>
      </w:r>
    </w:p>
    <w:p w14:paraId="514DF681"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0069 Domogled - Valea Cernei</w:t>
      </w:r>
    </w:p>
    <w:p w14:paraId="36F69E3D" w14:textId="77777777" w:rsidR="0007555D" w:rsidRPr="00C56257" w:rsidRDefault="0007555D" w:rsidP="008E33FD">
      <w:pPr>
        <w:spacing w:line="259" w:lineRule="auto"/>
        <w:contextualSpacing/>
        <w:jc w:val="both"/>
        <w:rPr>
          <w:rFonts w:eastAsia="Calibri"/>
        </w:rPr>
      </w:pPr>
      <w:r w:rsidRPr="00C56257">
        <w:rPr>
          <w:rFonts w:eastAsia="Calibri"/>
        </w:rPr>
        <w:t>ROSCI0070 Drocea</w:t>
      </w:r>
    </w:p>
    <w:p w14:paraId="2E2148CD" w14:textId="77777777" w:rsidR="0007555D" w:rsidRPr="00C56257" w:rsidRDefault="0007555D" w:rsidP="008E33FD">
      <w:pPr>
        <w:spacing w:line="259" w:lineRule="auto"/>
        <w:contextualSpacing/>
        <w:jc w:val="both"/>
        <w:rPr>
          <w:rFonts w:eastAsia="Calibri"/>
        </w:rPr>
      </w:pPr>
      <w:r w:rsidRPr="00C56257">
        <w:rPr>
          <w:rFonts w:eastAsia="Calibri"/>
        </w:rPr>
        <w:t>ROSCI0074 Făgetul Clujului - Valea Morii</w:t>
      </w:r>
    </w:p>
    <w:p w14:paraId="4DF2B49E" w14:textId="77777777" w:rsidR="0007555D" w:rsidRPr="00C56257" w:rsidRDefault="0007555D" w:rsidP="008E33FD">
      <w:pPr>
        <w:spacing w:line="259" w:lineRule="auto"/>
        <w:contextualSpacing/>
        <w:jc w:val="both"/>
        <w:rPr>
          <w:rFonts w:eastAsia="Calibri"/>
        </w:rPr>
      </w:pPr>
      <w:r w:rsidRPr="00C56257">
        <w:rPr>
          <w:rFonts w:eastAsia="Calibri"/>
        </w:rPr>
        <w:t>ROSCI0075 Pădurea Pătrăuți</w:t>
      </w:r>
    </w:p>
    <w:p w14:paraId="7307EA8F" w14:textId="77777777" w:rsidR="0007555D" w:rsidRPr="00C56257" w:rsidRDefault="0007555D" w:rsidP="008E33FD">
      <w:pPr>
        <w:spacing w:line="259" w:lineRule="auto"/>
        <w:contextualSpacing/>
        <w:jc w:val="both"/>
        <w:rPr>
          <w:rFonts w:eastAsia="Calibri"/>
        </w:rPr>
      </w:pPr>
      <w:r w:rsidRPr="00C56257">
        <w:rPr>
          <w:rFonts w:eastAsia="Calibri"/>
        </w:rPr>
        <w:t>ROSCI0076 Dealul Mare - Hârlău</w:t>
      </w:r>
    </w:p>
    <w:p w14:paraId="11BE7600"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0085 Frumoasa</w:t>
      </w:r>
    </w:p>
    <w:p w14:paraId="52C18FD4"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0086 Găina - Lucina *</w:t>
      </w:r>
    </w:p>
    <w:p w14:paraId="66B789D6" w14:textId="77777777" w:rsidR="0007555D" w:rsidRPr="00C56257" w:rsidRDefault="0007555D" w:rsidP="008E33FD">
      <w:pPr>
        <w:spacing w:line="259" w:lineRule="auto"/>
        <w:contextualSpacing/>
        <w:jc w:val="both"/>
        <w:rPr>
          <w:rFonts w:eastAsia="Calibri"/>
        </w:rPr>
      </w:pPr>
      <w:r w:rsidRPr="00C56257">
        <w:rPr>
          <w:rFonts w:eastAsia="Calibri"/>
        </w:rPr>
        <w:t>ROSCI0087 Grădiștea Muncelului - Cioclovina</w:t>
      </w:r>
    </w:p>
    <w:p w14:paraId="2A2FBE12"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0091 Herculian</w:t>
      </w:r>
    </w:p>
    <w:p w14:paraId="049B7E87"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0103 Lunca Buzăului *</w:t>
      </w:r>
    </w:p>
    <w:p w14:paraId="5C51A72E"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0106 Lunca Mijlocie a Argeșului</w:t>
      </w:r>
    </w:p>
    <w:p w14:paraId="43877B02"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0111 Mestecănișul de la Reci *</w:t>
      </w:r>
    </w:p>
    <w:p w14:paraId="3F86D9C3" w14:textId="77777777" w:rsidR="0007555D" w:rsidRPr="00C56257" w:rsidRDefault="0007555D" w:rsidP="008E33FD">
      <w:pPr>
        <w:spacing w:line="259" w:lineRule="auto"/>
        <w:contextualSpacing/>
        <w:jc w:val="both"/>
        <w:rPr>
          <w:rFonts w:eastAsia="Calibri"/>
        </w:rPr>
      </w:pPr>
      <w:r w:rsidRPr="00C56257">
        <w:rPr>
          <w:rFonts w:eastAsia="Calibri"/>
        </w:rPr>
        <w:t>RO</w:t>
      </w:r>
      <w:r w:rsidR="00AF1D6D">
        <w:rPr>
          <w:rFonts w:eastAsia="Calibri"/>
        </w:rPr>
        <w:t>SAC</w:t>
      </w:r>
      <w:r w:rsidRPr="00C56257">
        <w:rPr>
          <w:rFonts w:eastAsia="Calibri"/>
        </w:rPr>
        <w:t>0122 Munții Făgăraș</w:t>
      </w:r>
    </w:p>
    <w:p w14:paraId="335CE61B"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0124 Munții Maramureșului *</w:t>
      </w:r>
    </w:p>
    <w:p w14:paraId="0DF4729A" w14:textId="77777777" w:rsidR="0007555D" w:rsidRPr="00C56257" w:rsidRDefault="0007555D" w:rsidP="008E33FD">
      <w:pPr>
        <w:spacing w:line="259" w:lineRule="auto"/>
        <w:contextualSpacing/>
        <w:jc w:val="both"/>
        <w:rPr>
          <w:rFonts w:eastAsia="Calibri"/>
        </w:rPr>
      </w:pPr>
      <w:r w:rsidRPr="00C56257">
        <w:rPr>
          <w:rFonts w:eastAsia="Calibri"/>
        </w:rPr>
        <w:t>ROSCI0125 Munții Rodnei *</w:t>
      </w:r>
    </w:p>
    <w:p w14:paraId="75DD3AC9" w14:textId="77777777" w:rsidR="0007555D" w:rsidRPr="00C56257" w:rsidRDefault="0007555D" w:rsidP="008E33FD">
      <w:pPr>
        <w:spacing w:line="259" w:lineRule="auto"/>
        <w:contextualSpacing/>
        <w:jc w:val="both"/>
        <w:rPr>
          <w:rFonts w:eastAsia="Calibri"/>
        </w:rPr>
      </w:pPr>
      <w:r w:rsidRPr="00C56257">
        <w:rPr>
          <w:rFonts w:eastAsia="Calibri"/>
        </w:rPr>
        <w:t>ROSCI0126 Munții Țarcu</w:t>
      </w:r>
    </w:p>
    <w:p w14:paraId="43251DBE"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0128 Nordul Gorjului de Est</w:t>
      </w:r>
    </w:p>
    <w:p w14:paraId="01F2CB15"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0129 Nordul Gorjului de Vest</w:t>
      </w:r>
    </w:p>
    <w:p w14:paraId="5A659BED"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0130 Oituz - Ojdula</w:t>
      </w:r>
    </w:p>
    <w:p w14:paraId="071BAEE4"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0137 Pădurea Bogății *</w:t>
      </w:r>
    </w:p>
    <w:p w14:paraId="4C111880" w14:textId="77777777" w:rsidR="0007555D" w:rsidRPr="00C56257" w:rsidRDefault="0007555D" w:rsidP="008E33FD">
      <w:pPr>
        <w:spacing w:line="259" w:lineRule="auto"/>
        <w:contextualSpacing/>
        <w:jc w:val="both"/>
        <w:rPr>
          <w:rFonts w:eastAsia="Calibri"/>
        </w:rPr>
      </w:pPr>
      <w:r w:rsidRPr="00C56257">
        <w:rPr>
          <w:rFonts w:eastAsia="Calibri"/>
        </w:rPr>
        <w:t>ROSCI0156 Munții Goșman</w:t>
      </w:r>
    </w:p>
    <w:p w14:paraId="46E5BEC4"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0162 Lunca Siretului Inferior</w:t>
      </w:r>
    </w:p>
    <w:p w14:paraId="76D43DFD" w14:textId="77777777" w:rsidR="0007555D" w:rsidRPr="00C56257" w:rsidRDefault="0007555D" w:rsidP="008E33FD">
      <w:pPr>
        <w:spacing w:line="259" w:lineRule="auto"/>
        <w:contextualSpacing/>
        <w:jc w:val="both"/>
        <w:rPr>
          <w:rFonts w:eastAsia="Calibri"/>
        </w:rPr>
      </w:pPr>
      <w:r w:rsidRPr="00C56257">
        <w:rPr>
          <w:rFonts w:eastAsia="Calibri"/>
        </w:rPr>
        <w:t>ROSCI0170 Pădurea și mlaștinile eutrofe de la Prejmer *</w:t>
      </w:r>
    </w:p>
    <w:p w14:paraId="475B1C7A"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0188 Parâng</w:t>
      </w:r>
    </w:p>
    <w:p w14:paraId="0D60610B"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0190 Penteleu *</w:t>
      </w:r>
    </w:p>
    <w:p w14:paraId="4577ABFA"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0194 Piatra Craiului</w:t>
      </w:r>
    </w:p>
    <w:p w14:paraId="1B0D6C84" w14:textId="77777777" w:rsidR="0007555D" w:rsidRPr="00C56257" w:rsidRDefault="0007555D" w:rsidP="008E33FD">
      <w:pPr>
        <w:spacing w:line="259" w:lineRule="auto"/>
        <w:contextualSpacing/>
        <w:jc w:val="both"/>
        <w:rPr>
          <w:rFonts w:eastAsia="Calibri"/>
        </w:rPr>
      </w:pPr>
      <w:r w:rsidRPr="00C56257">
        <w:rPr>
          <w:rFonts w:eastAsia="Calibri"/>
        </w:rPr>
        <w:t>ROSCI0195 Piatra Mare *</w:t>
      </w:r>
    </w:p>
    <w:p w14:paraId="6D08BD7F"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0198 Platoul Mehedinți</w:t>
      </w:r>
    </w:p>
    <w:p w14:paraId="035A9E29"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0200 Platoul Vașcău</w:t>
      </w:r>
    </w:p>
    <w:p w14:paraId="46724976"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0202 Silvostepa Olteniei</w:t>
      </w:r>
    </w:p>
    <w:p w14:paraId="2979010C" w14:textId="77777777" w:rsidR="0007555D" w:rsidRPr="00C56257" w:rsidRDefault="0007555D" w:rsidP="008E33FD">
      <w:pPr>
        <w:spacing w:line="259" w:lineRule="auto"/>
        <w:contextualSpacing/>
        <w:jc w:val="both"/>
        <w:rPr>
          <w:rFonts w:eastAsia="Calibri"/>
        </w:rPr>
      </w:pPr>
      <w:r w:rsidRPr="00C56257">
        <w:rPr>
          <w:rFonts w:eastAsia="Calibri"/>
        </w:rPr>
        <w:t>ROSCI0206 Porțile de Fier</w:t>
      </w:r>
    </w:p>
    <w:p w14:paraId="2229E049"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0208 Putna – Vrancea</w:t>
      </w:r>
    </w:p>
    <w:p w14:paraId="3B8E0977" w14:textId="77777777" w:rsidR="0007555D" w:rsidRPr="00C56257" w:rsidRDefault="0007555D" w:rsidP="008E33FD">
      <w:pPr>
        <w:spacing w:line="259" w:lineRule="auto"/>
        <w:contextualSpacing/>
        <w:jc w:val="both"/>
        <w:rPr>
          <w:rFonts w:eastAsia="Calibri"/>
        </w:rPr>
      </w:pPr>
      <w:r w:rsidRPr="00C56257">
        <w:rPr>
          <w:rFonts w:eastAsia="Calibri"/>
        </w:rPr>
        <w:t>ROSCI0211 Podișul Secașelor</w:t>
      </w:r>
    </w:p>
    <w:p w14:paraId="530DF5DE"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0212 Rarău - Giumalău *</w:t>
      </w:r>
    </w:p>
    <w:p w14:paraId="599E251B"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0214 Râul Tur</w:t>
      </w:r>
    </w:p>
    <w:p w14:paraId="23026662"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0219 Rusca Montană</w:t>
      </w:r>
    </w:p>
    <w:p w14:paraId="2E1E94D2"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0224 Scroviștea</w:t>
      </w:r>
    </w:p>
    <w:p w14:paraId="6640003F" w14:textId="77777777" w:rsidR="0007555D" w:rsidRPr="00C56257" w:rsidRDefault="0007555D" w:rsidP="008E33FD">
      <w:pPr>
        <w:spacing w:line="259" w:lineRule="auto"/>
        <w:contextualSpacing/>
        <w:jc w:val="both"/>
        <w:rPr>
          <w:rFonts w:eastAsia="Calibri"/>
        </w:rPr>
      </w:pPr>
      <w:r w:rsidRPr="00C56257">
        <w:rPr>
          <w:rFonts w:eastAsia="Calibri"/>
        </w:rPr>
        <w:t>ROSCI0226 Semenic - Cheile Carașului *</w:t>
      </w:r>
    </w:p>
    <w:p w14:paraId="4056676C" w14:textId="77777777" w:rsidR="0007555D" w:rsidRPr="00C56257" w:rsidRDefault="0007555D" w:rsidP="008E33FD">
      <w:pPr>
        <w:spacing w:line="259" w:lineRule="auto"/>
        <w:contextualSpacing/>
        <w:jc w:val="both"/>
        <w:rPr>
          <w:rFonts w:eastAsia="Calibri"/>
        </w:rPr>
      </w:pPr>
      <w:r w:rsidRPr="00C56257">
        <w:rPr>
          <w:rFonts w:eastAsia="Calibri"/>
        </w:rPr>
        <w:t>ROS</w:t>
      </w:r>
      <w:r w:rsidR="00AF1D6D">
        <w:rPr>
          <w:rFonts w:eastAsia="Calibri"/>
        </w:rPr>
        <w:t>AC</w:t>
      </w:r>
      <w:r w:rsidRPr="00C56257">
        <w:rPr>
          <w:rFonts w:eastAsia="Calibri"/>
        </w:rPr>
        <w:t>0227 Sighișoara - Târnava Mare</w:t>
      </w:r>
    </w:p>
    <w:p w14:paraId="4DCA81B6" w14:textId="77777777" w:rsidR="0007555D" w:rsidRPr="00C56257" w:rsidRDefault="0007555D" w:rsidP="008E33FD">
      <w:pPr>
        <w:spacing w:line="259" w:lineRule="auto"/>
        <w:contextualSpacing/>
        <w:jc w:val="both"/>
        <w:rPr>
          <w:rFonts w:eastAsia="Calibri"/>
        </w:rPr>
      </w:pPr>
      <w:r w:rsidRPr="00C56257">
        <w:rPr>
          <w:rFonts w:eastAsia="Calibri"/>
        </w:rPr>
        <w:t>ROS</w:t>
      </w:r>
      <w:r w:rsidR="00416B75">
        <w:rPr>
          <w:rFonts w:eastAsia="Calibri"/>
        </w:rPr>
        <w:t>AC</w:t>
      </w:r>
      <w:r w:rsidRPr="00C56257">
        <w:rPr>
          <w:rFonts w:eastAsia="Calibri"/>
        </w:rPr>
        <w:t>0229 Siriu *</w:t>
      </w:r>
    </w:p>
    <w:p w14:paraId="6CDEF709"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w:t>
      </w:r>
      <w:r w:rsidR="008F1756">
        <w:rPr>
          <w:rFonts w:eastAsia="Calibri"/>
        </w:rPr>
        <w:t>AC</w:t>
      </w:r>
      <w:r w:rsidRPr="00C56257">
        <w:rPr>
          <w:rFonts w:eastAsia="Calibri"/>
        </w:rPr>
        <w:t>0233 Someșul Rece</w:t>
      </w:r>
    </w:p>
    <w:p w14:paraId="40B7FEE5" w14:textId="77777777" w:rsidR="0007555D" w:rsidRPr="00C56257" w:rsidRDefault="0007555D" w:rsidP="008E33FD">
      <w:pPr>
        <w:spacing w:line="259" w:lineRule="auto"/>
        <w:contextualSpacing/>
        <w:jc w:val="both"/>
        <w:rPr>
          <w:rFonts w:eastAsia="Calibri"/>
        </w:rPr>
      </w:pPr>
      <w:r w:rsidRPr="00C56257">
        <w:rPr>
          <w:rFonts w:eastAsia="Calibri"/>
        </w:rPr>
        <w:t>ROSCI0236 Strei - Hațeg</w:t>
      </w:r>
    </w:p>
    <w:p w14:paraId="6DBA5CF2" w14:textId="77777777" w:rsidR="0007555D" w:rsidRPr="00C56257" w:rsidRDefault="0007555D" w:rsidP="008E33FD">
      <w:pPr>
        <w:spacing w:line="259" w:lineRule="auto"/>
        <w:contextualSpacing/>
        <w:jc w:val="both"/>
        <w:rPr>
          <w:rFonts w:eastAsia="Calibri"/>
        </w:rPr>
      </w:pPr>
      <w:r w:rsidRPr="00C56257">
        <w:rPr>
          <w:rFonts w:eastAsia="Calibri"/>
        </w:rPr>
        <w:t>ROSCI0241 Tinovul Apa Lina - Honcsok</w:t>
      </w:r>
    </w:p>
    <w:p w14:paraId="218CB43D"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0247 Tinovul Mare Poiana Stampei *</w:t>
      </w:r>
    </w:p>
    <w:p w14:paraId="2DEB599C"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0248 Tinovul Mohoș - Lacul Sf. Ana *</w:t>
      </w:r>
    </w:p>
    <w:p w14:paraId="38D97A28" w14:textId="77777777" w:rsidR="0007555D" w:rsidRPr="00C56257" w:rsidRDefault="0007555D" w:rsidP="008E33FD">
      <w:pPr>
        <w:spacing w:line="259" w:lineRule="auto"/>
        <w:contextualSpacing/>
        <w:jc w:val="both"/>
        <w:rPr>
          <w:rFonts w:eastAsia="Calibri"/>
        </w:rPr>
      </w:pPr>
      <w:r w:rsidRPr="00C56257">
        <w:rPr>
          <w:rFonts w:eastAsia="Calibri"/>
        </w:rPr>
        <w:t>ROSCI0251 Tisa Superioară</w:t>
      </w:r>
    </w:p>
    <w:p w14:paraId="0A302B20" w14:textId="77777777" w:rsidR="0007555D" w:rsidRPr="00C56257" w:rsidRDefault="0007555D" w:rsidP="008E33FD">
      <w:pPr>
        <w:spacing w:line="259" w:lineRule="auto"/>
        <w:contextualSpacing/>
        <w:jc w:val="both"/>
        <w:rPr>
          <w:rFonts w:eastAsia="Calibri"/>
        </w:rPr>
      </w:pPr>
      <w:r w:rsidRPr="00C56257">
        <w:rPr>
          <w:rFonts w:eastAsia="Calibri"/>
        </w:rPr>
        <w:t>ROSCI0258 Văile Brătiei și Brătioarei</w:t>
      </w:r>
    </w:p>
    <w:p w14:paraId="74F30EE3"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0262 Valea Iad</w:t>
      </w:r>
      <w:r w:rsidR="008F1756">
        <w:rPr>
          <w:rFonts w:eastAsia="Calibri"/>
        </w:rPr>
        <w:t>EI</w:t>
      </w:r>
    </w:p>
    <w:p w14:paraId="2B8F175F"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0263 Valea Ierii</w:t>
      </w:r>
    </w:p>
    <w:p w14:paraId="2B80698F" w14:textId="77777777" w:rsidR="0007555D" w:rsidRPr="00C56257" w:rsidRDefault="0007555D" w:rsidP="008E33FD">
      <w:pPr>
        <w:spacing w:line="259" w:lineRule="auto"/>
        <w:contextualSpacing/>
        <w:jc w:val="both"/>
        <w:rPr>
          <w:rFonts w:eastAsia="Calibri"/>
        </w:rPr>
      </w:pPr>
      <w:r w:rsidRPr="00C56257">
        <w:rPr>
          <w:rFonts w:eastAsia="Calibri"/>
        </w:rPr>
        <w:t>ROSCI0268 Valea Vâlsanului</w:t>
      </w:r>
    </w:p>
    <w:p w14:paraId="785E68D0" w14:textId="77777777" w:rsidR="0007555D" w:rsidRPr="00C56257" w:rsidRDefault="0007555D" w:rsidP="008E33FD">
      <w:pPr>
        <w:spacing w:line="259" w:lineRule="auto"/>
        <w:contextualSpacing/>
        <w:jc w:val="both"/>
        <w:rPr>
          <w:rFonts w:eastAsia="Calibri"/>
        </w:rPr>
      </w:pPr>
      <w:r w:rsidRPr="00C56257">
        <w:rPr>
          <w:rFonts w:eastAsia="Calibri"/>
        </w:rPr>
        <w:t>RO</w:t>
      </w:r>
      <w:r w:rsidR="008F1756">
        <w:rPr>
          <w:rFonts w:eastAsia="Calibri"/>
        </w:rPr>
        <w:t>SAC</w:t>
      </w:r>
      <w:r w:rsidRPr="00C56257">
        <w:rPr>
          <w:rFonts w:eastAsia="Calibri"/>
        </w:rPr>
        <w:t>0270 Vânători-Neamț *</w:t>
      </w:r>
    </w:p>
    <w:p w14:paraId="58E7F9E8" w14:textId="77777777" w:rsidR="0007555D" w:rsidRPr="00C56257" w:rsidRDefault="0007555D" w:rsidP="008E33FD">
      <w:pPr>
        <w:spacing w:line="259" w:lineRule="auto"/>
        <w:contextualSpacing/>
        <w:jc w:val="both"/>
        <w:rPr>
          <w:rFonts w:eastAsia="Calibri"/>
        </w:rPr>
      </w:pPr>
      <w:r w:rsidRPr="00C56257">
        <w:rPr>
          <w:rFonts w:eastAsia="Calibri"/>
        </w:rPr>
        <w:t>ROSCI0280 Buzăul Superior</w:t>
      </w:r>
    </w:p>
    <w:p w14:paraId="566B2D58" w14:textId="77777777" w:rsidR="0007555D" w:rsidRPr="00C56257" w:rsidRDefault="0007555D" w:rsidP="008E33FD">
      <w:pPr>
        <w:spacing w:line="259" w:lineRule="auto"/>
        <w:contextualSpacing/>
        <w:jc w:val="both"/>
        <w:rPr>
          <w:rFonts w:eastAsia="Calibri"/>
        </w:rPr>
      </w:pPr>
      <w:r w:rsidRPr="00C56257">
        <w:rPr>
          <w:rFonts w:eastAsia="Calibri"/>
        </w:rPr>
        <w:t>ROSCI0283 Cheile Doftanei *</w:t>
      </w:r>
    </w:p>
    <w:p w14:paraId="68B770AB" w14:textId="77777777" w:rsidR="0007555D" w:rsidRPr="00C56257" w:rsidRDefault="0007555D" w:rsidP="008E33FD">
      <w:pPr>
        <w:spacing w:line="259" w:lineRule="auto"/>
        <w:contextualSpacing/>
        <w:jc w:val="both"/>
        <w:rPr>
          <w:rFonts w:eastAsia="Calibri"/>
        </w:rPr>
      </w:pPr>
      <w:r w:rsidRPr="00C56257">
        <w:rPr>
          <w:rFonts w:eastAsia="Calibri"/>
        </w:rPr>
        <w:t>ROSCI0290 Coridorul Ialomiței</w:t>
      </w:r>
    </w:p>
    <w:p w14:paraId="606A38F2"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0294 Crișul Alb între Gurahonț și Ineu</w:t>
      </w:r>
    </w:p>
    <w:p w14:paraId="66177A2C" w14:textId="77777777" w:rsidR="0007555D" w:rsidRPr="00C56257" w:rsidRDefault="0007555D" w:rsidP="008E33FD">
      <w:pPr>
        <w:spacing w:line="259" w:lineRule="auto"/>
        <w:contextualSpacing/>
        <w:jc w:val="both"/>
        <w:rPr>
          <w:rFonts w:eastAsia="Calibri"/>
        </w:rPr>
      </w:pPr>
      <w:r w:rsidRPr="00C56257">
        <w:rPr>
          <w:rFonts w:eastAsia="Calibri"/>
        </w:rPr>
        <w:t>ROSCI0295 Dealurile Clujului de Est</w:t>
      </w:r>
    </w:p>
    <w:p w14:paraId="2DB6D728"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0297 Dealurile Târnavei Mici - Bicheș *</w:t>
      </w:r>
    </w:p>
    <w:p w14:paraId="5A68E5F5"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0298 Defileul Crișului Alb</w:t>
      </w:r>
    </w:p>
    <w:p w14:paraId="054ACC56" w14:textId="77777777" w:rsidR="0007555D" w:rsidRPr="00C56257" w:rsidRDefault="0007555D" w:rsidP="008E33FD">
      <w:pPr>
        <w:spacing w:line="259" w:lineRule="auto"/>
        <w:contextualSpacing/>
        <w:jc w:val="both"/>
        <w:rPr>
          <w:rFonts w:eastAsia="Calibri"/>
        </w:rPr>
      </w:pPr>
      <w:r w:rsidRPr="00C56257">
        <w:rPr>
          <w:rFonts w:eastAsia="Calibri"/>
        </w:rPr>
        <w:t>ROSCI0300 Fânațele Pietroasa - Podeni</w:t>
      </w:r>
    </w:p>
    <w:p w14:paraId="218DBB0A"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0304 Hârtibaciu Sud - Vest</w:t>
      </w:r>
    </w:p>
    <w:p w14:paraId="554D2029"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0306 Jiana</w:t>
      </w:r>
    </w:p>
    <w:p w14:paraId="0AD7A136" w14:textId="77777777" w:rsidR="0007555D" w:rsidRPr="00C56257" w:rsidRDefault="0007555D" w:rsidP="008E33FD">
      <w:pPr>
        <w:spacing w:line="259" w:lineRule="auto"/>
        <w:contextualSpacing/>
        <w:jc w:val="both"/>
        <w:rPr>
          <w:rFonts w:eastAsia="Calibri"/>
        </w:rPr>
      </w:pPr>
      <w:r w:rsidRPr="00C56257">
        <w:rPr>
          <w:rFonts w:eastAsia="Calibri"/>
        </w:rPr>
        <w:t>ROSCI0316 Lunca Râului Doamnei</w:t>
      </w:r>
    </w:p>
    <w:p w14:paraId="0D503FB4"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0318 Măgura Târgu Ocna</w:t>
      </w:r>
    </w:p>
    <w:p w14:paraId="5AA8A0E0"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0321 Moldova Superioară</w:t>
      </w:r>
    </w:p>
    <w:p w14:paraId="12308BF7"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0322 Muntele Șes</w:t>
      </w:r>
    </w:p>
    <w:p w14:paraId="6B764D5B" w14:textId="77777777" w:rsidR="0007555D" w:rsidRPr="00C56257" w:rsidRDefault="0007555D" w:rsidP="008E33FD">
      <w:pPr>
        <w:spacing w:line="259" w:lineRule="auto"/>
        <w:contextualSpacing/>
        <w:jc w:val="both"/>
        <w:rPr>
          <w:rFonts w:eastAsia="Calibri"/>
        </w:rPr>
      </w:pPr>
      <w:r w:rsidRPr="00C56257">
        <w:rPr>
          <w:rFonts w:eastAsia="Calibri"/>
        </w:rPr>
        <w:t>ROSCI0323 Munții Ciucului</w:t>
      </w:r>
    </w:p>
    <w:p w14:paraId="348298F7" w14:textId="77777777" w:rsidR="0007555D" w:rsidRPr="00C56257" w:rsidRDefault="0007555D" w:rsidP="008E33FD">
      <w:pPr>
        <w:spacing w:line="259" w:lineRule="auto"/>
        <w:contextualSpacing/>
        <w:jc w:val="both"/>
        <w:rPr>
          <w:rFonts w:eastAsia="Calibri"/>
        </w:rPr>
      </w:pPr>
      <w:r w:rsidRPr="00C56257">
        <w:rPr>
          <w:rFonts w:eastAsia="Calibri"/>
        </w:rPr>
        <w:t>ROSCI0325 Munții Metaliferi</w:t>
      </w:r>
    </w:p>
    <w:p w14:paraId="11330DC8"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0326 Muscelele Argeșului</w:t>
      </w:r>
    </w:p>
    <w:p w14:paraId="6EA46129" w14:textId="77777777" w:rsidR="0007555D" w:rsidRPr="00C56257" w:rsidRDefault="0007555D" w:rsidP="008E33FD">
      <w:pPr>
        <w:spacing w:line="259" w:lineRule="auto"/>
        <w:contextualSpacing/>
        <w:jc w:val="both"/>
        <w:rPr>
          <w:rFonts w:eastAsia="Calibri"/>
        </w:rPr>
      </w:pPr>
      <w:r w:rsidRPr="00C56257">
        <w:rPr>
          <w:rFonts w:eastAsia="Calibri"/>
        </w:rPr>
        <w:t>ROSCI0327 Nemira - Lapoș</w:t>
      </w:r>
    </w:p>
    <w:p w14:paraId="333041E1" w14:textId="77777777" w:rsidR="0007555D" w:rsidRPr="00C56257" w:rsidRDefault="0007555D" w:rsidP="008E33FD">
      <w:pPr>
        <w:spacing w:line="259" w:lineRule="auto"/>
        <w:contextualSpacing/>
        <w:jc w:val="both"/>
        <w:rPr>
          <w:rFonts w:eastAsia="Calibri"/>
        </w:rPr>
      </w:pPr>
      <w:r w:rsidRPr="00C56257">
        <w:rPr>
          <w:rFonts w:eastAsia="Calibri"/>
        </w:rPr>
        <w:t>ROSCI0328 Obcinele Bucovinei *</w:t>
      </w:r>
    </w:p>
    <w:p w14:paraId="5D5C2270"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0344 Pădurile din Sudul Piemontului Cândești</w:t>
      </w:r>
    </w:p>
    <w:p w14:paraId="32A20A64" w14:textId="77777777" w:rsidR="0007555D" w:rsidRPr="00C56257" w:rsidRDefault="0007555D" w:rsidP="008E33FD">
      <w:pPr>
        <w:spacing w:line="259" w:lineRule="auto"/>
        <w:contextualSpacing/>
        <w:jc w:val="both"/>
        <w:rPr>
          <w:rFonts w:eastAsia="Calibri"/>
        </w:rPr>
      </w:pPr>
      <w:r w:rsidRPr="00C56257">
        <w:rPr>
          <w:rFonts w:eastAsia="Calibri"/>
        </w:rPr>
        <w:t>ROSCI0351 Culmea Cucuieți</w:t>
      </w:r>
    </w:p>
    <w:p w14:paraId="0D7560CB"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0354 Platforma Cotmeana</w:t>
      </w:r>
    </w:p>
    <w:p w14:paraId="6B0F03A4" w14:textId="77777777" w:rsidR="0007555D" w:rsidRPr="00C56257" w:rsidRDefault="0007555D" w:rsidP="008E33FD">
      <w:pPr>
        <w:spacing w:line="259" w:lineRule="auto"/>
        <w:contextualSpacing/>
        <w:jc w:val="both"/>
        <w:rPr>
          <w:rFonts w:eastAsia="Calibri"/>
        </w:rPr>
      </w:pPr>
      <w:r w:rsidRPr="00C56257">
        <w:rPr>
          <w:rFonts w:eastAsia="Calibri"/>
        </w:rPr>
        <w:t>ROSCI0355 Podișul Lipovei - Poiana Ruscă</w:t>
      </w:r>
    </w:p>
    <w:p w14:paraId="3A0B97C0"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0359 Prigoria - Bengești</w:t>
      </w:r>
    </w:p>
    <w:p w14:paraId="69C96D40"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0362 Râul Gilort</w:t>
      </w:r>
    </w:p>
    <w:p w14:paraId="6F711B8B"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0365 Râul Moldova între Păltinoasa și Ruși *</w:t>
      </w:r>
    </w:p>
    <w:p w14:paraId="613AA7E5"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0366 Râul Motru</w:t>
      </w:r>
    </w:p>
    <w:p w14:paraId="2247D489" w14:textId="77777777" w:rsidR="0007555D" w:rsidRPr="00C56257" w:rsidRDefault="0007555D" w:rsidP="008E33FD">
      <w:pPr>
        <w:spacing w:line="259" w:lineRule="auto"/>
        <w:contextualSpacing/>
        <w:jc w:val="both"/>
        <w:rPr>
          <w:rFonts w:eastAsia="Calibri"/>
        </w:rPr>
      </w:pPr>
      <w:r w:rsidRPr="00C56257">
        <w:rPr>
          <w:rFonts w:eastAsia="Calibri"/>
        </w:rPr>
        <w:t>ROSCI0379 Râul Suceava *</w:t>
      </w:r>
    </w:p>
    <w:p w14:paraId="38B1452A" w14:textId="77777777" w:rsidR="0007555D" w:rsidRPr="00C56257" w:rsidRDefault="0007555D" w:rsidP="008E33FD">
      <w:pPr>
        <w:spacing w:line="259" w:lineRule="auto"/>
        <w:contextualSpacing/>
        <w:jc w:val="both"/>
        <w:rPr>
          <w:rFonts w:eastAsia="Calibri"/>
        </w:rPr>
      </w:pPr>
      <w:r w:rsidRPr="00C56257">
        <w:rPr>
          <w:rFonts w:eastAsia="Calibri"/>
        </w:rPr>
        <w:t>ROSCI0381 Râul Târgului - Argeșel - Râușor</w:t>
      </w:r>
    </w:p>
    <w:p w14:paraId="03B73B59"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0384 Râul Târnava Mică</w:t>
      </w:r>
    </w:p>
    <w:p w14:paraId="276C65B4" w14:textId="77777777" w:rsidR="0007555D" w:rsidRPr="00C56257" w:rsidRDefault="0007555D" w:rsidP="008E33FD">
      <w:pPr>
        <w:spacing w:line="259" w:lineRule="auto"/>
        <w:contextualSpacing/>
        <w:jc w:val="both"/>
        <w:rPr>
          <w:rFonts w:eastAsia="Calibri"/>
        </w:rPr>
      </w:pPr>
      <w:r w:rsidRPr="00C56257">
        <w:rPr>
          <w:rFonts w:eastAsia="Calibri"/>
        </w:rPr>
        <w:t>ROSCI0386 Râul Vedea</w:t>
      </w:r>
    </w:p>
    <w:p w14:paraId="04866FDA"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0395 Soveja</w:t>
      </w:r>
    </w:p>
    <w:p w14:paraId="347DC048" w14:textId="77777777" w:rsidR="0007555D" w:rsidRPr="00C56257" w:rsidRDefault="0007555D" w:rsidP="008E33FD">
      <w:pPr>
        <w:spacing w:line="259" w:lineRule="auto"/>
        <w:contextualSpacing/>
        <w:jc w:val="both"/>
        <w:rPr>
          <w:rFonts w:eastAsia="Calibri"/>
        </w:rPr>
      </w:pPr>
      <w:r w:rsidRPr="00C56257">
        <w:rPr>
          <w:rFonts w:eastAsia="Calibri"/>
        </w:rPr>
        <w:t>ROSCI0406 Zarandul de Est</w:t>
      </w:r>
    </w:p>
    <w:p w14:paraId="57466BF0" w14:textId="77777777" w:rsidR="0007555D" w:rsidRPr="00C56257" w:rsidRDefault="0007555D" w:rsidP="008E33FD">
      <w:pPr>
        <w:spacing w:line="259" w:lineRule="auto"/>
        <w:contextualSpacing/>
        <w:jc w:val="both"/>
        <w:rPr>
          <w:rFonts w:eastAsia="Calibri"/>
        </w:rPr>
      </w:pPr>
      <w:r w:rsidRPr="00C56257">
        <w:rPr>
          <w:rFonts w:eastAsia="Calibri"/>
        </w:rPr>
        <w:t>ROSCI0407 Zarandul de Vest</w:t>
      </w:r>
    </w:p>
    <w:p w14:paraId="43A7B19A" w14:textId="77777777" w:rsidR="0007555D" w:rsidRPr="00C56257" w:rsidRDefault="0007555D" w:rsidP="008E33FD">
      <w:pPr>
        <w:spacing w:line="259" w:lineRule="auto"/>
        <w:contextualSpacing/>
        <w:jc w:val="both"/>
        <w:rPr>
          <w:rFonts w:eastAsia="Calibri"/>
        </w:rPr>
      </w:pPr>
      <w:r w:rsidRPr="00C56257">
        <w:rPr>
          <w:rFonts w:eastAsia="Calibri"/>
        </w:rPr>
        <w:t>ROSCI0415 Lunca Bârsei</w:t>
      </w:r>
    </w:p>
    <w:p w14:paraId="13552B81" w14:textId="77777777" w:rsidR="0007555D" w:rsidRPr="00C56257" w:rsidRDefault="0007555D" w:rsidP="008E33FD">
      <w:pPr>
        <w:spacing w:line="259" w:lineRule="auto"/>
        <w:contextualSpacing/>
        <w:jc w:val="both"/>
        <w:rPr>
          <w:rFonts w:eastAsia="Calibri"/>
        </w:rPr>
      </w:pPr>
    </w:p>
    <w:p w14:paraId="45729D13"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91F0 - Păduri ripariene mixte cu </w:t>
      </w:r>
      <w:r w:rsidRPr="00C56257">
        <w:rPr>
          <w:rFonts w:eastAsia="Calibri"/>
          <w:b/>
          <w:i/>
          <w:iCs/>
        </w:rPr>
        <w:t>Quercus robur</w:t>
      </w:r>
      <w:r w:rsidRPr="00C56257">
        <w:rPr>
          <w:rFonts w:eastAsia="Calibri"/>
          <w:b/>
        </w:rPr>
        <w:t xml:space="preserve">, </w:t>
      </w:r>
      <w:r w:rsidRPr="00C56257">
        <w:rPr>
          <w:rFonts w:eastAsia="Calibri"/>
          <w:b/>
          <w:i/>
          <w:iCs/>
        </w:rPr>
        <w:t>Ulmus laevis</w:t>
      </w:r>
      <w:r w:rsidRPr="00C56257">
        <w:rPr>
          <w:rFonts w:eastAsia="Calibri"/>
          <w:b/>
        </w:rPr>
        <w:t xml:space="preserve">, </w:t>
      </w:r>
      <w:r w:rsidRPr="00C56257">
        <w:rPr>
          <w:rFonts w:eastAsia="Calibri"/>
          <w:b/>
          <w:i/>
          <w:iCs/>
        </w:rPr>
        <w:t>Fraxinus excelsior</w:t>
      </w:r>
      <w:r w:rsidRPr="00C56257">
        <w:rPr>
          <w:rFonts w:eastAsia="Calibri"/>
          <w:b/>
        </w:rPr>
        <w:t xml:space="preserve"> sau </w:t>
      </w:r>
      <w:r w:rsidRPr="00C56257">
        <w:rPr>
          <w:rFonts w:eastAsia="Calibri"/>
          <w:b/>
          <w:i/>
          <w:iCs/>
        </w:rPr>
        <w:t>Fraxinus angustifolia</w:t>
      </w:r>
      <w:r w:rsidRPr="00C56257">
        <w:rPr>
          <w:rFonts w:eastAsia="Calibri"/>
          <w:b/>
        </w:rPr>
        <w:t>, din lungul marilor râuri (</w:t>
      </w:r>
      <w:r w:rsidRPr="00C56257">
        <w:rPr>
          <w:rFonts w:eastAsia="Calibri"/>
          <w:b/>
          <w:i/>
          <w:iCs/>
        </w:rPr>
        <w:t>Ulmenion minoris</w:t>
      </w:r>
      <w:r w:rsidRPr="00C56257">
        <w:rPr>
          <w:rFonts w:eastAsia="Calibri"/>
          <w:b/>
        </w:rPr>
        <w:t>)</w:t>
      </w:r>
    </w:p>
    <w:p w14:paraId="5900B7FE" w14:textId="77777777" w:rsidR="0007555D" w:rsidRPr="00C56257" w:rsidRDefault="0007555D" w:rsidP="008E33FD">
      <w:pPr>
        <w:spacing w:line="259" w:lineRule="auto"/>
        <w:contextualSpacing/>
        <w:jc w:val="both"/>
        <w:rPr>
          <w:rFonts w:eastAsia="Calibri"/>
        </w:rPr>
      </w:pPr>
    </w:p>
    <w:p w14:paraId="0B9F802A" w14:textId="77777777" w:rsidR="0007555D" w:rsidRPr="00C56257" w:rsidRDefault="0007555D" w:rsidP="008E33FD">
      <w:pPr>
        <w:spacing w:line="259" w:lineRule="auto"/>
        <w:contextualSpacing/>
        <w:jc w:val="both"/>
        <w:rPr>
          <w:rFonts w:eastAsia="Calibri"/>
        </w:rPr>
      </w:pPr>
      <w:r w:rsidRPr="00C56257">
        <w:rPr>
          <w:rFonts w:eastAsia="Calibri"/>
        </w:rPr>
        <w:t>ROSCI0006 Balta Mică a Brăilei</w:t>
      </w:r>
    </w:p>
    <w:p w14:paraId="01048C86"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0008 Betfia</w:t>
      </w:r>
    </w:p>
    <w:p w14:paraId="268FAC2D" w14:textId="77777777" w:rsidR="0007555D" w:rsidRPr="00C56257" w:rsidRDefault="0007555D" w:rsidP="008E33FD">
      <w:pPr>
        <w:spacing w:line="259" w:lineRule="auto"/>
        <w:contextualSpacing/>
        <w:jc w:val="both"/>
        <w:rPr>
          <w:rFonts w:eastAsia="Calibri"/>
        </w:rPr>
      </w:pPr>
      <w:r w:rsidRPr="00C56257">
        <w:rPr>
          <w:rFonts w:eastAsia="Calibri"/>
        </w:rPr>
        <w:t>ROSCI0020 Câmpia Careiului</w:t>
      </w:r>
    </w:p>
    <w:p w14:paraId="70CCF65D" w14:textId="77777777" w:rsidR="0007555D" w:rsidRPr="00C56257" w:rsidRDefault="0007555D" w:rsidP="008E33FD">
      <w:pPr>
        <w:spacing w:line="259" w:lineRule="auto"/>
        <w:contextualSpacing/>
        <w:jc w:val="both"/>
        <w:rPr>
          <w:rFonts w:eastAsia="Calibri"/>
        </w:rPr>
      </w:pPr>
      <w:r w:rsidRPr="00C56257">
        <w:rPr>
          <w:rFonts w:eastAsia="Calibri"/>
        </w:rPr>
        <w:t>ROSCI0021 Câmpia Ierului</w:t>
      </w:r>
    </w:p>
    <w:p w14:paraId="02144616"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0022 Canaralele Dunării</w:t>
      </w:r>
    </w:p>
    <w:p w14:paraId="5ED17243" w14:textId="77777777" w:rsidR="0007555D" w:rsidRPr="00C56257" w:rsidRDefault="0007555D" w:rsidP="008E33FD">
      <w:pPr>
        <w:spacing w:line="259" w:lineRule="auto"/>
        <w:contextualSpacing/>
        <w:jc w:val="both"/>
        <w:rPr>
          <w:rFonts w:eastAsia="Calibri"/>
        </w:rPr>
      </w:pPr>
      <w:r w:rsidRPr="00C56257">
        <w:rPr>
          <w:rFonts w:eastAsia="Calibri"/>
        </w:rPr>
        <w:t>ROSCI0025 Cefa</w:t>
      </w:r>
    </w:p>
    <w:p w14:paraId="24195DFE"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0039 Ciuperceni - Desa</w:t>
      </w:r>
    </w:p>
    <w:p w14:paraId="7C37A818" w14:textId="77777777" w:rsidR="0007555D" w:rsidRPr="00C56257" w:rsidRDefault="0007555D" w:rsidP="008E33FD">
      <w:pPr>
        <w:spacing w:line="259" w:lineRule="auto"/>
        <w:contextualSpacing/>
        <w:jc w:val="both"/>
        <w:rPr>
          <w:rFonts w:eastAsia="Calibri"/>
        </w:rPr>
      </w:pPr>
      <w:r w:rsidRPr="00C56257">
        <w:rPr>
          <w:rFonts w:eastAsia="Calibri"/>
        </w:rPr>
        <w:t>ROSCI0043 Comana</w:t>
      </w:r>
    </w:p>
    <w:p w14:paraId="7E38A437" w14:textId="77777777" w:rsidR="0007555D" w:rsidRPr="00C56257" w:rsidRDefault="0007555D" w:rsidP="008E33FD">
      <w:pPr>
        <w:spacing w:line="259" w:lineRule="auto"/>
        <w:contextualSpacing/>
        <w:jc w:val="both"/>
        <w:rPr>
          <w:rFonts w:eastAsia="Calibri"/>
        </w:rPr>
      </w:pPr>
      <w:r w:rsidRPr="00C56257">
        <w:rPr>
          <w:rFonts w:eastAsia="Calibri"/>
        </w:rPr>
        <w:t>ROSCI0044 Corabia - Turnu Măgurele</w:t>
      </w:r>
    </w:p>
    <w:p w14:paraId="5E00C9CA"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0045 Coridorul Jiului</w:t>
      </w:r>
    </w:p>
    <w:p w14:paraId="5F4A354E"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0048 Crișul Alb</w:t>
      </w:r>
    </w:p>
    <w:p w14:paraId="3CEBD2E5" w14:textId="77777777" w:rsidR="0007555D" w:rsidRPr="00C56257" w:rsidRDefault="0007555D" w:rsidP="008E33FD">
      <w:pPr>
        <w:spacing w:line="259" w:lineRule="auto"/>
        <w:contextualSpacing/>
        <w:jc w:val="both"/>
        <w:rPr>
          <w:rFonts w:eastAsia="Calibri"/>
        </w:rPr>
      </w:pPr>
      <w:r w:rsidRPr="00C56257">
        <w:rPr>
          <w:rFonts w:eastAsia="Calibri"/>
        </w:rPr>
        <w:t>ROS</w:t>
      </w:r>
      <w:r w:rsidR="008F1756">
        <w:rPr>
          <w:rFonts w:eastAsia="Calibri"/>
        </w:rPr>
        <w:t>AC</w:t>
      </w:r>
      <w:r w:rsidRPr="00C56257">
        <w:rPr>
          <w:rFonts w:eastAsia="Calibri"/>
        </w:rPr>
        <w:t>0049 Crișul Negru</w:t>
      </w:r>
    </w:p>
    <w:p w14:paraId="3E0661B3" w14:textId="77777777" w:rsidR="0007555D" w:rsidRPr="00C56257" w:rsidRDefault="0007555D" w:rsidP="008E33FD">
      <w:pPr>
        <w:spacing w:line="259" w:lineRule="auto"/>
        <w:contextualSpacing/>
        <w:jc w:val="both"/>
        <w:rPr>
          <w:rFonts w:eastAsia="Calibri"/>
        </w:rPr>
      </w:pPr>
      <w:r w:rsidRPr="00C56257">
        <w:rPr>
          <w:rFonts w:eastAsia="Calibri"/>
        </w:rPr>
        <w:t>ROS</w:t>
      </w:r>
      <w:r w:rsidR="00F768D2">
        <w:rPr>
          <w:rFonts w:eastAsia="Calibri"/>
        </w:rPr>
        <w:t>AC</w:t>
      </w:r>
      <w:r w:rsidRPr="00C56257">
        <w:rPr>
          <w:rFonts w:eastAsia="Calibri"/>
        </w:rPr>
        <w:t>0064 Defileul Mureșului</w:t>
      </w:r>
    </w:p>
    <w:p w14:paraId="15DEE6F2" w14:textId="77777777" w:rsidR="0007555D" w:rsidRPr="00C56257" w:rsidRDefault="0007555D" w:rsidP="008E33FD">
      <w:pPr>
        <w:spacing w:line="259" w:lineRule="auto"/>
        <w:contextualSpacing/>
        <w:jc w:val="both"/>
        <w:rPr>
          <w:rFonts w:eastAsia="Calibri"/>
        </w:rPr>
      </w:pPr>
      <w:r w:rsidRPr="00C56257">
        <w:rPr>
          <w:rFonts w:eastAsia="Calibri"/>
        </w:rPr>
        <w:t>ROSCI0065 Delta Dunării</w:t>
      </w:r>
    </w:p>
    <w:p w14:paraId="234EA05E" w14:textId="77777777" w:rsidR="0007555D" w:rsidRPr="00C56257" w:rsidRDefault="0007555D" w:rsidP="008E33FD">
      <w:pPr>
        <w:spacing w:line="259" w:lineRule="auto"/>
        <w:contextualSpacing/>
        <w:jc w:val="both"/>
        <w:rPr>
          <w:rFonts w:eastAsia="Calibri"/>
        </w:rPr>
      </w:pPr>
      <w:r w:rsidRPr="00C56257">
        <w:rPr>
          <w:rFonts w:eastAsia="Calibri"/>
        </w:rPr>
        <w:t>ROS</w:t>
      </w:r>
      <w:r w:rsidR="00F768D2">
        <w:rPr>
          <w:rFonts w:eastAsia="Calibri"/>
        </w:rPr>
        <w:t>AC</w:t>
      </w:r>
      <w:r w:rsidRPr="00C56257">
        <w:rPr>
          <w:rFonts w:eastAsia="Calibri"/>
        </w:rPr>
        <w:t>0068 Diosig</w:t>
      </w:r>
    </w:p>
    <w:p w14:paraId="1A6AF072" w14:textId="77777777" w:rsidR="0007555D" w:rsidRPr="00C56257" w:rsidRDefault="0007555D" w:rsidP="008E33FD">
      <w:pPr>
        <w:spacing w:line="259" w:lineRule="auto"/>
        <w:contextualSpacing/>
        <w:jc w:val="both"/>
        <w:rPr>
          <w:rFonts w:eastAsia="Calibri"/>
        </w:rPr>
      </w:pPr>
      <w:r w:rsidRPr="00C56257">
        <w:rPr>
          <w:rFonts w:eastAsia="Calibri"/>
        </w:rPr>
        <w:t>ROSCI0070 Drocea</w:t>
      </w:r>
    </w:p>
    <w:p w14:paraId="13970508" w14:textId="77777777" w:rsidR="0007555D" w:rsidRPr="00C56257" w:rsidRDefault="0007555D" w:rsidP="008E33FD">
      <w:pPr>
        <w:spacing w:line="259" w:lineRule="auto"/>
        <w:contextualSpacing/>
        <w:jc w:val="both"/>
        <w:rPr>
          <w:rFonts w:eastAsia="Calibri"/>
        </w:rPr>
      </w:pPr>
      <w:r w:rsidRPr="00C56257">
        <w:rPr>
          <w:rFonts w:eastAsia="Calibri"/>
        </w:rPr>
        <w:t>ROS</w:t>
      </w:r>
      <w:r w:rsidR="00F768D2">
        <w:rPr>
          <w:rFonts w:eastAsia="Calibri"/>
        </w:rPr>
        <w:t>AC</w:t>
      </w:r>
      <w:r w:rsidRPr="00C56257">
        <w:rPr>
          <w:rFonts w:eastAsia="Calibri"/>
        </w:rPr>
        <w:t>0071 Dumbrăveni - Valea Urluia - Lacul Vederoas</w:t>
      </w:r>
    </w:p>
    <w:p w14:paraId="23A8BF8D" w14:textId="77777777" w:rsidR="0007555D" w:rsidRPr="00C56257" w:rsidRDefault="0007555D" w:rsidP="008E33FD">
      <w:pPr>
        <w:spacing w:line="259" w:lineRule="auto"/>
        <w:contextualSpacing/>
        <w:jc w:val="both"/>
        <w:rPr>
          <w:rFonts w:eastAsia="Calibri"/>
        </w:rPr>
      </w:pPr>
      <w:r w:rsidRPr="00C56257">
        <w:rPr>
          <w:rFonts w:eastAsia="Calibri"/>
        </w:rPr>
        <w:t>ROSCI0076 Dealul Mare - Hârlău</w:t>
      </w:r>
    </w:p>
    <w:p w14:paraId="1BC94E2E" w14:textId="77777777" w:rsidR="0007555D" w:rsidRPr="00C56257" w:rsidRDefault="0007555D" w:rsidP="008E33FD">
      <w:pPr>
        <w:spacing w:line="259" w:lineRule="auto"/>
        <w:contextualSpacing/>
        <w:jc w:val="both"/>
        <w:rPr>
          <w:rFonts w:eastAsia="Calibri"/>
        </w:rPr>
      </w:pPr>
      <w:r w:rsidRPr="00C56257">
        <w:rPr>
          <w:rFonts w:eastAsia="Calibri"/>
        </w:rPr>
        <w:t>ROSCI0088 Gura Vedei - Șaica - Slobozia</w:t>
      </w:r>
    </w:p>
    <w:p w14:paraId="14C8F8E8" w14:textId="77777777" w:rsidR="0007555D" w:rsidRPr="00C56257" w:rsidRDefault="0007555D" w:rsidP="008E33FD">
      <w:pPr>
        <w:spacing w:line="259" w:lineRule="auto"/>
        <w:contextualSpacing/>
        <w:jc w:val="both"/>
        <w:rPr>
          <w:rFonts w:eastAsia="Calibri"/>
        </w:rPr>
      </w:pPr>
      <w:r w:rsidRPr="00C56257">
        <w:rPr>
          <w:rFonts w:eastAsia="Calibri"/>
        </w:rPr>
        <w:t>ROS</w:t>
      </w:r>
      <w:r w:rsidR="00F768D2">
        <w:rPr>
          <w:rFonts w:eastAsia="Calibri"/>
        </w:rPr>
        <w:t>AC</w:t>
      </w:r>
      <w:r w:rsidRPr="00C56257">
        <w:rPr>
          <w:rFonts w:eastAsia="Calibri"/>
        </w:rPr>
        <w:t>0099 Lacul Știucilor - Sic - Puini - Bonțida</w:t>
      </w:r>
    </w:p>
    <w:p w14:paraId="7D01869D" w14:textId="77777777" w:rsidR="0007555D" w:rsidRPr="00C56257" w:rsidRDefault="0007555D" w:rsidP="008E33FD">
      <w:pPr>
        <w:spacing w:line="259" w:lineRule="auto"/>
        <w:contextualSpacing/>
        <w:jc w:val="both"/>
        <w:rPr>
          <w:rFonts w:eastAsia="Calibri"/>
        </w:rPr>
      </w:pPr>
      <w:r w:rsidRPr="00C56257">
        <w:rPr>
          <w:rFonts w:eastAsia="Calibri"/>
        </w:rPr>
        <w:t>RO</w:t>
      </w:r>
      <w:r w:rsidR="00415E52">
        <w:rPr>
          <w:rFonts w:eastAsia="Calibri"/>
        </w:rPr>
        <w:t>SAC</w:t>
      </w:r>
      <w:r w:rsidRPr="00C56257">
        <w:rPr>
          <w:rFonts w:eastAsia="Calibri"/>
        </w:rPr>
        <w:t>0103 Lunca Buzăului *</w:t>
      </w:r>
    </w:p>
    <w:p w14:paraId="3E9626ED" w14:textId="77777777" w:rsidR="0007555D" w:rsidRPr="00C56257" w:rsidRDefault="0007555D" w:rsidP="008E33FD">
      <w:pPr>
        <w:spacing w:line="259" w:lineRule="auto"/>
        <w:contextualSpacing/>
        <w:jc w:val="both"/>
        <w:rPr>
          <w:rFonts w:eastAsia="Calibri"/>
        </w:rPr>
      </w:pPr>
      <w:r w:rsidRPr="00C56257">
        <w:rPr>
          <w:rFonts w:eastAsia="Calibri"/>
        </w:rPr>
        <w:t>ROSCI0105 Lunca Joasă a Prutului</w:t>
      </w:r>
    </w:p>
    <w:p w14:paraId="21602F89"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0106 Lunca Mijlocie a Argeșului</w:t>
      </w:r>
    </w:p>
    <w:p w14:paraId="020C61A8"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0107 Lunca Mircești</w:t>
      </w:r>
    </w:p>
    <w:p w14:paraId="300B1711"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0108 Lunca Mureșului Inferior *</w:t>
      </w:r>
    </w:p>
    <w:p w14:paraId="3480A106" w14:textId="77777777" w:rsidR="0007555D" w:rsidRPr="00C56257" w:rsidRDefault="0007555D" w:rsidP="008E33FD">
      <w:pPr>
        <w:spacing w:line="259" w:lineRule="auto"/>
        <w:contextualSpacing/>
        <w:jc w:val="both"/>
        <w:rPr>
          <w:rFonts w:eastAsia="Calibri"/>
        </w:rPr>
      </w:pPr>
      <w:r w:rsidRPr="00C56257">
        <w:rPr>
          <w:rFonts w:eastAsia="Calibri"/>
        </w:rPr>
        <w:t>ROSCI0109 Lunca Timișului</w:t>
      </w:r>
    </w:p>
    <w:p w14:paraId="45AE365A" w14:textId="77777777" w:rsidR="0007555D" w:rsidRPr="00C56257" w:rsidRDefault="0007555D" w:rsidP="008E33FD">
      <w:pPr>
        <w:spacing w:line="259" w:lineRule="auto"/>
        <w:contextualSpacing/>
        <w:jc w:val="both"/>
        <w:rPr>
          <w:rFonts w:eastAsia="Calibri"/>
        </w:rPr>
      </w:pPr>
      <w:r w:rsidRPr="00C56257">
        <w:rPr>
          <w:rFonts w:eastAsia="Calibri"/>
        </w:rPr>
        <w:t>ROSCI0131 Oltenița - Mostiștea - Chiciu</w:t>
      </w:r>
    </w:p>
    <w:p w14:paraId="4767E600"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0134 Pădurea Balta - Munteni</w:t>
      </w:r>
    </w:p>
    <w:p w14:paraId="77EF5687"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0145 Pădurea de la Alparea</w:t>
      </w:r>
    </w:p>
    <w:p w14:paraId="33D772A7" w14:textId="77777777" w:rsidR="0007555D" w:rsidRPr="00C56257" w:rsidRDefault="0007555D" w:rsidP="008E33FD">
      <w:pPr>
        <w:spacing w:line="259" w:lineRule="auto"/>
        <w:contextualSpacing/>
        <w:jc w:val="both"/>
        <w:rPr>
          <w:rFonts w:eastAsia="Calibri"/>
        </w:rPr>
      </w:pPr>
      <w:r w:rsidRPr="00C56257">
        <w:rPr>
          <w:rFonts w:eastAsia="Calibri"/>
        </w:rPr>
        <w:t>ROSCI0152 Pădurea Floreanu - Frumușica - Ciurea</w:t>
      </w:r>
    </w:p>
    <w:p w14:paraId="6B564303"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0155 Pădurea Goroniște</w:t>
      </w:r>
    </w:p>
    <w:p w14:paraId="6755BBD4"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0158 Pădurea Bălteni - Hârboanca</w:t>
      </w:r>
    </w:p>
    <w:p w14:paraId="5F13AA07"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0161 Pădurea Medeleni</w:t>
      </w:r>
    </w:p>
    <w:p w14:paraId="106EAB9B"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0162 Lunca Siretului Inferior</w:t>
      </w:r>
    </w:p>
    <w:p w14:paraId="00BA23B7" w14:textId="77777777" w:rsidR="0007555D" w:rsidRPr="00C56257" w:rsidRDefault="0007555D" w:rsidP="008E33FD">
      <w:pPr>
        <w:spacing w:line="259" w:lineRule="auto"/>
        <w:contextualSpacing/>
        <w:jc w:val="both"/>
        <w:rPr>
          <w:rFonts w:eastAsia="Calibri"/>
        </w:rPr>
      </w:pPr>
      <w:r w:rsidRPr="00C56257">
        <w:rPr>
          <w:rFonts w:eastAsia="Calibri"/>
        </w:rPr>
        <w:t>ROSCI0166 Pădurea Reșca Hotărani</w:t>
      </w:r>
    </w:p>
    <w:p w14:paraId="7FF8E51D"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0168 Pădurea Sarului</w:t>
      </w:r>
    </w:p>
    <w:p w14:paraId="0A7A8E3D" w14:textId="77777777" w:rsidR="0007555D" w:rsidRPr="00C56257" w:rsidRDefault="0007555D" w:rsidP="008E33FD">
      <w:pPr>
        <w:spacing w:line="259" w:lineRule="auto"/>
        <w:contextualSpacing/>
        <w:jc w:val="both"/>
        <w:rPr>
          <w:rFonts w:eastAsia="Calibri"/>
        </w:rPr>
      </w:pPr>
      <w:r w:rsidRPr="00C56257">
        <w:rPr>
          <w:rFonts w:eastAsia="Calibri"/>
        </w:rPr>
        <w:t>ROSCI0170 Pădurea și mlaștinile eutrofe de la Prejmer</w:t>
      </w:r>
    </w:p>
    <w:p w14:paraId="1AAF6D30"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0173 Pădurea Stârmina</w:t>
      </w:r>
    </w:p>
    <w:p w14:paraId="56FC98A9"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0178 Pădurea Torcești</w:t>
      </w:r>
    </w:p>
    <w:p w14:paraId="33797D83" w14:textId="77777777" w:rsidR="0007555D" w:rsidRPr="00C56257" w:rsidRDefault="0007555D" w:rsidP="008E33FD">
      <w:pPr>
        <w:spacing w:line="259" w:lineRule="auto"/>
        <w:contextualSpacing/>
        <w:jc w:val="both"/>
        <w:rPr>
          <w:rFonts w:eastAsia="Calibri"/>
        </w:rPr>
      </w:pPr>
      <w:r w:rsidRPr="00C56257">
        <w:rPr>
          <w:rFonts w:eastAsia="Calibri"/>
        </w:rPr>
        <w:t>ROSCI0184 Pădurea Zamostea – Lunca</w:t>
      </w:r>
    </w:p>
    <w:p w14:paraId="56D0D691"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0202 Silvostepa Olteniei</w:t>
      </w:r>
    </w:p>
    <w:p w14:paraId="24C4598F"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0205 Poienile cu narcise de la Dumbrava Vadului</w:t>
      </w:r>
    </w:p>
    <w:p w14:paraId="1BAC9779"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ROSCI0213 Râul Prut</w:t>
      </w:r>
    </w:p>
    <w:p w14:paraId="473BAC3D"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0214 Râul Tur</w:t>
      </w:r>
    </w:p>
    <w:p w14:paraId="574B6B3D"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0218 Dealul Mocrei - Rovina - Ineu</w:t>
      </w:r>
    </w:p>
    <w:p w14:paraId="035DDD27"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0224 Scroviștea</w:t>
      </w:r>
    </w:p>
    <w:p w14:paraId="42F9DA6A"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0266 Valea Oltețului</w:t>
      </w:r>
    </w:p>
    <w:p w14:paraId="063CE5A9"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0270 Vânători-Neamț</w:t>
      </w:r>
    </w:p>
    <w:p w14:paraId="69432D01"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0275 Bârsău - Șomcuta</w:t>
      </w:r>
    </w:p>
    <w:p w14:paraId="51226A6F" w14:textId="77777777" w:rsidR="0007555D" w:rsidRPr="00C56257" w:rsidRDefault="0007555D" w:rsidP="008E33FD">
      <w:pPr>
        <w:spacing w:line="259" w:lineRule="auto"/>
        <w:contextualSpacing/>
        <w:jc w:val="both"/>
        <w:rPr>
          <w:rFonts w:eastAsia="Calibri"/>
        </w:rPr>
      </w:pPr>
      <w:r w:rsidRPr="00C56257">
        <w:rPr>
          <w:rFonts w:eastAsia="Calibri"/>
        </w:rPr>
        <w:t>ROSCI0290 Coridorul Ialomiței *</w:t>
      </w:r>
    </w:p>
    <w:p w14:paraId="305A13D2" w14:textId="77777777" w:rsidR="0007555D" w:rsidRPr="00C56257" w:rsidRDefault="0007555D" w:rsidP="008E33FD">
      <w:pPr>
        <w:spacing w:line="259" w:lineRule="auto"/>
        <w:contextualSpacing/>
        <w:jc w:val="both"/>
        <w:rPr>
          <w:rFonts w:eastAsia="Calibri"/>
        </w:rPr>
      </w:pPr>
      <w:r w:rsidRPr="00C56257">
        <w:rPr>
          <w:rFonts w:eastAsia="Calibri"/>
        </w:rPr>
        <w:t>ROSCI0295 Dealurile Clujului de Est</w:t>
      </w:r>
    </w:p>
    <w:p w14:paraId="0AB71D8F" w14:textId="77777777" w:rsidR="0007555D" w:rsidRPr="00C56257" w:rsidRDefault="0007555D" w:rsidP="008E33FD">
      <w:pPr>
        <w:spacing w:line="259" w:lineRule="auto"/>
        <w:contextualSpacing/>
        <w:jc w:val="both"/>
        <w:rPr>
          <w:rFonts w:eastAsia="Calibri"/>
        </w:rPr>
      </w:pPr>
      <w:r w:rsidRPr="00C56257">
        <w:rPr>
          <w:rFonts w:eastAsia="Calibri"/>
        </w:rPr>
        <w:t>ROSCI0296 Dealurile Drăgășaniului</w:t>
      </w:r>
    </w:p>
    <w:p w14:paraId="2DF5A841"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0306 Jiana</w:t>
      </w:r>
    </w:p>
    <w:p w14:paraId="44448D05" w14:textId="77777777" w:rsidR="0007555D" w:rsidRPr="00C56257" w:rsidRDefault="0007555D" w:rsidP="008E33FD">
      <w:pPr>
        <w:spacing w:line="259" w:lineRule="auto"/>
        <w:contextualSpacing/>
        <w:jc w:val="both"/>
        <w:rPr>
          <w:rFonts w:eastAsia="Calibri"/>
        </w:rPr>
      </w:pPr>
      <w:r w:rsidRPr="00C56257">
        <w:rPr>
          <w:rFonts w:eastAsia="Calibri"/>
        </w:rPr>
        <w:t>ROSCI0308 Lacul și Pădurea Cernica</w:t>
      </w:r>
    </w:p>
    <w:p w14:paraId="14E2D6A1" w14:textId="77777777" w:rsidR="0007555D" w:rsidRPr="00C56257" w:rsidRDefault="0007555D" w:rsidP="008E33FD">
      <w:pPr>
        <w:spacing w:line="259" w:lineRule="auto"/>
        <w:contextualSpacing/>
        <w:jc w:val="both"/>
        <w:rPr>
          <w:rFonts w:eastAsia="Calibri"/>
        </w:rPr>
      </w:pPr>
      <w:r w:rsidRPr="00C56257">
        <w:rPr>
          <w:rFonts w:eastAsia="Calibri"/>
        </w:rPr>
        <w:t>ROSCI0315 Lunca Chineja</w:t>
      </w:r>
    </w:p>
    <w:p w14:paraId="5D50A1D9"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0329 Oltul Superior</w:t>
      </w:r>
    </w:p>
    <w:p w14:paraId="795DE6FB" w14:textId="77777777" w:rsidR="0007555D" w:rsidRPr="00C56257" w:rsidRDefault="0007555D" w:rsidP="008E33FD">
      <w:pPr>
        <w:spacing w:line="259" w:lineRule="auto"/>
        <w:contextualSpacing/>
        <w:jc w:val="both"/>
        <w:rPr>
          <w:rFonts w:eastAsia="Calibri"/>
        </w:rPr>
      </w:pPr>
      <w:r w:rsidRPr="00C56257">
        <w:rPr>
          <w:rFonts w:eastAsia="Calibri"/>
        </w:rPr>
        <w:t>ROSCI0336 Pădurea Dumbrava</w:t>
      </w:r>
    </w:p>
    <w:p w14:paraId="227333A1" w14:textId="77777777" w:rsidR="0007555D" w:rsidRPr="00C56257" w:rsidRDefault="0007555D" w:rsidP="008E33FD">
      <w:pPr>
        <w:spacing w:line="259" w:lineRule="auto"/>
        <w:contextualSpacing/>
        <w:jc w:val="both"/>
        <w:rPr>
          <w:rFonts w:eastAsia="Calibri"/>
        </w:rPr>
      </w:pPr>
      <w:r w:rsidRPr="00C56257">
        <w:rPr>
          <w:rFonts w:eastAsia="Calibri"/>
        </w:rPr>
        <w:t>ROSCI0341 Pădurea și Lacul Stolnici</w:t>
      </w:r>
    </w:p>
    <w:p w14:paraId="3890787D"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0350 Lunca Teuzului</w:t>
      </w:r>
    </w:p>
    <w:p w14:paraId="196B1473" w14:textId="77777777" w:rsidR="0007555D" w:rsidRPr="00C56257" w:rsidRDefault="0007555D" w:rsidP="008E33FD">
      <w:pPr>
        <w:spacing w:line="259" w:lineRule="auto"/>
        <w:contextualSpacing/>
        <w:jc w:val="both"/>
        <w:rPr>
          <w:rFonts w:eastAsia="Calibri"/>
        </w:rPr>
      </w:pPr>
      <w:r w:rsidRPr="00C56257">
        <w:rPr>
          <w:rFonts w:eastAsia="Calibri"/>
        </w:rPr>
        <w:t>ROSCI0351 Culmea Cucuieți</w:t>
      </w:r>
    </w:p>
    <w:p w14:paraId="3BFC4CBB"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0366 Râul Motru</w:t>
      </w:r>
    </w:p>
    <w:p w14:paraId="59186A50"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0370 Râul Mureș între Lipova și Păuliș</w:t>
      </w:r>
    </w:p>
    <w:p w14:paraId="18B36ABD"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0376 Râul Olt între Mărunței și Turnu Măgurele</w:t>
      </w:r>
    </w:p>
    <w:p w14:paraId="361288D0" w14:textId="77777777" w:rsidR="0007555D" w:rsidRPr="00C56257" w:rsidRDefault="0007555D" w:rsidP="008E33FD">
      <w:pPr>
        <w:spacing w:line="259" w:lineRule="auto"/>
        <w:contextualSpacing/>
        <w:jc w:val="both"/>
        <w:rPr>
          <w:rFonts w:eastAsia="Calibri"/>
        </w:rPr>
      </w:pPr>
      <w:r w:rsidRPr="00C56257">
        <w:rPr>
          <w:rFonts w:eastAsia="Calibri"/>
        </w:rPr>
        <w:t>ROSCI0382 Râul Târnava Mare între Copșa Mică și Miha</w:t>
      </w:r>
    </w:p>
    <w:p w14:paraId="0017573A" w14:textId="77777777" w:rsidR="0007555D" w:rsidRPr="00C56257" w:rsidRDefault="0007555D" w:rsidP="008E33FD">
      <w:pPr>
        <w:spacing w:line="259" w:lineRule="auto"/>
        <w:contextualSpacing/>
        <w:jc w:val="both"/>
        <w:rPr>
          <w:rFonts w:eastAsia="Calibri"/>
        </w:rPr>
      </w:pPr>
      <w:r w:rsidRPr="00C56257">
        <w:rPr>
          <w:rFonts w:eastAsia="Calibri"/>
        </w:rPr>
        <w:t>ROSCI0383 Râul Târnava Mare între Odorheiu Secuiesc</w:t>
      </w:r>
    </w:p>
    <w:p w14:paraId="1A7A005F"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0386 Râul Vedea</w:t>
      </w:r>
    </w:p>
    <w:p w14:paraId="556D0E1C" w14:textId="77777777" w:rsidR="0007555D" w:rsidRPr="00C56257" w:rsidRDefault="0007555D" w:rsidP="008E33FD">
      <w:pPr>
        <w:spacing w:line="259" w:lineRule="auto"/>
        <w:contextualSpacing/>
        <w:jc w:val="both"/>
        <w:rPr>
          <w:rFonts w:eastAsia="Calibri"/>
        </w:rPr>
      </w:pPr>
      <w:r w:rsidRPr="00C56257">
        <w:rPr>
          <w:rFonts w:eastAsia="Calibri"/>
        </w:rPr>
        <w:t>ROS</w:t>
      </w:r>
      <w:r w:rsidR="00415E52">
        <w:rPr>
          <w:rFonts w:eastAsia="Calibri"/>
        </w:rPr>
        <w:t>AC</w:t>
      </w:r>
      <w:r w:rsidRPr="00C56257">
        <w:rPr>
          <w:rFonts w:eastAsia="Calibri"/>
        </w:rPr>
        <w:t>0403 Vânju Mare</w:t>
      </w:r>
    </w:p>
    <w:p w14:paraId="53C3283F" w14:textId="77777777" w:rsidR="0007555D" w:rsidRPr="00C56257" w:rsidRDefault="0007555D" w:rsidP="008E33FD">
      <w:pPr>
        <w:spacing w:line="259" w:lineRule="auto"/>
        <w:contextualSpacing/>
        <w:jc w:val="both"/>
        <w:rPr>
          <w:rFonts w:eastAsia="Calibri"/>
        </w:rPr>
      </w:pPr>
      <w:r w:rsidRPr="00C56257">
        <w:rPr>
          <w:rFonts w:eastAsia="Calibri"/>
        </w:rPr>
        <w:t>ROSCI0421 Pădurea celor Două Veverițe</w:t>
      </w:r>
    </w:p>
    <w:p w14:paraId="00EBEBFB" w14:textId="77777777" w:rsidR="0007555D" w:rsidRPr="00C56257" w:rsidRDefault="0007555D" w:rsidP="008E33FD">
      <w:pPr>
        <w:spacing w:line="259" w:lineRule="auto"/>
        <w:contextualSpacing/>
        <w:jc w:val="both"/>
        <w:rPr>
          <w:rFonts w:eastAsia="Calibri"/>
        </w:rPr>
      </w:pPr>
      <w:r w:rsidRPr="00C56257">
        <w:rPr>
          <w:rFonts w:eastAsia="Calibri"/>
        </w:rPr>
        <w:t>ROSCI0426 Pădurea Ștorobăneasa</w:t>
      </w:r>
    </w:p>
    <w:p w14:paraId="75C8AFA8" w14:textId="77777777" w:rsidR="0007555D" w:rsidRPr="00C56257" w:rsidRDefault="0007555D" w:rsidP="00415E52">
      <w:pPr>
        <w:tabs>
          <w:tab w:val="center" w:pos="5092"/>
        </w:tabs>
        <w:spacing w:line="259" w:lineRule="auto"/>
        <w:contextualSpacing/>
        <w:jc w:val="both"/>
        <w:rPr>
          <w:rFonts w:eastAsia="Calibri"/>
        </w:rPr>
      </w:pPr>
      <w:r w:rsidRPr="00C56257">
        <w:rPr>
          <w:rFonts w:eastAsia="Calibri"/>
        </w:rPr>
        <w:t>ROSCI0435 Someșul între Rona și Țicău</w:t>
      </w:r>
      <w:r w:rsidR="00415E52">
        <w:rPr>
          <w:rFonts w:eastAsia="Calibri"/>
        </w:rPr>
        <w:tab/>
      </w:r>
    </w:p>
    <w:p w14:paraId="2F07B812" w14:textId="77777777" w:rsidR="0007555D" w:rsidRPr="00C56257" w:rsidRDefault="0007555D" w:rsidP="008E33FD">
      <w:pPr>
        <w:spacing w:line="259" w:lineRule="auto"/>
        <w:contextualSpacing/>
        <w:jc w:val="both"/>
        <w:rPr>
          <w:rFonts w:eastAsia="Calibri"/>
        </w:rPr>
      </w:pPr>
      <w:r w:rsidRPr="00C56257">
        <w:rPr>
          <w:rFonts w:eastAsia="Calibri"/>
        </w:rPr>
        <w:t>ROSCI0436 Someșul Inferior</w:t>
      </w:r>
    </w:p>
    <w:p w14:paraId="562D491A" w14:textId="77777777" w:rsidR="0007555D" w:rsidRPr="00C56257" w:rsidRDefault="0007555D" w:rsidP="008E33FD">
      <w:pPr>
        <w:spacing w:line="259" w:lineRule="auto"/>
        <w:contextualSpacing/>
        <w:jc w:val="both"/>
        <w:rPr>
          <w:rFonts w:eastAsia="Calibri"/>
        </w:rPr>
      </w:pPr>
    </w:p>
    <w:p w14:paraId="225A5DFD"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91H0 </w:t>
      </w:r>
      <w:r w:rsidRPr="00C56257">
        <w:rPr>
          <w:rFonts w:eastAsia="Calibri"/>
          <w:bCs/>
        </w:rPr>
        <w:t>*</w:t>
      </w:r>
      <w:r w:rsidRPr="00C56257">
        <w:rPr>
          <w:rFonts w:eastAsia="Calibri"/>
          <w:b/>
        </w:rPr>
        <w:t xml:space="preserve"> - Vegetație forestieră panonică cu </w:t>
      </w:r>
      <w:r w:rsidRPr="00C56257">
        <w:rPr>
          <w:rFonts w:eastAsia="Calibri"/>
          <w:b/>
          <w:i/>
          <w:iCs/>
        </w:rPr>
        <w:t>Quercus pubescens</w:t>
      </w:r>
      <w:r w:rsidRPr="00C56257">
        <w:rPr>
          <w:rFonts w:eastAsia="Calibri"/>
          <w:b/>
        </w:rPr>
        <w:t xml:space="preserve"> </w:t>
      </w:r>
    </w:p>
    <w:p w14:paraId="7FD469D4" w14:textId="77777777" w:rsidR="0007555D" w:rsidRPr="00C56257" w:rsidRDefault="0007555D" w:rsidP="008E33FD">
      <w:pPr>
        <w:spacing w:line="259" w:lineRule="auto"/>
        <w:contextualSpacing/>
        <w:jc w:val="both"/>
        <w:rPr>
          <w:rFonts w:eastAsia="Calibri"/>
        </w:rPr>
      </w:pPr>
    </w:p>
    <w:p w14:paraId="12ECEFB1" w14:textId="77777777" w:rsidR="0007555D" w:rsidRPr="00C56257" w:rsidRDefault="0007555D" w:rsidP="008E33FD">
      <w:pPr>
        <w:spacing w:line="259" w:lineRule="auto"/>
        <w:contextualSpacing/>
        <w:jc w:val="both"/>
        <w:rPr>
          <w:rFonts w:eastAsia="Calibri"/>
        </w:rPr>
      </w:pPr>
      <w:r w:rsidRPr="00C56257">
        <w:rPr>
          <w:rFonts w:eastAsia="Calibri"/>
        </w:rPr>
        <w:t>ROS</w:t>
      </w:r>
      <w:r w:rsidR="00835847">
        <w:rPr>
          <w:rFonts w:eastAsia="Calibri"/>
        </w:rPr>
        <w:t>AC</w:t>
      </w:r>
      <w:r w:rsidRPr="00C56257">
        <w:rPr>
          <w:rFonts w:eastAsia="Calibri"/>
        </w:rPr>
        <w:t>0062 Defileul Crișului Repede - Pădurea Craiului</w:t>
      </w:r>
    </w:p>
    <w:p w14:paraId="26B40E94" w14:textId="77777777" w:rsidR="0007555D" w:rsidRPr="00C56257" w:rsidRDefault="0007555D" w:rsidP="008E33FD">
      <w:pPr>
        <w:spacing w:line="259" w:lineRule="auto"/>
        <w:contextualSpacing/>
        <w:jc w:val="both"/>
        <w:rPr>
          <w:rFonts w:eastAsia="Calibri"/>
        </w:rPr>
      </w:pPr>
      <w:r w:rsidRPr="00C56257">
        <w:rPr>
          <w:rFonts w:eastAsia="Calibri"/>
        </w:rPr>
        <w:t>ROS</w:t>
      </w:r>
      <w:r w:rsidR="00835847">
        <w:rPr>
          <w:rFonts w:eastAsia="Calibri"/>
        </w:rPr>
        <w:t>AC</w:t>
      </w:r>
      <w:r w:rsidRPr="00C56257">
        <w:rPr>
          <w:rFonts w:eastAsia="Calibri"/>
        </w:rPr>
        <w:t>0069 Domogled - Valea Cernei</w:t>
      </w:r>
    </w:p>
    <w:p w14:paraId="649FFCDC" w14:textId="77777777" w:rsidR="0007555D" w:rsidRPr="00C56257" w:rsidRDefault="0007555D" w:rsidP="008E33FD">
      <w:pPr>
        <w:spacing w:line="259" w:lineRule="auto"/>
        <w:contextualSpacing/>
        <w:jc w:val="both"/>
        <w:rPr>
          <w:rFonts w:eastAsia="Calibri"/>
        </w:rPr>
      </w:pPr>
      <w:r w:rsidRPr="00C56257">
        <w:rPr>
          <w:rFonts w:eastAsia="Calibri"/>
        </w:rPr>
        <w:t>ROSCI0074 Făgetul Clujului - Valea Morii</w:t>
      </w:r>
    </w:p>
    <w:p w14:paraId="68B46D7E" w14:textId="77777777" w:rsidR="0007555D" w:rsidRPr="00C56257" w:rsidRDefault="0007555D" w:rsidP="008E33FD">
      <w:pPr>
        <w:spacing w:line="259" w:lineRule="auto"/>
        <w:contextualSpacing/>
        <w:jc w:val="both"/>
        <w:rPr>
          <w:rFonts w:eastAsia="Calibri"/>
        </w:rPr>
      </w:pPr>
      <w:r w:rsidRPr="00C56257">
        <w:rPr>
          <w:rFonts w:eastAsia="Calibri"/>
        </w:rPr>
        <w:t>ROS</w:t>
      </w:r>
      <w:r w:rsidR="00835847">
        <w:rPr>
          <w:rFonts w:eastAsia="Calibri"/>
        </w:rPr>
        <w:t>AC</w:t>
      </w:r>
      <w:r w:rsidRPr="00C56257">
        <w:rPr>
          <w:rFonts w:eastAsia="Calibri"/>
        </w:rPr>
        <w:t>0099 Lacul Știucilor - Sic - Puini - Bonțida</w:t>
      </w:r>
    </w:p>
    <w:p w14:paraId="6CD9785A" w14:textId="77777777" w:rsidR="0007555D" w:rsidRPr="00C56257" w:rsidRDefault="0007555D" w:rsidP="008E33FD">
      <w:pPr>
        <w:spacing w:line="259" w:lineRule="auto"/>
        <w:contextualSpacing/>
        <w:jc w:val="both"/>
        <w:rPr>
          <w:rFonts w:eastAsia="Calibri"/>
        </w:rPr>
      </w:pPr>
      <w:r w:rsidRPr="00C56257">
        <w:rPr>
          <w:rFonts w:eastAsia="Calibri"/>
        </w:rPr>
        <w:t>ROSCI0146 Pădurea de stejar pufos de la Hoia *</w:t>
      </w:r>
    </w:p>
    <w:p w14:paraId="6DEAFF04" w14:textId="77777777" w:rsidR="0007555D" w:rsidRPr="00C56257" w:rsidRDefault="0007555D" w:rsidP="008E33FD">
      <w:pPr>
        <w:spacing w:line="259" w:lineRule="auto"/>
        <w:contextualSpacing/>
        <w:jc w:val="both"/>
        <w:rPr>
          <w:rFonts w:eastAsia="Calibri"/>
        </w:rPr>
      </w:pPr>
      <w:r w:rsidRPr="00C56257">
        <w:rPr>
          <w:rFonts w:eastAsia="Calibri"/>
        </w:rPr>
        <w:t>ROS</w:t>
      </w:r>
      <w:r w:rsidR="00835847">
        <w:rPr>
          <w:rFonts w:eastAsia="Calibri"/>
        </w:rPr>
        <w:t>AC</w:t>
      </w:r>
      <w:r w:rsidRPr="00C56257">
        <w:rPr>
          <w:rFonts w:eastAsia="Calibri"/>
        </w:rPr>
        <w:t>0147 Pădurea de stejar pufos de la Mirăslău *</w:t>
      </w:r>
    </w:p>
    <w:p w14:paraId="6B463310" w14:textId="77777777" w:rsidR="0007555D" w:rsidRPr="00C56257" w:rsidRDefault="0007555D" w:rsidP="008E33FD">
      <w:pPr>
        <w:spacing w:line="259" w:lineRule="auto"/>
        <w:contextualSpacing/>
        <w:jc w:val="both"/>
        <w:rPr>
          <w:rFonts w:eastAsia="Calibri"/>
        </w:rPr>
      </w:pPr>
      <w:r w:rsidRPr="00C56257">
        <w:rPr>
          <w:rFonts w:eastAsia="Calibri"/>
        </w:rPr>
        <w:t>ROS</w:t>
      </w:r>
      <w:r w:rsidR="00835847">
        <w:rPr>
          <w:rFonts w:eastAsia="Calibri"/>
        </w:rPr>
        <w:t>AC</w:t>
      </w:r>
      <w:r w:rsidRPr="00C56257">
        <w:rPr>
          <w:rFonts w:eastAsia="Calibri"/>
        </w:rPr>
        <w:t>0148 Pădurea de stejar pufos de la Petiș *</w:t>
      </w:r>
    </w:p>
    <w:p w14:paraId="7F21DB54" w14:textId="77777777" w:rsidR="0007555D" w:rsidRPr="00C56257" w:rsidRDefault="0007555D" w:rsidP="008E33FD">
      <w:pPr>
        <w:spacing w:line="259" w:lineRule="auto"/>
        <w:contextualSpacing/>
        <w:jc w:val="both"/>
        <w:rPr>
          <w:rFonts w:eastAsia="Calibri"/>
        </w:rPr>
      </w:pPr>
      <w:r w:rsidRPr="00C56257">
        <w:rPr>
          <w:rFonts w:eastAsia="Calibri"/>
        </w:rPr>
        <w:t>ROS</w:t>
      </w:r>
      <w:r w:rsidR="00835847">
        <w:rPr>
          <w:rFonts w:eastAsia="Calibri"/>
        </w:rPr>
        <w:t>AC</w:t>
      </w:r>
      <w:r w:rsidRPr="00C56257">
        <w:rPr>
          <w:rFonts w:eastAsia="Calibri"/>
        </w:rPr>
        <w:t>0186 Pădurile de Stejar Pufos de pe Târnava Mare *</w:t>
      </w:r>
    </w:p>
    <w:p w14:paraId="50E822B8" w14:textId="77777777" w:rsidR="0007555D" w:rsidRPr="00C56257" w:rsidRDefault="0007555D" w:rsidP="008E33FD">
      <w:pPr>
        <w:spacing w:line="259" w:lineRule="auto"/>
        <w:contextualSpacing/>
        <w:jc w:val="both"/>
        <w:rPr>
          <w:rFonts w:eastAsia="Calibri"/>
        </w:rPr>
      </w:pPr>
      <w:r w:rsidRPr="00C56257">
        <w:rPr>
          <w:rFonts w:eastAsia="Calibri"/>
        </w:rPr>
        <w:t>ROS</w:t>
      </w:r>
      <w:r w:rsidR="00835847">
        <w:rPr>
          <w:rFonts w:eastAsia="Calibri"/>
        </w:rPr>
        <w:t>AC</w:t>
      </w:r>
      <w:r w:rsidRPr="00C56257">
        <w:rPr>
          <w:rFonts w:eastAsia="Calibri"/>
        </w:rPr>
        <w:t>0227 Sighișoara - Târnava Mare *</w:t>
      </w:r>
    </w:p>
    <w:p w14:paraId="7488DAC3" w14:textId="77777777" w:rsidR="0007555D" w:rsidRPr="00C56257" w:rsidRDefault="0007555D" w:rsidP="008E33FD">
      <w:pPr>
        <w:spacing w:line="259" w:lineRule="auto"/>
        <w:contextualSpacing/>
        <w:jc w:val="both"/>
        <w:rPr>
          <w:rFonts w:eastAsia="Calibri"/>
        </w:rPr>
      </w:pPr>
      <w:r w:rsidRPr="00C56257">
        <w:rPr>
          <w:rFonts w:eastAsia="Calibri"/>
        </w:rPr>
        <w:t>ROS</w:t>
      </w:r>
      <w:r w:rsidR="00835847">
        <w:rPr>
          <w:rFonts w:eastAsia="Calibri"/>
        </w:rPr>
        <w:t>AC</w:t>
      </w:r>
      <w:r w:rsidRPr="00C56257">
        <w:rPr>
          <w:rFonts w:eastAsia="Calibri"/>
        </w:rPr>
        <w:t>0253 Trascău</w:t>
      </w:r>
    </w:p>
    <w:p w14:paraId="413D5696" w14:textId="77777777" w:rsidR="0007555D" w:rsidRPr="00C56257" w:rsidRDefault="0007555D" w:rsidP="008E33FD">
      <w:pPr>
        <w:spacing w:line="259" w:lineRule="auto"/>
        <w:contextualSpacing/>
        <w:jc w:val="both"/>
        <w:rPr>
          <w:rFonts w:eastAsia="Calibri"/>
        </w:rPr>
      </w:pPr>
    </w:p>
    <w:p w14:paraId="692F9A1F"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91I0 </w:t>
      </w:r>
      <w:r w:rsidRPr="00C56257">
        <w:rPr>
          <w:rFonts w:eastAsia="Calibri"/>
          <w:bCs/>
        </w:rPr>
        <w:t>*</w:t>
      </w:r>
      <w:r w:rsidRPr="00C56257">
        <w:rPr>
          <w:rFonts w:eastAsia="Calibri"/>
          <w:b/>
        </w:rPr>
        <w:t xml:space="preserve"> - Vegetație de silvostepă eurosiberiană cu </w:t>
      </w:r>
      <w:r w:rsidRPr="00C56257">
        <w:rPr>
          <w:rFonts w:eastAsia="Calibri"/>
          <w:b/>
          <w:i/>
          <w:iCs/>
        </w:rPr>
        <w:t>Quercus spp</w:t>
      </w:r>
      <w:r w:rsidRPr="00C56257">
        <w:rPr>
          <w:rFonts w:eastAsia="Calibri"/>
          <w:b/>
        </w:rPr>
        <w:t>.</w:t>
      </w:r>
    </w:p>
    <w:p w14:paraId="62388B19" w14:textId="77777777" w:rsidR="0007555D" w:rsidRPr="00C56257" w:rsidRDefault="0007555D" w:rsidP="008E33FD">
      <w:pPr>
        <w:spacing w:line="259" w:lineRule="auto"/>
        <w:contextualSpacing/>
        <w:jc w:val="both"/>
        <w:rPr>
          <w:rFonts w:eastAsia="Calibri"/>
        </w:rPr>
      </w:pPr>
    </w:p>
    <w:p w14:paraId="2E3D373E" w14:textId="77777777" w:rsidR="0007555D" w:rsidRPr="00C56257" w:rsidRDefault="0007555D" w:rsidP="008E33FD">
      <w:pPr>
        <w:spacing w:line="259" w:lineRule="auto"/>
        <w:contextualSpacing/>
        <w:jc w:val="both"/>
        <w:rPr>
          <w:rFonts w:eastAsia="Calibri"/>
        </w:rPr>
      </w:pPr>
      <w:r w:rsidRPr="00C56257">
        <w:rPr>
          <w:rFonts w:eastAsia="Calibri"/>
        </w:rPr>
        <w:t>ROSCI0005 Balta Albă - Amara - Jirlău - Lacul Sărat Câin</w:t>
      </w:r>
    </w:p>
    <w:p w14:paraId="7D7D1458"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w:t>
      </w:r>
      <w:r w:rsidR="00CC10DA">
        <w:rPr>
          <w:rFonts w:eastAsia="Calibri"/>
        </w:rPr>
        <w:t>AC</w:t>
      </w:r>
      <w:r w:rsidRPr="00C56257">
        <w:rPr>
          <w:rFonts w:eastAsia="Calibri"/>
        </w:rPr>
        <w:t>0011 Braniștea Catârilor</w:t>
      </w:r>
    </w:p>
    <w:p w14:paraId="42827778" w14:textId="77777777" w:rsidR="0007555D" w:rsidRPr="00C56257" w:rsidRDefault="0007555D" w:rsidP="008E33FD">
      <w:pPr>
        <w:spacing w:line="259" w:lineRule="auto"/>
        <w:contextualSpacing/>
        <w:jc w:val="both"/>
        <w:rPr>
          <w:rFonts w:eastAsia="Calibri"/>
        </w:rPr>
      </w:pPr>
      <w:r w:rsidRPr="00C56257">
        <w:rPr>
          <w:rFonts w:eastAsia="Calibri"/>
        </w:rPr>
        <w:t>ROSCI0020 Câmpia Careiului</w:t>
      </w:r>
    </w:p>
    <w:p w14:paraId="222E080B" w14:textId="77777777" w:rsidR="0007555D" w:rsidRPr="00C56257" w:rsidRDefault="0007555D" w:rsidP="008E33FD">
      <w:pPr>
        <w:spacing w:line="259" w:lineRule="auto"/>
        <w:contextualSpacing/>
        <w:jc w:val="both"/>
        <w:rPr>
          <w:rFonts w:eastAsia="Calibri"/>
        </w:rPr>
      </w:pPr>
      <w:r w:rsidRPr="00C56257">
        <w:rPr>
          <w:rFonts w:eastAsia="Calibri"/>
        </w:rPr>
        <w:t>ROSCI0021 Câmpia Ierului</w:t>
      </w:r>
    </w:p>
    <w:p w14:paraId="5AF7527B" w14:textId="77777777" w:rsidR="0007555D" w:rsidRPr="00C56257" w:rsidRDefault="0007555D" w:rsidP="008E33FD">
      <w:pPr>
        <w:spacing w:line="259" w:lineRule="auto"/>
        <w:contextualSpacing/>
        <w:jc w:val="both"/>
        <w:rPr>
          <w:rFonts w:eastAsia="Calibri"/>
        </w:rPr>
      </w:pPr>
      <w:r w:rsidRPr="00C56257">
        <w:rPr>
          <w:rFonts w:eastAsia="Calibri"/>
        </w:rPr>
        <w:t>ROS</w:t>
      </w:r>
      <w:r w:rsidR="00CC10DA">
        <w:rPr>
          <w:rFonts w:eastAsia="Calibri"/>
        </w:rPr>
        <w:t>AC</w:t>
      </w:r>
      <w:r w:rsidRPr="00C56257">
        <w:rPr>
          <w:rFonts w:eastAsia="Calibri"/>
        </w:rPr>
        <w:t>0022 Canaralele Dunării</w:t>
      </w:r>
    </w:p>
    <w:p w14:paraId="5D241345" w14:textId="77777777" w:rsidR="0007555D" w:rsidRPr="00C56257" w:rsidRDefault="0007555D" w:rsidP="008E33FD">
      <w:pPr>
        <w:spacing w:line="259" w:lineRule="auto"/>
        <w:contextualSpacing/>
        <w:jc w:val="both"/>
        <w:rPr>
          <w:rFonts w:eastAsia="Calibri"/>
        </w:rPr>
      </w:pPr>
      <w:r w:rsidRPr="00C56257">
        <w:rPr>
          <w:rFonts w:eastAsia="Calibri"/>
        </w:rPr>
        <w:t>ROSCI0025 Cefa</w:t>
      </w:r>
    </w:p>
    <w:p w14:paraId="4C042F0F" w14:textId="77777777" w:rsidR="0007555D" w:rsidRPr="00C56257" w:rsidRDefault="0007555D" w:rsidP="008E33FD">
      <w:pPr>
        <w:spacing w:line="259" w:lineRule="auto"/>
        <w:contextualSpacing/>
        <w:jc w:val="both"/>
        <w:rPr>
          <w:rFonts w:eastAsia="Calibri"/>
        </w:rPr>
      </w:pPr>
      <w:r w:rsidRPr="00C56257">
        <w:rPr>
          <w:rFonts w:eastAsia="Calibri"/>
        </w:rPr>
        <w:t>ROS</w:t>
      </w:r>
      <w:r w:rsidR="00CC10DA">
        <w:rPr>
          <w:rFonts w:eastAsia="Calibri"/>
        </w:rPr>
        <w:t>AC</w:t>
      </w:r>
      <w:r w:rsidRPr="00C56257">
        <w:rPr>
          <w:rFonts w:eastAsia="Calibri"/>
        </w:rPr>
        <w:t>0034 Cheile Turenilor</w:t>
      </w:r>
    </w:p>
    <w:p w14:paraId="578E28FE" w14:textId="77777777" w:rsidR="0007555D" w:rsidRPr="00C56257" w:rsidRDefault="0007555D" w:rsidP="008E33FD">
      <w:pPr>
        <w:spacing w:line="259" w:lineRule="auto"/>
        <w:contextualSpacing/>
        <w:jc w:val="both"/>
        <w:rPr>
          <w:rFonts w:eastAsia="Calibri"/>
        </w:rPr>
      </w:pPr>
      <w:r w:rsidRPr="00C56257">
        <w:rPr>
          <w:rFonts w:eastAsia="Calibri"/>
        </w:rPr>
        <w:t>ROS</w:t>
      </w:r>
      <w:r w:rsidR="00CC10DA">
        <w:rPr>
          <w:rFonts w:eastAsia="Calibri"/>
        </w:rPr>
        <w:t>AC</w:t>
      </w:r>
      <w:r w:rsidRPr="00C56257">
        <w:rPr>
          <w:rFonts w:eastAsia="Calibri"/>
        </w:rPr>
        <w:t>0039 Ciuperceni - Desa</w:t>
      </w:r>
    </w:p>
    <w:p w14:paraId="03C76A40" w14:textId="77777777" w:rsidR="0007555D" w:rsidRPr="00C56257" w:rsidRDefault="0007555D" w:rsidP="008E33FD">
      <w:pPr>
        <w:spacing w:line="259" w:lineRule="auto"/>
        <w:contextualSpacing/>
        <w:jc w:val="both"/>
        <w:rPr>
          <w:rFonts w:eastAsia="Calibri"/>
        </w:rPr>
      </w:pPr>
      <w:r w:rsidRPr="00C56257">
        <w:rPr>
          <w:rFonts w:eastAsia="Calibri"/>
        </w:rPr>
        <w:t>ROSCI0043 Comana</w:t>
      </w:r>
    </w:p>
    <w:p w14:paraId="1443C1CA" w14:textId="77777777" w:rsidR="0007555D" w:rsidRPr="00C56257" w:rsidRDefault="0007555D" w:rsidP="008E33FD">
      <w:pPr>
        <w:spacing w:line="259" w:lineRule="auto"/>
        <w:contextualSpacing/>
        <w:jc w:val="both"/>
        <w:rPr>
          <w:rFonts w:eastAsia="Calibri"/>
        </w:rPr>
      </w:pPr>
      <w:r w:rsidRPr="00C56257">
        <w:rPr>
          <w:rFonts w:eastAsia="Calibri"/>
        </w:rPr>
        <w:t>ROS</w:t>
      </w:r>
      <w:r w:rsidR="00CC10DA">
        <w:rPr>
          <w:rFonts w:eastAsia="Calibri"/>
        </w:rPr>
        <w:t>AC</w:t>
      </w:r>
      <w:r w:rsidRPr="00C56257">
        <w:rPr>
          <w:rFonts w:eastAsia="Calibri"/>
        </w:rPr>
        <w:t>0045 Coridorul Jiului</w:t>
      </w:r>
    </w:p>
    <w:p w14:paraId="066E2021" w14:textId="77777777" w:rsidR="0007555D" w:rsidRPr="00C56257" w:rsidRDefault="0007555D" w:rsidP="008E33FD">
      <w:pPr>
        <w:spacing w:line="259" w:lineRule="auto"/>
        <w:contextualSpacing/>
        <w:jc w:val="both"/>
        <w:rPr>
          <w:rFonts w:eastAsia="Calibri"/>
        </w:rPr>
      </w:pPr>
      <w:r w:rsidRPr="00C56257">
        <w:rPr>
          <w:rFonts w:eastAsia="Calibri"/>
        </w:rPr>
        <w:t>ROSCI0055 Dealul Cetății Lempeș - Mlaștina Hărman</w:t>
      </w:r>
    </w:p>
    <w:p w14:paraId="49D338E0"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0059 Dealul Perchiu</w:t>
      </w:r>
    </w:p>
    <w:p w14:paraId="4739CDA1" w14:textId="77777777" w:rsidR="0007555D" w:rsidRPr="00C56257" w:rsidRDefault="0007555D" w:rsidP="008E33FD">
      <w:pPr>
        <w:spacing w:line="259" w:lineRule="auto"/>
        <w:contextualSpacing/>
        <w:jc w:val="both"/>
        <w:rPr>
          <w:rFonts w:eastAsia="Calibri"/>
        </w:rPr>
      </w:pPr>
      <w:r w:rsidRPr="00C56257">
        <w:rPr>
          <w:rFonts w:eastAsia="Calibri"/>
        </w:rPr>
        <w:t>ROSCI0065 Delta Dunării</w:t>
      </w:r>
    </w:p>
    <w:p w14:paraId="0F9274AE"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0071 Dumbrăveni - Valea Urluia - Lacul Vederoas</w:t>
      </w:r>
      <w:r w:rsidR="00D40D63">
        <w:rPr>
          <w:rFonts w:eastAsia="Calibri"/>
        </w:rPr>
        <w:t>a</w:t>
      </w:r>
      <w:r w:rsidRPr="00C56257">
        <w:rPr>
          <w:rFonts w:eastAsia="Calibri"/>
        </w:rPr>
        <w:t xml:space="preserve"> *</w:t>
      </w:r>
    </w:p>
    <w:p w14:paraId="0092ECDD" w14:textId="77777777" w:rsidR="0007555D" w:rsidRPr="00C56257" w:rsidRDefault="0007555D" w:rsidP="008E33FD">
      <w:pPr>
        <w:spacing w:line="259" w:lineRule="auto"/>
        <w:contextualSpacing/>
        <w:jc w:val="both"/>
        <w:rPr>
          <w:rFonts w:eastAsia="Calibri"/>
        </w:rPr>
      </w:pPr>
      <w:r w:rsidRPr="00C56257">
        <w:rPr>
          <w:rFonts w:eastAsia="Calibri"/>
        </w:rPr>
        <w:t>ROSCI0079 Fânațele de pe Dealul Corhan - Săbed</w:t>
      </w:r>
    </w:p>
    <w:p w14:paraId="1F958FDC"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0083 Fântânița Murfatlar</w:t>
      </w:r>
    </w:p>
    <w:p w14:paraId="47BCBFE4"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0099 Lacul Știucilor - Sic - Puini – Bonțida</w:t>
      </w:r>
    </w:p>
    <w:p w14:paraId="2F1A726C" w14:textId="77777777" w:rsidR="0007555D" w:rsidRPr="00C56257" w:rsidRDefault="0007555D" w:rsidP="008E33FD">
      <w:pPr>
        <w:spacing w:line="259" w:lineRule="auto"/>
        <w:contextualSpacing/>
        <w:jc w:val="both"/>
        <w:rPr>
          <w:rFonts w:eastAsia="Calibri"/>
        </w:rPr>
      </w:pPr>
      <w:r w:rsidRPr="00C56257">
        <w:rPr>
          <w:rFonts w:eastAsia="Calibri"/>
        </w:rPr>
        <w:t>ROSCI0123 Munții Măcinului</w:t>
      </w:r>
    </w:p>
    <w:p w14:paraId="24A45A46"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0133 Pădurea Bădeana</w:t>
      </w:r>
    </w:p>
    <w:p w14:paraId="5027FC61" w14:textId="77777777" w:rsidR="0007555D" w:rsidRPr="00C56257" w:rsidRDefault="0007555D" w:rsidP="008E33FD">
      <w:pPr>
        <w:spacing w:line="259" w:lineRule="auto"/>
        <w:contextualSpacing/>
        <w:jc w:val="both"/>
        <w:rPr>
          <w:rFonts w:eastAsia="Calibri"/>
        </w:rPr>
      </w:pPr>
      <w:r w:rsidRPr="00C56257">
        <w:rPr>
          <w:rFonts w:eastAsia="Calibri"/>
        </w:rPr>
        <w:t>ROSCI0136 Pădurea Bejan</w:t>
      </w:r>
    </w:p>
    <w:p w14:paraId="290A03FC"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0139 Pădurea Breana - Roșcani</w:t>
      </w:r>
    </w:p>
    <w:p w14:paraId="00479FDC"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0140 Pădurea Călugărească</w:t>
      </w:r>
    </w:p>
    <w:p w14:paraId="56CC6F12"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0143 Pădurea de gorun și stejar de la Dosul Fânaț</w:t>
      </w:r>
    </w:p>
    <w:p w14:paraId="7BCDEF90"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0144 Pădurea de gorun și stejar de pe Dealul Pur</w:t>
      </w:r>
    </w:p>
    <w:p w14:paraId="266C505D"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0149 Pădurea Eseschioi - Lacul Bugeac</w:t>
      </w:r>
    </w:p>
    <w:p w14:paraId="2453CCBD"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0151 Pădurea Gârboavele</w:t>
      </w:r>
    </w:p>
    <w:p w14:paraId="3DE2370B"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0157 Pădurea Hagieni - Cotul Văii</w:t>
      </w:r>
    </w:p>
    <w:p w14:paraId="2A66664E"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0159 Pădurea Homița</w:t>
      </w:r>
    </w:p>
    <w:p w14:paraId="356F98DA" w14:textId="77777777" w:rsidR="0007555D" w:rsidRPr="00C56257" w:rsidRDefault="0007555D" w:rsidP="008E33FD">
      <w:pPr>
        <w:spacing w:line="259" w:lineRule="auto"/>
        <w:contextualSpacing/>
        <w:jc w:val="both"/>
        <w:rPr>
          <w:rFonts w:eastAsia="Calibri"/>
        </w:rPr>
      </w:pPr>
      <w:r w:rsidRPr="00C56257">
        <w:rPr>
          <w:rFonts w:eastAsia="Calibri"/>
        </w:rPr>
        <w:t>ROSCI0160 Pădurea Icușeni</w:t>
      </w:r>
    </w:p>
    <w:p w14:paraId="1547A6DC"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0162 Lunca Siretului Inferior</w:t>
      </w:r>
    </w:p>
    <w:p w14:paraId="78D8FA38"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0163 Pădurea Mogoș - Mâțele</w:t>
      </w:r>
    </w:p>
    <w:p w14:paraId="37042E4E"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0165 Pădurea Pogănești</w:t>
      </w:r>
    </w:p>
    <w:p w14:paraId="367138D5"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0167 Pădurea Roșcani</w:t>
      </w:r>
    </w:p>
    <w:p w14:paraId="309E1CB2"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0169 Pădurea Seaca - Movileni</w:t>
      </w:r>
    </w:p>
    <w:p w14:paraId="3CBF9FEC"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0171 Pădurea și pajiștile de la Mârzești</w:t>
      </w:r>
    </w:p>
    <w:p w14:paraId="1E66F09C"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0172 Pădurea și Valea Canaraua Fetii - Iortmac</w:t>
      </w:r>
    </w:p>
    <w:p w14:paraId="6E295C46"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0173 Pădurea Stârmina</w:t>
      </w:r>
    </w:p>
    <w:p w14:paraId="43C5CDD5"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0174 Pădurea Studinița</w:t>
      </w:r>
    </w:p>
    <w:p w14:paraId="16764D82"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0181 Pădurea Uricani</w:t>
      </w:r>
    </w:p>
    <w:p w14:paraId="538821A2"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0183 Pădurea Vlădila</w:t>
      </w:r>
    </w:p>
    <w:p w14:paraId="287F208A"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0186 Pădurile de Stejar Pufos de pe Târnava Mar</w:t>
      </w:r>
      <w:r w:rsidR="00D40D63">
        <w:rPr>
          <w:rFonts w:eastAsia="Calibri"/>
        </w:rPr>
        <w:t>e</w:t>
      </w:r>
    </w:p>
    <w:p w14:paraId="30101C0F"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0187 Pajiștile lui Suciu</w:t>
      </w:r>
    </w:p>
    <w:p w14:paraId="751141B0" w14:textId="77777777" w:rsidR="0007555D" w:rsidRPr="00C56257" w:rsidRDefault="0007555D" w:rsidP="008E33FD">
      <w:pPr>
        <w:spacing w:line="259" w:lineRule="auto"/>
        <w:contextualSpacing/>
        <w:jc w:val="both"/>
        <w:rPr>
          <w:rFonts w:eastAsia="Calibri"/>
        </w:rPr>
      </w:pPr>
      <w:r w:rsidRPr="00C56257">
        <w:rPr>
          <w:rFonts w:eastAsia="Calibri"/>
        </w:rPr>
        <w:t>ROSCI0201 Podișul Nord Dobrogean *</w:t>
      </w:r>
    </w:p>
    <w:p w14:paraId="3211FFC3"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0202 Silvostepa Olteniei</w:t>
      </w:r>
    </w:p>
    <w:p w14:paraId="778DBB5F" w14:textId="77777777" w:rsidR="0007555D" w:rsidRPr="00C56257" w:rsidRDefault="0007555D" w:rsidP="008E33FD">
      <w:pPr>
        <w:spacing w:line="259" w:lineRule="auto"/>
        <w:contextualSpacing/>
        <w:jc w:val="both"/>
        <w:rPr>
          <w:rFonts w:eastAsia="Calibri"/>
        </w:rPr>
      </w:pPr>
      <w:r w:rsidRPr="00C56257">
        <w:rPr>
          <w:rFonts w:eastAsia="Calibri"/>
        </w:rPr>
        <w:t>ROSCI0210 Râpa Lechința</w:t>
      </w:r>
    </w:p>
    <w:p w14:paraId="135A1C0F" w14:textId="77777777" w:rsidR="0007555D" w:rsidRPr="00C56257" w:rsidRDefault="0007555D" w:rsidP="008E33FD">
      <w:pPr>
        <w:spacing w:line="259" w:lineRule="auto"/>
        <w:contextualSpacing/>
        <w:jc w:val="both"/>
        <w:rPr>
          <w:rFonts w:eastAsia="Calibri"/>
        </w:rPr>
      </w:pPr>
      <w:r w:rsidRPr="00C56257">
        <w:rPr>
          <w:rFonts w:eastAsia="Calibri"/>
        </w:rPr>
        <w:t>ROSCI0211 Podișul Secașelor</w:t>
      </w:r>
    </w:p>
    <w:p w14:paraId="02F31856" w14:textId="77777777" w:rsidR="0007555D" w:rsidRPr="00C56257" w:rsidRDefault="0007555D" w:rsidP="008E33FD">
      <w:pPr>
        <w:spacing w:line="259" w:lineRule="auto"/>
        <w:contextualSpacing/>
        <w:jc w:val="both"/>
        <w:rPr>
          <w:rFonts w:eastAsia="Calibri"/>
        </w:rPr>
      </w:pPr>
      <w:r w:rsidRPr="00C56257">
        <w:rPr>
          <w:rFonts w:eastAsia="Calibri"/>
        </w:rPr>
        <w:t>ROSCI0213 Râul Prut</w:t>
      </w:r>
    </w:p>
    <w:p w14:paraId="42F94726"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w:t>
      </w:r>
      <w:r w:rsidR="00D40D63">
        <w:rPr>
          <w:rFonts w:eastAsia="Calibri"/>
        </w:rPr>
        <w:t>AC</w:t>
      </w:r>
      <w:r w:rsidRPr="00C56257">
        <w:rPr>
          <w:rFonts w:eastAsia="Calibri"/>
        </w:rPr>
        <w:t>0218 Dealul Mocrei - Rovina - Ineu</w:t>
      </w:r>
    </w:p>
    <w:p w14:paraId="702B6794" w14:textId="77777777" w:rsidR="0007555D" w:rsidRPr="00C56257" w:rsidRDefault="0007555D" w:rsidP="008E33FD">
      <w:pPr>
        <w:spacing w:line="259" w:lineRule="auto"/>
        <w:contextualSpacing/>
        <w:jc w:val="both"/>
        <w:rPr>
          <w:rFonts w:eastAsia="Calibri"/>
        </w:rPr>
      </w:pPr>
      <w:r w:rsidRPr="00C56257">
        <w:rPr>
          <w:rFonts w:eastAsia="Calibri"/>
        </w:rPr>
        <w:t>ROSCI0222 Sărăturile Jijia Inferioară - Prut</w:t>
      </w:r>
    </w:p>
    <w:p w14:paraId="4C318363"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0223 Sărăturile Ocna Veche</w:t>
      </w:r>
    </w:p>
    <w:p w14:paraId="228A5917"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V</w:t>
      </w:r>
      <w:r w:rsidRPr="00C56257">
        <w:rPr>
          <w:rFonts w:eastAsia="Calibri"/>
        </w:rPr>
        <w:t>0227 Sighișoara - Târnava Mare</w:t>
      </w:r>
    </w:p>
    <w:p w14:paraId="30887EF4"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0238 Suatu - Cojocna - Crairât</w:t>
      </w:r>
    </w:p>
    <w:p w14:paraId="7F7B27EF" w14:textId="77777777" w:rsidR="0007555D" w:rsidRPr="00C56257" w:rsidRDefault="0007555D" w:rsidP="008E33FD">
      <w:pPr>
        <w:spacing w:line="259" w:lineRule="auto"/>
        <w:contextualSpacing/>
        <w:jc w:val="both"/>
        <w:rPr>
          <w:rFonts w:eastAsia="Calibri"/>
        </w:rPr>
      </w:pPr>
      <w:r w:rsidRPr="00C56257">
        <w:rPr>
          <w:rFonts w:eastAsia="Calibri"/>
        </w:rPr>
        <w:t>ROSCI0259 Valea Călmățuiului</w:t>
      </w:r>
    </w:p>
    <w:p w14:paraId="32B7FF1A" w14:textId="77777777" w:rsidR="0007555D" w:rsidRPr="00C56257" w:rsidRDefault="0007555D" w:rsidP="008E33FD">
      <w:pPr>
        <w:spacing w:line="259" w:lineRule="auto"/>
        <w:contextualSpacing/>
        <w:jc w:val="both"/>
        <w:rPr>
          <w:rFonts w:eastAsia="Calibri"/>
        </w:rPr>
      </w:pPr>
      <w:r w:rsidRPr="00C56257">
        <w:rPr>
          <w:rFonts w:eastAsia="Calibri"/>
        </w:rPr>
        <w:t>ROSCI0286 Colinele Elanului</w:t>
      </w:r>
    </w:p>
    <w:p w14:paraId="57C244E9" w14:textId="77777777" w:rsidR="0007555D" w:rsidRPr="00C56257" w:rsidRDefault="0007555D" w:rsidP="008E33FD">
      <w:pPr>
        <w:spacing w:line="259" w:lineRule="auto"/>
        <w:contextualSpacing/>
        <w:jc w:val="both"/>
        <w:rPr>
          <w:rFonts w:eastAsia="Calibri"/>
        </w:rPr>
      </w:pPr>
      <w:r w:rsidRPr="00C56257">
        <w:rPr>
          <w:rFonts w:eastAsia="Calibri"/>
        </w:rPr>
        <w:t>ROSCI0290 Coridorul Ialomiței</w:t>
      </w:r>
    </w:p>
    <w:p w14:paraId="52DA8EE3"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0299 Dunărea la Gârla Mare - Maglavit</w:t>
      </w:r>
    </w:p>
    <w:p w14:paraId="25A8780D" w14:textId="77777777" w:rsidR="0007555D" w:rsidRPr="00C56257" w:rsidRDefault="0007555D" w:rsidP="008E33FD">
      <w:pPr>
        <w:spacing w:line="259" w:lineRule="auto"/>
        <w:contextualSpacing/>
        <w:jc w:val="both"/>
        <w:rPr>
          <w:rFonts w:eastAsia="Calibri"/>
        </w:rPr>
      </w:pPr>
      <w:r w:rsidRPr="00C56257">
        <w:rPr>
          <w:rFonts w:eastAsia="Calibri"/>
        </w:rPr>
        <w:t>ROSCI0301 Bogata</w:t>
      </w:r>
    </w:p>
    <w:p w14:paraId="4B125F8B" w14:textId="77777777" w:rsidR="0007555D" w:rsidRPr="00C56257" w:rsidRDefault="0007555D" w:rsidP="008E33FD">
      <w:pPr>
        <w:spacing w:line="259" w:lineRule="auto"/>
        <w:contextualSpacing/>
        <w:jc w:val="both"/>
        <w:rPr>
          <w:rFonts w:eastAsia="Calibri"/>
        </w:rPr>
      </w:pPr>
      <w:r w:rsidRPr="00C56257">
        <w:rPr>
          <w:rFonts w:eastAsia="Calibri"/>
        </w:rPr>
        <w:t>ROSCI0303 Hârtibaciu Sud - Est</w:t>
      </w:r>
    </w:p>
    <w:p w14:paraId="1AE822A7"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0304 Hârtibaciu Sud - Vest</w:t>
      </w:r>
    </w:p>
    <w:p w14:paraId="56861B43"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0306 Jiana</w:t>
      </w:r>
    </w:p>
    <w:p w14:paraId="71D0B4D3" w14:textId="77777777" w:rsidR="0007555D" w:rsidRPr="00C56257" w:rsidRDefault="0007555D" w:rsidP="008E33FD">
      <w:pPr>
        <w:spacing w:line="259" w:lineRule="auto"/>
        <w:contextualSpacing/>
        <w:jc w:val="both"/>
        <w:rPr>
          <w:rFonts w:eastAsia="Calibri"/>
        </w:rPr>
      </w:pPr>
      <w:r w:rsidRPr="00C56257">
        <w:rPr>
          <w:rFonts w:eastAsia="Calibri"/>
        </w:rPr>
        <w:t>ROSCI0307 Lacul Sărat - Brăila</w:t>
      </w:r>
    </w:p>
    <w:p w14:paraId="6EB5FA89" w14:textId="77777777" w:rsidR="0007555D" w:rsidRPr="00C56257" w:rsidRDefault="0007555D" w:rsidP="008E33FD">
      <w:pPr>
        <w:spacing w:line="259" w:lineRule="auto"/>
        <w:contextualSpacing/>
        <w:jc w:val="both"/>
        <w:rPr>
          <w:rFonts w:eastAsia="Calibri"/>
        </w:rPr>
      </w:pPr>
      <w:r w:rsidRPr="00C56257">
        <w:rPr>
          <w:rFonts w:eastAsia="Calibri"/>
        </w:rPr>
        <w:t>ROSCI0308 Lacul și Pădurea Cernica</w:t>
      </w:r>
    </w:p>
    <w:p w14:paraId="56594B96" w14:textId="77777777" w:rsidR="0007555D" w:rsidRPr="00C56257" w:rsidRDefault="0007555D" w:rsidP="008E33FD">
      <w:pPr>
        <w:spacing w:line="259" w:lineRule="auto"/>
        <w:contextualSpacing/>
        <w:jc w:val="both"/>
        <w:rPr>
          <w:rFonts w:eastAsia="Calibri"/>
        </w:rPr>
      </w:pPr>
      <w:r w:rsidRPr="00C56257">
        <w:rPr>
          <w:rFonts w:eastAsia="Calibri"/>
        </w:rPr>
        <w:t>ROSCI0320 Mociar</w:t>
      </w:r>
    </w:p>
    <w:p w14:paraId="3AB59009" w14:textId="77777777" w:rsidR="0007555D" w:rsidRPr="00C56257" w:rsidRDefault="0007555D" w:rsidP="008E33FD">
      <w:pPr>
        <w:spacing w:line="259" w:lineRule="auto"/>
        <w:contextualSpacing/>
        <w:jc w:val="both"/>
        <w:rPr>
          <w:rFonts w:eastAsia="Calibri"/>
        </w:rPr>
      </w:pPr>
      <w:r w:rsidRPr="00C56257">
        <w:rPr>
          <w:rFonts w:eastAsia="Calibri"/>
        </w:rPr>
        <w:t>ROSCI0331 Pajiștile Balda - Frata - Miheșu de Câmpie</w:t>
      </w:r>
    </w:p>
    <w:p w14:paraId="62637B3D" w14:textId="77777777" w:rsidR="0007555D" w:rsidRPr="00C56257" w:rsidRDefault="0007555D" w:rsidP="008E33FD">
      <w:pPr>
        <w:spacing w:line="259" w:lineRule="auto"/>
        <w:contextualSpacing/>
        <w:jc w:val="both"/>
        <w:rPr>
          <w:rFonts w:eastAsia="Calibri"/>
        </w:rPr>
      </w:pPr>
      <w:r w:rsidRPr="00C56257">
        <w:rPr>
          <w:rFonts w:eastAsia="Calibri"/>
        </w:rPr>
        <w:t>ROSCI0335 Pădurea Dobrina - Huși</w:t>
      </w:r>
    </w:p>
    <w:p w14:paraId="1D7BC86D" w14:textId="77777777" w:rsidR="0007555D" w:rsidRPr="00C56257" w:rsidRDefault="0007555D" w:rsidP="008E33FD">
      <w:pPr>
        <w:spacing w:line="259" w:lineRule="auto"/>
        <w:contextualSpacing/>
        <w:jc w:val="both"/>
        <w:rPr>
          <w:rFonts w:eastAsia="Calibri"/>
        </w:rPr>
      </w:pPr>
      <w:r w:rsidRPr="00C56257">
        <w:rPr>
          <w:rFonts w:eastAsia="Calibri"/>
        </w:rPr>
        <w:t>ROSCI0342 Pădurea Târgu Mureș</w:t>
      </w:r>
    </w:p>
    <w:p w14:paraId="30C4BB57" w14:textId="77777777" w:rsidR="0007555D" w:rsidRPr="00C56257" w:rsidRDefault="0007555D" w:rsidP="008E33FD">
      <w:pPr>
        <w:spacing w:line="259" w:lineRule="auto"/>
        <w:contextualSpacing/>
        <w:jc w:val="both"/>
        <w:rPr>
          <w:rFonts w:eastAsia="Calibri"/>
        </w:rPr>
      </w:pPr>
      <w:r w:rsidRPr="00C56257">
        <w:rPr>
          <w:rFonts w:eastAsia="Calibri"/>
        </w:rPr>
        <w:t>ROSCI0343 Pădurile din Silvostepa Mostiștei</w:t>
      </w:r>
    </w:p>
    <w:p w14:paraId="0653C5DC" w14:textId="77777777" w:rsidR="0007555D" w:rsidRPr="00C56257" w:rsidRDefault="0007555D" w:rsidP="008E33FD">
      <w:pPr>
        <w:spacing w:line="259" w:lineRule="auto"/>
        <w:contextualSpacing/>
        <w:jc w:val="both"/>
        <w:rPr>
          <w:rFonts w:eastAsia="Calibri"/>
        </w:rPr>
      </w:pPr>
      <w:r w:rsidRPr="00C56257">
        <w:rPr>
          <w:rFonts w:eastAsia="Calibri"/>
        </w:rPr>
        <w:t>ROSCI0367 Râul Mureș între Morești și Ogra</w:t>
      </w:r>
    </w:p>
    <w:p w14:paraId="56DA46D0"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0384 Râul Târnava Mică</w:t>
      </w:r>
    </w:p>
    <w:p w14:paraId="0EDB74C1" w14:textId="77777777" w:rsidR="0007555D" w:rsidRPr="00C56257" w:rsidRDefault="0007555D" w:rsidP="008E33FD">
      <w:pPr>
        <w:spacing w:line="259" w:lineRule="auto"/>
        <w:contextualSpacing/>
        <w:jc w:val="both"/>
        <w:rPr>
          <w:rFonts w:eastAsia="Calibri"/>
        </w:rPr>
      </w:pPr>
      <w:r w:rsidRPr="00C56257">
        <w:rPr>
          <w:rFonts w:eastAsia="Calibri"/>
        </w:rPr>
        <w:t>ROSCI0422 Pădurea Dandara - Corneanca</w:t>
      </w:r>
    </w:p>
    <w:p w14:paraId="141AC5C4" w14:textId="77777777" w:rsidR="0007555D" w:rsidRPr="00C56257" w:rsidRDefault="0007555D" w:rsidP="008E33FD">
      <w:pPr>
        <w:spacing w:line="259" w:lineRule="auto"/>
        <w:contextualSpacing/>
        <w:jc w:val="both"/>
        <w:rPr>
          <w:rFonts w:eastAsia="Calibri"/>
        </w:rPr>
      </w:pPr>
      <w:r w:rsidRPr="00C56257">
        <w:rPr>
          <w:rFonts w:eastAsia="Calibri"/>
        </w:rPr>
        <w:t>ROSCI0423 Pădurea Dorobanțul</w:t>
      </w:r>
    </w:p>
    <w:p w14:paraId="6221A5C6" w14:textId="77777777" w:rsidR="0007555D" w:rsidRPr="00C56257" w:rsidRDefault="0007555D" w:rsidP="008E33FD">
      <w:pPr>
        <w:spacing w:line="259" w:lineRule="auto"/>
        <w:contextualSpacing/>
        <w:jc w:val="both"/>
        <w:rPr>
          <w:rFonts w:eastAsia="Calibri"/>
        </w:rPr>
      </w:pPr>
      <w:r w:rsidRPr="00C56257">
        <w:rPr>
          <w:rFonts w:eastAsia="Calibri"/>
        </w:rPr>
        <w:t>ROSCI0426 Pădurea Ștorobăneasa</w:t>
      </w:r>
    </w:p>
    <w:p w14:paraId="3FE19843" w14:textId="77777777" w:rsidR="0007555D" w:rsidRPr="00C56257" w:rsidRDefault="0007555D" w:rsidP="008E33FD">
      <w:pPr>
        <w:spacing w:line="259" w:lineRule="auto"/>
        <w:contextualSpacing/>
        <w:jc w:val="both"/>
        <w:rPr>
          <w:rFonts w:eastAsia="Calibri"/>
        </w:rPr>
      </w:pPr>
    </w:p>
    <w:p w14:paraId="4C9B1B6E"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91K0 - Păduri ilirice de </w:t>
      </w:r>
      <w:r w:rsidRPr="00C56257">
        <w:rPr>
          <w:rFonts w:eastAsia="Calibri"/>
          <w:b/>
          <w:i/>
          <w:iCs/>
        </w:rPr>
        <w:t>Fagus sylvatica</w:t>
      </w:r>
      <w:r w:rsidRPr="00C56257">
        <w:rPr>
          <w:rFonts w:eastAsia="Calibri"/>
          <w:b/>
        </w:rPr>
        <w:t xml:space="preserve"> (</w:t>
      </w:r>
      <w:r w:rsidRPr="00C56257">
        <w:rPr>
          <w:rFonts w:eastAsia="Calibri"/>
          <w:b/>
          <w:i/>
          <w:iCs/>
        </w:rPr>
        <w:t>Aremonio-Fagion</w:t>
      </w:r>
      <w:r w:rsidRPr="00C56257">
        <w:rPr>
          <w:rFonts w:eastAsia="Calibri"/>
          <w:b/>
        </w:rPr>
        <w:t>)</w:t>
      </w:r>
    </w:p>
    <w:p w14:paraId="757823AC" w14:textId="77777777" w:rsidR="0007555D" w:rsidRPr="00C56257" w:rsidRDefault="0007555D" w:rsidP="008E33FD">
      <w:pPr>
        <w:spacing w:line="259" w:lineRule="auto"/>
        <w:contextualSpacing/>
        <w:jc w:val="both"/>
        <w:rPr>
          <w:rFonts w:eastAsia="Calibri"/>
        </w:rPr>
      </w:pPr>
    </w:p>
    <w:p w14:paraId="1CFD8016" w14:textId="77777777" w:rsidR="0007555D" w:rsidRPr="00C56257" w:rsidRDefault="0007555D" w:rsidP="008E33FD">
      <w:pPr>
        <w:spacing w:line="259" w:lineRule="auto"/>
        <w:contextualSpacing/>
        <w:jc w:val="both"/>
        <w:rPr>
          <w:rFonts w:eastAsia="Calibri"/>
        </w:rPr>
      </w:pPr>
      <w:r w:rsidRPr="00C56257">
        <w:rPr>
          <w:rFonts w:eastAsia="Calibri"/>
        </w:rPr>
        <w:t>ROSCI0031 Cheile Nerei - Beușnița</w:t>
      </w:r>
    </w:p>
    <w:p w14:paraId="4427968C"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0045 Coridorul Jiului</w:t>
      </w:r>
    </w:p>
    <w:p w14:paraId="3DC7486F"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0069 Domogled - Valea Cernei</w:t>
      </w:r>
    </w:p>
    <w:p w14:paraId="2132A06B"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0122 Munții Făgăraș</w:t>
      </w:r>
    </w:p>
    <w:p w14:paraId="2E40F766" w14:textId="77777777" w:rsidR="0007555D" w:rsidRPr="00C56257" w:rsidRDefault="0007555D" w:rsidP="008E33FD">
      <w:pPr>
        <w:spacing w:line="259" w:lineRule="auto"/>
        <w:contextualSpacing/>
        <w:jc w:val="both"/>
        <w:rPr>
          <w:rFonts w:eastAsia="Calibri"/>
        </w:rPr>
      </w:pPr>
      <w:r w:rsidRPr="00C56257">
        <w:rPr>
          <w:rFonts w:eastAsia="Calibri"/>
        </w:rPr>
        <w:t>ROS</w:t>
      </w:r>
      <w:r w:rsidR="00D40D63">
        <w:rPr>
          <w:rFonts w:eastAsia="Calibri"/>
        </w:rPr>
        <w:t>AC</w:t>
      </w:r>
      <w:r w:rsidRPr="00C56257">
        <w:rPr>
          <w:rFonts w:eastAsia="Calibri"/>
        </w:rPr>
        <w:t>0126 Munții Țarcu</w:t>
      </w:r>
    </w:p>
    <w:p w14:paraId="0D5FC552" w14:textId="77777777" w:rsidR="0007555D" w:rsidRPr="00C56257" w:rsidRDefault="0007555D" w:rsidP="008E33FD">
      <w:pPr>
        <w:spacing w:line="259" w:lineRule="auto"/>
        <w:contextualSpacing/>
        <w:jc w:val="both"/>
        <w:rPr>
          <w:rFonts w:eastAsia="Calibri"/>
        </w:rPr>
      </w:pPr>
      <w:r w:rsidRPr="00C56257">
        <w:rPr>
          <w:rFonts w:eastAsia="Calibri"/>
        </w:rPr>
        <w:t>ROS</w:t>
      </w:r>
      <w:r w:rsidR="00F4312E">
        <w:rPr>
          <w:rFonts w:eastAsia="Calibri"/>
        </w:rPr>
        <w:t>AC</w:t>
      </w:r>
      <w:r w:rsidRPr="00C56257">
        <w:rPr>
          <w:rFonts w:eastAsia="Calibri"/>
        </w:rPr>
        <w:t>0128 Nordul Gorjului de Est</w:t>
      </w:r>
    </w:p>
    <w:p w14:paraId="2E219649" w14:textId="77777777" w:rsidR="0007555D" w:rsidRPr="00C56257" w:rsidRDefault="0007555D" w:rsidP="008E33FD">
      <w:pPr>
        <w:spacing w:line="259" w:lineRule="auto"/>
        <w:contextualSpacing/>
        <w:jc w:val="both"/>
        <w:rPr>
          <w:rFonts w:eastAsia="Calibri"/>
        </w:rPr>
      </w:pPr>
      <w:r w:rsidRPr="00C56257">
        <w:rPr>
          <w:rFonts w:eastAsia="Calibri"/>
        </w:rPr>
        <w:t>ROS</w:t>
      </w:r>
      <w:r w:rsidR="00F4312E">
        <w:rPr>
          <w:rFonts w:eastAsia="Calibri"/>
        </w:rPr>
        <w:t>AC</w:t>
      </w:r>
      <w:r w:rsidRPr="00C56257">
        <w:rPr>
          <w:rFonts w:eastAsia="Calibri"/>
        </w:rPr>
        <w:t>0129 Nordul Gorjului de Vest</w:t>
      </w:r>
    </w:p>
    <w:p w14:paraId="598F2A89" w14:textId="77777777" w:rsidR="0007555D" w:rsidRPr="00C56257" w:rsidRDefault="0007555D" w:rsidP="008E33FD">
      <w:pPr>
        <w:spacing w:line="259" w:lineRule="auto"/>
        <w:contextualSpacing/>
        <w:jc w:val="both"/>
        <w:rPr>
          <w:rFonts w:eastAsia="Calibri"/>
        </w:rPr>
      </w:pPr>
      <w:r w:rsidRPr="00C56257">
        <w:rPr>
          <w:rFonts w:eastAsia="Calibri"/>
        </w:rPr>
        <w:t>ROS</w:t>
      </w:r>
      <w:r w:rsidR="00F4312E">
        <w:rPr>
          <w:rFonts w:eastAsia="Calibri"/>
        </w:rPr>
        <w:t>AC</w:t>
      </w:r>
      <w:r w:rsidRPr="00C56257">
        <w:rPr>
          <w:rFonts w:eastAsia="Calibri"/>
        </w:rPr>
        <w:t>0188 Parâng</w:t>
      </w:r>
    </w:p>
    <w:p w14:paraId="645FB690" w14:textId="77777777" w:rsidR="0007555D" w:rsidRPr="00C56257" w:rsidRDefault="0007555D" w:rsidP="008E33FD">
      <w:pPr>
        <w:spacing w:line="259" w:lineRule="auto"/>
        <w:contextualSpacing/>
        <w:jc w:val="both"/>
        <w:rPr>
          <w:rFonts w:eastAsia="Calibri"/>
        </w:rPr>
      </w:pPr>
      <w:r w:rsidRPr="00C56257">
        <w:rPr>
          <w:rFonts w:eastAsia="Calibri"/>
        </w:rPr>
        <w:t>ROS</w:t>
      </w:r>
      <w:r w:rsidR="00F4312E">
        <w:rPr>
          <w:rFonts w:eastAsia="Calibri"/>
        </w:rPr>
        <w:t>AC</w:t>
      </w:r>
      <w:r w:rsidRPr="00C56257">
        <w:rPr>
          <w:rFonts w:eastAsia="Calibri"/>
        </w:rPr>
        <w:t>0198 Platoul Mehedinți</w:t>
      </w:r>
    </w:p>
    <w:p w14:paraId="46EBA8A0" w14:textId="77777777" w:rsidR="0007555D" w:rsidRPr="00C56257" w:rsidRDefault="0007555D" w:rsidP="008E33FD">
      <w:pPr>
        <w:spacing w:line="259" w:lineRule="auto"/>
        <w:contextualSpacing/>
        <w:jc w:val="both"/>
        <w:rPr>
          <w:rFonts w:eastAsia="Calibri"/>
        </w:rPr>
      </w:pPr>
      <w:r w:rsidRPr="00C56257">
        <w:rPr>
          <w:rFonts w:eastAsia="Calibri"/>
        </w:rPr>
        <w:t>ROSCI0206 Porțile de Fier</w:t>
      </w:r>
    </w:p>
    <w:p w14:paraId="59B0D4B2" w14:textId="77777777" w:rsidR="0007555D" w:rsidRPr="00C56257" w:rsidRDefault="0007555D" w:rsidP="00F4312E">
      <w:pPr>
        <w:tabs>
          <w:tab w:val="left" w:pos="7080"/>
        </w:tabs>
        <w:spacing w:line="259" w:lineRule="auto"/>
        <w:contextualSpacing/>
        <w:jc w:val="both"/>
        <w:rPr>
          <w:rFonts w:eastAsia="Calibri"/>
        </w:rPr>
      </w:pPr>
      <w:r w:rsidRPr="00C56257">
        <w:rPr>
          <w:rFonts w:eastAsia="Calibri"/>
        </w:rPr>
        <w:t>ROSCI0226 Semenic - Cheile Carașului</w:t>
      </w:r>
      <w:r w:rsidR="00F4312E">
        <w:rPr>
          <w:rFonts w:eastAsia="Calibri"/>
        </w:rPr>
        <w:tab/>
      </w:r>
    </w:p>
    <w:p w14:paraId="6FDC90F2" w14:textId="77777777" w:rsidR="0007555D" w:rsidRPr="00C56257" w:rsidRDefault="0007555D" w:rsidP="008E33FD">
      <w:pPr>
        <w:spacing w:line="259" w:lineRule="auto"/>
        <w:contextualSpacing/>
        <w:jc w:val="both"/>
        <w:rPr>
          <w:rFonts w:eastAsia="Calibri"/>
        </w:rPr>
      </w:pPr>
      <w:r w:rsidRPr="00C56257">
        <w:rPr>
          <w:rFonts w:eastAsia="Calibri"/>
        </w:rPr>
        <w:t>ROSCI0284 Cheile Teregovei</w:t>
      </w:r>
    </w:p>
    <w:p w14:paraId="7BB17D69" w14:textId="77777777" w:rsidR="0007555D" w:rsidRPr="00C56257" w:rsidRDefault="0007555D" w:rsidP="008E33FD">
      <w:pPr>
        <w:spacing w:line="259" w:lineRule="auto"/>
        <w:contextualSpacing/>
        <w:jc w:val="both"/>
        <w:rPr>
          <w:rFonts w:eastAsia="Calibri"/>
        </w:rPr>
      </w:pPr>
      <w:r w:rsidRPr="00C56257">
        <w:rPr>
          <w:rFonts w:eastAsia="Calibri"/>
        </w:rPr>
        <w:t>ROSCI0332 Coșava Mică</w:t>
      </w:r>
    </w:p>
    <w:p w14:paraId="63251BC1" w14:textId="77777777" w:rsidR="0007555D" w:rsidRPr="00C56257" w:rsidRDefault="0007555D" w:rsidP="008E33FD">
      <w:pPr>
        <w:spacing w:line="259" w:lineRule="auto"/>
        <w:contextualSpacing/>
        <w:jc w:val="both"/>
        <w:rPr>
          <w:rFonts w:eastAsia="Calibri"/>
        </w:rPr>
      </w:pPr>
      <w:r w:rsidRPr="00C56257">
        <w:rPr>
          <w:rFonts w:eastAsia="Calibri"/>
        </w:rPr>
        <w:t>ROSCI0385 Râul Timiș între Rusca și Prisaca</w:t>
      </w:r>
    </w:p>
    <w:p w14:paraId="21A6A9A2" w14:textId="77777777" w:rsidR="0007555D" w:rsidRPr="00C56257" w:rsidRDefault="0007555D" w:rsidP="008E33FD">
      <w:pPr>
        <w:spacing w:line="259" w:lineRule="auto"/>
        <w:contextualSpacing/>
        <w:jc w:val="both"/>
        <w:rPr>
          <w:rFonts w:eastAsia="Calibri"/>
        </w:rPr>
      </w:pPr>
    </w:p>
    <w:p w14:paraId="11C6829F"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91L0 - Păduri ilirice de stejar cu carpen (</w:t>
      </w:r>
      <w:r w:rsidRPr="00C56257">
        <w:rPr>
          <w:rFonts w:eastAsia="Calibri"/>
          <w:b/>
          <w:i/>
          <w:iCs/>
        </w:rPr>
        <w:t>Erythronio-Carpinion</w:t>
      </w:r>
      <w:r w:rsidRPr="00C56257">
        <w:rPr>
          <w:rFonts w:eastAsia="Calibri"/>
          <w:b/>
        </w:rPr>
        <w:t>)</w:t>
      </w:r>
    </w:p>
    <w:p w14:paraId="078DCE47" w14:textId="77777777" w:rsidR="0007555D" w:rsidRPr="00C56257" w:rsidRDefault="0007555D" w:rsidP="008E33FD">
      <w:pPr>
        <w:spacing w:line="259" w:lineRule="auto"/>
        <w:contextualSpacing/>
        <w:jc w:val="both"/>
        <w:rPr>
          <w:rFonts w:eastAsia="Calibri"/>
        </w:rPr>
      </w:pPr>
    </w:p>
    <w:p w14:paraId="662F3C54" w14:textId="77777777" w:rsidR="0007555D" w:rsidRPr="00C56257" w:rsidRDefault="0007555D" w:rsidP="008E33FD">
      <w:pPr>
        <w:spacing w:line="259" w:lineRule="auto"/>
        <w:contextualSpacing/>
        <w:jc w:val="both"/>
        <w:rPr>
          <w:rFonts w:eastAsia="Calibri"/>
        </w:rPr>
      </w:pPr>
      <w:r w:rsidRPr="00C56257">
        <w:rPr>
          <w:rFonts w:eastAsia="Calibri"/>
        </w:rPr>
        <w:t>ROSCI0031 Cheile Nerei - Beușnița</w:t>
      </w:r>
    </w:p>
    <w:p w14:paraId="3D2A47BF"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w:t>
      </w:r>
      <w:r w:rsidR="00F4312E">
        <w:rPr>
          <w:rFonts w:eastAsia="Calibri"/>
        </w:rPr>
        <w:t>AC</w:t>
      </w:r>
      <w:r w:rsidRPr="00C56257">
        <w:rPr>
          <w:rFonts w:eastAsia="Calibri"/>
        </w:rPr>
        <w:t>0032 Cheile Rudăriei</w:t>
      </w:r>
    </w:p>
    <w:p w14:paraId="1A0F2D13" w14:textId="77777777" w:rsidR="0007555D" w:rsidRPr="00C56257" w:rsidRDefault="0007555D" w:rsidP="008E33FD">
      <w:pPr>
        <w:spacing w:line="259" w:lineRule="auto"/>
        <w:contextualSpacing/>
        <w:jc w:val="both"/>
        <w:rPr>
          <w:rFonts w:eastAsia="Calibri"/>
        </w:rPr>
      </w:pPr>
      <w:r w:rsidRPr="00C56257">
        <w:rPr>
          <w:rFonts w:eastAsia="Calibri"/>
        </w:rPr>
        <w:t>ROSCI0042 Codru Moma</w:t>
      </w:r>
    </w:p>
    <w:p w14:paraId="5340FEB4" w14:textId="77777777" w:rsidR="0007555D" w:rsidRPr="00C56257" w:rsidRDefault="0007555D" w:rsidP="008E33FD">
      <w:pPr>
        <w:spacing w:line="259" w:lineRule="auto"/>
        <w:contextualSpacing/>
        <w:jc w:val="both"/>
        <w:rPr>
          <w:rFonts w:eastAsia="Calibri"/>
        </w:rPr>
      </w:pPr>
      <w:r w:rsidRPr="00C56257">
        <w:rPr>
          <w:rFonts w:eastAsia="Calibri"/>
        </w:rPr>
        <w:t>ROS</w:t>
      </w:r>
      <w:r w:rsidR="00F4312E">
        <w:rPr>
          <w:rFonts w:eastAsia="Calibri"/>
        </w:rPr>
        <w:t>AC</w:t>
      </w:r>
      <w:r w:rsidRPr="00C56257">
        <w:rPr>
          <w:rFonts w:eastAsia="Calibri"/>
        </w:rPr>
        <w:t>0045 Coridorul Jiului</w:t>
      </w:r>
    </w:p>
    <w:p w14:paraId="7F782032" w14:textId="77777777" w:rsidR="0007555D" w:rsidRPr="00C56257" w:rsidRDefault="0007555D" w:rsidP="008E33FD">
      <w:pPr>
        <w:spacing w:line="259" w:lineRule="auto"/>
        <w:contextualSpacing/>
        <w:jc w:val="both"/>
        <w:rPr>
          <w:rFonts w:eastAsia="Calibri"/>
        </w:rPr>
      </w:pPr>
      <w:r w:rsidRPr="00C56257">
        <w:rPr>
          <w:rFonts w:eastAsia="Calibri"/>
        </w:rPr>
        <w:t>ROSCI0054 Dealul Cetății Deva</w:t>
      </w:r>
    </w:p>
    <w:p w14:paraId="3E781214" w14:textId="77777777" w:rsidR="0007555D" w:rsidRPr="00C56257" w:rsidRDefault="0007555D" w:rsidP="008E33FD">
      <w:pPr>
        <w:spacing w:line="259" w:lineRule="auto"/>
        <w:contextualSpacing/>
        <w:jc w:val="both"/>
        <w:rPr>
          <w:rFonts w:eastAsia="Calibri"/>
        </w:rPr>
      </w:pPr>
      <w:r w:rsidRPr="00C56257">
        <w:rPr>
          <w:rFonts w:eastAsia="Calibri"/>
        </w:rPr>
        <w:t>ROSCI0063 Defileul Jiului</w:t>
      </w:r>
    </w:p>
    <w:p w14:paraId="1F5A631B" w14:textId="77777777" w:rsidR="0007555D" w:rsidRPr="00C56257" w:rsidRDefault="0007555D" w:rsidP="008E33FD">
      <w:pPr>
        <w:spacing w:line="259" w:lineRule="auto"/>
        <w:contextualSpacing/>
        <w:jc w:val="both"/>
        <w:rPr>
          <w:rFonts w:eastAsia="Calibri"/>
        </w:rPr>
      </w:pPr>
      <w:r w:rsidRPr="00C56257">
        <w:rPr>
          <w:rFonts w:eastAsia="Calibri"/>
        </w:rPr>
        <w:t>ROS</w:t>
      </w:r>
      <w:r w:rsidR="00F4312E">
        <w:rPr>
          <w:rFonts w:eastAsia="Calibri"/>
        </w:rPr>
        <w:t>AC</w:t>
      </w:r>
      <w:r w:rsidRPr="00C56257">
        <w:rPr>
          <w:rFonts w:eastAsia="Calibri"/>
        </w:rPr>
        <w:t>0064 Defileul Mureșului</w:t>
      </w:r>
    </w:p>
    <w:p w14:paraId="6998D47A" w14:textId="77777777" w:rsidR="0007555D" w:rsidRPr="00C56257" w:rsidRDefault="0007555D" w:rsidP="008E33FD">
      <w:pPr>
        <w:spacing w:line="259" w:lineRule="auto"/>
        <w:contextualSpacing/>
        <w:jc w:val="both"/>
        <w:rPr>
          <w:rFonts w:eastAsia="Calibri"/>
        </w:rPr>
      </w:pPr>
      <w:r w:rsidRPr="00C56257">
        <w:rPr>
          <w:rFonts w:eastAsia="Calibri"/>
        </w:rPr>
        <w:t>ROS</w:t>
      </w:r>
      <w:r w:rsidR="00F4312E">
        <w:rPr>
          <w:rFonts w:eastAsia="Calibri"/>
        </w:rPr>
        <w:t>AC</w:t>
      </w:r>
      <w:r w:rsidRPr="00C56257">
        <w:rPr>
          <w:rFonts w:eastAsia="Calibri"/>
        </w:rPr>
        <w:t>0069 Domogled - Valea Cernei</w:t>
      </w:r>
    </w:p>
    <w:p w14:paraId="271C4C13" w14:textId="77777777" w:rsidR="0007555D" w:rsidRPr="00C56257" w:rsidRDefault="0007555D" w:rsidP="008E33FD">
      <w:pPr>
        <w:spacing w:line="259" w:lineRule="auto"/>
        <w:contextualSpacing/>
        <w:jc w:val="both"/>
        <w:rPr>
          <w:rFonts w:eastAsia="Calibri"/>
        </w:rPr>
      </w:pPr>
      <w:r w:rsidRPr="00C56257">
        <w:rPr>
          <w:rFonts w:eastAsia="Calibri"/>
        </w:rPr>
        <w:t>ROSCI0070 Drocea</w:t>
      </w:r>
    </w:p>
    <w:p w14:paraId="039F4322" w14:textId="77777777" w:rsidR="0007555D" w:rsidRPr="00C56257" w:rsidRDefault="0007555D" w:rsidP="008E33FD">
      <w:pPr>
        <w:spacing w:line="259" w:lineRule="auto"/>
        <w:contextualSpacing/>
        <w:jc w:val="both"/>
        <w:rPr>
          <w:rFonts w:eastAsia="Calibri"/>
        </w:rPr>
      </w:pPr>
      <w:r w:rsidRPr="00C56257">
        <w:rPr>
          <w:rFonts w:eastAsia="Calibri"/>
        </w:rPr>
        <w:t>ROSCI0110 Măgurile Băiței</w:t>
      </w:r>
    </w:p>
    <w:p w14:paraId="0FDF14BE" w14:textId="77777777" w:rsidR="0007555D" w:rsidRPr="00C56257" w:rsidRDefault="0007555D" w:rsidP="008E33FD">
      <w:pPr>
        <w:spacing w:line="259" w:lineRule="auto"/>
        <w:contextualSpacing/>
        <w:jc w:val="both"/>
        <w:rPr>
          <w:rFonts w:eastAsia="Calibri"/>
        </w:rPr>
      </w:pPr>
      <w:r w:rsidRPr="00C56257">
        <w:rPr>
          <w:rFonts w:eastAsia="Calibri"/>
        </w:rPr>
        <w:t>ROS</w:t>
      </w:r>
      <w:r w:rsidR="00F4312E">
        <w:rPr>
          <w:rFonts w:eastAsia="Calibri"/>
        </w:rPr>
        <w:t>AC</w:t>
      </w:r>
      <w:r w:rsidRPr="00C56257">
        <w:rPr>
          <w:rFonts w:eastAsia="Calibri"/>
        </w:rPr>
        <w:t>0122 Munții Făgăraș</w:t>
      </w:r>
    </w:p>
    <w:p w14:paraId="7C2B88FF" w14:textId="77777777" w:rsidR="0007555D" w:rsidRPr="00C56257" w:rsidRDefault="0007555D" w:rsidP="008E33FD">
      <w:pPr>
        <w:spacing w:line="259" w:lineRule="auto"/>
        <w:contextualSpacing/>
        <w:jc w:val="both"/>
        <w:rPr>
          <w:rFonts w:eastAsia="Calibri"/>
        </w:rPr>
      </w:pPr>
      <w:r w:rsidRPr="00C56257">
        <w:rPr>
          <w:rFonts w:eastAsia="Calibri"/>
        </w:rPr>
        <w:t>ROSCI0126 Munții Țarcu</w:t>
      </w:r>
    </w:p>
    <w:p w14:paraId="2D33A5E2" w14:textId="77777777" w:rsidR="0007555D" w:rsidRPr="00C56257" w:rsidRDefault="0007555D" w:rsidP="008E33FD">
      <w:pPr>
        <w:spacing w:line="259" w:lineRule="auto"/>
        <w:contextualSpacing/>
        <w:jc w:val="both"/>
        <w:rPr>
          <w:rFonts w:eastAsia="Calibri"/>
        </w:rPr>
      </w:pPr>
      <w:r w:rsidRPr="00C56257">
        <w:rPr>
          <w:rFonts w:eastAsia="Calibri"/>
        </w:rPr>
        <w:t>ROS</w:t>
      </w:r>
      <w:r w:rsidR="00F4312E">
        <w:rPr>
          <w:rFonts w:eastAsia="Calibri"/>
        </w:rPr>
        <w:t>AC</w:t>
      </w:r>
      <w:r w:rsidRPr="00C56257">
        <w:rPr>
          <w:rFonts w:eastAsia="Calibri"/>
        </w:rPr>
        <w:t>0128 Nordul Gorjului de Est</w:t>
      </w:r>
    </w:p>
    <w:p w14:paraId="316FA3B2" w14:textId="77777777" w:rsidR="0007555D" w:rsidRPr="00C56257" w:rsidRDefault="0007555D" w:rsidP="008E33FD">
      <w:pPr>
        <w:spacing w:line="259" w:lineRule="auto"/>
        <w:contextualSpacing/>
        <w:jc w:val="both"/>
        <w:rPr>
          <w:rFonts w:eastAsia="Calibri"/>
        </w:rPr>
      </w:pPr>
      <w:r w:rsidRPr="00C56257">
        <w:rPr>
          <w:rFonts w:eastAsia="Calibri"/>
        </w:rPr>
        <w:t>ROS</w:t>
      </w:r>
      <w:r w:rsidR="00F4312E">
        <w:rPr>
          <w:rFonts w:eastAsia="Calibri"/>
        </w:rPr>
        <w:t>AC</w:t>
      </w:r>
      <w:r w:rsidRPr="00C56257">
        <w:rPr>
          <w:rFonts w:eastAsia="Calibri"/>
        </w:rPr>
        <w:t>0129 Nordul Gorjului de Vest</w:t>
      </w:r>
    </w:p>
    <w:p w14:paraId="22E7C047" w14:textId="77777777" w:rsidR="0007555D" w:rsidRPr="00C56257" w:rsidRDefault="0007555D" w:rsidP="008E33FD">
      <w:pPr>
        <w:spacing w:line="259" w:lineRule="auto"/>
        <w:contextualSpacing/>
        <w:jc w:val="both"/>
        <w:rPr>
          <w:rFonts w:eastAsia="Calibri"/>
        </w:rPr>
      </w:pPr>
      <w:r w:rsidRPr="00C56257">
        <w:rPr>
          <w:rFonts w:eastAsia="Calibri"/>
        </w:rPr>
        <w:t>ROSCI0136 Pădurea Bejan</w:t>
      </w:r>
    </w:p>
    <w:p w14:paraId="2FC82AC0" w14:textId="77777777" w:rsidR="0007555D" w:rsidRPr="00C56257" w:rsidRDefault="0007555D" w:rsidP="008E33FD">
      <w:pPr>
        <w:spacing w:line="259" w:lineRule="auto"/>
        <w:contextualSpacing/>
        <w:jc w:val="both"/>
        <w:rPr>
          <w:rFonts w:eastAsia="Calibri"/>
        </w:rPr>
      </w:pPr>
      <w:r w:rsidRPr="00C56257">
        <w:rPr>
          <w:rFonts w:eastAsia="Calibri"/>
        </w:rPr>
        <w:t>ROS</w:t>
      </w:r>
      <w:r w:rsidR="00F4312E">
        <w:rPr>
          <w:rFonts w:eastAsia="Calibri"/>
        </w:rPr>
        <w:t>AC</w:t>
      </w:r>
      <w:r w:rsidRPr="00C56257">
        <w:rPr>
          <w:rFonts w:eastAsia="Calibri"/>
        </w:rPr>
        <w:t>0173 Pădurea Stârmina</w:t>
      </w:r>
    </w:p>
    <w:p w14:paraId="2D1CE21D" w14:textId="77777777" w:rsidR="0007555D" w:rsidRPr="00C56257" w:rsidRDefault="0007555D" w:rsidP="008E33FD">
      <w:pPr>
        <w:spacing w:line="259" w:lineRule="auto"/>
        <w:contextualSpacing/>
        <w:jc w:val="both"/>
        <w:rPr>
          <w:rFonts w:eastAsia="Calibri"/>
        </w:rPr>
      </w:pPr>
      <w:r w:rsidRPr="00C56257">
        <w:rPr>
          <w:rFonts w:eastAsia="Calibri"/>
        </w:rPr>
        <w:t>ROS</w:t>
      </w:r>
      <w:r w:rsidR="00F4312E">
        <w:rPr>
          <w:rFonts w:eastAsia="Calibri"/>
        </w:rPr>
        <w:t>AC</w:t>
      </w:r>
      <w:r w:rsidRPr="00C56257">
        <w:rPr>
          <w:rFonts w:eastAsia="Calibri"/>
        </w:rPr>
        <w:t>0198 Platoul Mehedinți</w:t>
      </w:r>
    </w:p>
    <w:p w14:paraId="481B4E9F" w14:textId="77777777" w:rsidR="0007555D" w:rsidRPr="00C56257" w:rsidRDefault="0007555D" w:rsidP="008E33FD">
      <w:pPr>
        <w:spacing w:line="259" w:lineRule="auto"/>
        <w:contextualSpacing/>
        <w:jc w:val="both"/>
        <w:rPr>
          <w:rFonts w:eastAsia="Calibri"/>
        </w:rPr>
      </w:pPr>
      <w:r w:rsidRPr="00C56257">
        <w:rPr>
          <w:rFonts w:eastAsia="Calibri"/>
        </w:rPr>
        <w:t>ROSCI0206 Porțile de Fier *</w:t>
      </w:r>
    </w:p>
    <w:p w14:paraId="5AA40CAA" w14:textId="77777777" w:rsidR="0007555D" w:rsidRPr="00C56257" w:rsidRDefault="0007555D" w:rsidP="008E33FD">
      <w:pPr>
        <w:spacing w:line="259" w:lineRule="auto"/>
        <w:contextualSpacing/>
        <w:jc w:val="both"/>
        <w:rPr>
          <w:rFonts w:eastAsia="Calibri"/>
        </w:rPr>
      </w:pPr>
      <w:r w:rsidRPr="00C56257">
        <w:rPr>
          <w:rFonts w:eastAsia="Calibri"/>
        </w:rPr>
        <w:t>ROSCI0226 Semenic - Cheile Carașului</w:t>
      </w:r>
    </w:p>
    <w:p w14:paraId="6286CCF8" w14:textId="77777777" w:rsidR="0007555D" w:rsidRPr="00C56257" w:rsidRDefault="0007555D" w:rsidP="008E33FD">
      <w:pPr>
        <w:spacing w:line="259" w:lineRule="auto"/>
        <w:contextualSpacing/>
        <w:jc w:val="both"/>
        <w:rPr>
          <w:rFonts w:eastAsia="Calibri"/>
        </w:rPr>
      </w:pPr>
      <w:r w:rsidRPr="00C56257">
        <w:rPr>
          <w:rFonts w:eastAsia="Calibri"/>
        </w:rPr>
        <w:t>ROSCI0254 Tufurile calcaroase din Valea Bobâlna</w:t>
      </w:r>
    </w:p>
    <w:p w14:paraId="68721F8E" w14:textId="77777777" w:rsidR="0007555D" w:rsidRPr="00C56257" w:rsidRDefault="0007555D" w:rsidP="008E33FD">
      <w:pPr>
        <w:spacing w:line="259" w:lineRule="auto"/>
        <w:contextualSpacing/>
        <w:jc w:val="both"/>
        <w:rPr>
          <w:rFonts w:eastAsia="Calibri"/>
        </w:rPr>
      </w:pPr>
      <w:r w:rsidRPr="00C56257">
        <w:rPr>
          <w:rFonts w:eastAsia="Calibri"/>
        </w:rPr>
        <w:t>ROSCI0296 Dealurile Drăgășaniului</w:t>
      </w:r>
    </w:p>
    <w:p w14:paraId="7D318624" w14:textId="77777777" w:rsidR="0007555D" w:rsidRPr="00C56257" w:rsidRDefault="0007555D" w:rsidP="008E33FD">
      <w:pPr>
        <w:spacing w:line="259" w:lineRule="auto"/>
        <w:contextualSpacing/>
        <w:jc w:val="both"/>
        <w:rPr>
          <w:rFonts w:eastAsia="Calibri"/>
        </w:rPr>
      </w:pPr>
      <w:r w:rsidRPr="00C56257">
        <w:rPr>
          <w:rFonts w:eastAsia="Calibri"/>
        </w:rPr>
        <w:t>ROS</w:t>
      </w:r>
      <w:r w:rsidR="00F4312E">
        <w:rPr>
          <w:rFonts w:eastAsia="Calibri"/>
        </w:rPr>
        <w:t>AC</w:t>
      </w:r>
      <w:r w:rsidRPr="00C56257">
        <w:rPr>
          <w:rFonts w:eastAsia="Calibri"/>
        </w:rPr>
        <w:t>0298 Defileul Crișului Alb</w:t>
      </w:r>
    </w:p>
    <w:p w14:paraId="6FF40112" w14:textId="77777777" w:rsidR="0007555D" w:rsidRPr="00C56257" w:rsidRDefault="0007555D" w:rsidP="008E33FD">
      <w:pPr>
        <w:spacing w:line="259" w:lineRule="auto"/>
        <w:contextualSpacing/>
        <w:jc w:val="both"/>
        <w:rPr>
          <w:rFonts w:eastAsia="Calibri"/>
        </w:rPr>
      </w:pPr>
      <w:r w:rsidRPr="00C56257">
        <w:rPr>
          <w:rFonts w:eastAsia="Calibri"/>
        </w:rPr>
        <w:t>ROSCI0325 Munții Metaliferi</w:t>
      </w:r>
    </w:p>
    <w:p w14:paraId="7EDA0240" w14:textId="77777777" w:rsidR="0007555D" w:rsidRPr="00C56257" w:rsidRDefault="0007555D" w:rsidP="008E33FD">
      <w:pPr>
        <w:spacing w:line="259" w:lineRule="auto"/>
        <w:contextualSpacing/>
        <w:jc w:val="both"/>
        <w:rPr>
          <w:rFonts w:eastAsia="Calibri"/>
        </w:rPr>
      </w:pPr>
      <w:r w:rsidRPr="00C56257">
        <w:rPr>
          <w:rFonts w:eastAsia="Calibri"/>
        </w:rPr>
        <w:t>ROS</w:t>
      </w:r>
      <w:r w:rsidR="00F4312E">
        <w:rPr>
          <w:rFonts w:eastAsia="Calibri"/>
        </w:rPr>
        <w:t>AC</w:t>
      </w:r>
      <w:r w:rsidRPr="00C56257">
        <w:rPr>
          <w:rFonts w:eastAsia="Calibri"/>
        </w:rPr>
        <w:t>0337 Pădurea Neudorfului</w:t>
      </w:r>
    </w:p>
    <w:p w14:paraId="0C95550D" w14:textId="77777777" w:rsidR="0007555D" w:rsidRPr="00C56257" w:rsidRDefault="0007555D" w:rsidP="008E33FD">
      <w:pPr>
        <w:spacing w:line="259" w:lineRule="auto"/>
        <w:contextualSpacing/>
        <w:jc w:val="both"/>
        <w:rPr>
          <w:rFonts w:eastAsia="Calibri"/>
        </w:rPr>
      </w:pPr>
      <w:r w:rsidRPr="00C56257">
        <w:rPr>
          <w:rFonts w:eastAsia="Calibri"/>
        </w:rPr>
        <w:t>ROSCI0405 Dealurile Strehaia - Bâtlanele</w:t>
      </w:r>
    </w:p>
    <w:p w14:paraId="57EC9AAE" w14:textId="77777777" w:rsidR="0007555D" w:rsidRPr="00C56257" w:rsidRDefault="0007555D" w:rsidP="008E33FD">
      <w:pPr>
        <w:spacing w:line="259" w:lineRule="auto"/>
        <w:contextualSpacing/>
        <w:jc w:val="both"/>
        <w:rPr>
          <w:rFonts w:eastAsia="Calibri"/>
        </w:rPr>
      </w:pPr>
      <w:r w:rsidRPr="00C56257">
        <w:rPr>
          <w:rFonts w:eastAsia="Calibri"/>
        </w:rPr>
        <w:t>ROSCI0406 Zarandul de Est</w:t>
      </w:r>
    </w:p>
    <w:p w14:paraId="2AF6DF93" w14:textId="77777777" w:rsidR="0007555D" w:rsidRPr="00C56257" w:rsidRDefault="0007555D" w:rsidP="008E33FD">
      <w:pPr>
        <w:spacing w:line="259" w:lineRule="auto"/>
        <w:contextualSpacing/>
        <w:jc w:val="both"/>
        <w:rPr>
          <w:rFonts w:eastAsia="Calibri"/>
        </w:rPr>
      </w:pPr>
      <w:r w:rsidRPr="00C56257">
        <w:rPr>
          <w:rFonts w:eastAsia="Calibri"/>
        </w:rPr>
        <w:t>ROSCI0407 Zarandul de Vest</w:t>
      </w:r>
    </w:p>
    <w:p w14:paraId="5BEBE67D" w14:textId="77777777" w:rsidR="0007555D" w:rsidRPr="00C56257" w:rsidRDefault="0007555D" w:rsidP="008E33FD">
      <w:pPr>
        <w:spacing w:line="259" w:lineRule="auto"/>
        <w:contextualSpacing/>
        <w:jc w:val="both"/>
        <w:rPr>
          <w:rFonts w:eastAsia="Calibri"/>
        </w:rPr>
      </w:pPr>
      <w:r w:rsidRPr="00C56257">
        <w:rPr>
          <w:rFonts w:eastAsia="Calibri"/>
        </w:rPr>
        <w:t>ROSCI0420 Oprănești</w:t>
      </w:r>
    </w:p>
    <w:p w14:paraId="03F62C52" w14:textId="77777777" w:rsidR="0007555D" w:rsidRPr="00C56257" w:rsidRDefault="0007555D" w:rsidP="008E33FD">
      <w:pPr>
        <w:spacing w:line="259" w:lineRule="auto"/>
        <w:contextualSpacing/>
        <w:jc w:val="both"/>
        <w:rPr>
          <w:rFonts w:eastAsia="Calibri"/>
        </w:rPr>
      </w:pPr>
      <w:r w:rsidRPr="00C56257">
        <w:rPr>
          <w:rFonts w:eastAsia="Calibri"/>
        </w:rPr>
        <w:t>ROSCI0432 Prunișor</w:t>
      </w:r>
    </w:p>
    <w:p w14:paraId="160EF047" w14:textId="77777777" w:rsidR="0007555D" w:rsidRPr="00C56257" w:rsidRDefault="0007555D" w:rsidP="008E33FD">
      <w:pPr>
        <w:spacing w:line="259" w:lineRule="auto"/>
        <w:contextualSpacing/>
        <w:jc w:val="both"/>
        <w:rPr>
          <w:rFonts w:eastAsia="Calibri"/>
        </w:rPr>
      </w:pPr>
    </w:p>
    <w:p w14:paraId="562486E5"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91M0 - Păduri balcano-panonice de cer și gorun</w:t>
      </w:r>
    </w:p>
    <w:p w14:paraId="5257D462" w14:textId="77777777" w:rsidR="0007555D" w:rsidRPr="00C56257" w:rsidRDefault="0007555D" w:rsidP="008E33FD">
      <w:pPr>
        <w:spacing w:line="259" w:lineRule="auto"/>
        <w:contextualSpacing/>
        <w:jc w:val="both"/>
        <w:rPr>
          <w:rFonts w:eastAsia="Calibri"/>
          <w:b/>
        </w:rPr>
      </w:pPr>
    </w:p>
    <w:p w14:paraId="0E7BA19A"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0008 Betfia</w:t>
      </w:r>
    </w:p>
    <w:p w14:paraId="37F336EF"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0022 Canaralele Dunării</w:t>
      </w:r>
    </w:p>
    <w:p w14:paraId="088F4C30" w14:textId="77777777" w:rsidR="0007555D" w:rsidRPr="00C56257" w:rsidRDefault="0007555D" w:rsidP="008E33FD">
      <w:pPr>
        <w:spacing w:line="259" w:lineRule="auto"/>
        <w:contextualSpacing/>
        <w:jc w:val="both"/>
        <w:rPr>
          <w:rFonts w:eastAsia="Calibri"/>
          <w:bCs/>
        </w:rPr>
      </w:pPr>
      <w:r w:rsidRPr="00C56257">
        <w:rPr>
          <w:rFonts w:eastAsia="Calibri"/>
          <w:bCs/>
        </w:rPr>
        <w:t>ROSCI0028 Cheile Cernei</w:t>
      </w:r>
    </w:p>
    <w:p w14:paraId="7C6A8D59" w14:textId="77777777" w:rsidR="0007555D" w:rsidRPr="00C56257" w:rsidRDefault="0007555D" w:rsidP="008E33FD">
      <w:pPr>
        <w:spacing w:line="259" w:lineRule="auto"/>
        <w:contextualSpacing/>
        <w:jc w:val="both"/>
        <w:rPr>
          <w:rFonts w:eastAsia="Calibri"/>
          <w:bCs/>
        </w:rPr>
      </w:pPr>
      <w:r w:rsidRPr="00C56257">
        <w:rPr>
          <w:rFonts w:eastAsia="Calibri"/>
          <w:bCs/>
        </w:rPr>
        <w:t>ROSCI0029 Cheile Glodului, Cibului și Măzii</w:t>
      </w:r>
    </w:p>
    <w:p w14:paraId="1EBD8D37"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0031 Cheile Nerei - Beușnița</w:t>
      </w:r>
    </w:p>
    <w:p w14:paraId="68DF3073" w14:textId="77777777" w:rsidR="0007555D" w:rsidRPr="00C56257" w:rsidRDefault="0007555D" w:rsidP="008E33FD">
      <w:pPr>
        <w:spacing w:line="259" w:lineRule="auto"/>
        <w:contextualSpacing/>
        <w:jc w:val="both"/>
        <w:rPr>
          <w:rFonts w:eastAsia="Calibri"/>
          <w:bCs/>
        </w:rPr>
      </w:pPr>
      <w:r w:rsidRPr="00C56257">
        <w:rPr>
          <w:rFonts w:eastAsia="Calibri"/>
          <w:bCs/>
        </w:rPr>
        <w:t>ROSCI0032 Cheile Rudăriei</w:t>
      </w:r>
    </w:p>
    <w:p w14:paraId="555291D4" w14:textId="77777777" w:rsidR="0007555D" w:rsidRPr="00C56257" w:rsidRDefault="0007555D" w:rsidP="008E33FD">
      <w:pPr>
        <w:spacing w:line="259" w:lineRule="auto"/>
        <w:contextualSpacing/>
        <w:jc w:val="both"/>
        <w:rPr>
          <w:rFonts w:eastAsia="Calibri"/>
          <w:bCs/>
        </w:rPr>
      </w:pPr>
      <w:r w:rsidRPr="00C56257">
        <w:rPr>
          <w:rFonts w:eastAsia="Calibri"/>
          <w:bCs/>
        </w:rPr>
        <w:t>ROSCI0042 Codru Moma</w:t>
      </w:r>
    </w:p>
    <w:p w14:paraId="5BB15AFD" w14:textId="77777777" w:rsidR="0007555D" w:rsidRPr="00C56257" w:rsidRDefault="0007555D" w:rsidP="008E33FD">
      <w:pPr>
        <w:spacing w:line="259" w:lineRule="auto"/>
        <w:contextualSpacing/>
        <w:jc w:val="both"/>
        <w:rPr>
          <w:rFonts w:eastAsia="Calibri"/>
          <w:bCs/>
        </w:rPr>
      </w:pPr>
      <w:r w:rsidRPr="00C56257">
        <w:rPr>
          <w:rFonts w:eastAsia="Calibri"/>
          <w:bCs/>
        </w:rPr>
        <w:t>ROSCI0043 Comana</w:t>
      </w:r>
      <w:r w:rsidRPr="00C56257">
        <w:rPr>
          <w:rFonts w:eastAsia="Calibri"/>
        </w:rPr>
        <w:t xml:space="preserve"> *</w:t>
      </w:r>
    </w:p>
    <w:p w14:paraId="3DFC881B"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0045 Coridorul Jiului</w:t>
      </w:r>
      <w:r w:rsidRPr="00C56257">
        <w:rPr>
          <w:rFonts w:eastAsia="Calibri"/>
        </w:rPr>
        <w:t xml:space="preserve"> *</w:t>
      </w:r>
    </w:p>
    <w:p w14:paraId="1BFE58BD" w14:textId="77777777" w:rsidR="0007555D" w:rsidRPr="00C56257" w:rsidRDefault="0007555D" w:rsidP="008E33FD">
      <w:pPr>
        <w:spacing w:line="259" w:lineRule="auto"/>
        <w:contextualSpacing/>
        <w:jc w:val="both"/>
        <w:rPr>
          <w:rFonts w:eastAsia="Calibri"/>
          <w:bCs/>
        </w:rPr>
      </w:pPr>
      <w:r w:rsidRPr="00C56257">
        <w:rPr>
          <w:rFonts w:eastAsia="Calibri"/>
          <w:bCs/>
        </w:rPr>
        <w:t>ROSCI0054 Dealul Cetății Deva</w:t>
      </w:r>
    </w:p>
    <w:p w14:paraId="079F17D7"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0061 Defileul Crișului Negru</w:t>
      </w:r>
    </w:p>
    <w:p w14:paraId="7D624A06"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0062 Defileul Crișului Repede - Pădurea Craiului</w:t>
      </w:r>
    </w:p>
    <w:p w14:paraId="3EBECDDA"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0064 Defileul Mureșului</w:t>
      </w:r>
      <w:r w:rsidRPr="00C56257">
        <w:rPr>
          <w:rFonts w:eastAsia="Calibri"/>
        </w:rPr>
        <w:t xml:space="preserve"> *</w:t>
      </w:r>
    </w:p>
    <w:p w14:paraId="38EBFFD5" w14:textId="77777777" w:rsidR="0007555D" w:rsidRPr="00C56257" w:rsidRDefault="0007555D" w:rsidP="008E33FD">
      <w:pPr>
        <w:spacing w:line="259" w:lineRule="auto"/>
        <w:contextualSpacing/>
        <w:jc w:val="both"/>
        <w:rPr>
          <w:rFonts w:eastAsia="Calibri"/>
          <w:bCs/>
        </w:rPr>
      </w:pPr>
      <w:r w:rsidRPr="00C56257">
        <w:rPr>
          <w:rFonts w:eastAsia="Calibri"/>
          <w:bCs/>
        </w:rPr>
        <w:t>ROSCI0069 Domogled - Valea Cernei</w:t>
      </w:r>
    </w:p>
    <w:p w14:paraId="50C26DD6" w14:textId="77777777" w:rsidR="0007555D" w:rsidRPr="00C56257" w:rsidRDefault="0007555D" w:rsidP="008E33FD">
      <w:pPr>
        <w:spacing w:line="259" w:lineRule="auto"/>
        <w:contextualSpacing/>
        <w:jc w:val="both"/>
        <w:rPr>
          <w:rFonts w:eastAsia="Calibri"/>
          <w:bCs/>
        </w:rPr>
      </w:pPr>
      <w:r w:rsidRPr="00C56257">
        <w:rPr>
          <w:rFonts w:eastAsia="Calibri"/>
          <w:bCs/>
        </w:rPr>
        <w:t>ROSCI0070 Drocea</w:t>
      </w:r>
      <w:r w:rsidRPr="00C56257">
        <w:rPr>
          <w:rFonts w:eastAsia="Calibri"/>
        </w:rPr>
        <w:t xml:space="preserve"> *</w:t>
      </w:r>
    </w:p>
    <w:p w14:paraId="4DFC9451" w14:textId="77777777" w:rsidR="0007555D" w:rsidRPr="00C56257" w:rsidRDefault="0007555D" w:rsidP="008E33FD">
      <w:pPr>
        <w:spacing w:line="259" w:lineRule="auto"/>
        <w:contextualSpacing/>
        <w:jc w:val="both"/>
        <w:rPr>
          <w:rFonts w:eastAsia="Calibri"/>
          <w:bCs/>
        </w:rPr>
      </w:pPr>
      <w:r w:rsidRPr="00C56257">
        <w:rPr>
          <w:rFonts w:eastAsia="Calibri"/>
          <w:bCs/>
        </w:rPr>
        <w:lastRenderedPageBreak/>
        <w:t>ROS</w:t>
      </w:r>
      <w:r w:rsidR="000A0395">
        <w:rPr>
          <w:rFonts w:eastAsia="Calibri"/>
        </w:rPr>
        <w:t>AC</w:t>
      </w:r>
      <w:r w:rsidRPr="00C56257">
        <w:rPr>
          <w:rFonts w:eastAsia="Calibri"/>
          <w:bCs/>
        </w:rPr>
        <w:t>0071 Dumbrăveni - Valea Urluia - Lacul Vederoas</w:t>
      </w:r>
    </w:p>
    <w:p w14:paraId="6DD2BEA4"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0083 Fântânița Murfatlar</w:t>
      </w:r>
    </w:p>
    <w:p w14:paraId="48E883E7" w14:textId="77777777" w:rsidR="0007555D" w:rsidRPr="00C56257" w:rsidRDefault="0007555D" w:rsidP="008E33FD">
      <w:pPr>
        <w:spacing w:line="259" w:lineRule="auto"/>
        <w:contextualSpacing/>
        <w:jc w:val="both"/>
        <w:rPr>
          <w:rFonts w:eastAsia="Calibri"/>
          <w:bCs/>
        </w:rPr>
      </w:pPr>
      <w:r w:rsidRPr="00C56257">
        <w:rPr>
          <w:rFonts w:eastAsia="Calibri"/>
          <w:bCs/>
        </w:rPr>
        <w:t>ROSCI0087 Grădiștea Muncelului - Cioclovina</w:t>
      </w:r>
    </w:p>
    <w:p w14:paraId="1B19052B" w14:textId="77777777" w:rsidR="0007555D" w:rsidRPr="00C56257" w:rsidRDefault="0007555D" w:rsidP="008E33FD">
      <w:pPr>
        <w:spacing w:line="259" w:lineRule="auto"/>
        <w:contextualSpacing/>
        <w:jc w:val="both"/>
        <w:rPr>
          <w:rFonts w:eastAsia="Calibri"/>
          <w:bCs/>
        </w:rPr>
      </w:pPr>
      <w:r w:rsidRPr="000A0395">
        <w:rPr>
          <w:rFonts w:eastAsia="Calibri"/>
          <w:bCs/>
        </w:rPr>
        <w:t>RO</w:t>
      </w:r>
      <w:r w:rsidR="000A0395" w:rsidRPr="000A0395">
        <w:rPr>
          <w:rFonts w:eastAsia="Calibri"/>
          <w:bCs/>
        </w:rPr>
        <w:t>SAC</w:t>
      </w:r>
      <w:r w:rsidRPr="000A0395">
        <w:rPr>
          <w:rFonts w:eastAsia="Calibri"/>
          <w:bCs/>
        </w:rPr>
        <w:t>0099 Lacul Știucilor</w:t>
      </w:r>
      <w:r w:rsidRPr="00C56257">
        <w:rPr>
          <w:rFonts w:eastAsia="Calibri"/>
          <w:bCs/>
        </w:rPr>
        <w:t xml:space="preserve"> - Sic - Puini - Bonțida</w:t>
      </w:r>
    </w:p>
    <w:p w14:paraId="29E80AB4"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0106 Lunca Mijlocie a Argeșului</w:t>
      </w:r>
    </w:p>
    <w:p w14:paraId="45EF6B30" w14:textId="77777777" w:rsidR="0007555D" w:rsidRPr="00C56257" w:rsidRDefault="0007555D" w:rsidP="008E33FD">
      <w:pPr>
        <w:spacing w:line="259" w:lineRule="auto"/>
        <w:contextualSpacing/>
        <w:jc w:val="both"/>
        <w:rPr>
          <w:rFonts w:eastAsia="Calibri"/>
          <w:bCs/>
        </w:rPr>
      </w:pPr>
      <w:r w:rsidRPr="00C56257">
        <w:rPr>
          <w:rFonts w:eastAsia="Calibri"/>
          <w:bCs/>
        </w:rPr>
        <w:t>ROSCI0109 Lunca Timișului</w:t>
      </w:r>
    </w:p>
    <w:p w14:paraId="0CEFFB70" w14:textId="77777777" w:rsidR="0007555D" w:rsidRPr="00C56257" w:rsidRDefault="0007555D" w:rsidP="008E33FD">
      <w:pPr>
        <w:spacing w:line="259" w:lineRule="auto"/>
        <w:contextualSpacing/>
        <w:jc w:val="both"/>
        <w:rPr>
          <w:rFonts w:eastAsia="Calibri"/>
          <w:bCs/>
        </w:rPr>
      </w:pPr>
      <w:r w:rsidRPr="00C56257">
        <w:rPr>
          <w:rFonts w:eastAsia="Calibri"/>
          <w:bCs/>
        </w:rPr>
        <w:t>ROSCI0123 Munții Măcinului</w:t>
      </w:r>
    </w:p>
    <w:p w14:paraId="6D8DB9D9" w14:textId="77777777" w:rsidR="0007555D" w:rsidRPr="00C56257" w:rsidRDefault="0007555D" w:rsidP="008E33FD">
      <w:pPr>
        <w:spacing w:line="259" w:lineRule="auto"/>
        <w:contextualSpacing/>
        <w:jc w:val="both"/>
        <w:rPr>
          <w:rFonts w:eastAsia="Calibri"/>
          <w:bCs/>
        </w:rPr>
      </w:pPr>
      <w:r w:rsidRPr="00C56257">
        <w:rPr>
          <w:rFonts w:eastAsia="Calibri"/>
          <w:bCs/>
        </w:rPr>
        <w:t>ROSCI0126 Munții Țarcu</w:t>
      </w:r>
    </w:p>
    <w:p w14:paraId="711FA294"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0128 Nordul Gorjului de Est</w:t>
      </w:r>
    </w:p>
    <w:p w14:paraId="65AD0591"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0129 Nordul Gorjului de Vest</w:t>
      </w:r>
    </w:p>
    <w:p w14:paraId="39BB8AFB" w14:textId="77777777" w:rsidR="0007555D" w:rsidRPr="00C56257" w:rsidRDefault="0007555D" w:rsidP="008E33FD">
      <w:pPr>
        <w:spacing w:line="259" w:lineRule="auto"/>
        <w:contextualSpacing/>
        <w:jc w:val="both"/>
        <w:rPr>
          <w:rFonts w:eastAsia="Calibri"/>
          <w:bCs/>
        </w:rPr>
      </w:pPr>
      <w:r w:rsidRPr="00C56257">
        <w:rPr>
          <w:rFonts w:eastAsia="Calibri"/>
          <w:bCs/>
        </w:rPr>
        <w:t>ROSCI0136 Pădurea Bejan</w:t>
      </w:r>
    </w:p>
    <w:p w14:paraId="6ACF89F6"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0138 Pădurea Bolintin</w:t>
      </w:r>
      <w:r w:rsidRPr="00C56257">
        <w:rPr>
          <w:rFonts w:eastAsia="Calibri"/>
        </w:rPr>
        <w:t xml:space="preserve"> *</w:t>
      </w:r>
    </w:p>
    <w:p w14:paraId="36EC86D9"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0140 Pădurea Călugărească</w:t>
      </w:r>
      <w:r w:rsidRPr="00C56257">
        <w:rPr>
          <w:rFonts w:eastAsia="Calibri"/>
        </w:rPr>
        <w:t xml:space="preserve"> *</w:t>
      </w:r>
    </w:p>
    <w:p w14:paraId="2AFDFCA3"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0145 Pădurea de la Alparea</w:t>
      </w:r>
      <w:r w:rsidRPr="00C56257">
        <w:rPr>
          <w:rFonts w:eastAsia="Calibri"/>
        </w:rPr>
        <w:t xml:space="preserve"> *</w:t>
      </w:r>
    </w:p>
    <w:p w14:paraId="6CD1CFD4"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0149 Pădurea Eseschioi - Lacul Bugeac</w:t>
      </w:r>
    </w:p>
    <w:p w14:paraId="481EF752"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0155 Pădurea Goroniște</w:t>
      </w:r>
    </w:p>
    <w:p w14:paraId="6702CFA4"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0157 Pădurea Hagieni - Cotul Văii</w:t>
      </w:r>
    </w:p>
    <w:p w14:paraId="71E4B206"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0168 Pădurea Sarului</w:t>
      </w:r>
      <w:r w:rsidRPr="00C56257">
        <w:rPr>
          <w:rFonts w:eastAsia="Calibri"/>
        </w:rPr>
        <w:t xml:space="preserve"> *</w:t>
      </w:r>
    </w:p>
    <w:p w14:paraId="6D8E7C26"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0172 Pădurea și Valea Canaraua Fetii - Iortmac</w:t>
      </w:r>
      <w:r w:rsidRPr="00C56257">
        <w:rPr>
          <w:rFonts w:eastAsia="Calibri"/>
        </w:rPr>
        <w:t xml:space="preserve"> *</w:t>
      </w:r>
    </w:p>
    <w:p w14:paraId="0E3DB445"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0173 Pădurea Stârmina</w:t>
      </w:r>
    </w:p>
    <w:p w14:paraId="70397548" w14:textId="77777777" w:rsidR="0007555D" w:rsidRPr="00C56257" w:rsidRDefault="0007555D" w:rsidP="008E33FD">
      <w:pPr>
        <w:spacing w:line="259" w:lineRule="auto"/>
        <w:contextualSpacing/>
        <w:jc w:val="both"/>
        <w:rPr>
          <w:rFonts w:eastAsia="Calibri"/>
          <w:bCs/>
        </w:rPr>
      </w:pPr>
      <w:r w:rsidRPr="00C56257">
        <w:rPr>
          <w:rFonts w:eastAsia="Calibri"/>
          <w:bCs/>
        </w:rPr>
        <w:t>ROSCI0177 Pădurea Topana</w:t>
      </w:r>
    </w:p>
    <w:p w14:paraId="67555087" w14:textId="77777777" w:rsidR="0007555D" w:rsidRPr="00C56257" w:rsidRDefault="0007555D" w:rsidP="008E33FD">
      <w:pPr>
        <w:spacing w:line="259" w:lineRule="auto"/>
        <w:contextualSpacing/>
        <w:jc w:val="both"/>
        <w:rPr>
          <w:rFonts w:eastAsia="Calibri"/>
          <w:bCs/>
        </w:rPr>
      </w:pPr>
      <w:r w:rsidRPr="00C56257">
        <w:rPr>
          <w:rFonts w:eastAsia="Calibri"/>
          <w:bCs/>
        </w:rPr>
        <w:t>ROSCI0179 Pădurea Troianu</w:t>
      </w:r>
    </w:p>
    <w:p w14:paraId="4EFF312B"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0198 Platoul Mehedinți</w:t>
      </w:r>
      <w:r w:rsidRPr="00C56257">
        <w:rPr>
          <w:rFonts w:eastAsia="Calibri"/>
        </w:rPr>
        <w:t xml:space="preserve"> *</w:t>
      </w:r>
    </w:p>
    <w:p w14:paraId="2F0E2E91" w14:textId="77777777" w:rsidR="0007555D" w:rsidRPr="00C56257" w:rsidRDefault="0007555D" w:rsidP="008E33FD">
      <w:pPr>
        <w:spacing w:line="259" w:lineRule="auto"/>
        <w:contextualSpacing/>
        <w:jc w:val="both"/>
        <w:rPr>
          <w:rFonts w:eastAsia="Calibri"/>
          <w:bCs/>
        </w:rPr>
      </w:pPr>
      <w:r w:rsidRPr="00C56257">
        <w:rPr>
          <w:rFonts w:eastAsia="Calibri"/>
          <w:bCs/>
        </w:rPr>
        <w:t>ROSCI0201 Podișul Nord Dobrogean</w:t>
      </w:r>
    </w:p>
    <w:p w14:paraId="4E1D3263"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0202 Silvostepa Olteniei</w:t>
      </w:r>
      <w:r w:rsidRPr="00C56257">
        <w:rPr>
          <w:rFonts w:eastAsia="Calibri"/>
        </w:rPr>
        <w:t xml:space="preserve"> *</w:t>
      </w:r>
    </w:p>
    <w:p w14:paraId="5122E544" w14:textId="77777777" w:rsidR="0007555D" w:rsidRPr="00C56257" w:rsidRDefault="0007555D" w:rsidP="008E33FD">
      <w:pPr>
        <w:spacing w:line="259" w:lineRule="auto"/>
        <w:contextualSpacing/>
        <w:jc w:val="both"/>
        <w:rPr>
          <w:rFonts w:eastAsia="Calibri"/>
          <w:bCs/>
        </w:rPr>
      </w:pPr>
      <w:r w:rsidRPr="00C56257">
        <w:rPr>
          <w:rFonts w:eastAsia="Calibri"/>
          <w:bCs/>
        </w:rPr>
        <w:t>ROSCI0206 Porțile de Fier</w:t>
      </w:r>
    </w:p>
    <w:p w14:paraId="42C251B9"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0209 Racâș - Hida</w:t>
      </w:r>
    </w:p>
    <w:p w14:paraId="33C5EEE3"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0214 Râul Tur</w:t>
      </w:r>
    </w:p>
    <w:p w14:paraId="4B6A5BA5"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0218 Dealul Mocrei - Rovina - Ineu</w:t>
      </w:r>
      <w:r w:rsidRPr="00C56257">
        <w:rPr>
          <w:rFonts w:eastAsia="Calibri"/>
        </w:rPr>
        <w:t xml:space="preserve"> *</w:t>
      </w:r>
    </w:p>
    <w:p w14:paraId="4A4AB955" w14:textId="77777777" w:rsidR="0007555D" w:rsidRPr="00C56257" w:rsidRDefault="0007555D" w:rsidP="008E33FD">
      <w:pPr>
        <w:spacing w:line="259" w:lineRule="auto"/>
        <w:contextualSpacing/>
        <w:jc w:val="both"/>
        <w:rPr>
          <w:rFonts w:eastAsia="Calibri"/>
          <w:bCs/>
        </w:rPr>
      </w:pPr>
      <w:r w:rsidRPr="00C56257">
        <w:rPr>
          <w:rFonts w:eastAsia="Calibri"/>
          <w:bCs/>
        </w:rPr>
        <w:t>ROSCI0220 Săcueni</w:t>
      </w:r>
      <w:r w:rsidRPr="00C56257">
        <w:rPr>
          <w:rFonts w:eastAsia="Calibri"/>
        </w:rPr>
        <w:t xml:space="preserve"> *</w:t>
      </w:r>
    </w:p>
    <w:p w14:paraId="2FB4DD67"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0224 Scroviștea</w:t>
      </w:r>
    </w:p>
    <w:p w14:paraId="489E84FF"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0225 Seaca - Optășani</w:t>
      </w:r>
    </w:p>
    <w:p w14:paraId="0460F68B" w14:textId="77777777" w:rsidR="0007555D" w:rsidRPr="00C56257" w:rsidRDefault="0007555D" w:rsidP="008E33FD">
      <w:pPr>
        <w:spacing w:line="259" w:lineRule="auto"/>
        <w:contextualSpacing/>
        <w:jc w:val="both"/>
        <w:rPr>
          <w:rFonts w:eastAsia="Calibri"/>
          <w:bCs/>
        </w:rPr>
      </w:pPr>
      <w:r w:rsidRPr="00C56257">
        <w:rPr>
          <w:rFonts w:eastAsia="Calibri"/>
          <w:bCs/>
        </w:rPr>
        <w:t>ROSCI0226 Semenic - Cheile Carașului</w:t>
      </w:r>
    </w:p>
    <w:p w14:paraId="16DEE60D" w14:textId="77777777" w:rsidR="0007555D" w:rsidRPr="00C56257" w:rsidRDefault="0007555D" w:rsidP="008E33FD">
      <w:pPr>
        <w:spacing w:line="259" w:lineRule="auto"/>
        <w:contextualSpacing/>
        <w:jc w:val="both"/>
        <w:rPr>
          <w:rFonts w:eastAsia="Calibri"/>
          <w:bCs/>
        </w:rPr>
      </w:pPr>
      <w:r w:rsidRPr="00C56257">
        <w:rPr>
          <w:rFonts w:eastAsia="Calibri"/>
          <w:bCs/>
        </w:rPr>
        <w:t>ROSCI0236 Strei - Hațeg</w:t>
      </w:r>
    </w:p>
    <w:p w14:paraId="002C3301"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0240 Tășad</w:t>
      </w:r>
    </w:p>
    <w:p w14:paraId="3AAD5C45" w14:textId="77777777" w:rsidR="0007555D" w:rsidRPr="00C56257" w:rsidRDefault="0007555D" w:rsidP="008E33FD">
      <w:pPr>
        <w:spacing w:line="259" w:lineRule="auto"/>
        <w:contextualSpacing/>
        <w:jc w:val="both"/>
        <w:rPr>
          <w:rFonts w:eastAsia="Calibri"/>
          <w:bCs/>
        </w:rPr>
      </w:pPr>
      <w:r w:rsidRPr="00C56257">
        <w:rPr>
          <w:rFonts w:eastAsia="Calibri"/>
          <w:bCs/>
        </w:rPr>
        <w:t>ROSCI0267 Valea Roșie</w:t>
      </w:r>
    </w:p>
    <w:p w14:paraId="27B991AB"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0275 Bârsău - Șomcuta</w:t>
      </w:r>
    </w:p>
    <w:p w14:paraId="151623BE" w14:textId="77777777" w:rsidR="0007555D" w:rsidRPr="00C56257" w:rsidRDefault="0007555D" w:rsidP="008E33FD">
      <w:pPr>
        <w:spacing w:line="259" w:lineRule="auto"/>
        <w:contextualSpacing/>
        <w:jc w:val="both"/>
        <w:rPr>
          <w:rFonts w:eastAsia="Calibri"/>
          <w:bCs/>
        </w:rPr>
      </w:pPr>
      <w:r w:rsidRPr="00C56257">
        <w:rPr>
          <w:rFonts w:eastAsia="Calibri"/>
          <w:bCs/>
        </w:rPr>
        <w:t>ROSCI0284 Cheile Teregovei</w:t>
      </w:r>
    </w:p>
    <w:p w14:paraId="0D65E29A"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0A0395">
        <w:rPr>
          <w:rFonts w:eastAsia="Calibri"/>
        </w:rPr>
        <w:t>AC</w:t>
      </w:r>
      <w:r w:rsidRPr="00C56257">
        <w:rPr>
          <w:rFonts w:eastAsia="Calibri"/>
          <w:bCs/>
        </w:rPr>
        <w:t>0289 Coridorul Drocea - Codru Moma</w:t>
      </w:r>
    </w:p>
    <w:p w14:paraId="18B2F8BA" w14:textId="77777777" w:rsidR="0007555D" w:rsidRPr="00C56257" w:rsidRDefault="0007555D" w:rsidP="008E33FD">
      <w:pPr>
        <w:spacing w:line="259" w:lineRule="auto"/>
        <w:contextualSpacing/>
        <w:jc w:val="both"/>
        <w:rPr>
          <w:rFonts w:eastAsia="Calibri"/>
          <w:bCs/>
        </w:rPr>
      </w:pPr>
      <w:r w:rsidRPr="00C56257">
        <w:rPr>
          <w:rFonts w:eastAsia="Calibri"/>
          <w:bCs/>
        </w:rPr>
        <w:t>ROSCI0291 Coridorul Munții Bihorului - Codru Moma</w:t>
      </w:r>
    </w:p>
    <w:p w14:paraId="24FCB5B0" w14:textId="77777777" w:rsidR="0007555D" w:rsidRPr="00C56257" w:rsidRDefault="0007555D" w:rsidP="008E33FD">
      <w:pPr>
        <w:spacing w:line="259" w:lineRule="auto"/>
        <w:contextualSpacing/>
        <w:jc w:val="both"/>
        <w:rPr>
          <w:rFonts w:eastAsia="Calibri"/>
          <w:bCs/>
        </w:rPr>
      </w:pPr>
      <w:r w:rsidRPr="00C56257">
        <w:rPr>
          <w:rFonts w:eastAsia="Calibri"/>
          <w:bCs/>
        </w:rPr>
        <w:t>ROSCI0292 Coridorul Rusca Montană - Țarcu - Retezat</w:t>
      </w:r>
    </w:p>
    <w:p w14:paraId="0DD2EAAC" w14:textId="77777777" w:rsidR="0007555D" w:rsidRPr="00C56257" w:rsidRDefault="0007555D" w:rsidP="008E33FD">
      <w:pPr>
        <w:spacing w:line="259" w:lineRule="auto"/>
        <w:contextualSpacing/>
        <w:jc w:val="both"/>
        <w:rPr>
          <w:rFonts w:eastAsia="Calibri"/>
          <w:bCs/>
        </w:rPr>
      </w:pPr>
      <w:r w:rsidRPr="00C56257">
        <w:rPr>
          <w:rFonts w:eastAsia="Calibri"/>
          <w:bCs/>
        </w:rPr>
        <w:t>ROSCI0295 Dealurile Clujului de Est</w:t>
      </w:r>
    </w:p>
    <w:p w14:paraId="6F8171C4" w14:textId="77777777" w:rsidR="0007555D" w:rsidRPr="00C56257" w:rsidRDefault="0007555D" w:rsidP="008E33FD">
      <w:pPr>
        <w:spacing w:line="259" w:lineRule="auto"/>
        <w:contextualSpacing/>
        <w:jc w:val="both"/>
        <w:rPr>
          <w:rFonts w:eastAsia="Calibri"/>
          <w:bCs/>
        </w:rPr>
      </w:pPr>
      <w:r w:rsidRPr="00C56257">
        <w:rPr>
          <w:rFonts w:eastAsia="Calibri"/>
          <w:bCs/>
        </w:rPr>
        <w:t>ROSCI0296 Dealurile Drăgășaniului</w:t>
      </w:r>
    </w:p>
    <w:p w14:paraId="53F66FA0"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39426C">
        <w:rPr>
          <w:rFonts w:eastAsia="Calibri"/>
        </w:rPr>
        <w:t>AC</w:t>
      </w:r>
      <w:r w:rsidRPr="00C56257">
        <w:rPr>
          <w:rFonts w:eastAsia="Calibri"/>
          <w:bCs/>
        </w:rPr>
        <w:t>0298 Defileul Crișului Alb</w:t>
      </w:r>
      <w:r w:rsidRPr="00C56257">
        <w:rPr>
          <w:rFonts w:eastAsia="Calibri"/>
        </w:rPr>
        <w:t xml:space="preserve"> *</w:t>
      </w:r>
    </w:p>
    <w:p w14:paraId="30253E0B"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39426C">
        <w:rPr>
          <w:rFonts w:eastAsia="Calibri"/>
        </w:rPr>
        <w:t>AC</w:t>
      </w:r>
      <w:r w:rsidRPr="00C56257">
        <w:rPr>
          <w:rFonts w:eastAsia="Calibri"/>
          <w:bCs/>
        </w:rPr>
        <w:t>0306 Jiana</w:t>
      </w:r>
    </w:p>
    <w:p w14:paraId="1FC9FB92" w14:textId="77777777" w:rsidR="0007555D" w:rsidRPr="00C56257" w:rsidRDefault="0007555D" w:rsidP="008E33FD">
      <w:pPr>
        <w:spacing w:line="259" w:lineRule="auto"/>
        <w:contextualSpacing/>
        <w:jc w:val="both"/>
        <w:rPr>
          <w:rFonts w:eastAsia="Calibri"/>
          <w:bCs/>
        </w:rPr>
      </w:pPr>
      <w:r w:rsidRPr="00C56257">
        <w:rPr>
          <w:rFonts w:eastAsia="Calibri"/>
          <w:bCs/>
        </w:rPr>
        <w:t>ROSCI0308 Lacul și Pădurea Cernica</w:t>
      </w:r>
      <w:r w:rsidRPr="00C56257">
        <w:rPr>
          <w:rFonts w:eastAsia="Calibri"/>
        </w:rPr>
        <w:t xml:space="preserve"> *</w:t>
      </w:r>
    </w:p>
    <w:p w14:paraId="22C4E622" w14:textId="77777777" w:rsidR="0007555D" w:rsidRPr="00C56257" w:rsidRDefault="0007555D" w:rsidP="008E33FD">
      <w:pPr>
        <w:spacing w:line="259" w:lineRule="auto"/>
        <w:contextualSpacing/>
        <w:jc w:val="both"/>
        <w:rPr>
          <w:rFonts w:eastAsia="Calibri"/>
          <w:bCs/>
        </w:rPr>
      </w:pPr>
      <w:r w:rsidRPr="00C56257">
        <w:rPr>
          <w:rFonts w:eastAsia="Calibri"/>
          <w:bCs/>
        </w:rPr>
        <w:lastRenderedPageBreak/>
        <w:t>ROSCI0314 Lozna</w:t>
      </w:r>
    </w:p>
    <w:p w14:paraId="76BD74E0"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39426C">
        <w:rPr>
          <w:rFonts w:eastAsia="Calibri"/>
        </w:rPr>
        <w:t>AC</w:t>
      </w:r>
      <w:r w:rsidRPr="00C56257">
        <w:rPr>
          <w:rFonts w:eastAsia="Calibri"/>
          <w:bCs/>
        </w:rPr>
        <w:t>0322 Muntele Șes</w:t>
      </w:r>
    </w:p>
    <w:p w14:paraId="5D399D00" w14:textId="77777777" w:rsidR="0007555D" w:rsidRPr="00C56257" w:rsidRDefault="0007555D" w:rsidP="008E33FD">
      <w:pPr>
        <w:spacing w:line="259" w:lineRule="auto"/>
        <w:contextualSpacing/>
        <w:jc w:val="both"/>
        <w:rPr>
          <w:rFonts w:eastAsia="Calibri"/>
          <w:bCs/>
        </w:rPr>
      </w:pPr>
      <w:r w:rsidRPr="00C56257">
        <w:rPr>
          <w:rFonts w:eastAsia="Calibri"/>
          <w:bCs/>
        </w:rPr>
        <w:t>ROSCI0325 Munții Metaliferi</w:t>
      </w:r>
    </w:p>
    <w:p w14:paraId="0648EAEF" w14:textId="77777777" w:rsidR="0007555D" w:rsidRPr="00C56257" w:rsidRDefault="0007555D" w:rsidP="008E33FD">
      <w:pPr>
        <w:spacing w:line="259" w:lineRule="auto"/>
        <w:contextualSpacing/>
        <w:jc w:val="both"/>
        <w:rPr>
          <w:rFonts w:eastAsia="Calibri"/>
          <w:bCs/>
        </w:rPr>
      </w:pPr>
      <w:r w:rsidRPr="00C56257">
        <w:rPr>
          <w:rFonts w:eastAsia="Calibri"/>
          <w:bCs/>
        </w:rPr>
        <w:t>ROSCI0336 Pădurea Dumbrava</w:t>
      </w:r>
    </w:p>
    <w:p w14:paraId="366995D0"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39426C">
        <w:rPr>
          <w:rFonts w:eastAsia="Calibri"/>
        </w:rPr>
        <w:t>AC</w:t>
      </w:r>
      <w:r w:rsidRPr="00C56257">
        <w:rPr>
          <w:rFonts w:eastAsia="Calibri"/>
          <w:bCs/>
        </w:rPr>
        <w:t>0337 Pădurea Neudorfului</w:t>
      </w:r>
    </w:p>
    <w:p w14:paraId="0BA50EE1" w14:textId="77777777" w:rsidR="0007555D" w:rsidRPr="00C56257" w:rsidRDefault="0007555D" w:rsidP="008E33FD">
      <w:pPr>
        <w:spacing w:line="259" w:lineRule="auto"/>
        <w:contextualSpacing/>
        <w:jc w:val="both"/>
        <w:rPr>
          <w:rFonts w:eastAsia="Calibri"/>
          <w:bCs/>
        </w:rPr>
      </w:pPr>
      <w:r w:rsidRPr="00C56257">
        <w:rPr>
          <w:rFonts w:eastAsia="Calibri"/>
          <w:bCs/>
        </w:rPr>
        <w:t>ROSCI0338 Pădurea Paniova</w:t>
      </w:r>
      <w:r w:rsidRPr="00C56257">
        <w:rPr>
          <w:rFonts w:eastAsia="Calibri"/>
        </w:rPr>
        <w:t xml:space="preserve"> *</w:t>
      </w:r>
    </w:p>
    <w:p w14:paraId="563877B2" w14:textId="77777777" w:rsidR="0007555D" w:rsidRPr="00C56257" w:rsidRDefault="0007555D" w:rsidP="008E33FD">
      <w:pPr>
        <w:spacing w:line="259" w:lineRule="auto"/>
        <w:contextualSpacing/>
        <w:jc w:val="both"/>
        <w:rPr>
          <w:rFonts w:eastAsia="Calibri"/>
          <w:bCs/>
        </w:rPr>
      </w:pPr>
      <w:r w:rsidRPr="00C56257">
        <w:rPr>
          <w:rFonts w:eastAsia="Calibri"/>
          <w:bCs/>
        </w:rPr>
        <w:t>ROSCI0340 Cuiugiuc</w:t>
      </w:r>
    </w:p>
    <w:p w14:paraId="4F54DD13" w14:textId="77777777" w:rsidR="0007555D" w:rsidRPr="00C56257" w:rsidRDefault="0007555D" w:rsidP="008E33FD">
      <w:pPr>
        <w:spacing w:line="259" w:lineRule="auto"/>
        <w:contextualSpacing/>
        <w:jc w:val="both"/>
        <w:rPr>
          <w:rFonts w:eastAsia="Calibri"/>
          <w:bCs/>
        </w:rPr>
      </w:pPr>
      <w:r w:rsidRPr="00C56257">
        <w:rPr>
          <w:rFonts w:eastAsia="Calibri"/>
          <w:bCs/>
        </w:rPr>
        <w:t>ROSCI0341 Pădurea și Lacul Stolnici</w:t>
      </w:r>
      <w:r w:rsidRPr="00C56257">
        <w:rPr>
          <w:rFonts w:eastAsia="Calibri"/>
        </w:rPr>
        <w:t xml:space="preserve"> *</w:t>
      </w:r>
    </w:p>
    <w:p w14:paraId="05B213F2"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39426C">
        <w:rPr>
          <w:rFonts w:eastAsia="Calibri"/>
        </w:rPr>
        <w:t>AC</w:t>
      </w:r>
      <w:r w:rsidRPr="00C56257">
        <w:rPr>
          <w:rFonts w:eastAsia="Calibri"/>
          <w:bCs/>
        </w:rPr>
        <w:t>0344 Pădurile din Sudul Piemontului Cândești</w:t>
      </w:r>
    </w:p>
    <w:p w14:paraId="1BB3EFED"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39426C">
        <w:rPr>
          <w:rFonts w:eastAsia="Calibri"/>
        </w:rPr>
        <w:t>AC</w:t>
      </w:r>
      <w:r w:rsidRPr="00C56257">
        <w:rPr>
          <w:rFonts w:eastAsia="Calibri"/>
          <w:bCs/>
        </w:rPr>
        <w:t>0354 Platforma Cotmeana</w:t>
      </w:r>
    </w:p>
    <w:p w14:paraId="610815BC" w14:textId="77777777" w:rsidR="0007555D" w:rsidRPr="00C56257" w:rsidRDefault="0007555D" w:rsidP="008E33FD">
      <w:pPr>
        <w:spacing w:line="259" w:lineRule="auto"/>
        <w:contextualSpacing/>
        <w:jc w:val="both"/>
        <w:rPr>
          <w:rFonts w:eastAsia="Calibri"/>
          <w:bCs/>
        </w:rPr>
      </w:pPr>
      <w:r w:rsidRPr="00C56257">
        <w:rPr>
          <w:rFonts w:eastAsia="Calibri"/>
          <w:bCs/>
        </w:rPr>
        <w:t>ROSCI0355 Podișul Lipovei - Poiana Ruscă</w:t>
      </w:r>
    </w:p>
    <w:p w14:paraId="0E36C7CF"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39426C">
        <w:rPr>
          <w:rFonts w:eastAsia="Calibri"/>
        </w:rPr>
        <w:t>AC</w:t>
      </w:r>
      <w:r w:rsidRPr="00C56257">
        <w:rPr>
          <w:rFonts w:eastAsia="Calibri"/>
          <w:bCs/>
        </w:rPr>
        <w:t>0359 Prigoria - Bengești</w:t>
      </w:r>
    </w:p>
    <w:p w14:paraId="669C0300"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39426C">
        <w:rPr>
          <w:rFonts w:eastAsia="Calibri"/>
        </w:rPr>
        <w:t>AC</w:t>
      </w:r>
      <w:r w:rsidRPr="00C56257">
        <w:rPr>
          <w:rFonts w:eastAsia="Calibri"/>
          <w:bCs/>
        </w:rPr>
        <w:t>0366 Râul Motru</w:t>
      </w:r>
    </w:p>
    <w:p w14:paraId="0A2BF6B0" w14:textId="77777777" w:rsidR="0007555D" w:rsidRPr="00C56257" w:rsidRDefault="0007555D" w:rsidP="008E33FD">
      <w:pPr>
        <w:spacing w:line="259" w:lineRule="auto"/>
        <w:contextualSpacing/>
        <w:jc w:val="both"/>
        <w:rPr>
          <w:rFonts w:eastAsia="Calibri"/>
          <w:bCs/>
        </w:rPr>
      </w:pPr>
      <w:r w:rsidRPr="00C56257">
        <w:rPr>
          <w:rFonts w:eastAsia="Calibri"/>
          <w:bCs/>
        </w:rPr>
        <w:t>ROSCI0373 Râul Mureș între Brănișca și Ilia</w:t>
      </w:r>
    </w:p>
    <w:p w14:paraId="53A36FB0"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39426C">
        <w:rPr>
          <w:rFonts w:eastAsia="Calibri"/>
        </w:rPr>
        <w:t>AC</w:t>
      </w:r>
      <w:r w:rsidRPr="00C56257">
        <w:rPr>
          <w:rFonts w:eastAsia="Calibri"/>
          <w:bCs/>
        </w:rPr>
        <w:t>0386 Râul Vedea</w:t>
      </w:r>
      <w:r w:rsidRPr="00C56257">
        <w:rPr>
          <w:rFonts w:eastAsia="Calibri"/>
        </w:rPr>
        <w:t xml:space="preserve"> *</w:t>
      </w:r>
    </w:p>
    <w:p w14:paraId="4000A428" w14:textId="77777777" w:rsidR="0007555D" w:rsidRPr="00C56257" w:rsidRDefault="0007555D" w:rsidP="008E33FD">
      <w:pPr>
        <w:spacing w:line="259" w:lineRule="auto"/>
        <w:contextualSpacing/>
        <w:jc w:val="both"/>
        <w:rPr>
          <w:rFonts w:eastAsia="Calibri"/>
          <w:bCs/>
        </w:rPr>
      </w:pPr>
      <w:r w:rsidRPr="00C56257">
        <w:rPr>
          <w:rFonts w:eastAsia="Calibri"/>
          <w:bCs/>
        </w:rPr>
        <w:t>ROSCI0403 Vânju Mare</w:t>
      </w:r>
    </w:p>
    <w:p w14:paraId="73A6579D" w14:textId="77777777" w:rsidR="0007555D" w:rsidRPr="00C56257" w:rsidRDefault="0007555D" w:rsidP="008E33FD">
      <w:pPr>
        <w:spacing w:line="259" w:lineRule="auto"/>
        <w:contextualSpacing/>
        <w:jc w:val="both"/>
        <w:rPr>
          <w:rFonts w:eastAsia="Calibri"/>
          <w:bCs/>
        </w:rPr>
      </w:pPr>
      <w:r w:rsidRPr="00C56257">
        <w:rPr>
          <w:rFonts w:eastAsia="Calibri"/>
          <w:bCs/>
        </w:rPr>
        <w:t>ROSCI0405 Dealurile Strehaia - Bâtlanele</w:t>
      </w:r>
    </w:p>
    <w:p w14:paraId="4F7C0E02" w14:textId="77777777" w:rsidR="0007555D" w:rsidRPr="00C56257" w:rsidRDefault="0007555D" w:rsidP="008E33FD">
      <w:pPr>
        <w:spacing w:line="259" w:lineRule="auto"/>
        <w:contextualSpacing/>
        <w:jc w:val="both"/>
        <w:rPr>
          <w:rFonts w:eastAsia="Calibri"/>
          <w:bCs/>
        </w:rPr>
      </w:pPr>
      <w:r w:rsidRPr="00C56257">
        <w:rPr>
          <w:rFonts w:eastAsia="Calibri"/>
          <w:bCs/>
        </w:rPr>
        <w:t>ROSCI0406 Zarandul de Est</w:t>
      </w:r>
      <w:r w:rsidRPr="00C56257">
        <w:rPr>
          <w:rFonts w:eastAsia="Calibri"/>
        </w:rPr>
        <w:t xml:space="preserve"> *</w:t>
      </w:r>
    </w:p>
    <w:p w14:paraId="653232D3" w14:textId="77777777" w:rsidR="0007555D" w:rsidRPr="00C56257" w:rsidRDefault="0007555D" w:rsidP="008E33FD">
      <w:pPr>
        <w:spacing w:line="259" w:lineRule="auto"/>
        <w:contextualSpacing/>
        <w:jc w:val="both"/>
        <w:rPr>
          <w:rFonts w:eastAsia="Calibri"/>
          <w:bCs/>
        </w:rPr>
      </w:pPr>
      <w:r w:rsidRPr="00C56257">
        <w:rPr>
          <w:rFonts w:eastAsia="Calibri"/>
          <w:bCs/>
        </w:rPr>
        <w:t>ROSCI0407 Zarandul de Vest</w:t>
      </w:r>
    </w:p>
    <w:p w14:paraId="51D4A929" w14:textId="77777777" w:rsidR="0007555D" w:rsidRPr="00C56257" w:rsidRDefault="0007555D" w:rsidP="008E33FD">
      <w:pPr>
        <w:spacing w:line="259" w:lineRule="auto"/>
        <w:contextualSpacing/>
        <w:jc w:val="both"/>
        <w:rPr>
          <w:rFonts w:eastAsia="Calibri"/>
          <w:bCs/>
        </w:rPr>
      </w:pPr>
      <w:r w:rsidRPr="00C56257">
        <w:rPr>
          <w:rFonts w:eastAsia="Calibri"/>
          <w:bCs/>
        </w:rPr>
        <w:t>ROSCI0420 Oprănești</w:t>
      </w:r>
    </w:p>
    <w:p w14:paraId="666A61EF" w14:textId="77777777" w:rsidR="0007555D" w:rsidRPr="00C56257" w:rsidRDefault="0007555D" w:rsidP="008E33FD">
      <w:pPr>
        <w:spacing w:line="259" w:lineRule="auto"/>
        <w:contextualSpacing/>
        <w:jc w:val="both"/>
        <w:rPr>
          <w:rFonts w:eastAsia="Calibri"/>
          <w:bCs/>
        </w:rPr>
      </w:pPr>
      <w:r w:rsidRPr="00C56257">
        <w:rPr>
          <w:rFonts w:eastAsia="Calibri"/>
          <w:bCs/>
        </w:rPr>
        <w:t>ROSCI0422 Pădurea Dandara - Corneanca</w:t>
      </w:r>
    </w:p>
    <w:p w14:paraId="1A3BF813" w14:textId="77777777" w:rsidR="0007555D" w:rsidRPr="00C56257" w:rsidRDefault="0007555D" w:rsidP="008E33FD">
      <w:pPr>
        <w:spacing w:line="259" w:lineRule="auto"/>
        <w:contextualSpacing/>
        <w:jc w:val="both"/>
        <w:rPr>
          <w:rFonts w:eastAsia="Calibri"/>
          <w:bCs/>
        </w:rPr>
      </w:pPr>
      <w:r w:rsidRPr="00C56257">
        <w:rPr>
          <w:rFonts w:eastAsia="Calibri"/>
          <w:bCs/>
        </w:rPr>
        <w:t>ROSCI0423 Pădurea Dorobanțul</w:t>
      </w:r>
      <w:r w:rsidRPr="00C56257">
        <w:rPr>
          <w:rFonts w:eastAsia="Calibri"/>
        </w:rPr>
        <w:t xml:space="preserve"> *</w:t>
      </w:r>
    </w:p>
    <w:p w14:paraId="09A8BA1C" w14:textId="77777777" w:rsidR="0007555D" w:rsidRPr="00C56257" w:rsidRDefault="0007555D" w:rsidP="008E33FD">
      <w:pPr>
        <w:spacing w:line="259" w:lineRule="auto"/>
        <w:contextualSpacing/>
        <w:jc w:val="both"/>
        <w:rPr>
          <w:rFonts w:eastAsia="Calibri"/>
          <w:bCs/>
        </w:rPr>
      </w:pPr>
      <w:r w:rsidRPr="00C56257">
        <w:rPr>
          <w:rFonts w:eastAsia="Calibri"/>
          <w:bCs/>
        </w:rPr>
        <w:t>ROSCI0425 Pădurea Șemița</w:t>
      </w:r>
    </w:p>
    <w:p w14:paraId="28F88968" w14:textId="77777777" w:rsidR="0007555D" w:rsidRPr="00C56257" w:rsidRDefault="0007555D" w:rsidP="008E33FD">
      <w:pPr>
        <w:spacing w:line="259" w:lineRule="auto"/>
        <w:contextualSpacing/>
        <w:jc w:val="both"/>
        <w:rPr>
          <w:rFonts w:eastAsia="Calibri"/>
          <w:bCs/>
        </w:rPr>
      </w:pPr>
      <w:r w:rsidRPr="00C56257">
        <w:rPr>
          <w:rFonts w:eastAsia="Calibri"/>
          <w:bCs/>
        </w:rPr>
        <w:t>ROSCI0432 Prunișor</w:t>
      </w:r>
      <w:r w:rsidRPr="00C56257">
        <w:rPr>
          <w:rFonts w:eastAsia="Calibri"/>
        </w:rPr>
        <w:t xml:space="preserve"> *</w:t>
      </w:r>
    </w:p>
    <w:p w14:paraId="61BC2E53" w14:textId="77777777" w:rsidR="0007555D" w:rsidRPr="00C56257" w:rsidRDefault="0007555D" w:rsidP="008E33FD">
      <w:pPr>
        <w:spacing w:line="259" w:lineRule="auto"/>
        <w:contextualSpacing/>
        <w:jc w:val="both"/>
        <w:rPr>
          <w:rFonts w:eastAsia="Calibri"/>
          <w:bCs/>
        </w:rPr>
      </w:pPr>
      <w:r w:rsidRPr="00C56257">
        <w:rPr>
          <w:rFonts w:eastAsia="Calibri"/>
          <w:bCs/>
        </w:rPr>
        <w:t>ROSCI0440 Valea Șardului</w:t>
      </w:r>
    </w:p>
    <w:p w14:paraId="0B4A144D" w14:textId="77777777" w:rsidR="0007555D" w:rsidRPr="00C56257" w:rsidRDefault="0007555D" w:rsidP="008E33FD">
      <w:pPr>
        <w:spacing w:line="259" w:lineRule="auto"/>
        <w:contextualSpacing/>
        <w:jc w:val="both"/>
        <w:rPr>
          <w:rFonts w:eastAsia="Calibri"/>
        </w:rPr>
      </w:pPr>
    </w:p>
    <w:p w14:paraId="33F981E6"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91Q0 - Păduri relictare cu </w:t>
      </w:r>
      <w:r w:rsidRPr="00C56257">
        <w:rPr>
          <w:rFonts w:eastAsia="Calibri"/>
          <w:b/>
          <w:i/>
          <w:iCs/>
        </w:rPr>
        <w:t>Pinus sylvestris</w:t>
      </w:r>
      <w:r w:rsidRPr="00C56257">
        <w:rPr>
          <w:rFonts w:eastAsia="Calibri"/>
          <w:b/>
        </w:rPr>
        <w:t xml:space="preserve"> pe substrate calcaroase</w:t>
      </w:r>
    </w:p>
    <w:p w14:paraId="05F929AD" w14:textId="77777777" w:rsidR="0007555D" w:rsidRPr="00C56257" w:rsidRDefault="0007555D" w:rsidP="008E33FD">
      <w:pPr>
        <w:spacing w:line="259" w:lineRule="auto"/>
        <w:contextualSpacing/>
        <w:jc w:val="both"/>
        <w:rPr>
          <w:rFonts w:eastAsia="Calibri"/>
        </w:rPr>
      </w:pPr>
    </w:p>
    <w:p w14:paraId="42C09283" w14:textId="77777777" w:rsidR="0007555D" w:rsidRPr="00C56257" w:rsidRDefault="0007555D" w:rsidP="008E33FD">
      <w:pPr>
        <w:spacing w:line="259" w:lineRule="auto"/>
        <w:contextualSpacing/>
        <w:jc w:val="both"/>
        <w:rPr>
          <w:rFonts w:eastAsia="Calibri"/>
        </w:rPr>
      </w:pPr>
      <w:r w:rsidRPr="00C56257">
        <w:rPr>
          <w:rFonts w:eastAsia="Calibri"/>
        </w:rPr>
        <w:t>ROSCI0002 Apuseni *</w:t>
      </w:r>
    </w:p>
    <w:p w14:paraId="70C17C0F" w14:textId="77777777" w:rsidR="0007555D" w:rsidRPr="00C56257" w:rsidRDefault="0007555D" w:rsidP="008E33FD">
      <w:pPr>
        <w:spacing w:line="259" w:lineRule="auto"/>
        <w:contextualSpacing/>
        <w:jc w:val="both"/>
        <w:rPr>
          <w:rFonts w:eastAsia="Calibri"/>
        </w:rPr>
      </w:pPr>
      <w:r w:rsidRPr="00C56257">
        <w:rPr>
          <w:rFonts w:eastAsia="Calibri"/>
        </w:rPr>
        <w:t>ROS</w:t>
      </w:r>
      <w:r w:rsidR="0039426C">
        <w:rPr>
          <w:rFonts w:eastAsia="Calibri"/>
        </w:rPr>
        <w:t>AC</w:t>
      </w:r>
      <w:r w:rsidRPr="00C56257">
        <w:rPr>
          <w:rFonts w:eastAsia="Calibri"/>
        </w:rPr>
        <w:t>0027 Cheile Bicazului - Hășmaș *</w:t>
      </w:r>
    </w:p>
    <w:p w14:paraId="49C14ECC" w14:textId="77777777" w:rsidR="0007555D" w:rsidRPr="00C56257" w:rsidRDefault="0007555D" w:rsidP="008E33FD">
      <w:pPr>
        <w:spacing w:line="259" w:lineRule="auto"/>
        <w:contextualSpacing/>
        <w:jc w:val="both"/>
        <w:rPr>
          <w:rFonts w:eastAsia="Calibri"/>
        </w:rPr>
      </w:pPr>
      <w:r w:rsidRPr="00C56257">
        <w:rPr>
          <w:rFonts w:eastAsia="Calibri"/>
        </w:rPr>
        <w:t>ROS</w:t>
      </w:r>
      <w:r w:rsidR="0039426C">
        <w:rPr>
          <w:rFonts w:eastAsia="Calibri"/>
        </w:rPr>
        <w:t>AC</w:t>
      </w:r>
      <w:r w:rsidRPr="00C56257">
        <w:rPr>
          <w:rFonts w:eastAsia="Calibri"/>
        </w:rPr>
        <w:t>0033 Cheile Șugăului - Munticelu</w:t>
      </w:r>
    </w:p>
    <w:p w14:paraId="17F8D1FC" w14:textId="77777777" w:rsidR="0007555D" w:rsidRPr="00C56257" w:rsidRDefault="0007555D" w:rsidP="008E33FD">
      <w:pPr>
        <w:spacing w:line="259" w:lineRule="auto"/>
        <w:contextualSpacing/>
        <w:jc w:val="both"/>
        <w:rPr>
          <w:rFonts w:eastAsia="Calibri"/>
        </w:rPr>
      </w:pPr>
      <w:r w:rsidRPr="00C56257">
        <w:rPr>
          <w:rFonts w:eastAsia="Calibri"/>
        </w:rPr>
        <w:t>ROSCI0038 Ciucaș *</w:t>
      </w:r>
    </w:p>
    <w:p w14:paraId="3F9C7D46" w14:textId="77777777" w:rsidR="0007555D" w:rsidRPr="00C56257" w:rsidRDefault="0007555D" w:rsidP="008E33FD">
      <w:pPr>
        <w:spacing w:line="259" w:lineRule="auto"/>
        <w:contextualSpacing/>
        <w:jc w:val="both"/>
        <w:rPr>
          <w:rFonts w:eastAsia="Calibri"/>
        </w:rPr>
      </w:pPr>
      <w:r w:rsidRPr="00C56257">
        <w:rPr>
          <w:rFonts w:eastAsia="Calibri"/>
        </w:rPr>
        <w:t>ROS</w:t>
      </w:r>
      <w:r w:rsidR="0039426C">
        <w:rPr>
          <w:rFonts w:eastAsia="Calibri"/>
        </w:rPr>
        <w:t>AC</w:t>
      </w:r>
      <w:r w:rsidRPr="00C56257">
        <w:rPr>
          <w:rFonts w:eastAsia="Calibri"/>
        </w:rPr>
        <w:t>0046 Cozia</w:t>
      </w:r>
    </w:p>
    <w:p w14:paraId="717EC044" w14:textId="77777777" w:rsidR="0007555D" w:rsidRPr="00C56257" w:rsidRDefault="0007555D" w:rsidP="008E33FD">
      <w:pPr>
        <w:spacing w:line="259" w:lineRule="auto"/>
        <w:contextualSpacing/>
        <w:jc w:val="both"/>
        <w:rPr>
          <w:rFonts w:eastAsia="Calibri"/>
        </w:rPr>
      </w:pPr>
      <w:r w:rsidRPr="00C56257">
        <w:rPr>
          <w:rFonts w:eastAsia="Calibri"/>
        </w:rPr>
        <w:t>ROSCI0063 Defileul Jiului</w:t>
      </w:r>
    </w:p>
    <w:p w14:paraId="26A2E8BD" w14:textId="77777777" w:rsidR="0007555D" w:rsidRPr="00C56257" w:rsidRDefault="0007555D" w:rsidP="008E33FD">
      <w:pPr>
        <w:spacing w:line="259" w:lineRule="auto"/>
        <w:contextualSpacing/>
        <w:jc w:val="both"/>
        <w:rPr>
          <w:rFonts w:eastAsia="Calibri"/>
        </w:rPr>
      </w:pPr>
      <w:r w:rsidRPr="00C56257">
        <w:rPr>
          <w:rFonts w:eastAsia="Calibri"/>
        </w:rPr>
        <w:t>ROS</w:t>
      </w:r>
      <w:r w:rsidR="0039426C">
        <w:rPr>
          <w:rFonts w:eastAsia="Calibri"/>
        </w:rPr>
        <w:t>AC</w:t>
      </w:r>
      <w:r w:rsidRPr="00C56257">
        <w:rPr>
          <w:rFonts w:eastAsia="Calibri"/>
        </w:rPr>
        <w:t>0069 Domogled - Valea Cernei</w:t>
      </w:r>
    </w:p>
    <w:p w14:paraId="52C77433" w14:textId="77777777" w:rsidR="0007555D" w:rsidRPr="00C56257" w:rsidRDefault="0007555D" w:rsidP="008E33FD">
      <w:pPr>
        <w:spacing w:line="259" w:lineRule="auto"/>
        <w:contextualSpacing/>
        <w:jc w:val="both"/>
        <w:rPr>
          <w:rFonts w:eastAsia="Calibri"/>
        </w:rPr>
      </w:pPr>
      <w:r w:rsidRPr="00C56257">
        <w:rPr>
          <w:rFonts w:eastAsia="Calibri"/>
        </w:rPr>
        <w:t>ROS</w:t>
      </w:r>
      <w:r w:rsidR="0039426C">
        <w:rPr>
          <w:rFonts w:eastAsia="Calibri"/>
        </w:rPr>
        <w:t>AC</w:t>
      </w:r>
      <w:r w:rsidRPr="00C56257">
        <w:rPr>
          <w:rFonts w:eastAsia="Calibri"/>
        </w:rPr>
        <w:t>0122 Munții Făgăraș</w:t>
      </w:r>
    </w:p>
    <w:p w14:paraId="48C1A4B0"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0128 Nordul Gorjului de Est *</w:t>
      </w:r>
    </w:p>
    <w:p w14:paraId="47D7DDD0"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0129 Nordul Gorjului de Vest</w:t>
      </w:r>
    </w:p>
    <w:p w14:paraId="3F65414A"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0194 Piatra Craiului</w:t>
      </w:r>
    </w:p>
    <w:p w14:paraId="2A868DB9" w14:textId="77777777" w:rsidR="0007555D" w:rsidRPr="00C56257" w:rsidRDefault="0007555D" w:rsidP="008E33FD">
      <w:pPr>
        <w:spacing w:line="259" w:lineRule="auto"/>
        <w:contextualSpacing/>
        <w:jc w:val="both"/>
        <w:rPr>
          <w:rFonts w:eastAsia="Calibri"/>
        </w:rPr>
      </w:pPr>
      <w:r w:rsidRPr="00C56257">
        <w:rPr>
          <w:rFonts w:eastAsia="Calibri"/>
        </w:rPr>
        <w:t>ROSCI0217 Retezat *</w:t>
      </w:r>
    </w:p>
    <w:p w14:paraId="06F7C3E2"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0229 Siriu</w:t>
      </w:r>
    </w:p>
    <w:p w14:paraId="6A226820"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0253 Trascău *</w:t>
      </w:r>
    </w:p>
    <w:p w14:paraId="45018837" w14:textId="77777777" w:rsidR="0007555D" w:rsidRPr="00C56257" w:rsidRDefault="0007555D" w:rsidP="008E33FD">
      <w:pPr>
        <w:spacing w:line="259" w:lineRule="auto"/>
        <w:contextualSpacing/>
        <w:jc w:val="both"/>
        <w:rPr>
          <w:rFonts w:eastAsia="Calibri"/>
        </w:rPr>
      </w:pPr>
    </w:p>
    <w:p w14:paraId="66D371BB"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91V0 - Păduri dacice de fag (</w:t>
      </w:r>
      <w:r w:rsidRPr="00C56257">
        <w:rPr>
          <w:rFonts w:eastAsia="Calibri"/>
          <w:b/>
          <w:i/>
          <w:iCs/>
        </w:rPr>
        <w:t>Symphyto-Fagion</w:t>
      </w:r>
      <w:r w:rsidRPr="00C56257">
        <w:rPr>
          <w:rFonts w:eastAsia="Calibri"/>
          <w:b/>
        </w:rPr>
        <w:t>)</w:t>
      </w:r>
    </w:p>
    <w:p w14:paraId="58BF0546" w14:textId="77777777" w:rsidR="0007555D" w:rsidRPr="00C56257" w:rsidRDefault="0007555D" w:rsidP="008E33FD">
      <w:pPr>
        <w:spacing w:line="259" w:lineRule="auto"/>
        <w:contextualSpacing/>
        <w:jc w:val="both"/>
        <w:rPr>
          <w:rFonts w:eastAsia="Calibri"/>
        </w:rPr>
      </w:pPr>
    </w:p>
    <w:p w14:paraId="333A2F50" w14:textId="77777777" w:rsidR="0007555D" w:rsidRPr="00C56257" w:rsidRDefault="0007555D" w:rsidP="008E33FD">
      <w:pPr>
        <w:spacing w:line="259" w:lineRule="auto"/>
        <w:contextualSpacing/>
        <w:jc w:val="both"/>
        <w:rPr>
          <w:rFonts w:eastAsia="Calibri"/>
        </w:rPr>
      </w:pPr>
      <w:r w:rsidRPr="00C56257">
        <w:rPr>
          <w:rFonts w:eastAsia="Calibri"/>
        </w:rPr>
        <w:t>ROSCI0001 Aninișurile de pe Tărlung</w:t>
      </w:r>
    </w:p>
    <w:p w14:paraId="5A35E495"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ROSCI0002 Apuseni *</w:t>
      </w:r>
    </w:p>
    <w:p w14:paraId="608EFDC5" w14:textId="77777777" w:rsidR="0007555D" w:rsidRPr="00C56257" w:rsidRDefault="0007555D" w:rsidP="008E33FD">
      <w:pPr>
        <w:spacing w:line="259" w:lineRule="auto"/>
        <w:contextualSpacing/>
        <w:jc w:val="both"/>
        <w:rPr>
          <w:rFonts w:eastAsia="Calibri"/>
        </w:rPr>
      </w:pPr>
      <w:r w:rsidRPr="00C56257">
        <w:rPr>
          <w:rFonts w:eastAsia="Calibri"/>
        </w:rPr>
        <w:t>ROSCI0009 Bisoca</w:t>
      </w:r>
    </w:p>
    <w:p w14:paraId="68AA6001" w14:textId="77777777" w:rsidR="0007555D" w:rsidRPr="00C56257" w:rsidRDefault="0007555D" w:rsidP="008E33FD">
      <w:pPr>
        <w:spacing w:line="259" w:lineRule="auto"/>
        <w:contextualSpacing/>
        <w:jc w:val="both"/>
        <w:rPr>
          <w:rFonts w:eastAsia="Calibri"/>
        </w:rPr>
      </w:pPr>
      <w:r w:rsidRPr="00C56257">
        <w:rPr>
          <w:rFonts w:eastAsia="Calibri"/>
        </w:rPr>
        <w:t>ROSCI0013 Bucegi *</w:t>
      </w:r>
    </w:p>
    <w:p w14:paraId="6B3206B7"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0015 Buila - Vânturarița *</w:t>
      </w:r>
    </w:p>
    <w:p w14:paraId="79387A16" w14:textId="77777777" w:rsidR="0007555D" w:rsidRPr="00C56257" w:rsidRDefault="0007555D" w:rsidP="008E33FD">
      <w:pPr>
        <w:spacing w:line="259" w:lineRule="auto"/>
        <w:contextualSpacing/>
        <w:jc w:val="both"/>
        <w:rPr>
          <w:rFonts w:eastAsia="Calibri"/>
        </w:rPr>
      </w:pPr>
      <w:r w:rsidRPr="00C56257">
        <w:rPr>
          <w:rFonts w:eastAsia="Calibri"/>
        </w:rPr>
        <w:t>ROSCI0018 Căldările Zăbalei</w:t>
      </w:r>
    </w:p>
    <w:p w14:paraId="06B09582" w14:textId="77777777" w:rsidR="0007555D" w:rsidRPr="00C56257" w:rsidRDefault="0007555D" w:rsidP="008E33FD">
      <w:pPr>
        <w:spacing w:line="259" w:lineRule="auto"/>
        <w:contextualSpacing/>
        <w:jc w:val="both"/>
        <w:rPr>
          <w:rFonts w:eastAsia="Calibri"/>
        </w:rPr>
      </w:pPr>
      <w:r w:rsidRPr="00C56257">
        <w:rPr>
          <w:rFonts w:eastAsia="Calibri"/>
        </w:rPr>
        <w:t>ROSCI0019 Călimani - Gurghiu *</w:t>
      </w:r>
    </w:p>
    <w:p w14:paraId="3F6444EA" w14:textId="77777777" w:rsidR="0007555D" w:rsidRPr="00C56257" w:rsidRDefault="0007555D" w:rsidP="008E33FD">
      <w:pPr>
        <w:spacing w:line="259" w:lineRule="auto"/>
        <w:contextualSpacing/>
        <w:jc w:val="both"/>
        <w:rPr>
          <w:rFonts w:eastAsia="Calibri"/>
        </w:rPr>
      </w:pPr>
      <w:r w:rsidRPr="00C56257">
        <w:rPr>
          <w:rFonts w:eastAsia="Calibri"/>
        </w:rPr>
        <w:t>ROSCI0023 Cascada Mișina</w:t>
      </w:r>
    </w:p>
    <w:p w14:paraId="04B490B0"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0024 Ceahlău</w:t>
      </w:r>
    </w:p>
    <w:p w14:paraId="1E1F74F3"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0026 Cenaru</w:t>
      </w:r>
    </w:p>
    <w:p w14:paraId="37D64CEB"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0027 Cheile Bicazului - Hășmaș</w:t>
      </w:r>
    </w:p>
    <w:p w14:paraId="3351A784" w14:textId="77777777" w:rsidR="0007555D" w:rsidRPr="00C56257" w:rsidRDefault="0007555D" w:rsidP="008E33FD">
      <w:pPr>
        <w:spacing w:line="259" w:lineRule="auto"/>
        <w:contextualSpacing/>
        <w:jc w:val="both"/>
        <w:rPr>
          <w:rFonts w:eastAsia="Calibri"/>
        </w:rPr>
      </w:pPr>
      <w:r w:rsidRPr="00C56257">
        <w:rPr>
          <w:rFonts w:eastAsia="Calibri"/>
        </w:rPr>
        <w:t>ROSCI0030 Cheile Lăpușului</w:t>
      </w:r>
    </w:p>
    <w:p w14:paraId="5E944C1E" w14:textId="77777777" w:rsidR="0007555D" w:rsidRPr="00C56257" w:rsidRDefault="0007555D" w:rsidP="008E33FD">
      <w:pPr>
        <w:spacing w:line="259" w:lineRule="auto"/>
        <w:contextualSpacing/>
        <w:jc w:val="both"/>
        <w:rPr>
          <w:rFonts w:eastAsia="Calibri"/>
        </w:rPr>
      </w:pPr>
      <w:r w:rsidRPr="00C56257">
        <w:rPr>
          <w:rFonts w:eastAsia="Calibri"/>
        </w:rPr>
        <w:t>ROSCI0031 Cheile Nerei - Beușnița *</w:t>
      </w:r>
    </w:p>
    <w:p w14:paraId="7A38FA94"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0033 Cheile Șugăului - Munticelu</w:t>
      </w:r>
    </w:p>
    <w:p w14:paraId="76F1FE3E"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0036 Cheile Vârghișului</w:t>
      </w:r>
    </w:p>
    <w:p w14:paraId="3CB381BE"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0037 Ciomad - Balvanyos *</w:t>
      </w:r>
    </w:p>
    <w:p w14:paraId="4D851B2F" w14:textId="77777777" w:rsidR="0007555D" w:rsidRPr="00C56257" w:rsidRDefault="0007555D" w:rsidP="008E33FD">
      <w:pPr>
        <w:spacing w:line="259" w:lineRule="auto"/>
        <w:contextualSpacing/>
        <w:jc w:val="both"/>
        <w:rPr>
          <w:rFonts w:eastAsia="Calibri"/>
        </w:rPr>
      </w:pPr>
      <w:r w:rsidRPr="00C56257">
        <w:rPr>
          <w:rFonts w:eastAsia="Calibri"/>
        </w:rPr>
        <w:t>ROSCI0038 Ciucaș *</w:t>
      </w:r>
    </w:p>
    <w:p w14:paraId="0670A6A8" w14:textId="77777777" w:rsidR="0007555D" w:rsidRPr="00C56257" w:rsidRDefault="0007555D" w:rsidP="008E33FD">
      <w:pPr>
        <w:spacing w:line="259" w:lineRule="auto"/>
        <w:contextualSpacing/>
        <w:jc w:val="both"/>
        <w:rPr>
          <w:rFonts w:eastAsia="Calibri"/>
        </w:rPr>
      </w:pPr>
      <w:r w:rsidRPr="00C56257">
        <w:rPr>
          <w:rFonts w:eastAsia="Calibri"/>
        </w:rPr>
        <w:t>ROSCI0042 Codru Moma</w:t>
      </w:r>
    </w:p>
    <w:p w14:paraId="2AB62092"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0046 Cozia *</w:t>
      </w:r>
    </w:p>
    <w:p w14:paraId="280C5AF4"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0047 Creasta Nemirei</w:t>
      </w:r>
    </w:p>
    <w:p w14:paraId="7D0A1B47" w14:textId="77777777" w:rsidR="0007555D" w:rsidRPr="00C56257" w:rsidRDefault="0007555D" w:rsidP="008E33FD">
      <w:pPr>
        <w:spacing w:line="259" w:lineRule="auto"/>
        <w:contextualSpacing/>
        <w:jc w:val="both"/>
        <w:rPr>
          <w:rFonts w:eastAsia="Calibri"/>
        </w:rPr>
      </w:pPr>
      <w:r w:rsidRPr="00C56257">
        <w:rPr>
          <w:rFonts w:eastAsia="Calibri"/>
        </w:rPr>
        <w:t>ROSCI0051 Cușma *</w:t>
      </w:r>
    </w:p>
    <w:p w14:paraId="07C56E6E"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0061 Defileul Crișului Negru</w:t>
      </w:r>
    </w:p>
    <w:p w14:paraId="3C2A1A59" w14:textId="77777777" w:rsidR="0007555D" w:rsidRPr="00C56257" w:rsidRDefault="0007555D" w:rsidP="008E33FD">
      <w:pPr>
        <w:spacing w:line="259" w:lineRule="auto"/>
        <w:contextualSpacing/>
        <w:jc w:val="both"/>
        <w:rPr>
          <w:rFonts w:eastAsia="Calibri"/>
        </w:rPr>
      </w:pPr>
      <w:r w:rsidRPr="00C56257">
        <w:rPr>
          <w:rFonts w:eastAsia="Calibri"/>
        </w:rPr>
        <w:t>RO</w:t>
      </w:r>
      <w:r w:rsidR="00E05C8D">
        <w:rPr>
          <w:rFonts w:eastAsia="Calibri"/>
        </w:rPr>
        <w:t>SAC</w:t>
      </w:r>
      <w:r w:rsidRPr="00C56257">
        <w:rPr>
          <w:rFonts w:eastAsia="Calibri"/>
        </w:rPr>
        <w:t>I0062 Defileul Crișului Repede - Pădurea Craiului *</w:t>
      </w:r>
    </w:p>
    <w:p w14:paraId="36419E80" w14:textId="77777777" w:rsidR="0007555D" w:rsidRPr="00C56257" w:rsidRDefault="0007555D" w:rsidP="008E33FD">
      <w:pPr>
        <w:spacing w:line="259" w:lineRule="auto"/>
        <w:contextualSpacing/>
        <w:jc w:val="both"/>
        <w:rPr>
          <w:rFonts w:eastAsia="Calibri"/>
        </w:rPr>
      </w:pPr>
      <w:r w:rsidRPr="00C56257">
        <w:rPr>
          <w:rFonts w:eastAsia="Calibri"/>
        </w:rPr>
        <w:t>ROSCI0063 Defileul Jiului</w:t>
      </w:r>
    </w:p>
    <w:p w14:paraId="0E6A69FF"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0069 Domogled - Valea Cernei *</w:t>
      </w:r>
    </w:p>
    <w:p w14:paraId="237118C8" w14:textId="77777777" w:rsidR="0007555D" w:rsidRPr="00C56257" w:rsidRDefault="0007555D" w:rsidP="008E33FD">
      <w:pPr>
        <w:spacing w:line="259" w:lineRule="auto"/>
        <w:contextualSpacing/>
        <w:jc w:val="both"/>
        <w:rPr>
          <w:rFonts w:eastAsia="Calibri"/>
        </w:rPr>
      </w:pPr>
      <w:r w:rsidRPr="00C56257">
        <w:rPr>
          <w:rFonts w:eastAsia="Calibri"/>
        </w:rPr>
        <w:t>ROSCI0084 Ferice - Plai</w:t>
      </w:r>
    </w:p>
    <w:p w14:paraId="44D06C86"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0085 Frumoasa *</w:t>
      </w:r>
    </w:p>
    <w:p w14:paraId="0AE02F8B" w14:textId="77777777" w:rsidR="0007555D" w:rsidRPr="00C56257" w:rsidRDefault="0007555D" w:rsidP="008E33FD">
      <w:pPr>
        <w:spacing w:line="259" w:lineRule="auto"/>
        <w:contextualSpacing/>
        <w:jc w:val="both"/>
        <w:rPr>
          <w:rFonts w:eastAsia="Calibri"/>
        </w:rPr>
      </w:pPr>
      <w:r w:rsidRPr="00C56257">
        <w:rPr>
          <w:rFonts w:eastAsia="Calibri"/>
        </w:rPr>
        <w:t>ROSCI0087 Grădiștea Muncelului - Cioclovina *</w:t>
      </w:r>
    </w:p>
    <w:p w14:paraId="558C9953" w14:textId="77777777" w:rsidR="0007555D" w:rsidRPr="00C56257" w:rsidRDefault="0007555D" w:rsidP="008E33FD">
      <w:pPr>
        <w:spacing w:line="259" w:lineRule="auto"/>
        <w:contextualSpacing/>
        <w:jc w:val="both"/>
        <w:rPr>
          <w:rFonts w:eastAsia="Calibri"/>
        </w:rPr>
      </w:pPr>
      <w:r w:rsidRPr="00C56257">
        <w:rPr>
          <w:rFonts w:eastAsia="Calibri"/>
        </w:rPr>
        <w:t>ROSCI0089 Gutâi - Creasta Cocoșului</w:t>
      </w:r>
    </w:p>
    <w:p w14:paraId="0DE2D6FA"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0090 Harghita Mădăraș *</w:t>
      </w:r>
    </w:p>
    <w:p w14:paraId="525DF5C8"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0091 Herculian *</w:t>
      </w:r>
    </w:p>
    <w:p w14:paraId="79AAE600" w14:textId="77777777" w:rsidR="0007555D" w:rsidRPr="00C56257" w:rsidRDefault="0007555D" w:rsidP="008E33FD">
      <w:pPr>
        <w:spacing w:line="259" w:lineRule="auto"/>
        <w:contextualSpacing/>
        <w:jc w:val="both"/>
        <w:rPr>
          <w:rFonts w:eastAsia="Calibri"/>
        </w:rPr>
      </w:pPr>
      <w:r w:rsidRPr="00C56257">
        <w:rPr>
          <w:rFonts w:eastAsia="Calibri"/>
        </w:rPr>
        <w:t>ROSCI0092 Igniș *</w:t>
      </w:r>
    </w:p>
    <w:p w14:paraId="2C4680DE"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0096 Lacul Bâlbâitoarea</w:t>
      </w:r>
    </w:p>
    <w:p w14:paraId="27CA89A9" w14:textId="77777777" w:rsidR="0007555D" w:rsidRPr="00C56257" w:rsidRDefault="0007555D" w:rsidP="008E33FD">
      <w:pPr>
        <w:spacing w:line="259" w:lineRule="auto"/>
        <w:contextualSpacing/>
        <w:jc w:val="both"/>
        <w:rPr>
          <w:rFonts w:eastAsia="Calibri"/>
        </w:rPr>
      </w:pPr>
      <w:r w:rsidRPr="00C56257">
        <w:rPr>
          <w:rFonts w:eastAsia="Calibri"/>
        </w:rPr>
        <w:t>ROSCI0097 Lacul Negru</w:t>
      </w:r>
    </w:p>
    <w:p w14:paraId="200FD709"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0101 Larion *</w:t>
      </w:r>
    </w:p>
    <w:p w14:paraId="1AB9486B"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0103 Lunca Buzăului</w:t>
      </w:r>
    </w:p>
    <w:p w14:paraId="511BE3AC"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0120 Muntele Tâmpa</w:t>
      </w:r>
    </w:p>
    <w:p w14:paraId="35FA1D2B"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0121 Muntele Vulcan</w:t>
      </w:r>
    </w:p>
    <w:p w14:paraId="573DD2BC"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0122 Munții Făgăraș *</w:t>
      </w:r>
    </w:p>
    <w:p w14:paraId="79CA6783"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0124 Munții Maramureșului *</w:t>
      </w:r>
    </w:p>
    <w:p w14:paraId="64F1F809" w14:textId="77777777" w:rsidR="0007555D" w:rsidRPr="00C56257" w:rsidRDefault="0007555D" w:rsidP="008E33FD">
      <w:pPr>
        <w:spacing w:line="259" w:lineRule="auto"/>
        <w:contextualSpacing/>
        <w:jc w:val="both"/>
        <w:rPr>
          <w:rFonts w:eastAsia="Calibri"/>
        </w:rPr>
      </w:pPr>
      <w:r w:rsidRPr="00C56257">
        <w:rPr>
          <w:rFonts w:eastAsia="Calibri"/>
        </w:rPr>
        <w:t>ROSCI0125 Munții Rodnei *</w:t>
      </w:r>
    </w:p>
    <w:p w14:paraId="31C55D64" w14:textId="77777777" w:rsidR="0007555D" w:rsidRPr="00C56257" w:rsidRDefault="0007555D" w:rsidP="008E33FD">
      <w:pPr>
        <w:spacing w:line="259" w:lineRule="auto"/>
        <w:contextualSpacing/>
        <w:jc w:val="both"/>
        <w:rPr>
          <w:rFonts w:eastAsia="Calibri"/>
        </w:rPr>
      </w:pPr>
      <w:r w:rsidRPr="00C56257">
        <w:rPr>
          <w:rFonts w:eastAsia="Calibri"/>
        </w:rPr>
        <w:t>ROSCI0126 Munții Țarcu *</w:t>
      </w:r>
    </w:p>
    <w:p w14:paraId="7B9CA349" w14:textId="77777777" w:rsidR="0007555D" w:rsidRPr="00C56257" w:rsidRDefault="0007555D" w:rsidP="008E33FD">
      <w:pPr>
        <w:spacing w:line="259" w:lineRule="auto"/>
        <w:contextualSpacing/>
        <w:jc w:val="both"/>
        <w:rPr>
          <w:rFonts w:eastAsia="Calibri"/>
        </w:rPr>
      </w:pPr>
      <w:r w:rsidRPr="00C56257">
        <w:rPr>
          <w:rFonts w:eastAsia="Calibri"/>
        </w:rPr>
        <w:t>ROSCI0127 Muntioru Ursoaia *</w:t>
      </w:r>
    </w:p>
    <w:p w14:paraId="43311F2E"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0128 Nordul Gorjului de Est *</w:t>
      </w:r>
    </w:p>
    <w:p w14:paraId="4E8604B2"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0129 Nordul Gorjului de Vest *</w:t>
      </w:r>
    </w:p>
    <w:p w14:paraId="066F0A77"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0130 Oituz - Ojdula</w:t>
      </w:r>
    </w:p>
    <w:p w14:paraId="6CF13CFC"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0137 Pădurea Bogății</w:t>
      </w:r>
    </w:p>
    <w:p w14:paraId="7DBD93DE"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w:t>
      </w:r>
      <w:r w:rsidR="00E05C8D">
        <w:rPr>
          <w:rFonts w:eastAsia="Calibri"/>
        </w:rPr>
        <w:t>AC</w:t>
      </w:r>
      <w:r w:rsidRPr="00C56257">
        <w:rPr>
          <w:rFonts w:eastAsia="Calibri"/>
        </w:rPr>
        <w:t>0153 Pădurea Glodeasa</w:t>
      </w:r>
    </w:p>
    <w:p w14:paraId="6CDEA375" w14:textId="77777777" w:rsidR="0007555D" w:rsidRPr="00C56257" w:rsidRDefault="0007555D" w:rsidP="008E33FD">
      <w:pPr>
        <w:spacing w:line="259" w:lineRule="auto"/>
        <w:contextualSpacing/>
        <w:jc w:val="both"/>
        <w:rPr>
          <w:rFonts w:eastAsia="Calibri"/>
        </w:rPr>
      </w:pPr>
      <w:r w:rsidRPr="00C56257">
        <w:rPr>
          <w:rFonts w:eastAsia="Calibri"/>
        </w:rPr>
        <w:t>ROSCI0156 Munții Goșman *</w:t>
      </w:r>
    </w:p>
    <w:p w14:paraId="3431AA6D" w14:textId="77777777" w:rsidR="0007555D" w:rsidRPr="00C56257" w:rsidRDefault="0007555D" w:rsidP="008E33FD">
      <w:pPr>
        <w:spacing w:line="259" w:lineRule="auto"/>
        <w:contextualSpacing/>
        <w:jc w:val="both"/>
        <w:rPr>
          <w:rFonts w:eastAsia="Calibri"/>
        </w:rPr>
      </w:pPr>
      <w:r w:rsidRPr="00C56257">
        <w:rPr>
          <w:rFonts w:eastAsia="Calibri"/>
        </w:rPr>
        <w:t>ROSCI0182 Pădurea Verdele</w:t>
      </w:r>
    </w:p>
    <w:p w14:paraId="7063F93A" w14:textId="77777777" w:rsidR="0007555D" w:rsidRPr="00C56257" w:rsidRDefault="0007555D" w:rsidP="008E33FD">
      <w:pPr>
        <w:spacing w:line="259" w:lineRule="auto"/>
        <w:contextualSpacing/>
        <w:jc w:val="both"/>
        <w:rPr>
          <w:rFonts w:eastAsia="Calibri"/>
        </w:rPr>
      </w:pPr>
      <w:r w:rsidRPr="00C56257">
        <w:rPr>
          <w:rFonts w:eastAsia="Calibri"/>
        </w:rPr>
        <w:t>ROSCI0188 Parâng</w:t>
      </w:r>
    </w:p>
    <w:p w14:paraId="465D19E9"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0190 Penteleu *</w:t>
      </w:r>
    </w:p>
    <w:p w14:paraId="7CB7D296" w14:textId="77777777" w:rsidR="0007555D" w:rsidRPr="00C56257" w:rsidRDefault="0007555D" w:rsidP="008E33FD">
      <w:pPr>
        <w:spacing w:line="259" w:lineRule="auto"/>
        <w:contextualSpacing/>
        <w:jc w:val="both"/>
        <w:rPr>
          <w:rFonts w:eastAsia="Calibri"/>
        </w:rPr>
      </w:pPr>
      <w:r w:rsidRPr="00C56257">
        <w:rPr>
          <w:rFonts w:eastAsia="Calibri"/>
        </w:rPr>
        <w:t>ROSCI0193 Peștera Tăușoare</w:t>
      </w:r>
    </w:p>
    <w:p w14:paraId="3316C79E"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0194 Piatra Craiului *</w:t>
      </w:r>
    </w:p>
    <w:p w14:paraId="0BF4CD72" w14:textId="77777777" w:rsidR="0007555D" w:rsidRPr="00C56257" w:rsidRDefault="0007555D" w:rsidP="008E33FD">
      <w:pPr>
        <w:spacing w:line="259" w:lineRule="auto"/>
        <w:contextualSpacing/>
        <w:jc w:val="both"/>
        <w:rPr>
          <w:rFonts w:eastAsia="Calibri"/>
        </w:rPr>
      </w:pPr>
      <w:r w:rsidRPr="00C56257">
        <w:rPr>
          <w:rFonts w:eastAsia="Calibri"/>
        </w:rPr>
        <w:t>ROSCI0195 Piatra Mare</w:t>
      </w:r>
    </w:p>
    <w:p w14:paraId="497A481C"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0196 Pietrosul Broștenilor - Cheile Zugrenilor</w:t>
      </w:r>
    </w:p>
    <w:p w14:paraId="732D2EC3"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0198 Platoul Mehedinți *</w:t>
      </w:r>
    </w:p>
    <w:p w14:paraId="2767F1D1"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0200 Platoul Vașcău</w:t>
      </w:r>
    </w:p>
    <w:p w14:paraId="59B4A5E2" w14:textId="77777777" w:rsidR="0007555D" w:rsidRPr="00C56257" w:rsidRDefault="0007555D" w:rsidP="008E33FD">
      <w:pPr>
        <w:spacing w:line="259" w:lineRule="auto"/>
        <w:contextualSpacing/>
        <w:jc w:val="both"/>
        <w:rPr>
          <w:rFonts w:eastAsia="Calibri"/>
        </w:rPr>
      </w:pPr>
      <w:r w:rsidRPr="00C56257">
        <w:rPr>
          <w:rFonts w:eastAsia="Calibri"/>
        </w:rPr>
        <w:t>ROSCI0204 Poiana Muntioru</w:t>
      </w:r>
    </w:p>
    <w:p w14:paraId="024CA978" w14:textId="77777777" w:rsidR="0007555D" w:rsidRPr="00C56257" w:rsidRDefault="0007555D" w:rsidP="008E33FD">
      <w:pPr>
        <w:spacing w:line="259" w:lineRule="auto"/>
        <w:contextualSpacing/>
        <w:jc w:val="both"/>
        <w:rPr>
          <w:rFonts w:eastAsia="Calibri"/>
        </w:rPr>
      </w:pPr>
      <w:r w:rsidRPr="00C56257">
        <w:rPr>
          <w:rFonts w:eastAsia="Calibri"/>
        </w:rPr>
        <w:t>ROSCI0207 Postăvarul</w:t>
      </w:r>
    </w:p>
    <w:p w14:paraId="520E1651" w14:textId="77777777" w:rsidR="0007555D" w:rsidRPr="00C56257" w:rsidRDefault="0007555D" w:rsidP="008E33FD">
      <w:pPr>
        <w:spacing w:line="259" w:lineRule="auto"/>
        <w:contextualSpacing/>
        <w:jc w:val="both"/>
        <w:rPr>
          <w:rFonts w:eastAsia="Calibri"/>
        </w:rPr>
      </w:pPr>
      <w:r w:rsidRPr="00C56257">
        <w:rPr>
          <w:rFonts w:eastAsia="Calibri"/>
        </w:rPr>
        <w:t>ROSCI0208 Putna - Vrancea *</w:t>
      </w:r>
    </w:p>
    <w:p w14:paraId="017B0456"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0212 Rarău - Giumalău</w:t>
      </w:r>
    </w:p>
    <w:p w14:paraId="676218BA" w14:textId="77777777" w:rsidR="0007555D" w:rsidRPr="00C56257" w:rsidRDefault="0007555D" w:rsidP="008E33FD">
      <w:pPr>
        <w:spacing w:line="259" w:lineRule="auto"/>
        <w:contextualSpacing/>
        <w:jc w:val="both"/>
        <w:rPr>
          <w:rFonts w:eastAsia="Calibri"/>
        </w:rPr>
      </w:pPr>
      <w:r w:rsidRPr="00C56257">
        <w:rPr>
          <w:rFonts w:eastAsia="Calibri"/>
        </w:rPr>
        <w:t>ROSCI0217 Retezat</w:t>
      </w:r>
    </w:p>
    <w:p w14:paraId="395B8E55"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0219 Rusca Montană *</w:t>
      </w:r>
    </w:p>
    <w:p w14:paraId="0870345D" w14:textId="77777777" w:rsidR="0007555D" w:rsidRPr="00C56257" w:rsidRDefault="0007555D" w:rsidP="008E33FD">
      <w:pPr>
        <w:spacing w:line="259" w:lineRule="auto"/>
        <w:contextualSpacing/>
        <w:jc w:val="both"/>
        <w:rPr>
          <w:rFonts w:eastAsia="Calibri"/>
        </w:rPr>
      </w:pPr>
      <w:r w:rsidRPr="00C56257">
        <w:rPr>
          <w:rFonts w:eastAsia="Calibri"/>
        </w:rPr>
        <w:t>ROSCI0226 Semenic - Cheile Carașului *</w:t>
      </w:r>
    </w:p>
    <w:p w14:paraId="53959353"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0227 Sighișoara - Târnava Mare</w:t>
      </w:r>
    </w:p>
    <w:p w14:paraId="2C41B231" w14:textId="77777777" w:rsidR="0007555D" w:rsidRPr="00C56257" w:rsidRDefault="0007555D" w:rsidP="008E33FD">
      <w:pPr>
        <w:spacing w:line="259" w:lineRule="auto"/>
        <w:contextualSpacing/>
        <w:jc w:val="both"/>
        <w:rPr>
          <w:rFonts w:eastAsia="Calibri"/>
        </w:rPr>
      </w:pPr>
      <w:r w:rsidRPr="00C56257">
        <w:rPr>
          <w:rFonts w:eastAsia="Calibri"/>
        </w:rPr>
        <w:t>ROSCI0228 Șindrilița</w:t>
      </w:r>
    </w:p>
    <w:p w14:paraId="6F5DCFE0"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0229 Siriu *</w:t>
      </w:r>
    </w:p>
    <w:p w14:paraId="7CFCA88D"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0230 Slănic</w:t>
      </w:r>
    </w:p>
    <w:p w14:paraId="03DB23E2" w14:textId="77777777" w:rsidR="0007555D" w:rsidRPr="00C56257" w:rsidRDefault="0007555D" w:rsidP="008E33FD">
      <w:pPr>
        <w:spacing w:line="259" w:lineRule="auto"/>
        <w:contextualSpacing/>
        <w:jc w:val="both"/>
        <w:rPr>
          <w:rFonts w:eastAsia="Calibri"/>
        </w:rPr>
      </w:pPr>
      <w:r w:rsidRPr="00C56257">
        <w:rPr>
          <w:rFonts w:eastAsia="Calibri"/>
        </w:rPr>
        <w:t>ROSCI0232 Someșul Mare Superior</w:t>
      </w:r>
    </w:p>
    <w:p w14:paraId="08FC55EB" w14:textId="77777777" w:rsidR="0007555D" w:rsidRPr="00C56257" w:rsidRDefault="0007555D" w:rsidP="008E33FD">
      <w:pPr>
        <w:spacing w:line="259" w:lineRule="auto"/>
        <w:contextualSpacing/>
        <w:jc w:val="both"/>
        <w:rPr>
          <w:rFonts w:eastAsia="Calibri"/>
        </w:rPr>
      </w:pPr>
      <w:r w:rsidRPr="00C56257">
        <w:rPr>
          <w:rFonts w:eastAsia="Calibri"/>
        </w:rPr>
        <w:t>ROSCI0236 Strei - Hațeg</w:t>
      </w:r>
    </w:p>
    <w:p w14:paraId="5378D06B" w14:textId="77777777" w:rsidR="0007555D" w:rsidRPr="00C56257" w:rsidRDefault="0007555D" w:rsidP="008E33FD">
      <w:pPr>
        <w:spacing w:line="259" w:lineRule="auto"/>
        <w:contextualSpacing/>
        <w:jc w:val="both"/>
        <w:rPr>
          <w:rFonts w:eastAsia="Calibri"/>
        </w:rPr>
      </w:pPr>
      <w:r w:rsidRPr="00C56257">
        <w:rPr>
          <w:rFonts w:eastAsia="Calibri"/>
        </w:rPr>
        <w:t>ROSCI0241 Tinovul Apa Lina - Honcsok</w:t>
      </w:r>
    </w:p>
    <w:p w14:paraId="5CE06D9D"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0245 Tinovul de la Românești</w:t>
      </w:r>
    </w:p>
    <w:p w14:paraId="28DA0A96" w14:textId="77777777" w:rsidR="0007555D" w:rsidRPr="00C56257" w:rsidRDefault="0007555D" w:rsidP="008E33FD">
      <w:pPr>
        <w:spacing w:line="259" w:lineRule="auto"/>
        <w:contextualSpacing/>
        <w:jc w:val="both"/>
        <w:rPr>
          <w:rFonts w:eastAsia="Calibri"/>
        </w:rPr>
      </w:pPr>
      <w:r w:rsidRPr="00C56257">
        <w:rPr>
          <w:rFonts w:eastAsia="Calibri"/>
        </w:rPr>
        <w:t>ROSCI0246 Tinovul Luci</w:t>
      </w:r>
    </w:p>
    <w:p w14:paraId="4FD4DB35" w14:textId="77777777" w:rsidR="0007555D" w:rsidRPr="00C56257" w:rsidRDefault="0007555D" w:rsidP="008E33FD">
      <w:pPr>
        <w:spacing w:line="259" w:lineRule="auto"/>
        <w:contextualSpacing/>
        <w:jc w:val="both"/>
        <w:rPr>
          <w:rFonts w:eastAsia="Calibri"/>
        </w:rPr>
      </w:pPr>
      <w:r w:rsidRPr="00C56257">
        <w:rPr>
          <w:rFonts w:eastAsia="Calibri"/>
        </w:rPr>
        <w:t>ROS</w:t>
      </w:r>
      <w:r w:rsidR="00E05C8D">
        <w:rPr>
          <w:rFonts w:eastAsia="Calibri"/>
        </w:rPr>
        <w:t>AC</w:t>
      </w:r>
      <w:r w:rsidRPr="00C56257">
        <w:rPr>
          <w:rFonts w:eastAsia="Calibri"/>
        </w:rPr>
        <w:t>0248 Tinovul Mohoș - Lacul Sf. Ana</w:t>
      </w:r>
    </w:p>
    <w:p w14:paraId="33EA5B5E" w14:textId="77777777" w:rsidR="0007555D" w:rsidRPr="00C56257" w:rsidRDefault="0007555D" w:rsidP="008E33FD">
      <w:pPr>
        <w:spacing w:line="259" w:lineRule="auto"/>
        <w:contextualSpacing/>
        <w:jc w:val="both"/>
        <w:rPr>
          <w:rFonts w:eastAsia="Calibri"/>
        </w:rPr>
      </w:pPr>
      <w:r w:rsidRPr="00C56257">
        <w:rPr>
          <w:rFonts w:eastAsia="Calibri"/>
        </w:rPr>
        <w:t>ROS</w:t>
      </w:r>
      <w:r w:rsidR="00265647">
        <w:rPr>
          <w:rFonts w:eastAsia="Calibri"/>
        </w:rPr>
        <w:t>AC</w:t>
      </w:r>
      <w:r w:rsidRPr="00C56257">
        <w:rPr>
          <w:rFonts w:eastAsia="Calibri"/>
        </w:rPr>
        <w:t>0250 Ținutul Pădurenilor *</w:t>
      </w:r>
    </w:p>
    <w:p w14:paraId="40BFFA31" w14:textId="77777777" w:rsidR="0007555D" w:rsidRPr="00C56257" w:rsidRDefault="0007555D" w:rsidP="008E33FD">
      <w:pPr>
        <w:spacing w:line="259" w:lineRule="auto"/>
        <w:contextualSpacing/>
        <w:jc w:val="both"/>
        <w:rPr>
          <w:rFonts w:eastAsia="Calibri"/>
        </w:rPr>
      </w:pPr>
      <w:r w:rsidRPr="00C56257">
        <w:rPr>
          <w:rFonts w:eastAsia="Calibri"/>
        </w:rPr>
        <w:t>ROSCI0251 Tisa Superioară</w:t>
      </w:r>
    </w:p>
    <w:p w14:paraId="1FEE09DC" w14:textId="77777777" w:rsidR="0007555D" w:rsidRPr="00C56257" w:rsidRDefault="0007555D" w:rsidP="008E33FD">
      <w:pPr>
        <w:spacing w:line="259" w:lineRule="auto"/>
        <w:contextualSpacing/>
        <w:jc w:val="both"/>
        <w:rPr>
          <w:rFonts w:eastAsia="Calibri"/>
        </w:rPr>
      </w:pPr>
      <w:r w:rsidRPr="00C56257">
        <w:rPr>
          <w:rFonts w:eastAsia="Calibri"/>
        </w:rPr>
        <w:t>ROS</w:t>
      </w:r>
      <w:r w:rsidR="00265647">
        <w:rPr>
          <w:rFonts w:eastAsia="Calibri"/>
        </w:rPr>
        <w:t>AC</w:t>
      </w:r>
      <w:r w:rsidRPr="00C56257">
        <w:rPr>
          <w:rFonts w:eastAsia="Calibri"/>
        </w:rPr>
        <w:t>0252 Toplița - Scaunul Rotund Borsec *</w:t>
      </w:r>
    </w:p>
    <w:p w14:paraId="09FD1185" w14:textId="77777777" w:rsidR="0007555D" w:rsidRPr="00C56257" w:rsidRDefault="0007555D" w:rsidP="008E33FD">
      <w:pPr>
        <w:spacing w:line="259" w:lineRule="auto"/>
        <w:contextualSpacing/>
        <w:jc w:val="both"/>
        <w:rPr>
          <w:rFonts w:eastAsia="Calibri"/>
        </w:rPr>
      </w:pPr>
      <w:r w:rsidRPr="00C56257">
        <w:rPr>
          <w:rFonts w:eastAsia="Calibri"/>
        </w:rPr>
        <w:t>ROSCI0253 Trascău *</w:t>
      </w:r>
    </w:p>
    <w:p w14:paraId="4C95D190" w14:textId="77777777" w:rsidR="0007555D" w:rsidRPr="00C56257" w:rsidRDefault="0007555D" w:rsidP="008E33FD">
      <w:pPr>
        <w:spacing w:line="259" w:lineRule="auto"/>
        <w:contextualSpacing/>
        <w:jc w:val="both"/>
        <w:rPr>
          <w:rFonts w:eastAsia="Calibri"/>
        </w:rPr>
      </w:pPr>
      <w:r w:rsidRPr="00C56257">
        <w:rPr>
          <w:rFonts w:eastAsia="Calibri"/>
        </w:rPr>
        <w:t>ROS</w:t>
      </w:r>
      <w:r w:rsidR="00265647">
        <w:rPr>
          <w:rFonts w:eastAsia="Calibri"/>
        </w:rPr>
        <w:t>AC</w:t>
      </w:r>
      <w:r w:rsidRPr="00C56257">
        <w:rPr>
          <w:rFonts w:eastAsia="Calibri"/>
        </w:rPr>
        <w:t>0256 Turbăria Ruginosu Zagon</w:t>
      </w:r>
    </w:p>
    <w:p w14:paraId="2A956EA2" w14:textId="77777777" w:rsidR="0007555D" w:rsidRPr="00C56257" w:rsidRDefault="0007555D" w:rsidP="008E33FD">
      <w:pPr>
        <w:spacing w:line="259" w:lineRule="auto"/>
        <w:contextualSpacing/>
        <w:jc w:val="both"/>
        <w:rPr>
          <w:rFonts w:eastAsia="Calibri"/>
        </w:rPr>
      </w:pPr>
      <w:r w:rsidRPr="00C56257">
        <w:rPr>
          <w:rFonts w:eastAsia="Calibri"/>
        </w:rPr>
        <w:t>ROSCI0258 Văile Brătiei și Brătioarei</w:t>
      </w:r>
    </w:p>
    <w:p w14:paraId="41C21737" w14:textId="77777777" w:rsidR="0007555D" w:rsidRPr="00C56257" w:rsidRDefault="0007555D" w:rsidP="008E33FD">
      <w:pPr>
        <w:spacing w:line="259" w:lineRule="auto"/>
        <w:contextualSpacing/>
        <w:jc w:val="both"/>
        <w:rPr>
          <w:rFonts w:eastAsia="Calibri"/>
        </w:rPr>
      </w:pPr>
      <w:r w:rsidRPr="00C56257">
        <w:rPr>
          <w:rFonts w:eastAsia="Calibri"/>
        </w:rPr>
        <w:t>ROS</w:t>
      </w:r>
      <w:r w:rsidR="00265647">
        <w:rPr>
          <w:rFonts w:eastAsia="Calibri"/>
        </w:rPr>
        <w:t>AC</w:t>
      </w:r>
      <w:r w:rsidRPr="00C56257">
        <w:rPr>
          <w:rFonts w:eastAsia="Calibri"/>
        </w:rPr>
        <w:t>0260 Valea Cepelor</w:t>
      </w:r>
    </w:p>
    <w:p w14:paraId="4E017511" w14:textId="77777777" w:rsidR="0007555D" w:rsidRPr="00C56257" w:rsidRDefault="0007555D" w:rsidP="008E33FD">
      <w:pPr>
        <w:spacing w:line="259" w:lineRule="auto"/>
        <w:contextualSpacing/>
        <w:jc w:val="both"/>
        <w:rPr>
          <w:rFonts w:eastAsia="Calibri"/>
        </w:rPr>
      </w:pPr>
      <w:r w:rsidRPr="00C56257">
        <w:rPr>
          <w:rFonts w:eastAsia="Calibri"/>
        </w:rPr>
        <w:t>ROS</w:t>
      </w:r>
      <w:r w:rsidR="00265647">
        <w:rPr>
          <w:rFonts w:eastAsia="Calibri"/>
        </w:rPr>
        <w:t>AC</w:t>
      </w:r>
      <w:r w:rsidRPr="00C56257">
        <w:rPr>
          <w:rFonts w:eastAsia="Calibri"/>
        </w:rPr>
        <w:t>0262 Valea Iadului</w:t>
      </w:r>
    </w:p>
    <w:p w14:paraId="28F4F015" w14:textId="77777777" w:rsidR="0007555D" w:rsidRPr="00C56257" w:rsidRDefault="0007555D" w:rsidP="008E33FD">
      <w:pPr>
        <w:spacing w:line="259" w:lineRule="auto"/>
        <w:contextualSpacing/>
        <w:jc w:val="both"/>
        <w:rPr>
          <w:rFonts w:eastAsia="Calibri"/>
        </w:rPr>
      </w:pPr>
      <w:r w:rsidRPr="00C56257">
        <w:rPr>
          <w:rFonts w:eastAsia="Calibri"/>
        </w:rPr>
        <w:t>ROS</w:t>
      </w:r>
      <w:r w:rsidR="00265647">
        <w:rPr>
          <w:rFonts w:eastAsia="Calibri"/>
        </w:rPr>
        <w:t>AC</w:t>
      </w:r>
      <w:r w:rsidRPr="00C56257">
        <w:rPr>
          <w:rFonts w:eastAsia="Calibri"/>
        </w:rPr>
        <w:t>0263 Valea Ierii</w:t>
      </w:r>
    </w:p>
    <w:p w14:paraId="57AB267A" w14:textId="77777777" w:rsidR="0007555D" w:rsidRPr="00C56257" w:rsidRDefault="0007555D" w:rsidP="008E33FD">
      <w:pPr>
        <w:spacing w:line="259" w:lineRule="auto"/>
        <w:contextualSpacing/>
        <w:jc w:val="both"/>
        <w:rPr>
          <w:rFonts w:eastAsia="Calibri"/>
        </w:rPr>
      </w:pPr>
      <w:r w:rsidRPr="00C56257">
        <w:rPr>
          <w:rFonts w:eastAsia="Calibri"/>
        </w:rPr>
        <w:t>ROS</w:t>
      </w:r>
      <w:r w:rsidR="00265647">
        <w:rPr>
          <w:rFonts w:eastAsia="Calibri"/>
        </w:rPr>
        <w:t>AC</w:t>
      </w:r>
      <w:r w:rsidRPr="00C56257">
        <w:rPr>
          <w:rFonts w:eastAsia="Calibri"/>
        </w:rPr>
        <w:t>0264 Valea Izei și Dealul Solovan *</w:t>
      </w:r>
    </w:p>
    <w:p w14:paraId="5BEFEFC9" w14:textId="77777777" w:rsidR="0007555D" w:rsidRPr="00C56257" w:rsidRDefault="0007555D" w:rsidP="008E33FD">
      <w:pPr>
        <w:spacing w:line="259" w:lineRule="auto"/>
        <w:contextualSpacing/>
        <w:jc w:val="both"/>
        <w:rPr>
          <w:rFonts w:eastAsia="Calibri"/>
        </w:rPr>
      </w:pPr>
      <w:r w:rsidRPr="00C56257">
        <w:rPr>
          <w:rFonts w:eastAsia="Calibri"/>
        </w:rPr>
        <w:t>ROSCI0268 Valea Vâlsanului</w:t>
      </w:r>
    </w:p>
    <w:p w14:paraId="1ECEC737" w14:textId="77777777" w:rsidR="0007555D" w:rsidRPr="00C56257" w:rsidRDefault="0007555D" w:rsidP="008E33FD">
      <w:pPr>
        <w:spacing w:line="259" w:lineRule="auto"/>
        <w:contextualSpacing/>
        <w:jc w:val="both"/>
        <w:rPr>
          <w:rFonts w:eastAsia="Calibri"/>
        </w:rPr>
      </w:pPr>
      <w:r w:rsidRPr="00C56257">
        <w:rPr>
          <w:rFonts w:eastAsia="Calibri"/>
        </w:rPr>
        <w:t>ROS</w:t>
      </w:r>
      <w:r w:rsidR="00265647">
        <w:rPr>
          <w:rFonts w:eastAsia="Calibri"/>
        </w:rPr>
        <w:t>AC</w:t>
      </w:r>
      <w:r w:rsidRPr="00C56257">
        <w:rPr>
          <w:rFonts w:eastAsia="Calibri"/>
        </w:rPr>
        <w:t>0270 Vânători-Neamț *</w:t>
      </w:r>
    </w:p>
    <w:p w14:paraId="7DBD509C" w14:textId="77777777" w:rsidR="0007555D" w:rsidRPr="00C56257" w:rsidRDefault="0007555D" w:rsidP="008E33FD">
      <w:pPr>
        <w:spacing w:line="259" w:lineRule="auto"/>
        <w:contextualSpacing/>
        <w:jc w:val="both"/>
        <w:rPr>
          <w:rFonts w:eastAsia="Calibri"/>
        </w:rPr>
      </w:pPr>
      <w:r w:rsidRPr="00C56257">
        <w:rPr>
          <w:rFonts w:eastAsia="Calibri"/>
        </w:rPr>
        <w:t>ROSCI0280 Buzăul Superior</w:t>
      </w:r>
    </w:p>
    <w:p w14:paraId="62CA6363" w14:textId="77777777" w:rsidR="0007555D" w:rsidRPr="00C56257" w:rsidRDefault="0007555D" w:rsidP="008E33FD">
      <w:pPr>
        <w:spacing w:line="259" w:lineRule="auto"/>
        <w:contextualSpacing/>
        <w:jc w:val="both"/>
        <w:rPr>
          <w:rFonts w:eastAsia="Calibri"/>
        </w:rPr>
      </w:pPr>
      <w:r w:rsidRPr="00C56257">
        <w:rPr>
          <w:rFonts w:eastAsia="Calibri"/>
        </w:rPr>
        <w:t>ROS</w:t>
      </w:r>
      <w:r w:rsidR="00265647">
        <w:rPr>
          <w:rFonts w:eastAsia="Calibri"/>
        </w:rPr>
        <w:t>AC</w:t>
      </w:r>
      <w:r w:rsidRPr="00C56257">
        <w:rPr>
          <w:rFonts w:eastAsia="Calibri"/>
        </w:rPr>
        <w:t>0283 Cheile Doftanei</w:t>
      </w:r>
    </w:p>
    <w:p w14:paraId="0953AA67" w14:textId="77777777" w:rsidR="0007555D" w:rsidRPr="00C56257" w:rsidRDefault="0007555D" w:rsidP="008E33FD">
      <w:pPr>
        <w:spacing w:line="259" w:lineRule="auto"/>
        <w:contextualSpacing/>
        <w:jc w:val="both"/>
        <w:rPr>
          <w:rFonts w:eastAsia="Calibri"/>
        </w:rPr>
      </w:pPr>
      <w:r w:rsidRPr="00C56257">
        <w:rPr>
          <w:rFonts w:eastAsia="Calibri"/>
        </w:rPr>
        <w:t>ROSCI0285 Codrii seculari de la Strâmbu - Băiuț</w:t>
      </w:r>
    </w:p>
    <w:p w14:paraId="69BCF84C" w14:textId="77777777" w:rsidR="0007555D" w:rsidRPr="00C56257" w:rsidRDefault="0007555D" w:rsidP="008E33FD">
      <w:pPr>
        <w:spacing w:line="259" w:lineRule="auto"/>
        <w:contextualSpacing/>
        <w:jc w:val="both"/>
        <w:rPr>
          <w:rFonts w:eastAsia="Calibri"/>
        </w:rPr>
      </w:pPr>
      <w:r w:rsidRPr="00C56257">
        <w:rPr>
          <w:rFonts w:eastAsia="Calibri"/>
        </w:rPr>
        <w:t>ROSCI0292 Coridorul Rusca Montană - Țarcu - Retezat *</w:t>
      </w:r>
    </w:p>
    <w:p w14:paraId="118E755F" w14:textId="77777777" w:rsidR="0007555D" w:rsidRPr="00C56257" w:rsidRDefault="0007555D" w:rsidP="008E33FD">
      <w:pPr>
        <w:spacing w:line="259" w:lineRule="auto"/>
        <w:contextualSpacing/>
        <w:jc w:val="both"/>
        <w:rPr>
          <w:rFonts w:eastAsia="Calibri"/>
        </w:rPr>
      </w:pPr>
      <w:r w:rsidRPr="00C56257">
        <w:rPr>
          <w:rFonts w:eastAsia="Calibri"/>
        </w:rPr>
        <w:t>ROS</w:t>
      </w:r>
      <w:r w:rsidR="00265647">
        <w:rPr>
          <w:rFonts w:eastAsia="Calibri"/>
        </w:rPr>
        <w:t>AC</w:t>
      </w:r>
      <w:r w:rsidRPr="00C56257">
        <w:rPr>
          <w:rFonts w:eastAsia="Calibri"/>
        </w:rPr>
        <w:t>0297 Dealurile Târnavei Mici - Bicheș</w:t>
      </w:r>
    </w:p>
    <w:p w14:paraId="2139775C" w14:textId="77777777" w:rsidR="0007555D" w:rsidRPr="00C56257" w:rsidRDefault="0007555D" w:rsidP="008E33FD">
      <w:pPr>
        <w:spacing w:line="259" w:lineRule="auto"/>
        <w:contextualSpacing/>
        <w:jc w:val="both"/>
        <w:rPr>
          <w:rFonts w:eastAsia="Calibri"/>
        </w:rPr>
      </w:pPr>
      <w:r w:rsidRPr="00C56257">
        <w:rPr>
          <w:rFonts w:eastAsia="Calibri"/>
        </w:rPr>
        <w:t>ROSCI0303 Hârtibaciu Sud - Est</w:t>
      </w:r>
    </w:p>
    <w:p w14:paraId="34A4C097"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w:t>
      </w:r>
      <w:r w:rsidR="00265647">
        <w:rPr>
          <w:rFonts w:eastAsia="Calibri"/>
        </w:rPr>
        <w:t>AC</w:t>
      </w:r>
      <w:r w:rsidRPr="00C56257">
        <w:rPr>
          <w:rFonts w:eastAsia="Calibri"/>
        </w:rPr>
        <w:t>0304 Hârtibaciu Sud - Vest</w:t>
      </w:r>
    </w:p>
    <w:p w14:paraId="2F7D353A" w14:textId="77777777" w:rsidR="0007555D" w:rsidRPr="00C56257" w:rsidRDefault="0007555D" w:rsidP="008E33FD">
      <w:pPr>
        <w:spacing w:line="259" w:lineRule="auto"/>
        <w:contextualSpacing/>
        <w:jc w:val="both"/>
        <w:rPr>
          <w:rFonts w:eastAsia="Calibri"/>
        </w:rPr>
      </w:pPr>
      <w:r w:rsidRPr="00C56257">
        <w:rPr>
          <w:rFonts w:eastAsia="Calibri"/>
        </w:rPr>
        <w:t>ROS</w:t>
      </w:r>
      <w:r w:rsidR="00265647">
        <w:rPr>
          <w:rFonts w:eastAsia="Calibri"/>
        </w:rPr>
        <w:t>AC</w:t>
      </w:r>
      <w:r w:rsidRPr="00C56257">
        <w:rPr>
          <w:rFonts w:eastAsia="Calibri"/>
        </w:rPr>
        <w:t>0318 Măgura Târgu Ocna</w:t>
      </w:r>
    </w:p>
    <w:p w14:paraId="716FB9C6" w14:textId="77777777" w:rsidR="0007555D" w:rsidRPr="00C56257" w:rsidRDefault="0007555D" w:rsidP="008E33FD">
      <w:pPr>
        <w:spacing w:line="259" w:lineRule="auto"/>
        <w:contextualSpacing/>
        <w:jc w:val="both"/>
        <w:rPr>
          <w:rFonts w:eastAsia="Calibri"/>
        </w:rPr>
      </w:pPr>
      <w:r w:rsidRPr="00C56257">
        <w:rPr>
          <w:rFonts w:eastAsia="Calibri"/>
        </w:rPr>
        <w:t>ROS</w:t>
      </w:r>
      <w:r w:rsidR="00265647">
        <w:rPr>
          <w:rFonts w:eastAsia="Calibri"/>
        </w:rPr>
        <w:t>AC</w:t>
      </w:r>
      <w:r w:rsidRPr="00C56257">
        <w:rPr>
          <w:rFonts w:eastAsia="Calibri"/>
        </w:rPr>
        <w:t>0321 Moldova Superioară</w:t>
      </w:r>
    </w:p>
    <w:p w14:paraId="6636DA9C" w14:textId="77777777" w:rsidR="0007555D" w:rsidRPr="00C56257" w:rsidRDefault="0007555D" w:rsidP="008E33FD">
      <w:pPr>
        <w:spacing w:line="259" w:lineRule="auto"/>
        <w:contextualSpacing/>
        <w:jc w:val="both"/>
        <w:rPr>
          <w:rFonts w:eastAsia="Calibri"/>
        </w:rPr>
      </w:pPr>
      <w:r w:rsidRPr="00C56257">
        <w:rPr>
          <w:rFonts w:eastAsia="Calibri"/>
        </w:rPr>
        <w:t>ROS</w:t>
      </w:r>
      <w:r w:rsidR="00265647">
        <w:rPr>
          <w:rFonts w:eastAsia="Calibri"/>
        </w:rPr>
        <w:t>AC</w:t>
      </w:r>
      <w:r w:rsidRPr="00C56257">
        <w:rPr>
          <w:rFonts w:eastAsia="Calibri"/>
        </w:rPr>
        <w:t>0322 Muntele Șes</w:t>
      </w:r>
    </w:p>
    <w:p w14:paraId="616D9246" w14:textId="77777777" w:rsidR="0007555D" w:rsidRPr="00C56257" w:rsidRDefault="0007555D" w:rsidP="008E33FD">
      <w:pPr>
        <w:spacing w:line="259" w:lineRule="auto"/>
        <w:contextualSpacing/>
        <w:jc w:val="both"/>
        <w:rPr>
          <w:rFonts w:eastAsia="Calibri"/>
        </w:rPr>
      </w:pPr>
      <w:r w:rsidRPr="00C56257">
        <w:rPr>
          <w:rFonts w:eastAsia="Calibri"/>
        </w:rPr>
        <w:t>ROSCI0323 Munții Ciucului *</w:t>
      </w:r>
    </w:p>
    <w:p w14:paraId="43916E15" w14:textId="77777777" w:rsidR="0007555D" w:rsidRPr="00C56257" w:rsidRDefault="0007555D" w:rsidP="008E33FD">
      <w:pPr>
        <w:spacing w:line="259" w:lineRule="auto"/>
        <w:contextualSpacing/>
        <w:jc w:val="both"/>
        <w:rPr>
          <w:rFonts w:eastAsia="Calibri"/>
        </w:rPr>
      </w:pPr>
      <w:r w:rsidRPr="00C56257">
        <w:rPr>
          <w:rFonts w:eastAsia="Calibri"/>
        </w:rPr>
        <w:t>ROSCI0324 Munții Bihor *</w:t>
      </w:r>
    </w:p>
    <w:p w14:paraId="3D38EFA0" w14:textId="77777777" w:rsidR="0007555D" w:rsidRPr="00C56257" w:rsidRDefault="0007555D" w:rsidP="008E33FD">
      <w:pPr>
        <w:spacing w:line="259" w:lineRule="auto"/>
        <w:contextualSpacing/>
        <w:jc w:val="both"/>
        <w:rPr>
          <w:rFonts w:eastAsia="Calibri"/>
        </w:rPr>
      </w:pPr>
      <w:r w:rsidRPr="00C56257">
        <w:rPr>
          <w:rFonts w:eastAsia="Calibri"/>
        </w:rPr>
        <w:t>ROS</w:t>
      </w:r>
      <w:r w:rsidR="00265647">
        <w:rPr>
          <w:rFonts w:eastAsia="Calibri"/>
        </w:rPr>
        <w:t>AC</w:t>
      </w:r>
      <w:r w:rsidRPr="00C56257">
        <w:rPr>
          <w:rFonts w:eastAsia="Calibri"/>
        </w:rPr>
        <w:t>0326 Muscelele Argeșului</w:t>
      </w:r>
    </w:p>
    <w:p w14:paraId="4C4D985A" w14:textId="77777777" w:rsidR="0007555D" w:rsidRPr="00C56257" w:rsidRDefault="0007555D" w:rsidP="008E33FD">
      <w:pPr>
        <w:spacing w:line="259" w:lineRule="auto"/>
        <w:contextualSpacing/>
        <w:jc w:val="both"/>
        <w:rPr>
          <w:rFonts w:eastAsia="Calibri"/>
        </w:rPr>
      </w:pPr>
      <w:r w:rsidRPr="00C56257">
        <w:rPr>
          <w:rFonts w:eastAsia="Calibri"/>
        </w:rPr>
        <w:t>ROSCI0327 Nemira - Lapoș</w:t>
      </w:r>
    </w:p>
    <w:p w14:paraId="57DA9C9F" w14:textId="77777777" w:rsidR="0007555D" w:rsidRPr="00C56257" w:rsidRDefault="0007555D" w:rsidP="008E33FD">
      <w:pPr>
        <w:spacing w:line="259" w:lineRule="auto"/>
        <w:contextualSpacing/>
        <w:jc w:val="both"/>
        <w:rPr>
          <w:rFonts w:eastAsia="Calibri"/>
        </w:rPr>
      </w:pPr>
      <w:r w:rsidRPr="00C56257">
        <w:rPr>
          <w:rFonts w:eastAsia="Calibri"/>
        </w:rPr>
        <w:t>ROSCI0328 Obcinele Bucovinei *</w:t>
      </w:r>
    </w:p>
    <w:p w14:paraId="78B75720" w14:textId="77777777" w:rsidR="0007555D" w:rsidRPr="00C56257" w:rsidRDefault="0007555D" w:rsidP="008E33FD">
      <w:pPr>
        <w:spacing w:line="259" w:lineRule="auto"/>
        <w:contextualSpacing/>
        <w:jc w:val="both"/>
        <w:rPr>
          <w:rFonts w:eastAsia="Calibri"/>
        </w:rPr>
      </w:pPr>
      <w:r w:rsidRPr="00C56257">
        <w:rPr>
          <w:rFonts w:eastAsia="Calibri"/>
        </w:rPr>
        <w:t>ROSCI0332 Coșava Mică *</w:t>
      </w:r>
    </w:p>
    <w:p w14:paraId="2C965EE3" w14:textId="77777777" w:rsidR="0007555D" w:rsidRPr="00C56257" w:rsidRDefault="0007555D" w:rsidP="008E33FD">
      <w:pPr>
        <w:spacing w:line="259" w:lineRule="auto"/>
        <w:contextualSpacing/>
        <w:jc w:val="both"/>
        <w:rPr>
          <w:rFonts w:eastAsia="Calibri"/>
        </w:rPr>
      </w:pPr>
      <w:r w:rsidRPr="00C56257">
        <w:rPr>
          <w:rFonts w:eastAsia="Calibri"/>
        </w:rPr>
        <w:t>ROSCI0339 Pădurea Povernii - Valea Cernița</w:t>
      </w:r>
    </w:p>
    <w:p w14:paraId="1FC2F279" w14:textId="77777777" w:rsidR="0007555D" w:rsidRPr="00C56257" w:rsidRDefault="0007555D" w:rsidP="008E33FD">
      <w:pPr>
        <w:spacing w:line="259" w:lineRule="auto"/>
        <w:contextualSpacing/>
        <w:jc w:val="both"/>
        <w:rPr>
          <w:rFonts w:eastAsia="Calibri"/>
        </w:rPr>
      </w:pPr>
      <w:r w:rsidRPr="00C56257">
        <w:rPr>
          <w:rFonts w:eastAsia="Calibri"/>
        </w:rPr>
        <w:t>ROSCI0355 Podișul Lipovei - Poiana Ruscă *</w:t>
      </w:r>
    </w:p>
    <w:p w14:paraId="14DCD4CA" w14:textId="77777777" w:rsidR="0007555D" w:rsidRPr="00C56257" w:rsidRDefault="0007555D" w:rsidP="008E33FD">
      <w:pPr>
        <w:spacing w:line="259" w:lineRule="auto"/>
        <w:contextualSpacing/>
        <w:jc w:val="both"/>
        <w:rPr>
          <w:rFonts w:eastAsia="Calibri"/>
        </w:rPr>
      </w:pPr>
      <w:r w:rsidRPr="00C56257">
        <w:rPr>
          <w:rFonts w:eastAsia="Calibri"/>
        </w:rPr>
        <w:t>ROSCI0358 Pricop - Huta - Certeze</w:t>
      </w:r>
    </w:p>
    <w:p w14:paraId="76DC1223" w14:textId="77777777" w:rsidR="0007555D" w:rsidRPr="00C56257" w:rsidRDefault="0007555D" w:rsidP="008E33FD">
      <w:pPr>
        <w:spacing w:line="259" w:lineRule="auto"/>
        <w:contextualSpacing/>
        <w:jc w:val="both"/>
        <w:rPr>
          <w:rFonts w:eastAsia="Calibri"/>
        </w:rPr>
      </w:pPr>
      <w:r w:rsidRPr="00C56257">
        <w:rPr>
          <w:rFonts w:eastAsia="Calibri"/>
        </w:rPr>
        <w:t>ROS</w:t>
      </w:r>
      <w:r w:rsidR="00265647">
        <w:rPr>
          <w:rFonts w:eastAsia="Calibri"/>
        </w:rPr>
        <w:t>AC</w:t>
      </w:r>
      <w:r w:rsidRPr="00C56257">
        <w:rPr>
          <w:rFonts w:eastAsia="Calibri"/>
        </w:rPr>
        <w:t>0365 Râul Moldova între Păltinoasa și Ruși</w:t>
      </w:r>
    </w:p>
    <w:p w14:paraId="73B0B0DD" w14:textId="77777777" w:rsidR="0007555D" w:rsidRPr="00C56257" w:rsidRDefault="0007555D" w:rsidP="008E33FD">
      <w:pPr>
        <w:spacing w:line="259" w:lineRule="auto"/>
        <w:contextualSpacing/>
        <w:jc w:val="both"/>
        <w:rPr>
          <w:rFonts w:eastAsia="Calibri"/>
        </w:rPr>
      </w:pPr>
      <w:r w:rsidRPr="00C56257">
        <w:rPr>
          <w:rFonts w:eastAsia="Calibri"/>
        </w:rPr>
        <w:t>ROSCI0379 Râul Suceava</w:t>
      </w:r>
    </w:p>
    <w:p w14:paraId="5C7DFAB4" w14:textId="77777777" w:rsidR="0007555D" w:rsidRPr="00C56257" w:rsidRDefault="0007555D" w:rsidP="008E33FD">
      <w:pPr>
        <w:spacing w:line="259" w:lineRule="auto"/>
        <w:contextualSpacing/>
        <w:jc w:val="both"/>
        <w:rPr>
          <w:rFonts w:eastAsia="Calibri"/>
        </w:rPr>
      </w:pPr>
      <w:r w:rsidRPr="00C56257">
        <w:rPr>
          <w:rFonts w:eastAsia="Calibri"/>
        </w:rPr>
        <w:t>ROSCI0381 Râul Târgului - Argeșel - Râușor *</w:t>
      </w:r>
    </w:p>
    <w:p w14:paraId="6807C54C" w14:textId="77777777" w:rsidR="0007555D" w:rsidRPr="00C56257" w:rsidRDefault="0007555D" w:rsidP="008E33FD">
      <w:pPr>
        <w:spacing w:line="259" w:lineRule="auto"/>
        <w:contextualSpacing/>
        <w:jc w:val="both"/>
        <w:rPr>
          <w:rFonts w:eastAsia="Calibri"/>
        </w:rPr>
      </w:pPr>
      <w:r w:rsidRPr="00C56257">
        <w:rPr>
          <w:rFonts w:eastAsia="Calibri"/>
        </w:rPr>
        <w:t>ROSCI0392 Slatina</w:t>
      </w:r>
    </w:p>
    <w:p w14:paraId="0D28E2C2" w14:textId="77777777" w:rsidR="0007555D" w:rsidRPr="00C56257" w:rsidRDefault="0007555D" w:rsidP="00265647">
      <w:pPr>
        <w:tabs>
          <w:tab w:val="left" w:pos="3330"/>
        </w:tabs>
        <w:spacing w:line="259" w:lineRule="auto"/>
        <w:contextualSpacing/>
        <w:jc w:val="both"/>
        <w:rPr>
          <w:rFonts w:eastAsia="Calibri"/>
        </w:rPr>
      </w:pPr>
      <w:r w:rsidRPr="00C56257">
        <w:rPr>
          <w:rFonts w:eastAsia="Calibri"/>
        </w:rPr>
        <w:t>ROS</w:t>
      </w:r>
      <w:r w:rsidR="00265647">
        <w:rPr>
          <w:rFonts w:eastAsia="Calibri"/>
        </w:rPr>
        <w:t>AC</w:t>
      </w:r>
      <w:r w:rsidRPr="00C56257">
        <w:rPr>
          <w:rFonts w:eastAsia="Calibri"/>
        </w:rPr>
        <w:t>0395 Soveja *</w:t>
      </w:r>
      <w:r w:rsidR="00265647">
        <w:rPr>
          <w:rFonts w:eastAsia="Calibri"/>
        </w:rPr>
        <w:tab/>
      </w:r>
    </w:p>
    <w:p w14:paraId="748FE066" w14:textId="77777777" w:rsidR="0007555D" w:rsidRPr="00C56257" w:rsidRDefault="0007555D" w:rsidP="008E33FD">
      <w:pPr>
        <w:spacing w:line="259" w:lineRule="auto"/>
        <w:contextualSpacing/>
        <w:jc w:val="both"/>
        <w:rPr>
          <w:rFonts w:eastAsia="Calibri"/>
        </w:rPr>
      </w:pPr>
      <w:r w:rsidRPr="00C56257">
        <w:rPr>
          <w:rFonts w:eastAsia="Calibri"/>
        </w:rPr>
        <w:t>ROSCI0406 Zarandul de Est</w:t>
      </w:r>
    </w:p>
    <w:p w14:paraId="4EA0A489" w14:textId="77777777" w:rsidR="0007555D" w:rsidRPr="00C56257" w:rsidRDefault="0007555D" w:rsidP="008E33FD">
      <w:pPr>
        <w:spacing w:line="259" w:lineRule="auto"/>
        <w:contextualSpacing/>
        <w:jc w:val="both"/>
        <w:rPr>
          <w:rFonts w:eastAsia="Calibri"/>
        </w:rPr>
      </w:pPr>
      <w:r w:rsidRPr="00C56257">
        <w:rPr>
          <w:rFonts w:eastAsia="Calibri"/>
        </w:rPr>
        <w:t>ROSCI0411 Groșii Țibleșului</w:t>
      </w:r>
    </w:p>
    <w:p w14:paraId="03D502CD" w14:textId="77777777" w:rsidR="0007555D" w:rsidRPr="00C56257" w:rsidRDefault="0007555D" w:rsidP="008E33FD">
      <w:pPr>
        <w:spacing w:line="259" w:lineRule="auto"/>
        <w:contextualSpacing/>
        <w:jc w:val="both"/>
        <w:rPr>
          <w:rFonts w:eastAsia="Calibri"/>
        </w:rPr>
      </w:pPr>
    </w:p>
    <w:p w14:paraId="1DD91C96"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91X0 </w:t>
      </w:r>
      <w:r w:rsidRPr="00C56257">
        <w:rPr>
          <w:rFonts w:eastAsia="Calibri"/>
          <w:bCs/>
        </w:rPr>
        <w:t>*</w:t>
      </w:r>
      <w:r w:rsidRPr="00C56257">
        <w:rPr>
          <w:rFonts w:eastAsia="Calibri"/>
          <w:b/>
        </w:rPr>
        <w:t xml:space="preserve"> - Păduri dobrogene de fag </w:t>
      </w:r>
    </w:p>
    <w:p w14:paraId="2D2A5D1E" w14:textId="77777777" w:rsidR="0007555D" w:rsidRPr="00C56257" w:rsidRDefault="0007555D" w:rsidP="008E33FD">
      <w:pPr>
        <w:spacing w:line="259" w:lineRule="auto"/>
        <w:contextualSpacing/>
        <w:jc w:val="both"/>
        <w:rPr>
          <w:rFonts w:eastAsia="Calibri"/>
        </w:rPr>
      </w:pPr>
    </w:p>
    <w:p w14:paraId="4D430B55" w14:textId="77777777" w:rsidR="0007555D" w:rsidRPr="00C56257" w:rsidRDefault="0007555D" w:rsidP="008E33FD">
      <w:pPr>
        <w:spacing w:line="259" w:lineRule="auto"/>
        <w:contextualSpacing/>
        <w:jc w:val="both"/>
        <w:rPr>
          <w:rFonts w:eastAsia="Calibri"/>
        </w:rPr>
      </w:pPr>
      <w:r w:rsidRPr="00C56257">
        <w:rPr>
          <w:rFonts w:eastAsia="Calibri"/>
        </w:rPr>
        <w:t>ROSCI0123 Munții Măcinului *</w:t>
      </w:r>
    </w:p>
    <w:p w14:paraId="2016A801" w14:textId="77777777" w:rsidR="0007555D" w:rsidRPr="00C56257" w:rsidRDefault="0007555D" w:rsidP="008E33FD">
      <w:pPr>
        <w:spacing w:line="259" w:lineRule="auto"/>
        <w:contextualSpacing/>
        <w:jc w:val="both"/>
        <w:rPr>
          <w:rFonts w:eastAsia="Calibri"/>
        </w:rPr>
      </w:pPr>
      <w:r w:rsidRPr="00C56257">
        <w:rPr>
          <w:rFonts w:eastAsia="Calibri"/>
        </w:rPr>
        <w:t>ROSCI0201 Podișul Nord Dobrogean</w:t>
      </w:r>
    </w:p>
    <w:p w14:paraId="2037E5F6" w14:textId="77777777" w:rsidR="0007555D" w:rsidRPr="00C56257" w:rsidRDefault="0007555D" w:rsidP="008E33FD">
      <w:pPr>
        <w:spacing w:line="259" w:lineRule="auto"/>
        <w:contextualSpacing/>
        <w:jc w:val="both"/>
        <w:rPr>
          <w:rFonts w:eastAsia="Calibri"/>
        </w:rPr>
      </w:pPr>
    </w:p>
    <w:p w14:paraId="1B7DDFAB"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91Y0 - Păduri dacice de stejar și carpen </w:t>
      </w:r>
    </w:p>
    <w:p w14:paraId="46FA59AB" w14:textId="77777777" w:rsidR="0007555D" w:rsidRPr="00C56257" w:rsidRDefault="0007555D" w:rsidP="008E33FD">
      <w:pPr>
        <w:spacing w:line="259" w:lineRule="auto"/>
        <w:contextualSpacing/>
        <w:jc w:val="both"/>
        <w:rPr>
          <w:rFonts w:eastAsia="Calibri"/>
        </w:rPr>
      </w:pPr>
    </w:p>
    <w:p w14:paraId="0D4ED7F4" w14:textId="77777777" w:rsidR="0007555D" w:rsidRPr="00C56257" w:rsidRDefault="0007555D" w:rsidP="008E33FD">
      <w:pPr>
        <w:spacing w:line="259" w:lineRule="auto"/>
        <w:contextualSpacing/>
        <w:jc w:val="both"/>
        <w:rPr>
          <w:rFonts w:eastAsia="Calibri"/>
        </w:rPr>
      </w:pPr>
      <w:r w:rsidRPr="00C56257">
        <w:rPr>
          <w:rFonts w:eastAsia="Calibri"/>
        </w:rPr>
        <w:t>ROSCI0002 Apuseni</w:t>
      </w:r>
    </w:p>
    <w:p w14:paraId="24BF7586"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0004 Băgău</w:t>
      </w:r>
    </w:p>
    <w:p w14:paraId="600C4CE6"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0008 Betfia</w:t>
      </w:r>
    </w:p>
    <w:p w14:paraId="52EF0EBC"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0014 Bucșani *</w:t>
      </w:r>
    </w:p>
    <w:p w14:paraId="381533D0" w14:textId="77777777" w:rsidR="0007555D" w:rsidRPr="00C56257" w:rsidRDefault="0007555D" w:rsidP="008E33FD">
      <w:pPr>
        <w:spacing w:line="259" w:lineRule="auto"/>
        <w:contextualSpacing/>
        <w:jc w:val="both"/>
        <w:rPr>
          <w:rFonts w:eastAsia="Calibri"/>
        </w:rPr>
      </w:pPr>
      <w:r w:rsidRPr="00C56257">
        <w:rPr>
          <w:rFonts w:eastAsia="Calibri"/>
        </w:rPr>
        <w:t>ROSCI0019 Călimani - Gurghiu</w:t>
      </w:r>
    </w:p>
    <w:p w14:paraId="20719386" w14:textId="77777777" w:rsidR="0007555D" w:rsidRPr="00C56257" w:rsidRDefault="0007555D" w:rsidP="008E33FD">
      <w:pPr>
        <w:spacing w:line="259" w:lineRule="auto"/>
        <w:contextualSpacing/>
        <w:jc w:val="both"/>
        <w:rPr>
          <w:rFonts w:eastAsia="Calibri"/>
        </w:rPr>
      </w:pPr>
      <w:r w:rsidRPr="00C56257">
        <w:rPr>
          <w:rFonts w:eastAsia="Calibri"/>
        </w:rPr>
        <w:t>ROSCI0030 Cheile Lăpușului</w:t>
      </w:r>
    </w:p>
    <w:p w14:paraId="403530CE" w14:textId="77777777" w:rsidR="0007555D" w:rsidRPr="00C56257" w:rsidRDefault="0007555D" w:rsidP="008E33FD">
      <w:pPr>
        <w:spacing w:line="259" w:lineRule="auto"/>
        <w:contextualSpacing/>
        <w:jc w:val="both"/>
        <w:rPr>
          <w:rFonts w:eastAsia="Calibri"/>
        </w:rPr>
      </w:pPr>
      <w:r w:rsidRPr="00C56257">
        <w:rPr>
          <w:rFonts w:eastAsia="Calibri"/>
        </w:rPr>
        <w:t>ROSCI0031 Cheile Nerei - Beușnița</w:t>
      </w:r>
    </w:p>
    <w:p w14:paraId="539E205B" w14:textId="77777777" w:rsidR="0007555D" w:rsidRPr="00C56257" w:rsidRDefault="0007555D" w:rsidP="008E33FD">
      <w:pPr>
        <w:spacing w:line="259" w:lineRule="auto"/>
        <w:contextualSpacing/>
        <w:jc w:val="both"/>
        <w:rPr>
          <w:rFonts w:eastAsia="Calibri"/>
        </w:rPr>
      </w:pPr>
      <w:r w:rsidRPr="00C56257">
        <w:rPr>
          <w:rFonts w:eastAsia="Calibri"/>
        </w:rPr>
        <w:t>ROSCI0040 Coasta Lunii</w:t>
      </w:r>
    </w:p>
    <w:p w14:paraId="744C34DF" w14:textId="77777777" w:rsidR="0007555D" w:rsidRPr="00C56257" w:rsidRDefault="0007555D" w:rsidP="008E33FD">
      <w:pPr>
        <w:spacing w:line="259" w:lineRule="auto"/>
        <w:contextualSpacing/>
        <w:jc w:val="both"/>
        <w:rPr>
          <w:rFonts w:eastAsia="Calibri"/>
        </w:rPr>
      </w:pPr>
      <w:r w:rsidRPr="00C56257">
        <w:rPr>
          <w:rFonts w:eastAsia="Calibri"/>
        </w:rPr>
        <w:t>ROSCI0042 Codru Moma</w:t>
      </w:r>
    </w:p>
    <w:p w14:paraId="2A954BD8" w14:textId="77777777" w:rsidR="0007555D" w:rsidRPr="00C56257" w:rsidRDefault="0007555D" w:rsidP="008E33FD">
      <w:pPr>
        <w:spacing w:line="259" w:lineRule="auto"/>
        <w:contextualSpacing/>
        <w:jc w:val="both"/>
        <w:rPr>
          <w:rFonts w:eastAsia="Calibri"/>
        </w:rPr>
      </w:pPr>
      <w:r w:rsidRPr="00C56257">
        <w:rPr>
          <w:rFonts w:eastAsia="Calibri"/>
        </w:rPr>
        <w:t>ROSCI0043 Comana</w:t>
      </w:r>
    </w:p>
    <w:p w14:paraId="3C8B689F" w14:textId="77777777" w:rsidR="0007555D" w:rsidRPr="00C56257" w:rsidRDefault="0007555D" w:rsidP="008E33FD">
      <w:pPr>
        <w:spacing w:line="259" w:lineRule="auto"/>
        <w:contextualSpacing/>
        <w:jc w:val="both"/>
        <w:rPr>
          <w:rFonts w:eastAsia="Calibri"/>
        </w:rPr>
      </w:pPr>
      <w:r w:rsidRPr="00C56257">
        <w:rPr>
          <w:rFonts w:eastAsia="Calibri"/>
        </w:rPr>
        <w:t>ROSCI0045 Coridorul Jiului *</w:t>
      </w:r>
    </w:p>
    <w:p w14:paraId="4B397CB8"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0046 Cozia *</w:t>
      </w:r>
    </w:p>
    <w:p w14:paraId="77727A54" w14:textId="77777777" w:rsidR="0007555D" w:rsidRPr="00C56257" w:rsidRDefault="0007555D" w:rsidP="008E33FD">
      <w:pPr>
        <w:spacing w:line="259" w:lineRule="auto"/>
        <w:contextualSpacing/>
        <w:jc w:val="both"/>
        <w:rPr>
          <w:rFonts w:eastAsia="Calibri"/>
        </w:rPr>
      </w:pPr>
      <w:r w:rsidRPr="00C56257">
        <w:rPr>
          <w:rFonts w:eastAsia="Calibri"/>
        </w:rPr>
        <w:t>ROSCI0051 Cușma</w:t>
      </w:r>
    </w:p>
    <w:p w14:paraId="7DCBE066" w14:textId="77777777" w:rsidR="0007555D" w:rsidRPr="00C56257" w:rsidRDefault="0007555D" w:rsidP="008E33FD">
      <w:pPr>
        <w:spacing w:line="259" w:lineRule="auto"/>
        <w:contextualSpacing/>
        <w:jc w:val="both"/>
        <w:rPr>
          <w:rFonts w:eastAsia="Calibri"/>
        </w:rPr>
      </w:pPr>
      <w:r w:rsidRPr="00C56257">
        <w:rPr>
          <w:rFonts w:eastAsia="Calibri"/>
        </w:rPr>
        <w:t>ROSCI0054 Dealul Cetății Deva</w:t>
      </w:r>
    </w:p>
    <w:p w14:paraId="116C9AE0" w14:textId="77777777" w:rsidR="0007555D" w:rsidRPr="00C56257" w:rsidRDefault="0007555D" w:rsidP="008E33FD">
      <w:pPr>
        <w:spacing w:line="259" w:lineRule="auto"/>
        <w:contextualSpacing/>
        <w:jc w:val="both"/>
        <w:rPr>
          <w:rFonts w:eastAsia="Calibri"/>
        </w:rPr>
      </w:pPr>
      <w:r w:rsidRPr="00C56257">
        <w:rPr>
          <w:rFonts w:eastAsia="Calibri"/>
        </w:rPr>
        <w:t>ROSCI0055 Dealul Cetății Lempeș - Mlaștina Hărman</w:t>
      </w:r>
    </w:p>
    <w:p w14:paraId="0E7E338F"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0056 Dealul Ciocaș - Dealul Vițelului</w:t>
      </w:r>
    </w:p>
    <w:p w14:paraId="1A8CA08F"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0057 Dealul Istrița</w:t>
      </w:r>
    </w:p>
    <w:p w14:paraId="1FF85CDA"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0061 Defileul Crișului Negru</w:t>
      </w:r>
    </w:p>
    <w:p w14:paraId="160ED4F0"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w:t>
      </w:r>
      <w:r w:rsidR="00614E04">
        <w:rPr>
          <w:rFonts w:eastAsia="Calibri"/>
        </w:rPr>
        <w:t>AC</w:t>
      </w:r>
      <w:r w:rsidRPr="00C56257">
        <w:rPr>
          <w:rFonts w:eastAsia="Calibri"/>
        </w:rPr>
        <w:t>0062 Defileul Crișului Repede - Pădurea Craiului</w:t>
      </w:r>
    </w:p>
    <w:p w14:paraId="520BC870" w14:textId="77777777" w:rsidR="0007555D" w:rsidRPr="00C56257" w:rsidRDefault="0007555D" w:rsidP="008E33FD">
      <w:pPr>
        <w:spacing w:line="259" w:lineRule="auto"/>
        <w:contextualSpacing/>
        <w:jc w:val="both"/>
        <w:rPr>
          <w:rFonts w:eastAsia="Calibri"/>
        </w:rPr>
      </w:pPr>
      <w:r w:rsidRPr="00C56257">
        <w:rPr>
          <w:rFonts w:eastAsia="Calibri"/>
        </w:rPr>
        <w:t>ROSCI0063 Defileul Jiului</w:t>
      </w:r>
    </w:p>
    <w:p w14:paraId="291554F1"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0064 Defileul Mureșului</w:t>
      </w:r>
    </w:p>
    <w:p w14:paraId="32687CBD"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0069 Domogled - Valea Cernei</w:t>
      </w:r>
    </w:p>
    <w:p w14:paraId="6D863AAB" w14:textId="77777777" w:rsidR="0007555D" w:rsidRPr="00C56257" w:rsidRDefault="0007555D" w:rsidP="008E33FD">
      <w:pPr>
        <w:spacing w:line="259" w:lineRule="auto"/>
        <w:contextualSpacing/>
        <w:jc w:val="both"/>
        <w:rPr>
          <w:rFonts w:eastAsia="Calibri"/>
        </w:rPr>
      </w:pPr>
      <w:r w:rsidRPr="00C56257">
        <w:rPr>
          <w:rFonts w:eastAsia="Calibri"/>
        </w:rPr>
        <w:t>ROSCI0070 Drocea</w:t>
      </w:r>
    </w:p>
    <w:p w14:paraId="5185B46C" w14:textId="77777777" w:rsidR="0007555D" w:rsidRPr="00C56257" w:rsidRDefault="0007555D" w:rsidP="008E33FD">
      <w:pPr>
        <w:spacing w:line="259" w:lineRule="auto"/>
        <w:contextualSpacing/>
        <w:jc w:val="both"/>
        <w:rPr>
          <w:rFonts w:eastAsia="Calibri"/>
        </w:rPr>
      </w:pPr>
      <w:r w:rsidRPr="00C56257">
        <w:rPr>
          <w:rFonts w:eastAsia="Calibri"/>
        </w:rPr>
        <w:t>ROSCI0074 Făgetul Clujului - Valea Morii</w:t>
      </w:r>
    </w:p>
    <w:p w14:paraId="11676848" w14:textId="77777777" w:rsidR="0007555D" w:rsidRPr="00C56257" w:rsidRDefault="0007555D" w:rsidP="008E33FD">
      <w:pPr>
        <w:spacing w:line="259" w:lineRule="auto"/>
        <w:contextualSpacing/>
        <w:jc w:val="both"/>
        <w:rPr>
          <w:rFonts w:eastAsia="Calibri"/>
        </w:rPr>
      </w:pPr>
      <w:r w:rsidRPr="00C56257">
        <w:rPr>
          <w:rFonts w:eastAsia="Calibri"/>
        </w:rPr>
        <w:t>ROSCI0075 Pădurea Pătrăuți</w:t>
      </w:r>
    </w:p>
    <w:p w14:paraId="47184BDA" w14:textId="77777777" w:rsidR="0007555D" w:rsidRPr="00C56257" w:rsidRDefault="0007555D" w:rsidP="008E33FD">
      <w:pPr>
        <w:spacing w:line="259" w:lineRule="auto"/>
        <w:contextualSpacing/>
        <w:jc w:val="both"/>
        <w:rPr>
          <w:rFonts w:eastAsia="Calibri"/>
        </w:rPr>
      </w:pPr>
      <w:r w:rsidRPr="00C56257">
        <w:rPr>
          <w:rFonts w:eastAsia="Calibri"/>
        </w:rPr>
        <w:t>ROSCI0076 Dealul Mare - Hârlău *</w:t>
      </w:r>
    </w:p>
    <w:p w14:paraId="0A22BECB" w14:textId="77777777" w:rsidR="0007555D" w:rsidRPr="00C56257" w:rsidRDefault="0007555D" w:rsidP="008E33FD">
      <w:pPr>
        <w:spacing w:line="259" w:lineRule="auto"/>
        <w:contextualSpacing/>
        <w:jc w:val="both"/>
        <w:rPr>
          <w:rFonts w:eastAsia="Calibri"/>
        </w:rPr>
      </w:pPr>
      <w:r w:rsidRPr="00C56257">
        <w:rPr>
          <w:rFonts w:eastAsia="Calibri"/>
        </w:rPr>
        <w:t>ROSCI0079 Fânațele de pe Dealul Corhan - Săbed</w:t>
      </w:r>
    </w:p>
    <w:p w14:paraId="71FE27FE"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0099 Lacul Știucilor - Sic - Puini - Bonțida</w:t>
      </w:r>
    </w:p>
    <w:p w14:paraId="3E512898"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0106 Lunca Mijlocie a Argeșului</w:t>
      </w:r>
    </w:p>
    <w:p w14:paraId="4A8F29A8" w14:textId="77777777" w:rsidR="0007555D" w:rsidRPr="00C56257" w:rsidRDefault="0007555D" w:rsidP="008E33FD">
      <w:pPr>
        <w:spacing w:line="259" w:lineRule="auto"/>
        <w:contextualSpacing/>
        <w:jc w:val="both"/>
        <w:rPr>
          <w:rFonts w:eastAsia="Calibri"/>
        </w:rPr>
      </w:pPr>
      <w:r w:rsidRPr="00C56257">
        <w:rPr>
          <w:rFonts w:eastAsia="Calibri"/>
        </w:rPr>
        <w:t>ROSCI0109 Lunca Timișului *</w:t>
      </w:r>
    </w:p>
    <w:p w14:paraId="713DF515" w14:textId="77777777" w:rsidR="0007555D" w:rsidRPr="00C56257" w:rsidRDefault="0007555D" w:rsidP="008E33FD">
      <w:pPr>
        <w:spacing w:line="259" w:lineRule="auto"/>
        <w:contextualSpacing/>
        <w:jc w:val="both"/>
        <w:rPr>
          <w:rFonts w:eastAsia="Calibri"/>
        </w:rPr>
      </w:pPr>
      <w:r w:rsidRPr="00C56257">
        <w:rPr>
          <w:rFonts w:eastAsia="Calibri"/>
        </w:rPr>
        <w:t>ROSCI0110 Măgurile Băiței</w:t>
      </w:r>
    </w:p>
    <w:p w14:paraId="70F02BC6"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0120 Muntele Tâmpa</w:t>
      </w:r>
    </w:p>
    <w:p w14:paraId="48CC4297" w14:textId="77777777" w:rsidR="0007555D" w:rsidRPr="00C56257" w:rsidRDefault="0007555D" w:rsidP="008E33FD">
      <w:pPr>
        <w:spacing w:line="259" w:lineRule="auto"/>
        <w:contextualSpacing/>
        <w:jc w:val="both"/>
        <w:rPr>
          <w:rFonts w:eastAsia="Calibri"/>
        </w:rPr>
      </w:pPr>
      <w:r w:rsidRPr="00C56257">
        <w:rPr>
          <w:rFonts w:eastAsia="Calibri"/>
        </w:rPr>
        <w:t>ROSCI0123 Munții Măcinului *</w:t>
      </w:r>
    </w:p>
    <w:p w14:paraId="5F2377D7"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0124 Munții Maramureșului</w:t>
      </w:r>
    </w:p>
    <w:p w14:paraId="6EB95CE7"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0128 Nordul Gorjului de Est</w:t>
      </w:r>
    </w:p>
    <w:p w14:paraId="582DF60A"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0129 Nordul Gorjului de Vest</w:t>
      </w:r>
    </w:p>
    <w:p w14:paraId="7644BBAA"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0132 Oltul Mijlociu - Cibin - Hârtibaciu</w:t>
      </w:r>
    </w:p>
    <w:p w14:paraId="45E06763"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0135 Pădurea Bârnova - Repedea *</w:t>
      </w:r>
    </w:p>
    <w:p w14:paraId="4CEB19E7" w14:textId="77777777" w:rsidR="0007555D" w:rsidRPr="00C56257" w:rsidRDefault="0007555D" w:rsidP="008E33FD">
      <w:pPr>
        <w:spacing w:line="259" w:lineRule="auto"/>
        <w:contextualSpacing/>
        <w:jc w:val="both"/>
        <w:rPr>
          <w:rFonts w:eastAsia="Calibri"/>
        </w:rPr>
      </w:pPr>
      <w:r w:rsidRPr="00C56257">
        <w:rPr>
          <w:rFonts w:eastAsia="Calibri"/>
        </w:rPr>
        <w:t>ROSCI0136 Pădurea Bejan</w:t>
      </w:r>
    </w:p>
    <w:p w14:paraId="724DA40F"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0137 Pădurea Bogății</w:t>
      </w:r>
    </w:p>
    <w:p w14:paraId="279BB7EE"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0138 Pădurea Bolintin *</w:t>
      </w:r>
    </w:p>
    <w:p w14:paraId="1BEBEF45" w14:textId="77777777" w:rsidR="0007555D" w:rsidRPr="00C56257" w:rsidRDefault="0007555D" w:rsidP="008E33FD">
      <w:pPr>
        <w:spacing w:line="259" w:lineRule="auto"/>
        <w:contextualSpacing/>
        <w:jc w:val="both"/>
        <w:rPr>
          <w:rFonts w:eastAsia="Calibri"/>
        </w:rPr>
      </w:pPr>
      <w:r w:rsidRPr="00C56257">
        <w:rPr>
          <w:rFonts w:eastAsia="Calibri"/>
        </w:rPr>
        <w:t>ROSCI0141 Pădurea Ciornohal</w:t>
      </w:r>
    </w:p>
    <w:p w14:paraId="4546DA52"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0143 Pădurea de gorun și stejar de la Dosul Fânaț</w:t>
      </w:r>
    </w:p>
    <w:p w14:paraId="4A3254BB"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0144 Pădurea de gorun și stejar de pe Dealul Pur</w:t>
      </w:r>
    </w:p>
    <w:p w14:paraId="07E954B7"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0145 Pădurea de la Alparea</w:t>
      </w:r>
    </w:p>
    <w:p w14:paraId="1D63AE99" w14:textId="77777777" w:rsidR="0007555D" w:rsidRPr="00C56257" w:rsidRDefault="0007555D" w:rsidP="008E33FD">
      <w:pPr>
        <w:spacing w:line="259" w:lineRule="auto"/>
        <w:contextualSpacing/>
        <w:jc w:val="both"/>
        <w:rPr>
          <w:rFonts w:eastAsia="Calibri"/>
        </w:rPr>
      </w:pPr>
      <w:r w:rsidRPr="00C56257">
        <w:rPr>
          <w:rFonts w:eastAsia="Calibri"/>
        </w:rPr>
        <w:t>ROSCI0152 Pădurea Floreanu - Frumușica - Ciurea *</w:t>
      </w:r>
    </w:p>
    <w:p w14:paraId="142DED51" w14:textId="77777777" w:rsidR="0007555D" w:rsidRPr="00C56257" w:rsidRDefault="0007555D" w:rsidP="008E33FD">
      <w:pPr>
        <w:spacing w:line="259" w:lineRule="auto"/>
        <w:contextualSpacing/>
        <w:jc w:val="both"/>
        <w:rPr>
          <w:rFonts w:eastAsia="Calibri"/>
        </w:rPr>
      </w:pPr>
      <w:r w:rsidRPr="00C56257">
        <w:rPr>
          <w:rFonts w:eastAsia="Calibri"/>
        </w:rPr>
        <w:t>ROSCI0154 Pădurea Glodeni</w:t>
      </w:r>
    </w:p>
    <w:p w14:paraId="40F5E5B6"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0155 Pădurea Goroniște</w:t>
      </w:r>
    </w:p>
    <w:p w14:paraId="347A542E"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0158 Pădurea Bălteni - Hârboanca</w:t>
      </w:r>
    </w:p>
    <w:p w14:paraId="53FC331D"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0159 Pădurea Homița</w:t>
      </w:r>
    </w:p>
    <w:p w14:paraId="0D41C78A"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0162 Lunca Siretului Inferior</w:t>
      </w:r>
    </w:p>
    <w:p w14:paraId="2F90B11B"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0164 Pădurea Plopeni</w:t>
      </w:r>
    </w:p>
    <w:p w14:paraId="5CE72695"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0165 Pădurea Pogănești</w:t>
      </w:r>
    </w:p>
    <w:p w14:paraId="2AC010CD" w14:textId="77777777" w:rsidR="0007555D" w:rsidRPr="00C56257" w:rsidRDefault="0007555D" w:rsidP="008E33FD">
      <w:pPr>
        <w:spacing w:line="259" w:lineRule="auto"/>
        <w:contextualSpacing/>
        <w:jc w:val="both"/>
        <w:rPr>
          <w:rFonts w:eastAsia="Calibri"/>
        </w:rPr>
      </w:pPr>
      <w:r w:rsidRPr="00C56257">
        <w:rPr>
          <w:rFonts w:eastAsia="Calibri"/>
        </w:rPr>
        <w:t>ROSCI0166 Pădurea Reșca Hotărani *</w:t>
      </w:r>
    </w:p>
    <w:p w14:paraId="255146D1"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0167 Pădurea Roșcani</w:t>
      </w:r>
    </w:p>
    <w:p w14:paraId="3A167833"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0168 Pădurea Sarului</w:t>
      </w:r>
    </w:p>
    <w:p w14:paraId="0B0DFFD1"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0175 Pădurea Tălășmani</w:t>
      </w:r>
    </w:p>
    <w:p w14:paraId="331BACC0"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0176 Pădurea Tătăruși</w:t>
      </w:r>
    </w:p>
    <w:p w14:paraId="47BF0197" w14:textId="77777777" w:rsidR="0007555D" w:rsidRPr="00C56257" w:rsidRDefault="0007555D" w:rsidP="008E33FD">
      <w:pPr>
        <w:spacing w:line="259" w:lineRule="auto"/>
        <w:contextualSpacing/>
        <w:jc w:val="both"/>
        <w:rPr>
          <w:rFonts w:eastAsia="Calibri"/>
        </w:rPr>
      </w:pPr>
      <w:r w:rsidRPr="00C56257">
        <w:rPr>
          <w:rFonts w:eastAsia="Calibri"/>
        </w:rPr>
        <w:t>ROSCI0177 Pădurea Topana</w:t>
      </w:r>
    </w:p>
    <w:p w14:paraId="05ACCE68"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0181 Pădurea Uricani</w:t>
      </w:r>
    </w:p>
    <w:p w14:paraId="5177295F" w14:textId="77777777" w:rsidR="0007555D" w:rsidRPr="00C56257" w:rsidRDefault="0007555D" w:rsidP="008E33FD">
      <w:pPr>
        <w:spacing w:line="259" w:lineRule="auto"/>
        <w:contextualSpacing/>
        <w:jc w:val="both"/>
        <w:rPr>
          <w:rFonts w:eastAsia="Calibri"/>
        </w:rPr>
      </w:pPr>
      <w:r w:rsidRPr="00C56257">
        <w:rPr>
          <w:rFonts w:eastAsia="Calibri"/>
        </w:rPr>
        <w:t>ROS</w:t>
      </w:r>
      <w:r w:rsidR="00614E04">
        <w:rPr>
          <w:rFonts w:eastAsia="Calibri"/>
        </w:rPr>
        <w:t>AC</w:t>
      </w:r>
      <w:r w:rsidRPr="00C56257">
        <w:rPr>
          <w:rFonts w:eastAsia="Calibri"/>
        </w:rPr>
        <w:t>0183 Pădurea Vlădila *</w:t>
      </w:r>
    </w:p>
    <w:p w14:paraId="637B0730" w14:textId="77777777" w:rsidR="0007555D" w:rsidRPr="00C56257" w:rsidRDefault="0007555D" w:rsidP="008E33FD">
      <w:pPr>
        <w:spacing w:line="259" w:lineRule="auto"/>
        <w:contextualSpacing/>
        <w:jc w:val="both"/>
        <w:rPr>
          <w:rFonts w:eastAsia="Calibri"/>
        </w:rPr>
      </w:pPr>
      <w:r w:rsidRPr="00C56257">
        <w:rPr>
          <w:rFonts w:eastAsia="Calibri"/>
        </w:rPr>
        <w:t>ROSCI0184 Pădurea Zamostea - Lunca</w:t>
      </w:r>
    </w:p>
    <w:p w14:paraId="01CFA8F0" w14:textId="77777777" w:rsidR="0007555D" w:rsidRPr="00C56257" w:rsidRDefault="0007555D" w:rsidP="008E33FD">
      <w:pPr>
        <w:spacing w:line="259" w:lineRule="auto"/>
        <w:contextualSpacing/>
        <w:jc w:val="both"/>
        <w:rPr>
          <w:rFonts w:eastAsia="Calibri"/>
        </w:rPr>
      </w:pPr>
      <w:r w:rsidRPr="00C56257">
        <w:rPr>
          <w:rFonts w:eastAsia="Calibri"/>
        </w:rPr>
        <w:t>ROSCI0187 Pajiștile lui Suciu</w:t>
      </w:r>
    </w:p>
    <w:p w14:paraId="1690B344" w14:textId="77777777" w:rsidR="0007555D" w:rsidRPr="00C56257" w:rsidRDefault="0007555D" w:rsidP="008E33FD">
      <w:pPr>
        <w:spacing w:line="259" w:lineRule="auto"/>
        <w:contextualSpacing/>
        <w:jc w:val="both"/>
        <w:rPr>
          <w:rFonts w:eastAsia="Calibri"/>
        </w:rPr>
      </w:pPr>
      <w:r w:rsidRPr="00C56257">
        <w:rPr>
          <w:rFonts w:eastAsia="Calibri"/>
        </w:rPr>
        <w:t>ROS</w:t>
      </w:r>
      <w:r w:rsidR="005B0724">
        <w:rPr>
          <w:rFonts w:eastAsia="Calibri"/>
        </w:rPr>
        <w:t>AC</w:t>
      </w:r>
      <w:r w:rsidRPr="00C56257">
        <w:rPr>
          <w:rFonts w:eastAsia="Calibri"/>
        </w:rPr>
        <w:t>0198 Platoul Mehedinți *</w:t>
      </w:r>
    </w:p>
    <w:p w14:paraId="4839F466"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w:t>
      </w:r>
      <w:r w:rsidR="00880DAA">
        <w:rPr>
          <w:rFonts w:eastAsia="Calibri"/>
        </w:rPr>
        <w:t>AC</w:t>
      </w:r>
      <w:r w:rsidRPr="00C56257">
        <w:rPr>
          <w:rFonts w:eastAsia="Calibri"/>
        </w:rPr>
        <w:t>0200 Platoul Vașcău</w:t>
      </w:r>
    </w:p>
    <w:p w14:paraId="7261BC7A" w14:textId="77777777" w:rsidR="0007555D" w:rsidRPr="00C56257" w:rsidRDefault="0007555D" w:rsidP="008E33FD">
      <w:pPr>
        <w:spacing w:line="259" w:lineRule="auto"/>
        <w:contextualSpacing/>
        <w:jc w:val="both"/>
        <w:rPr>
          <w:rFonts w:eastAsia="Calibri"/>
        </w:rPr>
      </w:pPr>
      <w:r w:rsidRPr="00C56257">
        <w:rPr>
          <w:rFonts w:eastAsia="Calibri"/>
        </w:rPr>
        <w:t>ROSCI0201 Podișul Nord Dobrogean *</w:t>
      </w:r>
    </w:p>
    <w:p w14:paraId="2A8882D7"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0202 Silvostepa Olteniei</w:t>
      </w:r>
    </w:p>
    <w:p w14:paraId="521048F2"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0205 Poienile cu narcise de la Dumbrava Vadului</w:t>
      </w:r>
    </w:p>
    <w:p w14:paraId="55CB59C2" w14:textId="77777777" w:rsidR="0007555D" w:rsidRPr="00C56257" w:rsidRDefault="0007555D" w:rsidP="008E33FD">
      <w:pPr>
        <w:spacing w:line="259" w:lineRule="auto"/>
        <w:contextualSpacing/>
        <w:jc w:val="both"/>
        <w:rPr>
          <w:rFonts w:eastAsia="Calibri"/>
        </w:rPr>
      </w:pPr>
      <w:r w:rsidRPr="00C56257">
        <w:rPr>
          <w:rFonts w:eastAsia="Calibri"/>
        </w:rPr>
        <w:t>ROSCI0206 Porțile de Fier *</w:t>
      </w:r>
    </w:p>
    <w:p w14:paraId="753F4C41"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V</w:t>
      </w:r>
      <w:r w:rsidRPr="00C56257">
        <w:rPr>
          <w:rFonts w:eastAsia="Calibri"/>
        </w:rPr>
        <w:t>0208 Putna - Vrancea</w:t>
      </w:r>
    </w:p>
    <w:p w14:paraId="185D3F38"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0209 Racâș – Hida</w:t>
      </w:r>
    </w:p>
    <w:p w14:paraId="4C4F0682" w14:textId="77777777" w:rsidR="0007555D" w:rsidRPr="00C56257" w:rsidRDefault="0007555D" w:rsidP="008E33FD">
      <w:pPr>
        <w:spacing w:line="259" w:lineRule="auto"/>
        <w:contextualSpacing/>
        <w:jc w:val="both"/>
        <w:rPr>
          <w:rFonts w:eastAsia="Calibri"/>
        </w:rPr>
      </w:pPr>
      <w:r w:rsidRPr="00C56257">
        <w:rPr>
          <w:rFonts w:eastAsia="Calibri"/>
        </w:rPr>
        <w:t>ROSCI0210 Râpa Lechința</w:t>
      </w:r>
    </w:p>
    <w:p w14:paraId="0EB987CA" w14:textId="77777777" w:rsidR="0007555D" w:rsidRPr="00C56257" w:rsidRDefault="0007555D" w:rsidP="008E33FD">
      <w:pPr>
        <w:spacing w:line="259" w:lineRule="auto"/>
        <w:contextualSpacing/>
        <w:jc w:val="both"/>
        <w:rPr>
          <w:rFonts w:eastAsia="Calibri"/>
        </w:rPr>
      </w:pPr>
      <w:r w:rsidRPr="00C56257">
        <w:rPr>
          <w:rFonts w:eastAsia="Calibri"/>
        </w:rPr>
        <w:t>ROSCI0211 Podișul Secașelor *</w:t>
      </w:r>
    </w:p>
    <w:p w14:paraId="7E9B0CB2"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0214 Râul Tur *</w:t>
      </w:r>
    </w:p>
    <w:p w14:paraId="1D431156"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0216 Reghiu Scruntar</w:t>
      </w:r>
    </w:p>
    <w:p w14:paraId="30FCCFB5"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0218 Dealul Mocrei - Rovina - Ineu</w:t>
      </w:r>
    </w:p>
    <w:p w14:paraId="6DB926D2" w14:textId="77777777" w:rsidR="0007555D" w:rsidRPr="00C56257" w:rsidRDefault="0007555D" w:rsidP="008E33FD">
      <w:pPr>
        <w:spacing w:line="259" w:lineRule="auto"/>
        <w:contextualSpacing/>
        <w:jc w:val="both"/>
        <w:rPr>
          <w:rFonts w:eastAsia="Calibri"/>
        </w:rPr>
      </w:pPr>
      <w:r w:rsidRPr="00C56257">
        <w:rPr>
          <w:rFonts w:eastAsia="Calibri"/>
        </w:rPr>
        <w:t>ROSCI0220 Săcueni</w:t>
      </w:r>
    </w:p>
    <w:p w14:paraId="73133ED9"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V</w:t>
      </w:r>
      <w:r w:rsidRPr="00C56257">
        <w:rPr>
          <w:rFonts w:eastAsia="Calibri"/>
        </w:rPr>
        <w:t>0224 Scroviștea *</w:t>
      </w:r>
    </w:p>
    <w:p w14:paraId="445EEEB6" w14:textId="77777777" w:rsidR="0007555D" w:rsidRPr="00C56257" w:rsidRDefault="0007555D" w:rsidP="008E33FD">
      <w:pPr>
        <w:spacing w:line="259" w:lineRule="auto"/>
        <w:contextualSpacing/>
        <w:jc w:val="both"/>
        <w:rPr>
          <w:rFonts w:eastAsia="Calibri"/>
        </w:rPr>
      </w:pPr>
      <w:r w:rsidRPr="00C56257">
        <w:rPr>
          <w:rFonts w:eastAsia="Calibri"/>
        </w:rPr>
        <w:t>ROSCI0226 Semenic - Cheile Carașului</w:t>
      </w:r>
    </w:p>
    <w:p w14:paraId="08F89AE8"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V</w:t>
      </w:r>
      <w:r w:rsidRPr="00C56257">
        <w:rPr>
          <w:rFonts w:eastAsia="Calibri"/>
        </w:rPr>
        <w:t>0227 Sighișoara - Târnava Mare</w:t>
      </w:r>
    </w:p>
    <w:p w14:paraId="445B6124" w14:textId="77777777" w:rsidR="0007555D" w:rsidRPr="00C56257" w:rsidRDefault="0007555D" w:rsidP="008E33FD">
      <w:pPr>
        <w:spacing w:line="259" w:lineRule="auto"/>
        <w:contextualSpacing/>
        <w:jc w:val="both"/>
        <w:rPr>
          <w:rFonts w:eastAsia="Calibri"/>
        </w:rPr>
      </w:pPr>
      <w:r w:rsidRPr="00C56257">
        <w:rPr>
          <w:rFonts w:eastAsia="Calibri"/>
        </w:rPr>
        <w:t>ROSCI0236 Strei - Hațeg</w:t>
      </w:r>
    </w:p>
    <w:p w14:paraId="00AA7806"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0238 Suatu - Cojocna - Crairât</w:t>
      </w:r>
    </w:p>
    <w:p w14:paraId="26CB3EC5"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0240 Tășad</w:t>
      </w:r>
    </w:p>
    <w:p w14:paraId="5E33D512"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0250 Ținutul Pădurenilor</w:t>
      </w:r>
    </w:p>
    <w:p w14:paraId="05820027" w14:textId="77777777" w:rsidR="0007555D" w:rsidRPr="00C56257" w:rsidRDefault="0007555D" w:rsidP="008E33FD">
      <w:pPr>
        <w:spacing w:line="259" w:lineRule="auto"/>
        <w:contextualSpacing/>
        <w:jc w:val="both"/>
        <w:rPr>
          <w:rFonts w:eastAsia="Calibri"/>
        </w:rPr>
      </w:pPr>
      <w:r w:rsidRPr="00C56257">
        <w:rPr>
          <w:rFonts w:eastAsia="Calibri"/>
        </w:rPr>
        <w:t>ROSCI0251 Tisa Superioară</w:t>
      </w:r>
    </w:p>
    <w:p w14:paraId="674C8379"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0253 Trascău</w:t>
      </w:r>
    </w:p>
    <w:p w14:paraId="7D5CB8B5" w14:textId="77777777" w:rsidR="0007555D" w:rsidRPr="00C56257" w:rsidRDefault="0007555D" w:rsidP="008E33FD">
      <w:pPr>
        <w:spacing w:line="259" w:lineRule="auto"/>
        <w:contextualSpacing/>
        <w:jc w:val="both"/>
        <w:rPr>
          <w:rFonts w:eastAsia="Calibri"/>
        </w:rPr>
      </w:pPr>
      <w:r w:rsidRPr="00C56257">
        <w:rPr>
          <w:rFonts w:eastAsia="Calibri"/>
        </w:rPr>
        <w:t>ROSCI0264 Valea Izei și Dealul Solovan</w:t>
      </w:r>
    </w:p>
    <w:p w14:paraId="6926EC57"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0266 Valea Oltețului</w:t>
      </w:r>
    </w:p>
    <w:p w14:paraId="1545B7B9"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0270 Vânători-Neamț</w:t>
      </w:r>
    </w:p>
    <w:p w14:paraId="2EA60030"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0272 Vulcanii Noroioși de la Pâclele Mari și Pâcle</w:t>
      </w:r>
    </w:p>
    <w:p w14:paraId="3161EBF5"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0275 Bârsău - Șomcuta</w:t>
      </w:r>
    </w:p>
    <w:p w14:paraId="14A5EA87"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0283 Cheile Doftanei</w:t>
      </w:r>
    </w:p>
    <w:p w14:paraId="3C22EC53"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0289 Coridorul Drocea - Codru Moma</w:t>
      </w:r>
    </w:p>
    <w:p w14:paraId="22D0F73C" w14:textId="77777777" w:rsidR="0007555D" w:rsidRPr="00C56257" w:rsidRDefault="0007555D" w:rsidP="008E33FD">
      <w:pPr>
        <w:spacing w:line="259" w:lineRule="auto"/>
        <w:contextualSpacing/>
        <w:jc w:val="both"/>
        <w:rPr>
          <w:rFonts w:eastAsia="Calibri"/>
        </w:rPr>
      </w:pPr>
      <w:r w:rsidRPr="00C56257">
        <w:rPr>
          <w:rFonts w:eastAsia="Calibri"/>
        </w:rPr>
        <w:t>ROSCI0290 Coridorul Ialomiței *</w:t>
      </w:r>
    </w:p>
    <w:p w14:paraId="45A96C6C" w14:textId="77777777" w:rsidR="0007555D" w:rsidRPr="00C56257" w:rsidRDefault="0007555D" w:rsidP="008E33FD">
      <w:pPr>
        <w:spacing w:line="259" w:lineRule="auto"/>
        <w:contextualSpacing/>
        <w:jc w:val="both"/>
        <w:rPr>
          <w:rFonts w:eastAsia="Calibri"/>
        </w:rPr>
      </w:pPr>
      <w:r w:rsidRPr="00C56257">
        <w:rPr>
          <w:rFonts w:eastAsia="Calibri"/>
        </w:rPr>
        <w:t>ROSCI0291 Coridorul Munții Bihorului - Codru Moma</w:t>
      </w:r>
    </w:p>
    <w:p w14:paraId="0FB14AD9" w14:textId="77777777" w:rsidR="0007555D" w:rsidRPr="00C56257" w:rsidRDefault="0007555D" w:rsidP="008E33FD">
      <w:pPr>
        <w:spacing w:line="259" w:lineRule="auto"/>
        <w:contextualSpacing/>
        <w:jc w:val="both"/>
        <w:rPr>
          <w:rFonts w:eastAsia="Calibri"/>
        </w:rPr>
      </w:pPr>
      <w:r w:rsidRPr="00C56257">
        <w:rPr>
          <w:rFonts w:eastAsia="Calibri"/>
        </w:rPr>
        <w:t>ROSCI0295 Dealurile Clujului de Est</w:t>
      </w:r>
    </w:p>
    <w:p w14:paraId="1F91119E" w14:textId="77777777" w:rsidR="0007555D" w:rsidRPr="00C56257" w:rsidRDefault="0007555D" w:rsidP="008E33FD">
      <w:pPr>
        <w:spacing w:line="259" w:lineRule="auto"/>
        <w:contextualSpacing/>
        <w:jc w:val="both"/>
        <w:rPr>
          <w:rFonts w:eastAsia="Calibri"/>
        </w:rPr>
      </w:pPr>
      <w:r w:rsidRPr="00C56257">
        <w:rPr>
          <w:rFonts w:eastAsia="Calibri"/>
        </w:rPr>
        <w:t>ROSCI0296 Dealurile Drăgășaniului</w:t>
      </w:r>
    </w:p>
    <w:p w14:paraId="1B5DA960"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0297 Dealurile Târnavei Mici - Bicheș</w:t>
      </w:r>
    </w:p>
    <w:p w14:paraId="73378C95"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0298 Defileul Crișului Alb</w:t>
      </w:r>
    </w:p>
    <w:p w14:paraId="35191FA0"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0300 Fânațele Pietroasa – Podeni</w:t>
      </w:r>
    </w:p>
    <w:p w14:paraId="1FDEFB65" w14:textId="77777777" w:rsidR="0007555D" w:rsidRPr="00C56257" w:rsidRDefault="0007555D" w:rsidP="008E33FD">
      <w:pPr>
        <w:spacing w:line="259" w:lineRule="auto"/>
        <w:contextualSpacing/>
        <w:jc w:val="both"/>
        <w:rPr>
          <w:rFonts w:eastAsia="Calibri"/>
        </w:rPr>
      </w:pPr>
      <w:r w:rsidRPr="00C56257">
        <w:rPr>
          <w:rFonts w:eastAsia="Calibri"/>
        </w:rPr>
        <w:t>ROSCI0303 Hârtibaciu Sud - Est</w:t>
      </w:r>
    </w:p>
    <w:p w14:paraId="485F02FE" w14:textId="77777777" w:rsidR="0007555D" w:rsidRPr="00C56257" w:rsidRDefault="0007555D" w:rsidP="008E33FD">
      <w:pPr>
        <w:spacing w:line="259" w:lineRule="auto"/>
        <w:contextualSpacing/>
        <w:jc w:val="both"/>
        <w:rPr>
          <w:rFonts w:eastAsia="Calibri"/>
        </w:rPr>
      </w:pPr>
      <w:r w:rsidRPr="00C56257">
        <w:rPr>
          <w:rFonts w:eastAsia="Calibri"/>
        </w:rPr>
        <w:t>ROS</w:t>
      </w:r>
      <w:r w:rsidR="00880DAA">
        <w:rPr>
          <w:rFonts w:eastAsia="Calibri"/>
        </w:rPr>
        <w:t>AC</w:t>
      </w:r>
      <w:r w:rsidRPr="00C56257">
        <w:rPr>
          <w:rFonts w:eastAsia="Calibri"/>
        </w:rPr>
        <w:t>0304 Hârtibaciu Sud - Vest</w:t>
      </w:r>
    </w:p>
    <w:p w14:paraId="0002B80C" w14:textId="77777777" w:rsidR="0007555D" w:rsidRPr="00C56257" w:rsidRDefault="0007555D" w:rsidP="008E33FD">
      <w:pPr>
        <w:spacing w:line="259" w:lineRule="auto"/>
        <w:contextualSpacing/>
        <w:jc w:val="both"/>
        <w:rPr>
          <w:rFonts w:eastAsia="Calibri"/>
        </w:rPr>
      </w:pPr>
      <w:r w:rsidRPr="00C56257">
        <w:rPr>
          <w:rFonts w:eastAsia="Calibri"/>
        </w:rPr>
        <w:t>ROSCI0308 Lacul și Pădurea Cernica *</w:t>
      </w:r>
    </w:p>
    <w:p w14:paraId="035B5BCF" w14:textId="77777777" w:rsidR="0007555D" w:rsidRPr="00C56257" w:rsidRDefault="0007555D" w:rsidP="008E33FD">
      <w:pPr>
        <w:spacing w:line="259" w:lineRule="auto"/>
        <w:contextualSpacing/>
        <w:jc w:val="both"/>
        <w:rPr>
          <w:rFonts w:eastAsia="Calibri"/>
        </w:rPr>
      </w:pPr>
      <w:r w:rsidRPr="00C56257">
        <w:rPr>
          <w:rFonts w:eastAsia="Calibri"/>
        </w:rPr>
        <w:t>ROS</w:t>
      </w:r>
      <w:r w:rsidR="00C86471">
        <w:rPr>
          <w:rFonts w:eastAsia="Calibri"/>
        </w:rPr>
        <w:t>AC</w:t>
      </w:r>
      <w:r w:rsidRPr="00C56257">
        <w:rPr>
          <w:rFonts w:eastAsia="Calibri"/>
        </w:rPr>
        <w:t>0313 Confluența Mureș cu Arieș</w:t>
      </w:r>
    </w:p>
    <w:p w14:paraId="62DDD78F" w14:textId="77777777" w:rsidR="0007555D" w:rsidRPr="00C56257" w:rsidRDefault="0007555D" w:rsidP="008E33FD">
      <w:pPr>
        <w:spacing w:line="259" w:lineRule="auto"/>
        <w:contextualSpacing/>
        <w:jc w:val="both"/>
        <w:rPr>
          <w:rFonts w:eastAsia="Calibri"/>
        </w:rPr>
      </w:pPr>
      <w:r w:rsidRPr="00C56257">
        <w:rPr>
          <w:rFonts w:eastAsia="Calibri"/>
        </w:rPr>
        <w:t>ROSCI0314 Lozna</w:t>
      </w:r>
    </w:p>
    <w:p w14:paraId="73A37BEF" w14:textId="77777777" w:rsidR="0007555D" w:rsidRPr="00C56257" w:rsidRDefault="0007555D" w:rsidP="008E33FD">
      <w:pPr>
        <w:spacing w:line="259" w:lineRule="auto"/>
        <w:contextualSpacing/>
        <w:jc w:val="both"/>
        <w:rPr>
          <w:rFonts w:eastAsia="Calibri"/>
        </w:rPr>
      </w:pPr>
      <w:r w:rsidRPr="00C56257">
        <w:rPr>
          <w:rFonts w:eastAsia="Calibri"/>
        </w:rPr>
        <w:t>ROSCI0320 Mociar *</w:t>
      </w:r>
    </w:p>
    <w:p w14:paraId="61D671A3" w14:textId="77777777" w:rsidR="0007555D" w:rsidRPr="00C56257" w:rsidRDefault="0007555D" w:rsidP="008E33FD">
      <w:pPr>
        <w:spacing w:line="259" w:lineRule="auto"/>
        <w:contextualSpacing/>
        <w:jc w:val="both"/>
        <w:rPr>
          <w:rFonts w:eastAsia="Calibri"/>
        </w:rPr>
      </w:pPr>
      <w:r w:rsidRPr="00C56257">
        <w:rPr>
          <w:rFonts w:eastAsia="Calibri"/>
        </w:rPr>
        <w:t>ROS</w:t>
      </w:r>
      <w:r w:rsidR="00C86471">
        <w:rPr>
          <w:rFonts w:eastAsia="Calibri"/>
        </w:rPr>
        <w:t>AC</w:t>
      </w:r>
      <w:r w:rsidRPr="00C56257">
        <w:rPr>
          <w:rFonts w:eastAsia="Calibri"/>
        </w:rPr>
        <w:t>0322 Muntele Șes</w:t>
      </w:r>
    </w:p>
    <w:p w14:paraId="7AD2771E" w14:textId="77777777" w:rsidR="0007555D" w:rsidRPr="00C56257" w:rsidRDefault="0007555D" w:rsidP="008E33FD">
      <w:pPr>
        <w:spacing w:line="259" w:lineRule="auto"/>
        <w:contextualSpacing/>
        <w:jc w:val="both"/>
        <w:rPr>
          <w:rFonts w:eastAsia="Calibri"/>
        </w:rPr>
      </w:pPr>
      <w:r w:rsidRPr="00C56257">
        <w:rPr>
          <w:rFonts w:eastAsia="Calibri"/>
        </w:rPr>
        <w:t>ROSCI0325 Munții Metaliferi *</w:t>
      </w:r>
    </w:p>
    <w:p w14:paraId="7730B23B" w14:textId="77777777" w:rsidR="0007555D" w:rsidRPr="00C56257" w:rsidRDefault="0007555D" w:rsidP="008E33FD">
      <w:pPr>
        <w:spacing w:line="259" w:lineRule="auto"/>
        <w:contextualSpacing/>
        <w:jc w:val="both"/>
        <w:rPr>
          <w:rFonts w:eastAsia="Calibri"/>
        </w:rPr>
      </w:pPr>
      <w:r w:rsidRPr="00C56257">
        <w:rPr>
          <w:rFonts w:eastAsia="Calibri"/>
        </w:rPr>
        <w:t>ROS</w:t>
      </w:r>
      <w:r w:rsidR="00C86471">
        <w:rPr>
          <w:rFonts w:eastAsia="Calibri"/>
        </w:rPr>
        <w:t>AC</w:t>
      </w:r>
      <w:r w:rsidRPr="00C56257">
        <w:rPr>
          <w:rFonts w:eastAsia="Calibri"/>
        </w:rPr>
        <w:t>0326 Muscelele Argeșului</w:t>
      </w:r>
    </w:p>
    <w:p w14:paraId="223276D9" w14:textId="77777777" w:rsidR="0007555D" w:rsidRPr="00C56257" w:rsidRDefault="0007555D" w:rsidP="008E33FD">
      <w:pPr>
        <w:spacing w:line="259" w:lineRule="auto"/>
        <w:contextualSpacing/>
        <w:jc w:val="both"/>
        <w:rPr>
          <w:rFonts w:eastAsia="Calibri"/>
        </w:rPr>
      </w:pPr>
      <w:r w:rsidRPr="00C56257">
        <w:rPr>
          <w:rFonts w:eastAsia="Calibri"/>
        </w:rPr>
        <w:t>ROS</w:t>
      </w:r>
      <w:r w:rsidR="00C86471">
        <w:rPr>
          <w:rFonts w:eastAsia="Calibri"/>
        </w:rPr>
        <w:t>AC</w:t>
      </w:r>
      <w:r w:rsidRPr="00C56257">
        <w:rPr>
          <w:rFonts w:eastAsia="Calibri"/>
        </w:rPr>
        <w:t>0330 Osești - Bârzești</w:t>
      </w:r>
    </w:p>
    <w:p w14:paraId="05062E97"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ROSCI0333 Pajiștile Sărmășel - Milaș - Urmeniș</w:t>
      </w:r>
    </w:p>
    <w:p w14:paraId="5935FC78" w14:textId="77777777" w:rsidR="0007555D" w:rsidRPr="00C56257" w:rsidRDefault="0007555D" w:rsidP="008E33FD">
      <w:pPr>
        <w:spacing w:line="259" w:lineRule="auto"/>
        <w:contextualSpacing/>
        <w:jc w:val="both"/>
        <w:rPr>
          <w:rFonts w:eastAsia="Calibri"/>
        </w:rPr>
      </w:pPr>
      <w:r w:rsidRPr="00C56257">
        <w:rPr>
          <w:rFonts w:eastAsia="Calibri"/>
        </w:rPr>
        <w:t>ROS</w:t>
      </w:r>
      <w:r w:rsidR="00C86471">
        <w:rPr>
          <w:rFonts w:eastAsia="Calibri"/>
        </w:rPr>
        <w:t>AC</w:t>
      </w:r>
      <w:r w:rsidRPr="00C56257">
        <w:rPr>
          <w:rFonts w:eastAsia="Calibri"/>
        </w:rPr>
        <w:t>0334 Pădurea Buciumeni - Homocea *</w:t>
      </w:r>
    </w:p>
    <w:p w14:paraId="0723687B" w14:textId="77777777" w:rsidR="0007555D" w:rsidRPr="00C56257" w:rsidRDefault="0007555D" w:rsidP="008E33FD">
      <w:pPr>
        <w:spacing w:line="259" w:lineRule="auto"/>
        <w:contextualSpacing/>
        <w:jc w:val="both"/>
        <w:rPr>
          <w:rFonts w:eastAsia="Calibri"/>
        </w:rPr>
      </w:pPr>
      <w:r w:rsidRPr="00C56257">
        <w:rPr>
          <w:rFonts w:eastAsia="Calibri"/>
        </w:rPr>
        <w:t>ROSCI0335 Pădurea Dobrina - Huși</w:t>
      </w:r>
    </w:p>
    <w:p w14:paraId="746BE4D6" w14:textId="77777777" w:rsidR="0007555D" w:rsidRPr="00C56257" w:rsidRDefault="0007555D" w:rsidP="008E33FD">
      <w:pPr>
        <w:spacing w:line="259" w:lineRule="auto"/>
        <w:contextualSpacing/>
        <w:jc w:val="both"/>
        <w:rPr>
          <w:rFonts w:eastAsia="Calibri"/>
        </w:rPr>
      </w:pPr>
      <w:r w:rsidRPr="00C56257">
        <w:rPr>
          <w:rFonts w:eastAsia="Calibri"/>
        </w:rPr>
        <w:t>ROSCI0336 Pădurea Dumbrava</w:t>
      </w:r>
    </w:p>
    <w:p w14:paraId="6A36E1BF" w14:textId="77777777" w:rsidR="0007555D" w:rsidRPr="00C56257" w:rsidRDefault="0007555D" w:rsidP="008E33FD">
      <w:pPr>
        <w:spacing w:line="259" w:lineRule="auto"/>
        <w:contextualSpacing/>
        <w:jc w:val="both"/>
        <w:rPr>
          <w:rFonts w:eastAsia="Calibri"/>
        </w:rPr>
      </w:pPr>
      <w:r w:rsidRPr="00C56257">
        <w:rPr>
          <w:rFonts w:eastAsia="Calibri"/>
        </w:rPr>
        <w:t>ROS</w:t>
      </w:r>
      <w:r w:rsidR="00C86471">
        <w:rPr>
          <w:rFonts w:eastAsia="Calibri"/>
        </w:rPr>
        <w:t>AC</w:t>
      </w:r>
      <w:r w:rsidRPr="00C56257">
        <w:rPr>
          <w:rFonts w:eastAsia="Calibri"/>
        </w:rPr>
        <w:t>0337 Pădurea Neudorfului</w:t>
      </w:r>
    </w:p>
    <w:p w14:paraId="567F4DE7" w14:textId="77777777" w:rsidR="0007555D" w:rsidRPr="00C56257" w:rsidRDefault="0007555D" w:rsidP="008E33FD">
      <w:pPr>
        <w:spacing w:line="259" w:lineRule="auto"/>
        <w:contextualSpacing/>
        <w:jc w:val="both"/>
        <w:rPr>
          <w:rFonts w:eastAsia="Calibri"/>
        </w:rPr>
      </w:pPr>
      <w:r w:rsidRPr="00C56257">
        <w:rPr>
          <w:rFonts w:eastAsia="Calibri"/>
        </w:rPr>
        <w:t>ROSCI0338 Pădurea Paniova</w:t>
      </w:r>
    </w:p>
    <w:p w14:paraId="6CDC77DF" w14:textId="77777777" w:rsidR="0007555D" w:rsidRPr="00C56257" w:rsidRDefault="0007555D" w:rsidP="008E33FD">
      <w:pPr>
        <w:spacing w:line="259" w:lineRule="auto"/>
        <w:contextualSpacing/>
        <w:jc w:val="both"/>
        <w:rPr>
          <w:rFonts w:eastAsia="Calibri"/>
        </w:rPr>
      </w:pPr>
      <w:r w:rsidRPr="00C56257">
        <w:rPr>
          <w:rFonts w:eastAsia="Calibri"/>
        </w:rPr>
        <w:t>ROSCI0341 Pădurea și Lacul Stolnici</w:t>
      </w:r>
    </w:p>
    <w:p w14:paraId="60EFA7DC" w14:textId="77777777" w:rsidR="0007555D" w:rsidRPr="00C56257" w:rsidRDefault="0007555D" w:rsidP="008E33FD">
      <w:pPr>
        <w:spacing w:line="259" w:lineRule="auto"/>
        <w:contextualSpacing/>
        <w:jc w:val="both"/>
        <w:rPr>
          <w:rFonts w:eastAsia="Calibri"/>
        </w:rPr>
      </w:pPr>
      <w:r w:rsidRPr="00C56257">
        <w:rPr>
          <w:rFonts w:eastAsia="Calibri"/>
        </w:rPr>
        <w:t>ROSCI0342 Pădurea Târgu Mureș</w:t>
      </w:r>
    </w:p>
    <w:p w14:paraId="65079AE1" w14:textId="77777777" w:rsidR="0007555D" w:rsidRPr="00C56257" w:rsidRDefault="0007555D" w:rsidP="008E33FD">
      <w:pPr>
        <w:spacing w:line="259" w:lineRule="auto"/>
        <w:contextualSpacing/>
        <w:jc w:val="both"/>
        <w:rPr>
          <w:rFonts w:eastAsia="Calibri"/>
        </w:rPr>
      </w:pPr>
      <w:r w:rsidRPr="00C56257">
        <w:rPr>
          <w:rFonts w:eastAsia="Calibri"/>
        </w:rPr>
        <w:t>ROS</w:t>
      </w:r>
      <w:r w:rsidR="00C86471">
        <w:rPr>
          <w:rFonts w:eastAsia="Calibri"/>
        </w:rPr>
        <w:t>AC</w:t>
      </w:r>
      <w:r w:rsidRPr="00C56257">
        <w:rPr>
          <w:rFonts w:eastAsia="Calibri"/>
        </w:rPr>
        <w:t>0344 Pădurile din Sudul Piemontului Cândești *</w:t>
      </w:r>
    </w:p>
    <w:p w14:paraId="6FCDA285" w14:textId="77777777" w:rsidR="0007555D" w:rsidRPr="00C56257" w:rsidRDefault="0007555D" w:rsidP="008E33FD">
      <w:pPr>
        <w:spacing w:line="259" w:lineRule="auto"/>
        <w:contextualSpacing/>
        <w:jc w:val="both"/>
        <w:rPr>
          <w:rFonts w:eastAsia="Calibri"/>
        </w:rPr>
      </w:pPr>
      <w:r w:rsidRPr="00C56257">
        <w:rPr>
          <w:rFonts w:eastAsia="Calibri"/>
        </w:rPr>
        <w:t>ROSCI0351 Culmea Cucuieți *</w:t>
      </w:r>
    </w:p>
    <w:p w14:paraId="3EE0C107" w14:textId="77777777" w:rsidR="0007555D" w:rsidRPr="00C56257" w:rsidRDefault="0007555D" w:rsidP="008E33FD">
      <w:pPr>
        <w:spacing w:line="259" w:lineRule="auto"/>
        <w:contextualSpacing/>
        <w:jc w:val="both"/>
        <w:rPr>
          <w:rFonts w:eastAsia="Calibri"/>
        </w:rPr>
      </w:pPr>
      <w:r w:rsidRPr="00C56257">
        <w:rPr>
          <w:rFonts w:eastAsia="Calibri"/>
        </w:rPr>
        <w:t>ROSCI0352 Perșani</w:t>
      </w:r>
    </w:p>
    <w:p w14:paraId="4F59F4FF" w14:textId="77777777" w:rsidR="0007555D" w:rsidRPr="00C56257" w:rsidRDefault="0007555D" w:rsidP="008E33FD">
      <w:pPr>
        <w:spacing w:line="259" w:lineRule="auto"/>
        <w:contextualSpacing/>
        <w:jc w:val="both"/>
        <w:rPr>
          <w:rFonts w:eastAsia="Calibri"/>
        </w:rPr>
      </w:pPr>
      <w:r w:rsidRPr="00C56257">
        <w:rPr>
          <w:rFonts w:eastAsia="Calibri"/>
        </w:rPr>
        <w:t>ROS</w:t>
      </w:r>
      <w:r w:rsidR="00C86471">
        <w:rPr>
          <w:rFonts w:eastAsia="Calibri"/>
        </w:rPr>
        <w:t>AC</w:t>
      </w:r>
      <w:r w:rsidRPr="00C56257">
        <w:rPr>
          <w:rFonts w:eastAsia="Calibri"/>
        </w:rPr>
        <w:t>0354 Platforma Cotmeana</w:t>
      </w:r>
    </w:p>
    <w:p w14:paraId="4918B11B" w14:textId="77777777" w:rsidR="0007555D" w:rsidRPr="00C56257" w:rsidRDefault="0007555D" w:rsidP="008E33FD">
      <w:pPr>
        <w:spacing w:line="259" w:lineRule="auto"/>
        <w:contextualSpacing/>
        <w:jc w:val="both"/>
        <w:rPr>
          <w:rFonts w:eastAsia="Calibri"/>
        </w:rPr>
      </w:pPr>
      <w:r w:rsidRPr="00C56257">
        <w:rPr>
          <w:rFonts w:eastAsia="Calibri"/>
        </w:rPr>
        <w:t>ROSCI0355 Podișul Lipovei - Poiana Ruscă</w:t>
      </w:r>
    </w:p>
    <w:p w14:paraId="534F23D0" w14:textId="77777777" w:rsidR="0007555D" w:rsidRPr="00C56257" w:rsidRDefault="0007555D" w:rsidP="008E33FD">
      <w:pPr>
        <w:spacing w:line="259" w:lineRule="auto"/>
        <w:contextualSpacing/>
        <w:jc w:val="both"/>
        <w:rPr>
          <w:rFonts w:eastAsia="Calibri"/>
        </w:rPr>
      </w:pPr>
      <w:r w:rsidRPr="00C56257">
        <w:rPr>
          <w:rFonts w:eastAsia="Calibri"/>
        </w:rPr>
        <w:t>ROS</w:t>
      </w:r>
      <w:r w:rsidR="00C86471">
        <w:rPr>
          <w:rFonts w:eastAsia="Calibri"/>
        </w:rPr>
        <w:t>AC</w:t>
      </w:r>
      <w:r w:rsidRPr="00C56257">
        <w:rPr>
          <w:rFonts w:eastAsia="Calibri"/>
        </w:rPr>
        <w:t>0356 Poienile de la Șard</w:t>
      </w:r>
    </w:p>
    <w:p w14:paraId="1E1DB596" w14:textId="77777777" w:rsidR="0007555D" w:rsidRPr="00C56257" w:rsidRDefault="0007555D" w:rsidP="008E33FD">
      <w:pPr>
        <w:spacing w:line="259" w:lineRule="auto"/>
        <w:contextualSpacing/>
        <w:jc w:val="both"/>
        <w:rPr>
          <w:rFonts w:eastAsia="Calibri"/>
        </w:rPr>
      </w:pPr>
      <w:r w:rsidRPr="00C56257">
        <w:rPr>
          <w:rFonts w:eastAsia="Calibri"/>
        </w:rPr>
        <w:t>ROS</w:t>
      </w:r>
      <w:r w:rsidR="00C86471">
        <w:rPr>
          <w:rFonts w:eastAsia="Calibri"/>
        </w:rPr>
        <w:t>AC</w:t>
      </w:r>
      <w:r w:rsidRPr="00C56257">
        <w:rPr>
          <w:rFonts w:eastAsia="Calibri"/>
        </w:rPr>
        <w:t>0357 Porumbeni</w:t>
      </w:r>
    </w:p>
    <w:p w14:paraId="74CBF8DB" w14:textId="77777777" w:rsidR="0007555D" w:rsidRPr="00C56257" w:rsidRDefault="0007555D" w:rsidP="008E33FD">
      <w:pPr>
        <w:spacing w:line="259" w:lineRule="auto"/>
        <w:contextualSpacing/>
        <w:jc w:val="both"/>
        <w:rPr>
          <w:rFonts w:eastAsia="Calibri"/>
        </w:rPr>
      </w:pPr>
      <w:r w:rsidRPr="00C56257">
        <w:rPr>
          <w:rFonts w:eastAsia="Calibri"/>
        </w:rPr>
        <w:t>ROS</w:t>
      </w:r>
      <w:r w:rsidR="00C86471">
        <w:rPr>
          <w:rFonts w:eastAsia="Calibri"/>
        </w:rPr>
        <w:t>AC</w:t>
      </w:r>
      <w:r w:rsidRPr="00C56257">
        <w:rPr>
          <w:rFonts w:eastAsia="Calibri"/>
        </w:rPr>
        <w:t>0359 Prigoria - Bengești</w:t>
      </w:r>
    </w:p>
    <w:p w14:paraId="5016E0B2" w14:textId="77777777" w:rsidR="0007555D" w:rsidRPr="00C56257" w:rsidRDefault="0007555D" w:rsidP="008E33FD">
      <w:pPr>
        <w:spacing w:line="259" w:lineRule="auto"/>
        <w:contextualSpacing/>
        <w:jc w:val="both"/>
        <w:rPr>
          <w:rFonts w:eastAsia="Calibri"/>
        </w:rPr>
      </w:pPr>
      <w:r w:rsidRPr="00C56257">
        <w:rPr>
          <w:rFonts w:eastAsia="Calibri"/>
        </w:rPr>
        <w:t>ROSCI0360 Râul Bârlad între Zorleni și Gura Gârbăvoțul</w:t>
      </w:r>
    </w:p>
    <w:p w14:paraId="18B6DF50" w14:textId="77777777" w:rsidR="0007555D" w:rsidRPr="00C56257" w:rsidRDefault="0007555D" w:rsidP="008E33FD">
      <w:pPr>
        <w:spacing w:line="259" w:lineRule="auto"/>
        <w:contextualSpacing/>
        <w:jc w:val="both"/>
        <w:rPr>
          <w:rFonts w:eastAsia="Calibri"/>
        </w:rPr>
      </w:pPr>
      <w:r w:rsidRPr="00C56257">
        <w:rPr>
          <w:rFonts w:eastAsia="Calibri"/>
        </w:rPr>
        <w:t>ROS</w:t>
      </w:r>
      <w:r w:rsidR="00C86471">
        <w:rPr>
          <w:rFonts w:eastAsia="Calibri"/>
        </w:rPr>
        <w:t>AC</w:t>
      </w:r>
      <w:r w:rsidRPr="00C56257">
        <w:rPr>
          <w:rFonts w:eastAsia="Calibri"/>
        </w:rPr>
        <w:t>0365 Râul Moldova între Păltinoasa și Ruși</w:t>
      </w:r>
    </w:p>
    <w:p w14:paraId="3AA1C0F3" w14:textId="77777777" w:rsidR="0007555D" w:rsidRPr="00C56257" w:rsidRDefault="0007555D" w:rsidP="008E33FD">
      <w:pPr>
        <w:spacing w:line="259" w:lineRule="auto"/>
        <w:contextualSpacing/>
        <w:jc w:val="both"/>
        <w:rPr>
          <w:rFonts w:eastAsia="Calibri"/>
        </w:rPr>
      </w:pPr>
      <w:r w:rsidRPr="00C56257">
        <w:rPr>
          <w:rFonts w:eastAsia="Calibri"/>
        </w:rPr>
        <w:t>ROSCI0373 Râul Mureș între Brănișca și Ilia</w:t>
      </w:r>
    </w:p>
    <w:p w14:paraId="6A740FA7" w14:textId="77777777" w:rsidR="0007555D" w:rsidRPr="00C56257" w:rsidRDefault="0007555D" w:rsidP="008E33FD">
      <w:pPr>
        <w:spacing w:line="259" w:lineRule="auto"/>
        <w:contextualSpacing/>
        <w:jc w:val="both"/>
        <w:rPr>
          <w:rFonts w:eastAsia="Calibri"/>
        </w:rPr>
      </w:pPr>
      <w:r w:rsidRPr="00C56257">
        <w:rPr>
          <w:rFonts w:eastAsia="Calibri"/>
        </w:rPr>
        <w:t>ROS</w:t>
      </w:r>
      <w:r w:rsidR="00C86471">
        <w:rPr>
          <w:rFonts w:eastAsia="Calibri"/>
        </w:rPr>
        <w:t>AC</w:t>
      </w:r>
      <w:r w:rsidRPr="00C56257">
        <w:rPr>
          <w:rFonts w:eastAsia="Calibri"/>
        </w:rPr>
        <w:t>0376 Râul Olt între Mărunței și Turnu Măgurele *</w:t>
      </w:r>
    </w:p>
    <w:p w14:paraId="018970A9" w14:textId="77777777" w:rsidR="0007555D" w:rsidRPr="00C56257" w:rsidRDefault="0007555D" w:rsidP="008E33FD">
      <w:pPr>
        <w:spacing w:line="259" w:lineRule="auto"/>
        <w:contextualSpacing/>
        <w:jc w:val="both"/>
        <w:rPr>
          <w:rFonts w:eastAsia="Calibri"/>
        </w:rPr>
      </w:pPr>
      <w:r w:rsidRPr="00C56257">
        <w:rPr>
          <w:rFonts w:eastAsia="Calibri"/>
        </w:rPr>
        <w:t>ROSCI0378 Râul Siret între Pașcani și Roman</w:t>
      </w:r>
    </w:p>
    <w:p w14:paraId="10B3A198" w14:textId="77777777" w:rsidR="0007555D" w:rsidRPr="00C56257" w:rsidRDefault="0007555D" w:rsidP="008E33FD">
      <w:pPr>
        <w:spacing w:line="259" w:lineRule="auto"/>
        <w:contextualSpacing/>
        <w:jc w:val="both"/>
        <w:rPr>
          <w:rFonts w:eastAsia="Calibri"/>
        </w:rPr>
      </w:pPr>
      <w:r w:rsidRPr="00C56257">
        <w:rPr>
          <w:rFonts w:eastAsia="Calibri"/>
        </w:rPr>
        <w:t>ROSCI0379 Râul Suceava</w:t>
      </w:r>
    </w:p>
    <w:p w14:paraId="564AFF6A" w14:textId="77777777" w:rsidR="0007555D" w:rsidRPr="00C56257" w:rsidRDefault="0007555D" w:rsidP="008E33FD">
      <w:pPr>
        <w:spacing w:line="259" w:lineRule="auto"/>
        <w:contextualSpacing/>
        <w:jc w:val="both"/>
        <w:rPr>
          <w:rFonts w:eastAsia="Calibri"/>
        </w:rPr>
      </w:pPr>
      <w:r w:rsidRPr="00C56257">
        <w:rPr>
          <w:rFonts w:eastAsia="Calibri"/>
        </w:rPr>
        <w:t>ROSCI0380 Râul Suceava Liteni</w:t>
      </w:r>
    </w:p>
    <w:p w14:paraId="16355785" w14:textId="77777777" w:rsidR="0007555D" w:rsidRPr="00C56257" w:rsidRDefault="0007555D" w:rsidP="008E33FD">
      <w:pPr>
        <w:spacing w:line="259" w:lineRule="auto"/>
        <w:contextualSpacing/>
        <w:jc w:val="both"/>
        <w:rPr>
          <w:rFonts w:eastAsia="Calibri"/>
        </w:rPr>
      </w:pPr>
      <w:r w:rsidRPr="00C56257">
        <w:rPr>
          <w:rFonts w:eastAsia="Calibri"/>
        </w:rPr>
        <w:t>ROSCI0383 Râul Târnava Mare între Odorheiu Secuiesc</w:t>
      </w:r>
    </w:p>
    <w:p w14:paraId="176B488F" w14:textId="77777777" w:rsidR="0007555D" w:rsidRPr="00C56257" w:rsidRDefault="0007555D" w:rsidP="008E33FD">
      <w:pPr>
        <w:spacing w:line="259" w:lineRule="auto"/>
        <w:contextualSpacing/>
        <w:jc w:val="both"/>
        <w:rPr>
          <w:rFonts w:eastAsia="Calibri"/>
        </w:rPr>
      </w:pPr>
      <w:r w:rsidRPr="00C56257">
        <w:rPr>
          <w:rFonts w:eastAsia="Calibri"/>
        </w:rPr>
        <w:t>ROS</w:t>
      </w:r>
      <w:r w:rsidR="00180D16">
        <w:rPr>
          <w:rFonts w:eastAsia="Calibri"/>
        </w:rPr>
        <w:t>AC</w:t>
      </w:r>
      <w:r w:rsidRPr="00C56257">
        <w:rPr>
          <w:rFonts w:eastAsia="Calibri"/>
        </w:rPr>
        <w:t>0386 Râul Vedea *</w:t>
      </w:r>
    </w:p>
    <w:p w14:paraId="09CB551E" w14:textId="77777777" w:rsidR="0007555D" w:rsidRPr="00C56257" w:rsidRDefault="0007555D" w:rsidP="008E33FD">
      <w:pPr>
        <w:spacing w:line="259" w:lineRule="auto"/>
        <w:contextualSpacing/>
        <w:jc w:val="both"/>
        <w:rPr>
          <w:rFonts w:eastAsia="Calibri"/>
        </w:rPr>
      </w:pPr>
      <w:r w:rsidRPr="00C56257">
        <w:rPr>
          <w:rFonts w:eastAsia="Calibri"/>
        </w:rPr>
        <w:t>ROSCI0397 Dealurile Podoleni</w:t>
      </w:r>
    </w:p>
    <w:p w14:paraId="588D1818" w14:textId="77777777" w:rsidR="0007555D" w:rsidRPr="00C56257" w:rsidRDefault="0007555D" w:rsidP="008E33FD">
      <w:pPr>
        <w:spacing w:line="259" w:lineRule="auto"/>
        <w:contextualSpacing/>
        <w:jc w:val="both"/>
        <w:rPr>
          <w:rFonts w:eastAsia="Calibri"/>
        </w:rPr>
      </w:pPr>
      <w:r w:rsidRPr="00C56257">
        <w:rPr>
          <w:rFonts w:eastAsia="Calibri"/>
        </w:rPr>
        <w:t>ROSCI0399 Suharau - Darabani</w:t>
      </w:r>
    </w:p>
    <w:p w14:paraId="37E23366" w14:textId="77777777" w:rsidR="0007555D" w:rsidRPr="00C56257" w:rsidRDefault="0007555D" w:rsidP="008E33FD">
      <w:pPr>
        <w:spacing w:line="259" w:lineRule="auto"/>
        <w:contextualSpacing/>
        <w:jc w:val="both"/>
        <w:rPr>
          <w:rFonts w:eastAsia="Calibri"/>
        </w:rPr>
      </w:pPr>
      <w:r w:rsidRPr="00C56257">
        <w:rPr>
          <w:rFonts w:eastAsia="Calibri"/>
        </w:rPr>
        <w:t>ROSCI0400 Șieu - Budac</w:t>
      </w:r>
    </w:p>
    <w:p w14:paraId="7BDAB25B" w14:textId="77777777" w:rsidR="0007555D" w:rsidRPr="00C56257" w:rsidRDefault="0007555D" w:rsidP="008E33FD">
      <w:pPr>
        <w:spacing w:line="259" w:lineRule="auto"/>
        <w:contextualSpacing/>
        <w:jc w:val="both"/>
        <w:rPr>
          <w:rFonts w:eastAsia="Calibri"/>
        </w:rPr>
      </w:pPr>
      <w:r w:rsidRPr="00C56257">
        <w:rPr>
          <w:rFonts w:eastAsia="Calibri"/>
        </w:rPr>
        <w:t>ROS</w:t>
      </w:r>
      <w:r w:rsidR="00180D16">
        <w:rPr>
          <w:rFonts w:eastAsia="Calibri"/>
        </w:rPr>
        <w:t>AC</w:t>
      </w:r>
      <w:r w:rsidRPr="00C56257">
        <w:rPr>
          <w:rFonts w:eastAsia="Calibri"/>
        </w:rPr>
        <w:t>0403 Vânju Mare</w:t>
      </w:r>
    </w:p>
    <w:p w14:paraId="0FF95941" w14:textId="77777777" w:rsidR="0007555D" w:rsidRPr="00C56257" w:rsidRDefault="0007555D" w:rsidP="008E33FD">
      <w:pPr>
        <w:spacing w:line="259" w:lineRule="auto"/>
        <w:contextualSpacing/>
        <w:jc w:val="both"/>
        <w:rPr>
          <w:rFonts w:eastAsia="Calibri"/>
        </w:rPr>
      </w:pPr>
      <w:r w:rsidRPr="00C56257">
        <w:rPr>
          <w:rFonts w:eastAsia="Calibri"/>
        </w:rPr>
        <w:t>ROSCI0405 Dealurile Strehaia - Bâtlanele</w:t>
      </w:r>
    </w:p>
    <w:p w14:paraId="6BE1C064" w14:textId="77777777" w:rsidR="0007555D" w:rsidRPr="00C56257" w:rsidRDefault="0007555D" w:rsidP="008E33FD">
      <w:pPr>
        <w:spacing w:line="259" w:lineRule="auto"/>
        <w:contextualSpacing/>
        <w:jc w:val="both"/>
        <w:rPr>
          <w:rFonts w:eastAsia="Calibri"/>
        </w:rPr>
      </w:pPr>
      <w:r w:rsidRPr="00C56257">
        <w:rPr>
          <w:rFonts w:eastAsia="Calibri"/>
        </w:rPr>
        <w:t>ROSCI0406 Zarandul de Est</w:t>
      </w:r>
    </w:p>
    <w:p w14:paraId="4E9EBBDB" w14:textId="77777777" w:rsidR="0007555D" w:rsidRPr="00C56257" w:rsidRDefault="0007555D" w:rsidP="008E33FD">
      <w:pPr>
        <w:spacing w:line="259" w:lineRule="auto"/>
        <w:contextualSpacing/>
        <w:jc w:val="both"/>
        <w:rPr>
          <w:rFonts w:eastAsia="Calibri"/>
        </w:rPr>
      </w:pPr>
      <w:r w:rsidRPr="00C56257">
        <w:rPr>
          <w:rFonts w:eastAsia="Calibri"/>
        </w:rPr>
        <w:t>ROSCI0407 Zarandul de Vest</w:t>
      </w:r>
    </w:p>
    <w:p w14:paraId="3A99A064" w14:textId="77777777" w:rsidR="0007555D" w:rsidRPr="00C56257" w:rsidRDefault="0007555D" w:rsidP="008E33FD">
      <w:pPr>
        <w:spacing w:line="259" w:lineRule="auto"/>
        <w:contextualSpacing/>
        <w:jc w:val="both"/>
        <w:rPr>
          <w:rFonts w:eastAsia="Calibri"/>
        </w:rPr>
      </w:pPr>
      <w:r w:rsidRPr="00C56257">
        <w:rPr>
          <w:rFonts w:eastAsia="Calibri"/>
        </w:rPr>
        <w:t>ROSCI0423 Pădurea Dorobanțul</w:t>
      </w:r>
    </w:p>
    <w:p w14:paraId="32AB0262" w14:textId="77777777" w:rsidR="0007555D" w:rsidRPr="00C56257" w:rsidRDefault="0007555D" w:rsidP="008E33FD">
      <w:pPr>
        <w:spacing w:line="259" w:lineRule="auto"/>
        <w:contextualSpacing/>
        <w:jc w:val="both"/>
        <w:rPr>
          <w:rFonts w:eastAsia="Calibri"/>
        </w:rPr>
      </w:pPr>
      <w:r w:rsidRPr="00C56257">
        <w:rPr>
          <w:rFonts w:eastAsia="Calibri"/>
        </w:rPr>
        <w:t>ROSCI0424 Pădurea și Lacul Mărgineni *</w:t>
      </w:r>
    </w:p>
    <w:p w14:paraId="65872C36" w14:textId="77777777" w:rsidR="0007555D" w:rsidRPr="00C56257" w:rsidRDefault="0007555D" w:rsidP="008E33FD">
      <w:pPr>
        <w:spacing w:line="259" w:lineRule="auto"/>
        <w:contextualSpacing/>
        <w:jc w:val="both"/>
        <w:rPr>
          <w:rFonts w:eastAsia="Calibri"/>
        </w:rPr>
      </w:pPr>
      <w:r w:rsidRPr="00C56257">
        <w:rPr>
          <w:rFonts w:eastAsia="Calibri"/>
        </w:rPr>
        <w:t>ROSCI0426 Pădurea Ștorobăneasa</w:t>
      </w:r>
    </w:p>
    <w:p w14:paraId="0DB7FFD1" w14:textId="77777777" w:rsidR="0007555D" w:rsidRPr="00C56257" w:rsidRDefault="0007555D" w:rsidP="008E33FD">
      <w:pPr>
        <w:spacing w:line="259" w:lineRule="auto"/>
        <w:contextualSpacing/>
        <w:jc w:val="both"/>
        <w:rPr>
          <w:rFonts w:eastAsia="Calibri"/>
        </w:rPr>
      </w:pPr>
      <w:r w:rsidRPr="00C56257">
        <w:rPr>
          <w:rFonts w:eastAsia="Calibri"/>
        </w:rPr>
        <w:t>ROSCI0427 Pajiștile de la Liteni - Săvădisla</w:t>
      </w:r>
    </w:p>
    <w:p w14:paraId="66DDB37D" w14:textId="77777777" w:rsidR="0007555D" w:rsidRPr="00C56257" w:rsidRDefault="0007555D" w:rsidP="008E33FD">
      <w:pPr>
        <w:spacing w:line="259" w:lineRule="auto"/>
        <w:contextualSpacing/>
        <w:jc w:val="both"/>
        <w:rPr>
          <w:rFonts w:eastAsia="Calibri"/>
        </w:rPr>
      </w:pPr>
      <w:r w:rsidRPr="00C56257">
        <w:rPr>
          <w:rFonts w:eastAsia="Calibri"/>
        </w:rPr>
        <w:t>ROSCI0432 Prunișor</w:t>
      </w:r>
    </w:p>
    <w:p w14:paraId="623BB5F3" w14:textId="77777777" w:rsidR="0007555D" w:rsidRPr="00C56257" w:rsidRDefault="0007555D" w:rsidP="008E33FD">
      <w:pPr>
        <w:spacing w:line="259" w:lineRule="auto"/>
        <w:contextualSpacing/>
        <w:jc w:val="both"/>
        <w:rPr>
          <w:rFonts w:eastAsia="Calibri"/>
        </w:rPr>
      </w:pPr>
    </w:p>
    <w:p w14:paraId="27C00891"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9260 - Vegetație forestieră cu </w:t>
      </w:r>
      <w:r w:rsidRPr="00C56257">
        <w:rPr>
          <w:rFonts w:eastAsia="Calibri"/>
          <w:b/>
          <w:i/>
          <w:iCs/>
        </w:rPr>
        <w:t>Castanea sativa</w:t>
      </w:r>
      <w:r w:rsidRPr="00C56257">
        <w:rPr>
          <w:rFonts w:eastAsia="Calibri"/>
          <w:b/>
        </w:rPr>
        <w:t xml:space="preserve"> </w:t>
      </w:r>
    </w:p>
    <w:p w14:paraId="0D155BA0" w14:textId="77777777" w:rsidR="0007555D" w:rsidRPr="00C56257" w:rsidRDefault="0007555D" w:rsidP="008E33FD">
      <w:pPr>
        <w:spacing w:line="259" w:lineRule="auto"/>
        <w:contextualSpacing/>
        <w:jc w:val="both"/>
        <w:rPr>
          <w:rFonts w:eastAsia="Calibri"/>
          <w:b/>
        </w:rPr>
      </w:pPr>
    </w:p>
    <w:p w14:paraId="0768BE67" w14:textId="77777777" w:rsidR="0007555D" w:rsidRPr="00C56257" w:rsidRDefault="0007555D" w:rsidP="008E33FD">
      <w:pPr>
        <w:spacing w:line="259" w:lineRule="auto"/>
        <w:contextualSpacing/>
        <w:jc w:val="both"/>
        <w:rPr>
          <w:rFonts w:eastAsia="Calibri"/>
          <w:bCs/>
        </w:rPr>
      </w:pPr>
      <w:r w:rsidRPr="00C56257">
        <w:rPr>
          <w:rFonts w:eastAsia="Calibri"/>
          <w:bCs/>
        </w:rPr>
        <w:t>ROSCI0003 Arboretele de castan comestibil de la Baia</w:t>
      </w:r>
      <w:r w:rsidRPr="00C56257">
        <w:rPr>
          <w:rFonts w:eastAsia="Calibri"/>
        </w:rPr>
        <w:t xml:space="preserve"> *</w:t>
      </w:r>
    </w:p>
    <w:p w14:paraId="585D2E83"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180D16">
        <w:rPr>
          <w:rFonts w:eastAsia="Calibri"/>
        </w:rPr>
        <w:t>AC</w:t>
      </w:r>
      <w:r w:rsidRPr="00C56257">
        <w:rPr>
          <w:rFonts w:eastAsia="Calibri"/>
          <w:bCs/>
        </w:rPr>
        <w:t>0128 Nordul Gorjului de Est</w:t>
      </w:r>
    </w:p>
    <w:p w14:paraId="09CE412B" w14:textId="77777777" w:rsidR="0007555D" w:rsidRPr="00C56257" w:rsidRDefault="0007555D" w:rsidP="008E33FD">
      <w:pPr>
        <w:spacing w:line="259" w:lineRule="auto"/>
        <w:contextualSpacing/>
        <w:jc w:val="both"/>
        <w:rPr>
          <w:rFonts w:eastAsia="Calibri"/>
          <w:bCs/>
        </w:rPr>
      </w:pPr>
      <w:r w:rsidRPr="00C56257">
        <w:rPr>
          <w:rFonts w:eastAsia="Calibri"/>
          <w:bCs/>
        </w:rPr>
        <w:t>ROS</w:t>
      </w:r>
      <w:r w:rsidR="00180D16">
        <w:rPr>
          <w:rFonts w:eastAsia="Calibri"/>
        </w:rPr>
        <w:t>AC</w:t>
      </w:r>
      <w:r w:rsidRPr="00C56257">
        <w:rPr>
          <w:rFonts w:eastAsia="Calibri"/>
          <w:bCs/>
        </w:rPr>
        <w:t>0129 Nordul Gorjului de Vest</w:t>
      </w:r>
      <w:r w:rsidRPr="00C56257">
        <w:rPr>
          <w:rFonts w:eastAsia="Calibri"/>
        </w:rPr>
        <w:t xml:space="preserve"> *</w:t>
      </w:r>
    </w:p>
    <w:p w14:paraId="48A6BF79" w14:textId="77777777" w:rsidR="0007555D" w:rsidRPr="00C56257" w:rsidRDefault="0007555D" w:rsidP="008E33FD">
      <w:pPr>
        <w:spacing w:line="259" w:lineRule="auto"/>
        <w:contextualSpacing/>
        <w:jc w:val="both"/>
        <w:rPr>
          <w:rFonts w:eastAsia="Calibri"/>
          <w:bCs/>
        </w:rPr>
      </w:pPr>
      <w:r w:rsidRPr="00C56257">
        <w:rPr>
          <w:rFonts w:eastAsia="Calibri"/>
          <w:bCs/>
        </w:rPr>
        <w:t>ROSCI0312 Castanii comestibili de la Buia</w:t>
      </w:r>
      <w:r w:rsidRPr="00C56257">
        <w:rPr>
          <w:rFonts w:eastAsia="Calibri"/>
        </w:rPr>
        <w:t xml:space="preserve"> *</w:t>
      </w:r>
    </w:p>
    <w:p w14:paraId="400C6F48" w14:textId="77777777" w:rsidR="0007555D" w:rsidRPr="00C56257" w:rsidRDefault="0007555D" w:rsidP="008E33FD">
      <w:pPr>
        <w:spacing w:line="259" w:lineRule="auto"/>
        <w:contextualSpacing/>
        <w:jc w:val="both"/>
        <w:rPr>
          <w:rFonts w:eastAsia="Calibri"/>
        </w:rPr>
      </w:pPr>
    </w:p>
    <w:p w14:paraId="3815ED55"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92A0 - Zăvoaie cu </w:t>
      </w:r>
      <w:r w:rsidRPr="00C56257">
        <w:rPr>
          <w:rFonts w:eastAsia="Calibri"/>
          <w:b/>
          <w:i/>
          <w:iCs/>
        </w:rPr>
        <w:t>Salix alba</w:t>
      </w:r>
      <w:r w:rsidRPr="00C56257">
        <w:rPr>
          <w:rFonts w:eastAsia="Calibri"/>
          <w:b/>
        </w:rPr>
        <w:t xml:space="preserve"> și </w:t>
      </w:r>
      <w:r w:rsidRPr="00C56257">
        <w:rPr>
          <w:rFonts w:eastAsia="Calibri"/>
          <w:b/>
          <w:i/>
          <w:iCs/>
        </w:rPr>
        <w:t>Populus alba</w:t>
      </w:r>
      <w:r w:rsidRPr="00C56257">
        <w:rPr>
          <w:rFonts w:eastAsia="Calibri"/>
          <w:b/>
        </w:rPr>
        <w:t xml:space="preserve"> </w:t>
      </w:r>
    </w:p>
    <w:p w14:paraId="3C3E96FE" w14:textId="77777777" w:rsidR="0007555D" w:rsidRPr="00C56257" w:rsidRDefault="0007555D" w:rsidP="008E33FD">
      <w:pPr>
        <w:spacing w:line="259" w:lineRule="auto"/>
        <w:contextualSpacing/>
        <w:jc w:val="both"/>
        <w:rPr>
          <w:rFonts w:eastAsia="Calibri"/>
        </w:rPr>
      </w:pPr>
    </w:p>
    <w:p w14:paraId="48336231" w14:textId="77777777" w:rsidR="0007555D" w:rsidRPr="00C56257" w:rsidRDefault="0007555D" w:rsidP="008E33FD">
      <w:pPr>
        <w:spacing w:line="259" w:lineRule="auto"/>
        <w:contextualSpacing/>
        <w:jc w:val="both"/>
        <w:rPr>
          <w:rFonts w:eastAsia="Calibri"/>
        </w:rPr>
      </w:pPr>
      <w:r w:rsidRPr="00C56257">
        <w:rPr>
          <w:rFonts w:eastAsia="Calibri"/>
        </w:rPr>
        <w:t>ROSCI0005 Balta Albă - Amara - Jirlău - Lacul Sărat Câin</w:t>
      </w:r>
    </w:p>
    <w:p w14:paraId="764ADC6C" w14:textId="77777777" w:rsidR="0007555D" w:rsidRPr="00C56257" w:rsidRDefault="0007555D" w:rsidP="008E33FD">
      <w:pPr>
        <w:spacing w:line="259" w:lineRule="auto"/>
        <w:contextualSpacing/>
        <w:jc w:val="both"/>
        <w:rPr>
          <w:rFonts w:eastAsia="Calibri"/>
        </w:rPr>
      </w:pPr>
      <w:r w:rsidRPr="00C56257">
        <w:rPr>
          <w:rFonts w:eastAsia="Calibri"/>
        </w:rPr>
        <w:t>ROSCI0006 Balta Mică a Brăilei</w:t>
      </w:r>
    </w:p>
    <w:p w14:paraId="30F70748" w14:textId="77777777" w:rsidR="0007555D" w:rsidRPr="00C56257" w:rsidRDefault="0007555D" w:rsidP="008E33FD">
      <w:pPr>
        <w:spacing w:line="259" w:lineRule="auto"/>
        <w:contextualSpacing/>
        <w:jc w:val="both"/>
        <w:rPr>
          <w:rFonts w:eastAsia="Calibri"/>
        </w:rPr>
      </w:pPr>
      <w:r w:rsidRPr="00C56257">
        <w:rPr>
          <w:rFonts w:eastAsia="Calibri"/>
        </w:rPr>
        <w:t>ROSCI0012 Brațul Măcin *</w:t>
      </w:r>
    </w:p>
    <w:p w14:paraId="0FDF2C4D" w14:textId="77777777" w:rsidR="0007555D" w:rsidRPr="00C56257" w:rsidRDefault="0007555D" w:rsidP="008E33FD">
      <w:pPr>
        <w:spacing w:line="259" w:lineRule="auto"/>
        <w:contextualSpacing/>
        <w:jc w:val="both"/>
        <w:rPr>
          <w:rFonts w:eastAsia="Calibri"/>
        </w:rPr>
      </w:pPr>
      <w:r w:rsidRPr="00C56257">
        <w:rPr>
          <w:rFonts w:eastAsia="Calibri"/>
        </w:rPr>
        <w:t>ROSCI0020 Câmpia Careiului *</w:t>
      </w:r>
    </w:p>
    <w:p w14:paraId="7FB342F6" w14:textId="77777777" w:rsidR="0007555D" w:rsidRPr="00C56257" w:rsidRDefault="0007555D" w:rsidP="008E33FD">
      <w:pPr>
        <w:spacing w:line="259" w:lineRule="auto"/>
        <w:contextualSpacing/>
        <w:jc w:val="both"/>
        <w:rPr>
          <w:rFonts w:eastAsia="Calibri"/>
        </w:rPr>
      </w:pPr>
      <w:r w:rsidRPr="00C56257">
        <w:rPr>
          <w:rFonts w:eastAsia="Calibri"/>
        </w:rPr>
        <w:t>ROSCI0021 Câmpia Ierului</w:t>
      </w:r>
    </w:p>
    <w:p w14:paraId="1B1CD207" w14:textId="77777777" w:rsidR="0007555D" w:rsidRPr="00C56257" w:rsidRDefault="0007555D" w:rsidP="008E33FD">
      <w:pPr>
        <w:spacing w:line="259" w:lineRule="auto"/>
        <w:contextualSpacing/>
        <w:jc w:val="both"/>
        <w:rPr>
          <w:rFonts w:eastAsia="Calibri"/>
        </w:rPr>
      </w:pPr>
      <w:r w:rsidRPr="00C56257">
        <w:rPr>
          <w:rFonts w:eastAsia="Calibri"/>
        </w:rPr>
        <w:t>ROS</w:t>
      </w:r>
      <w:r w:rsidR="00180D16">
        <w:rPr>
          <w:rFonts w:eastAsia="Calibri"/>
        </w:rPr>
        <w:t>AC</w:t>
      </w:r>
      <w:r w:rsidRPr="00C56257">
        <w:rPr>
          <w:rFonts w:eastAsia="Calibri"/>
        </w:rPr>
        <w:t>0022 Canaralele Dunării *</w:t>
      </w:r>
    </w:p>
    <w:p w14:paraId="3BB2175B" w14:textId="77777777" w:rsidR="0007555D" w:rsidRPr="00C56257" w:rsidRDefault="0007555D" w:rsidP="008E33FD">
      <w:pPr>
        <w:spacing w:line="259" w:lineRule="auto"/>
        <w:contextualSpacing/>
        <w:jc w:val="both"/>
        <w:rPr>
          <w:rFonts w:eastAsia="Calibri"/>
        </w:rPr>
      </w:pPr>
      <w:r w:rsidRPr="00C56257">
        <w:rPr>
          <w:rFonts w:eastAsia="Calibri"/>
        </w:rPr>
        <w:t>ROS</w:t>
      </w:r>
      <w:r w:rsidR="00180D16">
        <w:rPr>
          <w:rFonts w:eastAsia="Calibri"/>
        </w:rPr>
        <w:t>AC</w:t>
      </w:r>
      <w:r w:rsidRPr="00C56257">
        <w:rPr>
          <w:rFonts w:eastAsia="Calibri"/>
        </w:rPr>
        <w:t>0039 Ciuperceni - Desa *</w:t>
      </w:r>
    </w:p>
    <w:p w14:paraId="3A36DC78" w14:textId="77777777" w:rsidR="0007555D" w:rsidRPr="00C56257" w:rsidRDefault="0007555D" w:rsidP="008E33FD">
      <w:pPr>
        <w:spacing w:line="259" w:lineRule="auto"/>
        <w:contextualSpacing/>
        <w:jc w:val="both"/>
        <w:rPr>
          <w:rFonts w:eastAsia="Calibri"/>
        </w:rPr>
      </w:pPr>
      <w:r w:rsidRPr="00C56257">
        <w:rPr>
          <w:rFonts w:eastAsia="Calibri"/>
        </w:rPr>
        <w:t>ROSCI0043 Comana</w:t>
      </w:r>
    </w:p>
    <w:p w14:paraId="65B4BC56" w14:textId="77777777" w:rsidR="0007555D" w:rsidRPr="00C56257" w:rsidRDefault="0007555D" w:rsidP="008E33FD">
      <w:pPr>
        <w:spacing w:line="259" w:lineRule="auto"/>
        <w:contextualSpacing/>
        <w:jc w:val="both"/>
        <w:rPr>
          <w:rFonts w:eastAsia="Calibri"/>
        </w:rPr>
      </w:pPr>
      <w:r w:rsidRPr="00C56257">
        <w:rPr>
          <w:rFonts w:eastAsia="Calibri"/>
        </w:rPr>
        <w:t>ROSCI0044 Corabia - Turnu Măgurele *</w:t>
      </w:r>
    </w:p>
    <w:p w14:paraId="61AA19CA" w14:textId="77777777" w:rsidR="0007555D" w:rsidRPr="00C56257" w:rsidRDefault="0007555D" w:rsidP="008E33FD">
      <w:pPr>
        <w:spacing w:line="259" w:lineRule="auto"/>
        <w:contextualSpacing/>
        <w:jc w:val="both"/>
        <w:rPr>
          <w:rFonts w:eastAsia="Calibri"/>
        </w:rPr>
      </w:pPr>
      <w:r w:rsidRPr="00C56257">
        <w:rPr>
          <w:rFonts w:eastAsia="Calibri"/>
        </w:rPr>
        <w:t>ROS</w:t>
      </w:r>
      <w:r w:rsidR="00180D16">
        <w:rPr>
          <w:rFonts w:eastAsia="Calibri"/>
        </w:rPr>
        <w:t>AC</w:t>
      </w:r>
      <w:r w:rsidRPr="00C56257">
        <w:rPr>
          <w:rFonts w:eastAsia="Calibri"/>
        </w:rPr>
        <w:t>0045 Coridorul Jiului *</w:t>
      </w:r>
    </w:p>
    <w:p w14:paraId="55AC3F76" w14:textId="77777777" w:rsidR="0007555D" w:rsidRPr="00C56257" w:rsidRDefault="0007555D" w:rsidP="008E33FD">
      <w:pPr>
        <w:spacing w:line="259" w:lineRule="auto"/>
        <w:contextualSpacing/>
        <w:jc w:val="both"/>
        <w:rPr>
          <w:rFonts w:eastAsia="Calibri"/>
        </w:rPr>
      </w:pPr>
      <w:r w:rsidRPr="00C56257">
        <w:rPr>
          <w:rFonts w:eastAsia="Calibri"/>
        </w:rPr>
        <w:t>ROS</w:t>
      </w:r>
      <w:r w:rsidR="00180D16">
        <w:rPr>
          <w:rFonts w:eastAsia="Calibri"/>
        </w:rPr>
        <w:t>AC</w:t>
      </w:r>
      <w:r w:rsidRPr="00C56257">
        <w:rPr>
          <w:rFonts w:eastAsia="Calibri"/>
        </w:rPr>
        <w:t>0048 Crișul Alb</w:t>
      </w:r>
    </w:p>
    <w:p w14:paraId="4C0B6CFB" w14:textId="77777777" w:rsidR="0007555D" w:rsidRPr="00C56257" w:rsidRDefault="0007555D" w:rsidP="008E33FD">
      <w:pPr>
        <w:spacing w:line="259" w:lineRule="auto"/>
        <w:contextualSpacing/>
        <w:jc w:val="both"/>
        <w:rPr>
          <w:rFonts w:eastAsia="Calibri"/>
        </w:rPr>
      </w:pPr>
      <w:r w:rsidRPr="00C56257">
        <w:rPr>
          <w:rFonts w:eastAsia="Calibri"/>
        </w:rPr>
        <w:t>ROS</w:t>
      </w:r>
      <w:r w:rsidR="00180D16">
        <w:rPr>
          <w:rFonts w:eastAsia="Calibri"/>
        </w:rPr>
        <w:t>AC</w:t>
      </w:r>
      <w:r w:rsidRPr="00C56257">
        <w:rPr>
          <w:rFonts w:eastAsia="Calibri"/>
        </w:rPr>
        <w:t>0049 Crișul Negru</w:t>
      </w:r>
    </w:p>
    <w:p w14:paraId="6D60AE3A" w14:textId="77777777" w:rsidR="0007555D" w:rsidRPr="00C56257" w:rsidRDefault="0007555D" w:rsidP="008E33FD">
      <w:pPr>
        <w:spacing w:line="259" w:lineRule="auto"/>
        <w:contextualSpacing/>
        <w:jc w:val="both"/>
        <w:rPr>
          <w:rFonts w:eastAsia="Calibri"/>
        </w:rPr>
      </w:pPr>
      <w:r w:rsidRPr="00C56257">
        <w:rPr>
          <w:rFonts w:eastAsia="Calibri"/>
        </w:rPr>
        <w:t>ROS</w:t>
      </w:r>
      <w:r w:rsidR="00180D16">
        <w:rPr>
          <w:rFonts w:eastAsia="Calibri"/>
        </w:rPr>
        <w:t>AC</w:t>
      </w:r>
      <w:r w:rsidRPr="00C56257">
        <w:rPr>
          <w:rFonts w:eastAsia="Calibri"/>
        </w:rPr>
        <w:t>0050 Crișul Repede amonte de Oradea</w:t>
      </w:r>
    </w:p>
    <w:p w14:paraId="3108C721" w14:textId="77777777" w:rsidR="0007555D" w:rsidRPr="00C56257" w:rsidRDefault="0007555D" w:rsidP="008E33FD">
      <w:pPr>
        <w:spacing w:line="259" w:lineRule="auto"/>
        <w:contextualSpacing/>
        <w:jc w:val="both"/>
        <w:rPr>
          <w:rFonts w:eastAsia="Calibri"/>
        </w:rPr>
      </w:pPr>
      <w:r w:rsidRPr="00C56257">
        <w:rPr>
          <w:rFonts w:eastAsia="Calibri"/>
        </w:rPr>
        <w:t>ROSCI0065 Delta Dunării *</w:t>
      </w:r>
    </w:p>
    <w:p w14:paraId="38CC11BC" w14:textId="77777777" w:rsidR="0007555D" w:rsidRPr="00C56257" w:rsidRDefault="0007555D" w:rsidP="008E33FD">
      <w:pPr>
        <w:spacing w:line="259" w:lineRule="auto"/>
        <w:contextualSpacing/>
        <w:jc w:val="both"/>
        <w:rPr>
          <w:rFonts w:eastAsia="Calibri"/>
        </w:rPr>
      </w:pPr>
      <w:r w:rsidRPr="00C56257">
        <w:rPr>
          <w:rFonts w:eastAsia="Calibri"/>
        </w:rPr>
        <w:t>ROS</w:t>
      </w:r>
      <w:r w:rsidR="00180D16">
        <w:rPr>
          <w:rFonts w:eastAsia="Calibri"/>
        </w:rPr>
        <w:t>AC</w:t>
      </w:r>
      <w:r w:rsidRPr="00C56257">
        <w:rPr>
          <w:rFonts w:eastAsia="Calibri"/>
        </w:rPr>
        <w:t>0068 Diosig</w:t>
      </w:r>
    </w:p>
    <w:p w14:paraId="07D11D7C" w14:textId="77777777" w:rsidR="0007555D" w:rsidRPr="00C56257" w:rsidRDefault="0007555D" w:rsidP="008E33FD">
      <w:pPr>
        <w:spacing w:line="259" w:lineRule="auto"/>
        <w:contextualSpacing/>
        <w:jc w:val="both"/>
        <w:rPr>
          <w:rFonts w:eastAsia="Calibri"/>
        </w:rPr>
      </w:pPr>
      <w:r w:rsidRPr="00C56257">
        <w:rPr>
          <w:rFonts w:eastAsia="Calibri"/>
        </w:rPr>
        <w:t>ROSCI0088 Gura Vedei - Șaica - Slobozia *</w:t>
      </w:r>
    </w:p>
    <w:p w14:paraId="7C64DCC2" w14:textId="77777777" w:rsidR="0007555D" w:rsidRPr="00C56257" w:rsidRDefault="0007555D" w:rsidP="008E33FD">
      <w:pPr>
        <w:spacing w:line="259" w:lineRule="auto"/>
        <w:contextualSpacing/>
        <w:jc w:val="both"/>
        <w:rPr>
          <w:rFonts w:eastAsia="Calibri"/>
        </w:rPr>
      </w:pPr>
      <w:r w:rsidRPr="00C56257">
        <w:rPr>
          <w:rFonts w:eastAsia="Calibri"/>
        </w:rPr>
        <w:t>ROS</w:t>
      </w:r>
      <w:r w:rsidR="00180D16">
        <w:rPr>
          <w:rFonts w:eastAsia="Calibri"/>
        </w:rPr>
        <w:t>AC</w:t>
      </w:r>
      <w:r w:rsidRPr="00C56257">
        <w:rPr>
          <w:rFonts w:eastAsia="Calibri"/>
        </w:rPr>
        <w:t>0103 Lunca Buzăului *</w:t>
      </w:r>
    </w:p>
    <w:p w14:paraId="4475FFF4" w14:textId="77777777" w:rsidR="0007555D" w:rsidRPr="00C56257" w:rsidRDefault="0007555D" w:rsidP="008E33FD">
      <w:pPr>
        <w:spacing w:line="259" w:lineRule="auto"/>
        <w:contextualSpacing/>
        <w:jc w:val="both"/>
        <w:rPr>
          <w:rFonts w:eastAsia="Calibri"/>
        </w:rPr>
      </w:pPr>
      <w:r w:rsidRPr="00C56257">
        <w:rPr>
          <w:rFonts w:eastAsia="Calibri"/>
        </w:rPr>
        <w:t>ROS</w:t>
      </w:r>
      <w:r w:rsidR="00180D16">
        <w:rPr>
          <w:rFonts w:eastAsia="Calibri"/>
        </w:rPr>
        <w:t>AC</w:t>
      </w:r>
      <w:r w:rsidRPr="00C56257">
        <w:rPr>
          <w:rFonts w:eastAsia="Calibri"/>
        </w:rPr>
        <w:t>0104 Lunca Inferioară a Crișului Repede</w:t>
      </w:r>
    </w:p>
    <w:p w14:paraId="7DE908AE" w14:textId="77777777" w:rsidR="0007555D" w:rsidRPr="00C56257" w:rsidRDefault="0007555D" w:rsidP="008E33FD">
      <w:pPr>
        <w:spacing w:line="259" w:lineRule="auto"/>
        <w:contextualSpacing/>
        <w:jc w:val="both"/>
        <w:rPr>
          <w:rFonts w:eastAsia="Calibri"/>
        </w:rPr>
      </w:pPr>
      <w:r w:rsidRPr="00C56257">
        <w:rPr>
          <w:rFonts w:eastAsia="Calibri"/>
        </w:rPr>
        <w:t>ROSCI0105 Lunca Joasă a Prutului</w:t>
      </w:r>
    </w:p>
    <w:p w14:paraId="6FFF01A1" w14:textId="77777777" w:rsidR="0007555D" w:rsidRPr="00C56257" w:rsidRDefault="0007555D" w:rsidP="008E33FD">
      <w:pPr>
        <w:spacing w:line="259" w:lineRule="auto"/>
        <w:contextualSpacing/>
        <w:jc w:val="both"/>
        <w:rPr>
          <w:rFonts w:eastAsia="Calibri"/>
        </w:rPr>
      </w:pPr>
      <w:r w:rsidRPr="00C56257">
        <w:rPr>
          <w:rFonts w:eastAsia="Calibri"/>
        </w:rPr>
        <w:t>ROS</w:t>
      </w:r>
      <w:r w:rsidR="00180D16">
        <w:rPr>
          <w:rFonts w:eastAsia="Calibri"/>
        </w:rPr>
        <w:t>AC</w:t>
      </w:r>
      <w:r w:rsidRPr="00C56257">
        <w:rPr>
          <w:rFonts w:eastAsia="Calibri"/>
        </w:rPr>
        <w:t>0106 Lunca Mijlocie a Argeșului *</w:t>
      </w:r>
    </w:p>
    <w:p w14:paraId="24EE7899" w14:textId="77777777" w:rsidR="0007555D" w:rsidRPr="00C56257" w:rsidRDefault="0007555D" w:rsidP="008E33FD">
      <w:pPr>
        <w:spacing w:line="259" w:lineRule="auto"/>
        <w:contextualSpacing/>
        <w:jc w:val="both"/>
        <w:rPr>
          <w:rFonts w:eastAsia="Calibri"/>
        </w:rPr>
      </w:pPr>
      <w:r w:rsidRPr="00C56257">
        <w:rPr>
          <w:rFonts w:eastAsia="Calibri"/>
        </w:rPr>
        <w:t>ROS</w:t>
      </w:r>
      <w:r w:rsidR="00180D16">
        <w:rPr>
          <w:rFonts w:eastAsia="Calibri"/>
        </w:rPr>
        <w:t>AC</w:t>
      </w:r>
      <w:r w:rsidRPr="00C56257">
        <w:rPr>
          <w:rFonts w:eastAsia="Calibri"/>
        </w:rPr>
        <w:t>0107 Lunca Mircești</w:t>
      </w:r>
    </w:p>
    <w:p w14:paraId="6B9549D7"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0108 Lunca Mureșului Inferior *</w:t>
      </w:r>
    </w:p>
    <w:p w14:paraId="593EA927" w14:textId="77777777" w:rsidR="0007555D" w:rsidRPr="00C56257" w:rsidRDefault="0007555D" w:rsidP="008E33FD">
      <w:pPr>
        <w:spacing w:line="259" w:lineRule="auto"/>
        <w:contextualSpacing/>
        <w:jc w:val="both"/>
        <w:rPr>
          <w:rFonts w:eastAsia="Calibri"/>
        </w:rPr>
      </w:pPr>
      <w:r w:rsidRPr="00C56257">
        <w:rPr>
          <w:rFonts w:eastAsia="Calibri"/>
        </w:rPr>
        <w:t>ROSCI0109 Lunca Timișului</w:t>
      </w:r>
    </w:p>
    <w:p w14:paraId="53EC144F" w14:textId="77777777" w:rsidR="0007555D" w:rsidRPr="00C56257" w:rsidRDefault="0007555D" w:rsidP="008E33FD">
      <w:pPr>
        <w:spacing w:line="259" w:lineRule="auto"/>
        <w:contextualSpacing/>
        <w:jc w:val="both"/>
        <w:rPr>
          <w:rFonts w:eastAsia="Calibri"/>
        </w:rPr>
      </w:pPr>
      <w:r w:rsidRPr="00C56257">
        <w:rPr>
          <w:rFonts w:eastAsia="Calibri"/>
        </w:rPr>
        <w:t>ROSCI0115 Mlaștina Satchinez</w:t>
      </w:r>
    </w:p>
    <w:p w14:paraId="22D3FE0E" w14:textId="77777777" w:rsidR="0007555D" w:rsidRPr="00C56257" w:rsidRDefault="0007555D" w:rsidP="008E33FD">
      <w:pPr>
        <w:spacing w:line="259" w:lineRule="auto"/>
        <w:contextualSpacing/>
        <w:jc w:val="both"/>
        <w:rPr>
          <w:rFonts w:eastAsia="Calibri"/>
        </w:rPr>
      </w:pPr>
      <w:r w:rsidRPr="00C56257">
        <w:rPr>
          <w:rFonts w:eastAsia="Calibri"/>
        </w:rPr>
        <w:t>ROSCI0131 Oltenița - Mostiștea - Chiciu *</w:t>
      </w:r>
    </w:p>
    <w:p w14:paraId="39C63362"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0132 Oltul Mijlociu - Cibin - Hârtibaciu</w:t>
      </w:r>
    </w:p>
    <w:p w14:paraId="03ADF758"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0138 Pădurea Bolintin</w:t>
      </w:r>
    </w:p>
    <w:p w14:paraId="43F69C0C"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0143 Pădurea de gorun și stejar de la Dosul Fânaț</w:t>
      </w:r>
    </w:p>
    <w:p w14:paraId="66CD5139"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0149 Pădurea Eseschioi - Lacul Bugeac</w:t>
      </w:r>
    </w:p>
    <w:p w14:paraId="6DB1E1E1" w14:textId="77777777" w:rsidR="0007555D" w:rsidRPr="00C56257" w:rsidRDefault="0007555D" w:rsidP="008E33FD">
      <w:pPr>
        <w:spacing w:line="259" w:lineRule="auto"/>
        <w:contextualSpacing/>
        <w:jc w:val="both"/>
        <w:rPr>
          <w:rFonts w:eastAsia="Calibri"/>
        </w:rPr>
      </w:pPr>
      <w:r w:rsidRPr="00C56257">
        <w:rPr>
          <w:rFonts w:eastAsia="Calibri"/>
        </w:rPr>
        <w:t>ROSCI0152 Pădurea Floreanu - Frumușica - Ciurea</w:t>
      </w:r>
    </w:p>
    <w:p w14:paraId="5C335D56"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0161 Pădurea Medeleni</w:t>
      </w:r>
    </w:p>
    <w:p w14:paraId="39909BF6"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0162 Lunca Siretului Inferior *</w:t>
      </w:r>
    </w:p>
    <w:p w14:paraId="7BBBFF89" w14:textId="77777777" w:rsidR="0007555D" w:rsidRPr="00C56257" w:rsidRDefault="0007555D" w:rsidP="008E33FD">
      <w:pPr>
        <w:spacing w:line="259" w:lineRule="auto"/>
        <w:contextualSpacing/>
        <w:jc w:val="both"/>
        <w:rPr>
          <w:rFonts w:eastAsia="Calibri"/>
        </w:rPr>
      </w:pPr>
      <w:r w:rsidRPr="00C56257">
        <w:rPr>
          <w:rFonts w:eastAsia="Calibri"/>
        </w:rPr>
        <w:t>ROSCI0166 Pădurea Reșca Hotărani</w:t>
      </w:r>
    </w:p>
    <w:p w14:paraId="76471C6F" w14:textId="77777777" w:rsidR="0007555D" w:rsidRPr="00C56257" w:rsidRDefault="0007555D" w:rsidP="008E33FD">
      <w:pPr>
        <w:spacing w:line="259" w:lineRule="auto"/>
        <w:contextualSpacing/>
        <w:jc w:val="both"/>
        <w:rPr>
          <w:rFonts w:eastAsia="Calibri"/>
        </w:rPr>
      </w:pPr>
      <w:r w:rsidRPr="00C56257">
        <w:rPr>
          <w:rFonts w:eastAsia="Calibri"/>
        </w:rPr>
        <w:t>ROSCI0170 Pădurea și mlaștinile eutrofe de la Prejmer</w:t>
      </w:r>
    </w:p>
    <w:p w14:paraId="211ABD4C"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0173 Pădurea Stârmina *</w:t>
      </w:r>
    </w:p>
    <w:p w14:paraId="19DCC08A" w14:textId="77777777" w:rsidR="0007555D" w:rsidRPr="00C56257" w:rsidRDefault="0007555D" w:rsidP="008E33FD">
      <w:pPr>
        <w:spacing w:line="259" w:lineRule="auto"/>
        <w:contextualSpacing/>
        <w:jc w:val="both"/>
        <w:rPr>
          <w:rFonts w:eastAsia="Calibri"/>
        </w:rPr>
      </w:pPr>
      <w:r w:rsidRPr="00C56257">
        <w:rPr>
          <w:rFonts w:eastAsia="Calibri"/>
        </w:rPr>
        <w:t>ROSCI0185 Păduricea de la Santău</w:t>
      </w:r>
    </w:p>
    <w:p w14:paraId="44D31CE3" w14:textId="77777777" w:rsidR="0007555D" w:rsidRPr="00C56257" w:rsidRDefault="0007555D" w:rsidP="008E33FD">
      <w:pPr>
        <w:spacing w:line="259" w:lineRule="auto"/>
        <w:contextualSpacing/>
        <w:jc w:val="both"/>
        <w:rPr>
          <w:rFonts w:eastAsia="Calibri"/>
        </w:rPr>
      </w:pPr>
      <w:r w:rsidRPr="00C56257">
        <w:rPr>
          <w:rFonts w:eastAsia="Calibri"/>
        </w:rPr>
        <w:t>ROSCI0201 Podișul Nord Dobrogean</w:t>
      </w:r>
    </w:p>
    <w:p w14:paraId="7208177D" w14:textId="77777777" w:rsidR="0007555D" w:rsidRPr="00C56257" w:rsidRDefault="0007555D" w:rsidP="008E33FD">
      <w:pPr>
        <w:spacing w:line="259" w:lineRule="auto"/>
        <w:contextualSpacing/>
        <w:jc w:val="both"/>
        <w:rPr>
          <w:rFonts w:eastAsia="Calibri"/>
        </w:rPr>
      </w:pPr>
      <w:r w:rsidRPr="00C56257">
        <w:rPr>
          <w:rFonts w:eastAsia="Calibri"/>
        </w:rPr>
        <w:t>ROSCI0206 Porțile de Fier</w:t>
      </w:r>
    </w:p>
    <w:p w14:paraId="3B7A0D3F" w14:textId="77777777" w:rsidR="0007555D" w:rsidRPr="00C56257" w:rsidRDefault="0007555D" w:rsidP="008E33FD">
      <w:pPr>
        <w:spacing w:line="259" w:lineRule="auto"/>
        <w:contextualSpacing/>
        <w:jc w:val="both"/>
        <w:rPr>
          <w:rFonts w:eastAsia="Calibri"/>
        </w:rPr>
      </w:pPr>
      <w:r w:rsidRPr="00C56257">
        <w:rPr>
          <w:rFonts w:eastAsia="Calibri"/>
        </w:rPr>
        <w:t>ROSCI0213 Râul Prut *</w:t>
      </w:r>
    </w:p>
    <w:p w14:paraId="545B0706"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0214 Râul Tur</w:t>
      </w:r>
    </w:p>
    <w:p w14:paraId="4329428D" w14:textId="77777777" w:rsidR="0007555D" w:rsidRPr="00C56257" w:rsidRDefault="0007555D" w:rsidP="008E33FD">
      <w:pPr>
        <w:spacing w:line="259" w:lineRule="auto"/>
        <w:contextualSpacing/>
        <w:jc w:val="both"/>
        <w:rPr>
          <w:rFonts w:eastAsia="Calibri"/>
        </w:rPr>
      </w:pPr>
      <w:r w:rsidRPr="00C56257">
        <w:rPr>
          <w:rFonts w:eastAsia="Calibri"/>
        </w:rPr>
        <w:t>ROSCI0220 Săcueni</w:t>
      </w:r>
    </w:p>
    <w:p w14:paraId="20EAFF1B"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0224 Scroviștea</w:t>
      </w:r>
    </w:p>
    <w:p w14:paraId="72496727"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0227 Sighișoara - Târnava Mare</w:t>
      </w:r>
    </w:p>
    <w:p w14:paraId="050733CA" w14:textId="77777777" w:rsidR="0007555D" w:rsidRPr="00C56257" w:rsidRDefault="0007555D" w:rsidP="008E33FD">
      <w:pPr>
        <w:spacing w:line="259" w:lineRule="auto"/>
        <w:contextualSpacing/>
        <w:jc w:val="both"/>
        <w:rPr>
          <w:rFonts w:eastAsia="Calibri"/>
        </w:rPr>
      </w:pPr>
      <w:r w:rsidRPr="00C56257">
        <w:rPr>
          <w:rFonts w:eastAsia="Calibri"/>
        </w:rPr>
        <w:t>ROSCI0264 Valea Izei și Dealul Solovan</w:t>
      </w:r>
    </w:p>
    <w:p w14:paraId="005A802A"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0266 Valea Oltețului *</w:t>
      </w:r>
    </w:p>
    <w:p w14:paraId="2AF36C14"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ROSCI0278 Bordușani - Borcea *</w:t>
      </w:r>
    </w:p>
    <w:p w14:paraId="5786042C" w14:textId="77777777" w:rsidR="0007555D" w:rsidRPr="00C56257" w:rsidRDefault="0007555D" w:rsidP="008E33FD">
      <w:pPr>
        <w:spacing w:line="259" w:lineRule="auto"/>
        <w:contextualSpacing/>
        <w:jc w:val="both"/>
        <w:rPr>
          <w:rFonts w:eastAsia="Calibri"/>
        </w:rPr>
      </w:pPr>
      <w:r w:rsidRPr="00C56257">
        <w:rPr>
          <w:rFonts w:eastAsia="Calibri"/>
        </w:rPr>
        <w:t>ROSCI0290 Coridorul Ialomiței *</w:t>
      </w:r>
    </w:p>
    <w:p w14:paraId="4B5AEA18"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0299 Dunărea la Gârla Mare - Maglavit *</w:t>
      </w:r>
    </w:p>
    <w:p w14:paraId="79D379F3" w14:textId="77777777" w:rsidR="0007555D" w:rsidRPr="00C56257" w:rsidRDefault="0007555D" w:rsidP="008E33FD">
      <w:pPr>
        <w:spacing w:line="259" w:lineRule="auto"/>
        <w:contextualSpacing/>
        <w:jc w:val="both"/>
        <w:rPr>
          <w:rFonts w:eastAsia="Calibri"/>
        </w:rPr>
      </w:pPr>
      <w:r w:rsidRPr="00C56257">
        <w:rPr>
          <w:rFonts w:eastAsia="Calibri"/>
        </w:rPr>
        <w:t>ROSCI0303 Hârtibaciu Sud - Est</w:t>
      </w:r>
    </w:p>
    <w:p w14:paraId="40FA5A4F" w14:textId="77777777" w:rsidR="0007555D" w:rsidRPr="00C56257" w:rsidRDefault="0007555D" w:rsidP="008E33FD">
      <w:pPr>
        <w:spacing w:line="259" w:lineRule="auto"/>
        <w:contextualSpacing/>
        <w:jc w:val="both"/>
        <w:rPr>
          <w:rFonts w:eastAsia="Calibri"/>
        </w:rPr>
      </w:pPr>
      <w:r w:rsidRPr="00C56257">
        <w:rPr>
          <w:rFonts w:eastAsia="Calibri"/>
        </w:rPr>
        <w:t>ROSCI0304 Hârtibaciu Sud - Vest</w:t>
      </w:r>
    </w:p>
    <w:p w14:paraId="5F676C6D"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0306 Jiana *</w:t>
      </w:r>
    </w:p>
    <w:p w14:paraId="1DB788BC" w14:textId="77777777" w:rsidR="0007555D" w:rsidRPr="00C56257" w:rsidRDefault="0007555D" w:rsidP="008E33FD">
      <w:pPr>
        <w:spacing w:line="259" w:lineRule="auto"/>
        <w:contextualSpacing/>
        <w:jc w:val="both"/>
        <w:rPr>
          <w:rFonts w:eastAsia="Calibri"/>
        </w:rPr>
      </w:pPr>
      <w:r w:rsidRPr="00C56257">
        <w:rPr>
          <w:rFonts w:eastAsia="Calibri"/>
        </w:rPr>
        <w:t>ROSCI0313 Confluența Mureș cu Arieș</w:t>
      </w:r>
    </w:p>
    <w:p w14:paraId="250566CB"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0315 Lunca Chineja</w:t>
      </w:r>
    </w:p>
    <w:p w14:paraId="5B45530F" w14:textId="77777777" w:rsidR="0007555D" w:rsidRPr="00C56257" w:rsidRDefault="0007555D" w:rsidP="008E33FD">
      <w:pPr>
        <w:spacing w:line="259" w:lineRule="auto"/>
        <w:contextualSpacing/>
        <w:jc w:val="both"/>
        <w:rPr>
          <w:rFonts w:eastAsia="Calibri"/>
        </w:rPr>
      </w:pPr>
      <w:r w:rsidRPr="00C56257">
        <w:rPr>
          <w:rFonts w:eastAsia="Calibri"/>
        </w:rPr>
        <w:t>ROSCI0319 Mlaștina de la Fetești</w:t>
      </w:r>
    </w:p>
    <w:p w14:paraId="0D905413"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0334 Pădurea Buciumeni - Homocea</w:t>
      </w:r>
    </w:p>
    <w:p w14:paraId="74F60669" w14:textId="77777777" w:rsidR="0007555D" w:rsidRPr="00C56257" w:rsidRDefault="0007555D" w:rsidP="008E33FD">
      <w:pPr>
        <w:spacing w:line="259" w:lineRule="auto"/>
        <w:contextualSpacing/>
        <w:jc w:val="both"/>
        <w:rPr>
          <w:rFonts w:eastAsia="Calibri"/>
        </w:rPr>
      </w:pPr>
      <w:r w:rsidRPr="00C56257">
        <w:rPr>
          <w:rFonts w:eastAsia="Calibri"/>
        </w:rPr>
        <w:t>ROSCI0335 Pădurea Dobrina - Huși</w:t>
      </w:r>
    </w:p>
    <w:p w14:paraId="1D60DC1D"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0354 Platforma Cotmeana</w:t>
      </w:r>
    </w:p>
    <w:p w14:paraId="27E902A7"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0362 Râul Gilort</w:t>
      </w:r>
    </w:p>
    <w:p w14:paraId="31178A66"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0364 Râul Moldova între Tupilați și Roman</w:t>
      </w:r>
    </w:p>
    <w:p w14:paraId="6F253AB3"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0366 Râul Motru</w:t>
      </w:r>
    </w:p>
    <w:p w14:paraId="0249E875"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0370 Râul Mureș între Lipova și Păuliș</w:t>
      </w:r>
    </w:p>
    <w:p w14:paraId="686774B1" w14:textId="77777777" w:rsidR="0007555D" w:rsidRPr="00C56257" w:rsidRDefault="0007555D" w:rsidP="008E33FD">
      <w:pPr>
        <w:spacing w:line="259" w:lineRule="auto"/>
        <w:contextualSpacing/>
        <w:jc w:val="both"/>
        <w:rPr>
          <w:rFonts w:eastAsia="Calibri"/>
        </w:rPr>
      </w:pPr>
      <w:r w:rsidRPr="00C56257">
        <w:rPr>
          <w:rFonts w:eastAsia="Calibri"/>
        </w:rPr>
        <w:t>ROSCI0372 Dăbuleni – Potelu</w:t>
      </w:r>
    </w:p>
    <w:p w14:paraId="63F4A03D" w14:textId="77777777" w:rsidR="0007555D" w:rsidRPr="00C56257" w:rsidRDefault="0007555D" w:rsidP="008E33FD">
      <w:pPr>
        <w:spacing w:line="259" w:lineRule="auto"/>
        <w:contextualSpacing/>
        <w:jc w:val="both"/>
        <w:rPr>
          <w:rFonts w:eastAsia="Calibri"/>
        </w:rPr>
      </w:pPr>
      <w:r w:rsidRPr="00C56257">
        <w:rPr>
          <w:rFonts w:eastAsia="Calibri"/>
        </w:rPr>
        <w:t>ROS</w:t>
      </w:r>
      <w:r w:rsidR="001D34FE">
        <w:rPr>
          <w:rFonts w:eastAsia="Calibri"/>
        </w:rPr>
        <w:t>AC</w:t>
      </w:r>
      <w:r w:rsidRPr="00C56257">
        <w:rPr>
          <w:rFonts w:eastAsia="Calibri"/>
        </w:rPr>
        <w:t>0376 Râul Olt între Mărunței și Turnu Măgurele *</w:t>
      </w:r>
    </w:p>
    <w:p w14:paraId="3AB43142" w14:textId="77777777" w:rsidR="0007555D" w:rsidRPr="00C56257" w:rsidRDefault="0007555D" w:rsidP="008E33FD">
      <w:pPr>
        <w:spacing w:line="259" w:lineRule="auto"/>
        <w:contextualSpacing/>
        <w:jc w:val="both"/>
        <w:rPr>
          <w:rFonts w:eastAsia="Calibri"/>
        </w:rPr>
      </w:pPr>
      <w:r w:rsidRPr="00C56257">
        <w:rPr>
          <w:rFonts w:eastAsia="Calibri"/>
        </w:rPr>
        <w:t>ROSCI0378 Râul Siret între Pașcani și Roman</w:t>
      </w:r>
    </w:p>
    <w:p w14:paraId="2DD27670" w14:textId="77777777" w:rsidR="0007555D" w:rsidRPr="00C56257" w:rsidRDefault="0007555D" w:rsidP="008E33FD">
      <w:pPr>
        <w:spacing w:line="259" w:lineRule="auto"/>
        <w:contextualSpacing/>
        <w:jc w:val="both"/>
        <w:rPr>
          <w:rFonts w:eastAsia="Calibri"/>
        </w:rPr>
      </w:pPr>
      <w:r w:rsidRPr="00C56257">
        <w:rPr>
          <w:rFonts w:eastAsia="Calibri"/>
        </w:rPr>
        <w:t>ROSCI0379 Râul Suceava</w:t>
      </w:r>
    </w:p>
    <w:p w14:paraId="7E1668C5" w14:textId="77777777" w:rsidR="0007555D" w:rsidRPr="00C56257" w:rsidRDefault="0007555D" w:rsidP="008E33FD">
      <w:pPr>
        <w:spacing w:line="259" w:lineRule="auto"/>
        <w:contextualSpacing/>
        <w:jc w:val="both"/>
        <w:rPr>
          <w:rFonts w:eastAsia="Calibri"/>
        </w:rPr>
      </w:pPr>
      <w:r w:rsidRPr="00C56257">
        <w:rPr>
          <w:rFonts w:eastAsia="Calibri"/>
        </w:rPr>
        <w:t>ROS</w:t>
      </w:r>
      <w:r w:rsidR="005608EF">
        <w:rPr>
          <w:rFonts w:eastAsia="Calibri"/>
        </w:rPr>
        <w:t>AC</w:t>
      </w:r>
      <w:r w:rsidRPr="00C56257">
        <w:rPr>
          <w:rFonts w:eastAsia="Calibri"/>
        </w:rPr>
        <w:t>0386 Râul Vedea *</w:t>
      </w:r>
    </w:p>
    <w:p w14:paraId="3CBE55B6" w14:textId="77777777" w:rsidR="0007555D" w:rsidRPr="00C56257" w:rsidRDefault="0007555D" w:rsidP="008E33FD">
      <w:pPr>
        <w:spacing w:line="259" w:lineRule="auto"/>
        <w:contextualSpacing/>
        <w:jc w:val="both"/>
        <w:rPr>
          <w:rFonts w:eastAsia="Calibri"/>
        </w:rPr>
      </w:pPr>
      <w:r w:rsidRPr="00C56257">
        <w:rPr>
          <w:rFonts w:eastAsia="Calibri"/>
        </w:rPr>
        <w:t>ROS</w:t>
      </w:r>
      <w:r w:rsidR="00D64F27">
        <w:rPr>
          <w:rFonts w:eastAsia="Calibri"/>
        </w:rPr>
        <w:t>AC</w:t>
      </w:r>
      <w:r w:rsidRPr="00C56257">
        <w:rPr>
          <w:rFonts w:eastAsia="Calibri"/>
        </w:rPr>
        <w:t>0391 Siretul Mijlociu - Bucecea</w:t>
      </w:r>
    </w:p>
    <w:p w14:paraId="6CEB029A" w14:textId="77777777" w:rsidR="0007555D" w:rsidRPr="00C56257" w:rsidRDefault="0007555D" w:rsidP="008E33FD">
      <w:pPr>
        <w:spacing w:line="259" w:lineRule="auto"/>
        <w:contextualSpacing/>
        <w:jc w:val="both"/>
        <w:rPr>
          <w:rFonts w:eastAsia="Calibri"/>
        </w:rPr>
      </w:pPr>
      <w:r w:rsidRPr="00C56257">
        <w:rPr>
          <w:rFonts w:eastAsia="Calibri"/>
        </w:rPr>
        <w:t>ROS</w:t>
      </w:r>
      <w:r w:rsidR="00D64F27">
        <w:rPr>
          <w:rFonts w:eastAsia="Calibri"/>
        </w:rPr>
        <w:t>AC</w:t>
      </w:r>
      <w:r w:rsidRPr="00C56257">
        <w:rPr>
          <w:rFonts w:eastAsia="Calibri"/>
        </w:rPr>
        <w:t>0419 Mureșul Mijlociu – Cugir</w:t>
      </w:r>
    </w:p>
    <w:p w14:paraId="0ECFC5D5" w14:textId="77777777" w:rsidR="0007555D" w:rsidRPr="00C56257" w:rsidRDefault="0007555D" w:rsidP="008E33FD">
      <w:pPr>
        <w:spacing w:line="259" w:lineRule="auto"/>
        <w:contextualSpacing/>
        <w:jc w:val="both"/>
        <w:rPr>
          <w:rFonts w:eastAsia="Calibri"/>
        </w:rPr>
      </w:pPr>
      <w:r w:rsidRPr="00C56257">
        <w:rPr>
          <w:rFonts w:eastAsia="Calibri"/>
        </w:rPr>
        <w:t>ROSCI0426 Pădurea Ștorobăneasa</w:t>
      </w:r>
    </w:p>
    <w:p w14:paraId="53E547D5" w14:textId="77777777" w:rsidR="0007555D" w:rsidRPr="00C56257" w:rsidRDefault="0007555D" w:rsidP="008E33FD">
      <w:pPr>
        <w:spacing w:line="259" w:lineRule="auto"/>
        <w:contextualSpacing/>
        <w:jc w:val="both"/>
        <w:rPr>
          <w:rFonts w:eastAsia="Calibri"/>
        </w:rPr>
      </w:pPr>
      <w:r w:rsidRPr="00C56257">
        <w:rPr>
          <w:rFonts w:eastAsia="Calibri"/>
        </w:rPr>
        <w:t>ROSCI0434 Siretul Mijlociu</w:t>
      </w:r>
    </w:p>
    <w:p w14:paraId="1E018CD9" w14:textId="77777777" w:rsidR="0007555D" w:rsidRPr="00C56257" w:rsidRDefault="0007555D" w:rsidP="008E33FD">
      <w:pPr>
        <w:spacing w:line="259" w:lineRule="auto"/>
        <w:contextualSpacing/>
        <w:jc w:val="both"/>
        <w:rPr>
          <w:rFonts w:eastAsia="Calibri"/>
        </w:rPr>
      </w:pPr>
      <w:r w:rsidRPr="00C56257">
        <w:rPr>
          <w:rFonts w:eastAsia="Calibri"/>
        </w:rPr>
        <w:t>ROSCI0435 Someșul între Rona și Țicău</w:t>
      </w:r>
    </w:p>
    <w:p w14:paraId="3C852BD6" w14:textId="77777777" w:rsidR="0007555D" w:rsidRPr="00C56257" w:rsidRDefault="0007555D" w:rsidP="008E33FD">
      <w:pPr>
        <w:spacing w:line="259" w:lineRule="auto"/>
        <w:contextualSpacing/>
        <w:jc w:val="both"/>
        <w:rPr>
          <w:rFonts w:eastAsia="Calibri"/>
        </w:rPr>
      </w:pPr>
      <w:r w:rsidRPr="00C56257">
        <w:rPr>
          <w:rFonts w:eastAsia="Calibri"/>
        </w:rPr>
        <w:t>ROSCI0436 Someșul Inferior</w:t>
      </w:r>
    </w:p>
    <w:p w14:paraId="5BEF83C3" w14:textId="77777777" w:rsidR="0007555D" w:rsidRPr="00C56257" w:rsidRDefault="0007555D" w:rsidP="008E33FD">
      <w:pPr>
        <w:spacing w:line="259" w:lineRule="auto"/>
        <w:contextualSpacing/>
        <w:jc w:val="both"/>
        <w:rPr>
          <w:rFonts w:eastAsia="Calibri"/>
        </w:rPr>
      </w:pPr>
      <w:r w:rsidRPr="00C56257">
        <w:rPr>
          <w:rFonts w:eastAsia="Calibri"/>
        </w:rPr>
        <w:t>ROSCI0437 Someșul Mare între Mica și Beclean</w:t>
      </w:r>
    </w:p>
    <w:p w14:paraId="0E9EB393" w14:textId="77777777" w:rsidR="0007555D" w:rsidRPr="00C56257" w:rsidRDefault="0007555D" w:rsidP="008E33FD">
      <w:pPr>
        <w:spacing w:line="259" w:lineRule="auto"/>
        <w:contextualSpacing/>
        <w:jc w:val="both"/>
        <w:rPr>
          <w:rFonts w:eastAsia="Calibri"/>
        </w:rPr>
      </w:pPr>
    </w:p>
    <w:p w14:paraId="795BB8CF"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92D0 - Galerii ripariene și tufărișuri (</w:t>
      </w:r>
      <w:r w:rsidRPr="00C56257">
        <w:rPr>
          <w:rFonts w:eastAsia="Calibri"/>
          <w:b/>
          <w:i/>
          <w:iCs/>
        </w:rPr>
        <w:t>Nerio-Tamaricetea</w:t>
      </w:r>
      <w:r w:rsidRPr="00C56257">
        <w:rPr>
          <w:rFonts w:eastAsia="Calibri"/>
          <w:b/>
        </w:rPr>
        <w:t xml:space="preserve"> și </w:t>
      </w:r>
      <w:r w:rsidRPr="00C56257">
        <w:rPr>
          <w:rFonts w:eastAsia="Calibri"/>
          <w:b/>
          <w:i/>
          <w:iCs/>
        </w:rPr>
        <w:t>Securinegion tinctoriae</w:t>
      </w:r>
      <w:r w:rsidRPr="00C56257">
        <w:rPr>
          <w:rFonts w:eastAsia="Calibri"/>
          <w:b/>
        </w:rPr>
        <w:t>)</w:t>
      </w:r>
    </w:p>
    <w:p w14:paraId="4ECDD60F" w14:textId="77777777" w:rsidR="0007555D" w:rsidRPr="00C56257" w:rsidRDefault="0007555D" w:rsidP="008E33FD">
      <w:pPr>
        <w:spacing w:line="259" w:lineRule="auto"/>
        <w:contextualSpacing/>
        <w:jc w:val="both"/>
        <w:rPr>
          <w:rFonts w:eastAsia="Calibri"/>
          <w:b/>
        </w:rPr>
      </w:pPr>
    </w:p>
    <w:p w14:paraId="4999D6D7" w14:textId="77777777" w:rsidR="0007555D" w:rsidRPr="00C56257" w:rsidRDefault="0007555D" w:rsidP="008E33FD">
      <w:pPr>
        <w:spacing w:line="259" w:lineRule="auto"/>
        <w:contextualSpacing/>
        <w:jc w:val="both"/>
        <w:rPr>
          <w:rFonts w:eastAsia="Calibri"/>
        </w:rPr>
      </w:pPr>
      <w:r w:rsidRPr="00C56257">
        <w:rPr>
          <w:rFonts w:eastAsia="Calibri"/>
        </w:rPr>
        <w:t>ROSCI0005 Balta Albă - Amara - Jirlău - Lacul Sărat Câin</w:t>
      </w:r>
    </w:p>
    <w:p w14:paraId="2DD3C455" w14:textId="77777777" w:rsidR="0007555D" w:rsidRPr="00C56257" w:rsidRDefault="0007555D" w:rsidP="008E33FD">
      <w:pPr>
        <w:spacing w:line="259" w:lineRule="auto"/>
        <w:contextualSpacing/>
        <w:jc w:val="both"/>
        <w:rPr>
          <w:rFonts w:eastAsia="Calibri"/>
        </w:rPr>
      </w:pPr>
      <w:r w:rsidRPr="00C56257">
        <w:rPr>
          <w:rFonts w:eastAsia="Calibri"/>
        </w:rPr>
        <w:t>ROSCI0006 Balta Mică a Brăilei *</w:t>
      </w:r>
    </w:p>
    <w:p w14:paraId="301FBCA2" w14:textId="77777777" w:rsidR="0007555D" w:rsidRPr="00C56257" w:rsidRDefault="0007555D" w:rsidP="008E33FD">
      <w:pPr>
        <w:spacing w:line="259" w:lineRule="auto"/>
        <w:contextualSpacing/>
        <w:jc w:val="both"/>
        <w:rPr>
          <w:rFonts w:eastAsia="Calibri"/>
        </w:rPr>
      </w:pPr>
      <w:r w:rsidRPr="00C56257">
        <w:rPr>
          <w:rFonts w:eastAsia="Calibri"/>
        </w:rPr>
        <w:t>ROSCI0012 Brațul Măcin</w:t>
      </w:r>
    </w:p>
    <w:p w14:paraId="4C945ED4" w14:textId="77777777" w:rsidR="0007555D" w:rsidRPr="00C56257" w:rsidRDefault="0007555D" w:rsidP="008E33FD">
      <w:pPr>
        <w:spacing w:line="259" w:lineRule="auto"/>
        <w:contextualSpacing/>
        <w:jc w:val="both"/>
        <w:rPr>
          <w:rFonts w:eastAsia="Calibri"/>
        </w:rPr>
      </w:pPr>
      <w:r w:rsidRPr="00C56257">
        <w:rPr>
          <w:rFonts w:eastAsia="Calibri"/>
        </w:rPr>
        <w:t>ROS</w:t>
      </w:r>
      <w:r w:rsidR="00D64F27">
        <w:rPr>
          <w:rFonts w:eastAsia="Calibri"/>
        </w:rPr>
        <w:t>AC</w:t>
      </w:r>
      <w:r w:rsidRPr="00C56257">
        <w:rPr>
          <w:rFonts w:eastAsia="Calibri"/>
        </w:rPr>
        <w:t>0022 Canaralele Dunării</w:t>
      </w:r>
    </w:p>
    <w:p w14:paraId="7306CBE5" w14:textId="77777777" w:rsidR="0007555D" w:rsidRPr="00C56257" w:rsidRDefault="0007555D" w:rsidP="008E33FD">
      <w:pPr>
        <w:spacing w:line="259" w:lineRule="auto"/>
        <w:contextualSpacing/>
        <w:jc w:val="both"/>
        <w:rPr>
          <w:rFonts w:eastAsia="Calibri"/>
        </w:rPr>
      </w:pPr>
      <w:r w:rsidRPr="00C56257">
        <w:rPr>
          <w:rFonts w:eastAsia="Calibri"/>
        </w:rPr>
        <w:t>ROSCI0065 Delta Dunării *</w:t>
      </w:r>
    </w:p>
    <w:p w14:paraId="66C90B12" w14:textId="77777777" w:rsidR="0007555D" w:rsidRPr="00C56257" w:rsidRDefault="0007555D" w:rsidP="008E33FD">
      <w:pPr>
        <w:spacing w:line="259" w:lineRule="auto"/>
        <w:contextualSpacing/>
        <w:jc w:val="both"/>
        <w:rPr>
          <w:rFonts w:eastAsia="Calibri"/>
        </w:rPr>
      </w:pPr>
      <w:r w:rsidRPr="00C56257">
        <w:rPr>
          <w:rFonts w:eastAsia="Calibri"/>
        </w:rPr>
        <w:t>ROSCI0066 Delta Dunării - zona marină</w:t>
      </w:r>
    </w:p>
    <w:p w14:paraId="49BAAD8C" w14:textId="77777777" w:rsidR="0007555D" w:rsidRPr="00C56257" w:rsidRDefault="0007555D" w:rsidP="008E33FD">
      <w:pPr>
        <w:spacing w:line="259" w:lineRule="auto"/>
        <w:contextualSpacing/>
        <w:jc w:val="both"/>
        <w:rPr>
          <w:rFonts w:eastAsia="Calibri"/>
        </w:rPr>
      </w:pPr>
      <w:r w:rsidRPr="00C56257">
        <w:rPr>
          <w:rFonts w:eastAsia="Calibri"/>
        </w:rPr>
        <w:t>ROS</w:t>
      </w:r>
      <w:r w:rsidR="00D64F27">
        <w:rPr>
          <w:rFonts w:eastAsia="Calibri"/>
        </w:rPr>
        <w:t>AC</w:t>
      </w:r>
      <w:r w:rsidRPr="00C56257">
        <w:rPr>
          <w:rFonts w:eastAsia="Calibri"/>
        </w:rPr>
        <w:t>0103 Lunca Buzăului *</w:t>
      </w:r>
    </w:p>
    <w:p w14:paraId="19A09EF1" w14:textId="77777777" w:rsidR="0007555D" w:rsidRPr="00C56257" w:rsidRDefault="0007555D" w:rsidP="008E33FD">
      <w:pPr>
        <w:spacing w:line="259" w:lineRule="auto"/>
        <w:contextualSpacing/>
        <w:jc w:val="both"/>
        <w:rPr>
          <w:rFonts w:eastAsia="Calibri"/>
        </w:rPr>
      </w:pPr>
      <w:r w:rsidRPr="00C56257">
        <w:rPr>
          <w:rFonts w:eastAsia="Calibri"/>
        </w:rPr>
        <w:t>ROSCI0105 Lunca Joasă a Prutului</w:t>
      </w:r>
    </w:p>
    <w:p w14:paraId="41FE372D" w14:textId="77777777" w:rsidR="0007555D" w:rsidRPr="00C56257" w:rsidRDefault="0007555D" w:rsidP="008E33FD">
      <w:pPr>
        <w:spacing w:line="259" w:lineRule="auto"/>
        <w:contextualSpacing/>
        <w:jc w:val="both"/>
        <w:rPr>
          <w:rFonts w:eastAsia="Calibri"/>
        </w:rPr>
      </w:pPr>
      <w:r w:rsidRPr="00C56257">
        <w:rPr>
          <w:rFonts w:eastAsia="Calibri"/>
        </w:rPr>
        <w:t>ROS</w:t>
      </w:r>
      <w:r w:rsidR="00D64F27">
        <w:rPr>
          <w:rFonts w:eastAsia="Calibri"/>
        </w:rPr>
        <w:t>AC</w:t>
      </w:r>
      <w:r w:rsidRPr="00C56257">
        <w:rPr>
          <w:rFonts w:eastAsia="Calibri"/>
        </w:rPr>
        <w:t>0162 Lunca Siretului Inferior</w:t>
      </w:r>
    </w:p>
    <w:p w14:paraId="509798F5" w14:textId="77777777" w:rsidR="0007555D" w:rsidRPr="00C56257" w:rsidRDefault="0007555D" w:rsidP="008E33FD">
      <w:pPr>
        <w:spacing w:line="259" w:lineRule="auto"/>
        <w:contextualSpacing/>
        <w:jc w:val="both"/>
        <w:rPr>
          <w:rFonts w:eastAsia="Calibri"/>
        </w:rPr>
      </w:pPr>
      <w:r w:rsidRPr="00C56257">
        <w:rPr>
          <w:rFonts w:eastAsia="Calibri"/>
        </w:rPr>
        <w:t>ROSCI0213 Râul Prut</w:t>
      </w:r>
    </w:p>
    <w:p w14:paraId="62D3C026" w14:textId="77777777" w:rsidR="0007555D" w:rsidRPr="00C56257" w:rsidRDefault="0007555D" w:rsidP="008E33FD">
      <w:pPr>
        <w:spacing w:line="259" w:lineRule="auto"/>
        <w:contextualSpacing/>
        <w:jc w:val="both"/>
        <w:rPr>
          <w:rFonts w:eastAsia="Calibri"/>
        </w:rPr>
      </w:pPr>
    </w:p>
    <w:p w14:paraId="707F6724" w14:textId="77777777" w:rsidR="0007555D" w:rsidRPr="00C56257" w:rsidRDefault="0007555D" w:rsidP="008E33FD">
      <w:pPr>
        <w:spacing w:line="259" w:lineRule="auto"/>
        <w:contextualSpacing/>
        <w:jc w:val="both"/>
        <w:rPr>
          <w:rFonts w:eastAsia="Calibri"/>
          <w:b/>
        </w:rPr>
      </w:pPr>
      <w:bookmarkStart w:id="59" w:name="_Hlk29384345"/>
      <w:r w:rsidRPr="00C56257">
        <w:rPr>
          <w:rFonts w:eastAsia="Calibri"/>
          <w:b/>
        </w:rPr>
        <w:sym w:font="Wingdings" w:char="F09F"/>
      </w:r>
      <w:r w:rsidRPr="00C56257">
        <w:rPr>
          <w:rFonts w:eastAsia="Calibri"/>
          <w:b/>
        </w:rPr>
        <w:t xml:space="preserve"> 9410 - Păduri acidofile de </w:t>
      </w:r>
      <w:r w:rsidRPr="00C56257">
        <w:rPr>
          <w:rFonts w:eastAsia="Calibri"/>
          <w:b/>
          <w:i/>
          <w:iCs/>
        </w:rPr>
        <w:t>Picea abies</w:t>
      </w:r>
      <w:r w:rsidRPr="00C56257">
        <w:rPr>
          <w:rFonts w:eastAsia="Calibri"/>
          <w:b/>
        </w:rPr>
        <w:t xml:space="preserve"> din regiunea montană (</w:t>
      </w:r>
      <w:r w:rsidRPr="00C56257">
        <w:rPr>
          <w:rFonts w:eastAsia="Calibri"/>
          <w:b/>
          <w:i/>
          <w:iCs/>
        </w:rPr>
        <w:t>Vaccinio-Piceetea</w:t>
      </w:r>
      <w:r w:rsidRPr="00C56257">
        <w:rPr>
          <w:rFonts w:eastAsia="Calibri"/>
          <w:b/>
        </w:rPr>
        <w:t>)</w:t>
      </w:r>
    </w:p>
    <w:bookmarkEnd w:id="59"/>
    <w:p w14:paraId="62A4BB26" w14:textId="77777777" w:rsidR="0007555D" w:rsidRPr="00C56257" w:rsidRDefault="0007555D" w:rsidP="008E33FD">
      <w:pPr>
        <w:spacing w:line="259" w:lineRule="auto"/>
        <w:contextualSpacing/>
        <w:jc w:val="both"/>
        <w:rPr>
          <w:rFonts w:eastAsia="Calibri"/>
        </w:rPr>
      </w:pPr>
    </w:p>
    <w:p w14:paraId="64AC905F" w14:textId="77777777" w:rsidR="0007555D" w:rsidRPr="00C56257" w:rsidRDefault="0007555D" w:rsidP="008E33FD">
      <w:pPr>
        <w:spacing w:line="259" w:lineRule="auto"/>
        <w:contextualSpacing/>
        <w:jc w:val="both"/>
        <w:rPr>
          <w:rFonts w:eastAsia="Calibri"/>
        </w:rPr>
      </w:pPr>
      <w:r w:rsidRPr="00C56257">
        <w:rPr>
          <w:rFonts w:eastAsia="Calibri"/>
        </w:rPr>
        <w:t>ROSCI0002 Apuseni *</w:t>
      </w:r>
    </w:p>
    <w:p w14:paraId="4B2B781C"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0010 Bistrița Aurie</w:t>
      </w:r>
    </w:p>
    <w:p w14:paraId="5DAB9DB7"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w:t>
      </w:r>
      <w:r w:rsidR="00D64F27">
        <w:rPr>
          <w:rFonts w:eastAsia="Calibri"/>
        </w:rPr>
        <w:t>AC</w:t>
      </w:r>
      <w:r w:rsidRPr="00C56257">
        <w:rPr>
          <w:rFonts w:eastAsia="Calibri"/>
        </w:rPr>
        <w:t>0013 Bucegi *</w:t>
      </w:r>
    </w:p>
    <w:p w14:paraId="1BCE63A1" w14:textId="77777777" w:rsidR="0007555D" w:rsidRPr="00C56257" w:rsidRDefault="0007555D" w:rsidP="008E33FD">
      <w:pPr>
        <w:spacing w:line="259" w:lineRule="auto"/>
        <w:contextualSpacing/>
        <w:jc w:val="both"/>
        <w:rPr>
          <w:rFonts w:eastAsia="Calibri"/>
        </w:rPr>
      </w:pPr>
      <w:r w:rsidRPr="00C56257">
        <w:rPr>
          <w:rFonts w:eastAsia="Calibri"/>
        </w:rPr>
        <w:t>ROS</w:t>
      </w:r>
      <w:r w:rsidR="00D64F27">
        <w:rPr>
          <w:rFonts w:eastAsia="Calibri"/>
        </w:rPr>
        <w:t>AC</w:t>
      </w:r>
      <w:r w:rsidRPr="00C56257">
        <w:rPr>
          <w:rFonts w:eastAsia="Calibri"/>
        </w:rPr>
        <w:t>0015 Buila - Vânturarița</w:t>
      </w:r>
    </w:p>
    <w:p w14:paraId="57D0CB6A" w14:textId="77777777" w:rsidR="0007555D" w:rsidRPr="00C56257" w:rsidRDefault="0007555D" w:rsidP="008E33FD">
      <w:pPr>
        <w:spacing w:line="259" w:lineRule="auto"/>
        <w:contextualSpacing/>
        <w:jc w:val="both"/>
        <w:rPr>
          <w:rFonts w:eastAsia="Calibri"/>
        </w:rPr>
      </w:pPr>
      <w:r w:rsidRPr="00C56257">
        <w:rPr>
          <w:rFonts w:eastAsia="Calibri"/>
        </w:rPr>
        <w:t>ROSCI0016 Buteasa</w:t>
      </w:r>
    </w:p>
    <w:p w14:paraId="001876A1" w14:textId="77777777" w:rsidR="0007555D" w:rsidRPr="00C56257" w:rsidRDefault="0007555D" w:rsidP="008E33FD">
      <w:pPr>
        <w:spacing w:line="259" w:lineRule="auto"/>
        <w:contextualSpacing/>
        <w:jc w:val="both"/>
        <w:rPr>
          <w:rFonts w:eastAsia="Calibri"/>
        </w:rPr>
      </w:pPr>
      <w:r w:rsidRPr="00C56257">
        <w:rPr>
          <w:rFonts w:eastAsia="Calibri"/>
        </w:rPr>
        <w:t>ROSCI0019 Călimani - Gurghiu *</w:t>
      </w:r>
    </w:p>
    <w:p w14:paraId="458BBF27" w14:textId="77777777" w:rsidR="0007555D" w:rsidRPr="00C56257" w:rsidRDefault="0007555D" w:rsidP="008E33FD">
      <w:pPr>
        <w:spacing w:line="259" w:lineRule="auto"/>
        <w:contextualSpacing/>
        <w:jc w:val="both"/>
        <w:rPr>
          <w:rFonts w:eastAsia="Calibri"/>
        </w:rPr>
      </w:pPr>
      <w:r w:rsidRPr="00C56257">
        <w:rPr>
          <w:rFonts w:eastAsia="Calibri"/>
        </w:rPr>
        <w:t>ROS</w:t>
      </w:r>
      <w:r w:rsidR="00D64F27">
        <w:rPr>
          <w:rFonts w:eastAsia="Calibri"/>
        </w:rPr>
        <w:t>AC</w:t>
      </w:r>
      <w:r w:rsidRPr="00C56257">
        <w:rPr>
          <w:rFonts w:eastAsia="Calibri"/>
        </w:rPr>
        <w:t>0024 Ceahlău *</w:t>
      </w:r>
    </w:p>
    <w:p w14:paraId="1D310BA5" w14:textId="77777777" w:rsidR="0007555D" w:rsidRPr="00C56257" w:rsidRDefault="0007555D" w:rsidP="008E33FD">
      <w:pPr>
        <w:spacing w:line="259" w:lineRule="auto"/>
        <w:contextualSpacing/>
        <w:jc w:val="both"/>
        <w:rPr>
          <w:rFonts w:eastAsia="Calibri"/>
        </w:rPr>
      </w:pPr>
      <w:r w:rsidRPr="00C56257">
        <w:rPr>
          <w:rFonts w:eastAsia="Calibri"/>
        </w:rPr>
        <w:t>ROS</w:t>
      </w:r>
      <w:r w:rsidR="00D64F27">
        <w:rPr>
          <w:rFonts w:eastAsia="Calibri"/>
        </w:rPr>
        <w:t>AC</w:t>
      </w:r>
      <w:r w:rsidRPr="00C56257">
        <w:rPr>
          <w:rFonts w:eastAsia="Calibri"/>
        </w:rPr>
        <w:t>0027 Cheile Bicazului - Hășmaș *</w:t>
      </w:r>
    </w:p>
    <w:p w14:paraId="7D987D33" w14:textId="77777777" w:rsidR="0007555D" w:rsidRPr="00C56257" w:rsidRDefault="0007555D" w:rsidP="008E33FD">
      <w:pPr>
        <w:spacing w:line="259" w:lineRule="auto"/>
        <w:contextualSpacing/>
        <w:jc w:val="both"/>
        <w:rPr>
          <w:rFonts w:eastAsia="Calibri"/>
        </w:rPr>
      </w:pPr>
      <w:r w:rsidRPr="00C56257">
        <w:rPr>
          <w:rFonts w:eastAsia="Calibri"/>
        </w:rPr>
        <w:t>ROS</w:t>
      </w:r>
      <w:r w:rsidR="00D64F27">
        <w:rPr>
          <w:rFonts w:eastAsia="Calibri"/>
        </w:rPr>
        <w:t>AC</w:t>
      </w:r>
      <w:r w:rsidRPr="00C56257">
        <w:rPr>
          <w:rFonts w:eastAsia="Calibri"/>
        </w:rPr>
        <w:t>0033 Cheile Șugăului – Munticelu</w:t>
      </w:r>
    </w:p>
    <w:p w14:paraId="5E07F993" w14:textId="77777777" w:rsidR="0007555D" w:rsidRPr="00C56257" w:rsidRDefault="0007555D" w:rsidP="008E33FD">
      <w:pPr>
        <w:spacing w:line="259" w:lineRule="auto"/>
        <w:contextualSpacing/>
        <w:jc w:val="both"/>
        <w:rPr>
          <w:rFonts w:eastAsia="Calibri"/>
        </w:rPr>
      </w:pPr>
      <w:r w:rsidRPr="00C56257">
        <w:rPr>
          <w:rFonts w:eastAsia="Calibri"/>
        </w:rPr>
        <w:t>ROSCI0038 Ciucaș *</w:t>
      </w:r>
    </w:p>
    <w:p w14:paraId="72FE538B"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0046 Cozia</w:t>
      </w:r>
    </w:p>
    <w:p w14:paraId="21D7DEDA" w14:textId="77777777" w:rsidR="0007555D" w:rsidRPr="00C56257" w:rsidRDefault="0007555D" w:rsidP="008E33FD">
      <w:pPr>
        <w:spacing w:line="259" w:lineRule="auto"/>
        <w:contextualSpacing/>
        <w:jc w:val="both"/>
        <w:rPr>
          <w:rFonts w:eastAsia="Calibri"/>
        </w:rPr>
      </w:pPr>
      <w:r w:rsidRPr="00C56257">
        <w:rPr>
          <w:rFonts w:eastAsia="Calibri"/>
        </w:rPr>
        <w:t>RO</w:t>
      </w:r>
      <w:r w:rsidR="00274880">
        <w:rPr>
          <w:rFonts w:eastAsia="Calibri"/>
        </w:rPr>
        <w:t>AC</w:t>
      </w:r>
      <w:r w:rsidRPr="00C56257">
        <w:rPr>
          <w:rFonts w:eastAsia="Calibri"/>
        </w:rPr>
        <w:t>I0047 Creasta Nemirei</w:t>
      </w:r>
    </w:p>
    <w:p w14:paraId="718D25A3" w14:textId="77777777" w:rsidR="0007555D" w:rsidRPr="00C56257" w:rsidRDefault="0007555D" w:rsidP="008E33FD">
      <w:pPr>
        <w:spacing w:line="259" w:lineRule="auto"/>
        <w:contextualSpacing/>
        <w:jc w:val="both"/>
        <w:rPr>
          <w:rFonts w:eastAsia="Calibri"/>
        </w:rPr>
      </w:pPr>
      <w:r w:rsidRPr="00C56257">
        <w:rPr>
          <w:rFonts w:eastAsia="Calibri"/>
        </w:rPr>
        <w:t>ROSCI0051 Cușma *</w:t>
      </w:r>
    </w:p>
    <w:p w14:paraId="4EE9D341" w14:textId="77777777" w:rsidR="0007555D" w:rsidRPr="00C56257" w:rsidRDefault="0007555D" w:rsidP="008E33FD">
      <w:pPr>
        <w:spacing w:line="259" w:lineRule="auto"/>
        <w:contextualSpacing/>
        <w:jc w:val="both"/>
        <w:rPr>
          <w:rFonts w:eastAsia="Calibri"/>
        </w:rPr>
      </w:pPr>
      <w:r w:rsidRPr="00C56257">
        <w:rPr>
          <w:rFonts w:eastAsia="Calibri"/>
        </w:rPr>
        <w:t>ROSCI0052 Dăncioanea</w:t>
      </w:r>
    </w:p>
    <w:p w14:paraId="7B5A33F6"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0062 Defileul Crișului Repede - Pădurea Craiului</w:t>
      </w:r>
    </w:p>
    <w:p w14:paraId="4E884BEB" w14:textId="77777777" w:rsidR="0007555D" w:rsidRPr="00C56257" w:rsidRDefault="0007555D" w:rsidP="008E33FD">
      <w:pPr>
        <w:spacing w:line="259" w:lineRule="auto"/>
        <w:contextualSpacing/>
        <w:jc w:val="both"/>
        <w:rPr>
          <w:rFonts w:eastAsia="Calibri"/>
        </w:rPr>
      </w:pPr>
      <w:r w:rsidRPr="00C56257">
        <w:rPr>
          <w:rFonts w:eastAsia="Calibri"/>
        </w:rPr>
        <w:t>ROSCI0063 Defileul Jiului</w:t>
      </w:r>
    </w:p>
    <w:p w14:paraId="5DD55168"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0069 Domogled - Valea Cernei</w:t>
      </w:r>
    </w:p>
    <w:p w14:paraId="5BA0F738"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0085 Frumoasa *</w:t>
      </w:r>
    </w:p>
    <w:p w14:paraId="49390386"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0086 Găina - Lucina</w:t>
      </w:r>
    </w:p>
    <w:p w14:paraId="2B48FFE7" w14:textId="77777777" w:rsidR="0007555D" w:rsidRPr="00C56257" w:rsidRDefault="0007555D" w:rsidP="008E33FD">
      <w:pPr>
        <w:spacing w:line="259" w:lineRule="auto"/>
        <w:contextualSpacing/>
        <w:jc w:val="both"/>
        <w:rPr>
          <w:rFonts w:eastAsia="Calibri"/>
        </w:rPr>
      </w:pPr>
      <w:r w:rsidRPr="00C56257">
        <w:rPr>
          <w:rFonts w:eastAsia="Calibri"/>
        </w:rPr>
        <w:t>ROSCI0087 Grădiștea Muncelului - Cioclovina</w:t>
      </w:r>
    </w:p>
    <w:p w14:paraId="2A8DFAB0" w14:textId="77777777" w:rsidR="0007555D" w:rsidRPr="00C56257" w:rsidRDefault="0007555D" w:rsidP="008E33FD">
      <w:pPr>
        <w:spacing w:line="259" w:lineRule="auto"/>
        <w:contextualSpacing/>
        <w:jc w:val="both"/>
        <w:rPr>
          <w:rFonts w:eastAsia="Calibri"/>
        </w:rPr>
      </w:pPr>
      <w:r w:rsidRPr="00C56257">
        <w:rPr>
          <w:rFonts w:eastAsia="Calibri"/>
        </w:rPr>
        <w:t>RO</w:t>
      </w:r>
      <w:r w:rsidR="00274880">
        <w:rPr>
          <w:rFonts w:eastAsia="Calibri"/>
        </w:rPr>
        <w:t>SAC</w:t>
      </w:r>
      <w:r w:rsidRPr="00C56257">
        <w:rPr>
          <w:rFonts w:eastAsia="Calibri"/>
        </w:rPr>
        <w:t>0090 Harghita Mădăraș *</w:t>
      </w:r>
    </w:p>
    <w:p w14:paraId="23D70D80"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0091 Herculian</w:t>
      </w:r>
    </w:p>
    <w:p w14:paraId="0C2DBFFE" w14:textId="77777777" w:rsidR="0007555D" w:rsidRPr="00C56257" w:rsidRDefault="0007555D" w:rsidP="008E33FD">
      <w:pPr>
        <w:spacing w:line="259" w:lineRule="auto"/>
        <w:contextualSpacing/>
        <w:jc w:val="both"/>
        <w:rPr>
          <w:rFonts w:eastAsia="Calibri"/>
        </w:rPr>
      </w:pPr>
      <w:r w:rsidRPr="00C56257">
        <w:rPr>
          <w:rFonts w:eastAsia="Calibri"/>
        </w:rPr>
        <w:t>ROSCI0092 Igniș</w:t>
      </w:r>
    </w:p>
    <w:p w14:paraId="522B3A9B"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0101 Larion</w:t>
      </w:r>
    </w:p>
    <w:p w14:paraId="5F742326"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0102 Leaota</w:t>
      </w:r>
    </w:p>
    <w:p w14:paraId="057556A7" w14:textId="77777777" w:rsidR="0007555D" w:rsidRPr="00C56257" w:rsidRDefault="0007555D" w:rsidP="008E33FD">
      <w:pPr>
        <w:spacing w:line="259" w:lineRule="auto"/>
        <w:contextualSpacing/>
        <w:jc w:val="both"/>
        <w:rPr>
          <w:rFonts w:eastAsia="Calibri"/>
        </w:rPr>
      </w:pPr>
      <w:r w:rsidRPr="00C56257">
        <w:rPr>
          <w:rFonts w:eastAsia="Calibri"/>
        </w:rPr>
        <w:t>ROSCI0116 Molhașurile Căpățânei</w:t>
      </w:r>
    </w:p>
    <w:p w14:paraId="018A0316"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0119 Muntele Mare</w:t>
      </w:r>
    </w:p>
    <w:p w14:paraId="26A5223C"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0122 Munții Făgăraș *</w:t>
      </w:r>
    </w:p>
    <w:p w14:paraId="281F16F7" w14:textId="77777777" w:rsidR="0007555D" w:rsidRPr="00C56257" w:rsidRDefault="0007555D" w:rsidP="008E33FD">
      <w:pPr>
        <w:spacing w:line="259" w:lineRule="auto"/>
        <w:contextualSpacing/>
        <w:jc w:val="both"/>
        <w:rPr>
          <w:rFonts w:eastAsia="Calibri"/>
        </w:rPr>
      </w:pPr>
      <w:r w:rsidRPr="00C56257">
        <w:rPr>
          <w:rFonts w:eastAsia="Calibri"/>
        </w:rPr>
        <w:t>RO</w:t>
      </w:r>
      <w:r w:rsidR="00274880">
        <w:rPr>
          <w:rFonts w:eastAsia="Calibri"/>
        </w:rPr>
        <w:t>SAC</w:t>
      </w:r>
      <w:r w:rsidRPr="00C56257">
        <w:rPr>
          <w:rFonts w:eastAsia="Calibri"/>
        </w:rPr>
        <w:t>0124 Munții Maramureșului *</w:t>
      </w:r>
    </w:p>
    <w:p w14:paraId="4BC0C56E" w14:textId="77777777" w:rsidR="0007555D" w:rsidRPr="00C56257" w:rsidRDefault="0007555D" w:rsidP="008E33FD">
      <w:pPr>
        <w:spacing w:line="259" w:lineRule="auto"/>
        <w:contextualSpacing/>
        <w:jc w:val="both"/>
        <w:rPr>
          <w:rFonts w:eastAsia="Calibri"/>
        </w:rPr>
      </w:pPr>
      <w:r w:rsidRPr="00C56257">
        <w:rPr>
          <w:rFonts w:eastAsia="Calibri"/>
        </w:rPr>
        <w:t>ROSCI0125 Munții Rodnei *</w:t>
      </w:r>
    </w:p>
    <w:p w14:paraId="3D62D7ED" w14:textId="77777777" w:rsidR="0007555D" w:rsidRPr="00C56257" w:rsidRDefault="0007555D" w:rsidP="008E33FD">
      <w:pPr>
        <w:spacing w:line="259" w:lineRule="auto"/>
        <w:contextualSpacing/>
        <w:jc w:val="both"/>
        <w:rPr>
          <w:rFonts w:eastAsia="Calibri"/>
        </w:rPr>
      </w:pPr>
      <w:r w:rsidRPr="00C56257">
        <w:rPr>
          <w:rFonts w:eastAsia="Calibri"/>
        </w:rPr>
        <w:t>ROSCI0126 Munții Țarcu</w:t>
      </w:r>
    </w:p>
    <w:p w14:paraId="140281DB" w14:textId="77777777" w:rsidR="0007555D" w:rsidRPr="00C56257" w:rsidRDefault="0007555D" w:rsidP="008E33FD">
      <w:pPr>
        <w:spacing w:line="259" w:lineRule="auto"/>
        <w:contextualSpacing/>
        <w:jc w:val="both"/>
        <w:rPr>
          <w:rFonts w:eastAsia="Calibri"/>
        </w:rPr>
      </w:pPr>
      <w:r w:rsidRPr="00C56257">
        <w:rPr>
          <w:rFonts w:eastAsia="Calibri"/>
        </w:rPr>
        <w:t>ROSCI0127 Muntioru Ursoaia</w:t>
      </w:r>
    </w:p>
    <w:p w14:paraId="3F3C7178"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0128 Nordul Gorjului de Est</w:t>
      </w:r>
    </w:p>
    <w:p w14:paraId="0CD9EA4E"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0129 Nordul Gorjului de Vest *</w:t>
      </w:r>
    </w:p>
    <w:p w14:paraId="1EFE606B"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0130 Oituz - Ojdula</w:t>
      </w:r>
    </w:p>
    <w:p w14:paraId="1FC5B78C" w14:textId="77777777" w:rsidR="0007555D" w:rsidRPr="00C56257" w:rsidRDefault="0007555D" w:rsidP="008E33FD">
      <w:pPr>
        <w:spacing w:line="259" w:lineRule="auto"/>
        <w:contextualSpacing/>
        <w:jc w:val="both"/>
        <w:rPr>
          <w:rFonts w:eastAsia="Calibri"/>
        </w:rPr>
      </w:pPr>
      <w:r w:rsidRPr="00C56257">
        <w:rPr>
          <w:rFonts w:eastAsia="Calibri"/>
        </w:rPr>
        <w:t>ROSCI0156 Munții Goșman</w:t>
      </w:r>
    </w:p>
    <w:p w14:paraId="7F1F450E"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0188 Parâng *</w:t>
      </w:r>
    </w:p>
    <w:p w14:paraId="6DA92A10"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0190 Penteleu *</w:t>
      </w:r>
    </w:p>
    <w:p w14:paraId="0DBF8AF2" w14:textId="77777777" w:rsidR="0007555D" w:rsidRPr="00C56257" w:rsidRDefault="0007555D" w:rsidP="008E33FD">
      <w:pPr>
        <w:spacing w:line="259" w:lineRule="auto"/>
        <w:contextualSpacing/>
        <w:jc w:val="both"/>
        <w:rPr>
          <w:rFonts w:eastAsia="Calibri"/>
        </w:rPr>
      </w:pPr>
      <w:r w:rsidRPr="00C56257">
        <w:rPr>
          <w:rFonts w:eastAsia="Calibri"/>
        </w:rPr>
        <w:t>ROSCI0193 Peștera Tăușoare</w:t>
      </w:r>
    </w:p>
    <w:p w14:paraId="08422562"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0194 Piatra Craiului *</w:t>
      </w:r>
    </w:p>
    <w:p w14:paraId="6CA0CE4E" w14:textId="77777777" w:rsidR="0007555D" w:rsidRPr="00C56257" w:rsidRDefault="0007555D" w:rsidP="008E33FD">
      <w:pPr>
        <w:spacing w:line="259" w:lineRule="auto"/>
        <w:contextualSpacing/>
        <w:jc w:val="both"/>
        <w:rPr>
          <w:rFonts w:eastAsia="Calibri"/>
        </w:rPr>
      </w:pPr>
      <w:r w:rsidRPr="00C56257">
        <w:rPr>
          <w:rFonts w:eastAsia="Calibri"/>
        </w:rPr>
        <w:t>ROSCI0195 Piatra Mare</w:t>
      </w:r>
    </w:p>
    <w:p w14:paraId="70177EE5"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0196 Pietrosul Broștenilor - Cheile Zugrenilor *</w:t>
      </w:r>
    </w:p>
    <w:p w14:paraId="506BFB12" w14:textId="77777777" w:rsidR="0007555D" w:rsidRPr="00C56257" w:rsidRDefault="0007555D" w:rsidP="008E33FD">
      <w:pPr>
        <w:spacing w:line="259" w:lineRule="auto"/>
        <w:contextualSpacing/>
        <w:jc w:val="both"/>
        <w:rPr>
          <w:rFonts w:eastAsia="Calibri"/>
        </w:rPr>
      </w:pPr>
      <w:r w:rsidRPr="00C56257">
        <w:rPr>
          <w:rFonts w:eastAsia="Calibri"/>
        </w:rPr>
        <w:t>ROSCI0207 Postăvarul *</w:t>
      </w:r>
    </w:p>
    <w:p w14:paraId="598BC052"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V</w:t>
      </w:r>
      <w:r w:rsidRPr="00C56257">
        <w:rPr>
          <w:rFonts w:eastAsia="Calibri"/>
        </w:rPr>
        <w:t>0208 Putna - Vrancea *</w:t>
      </w:r>
    </w:p>
    <w:p w14:paraId="615E015F"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0212 Rarău - Giumalău</w:t>
      </w:r>
    </w:p>
    <w:p w14:paraId="6E6795D1" w14:textId="77777777" w:rsidR="0007555D" w:rsidRPr="00C56257" w:rsidRDefault="0007555D" w:rsidP="008E33FD">
      <w:pPr>
        <w:spacing w:line="259" w:lineRule="auto"/>
        <w:contextualSpacing/>
        <w:jc w:val="both"/>
        <w:rPr>
          <w:rFonts w:eastAsia="Calibri"/>
        </w:rPr>
      </w:pPr>
      <w:r w:rsidRPr="00C56257">
        <w:rPr>
          <w:rFonts w:eastAsia="Calibri"/>
        </w:rPr>
        <w:t>ROSCI0217 Retezat *</w:t>
      </w:r>
    </w:p>
    <w:p w14:paraId="16EB59E1" w14:textId="77777777" w:rsidR="0007555D" w:rsidRPr="00C56257" w:rsidRDefault="0007555D" w:rsidP="008E33FD">
      <w:pPr>
        <w:spacing w:line="259" w:lineRule="auto"/>
        <w:contextualSpacing/>
        <w:jc w:val="both"/>
        <w:rPr>
          <w:rFonts w:eastAsia="Calibri"/>
        </w:rPr>
      </w:pPr>
      <w:r w:rsidRPr="00C56257">
        <w:rPr>
          <w:rFonts w:eastAsia="Calibri"/>
        </w:rPr>
        <w:t>ROSCI0228 Șindrilița</w:t>
      </w:r>
    </w:p>
    <w:p w14:paraId="5DE3D664" w14:textId="77777777" w:rsidR="0007555D" w:rsidRPr="00C56257" w:rsidRDefault="0007555D" w:rsidP="008E33FD">
      <w:pPr>
        <w:spacing w:line="259" w:lineRule="auto"/>
        <w:contextualSpacing/>
        <w:jc w:val="both"/>
        <w:rPr>
          <w:rFonts w:eastAsia="Calibri"/>
        </w:rPr>
      </w:pPr>
      <w:r w:rsidRPr="00C56257">
        <w:rPr>
          <w:rFonts w:eastAsia="Calibri"/>
        </w:rPr>
        <w:t>ROS</w:t>
      </w:r>
      <w:r w:rsidR="00274880">
        <w:rPr>
          <w:rFonts w:eastAsia="Calibri"/>
        </w:rPr>
        <w:t>AC</w:t>
      </w:r>
      <w:r w:rsidRPr="00C56257">
        <w:rPr>
          <w:rFonts w:eastAsia="Calibri"/>
        </w:rPr>
        <w:t>0229 Siriu</w:t>
      </w:r>
    </w:p>
    <w:p w14:paraId="08A4A960" w14:textId="77777777" w:rsidR="0007555D" w:rsidRPr="00C56257" w:rsidRDefault="0007555D" w:rsidP="008E33FD">
      <w:pPr>
        <w:spacing w:line="259" w:lineRule="auto"/>
        <w:contextualSpacing/>
        <w:jc w:val="both"/>
        <w:rPr>
          <w:rFonts w:eastAsia="Calibri"/>
        </w:rPr>
      </w:pPr>
      <w:r w:rsidRPr="00C56257">
        <w:rPr>
          <w:rFonts w:eastAsia="Calibri"/>
        </w:rPr>
        <w:lastRenderedPageBreak/>
        <w:t>ROS</w:t>
      </w:r>
      <w:r w:rsidR="00F66B22">
        <w:rPr>
          <w:rFonts w:eastAsia="Calibri"/>
        </w:rPr>
        <w:t>AC</w:t>
      </w:r>
      <w:r w:rsidRPr="00C56257">
        <w:rPr>
          <w:rFonts w:eastAsia="Calibri"/>
        </w:rPr>
        <w:t>0230 Slănic</w:t>
      </w:r>
    </w:p>
    <w:p w14:paraId="300282B2" w14:textId="77777777" w:rsidR="0007555D" w:rsidRPr="00C56257" w:rsidRDefault="0007555D" w:rsidP="008E33FD">
      <w:pPr>
        <w:spacing w:line="259" w:lineRule="auto"/>
        <w:contextualSpacing/>
        <w:jc w:val="both"/>
        <w:rPr>
          <w:rFonts w:eastAsia="Calibri"/>
        </w:rPr>
      </w:pPr>
      <w:r w:rsidRPr="00C56257">
        <w:rPr>
          <w:rFonts w:eastAsia="Calibri"/>
        </w:rPr>
        <w:t>ROS</w:t>
      </w:r>
      <w:r w:rsidR="00F66B22">
        <w:rPr>
          <w:rFonts w:eastAsia="Calibri"/>
        </w:rPr>
        <w:t>AC</w:t>
      </w:r>
      <w:r w:rsidRPr="00C56257">
        <w:rPr>
          <w:rFonts w:eastAsia="Calibri"/>
        </w:rPr>
        <w:t>0233 Someșul Rece *</w:t>
      </w:r>
    </w:p>
    <w:p w14:paraId="6B5CB0B1" w14:textId="77777777" w:rsidR="0007555D" w:rsidRPr="00C56257" w:rsidRDefault="0007555D" w:rsidP="008E33FD">
      <w:pPr>
        <w:spacing w:line="259" w:lineRule="auto"/>
        <w:contextualSpacing/>
        <w:jc w:val="both"/>
        <w:rPr>
          <w:rFonts w:eastAsia="Calibri"/>
        </w:rPr>
      </w:pPr>
      <w:r w:rsidRPr="00C56257">
        <w:rPr>
          <w:rFonts w:eastAsia="Calibri"/>
        </w:rPr>
        <w:t>ROSCI0236 Strei - Hațeg *</w:t>
      </w:r>
    </w:p>
    <w:p w14:paraId="5DF361D2" w14:textId="77777777" w:rsidR="0007555D" w:rsidRPr="00C56257" w:rsidRDefault="0007555D" w:rsidP="008E33FD">
      <w:pPr>
        <w:spacing w:line="259" w:lineRule="auto"/>
        <w:contextualSpacing/>
        <w:jc w:val="both"/>
        <w:rPr>
          <w:rFonts w:eastAsia="Calibri"/>
        </w:rPr>
      </w:pPr>
      <w:r w:rsidRPr="00C56257">
        <w:rPr>
          <w:rFonts w:eastAsia="Calibri"/>
        </w:rPr>
        <w:t>ROS</w:t>
      </w:r>
      <w:r w:rsidR="00F66B22">
        <w:rPr>
          <w:rFonts w:eastAsia="Calibri"/>
        </w:rPr>
        <w:t>AC</w:t>
      </w:r>
      <w:r w:rsidRPr="00C56257">
        <w:rPr>
          <w:rFonts w:eastAsia="Calibri"/>
        </w:rPr>
        <w:t>0239 Târnovu Mare - Latorița</w:t>
      </w:r>
    </w:p>
    <w:p w14:paraId="5CFCA84D" w14:textId="77777777" w:rsidR="0007555D" w:rsidRPr="00C56257" w:rsidRDefault="0007555D" w:rsidP="008E33FD">
      <w:pPr>
        <w:spacing w:line="259" w:lineRule="auto"/>
        <w:contextualSpacing/>
        <w:jc w:val="both"/>
        <w:rPr>
          <w:rFonts w:eastAsia="Calibri"/>
        </w:rPr>
      </w:pPr>
      <w:r w:rsidRPr="00C56257">
        <w:rPr>
          <w:rFonts w:eastAsia="Calibri"/>
        </w:rPr>
        <w:t>ROSCI0241 Tinovul Apa Lina - Honcsok</w:t>
      </w:r>
    </w:p>
    <w:p w14:paraId="63D18B34" w14:textId="77777777" w:rsidR="0007555D" w:rsidRPr="00C56257" w:rsidRDefault="0007555D" w:rsidP="008E33FD">
      <w:pPr>
        <w:spacing w:line="259" w:lineRule="auto"/>
        <w:contextualSpacing/>
        <w:jc w:val="both"/>
        <w:rPr>
          <w:rFonts w:eastAsia="Calibri"/>
        </w:rPr>
      </w:pPr>
      <w:r w:rsidRPr="00C56257">
        <w:rPr>
          <w:rFonts w:eastAsia="Calibri"/>
        </w:rPr>
        <w:t>ROS</w:t>
      </w:r>
      <w:r w:rsidR="00F66B22">
        <w:rPr>
          <w:rFonts w:eastAsia="Calibri"/>
        </w:rPr>
        <w:t>AC</w:t>
      </w:r>
      <w:r w:rsidRPr="00C56257">
        <w:rPr>
          <w:rFonts w:eastAsia="Calibri"/>
        </w:rPr>
        <w:t>0243 Tinovul de la Dealul Albinelor</w:t>
      </w:r>
    </w:p>
    <w:p w14:paraId="78D6460B" w14:textId="77777777" w:rsidR="0007555D" w:rsidRPr="00C56257" w:rsidRDefault="0007555D" w:rsidP="008E33FD">
      <w:pPr>
        <w:spacing w:line="259" w:lineRule="auto"/>
        <w:contextualSpacing/>
        <w:jc w:val="both"/>
        <w:rPr>
          <w:rFonts w:eastAsia="Calibri"/>
        </w:rPr>
      </w:pPr>
      <w:r w:rsidRPr="00C56257">
        <w:rPr>
          <w:rFonts w:eastAsia="Calibri"/>
        </w:rPr>
        <w:t>ROS</w:t>
      </w:r>
      <w:r w:rsidR="00F66B22">
        <w:rPr>
          <w:rFonts w:eastAsia="Calibri"/>
        </w:rPr>
        <w:t>AC</w:t>
      </w:r>
      <w:r w:rsidRPr="00C56257">
        <w:rPr>
          <w:rFonts w:eastAsia="Calibri"/>
        </w:rPr>
        <w:t>0244 Tinovul de la Fântâna Brazilor</w:t>
      </w:r>
    </w:p>
    <w:p w14:paraId="4F4A1360" w14:textId="77777777" w:rsidR="0007555D" w:rsidRPr="00C56257" w:rsidRDefault="0007555D" w:rsidP="008E33FD">
      <w:pPr>
        <w:spacing w:line="259" w:lineRule="auto"/>
        <w:contextualSpacing/>
        <w:jc w:val="both"/>
        <w:rPr>
          <w:rFonts w:eastAsia="Calibri"/>
        </w:rPr>
      </w:pPr>
      <w:r w:rsidRPr="00C56257">
        <w:rPr>
          <w:rFonts w:eastAsia="Calibri"/>
        </w:rPr>
        <w:t>ROS</w:t>
      </w:r>
      <w:r w:rsidR="00F66B22">
        <w:rPr>
          <w:rFonts w:eastAsia="Calibri"/>
        </w:rPr>
        <w:t>AC</w:t>
      </w:r>
      <w:r w:rsidRPr="00C56257">
        <w:rPr>
          <w:rFonts w:eastAsia="Calibri"/>
        </w:rPr>
        <w:t>0245 Tinovul de la Românești</w:t>
      </w:r>
    </w:p>
    <w:p w14:paraId="67D61B9F" w14:textId="77777777" w:rsidR="0007555D" w:rsidRPr="00C56257" w:rsidRDefault="0007555D" w:rsidP="008E33FD">
      <w:pPr>
        <w:spacing w:line="259" w:lineRule="auto"/>
        <w:contextualSpacing/>
        <w:jc w:val="both"/>
        <w:rPr>
          <w:rFonts w:eastAsia="Calibri"/>
        </w:rPr>
      </w:pPr>
      <w:r w:rsidRPr="00C56257">
        <w:rPr>
          <w:rFonts w:eastAsia="Calibri"/>
        </w:rPr>
        <w:t>ROSCI0246 Tinovul Luci</w:t>
      </w:r>
    </w:p>
    <w:p w14:paraId="1BEE831F" w14:textId="77777777" w:rsidR="0007555D" w:rsidRPr="00C56257" w:rsidRDefault="0007555D" w:rsidP="008E33FD">
      <w:pPr>
        <w:spacing w:line="259" w:lineRule="auto"/>
        <w:contextualSpacing/>
        <w:jc w:val="both"/>
        <w:rPr>
          <w:rFonts w:eastAsia="Calibri"/>
        </w:rPr>
      </w:pPr>
      <w:r w:rsidRPr="00C56257">
        <w:rPr>
          <w:rFonts w:eastAsia="Calibri"/>
        </w:rPr>
        <w:t>ROS</w:t>
      </w:r>
      <w:r w:rsidR="00F66B22">
        <w:rPr>
          <w:rFonts w:eastAsia="Calibri"/>
        </w:rPr>
        <w:t>AC</w:t>
      </w:r>
      <w:r w:rsidRPr="00C56257">
        <w:rPr>
          <w:rFonts w:eastAsia="Calibri"/>
        </w:rPr>
        <w:t>0247 Tinovul Mare Poiana Stampei *</w:t>
      </w:r>
    </w:p>
    <w:p w14:paraId="2829065E" w14:textId="77777777" w:rsidR="0007555D" w:rsidRPr="00C56257" w:rsidRDefault="0007555D" w:rsidP="008E33FD">
      <w:pPr>
        <w:spacing w:line="259" w:lineRule="auto"/>
        <w:contextualSpacing/>
        <w:jc w:val="both"/>
        <w:rPr>
          <w:rFonts w:eastAsia="Calibri"/>
        </w:rPr>
      </w:pPr>
      <w:r w:rsidRPr="00C56257">
        <w:rPr>
          <w:rFonts w:eastAsia="Calibri"/>
        </w:rPr>
        <w:t>ROS</w:t>
      </w:r>
      <w:r w:rsidR="00F66B22">
        <w:rPr>
          <w:rFonts w:eastAsia="Calibri"/>
        </w:rPr>
        <w:t>AC</w:t>
      </w:r>
      <w:r w:rsidRPr="00C56257">
        <w:rPr>
          <w:rFonts w:eastAsia="Calibri"/>
        </w:rPr>
        <w:t>0248 Tinovul Mohoș - Lacul Sf. Ana</w:t>
      </w:r>
    </w:p>
    <w:p w14:paraId="48E61046" w14:textId="77777777" w:rsidR="0007555D" w:rsidRPr="00C56257" w:rsidRDefault="0007555D" w:rsidP="008E33FD">
      <w:pPr>
        <w:spacing w:line="259" w:lineRule="auto"/>
        <w:contextualSpacing/>
        <w:jc w:val="both"/>
        <w:rPr>
          <w:rFonts w:eastAsia="Calibri"/>
        </w:rPr>
      </w:pPr>
      <w:r w:rsidRPr="00C56257">
        <w:rPr>
          <w:rFonts w:eastAsia="Calibri"/>
        </w:rPr>
        <w:t>ROS</w:t>
      </w:r>
      <w:r w:rsidR="00F66B22">
        <w:rPr>
          <w:rFonts w:eastAsia="Calibri"/>
        </w:rPr>
        <w:t>AC</w:t>
      </w:r>
      <w:r w:rsidRPr="00C56257">
        <w:rPr>
          <w:rFonts w:eastAsia="Calibri"/>
        </w:rPr>
        <w:t>0253 Trascău</w:t>
      </w:r>
    </w:p>
    <w:p w14:paraId="3D0B3C40" w14:textId="77777777" w:rsidR="0007555D" w:rsidRPr="00C56257" w:rsidRDefault="0007555D" w:rsidP="008E33FD">
      <w:pPr>
        <w:spacing w:line="259" w:lineRule="auto"/>
        <w:contextualSpacing/>
        <w:jc w:val="both"/>
        <w:rPr>
          <w:rFonts w:eastAsia="Calibri"/>
        </w:rPr>
      </w:pPr>
      <w:r w:rsidRPr="00C56257">
        <w:rPr>
          <w:rFonts w:eastAsia="Calibri"/>
        </w:rPr>
        <w:t>ROSCI0256 Turbăria Ruginosu Zagon</w:t>
      </w:r>
    </w:p>
    <w:p w14:paraId="73132F86" w14:textId="77777777" w:rsidR="0007555D" w:rsidRPr="00C56257" w:rsidRDefault="0007555D" w:rsidP="008E33FD">
      <w:pPr>
        <w:spacing w:line="259" w:lineRule="auto"/>
        <w:contextualSpacing/>
        <w:jc w:val="both"/>
        <w:rPr>
          <w:rFonts w:eastAsia="Calibri"/>
        </w:rPr>
      </w:pPr>
      <w:r w:rsidRPr="00C56257">
        <w:rPr>
          <w:rFonts w:eastAsia="Calibri"/>
        </w:rPr>
        <w:t>ROS</w:t>
      </w:r>
      <w:r w:rsidR="00F66B22">
        <w:rPr>
          <w:rFonts w:eastAsia="Calibri"/>
        </w:rPr>
        <w:t>AC</w:t>
      </w:r>
      <w:r w:rsidRPr="00C56257">
        <w:rPr>
          <w:rFonts w:eastAsia="Calibri"/>
        </w:rPr>
        <w:t>0260 Valea Cepelor</w:t>
      </w:r>
    </w:p>
    <w:p w14:paraId="4213246F" w14:textId="77777777" w:rsidR="0007555D" w:rsidRPr="00C56257" w:rsidRDefault="0007555D" w:rsidP="008E33FD">
      <w:pPr>
        <w:spacing w:line="259" w:lineRule="auto"/>
        <w:contextualSpacing/>
        <w:jc w:val="both"/>
        <w:rPr>
          <w:rFonts w:eastAsia="Calibri"/>
        </w:rPr>
      </w:pPr>
      <w:r w:rsidRPr="00C56257">
        <w:rPr>
          <w:rFonts w:eastAsia="Calibri"/>
        </w:rPr>
        <w:t>ROS</w:t>
      </w:r>
      <w:r w:rsidR="00F66B22">
        <w:rPr>
          <w:rFonts w:eastAsia="Calibri"/>
        </w:rPr>
        <w:t>AC</w:t>
      </w:r>
      <w:r w:rsidRPr="00C56257">
        <w:rPr>
          <w:rFonts w:eastAsia="Calibri"/>
        </w:rPr>
        <w:t>0262 Valea Iad</w:t>
      </w:r>
      <w:r w:rsidR="00F66B22">
        <w:rPr>
          <w:rFonts w:eastAsia="Calibri"/>
        </w:rPr>
        <w:t>ei</w:t>
      </w:r>
    </w:p>
    <w:p w14:paraId="7369A0CB" w14:textId="77777777" w:rsidR="0007555D" w:rsidRPr="00C56257" w:rsidRDefault="0007555D" w:rsidP="008E33FD">
      <w:pPr>
        <w:spacing w:line="259" w:lineRule="auto"/>
        <w:contextualSpacing/>
        <w:jc w:val="both"/>
        <w:rPr>
          <w:rFonts w:eastAsia="Calibri"/>
        </w:rPr>
      </w:pPr>
      <w:r w:rsidRPr="00C56257">
        <w:rPr>
          <w:rFonts w:eastAsia="Calibri"/>
        </w:rPr>
        <w:t>ROS</w:t>
      </w:r>
      <w:r w:rsidR="00F66B22">
        <w:rPr>
          <w:rFonts w:eastAsia="Calibri"/>
        </w:rPr>
        <w:t>AC</w:t>
      </w:r>
      <w:r w:rsidRPr="00C56257">
        <w:rPr>
          <w:rFonts w:eastAsia="Calibri"/>
        </w:rPr>
        <w:t>0263 Valea Ierii</w:t>
      </w:r>
    </w:p>
    <w:p w14:paraId="364A9038" w14:textId="77777777" w:rsidR="0007555D" w:rsidRPr="00C56257" w:rsidRDefault="0007555D" w:rsidP="008E33FD">
      <w:pPr>
        <w:spacing w:line="259" w:lineRule="auto"/>
        <w:contextualSpacing/>
        <w:jc w:val="both"/>
        <w:rPr>
          <w:rFonts w:eastAsia="Calibri"/>
        </w:rPr>
      </w:pPr>
      <w:r w:rsidRPr="00C56257">
        <w:rPr>
          <w:rFonts w:eastAsia="Calibri"/>
        </w:rPr>
        <w:t>ROSCI0264 Valea Izei și Dealul Solovan</w:t>
      </w:r>
    </w:p>
    <w:p w14:paraId="658B9393" w14:textId="77777777" w:rsidR="0007555D" w:rsidRPr="00C56257" w:rsidRDefault="0007555D" w:rsidP="008E33FD">
      <w:pPr>
        <w:spacing w:line="259" w:lineRule="auto"/>
        <w:contextualSpacing/>
        <w:jc w:val="both"/>
        <w:rPr>
          <w:rFonts w:eastAsia="Calibri"/>
        </w:rPr>
      </w:pPr>
      <w:r w:rsidRPr="00C56257">
        <w:rPr>
          <w:rFonts w:eastAsia="Calibri"/>
        </w:rPr>
        <w:t>ROSCI0285 Codrii seculari de la Strâmbu - Băiuț</w:t>
      </w:r>
    </w:p>
    <w:p w14:paraId="36A9696F" w14:textId="77777777" w:rsidR="0007555D" w:rsidRPr="00C56257" w:rsidRDefault="0007555D" w:rsidP="008E33FD">
      <w:pPr>
        <w:spacing w:line="259" w:lineRule="auto"/>
        <w:contextualSpacing/>
        <w:jc w:val="both"/>
        <w:rPr>
          <w:rFonts w:eastAsia="Calibri"/>
        </w:rPr>
      </w:pPr>
      <w:r w:rsidRPr="00C56257">
        <w:rPr>
          <w:rFonts w:eastAsia="Calibri"/>
        </w:rPr>
        <w:t>ROSCI0292 Coridorul Rusca Montană - Țarcu - Retezat *</w:t>
      </w:r>
    </w:p>
    <w:p w14:paraId="1C3EAAE8" w14:textId="77777777" w:rsidR="0007555D" w:rsidRPr="00C56257" w:rsidRDefault="0007555D" w:rsidP="008E33FD">
      <w:pPr>
        <w:spacing w:line="259" w:lineRule="auto"/>
        <w:contextualSpacing/>
        <w:jc w:val="both"/>
        <w:rPr>
          <w:rFonts w:eastAsia="Calibri"/>
        </w:rPr>
      </w:pPr>
      <w:r w:rsidRPr="00C56257">
        <w:rPr>
          <w:rFonts w:eastAsia="Calibri"/>
        </w:rPr>
        <w:t>ROS</w:t>
      </w:r>
      <w:r w:rsidR="00F66B22">
        <w:rPr>
          <w:rFonts w:eastAsia="Calibri"/>
        </w:rPr>
        <w:t>AC</w:t>
      </w:r>
      <w:r w:rsidRPr="00C56257">
        <w:rPr>
          <w:rFonts w:eastAsia="Calibri"/>
        </w:rPr>
        <w:t>0321 Moldova Superioară</w:t>
      </w:r>
    </w:p>
    <w:p w14:paraId="2B2F491E" w14:textId="77777777" w:rsidR="0007555D" w:rsidRPr="00C56257" w:rsidRDefault="0007555D" w:rsidP="008E33FD">
      <w:pPr>
        <w:spacing w:line="259" w:lineRule="auto"/>
        <w:contextualSpacing/>
        <w:jc w:val="both"/>
        <w:rPr>
          <w:rFonts w:eastAsia="Calibri"/>
        </w:rPr>
      </w:pPr>
      <w:r w:rsidRPr="00C56257">
        <w:rPr>
          <w:rFonts w:eastAsia="Calibri"/>
        </w:rPr>
        <w:t>ROSCI0323 Munții Ciucului *</w:t>
      </w:r>
    </w:p>
    <w:p w14:paraId="5014DEA3" w14:textId="77777777" w:rsidR="0007555D" w:rsidRPr="00C56257" w:rsidRDefault="0007555D" w:rsidP="008E33FD">
      <w:pPr>
        <w:spacing w:line="259" w:lineRule="auto"/>
        <w:contextualSpacing/>
        <w:jc w:val="both"/>
        <w:rPr>
          <w:rFonts w:eastAsia="Calibri"/>
        </w:rPr>
      </w:pPr>
      <w:r w:rsidRPr="00C56257">
        <w:rPr>
          <w:rFonts w:eastAsia="Calibri"/>
        </w:rPr>
        <w:t>ROSCI0324 Munții Bihor *</w:t>
      </w:r>
    </w:p>
    <w:p w14:paraId="4BADEBC8" w14:textId="77777777" w:rsidR="0007555D" w:rsidRPr="00C56257" w:rsidRDefault="0007555D" w:rsidP="008E33FD">
      <w:pPr>
        <w:spacing w:line="259" w:lineRule="auto"/>
        <w:contextualSpacing/>
        <w:jc w:val="both"/>
        <w:rPr>
          <w:rFonts w:eastAsia="Calibri"/>
        </w:rPr>
      </w:pPr>
      <w:r w:rsidRPr="00C56257">
        <w:rPr>
          <w:rFonts w:eastAsia="Calibri"/>
        </w:rPr>
        <w:t>ROSCI0327 Nemira - Lapoș *</w:t>
      </w:r>
    </w:p>
    <w:p w14:paraId="6A3B25F4" w14:textId="77777777" w:rsidR="0007555D" w:rsidRPr="00C56257" w:rsidRDefault="0007555D" w:rsidP="008E33FD">
      <w:pPr>
        <w:spacing w:line="259" w:lineRule="auto"/>
        <w:contextualSpacing/>
        <w:jc w:val="both"/>
        <w:rPr>
          <w:rFonts w:eastAsia="Calibri"/>
        </w:rPr>
      </w:pPr>
      <w:r w:rsidRPr="00C56257">
        <w:rPr>
          <w:rFonts w:eastAsia="Calibri"/>
        </w:rPr>
        <w:t>ROSCI0328 Obcinele Bucovinei *</w:t>
      </w:r>
    </w:p>
    <w:p w14:paraId="7A2BFAB9" w14:textId="77777777" w:rsidR="0007555D" w:rsidRPr="00C56257" w:rsidRDefault="0007555D" w:rsidP="008E33FD">
      <w:pPr>
        <w:spacing w:line="259" w:lineRule="auto"/>
        <w:contextualSpacing/>
        <w:jc w:val="both"/>
        <w:rPr>
          <w:rFonts w:eastAsia="Calibri"/>
        </w:rPr>
      </w:pPr>
      <w:r w:rsidRPr="00C56257">
        <w:rPr>
          <w:rFonts w:eastAsia="Calibri"/>
        </w:rPr>
        <w:t>ROSCI0381 Râul Târgului - Argeșel - Râușor</w:t>
      </w:r>
    </w:p>
    <w:p w14:paraId="043E796E" w14:textId="77777777" w:rsidR="0007555D" w:rsidRPr="00C56257" w:rsidRDefault="0007555D" w:rsidP="008E33FD">
      <w:pPr>
        <w:spacing w:line="259" w:lineRule="auto"/>
        <w:contextualSpacing/>
        <w:jc w:val="both"/>
        <w:rPr>
          <w:rFonts w:eastAsia="Calibri"/>
        </w:rPr>
      </w:pPr>
      <w:r w:rsidRPr="00C56257">
        <w:rPr>
          <w:rFonts w:eastAsia="Calibri"/>
        </w:rPr>
        <w:t>ROS</w:t>
      </w:r>
      <w:r w:rsidR="00F66B22">
        <w:rPr>
          <w:rFonts w:eastAsia="Calibri"/>
        </w:rPr>
        <w:t>AC</w:t>
      </w:r>
      <w:r w:rsidRPr="00C56257">
        <w:rPr>
          <w:rFonts w:eastAsia="Calibri"/>
        </w:rPr>
        <w:t>0395 Soveja</w:t>
      </w:r>
    </w:p>
    <w:p w14:paraId="6BC52BED" w14:textId="77777777" w:rsidR="0007555D" w:rsidRPr="00C56257" w:rsidRDefault="0007555D" w:rsidP="008E33FD">
      <w:pPr>
        <w:spacing w:line="259" w:lineRule="auto"/>
        <w:contextualSpacing/>
        <w:jc w:val="both"/>
        <w:rPr>
          <w:rFonts w:eastAsia="Calibri"/>
        </w:rPr>
      </w:pPr>
      <w:r w:rsidRPr="00C56257">
        <w:rPr>
          <w:rFonts w:eastAsia="Calibri"/>
        </w:rPr>
        <w:t>ROSCI0411 Groșii Țibleșului</w:t>
      </w:r>
    </w:p>
    <w:p w14:paraId="0633216E" w14:textId="77777777" w:rsidR="0007555D" w:rsidRPr="00C56257" w:rsidRDefault="0007555D" w:rsidP="008E33FD">
      <w:pPr>
        <w:spacing w:line="259" w:lineRule="auto"/>
        <w:contextualSpacing/>
        <w:jc w:val="both"/>
        <w:rPr>
          <w:rFonts w:eastAsia="Calibri"/>
        </w:rPr>
      </w:pPr>
      <w:r w:rsidRPr="00C56257">
        <w:rPr>
          <w:rFonts w:eastAsia="Calibri"/>
        </w:rPr>
        <w:t>ROSCI0439 Valea Chiuruților</w:t>
      </w:r>
    </w:p>
    <w:p w14:paraId="72963606" w14:textId="77777777" w:rsidR="0007555D" w:rsidRPr="00C56257" w:rsidRDefault="0007555D" w:rsidP="008E33FD">
      <w:pPr>
        <w:spacing w:line="259" w:lineRule="auto"/>
        <w:contextualSpacing/>
        <w:jc w:val="both"/>
        <w:rPr>
          <w:rFonts w:eastAsia="Calibri"/>
        </w:rPr>
      </w:pPr>
    </w:p>
    <w:p w14:paraId="07A385CF" w14:textId="77777777" w:rsidR="0007555D" w:rsidRPr="00C56257" w:rsidRDefault="0007555D" w:rsidP="008E33FD">
      <w:pPr>
        <w:spacing w:line="259" w:lineRule="auto"/>
        <w:contextualSpacing/>
        <w:jc w:val="both"/>
        <w:rPr>
          <w:rFonts w:eastAsia="Calibri"/>
          <w:b/>
        </w:rPr>
      </w:pPr>
      <w:r w:rsidRPr="00C56257">
        <w:rPr>
          <w:rFonts w:eastAsia="Calibri"/>
          <w:b/>
        </w:rPr>
        <w:sym w:font="Wingdings" w:char="F09F"/>
      </w:r>
      <w:r w:rsidRPr="00C56257">
        <w:rPr>
          <w:rFonts w:eastAsia="Calibri"/>
          <w:b/>
        </w:rPr>
        <w:t xml:space="preserve"> 9420 - Păduri de </w:t>
      </w:r>
      <w:r w:rsidRPr="00C56257">
        <w:rPr>
          <w:rFonts w:eastAsia="Calibri"/>
          <w:b/>
          <w:i/>
          <w:iCs/>
        </w:rPr>
        <w:t>Larix decidua</w:t>
      </w:r>
      <w:r w:rsidRPr="00C56257">
        <w:rPr>
          <w:rFonts w:eastAsia="Calibri"/>
          <w:b/>
        </w:rPr>
        <w:t xml:space="preserve"> și/sau </w:t>
      </w:r>
      <w:r w:rsidRPr="00C56257">
        <w:rPr>
          <w:rFonts w:eastAsia="Calibri"/>
          <w:b/>
          <w:i/>
          <w:iCs/>
        </w:rPr>
        <w:t>Pinus cembra</w:t>
      </w:r>
      <w:r w:rsidRPr="00C56257">
        <w:rPr>
          <w:rFonts w:eastAsia="Calibri"/>
          <w:b/>
        </w:rPr>
        <w:t xml:space="preserve"> din regiunea montană</w:t>
      </w:r>
    </w:p>
    <w:p w14:paraId="275112F8" w14:textId="77777777" w:rsidR="0007555D" w:rsidRPr="00C56257" w:rsidRDefault="0007555D" w:rsidP="008E33FD">
      <w:pPr>
        <w:spacing w:line="259" w:lineRule="auto"/>
        <w:contextualSpacing/>
        <w:jc w:val="both"/>
        <w:rPr>
          <w:rFonts w:eastAsia="Calibri"/>
        </w:rPr>
      </w:pPr>
    </w:p>
    <w:p w14:paraId="6C51737B" w14:textId="77777777" w:rsidR="0007555D" w:rsidRPr="00C56257" w:rsidRDefault="0007555D" w:rsidP="008E33FD">
      <w:pPr>
        <w:spacing w:line="259" w:lineRule="auto"/>
        <w:contextualSpacing/>
        <w:jc w:val="both"/>
        <w:rPr>
          <w:rFonts w:eastAsia="Calibri"/>
        </w:rPr>
      </w:pPr>
      <w:r w:rsidRPr="00C56257">
        <w:rPr>
          <w:rFonts w:eastAsia="Calibri"/>
        </w:rPr>
        <w:t>ROSCI0002 Apuseni *</w:t>
      </w:r>
    </w:p>
    <w:p w14:paraId="0BC82927" w14:textId="77777777" w:rsidR="0007555D" w:rsidRPr="00C56257" w:rsidRDefault="0007555D" w:rsidP="008E33FD">
      <w:pPr>
        <w:spacing w:line="259" w:lineRule="auto"/>
        <w:contextualSpacing/>
        <w:jc w:val="both"/>
        <w:rPr>
          <w:rFonts w:eastAsia="Calibri"/>
        </w:rPr>
      </w:pPr>
      <w:r w:rsidRPr="00C56257">
        <w:rPr>
          <w:rFonts w:eastAsia="Calibri"/>
        </w:rPr>
        <w:t>ROSCI0013 Bucegi *</w:t>
      </w:r>
    </w:p>
    <w:p w14:paraId="18DF6D33" w14:textId="77777777" w:rsidR="0007555D" w:rsidRPr="00C56257" w:rsidRDefault="0007555D" w:rsidP="008E33FD">
      <w:pPr>
        <w:spacing w:line="259" w:lineRule="auto"/>
        <w:contextualSpacing/>
        <w:jc w:val="both"/>
        <w:rPr>
          <w:rFonts w:eastAsia="Calibri"/>
        </w:rPr>
      </w:pPr>
      <w:r w:rsidRPr="00C56257">
        <w:rPr>
          <w:rFonts w:eastAsia="Calibri"/>
        </w:rPr>
        <w:t>ROSCI0019 Călimani - Gurghiu *</w:t>
      </w:r>
    </w:p>
    <w:p w14:paraId="4E6D0190" w14:textId="77777777" w:rsidR="0007555D" w:rsidRPr="00C56257" w:rsidRDefault="0007555D" w:rsidP="008E33FD">
      <w:pPr>
        <w:spacing w:line="259" w:lineRule="auto"/>
        <w:contextualSpacing/>
        <w:jc w:val="both"/>
        <w:rPr>
          <w:rFonts w:eastAsia="Calibri"/>
        </w:rPr>
      </w:pPr>
      <w:r w:rsidRPr="00C56257">
        <w:rPr>
          <w:rFonts w:eastAsia="Calibri"/>
        </w:rPr>
        <w:t>ROS</w:t>
      </w:r>
      <w:r w:rsidR="00F66B22">
        <w:rPr>
          <w:rFonts w:eastAsia="Calibri"/>
        </w:rPr>
        <w:t>AC</w:t>
      </w:r>
      <w:r w:rsidRPr="00C56257">
        <w:rPr>
          <w:rFonts w:eastAsia="Calibri"/>
        </w:rPr>
        <w:t>0024 Ceahlău *</w:t>
      </w:r>
    </w:p>
    <w:p w14:paraId="46E1C874" w14:textId="77777777" w:rsidR="0007555D" w:rsidRPr="00C56257" w:rsidRDefault="0007555D" w:rsidP="008E33FD">
      <w:pPr>
        <w:spacing w:line="259" w:lineRule="auto"/>
        <w:contextualSpacing/>
        <w:jc w:val="both"/>
        <w:rPr>
          <w:rFonts w:eastAsia="Calibri"/>
        </w:rPr>
      </w:pPr>
      <w:r w:rsidRPr="00C56257">
        <w:rPr>
          <w:rFonts w:eastAsia="Calibri"/>
        </w:rPr>
        <w:t>ROSCI0038 Ciucaș</w:t>
      </w:r>
    </w:p>
    <w:p w14:paraId="5ED3ED7E" w14:textId="77777777" w:rsidR="0007555D" w:rsidRPr="00C56257" w:rsidRDefault="0007555D" w:rsidP="008E33FD">
      <w:pPr>
        <w:spacing w:line="259" w:lineRule="auto"/>
        <w:contextualSpacing/>
        <w:jc w:val="both"/>
        <w:rPr>
          <w:rFonts w:eastAsia="Calibri"/>
        </w:rPr>
      </w:pPr>
      <w:r w:rsidRPr="00C56257">
        <w:rPr>
          <w:rFonts w:eastAsia="Calibri"/>
        </w:rPr>
        <w:t>ROS</w:t>
      </w:r>
      <w:r w:rsidR="00C82078">
        <w:rPr>
          <w:rFonts w:eastAsia="Calibri"/>
        </w:rPr>
        <w:t>AC</w:t>
      </w:r>
      <w:r w:rsidRPr="00C56257">
        <w:rPr>
          <w:rFonts w:eastAsia="Calibri"/>
        </w:rPr>
        <w:t>0085 Frumoasa</w:t>
      </w:r>
    </w:p>
    <w:p w14:paraId="034AF56F" w14:textId="77777777" w:rsidR="0007555D" w:rsidRPr="00C56257" w:rsidRDefault="0007555D" w:rsidP="008E33FD">
      <w:pPr>
        <w:spacing w:line="259" w:lineRule="auto"/>
        <w:contextualSpacing/>
        <w:jc w:val="both"/>
        <w:rPr>
          <w:rFonts w:eastAsia="Calibri"/>
        </w:rPr>
      </w:pPr>
      <w:r w:rsidRPr="00C56257">
        <w:rPr>
          <w:rFonts w:eastAsia="Calibri"/>
        </w:rPr>
        <w:t>ROS</w:t>
      </w:r>
      <w:r w:rsidR="00C82078">
        <w:rPr>
          <w:rFonts w:eastAsia="Calibri"/>
        </w:rPr>
        <w:t>AC</w:t>
      </w:r>
      <w:r w:rsidRPr="00C56257">
        <w:rPr>
          <w:rFonts w:eastAsia="Calibri"/>
        </w:rPr>
        <w:t>0122 Munții Făgăraș</w:t>
      </w:r>
    </w:p>
    <w:p w14:paraId="6DB6640F" w14:textId="77777777" w:rsidR="0007555D" w:rsidRPr="00C56257" w:rsidRDefault="0007555D" w:rsidP="008E33FD">
      <w:pPr>
        <w:spacing w:line="259" w:lineRule="auto"/>
        <w:contextualSpacing/>
        <w:jc w:val="both"/>
        <w:rPr>
          <w:rFonts w:eastAsia="Calibri"/>
        </w:rPr>
      </w:pPr>
      <w:r w:rsidRPr="00C56257">
        <w:rPr>
          <w:rFonts w:eastAsia="Calibri"/>
        </w:rPr>
        <w:t>ROSCI0125 Munții Rodnei *</w:t>
      </w:r>
    </w:p>
    <w:p w14:paraId="09299143" w14:textId="77777777" w:rsidR="0007555D" w:rsidRPr="00C56257" w:rsidRDefault="0007555D" w:rsidP="008E33FD">
      <w:pPr>
        <w:spacing w:line="259" w:lineRule="auto"/>
        <w:contextualSpacing/>
        <w:jc w:val="both"/>
        <w:rPr>
          <w:rFonts w:eastAsia="Calibri"/>
        </w:rPr>
      </w:pPr>
      <w:r w:rsidRPr="00C56257">
        <w:rPr>
          <w:rFonts w:eastAsia="Calibri"/>
        </w:rPr>
        <w:t>ROS</w:t>
      </w:r>
      <w:r w:rsidR="00C82078">
        <w:rPr>
          <w:rFonts w:eastAsia="Calibri"/>
        </w:rPr>
        <w:t>AC</w:t>
      </w:r>
      <w:r w:rsidRPr="00C56257">
        <w:rPr>
          <w:rFonts w:eastAsia="Calibri"/>
        </w:rPr>
        <w:t>0188 Parâng</w:t>
      </w:r>
    </w:p>
    <w:p w14:paraId="1AB65A7C" w14:textId="77777777" w:rsidR="0007555D" w:rsidRPr="00C56257" w:rsidRDefault="0007555D" w:rsidP="008E33FD">
      <w:pPr>
        <w:spacing w:line="259" w:lineRule="auto"/>
        <w:contextualSpacing/>
        <w:jc w:val="both"/>
        <w:rPr>
          <w:rFonts w:eastAsia="Calibri"/>
        </w:rPr>
      </w:pPr>
      <w:r w:rsidRPr="00C56257">
        <w:rPr>
          <w:rFonts w:eastAsia="Calibri"/>
        </w:rPr>
        <w:t>ROSCI0193 Peștera Tăușoare</w:t>
      </w:r>
    </w:p>
    <w:p w14:paraId="60BA01CA" w14:textId="77777777" w:rsidR="0007555D" w:rsidRPr="00C56257" w:rsidRDefault="0007555D" w:rsidP="008E33FD">
      <w:pPr>
        <w:spacing w:line="259" w:lineRule="auto"/>
        <w:contextualSpacing/>
        <w:jc w:val="both"/>
        <w:rPr>
          <w:rFonts w:eastAsia="Calibri"/>
        </w:rPr>
      </w:pPr>
      <w:r w:rsidRPr="00C56257">
        <w:rPr>
          <w:rFonts w:eastAsia="Calibri"/>
        </w:rPr>
        <w:t>ROSCI0217 Retezat</w:t>
      </w:r>
    </w:p>
    <w:p w14:paraId="5AE38BCE" w14:textId="77777777" w:rsidR="0007555D" w:rsidRPr="00C56257" w:rsidRDefault="0007555D" w:rsidP="008E33FD">
      <w:pPr>
        <w:spacing w:line="259" w:lineRule="auto"/>
        <w:contextualSpacing/>
        <w:jc w:val="both"/>
        <w:rPr>
          <w:rFonts w:eastAsia="Calibri"/>
        </w:rPr>
      </w:pPr>
      <w:r w:rsidRPr="00C56257">
        <w:rPr>
          <w:rFonts w:eastAsia="Calibri"/>
        </w:rPr>
        <w:t>ROS</w:t>
      </w:r>
      <w:r w:rsidR="00C82078">
        <w:rPr>
          <w:rFonts w:eastAsia="Calibri"/>
        </w:rPr>
        <w:t>AC</w:t>
      </w:r>
      <w:r w:rsidRPr="00C56257">
        <w:rPr>
          <w:rFonts w:eastAsia="Calibri"/>
        </w:rPr>
        <w:t>0239 Târnovu Mare - Latorița</w:t>
      </w:r>
    </w:p>
    <w:p w14:paraId="66774D7A" w14:textId="77777777" w:rsidR="0007555D" w:rsidRPr="00C56257" w:rsidRDefault="0007555D" w:rsidP="008E33FD">
      <w:pPr>
        <w:spacing w:line="259" w:lineRule="auto"/>
        <w:contextualSpacing/>
        <w:jc w:val="both"/>
        <w:rPr>
          <w:rFonts w:eastAsia="Calibri"/>
        </w:rPr>
      </w:pPr>
      <w:r w:rsidRPr="00C56257">
        <w:rPr>
          <w:rFonts w:eastAsia="Calibri"/>
        </w:rPr>
        <w:t>ROS</w:t>
      </w:r>
      <w:r w:rsidR="00C82078">
        <w:rPr>
          <w:rFonts w:eastAsia="Calibri"/>
        </w:rPr>
        <w:t>AC</w:t>
      </w:r>
      <w:r w:rsidRPr="00C56257">
        <w:rPr>
          <w:rFonts w:eastAsia="Calibri"/>
        </w:rPr>
        <w:t>0253 Trascău</w:t>
      </w:r>
    </w:p>
    <w:p w14:paraId="09E433E4" w14:textId="77777777" w:rsidR="0007555D" w:rsidRPr="00C56257" w:rsidRDefault="0007555D" w:rsidP="008E33FD">
      <w:pPr>
        <w:spacing w:line="259" w:lineRule="auto"/>
        <w:contextualSpacing/>
        <w:jc w:val="both"/>
        <w:rPr>
          <w:rFonts w:eastAsia="Calibri"/>
        </w:rPr>
      </w:pPr>
      <w:r w:rsidRPr="00C56257">
        <w:rPr>
          <w:rFonts w:eastAsia="Calibri"/>
        </w:rPr>
        <w:t>ROSCI0323 Munții Ciucului</w:t>
      </w:r>
    </w:p>
    <w:p w14:paraId="12A75AE4" w14:textId="77777777" w:rsidR="0007555D" w:rsidRPr="00C56257" w:rsidRDefault="0007555D" w:rsidP="008E33FD">
      <w:pPr>
        <w:spacing w:line="259" w:lineRule="auto"/>
        <w:contextualSpacing/>
        <w:jc w:val="both"/>
        <w:rPr>
          <w:rFonts w:eastAsia="Calibri"/>
        </w:rPr>
      </w:pPr>
    </w:p>
    <w:p w14:paraId="3956A4FC" w14:textId="77777777" w:rsidR="0007555D" w:rsidRPr="00C56257" w:rsidRDefault="0007555D" w:rsidP="008E33FD">
      <w:pPr>
        <w:spacing w:line="259" w:lineRule="auto"/>
        <w:contextualSpacing/>
        <w:jc w:val="both"/>
        <w:rPr>
          <w:rFonts w:eastAsia="Calibri"/>
          <w:b/>
        </w:rPr>
      </w:pPr>
      <w:r w:rsidRPr="00C56257">
        <w:rPr>
          <w:rFonts w:eastAsia="Calibri"/>
          <w:b/>
        </w:rPr>
        <w:lastRenderedPageBreak/>
        <w:sym w:font="Wingdings" w:char="F09F"/>
      </w:r>
      <w:r w:rsidRPr="00C56257">
        <w:rPr>
          <w:rFonts w:eastAsia="Calibri"/>
          <w:b/>
        </w:rPr>
        <w:t xml:space="preserve"> 9530 </w:t>
      </w:r>
      <w:r w:rsidRPr="00C56257">
        <w:rPr>
          <w:rFonts w:eastAsia="Calibri"/>
          <w:bCs/>
        </w:rPr>
        <w:t>*</w:t>
      </w:r>
      <w:r w:rsidRPr="00C56257">
        <w:rPr>
          <w:rFonts w:eastAsia="Calibri"/>
          <w:b/>
        </w:rPr>
        <w:t xml:space="preserve"> - Păduri (sub)mediteraneene de pini negri endemici</w:t>
      </w:r>
    </w:p>
    <w:p w14:paraId="4C042E50" w14:textId="77777777" w:rsidR="0007555D" w:rsidRPr="00C56257" w:rsidRDefault="0007555D" w:rsidP="008E33FD">
      <w:pPr>
        <w:spacing w:line="259" w:lineRule="auto"/>
        <w:contextualSpacing/>
        <w:jc w:val="both"/>
        <w:rPr>
          <w:rFonts w:eastAsia="Calibri"/>
        </w:rPr>
      </w:pPr>
    </w:p>
    <w:p w14:paraId="577199F0" w14:textId="77777777" w:rsidR="0007555D" w:rsidRPr="00C56257" w:rsidRDefault="0007555D" w:rsidP="008E33FD">
      <w:pPr>
        <w:spacing w:line="259" w:lineRule="auto"/>
        <w:contextualSpacing/>
        <w:jc w:val="both"/>
        <w:rPr>
          <w:rFonts w:eastAsia="Calibri"/>
        </w:rPr>
      </w:pPr>
      <w:r w:rsidRPr="00C56257">
        <w:rPr>
          <w:rFonts w:eastAsia="Calibri"/>
        </w:rPr>
        <w:t>ROS</w:t>
      </w:r>
      <w:r w:rsidR="00C82078">
        <w:rPr>
          <w:rFonts w:eastAsia="Calibri"/>
        </w:rPr>
        <w:t>AC</w:t>
      </w:r>
      <w:r w:rsidRPr="00C56257">
        <w:rPr>
          <w:rFonts w:eastAsia="Calibri"/>
        </w:rPr>
        <w:t>0069 Domogled - Valea Cernei *</w:t>
      </w:r>
    </w:p>
    <w:p w14:paraId="3C2B7516" w14:textId="77777777" w:rsidR="0007555D" w:rsidRPr="00C56257" w:rsidRDefault="0007555D" w:rsidP="008E33FD">
      <w:pPr>
        <w:spacing w:line="259" w:lineRule="auto"/>
        <w:contextualSpacing/>
        <w:jc w:val="both"/>
        <w:rPr>
          <w:rFonts w:eastAsia="Calibri"/>
        </w:rPr>
      </w:pPr>
      <w:r w:rsidRPr="00C56257">
        <w:rPr>
          <w:rFonts w:eastAsia="Calibri"/>
        </w:rPr>
        <w:t>ROS</w:t>
      </w:r>
      <w:r w:rsidR="00C82078">
        <w:rPr>
          <w:rFonts w:eastAsia="Calibri"/>
        </w:rPr>
        <w:t>AC</w:t>
      </w:r>
      <w:r w:rsidRPr="00C56257">
        <w:rPr>
          <w:rFonts w:eastAsia="Calibri"/>
        </w:rPr>
        <w:t>0198 Platoul Mehedinți</w:t>
      </w:r>
    </w:p>
    <w:p w14:paraId="6A37B238" w14:textId="77777777" w:rsidR="0007555D" w:rsidRPr="00C56257" w:rsidRDefault="0007555D" w:rsidP="008E33FD">
      <w:pPr>
        <w:spacing w:line="259" w:lineRule="auto"/>
        <w:contextualSpacing/>
        <w:jc w:val="both"/>
        <w:rPr>
          <w:rFonts w:eastAsia="Calibri"/>
        </w:rPr>
      </w:pPr>
      <w:r w:rsidRPr="00C56257">
        <w:rPr>
          <w:rFonts w:eastAsia="Calibri"/>
        </w:rPr>
        <w:t>ROSCI0206 Porțile de Fier *</w:t>
      </w:r>
    </w:p>
    <w:p w14:paraId="75BCF764" w14:textId="77777777" w:rsidR="0007555D" w:rsidRPr="00C56257" w:rsidRDefault="0007555D" w:rsidP="008E33FD">
      <w:pPr>
        <w:spacing w:line="259" w:lineRule="auto"/>
        <w:contextualSpacing/>
        <w:jc w:val="both"/>
        <w:rPr>
          <w:rFonts w:eastAsia="Calibri"/>
        </w:rPr>
      </w:pPr>
    </w:p>
    <w:p w14:paraId="6D6BAA7E" w14:textId="77777777" w:rsidR="0007555D" w:rsidRPr="00C56257" w:rsidRDefault="00FE0FCD" w:rsidP="00F100E1">
      <w:pPr>
        <w:tabs>
          <w:tab w:val="num" w:pos="360"/>
        </w:tabs>
        <w:spacing w:before="240"/>
        <w:ind w:left="360" w:hanging="360"/>
        <w:jc w:val="both"/>
        <w:rPr>
          <w:b/>
        </w:rPr>
      </w:pPr>
      <w:r>
        <w:rPr>
          <w:b/>
        </w:rPr>
        <w:t>10.5</w:t>
      </w:r>
      <w:r w:rsidR="0007555D" w:rsidRPr="00C56257">
        <w:rPr>
          <w:b/>
        </w:rPr>
        <w:t>. Lista cu Presiunile și Amenințările ce acționează asupra fiecărui habitat forestier de interes comunitar</w:t>
      </w:r>
    </w:p>
    <w:p w14:paraId="567884A8" w14:textId="77777777" w:rsidR="0007555D" w:rsidRPr="00C56257" w:rsidRDefault="0007555D" w:rsidP="008E33FD">
      <w:pPr>
        <w:tabs>
          <w:tab w:val="num" w:pos="360"/>
        </w:tabs>
        <w:spacing w:before="240"/>
        <w:ind w:left="360" w:hanging="360"/>
        <w:jc w:val="both"/>
        <w:rPr>
          <w:b/>
        </w:rPr>
      </w:pPr>
    </w:p>
    <w:p w14:paraId="6885F5A0"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9110 - Păduri de fag de tip </w:t>
      </w:r>
      <w:r w:rsidRPr="00C56257">
        <w:rPr>
          <w:rFonts w:eastAsia="Calibri"/>
          <w:b/>
          <w:i/>
          <w:iCs/>
        </w:rPr>
        <w:t>Luzulo-Fagetum</w:t>
      </w:r>
      <w:r w:rsidRPr="00C56257">
        <w:rPr>
          <w:rFonts w:eastAsia="Calibri"/>
          <w:b/>
        </w:rPr>
        <w:t xml:space="preserve"> </w:t>
      </w:r>
    </w:p>
    <w:p w14:paraId="762CD7BC"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Alpină</w:t>
      </w:r>
    </w:p>
    <w:tbl>
      <w:tblPr>
        <w:tblStyle w:val="TableGrid"/>
        <w:tblW w:w="0" w:type="auto"/>
        <w:tblLook w:val="04A0" w:firstRow="1" w:lastRow="0" w:firstColumn="1" w:lastColumn="0" w:noHBand="0" w:noVBand="1"/>
      </w:tblPr>
      <w:tblGrid>
        <w:gridCol w:w="643"/>
        <w:gridCol w:w="2513"/>
        <w:gridCol w:w="1429"/>
        <w:gridCol w:w="643"/>
        <w:gridCol w:w="2597"/>
        <w:gridCol w:w="1310"/>
      </w:tblGrid>
      <w:tr w:rsidR="0007555D" w:rsidRPr="00D43F4D" w14:paraId="410DD3CC" w14:textId="77777777" w:rsidTr="0007555D">
        <w:tc>
          <w:tcPr>
            <w:tcW w:w="4585" w:type="dxa"/>
            <w:gridSpan w:val="3"/>
          </w:tcPr>
          <w:p w14:paraId="315D349E" w14:textId="77777777" w:rsidR="0007555D" w:rsidRPr="00D43F4D" w:rsidRDefault="0007555D" w:rsidP="00F100E1">
            <w:pPr>
              <w:jc w:val="both"/>
            </w:pPr>
            <w:r w:rsidRPr="00D43F4D">
              <w:t>Presiuni</w:t>
            </w:r>
          </w:p>
        </w:tc>
        <w:tc>
          <w:tcPr>
            <w:tcW w:w="4550" w:type="dxa"/>
            <w:gridSpan w:val="3"/>
          </w:tcPr>
          <w:p w14:paraId="5FB86BD6" w14:textId="77777777" w:rsidR="0007555D" w:rsidRPr="00D43F4D" w:rsidRDefault="0007555D" w:rsidP="00F100E1">
            <w:pPr>
              <w:jc w:val="both"/>
            </w:pPr>
            <w:r w:rsidRPr="00D43F4D">
              <w:t>Amenințări</w:t>
            </w:r>
          </w:p>
        </w:tc>
      </w:tr>
      <w:tr w:rsidR="0007555D" w:rsidRPr="00D43F4D" w14:paraId="062AAFF5" w14:textId="77777777" w:rsidTr="0007555D">
        <w:tc>
          <w:tcPr>
            <w:tcW w:w="643" w:type="dxa"/>
          </w:tcPr>
          <w:p w14:paraId="4A8317E5" w14:textId="77777777" w:rsidR="0007555D" w:rsidRPr="00D43F4D" w:rsidRDefault="0007555D" w:rsidP="008E33FD">
            <w:pPr>
              <w:jc w:val="both"/>
            </w:pPr>
            <w:r w:rsidRPr="00D43F4D">
              <w:t>Cod</w:t>
            </w:r>
          </w:p>
        </w:tc>
        <w:tc>
          <w:tcPr>
            <w:tcW w:w="2513" w:type="dxa"/>
          </w:tcPr>
          <w:p w14:paraId="22387D6A" w14:textId="77777777" w:rsidR="0007555D" w:rsidRPr="00D43F4D" w:rsidRDefault="0007555D" w:rsidP="008E33FD">
            <w:pPr>
              <w:jc w:val="both"/>
            </w:pPr>
            <w:r w:rsidRPr="00D43F4D">
              <w:t>Denumire</w:t>
            </w:r>
          </w:p>
        </w:tc>
        <w:tc>
          <w:tcPr>
            <w:tcW w:w="1429" w:type="dxa"/>
          </w:tcPr>
          <w:p w14:paraId="6C302173" w14:textId="77777777" w:rsidR="0007555D" w:rsidRPr="00D43F4D" w:rsidRDefault="0007555D" w:rsidP="008E33FD">
            <w:pPr>
              <w:jc w:val="both"/>
            </w:pPr>
            <w:r w:rsidRPr="00D43F4D">
              <w:t>Intensitate</w:t>
            </w:r>
          </w:p>
        </w:tc>
        <w:tc>
          <w:tcPr>
            <w:tcW w:w="643" w:type="dxa"/>
          </w:tcPr>
          <w:p w14:paraId="0D801FBB" w14:textId="77777777" w:rsidR="0007555D" w:rsidRPr="00D43F4D" w:rsidRDefault="0007555D" w:rsidP="008E33FD">
            <w:pPr>
              <w:jc w:val="both"/>
            </w:pPr>
            <w:r w:rsidRPr="00D43F4D">
              <w:t>Cod</w:t>
            </w:r>
          </w:p>
        </w:tc>
        <w:tc>
          <w:tcPr>
            <w:tcW w:w="2597" w:type="dxa"/>
          </w:tcPr>
          <w:p w14:paraId="074E1298" w14:textId="77777777" w:rsidR="0007555D" w:rsidRPr="00D43F4D" w:rsidRDefault="0007555D" w:rsidP="008E33FD">
            <w:pPr>
              <w:jc w:val="both"/>
            </w:pPr>
            <w:r w:rsidRPr="00D43F4D">
              <w:t>Denumire</w:t>
            </w:r>
          </w:p>
        </w:tc>
        <w:tc>
          <w:tcPr>
            <w:tcW w:w="1310" w:type="dxa"/>
          </w:tcPr>
          <w:p w14:paraId="592BF389" w14:textId="77777777" w:rsidR="0007555D" w:rsidRPr="00D43F4D" w:rsidRDefault="0007555D" w:rsidP="008E33FD">
            <w:pPr>
              <w:jc w:val="both"/>
            </w:pPr>
            <w:r w:rsidRPr="00D43F4D">
              <w:t>Intensitate</w:t>
            </w:r>
          </w:p>
        </w:tc>
      </w:tr>
      <w:tr w:rsidR="0007555D" w:rsidRPr="00C56257" w14:paraId="0B7858AC" w14:textId="77777777" w:rsidTr="0007555D">
        <w:tc>
          <w:tcPr>
            <w:tcW w:w="643" w:type="dxa"/>
          </w:tcPr>
          <w:p w14:paraId="2EACEDAC" w14:textId="77777777" w:rsidR="0007555D" w:rsidRPr="00D43F4D" w:rsidRDefault="0007555D" w:rsidP="00F100E1">
            <w:pPr>
              <w:jc w:val="both"/>
            </w:pPr>
            <w:r w:rsidRPr="00D43F4D">
              <w:t>A09</w:t>
            </w:r>
          </w:p>
        </w:tc>
        <w:tc>
          <w:tcPr>
            <w:tcW w:w="2513" w:type="dxa"/>
          </w:tcPr>
          <w:p w14:paraId="3B26A4A5" w14:textId="77777777" w:rsidR="0007555D" w:rsidRPr="00D43F4D" w:rsidRDefault="0007555D" w:rsidP="00F100E1">
            <w:pPr>
              <w:jc w:val="both"/>
            </w:pPr>
            <w:r w:rsidRPr="00D43F4D">
              <w:t>Pășunat intensiv</w:t>
            </w:r>
          </w:p>
        </w:tc>
        <w:tc>
          <w:tcPr>
            <w:tcW w:w="1429" w:type="dxa"/>
          </w:tcPr>
          <w:p w14:paraId="54871A84" w14:textId="77777777" w:rsidR="0007555D" w:rsidRPr="00D43F4D" w:rsidRDefault="0007555D" w:rsidP="00F100E1">
            <w:pPr>
              <w:jc w:val="both"/>
            </w:pPr>
            <w:r w:rsidRPr="00D43F4D">
              <w:t>Medie</w:t>
            </w:r>
          </w:p>
        </w:tc>
        <w:tc>
          <w:tcPr>
            <w:tcW w:w="643" w:type="dxa"/>
          </w:tcPr>
          <w:p w14:paraId="5E112C38" w14:textId="77777777" w:rsidR="0007555D" w:rsidRPr="00D43F4D" w:rsidRDefault="0007555D" w:rsidP="00F100E1">
            <w:pPr>
              <w:jc w:val="both"/>
            </w:pPr>
            <w:r w:rsidRPr="00D43F4D">
              <w:t>A09</w:t>
            </w:r>
          </w:p>
        </w:tc>
        <w:tc>
          <w:tcPr>
            <w:tcW w:w="2597" w:type="dxa"/>
          </w:tcPr>
          <w:p w14:paraId="53DA3A42" w14:textId="77777777" w:rsidR="0007555D" w:rsidRPr="00D43F4D" w:rsidRDefault="0007555D" w:rsidP="00F100E1">
            <w:pPr>
              <w:jc w:val="both"/>
            </w:pPr>
            <w:r w:rsidRPr="00D43F4D">
              <w:t>Pășunat intensiv</w:t>
            </w:r>
          </w:p>
        </w:tc>
        <w:tc>
          <w:tcPr>
            <w:tcW w:w="1310" w:type="dxa"/>
          </w:tcPr>
          <w:p w14:paraId="75F9CE9D" w14:textId="77777777" w:rsidR="0007555D" w:rsidRPr="00D43F4D" w:rsidRDefault="0007555D" w:rsidP="00F100E1">
            <w:pPr>
              <w:jc w:val="both"/>
            </w:pPr>
            <w:r w:rsidRPr="00D43F4D">
              <w:t>Medie</w:t>
            </w:r>
          </w:p>
        </w:tc>
      </w:tr>
    </w:tbl>
    <w:p w14:paraId="22EE66DF" w14:textId="77777777" w:rsidR="0007555D" w:rsidRPr="00C56257" w:rsidRDefault="0007555D" w:rsidP="008E33FD">
      <w:pPr>
        <w:keepNext/>
        <w:keepLines/>
        <w:spacing w:before="240" w:after="240" w:line="259" w:lineRule="auto"/>
        <w:ind w:left="708"/>
        <w:jc w:val="both"/>
        <w:outlineLvl w:val="1"/>
        <w:rPr>
          <w:rFonts w:eastAsia="Cambria"/>
          <w:b/>
          <w:bCs/>
          <w:color w:val="000000"/>
        </w:rPr>
      </w:pPr>
      <w:r w:rsidRPr="00C56257">
        <w:rPr>
          <w:rFonts w:eastAsia="Cambria"/>
          <w:b/>
          <w:bCs/>
          <w:color w:val="000000"/>
        </w:rPr>
        <w:t>Regiunea biogeografică Continentală</w:t>
      </w:r>
    </w:p>
    <w:tbl>
      <w:tblPr>
        <w:tblStyle w:val="TableGrid"/>
        <w:tblW w:w="0" w:type="auto"/>
        <w:tblLook w:val="04A0" w:firstRow="1" w:lastRow="0" w:firstColumn="1" w:lastColumn="0" w:noHBand="0" w:noVBand="1"/>
      </w:tblPr>
      <w:tblGrid>
        <w:gridCol w:w="643"/>
        <w:gridCol w:w="2579"/>
        <w:gridCol w:w="1310"/>
        <w:gridCol w:w="643"/>
        <w:gridCol w:w="2531"/>
        <w:gridCol w:w="1310"/>
      </w:tblGrid>
      <w:tr w:rsidR="0007555D" w:rsidRPr="00C56257" w14:paraId="5B814765" w14:textId="77777777" w:rsidTr="0007555D">
        <w:tc>
          <w:tcPr>
            <w:tcW w:w="4532" w:type="dxa"/>
            <w:gridSpan w:val="3"/>
          </w:tcPr>
          <w:p w14:paraId="2EED4F2E" w14:textId="77777777" w:rsidR="0007555D" w:rsidRPr="00C56257" w:rsidRDefault="0007555D" w:rsidP="00F100E1">
            <w:pPr>
              <w:spacing w:line="259" w:lineRule="auto"/>
              <w:jc w:val="both"/>
            </w:pPr>
            <w:r w:rsidRPr="00C56257">
              <w:t>Presiuni</w:t>
            </w:r>
          </w:p>
        </w:tc>
        <w:tc>
          <w:tcPr>
            <w:tcW w:w="4484" w:type="dxa"/>
            <w:gridSpan w:val="3"/>
          </w:tcPr>
          <w:p w14:paraId="61036D34" w14:textId="77777777" w:rsidR="0007555D" w:rsidRPr="00C56257" w:rsidRDefault="0007555D" w:rsidP="00F100E1">
            <w:pPr>
              <w:spacing w:line="259" w:lineRule="auto"/>
              <w:jc w:val="both"/>
            </w:pPr>
            <w:r w:rsidRPr="00C56257">
              <w:t>Amenințări</w:t>
            </w:r>
          </w:p>
        </w:tc>
      </w:tr>
      <w:tr w:rsidR="0007555D" w:rsidRPr="00C56257" w14:paraId="60FD15D3" w14:textId="77777777" w:rsidTr="0007555D">
        <w:tc>
          <w:tcPr>
            <w:tcW w:w="643" w:type="dxa"/>
          </w:tcPr>
          <w:p w14:paraId="099CCFED" w14:textId="77777777" w:rsidR="0007555D" w:rsidRPr="00C56257" w:rsidRDefault="0007555D" w:rsidP="008E33FD">
            <w:pPr>
              <w:spacing w:line="259" w:lineRule="auto"/>
              <w:jc w:val="both"/>
            </w:pPr>
            <w:r w:rsidRPr="00C56257">
              <w:t>Cod</w:t>
            </w:r>
          </w:p>
        </w:tc>
        <w:tc>
          <w:tcPr>
            <w:tcW w:w="2579" w:type="dxa"/>
          </w:tcPr>
          <w:p w14:paraId="5FE16F98" w14:textId="77777777" w:rsidR="0007555D" w:rsidRPr="00C56257" w:rsidRDefault="0007555D" w:rsidP="008E33FD">
            <w:pPr>
              <w:spacing w:line="259" w:lineRule="auto"/>
              <w:jc w:val="both"/>
            </w:pPr>
            <w:r w:rsidRPr="00C56257">
              <w:t>Denumire</w:t>
            </w:r>
          </w:p>
        </w:tc>
        <w:tc>
          <w:tcPr>
            <w:tcW w:w="1310" w:type="dxa"/>
          </w:tcPr>
          <w:p w14:paraId="6682F268" w14:textId="77777777" w:rsidR="0007555D" w:rsidRPr="00C56257" w:rsidRDefault="0007555D" w:rsidP="008E33FD">
            <w:pPr>
              <w:spacing w:line="259" w:lineRule="auto"/>
              <w:jc w:val="both"/>
            </w:pPr>
            <w:r w:rsidRPr="00C56257">
              <w:t>Intensitate</w:t>
            </w:r>
          </w:p>
        </w:tc>
        <w:tc>
          <w:tcPr>
            <w:tcW w:w="643" w:type="dxa"/>
          </w:tcPr>
          <w:p w14:paraId="489A77F7" w14:textId="77777777" w:rsidR="0007555D" w:rsidRPr="00C56257" w:rsidRDefault="0007555D" w:rsidP="008E33FD">
            <w:pPr>
              <w:spacing w:line="259" w:lineRule="auto"/>
              <w:jc w:val="both"/>
            </w:pPr>
            <w:r w:rsidRPr="00C56257">
              <w:t>Cod</w:t>
            </w:r>
          </w:p>
        </w:tc>
        <w:tc>
          <w:tcPr>
            <w:tcW w:w="2531" w:type="dxa"/>
          </w:tcPr>
          <w:p w14:paraId="68F9260E" w14:textId="77777777" w:rsidR="0007555D" w:rsidRPr="00C56257" w:rsidRDefault="0007555D" w:rsidP="008E33FD">
            <w:pPr>
              <w:spacing w:line="259" w:lineRule="auto"/>
              <w:jc w:val="both"/>
            </w:pPr>
            <w:r w:rsidRPr="00C56257">
              <w:t>Denumire</w:t>
            </w:r>
          </w:p>
        </w:tc>
        <w:tc>
          <w:tcPr>
            <w:tcW w:w="1310" w:type="dxa"/>
          </w:tcPr>
          <w:p w14:paraId="3935D36F" w14:textId="77777777" w:rsidR="0007555D" w:rsidRPr="00C56257" w:rsidRDefault="0007555D" w:rsidP="008E33FD">
            <w:pPr>
              <w:spacing w:line="259" w:lineRule="auto"/>
              <w:jc w:val="both"/>
            </w:pPr>
            <w:r w:rsidRPr="00C56257">
              <w:t>Intensitate</w:t>
            </w:r>
          </w:p>
        </w:tc>
      </w:tr>
      <w:tr w:rsidR="0007555D" w:rsidRPr="00C56257" w14:paraId="0AA7C98B" w14:textId="77777777" w:rsidTr="0007555D">
        <w:tc>
          <w:tcPr>
            <w:tcW w:w="643" w:type="dxa"/>
          </w:tcPr>
          <w:p w14:paraId="683B2AF3" w14:textId="77777777" w:rsidR="0007555D" w:rsidRPr="00C56257" w:rsidRDefault="0007555D" w:rsidP="00F100E1">
            <w:pPr>
              <w:spacing w:line="259" w:lineRule="auto"/>
              <w:jc w:val="both"/>
            </w:pPr>
            <w:r w:rsidRPr="00C56257">
              <w:t>B10</w:t>
            </w:r>
          </w:p>
        </w:tc>
        <w:tc>
          <w:tcPr>
            <w:tcW w:w="2579" w:type="dxa"/>
          </w:tcPr>
          <w:p w14:paraId="40EB8A50" w14:textId="77777777" w:rsidR="0007555D" w:rsidRPr="00C56257" w:rsidRDefault="0007555D" w:rsidP="00F100E1">
            <w:pPr>
              <w:spacing w:line="259" w:lineRule="auto"/>
              <w:jc w:val="both"/>
            </w:pPr>
            <w:r w:rsidRPr="00C56257">
              <w:t>Exploatare ilegală</w:t>
            </w:r>
          </w:p>
        </w:tc>
        <w:tc>
          <w:tcPr>
            <w:tcW w:w="1310" w:type="dxa"/>
          </w:tcPr>
          <w:p w14:paraId="2725F754" w14:textId="77777777" w:rsidR="0007555D" w:rsidRPr="00C56257" w:rsidRDefault="0007555D" w:rsidP="00F100E1">
            <w:pPr>
              <w:spacing w:line="259" w:lineRule="auto"/>
              <w:jc w:val="both"/>
            </w:pPr>
            <w:r w:rsidRPr="00C56257">
              <w:t>Medie</w:t>
            </w:r>
          </w:p>
        </w:tc>
        <w:tc>
          <w:tcPr>
            <w:tcW w:w="643" w:type="dxa"/>
          </w:tcPr>
          <w:p w14:paraId="768E2A4D" w14:textId="77777777" w:rsidR="0007555D" w:rsidRPr="00C56257" w:rsidRDefault="0007555D" w:rsidP="00F100E1">
            <w:pPr>
              <w:spacing w:line="259" w:lineRule="auto"/>
              <w:jc w:val="both"/>
            </w:pPr>
            <w:r w:rsidRPr="00C56257">
              <w:t>B10</w:t>
            </w:r>
          </w:p>
        </w:tc>
        <w:tc>
          <w:tcPr>
            <w:tcW w:w="2531" w:type="dxa"/>
          </w:tcPr>
          <w:p w14:paraId="46F9D58A" w14:textId="77777777" w:rsidR="0007555D" w:rsidRPr="00C56257" w:rsidRDefault="0007555D" w:rsidP="00F100E1">
            <w:pPr>
              <w:spacing w:line="259" w:lineRule="auto"/>
              <w:jc w:val="both"/>
            </w:pPr>
            <w:r w:rsidRPr="00C56257">
              <w:t>Exploatare ilegală</w:t>
            </w:r>
          </w:p>
        </w:tc>
        <w:tc>
          <w:tcPr>
            <w:tcW w:w="1310" w:type="dxa"/>
          </w:tcPr>
          <w:p w14:paraId="7981FBDA" w14:textId="77777777" w:rsidR="0007555D" w:rsidRPr="00C56257" w:rsidRDefault="0007555D" w:rsidP="00F100E1">
            <w:pPr>
              <w:spacing w:line="259" w:lineRule="auto"/>
              <w:jc w:val="both"/>
            </w:pPr>
            <w:r w:rsidRPr="00C56257">
              <w:t>Medie</w:t>
            </w:r>
          </w:p>
        </w:tc>
      </w:tr>
      <w:tr w:rsidR="0007555D" w:rsidRPr="00C56257" w14:paraId="0C7D1663" w14:textId="77777777" w:rsidTr="0007555D">
        <w:tc>
          <w:tcPr>
            <w:tcW w:w="643" w:type="dxa"/>
          </w:tcPr>
          <w:p w14:paraId="61EB89F9" w14:textId="77777777" w:rsidR="0007555D" w:rsidRPr="00C56257" w:rsidRDefault="0007555D" w:rsidP="00F100E1">
            <w:pPr>
              <w:spacing w:line="259" w:lineRule="auto"/>
              <w:jc w:val="both"/>
            </w:pPr>
            <w:r w:rsidRPr="00C56257">
              <w:t>B12</w:t>
            </w:r>
          </w:p>
        </w:tc>
        <w:tc>
          <w:tcPr>
            <w:tcW w:w="2579" w:type="dxa"/>
          </w:tcPr>
          <w:p w14:paraId="2419034E" w14:textId="77777777" w:rsidR="0007555D" w:rsidRPr="00C56257" w:rsidRDefault="0007555D" w:rsidP="00F100E1">
            <w:pPr>
              <w:spacing w:line="259" w:lineRule="auto"/>
              <w:jc w:val="both"/>
            </w:pPr>
            <w:r w:rsidRPr="00C56257">
              <w:t>Rărituri</w:t>
            </w:r>
          </w:p>
        </w:tc>
        <w:tc>
          <w:tcPr>
            <w:tcW w:w="1310" w:type="dxa"/>
          </w:tcPr>
          <w:p w14:paraId="6EA085C0" w14:textId="77777777" w:rsidR="0007555D" w:rsidRPr="00C56257" w:rsidRDefault="0007555D" w:rsidP="00F100E1">
            <w:pPr>
              <w:spacing w:line="259" w:lineRule="auto"/>
              <w:jc w:val="both"/>
            </w:pPr>
            <w:r w:rsidRPr="00C56257">
              <w:t>Medie</w:t>
            </w:r>
          </w:p>
        </w:tc>
        <w:tc>
          <w:tcPr>
            <w:tcW w:w="643" w:type="dxa"/>
          </w:tcPr>
          <w:p w14:paraId="1F37FC5B" w14:textId="77777777" w:rsidR="0007555D" w:rsidRPr="00C56257" w:rsidRDefault="0007555D" w:rsidP="00F100E1">
            <w:pPr>
              <w:spacing w:line="259" w:lineRule="auto"/>
              <w:jc w:val="both"/>
            </w:pPr>
            <w:r w:rsidRPr="00C56257">
              <w:t>B12</w:t>
            </w:r>
          </w:p>
        </w:tc>
        <w:tc>
          <w:tcPr>
            <w:tcW w:w="2531" w:type="dxa"/>
          </w:tcPr>
          <w:p w14:paraId="41D8EE39" w14:textId="77777777" w:rsidR="0007555D" w:rsidRPr="00C56257" w:rsidRDefault="0007555D" w:rsidP="00F100E1">
            <w:pPr>
              <w:spacing w:line="259" w:lineRule="auto"/>
              <w:ind w:firstLine="106"/>
              <w:jc w:val="both"/>
            </w:pPr>
            <w:r w:rsidRPr="00C56257">
              <w:t>Rărituri</w:t>
            </w:r>
          </w:p>
        </w:tc>
        <w:tc>
          <w:tcPr>
            <w:tcW w:w="1310" w:type="dxa"/>
          </w:tcPr>
          <w:p w14:paraId="3A37DF44" w14:textId="77777777" w:rsidR="0007555D" w:rsidRPr="00C56257" w:rsidRDefault="0007555D" w:rsidP="00F100E1">
            <w:pPr>
              <w:spacing w:line="259" w:lineRule="auto"/>
              <w:jc w:val="both"/>
            </w:pPr>
            <w:r w:rsidRPr="00C56257">
              <w:t>Medie</w:t>
            </w:r>
          </w:p>
        </w:tc>
      </w:tr>
    </w:tbl>
    <w:p w14:paraId="35D08FE9" w14:textId="77777777" w:rsidR="0007555D" w:rsidRPr="00C56257" w:rsidRDefault="0007555D" w:rsidP="008E33FD">
      <w:pPr>
        <w:tabs>
          <w:tab w:val="num" w:pos="360"/>
        </w:tabs>
        <w:ind w:left="360" w:hanging="360"/>
        <w:jc w:val="both"/>
        <w:rPr>
          <w:rFonts w:eastAsia="Calibri"/>
          <w:b/>
        </w:rPr>
      </w:pPr>
    </w:p>
    <w:p w14:paraId="1D2D9D1C"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9130 - Păduri de fag de  tip </w:t>
      </w:r>
      <w:r w:rsidRPr="00C56257">
        <w:rPr>
          <w:rFonts w:eastAsia="Calibri"/>
          <w:b/>
          <w:i/>
          <w:iCs/>
        </w:rPr>
        <w:t>Asperulo-Fagetum</w:t>
      </w:r>
      <w:r w:rsidRPr="00C56257">
        <w:rPr>
          <w:rFonts w:eastAsia="Calibri"/>
          <w:b/>
        </w:rPr>
        <w:t xml:space="preserve"> </w:t>
      </w:r>
    </w:p>
    <w:p w14:paraId="79F10F3D"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Alpină</w:t>
      </w:r>
    </w:p>
    <w:tbl>
      <w:tblPr>
        <w:tblStyle w:val="TableGrid"/>
        <w:tblW w:w="0" w:type="auto"/>
        <w:tblLook w:val="04A0" w:firstRow="1" w:lastRow="0" w:firstColumn="1" w:lastColumn="0" w:noHBand="0" w:noVBand="1"/>
      </w:tblPr>
      <w:tblGrid>
        <w:gridCol w:w="643"/>
        <w:gridCol w:w="2579"/>
        <w:gridCol w:w="1310"/>
        <w:gridCol w:w="643"/>
        <w:gridCol w:w="2531"/>
        <w:gridCol w:w="1310"/>
      </w:tblGrid>
      <w:tr w:rsidR="0007555D" w:rsidRPr="00C56257" w14:paraId="07D4BCEC" w14:textId="77777777" w:rsidTr="0007555D">
        <w:tc>
          <w:tcPr>
            <w:tcW w:w="4532" w:type="dxa"/>
            <w:gridSpan w:val="3"/>
          </w:tcPr>
          <w:p w14:paraId="2FE28FB9" w14:textId="77777777" w:rsidR="0007555D" w:rsidRPr="00C56257" w:rsidRDefault="0007555D" w:rsidP="00F100E1">
            <w:pPr>
              <w:jc w:val="both"/>
            </w:pPr>
            <w:r w:rsidRPr="00C56257">
              <w:t>Presiuni</w:t>
            </w:r>
          </w:p>
        </w:tc>
        <w:tc>
          <w:tcPr>
            <w:tcW w:w="4484" w:type="dxa"/>
            <w:gridSpan w:val="3"/>
          </w:tcPr>
          <w:p w14:paraId="21B069BA" w14:textId="77777777" w:rsidR="0007555D" w:rsidRPr="00C56257" w:rsidRDefault="0007555D" w:rsidP="00F100E1">
            <w:pPr>
              <w:jc w:val="both"/>
            </w:pPr>
            <w:r w:rsidRPr="00C56257">
              <w:t>Amenințări</w:t>
            </w:r>
          </w:p>
        </w:tc>
      </w:tr>
      <w:tr w:rsidR="0007555D" w:rsidRPr="00C56257" w14:paraId="242CC244" w14:textId="77777777" w:rsidTr="0007555D">
        <w:tc>
          <w:tcPr>
            <w:tcW w:w="643" w:type="dxa"/>
          </w:tcPr>
          <w:p w14:paraId="07604DA1" w14:textId="77777777" w:rsidR="0007555D" w:rsidRPr="00C56257" w:rsidRDefault="0007555D" w:rsidP="008E33FD">
            <w:pPr>
              <w:jc w:val="both"/>
            </w:pPr>
            <w:r w:rsidRPr="00C56257">
              <w:t>Cod</w:t>
            </w:r>
          </w:p>
        </w:tc>
        <w:tc>
          <w:tcPr>
            <w:tcW w:w="2579" w:type="dxa"/>
          </w:tcPr>
          <w:p w14:paraId="148ECD31" w14:textId="77777777" w:rsidR="0007555D" w:rsidRPr="00C56257" w:rsidRDefault="0007555D" w:rsidP="008E33FD">
            <w:pPr>
              <w:jc w:val="both"/>
            </w:pPr>
            <w:r w:rsidRPr="00C56257">
              <w:t>Denumire</w:t>
            </w:r>
          </w:p>
        </w:tc>
        <w:tc>
          <w:tcPr>
            <w:tcW w:w="1310" w:type="dxa"/>
          </w:tcPr>
          <w:p w14:paraId="45629104" w14:textId="77777777" w:rsidR="0007555D" w:rsidRPr="00C56257" w:rsidRDefault="0007555D" w:rsidP="008E33FD">
            <w:pPr>
              <w:jc w:val="both"/>
            </w:pPr>
            <w:r w:rsidRPr="00C56257">
              <w:t>Intensitate</w:t>
            </w:r>
          </w:p>
        </w:tc>
        <w:tc>
          <w:tcPr>
            <w:tcW w:w="643" w:type="dxa"/>
          </w:tcPr>
          <w:p w14:paraId="7162137A" w14:textId="77777777" w:rsidR="0007555D" w:rsidRPr="00C56257" w:rsidRDefault="0007555D" w:rsidP="008E33FD">
            <w:pPr>
              <w:jc w:val="both"/>
            </w:pPr>
            <w:r w:rsidRPr="00C56257">
              <w:t>Cod</w:t>
            </w:r>
          </w:p>
        </w:tc>
        <w:tc>
          <w:tcPr>
            <w:tcW w:w="2531" w:type="dxa"/>
          </w:tcPr>
          <w:p w14:paraId="5A922508" w14:textId="77777777" w:rsidR="0007555D" w:rsidRPr="00C56257" w:rsidRDefault="0007555D" w:rsidP="008E33FD">
            <w:pPr>
              <w:jc w:val="both"/>
            </w:pPr>
            <w:r w:rsidRPr="00C56257">
              <w:t>Denumire</w:t>
            </w:r>
          </w:p>
        </w:tc>
        <w:tc>
          <w:tcPr>
            <w:tcW w:w="1310" w:type="dxa"/>
          </w:tcPr>
          <w:p w14:paraId="33A38B88" w14:textId="77777777" w:rsidR="0007555D" w:rsidRPr="00C56257" w:rsidRDefault="0007555D" w:rsidP="008E33FD">
            <w:pPr>
              <w:jc w:val="both"/>
            </w:pPr>
            <w:r w:rsidRPr="00C56257">
              <w:t>Intensitate</w:t>
            </w:r>
          </w:p>
        </w:tc>
      </w:tr>
      <w:tr w:rsidR="0007555D" w:rsidRPr="00C56257" w14:paraId="35222C59" w14:textId="77777777" w:rsidTr="0007555D">
        <w:tc>
          <w:tcPr>
            <w:tcW w:w="643" w:type="dxa"/>
            <w:vAlign w:val="center"/>
          </w:tcPr>
          <w:p w14:paraId="642566B8" w14:textId="77777777" w:rsidR="0007555D" w:rsidRPr="00C56257" w:rsidRDefault="0007555D" w:rsidP="00F100E1">
            <w:pPr>
              <w:jc w:val="both"/>
            </w:pPr>
            <w:r w:rsidRPr="00C56257">
              <w:t>B07</w:t>
            </w:r>
          </w:p>
        </w:tc>
        <w:tc>
          <w:tcPr>
            <w:tcW w:w="2579" w:type="dxa"/>
            <w:vAlign w:val="center"/>
          </w:tcPr>
          <w:p w14:paraId="09E28DA5" w14:textId="77777777" w:rsidR="0007555D" w:rsidRPr="00C56257" w:rsidRDefault="0007555D" w:rsidP="00F100E1">
            <w:pPr>
              <w:jc w:val="both"/>
            </w:pPr>
            <w:r w:rsidRPr="00C56257">
              <w:t>Extragerea arborilor morți sau aproape morți</w:t>
            </w:r>
          </w:p>
        </w:tc>
        <w:tc>
          <w:tcPr>
            <w:tcW w:w="1310" w:type="dxa"/>
            <w:vAlign w:val="center"/>
          </w:tcPr>
          <w:p w14:paraId="53609C87" w14:textId="77777777" w:rsidR="0007555D" w:rsidRPr="00C56257" w:rsidRDefault="0007555D" w:rsidP="00F100E1">
            <w:pPr>
              <w:jc w:val="both"/>
            </w:pPr>
            <w:r w:rsidRPr="00C56257">
              <w:t>Medie</w:t>
            </w:r>
          </w:p>
        </w:tc>
        <w:tc>
          <w:tcPr>
            <w:tcW w:w="643" w:type="dxa"/>
            <w:vAlign w:val="center"/>
          </w:tcPr>
          <w:p w14:paraId="3C61B99D" w14:textId="77777777" w:rsidR="0007555D" w:rsidRPr="00C56257" w:rsidRDefault="0007555D" w:rsidP="00F100E1">
            <w:pPr>
              <w:jc w:val="both"/>
            </w:pPr>
            <w:r w:rsidRPr="00C56257">
              <w:t>B07</w:t>
            </w:r>
          </w:p>
        </w:tc>
        <w:tc>
          <w:tcPr>
            <w:tcW w:w="2531" w:type="dxa"/>
            <w:vAlign w:val="center"/>
          </w:tcPr>
          <w:p w14:paraId="0C1A9C52" w14:textId="77777777" w:rsidR="0007555D" w:rsidRPr="00C56257" w:rsidRDefault="0007555D" w:rsidP="00F100E1">
            <w:pPr>
              <w:jc w:val="both"/>
            </w:pPr>
            <w:r w:rsidRPr="00C56257">
              <w:t>Extragerea arborilor morți sau aproape morți</w:t>
            </w:r>
          </w:p>
        </w:tc>
        <w:tc>
          <w:tcPr>
            <w:tcW w:w="1310" w:type="dxa"/>
            <w:vAlign w:val="center"/>
          </w:tcPr>
          <w:p w14:paraId="73EBB8EC" w14:textId="77777777" w:rsidR="0007555D" w:rsidRPr="00C56257" w:rsidRDefault="0007555D" w:rsidP="00F100E1">
            <w:pPr>
              <w:jc w:val="both"/>
            </w:pPr>
            <w:r w:rsidRPr="00C56257">
              <w:t>Medie</w:t>
            </w:r>
          </w:p>
        </w:tc>
      </w:tr>
      <w:tr w:rsidR="0007555D" w:rsidRPr="00C56257" w14:paraId="2CE3A2D4" w14:textId="77777777" w:rsidTr="0007555D">
        <w:tc>
          <w:tcPr>
            <w:tcW w:w="643" w:type="dxa"/>
            <w:vAlign w:val="center"/>
          </w:tcPr>
          <w:p w14:paraId="7B0C1A7C" w14:textId="77777777" w:rsidR="0007555D" w:rsidRPr="00C56257" w:rsidRDefault="0007555D" w:rsidP="00F100E1">
            <w:pPr>
              <w:jc w:val="both"/>
            </w:pPr>
            <w:r w:rsidRPr="00C56257">
              <w:t>B06</w:t>
            </w:r>
          </w:p>
        </w:tc>
        <w:tc>
          <w:tcPr>
            <w:tcW w:w="2579" w:type="dxa"/>
            <w:vAlign w:val="center"/>
          </w:tcPr>
          <w:p w14:paraId="1A61042E" w14:textId="77777777" w:rsidR="0007555D" w:rsidRPr="00C56257" w:rsidRDefault="0007555D" w:rsidP="00F100E1">
            <w:pPr>
              <w:jc w:val="both"/>
            </w:pPr>
            <w:r w:rsidRPr="00C56257">
              <w:t>Exploatarea arborilor individuali (Tăiere selectivă)</w:t>
            </w:r>
          </w:p>
        </w:tc>
        <w:tc>
          <w:tcPr>
            <w:tcW w:w="1310" w:type="dxa"/>
            <w:vAlign w:val="center"/>
          </w:tcPr>
          <w:p w14:paraId="16EA1960" w14:textId="77777777" w:rsidR="0007555D" w:rsidRPr="00C56257" w:rsidRDefault="0007555D" w:rsidP="00F100E1">
            <w:pPr>
              <w:jc w:val="both"/>
            </w:pPr>
            <w:r w:rsidRPr="00C56257">
              <w:t>Medie</w:t>
            </w:r>
          </w:p>
        </w:tc>
        <w:tc>
          <w:tcPr>
            <w:tcW w:w="643" w:type="dxa"/>
            <w:vAlign w:val="center"/>
          </w:tcPr>
          <w:p w14:paraId="2DDC4859" w14:textId="77777777" w:rsidR="0007555D" w:rsidRPr="00C56257" w:rsidRDefault="0007555D" w:rsidP="00F100E1">
            <w:pPr>
              <w:jc w:val="both"/>
            </w:pPr>
          </w:p>
        </w:tc>
        <w:tc>
          <w:tcPr>
            <w:tcW w:w="2531" w:type="dxa"/>
            <w:vAlign w:val="center"/>
          </w:tcPr>
          <w:p w14:paraId="76D05B51" w14:textId="77777777" w:rsidR="0007555D" w:rsidRPr="00C56257" w:rsidRDefault="0007555D" w:rsidP="00F100E1">
            <w:pPr>
              <w:jc w:val="both"/>
            </w:pPr>
          </w:p>
        </w:tc>
        <w:tc>
          <w:tcPr>
            <w:tcW w:w="1310" w:type="dxa"/>
            <w:vAlign w:val="center"/>
          </w:tcPr>
          <w:p w14:paraId="324C1C3A" w14:textId="77777777" w:rsidR="0007555D" w:rsidRPr="00C56257" w:rsidRDefault="0007555D" w:rsidP="00F100E1">
            <w:pPr>
              <w:jc w:val="both"/>
            </w:pPr>
          </w:p>
        </w:tc>
      </w:tr>
      <w:tr w:rsidR="0007555D" w:rsidRPr="00C56257" w14:paraId="7F270E20" w14:textId="77777777" w:rsidTr="0007555D">
        <w:tc>
          <w:tcPr>
            <w:tcW w:w="643" w:type="dxa"/>
          </w:tcPr>
          <w:p w14:paraId="33EA7CFA" w14:textId="77777777" w:rsidR="0007555D" w:rsidRPr="00C56257" w:rsidRDefault="0007555D" w:rsidP="00F100E1">
            <w:pPr>
              <w:jc w:val="both"/>
            </w:pPr>
            <w:r w:rsidRPr="00C56257">
              <w:t>B12</w:t>
            </w:r>
          </w:p>
        </w:tc>
        <w:tc>
          <w:tcPr>
            <w:tcW w:w="2579" w:type="dxa"/>
          </w:tcPr>
          <w:p w14:paraId="45C9541E" w14:textId="77777777" w:rsidR="0007555D" w:rsidRPr="00C56257" w:rsidRDefault="0007555D" w:rsidP="00F100E1">
            <w:pPr>
              <w:jc w:val="both"/>
            </w:pPr>
            <w:r w:rsidRPr="00C56257">
              <w:t>Rărituri</w:t>
            </w:r>
          </w:p>
        </w:tc>
        <w:tc>
          <w:tcPr>
            <w:tcW w:w="1310" w:type="dxa"/>
            <w:vAlign w:val="center"/>
          </w:tcPr>
          <w:p w14:paraId="57ACDFCF" w14:textId="77777777" w:rsidR="0007555D" w:rsidRPr="00C56257" w:rsidRDefault="0007555D" w:rsidP="00F100E1">
            <w:pPr>
              <w:jc w:val="both"/>
            </w:pPr>
            <w:r w:rsidRPr="00C56257">
              <w:t>Medie</w:t>
            </w:r>
          </w:p>
        </w:tc>
        <w:tc>
          <w:tcPr>
            <w:tcW w:w="643" w:type="dxa"/>
            <w:vAlign w:val="center"/>
          </w:tcPr>
          <w:p w14:paraId="1E12EB08" w14:textId="77777777" w:rsidR="0007555D" w:rsidRPr="00C56257" w:rsidRDefault="0007555D" w:rsidP="00F100E1">
            <w:pPr>
              <w:jc w:val="both"/>
            </w:pPr>
          </w:p>
        </w:tc>
        <w:tc>
          <w:tcPr>
            <w:tcW w:w="2531" w:type="dxa"/>
            <w:vAlign w:val="center"/>
          </w:tcPr>
          <w:p w14:paraId="56CF5BC9" w14:textId="77777777" w:rsidR="0007555D" w:rsidRPr="00C56257" w:rsidRDefault="0007555D" w:rsidP="00F100E1">
            <w:pPr>
              <w:ind w:firstLine="106"/>
              <w:jc w:val="both"/>
            </w:pPr>
          </w:p>
        </w:tc>
        <w:tc>
          <w:tcPr>
            <w:tcW w:w="1310" w:type="dxa"/>
            <w:vAlign w:val="center"/>
          </w:tcPr>
          <w:p w14:paraId="6C010B9A" w14:textId="77777777" w:rsidR="0007555D" w:rsidRPr="00C56257" w:rsidRDefault="0007555D" w:rsidP="00F100E1">
            <w:pPr>
              <w:jc w:val="both"/>
            </w:pPr>
          </w:p>
        </w:tc>
      </w:tr>
    </w:tbl>
    <w:p w14:paraId="1855D325"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Continentală</w:t>
      </w:r>
    </w:p>
    <w:tbl>
      <w:tblPr>
        <w:tblStyle w:val="TableGrid"/>
        <w:tblW w:w="0" w:type="auto"/>
        <w:tblLook w:val="04A0" w:firstRow="1" w:lastRow="0" w:firstColumn="1" w:lastColumn="0" w:noHBand="0" w:noVBand="1"/>
      </w:tblPr>
      <w:tblGrid>
        <w:gridCol w:w="643"/>
        <w:gridCol w:w="2579"/>
        <w:gridCol w:w="1310"/>
        <w:gridCol w:w="643"/>
        <w:gridCol w:w="2531"/>
        <w:gridCol w:w="1310"/>
      </w:tblGrid>
      <w:tr w:rsidR="0007555D" w:rsidRPr="00C56257" w14:paraId="61DD46E3" w14:textId="77777777" w:rsidTr="0007555D">
        <w:tc>
          <w:tcPr>
            <w:tcW w:w="4532" w:type="dxa"/>
            <w:gridSpan w:val="3"/>
          </w:tcPr>
          <w:p w14:paraId="2F91ED1D" w14:textId="77777777" w:rsidR="0007555D" w:rsidRPr="00C56257" w:rsidRDefault="0007555D" w:rsidP="00F100E1">
            <w:pPr>
              <w:jc w:val="both"/>
              <w:rPr>
                <w:b/>
                <w:bCs/>
              </w:rPr>
            </w:pPr>
            <w:r w:rsidRPr="00C56257">
              <w:rPr>
                <w:b/>
                <w:bCs/>
              </w:rPr>
              <w:t>Presiuni</w:t>
            </w:r>
          </w:p>
        </w:tc>
        <w:tc>
          <w:tcPr>
            <w:tcW w:w="4484" w:type="dxa"/>
            <w:gridSpan w:val="3"/>
          </w:tcPr>
          <w:p w14:paraId="0C422DA2" w14:textId="77777777" w:rsidR="0007555D" w:rsidRPr="00C56257" w:rsidRDefault="0007555D" w:rsidP="00F100E1">
            <w:pPr>
              <w:jc w:val="both"/>
              <w:rPr>
                <w:b/>
                <w:bCs/>
              </w:rPr>
            </w:pPr>
            <w:r w:rsidRPr="00C56257">
              <w:rPr>
                <w:b/>
                <w:bCs/>
              </w:rPr>
              <w:t>Amenințări</w:t>
            </w:r>
          </w:p>
        </w:tc>
      </w:tr>
      <w:tr w:rsidR="0007555D" w:rsidRPr="00C56257" w14:paraId="1840BD16" w14:textId="77777777" w:rsidTr="0007555D">
        <w:tc>
          <w:tcPr>
            <w:tcW w:w="643" w:type="dxa"/>
          </w:tcPr>
          <w:p w14:paraId="00F564A9" w14:textId="77777777" w:rsidR="0007555D" w:rsidRPr="00C56257" w:rsidRDefault="0007555D" w:rsidP="00F100E1">
            <w:pPr>
              <w:jc w:val="both"/>
              <w:rPr>
                <w:b/>
                <w:bCs/>
              </w:rPr>
            </w:pPr>
            <w:r w:rsidRPr="00C56257">
              <w:rPr>
                <w:b/>
                <w:bCs/>
              </w:rPr>
              <w:t>Cod</w:t>
            </w:r>
          </w:p>
        </w:tc>
        <w:tc>
          <w:tcPr>
            <w:tcW w:w="2579" w:type="dxa"/>
          </w:tcPr>
          <w:p w14:paraId="612353FA" w14:textId="77777777" w:rsidR="0007555D" w:rsidRPr="00C56257" w:rsidRDefault="0007555D" w:rsidP="00F100E1">
            <w:pPr>
              <w:jc w:val="both"/>
              <w:rPr>
                <w:b/>
                <w:bCs/>
              </w:rPr>
            </w:pPr>
            <w:r w:rsidRPr="00C56257">
              <w:rPr>
                <w:b/>
                <w:bCs/>
              </w:rPr>
              <w:t>Denumire</w:t>
            </w:r>
          </w:p>
        </w:tc>
        <w:tc>
          <w:tcPr>
            <w:tcW w:w="1310" w:type="dxa"/>
          </w:tcPr>
          <w:p w14:paraId="23597A96" w14:textId="77777777" w:rsidR="0007555D" w:rsidRPr="00C56257" w:rsidRDefault="0007555D" w:rsidP="00F100E1">
            <w:pPr>
              <w:jc w:val="both"/>
              <w:rPr>
                <w:b/>
                <w:bCs/>
              </w:rPr>
            </w:pPr>
            <w:r w:rsidRPr="00C56257">
              <w:rPr>
                <w:b/>
                <w:bCs/>
              </w:rPr>
              <w:t>Intensitate</w:t>
            </w:r>
          </w:p>
        </w:tc>
        <w:tc>
          <w:tcPr>
            <w:tcW w:w="643" w:type="dxa"/>
          </w:tcPr>
          <w:p w14:paraId="3AC0867D" w14:textId="77777777" w:rsidR="0007555D" w:rsidRPr="00C56257" w:rsidRDefault="0007555D" w:rsidP="00F100E1">
            <w:pPr>
              <w:jc w:val="both"/>
              <w:rPr>
                <w:b/>
                <w:bCs/>
              </w:rPr>
            </w:pPr>
            <w:r w:rsidRPr="00C56257">
              <w:rPr>
                <w:b/>
                <w:bCs/>
              </w:rPr>
              <w:t>Cod</w:t>
            </w:r>
          </w:p>
        </w:tc>
        <w:tc>
          <w:tcPr>
            <w:tcW w:w="2531" w:type="dxa"/>
          </w:tcPr>
          <w:p w14:paraId="06F43385" w14:textId="77777777" w:rsidR="0007555D" w:rsidRPr="00C56257" w:rsidRDefault="0007555D" w:rsidP="00F100E1">
            <w:pPr>
              <w:jc w:val="both"/>
              <w:rPr>
                <w:b/>
                <w:bCs/>
              </w:rPr>
            </w:pPr>
            <w:r w:rsidRPr="00C56257">
              <w:rPr>
                <w:b/>
                <w:bCs/>
              </w:rPr>
              <w:t>Denumire</w:t>
            </w:r>
          </w:p>
        </w:tc>
        <w:tc>
          <w:tcPr>
            <w:tcW w:w="1310" w:type="dxa"/>
          </w:tcPr>
          <w:p w14:paraId="61691B14" w14:textId="77777777" w:rsidR="0007555D" w:rsidRPr="00C56257" w:rsidRDefault="0007555D" w:rsidP="00F100E1">
            <w:pPr>
              <w:jc w:val="both"/>
              <w:rPr>
                <w:b/>
                <w:bCs/>
              </w:rPr>
            </w:pPr>
            <w:r w:rsidRPr="00C56257">
              <w:rPr>
                <w:b/>
                <w:bCs/>
              </w:rPr>
              <w:t>Intensitate</w:t>
            </w:r>
          </w:p>
        </w:tc>
      </w:tr>
      <w:tr w:rsidR="0007555D" w:rsidRPr="00C56257" w14:paraId="44C36F17" w14:textId="77777777" w:rsidTr="0007555D">
        <w:tc>
          <w:tcPr>
            <w:tcW w:w="643" w:type="dxa"/>
            <w:vAlign w:val="center"/>
          </w:tcPr>
          <w:p w14:paraId="06A2C146" w14:textId="77777777" w:rsidR="0007555D" w:rsidRPr="00C56257" w:rsidRDefault="0007555D" w:rsidP="00F100E1">
            <w:pPr>
              <w:jc w:val="both"/>
            </w:pPr>
            <w:r w:rsidRPr="00C56257">
              <w:t>B06</w:t>
            </w:r>
          </w:p>
        </w:tc>
        <w:tc>
          <w:tcPr>
            <w:tcW w:w="2579" w:type="dxa"/>
            <w:vAlign w:val="center"/>
          </w:tcPr>
          <w:p w14:paraId="2CDD4A76" w14:textId="77777777" w:rsidR="0007555D" w:rsidRPr="00C56257" w:rsidRDefault="0007555D" w:rsidP="00F100E1">
            <w:pPr>
              <w:jc w:val="both"/>
            </w:pPr>
            <w:r w:rsidRPr="00C56257">
              <w:t>Exploatarea arborilor individuali (Tăiere selectivă)</w:t>
            </w:r>
          </w:p>
        </w:tc>
        <w:tc>
          <w:tcPr>
            <w:tcW w:w="1310" w:type="dxa"/>
            <w:vAlign w:val="center"/>
          </w:tcPr>
          <w:p w14:paraId="407E54E7" w14:textId="77777777" w:rsidR="0007555D" w:rsidRPr="00C56257" w:rsidRDefault="0007555D" w:rsidP="00F100E1">
            <w:pPr>
              <w:jc w:val="both"/>
            </w:pPr>
            <w:r w:rsidRPr="00C56257">
              <w:t>Ridicată</w:t>
            </w:r>
          </w:p>
        </w:tc>
        <w:tc>
          <w:tcPr>
            <w:tcW w:w="643" w:type="dxa"/>
            <w:vAlign w:val="center"/>
          </w:tcPr>
          <w:p w14:paraId="498BF90F" w14:textId="77777777" w:rsidR="0007555D" w:rsidRPr="00C56257" w:rsidRDefault="0007555D" w:rsidP="00F100E1">
            <w:pPr>
              <w:jc w:val="both"/>
            </w:pPr>
            <w:r w:rsidRPr="00C56257">
              <w:t>B06</w:t>
            </w:r>
          </w:p>
        </w:tc>
        <w:tc>
          <w:tcPr>
            <w:tcW w:w="2531" w:type="dxa"/>
            <w:vAlign w:val="center"/>
          </w:tcPr>
          <w:p w14:paraId="19DE97CF" w14:textId="77777777" w:rsidR="0007555D" w:rsidRPr="00C56257" w:rsidRDefault="0007555D" w:rsidP="00F100E1">
            <w:pPr>
              <w:jc w:val="both"/>
            </w:pPr>
            <w:r w:rsidRPr="00C56257">
              <w:t>Exploatarea arborilor individuali (Tăiere selectivă)</w:t>
            </w:r>
          </w:p>
        </w:tc>
        <w:tc>
          <w:tcPr>
            <w:tcW w:w="1310" w:type="dxa"/>
            <w:vAlign w:val="center"/>
          </w:tcPr>
          <w:p w14:paraId="0B728E22" w14:textId="77777777" w:rsidR="0007555D" w:rsidRPr="00C56257" w:rsidRDefault="0007555D" w:rsidP="00F100E1">
            <w:pPr>
              <w:jc w:val="both"/>
            </w:pPr>
            <w:r w:rsidRPr="00C56257">
              <w:t>Medie</w:t>
            </w:r>
          </w:p>
        </w:tc>
      </w:tr>
      <w:tr w:rsidR="0007555D" w:rsidRPr="00C56257" w14:paraId="104A7F64" w14:textId="77777777" w:rsidTr="0007555D">
        <w:tc>
          <w:tcPr>
            <w:tcW w:w="643" w:type="dxa"/>
            <w:vAlign w:val="center"/>
          </w:tcPr>
          <w:p w14:paraId="18899CCD" w14:textId="77777777" w:rsidR="0007555D" w:rsidRPr="00C56257" w:rsidRDefault="0007555D" w:rsidP="00F100E1">
            <w:pPr>
              <w:jc w:val="both"/>
            </w:pPr>
            <w:r w:rsidRPr="00C56257">
              <w:t>B10</w:t>
            </w:r>
          </w:p>
        </w:tc>
        <w:tc>
          <w:tcPr>
            <w:tcW w:w="2579" w:type="dxa"/>
            <w:vAlign w:val="center"/>
          </w:tcPr>
          <w:p w14:paraId="725116F9" w14:textId="77777777" w:rsidR="0007555D" w:rsidRPr="00C56257" w:rsidRDefault="0007555D" w:rsidP="00F100E1">
            <w:pPr>
              <w:jc w:val="both"/>
            </w:pPr>
            <w:r w:rsidRPr="00C56257">
              <w:t>Exploatare ilegală</w:t>
            </w:r>
          </w:p>
        </w:tc>
        <w:tc>
          <w:tcPr>
            <w:tcW w:w="1310" w:type="dxa"/>
            <w:vAlign w:val="center"/>
          </w:tcPr>
          <w:p w14:paraId="2BEB38A2" w14:textId="77777777" w:rsidR="0007555D" w:rsidRPr="00C56257" w:rsidRDefault="0007555D" w:rsidP="00F100E1">
            <w:pPr>
              <w:jc w:val="both"/>
            </w:pPr>
            <w:r w:rsidRPr="00C56257">
              <w:t>Medie</w:t>
            </w:r>
          </w:p>
        </w:tc>
        <w:tc>
          <w:tcPr>
            <w:tcW w:w="643" w:type="dxa"/>
            <w:vAlign w:val="center"/>
          </w:tcPr>
          <w:p w14:paraId="79E86129" w14:textId="77777777" w:rsidR="0007555D" w:rsidRPr="00C56257" w:rsidRDefault="0007555D" w:rsidP="00F100E1">
            <w:pPr>
              <w:jc w:val="both"/>
            </w:pPr>
          </w:p>
        </w:tc>
        <w:tc>
          <w:tcPr>
            <w:tcW w:w="2531" w:type="dxa"/>
            <w:vAlign w:val="center"/>
          </w:tcPr>
          <w:p w14:paraId="62E45894" w14:textId="77777777" w:rsidR="0007555D" w:rsidRPr="00C56257" w:rsidRDefault="0007555D" w:rsidP="00F100E1">
            <w:pPr>
              <w:jc w:val="both"/>
            </w:pPr>
          </w:p>
        </w:tc>
        <w:tc>
          <w:tcPr>
            <w:tcW w:w="1310" w:type="dxa"/>
            <w:vAlign w:val="center"/>
          </w:tcPr>
          <w:p w14:paraId="6D271B2D" w14:textId="77777777" w:rsidR="0007555D" w:rsidRPr="00C56257" w:rsidRDefault="0007555D" w:rsidP="00F100E1">
            <w:pPr>
              <w:jc w:val="both"/>
            </w:pPr>
          </w:p>
        </w:tc>
      </w:tr>
      <w:tr w:rsidR="0007555D" w:rsidRPr="00C56257" w14:paraId="18D322D1" w14:textId="77777777" w:rsidTr="0007555D">
        <w:tc>
          <w:tcPr>
            <w:tcW w:w="643" w:type="dxa"/>
          </w:tcPr>
          <w:p w14:paraId="1505E47D" w14:textId="77777777" w:rsidR="0007555D" w:rsidRPr="00C56257" w:rsidRDefault="0007555D" w:rsidP="00F100E1">
            <w:pPr>
              <w:jc w:val="both"/>
            </w:pPr>
            <w:r w:rsidRPr="00C56257">
              <w:t>B12</w:t>
            </w:r>
          </w:p>
        </w:tc>
        <w:tc>
          <w:tcPr>
            <w:tcW w:w="2579" w:type="dxa"/>
          </w:tcPr>
          <w:p w14:paraId="1E1B5BFD" w14:textId="77777777" w:rsidR="0007555D" w:rsidRPr="00C56257" w:rsidRDefault="0007555D" w:rsidP="00F100E1">
            <w:pPr>
              <w:jc w:val="both"/>
            </w:pPr>
            <w:r w:rsidRPr="00C56257">
              <w:t>Rărituri</w:t>
            </w:r>
          </w:p>
        </w:tc>
        <w:tc>
          <w:tcPr>
            <w:tcW w:w="1310" w:type="dxa"/>
          </w:tcPr>
          <w:p w14:paraId="1AA4C4D1" w14:textId="77777777" w:rsidR="0007555D" w:rsidRPr="00C56257" w:rsidRDefault="0007555D" w:rsidP="00F100E1">
            <w:pPr>
              <w:jc w:val="both"/>
            </w:pPr>
            <w:r w:rsidRPr="00C56257">
              <w:t>Medie</w:t>
            </w:r>
          </w:p>
        </w:tc>
        <w:tc>
          <w:tcPr>
            <w:tcW w:w="643" w:type="dxa"/>
          </w:tcPr>
          <w:p w14:paraId="3E1F397A" w14:textId="77777777" w:rsidR="0007555D" w:rsidRPr="00C56257" w:rsidRDefault="0007555D" w:rsidP="00F100E1">
            <w:pPr>
              <w:jc w:val="both"/>
            </w:pPr>
          </w:p>
        </w:tc>
        <w:tc>
          <w:tcPr>
            <w:tcW w:w="2531" w:type="dxa"/>
          </w:tcPr>
          <w:p w14:paraId="4EECD5F6" w14:textId="77777777" w:rsidR="0007555D" w:rsidRPr="00C56257" w:rsidRDefault="0007555D" w:rsidP="00F100E1">
            <w:pPr>
              <w:ind w:firstLine="106"/>
              <w:jc w:val="both"/>
            </w:pPr>
          </w:p>
        </w:tc>
        <w:tc>
          <w:tcPr>
            <w:tcW w:w="1310" w:type="dxa"/>
          </w:tcPr>
          <w:p w14:paraId="6ED913A2" w14:textId="77777777" w:rsidR="0007555D" w:rsidRPr="00C56257" w:rsidRDefault="0007555D" w:rsidP="00F100E1">
            <w:pPr>
              <w:jc w:val="both"/>
            </w:pPr>
          </w:p>
        </w:tc>
      </w:tr>
    </w:tbl>
    <w:p w14:paraId="76EB743B"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9150 - Păduri medio-europene de fag din </w:t>
      </w:r>
      <w:r w:rsidRPr="00C56257">
        <w:rPr>
          <w:rFonts w:eastAsia="Calibri"/>
          <w:b/>
          <w:i/>
          <w:iCs/>
        </w:rPr>
        <w:t>Cephalanthero-Fagion</w:t>
      </w:r>
      <w:r w:rsidRPr="00C56257">
        <w:rPr>
          <w:rFonts w:eastAsia="Calibri"/>
          <w:b/>
        </w:rPr>
        <w:t xml:space="preserve"> </w:t>
      </w:r>
    </w:p>
    <w:p w14:paraId="41D6E023"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lastRenderedPageBreak/>
        <w:t>Regiunea biogeografică Alpină</w:t>
      </w:r>
    </w:p>
    <w:tbl>
      <w:tblPr>
        <w:tblStyle w:val="TableGrid"/>
        <w:tblW w:w="0" w:type="auto"/>
        <w:tblLook w:val="04A0" w:firstRow="1" w:lastRow="0" w:firstColumn="1" w:lastColumn="0" w:noHBand="0" w:noVBand="1"/>
      </w:tblPr>
      <w:tblGrid>
        <w:gridCol w:w="643"/>
        <w:gridCol w:w="2513"/>
        <w:gridCol w:w="1429"/>
        <w:gridCol w:w="630"/>
        <w:gridCol w:w="2597"/>
        <w:gridCol w:w="1310"/>
      </w:tblGrid>
      <w:tr w:rsidR="0007555D" w:rsidRPr="00C56257" w14:paraId="64E98384" w14:textId="77777777" w:rsidTr="0007555D">
        <w:tc>
          <w:tcPr>
            <w:tcW w:w="4585" w:type="dxa"/>
            <w:gridSpan w:val="3"/>
          </w:tcPr>
          <w:p w14:paraId="6B617D59" w14:textId="77777777" w:rsidR="0007555D" w:rsidRPr="00C56257" w:rsidRDefault="0007555D" w:rsidP="00F100E1">
            <w:pPr>
              <w:jc w:val="both"/>
            </w:pPr>
            <w:r w:rsidRPr="00C56257">
              <w:t>Presiuni</w:t>
            </w:r>
          </w:p>
        </w:tc>
        <w:tc>
          <w:tcPr>
            <w:tcW w:w="4537" w:type="dxa"/>
            <w:gridSpan w:val="3"/>
          </w:tcPr>
          <w:p w14:paraId="1612A8FC" w14:textId="77777777" w:rsidR="0007555D" w:rsidRPr="00C56257" w:rsidRDefault="0007555D" w:rsidP="00F100E1">
            <w:pPr>
              <w:jc w:val="both"/>
            </w:pPr>
            <w:r w:rsidRPr="00C56257">
              <w:t>Amenințări</w:t>
            </w:r>
          </w:p>
        </w:tc>
      </w:tr>
      <w:tr w:rsidR="0007555D" w:rsidRPr="00C56257" w14:paraId="469AB186" w14:textId="77777777" w:rsidTr="0007555D">
        <w:tc>
          <w:tcPr>
            <w:tcW w:w="643" w:type="dxa"/>
          </w:tcPr>
          <w:p w14:paraId="6D675317" w14:textId="77777777" w:rsidR="0007555D" w:rsidRPr="00C56257" w:rsidRDefault="0007555D" w:rsidP="008E33FD">
            <w:pPr>
              <w:jc w:val="both"/>
            </w:pPr>
            <w:r w:rsidRPr="00C56257">
              <w:t>Cod</w:t>
            </w:r>
          </w:p>
        </w:tc>
        <w:tc>
          <w:tcPr>
            <w:tcW w:w="2513" w:type="dxa"/>
          </w:tcPr>
          <w:p w14:paraId="2FEB8807" w14:textId="77777777" w:rsidR="0007555D" w:rsidRPr="00C56257" w:rsidRDefault="0007555D" w:rsidP="008E33FD">
            <w:pPr>
              <w:jc w:val="both"/>
            </w:pPr>
            <w:r w:rsidRPr="00C56257">
              <w:t>Denumire</w:t>
            </w:r>
          </w:p>
        </w:tc>
        <w:tc>
          <w:tcPr>
            <w:tcW w:w="1429" w:type="dxa"/>
          </w:tcPr>
          <w:p w14:paraId="79CE32F4" w14:textId="77777777" w:rsidR="0007555D" w:rsidRPr="00C56257" w:rsidRDefault="0007555D" w:rsidP="008E33FD">
            <w:pPr>
              <w:jc w:val="both"/>
            </w:pPr>
            <w:r w:rsidRPr="00C56257">
              <w:t>Intensitate</w:t>
            </w:r>
          </w:p>
        </w:tc>
        <w:tc>
          <w:tcPr>
            <w:tcW w:w="630" w:type="dxa"/>
          </w:tcPr>
          <w:p w14:paraId="7685C69B" w14:textId="77777777" w:rsidR="0007555D" w:rsidRPr="00C56257" w:rsidRDefault="0007555D" w:rsidP="008E33FD">
            <w:pPr>
              <w:jc w:val="both"/>
            </w:pPr>
            <w:r w:rsidRPr="00C56257">
              <w:t>Cod</w:t>
            </w:r>
          </w:p>
        </w:tc>
        <w:tc>
          <w:tcPr>
            <w:tcW w:w="2597" w:type="dxa"/>
          </w:tcPr>
          <w:p w14:paraId="05210DD7" w14:textId="77777777" w:rsidR="0007555D" w:rsidRPr="00C56257" w:rsidRDefault="0007555D" w:rsidP="008E33FD">
            <w:pPr>
              <w:jc w:val="both"/>
            </w:pPr>
            <w:r w:rsidRPr="00C56257">
              <w:t>Denumire</w:t>
            </w:r>
          </w:p>
        </w:tc>
        <w:tc>
          <w:tcPr>
            <w:tcW w:w="1310" w:type="dxa"/>
          </w:tcPr>
          <w:p w14:paraId="601CA960" w14:textId="77777777" w:rsidR="0007555D" w:rsidRPr="00C56257" w:rsidRDefault="0007555D" w:rsidP="008E33FD">
            <w:pPr>
              <w:jc w:val="both"/>
            </w:pPr>
            <w:r w:rsidRPr="00C56257">
              <w:t>Intensitate</w:t>
            </w:r>
          </w:p>
        </w:tc>
      </w:tr>
      <w:tr w:rsidR="0007555D" w:rsidRPr="00C56257" w14:paraId="64F27131" w14:textId="77777777" w:rsidTr="0007555D">
        <w:tc>
          <w:tcPr>
            <w:tcW w:w="643" w:type="dxa"/>
          </w:tcPr>
          <w:p w14:paraId="37993FDE" w14:textId="77777777" w:rsidR="0007555D" w:rsidRPr="00C56257" w:rsidRDefault="0007555D" w:rsidP="00F100E1">
            <w:pPr>
              <w:jc w:val="both"/>
            </w:pPr>
            <w:r w:rsidRPr="00C56257">
              <w:t>A09</w:t>
            </w:r>
          </w:p>
        </w:tc>
        <w:tc>
          <w:tcPr>
            <w:tcW w:w="2513" w:type="dxa"/>
          </w:tcPr>
          <w:p w14:paraId="0D33E77E" w14:textId="77777777" w:rsidR="0007555D" w:rsidRPr="00C56257" w:rsidRDefault="0007555D" w:rsidP="00F100E1">
            <w:pPr>
              <w:jc w:val="both"/>
            </w:pPr>
            <w:r w:rsidRPr="00C56257">
              <w:t>Pășunat intensiv</w:t>
            </w:r>
          </w:p>
        </w:tc>
        <w:tc>
          <w:tcPr>
            <w:tcW w:w="1429" w:type="dxa"/>
          </w:tcPr>
          <w:p w14:paraId="1B4476F6" w14:textId="77777777" w:rsidR="0007555D" w:rsidRPr="00C56257" w:rsidRDefault="0007555D" w:rsidP="00F100E1">
            <w:pPr>
              <w:jc w:val="both"/>
            </w:pPr>
            <w:r w:rsidRPr="00C56257">
              <w:t>Medie</w:t>
            </w:r>
          </w:p>
        </w:tc>
        <w:tc>
          <w:tcPr>
            <w:tcW w:w="630" w:type="dxa"/>
          </w:tcPr>
          <w:p w14:paraId="2C9478F6" w14:textId="77777777" w:rsidR="0007555D" w:rsidRPr="00C56257" w:rsidRDefault="0007555D" w:rsidP="00F100E1">
            <w:pPr>
              <w:jc w:val="both"/>
            </w:pPr>
            <w:r w:rsidRPr="00C56257">
              <w:t>A09</w:t>
            </w:r>
          </w:p>
        </w:tc>
        <w:tc>
          <w:tcPr>
            <w:tcW w:w="2597" w:type="dxa"/>
          </w:tcPr>
          <w:p w14:paraId="56F134AE" w14:textId="77777777" w:rsidR="0007555D" w:rsidRPr="00C56257" w:rsidRDefault="0007555D" w:rsidP="00F100E1">
            <w:pPr>
              <w:jc w:val="both"/>
            </w:pPr>
            <w:r w:rsidRPr="00C56257">
              <w:t>Pășunat intensiv</w:t>
            </w:r>
          </w:p>
        </w:tc>
        <w:tc>
          <w:tcPr>
            <w:tcW w:w="1310" w:type="dxa"/>
          </w:tcPr>
          <w:p w14:paraId="7E7EE3B4" w14:textId="77777777" w:rsidR="0007555D" w:rsidRPr="00C56257" w:rsidRDefault="0007555D" w:rsidP="00F100E1">
            <w:pPr>
              <w:jc w:val="both"/>
            </w:pPr>
            <w:r w:rsidRPr="00C56257">
              <w:t>Medie</w:t>
            </w:r>
          </w:p>
        </w:tc>
      </w:tr>
    </w:tbl>
    <w:p w14:paraId="43ED47EE"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Continentală</w:t>
      </w:r>
    </w:p>
    <w:tbl>
      <w:tblPr>
        <w:tblStyle w:val="TableGrid"/>
        <w:tblW w:w="0" w:type="auto"/>
        <w:tblLook w:val="04A0" w:firstRow="1" w:lastRow="0" w:firstColumn="1" w:lastColumn="0" w:noHBand="0" w:noVBand="1"/>
      </w:tblPr>
      <w:tblGrid>
        <w:gridCol w:w="643"/>
        <w:gridCol w:w="2579"/>
        <w:gridCol w:w="1310"/>
        <w:gridCol w:w="643"/>
        <w:gridCol w:w="2531"/>
        <w:gridCol w:w="1310"/>
      </w:tblGrid>
      <w:tr w:rsidR="0007555D" w:rsidRPr="00C56257" w14:paraId="6CE26DF2" w14:textId="77777777" w:rsidTr="0007555D">
        <w:tc>
          <w:tcPr>
            <w:tcW w:w="4532" w:type="dxa"/>
            <w:gridSpan w:val="3"/>
          </w:tcPr>
          <w:p w14:paraId="00ED5B38" w14:textId="77777777" w:rsidR="0007555D" w:rsidRPr="00C56257" w:rsidRDefault="0007555D" w:rsidP="00F100E1">
            <w:pPr>
              <w:jc w:val="both"/>
            </w:pPr>
            <w:r w:rsidRPr="00C56257">
              <w:t>Presiuni</w:t>
            </w:r>
          </w:p>
        </w:tc>
        <w:tc>
          <w:tcPr>
            <w:tcW w:w="4484" w:type="dxa"/>
            <w:gridSpan w:val="3"/>
          </w:tcPr>
          <w:p w14:paraId="2CD11A15" w14:textId="77777777" w:rsidR="0007555D" w:rsidRPr="00C56257" w:rsidRDefault="0007555D" w:rsidP="00F100E1">
            <w:pPr>
              <w:jc w:val="both"/>
            </w:pPr>
            <w:r w:rsidRPr="00C56257">
              <w:t>Amenințări</w:t>
            </w:r>
          </w:p>
        </w:tc>
      </w:tr>
      <w:tr w:rsidR="0007555D" w:rsidRPr="00C56257" w14:paraId="0F3160F0" w14:textId="77777777" w:rsidTr="0007555D">
        <w:tc>
          <w:tcPr>
            <w:tcW w:w="643" w:type="dxa"/>
          </w:tcPr>
          <w:p w14:paraId="45A0CBD8" w14:textId="77777777" w:rsidR="0007555D" w:rsidRPr="00C56257" w:rsidRDefault="0007555D" w:rsidP="008E33FD">
            <w:pPr>
              <w:jc w:val="both"/>
            </w:pPr>
            <w:r w:rsidRPr="00C56257">
              <w:t>Cod</w:t>
            </w:r>
          </w:p>
        </w:tc>
        <w:tc>
          <w:tcPr>
            <w:tcW w:w="2579" w:type="dxa"/>
          </w:tcPr>
          <w:p w14:paraId="44B9077E" w14:textId="77777777" w:rsidR="0007555D" w:rsidRPr="00C56257" w:rsidRDefault="0007555D" w:rsidP="008E33FD">
            <w:pPr>
              <w:jc w:val="both"/>
            </w:pPr>
            <w:r w:rsidRPr="00C56257">
              <w:t>Denumire</w:t>
            </w:r>
          </w:p>
        </w:tc>
        <w:tc>
          <w:tcPr>
            <w:tcW w:w="1310" w:type="dxa"/>
          </w:tcPr>
          <w:p w14:paraId="09614771" w14:textId="77777777" w:rsidR="0007555D" w:rsidRPr="00C56257" w:rsidRDefault="0007555D" w:rsidP="008E33FD">
            <w:pPr>
              <w:jc w:val="both"/>
            </w:pPr>
            <w:r w:rsidRPr="00C56257">
              <w:t>Intensitate</w:t>
            </w:r>
          </w:p>
        </w:tc>
        <w:tc>
          <w:tcPr>
            <w:tcW w:w="643" w:type="dxa"/>
          </w:tcPr>
          <w:p w14:paraId="73FE6548" w14:textId="77777777" w:rsidR="0007555D" w:rsidRPr="00C56257" w:rsidRDefault="0007555D" w:rsidP="008E33FD">
            <w:pPr>
              <w:jc w:val="both"/>
            </w:pPr>
            <w:r w:rsidRPr="00C56257">
              <w:t>Cod</w:t>
            </w:r>
          </w:p>
        </w:tc>
        <w:tc>
          <w:tcPr>
            <w:tcW w:w="2531" w:type="dxa"/>
          </w:tcPr>
          <w:p w14:paraId="018073F2" w14:textId="77777777" w:rsidR="0007555D" w:rsidRPr="00C56257" w:rsidRDefault="0007555D" w:rsidP="008E33FD">
            <w:pPr>
              <w:jc w:val="both"/>
            </w:pPr>
            <w:r w:rsidRPr="00C56257">
              <w:t>Denumire</w:t>
            </w:r>
          </w:p>
        </w:tc>
        <w:tc>
          <w:tcPr>
            <w:tcW w:w="1310" w:type="dxa"/>
          </w:tcPr>
          <w:p w14:paraId="37ECB6E6" w14:textId="77777777" w:rsidR="0007555D" w:rsidRPr="00C56257" w:rsidRDefault="0007555D" w:rsidP="008E33FD">
            <w:pPr>
              <w:jc w:val="both"/>
            </w:pPr>
            <w:r w:rsidRPr="00C56257">
              <w:t>Intensitate</w:t>
            </w:r>
          </w:p>
        </w:tc>
      </w:tr>
      <w:tr w:rsidR="0007555D" w:rsidRPr="00C56257" w14:paraId="3917AC68" w14:textId="77777777" w:rsidTr="0007555D">
        <w:tc>
          <w:tcPr>
            <w:tcW w:w="643" w:type="dxa"/>
          </w:tcPr>
          <w:p w14:paraId="74608BC9" w14:textId="77777777" w:rsidR="0007555D" w:rsidRPr="00C56257" w:rsidRDefault="0007555D" w:rsidP="00F100E1">
            <w:pPr>
              <w:jc w:val="both"/>
            </w:pPr>
            <w:r w:rsidRPr="00C56257">
              <w:t>B10</w:t>
            </w:r>
          </w:p>
        </w:tc>
        <w:tc>
          <w:tcPr>
            <w:tcW w:w="2579" w:type="dxa"/>
          </w:tcPr>
          <w:p w14:paraId="36DF8B7E" w14:textId="77777777" w:rsidR="0007555D" w:rsidRPr="00C56257" w:rsidRDefault="0007555D" w:rsidP="00F100E1">
            <w:pPr>
              <w:jc w:val="both"/>
            </w:pPr>
            <w:r w:rsidRPr="00C56257">
              <w:t>Exploatare ilegală</w:t>
            </w:r>
          </w:p>
        </w:tc>
        <w:tc>
          <w:tcPr>
            <w:tcW w:w="1310" w:type="dxa"/>
          </w:tcPr>
          <w:p w14:paraId="38F722C9" w14:textId="77777777" w:rsidR="0007555D" w:rsidRPr="00C56257" w:rsidRDefault="0007555D" w:rsidP="00F100E1">
            <w:pPr>
              <w:jc w:val="both"/>
            </w:pPr>
            <w:r w:rsidRPr="00C56257">
              <w:t>Ridicată</w:t>
            </w:r>
          </w:p>
        </w:tc>
        <w:tc>
          <w:tcPr>
            <w:tcW w:w="643" w:type="dxa"/>
          </w:tcPr>
          <w:p w14:paraId="7BFE53D4" w14:textId="77777777" w:rsidR="0007555D" w:rsidRPr="00C56257" w:rsidRDefault="0007555D" w:rsidP="00F100E1">
            <w:pPr>
              <w:jc w:val="both"/>
            </w:pPr>
            <w:r w:rsidRPr="00C56257">
              <w:t>B10</w:t>
            </w:r>
          </w:p>
        </w:tc>
        <w:tc>
          <w:tcPr>
            <w:tcW w:w="2531" w:type="dxa"/>
          </w:tcPr>
          <w:p w14:paraId="66E2F1E9" w14:textId="77777777" w:rsidR="0007555D" w:rsidRPr="00C56257" w:rsidRDefault="0007555D" w:rsidP="00F100E1">
            <w:pPr>
              <w:jc w:val="both"/>
            </w:pPr>
            <w:r w:rsidRPr="00C56257">
              <w:t>Exploatare ilegală</w:t>
            </w:r>
          </w:p>
        </w:tc>
        <w:tc>
          <w:tcPr>
            <w:tcW w:w="1310" w:type="dxa"/>
          </w:tcPr>
          <w:p w14:paraId="2B676843" w14:textId="77777777" w:rsidR="0007555D" w:rsidRPr="00C56257" w:rsidRDefault="0007555D" w:rsidP="00F100E1">
            <w:pPr>
              <w:jc w:val="both"/>
            </w:pPr>
            <w:r w:rsidRPr="00C56257">
              <w:t>Ridicată</w:t>
            </w:r>
          </w:p>
        </w:tc>
      </w:tr>
      <w:tr w:rsidR="0007555D" w:rsidRPr="00C56257" w14:paraId="2D3285F3" w14:textId="77777777" w:rsidTr="0007555D">
        <w:tc>
          <w:tcPr>
            <w:tcW w:w="643" w:type="dxa"/>
          </w:tcPr>
          <w:p w14:paraId="5C3DD1FE" w14:textId="77777777" w:rsidR="0007555D" w:rsidRPr="00C56257" w:rsidRDefault="0007555D" w:rsidP="00F100E1">
            <w:pPr>
              <w:jc w:val="both"/>
            </w:pPr>
            <w:r w:rsidRPr="00C56257">
              <w:t>A09</w:t>
            </w:r>
          </w:p>
        </w:tc>
        <w:tc>
          <w:tcPr>
            <w:tcW w:w="2579" w:type="dxa"/>
          </w:tcPr>
          <w:p w14:paraId="4AADF0AA" w14:textId="77777777" w:rsidR="0007555D" w:rsidRPr="00C56257" w:rsidRDefault="0007555D" w:rsidP="00F100E1">
            <w:pPr>
              <w:jc w:val="both"/>
            </w:pPr>
            <w:r w:rsidRPr="00C56257">
              <w:t>Pășunat intensiv</w:t>
            </w:r>
          </w:p>
        </w:tc>
        <w:tc>
          <w:tcPr>
            <w:tcW w:w="1310" w:type="dxa"/>
          </w:tcPr>
          <w:p w14:paraId="0DF6791C" w14:textId="77777777" w:rsidR="0007555D" w:rsidRPr="00C56257" w:rsidRDefault="0007555D" w:rsidP="00F100E1">
            <w:pPr>
              <w:jc w:val="both"/>
            </w:pPr>
            <w:r w:rsidRPr="00C56257">
              <w:t>Medie</w:t>
            </w:r>
          </w:p>
        </w:tc>
        <w:tc>
          <w:tcPr>
            <w:tcW w:w="643" w:type="dxa"/>
          </w:tcPr>
          <w:p w14:paraId="4390E85C" w14:textId="77777777" w:rsidR="0007555D" w:rsidRPr="00C56257" w:rsidRDefault="0007555D" w:rsidP="00F100E1">
            <w:pPr>
              <w:jc w:val="both"/>
            </w:pPr>
            <w:r w:rsidRPr="00C56257">
              <w:t>A09</w:t>
            </w:r>
          </w:p>
        </w:tc>
        <w:tc>
          <w:tcPr>
            <w:tcW w:w="2531" w:type="dxa"/>
          </w:tcPr>
          <w:p w14:paraId="292EEC50" w14:textId="77777777" w:rsidR="0007555D" w:rsidRPr="00C56257" w:rsidRDefault="0007555D" w:rsidP="00F100E1">
            <w:pPr>
              <w:jc w:val="both"/>
            </w:pPr>
            <w:r w:rsidRPr="00C56257">
              <w:t>Pășunat intensiv</w:t>
            </w:r>
          </w:p>
        </w:tc>
        <w:tc>
          <w:tcPr>
            <w:tcW w:w="1310" w:type="dxa"/>
          </w:tcPr>
          <w:p w14:paraId="082C7934" w14:textId="77777777" w:rsidR="0007555D" w:rsidRPr="00C56257" w:rsidRDefault="0007555D" w:rsidP="00F100E1">
            <w:pPr>
              <w:jc w:val="both"/>
            </w:pPr>
            <w:r w:rsidRPr="00C56257">
              <w:t>Medie</w:t>
            </w:r>
          </w:p>
        </w:tc>
      </w:tr>
    </w:tbl>
    <w:p w14:paraId="06498EC0" w14:textId="77777777" w:rsidR="0007555D" w:rsidRPr="00C56257" w:rsidRDefault="0007555D" w:rsidP="008E33FD">
      <w:pPr>
        <w:tabs>
          <w:tab w:val="num" w:pos="360"/>
        </w:tabs>
        <w:ind w:left="360" w:hanging="360"/>
        <w:jc w:val="both"/>
        <w:rPr>
          <w:rFonts w:eastAsia="Calibri"/>
          <w:b/>
        </w:rPr>
      </w:pPr>
    </w:p>
    <w:p w14:paraId="4EF61C90"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9170 - Păduri de stejar cu carpen de tip  </w:t>
      </w:r>
      <w:r w:rsidRPr="00C56257">
        <w:rPr>
          <w:rFonts w:eastAsia="Calibri"/>
          <w:b/>
          <w:i/>
          <w:iCs/>
        </w:rPr>
        <w:t>Galio-Carpinetum</w:t>
      </w:r>
      <w:r w:rsidRPr="00C56257">
        <w:rPr>
          <w:rFonts w:eastAsia="Calibri"/>
          <w:b/>
        </w:rPr>
        <w:t xml:space="preserve"> </w:t>
      </w:r>
    </w:p>
    <w:p w14:paraId="52B29EB9"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Alpină</w:t>
      </w:r>
    </w:p>
    <w:tbl>
      <w:tblPr>
        <w:tblStyle w:val="TableGrid"/>
        <w:tblW w:w="0" w:type="auto"/>
        <w:tblLook w:val="04A0" w:firstRow="1" w:lastRow="0" w:firstColumn="1" w:lastColumn="0" w:noHBand="0" w:noVBand="1"/>
      </w:tblPr>
      <w:tblGrid>
        <w:gridCol w:w="643"/>
        <w:gridCol w:w="2579"/>
        <w:gridCol w:w="1310"/>
        <w:gridCol w:w="643"/>
        <w:gridCol w:w="2531"/>
        <w:gridCol w:w="1310"/>
      </w:tblGrid>
      <w:tr w:rsidR="0007555D" w:rsidRPr="00C56257" w14:paraId="276CD2BC" w14:textId="77777777" w:rsidTr="0007555D">
        <w:tc>
          <w:tcPr>
            <w:tcW w:w="4532" w:type="dxa"/>
            <w:gridSpan w:val="3"/>
          </w:tcPr>
          <w:p w14:paraId="297FF3F4" w14:textId="77777777" w:rsidR="0007555D" w:rsidRPr="00C56257" w:rsidRDefault="0007555D" w:rsidP="00F100E1">
            <w:pPr>
              <w:jc w:val="both"/>
            </w:pPr>
            <w:r w:rsidRPr="00C56257">
              <w:t>Presiuni</w:t>
            </w:r>
          </w:p>
        </w:tc>
        <w:tc>
          <w:tcPr>
            <w:tcW w:w="4484" w:type="dxa"/>
            <w:gridSpan w:val="3"/>
          </w:tcPr>
          <w:p w14:paraId="2CBE9BD4" w14:textId="77777777" w:rsidR="0007555D" w:rsidRPr="00C56257" w:rsidRDefault="0007555D" w:rsidP="00F100E1">
            <w:pPr>
              <w:jc w:val="both"/>
            </w:pPr>
            <w:r w:rsidRPr="00C56257">
              <w:t>Amenințări</w:t>
            </w:r>
          </w:p>
        </w:tc>
      </w:tr>
      <w:tr w:rsidR="0007555D" w:rsidRPr="00C56257" w14:paraId="0F9BBF36" w14:textId="77777777" w:rsidTr="0007555D">
        <w:tc>
          <w:tcPr>
            <w:tcW w:w="643" w:type="dxa"/>
          </w:tcPr>
          <w:p w14:paraId="14DD2B0D" w14:textId="77777777" w:rsidR="0007555D" w:rsidRPr="00C56257" w:rsidRDefault="0007555D" w:rsidP="008E33FD">
            <w:pPr>
              <w:jc w:val="both"/>
            </w:pPr>
            <w:r w:rsidRPr="00C56257">
              <w:t>Cod</w:t>
            </w:r>
          </w:p>
        </w:tc>
        <w:tc>
          <w:tcPr>
            <w:tcW w:w="2579" w:type="dxa"/>
          </w:tcPr>
          <w:p w14:paraId="03C94068" w14:textId="77777777" w:rsidR="0007555D" w:rsidRPr="00C56257" w:rsidRDefault="0007555D" w:rsidP="008E33FD">
            <w:pPr>
              <w:jc w:val="both"/>
            </w:pPr>
            <w:r w:rsidRPr="00C56257">
              <w:t>Denumire</w:t>
            </w:r>
          </w:p>
        </w:tc>
        <w:tc>
          <w:tcPr>
            <w:tcW w:w="1310" w:type="dxa"/>
          </w:tcPr>
          <w:p w14:paraId="5AB88F7A" w14:textId="77777777" w:rsidR="0007555D" w:rsidRPr="00C56257" w:rsidRDefault="0007555D" w:rsidP="008E33FD">
            <w:pPr>
              <w:jc w:val="both"/>
            </w:pPr>
            <w:r w:rsidRPr="00C56257">
              <w:t>Intensitate</w:t>
            </w:r>
          </w:p>
        </w:tc>
        <w:tc>
          <w:tcPr>
            <w:tcW w:w="643" w:type="dxa"/>
          </w:tcPr>
          <w:p w14:paraId="75650FE9" w14:textId="77777777" w:rsidR="0007555D" w:rsidRPr="00C56257" w:rsidRDefault="0007555D" w:rsidP="008E33FD">
            <w:pPr>
              <w:jc w:val="both"/>
            </w:pPr>
            <w:r w:rsidRPr="00C56257">
              <w:t>Cod</w:t>
            </w:r>
          </w:p>
        </w:tc>
        <w:tc>
          <w:tcPr>
            <w:tcW w:w="2531" w:type="dxa"/>
          </w:tcPr>
          <w:p w14:paraId="4120609F" w14:textId="77777777" w:rsidR="0007555D" w:rsidRPr="00C56257" w:rsidRDefault="0007555D" w:rsidP="008E33FD">
            <w:pPr>
              <w:jc w:val="both"/>
            </w:pPr>
            <w:r w:rsidRPr="00C56257">
              <w:t>Denumire</w:t>
            </w:r>
          </w:p>
        </w:tc>
        <w:tc>
          <w:tcPr>
            <w:tcW w:w="1310" w:type="dxa"/>
          </w:tcPr>
          <w:p w14:paraId="12277AB9" w14:textId="77777777" w:rsidR="0007555D" w:rsidRPr="00C56257" w:rsidRDefault="0007555D" w:rsidP="008E33FD">
            <w:pPr>
              <w:jc w:val="both"/>
            </w:pPr>
            <w:r w:rsidRPr="00C56257">
              <w:t>Intensitate</w:t>
            </w:r>
          </w:p>
        </w:tc>
      </w:tr>
      <w:tr w:rsidR="0007555D" w:rsidRPr="00C56257" w14:paraId="1D7C8D3A" w14:textId="77777777" w:rsidTr="0007555D">
        <w:tc>
          <w:tcPr>
            <w:tcW w:w="643" w:type="dxa"/>
            <w:shd w:val="clear" w:color="auto" w:fill="auto"/>
            <w:vAlign w:val="center"/>
          </w:tcPr>
          <w:p w14:paraId="65033057" w14:textId="77777777" w:rsidR="0007555D" w:rsidRPr="00C56257" w:rsidRDefault="0007555D" w:rsidP="00F100E1">
            <w:pPr>
              <w:jc w:val="both"/>
            </w:pPr>
            <w:r w:rsidRPr="00C56257">
              <w:t>C01</w:t>
            </w:r>
          </w:p>
        </w:tc>
        <w:tc>
          <w:tcPr>
            <w:tcW w:w="2579" w:type="dxa"/>
            <w:shd w:val="clear" w:color="auto" w:fill="auto"/>
            <w:vAlign w:val="center"/>
          </w:tcPr>
          <w:p w14:paraId="46625C83" w14:textId="77777777" w:rsidR="0007555D" w:rsidRPr="00C56257" w:rsidRDefault="0007555D" w:rsidP="00F100E1">
            <w:pPr>
              <w:jc w:val="both"/>
            </w:pPr>
            <w:r w:rsidRPr="00C56257">
              <w:t>Extracția mineralelor (rocă, minereuri metalice, pietriș, nisip, coajă, etc.)</w:t>
            </w:r>
          </w:p>
        </w:tc>
        <w:tc>
          <w:tcPr>
            <w:tcW w:w="1310" w:type="dxa"/>
            <w:shd w:val="clear" w:color="auto" w:fill="auto"/>
            <w:vAlign w:val="center"/>
          </w:tcPr>
          <w:p w14:paraId="4683DE70" w14:textId="77777777" w:rsidR="0007555D" w:rsidRPr="00C56257" w:rsidRDefault="0007555D" w:rsidP="00F100E1">
            <w:pPr>
              <w:jc w:val="both"/>
            </w:pPr>
            <w:r w:rsidRPr="00C56257">
              <w:t>Medie</w:t>
            </w:r>
          </w:p>
        </w:tc>
        <w:tc>
          <w:tcPr>
            <w:tcW w:w="643" w:type="dxa"/>
            <w:shd w:val="clear" w:color="auto" w:fill="auto"/>
            <w:vAlign w:val="center"/>
          </w:tcPr>
          <w:p w14:paraId="4BF94827" w14:textId="77777777" w:rsidR="0007555D" w:rsidRPr="00C56257" w:rsidRDefault="0007555D" w:rsidP="00F100E1">
            <w:pPr>
              <w:jc w:val="both"/>
            </w:pPr>
            <w:r w:rsidRPr="00C56257">
              <w:t>C01</w:t>
            </w:r>
          </w:p>
        </w:tc>
        <w:tc>
          <w:tcPr>
            <w:tcW w:w="2531" w:type="dxa"/>
            <w:shd w:val="clear" w:color="auto" w:fill="auto"/>
            <w:vAlign w:val="center"/>
          </w:tcPr>
          <w:p w14:paraId="3551D55D" w14:textId="77777777" w:rsidR="0007555D" w:rsidRPr="00C56257" w:rsidRDefault="0007555D" w:rsidP="00F100E1">
            <w:pPr>
              <w:jc w:val="both"/>
            </w:pPr>
            <w:r w:rsidRPr="00C56257">
              <w:t>Extracția mineralelor (rocă, minereuri metalice, pietriș, nisip, coajă, etc.)</w:t>
            </w:r>
          </w:p>
        </w:tc>
        <w:tc>
          <w:tcPr>
            <w:tcW w:w="1310" w:type="dxa"/>
            <w:shd w:val="clear" w:color="auto" w:fill="auto"/>
            <w:vAlign w:val="center"/>
          </w:tcPr>
          <w:p w14:paraId="1F73186B" w14:textId="77777777" w:rsidR="0007555D" w:rsidRPr="00C56257" w:rsidRDefault="0007555D" w:rsidP="00F100E1">
            <w:pPr>
              <w:jc w:val="both"/>
            </w:pPr>
            <w:r w:rsidRPr="00C56257">
              <w:t>Medie</w:t>
            </w:r>
          </w:p>
        </w:tc>
      </w:tr>
    </w:tbl>
    <w:p w14:paraId="4E42A111"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Continentală</w:t>
      </w:r>
    </w:p>
    <w:tbl>
      <w:tblPr>
        <w:tblStyle w:val="TableGrid"/>
        <w:tblW w:w="0" w:type="auto"/>
        <w:tblLook w:val="04A0" w:firstRow="1" w:lastRow="0" w:firstColumn="1" w:lastColumn="0" w:noHBand="0" w:noVBand="1"/>
      </w:tblPr>
      <w:tblGrid>
        <w:gridCol w:w="643"/>
        <w:gridCol w:w="2579"/>
        <w:gridCol w:w="1310"/>
        <w:gridCol w:w="643"/>
        <w:gridCol w:w="2531"/>
        <w:gridCol w:w="1310"/>
      </w:tblGrid>
      <w:tr w:rsidR="0007555D" w:rsidRPr="00C56257" w14:paraId="6DF668DD" w14:textId="77777777" w:rsidTr="0007555D">
        <w:tc>
          <w:tcPr>
            <w:tcW w:w="4532" w:type="dxa"/>
            <w:gridSpan w:val="3"/>
          </w:tcPr>
          <w:p w14:paraId="6D29EF73" w14:textId="77777777" w:rsidR="0007555D" w:rsidRPr="00C56257" w:rsidRDefault="0007555D" w:rsidP="00F100E1">
            <w:pPr>
              <w:jc w:val="both"/>
            </w:pPr>
            <w:r w:rsidRPr="00C56257">
              <w:t>Presiuni</w:t>
            </w:r>
          </w:p>
        </w:tc>
        <w:tc>
          <w:tcPr>
            <w:tcW w:w="4484" w:type="dxa"/>
            <w:gridSpan w:val="3"/>
          </w:tcPr>
          <w:p w14:paraId="7CD40CA7" w14:textId="77777777" w:rsidR="0007555D" w:rsidRPr="00C56257" w:rsidRDefault="0007555D" w:rsidP="00F100E1">
            <w:pPr>
              <w:jc w:val="both"/>
            </w:pPr>
            <w:r w:rsidRPr="00C56257">
              <w:t>Amenințări</w:t>
            </w:r>
          </w:p>
        </w:tc>
      </w:tr>
      <w:tr w:rsidR="0007555D" w:rsidRPr="00C56257" w14:paraId="468A279C" w14:textId="77777777" w:rsidTr="0007555D">
        <w:tc>
          <w:tcPr>
            <w:tcW w:w="643" w:type="dxa"/>
          </w:tcPr>
          <w:p w14:paraId="2121CC6A" w14:textId="77777777" w:rsidR="0007555D" w:rsidRPr="00C56257" w:rsidRDefault="0007555D" w:rsidP="008E33FD">
            <w:pPr>
              <w:jc w:val="both"/>
            </w:pPr>
            <w:r w:rsidRPr="00C56257">
              <w:t>Cod</w:t>
            </w:r>
          </w:p>
        </w:tc>
        <w:tc>
          <w:tcPr>
            <w:tcW w:w="2579" w:type="dxa"/>
          </w:tcPr>
          <w:p w14:paraId="28ABC82A" w14:textId="77777777" w:rsidR="0007555D" w:rsidRPr="00C56257" w:rsidRDefault="0007555D" w:rsidP="008E33FD">
            <w:pPr>
              <w:jc w:val="both"/>
            </w:pPr>
            <w:r w:rsidRPr="00C56257">
              <w:t>Denumire</w:t>
            </w:r>
          </w:p>
        </w:tc>
        <w:tc>
          <w:tcPr>
            <w:tcW w:w="1310" w:type="dxa"/>
          </w:tcPr>
          <w:p w14:paraId="612ABBF0" w14:textId="77777777" w:rsidR="0007555D" w:rsidRPr="00C56257" w:rsidRDefault="0007555D" w:rsidP="008E33FD">
            <w:pPr>
              <w:jc w:val="both"/>
            </w:pPr>
            <w:r w:rsidRPr="00C56257">
              <w:t>Intensitate</w:t>
            </w:r>
          </w:p>
        </w:tc>
        <w:tc>
          <w:tcPr>
            <w:tcW w:w="643" w:type="dxa"/>
          </w:tcPr>
          <w:p w14:paraId="3F78C75F" w14:textId="77777777" w:rsidR="0007555D" w:rsidRPr="00C56257" w:rsidRDefault="0007555D" w:rsidP="008E33FD">
            <w:pPr>
              <w:jc w:val="both"/>
            </w:pPr>
            <w:r w:rsidRPr="00C56257">
              <w:t>Cod</w:t>
            </w:r>
          </w:p>
        </w:tc>
        <w:tc>
          <w:tcPr>
            <w:tcW w:w="2531" w:type="dxa"/>
          </w:tcPr>
          <w:p w14:paraId="1785518B" w14:textId="77777777" w:rsidR="0007555D" w:rsidRPr="00C56257" w:rsidRDefault="0007555D" w:rsidP="008E33FD">
            <w:pPr>
              <w:jc w:val="both"/>
            </w:pPr>
            <w:r w:rsidRPr="00C56257">
              <w:t>Denumire</w:t>
            </w:r>
          </w:p>
        </w:tc>
        <w:tc>
          <w:tcPr>
            <w:tcW w:w="1310" w:type="dxa"/>
          </w:tcPr>
          <w:p w14:paraId="709606A7" w14:textId="77777777" w:rsidR="0007555D" w:rsidRPr="00C56257" w:rsidRDefault="0007555D" w:rsidP="008E33FD">
            <w:pPr>
              <w:jc w:val="both"/>
            </w:pPr>
            <w:r w:rsidRPr="00C56257">
              <w:t>Intensitate</w:t>
            </w:r>
          </w:p>
        </w:tc>
      </w:tr>
      <w:tr w:rsidR="0007555D" w:rsidRPr="00C56257" w14:paraId="006A459F" w14:textId="77777777" w:rsidTr="0007555D">
        <w:tc>
          <w:tcPr>
            <w:tcW w:w="643" w:type="dxa"/>
            <w:vAlign w:val="center"/>
          </w:tcPr>
          <w:p w14:paraId="3D1E57B9" w14:textId="77777777" w:rsidR="0007555D" w:rsidRPr="00C56257" w:rsidRDefault="0007555D" w:rsidP="00F100E1">
            <w:pPr>
              <w:jc w:val="both"/>
            </w:pPr>
            <w:r w:rsidRPr="00C56257">
              <w:t>B06</w:t>
            </w:r>
          </w:p>
        </w:tc>
        <w:tc>
          <w:tcPr>
            <w:tcW w:w="2579" w:type="dxa"/>
            <w:vAlign w:val="center"/>
          </w:tcPr>
          <w:p w14:paraId="50183C0F" w14:textId="77777777" w:rsidR="0007555D" w:rsidRPr="00C56257" w:rsidRDefault="0007555D" w:rsidP="00F100E1">
            <w:pPr>
              <w:jc w:val="both"/>
            </w:pPr>
            <w:r w:rsidRPr="00C56257">
              <w:t>Exploatarea arborilor individuali (Tăiere selectivă)</w:t>
            </w:r>
          </w:p>
        </w:tc>
        <w:tc>
          <w:tcPr>
            <w:tcW w:w="1310" w:type="dxa"/>
            <w:vAlign w:val="center"/>
          </w:tcPr>
          <w:p w14:paraId="4CC4DBD9" w14:textId="77777777" w:rsidR="0007555D" w:rsidRPr="00C56257" w:rsidRDefault="0007555D" w:rsidP="00F100E1">
            <w:pPr>
              <w:jc w:val="both"/>
            </w:pPr>
            <w:r w:rsidRPr="00C56257">
              <w:t>Ridicată</w:t>
            </w:r>
          </w:p>
        </w:tc>
        <w:tc>
          <w:tcPr>
            <w:tcW w:w="643" w:type="dxa"/>
            <w:vAlign w:val="center"/>
          </w:tcPr>
          <w:p w14:paraId="3732E9DA" w14:textId="77777777" w:rsidR="0007555D" w:rsidRPr="00C56257" w:rsidRDefault="0007555D" w:rsidP="00F100E1">
            <w:pPr>
              <w:jc w:val="both"/>
            </w:pPr>
            <w:r w:rsidRPr="00C56257">
              <w:t>B06</w:t>
            </w:r>
          </w:p>
        </w:tc>
        <w:tc>
          <w:tcPr>
            <w:tcW w:w="2531" w:type="dxa"/>
            <w:vAlign w:val="center"/>
          </w:tcPr>
          <w:p w14:paraId="374217C1" w14:textId="77777777" w:rsidR="0007555D" w:rsidRPr="00C56257" w:rsidRDefault="0007555D" w:rsidP="00F100E1">
            <w:pPr>
              <w:jc w:val="both"/>
            </w:pPr>
            <w:r w:rsidRPr="00C56257">
              <w:t>Exploatarea arborilor individuali (Tăiere selectivă)</w:t>
            </w:r>
          </w:p>
        </w:tc>
        <w:tc>
          <w:tcPr>
            <w:tcW w:w="1310" w:type="dxa"/>
            <w:vAlign w:val="center"/>
          </w:tcPr>
          <w:p w14:paraId="7D960C7E" w14:textId="77777777" w:rsidR="0007555D" w:rsidRPr="00C56257" w:rsidRDefault="0007555D" w:rsidP="00F100E1">
            <w:pPr>
              <w:jc w:val="both"/>
            </w:pPr>
            <w:r w:rsidRPr="00C56257">
              <w:t>Ridicată</w:t>
            </w:r>
          </w:p>
        </w:tc>
      </w:tr>
      <w:tr w:rsidR="0007555D" w:rsidRPr="00C56257" w14:paraId="5868FD6B" w14:textId="77777777" w:rsidTr="0007555D">
        <w:tc>
          <w:tcPr>
            <w:tcW w:w="643" w:type="dxa"/>
            <w:vAlign w:val="center"/>
          </w:tcPr>
          <w:p w14:paraId="07FDA461" w14:textId="77777777" w:rsidR="0007555D" w:rsidRPr="00C56257" w:rsidRDefault="0007555D" w:rsidP="00F100E1">
            <w:pPr>
              <w:jc w:val="both"/>
            </w:pPr>
            <w:r w:rsidRPr="00C56257">
              <w:t>B12</w:t>
            </w:r>
          </w:p>
        </w:tc>
        <w:tc>
          <w:tcPr>
            <w:tcW w:w="2579" w:type="dxa"/>
            <w:vAlign w:val="center"/>
          </w:tcPr>
          <w:p w14:paraId="2897D8E2" w14:textId="77777777" w:rsidR="0007555D" w:rsidRPr="00C56257" w:rsidRDefault="0007555D" w:rsidP="00F100E1">
            <w:pPr>
              <w:jc w:val="both"/>
            </w:pPr>
            <w:r w:rsidRPr="00C56257">
              <w:t>Rărituri</w:t>
            </w:r>
          </w:p>
        </w:tc>
        <w:tc>
          <w:tcPr>
            <w:tcW w:w="1310" w:type="dxa"/>
            <w:vAlign w:val="center"/>
          </w:tcPr>
          <w:p w14:paraId="64682B8E" w14:textId="77777777" w:rsidR="0007555D" w:rsidRPr="00C56257" w:rsidRDefault="0007555D" w:rsidP="00F100E1">
            <w:pPr>
              <w:jc w:val="both"/>
            </w:pPr>
            <w:r w:rsidRPr="00C56257">
              <w:t>Ridicată</w:t>
            </w:r>
          </w:p>
        </w:tc>
        <w:tc>
          <w:tcPr>
            <w:tcW w:w="643" w:type="dxa"/>
            <w:vAlign w:val="center"/>
          </w:tcPr>
          <w:p w14:paraId="0B5BD9CB" w14:textId="77777777" w:rsidR="0007555D" w:rsidRPr="00C56257" w:rsidRDefault="0007555D" w:rsidP="00F100E1">
            <w:pPr>
              <w:jc w:val="both"/>
            </w:pPr>
            <w:r w:rsidRPr="00C56257">
              <w:t>B12</w:t>
            </w:r>
          </w:p>
        </w:tc>
        <w:tc>
          <w:tcPr>
            <w:tcW w:w="2531" w:type="dxa"/>
            <w:vAlign w:val="center"/>
          </w:tcPr>
          <w:p w14:paraId="5DBEEB74" w14:textId="77777777" w:rsidR="0007555D" w:rsidRPr="00C56257" w:rsidRDefault="0007555D" w:rsidP="00F100E1">
            <w:pPr>
              <w:jc w:val="both"/>
            </w:pPr>
            <w:r w:rsidRPr="00C56257">
              <w:t>Rărituri</w:t>
            </w:r>
          </w:p>
        </w:tc>
        <w:tc>
          <w:tcPr>
            <w:tcW w:w="1310" w:type="dxa"/>
            <w:vAlign w:val="center"/>
          </w:tcPr>
          <w:p w14:paraId="005BAF84" w14:textId="77777777" w:rsidR="0007555D" w:rsidRPr="00C56257" w:rsidRDefault="0007555D" w:rsidP="00F100E1">
            <w:pPr>
              <w:jc w:val="both"/>
            </w:pPr>
            <w:r w:rsidRPr="00C56257">
              <w:t>Ridicată</w:t>
            </w:r>
          </w:p>
        </w:tc>
      </w:tr>
    </w:tbl>
    <w:p w14:paraId="4ECEE0FE" w14:textId="77777777" w:rsidR="0007555D" w:rsidRPr="00C56257" w:rsidRDefault="0007555D" w:rsidP="008E33FD">
      <w:pPr>
        <w:tabs>
          <w:tab w:val="num" w:pos="360"/>
        </w:tabs>
        <w:ind w:left="360" w:hanging="360"/>
        <w:jc w:val="both"/>
        <w:rPr>
          <w:rFonts w:eastAsia="Calibri"/>
          <w:b/>
        </w:rPr>
      </w:pPr>
    </w:p>
    <w:p w14:paraId="719A4072"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9180* - Păduri din </w:t>
      </w:r>
      <w:r w:rsidRPr="00C56257">
        <w:rPr>
          <w:rFonts w:eastAsia="Calibri"/>
          <w:b/>
          <w:i/>
          <w:iCs/>
        </w:rPr>
        <w:t>Tilio-Acerion</w:t>
      </w:r>
      <w:r w:rsidRPr="00C56257">
        <w:rPr>
          <w:rFonts w:eastAsia="Calibri"/>
          <w:b/>
        </w:rPr>
        <w:t xml:space="preserve"> pe versanți abrupți, grohotișuri și ravene</w:t>
      </w:r>
    </w:p>
    <w:p w14:paraId="45A73CE4" w14:textId="77777777" w:rsidR="0007555D" w:rsidRPr="00C56257" w:rsidRDefault="0007555D" w:rsidP="008E33FD">
      <w:pPr>
        <w:keepNext/>
        <w:keepLines/>
        <w:spacing w:before="280" w:after="240" w:line="259" w:lineRule="auto"/>
        <w:ind w:left="708"/>
        <w:jc w:val="both"/>
        <w:outlineLvl w:val="1"/>
        <w:rPr>
          <w:rFonts w:eastAsia="Cambria"/>
          <w:b/>
          <w:color w:val="000000"/>
        </w:rPr>
      </w:pPr>
      <w:r w:rsidRPr="00C56257">
        <w:rPr>
          <w:rFonts w:eastAsia="Cambria"/>
          <w:b/>
          <w:color w:val="000000"/>
        </w:rPr>
        <w:t>Regiunea biogeografică Alpină</w:t>
      </w:r>
    </w:p>
    <w:tbl>
      <w:tblPr>
        <w:tblStyle w:val="TableGrid"/>
        <w:tblW w:w="0" w:type="auto"/>
        <w:tblLook w:val="04A0" w:firstRow="1" w:lastRow="0" w:firstColumn="1" w:lastColumn="0" w:noHBand="0" w:noVBand="1"/>
      </w:tblPr>
      <w:tblGrid>
        <w:gridCol w:w="643"/>
        <w:gridCol w:w="2615"/>
        <w:gridCol w:w="1327"/>
        <w:gridCol w:w="643"/>
        <w:gridCol w:w="2597"/>
        <w:gridCol w:w="1310"/>
      </w:tblGrid>
      <w:tr w:rsidR="0007555D" w:rsidRPr="00C56257" w14:paraId="14765EAB" w14:textId="77777777" w:rsidTr="0007555D">
        <w:tc>
          <w:tcPr>
            <w:tcW w:w="4585" w:type="dxa"/>
            <w:gridSpan w:val="3"/>
          </w:tcPr>
          <w:p w14:paraId="3BD7CAD3" w14:textId="77777777" w:rsidR="0007555D" w:rsidRPr="00C56257" w:rsidRDefault="0007555D" w:rsidP="00F100E1">
            <w:pPr>
              <w:jc w:val="both"/>
            </w:pPr>
            <w:r w:rsidRPr="00C56257">
              <w:t>Presiuni</w:t>
            </w:r>
          </w:p>
        </w:tc>
        <w:tc>
          <w:tcPr>
            <w:tcW w:w="4550" w:type="dxa"/>
            <w:gridSpan w:val="3"/>
          </w:tcPr>
          <w:p w14:paraId="608CCBE1" w14:textId="77777777" w:rsidR="0007555D" w:rsidRPr="00C56257" w:rsidRDefault="0007555D" w:rsidP="00F100E1">
            <w:pPr>
              <w:jc w:val="both"/>
            </w:pPr>
            <w:r w:rsidRPr="00C56257">
              <w:t>Amenințări</w:t>
            </w:r>
          </w:p>
        </w:tc>
      </w:tr>
      <w:tr w:rsidR="0007555D" w:rsidRPr="00C56257" w14:paraId="164BDCFC" w14:textId="77777777" w:rsidTr="0007555D">
        <w:tc>
          <w:tcPr>
            <w:tcW w:w="643" w:type="dxa"/>
          </w:tcPr>
          <w:p w14:paraId="1C1A7720" w14:textId="77777777" w:rsidR="0007555D" w:rsidRPr="00C56257" w:rsidRDefault="0007555D" w:rsidP="008E33FD">
            <w:pPr>
              <w:jc w:val="both"/>
            </w:pPr>
            <w:r w:rsidRPr="00C56257">
              <w:t>Cod</w:t>
            </w:r>
          </w:p>
        </w:tc>
        <w:tc>
          <w:tcPr>
            <w:tcW w:w="2615" w:type="dxa"/>
          </w:tcPr>
          <w:p w14:paraId="3E58D886" w14:textId="77777777" w:rsidR="0007555D" w:rsidRPr="00C56257" w:rsidRDefault="0007555D" w:rsidP="008E33FD">
            <w:pPr>
              <w:jc w:val="both"/>
            </w:pPr>
            <w:r w:rsidRPr="00C56257">
              <w:t>Denumire</w:t>
            </w:r>
          </w:p>
        </w:tc>
        <w:tc>
          <w:tcPr>
            <w:tcW w:w="1327" w:type="dxa"/>
          </w:tcPr>
          <w:p w14:paraId="7177549C" w14:textId="77777777" w:rsidR="0007555D" w:rsidRPr="00C56257" w:rsidRDefault="0007555D" w:rsidP="008E33FD">
            <w:pPr>
              <w:jc w:val="both"/>
            </w:pPr>
            <w:r w:rsidRPr="00C56257">
              <w:t>Intensitate</w:t>
            </w:r>
          </w:p>
        </w:tc>
        <w:tc>
          <w:tcPr>
            <w:tcW w:w="643" w:type="dxa"/>
          </w:tcPr>
          <w:p w14:paraId="09F5CCE7" w14:textId="77777777" w:rsidR="0007555D" w:rsidRPr="00C56257" w:rsidRDefault="0007555D" w:rsidP="008E33FD">
            <w:pPr>
              <w:jc w:val="both"/>
            </w:pPr>
            <w:r w:rsidRPr="00C56257">
              <w:t>Cod</w:t>
            </w:r>
          </w:p>
        </w:tc>
        <w:tc>
          <w:tcPr>
            <w:tcW w:w="2597" w:type="dxa"/>
          </w:tcPr>
          <w:p w14:paraId="35C26082" w14:textId="77777777" w:rsidR="0007555D" w:rsidRPr="00C56257" w:rsidRDefault="0007555D" w:rsidP="008E33FD">
            <w:pPr>
              <w:jc w:val="both"/>
            </w:pPr>
            <w:r w:rsidRPr="00C56257">
              <w:t>Denumire</w:t>
            </w:r>
          </w:p>
        </w:tc>
        <w:tc>
          <w:tcPr>
            <w:tcW w:w="1310" w:type="dxa"/>
          </w:tcPr>
          <w:p w14:paraId="7CFD239B" w14:textId="77777777" w:rsidR="0007555D" w:rsidRPr="00C56257" w:rsidRDefault="0007555D" w:rsidP="008E33FD">
            <w:pPr>
              <w:jc w:val="both"/>
            </w:pPr>
            <w:r w:rsidRPr="00C56257">
              <w:t>Intensitate</w:t>
            </w:r>
          </w:p>
        </w:tc>
      </w:tr>
      <w:tr w:rsidR="0007555D" w:rsidRPr="00C56257" w14:paraId="7E80155F" w14:textId="77777777" w:rsidTr="0007555D">
        <w:tc>
          <w:tcPr>
            <w:tcW w:w="643" w:type="dxa"/>
            <w:vAlign w:val="center"/>
          </w:tcPr>
          <w:p w14:paraId="776963C5" w14:textId="77777777" w:rsidR="0007555D" w:rsidRPr="00C56257" w:rsidRDefault="0007555D" w:rsidP="00F100E1">
            <w:pPr>
              <w:jc w:val="both"/>
            </w:pPr>
            <w:r w:rsidRPr="00C56257">
              <w:t>B03</w:t>
            </w:r>
          </w:p>
        </w:tc>
        <w:tc>
          <w:tcPr>
            <w:tcW w:w="2615" w:type="dxa"/>
            <w:vAlign w:val="center"/>
          </w:tcPr>
          <w:p w14:paraId="21256D8F" w14:textId="77777777" w:rsidR="0007555D" w:rsidRPr="00C56257" w:rsidRDefault="0007555D" w:rsidP="00F100E1">
            <w:pPr>
              <w:jc w:val="both"/>
            </w:pPr>
            <w:r w:rsidRPr="00C56257">
              <w:t xml:space="preserve">Replantarea pădurii cu/sau introducerea speciilor nenative </w:t>
            </w:r>
          </w:p>
        </w:tc>
        <w:tc>
          <w:tcPr>
            <w:tcW w:w="1327" w:type="dxa"/>
            <w:vAlign w:val="center"/>
          </w:tcPr>
          <w:p w14:paraId="33E8DD7E" w14:textId="77777777" w:rsidR="0007555D" w:rsidRPr="00C56257" w:rsidRDefault="0007555D" w:rsidP="00F100E1">
            <w:pPr>
              <w:jc w:val="both"/>
            </w:pPr>
            <w:r w:rsidRPr="00C56257">
              <w:t>Ridicată</w:t>
            </w:r>
          </w:p>
        </w:tc>
        <w:tc>
          <w:tcPr>
            <w:tcW w:w="643" w:type="dxa"/>
            <w:vAlign w:val="center"/>
          </w:tcPr>
          <w:p w14:paraId="0785FCC0" w14:textId="77777777" w:rsidR="0007555D" w:rsidRPr="00C56257" w:rsidRDefault="0007555D" w:rsidP="00F100E1">
            <w:pPr>
              <w:jc w:val="both"/>
            </w:pPr>
            <w:r w:rsidRPr="00C56257">
              <w:t>B03</w:t>
            </w:r>
          </w:p>
        </w:tc>
        <w:tc>
          <w:tcPr>
            <w:tcW w:w="2597" w:type="dxa"/>
            <w:vAlign w:val="center"/>
          </w:tcPr>
          <w:p w14:paraId="3A3DFA49" w14:textId="77777777" w:rsidR="0007555D" w:rsidRPr="00C56257" w:rsidRDefault="0007555D" w:rsidP="00F100E1">
            <w:pPr>
              <w:jc w:val="both"/>
            </w:pPr>
            <w:r w:rsidRPr="00C56257">
              <w:t xml:space="preserve">Replantarea pădurii cu/sau introducerea speciilor nenative </w:t>
            </w:r>
          </w:p>
        </w:tc>
        <w:tc>
          <w:tcPr>
            <w:tcW w:w="1310" w:type="dxa"/>
            <w:vAlign w:val="center"/>
          </w:tcPr>
          <w:p w14:paraId="76B7A69F" w14:textId="77777777" w:rsidR="0007555D" w:rsidRPr="00C56257" w:rsidRDefault="0007555D" w:rsidP="00F100E1">
            <w:pPr>
              <w:jc w:val="both"/>
            </w:pPr>
            <w:r w:rsidRPr="00C56257">
              <w:t>Ridicată</w:t>
            </w:r>
          </w:p>
        </w:tc>
      </w:tr>
      <w:tr w:rsidR="0007555D" w:rsidRPr="00C56257" w14:paraId="509FB7A5" w14:textId="77777777" w:rsidTr="0007555D">
        <w:tc>
          <w:tcPr>
            <w:tcW w:w="643" w:type="dxa"/>
            <w:vAlign w:val="center"/>
          </w:tcPr>
          <w:p w14:paraId="12C0E835" w14:textId="77777777" w:rsidR="0007555D" w:rsidRPr="00C56257" w:rsidRDefault="0007555D" w:rsidP="00F100E1">
            <w:pPr>
              <w:jc w:val="both"/>
            </w:pPr>
            <w:r w:rsidRPr="00C56257">
              <w:t>L06</w:t>
            </w:r>
          </w:p>
        </w:tc>
        <w:tc>
          <w:tcPr>
            <w:tcW w:w="2615" w:type="dxa"/>
            <w:vAlign w:val="center"/>
          </w:tcPr>
          <w:p w14:paraId="0D98F520" w14:textId="77777777" w:rsidR="0007555D" w:rsidRPr="00C56257" w:rsidRDefault="0007555D" w:rsidP="00F100E1">
            <w:pPr>
              <w:jc w:val="both"/>
            </w:pPr>
            <w:r w:rsidRPr="00C56257">
              <w:t>Relații interspecifice (competiție, prădătorism, parazitism, patogeni)</w:t>
            </w:r>
          </w:p>
        </w:tc>
        <w:tc>
          <w:tcPr>
            <w:tcW w:w="1327" w:type="dxa"/>
            <w:vAlign w:val="center"/>
          </w:tcPr>
          <w:p w14:paraId="4000851F" w14:textId="77777777" w:rsidR="0007555D" w:rsidRPr="00C56257" w:rsidRDefault="0007555D" w:rsidP="00F100E1">
            <w:pPr>
              <w:jc w:val="both"/>
            </w:pPr>
            <w:r w:rsidRPr="00C56257">
              <w:t>Medie</w:t>
            </w:r>
          </w:p>
        </w:tc>
        <w:tc>
          <w:tcPr>
            <w:tcW w:w="643" w:type="dxa"/>
            <w:vAlign w:val="center"/>
          </w:tcPr>
          <w:p w14:paraId="6EFFCE73" w14:textId="77777777" w:rsidR="0007555D" w:rsidRPr="00C56257" w:rsidRDefault="0007555D" w:rsidP="00F100E1">
            <w:pPr>
              <w:jc w:val="both"/>
            </w:pPr>
            <w:r w:rsidRPr="00C56257">
              <w:t>L06</w:t>
            </w:r>
          </w:p>
        </w:tc>
        <w:tc>
          <w:tcPr>
            <w:tcW w:w="2597" w:type="dxa"/>
            <w:vAlign w:val="center"/>
          </w:tcPr>
          <w:p w14:paraId="66A009F6" w14:textId="77777777" w:rsidR="0007555D" w:rsidRPr="00C56257" w:rsidRDefault="0007555D" w:rsidP="00F100E1">
            <w:pPr>
              <w:jc w:val="both"/>
            </w:pPr>
            <w:r w:rsidRPr="00C56257">
              <w:t>Relații interspecifice (competiție, prădătorism, parazitism, patogeni)</w:t>
            </w:r>
          </w:p>
        </w:tc>
        <w:tc>
          <w:tcPr>
            <w:tcW w:w="1310" w:type="dxa"/>
            <w:vAlign w:val="center"/>
          </w:tcPr>
          <w:p w14:paraId="24AB09B2" w14:textId="77777777" w:rsidR="0007555D" w:rsidRPr="00C56257" w:rsidRDefault="0007555D" w:rsidP="00F100E1">
            <w:pPr>
              <w:jc w:val="both"/>
            </w:pPr>
            <w:r w:rsidRPr="00C56257">
              <w:t>Medie</w:t>
            </w:r>
          </w:p>
        </w:tc>
      </w:tr>
    </w:tbl>
    <w:p w14:paraId="1A5527CF" w14:textId="77777777" w:rsidR="0007555D" w:rsidRPr="00C56257" w:rsidRDefault="0007555D" w:rsidP="008E33FD">
      <w:pPr>
        <w:keepNext/>
        <w:keepLines/>
        <w:spacing w:before="280" w:after="240" w:line="259" w:lineRule="auto"/>
        <w:ind w:left="708"/>
        <w:jc w:val="both"/>
        <w:outlineLvl w:val="1"/>
        <w:rPr>
          <w:rFonts w:eastAsia="Cambria"/>
          <w:b/>
          <w:color w:val="000000"/>
        </w:rPr>
      </w:pPr>
      <w:r w:rsidRPr="00C56257">
        <w:rPr>
          <w:rFonts w:eastAsia="Cambria"/>
          <w:b/>
          <w:color w:val="000000"/>
        </w:rPr>
        <w:lastRenderedPageBreak/>
        <w:t>Regiunea biogeografică Continentală</w:t>
      </w:r>
    </w:p>
    <w:tbl>
      <w:tblPr>
        <w:tblStyle w:val="TableGrid"/>
        <w:tblW w:w="0" w:type="auto"/>
        <w:tblLook w:val="04A0" w:firstRow="1" w:lastRow="0" w:firstColumn="1" w:lastColumn="0" w:noHBand="0" w:noVBand="1"/>
      </w:tblPr>
      <w:tblGrid>
        <w:gridCol w:w="643"/>
        <w:gridCol w:w="2615"/>
        <w:gridCol w:w="1327"/>
        <w:gridCol w:w="643"/>
        <w:gridCol w:w="2597"/>
        <w:gridCol w:w="1310"/>
      </w:tblGrid>
      <w:tr w:rsidR="0007555D" w:rsidRPr="00C56257" w14:paraId="29CB693B" w14:textId="77777777" w:rsidTr="0007555D">
        <w:tc>
          <w:tcPr>
            <w:tcW w:w="4585" w:type="dxa"/>
            <w:gridSpan w:val="3"/>
          </w:tcPr>
          <w:p w14:paraId="4FE4F522" w14:textId="77777777" w:rsidR="0007555D" w:rsidRPr="00C56257" w:rsidRDefault="0007555D" w:rsidP="00F100E1">
            <w:pPr>
              <w:jc w:val="both"/>
            </w:pPr>
            <w:r w:rsidRPr="00C56257">
              <w:t>Presiuni</w:t>
            </w:r>
          </w:p>
        </w:tc>
        <w:tc>
          <w:tcPr>
            <w:tcW w:w="4550" w:type="dxa"/>
            <w:gridSpan w:val="3"/>
          </w:tcPr>
          <w:p w14:paraId="1D9CF764" w14:textId="77777777" w:rsidR="0007555D" w:rsidRPr="00C56257" w:rsidRDefault="0007555D" w:rsidP="00F100E1">
            <w:pPr>
              <w:jc w:val="both"/>
            </w:pPr>
            <w:r w:rsidRPr="00C56257">
              <w:t>Amenințări</w:t>
            </w:r>
          </w:p>
        </w:tc>
      </w:tr>
      <w:tr w:rsidR="0007555D" w:rsidRPr="00C56257" w14:paraId="3BDF0D03" w14:textId="77777777" w:rsidTr="0007555D">
        <w:tc>
          <w:tcPr>
            <w:tcW w:w="643" w:type="dxa"/>
          </w:tcPr>
          <w:p w14:paraId="7B90D538" w14:textId="77777777" w:rsidR="0007555D" w:rsidRPr="00C56257" w:rsidRDefault="0007555D" w:rsidP="008E33FD">
            <w:pPr>
              <w:jc w:val="both"/>
            </w:pPr>
            <w:r w:rsidRPr="00C56257">
              <w:t>Cod</w:t>
            </w:r>
          </w:p>
        </w:tc>
        <w:tc>
          <w:tcPr>
            <w:tcW w:w="2615" w:type="dxa"/>
          </w:tcPr>
          <w:p w14:paraId="7E50CEE9" w14:textId="77777777" w:rsidR="0007555D" w:rsidRPr="00C56257" w:rsidRDefault="0007555D" w:rsidP="008E33FD">
            <w:pPr>
              <w:jc w:val="both"/>
            </w:pPr>
            <w:r w:rsidRPr="00C56257">
              <w:t>Denumire</w:t>
            </w:r>
          </w:p>
        </w:tc>
        <w:tc>
          <w:tcPr>
            <w:tcW w:w="1327" w:type="dxa"/>
          </w:tcPr>
          <w:p w14:paraId="7D1EAD5D" w14:textId="77777777" w:rsidR="0007555D" w:rsidRPr="00C56257" w:rsidRDefault="0007555D" w:rsidP="008E33FD">
            <w:pPr>
              <w:jc w:val="both"/>
            </w:pPr>
            <w:r w:rsidRPr="00C56257">
              <w:t>Intensitate</w:t>
            </w:r>
          </w:p>
        </w:tc>
        <w:tc>
          <w:tcPr>
            <w:tcW w:w="643" w:type="dxa"/>
          </w:tcPr>
          <w:p w14:paraId="1CEDB835" w14:textId="77777777" w:rsidR="0007555D" w:rsidRPr="00C56257" w:rsidRDefault="0007555D" w:rsidP="008E33FD">
            <w:pPr>
              <w:jc w:val="both"/>
            </w:pPr>
            <w:r w:rsidRPr="00C56257">
              <w:t>Cod</w:t>
            </w:r>
          </w:p>
        </w:tc>
        <w:tc>
          <w:tcPr>
            <w:tcW w:w="2597" w:type="dxa"/>
          </w:tcPr>
          <w:p w14:paraId="66C080A0" w14:textId="77777777" w:rsidR="0007555D" w:rsidRPr="00C56257" w:rsidRDefault="0007555D" w:rsidP="008E33FD">
            <w:pPr>
              <w:jc w:val="both"/>
            </w:pPr>
            <w:r w:rsidRPr="00C56257">
              <w:t>Denumire</w:t>
            </w:r>
          </w:p>
        </w:tc>
        <w:tc>
          <w:tcPr>
            <w:tcW w:w="1310" w:type="dxa"/>
          </w:tcPr>
          <w:p w14:paraId="02135CE2" w14:textId="77777777" w:rsidR="0007555D" w:rsidRPr="00C56257" w:rsidRDefault="0007555D" w:rsidP="008E33FD">
            <w:pPr>
              <w:jc w:val="both"/>
            </w:pPr>
            <w:r w:rsidRPr="00C56257">
              <w:t>Intensitate</w:t>
            </w:r>
          </w:p>
        </w:tc>
      </w:tr>
      <w:tr w:rsidR="0007555D" w:rsidRPr="00C56257" w14:paraId="57FCB7B8" w14:textId="77777777" w:rsidTr="0007555D">
        <w:tc>
          <w:tcPr>
            <w:tcW w:w="643" w:type="dxa"/>
            <w:vAlign w:val="center"/>
          </w:tcPr>
          <w:p w14:paraId="77030DCC" w14:textId="77777777" w:rsidR="0007555D" w:rsidRPr="00C56257" w:rsidRDefault="0007555D" w:rsidP="00F100E1">
            <w:pPr>
              <w:jc w:val="both"/>
            </w:pPr>
            <w:r w:rsidRPr="00C56257">
              <w:t>B03</w:t>
            </w:r>
          </w:p>
        </w:tc>
        <w:tc>
          <w:tcPr>
            <w:tcW w:w="2615" w:type="dxa"/>
            <w:vAlign w:val="center"/>
          </w:tcPr>
          <w:p w14:paraId="4B35368E" w14:textId="77777777" w:rsidR="0007555D" w:rsidRPr="00C56257" w:rsidRDefault="0007555D" w:rsidP="00F100E1">
            <w:pPr>
              <w:jc w:val="both"/>
            </w:pPr>
            <w:r w:rsidRPr="00C56257">
              <w:t xml:space="preserve">Replantarea pădurii cu/sau introducerea speciilor nenative </w:t>
            </w:r>
          </w:p>
        </w:tc>
        <w:tc>
          <w:tcPr>
            <w:tcW w:w="1327" w:type="dxa"/>
            <w:vAlign w:val="center"/>
          </w:tcPr>
          <w:p w14:paraId="537AD1B5" w14:textId="77777777" w:rsidR="0007555D" w:rsidRPr="00C56257" w:rsidRDefault="0007555D" w:rsidP="00F100E1">
            <w:pPr>
              <w:jc w:val="both"/>
            </w:pPr>
            <w:r w:rsidRPr="00C56257">
              <w:t>Medie</w:t>
            </w:r>
          </w:p>
        </w:tc>
        <w:tc>
          <w:tcPr>
            <w:tcW w:w="643" w:type="dxa"/>
            <w:vAlign w:val="center"/>
          </w:tcPr>
          <w:p w14:paraId="29CBEAB7" w14:textId="77777777" w:rsidR="0007555D" w:rsidRPr="00C56257" w:rsidRDefault="0007555D" w:rsidP="00F100E1">
            <w:pPr>
              <w:jc w:val="both"/>
            </w:pPr>
            <w:r w:rsidRPr="00C56257">
              <w:t>B03</w:t>
            </w:r>
          </w:p>
        </w:tc>
        <w:tc>
          <w:tcPr>
            <w:tcW w:w="2597" w:type="dxa"/>
            <w:vAlign w:val="center"/>
          </w:tcPr>
          <w:p w14:paraId="0EF83FC8" w14:textId="77777777" w:rsidR="0007555D" w:rsidRPr="00C56257" w:rsidRDefault="0007555D" w:rsidP="00F100E1">
            <w:pPr>
              <w:jc w:val="both"/>
            </w:pPr>
            <w:r w:rsidRPr="00C56257">
              <w:t xml:space="preserve">Replantarea pădurii cu/sau introducerea speciilor nenative </w:t>
            </w:r>
          </w:p>
        </w:tc>
        <w:tc>
          <w:tcPr>
            <w:tcW w:w="1310" w:type="dxa"/>
            <w:vAlign w:val="center"/>
          </w:tcPr>
          <w:p w14:paraId="64B39234" w14:textId="77777777" w:rsidR="0007555D" w:rsidRPr="00C56257" w:rsidRDefault="0007555D" w:rsidP="00F100E1">
            <w:pPr>
              <w:jc w:val="both"/>
            </w:pPr>
            <w:r w:rsidRPr="00C56257">
              <w:t>Medie</w:t>
            </w:r>
          </w:p>
        </w:tc>
      </w:tr>
    </w:tbl>
    <w:p w14:paraId="1520FE17" w14:textId="77777777" w:rsidR="0007555D" w:rsidRPr="00C56257" w:rsidRDefault="0007555D" w:rsidP="008E33FD">
      <w:pPr>
        <w:tabs>
          <w:tab w:val="num" w:pos="360"/>
        </w:tabs>
        <w:ind w:left="360" w:hanging="360"/>
        <w:jc w:val="both"/>
        <w:rPr>
          <w:rFonts w:eastAsia="Calibri"/>
          <w:b/>
        </w:rPr>
      </w:pPr>
    </w:p>
    <w:p w14:paraId="2DC06F94"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91AA - Vegetație forestieră ponto-sarmatică cu stejar pufos</w:t>
      </w:r>
    </w:p>
    <w:p w14:paraId="4A855596"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Continentală</w:t>
      </w:r>
    </w:p>
    <w:tbl>
      <w:tblPr>
        <w:tblStyle w:val="TableGrid"/>
        <w:tblW w:w="0" w:type="auto"/>
        <w:tblLook w:val="04A0" w:firstRow="1" w:lastRow="0" w:firstColumn="1" w:lastColumn="0" w:noHBand="0" w:noVBand="1"/>
      </w:tblPr>
      <w:tblGrid>
        <w:gridCol w:w="643"/>
        <w:gridCol w:w="2579"/>
        <w:gridCol w:w="1310"/>
        <w:gridCol w:w="643"/>
        <w:gridCol w:w="2531"/>
        <w:gridCol w:w="1310"/>
      </w:tblGrid>
      <w:tr w:rsidR="0007555D" w:rsidRPr="00C56257" w14:paraId="0E591B32" w14:textId="77777777" w:rsidTr="0007555D">
        <w:tc>
          <w:tcPr>
            <w:tcW w:w="4532" w:type="dxa"/>
            <w:gridSpan w:val="3"/>
          </w:tcPr>
          <w:p w14:paraId="783126A4" w14:textId="77777777" w:rsidR="0007555D" w:rsidRPr="00C56257" w:rsidRDefault="0007555D" w:rsidP="00F100E1">
            <w:pPr>
              <w:jc w:val="both"/>
            </w:pPr>
            <w:r w:rsidRPr="00C56257">
              <w:t>Presiuni</w:t>
            </w:r>
          </w:p>
        </w:tc>
        <w:tc>
          <w:tcPr>
            <w:tcW w:w="4484" w:type="dxa"/>
            <w:gridSpan w:val="3"/>
          </w:tcPr>
          <w:p w14:paraId="10A468E7" w14:textId="77777777" w:rsidR="0007555D" w:rsidRPr="00C56257" w:rsidRDefault="0007555D" w:rsidP="00F100E1">
            <w:pPr>
              <w:jc w:val="both"/>
            </w:pPr>
            <w:r w:rsidRPr="00C56257">
              <w:t>Amenințări</w:t>
            </w:r>
          </w:p>
        </w:tc>
      </w:tr>
      <w:tr w:rsidR="0007555D" w:rsidRPr="00C56257" w14:paraId="6F0DA3D8" w14:textId="77777777" w:rsidTr="0007555D">
        <w:tc>
          <w:tcPr>
            <w:tcW w:w="643" w:type="dxa"/>
          </w:tcPr>
          <w:p w14:paraId="0B750643" w14:textId="77777777" w:rsidR="0007555D" w:rsidRPr="00C56257" w:rsidRDefault="0007555D" w:rsidP="008E33FD">
            <w:pPr>
              <w:jc w:val="both"/>
            </w:pPr>
            <w:r w:rsidRPr="00C56257">
              <w:t>Cod</w:t>
            </w:r>
          </w:p>
        </w:tc>
        <w:tc>
          <w:tcPr>
            <w:tcW w:w="2579" w:type="dxa"/>
          </w:tcPr>
          <w:p w14:paraId="237DFB8D" w14:textId="77777777" w:rsidR="0007555D" w:rsidRPr="00C56257" w:rsidRDefault="0007555D" w:rsidP="008E33FD">
            <w:pPr>
              <w:jc w:val="both"/>
            </w:pPr>
            <w:r w:rsidRPr="00C56257">
              <w:t>Denumire</w:t>
            </w:r>
          </w:p>
        </w:tc>
        <w:tc>
          <w:tcPr>
            <w:tcW w:w="1310" w:type="dxa"/>
          </w:tcPr>
          <w:p w14:paraId="33282771" w14:textId="77777777" w:rsidR="0007555D" w:rsidRPr="00C56257" w:rsidRDefault="0007555D" w:rsidP="008E33FD">
            <w:pPr>
              <w:jc w:val="both"/>
            </w:pPr>
            <w:r w:rsidRPr="00C56257">
              <w:t>Intensitate</w:t>
            </w:r>
          </w:p>
        </w:tc>
        <w:tc>
          <w:tcPr>
            <w:tcW w:w="643" w:type="dxa"/>
          </w:tcPr>
          <w:p w14:paraId="267DDE03" w14:textId="77777777" w:rsidR="0007555D" w:rsidRPr="00C56257" w:rsidRDefault="0007555D" w:rsidP="008E33FD">
            <w:pPr>
              <w:jc w:val="both"/>
            </w:pPr>
            <w:r w:rsidRPr="00C56257">
              <w:t>Cod</w:t>
            </w:r>
          </w:p>
        </w:tc>
        <w:tc>
          <w:tcPr>
            <w:tcW w:w="2531" w:type="dxa"/>
          </w:tcPr>
          <w:p w14:paraId="45BAE943" w14:textId="77777777" w:rsidR="0007555D" w:rsidRPr="00C56257" w:rsidRDefault="0007555D" w:rsidP="008E33FD">
            <w:pPr>
              <w:jc w:val="both"/>
            </w:pPr>
            <w:r w:rsidRPr="00C56257">
              <w:t>Denumire</w:t>
            </w:r>
          </w:p>
        </w:tc>
        <w:tc>
          <w:tcPr>
            <w:tcW w:w="1310" w:type="dxa"/>
          </w:tcPr>
          <w:p w14:paraId="2E9396D1" w14:textId="77777777" w:rsidR="0007555D" w:rsidRPr="00C56257" w:rsidRDefault="0007555D" w:rsidP="008E33FD">
            <w:pPr>
              <w:jc w:val="both"/>
            </w:pPr>
            <w:r w:rsidRPr="00C56257">
              <w:t>Intensitate</w:t>
            </w:r>
          </w:p>
        </w:tc>
      </w:tr>
      <w:tr w:rsidR="0007555D" w:rsidRPr="00C56257" w14:paraId="18A353D6" w14:textId="77777777" w:rsidTr="0007555D">
        <w:tc>
          <w:tcPr>
            <w:tcW w:w="643" w:type="dxa"/>
          </w:tcPr>
          <w:p w14:paraId="79538017" w14:textId="77777777" w:rsidR="0007555D" w:rsidRPr="00C56257" w:rsidRDefault="0007555D" w:rsidP="00F100E1">
            <w:pPr>
              <w:jc w:val="both"/>
            </w:pPr>
            <w:r w:rsidRPr="00C56257">
              <w:t>A09</w:t>
            </w:r>
          </w:p>
        </w:tc>
        <w:tc>
          <w:tcPr>
            <w:tcW w:w="2579" w:type="dxa"/>
          </w:tcPr>
          <w:p w14:paraId="1365DE7B" w14:textId="77777777" w:rsidR="0007555D" w:rsidRPr="00C56257" w:rsidRDefault="0007555D" w:rsidP="00F100E1">
            <w:pPr>
              <w:jc w:val="both"/>
            </w:pPr>
            <w:r w:rsidRPr="00C56257">
              <w:t>Pășunat intensiv</w:t>
            </w:r>
          </w:p>
        </w:tc>
        <w:tc>
          <w:tcPr>
            <w:tcW w:w="1310" w:type="dxa"/>
          </w:tcPr>
          <w:p w14:paraId="4614CC5B" w14:textId="77777777" w:rsidR="0007555D" w:rsidRPr="00C56257" w:rsidRDefault="0007555D" w:rsidP="00F100E1">
            <w:pPr>
              <w:jc w:val="both"/>
            </w:pPr>
            <w:r w:rsidRPr="00C56257">
              <w:t>Medie</w:t>
            </w:r>
          </w:p>
        </w:tc>
        <w:tc>
          <w:tcPr>
            <w:tcW w:w="643" w:type="dxa"/>
          </w:tcPr>
          <w:p w14:paraId="26F09753" w14:textId="77777777" w:rsidR="0007555D" w:rsidRPr="00C56257" w:rsidRDefault="0007555D" w:rsidP="00F100E1">
            <w:pPr>
              <w:jc w:val="both"/>
            </w:pPr>
            <w:r w:rsidRPr="00C56257">
              <w:t>A09</w:t>
            </w:r>
          </w:p>
        </w:tc>
        <w:tc>
          <w:tcPr>
            <w:tcW w:w="2531" w:type="dxa"/>
          </w:tcPr>
          <w:p w14:paraId="76EA23F0" w14:textId="77777777" w:rsidR="0007555D" w:rsidRPr="00C56257" w:rsidRDefault="0007555D" w:rsidP="00F100E1">
            <w:pPr>
              <w:jc w:val="both"/>
            </w:pPr>
            <w:r w:rsidRPr="00C56257">
              <w:t>Pășunat intensiv</w:t>
            </w:r>
          </w:p>
        </w:tc>
        <w:tc>
          <w:tcPr>
            <w:tcW w:w="1310" w:type="dxa"/>
          </w:tcPr>
          <w:p w14:paraId="0F71B7C2" w14:textId="77777777" w:rsidR="0007555D" w:rsidRPr="00C56257" w:rsidRDefault="0007555D" w:rsidP="00F100E1">
            <w:pPr>
              <w:jc w:val="both"/>
            </w:pPr>
            <w:r w:rsidRPr="00C56257">
              <w:t>Medie</w:t>
            </w:r>
          </w:p>
        </w:tc>
      </w:tr>
    </w:tbl>
    <w:p w14:paraId="4CD401B9"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Stepică</w:t>
      </w:r>
    </w:p>
    <w:tbl>
      <w:tblPr>
        <w:tblStyle w:val="TableGrid"/>
        <w:tblW w:w="0" w:type="auto"/>
        <w:tblLook w:val="04A0" w:firstRow="1" w:lastRow="0" w:firstColumn="1" w:lastColumn="0" w:noHBand="0" w:noVBand="1"/>
      </w:tblPr>
      <w:tblGrid>
        <w:gridCol w:w="644"/>
        <w:gridCol w:w="2665"/>
        <w:gridCol w:w="1310"/>
        <w:gridCol w:w="643"/>
        <w:gridCol w:w="2563"/>
        <w:gridCol w:w="1216"/>
      </w:tblGrid>
      <w:tr w:rsidR="0007555D" w:rsidRPr="00C56257" w14:paraId="6B9282E3" w14:textId="77777777" w:rsidTr="0007555D">
        <w:tc>
          <w:tcPr>
            <w:tcW w:w="4619" w:type="dxa"/>
            <w:gridSpan w:val="3"/>
          </w:tcPr>
          <w:p w14:paraId="7C52ECE5" w14:textId="77777777" w:rsidR="0007555D" w:rsidRPr="00C56257" w:rsidRDefault="0007555D" w:rsidP="00F100E1">
            <w:pPr>
              <w:jc w:val="both"/>
            </w:pPr>
            <w:r w:rsidRPr="00C56257">
              <w:t>Presiuni</w:t>
            </w:r>
          </w:p>
        </w:tc>
        <w:tc>
          <w:tcPr>
            <w:tcW w:w="4397" w:type="dxa"/>
            <w:gridSpan w:val="3"/>
          </w:tcPr>
          <w:p w14:paraId="14571377" w14:textId="77777777" w:rsidR="0007555D" w:rsidRPr="00C56257" w:rsidRDefault="0007555D" w:rsidP="00F100E1">
            <w:pPr>
              <w:jc w:val="both"/>
            </w:pPr>
            <w:r w:rsidRPr="00C56257">
              <w:t>Amenințări</w:t>
            </w:r>
          </w:p>
        </w:tc>
      </w:tr>
      <w:tr w:rsidR="0007555D" w:rsidRPr="00C56257" w14:paraId="5C067BC0" w14:textId="77777777" w:rsidTr="0007555D">
        <w:tc>
          <w:tcPr>
            <w:tcW w:w="644" w:type="dxa"/>
          </w:tcPr>
          <w:p w14:paraId="6EB42351" w14:textId="77777777" w:rsidR="0007555D" w:rsidRPr="00C56257" w:rsidRDefault="0007555D" w:rsidP="008E33FD">
            <w:pPr>
              <w:jc w:val="both"/>
            </w:pPr>
            <w:r w:rsidRPr="00C56257">
              <w:t>Cod</w:t>
            </w:r>
          </w:p>
        </w:tc>
        <w:tc>
          <w:tcPr>
            <w:tcW w:w="2665" w:type="dxa"/>
          </w:tcPr>
          <w:p w14:paraId="0FBBC726" w14:textId="77777777" w:rsidR="0007555D" w:rsidRPr="00C56257" w:rsidRDefault="0007555D" w:rsidP="008E33FD">
            <w:pPr>
              <w:jc w:val="both"/>
            </w:pPr>
            <w:r w:rsidRPr="00C56257">
              <w:t>Denumire</w:t>
            </w:r>
          </w:p>
        </w:tc>
        <w:tc>
          <w:tcPr>
            <w:tcW w:w="1310" w:type="dxa"/>
          </w:tcPr>
          <w:p w14:paraId="31D3C5DC" w14:textId="77777777" w:rsidR="0007555D" w:rsidRPr="00C56257" w:rsidRDefault="0007555D" w:rsidP="008E33FD">
            <w:pPr>
              <w:jc w:val="both"/>
            </w:pPr>
            <w:r w:rsidRPr="00C56257">
              <w:t>Intensitate</w:t>
            </w:r>
          </w:p>
        </w:tc>
        <w:tc>
          <w:tcPr>
            <w:tcW w:w="643" w:type="dxa"/>
          </w:tcPr>
          <w:p w14:paraId="245A6696" w14:textId="77777777" w:rsidR="0007555D" w:rsidRPr="00C56257" w:rsidRDefault="0007555D" w:rsidP="008E33FD">
            <w:pPr>
              <w:jc w:val="both"/>
            </w:pPr>
            <w:r w:rsidRPr="00C56257">
              <w:t>Cod</w:t>
            </w:r>
          </w:p>
        </w:tc>
        <w:tc>
          <w:tcPr>
            <w:tcW w:w="2563" w:type="dxa"/>
          </w:tcPr>
          <w:p w14:paraId="3B1E3DEB" w14:textId="77777777" w:rsidR="0007555D" w:rsidRPr="00C56257" w:rsidRDefault="0007555D" w:rsidP="008E33FD">
            <w:pPr>
              <w:jc w:val="both"/>
            </w:pPr>
            <w:r w:rsidRPr="00C56257">
              <w:t>Denumire</w:t>
            </w:r>
          </w:p>
        </w:tc>
        <w:tc>
          <w:tcPr>
            <w:tcW w:w="1191" w:type="dxa"/>
          </w:tcPr>
          <w:p w14:paraId="123A2768" w14:textId="77777777" w:rsidR="0007555D" w:rsidRPr="00C56257" w:rsidRDefault="0007555D" w:rsidP="008E33FD">
            <w:pPr>
              <w:jc w:val="both"/>
            </w:pPr>
            <w:r w:rsidRPr="00C56257">
              <w:t>Intensitate</w:t>
            </w:r>
          </w:p>
        </w:tc>
      </w:tr>
      <w:tr w:rsidR="0007555D" w:rsidRPr="00C56257" w14:paraId="7364C8B3" w14:textId="77777777" w:rsidTr="0007555D">
        <w:tc>
          <w:tcPr>
            <w:tcW w:w="644" w:type="dxa"/>
          </w:tcPr>
          <w:p w14:paraId="7FC64CB6" w14:textId="77777777" w:rsidR="0007555D" w:rsidRPr="00C56257" w:rsidRDefault="0007555D" w:rsidP="00F100E1">
            <w:pPr>
              <w:jc w:val="both"/>
            </w:pPr>
            <w:r w:rsidRPr="00C56257">
              <w:t>A09</w:t>
            </w:r>
          </w:p>
        </w:tc>
        <w:tc>
          <w:tcPr>
            <w:tcW w:w="2665" w:type="dxa"/>
          </w:tcPr>
          <w:p w14:paraId="7579EBC2" w14:textId="77777777" w:rsidR="0007555D" w:rsidRPr="00C56257" w:rsidRDefault="0007555D" w:rsidP="00F100E1">
            <w:pPr>
              <w:ind w:hanging="479"/>
              <w:jc w:val="both"/>
            </w:pPr>
            <w:r w:rsidRPr="00C56257">
              <w:t>Pășunat intensiv</w:t>
            </w:r>
          </w:p>
        </w:tc>
        <w:tc>
          <w:tcPr>
            <w:tcW w:w="1310" w:type="dxa"/>
          </w:tcPr>
          <w:p w14:paraId="6156653D" w14:textId="77777777" w:rsidR="0007555D" w:rsidRPr="00C56257" w:rsidRDefault="0007555D" w:rsidP="00F100E1">
            <w:pPr>
              <w:jc w:val="both"/>
            </w:pPr>
            <w:r w:rsidRPr="00C56257">
              <w:t>Medie</w:t>
            </w:r>
          </w:p>
        </w:tc>
        <w:tc>
          <w:tcPr>
            <w:tcW w:w="643" w:type="dxa"/>
          </w:tcPr>
          <w:p w14:paraId="4A76C76D" w14:textId="77777777" w:rsidR="0007555D" w:rsidRPr="00C56257" w:rsidRDefault="0007555D" w:rsidP="00F100E1">
            <w:pPr>
              <w:jc w:val="both"/>
            </w:pPr>
            <w:r w:rsidRPr="00C56257">
              <w:t>A09</w:t>
            </w:r>
          </w:p>
        </w:tc>
        <w:tc>
          <w:tcPr>
            <w:tcW w:w="2563" w:type="dxa"/>
          </w:tcPr>
          <w:p w14:paraId="49CD7A83" w14:textId="77777777" w:rsidR="0007555D" w:rsidRPr="00C56257" w:rsidRDefault="0007555D" w:rsidP="00F100E1">
            <w:pPr>
              <w:ind w:left="-179" w:right="-225" w:firstLine="90"/>
              <w:jc w:val="both"/>
            </w:pPr>
            <w:r w:rsidRPr="00C56257">
              <w:t>Pășunat intensiv</w:t>
            </w:r>
          </w:p>
        </w:tc>
        <w:tc>
          <w:tcPr>
            <w:tcW w:w="1191" w:type="dxa"/>
          </w:tcPr>
          <w:p w14:paraId="6AE1CC3A" w14:textId="77777777" w:rsidR="0007555D" w:rsidRPr="00C56257" w:rsidRDefault="0007555D" w:rsidP="00F100E1">
            <w:pPr>
              <w:jc w:val="both"/>
            </w:pPr>
            <w:r w:rsidRPr="00C56257">
              <w:t>Medie</w:t>
            </w:r>
          </w:p>
        </w:tc>
      </w:tr>
    </w:tbl>
    <w:p w14:paraId="7C747023" w14:textId="77777777" w:rsidR="0007555D" w:rsidRPr="00C56257" w:rsidRDefault="0007555D" w:rsidP="008E33FD">
      <w:pPr>
        <w:tabs>
          <w:tab w:val="num" w:pos="360"/>
        </w:tabs>
        <w:ind w:left="360" w:hanging="360"/>
        <w:jc w:val="both"/>
        <w:rPr>
          <w:rFonts w:eastAsia="Calibri"/>
          <w:b/>
        </w:rPr>
      </w:pPr>
    </w:p>
    <w:p w14:paraId="19FEEB53"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91D0* - Turbării cu vegetație forestieră </w:t>
      </w:r>
    </w:p>
    <w:p w14:paraId="63968553" w14:textId="77777777" w:rsidR="0007555D" w:rsidRPr="00C56257" w:rsidRDefault="0007555D" w:rsidP="008E33FD">
      <w:pPr>
        <w:keepNext/>
        <w:keepLines/>
        <w:spacing w:before="280" w:after="240" w:line="259" w:lineRule="auto"/>
        <w:ind w:left="708"/>
        <w:jc w:val="both"/>
        <w:outlineLvl w:val="1"/>
        <w:rPr>
          <w:rFonts w:eastAsia="Cambria"/>
          <w:b/>
          <w:color w:val="000000"/>
        </w:rPr>
      </w:pPr>
      <w:r w:rsidRPr="00C56257">
        <w:rPr>
          <w:rFonts w:eastAsia="Cambria"/>
          <w:b/>
          <w:color w:val="000000"/>
        </w:rPr>
        <w:t>Regiunea biogeografică Alpină</w:t>
      </w:r>
    </w:p>
    <w:tbl>
      <w:tblPr>
        <w:tblStyle w:val="TableGrid"/>
        <w:tblW w:w="0" w:type="auto"/>
        <w:tblLook w:val="04A0" w:firstRow="1" w:lastRow="0" w:firstColumn="1" w:lastColumn="0" w:noHBand="0" w:noVBand="1"/>
      </w:tblPr>
      <w:tblGrid>
        <w:gridCol w:w="644"/>
        <w:gridCol w:w="2557"/>
        <w:gridCol w:w="1326"/>
        <w:gridCol w:w="643"/>
        <w:gridCol w:w="2536"/>
        <w:gridCol w:w="1310"/>
      </w:tblGrid>
      <w:tr w:rsidR="0007555D" w:rsidRPr="00C56257" w14:paraId="0B99D80C" w14:textId="77777777" w:rsidTr="0007555D">
        <w:tc>
          <w:tcPr>
            <w:tcW w:w="4527" w:type="dxa"/>
            <w:gridSpan w:val="3"/>
          </w:tcPr>
          <w:p w14:paraId="2085A782" w14:textId="77777777" w:rsidR="0007555D" w:rsidRPr="00C56257" w:rsidRDefault="0007555D" w:rsidP="00F100E1">
            <w:pPr>
              <w:jc w:val="both"/>
            </w:pPr>
            <w:r w:rsidRPr="00C56257">
              <w:t>Presiuni</w:t>
            </w:r>
          </w:p>
        </w:tc>
        <w:tc>
          <w:tcPr>
            <w:tcW w:w="4489" w:type="dxa"/>
            <w:gridSpan w:val="3"/>
          </w:tcPr>
          <w:p w14:paraId="4277DE59" w14:textId="77777777" w:rsidR="0007555D" w:rsidRPr="00C56257" w:rsidRDefault="0007555D" w:rsidP="00F100E1">
            <w:pPr>
              <w:jc w:val="both"/>
            </w:pPr>
            <w:r w:rsidRPr="00C56257">
              <w:t>Amenințări</w:t>
            </w:r>
          </w:p>
        </w:tc>
      </w:tr>
      <w:tr w:rsidR="0007555D" w:rsidRPr="00C56257" w14:paraId="407A864C" w14:textId="77777777" w:rsidTr="0007555D">
        <w:tc>
          <w:tcPr>
            <w:tcW w:w="644" w:type="dxa"/>
          </w:tcPr>
          <w:p w14:paraId="2802046D" w14:textId="77777777" w:rsidR="0007555D" w:rsidRPr="00C56257" w:rsidRDefault="0007555D" w:rsidP="008E33FD">
            <w:pPr>
              <w:jc w:val="both"/>
            </w:pPr>
            <w:r w:rsidRPr="00C56257">
              <w:t>Cod</w:t>
            </w:r>
          </w:p>
        </w:tc>
        <w:tc>
          <w:tcPr>
            <w:tcW w:w="2557" w:type="dxa"/>
          </w:tcPr>
          <w:p w14:paraId="707088AF" w14:textId="77777777" w:rsidR="0007555D" w:rsidRPr="00C56257" w:rsidRDefault="0007555D" w:rsidP="008E33FD">
            <w:pPr>
              <w:jc w:val="both"/>
            </w:pPr>
            <w:r w:rsidRPr="00C56257">
              <w:t>Denumire</w:t>
            </w:r>
          </w:p>
        </w:tc>
        <w:tc>
          <w:tcPr>
            <w:tcW w:w="1326" w:type="dxa"/>
          </w:tcPr>
          <w:p w14:paraId="28389F88" w14:textId="77777777" w:rsidR="0007555D" w:rsidRPr="00C56257" w:rsidRDefault="0007555D" w:rsidP="008E33FD">
            <w:pPr>
              <w:jc w:val="both"/>
            </w:pPr>
            <w:r w:rsidRPr="00C56257">
              <w:t>Intensitate</w:t>
            </w:r>
          </w:p>
        </w:tc>
        <w:tc>
          <w:tcPr>
            <w:tcW w:w="643" w:type="dxa"/>
          </w:tcPr>
          <w:p w14:paraId="1F4CE4EC" w14:textId="77777777" w:rsidR="0007555D" w:rsidRPr="00C56257" w:rsidRDefault="0007555D" w:rsidP="008E33FD">
            <w:pPr>
              <w:jc w:val="both"/>
            </w:pPr>
            <w:r w:rsidRPr="00C56257">
              <w:t>Cod</w:t>
            </w:r>
          </w:p>
        </w:tc>
        <w:tc>
          <w:tcPr>
            <w:tcW w:w="2536" w:type="dxa"/>
          </w:tcPr>
          <w:p w14:paraId="63F6F445" w14:textId="77777777" w:rsidR="0007555D" w:rsidRPr="00C56257" w:rsidRDefault="0007555D" w:rsidP="008E33FD">
            <w:pPr>
              <w:jc w:val="both"/>
            </w:pPr>
            <w:r w:rsidRPr="00C56257">
              <w:t>Denumire</w:t>
            </w:r>
          </w:p>
        </w:tc>
        <w:tc>
          <w:tcPr>
            <w:tcW w:w="1310" w:type="dxa"/>
          </w:tcPr>
          <w:p w14:paraId="1405E04C" w14:textId="77777777" w:rsidR="0007555D" w:rsidRPr="00C56257" w:rsidRDefault="0007555D" w:rsidP="008E33FD">
            <w:pPr>
              <w:jc w:val="both"/>
            </w:pPr>
            <w:r w:rsidRPr="00C56257">
              <w:t>Intensitate</w:t>
            </w:r>
          </w:p>
        </w:tc>
      </w:tr>
      <w:tr w:rsidR="0007555D" w:rsidRPr="00C56257" w14:paraId="0529DB9B" w14:textId="77777777" w:rsidTr="0007555D">
        <w:tc>
          <w:tcPr>
            <w:tcW w:w="644" w:type="dxa"/>
            <w:vAlign w:val="center"/>
          </w:tcPr>
          <w:p w14:paraId="377EDE69" w14:textId="77777777" w:rsidR="0007555D" w:rsidRPr="00C56257" w:rsidRDefault="0007555D" w:rsidP="00F100E1">
            <w:pPr>
              <w:jc w:val="both"/>
            </w:pPr>
            <w:r w:rsidRPr="00C56257">
              <w:t>L01</w:t>
            </w:r>
          </w:p>
        </w:tc>
        <w:tc>
          <w:tcPr>
            <w:tcW w:w="2557" w:type="dxa"/>
            <w:vAlign w:val="center"/>
          </w:tcPr>
          <w:p w14:paraId="192742F4" w14:textId="77777777" w:rsidR="0007555D" w:rsidRPr="00C56257" w:rsidRDefault="0007555D" w:rsidP="00F100E1">
            <w:pPr>
              <w:jc w:val="both"/>
            </w:pPr>
            <w:r w:rsidRPr="00C56257">
              <w:t>Procese abiotice naturale (eroziune, secetă, salinizare, etc.)</w:t>
            </w:r>
          </w:p>
        </w:tc>
        <w:tc>
          <w:tcPr>
            <w:tcW w:w="1326" w:type="dxa"/>
            <w:vAlign w:val="center"/>
          </w:tcPr>
          <w:p w14:paraId="12405832" w14:textId="77777777" w:rsidR="0007555D" w:rsidRPr="00C56257" w:rsidRDefault="0007555D" w:rsidP="00F100E1">
            <w:pPr>
              <w:jc w:val="both"/>
            </w:pPr>
            <w:r w:rsidRPr="00C56257">
              <w:t>Medie</w:t>
            </w:r>
          </w:p>
        </w:tc>
        <w:tc>
          <w:tcPr>
            <w:tcW w:w="643" w:type="dxa"/>
            <w:vAlign w:val="center"/>
          </w:tcPr>
          <w:p w14:paraId="49842991" w14:textId="77777777" w:rsidR="0007555D" w:rsidRPr="00C56257" w:rsidRDefault="0007555D" w:rsidP="00F100E1">
            <w:pPr>
              <w:jc w:val="both"/>
            </w:pPr>
            <w:r w:rsidRPr="00C56257">
              <w:t>L01</w:t>
            </w:r>
          </w:p>
        </w:tc>
        <w:tc>
          <w:tcPr>
            <w:tcW w:w="2536" w:type="dxa"/>
            <w:vAlign w:val="center"/>
          </w:tcPr>
          <w:p w14:paraId="6E3B6A60" w14:textId="77777777" w:rsidR="0007555D" w:rsidRPr="00C56257" w:rsidRDefault="0007555D" w:rsidP="00F100E1">
            <w:pPr>
              <w:jc w:val="both"/>
            </w:pPr>
            <w:r w:rsidRPr="00C56257">
              <w:t>Procese abiotice naturale (eroziune, secetă, salinizare, etc.)</w:t>
            </w:r>
          </w:p>
        </w:tc>
        <w:tc>
          <w:tcPr>
            <w:tcW w:w="1310" w:type="dxa"/>
            <w:vAlign w:val="center"/>
          </w:tcPr>
          <w:p w14:paraId="786CE8BF" w14:textId="77777777" w:rsidR="0007555D" w:rsidRPr="00C56257" w:rsidRDefault="0007555D" w:rsidP="00F100E1">
            <w:pPr>
              <w:jc w:val="both"/>
            </w:pPr>
            <w:r w:rsidRPr="00C56257">
              <w:t>Medie</w:t>
            </w:r>
          </w:p>
        </w:tc>
      </w:tr>
      <w:tr w:rsidR="0007555D" w:rsidRPr="00C56257" w14:paraId="425DFE48" w14:textId="77777777" w:rsidTr="0007555D">
        <w:tc>
          <w:tcPr>
            <w:tcW w:w="644" w:type="dxa"/>
          </w:tcPr>
          <w:p w14:paraId="31DA724C" w14:textId="77777777" w:rsidR="0007555D" w:rsidRPr="00C56257" w:rsidRDefault="0007555D" w:rsidP="00F100E1">
            <w:pPr>
              <w:jc w:val="both"/>
            </w:pPr>
            <w:r w:rsidRPr="00C56257">
              <w:t>A09</w:t>
            </w:r>
          </w:p>
        </w:tc>
        <w:tc>
          <w:tcPr>
            <w:tcW w:w="2557" w:type="dxa"/>
          </w:tcPr>
          <w:p w14:paraId="245F8ECD" w14:textId="77777777" w:rsidR="0007555D" w:rsidRPr="00C56257" w:rsidRDefault="0007555D" w:rsidP="00F100E1">
            <w:pPr>
              <w:jc w:val="both"/>
            </w:pPr>
            <w:r w:rsidRPr="00C56257">
              <w:t>Pășunat intensiv</w:t>
            </w:r>
          </w:p>
        </w:tc>
        <w:tc>
          <w:tcPr>
            <w:tcW w:w="1326" w:type="dxa"/>
          </w:tcPr>
          <w:p w14:paraId="00F60300" w14:textId="77777777" w:rsidR="0007555D" w:rsidRPr="00C56257" w:rsidRDefault="0007555D" w:rsidP="00F100E1">
            <w:pPr>
              <w:jc w:val="both"/>
            </w:pPr>
            <w:r w:rsidRPr="00C56257">
              <w:t>Medie</w:t>
            </w:r>
          </w:p>
        </w:tc>
        <w:tc>
          <w:tcPr>
            <w:tcW w:w="643" w:type="dxa"/>
          </w:tcPr>
          <w:p w14:paraId="78DDD723" w14:textId="77777777" w:rsidR="0007555D" w:rsidRPr="00C56257" w:rsidRDefault="0007555D" w:rsidP="00F100E1">
            <w:pPr>
              <w:jc w:val="both"/>
            </w:pPr>
            <w:r w:rsidRPr="00C56257">
              <w:t>A09</w:t>
            </w:r>
          </w:p>
        </w:tc>
        <w:tc>
          <w:tcPr>
            <w:tcW w:w="2536" w:type="dxa"/>
          </w:tcPr>
          <w:p w14:paraId="71934622" w14:textId="77777777" w:rsidR="0007555D" w:rsidRPr="00C56257" w:rsidRDefault="0007555D" w:rsidP="00F100E1">
            <w:pPr>
              <w:jc w:val="both"/>
            </w:pPr>
            <w:r w:rsidRPr="00C56257">
              <w:t>Pășunat intensiv</w:t>
            </w:r>
          </w:p>
        </w:tc>
        <w:tc>
          <w:tcPr>
            <w:tcW w:w="1310" w:type="dxa"/>
          </w:tcPr>
          <w:p w14:paraId="39F68BCD" w14:textId="77777777" w:rsidR="0007555D" w:rsidRPr="00C56257" w:rsidRDefault="0007555D" w:rsidP="00F100E1">
            <w:pPr>
              <w:jc w:val="both"/>
            </w:pPr>
            <w:r w:rsidRPr="00C56257">
              <w:t>Medie</w:t>
            </w:r>
          </w:p>
        </w:tc>
      </w:tr>
    </w:tbl>
    <w:p w14:paraId="2AF0DC96" w14:textId="77777777" w:rsidR="0007555D" w:rsidRPr="00C56257" w:rsidRDefault="0007555D" w:rsidP="008E33FD">
      <w:pPr>
        <w:keepNext/>
        <w:keepLines/>
        <w:spacing w:before="280" w:after="240" w:line="259" w:lineRule="auto"/>
        <w:ind w:left="708"/>
        <w:jc w:val="both"/>
        <w:outlineLvl w:val="1"/>
        <w:rPr>
          <w:rFonts w:eastAsia="Cambria"/>
          <w:b/>
          <w:color w:val="000000"/>
        </w:rPr>
      </w:pPr>
      <w:r w:rsidRPr="00C56257">
        <w:rPr>
          <w:rFonts w:eastAsia="Cambria"/>
          <w:b/>
          <w:color w:val="000000"/>
        </w:rPr>
        <w:t>Regiunea biogeografică Continentală</w:t>
      </w:r>
    </w:p>
    <w:tbl>
      <w:tblPr>
        <w:tblStyle w:val="TableGrid"/>
        <w:tblW w:w="0" w:type="auto"/>
        <w:tblLook w:val="04A0" w:firstRow="1" w:lastRow="0" w:firstColumn="1" w:lastColumn="0" w:noHBand="0" w:noVBand="1"/>
      </w:tblPr>
      <w:tblGrid>
        <w:gridCol w:w="644"/>
        <w:gridCol w:w="2557"/>
        <w:gridCol w:w="1326"/>
        <w:gridCol w:w="643"/>
        <w:gridCol w:w="2536"/>
        <w:gridCol w:w="1310"/>
      </w:tblGrid>
      <w:tr w:rsidR="0007555D" w:rsidRPr="00C56257" w14:paraId="6681F16F" w14:textId="77777777" w:rsidTr="0007555D">
        <w:tc>
          <w:tcPr>
            <w:tcW w:w="4527" w:type="dxa"/>
            <w:gridSpan w:val="3"/>
          </w:tcPr>
          <w:p w14:paraId="754B2474" w14:textId="77777777" w:rsidR="0007555D" w:rsidRPr="00C56257" w:rsidRDefault="0007555D" w:rsidP="00F100E1">
            <w:pPr>
              <w:jc w:val="both"/>
            </w:pPr>
            <w:r w:rsidRPr="00C56257">
              <w:t>Presiuni</w:t>
            </w:r>
          </w:p>
        </w:tc>
        <w:tc>
          <w:tcPr>
            <w:tcW w:w="4489" w:type="dxa"/>
            <w:gridSpan w:val="3"/>
          </w:tcPr>
          <w:p w14:paraId="5EC27EA9" w14:textId="77777777" w:rsidR="0007555D" w:rsidRPr="00C56257" w:rsidRDefault="0007555D" w:rsidP="00F100E1">
            <w:pPr>
              <w:jc w:val="both"/>
            </w:pPr>
            <w:r w:rsidRPr="00C56257">
              <w:t>Amenințări</w:t>
            </w:r>
          </w:p>
        </w:tc>
      </w:tr>
      <w:tr w:rsidR="0007555D" w:rsidRPr="00C56257" w14:paraId="0D306F40" w14:textId="77777777" w:rsidTr="0007555D">
        <w:tc>
          <w:tcPr>
            <w:tcW w:w="644" w:type="dxa"/>
          </w:tcPr>
          <w:p w14:paraId="22181993" w14:textId="77777777" w:rsidR="0007555D" w:rsidRPr="00C56257" w:rsidRDefault="0007555D" w:rsidP="008E33FD">
            <w:pPr>
              <w:jc w:val="both"/>
            </w:pPr>
            <w:r w:rsidRPr="00C56257">
              <w:t>Cod</w:t>
            </w:r>
          </w:p>
        </w:tc>
        <w:tc>
          <w:tcPr>
            <w:tcW w:w="2557" w:type="dxa"/>
          </w:tcPr>
          <w:p w14:paraId="1199E59C" w14:textId="77777777" w:rsidR="0007555D" w:rsidRPr="00C56257" w:rsidRDefault="0007555D" w:rsidP="008E33FD">
            <w:pPr>
              <w:jc w:val="both"/>
            </w:pPr>
            <w:r w:rsidRPr="00C56257">
              <w:t>Denumire</w:t>
            </w:r>
          </w:p>
        </w:tc>
        <w:tc>
          <w:tcPr>
            <w:tcW w:w="1326" w:type="dxa"/>
          </w:tcPr>
          <w:p w14:paraId="580A56E8" w14:textId="77777777" w:rsidR="0007555D" w:rsidRPr="00C56257" w:rsidRDefault="0007555D" w:rsidP="008E33FD">
            <w:pPr>
              <w:jc w:val="both"/>
            </w:pPr>
            <w:r w:rsidRPr="00C56257">
              <w:t>Intensitate</w:t>
            </w:r>
          </w:p>
        </w:tc>
        <w:tc>
          <w:tcPr>
            <w:tcW w:w="643" w:type="dxa"/>
          </w:tcPr>
          <w:p w14:paraId="1FB4D5D4" w14:textId="77777777" w:rsidR="0007555D" w:rsidRPr="00C56257" w:rsidRDefault="0007555D" w:rsidP="008E33FD">
            <w:pPr>
              <w:jc w:val="both"/>
            </w:pPr>
            <w:r w:rsidRPr="00C56257">
              <w:t>Cod</w:t>
            </w:r>
          </w:p>
        </w:tc>
        <w:tc>
          <w:tcPr>
            <w:tcW w:w="2536" w:type="dxa"/>
          </w:tcPr>
          <w:p w14:paraId="777BEDCB" w14:textId="77777777" w:rsidR="0007555D" w:rsidRPr="00C56257" w:rsidRDefault="0007555D" w:rsidP="008E33FD">
            <w:pPr>
              <w:jc w:val="both"/>
            </w:pPr>
            <w:r w:rsidRPr="00C56257">
              <w:t>Denumire</w:t>
            </w:r>
          </w:p>
        </w:tc>
        <w:tc>
          <w:tcPr>
            <w:tcW w:w="1310" w:type="dxa"/>
          </w:tcPr>
          <w:p w14:paraId="685E8565" w14:textId="77777777" w:rsidR="0007555D" w:rsidRPr="00C56257" w:rsidRDefault="0007555D" w:rsidP="008E33FD">
            <w:pPr>
              <w:jc w:val="both"/>
            </w:pPr>
            <w:r w:rsidRPr="00C56257">
              <w:t>Intensitate</w:t>
            </w:r>
          </w:p>
        </w:tc>
      </w:tr>
      <w:tr w:rsidR="0007555D" w:rsidRPr="00C56257" w14:paraId="546178F5" w14:textId="77777777" w:rsidTr="0007555D">
        <w:tc>
          <w:tcPr>
            <w:tcW w:w="644" w:type="dxa"/>
            <w:vAlign w:val="center"/>
          </w:tcPr>
          <w:p w14:paraId="1628B1E2" w14:textId="77777777" w:rsidR="0007555D" w:rsidRPr="00C56257" w:rsidRDefault="0007555D" w:rsidP="00F100E1">
            <w:pPr>
              <w:jc w:val="both"/>
            </w:pPr>
            <w:r w:rsidRPr="00C56257">
              <w:t>L01</w:t>
            </w:r>
          </w:p>
        </w:tc>
        <w:tc>
          <w:tcPr>
            <w:tcW w:w="2557" w:type="dxa"/>
            <w:vAlign w:val="center"/>
          </w:tcPr>
          <w:p w14:paraId="323CF774" w14:textId="77777777" w:rsidR="0007555D" w:rsidRPr="00C56257" w:rsidRDefault="0007555D" w:rsidP="00F100E1">
            <w:pPr>
              <w:jc w:val="both"/>
            </w:pPr>
            <w:r w:rsidRPr="00C56257">
              <w:t>Procese abiotice naturale (eroziune, secetă, salinizare, etc.)</w:t>
            </w:r>
          </w:p>
        </w:tc>
        <w:tc>
          <w:tcPr>
            <w:tcW w:w="1326" w:type="dxa"/>
            <w:vAlign w:val="center"/>
          </w:tcPr>
          <w:p w14:paraId="67EDFA80" w14:textId="77777777" w:rsidR="0007555D" w:rsidRPr="00C56257" w:rsidRDefault="0007555D" w:rsidP="00F100E1">
            <w:pPr>
              <w:jc w:val="both"/>
            </w:pPr>
            <w:r w:rsidRPr="00C56257">
              <w:t>Medie</w:t>
            </w:r>
          </w:p>
        </w:tc>
        <w:tc>
          <w:tcPr>
            <w:tcW w:w="643" w:type="dxa"/>
            <w:vAlign w:val="center"/>
          </w:tcPr>
          <w:p w14:paraId="2FAFE6C7" w14:textId="77777777" w:rsidR="0007555D" w:rsidRPr="00C56257" w:rsidRDefault="0007555D" w:rsidP="00F100E1">
            <w:pPr>
              <w:jc w:val="both"/>
            </w:pPr>
            <w:r w:rsidRPr="00C56257">
              <w:t>L01</w:t>
            </w:r>
          </w:p>
        </w:tc>
        <w:tc>
          <w:tcPr>
            <w:tcW w:w="2536" w:type="dxa"/>
            <w:vAlign w:val="center"/>
          </w:tcPr>
          <w:p w14:paraId="0A3537D0" w14:textId="77777777" w:rsidR="0007555D" w:rsidRPr="00C56257" w:rsidRDefault="0007555D" w:rsidP="00F100E1">
            <w:pPr>
              <w:jc w:val="both"/>
            </w:pPr>
            <w:r w:rsidRPr="00C56257">
              <w:t>Procese abiotice naturale (eroziune, secetă, salinizare, etc.)</w:t>
            </w:r>
          </w:p>
        </w:tc>
        <w:tc>
          <w:tcPr>
            <w:tcW w:w="1310" w:type="dxa"/>
            <w:vAlign w:val="center"/>
          </w:tcPr>
          <w:p w14:paraId="36AAE009" w14:textId="77777777" w:rsidR="0007555D" w:rsidRPr="00C56257" w:rsidRDefault="0007555D" w:rsidP="00F100E1">
            <w:pPr>
              <w:jc w:val="both"/>
            </w:pPr>
            <w:r w:rsidRPr="00C56257">
              <w:t>Medie</w:t>
            </w:r>
          </w:p>
        </w:tc>
      </w:tr>
    </w:tbl>
    <w:p w14:paraId="3A6A37FB" w14:textId="77777777" w:rsidR="0007555D" w:rsidRPr="00C56257" w:rsidRDefault="0007555D" w:rsidP="008E33FD">
      <w:pPr>
        <w:tabs>
          <w:tab w:val="num" w:pos="360"/>
        </w:tabs>
        <w:ind w:left="360" w:hanging="360"/>
        <w:jc w:val="both"/>
        <w:rPr>
          <w:rFonts w:eastAsia="Calibri"/>
          <w:b/>
        </w:rPr>
      </w:pPr>
    </w:p>
    <w:p w14:paraId="17F25E05" w14:textId="77777777" w:rsidR="0007555D" w:rsidRPr="00C56257" w:rsidRDefault="0007555D" w:rsidP="008E33FD">
      <w:pPr>
        <w:tabs>
          <w:tab w:val="num" w:pos="0"/>
        </w:tabs>
        <w:jc w:val="both"/>
        <w:rPr>
          <w:rFonts w:eastAsia="Calibri"/>
          <w:b/>
        </w:rPr>
      </w:pPr>
      <w:r w:rsidRPr="00C56257">
        <w:rPr>
          <w:rFonts w:eastAsia="Calibri"/>
          <w:b/>
        </w:rPr>
        <w:sym w:font="Wingdings" w:char="F09F"/>
      </w:r>
      <w:r w:rsidRPr="00C56257">
        <w:rPr>
          <w:rFonts w:eastAsia="Calibri"/>
          <w:b/>
        </w:rPr>
        <w:t xml:space="preserve"> 91E0* - Păduri aluviale cu </w:t>
      </w:r>
      <w:r w:rsidRPr="00C56257">
        <w:rPr>
          <w:rFonts w:eastAsia="Calibri"/>
          <w:b/>
          <w:i/>
          <w:iCs/>
        </w:rPr>
        <w:t>Alnus glutinosa</w:t>
      </w:r>
      <w:r w:rsidRPr="00C56257">
        <w:rPr>
          <w:rFonts w:eastAsia="Calibri"/>
          <w:b/>
        </w:rPr>
        <w:t xml:space="preserve"> și </w:t>
      </w:r>
      <w:r w:rsidRPr="00C56257">
        <w:rPr>
          <w:rFonts w:eastAsia="Calibri"/>
          <w:b/>
          <w:i/>
          <w:iCs/>
        </w:rPr>
        <w:t>Fraxinus excelsior</w:t>
      </w:r>
      <w:r w:rsidRPr="00C56257">
        <w:rPr>
          <w:rFonts w:eastAsia="Calibri"/>
          <w:b/>
        </w:rPr>
        <w:t xml:space="preserve"> (</w:t>
      </w:r>
      <w:r w:rsidRPr="00C56257">
        <w:rPr>
          <w:rFonts w:eastAsia="Calibri"/>
          <w:b/>
          <w:i/>
          <w:iCs/>
        </w:rPr>
        <w:t>Alno-Padion</w:t>
      </w:r>
      <w:r w:rsidRPr="00C56257">
        <w:rPr>
          <w:rFonts w:eastAsia="Calibri"/>
          <w:b/>
        </w:rPr>
        <w:t xml:space="preserve">, </w:t>
      </w:r>
      <w:r w:rsidRPr="00C56257">
        <w:rPr>
          <w:rFonts w:eastAsia="Calibri"/>
          <w:b/>
          <w:i/>
          <w:iCs/>
        </w:rPr>
        <w:t>Alnion incanae</w:t>
      </w:r>
      <w:r w:rsidRPr="00C56257">
        <w:rPr>
          <w:rFonts w:eastAsia="Calibri"/>
          <w:b/>
        </w:rPr>
        <w:t xml:space="preserve">, </w:t>
      </w:r>
      <w:r w:rsidRPr="00C56257">
        <w:rPr>
          <w:rFonts w:eastAsia="Calibri"/>
          <w:b/>
          <w:i/>
          <w:iCs/>
        </w:rPr>
        <w:t>Salicion albae</w:t>
      </w:r>
      <w:r w:rsidRPr="00C56257">
        <w:rPr>
          <w:rFonts w:eastAsia="Calibri"/>
          <w:b/>
        </w:rPr>
        <w:t>)</w:t>
      </w:r>
    </w:p>
    <w:p w14:paraId="480DA462" w14:textId="77777777" w:rsidR="0007555D" w:rsidRPr="00C56257" w:rsidRDefault="0007555D" w:rsidP="008E33FD">
      <w:pPr>
        <w:keepNext/>
        <w:keepLines/>
        <w:spacing w:before="280" w:after="240" w:line="259" w:lineRule="auto"/>
        <w:ind w:left="708"/>
        <w:jc w:val="both"/>
        <w:outlineLvl w:val="1"/>
        <w:rPr>
          <w:rFonts w:eastAsia="Cambria"/>
          <w:b/>
          <w:color w:val="000000"/>
        </w:rPr>
      </w:pPr>
      <w:r w:rsidRPr="00C56257">
        <w:rPr>
          <w:rFonts w:eastAsia="Cambria"/>
          <w:b/>
          <w:color w:val="000000"/>
        </w:rPr>
        <w:t>Regiunea biogeografică Alpină</w:t>
      </w:r>
    </w:p>
    <w:tbl>
      <w:tblPr>
        <w:tblStyle w:val="TableGrid"/>
        <w:tblW w:w="0" w:type="auto"/>
        <w:tblLook w:val="04A0" w:firstRow="1" w:lastRow="0" w:firstColumn="1" w:lastColumn="0" w:noHBand="0" w:noVBand="1"/>
      </w:tblPr>
      <w:tblGrid>
        <w:gridCol w:w="644"/>
        <w:gridCol w:w="2557"/>
        <w:gridCol w:w="1326"/>
        <w:gridCol w:w="643"/>
        <w:gridCol w:w="2536"/>
        <w:gridCol w:w="1310"/>
      </w:tblGrid>
      <w:tr w:rsidR="0007555D" w:rsidRPr="00C56257" w14:paraId="23233014" w14:textId="77777777" w:rsidTr="0007555D">
        <w:tc>
          <w:tcPr>
            <w:tcW w:w="4527" w:type="dxa"/>
            <w:gridSpan w:val="3"/>
          </w:tcPr>
          <w:p w14:paraId="4E6810C7" w14:textId="77777777" w:rsidR="0007555D" w:rsidRPr="00C56257" w:rsidRDefault="0007555D" w:rsidP="00F100E1">
            <w:pPr>
              <w:jc w:val="both"/>
            </w:pPr>
            <w:r w:rsidRPr="00C56257">
              <w:t>Presiuni</w:t>
            </w:r>
          </w:p>
        </w:tc>
        <w:tc>
          <w:tcPr>
            <w:tcW w:w="4489" w:type="dxa"/>
            <w:gridSpan w:val="3"/>
          </w:tcPr>
          <w:p w14:paraId="09587F95" w14:textId="77777777" w:rsidR="0007555D" w:rsidRPr="00C56257" w:rsidRDefault="0007555D" w:rsidP="00F100E1">
            <w:pPr>
              <w:jc w:val="both"/>
            </w:pPr>
            <w:r w:rsidRPr="00C56257">
              <w:t>Amenințări</w:t>
            </w:r>
          </w:p>
        </w:tc>
      </w:tr>
      <w:tr w:rsidR="0007555D" w:rsidRPr="00C56257" w14:paraId="1DF0E783" w14:textId="77777777" w:rsidTr="0007555D">
        <w:tc>
          <w:tcPr>
            <w:tcW w:w="644" w:type="dxa"/>
          </w:tcPr>
          <w:p w14:paraId="17F8248B" w14:textId="77777777" w:rsidR="0007555D" w:rsidRPr="00C56257" w:rsidRDefault="0007555D" w:rsidP="008E33FD">
            <w:pPr>
              <w:jc w:val="both"/>
            </w:pPr>
            <w:r w:rsidRPr="00C56257">
              <w:t>Cod</w:t>
            </w:r>
          </w:p>
        </w:tc>
        <w:tc>
          <w:tcPr>
            <w:tcW w:w="2557" w:type="dxa"/>
          </w:tcPr>
          <w:p w14:paraId="259EA198" w14:textId="77777777" w:rsidR="0007555D" w:rsidRPr="00C56257" w:rsidRDefault="0007555D" w:rsidP="008E33FD">
            <w:pPr>
              <w:jc w:val="both"/>
            </w:pPr>
            <w:r w:rsidRPr="00C56257">
              <w:t>Denumire</w:t>
            </w:r>
          </w:p>
        </w:tc>
        <w:tc>
          <w:tcPr>
            <w:tcW w:w="1326" w:type="dxa"/>
          </w:tcPr>
          <w:p w14:paraId="51AA076E" w14:textId="77777777" w:rsidR="0007555D" w:rsidRPr="00C56257" w:rsidRDefault="0007555D" w:rsidP="008E33FD">
            <w:pPr>
              <w:jc w:val="both"/>
            </w:pPr>
            <w:r w:rsidRPr="00C56257">
              <w:t>Intensitate</w:t>
            </w:r>
          </w:p>
        </w:tc>
        <w:tc>
          <w:tcPr>
            <w:tcW w:w="643" w:type="dxa"/>
          </w:tcPr>
          <w:p w14:paraId="02EBDE2E" w14:textId="77777777" w:rsidR="0007555D" w:rsidRPr="00C56257" w:rsidRDefault="0007555D" w:rsidP="008E33FD">
            <w:pPr>
              <w:jc w:val="both"/>
            </w:pPr>
            <w:r w:rsidRPr="00C56257">
              <w:t>Cod</w:t>
            </w:r>
          </w:p>
        </w:tc>
        <w:tc>
          <w:tcPr>
            <w:tcW w:w="2536" w:type="dxa"/>
          </w:tcPr>
          <w:p w14:paraId="2DB74EAC" w14:textId="77777777" w:rsidR="0007555D" w:rsidRPr="00C56257" w:rsidRDefault="0007555D" w:rsidP="008E33FD">
            <w:pPr>
              <w:jc w:val="both"/>
            </w:pPr>
            <w:r w:rsidRPr="00C56257">
              <w:t>Denumire</w:t>
            </w:r>
          </w:p>
        </w:tc>
        <w:tc>
          <w:tcPr>
            <w:tcW w:w="1310" w:type="dxa"/>
          </w:tcPr>
          <w:p w14:paraId="6C51ECA8" w14:textId="77777777" w:rsidR="0007555D" w:rsidRPr="00C56257" w:rsidRDefault="0007555D" w:rsidP="008E33FD">
            <w:pPr>
              <w:jc w:val="both"/>
            </w:pPr>
            <w:r w:rsidRPr="00C56257">
              <w:t>Intensitate</w:t>
            </w:r>
          </w:p>
        </w:tc>
      </w:tr>
      <w:tr w:rsidR="0007555D" w:rsidRPr="00C56257" w14:paraId="25909A4D" w14:textId="77777777" w:rsidTr="0007555D">
        <w:tc>
          <w:tcPr>
            <w:tcW w:w="644" w:type="dxa"/>
            <w:vAlign w:val="center"/>
          </w:tcPr>
          <w:p w14:paraId="3DEE5772" w14:textId="77777777" w:rsidR="0007555D" w:rsidRPr="00C56257" w:rsidRDefault="0007555D" w:rsidP="00F100E1">
            <w:pPr>
              <w:jc w:val="both"/>
            </w:pPr>
            <w:r w:rsidRPr="00C56257">
              <w:lastRenderedPageBreak/>
              <w:t>E01</w:t>
            </w:r>
          </w:p>
        </w:tc>
        <w:tc>
          <w:tcPr>
            <w:tcW w:w="2557" w:type="dxa"/>
            <w:vAlign w:val="center"/>
          </w:tcPr>
          <w:p w14:paraId="7B9D757F" w14:textId="77777777" w:rsidR="0007555D" w:rsidRPr="00C56257" w:rsidRDefault="0007555D" w:rsidP="00F100E1">
            <w:pPr>
              <w:jc w:val="both"/>
            </w:pPr>
            <w:r w:rsidRPr="00C56257">
              <w:t>Drumuri, poteci, căi ferate și infrastructura aferentă (poduri, viaducte, tunele)</w:t>
            </w:r>
          </w:p>
        </w:tc>
        <w:tc>
          <w:tcPr>
            <w:tcW w:w="1326" w:type="dxa"/>
            <w:vAlign w:val="center"/>
          </w:tcPr>
          <w:p w14:paraId="62B1751B" w14:textId="77777777" w:rsidR="0007555D" w:rsidRPr="00C56257" w:rsidRDefault="0007555D" w:rsidP="00F100E1">
            <w:pPr>
              <w:jc w:val="both"/>
            </w:pPr>
            <w:r w:rsidRPr="00C56257">
              <w:t>Ridicată</w:t>
            </w:r>
          </w:p>
        </w:tc>
        <w:tc>
          <w:tcPr>
            <w:tcW w:w="643" w:type="dxa"/>
            <w:vAlign w:val="center"/>
          </w:tcPr>
          <w:p w14:paraId="4CE68345" w14:textId="77777777" w:rsidR="0007555D" w:rsidRPr="00C56257" w:rsidRDefault="0007555D" w:rsidP="00F100E1">
            <w:pPr>
              <w:jc w:val="both"/>
            </w:pPr>
            <w:r w:rsidRPr="00C56257">
              <w:t>E01</w:t>
            </w:r>
          </w:p>
        </w:tc>
        <w:tc>
          <w:tcPr>
            <w:tcW w:w="2536" w:type="dxa"/>
            <w:vAlign w:val="center"/>
          </w:tcPr>
          <w:p w14:paraId="4246CE93" w14:textId="77777777" w:rsidR="0007555D" w:rsidRPr="00C56257" w:rsidRDefault="0007555D" w:rsidP="00F100E1">
            <w:pPr>
              <w:jc w:val="both"/>
            </w:pPr>
            <w:r w:rsidRPr="00C56257">
              <w:t>Drumuri, poteci, căi ferate și infrastructura aferentă (poduri, viaducte, tunele)</w:t>
            </w:r>
          </w:p>
        </w:tc>
        <w:tc>
          <w:tcPr>
            <w:tcW w:w="1310" w:type="dxa"/>
            <w:vAlign w:val="center"/>
          </w:tcPr>
          <w:p w14:paraId="316FB572" w14:textId="77777777" w:rsidR="0007555D" w:rsidRPr="00C56257" w:rsidRDefault="0007555D" w:rsidP="00F100E1">
            <w:pPr>
              <w:jc w:val="both"/>
            </w:pPr>
            <w:r w:rsidRPr="00C56257">
              <w:t>Ridicată</w:t>
            </w:r>
          </w:p>
        </w:tc>
      </w:tr>
      <w:tr w:rsidR="0007555D" w:rsidRPr="00C56257" w14:paraId="35C1C745" w14:textId="77777777" w:rsidTr="0007555D">
        <w:tc>
          <w:tcPr>
            <w:tcW w:w="644" w:type="dxa"/>
            <w:vAlign w:val="center"/>
          </w:tcPr>
          <w:p w14:paraId="377C452E" w14:textId="77777777" w:rsidR="0007555D" w:rsidRPr="00C56257" w:rsidRDefault="0007555D" w:rsidP="00F100E1">
            <w:pPr>
              <w:jc w:val="both"/>
            </w:pPr>
            <w:r w:rsidRPr="00C56257">
              <w:t>A09</w:t>
            </w:r>
          </w:p>
        </w:tc>
        <w:tc>
          <w:tcPr>
            <w:tcW w:w="2557" w:type="dxa"/>
            <w:vAlign w:val="center"/>
          </w:tcPr>
          <w:p w14:paraId="3576BAF2" w14:textId="77777777" w:rsidR="0007555D" w:rsidRPr="00C56257" w:rsidRDefault="0007555D" w:rsidP="00F100E1">
            <w:pPr>
              <w:jc w:val="both"/>
            </w:pPr>
            <w:r w:rsidRPr="00C56257">
              <w:t>Pășunat intensiv</w:t>
            </w:r>
          </w:p>
        </w:tc>
        <w:tc>
          <w:tcPr>
            <w:tcW w:w="1326" w:type="dxa"/>
            <w:vAlign w:val="center"/>
          </w:tcPr>
          <w:p w14:paraId="26EEA976" w14:textId="77777777" w:rsidR="0007555D" w:rsidRPr="00C56257" w:rsidRDefault="0007555D" w:rsidP="00F100E1">
            <w:pPr>
              <w:jc w:val="both"/>
            </w:pPr>
            <w:r w:rsidRPr="00C56257">
              <w:t>Medie</w:t>
            </w:r>
          </w:p>
        </w:tc>
        <w:tc>
          <w:tcPr>
            <w:tcW w:w="643" w:type="dxa"/>
            <w:vAlign w:val="center"/>
          </w:tcPr>
          <w:p w14:paraId="2CE7DBA6" w14:textId="77777777" w:rsidR="0007555D" w:rsidRPr="00C56257" w:rsidRDefault="0007555D" w:rsidP="00F100E1">
            <w:pPr>
              <w:jc w:val="both"/>
            </w:pPr>
            <w:r w:rsidRPr="00C56257">
              <w:t>A09</w:t>
            </w:r>
          </w:p>
        </w:tc>
        <w:tc>
          <w:tcPr>
            <w:tcW w:w="2536" w:type="dxa"/>
            <w:vAlign w:val="center"/>
          </w:tcPr>
          <w:p w14:paraId="55E24998" w14:textId="77777777" w:rsidR="0007555D" w:rsidRPr="00C56257" w:rsidRDefault="0007555D" w:rsidP="00F100E1">
            <w:pPr>
              <w:jc w:val="both"/>
            </w:pPr>
            <w:r w:rsidRPr="00C56257">
              <w:t>Pășunat intensiv</w:t>
            </w:r>
          </w:p>
        </w:tc>
        <w:tc>
          <w:tcPr>
            <w:tcW w:w="1310" w:type="dxa"/>
            <w:vAlign w:val="center"/>
          </w:tcPr>
          <w:p w14:paraId="652E2156" w14:textId="77777777" w:rsidR="0007555D" w:rsidRPr="00C56257" w:rsidRDefault="0007555D" w:rsidP="00F100E1">
            <w:pPr>
              <w:jc w:val="both"/>
            </w:pPr>
            <w:r w:rsidRPr="00C56257">
              <w:t>Medie</w:t>
            </w:r>
          </w:p>
        </w:tc>
      </w:tr>
      <w:tr w:rsidR="0007555D" w:rsidRPr="00C56257" w14:paraId="0D87CEAC" w14:textId="77777777" w:rsidTr="0007555D">
        <w:tc>
          <w:tcPr>
            <w:tcW w:w="644" w:type="dxa"/>
            <w:vAlign w:val="center"/>
          </w:tcPr>
          <w:p w14:paraId="6606728A" w14:textId="77777777" w:rsidR="0007555D" w:rsidRPr="00C56257" w:rsidRDefault="0007555D" w:rsidP="00F100E1">
            <w:pPr>
              <w:jc w:val="both"/>
            </w:pPr>
            <w:r w:rsidRPr="00C56257">
              <w:t>L01</w:t>
            </w:r>
          </w:p>
        </w:tc>
        <w:tc>
          <w:tcPr>
            <w:tcW w:w="2557" w:type="dxa"/>
            <w:vAlign w:val="center"/>
          </w:tcPr>
          <w:p w14:paraId="2064F51F" w14:textId="77777777" w:rsidR="0007555D" w:rsidRPr="00C56257" w:rsidRDefault="0007555D" w:rsidP="00F100E1">
            <w:pPr>
              <w:jc w:val="both"/>
            </w:pPr>
            <w:r w:rsidRPr="00C56257">
              <w:t>Procese abiotice naturale (eroziune, secetă, salinizare, etc.)</w:t>
            </w:r>
          </w:p>
        </w:tc>
        <w:tc>
          <w:tcPr>
            <w:tcW w:w="1326" w:type="dxa"/>
            <w:vAlign w:val="center"/>
          </w:tcPr>
          <w:p w14:paraId="5C1C69B2" w14:textId="77777777" w:rsidR="0007555D" w:rsidRPr="00C56257" w:rsidRDefault="0007555D" w:rsidP="00F100E1">
            <w:pPr>
              <w:jc w:val="both"/>
            </w:pPr>
            <w:r w:rsidRPr="00C56257">
              <w:t>Medie</w:t>
            </w:r>
          </w:p>
        </w:tc>
        <w:tc>
          <w:tcPr>
            <w:tcW w:w="643" w:type="dxa"/>
            <w:vAlign w:val="center"/>
          </w:tcPr>
          <w:p w14:paraId="490FBDC9" w14:textId="77777777" w:rsidR="0007555D" w:rsidRPr="00C56257" w:rsidRDefault="0007555D" w:rsidP="00F100E1">
            <w:pPr>
              <w:jc w:val="both"/>
            </w:pPr>
            <w:r w:rsidRPr="00C56257">
              <w:t>L01</w:t>
            </w:r>
          </w:p>
        </w:tc>
        <w:tc>
          <w:tcPr>
            <w:tcW w:w="2536" w:type="dxa"/>
            <w:vAlign w:val="center"/>
          </w:tcPr>
          <w:p w14:paraId="7BF0A5FA" w14:textId="77777777" w:rsidR="0007555D" w:rsidRPr="00C56257" w:rsidRDefault="0007555D" w:rsidP="00F100E1">
            <w:pPr>
              <w:jc w:val="both"/>
            </w:pPr>
            <w:r w:rsidRPr="00C56257">
              <w:t>Procese abiotice naturale (eroziune, secetă, salinizare, etc.)</w:t>
            </w:r>
          </w:p>
        </w:tc>
        <w:tc>
          <w:tcPr>
            <w:tcW w:w="1310" w:type="dxa"/>
            <w:vAlign w:val="center"/>
          </w:tcPr>
          <w:p w14:paraId="5A1C5F7B" w14:textId="77777777" w:rsidR="0007555D" w:rsidRPr="00C56257" w:rsidRDefault="0007555D" w:rsidP="00F100E1">
            <w:pPr>
              <w:jc w:val="both"/>
            </w:pPr>
            <w:r w:rsidRPr="00C56257">
              <w:t>Medie</w:t>
            </w:r>
          </w:p>
        </w:tc>
      </w:tr>
    </w:tbl>
    <w:p w14:paraId="2E105FEC" w14:textId="77777777" w:rsidR="0007555D" w:rsidRPr="00C56257" w:rsidRDefault="0007555D" w:rsidP="008E33FD">
      <w:pPr>
        <w:keepNext/>
        <w:keepLines/>
        <w:spacing w:before="280" w:after="240" w:line="259" w:lineRule="auto"/>
        <w:ind w:left="708"/>
        <w:jc w:val="both"/>
        <w:outlineLvl w:val="1"/>
        <w:rPr>
          <w:rFonts w:eastAsia="Cambria"/>
          <w:b/>
          <w:color w:val="000000"/>
        </w:rPr>
      </w:pPr>
      <w:r w:rsidRPr="00C56257">
        <w:rPr>
          <w:rFonts w:eastAsia="Cambria"/>
          <w:b/>
          <w:color w:val="000000"/>
        </w:rPr>
        <w:t>Regiunea biogeografică Continentală</w:t>
      </w:r>
    </w:p>
    <w:tbl>
      <w:tblPr>
        <w:tblStyle w:val="TableGrid"/>
        <w:tblW w:w="0" w:type="auto"/>
        <w:tblLook w:val="04A0" w:firstRow="1" w:lastRow="0" w:firstColumn="1" w:lastColumn="0" w:noHBand="0" w:noVBand="1"/>
      </w:tblPr>
      <w:tblGrid>
        <w:gridCol w:w="644"/>
        <w:gridCol w:w="2557"/>
        <w:gridCol w:w="1326"/>
        <w:gridCol w:w="643"/>
        <w:gridCol w:w="2536"/>
        <w:gridCol w:w="1310"/>
      </w:tblGrid>
      <w:tr w:rsidR="0007555D" w:rsidRPr="00C56257" w14:paraId="2937B699" w14:textId="77777777" w:rsidTr="0007555D">
        <w:tc>
          <w:tcPr>
            <w:tcW w:w="4527" w:type="dxa"/>
            <w:gridSpan w:val="3"/>
          </w:tcPr>
          <w:p w14:paraId="453CA67E" w14:textId="77777777" w:rsidR="0007555D" w:rsidRPr="00C56257" w:rsidRDefault="0007555D" w:rsidP="00F100E1">
            <w:pPr>
              <w:jc w:val="both"/>
            </w:pPr>
            <w:r w:rsidRPr="00C56257">
              <w:t>Presiuni</w:t>
            </w:r>
          </w:p>
        </w:tc>
        <w:tc>
          <w:tcPr>
            <w:tcW w:w="4489" w:type="dxa"/>
            <w:gridSpan w:val="3"/>
          </w:tcPr>
          <w:p w14:paraId="42CC0DBC" w14:textId="77777777" w:rsidR="0007555D" w:rsidRPr="00C56257" w:rsidRDefault="0007555D" w:rsidP="00F100E1">
            <w:pPr>
              <w:jc w:val="both"/>
            </w:pPr>
            <w:r w:rsidRPr="00C56257">
              <w:t>Amenințări</w:t>
            </w:r>
          </w:p>
        </w:tc>
      </w:tr>
      <w:tr w:rsidR="0007555D" w:rsidRPr="00C56257" w14:paraId="2F03A70B" w14:textId="77777777" w:rsidTr="0007555D">
        <w:tc>
          <w:tcPr>
            <w:tcW w:w="644" w:type="dxa"/>
          </w:tcPr>
          <w:p w14:paraId="5964C221" w14:textId="77777777" w:rsidR="0007555D" w:rsidRPr="00C56257" w:rsidRDefault="0007555D" w:rsidP="008E33FD">
            <w:pPr>
              <w:jc w:val="both"/>
            </w:pPr>
            <w:r w:rsidRPr="00C56257">
              <w:t>Cod</w:t>
            </w:r>
          </w:p>
        </w:tc>
        <w:tc>
          <w:tcPr>
            <w:tcW w:w="2557" w:type="dxa"/>
          </w:tcPr>
          <w:p w14:paraId="09784ED3" w14:textId="77777777" w:rsidR="0007555D" w:rsidRPr="00C56257" w:rsidRDefault="0007555D" w:rsidP="008E33FD">
            <w:pPr>
              <w:jc w:val="both"/>
            </w:pPr>
            <w:r w:rsidRPr="00C56257">
              <w:t>Denumire</w:t>
            </w:r>
          </w:p>
        </w:tc>
        <w:tc>
          <w:tcPr>
            <w:tcW w:w="1326" w:type="dxa"/>
          </w:tcPr>
          <w:p w14:paraId="6774982B" w14:textId="77777777" w:rsidR="0007555D" w:rsidRPr="00C56257" w:rsidRDefault="0007555D" w:rsidP="008E33FD">
            <w:pPr>
              <w:jc w:val="both"/>
            </w:pPr>
            <w:r w:rsidRPr="00C56257">
              <w:t>Intensitate</w:t>
            </w:r>
          </w:p>
        </w:tc>
        <w:tc>
          <w:tcPr>
            <w:tcW w:w="643" w:type="dxa"/>
          </w:tcPr>
          <w:p w14:paraId="7EFE8734" w14:textId="77777777" w:rsidR="0007555D" w:rsidRPr="00C56257" w:rsidRDefault="0007555D" w:rsidP="008E33FD">
            <w:pPr>
              <w:jc w:val="both"/>
            </w:pPr>
            <w:r w:rsidRPr="00C56257">
              <w:t>Cod</w:t>
            </w:r>
          </w:p>
        </w:tc>
        <w:tc>
          <w:tcPr>
            <w:tcW w:w="2536" w:type="dxa"/>
          </w:tcPr>
          <w:p w14:paraId="0595D114" w14:textId="77777777" w:rsidR="0007555D" w:rsidRPr="00C56257" w:rsidRDefault="0007555D" w:rsidP="008E33FD">
            <w:pPr>
              <w:jc w:val="both"/>
            </w:pPr>
            <w:r w:rsidRPr="00C56257">
              <w:t>Denumire</w:t>
            </w:r>
          </w:p>
        </w:tc>
        <w:tc>
          <w:tcPr>
            <w:tcW w:w="1310" w:type="dxa"/>
          </w:tcPr>
          <w:p w14:paraId="5F82910E" w14:textId="77777777" w:rsidR="0007555D" w:rsidRPr="00C56257" w:rsidRDefault="0007555D" w:rsidP="008E33FD">
            <w:pPr>
              <w:jc w:val="both"/>
            </w:pPr>
            <w:r w:rsidRPr="00C56257">
              <w:t>Intensitate</w:t>
            </w:r>
          </w:p>
        </w:tc>
      </w:tr>
      <w:tr w:rsidR="0007555D" w:rsidRPr="00C56257" w14:paraId="19E79A8B" w14:textId="77777777" w:rsidTr="0007555D">
        <w:tc>
          <w:tcPr>
            <w:tcW w:w="644" w:type="dxa"/>
            <w:vAlign w:val="center"/>
          </w:tcPr>
          <w:p w14:paraId="3A2C2C7C" w14:textId="77777777" w:rsidR="0007555D" w:rsidRPr="00C56257" w:rsidRDefault="0007555D" w:rsidP="00F100E1">
            <w:pPr>
              <w:jc w:val="both"/>
            </w:pPr>
            <w:r w:rsidRPr="00C56257">
              <w:t>A09</w:t>
            </w:r>
          </w:p>
        </w:tc>
        <w:tc>
          <w:tcPr>
            <w:tcW w:w="2557" w:type="dxa"/>
            <w:vAlign w:val="center"/>
          </w:tcPr>
          <w:p w14:paraId="4BB36292" w14:textId="77777777" w:rsidR="0007555D" w:rsidRPr="00C56257" w:rsidRDefault="0007555D" w:rsidP="00F100E1">
            <w:pPr>
              <w:jc w:val="both"/>
            </w:pPr>
            <w:r w:rsidRPr="00C56257">
              <w:t>Pășunat intensiv</w:t>
            </w:r>
          </w:p>
        </w:tc>
        <w:tc>
          <w:tcPr>
            <w:tcW w:w="1326" w:type="dxa"/>
            <w:vAlign w:val="center"/>
          </w:tcPr>
          <w:p w14:paraId="3BD9467E" w14:textId="77777777" w:rsidR="0007555D" w:rsidRPr="00C56257" w:rsidRDefault="0007555D" w:rsidP="00F100E1">
            <w:pPr>
              <w:jc w:val="both"/>
            </w:pPr>
            <w:r w:rsidRPr="00C56257">
              <w:t>Medie</w:t>
            </w:r>
          </w:p>
        </w:tc>
        <w:tc>
          <w:tcPr>
            <w:tcW w:w="643" w:type="dxa"/>
            <w:vAlign w:val="center"/>
          </w:tcPr>
          <w:p w14:paraId="1972263E" w14:textId="77777777" w:rsidR="0007555D" w:rsidRPr="00C56257" w:rsidRDefault="0007555D" w:rsidP="00F100E1">
            <w:pPr>
              <w:jc w:val="both"/>
            </w:pPr>
            <w:r w:rsidRPr="00C56257">
              <w:t>A09</w:t>
            </w:r>
          </w:p>
        </w:tc>
        <w:tc>
          <w:tcPr>
            <w:tcW w:w="2536" w:type="dxa"/>
            <w:vAlign w:val="center"/>
          </w:tcPr>
          <w:p w14:paraId="4B31E387" w14:textId="77777777" w:rsidR="0007555D" w:rsidRPr="00C56257" w:rsidRDefault="0007555D" w:rsidP="00F100E1">
            <w:pPr>
              <w:jc w:val="both"/>
            </w:pPr>
            <w:r w:rsidRPr="00C56257">
              <w:t>Pășunat intensiv</w:t>
            </w:r>
          </w:p>
        </w:tc>
        <w:tc>
          <w:tcPr>
            <w:tcW w:w="1310" w:type="dxa"/>
            <w:vAlign w:val="center"/>
          </w:tcPr>
          <w:p w14:paraId="53F28510" w14:textId="77777777" w:rsidR="0007555D" w:rsidRPr="00C56257" w:rsidRDefault="0007555D" w:rsidP="00F100E1">
            <w:pPr>
              <w:jc w:val="both"/>
            </w:pPr>
            <w:r w:rsidRPr="00C56257">
              <w:t>Medie</w:t>
            </w:r>
          </w:p>
        </w:tc>
      </w:tr>
      <w:tr w:rsidR="0007555D" w:rsidRPr="00C56257" w14:paraId="399D1633" w14:textId="77777777" w:rsidTr="0007555D">
        <w:tc>
          <w:tcPr>
            <w:tcW w:w="644" w:type="dxa"/>
            <w:vAlign w:val="center"/>
          </w:tcPr>
          <w:p w14:paraId="65209744" w14:textId="77777777" w:rsidR="0007555D" w:rsidRPr="00C56257" w:rsidRDefault="0007555D" w:rsidP="00F100E1">
            <w:pPr>
              <w:jc w:val="both"/>
            </w:pPr>
            <w:r w:rsidRPr="00C56257">
              <w:t>C01</w:t>
            </w:r>
          </w:p>
        </w:tc>
        <w:tc>
          <w:tcPr>
            <w:tcW w:w="2557" w:type="dxa"/>
            <w:vAlign w:val="center"/>
          </w:tcPr>
          <w:p w14:paraId="2E580490" w14:textId="77777777" w:rsidR="0007555D" w:rsidRPr="00C56257" w:rsidRDefault="0007555D" w:rsidP="00F100E1">
            <w:pPr>
              <w:jc w:val="both"/>
            </w:pPr>
            <w:r w:rsidRPr="00C56257">
              <w:t>Extracția mineralelor (rocă, minereuri metalice, pietriș, nisip, coajă, etc.)</w:t>
            </w:r>
          </w:p>
        </w:tc>
        <w:tc>
          <w:tcPr>
            <w:tcW w:w="1326" w:type="dxa"/>
            <w:vAlign w:val="center"/>
          </w:tcPr>
          <w:p w14:paraId="01B3E1A2" w14:textId="77777777" w:rsidR="0007555D" w:rsidRPr="00C56257" w:rsidRDefault="0007555D" w:rsidP="00F100E1">
            <w:pPr>
              <w:jc w:val="both"/>
            </w:pPr>
            <w:r w:rsidRPr="00C56257">
              <w:t>Medie</w:t>
            </w:r>
          </w:p>
        </w:tc>
        <w:tc>
          <w:tcPr>
            <w:tcW w:w="643" w:type="dxa"/>
            <w:vAlign w:val="center"/>
          </w:tcPr>
          <w:p w14:paraId="6CE3A4BE" w14:textId="77777777" w:rsidR="0007555D" w:rsidRPr="00C56257" w:rsidRDefault="0007555D" w:rsidP="00F100E1">
            <w:pPr>
              <w:jc w:val="both"/>
            </w:pPr>
            <w:r w:rsidRPr="00C56257">
              <w:t>C01</w:t>
            </w:r>
          </w:p>
        </w:tc>
        <w:tc>
          <w:tcPr>
            <w:tcW w:w="2536" w:type="dxa"/>
            <w:vAlign w:val="center"/>
          </w:tcPr>
          <w:p w14:paraId="74340343" w14:textId="77777777" w:rsidR="0007555D" w:rsidRPr="00C56257" w:rsidRDefault="0007555D" w:rsidP="00F100E1">
            <w:pPr>
              <w:jc w:val="both"/>
            </w:pPr>
            <w:r w:rsidRPr="00C56257">
              <w:t>Extracția mineralelor (rocă, minereuri metalice, pietriș, nisip, coajă, etc.)</w:t>
            </w:r>
          </w:p>
        </w:tc>
        <w:tc>
          <w:tcPr>
            <w:tcW w:w="1310" w:type="dxa"/>
            <w:vAlign w:val="center"/>
          </w:tcPr>
          <w:p w14:paraId="0A6E0406" w14:textId="77777777" w:rsidR="0007555D" w:rsidRPr="00C56257" w:rsidRDefault="0007555D" w:rsidP="00F100E1">
            <w:pPr>
              <w:jc w:val="both"/>
            </w:pPr>
            <w:r w:rsidRPr="00C56257">
              <w:t>Medie</w:t>
            </w:r>
          </w:p>
        </w:tc>
      </w:tr>
    </w:tbl>
    <w:p w14:paraId="5A6968F5" w14:textId="77777777" w:rsidR="0007555D" w:rsidRPr="00C56257" w:rsidRDefault="0007555D" w:rsidP="008E33FD">
      <w:pPr>
        <w:tabs>
          <w:tab w:val="num" w:pos="0"/>
        </w:tabs>
        <w:jc w:val="both"/>
        <w:rPr>
          <w:rFonts w:eastAsia="Calibri"/>
          <w:b/>
        </w:rPr>
      </w:pPr>
    </w:p>
    <w:p w14:paraId="18EC7552" w14:textId="77777777" w:rsidR="0007555D" w:rsidRPr="00C56257" w:rsidRDefault="0007555D" w:rsidP="008E33FD">
      <w:pPr>
        <w:tabs>
          <w:tab w:val="num" w:pos="0"/>
        </w:tabs>
        <w:jc w:val="both"/>
        <w:rPr>
          <w:rFonts w:eastAsia="Calibri"/>
          <w:b/>
        </w:rPr>
      </w:pPr>
      <w:r w:rsidRPr="00C56257">
        <w:rPr>
          <w:rFonts w:eastAsia="Calibri"/>
          <w:b/>
        </w:rPr>
        <w:sym w:font="Wingdings" w:char="F09F"/>
      </w:r>
      <w:r w:rsidRPr="00C56257">
        <w:rPr>
          <w:rFonts w:eastAsia="Calibri"/>
          <w:b/>
        </w:rPr>
        <w:t xml:space="preserve"> 91F0 - Păduri ripariene mixte cu </w:t>
      </w:r>
      <w:r w:rsidRPr="00C56257">
        <w:rPr>
          <w:rFonts w:eastAsia="Calibri"/>
          <w:b/>
          <w:i/>
          <w:iCs/>
        </w:rPr>
        <w:t>Quercus robur</w:t>
      </w:r>
      <w:r w:rsidRPr="00C56257">
        <w:rPr>
          <w:rFonts w:eastAsia="Calibri"/>
          <w:b/>
        </w:rPr>
        <w:t xml:space="preserve">, </w:t>
      </w:r>
      <w:r w:rsidRPr="00C56257">
        <w:rPr>
          <w:rFonts w:eastAsia="Calibri"/>
          <w:b/>
          <w:i/>
          <w:iCs/>
        </w:rPr>
        <w:t>Ulmus laevis</w:t>
      </w:r>
      <w:r w:rsidRPr="00C56257">
        <w:rPr>
          <w:rFonts w:eastAsia="Calibri"/>
          <w:b/>
        </w:rPr>
        <w:t xml:space="preserve">, </w:t>
      </w:r>
      <w:r w:rsidRPr="00C56257">
        <w:rPr>
          <w:rFonts w:eastAsia="Calibri"/>
          <w:b/>
          <w:i/>
          <w:iCs/>
        </w:rPr>
        <w:t>Fraxinus excelsior</w:t>
      </w:r>
      <w:r w:rsidRPr="00C56257">
        <w:rPr>
          <w:rFonts w:eastAsia="Calibri"/>
          <w:b/>
        </w:rPr>
        <w:t xml:space="preserve"> sau </w:t>
      </w:r>
      <w:r w:rsidRPr="00C56257">
        <w:rPr>
          <w:rFonts w:eastAsia="Calibri"/>
          <w:b/>
          <w:i/>
          <w:iCs/>
        </w:rPr>
        <w:t>Fraxinus angustifolia</w:t>
      </w:r>
      <w:r w:rsidRPr="00C56257">
        <w:rPr>
          <w:rFonts w:eastAsia="Calibri"/>
          <w:b/>
        </w:rPr>
        <w:t>, din lungul marilor râuri (</w:t>
      </w:r>
      <w:r w:rsidRPr="00C56257">
        <w:rPr>
          <w:rFonts w:eastAsia="Calibri"/>
          <w:b/>
          <w:i/>
          <w:iCs/>
        </w:rPr>
        <w:t>Ulmenion minoris</w:t>
      </w:r>
      <w:r w:rsidRPr="00C56257">
        <w:rPr>
          <w:rFonts w:eastAsia="Calibri"/>
          <w:b/>
        </w:rPr>
        <w:t>)</w:t>
      </w:r>
    </w:p>
    <w:p w14:paraId="425D76FF"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Continentală</w:t>
      </w:r>
    </w:p>
    <w:tbl>
      <w:tblPr>
        <w:tblStyle w:val="TableGrid"/>
        <w:tblW w:w="0" w:type="auto"/>
        <w:tblLook w:val="04A0" w:firstRow="1" w:lastRow="0" w:firstColumn="1" w:lastColumn="0" w:noHBand="0" w:noVBand="1"/>
      </w:tblPr>
      <w:tblGrid>
        <w:gridCol w:w="643"/>
        <w:gridCol w:w="2682"/>
        <w:gridCol w:w="1310"/>
        <w:gridCol w:w="643"/>
        <w:gridCol w:w="2531"/>
        <w:gridCol w:w="1310"/>
      </w:tblGrid>
      <w:tr w:rsidR="0007555D" w:rsidRPr="00C56257" w14:paraId="2EC76F43" w14:textId="77777777" w:rsidTr="0007555D">
        <w:tc>
          <w:tcPr>
            <w:tcW w:w="4635" w:type="dxa"/>
            <w:gridSpan w:val="3"/>
          </w:tcPr>
          <w:p w14:paraId="16AAF4EC" w14:textId="77777777" w:rsidR="0007555D" w:rsidRPr="00C56257" w:rsidRDefault="0007555D" w:rsidP="00F100E1">
            <w:pPr>
              <w:jc w:val="both"/>
            </w:pPr>
            <w:r w:rsidRPr="00C56257">
              <w:t>Presiuni</w:t>
            </w:r>
          </w:p>
        </w:tc>
        <w:tc>
          <w:tcPr>
            <w:tcW w:w="4484" w:type="dxa"/>
            <w:gridSpan w:val="3"/>
          </w:tcPr>
          <w:p w14:paraId="3782C4DF" w14:textId="77777777" w:rsidR="0007555D" w:rsidRPr="00C56257" w:rsidRDefault="0007555D" w:rsidP="00F100E1">
            <w:pPr>
              <w:jc w:val="both"/>
            </w:pPr>
            <w:r w:rsidRPr="00C56257">
              <w:t>Amenințări</w:t>
            </w:r>
          </w:p>
        </w:tc>
      </w:tr>
      <w:tr w:rsidR="0007555D" w:rsidRPr="00C56257" w14:paraId="0DC1E736" w14:textId="77777777" w:rsidTr="0007555D">
        <w:tc>
          <w:tcPr>
            <w:tcW w:w="643" w:type="dxa"/>
          </w:tcPr>
          <w:p w14:paraId="3404256C" w14:textId="77777777" w:rsidR="0007555D" w:rsidRPr="00C56257" w:rsidRDefault="0007555D" w:rsidP="008E33FD">
            <w:pPr>
              <w:jc w:val="both"/>
            </w:pPr>
            <w:r w:rsidRPr="00C56257">
              <w:t>Cod</w:t>
            </w:r>
          </w:p>
        </w:tc>
        <w:tc>
          <w:tcPr>
            <w:tcW w:w="2682" w:type="dxa"/>
          </w:tcPr>
          <w:p w14:paraId="1E1C7009" w14:textId="77777777" w:rsidR="0007555D" w:rsidRPr="00C56257" w:rsidRDefault="0007555D" w:rsidP="008E33FD">
            <w:pPr>
              <w:jc w:val="both"/>
            </w:pPr>
            <w:r w:rsidRPr="00C56257">
              <w:t>Denumire</w:t>
            </w:r>
          </w:p>
        </w:tc>
        <w:tc>
          <w:tcPr>
            <w:tcW w:w="1310" w:type="dxa"/>
          </w:tcPr>
          <w:p w14:paraId="4402CDE7" w14:textId="77777777" w:rsidR="0007555D" w:rsidRPr="00C56257" w:rsidRDefault="0007555D" w:rsidP="008E33FD">
            <w:pPr>
              <w:jc w:val="both"/>
            </w:pPr>
            <w:r w:rsidRPr="00C56257">
              <w:t>Intensitate</w:t>
            </w:r>
          </w:p>
        </w:tc>
        <w:tc>
          <w:tcPr>
            <w:tcW w:w="643" w:type="dxa"/>
          </w:tcPr>
          <w:p w14:paraId="3AA1FF72" w14:textId="77777777" w:rsidR="0007555D" w:rsidRPr="00C56257" w:rsidRDefault="0007555D" w:rsidP="008E33FD">
            <w:pPr>
              <w:jc w:val="both"/>
            </w:pPr>
            <w:r w:rsidRPr="00C56257">
              <w:t>Cod</w:t>
            </w:r>
          </w:p>
        </w:tc>
        <w:tc>
          <w:tcPr>
            <w:tcW w:w="2531" w:type="dxa"/>
          </w:tcPr>
          <w:p w14:paraId="73D17ACC" w14:textId="77777777" w:rsidR="0007555D" w:rsidRPr="00C56257" w:rsidRDefault="0007555D" w:rsidP="008E33FD">
            <w:pPr>
              <w:jc w:val="both"/>
            </w:pPr>
            <w:r w:rsidRPr="00C56257">
              <w:t>Denumire</w:t>
            </w:r>
          </w:p>
        </w:tc>
        <w:tc>
          <w:tcPr>
            <w:tcW w:w="1310" w:type="dxa"/>
          </w:tcPr>
          <w:p w14:paraId="4660E1C4" w14:textId="77777777" w:rsidR="0007555D" w:rsidRPr="00C56257" w:rsidRDefault="0007555D" w:rsidP="008E33FD">
            <w:pPr>
              <w:jc w:val="both"/>
            </w:pPr>
            <w:r w:rsidRPr="00C56257">
              <w:t>Intensitate</w:t>
            </w:r>
          </w:p>
        </w:tc>
      </w:tr>
      <w:tr w:rsidR="0007555D" w:rsidRPr="00C56257" w14:paraId="10270289" w14:textId="77777777" w:rsidTr="0007555D">
        <w:tc>
          <w:tcPr>
            <w:tcW w:w="643" w:type="dxa"/>
            <w:vAlign w:val="center"/>
          </w:tcPr>
          <w:p w14:paraId="62CFAF46" w14:textId="77777777" w:rsidR="0007555D" w:rsidRPr="00C56257" w:rsidRDefault="0007555D" w:rsidP="00F100E1">
            <w:pPr>
              <w:jc w:val="both"/>
            </w:pPr>
            <w:r w:rsidRPr="00C56257">
              <w:t>B07</w:t>
            </w:r>
          </w:p>
        </w:tc>
        <w:tc>
          <w:tcPr>
            <w:tcW w:w="2682" w:type="dxa"/>
            <w:vAlign w:val="center"/>
          </w:tcPr>
          <w:p w14:paraId="5483F429" w14:textId="77777777" w:rsidR="0007555D" w:rsidRPr="00C56257" w:rsidRDefault="0007555D" w:rsidP="00F100E1">
            <w:pPr>
              <w:jc w:val="both"/>
            </w:pPr>
            <w:r w:rsidRPr="00C56257">
              <w:t>Extragerea arborilor morți sau aproape morți</w:t>
            </w:r>
          </w:p>
        </w:tc>
        <w:tc>
          <w:tcPr>
            <w:tcW w:w="1310" w:type="dxa"/>
            <w:vAlign w:val="center"/>
          </w:tcPr>
          <w:p w14:paraId="653A99AA" w14:textId="77777777" w:rsidR="0007555D" w:rsidRPr="00C56257" w:rsidRDefault="0007555D" w:rsidP="00F100E1">
            <w:pPr>
              <w:jc w:val="both"/>
            </w:pPr>
            <w:r w:rsidRPr="00C56257">
              <w:t>Medie</w:t>
            </w:r>
          </w:p>
        </w:tc>
        <w:tc>
          <w:tcPr>
            <w:tcW w:w="643" w:type="dxa"/>
            <w:vAlign w:val="center"/>
          </w:tcPr>
          <w:p w14:paraId="1426079F" w14:textId="77777777" w:rsidR="0007555D" w:rsidRPr="00C56257" w:rsidRDefault="0007555D" w:rsidP="00F100E1">
            <w:pPr>
              <w:jc w:val="both"/>
            </w:pPr>
            <w:r w:rsidRPr="00C56257">
              <w:t>B07</w:t>
            </w:r>
          </w:p>
        </w:tc>
        <w:tc>
          <w:tcPr>
            <w:tcW w:w="2531" w:type="dxa"/>
            <w:vAlign w:val="center"/>
          </w:tcPr>
          <w:p w14:paraId="11FF11B7" w14:textId="77777777" w:rsidR="0007555D" w:rsidRPr="00C56257" w:rsidRDefault="0007555D" w:rsidP="00F100E1">
            <w:pPr>
              <w:jc w:val="both"/>
            </w:pPr>
            <w:r w:rsidRPr="00C56257">
              <w:t>Extragerea arborilor morți sau aproape morți</w:t>
            </w:r>
          </w:p>
        </w:tc>
        <w:tc>
          <w:tcPr>
            <w:tcW w:w="1310" w:type="dxa"/>
            <w:vAlign w:val="center"/>
          </w:tcPr>
          <w:p w14:paraId="015760BE" w14:textId="77777777" w:rsidR="0007555D" w:rsidRPr="00C56257" w:rsidRDefault="0007555D" w:rsidP="00F100E1">
            <w:pPr>
              <w:jc w:val="both"/>
            </w:pPr>
            <w:r w:rsidRPr="00C56257">
              <w:t>Medie</w:t>
            </w:r>
          </w:p>
        </w:tc>
      </w:tr>
      <w:tr w:rsidR="0007555D" w:rsidRPr="00C56257" w14:paraId="60DB8F96" w14:textId="77777777" w:rsidTr="0007555D">
        <w:tc>
          <w:tcPr>
            <w:tcW w:w="643" w:type="dxa"/>
            <w:vAlign w:val="center"/>
          </w:tcPr>
          <w:p w14:paraId="43990D60" w14:textId="77777777" w:rsidR="0007555D" w:rsidRPr="00C56257" w:rsidRDefault="0007555D" w:rsidP="00F100E1">
            <w:pPr>
              <w:jc w:val="both"/>
            </w:pPr>
            <w:r w:rsidRPr="00C56257">
              <w:t>A09</w:t>
            </w:r>
          </w:p>
        </w:tc>
        <w:tc>
          <w:tcPr>
            <w:tcW w:w="2682" w:type="dxa"/>
            <w:vAlign w:val="center"/>
          </w:tcPr>
          <w:p w14:paraId="61A2E56A" w14:textId="77777777" w:rsidR="0007555D" w:rsidRPr="00C56257" w:rsidRDefault="0007555D" w:rsidP="00F100E1">
            <w:pPr>
              <w:ind w:hanging="479"/>
              <w:jc w:val="both"/>
            </w:pPr>
            <w:r w:rsidRPr="00C56257">
              <w:t>Pășunat intensiv</w:t>
            </w:r>
          </w:p>
        </w:tc>
        <w:tc>
          <w:tcPr>
            <w:tcW w:w="1310" w:type="dxa"/>
            <w:vAlign w:val="center"/>
          </w:tcPr>
          <w:p w14:paraId="41480B3E" w14:textId="77777777" w:rsidR="0007555D" w:rsidRPr="00C56257" w:rsidRDefault="0007555D" w:rsidP="00F100E1">
            <w:pPr>
              <w:jc w:val="both"/>
            </w:pPr>
            <w:r w:rsidRPr="00C56257">
              <w:t>Medie</w:t>
            </w:r>
          </w:p>
        </w:tc>
        <w:tc>
          <w:tcPr>
            <w:tcW w:w="643" w:type="dxa"/>
            <w:vAlign w:val="center"/>
          </w:tcPr>
          <w:p w14:paraId="03E42D68" w14:textId="77777777" w:rsidR="0007555D" w:rsidRPr="00C56257" w:rsidRDefault="0007555D" w:rsidP="00F100E1">
            <w:pPr>
              <w:jc w:val="both"/>
            </w:pPr>
            <w:r w:rsidRPr="00C56257">
              <w:t>A09</w:t>
            </w:r>
          </w:p>
        </w:tc>
        <w:tc>
          <w:tcPr>
            <w:tcW w:w="2531" w:type="dxa"/>
            <w:vAlign w:val="center"/>
          </w:tcPr>
          <w:p w14:paraId="63AEA720" w14:textId="77777777" w:rsidR="0007555D" w:rsidRPr="00C56257" w:rsidRDefault="0007555D" w:rsidP="00F100E1">
            <w:pPr>
              <w:ind w:left="-179" w:right="-225" w:firstLine="90"/>
              <w:jc w:val="both"/>
            </w:pPr>
            <w:r w:rsidRPr="00C56257">
              <w:t>Pășunat intensiv</w:t>
            </w:r>
          </w:p>
        </w:tc>
        <w:tc>
          <w:tcPr>
            <w:tcW w:w="1310" w:type="dxa"/>
            <w:vAlign w:val="center"/>
          </w:tcPr>
          <w:p w14:paraId="3E4E673E" w14:textId="77777777" w:rsidR="0007555D" w:rsidRPr="00C56257" w:rsidRDefault="0007555D" w:rsidP="00F100E1">
            <w:pPr>
              <w:jc w:val="both"/>
            </w:pPr>
            <w:r w:rsidRPr="00C56257">
              <w:t>Medie</w:t>
            </w:r>
          </w:p>
        </w:tc>
      </w:tr>
    </w:tbl>
    <w:p w14:paraId="62205411"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Panonică</w:t>
      </w:r>
    </w:p>
    <w:tbl>
      <w:tblPr>
        <w:tblStyle w:val="TableGrid"/>
        <w:tblW w:w="0" w:type="auto"/>
        <w:tblLook w:val="04A0" w:firstRow="1" w:lastRow="0" w:firstColumn="1" w:lastColumn="0" w:noHBand="0" w:noVBand="1"/>
      </w:tblPr>
      <w:tblGrid>
        <w:gridCol w:w="643"/>
        <w:gridCol w:w="2630"/>
        <w:gridCol w:w="1310"/>
        <w:gridCol w:w="643"/>
        <w:gridCol w:w="2480"/>
        <w:gridCol w:w="1310"/>
      </w:tblGrid>
      <w:tr w:rsidR="0007555D" w:rsidRPr="00C56257" w14:paraId="70454ABA" w14:textId="77777777" w:rsidTr="0007555D">
        <w:tc>
          <w:tcPr>
            <w:tcW w:w="4583" w:type="dxa"/>
            <w:gridSpan w:val="3"/>
          </w:tcPr>
          <w:p w14:paraId="0D460392" w14:textId="77777777" w:rsidR="0007555D" w:rsidRPr="00C56257" w:rsidRDefault="0007555D" w:rsidP="00F100E1">
            <w:pPr>
              <w:jc w:val="both"/>
            </w:pPr>
            <w:r w:rsidRPr="00C56257">
              <w:t>Presiuni</w:t>
            </w:r>
          </w:p>
        </w:tc>
        <w:tc>
          <w:tcPr>
            <w:tcW w:w="4433" w:type="dxa"/>
            <w:gridSpan w:val="3"/>
          </w:tcPr>
          <w:p w14:paraId="5203A106" w14:textId="77777777" w:rsidR="0007555D" w:rsidRPr="00C56257" w:rsidRDefault="0007555D" w:rsidP="00F100E1">
            <w:pPr>
              <w:jc w:val="both"/>
            </w:pPr>
            <w:r w:rsidRPr="00C56257">
              <w:t>Amenințări</w:t>
            </w:r>
          </w:p>
        </w:tc>
      </w:tr>
      <w:tr w:rsidR="0007555D" w:rsidRPr="00C56257" w14:paraId="3102F1D2" w14:textId="77777777" w:rsidTr="0007555D">
        <w:tc>
          <w:tcPr>
            <w:tcW w:w="643" w:type="dxa"/>
          </w:tcPr>
          <w:p w14:paraId="2D50C2D3" w14:textId="77777777" w:rsidR="0007555D" w:rsidRPr="00C56257" w:rsidRDefault="0007555D" w:rsidP="008E33FD">
            <w:pPr>
              <w:jc w:val="both"/>
            </w:pPr>
            <w:r w:rsidRPr="00C56257">
              <w:t>Cod</w:t>
            </w:r>
          </w:p>
        </w:tc>
        <w:tc>
          <w:tcPr>
            <w:tcW w:w="2630" w:type="dxa"/>
          </w:tcPr>
          <w:p w14:paraId="0E4ED8DF" w14:textId="77777777" w:rsidR="0007555D" w:rsidRPr="00C56257" w:rsidRDefault="0007555D" w:rsidP="008E33FD">
            <w:pPr>
              <w:jc w:val="both"/>
            </w:pPr>
            <w:r w:rsidRPr="00C56257">
              <w:t>Denumire</w:t>
            </w:r>
          </w:p>
        </w:tc>
        <w:tc>
          <w:tcPr>
            <w:tcW w:w="1310" w:type="dxa"/>
          </w:tcPr>
          <w:p w14:paraId="01E289AE" w14:textId="77777777" w:rsidR="0007555D" w:rsidRPr="00C56257" w:rsidRDefault="0007555D" w:rsidP="008E33FD">
            <w:pPr>
              <w:jc w:val="both"/>
            </w:pPr>
            <w:r w:rsidRPr="00C56257">
              <w:t>Intensitate</w:t>
            </w:r>
          </w:p>
        </w:tc>
        <w:tc>
          <w:tcPr>
            <w:tcW w:w="643" w:type="dxa"/>
          </w:tcPr>
          <w:p w14:paraId="6AC88132" w14:textId="77777777" w:rsidR="0007555D" w:rsidRPr="00C56257" w:rsidRDefault="0007555D" w:rsidP="008E33FD">
            <w:pPr>
              <w:jc w:val="both"/>
            </w:pPr>
            <w:r w:rsidRPr="00C56257">
              <w:t>Cod</w:t>
            </w:r>
          </w:p>
        </w:tc>
        <w:tc>
          <w:tcPr>
            <w:tcW w:w="2480" w:type="dxa"/>
          </w:tcPr>
          <w:p w14:paraId="291142B8" w14:textId="77777777" w:rsidR="0007555D" w:rsidRPr="00C56257" w:rsidRDefault="0007555D" w:rsidP="008E33FD">
            <w:pPr>
              <w:jc w:val="both"/>
            </w:pPr>
            <w:r w:rsidRPr="00C56257">
              <w:t>Denumire</w:t>
            </w:r>
          </w:p>
        </w:tc>
        <w:tc>
          <w:tcPr>
            <w:tcW w:w="1310" w:type="dxa"/>
          </w:tcPr>
          <w:p w14:paraId="16395873" w14:textId="77777777" w:rsidR="0007555D" w:rsidRPr="00C56257" w:rsidRDefault="0007555D" w:rsidP="008E33FD">
            <w:pPr>
              <w:jc w:val="both"/>
            </w:pPr>
            <w:r w:rsidRPr="00C56257">
              <w:t>Intensitate</w:t>
            </w:r>
          </w:p>
        </w:tc>
      </w:tr>
      <w:tr w:rsidR="0007555D" w:rsidRPr="00C56257" w14:paraId="44E4F126" w14:textId="77777777" w:rsidTr="0007555D">
        <w:tc>
          <w:tcPr>
            <w:tcW w:w="643" w:type="dxa"/>
          </w:tcPr>
          <w:p w14:paraId="5903C80D" w14:textId="77777777" w:rsidR="0007555D" w:rsidRPr="00C56257" w:rsidRDefault="0007555D" w:rsidP="00F100E1">
            <w:pPr>
              <w:jc w:val="both"/>
            </w:pPr>
            <w:r w:rsidRPr="00C56257">
              <w:t>A09</w:t>
            </w:r>
          </w:p>
        </w:tc>
        <w:tc>
          <w:tcPr>
            <w:tcW w:w="2630" w:type="dxa"/>
          </w:tcPr>
          <w:p w14:paraId="011E6E7F" w14:textId="77777777" w:rsidR="0007555D" w:rsidRPr="00C56257" w:rsidRDefault="0007555D" w:rsidP="00F100E1">
            <w:pPr>
              <w:ind w:hanging="479"/>
              <w:jc w:val="both"/>
            </w:pPr>
            <w:r w:rsidRPr="00C56257">
              <w:t>Pășunat intensiv</w:t>
            </w:r>
          </w:p>
        </w:tc>
        <w:tc>
          <w:tcPr>
            <w:tcW w:w="1310" w:type="dxa"/>
          </w:tcPr>
          <w:p w14:paraId="0781B477" w14:textId="77777777" w:rsidR="0007555D" w:rsidRPr="00C56257" w:rsidRDefault="0007555D" w:rsidP="00F100E1">
            <w:pPr>
              <w:jc w:val="both"/>
            </w:pPr>
            <w:r w:rsidRPr="00C56257">
              <w:t>Medie</w:t>
            </w:r>
          </w:p>
        </w:tc>
        <w:tc>
          <w:tcPr>
            <w:tcW w:w="643" w:type="dxa"/>
          </w:tcPr>
          <w:p w14:paraId="15F4E0CC" w14:textId="77777777" w:rsidR="0007555D" w:rsidRPr="00C56257" w:rsidRDefault="0007555D" w:rsidP="00F100E1">
            <w:pPr>
              <w:jc w:val="both"/>
            </w:pPr>
            <w:r w:rsidRPr="00C56257">
              <w:t>A09</w:t>
            </w:r>
          </w:p>
        </w:tc>
        <w:tc>
          <w:tcPr>
            <w:tcW w:w="2480" w:type="dxa"/>
          </w:tcPr>
          <w:p w14:paraId="6E60AD7D" w14:textId="77777777" w:rsidR="0007555D" w:rsidRPr="00C56257" w:rsidRDefault="0007555D" w:rsidP="00F100E1">
            <w:pPr>
              <w:ind w:left="-179" w:right="-225" w:firstLine="90"/>
              <w:jc w:val="both"/>
            </w:pPr>
            <w:r w:rsidRPr="00C56257">
              <w:t>Pășunat intensiv</w:t>
            </w:r>
          </w:p>
        </w:tc>
        <w:tc>
          <w:tcPr>
            <w:tcW w:w="1310" w:type="dxa"/>
          </w:tcPr>
          <w:p w14:paraId="0DEC7F86" w14:textId="77777777" w:rsidR="0007555D" w:rsidRPr="00C56257" w:rsidRDefault="0007555D" w:rsidP="00F100E1">
            <w:pPr>
              <w:jc w:val="both"/>
            </w:pPr>
            <w:r w:rsidRPr="00C56257">
              <w:t>Medie</w:t>
            </w:r>
          </w:p>
        </w:tc>
      </w:tr>
    </w:tbl>
    <w:p w14:paraId="1E0424DC" w14:textId="77777777" w:rsidR="0007555D" w:rsidRPr="00C56257" w:rsidRDefault="0007555D" w:rsidP="008E33FD">
      <w:pPr>
        <w:tabs>
          <w:tab w:val="num" w:pos="0"/>
        </w:tabs>
        <w:jc w:val="both"/>
        <w:rPr>
          <w:rFonts w:eastAsia="Calibri"/>
          <w:b/>
        </w:rPr>
      </w:pPr>
    </w:p>
    <w:p w14:paraId="2006CE89"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91H0* - Vegetație forestieră panonică cu </w:t>
      </w:r>
      <w:r w:rsidRPr="00C56257">
        <w:rPr>
          <w:rFonts w:eastAsia="Calibri"/>
          <w:b/>
          <w:i/>
          <w:iCs/>
        </w:rPr>
        <w:t>Quercus pubescens</w:t>
      </w:r>
      <w:r w:rsidRPr="00C56257">
        <w:rPr>
          <w:rFonts w:eastAsia="Calibri"/>
          <w:b/>
        </w:rPr>
        <w:t xml:space="preserve"> </w:t>
      </w:r>
    </w:p>
    <w:p w14:paraId="402E239A" w14:textId="77777777" w:rsidR="0007555D" w:rsidRPr="00C56257" w:rsidRDefault="0007555D" w:rsidP="008E33FD">
      <w:pPr>
        <w:keepNext/>
        <w:keepLines/>
        <w:spacing w:before="280" w:after="240" w:line="259" w:lineRule="auto"/>
        <w:ind w:left="708"/>
        <w:jc w:val="both"/>
        <w:outlineLvl w:val="1"/>
        <w:rPr>
          <w:rFonts w:eastAsia="Cambria"/>
          <w:b/>
          <w:color w:val="000000"/>
        </w:rPr>
      </w:pPr>
      <w:r w:rsidRPr="00C56257">
        <w:rPr>
          <w:rFonts w:eastAsia="Cambria"/>
          <w:b/>
          <w:color w:val="000000"/>
        </w:rPr>
        <w:t>Regiunea biogeografică Continentală</w:t>
      </w:r>
    </w:p>
    <w:tbl>
      <w:tblPr>
        <w:tblStyle w:val="TableGrid"/>
        <w:tblW w:w="0" w:type="auto"/>
        <w:tblLook w:val="04A0" w:firstRow="1" w:lastRow="0" w:firstColumn="1" w:lastColumn="0" w:noHBand="0" w:noVBand="1"/>
      </w:tblPr>
      <w:tblGrid>
        <w:gridCol w:w="644"/>
        <w:gridCol w:w="2557"/>
        <w:gridCol w:w="1326"/>
        <w:gridCol w:w="643"/>
        <w:gridCol w:w="2536"/>
        <w:gridCol w:w="1310"/>
      </w:tblGrid>
      <w:tr w:rsidR="0007555D" w:rsidRPr="00C56257" w14:paraId="67828B82" w14:textId="77777777" w:rsidTr="0007555D">
        <w:tc>
          <w:tcPr>
            <w:tcW w:w="4527" w:type="dxa"/>
            <w:gridSpan w:val="3"/>
          </w:tcPr>
          <w:p w14:paraId="4518AFE0" w14:textId="77777777" w:rsidR="0007555D" w:rsidRPr="00C56257" w:rsidRDefault="0007555D" w:rsidP="00F100E1">
            <w:pPr>
              <w:jc w:val="both"/>
            </w:pPr>
            <w:r w:rsidRPr="00C56257">
              <w:t>Presiuni</w:t>
            </w:r>
          </w:p>
        </w:tc>
        <w:tc>
          <w:tcPr>
            <w:tcW w:w="4489" w:type="dxa"/>
            <w:gridSpan w:val="3"/>
          </w:tcPr>
          <w:p w14:paraId="5F1FF18D" w14:textId="77777777" w:rsidR="0007555D" w:rsidRPr="00C56257" w:rsidRDefault="0007555D" w:rsidP="00F100E1">
            <w:pPr>
              <w:jc w:val="both"/>
            </w:pPr>
            <w:r w:rsidRPr="00C56257">
              <w:t>Amenințări</w:t>
            </w:r>
          </w:p>
        </w:tc>
      </w:tr>
      <w:tr w:rsidR="0007555D" w:rsidRPr="00C56257" w14:paraId="3473592F" w14:textId="77777777" w:rsidTr="0007555D">
        <w:tc>
          <w:tcPr>
            <w:tcW w:w="644" w:type="dxa"/>
          </w:tcPr>
          <w:p w14:paraId="162ED98A" w14:textId="77777777" w:rsidR="0007555D" w:rsidRPr="00C56257" w:rsidRDefault="0007555D" w:rsidP="008E33FD">
            <w:pPr>
              <w:jc w:val="both"/>
            </w:pPr>
            <w:r w:rsidRPr="00C56257">
              <w:t>Cod</w:t>
            </w:r>
          </w:p>
        </w:tc>
        <w:tc>
          <w:tcPr>
            <w:tcW w:w="2557" w:type="dxa"/>
          </w:tcPr>
          <w:p w14:paraId="1E5C3869" w14:textId="77777777" w:rsidR="0007555D" w:rsidRPr="00C56257" w:rsidRDefault="0007555D" w:rsidP="008E33FD">
            <w:pPr>
              <w:jc w:val="both"/>
            </w:pPr>
            <w:r w:rsidRPr="00C56257">
              <w:t>Denumire</w:t>
            </w:r>
          </w:p>
        </w:tc>
        <w:tc>
          <w:tcPr>
            <w:tcW w:w="1326" w:type="dxa"/>
          </w:tcPr>
          <w:p w14:paraId="52ECCD3D" w14:textId="77777777" w:rsidR="0007555D" w:rsidRPr="00C56257" w:rsidRDefault="0007555D" w:rsidP="008E33FD">
            <w:pPr>
              <w:jc w:val="both"/>
            </w:pPr>
            <w:r w:rsidRPr="00C56257">
              <w:t>Intensitate</w:t>
            </w:r>
          </w:p>
        </w:tc>
        <w:tc>
          <w:tcPr>
            <w:tcW w:w="643" w:type="dxa"/>
          </w:tcPr>
          <w:p w14:paraId="618A86BB" w14:textId="77777777" w:rsidR="0007555D" w:rsidRPr="00C56257" w:rsidRDefault="0007555D" w:rsidP="008E33FD">
            <w:pPr>
              <w:jc w:val="both"/>
            </w:pPr>
            <w:r w:rsidRPr="00C56257">
              <w:t>Cod</w:t>
            </w:r>
          </w:p>
        </w:tc>
        <w:tc>
          <w:tcPr>
            <w:tcW w:w="2536" w:type="dxa"/>
          </w:tcPr>
          <w:p w14:paraId="1A5FB184" w14:textId="77777777" w:rsidR="0007555D" w:rsidRPr="00C56257" w:rsidRDefault="0007555D" w:rsidP="008E33FD">
            <w:pPr>
              <w:jc w:val="both"/>
            </w:pPr>
            <w:r w:rsidRPr="00C56257">
              <w:t>Denumire</w:t>
            </w:r>
          </w:p>
        </w:tc>
        <w:tc>
          <w:tcPr>
            <w:tcW w:w="1310" w:type="dxa"/>
          </w:tcPr>
          <w:p w14:paraId="6429D8E9" w14:textId="77777777" w:rsidR="0007555D" w:rsidRPr="00C56257" w:rsidRDefault="0007555D" w:rsidP="008E33FD">
            <w:pPr>
              <w:jc w:val="both"/>
            </w:pPr>
            <w:r w:rsidRPr="00C56257">
              <w:t>Intensitate</w:t>
            </w:r>
          </w:p>
        </w:tc>
      </w:tr>
      <w:tr w:rsidR="0007555D" w:rsidRPr="00C56257" w14:paraId="7A0EF10E" w14:textId="77777777" w:rsidTr="0007555D">
        <w:tc>
          <w:tcPr>
            <w:tcW w:w="644" w:type="dxa"/>
          </w:tcPr>
          <w:p w14:paraId="48312130" w14:textId="77777777" w:rsidR="0007555D" w:rsidRPr="00C56257" w:rsidRDefault="0007555D" w:rsidP="00F100E1">
            <w:pPr>
              <w:jc w:val="both"/>
            </w:pPr>
            <w:r w:rsidRPr="00C56257">
              <w:t>A09</w:t>
            </w:r>
          </w:p>
        </w:tc>
        <w:tc>
          <w:tcPr>
            <w:tcW w:w="2557" w:type="dxa"/>
          </w:tcPr>
          <w:p w14:paraId="1FD3025C" w14:textId="77777777" w:rsidR="0007555D" w:rsidRPr="00C56257" w:rsidRDefault="0007555D" w:rsidP="00F100E1">
            <w:pPr>
              <w:jc w:val="both"/>
            </w:pPr>
            <w:r w:rsidRPr="00C56257">
              <w:t>Pășunat intensiv</w:t>
            </w:r>
          </w:p>
        </w:tc>
        <w:tc>
          <w:tcPr>
            <w:tcW w:w="1326" w:type="dxa"/>
          </w:tcPr>
          <w:p w14:paraId="7D0E47AE" w14:textId="77777777" w:rsidR="0007555D" w:rsidRPr="00C56257" w:rsidRDefault="0007555D" w:rsidP="00F100E1">
            <w:pPr>
              <w:jc w:val="both"/>
            </w:pPr>
            <w:r w:rsidRPr="00C56257">
              <w:t>Medie</w:t>
            </w:r>
          </w:p>
        </w:tc>
        <w:tc>
          <w:tcPr>
            <w:tcW w:w="643" w:type="dxa"/>
          </w:tcPr>
          <w:p w14:paraId="27E0CA42" w14:textId="77777777" w:rsidR="0007555D" w:rsidRPr="00C56257" w:rsidRDefault="0007555D" w:rsidP="00F100E1">
            <w:pPr>
              <w:jc w:val="both"/>
            </w:pPr>
            <w:r w:rsidRPr="00C56257">
              <w:t>A09</w:t>
            </w:r>
          </w:p>
        </w:tc>
        <w:tc>
          <w:tcPr>
            <w:tcW w:w="2536" w:type="dxa"/>
          </w:tcPr>
          <w:p w14:paraId="75BC1D1D" w14:textId="77777777" w:rsidR="0007555D" w:rsidRPr="00C56257" w:rsidRDefault="0007555D" w:rsidP="00F100E1">
            <w:pPr>
              <w:jc w:val="both"/>
            </w:pPr>
            <w:r w:rsidRPr="00C56257">
              <w:t>Pășunat intensiv</w:t>
            </w:r>
          </w:p>
        </w:tc>
        <w:tc>
          <w:tcPr>
            <w:tcW w:w="1310" w:type="dxa"/>
          </w:tcPr>
          <w:p w14:paraId="4CB5EB41" w14:textId="77777777" w:rsidR="0007555D" w:rsidRPr="00C56257" w:rsidRDefault="0007555D" w:rsidP="00F100E1">
            <w:pPr>
              <w:jc w:val="both"/>
            </w:pPr>
            <w:r w:rsidRPr="00C56257">
              <w:t>Medie</w:t>
            </w:r>
          </w:p>
        </w:tc>
      </w:tr>
      <w:tr w:rsidR="0007555D" w:rsidRPr="00C56257" w14:paraId="3D9C1459" w14:textId="77777777" w:rsidTr="0007555D">
        <w:tc>
          <w:tcPr>
            <w:tcW w:w="644" w:type="dxa"/>
            <w:vAlign w:val="center"/>
          </w:tcPr>
          <w:p w14:paraId="2A429B20" w14:textId="77777777" w:rsidR="0007555D" w:rsidRPr="00C56257" w:rsidRDefault="0007555D" w:rsidP="00F100E1">
            <w:pPr>
              <w:jc w:val="both"/>
            </w:pPr>
            <w:r w:rsidRPr="00C56257">
              <w:t>L01</w:t>
            </w:r>
          </w:p>
        </w:tc>
        <w:tc>
          <w:tcPr>
            <w:tcW w:w="2557" w:type="dxa"/>
            <w:vAlign w:val="center"/>
          </w:tcPr>
          <w:p w14:paraId="5845E9F9" w14:textId="77777777" w:rsidR="0007555D" w:rsidRPr="00C56257" w:rsidRDefault="0007555D" w:rsidP="00F100E1">
            <w:pPr>
              <w:jc w:val="both"/>
            </w:pPr>
            <w:r w:rsidRPr="00C56257">
              <w:t>Procese abiotice naturale (eroziune, secetă, salinizare, etc.)</w:t>
            </w:r>
          </w:p>
        </w:tc>
        <w:tc>
          <w:tcPr>
            <w:tcW w:w="1326" w:type="dxa"/>
            <w:vAlign w:val="center"/>
          </w:tcPr>
          <w:p w14:paraId="0D2DDD03" w14:textId="77777777" w:rsidR="0007555D" w:rsidRPr="00C56257" w:rsidRDefault="0007555D" w:rsidP="00F100E1">
            <w:pPr>
              <w:jc w:val="both"/>
            </w:pPr>
            <w:r w:rsidRPr="00C56257">
              <w:t>Medie</w:t>
            </w:r>
          </w:p>
        </w:tc>
        <w:tc>
          <w:tcPr>
            <w:tcW w:w="643" w:type="dxa"/>
            <w:vAlign w:val="center"/>
          </w:tcPr>
          <w:p w14:paraId="3384709E" w14:textId="77777777" w:rsidR="0007555D" w:rsidRPr="00C56257" w:rsidRDefault="0007555D" w:rsidP="00F100E1">
            <w:pPr>
              <w:jc w:val="both"/>
            </w:pPr>
            <w:r w:rsidRPr="00C56257">
              <w:t>L01</w:t>
            </w:r>
          </w:p>
        </w:tc>
        <w:tc>
          <w:tcPr>
            <w:tcW w:w="2536" w:type="dxa"/>
            <w:vAlign w:val="center"/>
          </w:tcPr>
          <w:p w14:paraId="7AE11D89" w14:textId="77777777" w:rsidR="0007555D" w:rsidRPr="00C56257" w:rsidRDefault="0007555D" w:rsidP="00F100E1">
            <w:pPr>
              <w:jc w:val="both"/>
            </w:pPr>
            <w:r w:rsidRPr="00C56257">
              <w:t>Procese abiotice naturale (eroziune, secetă, salinizare, etc.)</w:t>
            </w:r>
          </w:p>
        </w:tc>
        <w:tc>
          <w:tcPr>
            <w:tcW w:w="1310" w:type="dxa"/>
            <w:vAlign w:val="center"/>
          </w:tcPr>
          <w:p w14:paraId="2936FD31" w14:textId="77777777" w:rsidR="0007555D" w:rsidRPr="00C56257" w:rsidRDefault="0007555D" w:rsidP="00F100E1">
            <w:pPr>
              <w:jc w:val="both"/>
            </w:pPr>
            <w:r w:rsidRPr="00C56257">
              <w:t>Medie</w:t>
            </w:r>
          </w:p>
        </w:tc>
      </w:tr>
    </w:tbl>
    <w:p w14:paraId="27C5621D" w14:textId="77777777" w:rsidR="0007555D" w:rsidRPr="00C56257" w:rsidRDefault="0007555D" w:rsidP="008E33FD">
      <w:pPr>
        <w:tabs>
          <w:tab w:val="num" w:pos="360"/>
        </w:tabs>
        <w:ind w:left="360" w:hanging="360"/>
        <w:jc w:val="both"/>
        <w:rPr>
          <w:rFonts w:eastAsia="Calibri"/>
          <w:b/>
        </w:rPr>
      </w:pPr>
    </w:p>
    <w:p w14:paraId="5A51CCD3"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91I0* - Vegetație de silvostepă eurosiberiană cu </w:t>
      </w:r>
      <w:r w:rsidRPr="00C56257">
        <w:rPr>
          <w:rFonts w:eastAsia="Calibri"/>
          <w:b/>
          <w:i/>
          <w:iCs/>
        </w:rPr>
        <w:t>Quercus spp</w:t>
      </w:r>
      <w:r w:rsidRPr="00C56257">
        <w:rPr>
          <w:rFonts w:eastAsia="Calibri"/>
          <w:b/>
        </w:rPr>
        <w:t>.</w:t>
      </w:r>
    </w:p>
    <w:p w14:paraId="0F2B8FC6"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lastRenderedPageBreak/>
        <w:t>Regiunea biogeografică Continentală</w:t>
      </w:r>
    </w:p>
    <w:tbl>
      <w:tblPr>
        <w:tblStyle w:val="TableGrid"/>
        <w:tblW w:w="0" w:type="auto"/>
        <w:tblLook w:val="04A0" w:firstRow="1" w:lastRow="0" w:firstColumn="1" w:lastColumn="0" w:noHBand="0" w:noVBand="1"/>
      </w:tblPr>
      <w:tblGrid>
        <w:gridCol w:w="643"/>
        <w:gridCol w:w="2631"/>
        <w:gridCol w:w="1310"/>
        <w:gridCol w:w="630"/>
        <w:gridCol w:w="2581"/>
        <w:gridCol w:w="1310"/>
      </w:tblGrid>
      <w:tr w:rsidR="0007555D" w:rsidRPr="00C56257" w14:paraId="2A1BD54A" w14:textId="77777777" w:rsidTr="0007555D">
        <w:tc>
          <w:tcPr>
            <w:tcW w:w="4584" w:type="dxa"/>
            <w:gridSpan w:val="3"/>
          </w:tcPr>
          <w:p w14:paraId="15375F99" w14:textId="77777777" w:rsidR="0007555D" w:rsidRPr="00C56257" w:rsidRDefault="0007555D" w:rsidP="00F100E1">
            <w:pPr>
              <w:jc w:val="both"/>
            </w:pPr>
            <w:r w:rsidRPr="00C56257">
              <w:t>Presiuni</w:t>
            </w:r>
          </w:p>
        </w:tc>
        <w:tc>
          <w:tcPr>
            <w:tcW w:w="4432" w:type="dxa"/>
            <w:gridSpan w:val="3"/>
          </w:tcPr>
          <w:p w14:paraId="085B1AB2" w14:textId="77777777" w:rsidR="0007555D" w:rsidRPr="00C56257" w:rsidRDefault="0007555D" w:rsidP="00F100E1">
            <w:pPr>
              <w:jc w:val="both"/>
            </w:pPr>
            <w:r w:rsidRPr="00C56257">
              <w:t>Amenințări</w:t>
            </w:r>
          </w:p>
        </w:tc>
      </w:tr>
      <w:tr w:rsidR="0007555D" w:rsidRPr="00C56257" w14:paraId="0AA3E522" w14:textId="77777777" w:rsidTr="0007555D">
        <w:tc>
          <w:tcPr>
            <w:tcW w:w="643" w:type="dxa"/>
          </w:tcPr>
          <w:p w14:paraId="08D23B52" w14:textId="77777777" w:rsidR="0007555D" w:rsidRPr="00C56257" w:rsidRDefault="0007555D" w:rsidP="008E33FD">
            <w:pPr>
              <w:jc w:val="both"/>
            </w:pPr>
            <w:r w:rsidRPr="00C56257">
              <w:t>Cod</w:t>
            </w:r>
          </w:p>
        </w:tc>
        <w:tc>
          <w:tcPr>
            <w:tcW w:w="2631" w:type="dxa"/>
          </w:tcPr>
          <w:p w14:paraId="043A7E8D" w14:textId="77777777" w:rsidR="0007555D" w:rsidRPr="00C56257" w:rsidRDefault="0007555D" w:rsidP="008E33FD">
            <w:pPr>
              <w:jc w:val="both"/>
            </w:pPr>
            <w:r w:rsidRPr="00C56257">
              <w:t>Denumire</w:t>
            </w:r>
          </w:p>
        </w:tc>
        <w:tc>
          <w:tcPr>
            <w:tcW w:w="1310" w:type="dxa"/>
          </w:tcPr>
          <w:p w14:paraId="53159ED2" w14:textId="77777777" w:rsidR="0007555D" w:rsidRPr="00C56257" w:rsidRDefault="0007555D" w:rsidP="008E33FD">
            <w:pPr>
              <w:jc w:val="both"/>
            </w:pPr>
            <w:r w:rsidRPr="00C56257">
              <w:t>Intensitate</w:t>
            </w:r>
          </w:p>
        </w:tc>
        <w:tc>
          <w:tcPr>
            <w:tcW w:w="541" w:type="dxa"/>
          </w:tcPr>
          <w:p w14:paraId="7F7AAF95" w14:textId="77777777" w:rsidR="0007555D" w:rsidRPr="00C56257" w:rsidRDefault="0007555D" w:rsidP="008E33FD">
            <w:pPr>
              <w:jc w:val="both"/>
            </w:pPr>
            <w:r w:rsidRPr="00C56257">
              <w:t>Cod</w:t>
            </w:r>
          </w:p>
        </w:tc>
        <w:tc>
          <w:tcPr>
            <w:tcW w:w="2581" w:type="dxa"/>
          </w:tcPr>
          <w:p w14:paraId="20AEEA68" w14:textId="77777777" w:rsidR="0007555D" w:rsidRPr="00C56257" w:rsidRDefault="0007555D" w:rsidP="008E33FD">
            <w:pPr>
              <w:jc w:val="both"/>
            </w:pPr>
            <w:r w:rsidRPr="00C56257">
              <w:t>Denumire</w:t>
            </w:r>
          </w:p>
        </w:tc>
        <w:tc>
          <w:tcPr>
            <w:tcW w:w="1310" w:type="dxa"/>
          </w:tcPr>
          <w:p w14:paraId="7163543F" w14:textId="77777777" w:rsidR="0007555D" w:rsidRPr="00C56257" w:rsidRDefault="0007555D" w:rsidP="008E33FD">
            <w:pPr>
              <w:jc w:val="both"/>
            </w:pPr>
            <w:r w:rsidRPr="00C56257">
              <w:t>Intensitate</w:t>
            </w:r>
          </w:p>
        </w:tc>
      </w:tr>
      <w:tr w:rsidR="0007555D" w:rsidRPr="00C56257" w14:paraId="0EA400FC" w14:textId="77777777" w:rsidTr="0007555D">
        <w:tc>
          <w:tcPr>
            <w:tcW w:w="643" w:type="dxa"/>
            <w:vAlign w:val="center"/>
          </w:tcPr>
          <w:p w14:paraId="4C9A00B9" w14:textId="77777777" w:rsidR="0007555D" w:rsidRPr="00C56257" w:rsidRDefault="0007555D" w:rsidP="00F100E1">
            <w:pPr>
              <w:jc w:val="both"/>
            </w:pPr>
            <w:r w:rsidRPr="00C56257">
              <w:t>B12</w:t>
            </w:r>
          </w:p>
        </w:tc>
        <w:tc>
          <w:tcPr>
            <w:tcW w:w="2631" w:type="dxa"/>
            <w:vAlign w:val="center"/>
          </w:tcPr>
          <w:p w14:paraId="4B1A9BF6" w14:textId="77777777" w:rsidR="0007555D" w:rsidRPr="00C56257" w:rsidRDefault="0007555D" w:rsidP="00F100E1">
            <w:pPr>
              <w:jc w:val="both"/>
            </w:pPr>
            <w:r w:rsidRPr="00C56257">
              <w:t>Rărituri</w:t>
            </w:r>
          </w:p>
        </w:tc>
        <w:tc>
          <w:tcPr>
            <w:tcW w:w="1310" w:type="dxa"/>
            <w:vAlign w:val="center"/>
          </w:tcPr>
          <w:p w14:paraId="56DE15A4" w14:textId="77777777" w:rsidR="0007555D" w:rsidRPr="00C56257" w:rsidRDefault="0007555D" w:rsidP="00F100E1">
            <w:pPr>
              <w:jc w:val="both"/>
            </w:pPr>
            <w:r w:rsidRPr="00C56257">
              <w:t>Medie</w:t>
            </w:r>
          </w:p>
        </w:tc>
        <w:tc>
          <w:tcPr>
            <w:tcW w:w="541" w:type="dxa"/>
            <w:vAlign w:val="center"/>
          </w:tcPr>
          <w:p w14:paraId="20F11649" w14:textId="77777777" w:rsidR="0007555D" w:rsidRPr="00C56257" w:rsidRDefault="0007555D" w:rsidP="00F100E1">
            <w:pPr>
              <w:jc w:val="both"/>
            </w:pPr>
            <w:r w:rsidRPr="00C56257">
              <w:t>B12</w:t>
            </w:r>
          </w:p>
        </w:tc>
        <w:tc>
          <w:tcPr>
            <w:tcW w:w="2581" w:type="dxa"/>
            <w:vAlign w:val="center"/>
          </w:tcPr>
          <w:p w14:paraId="5BF0C2F6" w14:textId="77777777" w:rsidR="0007555D" w:rsidRPr="00C56257" w:rsidRDefault="0007555D" w:rsidP="00F100E1">
            <w:pPr>
              <w:jc w:val="both"/>
            </w:pPr>
            <w:r w:rsidRPr="00C56257">
              <w:t>Rărituri</w:t>
            </w:r>
          </w:p>
        </w:tc>
        <w:tc>
          <w:tcPr>
            <w:tcW w:w="1310" w:type="dxa"/>
            <w:vAlign w:val="center"/>
          </w:tcPr>
          <w:p w14:paraId="3E744C68" w14:textId="77777777" w:rsidR="0007555D" w:rsidRPr="00C56257" w:rsidRDefault="0007555D" w:rsidP="00F100E1">
            <w:pPr>
              <w:jc w:val="both"/>
            </w:pPr>
            <w:r w:rsidRPr="00C56257">
              <w:t>Ridicată</w:t>
            </w:r>
          </w:p>
        </w:tc>
      </w:tr>
      <w:tr w:rsidR="0007555D" w:rsidRPr="00C56257" w14:paraId="3F0FB143" w14:textId="77777777" w:rsidTr="0007555D">
        <w:tc>
          <w:tcPr>
            <w:tcW w:w="643" w:type="dxa"/>
            <w:vAlign w:val="center"/>
          </w:tcPr>
          <w:p w14:paraId="44C676CC" w14:textId="77777777" w:rsidR="0007555D" w:rsidRPr="00C56257" w:rsidRDefault="0007555D" w:rsidP="00F100E1">
            <w:pPr>
              <w:jc w:val="both"/>
            </w:pPr>
            <w:r w:rsidRPr="00C56257">
              <w:t>A09</w:t>
            </w:r>
          </w:p>
        </w:tc>
        <w:tc>
          <w:tcPr>
            <w:tcW w:w="2631" w:type="dxa"/>
            <w:vAlign w:val="center"/>
          </w:tcPr>
          <w:p w14:paraId="0CC8533E" w14:textId="77777777" w:rsidR="0007555D" w:rsidRPr="00C56257" w:rsidRDefault="0007555D" w:rsidP="00F100E1">
            <w:pPr>
              <w:ind w:hanging="479"/>
              <w:jc w:val="both"/>
            </w:pPr>
            <w:r w:rsidRPr="00C56257">
              <w:t>Pășunat intensiv</w:t>
            </w:r>
          </w:p>
        </w:tc>
        <w:tc>
          <w:tcPr>
            <w:tcW w:w="1310" w:type="dxa"/>
            <w:vAlign w:val="center"/>
          </w:tcPr>
          <w:p w14:paraId="7C2E30E9" w14:textId="77777777" w:rsidR="0007555D" w:rsidRPr="00C56257" w:rsidRDefault="0007555D" w:rsidP="00F100E1">
            <w:pPr>
              <w:jc w:val="both"/>
            </w:pPr>
            <w:r w:rsidRPr="00C56257">
              <w:t>Medie</w:t>
            </w:r>
          </w:p>
        </w:tc>
        <w:tc>
          <w:tcPr>
            <w:tcW w:w="541" w:type="dxa"/>
            <w:vAlign w:val="center"/>
          </w:tcPr>
          <w:p w14:paraId="13174E1D" w14:textId="77777777" w:rsidR="0007555D" w:rsidRPr="00C56257" w:rsidRDefault="0007555D" w:rsidP="00F100E1">
            <w:pPr>
              <w:jc w:val="both"/>
            </w:pPr>
            <w:r w:rsidRPr="00C56257">
              <w:t>A09</w:t>
            </w:r>
          </w:p>
        </w:tc>
        <w:tc>
          <w:tcPr>
            <w:tcW w:w="2581" w:type="dxa"/>
            <w:vAlign w:val="center"/>
          </w:tcPr>
          <w:p w14:paraId="001C5E92" w14:textId="77777777" w:rsidR="0007555D" w:rsidRPr="00C56257" w:rsidRDefault="0007555D" w:rsidP="00F100E1">
            <w:pPr>
              <w:ind w:hanging="479"/>
              <w:jc w:val="both"/>
            </w:pPr>
            <w:r w:rsidRPr="00C56257">
              <w:t>Pășunat intensiv</w:t>
            </w:r>
          </w:p>
        </w:tc>
        <w:tc>
          <w:tcPr>
            <w:tcW w:w="1310" w:type="dxa"/>
            <w:vAlign w:val="center"/>
          </w:tcPr>
          <w:p w14:paraId="5B64A4B6" w14:textId="77777777" w:rsidR="0007555D" w:rsidRPr="00C56257" w:rsidRDefault="0007555D" w:rsidP="00F100E1">
            <w:pPr>
              <w:jc w:val="both"/>
            </w:pPr>
            <w:r w:rsidRPr="00C56257">
              <w:t>Medie</w:t>
            </w:r>
          </w:p>
        </w:tc>
      </w:tr>
      <w:tr w:rsidR="0007555D" w:rsidRPr="00C56257" w14:paraId="579E57ED" w14:textId="77777777" w:rsidTr="0007555D">
        <w:tc>
          <w:tcPr>
            <w:tcW w:w="643" w:type="dxa"/>
            <w:vAlign w:val="center"/>
          </w:tcPr>
          <w:p w14:paraId="581022B7" w14:textId="77777777" w:rsidR="0007555D" w:rsidRPr="00C56257" w:rsidRDefault="0007555D" w:rsidP="00F100E1">
            <w:pPr>
              <w:jc w:val="both"/>
            </w:pPr>
            <w:r w:rsidRPr="00C56257">
              <w:t>L01</w:t>
            </w:r>
          </w:p>
        </w:tc>
        <w:tc>
          <w:tcPr>
            <w:tcW w:w="2631" w:type="dxa"/>
            <w:vAlign w:val="center"/>
          </w:tcPr>
          <w:p w14:paraId="7E10BC57" w14:textId="77777777" w:rsidR="0007555D" w:rsidRPr="00C56257" w:rsidRDefault="0007555D" w:rsidP="00F100E1">
            <w:pPr>
              <w:jc w:val="both"/>
            </w:pPr>
            <w:r w:rsidRPr="00C56257">
              <w:t>Procese abiotice naturale (eroziune, secetă, salinizare, etc.)</w:t>
            </w:r>
          </w:p>
        </w:tc>
        <w:tc>
          <w:tcPr>
            <w:tcW w:w="1310" w:type="dxa"/>
            <w:vAlign w:val="center"/>
          </w:tcPr>
          <w:p w14:paraId="63164B17" w14:textId="77777777" w:rsidR="0007555D" w:rsidRPr="00C56257" w:rsidRDefault="0007555D" w:rsidP="00F100E1">
            <w:pPr>
              <w:jc w:val="both"/>
            </w:pPr>
            <w:r w:rsidRPr="00C56257">
              <w:t>Medie</w:t>
            </w:r>
          </w:p>
        </w:tc>
        <w:tc>
          <w:tcPr>
            <w:tcW w:w="541" w:type="dxa"/>
            <w:vAlign w:val="center"/>
          </w:tcPr>
          <w:p w14:paraId="694BAA5D" w14:textId="77777777" w:rsidR="0007555D" w:rsidRPr="00C56257" w:rsidRDefault="0007555D" w:rsidP="00F100E1">
            <w:pPr>
              <w:jc w:val="both"/>
            </w:pPr>
            <w:r w:rsidRPr="00C56257">
              <w:t>L01</w:t>
            </w:r>
          </w:p>
        </w:tc>
        <w:tc>
          <w:tcPr>
            <w:tcW w:w="2581" w:type="dxa"/>
            <w:vAlign w:val="center"/>
          </w:tcPr>
          <w:p w14:paraId="16D3990A" w14:textId="77777777" w:rsidR="0007555D" w:rsidRPr="00C56257" w:rsidRDefault="0007555D" w:rsidP="00F100E1">
            <w:pPr>
              <w:jc w:val="both"/>
            </w:pPr>
            <w:r w:rsidRPr="00C56257">
              <w:t>Procese abiotice naturale (eroziune, secetă, salinizare, etc.)</w:t>
            </w:r>
          </w:p>
        </w:tc>
        <w:tc>
          <w:tcPr>
            <w:tcW w:w="1310" w:type="dxa"/>
            <w:vAlign w:val="center"/>
          </w:tcPr>
          <w:p w14:paraId="4EA2D3A6" w14:textId="77777777" w:rsidR="0007555D" w:rsidRPr="00C56257" w:rsidRDefault="0007555D" w:rsidP="00F100E1">
            <w:pPr>
              <w:jc w:val="both"/>
            </w:pPr>
            <w:r w:rsidRPr="00C56257">
              <w:t>Medie</w:t>
            </w:r>
          </w:p>
        </w:tc>
      </w:tr>
    </w:tbl>
    <w:p w14:paraId="70A00A05" w14:textId="77777777" w:rsidR="0007555D" w:rsidRPr="00C56257" w:rsidRDefault="0007555D" w:rsidP="008E33FD">
      <w:pPr>
        <w:tabs>
          <w:tab w:val="num" w:pos="360"/>
        </w:tabs>
        <w:ind w:left="360" w:hanging="360"/>
        <w:jc w:val="both"/>
        <w:rPr>
          <w:rFonts w:eastAsia="Calibri"/>
          <w:b/>
        </w:rPr>
      </w:pPr>
    </w:p>
    <w:p w14:paraId="46AD435F"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Panonică</w:t>
      </w:r>
    </w:p>
    <w:tbl>
      <w:tblPr>
        <w:tblStyle w:val="TableGrid"/>
        <w:tblW w:w="0" w:type="auto"/>
        <w:tblLook w:val="04A0" w:firstRow="1" w:lastRow="0" w:firstColumn="1" w:lastColumn="0" w:noHBand="0" w:noVBand="1"/>
      </w:tblPr>
      <w:tblGrid>
        <w:gridCol w:w="643"/>
        <w:gridCol w:w="2579"/>
        <w:gridCol w:w="1310"/>
        <w:gridCol w:w="643"/>
        <w:gridCol w:w="2531"/>
        <w:gridCol w:w="1310"/>
      </w:tblGrid>
      <w:tr w:rsidR="0007555D" w:rsidRPr="00C56257" w14:paraId="49E3BEB2" w14:textId="77777777" w:rsidTr="0007555D">
        <w:tc>
          <w:tcPr>
            <w:tcW w:w="4532" w:type="dxa"/>
            <w:gridSpan w:val="3"/>
          </w:tcPr>
          <w:p w14:paraId="7FFE8087" w14:textId="77777777" w:rsidR="0007555D" w:rsidRPr="00C56257" w:rsidRDefault="0007555D" w:rsidP="00F100E1">
            <w:pPr>
              <w:jc w:val="both"/>
            </w:pPr>
            <w:r w:rsidRPr="00C56257">
              <w:t>Presiuni</w:t>
            </w:r>
          </w:p>
        </w:tc>
        <w:tc>
          <w:tcPr>
            <w:tcW w:w="4484" w:type="dxa"/>
            <w:gridSpan w:val="3"/>
          </w:tcPr>
          <w:p w14:paraId="6195C642" w14:textId="77777777" w:rsidR="0007555D" w:rsidRPr="00C56257" w:rsidRDefault="0007555D" w:rsidP="00F100E1">
            <w:pPr>
              <w:jc w:val="both"/>
            </w:pPr>
            <w:r w:rsidRPr="00C56257">
              <w:t>Amenințări</w:t>
            </w:r>
          </w:p>
        </w:tc>
      </w:tr>
      <w:tr w:rsidR="0007555D" w:rsidRPr="00C56257" w14:paraId="7090FD2B" w14:textId="77777777" w:rsidTr="0007555D">
        <w:tc>
          <w:tcPr>
            <w:tcW w:w="643" w:type="dxa"/>
          </w:tcPr>
          <w:p w14:paraId="4117A202" w14:textId="77777777" w:rsidR="0007555D" w:rsidRPr="00C56257" w:rsidRDefault="0007555D" w:rsidP="008E33FD">
            <w:pPr>
              <w:jc w:val="both"/>
            </w:pPr>
            <w:r w:rsidRPr="00C56257">
              <w:t>Cod</w:t>
            </w:r>
          </w:p>
        </w:tc>
        <w:tc>
          <w:tcPr>
            <w:tcW w:w="2579" w:type="dxa"/>
          </w:tcPr>
          <w:p w14:paraId="42AEFD6B" w14:textId="77777777" w:rsidR="0007555D" w:rsidRPr="00C56257" w:rsidRDefault="0007555D" w:rsidP="008E33FD">
            <w:pPr>
              <w:jc w:val="both"/>
            </w:pPr>
            <w:r w:rsidRPr="00C56257">
              <w:t>Denumire</w:t>
            </w:r>
          </w:p>
        </w:tc>
        <w:tc>
          <w:tcPr>
            <w:tcW w:w="1310" w:type="dxa"/>
          </w:tcPr>
          <w:p w14:paraId="4E3CD1C7" w14:textId="77777777" w:rsidR="0007555D" w:rsidRPr="00C56257" w:rsidRDefault="0007555D" w:rsidP="008E33FD">
            <w:pPr>
              <w:jc w:val="both"/>
            </w:pPr>
            <w:r w:rsidRPr="00C56257">
              <w:t>Intensitate</w:t>
            </w:r>
          </w:p>
        </w:tc>
        <w:tc>
          <w:tcPr>
            <w:tcW w:w="643" w:type="dxa"/>
          </w:tcPr>
          <w:p w14:paraId="0E48AC51" w14:textId="77777777" w:rsidR="0007555D" w:rsidRPr="00C56257" w:rsidRDefault="0007555D" w:rsidP="008E33FD">
            <w:pPr>
              <w:jc w:val="both"/>
            </w:pPr>
            <w:r w:rsidRPr="00C56257">
              <w:t>Cod</w:t>
            </w:r>
          </w:p>
        </w:tc>
        <w:tc>
          <w:tcPr>
            <w:tcW w:w="2531" w:type="dxa"/>
          </w:tcPr>
          <w:p w14:paraId="15075DEB" w14:textId="77777777" w:rsidR="0007555D" w:rsidRPr="00C56257" w:rsidRDefault="0007555D" w:rsidP="008E33FD">
            <w:pPr>
              <w:jc w:val="both"/>
            </w:pPr>
            <w:r w:rsidRPr="00C56257">
              <w:t>Denumire</w:t>
            </w:r>
          </w:p>
        </w:tc>
        <w:tc>
          <w:tcPr>
            <w:tcW w:w="1310" w:type="dxa"/>
          </w:tcPr>
          <w:p w14:paraId="56AAC694" w14:textId="77777777" w:rsidR="0007555D" w:rsidRPr="00C56257" w:rsidRDefault="0007555D" w:rsidP="008E33FD">
            <w:pPr>
              <w:jc w:val="both"/>
            </w:pPr>
            <w:r w:rsidRPr="00C56257">
              <w:t>Intensitate</w:t>
            </w:r>
          </w:p>
        </w:tc>
      </w:tr>
      <w:tr w:rsidR="0007555D" w:rsidRPr="00C56257" w14:paraId="57B4A442" w14:textId="77777777" w:rsidTr="0007555D">
        <w:tc>
          <w:tcPr>
            <w:tcW w:w="643" w:type="dxa"/>
            <w:vAlign w:val="center"/>
          </w:tcPr>
          <w:p w14:paraId="054D5FEC" w14:textId="77777777" w:rsidR="0007555D" w:rsidRPr="00C56257" w:rsidRDefault="0007555D" w:rsidP="00F100E1">
            <w:pPr>
              <w:jc w:val="both"/>
            </w:pPr>
            <w:r w:rsidRPr="00C56257">
              <w:t>B06</w:t>
            </w:r>
          </w:p>
        </w:tc>
        <w:tc>
          <w:tcPr>
            <w:tcW w:w="2579" w:type="dxa"/>
            <w:vAlign w:val="center"/>
          </w:tcPr>
          <w:p w14:paraId="0465999C" w14:textId="77777777" w:rsidR="0007555D" w:rsidRPr="00C56257" w:rsidRDefault="0007555D" w:rsidP="00F100E1">
            <w:pPr>
              <w:jc w:val="both"/>
            </w:pPr>
            <w:r w:rsidRPr="00C56257">
              <w:t>Exploatarea arborilor individuali (Tăiere selectivă)</w:t>
            </w:r>
          </w:p>
        </w:tc>
        <w:tc>
          <w:tcPr>
            <w:tcW w:w="1310" w:type="dxa"/>
            <w:vAlign w:val="center"/>
          </w:tcPr>
          <w:p w14:paraId="48C2A3FA" w14:textId="77777777" w:rsidR="0007555D" w:rsidRPr="00C56257" w:rsidRDefault="0007555D" w:rsidP="00F100E1">
            <w:pPr>
              <w:jc w:val="both"/>
            </w:pPr>
            <w:r w:rsidRPr="00C56257">
              <w:t>Medie</w:t>
            </w:r>
          </w:p>
        </w:tc>
        <w:tc>
          <w:tcPr>
            <w:tcW w:w="643" w:type="dxa"/>
            <w:vAlign w:val="center"/>
          </w:tcPr>
          <w:p w14:paraId="6E199166" w14:textId="77777777" w:rsidR="0007555D" w:rsidRPr="00C56257" w:rsidRDefault="0007555D" w:rsidP="00F100E1">
            <w:pPr>
              <w:jc w:val="both"/>
            </w:pPr>
            <w:r w:rsidRPr="00C56257">
              <w:t>B06</w:t>
            </w:r>
          </w:p>
        </w:tc>
        <w:tc>
          <w:tcPr>
            <w:tcW w:w="2531" w:type="dxa"/>
            <w:vAlign w:val="center"/>
          </w:tcPr>
          <w:p w14:paraId="65EBDF41" w14:textId="77777777" w:rsidR="0007555D" w:rsidRPr="00C56257" w:rsidRDefault="0007555D" w:rsidP="00F100E1">
            <w:pPr>
              <w:jc w:val="both"/>
            </w:pPr>
            <w:r w:rsidRPr="00C56257">
              <w:t>Exploatarea arborilor individuali (Tăiere selectivă)</w:t>
            </w:r>
          </w:p>
        </w:tc>
        <w:tc>
          <w:tcPr>
            <w:tcW w:w="1310" w:type="dxa"/>
            <w:vAlign w:val="center"/>
          </w:tcPr>
          <w:p w14:paraId="24E09B5A" w14:textId="77777777" w:rsidR="0007555D" w:rsidRPr="00C56257" w:rsidRDefault="0007555D" w:rsidP="00F100E1">
            <w:pPr>
              <w:jc w:val="both"/>
            </w:pPr>
            <w:r w:rsidRPr="00C56257">
              <w:t>Medie</w:t>
            </w:r>
          </w:p>
        </w:tc>
      </w:tr>
      <w:tr w:rsidR="0007555D" w:rsidRPr="00C56257" w14:paraId="0798DD28" w14:textId="77777777" w:rsidTr="0007555D">
        <w:tc>
          <w:tcPr>
            <w:tcW w:w="643" w:type="dxa"/>
            <w:vAlign w:val="center"/>
          </w:tcPr>
          <w:p w14:paraId="480E6CA4" w14:textId="77777777" w:rsidR="0007555D" w:rsidRPr="00C56257" w:rsidRDefault="0007555D" w:rsidP="00F100E1">
            <w:pPr>
              <w:jc w:val="both"/>
            </w:pPr>
            <w:r w:rsidRPr="00C56257">
              <w:t>B07</w:t>
            </w:r>
          </w:p>
        </w:tc>
        <w:tc>
          <w:tcPr>
            <w:tcW w:w="2579" w:type="dxa"/>
            <w:vAlign w:val="center"/>
          </w:tcPr>
          <w:p w14:paraId="6C6AA24C" w14:textId="77777777" w:rsidR="0007555D" w:rsidRPr="00C56257" w:rsidRDefault="0007555D" w:rsidP="00F100E1">
            <w:pPr>
              <w:jc w:val="both"/>
            </w:pPr>
            <w:r w:rsidRPr="00C56257">
              <w:t xml:space="preserve">Extragerea arborilor morți sau aproape morți </w:t>
            </w:r>
          </w:p>
        </w:tc>
        <w:tc>
          <w:tcPr>
            <w:tcW w:w="1310" w:type="dxa"/>
            <w:vAlign w:val="center"/>
          </w:tcPr>
          <w:p w14:paraId="51E12BD4" w14:textId="77777777" w:rsidR="0007555D" w:rsidRPr="00C56257" w:rsidRDefault="0007555D" w:rsidP="00F100E1">
            <w:pPr>
              <w:jc w:val="both"/>
            </w:pPr>
            <w:r w:rsidRPr="00C56257">
              <w:t>Ridicată</w:t>
            </w:r>
          </w:p>
        </w:tc>
        <w:tc>
          <w:tcPr>
            <w:tcW w:w="643" w:type="dxa"/>
            <w:vAlign w:val="center"/>
          </w:tcPr>
          <w:p w14:paraId="465B4559" w14:textId="77777777" w:rsidR="0007555D" w:rsidRPr="00C56257" w:rsidRDefault="0007555D" w:rsidP="00F100E1">
            <w:pPr>
              <w:jc w:val="both"/>
            </w:pPr>
            <w:r w:rsidRPr="00C56257">
              <w:t>B07</w:t>
            </w:r>
          </w:p>
        </w:tc>
        <w:tc>
          <w:tcPr>
            <w:tcW w:w="2531" w:type="dxa"/>
            <w:vAlign w:val="center"/>
          </w:tcPr>
          <w:p w14:paraId="36803F4C" w14:textId="77777777" w:rsidR="0007555D" w:rsidRPr="00C56257" w:rsidRDefault="0007555D" w:rsidP="00F100E1">
            <w:pPr>
              <w:jc w:val="both"/>
            </w:pPr>
            <w:r w:rsidRPr="00C56257">
              <w:t xml:space="preserve">Extragerea arborilor morți sau aproape morți </w:t>
            </w:r>
          </w:p>
        </w:tc>
        <w:tc>
          <w:tcPr>
            <w:tcW w:w="1310" w:type="dxa"/>
            <w:vAlign w:val="center"/>
          </w:tcPr>
          <w:p w14:paraId="710929E3" w14:textId="77777777" w:rsidR="0007555D" w:rsidRPr="00C56257" w:rsidRDefault="0007555D" w:rsidP="00F100E1">
            <w:pPr>
              <w:jc w:val="both"/>
            </w:pPr>
            <w:r w:rsidRPr="00C56257">
              <w:t>Ridicată</w:t>
            </w:r>
          </w:p>
        </w:tc>
      </w:tr>
      <w:tr w:rsidR="0007555D" w:rsidRPr="00C56257" w14:paraId="6E299F7A" w14:textId="77777777" w:rsidTr="0007555D">
        <w:tc>
          <w:tcPr>
            <w:tcW w:w="643" w:type="dxa"/>
            <w:vAlign w:val="center"/>
          </w:tcPr>
          <w:p w14:paraId="0E690C65" w14:textId="77777777" w:rsidR="0007555D" w:rsidRPr="00C56257" w:rsidRDefault="0007555D" w:rsidP="00F100E1">
            <w:pPr>
              <w:jc w:val="both"/>
            </w:pPr>
            <w:r w:rsidRPr="00C56257">
              <w:t>B10</w:t>
            </w:r>
          </w:p>
        </w:tc>
        <w:tc>
          <w:tcPr>
            <w:tcW w:w="2579" w:type="dxa"/>
            <w:vAlign w:val="center"/>
          </w:tcPr>
          <w:p w14:paraId="6F0D2F64" w14:textId="77777777" w:rsidR="0007555D" w:rsidRPr="00C56257" w:rsidRDefault="0007555D" w:rsidP="00F100E1">
            <w:pPr>
              <w:jc w:val="both"/>
            </w:pPr>
            <w:r w:rsidRPr="00C56257">
              <w:t>Exploatare ilegală</w:t>
            </w:r>
          </w:p>
        </w:tc>
        <w:tc>
          <w:tcPr>
            <w:tcW w:w="1310" w:type="dxa"/>
            <w:vAlign w:val="center"/>
          </w:tcPr>
          <w:p w14:paraId="67E01213" w14:textId="77777777" w:rsidR="0007555D" w:rsidRPr="00C56257" w:rsidRDefault="0007555D" w:rsidP="00F100E1">
            <w:pPr>
              <w:jc w:val="both"/>
            </w:pPr>
            <w:r w:rsidRPr="00C56257">
              <w:t>Medie</w:t>
            </w:r>
          </w:p>
        </w:tc>
        <w:tc>
          <w:tcPr>
            <w:tcW w:w="643" w:type="dxa"/>
            <w:vAlign w:val="center"/>
          </w:tcPr>
          <w:p w14:paraId="1A2261C2" w14:textId="77777777" w:rsidR="0007555D" w:rsidRPr="00C56257" w:rsidRDefault="0007555D" w:rsidP="00F100E1">
            <w:pPr>
              <w:jc w:val="both"/>
            </w:pPr>
            <w:r w:rsidRPr="00C56257">
              <w:t>B10</w:t>
            </w:r>
          </w:p>
        </w:tc>
        <w:tc>
          <w:tcPr>
            <w:tcW w:w="2531" w:type="dxa"/>
            <w:vAlign w:val="center"/>
          </w:tcPr>
          <w:p w14:paraId="340D16CF" w14:textId="77777777" w:rsidR="0007555D" w:rsidRPr="00C56257" w:rsidRDefault="0007555D" w:rsidP="00F100E1">
            <w:pPr>
              <w:jc w:val="both"/>
            </w:pPr>
            <w:r w:rsidRPr="00C56257">
              <w:t>Exploatare ilegală</w:t>
            </w:r>
          </w:p>
        </w:tc>
        <w:tc>
          <w:tcPr>
            <w:tcW w:w="1310" w:type="dxa"/>
            <w:vAlign w:val="center"/>
          </w:tcPr>
          <w:p w14:paraId="7530DA0A" w14:textId="77777777" w:rsidR="0007555D" w:rsidRPr="00C56257" w:rsidRDefault="0007555D" w:rsidP="00F100E1">
            <w:pPr>
              <w:jc w:val="both"/>
            </w:pPr>
            <w:r w:rsidRPr="00C56257">
              <w:t>Medie</w:t>
            </w:r>
          </w:p>
        </w:tc>
      </w:tr>
    </w:tbl>
    <w:p w14:paraId="4DD7F040"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Stepică</w:t>
      </w:r>
    </w:p>
    <w:tbl>
      <w:tblPr>
        <w:tblStyle w:val="TableGrid"/>
        <w:tblW w:w="0" w:type="auto"/>
        <w:tblLook w:val="04A0" w:firstRow="1" w:lastRow="0" w:firstColumn="1" w:lastColumn="0" w:noHBand="0" w:noVBand="1"/>
      </w:tblPr>
      <w:tblGrid>
        <w:gridCol w:w="643"/>
        <w:gridCol w:w="2579"/>
        <w:gridCol w:w="1310"/>
        <w:gridCol w:w="643"/>
        <w:gridCol w:w="2531"/>
        <w:gridCol w:w="1310"/>
      </w:tblGrid>
      <w:tr w:rsidR="0007555D" w:rsidRPr="00C56257" w14:paraId="299C8574" w14:textId="77777777" w:rsidTr="0007555D">
        <w:tc>
          <w:tcPr>
            <w:tcW w:w="4532" w:type="dxa"/>
            <w:gridSpan w:val="3"/>
          </w:tcPr>
          <w:p w14:paraId="70289480" w14:textId="77777777" w:rsidR="0007555D" w:rsidRPr="00C56257" w:rsidRDefault="0007555D" w:rsidP="00F100E1">
            <w:pPr>
              <w:jc w:val="both"/>
            </w:pPr>
            <w:r w:rsidRPr="00C56257">
              <w:t>Presiuni</w:t>
            </w:r>
          </w:p>
        </w:tc>
        <w:tc>
          <w:tcPr>
            <w:tcW w:w="4484" w:type="dxa"/>
            <w:gridSpan w:val="3"/>
          </w:tcPr>
          <w:p w14:paraId="5FD5D6C1" w14:textId="77777777" w:rsidR="0007555D" w:rsidRPr="00C56257" w:rsidRDefault="0007555D" w:rsidP="00F100E1">
            <w:pPr>
              <w:jc w:val="both"/>
            </w:pPr>
            <w:r w:rsidRPr="00C56257">
              <w:t>Amenințări</w:t>
            </w:r>
          </w:p>
        </w:tc>
      </w:tr>
      <w:tr w:rsidR="0007555D" w:rsidRPr="00C56257" w14:paraId="025C8621" w14:textId="77777777" w:rsidTr="0007555D">
        <w:tc>
          <w:tcPr>
            <w:tcW w:w="643" w:type="dxa"/>
          </w:tcPr>
          <w:p w14:paraId="74B876B9" w14:textId="77777777" w:rsidR="0007555D" w:rsidRPr="00C56257" w:rsidRDefault="0007555D" w:rsidP="008E33FD">
            <w:pPr>
              <w:jc w:val="both"/>
            </w:pPr>
            <w:r w:rsidRPr="00C56257">
              <w:t>Cod</w:t>
            </w:r>
          </w:p>
        </w:tc>
        <w:tc>
          <w:tcPr>
            <w:tcW w:w="2579" w:type="dxa"/>
          </w:tcPr>
          <w:p w14:paraId="63AF9143" w14:textId="77777777" w:rsidR="0007555D" w:rsidRPr="00C56257" w:rsidRDefault="0007555D" w:rsidP="008E33FD">
            <w:pPr>
              <w:jc w:val="both"/>
            </w:pPr>
            <w:r w:rsidRPr="00C56257">
              <w:t>Denumire</w:t>
            </w:r>
          </w:p>
        </w:tc>
        <w:tc>
          <w:tcPr>
            <w:tcW w:w="1310" w:type="dxa"/>
          </w:tcPr>
          <w:p w14:paraId="6164B37F" w14:textId="77777777" w:rsidR="0007555D" w:rsidRPr="00C56257" w:rsidRDefault="0007555D" w:rsidP="008E33FD">
            <w:pPr>
              <w:jc w:val="both"/>
            </w:pPr>
            <w:r w:rsidRPr="00C56257">
              <w:t>Intensitate</w:t>
            </w:r>
          </w:p>
        </w:tc>
        <w:tc>
          <w:tcPr>
            <w:tcW w:w="643" w:type="dxa"/>
          </w:tcPr>
          <w:p w14:paraId="6F46E826" w14:textId="77777777" w:rsidR="0007555D" w:rsidRPr="00C56257" w:rsidRDefault="0007555D" w:rsidP="008E33FD">
            <w:pPr>
              <w:jc w:val="both"/>
            </w:pPr>
            <w:r w:rsidRPr="00C56257">
              <w:t>Cod</w:t>
            </w:r>
          </w:p>
        </w:tc>
        <w:tc>
          <w:tcPr>
            <w:tcW w:w="2531" w:type="dxa"/>
          </w:tcPr>
          <w:p w14:paraId="0E44F1EB" w14:textId="77777777" w:rsidR="0007555D" w:rsidRPr="00C56257" w:rsidRDefault="0007555D" w:rsidP="008E33FD">
            <w:pPr>
              <w:jc w:val="both"/>
            </w:pPr>
            <w:r w:rsidRPr="00C56257">
              <w:t>Denumire</w:t>
            </w:r>
          </w:p>
        </w:tc>
        <w:tc>
          <w:tcPr>
            <w:tcW w:w="1310" w:type="dxa"/>
          </w:tcPr>
          <w:p w14:paraId="06017E72" w14:textId="77777777" w:rsidR="0007555D" w:rsidRPr="00C56257" w:rsidRDefault="0007555D" w:rsidP="008E33FD">
            <w:pPr>
              <w:jc w:val="both"/>
            </w:pPr>
            <w:r w:rsidRPr="00C56257">
              <w:t>Intensitate</w:t>
            </w:r>
          </w:p>
        </w:tc>
      </w:tr>
      <w:tr w:rsidR="0007555D" w:rsidRPr="00C56257" w14:paraId="36588063" w14:textId="77777777" w:rsidTr="0007555D">
        <w:tc>
          <w:tcPr>
            <w:tcW w:w="643" w:type="dxa"/>
          </w:tcPr>
          <w:p w14:paraId="329241A2" w14:textId="77777777" w:rsidR="0007555D" w:rsidRPr="00C56257" w:rsidRDefault="0007555D" w:rsidP="00F100E1">
            <w:pPr>
              <w:jc w:val="both"/>
            </w:pPr>
            <w:r w:rsidRPr="00C56257">
              <w:t>A10</w:t>
            </w:r>
          </w:p>
        </w:tc>
        <w:tc>
          <w:tcPr>
            <w:tcW w:w="2579" w:type="dxa"/>
          </w:tcPr>
          <w:p w14:paraId="2FECACAF" w14:textId="77777777" w:rsidR="0007555D" w:rsidRPr="00C56257" w:rsidRDefault="0007555D" w:rsidP="00F100E1">
            <w:pPr>
              <w:jc w:val="both"/>
              <w:rPr>
                <w:highlight w:val="yellow"/>
              </w:rPr>
            </w:pPr>
            <w:r w:rsidRPr="00C56257">
              <w:t>Pășunat extensiv</w:t>
            </w:r>
          </w:p>
        </w:tc>
        <w:tc>
          <w:tcPr>
            <w:tcW w:w="1310" w:type="dxa"/>
          </w:tcPr>
          <w:p w14:paraId="25A99556" w14:textId="77777777" w:rsidR="0007555D" w:rsidRPr="00C56257" w:rsidRDefault="0007555D" w:rsidP="00F100E1">
            <w:pPr>
              <w:jc w:val="both"/>
            </w:pPr>
            <w:r w:rsidRPr="00C56257">
              <w:t>Medie</w:t>
            </w:r>
          </w:p>
        </w:tc>
        <w:tc>
          <w:tcPr>
            <w:tcW w:w="643" w:type="dxa"/>
          </w:tcPr>
          <w:p w14:paraId="75D2BCF6" w14:textId="77777777" w:rsidR="0007555D" w:rsidRPr="00C56257" w:rsidRDefault="0007555D" w:rsidP="00F100E1">
            <w:pPr>
              <w:jc w:val="both"/>
            </w:pPr>
            <w:r w:rsidRPr="00C56257">
              <w:t>A10</w:t>
            </w:r>
          </w:p>
        </w:tc>
        <w:tc>
          <w:tcPr>
            <w:tcW w:w="2531" w:type="dxa"/>
          </w:tcPr>
          <w:p w14:paraId="30A81677" w14:textId="77777777" w:rsidR="0007555D" w:rsidRPr="00C56257" w:rsidRDefault="0007555D" w:rsidP="00F100E1">
            <w:pPr>
              <w:jc w:val="both"/>
              <w:rPr>
                <w:highlight w:val="yellow"/>
              </w:rPr>
            </w:pPr>
            <w:r w:rsidRPr="00C56257">
              <w:t>Pășunat extensiv</w:t>
            </w:r>
          </w:p>
        </w:tc>
        <w:tc>
          <w:tcPr>
            <w:tcW w:w="1310" w:type="dxa"/>
          </w:tcPr>
          <w:p w14:paraId="3B7298B1" w14:textId="77777777" w:rsidR="0007555D" w:rsidRPr="00C56257" w:rsidRDefault="0007555D" w:rsidP="00F100E1">
            <w:pPr>
              <w:jc w:val="both"/>
            </w:pPr>
            <w:r w:rsidRPr="00C56257">
              <w:t>Medie</w:t>
            </w:r>
          </w:p>
        </w:tc>
      </w:tr>
      <w:tr w:rsidR="0007555D" w:rsidRPr="00C56257" w14:paraId="09BEA3BD" w14:textId="77777777" w:rsidTr="0007555D">
        <w:tc>
          <w:tcPr>
            <w:tcW w:w="643" w:type="dxa"/>
          </w:tcPr>
          <w:p w14:paraId="7C4237BE" w14:textId="77777777" w:rsidR="0007555D" w:rsidRPr="00C56257" w:rsidRDefault="0007555D" w:rsidP="00F100E1">
            <w:pPr>
              <w:jc w:val="both"/>
            </w:pPr>
            <w:r w:rsidRPr="00C56257">
              <w:t>B10</w:t>
            </w:r>
          </w:p>
        </w:tc>
        <w:tc>
          <w:tcPr>
            <w:tcW w:w="2579" w:type="dxa"/>
          </w:tcPr>
          <w:p w14:paraId="136175CD" w14:textId="77777777" w:rsidR="0007555D" w:rsidRPr="00C56257" w:rsidRDefault="0007555D" w:rsidP="00F100E1">
            <w:pPr>
              <w:jc w:val="both"/>
            </w:pPr>
            <w:r w:rsidRPr="00C56257">
              <w:t>Exploatare ilegală</w:t>
            </w:r>
          </w:p>
        </w:tc>
        <w:tc>
          <w:tcPr>
            <w:tcW w:w="1310" w:type="dxa"/>
          </w:tcPr>
          <w:p w14:paraId="1CF10407" w14:textId="77777777" w:rsidR="0007555D" w:rsidRPr="00C56257" w:rsidRDefault="0007555D" w:rsidP="00F100E1">
            <w:pPr>
              <w:jc w:val="both"/>
            </w:pPr>
            <w:r w:rsidRPr="00C56257">
              <w:t>Medie</w:t>
            </w:r>
          </w:p>
        </w:tc>
        <w:tc>
          <w:tcPr>
            <w:tcW w:w="643" w:type="dxa"/>
          </w:tcPr>
          <w:p w14:paraId="6534501D" w14:textId="77777777" w:rsidR="0007555D" w:rsidRPr="00C56257" w:rsidRDefault="0007555D" w:rsidP="00F100E1">
            <w:pPr>
              <w:jc w:val="both"/>
            </w:pPr>
            <w:r w:rsidRPr="00C56257">
              <w:t>B10</w:t>
            </w:r>
          </w:p>
        </w:tc>
        <w:tc>
          <w:tcPr>
            <w:tcW w:w="2531" w:type="dxa"/>
          </w:tcPr>
          <w:p w14:paraId="22F264FE" w14:textId="77777777" w:rsidR="0007555D" w:rsidRPr="00C56257" w:rsidRDefault="0007555D" w:rsidP="00F100E1">
            <w:pPr>
              <w:jc w:val="both"/>
            </w:pPr>
            <w:r w:rsidRPr="00C56257">
              <w:t>Exploatare ilegală</w:t>
            </w:r>
          </w:p>
        </w:tc>
        <w:tc>
          <w:tcPr>
            <w:tcW w:w="1310" w:type="dxa"/>
          </w:tcPr>
          <w:p w14:paraId="481932CC" w14:textId="77777777" w:rsidR="0007555D" w:rsidRPr="00C56257" w:rsidRDefault="0007555D" w:rsidP="00F100E1">
            <w:pPr>
              <w:jc w:val="both"/>
            </w:pPr>
            <w:r w:rsidRPr="00C56257">
              <w:t>Medie</w:t>
            </w:r>
          </w:p>
        </w:tc>
      </w:tr>
    </w:tbl>
    <w:p w14:paraId="719C4527" w14:textId="77777777" w:rsidR="0007555D" w:rsidRPr="00C56257" w:rsidRDefault="0007555D" w:rsidP="008E33FD">
      <w:pPr>
        <w:tabs>
          <w:tab w:val="num" w:pos="360"/>
        </w:tabs>
        <w:ind w:left="360" w:hanging="360"/>
        <w:jc w:val="both"/>
        <w:rPr>
          <w:rFonts w:eastAsia="Calibri"/>
          <w:b/>
        </w:rPr>
      </w:pPr>
    </w:p>
    <w:p w14:paraId="1315CB8D"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91K0 - Păduri ilirice de </w:t>
      </w:r>
      <w:r w:rsidRPr="00C56257">
        <w:rPr>
          <w:rFonts w:eastAsia="Calibri"/>
          <w:b/>
          <w:i/>
          <w:iCs/>
        </w:rPr>
        <w:t>Fagus sylvatica</w:t>
      </w:r>
      <w:r w:rsidRPr="00C56257">
        <w:rPr>
          <w:rFonts w:eastAsia="Calibri"/>
          <w:b/>
        </w:rPr>
        <w:t xml:space="preserve"> (</w:t>
      </w:r>
      <w:r w:rsidRPr="00C56257">
        <w:rPr>
          <w:rFonts w:eastAsia="Calibri"/>
          <w:b/>
          <w:i/>
          <w:iCs/>
        </w:rPr>
        <w:t>Aremonio-Fagion</w:t>
      </w:r>
      <w:r w:rsidRPr="00C56257">
        <w:rPr>
          <w:rFonts w:eastAsia="Calibri"/>
          <w:b/>
        </w:rPr>
        <w:t>)</w:t>
      </w:r>
    </w:p>
    <w:p w14:paraId="462EA6BB"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Alpină</w:t>
      </w:r>
    </w:p>
    <w:tbl>
      <w:tblPr>
        <w:tblStyle w:val="TableGrid"/>
        <w:tblW w:w="0" w:type="auto"/>
        <w:tblLook w:val="04A0" w:firstRow="1" w:lastRow="0" w:firstColumn="1" w:lastColumn="0" w:noHBand="0" w:noVBand="1"/>
      </w:tblPr>
      <w:tblGrid>
        <w:gridCol w:w="643"/>
        <w:gridCol w:w="2579"/>
        <w:gridCol w:w="1310"/>
        <w:gridCol w:w="643"/>
        <w:gridCol w:w="2531"/>
        <w:gridCol w:w="1310"/>
      </w:tblGrid>
      <w:tr w:rsidR="0007555D" w:rsidRPr="00C56257" w14:paraId="7EBA8998" w14:textId="77777777" w:rsidTr="0007555D">
        <w:tc>
          <w:tcPr>
            <w:tcW w:w="4532" w:type="dxa"/>
            <w:gridSpan w:val="3"/>
          </w:tcPr>
          <w:p w14:paraId="06BF2ADB" w14:textId="77777777" w:rsidR="0007555D" w:rsidRPr="00C56257" w:rsidRDefault="0007555D" w:rsidP="00F100E1">
            <w:pPr>
              <w:jc w:val="both"/>
            </w:pPr>
            <w:r w:rsidRPr="00C56257">
              <w:t>Presiuni</w:t>
            </w:r>
          </w:p>
        </w:tc>
        <w:tc>
          <w:tcPr>
            <w:tcW w:w="4484" w:type="dxa"/>
            <w:gridSpan w:val="3"/>
          </w:tcPr>
          <w:p w14:paraId="6EDBBBA5" w14:textId="77777777" w:rsidR="0007555D" w:rsidRPr="00C56257" w:rsidRDefault="0007555D" w:rsidP="00F100E1">
            <w:pPr>
              <w:jc w:val="both"/>
            </w:pPr>
            <w:r w:rsidRPr="00C56257">
              <w:t>Amenințări</w:t>
            </w:r>
          </w:p>
        </w:tc>
      </w:tr>
      <w:tr w:rsidR="0007555D" w:rsidRPr="00C56257" w14:paraId="26BADB08" w14:textId="77777777" w:rsidTr="0007555D">
        <w:tc>
          <w:tcPr>
            <w:tcW w:w="643" w:type="dxa"/>
          </w:tcPr>
          <w:p w14:paraId="553D98B5" w14:textId="77777777" w:rsidR="0007555D" w:rsidRPr="00C56257" w:rsidRDefault="0007555D" w:rsidP="008E33FD">
            <w:pPr>
              <w:jc w:val="both"/>
            </w:pPr>
            <w:r w:rsidRPr="00C56257">
              <w:t>Cod</w:t>
            </w:r>
          </w:p>
        </w:tc>
        <w:tc>
          <w:tcPr>
            <w:tcW w:w="2579" w:type="dxa"/>
          </w:tcPr>
          <w:p w14:paraId="371847C6" w14:textId="77777777" w:rsidR="0007555D" w:rsidRPr="00C56257" w:rsidRDefault="0007555D" w:rsidP="008E33FD">
            <w:pPr>
              <w:jc w:val="both"/>
            </w:pPr>
            <w:r w:rsidRPr="00C56257">
              <w:t>Denumire</w:t>
            </w:r>
          </w:p>
        </w:tc>
        <w:tc>
          <w:tcPr>
            <w:tcW w:w="1310" w:type="dxa"/>
          </w:tcPr>
          <w:p w14:paraId="39863F9C" w14:textId="77777777" w:rsidR="0007555D" w:rsidRPr="00C56257" w:rsidRDefault="0007555D" w:rsidP="008E33FD">
            <w:pPr>
              <w:jc w:val="both"/>
            </w:pPr>
            <w:r w:rsidRPr="00C56257">
              <w:t>Intensitate</w:t>
            </w:r>
          </w:p>
        </w:tc>
        <w:tc>
          <w:tcPr>
            <w:tcW w:w="643" w:type="dxa"/>
          </w:tcPr>
          <w:p w14:paraId="6E4324DA" w14:textId="77777777" w:rsidR="0007555D" w:rsidRPr="00C56257" w:rsidRDefault="0007555D" w:rsidP="008E33FD">
            <w:pPr>
              <w:jc w:val="both"/>
            </w:pPr>
            <w:r w:rsidRPr="00C56257">
              <w:t>Cod</w:t>
            </w:r>
          </w:p>
        </w:tc>
        <w:tc>
          <w:tcPr>
            <w:tcW w:w="2531" w:type="dxa"/>
          </w:tcPr>
          <w:p w14:paraId="20E9AF97" w14:textId="77777777" w:rsidR="0007555D" w:rsidRPr="00C56257" w:rsidRDefault="0007555D" w:rsidP="008E33FD">
            <w:pPr>
              <w:jc w:val="both"/>
            </w:pPr>
            <w:r w:rsidRPr="00C56257">
              <w:t>Denumire</w:t>
            </w:r>
          </w:p>
        </w:tc>
        <w:tc>
          <w:tcPr>
            <w:tcW w:w="1310" w:type="dxa"/>
          </w:tcPr>
          <w:p w14:paraId="4001F904" w14:textId="77777777" w:rsidR="0007555D" w:rsidRPr="00C56257" w:rsidRDefault="0007555D" w:rsidP="008E33FD">
            <w:pPr>
              <w:jc w:val="both"/>
            </w:pPr>
            <w:r w:rsidRPr="00C56257">
              <w:t>Intensitate</w:t>
            </w:r>
          </w:p>
        </w:tc>
      </w:tr>
      <w:tr w:rsidR="0007555D" w:rsidRPr="00C56257" w14:paraId="779DD12A" w14:textId="77777777" w:rsidTr="0007555D">
        <w:tc>
          <w:tcPr>
            <w:tcW w:w="643" w:type="dxa"/>
            <w:vAlign w:val="center"/>
          </w:tcPr>
          <w:p w14:paraId="69718DCE" w14:textId="77777777" w:rsidR="0007555D" w:rsidRPr="00C56257" w:rsidRDefault="0007555D" w:rsidP="00F100E1">
            <w:pPr>
              <w:jc w:val="both"/>
            </w:pPr>
            <w:r w:rsidRPr="00C56257">
              <w:t>B09</w:t>
            </w:r>
          </w:p>
        </w:tc>
        <w:tc>
          <w:tcPr>
            <w:tcW w:w="2579" w:type="dxa"/>
            <w:vAlign w:val="center"/>
          </w:tcPr>
          <w:p w14:paraId="445A181D" w14:textId="77777777" w:rsidR="0007555D" w:rsidRPr="00C56257" w:rsidRDefault="0007555D" w:rsidP="00F100E1">
            <w:pPr>
              <w:jc w:val="both"/>
            </w:pPr>
            <w:r w:rsidRPr="00C56257">
              <w:t>Tăiere rasă, extragerea tuturor arborilor</w:t>
            </w:r>
          </w:p>
        </w:tc>
        <w:tc>
          <w:tcPr>
            <w:tcW w:w="1310" w:type="dxa"/>
            <w:vAlign w:val="center"/>
          </w:tcPr>
          <w:p w14:paraId="4F5BE92D" w14:textId="77777777" w:rsidR="0007555D" w:rsidRPr="00C56257" w:rsidRDefault="0007555D" w:rsidP="00F100E1">
            <w:pPr>
              <w:jc w:val="both"/>
            </w:pPr>
            <w:r w:rsidRPr="00C56257">
              <w:t>Medie</w:t>
            </w:r>
          </w:p>
        </w:tc>
        <w:tc>
          <w:tcPr>
            <w:tcW w:w="643" w:type="dxa"/>
            <w:vAlign w:val="center"/>
          </w:tcPr>
          <w:p w14:paraId="140D389E" w14:textId="77777777" w:rsidR="0007555D" w:rsidRPr="00C56257" w:rsidRDefault="0007555D" w:rsidP="00F100E1">
            <w:pPr>
              <w:jc w:val="both"/>
            </w:pPr>
            <w:r w:rsidRPr="00C56257">
              <w:t>B09</w:t>
            </w:r>
          </w:p>
        </w:tc>
        <w:tc>
          <w:tcPr>
            <w:tcW w:w="2531" w:type="dxa"/>
            <w:vAlign w:val="center"/>
          </w:tcPr>
          <w:p w14:paraId="5A41D3FF" w14:textId="77777777" w:rsidR="0007555D" w:rsidRPr="00C56257" w:rsidRDefault="0007555D" w:rsidP="00F100E1">
            <w:pPr>
              <w:jc w:val="both"/>
            </w:pPr>
            <w:r w:rsidRPr="00C56257">
              <w:t>Tăiere rasă, extragerea tuturor arborilor</w:t>
            </w:r>
          </w:p>
        </w:tc>
        <w:tc>
          <w:tcPr>
            <w:tcW w:w="1310" w:type="dxa"/>
            <w:vAlign w:val="center"/>
          </w:tcPr>
          <w:p w14:paraId="2A6ECC3C" w14:textId="77777777" w:rsidR="0007555D" w:rsidRPr="00C56257" w:rsidRDefault="0007555D" w:rsidP="00F100E1">
            <w:pPr>
              <w:jc w:val="both"/>
            </w:pPr>
            <w:r w:rsidRPr="00C56257">
              <w:t>Medie</w:t>
            </w:r>
          </w:p>
        </w:tc>
      </w:tr>
      <w:tr w:rsidR="0007555D" w:rsidRPr="00C56257" w14:paraId="0BD71B56" w14:textId="77777777" w:rsidTr="0007555D">
        <w:tc>
          <w:tcPr>
            <w:tcW w:w="643" w:type="dxa"/>
            <w:vAlign w:val="center"/>
          </w:tcPr>
          <w:p w14:paraId="7C6E4160" w14:textId="77777777" w:rsidR="0007555D" w:rsidRPr="00C56257" w:rsidRDefault="0007555D" w:rsidP="00F100E1">
            <w:pPr>
              <w:jc w:val="both"/>
            </w:pPr>
            <w:r w:rsidRPr="00C56257">
              <w:t>B12</w:t>
            </w:r>
          </w:p>
        </w:tc>
        <w:tc>
          <w:tcPr>
            <w:tcW w:w="2579" w:type="dxa"/>
            <w:vAlign w:val="center"/>
          </w:tcPr>
          <w:p w14:paraId="2CCEE94D" w14:textId="77777777" w:rsidR="0007555D" w:rsidRPr="00C56257" w:rsidRDefault="0007555D" w:rsidP="00F100E1">
            <w:pPr>
              <w:jc w:val="both"/>
            </w:pPr>
            <w:r w:rsidRPr="00C56257">
              <w:t>Rărituri</w:t>
            </w:r>
          </w:p>
        </w:tc>
        <w:tc>
          <w:tcPr>
            <w:tcW w:w="1310" w:type="dxa"/>
            <w:vAlign w:val="center"/>
          </w:tcPr>
          <w:p w14:paraId="18D8F855" w14:textId="77777777" w:rsidR="0007555D" w:rsidRPr="00C56257" w:rsidRDefault="0007555D" w:rsidP="00F100E1">
            <w:pPr>
              <w:jc w:val="both"/>
            </w:pPr>
            <w:r w:rsidRPr="00C56257">
              <w:t>Medie</w:t>
            </w:r>
          </w:p>
        </w:tc>
        <w:tc>
          <w:tcPr>
            <w:tcW w:w="643" w:type="dxa"/>
            <w:vAlign w:val="center"/>
          </w:tcPr>
          <w:p w14:paraId="56BB81AF" w14:textId="77777777" w:rsidR="0007555D" w:rsidRPr="00C56257" w:rsidRDefault="0007555D" w:rsidP="00F100E1">
            <w:pPr>
              <w:jc w:val="both"/>
            </w:pPr>
            <w:r w:rsidRPr="00C56257">
              <w:t>B12</w:t>
            </w:r>
          </w:p>
        </w:tc>
        <w:tc>
          <w:tcPr>
            <w:tcW w:w="2531" w:type="dxa"/>
            <w:vAlign w:val="center"/>
          </w:tcPr>
          <w:p w14:paraId="726B083D" w14:textId="77777777" w:rsidR="0007555D" w:rsidRPr="00C56257" w:rsidRDefault="0007555D" w:rsidP="00F100E1">
            <w:pPr>
              <w:jc w:val="both"/>
            </w:pPr>
            <w:r w:rsidRPr="00C56257">
              <w:t>Rărituri</w:t>
            </w:r>
          </w:p>
        </w:tc>
        <w:tc>
          <w:tcPr>
            <w:tcW w:w="1310" w:type="dxa"/>
            <w:vAlign w:val="center"/>
          </w:tcPr>
          <w:p w14:paraId="0F27FB0F" w14:textId="77777777" w:rsidR="0007555D" w:rsidRPr="00C56257" w:rsidRDefault="0007555D" w:rsidP="00F100E1">
            <w:pPr>
              <w:jc w:val="both"/>
            </w:pPr>
            <w:r w:rsidRPr="00C56257">
              <w:t>Medie</w:t>
            </w:r>
          </w:p>
        </w:tc>
      </w:tr>
    </w:tbl>
    <w:p w14:paraId="56405E26"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Continentală</w:t>
      </w:r>
    </w:p>
    <w:tbl>
      <w:tblPr>
        <w:tblStyle w:val="TableGrid"/>
        <w:tblW w:w="0" w:type="auto"/>
        <w:tblLook w:val="04A0" w:firstRow="1" w:lastRow="0" w:firstColumn="1" w:lastColumn="0" w:noHBand="0" w:noVBand="1"/>
      </w:tblPr>
      <w:tblGrid>
        <w:gridCol w:w="643"/>
        <w:gridCol w:w="2579"/>
        <w:gridCol w:w="1310"/>
        <w:gridCol w:w="643"/>
        <w:gridCol w:w="2531"/>
        <w:gridCol w:w="1310"/>
      </w:tblGrid>
      <w:tr w:rsidR="0007555D" w:rsidRPr="00C56257" w14:paraId="7E7353B6" w14:textId="77777777" w:rsidTr="0007555D">
        <w:tc>
          <w:tcPr>
            <w:tcW w:w="4532" w:type="dxa"/>
            <w:gridSpan w:val="3"/>
          </w:tcPr>
          <w:p w14:paraId="7E68C293" w14:textId="77777777" w:rsidR="0007555D" w:rsidRPr="00C56257" w:rsidRDefault="0007555D" w:rsidP="00F100E1">
            <w:pPr>
              <w:jc w:val="both"/>
            </w:pPr>
            <w:r w:rsidRPr="00C56257">
              <w:t>Presiuni</w:t>
            </w:r>
          </w:p>
        </w:tc>
        <w:tc>
          <w:tcPr>
            <w:tcW w:w="4484" w:type="dxa"/>
            <w:gridSpan w:val="3"/>
          </w:tcPr>
          <w:p w14:paraId="13FD7B63" w14:textId="77777777" w:rsidR="0007555D" w:rsidRPr="00C56257" w:rsidRDefault="0007555D" w:rsidP="00F100E1">
            <w:pPr>
              <w:jc w:val="both"/>
            </w:pPr>
            <w:r w:rsidRPr="00C56257">
              <w:t>Amenințări</w:t>
            </w:r>
          </w:p>
        </w:tc>
      </w:tr>
      <w:tr w:rsidR="0007555D" w:rsidRPr="00C56257" w14:paraId="6465137F" w14:textId="77777777" w:rsidTr="0007555D">
        <w:tc>
          <w:tcPr>
            <w:tcW w:w="643" w:type="dxa"/>
          </w:tcPr>
          <w:p w14:paraId="295F69A6" w14:textId="77777777" w:rsidR="0007555D" w:rsidRPr="00C56257" w:rsidRDefault="0007555D" w:rsidP="008E33FD">
            <w:pPr>
              <w:jc w:val="both"/>
            </w:pPr>
            <w:r w:rsidRPr="00C56257">
              <w:t>Cod</w:t>
            </w:r>
          </w:p>
        </w:tc>
        <w:tc>
          <w:tcPr>
            <w:tcW w:w="2579" w:type="dxa"/>
          </w:tcPr>
          <w:p w14:paraId="4C64DAF3" w14:textId="77777777" w:rsidR="0007555D" w:rsidRPr="00C56257" w:rsidRDefault="0007555D" w:rsidP="008E33FD">
            <w:pPr>
              <w:jc w:val="both"/>
            </w:pPr>
            <w:r w:rsidRPr="00C56257">
              <w:t>Denumire</w:t>
            </w:r>
          </w:p>
        </w:tc>
        <w:tc>
          <w:tcPr>
            <w:tcW w:w="1310" w:type="dxa"/>
          </w:tcPr>
          <w:p w14:paraId="5430675B" w14:textId="77777777" w:rsidR="0007555D" w:rsidRPr="00C56257" w:rsidRDefault="0007555D" w:rsidP="008E33FD">
            <w:pPr>
              <w:jc w:val="both"/>
            </w:pPr>
            <w:r w:rsidRPr="00C56257">
              <w:t>Intensitate</w:t>
            </w:r>
          </w:p>
        </w:tc>
        <w:tc>
          <w:tcPr>
            <w:tcW w:w="643" w:type="dxa"/>
          </w:tcPr>
          <w:p w14:paraId="5FF9E80C" w14:textId="77777777" w:rsidR="0007555D" w:rsidRPr="00C56257" w:rsidRDefault="0007555D" w:rsidP="008E33FD">
            <w:pPr>
              <w:jc w:val="both"/>
            </w:pPr>
            <w:r w:rsidRPr="00C56257">
              <w:t>Cod</w:t>
            </w:r>
          </w:p>
        </w:tc>
        <w:tc>
          <w:tcPr>
            <w:tcW w:w="2531" w:type="dxa"/>
          </w:tcPr>
          <w:p w14:paraId="1147F3F9" w14:textId="77777777" w:rsidR="0007555D" w:rsidRPr="00C56257" w:rsidRDefault="0007555D" w:rsidP="008E33FD">
            <w:pPr>
              <w:jc w:val="both"/>
            </w:pPr>
            <w:r w:rsidRPr="00C56257">
              <w:t>Denumire</w:t>
            </w:r>
          </w:p>
        </w:tc>
        <w:tc>
          <w:tcPr>
            <w:tcW w:w="1310" w:type="dxa"/>
          </w:tcPr>
          <w:p w14:paraId="1067423F" w14:textId="77777777" w:rsidR="0007555D" w:rsidRPr="00C56257" w:rsidRDefault="0007555D" w:rsidP="008E33FD">
            <w:pPr>
              <w:jc w:val="both"/>
            </w:pPr>
            <w:r w:rsidRPr="00C56257">
              <w:t>Intensitate</w:t>
            </w:r>
          </w:p>
        </w:tc>
      </w:tr>
      <w:tr w:rsidR="0007555D" w:rsidRPr="00C56257" w14:paraId="5A396C2F" w14:textId="77777777" w:rsidTr="0007555D">
        <w:tc>
          <w:tcPr>
            <w:tcW w:w="643" w:type="dxa"/>
            <w:vAlign w:val="center"/>
          </w:tcPr>
          <w:p w14:paraId="14A9DA36" w14:textId="77777777" w:rsidR="0007555D" w:rsidRPr="00C56257" w:rsidRDefault="0007555D" w:rsidP="00F100E1">
            <w:pPr>
              <w:jc w:val="both"/>
            </w:pPr>
            <w:r w:rsidRPr="00C56257">
              <w:t>B09</w:t>
            </w:r>
          </w:p>
        </w:tc>
        <w:tc>
          <w:tcPr>
            <w:tcW w:w="2579" w:type="dxa"/>
            <w:vAlign w:val="center"/>
          </w:tcPr>
          <w:p w14:paraId="532512BF" w14:textId="77777777" w:rsidR="0007555D" w:rsidRPr="00C56257" w:rsidRDefault="0007555D" w:rsidP="00F100E1">
            <w:pPr>
              <w:jc w:val="both"/>
            </w:pPr>
            <w:r w:rsidRPr="00C56257">
              <w:t>Tăiere rasă, extragerea tuturor arborilor</w:t>
            </w:r>
          </w:p>
        </w:tc>
        <w:tc>
          <w:tcPr>
            <w:tcW w:w="1310" w:type="dxa"/>
            <w:vAlign w:val="center"/>
          </w:tcPr>
          <w:p w14:paraId="504D0E04" w14:textId="77777777" w:rsidR="0007555D" w:rsidRPr="00C56257" w:rsidRDefault="0007555D" w:rsidP="00F100E1">
            <w:pPr>
              <w:jc w:val="both"/>
            </w:pPr>
            <w:r w:rsidRPr="00C56257">
              <w:t>Medie</w:t>
            </w:r>
          </w:p>
        </w:tc>
        <w:tc>
          <w:tcPr>
            <w:tcW w:w="643" w:type="dxa"/>
            <w:vAlign w:val="center"/>
          </w:tcPr>
          <w:p w14:paraId="371F871F" w14:textId="77777777" w:rsidR="0007555D" w:rsidRPr="00C56257" w:rsidRDefault="0007555D" w:rsidP="00F100E1">
            <w:pPr>
              <w:jc w:val="both"/>
            </w:pPr>
            <w:r w:rsidRPr="00C56257">
              <w:t>B09</w:t>
            </w:r>
          </w:p>
        </w:tc>
        <w:tc>
          <w:tcPr>
            <w:tcW w:w="2531" w:type="dxa"/>
            <w:vAlign w:val="center"/>
          </w:tcPr>
          <w:p w14:paraId="4F8F77AB" w14:textId="77777777" w:rsidR="0007555D" w:rsidRPr="00C56257" w:rsidRDefault="0007555D" w:rsidP="00F100E1">
            <w:pPr>
              <w:jc w:val="both"/>
            </w:pPr>
            <w:r w:rsidRPr="00C56257">
              <w:t>Tăiere rasă, extragerea tuturor arborilor</w:t>
            </w:r>
          </w:p>
        </w:tc>
        <w:tc>
          <w:tcPr>
            <w:tcW w:w="1310" w:type="dxa"/>
            <w:vAlign w:val="center"/>
          </w:tcPr>
          <w:p w14:paraId="4DEEB8EE" w14:textId="77777777" w:rsidR="0007555D" w:rsidRPr="00C56257" w:rsidRDefault="0007555D" w:rsidP="00F100E1">
            <w:pPr>
              <w:jc w:val="both"/>
            </w:pPr>
            <w:r w:rsidRPr="00C56257">
              <w:t>Medie</w:t>
            </w:r>
          </w:p>
        </w:tc>
      </w:tr>
      <w:tr w:rsidR="0007555D" w:rsidRPr="00C56257" w14:paraId="189BB66C" w14:textId="77777777" w:rsidTr="0007555D">
        <w:tc>
          <w:tcPr>
            <w:tcW w:w="643" w:type="dxa"/>
            <w:vAlign w:val="center"/>
          </w:tcPr>
          <w:p w14:paraId="67F82C3A" w14:textId="77777777" w:rsidR="0007555D" w:rsidRPr="00C56257" w:rsidRDefault="0007555D" w:rsidP="00F100E1">
            <w:pPr>
              <w:jc w:val="both"/>
            </w:pPr>
            <w:r w:rsidRPr="00C56257">
              <w:t>B12</w:t>
            </w:r>
          </w:p>
        </w:tc>
        <w:tc>
          <w:tcPr>
            <w:tcW w:w="2579" w:type="dxa"/>
            <w:vAlign w:val="center"/>
          </w:tcPr>
          <w:p w14:paraId="36C58F27" w14:textId="77777777" w:rsidR="0007555D" w:rsidRPr="00C56257" w:rsidRDefault="0007555D" w:rsidP="00F100E1">
            <w:pPr>
              <w:jc w:val="both"/>
            </w:pPr>
            <w:r w:rsidRPr="00C56257">
              <w:t>Rărituri</w:t>
            </w:r>
          </w:p>
        </w:tc>
        <w:tc>
          <w:tcPr>
            <w:tcW w:w="1310" w:type="dxa"/>
            <w:vAlign w:val="center"/>
          </w:tcPr>
          <w:p w14:paraId="54119C17" w14:textId="77777777" w:rsidR="0007555D" w:rsidRPr="00C56257" w:rsidRDefault="0007555D" w:rsidP="00F100E1">
            <w:pPr>
              <w:jc w:val="both"/>
            </w:pPr>
            <w:r w:rsidRPr="00C56257">
              <w:t>Medie</w:t>
            </w:r>
          </w:p>
        </w:tc>
        <w:tc>
          <w:tcPr>
            <w:tcW w:w="643" w:type="dxa"/>
            <w:vAlign w:val="center"/>
          </w:tcPr>
          <w:p w14:paraId="429DFECA" w14:textId="77777777" w:rsidR="0007555D" w:rsidRPr="00C56257" w:rsidRDefault="0007555D" w:rsidP="00F100E1">
            <w:pPr>
              <w:jc w:val="both"/>
            </w:pPr>
            <w:r w:rsidRPr="00C56257">
              <w:t>B12</w:t>
            </w:r>
          </w:p>
        </w:tc>
        <w:tc>
          <w:tcPr>
            <w:tcW w:w="2531" w:type="dxa"/>
            <w:vAlign w:val="center"/>
          </w:tcPr>
          <w:p w14:paraId="42445C75" w14:textId="77777777" w:rsidR="0007555D" w:rsidRPr="00C56257" w:rsidRDefault="0007555D" w:rsidP="00F100E1">
            <w:pPr>
              <w:jc w:val="both"/>
            </w:pPr>
            <w:r w:rsidRPr="00C56257">
              <w:t>Rărituri</w:t>
            </w:r>
          </w:p>
        </w:tc>
        <w:tc>
          <w:tcPr>
            <w:tcW w:w="1310" w:type="dxa"/>
            <w:vAlign w:val="center"/>
          </w:tcPr>
          <w:p w14:paraId="539BBC82" w14:textId="77777777" w:rsidR="0007555D" w:rsidRPr="00C56257" w:rsidRDefault="0007555D" w:rsidP="00F100E1">
            <w:pPr>
              <w:jc w:val="both"/>
            </w:pPr>
            <w:r w:rsidRPr="00C56257">
              <w:t>Medie</w:t>
            </w:r>
          </w:p>
        </w:tc>
      </w:tr>
    </w:tbl>
    <w:p w14:paraId="28B215FE" w14:textId="77777777" w:rsidR="0007555D" w:rsidRPr="00C56257" w:rsidRDefault="0007555D" w:rsidP="008E33FD">
      <w:pPr>
        <w:tabs>
          <w:tab w:val="num" w:pos="360"/>
        </w:tabs>
        <w:ind w:left="360" w:hanging="360"/>
        <w:jc w:val="both"/>
        <w:rPr>
          <w:rFonts w:eastAsia="Calibri"/>
          <w:b/>
        </w:rPr>
      </w:pPr>
    </w:p>
    <w:p w14:paraId="5302730F"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91L0 - Păduri ilirice de stejar cu carpen (</w:t>
      </w:r>
      <w:r w:rsidRPr="00C56257">
        <w:rPr>
          <w:rFonts w:eastAsia="Calibri"/>
          <w:b/>
          <w:i/>
          <w:iCs/>
        </w:rPr>
        <w:t>Erythronio-Carpinion</w:t>
      </w:r>
      <w:r w:rsidRPr="00C56257">
        <w:rPr>
          <w:rFonts w:eastAsia="Calibri"/>
          <w:b/>
        </w:rPr>
        <w:t>)</w:t>
      </w:r>
    </w:p>
    <w:p w14:paraId="2004F2B9"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lastRenderedPageBreak/>
        <w:t>Regiunea biogeografică Alpină</w:t>
      </w:r>
    </w:p>
    <w:tbl>
      <w:tblPr>
        <w:tblStyle w:val="TableGrid"/>
        <w:tblW w:w="0" w:type="auto"/>
        <w:tblLook w:val="04A0" w:firstRow="1" w:lastRow="0" w:firstColumn="1" w:lastColumn="0" w:noHBand="0" w:noVBand="1"/>
      </w:tblPr>
      <w:tblGrid>
        <w:gridCol w:w="643"/>
        <w:gridCol w:w="2579"/>
        <w:gridCol w:w="1310"/>
        <w:gridCol w:w="643"/>
        <w:gridCol w:w="2531"/>
        <w:gridCol w:w="1310"/>
      </w:tblGrid>
      <w:tr w:rsidR="0007555D" w:rsidRPr="00C56257" w14:paraId="45D27F00" w14:textId="77777777" w:rsidTr="0007555D">
        <w:tc>
          <w:tcPr>
            <w:tcW w:w="4532" w:type="dxa"/>
            <w:gridSpan w:val="3"/>
          </w:tcPr>
          <w:p w14:paraId="78E068BD" w14:textId="77777777" w:rsidR="0007555D" w:rsidRPr="00C56257" w:rsidRDefault="0007555D" w:rsidP="00F100E1">
            <w:pPr>
              <w:jc w:val="both"/>
            </w:pPr>
            <w:r w:rsidRPr="00C56257">
              <w:t>Presiuni</w:t>
            </w:r>
          </w:p>
        </w:tc>
        <w:tc>
          <w:tcPr>
            <w:tcW w:w="4484" w:type="dxa"/>
            <w:gridSpan w:val="3"/>
          </w:tcPr>
          <w:p w14:paraId="541F0A14" w14:textId="77777777" w:rsidR="0007555D" w:rsidRPr="00C56257" w:rsidRDefault="0007555D" w:rsidP="00F100E1">
            <w:pPr>
              <w:jc w:val="both"/>
            </w:pPr>
            <w:r w:rsidRPr="00C56257">
              <w:t>Amenințări</w:t>
            </w:r>
          </w:p>
        </w:tc>
      </w:tr>
      <w:tr w:rsidR="0007555D" w:rsidRPr="00C56257" w14:paraId="27E0BBA0" w14:textId="77777777" w:rsidTr="0007555D">
        <w:tc>
          <w:tcPr>
            <w:tcW w:w="643" w:type="dxa"/>
          </w:tcPr>
          <w:p w14:paraId="375F05C2" w14:textId="77777777" w:rsidR="0007555D" w:rsidRPr="00C56257" w:rsidRDefault="0007555D" w:rsidP="008E33FD">
            <w:pPr>
              <w:jc w:val="both"/>
            </w:pPr>
            <w:r w:rsidRPr="00C56257">
              <w:t>Cod</w:t>
            </w:r>
          </w:p>
        </w:tc>
        <w:tc>
          <w:tcPr>
            <w:tcW w:w="2579" w:type="dxa"/>
          </w:tcPr>
          <w:p w14:paraId="536CA663" w14:textId="77777777" w:rsidR="0007555D" w:rsidRPr="00C56257" w:rsidRDefault="0007555D" w:rsidP="008E33FD">
            <w:pPr>
              <w:jc w:val="both"/>
            </w:pPr>
            <w:r w:rsidRPr="00C56257">
              <w:t>Denumire</w:t>
            </w:r>
          </w:p>
        </w:tc>
        <w:tc>
          <w:tcPr>
            <w:tcW w:w="1310" w:type="dxa"/>
          </w:tcPr>
          <w:p w14:paraId="0A3805AD" w14:textId="77777777" w:rsidR="0007555D" w:rsidRPr="00C56257" w:rsidRDefault="0007555D" w:rsidP="008E33FD">
            <w:pPr>
              <w:jc w:val="both"/>
            </w:pPr>
            <w:r w:rsidRPr="00C56257">
              <w:t>Intensitate</w:t>
            </w:r>
          </w:p>
        </w:tc>
        <w:tc>
          <w:tcPr>
            <w:tcW w:w="643" w:type="dxa"/>
          </w:tcPr>
          <w:p w14:paraId="223E6BEE" w14:textId="77777777" w:rsidR="0007555D" w:rsidRPr="00C56257" w:rsidRDefault="0007555D" w:rsidP="008E33FD">
            <w:pPr>
              <w:jc w:val="both"/>
            </w:pPr>
            <w:r w:rsidRPr="00C56257">
              <w:t>Cod</w:t>
            </w:r>
          </w:p>
        </w:tc>
        <w:tc>
          <w:tcPr>
            <w:tcW w:w="2531" w:type="dxa"/>
          </w:tcPr>
          <w:p w14:paraId="4FBF5823" w14:textId="77777777" w:rsidR="0007555D" w:rsidRPr="00C56257" w:rsidRDefault="0007555D" w:rsidP="008E33FD">
            <w:pPr>
              <w:jc w:val="both"/>
            </w:pPr>
            <w:r w:rsidRPr="00C56257">
              <w:t>Denumire</w:t>
            </w:r>
          </w:p>
        </w:tc>
        <w:tc>
          <w:tcPr>
            <w:tcW w:w="1310" w:type="dxa"/>
          </w:tcPr>
          <w:p w14:paraId="7AA505E9" w14:textId="77777777" w:rsidR="0007555D" w:rsidRPr="00C56257" w:rsidRDefault="0007555D" w:rsidP="008E33FD">
            <w:pPr>
              <w:jc w:val="both"/>
            </w:pPr>
            <w:r w:rsidRPr="00C56257">
              <w:t>Intensitate</w:t>
            </w:r>
          </w:p>
        </w:tc>
      </w:tr>
      <w:tr w:rsidR="0007555D" w:rsidRPr="00C56257" w14:paraId="52EA352D" w14:textId="77777777" w:rsidTr="0007555D">
        <w:tc>
          <w:tcPr>
            <w:tcW w:w="643" w:type="dxa"/>
          </w:tcPr>
          <w:p w14:paraId="738AA5E4" w14:textId="77777777" w:rsidR="0007555D" w:rsidRPr="00C56257" w:rsidRDefault="0007555D" w:rsidP="00F100E1">
            <w:pPr>
              <w:jc w:val="both"/>
            </w:pPr>
            <w:r w:rsidRPr="00C56257">
              <w:t>B12</w:t>
            </w:r>
          </w:p>
        </w:tc>
        <w:tc>
          <w:tcPr>
            <w:tcW w:w="2579" w:type="dxa"/>
          </w:tcPr>
          <w:p w14:paraId="290B0195" w14:textId="77777777" w:rsidR="0007555D" w:rsidRPr="00C56257" w:rsidRDefault="0007555D" w:rsidP="00F100E1">
            <w:pPr>
              <w:jc w:val="both"/>
            </w:pPr>
            <w:r w:rsidRPr="00C56257">
              <w:t>Rărituri</w:t>
            </w:r>
          </w:p>
        </w:tc>
        <w:tc>
          <w:tcPr>
            <w:tcW w:w="1310" w:type="dxa"/>
          </w:tcPr>
          <w:p w14:paraId="26487E62" w14:textId="77777777" w:rsidR="0007555D" w:rsidRPr="00C56257" w:rsidRDefault="0007555D" w:rsidP="00F100E1">
            <w:pPr>
              <w:jc w:val="both"/>
            </w:pPr>
            <w:r w:rsidRPr="00C56257">
              <w:t>Medie</w:t>
            </w:r>
          </w:p>
        </w:tc>
        <w:tc>
          <w:tcPr>
            <w:tcW w:w="643" w:type="dxa"/>
          </w:tcPr>
          <w:p w14:paraId="4625337E" w14:textId="77777777" w:rsidR="0007555D" w:rsidRPr="00C56257" w:rsidRDefault="0007555D" w:rsidP="00F100E1">
            <w:pPr>
              <w:jc w:val="both"/>
            </w:pPr>
            <w:r w:rsidRPr="00C56257">
              <w:t>B12</w:t>
            </w:r>
          </w:p>
        </w:tc>
        <w:tc>
          <w:tcPr>
            <w:tcW w:w="2531" w:type="dxa"/>
          </w:tcPr>
          <w:p w14:paraId="1C3543F7" w14:textId="77777777" w:rsidR="0007555D" w:rsidRPr="00C56257" w:rsidRDefault="0007555D" w:rsidP="00F100E1">
            <w:pPr>
              <w:jc w:val="both"/>
            </w:pPr>
            <w:r w:rsidRPr="00C56257">
              <w:t>Rărituri</w:t>
            </w:r>
          </w:p>
        </w:tc>
        <w:tc>
          <w:tcPr>
            <w:tcW w:w="1310" w:type="dxa"/>
          </w:tcPr>
          <w:p w14:paraId="427D1061" w14:textId="77777777" w:rsidR="0007555D" w:rsidRPr="00C56257" w:rsidRDefault="0007555D" w:rsidP="00F100E1">
            <w:pPr>
              <w:jc w:val="both"/>
            </w:pPr>
            <w:r w:rsidRPr="00C56257">
              <w:t>Medie</w:t>
            </w:r>
          </w:p>
        </w:tc>
      </w:tr>
    </w:tbl>
    <w:p w14:paraId="7E06D450"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Continentală</w:t>
      </w:r>
    </w:p>
    <w:tbl>
      <w:tblPr>
        <w:tblStyle w:val="TableGrid"/>
        <w:tblW w:w="0" w:type="auto"/>
        <w:tblLook w:val="04A0" w:firstRow="1" w:lastRow="0" w:firstColumn="1" w:lastColumn="0" w:noHBand="0" w:noVBand="1"/>
      </w:tblPr>
      <w:tblGrid>
        <w:gridCol w:w="643"/>
        <w:gridCol w:w="2579"/>
        <w:gridCol w:w="1310"/>
        <w:gridCol w:w="643"/>
        <w:gridCol w:w="2531"/>
        <w:gridCol w:w="1310"/>
      </w:tblGrid>
      <w:tr w:rsidR="0007555D" w:rsidRPr="00C56257" w14:paraId="122F7C3B" w14:textId="77777777" w:rsidTr="0007555D">
        <w:tc>
          <w:tcPr>
            <w:tcW w:w="4532" w:type="dxa"/>
            <w:gridSpan w:val="3"/>
          </w:tcPr>
          <w:p w14:paraId="670C0083" w14:textId="77777777" w:rsidR="0007555D" w:rsidRPr="00C56257" w:rsidRDefault="0007555D" w:rsidP="00F100E1">
            <w:pPr>
              <w:jc w:val="both"/>
            </w:pPr>
            <w:r w:rsidRPr="00C56257">
              <w:t>Presiuni</w:t>
            </w:r>
          </w:p>
        </w:tc>
        <w:tc>
          <w:tcPr>
            <w:tcW w:w="4484" w:type="dxa"/>
            <w:gridSpan w:val="3"/>
          </w:tcPr>
          <w:p w14:paraId="527CA0BE" w14:textId="77777777" w:rsidR="0007555D" w:rsidRPr="00C56257" w:rsidRDefault="0007555D" w:rsidP="00F100E1">
            <w:pPr>
              <w:jc w:val="both"/>
            </w:pPr>
            <w:r w:rsidRPr="00C56257">
              <w:t>Amenințări</w:t>
            </w:r>
          </w:p>
        </w:tc>
      </w:tr>
      <w:tr w:rsidR="0007555D" w:rsidRPr="00C56257" w14:paraId="5E838531" w14:textId="77777777" w:rsidTr="0007555D">
        <w:tc>
          <w:tcPr>
            <w:tcW w:w="643" w:type="dxa"/>
          </w:tcPr>
          <w:p w14:paraId="42BDA9CB" w14:textId="77777777" w:rsidR="0007555D" w:rsidRPr="00C56257" w:rsidRDefault="0007555D" w:rsidP="008E33FD">
            <w:pPr>
              <w:jc w:val="both"/>
            </w:pPr>
            <w:r w:rsidRPr="00C56257">
              <w:t>Cod</w:t>
            </w:r>
          </w:p>
        </w:tc>
        <w:tc>
          <w:tcPr>
            <w:tcW w:w="2579" w:type="dxa"/>
          </w:tcPr>
          <w:p w14:paraId="012799BB" w14:textId="77777777" w:rsidR="0007555D" w:rsidRPr="00C56257" w:rsidRDefault="0007555D" w:rsidP="008E33FD">
            <w:pPr>
              <w:jc w:val="both"/>
            </w:pPr>
            <w:r w:rsidRPr="00C56257">
              <w:t>Denumire</w:t>
            </w:r>
          </w:p>
        </w:tc>
        <w:tc>
          <w:tcPr>
            <w:tcW w:w="1310" w:type="dxa"/>
          </w:tcPr>
          <w:p w14:paraId="67414B43" w14:textId="77777777" w:rsidR="0007555D" w:rsidRPr="00C56257" w:rsidRDefault="0007555D" w:rsidP="008E33FD">
            <w:pPr>
              <w:jc w:val="both"/>
            </w:pPr>
            <w:r w:rsidRPr="00C56257">
              <w:t>Intensitate</w:t>
            </w:r>
          </w:p>
        </w:tc>
        <w:tc>
          <w:tcPr>
            <w:tcW w:w="643" w:type="dxa"/>
          </w:tcPr>
          <w:p w14:paraId="4EF12940" w14:textId="77777777" w:rsidR="0007555D" w:rsidRPr="00C56257" w:rsidRDefault="0007555D" w:rsidP="008E33FD">
            <w:pPr>
              <w:jc w:val="both"/>
            </w:pPr>
            <w:r w:rsidRPr="00C56257">
              <w:t>Cod</w:t>
            </w:r>
          </w:p>
        </w:tc>
        <w:tc>
          <w:tcPr>
            <w:tcW w:w="2531" w:type="dxa"/>
          </w:tcPr>
          <w:p w14:paraId="14C84E60" w14:textId="77777777" w:rsidR="0007555D" w:rsidRPr="00C56257" w:rsidRDefault="0007555D" w:rsidP="008E33FD">
            <w:pPr>
              <w:jc w:val="both"/>
            </w:pPr>
            <w:r w:rsidRPr="00C56257">
              <w:t>Denumire</w:t>
            </w:r>
          </w:p>
        </w:tc>
        <w:tc>
          <w:tcPr>
            <w:tcW w:w="1310" w:type="dxa"/>
          </w:tcPr>
          <w:p w14:paraId="63736F59" w14:textId="77777777" w:rsidR="0007555D" w:rsidRPr="00C56257" w:rsidRDefault="0007555D" w:rsidP="008E33FD">
            <w:pPr>
              <w:jc w:val="both"/>
            </w:pPr>
            <w:r w:rsidRPr="00C56257">
              <w:t>Intensitate</w:t>
            </w:r>
          </w:p>
        </w:tc>
      </w:tr>
      <w:tr w:rsidR="0007555D" w:rsidRPr="00C56257" w14:paraId="2E6E9209" w14:textId="77777777" w:rsidTr="0007555D">
        <w:tc>
          <w:tcPr>
            <w:tcW w:w="643" w:type="dxa"/>
          </w:tcPr>
          <w:p w14:paraId="76999D29" w14:textId="77777777" w:rsidR="0007555D" w:rsidRPr="00C56257" w:rsidRDefault="0007555D" w:rsidP="00F100E1">
            <w:pPr>
              <w:jc w:val="both"/>
            </w:pPr>
            <w:r w:rsidRPr="00C56257">
              <w:t>B12</w:t>
            </w:r>
          </w:p>
        </w:tc>
        <w:tc>
          <w:tcPr>
            <w:tcW w:w="2579" w:type="dxa"/>
          </w:tcPr>
          <w:p w14:paraId="7E2F3177" w14:textId="77777777" w:rsidR="0007555D" w:rsidRPr="00C56257" w:rsidRDefault="0007555D" w:rsidP="00F100E1">
            <w:pPr>
              <w:jc w:val="both"/>
            </w:pPr>
            <w:r w:rsidRPr="00C56257">
              <w:t>Rărituri</w:t>
            </w:r>
          </w:p>
        </w:tc>
        <w:tc>
          <w:tcPr>
            <w:tcW w:w="1310" w:type="dxa"/>
          </w:tcPr>
          <w:p w14:paraId="7389A0EE" w14:textId="77777777" w:rsidR="0007555D" w:rsidRPr="00C56257" w:rsidRDefault="0007555D" w:rsidP="00F100E1">
            <w:pPr>
              <w:jc w:val="both"/>
            </w:pPr>
            <w:r w:rsidRPr="00C56257">
              <w:t>Medie</w:t>
            </w:r>
          </w:p>
        </w:tc>
        <w:tc>
          <w:tcPr>
            <w:tcW w:w="643" w:type="dxa"/>
          </w:tcPr>
          <w:p w14:paraId="01EFD0A9" w14:textId="77777777" w:rsidR="0007555D" w:rsidRPr="00C56257" w:rsidRDefault="0007555D" w:rsidP="00F100E1">
            <w:pPr>
              <w:jc w:val="both"/>
            </w:pPr>
            <w:r w:rsidRPr="00C56257">
              <w:t>B12</w:t>
            </w:r>
          </w:p>
        </w:tc>
        <w:tc>
          <w:tcPr>
            <w:tcW w:w="2531" w:type="dxa"/>
          </w:tcPr>
          <w:p w14:paraId="6824A328" w14:textId="77777777" w:rsidR="0007555D" w:rsidRPr="00C56257" w:rsidRDefault="0007555D" w:rsidP="00F100E1">
            <w:pPr>
              <w:jc w:val="both"/>
            </w:pPr>
            <w:r w:rsidRPr="00C56257">
              <w:t>Rărituri</w:t>
            </w:r>
          </w:p>
        </w:tc>
        <w:tc>
          <w:tcPr>
            <w:tcW w:w="1310" w:type="dxa"/>
          </w:tcPr>
          <w:p w14:paraId="6094257A" w14:textId="77777777" w:rsidR="0007555D" w:rsidRPr="00C56257" w:rsidRDefault="0007555D" w:rsidP="00F100E1">
            <w:pPr>
              <w:jc w:val="both"/>
            </w:pPr>
            <w:r w:rsidRPr="00C56257">
              <w:t>Medie</w:t>
            </w:r>
          </w:p>
        </w:tc>
      </w:tr>
    </w:tbl>
    <w:p w14:paraId="62E53F81" w14:textId="77777777" w:rsidR="0007555D" w:rsidRPr="00C56257" w:rsidRDefault="0007555D" w:rsidP="008E33FD">
      <w:pPr>
        <w:tabs>
          <w:tab w:val="num" w:pos="360"/>
        </w:tabs>
        <w:ind w:left="360" w:hanging="360"/>
        <w:jc w:val="both"/>
        <w:rPr>
          <w:rFonts w:eastAsia="Calibri"/>
          <w:b/>
        </w:rPr>
      </w:pPr>
    </w:p>
    <w:p w14:paraId="0FC228B5"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91M0 - Păduri balcano-panonice de cer și gorun</w:t>
      </w:r>
    </w:p>
    <w:p w14:paraId="26A0705C"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Continentală</w:t>
      </w:r>
    </w:p>
    <w:tbl>
      <w:tblPr>
        <w:tblStyle w:val="TableGrid"/>
        <w:tblW w:w="0" w:type="auto"/>
        <w:tblLook w:val="04A0" w:firstRow="1" w:lastRow="0" w:firstColumn="1" w:lastColumn="0" w:noHBand="0" w:noVBand="1"/>
      </w:tblPr>
      <w:tblGrid>
        <w:gridCol w:w="643"/>
        <w:gridCol w:w="2630"/>
        <w:gridCol w:w="1310"/>
        <w:gridCol w:w="643"/>
        <w:gridCol w:w="2480"/>
        <w:gridCol w:w="1310"/>
      </w:tblGrid>
      <w:tr w:rsidR="0007555D" w:rsidRPr="00C56257" w14:paraId="76467501" w14:textId="77777777" w:rsidTr="0007555D">
        <w:tc>
          <w:tcPr>
            <w:tcW w:w="4583" w:type="dxa"/>
            <w:gridSpan w:val="3"/>
          </w:tcPr>
          <w:p w14:paraId="740353A2" w14:textId="77777777" w:rsidR="0007555D" w:rsidRPr="00C56257" w:rsidRDefault="0007555D" w:rsidP="00F100E1">
            <w:pPr>
              <w:jc w:val="both"/>
            </w:pPr>
            <w:r w:rsidRPr="00C56257">
              <w:t>Presiuni</w:t>
            </w:r>
          </w:p>
        </w:tc>
        <w:tc>
          <w:tcPr>
            <w:tcW w:w="4433" w:type="dxa"/>
            <w:gridSpan w:val="3"/>
          </w:tcPr>
          <w:p w14:paraId="3EAC625E" w14:textId="77777777" w:rsidR="0007555D" w:rsidRPr="00C56257" w:rsidRDefault="0007555D" w:rsidP="00F100E1">
            <w:pPr>
              <w:jc w:val="both"/>
            </w:pPr>
            <w:r w:rsidRPr="00C56257">
              <w:t>Amenințări</w:t>
            </w:r>
          </w:p>
        </w:tc>
      </w:tr>
      <w:tr w:rsidR="0007555D" w:rsidRPr="00C56257" w14:paraId="4D75F581" w14:textId="77777777" w:rsidTr="0007555D">
        <w:tc>
          <w:tcPr>
            <w:tcW w:w="643" w:type="dxa"/>
          </w:tcPr>
          <w:p w14:paraId="0803A4CC" w14:textId="77777777" w:rsidR="0007555D" w:rsidRPr="00C56257" w:rsidRDefault="0007555D" w:rsidP="008E33FD">
            <w:pPr>
              <w:jc w:val="both"/>
            </w:pPr>
            <w:r w:rsidRPr="00C56257">
              <w:t>Cod</w:t>
            </w:r>
          </w:p>
        </w:tc>
        <w:tc>
          <w:tcPr>
            <w:tcW w:w="2630" w:type="dxa"/>
          </w:tcPr>
          <w:p w14:paraId="0ED5DC49" w14:textId="77777777" w:rsidR="0007555D" w:rsidRPr="00C56257" w:rsidRDefault="0007555D" w:rsidP="008E33FD">
            <w:pPr>
              <w:jc w:val="both"/>
            </w:pPr>
            <w:r w:rsidRPr="00C56257">
              <w:t>Denumire</w:t>
            </w:r>
          </w:p>
        </w:tc>
        <w:tc>
          <w:tcPr>
            <w:tcW w:w="1310" w:type="dxa"/>
          </w:tcPr>
          <w:p w14:paraId="3D709C82" w14:textId="77777777" w:rsidR="0007555D" w:rsidRPr="00C56257" w:rsidRDefault="0007555D" w:rsidP="008E33FD">
            <w:pPr>
              <w:jc w:val="both"/>
            </w:pPr>
            <w:r w:rsidRPr="00C56257">
              <w:t>Intensitate</w:t>
            </w:r>
          </w:p>
        </w:tc>
        <w:tc>
          <w:tcPr>
            <w:tcW w:w="643" w:type="dxa"/>
          </w:tcPr>
          <w:p w14:paraId="243105B7" w14:textId="77777777" w:rsidR="0007555D" w:rsidRPr="00C56257" w:rsidRDefault="0007555D" w:rsidP="008E33FD">
            <w:pPr>
              <w:jc w:val="both"/>
            </w:pPr>
            <w:r w:rsidRPr="00C56257">
              <w:t>Cod</w:t>
            </w:r>
          </w:p>
        </w:tc>
        <w:tc>
          <w:tcPr>
            <w:tcW w:w="2480" w:type="dxa"/>
          </w:tcPr>
          <w:p w14:paraId="07B4F2D5" w14:textId="77777777" w:rsidR="0007555D" w:rsidRPr="00C56257" w:rsidRDefault="0007555D" w:rsidP="008E33FD">
            <w:pPr>
              <w:jc w:val="both"/>
            </w:pPr>
            <w:r w:rsidRPr="00C56257">
              <w:t>Denumire</w:t>
            </w:r>
          </w:p>
        </w:tc>
        <w:tc>
          <w:tcPr>
            <w:tcW w:w="1310" w:type="dxa"/>
          </w:tcPr>
          <w:p w14:paraId="43D49571" w14:textId="77777777" w:rsidR="0007555D" w:rsidRPr="00C56257" w:rsidRDefault="0007555D" w:rsidP="008E33FD">
            <w:pPr>
              <w:jc w:val="both"/>
            </w:pPr>
            <w:r w:rsidRPr="00C56257">
              <w:t>Intensitate</w:t>
            </w:r>
          </w:p>
        </w:tc>
      </w:tr>
      <w:tr w:rsidR="0007555D" w:rsidRPr="00C56257" w14:paraId="71DA2648" w14:textId="77777777" w:rsidTr="0007555D">
        <w:tc>
          <w:tcPr>
            <w:tcW w:w="643" w:type="dxa"/>
            <w:vAlign w:val="center"/>
          </w:tcPr>
          <w:p w14:paraId="41582D74" w14:textId="77777777" w:rsidR="0007555D" w:rsidRPr="00C56257" w:rsidRDefault="0007555D" w:rsidP="00F100E1">
            <w:pPr>
              <w:jc w:val="both"/>
            </w:pPr>
            <w:r w:rsidRPr="00C56257">
              <w:t>B07</w:t>
            </w:r>
          </w:p>
        </w:tc>
        <w:tc>
          <w:tcPr>
            <w:tcW w:w="2630" w:type="dxa"/>
            <w:vAlign w:val="center"/>
          </w:tcPr>
          <w:p w14:paraId="6ED4A1F1" w14:textId="77777777" w:rsidR="0007555D" w:rsidRPr="00C56257" w:rsidRDefault="0007555D" w:rsidP="00F100E1">
            <w:pPr>
              <w:jc w:val="both"/>
            </w:pPr>
            <w:r w:rsidRPr="00C56257">
              <w:t>Extragerea arborilor morți sau aproape morți</w:t>
            </w:r>
          </w:p>
        </w:tc>
        <w:tc>
          <w:tcPr>
            <w:tcW w:w="1310" w:type="dxa"/>
            <w:vAlign w:val="center"/>
          </w:tcPr>
          <w:p w14:paraId="6E557C7B" w14:textId="77777777" w:rsidR="0007555D" w:rsidRPr="00C56257" w:rsidRDefault="0007555D" w:rsidP="00F100E1">
            <w:pPr>
              <w:jc w:val="both"/>
            </w:pPr>
            <w:r w:rsidRPr="00C56257">
              <w:t>Medie</w:t>
            </w:r>
          </w:p>
        </w:tc>
        <w:tc>
          <w:tcPr>
            <w:tcW w:w="643" w:type="dxa"/>
            <w:vAlign w:val="center"/>
          </w:tcPr>
          <w:p w14:paraId="6095641B" w14:textId="77777777" w:rsidR="0007555D" w:rsidRPr="00C56257" w:rsidRDefault="0007555D" w:rsidP="00F100E1">
            <w:pPr>
              <w:jc w:val="both"/>
            </w:pPr>
            <w:r w:rsidRPr="00C56257">
              <w:t>B07</w:t>
            </w:r>
          </w:p>
        </w:tc>
        <w:tc>
          <w:tcPr>
            <w:tcW w:w="2480" w:type="dxa"/>
            <w:vAlign w:val="center"/>
          </w:tcPr>
          <w:p w14:paraId="5E2E4F86" w14:textId="77777777" w:rsidR="0007555D" w:rsidRPr="00C56257" w:rsidRDefault="0007555D" w:rsidP="00F100E1">
            <w:pPr>
              <w:jc w:val="both"/>
            </w:pPr>
            <w:r w:rsidRPr="00C56257">
              <w:t>Extragerea arborilor morți sau aproape morți</w:t>
            </w:r>
          </w:p>
        </w:tc>
        <w:tc>
          <w:tcPr>
            <w:tcW w:w="1310" w:type="dxa"/>
            <w:vAlign w:val="center"/>
          </w:tcPr>
          <w:p w14:paraId="31ADC137" w14:textId="77777777" w:rsidR="0007555D" w:rsidRPr="00C56257" w:rsidRDefault="0007555D" w:rsidP="00F100E1">
            <w:pPr>
              <w:jc w:val="both"/>
            </w:pPr>
            <w:r w:rsidRPr="00C56257">
              <w:t>Medie</w:t>
            </w:r>
          </w:p>
        </w:tc>
      </w:tr>
      <w:tr w:rsidR="0007555D" w:rsidRPr="00C56257" w14:paraId="3042458D" w14:textId="77777777" w:rsidTr="0007555D">
        <w:tc>
          <w:tcPr>
            <w:tcW w:w="643" w:type="dxa"/>
            <w:vAlign w:val="center"/>
          </w:tcPr>
          <w:p w14:paraId="58FB870D" w14:textId="77777777" w:rsidR="0007555D" w:rsidRPr="00C56257" w:rsidRDefault="0007555D" w:rsidP="00F100E1">
            <w:pPr>
              <w:jc w:val="both"/>
            </w:pPr>
            <w:r w:rsidRPr="00C56257">
              <w:t>B12</w:t>
            </w:r>
          </w:p>
        </w:tc>
        <w:tc>
          <w:tcPr>
            <w:tcW w:w="2630" w:type="dxa"/>
            <w:vAlign w:val="center"/>
          </w:tcPr>
          <w:p w14:paraId="4478D0F8" w14:textId="77777777" w:rsidR="0007555D" w:rsidRPr="00C56257" w:rsidRDefault="0007555D" w:rsidP="00F100E1">
            <w:pPr>
              <w:jc w:val="both"/>
            </w:pPr>
            <w:r w:rsidRPr="00C56257">
              <w:t>Rărituri</w:t>
            </w:r>
          </w:p>
        </w:tc>
        <w:tc>
          <w:tcPr>
            <w:tcW w:w="1310" w:type="dxa"/>
            <w:vAlign w:val="center"/>
          </w:tcPr>
          <w:p w14:paraId="69F58C5D" w14:textId="77777777" w:rsidR="0007555D" w:rsidRPr="00C56257" w:rsidRDefault="0007555D" w:rsidP="00F100E1">
            <w:pPr>
              <w:jc w:val="both"/>
            </w:pPr>
            <w:r w:rsidRPr="00C56257">
              <w:t>Medie</w:t>
            </w:r>
          </w:p>
        </w:tc>
        <w:tc>
          <w:tcPr>
            <w:tcW w:w="643" w:type="dxa"/>
            <w:vAlign w:val="center"/>
          </w:tcPr>
          <w:p w14:paraId="0C16B690" w14:textId="77777777" w:rsidR="0007555D" w:rsidRPr="00C56257" w:rsidRDefault="0007555D" w:rsidP="00F100E1">
            <w:pPr>
              <w:jc w:val="both"/>
            </w:pPr>
            <w:r w:rsidRPr="00C56257">
              <w:t>B12</w:t>
            </w:r>
          </w:p>
        </w:tc>
        <w:tc>
          <w:tcPr>
            <w:tcW w:w="2480" w:type="dxa"/>
            <w:vAlign w:val="center"/>
          </w:tcPr>
          <w:p w14:paraId="5E665F91" w14:textId="77777777" w:rsidR="0007555D" w:rsidRPr="00C56257" w:rsidRDefault="0007555D" w:rsidP="00F100E1">
            <w:pPr>
              <w:jc w:val="both"/>
            </w:pPr>
            <w:r w:rsidRPr="00C56257">
              <w:t>Rărituri</w:t>
            </w:r>
          </w:p>
        </w:tc>
        <w:tc>
          <w:tcPr>
            <w:tcW w:w="1310" w:type="dxa"/>
            <w:vAlign w:val="center"/>
          </w:tcPr>
          <w:p w14:paraId="186D32CB" w14:textId="77777777" w:rsidR="0007555D" w:rsidRPr="00C56257" w:rsidRDefault="0007555D" w:rsidP="00F100E1">
            <w:pPr>
              <w:jc w:val="both"/>
            </w:pPr>
            <w:r w:rsidRPr="00C56257">
              <w:t>Medie</w:t>
            </w:r>
          </w:p>
        </w:tc>
      </w:tr>
    </w:tbl>
    <w:p w14:paraId="797307B6"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Stepică</w:t>
      </w:r>
    </w:p>
    <w:tbl>
      <w:tblPr>
        <w:tblStyle w:val="TableGrid"/>
        <w:tblW w:w="0" w:type="auto"/>
        <w:tblLook w:val="04A0" w:firstRow="1" w:lastRow="0" w:firstColumn="1" w:lastColumn="0" w:noHBand="0" w:noVBand="1"/>
      </w:tblPr>
      <w:tblGrid>
        <w:gridCol w:w="643"/>
        <w:gridCol w:w="2630"/>
        <w:gridCol w:w="1310"/>
        <w:gridCol w:w="643"/>
        <w:gridCol w:w="2480"/>
        <w:gridCol w:w="1310"/>
      </w:tblGrid>
      <w:tr w:rsidR="0007555D" w:rsidRPr="00C56257" w14:paraId="08BECC28" w14:textId="77777777" w:rsidTr="0007555D">
        <w:tc>
          <w:tcPr>
            <w:tcW w:w="4583" w:type="dxa"/>
            <w:gridSpan w:val="3"/>
          </w:tcPr>
          <w:p w14:paraId="4CFBDAFC" w14:textId="77777777" w:rsidR="0007555D" w:rsidRPr="00C56257" w:rsidRDefault="0007555D" w:rsidP="00F100E1">
            <w:pPr>
              <w:jc w:val="both"/>
            </w:pPr>
            <w:r w:rsidRPr="00C56257">
              <w:t>Presiuni</w:t>
            </w:r>
          </w:p>
        </w:tc>
        <w:tc>
          <w:tcPr>
            <w:tcW w:w="4433" w:type="dxa"/>
            <w:gridSpan w:val="3"/>
          </w:tcPr>
          <w:p w14:paraId="750CD7C6" w14:textId="77777777" w:rsidR="0007555D" w:rsidRPr="00C56257" w:rsidRDefault="0007555D" w:rsidP="00F100E1">
            <w:pPr>
              <w:jc w:val="both"/>
            </w:pPr>
            <w:r w:rsidRPr="00C56257">
              <w:t>Amenințări</w:t>
            </w:r>
          </w:p>
        </w:tc>
      </w:tr>
      <w:tr w:rsidR="0007555D" w:rsidRPr="00C56257" w14:paraId="11618B6E" w14:textId="77777777" w:rsidTr="0007555D">
        <w:tc>
          <w:tcPr>
            <w:tcW w:w="643" w:type="dxa"/>
          </w:tcPr>
          <w:p w14:paraId="1AAACC83" w14:textId="77777777" w:rsidR="0007555D" w:rsidRPr="00C56257" w:rsidRDefault="0007555D" w:rsidP="008E33FD">
            <w:pPr>
              <w:jc w:val="both"/>
            </w:pPr>
            <w:r w:rsidRPr="00C56257">
              <w:t>Cod</w:t>
            </w:r>
          </w:p>
        </w:tc>
        <w:tc>
          <w:tcPr>
            <w:tcW w:w="2630" w:type="dxa"/>
          </w:tcPr>
          <w:p w14:paraId="257476FD" w14:textId="77777777" w:rsidR="0007555D" w:rsidRPr="00C56257" w:rsidRDefault="0007555D" w:rsidP="008E33FD">
            <w:pPr>
              <w:jc w:val="both"/>
            </w:pPr>
            <w:r w:rsidRPr="00C56257">
              <w:t>Denumire</w:t>
            </w:r>
          </w:p>
        </w:tc>
        <w:tc>
          <w:tcPr>
            <w:tcW w:w="1310" w:type="dxa"/>
          </w:tcPr>
          <w:p w14:paraId="000580A3" w14:textId="77777777" w:rsidR="0007555D" w:rsidRPr="00C56257" w:rsidRDefault="0007555D" w:rsidP="008E33FD">
            <w:pPr>
              <w:jc w:val="both"/>
            </w:pPr>
            <w:r w:rsidRPr="00C56257">
              <w:t>Intensitate</w:t>
            </w:r>
          </w:p>
        </w:tc>
        <w:tc>
          <w:tcPr>
            <w:tcW w:w="643" w:type="dxa"/>
          </w:tcPr>
          <w:p w14:paraId="6E248D95" w14:textId="77777777" w:rsidR="0007555D" w:rsidRPr="00C56257" w:rsidRDefault="0007555D" w:rsidP="008E33FD">
            <w:pPr>
              <w:jc w:val="both"/>
            </w:pPr>
            <w:r w:rsidRPr="00C56257">
              <w:t>Cod</w:t>
            </w:r>
          </w:p>
        </w:tc>
        <w:tc>
          <w:tcPr>
            <w:tcW w:w="2480" w:type="dxa"/>
          </w:tcPr>
          <w:p w14:paraId="0B5878F5" w14:textId="77777777" w:rsidR="0007555D" w:rsidRPr="00C56257" w:rsidRDefault="0007555D" w:rsidP="008E33FD">
            <w:pPr>
              <w:jc w:val="both"/>
            </w:pPr>
            <w:r w:rsidRPr="00C56257">
              <w:t>Denumire</w:t>
            </w:r>
          </w:p>
        </w:tc>
        <w:tc>
          <w:tcPr>
            <w:tcW w:w="1310" w:type="dxa"/>
          </w:tcPr>
          <w:p w14:paraId="5C24F896" w14:textId="77777777" w:rsidR="0007555D" w:rsidRPr="00C56257" w:rsidRDefault="0007555D" w:rsidP="008E33FD">
            <w:pPr>
              <w:jc w:val="both"/>
            </w:pPr>
            <w:r w:rsidRPr="00C56257">
              <w:t>Intensitate</w:t>
            </w:r>
          </w:p>
        </w:tc>
      </w:tr>
      <w:tr w:rsidR="0007555D" w:rsidRPr="00C56257" w14:paraId="4D487E56" w14:textId="77777777" w:rsidTr="0007555D">
        <w:tc>
          <w:tcPr>
            <w:tcW w:w="643" w:type="dxa"/>
            <w:vAlign w:val="center"/>
          </w:tcPr>
          <w:p w14:paraId="662EB4E1" w14:textId="77777777" w:rsidR="0007555D" w:rsidRPr="00C56257" w:rsidRDefault="0007555D" w:rsidP="00F100E1">
            <w:pPr>
              <w:jc w:val="both"/>
            </w:pPr>
            <w:r w:rsidRPr="00C56257">
              <w:t>B07</w:t>
            </w:r>
          </w:p>
        </w:tc>
        <w:tc>
          <w:tcPr>
            <w:tcW w:w="2630" w:type="dxa"/>
            <w:vAlign w:val="center"/>
          </w:tcPr>
          <w:p w14:paraId="28DE053D" w14:textId="77777777" w:rsidR="0007555D" w:rsidRPr="00C56257" w:rsidRDefault="0007555D" w:rsidP="00F100E1">
            <w:pPr>
              <w:jc w:val="both"/>
            </w:pPr>
            <w:r w:rsidRPr="00C56257">
              <w:t>Extragerea arborilor morți sau aproape morți</w:t>
            </w:r>
          </w:p>
        </w:tc>
        <w:tc>
          <w:tcPr>
            <w:tcW w:w="1310" w:type="dxa"/>
            <w:vAlign w:val="center"/>
          </w:tcPr>
          <w:p w14:paraId="687BC568" w14:textId="77777777" w:rsidR="0007555D" w:rsidRPr="00C56257" w:rsidRDefault="0007555D" w:rsidP="00F100E1">
            <w:pPr>
              <w:jc w:val="both"/>
            </w:pPr>
            <w:r w:rsidRPr="00C56257">
              <w:t>Ridicată</w:t>
            </w:r>
          </w:p>
        </w:tc>
        <w:tc>
          <w:tcPr>
            <w:tcW w:w="643" w:type="dxa"/>
            <w:vAlign w:val="center"/>
          </w:tcPr>
          <w:p w14:paraId="6F511539" w14:textId="77777777" w:rsidR="0007555D" w:rsidRPr="00C56257" w:rsidRDefault="0007555D" w:rsidP="00F100E1">
            <w:pPr>
              <w:jc w:val="both"/>
            </w:pPr>
            <w:r w:rsidRPr="00C56257">
              <w:t>B07</w:t>
            </w:r>
          </w:p>
        </w:tc>
        <w:tc>
          <w:tcPr>
            <w:tcW w:w="2480" w:type="dxa"/>
            <w:vAlign w:val="center"/>
          </w:tcPr>
          <w:p w14:paraId="14A821DF" w14:textId="77777777" w:rsidR="0007555D" w:rsidRPr="00C56257" w:rsidRDefault="0007555D" w:rsidP="00F100E1">
            <w:pPr>
              <w:jc w:val="both"/>
            </w:pPr>
            <w:r w:rsidRPr="00C56257">
              <w:t>Extragerea arborilor morți sau aproape morți</w:t>
            </w:r>
          </w:p>
        </w:tc>
        <w:tc>
          <w:tcPr>
            <w:tcW w:w="1310" w:type="dxa"/>
            <w:vAlign w:val="center"/>
          </w:tcPr>
          <w:p w14:paraId="11282CB9" w14:textId="77777777" w:rsidR="0007555D" w:rsidRPr="00C56257" w:rsidRDefault="0007555D" w:rsidP="00F100E1">
            <w:pPr>
              <w:jc w:val="both"/>
            </w:pPr>
            <w:r w:rsidRPr="00C56257">
              <w:t>Ridicată</w:t>
            </w:r>
          </w:p>
        </w:tc>
      </w:tr>
      <w:tr w:rsidR="0007555D" w:rsidRPr="00C56257" w14:paraId="34EEFA7B" w14:textId="77777777" w:rsidTr="0007555D">
        <w:tc>
          <w:tcPr>
            <w:tcW w:w="643" w:type="dxa"/>
            <w:vAlign w:val="center"/>
          </w:tcPr>
          <w:p w14:paraId="71238DDE" w14:textId="77777777" w:rsidR="0007555D" w:rsidRPr="00C56257" w:rsidRDefault="0007555D" w:rsidP="00F100E1">
            <w:pPr>
              <w:jc w:val="both"/>
            </w:pPr>
            <w:r w:rsidRPr="00C56257">
              <w:t>B12</w:t>
            </w:r>
          </w:p>
        </w:tc>
        <w:tc>
          <w:tcPr>
            <w:tcW w:w="2630" w:type="dxa"/>
            <w:vAlign w:val="center"/>
          </w:tcPr>
          <w:p w14:paraId="7C067BAD" w14:textId="77777777" w:rsidR="0007555D" w:rsidRPr="00C56257" w:rsidRDefault="0007555D" w:rsidP="00F100E1">
            <w:pPr>
              <w:jc w:val="both"/>
            </w:pPr>
            <w:r w:rsidRPr="00C56257">
              <w:t>Rărituri</w:t>
            </w:r>
          </w:p>
        </w:tc>
        <w:tc>
          <w:tcPr>
            <w:tcW w:w="1310" w:type="dxa"/>
            <w:vAlign w:val="center"/>
          </w:tcPr>
          <w:p w14:paraId="1FC389C5" w14:textId="77777777" w:rsidR="0007555D" w:rsidRPr="00C56257" w:rsidRDefault="0007555D" w:rsidP="00F100E1">
            <w:pPr>
              <w:jc w:val="both"/>
            </w:pPr>
            <w:r w:rsidRPr="00C56257">
              <w:t>Medie</w:t>
            </w:r>
          </w:p>
        </w:tc>
        <w:tc>
          <w:tcPr>
            <w:tcW w:w="643" w:type="dxa"/>
            <w:vAlign w:val="center"/>
          </w:tcPr>
          <w:p w14:paraId="2B891007" w14:textId="77777777" w:rsidR="0007555D" w:rsidRPr="00C56257" w:rsidRDefault="0007555D" w:rsidP="00F100E1">
            <w:pPr>
              <w:jc w:val="both"/>
            </w:pPr>
            <w:r w:rsidRPr="00C56257">
              <w:t>B12</w:t>
            </w:r>
          </w:p>
        </w:tc>
        <w:tc>
          <w:tcPr>
            <w:tcW w:w="2480" w:type="dxa"/>
            <w:vAlign w:val="center"/>
          </w:tcPr>
          <w:p w14:paraId="44389EA1" w14:textId="77777777" w:rsidR="0007555D" w:rsidRPr="00C56257" w:rsidRDefault="0007555D" w:rsidP="00F100E1">
            <w:pPr>
              <w:jc w:val="both"/>
            </w:pPr>
            <w:r w:rsidRPr="00C56257">
              <w:t>Rărituri</w:t>
            </w:r>
          </w:p>
        </w:tc>
        <w:tc>
          <w:tcPr>
            <w:tcW w:w="1310" w:type="dxa"/>
            <w:vAlign w:val="center"/>
          </w:tcPr>
          <w:p w14:paraId="4B2A6845" w14:textId="77777777" w:rsidR="0007555D" w:rsidRPr="00C56257" w:rsidRDefault="0007555D" w:rsidP="00F100E1">
            <w:pPr>
              <w:jc w:val="both"/>
            </w:pPr>
            <w:r w:rsidRPr="00C56257">
              <w:t>Medie</w:t>
            </w:r>
          </w:p>
        </w:tc>
      </w:tr>
    </w:tbl>
    <w:p w14:paraId="4F0C0B3D" w14:textId="77777777" w:rsidR="0007555D" w:rsidRPr="00C56257" w:rsidRDefault="0007555D" w:rsidP="008E33FD">
      <w:pPr>
        <w:tabs>
          <w:tab w:val="num" w:pos="360"/>
        </w:tabs>
        <w:ind w:left="360" w:hanging="360"/>
        <w:jc w:val="both"/>
        <w:rPr>
          <w:rFonts w:eastAsia="Calibri"/>
          <w:b/>
        </w:rPr>
      </w:pPr>
    </w:p>
    <w:p w14:paraId="1C17F2BD"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91Q0 - Păduri relictare cu </w:t>
      </w:r>
      <w:r w:rsidRPr="00C56257">
        <w:rPr>
          <w:rFonts w:eastAsia="Calibri"/>
          <w:b/>
          <w:i/>
          <w:iCs/>
        </w:rPr>
        <w:t>Pinus sylvestris</w:t>
      </w:r>
      <w:r w:rsidRPr="00C56257">
        <w:rPr>
          <w:rFonts w:eastAsia="Calibri"/>
          <w:b/>
        </w:rPr>
        <w:t xml:space="preserve"> pe substrate calcaroase</w:t>
      </w:r>
    </w:p>
    <w:p w14:paraId="5DC7EC63" w14:textId="77777777" w:rsidR="0007555D" w:rsidRPr="00C56257" w:rsidRDefault="0007555D" w:rsidP="008E33FD">
      <w:pPr>
        <w:keepNext/>
        <w:keepLines/>
        <w:spacing w:before="280" w:after="240" w:line="259" w:lineRule="auto"/>
        <w:ind w:left="708"/>
        <w:jc w:val="both"/>
        <w:outlineLvl w:val="1"/>
        <w:rPr>
          <w:rFonts w:eastAsia="Cambria"/>
          <w:b/>
          <w:color w:val="000000"/>
        </w:rPr>
      </w:pPr>
      <w:r w:rsidRPr="00C56257">
        <w:rPr>
          <w:rFonts w:eastAsia="Cambria"/>
          <w:b/>
          <w:color w:val="000000"/>
        </w:rPr>
        <w:t>Regiunea biogeografică Alpină</w:t>
      </w:r>
    </w:p>
    <w:tbl>
      <w:tblPr>
        <w:tblStyle w:val="TableGrid"/>
        <w:tblW w:w="0" w:type="auto"/>
        <w:tblLook w:val="04A0" w:firstRow="1" w:lastRow="0" w:firstColumn="1" w:lastColumn="0" w:noHBand="0" w:noVBand="1"/>
      </w:tblPr>
      <w:tblGrid>
        <w:gridCol w:w="644"/>
        <w:gridCol w:w="2557"/>
        <w:gridCol w:w="1326"/>
        <w:gridCol w:w="643"/>
        <w:gridCol w:w="2536"/>
        <w:gridCol w:w="1310"/>
      </w:tblGrid>
      <w:tr w:rsidR="0007555D" w:rsidRPr="00C56257" w14:paraId="4AA19A25" w14:textId="77777777" w:rsidTr="0007555D">
        <w:tc>
          <w:tcPr>
            <w:tcW w:w="4527" w:type="dxa"/>
            <w:gridSpan w:val="3"/>
          </w:tcPr>
          <w:p w14:paraId="59C486DA" w14:textId="77777777" w:rsidR="0007555D" w:rsidRPr="00C56257" w:rsidRDefault="0007555D" w:rsidP="00F100E1">
            <w:pPr>
              <w:jc w:val="both"/>
            </w:pPr>
            <w:r w:rsidRPr="00C56257">
              <w:t>Presiuni</w:t>
            </w:r>
          </w:p>
        </w:tc>
        <w:tc>
          <w:tcPr>
            <w:tcW w:w="4489" w:type="dxa"/>
            <w:gridSpan w:val="3"/>
          </w:tcPr>
          <w:p w14:paraId="637640D2" w14:textId="77777777" w:rsidR="0007555D" w:rsidRPr="00C56257" w:rsidRDefault="0007555D" w:rsidP="00F100E1">
            <w:pPr>
              <w:jc w:val="both"/>
            </w:pPr>
            <w:r w:rsidRPr="00C56257">
              <w:t>Amenințări</w:t>
            </w:r>
          </w:p>
        </w:tc>
      </w:tr>
      <w:tr w:rsidR="0007555D" w:rsidRPr="00C56257" w14:paraId="11A2F017" w14:textId="77777777" w:rsidTr="0007555D">
        <w:tc>
          <w:tcPr>
            <w:tcW w:w="644" w:type="dxa"/>
          </w:tcPr>
          <w:p w14:paraId="34A35FD3" w14:textId="77777777" w:rsidR="0007555D" w:rsidRPr="00C56257" w:rsidRDefault="0007555D" w:rsidP="008E33FD">
            <w:pPr>
              <w:jc w:val="both"/>
            </w:pPr>
            <w:r w:rsidRPr="00C56257">
              <w:t>Cod</w:t>
            </w:r>
          </w:p>
        </w:tc>
        <w:tc>
          <w:tcPr>
            <w:tcW w:w="2557" w:type="dxa"/>
          </w:tcPr>
          <w:p w14:paraId="7A9FE815" w14:textId="77777777" w:rsidR="0007555D" w:rsidRPr="00C56257" w:rsidRDefault="0007555D" w:rsidP="008E33FD">
            <w:pPr>
              <w:jc w:val="both"/>
            </w:pPr>
            <w:r w:rsidRPr="00C56257">
              <w:t>Denumire</w:t>
            </w:r>
          </w:p>
        </w:tc>
        <w:tc>
          <w:tcPr>
            <w:tcW w:w="1326" w:type="dxa"/>
          </w:tcPr>
          <w:p w14:paraId="639763F0" w14:textId="77777777" w:rsidR="0007555D" w:rsidRPr="00C56257" w:rsidRDefault="0007555D" w:rsidP="008E33FD">
            <w:pPr>
              <w:jc w:val="both"/>
            </w:pPr>
            <w:r w:rsidRPr="00C56257">
              <w:t>Intensitate</w:t>
            </w:r>
          </w:p>
        </w:tc>
        <w:tc>
          <w:tcPr>
            <w:tcW w:w="643" w:type="dxa"/>
          </w:tcPr>
          <w:p w14:paraId="41E1E732" w14:textId="77777777" w:rsidR="0007555D" w:rsidRPr="00C56257" w:rsidRDefault="0007555D" w:rsidP="008E33FD">
            <w:pPr>
              <w:jc w:val="both"/>
            </w:pPr>
            <w:r w:rsidRPr="00C56257">
              <w:t>Cod</w:t>
            </w:r>
          </w:p>
        </w:tc>
        <w:tc>
          <w:tcPr>
            <w:tcW w:w="2536" w:type="dxa"/>
          </w:tcPr>
          <w:p w14:paraId="126F506B" w14:textId="77777777" w:rsidR="0007555D" w:rsidRPr="00C56257" w:rsidRDefault="0007555D" w:rsidP="008E33FD">
            <w:pPr>
              <w:jc w:val="both"/>
            </w:pPr>
            <w:r w:rsidRPr="00C56257">
              <w:t>Denumire</w:t>
            </w:r>
          </w:p>
        </w:tc>
        <w:tc>
          <w:tcPr>
            <w:tcW w:w="1310" w:type="dxa"/>
          </w:tcPr>
          <w:p w14:paraId="536CD7E3" w14:textId="77777777" w:rsidR="0007555D" w:rsidRPr="00C56257" w:rsidRDefault="0007555D" w:rsidP="008E33FD">
            <w:pPr>
              <w:jc w:val="both"/>
            </w:pPr>
            <w:r w:rsidRPr="00C56257">
              <w:t>Intensitate</w:t>
            </w:r>
          </w:p>
        </w:tc>
      </w:tr>
      <w:tr w:rsidR="0007555D" w:rsidRPr="00C56257" w14:paraId="2BB59D44" w14:textId="77777777" w:rsidTr="0007555D">
        <w:tc>
          <w:tcPr>
            <w:tcW w:w="644" w:type="dxa"/>
          </w:tcPr>
          <w:p w14:paraId="32E166EA" w14:textId="77777777" w:rsidR="0007555D" w:rsidRPr="00C56257" w:rsidRDefault="0007555D" w:rsidP="00F100E1">
            <w:pPr>
              <w:jc w:val="both"/>
            </w:pPr>
            <w:r w:rsidRPr="00C56257">
              <w:t>A09</w:t>
            </w:r>
          </w:p>
        </w:tc>
        <w:tc>
          <w:tcPr>
            <w:tcW w:w="2557" w:type="dxa"/>
          </w:tcPr>
          <w:p w14:paraId="0C360091" w14:textId="77777777" w:rsidR="0007555D" w:rsidRPr="00C56257" w:rsidRDefault="0007555D" w:rsidP="00F100E1">
            <w:pPr>
              <w:jc w:val="both"/>
            </w:pPr>
            <w:r w:rsidRPr="00C56257">
              <w:t>Pășunat intensiv</w:t>
            </w:r>
          </w:p>
        </w:tc>
        <w:tc>
          <w:tcPr>
            <w:tcW w:w="1326" w:type="dxa"/>
          </w:tcPr>
          <w:p w14:paraId="0EC08130" w14:textId="77777777" w:rsidR="0007555D" w:rsidRPr="00C56257" w:rsidRDefault="0007555D" w:rsidP="00F100E1">
            <w:pPr>
              <w:jc w:val="both"/>
            </w:pPr>
            <w:r w:rsidRPr="00C56257">
              <w:t>Medie</w:t>
            </w:r>
          </w:p>
        </w:tc>
        <w:tc>
          <w:tcPr>
            <w:tcW w:w="643" w:type="dxa"/>
          </w:tcPr>
          <w:p w14:paraId="0A28BEFF" w14:textId="77777777" w:rsidR="0007555D" w:rsidRPr="00C56257" w:rsidRDefault="0007555D" w:rsidP="00F100E1">
            <w:pPr>
              <w:jc w:val="both"/>
            </w:pPr>
            <w:r w:rsidRPr="00C56257">
              <w:t>A09</w:t>
            </w:r>
          </w:p>
        </w:tc>
        <w:tc>
          <w:tcPr>
            <w:tcW w:w="2536" w:type="dxa"/>
          </w:tcPr>
          <w:p w14:paraId="5833E4B9" w14:textId="77777777" w:rsidR="0007555D" w:rsidRPr="00C56257" w:rsidRDefault="0007555D" w:rsidP="00F100E1">
            <w:pPr>
              <w:jc w:val="both"/>
            </w:pPr>
            <w:r w:rsidRPr="00C56257">
              <w:t>Pășunat intensiv</w:t>
            </w:r>
          </w:p>
        </w:tc>
        <w:tc>
          <w:tcPr>
            <w:tcW w:w="1310" w:type="dxa"/>
          </w:tcPr>
          <w:p w14:paraId="59DA6DDD" w14:textId="77777777" w:rsidR="0007555D" w:rsidRPr="00C56257" w:rsidRDefault="0007555D" w:rsidP="00F100E1">
            <w:pPr>
              <w:jc w:val="both"/>
            </w:pPr>
            <w:r w:rsidRPr="00C56257">
              <w:t>Medie</w:t>
            </w:r>
          </w:p>
        </w:tc>
      </w:tr>
    </w:tbl>
    <w:p w14:paraId="715EF558" w14:textId="77777777" w:rsidR="0007555D" w:rsidRPr="00C56257" w:rsidRDefault="0007555D" w:rsidP="008E33FD">
      <w:pPr>
        <w:tabs>
          <w:tab w:val="num" w:pos="360"/>
        </w:tabs>
        <w:ind w:left="360" w:hanging="360"/>
        <w:jc w:val="both"/>
        <w:rPr>
          <w:rFonts w:eastAsia="Calibri"/>
          <w:b/>
        </w:rPr>
      </w:pPr>
    </w:p>
    <w:p w14:paraId="62F72149"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91V0 - Păduri dacice de fag (</w:t>
      </w:r>
      <w:r w:rsidRPr="00C56257">
        <w:rPr>
          <w:rFonts w:eastAsia="Calibri"/>
          <w:b/>
          <w:i/>
          <w:iCs/>
        </w:rPr>
        <w:t>Symphyto-Fagion</w:t>
      </w:r>
      <w:r w:rsidRPr="00C56257">
        <w:rPr>
          <w:rFonts w:eastAsia="Calibri"/>
          <w:b/>
        </w:rPr>
        <w:t>)</w:t>
      </w:r>
    </w:p>
    <w:p w14:paraId="3DC4D226"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Alpină</w:t>
      </w:r>
    </w:p>
    <w:tbl>
      <w:tblPr>
        <w:tblStyle w:val="TableGrid"/>
        <w:tblW w:w="0" w:type="auto"/>
        <w:tblLook w:val="04A0" w:firstRow="1" w:lastRow="0" w:firstColumn="1" w:lastColumn="0" w:noHBand="0" w:noVBand="1"/>
      </w:tblPr>
      <w:tblGrid>
        <w:gridCol w:w="643"/>
        <w:gridCol w:w="2517"/>
        <w:gridCol w:w="1310"/>
        <w:gridCol w:w="655"/>
        <w:gridCol w:w="2581"/>
        <w:gridCol w:w="1310"/>
      </w:tblGrid>
      <w:tr w:rsidR="0007555D" w:rsidRPr="00C56257" w14:paraId="42861D98" w14:textId="77777777" w:rsidTr="0007555D">
        <w:tc>
          <w:tcPr>
            <w:tcW w:w="4470" w:type="dxa"/>
            <w:gridSpan w:val="3"/>
          </w:tcPr>
          <w:p w14:paraId="42BED379" w14:textId="77777777" w:rsidR="0007555D" w:rsidRPr="00C56257" w:rsidRDefault="0007555D" w:rsidP="00F100E1">
            <w:pPr>
              <w:jc w:val="both"/>
            </w:pPr>
            <w:r w:rsidRPr="00C56257">
              <w:t>Presiuni</w:t>
            </w:r>
          </w:p>
        </w:tc>
        <w:tc>
          <w:tcPr>
            <w:tcW w:w="4546" w:type="dxa"/>
            <w:gridSpan w:val="3"/>
          </w:tcPr>
          <w:p w14:paraId="2DC3905D" w14:textId="77777777" w:rsidR="0007555D" w:rsidRPr="00C56257" w:rsidRDefault="0007555D" w:rsidP="00F100E1">
            <w:pPr>
              <w:jc w:val="both"/>
            </w:pPr>
            <w:r w:rsidRPr="00C56257">
              <w:t>Amenințări</w:t>
            </w:r>
          </w:p>
        </w:tc>
      </w:tr>
      <w:tr w:rsidR="0007555D" w:rsidRPr="00C56257" w14:paraId="2B17749B" w14:textId="77777777" w:rsidTr="0007555D">
        <w:tc>
          <w:tcPr>
            <w:tcW w:w="643" w:type="dxa"/>
          </w:tcPr>
          <w:p w14:paraId="2E2A39F2" w14:textId="77777777" w:rsidR="0007555D" w:rsidRPr="00C56257" w:rsidRDefault="0007555D" w:rsidP="008E33FD">
            <w:pPr>
              <w:jc w:val="both"/>
            </w:pPr>
            <w:r w:rsidRPr="00C56257">
              <w:t>Cod</w:t>
            </w:r>
          </w:p>
        </w:tc>
        <w:tc>
          <w:tcPr>
            <w:tcW w:w="2517" w:type="dxa"/>
          </w:tcPr>
          <w:p w14:paraId="24FDB7B5" w14:textId="77777777" w:rsidR="0007555D" w:rsidRPr="00C56257" w:rsidRDefault="0007555D" w:rsidP="008E33FD">
            <w:pPr>
              <w:jc w:val="both"/>
            </w:pPr>
            <w:r w:rsidRPr="00C56257">
              <w:t>Denumire</w:t>
            </w:r>
          </w:p>
        </w:tc>
        <w:tc>
          <w:tcPr>
            <w:tcW w:w="1310" w:type="dxa"/>
          </w:tcPr>
          <w:p w14:paraId="347D5679" w14:textId="77777777" w:rsidR="0007555D" w:rsidRPr="00C56257" w:rsidRDefault="0007555D" w:rsidP="008E33FD">
            <w:pPr>
              <w:jc w:val="both"/>
            </w:pPr>
            <w:r w:rsidRPr="00C56257">
              <w:t>Intensitate</w:t>
            </w:r>
          </w:p>
        </w:tc>
        <w:tc>
          <w:tcPr>
            <w:tcW w:w="655" w:type="dxa"/>
          </w:tcPr>
          <w:p w14:paraId="476B30E1" w14:textId="77777777" w:rsidR="0007555D" w:rsidRPr="00C56257" w:rsidRDefault="0007555D" w:rsidP="008E33FD">
            <w:pPr>
              <w:jc w:val="both"/>
            </w:pPr>
            <w:r w:rsidRPr="00C56257">
              <w:t>Cod</w:t>
            </w:r>
          </w:p>
        </w:tc>
        <w:tc>
          <w:tcPr>
            <w:tcW w:w="2581" w:type="dxa"/>
          </w:tcPr>
          <w:p w14:paraId="763F082B" w14:textId="77777777" w:rsidR="0007555D" w:rsidRPr="00C56257" w:rsidRDefault="0007555D" w:rsidP="008E33FD">
            <w:pPr>
              <w:jc w:val="both"/>
            </w:pPr>
            <w:r w:rsidRPr="00C56257">
              <w:t>Denumire</w:t>
            </w:r>
          </w:p>
        </w:tc>
        <w:tc>
          <w:tcPr>
            <w:tcW w:w="1310" w:type="dxa"/>
          </w:tcPr>
          <w:p w14:paraId="6B29510E" w14:textId="77777777" w:rsidR="0007555D" w:rsidRPr="00C56257" w:rsidRDefault="0007555D" w:rsidP="008E33FD">
            <w:pPr>
              <w:jc w:val="both"/>
            </w:pPr>
            <w:r w:rsidRPr="00C56257">
              <w:t>Intensitate</w:t>
            </w:r>
          </w:p>
        </w:tc>
      </w:tr>
      <w:tr w:rsidR="0007555D" w:rsidRPr="00C56257" w14:paraId="6CF05DC7" w14:textId="77777777" w:rsidTr="0007555D">
        <w:tc>
          <w:tcPr>
            <w:tcW w:w="643" w:type="dxa"/>
            <w:vAlign w:val="center"/>
          </w:tcPr>
          <w:p w14:paraId="3DE13527" w14:textId="77777777" w:rsidR="0007555D" w:rsidRPr="00C56257" w:rsidRDefault="0007555D" w:rsidP="00F100E1">
            <w:pPr>
              <w:jc w:val="both"/>
            </w:pPr>
            <w:r w:rsidRPr="00C56257">
              <w:t>B06</w:t>
            </w:r>
          </w:p>
        </w:tc>
        <w:tc>
          <w:tcPr>
            <w:tcW w:w="2517" w:type="dxa"/>
            <w:vAlign w:val="center"/>
          </w:tcPr>
          <w:p w14:paraId="03C0E0A7" w14:textId="77777777" w:rsidR="0007555D" w:rsidRPr="00C56257" w:rsidRDefault="0007555D" w:rsidP="00F100E1">
            <w:pPr>
              <w:jc w:val="both"/>
            </w:pPr>
            <w:r w:rsidRPr="00C56257">
              <w:t>Exploatarea arborilor individuali (Tăiere selectivă)</w:t>
            </w:r>
          </w:p>
        </w:tc>
        <w:tc>
          <w:tcPr>
            <w:tcW w:w="1310" w:type="dxa"/>
            <w:vAlign w:val="center"/>
          </w:tcPr>
          <w:p w14:paraId="19772516" w14:textId="77777777" w:rsidR="0007555D" w:rsidRPr="00C56257" w:rsidRDefault="0007555D" w:rsidP="00F100E1">
            <w:pPr>
              <w:jc w:val="both"/>
            </w:pPr>
            <w:r w:rsidRPr="00C56257">
              <w:t>Ridicată</w:t>
            </w:r>
          </w:p>
        </w:tc>
        <w:tc>
          <w:tcPr>
            <w:tcW w:w="655" w:type="dxa"/>
            <w:vAlign w:val="center"/>
          </w:tcPr>
          <w:p w14:paraId="0AD67C3C" w14:textId="77777777" w:rsidR="0007555D" w:rsidRPr="00C56257" w:rsidRDefault="0007555D" w:rsidP="00F100E1">
            <w:pPr>
              <w:jc w:val="both"/>
            </w:pPr>
            <w:r w:rsidRPr="00C56257">
              <w:t>B06</w:t>
            </w:r>
          </w:p>
        </w:tc>
        <w:tc>
          <w:tcPr>
            <w:tcW w:w="2581" w:type="dxa"/>
            <w:vAlign w:val="center"/>
          </w:tcPr>
          <w:p w14:paraId="6168C8F6" w14:textId="77777777" w:rsidR="0007555D" w:rsidRPr="00C56257" w:rsidRDefault="0007555D" w:rsidP="00F100E1">
            <w:pPr>
              <w:jc w:val="both"/>
            </w:pPr>
            <w:r w:rsidRPr="00C56257">
              <w:t>Exploatarea arborilor individuali (Tăiere selectivă)</w:t>
            </w:r>
          </w:p>
        </w:tc>
        <w:tc>
          <w:tcPr>
            <w:tcW w:w="1310" w:type="dxa"/>
            <w:vAlign w:val="center"/>
          </w:tcPr>
          <w:p w14:paraId="0BF263EE" w14:textId="77777777" w:rsidR="0007555D" w:rsidRPr="00C56257" w:rsidRDefault="0007555D" w:rsidP="00F100E1">
            <w:pPr>
              <w:jc w:val="both"/>
            </w:pPr>
            <w:r w:rsidRPr="00C56257">
              <w:t>Ridicată</w:t>
            </w:r>
          </w:p>
        </w:tc>
      </w:tr>
      <w:tr w:rsidR="0007555D" w:rsidRPr="00C56257" w14:paraId="773ED130" w14:textId="77777777" w:rsidTr="0007555D">
        <w:tc>
          <w:tcPr>
            <w:tcW w:w="643" w:type="dxa"/>
            <w:vAlign w:val="center"/>
          </w:tcPr>
          <w:p w14:paraId="5C4A7D99" w14:textId="77777777" w:rsidR="0007555D" w:rsidRPr="00C56257" w:rsidRDefault="0007555D" w:rsidP="00F100E1">
            <w:pPr>
              <w:jc w:val="both"/>
            </w:pPr>
            <w:r w:rsidRPr="00C56257">
              <w:t>B07</w:t>
            </w:r>
          </w:p>
        </w:tc>
        <w:tc>
          <w:tcPr>
            <w:tcW w:w="2517" w:type="dxa"/>
            <w:vAlign w:val="center"/>
          </w:tcPr>
          <w:p w14:paraId="30C13C69" w14:textId="77777777" w:rsidR="0007555D" w:rsidRPr="00C56257" w:rsidRDefault="0007555D" w:rsidP="00F100E1">
            <w:pPr>
              <w:jc w:val="both"/>
            </w:pPr>
            <w:r w:rsidRPr="00C56257">
              <w:t xml:space="preserve">Extragerea arborilor morți sau aproape morți </w:t>
            </w:r>
          </w:p>
        </w:tc>
        <w:tc>
          <w:tcPr>
            <w:tcW w:w="1310" w:type="dxa"/>
            <w:vAlign w:val="center"/>
          </w:tcPr>
          <w:p w14:paraId="00375C38" w14:textId="77777777" w:rsidR="0007555D" w:rsidRPr="00C56257" w:rsidRDefault="0007555D" w:rsidP="00F100E1">
            <w:pPr>
              <w:jc w:val="both"/>
            </w:pPr>
            <w:r w:rsidRPr="00C56257">
              <w:t>Medie</w:t>
            </w:r>
          </w:p>
        </w:tc>
        <w:tc>
          <w:tcPr>
            <w:tcW w:w="655" w:type="dxa"/>
            <w:vAlign w:val="center"/>
          </w:tcPr>
          <w:p w14:paraId="66D97C2D" w14:textId="77777777" w:rsidR="0007555D" w:rsidRPr="00C56257" w:rsidRDefault="0007555D" w:rsidP="00F100E1">
            <w:pPr>
              <w:jc w:val="both"/>
            </w:pPr>
            <w:r w:rsidRPr="00C56257">
              <w:t>C01</w:t>
            </w:r>
          </w:p>
        </w:tc>
        <w:tc>
          <w:tcPr>
            <w:tcW w:w="2581" w:type="dxa"/>
            <w:vAlign w:val="center"/>
          </w:tcPr>
          <w:p w14:paraId="407DAE27" w14:textId="77777777" w:rsidR="0007555D" w:rsidRPr="00C56257" w:rsidRDefault="0007555D" w:rsidP="00F100E1">
            <w:pPr>
              <w:jc w:val="both"/>
            </w:pPr>
            <w:r w:rsidRPr="00C56257">
              <w:t xml:space="preserve">Extracția mineralelor (rocă, minereuri </w:t>
            </w:r>
            <w:r w:rsidRPr="00C56257">
              <w:lastRenderedPageBreak/>
              <w:t>metalice, pietriș, nisip, coajă, etc.)</w:t>
            </w:r>
          </w:p>
        </w:tc>
        <w:tc>
          <w:tcPr>
            <w:tcW w:w="1310" w:type="dxa"/>
            <w:vAlign w:val="center"/>
          </w:tcPr>
          <w:p w14:paraId="308EF44C" w14:textId="77777777" w:rsidR="0007555D" w:rsidRPr="00C56257" w:rsidRDefault="0007555D" w:rsidP="00F100E1">
            <w:pPr>
              <w:jc w:val="both"/>
            </w:pPr>
            <w:r w:rsidRPr="00C56257">
              <w:lastRenderedPageBreak/>
              <w:t>Medie</w:t>
            </w:r>
          </w:p>
        </w:tc>
      </w:tr>
      <w:tr w:rsidR="0007555D" w:rsidRPr="00C56257" w14:paraId="5647D76E" w14:textId="77777777" w:rsidTr="0007555D">
        <w:tc>
          <w:tcPr>
            <w:tcW w:w="643" w:type="dxa"/>
            <w:vAlign w:val="center"/>
          </w:tcPr>
          <w:p w14:paraId="3FEC0683" w14:textId="77777777" w:rsidR="0007555D" w:rsidRPr="00C56257" w:rsidRDefault="0007555D" w:rsidP="00F100E1">
            <w:pPr>
              <w:jc w:val="both"/>
            </w:pPr>
            <w:r w:rsidRPr="00C56257">
              <w:t>B12</w:t>
            </w:r>
          </w:p>
        </w:tc>
        <w:tc>
          <w:tcPr>
            <w:tcW w:w="2517" w:type="dxa"/>
            <w:vAlign w:val="center"/>
          </w:tcPr>
          <w:p w14:paraId="5CC2B4F7" w14:textId="77777777" w:rsidR="0007555D" w:rsidRPr="00C56257" w:rsidRDefault="0007555D" w:rsidP="00F100E1">
            <w:pPr>
              <w:jc w:val="both"/>
            </w:pPr>
            <w:r w:rsidRPr="00C56257">
              <w:t>Rărituri</w:t>
            </w:r>
          </w:p>
        </w:tc>
        <w:tc>
          <w:tcPr>
            <w:tcW w:w="1310" w:type="dxa"/>
            <w:vAlign w:val="center"/>
          </w:tcPr>
          <w:p w14:paraId="34A55EB8" w14:textId="77777777" w:rsidR="0007555D" w:rsidRPr="00C56257" w:rsidRDefault="0007555D" w:rsidP="00F100E1">
            <w:pPr>
              <w:jc w:val="both"/>
            </w:pPr>
            <w:r w:rsidRPr="00C56257">
              <w:t>Medie</w:t>
            </w:r>
          </w:p>
        </w:tc>
        <w:tc>
          <w:tcPr>
            <w:tcW w:w="655" w:type="dxa"/>
            <w:vAlign w:val="center"/>
          </w:tcPr>
          <w:p w14:paraId="472F7D67" w14:textId="77777777" w:rsidR="0007555D" w:rsidRPr="00C56257" w:rsidRDefault="0007555D" w:rsidP="00F100E1">
            <w:pPr>
              <w:jc w:val="both"/>
            </w:pPr>
          </w:p>
        </w:tc>
        <w:tc>
          <w:tcPr>
            <w:tcW w:w="2581" w:type="dxa"/>
            <w:vAlign w:val="center"/>
          </w:tcPr>
          <w:p w14:paraId="03EAB9FB" w14:textId="77777777" w:rsidR="0007555D" w:rsidRPr="00C56257" w:rsidRDefault="0007555D" w:rsidP="00F100E1">
            <w:pPr>
              <w:jc w:val="both"/>
            </w:pPr>
          </w:p>
        </w:tc>
        <w:tc>
          <w:tcPr>
            <w:tcW w:w="1310" w:type="dxa"/>
            <w:vAlign w:val="center"/>
          </w:tcPr>
          <w:p w14:paraId="5EED7254" w14:textId="77777777" w:rsidR="0007555D" w:rsidRPr="00C56257" w:rsidRDefault="0007555D" w:rsidP="00F100E1">
            <w:pPr>
              <w:jc w:val="both"/>
            </w:pPr>
          </w:p>
        </w:tc>
      </w:tr>
      <w:tr w:rsidR="0007555D" w:rsidRPr="00C56257" w14:paraId="6B56B3D0" w14:textId="77777777" w:rsidTr="0007555D">
        <w:tc>
          <w:tcPr>
            <w:tcW w:w="643" w:type="dxa"/>
            <w:vAlign w:val="center"/>
          </w:tcPr>
          <w:p w14:paraId="1D208BC7" w14:textId="77777777" w:rsidR="0007555D" w:rsidRPr="00C56257" w:rsidRDefault="0007555D" w:rsidP="00F100E1">
            <w:pPr>
              <w:jc w:val="both"/>
            </w:pPr>
            <w:r w:rsidRPr="00C56257">
              <w:t>C01</w:t>
            </w:r>
          </w:p>
        </w:tc>
        <w:tc>
          <w:tcPr>
            <w:tcW w:w="2517" w:type="dxa"/>
            <w:vAlign w:val="center"/>
          </w:tcPr>
          <w:p w14:paraId="049F0B97" w14:textId="77777777" w:rsidR="0007555D" w:rsidRPr="00C56257" w:rsidRDefault="0007555D" w:rsidP="00F100E1">
            <w:pPr>
              <w:jc w:val="both"/>
            </w:pPr>
            <w:r w:rsidRPr="00C56257">
              <w:t>Extracția mineralelor (rocă, minereuri metalice, pietriș, nisip, coajă, etc.)</w:t>
            </w:r>
          </w:p>
        </w:tc>
        <w:tc>
          <w:tcPr>
            <w:tcW w:w="1310" w:type="dxa"/>
            <w:vAlign w:val="center"/>
          </w:tcPr>
          <w:p w14:paraId="648C5F78" w14:textId="77777777" w:rsidR="0007555D" w:rsidRPr="00C56257" w:rsidRDefault="0007555D" w:rsidP="00F100E1">
            <w:pPr>
              <w:jc w:val="both"/>
            </w:pPr>
            <w:r w:rsidRPr="00C56257">
              <w:t>Medie</w:t>
            </w:r>
          </w:p>
        </w:tc>
        <w:tc>
          <w:tcPr>
            <w:tcW w:w="655" w:type="dxa"/>
            <w:vAlign w:val="center"/>
          </w:tcPr>
          <w:p w14:paraId="78376099" w14:textId="77777777" w:rsidR="0007555D" w:rsidRPr="00C56257" w:rsidRDefault="0007555D" w:rsidP="00F100E1">
            <w:pPr>
              <w:jc w:val="both"/>
            </w:pPr>
          </w:p>
        </w:tc>
        <w:tc>
          <w:tcPr>
            <w:tcW w:w="2581" w:type="dxa"/>
            <w:vAlign w:val="center"/>
          </w:tcPr>
          <w:p w14:paraId="7F81BDE5" w14:textId="77777777" w:rsidR="0007555D" w:rsidRPr="00C56257" w:rsidRDefault="0007555D" w:rsidP="00F100E1">
            <w:pPr>
              <w:jc w:val="both"/>
            </w:pPr>
          </w:p>
        </w:tc>
        <w:tc>
          <w:tcPr>
            <w:tcW w:w="1310" w:type="dxa"/>
            <w:vAlign w:val="center"/>
          </w:tcPr>
          <w:p w14:paraId="2F5F052F" w14:textId="77777777" w:rsidR="0007555D" w:rsidRPr="00C56257" w:rsidRDefault="0007555D" w:rsidP="00F100E1">
            <w:pPr>
              <w:jc w:val="both"/>
            </w:pPr>
          </w:p>
        </w:tc>
      </w:tr>
    </w:tbl>
    <w:p w14:paraId="783D274C"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Continentală</w:t>
      </w:r>
    </w:p>
    <w:tbl>
      <w:tblPr>
        <w:tblStyle w:val="TableGrid"/>
        <w:tblW w:w="0" w:type="auto"/>
        <w:tblLook w:val="04A0" w:firstRow="1" w:lastRow="0" w:firstColumn="1" w:lastColumn="0" w:noHBand="0" w:noVBand="1"/>
      </w:tblPr>
      <w:tblGrid>
        <w:gridCol w:w="643"/>
        <w:gridCol w:w="2288"/>
        <w:gridCol w:w="1310"/>
        <w:gridCol w:w="643"/>
        <w:gridCol w:w="2822"/>
        <w:gridCol w:w="1310"/>
      </w:tblGrid>
      <w:tr w:rsidR="0007555D" w:rsidRPr="00C56257" w14:paraId="6A881E0E" w14:textId="77777777" w:rsidTr="0007555D">
        <w:tc>
          <w:tcPr>
            <w:tcW w:w="4241" w:type="dxa"/>
            <w:gridSpan w:val="3"/>
          </w:tcPr>
          <w:p w14:paraId="5D198ECF" w14:textId="77777777" w:rsidR="0007555D" w:rsidRPr="00C56257" w:rsidRDefault="0007555D" w:rsidP="00F100E1">
            <w:pPr>
              <w:jc w:val="both"/>
            </w:pPr>
            <w:r w:rsidRPr="00C56257">
              <w:t>Presiuni</w:t>
            </w:r>
          </w:p>
        </w:tc>
        <w:tc>
          <w:tcPr>
            <w:tcW w:w="4775" w:type="dxa"/>
            <w:gridSpan w:val="3"/>
          </w:tcPr>
          <w:p w14:paraId="3888934F" w14:textId="77777777" w:rsidR="0007555D" w:rsidRPr="00C56257" w:rsidRDefault="0007555D" w:rsidP="00F100E1">
            <w:pPr>
              <w:jc w:val="both"/>
            </w:pPr>
            <w:r w:rsidRPr="00C56257">
              <w:t>Amenințări</w:t>
            </w:r>
          </w:p>
        </w:tc>
      </w:tr>
      <w:tr w:rsidR="0007555D" w:rsidRPr="00C56257" w14:paraId="6C35A448" w14:textId="77777777" w:rsidTr="0007555D">
        <w:tc>
          <w:tcPr>
            <w:tcW w:w="643" w:type="dxa"/>
          </w:tcPr>
          <w:p w14:paraId="02F5EF8F" w14:textId="77777777" w:rsidR="0007555D" w:rsidRPr="00C56257" w:rsidRDefault="0007555D" w:rsidP="008E33FD">
            <w:pPr>
              <w:jc w:val="both"/>
            </w:pPr>
            <w:r w:rsidRPr="00C56257">
              <w:t>Cod</w:t>
            </w:r>
          </w:p>
        </w:tc>
        <w:tc>
          <w:tcPr>
            <w:tcW w:w="2288" w:type="dxa"/>
          </w:tcPr>
          <w:p w14:paraId="2FF3E6B7" w14:textId="77777777" w:rsidR="0007555D" w:rsidRPr="00C56257" w:rsidRDefault="0007555D" w:rsidP="008E33FD">
            <w:pPr>
              <w:jc w:val="both"/>
            </w:pPr>
            <w:r w:rsidRPr="00C56257">
              <w:t>Denumire</w:t>
            </w:r>
          </w:p>
        </w:tc>
        <w:tc>
          <w:tcPr>
            <w:tcW w:w="1310" w:type="dxa"/>
          </w:tcPr>
          <w:p w14:paraId="3AE6C2F0" w14:textId="77777777" w:rsidR="0007555D" w:rsidRPr="00C56257" w:rsidRDefault="0007555D" w:rsidP="008E33FD">
            <w:pPr>
              <w:jc w:val="both"/>
            </w:pPr>
            <w:r w:rsidRPr="00C56257">
              <w:t>Intensitate</w:t>
            </w:r>
          </w:p>
        </w:tc>
        <w:tc>
          <w:tcPr>
            <w:tcW w:w="643" w:type="dxa"/>
          </w:tcPr>
          <w:p w14:paraId="41D15478" w14:textId="77777777" w:rsidR="0007555D" w:rsidRPr="00C56257" w:rsidRDefault="0007555D" w:rsidP="008E33FD">
            <w:pPr>
              <w:jc w:val="both"/>
            </w:pPr>
            <w:r w:rsidRPr="00C56257">
              <w:t>Cod</w:t>
            </w:r>
          </w:p>
        </w:tc>
        <w:tc>
          <w:tcPr>
            <w:tcW w:w="2822" w:type="dxa"/>
          </w:tcPr>
          <w:p w14:paraId="16A24CEC" w14:textId="77777777" w:rsidR="0007555D" w:rsidRPr="00C56257" w:rsidRDefault="0007555D" w:rsidP="008E33FD">
            <w:pPr>
              <w:jc w:val="both"/>
            </w:pPr>
            <w:r w:rsidRPr="00C56257">
              <w:t>Denumire</w:t>
            </w:r>
          </w:p>
        </w:tc>
        <w:tc>
          <w:tcPr>
            <w:tcW w:w="1310" w:type="dxa"/>
          </w:tcPr>
          <w:p w14:paraId="6B6DBE97" w14:textId="77777777" w:rsidR="0007555D" w:rsidRPr="00C56257" w:rsidRDefault="0007555D" w:rsidP="008E33FD">
            <w:pPr>
              <w:jc w:val="both"/>
            </w:pPr>
            <w:r w:rsidRPr="00C56257">
              <w:t>Intensitate</w:t>
            </w:r>
          </w:p>
        </w:tc>
      </w:tr>
      <w:tr w:rsidR="0007555D" w:rsidRPr="00C56257" w14:paraId="1CB047B3" w14:textId="77777777" w:rsidTr="0007555D">
        <w:tc>
          <w:tcPr>
            <w:tcW w:w="643" w:type="dxa"/>
            <w:vAlign w:val="center"/>
          </w:tcPr>
          <w:p w14:paraId="60EC610E" w14:textId="77777777" w:rsidR="0007555D" w:rsidRPr="00C56257" w:rsidRDefault="0007555D" w:rsidP="00F100E1">
            <w:pPr>
              <w:jc w:val="both"/>
            </w:pPr>
            <w:bookmarkStart w:id="60" w:name="_Hlk95475794"/>
            <w:r w:rsidRPr="00C56257">
              <w:t>B06</w:t>
            </w:r>
          </w:p>
        </w:tc>
        <w:tc>
          <w:tcPr>
            <w:tcW w:w="2288" w:type="dxa"/>
            <w:vAlign w:val="center"/>
          </w:tcPr>
          <w:p w14:paraId="67543C83" w14:textId="77777777" w:rsidR="0007555D" w:rsidRPr="00C56257" w:rsidRDefault="0007555D" w:rsidP="00F100E1">
            <w:pPr>
              <w:jc w:val="both"/>
            </w:pPr>
            <w:r w:rsidRPr="00C56257">
              <w:t>Exploatarea arborilor individuali (Tăiere selectivă)</w:t>
            </w:r>
          </w:p>
        </w:tc>
        <w:tc>
          <w:tcPr>
            <w:tcW w:w="1310" w:type="dxa"/>
            <w:vAlign w:val="center"/>
          </w:tcPr>
          <w:p w14:paraId="25A2530B" w14:textId="77777777" w:rsidR="0007555D" w:rsidRPr="00C56257" w:rsidRDefault="0007555D" w:rsidP="00F100E1">
            <w:pPr>
              <w:jc w:val="both"/>
            </w:pPr>
            <w:r w:rsidRPr="00C56257">
              <w:t>Medie</w:t>
            </w:r>
          </w:p>
        </w:tc>
        <w:tc>
          <w:tcPr>
            <w:tcW w:w="643" w:type="dxa"/>
            <w:vAlign w:val="center"/>
          </w:tcPr>
          <w:p w14:paraId="5F58A496" w14:textId="77777777" w:rsidR="0007555D" w:rsidRPr="00C56257" w:rsidRDefault="0007555D" w:rsidP="00F100E1">
            <w:pPr>
              <w:jc w:val="both"/>
            </w:pPr>
            <w:r w:rsidRPr="00C56257">
              <w:t>B06</w:t>
            </w:r>
          </w:p>
        </w:tc>
        <w:tc>
          <w:tcPr>
            <w:tcW w:w="2822" w:type="dxa"/>
            <w:vAlign w:val="center"/>
          </w:tcPr>
          <w:p w14:paraId="66AEF54B" w14:textId="77777777" w:rsidR="0007555D" w:rsidRPr="00C56257" w:rsidRDefault="0007555D" w:rsidP="00F100E1">
            <w:pPr>
              <w:jc w:val="both"/>
            </w:pPr>
            <w:r w:rsidRPr="00C56257">
              <w:t>Exploatarea arborilor individuali (Tăiere selectivă)</w:t>
            </w:r>
          </w:p>
        </w:tc>
        <w:tc>
          <w:tcPr>
            <w:tcW w:w="1310" w:type="dxa"/>
            <w:vAlign w:val="center"/>
          </w:tcPr>
          <w:p w14:paraId="6105202D" w14:textId="77777777" w:rsidR="0007555D" w:rsidRPr="00C56257" w:rsidRDefault="0007555D" w:rsidP="00F100E1">
            <w:pPr>
              <w:jc w:val="both"/>
            </w:pPr>
            <w:r w:rsidRPr="00C56257">
              <w:t>Medie</w:t>
            </w:r>
          </w:p>
        </w:tc>
      </w:tr>
      <w:bookmarkEnd w:id="60"/>
      <w:tr w:rsidR="0007555D" w:rsidRPr="00C56257" w14:paraId="12BA7C5F" w14:textId="77777777" w:rsidTr="0007555D">
        <w:tc>
          <w:tcPr>
            <w:tcW w:w="643" w:type="dxa"/>
            <w:vAlign w:val="center"/>
          </w:tcPr>
          <w:p w14:paraId="31BB6057" w14:textId="77777777" w:rsidR="0007555D" w:rsidRPr="00C56257" w:rsidRDefault="0007555D" w:rsidP="00F100E1">
            <w:pPr>
              <w:jc w:val="both"/>
            </w:pPr>
            <w:r w:rsidRPr="00C56257">
              <w:t>B07</w:t>
            </w:r>
          </w:p>
        </w:tc>
        <w:tc>
          <w:tcPr>
            <w:tcW w:w="2288" w:type="dxa"/>
            <w:vAlign w:val="center"/>
          </w:tcPr>
          <w:p w14:paraId="7C6BB9ED" w14:textId="77777777" w:rsidR="0007555D" w:rsidRPr="00C56257" w:rsidRDefault="0007555D" w:rsidP="00F100E1">
            <w:pPr>
              <w:jc w:val="both"/>
            </w:pPr>
            <w:r w:rsidRPr="00C56257">
              <w:t xml:space="preserve">Extragerea arborilor morți sau aproape morți </w:t>
            </w:r>
          </w:p>
        </w:tc>
        <w:tc>
          <w:tcPr>
            <w:tcW w:w="1310" w:type="dxa"/>
            <w:vAlign w:val="center"/>
          </w:tcPr>
          <w:p w14:paraId="4BC8AE83" w14:textId="77777777" w:rsidR="0007555D" w:rsidRPr="00C56257" w:rsidRDefault="0007555D" w:rsidP="00F100E1">
            <w:pPr>
              <w:jc w:val="both"/>
            </w:pPr>
            <w:r w:rsidRPr="00C56257">
              <w:t>Medie</w:t>
            </w:r>
          </w:p>
        </w:tc>
        <w:tc>
          <w:tcPr>
            <w:tcW w:w="643" w:type="dxa"/>
            <w:vAlign w:val="center"/>
          </w:tcPr>
          <w:p w14:paraId="6CDBA357" w14:textId="77777777" w:rsidR="0007555D" w:rsidRPr="00C56257" w:rsidRDefault="0007555D" w:rsidP="00F100E1">
            <w:pPr>
              <w:jc w:val="both"/>
            </w:pPr>
            <w:r w:rsidRPr="00C56257">
              <w:t>B07</w:t>
            </w:r>
          </w:p>
        </w:tc>
        <w:tc>
          <w:tcPr>
            <w:tcW w:w="2822" w:type="dxa"/>
            <w:vAlign w:val="center"/>
          </w:tcPr>
          <w:p w14:paraId="411632F2" w14:textId="77777777" w:rsidR="0007555D" w:rsidRPr="00C56257" w:rsidRDefault="0007555D" w:rsidP="00F100E1">
            <w:pPr>
              <w:jc w:val="both"/>
            </w:pPr>
            <w:r w:rsidRPr="00C56257">
              <w:t xml:space="preserve">Extragerea arborilor morți sau aproape morți </w:t>
            </w:r>
          </w:p>
        </w:tc>
        <w:tc>
          <w:tcPr>
            <w:tcW w:w="1310" w:type="dxa"/>
            <w:vAlign w:val="center"/>
          </w:tcPr>
          <w:p w14:paraId="0BAD4EF3" w14:textId="77777777" w:rsidR="0007555D" w:rsidRPr="00C56257" w:rsidRDefault="0007555D" w:rsidP="00F100E1">
            <w:pPr>
              <w:jc w:val="both"/>
            </w:pPr>
            <w:r w:rsidRPr="00C56257">
              <w:t>Medie</w:t>
            </w:r>
          </w:p>
        </w:tc>
      </w:tr>
      <w:tr w:rsidR="0007555D" w:rsidRPr="00C56257" w14:paraId="6E7EE964" w14:textId="77777777" w:rsidTr="0007555D">
        <w:tc>
          <w:tcPr>
            <w:tcW w:w="643" w:type="dxa"/>
            <w:vAlign w:val="center"/>
          </w:tcPr>
          <w:p w14:paraId="174215EA" w14:textId="77777777" w:rsidR="0007555D" w:rsidRPr="00C56257" w:rsidRDefault="0007555D" w:rsidP="00F100E1">
            <w:pPr>
              <w:jc w:val="both"/>
            </w:pPr>
            <w:r w:rsidRPr="00C56257">
              <w:t>B12</w:t>
            </w:r>
          </w:p>
        </w:tc>
        <w:tc>
          <w:tcPr>
            <w:tcW w:w="2288" w:type="dxa"/>
            <w:vAlign w:val="center"/>
          </w:tcPr>
          <w:p w14:paraId="5D4F7DD5" w14:textId="77777777" w:rsidR="0007555D" w:rsidRPr="00C56257" w:rsidRDefault="0007555D" w:rsidP="00F100E1">
            <w:pPr>
              <w:jc w:val="both"/>
            </w:pPr>
            <w:r w:rsidRPr="00C56257">
              <w:t>Rărituri</w:t>
            </w:r>
          </w:p>
        </w:tc>
        <w:tc>
          <w:tcPr>
            <w:tcW w:w="1310" w:type="dxa"/>
            <w:vAlign w:val="center"/>
          </w:tcPr>
          <w:p w14:paraId="4D9B4DB0" w14:textId="77777777" w:rsidR="0007555D" w:rsidRPr="00C56257" w:rsidRDefault="0007555D" w:rsidP="00F100E1">
            <w:pPr>
              <w:jc w:val="both"/>
            </w:pPr>
            <w:r w:rsidRPr="00C56257">
              <w:t>Medie</w:t>
            </w:r>
          </w:p>
        </w:tc>
        <w:tc>
          <w:tcPr>
            <w:tcW w:w="643" w:type="dxa"/>
            <w:vAlign w:val="center"/>
          </w:tcPr>
          <w:p w14:paraId="5A0035B3" w14:textId="77777777" w:rsidR="0007555D" w:rsidRPr="00C56257" w:rsidRDefault="0007555D" w:rsidP="00F100E1">
            <w:pPr>
              <w:jc w:val="both"/>
            </w:pPr>
            <w:r w:rsidRPr="00C56257">
              <w:t>B12</w:t>
            </w:r>
          </w:p>
        </w:tc>
        <w:tc>
          <w:tcPr>
            <w:tcW w:w="2822" w:type="dxa"/>
            <w:vAlign w:val="center"/>
          </w:tcPr>
          <w:p w14:paraId="5518E8EC" w14:textId="77777777" w:rsidR="0007555D" w:rsidRPr="00C56257" w:rsidRDefault="0007555D" w:rsidP="00F100E1">
            <w:pPr>
              <w:jc w:val="both"/>
            </w:pPr>
            <w:r w:rsidRPr="00C56257">
              <w:t>Rărituri</w:t>
            </w:r>
          </w:p>
        </w:tc>
        <w:tc>
          <w:tcPr>
            <w:tcW w:w="1310" w:type="dxa"/>
            <w:vAlign w:val="center"/>
          </w:tcPr>
          <w:p w14:paraId="37AC77DB" w14:textId="77777777" w:rsidR="0007555D" w:rsidRPr="00C56257" w:rsidRDefault="0007555D" w:rsidP="00F100E1">
            <w:pPr>
              <w:jc w:val="both"/>
            </w:pPr>
            <w:r w:rsidRPr="00C56257">
              <w:t>Medie</w:t>
            </w:r>
          </w:p>
        </w:tc>
      </w:tr>
      <w:tr w:rsidR="0007555D" w:rsidRPr="00C56257" w14:paraId="67B21882" w14:textId="77777777" w:rsidTr="0007555D">
        <w:tc>
          <w:tcPr>
            <w:tcW w:w="643" w:type="dxa"/>
            <w:vAlign w:val="center"/>
          </w:tcPr>
          <w:p w14:paraId="15CCA38E" w14:textId="77777777" w:rsidR="0007555D" w:rsidRPr="00C56257" w:rsidRDefault="0007555D" w:rsidP="00F100E1">
            <w:pPr>
              <w:jc w:val="both"/>
            </w:pPr>
            <w:r w:rsidRPr="00C56257">
              <w:t>C01</w:t>
            </w:r>
          </w:p>
        </w:tc>
        <w:tc>
          <w:tcPr>
            <w:tcW w:w="2288" w:type="dxa"/>
            <w:vAlign w:val="center"/>
          </w:tcPr>
          <w:p w14:paraId="66AB4CBC" w14:textId="77777777" w:rsidR="0007555D" w:rsidRPr="00C56257" w:rsidRDefault="0007555D" w:rsidP="00F100E1">
            <w:pPr>
              <w:jc w:val="both"/>
            </w:pPr>
            <w:r w:rsidRPr="00C56257">
              <w:t>Extracția mineralelor (rocă, minereuri metalice, pietriș, nisip, coajă, etc.)</w:t>
            </w:r>
          </w:p>
        </w:tc>
        <w:tc>
          <w:tcPr>
            <w:tcW w:w="1310" w:type="dxa"/>
            <w:vAlign w:val="center"/>
          </w:tcPr>
          <w:p w14:paraId="54ABB372" w14:textId="77777777" w:rsidR="0007555D" w:rsidRPr="00C56257" w:rsidRDefault="0007555D" w:rsidP="00F100E1">
            <w:pPr>
              <w:jc w:val="both"/>
            </w:pPr>
            <w:r w:rsidRPr="00C56257">
              <w:t>Medie</w:t>
            </w:r>
          </w:p>
        </w:tc>
        <w:tc>
          <w:tcPr>
            <w:tcW w:w="643" w:type="dxa"/>
            <w:vAlign w:val="center"/>
          </w:tcPr>
          <w:p w14:paraId="5A0FEC83" w14:textId="77777777" w:rsidR="0007555D" w:rsidRPr="00C56257" w:rsidRDefault="0007555D" w:rsidP="00F100E1">
            <w:pPr>
              <w:jc w:val="both"/>
            </w:pPr>
            <w:r w:rsidRPr="00C56257">
              <w:t>C01</w:t>
            </w:r>
          </w:p>
        </w:tc>
        <w:tc>
          <w:tcPr>
            <w:tcW w:w="2822" w:type="dxa"/>
            <w:vAlign w:val="center"/>
          </w:tcPr>
          <w:p w14:paraId="2FF13E19" w14:textId="77777777" w:rsidR="0007555D" w:rsidRPr="00C56257" w:rsidRDefault="0007555D" w:rsidP="00F100E1">
            <w:pPr>
              <w:jc w:val="both"/>
            </w:pPr>
            <w:r w:rsidRPr="00C56257">
              <w:t>Extracția mineralelor (rocă, minereuri metalice, pietriș, nisip, coajă, etc.)</w:t>
            </w:r>
          </w:p>
        </w:tc>
        <w:tc>
          <w:tcPr>
            <w:tcW w:w="1310" w:type="dxa"/>
            <w:vAlign w:val="center"/>
          </w:tcPr>
          <w:p w14:paraId="54E81D1F" w14:textId="77777777" w:rsidR="0007555D" w:rsidRPr="00C56257" w:rsidRDefault="0007555D" w:rsidP="00F100E1">
            <w:pPr>
              <w:jc w:val="both"/>
            </w:pPr>
            <w:r w:rsidRPr="00C56257">
              <w:t>Medie</w:t>
            </w:r>
          </w:p>
        </w:tc>
      </w:tr>
    </w:tbl>
    <w:p w14:paraId="366322CC" w14:textId="77777777" w:rsidR="0007555D" w:rsidRPr="00C56257" w:rsidRDefault="0007555D" w:rsidP="008E33FD">
      <w:pPr>
        <w:tabs>
          <w:tab w:val="num" w:pos="360"/>
        </w:tabs>
        <w:ind w:left="360" w:hanging="360"/>
        <w:jc w:val="both"/>
        <w:rPr>
          <w:rFonts w:eastAsia="Calibri"/>
          <w:b/>
        </w:rPr>
      </w:pPr>
    </w:p>
    <w:p w14:paraId="143AB159"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91X0* - Păduri dobrogene de fag </w:t>
      </w:r>
    </w:p>
    <w:p w14:paraId="2AB25084" w14:textId="77777777" w:rsidR="0007555D" w:rsidRPr="00C56257" w:rsidRDefault="0007555D" w:rsidP="008E33FD">
      <w:pPr>
        <w:keepNext/>
        <w:keepLines/>
        <w:spacing w:before="280" w:after="240" w:line="259" w:lineRule="auto"/>
        <w:ind w:left="708"/>
        <w:jc w:val="both"/>
        <w:outlineLvl w:val="1"/>
        <w:rPr>
          <w:rFonts w:eastAsia="Cambria"/>
          <w:b/>
          <w:color w:val="000000"/>
        </w:rPr>
      </w:pPr>
      <w:r w:rsidRPr="00C56257">
        <w:rPr>
          <w:rFonts w:eastAsia="Cambria"/>
          <w:b/>
          <w:color w:val="000000"/>
        </w:rPr>
        <w:t>Regiunea biogeografică Stepică</w:t>
      </w:r>
    </w:p>
    <w:tbl>
      <w:tblPr>
        <w:tblStyle w:val="TableGrid"/>
        <w:tblW w:w="0" w:type="auto"/>
        <w:tblLook w:val="04A0" w:firstRow="1" w:lastRow="0" w:firstColumn="1" w:lastColumn="0" w:noHBand="0" w:noVBand="1"/>
      </w:tblPr>
      <w:tblGrid>
        <w:gridCol w:w="643"/>
        <w:gridCol w:w="2542"/>
        <w:gridCol w:w="1325"/>
        <w:gridCol w:w="643"/>
        <w:gridCol w:w="2521"/>
        <w:gridCol w:w="1309"/>
        <w:gridCol w:w="33"/>
      </w:tblGrid>
      <w:tr w:rsidR="0007555D" w:rsidRPr="00C56257" w14:paraId="2B0D549D" w14:textId="77777777" w:rsidTr="0007555D">
        <w:trPr>
          <w:gridAfter w:val="1"/>
          <w:wAfter w:w="33" w:type="dxa"/>
        </w:trPr>
        <w:tc>
          <w:tcPr>
            <w:tcW w:w="4510" w:type="dxa"/>
            <w:gridSpan w:val="3"/>
          </w:tcPr>
          <w:p w14:paraId="15C79FBD" w14:textId="77777777" w:rsidR="0007555D" w:rsidRPr="00C56257" w:rsidRDefault="0007555D" w:rsidP="00F100E1">
            <w:pPr>
              <w:jc w:val="both"/>
            </w:pPr>
            <w:r w:rsidRPr="00C56257">
              <w:t>Presiuni</w:t>
            </w:r>
          </w:p>
        </w:tc>
        <w:tc>
          <w:tcPr>
            <w:tcW w:w="4473" w:type="dxa"/>
            <w:gridSpan w:val="3"/>
          </w:tcPr>
          <w:p w14:paraId="2647C996" w14:textId="77777777" w:rsidR="0007555D" w:rsidRPr="00C56257" w:rsidRDefault="0007555D" w:rsidP="00F100E1">
            <w:pPr>
              <w:jc w:val="both"/>
            </w:pPr>
            <w:r w:rsidRPr="00C56257">
              <w:t>Amenințări</w:t>
            </w:r>
          </w:p>
        </w:tc>
      </w:tr>
      <w:tr w:rsidR="0007555D" w:rsidRPr="00C56257" w14:paraId="4F3E2E3A" w14:textId="77777777" w:rsidTr="0007555D">
        <w:trPr>
          <w:gridAfter w:val="1"/>
          <w:wAfter w:w="33" w:type="dxa"/>
        </w:trPr>
        <w:tc>
          <w:tcPr>
            <w:tcW w:w="643" w:type="dxa"/>
          </w:tcPr>
          <w:p w14:paraId="3973CBB3" w14:textId="77777777" w:rsidR="0007555D" w:rsidRPr="00C56257" w:rsidRDefault="0007555D" w:rsidP="008E33FD">
            <w:pPr>
              <w:jc w:val="both"/>
            </w:pPr>
            <w:r w:rsidRPr="00C56257">
              <w:t>Cod</w:t>
            </w:r>
          </w:p>
        </w:tc>
        <w:tc>
          <w:tcPr>
            <w:tcW w:w="2542" w:type="dxa"/>
          </w:tcPr>
          <w:p w14:paraId="2A5A6281" w14:textId="77777777" w:rsidR="0007555D" w:rsidRPr="00C56257" w:rsidRDefault="0007555D" w:rsidP="008E33FD">
            <w:pPr>
              <w:jc w:val="both"/>
            </w:pPr>
            <w:r w:rsidRPr="00C56257">
              <w:t>Denumire</w:t>
            </w:r>
          </w:p>
        </w:tc>
        <w:tc>
          <w:tcPr>
            <w:tcW w:w="1325" w:type="dxa"/>
          </w:tcPr>
          <w:p w14:paraId="6881A57C" w14:textId="77777777" w:rsidR="0007555D" w:rsidRPr="00C56257" w:rsidRDefault="0007555D" w:rsidP="008E33FD">
            <w:pPr>
              <w:jc w:val="both"/>
            </w:pPr>
            <w:r w:rsidRPr="00C56257">
              <w:t>Intensitate</w:t>
            </w:r>
          </w:p>
        </w:tc>
        <w:tc>
          <w:tcPr>
            <w:tcW w:w="643" w:type="dxa"/>
          </w:tcPr>
          <w:p w14:paraId="50B66FD8" w14:textId="77777777" w:rsidR="0007555D" w:rsidRPr="00C56257" w:rsidRDefault="0007555D" w:rsidP="008E33FD">
            <w:pPr>
              <w:jc w:val="both"/>
            </w:pPr>
            <w:r w:rsidRPr="00C56257">
              <w:t>Cod</w:t>
            </w:r>
          </w:p>
        </w:tc>
        <w:tc>
          <w:tcPr>
            <w:tcW w:w="2521" w:type="dxa"/>
          </w:tcPr>
          <w:p w14:paraId="01ED9D98" w14:textId="77777777" w:rsidR="0007555D" w:rsidRPr="00C56257" w:rsidRDefault="0007555D" w:rsidP="008E33FD">
            <w:pPr>
              <w:jc w:val="both"/>
            </w:pPr>
            <w:r w:rsidRPr="00C56257">
              <w:t>Denumire</w:t>
            </w:r>
          </w:p>
        </w:tc>
        <w:tc>
          <w:tcPr>
            <w:tcW w:w="1309" w:type="dxa"/>
          </w:tcPr>
          <w:p w14:paraId="13C387D2" w14:textId="77777777" w:rsidR="0007555D" w:rsidRPr="00C56257" w:rsidRDefault="0007555D" w:rsidP="008E33FD">
            <w:pPr>
              <w:jc w:val="both"/>
            </w:pPr>
            <w:r w:rsidRPr="00C56257">
              <w:t>Intensitate</w:t>
            </w:r>
          </w:p>
        </w:tc>
      </w:tr>
      <w:tr w:rsidR="0007555D" w:rsidRPr="00C56257" w14:paraId="7FDB7589" w14:textId="77777777" w:rsidTr="0007555D">
        <w:trPr>
          <w:gridAfter w:val="1"/>
          <w:wAfter w:w="33" w:type="dxa"/>
        </w:trPr>
        <w:tc>
          <w:tcPr>
            <w:tcW w:w="643" w:type="dxa"/>
          </w:tcPr>
          <w:p w14:paraId="1F8034A0" w14:textId="77777777" w:rsidR="0007555D" w:rsidRPr="00C56257" w:rsidRDefault="0007555D" w:rsidP="00F100E1">
            <w:pPr>
              <w:jc w:val="both"/>
            </w:pPr>
            <w:r w:rsidRPr="00C56257">
              <w:t>A09</w:t>
            </w:r>
          </w:p>
        </w:tc>
        <w:tc>
          <w:tcPr>
            <w:tcW w:w="2542" w:type="dxa"/>
          </w:tcPr>
          <w:p w14:paraId="146F9187" w14:textId="77777777" w:rsidR="0007555D" w:rsidRPr="00C56257" w:rsidRDefault="0007555D" w:rsidP="00F100E1">
            <w:pPr>
              <w:jc w:val="both"/>
            </w:pPr>
            <w:r w:rsidRPr="00C56257">
              <w:t>Pășunat intensiv</w:t>
            </w:r>
          </w:p>
        </w:tc>
        <w:tc>
          <w:tcPr>
            <w:tcW w:w="1325" w:type="dxa"/>
          </w:tcPr>
          <w:p w14:paraId="172EB2C0" w14:textId="77777777" w:rsidR="0007555D" w:rsidRPr="00C56257" w:rsidRDefault="0007555D" w:rsidP="00F100E1">
            <w:pPr>
              <w:jc w:val="both"/>
            </w:pPr>
            <w:r w:rsidRPr="00C56257">
              <w:t>Medie</w:t>
            </w:r>
          </w:p>
        </w:tc>
        <w:tc>
          <w:tcPr>
            <w:tcW w:w="643" w:type="dxa"/>
          </w:tcPr>
          <w:p w14:paraId="758C26E5" w14:textId="77777777" w:rsidR="0007555D" w:rsidRPr="00C56257" w:rsidRDefault="0007555D" w:rsidP="00F100E1">
            <w:pPr>
              <w:jc w:val="both"/>
            </w:pPr>
            <w:r w:rsidRPr="00C56257">
              <w:t>A09</w:t>
            </w:r>
          </w:p>
        </w:tc>
        <w:tc>
          <w:tcPr>
            <w:tcW w:w="2521" w:type="dxa"/>
          </w:tcPr>
          <w:p w14:paraId="1CBD1368" w14:textId="77777777" w:rsidR="0007555D" w:rsidRPr="00C56257" w:rsidRDefault="0007555D" w:rsidP="00F100E1">
            <w:pPr>
              <w:jc w:val="both"/>
            </w:pPr>
            <w:r w:rsidRPr="00C56257">
              <w:t>Pășunat intensiv</w:t>
            </w:r>
          </w:p>
        </w:tc>
        <w:tc>
          <w:tcPr>
            <w:tcW w:w="1309" w:type="dxa"/>
          </w:tcPr>
          <w:p w14:paraId="1C9E4C22" w14:textId="77777777" w:rsidR="0007555D" w:rsidRPr="00C56257" w:rsidRDefault="0007555D" w:rsidP="00F100E1">
            <w:pPr>
              <w:jc w:val="both"/>
            </w:pPr>
            <w:r w:rsidRPr="00C56257">
              <w:t>Medie</w:t>
            </w:r>
          </w:p>
        </w:tc>
      </w:tr>
      <w:tr w:rsidR="0007555D" w:rsidRPr="00C56257" w14:paraId="5A94FDA1" w14:textId="77777777" w:rsidTr="0007555D">
        <w:trPr>
          <w:gridAfter w:val="1"/>
          <w:wAfter w:w="33" w:type="dxa"/>
        </w:trPr>
        <w:tc>
          <w:tcPr>
            <w:tcW w:w="643" w:type="dxa"/>
            <w:vAlign w:val="center"/>
          </w:tcPr>
          <w:p w14:paraId="21390A06" w14:textId="77777777" w:rsidR="0007555D" w:rsidRPr="00C56257" w:rsidRDefault="0007555D" w:rsidP="00F100E1">
            <w:pPr>
              <w:jc w:val="both"/>
            </w:pPr>
            <w:r w:rsidRPr="00C56257">
              <w:t>L01</w:t>
            </w:r>
          </w:p>
        </w:tc>
        <w:tc>
          <w:tcPr>
            <w:tcW w:w="2542" w:type="dxa"/>
            <w:vAlign w:val="center"/>
          </w:tcPr>
          <w:p w14:paraId="24424865" w14:textId="77777777" w:rsidR="0007555D" w:rsidRPr="00C56257" w:rsidRDefault="0007555D" w:rsidP="00F100E1">
            <w:pPr>
              <w:jc w:val="both"/>
            </w:pPr>
            <w:r w:rsidRPr="00C56257">
              <w:t>Procese abiotice naturale (eroziune, secetă, salinizare, etc.)</w:t>
            </w:r>
          </w:p>
        </w:tc>
        <w:tc>
          <w:tcPr>
            <w:tcW w:w="1325" w:type="dxa"/>
            <w:vAlign w:val="center"/>
          </w:tcPr>
          <w:p w14:paraId="1DE017B8" w14:textId="77777777" w:rsidR="0007555D" w:rsidRPr="00C56257" w:rsidRDefault="0007555D" w:rsidP="00F100E1">
            <w:pPr>
              <w:jc w:val="both"/>
            </w:pPr>
            <w:r w:rsidRPr="00C56257">
              <w:t>Ridicată</w:t>
            </w:r>
          </w:p>
        </w:tc>
        <w:tc>
          <w:tcPr>
            <w:tcW w:w="643" w:type="dxa"/>
            <w:vAlign w:val="center"/>
          </w:tcPr>
          <w:p w14:paraId="38FABD32" w14:textId="77777777" w:rsidR="0007555D" w:rsidRPr="00C56257" w:rsidRDefault="0007555D" w:rsidP="00F100E1">
            <w:pPr>
              <w:jc w:val="both"/>
            </w:pPr>
            <w:r w:rsidRPr="00C56257">
              <w:t>L01</w:t>
            </w:r>
          </w:p>
        </w:tc>
        <w:tc>
          <w:tcPr>
            <w:tcW w:w="2521" w:type="dxa"/>
            <w:vAlign w:val="center"/>
          </w:tcPr>
          <w:p w14:paraId="0638E85B" w14:textId="77777777" w:rsidR="0007555D" w:rsidRPr="00C56257" w:rsidRDefault="0007555D" w:rsidP="00F100E1">
            <w:pPr>
              <w:jc w:val="both"/>
            </w:pPr>
            <w:r w:rsidRPr="00C56257">
              <w:t>Procese abiotice naturale (eroziune, secetă, salinizare, etc.)</w:t>
            </w:r>
          </w:p>
        </w:tc>
        <w:tc>
          <w:tcPr>
            <w:tcW w:w="1309" w:type="dxa"/>
            <w:vAlign w:val="center"/>
          </w:tcPr>
          <w:p w14:paraId="50369F95" w14:textId="77777777" w:rsidR="0007555D" w:rsidRPr="00C56257" w:rsidRDefault="0007555D" w:rsidP="00F100E1">
            <w:pPr>
              <w:jc w:val="both"/>
            </w:pPr>
            <w:r w:rsidRPr="00C56257">
              <w:t>Ridicată</w:t>
            </w:r>
          </w:p>
        </w:tc>
      </w:tr>
      <w:tr w:rsidR="0007555D" w:rsidRPr="00C56257" w14:paraId="7FDDA1C0" w14:textId="77777777" w:rsidTr="0007555D">
        <w:trPr>
          <w:trHeight w:val="351"/>
        </w:trPr>
        <w:tc>
          <w:tcPr>
            <w:tcW w:w="643" w:type="dxa"/>
          </w:tcPr>
          <w:p w14:paraId="20D2F5E9" w14:textId="77777777" w:rsidR="0007555D" w:rsidRPr="00C56257" w:rsidRDefault="0007555D" w:rsidP="00F100E1">
            <w:pPr>
              <w:jc w:val="both"/>
            </w:pPr>
            <w:r w:rsidRPr="00C56257">
              <w:t>B06</w:t>
            </w:r>
          </w:p>
        </w:tc>
        <w:tc>
          <w:tcPr>
            <w:tcW w:w="2542" w:type="dxa"/>
          </w:tcPr>
          <w:p w14:paraId="5830BF1D" w14:textId="77777777" w:rsidR="0007555D" w:rsidRPr="00C56257" w:rsidRDefault="0007555D" w:rsidP="00F100E1">
            <w:pPr>
              <w:jc w:val="both"/>
            </w:pPr>
            <w:r w:rsidRPr="00C56257">
              <w:t>Exploatarea arborilor individuali (Tăiere selectivă)</w:t>
            </w:r>
          </w:p>
        </w:tc>
        <w:tc>
          <w:tcPr>
            <w:tcW w:w="1325" w:type="dxa"/>
          </w:tcPr>
          <w:p w14:paraId="6120A2B6" w14:textId="77777777" w:rsidR="0007555D" w:rsidRPr="00C56257" w:rsidRDefault="0007555D" w:rsidP="00F100E1">
            <w:pPr>
              <w:jc w:val="both"/>
            </w:pPr>
            <w:r w:rsidRPr="00C56257">
              <w:t>Medie</w:t>
            </w:r>
          </w:p>
        </w:tc>
        <w:tc>
          <w:tcPr>
            <w:tcW w:w="643" w:type="dxa"/>
          </w:tcPr>
          <w:p w14:paraId="3C0EFE87" w14:textId="77777777" w:rsidR="0007555D" w:rsidRPr="00C56257" w:rsidRDefault="0007555D" w:rsidP="00F100E1">
            <w:pPr>
              <w:jc w:val="both"/>
            </w:pPr>
            <w:r w:rsidRPr="00C56257">
              <w:t>B06</w:t>
            </w:r>
          </w:p>
        </w:tc>
        <w:tc>
          <w:tcPr>
            <w:tcW w:w="2521" w:type="dxa"/>
          </w:tcPr>
          <w:p w14:paraId="264755CA" w14:textId="77777777" w:rsidR="0007555D" w:rsidRPr="00C56257" w:rsidRDefault="0007555D" w:rsidP="00F100E1">
            <w:pPr>
              <w:jc w:val="both"/>
            </w:pPr>
            <w:r w:rsidRPr="00C56257">
              <w:t>Exploatarea arborilor individuali (Tăiere selectivă)</w:t>
            </w:r>
          </w:p>
        </w:tc>
        <w:tc>
          <w:tcPr>
            <w:tcW w:w="1342" w:type="dxa"/>
            <w:gridSpan w:val="2"/>
          </w:tcPr>
          <w:p w14:paraId="19B2EA92" w14:textId="77777777" w:rsidR="0007555D" w:rsidRPr="00C56257" w:rsidRDefault="0007555D" w:rsidP="00F100E1">
            <w:pPr>
              <w:jc w:val="both"/>
            </w:pPr>
            <w:r w:rsidRPr="00C56257">
              <w:t>Medie</w:t>
            </w:r>
          </w:p>
        </w:tc>
      </w:tr>
    </w:tbl>
    <w:p w14:paraId="74934439" w14:textId="77777777" w:rsidR="0007555D" w:rsidRPr="00C56257" w:rsidRDefault="0007555D" w:rsidP="008E33FD">
      <w:pPr>
        <w:tabs>
          <w:tab w:val="num" w:pos="360"/>
        </w:tabs>
        <w:ind w:left="360" w:hanging="360"/>
        <w:jc w:val="both"/>
        <w:rPr>
          <w:rFonts w:eastAsia="Calibri"/>
          <w:b/>
        </w:rPr>
      </w:pPr>
    </w:p>
    <w:p w14:paraId="50AD3A1D"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91Y0 - Păduri dacice de stejar și carpen </w:t>
      </w:r>
    </w:p>
    <w:p w14:paraId="209B4AAC"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Continentală</w:t>
      </w:r>
    </w:p>
    <w:tbl>
      <w:tblPr>
        <w:tblStyle w:val="TableGrid"/>
        <w:tblW w:w="0" w:type="auto"/>
        <w:tblLook w:val="04A0" w:firstRow="1" w:lastRow="0" w:firstColumn="1" w:lastColumn="0" w:noHBand="0" w:noVBand="1"/>
      </w:tblPr>
      <w:tblGrid>
        <w:gridCol w:w="643"/>
        <w:gridCol w:w="2630"/>
        <w:gridCol w:w="1310"/>
        <w:gridCol w:w="643"/>
        <w:gridCol w:w="2480"/>
        <w:gridCol w:w="1310"/>
      </w:tblGrid>
      <w:tr w:rsidR="0007555D" w:rsidRPr="00C56257" w14:paraId="36CAE282" w14:textId="77777777" w:rsidTr="0007555D">
        <w:tc>
          <w:tcPr>
            <w:tcW w:w="4583" w:type="dxa"/>
            <w:gridSpan w:val="3"/>
          </w:tcPr>
          <w:p w14:paraId="008C5DB0" w14:textId="77777777" w:rsidR="0007555D" w:rsidRPr="00C56257" w:rsidRDefault="0007555D" w:rsidP="00F100E1">
            <w:pPr>
              <w:jc w:val="both"/>
            </w:pPr>
            <w:r w:rsidRPr="00C56257">
              <w:t>Presiuni</w:t>
            </w:r>
          </w:p>
        </w:tc>
        <w:tc>
          <w:tcPr>
            <w:tcW w:w="4433" w:type="dxa"/>
            <w:gridSpan w:val="3"/>
          </w:tcPr>
          <w:p w14:paraId="23F2DB11" w14:textId="77777777" w:rsidR="0007555D" w:rsidRPr="00C56257" w:rsidRDefault="0007555D" w:rsidP="00F100E1">
            <w:pPr>
              <w:jc w:val="both"/>
            </w:pPr>
            <w:r w:rsidRPr="00C56257">
              <w:t>Amenințări</w:t>
            </w:r>
          </w:p>
        </w:tc>
      </w:tr>
      <w:tr w:rsidR="0007555D" w:rsidRPr="00C56257" w14:paraId="253703E4" w14:textId="77777777" w:rsidTr="0007555D">
        <w:tc>
          <w:tcPr>
            <w:tcW w:w="643" w:type="dxa"/>
          </w:tcPr>
          <w:p w14:paraId="20607792" w14:textId="77777777" w:rsidR="0007555D" w:rsidRPr="00C56257" w:rsidRDefault="0007555D" w:rsidP="008E33FD">
            <w:pPr>
              <w:jc w:val="both"/>
            </w:pPr>
            <w:r w:rsidRPr="00C56257">
              <w:t>Cod</w:t>
            </w:r>
          </w:p>
        </w:tc>
        <w:tc>
          <w:tcPr>
            <w:tcW w:w="2630" w:type="dxa"/>
          </w:tcPr>
          <w:p w14:paraId="2FD7F235" w14:textId="77777777" w:rsidR="0007555D" w:rsidRPr="00C56257" w:rsidRDefault="0007555D" w:rsidP="008E33FD">
            <w:pPr>
              <w:jc w:val="both"/>
            </w:pPr>
            <w:r w:rsidRPr="00C56257">
              <w:t>Denumire</w:t>
            </w:r>
          </w:p>
        </w:tc>
        <w:tc>
          <w:tcPr>
            <w:tcW w:w="1310" w:type="dxa"/>
          </w:tcPr>
          <w:p w14:paraId="0A73B0C0" w14:textId="77777777" w:rsidR="0007555D" w:rsidRPr="00C56257" w:rsidRDefault="0007555D" w:rsidP="008E33FD">
            <w:pPr>
              <w:jc w:val="both"/>
            </w:pPr>
            <w:r w:rsidRPr="00C56257">
              <w:t>Intensitate</w:t>
            </w:r>
          </w:p>
        </w:tc>
        <w:tc>
          <w:tcPr>
            <w:tcW w:w="643" w:type="dxa"/>
          </w:tcPr>
          <w:p w14:paraId="135072E5" w14:textId="77777777" w:rsidR="0007555D" w:rsidRPr="00C56257" w:rsidRDefault="0007555D" w:rsidP="008E33FD">
            <w:pPr>
              <w:jc w:val="both"/>
            </w:pPr>
            <w:r w:rsidRPr="00C56257">
              <w:t>Cod</w:t>
            </w:r>
          </w:p>
        </w:tc>
        <w:tc>
          <w:tcPr>
            <w:tcW w:w="2480" w:type="dxa"/>
          </w:tcPr>
          <w:p w14:paraId="10547710" w14:textId="77777777" w:rsidR="0007555D" w:rsidRPr="00C56257" w:rsidRDefault="0007555D" w:rsidP="008E33FD">
            <w:pPr>
              <w:jc w:val="both"/>
            </w:pPr>
            <w:r w:rsidRPr="00C56257">
              <w:t>Denumire</w:t>
            </w:r>
          </w:p>
        </w:tc>
        <w:tc>
          <w:tcPr>
            <w:tcW w:w="1310" w:type="dxa"/>
          </w:tcPr>
          <w:p w14:paraId="13685950" w14:textId="77777777" w:rsidR="0007555D" w:rsidRPr="00C56257" w:rsidRDefault="0007555D" w:rsidP="008E33FD">
            <w:pPr>
              <w:jc w:val="both"/>
            </w:pPr>
            <w:r w:rsidRPr="00C56257">
              <w:t>Intensitate</w:t>
            </w:r>
          </w:p>
        </w:tc>
      </w:tr>
      <w:tr w:rsidR="0007555D" w:rsidRPr="00C56257" w14:paraId="4DD05B6B" w14:textId="77777777" w:rsidTr="0007555D">
        <w:tc>
          <w:tcPr>
            <w:tcW w:w="643" w:type="dxa"/>
            <w:vAlign w:val="center"/>
          </w:tcPr>
          <w:p w14:paraId="4A9D13A6" w14:textId="77777777" w:rsidR="0007555D" w:rsidRPr="00C56257" w:rsidRDefault="0007555D" w:rsidP="00F100E1">
            <w:pPr>
              <w:jc w:val="both"/>
            </w:pPr>
            <w:r w:rsidRPr="00C56257">
              <w:t>B07</w:t>
            </w:r>
          </w:p>
        </w:tc>
        <w:tc>
          <w:tcPr>
            <w:tcW w:w="2630" w:type="dxa"/>
            <w:vAlign w:val="center"/>
          </w:tcPr>
          <w:p w14:paraId="0707AEA2" w14:textId="77777777" w:rsidR="0007555D" w:rsidRPr="00C56257" w:rsidRDefault="0007555D" w:rsidP="00F100E1">
            <w:pPr>
              <w:jc w:val="both"/>
            </w:pPr>
            <w:r w:rsidRPr="00C56257">
              <w:t>Extragerea arborilor morți sau aproape morți</w:t>
            </w:r>
          </w:p>
        </w:tc>
        <w:tc>
          <w:tcPr>
            <w:tcW w:w="1310" w:type="dxa"/>
            <w:vAlign w:val="center"/>
          </w:tcPr>
          <w:p w14:paraId="4CC342D6" w14:textId="77777777" w:rsidR="0007555D" w:rsidRPr="00C56257" w:rsidRDefault="0007555D" w:rsidP="00F100E1">
            <w:pPr>
              <w:jc w:val="both"/>
            </w:pPr>
            <w:r w:rsidRPr="00C56257">
              <w:t>Ridicată</w:t>
            </w:r>
          </w:p>
        </w:tc>
        <w:tc>
          <w:tcPr>
            <w:tcW w:w="643" w:type="dxa"/>
            <w:vAlign w:val="center"/>
          </w:tcPr>
          <w:p w14:paraId="79E7D83E" w14:textId="77777777" w:rsidR="0007555D" w:rsidRPr="00C56257" w:rsidRDefault="0007555D" w:rsidP="00F100E1">
            <w:pPr>
              <w:jc w:val="both"/>
            </w:pPr>
            <w:r w:rsidRPr="00C56257">
              <w:t>B07</w:t>
            </w:r>
          </w:p>
        </w:tc>
        <w:tc>
          <w:tcPr>
            <w:tcW w:w="2480" w:type="dxa"/>
            <w:vAlign w:val="center"/>
          </w:tcPr>
          <w:p w14:paraId="4E5FADD2" w14:textId="77777777" w:rsidR="0007555D" w:rsidRPr="00C56257" w:rsidRDefault="0007555D" w:rsidP="00F100E1">
            <w:pPr>
              <w:jc w:val="both"/>
            </w:pPr>
            <w:r w:rsidRPr="00C56257">
              <w:t>Extragerea arborilor morți sau aproape morți</w:t>
            </w:r>
          </w:p>
        </w:tc>
        <w:tc>
          <w:tcPr>
            <w:tcW w:w="1310" w:type="dxa"/>
            <w:vAlign w:val="center"/>
          </w:tcPr>
          <w:p w14:paraId="479C2F53" w14:textId="77777777" w:rsidR="0007555D" w:rsidRPr="00C56257" w:rsidRDefault="0007555D" w:rsidP="00F100E1">
            <w:pPr>
              <w:jc w:val="both"/>
            </w:pPr>
            <w:r w:rsidRPr="00C56257">
              <w:t>Ridicată</w:t>
            </w:r>
          </w:p>
        </w:tc>
      </w:tr>
      <w:tr w:rsidR="0007555D" w:rsidRPr="00C56257" w14:paraId="69FDD4A3" w14:textId="77777777" w:rsidTr="0007555D">
        <w:tc>
          <w:tcPr>
            <w:tcW w:w="643" w:type="dxa"/>
            <w:vAlign w:val="center"/>
          </w:tcPr>
          <w:p w14:paraId="4D4FF0A9" w14:textId="77777777" w:rsidR="0007555D" w:rsidRPr="00C56257" w:rsidRDefault="0007555D" w:rsidP="00F100E1">
            <w:pPr>
              <w:jc w:val="both"/>
            </w:pPr>
            <w:r w:rsidRPr="00C56257">
              <w:t>B12</w:t>
            </w:r>
          </w:p>
        </w:tc>
        <w:tc>
          <w:tcPr>
            <w:tcW w:w="2630" w:type="dxa"/>
            <w:vAlign w:val="center"/>
          </w:tcPr>
          <w:p w14:paraId="0ED0669A" w14:textId="77777777" w:rsidR="0007555D" w:rsidRPr="00C56257" w:rsidRDefault="0007555D" w:rsidP="00F100E1">
            <w:pPr>
              <w:jc w:val="both"/>
            </w:pPr>
            <w:r w:rsidRPr="00C56257">
              <w:t>Rărituri</w:t>
            </w:r>
          </w:p>
        </w:tc>
        <w:tc>
          <w:tcPr>
            <w:tcW w:w="1310" w:type="dxa"/>
            <w:vAlign w:val="center"/>
          </w:tcPr>
          <w:p w14:paraId="6BFCE84D" w14:textId="77777777" w:rsidR="0007555D" w:rsidRPr="00C56257" w:rsidRDefault="0007555D" w:rsidP="00F100E1">
            <w:pPr>
              <w:jc w:val="both"/>
            </w:pPr>
            <w:r w:rsidRPr="00C56257">
              <w:t>Medie</w:t>
            </w:r>
          </w:p>
        </w:tc>
        <w:tc>
          <w:tcPr>
            <w:tcW w:w="643" w:type="dxa"/>
            <w:vAlign w:val="center"/>
          </w:tcPr>
          <w:p w14:paraId="6068C151" w14:textId="77777777" w:rsidR="0007555D" w:rsidRPr="00C56257" w:rsidRDefault="0007555D" w:rsidP="00F100E1">
            <w:pPr>
              <w:jc w:val="both"/>
            </w:pPr>
            <w:r w:rsidRPr="00C56257">
              <w:t>B12</w:t>
            </w:r>
          </w:p>
        </w:tc>
        <w:tc>
          <w:tcPr>
            <w:tcW w:w="2480" w:type="dxa"/>
            <w:vAlign w:val="center"/>
          </w:tcPr>
          <w:p w14:paraId="2DCD1745" w14:textId="77777777" w:rsidR="0007555D" w:rsidRPr="00C56257" w:rsidRDefault="0007555D" w:rsidP="00F100E1">
            <w:pPr>
              <w:jc w:val="both"/>
            </w:pPr>
            <w:r w:rsidRPr="00C56257">
              <w:t>Rărituri</w:t>
            </w:r>
          </w:p>
        </w:tc>
        <w:tc>
          <w:tcPr>
            <w:tcW w:w="1310" w:type="dxa"/>
            <w:vAlign w:val="center"/>
          </w:tcPr>
          <w:p w14:paraId="3002798D" w14:textId="77777777" w:rsidR="0007555D" w:rsidRPr="00C56257" w:rsidRDefault="0007555D" w:rsidP="00F100E1">
            <w:pPr>
              <w:jc w:val="both"/>
            </w:pPr>
            <w:r w:rsidRPr="00C56257">
              <w:t>Medie</w:t>
            </w:r>
          </w:p>
        </w:tc>
      </w:tr>
      <w:tr w:rsidR="0007555D" w:rsidRPr="00C56257" w14:paraId="307094DD" w14:textId="77777777" w:rsidTr="0007555D">
        <w:tc>
          <w:tcPr>
            <w:tcW w:w="643" w:type="dxa"/>
            <w:vAlign w:val="center"/>
          </w:tcPr>
          <w:p w14:paraId="49D356D1" w14:textId="77777777" w:rsidR="0007555D" w:rsidRPr="00C56257" w:rsidRDefault="0007555D" w:rsidP="00F100E1">
            <w:pPr>
              <w:jc w:val="both"/>
            </w:pPr>
            <w:r w:rsidRPr="00C56257">
              <w:t>B10</w:t>
            </w:r>
          </w:p>
        </w:tc>
        <w:tc>
          <w:tcPr>
            <w:tcW w:w="2630" w:type="dxa"/>
            <w:vAlign w:val="center"/>
          </w:tcPr>
          <w:p w14:paraId="4BB67574" w14:textId="77777777" w:rsidR="0007555D" w:rsidRPr="00C56257" w:rsidRDefault="0007555D" w:rsidP="00F100E1">
            <w:pPr>
              <w:jc w:val="both"/>
            </w:pPr>
            <w:r w:rsidRPr="00C56257">
              <w:t>Exploatare ilegală</w:t>
            </w:r>
          </w:p>
        </w:tc>
        <w:tc>
          <w:tcPr>
            <w:tcW w:w="1310" w:type="dxa"/>
            <w:vAlign w:val="center"/>
          </w:tcPr>
          <w:p w14:paraId="31C4C1B4" w14:textId="77777777" w:rsidR="0007555D" w:rsidRPr="00C56257" w:rsidRDefault="0007555D" w:rsidP="00F100E1">
            <w:pPr>
              <w:jc w:val="both"/>
            </w:pPr>
            <w:r w:rsidRPr="00C56257">
              <w:t>Medie</w:t>
            </w:r>
          </w:p>
        </w:tc>
        <w:tc>
          <w:tcPr>
            <w:tcW w:w="643" w:type="dxa"/>
            <w:vAlign w:val="center"/>
          </w:tcPr>
          <w:p w14:paraId="6447D2B5" w14:textId="77777777" w:rsidR="0007555D" w:rsidRPr="00C56257" w:rsidRDefault="0007555D" w:rsidP="00F100E1">
            <w:pPr>
              <w:jc w:val="both"/>
            </w:pPr>
            <w:r w:rsidRPr="00C56257">
              <w:t>B10</w:t>
            </w:r>
          </w:p>
        </w:tc>
        <w:tc>
          <w:tcPr>
            <w:tcW w:w="2480" w:type="dxa"/>
            <w:vAlign w:val="center"/>
          </w:tcPr>
          <w:p w14:paraId="326B4C10" w14:textId="77777777" w:rsidR="0007555D" w:rsidRPr="00C56257" w:rsidRDefault="0007555D" w:rsidP="00F100E1">
            <w:pPr>
              <w:jc w:val="both"/>
            </w:pPr>
            <w:r w:rsidRPr="00C56257">
              <w:t>Exploatare ilegală</w:t>
            </w:r>
          </w:p>
        </w:tc>
        <w:tc>
          <w:tcPr>
            <w:tcW w:w="1310" w:type="dxa"/>
            <w:vAlign w:val="center"/>
          </w:tcPr>
          <w:p w14:paraId="5951C147" w14:textId="77777777" w:rsidR="0007555D" w:rsidRPr="00C56257" w:rsidRDefault="0007555D" w:rsidP="00F100E1">
            <w:pPr>
              <w:jc w:val="both"/>
            </w:pPr>
            <w:r w:rsidRPr="00C56257">
              <w:t>Medie</w:t>
            </w:r>
          </w:p>
        </w:tc>
      </w:tr>
    </w:tbl>
    <w:p w14:paraId="6A0BB47B"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lastRenderedPageBreak/>
        <w:t>Regiunea biogeografică Stepică</w:t>
      </w:r>
    </w:p>
    <w:tbl>
      <w:tblPr>
        <w:tblStyle w:val="TableGrid"/>
        <w:tblW w:w="0" w:type="auto"/>
        <w:tblLook w:val="04A0" w:firstRow="1" w:lastRow="0" w:firstColumn="1" w:lastColumn="0" w:noHBand="0" w:noVBand="1"/>
      </w:tblPr>
      <w:tblGrid>
        <w:gridCol w:w="643"/>
        <w:gridCol w:w="2579"/>
        <w:gridCol w:w="1310"/>
        <w:gridCol w:w="643"/>
        <w:gridCol w:w="2531"/>
        <w:gridCol w:w="1310"/>
      </w:tblGrid>
      <w:tr w:rsidR="0007555D" w:rsidRPr="00C56257" w14:paraId="5158F38B" w14:textId="77777777" w:rsidTr="0007555D">
        <w:tc>
          <w:tcPr>
            <w:tcW w:w="4532" w:type="dxa"/>
            <w:gridSpan w:val="3"/>
          </w:tcPr>
          <w:p w14:paraId="5E17B67D" w14:textId="77777777" w:rsidR="0007555D" w:rsidRPr="00C56257" w:rsidRDefault="0007555D" w:rsidP="00F100E1">
            <w:pPr>
              <w:jc w:val="both"/>
            </w:pPr>
            <w:r w:rsidRPr="00C56257">
              <w:t>Presiuni</w:t>
            </w:r>
          </w:p>
        </w:tc>
        <w:tc>
          <w:tcPr>
            <w:tcW w:w="4484" w:type="dxa"/>
            <w:gridSpan w:val="3"/>
          </w:tcPr>
          <w:p w14:paraId="4EC0B127" w14:textId="77777777" w:rsidR="0007555D" w:rsidRPr="00C56257" w:rsidRDefault="0007555D" w:rsidP="00F100E1">
            <w:pPr>
              <w:jc w:val="both"/>
            </w:pPr>
            <w:r w:rsidRPr="00C56257">
              <w:t>Amenințări</w:t>
            </w:r>
          </w:p>
        </w:tc>
      </w:tr>
      <w:tr w:rsidR="0007555D" w:rsidRPr="00C56257" w14:paraId="73933D34" w14:textId="77777777" w:rsidTr="0007555D">
        <w:tc>
          <w:tcPr>
            <w:tcW w:w="643" w:type="dxa"/>
          </w:tcPr>
          <w:p w14:paraId="5C83F52F" w14:textId="77777777" w:rsidR="0007555D" w:rsidRPr="00C56257" w:rsidRDefault="0007555D" w:rsidP="008E33FD">
            <w:pPr>
              <w:jc w:val="both"/>
            </w:pPr>
            <w:r w:rsidRPr="00C56257">
              <w:t>Cod</w:t>
            </w:r>
          </w:p>
        </w:tc>
        <w:tc>
          <w:tcPr>
            <w:tcW w:w="2579" w:type="dxa"/>
          </w:tcPr>
          <w:p w14:paraId="4D61F62C" w14:textId="77777777" w:rsidR="0007555D" w:rsidRPr="00C56257" w:rsidRDefault="0007555D" w:rsidP="008E33FD">
            <w:pPr>
              <w:jc w:val="both"/>
            </w:pPr>
            <w:r w:rsidRPr="00C56257">
              <w:t>Denumire</w:t>
            </w:r>
          </w:p>
        </w:tc>
        <w:tc>
          <w:tcPr>
            <w:tcW w:w="1310" w:type="dxa"/>
          </w:tcPr>
          <w:p w14:paraId="422DD79E" w14:textId="77777777" w:rsidR="0007555D" w:rsidRPr="00C56257" w:rsidRDefault="0007555D" w:rsidP="008E33FD">
            <w:pPr>
              <w:jc w:val="both"/>
            </w:pPr>
            <w:r w:rsidRPr="00C56257">
              <w:t>Intensitate</w:t>
            </w:r>
          </w:p>
        </w:tc>
        <w:tc>
          <w:tcPr>
            <w:tcW w:w="643" w:type="dxa"/>
          </w:tcPr>
          <w:p w14:paraId="73B595DF" w14:textId="77777777" w:rsidR="0007555D" w:rsidRPr="00C56257" w:rsidRDefault="0007555D" w:rsidP="008E33FD">
            <w:pPr>
              <w:jc w:val="both"/>
            </w:pPr>
            <w:r w:rsidRPr="00C56257">
              <w:t>Cod</w:t>
            </w:r>
          </w:p>
        </w:tc>
        <w:tc>
          <w:tcPr>
            <w:tcW w:w="2531" w:type="dxa"/>
          </w:tcPr>
          <w:p w14:paraId="1843852C" w14:textId="77777777" w:rsidR="0007555D" w:rsidRPr="00C56257" w:rsidRDefault="0007555D" w:rsidP="008E33FD">
            <w:pPr>
              <w:jc w:val="both"/>
            </w:pPr>
            <w:r w:rsidRPr="00C56257">
              <w:t>Denumire</w:t>
            </w:r>
          </w:p>
        </w:tc>
        <w:tc>
          <w:tcPr>
            <w:tcW w:w="1310" w:type="dxa"/>
          </w:tcPr>
          <w:p w14:paraId="7158B7E2" w14:textId="77777777" w:rsidR="0007555D" w:rsidRPr="00C56257" w:rsidRDefault="0007555D" w:rsidP="008E33FD">
            <w:pPr>
              <w:jc w:val="both"/>
            </w:pPr>
            <w:r w:rsidRPr="00C56257">
              <w:t>Intensitate</w:t>
            </w:r>
          </w:p>
        </w:tc>
      </w:tr>
      <w:tr w:rsidR="0007555D" w:rsidRPr="00C56257" w14:paraId="50F2AF31" w14:textId="77777777" w:rsidTr="0007555D">
        <w:tc>
          <w:tcPr>
            <w:tcW w:w="643" w:type="dxa"/>
            <w:vAlign w:val="center"/>
          </w:tcPr>
          <w:p w14:paraId="729FE781" w14:textId="77777777" w:rsidR="0007555D" w:rsidRPr="00C56257" w:rsidRDefault="0007555D" w:rsidP="00F100E1">
            <w:pPr>
              <w:jc w:val="both"/>
            </w:pPr>
            <w:r w:rsidRPr="00C56257">
              <w:t>A09</w:t>
            </w:r>
          </w:p>
        </w:tc>
        <w:tc>
          <w:tcPr>
            <w:tcW w:w="2579" w:type="dxa"/>
            <w:vAlign w:val="center"/>
          </w:tcPr>
          <w:p w14:paraId="7B812430" w14:textId="77777777" w:rsidR="0007555D" w:rsidRPr="00C56257" w:rsidRDefault="0007555D" w:rsidP="00F100E1">
            <w:pPr>
              <w:ind w:hanging="479"/>
              <w:jc w:val="both"/>
            </w:pPr>
            <w:r w:rsidRPr="00C56257">
              <w:t xml:space="preserve">      Pășunat intensiv</w:t>
            </w:r>
          </w:p>
        </w:tc>
        <w:tc>
          <w:tcPr>
            <w:tcW w:w="1310" w:type="dxa"/>
            <w:vAlign w:val="center"/>
          </w:tcPr>
          <w:p w14:paraId="24564E09" w14:textId="77777777" w:rsidR="0007555D" w:rsidRPr="00C56257" w:rsidRDefault="0007555D" w:rsidP="00F100E1">
            <w:pPr>
              <w:jc w:val="both"/>
            </w:pPr>
            <w:r w:rsidRPr="00C56257">
              <w:t>Ridicată</w:t>
            </w:r>
          </w:p>
        </w:tc>
        <w:tc>
          <w:tcPr>
            <w:tcW w:w="643" w:type="dxa"/>
            <w:vAlign w:val="center"/>
          </w:tcPr>
          <w:p w14:paraId="1DFC67D8" w14:textId="77777777" w:rsidR="0007555D" w:rsidRPr="00C56257" w:rsidRDefault="0007555D" w:rsidP="00F100E1">
            <w:pPr>
              <w:jc w:val="both"/>
            </w:pPr>
            <w:r w:rsidRPr="00C56257">
              <w:t>A09</w:t>
            </w:r>
          </w:p>
        </w:tc>
        <w:tc>
          <w:tcPr>
            <w:tcW w:w="2531" w:type="dxa"/>
            <w:vAlign w:val="center"/>
          </w:tcPr>
          <w:p w14:paraId="77288243" w14:textId="77777777" w:rsidR="0007555D" w:rsidRPr="00C56257" w:rsidRDefault="0007555D" w:rsidP="00F100E1">
            <w:pPr>
              <w:ind w:hanging="479"/>
              <w:jc w:val="both"/>
            </w:pPr>
            <w:r w:rsidRPr="00C56257">
              <w:t xml:space="preserve">    Pășunat intensiv</w:t>
            </w:r>
          </w:p>
        </w:tc>
        <w:tc>
          <w:tcPr>
            <w:tcW w:w="1310" w:type="dxa"/>
            <w:vAlign w:val="center"/>
          </w:tcPr>
          <w:p w14:paraId="681A3867" w14:textId="77777777" w:rsidR="0007555D" w:rsidRPr="00C56257" w:rsidRDefault="0007555D" w:rsidP="00F100E1">
            <w:pPr>
              <w:jc w:val="both"/>
            </w:pPr>
            <w:r w:rsidRPr="00C56257">
              <w:t>Ridicată</w:t>
            </w:r>
          </w:p>
        </w:tc>
      </w:tr>
      <w:tr w:rsidR="0007555D" w:rsidRPr="00C56257" w14:paraId="19FE6998" w14:textId="77777777" w:rsidTr="0007555D">
        <w:tc>
          <w:tcPr>
            <w:tcW w:w="643" w:type="dxa"/>
            <w:vAlign w:val="center"/>
          </w:tcPr>
          <w:p w14:paraId="0937DA99" w14:textId="77777777" w:rsidR="0007555D" w:rsidRPr="00C56257" w:rsidRDefault="0007555D" w:rsidP="00F100E1">
            <w:pPr>
              <w:jc w:val="both"/>
            </w:pPr>
            <w:r w:rsidRPr="00C56257">
              <w:t>G07</w:t>
            </w:r>
          </w:p>
        </w:tc>
        <w:tc>
          <w:tcPr>
            <w:tcW w:w="2579" w:type="dxa"/>
            <w:vAlign w:val="center"/>
          </w:tcPr>
          <w:p w14:paraId="3EC9D35C" w14:textId="77777777" w:rsidR="0007555D" w:rsidRPr="00C56257" w:rsidRDefault="0007555D" w:rsidP="00F100E1">
            <w:pPr>
              <w:jc w:val="both"/>
            </w:pPr>
            <w:r w:rsidRPr="00C56257">
              <w:t>Vânătoarea</w:t>
            </w:r>
          </w:p>
        </w:tc>
        <w:tc>
          <w:tcPr>
            <w:tcW w:w="1310" w:type="dxa"/>
            <w:vAlign w:val="center"/>
          </w:tcPr>
          <w:p w14:paraId="5FBE379A" w14:textId="77777777" w:rsidR="0007555D" w:rsidRPr="00C56257" w:rsidRDefault="0007555D" w:rsidP="00F100E1">
            <w:pPr>
              <w:jc w:val="both"/>
            </w:pPr>
            <w:r w:rsidRPr="00C56257">
              <w:t>Ridicată</w:t>
            </w:r>
          </w:p>
        </w:tc>
        <w:tc>
          <w:tcPr>
            <w:tcW w:w="643" w:type="dxa"/>
            <w:vAlign w:val="center"/>
          </w:tcPr>
          <w:p w14:paraId="1F67FE37" w14:textId="77777777" w:rsidR="0007555D" w:rsidRPr="00C56257" w:rsidRDefault="0007555D" w:rsidP="00F100E1">
            <w:pPr>
              <w:jc w:val="both"/>
            </w:pPr>
            <w:r w:rsidRPr="00C56257">
              <w:t>G07</w:t>
            </w:r>
          </w:p>
        </w:tc>
        <w:tc>
          <w:tcPr>
            <w:tcW w:w="2531" w:type="dxa"/>
            <w:vAlign w:val="center"/>
          </w:tcPr>
          <w:p w14:paraId="739053B4" w14:textId="77777777" w:rsidR="0007555D" w:rsidRPr="00C56257" w:rsidRDefault="0007555D" w:rsidP="00F100E1">
            <w:pPr>
              <w:jc w:val="both"/>
            </w:pPr>
            <w:r w:rsidRPr="00C56257">
              <w:t>Vânătoarea</w:t>
            </w:r>
          </w:p>
        </w:tc>
        <w:tc>
          <w:tcPr>
            <w:tcW w:w="1310" w:type="dxa"/>
            <w:vAlign w:val="center"/>
          </w:tcPr>
          <w:p w14:paraId="02E8046D" w14:textId="77777777" w:rsidR="0007555D" w:rsidRPr="00C56257" w:rsidRDefault="0007555D" w:rsidP="00F100E1">
            <w:pPr>
              <w:jc w:val="both"/>
            </w:pPr>
            <w:r w:rsidRPr="00C56257">
              <w:t>Ridicată</w:t>
            </w:r>
          </w:p>
        </w:tc>
      </w:tr>
      <w:tr w:rsidR="0007555D" w:rsidRPr="00C56257" w14:paraId="2F9FE93C" w14:textId="77777777" w:rsidTr="0007555D">
        <w:tc>
          <w:tcPr>
            <w:tcW w:w="643" w:type="dxa"/>
            <w:vAlign w:val="center"/>
          </w:tcPr>
          <w:p w14:paraId="5025B533" w14:textId="77777777" w:rsidR="0007555D" w:rsidRPr="00C56257" w:rsidRDefault="0007555D" w:rsidP="00F100E1">
            <w:pPr>
              <w:jc w:val="both"/>
            </w:pPr>
            <w:r w:rsidRPr="00C56257">
              <w:t>B07</w:t>
            </w:r>
          </w:p>
        </w:tc>
        <w:tc>
          <w:tcPr>
            <w:tcW w:w="2579" w:type="dxa"/>
            <w:vAlign w:val="center"/>
          </w:tcPr>
          <w:p w14:paraId="51A55339" w14:textId="77777777" w:rsidR="0007555D" w:rsidRPr="00C56257" w:rsidRDefault="0007555D" w:rsidP="00F100E1">
            <w:pPr>
              <w:jc w:val="both"/>
            </w:pPr>
            <w:r w:rsidRPr="00C56257">
              <w:t>Extragerea arborilor morți sau aproape morți</w:t>
            </w:r>
          </w:p>
        </w:tc>
        <w:tc>
          <w:tcPr>
            <w:tcW w:w="1310" w:type="dxa"/>
            <w:vAlign w:val="center"/>
          </w:tcPr>
          <w:p w14:paraId="4E76888C" w14:textId="77777777" w:rsidR="0007555D" w:rsidRPr="00C56257" w:rsidRDefault="0007555D" w:rsidP="00F100E1">
            <w:pPr>
              <w:jc w:val="both"/>
            </w:pPr>
            <w:r w:rsidRPr="00C56257">
              <w:t>Medie</w:t>
            </w:r>
          </w:p>
        </w:tc>
        <w:tc>
          <w:tcPr>
            <w:tcW w:w="643" w:type="dxa"/>
            <w:vAlign w:val="center"/>
          </w:tcPr>
          <w:p w14:paraId="346150B5" w14:textId="77777777" w:rsidR="0007555D" w:rsidRPr="00C56257" w:rsidRDefault="0007555D" w:rsidP="00F100E1">
            <w:pPr>
              <w:jc w:val="both"/>
            </w:pPr>
            <w:r w:rsidRPr="00C56257">
              <w:t>B07</w:t>
            </w:r>
          </w:p>
        </w:tc>
        <w:tc>
          <w:tcPr>
            <w:tcW w:w="2531" w:type="dxa"/>
            <w:vAlign w:val="center"/>
          </w:tcPr>
          <w:p w14:paraId="1461EE2C" w14:textId="77777777" w:rsidR="0007555D" w:rsidRPr="00C56257" w:rsidRDefault="0007555D" w:rsidP="00F100E1">
            <w:pPr>
              <w:jc w:val="both"/>
            </w:pPr>
            <w:r w:rsidRPr="00C56257">
              <w:t>Extragerea arborilor morți sau aproape morți</w:t>
            </w:r>
          </w:p>
        </w:tc>
        <w:tc>
          <w:tcPr>
            <w:tcW w:w="1310" w:type="dxa"/>
            <w:vAlign w:val="center"/>
          </w:tcPr>
          <w:p w14:paraId="0BFACD3A" w14:textId="77777777" w:rsidR="0007555D" w:rsidRPr="00C56257" w:rsidRDefault="0007555D" w:rsidP="00F100E1">
            <w:pPr>
              <w:jc w:val="both"/>
            </w:pPr>
            <w:r w:rsidRPr="00C56257">
              <w:t>Medie</w:t>
            </w:r>
          </w:p>
        </w:tc>
      </w:tr>
      <w:tr w:rsidR="0007555D" w:rsidRPr="00C56257" w14:paraId="06FEADA4" w14:textId="77777777" w:rsidTr="0007555D">
        <w:tc>
          <w:tcPr>
            <w:tcW w:w="643" w:type="dxa"/>
            <w:vAlign w:val="center"/>
          </w:tcPr>
          <w:p w14:paraId="24C3815C" w14:textId="77777777" w:rsidR="0007555D" w:rsidRPr="00C56257" w:rsidRDefault="0007555D" w:rsidP="00F100E1">
            <w:pPr>
              <w:jc w:val="both"/>
            </w:pPr>
            <w:r w:rsidRPr="00C56257">
              <w:t>B10</w:t>
            </w:r>
          </w:p>
        </w:tc>
        <w:tc>
          <w:tcPr>
            <w:tcW w:w="2579" w:type="dxa"/>
            <w:vAlign w:val="center"/>
          </w:tcPr>
          <w:p w14:paraId="7B4662BC" w14:textId="77777777" w:rsidR="0007555D" w:rsidRPr="00C56257" w:rsidRDefault="0007555D" w:rsidP="00F100E1">
            <w:pPr>
              <w:jc w:val="both"/>
            </w:pPr>
            <w:r w:rsidRPr="00C56257">
              <w:t>Exploatare ilegală</w:t>
            </w:r>
          </w:p>
        </w:tc>
        <w:tc>
          <w:tcPr>
            <w:tcW w:w="1310" w:type="dxa"/>
            <w:vAlign w:val="center"/>
          </w:tcPr>
          <w:p w14:paraId="5646CEF7" w14:textId="77777777" w:rsidR="0007555D" w:rsidRPr="00C56257" w:rsidRDefault="0007555D" w:rsidP="00F100E1">
            <w:pPr>
              <w:jc w:val="both"/>
            </w:pPr>
            <w:r w:rsidRPr="00C56257">
              <w:t>Medie</w:t>
            </w:r>
          </w:p>
        </w:tc>
        <w:tc>
          <w:tcPr>
            <w:tcW w:w="643" w:type="dxa"/>
            <w:vAlign w:val="center"/>
          </w:tcPr>
          <w:p w14:paraId="757EBF8E" w14:textId="77777777" w:rsidR="0007555D" w:rsidRPr="00C56257" w:rsidRDefault="0007555D" w:rsidP="00F100E1">
            <w:pPr>
              <w:jc w:val="both"/>
            </w:pPr>
            <w:r w:rsidRPr="00C56257">
              <w:t>B10</w:t>
            </w:r>
          </w:p>
        </w:tc>
        <w:tc>
          <w:tcPr>
            <w:tcW w:w="2531" w:type="dxa"/>
            <w:vAlign w:val="center"/>
          </w:tcPr>
          <w:p w14:paraId="1A87A505" w14:textId="77777777" w:rsidR="0007555D" w:rsidRPr="00C56257" w:rsidRDefault="0007555D" w:rsidP="00F100E1">
            <w:pPr>
              <w:jc w:val="both"/>
            </w:pPr>
            <w:r w:rsidRPr="00C56257">
              <w:t>Exploatare ilegală</w:t>
            </w:r>
          </w:p>
        </w:tc>
        <w:tc>
          <w:tcPr>
            <w:tcW w:w="1310" w:type="dxa"/>
            <w:vAlign w:val="center"/>
          </w:tcPr>
          <w:p w14:paraId="60D28329" w14:textId="77777777" w:rsidR="0007555D" w:rsidRPr="00C56257" w:rsidRDefault="0007555D" w:rsidP="00F100E1">
            <w:pPr>
              <w:jc w:val="both"/>
            </w:pPr>
            <w:r w:rsidRPr="00C56257">
              <w:t>Medie</w:t>
            </w:r>
          </w:p>
        </w:tc>
      </w:tr>
    </w:tbl>
    <w:p w14:paraId="735815B6" w14:textId="77777777" w:rsidR="0007555D" w:rsidRPr="00C56257" w:rsidRDefault="0007555D" w:rsidP="008E33FD">
      <w:pPr>
        <w:tabs>
          <w:tab w:val="num" w:pos="360"/>
        </w:tabs>
        <w:ind w:left="360" w:hanging="360"/>
        <w:jc w:val="both"/>
        <w:rPr>
          <w:rFonts w:eastAsia="Calibri"/>
          <w:b/>
        </w:rPr>
      </w:pPr>
    </w:p>
    <w:p w14:paraId="1545DC9C" w14:textId="77777777" w:rsidR="0007555D" w:rsidRPr="00C56257" w:rsidRDefault="0007555D" w:rsidP="008E33FD">
      <w:pPr>
        <w:tabs>
          <w:tab w:val="num" w:pos="360"/>
        </w:tabs>
        <w:ind w:left="360" w:hanging="360"/>
        <w:jc w:val="both"/>
        <w:rPr>
          <w:rFonts w:eastAsia="Calibri"/>
          <w:b/>
        </w:rPr>
      </w:pPr>
    </w:p>
    <w:p w14:paraId="342CF8F5"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9260 - Vegetație forestieră cu </w:t>
      </w:r>
      <w:r w:rsidRPr="00C56257">
        <w:rPr>
          <w:rFonts w:eastAsia="Calibri"/>
          <w:b/>
          <w:i/>
          <w:iCs/>
        </w:rPr>
        <w:t>Castanea sativa</w:t>
      </w:r>
      <w:r w:rsidRPr="00C56257">
        <w:rPr>
          <w:rFonts w:eastAsia="Calibri"/>
          <w:b/>
        </w:rPr>
        <w:t xml:space="preserve"> </w:t>
      </w:r>
    </w:p>
    <w:p w14:paraId="3C578FE4" w14:textId="77777777" w:rsidR="0007555D" w:rsidRPr="00C56257" w:rsidRDefault="0007555D" w:rsidP="008E33FD">
      <w:pPr>
        <w:keepNext/>
        <w:keepLines/>
        <w:spacing w:before="280" w:after="240" w:line="259" w:lineRule="auto"/>
        <w:ind w:left="708"/>
        <w:jc w:val="both"/>
        <w:outlineLvl w:val="1"/>
        <w:rPr>
          <w:rFonts w:eastAsia="Cambria"/>
          <w:b/>
          <w:color w:val="000000"/>
        </w:rPr>
      </w:pPr>
      <w:r w:rsidRPr="00C56257">
        <w:rPr>
          <w:rFonts w:eastAsia="Cambria"/>
          <w:b/>
          <w:color w:val="000000"/>
        </w:rPr>
        <w:t>Regiunea biogeografică Alpină</w:t>
      </w:r>
    </w:p>
    <w:tbl>
      <w:tblPr>
        <w:tblStyle w:val="TableGrid"/>
        <w:tblW w:w="0" w:type="auto"/>
        <w:tblLook w:val="04A0" w:firstRow="1" w:lastRow="0" w:firstColumn="1" w:lastColumn="0" w:noHBand="0" w:noVBand="1"/>
      </w:tblPr>
      <w:tblGrid>
        <w:gridCol w:w="644"/>
        <w:gridCol w:w="2557"/>
        <w:gridCol w:w="1326"/>
        <w:gridCol w:w="643"/>
        <w:gridCol w:w="2536"/>
        <w:gridCol w:w="1310"/>
      </w:tblGrid>
      <w:tr w:rsidR="0007555D" w:rsidRPr="00C56257" w14:paraId="7F8FF44B" w14:textId="77777777" w:rsidTr="0007555D">
        <w:tc>
          <w:tcPr>
            <w:tcW w:w="4527" w:type="dxa"/>
            <w:gridSpan w:val="3"/>
          </w:tcPr>
          <w:p w14:paraId="06380336" w14:textId="77777777" w:rsidR="0007555D" w:rsidRPr="00C56257" w:rsidRDefault="0007555D" w:rsidP="00F100E1">
            <w:pPr>
              <w:jc w:val="both"/>
            </w:pPr>
            <w:r w:rsidRPr="00C56257">
              <w:t>Presiuni</w:t>
            </w:r>
          </w:p>
        </w:tc>
        <w:tc>
          <w:tcPr>
            <w:tcW w:w="4489" w:type="dxa"/>
            <w:gridSpan w:val="3"/>
          </w:tcPr>
          <w:p w14:paraId="2DDFD8E1" w14:textId="77777777" w:rsidR="0007555D" w:rsidRPr="00C56257" w:rsidRDefault="0007555D" w:rsidP="00F100E1">
            <w:pPr>
              <w:jc w:val="both"/>
            </w:pPr>
            <w:r w:rsidRPr="00C56257">
              <w:t>Amenințări</w:t>
            </w:r>
          </w:p>
        </w:tc>
      </w:tr>
      <w:tr w:rsidR="0007555D" w:rsidRPr="00C56257" w14:paraId="0D1E5234" w14:textId="77777777" w:rsidTr="0007555D">
        <w:tc>
          <w:tcPr>
            <w:tcW w:w="644" w:type="dxa"/>
          </w:tcPr>
          <w:p w14:paraId="509BE92A" w14:textId="77777777" w:rsidR="0007555D" w:rsidRPr="00C56257" w:rsidRDefault="0007555D" w:rsidP="008E33FD">
            <w:pPr>
              <w:jc w:val="both"/>
            </w:pPr>
            <w:r w:rsidRPr="00C56257">
              <w:t>Cod</w:t>
            </w:r>
          </w:p>
        </w:tc>
        <w:tc>
          <w:tcPr>
            <w:tcW w:w="2557" w:type="dxa"/>
          </w:tcPr>
          <w:p w14:paraId="084CDD48" w14:textId="77777777" w:rsidR="0007555D" w:rsidRPr="00C56257" w:rsidRDefault="0007555D" w:rsidP="008E33FD">
            <w:pPr>
              <w:jc w:val="both"/>
            </w:pPr>
            <w:r w:rsidRPr="00C56257">
              <w:t>Denumire</w:t>
            </w:r>
          </w:p>
        </w:tc>
        <w:tc>
          <w:tcPr>
            <w:tcW w:w="1326" w:type="dxa"/>
          </w:tcPr>
          <w:p w14:paraId="07D1D1A6" w14:textId="77777777" w:rsidR="0007555D" w:rsidRPr="00C56257" w:rsidRDefault="0007555D" w:rsidP="008E33FD">
            <w:pPr>
              <w:jc w:val="both"/>
            </w:pPr>
            <w:r w:rsidRPr="00C56257">
              <w:t>Intensitate</w:t>
            </w:r>
          </w:p>
        </w:tc>
        <w:tc>
          <w:tcPr>
            <w:tcW w:w="643" w:type="dxa"/>
          </w:tcPr>
          <w:p w14:paraId="17649384" w14:textId="77777777" w:rsidR="0007555D" w:rsidRPr="00C56257" w:rsidRDefault="0007555D" w:rsidP="008E33FD">
            <w:pPr>
              <w:jc w:val="both"/>
            </w:pPr>
            <w:r w:rsidRPr="00C56257">
              <w:t>Cod</w:t>
            </w:r>
          </w:p>
        </w:tc>
        <w:tc>
          <w:tcPr>
            <w:tcW w:w="2536" w:type="dxa"/>
          </w:tcPr>
          <w:p w14:paraId="087BEA00" w14:textId="77777777" w:rsidR="0007555D" w:rsidRPr="00C56257" w:rsidRDefault="0007555D" w:rsidP="008E33FD">
            <w:pPr>
              <w:jc w:val="both"/>
            </w:pPr>
            <w:r w:rsidRPr="00C56257">
              <w:t>Denumire</w:t>
            </w:r>
          </w:p>
        </w:tc>
        <w:tc>
          <w:tcPr>
            <w:tcW w:w="1310" w:type="dxa"/>
          </w:tcPr>
          <w:p w14:paraId="14CCBA93" w14:textId="77777777" w:rsidR="0007555D" w:rsidRPr="00C56257" w:rsidRDefault="0007555D" w:rsidP="008E33FD">
            <w:pPr>
              <w:jc w:val="both"/>
            </w:pPr>
            <w:r w:rsidRPr="00C56257">
              <w:t>Intensitate</w:t>
            </w:r>
          </w:p>
        </w:tc>
      </w:tr>
      <w:tr w:rsidR="0007555D" w:rsidRPr="00C56257" w14:paraId="11FEF769" w14:textId="77777777" w:rsidTr="0007555D">
        <w:tc>
          <w:tcPr>
            <w:tcW w:w="644" w:type="dxa"/>
            <w:vAlign w:val="center"/>
          </w:tcPr>
          <w:p w14:paraId="5F443C3A" w14:textId="77777777" w:rsidR="0007555D" w:rsidRPr="00C56257" w:rsidRDefault="0007555D" w:rsidP="00F100E1">
            <w:pPr>
              <w:jc w:val="both"/>
            </w:pPr>
            <w:r w:rsidRPr="00C56257">
              <w:t>L06</w:t>
            </w:r>
          </w:p>
        </w:tc>
        <w:tc>
          <w:tcPr>
            <w:tcW w:w="2557" w:type="dxa"/>
            <w:vAlign w:val="center"/>
          </w:tcPr>
          <w:p w14:paraId="57C764C5" w14:textId="77777777" w:rsidR="0007555D" w:rsidRPr="00C56257" w:rsidRDefault="0007555D" w:rsidP="00F100E1">
            <w:pPr>
              <w:jc w:val="both"/>
            </w:pPr>
            <w:r w:rsidRPr="00C56257">
              <w:t>Relații interspecifice (competiție, prădătorism, parazitism, patogeni)</w:t>
            </w:r>
          </w:p>
        </w:tc>
        <w:tc>
          <w:tcPr>
            <w:tcW w:w="1326" w:type="dxa"/>
            <w:vAlign w:val="center"/>
          </w:tcPr>
          <w:p w14:paraId="1771C265" w14:textId="77777777" w:rsidR="0007555D" w:rsidRPr="00C56257" w:rsidRDefault="0007555D" w:rsidP="00F100E1">
            <w:pPr>
              <w:jc w:val="both"/>
            </w:pPr>
            <w:r w:rsidRPr="00C56257">
              <w:t>Ridicată</w:t>
            </w:r>
          </w:p>
        </w:tc>
        <w:tc>
          <w:tcPr>
            <w:tcW w:w="643" w:type="dxa"/>
            <w:vAlign w:val="center"/>
          </w:tcPr>
          <w:p w14:paraId="023B5498" w14:textId="77777777" w:rsidR="0007555D" w:rsidRPr="00C56257" w:rsidRDefault="0007555D" w:rsidP="00F100E1">
            <w:pPr>
              <w:jc w:val="both"/>
            </w:pPr>
            <w:r w:rsidRPr="00C56257">
              <w:t>L06</w:t>
            </w:r>
          </w:p>
        </w:tc>
        <w:tc>
          <w:tcPr>
            <w:tcW w:w="2536" w:type="dxa"/>
            <w:vAlign w:val="center"/>
          </w:tcPr>
          <w:p w14:paraId="3928EBAA" w14:textId="77777777" w:rsidR="0007555D" w:rsidRPr="00C56257" w:rsidRDefault="0007555D" w:rsidP="00F100E1">
            <w:pPr>
              <w:jc w:val="both"/>
            </w:pPr>
            <w:r w:rsidRPr="00C56257">
              <w:t>Relații interspecifice (competiție, prădătorism, parazitism, patogeni)</w:t>
            </w:r>
          </w:p>
        </w:tc>
        <w:tc>
          <w:tcPr>
            <w:tcW w:w="1310" w:type="dxa"/>
            <w:vAlign w:val="center"/>
          </w:tcPr>
          <w:p w14:paraId="71E5A52F" w14:textId="77777777" w:rsidR="0007555D" w:rsidRPr="00C56257" w:rsidRDefault="0007555D" w:rsidP="00F100E1">
            <w:pPr>
              <w:jc w:val="both"/>
            </w:pPr>
            <w:r w:rsidRPr="00C56257">
              <w:t>Ridicată</w:t>
            </w:r>
          </w:p>
        </w:tc>
      </w:tr>
    </w:tbl>
    <w:p w14:paraId="7D662A04" w14:textId="77777777" w:rsidR="0007555D" w:rsidRPr="00C56257" w:rsidRDefault="0007555D" w:rsidP="008E33FD">
      <w:pPr>
        <w:keepNext/>
        <w:keepLines/>
        <w:spacing w:before="280" w:after="240" w:line="259" w:lineRule="auto"/>
        <w:ind w:left="708"/>
        <w:jc w:val="both"/>
        <w:outlineLvl w:val="1"/>
        <w:rPr>
          <w:rFonts w:eastAsia="Cambria"/>
          <w:b/>
          <w:color w:val="000000"/>
        </w:rPr>
      </w:pPr>
      <w:r w:rsidRPr="00C56257">
        <w:rPr>
          <w:rFonts w:eastAsia="Cambria"/>
          <w:b/>
          <w:color w:val="000000"/>
        </w:rPr>
        <w:t>Regiunea biogeografică Continentală</w:t>
      </w:r>
    </w:p>
    <w:tbl>
      <w:tblPr>
        <w:tblStyle w:val="TableGrid"/>
        <w:tblW w:w="0" w:type="auto"/>
        <w:tblLook w:val="04A0" w:firstRow="1" w:lastRow="0" w:firstColumn="1" w:lastColumn="0" w:noHBand="0" w:noVBand="1"/>
      </w:tblPr>
      <w:tblGrid>
        <w:gridCol w:w="644"/>
        <w:gridCol w:w="2557"/>
        <w:gridCol w:w="1326"/>
        <w:gridCol w:w="643"/>
        <w:gridCol w:w="2536"/>
        <w:gridCol w:w="1310"/>
      </w:tblGrid>
      <w:tr w:rsidR="0007555D" w:rsidRPr="00C56257" w14:paraId="152886D4" w14:textId="77777777" w:rsidTr="0007555D">
        <w:tc>
          <w:tcPr>
            <w:tcW w:w="4527" w:type="dxa"/>
            <w:gridSpan w:val="3"/>
          </w:tcPr>
          <w:p w14:paraId="5366E878" w14:textId="77777777" w:rsidR="0007555D" w:rsidRPr="00C56257" w:rsidRDefault="0007555D" w:rsidP="00F100E1">
            <w:pPr>
              <w:jc w:val="both"/>
            </w:pPr>
            <w:r w:rsidRPr="00C56257">
              <w:t>Presiuni</w:t>
            </w:r>
          </w:p>
        </w:tc>
        <w:tc>
          <w:tcPr>
            <w:tcW w:w="4489" w:type="dxa"/>
            <w:gridSpan w:val="3"/>
          </w:tcPr>
          <w:p w14:paraId="2DF117BD" w14:textId="77777777" w:rsidR="0007555D" w:rsidRPr="00C56257" w:rsidRDefault="0007555D" w:rsidP="00F100E1">
            <w:pPr>
              <w:jc w:val="both"/>
            </w:pPr>
            <w:r w:rsidRPr="00C56257">
              <w:t>Amenințări</w:t>
            </w:r>
          </w:p>
        </w:tc>
      </w:tr>
      <w:tr w:rsidR="0007555D" w:rsidRPr="00C56257" w14:paraId="11138A62" w14:textId="77777777" w:rsidTr="0007555D">
        <w:tc>
          <w:tcPr>
            <w:tcW w:w="644" w:type="dxa"/>
          </w:tcPr>
          <w:p w14:paraId="4EC92C56" w14:textId="77777777" w:rsidR="0007555D" w:rsidRPr="00C56257" w:rsidRDefault="0007555D" w:rsidP="008E33FD">
            <w:pPr>
              <w:jc w:val="both"/>
            </w:pPr>
            <w:r w:rsidRPr="00C56257">
              <w:t>Cod</w:t>
            </w:r>
          </w:p>
        </w:tc>
        <w:tc>
          <w:tcPr>
            <w:tcW w:w="2557" w:type="dxa"/>
          </w:tcPr>
          <w:p w14:paraId="16B6B75C" w14:textId="77777777" w:rsidR="0007555D" w:rsidRPr="00C56257" w:rsidRDefault="0007555D" w:rsidP="008E33FD">
            <w:pPr>
              <w:jc w:val="both"/>
            </w:pPr>
            <w:r w:rsidRPr="00C56257">
              <w:t>Denumire</w:t>
            </w:r>
          </w:p>
        </w:tc>
        <w:tc>
          <w:tcPr>
            <w:tcW w:w="1326" w:type="dxa"/>
          </w:tcPr>
          <w:p w14:paraId="7AA50F46" w14:textId="77777777" w:rsidR="0007555D" w:rsidRPr="00C56257" w:rsidRDefault="0007555D" w:rsidP="008E33FD">
            <w:pPr>
              <w:jc w:val="both"/>
            </w:pPr>
            <w:r w:rsidRPr="00C56257">
              <w:t>Intensitate</w:t>
            </w:r>
          </w:p>
        </w:tc>
        <w:tc>
          <w:tcPr>
            <w:tcW w:w="643" w:type="dxa"/>
          </w:tcPr>
          <w:p w14:paraId="2947DBE1" w14:textId="77777777" w:rsidR="0007555D" w:rsidRPr="00C56257" w:rsidRDefault="0007555D" w:rsidP="008E33FD">
            <w:pPr>
              <w:jc w:val="both"/>
            </w:pPr>
            <w:r w:rsidRPr="00C56257">
              <w:t>Cod</w:t>
            </w:r>
          </w:p>
        </w:tc>
        <w:tc>
          <w:tcPr>
            <w:tcW w:w="2536" w:type="dxa"/>
          </w:tcPr>
          <w:p w14:paraId="44CB0C7F" w14:textId="77777777" w:rsidR="0007555D" w:rsidRPr="00C56257" w:rsidRDefault="0007555D" w:rsidP="008E33FD">
            <w:pPr>
              <w:jc w:val="both"/>
            </w:pPr>
            <w:r w:rsidRPr="00C56257">
              <w:t>Denumire</w:t>
            </w:r>
          </w:p>
        </w:tc>
        <w:tc>
          <w:tcPr>
            <w:tcW w:w="1310" w:type="dxa"/>
          </w:tcPr>
          <w:p w14:paraId="3CAB4219" w14:textId="77777777" w:rsidR="0007555D" w:rsidRPr="00C56257" w:rsidRDefault="0007555D" w:rsidP="008E33FD">
            <w:pPr>
              <w:jc w:val="both"/>
            </w:pPr>
            <w:r w:rsidRPr="00C56257">
              <w:t>Intensitate</w:t>
            </w:r>
          </w:p>
        </w:tc>
      </w:tr>
      <w:tr w:rsidR="0007555D" w:rsidRPr="00C56257" w14:paraId="1FE70D89" w14:textId="77777777" w:rsidTr="0007555D">
        <w:tc>
          <w:tcPr>
            <w:tcW w:w="644" w:type="dxa"/>
            <w:vAlign w:val="center"/>
          </w:tcPr>
          <w:p w14:paraId="35B08826" w14:textId="77777777" w:rsidR="0007555D" w:rsidRPr="00C56257" w:rsidRDefault="0007555D" w:rsidP="00F100E1">
            <w:pPr>
              <w:jc w:val="both"/>
            </w:pPr>
            <w:r w:rsidRPr="00C56257">
              <w:t>L06</w:t>
            </w:r>
          </w:p>
        </w:tc>
        <w:tc>
          <w:tcPr>
            <w:tcW w:w="2557" w:type="dxa"/>
            <w:vAlign w:val="center"/>
          </w:tcPr>
          <w:p w14:paraId="5063FCA2" w14:textId="77777777" w:rsidR="0007555D" w:rsidRPr="00C56257" w:rsidRDefault="0007555D" w:rsidP="00F100E1">
            <w:pPr>
              <w:jc w:val="both"/>
            </w:pPr>
            <w:r w:rsidRPr="00C56257">
              <w:t>Relații interspecifice (competiție, prădătorism, parazitism, patogeni)</w:t>
            </w:r>
          </w:p>
        </w:tc>
        <w:tc>
          <w:tcPr>
            <w:tcW w:w="1326" w:type="dxa"/>
            <w:vAlign w:val="center"/>
          </w:tcPr>
          <w:p w14:paraId="26DFC319" w14:textId="77777777" w:rsidR="0007555D" w:rsidRPr="00C56257" w:rsidRDefault="0007555D" w:rsidP="00F100E1">
            <w:pPr>
              <w:jc w:val="both"/>
            </w:pPr>
            <w:r w:rsidRPr="00C56257">
              <w:t>Medie</w:t>
            </w:r>
          </w:p>
        </w:tc>
        <w:tc>
          <w:tcPr>
            <w:tcW w:w="643" w:type="dxa"/>
            <w:vAlign w:val="center"/>
          </w:tcPr>
          <w:p w14:paraId="714C4D4D" w14:textId="77777777" w:rsidR="0007555D" w:rsidRPr="00C56257" w:rsidRDefault="0007555D" w:rsidP="00F100E1">
            <w:pPr>
              <w:jc w:val="both"/>
            </w:pPr>
            <w:r w:rsidRPr="00C56257">
              <w:t>L06</w:t>
            </w:r>
          </w:p>
        </w:tc>
        <w:tc>
          <w:tcPr>
            <w:tcW w:w="2536" w:type="dxa"/>
            <w:vAlign w:val="center"/>
          </w:tcPr>
          <w:p w14:paraId="173E7E28" w14:textId="77777777" w:rsidR="0007555D" w:rsidRPr="00C56257" w:rsidRDefault="0007555D" w:rsidP="00F100E1">
            <w:pPr>
              <w:jc w:val="both"/>
            </w:pPr>
            <w:r w:rsidRPr="00C56257">
              <w:t>Relații interspecifice (competiție, prădătorism, parazitism, patogeni)</w:t>
            </w:r>
          </w:p>
        </w:tc>
        <w:tc>
          <w:tcPr>
            <w:tcW w:w="1310" w:type="dxa"/>
            <w:vAlign w:val="center"/>
          </w:tcPr>
          <w:p w14:paraId="537A8FAF" w14:textId="77777777" w:rsidR="0007555D" w:rsidRPr="00C56257" w:rsidRDefault="0007555D" w:rsidP="00F100E1">
            <w:pPr>
              <w:jc w:val="both"/>
            </w:pPr>
            <w:r w:rsidRPr="00C56257">
              <w:t>Medie</w:t>
            </w:r>
          </w:p>
        </w:tc>
      </w:tr>
    </w:tbl>
    <w:p w14:paraId="7DFEF5E4" w14:textId="77777777" w:rsidR="0007555D" w:rsidRPr="00C56257" w:rsidRDefault="0007555D" w:rsidP="008E33FD">
      <w:pPr>
        <w:tabs>
          <w:tab w:val="num" w:pos="360"/>
        </w:tabs>
        <w:ind w:left="360" w:hanging="360"/>
        <w:jc w:val="both"/>
        <w:rPr>
          <w:rFonts w:eastAsia="Calibri"/>
          <w:b/>
        </w:rPr>
      </w:pPr>
    </w:p>
    <w:p w14:paraId="392C23B7"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92A0 - Zăvoaie cu </w:t>
      </w:r>
      <w:r w:rsidRPr="00C56257">
        <w:rPr>
          <w:rFonts w:eastAsia="Calibri"/>
          <w:b/>
          <w:i/>
          <w:iCs/>
        </w:rPr>
        <w:t>Salix alba</w:t>
      </w:r>
      <w:r w:rsidRPr="00C56257">
        <w:rPr>
          <w:rFonts w:eastAsia="Calibri"/>
          <w:b/>
        </w:rPr>
        <w:t xml:space="preserve"> și </w:t>
      </w:r>
      <w:r w:rsidRPr="00C56257">
        <w:rPr>
          <w:rFonts w:eastAsia="Calibri"/>
          <w:b/>
          <w:i/>
          <w:iCs/>
        </w:rPr>
        <w:t>Populus alba</w:t>
      </w:r>
      <w:r w:rsidRPr="00C56257">
        <w:rPr>
          <w:rFonts w:eastAsia="Calibri"/>
          <w:b/>
        </w:rPr>
        <w:t xml:space="preserve"> </w:t>
      </w:r>
    </w:p>
    <w:p w14:paraId="6D62EEEE"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Continentală</w:t>
      </w:r>
    </w:p>
    <w:tbl>
      <w:tblPr>
        <w:tblStyle w:val="TableGrid"/>
        <w:tblW w:w="0" w:type="auto"/>
        <w:tblLook w:val="04A0" w:firstRow="1" w:lastRow="0" w:firstColumn="1" w:lastColumn="0" w:noHBand="0" w:noVBand="1"/>
      </w:tblPr>
      <w:tblGrid>
        <w:gridCol w:w="643"/>
        <w:gridCol w:w="2579"/>
        <w:gridCol w:w="1310"/>
        <w:gridCol w:w="643"/>
        <w:gridCol w:w="2531"/>
        <w:gridCol w:w="1310"/>
      </w:tblGrid>
      <w:tr w:rsidR="0007555D" w:rsidRPr="00C56257" w14:paraId="7863D702" w14:textId="77777777" w:rsidTr="0007555D">
        <w:tc>
          <w:tcPr>
            <w:tcW w:w="4532" w:type="dxa"/>
            <w:gridSpan w:val="3"/>
          </w:tcPr>
          <w:p w14:paraId="07751D4C" w14:textId="77777777" w:rsidR="0007555D" w:rsidRPr="00C56257" w:rsidRDefault="0007555D" w:rsidP="00F100E1">
            <w:pPr>
              <w:jc w:val="both"/>
            </w:pPr>
            <w:r w:rsidRPr="00C56257">
              <w:t>Presiuni</w:t>
            </w:r>
          </w:p>
        </w:tc>
        <w:tc>
          <w:tcPr>
            <w:tcW w:w="4484" w:type="dxa"/>
            <w:gridSpan w:val="3"/>
          </w:tcPr>
          <w:p w14:paraId="32F19166" w14:textId="77777777" w:rsidR="0007555D" w:rsidRPr="00C56257" w:rsidRDefault="0007555D" w:rsidP="00F100E1">
            <w:pPr>
              <w:jc w:val="both"/>
            </w:pPr>
            <w:r w:rsidRPr="00C56257">
              <w:t>Amenințări</w:t>
            </w:r>
          </w:p>
        </w:tc>
      </w:tr>
      <w:tr w:rsidR="0007555D" w:rsidRPr="00C56257" w14:paraId="3845BED5" w14:textId="77777777" w:rsidTr="0007555D">
        <w:tc>
          <w:tcPr>
            <w:tcW w:w="643" w:type="dxa"/>
          </w:tcPr>
          <w:p w14:paraId="293C6994" w14:textId="77777777" w:rsidR="0007555D" w:rsidRPr="00C56257" w:rsidRDefault="0007555D" w:rsidP="008E33FD">
            <w:pPr>
              <w:jc w:val="both"/>
            </w:pPr>
            <w:r w:rsidRPr="00C56257">
              <w:t>Cod</w:t>
            </w:r>
          </w:p>
        </w:tc>
        <w:tc>
          <w:tcPr>
            <w:tcW w:w="2579" w:type="dxa"/>
          </w:tcPr>
          <w:p w14:paraId="0DAB245E" w14:textId="77777777" w:rsidR="0007555D" w:rsidRPr="00C56257" w:rsidRDefault="0007555D" w:rsidP="008E33FD">
            <w:pPr>
              <w:jc w:val="both"/>
            </w:pPr>
            <w:r w:rsidRPr="00C56257">
              <w:t>Denumire</w:t>
            </w:r>
          </w:p>
        </w:tc>
        <w:tc>
          <w:tcPr>
            <w:tcW w:w="1310" w:type="dxa"/>
          </w:tcPr>
          <w:p w14:paraId="799ED634" w14:textId="77777777" w:rsidR="0007555D" w:rsidRPr="00C56257" w:rsidRDefault="0007555D" w:rsidP="008E33FD">
            <w:pPr>
              <w:jc w:val="both"/>
            </w:pPr>
            <w:r w:rsidRPr="00C56257">
              <w:t>Intensitate</w:t>
            </w:r>
          </w:p>
        </w:tc>
        <w:tc>
          <w:tcPr>
            <w:tcW w:w="643" w:type="dxa"/>
          </w:tcPr>
          <w:p w14:paraId="5D8C8199" w14:textId="77777777" w:rsidR="0007555D" w:rsidRPr="00C56257" w:rsidRDefault="0007555D" w:rsidP="008E33FD">
            <w:pPr>
              <w:jc w:val="both"/>
            </w:pPr>
            <w:r w:rsidRPr="00C56257">
              <w:t>Cod</w:t>
            </w:r>
          </w:p>
        </w:tc>
        <w:tc>
          <w:tcPr>
            <w:tcW w:w="2531" w:type="dxa"/>
          </w:tcPr>
          <w:p w14:paraId="7254BC65" w14:textId="77777777" w:rsidR="0007555D" w:rsidRPr="00C56257" w:rsidRDefault="0007555D" w:rsidP="008E33FD">
            <w:pPr>
              <w:jc w:val="both"/>
            </w:pPr>
            <w:r w:rsidRPr="00C56257">
              <w:t>Denumire</w:t>
            </w:r>
          </w:p>
        </w:tc>
        <w:tc>
          <w:tcPr>
            <w:tcW w:w="1310" w:type="dxa"/>
          </w:tcPr>
          <w:p w14:paraId="37CC6B86" w14:textId="77777777" w:rsidR="0007555D" w:rsidRPr="00C56257" w:rsidRDefault="0007555D" w:rsidP="008E33FD">
            <w:pPr>
              <w:jc w:val="both"/>
            </w:pPr>
            <w:r w:rsidRPr="00C56257">
              <w:t>Intensitate</w:t>
            </w:r>
          </w:p>
        </w:tc>
      </w:tr>
      <w:tr w:rsidR="0007555D" w:rsidRPr="00C56257" w14:paraId="199B6F22" w14:textId="77777777" w:rsidTr="0007555D">
        <w:tc>
          <w:tcPr>
            <w:tcW w:w="643" w:type="dxa"/>
            <w:vAlign w:val="center"/>
          </w:tcPr>
          <w:p w14:paraId="66B6D256" w14:textId="77777777" w:rsidR="0007555D" w:rsidRPr="00C56257" w:rsidRDefault="0007555D" w:rsidP="00F100E1">
            <w:pPr>
              <w:jc w:val="both"/>
            </w:pPr>
            <w:r w:rsidRPr="00C56257">
              <w:t>B07</w:t>
            </w:r>
          </w:p>
        </w:tc>
        <w:tc>
          <w:tcPr>
            <w:tcW w:w="2579" w:type="dxa"/>
            <w:vAlign w:val="center"/>
          </w:tcPr>
          <w:p w14:paraId="0EB008BC" w14:textId="77777777" w:rsidR="0007555D" w:rsidRPr="00C56257" w:rsidRDefault="0007555D" w:rsidP="00F100E1">
            <w:pPr>
              <w:jc w:val="both"/>
            </w:pPr>
            <w:r w:rsidRPr="00C56257">
              <w:t>Extragerea arborilor morți sau aproape morți</w:t>
            </w:r>
          </w:p>
        </w:tc>
        <w:tc>
          <w:tcPr>
            <w:tcW w:w="1310" w:type="dxa"/>
            <w:vAlign w:val="center"/>
          </w:tcPr>
          <w:p w14:paraId="124BBF75" w14:textId="77777777" w:rsidR="0007555D" w:rsidRPr="00C56257" w:rsidRDefault="0007555D" w:rsidP="00F100E1">
            <w:pPr>
              <w:jc w:val="both"/>
            </w:pPr>
            <w:r w:rsidRPr="00C56257">
              <w:t>Ridicată</w:t>
            </w:r>
          </w:p>
        </w:tc>
        <w:tc>
          <w:tcPr>
            <w:tcW w:w="643" w:type="dxa"/>
            <w:vAlign w:val="center"/>
          </w:tcPr>
          <w:p w14:paraId="7EFCB6F4" w14:textId="77777777" w:rsidR="0007555D" w:rsidRPr="00C56257" w:rsidRDefault="0007555D" w:rsidP="00F100E1">
            <w:pPr>
              <w:jc w:val="both"/>
            </w:pPr>
            <w:r w:rsidRPr="00C56257">
              <w:t>B07</w:t>
            </w:r>
          </w:p>
        </w:tc>
        <w:tc>
          <w:tcPr>
            <w:tcW w:w="2531" w:type="dxa"/>
            <w:vAlign w:val="center"/>
          </w:tcPr>
          <w:p w14:paraId="4003AB79" w14:textId="77777777" w:rsidR="0007555D" w:rsidRPr="00C56257" w:rsidRDefault="0007555D" w:rsidP="00F100E1">
            <w:pPr>
              <w:jc w:val="both"/>
            </w:pPr>
            <w:r w:rsidRPr="00C56257">
              <w:t>Extragerea arborilor morți sau aproape morți</w:t>
            </w:r>
          </w:p>
        </w:tc>
        <w:tc>
          <w:tcPr>
            <w:tcW w:w="1310" w:type="dxa"/>
            <w:vAlign w:val="center"/>
          </w:tcPr>
          <w:p w14:paraId="67D60C1C" w14:textId="77777777" w:rsidR="0007555D" w:rsidRPr="00C56257" w:rsidRDefault="0007555D" w:rsidP="00F100E1">
            <w:pPr>
              <w:jc w:val="both"/>
            </w:pPr>
            <w:r w:rsidRPr="00C56257">
              <w:t>Medie</w:t>
            </w:r>
          </w:p>
        </w:tc>
      </w:tr>
      <w:tr w:rsidR="0007555D" w:rsidRPr="00C56257" w14:paraId="4019CE59" w14:textId="77777777" w:rsidTr="0007555D">
        <w:tc>
          <w:tcPr>
            <w:tcW w:w="643" w:type="dxa"/>
            <w:vAlign w:val="center"/>
          </w:tcPr>
          <w:p w14:paraId="7B032079" w14:textId="77777777" w:rsidR="0007555D" w:rsidRPr="00C56257" w:rsidRDefault="0007555D" w:rsidP="00F100E1">
            <w:pPr>
              <w:jc w:val="both"/>
            </w:pPr>
            <w:r w:rsidRPr="00C56257">
              <w:t>A09</w:t>
            </w:r>
          </w:p>
        </w:tc>
        <w:tc>
          <w:tcPr>
            <w:tcW w:w="2579" w:type="dxa"/>
            <w:vAlign w:val="center"/>
          </w:tcPr>
          <w:p w14:paraId="4201B9D8" w14:textId="77777777" w:rsidR="0007555D" w:rsidRPr="00C56257" w:rsidRDefault="0007555D" w:rsidP="00F100E1">
            <w:pPr>
              <w:ind w:hanging="479"/>
              <w:jc w:val="both"/>
            </w:pPr>
            <w:r w:rsidRPr="00C56257">
              <w:t>Pășunat intensiv</w:t>
            </w:r>
          </w:p>
        </w:tc>
        <w:tc>
          <w:tcPr>
            <w:tcW w:w="1310" w:type="dxa"/>
            <w:vAlign w:val="center"/>
          </w:tcPr>
          <w:p w14:paraId="57435EEC" w14:textId="77777777" w:rsidR="0007555D" w:rsidRPr="00C56257" w:rsidRDefault="0007555D" w:rsidP="00F100E1">
            <w:pPr>
              <w:jc w:val="both"/>
            </w:pPr>
            <w:r w:rsidRPr="00C56257">
              <w:t>Medie</w:t>
            </w:r>
          </w:p>
        </w:tc>
        <w:tc>
          <w:tcPr>
            <w:tcW w:w="643" w:type="dxa"/>
            <w:vAlign w:val="center"/>
          </w:tcPr>
          <w:p w14:paraId="4E9D5A33" w14:textId="77777777" w:rsidR="0007555D" w:rsidRPr="00C56257" w:rsidRDefault="0007555D" w:rsidP="00F100E1">
            <w:pPr>
              <w:jc w:val="both"/>
            </w:pPr>
            <w:r w:rsidRPr="00C56257">
              <w:t>A09</w:t>
            </w:r>
          </w:p>
        </w:tc>
        <w:tc>
          <w:tcPr>
            <w:tcW w:w="2531" w:type="dxa"/>
            <w:vAlign w:val="center"/>
          </w:tcPr>
          <w:p w14:paraId="059A47E6" w14:textId="77777777" w:rsidR="0007555D" w:rsidRPr="00C56257" w:rsidRDefault="0007555D" w:rsidP="00F100E1">
            <w:pPr>
              <w:ind w:hanging="479"/>
              <w:jc w:val="both"/>
            </w:pPr>
            <w:r w:rsidRPr="00C56257">
              <w:t>Pășunat intensiv</w:t>
            </w:r>
          </w:p>
        </w:tc>
        <w:tc>
          <w:tcPr>
            <w:tcW w:w="1310" w:type="dxa"/>
            <w:vAlign w:val="center"/>
          </w:tcPr>
          <w:p w14:paraId="0AC4EF37" w14:textId="77777777" w:rsidR="0007555D" w:rsidRPr="00C56257" w:rsidRDefault="0007555D" w:rsidP="00F100E1">
            <w:pPr>
              <w:jc w:val="both"/>
            </w:pPr>
            <w:r w:rsidRPr="00C56257">
              <w:t>Medie</w:t>
            </w:r>
          </w:p>
        </w:tc>
      </w:tr>
    </w:tbl>
    <w:p w14:paraId="390DFD1B"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Panonică</w:t>
      </w:r>
    </w:p>
    <w:tbl>
      <w:tblPr>
        <w:tblStyle w:val="TableGrid"/>
        <w:tblW w:w="0" w:type="auto"/>
        <w:tblLook w:val="04A0" w:firstRow="1" w:lastRow="0" w:firstColumn="1" w:lastColumn="0" w:noHBand="0" w:noVBand="1"/>
      </w:tblPr>
      <w:tblGrid>
        <w:gridCol w:w="643"/>
        <w:gridCol w:w="2513"/>
        <w:gridCol w:w="1429"/>
        <w:gridCol w:w="630"/>
        <w:gridCol w:w="2597"/>
        <w:gridCol w:w="1310"/>
      </w:tblGrid>
      <w:tr w:rsidR="0007555D" w:rsidRPr="00C56257" w14:paraId="7F77D1EC" w14:textId="77777777" w:rsidTr="0007555D">
        <w:tc>
          <w:tcPr>
            <w:tcW w:w="4585" w:type="dxa"/>
            <w:gridSpan w:val="3"/>
          </w:tcPr>
          <w:p w14:paraId="68B3C74D" w14:textId="77777777" w:rsidR="0007555D" w:rsidRPr="00C56257" w:rsidRDefault="0007555D" w:rsidP="00F100E1">
            <w:pPr>
              <w:jc w:val="both"/>
            </w:pPr>
            <w:r w:rsidRPr="00C56257">
              <w:t>Presiuni</w:t>
            </w:r>
          </w:p>
        </w:tc>
        <w:tc>
          <w:tcPr>
            <w:tcW w:w="4537" w:type="dxa"/>
            <w:gridSpan w:val="3"/>
          </w:tcPr>
          <w:p w14:paraId="53F1D4A6" w14:textId="77777777" w:rsidR="0007555D" w:rsidRPr="00C56257" w:rsidRDefault="0007555D" w:rsidP="00F100E1">
            <w:pPr>
              <w:jc w:val="both"/>
            </w:pPr>
            <w:r w:rsidRPr="00C56257">
              <w:t>Amenințări</w:t>
            </w:r>
          </w:p>
        </w:tc>
      </w:tr>
      <w:tr w:rsidR="0007555D" w:rsidRPr="00C56257" w14:paraId="3AE70AF4" w14:textId="77777777" w:rsidTr="0007555D">
        <w:tc>
          <w:tcPr>
            <w:tcW w:w="643" w:type="dxa"/>
          </w:tcPr>
          <w:p w14:paraId="32BD40F9" w14:textId="77777777" w:rsidR="0007555D" w:rsidRPr="00C56257" w:rsidRDefault="0007555D" w:rsidP="008E33FD">
            <w:pPr>
              <w:jc w:val="both"/>
            </w:pPr>
            <w:r w:rsidRPr="00C56257">
              <w:t>Cod</w:t>
            </w:r>
          </w:p>
        </w:tc>
        <w:tc>
          <w:tcPr>
            <w:tcW w:w="2513" w:type="dxa"/>
          </w:tcPr>
          <w:p w14:paraId="21725C36" w14:textId="77777777" w:rsidR="0007555D" w:rsidRPr="00C56257" w:rsidRDefault="0007555D" w:rsidP="008E33FD">
            <w:pPr>
              <w:jc w:val="both"/>
            </w:pPr>
            <w:r w:rsidRPr="00C56257">
              <w:t>Denumire</w:t>
            </w:r>
          </w:p>
        </w:tc>
        <w:tc>
          <w:tcPr>
            <w:tcW w:w="1429" w:type="dxa"/>
          </w:tcPr>
          <w:p w14:paraId="3B484F98" w14:textId="77777777" w:rsidR="0007555D" w:rsidRPr="00C56257" w:rsidRDefault="0007555D" w:rsidP="008E33FD">
            <w:pPr>
              <w:jc w:val="both"/>
            </w:pPr>
            <w:r w:rsidRPr="00C56257">
              <w:t>Intensitate</w:t>
            </w:r>
          </w:p>
        </w:tc>
        <w:tc>
          <w:tcPr>
            <w:tcW w:w="630" w:type="dxa"/>
          </w:tcPr>
          <w:p w14:paraId="60225B19" w14:textId="77777777" w:rsidR="0007555D" w:rsidRPr="00C56257" w:rsidRDefault="0007555D" w:rsidP="008E33FD">
            <w:pPr>
              <w:jc w:val="both"/>
            </w:pPr>
            <w:r w:rsidRPr="00C56257">
              <w:t>Cod</w:t>
            </w:r>
          </w:p>
        </w:tc>
        <w:tc>
          <w:tcPr>
            <w:tcW w:w="2597" w:type="dxa"/>
          </w:tcPr>
          <w:p w14:paraId="210DC8F7" w14:textId="77777777" w:rsidR="0007555D" w:rsidRPr="00C56257" w:rsidRDefault="0007555D" w:rsidP="008E33FD">
            <w:pPr>
              <w:jc w:val="both"/>
            </w:pPr>
            <w:r w:rsidRPr="00C56257">
              <w:t>Denumire</w:t>
            </w:r>
          </w:p>
        </w:tc>
        <w:tc>
          <w:tcPr>
            <w:tcW w:w="1310" w:type="dxa"/>
          </w:tcPr>
          <w:p w14:paraId="28E38160" w14:textId="77777777" w:rsidR="0007555D" w:rsidRPr="00C56257" w:rsidRDefault="0007555D" w:rsidP="008E33FD">
            <w:pPr>
              <w:jc w:val="both"/>
            </w:pPr>
            <w:r w:rsidRPr="00C56257">
              <w:t>Intensitate</w:t>
            </w:r>
          </w:p>
        </w:tc>
      </w:tr>
      <w:tr w:rsidR="0007555D" w:rsidRPr="00C56257" w14:paraId="6744B090" w14:textId="77777777" w:rsidTr="0007555D">
        <w:tc>
          <w:tcPr>
            <w:tcW w:w="643" w:type="dxa"/>
            <w:vAlign w:val="center"/>
          </w:tcPr>
          <w:p w14:paraId="4C9C0CA1" w14:textId="77777777" w:rsidR="0007555D" w:rsidRPr="00C56257" w:rsidRDefault="0007555D" w:rsidP="00F100E1">
            <w:pPr>
              <w:jc w:val="both"/>
            </w:pPr>
            <w:r w:rsidRPr="00C56257">
              <w:t>A09</w:t>
            </w:r>
          </w:p>
        </w:tc>
        <w:tc>
          <w:tcPr>
            <w:tcW w:w="2513" w:type="dxa"/>
            <w:vAlign w:val="center"/>
          </w:tcPr>
          <w:p w14:paraId="199D5C19" w14:textId="77777777" w:rsidR="0007555D" w:rsidRPr="00C56257" w:rsidRDefault="0007555D" w:rsidP="00F100E1">
            <w:pPr>
              <w:jc w:val="both"/>
            </w:pPr>
            <w:r w:rsidRPr="00C56257">
              <w:t>Pășunat intensiv</w:t>
            </w:r>
          </w:p>
        </w:tc>
        <w:tc>
          <w:tcPr>
            <w:tcW w:w="1429" w:type="dxa"/>
            <w:vAlign w:val="center"/>
          </w:tcPr>
          <w:p w14:paraId="44E2FC3B" w14:textId="77777777" w:rsidR="0007555D" w:rsidRPr="00C56257" w:rsidRDefault="0007555D" w:rsidP="00F100E1">
            <w:pPr>
              <w:jc w:val="both"/>
            </w:pPr>
            <w:r w:rsidRPr="00C56257">
              <w:t>Medie</w:t>
            </w:r>
          </w:p>
        </w:tc>
        <w:tc>
          <w:tcPr>
            <w:tcW w:w="630" w:type="dxa"/>
            <w:vAlign w:val="center"/>
          </w:tcPr>
          <w:p w14:paraId="52F33268" w14:textId="77777777" w:rsidR="0007555D" w:rsidRPr="00C56257" w:rsidRDefault="0007555D" w:rsidP="00F100E1">
            <w:pPr>
              <w:jc w:val="both"/>
            </w:pPr>
            <w:r w:rsidRPr="00C56257">
              <w:t>A09</w:t>
            </w:r>
          </w:p>
        </w:tc>
        <w:tc>
          <w:tcPr>
            <w:tcW w:w="2597" w:type="dxa"/>
            <w:vAlign w:val="center"/>
          </w:tcPr>
          <w:p w14:paraId="56E1AADA" w14:textId="77777777" w:rsidR="0007555D" w:rsidRPr="00C56257" w:rsidRDefault="0007555D" w:rsidP="00F100E1">
            <w:pPr>
              <w:jc w:val="both"/>
            </w:pPr>
            <w:r w:rsidRPr="00C56257">
              <w:t>Pășunat intensiv</w:t>
            </w:r>
          </w:p>
        </w:tc>
        <w:tc>
          <w:tcPr>
            <w:tcW w:w="1310" w:type="dxa"/>
            <w:vAlign w:val="center"/>
          </w:tcPr>
          <w:p w14:paraId="2A645CB1" w14:textId="77777777" w:rsidR="0007555D" w:rsidRPr="00C56257" w:rsidRDefault="0007555D" w:rsidP="00F100E1">
            <w:pPr>
              <w:jc w:val="both"/>
            </w:pPr>
            <w:r w:rsidRPr="00C56257">
              <w:t>Medie</w:t>
            </w:r>
          </w:p>
        </w:tc>
      </w:tr>
    </w:tbl>
    <w:p w14:paraId="51368257"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lastRenderedPageBreak/>
        <w:t>Regiunea biogeografică Stepică</w:t>
      </w:r>
    </w:p>
    <w:tbl>
      <w:tblPr>
        <w:tblStyle w:val="TableGrid"/>
        <w:tblW w:w="0" w:type="auto"/>
        <w:tblLook w:val="04A0" w:firstRow="1" w:lastRow="0" w:firstColumn="1" w:lastColumn="0" w:noHBand="0" w:noVBand="1"/>
      </w:tblPr>
      <w:tblGrid>
        <w:gridCol w:w="643"/>
        <w:gridCol w:w="2579"/>
        <w:gridCol w:w="1310"/>
        <w:gridCol w:w="643"/>
        <w:gridCol w:w="2531"/>
        <w:gridCol w:w="1310"/>
      </w:tblGrid>
      <w:tr w:rsidR="0007555D" w:rsidRPr="00C56257" w14:paraId="0CEBDC4D" w14:textId="77777777" w:rsidTr="0007555D">
        <w:tc>
          <w:tcPr>
            <w:tcW w:w="4532" w:type="dxa"/>
            <w:gridSpan w:val="3"/>
          </w:tcPr>
          <w:p w14:paraId="33333160" w14:textId="77777777" w:rsidR="0007555D" w:rsidRPr="00C56257" w:rsidRDefault="0007555D" w:rsidP="00F100E1">
            <w:pPr>
              <w:jc w:val="both"/>
            </w:pPr>
            <w:r w:rsidRPr="00C56257">
              <w:t>Presiuni</w:t>
            </w:r>
          </w:p>
        </w:tc>
        <w:tc>
          <w:tcPr>
            <w:tcW w:w="4484" w:type="dxa"/>
            <w:gridSpan w:val="3"/>
          </w:tcPr>
          <w:p w14:paraId="4DFA0DAF" w14:textId="77777777" w:rsidR="0007555D" w:rsidRPr="00C56257" w:rsidRDefault="0007555D" w:rsidP="00F100E1">
            <w:pPr>
              <w:jc w:val="both"/>
            </w:pPr>
            <w:r w:rsidRPr="00C56257">
              <w:t>Amenințări</w:t>
            </w:r>
          </w:p>
        </w:tc>
      </w:tr>
      <w:tr w:rsidR="0007555D" w:rsidRPr="00C56257" w14:paraId="739E45B0" w14:textId="77777777" w:rsidTr="0007555D">
        <w:tc>
          <w:tcPr>
            <w:tcW w:w="643" w:type="dxa"/>
          </w:tcPr>
          <w:p w14:paraId="4F6F34C3" w14:textId="77777777" w:rsidR="0007555D" w:rsidRPr="00C56257" w:rsidRDefault="0007555D" w:rsidP="008E33FD">
            <w:pPr>
              <w:jc w:val="both"/>
            </w:pPr>
            <w:r w:rsidRPr="00C56257">
              <w:t>Cod</w:t>
            </w:r>
          </w:p>
        </w:tc>
        <w:tc>
          <w:tcPr>
            <w:tcW w:w="2579" w:type="dxa"/>
          </w:tcPr>
          <w:p w14:paraId="7847FEEB" w14:textId="77777777" w:rsidR="0007555D" w:rsidRPr="00C56257" w:rsidRDefault="0007555D" w:rsidP="008E33FD">
            <w:pPr>
              <w:jc w:val="both"/>
            </w:pPr>
            <w:r w:rsidRPr="00C56257">
              <w:t>Denumire</w:t>
            </w:r>
          </w:p>
        </w:tc>
        <w:tc>
          <w:tcPr>
            <w:tcW w:w="1310" w:type="dxa"/>
          </w:tcPr>
          <w:p w14:paraId="7D0B74A7" w14:textId="77777777" w:rsidR="0007555D" w:rsidRPr="00C56257" w:rsidRDefault="0007555D" w:rsidP="008E33FD">
            <w:pPr>
              <w:jc w:val="both"/>
            </w:pPr>
            <w:r w:rsidRPr="00C56257">
              <w:t>Intensitate</w:t>
            </w:r>
          </w:p>
        </w:tc>
        <w:tc>
          <w:tcPr>
            <w:tcW w:w="643" w:type="dxa"/>
          </w:tcPr>
          <w:p w14:paraId="3B873177" w14:textId="77777777" w:rsidR="0007555D" w:rsidRPr="00C56257" w:rsidRDefault="0007555D" w:rsidP="008E33FD">
            <w:pPr>
              <w:jc w:val="both"/>
            </w:pPr>
            <w:r w:rsidRPr="00C56257">
              <w:t>Cod</w:t>
            </w:r>
          </w:p>
        </w:tc>
        <w:tc>
          <w:tcPr>
            <w:tcW w:w="2531" w:type="dxa"/>
          </w:tcPr>
          <w:p w14:paraId="4C817361" w14:textId="77777777" w:rsidR="0007555D" w:rsidRPr="00C56257" w:rsidRDefault="0007555D" w:rsidP="008E33FD">
            <w:pPr>
              <w:jc w:val="both"/>
            </w:pPr>
            <w:r w:rsidRPr="00C56257">
              <w:t>Denumire</w:t>
            </w:r>
          </w:p>
        </w:tc>
        <w:tc>
          <w:tcPr>
            <w:tcW w:w="1310" w:type="dxa"/>
          </w:tcPr>
          <w:p w14:paraId="1D341F37" w14:textId="77777777" w:rsidR="0007555D" w:rsidRPr="00C56257" w:rsidRDefault="0007555D" w:rsidP="008E33FD">
            <w:pPr>
              <w:jc w:val="both"/>
            </w:pPr>
            <w:r w:rsidRPr="00C56257">
              <w:t>Intensitate</w:t>
            </w:r>
          </w:p>
        </w:tc>
      </w:tr>
      <w:tr w:rsidR="0007555D" w:rsidRPr="00C56257" w14:paraId="0FAFF265" w14:textId="77777777" w:rsidTr="0007555D">
        <w:tc>
          <w:tcPr>
            <w:tcW w:w="643" w:type="dxa"/>
            <w:vAlign w:val="center"/>
          </w:tcPr>
          <w:p w14:paraId="19E4606F" w14:textId="77777777" w:rsidR="0007555D" w:rsidRPr="00C56257" w:rsidRDefault="0007555D" w:rsidP="00F100E1">
            <w:pPr>
              <w:jc w:val="both"/>
            </w:pPr>
            <w:r w:rsidRPr="00C56257">
              <w:t>A09</w:t>
            </w:r>
          </w:p>
        </w:tc>
        <w:tc>
          <w:tcPr>
            <w:tcW w:w="2579" w:type="dxa"/>
            <w:vAlign w:val="center"/>
          </w:tcPr>
          <w:p w14:paraId="69544096" w14:textId="77777777" w:rsidR="0007555D" w:rsidRPr="00C56257" w:rsidRDefault="0007555D" w:rsidP="00F100E1">
            <w:pPr>
              <w:jc w:val="both"/>
            </w:pPr>
            <w:r w:rsidRPr="00C56257">
              <w:t>Pășunat intensiv</w:t>
            </w:r>
          </w:p>
        </w:tc>
        <w:tc>
          <w:tcPr>
            <w:tcW w:w="1310" w:type="dxa"/>
            <w:vAlign w:val="center"/>
          </w:tcPr>
          <w:p w14:paraId="603EB885" w14:textId="77777777" w:rsidR="0007555D" w:rsidRPr="00C56257" w:rsidRDefault="0007555D" w:rsidP="00F100E1">
            <w:pPr>
              <w:jc w:val="both"/>
            </w:pPr>
            <w:r w:rsidRPr="00C56257">
              <w:t>Ridicată</w:t>
            </w:r>
          </w:p>
        </w:tc>
        <w:tc>
          <w:tcPr>
            <w:tcW w:w="643" w:type="dxa"/>
            <w:vAlign w:val="center"/>
          </w:tcPr>
          <w:p w14:paraId="6139B416" w14:textId="77777777" w:rsidR="0007555D" w:rsidRPr="00C56257" w:rsidRDefault="0007555D" w:rsidP="00F100E1">
            <w:pPr>
              <w:jc w:val="both"/>
            </w:pPr>
            <w:r w:rsidRPr="00C56257">
              <w:t>A09</w:t>
            </w:r>
          </w:p>
        </w:tc>
        <w:tc>
          <w:tcPr>
            <w:tcW w:w="2531" w:type="dxa"/>
            <w:vAlign w:val="center"/>
          </w:tcPr>
          <w:p w14:paraId="7DBE8DCD" w14:textId="77777777" w:rsidR="0007555D" w:rsidRPr="00C56257" w:rsidRDefault="0007555D" w:rsidP="00F100E1">
            <w:pPr>
              <w:jc w:val="both"/>
            </w:pPr>
            <w:r w:rsidRPr="00C56257">
              <w:t>Pășunat intensiv</w:t>
            </w:r>
          </w:p>
        </w:tc>
        <w:tc>
          <w:tcPr>
            <w:tcW w:w="1310" w:type="dxa"/>
            <w:vAlign w:val="center"/>
          </w:tcPr>
          <w:p w14:paraId="1252DB33" w14:textId="77777777" w:rsidR="0007555D" w:rsidRPr="00C56257" w:rsidRDefault="0007555D" w:rsidP="00F100E1">
            <w:pPr>
              <w:jc w:val="both"/>
            </w:pPr>
            <w:r w:rsidRPr="00C56257">
              <w:t>Ridicată</w:t>
            </w:r>
          </w:p>
        </w:tc>
      </w:tr>
      <w:tr w:rsidR="0007555D" w:rsidRPr="00C56257" w14:paraId="2D16F32C" w14:textId="77777777" w:rsidTr="0007555D">
        <w:tc>
          <w:tcPr>
            <w:tcW w:w="643" w:type="dxa"/>
            <w:vAlign w:val="center"/>
          </w:tcPr>
          <w:p w14:paraId="6BF2CF60" w14:textId="77777777" w:rsidR="0007555D" w:rsidRPr="00C56257" w:rsidRDefault="0007555D" w:rsidP="00F100E1">
            <w:pPr>
              <w:jc w:val="both"/>
            </w:pPr>
            <w:r w:rsidRPr="00C56257">
              <w:t>B07</w:t>
            </w:r>
          </w:p>
        </w:tc>
        <w:tc>
          <w:tcPr>
            <w:tcW w:w="2579" w:type="dxa"/>
            <w:vAlign w:val="center"/>
          </w:tcPr>
          <w:p w14:paraId="5D0A890A" w14:textId="77777777" w:rsidR="0007555D" w:rsidRPr="00C56257" w:rsidRDefault="0007555D" w:rsidP="00F100E1">
            <w:pPr>
              <w:jc w:val="both"/>
            </w:pPr>
            <w:r w:rsidRPr="00C56257">
              <w:t>Extragerea arborilor morți sau aproape morți</w:t>
            </w:r>
          </w:p>
        </w:tc>
        <w:tc>
          <w:tcPr>
            <w:tcW w:w="1310" w:type="dxa"/>
            <w:vAlign w:val="center"/>
          </w:tcPr>
          <w:p w14:paraId="78382583" w14:textId="77777777" w:rsidR="0007555D" w:rsidRPr="00C56257" w:rsidRDefault="0007555D" w:rsidP="00F100E1">
            <w:pPr>
              <w:jc w:val="both"/>
            </w:pPr>
            <w:r w:rsidRPr="00C56257">
              <w:t>Medie</w:t>
            </w:r>
          </w:p>
        </w:tc>
        <w:tc>
          <w:tcPr>
            <w:tcW w:w="643" w:type="dxa"/>
            <w:vAlign w:val="center"/>
          </w:tcPr>
          <w:p w14:paraId="1D040D7A" w14:textId="77777777" w:rsidR="0007555D" w:rsidRPr="00C56257" w:rsidRDefault="0007555D" w:rsidP="00F100E1">
            <w:pPr>
              <w:jc w:val="both"/>
            </w:pPr>
            <w:r w:rsidRPr="00C56257">
              <w:t>B07</w:t>
            </w:r>
          </w:p>
        </w:tc>
        <w:tc>
          <w:tcPr>
            <w:tcW w:w="2531" w:type="dxa"/>
            <w:vAlign w:val="center"/>
          </w:tcPr>
          <w:p w14:paraId="3F85B09A" w14:textId="77777777" w:rsidR="0007555D" w:rsidRPr="00C56257" w:rsidRDefault="0007555D" w:rsidP="00F100E1">
            <w:pPr>
              <w:jc w:val="both"/>
            </w:pPr>
            <w:r w:rsidRPr="00C56257">
              <w:t>Extragerea arborilor morți sau aproape morți</w:t>
            </w:r>
          </w:p>
        </w:tc>
        <w:tc>
          <w:tcPr>
            <w:tcW w:w="1310" w:type="dxa"/>
            <w:vAlign w:val="center"/>
          </w:tcPr>
          <w:p w14:paraId="06D4CF07" w14:textId="77777777" w:rsidR="0007555D" w:rsidRPr="00C56257" w:rsidRDefault="0007555D" w:rsidP="00F100E1">
            <w:pPr>
              <w:jc w:val="both"/>
            </w:pPr>
            <w:r w:rsidRPr="00C56257">
              <w:t>Medie</w:t>
            </w:r>
          </w:p>
        </w:tc>
      </w:tr>
      <w:tr w:rsidR="0007555D" w:rsidRPr="00C56257" w14:paraId="0E08A225" w14:textId="77777777" w:rsidTr="0007555D">
        <w:tc>
          <w:tcPr>
            <w:tcW w:w="643" w:type="dxa"/>
            <w:vAlign w:val="center"/>
          </w:tcPr>
          <w:p w14:paraId="647B983A" w14:textId="77777777" w:rsidR="0007555D" w:rsidRPr="00C56257" w:rsidRDefault="0007555D" w:rsidP="00F100E1">
            <w:pPr>
              <w:jc w:val="both"/>
            </w:pPr>
            <w:r w:rsidRPr="00C56257">
              <w:t>B12</w:t>
            </w:r>
          </w:p>
        </w:tc>
        <w:tc>
          <w:tcPr>
            <w:tcW w:w="2579" w:type="dxa"/>
            <w:vAlign w:val="center"/>
          </w:tcPr>
          <w:p w14:paraId="748BE094" w14:textId="77777777" w:rsidR="0007555D" w:rsidRPr="00C56257" w:rsidRDefault="0007555D" w:rsidP="00F100E1">
            <w:pPr>
              <w:jc w:val="both"/>
            </w:pPr>
            <w:r w:rsidRPr="00C56257">
              <w:t>Rărituri</w:t>
            </w:r>
          </w:p>
        </w:tc>
        <w:tc>
          <w:tcPr>
            <w:tcW w:w="1310" w:type="dxa"/>
            <w:vAlign w:val="center"/>
          </w:tcPr>
          <w:p w14:paraId="3533831B" w14:textId="77777777" w:rsidR="0007555D" w:rsidRPr="00C56257" w:rsidRDefault="0007555D" w:rsidP="00F100E1">
            <w:pPr>
              <w:jc w:val="both"/>
            </w:pPr>
            <w:r w:rsidRPr="00C56257">
              <w:t>Medie</w:t>
            </w:r>
          </w:p>
        </w:tc>
        <w:tc>
          <w:tcPr>
            <w:tcW w:w="643" w:type="dxa"/>
            <w:vAlign w:val="center"/>
          </w:tcPr>
          <w:p w14:paraId="143967AC" w14:textId="77777777" w:rsidR="0007555D" w:rsidRPr="00C56257" w:rsidRDefault="0007555D" w:rsidP="00F100E1">
            <w:pPr>
              <w:jc w:val="both"/>
            </w:pPr>
            <w:r w:rsidRPr="00C56257">
              <w:t>B12</w:t>
            </w:r>
          </w:p>
        </w:tc>
        <w:tc>
          <w:tcPr>
            <w:tcW w:w="2531" w:type="dxa"/>
            <w:vAlign w:val="center"/>
          </w:tcPr>
          <w:p w14:paraId="794AE22F" w14:textId="77777777" w:rsidR="0007555D" w:rsidRPr="00C56257" w:rsidRDefault="0007555D" w:rsidP="00F100E1">
            <w:pPr>
              <w:jc w:val="both"/>
            </w:pPr>
            <w:r w:rsidRPr="00C56257">
              <w:t>Rărituri</w:t>
            </w:r>
          </w:p>
        </w:tc>
        <w:tc>
          <w:tcPr>
            <w:tcW w:w="1310" w:type="dxa"/>
            <w:vAlign w:val="center"/>
          </w:tcPr>
          <w:p w14:paraId="48D427D3" w14:textId="77777777" w:rsidR="0007555D" w:rsidRPr="00C56257" w:rsidRDefault="0007555D" w:rsidP="00F100E1">
            <w:pPr>
              <w:jc w:val="both"/>
            </w:pPr>
            <w:r w:rsidRPr="00C56257">
              <w:t>Medie</w:t>
            </w:r>
          </w:p>
        </w:tc>
      </w:tr>
    </w:tbl>
    <w:p w14:paraId="7C412CC5"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Marea Neagră</w:t>
      </w:r>
    </w:p>
    <w:tbl>
      <w:tblPr>
        <w:tblStyle w:val="TableGrid"/>
        <w:tblW w:w="0" w:type="auto"/>
        <w:tblLook w:val="04A0" w:firstRow="1" w:lastRow="0" w:firstColumn="1" w:lastColumn="0" w:noHBand="0" w:noVBand="1"/>
      </w:tblPr>
      <w:tblGrid>
        <w:gridCol w:w="643"/>
        <w:gridCol w:w="2579"/>
        <w:gridCol w:w="1310"/>
        <w:gridCol w:w="643"/>
        <w:gridCol w:w="2531"/>
        <w:gridCol w:w="1310"/>
      </w:tblGrid>
      <w:tr w:rsidR="0007555D" w:rsidRPr="00C56257" w14:paraId="169D35DF" w14:textId="77777777" w:rsidTr="0007555D">
        <w:tc>
          <w:tcPr>
            <w:tcW w:w="4532" w:type="dxa"/>
            <w:gridSpan w:val="3"/>
          </w:tcPr>
          <w:p w14:paraId="6B5F7EC5" w14:textId="77777777" w:rsidR="0007555D" w:rsidRPr="00C56257" w:rsidRDefault="0007555D" w:rsidP="00F100E1">
            <w:pPr>
              <w:jc w:val="both"/>
            </w:pPr>
            <w:r w:rsidRPr="00C56257">
              <w:t>Presiuni</w:t>
            </w:r>
          </w:p>
        </w:tc>
        <w:tc>
          <w:tcPr>
            <w:tcW w:w="4484" w:type="dxa"/>
            <w:gridSpan w:val="3"/>
          </w:tcPr>
          <w:p w14:paraId="498F397C" w14:textId="77777777" w:rsidR="0007555D" w:rsidRPr="00C56257" w:rsidRDefault="0007555D" w:rsidP="00F100E1">
            <w:pPr>
              <w:jc w:val="both"/>
            </w:pPr>
            <w:r w:rsidRPr="00C56257">
              <w:t>Amenințări</w:t>
            </w:r>
          </w:p>
        </w:tc>
      </w:tr>
      <w:tr w:rsidR="0007555D" w:rsidRPr="00C56257" w14:paraId="5E194992" w14:textId="77777777" w:rsidTr="0007555D">
        <w:tc>
          <w:tcPr>
            <w:tcW w:w="643" w:type="dxa"/>
          </w:tcPr>
          <w:p w14:paraId="28286E1A" w14:textId="77777777" w:rsidR="0007555D" w:rsidRPr="00C56257" w:rsidRDefault="0007555D" w:rsidP="008E33FD">
            <w:pPr>
              <w:jc w:val="both"/>
            </w:pPr>
            <w:r w:rsidRPr="00C56257">
              <w:t>Cod</w:t>
            </w:r>
          </w:p>
        </w:tc>
        <w:tc>
          <w:tcPr>
            <w:tcW w:w="2579" w:type="dxa"/>
          </w:tcPr>
          <w:p w14:paraId="321496DD" w14:textId="77777777" w:rsidR="0007555D" w:rsidRPr="00C56257" w:rsidRDefault="0007555D" w:rsidP="008E33FD">
            <w:pPr>
              <w:jc w:val="both"/>
            </w:pPr>
            <w:r w:rsidRPr="00C56257">
              <w:t>Denumire</w:t>
            </w:r>
          </w:p>
        </w:tc>
        <w:tc>
          <w:tcPr>
            <w:tcW w:w="1310" w:type="dxa"/>
          </w:tcPr>
          <w:p w14:paraId="5AEC77B2" w14:textId="77777777" w:rsidR="0007555D" w:rsidRPr="00C56257" w:rsidRDefault="0007555D" w:rsidP="008E33FD">
            <w:pPr>
              <w:jc w:val="both"/>
            </w:pPr>
            <w:r w:rsidRPr="00C56257">
              <w:t>Intensitate</w:t>
            </w:r>
          </w:p>
        </w:tc>
        <w:tc>
          <w:tcPr>
            <w:tcW w:w="643" w:type="dxa"/>
          </w:tcPr>
          <w:p w14:paraId="3CB8D895" w14:textId="77777777" w:rsidR="0007555D" w:rsidRPr="00C56257" w:rsidRDefault="0007555D" w:rsidP="008E33FD">
            <w:pPr>
              <w:jc w:val="both"/>
            </w:pPr>
            <w:r w:rsidRPr="00C56257">
              <w:t>Cod</w:t>
            </w:r>
          </w:p>
        </w:tc>
        <w:tc>
          <w:tcPr>
            <w:tcW w:w="2531" w:type="dxa"/>
          </w:tcPr>
          <w:p w14:paraId="1A599BB5" w14:textId="77777777" w:rsidR="0007555D" w:rsidRPr="00C56257" w:rsidRDefault="0007555D" w:rsidP="008E33FD">
            <w:pPr>
              <w:jc w:val="both"/>
            </w:pPr>
            <w:r w:rsidRPr="00C56257">
              <w:t>Denumire</w:t>
            </w:r>
          </w:p>
        </w:tc>
        <w:tc>
          <w:tcPr>
            <w:tcW w:w="1310" w:type="dxa"/>
          </w:tcPr>
          <w:p w14:paraId="7AB71E7B" w14:textId="77777777" w:rsidR="0007555D" w:rsidRPr="00C56257" w:rsidRDefault="0007555D" w:rsidP="008E33FD">
            <w:pPr>
              <w:jc w:val="both"/>
            </w:pPr>
            <w:r w:rsidRPr="00C56257">
              <w:t>Intensitate</w:t>
            </w:r>
          </w:p>
        </w:tc>
      </w:tr>
      <w:tr w:rsidR="0007555D" w:rsidRPr="00C56257" w14:paraId="697731A3" w14:textId="77777777" w:rsidTr="0007555D">
        <w:tc>
          <w:tcPr>
            <w:tcW w:w="643" w:type="dxa"/>
            <w:vAlign w:val="center"/>
          </w:tcPr>
          <w:p w14:paraId="0B284DAB" w14:textId="77777777" w:rsidR="0007555D" w:rsidRPr="00C56257" w:rsidRDefault="0007555D" w:rsidP="00F100E1">
            <w:pPr>
              <w:jc w:val="both"/>
            </w:pPr>
            <w:r w:rsidRPr="00C56257">
              <w:t>I01</w:t>
            </w:r>
          </w:p>
        </w:tc>
        <w:tc>
          <w:tcPr>
            <w:tcW w:w="2579" w:type="dxa"/>
            <w:vAlign w:val="center"/>
          </w:tcPr>
          <w:p w14:paraId="2438549E" w14:textId="77777777" w:rsidR="0007555D" w:rsidRPr="00C56257" w:rsidRDefault="0007555D" w:rsidP="00F100E1">
            <w:pPr>
              <w:jc w:val="both"/>
            </w:pPr>
            <w:r w:rsidRPr="00C56257">
              <w:t>Specii invazive alogene de interes</w:t>
            </w:r>
          </w:p>
        </w:tc>
        <w:tc>
          <w:tcPr>
            <w:tcW w:w="1310" w:type="dxa"/>
            <w:vAlign w:val="center"/>
          </w:tcPr>
          <w:p w14:paraId="2012ED6B" w14:textId="77777777" w:rsidR="0007555D" w:rsidRPr="00C56257" w:rsidRDefault="0007555D" w:rsidP="00F100E1">
            <w:pPr>
              <w:jc w:val="both"/>
            </w:pPr>
            <w:r w:rsidRPr="00C56257">
              <w:t>Ridicată</w:t>
            </w:r>
          </w:p>
        </w:tc>
        <w:tc>
          <w:tcPr>
            <w:tcW w:w="643" w:type="dxa"/>
            <w:vAlign w:val="center"/>
          </w:tcPr>
          <w:p w14:paraId="112AE84F" w14:textId="77777777" w:rsidR="0007555D" w:rsidRPr="00C56257" w:rsidRDefault="0007555D" w:rsidP="00F100E1">
            <w:pPr>
              <w:jc w:val="both"/>
            </w:pPr>
            <w:r w:rsidRPr="00C56257">
              <w:t>I01</w:t>
            </w:r>
          </w:p>
        </w:tc>
        <w:tc>
          <w:tcPr>
            <w:tcW w:w="2531" w:type="dxa"/>
            <w:vAlign w:val="center"/>
          </w:tcPr>
          <w:p w14:paraId="361EC849" w14:textId="77777777" w:rsidR="0007555D" w:rsidRPr="00C56257" w:rsidRDefault="0007555D" w:rsidP="00F100E1">
            <w:pPr>
              <w:jc w:val="both"/>
            </w:pPr>
            <w:r w:rsidRPr="00C56257">
              <w:t>Specii invazive alogene de interes</w:t>
            </w:r>
          </w:p>
        </w:tc>
        <w:tc>
          <w:tcPr>
            <w:tcW w:w="1310" w:type="dxa"/>
            <w:vAlign w:val="center"/>
          </w:tcPr>
          <w:p w14:paraId="55F66B17" w14:textId="77777777" w:rsidR="0007555D" w:rsidRPr="00C56257" w:rsidRDefault="0007555D" w:rsidP="00F100E1">
            <w:pPr>
              <w:jc w:val="both"/>
            </w:pPr>
            <w:r w:rsidRPr="00C56257">
              <w:t>Ridicată</w:t>
            </w:r>
          </w:p>
        </w:tc>
      </w:tr>
      <w:tr w:rsidR="0007555D" w:rsidRPr="00C56257" w14:paraId="194F3DE6" w14:textId="77777777" w:rsidTr="0007555D">
        <w:tc>
          <w:tcPr>
            <w:tcW w:w="643" w:type="dxa"/>
            <w:vAlign w:val="center"/>
          </w:tcPr>
          <w:p w14:paraId="1CB823B7" w14:textId="77777777" w:rsidR="0007555D" w:rsidRPr="00C56257" w:rsidRDefault="0007555D" w:rsidP="00F100E1">
            <w:pPr>
              <w:jc w:val="both"/>
            </w:pPr>
            <w:r w:rsidRPr="00C56257">
              <w:t>A09</w:t>
            </w:r>
          </w:p>
        </w:tc>
        <w:tc>
          <w:tcPr>
            <w:tcW w:w="2579" w:type="dxa"/>
            <w:vAlign w:val="center"/>
          </w:tcPr>
          <w:p w14:paraId="5F3EF3BA" w14:textId="77777777" w:rsidR="0007555D" w:rsidRPr="00C56257" w:rsidRDefault="0007555D" w:rsidP="00F100E1">
            <w:pPr>
              <w:jc w:val="both"/>
            </w:pPr>
            <w:r w:rsidRPr="00C56257">
              <w:t>Pășunat intensiv</w:t>
            </w:r>
          </w:p>
        </w:tc>
        <w:tc>
          <w:tcPr>
            <w:tcW w:w="1310" w:type="dxa"/>
            <w:vAlign w:val="center"/>
          </w:tcPr>
          <w:p w14:paraId="0D191505" w14:textId="77777777" w:rsidR="0007555D" w:rsidRPr="00C56257" w:rsidRDefault="0007555D" w:rsidP="00F100E1">
            <w:pPr>
              <w:jc w:val="both"/>
            </w:pPr>
            <w:r w:rsidRPr="00C56257">
              <w:t>Ridicată</w:t>
            </w:r>
          </w:p>
        </w:tc>
        <w:tc>
          <w:tcPr>
            <w:tcW w:w="643" w:type="dxa"/>
            <w:vAlign w:val="center"/>
          </w:tcPr>
          <w:p w14:paraId="16480A41" w14:textId="77777777" w:rsidR="0007555D" w:rsidRPr="00C56257" w:rsidRDefault="0007555D" w:rsidP="00F100E1">
            <w:pPr>
              <w:jc w:val="both"/>
            </w:pPr>
            <w:r w:rsidRPr="00C56257">
              <w:t>A09</w:t>
            </w:r>
          </w:p>
        </w:tc>
        <w:tc>
          <w:tcPr>
            <w:tcW w:w="2531" w:type="dxa"/>
            <w:vAlign w:val="center"/>
          </w:tcPr>
          <w:p w14:paraId="64BE243F" w14:textId="77777777" w:rsidR="0007555D" w:rsidRPr="00C56257" w:rsidRDefault="0007555D" w:rsidP="00F100E1">
            <w:pPr>
              <w:jc w:val="both"/>
            </w:pPr>
            <w:r w:rsidRPr="00C56257">
              <w:t>Pășunat intensiv</w:t>
            </w:r>
          </w:p>
        </w:tc>
        <w:tc>
          <w:tcPr>
            <w:tcW w:w="1310" w:type="dxa"/>
            <w:vAlign w:val="center"/>
          </w:tcPr>
          <w:p w14:paraId="6D816D69" w14:textId="77777777" w:rsidR="0007555D" w:rsidRPr="00C56257" w:rsidRDefault="0007555D" w:rsidP="00F100E1">
            <w:pPr>
              <w:jc w:val="both"/>
            </w:pPr>
            <w:r w:rsidRPr="00C56257">
              <w:t>Ridicată</w:t>
            </w:r>
          </w:p>
        </w:tc>
      </w:tr>
      <w:tr w:rsidR="0007555D" w:rsidRPr="00C56257" w14:paraId="0647B817" w14:textId="77777777" w:rsidTr="0007555D">
        <w:tc>
          <w:tcPr>
            <w:tcW w:w="643" w:type="dxa"/>
            <w:vAlign w:val="center"/>
          </w:tcPr>
          <w:p w14:paraId="100651A3" w14:textId="77777777" w:rsidR="0007555D" w:rsidRPr="00C56257" w:rsidRDefault="0007555D" w:rsidP="00F100E1">
            <w:pPr>
              <w:jc w:val="both"/>
            </w:pPr>
            <w:r w:rsidRPr="00C56257">
              <w:t>A10</w:t>
            </w:r>
          </w:p>
        </w:tc>
        <w:tc>
          <w:tcPr>
            <w:tcW w:w="2579" w:type="dxa"/>
            <w:vAlign w:val="center"/>
          </w:tcPr>
          <w:p w14:paraId="5D768CB7" w14:textId="77777777" w:rsidR="0007555D" w:rsidRPr="00C56257" w:rsidRDefault="0007555D" w:rsidP="00F100E1">
            <w:pPr>
              <w:jc w:val="both"/>
            </w:pPr>
            <w:r w:rsidRPr="00C56257">
              <w:t>Pășunat extensiv</w:t>
            </w:r>
          </w:p>
        </w:tc>
        <w:tc>
          <w:tcPr>
            <w:tcW w:w="1310" w:type="dxa"/>
            <w:vAlign w:val="center"/>
          </w:tcPr>
          <w:p w14:paraId="280132A8" w14:textId="77777777" w:rsidR="0007555D" w:rsidRPr="00C56257" w:rsidRDefault="0007555D" w:rsidP="00F100E1">
            <w:pPr>
              <w:jc w:val="both"/>
            </w:pPr>
            <w:r w:rsidRPr="00C56257">
              <w:t>Medie</w:t>
            </w:r>
          </w:p>
        </w:tc>
        <w:tc>
          <w:tcPr>
            <w:tcW w:w="643" w:type="dxa"/>
            <w:vAlign w:val="center"/>
          </w:tcPr>
          <w:p w14:paraId="51011944" w14:textId="77777777" w:rsidR="0007555D" w:rsidRPr="00C56257" w:rsidRDefault="0007555D" w:rsidP="00F100E1">
            <w:pPr>
              <w:jc w:val="both"/>
            </w:pPr>
            <w:r w:rsidRPr="00C56257">
              <w:t>A10</w:t>
            </w:r>
          </w:p>
        </w:tc>
        <w:tc>
          <w:tcPr>
            <w:tcW w:w="2531" w:type="dxa"/>
            <w:vAlign w:val="center"/>
          </w:tcPr>
          <w:p w14:paraId="3233356C" w14:textId="77777777" w:rsidR="0007555D" w:rsidRPr="00C56257" w:rsidRDefault="0007555D" w:rsidP="00F100E1">
            <w:pPr>
              <w:jc w:val="both"/>
            </w:pPr>
            <w:r w:rsidRPr="00C56257">
              <w:t>Pășunat extensiv</w:t>
            </w:r>
          </w:p>
        </w:tc>
        <w:tc>
          <w:tcPr>
            <w:tcW w:w="1310" w:type="dxa"/>
            <w:vAlign w:val="center"/>
          </w:tcPr>
          <w:p w14:paraId="71954367" w14:textId="77777777" w:rsidR="0007555D" w:rsidRPr="00C56257" w:rsidRDefault="0007555D" w:rsidP="00F100E1">
            <w:pPr>
              <w:jc w:val="both"/>
            </w:pPr>
            <w:r w:rsidRPr="00C56257">
              <w:t>Medie</w:t>
            </w:r>
          </w:p>
        </w:tc>
      </w:tr>
    </w:tbl>
    <w:p w14:paraId="086DEC9A" w14:textId="77777777" w:rsidR="0007555D" w:rsidRPr="00C56257" w:rsidRDefault="0007555D" w:rsidP="008E33FD">
      <w:pPr>
        <w:tabs>
          <w:tab w:val="num" w:pos="360"/>
        </w:tabs>
        <w:ind w:left="360" w:hanging="360"/>
        <w:jc w:val="both"/>
        <w:rPr>
          <w:rFonts w:eastAsia="Calibri"/>
          <w:b/>
        </w:rPr>
      </w:pPr>
    </w:p>
    <w:p w14:paraId="7C1A83CB"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92D0 - Galerii ripariene și tufărișuri (</w:t>
      </w:r>
      <w:r w:rsidRPr="00C56257">
        <w:rPr>
          <w:rFonts w:eastAsia="Calibri"/>
          <w:b/>
          <w:i/>
          <w:iCs/>
        </w:rPr>
        <w:t>Nerio-Tamaricetea</w:t>
      </w:r>
      <w:r w:rsidRPr="00C56257">
        <w:rPr>
          <w:rFonts w:eastAsia="Calibri"/>
          <w:b/>
        </w:rPr>
        <w:t xml:space="preserve"> și </w:t>
      </w:r>
      <w:r w:rsidRPr="00C56257">
        <w:rPr>
          <w:rFonts w:eastAsia="Calibri"/>
          <w:b/>
          <w:i/>
          <w:iCs/>
        </w:rPr>
        <w:t>Securinegion tinctoriae</w:t>
      </w:r>
      <w:r w:rsidRPr="00C56257">
        <w:rPr>
          <w:rFonts w:eastAsia="Calibri"/>
          <w:b/>
        </w:rPr>
        <w:t>)</w:t>
      </w:r>
    </w:p>
    <w:p w14:paraId="203EF743" w14:textId="77777777" w:rsidR="0007555D" w:rsidRPr="00C56257" w:rsidRDefault="0007555D" w:rsidP="008E33FD">
      <w:pPr>
        <w:keepNext/>
        <w:keepLines/>
        <w:spacing w:before="280" w:after="240" w:line="259" w:lineRule="auto"/>
        <w:ind w:left="708"/>
        <w:jc w:val="both"/>
        <w:outlineLvl w:val="1"/>
        <w:rPr>
          <w:rFonts w:eastAsia="Cambria"/>
          <w:b/>
          <w:color w:val="000000"/>
        </w:rPr>
      </w:pPr>
      <w:r w:rsidRPr="00C56257">
        <w:rPr>
          <w:rFonts w:eastAsia="Cambria"/>
          <w:b/>
          <w:color w:val="000000"/>
        </w:rPr>
        <w:t>Regiunea biogeografică Stepică</w:t>
      </w:r>
    </w:p>
    <w:tbl>
      <w:tblPr>
        <w:tblStyle w:val="TableGrid"/>
        <w:tblW w:w="0" w:type="auto"/>
        <w:tblLook w:val="04A0" w:firstRow="1" w:lastRow="0" w:firstColumn="1" w:lastColumn="0" w:noHBand="0" w:noVBand="1"/>
      </w:tblPr>
      <w:tblGrid>
        <w:gridCol w:w="644"/>
        <w:gridCol w:w="2557"/>
        <w:gridCol w:w="1326"/>
        <w:gridCol w:w="643"/>
        <w:gridCol w:w="2536"/>
        <w:gridCol w:w="1310"/>
      </w:tblGrid>
      <w:tr w:rsidR="0007555D" w:rsidRPr="00C56257" w14:paraId="6FC4AC9A" w14:textId="77777777" w:rsidTr="0007555D">
        <w:tc>
          <w:tcPr>
            <w:tcW w:w="4527" w:type="dxa"/>
            <w:gridSpan w:val="3"/>
          </w:tcPr>
          <w:p w14:paraId="2AA08A33" w14:textId="77777777" w:rsidR="0007555D" w:rsidRPr="00C56257" w:rsidRDefault="0007555D" w:rsidP="00F100E1">
            <w:pPr>
              <w:jc w:val="both"/>
            </w:pPr>
            <w:r w:rsidRPr="00C56257">
              <w:t>Presiuni</w:t>
            </w:r>
          </w:p>
        </w:tc>
        <w:tc>
          <w:tcPr>
            <w:tcW w:w="4489" w:type="dxa"/>
            <w:gridSpan w:val="3"/>
          </w:tcPr>
          <w:p w14:paraId="6BE29D97" w14:textId="77777777" w:rsidR="0007555D" w:rsidRPr="00C56257" w:rsidRDefault="0007555D" w:rsidP="00F100E1">
            <w:pPr>
              <w:jc w:val="both"/>
            </w:pPr>
            <w:r w:rsidRPr="00C56257">
              <w:t>Amenințări</w:t>
            </w:r>
          </w:p>
        </w:tc>
      </w:tr>
      <w:tr w:rsidR="0007555D" w:rsidRPr="00C56257" w14:paraId="5F9CBC15" w14:textId="77777777" w:rsidTr="0007555D">
        <w:tc>
          <w:tcPr>
            <w:tcW w:w="644" w:type="dxa"/>
          </w:tcPr>
          <w:p w14:paraId="671E8ECC" w14:textId="77777777" w:rsidR="0007555D" w:rsidRPr="00C56257" w:rsidRDefault="0007555D" w:rsidP="008E33FD">
            <w:pPr>
              <w:jc w:val="both"/>
            </w:pPr>
            <w:r w:rsidRPr="00C56257">
              <w:t>Cod</w:t>
            </w:r>
          </w:p>
        </w:tc>
        <w:tc>
          <w:tcPr>
            <w:tcW w:w="2557" w:type="dxa"/>
          </w:tcPr>
          <w:p w14:paraId="1A5915E2" w14:textId="77777777" w:rsidR="0007555D" w:rsidRPr="00C56257" w:rsidRDefault="0007555D" w:rsidP="008E33FD">
            <w:pPr>
              <w:jc w:val="both"/>
            </w:pPr>
            <w:r w:rsidRPr="00C56257">
              <w:t>Denumire</w:t>
            </w:r>
          </w:p>
        </w:tc>
        <w:tc>
          <w:tcPr>
            <w:tcW w:w="1326" w:type="dxa"/>
          </w:tcPr>
          <w:p w14:paraId="66A9368C" w14:textId="77777777" w:rsidR="0007555D" w:rsidRPr="00C56257" w:rsidRDefault="0007555D" w:rsidP="008E33FD">
            <w:pPr>
              <w:jc w:val="both"/>
            </w:pPr>
            <w:r w:rsidRPr="00C56257">
              <w:t>Intensitate</w:t>
            </w:r>
          </w:p>
        </w:tc>
        <w:tc>
          <w:tcPr>
            <w:tcW w:w="643" w:type="dxa"/>
          </w:tcPr>
          <w:p w14:paraId="049E8296" w14:textId="77777777" w:rsidR="0007555D" w:rsidRPr="00C56257" w:rsidRDefault="0007555D" w:rsidP="008E33FD">
            <w:pPr>
              <w:jc w:val="both"/>
            </w:pPr>
            <w:r w:rsidRPr="00C56257">
              <w:t>Cod</w:t>
            </w:r>
          </w:p>
        </w:tc>
        <w:tc>
          <w:tcPr>
            <w:tcW w:w="2536" w:type="dxa"/>
          </w:tcPr>
          <w:p w14:paraId="50047348" w14:textId="77777777" w:rsidR="0007555D" w:rsidRPr="00C56257" w:rsidRDefault="0007555D" w:rsidP="008E33FD">
            <w:pPr>
              <w:jc w:val="both"/>
            </w:pPr>
            <w:r w:rsidRPr="00C56257">
              <w:t>Denumire</w:t>
            </w:r>
          </w:p>
        </w:tc>
        <w:tc>
          <w:tcPr>
            <w:tcW w:w="1310" w:type="dxa"/>
          </w:tcPr>
          <w:p w14:paraId="55C7733D" w14:textId="77777777" w:rsidR="0007555D" w:rsidRPr="00C56257" w:rsidRDefault="0007555D" w:rsidP="008E33FD">
            <w:pPr>
              <w:jc w:val="both"/>
            </w:pPr>
            <w:r w:rsidRPr="00C56257">
              <w:t>Intensitate</w:t>
            </w:r>
          </w:p>
        </w:tc>
      </w:tr>
      <w:tr w:rsidR="0007555D" w:rsidRPr="00C56257" w14:paraId="2E4DF48F" w14:textId="77777777" w:rsidTr="0007555D">
        <w:tc>
          <w:tcPr>
            <w:tcW w:w="644" w:type="dxa"/>
          </w:tcPr>
          <w:p w14:paraId="1AE85210" w14:textId="77777777" w:rsidR="0007555D" w:rsidRPr="00C56257" w:rsidRDefault="0007555D" w:rsidP="00F100E1">
            <w:pPr>
              <w:jc w:val="both"/>
            </w:pPr>
            <w:r w:rsidRPr="00C56257">
              <w:t>A09</w:t>
            </w:r>
          </w:p>
        </w:tc>
        <w:tc>
          <w:tcPr>
            <w:tcW w:w="2557" w:type="dxa"/>
          </w:tcPr>
          <w:p w14:paraId="5DA100E2" w14:textId="77777777" w:rsidR="0007555D" w:rsidRPr="00C56257" w:rsidRDefault="0007555D" w:rsidP="00F100E1">
            <w:pPr>
              <w:jc w:val="both"/>
            </w:pPr>
            <w:r w:rsidRPr="00C56257">
              <w:t>Pășunat intensiv</w:t>
            </w:r>
          </w:p>
        </w:tc>
        <w:tc>
          <w:tcPr>
            <w:tcW w:w="1326" w:type="dxa"/>
          </w:tcPr>
          <w:p w14:paraId="04ABCC7A" w14:textId="77777777" w:rsidR="0007555D" w:rsidRPr="00C56257" w:rsidRDefault="0007555D" w:rsidP="00F100E1">
            <w:pPr>
              <w:jc w:val="both"/>
            </w:pPr>
            <w:r w:rsidRPr="00C56257">
              <w:t>Medie</w:t>
            </w:r>
          </w:p>
        </w:tc>
        <w:tc>
          <w:tcPr>
            <w:tcW w:w="643" w:type="dxa"/>
          </w:tcPr>
          <w:p w14:paraId="4DD006C9" w14:textId="77777777" w:rsidR="0007555D" w:rsidRPr="00C56257" w:rsidRDefault="0007555D" w:rsidP="00F100E1">
            <w:pPr>
              <w:jc w:val="both"/>
            </w:pPr>
            <w:r w:rsidRPr="00C56257">
              <w:t>A09</w:t>
            </w:r>
          </w:p>
        </w:tc>
        <w:tc>
          <w:tcPr>
            <w:tcW w:w="2536" w:type="dxa"/>
          </w:tcPr>
          <w:p w14:paraId="40A13C23" w14:textId="77777777" w:rsidR="0007555D" w:rsidRPr="00C56257" w:rsidRDefault="0007555D" w:rsidP="00F100E1">
            <w:pPr>
              <w:jc w:val="both"/>
            </w:pPr>
            <w:r w:rsidRPr="00C56257">
              <w:t>Pășunat intensiv</w:t>
            </w:r>
          </w:p>
        </w:tc>
        <w:tc>
          <w:tcPr>
            <w:tcW w:w="1310" w:type="dxa"/>
          </w:tcPr>
          <w:p w14:paraId="048CF2DE" w14:textId="77777777" w:rsidR="0007555D" w:rsidRPr="00C56257" w:rsidRDefault="0007555D" w:rsidP="00F100E1">
            <w:pPr>
              <w:jc w:val="both"/>
            </w:pPr>
            <w:r w:rsidRPr="00C56257">
              <w:t>Medie</w:t>
            </w:r>
          </w:p>
        </w:tc>
      </w:tr>
    </w:tbl>
    <w:p w14:paraId="7FABD77B" w14:textId="77777777" w:rsidR="0007555D" w:rsidRPr="00C56257" w:rsidRDefault="0007555D" w:rsidP="008E33FD">
      <w:pPr>
        <w:keepNext/>
        <w:keepLines/>
        <w:spacing w:before="280" w:after="240" w:line="259" w:lineRule="auto"/>
        <w:ind w:left="708"/>
        <w:jc w:val="both"/>
        <w:outlineLvl w:val="1"/>
        <w:rPr>
          <w:rFonts w:eastAsia="Cambria"/>
          <w:b/>
          <w:color w:val="000000"/>
        </w:rPr>
      </w:pPr>
      <w:r w:rsidRPr="00C56257">
        <w:rPr>
          <w:rFonts w:eastAsia="Cambria"/>
          <w:b/>
          <w:color w:val="000000"/>
        </w:rPr>
        <w:t>Regiunea biogeografică Marea Neagră</w:t>
      </w:r>
    </w:p>
    <w:tbl>
      <w:tblPr>
        <w:tblStyle w:val="TableGrid"/>
        <w:tblW w:w="0" w:type="auto"/>
        <w:tblLook w:val="04A0" w:firstRow="1" w:lastRow="0" w:firstColumn="1" w:lastColumn="0" w:noHBand="0" w:noVBand="1"/>
      </w:tblPr>
      <w:tblGrid>
        <w:gridCol w:w="644"/>
        <w:gridCol w:w="2557"/>
        <w:gridCol w:w="1326"/>
        <w:gridCol w:w="643"/>
        <w:gridCol w:w="2536"/>
        <w:gridCol w:w="1310"/>
      </w:tblGrid>
      <w:tr w:rsidR="0007555D" w:rsidRPr="00C56257" w14:paraId="76769F8A" w14:textId="77777777" w:rsidTr="0007555D">
        <w:tc>
          <w:tcPr>
            <w:tcW w:w="4527" w:type="dxa"/>
            <w:gridSpan w:val="3"/>
          </w:tcPr>
          <w:p w14:paraId="7E767919" w14:textId="77777777" w:rsidR="0007555D" w:rsidRPr="00C56257" w:rsidRDefault="0007555D" w:rsidP="00F100E1">
            <w:pPr>
              <w:jc w:val="both"/>
            </w:pPr>
            <w:r w:rsidRPr="00C56257">
              <w:t>Presiuni</w:t>
            </w:r>
          </w:p>
        </w:tc>
        <w:tc>
          <w:tcPr>
            <w:tcW w:w="4489" w:type="dxa"/>
            <w:gridSpan w:val="3"/>
          </w:tcPr>
          <w:p w14:paraId="2210B82F" w14:textId="77777777" w:rsidR="0007555D" w:rsidRPr="00C56257" w:rsidRDefault="0007555D" w:rsidP="00F100E1">
            <w:pPr>
              <w:jc w:val="both"/>
            </w:pPr>
            <w:r w:rsidRPr="00C56257">
              <w:t>Amenințări</w:t>
            </w:r>
          </w:p>
        </w:tc>
      </w:tr>
      <w:tr w:rsidR="0007555D" w:rsidRPr="00C56257" w14:paraId="45C59E8F" w14:textId="77777777" w:rsidTr="0007555D">
        <w:tc>
          <w:tcPr>
            <w:tcW w:w="644" w:type="dxa"/>
          </w:tcPr>
          <w:p w14:paraId="3FD36160" w14:textId="77777777" w:rsidR="0007555D" w:rsidRPr="00C56257" w:rsidRDefault="0007555D" w:rsidP="008E33FD">
            <w:pPr>
              <w:jc w:val="both"/>
            </w:pPr>
            <w:r w:rsidRPr="00C56257">
              <w:t>Cod</w:t>
            </w:r>
          </w:p>
        </w:tc>
        <w:tc>
          <w:tcPr>
            <w:tcW w:w="2557" w:type="dxa"/>
          </w:tcPr>
          <w:p w14:paraId="2B4B7D9D" w14:textId="77777777" w:rsidR="0007555D" w:rsidRPr="00C56257" w:rsidRDefault="0007555D" w:rsidP="008E33FD">
            <w:pPr>
              <w:jc w:val="both"/>
            </w:pPr>
            <w:r w:rsidRPr="00C56257">
              <w:t>Denumire</w:t>
            </w:r>
          </w:p>
        </w:tc>
        <w:tc>
          <w:tcPr>
            <w:tcW w:w="1326" w:type="dxa"/>
          </w:tcPr>
          <w:p w14:paraId="0A1EAC6E" w14:textId="77777777" w:rsidR="0007555D" w:rsidRPr="00C56257" w:rsidRDefault="0007555D" w:rsidP="008E33FD">
            <w:pPr>
              <w:jc w:val="both"/>
            </w:pPr>
            <w:r w:rsidRPr="00C56257">
              <w:t>Intensitate</w:t>
            </w:r>
          </w:p>
        </w:tc>
        <w:tc>
          <w:tcPr>
            <w:tcW w:w="643" w:type="dxa"/>
          </w:tcPr>
          <w:p w14:paraId="55C9BADF" w14:textId="77777777" w:rsidR="0007555D" w:rsidRPr="00C56257" w:rsidRDefault="0007555D" w:rsidP="008E33FD">
            <w:pPr>
              <w:jc w:val="both"/>
            </w:pPr>
            <w:r w:rsidRPr="00C56257">
              <w:t>Cod</w:t>
            </w:r>
          </w:p>
        </w:tc>
        <w:tc>
          <w:tcPr>
            <w:tcW w:w="2536" w:type="dxa"/>
          </w:tcPr>
          <w:p w14:paraId="3712DEB8" w14:textId="77777777" w:rsidR="0007555D" w:rsidRPr="00C56257" w:rsidRDefault="0007555D" w:rsidP="008E33FD">
            <w:pPr>
              <w:jc w:val="both"/>
            </w:pPr>
            <w:r w:rsidRPr="00C56257">
              <w:t>Denumire</w:t>
            </w:r>
          </w:p>
        </w:tc>
        <w:tc>
          <w:tcPr>
            <w:tcW w:w="1310" w:type="dxa"/>
          </w:tcPr>
          <w:p w14:paraId="69F70D49" w14:textId="77777777" w:rsidR="0007555D" w:rsidRPr="00C56257" w:rsidRDefault="0007555D" w:rsidP="008E33FD">
            <w:pPr>
              <w:jc w:val="both"/>
            </w:pPr>
            <w:r w:rsidRPr="00C56257">
              <w:t>Intensitate</w:t>
            </w:r>
          </w:p>
        </w:tc>
      </w:tr>
      <w:tr w:rsidR="0007555D" w:rsidRPr="00C56257" w14:paraId="5FE78B0A" w14:textId="77777777" w:rsidTr="0007555D">
        <w:tc>
          <w:tcPr>
            <w:tcW w:w="644" w:type="dxa"/>
          </w:tcPr>
          <w:p w14:paraId="4960A326" w14:textId="77777777" w:rsidR="0007555D" w:rsidRPr="00C56257" w:rsidRDefault="0007555D" w:rsidP="00F100E1">
            <w:pPr>
              <w:jc w:val="both"/>
            </w:pPr>
            <w:r w:rsidRPr="00C56257">
              <w:t>A09</w:t>
            </w:r>
          </w:p>
        </w:tc>
        <w:tc>
          <w:tcPr>
            <w:tcW w:w="2557" w:type="dxa"/>
          </w:tcPr>
          <w:p w14:paraId="1B5FC26C" w14:textId="77777777" w:rsidR="0007555D" w:rsidRPr="00C56257" w:rsidRDefault="0007555D" w:rsidP="00F100E1">
            <w:pPr>
              <w:jc w:val="both"/>
            </w:pPr>
            <w:r w:rsidRPr="00C56257">
              <w:t>Pășunat intensiv</w:t>
            </w:r>
          </w:p>
        </w:tc>
        <w:tc>
          <w:tcPr>
            <w:tcW w:w="1326" w:type="dxa"/>
          </w:tcPr>
          <w:p w14:paraId="43B26600" w14:textId="77777777" w:rsidR="0007555D" w:rsidRPr="00C56257" w:rsidRDefault="0007555D" w:rsidP="00F100E1">
            <w:pPr>
              <w:jc w:val="both"/>
            </w:pPr>
            <w:r w:rsidRPr="00C56257">
              <w:t>Medie</w:t>
            </w:r>
          </w:p>
        </w:tc>
        <w:tc>
          <w:tcPr>
            <w:tcW w:w="643" w:type="dxa"/>
          </w:tcPr>
          <w:p w14:paraId="2DFFF3C1" w14:textId="77777777" w:rsidR="0007555D" w:rsidRPr="00C56257" w:rsidRDefault="0007555D" w:rsidP="00F100E1">
            <w:pPr>
              <w:jc w:val="both"/>
            </w:pPr>
            <w:r w:rsidRPr="00C56257">
              <w:t>A09</w:t>
            </w:r>
          </w:p>
        </w:tc>
        <w:tc>
          <w:tcPr>
            <w:tcW w:w="2536" w:type="dxa"/>
          </w:tcPr>
          <w:p w14:paraId="4F370037" w14:textId="77777777" w:rsidR="0007555D" w:rsidRPr="00C56257" w:rsidRDefault="0007555D" w:rsidP="00F100E1">
            <w:pPr>
              <w:jc w:val="both"/>
            </w:pPr>
            <w:r w:rsidRPr="00C56257">
              <w:t>Pășunat intensiv</w:t>
            </w:r>
          </w:p>
        </w:tc>
        <w:tc>
          <w:tcPr>
            <w:tcW w:w="1310" w:type="dxa"/>
          </w:tcPr>
          <w:p w14:paraId="0C10144D" w14:textId="77777777" w:rsidR="0007555D" w:rsidRPr="00C56257" w:rsidRDefault="0007555D" w:rsidP="00F100E1">
            <w:pPr>
              <w:jc w:val="both"/>
            </w:pPr>
            <w:r w:rsidRPr="00C56257">
              <w:t>Medie</w:t>
            </w:r>
          </w:p>
        </w:tc>
      </w:tr>
    </w:tbl>
    <w:p w14:paraId="50CDD9E5" w14:textId="77777777" w:rsidR="0007555D" w:rsidRPr="00C56257" w:rsidRDefault="0007555D" w:rsidP="008E33FD">
      <w:pPr>
        <w:tabs>
          <w:tab w:val="num" w:pos="360"/>
        </w:tabs>
        <w:ind w:left="360" w:hanging="360"/>
        <w:jc w:val="both"/>
        <w:rPr>
          <w:rFonts w:eastAsia="Calibri"/>
          <w:b/>
        </w:rPr>
      </w:pPr>
    </w:p>
    <w:p w14:paraId="042D092D"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9410 - Păduri acidofile de </w:t>
      </w:r>
      <w:r w:rsidRPr="00C56257">
        <w:rPr>
          <w:rFonts w:eastAsia="Calibri"/>
          <w:b/>
          <w:i/>
          <w:iCs/>
        </w:rPr>
        <w:t>Picea abies</w:t>
      </w:r>
      <w:r w:rsidRPr="00C56257">
        <w:rPr>
          <w:rFonts w:eastAsia="Calibri"/>
          <w:b/>
        </w:rPr>
        <w:t xml:space="preserve"> din regiunea montană (</w:t>
      </w:r>
      <w:r w:rsidRPr="00C56257">
        <w:rPr>
          <w:rFonts w:eastAsia="Calibri"/>
          <w:b/>
          <w:i/>
          <w:iCs/>
        </w:rPr>
        <w:t>Vaccinio-Piceetea</w:t>
      </w:r>
      <w:r w:rsidRPr="00C56257">
        <w:rPr>
          <w:rFonts w:eastAsia="Calibri"/>
          <w:b/>
        </w:rPr>
        <w:t>)</w:t>
      </w:r>
    </w:p>
    <w:p w14:paraId="4EC5B4CD"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Alpină</w:t>
      </w:r>
    </w:p>
    <w:tbl>
      <w:tblPr>
        <w:tblStyle w:val="TableGrid"/>
        <w:tblW w:w="0" w:type="auto"/>
        <w:tblLook w:val="04A0" w:firstRow="1" w:lastRow="0" w:firstColumn="1" w:lastColumn="0" w:noHBand="0" w:noVBand="1"/>
      </w:tblPr>
      <w:tblGrid>
        <w:gridCol w:w="643"/>
        <w:gridCol w:w="2579"/>
        <w:gridCol w:w="1310"/>
        <w:gridCol w:w="643"/>
        <w:gridCol w:w="2531"/>
        <w:gridCol w:w="1310"/>
      </w:tblGrid>
      <w:tr w:rsidR="0007555D" w:rsidRPr="00C56257" w14:paraId="11BB3040" w14:textId="77777777" w:rsidTr="0007555D">
        <w:tc>
          <w:tcPr>
            <w:tcW w:w="4532" w:type="dxa"/>
            <w:gridSpan w:val="3"/>
          </w:tcPr>
          <w:p w14:paraId="11B5F1D2" w14:textId="77777777" w:rsidR="0007555D" w:rsidRPr="00C56257" w:rsidRDefault="0007555D" w:rsidP="00F100E1">
            <w:pPr>
              <w:jc w:val="both"/>
            </w:pPr>
            <w:r w:rsidRPr="00C56257">
              <w:t>Presiuni</w:t>
            </w:r>
          </w:p>
        </w:tc>
        <w:tc>
          <w:tcPr>
            <w:tcW w:w="4484" w:type="dxa"/>
            <w:gridSpan w:val="3"/>
          </w:tcPr>
          <w:p w14:paraId="0C0AB47F" w14:textId="77777777" w:rsidR="0007555D" w:rsidRPr="00C56257" w:rsidRDefault="0007555D" w:rsidP="00F100E1">
            <w:pPr>
              <w:jc w:val="both"/>
            </w:pPr>
            <w:r w:rsidRPr="00C56257">
              <w:t>Amenințări</w:t>
            </w:r>
          </w:p>
        </w:tc>
      </w:tr>
      <w:tr w:rsidR="0007555D" w:rsidRPr="00C56257" w14:paraId="18232D37" w14:textId="77777777" w:rsidTr="0007555D">
        <w:tc>
          <w:tcPr>
            <w:tcW w:w="643" w:type="dxa"/>
          </w:tcPr>
          <w:p w14:paraId="5536BEFF" w14:textId="77777777" w:rsidR="0007555D" w:rsidRPr="00C56257" w:rsidRDefault="0007555D" w:rsidP="008E33FD">
            <w:pPr>
              <w:jc w:val="both"/>
            </w:pPr>
            <w:r w:rsidRPr="00C56257">
              <w:t>Cod</w:t>
            </w:r>
          </w:p>
        </w:tc>
        <w:tc>
          <w:tcPr>
            <w:tcW w:w="2579" w:type="dxa"/>
          </w:tcPr>
          <w:p w14:paraId="304A1BDF" w14:textId="77777777" w:rsidR="0007555D" w:rsidRPr="00C56257" w:rsidRDefault="0007555D" w:rsidP="008E33FD">
            <w:pPr>
              <w:jc w:val="both"/>
            </w:pPr>
            <w:r w:rsidRPr="00C56257">
              <w:t>Denumire</w:t>
            </w:r>
          </w:p>
        </w:tc>
        <w:tc>
          <w:tcPr>
            <w:tcW w:w="1310" w:type="dxa"/>
          </w:tcPr>
          <w:p w14:paraId="261C0EAF" w14:textId="77777777" w:rsidR="0007555D" w:rsidRPr="00C56257" w:rsidRDefault="0007555D" w:rsidP="008E33FD">
            <w:pPr>
              <w:jc w:val="both"/>
            </w:pPr>
            <w:r w:rsidRPr="00C56257">
              <w:t>Intensitate</w:t>
            </w:r>
          </w:p>
        </w:tc>
        <w:tc>
          <w:tcPr>
            <w:tcW w:w="643" w:type="dxa"/>
          </w:tcPr>
          <w:p w14:paraId="1D6C0CCB" w14:textId="77777777" w:rsidR="0007555D" w:rsidRPr="00C56257" w:rsidRDefault="0007555D" w:rsidP="008E33FD">
            <w:pPr>
              <w:jc w:val="both"/>
            </w:pPr>
            <w:r w:rsidRPr="00C56257">
              <w:t>Cod</w:t>
            </w:r>
          </w:p>
        </w:tc>
        <w:tc>
          <w:tcPr>
            <w:tcW w:w="2531" w:type="dxa"/>
          </w:tcPr>
          <w:p w14:paraId="55338A95" w14:textId="77777777" w:rsidR="0007555D" w:rsidRPr="00C56257" w:rsidRDefault="0007555D" w:rsidP="008E33FD">
            <w:pPr>
              <w:jc w:val="both"/>
            </w:pPr>
            <w:r w:rsidRPr="00C56257">
              <w:t>Denumire</w:t>
            </w:r>
          </w:p>
        </w:tc>
        <w:tc>
          <w:tcPr>
            <w:tcW w:w="1310" w:type="dxa"/>
          </w:tcPr>
          <w:p w14:paraId="355850DE" w14:textId="77777777" w:rsidR="0007555D" w:rsidRPr="00C56257" w:rsidRDefault="0007555D" w:rsidP="008E33FD">
            <w:pPr>
              <w:jc w:val="both"/>
            </w:pPr>
            <w:r w:rsidRPr="00C56257">
              <w:t>Intensitate</w:t>
            </w:r>
          </w:p>
        </w:tc>
      </w:tr>
      <w:tr w:rsidR="0007555D" w:rsidRPr="00C56257" w14:paraId="77A114F7" w14:textId="77777777" w:rsidTr="0007555D">
        <w:tc>
          <w:tcPr>
            <w:tcW w:w="643" w:type="dxa"/>
            <w:vAlign w:val="center"/>
          </w:tcPr>
          <w:p w14:paraId="188A6549" w14:textId="77777777" w:rsidR="0007555D" w:rsidRPr="00C56257" w:rsidRDefault="0007555D" w:rsidP="00F100E1">
            <w:pPr>
              <w:jc w:val="both"/>
            </w:pPr>
            <w:r w:rsidRPr="00C56257">
              <w:t>B06</w:t>
            </w:r>
          </w:p>
        </w:tc>
        <w:tc>
          <w:tcPr>
            <w:tcW w:w="2579" w:type="dxa"/>
            <w:vAlign w:val="center"/>
          </w:tcPr>
          <w:p w14:paraId="105C4DE1" w14:textId="77777777" w:rsidR="0007555D" w:rsidRPr="00C56257" w:rsidRDefault="0007555D" w:rsidP="00F100E1">
            <w:pPr>
              <w:jc w:val="both"/>
            </w:pPr>
            <w:r w:rsidRPr="00C56257">
              <w:t>Exploatarea arborilor individuali (Tăiere selectivă)</w:t>
            </w:r>
          </w:p>
        </w:tc>
        <w:tc>
          <w:tcPr>
            <w:tcW w:w="1310" w:type="dxa"/>
            <w:vAlign w:val="center"/>
          </w:tcPr>
          <w:p w14:paraId="40247898" w14:textId="77777777" w:rsidR="0007555D" w:rsidRPr="00C56257" w:rsidRDefault="0007555D" w:rsidP="00F100E1">
            <w:pPr>
              <w:jc w:val="both"/>
            </w:pPr>
            <w:r w:rsidRPr="00C56257">
              <w:t>Ridicată</w:t>
            </w:r>
          </w:p>
        </w:tc>
        <w:tc>
          <w:tcPr>
            <w:tcW w:w="643" w:type="dxa"/>
            <w:vAlign w:val="center"/>
          </w:tcPr>
          <w:p w14:paraId="5233407A" w14:textId="77777777" w:rsidR="0007555D" w:rsidRPr="00C56257" w:rsidRDefault="0007555D" w:rsidP="00F100E1">
            <w:pPr>
              <w:jc w:val="both"/>
            </w:pPr>
            <w:r w:rsidRPr="00C56257">
              <w:t>B06</w:t>
            </w:r>
          </w:p>
        </w:tc>
        <w:tc>
          <w:tcPr>
            <w:tcW w:w="2531" w:type="dxa"/>
            <w:vAlign w:val="center"/>
          </w:tcPr>
          <w:p w14:paraId="133D5952" w14:textId="77777777" w:rsidR="0007555D" w:rsidRPr="00C56257" w:rsidRDefault="0007555D" w:rsidP="00F100E1">
            <w:pPr>
              <w:jc w:val="both"/>
            </w:pPr>
            <w:r w:rsidRPr="00C56257">
              <w:t>Exploatarea arborilor individuali (Tăiere selectivă)</w:t>
            </w:r>
          </w:p>
        </w:tc>
        <w:tc>
          <w:tcPr>
            <w:tcW w:w="1310" w:type="dxa"/>
            <w:vAlign w:val="center"/>
          </w:tcPr>
          <w:p w14:paraId="33985FD4" w14:textId="77777777" w:rsidR="0007555D" w:rsidRPr="00C56257" w:rsidRDefault="0007555D" w:rsidP="00F100E1">
            <w:pPr>
              <w:jc w:val="both"/>
            </w:pPr>
            <w:r w:rsidRPr="00C56257">
              <w:t>Ridicată</w:t>
            </w:r>
          </w:p>
        </w:tc>
      </w:tr>
      <w:tr w:rsidR="0007555D" w:rsidRPr="00C56257" w14:paraId="10723014" w14:textId="77777777" w:rsidTr="0007555D">
        <w:tc>
          <w:tcPr>
            <w:tcW w:w="643" w:type="dxa"/>
            <w:vAlign w:val="center"/>
          </w:tcPr>
          <w:p w14:paraId="79AE3679" w14:textId="77777777" w:rsidR="0007555D" w:rsidRPr="00C56257" w:rsidRDefault="0007555D" w:rsidP="00F100E1">
            <w:pPr>
              <w:jc w:val="both"/>
            </w:pPr>
            <w:r w:rsidRPr="00C56257">
              <w:t>B07</w:t>
            </w:r>
          </w:p>
        </w:tc>
        <w:tc>
          <w:tcPr>
            <w:tcW w:w="2579" w:type="dxa"/>
            <w:vAlign w:val="center"/>
          </w:tcPr>
          <w:p w14:paraId="2B6CABC8" w14:textId="77777777" w:rsidR="0007555D" w:rsidRPr="00C56257" w:rsidRDefault="0007555D" w:rsidP="00F100E1">
            <w:pPr>
              <w:jc w:val="both"/>
            </w:pPr>
            <w:r w:rsidRPr="00C56257">
              <w:t xml:space="preserve">Extragerea arborilor morți sau aproape morți </w:t>
            </w:r>
          </w:p>
        </w:tc>
        <w:tc>
          <w:tcPr>
            <w:tcW w:w="1310" w:type="dxa"/>
            <w:vAlign w:val="center"/>
          </w:tcPr>
          <w:p w14:paraId="0306D9D2" w14:textId="77777777" w:rsidR="0007555D" w:rsidRPr="00C56257" w:rsidRDefault="0007555D" w:rsidP="00F100E1">
            <w:pPr>
              <w:jc w:val="both"/>
            </w:pPr>
            <w:r w:rsidRPr="00C56257">
              <w:t>Ridicată</w:t>
            </w:r>
          </w:p>
        </w:tc>
        <w:tc>
          <w:tcPr>
            <w:tcW w:w="643" w:type="dxa"/>
            <w:vAlign w:val="center"/>
          </w:tcPr>
          <w:p w14:paraId="38DF0FAD" w14:textId="77777777" w:rsidR="0007555D" w:rsidRPr="00C56257" w:rsidRDefault="0007555D" w:rsidP="00F100E1">
            <w:pPr>
              <w:jc w:val="both"/>
            </w:pPr>
            <w:r w:rsidRPr="00C56257">
              <w:t>B07</w:t>
            </w:r>
          </w:p>
        </w:tc>
        <w:tc>
          <w:tcPr>
            <w:tcW w:w="2531" w:type="dxa"/>
            <w:vAlign w:val="center"/>
          </w:tcPr>
          <w:p w14:paraId="60693724" w14:textId="77777777" w:rsidR="0007555D" w:rsidRPr="00C56257" w:rsidRDefault="0007555D" w:rsidP="00F100E1">
            <w:pPr>
              <w:jc w:val="both"/>
            </w:pPr>
            <w:r w:rsidRPr="00C56257">
              <w:t xml:space="preserve">Extragerea arborilor morți sau aproape morți </w:t>
            </w:r>
          </w:p>
        </w:tc>
        <w:tc>
          <w:tcPr>
            <w:tcW w:w="1310" w:type="dxa"/>
            <w:vAlign w:val="center"/>
          </w:tcPr>
          <w:p w14:paraId="3F754202" w14:textId="77777777" w:rsidR="0007555D" w:rsidRPr="00C56257" w:rsidRDefault="0007555D" w:rsidP="00F100E1">
            <w:pPr>
              <w:jc w:val="both"/>
            </w:pPr>
            <w:r w:rsidRPr="00C56257">
              <w:t>Ridicată</w:t>
            </w:r>
          </w:p>
        </w:tc>
      </w:tr>
    </w:tbl>
    <w:p w14:paraId="07AB3195" w14:textId="77777777" w:rsidR="0007555D" w:rsidRPr="00C56257" w:rsidRDefault="0007555D" w:rsidP="008E33FD">
      <w:pPr>
        <w:keepNext/>
        <w:keepLines/>
        <w:spacing w:before="240" w:after="240" w:line="259" w:lineRule="auto"/>
        <w:ind w:left="708"/>
        <w:jc w:val="both"/>
        <w:outlineLvl w:val="1"/>
        <w:rPr>
          <w:rFonts w:eastAsia="Cambria"/>
          <w:b/>
          <w:color w:val="000000"/>
        </w:rPr>
      </w:pPr>
      <w:r w:rsidRPr="00C56257">
        <w:rPr>
          <w:rFonts w:eastAsia="Cambria"/>
          <w:b/>
          <w:color w:val="000000"/>
        </w:rPr>
        <w:t>Regiunea biogeografică Continentală</w:t>
      </w:r>
    </w:p>
    <w:tbl>
      <w:tblPr>
        <w:tblStyle w:val="TableGrid"/>
        <w:tblW w:w="0" w:type="auto"/>
        <w:tblLook w:val="04A0" w:firstRow="1" w:lastRow="0" w:firstColumn="1" w:lastColumn="0" w:noHBand="0" w:noVBand="1"/>
      </w:tblPr>
      <w:tblGrid>
        <w:gridCol w:w="643"/>
        <w:gridCol w:w="2579"/>
        <w:gridCol w:w="1310"/>
        <w:gridCol w:w="643"/>
        <w:gridCol w:w="2531"/>
        <w:gridCol w:w="1310"/>
      </w:tblGrid>
      <w:tr w:rsidR="0007555D" w:rsidRPr="00C56257" w14:paraId="47496175" w14:textId="77777777" w:rsidTr="0007555D">
        <w:tc>
          <w:tcPr>
            <w:tcW w:w="4532" w:type="dxa"/>
            <w:gridSpan w:val="3"/>
          </w:tcPr>
          <w:p w14:paraId="4D99CB17" w14:textId="77777777" w:rsidR="0007555D" w:rsidRPr="00C56257" w:rsidRDefault="0007555D" w:rsidP="00F100E1">
            <w:pPr>
              <w:jc w:val="both"/>
            </w:pPr>
            <w:r w:rsidRPr="00C56257">
              <w:t>Presiuni</w:t>
            </w:r>
          </w:p>
        </w:tc>
        <w:tc>
          <w:tcPr>
            <w:tcW w:w="4484" w:type="dxa"/>
            <w:gridSpan w:val="3"/>
          </w:tcPr>
          <w:p w14:paraId="20110068" w14:textId="77777777" w:rsidR="0007555D" w:rsidRPr="00C56257" w:rsidRDefault="0007555D" w:rsidP="00F100E1">
            <w:pPr>
              <w:jc w:val="both"/>
            </w:pPr>
            <w:r w:rsidRPr="00C56257">
              <w:t>Amenințări</w:t>
            </w:r>
          </w:p>
        </w:tc>
      </w:tr>
      <w:tr w:rsidR="0007555D" w:rsidRPr="00C56257" w14:paraId="3BA20C30" w14:textId="77777777" w:rsidTr="0007555D">
        <w:tc>
          <w:tcPr>
            <w:tcW w:w="643" w:type="dxa"/>
          </w:tcPr>
          <w:p w14:paraId="652CB0E0" w14:textId="77777777" w:rsidR="0007555D" w:rsidRPr="00C56257" w:rsidRDefault="0007555D" w:rsidP="008E33FD">
            <w:pPr>
              <w:jc w:val="both"/>
            </w:pPr>
            <w:r w:rsidRPr="00C56257">
              <w:t>Cod</w:t>
            </w:r>
          </w:p>
        </w:tc>
        <w:tc>
          <w:tcPr>
            <w:tcW w:w="2579" w:type="dxa"/>
          </w:tcPr>
          <w:p w14:paraId="7E8A6660" w14:textId="77777777" w:rsidR="0007555D" w:rsidRPr="00C56257" w:rsidRDefault="0007555D" w:rsidP="008E33FD">
            <w:pPr>
              <w:jc w:val="both"/>
            </w:pPr>
            <w:r w:rsidRPr="00C56257">
              <w:t>Denumire</w:t>
            </w:r>
          </w:p>
        </w:tc>
        <w:tc>
          <w:tcPr>
            <w:tcW w:w="1310" w:type="dxa"/>
          </w:tcPr>
          <w:p w14:paraId="1E866B63" w14:textId="77777777" w:rsidR="0007555D" w:rsidRPr="00C56257" w:rsidRDefault="0007555D" w:rsidP="008E33FD">
            <w:pPr>
              <w:jc w:val="both"/>
            </w:pPr>
            <w:r w:rsidRPr="00C56257">
              <w:t>Intensitate</w:t>
            </w:r>
          </w:p>
        </w:tc>
        <w:tc>
          <w:tcPr>
            <w:tcW w:w="643" w:type="dxa"/>
          </w:tcPr>
          <w:p w14:paraId="25D267D8" w14:textId="77777777" w:rsidR="0007555D" w:rsidRPr="00C56257" w:rsidRDefault="0007555D" w:rsidP="008E33FD">
            <w:pPr>
              <w:jc w:val="both"/>
            </w:pPr>
            <w:r w:rsidRPr="00C56257">
              <w:t>Cod</w:t>
            </w:r>
          </w:p>
        </w:tc>
        <w:tc>
          <w:tcPr>
            <w:tcW w:w="2531" w:type="dxa"/>
          </w:tcPr>
          <w:p w14:paraId="13E689C3" w14:textId="77777777" w:rsidR="0007555D" w:rsidRPr="00C56257" w:rsidRDefault="0007555D" w:rsidP="008E33FD">
            <w:pPr>
              <w:jc w:val="both"/>
            </w:pPr>
            <w:r w:rsidRPr="00C56257">
              <w:t>Denumire</w:t>
            </w:r>
          </w:p>
        </w:tc>
        <w:tc>
          <w:tcPr>
            <w:tcW w:w="1310" w:type="dxa"/>
          </w:tcPr>
          <w:p w14:paraId="0E3FAB79" w14:textId="77777777" w:rsidR="0007555D" w:rsidRPr="00C56257" w:rsidRDefault="0007555D" w:rsidP="008E33FD">
            <w:pPr>
              <w:jc w:val="both"/>
            </w:pPr>
            <w:r w:rsidRPr="00C56257">
              <w:t>Intensitate</w:t>
            </w:r>
          </w:p>
        </w:tc>
      </w:tr>
      <w:tr w:rsidR="0007555D" w:rsidRPr="00C56257" w14:paraId="29909C49" w14:textId="77777777" w:rsidTr="0007555D">
        <w:tc>
          <w:tcPr>
            <w:tcW w:w="643" w:type="dxa"/>
            <w:vAlign w:val="center"/>
          </w:tcPr>
          <w:p w14:paraId="52BA4F00" w14:textId="77777777" w:rsidR="0007555D" w:rsidRPr="00C56257" w:rsidRDefault="0007555D" w:rsidP="00F100E1">
            <w:pPr>
              <w:jc w:val="both"/>
            </w:pPr>
            <w:r w:rsidRPr="00C56257">
              <w:t>A09</w:t>
            </w:r>
          </w:p>
        </w:tc>
        <w:tc>
          <w:tcPr>
            <w:tcW w:w="2579" w:type="dxa"/>
            <w:vAlign w:val="center"/>
          </w:tcPr>
          <w:p w14:paraId="50758A5E" w14:textId="77777777" w:rsidR="0007555D" w:rsidRPr="00C56257" w:rsidRDefault="0007555D" w:rsidP="00F100E1">
            <w:pPr>
              <w:jc w:val="both"/>
            </w:pPr>
            <w:r w:rsidRPr="00C56257">
              <w:t>Pășunat intensiv</w:t>
            </w:r>
          </w:p>
        </w:tc>
        <w:tc>
          <w:tcPr>
            <w:tcW w:w="1310" w:type="dxa"/>
            <w:vAlign w:val="center"/>
          </w:tcPr>
          <w:p w14:paraId="484A0A0B" w14:textId="77777777" w:rsidR="0007555D" w:rsidRPr="00C56257" w:rsidRDefault="0007555D" w:rsidP="00F100E1">
            <w:pPr>
              <w:jc w:val="both"/>
            </w:pPr>
            <w:r w:rsidRPr="00C56257">
              <w:t>Medie</w:t>
            </w:r>
          </w:p>
        </w:tc>
        <w:tc>
          <w:tcPr>
            <w:tcW w:w="643" w:type="dxa"/>
            <w:vAlign w:val="center"/>
          </w:tcPr>
          <w:p w14:paraId="5B70364A" w14:textId="77777777" w:rsidR="0007555D" w:rsidRPr="00C56257" w:rsidRDefault="0007555D" w:rsidP="00F100E1">
            <w:pPr>
              <w:jc w:val="both"/>
            </w:pPr>
            <w:r w:rsidRPr="00C56257">
              <w:t>A09</w:t>
            </w:r>
          </w:p>
        </w:tc>
        <w:tc>
          <w:tcPr>
            <w:tcW w:w="2531" w:type="dxa"/>
            <w:vAlign w:val="center"/>
          </w:tcPr>
          <w:p w14:paraId="7ADF9D1B" w14:textId="77777777" w:rsidR="0007555D" w:rsidRPr="00C56257" w:rsidRDefault="0007555D" w:rsidP="00F100E1">
            <w:pPr>
              <w:jc w:val="both"/>
            </w:pPr>
            <w:r w:rsidRPr="00C56257">
              <w:t>Pășunat intensiv</w:t>
            </w:r>
          </w:p>
        </w:tc>
        <w:tc>
          <w:tcPr>
            <w:tcW w:w="1310" w:type="dxa"/>
            <w:vAlign w:val="center"/>
          </w:tcPr>
          <w:p w14:paraId="6F9B080C" w14:textId="77777777" w:rsidR="0007555D" w:rsidRPr="00C56257" w:rsidRDefault="0007555D" w:rsidP="00F100E1">
            <w:pPr>
              <w:jc w:val="both"/>
            </w:pPr>
            <w:r w:rsidRPr="00C56257">
              <w:t>Medie</w:t>
            </w:r>
          </w:p>
        </w:tc>
      </w:tr>
      <w:tr w:rsidR="0007555D" w:rsidRPr="00C56257" w14:paraId="3DC5524A" w14:textId="77777777" w:rsidTr="0007555D">
        <w:tc>
          <w:tcPr>
            <w:tcW w:w="643" w:type="dxa"/>
            <w:vAlign w:val="center"/>
          </w:tcPr>
          <w:p w14:paraId="2BC873F6" w14:textId="77777777" w:rsidR="0007555D" w:rsidRPr="00C56257" w:rsidRDefault="0007555D" w:rsidP="00F100E1">
            <w:pPr>
              <w:jc w:val="both"/>
            </w:pPr>
            <w:r w:rsidRPr="00C56257">
              <w:lastRenderedPageBreak/>
              <w:t>B07</w:t>
            </w:r>
          </w:p>
        </w:tc>
        <w:tc>
          <w:tcPr>
            <w:tcW w:w="2579" w:type="dxa"/>
            <w:vAlign w:val="center"/>
          </w:tcPr>
          <w:p w14:paraId="44157D3B" w14:textId="77777777" w:rsidR="0007555D" w:rsidRPr="00C56257" w:rsidRDefault="0007555D" w:rsidP="00F100E1">
            <w:pPr>
              <w:jc w:val="both"/>
            </w:pPr>
            <w:r w:rsidRPr="00C56257">
              <w:t xml:space="preserve">Extragerea arborilor morți sau aproape morți </w:t>
            </w:r>
          </w:p>
        </w:tc>
        <w:tc>
          <w:tcPr>
            <w:tcW w:w="1310" w:type="dxa"/>
            <w:vAlign w:val="center"/>
          </w:tcPr>
          <w:p w14:paraId="07722A9C" w14:textId="77777777" w:rsidR="0007555D" w:rsidRPr="00C56257" w:rsidRDefault="0007555D" w:rsidP="00F100E1">
            <w:pPr>
              <w:jc w:val="both"/>
            </w:pPr>
            <w:r w:rsidRPr="00C56257">
              <w:t>Ridicată</w:t>
            </w:r>
          </w:p>
        </w:tc>
        <w:tc>
          <w:tcPr>
            <w:tcW w:w="643" w:type="dxa"/>
            <w:vAlign w:val="center"/>
          </w:tcPr>
          <w:p w14:paraId="41D964E9" w14:textId="77777777" w:rsidR="0007555D" w:rsidRPr="00C56257" w:rsidRDefault="0007555D" w:rsidP="00F100E1">
            <w:pPr>
              <w:jc w:val="both"/>
            </w:pPr>
            <w:r w:rsidRPr="00C56257">
              <w:t>B07</w:t>
            </w:r>
          </w:p>
        </w:tc>
        <w:tc>
          <w:tcPr>
            <w:tcW w:w="2531" w:type="dxa"/>
            <w:vAlign w:val="center"/>
          </w:tcPr>
          <w:p w14:paraId="4C010800" w14:textId="77777777" w:rsidR="0007555D" w:rsidRPr="00C56257" w:rsidRDefault="0007555D" w:rsidP="00F100E1">
            <w:pPr>
              <w:jc w:val="both"/>
            </w:pPr>
            <w:r w:rsidRPr="00C56257">
              <w:t xml:space="preserve">Extragerea arborilor morți sau aproape morți </w:t>
            </w:r>
          </w:p>
        </w:tc>
        <w:tc>
          <w:tcPr>
            <w:tcW w:w="1310" w:type="dxa"/>
            <w:vAlign w:val="center"/>
          </w:tcPr>
          <w:p w14:paraId="5E9CBB2B" w14:textId="77777777" w:rsidR="0007555D" w:rsidRPr="00C56257" w:rsidRDefault="0007555D" w:rsidP="00F100E1">
            <w:pPr>
              <w:jc w:val="both"/>
            </w:pPr>
            <w:r w:rsidRPr="00C56257">
              <w:t>Ridicată</w:t>
            </w:r>
          </w:p>
        </w:tc>
      </w:tr>
    </w:tbl>
    <w:p w14:paraId="55F2A96A" w14:textId="77777777" w:rsidR="0007555D" w:rsidRPr="00C56257" w:rsidRDefault="0007555D" w:rsidP="008E33FD">
      <w:pPr>
        <w:tabs>
          <w:tab w:val="num" w:pos="360"/>
        </w:tabs>
        <w:ind w:left="360" w:hanging="360"/>
        <w:jc w:val="both"/>
        <w:rPr>
          <w:rFonts w:eastAsia="Calibri"/>
          <w:b/>
        </w:rPr>
      </w:pPr>
    </w:p>
    <w:p w14:paraId="595A1AC0"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9420 - Păduri de </w:t>
      </w:r>
      <w:r w:rsidRPr="00C56257">
        <w:rPr>
          <w:rFonts w:eastAsia="Calibri"/>
          <w:b/>
          <w:i/>
          <w:iCs/>
        </w:rPr>
        <w:t>Larix decidua</w:t>
      </w:r>
      <w:r w:rsidRPr="00C56257">
        <w:rPr>
          <w:rFonts w:eastAsia="Calibri"/>
          <w:b/>
        </w:rPr>
        <w:t xml:space="preserve"> și/sau </w:t>
      </w:r>
      <w:r w:rsidRPr="00C56257">
        <w:rPr>
          <w:rFonts w:eastAsia="Calibri"/>
          <w:b/>
          <w:i/>
          <w:iCs/>
        </w:rPr>
        <w:t>Pinus cembra</w:t>
      </w:r>
      <w:r w:rsidRPr="00C56257">
        <w:rPr>
          <w:rFonts w:eastAsia="Calibri"/>
          <w:b/>
        </w:rPr>
        <w:t xml:space="preserve"> din regiunea montană</w:t>
      </w:r>
    </w:p>
    <w:p w14:paraId="70C13062" w14:textId="77777777" w:rsidR="0007555D" w:rsidRPr="00C56257" w:rsidRDefault="0007555D" w:rsidP="008E33FD">
      <w:pPr>
        <w:keepNext/>
        <w:keepLines/>
        <w:spacing w:before="280" w:after="240" w:line="259" w:lineRule="auto"/>
        <w:ind w:left="708"/>
        <w:jc w:val="both"/>
        <w:outlineLvl w:val="1"/>
        <w:rPr>
          <w:rFonts w:eastAsia="Cambria"/>
          <w:b/>
          <w:color w:val="000000"/>
        </w:rPr>
      </w:pPr>
      <w:r w:rsidRPr="00C56257">
        <w:rPr>
          <w:rFonts w:eastAsia="Cambria"/>
          <w:b/>
          <w:color w:val="000000"/>
        </w:rPr>
        <w:t>Regiunea biogeografică Alpină</w:t>
      </w:r>
    </w:p>
    <w:tbl>
      <w:tblPr>
        <w:tblStyle w:val="TableGrid"/>
        <w:tblW w:w="5000" w:type="pct"/>
        <w:tblLook w:val="04A0" w:firstRow="1" w:lastRow="0" w:firstColumn="1" w:lastColumn="0" w:noHBand="0" w:noVBand="1"/>
      </w:tblPr>
      <w:tblGrid>
        <w:gridCol w:w="757"/>
        <w:gridCol w:w="2721"/>
        <w:gridCol w:w="1483"/>
        <w:gridCol w:w="757"/>
        <w:gridCol w:w="2702"/>
        <w:gridCol w:w="1754"/>
      </w:tblGrid>
      <w:tr w:rsidR="0007555D" w:rsidRPr="00C56257" w14:paraId="3EAD2EC2" w14:textId="77777777" w:rsidTr="0007555D">
        <w:tc>
          <w:tcPr>
            <w:tcW w:w="2438" w:type="pct"/>
            <w:gridSpan w:val="3"/>
          </w:tcPr>
          <w:p w14:paraId="3E6A0A60" w14:textId="77777777" w:rsidR="0007555D" w:rsidRPr="00C56257" w:rsidRDefault="0007555D" w:rsidP="00F100E1">
            <w:pPr>
              <w:jc w:val="both"/>
            </w:pPr>
            <w:r w:rsidRPr="00C56257">
              <w:t>Presiuni</w:t>
            </w:r>
          </w:p>
        </w:tc>
        <w:tc>
          <w:tcPr>
            <w:tcW w:w="2562" w:type="pct"/>
            <w:gridSpan w:val="3"/>
          </w:tcPr>
          <w:p w14:paraId="051CD893" w14:textId="77777777" w:rsidR="0007555D" w:rsidRPr="00C56257" w:rsidRDefault="0007555D" w:rsidP="00F100E1">
            <w:pPr>
              <w:jc w:val="both"/>
            </w:pPr>
            <w:r w:rsidRPr="00C56257">
              <w:t>Amenințări</w:t>
            </w:r>
          </w:p>
        </w:tc>
      </w:tr>
      <w:tr w:rsidR="0007555D" w:rsidRPr="00C56257" w14:paraId="49FD81F6" w14:textId="77777777" w:rsidTr="0007555D">
        <w:tc>
          <w:tcPr>
            <w:tcW w:w="372" w:type="pct"/>
          </w:tcPr>
          <w:p w14:paraId="14E79A87" w14:textId="77777777" w:rsidR="0007555D" w:rsidRPr="00C56257" w:rsidRDefault="0007555D" w:rsidP="008E33FD">
            <w:pPr>
              <w:jc w:val="both"/>
            </w:pPr>
            <w:r w:rsidRPr="00C56257">
              <w:t>Cod</w:t>
            </w:r>
          </w:p>
        </w:tc>
        <w:tc>
          <w:tcPr>
            <w:tcW w:w="1337" w:type="pct"/>
          </w:tcPr>
          <w:p w14:paraId="141FDC8D" w14:textId="77777777" w:rsidR="0007555D" w:rsidRPr="00C56257" w:rsidRDefault="0007555D" w:rsidP="008E33FD">
            <w:pPr>
              <w:jc w:val="both"/>
            </w:pPr>
            <w:r w:rsidRPr="00C56257">
              <w:t>Denumire</w:t>
            </w:r>
          </w:p>
        </w:tc>
        <w:tc>
          <w:tcPr>
            <w:tcW w:w="729" w:type="pct"/>
          </w:tcPr>
          <w:p w14:paraId="255CC6D8" w14:textId="77777777" w:rsidR="0007555D" w:rsidRPr="00C56257" w:rsidRDefault="0007555D" w:rsidP="008E33FD">
            <w:pPr>
              <w:jc w:val="both"/>
            </w:pPr>
            <w:r w:rsidRPr="00C56257">
              <w:t>Intensitate</w:t>
            </w:r>
          </w:p>
        </w:tc>
        <w:tc>
          <w:tcPr>
            <w:tcW w:w="372" w:type="pct"/>
          </w:tcPr>
          <w:p w14:paraId="73451A17" w14:textId="77777777" w:rsidR="0007555D" w:rsidRPr="00C56257" w:rsidRDefault="0007555D" w:rsidP="008E33FD">
            <w:pPr>
              <w:jc w:val="both"/>
            </w:pPr>
            <w:r w:rsidRPr="00C56257">
              <w:t>Cod</w:t>
            </w:r>
          </w:p>
        </w:tc>
        <w:tc>
          <w:tcPr>
            <w:tcW w:w="1328" w:type="pct"/>
          </w:tcPr>
          <w:p w14:paraId="3D06EB74" w14:textId="77777777" w:rsidR="0007555D" w:rsidRPr="00C56257" w:rsidRDefault="0007555D" w:rsidP="008E33FD">
            <w:pPr>
              <w:jc w:val="both"/>
            </w:pPr>
            <w:r w:rsidRPr="00C56257">
              <w:t>Denumire</w:t>
            </w:r>
          </w:p>
        </w:tc>
        <w:tc>
          <w:tcPr>
            <w:tcW w:w="862" w:type="pct"/>
          </w:tcPr>
          <w:p w14:paraId="4D8387CC" w14:textId="77777777" w:rsidR="0007555D" w:rsidRPr="00C56257" w:rsidRDefault="0007555D" w:rsidP="008E33FD">
            <w:pPr>
              <w:jc w:val="both"/>
            </w:pPr>
            <w:r w:rsidRPr="00C56257">
              <w:t>Intensitate</w:t>
            </w:r>
          </w:p>
        </w:tc>
      </w:tr>
      <w:tr w:rsidR="0007555D" w:rsidRPr="00C56257" w14:paraId="21F317E9" w14:textId="77777777" w:rsidTr="0007555D">
        <w:tc>
          <w:tcPr>
            <w:tcW w:w="372" w:type="pct"/>
          </w:tcPr>
          <w:p w14:paraId="1D6FA6F1" w14:textId="77777777" w:rsidR="0007555D" w:rsidRPr="00C56257" w:rsidRDefault="0007555D" w:rsidP="00F100E1">
            <w:pPr>
              <w:jc w:val="both"/>
            </w:pPr>
            <w:r w:rsidRPr="00C56257">
              <w:t>M07</w:t>
            </w:r>
          </w:p>
        </w:tc>
        <w:tc>
          <w:tcPr>
            <w:tcW w:w="1337" w:type="pct"/>
          </w:tcPr>
          <w:p w14:paraId="5F642698" w14:textId="77777777" w:rsidR="0007555D" w:rsidRPr="00C56257" w:rsidRDefault="0007555D" w:rsidP="00F100E1">
            <w:pPr>
              <w:jc w:val="both"/>
            </w:pPr>
            <w:r w:rsidRPr="00C56257">
              <w:t>Furtuni, cicloane</w:t>
            </w:r>
          </w:p>
        </w:tc>
        <w:tc>
          <w:tcPr>
            <w:tcW w:w="729" w:type="pct"/>
          </w:tcPr>
          <w:p w14:paraId="20297428" w14:textId="77777777" w:rsidR="0007555D" w:rsidRPr="00C56257" w:rsidRDefault="0007555D" w:rsidP="00F100E1">
            <w:pPr>
              <w:jc w:val="both"/>
            </w:pPr>
            <w:r w:rsidRPr="00C56257">
              <w:t>Medie</w:t>
            </w:r>
          </w:p>
        </w:tc>
        <w:tc>
          <w:tcPr>
            <w:tcW w:w="372" w:type="pct"/>
          </w:tcPr>
          <w:p w14:paraId="7159DB53" w14:textId="77777777" w:rsidR="0007555D" w:rsidRPr="00C56257" w:rsidRDefault="0007555D" w:rsidP="00F100E1">
            <w:pPr>
              <w:jc w:val="both"/>
            </w:pPr>
            <w:r w:rsidRPr="00C56257">
              <w:t>M07</w:t>
            </w:r>
          </w:p>
        </w:tc>
        <w:tc>
          <w:tcPr>
            <w:tcW w:w="1328" w:type="pct"/>
          </w:tcPr>
          <w:p w14:paraId="1F3FF338" w14:textId="77777777" w:rsidR="0007555D" w:rsidRPr="00C56257" w:rsidRDefault="0007555D" w:rsidP="00F100E1">
            <w:pPr>
              <w:jc w:val="both"/>
            </w:pPr>
            <w:r w:rsidRPr="00C56257">
              <w:t>Furtuni, cicloane</w:t>
            </w:r>
          </w:p>
        </w:tc>
        <w:tc>
          <w:tcPr>
            <w:tcW w:w="862" w:type="pct"/>
          </w:tcPr>
          <w:p w14:paraId="73626CC1" w14:textId="77777777" w:rsidR="0007555D" w:rsidRPr="00C56257" w:rsidRDefault="0007555D" w:rsidP="00F100E1">
            <w:pPr>
              <w:jc w:val="both"/>
            </w:pPr>
            <w:r w:rsidRPr="00C56257">
              <w:t>Medie</w:t>
            </w:r>
          </w:p>
        </w:tc>
      </w:tr>
      <w:tr w:rsidR="0007555D" w:rsidRPr="00C56257" w14:paraId="176A8CE5" w14:textId="77777777" w:rsidTr="0007555D">
        <w:tc>
          <w:tcPr>
            <w:tcW w:w="372" w:type="pct"/>
            <w:vAlign w:val="center"/>
          </w:tcPr>
          <w:p w14:paraId="05E8F96D" w14:textId="77777777" w:rsidR="0007555D" w:rsidRPr="00C56257" w:rsidRDefault="0007555D" w:rsidP="00F100E1">
            <w:pPr>
              <w:jc w:val="both"/>
            </w:pPr>
            <w:r w:rsidRPr="00C56257">
              <w:t>A09</w:t>
            </w:r>
          </w:p>
        </w:tc>
        <w:tc>
          <w:tcPr>
            <w:tcW w:w="1337" w:type="pct"/>
            <w:vAlign w:val="center"/>
          </w:tcPr>
          <w:p w14:paraId="55B56B6A" w14:textId="77777777" w:rsidR="0007555D" w:rsidRPr="00C56257" w:rsidRDefault="0007555D" w:rsidP="00F100E1">
            <w:pPr>
              <w:jc w:val="both"/>
            </w:pPr>
            <w:r w:rsidRPr="00C56257">
              <w:t>Pășunat intensiv</w:t>
            </w:r>
          </w:p>
        </w:tc>
        <w:tc>
          <w:tcPr>
            <w:tcW w:w="729" w:type="pct"/>
            <w:vAlign w:val="center"/>
          </w:tcPr>
          <w:p w14:paraId="2BE6B0C7" w14:textId="77777777" w:rsidR="0007555D" w:rsidRPr="00C56257" w:rsidRDefault="0007555D" w:rsidP="00F100E1">
            <w:pPr>
              <w:jc w:val="both"/>
            </w:pPr>
            <w:r w:rsidRPr="00C56257">
              <w:t>Medie</w:t>
            </w:r>
          </w:p>
        </w:tc>
        <w:tc>
          <w:tcPr>
            <w:tcW w:w="372" w:type="pct"/>
            <w:vAlign w:val="center"/>
          </w:tcPr>
          <w:p w14:paraId="4C189204" w14:textId="77777777" w:rsidR="0007555D" w:rsidRPr="00C56257" w:rsidRDefault="0007555D" w:rsidP="00F100E1">
            <w:pPr>
              <w:jc w:val="both"/>
            </w:pPr>
            <w:r w:rsidRPr="00C56257">
              <w:t>A09</w:t>
            </w:r>
          </w:p>
        </w:tc>
        <w:tc>
          <w:tcPr>
            <w:tcW w:w="1328" w:type="pct"/>
            <w:vAlign w:val="center"/>
          </w:tcPr>
          <w:p w14:paraId="65A6877B" w14:textId="77777777" w:rsidR="0007555D" w:rsidRPr="00C56257" w:rsidRDefault="0007555D" w:rsidP="00F100E1">
            <w:pPr>
              <w:jc w:val="both"/>
            </w:pPr>
            <w:r w:rsidRPr="00C56257">
              <w:t>Pășunat intensiv</w:t>
            </w:r>
          </w:p>
        </w:tc>
        <w:tc>
          <w:tcPr>
            <w:tcW w:w="862" w:type="pct"/>
            <w:vAlign w:val="center"/>
          </w:tcPr>
          <w:p w14:paraId="40A86654" w14:textId="77777777" w:rsidR="0007555D" w:rsidRPr="00C56257" w:rsidRDefault="0007555D" w:rsidP="00F100E1">
            <w:pPr>
              <w:jc w:val="both"/>
            </w:pPr>
            <w:r w:rsidRPr="00C56257">
              <w:t>Medie</w:t>
            </w:r>
          </w:p>
        </w:tc>
      </w:tr>
    </w:tbl>
    <w:p w14:paraId="6DABE1A4" w14:textId="77777777" w:rsidR="0007555D" w:rsidRPr="00C56257" w:rsidRDefault="0007555D" w:rsidP="008E33FD">
      <w:pPr>
        <w:tabs>
          <w:tab w:val="num" w:pos="360"/>
        </w:tabs>
        <w:ind w:left="360" w:hanging="360"/>
        <w:jc w:val="both"/>
        <w:rPr>
          <w:rFonts w:eastAsia="Calibri"/>
          <w:b/>
        </w:rPr>
      </w:pPr>
    </w:p>
    <w:p w14:paraId="75FC301C" w14:textId="77777777" w:rsidR="0007555D" w:rsidRPr="00C56257" w:rsidRDefault="0007555D" w:rsidP="008E33FD">
      <w:pPr>
        <w:tabs>
          <w:tab w:val="num" w:pos="360"/>
        </w:tabs>
        <w:ind w:left="360" w:hanging="360"/>
        <w:jc w:val="both"/>
        <w:rPr>
          <w:rFonts w:eastAsia="Calibri"/>
          <w:b/>
        </w:rPr>
      </w:pPr>
      <w:r w:rsidRPr="00C56257">
        <w:rPr>
          <w:rFonts w:eastAsia="Calibri"/>
          <w:b/>
        </w:rPr>
        <w:sym w:font="Wingdings" w:char="F09F"/>
      </w:r>
      <w:r w:rsidRPr="00C56257">
        <w:rPr>
          <w:rFonts w:eastAsia="Calibri"/>
          <w:b/>
        </w:rPr>
        <w:t xml:space="preserve"> 9530* - Păduri (sub)mediteraneene de pini negri endemici</w:t>
      </w:r>
    </w:p>
    <w:p w14:paraId="66CE92C9" w14:textId="77777777" w:rsidR="0007555D" w:rsidRPr="00C56257" w:rsidRDefault="0007555D" w:rsidP="008E33FD">
      <w:pPr>
        <w:keepNext/>
        <w:keepLines/>
        <w:spacing w:before="280" w:after="240" w:line="259" w:lineRule="auto"/>
        <w:ind w:left="708"/>
        <w:jc w:val="both"/>
        <w:outlineLvl w:val="1"/>
        <w:rPr>
          <w:rFonts w:eastAsia="Cambria"/>
          <w:b/>
          <w:color w:val="000000"/>
        </w:rPr>
      </w:pPr>
      <w:r w:rsidRPr="00C56257">
        <w:rPr>
          <w:rFonts w:eastAsia="Cambria"/>
          <w:b/>
          <w:color w:val="000000"/>
        </w:rPr>
        <w:t>Regiunea biogeografică Alpină</w:t>
      </w:r>
    </w:p>
    <w:tbl>
      <w:tblPr>
        <w:tblStyle w:val="TableGrid"/>
        <w:tblW w:w="0" w:type="auto"/>
        <w:tblLook w:val="04A0" w:firstRow="1" w:lastRow="0" w:firstColumn="1" w:lastColumn="0" w:noHBand="0" w:noVBand="1"/>
      </w:tblPr>
      <w:tblGrid>
        <w:gridCol w:w="669"/>
        <w:gridCol w:w="2530"/>
        <w:gridCol w:w="1326"/>
        <w:gridCol w:w="670"/>
        <w:gridCol w:w="2511"/>
        <w:gridCol w:w="1310"/>
      </w:tblGrid>
      <w:tr w:rsidR="0007555D" w:rsidRPr="00C56257" w14:paraId="5C76A730" w14:textId="77777777" w:rsidTr="0007555D">
        <w:tc>
          <w:tcPr>
            <w:tcW w:w="4525" w:type="dxa"/>
            <w:gridSpan w:val="3"/>
          </w:tcPr>
          <w:p w14:paraId="1DE22986" w14:textId="77777777" w:rsidR="0007555D" w:rsidRPr="00C56257" w:rsidRDefault="0007555D" w:rsidP="00F100E1">
            <w:pPr>
              <w:jc w:val="both"/>
            </w:pPr>
            <w:r w:rsidRPr="00C56257">
              <w:t>Presiuni</w:t>
            </w:r>
          </w:p>
        </w:tc>
        <w:tc>
          <w:tcPr>
            <w:tcW w:w="4491" w:type="dxa"/>
            <w:gridSpan w:val="3"/>
          </w:tcPr>
          <w:p w14:paraId="085FC0DE" w14:textId="77777777" w:rsidR="0007555D" w:rsidRPr="00C56257" w:rsidRDefault="0007555D" w:rsidP="00F100E1">
            <w:pPr>
              <w:jc w:val="both"/>
            </w:pPr>
            <w:r w:rsidRPr="00C56257">
              <w:t>Amenințări</w:t>
            </w:r>
          </w:p>
        </w:tc>
      </w:tr>
      <w:tr w:rsidR="0007555D" w:rsidRPr="00C56257" w14:paraId="7EA87F69" w14:textId="77777777" w:rsidTr="0007555D">
        <w:tc>
          <w:tcPr>
            <w:tcW w:w="669" w:type="dxa"/>
          </w:tcPr>
          <w:p w14:paraId="4EF8D286" w14:textId="77777777" w:rsidR="0007555D" w:rsidRPr="00C56257" w:rsidRDefault="0007555D" w:rsidP="008E33FD">
            <w:pPr>
              <w:jc w:val="both"/>
            </w:pPr>
            <w:r w:rsidRPr="00C56257">
              <w:t>Cod</w:t>
            </w:r>
          </w:p>
        </w:tc>
        <w:tc>
          <w:tcPr>
            <w:tcW w:w="2530" w:type="dxa"/>
          </w:tcPr>
          <w:p w14:paraId="3AB142B6" w14:textId="77777777" w:rsidR="0007555D" w:rsidRPr="00C56257" w:rsidRDefault="0007555D" w:rsidP="008E33FD">
            <w:pPr>
              <w:jc w:val="both"/>
            </w:pPr>
            <w:r w:rsidRPr="00C56257">
              <w:t>Denumire</w:t>
            </w:r>
          </w:p>
        </w:tc>
        <w:tc>
          <w:tcPr>
            <w:tcW w:w="1326" w:type="dxa"/>
          </w:tcPr>
          <w:p w14:paraId="3D590667" w14:textId="77777777" w:rsidR="0007555D" w:rsidRPr="00C56257" w:rsidRDefault="0007555D" w:rsidP="008E33FD">
            <w:pPr>
              <w:jc w:val="both"/>
            </w:pPr>
            <w:r w:rsidRPr="00C56257">
              <w:t>Intensitate</w:t>
            </w:r>
          </w:p>
        </w:tc>
        <w:tc>
          <w:tcPr>
            <w:tcW w:w="670" w:type="dxa"/>
          </w:tcPr>
          <w:p w14:paraId="1B575F6F" w14:textId="77777777" w:rsidR="0007555D" w:rsidRPr="00C56257" w:rsidRDefault="0007555D" w:rsidP="008E33FD">
            <w:pPr>
              <w:jc w:val="both"/>
            </w:pPr>
            <w:r w:rsidRPr="00C56257">
              <w:t>Cod</w:t>
            </w:r>
          </w:p>
        </w:tc>
        <w:tc>
          <w:tcPr>
            <w:tcW w:w="2511" w:type="dxa"/>
          </w:tcPr>
          <w:p w14:paraId="01F4D9C7" w14:textId="77777777" w:rsidR="0007555D" w:rsidRPr="00C56257" w:rsidRDefault="0007555D" w:rsidP="008E33FD">
            <w:pPr>
              <w:jc w:val="both"/>
            </w:pPr>
            <w:r w:rsidRPr="00C56257">
              <w:t>Denumire</w:t>
            </w:r>
          </w:p>
        </w:tc>
        <w:tc>
          <w:tcPr>
            <w:tcW w:w="1310" w:type="dxa"/>
          </w:tcPr>
          <w:p w14:paraId="29536077" w14:textId="77777777" w:rsidR="0007555D" w:rsidRPr="00C56257" w:rsidRDefault="0007555D" w:rsidP="008E33FD">
            <w:pPr>
              <w:jc w:val="both"/>
            </w:pPr>
            <w:r w:rsidRPr="00C56257">
              <w:t>Intensitate</w:t>
            </w:r>
          </w:p>
        </w:tc>
      </w:tr>
      <w:tr w:rsidR="0007555D" w:rsidRPr="00C56257" w14:paraId="7F00BA5E" w14:textId="77777777" w:rsidTr="0007555D">
        <w:tc>
          <w:tcPr>
            <w:tcW w:w="669" w:type="dxa"/>
            <w:vAlign w:val="center"/>
          </w:tcPr>
          <w:p w14:paraId="212CC93F" w14:textId="77777777" w:rsidR="0007555D" w:rsidRPr="00C56257" w:rsidRDefault="0007555D" w:rsidP="00F100E1">
            <w:pPr>
              <w:jc w:val="both"/>
            </w:pPr>
            <w:r w:rsidRPr="00C56257">
              <w:t>Xp</w:t>
            </w:r>
          </w:p>
        </w:tc>
        <w:tc>
          <w:tcPr>
            <w:tcW w:w="2530" w:type="dxa"/>
            <w:vAlign w:val="center"/>
          </w:tcPr>
          <w:p w14:paraId="4E313128" w14:textId="77777777" w:rsidR="0007555D" w:rsidRPr="00C56257" w:rsidRDefault="0007555D" w:rsidP="00F100E1">
            <w:pPr>
              <w:jc w:val="both"/>
            </w:pPr>
            <w:r w:rsidRPr="00C56257">
              <w:t>Nu există informații despre presiuni</w:t>
            </w:r>
          </w:p>
        </w:tc>
        <w:tc>
          <w:tcPr>
            <w:tcW w:w="1326" w:type="dxa"/>
            <w:vAlign w:val="center"/>
          </w:tcPr>
          <w:p w14:paraId="50379902" w14:textId="77777777" w:rsidR="0007555D" w:rsidRPr="00C56257" w:rsidRDefault="0007555D" w:rsidP="00F100E1">
            <w:pPr>
              <w:jc w:val="both"/>
            </w:pPr>
          </w:p>
        </w:tc>
        <w:tc>
          <w:tcPr>
            <w:tcW w:w="670" w:type="dxa"/>
            <w:vAlign w:val="center"/>
          </w:tcPr>
          <w:p w14:paraId="7FF5B485" w14:textId="77777777" w:rsidR="0007555D" w:rsidRPr="00C56257" w:rsidRDefault="0007555D" w:rsidP="00F100E1">
            <w:pPr>
              <w:jc w:val="both"/>
            </w:pPr>
            <w:r w:rsidRPr="00C56257">
              <w:t>Xt</w:t>
            </w:r>
          </w:p>
        </w:tc>
        <w:tc>
          <w:tcPr>
            <w:tcW w:w="2511" w:type="dxa"/>
            <w:vAlign w:val="center"/>
          </w:tcPr>
          <w:p w14:paraId="101B4782" w14:textId="77777777" w:rsidR="0007555D" w:rsidRPr="00C56257" w:rsidRDefault="0007555D" w:rsidP="00F100E1">
            <w:pPr>
              <w:jc w:val="both"/>
            </w:pPr>
            <w:r w:rsidRPr="00C56257">
              <w:t>Nu există informații despre amenințări</w:t>
            </w:r>
          </w:p>
        </w:tc>
        <w:tc>
          <w:tcPr>
            <w:tcW w:w="1310" w:type="dxa"/>
            <w:vAlign w:val="center"/>
          </w:tcPr>
          <w:p w14:paraId="0192FD01" w14:textId="77777777" w:rsidR="0007555D" w:rsidRPr="00C56257" w:rsidRDefault="0007555D" w:rsidP="00F100E1">
            <w:pPr>
              <w:jc w:val="both"/>
            </w:pPr>
          </w:p>
        </w:tc>
      </w:tr>
    </w:tbl>
    <w:p w14:paraId="59FAB264" w14:textId="77777777" w:rsidR="0007555D" w:rsidRPr="00C56257" w:rsidRDefault="0007555D" w:rsidP="008E33FD">
      <w:pPr>
        <w:keepNext/>
        <w:keepLines/>
        <w:spacing w:before="280" w:after="240" w:line="259" w:lineRule="auto"/>
        <w:ind w:left="708"/>
        <w:jc w:val="both"/>
        <w:outlineLvl w:val="1"/>
        <w:rPr>
          <w:rFonts w:eastAsia="Cambria"/>
          <w:b/>
          <w:color w:val="000000"/>
        </w:rPr>
      </w:pPr>
      <w:r w:rsidRPr="00C56257">
        <w:rPr>
          <w:rFonts w:eastAsia="Cambria"/>
          <w:b/>
          <w:color w:val="000000"/>
        </w:rPr>
        <w:t>Regiunea biogeografică Continentală</w:t>
      </w:r>
    </w:p>
    <w:tbl>
      <w:tblPr>
        <w:tblStyle w:val="TableGrid"/>
        <w:tblW w:w="0" w:type="auto"/>
        <w:tblLook w:val="04A0" w:firstRow="1" w:lastRow="0" w:firstColumn="1" w:lastColumn="0" w:noHBand="0" w:noVBand="1"/>
      </w:tblPr>
      <w:tblGrid>
        <w:gridCol w:w="669"/>
        <w:gridCol w:w="2530"/>
        <w:gridCol w:w="1326"/>
        <w:gridCol w:w="670"/>
        <w:gridCol w:w="2511"/>
        <w:gridCol w:w="1310"/>
      </w:tblGrid>
      <w:tr w:rsidR="0007555D" w:rsidRPr="00C56257" w14:paraId="645AED95" w14:textId="77777777" w:rsidTr="0007555D">
        <w:tc>
          <w:tcPr>
            <w:tcW w:w="4525" w:type="dxa"/>
            <w:gridSpan w:val="3"/>
          </w:tcPr>
          <w:p w14:paraId="019A90A8" w14:textId="77777777" w:rsidR="0007555D" w:rsidRPr="00C56257" w:rsidRDefault="0007555D" w:rsidP="00F100E1">
            <w:pPr>
              <w:jc w:val="both"/>
            </w:pPr>
            <w:r w:rsidRPr="00C56257">
              <w:t>Presiuni</w:t>
            </w:r>
          </w:p>
        </w:tc>
        <w:tc>
          <w:tcPr>
            <w:tcW w:w="4491" w:type="dxa"/>
            <w:gridSpan w:val="3"/>
          </w:tcPr>
          <w:p w14:paraId="21AC26D8" w14:textId="77777777" w:rsidR="0007555D" w:rsidRPr="00C56257" w:rsidRDefault="0007555D" w:rsidP="00F100E1">
            <w:pPr>
              <w:jc w:val="both"/>
            </w:pPr>
            <w:r w:rsidRPr="00C56257">
              <w:t>Amenințări</w:t>
            </w:r>
          </w:p>
        </w:tc>
      </w:tr>
      <w:tr w:rsidR="0007555D" w:rsidRPr="00C56257" w14:paraId="64AF90B8" w14:textId="77777777" w:rsidTr="0007555D">
        <w:tc>
          <w:tcPr>
            <w:tcW w:w="669" w:type="dxa"/>
          </w:tcPr>
          <w:p w14:paraId="0F594C8E" w14:textId="77777777" w:rsidR="0007555D" w:rsidRPr="00C56257" w:rsidRDefault="0007555D" w:rsidP="008E33FD">
            <w:pPr>
              <w:jc w:val="both"/>
            </w:pPr>
            <w:r w:rsidRPr="00C56257">
              <w:t>Cod</w:t>
            </w:r>
          </w:p>
        </w:tc>
        <w:tc>
          <w:tcPr>
            <w:tcW w:w="2530" w:type="dxa"/>
          </w:tcPr>
          <w:p w14:paraId="6FDA9017" w14:textId="77777777" w:rsidR="0007555D" w:rsidRPr="00C56257" w:rsidRDefault="0007555D" w:rsidP="008E33FD">
            <w:pPr>
              <w:jc w:val="both"/>
            </w:pPr>
            <w:r w:rsidRPr="00C56257">
              <w:t>Denumire</w:t>
            </w:r>
          </w:p>
        </w:tc>
        <w:tc>
          <w:tcPr>
            <w:tcW w:w="1326" w:type="dxa"/>
          </w:tcPr>
          <w:p w14:paraId="2ED6BE83" w14:textId="77777777" w:rsidR="0007555D" w:rsidRPr="00C56257" w:rsidRDefault="0007555D" w:rsidP="008E33FD">
            <w:pPr>
              <w:jc w:val="both"/>
            </w:pPr>
            <w:r w:rsidRPr="00C56257">
              <w:t>Intensitate</w:t>
            </w:r>
          </w:p>
        </w:tc>
        <w:tc>
          <w:tcPr>
            <w:tcW w:w="670" w:type="dxa"/>
          </w:tcPr>
          <w:p w14:paraId="7F5780AD" w14:textId="77777777" w:rsidR="0007555D" w:rsidRPr="00C56257" w:rsidRDefault="0007555D" w:rsidP="008E33FD">
            <w:pPr>
              <w:jc w:val="both"/>
            </w:pPr>
            <w:r w:rsidRPr="00C56257">
              <w:t>Cod</w:t>
            </w:r>
          </w:p>
        </w:tc>
        <w:tc>
          <w:tcPr>
            <w:tcW w:w="2511" w:type="dxa"/>
          </w:tcPr>
          <w:p w14:paraId="5AF06BED" w14:textId="77777777" w:rsidR="0007555D" w:rsidRPr="00C56257" w:rsidRDefault="0007555D" w:rsidP="008E33FD">
            <w:pPr>
              <w:jc w:val="both"/>
            </w:pPr>
            <w:r w:rsidRPr="00C56257">
              <w:t>Denumire</w:t>
            </w:r>
          </w:p>
        </w:tc>
        <w:tc>
          <w:tcPr>
            <w:tcW w:w="1310" w:type="dxa"/>
          </w:tcPr>
          <w:p w14:paraId="54693F55" w14:textId="77777777" w:rsidR="0007555D" w:rsidRPr="00C56257" w:rsidRDefault="0007555D" w:rsidP="008E33FD">
            <w:pPr>
              <w:jc w:val="both"/>
            </w:pPr>
            <w:r w:rsidRPr="00C56257">
              <w:t>Intensitate</w:t>
            </w:r>
          </w:p>
        </w:tc>
      </w:tr>
      <w:tr w:rsidR="0007555D" w:rsidRPr="00C56257" w14:paraId="1AB150E5" w14:textId="77777777" w:rsidTr="0007555D">
        <w:tc>
          <w:tcPr>
            <w:tcW w:w="669" w:type="dxa"/>
            <w:vAlign w:val="center"/>
          </w:tcPr>
          <w:p w14:paraId="3E4FD1D0" w14:textId="77777777" w:rsidR="0007555D" w:rsidRPr="00C56257" w:rsidRDefault="0007555D" w:rsidP="00F100E1">
            <w:pPr>
              <w:jc w:val="both"/>
            </w:pPr>
            <w:r w:rsidRPr="00C56257">
              <w:t>C01</w:t>
            </w:r>
          </w:p>
        </w:tc>
        <w:tc>
          <w:tcPr>
            <w:tcW w:w="2530" w:type="dxa"/>
            <w:vAlign w:val="center"/>
          </w:tcPr>
          <w:p w14:paraId="1730F2C7" w14:textId="77777777" w:rsidR="0007555D" w:rsidRPr="00C56257" w:rsidRDefault="0007555D" w:rsidP="00F100E1">
            <w:pPr>
              <w:jc w:val="both"/>
            </w:pPr>
            <w:r w:rsidRPr="00C56257">
              <w:t>Extracția mineralelor (rocă, minereuri metalice, pietriș, nisip, coajă, etc.)</w:t>
            </w:r>
          </w:p>
        </w:tc>
        <w:tc>
          <w:tcPr>
            <w:tcW w:w="1326" w:type="dxa"/>
            <w:vAlign w:val="center"/>
          </w:tcPr>
          <w:p w14:paraId="4BDE8A71" w14:textId="77777777" w:rsidR="0007555D" w:rsidRPr="00C56257" w:rsidRDefault="0007555D" w:rsidP="00F100E1">
            <w:pPr>
              <w:jc w:val="both"/>
            </w:pPr>
            <w:r w:rsidRPr="00C56257">
              <w:t>Medie</w:t>
            </w:r>
          </w:p>
        </w:tc>
        <w:tc>
          <w:tcPr>
            <w:tcW w:w="670" w:type="dxa"/>
            <w:vAlign w:val="center"/>
          </w:tcPr>
          <w:p w14:paraId="3371FC33" w14:textId="77777777" w:rsidR="0007555D" w:rsidRPr="00C56257" w:rsidRDefault="0007555D" w:rsidP="00F100E1">
            <w:pPr>
              <w:jc w:val="both"/>
            </w:pPr>
            <w:r w:rsidRPr="00C56257">
              <w:t>C01</w:t>
            </w:r>
          </w:p>
        </w:tc>
        <w:tc>
          <w:tcPr>
            <w:tcW w:w="2511" w:type="dxa"/>
            <w:vAlign w:val="center"/>
          </w:tcPr>
          <w:p w14:paraId="36E500A0" w14:textId="77777777" w:rsidR="0007555D" w:rsidRPr="00C56257" w:rsidRDefault="0007555D" w:rsidP="00F100E1">
            <w:pPr>
              <w:jc w:val="both"/>
            </w:pPr>
            <w:r w:rsidRPr="00C56257">
              <w:t>Extracția mineralelor (rocă, minereuri metalice, pietriș, nisip, coajă, etc.)</w:t>
            </w:r>
          </w:p>
        </w:tc>
        <w:tc>
          <w:tcPr>
            <w:tcW w:w="1310" w:type="dxa"/>
            <w:vAlign w:val="center"/>
          </w:tcPr>
          <w:p w14:paraId="0A55DAA3" w14:textId="77777777" w:rsidR="0007555D" w:rsidRPr="00C56257" w:rsidRDefault="0007555D" w:rsidP="00F100E1">
            <w:pPr>
              <w:jc w:val="both"/>
            </w:pPr>
            <w:r w:rsidRPr="00C56257">
              <w:t>Medie</w:t>
            </w:r>
          </w:p>
        </w:tc>
      </w:tr>
    </w:tbl>
    <w:p w14:paraId="1F792514" w14:textId="77777777" w:rsidR="0007555D" w:rsidRPr="00C56257" w:rsidRDefault="0007555D" w:rsidP="008E33FD">
      <w:pPr>
        <w:tabs>
          <w:tab w:val="num" w:pos="360"/>
        </w:tabs>
        <w:ind w:left="360"/>
        <w:jc w:val="both"/>
        <w:rPr>
          <w:rFonts w:eastAsia="Calibri"/>
          <w:bCs/>
        </w:rPr>
      </w:pPr>
    </w:p>
    <w:p w14:paraId="05903979" w14:textId="77777777" w:rsidR="0007555D" w:rsidRPr="00C56257" w:rsidRDefault="0007555D" w:rsidP="00F100E1">
      <w:pPr>
        <w:jc w:val="both"/>
        <w:rPr>
          <w:rFonts w:eastAsia="Calibri"/>
          <w:bCs/>
        </w:rPr>
      </w:pPr>
      <w:r w:rsidRPr="00C56257">
        <w:rPr>
          <w:rFonts w:eastAsia="Calibri"/>
          <w:bCs/>
        </w:rPr>
        <w:br w:type="page"/>
      </w:r>
    </w:p>
    <w:p w14:paraId="08F99C32" w14:textId="77777777" w:rsidR="0007555D" w:rsidRPr="00C56257" w:rsidRDefault="00FE0FCD" w:rsidP="008E33FD">
      <w:pPr>
        <w:tabs>
          <w:tab w:val="num" w:pos="360"/>
        </w:tabs>
        <w:spacing w:before="240"/>
        <w:ind w:left="360" w:hanging="360"/>
        <w:jc w:val="both"/>
        <w:rPr>
          <w:b/>
        </w:rPr>
      </w:pPr>
      <w:r>
        <w:rPr>
          <w:b/>
        </w:rPr>
        <w:lastRenderedPageBreak/>
        <w:t>10.5</w:t>
      </w:r>
      <w:r w:rsidR="0007555D" w:rsidRPr="00C56257">
        <w:rPr>
          <w:b/>
        </w:rPr>
        <w:t>. Lista cu Măsurile de conservare ce se pot aplica habitatelor forestiere de interes comunitar</w:t>
      </w:r>
    </w:p>
    <w:p w14:paraId="6AE9D758" w14:textId="77777777" w:rsidR="0007555D" w:rsidRPr="00C56257" w:rsidRDefault="0007555D" w:rsidP="008E33FD">
      <w:pPr>
        <w:tabs>
          <w:tab w:val="num" w:pos="360"/>
        </w:tabs>
        <w:ind w:left="360" w:hanging="360"/>
        <w:jc w:val="both"/>
        <w:rPr>
          <w:b/>
        </w:rPr>
      </w:pPr>
    </w:p>
    <w:p w14:paraId="27F7391D" w14:textId="77777777" w:rsidR="0007555D" w:rsidRPr="00C56257" w:rsidRDefault="0007555D" w:rsidP="009E63E5">
      <w:pPr>
        <w:widowControl w:val="0"/>
        <w:numPr>
          <w:ilvl w:val="0"/>
          <w:numId w:val="153"/>
        </w:numPr>
        <w:autoSpaceDE w:val="0"/>
        <w:autoSpaceDN w:val="0"/>
        <w:adjustRightInd w:val="0"/>
        <w:contextualSpacing/>
        <w:jc w:val="both"/>
        <w:rPr>
          <w:bCs/>
        </w:rPr>
      </w:pPr>
      <w:r w:rsidRPr="00C56257">
        <w:rPr>
          <w:bCs/>
        </w:rPr>
        <w:t>Prevenirea conversiei habitatelor (semi) naturale în păduri și a pădurilor (semi) naturale în plantații forestiere intensive (CB01)</w:t>
      </w:r>
    </w:p>
    <w:p w14:paraId="5256E7F9" w14:textId="77777777" w:rsidR="0007555D" w:rsidRPr="00C56257" w:rsidRDefault="0007555D" w:rsidP="009E63E5">
      <w:pPr>
        <w:widowControl w:val="0"/>
        <w:numPr>
          <w:ilvl w:val="0"/>
          <w:numId w:val="153"/>
        </w:numPr>
        <w:autoSpaceDE w:val="0"/>
        <w:autoSpaceDN w:val="0"/>
        <w:adjustRightInd w:val="0"/>
        <w:contextualSpacing/>
        <w:jc w:val="both"/>
        <w:rPr>
          <w:bCs/>
        </w:rPr>
      </w:pPr>
      <w:r w:rsidRPr="00C56257">
        <w:rPr>
          <w:bCs/>
        </w:rPr>
        <w:t>Menținerea gestionării tradiționale existente a pădurii și a practicilor de exploatare (CB02)</w:t>
      </w:r>
    </w:p>
    <w:p w14:paraId="6B0E1E83" w14:textId="77777777" w:rsidR="0007555D" w:rsidRPr="00C56257" w:rsidRDefault="0007555D" w:rsidP="009E63E5">
      <w:pPr>
        <w:widowControl w:val="0"/>
        <w:numPr>
          <w:ilvl w:val="0"/>
          <w:numId w:val="153"/>
        </w:numPr>
        <w:autoSpaceDE w:val="0"/>
        <w:autoSpaceDN w:val="0"/>
        <w:adjustRightInd w:val="0"/>
        <w:contextualSpacing/>
        <w:jc w:val="both"/>
        <w:rPr>
          <w:bCs/>
        </w:rPr>
      </w:pPr>
      <w:r w:rsidRPr="00C56257">
        <w:rPr>
          <w:bCs/>
        </w:rPr>
        <w:t>Reintroducerea practicilor de gestionare și exploatare a pădurilor (CB03)</w:t>
      </w:r>
    </w:p>
    <w:p w14:paraId="17B56660" w14:textId="77777777" w:rsidR="0007555D" w:rsidRPr="00C56257" w:rsidRDefault="0007555D" w:rsidP="009E63E5">
      <w:pPr>
        <w:widowControl w:val="0"/>
        <w:numPr>
          <w:ilvl w:val="0"/>
          <w:numId w:val="153"/>
        </w:numPr>
        <w:autoSpaceDE w:val="0"/>
        <w:autoSpaceDN w:val="0"/>
        <w:adjustRightInd w:val="0"/>
        <w:contextualSpacing/>
        <w:jc w:val="both"/>
        <w:rPr>
          <w:bCs/>
        </w:rPr>
      </w:pPr>
      <w:r w:rsidRPr="00C56257">
        <w:rPr>
          <w:bCs/>
        </w:rPr>
        <w:t>Adaptarea/Gestionarea reîmpăduririlor și regenerarea pădurilor (CB04)</w:t>
      </w:r>
    </w:p>
    <w:p w14:paraId="2525422D" w14:textId="77777777" w:rsidR="0007555D" w:rsidRPr="00C56257" w:rsidRDefault="0007555D" w:rsidP="009E63E5">
      <w:pPr>
        <w:widowControl w:val="0"/>
        <w:numPr>
          <w:ilvl w:val="0"/>
          <w:numId w:val="153"/>
        </w:numPr>
        <w:autoSpaceDE w:val="0"/>
        <w:autoSpaceDN w:val="0"/>
        <w:adjustRightInd w:val="0"/>
        <w:contextualSpacing/>
        <w:jc w:val="both"/>
        <w:rPr>
          <w:bCs/>
        </w:rPr>
      </w:pPr>
      <w:r w:rsidRPr="00C56257">
        <w:rPr>
          <w:bCs/>
        </w:rPr>
        <w:t>Adaptarea/schimbarea practicilor de gestionare și exploatare a pădurilor (CB05)</w:t>
      </w:r>
    </w:p>
    <w:p w14:paraId="21686EE6" w14:textId="77777777" w:rsidR="0007555D" w:rsidRPr="00C56257" w:rsidRDefault="0007555D" w:rsidP="009E63E5">
      <w:pPr>
        <w:widowControl w:val="0"/>
        <w:numPr>
          <w:ilvl w:val="0"/>
          <w:numId w:val="153"/>
        </w:numPr>
        <w:autoSpaceDE w:val="0"/>
        <w:autoSpaceDN w:val="0"/>
        <w:adjustRightInd w:val="0"/>
        <w:contextualSpacing/>
        <w:jc w:val="both"/>
        <w:rPr>
          <w:bCs/>
        </w:rPr>
      </w:pPr>
      <w:r w:rsidRPr="00C56257">
        <w:rPr>
          <w:bCs/>
        </w:rPr>
        <w:t>Stoparea practicilor de gestionare și exploatare a pădurilor (CB06)</w:t>
      </w:r>
    </w:p>
    <w:p w14:paraId="3E732A06" w14:textId="77777777" w:rsidR="0007555D" w:rsidRPr="00C56257" w:rsidRDefault="0007555D" w:rsidP="009E63E5">
      <w:pPr>
        <w:widowControl w:val="0"/>
        <w:numPr>
          <w:ilvl w:val="0"/>
          <w:numId w:val="153"/>
        </w:numPr>
        <w:autoSpaceDE w:val="0"/>
        <w:autoSpaceDN w:val="0"/>
        <w:adjustRightInd w:val="0"/>
        <w:contextualSpacing/>
        <w:jc w:val="both"/>
        <w:rPr>
          <w:bCs/>
        </w:rPr>
      </w:pPr>
      <w:r w:rsidRPr="00C56257">
        <w:rPr>
          <w:bCs/>
        </w:rPr>
        <w:t>Combaterea tăierilor ilegale (CB07)</w:t>
      </w:r>
    </w:p>
    <w:p w14:paraId="631FF20F" w14:textId="77777777" w:rsidR="0007555D" w:rsidRPr="00C56257" w:rsidRDefault="0007555D" w:rsidP="009E63E5">
      <w:pPr>
        <w:widowControl w:val="0"/>
        <w:numPr>
          <w:ilvl w:val="0"/>
          <w:numId w:val="153"/>
        </w:numPr>
        <w:autoSpaceDE w:val="0"/>
        <w:autoSpaceDN w:val="0"/>
        <w:adjustRightInd w:val="0"/>
        <w:contextualSpacing/>
        <w:jc w:val="both"/>
        <w:rPr>
          <w:bCs/>
        </w:rPr>
      </w:pPr>
      <w:r w:rsidRPr="00C56257">
        <w:rPr>
          <w:bCs/>
        </w:rPr>
        <w:t>Restaurarea habitatelor forestiere din Anexa I (CB08)</w:t>
      </w:r>
    </w:p>
    <w:p w14:paraId="5B960709" w14:textId="77777777" w:rsidR="0007555D" w:rsidRPr="00C56257" w:rsidRDefault="0007555D" w:rsidP="009E63E5">
      <w:pPr>
        <w:widowControl w:val="0"/>
        <w:numPr>
          <w:ilvl w:val="0"/>
          <w:numId w:val="153"/>
        </w:numPr>
        <w:autoSpaceDE w:val="0"/>
        <w:autoSpaceDN w:val="0"/>
        <w:adjustRightInd w:val="0"/>
        <w:contextualSpacing/>
        <w:jc w:val="both"/>
        <w:rPr>
          <w:bCs/>
        </w:rPr>
      </w:pPr>
      <w:r w:rsidRPr="00C56257">
        <w:rPr>
          <w:bCs/>
        </w:rPr>
        <w:t>Gestionarea folosirii substanțelor chimice pentru fertilizare, amendarea cu calcar și combaterea dăunătorilor în silvicultură (CB09)</w:t>
      </w:r>
    </w:p>
    <w:p w14:paraId="2598B917" w14:textId="77777777" w:rsidR="0007555D" w:rsidRPr="00C56257" w:rsidRDefault="0007555D" w:rsidP="009E63E5">
      <w:pPr>
        <w:widowControl w:val="0"/>
        <w:numPr>
          <w:ilvl w:val="0"/>
          <w:numId w:val="153"/>
        </w:numPr>
        <w:autoSpaceDE w:val="0"/>
        <w:autoSpaceDN w:val="0"/>
        <w:adjustRightInd w:val="0"/>
        <w:contextualSpacing/>
        <w:jc w:val="both"/>
        <w:rPr>
          <w:bCs/>
        </w:rPr>
      </w:pPr>
      <w:r w:rsidRPr="00C56257">
        <w:rPr>
          <w:bCs/>
        </w:rPr>
        <w:t>Reducerea poluării difuze a apelor de suprafață sau subterane rezultată în urma activităților forestiere (CB10)</w:t>
      </w:r>
    </w:p>
    <w:p w14:paraId="6F017282" w14:textId="77777777" w:rsidR="0007555D" w:rsidRPr="00C56257" w:rsidRDefault="0007555D" w:rsidP="009E63E5">
      <w:pPr>
        <w:widowControl w:val="0"/>
        <w:numPr>
          <w:ilvl w:val="0"/>
          <w:numId w:val="153"/>
        </w:numPr>
        <w:autoSpaceDE w:val="0"/>
        <w:autoSpaceDN w:val="0"/>
        <w:adjustRightInd w:val="0"/>
        <w:contextualSpacing/>
        <w:jc w:val="both"/>
        <w:rPr>
          <w:bCs/>
        </w:rPr>
      </w:pPr>
      <w:r w:rsidRPr="00C56257">
        <w:rPr>
          <w:bCs/>
        </w:rPr>
        <w:t>Reducerea poluării aerului rezultată în urma activităților forestiere (CB11)</w:t>
      </w:r>
    </w:p>
    <w:p w14:paraId="2592C630" w14:textId="77777777" w:rsidR="0007555D" w:rsidRPr="00C56257" w:rsidRDefault="0007555D" w:rsidP="009E63E5">
      <w:pPr>
        <w:widowControl w:val="0"/>
        <w:numPr>
          <w:ilvl w:val="0"/>
          <w:numId w:val="153"/>
        </w:numPr>
        <w:autoSpaceDE w:val="0"/>
        <w:autoSpaceDN w:val="0"/>
        <w:adjustRightInd w:val="0"/>
        <w:contextualSpacing/>
        <w:jc w:val="both"/>
        <w:rPr>
          <w:bCs/>
        </w:rPr>
      </w:pPr>
      <w:r w:rsidRPr="00C56257">
        <w:rPr>
          <w:bCs/>
        </w:rPr>
        <w:t>Reducerea poluării marine rezultată în urma activităților forestiere (CB12)</w:t>
      </w:r>
    </w:p>
    <w:p w14:paraId="0AC9D4B7" w14:textId="77777777" w:rsidR="0007555D" w:rsidRPr="00C56257" w:rsidRDefault="0007555D" w:rsidP="009E63E5">
      <w:pPr>
        <w:widowControl w:val="0"/>
        <w:numPr>
          <w:ilvl w:val="0"/>
          <w:numId w:val="153"/>
        </w:numPr>
        <w:autoSpaceDE w:val="0"/>
        <w:autoSpaceDN w:val="0"/>
        <w:adjustRightInd w:val="0"/>
        <w:contextualSpacing/>
        <w:jc w:val="both"/>
        <w:rPr>
          <w:bCs/>
        </w:rPr>
      </w:pPr>
      <w:r w:rsidRPr="00C56257">
        <w:rPr>
          <w:bCs/>
        </w:rPr>
        <w:t>Reducerea poluării solului rezultată în urma activităților forestiere (CB13)</w:t>
      </w:r>
    </w:p>
    <w:p w14:paraId="7BF22993" w14:textId="77777777" w:rsidR="0007555D" w:rsidRPr="00C56257" w:rsidRDefault="0007555D" w:rsidP="009E63E5">
      <w:pPr>
        <w:widowControl w:val="0"/>
        <w:numPr>
          <w:ilvl w:val="0"/>
          <w:numId w:val="153"/>
        </w:numPr>
        <w:autoSpaceDE w:val="0"/>
        <w:autoSpaceDN w:val="0"/>
        <w:adjustRightInd w:val="0"/>
        <w:contextualSpacing/>
        <w:jc w:val="both"/>
        <w:rPr>
          <w:bCs/>
        </w:rPr>
      </w:pPr>
      <w:r w:rsidRPr="00C56257">
        <w:rPr>
          <w:bCs/>
        </w:rPr>
        <w:t>Gestionarea operațiunilor de drenare și irigare și infrastructura aferentă acestora (CB14)</w:t>
      </w:r>
    </w:p>
    <w:p w14:paraId="1431D5FB" w14:textId="77777777" w:rsidR="0007555D" w:rsidRPr="00C56257" w:rsidRDefault="0007555D" w:rsidP="009E63E5">
      <w:pPr>
        <w:widowControl w:val="0"/>
        <w:numPr>
          <w:ilvl w:val="0"/>
          <w:numId w:val="153"/>
        </w:numPr>
        <w:autoSpaceDE w:val="0"/>
        <w:autoSpaceDN w:val="0"/>
        <w:adjustRightInd w:val="0"/>
        <w:spacing w:after="160" w:line="259" w:lineRule="auto"/>
        <w:contextualSpacing/>
        <w:jc w:val="both"/>
        <w:rPr>
          <w:b/>
          <w:color w:val="000000"/>
        </w:rPr>
      </w:pPr>
      <w:r w:rsidRPr="00C56257">
        <w:rPr>
          <w:bCs/>
        </w:rPr>
        <w:t>Alte măsuri legate de practicile forestiere (CB15)</w:t>
      </w:r>
    </w:p>
    <w:p w14:paraId="56EAAF1C" w14:textId="77777777" w:rsidR="0007555D" w:rsidRPr="00C56257" w:rsidRDefault="0007555D" w:rsidP="009E63E5">
      <w:pPr>
        <w:numPr>
          <w:ilvl w:val="0"/>
          <w:numId w:val="153"/>
        </w:numPr>
        <w:contextualSpacing/>
        <w:jc w:val="both"/>
      </w:pPr>
      <w:r w:rsidRPr="00C56257">
        <w:t>Adaptarea/gestionarea extracției resurselor non-energetice (CC01)</w:t>
      </w:r>
    </w:p>
    <w:p w14:paraId="044CB678" w14:textId="77777777" w:rsidR="0007555D" w:rsidRPr="00C56257" w:rsidRDefault="0007555D" w:rsidP="009E63E5">
      <w:pPr>
        <w:numPr>
          <w:ilvl w:val="0"/>
          <w:numId w:val="153"/>
        </w:numPr>
        <w:contextualSpacing/>
        <w:jc w:val="both"/>
      </w:pPr>
      <w:r w:rsidRPr="00C56257">
        <w:t>Restaurarea/crearea habitatului din resurse, zone de exploatare sau din zone deteriorate din cauza instalării infrastructurii pentru energia regenerabilă (CC07)</w:t>
      </w:r>
    </w:p>
    <w:p w14:paraId="0E00BF49" w14:textId="77777777" w:rsidR="0007555D" w:rsidRPr="00C56257" w:rsidRDefault="0007555D" w:rsidP="009E63E5">
      <w:pPr>
        <w:numPr>
          <w:ilvl w:val="0"/>
          <w:numId w:val="153"/>
        </w:numPr>
        <w:contextualSpacing/>
        <w:jc w:val="both"/>
      </w:pPr>
      <w:r w:rsidRPr="00C56257">
        <w:t>Gestionarea conversiei terenurilor pentru construcția și dezvoltarea infrastructurii (CF01)</w:t>
      </w:r>
    </w:p>
    <w:p w14:paraId="4DB71502" w14:textId="77777777" w:rsidR="0007555D" w:rsidRPr="00C56257" w:rsidRDefault="0007555D" w:rsidP="009E63E5">
      <w:pPr>
        <w:numPr>
          <w:ilvl w:val="0"/>
          <w:numId w:val="153"/>
        </w:numPr>
        <w:contextualSpacing/>
        <w:jc w:val="both"/>
      </w:pPr>
      <w:r w:rsidRPr="00C56257">
        <w:t>Gestionarea vânătorii, pescuitului recreativ și recoltării recreaționale sau comerciale  a plantelor (CG02)</w:t>
      </w:r>
    </w:p>
    <w:p w14:paraId="03ADBE21" w14:textId="77777777" w:rsidR="0007555D" w:rsidRPr="00C56257" w:rsidRDefault="0007555D" w:rsidP="009E63E5">
      <w:pPr>
        <w:numPr>
          <w:ilvl w:val="0"/>
          <w:numId w:val="153"/>
        </w:numPr>
        <w:contextualSpacing/>
        <w:jc w:val="both"/>
      </w:pPr>
      <w:r w:rsidRPr="00C56257">
        <w:t>Alte măsuri legate de procesele naturale (CL04).</w:t>
      </w:r>
    </w:p>
    <w:p w14:paraId="3B63A7A5" w14:textId="77777777" w:rsidR="0007555D" w:rsidRPr="00C56257" w:rsidRDefault="0007555D" w:rsidP="008E33FD">
      <w:pPr>
        <w:widowControl w:val="0"/>
        <w:autoSpaceDE w:val="0"/>
        <w:autoSpaceDN w:val="0"/>
        <w:adjustRightInd w:val="0"/>
        <w:spacing w:after="160" w:line="259" w:lineRule="auto"/>
        <w:ind w:left="720"/>
        <w:contextualSpacing/>
        <w:jc w:val="both"/>
        <w:rPr>
          <w:b/>
          <w:color w:val="000000"/>
        </w:rPr>
      </w:pPr>
    </w:p>
    <w:p w14:paraId="79232C7F" w14:textId="77777777" w:rsidR="0007555D" w:rsidRPr="00C56257" w:rsidRDefault="0007555D" w:rsidP="00F100E1">
      <w:pPr>
        <w:jc w:val="both"/>
      </w:pPr>
    </w:p>
    <w:p w14:paraId="556EEFE2" w14:textId="77777777" w:rsidR="001B40A5" w:rsidRPr="00C56257" w:rsidRDefault="001B40A5" w:rsidP="00F100E1">
      <w:pPr>
        <w:spacing w:after="160" w:line="259" w:lineRule="auto"/>
        <w:jc w:val="both"/>
        <w:rPr>
          <w:b/>
          <w:color w:val="000000" w:themeColor="text1"/>
        </w:rPr>
      </w:pPr>
    </w:p>
    <w:sectPr w:rsidR="001B40A5" w:rsidRPr="00C56257" w:rsidSect="00C54A03">
      <w:pgSz w:w="11910" w:h="16840"/>
      <w:pgMar w:top="1411" w:right="660" w:bottom="1598" w:left="106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37BE40" w14:textId="77777777" w:rsidR="00B33307" w:rsidRDefault="00B33307" w:rsidP="00A74B6F">
      <w:r>
        <w:separator/>
      </w:r>
    </w:p>
  </w:endnote>
  <w:endnote w:type="continuationSeparator" w:id="0">
    <w:p w14:paraId="3D518DB3" w14:textId="77777777" w:rsidR="00B33307" w:rsidRDefault="00B33307" w:rsidP="00A74B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00006FF" w:usb1="4000205B" w:usb2="00000010" w:usb3="00000000" w:csb0="0000019F" w:csb1="00000000"/>
  </w:font>
  <w:font w:name="Palatino Linotype">
    <w:panose1 w:val="02040502050505030304"/>
    <w:charset w:val="00"/>
    <w:family w:val="roman"/>
    <w:pitch w:val="variable"/>
    <w:sig w:usb0="E0000287" w:usb1="40000013" w:usb2="00000000" w:usb3="00000000" w:csb0="0000019F" w:csb1="00000000"/>
  </w:font>
  <w:font w:name="ヒラギノ角ゴ Pro W3">
    <w:altName w:val="MS Mincho"/>
    <w:charset w:val="80"/>
    <w:family w:val="auto"/>
    <w:pitch w:val="variable"/>
    <w:sig w:usb0="00000000" w:usb1="08070000" w:usb2="00000010" w:usb3="00000000" w:csb0="00020000" w:csb1="00000000"/>
  </w:font>
  <w:font w:name="EUAlbertina">
    <w:altName w:val="Times New Roman"/>
    <w:charset w:val="00"/>
    <w:family w:val="roman"/>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rom Times New Roman">
    <w:altName w:val="Times New Roman"/>
    <w:charset w:val="00"/>
    <w:family w:val="roman"/>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Gungsuh">
    <w:charset w:val="81"/>
    <w:family w:val="roman"/>
    <w:pitch w:val="variable"/>
    <w:sig w:usb0="B00002AF" w:usb1="69D77CFB" w:usb2="00000030" w:usb3="00000000" w:csb0="0008009F" w:csb1="00000000"/>
  </w:font>
  <w:font w:name="Rockwell">
    <w:panose1 w:val="02060603020205020403"/>
    <w:charset w:val="00"/>
    <w:family w:val="roman"/>
    <w:pitch w:val="variable"/>
    <w:sig w:usb0="00000003" w:usb1="00000000" w:usb2="00000000" w:usb3="00000000" w:csb0="00000001" w:csb1="00000000"/>
  </w:font>
  <w:font w:name="Times New Roman Bold">
    <w:panose1 w:val="00000000000000000000"/>
    <w:charset w:val="00"/>
    <w:family w:val="roman"/>
    <w:notTrueType/>
    <w:pitch w:val="default"/>
    <w:sig w:usb0="00000003" w:usb1="00000000" w:usb2="00000000" w:usb3="00000000" w:csb0="00000001"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734462"/>
      <w:docPartObj>
        <w:docPartGallery w:val="Page Numbers (Bottom of Page)"/>
        <w:docPartUnique/>
      </w:docPartObj>
    </w:sdtPr>
    <w:sdtEndPr>
      <w:rPr>
        <w:noProof/>
      </w:rPr>
    </w:sdtEndPr>
    <w:sdtContent>
      <w:p w14:paraId="4133FD66" w14:textId="77777777" w:rsidR="00F9369F" w:rsidRDefault="00F9369F">
        <w:pPr>
          <w:pStyle w:val="Footer"/>
          <w:jc w:val="right"/>
        </w:pPr>
        <w:r>
          <w:fldChar w:fldCharType="begin"/>
        </w:r>
        <w:r>
          <w:instrText xml:space="preserve"> PAGE   \* MERGEFORMAT </w:instrText>
        </w:r>
        <w:r>
          <w:fldChar w:fldCharType="separate"/>
        </w:r>
        <w:r w:rsidR="00941435">
          <w:rPr>
            <w:noProof/>
          </w:rPr>
          <w:t>22</w:t>
        </w:r>
        <w:r>
          <w:rPr>
            <w:noProof/>
          </w:rPr>
          <w:fldChar w:fldCharType="end"/>
        </w:r>
      </w:p>
    </w:sdtContent>
  </w:sdt>
  <w:p w14:paraId="028D00CF" w14:textId="77777777" w:rsidR="00F9369F" w:rsidRDefault="00F9369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248076"/>
      <w:docPartObj>
        <w:docPartGallery w:val="Page Numbers (Bottom of Page)"/>
        <w:docPartUnique/>
      </w:docPartObj>
    </w:sdtPr>
    <w:sdtEndPr>
      <w:rPr>
        <w:noProof/>
      </w:rPr>
    </w:sdtEndPr>
    <w:sdtContent>
      <w:p w14:paraId="7677346B" w14:textId="77777777" w:rsidR="00F9369F" w:rsidRDefault="00F9369F">
        <w:pPr>
          <w:pStyle w:val="Footer"/>
          <w:jc w:val="right"/>
        </w:pPr>
        <w:r>
          <w:fldChar w:fldCharType="begin"/>
        </w:r>
        <w:r>
          <w:instrText xml:space="preserve"> PAGE   \* MERGEFORMAT </w:instrText>
        </w:r>
        <w:r>
          <w:fldChar w:fldCharType="separate"/>
        </w:r>
        <w:r w:rsidR="00941435">
          <w:rPr>
            <w:noProof/>
          </w:rPr>
          <w:t>103</w:t>
        </w:r>
        <w:r>
          <w:rPr>
            <w:noProof/>
          </w:rPr>
          <w:fldChar w:fldCharType="end"/>
        </w:r>
      </w:p>
    </w:sdtContent>
  </w:sdt>
  <w:p w14:paraId="5622DF23" w14:textId="77777777" w:rsidR="00F9369F" w:rsidRDefault="00F9369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3973956"/>
      <w:docPartObj>
        <w:docPartGallery w:val="Page Numbers (Bottom of Page)"/>
        <w:docPartUnique/>
      </w:docPartObj>
    </w:sdtPr>
    <w:sdtEndPr>
      <w:rPr>
        <w:noProof/>
      </w:rPr>
    </w:sdtEndPr>
    <w:sdtContent>
      <w:p w14:paraId="62359BE6" w14:textId="77777777" w:rsidR="00F9369F" w:rsidRDefault="00F9369F">
        <w:pPr>
          <w:pStyle w:val="Footer"/>
          <w:jc w:val="right"/>
        </w:pPr>
        <w:r>
          <w:fldChar w:fldCharType="begin"/>
        </w:r>
        <w:r>
          <w:instrText xml:space="preserve"> PAGE   \* MERGEFORMAT </w:instrText>
        </w:r>
        <w:r>
          <w:fldChar w:fldCharType="separate"/>
        </w:r>
        <w:r w:rsidR="00941435">
          <w:rPr>
            <w:noProof/>
          </w:rPr>
          <w:t>121</w:t>
        </w:r>
        <w:r>
          <w:rPr>
            <w:noProof/>
          </w:rPr>
          <w:fldChar w:fldCharType="end"/>
        </w:r>
      </w:p>
    </w:sdtContent>
  </w:sdt>
  <w:p w14:paraId="3DAAB453" w14:textId="77777777" w:rsidR="00F9369F" w:rsidRDefault="00F9369F">
    <w:pPr>
      <w:pStyle w:val="BodyText"/>
      <w:spacing w:line="14" w:lineRule="auto"/>
      <w:ind w:left="0"/>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450E8" w14:textId="77777777" w:rsidR="00F9369F" w:rsidRDefault="00F9369F">
    <w:pPr>
      <w:pStyle w:val="BodyText"/>
      <w:spacing w:line="14" w:lineRule="auto"/>
      <w:rPr>
        <w:sz w:val="20"/>
      </w:rPr>
    </w:pPr>
    <w:r>
      <w:rPr>
        <w:noProof/>
        <w:sz w:val="24"/>
      </w:rPr>
      <mc:AlternateContent>
        <mc:Choice Requires="wps">
          <w:drawing>
            <wp:anchor distT="0" distB="0" distL="114300" distR="114300" simplePos="0" relativeHeight="251659264" behindDoc="1" locked="0" layoutInCell="1" allowOverlap="1" wp14:anchorId="5220D9C0" wp14:editId="514E7364">
              <wp:simplePos x="0" y="0"/>
              <wp:positionH relativeFrom="page">
                <wp:posOffset>9875520</wp:posOffset>
              </wp:positionH>
              <wp:positionV relativeFrom="page">
                <wp:posOffset>6473190</wp:posOffset>
              </wp:positionV>
              <wp:extent cx="219710" cy="165735"/>
              <wp:effectExtent l="0" t="0" r="1270" b="0"/>
              <wp:wrapNone/>
              <wp:docPr id="755" name="Text Box 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DC247" w14:textId="77777777" w:rsidR="00F9369F" w:rsidRDefault="00F9369F">
                          <w:pPr>
                            <w:spacing w:line="245" w:lineRule="exact"/>
                            <w:ind w:left="60"/>
                            <w:rPr>
                              <w:rFonts w:ascii="Calibri"/>
                            </w:rPr>
                          </w:pPr>
                          <w:r>
                            <w:fldChar w:fldCharType="begin"/>
                          </w:r>
                          <w:r>
                            <w:rPr>
                              <w:rFonts w:ascii="Calibri"/>
                              <w:sz w:val="22"/>
                            </w:rPr>
                            <w:instrText xml:space="preserve"> PAGE </w:instrText>
                          </w:r>
                          <w:r>
                            <w:fldChar w:fldCharType="separate"/>
                          </w:r>
                          <w:r w:rsidR="00941435">
                            <w:rPr>
                              <w:rFonts w:ascii="Calibri"/>
                              <w:noProof/>
                              <w:sz w:val="22"/>
                            </w:rPr>
                            <w:t>189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77928F" id="_x0000_t202" coordsize="21600,21600" o:spt="202" path="m,l,21600r21600,l21600,xe">
              <v:stroke joinstyle="miter"/>
              <v:path gradientshapeok="t" o:connecttype="rect"/>
            </v:shapetype>
            <v:shape id="Text Box 755" o:spid="_x0000_s1106" type="#_x0000_t202" style="position:absolute;left:0;text-align:left;margin-left:777.6pt;margin-top:509.7pt;width:17.3pt;height:13.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" filled="f" stroked="f">
              <v:textbox inset="0,0,0,0">
                <w:txbxContent>
                  <w:p w:rsidR="00F9369F" w:rsidRDefault="00F9369F">
                    <w:pPr>
                      <w:spacing w:line="245" w:lineRule="exact"/>
                      <w:ind w:left="60"/>
                      <w:rPr>
                        <w:rFonts w:ascii="Calibri"/>
                      </w:rPr>
                    </w:pPr>
                    <w:r>
                      <w:fldChar w:fldCharType="begin"/>
                    </w:r>
                    <w:r>
                      <w:rPr>
                        <w:rFonts w:ascii="Calibri"/>
                        <w:sz w:val="22"/>
                      </w:rPr>
                      <w:instrText xml:space="preserve"> PAGE </w:instrText>
                    </w:r>
                    <w:r>
                      <w:fldChar w:fldCharType="separate"/>
                    </w:r>
                    <w:r w:rsidR="00941435">
                      <w:rPr>
                        <w:rFonts w:ascii="Calibri"/>
                        <w:noProof/>
                        <w:sz w:val="22"/>
                      </w:rPr>
                      <w:t>189</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61D24" w14:textId="77777777" w:rsidR="00F9369F" w:rsidRDefault="00F9369F">
    <w:pPr>
      <w:pStyle w:val="BodyText"/>
      <w:spacing w:line="14" w:lineRule="auto"/>
      <w:ind w:left="0"/>
      <w:rPr>
        <w:sz w:val="20"/>
      </w:rPr>
    </w:pPr>
    <w:r>
      <w:rPr>
        <w:noProof/>
        <w:sz w:val="24"/>
      </w:rPr>
      <mc:AlternateContent>
        <mc:Choice Requires="wps">
          <w:drawing>
            <wp:anchor distT="0" distB="0" distL="114300" distR="114300" simplePos="0" relativeHeight="251658240" behindDoc="1" locked="0" layoutInCell="1" allowOverlap="1" wp14:anchorId="2E9CC913" wp14:editId="4FDA9A4B">
              <wp:simplePos x="0" y="0"/>
              <wp:positionH relativeFrom="page">
                <wp:posOffset>9875520</wp:posOffset>
              </wp:positionH>
              <wp:positionV relativeFrom="page">
                <wp:posOffset>6473190</wp:posOffset>
              </wp:positionV>
              <wp:extent cx="219710" cy="165735"/>
              <wp:effectExtent l="0" t="0" r="1270" b="0"/>
              <wp:wrapNone/>
              <wp:docPr id="463"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FE216B" w14:textId="77777777" w:rsidR="00F9369F" w:rsidRDefault="00F9369F">
                          <w:pPr>
                            <w:spacing w:line="245" w:lineRule="exact"/>
                            <w:rPr>
                              <w:rFonts w:ascii="Calibri"/>
                            </w:rPr>
                          </w:pPr>
                          <w:r>
                            <w:fldChar w:fldCharType="begin"/>
                          </w:r>
                          <w:r>
                            <w:rPr>
                              <w:rFonts w:ascii="Calibri"/>
                              <w:sz w:val="22"/>
                            </w:rPr>
                            <w:instrText xml:space="preserve"> PAGE </w:instrText>
                          </w:r>
                          <w:r>
                            <w:fldChar w:fldCharType="separate"/>
                          </w:r>
                          <w:r w:rsidR="00941435">
                            <w:rPr>
                              <w:rFonts w:ascii="Calibri"/>
                              <w:noProof/>
                              <w:sz w:val="22"/>
                            </w:rPr>
                            <w:t>216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563541" id="_x0000_t202" coordsize="21600,21600" o:spt="202" path="m,l,21600r21600,l21600,xe">
              <v:stroke joinstyle="miter"/>
              <v:path gradientshapeok="t" o:connecttype="rect"/>
            </v:shapetype>
            <v:shape id="Text Box 463" o:spid="_x0000_s1107" type="#_x0000_t202" style="position:absolute;margin-left:777.6pt;margin-top:509.7pt;width:17.3pt;height:13.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" filled="f" stroked="f">
              <v:textbox inset="0,0,0,0">
                <w:txbxContent>
                  <w:p w:rsidR="00F9369F" w:rsidRDefault="00F9369F">
                    <w:pPr>
                      <w:spacing w:line="245" w:lineRule="exact"/>
                      <w:rPr>
                        <w:rFonts w:ascii="Calibri"/>
                      </w:rPr>
                    </w:pPr>
                    <w:r>
                      <w:fldChar w:fldCharType="begin"/>
                    </w:r>
                    <w:r>
                      <w:rPr>
                        <w:rFonts w:ascii="Calibri"/>
                        <w:sz w:val="22"/>
                      </w:rPr>
                      <w:instrText xml:space="preserve"> PAGE </w:instrText>
                    </w:r>
                    <w:r>
                      <w:fldChar w:fldCharType="separate"/>
                    </w:r>
                    <w:r w:rsidR="00941435">
                      <w:rPr>
                        <w:rFonts w:ascii="Calibri"/>
                        <w:noProof/>
                        <w:sz w:val="22"/>
                      </w:rPr>
                      <w:t>216</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CEB24" w14:textId="77777777" w:rsidR="00F9369F" w:rsidRDefault="00F9369F">
    <w:pPr>
      <w:pStyle w:val="BodyText"/>
      <w:spacing w:line="14" w:lineRule="auto"/>
      <w:rPr>
        <w:sz w:val="20"/>
      </w:rPr>
    </w:pPr>
    <w:r>
      <w:rPr>
        <w:noProof/>
        <w:sz w:val="24"/>
      </w:rPr>
      <mc:AlternateContent>
        <mc:Choice Requires="wps">
          <w:drawing>
            <wp:anchor distT="0" distB="0" distL="114300" distR="114300" simplePos="0" relativeHeight="251657216" behindDoc="1" locked="0" layoutInCell="1" allowOverlap="1" wp14:anchorId="4BA722CD" wp14:editId="65EEE1AB">
              <wp:simplePos x="0" y="0"/>
              <wp:positionH relativeFrom="page">
                <wp:posOffset>9875520</wp:posOffset>
              </wp:positionH>
              <wp:positionV relativeFrom="page">
                <wp:posOffset>6473190</wp:posOffset>
              </wp:positionV>
              <wp:extent cx="219710" cy="165735"/>
              <wp:effectExtent l="0" t="0" r="1270" b="0"/>
              <wp:wrapNone/>
              <wp:docPr id="369"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E89A7A" w14:textId="77777777" w:rsidR="00F9369F" w:rsidRDefault="00F9369F">
                          <w:pPr>
                            <w:spacing w:line="245" w:lineRule="exact"/>
                            <w:ind w:left="60"/>
                            <w:rPr>
                              <w:rFonts w:ascii="Calibri"/>
                            </w:rPr>
                          </w:pPr>
                          <w:r>
                            <w:fldChar w:fldCharType="begin"/>
                          </w:r>
                          <w:r>
                            <w:rPr>
                              <w:rFonts w:ascii="Calibri"/>
                              <w:sz w:val="22"/>
                            </w:rPr>
                            <w:instrText xml:space="preserve"> PAGE </w:instrText>
                          </w:r>
                          <w:r>
                            <w:fldChar w:fldCharType="separate"/>
                          </w:r>
                          <w:r w:rsidR="00941435">
                            <w:rPr>
                              <w:rFonts w:ascii="Calibri"/>
                              <w:noProof/>
                              <w:sz w:val="22"/>
                            </w:rPr>
                            <w:t>304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22F994" id="_x0000_t202" coordsize="21600,21600" o:spt="202" path="m,l,21600r21600,l21600,xe">
              <v:stroke joinstyle="miter"/>
              <v:path gradientshapeok="t" o:connecttype="rect"/>
            </v:shapetype>
            <v:shape id="Text Box 369" o:spid="_x0000_s1108" type="#_x0000_t202" style="position:absolute;left:0;text-align:left;margin-left:777.6pt;margin-top:509.7pt;width:17.3pt;height:13.0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KuRsgIAALM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" filled="f" stroked="f">
              <v:textbox inset="0,0,0,0">
                <w:txbxContent>
                  <w:p w:rsidR="00F9369F" w:rsidRDefault="00F9369F">
                    <w:pPr>
                      <w:spacing w:line="245" w:lineRule="exact"/>
                      <w:ind w:left="60"/>
                      <w:rPr>
                        <w:rFonts w:ascii="Calibri"/>
                      </w:rPr>
                    </w:pPr>
                    <w:r>
                      <w:fldChar w:fldCharType="begin"/>
                    </w:r>
                    <w:r>
                      <w:rPr>
                        <w:rFonts w:ascii="Calibri"/>
                        <w:sz w:val="22"/>
                      </w:rPr>
                      <w:instrText xml:space="preserve"> PAGE </w:instrText>
                    </w:r>
                    <w:r>
                      <w:fldChar w:fldCharType="separate"/>
                    </w:r>
                    <w:r w:rsidR="00941435">
                      <w:rPr>
                        <w:rFonts w:ascii="Calibri"/>
                        <w:noProof/>
                        <w:sz w:val="22"/>
                      </w:rPr>
                      <w:t>304</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B695F0" w14:textId="77777777" w:rsidR="00B33307" w:rsidRDefault="00B33307" w:rsidP="00A74B6F">
      <w:r>
        <w:separator/>
      </w:r>
    </w:p>
  </w:footnote>
  <w:footnote w:type="continuationSeparator" w:id="0">
    <w:p w14:paraId="13FA9365" w14:textId="77777777" w:rsidR="00B33307" w:rsidRDefault="00B33307" w:rsidP="00A74B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4AC06" w14:textId="77777777" w:rsidR="00F9369F" w:rsidRDefault="00000000">
    <w:pPr>
      <w:pStyle w:val="Header"/>
    </w:pPr>
    <w:r>
      <w:rPr>
        <w:noProof/>
      </w:rPr>
      <w:pict w14:anchorId="2BE9160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1" type="#_x0000_t136" style="position:absolute;margin-left:0;margin-top:0;width:551.85pt;height:157.65pt;rotation:315;z-index:-251622400;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69AC75" w14:textId="77777777" w:rsidR="00F9369F" w:rsidRDefault="00000000">
    <w:pPr>
      <w:pStyle w:val="Header"/>
    </w:pPr>
    <w:r>
      <w:rPr>
        <w:noProof/>
      </w:rPr>
      <w:pict w14:anchorId="12F58A2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59653" o:spid="_x0000_s1032" type="#_x0000_t136" style="position:absolute;margin-left:0;margin-top:0;width:551.85pt;height:157.65pt;rotation:315;z-index:-251640832;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43EF9" w14:textId="77777777" w:rsidR="00F9369F" w:rsidRDefault="00000000">
    <w:pPr>
      <w:pStyle w:val="Header"/>
    </w:pPr>
    <w:r>
      <w:rPr>
        <w:noProof/>
      </w:rPr>
      <w:pict w14:anchorId="70C1B3E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59654" o:spid="_x0000_s1033" type="#_x0000_t136" style="position:absolute;margin-left:0;margin-top:0;width:551.85pt;height:157.65pt;rotation:315;z-index:-251638784;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5DCF13" w14:textId="77777777" w:rsidR="00F9369F" w:rsidRDefault="00000000">
    <w:pPr>
      <w:pStyle w:val="Header"/>
    </w:pPr>
    <w:r>
      <w:rPr>
        <w:noProof/>
      </w:rPr>
      <w:pict w14:anchorId="49AD989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59652" o:spid="_x0000_s1031" type="#_x0000_t136" style="position:absolute;margin-left:0;margin-top:0;width:551.85pt;height:157.65pt;rotation:315;z-index:-251642880;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324AC" w14:textId="77777777" w:rsidR="00F9369F" w:rsidRDefault="00000000">
    <w:pPr>
      <w:pStyle w:val="Header"/>
    </w:pPr>
    <w:r>
      <w:rPr>
        <w:noProof/>
      </w:rPr>
      <w:pict w14:anchorId="23C3F42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59656" o:spid="_x0000_s1035" type="#_x0000_t136" style="position:absolute;margin-left:0;margin-top:0;width:551.85pt;height:157.65pt;rotation:315;z-index:-251634688;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8EC7B" w14:textId="77777777" w:rsidR="00F9369F" w:rsidRDefault="00000000">
    <w:pPr>
      <w:pStyle w:val="Header"/>
    </w:pPr>
    <w:r>
      <w:rPr>
        <w:noProof/>
      </w:rPr>
      <w:pict w14:anchorId="2F7B774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59657" o:spid="_x0000_s1036" type="#_x0000_t136" style="position:absolute;margin-left:0;margin-top:0;width:551.85pt;height:157.65pt;rotation:315;z-index:-251632640;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39B8B" w14:textId="77777777" w:rsidR="00F9369F" w:rsidRDefault="00000000">
    <w:pPr>
      <w:pStyle w:val="Header"/>
    </w:pPr>
    <w:r>
      <w:rPr>
        <w:noProof/>
      </w:rPr>
      <w:pict w14:anchorId="105E188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59655" o:spid="_x0000_s1034" type="#_x0000_t136" style="position:absolute;margin-left:0;margin-top:0;width:551.85pt;height:157.65pt;rotation:315;z-index:-251636736;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F8F6E" w14:textId="77777777" w:rsidR="00F9369F" w:rsidRDefault="00000000">
    <w:pPr>
      <w:pStyle w:val="Header"/>
    </w:pPr>
    <w:r>
      <w:rPr>
        <w:noProof/>
      </w:rPr>
      <w:pict w14:anchorId="04DF88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59659" o:spid="_x0000_s1038" type="#_x0000_t136" style="position:absolute;margin-left:0;margin-top:0;width:551.85pt;height:157.65pt;rotation:315;z-index:-251628544;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C74FD" w14:textId="77777777" w:rsidR="00F9369F" w:rsidRDefault="00000000">
    <w:pPr>
      <w:pStyle w:val="Header"/>
    </w:pPr>
    <w:r>
      <w:rPr>
        <w:noProof/>
      </w:rPr>
      <w:pict w14:anchorId="0E7222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59660" o:spid="_x0000_s1039" type="#_x0000_t136" style="position:absolute;margin-left:0;margin-top:0;width:551.85pt;height:157.65pt;rotation:315;z-index:-251626496;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826EC" w14:textId="77777777" w:rsidR="00F9369F" w:rsidRDefault="00000000">
    <w:pPr>
      <w:pStyle w:val="Header"/>
    </w:pPr>
    <w:r>
      <w:rPr>
        <w:noProof/>
      </w:rPr>
      <w:pict w14:anchorId="18545D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59658" o:spid="_x0000_s1037" type="#_x0000_t136" style="position:absolute;margin-left:0;margin-top:0;width:551.85pt;height:157.65pt;rotation:315;z-index:-251630592;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C62DA" w14:textId="77777777" w:rsidR="00F9369F" w:rsidRDefault="00000000">
    <w:pPr>
      <w:pStyle w:val="Header"/>
    </w:pPr>
    <w:r>
      <w:rPr>
        <w:noProof/>
      </w:rPr>
      <w:pict w14:anchorId="27FDDD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2" type="#_x0000_t136" style="position:absolute;margin-left:0;margin-top:0;width:551.85pt;height:157.65pt;rotation:315;z-index:-251621376;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p w14:paraId="65C9081B" w14:textId="77777777" w:rsidR="00F9369F" w:rsidRDefault="00000000" w:rsidP="00FF76CF">
    <w:pPr>
      <w:pStyle w:val="Header"/>
      <w:tabs>
        <w:tab w:val="clear" w:pos="4320"/>
        <w:tab w:val="clear" w:pos="8640"/>
        <w:tab w:val="left" w:pos="1965"/>
      </w:tabs>
    </w:pPr>
    <w:sdt>
      <w:sdtPr>
        <w:id w:val="-540053138"/>
        <w:docPartObj>
          <w:docPartGallery w:val="Watermarks"/>
          <w:docPartUnique/>
        </w:docPartObj>
      </w:sdtPr>
      <w:sdtContent>
        <w:r w:rsidR="00F9369F">
          <w:rPr>
            <w:noProof/>
          </w:rPr>
          <mc:AlternateContent>
            <mc:Choice Requires="wps">
              <w:drawing>
                <wp:anchor distT="0" distB="0" distL="114300" distR="114300" simplePos="0" relativeHeight="251692032" behindDoc="1" locked="0" layoutInCell="0" allowOverlap="1" wp14:anchorId="512E5AB0" wp14:editId="7A5A0327">
                  <wp:simplePos x="0" y="0"/>
                  <wp:positionH relativeFrom="margin">
                    <wp:align>center</wp:align>
                  </wp:positionH>
                  <wp:positionV relativeFrom="margin">
                    <wp:align>center</wp:align>
                  </wp:positionV>
                  <wp:extent cx="6308090" cy="2703195"/>
                  <wp:effectExtent l="0" t="1619250" r="0" b="120205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08090" cy="27031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CF29B1" w14:textId="77777777" w:rsidR="00F9369F" w:rsidRDefault="00F9369F" w:rsidP="006F1400">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PROIECT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43418DE" id="_x0000_t202" coordsize="21600,21600" o:spt="202" path="m,l,21600r21600,l21600,xe">
                  <v:stroke joinstyle="miter"/>
                  <v:path gradientshapeok="t" o:connecttype="rect"/>
                </v:shapetype>
                <v:shape id="Text Box 3" o:spid="_x0000_s1104" type="#_x0000_t202" style="position:absolute;margin-left:0;margin-top:0;width:496.7pt;height:212.85pt;rotation:-45;z-index:-2516244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" o:allowincell="f" filled="f" stroked="f">
                  <v:stroke joinstyle="round"/>
                  <o:lock v:ext="edit" shapetype="t"/>
                  <v:textbox style="mso-fit-shape-to-text:t">
                    <w:txbxContent>
                      <w:p w:rsidR="00F9369F" w:rsidRDefault="00F9369F" w:rsidP="006F1400">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PROIECT</w:t>
                        </w:r>
                      </w:p>
                    </w:txbxContent>
                  </v:textbox>
                  <w10:wrap anchorx="margin" anchory="margin"/>
                </v:shape>
              </w:pict>
            </mc:Fallback>
          </mc:AlternateContent>
        </w:r>
      </w:sdtContent>
    </w:sdt>
    <w:r w:rsidR="00F9369F">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0BCDD" w14:textId="77777777" w:rsidR="00F9369F" w:rsidRDefault="00000000">
    <w:pPr>
      <w:pStyle w:val="Header"/>
    </w:pPr>
    <w:r>
      <w:rPr>
        <w:noProof/>
      </w:rPr>
      <w:pict w14:anchorId="6A37DA9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0" type="#_x0000_t136" style="position:absolute;margin-left:0;margin-top:0;width:551.85pt;height:157.65pt;rotation:315;z-index:-251623424;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A1D58" w14:textId="77777777" w:rsidR="00F9369F" w:rsidRDefault="00000000">
    <w:pPr>
      <w:pStyle w:val="Header"/>
    </w:pPr>
    <w:r>
      <w:rPr>
        <w:noProof/>
      </w:rPr>
      <w:pict w14:anchorId="7BCAA52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59647" o:spid="_x0000_s1026" type="#_x0000_t136" style="position:absolute;margin-left:0;margin-top:0;width:551.85pt;height:157.65pt;rotation:315;z-index:-251653120;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158FF" w14:textId="77777777" w:rsidR="00F9369F" w:rsidRDefault="00000000">
    <w:pPr>
      <w:pStyle w:val="Header"/>
    </w:pPr>
    <w:r>
      <w:rPr>
        <w:noProof/>
      </w:rPr>
      <w:pict w14:anchorId="282ECD7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59648" o:spid="_x0000_s1027" type="#_x0000_t136" style="position:absolute;margin-left:0;margin-top:0;width:551.85pt;height:157.65pt;rotation:315;z-index:-251651072;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sdt>
    <w:sdtPr>
      <w:id w:val="1655098958"/>
      <w:docPartObj>
        <w:docPartGallery w:val="Watermarks"/>
        <w:docPartUnique/>
      </w:docPartObj>
    </w:sdtPr>
    <w:sdtContent>
      <w:p w14:paraId="43801FDA" w14:textId="77777777" w:rsidR="00F9369F" w:rsidRDefault="00F9369F">
        <w:pPr>
          <w:pStyle w:val="Header"/>
        </w:pPr>
        <w:r>
          <w:rPr>
            <w:noProof/>
          </w:rPr>
          <mc:AlternateContent>
            <mc:Choice Requires="wps">
              <w:drawing>
                <wp:anchor distT="0" distB="0" distL="114300" distR="114300" simplePos="0" relativeHeight="251655168" behindDoc="1" locked="0" layoutInCell="0" allowOverlap="1" wp14:anchorId="268E2C39" wp14:editId="37434B31">
                  <wp:simplePos x="0" y="0"/>
                  <wp:positionH relativeFrom="margin">
                    <wp:align>center</wp:align>
                  </wp:positionH>
                  <wp:positionV relativeFrom="margin">
                    <wp:align>center</wp:align>
                  </wp:positionV>
                  <wp:extent cx="6308090" cy="2703195"/>
                  <wp:effectExtent l="0" t="1619250" r="0" b="120205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08090" cy="27031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6443F7A" w14:textId="77777777" w:rsidR="00F9369F" w:rsidRDefault="00F9369F" w:rsidP="006F1400">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PROIECT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1954103" id="_x0000_t202" coordsize="21600,21600" o:spt="202" path="m,l,21600r21600,l21600,xe">
                  <v:stroke joinstyle="miter"/>
                  <v:path gradientshapeok="t" o:connecttype="rect"/>
                </v:shapetype>
                <v:shape id="Text Box 21" o:spid="_x0000_s1105" type="#_x0000_t202" style="position:absolute;margin-left:0;margin-top:0;width:496.7pt;height:212.85pt;rotation:-45;z-index:-25166131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" o:allowincell="f" filled="f" stroked="f">
                  <v:stroke joinstyle="round"/>
                  <o:lock v:ext="edit" shapetype="t"/>
                  <v:textbox style="mso-fit-shape-to-text:t">
                    <w:txbxContent>
                      <w:p w:rsidR="00F9369F" w:rsidRDefault="00F9369F" w:rsidP="006F1400">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PROIECT</w:t>
                        </w:r>
                      </w:p>
                    </w:txbxContent>
                  </v:textbox>
                  <w10:wrap anchorx="margin" anchory="margin"/>
                </v:shape>
              </w:pict>
            </mc:Fallback>
          </mc:AlternateContent>
        </w:r>
      </w:p>
    </w:sdtContent>
  </w:sdt>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EA7FF" w14:textId="77777777" w:rsidR="00F9369F" w:rsidRDefault="00000000">
    <w:pPr>
      <w:pStyle w:val="Header"/>
    </w:pPr>
    <w:r>
      <w:rPr>
        <w:noProof/>
      </w:rPr>
      <w:pict w14:anchorId="2BA8716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59646" o:spid="_x0000_s1025" type="#_x0000_t136" style="position:absolute;margin-left:0;margin-top:0;width:551.85pt;height:157.65pt;rotation:315;z-index:-251655168;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A55C8" w14:textId="77777777" w:rsidR="00F9369F" w:rsidRDefault="00000000">
    <w:pPr>
      <w:pStyle w:val="Header"/>
    </w:pPr>
    <w:r>
      <w:rPr>
        <w:noProof/>
      </w:rPr>
      <w:pict w14:anchorId="7812D3F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59650" o:spid="_x0000_s1029" type="#_x0000_t136" style="position:absolute;margin-left:0;margin-top:0;width:551.85pt;height:157.65pt;rotation:315;z-index:-251646976;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D4548" w14:textId="77777777" w:rsidR="00F9369F" w:rsidRDefault="00000000">
    <w:pPr>
      <w:pStyle w:val="Header"/>
    </w:pPr>
    <w:r>
      <w:rPr>
        <w:noProof/>
      </w:rPr>
      <w:pict w14:anchorId="055A348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59651" o:spid="_x0000_s1030" type="#_x0000_t136" style="position:absolute;margin-left:0;margin-top:0;width:551.85pt;height:157.65pt;rotation:315;z-index:-251644928;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C1417" w14:textId="77777777" w:rsidR="00F9369F" w:rsidRDefault="00000000">
    <w:pPr>
      <w:pStyle w:val="Header"/>
    </w:pPr>
    <w:r>
      <w:rPr>
        <w:noProof/>
      </w:rPr>
      <w:pict w14:anchorId="709EB0E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59649" o:spid="_x0000_s1028" type="#_x0000_t136" style="position:absolute;margin-left:0;margin-top:0;width:551.85pt;height:157.65pt;rotation:315;z-index:-251649024;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A8E183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451868"/>
    <w:multiLevelType w:val="hybridMultilevel"/>
    <w:tmpl w:val="F214B33C"/>
    <w:lvl w:ilvl="0" w:tplc="04090001">
      <w:start w:val="1"/>
      <w:numFmt w:val="bullet"/>
      <w:lvlText w:val=""/>
      <w:lvlJc w:val="left"/>
      <w:pPr>
        <w:ind w:left="643"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 w15:restartNumberingAfterBreak="0">
    <w:nsid w:val="008F0F3A"/>
    <w:multiLevelType w:val="hybridMultilevel"/>
    <w:tmpl w:val="C484956E"/>
    <w:lvl w:ilvl="0" w:tplc="309C2648">
      <w:numFmt w:val="bullet"/>
      <w:lvlText w:val="-"/>
      <w:lvlJc w:val="left"/>
      <w:pPr>
        <w:ind w:left="432" w:hanging="140"/>
      </w:pPr>
      <w:rPr>
        <w:rFonts w:ascii="Times New Roman" w:eastAsia="Times New Roman" w:hAnsi="Times New Roman" w:cs="Times New Roman" w:hint="default"/>
        <w:w w:val="99"/>
        <w:sz w:val="24"/>
        <w:szCs w:val="24"/>
        <w:lang w:val="ro-RO" w:eastAsia="en-US" w:bidi="ar-SA"/>
      </w:rPr>
    </w:lvl>
    <w:lvl w:ilvl="1" w:tplc="DE727C54">
      <w:numFmt w:val="bullet"/>
      <w:lvlText w:val=""/>
      <w:lvlJc w:val="left"/>
      <w:pPr>
        <w:ind w:left="948" w:hanging="360"/>
      </w:pPr>
      <w:rPr>
        <w:rFonts w:hint="default"/>
        <w:w w:val="100"/>
        <w:lang w:val="ro-RO" w:eastAsia="en-US" w:bidi="ar-SA"/>
      </w:rPr>
    </w:lvl>
    <w:lvl w:ilvl="2" w:tplc="40660F3A">
      <w:numFmt w:val="bullet"/>
      <w:lvlText w:val="•"/>
      <w:lvlJc w:val="left"/>
      <w:pPr>
        <w:ind w:left="1967" w:hanging="360"/>
      </w:pPr>
      <w:rPr>
        <w:rFonts w:hint="default"/>
        <w:lang w:val="ro-RO" w:eastAsia="en-US" w:bidi="ar-SA"/>
      </w:rPr>
    </w:lvl>
    <w:lvl w:ilvl="3" w:tplc="7BEA1CAE">
      <w:numFmt w:val="bullet"/>
      <w:lvlText w:val="•"/>
      <w:lvlJc w:val="left"/>
      <w:pPr>
        <w:ind w:left="2994" w:hanging="360"/>
      </w:pPr>
      <w:rPr>
        <w:rFonts w:hint="default"/>
        <w:lang w:val="ro-RO" w:eastAsia="en-US" w:bidi="ar-SA"/>
      </w:rPr>
    </w:lvl>
    <w:lvl w:ilvl="4" w:tplc="A8D0D07C">
      <w:numFmt w:val="bullet"/>
      <w:lvlText w:val="•"/>
      <w:lvlJc w:val="left"/>
      <w:pPr>
        <w:ind w:left="4022" w:hanging="360"/>
      </w:pPr>
      <w:rPr>
        <w:rFonts w:hint="default"/>
        <w:lang w:val="ro-RO" w:eastAsia="en-US" w:bidi="ar-SA"/>
      </w:rPr>
    </w:lvl>
    <w:lvl w:ilvl="5" w:tplc="E45C4C7C">
      <w:numFmt w:val="bullet"/>
      <w:lvlText w:val="•"/>
      <w:lvlJc w:val="left"/>
      <w:pPr>
        <w:ind w:left="5049" w:hanging="360"/>
      </w:pPr>
      <w:rPr>
        <w:rFonts w:hint="default"/>
        <w:lang w:val="ro-RO" w:eastAsia="en-US" w:bidi="ar-SA"/>
      </w:rPr>
    </w:lvl>
    <w:lvl w:ilvl="6" w:tplc="C5F61914">
      <w:numFmt w:val="bullet"/>
      <w:lvlText w:val="•"/>
      <w:lvlJc w:val="left"/>
      <w:pPr>
        <w:ind w:left="6076" w:hanging="360"/>
      </w:pPr>
      <w:rPr>
        <w:rFonts w:hint="default"/>
        <w:lang w:val="ro-RO" w:eastAsia="en-US" w:bidi="ar-SA"/>
      </w:rPr>
    </w:lvl>
    <w:lvl w:ilvl="7" w:tplc="888AA328">
      <w:numFmt w:val="bullet"/>
      <w:lvlText w:val="•"/>
      <w:lvlJc w:val="left"/>
      <w:pPr>
        <w:ind w:left="7104" w:hanging="360"/>
      </w:pPr>
      <w:rPr>
        <w:rFonts w:hint="default"/>
        <w:lang w:val="ro-RO" w:eastAsia="en-US" w:bidi="ar-SA"/>
      </w:rPr>
    </w:lvl>
    <w:lvl w:ilvl="8" w:tplc="D9D8E322">
      <w:numFmt w:val="bullet"/>
      <w:lvlText w:val="•"/>
      <w:lvlJc w:val="left"/>
      <w:pPr>
        <w:ind w:left="8131" w:hanging="360"/>
      </w:pPr>
      <w:rPr>
        <w:rFonts w:hint="default"/>
        <w:lang w:val="ro-RO" w:eastAsia="en-US" w:bidi="ar-SA"/>
      </w:rPr>
    </w:lvl>
  </w:abstractNum>
  <w:abstractNum w:abstractNumId="3" w15:restartNumberingAfterBreak="0">
    <w:nsid w:val="02163714"/>
    <w:multiLevelType w:val="hybridMultilevel"/>
    <w:tmpl w:val="97E600BC"/>
    <w:lvl w:ilvl="0" w:tplc="6AC0D1A2">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0396357A"/>
    <w:multiLevelType w:val="hybridMultilevel"/>
    <w:tmpl w:val="8CD68BC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3CB2979"/>
    <w:multiLevelType w:val="hybridMultilevel"/>
    <w:tmpl w:val="7406A2B0"/>
    <w:lvl w:ilvl="0" w:tplc="E5A0EDA8">
      <w:numFmt w:val="bullet"/>
      <w:lvlText w:val="-"/>
      <w:lvlJc w:val="left"/>
      <w:pPr>
        <w:ind w:left="24" w:hanging="252"/>
      </w:pPr>
      <w:rPr>
        <w:rFonts w:ascii="Times New Roman" w:eastAsia="Times New Roman" w:hAnsi="Times New Roman" w:cs="Times New Roman" w:hint="default"/>
        <w:w w:val="100"/>
        <w:sz w:val="22"/>
        <w:szCs w:val="22"/>
        <w:lang w:val="ro-RO" w:eastAsia="en-US" w:bidi="ar-SA"/>
      </w:rPr>
    </w:lvl>
    <w:lvl w:ilvl="1" w:tplc="F8A8DE8E">
      <w:numFmt w:val="bullet"/>
      <w:lvlText w:val="•"/>
      <w:lvlJc w:val="left"/>
      <w:pPr>
        <w:ind w:left="293" w:hanging="252"/>
      </w:pPr>
      <w:rPr>
        <w:rFonts w:hint="default"/>
        <w:lang w:val="ro-RO" w:eastAsia="en-US" w:bidi="ar-SA"/>
      </w:rPr>
    </w:lvl>
    <w:lvl w:ilvl="2" w:tplc="95C66540">
      <w:numFmt w:val="bullet"/>
      <w:lvlText w:val="•"/>
      <w:lvlJc w:val="left"/>
      <w:pPr>
        <w:ind w:left="567" w:hanging="252"/>
      </w:pPr>
      <w:rPr>
        <w:rFonts w:hint="default"/>
        <w:lang w:val="ro-RO" w:eastAsia="en-US" w:bidi="ar-SA"/>
      </w:rPr>
    </w:lvl>
    <w:lvl w:ilvl="3" w:tplc="A06A7C62">
      <w:numFmt w:val="bullet"/>
      <w:lvlText w:val="•"/>
      <w:lvlJc w:val="left"/>
      <w:pPr>
        <w:ind w:left="840" w:hanging="252"/>
      </w:pPr>
      <w:rPr>
        <w:rFonts w:hint="default"/>
        <w:lang w:val="ro-RO" w:eastAsia="en-US" w:bidi="ar-SA"/>
      </w:rPr>
    </w:lvl>
    <w:lvl w:ilvl="4" w:tplc="218C5666">
      <w:numFmt w:val="bullet"/>
      <w:lvlText w:val="•"/>
      <w:lvlJc w:val="left"/>
      <w:pPr>
        <w:ind w:left="1114" w:hanging="252"/>
      </w:pPr>
      <w:rPr>
        <w:rFonts w:hint="default"/>
        <w:lang w:val="ro-RO" w:eastAsia="en-US" w:bidi="ar-SA"/>
      </w:rPr>
    </w:lvl>
    <w:lvl w:ilvl="5" w:tplc="23689ABC">
      <w:numFmt w:val="bullet"/>
      <w:lvlText w:val="•"/>
      <w:lvlJc w:val="left"/>
      <w:pPr>
        <w:ind w:left="1387" w:hanging="252"/>
      </w:pPr>
      <w:rPr>
        <w:rFonts w:hint="default"/>
        <w:lang w:val="ro-RO" w:eastAsia="en-US" w:bidi="ar-SA"/>
      </w:rPr>
    </w:lvl>
    <w:lvl w:ilvl="6" w:tplc="845052FC">
      <w:numFmt w:val="bullet"/>
      <w:lvlText w:val="•"/>
      <w:lvlJc w:val="left"/>
      <w:pPr>
        <w:ind w:left="1661" w:hanging="252"/>
      </w:pPr>
      <w:rPr>
        <w:rFonts w:hint="default"/>
        <w:lang w:val="ro-RO" w:eastAsia="en-US" w:bidi="ar-SA"/>
      </w:rPr>
    </w:lvl>
    <w:lvl w:ilvl="7" w:tplc="2174C6B6">
      <w:numFmt w:val="bullet"/>
      <w:lvlText w:val="•"/>
      <w:lvlJc w:val="left"/>
      <w:pPr>
        <w:ind w:left="1934" w:hanging="252"/>
      </w:pPr>
      <w:rPr>
        <w:rFonts w:hint="default"/>
        <w:lang w:val="ro-RO" w:eastAsia="en-US" w:bidi="ar-SA"/>
      </w:rPr>
    </w:lvl>
    <w:lvl w:ilvl="8" w:tplc="D1B8184E">
      <w:numFmt w:val="bullet"/>
      <w:lvlText w:val="•"/>
      <w:lvlJc w:val="left"/>
      <w:pPr>
        <w:ind w:left="2208" w:hanging="252"/>
      </w:pPr>
      <w:rPr>
        <w:rFonts w:hint="default"/>
        <w:lang w:val="ro-RO" w:eastAsia="en-US" w:bidi="ar-SA"/>
      </w:rPr>
    </w:lvl>
  </w:abstractNum>
  <w:abstractNum w:abstractNumId="6" w15:restartNumberingAfterBreak="0">
    <w:nsid w:val="03E17EC5"/>
    <w:multiLevelType w:val="hybridMultilevel"/>
    <w:tmpl w:val="37F2CC94"/>
    <w:lvl w:ilvl="0" w:tplc="D7EE7C28">
      <w:numFmt w:val="bullet"/>
      <w:lvlText w:val=""/>
      <w:lvlJc w:val="left"/>
      <w:pPr>
        <w:ind w:left="1733" w:hanging="360"/>
      </w:pPr>
      <w:rPr>
        <w:rFonts w:ascii="Symbol" w:eastAsia="Symbol" w:hAnsi="Symbol" w:cs="Symbol" w:hint="default"/>
        <w:w w:val="100"/>
        <w:sz w:val="24"/>
        <w:szCs w:val="24"/>
        <w:lang w:val="ro-RO" w:eastAsia="en-US" w:bidi="ar-SA"/>
      </w:rPr>
    </w:lvl>
    <w:lvl w:ilvl="1" w:tplc="87A8B1D4">
      <w:numFmt w:val="bullet"/>
      <w:lvlText w:val="•"/>
      <w:lvlJc w:val="left"/>
      <w:pPr>
        <w:ind w:left="2584" w:hanging="360"/>
      </w:pPr>
      <w:rPr>
        <w:rFonts w:hint="default"/>
        <w:lang w:val="ro-RO" w:eastAsia="en-US" w:bidi="ar-SA"/>
      </w:rPr>
    </w:lvl>
    <w:lvl w:ilvl="2" w:tplc="AD1CB1C6">
      <w:numFmt w:val="bullet"/>
      <w:lvlText w:val="•"/>
      <w:lvlJc w:val="left"/>
      <w:pPr>
        <w:ind w:left="3429" w:hanging="360"/>
      </w:pPr>
      <w:rPr>
        <w:rFonts w:hint="default"/>
        <w:lang w:val="ro-RO" w:eastAsia="en-US" w:bidi="ar-SA"/>
      </w:rPr>
    </w:lvl>
    <w:lvl w:ilvl="3" w:tplc="86888D62">
      <w:numFmt w:val="bullet"/>
      <w:lvlText w:val="•"/>
      <w:lvlJc w:val="left"/>
      <w:pPr>
        <w:ind w:left="4273" w:hanging="360"/>
      </w:pPr>
      <w:rPr>
        <w:rFonts w:hint="default"/>
        <w:lang w:val="ro-RO" w:eastAsia="en-US" w:bidi="ar-SA"/>
      </w:rPr>
    </w:lvl>
    <w:lvl w:ilvl="4" w:tplc="4C9C7002">
      <w:numFmt w:val="bullet"/>
      <w:lvlText w:val="•"/>
      <w:lvlJc w:val="left"/>
      <w:pPr>
        <w:ind w:left="5118" w:hanging="360"/>
      </w:pPr>
      <w:rPr>
        <w:rFonts w:hint="default"/>
        <w:lang w:val="ro-RO" w:eastAsia="en-US" w:bidi="ar-SA"/>
      </w:rPr>
    </w:lvl>
    <w:lvl w:ilvl="5" w:tplc="6F300976">
      <w:numFmt w:val="bullet"/>
      <w:lvlText w:val="•"/>
      <w:lvlJc w:val="left"/>
      <w:pPr>
        <w:ind w:left="5963" w:hanging="360"/>
      </w:pPr>
      <w:rPr>
        <w:rFonts w:hint="default"/>
        <w:lang w:val="ro-RO" w:eastAsia="en-US" w:bidi="ar-SA"/>
      </w:rPr>
    </w:lvl>
    <w:lvl w:ilvl="6" w:tplc="2DA0A7FA">
      <w:numFmt w:val="bullet"/>
      <w:lvlText w:val="•"/>
      <w:lvlJc w:val="left"/>
      <w:pPr>
        <w:ind w:left="6807" w:hanging="360"/>
      </w:pPr>
      <w:rPr>
        <w:rFonts w:hint="default"/>
        <w:lang w:val="ro-RO" w:eastAsia="en-US" w:bidi="ar-SA"/>
      </w:rPr>
    </w:lvl>
    <w:lvl w:ilvl="7" w:tplc="B08C58B4">
      <w:numFmt w:val="bullet"/>
      <w:lvlText w:val="•"/>
      <w:lvlJc w:val="left"/>
      <w:pPr>
        <w:ind w:left="7652" w:hanging="360"/>
      </w:pPr>
      <w:rPr>
        <w:rFonts w:hint="default"/>
        <w:lang w:val="ro-RO" w:eastAsia="en-US" w:bidi="ar-SA"/>
      </w:rPr>
    </w:lvl>
    <w:lvl w:ilvl="8" w:tplc="4790ABA4">
      <w:numFmt w:val="bullet"/>
      <w:lvlText w:val="•"/>
      <w:lvlJc w:val="left"/>
      <w:pPr>
        <w:ind w:left="8497" w:hanging="360"/>
      </w:pPr>
      <w:rPr>
        <w:rFonts w:hint="default"/>
        <w:lang w:val="ro-RO" w:eastAsia="en-US" w:bidi="ar-SA"/>
      </w:rPr>
    </w:lvl>
  </w:abstractNum>
  <w:abstractNum w:abstractNumId="7" w15:restartNumberingAfterBreak="0">
    <w:nsid w:val="04CFC43E"/>
    <w:multiLevelType w:val="multilevel"/>
    <w:tmpl w:val="504AD5A5"/>
    <w:lvl w:ilvl="0">
      <w:numFmt w:val="bullet"/>
      <w:lvlText w:val="-"/>
      <w:lvlJc w:val="left"/>
      <w:pPr>
        <w:tabs>
          <w:tab w:val="num" w:pos="720"/>
        </w:tabs>
        <w:ind w:left="720" w:hanging="360"/>
      </w:pPr>
      <w:rPr>
        <w:rFonts w:ascii="Times New Roman" w:hAnsi="Times New Roman" w:cs="Times New Roman"/>
        <w:b/>
        <w:bCs/>
        <w:i/>
        <w:iCs/>
        <w:sz w:val="24"/>
        <w:szCs w:val="24"/>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8" w15:restartNumberingAfterBreak="0">
    <w:nsid w:val="05BE756F"/>
    <w:multiLevelType w:val="hybridMultilevel"/>
    <w:tmpl w:val="F9561BA4"/>
    <w:lvl w:ilvl="0" w:tplc="A1500212">
      <w:numFmt w:val="bullet"/>
      <w:lvlText w:val="-"/>
      <w:lvlJc w:val="left"/>
      <w:pPr>
        <w:ind w:left="828" w:hanging="361"/>
      </w:pPr>
      <w:rPr>
        <w:rFonts w:ascii="Calibri" w:eastAsia="Calibri" w:hAnsi="Calibri" w:cs="Calibri" w:hint="default"/>
        <w:w w:val="100"/>
        <w:sz w:val="24"/>
        <w:szCs w:val="24"/>
        <w:lang w:val="ro-RO" w:eastAsia="en-US" w:bidi="ar-SA"/>
      </w:rPr>
    </w:lvl>
    <w:lvl w:ilvl="1" w:tplc="A620B556">
      <w:numFmt w:val="bullet"/>
      <w:lvlText w:val="•"/>
      <w:lvlJc w:val="left"/>
      <w:pPr>
        <w:ind w:left="1485" w:hanging="361"/>
      </w:pPr>
      <w:rPr>
        <w:rFonts w:hint="default"/>
        <w:lang w:val="ro-RO" w:eastAsia="en-US" w:bidi="ar-SA"/>
      </w:rPr>
    </w:lvl>
    <w:lvl w:ilvl="2" w:tplc="166CA74E">
      <w:numFmt w:val="bullet"/>
      <w:lvlText w:val="•"/>
      <w:lvlJc w:val="left"/>
      <w:pPr>
        <w:ind w:left="2150" w:hanging="361"/>
      </w:pPr>
      <w:rPr>
        <w:rFonts w:hint="default"/>
        <w:lang w:val="ro-RO" w:eastAsia="en-US" w:bidi="ar-SA"/>
      </w:rPr>
    </w:lvl>
    <w:lvl w:ilvl="3" w:tplc="E25A4A18">
      <w:numFmt w:val="bullet"/>
      <w:lvlText w:val="•"/>
      <w:lvlJc w:val="left"/>
      <w:pPr>
        <w:ind w:left="2815" w:hanging="361"/>
      </w:pPr>
      <w:rPr>
        <w:rFonts w:hint="default"/>
        <w:lang w:val="ro-RO" w:eastAsia="en-US" w:bidi="ar-SA"/>
      </w:rPr>
    </w:lvl>
    <w:lvl w:ilvl="4" w:tplc="1374AFAE">
      <w:numFmt w:val="bullet"/>
      <w:lvlText w:val="•"/>
      <w:lvlJc w:val="left"/>
      <w:pPr>
        <w:ind w:left="3480" w:hanging="361"/>
      </w:pPr>
      <w:rPr>
        <w:rFonts w:hint="default"/>
        <w:lang w:val="ro-RO" w:eastAsia="en-US" w:bidi="ar-SA"/>
      </w:rPr>
    </w:lvl>
    <w:lvl w:ilvl="5" w:tplc="2F589B84">
      <w:numFmt w:val="bullet"/>
      <w:lvlText w:val="•"/>
      <w:lvlJc w:val="left"/>
      <w:pPr>
        <w:ind w:left="4145" w:hanging="361"/>
      </w:pPr>
      <w:rPr>
        <w:rFonts w:hint="default"/>
        <w:lang w:val="ro-RO" w:eastAsia="en-US" w:bidi="ar-SA"/>
      </w:rPr>
    </w:lvl>
    <w:lvl w:ilvl="6" w:tplc="96AEFA92">
      <w:numFmt w:val="bullet"/>
      <w:lvlText w:val="•"/>
      <w:lvlJc w:val="left"/>
      <w:pPr>
        <w:ind w:left="4810" w:hanging="361"/>
      </w:pPr>
      <w:rPr>
        <w:rFonts w:hint="default"/>
        <w:lang w:val="ro-RO" w:eastAsia="en-US" w:bidi="ar-SA"/>
      </w:rPr>
    </w:lvl>
    <w:lvl w:ilvl="7" w:tplc="56D49A2A">
      <w:numFmt w:val="bullet"/>
      <w:lvlText w:val="•"/>
      <w:lvlJc w:val="left"/>
      <w:pPr>
        <w:ind w:left="5475" w:hanging="361"/>
      </w:pPr>
      <w:rPr>
        <w:rFonts w:hint="default"/>
        <w:lang w:val="ro-RO" w:eastAsia="en-US" w:bidi="ar-SA"/>
      </w:rPr>
    </w:lvl>
    <w:lvl w:ilvl="8" w:tplc="BCACC724">
      <w:numFmt w:val="bullet"/>
      <w:lvlText w:val="•"/>
      <w:lvlJc w:val="left"/>
      <w:pPr>
        <w:ind w:left="6140" w:hanging="361"/>
      </w:pPr>
      <w:rPr>
        <w:rFonts w:hint="default"/>
        <w:lang w:val="ro-RO" w:eastAsia="en-US" w:bidi="ar-SA"/>
      </w:rPr>
    </w:lvl>
  </w:abstractNum>
  <w:abstractNum w:abstractNumId="9" w15:restartNumberingAfterBreak="0">
    <w:nsid w:val="06406885"/>
    <w:multiLevelType w:val="hybridMultilevel"/>
    <w:tmpl w:val="094E4352"/>
    <w:lvl w:ilvl="0" w:tplc="058AD76C">
      <w:start w:val="3"/>
      <w:numFmt w:val="decimal"/>
      <w:lvlText w:val="%1."/>
      <w:lvlJc w:val="left"/>
      <w:pPr>
        <w:ind w:left="828" w:hanging="361"/>
      </w:pPr>
      <w:rPr>
        <w:rFonts w:ascii="Times New Roman" w:eastAsia="Times New Roman" w:hAnsi="Times New Roman" w:cs="Times New Roman" w:hint="default"/>
        <w:w w:val="100"/>
        <w:sz w:val="24"/>
        <w:szCs w:val="24"/>
        <w:lang w:val="ro-RO" w:eastAsia="en-US" w:bidi="ar-SA"/>
      </w:rPr>
    </w:lvl>
    <w:lvl w:ilvl="1" w:tplc="0A7A4A9A">
      <w:numFmt w:val="bullet"/>
      <w:lvlText w:val="•"/>
      <w:lvlJc w:val="left"/>
      <w:pPr>
        <w:ind w:left="1485" w:hanging="361"/>
      </w:pPr>
      <w:rPr>
        <w:rFonts w:hint="default"/>
        <w:lang w:val="ro-RO" w:eastAsia="en-US" w:bidi="ar-SA"/>
      </w:rPr>
    </w:lvl>
    <w:lvl w:ilvl="2" w:tplc="455C41FA">
      <w:numFmt w:val="bullet"/>
      <w:lvlText w:val="•"/>
      <w:lvlJc w:val="left"/>
      <w:pPr>
        <w:ind w:left="2150" w:hanging="361"/>
      </w:pPr>
      <w:rPr>
        <w:rFonts w:hint="default"/>
        <w:lang w:val="ro-RO" w:eastAsia="en-US" w:bidi="ar-SA"/>
      </w:rPr>
    </w:lvl>
    <w:lvl w:ilvl="3" w:tplc="A22E4770">
      <w:numFmt w:val="bullet"/>
      <w:lvlText w:val="•"/>
      <w:lvlJc w:val="left"/>
      <w:pPr>
        <w:ind w:left="2815" w:hanging="361"/>
      </w:pPr>
      <w:rPr>
        <w:rFonts w:hint="default"/>
        <w:lang w:val="ro-RO" w:eastAsia="en-US" w:bidi="ar-SA"/>
      </w:rPr>
    </w:lvl>
    <w:lvl w:ilvl="4" w:tplc="07EEABE2">
      <w:numFmt w:val="bullet"/>
      <w:lvlText w:val="•"/>
      <w:lvlJc w:val="left"/>
      <w:pPr>
        <w:ind w:left="3480" w:hanging="361"/>
      </w:pPr>
      <w:rPr>
        <w:rFonts w:hint="default"/>
        <w:lang w:val="ro-RO" w:eastAsia="en-US" w:bidi="ar-SA"/>
      </w:rPr>
    </w:lvl>
    <w:lvl w:ilvl="5" w:tplc="7DEEAE3C">
      <w:numFmt w:val="bullet"/>
      <w:lvlText w:val="•"/>
      <w:lvlJc w:val="left"/>
      <w:pPr>
        <w:ind w:left="4145" w:hanging="361"/>
      </w:pPr>
      <w:rPr>
        <w:rFonts w:hint="default"/>
        <w:lang w:val="ro-RO" w:eastAsia="en-US" w:bidi="ar-SA"/>
      </w:rPr>
    </w:lvl>
    <w:lvl w:ilvl="6" w:tplc="CFC4335E">
      <w:numFmt w:val="bullet"/>
      <w:lvlText w:val="•"/>
      <w:lvlJc w:val="left"/>
      <w:pPr>
        <w:ind w:left="4810" w:hanging="361"/>
      </w:pPr>
      <w:rPr>
        <w:rFonts w:hint="default"/>
        <w:lang w:val="ro-RO" w:eastAsia="en-US" w:bidi="ar-SA"/>
      </w:rPr>
    </w:lvl>
    <w:lvl w:ilvl="7" w:tplc="12A8F860">
      <w:numFmt w:val="bullet"/>
      <w:lvlText w:val="•"/>
      <w:lvlJc w:val="left"/>
      <w:pPr>
        <w:ind w:left="5475" w:hanging="361"/>
      </w:pPr>
      <w:rPr>
        <w:rFonts w:hint="default"/>
        <w:lang w:val="ro-RO" w:eastAsia="en-US" w:bidi="ar-SA"/>
      </w:rPr>
    </w:lvl>
    <w:lvl w:ilvl="8" w:tplc="3B98958A">
      <w:numFmt w:val="bullet"/>
      <w:lvlText w:val="•"/>
      <w:lvlJc w:val="left"/>
      <w:pPr>
        <w:ind w:left="6140" w:hanging="361"/>
      </w:pPr>
      <w:rPr>
        <w:rFonts w:hint="default"/>
        <w:lang w:val="ro-RO" w:eastAsia="en-US" w:bidi="ar-SA"/>
      </w:rPr>
    </w:lvl>
  </w:abstractNum>
  <w:abstractNum w:abstractNumId="10" w15:restartNumberingAfterBreak="0">
    <w:nsid w:val="06F05035"/>
    <w:multiLevelType w:val="hybridMultilevel"/>
    <w:tmpl w:val="B2DE70FA"/>
    <w:lvl w:ilvl="0" w:tplc="04090001">
      <w:start w:val="1"/>
      <w:numFmt w:val="bullet"/>
      <w:lvlText w:val=""/>
      <w:lvlJc w:val="left"/>
      <w:pPr>
        <w:tabs>
          <w:tab w:val="num" w:pos="846"/>
        </w:tabs>
        <w:ind w:left="846" w:hanging="360"/>
      </w:pPr>
      <w:rPr>
        <w:rFonts w:ascii="Symbol" w:hAnsi="Symbol" w:cs="Symbol"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11" w15:restartNumberingAfterBreak="0">
    <w:nsid w:val="078B20A0"/>
    <w:multiLevelType w:val="hybridMultilevel"/>
    <w:tmpl w:val="3D5A1994"/>
    <w:lvl w:ilvl="0" w:tplc="711CD2A2">
      <w:start w:val="1"/>
      <w:numFmt w:val="lowerLetter"/>
      <w:lvlText w:val="%1)"/>
      <w:lvlJc w:val="left"/>
      <w:pPr>
        <w:ind w:left="1140" w:hanging="360"/>
      </w:pPr>
      <w:rPr>
        <w:rFonts w:hint="default"/>
        <w:i/>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12" w15:restartNumberingAfterBreak="0">
    <w:nsid w:val="07AB6DAC"/>
    <w:multiLevelType w:val="hybridMultilevel"/>
    <w:tmpl w:val="612C3E34"/>
    <w:lvl w:ilvl="0" w:tplc="E62A9840">
      <w:start w:val="1"/>
      <w:numFmt w:val="decimal"/>
      <w:lvlText w:val="%1."/>
      <w:lvlJc w:val="left"/>
      <w:pPr>
        <w:ind w:left="828" w:hanging="361"/>
      </w:pPr>
      <w:rPr>
        <w:rFonts w:ascii="Times New Roman" w:eastAsia="Times New Roman" w:hAnsi="Times New Roman" w:cs="Times New Roman" w:hint="default"/>
        <w:w w:val="100"/>
        <w:sz w:val="24"/>
        <w:szCs w:val="24"/>
        <w:lang w:val="ro-RO" w:eastAsia="en-US" w:bidi="ar-SA"/>
      </w:rPr>
    </w:lvl>
    <w:lvl w:ilvl="1" w:tplc="7ED2D390">
      <w:numFmt w:val="bullet"/>
      <w:lvlText w:val="•"/>
      <w:lvlJc w:val="left"/>
      <w:pPr>
        <w:ind w:left="1485" w:hanging="361"/>
      </w:pPr>
      <w:rPr>
        <w:rFonts w:hint="default"/>
        <w:lang w:val="ro-RO" w:eastAsia="en-US" w:bidi="ar-SA"/>
      </w:rPr>
    </w:lvl>
    <w:lvl w:ilvl="2" w:tplc="E064FF14">
      <w:numFmt w:val="bullet"/>
      <w:lvlText w:val="•"/>
      <w:lvlJc w:val="left"/>
      <w:pPr>
        <w:ind w:left="2150" w:hanging="361"/>
      </w:pPr>
      <w:rPr>
        <w:rFonts w:hint="default"/>
        <w:lang w:val="ro-RO" w:eastAsia="en-US" w:bidi="ar-SA"/>
      </w:rPr>
    </w:lvl>
    <w:lvl w:ilvl="3" w:tplc="6A861C14">
      <w:numFmt w:val="bullet"/>
      <w:lvlText w:val="•"/>
      <w:lvlJc w:val="left"/>
      <w:pPr>
        <w:ind w:left="2815" w:hanging="361"/>
      </w:pPr>
      <w:rPr>
        <w:rFonts w:hint="default"/>
        <w:lang w:val="ro-RO" w:eastAsia="en-US" w:bidi="ar-SA"/>
      </w:rPr>
    </w:lvl>
    <w:lvl w:ilvl="4" w:tplc="A718AEE4">
      <w:numFmt w:val="bullet"/>
      <w:lvlText w:val="•"/>
      <w:lvlJc w:val="left"/>
      <w:pPr>
        <w:ind w:left="3480" w:hanging="361"/>
      </w:pPr>
      <w:rPr>
        <w:rFonts w:hint="default"/>
        <w:lang w:val="ro-RO" w:eastAsia="en-US" w:bidi="ar-SA"/>
      </w:rPr>
    </w:lvl>
    <w:lvl w:ilvl="5" w:tplc="E662DE46">
      <w:numFmt w:val="bullet"/>
      <w:lvlText w:val="•"/>
      <w:lvlJc w:val="left"/>
      <w:pPr>
        <w:ind w:left="4145" w:hanging="361"/>
      </w:pPr>
      <w:rPr>
        <w:rFonts w:hint="default"/>
        <w:lang w:val="ro-RO" w:eastAsia="en-US" w:bidi="ar-SA"/>
      </w:rPr>
    </w:lvl>
    <w:lvl w:ilvl="6" w:tplc="DD547CE2">
      <w:numFmt w:val="bullet"/>
      <w:lvlText w:val="•"/>
      <w:lvlJc w:val="left"/>
      <w:pPr>
        <w:ind w:left="4810" w:hanging="361"/>
      </w:pPr>
      <w:rPr>
        <w:rFonts w:hint="default"/>
        <w:lang w:val="ro-RO" w:eastAsia="en-US" w:bidi="ar-SA"/>
      </w:rPr>
    </w:lvl>
    <w:lvl w:ilvl="7" w:tplc="8006FC48">
      <w:numFmt w:val="bullet"/>
      <w:lvlText w:val="•"/>
      <w:lvlJc w:val="left"/>
      <w:pPr>
        <w:ind w:left="5475" w:hanging="361"/>
      </w:pPr>
      <w:rPr>
        <w:rFonts w:hint="default"/>
        <w:lang w:val="ro-RO" w:eastAsia="en-US" w:bidi="ar-SA"/>
      </w:rPr>
    </w:lvl>
    <w:lvl w:ilvl="8" w:tplc="0896DE70">
      <w:numFmt w:val="bullet"/>
      <w:lvlText w:val="•"/>
      <w:lvlJc w:val="left"/>
      <w:pPr>
        <w:ind w:left="6140" w:hanging="361"/>
      </w:pPr>
      <w:rPr>
        <w:rFonts w:hint="default"/>
        <w:lang w:val="ro-RO" w:eastAsia="en-US" w:bidi="ar-SA"/>
      </w:rPr>
    </w:lvl>
  </w:abstractNum>
  <w:abstractNum w:abstractNumId="13" w15:restartNumberingAfterBreak="0">
    <w:nsid w:val="083D34AD"/>
    <w:multiLevelType w:val="hybridMultilevel"/>
    <w:tmpl w:val="04F6A1A0"/>
    <w:lvl w:ilvl="0" w:tplc="F3D6F9A2">
      <w:numFmt w:val="bullet"/>
      <w:lvlText w:val="-"/>
      <w:lvlJc w:val="left"/>
      <w:pPr>
        <w:ind w:left="432" w:hanging="140"/>
      </w:pPr>
      <w:rPr>
        <w:rFonts w:ascii="Times New Roman" w:eastAsia="Times New Roman" w:hAnsi="Times New Roman" w:cs="Times New Roman" w:hint="default"/>
        <w:w w:val="99"/>
        <w:sz w:val="24"/>
        <w:szCs w:val="24"/>
        <w:lang w:val="ro-RO" w:eastAsia="en-US" w:bidi="ar-SA"/>
      </w:rPr>
    </w:lvl>
    <w:lvl w:ilvl="1" w:tplc="5BCC2226">
      <w:numFmt w:val="bullet"/>
      <w:lvlText w:val=""/>
      <w:lvlJc w:val="left"/>
      <w:pPr>
        <w:ind w:left="948" w:hanging="360"/>
      </w:pPr>
      <w:rPr>
        <w:rFonts w:hint="default"/>
        <w:w w:val="100"/>
        <w:lang w:val="ro-RO" w:eastAsia="en-US" w:bidi="ar-SA"/>
      </w:rPr>
    </w:lvl>
    <w:lvl w:ilvl="2" w:tplc="73389B78">
      <w:numFmt w:val="bullet"/>
      <w:lvlText w:val="•"/>
      <w:lvlJc w:val="left"/>
      <w:pPr>
        <w:ind w:left="1967" w:hanging="360"/>
      </w:pPr>
      <w:rPr>
        <w:rFonts w:hint="default"/>
        <w:lang w:val="ro-RO" w:eastAsia="en-US" w:bidi="ar-SA"/>
      </w:rPr>
    </w:lvl>
    <w:lvl w:ilvl="3" w:tplc="EFEE44CE">
      <w:numFmt w:val="bullet"/>
      <w:lvlText w:val="•"/>
      <w:lvlJc w:val="left"/>
      <w:pPr>
        <w:ind w:left="2994" w:hanging="360"/>
      </w:pPr>
      <w:rPr>
        <w:rFonts w:hint="default"/>
        <w:lang w:val="ro-RO" w:eastAsia="en-US" w:bidi="ar-SA"/>
      </w:rPr>
    </w:lvl>
    <w:lvl w:ilvl="4" w:tplc="1598BDC0">
      <w:numFmt w:val="bullet"/>
      <w:lvlText w:val="•"/>
      <w:lvlJc w:val="left"/>
      <w:pPr>
        <w:ind w:left="4022" w:hanging="360"/>
      </w:pPr>
      <w:rPr>
        <w:rFonts w:hint="default"/>
        <w:lang w:val="ro-RO" w:eastAsia="en-US" w:bidi="ar-SA"/>
      </w:rPr>
    </w:lvl>
    <w:lvl w:ilvl="5" w:tplc="134CD31C">
      <w:numFmt w:val="bullet"/>
      <w:lvlText w:val="•"/>
      <w:lvlJc w:val="left"/>
      <w:pPr>
        <w:ind w:left="5049" w:hanging="360"/>
      </w:pPr>
      <w:rPr>
        <w:rFonts w:hint="default"/>
        <w:lang w:val="ro-RO" w:eastAsia="en-US" w:bidi="ar-SA"/>
      </w:rPr>
    </w:lvl>
    <w:lvl w:ilvl="6" w:tplc="64B03646">
      <w:numFmt w:val="bullet"/>
      <w:lvlText w:val="•"/>
      <w:lvlJc w:val="left"/>
      <w:pPr>
        <w:ind w:left="6076" w:hanging="360"/>
      </w:pPr>
      <w:rPr>
        <w:rFonts w:hint="default"/>
        <w:lang w:val="ro-RO" w:eastAsia="en-US" w:bidi="ar-SA"/>
      </w:rPr>
    </w:lvl>
    <w:lvl w:ilvl="7" w:tplc="A53A525C">
      <w:numFmt w:val="bullet"/>
      <w:lvlText w:val="•"/>
      <w:lvlJc w:val="left"/>
      <w:pPr>
        <w:ind w:left="7104" w:hanging="360"/>
      </w:pPr>
      <w:rPr>
        <w:rFonts w:hint="default"/>
        <w:lang w:val="ro-RO" w:eastAsia="en-US" w:bidi="ar-SA"/>
      </w:rPr>
    </w:lvl>
    <w:lvl w:ilvl="8" w:tplc="F1E6885A">
      <w:numFmt w:val="bullet"/>
      <w:lvlText w:val="•"/>
      <w:lvlJc w:val="left"/>
      <w:pPr>
        <w:ind w:left="8131" w:hanging="360"/>
      </w:pPr>
      <w:rPr>
        <w:rFonts w:hint="default"/>
        <w:lang w:val="ro-RO" w:eastAsia="en-US" w:bidi="ar-SA"/>
      </w:rPr>
    </w:lvl>
  </w:abstractNum>
  <w:abstractNum w:abstractNumId="14" w15:restartNumberingAfterBreak="0">
    <w:nsid w:val="08F262CB"/>
    <w:multiLevelType w:val="hybridMultilevel"/>
    <w:tmpl w:val="B7303712"/>
    <w:lvl w:ilvl="0" w:tplc="F918C8FC">
      <w:numFmt w:val="bullet"/>
      <w:lvlText w:val="-"/>
      <w:lvlJc w:val="left"/>
      <w:pPr>
        <w:ind w:left="24" w:hanging="252"/>
      </w:pPr>
      <w:rPr>
        <w:rFonts w:ascii="Times New Roman" w:eastAsia="Times New Roman" w:hAnsi="Times New Roman" w:cs="Times New Roman" w:hint="default"/>
        <w:w w:val="100"/>
        <w:sz w:val="22"/>
        <w:szCs w:val="22"/>
        <w:lang w:val="ro-RO" w:eastAsia="en-US" w:bidi="ar-SA"/>
      </w:rPr>
    </w:lvl>
    <w:lvl w:ilvl="1" w:tplc="F0F81F2E">
      <w:numFmt w:val="bullet"/>
      <w:lvlText w:val="•"/>
      <w:lvlJc w:val="left"/>
      <w:pPr>
        <w:ind w:left="272" w:hanging="252"/>
      </w:pPr>
      <w:rPr>
        <w:rFonts w:hint="default"/>
        <w:lang w:val="ro-RO" w:eastAsia="en-US" w:bidi="ar-SA"/>
      </w:rPr>
    </w:lvl>
    <w:lvl w:ilvl="2" w:tplc="A03CA696">
      <w:numFmt w:val="bullet"/>
      <w:lvlText w:val="•"/>
      <w:lvlJc w:val="left"/>
      <w:pPr>
        <w:ind w:left="524" w:hanging="252"/>
      </w:pPr>
      <w:rPr>
        <w:rFonts w:hint="default"/>
        <w:lang w:val="ro-RO" w:eastAsia="en-US" w:bidi="ar-SA"/>
      </w:rPr>
    </w:lvl>
    <w:lvl w:ilvl="3" w:tplc="656EAF02">
      <w:numFmt w:val="bullet"/>
      <w:lvlText w:val="•"/>
      <w:lvlJc w:val="left"/>
      <w:pPr>
        <w:ind w:left="776" w:hanging="252"/>
      </w:pPr>
      <w:rPr>
        <w:rFonts w:hint="default"/>
        <w:lang w:val="ro-RO" w:eastAsia="en-US" w:bidi="ar-SA"/>
      </w:rPr>
    </w:lvl>
    <w:lvl w:ilvl="4" w:tplc="7F8A6402">
      <w:numFmt w:val="bullet"/>
      <w:lvlText w:val="•"/>
      <w:lvlJc w:val="left"/>
      <w:pPr>
        <w:ind w:left="1028" w:hanging="252"/>
      </w:pPr>
      <w:rPr>
        <w:rFonts w:hint="default"/>
        <w:lang w:val="ro-RO" w:eastAsia="en-US" w:bidi="ar-SA"/>
      </w:rPr>
    </w:lvl>
    <w:lvl w:ilvl="5" w:tplc="03925754">
      <w:numFmt w:val="bullet"/>
      <w:lvlText w:val="•"/>
      <w:lvlJc w:val="left"/>
      <w:pPr>
        <w:ind w:left="1281" w:hanging="252"/>
      </w:pPr>
      <w:rPr>
        <w:rFonts w:hint="default"/>
        <w:lang w:val="ro-RO" w:eastAsia="en-US" w:bidi="ar-SA"/>
      </w:rPr>
    </w:lvl>
    <w:lvl w:ilvl="6" w:tplc="C0B0A594">
      <w:numFmt w:val="bullet"/>
      <w:lvlText w:val="•"/>
      <w:lvlJc w:val="left"/>
      <w:pPr>
        <w:ind w:left="1533" w:hanging="252"/>
      </w:pPr>
      <w:rPr>
        <w:rFonts w:hint="default"/>
        <w:lang w:val="ro-RO" w:eastAsia="en-US" w:bidi="ar-SA"/>
      </w:rPr>
    </w:lvl>
    <w:lvl w:ilvl="7" w:tplc="955EBE12">
      <w:numFmt w:val="bullet"/>
      <w:lvlText w:val="•"/>
      <w:lvlJc w:val="left"/>
      <w:pPr>
        <w:ind w:left="1785" w:hanging="252"/>
      </w:pPr>
      <w:rPr>
        <w:rFonts w:hint="default"/>
        <w:lang w:val="ro-RO" w:eastAsia="en-US" w:bidi="ar-SA"/>
      </w:rPr>
    </w:lvl>
    <w:lvl w:ilvl="8" w:tplc="30081044">
      <w:numFmt w:val="bullet"/>
      <w:lvlText w:val="•"/>
      <w:lvlJc w:val="left"/>
      <w:pPr>
        <w:ind w:left="2037" w:hanging="252"/>
      </w:pPr>
      <w:rPr>
        <w:rFonts w:hint="default"/>
        <w:lang w:val="ro-RO" w:eastAsia="en-US" w:bidi="ar-SA"/>
      </w:rPr>
    </w:lvl>
  </w:abstractNum>
  <w:abstractNum w:abstractNumId="15" w15:restartNumberingAfterBreak="0">
    <w:nsid w:val="09AF3A6A"/>
    <w:multiLevelType w:val="hybridMultilevel"/>
    <w:tmpl w:val="33A6C3E6"/>
    <w:lvl w:ilvl="0" w:tplc="7BBC5244">
      <w:start w:val="1"/>
      <w:numFmt w:val="decimal"/>
      <w:lvlText w:val="%1."/>
      <w:lvlJc w:val="left"/>
      <w:pPr>
        <w:ind w:left="840" w:hanging="360"/>
      </w:pPr>
      <w:rPr>
        <w:rFonts w:hint="default"/>
      </w:rPr>
    </w:lvl>
    <w:lvl w:ilvl="1" w:tplc="04090019">
      <w:start w:val="1"/>
      <w:numFmt w:val="lowerLetter"/>
      <w:lvlText w:val="%2."/>
      <w:lvlJc w:val="left"/>
      <w:pPr>
        <w:ind w:left="1560" w:hanging="360"/>
      </w:pPr>
    </w:lvl>
    <w:lvl w:ilvl="2" w:tplc="DD465348">
      <w:start w:val="1"/>
      <w:numFmt w:val="lowerLetter"/>
      <w:lvlText w:val="%3)"/>
      <w:lvlJc w:val="left"/>
      <w:pPr>
        <w:ind w:left="2280" w:hanging="180"/>
      </w:pPr>
      <w:rPr>
        <w:rFonts w:ascii="Times New Roman" w:eastAsia="Times New Roman" w:hAnsi="Times New Roman" w:cs="Times New Roman" w:hint="default"/>
        <w:spacing w:val="-1"/>
        <w:w w:val="99"/>
        <w:sz w:val="24"/>
        <w:szCs w:val="24"/>
        <w:lang w:val="ro-RO" w:eastAsia="en-US" w:bidi="ar-SA"/>
      </w:rPr>
    </w:lvl>
    <w:lvl w:ilvl="3" w:tplc="EAF43890">
      <w:start w:val="3"/>
      <w:numFmt w:val="upperRoman"/>
      <w:lvlText w:val="%4."/>
      <w:lvlJc w:val="left"/>
      <w:pPr>
        <w:ind w:left="3360" w:hanging="720"/>
      </w:pPr>
      <w:rPr>
        <w:rFonts w:hint="default"/>
        <w:b w:val="0"/>
      </w:r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6" w15:restartNumberingAfterBreak="0">
    <w:nsid w:val="0A772666"/>
    <w:multiLevelType w:val="hybridMultilevel"/>
    <w:tmpl w:val="AC1640D8"/>
    <w:lvl w:ilvl="0" w:tplc="EDD491FA">
      <w:numFmt w:val="bullet"/>
      <w:lvlText w:val="-"/>
      <w:lvlJc w:val="left"/>
      <w:pPr>
        <w:ind w:left="24" w:hanging="252"/>
      </w:pPr>
      <w:rPr>
        <w:rFonts w:ascii="Times New Roman" w:eastAsia="Times New Roman" w:hAnsi="Times New Roman" w:cs="Times New Roman" w:hint="default"/>
        <w:w w:val="100"/>
        <w:sz w:val="22"/>
        <w:szCs w:val="22"/>
        <w:lang w:val="ro-RO" w:eastAsia="en-US" w:bidi="ar-SA"/>
      </w:rPr>
    </w:lvl>
    <w:lvl w:ilvl="1" w:tplc="9482AFAE">
      <w:numFmt w:val="bullet"/>
      <w:lvlText w:val="•"/>
      <w:lvlJc w:val="left"/>
      <w:pPr>
        <w:ind w:left="272" w:hanging="252"/>
      </w:pPr>
      <w:rPr>
        <w:rFonts w:hint="default"/>
        <w:lang w:val="ro-RO" w:eastAsia="en-US" w:bidi="ar-SA"/>
      </w:rPr>
    </w:lvl>
    <w:lvl w:ilvl="2" w:tplc="1A8EF98C">
      <w:numFmt w:val="bullet"/>
      <w:lvlText w:val="•"/>
      <w:lvlJc w:val="left"/>
      <w:pPr>
        <w:ind w:left="524" w:hanging="252"/>
      </w:pPr>
      <w:rPr>
        <w:rFonts w:hint="default"/>
        <w:lang w:val="ro-RO" w:eastAsia="en-US" w:bidi="ar-SA"/>
      </w:rPr>
    </w:lvl>
    <w:lvl w:ilvl="3" w:tplc="36ACAFCA">
      <w:numFmt w:val="bullet"/>
      <w:lvlText w:val="•"/>
      <w:lvlJc w:val="left"/>
      <w:pPr>
        <w:ind w:left="776" w:hanging="252"/>
      </w:pPr>
      <w:rPr>
        <w:rFonts w:hint="default"/>
        <w:lang w:val="ro-RO" w:eastAsia="en-US" w:bidi="ar-SA"/>
      </w:rPr>
    </w:lvl>
    <w:lvl w:ilvl="4" w:tplc="49EE994A">
      <w:numFmt w:val="bullet"/>
      <w:lvlText w:val="•"/>
      <w:lvlJc w:val="left"/>
      <w:pPr>
        <w:ind w:left="1028" w:hanging="252"/>
      </w:pPr>
      <w:rPr>
        <w:rFonts w:hint="default"/>
        <w:lang w:val="ro-RO" w:eastAsia="en-US" w:bidi="ar-SA"/>
      </w:rPr>
    </w:lvl>
    <w:lvl w:ilvl="5" w:tplc="19AA150C">
      <w:numFmt w:val="bullet"/>
      <w:lvlText w:val="•"/>
      <w:lvlJc w:val="left"/>
      <w:pPr>
        <w:ind w:left="1281" w:hanging="252"/>
      </w:pPr>
      <w:rPr>
        <w:rFonts w:hint="default"/>
        <w:lang w:val="ro-RO" w:eastAsia="en-US" w:bidi="ar-SA"/>
      </w:rPr>
    </w:lvl>
    <w:lvl w:ilvl="6" w:tplc="DE2CBB22">
      <w:numFmt w:val="bullet"/>
      <w:lvlText w:val="•"/>
      <w:lvlJc w:val="left"/>
      <w:pPr>
        <w:ind w:left="1533" w:hanging="252"/>
      </w:pPr>
      <w:rPr>
        <w:rFonts w:hint="default"/>
        <w:lang w:val="ro-RO" w:eastAsia="en-US" w:bidi="ar-SA"/>
      </w:rPr>
    </w:lvl>
    <w:lvl w:ilvl="7" w:tplc="8CD653DC">
      <w:numFmt w:val="bullet"/>
      <w:lvlText w:val="•"/>
      <w:lvlJc w:val="left"/>
      <w:pPr>
        <w:ind w:left="1785" w:hanging="252"/>
      </w:pPr>
      <w:rPr>
        <w:rFonts w:hint="default"/>
        <w:lang w:val="ro-RO" w:eastAsia="en-US" w:bidi="ar-SA"/>
      </w:rPr>
    </w:lvl>
    <w:lvl w:ilvl="8" w:tplc="B0A4F01C">
      <w:numFmt w:val="bullet"/>
      <w:lvlText w:val="•"/>
      <w:lvlJc w:val="left"/>
      <w:pPr>
        <w:ind w:left="2037" w:hanging="252"/>
      </w:pPr>
      <w:rPr>
        <w:rFonts w:hint="default"/>
        <w:lang w:val="ro-RO" w:eastAsia="en-US" w:bidi="ar-SA"/>
      </w:rPr>
    </w:lvl>
  </w:abstractNum>
  <w:abstractNum w:abstractNumId="17" w15:restartNumberingAfterBreak="0">
    <w:nsid w:val="0A784845"/>
    <w:multiLevelType w:val="multilevel"/>
    <w:tmpl w:val="818E8BF4"/>
    <w:lvl w:ilvl="0">
      <w:start w:val="8"/>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15:restartNumberingAfterBreak="0">
    <w:nsid w:val="0AFF007A"/>
    <w:multiLevelType w:val="hybridMultilevel"/>
    <w:tmpl w:val="AEC69662"/>
    <w:lvl w:ilvl="0" w:tplc="974472A6">
      <w:start w:val="1"/>
      <w:numFmt w:val="lowerLetter"/>
      <w:lvlText w:val="%1)"/>
      <w:lvlJc w:val="left"/>
      <w:pPr>
        <w:ind w:left="528" w:hanging="408"/>
      </w:pPr>
      <w:rPr>
        <w:rFonts w:hint="default"/>
      </w:rPr>
    </w:lvl>
    <w:lvl w:ilvl="1" w:tplc="08090019" w:tentative="1">
      <w:start w:val="1"/>
      <w:numFmt w:val="lowerLetter"/>
      <w:lvlText w:val="%2."/>
      <w:lvlJc w:val="left"/>
      <w:pPr>
        <w:ind w:left="1200" w:hanging="360"/>
      </w:pPr>
    </w:lvl>
    <w:lvl w:ilvl="2" w:tplc="0809001B" w:tentative="1">
      <w:start w:val="1"/>
      <w:numFmt w:val="lowerRoman"/>
      <w:lvlText w:val="%3."/>
      <w:lvlJc w:val="right"/>
      <w:pPr>
        <w:ind w:left="1920" w:hanging="180"/>
      </w:pPr>
    </w:lvl>
    <w:lvl w:ilvl="3" w:tplc="0809000F" w:tentative="1">
      <w:start w:val="1"/>
      <w:numFmt w:val="decimal"/>
      <w:lvlText w:val="%4."/>
      <w:lvlJc w:val="left"/>
      <w:pPr>
        <w:ind w:left="2640" w:hanging="360"/>
      </w:pPr>
    </w:lvl>
    <w:lvl w:ilvl="4" w:tplc="08090019" w:tentative="1">
      <w:start w:val="1"/>
      <w:numFmt w:val="lowerLetter"/>
      <w:lvlText w:val="%5."/>
      <w:lvlJc w:val="left"/>
      <w:pPr>
        <w:ind w:left="3360" w:hanging="360"/>
      </w:pPr>
    </w:lvl>
    <w:lvl w:ilvl="5" w:tplc="0809001B" w:tentative="1">
      <w:start w:val="1"/>
      <w:numFmt w:val="lowerRoman"/>
      <w:lvlText w:val="%6."/>
      <w:lvlJc w:val="right"/>
      <w:pPr>
        <w:ind w:left="4080" w:hanging="180"/>
      </w:pPr>
    </w:lvl>
    <w:lvl w:ilvl="6" w:tplc="0809000F" w:tentative="1">
      <w:start w:val="1"/>
      <w:numFmt w:val="decimal"/>
      <w:lvlText w:val="%7."/>
      <w:lvlJc w:val="left"/>
      <w:pPr>
        <w:ind w:left="4800" w:hanging="360"/>
      </w:pPr>
    </w:lvl>
    <w:lvl w:ilvl="7" w:tplc="08090019" w:tentative="1">
      <w:start w:val="1"/>
      <w:numFmt w:val="lowerLetter"/>
      <w:lvlText w:val="%8."/>
      <w:lvlJc w:val="left"/>
      <w:pPr>
        <w:ind w:left="5520" w:hanging="360"/>
      </w:pPr>
    </w:lvl>
    <w:lvl w:ilvl="8" w:tplc="0809001B" w:tentative="1">
      <w:start w:val="1"/>
      <w:numFmt w:val="lowerRoman"/>
      <w:lvlText w:val="%9."/>
      <w:lvlJc w:val="right"/>
      <w:pPr>
        <w:ind w:left="6240" w:hanging="180"/>
      </w:pPr>
    </w:lvl>
  </w:abstractNum>
  <w:abstractNum w:abstractNumId="19" w15:restartNumberingAfterBreak="0">
    <w:nsid w:val="0C2339FB"/>
    <w:multiLevelType w:val="hybridMultilevel"/>
    <w:tmpl w:val="4202C7FA"/>
    <w:lvl w:ilvl="0" w:tplc="5756DA1E">
      <w:numFmt w:val="bullet"/>
      <w:lvlText w:val="-"/>
      <w:lvlJc w:val="left"/>
      <w:pPr>
        <w:ind w:left="109" w:hanging="125"/>
      </w:pPr>
      <w:rPr>
        <w:rFonts w:ascii="Times New Roman" w:eastAsia="Times New Roman" w:hAnsi="Times New Roman" w:cs="Times New Roman" w:hint="default"/>
        <w:w w:val="100"/>
        <w:sz w:val="22"/>
        <w:szCs w:val="22"/>
        <w:lang w:val="ro-RO" w:eastAsia="en-US" w:bidi="ar-SA"/>
      </w:rPr>
    </w:lvl>
    <w:lvl w:ilvl="1" w:tplc="680E48D8">
      <w:numFmt w:val="bullet"/>
      <w:lvlText w:val="•"/>
      <w:lvlJc w:val="left"/>
      <w:pPr>
        <w:ind w:left="475" w:hanging="125"/>
      </w:pPr>
      <w:rPr>
        <w:rFonts w:hint="default"/>
        <w:lang w:val="ro-RO" w:eastAsia="en-US" w:bidi="ar-SA"/>
      </w:rPr>
    </w:lvl>
    <w:lvl w:ilvl="2" w:tplc="0B8C3C3C">
      <w:numFmt w:val="bullet"/>
      <w:lvlText w:val="•"/>
      <w:lvlJc w:val="left"/>
      <w:pPr>
        <w:ind w:left="851" w:hanging="125"/>
      </w:pPr>
      <w:rPr>
        <w:rFonts w:hint="default"/>
        <w:lang w:val="ro-RO" w:eastAsia="en-US" w:bidi="ar-SA"/>
      </w:rPr>
    </w:lvl>
    <w:lvl w:ilvl="3" w:tplc="2FDA1A4E">
      <w:numFmt w:val="bullet"/>
      <w:lvlText w:val="•"/>
      <w:lvlJc w:val="left"/>
      <w:pPr>
        <w:ind w:left="1227" w:hanging="125"/>
      </w:pPr>
      <w:rPr>
        <w:rFonts w:hint="default"/>
        <w:lang w:val="ro-RO" w:eastAsia="en-US" w:bidi="ar-SA"/>
      </w:rPr>
    </w:lvl>
    <w:lvl w:ilvl="4" w:tplc="8FF29EA4">
      <w:numFmt w:val="bullet"/>
      <w:lvlText w:val="•"/>
      <w:lvlJc w:val="left"/>
      <w:pPr>
        <w:ind w:left="1603" w:hanging="125"/>
      </w:pPr>
      <w:rPr>
        <w:rFonts w:hint="default"/>
        <w:lang w:val="ro-RO" w:eastAsia="en-US" w:bidi="ar-SA"/>
      </w:rPr>
    </w:lvl>
    <w:lvl w:ilvl="5" w:tplc="89CCDEC8">
      <w:numFmt w:val="bullet"/>
      <w:lvlText w:val="•"/>
      <w:lvlJc w:val="left"/>
      <w:pPr>
        <w:ind w:left="1979" w:hanging="125"/>
      </w:pPr>
      <w:rPr>
        <w:rFonts w:hint="default"/>
        <w:lang w:val="ro-RO" w:eastAsia="en-US" w:bidi="ar-SA"/>
      </w:rPr>
    </w:lvl>
    <w:lvl w:ilvl="6" w:tplc="25127B52">
      <w:numFmt w:val="bullet"/>
      <w:lvlText w:val="•"/>
      <w:lvlJc w:val="left"/>
      <w:pPr>
        <w:ind w:left="2355" w:hanging="125"/>
      </w:pPr>
      <w:rPr>
        <w:rFonts w:hint="default"/>
        <w:lang w:val="ro-RO" w:eastAsia="en-US" w:bidi="ar-SA"/>
      </w:rPr>
    </w:lvl>
    <w:lvl w:ilvl="7" w:tplc="7B7A5D4E">
      <w:numFmt w:val="bullet"/>
      <w:lvlText w:val="•"/>
      <w:lvlJc w:val="left"/>
      <w:pPr>
        <w:ind w:left="2731" w:hanging="125"/>
      </w:pPr>
      <w:rPr>
        <w:rFonts w:hint="default"/>
        <w:lang w:val="ro-RO" w:eastAsia="en-US" w:bidi="ar-SA"/>
      </w:rPr>
    </w:lvl>
    <w:lvl w:ilvl="8" w:tplc="E75402D2">
      <w:numFmt w:val="bullet"/>
      <w:lvlText w:val="•"/>
      <w:lvlJc w:val="left"/>
      <w:pPr>
        <w:ind w:left="3107" w:hanging="125"/>
      </w:pPr>
      <w:rPr>
        <w:rFonts w:hint="default"/>
        <w:lang w:val="ro-RO" w:eastAsia="en-US" w:bidi="ar-SA"/>
      </w:rPr>
    </w:lvl>
  </w:abstractNum>
  <w:abstractNum w:abstractNumId="20" w15:restartNumberingAfterBreak="0">
    <w:nsid w:val="0E050EB5"/>
    <w:multiLevelType w:val="hybridMultilevel"/>
    <w:tmpl w:val="B7C8EBCA"/>
    <w:lvl w:ilvl="0" w:tplc="4DC2A3F2">
      <w:numFmt w:val="bullet"/>
      <w:lvlText w:val="-"/>
      <w:lvlJc w:val="left"/>
      <w:pPr>
        <w:ind w:left="107" w:hanging="125"/>
      </w:pPr>
      <w:rPr>
        <w:rFonts w:ascii="Times New Roman" w:eastAsia="Times New Roman" w:hAnsi="Times New Roman" w:cs="Times New Roman" w:hint="default"/>
        <w:w w:val="100"/>
        <w:sz w:val="22"/>
        <w:szCs w:val="22"/>
        <w:lang w:val="ro-RO" w:eastAsia="en-US" w:bidi="ar-SA"/>
      </w:rPr>
    </w:lvl>
    <w:lvl w:ilvl="1" w:tplc="F168B1A8">
      <w:numFmt w:val="bullet"/>
      <w:lvlText w:val="•"/>
      <w:lvlJc w:val="left"/>
      <w:pPr>
        <w:ind w:left="465" w:hanging="125"/>
      </w:pPr>
      <w:rPr>
        <w:rFonts w:hint="default"/>
        <w:lang w:val="ro-RO" w:eastAsia="en-US" w:bidi="ar-SA"/>
      </w:rPr>
    </w:lvl>
    <w:lvl w:ilvl="2" w:tplc="29E836C2">
      <w:numFmt w:val="bullet"/>
      <w:lvlText w:val="•"/>
      <w:lvlJc w:val="left"/>
      <w:pPr>
        <w:ind w:left="830" w:hanging="125"/>
      </w:pPr>
      <w:rPr>
        <w:rFonts w:hint="default"/>
        <w:lang w:val="ro-RO" w:eastAsia="en-US" w:bidi="ar-SA"/>
      </w:rPr>
    </w:lvl>
    <w:lvl w:ilvl="3" w:tplc="2496EFA6">
      <w:numFmt w:val="bullet"/>
      <w:lvlText w:val="•"/>
      <w:lvlJc w:val="left"/>
      <w:pPr>
        <w:ind w:left="1196" w:hanging="125"/>
      </w:pPr>
      <w:rPr>
        <w:rFonts w:hint="default"/>
        <w:lang w:val="ro-RO" w:eastAsia="en-US" w:bidi="ar-SA"/>
      </w:rPr>
    </w:lvl>
    <w:lvl w:ilvl="4" w:tplc="564C173C">
      <w:numFmt w:val="bullet"/>
      <w:lvlText w:val="•"/>
      <w:lvlJc w:val="left"/>
      <w:pPr>
        <w:ind w:left="1561" w:hanging="125"/>
      </w:pPr>
      <w:rPr>
        <w:rFonts w:hint="default"/>
        <w:lang w:val="ro-RO" w:eastAsia="en-US" w:bidi="ar-SA"/>
      </w:rPr>
    </w:lvl>
    <w:lvl w:ilvl="5" w:tplc="DC7C07AA">
      <w:numFmt w:val="bullet"/>
      <w:lvlText w:val="•"/>
      <w:lvlJc w:val="left"/>
      <w:pPr>
        <w:ind w:left="1927" w:hanging="125"/>
      </w:pPr>
      <w:rPr>
        <w:rFonts w:hint="default"/>
        <w:lang w:val="ro-RO" w:eastAsia="en-US" w:bidi="ar-SA"/>
      </w:rPr>
    </w:lvl>
    <w:lvl w:ilvl="6" w:tplc="798A2D44">
      <w:numFmt w:val="bullet"/>
      <w:lvlText w:val="•"/>
      <w:lvlJc w:val="left"/>
      <w:pPr>
        <w:ind w:left="2292" w:hanging="125"/>
      </w:pPr>
      <w:rPr>
        <w:rFonts w:hint="default"/>
        <w:lang w:val="ro-RO" w:eastAsia="en-US" w:bidi="ar-SA"/>
      </w:rPr>
    </w:lvl>
    <w:lvl w:ilvl="7" w:tplc="EAECDFA6">
      <w:numFmt w:val="bullet"/>
      <w:lvlText w:val="•"/>
      <w:lvlJc w:val="left"/>
      <w:pPr>
        <w:ind w:left="2657" w:hanging="125"/>
      </w:pPr>
      <w:rPr>
        <w:rFonts w:hint="default"/>
        <w:lang w:val="ro-RO" w:eastAsia="en-US" w:bidi="ar-SA"/>
      </w:rPr>
    </w:lvl>
    <w:lvl w:ilvl="8" w:tplc="876EFB20">
      <w:numFmt w:val="bullet"/>
      <w:lvlText w:val="•"/>
      <w:lvlJc w:val="left"/>
      <w:pPr>
        <w:ind w:left="3023" w:hanging="125"/>
      </w:pPr>
      <w:rPr>
        <w:rFonts w:hint="default"/>
        <w:lang w:val="ro-RO" w:eastAsia="en-US" w:bidi="ar-SA"/>
      </w:rPr>
    </w:lvl>
  </w:abstractNum>
  <w:abstractNum w:abstractNumId="21" w15:restartNumberingAfterBreak="0">
    <w:nsid w:val="0E2858A5"/>
    <w:multiLevelType w:val="hybridMultilevel"/>
    <w:tmpl w:val="0CC6809A"/>
    <w:lvl w:ilvl="0" w:tplc="256C0476">
      <w:numFmt w:val="bullet"/>
      <w:lvlText w:val="-"/>
      <w:lvlJc w:val="left"/>
      <w:pPr>
        <w:ind w:left="36" w:hanging="128"/>
      </w:pPr>
      <w:rPr>
        <w:rFonts w:ascii="Times New Roman" w:eastAsia="Times New Roman" w:hAnsi="Times New Roman" w:cs="Times New Roman" w:hint="default"/>
        <w:w w:val="100"/>
        <w:sz w:val="22"/>
        <w:szCs w:val="22"/>
        <w:lang w:val="ro-RO" w:eastAsia="en-US" w:bidi="ar-SA"/>
      </w:rPr>
    </w:lvl>
    <w:lvl w:ilvl="1" w:tplc="6900A5F6">
      <w:numFmt w:val="bullet"/>
      <w:lvlText w:val="•"/>
      <w:lvlJc w:val="left"/>
      <w:pPr>
        <w:ind w:left="275" w:hanging="128"/>
      </w:pPr>
      <w:rPr>
        <w:rFonts w:hint="default"/>
        <w:lang w:val="ro-RO" w:eastAsia="en-US" w:bidi="ar-SA"/>
      </w:rPr>
    </w:lvl>
    <w:lvl w:ilvl="2" w:tplc="42B8EE4C">
      <w:numFmt w:val="bullet"/>
      <w:lvlText w:val="•"/>
      <w:lvlJc w:val="left"/>
      <w:pPr>
        <w:ind w:left="511" w:hanging="128"/>
      </w:pPr>
      <w:rPr>
        <w:rFonts w:hint="default"/>
        <w:lang w:val="ro-RO" w:eastAsia="en-US" w:bidi="ar-SA"/>
      </w:rPr>
    </w:lvl>
    <w:lvl w:ilvl="3" w:tplc="A1FE2EB6">
      <w:numFmt w:val="bullet"/>
      <w:lvlText w:val="•"/>
      <w:lvlJc w:val="left"/>
      <w:pPr>
        <w:ind w:left="747" w:hanging="128"/>
      </w:pPr>
      <w:rPr>
        <w:rFonts w:hint="default"/>
        <w:lang w:val="ro-RO" w:eastAsia="en-US" w:bidi="ar-SA"/>
      </w:rPr>
    </w:lvl>
    <w:lvl w:ilvl="4" w:tplc="51D83768">
      <w:numFmt w:val="bullet"/>
      <w:lvlText w:val="•"/>
      <w:lvlJc w:val="left"/>
      <w:pPr>
        <w:ind w:left="983" w:hanging="128"/>
      </w:pPr>
      <w:rPr>
        <w:rFonts w:hint="default"/>
        <w:lang w:val="ro-RO" w:eastAsia="en-US" w:bidi="ar-SA"/>
      </w:rPr>
    </w:lvl>
    <w:lvl w:ilvl="5" w:tplc="E93AD962">
      <w:numFmt w:val="bullet"/>
      <w:lvlText w:val="•"/>
      <w:lvlJc w:val="left"/>
      <w:pPr>
        <w:ind w:left="1219" w:hanging="128"/>
      </w:pPr>
      <w:rPr>
        <w:rFonts w:hint="default"/>
        <w:lang w:val="ro-RO" w:eastAsia="en-US" w:bidi="ar-SA"/>
      </w:rPr>
    </w:lvl>
    <w:lvl w:ilvl="6" w:tplc="09600A9A">
      <w:numFmt w:val="bullet"/>
      <w:lvlText w:val="•"/>
      <w:lvlJc w:val="left"/>
      <w:pPr>
        <w:ind w:left="1455" w:hanging="128"/>
      </w:pPr>
      <w:rPr>
        <w:rFonts w:hint="default"/>
        <w:lang w:val="ro-RO" w:eastAsia="en-US" w:bidi="ar-SA"/>
      </w:rPr>
    </w:lvl>
    <w:lvl w:ilvl="7" w:tplc="F2AC4C80">
      <w:numFmt w:val="bullet"/>
      <w:lvlText w:val="•"/>
      <w:lvlJc w:val="left"/>
      <w:pPr>
        <w:ind w:left="1691" w:hanging="128"/>
      </w:pPr>
      <w:rPr>
        <w:rFonts w:hint="default"/>
        <w:lang w:val="ro-RO" w:eastAsia="en-US" w:bidi="ar-SA"/>
      </w:rPr>
    </w:lvl>
    <w:lvl w:ilvl="8" w:tplc="513E2292">
      <w:numFmt w:val="bullet"/>
      <w:lvlText w:val="•"/>
      <w:lvlJc w:val="left"/>
      <w:pPr>
        <w:ind w:left="1927" w:hanging="128"/>
      </w:pPr>
      <w:rPr>
        <w:rFonts w:hint="default"/>
        <w:lang w:val="ro-RO" w:eastAsia="en-US" w:bidi="ar-SA"/>
      </w:rPr>
    </w:lvl>
  </w:abstractNum>
  <w:abstractNum w:abstractNumId="22" w15:restartNumberingAfterBreak="0">
    <w:nsid w:val="10F2543C"/>
    <w:multiLevelType w:val="hybridMultilevel"/>
    <w:tmpl w:val="AB78B6E2"/>
    <w:lvl w:ilvl="0" w:tplc="9392D6A6">
      <w:numFmt w:val="bullet"/>
      <w:lvlText w:val="-"/>
      <w:lvlJc w:val="left"/>
      <w:pPr>
        <w:ind w:left="366" w:hanging="140"/>
      </w:pPr>
      <w:rPr>
        <w:rFonts w:ascii="Times New Roman" w:eastAsia="Times New Roman" w:hAnsi="Times New Roman" w:cs="Times New Roman" w:hint="default"/>
        <w:w w:val="99"/>
        <w:sz w:val="24"/>
        <w:szCs w:val="24"/>
        <w:lang w:val="ro-RO" w:eastAsia="en-US" w:bidi="ar-SA"/>
      </w:rPr>
    </w:lvl>
    <w:lvl w:ilvl="1" w:tplc="1AC43F3C">
      <w:numFmt w:val="bullet"/>
      <w:lvlText w:val="•"/>
      <w:lvlJc w:val="left"/>
      <w:pPr>
        <w:ind w:left="1033" w:hanging="140"/>
      </w:pPr>
      <w:rPr>
        <w:rFonts w:hint="default"/>
        <w:lang w:val="ro-RO" w:eastAsia="en-US" w:bidi="ar-SA"/>
      </w:rPr>
    </w:lvl>
    <w:lvl w:ilvl="2" w:tplc="7060A4FE">
      <w:numFmt w:val="bullet"/>
      <w:lvlText w:val="•"/>
      <w:lvlJc w:val="left"/>
      <w:pPr>
        <w:ind w:left="1706" w:hanging="140"/>
      </w:pPr>
      <w:rPr>
        <w:rFonts w:hint="default"/>
        <w:lang w:val="ro-RO" w:eastAsia="en-US" w:bidi="ar-SA"/>
      </w:rPr>
    </w:lvl>
    <w:lvl w:ilvl="3" w:tplc="4172FD54">
      <w:numFmt w:val="bullet"/>
      <w:lvlText w:val="•"/>
      <w:lvlJc w:val="left"/>
      <w:pPr>
        <w:ind w:left="2379" w:hanging="140"/>
      </w:pPr>
      <w:rPr>
        <w:rFonts w:hint="default"/>
        <w:lang w:val="ro-RO" w:eastAsia="en-US" w:bidi="ar-SA"/>
      </w:rPr>
    </w:lvl>
    <w:lvl w:ilvl="4" w:tplc="25E2AE4E">
      <w:numFmt w:val="bullet"/>
      <w:lvlText w:val="•"/>
      <w:lvlJc w:val="left"/>
      <w:pPr>
        <w:ind w:left="3052" w:hanging="140"/>
      </w:pPr>
      <w:rPr>
        <w:rFonts w:hint="default"/>
        <w:lang w:val="ro-RO" w:eastAsia="en-US" w:bidi="ar-SA"/>
      </w:rPr>
    </w:lvl>
    <w:lvl w:ilvl="5" w:tplc="7D2ECE9E">
      <w:numFmt w:val="bullet"/>
      <w:lvlText w:val="•"/>
      <w:lvlJc w:val="left"/>
      <w:pPr>
        <w:ind w:left="3725" w:hanging="140"/>
      </w:pPr>
      <w:rPr>
        <w:rFonts w:hint="default"/>
        <w:lang w:val="ro-RO" w:eastAsia="en-US" w:bidi="ar-SA"/>
      </w:rPr>
    </w:lvl>
    <w:lvl w:ilvl="6" w:tplc="30CC4D3C">
      <w:numFmt w:val="bullet"/>
      <w:lvlText w:val="•"/>
      <w:lvlJc w:val="left"/>
      <w:pPr>
        <w:ind w:left="4398" w:hanging="140"/>
      </w:pPr>
      <w:rPr>
        <w:rFonts w:hint="default"/>
        <w:lang w:val="ro-RO" w:eastAsia="en-US" w:bidi="ar-SA"/>
      </w:rPr>
    </w:lvl>
    <w:lvl w:ilvl="7" w:tplc="585ACFC4">
      <w:numFmt w:val="bullet"/>
      <w:lvlText w:val="•"/>
      <w:lvlJc w:val="left"/>
      <w:pPr>
        <w:ind w:left="5071" w:hanging="140"/>
      </w:pPr>
      <w:rPr>
        <w:rFonts w:hint="default"/>
        <w:lang w:val="ro-RO" w:eastAsia="en-US" w:bidi="ar-SA"/>
      </w:rPr>
    </w:lvl>
    <w:lvl w:ilvl="8" w:tplc="0EE60602">
      <w:numFmt w:val="bullet"/>
      <w:lvlText w:val="•"/>
      <w:lvlJc w:val="left"/>
      <w:pPr>
        <w:ind w:left="5744" w:hanging="140"/>
      </w:pPr>
      <w:rPr>
        <w:rFonts w:hint="default"/>
        <w:lang w:val="ro-RO" w:eastAsia="en-US" w:bidi="ar-SA"/>
      </w:rPr>
    </w:lvl>
  </w:abstractNum>
  <w:abstractNum w:abstractNumId="23" w15:restartNumberingAfterBreak="0">
    <w:nsid w:val="115A506D"/>
    <w:multiLevelType w:val="hybridMultilevel"/>
    <w:tmpl w:val="4246E152"/>
    <w:lvl w:ilvl="0" w:tplc="9A761ADC">
      <w:numFmt w:val="bullet"/>
      <w:lvlText w:val=""/>
      <w:lvlJc w:val="left"/>
      <w:pPr>
        <w:ind w:left="828" w:hanging="327"/>
      </w:pPr>
      <w:rPr>
        <w:rFonts w:ascii="Symbol" w:eastAsia="Symbol" w:hAnsi="Symbol" w:cs="Symbol" w:hint="default"/>
        <w:w w:val="100"/>
        <w:sz w:val="24"/>
        <w:szCs w:val="24"/>
        <w:lang w:val="ro-RO" w:eastAsia="en-US" w:bidi="ar-SA"/>
      </w:rPr>
    </w:lvl>
    <w:lvl w:ilvl="1" w:tplc="C3B6BF70">
      <w:numFmt w:val="bullet"/>
      <w:lvlText w:val="•"/>
      <w:lvlJc w:val="left"/>
      <w:pPr>
        <w:ind w:left="1519" w:hanging="327"/>
      </w:pPr>
      <w:rPr>
        <w:rFonts w:hint="default"/>
        <w:lang w:val="ro-RO" w:eastAsia="en-US" w:bidi="ar-SA"/>
      </w:rPr>
    </w:lvl>
    <w:lvl w:ilvl="2" w:tplc="AB30BE1E">
      <w:numFmt w:val="bullet"/>
      <w:lvlText w:val="•"/>
      <w:lvlJc w:val="left"/>
      <w:pPr>
        <w:ind w:left="2219" w:hanging="327"/>
      </w:pPr>
      <w:rPr>
        <w:rFonts w:hint="default"/>
        <w:lang w:val="ro-RO" w:eastAsia="en-US" w:bidi="ar-SA"/>
      </w:rPr>
    </w:lvl>
    <w:lvl w:ilvl="3" w:tplc="2EF6DE72">
      <w:numFmt w:val="bullet"/>
      <w:lvlText w:val="•"/>
      <w:lvlJc w:val="left"/>
      <w:pPr>
        <w:ind w:left="2918" w:hanging="327"/>
      </w:pPr>
      <w:rPr>
        <w:rFonts w:hint="default"/>
        <w:lang w:val="ro-RO" w:eastAsia="en-US" w:bidi="ar-SA"/>
      </w:rPr>
    </w:lvl>
    <w:lvl w:ilvl="4" w:tplc="7CF0808E">
      <w:numFmt w:val="bullet"/>
      <w:lvlText w:val="•"/>
      <w:lvlJc w:val="left"/>
      <w:pPr>
        <w:ind w:left="3618" w:hanging="327"/>
      </w:pPr>
      <w:rPr>
        <w:rFonts w:hint="default"/>
        <w:lang w:val="ro-RO" w:eastAsia="en-US" w:bidi="ar-SA"/>
      </w:rPr>
    </w:lvl>
    <w:lvl w:ilvl="5" w:tplc="5F4AEDBE">
      <w:numFmt w:val="bullet"/>
      <w:lvlText w:val="•"/>
      <w:lvlJc w:val="left"/>
      <w:pPr>
        <w:ind w:left="4318" w:hanging="327"/>
      </w:pPr>
      <w:rPr>
        <w:rFonts w:hint="default"/>
        <w:lang w:val="ro-RO" w:eastAsia="en-US" w:bidi="ar-SA"/>
      </w:rPr>
    </w:lvl>
    <w:lvl w:ilvl="6" w:tplc="24DEB210">
      <w:numFmt w:val="bullet"/>
      <w:lvlText w:val="•"/>
      <w:lvlJc w:val="left"/>
      <w:pPr>
        <w:ind w:left="5017" w:hanging="327"/>
      </w:pPr>
      <w:rPr>
        <w:rFonts w:hint="default"/>
        <w:lang w:val="ro-RO" w:eastAsia="en-US" w:bidi="ar-SA"/>
      </w:rPr>
    </w:lvl>
    <w:lvl w:ilvl="7" w:tplc="B18AB31A">
      <w:numFmt w:val="bullet"/>
      <w:lvlText w:val="•"/>
      <w:lvlJc w:val="left"/>
      <w:pPr>
        <w:ind w:left="5717" w:hanging="327"/>
      </w:pPr>
      <w:rPr>
        <w:rFonts w:hint="default"/>
        <w:lang w:val="ro-RO" w:eastAsia="en-US" w:bidi="ar-SA"/>
      </w:rPr>
    </w:lvl>
    <w:lvl w:ilvl="8" w:tplc="6FA23C02">
      <w:numFmt w:val="bullet"/>
      <w:lvlText w:val="•"/>
      <w:lvlJc w:val="left"/>
      <w:pPr>
        <w:ind w:left="6416" w:hanging="327"/>
      </w:pPr>
      <w:rPr>
        <w:rFonts w:hint="default"/>
        <w:lang w:val="ro-RO" w:eastAsia="en-US" w:bidi="ar-SA"/>
      </w:rPr>
    </w:lvl>
  </w:abstractNum>
  <w:abstractNum w:abstractNumId="24" w15:restartNumberingAfterBreak="0">
    <w:nsid w:val="1261370E"/>
    <w:multiLevelType w:val="hybridMultilevel"/>
    <w:tmpl w:val="C742E12C"/>
    <w:lvl w:ilvl="0" w:tplc="D96CA50A">
      <w:numFmt w:val="bullet"/>
      <w:lvlText w:val="-"/>
      <w:lvlJc w:val="left"/>
      <w:pPr>
        <w:ind w:left="108" w:hanging="125"/>
      </w:pPr>
      <w:rPr>
        <w:rFonts w:ascii="Times New Roman" w:eastAsia="Times New Roman" w:hAnsi="Times New Roman" w:cs="Times New Roman" w:hint="default"/>
        <w:w w:val="100"/>
        <w:sz w:val="22"/>
        <w:szCs w:val="22"/>
        <w:lang w:val="ro-RO" w:eastAsia="en-US" w:bidi="ar-SA"/>
      </w:rPr>
    </w:lvl>
    <w:lvl w:ilvl="1" w:tplc="1C4CDE98">
      <w:numFmt w:val="bullet"/>
      <w:lvlText w:val="•"/>
      <w:lvlJc w:val="left"/>
      <w:pPr>
        <w:ind w:left="515" w:hanging="125"/>
      </w:pPr>
      <w:rPr>
        <w:rFonts w:hint="default"/>
        <w:lang w:val="ro-RO" w:eastAsia="en-US" w:bidi="ar-SA"/>
      </w:rPr>
    </w:lvl>
    <w:lvl w:ilvl="2" w:tplc="2B88538E">
      <w:numFmt w:val="bullet"/>
      <w:lvlText w:val="•"/>
      <w:lvlJc w:val="left"/>
      <w:pPr>
        <w:ind w:left="931" w:hanging="125"/>
      </w:pPr>
      <w:rPr>
        <w:rFonts w:hint="default"/>
        <w:lang w:val="ro-RO" w:eastAsia="en-US" w:bidi="ar-SA"/>
      </w:rPr>
    </w:lvl>
    <w:lvl w:ilvl="3" w:tplc="C99CFE16">
      <w:numFmt w:val="bullet"/>
      <w:lvlText w:val="•"/>
      <w:lvlJc w:val="left"/>
      <w:pPr>
        <w:ind w:left="1347" w:hanging="125"/>
      </w:pPr>
      <w:rPr>
        <w:rFonts w:hint="default"/>
        <w:lang w:val="ro-RO" w:eastAsia="en-US" w:bidi="ar-SA"/>
      </w:rPr>
    </w:lvl>
    <w:lvl w:ilvl="4" w:tplc="4C3893B2">
      <w:numFmt w:val="bullet"/>
      <w:lvlText w:val="•"/>
      <w:lvlJc w:val="left"/>
      <w:pPr>
        <w:ind w:left="1762" w:hanging="125"/>
      </w:pPr>
      <w:rPr>
        <w:rFonts w:hint="default"/>
        <w:lang w:val="ro-RO" w:eastAsia="en-US" w:bidi="ar-SA"/>
      </w:rPr>
    </w:lvl>
    <w:lvl w:ilvl="5" w:tplc="78666A4A">
      <w:numFmt w:val="bullet"/>
      <w:lvlText w:val="•"/>
      <w:lvlJc w:val="left"/>
      <w:pPr>
        <w:ind w:left="2178" w:hanging="125"/>
      </w:pPr>
      <w:rPr>
        <w:rFonts w:hint="default"/>
        <w:lang w:val="ro-RO" w:eastAsia="en-US" w:bidi="ar-SA"/>
      </w:rPr>
    </w:lvl>
    <w:lvl w:ilvl="6" w:tplc="14289E44">
      <w:numFmt w:val="bullet"/>
      <w:lvlText w:val="•"/>
      <w:lvlJc w:val="left"/>
      <w:pPr>
        <w:ind w:left="2594" w:hanging="125"/>
      </w:pPr>
      <w:rPr>
        <w:rFonts w:hint="default"/>
        <w:lang w:val="ro-RO" w:eastAsia="en-US" w:bidi="ar-SA"/>
      </w:rPr>
    </w:lvl>
    <w:lvl w:ilvl="7" w:tplc="273A5BC4">
      <w:numFmt w:val="bullet"/>
      <w:lvlText w:val="•"/>
      <w:lvlJc w:val="left"/>
      <w:pPr>
        <w:ind w:left="3009" w:hanging="125"/>
      </w:pPr>
      <w:rPr>
        <w:rFonts w:hint="default"/>
        <w:lang w:val="ro-RO" w:eastAsia="en-US" w:bidi="ar-SA"/>
      </w:rPr>
    </w:lvl>
    <w:lvl w:ilvl="8" w:tplc="C3F2B2D6">
      <w:numFmt w:val="bullet"/>
      <w:lvlText w:val="•"/>
      <w:lvlJc w:val="left"/>
      <w:pPr>
        <w:ind w:left="3425" w:hanging="125"/>
      </w:pPr>
      <w:rPr>
        <w:rFonts w:hint="default"/>
        <w:lang w:val="ro-RO" w:eastAsia="en-US" w:bidi="ar-SA"/>
      </w:rPr>
    </w:lvl>
  </w:abstractNum>
  <w:abstractNum w:abstractNumId="25" w15:restartNumberingAfterBreak="0">
    <w:nsid w:val="13043942"/>
    <w:multiLevelType w:val="multilevel"/>
    <w:tmpl w:val="09FAFE40"/>
    <w:lvl w:ilvl="0">
      <w:numFmt w:val="bullet"/>
      <w:lvlText w:val="-"/>
      <w:lvlJc w:val="left"/>
      <w:pPr>
        <w:tabs>
          <w:tab w:val="num" w:pos="720"/>
        </w:tabs>
        <w:ind w:left="720" w:hanging="360"/>
      </w:pPr>
      <w:rPr>
        <w:rFonts w:ascii="Times New Roman" w:hAnsi="Times New Roman" w:cs="Times New Roman"/>
        <w:b/>
        <w:bCs/>
        <w:i/>
        <w:iCs/>
        <w:sz w:val="24"/>
        <w:szCs w:val="24"/>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26" w15:restartNumberingAfterBreak="0">
    <w:nsid w:val="149C6A25"/>
    <w:multiLevelType w:val="multilevel"/>
    <w:tmpl w:val="F454065C"/>
    <w:lvl w:ilvl="0">
      <w:start w:val="1"/>
      <w:numFmt w:val="decimal"/>
      <w:pStyle w:val="OTCap"/>
      <w:lvlText w:val="%1."/>
      <w:lvlJc w:val="left"/>
      <w:pPr>
        <w:ind w:left="1418" w:hanging="1418"/>
      </w:pPr>
      <w:rPr>
        <w:rFonts w:cs="Times New Roman" w:hint="default"/>
      </w:rPr>
    </w:lvl>
    <w:lvl w:ilvl="1">
      <w:start w:val="1"/>
      <w:numFmt w:val="decimal"/>
      <w:pStyle w:val="OTSubCap"/>
      <w:lvlText w:val="%1.%2."/>
      <w:lvlJc w:val="left"/>
      <w:pPr>
        <w:ind w:left="1418" w:hanging="1418"/>
      </w:pPr>
      <w:rPr>
        <w:rFonts w:cs="Times New Roman" w:hint="default"/>
      </w:rPr>
    </w:lvl>
    <w:lvl w:ilvl="2">
      <w:start w:val="1"/>
      <w:numFmt w:val="decimal"/>
      <w:pStyle w:val="OTSSubCap"/>
      <w:lvlText w:val="%1.%2.%3."/>
      <w:lvlJc w:val="right"/>
      <w:pPr>
        <w:ind w:left="1418" w:hanging="1418"/>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27" w15:restartNumberingAfterBreak="0">
    <w:nsid w:val="14AF20DA"/>
    <w:multiLevelType w:val="hybridMultilevel"/>
    <w:tmpl w:val="1DA80648"/>
    <w:lvl w:ilvl="0" w:tplc="6A6C159A">
      <w:numFmt w:val="bullet"/>
      <w:lvlText w:val="-"/>
      <w:lvlJc w:val="left"/>
      <w:pPr>
        <w:ind w:left="24" w:hanging="252"/>
      </w:pPr>
      <w:rPr>
        <w:rFonts w:ascii="Times New Roman" w:eastAsia="Times New Roman" w:hAnsi="Times New Roman" w:cs="Times New Roman" w:hint="default"/>
        <w:w w:val="100"/>
        <w:sz w:val="22"/>
        <w:szCs w:val="22"/>
        <w:lang w:val="ro-RO" w:eastAsia="en-US" w:bidi="ar-SA"/>
      </w:rPr>
    </w:lvl>
    <w:lvl w:ilvl="1" w:tplc="15CA3AF0">
      <w:numFmt w:val="bullet"/>
      <w:lvlText w:val="•"/>
      <w:lvlJc w:val="left"/>
      <w:pPr>
        <w:ind w:left="272" w:hanging="252"/>
      </w:pPr>
      <w:rPr>
        <w:rFonts w:hint="default"/>
        <w:lang w:val="ro-RO" w:eastAsia="en-US" w:bidi="ar-SA"/>
      </w:rPr>
    </w:lvl>
    <w:lvl w:ilvl="2" w:tplc="5308E576">
      <w:numFmt w:val="bullet"/>
      <w:lvlText w:val="•"/>
      <w:lvlJc w:val="left"/>
      <w:pPr>
        <w:ind w:left="524" w:hanging="252"/>
      </w:pPr>
      <w:rPr>
        <w:rFonts w:hint="default"/>
        <w:lang w:val="ro-RO" w:eastAsia="en-US" w:bidi="ar-SA"/>
      </w:rPr>
    </w:lvl>
    <w:lvl w:ilvl="3" w:tplc="6A60868C">
      <w:numFmt w:val="bullet"/>
      <w:lvlText w:val="•"/>
      <w:lvlJc w:val="left"/>
      <w:pPr>
        <w:ind w:left="776" w:hanging="252"/>
      </w:pPr>
      <w:rPr>
        <w:rFonts w:hint="default"/>
        <w:lang w:val="ro-RO" w:eastAsia="en-US" w:bidi="ar-SA"/>
      </w:rPr>
    </w:lvl>
    <w:lvl w:ilvl="4" w:tplc="41EA035C">
      <w:numFmt w:val="bullet"/>
      <w:lvlText w:val="•"/>
      <w:lvlJc w:val="left"/>
      <w:pPr>
        <w:ind w:left="1028" w:hanging="252"/>
      </w:pPr>
      <w:rPr>
        <w:rFonts w:hint="default"/>
        <w:lang w:val="ro-RO" w:eastAsia="en-US" w:bidi="ar-SA"/>
      </w:rPr>
    </w:lvl>
    <w:lvl w:ilvl="5" w:tplc="2FB2477C">
      <w:numFmt w:val="bullet"/>
      <w:lvlText w:val="•"/>
      <w:lvlJc w:val="left"/>
      <w:pPr>
        <w:ind w:left="1281" w:hanging="252"/>
      </w:pPr>
      <w:rPr>
        <w:rFonts w:hint="default"/>
        <w:lang w:val="ro-RO" w:eastAsia="en-US" w:bidi="ar-SA"/>
      </w:rPr>
    </w:lvl>
    <w:lvl w:ilvl="6" w:tplc="F5789DE4">
      <w:numFmt w:val="bullet"/>
      <w:lvlText w:val="•"/>
      <w:lvlJc w:val="left"/>
      <w:pPr>
        <w:ind w:left="1533" w:hanging="252"/>
      </w:pPr>
      <w:rPr>
        <w:rFonts w:hint="default"/>
        <w:lang w:val="ro-RO" w:eastAsia="en-US" w:bidi="ar-SA"/>
      </w:rPr>
    </w:lvl>
    <w:lvl w:ilvl="7" w:tplc="D026EF5C">
      <w:numFmt w:val="bullet"/>
      <w:lvlText w:val="•"/>
      <w:lvlJc w:val="left"/>
      <w:pPr>
        <w:ind w:left="1785" w:hanging="252"/>
      </w:pPr>
      <w:rPr>
        <w:rFonts w:hint="default"/>
        <w:lang w:val="ro-RO" w:eastAsia="en-US" w:bidi="ar-SA"/>
      </w:rPr>
    </w:lvl>
    <w:lvl w:ilvl="8" w:tplc="45D2F33A">
      <w:numFmt w:val="bullet"/>
      <w:lvlText w:val="•"/>
      <w:lvlJc w:val="left"/>
      <w:pPr>
        <w:ind w:left="2037" w:hanging="252"/>
      </w:pPr>
      <w:rPr>
        <w:rFonts w:hint="default"/>
        <w:lang w:val="ro-RO" w:eastAsia="en-US" w:bidi="ar-SA"/>
      </w:rPr>
    </w:lvl>
  </w:abstractNum>
  <w:abstractNum w:abstractNumId="28" w15:restartNumberingAfterBreak="0">
    <w:nsid w:val="161C7007"/>
    <w:multiLevelType w:val="hybridMultilevel"/>
    <w:tmpl w:val="1D62A2F2"/>
    <w:lvl w:ilvl="0" w:tplc="B5BECAEE">
      <w:numFmt w:val="bullet"/>
      <w:lvlText w:val="-"/>
      <w:lvlJc w:val="left"/>
      <w:pPr>
        <w:ind w:left="467" w:hanging="360"/>
      </w:pPr>
      <w:rPr>
        <w:rFonts w:ascii="Calibri" w:eastAsia="Calibri" w:hAnsi="Calibri" w:cs="Calibri" w:hint="default"/>
        <w:w w:val="100"/>
        <w:sz w:val="24"/>
        <w:szCs w:val="24"/>
        <w:lang w:val="ro-RO" w:eastAsia="en-US" w:bidi="ar-SA"/>
      </w:rPr>
    </w:lvl>
    <w:lvl w:ilvl="1" w:tplc="A02095E8">
      <w:start w:val="1"/>
      <w:numFmt w:val="decimal"/>
      <w:lvlText w:val="%2."/>
      <w:lvlJc w:val="left"/>
      <w:pPr>
        <w:ind w:left="828" w:hanging="361"/>
      </w:pPr>
      <w:rPr>
        <w:rFonts w:hint="default"/>
        <w:w w:val="100"/>
        <w:lang w:val="ro-RO" w:eastAsia="en-US" w:bidi="ar-SA"/>
      </w:rPr>
    </w:lvl>
    <w:lvl w:ilvl="2" w:tplc="8348E3E8">
      <w:numFmt w:val="bullet"/>
      <w:lvlText w:val="•"/>
      <w:lvlJc w:val="left"/>
      <w:pPr>
        <w:ind w:left="1597" w:hanging="361"/>
      </w:pPr>
      <w:rPr>
        <w:rFonts w:hint="default"/>
        <w:lang w:val="ro-RO" w:eastAsia="en-US" w:bidi="ar-SA"/>
      </w:rPr>
    </w:lvl>
    <w:lvl w:ilvl="3" w:tplc="E498206A">
      <w:numFmt w:val="bullet"/>
      <w:lvlText w:val="•"/>
      <w:lvlJc w:val="left"/>
      <w:pPr>
        <w:ind w:left="2374" w:hanging="361"/>
      </w:pPr>
      <w:rPr>
        <w:rFonts w:hint="default"/>
        <w:lang w:val="ro-RO" w:eastAsia="en-US" w:bidi="ar-SA"/>
      </w:rPr>
    </w:lvl>
    <w:lvl w:ilvl="4" w:tplc="01EC1638">
      <w:numFmt w:val="bullet"/>
      <w:lvlText w:val="•"/>
      <w:lvlJc w:val="left"/>
      <w:pPr>
        <w:ind w:left="3152" w:hanging="361"/>
      </w:pPr>
      <w:rPr>
        <w:rFonts w:hint="default"/>
        <w:lang w:val="ro-RO" w:eastAsia="en-US" w:bidi="ar-SA"/>
      </w:rPr>
    </w:lvl>
    <w:lvl w:ilvl="5" w:tplc="E79860BE">
      <w:numFmt w:val="bullet"/>
      <w:lvlText w:val="•"/>
      <w:lvlJc w:val="left"/>
      <w:pPr>
        <w:ind w:left="3929" w:hanging="361"/>
      </w:pPr>
      <w:rPr>
        <w:rFonts w:hint="default"/>
        <w:lang w:val="ro-RO" w:eastAsia="en-US" w:bidi="ar-SA"/>
      </w:rPr>
    </w:lvl>
    <w:lvl w:ilvl="6" w:tplc="C03C769C">
      <w:numFmt w:val="bullet"/>
      <w:lvlText w:val="•"/>
      <w:lvlJc w:val="left"/>
      <w:pPr>
        <w:ind w:left="4706" w:hanging="361"/>
      </w:pPr>
      <w:rPr>
        <w:rFonts w:hint="default"/>
        <w:lang w:val="ro-RO" w:eastAsia="en-US" w:bidi="ar-SA"/>
      </w:rPr>
    </w:lvl>
    <w:lvl w:ilvl="7" w:tplc="C6880D5E">
      <w:numFmt w:val="bullet"/>
      <w:lvlText w:val="•"/>
      <w:lvlJc w:val="left"/>
      <w:pPr>
        <w:ind w:left="5484" w:hanging="361"/>
      </w:pPr>
      <w:rPr>
        <w:rFonts w:hint="default"/>
        <w:lang w:val="ro-RO" w:eastAsia="en-US" w:bidi="ar-SA"/>
      </w:rPr>
    </w:lvl>
    <w:lvl w:ilvl="8" w:tplc="3FFC0B4A">
      <w:numFmt w:val="bullet"/>
      <w:lvlText w:val="•"/>
      <w:lvlJc w:val="left"/>
      <w:pPr>
        <w:ind w:left="6261" w:hanging="361"/>
      </w:pPr>
      <w:rPr>
        <w:rFonts w:hint="default"/>
        <w:lang w:val="ro-RO" w:eastAsia="en-US" w:bidi="ar-SA"/>
      </w:rPr>
    </w:lvl>
  </w:abstractNum>
  <w:abstractNum w:abstractNumId="29" w15:restartNumberingAfterBreak="0">
    <w:nsid w:val="169506C4"/>
    <w:multiLevelType w:val="hybridMultilevel"/>
    <w:tmpl w:val="54C2E92E"/>
    <w:lvl w:ilvl="0" w:tplc="21DAFE04">
      <w:numFmt w:val="bullet"/>
      <w:lvlText w:val="-"/>
      <w:lvlJc w:val="left"/>
      <w:pPr>
        <w:ind w:left="22" w:hanging="258"/>
      </w:pPr>
      <w:rPr>
        <w:rFonts w:ascii="Times New Roman" w:eastAsia="Times New Roman" w:hAnsi="Times New Roman" w:cs="Times New Roman" w:hint="default"/>
        <w:w w:val="100"/>
        <w:sz w:val="22"/>
        <w:szCs w:val="22"/>
        <w:lang w:val="ro-RO" w:eastAsia="en-US" w:bidi="ar-SA"/>
      </w:rPr>
    </w:lvl>
    <w:lvl w:ilvl="1" w:tplc="7FC07998">
      <w:numFmt w:val="bullet"/>
      <w:lvlText w:val="•"/>
      <w:lvlJc w:val="left"/>
      <w:pPr>
        <w:ind w:left="273" w:hanging="258"/>
      </w:pPr>
      <w:rPr>
        <w:rFonts w:hint="default"/>
        <w:lang w:val="ro-RO" w:eastAsia="en-US" w:bidi="ar-SA"/>
      </w:rPr>
    </w:lvl>
    <w:lvl w:ilvl="2" w:tplc="51A81F5A">
      <w:numFmt w:val="bullet"/>
      <w:lvlText w:val="•"/>
      <w:lvlJc w:val="left"/>
      <w:pPr>
        <w:ind w:left="527" w:hanging="258"/>
      </w:pPr>
      <w:rPr>
        <w:rFonts w:hint="default"/>
        <w:lang w:val="ro-RO" w:eastAsia="en-US" w:bidi="ar-SA"/>
      </w:rPr>
    </w:lvl>
    <w:lvl w:ilvl="3" w:tplc="00261124">
      <w:numFmt w:val="bullet"/>
      <w:lvlText w:val="•"/>
      <w:lvlJc w:val="left"/>
      <w:pPr>
        <w:ind w:left="781" w:hanging="258"/>
      </w:pPr>
      <w:rPr>
        <w:rFonts w:hint="default"/>
        <w:lang w:val="ro-RO" w:eastAsia="en-US" w:bidi="ar-SA"/>
      </w:rPr>
    </w:lvl>
    <w:lvl w:ilvl="4" w:tplc="D11CAA52">
      <w:numFmt w:val="bullet"/>
      <w:lvlText w:val="•"/>
      <w:lvlJc w:val="left"/>
      <w:pPr>
        <w:ind w:left="1035" w:hanging="258"/>
      </w:pPr>
      <w:rPr>
        <w:rFonts w:hint="default"/>
        <w:lang w:val="ro-RO" w:eastAsia="en-US" w:bidi="ar-SA"/>
      </w:rPr>
    </w:lvl>
    <w:lvl w:ilvl="5" w:tplc="939E887C">
      <w:numFmt w:val="bullet"/>
      <w:lvlText w:val="•"/>
      <w:lvlJc w:val="left"/>
      <w:pPr>
        <w:ind w:left="1289" w:hanging="258"/>
      </w:pPr>
      <w:rPr>
        <w:rFonts w:hint="default"/>
        <w:lang w:val="ro-RO" w:eastAsia="en-US" w:bidi="ar-SA"/>
      </w:rPr>
    </w:lvl>
    <w:lvl w:ilvl="6" w:tplc="72EE97C0">
      <w:numFmt w:val="bullet"/>
      <w:lvlText w:val="•"/>
      <w:lvlJc w:val="left"/>
      <w:pPr>
        <w:ind w:left="1543" w:hanging="258"/>
      </w:pPr>
      <w:rPr>
        <w:rFonts w:hint="default"/>
        <w:lang w:val="ro-RO" w:eastAsia="en-US" w:bidi="ar-SA"/>
      </w:rPr>
    </w:lvl>
    <w:lvl w:ilvl="7" w:tplc="181C6816">
      <w:numFmt w:val="bullet"/>
      <w:lvlText w:val="•"/>
      <w:lvlJc w:val="left"/>
      <w:pPr>
        <w:ind w:left="1797" w:hanging="258"/>
      </w:pPr>
      <w:rPr>
        <w:rFonts w:hint="default"/>
        <w:lang w:val="ro-RO" w:eastAsia="en-US" w:bidi="ar-SA"/>
      </w:rPr>
    </w:lvl>
    <w:lvl w:ilvl="8" w:tplc="711A62F4">
      <w:numFmt w:val="bullet"/>
      <w:lvlText w:val="•"/>
      <w:lvlJc w:val="left"/>
      <w:pPr>
        <w:ind w:left="2051" w:hanging="258"/>
      </w:pPr>
      <w:rPr>
        <w:rFonts w:hint="default"/>
        <w:lang w:val="ro-RO" w:eastAsia="en-US" w:bidi="ar-SA"/>
      </w:rPr>
    </w:lvl>
  </w:abstractNum>
  <w:abstractNum w:abstractNumId="30" w15:restartNumberingAfterBreak="0">
    <w:nsid w:val="16B85558"/>
    <w:multiLevelType w:val="hybridMultilevel"/>
    <w:tmpl w:val="C7849B0C"/>
    <w:lvl w:ilvl="0" w:tplc="8490293C">
      <w:numFmt w:val="bullet"/>
      <w:lvlText w:val="-"/>
      <w:lvlJc w:val="left"/>
      <w:pPr>
        <w:ind w:left="22" w:hanging="258"/>
      </w:pPr>
      <w:rPr>
        <w:rFonts w:ascii="Times New Roman" w:eastAsia="Times New Roman" w:hAnsi="Times New Roman" w:cs="Times New Roman" w:hint="default"/>
        <w:w w:val="100"/>
        <w:sz w:val="22"/>
        <w:szCs w:val="22"/>
        <w:lang w:val="ro-RO" w:eastAsia="en-US" w:bidi="ar-SA"/>
      </w:rPr>
    </w:lvl>
    <w:lvl w:ilvl="1" w:tplc="33B627B6">
      <w:numFmt w:val="bullet"/>
      <w:lvlText w:val="•"/>
      <w:lvlJc w:val="left"/>
      <w:pPr>
        <w:ind w:left="273" w:hanging="258"/>
      </w:pPr>
      <w:rPr>
        <w:rFonts w:hint="default"/>
        <w:lang w:val="ro-RO" w:eastAsia="en-US" w:bidi="ar-SA"/>
      </w:rPr>
    </w:lvl>
    <w:lvl w:ilvl="2" w:tplc="E4A8C58E">
      <w:numFmt w:val="bullet"/>
      <w:lvlText w:val="•"/>
      <w:lvlJc w:val="left"/>
      <w:pPr>
        <w:ind w:left="527" w:hanging="258"/>
      </w:pPr>
      <w:rPr>
        <w:rFonts w:hint="default"/>
        <w:lang w:val="ro-RO" w:eastAsia="en-US" w:bidi="ar-SA"/>
      </w:rPr>
    </w:lvl>
    <w:lvl w:ilvl="3" w:tplc="861E8BCC">
      <w:numFmt w:val="bullet"/>
      <w:lvlText w:val="•"/>
      <w:lvlJc w:val="left"/>
      <w:pPr>
        <w:ind w:left="781" w:hanging="258"/>
      </w:pPr>
      <w:rPr>
        <w:rFonts w:hint="default"/>
        <w:lang w:val="ro-RO" w:eastAsia="en-US" w:bidi="ar-SA"/>
      </w:rPr>
    </w:lvl>
    <w:lvl w:ilvl="4" w:tplc="B2F63D4E">
      <w:numFmt w:val="bullet"/>
      <w:lvlText w:val="•"/>
      <w:lvlJc w:val="left"/>
      <w:pPr>
        <w:ind w:left="1035" w:hanging="258"/>
      </w:pPr>
      <w:rPr>
        <w:rFonts w:hint="default"/>
        <w:lang w:val="ro-RO" w:eastAsia="en-US" w:bidi="ar-SA"/>
      </w:rPr>
    </w:lvl>
    <w:lvl w:ilvl="5" w:tplc="3A60D5FA">
      <w:numFmt w:val="bullet"/>
      <w:lvlText w:val="•"/>
      <w:lvlJc w:val="left"/>
      <w:pPr>
        <w:ind w:left="1289" w:hanging="258"/>
      </w:pPr>
      <w:rPr>
        <w:rFonts w:hint="default"/>
        <w:lang w:val="ro-RO" w:eastAsia="en-US" w:bidi="ar-SA"/>
      </w:rPr>
    </w:lvl>
    <w:lvl w:ilvl="6" w:tplc="6068F8E8">
      <w:numFmt w:val="bullet"/>
      <w:lvlText w:val="•"/>
      <w:lvlJc w:val="left"/>
      <w:pPr>
        <w:ind w:left="1542" w:hanging="258"/>
      </w:pPr>
      <w:rPr>
        <w:rFonts w:hint="default"/>
        <w:lang w:val="ro-RO" w:eastAsia="en-US" w:bidi="ar-SA"/>
      </w:rPr>
    </w:lvl>
    <w:lvl w:ilvl="7" w:tplc="649C31C2">
      <w:numFmt w:val="bullet"/>
      <w:lvlText w:val="•"/>
      <w:lvlJc w:val="left"/>
      <w:pPr>
        <w:ind w:left="1796" w:hanging="258"/>
      </w:pPr>
      <w:rPr>
        <w:rFonts w:hint="default"/>
        <w:lang w:val="ro-RO" w:eastAsia="en-US" w:bidi="ar-SA"/>
      </w:rPr>
    </w:lvl>
    <w:lvl w:ilvl="8" w:tplc="2BDA910A">
      <w:numFmt w:val="bullet"/>
      <w:lvlText w:val="•"/>
      <w:lvlJc w:val="left"/>
      <w:pPr>
        <w:ind w:left="2050" w:hanging="258"/>
      </w:pPr>
      <w:rPr>
        <w:rFonts w:hint="default"/>
        <w:lang w:val="ro-RO" w:eastAsia="en-US" w:bidi="ar-SA"/>
      </w:rPr>
    </w:lvl>
  </w:abstractNum>
  <w:abstractNum w:abstractNumId="31" w15:restartNumberingAfterBreak="0">
    <w:nsid w:val="17152FEC"/>
    <w:multiLevelType w:val="hybridMultilevel"/>
    <w:tmpl w:val="3922203A"/>
    <w:lvl w:ilvl="0" w:tplc="C7943124">
      <w:numFmt w:val="bullet"/>
      <w:lvlText w:val="-"/>
      <w:lvlJc w:val="left"/>
      <w:pPr>
        <w:ind w:left="366" w:hanging="140"/>
      </w:pPr>
      <w:rPr>
        <w:rFonts w:ascii="Times New Roman" w:eastAsia="Times New Roman" w:hAnsi="Times New Roman" w:cs="Times New Roman" w:hint="default"/>
        <w:w w:val="99"/>
        <w:sz w:val="24"/>
        <w:szCs w:val="24"/>
        <w:lang w:val="ro-RO" w:eastAsia="en-US" w:bidi="ar-SA"/>
      </w:rPr>
    </w:lvl>
    <w:lvl w:ilvl="1" w:tplc="BACA531C">
      <w:numFmt w:val="bullet"/>
      <w:lvlText w:val="•"/>
      <w:lvlJc w:val="left"/>
      <w:pPr>
        <w:ind w:left="1033" w:hanging="140"/>
      </w:pPr>
      <w:rPr>
        <w:rFonts w:hint="default"/>
        <w:lang w:val="ro-RO" w:eastAsia="en-US" w:bidi="ar-SA"/>
      </w:rPr>
    </w:lvl>
    <w:lvl w:ilvl="2" w:tplc="BEFEB37C">
      <w:numFmt w:val="bullet"/>
      <w:lvlText w:val="•"/>
      <w:lvlJc w:val="left"/>
      <w:pPr>
        <w:ind w:left="1706" w:hanging="140"/>
      </w:pPr>
      <w:rPr>
        <w:rFonts w:hint="default"/>
        <w:lang w:val="ro-RO" w:eastAsia="en-US" w:bidi="ar-SA"/>
      </w:rPr>
    </w:lvl>
    <w:lvl w:ilvl="3" w:tplc="18421CD6">
      <w:numFmt w:val="bullet"/>
      <w:lvlText w:val="•"/>
      <w:lvlJc w:val="left"/>
      <w:pPr>
        <w:ind w:left="2379" w:hanging="140"/>
      </w:pPr>
      <w:rPr>
        <w:rFonts w:hint="default"/>
        <w:lang w:val="ro-RO" w:eastAsia="en-US" w:bidi="ar-SA"/>
      </w:rPr>
    </w:lvl>
    <w:lvl w:ilvl="4" w:tplc="A1CED756">
      <w:numFmt w:val="bullet"/>
      <w:lvlText w:val="•"/>
      <w:lvlJc w:val="left"/>
      <w:pPr>
        <w:ind w:left="3052" w:hanging="140"/>
      </w:pPr>
      <w:rPr>
        <w:rFonts w:hint="default"/>
        <w:lang w:val="ro-RO" w:eastAsia="en-US" w:bidi="ar-SA"/>
      </w:rPr>
    </w:lvl>
    <w:lvl w:ilvl="5" w:tplc="A90A6ED6">
      <w:numFmt w:val="bullet"/>
      <w:lvlText w:val="•"/>
      <w:lvlJc w:val="left"/>
      <w:pPr>
        <w:ind w:left="3725" w:hanging="140"/>
      </w:pPr>
      <w:rPr>
        <w:rFonts w:hint="default"/>
        <w:lang w:val="ro-RO" w:eastAsia="en-US" w:bidi="ar-SA"/>
      </w:rPr>
    </w:lvl>
    <w:lvl w:ilvl="6" w:tplc="799E0C90">
      <w:numFmt w:val="bullet"/>
      <w:lvlText w:val="•"/>
      <w:lvlJc w:val="left"/>
      <w:pPr>
        <w:ind w:left="4398" w:hanging="140"/>
      </w:pPr>
      <w:rPr>
        <w:rFonts w:hint="default"/>
        <w:lang w:val="ro-RO" w:eastAsia="en-US" w:bidi="ar-SA"/>
      </w:rPr>
    </w:lvl>
    <w:lvl w:ilvl="7" w:tplc="37CAAB5A">
      <w:numFmt w:val="bullet"/>
      <w:lvlText w:val="•"/>
      <w:lvlJc w:val="left"/>
      <w:pPr>
        <w:ind w:left="5071" w:hanging="140"/>
      </w:pPr>
      <w:rPr>
        <w:rFonts w:hint="default"/>
        <w:lang w:val="ro-RO" w:eastAsia="en-US" w:bidi="ar-SA"/>
      </w:rPr>
    </w:lvl>
    <w:lvl w:ilvl="8" w:tplc="19868174">
      <w:numFmt w:val="bullet"/>
      <w:lvlText w:val="•"/>
      <w:lvlJc w:val="left"/>
      <w:pPr>
        <w:ind w:left="5744" w:hanging="140"/>
      </w:pPr>
      <w:rPr>
        <w:rFonts w:hint="default"/>
        <w:lang w:val="ro-RO" w:eastAsia="en-US" w:bidi="ar-SA"/>
      </w:rPr>
    </w:lvl>
  </w:abstractNum>
  <w:abstractNum w:abstractNumId="32" w15:restartNumberingAfterBreak="0">
    <w:nsid w:val="17887838"/>
    <w:multiLevelType w:val="hybridMultilevel"/>
    <w:tmpl w:val="84EA9B34"/>
    <w:lvl w:ilvl="0" w:tplc="AC629E76">
      <w:numFmt w:val="bullet"/>
      <w:lvlText w:val="-"/>
      <w:lvlJc w:val="left"/>
      <w:pPr>
        <w:ind w:left="107" w:hanging="361"/>
      </w:pPr>
      <w:rPr>
        <w:rFonts w:ascii="Calibri" w:eastAsia="Calibri" w:hAnsi="Calibri" w:cs="Calibri" w:hint="default"/>
        <w:w w:val="100"/>
        <w:sz w:val="24"/>
        <w:szCs w:val="24"/>
        <w:lang w:val="ro-RO" w:eastAsia="en-US" w:bidi="ar-SA"/>
      </w:rPr>
    </w:lvl>
    <w:lvl w:ilvl="1" w:tplc="AAE47A56">
      <w:numFmt w:val="bullet"/>
      <w:lvlText w:val="•"/>
      <w:lvlJc w:val="left"/>
      <w:pPr>
        <w:ind w:left="837" w:hanging="361"/>
      </w:pPr>
      <w:rPr>
        <w:rFonts w:hint="default"/>
        <w:lang w:val="ro-RO" w:eastAsia="en-US" w:bidi="ar-SA"/>
      </w:rPr>
    </w:lvl>
    <w:lvl w:ilvl="2" w:tplc="CB5066A4">
      <w:numFmt w:val="bullet"/>
      <w:lvlText w:val="•"/>
      <w:lvlJc w:val="left"/>
      <w:pPr>
        <w:ind w:left="1574" w:hanging="361"/>
      </w:pPr>
      <w:rPr>
        <w:rFonts w:hint="default"/>
        <w:lang w:val="ro-RO" w:eastAsia="en-US" w:bidi="ar-SA"/>
      </w:rPr>
    </w:lvl>
    <w:lvl w:ilvl="3" w:tplc="23B8960C">
      <w:numFmt w:val="bullet"/>
      <w:lvlText w:val="•"/>
      <w:lvlJc w:val="left"/>
      <w:pPr>
        <w:ind w:left="2311" w:hanging="361"/>
      </w:pPr>
      <w:rPr>
        <w:rFonts w:hint="default"/>
        <w:lang w:val="ro-RO" w:eastAsia="en-US" w:bidi="ar-SA"/>
      </w:rPr>
    </w:lvl>
    <w:lvl w:ilvl="4" w:tplc="C3D43284">
      <w:numFmt w:val="bullet"/>
      <w:lvlText w:val="•"/>
      <w:lvlJc w:val="left"/>
      <w:pPr>
        <w:ind w:left="3048" w:hanging="361"/>
      </w:pPr>
      <w:rPr>
        <w:rFonts w:hint="default"/>
        <w:lang w:val="ro-RO" w:eastAsia="en-US" w:bidi="ar-SA"/>
      </w:rPr>
    </w:lvl>
    <w:lvl w:ilvl="5" w:tplc="6652D362">
      <w:numFmt w:val="bullet"/>
      <w:lvlText w:val="•"/>
      <w:lvlJc w:val="left"/>
      <w:pPr>
        <w:ind w:left="3785" w:hanging="361"/>
      </w:pPr>
      <w:rPr>
        <w:rFonts w:hint="default"/>
        <w:lang w:val="ro-RO" w:eastAsia="en-US" w:bidi="ar-SA"/>
      </w:rPr>
    </w:lvl>
    <w:lvl w:ilvl="6" w:tplc="EBF81E6E">
      <w:numFmt w:val="bullet"/>
      <w:lvlText w:val="•"/>
      <w:lvlJc w:val="left"/>
      <w:pPr>
        <w:ind w:left="4522" w:hanging="361"/>
      </w:pPr>
      <w:rPr>
        <w:rFonts w:hint="default"/>
        <w:lang w:val="ro-RO" w:eastAsia="en-US" w:bidi="ar-SA"/>
      </w:rPr>
    </w:lvl>
    <w:lvl w:ilvl="7" w:tplc="D616B9AE">
      <w:numFmt w:val="bullet"/>
      <w:lvlText w:val="•"/>
      <w:lvlJc w:val="left"/>
      <w:pPr>
        <w:ind w:left="5259" w:hanging="361"/>
      </w:pPr>
      <w:rPr>
        <w:rFonts w:hint="default"/>
        <w:lang w:val="ro-RO" w:eastAsia="en-US" w:bidi="ar-SA"/>
      </w:rPr>
    </w:lvl>
    <w:lvl w:ilvl="8" w:tplc="C7409960">
      <w:numFmt w:val="bullet"/>
      <w:lvlText w:val="•"/>
      <w:lvlJc w:val="left"/>
      <w:pPr>
        <w:ind w:left="5996" w:hanging="361"/>
      </w:pPr>
      <w:rPr>
        <w:rFonts w:hint="default"/>
        <w:lang w:val="ro-RO" w:eastAsia="en-US" w:bidi="ar-SA"/>
      </w:rPr>
    </w:lvl>
  </w:abstractNum>
  <w:abstractNum w:abstractNumId="33" w15:restartNumberingAfterBreak="0">
    <w:nsid w:val="18E95545"/>
    <w:multiLevelType w:val="hybridMultilevel"/>
    <w:tmpl w:val="EDCEAA4A"/>
    <w:lvl w:ilvl="0" w:tplc="898657D2">
      <w:numFmt w:val="bullet"/>
      <w:lvlText w:val="-"/>
      <w:lvlJc w:val="left"/>
      <w:pPr>
        <w:ind w:left="24" w:hanging="252"/>
      </w:pPr>
      <w:rPr>
        <w:rFonts w:ascii="Times New Roman" w:eastAsia="Times New Roman" w:hAnsi="Times New Roman" w:cs="Times New Roman" w:hint="default"/>
        <w:w w:val="100"/>
        <w:sz w:val="22"/>
        <w:szCs w:val="22"/>
        <w:lang w:val="ro-RO" w:eastAsia="en-US" w:bidi="ar-SA"/>
      </w:rPr>
    </w:lvl>
    <w:lvl w:ilvl="1" w:tplc="968AC9C2">
      <w:numFmt w:val="bullet"/>
      <w:lvlText w:val="•"/>
      <w:lvlJc w:val="left"/>
      <w:pPr>
        <w:ind w:left="272" w:hanging="252"/>
      </w:pPr>
      <w:rPr>
        <w:rFonts w:hint="default"/>
        <w:lang w:val="ro-RO" w:eastAsia="en-US" w:bidi="ar-SA"/>
      </w:rPr>
    </w:lvl>
    <w:lvl w:ilvl="2" w:tplc="A072C850">
      <w:numFmt w:val="bullet"/>
      <w:lvlText w:val="•"/>
      <w:lvlJc w:val="left"/>
      <w:pPr>
        <w:ind w:left="524" w:hanging="252"/>
      </w:pPr>
      <w:rPr>
        <w:rFonts w:hint="default"/>
        <w:lang w:val="ro-RO" w:eastAsia="en-US" w:bidi="ar-SA"/>
      </w:rPr>
    </w:lvl>
    <w:lvl w:ilvl="3" w:tplc="593491D6">
      <w:numFmt w:val="bullet"/>
      <w:lvlText w:val="•"/>
      <w:lvlJc w:val="left"/>
      <w:pPr>
        <w:ind w:left="776" w:hanging="252"/>
      </w:pPr>
      <w:rPr>
        <w:rFonts w:hint="default"/>
        <w:lang w:val="ro-RO" w:eastAsia="en-US" w:bidi="ar-SA"/>
      </w:rPr>
    </w:lvl>
    <w:lvl w:ilvl="4" w:tplc="575CB904">
      <w:numFmt w:val="bullet"/>
      <w:lvlText w:val="•"/>
      <w:lvlJc w:val="left"/>
      <w:pPr>
        <w:ind w:left="1028" w:hanging="252"/>
      </w:pPr>
      <w:rPr>
        <w:rFonts w:hint="default"/>
        <w:lang w:val="ro-RO" w:eastAsia="en-US" w:bidi="ar-SA"/>
      </w:rPr>
    </w:lvl>
    <w:lvl w:ilvl="5" w:tplc="6E1C88BE">
      <w:numFmt w:val="bullet"/>
      <w:lvlText w:val="•"/>
      <w:lvlJc w:val="left"/>
      <w:pPr>
        <w:ind w:left="1281" w:hanging="252"/>
      </w:pPr>
      <w:rPr>
        <w:rFonts w:hint="default"/>
        <w:lang w:val="ro-RO" w:eastAsia="en-US" w:bidi="ar-SA"/>
      </w:rPr>
    </w:lvl>
    <w:lvl w:ilvl="6" w:tplc="4F7EEE1A">
      <w:numFmt w:val="bullet"/>
      <w:lvlText w:val="•"/>
      <w:lvlJc w:val="left"/>
      <w:pPr>
        <w:ind w:left="1533" w:hanging="252"/>
      </w:pPr>
      <w:rPr>
        <w:rFonts w:hint="default"/>
        <w:lang w:val="ro-RO" w:eastAsia="en-US" w:bidi="ar-SA"/>
      </w:rPr>
    </w:lvl>
    <w:lvl w:ilvl="7" w:tplc="05B4429E">
      <w:numFmt w:val="bullet"/>
      <w:lvlText w:val="•"/>
      <w:lvlJc w:val="left"/>
      <w:pPr>
        <w:ind w:left="1785" w:hanging="252"/>
      </w:pPr>
      <w:rPr>
        <w:rFonts w:hint="default"/>
        <w:lang w:val="ro-RO" w:eastAsia="en-US" w:bidi="ar-SA"/>
      </w:rPr>
    </w:lvl>
    <w:lvl w:ilvl="8" w:tplc="05F28E6A">
      <w:numFmt w:val="bullet"/>
      <w:lvlText w:val="•"/>
      <w:lvlJc w:val="left"/>
      <w:pPr>
        <w:ind w:left="2037" w:hanging="252"/>
      </w:pPr>
      <w:rPr>
        <w:rFonts w:hint="default"/>
        <w:lang w:val="ro-RO" w:eastAsia="en-US" w:bidi="ar-SA"/>
      </w:rPr>
    </w:lvl>
  </w:abstractNum>
  <w:abstractNum w:abstractNumId="34" w15:restartNumberingAfterBreak="0">
    <w:nsid w:val="19523AA6"/>
    <w:multiLevelType w:val="multilevel"/>
    <w:tmpl w:val="7937BB53"/>
    <w:lvl w:ilvl="0">
      <w:numFmt w:val="bullet"/>
      <w:lvlText w:val="-"/>
      <w:lvlJc w:val="left"/>
      <w:pPr>
        <w:tabs>
          <w:tab w:val="num" w:pos="720"/>
        </w:tabs>
        <w:ind w:left="720" w:hanging="360"/>
      </w:pPr>
      <w:rPr>
        <w:rFonts w:ascii="Times New Roman" w:hAnsi="Times New Roman" w:cs="Times New Roman"/>
        <w:b/>
        <w:bCs/>
        <w:i/>
        <w:iCs/>
        <w:sz w:val="24"/>
        <w:szCs w:val="24"/>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35" w15:restartNumberingAfterBreak="0">
    <w:nsid w:val="195F7EFC"/>
    <w:multiLevelType w:val="hybridMultilevel"/>
    <w:tmpl w:val="C84ECE74"/>
    <w:lvl w:ilvl="0" w:tplc="CC8A5B36">
      <w:numFmt w:val="bullet"/>
      <w:lvlText w:val=""/>
      <w:lvlJc w:val="left"/>
      <w:pPr>
        <w:ind w:left="1733" w:hanging="360"/>
      </w:pPr>
      <w:rPr>
        <w:rFonts w:ascii="Symbol" w:eastAsia="Symbol" w:hAnsi="Symbol" w:cs="Symbol" w:hint="default"/>
        <w:w w:val="100"/>
        <w:sz w:val="24"/>
        <w:szCs w:val="24"/>
        <w:lang w:val="ro-RO" w:eastAsia="en-US" w:bidi="ar-SA"/>
      </w:rPr>
    </w:lvl>
    <w:lvl w:ilvl="1" w:tplc="A3E4E830">
      <w:numFmt w:val="bullet"/>
      <w:lvlText w:val="•"/>
      <w:lvlJc w:val="left"/>
      <w:pPr>
        <w:ind w:left="2584" w:hanging="360"/>
      </w:pPr>
      <w:rPr>
        <w:rFonts w:hint="default"/>
        <w:lang w:val="ro-RO" w:eastAsia="en-US" w:bidi="ar-SA"/>
      </w:rPr>
    </w:lvl>
    <w:lvl w:ilvl="2" w:tplc="3E9C7C3E">
      <w:numFmt w:val="bullet"/>
      <w:lvlText w:val="•"/>
      <w:lvlJc w:val="left"/>
      <w:pPr>
        <w:ind w:left="3429" w:hanging="360"/>
      </w:pPr>
      <w:rPr>
        <w:rFonts w:hint="default"/>
        <w:lang w:val="ro-RO" w:eastAsia="en-US" w:bidi="ar-SA"/>
      </w:rPr>
    </w:lvl>
    <w:lvl w:ilvl="3" w:tplc="D49E73EE">
      <w:numFmt w:val="bullet"/>
      <w:lvlText w:val="•"/>
      <w:lvlJc w:val="left"/>
      <w:pPr>
        <w:ind w:left="4273" w:hanging="360"/>
      </w:pPr>
      <w:rPr>
        <w:rFonts w:hint="default"/>
        <w:lang w:val="ro-RO" w:eastAsia="en-US" w:bidi="ar-SA"/>
      </w:rPr>
    </w:lvl>
    <w:lvl w:ilvl="4" w:tplc="D05E36B4">
      <w:numFmt w:val="bullet"/>
      <w:lvlText w:val="•"/>
      <w:lvlJc w:val="left"/>
      <w:pPr>
        <w:ind w:left="5118" w:hanging="360"/>
      </w:pPr>
      <w:rPr>
        <w:rFonts w:hint="default"/>
        <w:lang w:val="ro-RO" w:eastAsia="en-US" w:bidi="ar-SA"/>
      </w:rPr>
    </w:lvl>
    <w:lvl w:ilvl="5" w:tplc="F9F23EBA">
      <w:numFmt w:val="bullet"/>
      <w:lvlText w:val="•"/>
      <w:lvlJc w:val="left"/>
      <w:pPr>
        <w:ind w:left="5963" w:hanging="360"/>
      </w:pPr>
      <w:rPr>
        <w:rFonts w:hint="default"/>
        <w:lang w:val="ro-RO" w:eastAsia="en-US" w:bidi="ar-SA"/>
      </w:rPr>
    </w:lvl>
    <w:lvl w:ilvl="6" w:tplc="C46E3BAE">
      <w:numFmt w:val="bullet"/>
      <w:lvlText w:val="•"/>
      <w:lvlJc w:val="left"/>
      <w:pPr>
        <w:ind w:left="6807" w:hanging="360"/>
      </w:pPr>
      <w:rPr>
        <w:rFonts w:hint="default"/>
        <w:lang w:val="ro-RO" w:eastAsia="en-US" w:bidi="ar-SA"/>
      </w:rPr>
    </w:lvl>
    <w:lvl w:ilvl="7" w:tplc="D878230A">
      <w:numFmt w:val="bullet"/>
      <w:lvlText w:val="•"/>
      <w:lvlJc w:val="left"/>
      <w:pPr>
        <w:ind w:left="7652" w:hanging="360"/>
      </w:pPr>
      <w:rPr>
        <w:rFonts w:hint="default"/>
        <w:lang w:val="ro-RO" w:eastAsia="en-US" w:bidi="ar-SA"/>
      </w:rPr>
    </w:lvl>
    <w:lvl w:ilvl="8" w:tplc="A164F40E">
      <w:numFmt w:val="bullet"/>
      <w:lvlText w:val="•"/>
      <w:lvlJc w:val="left"/>
      <w:pPr>
        <w:ind w:left="8497" w:hanging="360"/>
      </w:pPr>
      <w:rPr>
        <w:rFonts w:hint="default"/>
        <w:lang w:val="ro-RO" w:eastAsia="en-US" w:bidi="ar-SA"/>
      </w:rPr>
    </w:lvl>
  </w:abstractNum>
  <w:abstractNum w:abstractNumId="36" w15:restartNumberingAfterBreak="0">
    <w:nsid w:val="1A8F15F0"/>
    <w:multiLevelType w:val="hybridMultilevel"/>
    <w:tmpl w:val="B1BC1584"/>
    <w:lvl w:ilvl="0" w:tplc="04090001">
      <w:start w:val="1"/>
      <w:numFmt w:val="bullet"/>
      <w:lvlText w:val=""/>
      <w:lvlJc w:val="left"/>
      <w:pPr>
        <w:tabs>
          <w:tab w:val="num" w:pos="782"/>
        </w:tabs>
        <w:ind w:left="782"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AFC6D68"/>
    <w:multiLevelType w:val="hybridMultilevel"/>
    <w:tmpl w:val="F790172E"/>
    <w:lvl w:ilvl="0" w:tplc="9502E07C">
      <w:start w:val="1"/>
      <w:numFmt w:val="lowerLetter"/>
      <w:lvlText w:val="%1."/>
      <w:lvlJc w:val="left"/>
      <w:pPr>
        <w:ind w:left="1013" w:hanging="360"/>
      </w:pPr>
      <w:rPr>
        <w:rFonts w:ascii="Times New Roman" w:eastAsia="Times New Roman" w:hAnsi="Times New Roman" w:cs="Times New Roman" w:hint="default"/>
        <w:spacing w:val="-1"/>
        <w:w w:val="100"/>
        <w:sz w:val="24"/>
        <w:szCs w:val="24"/>
        <w:lang w:val="ro-RO" w:eastAsia="en-US" w:bidi="ar-SA"/>
      </w:rPr>
    </w:lvl>
    <w:lvl w:ilvl="1" w:tplc="92A2E950">
      <w:numFmt w:val="bullet"/>
      <w:lvlText w:val="•"/>
      <w:lvlJc w:val="left"/>
      <w:pPr>
        <w:ind w:left="1936" w:hanging="360"/>
      </w:pPr>
      <w:rPr>
        <w:rFonts w:hint="default"/>
        <w:lang w:val="ro-RO" w:eastAsia="en-US" w:bidi="ar-SA"/>
      </w:rPr>
    </w:lvl>
    <w:lvl w:ilvl="2" w:tplc="542C8EDA">
      <w:numFmt w:val="bullet"/>
      <w:lvlText w:val="•"/>
      <w:lvlJc w:val="left"/>
      <w:pPr>
        <w:ind w:left="2853" w:hanging="360"/>
      </w:pPr>
      <w:rPr>
        <w:rFonts w:hint="default"/>
        <w:lang w:val="ro-RO" w:eastAsia="en-US" w:bidi="ar-SA"/>
      </w:rPr>
    </w:lvl>
    <w:lvl w:ilvl="3" w:tplc="E27A049A">
      <w:numFmt w:val="bullet"/>
      <w:lvlText w:val="•"/>
      <w:lvlJc w:val="left"/>
      <w:pPr>
        <w:ind w:left="3769" w:hanging="360"/>
      </w:pPr>
      <w:rPr>
        <w:rFonts w:hint="default"/>
        <w:lang w:val="ro-RO" w:eastAsia="en-US" w:bidi="ar-SA"/>
      </w:rPr>
    </w:lvl>
    <w:lvl w:ilvl="4" w:tplc="0122F7EC">
      <w:numFmt w:val="bullet"/>
      <w:lvlText w:val="•"/>
      <w:lvlJc w:val="left"/>
      <w:pPr>
        <w:ind w:left="4686" w:hanging="360"/>
      </w:pPr>
      <w:rPr>
        <w:rFonts w:hint="default"/>
        <w:lang w:val="ro-RO" w:eastAsia="en-US" w:bidi="ar-SA"/>
      </w:rPr>
    </w:lvl>
    <w:lvl w:ilvl="5" w:tplc="9D262C46">
      <w:numFmt w:val="bullet"/>
      <w:lvlText w:val="•"/>
      <w:lvlJc w:val="left"/>
      <w:pPr>
        <w:ind w:left="5603" w:hanging="360"/>
      </w:pPr>
      <w:rPr>
        <w:rFonts w:hint="default"/>
        <w:lang w:val="ro-RO" w:eastAsia="en-US" w:bidi="ar-SA"/>
      </w:rPr>
    </w:lvl>
    <w:lvl w:ilvl="6" w:tplc="C69E5824">
      <w:numFmt w:val="bullet"/>
      <w:lvlText w:val="•"/>
      <w:lvlJc w:val="left"/>
      <w:pPr>
        <w:ind w:left="6519" w:hanging="360"/>
      </w:pPr>
      <w:rPr>
        <w:rFonts w:hint="default"/>
        <w:lang w:val="ro-RO" w:eastAsia="en-US" w:bidi="ar-SA"/>
      </w:rPr>
    </w:lvl>
    <w:lvl w:ilvl="7" w:tplc="B150EA28">
      <w:numFmt w:val="bullet"/>
      <w:lvlText w:val="•"/>
      <w:lvlJc w:val="left"/>
      <w:pPr>
        <w:ind w:left="7436" w:hanging="360"/>
      </w:pPr>
      <w:rPr>
        <w:rFonts w:hint="default"/>
        <w:lang w:val="ro-RO" w:eastAsia="en-US" w:bidi="ar-SA"/>
      </w:rPr>
    </w:lvl>
    <w:lvl w:ilvl="8" w:tplc="7EB461E6">
      <w:numFmt w:val="bullet"/>
      <w:lvlText w:val="•"/>
      <w:lvlJc w:val="left"/>
      <w:pPr>
        <w:ind w:left="8353" w:hanging="360"/>
      </w:pPr>
      <w:rPr>
        <w:rFonts w:hint="default"/>
        <w:lang w:val="ro-RO" w:eastAsia="en-US" w:bidi="ar-SA"/>
      </w:rPr>
    </w:lvl>
  </w:abstractNum>
  <w:abstractNum w:abstractNumId="38" w15:restartNumberingAfterBreak="0">
    <w:nsid w:val="1B1F2157"/>
    <w:multiLevelType w:val="hybridMultilevel"/>
    <w:tmpl w:val="922C4138"/>
    <w:lvl w:ilvl="0" w:tplc="6B5036C4">
      <w:start w:val="1"/>
      <w:numFmt w:val="decimal"/>
      <w:lvlText w:val="%1."/>
      <w:lvlJc w:val="left"/>
      <w:pPr>
        <w:ind w:left="828" w:hanging="361"/>
      </w:pPr>
      <w:rPr>
        <w:rFonts w:ascii="Times New Roman" w:eastAsia="Times New Roman" w:hAnsi="Times New Roman" w:cs="Times New Roman" w:hint="default"/>
        <w:w w:val="100"/>
        <w:sz w:val="24"/>
        <w:szCs w:val="24"/>
        <w:lang w:val="ro-RO" w:eastAsia="en-US" w:bidi="ar-SA"/>
      </w:rPr>
    </w:lvl>
    <w:lvl w:ilvl="1" w:tplc="48E83C60">
      <w:numFmt w:val="bullet"/>
      <w:lvlText w:val="•"/>
      <w:lvlJc w:val="left"/>
      <w:pPr>
        <w:ind w:left="1485" w:hanging="361"/>
      </w:pPr>
      <w:rPr>
        <w:rFonts w:hint="default"/>
        <w:lang w:val="ro-RO" w:eastAsia="en-US" w:bidi="ar-SA"/>
      </w:rPr>
    </w:lvl>
    <w:lvl w:ilvl="2" w:tplc="A0822892">
      <w:numFmt w:val="bullet"/>
      <w:lvlText w:val="•"/>
      <w:lvlJc w:val="left"/>
      <w:pPr>
        <w:ind w:left="2150" w:hanging="361"/>
      </w:pPr>
      <w:rPr>
        <w:rFonts w:hint="default"/>
        <w:lang w:val="ro-RO" w:eastAsia="en-US" w:bidi="ar-SA"/>
      </w:rPr>
    </w:lvl>
    <w:lvl w:ilvl="3" w:tplc="C0F652FE">
      <w:numFmt w:val="bullet"/>
      <w:lvlText w:val="•"/>
      <w:lvlJc w:val="left"/>
      <w:pPr>
        <w:ind w:left="2815" w:hanging="361"/>
      </w:pPr>
      <w:rPr>
        <w:rFonts w:hint="default"/>
        <w:lang w:val="ro-RO" w:eastAsia="en-US" w:bidi="ar-SA"/>
      </w:rPr>
    </w:lvl>
    <w:lvl w:ilvl="4" w:tplc="39724E90">
      <w:numFmt w:val="bullet"/>
      <w:lvlText w:val="•"/>
      <w:lvlJc w:val="left"/>
      <w:pPr>
        <w:ind w:left="3480" w:hanging="361"/>
      </w:pPr>
      <w:rPr>
        <w:rFonts w:hint="default"/>
        <w:lang w:val="ro-RO" w:eastAsia="en-US" w:bidi="ar-SA"/>
      </w:rPr>
    </w:lvl>
    <w:lvl w:ilvl="5" w:tplc="542CB262">
      <w:numFmt w:val="bullet"/>
      <w:lvlText w:val="•"/>
      <w:lvlJc w:val="left"/>
      <w:pPr>
        <w:ind w:left="4145" w:hanging="361"/>
      </w:pPr>
      <w:rPr>
        <w:rFonts w:hint="default"/>
        <w:lang w:val="ro-RO" w:eastAsia="en-US" w:bidi="ar-SA"/>
      </w:rPr>
    </w:lvl>
    <w:lvl w:ilvl="6" w:tplc="D11A9096">
      <w:numFmt w:val="bullet"/>
      <w:lvlText w:val="•"/>
      <w:lvlJc w:val="left"/>
      <w:pPr>
        <w:ind w:left="4810" w:hanging="361"/>
      </w:pPr>
      <w:rPr>
        <w:rFonts w:hint="default"/>
        <w:lang w:val="ro-RO" w:eastAsia="en-US" w:bidi="ar-SA"/>
      </w:rPr>
    </w:lvl>
    <w:lvl w:ilvl="7" w:tplc="56929BE4">
      <w:numFmt w:val="bullet"/>
      <w:lvlText w:val="•"/>
      <w:lvlJc w:val="left"/>
      <w:pPr>
        <w:ind w:left="5475" w:hanging="361"/>
      </w:pPr>
      <w:rPr>
        <w:rFonts w:hint="default"/>
        <w:lang w:val="ro-RO" w:eastAsia="en-US" w:bidi="ar-SA"/>
      </w:rPr>
    </w:lvl>
    <w:lvl w:ilvl="8" w:tplc="01D8371E">
      <w:numFmt w:val="bullet"/>
      <w:lvlText w:val="•"/>
      <w:lvlJc w:val="left"/>
      <w:pPr>
        <w:ind w:left="6140" w:hanging="361"/>
      </w:pPr>
      <w:rPr>
        <w:rFonts w:hint="default"/>
        <w:lang w:val="ro-RO" w:eastAsia="en-US" w:bidi="ar-SA"/>
      </w:rPr>
    </w:lvl>
  </w:abstractNum>
  <w:abstractNum w:abstractNumId="39" w15:restartNumberingAfterBreak="0">
    <w:nsid w:val="1BAA79FC"/>
    <w:multiLevelType w:val="hybridMultilevel"/>
    <w:tmpl w:val="23F48D8A"/>
    <w:lvl w:ilvl="0" w:tplc="5D90C95A">
      <w:numFmt w:val="bullet"/>
      <w:lvlText w:val="-"/>
      <w:lvlJc w:val="left"/>
      <w:pPr>
        <w:ind w:left="22" w:hanging="258"/>
      </w:pPr>
      <w:rPr>
        <w:rFonts w:ascii="Times New Roman" w:eastAsia="Times New Roman" w:hAnsi="Times New Roman" w:cs="Times New Roman" w:hint="default"/>
        <w:w w:val="100"/>
        <w:sz w:val="22"/>
        <w:szCs w:val="22"/>
        <w:lang w:val="ro-RO" w:eastAsia="en-US" w:bidi="ar-SA"/>
      </w:rPr>
    </w:lvl>
    <w:lvl w:ilvl="1" w:tplc="389AD740">
      <w:numFmt w:val="bullet"/>
      <w:lvlText w:val="•"/>
      <w:lvlJc w:val="left"/>
      <w:pPr>
        <w:ind w:left="273" w:hanging="258"/>
      </w:pPr>
      <w:rPr>
        <w:rFonts w:hint="default"/>
        <w:lang w:val="ro-RO" w:eastAsia="en-US" w:bidi="ar-SA"/>
      </w:rPr>
    </w:lvl>
    <w:lvl w:ilvl="2" w:tplc="72EAD4FC">
      <w:numFmt w:val="bullet"/>
      <w:lvlText w:val="•"/>
      <w:lvlJc w:val="left"/>
      <w:pPr>
        <w:ind w:left="527" w:hanging="258"/>
      </w:pPr>
      <w:rPr>
        <w:rFonts w:hint="default"/>
        <w:lang w:val="ro-RO" w:eastAsia="en-US" w:bidi="ar-SA"/>
      </w:rPr>
    </w:lvl>
    <w:lvl w:ilvl="3" w:tplc="580C5EDC">
      <w:numFmt w:val="bullet"/>
      <w:lvlText w:val="•"/>
      <w:lvlJc w:val="left"/>
      <w:pPr>
        <w:ind w:left="781" w:hanging="258"/>
      </w:pPr>
      <w:rPr>
        <w:rFonts w:hint="default"/>
        <w:lang w:val="ro-RO" w:eastAsia="en-US" w:bidi="ar-SA"/>
      </w:rPr>
    </w:lvl>
    <w:lvl w:ilvl="4" w:tplc="9FC60FE4">
      <w:numFmt w:val="bullet"/>
      <w:lvlText w:val="•"/>
      <w:lvlJc w:val="left"/>
      <w:pPr>
        <w:ind w:left="1035" w:hanging="258"/>
      </w:pPr>
      <w:rPr>
        <w:rFonts w:hint="default"/>
        <w:lang w:val="ro-RO" w:eastAsia="en-US" w:bidi="ar-SA"/>
      </w:rPr>
    </w:lvl>
    <w:lvl w:ilvl="5" w:tplc="13DC6290">
      <w:numFmt w:val="bullet"/>
      <w:lvlText w:val="•"/>
      <w:lvlJc w:val="left"/>
      <w:pPr>
        <w:ind w:left="1289" w:hanging="258"/>
      </w:pPr>
      <w:rPr>
        <w:rFonts w:hint="default"/>
        <w:lang w:val="ro-RO" w:eastAsia="en-US" w:bidi="ar-SA"/>
      </w:rPr>
    </w:lvl>
    <w:lvl w:ilvl="6" w:tplc="981CD5B2">
      <w:numFmt w:val="bullet"/>
      <w:lvlText w:val="•"/>
      <w:lvlJc w:val="left"/>
      <w:pPr>
        <w:ind w:left="1542" w:hanging="258"/>
      </w:pPr>
      <w:rPr>
        <w:rFonts w:hint="default"/>
        <w:lang w:val="ro-RO" w:eastAsia="en-US" w:bidi="ar-SA"/>
      </w:rPr>
    </w:lvl>
    <w:lvl w:ilvl="7" w:tplc="86E46E94">
      <w:numFmt w:val="bullet"/>
      <w:lvlText w:val="•"/>
      <w:lvlJc w:val="left"/>
      <w:pPr>
        <w:ind w:left="1796" w:hanging="258"/>
      </w:pPr>
      <w:rPr>
        <w:rFonts w:hint="default"/>
        <w:lang w:val="ro-RO" w:eastAsia="en-US" w:bidi="ar-SA"/>
      </w:rPr>
    </w:lvl>
    <w:lvl w:ilvl="8" w:tplc="99EC6710">
      <w:numFmt w:val="bullet"/>
      <w:lvlText w:val="•"/>
      <w:lvlJc w:val="left"/>
      <w:pPr>
        <w:ind w:left="2050" w:hanging="258"/>
      </w:pPr>
      <w:rPr>
        <w:rFonts w:hint="default"/>
        <w:lang w:val="ro-RO" w:eastAsia="en-US" w:bidi="ar-SA"/>
      </w:rPr>
    </w:lvl>
  </w:abstractNum>
  <w:abstractNum w:abstractNumId="40" w15:restartNumberingAfterBreak="0">
    <w:nsid w:val="1BB94F65"/>
    <w:multiLevelType w:val="hybridMultilevel"/>
    <w:tmpl w:val="1F846098"/>
    <w:lvl w:ilvl="0" w:tplc="46D820F2">
      <w:numFmt w:val="bullet"/>
      <w:lvlText w:val="-"/>
      <w:lvlJc w:val="left"/>
      <w:pPr>
        <w:ind w:left="22" w:hanging="258"/>
      </w:pPr>
      <w:rPr>
        <w:rFonts w:ascii="Times New Roman" w:eastAsia="Times New Roman" w:hAnsi="Times New Roman" w:cs="Times New Roman" w:hint="default"/>
        <w:w w:val="100"/>
        <w:sz w:val="22"/>
        <w:szCs w:val="22"/>
        <w:lang w:val="ro-RO" w:eastAsia="en-US" w:bidi="ar-SA"/>
      </w:rPr>
    </w:lvl>
    <w:lvl w:ilvl="1" w:tplc="431E46F2">
      <w:numFmt w:val="bullet"/>
      <w:lvlText w:val="•"/>
      <w:lvlJc w:val="left"/>
      <w:pPr>
        <w:ind w:left="273" w:hanging="258"/>
      </w:pPr>
      <w:rPr>
        <w:rFonts w:hint="default"/>
        <w:lang w:val="ro-RO" w:eastAsia="en-US" w:bidi="ar-SA"/>
      </w:rPr>
    </w:lvl>
    <w:lvl w:ilvl="2" w:tplc="441C3B74">
      <w:numFmt w:val="bullet"/>
      <w:lvlText w:val="•"/>
      <w:lvlJc w:val="left"/>
      <w:pPr>
        <w:ind w:left="527" w:hanging="258"/>
      </w:pPr>
      <w:rPr>
        <w:rFonts w:hint="default"/>
        <w:lang w:val="ro-RO" w:eastAsia="en-US" w:bidi="ar-SA"/>
      </w:rPr>
    </w:lvl>
    <w:lvl w:ilvl="3" w:tplc="543CEC54">
      <w:numFmt w:val="bullet"/>
      <w:lvlText w:val="•"/>
      <w:lvlJc w:val="left"/>
      <w:pPr>
        <w:ind w:left="781" w:hanging="258"/>
      </w:pPr>
      <w:rPr>
        <w:rFonts w:hint="default"/>
        <w:lang w:val="ro-RO" w:eastAsia="en-US" w:bidi="ar-SA"/>
      </w:rPr>
    </w:lvl>
    <w:lvl w:ilvl="4" w:tplc="053E83DA">
      <w:numFmt w:val="bullet"/>
      <w:lvlText w:val="•"/>
      <w:lvlJc w:val="left"/>
      <w:pPr>
        <w:ind w:left="1035" w:hanging="258"/>
      </w:pPr>
      <w:rPr>
        <w:rFonts w:hint="default"/>
        <w:lang w:val="ro-RO" w:eastAsia="en-US" w:bidi="ar-SA"/>
      </w:rPr>
    </w:lvl>
    <w:lvl w:ilvl="5" w:tplc="C7685CA4">
      <w:numFmt w:val="bullet"/>
      <w:lvlText w:val="•"/>
      <w:lvlJc w:val="left"/>
      <w:pPr>
        <w:ind w:left="1289" w:hanging="258"/>
      </w:pPr>
      <w:rPr>
        <w:rFonts w:hint="default"/>
        <w:lang w:val="ro-RO" w:eastAsia="en-US" w:bidi="ar-SA"/>
      </w:rPr>
    </w:lvl>
    <w:lvl w:ilvl="6" w:tplc="75581870">
      <w:numFmt w:val="bullet"/>
      <w:lvlText w:val="•"/>
      <w:lvlJc w:val="left"/>
      <w:pPr>
        <w:ind w:left="1542" w:hanging="258"/>
      </w:pPr>
      <w:rPr>
        <w:rFonts w:hint="default"/>
        <w:lang w:val="ro-RO" w:eastAsia="en-US" w:bidi="ar-SA"/>
      </w:rPr>
    </w:lvl>
    <w:lvl w:ilvl="7" w:tplc="D2E64786">
      <w:numFmt w:val="bullet"/>
      <w:lvlText w:val="•"/>
      <w:lvlJc w:val="left"/>
      <w:pPr>
        <w:ind w:left="1796" w:hanging="258"/>
      </w:pPr>
      <w:rPr>
        <w:rFonts w:hint="default"/>
        <w:lang w:val="ro-RO" w:eastAsia="en-US" w:bidi="ar-SA"/>
      </w:rPr>
    </w:lvl>
    <w:lvl w:ilvl="8" w:tplc="37284D50">
      <w:numFmt w:val="bullet"/>
      <w:lvlText w:val="•"/>
      <w:lvlJc w:val="left"/>
      <w:pPr>
        <w:ind w:left="2050" w:hanging="258"/>
      </w:pPr>
      <w:rPr>
        <w:rFonts w:hint="default"/>
        <w:lang w:val="ro-RO" w:eastAsia="en-US" w:bidi="ar-SA"/>
      </w:rPr>
    </w:lvl>
  </w:abstractNum>
  <w:abstractNum w:abstractNumId="41" w15:restartNumberingAfterBreak="0">
    <w:nsid w:val="1BE73241"/>
    <w:multiLevelType w:val="hybridMultilevel"/>
    <w:tmpl w:val="E9B2FEC0"/>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B">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1BED7FBE"/>
    <w:multiLevelType w:val="hybridMultilevel"/>
    <w:tmpl w:val="00CE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C906534"/>
    <w:multiLevelType w:val="hybridMultilevel"/>
    <w:tmpl w:val="9312C6E0"/>
    <w:lvl w:ilvl="0" w:tplc="25CEBB48">
      <w:numFmt w:val="bullet"/>
      <w:lvlText w:val="-"/>
      <w:lvlJc w:val="left"/>
      <w:pPr>
        <w:ind w:left="366" w:hanging="140"/>
      </w:pPr>
      <w:rPr>
        <w:rFonts w:ascii="Times New Roman" w:eastAsia="Times New Roman" w:hAnsi="Times New Roman" w:cs="Times New Roman" w:hint="default"/>
        <w:w w:val="99"/>
        <w:sz w:val="24"/>
        <w:szCs w:val="24"/>
        <w:lang w:val="ro-RO" w:eastAsia="en-US" w:bidi="ar-SA"/>
      </w:rPr>
    </w:lvl>
    <w:lvl w:ilvl="1" w:tplc="5CBE459E">
      <w:numFmt w:val="bullet"/>
      <w:lvlText w:val="•"/>
      <w:lvlJc w:val="left"/>
      <w:pPr>
        <w:ind w:left="1033" w:hanging="140"/>
      </w:pPr>
      <w:rPr>
        <w:rFonts w:hint="default"/>
        <w:lang w:val="ro-RO" w:eastAsia="en-US" w:bidi="ar-SA"/>
      </w:rPr>
    </w:lvl>
    <w:lvl w:ilvl="2" w:tplc="28F00198">
      <w:numFmt w:val="bullet"/>
      <w:lvlText w:val="•"/>
      <w:lvlJc w:val="left"/>
      <w:pPr>
        <w:ind w:left="1706" w:hanging="140"/>
      </w:pPr>
      <w:rPr>
        <w:rFonts w:hint="default"/>
        <w:lang w:val="ro-RO" w:eastAsia="en-US" w:bidi="ar-SA"/>
      </w:rPr>
    </w:lvl>
    <w:lvl w:ilvl="3" w:tplc="9EA6DE8E">
      <w:numFmt w:val="bullet"/>
      <w:lvlText w:val="•"/>
      <w:lvlJc w:val="left"/>
      <w:pPr>
        <w:ind w:left="2379" w:hanging="140"/>
      </w:pPr>
      <w:rPr>
        <w:rFonts w:hint="default"/>
        <w:lang w:val="ro-RO" w:eastAsia="en-US" w:bidi="ar-SA"/>
      </w:rPr>
    </w:lvl>
    <w:lvl w:ilvl="4" w:tplc="94D419E4">
      <w:numFmt w:val="bullet"/>
      <w:lvlText w:val="•"/>
      <w:lvlJc w:val="left"/>
      <w:pPr>
        <w:ind w:left="3052" w:hanging="140"/>
      </w:pPr>
      <w:rPr>
        <w:rFonts w:hint="default"/>
        <w:lang w:val="ro-RO" w:eastAsia="en-US" w:bidi="ar-SA"/>
      </w:rPr>
    </w:lvl>
    <w:lvl w:ilvl="5" w:tplc="BF56E596">
      <w:numFmt w:val="bullet"/>
      <w:lvlText w:val="•"/>
      <w:lvlJc w:val="left"/>
      <w:pPr>
        <w:ind w:left="3725" w:hanging="140"/>
      </w:pPr>
      <w:rPr>
        <w:rFonts w:hint="default"/>
        <w:lang w:val="ro-RO" w:eastAsia="en-US" w:bidi="ar-SA"/>
      </w:rPr>
    </w:lvl>
    <w:lvl w:ilvl="6" w:tplc="3B38668E">
      <w:numFmt w:val="bullet"/>
      <w:lvlText w:val="•"/>
      <w:lvlJc w:val="left"/>
      <w:pPr>
        <w:ind w:left="4398" w:hanging="140"/>
      </w:pPr>
      <w:rPr>
        <w:rFonts w:hint="default"/>
        <w:lang w:val="ro-RO" w:eastAsia="en-US" w:bidi="ar-SA"/>
      </w:rPr>
    </w:lvl>
    <w:lvl w:ilvl="7" w:tplc="DA5C9F4A">
      <w:numFmt w:val="bullet"/>
      <w:lvlText w:val="•"/>
      <w:lvlJc w:val="left"/>
      <w:pPr>
        <w:ind w:left="5071" w:hanging="140"/>
      </w:pPr>
      <w:rPr>
        <w:rFonts w:hint="default"/>
        <w:lang w:val="ro-RO" w:eastAsia="en-US" w:bidi="ar-SA"/>
      </w:rPr>
    </w:lvl>
    <w:lvl w:ilvl="8" w:tplc="5C602478">
      <w:numFmt w:val="bullet"/>
      <w:lvlText w:val="•"/>
      <w:lvlJc w:val="left"/>
      <w:pPr>
        <w:ind w:left="5744" w:hanging="140"/>
      </w:pPr>
      <w:rPr>
        <w:rFonts w:hint="default"/>
        <w:lang w:val="ro-RO" w:eastAsia="en-US" w:bidi="ar-SA"/>
      </w:rPr>
    </w:lvl>
  </w:abstractNum>
  <w:abstractNum w:abstractNumId="44" w15:restartNumberingAfterBreak="0">
    <w:nsid w:val="1C91213C"/>
    <w:multiLevelType w:val="hybridMultilevel"/>
    <w:tmpl w:val="650632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DE3439F"/>
    <w:multiLevelType w:val="hybridMultilevel"/>
    <w:tmpl w:val="DE9CBE62"/>
    <w:lvl w:ilvl="0" w:tplc="32A8E3C4">
      <w:numFmt w:val="bullet"/>
      <w:lvlText w:val="-"/>
      <w:lvlJc w:val="left"/>
      <w:pPr>
        <w:ind w:left="366" w:hanging="140"/>
      </w:pPr>
      <w:rPr>
        <w:rFonts w:ascii="Times New Roman" w:eastAsia="Times New Roman" w:hAnsi="Times New Roman" w:cs="Times New Roman" w:hint="default"/>
        <w:w w:val="99"/>
        <w:sz w:val="24"/>
        <w:szCs w:val="24"/>
        <w:lang w:val="ro-RO" w:eastAsia="en-US" w:bidi="ar-SA"/>
      </w:rPr>
    </w:lvl>
    <w:lvl w:ilvl="1" w:tplc="8CC2873E">
      <w:numFmt w:val="bullet"/>
      <w:lvlText w:val="•"/>
      <w:lvlJc w:val="left"/>
      <w:pPr>
        <w:ind w:left="1033" w:hanging="140"/>
      </w:pPr>
      <w:rPr>
        <w:rFonts w:hint="default"/>
        <w:lang w:val="ro-RO" w:eastAsia="en-US" w:bidi="ar-SA"/>
      </w:rPr>
    </w:lvl>
    <w:lvl w:ilvl="2" w:tplc="CB308D30">
      <w:numFmt w:val="bullet"/>
      <w:lvlText w:val="•"/>
      <w:lvlJc w:val="left"/>
      <w:pPr>
        <w:ind w:left="1706" w:hanging="140"/>
      </w:pPr>
      <w:rPr>
        <w:rFonts w:hint="default"/>
        <w:lang w:val="ro-RO" w:eastAsia="en-US" w:bidi="ar-SA"/>
      </w:rPr>
    </w:lvl>
    <w:lvl w:ilvl="3" w:tplc="EBC6B94E">
      <w:numFmt w:val="bullet"/>
      <w:lvlText w:val="•"/>
      <w:lvlJc w:val="left"/>
      <w:pPr>
        <w:ind w:left="2379" w:hanging="140"/>
      </w:pPr>
      <w:rPr>
        <w:rFonts w:hint="default"/>
        <w:lang w:val="ro-RO" w:eastAsia="en-US" w:bidi="ar-SA"/>
      </w:rPr>
    </w:lvl>
    <w:lvl w:ilvl="4" w:tplc="9DA43184">
      <w:numFmt w:val="bullet"/>
      <w:lvlText w:val="•"/>
      <w:lvlJc w:val="left"/>
      <w:pPr>
        <w:ind w:left="3052" w:hanging="140"/>
      </w:pPr>
      <w:rPr>
        <w:rFonts w:hint="default"/>
        <w:lang w:val="ro-RO" w:eastAsia="en-US" w:bidi="ar-SA"/>
      </w:rPr>
    </w:lvl>
    <w:lvl w:ilvl="5" w:tplc="07C6A7B2">
      <w:numFmt w:val="bullet"/>
      <w:lvlText w:val="•"/>
      <w:lvlJc w:val="left"/>
      <w:pPr>
        <w:ind w:left="3725" w:hanging="140"/>
      </w:pPr>
      <w:rPr>
        <w:rFonts w:hint="default"/>
        <w:lang w:val="ro-RO" w:eastAsia="en-US" w:bidi="ar-SA"/>
      </w:rPr>
    </w:lvl>
    <w:lvl w:ilvl="6" w:tplc="F5E64024">
      <w:numFmt w:val="bullet"/>
      <w:lvlText w:val="•"/>
      <w:lvlJc w:val="left"/>
      <w:pPr>
        <w:ind w:left="4398" w:hanging="140"/>
      </w:pPr>
      <w:rPr>
        <w:rFonts w:hint="default"/>
        <w:lang w:val="ro-RO" w:eastAsia="en-US" w:bidi="ar-SA"/>
      </w:rPr>
    </w:lvl>
    <w:lvl w:ilvl="7" w:tplc="1870E6BC">
      <w:numFmt w:val="bullet"/>
      <w:lvlText w:val="•"/>
      <w:lvlJc w:val="left"/>
      <w:pPr>
        <w:ind w:left="5071" w:hanging="140"/>
      </w:pPr>
      <w:rPr>
        <w:rFonts w:hint="default"/>
        <w:lang w:val="ro-RO" w:eastAsia="en-US" w:bidi="ar-SA"/>
      </w:rPr>
    </w:lvl>
    <w:lvl w:ilvl="8" w:tplc="3D7E92FA">
      <w:numFmt w:val="bullet"/>
      <w:lvlText w:val="•"/>
      <w:lvlJc w:val="left"/>
      <w:pPr>
        <w:ind w:left="5744" w:hanging="140"/>
      </w:pPr>
      <w:rPr>
        <w:rFonts w:hint="default"/>
        <w:lang w:val="ro-RO" w:eastAsia="en-US" w:bidi="ar-SA"/>
      </w:rPr>
    </w:lvl>
  </w:abstractNum>
  <w:abstractNum w:abstractNumId="46" w15:restartNumberingAfterBreak="0">
    <w:nsid w:val="1DF15C69"/>
    <w:multiLevelType w:val="hybridMultilevel"/>
    <w:tmpl w:val="215AED32"/>
    <w:lvl w:ilvl="0" w:tplc="0418000F">
      <w:start w:val="1"/>
      <w:numFmt w:val="decimal"/>
      <w:lvlText w:val="%1."/>
      <w:lvlJc w:val="left"/>
      <w:pPr>
        <w:ind w:left="502"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7" w15:restartNumberingAfterBreak="0">
    <w:nsid w:val="1E7476B8"/>
    <w:multiLevelType w:val="hybridMultilevel"/>
    <w:tmpl w:val="8476328A"/>
    <w:lvl w:ilvl="0" w:tplc="51989560">
      <w:start w:val="1"/>
      <w:numFmt w:val="decimal"/>
      <w:lvlText w:val="%1."/>
      <w:lvlJc w:val="left"/>
      <w:pPr>
        <w:ind w:left="828" w:hanging="361"/>
      </w:pPr>
      <w:rPr>
        <w:rFonts w:ascii="Times New Roman" w:eastAsia="Times New Roman" w:hAnsi="Times New Roman" w:cs="Times New Roman" w:hint="default"/>
        <w:w w:val="100"/>
        <w:sz w:val="24"/>
        <w:szCs w:val="24"/>
        <w:lang w:val="ro-RO" w:eastAsia="en-US" w:bidi="ar-SA"/>
      </w:rPr>
    </w:lvl>
    <w:lvl w:ilvl="1" w:tplc="F2900B14">
      <w:numFmt w:val="bullet"/>
      <w:lvlText w:val="•"/>
      <w:lvlJc w:val="left"/>
      <w:pPr>
        <w:ind w:left="1485" w:hanging="361"/>
      </w:pPr>
      <w:rPr>
        <w:rFonts w:hint="default"/>
        <w:lang w:val="ro-RO" w:eastAsia="en-US" w:bidi="ar-SA"/>
      </w:rPr>
    </w:lvl>
    <w:lvl w:ilvl="2" w:tplc="668EB36E">
      <w:numFmt w:val="bullet"/>
      <w:lvlText w:val="•"/>
      <w:lvlJc w:val="left"/>
      <w:pPr>
        <w:ind w:left="2150" w:hanging="361"/>
      </w:pPr>
      <w:rPr>
        <w:rFonts w:hint="default"/>
        <w:lang w:val="ro-RO" w:eastAsia="en-US" w:bidi="ar-SA"/>
      </w:rPr>
    </w:lvl>
    <w:lvl w:ilvl="3" w:tplc="0004F62E">
      <w:numFmt w:val="bullet"/>
      <w:lvlText w:val="•"/>
      <w:lvlJc w:val="left"/>
      <w:pPr>
        <w:ind w:left="2815" w:hanging="361"/>
      </w:pPr>
      <w:rPr>
        <w:rFonts w:hint="default"/>
        <w:lang w:val="ro-RO" w:eastAsia="en-US" w:bidi="ar-SA"/>
      </w:rPr>
    </w:lvl>
    <w:lvl w:ilvl="4" w:tplc="C5DE535E">
      <w:numFmt w:val="bullet"/>
      <w:lvlText w:val="•"/>
      <w:lvlJc w:val="left"/>
      <w:pPr>
        <w:ind w:left="3480" w:hanging="361"/>
      </w:pPr>
      <w:rPr>
        <w:rFonts w:hint="default"/>
        <w:lang w:val="ro-RO" w:eastAsia="en-US" w:bidi="ar-SA"/>
      </w:rPr>
    </w:lvl>
    <w:lvl w:ilvl="5" w:tplc="C4E0747E">
      <w:numFmt w:val="bullet"/>
      <w:lvlText w:val="•"/>
      <w:lvlJc w:val="left"/>
      <w:pPr>
        <w:ind w:left="4145" w:hanging="361"/>
      </w:pPr>
      <w:rPr>
        <w:rFonts w:hint="default"/>
        <w:lang w:val="ro-RO" w:eastAsia="en-US" w:bidi="ar-SA"/>
      </w:rPr>
    </w:lvl>
    <w:lvl w:ilvl="6" w:tplc="A0DCBB3C">
      <w:numFmt w:val="bullet"/>
      <w:lvlText w:val="•"/>
      <w:lvlJc w:val="left"/>
      <w:pPr>
        <w:ind w:left="4810" w:hanging="361"/>
      </w:pPr>
      <w:rPr>
        <w:rFonts w:hint="default"/>
        <w:lang w:val="ro-RO" w:eastAsia="en-US" w:bidi="ar-SA"/>
      </w:rPr>
    </w:lvl>
    <w:lvl w:ilvl="7" w:tplc="87D211EC">
      <w:numFmt w:val="bullet"/>
      <w:lvlText w:val="•"/>
      <w:lvlJc w:val="left"/>
      <w:pPr>
        <w:ind w:left="5475" w:hanging="361"/>
      </w:pPr>
      <w:rPr>
        <w:rFonts w:hint="default"/>
        <w:lang w:val="ro-RO" w:eastAsia="en-US" w:bidi="ar-SA"/>
      </w:rPr>
    </w:lvl>
    <w:lvl w:ilvl="8" w:tplc="DAD24412">
      <w:numFmt w:val="bullet"/>
      <w:lvlText w:val="•"/>
      <w:lvlJc w:val="left"/>
      <w:pPr>
        <w:ind w:left="6140" w:hanging="361"/>
      </w:pPr>
      <w:rPr>
        <w:rFonts w:hint="default"/>
        <w:lang w:val="ro-RO" w:eastAsia="en-US" w:bidi="ar-SA"/>
      </w:rPr>
    </w:lvl>
  </w:abstractNum>
  <w:abstractNum w:abstractNumId="48" w15:restartNumberingAfterBreak="0">
    <w:nsid w:val="1EBA0150"/>
    <w:multiLevelType w:val="hybridMultilevel"/>
    <w:tmpl w:val="2A649626"/>
    <w:lvl w:ilvl="0" w:tplc="D9566482">
      <w:numFmt w:val="bullet"/>
      <w:lvlText w:val="-"/>
      <w:lvlJc w:val="left"/>
      <w:pPr>
        <w:ind w:left="828" w:hanging="361"/>
      </w:pPr>
      <w:rPr>
        <w:rFonts w:ascii="Calibri" w:eastAsia="Calibri" w:hAnsi="Calibri" w:cs="Calibri" w:hint="default"/>
        <w:w w:val="100"/>
        <w:sz w:val="24"/>
        <w:szCs w:val="24"/>
        <w:lang w:val="ro-RO" w:eastAsia="en-US" w:bidi="ar-SA"/>
      </w:rPr>
    </w:lvl>
    <w:lvl w:ilvl="1" w:tplc="39FE3E76">
      <w:numFmt w:val="bullet"/>
      <w:lvlText w:val="•"/>
      <w:lvlJc w:val="left"/>
      <w:pPr>
        <w:ind w:left="1485" w:hanging="361"/>
      </w:pPr>
      <w:rPr>
        <w:rFonts w:hint="default"/>
        <w:lang w:val="ro-RO" w:eastAsia="en-US" w:bidi="ar-SA"/>
      </w:rPr>
    </w:lvl>
    <w:lvl w:ilvl="2" w:tplc="C4AA381E">
      <w:numFmt w:val="bullet"/>
      <w:lvlText w:val="•"/>
      <w:lvlJc w:val="left"/>
      <w:pPr>
        <w:ind w:left="2150" w:hanging="361"/>
      </w:pPr>
      <w:rPr>
        <w:rFonts w:hint="default"/>
        <w:lang w:val="ro-RO" w:eastAsia="en-US" w:bidi="ar-SA"/>
      </w:rPr>
    </w:lvl>
    <w:lvl w:ilvl="3" w:tplc="252EB8A4">
      <w:numFmt w:val="bullet"/>
      <w:lvlText w:val="•"/>
      <w:lvlJc w:val="left"/>
      <w:pPr>
        <w:ind w:left="2815" w:hanging="361"/>
      </w:pPr>
      <w:rPr>
        <w:rFonts w:hint="default"/>
        <w:lang w:val="ro-RO" w:eastAsia="en-US" w:bidi="ar-SA"/>
      </w:rPr>
    </w:lvl>
    <w:lvl w:ilvl="4" w:tplc="F9D022EE">
      <w:numFmt w:val="bullet"/>
      <w:lvlText w:val="•"/>
      <w:lvlJc w:val="left"/>
      <w:pPr>
        <w:ind w:left="3480" w:hanging="361"/>
      </w:pPr>
      <w:rPr>
        <w:rFonts w:hint="default"/>
        <w:lang w:val="ro-RO" w:eastAsia="en-US" w:bidi="ar-SA"/>
      </w:rPr>
    </w:lvl>
    <w:lvl w:ilvl="5" w:tplc="49721C36">
      <w:numFmt w:val="bullet"/>
      <w:lvlText w:val="•"/>
      <w:lvlJc w:val="left"/>
      <w:pPr>
        <w:ind w:left="4145" w:hanging="361"/>
      </w:pPr>
      <w:rPr>
        <w:rFonts w:hint="default"/>
        <w:lang w:val="ro-RO" w:eastAsia="en-US" w:bidi="ar-SA"/>
      </w:rPr>
    </w:lvl>
    <w:lvl w:ilvl="6" w:tplc="BDE8192A">
      <w:numFmt w:val="bullet"/>
      <w:lvlText w:val="•"/>
      <w:lvlJc w:val="left"/>
      <w:pPr>
        <w:ind w:left="4810" w:hanging="361"/>
      </w:pPr>
      <w:rPr>
        <w:rFonts w:hint="default"/>
        <w:lang w:val="ro-RO" w:eastAsia="en-US" w:bidi="ar-SA"/>
      </w:rPr>
    </w:lvl>
    <w:lvl w:ilvl="7" w:tplc="A7B44CF8">
      <w:numFmt w:val="bullet"/>
      <w:lvlText w:val="•"/>
      <w:lvlJc w:val="left"/>
      <w:pPr>
        <w:ind w:left="5475" w:hanging="361"/>
      </w:pPr>
      <w:rPr>
        <w:rFonts w:hint="default"/>
        <w:lang w:val="ro-RO" w:eastAsia="en-US" w:bidi="ar-SA"/>
      </w:rPr>
    </w:lvl>
    <w:lvl w:ilvl="8" w:tplc="3BB84EEA">
      <w:numFmt w:val="bullet"/>
      <w:lvlText w:val="•"/>
      <w:lvlJc w:val="left"/>
      <w:pPr>
        <w:ind w:left="6140" w:hanging="361"/>
      </w:pPr>
      <w:rPr>
        <w:rFonts w:hint="default"/>
        <w:lang w:val="ro-RO" w:eastAsia="en-US" w:bidi="ar-SA"/>
      </w:rPr>
    </w:lvl>
  </w:abstractNum>
  <w:abstractNum w:abstractNumId="49" w15:restartNumberingAfterBreak="0">
    <w:nsid w:val="1ED163BA"/>
    <w:multiLevelType w:val="hybridMultilevel"/>
    <w:tmpl w:val="263C34C0"/>
    <w:lvl w:ilvl="0" w:tplc="1DEA2396">
      <w:numFmt w:val="bullet"/>
      <w:lvlText w:val=""/>
      <w:lvlJc w:val="left"/>
      <w:pPr>
        <w:ind w:left="1001" w:hanging="281"/>
      </w:pPr>
      <w:rPr>
        <w:rFonts w:ascii="Wingdings" w:eastAsia="Wingdings" w:hAnsi="Wingdings" w:cs="Wingdings" w:hint="default"/>
        <w:w w:val="100"/>
        <w:sz w:val="24"/>
        <w:szCs w:val="24"/>
        <w:lang w:val="ro-RO" w:eastAsia="en-US" w:bidi="ar-SA"/>
      </w:rPr>
    </w:lvl>
    <w:lvl w:ilvl="1" w:tplc="AECC416C">
      <w:numFmt w:val="bullet"/>
      <w:lvlText w:val="•"/>
      <w:lvlJc w:val="left"/>
      <w:pPr>
        <w:ind w:left="1918" w:hanging="281"/>
      </w:pPr>
      <w:rPr>
        <w:rFonts w:hint="default"/>
        <w:lang w:val="ro-RO" w:eastAsia="en-US" w:bidi="ar-SA"/>
      </w:rPr>
    </w:lvl>
    <w:lvl w:ilvl="2" w:tplc="32A2D9DC">
      <w:numFmt w:val="bullet"/>
      <w:lvlText w:val="•"/>
      <w:lvlJc w:val="left"/>
      <w:pPr>
        <w:ind w:left="2837" w:hanging="281"/>
      </w:pPr>
      <w:rPr>
        <w:rFonts w:hint="default"/>
        <w:lang w:val="ro-RO" w:eastAsia="en-US" w:bidi="ar-SA"/>
      </w:rPr>
    </w:lvl>
    <w:lvl w:ilvl="3" w:tplc="6BB47208">
      <w:numFmt w:val="bullet"/>
      <w:lvlText w:val="•"/>
      <w:lvlJc w:val="left"/>
      <w:pPr>
        <w:ind w:left="3755" w:hanging="281"/>
      </w:pPr>
      <w:rPr>
        <w:rFonts w:hint="default"/>
        <w:lang w:val="ro-RO" w:eastAsia="en-US" w:bidi="ar-SA"/>
      </w:rPr>
    </w:lvl>
    <w:lvl w:ilvl="4" w:tplc="FA563D90">
      <w:numFmt w:val="bullet"/>
      <w:lvlText w:val="•"/>
      <w:lvlJc w:val="left"/>
      <w:pPr>
        <w:ind w:left="4674" w:hanging="281"/>
      </w:pPr>
      <w:rPr>
        <w:rFonts w:hint="default"/>
        <w:lang w:val="ro-RO" w:eastAsia="en-US" w:bidi="ar-SA"/>
      </w:rPr>
    </w:lvl>
    <w:lvl w:ilvl="5" w:tplc="3E6E6252">
      <w:numFmt w:val="bullet"/>
      <w:lvlText w:val="•"/>
      <w:lvlJc w:val="left"/>
      <w:pPr>
        <w:ind w:left="5593" w:hanging="281"/>
      </w:pPr>
      <w:rPr>
        <w:rFonts w:hint="default"/>
        <w:lang w:val="ro-RO" w:eastAsia="en-US" w:bidi="ar-SA"/>
      </w:rPr>
    </w:lvl>
    <w:lvl w:ilvl="6" w:tplc="72825B70">
      <w:numFmt w:val="bullet"/>
      <w:lvlText w:val="•"/>
      <w:lvlJc w:val="left"/>
      <w:pPr>
        <w:ind w:left="6511" w:hanging="281"/>
      </w:pPr>
      <w:rPr>
        <w:rFonts w:hint="default"/>
        <w:lang w:val="ro-RO" w:eastAsia="en-US" w:bidi="ar-SA"/>
      </w:rPr>
    </w:lvl>
    <w:lvl w:ilvl="7" w:tplc="30C0C6A8">
      <w:numFmt w:val="bullet"/>
      <w:lvlText w:val="•"/>
      <w:lvlJc w:val="left"/>
      <w:pPr>
        <w:ind w:left="7430" w:hanging="281"/>
      </w:pPr>
      <w:rPr>
        <w:rFonts w:hint="default"/>
        <w:lang w:val="ro-RO" w:eastAsia="en-US" w:bidi="ar-SA"/>
      </w:rPr>
    </w:lvl>
    <w:lvl w:ilvl="8" w:tplc="D6B2ECB0">
      <w:numFmt w:val="bullet"/>
      <w:lvlText w:val="•"/>
      <w:lvlJc w:val="left"/>
      <w:pPr>
        <w:ind w:left="8349" w:hanging="281"/>
      </w:pPr>
      <w:rPr>
        <w:rFonts w:hint="default"/>
        <w:lang w:val="ro-RO" w:eastAsia="en-US" w:bidi="ar-SA"/>
      </w:rPr>
    </w:lvl>
  </w:abstractNum>
  <w:abstractNum w:abstractNumId="50" w15:restartNumberingAfterBreak="0">
    <w:nsid w:val="1F82635F"/>
    <w:multiLevelType w:val="hybridMultilevel"/>
    <w:tmpl w:val="F16C81C2"/>
    <w:lvl w:ilvl="0" w:tplc="7D92B4CA">
      <w:numFmt w:val="bullet"/>
      <w:lvlText w:val="-"/>
      <w:lvlJc w:val="left"/>
      <w:pPr>
        <w:ind w:left="24" w:hanging="252"/>
      </w:pPr>
      <w:rPr>
        <w:rFonts w:ascii="Times New Roman" w:eastAsia="Times New Roman" w:hAnsi="Times New Roman" w:cs="Times New Roman" w:hint="default"/>
        <w:w w:val="100"/>
        <w:sz w:val="22"/>
        <w:szCs w:val="22"/>
        <w:lang w:val="ro-RO" w:eastAsia="en-US" w:bidi="ar-SA"/>
      </w:rPr>
    </w:lvl>
    <w:lvl w:ilvl="1" w:tplc="55DEAF8A">
      <w:numFmt w:val="bullet"/>
      <w:lvlText w:val="•"/>
      <w:lvlJc w:val="left"/>
      <w:pPr>
        <w:ind w:left="272" w:hanging="252"/>
      </w:pPr>
      <w:rPr>
        <w:rFonts w:hint="default"/>
        <w:lang w:val="ro-RO" w:eastAsia="en-US" w:bidi="ar-SA"/>
      </w:rPr>
    </w:lvl>
    <w:lvl w:ilvl="2" w:tplc="E81288D8">
      <w:numFmt w:val="bullet"/>
      <w:lvlText w:val="•"/>
      <w:lvlJc w:val="left"/>
      <w:pPr>
        <w:ind w:left="524" w:hanging="252"/>
      </w:pPr>
      <w:rPr>
        <w:rFonts w:hint="default"/>
        <w:lang w:val="ro-RO" w:eastAsia="en-US" w:bidi="ar-SA"/>
      </w:rPr>
    </w:lvl>
    <w:lvl w:ilvl="3" w:tplc="28F0C8B6">
      <w:numFmt w:val="bullet"/>
      <w:lvlText w:val="•"/>
      <w:lvlJc w:val="left"/>
      <w:pPr>
        <w:ind w:left="776" w:hanging="252"/>
      </w:pPr>
      <w:rPr>
        <w:rFonts w:hint="default"/>
        <w:lang w:val="ro-RO" w:eastAsia="en-US" w:bidi="ar-SA"/>
      </w:rPr>
    </w:lvl>
    <w:lvl w:ilvl="4" w:tplc="83FE3DF4">
      <w:numFmt w:val="bullet"/>
      <w:lvlText w:val="•"/>
      <w:lvlJc w:val="left"/>
      <w:pPr>
        <w:ind w:left="1028" w:hanging="252"/>
      </w:pPr>
      <w:rPr>
        <w:rFonts w:hint="default"/>
        <w:lang w:val="ro-RO" w:eastAsia="en-US" w:bidi="ar-SA"/>
      </w:rPr>
    </w:lvl>
    <w:lvl w:ilvl="5" w:tplc="4CD887F8">
      <w:numFmt w:val="bullet"/>
      <w:lvlText w:val="•"/>
      <w:lvlJc w:val="left"/>
      <w:pPr>
        <w:ind w:left="1281" w:hanging="252"/>
      </w:pPr>
      <w:rPr>
        <w:rFonts w:hint="default"/>
        <w:lang w:val="ro-RO" w:eastAsia="en-US" w:bidi="ar-SA"/>
      </w:rPr>
    </w:lvl>
    <w:lvl w:ilvl="6" w:tplc="DB3C3692">
      <w:numFmt w:val="bullet"/>
      <w:lvlText w:val="•"/>
      <w:lvlJc w:val="left"/>
      <w:pPr>
        <w:ind w:left="1533" w:hanging="252"/>
      </w:pPr>
      <w:rPr>
        <w:rFonts w:hint="default"/>
        <w:lang w:val="ro-RO" w:eastAsia="en-US" w:bidi="ar-SA"/>
      </w:rPr>
    </w:lvl>
    <w:lvl w:ilvl="7" w:tplc="EF96D6EE">
      <w:numFmt w:val="bullet"/>
      <w:lvlText w:val="•"/>
      <w:lvlJc w:val="left"/>
      <w:pPr>
        <w:ind w:left="1785" w:hanging="252"/>
      </w:pPr>
      <w:rPr>
        <w:rFonts w:hint="default"/>
        <w:lang w:val="ro-RO" w:eastAsia="en-US" w:bidi="ar-SA"/>
      </w:rPr>
    </w:lvl>
    <w:lvl w:ilvl="8" w:tplc="16CA93B4">
      <w:numFmt w:val="bullet"/>
      <w:lvlText w:val="•"/>
      <w:lvlJc w:val="left"/>
      <w:pPr>
        <w:ind w:left="2037" w:hanging="252"/>
      </w:pPr>
      <w:rPr>
        <w:rFonts w:hint="default"/>
        <w:lang w:val="ro-RO" w:eastAsia="en-US" w:bidi="ar-SA"/>
      </w:rPr>
    </w:lvl>
  </w:abstractNum>
  <w:abstractNum w:abstractNumId="51" w15:restartNumberingAfterBreak="0">
    <w:nsid w:val="2000685C"/>
    <w:multiLevelType w:val="hybridMultilevel"/>
    <w:tmpl w:val="A5E23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15043CD"/>
    <w:multiLevelType w:val="hybridMultilevel"/>
    <w:tmpl w:val="61C676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225002D0"/>
    <w:multiLevelType w:val="hybridMultilevel"/>
    <w:tmpl w:val="03621E06"/>
    <w:lvl w:ilvl="0" w:tplc="315AA7FA">
      <w:numFmt w:val="bullet"/>
      <w:lvlText w:val="-"/>
      <w:lvlJc w:val="left"/>
      <w:pPr>
        <w:ind w:left="828" w:hanging="361"/>
      </w:pPr>
      <w:rPr>
        <w:rFonts w:ascii="Calibri" w:eastAsia="Calibri" w:hAnsi="Calibri" w:cs="Calibri" w:hint="default"/>
        <w:w w:val="100"/>
        <w:sz w:val="24"/>
        <w:szCs w:val="24"/>
        <w:lang w:val="ro-RO" w:eastAsia="en-US" w:bidi="ar-SA"/>
      </w:rPr>
    </w:lvl>
    <w:lvl w:ilvl="1" w:tplc="9D8A2E2E">
      <w:numFmt w:val="bullet"/>
      <w:lvlText w:val="•"/>
      <w:lvlJc w:val="left"/>
      <w:pPr>
        <w:ind w:left="1485" w:hanging="361"/>
      </w:pPr>
      <w:rPr>
        <w:rFonts w:hint="default"/>
        <w:lang w:val="ro-RO" w:eastAsia="en-US" w:bidi="ar-SA"/>
      </w:rPr>
    </w:lvl>
    <w:lvl w:ilvl="2" w:tplc="02C6CF08">
      <w:numFmt w:val="bullet"/>
      <w:lvlText w:val="•"/>
      <w:lvlJc w:val="left"/>
      <w:pPr>
        <w:ind w:left="2150" w:hanging="361"/>
      </w:pPr>
      <w:rPr>
        <w:rFonts w:hint="default"/>
        <w:lang w:val="ro-RO" w:eastAsia="en-US" w:bidi="ar-SA"/>
      </w:rPr>
    </w:lvl>
    <w:lvl w:ilvl="3" w:tplc="FA040740">
      <w:numFmt w:val="bullet"/>
      <w:lvlText w:val="•"/>
      <w:lvlJc w:val="left"/>
      <w:pPr>
        <w:ind w:left="2815" w:hanging="361"/>
      </w:pPr>
      <w:rPr>
        <w:rFonts w:hint="default"/>
        <w:lang w:val="ro-RO" w:eastAsia="en-US" w:bidi="ar-SA"/>
      </w:rPr>
    </w:lvl>
    <w:lvl w:ilvl="4" w:tplc="8F74CBE0">
      <w:numFmt w:val="bullet"/>
      <w:lvlText w:val="•"/>
      <w:lvlJc w:val="left"/>
      <w:pPr>
        <w:ind w:left="3480" w:hanging="361"/>
      </w:pPr>
      <w:rPr>
        <w:rFonts w:hint="default"/>
        <w:lang w:val="ro-RO" w:eastAsia="en-US" w:bidi="ar-SA"/>
      </w:rPr>
    </w:lvl>
    <w:lvl w:ilvl="5" w:tplc="D06A285C">
      <w:numFmt w:val="bullet"/>
      <w:lvlText w:val="•"/>
      <w:lvlJc w:val="left"/>
      <w:pPr>
        <w:ind w:left="4145" w:hanging="361"/>
      </w:pPr>
      <w:rPr>
        <w:rFonts w:hint="default"/>
        <w:lang w:val="ro-RO" w:eastAsia="en-US" w:bidi="ar-SA"/>
      </w:rPr>
    </w:lvl>
    <w:lvl w:ilvl="6" w:tplc="CE0C32AC">
      <w:numFmt w:val="bullet"/>
      <w:lvlText w:val="•"/>
      <w:lvlJc w:val="left"/>
      <w:pPr>
        <w:ind w:left="4810" w:hanging="361"/>
      </w:pPr>
      <w:rPr>
        <w:rFonts w:hint="default"/>
        <w:lang w:val="ro-RO" w:eastAsia="en-US" w:bidi="ar-SA"/>
      </w:rPr>
    </w:lvl>
    <w:lvl w:ilvl="7" w:tplc="61F2E3DC">
      <w:numFmt w:val="bullet"/>
      <w:lvlText w:val="•"/>
      <w:lvlJc w:val="left"/>
      <w:pPr>
        <w:ind w:left="5475" w:hanging="361"/>
      </w:pPr>
      <w:rPr>
        <w:rFonts w:hint="default"/>
        <w:lang w:val="ro-RO" w:eastAsia="en-US" w:bidi="ar-SA"/>
      </w:rPr>
    </w:lvl>
    <w:lvl w:ilvl="8" w:tplc="F1169A38">
      <w:numFmt w:val="bullet"/>
      <w:lvlText w:val="•"/>
      <w:lvlJc w:val="left"/>
      <w:pPr>
        <w:ind w:left="6140" w:hanging="361"/>
      </w:pPr>
      <w:rPr>
        <w:rFonts w:hint="default"/>
        <w:lang w:val="ro-RO" w:eastAsia="en-US" w:bidi="ar-SA"/>
      </w:rPr>
    </w:lvl>
  </w:abstractNum>
  <w:abstractNum w:abstractNumId="54" w15:restartNumberingAfterBreak="0">
    <w:nsid w:val="23DC6304"/>
    <w:multiLevelType w:val="hybridMultilevel"/>
    <w:tmpl w:val="BB6CB412"/>
    <w:lvl w:ilvl="0" w:tplc="A2484108">
      <w:numFmt w:val="bullet"/>
      <w:lvlText w:val=""/>
      <w:lvlJc w:val="left"/>
      <w:pPr>
        <w:ind w:left="1733" w:hanging="360"/>
      </w:pPr>
      <w:rPr>
        <w:rFonts w:ascii="Symbol" w:eastAsia="Symbol" w:hAnsi="Symbol" w:cs="Symbol" w:hint="default"/>
        <w:w w:val="100"/>
        <w:sz w:val="24"/>
        <w:szCs w:val="24"/>
        <w:lang w:val="ro-RO" w:eastAsia="en-US" w:bidi="ar-SA"/>
      </w:rPr>
    </w:lvl>
    <w:lvl w:ilvl="1" w:tplc="315E5FC0">
      <w:numFmt w:val="bullet"/>
      <w:lvlText w:val="•"/>
      <w:lvlJc w:val="left"/>
      <w:pPr>
        <w:ind w:left="2584" w:hanging="360"/>
      </w:pPr>
      <w:rPr>
        <w:rFonts w:hint="default"/>
        <w:lang w:val="ro-RO" w:eastAsia="en-US" w:bidi="ar-SA"/>
      </w:rPr>
    </w:lvl>
    <w:lvl w:ilvl="2" w:tplc="D55E362C">
      <w:numFmt w:val="bullet"/>
      <w:lvlText w:val="•"/>
      <w:lvlJc w:val="left"/>
      <w:pPr>
        <w:ind w:left="3429" w:hanging="360"/>
      </w:pPr>
      <w:rPr>
        <w:rFonts w:hint="default"/>
        <w:lang w:val="ro-RO" w:eastAsia="en-US" w:bidi="ar-SA"/>
      </w:rPr>
    </w:lvl>
    <w:lvl w:ilvl="3" w:tplc="B7B07A00">
      <w:numFmt w:val="bullet"/>
      <w:lvlText w:val="•"/>
      <w:lvlJc w:val="left"/>
      <w:pPr>
        <w:ind w:left="4273" w:hanging="360"/>
      </w:pPr>
      <w:rPr>
        <w:rFonts w:hint="default"/>
        <w:lang w:val="ro-RO" w:eastAsia="en-US" w:bidi="ar-SA"/>
      </w:rPr>
    </w:lvl>
    <w:lvl w:ilvl="4" w:tplc="BB7E8A08">
      <w:numFmt w:val="bullet"/>
      <w:lvlText w:val="•"/>
      <w:lvlJc w:val="left"/>
      <w:pPr>
        <w:ind w:left="5118" w:hanging="360"/>
      </w:pPr>
      <w:rPr>
        <w:rFonts w:hint="default"/>
        <w:lang w:val="ro-RO" w:eastAsia="en-US" w:bidi="ar-SA"/>
      </w:rPr>
    </w:lvl>
    <w:lvl w:ilvl="5" w:tplc="BFF482EA">
      <w:numFmt w:val="bullet"/>
      <w:lvlText w:val="•"/>
      <w:lvlJc w:val="left"/>
      <w:pPr>
        <w:ind w:left="5963" w:hanging="360"/>
      </w:pPr>
      <w:rPr>
        <w:rFonts w:hint="default"/>
        <w:lang w:val="ro-RO" w:eastAsia="en-US" w:bidi="ar-SA"/>
      </w:rPr>
    </w:lvl>
    <w:lvl w:ilvl="6" w:tplc="C70A4FB0">
      <w:numFmt w:val="bullet"/>
      <w:lvlText w:val="•"/>
      <w:lvlJc w:val="left"/>
      <w:pPr>
        <w:ind w:left="6807" w:hanging="360"/>
      </w:pPr>
      <w:rPr>
        <w:rFonts w:hint="default"/>
        <w:lang w:val="ro-RO" w:eastAsia="en-US" w:bidi="ar-SA"/>
      </w:rPr>
    </w:lvl>
    <w:lvl w:ilvl="7" w:tplc="755A7D3C">
      <w:numFmt w:val="bullet"/>
      <w:lvlText w:val="•"/>
      <w:lvlJc w:val="left"/>
      <w:pPr>
        <w:ind w:left="7652" w:hanging="360"/>
      </w:pPr>
      <w:rPr>
        <w:rFonts w:hint="default"/>
        <w:lang w:val="ro-RO" w:eastAsia="en-US" w:bidi="ar-SA"/>
      </w:rPr>
    </w:lvl>
    <w:lvl w:ilvl="8" w:tplc="E8DE397E">
      <w:numFmt w:val="bullet"/>
      <w:lvlText w:val="•"/>
      <w:lvlJc w:val="left"/>
      <w:pPr>
        <w:ind w:left="8497" w:hanging="360"/>
      </w:pPr>
      <w:rPr>
        <w:rFonts w:hint="default"/>
        <w:lang w:val="ro-RO" w:eastAsia="en-US" w:bidi="ar-SA"/>
      </w:rPr>
    </w:lvl>
  </w:abstractNum>
  <w:abstractNum w:abstractNumId="55" w15:restartNumberingAfterBreak="0">
    <w:nsid w:val="24921C6D"/>
    <w:multiLevelType w:val="hybridMultilevel"/>
    <w:tmpl w:val="5F085154"/>
    <w:lvl w:ilvl="0" w:tplc="3B188E0A">
      <w:start w:val="3"/>
      <w:numFmt w:val="bullet"/>
      <w:lvlText w:val="-"/>
      <w:lvlJc w:val="left"/>
      <w:pPr>
        <w:tabs>
          <w:tab w:val="num" w:pos="644"/>
        </w:tabs>
        <w:ind w:left="644" w:hanging="360"/>
      </w:pPr>
      <w:rPr>
        <w:rFonts w:ascii="Times New Roman" w:eastAsia="Times New Roman" w:hAnsi="Times New Roman" w:cs="Times New Roman" w:hint="default"/>
      </w:rPr>
    </w:lvl>
    <w:lvl w:ilvl="1" w:tplc="04090003">
      <w:start w:val="1"/>
      <w:numFmt w:val="bullet"/>
      <w:lvlText w:val="o"/>
      <w:lvlJc w:val="left"/>
      <w:pPr>
        <w:tabs>
          <w:tab w:val="num" w:pos="1428"/>
        </w:tabs>
        <w:ind w:left="1428" w:hanging="360"/>
      </w:pPr>
      <w:rPr>
        <w:rFonts w:ascii="Courier New" w:hAnsi="Courier New" w:cs="Courier New" w:hint="default"/>
      </w:rPr>
    </w:lvl>
    <w:lvl w:ilvl="2" w:tplc="04090005">
      <w:start w:val="1"/>
      <w:numFmt w:val="bullet"/>
      <w:lvlText w:val=""/>
      <w:lvlJc w:val="left"/>
      <w:pPr>
        <w:tabs>
          <w:tab w:val="num" w:pos="2148"/>
        </w:tabs>
        <w:ind w:left="2148" w:hanging="360"/>
      </w:pPr>
      <w:rPr>
        <w:rFonts w:ascii="Wingdings" w:hAnsi="Wingdings" w:hint="default"/>
      </w:rPr>
    </w:lvl>
    <w:lvl w:ilvl="3" w:tplc="04090001">
      <w:start w:val="1"/>
      <w:numFmt w:val="bullet"/>
      <w:lvlText w:val=""/>
      <w:lvlJc w:val="left"/>
      <w:pPr>
        <w:tabs>
          <w:tab w:val="num" w:pos="2868"/>
        </w:tabs>
        <w:ind w:left="2868" w:hanging="360"/>
      </w:pPr>
      <w:rPr>
        <w:rFonts w:ascii="Symbol" w:hAnsi="Symbol" w:hint="default"/>
      </w:rPr>
    </w:lvl>
    <w:lvl w:ilvl="4" w:tplc="04090003">
      <w:start w:val="1"/>
      <w:numFmt w:val="bullet"/>
      <w:lvlText w:val="o"/>
      <w:lvlJc w:val="left"/>
      <w:pPr>
        <w:tabs>
          <w:tab w:val="num" w:pos="3588"/>
        </w:tabs>
        <w:ind w:left="3588" w:hanging="360"/>
      </w:pPr>
      <w:rPr>
        <w:rFonts w:ascii="Courier New" w:hAnsi="Courier New" w:cs="Courier New" w:hint="default"/>
      </w:rPr>
    </w:lvl>
    <w:lvl w:ilvl="5" w:tplc="04090005">
      <w:start w:val="1"/>
      <w:numFmt w:val="bullet"/>
      <w:lvlText w:val=""/>
      <w:lvlJc w:val="left"/>
      <w:pPr>
        <w:tabs>
          <w:tab w:val="num" w:pos="4308"/>
        </w:tabs>
        <w:ind w:left="4308" w:hanging="360"/>
      </w:pPr>
      <w:rPr>
        <w:rFonts w:ascii="Wingdings" w:hAnsi="Wingdings" w:hint="default"/>
      </w:rPr>
    </w:lvl>
    <w:lvl w:ilvl="6" w:tplc="04090001">
      <w:start w:val="1"/>
      <w:numFmt w:val="bullet"/>
      <w:lvlText w:val=""/>
      <w:lvlJc w:val="left"/>
      <w:pPr>
        <w:tabs>
          <w:tab w:val="num" w:pos="5028"/>
        </w:tabs>
        <w:ind w:left="5028" w:hanging="360"/>
      </w:pPr>
      <w:rPr>
        <w:rFonts w:ascii="Symbol" w:hAnsi="Symbol" w:hint="default"/>
      </w:rPr>
    </w:lvl>
    <w:lvl w:ilvl="7" w:tplc="04090003">
      <w:start w:val="1"/>
      <w:numFmt w:val="bullet"/>
      <w:lvlText w:val="o"/>
      <w:lvlJc w:val="left"/>
      <w:pPr>
        <w:tabs>
          <w:tab w:val="num" w:pos="5748"/>
        </w:tabs>
        <w:ind w:left="5748" w:hanging="360"/>
      </w:pPr>
      <w:rPr>
        <w:rFonts w:ascii="Courier New" w:hAnsi="Courier New" w:cs="Courier New" w:hint="default"/>
      </w:rPr>
    </w:lvl>
    <w:lvl w:ilvl="8" w:tplc="04090005">
      <w:start w:val="1"/>
      <w:numFmt w:val="bullet"/>
      <w:lvlText w:val=""/>
      <w:lvlJc w:val="left"/>
      <w:pPr>
        <w:tabs>
          <w:tab w:val="num" w:pos="6468"/>
        </w:tabs>
        <w:ind w:left="6468" w:hanging="360"/>
      </w:pPr>
      <w:rPr>
        <w:rFonts w:ascii="Wingdings" w:hAnsi="Wingdings" w:hint="default"/>
      </w:rPr>
    </w:lvl>
  </w:abstractNum>
  <w:abstractNum w:abstractNumId="56" w15:restartNumberingAfterBreak="0">
    <w:nsid w:val="25061AFE"/>
    <w:multiLevelType w:val="hybridMultilevel"/>
    <w:tmpl w:val="5302F112"/>
    <w:lvl w:ilvl="0" w:tplc="CA8ACAB0">
      <w:numFmt w:val="bullet"/>
      <w:lvlText w:val="-"/>
      <w:lvlJc w:val="left"/>
      <w:pPr>
        <w:ind w:left="713" w:hanging="360"/>
      </w:pPr>
      <w:rPr>
        <w:rFonts w:ascii="Calibri" w:eastAsia="Calibri" w:hAnsi="Calibri" w:cs="Calibri" w:hint="default"/>
        <w:w w:val="100"/>
        <w:sz w:val="24"/>
        <w:szCs w:val="24"/>
        <w:lang w:val="ro-RO" w:eastAsia="en-US" w:bidi="ar-SA"/>
      </w:rPr>
    </w:lvl>
    <w:lvl w:ilvl="1" w:tplc="7DB4EB72">
      <w:numFmt w:val="bullet"/>
      <w:lvlText w:val="•"/>
      <w:lvlJc w:val="left"/>
      <w:pPr>
        <w:ind w:left="1666" w:hanging="360"/>
      </w:pPr>
      <w:rPr>
        <w:rFonts w:hint="default"/>
        <w:lang w:val="ro-RO" w:eastAsia="en-US" w:bidi="ar-SA"/>
      </w:rPr>
    </w:lvl>
    <w:lvl w:ilvl="2" w:tplc="0F9E7A92">
      <w:numFmt w:val="bullet"/>
      <w:lvlText w:val="•"/>
      <w:lvlJc w:val="left"/>
      <w:pPr>
        <w:ind w:left="2613" w:hanging="360"/>
      </w:pPr>
      <w:rPr>
        <w:rFonts w:hint="default"/>
        <w:lang w:val="ro-RO" w:eastAsia="en-US" w:bidi="ar-SA"/>
      </w:rPr>
    </w:lvl>
    <w:lvl w:ilvl="3" w:tplc="BB4CEFD4">
      <w:numFmt w:val="bullet"/>
      <w:lvlText w:val="•"/>
      <w:lvlJc w:val="left"/>
      <w:pPr>
        <w:ind w:left="3559" w:hanging="360"/>
      </w:pPr>
      <w:rPr>
        <w:rFonts w:hint="default"/>
        <w:lang w:val="ro-RO" w:eastAsia="en-US" w:bidi="ar-SA"/>
      </w:rPr>
    </w:lvl>
    <w:lvl w:ilvl="4" w:tplc="5C246784">
      <w:numFmt w:val="bullet"/>
      <w:lvlText w:val="•"/>
      <w:lvlJc w:val="left"/>
      <w:pPr>
        <w:ind w:left="4506" w:hanging="360"/>
      </w:pPr>
      <w:rPr>
        <w:rFonts w:hint="default"/>
        <w:lang w:val="ro-RO" w:eastAsia="en-US" w:bidi="ar-SA"/>
      </w:rPr>
    </w:lvl>
    <w:lvl w:ilvl="5" w:tplc="8BB874CE">
      <w:numFmt w:val="bullet"/>
      <w:lvlText w:val="•"/>
      <w:lvlJc w:val="left"/>
      <w:pPr>
        <w:ind w:left="5453" w:hanging="360"/>
      </w:pPr>
      <w:rPr>
        <w:rFonts w:hint="default"/>
        <w:lang w:val="ro-RO" w:eastAsia="en-US" w:bidi="ar-SA"/>
      </w:rPr>
    </w:lvl>
    <w:lvl w:ilvl="6" w:tplc="84B0D644">
      <w:numFmt w:val="bullet"/>
      <w:lvlText w:val="•"/>
      <w:lvlJc w:val="left"/>
      <w:pPr>
        <w:ind w:left="6399" w:hanging="360"/>
      </w:pPr>
      <w:rPr>
        <w:rFonts w:hint="default"/>
        <w:lang w:val="ro-RO" w:eastAsia="en-US" w:bidi="ar-SA"/>
      </w:rPr>
    </w:lvl>
    <w:lvl w:ilvl="7" w:tplc="733E85EA">
      <w:numFmt w:val="bullet"/>
      <w:lvlText w:val="•"/>
      <w:lvlJc w:val="left"/>
      <w:pPr>
        <w:ind w:left="7346" w:hanging="360"/>
      </w:pPr>
      <w:rPr>
        <w:rFonts w:hint="default"/>
        <w:lang w:val="ro-RO" w:eastAsia="en-US" w:bidi="ar-SA"/>
      </w:rPr>
    </w:lvl>
    <w:lvl w:ilvl="8" w:tplc="FF38D1B4">
      <w:numFmt w:val="bullet"/>
      <w:lvlText w:val="•"/>
      <w:lvlJc w:val="left"/>
      <w:pPr>
        <w:ind w:left="8293" w:hanging="360"/>
      </w:pPr>
      <w:rPr>
        <w:rFonts w:hint="default"/>
        <w:lang w:val="ro-RO" w:eastAsia="en-US" w:bidi="ar-SA"/>
      </w:rPr>
    </w:lvl>
  </w:abstractNum>
  <w:abstractNum w:abstractNumId="57" w15:restartNumberingAfterBreak="0">
    <w:nsid w:val="253B7EAB"/>
    <w:multiLevelType w:val="hybridMultilevel"/>
    <w:tmpl w:val="527CC3D6"/>
    <w:lvl w:ilvl="0" w:tplc="660C5A58">
      <w:numFmt w:val="bullet"/>
      <w:lvlText w:val="-"/>
      <w:lvlJc w:val="left"/>
      <w:pPr>
        <w:ind w:left="34" w:hanging="204"/>
      </w:pPr>
      <w:rPr>
        <w:rFonts w:ascii="Times New Roman" w:eastAsia="Times New Roman" w:hAnsi="Times New Roman" w:cs="Times New Roman" w:hint="default"/>
        <w:w w:val="100"/>
        <w:sz w:val="22"/>
        <w:szCs w:val="22"/>
        <w:lang w:val="ro-RO" w:eastAsia="en-US" w:bidi="ar-SA"/>
      </w:rPr>
    </w:lvl>
    <w:lvl w:ilvl="1" w:tplc="33441530">
      <w:numFmt w:val="bullet"/>
      <w:lvlText w:val="•"/>
      <w:lvlJc w:val="left"/>
      <w:pPr>
        <w:ind w:left="292" w:hanging="204"/>
      </w:pPr>
      <w:rPr>
        <w:rFonts w:hint="default"/>
        <w:lang w:val="ro-RO" w:eastAsia="en-US" w:bidi="ar-SA"/>
      </w:rPr>
    </w:lvl>
    <w:lvl w:ilvl="2" w:tplc="282A1590">
      <w:numFmt w:val="bullet"/>
      <w:lvlText w:val="•"/>
      <w:lvlJc w:val="left"/>
      <w:pPr>
        <w:ind w:left="544" w:hanging="204"/>
      </w:pPr>
      <w:rPr>
        <w:rFonts w:hint="default"/>
        <w:lang w:val="ro-RO" w:eastAsia="en-US" w:bidi="ar-SA"/>
      </w:rPr>
    </w:lvl>
    <w:lvl w:ilvl="3" w:tplc="75B653A2">
      <w:numFmt w:val="bullet"/>
      <w:lvlText w:val="•"/>
      <w:lvlJc w:val="left"/>
      <w:pPr>
        <w:ind w:left="796" w:hanging="204"/>
      </w:pPr>
      <w:rPr>
        <w:rFonts w:hint="default"/>
        <w:lang w:val="ro-RO" w:eastAsia="en-US" w:bidi="ar-SA"/>
      </w:rPr>
    </w:lvl>
    <w:lvl w:ilvl="4" w:tplc="FEA0034C">
      <w:numFmt w:val="bullet"/>
      <w:lvlText w:val="•"/>
      <w:lvlJc w:val="left"/>
      <w:pPr>
        <w:ind w:left="1049" w:hanging="204"/>
      </w:pPr>
      <w:rPr>
        <w:rFonts w:hint="default"/>
        <w:lang w:val="ro-RO" w:eastAsia="en-US" w:bidi="ar-SA"/>
      </w:rPr>
    </w:lvl>
    <w:lvl w:ilvl="5" w:tplc="E38C150E">
      <w:numFmt w:val="bullet"/>
      <w:lvlText w:val="•"/>
      <w:lvlJc w:val="left"/>
      <w:pPr>
        <w:ind w:left="1301" w:hanging="204"/>
      </w:pPr>
      <w:rPr>
        <w:rFonts w:hint="default"/>
        <w:lang w:val="ro-RO" w:eastAsia="en-US" w:bidi="ar-SA"/>
      </w:rPr>
    </w:lvl>
    <w:lvl w:ilvl="6" w:tplc="31F280F0">
      <w:numFmt w:val="bullet"/>
      <w:lvlText w:val="•"/>
      <w:lvlJc w:val="left"/>
      <w:pPr>
        <w:ind w:left="1553" w:hanging="204"/>
      </w:pPr>
      <w:rPr>
        <w:rFonts w:hint="default"/>
        <w:lang w:val="ro-RO" w:eastAsia="en-US" w:bidi="ar-SA"/>
      </w:rPr>
    </w:lvl>
    <w:lvl w:ilvl="7" w:tplc="EF0C46F2">
      <w:numFmt w:val="bullet"/>
      <w:lvlText w:val="•"/>
      <w:lvlJc w:val="left"/>
      <w:pPr>
        <w:ind w:left="1806" w:hanging="204"/>
      </w:pPr>
      <w:rPr>
        <w:rFonts w:hint="default"/>
        <w:lang w:val="ro-RO" w:eastAsia="en-US" w:bidi="ar-SA"/>
      </w:rPr>
    </w:lvl>
    <w:lvl w:ilvl="8" w:tplc="036E077E">
      <w:numFmt w:val="bullet"/>
      <w:lvlText w:val="•"/>
      <w:lvlJc w:val="left"/>
      <w:pPr>
        <w:ind w:left="2058" w:hanging="204"/>
      </w:pPr>
      <w:rPr>
        <w:rFonts w:hint="default"/>
        <w:lang w:val="ro-RO" w:eastAsia="en-US" w:bidi="ar-SA"/>
      </w:rPr>
    </w:lvl>
  </w:abstractNum>
  <w:abstractNum w:abstractNumId="58" w15:restartNumberingAfterBreak="0">
    <w:nsid w:val="25462925"/>
    <w:multiLevelType w:val="hybridMultilevel"/>
    <w:tmpl w:val="321CE578"/>
    <w:lvl w:ilvl="0" w:tplc="E5EADAD4">
      <w:numFmt w:val="bullet"/>
      <w:lvlText w:val="-"/>
      <w:lvlJc w:val="left"/>
      <w:pPr>
        <w:ind w:left="432" w:hanging="140"/>
      </w:pPr>
      <w:rPr>
        <w:rFonts w:ascii="Times New Roman" w:eastAsia="Times New Roman" w:hAnsi="Times New Roman" w:cs="Times New Roman" w:hint="default"/>
        <w:w w:val="99"/>
        <w:sz w:val="24"/>
        <w:szCs w:val="24"/>
        <w:lang w:val="ro-RO" w:eastAsia="en-US" w:bidi="ar-SA"/>
      </w:rPr>
    </w:lvl>
    <w:lvl w:ilvl="1" w:tplc="75FA6B16">
      <w:numFmt w:val="bullet"/>
      <w:lvlText w:val=""/>
      <w:lvlJc w:val="left"/>
      <w:pPr>
        <w:ind w:left="948" w:hanging="360"/>
      </w:pPr>
      <w:rPr>
        <w:rFonts w:hint="default"/>
        <w:w w:val="100"/>
        <w:lang w:val="ro-RO" w:eastAsia="en-US" w:bidi="ar-SA"/>
      </w:rPr>
    </w:lvl>
    <w:lvl w:ilvl="2" w:tplc="8F7E6AE6">
      <w:numFmt w:val="bullet"/>
      <w:lvlText w:val="•"/>
      <w:lvlJc w:val="left"/>
      <w:pPr>
        <w:ind w:left="1967" w:hanging="360"/>
      </w:pPr>
      <w:rPr>
        <w:rFonts w:hint="default"/>
        <w:lang w:val="ro-RO" w:eastAsia="en-US" w:bidi="ar-SA"/>
      </w:rPr>
    </w:lvl>
    <w:lvl w:ilvl="3" w:tplc="740C7C10">
      <w:numFmt w:val="bullet"/>
      <w:lvlText w:val="•"/>
      <w:lvlJc w:val="left"/>
      <w:pPr>
        <w:ind w:left="2994" w:hanging="360"/>
      </w:pPr>
      <w:rPr>
        <w:rFonts w:hint="default"/>
        <w:lang w:val="ro-RO" w:eastAsia="en-US" w:bidi="ar-SA"/>
      </w:rPr>
    </w:lvl>
    <w:lvl w:ilvl="4" w:tplc="03E84FBA">
      <w:numFmt w:val="bullet"/>
      <w:lvlText w:val="•"/>
      <w:lvlJc w:val="left"/>
      <w:pPr>
        <w:ind w:left="4022" w:hanging="360"/>
      </w:pPr>
      <w:rPr>
        <w:rFonts w:hint="default"/>
        <w:lang w:val="ro-RO" w:eastAsia="en-US" w:bidi="ar-SA"/>
      </w:rPr>
    </w:lvl>
    <w:lvl w:ilvl="5" w:tplc="27D6AEA2">
      <w:numFmt w:val="bullet"/>
      <w:lvlText w:val="•"/>
      <w:lvlJc w:val="left"/>
      <w:pPr>
        <w:ind w:left="5049" w:hanging="360"/>
      </w:pPr>
      <w:rPr>
        <w:rFonts w:hint="default"/>
        <w:lang w:val="ro-RO" w:eastAsia="en-US" w:bidi="ar-SA"/>
      </w:rPr>
    </w:lvl>
    <w:lvl w:ilvl="6" w:tplc="1D1C08E0">
      <w:numFmt w:val="bullet"/>
      <w:lvlText w:val="•"/>
      <w:lvlJc w:val="left"/>
      <w:pPr>
        <w:ind w:left="6076" w:hanging="360"/>
      </w:pPr>
      <w:rPr>
        <w:rFonts w:hint="default"/>
        <w:lang w:val="ro-RO" w:eastAsia="en-US" w:bidi="ar-SA"/>
      </w:rPr>
    </w:lvl>
    <w:lvl w:ilvl="7" w:tplc="D668F3C2">
      <w:numFmt w:val="bullet"/>
      <w:lvlText w:val="•"/>
      <w:lvlJc w:val="left"/>
      <w:pPr>
        <w:ind w:left="7104" w:hanging="360"/>
      </w:pPr>
      <w:rPr>
        <w:rFonts w:hint="default"/>
        <w:lang w:val="ro-RO" w:eastAsia="en-US" w:bidi="ar-SA"/>
      </w:rPr>
    </w:lvl>
    <w:lvl w:ilvl="8" w:tplc="0A0CE170">
      <w:numFmt w:val="bullet"/>
      <w:lvlText w:val="•"/>
      <w:lvlJc w:val="left"/>
      <w:pPr>
        <w:ind w:left="8131" w:hanging="360"/>
      </w:pPr>
      <w:rPr>
        <w:rFonts w:hint="default"/>
        <w:lang w:val="ro-RO" w:eastAsia="en-US" w:bidi="ar-SA"/>
      </w:rPr>
    </w:lvl>
  </w:abstractNum>
  <w:abstractNum w:abstractNumId="59" w15:restartNumberingAfterBreak="0">
    <w:nsid w:val="260662B3"/>
    <w:multiLevelType w:val="hybridMultilevel"/>
    <w:tmpl w:val="9150178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6460B11"/>
    <w:multiLevelType w:val="hybridMultilevel"/>
    <w:tmpl w:val="7778B756"/>
    <w:lvl w:ilvl="0" w:tplc="6AC0D1A2">
      <w:start w:val="1"/>
      <w:numFmt w:val="bullet"/>
      <w:lvlText w:val="-"/>
      <w:lvlJc w:val="left"/>
      <w:pPr>
        <w:ind w:left="36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1" w15:restartNumberingAfterBreak="0">
    <w:nsid w:val="275F1F4F"/>
    <w:multiLevelType w:val="hybridMultilevel"/>
    <w:tmpl w:val="9736578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2" w15:restartNumberingAfterBreak="0">
    <w:nsid w:val="27994F40"/>
    <w:multiLevelType w:val="hybridMultilevel"/>
    <w:tmpl w:val="29FABC86"/>
    <w:lvl w:ilvl="0" w:tplc="197AB594">
      <w:numFmt w:val="bullet"/>
      <w:lvlText w:val="-"/>
      <w:lvlJc w:val="left"/>
      <w:pPr>
        <w:ind w:left="34" w:hanging="204"/>
      </w:pPr>
      <w:rPr>
        <w:rFonts w:ascii="Times New Roman" w:eastAsia="Times New Roman" w:hAnsi="Times New Roman" w:cs="Times New Roman" w:hint="default"/>
        <w:w w:val="100"/>
        <w:sz w:val="22"/>
        <w:szCs w:val="22"/>
        <w:lang w:val="ro-RO" w:eastAsia="en-US" w:bidi="ar-SA"/>
      </w:rPr>
    </w:lvl>
    <w:lvl w:ilvl="1" w:tplc="91B44EA4">
      <w:numFmt w:val="bullet"/>
      <w:lvlText w:val="•"/>
      <w:lvlJc w:val="left"/>
      <w:pPr>
        <w:ind w:left="292" w:hanging="204"/>
      </w:pPr>
      <w:rPr>
        <w:rFonts w:hint="default"/>
        <w:lang w:val="ro-RO" w:eastAsia="en-US" w:bidi="ar-SA"/>
      </w:rPr>
    </w:lvl>
    <w:lvl w:ilvl="2" w:tplc="55B45D96">
      <w:numFmt w:val="bullet"/>
      <w:lvlText w:val="•"/>
      <w:lvlJc w:val="left"/>
      <w:pPr>
        <w:ind w:left="544" w:hanging="204"/>
      </w:pPr>
      <w:rPr>
        <w:rFonts w:hint="default"/>
        <w:lang w:val="ro-RO" w:eastAsia="en-US" w:bidi="ar-SA"/>
      </w:rPr>
    </w:lvl>
    <w:lvl w:ilvl="3" w:tplc="BC685A18">
      <w:numFmt w:val="bullet"/>
      <w:lvlText w:val="•"/>
      <w:lvlJc w:val="left"/>
      <w:pPr>
        <w:ind w:left="796" w:hanging="204"/>
      </w:pPr>
      <w:rPr>
        <w:rFonts w:hint="default"/>
        <w:lang w:val="ro-RO" w:eastAsia="en-US" w:bidi="ar-SA"/>
      </w:rPr>
    </w:lvl>
    <w:lvl w:ilvl="4" w:tplc="A0623CBE">
      <w:numFmt w:val="bullet"/>
      <w:lvlText w:val="•"/>
      <w:lvlJc w:val="left"/>
      <w:pPr>
        <w:ind w:left="1049" w:hanging="204"/>
      </w:pPr>
      <w:rPr>
        <w:rFonts w:hint="default"/>
        <w:lang w:val="ro-RO" w:eastAsia="en-US" w:bidi="ar-SA"/>
      </w:rPr>
    </w:lvl>
    <w:lvl w:ilvl="5" w:tplc="CFC8D0B6">
      <w:numFmt w:val="bullet"/>
      <w:lvlText w:val="•"/>
      <w:lvlJc w:val="left"/>
      <w:pPr>
        <w:ind w:left="1301" w:hanging="204"/>
      </w:pPr>
      <w:rPr>
        <w:rFonts w:hint="default"/>
        <w:lang w:val="ro-RO" w:eastAsia="en-US" w:bidi="ar-SA"/>
      </w:rPr>
    </w:lvl>
    <w:lvl w:ilvl="6" w:tplc="910E557E">
      <w:numFmt w:val="bullet"/>
      <w:lvlText w:val="•"/>
      <w:lvlJc w:val="left"/>
      <w:pPr>
        <w:ind w:left="1553" w:hanging="204"/>
      </w:pPr>
      <w:rPr>
        <w:rFonts w:hint="default"/>
        <w:lang w:val="ro-RO" w:eastAsia="en-US" w:bidi="ar-SA"/>
      </w:rPr>
    </w:lvl>
    <w:lvl w:ilvl="7" w:tplc="32D68B46">
      <w:numFmt w:val="bullet"/>
      <w:lvlText w:val="•"/>
      <w:lvlJc w:val="left"/>
      <w:pPr>
        <w:ind w:left="1806" w:hanging="204"/>
      </w:pPr>
      <w:rPr>
        <w:rFonts w:hint="default"/>
        <w:lang w:val="ro-RO" w:eastAsia="en-US" w:bidi="ar-SA"/>
      </w:rPr>
    </w:lvl>
    <w:lvl w:ilvl="8" w:tplc="762840CC">
      <w:numFmt w:val="bullet"/>
      <w:lvlText w:val="•"/>
      <w:lvlJc w:val="left"/>
      <w:pPr>
        <w:ind w:left="2058" w:hanging="204"/>
      </w:pPr>
      <w:rPr>
        <w:rFonts w:hint="default"/>
        <w:lang w:val="ro-RO" w:eastAsia="en-US" w:bidi="ar-SA"/>
      </w:rPr>
    </w:lvl>
  </w:abstractNum>
  <w:abstractNum w:abstractNumId="63" w15:restartNumberingAfterBreak="0">
    <w:nsid w:val="27EE08C5"/>
    <w:multiLevelType w:val="hybridMultilevel"/>
    <w:tmpl w:val="5B2AF1B0"/>
    <w:lvl w:ilvl="0" w:tplc="A5D08A00">
      <w:start w:val="1"/>
      <w:numFmt w:val="lowerLetter"/>
      <w:lvlText w:val="%1."/>
      <w:lvlJc w:val="left"/>
      <w:pPr>
        <w:ind w:left="1093" w:hanging="360"/>
      </w:pPr>
      <w:rPr>
        <w:rFonts w:ascii="Times New Roman" w:eastAsia="Times New Roman" w:hAnsi="Times New Roman" w:cs="Times New Roman" w:hint="default"/>
        <w:spacing w:val="-1"/>
        <w:w w:val="100"/>
        <w:sz w:val="24"/>
        <w:szCs w:val="24"/>
        <w:lang w:val="ro-RO" w:eastAsia="en-US" w:bidi="ar-SA"/>
      </w:rPr>
    </w:lvl>
    <w:lvl w:ilvl="1" w:tplc="A942F6EC">
      <w:numFmt w:val="bullet"/>
      <w:lvlText w:val="•"/>
      <w:lvlJc w:val="left"/>
      <w:pPr>
        <w:ind w:left="2032" w:hanging="360"/>
      </w:pPr>
      <w:rPr>
        <w:rFonts w:hint="default"/>
        <w:lang w:val="ro-RO" w:eastAsia="en-US" w:bidi="ar-SA"/>
      </w:rPr>
    </w:lvl>
    <w:lvl w:ilvl="2" w:tplc="83C82A60">
      <w:numFmt w:val="bullet"/>
      <w:lvlText w:val="•"/>
      <w:lvlJc w:val="left"/>
      <w:pPr>
        <w:ind w:left="2965" w:hanging="360"/>
      </w:pPr>
      <w:rPr>
        <w:rFonts w:hint="default"/>
        <w:lang w:val="ro-RO" w:eastAsia="en-US" w:bidi="ar-SA"/>
      </w:rPr>
    </w:lvl>
    <w:lvl w:ilvl="3" w:tplc="FA1C9F70">
      <w:numFmt w:val="bullet"/>
      <w:lvlText w:val="•"/>
      <w:lvlJc w:val="left"/>
      <w:pPr>
        <w:ind w:left="3897" w:hanging="360"/>
      </w:pPr>
      <w:rPr>
        <w:rFonts w:hint="default"/>
        <w:lang w:val="ro-RO" w:eastAsia="en-US" w:bidi="ar-SA"/>
      </w:rPr>
    </w:lvl>
    <w:lvl w:ilvl="4" w:tplc="2AF2E8D4">
      <w:numFmt w:val="bullet"/>
      <w:lvlText w:val="•"/>
      <w:lvlJc w:val="left"/>
      <w:pPr>
        <w:ind w:left="4830" w:hanging="360"/>
      </w:pPr>
      <w:rPr>
        <w:rFonts w:hint="default"/>
        <w:lang w:val="ro-RO" w:eastAsia="en-US" w:bidi="ar-SA"/>
      </w:rPr>
    </w:lvl>
    <w:lvl w:ilvl="5" w:tplc="B2F27D3C">
      <w:numFmt w:val="bullet"/>
      <w:lvlText w:val="•"/>
      <w:lvlJc w:val="left"/>
      <w:pPr>
        <w:ind w:left="5763" w:hanging="360"/>
      </w:pPr>
      <w:rPr>
        <w:rFonts w:hint="default"/>
        <w:lang w:val="ro-RO" w:eastAsia="en-US" w:bidi="ar-SA"/>
      </w:rPr>
    </w:lvl>
    <w:lvl w:ilvl="6" w:tplc="F9A60ABE">
      <w:numFmt w:val="bullet"/>
      <w:lvlText w:val="•"/>
      <w:lvlJc w:val="left"/>
      <w:pPr>
        <w:ind w:left="6695" w:hanging="360"/>
      </w:pPr>
      <w:rPr>
        <w:rFonts w:hint="default"/>
        <w:lang w:val="ro-RO" w:eastAsia="en-US" w:bidi="ar-SA"/>
      </w:rPr>
    </w:lvl>
    <w:lvl w:ilvl="7" w:tplc="6C8226D2">
      <w:numFmt w:val="bullet"/>
      <w:lvlText w:val="•"/>
      <w:lvlJc w:val="left"/>
      <w:pPr>
        <w:ind w:left="7628" w:hanging="360"/>
      </w:pPr>
      <w:rPr>
        <w:rFonts w:hint="default"/>
        <w:lang w:val="ro-RO" w:eastAsia="en-US" w:bidi="ar-SA"/>
      </w:rPr>
    </w:lvl>
    <w:lvl w:ilvl="8" w:tplc="C5B8B8F8">
      <w:numFmt w:val="bullet"/>
      <w:lvlText w:val="•"/>
      <w:lvlJc w:val="left"/>
      <w:pPr>
        <w:ind w:left="8561" w:hanging="360"/>
      </w:pPr>
      <w:rPr>
        <w:rFonts w:hint="default"/>
        <w:lang w:val="ro-RO" w:eastAsia="en-US" w:bidi="ar-SA"/>
      </w:rPr>
    </w:lvl>
  </w:abstractNum>
  <w:abstractNum w:abstractNumId="64" w15:restartNumberingAfterBreak="0">
    <w:nsid w:val="27F64CA1"/>
    <w:multiLevelType w:val="hybridMultilevel"/>
    <w:tmpl w:val="0B6A5D6C"/>
    <w:lvl w:ilvl="0" w:tplc="8E82AD60">
      <w:numFmt w:val="bullet"/>
      <w:lvlText w:val="-"/>
      <w:lvlJc w:val="left"/>
      <w:pPr>
        <w:ind w:left="22" w:hanging="258"/>
      </w:pPr>
      <w:rPr>
        <w:rFonts w:ascii="Times New Roman" w:eastAsia="Times New Roman" w:hAnsi="Times New Roman" w:cs="Times New Roman" w:hint="default"/>
        <w:w w:val="100"/>
        <w:sz w:val="22"/>
        <w:szCs w:val="22"/>
        <w:lang w:val="ro-RO" w:eastAsia="en-US" w:bidi="ar-SA"/>
      </w:rPr>
    </w:lvl>
    <w:lvl w:ilvl="1" w:tplc="B07C2514">
      <w:numFmt w:val="bullet"/>
      <w:lvlText w:val="•"/>
      <w:lvlJc w:val="left"/>
      <w:pPr>
        <w:ind w:left="273" w:hanging="258"/>
      </w:pPr>
      <w:rPr>
        <w:rFonts w:hint="default"/>
        <w:lang w:val="ro-RO" w:eastAsia="en-US" w:bidi="ar-SA"/>
      </w:rPr>
    </w:lvl>
    <w:lvl w:ilvl="2" w:tplc="E312C756">
      <w:numFmt w:val="bullet"/>
      <w:lvlText w:val="•"/>
      <w:lvlJc w:val="left"/>
      <w:pPr>
        <w:ind w:left="527" w:hanging="258"/>
      </w:pPr>
      <w:rPr>
        <w:rFonts w:hint="default"/>
        <w:lang w:val="ro-RO" w:eastAsia="en-US" w:bidi="ar-SA"/>
      </w:rPr>
    </w:lvl>
    <w:lvl w:ilvl="3" w:tplc="C7CEA24E">
      <w:numFmt w:val="bullet"/>
      <w:lvlText w:val="•"/>
      <w:lvlJc w:val="left"/>
      <w:pPr>
        <w:ind w:left="781" w:hanging="258"/>
      </w:pPr>
      <w:rPr>
        <w:rFonts w:hint="default"/>
        <w:lang w:val="ro-RO" w:eastAsia="en-US" w:bidi="ar-SA"/>
      </w:rPr>
    </w:lvl>
    <w:lvl w:ilvl="4" w:tplc="0B1EEBD0">
      <w:numFmt w:val="bullet"/>
      <w:lvlText w:val="•"/>
      <w:lvlJc w:val="left"/>
      <w:pPr>
        <w:ind w:left="1035" w:hanging="258"/>
      </w:pPr>
      <w:rPr>
        <w:rFonts w:hint="default"/>
        <w:lang w:val="ro-RO" w:eastAsia="en-US" w:bidi="ar-SA"/>
      </w:rPr>
    </w:lvl>
    <w:lvl w:ilvl="5" w:tplc="4C222AE2">
      <w:numFmt w:val="bullet"/>
      <w:lvlText w:val="•"/>
      <w:lvlJc w:val="left"/>
      <w:pPr>
        <w:ind w:left="1289" w:hanging="258"/>
      </w:pPr>
      <w:rPr>
        <w:rFonts w:hint="default"/>
        <w:lang w:val="ro-RO" w:eastAsia="en-US" w:bidi="ar-SA"/>
      </w:rPr>
    </w:lvl>
    <w:lvl w:ilvl="6" w:tplc="8B8CE03E">
      <w:numFmt w:val="bullet"/>
      <w:lvlText w:val="•"/>
      <w:lvlJc w:val="left"/>
      <w:pPr>
        <w:ind w:left="1542" w:hanging="258"/>
      </w:pPr>
      <w:rPr>
        <w:rFonts w:hint="default"/>
        <w:lang w:val="ro-RO" w:eastAsia="en-US" w:bidi="ar-SA"/>
      </w:rPr>
    </w:lvl>
    <w:lvl w:ilvl="7" w:tplc="57F823A2">
      <w:numFmt w:val="bullet"/>
      <w:lvlText w:val="•"/>
      <w:lvlJc w:val="left"/>
      <w:pPr>
        <w:ind w:left="1796" w:hanging="258"/>
      </w:pPr>
      <w:rPr>
        <w:rFonts w:hint="default"/>
        <w:lang w:val="ro-RO" w:eastAsia="en-US" w:bidi="ar-SA"/>
      </w:rPr>
    </w:lvl>
    <w:lvl w:ilvl="8" w:tplc="48F40C90">
      <w:numFmt w:val="bullet"/>
      <w:lvlText w:val="•"/>
      <w:lvlJc w:val="left"/>
      <w:pPr>
        <w:ind w:left="2050" w:hanging="258"/>
      </w:pPr>
      <w:rPr>
        <w:rFonts w:hint="default"/>
        <w:lang w:val="ro-RO" w:eastAsia="en-US" w:bidi="ar-SA"/>
      </w:rPr>
    </w:lvl>
  </w:abstractNum>
  <w:abstractNum w:abstractNumId="65" w15:restartNumberingAfterBreak="0">
    <w:nsid w:val="28EB7814"/>
    <w:multiLevelType w:val="hybridMultilevel"/>
    <w:tmpl w:val="ECA4E928"/>
    <w:lvl w:ilvl="0" w:tplc="58121414">
      <w:numFmt w:val="bullet"/>
      <w:lvlText w:val="-"/>
      <w:lvlJc w:val="left"/>
      <w:pPr>
        <w:ind w:left="34" w:hanging="204"/>
      </w:pPr>
      <w:rPr>
        <w:rFonts w:ascii="Times New Roman" w:eastAsia="Times New Roman" w:hAnsi="Times New Roman" w:cs="Times New Roman" w:hint="default"/>
        <w:w w:val="100"/>
        <w:sz w:val="22"/>
        <w:szCs w:val="22"/>
        <w:lang w:val="ro-RO" w:eastAsia="en-US" w:bidi="ar-SA"/>
      </w:rPr>
    </w:lvl>
    <w:lvl w:ilvl="1" w:tplc="9BB85BFC">
      <w:numFmt w:val="bullet"/>
      <w:lvlText w:val="•"/>
      <w:lvlJc w:val="left"/>
      <w:pPr>
        <w:ind w:left="292" w:hanging="204"/>
      </w:pPr>
      <w:rPr>
        <w:rFonts w:hint="default"/>
        <w:lang w:val="ro-RO" w:eastAsia="en-US" w:bidi="ar-SA"/>
      </w:rPr>
    </w:lvl>
    <w:lvl w:ilvl="2" w:tplc="2F74E85A">
      <w:numFmt w:val="bullet"/>
      <w:lvlText w:val="•"/>
      <w:lvlJc w:val="left"/>
      <w:pPr>
        <w:ind w:left="544" w:hanging="204"/>
      </w:pPr>
      <w:rPr>
        <w:rFonts w:hint="default"/>
        <w:lang w:val="ro-RO" w:eastAsia="en-US" w:bidi="ar-SA"/>
      </w:rPr>
    </w:lvl>
    <w:lvl w:ilvl="3" w:tplc="751C194C">
      <w:numFmt w:val="bullet"/>
      <w:lvlText w:val="•"/>
      <w:lvlJc w:val="left"/>
      <w:pPr>
        <w:ind w:left="796" w:hanging="204"/>
      </w:pPr>
      <w:rPr>
        <w:rFonts w:hint="default"/>
        <w:lang w:val="ro-RO" w:eastAsia="en-US" w:bidi="ar-SA"/>
      </w:rPr>
    </w:lvl>
    <w:lvl w:ilvl="4" w:tplc="D32E1624">
      <w:numFmt w:val="bullet"/>
      <w:lvlText w:val="•"/>
      <w:lvlJc w:val="left"/>
      <w:pPr>
        <w:ind w:left="1049" w:hanging="204"/>
      </w:pPr>
      <w:rPr>
        <w:rFonts w:hint="default"/>
        <w:lang w:val="ro-RO" w:eastAsia="en-US" w:bidi="ar-SA"/>
      </w:rPr>
    </w:lvl>
    <w:lvl w:ilvl="5" w:tplc="B7747614">
      <w:numFmt w:val="bullet"/>
      <w:lvlText w:val="•"/>
      <w:lvlJc w:val="left"/>
      <w:pPr>
        <w:ind w:left="1301" w:hanging="204"/>
      </w:pPr>
      <w:rPr>
        <w:rFonts w:hint="default"/>
        <w:lang w:val="ro-RO" w:eastAsia="en-US" w:bidi="ar-SA"/>
      </w:rPr>
    </w:lvl>
    <w:lvl w:ilvl="6" w:tplc="3C3AE342">
      <w:numFmt w:val="bullet"/>
      <w:lvlText w:val="•"/>
      <w:lvlJc w:val="left"/>
      <w:pPr>
        <w:ind w:left="1553" w:hanging="204"/>
      </w:pPr>
      <w:rPr>
        <w:rFonts w:hint="default"/>
        <w:lang w:val="ro-RO" w:eastAsia="en-US" w:bidi="ar-SA"/>
      </w:rPr>
    </w:lvl>
    <w:lvl w:ilvl="7" w:tplc="138AEBFA">
      <w:numFmt w:val="bullet"/>
      <w:lvlText w:val="•"/>
      <w:lvlJc w:val="left"/>
      <w:pPr>
        <w:ind w:left="1806" w:hanging="204"/>
      </w:pPr>
      <w:rPr>
        <w:rFonts w:hint="default"/>
        <w:lang w:val="ro-RO" w:eastAsia="en-US" w:bidi="ar-SA"/>
      </w:rPr>
    </w:lvl>
    <w:lvl w:ilvl="8" w:tplc="73E8F180">
      <w:numFmt w:val="bullet"/>
      <w:lvlText w:val="•"/>
      <w:lvlJc w:val="left"/>
      <w:pPr>
        <w:ind w:left="2058" w:hanging="204"/>
      </w:pPr>
      <w:rPr>
        <w:rFonts w:hint="default"/>
        <w:lang w:val="ro-RO" w:eastAsia="en-US" w:bidi="ar-SA"/>
      </w:rPr>
    </w:lvl>
  </w:abstractNum>
  <w:abstractNum w:abstractNumId="66" w15:restartNumberingAfterBreak="0">
    <w:nsid w:val="298D3A65"/>
    <w:multiLevelType w:val="hybridMultilevel"/>
    <w:tmpl w:val="ECF2A8A8"/>
    <w:lvl w:ilvl="0" w:tplc="6AC0D1A2">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7" w15:restartNumberingAfterBreak="0">
    <w:nsid w:val="2A8D17D6"/>
    <w:multiLevelType w:val="hybridMultilevel"/>
    <w:tmpl w:val="5D2AB054"/>
    <w:lvl w:ilvl="0" w:tplc="3DEAC76E">
      <w:numFmt w:val="bullet"/>
      <w:lvlText w:val="-"/>
      <w:lvlJc w:val="left"/>
      <w:pPr>
        <w:ind w:left="366" w:hanging="140"/>
      </w:pPr>
      <w:rPr>
        <w:rFonts w:ascii="Times New Roman" w:eastAsia="Times New Roman" w:hAnsi="Times New Roman" w:cs="Times New Roman" w:hint="default"/>
        <w:w w:val="99"/>
        <w:sz w:val="24"/>
        <w:szCs w:val="24"/>
        <w:lang w:val="ro-RO" w:eastAsia="en-US" w:bidi="ar-SA"/>
      </w:rPr>
    </w:lvl>
    <w:lvl w:ilvl="1" w:tplc="7DA23DDC">
      <w:numFmt w:val="bullet"/>
      <w:lvlText w:val="•"/>
      <w:lvlJc w:val="left"/>
      <w:pPr>
        <w:ind w:left="1033" w:hanging="140"/>
      </w:pPr>
      <w:rPr>
        <w:rFonts w:hint="default"/>
        <w:lang w:val="ro-RO" w:eastAsia="en-US" w:bidi="ar-SA"/>
      </w:rPr>
    </w:lvl>
    <w:lvl w:ilvl="2" w:tplc="9E661D62">
      <w:numFmt w:val="bullet"/>
      <w:lvlText w:val="•"/>
      <w:lvlJc w:val="left"/>
      <w:pPr>
        <w:ind w:left="1706" w:hanging="140"/>
      </w:pPr>
      <w:rPr>
        <w:rFonts w:hint="default"/>
        <w:lang w:val="ro-RO" w:eastAsia="en-US" w:bidi="ar-SA"/>
      </w:rPr>
    </w:lvl>
    <w:lvl w:ilvl="3" w:tplc="8DC098AA">
      <w:numFmt w:val="bullet"/>
      <w:lvlText w:val="•"/>
      <w:lvlJc w:val="left"/>
      <w:pPr>
        <w:ind w:left="2379" w:hanging="140"/>
      </w:pPr>
      <w:rPr>
        <w:rFonts w:hint="default"/>
        <w:lang w:val="ro-RO" w:eastAsia="en-US" w:bidi="ar-SA"/>
      </w:rPr>
    </w:lvl>
    <w:lvl w:ilvl="4" w:tplc="22522EC8">
      <w:numFmt w:val="bullet"/>
      <w:lvlText w:val="•"/>
      <w:lvlJc w:val="left"/>
      <w:pPr>
        <w:ind w:left="3052" w:hanging="140"/>
      </w:pPr>
      <w:rPr>
        <w:rFonts w:hint="default"/>
        <w:lang w:val="ro-RO" w:eastAsia="en-US" w:bidi="ar-SA"/>
      </w:rPr>
    </w:lvl>
    <w:lvl w:ilvl="5" w:tplc="FE162836">
      <w:numFmt w:val="bullet"/>
      <w:lvlText w:val="•"/>
      <w:lvlJc w:val="left"/>
      <w:pPr>
        <w:ind w:left="3725" w:hanging="140"/>
      </w:pPr>
      <w:rPr>
        <w:rFonts w:hint="default"/>
        <w:lang w:val="ro-RO" w:eastAsia="en-US" w:bidi="ar-SA"/>
      </w:rPr>
    </w:lvl>
    <w:lvl w:ilvl="6" w:tplc="1114ADC0">
      <w:numFmt w:val="bullet"/>
      <w:lvlText w:val="•"/>
      <w:lvlJc w:val="left"/>
      <w:pPr>
        <w:ind w:left="4398" w:hanging="140"/>
      </w:pPr>
      <w:rPr>
        <w:rFonts w:hint="default"/>
        <w:lang w:val="ro-RO" w:eastAsia="en-US" w:bidi="ar-SA"/>
      </w:rPr>
    </w:lvl>
    <w:lvl w:ilvl="7" w:tplc="38F0A0B6">
      <w:numFmt w:val="bullet"/>
      <w:lvlText w:val="•"/>
      <w:lvlJc w:val="left"/>
      <w:pPr>
        <w:ind w:left="5071" w:hanging="140"/>
      </w:pPr>
      <w:rPr>
        <w:rFonts w:hint="default"/>
        <w:lang w:val="ro-RO" w:eastAsia="en-US" w:bidi="ar-SA"/>
      </w:rPr>
    </w:lvl>
    <w:lvl w:ilvl="8" w:tplc="10D2AE0C">
      <w:numFmt w:val="bullet"/>
      <w:lvlText w:val="•"/>
      <w:lvlJc w:val="left"/>
      <w:pPr>
        <w:ind w:left="5744" w:hanging="140"/>
      </w:pPr>
      <w:rPr>
        <w:rFonts w:hint="default"/>
        <w:lang w:val="ro-RO" w:eastAsia="en-US" w:bidi="ar-SA"/>
      </w:rPr>
    </w:lvl>
  </w:abstractNum>
  <w:abstractNum w:abstractNumId="68" w15:restartNumberingAfterBreak="0">
    <w:nsid w:val="2B481E6D"/>
    <w:multiLevelType w:val="hybridMultilevel"/>
    <w:tmpl w:val="DE2E17B4"/>
    <w:lvl w:ilvl="0" w:tplc="9C2CC29E">
      <w:numFmt w:val="bullet"/>
      <w:lvlText w:val="-"/>
      <w:lvlJc w:val="left"/>
      <w:pPr>
        <w:ind w:left="24" w:hanging="252"/>
      </w:pPr>
      <w:rPr>
        <w:rFonts w:ascii="Times New Roman" w:eastAsia="Times New Roman" w:hAnsi="Times New Roman" w:cs="Times New Roman" w:hint="default"/>
        <w:w w:val="100"/>
        <w:sz w:val="22"/>
        <w:szCs w:val="22"/>
        <w:lang w:val="ro-RO" w:eastAsia="en-US" w:bidi="ar-SA"/>
      </w:rPr>
    </w:lvl>
    <w:lvl w:ilvl="1" w:tplc="9B28F3A8">
      <w:numFmt w:val="bullet"/>
      <w:lvlText w:val="•"/>
      <w:lvlJc w:val="left"/>
      <w:pPr>
        <w:ind w:left="272" w:hanging="252"/>
      </w:pPr>
      <w:rPr>
        <w:rFonts w:hint="default"/>
        <w:lang w:val="ro-RO" w:eastAsia="en-US" w:bidi="ar-SA"/>
      </w:rPr>
    </w:lvl>
    <w:lvl w:ilvl="2" w:tplc="F9BC692E">
      <w:numFmt w:val="bullet"/>
      <w:lvlText w:val="•"/>
      <w:lvlJc w:val="left"/>
      <w:pPr>
        <w:ind w:left="524" w:hanging="252"/>
      </w:pPr>
      <w:rPr>
        <w:rFonts w:hint="default"/>
        <w:lang w:val="ro-RO" w:eastAsia="en-US" w:bidi="ar-SA"/>
      </w:rPr>
    </w:lvl>
    <w:lvl w:ilvl="3" w:tplc="5FD6F694">
      <w:numFmt w:val="bullet"/>
      <w:lvlText w:val="•"/>
      <w:lvlJc w:val="left"/>
      <w:pPr>
        <w:ind w:left="776" w:hanging="252"/>
      </w:pPr>
      <w:rPr>
        <w:rFonts w:hint="default"/>
        <w:lang w:val="ro-RO" w:eastAsia="en-US" w:bidi="ar-SA"/>
      </w:rPr>
    </w:lvl>
    <w:lvl w:ilvl="4" w:tplc="1070FCB4">
      <w:numFmt w:val="bullet"/>
      <w:lvlText w:val="•"/>
      <w:lvlJc w:val="left"/>
      <w:pPr>
        <w:ind w:left="1028" w:hanging="252"/>
      </w:pPr>
      <w:rPr>
        <w:rFonts w:hint="default"/>
        <w:lang w:val="ro-RO" w:eastAsia="en-US" w:bidi="ar-SA"/>
      </w:rPr>
    </w:lvl>
    <w:lvl w:ilvl="5" w:tplc="1B084E30">
      <w:numFmt w:val="bullet"/>
      <w:lvlText w:val="•"/>
      <w:lvlJc w:val="left"/>
      <w:pPr>
        <w:ind w:left="1281" w:hanging="252"/>
      </w:pPr>
      <w:rPr>
        <w:rFonts w:hint="default"/>
        <w:lang w:val="ro-RO" w:eastAsia="en-US" w:bidi="ar-SA"/>
      </w:rPr>
    </w:lvl>
    <w:lvl w:ilvl="6" w:tplc="0D88872E">
      <w:numFmt w:val="bullet"/>
      <w:lvlText w:val="•"/>
      <w:lvlJc w:val="left"/>
      <w:pPr>
        <w:ind w:left="1533" w:hanging="252"/>
      </w:pPr>
      <w:rPr>
        <w:rFonts w:hint="default"/>
        <w:lang w:val="ro-RO" w:eastAsia="en-US" w:bidi="ar-SA"/>
      </w:rPr>
    </w:lvl>
    <w:lvl w:ilvl="7" w:tplc="4F62DEB2">
      <w:numFmt w:val="bullet"/>
      <w:lvlText w:val="•"/>
      <w:lvlJc w:val="left"/>
      <w:pPr>
        <w:ind w:left="1785" w:hanging="252"/>
      </w:pPr>
      <w:rPr>
        <w:rFonts w:hint="default"/>
        <w:lang w:val="ro-RO" w:eastAsia="en-US" w:bidi="ar-SA"/>
      </w:rPr>
    </w:lvl>
    <w:lvl w:ilvl="8" w:tplc="F39085E4">
      <w:numFmt w:val="bullet"/>
      <w:lvlText w:val="•"/>
      <w:lvlJc w:val="left"/>
      <w:pPr>
        <w:ind w:left="2037" w:hanging="252"/>
      </w:pPr>
      <w:rPr>
        <w:rFonts w:hint="default"/>
        <w:lang w:val="ro-RO" w:eastAsia="en-US" w:bidi="ar-SA"/>
      </w:rPr>
    </w:lvl>
  </w:abstractNum>
  <w:abstractNum w:abstractNumId="69" w15:restartNumberingAfterBreak="0">
    <w:nsid w:val="2BCF68AE"/>
    <w:multiLevelType w:val="multilevel"/>
    <w:tmpl w:val="B270F660"/>
    <w:lvl w:ilvl="0">
      <w:start w:val="1"/>
      <w:numFmt w:val="decimal"/>
      <w:lvlText w:val="%1."/>
      <w:lvlJc w:val="left"/>
      <w:pPr>
        <w:ind w:left="293" w:hanging="293"/>
      </w:pPr>
      <w:rPr>
        <w:rFonts w:ascii="Times New Roman" w:eastAsia="Times New Roman" w:hAnsi="Times New Roman" w:cs="Times New Roman" w:hint="default"/>
        <w:b/>
        <w:bCs/>
        <w:w w:val="100"/>
        <w:sz w:val="24"/>
        <w:szCs w:val="24"/>
        <w:lang w:val="ro-RO" w:eastAsia="en-US" w:bidi="ar-SA"/>
      </w:rPr>
    </w:lvl>
    <w:lvl w:ilvl="1">
      <w:start w:val="2"/>
      <w:numFmt w:val="decimal"/>
      <w:lvlText w:val="%2."/>
      <w:lvlJc w:val="left"/>
      <w:pPr>
        <w:ind w:left="1353" w:hanging="360"/>
        <w:jc w:val="right"/>
      </w:pPr>
      <w:rPr>
        <w:rFonts w:ascii="Times New Roman" w:eastAsia="Cambria" w:hAnsi="Times New Roman" w:cs="Times New Roman" w:hint="default"/>
        <w:b/>
        <w:bCs/>
        <w:color w:val="auto"/>
        <w:w w:val="99"/>
        <w:sz w:val="24"/>
        <w:szCs w:val="24"/>
        <w:lang w:val="ro-RO" w:eastAsia="en-US" w:bidi="ar-SA"/>
      </w:rPr>
    </w:lvl>
    <w:lvl w:ilvl="2">
      <w:start w:val="1"/>
      <w:numFmt w:val="decimal"/>
      <w:lvlText w:val="%2.%3."/>
      <w:lvlJc w:val="left"/>
      <w:pPr>
        <w:ind w:left="1186" w:hanging="447"/>
      </w:pPr>
      <w:rPr>
        <w:rFonts w:ascii="Cambria" w:eastAsia="Cambria" w:hAnsi="Cambria" w:cs="Cambria" w:hint="default"/>
        <w:b/>
        <w:bCs/>
        <w:spacing w:val="-1"/>
        <w:w w:val="100"/>
        <w:sz w:val="24"/>
        <w:szCs w:val="24"/>
        <w:lang w:val="ro-RO" w:eastAsia="en-US" w:bidi="ar-SA"/>
      </w:rPr>
    </w:lvl>
    <w:lvl w:ilvl="3">
      <w:start w:val="1"/>
      <w:numFmt w:val="decimal"/>
      <w:lvlText w:val="%4."/>
      <w:lvlJc w:val="left"/>
      <w:pPr>
        <w:ind w:left="1073" w:hanging="240"/>
      </w:pPr>
      <w:rPr>
        <w:rFonts w:ascii="Times New Roman" w:eastAsia="Times New Roman" w:hAnsi="Times New Roman" w:cs="Times New Roman" w:hint="default"/>
        <w:w w:val="100"/>
        <w:sz w:val="24"/>
        <w:szCs w:val="24"/>
        <w:lang w:val="ro-RO" w:eastAsia="en-US" w:bidi="ar-SA"/>
      </w:rPr>
    </w:lvl>
    <w:lvl w:ilvl="4">
      <w:start w:val="1"/>
      <w:numFmt w:val="lowerLetter"/>
      <w:lvlText w:val="%5."/>
      <w:lvlJc w:val="left"/>
      <w:pPr>
        <w:ind w:left="1073" w:hanging="240"/>
      </w:pPr>
      <w:rPr>
        <w:rFonts w:ascii="Times New Roman" w:eastAsia="Times New Roman" w:hAnsi="Times New Roman" w:cs="Times New Roman" w:hint="default"/>
        <w:spacing w:val="-1"/>
        <w:w w:val="100"/>
        <w:sz w:val="24"/>
        <w:szCs w:val="24"/>
        <w:lang w:val="ro-RO" w:eastAsia="en-US" w:bidi="ar-SA"/>
      </w:rPr>
    </w:lvl>
    <w:lvl w:ilvl="5">
      <w:numFmt w:val="bullet"/>
      <w:lvlText w:val="•"/>
      <w:lvlJc w:val="left"/>
      <w:pPr>
        <w:ind w:left="3753" w:hanging="240"/>
      </w:pPr>
      <w:rPr>
        <w:rFonts w:hint="default"/>
        <w:lang w:val="ro-RO" w:eastAsia="en-US" w:bidi="ar-SA"/>
      </w:rPr>
    </w:lvl>
    <w:lvl w:ilvl="6">
      <w:numFmt w:val="bullet"/>
      <w:lvlText w:val="•"/>
      <w:lvlJc w:val="left"/>
      <w:pPr>
        <w:ind w:left="5039" w:hanging="240"/>
      </w:pPr>
      <w:rPr>
        <w:rFonts w:hint="default"/>
        <w:lang w:val="ro-RO" w:eastAsia="en-US" w:bidi="ar-SA"/>
      </w:rPr>
    </w:lvl>
    <w:lvl w:ilvl="7">
      <w:numFmt w:val="bullet"/>
      <w:lvlText w:val="•"/>
      <w:lvlJc w:val="left"/>
      <w:pPr>
        <w:ind w:left="6326" w:hanging="240"/>
      </w:pPr>
      <w:rPr>
        <w:rFonts w:hint="default"/>
        <w:lang w:val="ro-RO" w:eastAsia="en-US" w:bidi="ar-SA"/>
      </w:rPr>
    </w:lvl>
    <w:lvl w:ilvl="8">
      <w:numFmt w:val="bullet"/>
      <w:lvlText w:val="•"/>
      <w:lvlJc w:val="left"/>
      <w:pPr>
        <w:ind w:left="7613" w:hanging="240"/>
      </w:pPr>
      <w:rPr>
        <w:rFonts w:hint="default"/>
        <w:lang w:val="ro-RO" w:eastAsia="en-US" w:bidi="ar-SA"/>
      </w:rPr>
    </w:lvl>
  </w:abstractNum>
  <w:abstractNum w:abstractNumId="70" w15:restartNumberingAfterBreak="0">
    <w:nsid w:val="2BE5236A"/>
    <w:multiLevelType w:val="multilevel"/>
    <w:tmpl w:val="8FA07416"/>
    <w:lvl w:ilvl="0">
      <w:start w:val="1"/>
      <w:numFmt w:val="decimal"/>
      <w:lvlText w:val="%1."/>
      <w:lvlJc w:val="left"/>
      <w:pPr>
        <w:ind w:left="293" w:hanging="293"/>
      </w:pPr>
      <w:rPr>
        <w:rFonts w:ascii="Times New Roman" w:eastAsia="Times New Roman" w:hAnsi="Times New Roman" w:cs="Times New Roman" w:hint="default"/>
        <w:b/>
        <w:bCs/>
        <w:w w:val="100"/>
        <w:sz w:val="24"/>
        <w:szCs w:val="24"/>
        <w:lang w:val="ro-RO" w:eastAsia="en-US" w:bidi="ar-SA"/>
      </w:rPr>
    </w:lvl>
    <w:lvl w:ilvl="1">
      <w:start w:val="2"/>
      <w:numFmt w:val="decimal"/>
      <w:lvlText w:val="%2."/>
      <w:lvlJc w:val="left"/>
      <w:pPr>
        <w:ind w:left="1260" w:hanging="360"/>
        <w:jc w:val="right"/>
      </w:pPr>
      <w:rPr>
        <w:rFonts w:ascii="Times New Roman" w:eastAsia="Cambria" w:hAnsi="Times New Roman" w:cs="Times New Roman" w:hint="default"/>
        <w:b/>
        <w:bCs/>
        <w:color w:val="auto"/>
        <w:w w:val="99"/>
        <w:sz w:val="24"/>
        <w:szCs w:val="24"/>
        <w:lang w:val="ro-RO" w:eastAsia="en-US" w:bidi="ar-SA"/>
      </w:rPr>
    </w:lvl>
    <w:lvl w:ilvl="2">
      <w:start w:val="1"/>
      <w:numFmt w:val="upperRoman"/>
      <w:lvlText w:val="%3.2.1"/>
      <w:lvlJc w:val="left"/>
      <w:pPr>
        <w:ind w:left="1527" w:hanging="447"/>
      </w:pPr>
      <w:rPr>
        <w:rFonts w:hint="default"/>
        <w:b/>
        <w:bCs/>
        <w:spacing w:val="-1"/>
        <w:w w:val="100"/>
        <w:sz w:val="24"/>
        <w:szCs w:val="24"/>
        <w:lang w:val="ro-RO" w:eastAsia="en-US" w:bidi="ar-SA"/>
      </w:rPr>
    </w:lvl>
    <w:lvl w:ilvl="3">
      <w:start w:val="1"/>
      <w:numFmt w:val="decimal"/>
      <w:lvlText w:val="%4."/>
      <w:lvlJc w:val="left"/>
      <w:pPr>
        <w:ind w:left="293" w:hanging="245"/>
      </w:pPr>
      <w:rPr>
        <w:rFonts w:ascii="Times New Roman" w:eastAsia="Times New Roman" w:hAnsi="Times New Roman" w:cs="Times New Roman" w:hint="default"/>
        <w:w w:val="100"/>
        <w:sz w:val="24"/>
        <w:szCs w:val="24"/>
        <w:lang w:val="ro-RO" w:eastAsia="en-US" w:bidi="ar-SA"/>
      </w:rPr>
    </w:lvl>
    <w:lvl w:ilvl="4">
      <w:numFmt w:val="bullet"/>
      <w:lvlText w:val="•"/>
      <w:lvlJc w:val="left"/>
      <w:pPr>
        <w:ind w:left="3431" w:hanging="245"/>
      </w:pPr>
      <w:rPr>
        <w:rFonts w:hint="default"/>
        <w:lang w:val="ro-RO" w:eastAsia="en-US" w:bidi="ar-SA"/>
      </w:rPr>
    </w:lvl>
    <w:lvl w:ilvl="5">
      <w:numFmt w:val="bullet"/>
      <w:lvlText w:val="•"/>
      <w:lvlJc w:val="left"/>
      <w:pPr>
        <w:ind w:left="4557" w:hanging="245"/>
      </w:pPr>
      <w:rPr>
        <w:rFonts w:hint="default"/>
        <w:lang w:val="ro-RO" w:eastAsia="en-US" w:bidi="ar-SA"/>
      </w:rPr>
    </w:lvl>
    <w:lvl w:ilvl="6">
      <w:numFmt w:val="bullet"/>
      <w:lvlText w:val="•"/>
      <w:lvlJc w:val="left"/>
      <w:pPr>
        <w:ind w:left="5683" w:hanging="245"/>
      </w:pPr>
      <w:rPr>
        <w:rFonts w:hint="default"/>
        <w:lang w:val="ro-RO" w:eastAsia="en-US" w:bidi="ar-SA"/>
      </w:rPr>
    </w:lvl>
    <w:lvl w:ilvl="7">
      <w:numFmt w:val="bullet"/>
      <w:lvlText w:val="•"/>
      <w:lvlJc w:val="left"/>
      <w:pPr>
        <w:ind w:left="6809" w:hanging="245"/>
      </w:pPr>
      <w:rPr>
        <w:rFonts w:hint="default"/>
        <w:lang w:val="ro-RO" w:eastAsia="en-US" w:bidi="ar-SA"/>
      </w:rPr>
    </w:lvl>
    <w:lvl w:ilvl="8">
      <w:numFmt w:val="bullet"/>
      <w:lvlText w:val="•"/>
      <w:lvlJc w:val="left"/>
      <w:pPr>
        <w:ind w:left="7934" w:hanging="245"/>
      </w:pPr>
      <w:rPr>
        <w:rFonts w:hint="default"/>
        <w:lang w:val="ro-RO" w:eastAsia="en-US" w:bidi="ar-SA"/>
      </w:rPr>
    </w:lvl>
  </w:abstractNum>
  <w:abstractNum w:abstractNumId="71" w15:restartNumberingAfterBreak="0">
    <w:nsid w:val="2C3B1C3E"/>
    <w:multiLevelType w:val="hybridMultilevel"/>
    <w:tmpl w:val="419426C6"/>
    <w:lvl w:ilvl="0" w:tplc="6AC0D1A2">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2" w15:restartNumberingAfterBreak="0">
    <w:nsid w:val="2CE03C50"/>
    <w:multiLevelType w:val="hybridMultilevel"/>
    <w:tmpl w:val="F294A3A0"/>
    <w:lvl w:ilvl="0" w:tplc="C25CF160">
      <w:numFmt w:val="bullet"/>
      <w:lvlText w:val="-"/>
      <w:lvlJc w:val="left"/>
      <w:pPr>
        <w:ind w:left="828" w:hanging="361"/>
      </w:pPr>
      <w:rPr>
        <w:rFonts w:ascii="Calibri" w:eastAsia="Calibri" w:hAnsi="Calibri" w:cs="Calibri" w:hint="default"/>
        <w:w w:val="100"/>
        <w:sz w:val="24"/>
        <w:szCs w:val="24"/>
        <w:lang w:val="ro-RO" w:eastAsia="en-US" w:bidi="ar-SA"/>
      </w:rPr>
    </w:lvl>
    <w:lvl w:ilvl="1" w:tplc="BA223982">
      <w:numFmt w:val="bullet"/>
      <w:lvlText w:val="•"/>
      <w:lvlJc w:val="left"/>
      <w:pPr>
        <w:ind w:left="1485" w:hanging="361"/>
      </w:pPr>
      <w:rPr>
        <w:rFonts w:hint="default"/>
        <w:lang w:val="ro-RO" w:eastAsia="en-US" w:bidi="ar-SA"/>
      </w:rPr>
    </w:lvl>
    <w:lvl w:ilvl="2" w:tplc="7FFED5EA">
      <w:numFmt w:val="bullet"/>
      <w:lvlText w:val="•"/>
      <w:lvlJc w:val="left"/>
      <w:pPr>
        <w:ind w:left="2150" w:hanging="361"/>
      </w:pPr>
      <w:rPr>
        <w:rFonts w:hint="default"/>
        <w:lang w:val="ro-RO" w:eastAsia="en-US" w:bidi="ar-SA"/>
      </w:rPr>
    </w:lvl>
    <w:lvl w:ilvl="3" w:tplc="ED44F706">
      <w:numFmt w:val="bullet"/>
      <w:lvlText w:val="•"/>
      <w:lvlJc w:val="left"/>
      <w:pPr>
        <w:ind w:left="2815" w:hanging="361"/>
      </w:pPr>
      <w:rPr>
        <w:rFonts w:hint="default"/>
        <w:lang w:val="ro-RO" w:eastAsia="en-US" w:bidi="ar-SA"/>
      </w:rPr>
    </w:lvl>
    <w:lvl w:ilvl="4" w:tplc="61022594">
      <w:numFmt w:val="bullet"/>
      <w:lvlText w:val="•"/>
      <w:lvlJc w:val="left"/>
      <w:pPr>
        <w:ind w:left="3480" w:hanging="361"/>
      </w:pPr>
      <w:rPr>
        <w:rFonts w:hint="default"/>
        <w:lang w:val="ro-RO" w:eastAsia="en-US" w:bidi="ar-SA"/>
      </w:rPr>
    </w:lvl>
    <w:lvl w:ilvl="5" w:tplc="0E9E1C14">
      <w:numFmt w:val="bullet"/>
      <w:lvlText w:val="•"/>
      <w:lvlJc w:val="left"/>
      <w:pPr>
        <w:ind w:left="4145" w:hanging="361"/>
      </w:pPr>
      <w:rPr>
        <w:rFonts w:hint="default"/>
        <w:lang w:val="ro-RO" w:eastAsia="en-US" w:bidi="ar-SA"/>
      </w:rPr>
    </w:lvl>
    <w:lvl w:ilvl="6" w:tplc="80409360">
      <w:numFmt w:val="bullet"/>
      <w:lvlText w:val="•"/>
      <w:lvlJc w:val="left"/>
      <w:pPr>
        <w:ind w:left="4810" w:hanging="361"/>
      </w:pPr>
      <w:rPr>
        <w:rFonts w:hint="default"/>
        <w:lang w:val="ro-RO" w:eastAsia="en-US" w:bidi="ar-SA"/>
      </w:rPr>
    </w:lvl>
    <w:lvl w:ilvl="7" w:tplc="50C4DAF4">
      <w:numFmt w:val="bullet"/>
      <w:lvlText w:val="•"/>
      <w:lvlJc w:val="left"/>
      <w:pPr>
        <w:ind w:left="5475" w:hanging="361"/>
      </w:pPr>
      <w:rPr>
        <w:rFonts w:hint="default"/>
        <w:lang w:val="ro-RO" w:eastAsia="en-US" w:bidi="ar-SA"/>
      </w:rPr>
    </w:lvl>
    <w:lvl w:ilvl="8" w:tplc="6CD6EABE">
      <w:numFmt w:val="bullet"/>
      <w:lvlText w:val="•"/>
      <w:lvlJc w:val="left"/>
      <w:pPr>
        <w:ind w:left="6140" w:hanging="361"/>
      </w:pPr>
      <w:rPr>
        <w:rFonts w:hint="default"/>
        <w:lang w:val="ro-RO" w:eastAsia="en-US" w:bidi="ar-SA"/>
      </w:rPr>
    </w:lvl>
  </w:abstractNum>
  <w:abstractNum w:abstractNumId="73" w15:restartNumberingAfterBreak="0">
    <w:nsid w:val="2D8C0807"/>
    <w:multiLevelType w:val="hybridMultilevel"/>
    <w:tmpl w:val="511855EC"/>
    <w:lvl w:ilvl="0" w:tplc="C0FAC146">
      <w:numFmt w:val="bullet"/>
      <w:lvlText w:val="-"/>
      <w:lvlJc w:val="left"/>
      <w:pPr>
        <w:ind w:left="432" w:hanging="140"/>
      </w:pPr>
      <w:rPr>
        <w:rFonts w:ascii="Times New Roman" w:eastAsia="Times New Roman" w:hAnsi="Times New Roman" w:cs="Times New Roman" w:hint="default"/>
        <w:w w:val="99"/>
        <w:sz w:val="24"/>
        <w:szCs w:val="24"/>
        <w:lang w:val="ro-RO" w:eastAsia="en-US" w:bidi="ar-SA"/>
      </w:rPr>
    </w:lvl>
    <w:lvl w:ilvl="1" w:tplc="46AA61AC">
      <w:numFmt w:val="bullet"/>
      <w:lvlText w:val=""/>
      <w:lvlJc w:val="left"/>
      <w:pPr>
        <w:ind w:left="948" w:hanging="360"/>
      </w:pPr>
      <w:rPr>
        <w:rFonts w:hint="default"/>
        <w:w w:val="100"/>
        <w:lang w:val="ro-RO" w:eastAsia="en-US" w:bidi="ar-SA"/>
      </w:rPr>
    </w:lvl>
    <w:lvl w:ilvl="2" w:tplc="5B2034B4">
      <w:numFmt w:val="bullet"/>
      <w:lvlText w:val="•"/>
      <w:lvlJc w:val="left"/>
      <w:pPr>
        <w:ind w:left="1967" w:hanging="360"/>
      </w:pPr>
      <w:rPr>
        <w:rFonts w:hint="default"/>
        <w:lang w:val="ro-RO" w:eastAsia="en-US" w:bidi="ar-SA"/>
      </w:rPr>
    </w:lvl>
    <w:lvl w:ilvl="3" w:tplc="5EB82594">
      <w:numFmt w:val="bullet"/>
      <w:lvlText w:val="•"/>
      <w:lvlJc w:val="left"/>
      <w:pPr>
        <w:ind w:left="2994" w:hanging="360"/>
      </w:pPr>
      <w:rPr>
        <w:rFonts w:hint="default"/>
        <w:lang w:val="ro-RO" w:eastAsia="en-US" w:bidi="ar-SA"/>
      </w:rPr>
    </w:lvl>
    <w:lvl w:ilvl="4" w:tplc="F38AB45C">
      <w:numFmt w:val="bullet"/>
      <w:lvlText w:val="•"/>
      <w:lvlJc w:val="left"/>
      <w:pPr>
        <w:ind w:left="4022" w:hanging="360"/>
      </w:pPr>
      <w:rPr>
        <w:rFonts w:hint="default"/>
        <w:lang w:val="ro-RO" w:eastAsia="en-US" w:bidi="ar-SA"/>
      </w:rPr>
    </w:lvl>
    <w:lvl w:ilvl="5" w:tplc="E1C033E2">
      <w:numFmt w:val="bullet"/>
      <w:lvlText w:val="•"/>
      <w:lvlJc w:val="left"/>
      <w:pPr>
        <w:ind w:left="5049" w:hanging="360"/>
      </w:pPr>
      <w:rPr>
        <w:rFonts w:hint="default"/>
        <w:lang w:val="ro-RO" w:eastAsia="en-US" w:bidi="ar-SA"/>
      </w:rPr>
    </w:lvl>
    <w:lvl w:ilvl="6" w:tplc="E3388F92">
      <w:numFmt w:val="bullet"/>
      <w:lvlText w:val="•"/>
      <w:lvlJc w:val="left"/>
      <w:pPr>
        <w:ind w:left="6076" w:hanging="360"/>
      </w:pPr>
      <w:rPr>
        <w:rFonts w:hint="default"/>
        <w:lang w:val="ro-RO" w:eastAsia="en-US" w:bidi="ar-SA"/>
      </w:rPr>
    </w:lvl>
    <w:lvl w:ilvl="7" w:tplc="5AC0D0E2">
      <w:numFmt w:val="bullet"/>
      <w:lvlText w:val="•"/>
      <w:lvlJc w:val="left"/>
      <w:pPr>
        <w:ind w:left="7104" w:hanging="360"/>
      </w:pPr>
      <w:rPr>
        <w:rFonts w:hint="default"/>
        <w:lang w:val="ro-RO" w:eastAsia="en-US" w:bidi="ar-SA"/>
      </w:rPr>
    </w:lvl>
    <w:lvl w:ilvl="8" w:tplc="F14ECAEA">
      <w:numFmt w:val="bullet"/>
      <w:lvlText w:val="•"/>
      <w:lvlJc w:val="left"/>
      <w:pPr>
        <w:ind w:left="8131" w:hanging="360"/>
      </w:pPr>
      <w:rPr>
        <w:rFonts w:hint="default"/>
        <w:lang w:val="ro-RO" w:eastAsia="en-US" w:bidi="ar-SA"/>
      </w:rPr>
    </w:lvl>
  </w:abstractNum>
  <w:abstractNum w:abstractNumId="74" w15:restartNumberingAfterBreak="0">
    <w:nsid w:val="2E3A119E"/>
    <w:multiLevelType w:val="hybridMultilevel"/>
    <w:tmpl w:val="042ED384"/>
    <w:lvl w:ilvl="0" w:tplc="2B084700">
      <w:numFmt w:val="bullet"/>
      <w:lvlText w:val="-"/>
      <w:lvlJc w:val="left"/>
      <w:pPr>
        <w:ind w:left="534" w:hanging="140"/>
      </w:pPr>
      <w:rPr>
        <w:rFonts w:ascii="Times New Roman" w:eastAsia="Times New Roman" w:hAnsi="Times New Roman" w:cs="Times New Roman" w:hint="default"/>
        <w:w w:val="99"/>
        <w:sz w:val="24"/>
        <w:szCs w:val="24"/>
        <w:lang w:val="ro-RO" w:eastAsia="en-US" w:bidi="ar-SA"/>
      </w:rPr>
    </w:lvl>
    <w:lvl w:ilvl="1" w:tplc="495EE742">
      <w:numFmt w:val="bullet"/>
      <w:lvlText w:val="•"/>
      <w:lvlJc w:val="left"/>
      <w:pPr>
        <w:ind w:left="1195" w:hanging="140"/>
      </w:pPr>
      <w:rPr>
        <w:rFonts w:hint="default"/>
        <w:lang w:val="ro-RO" w:eastAsia="en-US" w:bidi="ar-SA"/>
      </w:rPr>
    </w:lvl>
    <w:lvl w:ilvl="2" w:tplc="67BC1B3E">
      <w:numFmt w:val="bullet"/>
      <w:lvlText w:val="•"/>
      <w:lvlJc w:val="left"/>
      <w:pPr>
        <w:ind w:left="1850" w:hanging="140"/>
      </w:pPr>
      <w:rPr>
        <w:rFonts w:hint="default"/>
        <w:lang w:val="ro-RO" w:eastAsia="en-US" w:bidi="ar-SA"/>
      </w:rPr>
    </w:lvl>
    <w:lvl w:ilvl="3" w:tplc="6BD8A640">
      <w:numFmt w:val="bullet"/>
      <w:lvlText w:val="•"/>
      <w:lvlJc w:val="left"/>
      <w:pPr>
        <w:ind w:left="2505" w:hanging="140"/>
      </w:pPr>
      <w:rPr>
        <w:rFonts w:hint="default"/>
        <w:lang w:val="ro-RO" w:eastAsia="en-US" w:bidi="ar-SA"/>
      </w:rPr>
    </w:lvl>
    <w:lvl w:ilvl="4" w:tplc="7F48765A">
      <w:numFmt w:val="bullet"/>
      <w:lvlText w:val="•"/>
      <w:lvlJc w:val="left"/>
      <w:pPr>
        <w:ind w:left="3160" w:hanging="140"/>
      </w:pPr>
      <w:rPr>
        <w:rFonts w:hint="default"/>
        <w:lang w:val="ro-RO" w:eastAsia="en-US" w:bidi="ar-SA"/>
      </w:rPr>
    </w:lvl>
    <w:lvl w:ilvl="5" w:tplc="FD264326">
      <w:numFmt w:val="bullet"/>
      <w:lvlText w:val="•"/>
      <w:lvlJc w:val="left"/>
      <w:pPr>
        <w:ind w:left="3815" w:hanging="140"/>
      </w:pPr>
      <w:rPr>
        <w:rFonts w:hint="default"/>
        <w:lang w:val="ro-RO" w:eastAsia="en-US" w:bidi="ar-SA"/>
      </w:rPr>
    </w:lvl>
    <w:lvl w:ilvl="6" w:tplc="7F4271B4">
      <w:numFmt w:val="bullet"/>
      <w:lvlText w:val="•"/>
      <w:lvlJc w:val="left"/>
      <w:pPr>
        <w:ind w:left="4470" w:hanging="140"/>
      </w:pPr>
      <w:rPr>
        <w:rFonts w:hint="default"/>
        <w:lang w:val="ro-RO" w:eastAsia="en-US" w:bidi="ar-SA"/>
      </w:rPr>
    </w:lvl>
    <w:lvl w:ilvl="7" w:tplc="6EC87578">
      <w:numFmt w:val="bullet"/>
      <w:lvlText w:val="•"/>
      <w:lvlJc w:val="left"/>
      <w:pPr>
        <w:ind w:left="5125" w:hanging="140"/>
      </w:pPr>
      <w:rPr>
        <w:rFonts w:hint="default"/>
        <w:lang w:val="ro-RO" w:eastAsia="en-US" w:bidi="ar-SA"/>
      </w:rPr>
    </w:lvl>
    <w:lvl w:ilvl="8" w:tplc="DE108EFC">
      <w:numFmt w:val="bullet"/>
      <w:lvlText w:val="•"/>
      <w:lvlJc w:val="left"/>
      <w:pPr>
        <w:ind w:left="5780" w:hanging="140"/>
      </w:pPr>
      <w:rPr>
        <w:rFonts w:hint="default"/>
        <w:lang w:val="ro-RO" w:eastAsia="en-US" w:bidi="ar-SA"/>
      </w:rPr>
    </w:lvl>
  </w:abstractNum>
  <w:abstractNum w:abstractNumId="75" w15:restartNumberingAfterBreak="0">
    <w:nsid w:val="2EA36B10"/>
    <w:multiLevelType w:val="hybridMultilevel"/>
    <w:tmpl w:val="2FC28230"/>
    <w:lvl w:ilvl="0" w:tplc="FF422762">
      <w:numFmt w:val="bullet"/>
      <w:lvlText w:val="-"/>
      <w:lvlJc w:val="left"/>
      <w:pPr>
        <w:ind w:left="34" w:hanging="204"/>
      </w:pPr>
      <w:rPr>
        <w:rFonts w:ascii="Times New Roman" w:eastAsia="Times New Roman" w:hAnsi="Times New Roman" w:cs="Times New Roman" w:hint="default"/>
        <w:w w:val="100"/>
        <w:sz w:val="22"/>
        <w:szCs w:val="22"/>
        <w:lang w:val="ro-RO" w:eastAsia="en-US" w:bidi="ar-SA"/>
      </w:rPr>
    </w:lvl>
    <w:lvl w:ilvl="1" w:tplc="3B6863DE">
      <w:numFmt w:val="bullet"/>
      <w:lvlText w:val="•"/>
      <w:lvlJc w:val="left"/>
      <w:pPr>
        <w:ind w:left="292" w:hanging="204"/>
      </w:pPr>
      <w:rPr>
        <w:rFonts w:hint="default"/>
        <w:lang w:val="ro-RO" w:eastAsia="en-US" w:bidi="ar-SA"/>
      </w:rPr>
    </w:lvl>
    <w:lvl w:ilvl="2" w:tplc="9078CC84">
      <w:numFmt w:val="bullet"/>
      <w:lvlText w:val="•"/>
      <w:lvlJc w:val="left"/>
      <w:pPr>
        <w:ind w:left="544" w:hanging="204"/>
      </w:pPr>
      <w:rPr>
        <w:rFonts w:hint="default"/>
        <w:lang w:val="ro-RO" w:eastAsia="en-US" w:bidi="ar-SA"/>
      </w:rPr>
    </w:lvl>
    <w:lvl w:ilvl="3" w:tplc="6BD689E0">
      <w:numFmt w:val="bullet"/>
      <w:lvlText w:val="•"/>
      <w:lvlJc w:val="left"/>
      <w:pPr>
        <w:ind w:left="796" w:hanging="204"/>
      </w:pPr>
      <w:rPr>
        <w:rFonts w:hint="default"/>
        <w:lang w:val="ro-RO" w:eastAsia="en-US" w:bidi="ar-SA"/>
      </w:rPr>
    </w:lvl>
    <w:lvl w:ilvl="4" w:tplc="E5EE5EF6">
      <w:numFmt w:val="bullet"/>
      <w:lvlText w:val="•"/>
      <w:lvlJc w:val="left"/>
      <w:pPr>
        <w:ind w:left="1049" w:hanging="204"/>
      </w:pPr>
      <w:rPr>
        <w:rFonts w:hint="default"/>
        <w:lang w:val="ro-RO" w:eastAsia="en-US" w:bidi="ar-SA"/>
      </w:rPr>
    </w:lvl>
    <w:lvl w:ilvl="5" w:tplc="5DEE0814">
      <w:numFmt w:val="bullet"/>
      <w:lvlText w:val="•"/>
      <w:lvlJc w:val="left"/>
      <w:pPr>
        <w:ind w:left="1301" w:hanging="204"/>
      </w:pPr>
      <w:rPr>
        <w:rFonts w:hint="default"/>
        <w:lang w:val="ro-RO" w:eastAsia="en-US" w:bidi="ar-SA"/>
      </w:rPr>
    </w:lvl>
    <w:lvl w:ilvl="6" w:tplc="31D06354">
      <w:numFmt w:val="bullet"/>
      <w:lvlText w:val="•"/>
      <w:lvlJc w:val="left"/>
      <w:pPr>
        <w:ind w:left="1553" w:hanging="204"/>
      </w:pPr>
      <w:rPr>
        <w:rFonts w:hint="default"/>
        <w:lang w:val="ro-RO" w:eastAsia="en-US" w:bidi="ar-SA"/>
      </w:rPr>
    </w:lvl>
    <w:lvl w:ilvl="7" w:tplc="2362E1AC">
      <w:numFmt w:val="bullet"/>
      <w:lvlText w:val="•"/>
      <w:lvlJc w:val="left"/>
      <w:pPr>
        <w:ind w:left="1806" w:hanging="204"/>
      </w:pPr>
      <w:rPr>
        <w:rFonts w:hint="default"/>
        <w:lang w:val="ro-RO" w:eastAsia="en-US" w:bidi="ar-SA"/>
      </w:rPr>
    </w:lvl>
    <w:lvl w:ilvl="8" w:tplc="1E249F08">
      <w:numFmt w:val="bullet"/>
      <w:lvlText w:val="•"/>
      <w:lvlJc w:val="left"/>
      <w:pPr>
        <w:ind w:left="2058" w:hanging="204"/>
      </w:pPr>
      <w:rPr>
        <w:rFonts w:hint="default"/>
        <w:lang w:val="ro-RO" w:eastAsia="en-US" w:bidi="ar-SA"/>
      </w:rPr>
    </w:lvl>
  </w:abstractNum>
  <w:abstractNum w:abstractNumId="76" w15:restartNumberingAfterBreak="0">
    <w:nsid w:val="2EA6431E"/>
    <w:multiLevelType w:val="hybridMultilevel"/>
    <w:tmpl w:val="2C6CB49E"/>
    <w:lvl w:ilvl="0" w:tplc="AEAED9F6">
      <w:numFmt w:val="bullet"/>
      <w:lvlText w:val="-"/>
      <w:lvlJc w:val="left"/>
      <w:pPr>
        <w:ind w:left="828" w:hanging="361"/>
      </w:pPr>
      <w:rPr>
        <w:rFonts w:ascii="Calibri" w:eastAsia="Calibri" w:hAnsi="Calibri" w:cs="Calibri" w:hint="default"/>
        <w:w w:val="100"/>
        <w:sz w:val="24"/>
        <w:szCs w:val="24"/>
        <w:lang w:val="ro-RO" w:eastAsia="en-US" w:bidi="ar-SA"/>
      </w:rPr>
    </w:lvl>
    <w:lvl w:ilvl="1" w:tplc="3388676E">
      <w:numFmt w:val="bullet"/>
      <w:lvlText w:val="•"/>
      <w:lvlJc w:val="left"/>
      <w:pPr>
        <w:ind w:left="1485" w:hanging="361"/>
      </w:pPr>
      <w:rPr>
        <w:rFonts w:hint="default"/>
        <w:lang w:val="ro-RO" w:eastAsia="en-US" w:bidi="ar-SA"/>
      </w:rPr>
    </w:lvl>
    <w:lvl w:ilvl="2" w:tplc="68947692">
      <w:numFmt w:val="bullet"/>
      <w:lvlText w:val="•"/>
      <w:lvlJc w:val="left"/>
      <w:pPr>
        <w:ind w:left="2150" w:hanging="361"/>
      </w:pPr>
      <w:rPr>
        <w:rFonts w:hint="default"/>
        <w:lang w:val="ro-RO" w:eastAsia="en-US" w:bidi="ar-SA"/>
      </w:rPr>
    </w:lvl>
    <w:lvl w:ilvl="3" w:tplc="222438F2">
      <w:numFmt w:val="bullet"/>
      <w:lvlText w:val="•"/>
      <w:lvlJc w:val="left"/>
      <w:pPr>
        <w:ind w:left="2815" w:hanging="361"/>
      </w:pPr>
      <w:rPr>
        <w:rFonts w:hint="default"/>
        <w:lang w:val="ro-RO" w:eastAsia="en-US" w:bidi="ar-SA"/>
      </w:rPr>
    </w:lvl>
    <w:lvl w:ilvl="4" w:tplc="E3B05488">
      <w:numFmt w:val="bullet"/>
      <w:lvlText w:val="•"/>
      <w:lvlJc w:val="left"/>
      <w:pPr>
        <w:ind w:left="3480" w:hanging="361"/>
      </w:pPr>
      <w:rPr>
        <w:rFonts w:hint="default"/>
        <w:lang w:val="ro-RO" w:eastAsia="en-US" w:bidi="ar-SA"/>
      </w:rPr>
    </w:lvl>
    <w:lvl w:ilvl="5" w:tplc="3C5ACEAA">
      <w:numFmt w:val="bullet"/>
      <w:lvlText w:val="•"/>
      <w:lvlJc w:val="left"/>
      <w:pPr>
        <w:ind w:left="4145" w:hanging="361"/>
      </w:pPr>
      <w:rPr>
        <w:rFonts w:hint="default"/>
        <w:lang w:val="ro-RO" w:eastAsia="en-US" w:bidi="ar-SA"/>
      </w:rPr>
    </w:lvl>
    <w:lvl w:ilvl="6" w:tplc="D12E502E">
      <w:numFmt w:val="bullet"/>
      <w:lvlText w:val="•"/>
      <w:lvlJc w:val="left"/>
      <w:pPr>
        <w:ind w:left="4810" w:hanging="361"/>
      </w:pPr>
      <w:rPr>
        <w:rFonts w:hint="default"/>
        <w:lang w:val="ro-RO" w:eastAsia="en-US" w:bidi="ar-SA"/>
      </w:rPr>
    </w:lvl>
    <w:lvl w:ilvl="7" w:tplc="5DC020B4">
      <w:numFmt w:val="bullet"/>
      <w:lvlText w:val="•"/>
      <w:lvlJc w:val="left"/>
      <w:pPr>
        <w:ind w:left="5475" w:hanging="361"/>
      </w:pPr>
      <w:rPr>
        <w:rFonts w:hint="default"/>
        <w:lang w:val="ro-RO" w:eastAsia="en-US" w:bidi="ar-SA"/>
      </w:rPr>
    </w:lvl>
    <w:lvl w:ilvl="8" w:tplc="0D6AD6D0">
      <w:numFmt w:val="bullet"/>
      <w:lvlText w:val="•"/>
      <w:lvlJc w:val="left"/>
      <w:pPr>
        <w:ind w:left="6140" w:hanging="361"/>
      </w:pPr>
      <w:rPr>
        <w:rFonts w:hint="default"/>
        <w:lang w:val="ro-RO" w:eastAsia="en-US" w:bidi="ar-SA"/>
      </w:rPr>
    </w:lvl>
  </w:abstractNum>
  <w:abstractNum w:abstractNumId="77" w15:restartNumberingAfterBreak="0">
    <w:nsid w:val="2F114B82"/>
    <w:multiLevelType w:val="hybridMultilevel"/>
    <w:tmpl w:val="EEA4CF12"/>
    <w:lvl w:ilvl="0" w:tplc="04090001">
      <w:start w:val="1"/>
      <w:numFmt w:val="bullet"/>
      <w:lvlText w:val=""/>
      <w:lvlJc w:val="left"/>
      <w:pPr>
        <w:tabs>
          <w:tab w:val="num" w:pos="782"/>
        </w:tabs>
        <w:ind w:left="782"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1F00BE2"/>
    <w:multiLevelType w:val="hybridMultilevel"/>
    <w:tmpl w:val="2446E79E"/>
    <w:lvl w:ilvl="0" w:tplc="209AFB8C">
      <w:numFmt w:val="bullet"/>
      <w:lvlText w:val="-"/>
      <w:lvlJc w:val="left"/>
      <w:pPr>
        <w:ind w:left="107" w:hanging="125"/>
      </w:pPr>
      <w:rPr>
        <w:rFonts w:ascii="Times New Roman" w:eastAsia="Times New Roman" w:hAnsi="Times New Roman" w:cs="Times New Roman" w:hint="default"/>
        <w:w w:val="100"/>
        <w:sz w:val="22"/>
        <w:szCs w:val="22"/>
        <w:lang w:val="ro-RO" w:eastAsia="en-US" w:bidi="ar-SA"/>
      </w:rPr>
    </w:lvl>
    <w:lvl w:ilvl="1" w:tplc="AB7EA4E4">
      <w:numFmt w:val="bullet"/>
      <w:lvlText w:val="•"/>
      <w:lvlJc w:val="left"/>
      <w:pPr>
        <w:ind w:left="421" w:hanging="125"/>
      </w:pPr>
      <w:rPr>
        <w:rFonts w:hint="default"/>
        <w:lang w:val="ro-RO" w:eastAsia="en-US" w:bidi="ar-SA"/>
      </w:rPr>
    </w:lvl>
    <w:lvl w:ilvl="2" w:tplc="6EECCF10">
      <w:numFmt w:val="bullet"/>
      <w:lvlText w:val="•"/>
      <w:lvlJc w:val="left"/>
      <w:pPr>
        <w:ind w:left="743" w:hanging="125"/>
      </w:pPr>
      <w:rPr>
        <w:rFonts w:hint="default"/>
        <w:lang w:val="ro-RO" w:eastAsia="en-US" w:bidi="ar-SA"/>
      </w:rPr>
    </w:lvl>
    <w:lvl w:ilvl="3" w:tplc="5636C726">
      <w:numFmt w:val="bullet"/>
      <w:lvlText w:val="•"/>
      <w:lvlJc w:val="left"/>
      <w:pPr>
        <w:ind w:left="1065" w:hanging="125"/>
      </w:pPr>
      <w:rPr>
        <w:rFonts w:hint="default"/>
        <w:lang w:val="ro-RO" w:eastAsia="en-US" w:bidi="ar-SA"/>
      </w:rPr>
    </w:lvl>
    <w:lvl w:ilvl="4" w:tplc="9B8CAEF2">
      <w:numFmt w:val="bullet"/>
      <w:lvlText w:val="•"/>
      <w:lvlJc w:val="left"/>
      <w:pPr>
        <w:ind w:left="1387" w:hanging="125"/>
      </w:pPr>
      <w:rPr>
        <w:rFonts w:hint="default"/>
        <w:lang w:val="ro-RO" w:eastAsia="en-US" w:bidi="ar-SA"/>
      </w:rPr>
    </w:lvl>
    <w:lvl w:ilvl="5" w:tplc="0C0C6A7C">
      <w:numFmt w:val="bullet"/>
      <w:lvlText w:val="•"/>
      <w:lvlJc w:val="left"/>
      <w:pPr>
        <w:ind w:left="1709" w:hanging="125"/>
      </w:pPr>
      <w:rPr>
        <w:rFonts w:hint="default"/>
        <w:lang w:val="ro-RO" w:eastAsia="en-US" w:bidi="ar-SA"/>
      </w:rPr>
    </w:lvl>
    <w:lvl w:ilvl="6" w:tplc="72EE93E8">
      <w:numFmt w:val="bullet"/>
      <w:lvlText w:val="•"/>
      <w:lvlJc w:val="left"/>
      <w:pPr>
        <w:ind w:left="2031" w:hanging="125"/>
      </w:pPr>
      <w:rPr>
        <w:rFonts w:hint="default"/>
        <w:lang w:val="ro-RO" w:eastAsia="en-US" w:bidi="ar-SA"/>
      </w:rPr>
    </w:lvl>
    <w:lvl w:ilvl="7" w:tplc="BB7C1596">
      <w:numFmt w:val="bullet"/>
      <w:lvlText w:val="•"/>
      <w:lvlJc w:val="left"/>
      <w:pPr>
        <w:ind w:left="2353" w:hanging="125"/>
      </w:pPr>
      <w:rPr>
        <w:rFonts w:hint="default"/>
        <w:lang w:val="ro-RO" w:eastAsia="en-US" w:bidi="ar-SA"/>
      </w:rPr>
    </w:lvl>
    <w:lvl w:ilvl="8" w:tplc="7A0453C0">
      <w:numFmt w:val="bullet"/>
      <w:lvlText w:val="•"/>
      <w:lvlJc w:val="left"/>
      <w:pPr>
        <w:ind w:left="2675" w:hanging="125"/>
      </w:pPr>
      <w:rPr>
        <w:rFonts w:hint="default"/>
        <w:lang w:val="ro-RO" w:eastAsia="en-US" w:bidi="ar-SA"/>
      </w:rPr>
    </w:lvl>
  </w:abstractNum>
  <w:abstractNum w:abstractNumId="79" w15:restartNumberingAfterBreak="0">
    <w:nsid w:val="32692BFF"/>
    <w:multiLevelType w:val="hybridMultilevel"/>
    <w:tmpl w:val="0DD4D7A2"/>
    <w:lvl w:ilvl="0" w:tplc="8640D13C">
      <w:start w:val="2"/>
      <w:numFmt w:val="decimal"/>
      <w:lvlText w:val="%1."/>
      <w:lvlJc w:val="left"/>
      <w:pPr>
        <w:ind w:left="828" w:hanging="361"/>
      </w:pPr>
      <w:rPr>
        <w:rFonts w:ascii="Times New Roman" w:eastAsia="Times New Roman" w:hAnsi="Times New Roman" w:cs="Times New Roman" w:hint="default"/>
        <w:w w:val="100"/>
        <w:sz w:val="24"/>
        <w:szCs w:val="24"/>
        <w:lang w:val="ro-RO" w:eastAsia="en-US" w:bidi="ar-SA"/>
      </w:rPr>
    </w:lvl>
    <w:lvl w:ilvl="1" w:tplc="AB78CDAA">
      <w:numFmt w:val="bullet"/>
      <w:lvlText w:val="•"/>
      <w:lvlJc w:val="left"/>
      <w:pPr>
        <w:ind w:left="1485" w:hanging="361"/>
      </w:pPr>
      <w:rPr>
        <w:rFonts w:hint="default"/>
        <w:lang w:val="ro-RO" w:eastAsia="en-US" w:bidi="ar-SA"/>
      </w:rPr>
    </w:lvl>
    <w:lvl w:ilvl="2" w:tplc="97EA62D2">
      <w:numFmt w:val="bullet"/>
      <w:lvlText w:val="•"/>
      <w:lvlJc w:val="left"/>
      <w:pPr>
        <w:ind w:left="2150" w:hanging="361"/>
      </w:pPr>
      <w:rPr>
        <w:rFonts w:hint="default"/>
        <w:lang w:val="ro-RO" w:eastAsia="en-US" w:bidi="ar-SA"/>
      </w:rPr>
    </w:lvl>
    <w:lvl w:ilvl="3" w:tplc="6F6AAA30">
      <w:numFmt w:val="bullet"/>
      <w:lvlText w:val="•"/>
      <w:lvlJc w:val="left"/>
      <w:pPr>
        <w:ind w:left="2815" w:hanging="361"/>
      </w:pPr>
      <w:rPr>
        <w:rFonts w:hint="default"/>
        <w:lang w:val="ro-RO" w:eastAsia="en-US" w:bidi="ar-SA"/>
      </w:rPr>
    </w:lvl>
    <w:lvl w:ilvl="4" w:tplc="74FC6600">
      <w:numFmt w:val="bullet"/>
      <w:lvlText w:val="•"/>
      <w:lvlJc w:val="left"/>
      <w:pPr>
        <w:ind w:left="3480" w:hanging="361"/>
      </w:pPr>
      <w:rPr>
        <w:rFonts w:hint="default"/>
        <w:lang w:val="ro-RO" w:eastAsia="en-US" w:bidi="ar-SA"/>
      </w:rPr>
    </w:lvl>
    <w:lvl w:ilvl="5" w:tplc="8AF2C83E">
      <w:numFmt w:val="bullet"/>
      <w:lvlText w:val="•"/>
      <w:lvlJc w:val="left"/>
      <w:pPr>
        <w:ind w:left="4145" w:hanging="361"/>
      </w:pPr>
      <w:rPr>
        <w:rFonts w:hint="default"/>
        <w:lang w:val="ro-RO" w:eastAsia="en-US" w:bidi="ar-SA"/>
      </w:rPr>
    </w:lvl>
    <w:lvl w:ilvl="6" w:tplc="6F00CFB0">
      <w:numFmt w:val="bullet"/>
      <w:lvlText w:val="•"/>
      <w:lvlJc w:val="left"/>
      <w:pPr>
        <w:ind w:left="4810" w:hanging="361"/>
      </w:pPr>
      <w:rPr>
        <w:rFonts w:hint="default"/>
        <w:lang w:val="ro-RO" w:eastAsia="en-US" w:bidi="ar-SA"/>
      </w:rPr>
    </w:lvl>
    <w:lvl w:ilvl="7" w:tplc="46663420">
      <w:numFmt w:val="bullet"/>
      <w:lvlText w:val="•"/>
      <w:lvlJc w:val="left"/>
      <w:pPr>
        <w:ind w:left="5475" w:hanging="361"/>
      </w:pPr>
      <w:rPr>
        <w:rFonts w:hint="default"/>
        <w:lang w:val="ro-RO" w:eastAsia="en-US" w:bidi="ar-SA"/>
      </w:rPr>
    </w:lvl>
    <w:lvl w:ilvl="8" w:tplc="24AC375C">
      <w:numFmt w:val="bullet"/>
      <w:lvlText w:val="•"/>
      <w:lvlJc w:val="left"/>
      <w:pPr>
        <w:ind w:left="6140" w:hanging="361"/>
      </w:pPr>
      <w:rPr>
        <w:rFonts w:hint="default"/>
        <w:lang w:val="ro-RO" w:eastAsia="en-US" w:bidi="ar-SA"/>
      </w:rPr>
    </w:lvl>
  </w:abstractNum>
  <w:abstractNum w:abstractNumId="80" w15:restartNumberingAfterBreak="0">
    <w:nsid w:val="331C77B0"/>
    <w:multiLevelType w:val="hybridMultilevel"/>
    <w:tmpl w:val="F1D62E3A"/>
    <w:lvl w:ilvl="0" w:tplc="04180001">
      <w:start w:val="1"/>
      <w:numFmt w:val="bullet"/>
      <w:lvlText w:val=""/>
      <w:lvlJc w:val="left"/>
      <w:pPr>
        <w:ind w:left="1013" w:hanging="360"/>
      </w:pPr>
      <w:rPr>
        <w:rFonts w:ascii="Symbol" w:hAnsi="Symbol" w:hint="default"/>
      </w:rPr>
    </w:lvl>
    <w:lvl w:ilvl="1" w:tplc="04180003" w:tentative="1">
      <w:start w:val="1"/>
      <w:numFmt w:val="bullet"/>
      <w:lvlText w:val="o"/>
      <w:lvlJc w:val="left"/>
      <w:pPr>
        <w:ind w:left="1733" w:hanging="360"/>
      </w:pPr>
      <w:rPr>
        <w:rFonts w:ascii="Courier New" w:hAnsi="Courier New" w:cs="Courier New" w:hint="default"/>
      </w:rPr>
    </w:lvl>
    <w:lvl w:ilvl="2" w:tplc="04180005" w:tentative="1">
      <w:start w:val="1"/>
      <w:numFmt w:val="bullet"/>
      <w:lvlText w:val=""/>
      <w:lvlJc w:val="left"/>
      <w:pPr>
        <w:ind w:left="2453" w:hanging="360"/>
      </w:pPr>
      <w:rPr>
        <w:rFonts w:ascii="Wingdings" w:hAnsi="Wingdings" w:hint="default"/>
      </w:rPr>
    </w:lvl>
    <w:lvl w:ilvl="3" w:tplc="04180001" w:tentative="1">
      <w:start w:val="1"/>
      <w:numFmt w:val="bullet"/>
      <w:lvlText w:val=""/>
      <w:lvlJc w:val="left"/>
      <w:pPr>
        <w:ind w:left="3173" w:hanging="360"/>
      </w:pPr>
      <w:rPr>
        <w:rFonts w:ascii="Symbol" w:hAnsi="Symbol" w:hint="default"/>
      </w:rPr>
    </w:lvl>
    <w:lvl w:ilvl="4" w:tplc="04180003" w:tentative="1">
      <w:start w:val="1"/>
      <w:numFmt w:val="bullet"/>
      <w:lvlText w:val="o"/>
      <w:lvlJc w:val="left"/>
      <w:pPr>
        <w:ind w:left="3893" w:hanging="360"/>
      </w:pPr>
      <w:rPr>
        <w:rFonts w:ascii="Courier New" w:hAnsi="Courier New" w:cs="Courier New" w:hint="default"/>
      </w:rPr>
    </w:lvl>
    <w:lvl w:ilvl="5" w:tplc="04180005" w:tentative="1">
      <w:start w:val="1"/>
      <w:numFmt w:val="bullet"/>
      <w:lvlText w:val=""/>
      <w:lvlJc w:val="left"/>
      <w:pPr>
        <w:ind w:left="4613" w:hanging="360"/>
      </w:pPr>
      <w:rPr>
        <w:rFonts w:ascii="Wingdings" w:hAnsi="Wingdings" w:hint="default"/>
      </w:rPr>
    </w:lvl>
    <w:lvl w:ilvl="6" w:tplc="04180001" w:tentative="1">
      <w:start w:val="1"/>
      <w:numFmt w:val="bullet"/>
      <w:lvlText w:val=""/>
      <w:lvlJc w:val="left"/>
      <w:pPr>
        <w:ind w:left="5333" w:hanging="360"/>
      </w:pPr>
      <w:rPr>
        <w:rFonts w:ascii="Symbol" w:hAnsi="Symbol" w:hint="default"/>
      </w:rPr>
    </w:lvl>
    <w:lvl w:ilvl="7" w:tplc="04180003" w:tentative="1">
      <w:start w:val="1"/>
      <w:numFmt w:val="bullet"/>
      <w:lvlText w:val="o"/>
      <w:lvlJc w:val="left"/>
      <w:pPr>
        <w:ind w:left="6053" w:hanging="360"/>
      </w:pPr>
      <w:rPr>
        <w:rFonts w:ascii="Courier New" w:hAnsi="Courier New" w:cs="Courier New" w:hint="default"/>
      </w:rPr>
    </w:lvl>
    <w:lvl w:ilvl="8" w:tplc="04180005" w:tentative="1">
      <w:start w:val="1"/>
      <w:numFmt w:val="bullet"/>
      <w:lvlText w:val=""/>
      <w:lvlJc w:val="left"/>
      <w:pPr>
        <w:ind w:left="6773" w:hanging="360"/>
      </w:pPr>
      <w:rPr>
        <w:rFonts w:ascii="Wingdings" w:hAnsi="Wingdings" w:hint="default"/>
      </w:rPr>
    </w:lvl>
  </w:abstractNum>
  <w:abstractNum w:abstractNumId="81" w15:restartNumberingAfterBreak="0">
    <w:nsid w:val="352E51D5"/>
    <w:multiLevelType w:val="hybridMultilevel"/>
    <w:tmpl w:val="29AAE260"/>
    <w:lvl w:ilvl="0" w:tplc="04090001">
      <w:start w:val="1"/>
      <w:numFmt w:val="bullet"/>
      <w:lvlText w:val=""/>
      <w:lvlJc w:val="left"/>
      <w:pPr>
        <w:ind w:left="643"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82" w15:restartNumberingAfterBreak="0">
    <w:nsid w:val="35FE009F"/>
    <w:multiLevelType w:val="hybridMultilevel"/>
    <w:tmpl w:val="18143C18"/>
    <w:lvl w:ilvl="0" w:tplc="C688FDEA">
      <w:numFmt w:val="bullet"/>
      <w:lvlText w:val="-"/>
      <w:lvlJc w:val="left"/>
      <w:pPr>
        <w:ind w:left="366" w:hanging="140"/>
      </w:pPr>
      <w:rPr>
        <w:rFonts w:ascii="Times New Roman" w:eastAsia="Times New Roman" w:hAnsi="Times New Roman" w:cs="Times New Roman" w:hint="default"/>
        <w:w w:val="99"/>
        <w:sz w:val="24"/>
        <w:szCs w:val="24"/>
        <w:lang w:val="ro-RO" w:eastAsia="en-US" w:bidi="ar-SA"/>
      </w:rPr>
    </w:lvl>
    <w:lvl w:ilvl="1" w:tplc="AE86E3E2">
      <w:numFmt w:val="bullet"/>
      <w:lvlText w:val="•"/>
      <w:lvlJc w:val="left"/>
      <w:pPr>
        <w:ind w:left="1033" w:hanging="140"/>
      </w:pPr>
      <w:rPr>
        <w:rFonts w:hint="default"/>
        <w:lang w:val="ro-RO" w:eastAsia="en-US" w:bidi="ar-SA"/>
      </w:rPr>
    </w:lvl>
    <w:lvl w:ilvl="2" w:tplc="F8C41884">
      <w:numFmt w:val="bullet"/>
      <w:lvlText w:val="•"/>
      <w:lvlJc w:val="left"/>
      <w:pPr>
        <w:ind w:left="1706" w:hanging="140"/>
      </w:pPr>
      <w:rPr>
        <w:rFonts w:hint="default"/>
        <w:lang w:val="ro-RO" w:eastAsia="en-US" w:bidi="ar-SA"/>
      </w:rPr>
    </w:lvl>
    <w:lvl w:ilvl="3" w:tplc="00586E60">
      <w:numFmt w:val="bullet"/>
      <w:lvlText w:val="•"/>
      <w:lvlJc w:val="left"/>
      <w:pPr>
        <w:ind w:left="2379" w:hanging="140"/>
      </w:pPr>
      <w:rPr>
        <w:rFonts w:hint="default"/>
        <w:lang w:val="ro-RO" w:eastAsia="en-US" w:bidi="ar-SA"/>
      </w:rPr>
    </w:lvl>
    <w:lvl w:ilvl="4" w:tplc="B07634FA">
      <w:numFmt w:val="bullet"/>
      <w:lvlText w:val="•"/>
      <w:lvlJc w:val="left"/>
      <w:pPr>
        <w:ind w:left="3052" w:hanging="140"/>
      </w:pPr>
      <w:rPr>
        <w:rFonts w:hint="default"/>
        <w:lang w:val="ro-RO" w:eastAsia="en-US" w:bidi="ar-SA"/>
      </w:rPr>
    </w:lvl>
    <w:lvl w:ilvl="5" w:tplc="E8A0FF1E">
      <w:numFmt w:val="bullet"/>
      <w:lvlText w:val="•"/>
      <w:lvlJc w:val="left"/>
      <w:pPr>
        <w:ind w:left="3725" w:hanging="140"/>
      </w:pPr>
      <w:rPr>
        <w:rFonts w:hint="default"/>
        <w:lang w:val="ro-RO" w:eastAsia="en-US" w:bidi="ar-SA"/>
      </w:rPr>
    </w:lvl>
    <w:lvl w:ilvl="6" w:tplc="CF48A7DC">
      <w:numFmt w:val="bullet"/>
      <w:lvlText w:val="•"/>
      <w:lvlJc w:val="left"/>
      <w:pPr>
        <w:ind w:left="4398" w:hanging="140"/>
      </w:pPr>
      <w:rPr>
        <w:rFonts w:hint="default"/>
        <w:lang w:val="ro-RO" w:eastAsia="en-US" w:bidi="ar-SA"/>
      </w:rPr>
    </w:lvl>
    <w:lvl w:ilvl="7" w:tplc="25405E6A">
      <w:numFmt w:val="bullet"/>
      <w:lvlText w:val="•"/>
      <w:lvlJc w:val="left"/>
      <w:pPr>
        <w:ind w:left="5071" w:hanging="140"/>
      </w:pPr>
      <w:rPr>
        <w:rFonts w:hint="default"/>
        <w:lang w:val="ro-RO" w:eastAsia="en-US" w:bidi="ar-SA"/>
      </w:rPr>
    </w:lvl>
    <w:lvl w:ilvl="8" w:tplc="89CE34F6">
      <w:numFmt w:val="bullet"/>
      <w:lvlText w:val="•"/>
      <w:lvlJc w:val="left"/>
      <w:pPr>
        <w:ind w:left="5744" w:hanging="140"/>
      </w:pPr>
      <w:rPr>
        <w:rFonts w:hint="default"/>
        <w:lang w:val="ro-RO" w:eastAsia="en-US" w:bidi="ar-SA"/>
      </w:rPr>
    </w:lvl>
  </w:abstractNum>
  <w:abstractNum w:abstractNumId="83" w15:restartNumberingAfterBreak="0">
    <w:nsid w:val="379C1366"/>
    <w:multiLevelType w:val="hybridMultilevel"/>
    <w:tmpl w:val="CF129C4C"/>
    <w:lvl w:ilvl="0" w:tplc="3DEAC566">
      <w:numFmt w:val="bullet"/>
      <w:pStyle w:val="Note2"/>
      <w:lvlText w:val="–"/>
      <w:lvlJc w:val="left"/>
      <w:pPr>
        <w:tabs>
          <w:tab w:val="num" w:pos="901"/>
        </w:tabs>
        <w:ind w:left="901" w:hanging="340"/>
      </w:pPr>
      <w:rPr>
        <w:rFonts w:ascii="Times New Roman" w:eastAsia="Times New Roman" w:hAnsi="Times New Roman" w:cs="Times New Roman" w:hint="default"/>
      </w:rPr>
    </w:lvl>
    <w:lvl w:ilvl="1" w:tplc="04090003" w:tentative="1">
      <w:start w:val="1"/>
      <w:numFmt w:val="bullet"/>
      <w:lvlText w:val="o"/>
      <w:lvlJc w:val="left"/>
      <w:pPr>
        <w:tabs>
          <w:tab w:val="num" w:pos="1661"/>
        </w:tabs>
        <w:ind w:left="1661" w:hanging="360"/>
      </w:pPr>
      <w:rPr>
        <w:rFonts w:ascii="Courier New" w:hAnsi="Courier New" w:cs="Courier New" w:hint="default"/>
      </w:rPr>
    </w:lvl>
    <w:lvl w:ilvl="2" w:tplc="04090005" w:tentative="1">
      <w:start w:val="1"/>
      <w:numFmt w:val="bullet"/>
      <w:lvlText w:val=""/>
      <w:lvlJc w:val="left"/>
      <w:pPr>
        <w:tabs>
          <w:tab w:val="num" w:pos="2381"/>
        </w:tabs>
        <w:ind w:left="2381" w:hanging="360"/>
      </w:pPr>
      <w:rPr>
        <w:rFonts w:ascii="Wingdings" w:hAnsi="Wingdings" w:hint="default"/>
      </w:rPr>
    </w:lvl>
    <w:lvl w:ilvl="3" w:tplc="04090001" w:tentative="1">
      <w:start w:val="1"/>
      <w:numFmt w:val="bullet"/>
      <w:lvlText w:val=""/>
      <w:lvlJc w:val="left"/>
      <w:pPr>
        <w:tabs>
          <w:tab w:val="num" w:pos="3101"/>
        </w:tabs>
        <w:ind w:left="3101" w:hanging="360"/>
      </w:pPr>
      <w:rPr>
        <w:rFonts w:ascii="Symbol" w:hAnsi="Symbol" w:hint="default"/>
      </w:rPr>
    </w:lvl>
    <w:lvl w:ilvl="4" w:tplc="04090003" w:tentative="1">
      <w:start w:val="1"/>
      <w:numFmt w:val="bullet"/>
      <w:lvlText w:val="o"/>
      <w:lvlJc w:val="left"/>
      <w:pPr>
        <w:tabs>
          <w:tab w:val="num" w:pos="3821"/>
        </w:tabs>
        <w:ind w:left="3821" w:hanging="360"/>
      </w:pPr>
      <w:rPr>
        <w:rFonts w:ascii="Courier New" w:hAnsi="Courier New" w:cs="Courier New" w:hint="default"/>
      </w:rPr>
    </w:lvl>
    <w:lvl w:ilvl="5" w:tplc="04090005" w:tentative="1">
      <w:start w:val="1"/>
      <w:numFmt w:val="bullet"/>
      <w:lvlText w:val=""/>
      <w:lvlJc w:val="left"/>
      <w:pPr>
        <w:tabs>
          <w:tab w:val="num" w:pos="4541"/>
        </w:tabs>
        <w:ind w:left="4541" w:hanging="360"/>
      </w:pPr>
      <w:rPr>
        <w:rFonts w:ascii="Wingdings" w:hAnsi="Wingdings" w:hint="default"/>
      </w:rPr>
    </w:lvl>
    <w:lvl w:ilvl="6" w:tplc="04090001" w:tentative="1">
      <w:start w:val="1"/>
      <w:numFmt w:val="bullet"/>
      <w:lvlText w:val=""/>
      <w:lvlJc w:val="left"/>
      <w:pPr>
        <w:tabs>
          <w:tab w:val="num" w:pos="5261"/>
        </w:tabs>
        <w:ind w:left="5261" w:hanging="360"/>
      </w:pPr>
      <w:rPr>
        <w:rFonts w:ascii="Symbol" w:hAnsi="Symbol" w:hint="default"/>
      </w:rPr>
    </w:lvl>
    <w:lvl w:ilvl="7" w:tplc="04090003" w:tentative="1">
      <w:start w:val="1"/>
      <w:numFmt w:val="bullet"/>
      <w:lvlText w:val="o"/>
      <w:lvlJc w:val="left"/>
      <w:pPr>
        <w:tabs>
          <w:tab w:val="num" w:pos="5981"/>
        </w:tabs>
        <w:ind w:left="5981" w:hanging="360"/>
      </w:pPr>
      <w:rPr>
        <w:rFonts w:ascii="Courier New" w:hAnsi="Courier New" w:cs="Courier New" w:hint="default"/>
      </w:rPr>
    </w:lvl>
    <w:lvl w:ilvl="8" w:tplc="04090005" w:tentative="1">
      <w:start w:val="1"/>
      <w:numFmt w:val="bullet"/>
      <w:lvlText w:val=""/>
      <w:lvlJc w:val="left"/>
      <w:pPr>
        <w:tabs>
          <w:tab w:val="num" w:pos="6701"/>
        </w:tabs>
        <w:ind w:left="6701" w:hanging="360"/>
      </w:pPr>
      <w:rPr>
        <w:rFonts w:ascii="Wingdings" w:hAnsi="Wingdings" w:hint="default"/>
      </w:rPr>
    </w:lvl>
  </w:abstractNum>
  <w:abstractNum w:abstractNumId="84" w15:restartNumberingAfterBreak="0">
    <w:nsid w:val="385005F3"/>
    <w:multiLevelType w:val="hybridMultilevel"/>
    <w:tmpl w:val="E0B87F76"/>
    <w:lvl w:ilvl="0" w:tplc="04090001">
      <w:start w:val="1"/>
      <w:numFmt w:val="bullet"/>
      <w:lvlText w:val=""/>
      <w:lvlJc w:val="left"/>
      <w:pPr>
        <w:ind w:left="643"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85" w15:restartNumberingAfterBreak="0">
    <w:nsid w:val="3866613D"/>
    <w:multiLevelType w:val="hybridMultilevel"/>
    <w:tmpl w:val="7F4E743A"/>
    <w:lvl w:ilvl="0" w:tplc="63809E68">
      <w:numFmt w:val="bullet"/>
      <w:lvlText w:val="-"/>
      <w:lvlJc w:val="left"/>
      <w:pPr>
        <w:ind w:left="107" w:hanging="125"/>
      </w:pPr>
      <w:rPr>
        <w:rFonts w:ascii="Times New Roman" w:eastAsia="Times New Roman" w:hAnsi="Times New Roman" w:cs="Times New Roman" w:hint="default"/>
        <w:w w:val="100"/>
        <w:sz w:val="22"/>
        <w:szCs w:val="22"/>
        <w:lang w:val="ro-RO" w:eastAsia="en-US" w:bidi="ar-SA"/>
      </w:rPr>
    </w:lvl>
    <w:lvl w:ilvl="1" w:tplc="7F2298E4">
      <w:numFmt w:val="bullet"/>
      <w:lvlText w:val="•"/>
      <w:lvlJc w:val="left"/>
      <w:pPr>
        <w:ind w:left="457" w:hanging="125"/>
      </w:pPr>
      <w:rPr>
        <w:rFonts w:hint="default"/>
        <w:lang w:val="ro-RO" w:eastAsia="en-US" w:bidi="ar-SA"/>
      </w:rPr>
    </w:lvl>
    <w:lvl w:ilvl="2" w:tplc="D8E6A9F2">
      <w:numFmt w:val="bullet"/>
      <w:lvlText w:val="•"/>
      <w:lvlJc w:val="left"/>
      <w:pPr>
        <w:ind w:left="815" w:hanging="125"/>
      </w:pPr>
      <w:rPr>
        <w:rFonts w:hint="default"/>
        <w:lang w:val="ro-RO" w:eastAsia="en-US" w:bidi="ar-SA"/>
      </w:rPr>
    </w:lvl>
    <w:lvl w:ilvl="3" w:tplc="13BEAB1C">
      <w:numFmt w:val="bullet"/>
      <w:lvlText w:val="•"/>
      <w:lvlJc w:val="left"/>
      <w:pPr>
        <w:ind w:left="1173" w:hanging="125"/>
      </w:pPr>
      <w:rPr>
        <w:rFonts w:hint="default"/>
        <w:lang w:val="ro-RO" w:eastAsia="en-US" w:bidi="ar-SA"/>
      </w:rPr>
    </w:lvl>
    <w:lvl w:ilvl="4" w:tplc="F28A586C">
      <w:numFmt w:val="bullet"/>
      <w:lvlText w:val="•"/>
      <w:lvlJc w:val="left"/>
      <w:pPr>
        <w:ind w:left="1531" w:hanging="125"/>
      </w:pPr>
      <w:rPr>
        <w:rFonts w:hint="default"/>
        <w:lang w:val="ro-RO" w:eastAsia="en-US" w:bidi="ar-SA"/>
      </w:rPr>
    </w:lvl>
    <w:lvl w:ilvl="5" w:tplc="C4046532">
      <w:numFmt w:val="bullet"/>
      <w:lvlText w:val="•"/>
      <w:lvlJc w:val="left"/>
      <w:pPr>
        <w:ind w:left="1889" w:hanging="125"/>
      </w:pPr>
      <w:rPr>
        <w:rFonts w:hint="default"/>
        <w:lang w:val="ro-RO" w:eastAsia="en-US" w:bidi="ar-SA"/>
      </w:rPr>
    </w:lvl>
    <w:lvl w:ilvl="6" w:tplc="BE3EE644">
      <w:numFmt w:val="bullet"/>
      <w:lvlText w:val="•"/>
      <w:lvlJc w:val="left"/>
      <w:pPr>
        <w:ind w:left="2247" w:hanging="125"/>
      </w:pPr>
      <w:rPr>
        <w:rFonts w:hint="default"/>
        <w:lang w:val="ro-RO" w:eastAsia="en-US" w:bidi="ar-SA"/>
      </w:rPr>
    </w:lvl>
    <w:lvl w:ilvl="7" w:tplc="5C6CF964">
      <w:numFmt w:val="bullet"/>
      <w:lvlText w:val="•"/>
      <w:lvlJc w:val="left"/>
      <w:pPr>
        <w:ind w:left="2605" w:hanging="125"/>
      </w:pPr>
      <w:rPr>
        <w:rFonts w:hint="default"/>
        <w:lang w:val="ro-RO" w:eastAsia="en-US" w:bidi="ar-SA"/>
      </w:rPr>
    </w:lvl>
    <w:lvl w:ilvl="8" w:tplc="344A6BC2">
      <w:numFmt w:val="bullet"/>
      <w:lvlText w:val="•"/>
      <w:lvlJc w:val="left"/>
      <w:pPr>
        <w:ind w:left="2963" w:hanging="125"/>
      </w:pPr>
      <w:rPr>
        <w:rFonts w:hint="default"/>
        <w:lang w:val="ro-RO" w:eastAsia="en-US" w:bidi="ar-SA"/>
      </w:rPr>
    </w:lvl>
  </w:abstractNum>
  <w:abstractNum w:abstractNumId="86" w15:restartNumberingAfterBreak="0">
    <w:nsid w:val="388B6720"/>
    <w:multiLevelType w:val="hybridMultilevel"/>
    <w:tmpl w:val="E7764D5C"/>
    <w:lvl w:ilvl="0" w:tplc="0409000B">
      <w:start w:val="1"/>
      <w:numFmt w:val="bullet"/>
      <w:lvlText w:val=""/>
      <w:lvlJc w:val="left"/>
      <w:pPr>
        <w:tabs>
          <w:tab w:val="num" w:pos="1260"/>
        </w:tabs>
        <w:ind w:left="1260" w:hanging="360"/>
      </w:pPr>
      <w:rPr>
        <w:rFonts w:ascii="Wingdings" w:hAnsi="Wingdings" w:cs="Wingdings" w:hint="default"/>
      </w:rPr>
    </w:lvl>
    <w:lvl w:ilvl="1" w:tplc="04090003">
      <w:start w:val="1"/>
      <w:numFmt w:val="bullet"/>
      <w:lvlText w:val="o"/>
      <w:lvlJc w:val="left"/>
      <w:pPr>
        <w:tabs>
          <w:tab w:val="num" w:pos="1980"/>
        </w:tabs>
        <w:ind w:left="1980" w:hanging="360"/>
      </w:pPr>
      <w:rPr>
        <w:rFonts w:ascii="Courier New" w:hAnsi="Courier New" w:cs="Courier New" w:hint="default"/>
      </w:rPr>
    </w:lvl>
    <w:lvl w:ilvl="2" w:tplc="04090005">
      <w:start w:val="1"/>
      <w:numFmt w:val="bullet"/>
      <w:lvlText w:val=""/>
      <w:lvlJc w:val="left"/>
      <w:pPr>
        <w:tabs>
          <w:tab w:val="num" w:pos="2700"/>
        </w:tabs>
        <w:ind w:left="2700" w:hanging="360"/>
      </w:pPr>
      <w:rPr>
        <w:rFonts w:ascii="Wingdings" w:hAnsi="Wingdings" w:cs="Wingdings" w:hint="default"/>
      </w:rPr>
    </w:lvl>
    <w:lvl w:ilvl="3" w:tplc="04090001">
      <w:start w:val="1"/>
      <w:numFmt w:val="bullet"/>
      <w:lvlText w:val=""/>
      <w:lvlJc w:val="left"/>
      <w:pPr>
        <w:tabs>
          <w:tab w:val="num" w:pos="3420"/>
        </w:tabs>
        <w:ind w:left="3420" w:hanging="360"/>
      </w:pPr>
      <w:rPr>
        <w:rFonts w:ascii="Symbol" w:hAnsi="Symbol" w:cs="Symbol" w:hint="default"/>
      </w:rPr>
    </w:lvl>
    <w:lvl w:ilvl="4" w:tplc="04090003">
      <w:start w:val="1"/>
      <w:numFmt w:val="bullet"/>
      <w:lvlText w:val="o"/>
      <w:lvlJc w:val="left"/>
      <w:pPr>
        <w:tabs>
          <w:tab w:val="num" w:pos="4140"/>
        </w:tabs>
        <w:ind w:left="4140" w:hanging="360"/>
      </w:pPr>
      <w:rPr>
        <w:rFonts w:ascii="Courier New" w:hAnsi="Courier New" w:cs="Courier New" w:hint="default"/>
      </w:rPr>
    </w:lvl>
    <w:lvl w:ilvl="5" w:tplc="04090005">
      <w:start w:val="1"/>
      <w:numFmt w:val="bullet"/>
      <w:lvlText w:val=""/>
      <w:lvlJc w:val="left"/>
      <w:pPr>
        <w:tabs>
          <w:tab w:val="num" w:pos="4860"/>
        </w:tabs>
        <w:ind w:left="4860" w:hanging="360"/>
      </w:pPr>
      <w:rPr>
        <w:rFonts w:ascii="Wingdings" w:hAnsi="Wingdings" w:cs="Wingdings" w:hint="default"/>
      </w:rPr>
    </w:lvl>
    <w:lvl w:ilvl="6" w:tplc="04090001">
      <w:start w:val="1"/>
      <w:numFmt w:val="bullet"/>
      <w:lvlText w:val=""/>
      <w:lvlJc w:val="left"/>
      <w:pPr>
        <w:tabs>
          <w:tab w:val="num" w:pos="5580"/>
        </w:tabs>
        <w:ind w:left="5580" w:hanging="360"/>
      </w:pPr>
      <w:rPr>
        <w:rFonts w:ascii="Symbol" w:hAnsi="Symbol" w:cs="Symbol" w:hint="default"/>
      </w:rPr>
    </w:lvl>
    <w:lvl w:ilvl="7" w:tplc="04090003">
      <w:start w:val="1"/>
      <w:numFmt w:val="bullet"/>
      <w:lvlText w:val="o"/>
      <w:lvlJc w:val="left"/>
      <w:pPr>
        <w:tabs>
          <w:tab w:val="num" w:pos="6300"/>
        </w:tabs>
        <w:ind w:left="6300" w:hanging="360"/>
      </w:pPr>
      <w:rPr>
        <w:rFonts w:ascii="Courier New" w:hAnsi="Courier New" w:cs="Courier New" w:hint="default"/>
      </w:rPr>
    </w:lvl>
    <w:lvl w:ilvl="8" w:tplc="04090005">
      <w:start w:val="1"/>
      <w:numFmt w:val="bullet"/>
      <w:lvlText w:val=""/>
      <w:lvlJc w:val="left"/>
      <w:pPr>
        <w:tabs>
          <w:tab w:val="num" w:pos="7020"/>
        </w:tabs>
        <w:ind w:left="7020" w:hanging="360"/>
      </w:pPr>
      <w:rPr>
        <w:rFonts w:ascii="Wingdings" w:hAnsi="Wingdings" w:cs="Wingdings" w:hint="default"/>
      </w:rPr>
    </w:lvl>
  </w:abstractNum>
  <w:abstractNum w:abstractNumId="87" w15:restartNumberingAfterBreak="0">
    <w:nsid w:val="389739C9"/>
    <w:multiLevelType w:val="hybridMultilevel"/>
    <w:tmpl w:val="0AF6EF3A"/>
    <w:lvl w:ilvl="0" w:tplc="2F6CA3D2">
      <w:numFmt w:val="bullet"/>
      <w:lvlText w:val="-"/>
      <w:lvlJc w:val="left"/>
      <w:pPr>
        <w:ind w:left="36" w:hanging="128"/>
      </w:pPr>
      <w:rPr>
        <w:rFonts w:ascii="Times New Roman" w:eastAsia="Times New Roman" w:hAnsi="Times New Roman" w:cs="Times New Roman" w:hint="default"/>
        <w:w w:val="100"/>
        <w:sz w:val="22"/>
        <w:szCs w:val="22"/>
        <w:lang w:val="ro-RO" w:eastAsia="en-US" w:bidi="ar-SA"/>
      </w:rPr>
    </w:lvl>
    <w:lvl w:ilvl="1" w:tplc="2A381032">
      <w:numFmt w:val="bullet"/>
      <w:lvlText w:val="•"/>
      <w:lvlJc w:val="left"/>
      <w:pPr>
        <w:ind w:left="275" w:hanging="128"/>
      </w:pPr>
      <w:rPr>
        <w:rFonts w:hint="default"/>
        <w:lang w:val="ro-RO" w:eastAsia="en-US" w:bidi="ar-SA"/>
      </w:rPr>
    </w:lvl>
    <w:lvl w:ilvl="2" w:tplc="AED6C3D2">
      <w:numFmt w:val="bullet"/>
      <w:lvlText w:val="•"/>
      <w:lvlJc w:val="left"/>
      <w:pPr>
        <w:ind w:left="511" w:hanging="128"/>
      </w:pPr>
      <w:rPr>
        <w:rFonts w:hint="default"/>
        <w:lang w:val="ro-RO" w:eastAsia="en-US" w:bidi="ar-SA"/>
      </w:rPr>
    </w:lvl>
    <w:lvl w:ilvl="3" w:tplc="CF6E41AC">
      <w:numFmt w:val="bullet"/>
      <w:lvlText w:val="•"/>
      <w:lvlJc w:val="left"/>
      <w:pPr>
        <w:ind w:left="747" w:hanging="128"/>
      </w:pPr>
      <w:rPr>
        <w:rFonts w:hint="default"/>
        <w:lang w:val="ro-RO" w:eastAsia="en-US" w:bidi="ar-SA"/>
      </w:rPr>
    </w:lvl>
    <w:lvl w:ilvl="4" w:tplc="DE621AE8">
      <w:numFmt w:val="bullet"/>
      <w:lvlText w:val="•"/>
      <w:lvlJc w:val="left"/>
      <w:pPr>
        <w:ind w:left="983" w:hanging="128"/>
      </w:pPr>
      <w:rPr>
        <w:rFonts w:hint="default"/>
        <w:lang w:val="ro-RO" w:eastAsia="en-US" w:bidi="ar-SA"/>
      </w:rPr>
    </w:lvl>
    <w:lvl w:ilvl="5" w:tplc="9E5E24E6">
      <w:numFmt w:val="bullet"/>
      <w:lvlText w:val="•"/>
      <w:lvlJc w:val="left"/>
      <w:pPr>
        <w:ind w:left="1219" w:hanging="128"/>
      </w:pPr>
      <w:rPr>
        <w:rFonts w:hint="default"/>
        <w:lang w:val="ro-RO" w:eastAsia="en-US" w:bidi="ar-SA"/>
      </w:rPr>
    </w:lvl>
    <w:lvl w:ilvl="6" w:tplc="174041C0">
      <w:numFmt w:val="bullet"/>
      <w:lvlText w:val="•"/>
      <w:lvlJc w:val="left"/>
      <w:pPr>
        <w:ind w:left="1455" w:hanging="128"/>
      </w:pPr>
      <w:rPr>
        <w:rFonts w:hint="default"/>
        <w:lang w:val="ro-RO" w:eastAsia="en-US" w:bidi="ar-SA"/>
      </w:rPr>
    </w:lvl>
    <w:lvl w:ilvl="7" w:tplc="D534CEE0">
      <w:numFmt w:val="bullet"/>
      <w:lvlText w:val="•"/>
      <w:lvlJc w:val="left"/>
      <w:pPr>
        <w:ind w:left="1691" w:hanging="128"/>
      </w:pPr>
      <w:rPr>
        <w:rFonts w:hint="default"/>
        <w:lang w:val="ro-RO" w:eastAsia="en-US" w:bidi="ar-SA"/>
      </w:rPr>
    </w:lvl>
    <w:lvl w:ilvl="8" w:tplc="0504B0D0">
      <w:numFmt w:val="bullet"/>
      <w:lvlText w:val="•"/>
      <w:lvlJc w:val="left"/>
      <w:pPr>
        <w:ind w:left="1927" w:hanging="128"/>
      </w:pPr>
      <w:rPr>
        <w:rFonts w:hint="default"/>
        <w:lang w:val="ro-RO" w:eastAsia="en-US" w:bidi="ar-SA"/>
      </w:rPr>
    </w:lvl>
  </w:abstractNum>
  <w:abstractNum w:abstractNumId="88" w15:restartNumberingAfterBreak="0">
    <w:nsid w:val="38C05664"/>
    <w:multiLevelType w:val="hybridMultilevel"/>
    <w:tmpl w:val="F1F6F496"/>
    <w:lvl w:ilvl="0" w:tplc="AAD660A4">
      <w:numFmt w:val="bullet"/>
      <w:lvlText w:val="-"/>
      <w:lvlJc w:val="left"/>
      <w:pPr>
        <w:ind w:left="34" w:hanging="204"/>
      </w:pPr>
      <w:rPr>
        <w:rFonts w:ascii="Times New Roman" w:eastAsia="Times New Roman" w:hAnsi="Times New Roman" w:cs="Times New Roman" w:hint="default"/>
        <w:w w:val="100"/>
        <w:sz w:val="22"/>
        <w:szCs w:val="22"/>
        <w:lang w:val="ro-RO" w:eastAsia="en-US" w:bidi="ar-SA"/>
      </w:rPr>
    </w:lvl>
    <w:lvl w:ilvl="1" w:tplc="01C644A4">
      <w:numFmt w:val="bullet"/>
      <w:lvlText w:val="•"/>
      <w:lvlJc w:val="left"/>
      <w:pPr>
        <w:ind w:left="292" w:hanging="204"/>
      </w:pPr>
      <w:rPr>
        <w:rFonts w:hint="default"/>
        <w:lang w:val="ro-RO" w:eastAsia="en-US" w:bidi="ar-SA"/>
      </w:rPr>
    </w:lvl>
    <w:lvl w:ilvl="2" w:tplc="CD5609BC">
      <w:numFmt w:val="bullet"/>
      <w:lvlText w:val="•"/>
      <w:lvlJc w:val="left"/>
      <w:pPr>
        <w:ind w:left="544" w:hanging="204"/>
      </w:pPr>
      <w:rPr>
        <w:rFonts w:hint="default"/>
        <w:lang w:val="ro-RO" w:eastAsia="en-US" w:bidi="ar-SA"/>
      </w:rPr>
    </w:lvl>
    <w:lvl w:ilvl="3" w:tplc="C226CE52">
      <w:numFmt w:val="bullet"/>
      <w:lvlText w:val="•"/>
      <w:lvlJc w:val="left"/>
      <w:pPr>
        <w:ind w:left="796" w:hanging="204"/>
      </w:pPr>
      <w:rPr>
        <w:rFonts w:hint="default"/>
        <w:lang w:val="ro-RO" w:eastAsia="en-US" w:bidi="ar-SA"/>
      </w:rPr>
    </w:lvl>
    <w:lvl w:ilvl="4" w:tplc="B518CFD0">
      <w:numFmt w:val="bullet"/>
      <w:lvlText w:val="•"/>
      <w:lvlJc w:val="left"/>
      <w:pPr>
        <w:ind w:left="1049" w:hanging="204"/>
      </w:pPr>
      <w:rPr>
        <w:rFonts w:hint="default"/>
        <w:lang w:val="ro-RO" w:eastAsia="en-US" w:bidi="ar-SA"/>
      </w:rPr>
    </w:lvl>
    <w:lvl w:ilvl="5" w:tplc="D3840A6C">
      <w:numFmt w:val="bullet"/>
      <w:lvlText w:val="•"/>
      <w:lvlJc w:val="left"/>
      <w:pPr>
        <w:ind w:left="1301" w:hanging="204"/>
      </w:pPr>
      <w:rPr>
        <w:rFonts w:hint="default"/>
        <w:lang w:val="ro-RO" w:eastAsia="en-US" w:bidi="ar-SA"/>
      </w:rPr>
    </w:lvl>
    <w:lvl w:ilvl="6" w:tplc="0D1C3022">
      <w:numFmt w:val="bullet"/>
      <w:lvlText w:val="•"/>
      <w:lvlJc w:val="left"/>
      <w:pPr>
        <w:ind w:left="1553" w:hanging="204"/>
      </w:pPr>
      <w:rPr>
        <w:rFonts w:hint="default"/>
        <w:lang w:val="ro-RO" w:eastAsia="en-US" w:bidi="ar-SA"/>
      </w:rPr>
    </w:lvl>
    <w:lvl w:ilvl="7" w:tplc="02F6F22E">
      <w:numFmt w:val="bullet"/>
      <w:lvlText w:val="•"/>
      <w:lvlJc w:val="left"/>
      <w:pPr>
        <w:ind w:left="1806" w:hanging="204"/>
      </w:pPr>
      <w:rPr>
        <w:rFonts w:hint="default"/>
        <w:lang w:val="ro-RO" w:eastAsia="en-US" w:bidi="ar-SA"/>
      </w:rPr>
    </w:lvl>
    <w:lvl w:ilvl="8" w:tplc="70E8E252">
      <w:numFmt w:val="bullet"/>
      <w:lvlText w:val="•"/>
      <w:lvlJc w:val="left"/>
      <w:pPr>
        <w:ind w:left="2058" w:hanging="204"/>
      </w:pPr>
      <w:rPr>
        <w:rFonts w:hint="default"/>
        <w:lang w:val="ro-RO" w:eastAsia="en-US" w:bidi="ar-SA"/>
      </w:rPr>
    </w:lvl>
  </w:abstractNum>
  <w:abstractNum w:abstractNumId="89" w15:restartNumberingAfterBreak="0">
    <w:nsid w:val="393F7641"/>
    <w:multiLevelType w:val="hybridMultilevel"/>
    <w:tmpl w:val="EAA4267E"/>
    <w:lvl w:ilvl="0" w:tplc="1DEE86E8">
      <w:numFmt w:val="bullet"/>
      <w:lvlText w:val="-"/>
      <w:lvlJc w:val="left"/>
      <w:pPr>
        <w:ind w:left="22" w:hanging="258"/>
      </w:pPr>
      <w:rPr>
        <w:rFonts w:ascii="Times New Roman" w:eastAsia="Times New Roman" w:hAnsi="Times New Roman" w:cs="Times New Roman" w:hint="default"/>
        <w:w w:val="100"/>
        <w:sz w:val="22"/>
        <w:szCs w:val="22"/>
        <w:lang w:val="ro-RO" w:eastAsia="en-US" w:bidi="ar-SA"/>
      </w:rPr>
    </w:lvl>
    <w:lvl w:ilvl="1" w:tplc="1692356A">
      <w:numFmt w:val="bullet"/>
      <w:lvlText w:val="•"/>
      <w:lvlJc w:val="left"/>
      <w:pPr>
        <w:ind w:left="273" w:hanging="258"/>
      </w:pPr>
      <w:rPr>
        <w:rFonts w:hint="default"/>
        <w:lang w:val="ro-RO" w:eastAsia="en-US" w:bidi="ar-SA"/>
      </w:rPr>
    </w:lvl>
    <w:lvl w:ilvl="2" w:tplc="8F38E920">
      <w:numFmt w:val="bullet"/>
      <w:lvlText w:val="•"/>
      <w:lvlJc w:val="left"/>
      <w:pPr>
        <w:ind w:left="527" w:hanging="258"/>
      </w:pPr>
      <w:rPr>
        <w:rFonts w:hint="default"/>
        <w:lang w:val="ro-RO" w:eastAsia="en-US" w:bidi="ar-SA"/>
      </w:rPr>
    </w:lvl>
    <w:lvl w:ilvl="3" w:tplc="2E8E63CE">
      <w:numFmt w:val="bullet"/>
      <w:lvlText w:val="•"/>
      <w:lvlJc w:val="left"/>
      <w:pPr>
        <w:ind w:left="781" w:hanging="258"/>
      </w:pPr>
      <w:rPr>
        <w:rFonts w:hint="default"/>
        <w:lang w:val="ro-RO" w:eastAsia="en-US" w:bidi="ar-SA"/>
      </w:rPr>
    </w:lvl>
    <w:lvl w:ilvl="4" w:tplc="62548E10">
      <w:numFmt w:val="bullet"/>
      <w:lvlText w:val="•"/>
      <w:lvlJc w:val="left"/>
      <w:pPr>
        <w:ind w:left="1035" w:hanging="258"/>
      </w:pPr>
      <w:rPr>
        <w:rFonts w:hint="default"/>
        <w:lang w:val="ro-RO" w:eastAsia="en-US" w:bidi="ar-SA"/>
      </w:rPr>
    </w:lvl>
    <w:lvl w:ilvl="5" w:tplc="A8600C32">
      <w:numFmt w:val="bullet"/>
      <w:lvlText w:val="•"/>
      <w:lvlJc w:val="left"/>
      <w:pPr>
        <w:ind w:left="1289" w:hanging="258"/>
      </w:pPr>
      <w:rPr>
        <w:rFonts w:hint="default"/>
        <w:lang w:val="ro-RO" w:eastAsia="en-US" w:bidi="ar-SA"/>
      </w:rPr>
    </w:lvl>
    <w:lvl w:ilvl="6" w:tplc="3B244A82">
      <w:numFmt w:val="bullet"/>
      <w:lvlText w:val="•"/>
      <w:lvlJc w:val="left"/>
      <w:pPr>
        <w:ind w:left="1542" w:hanging="258"/>
      </w:pPr>
      <w:rPr>
        <w:rFonts w:hint="default"/>
        <w:lang w:val="ro-RO" w:eastAsia="en-US" w:bidi="ar-SA"/>
      </w:rPr>
    </w:lvl>
    <w:lvl w:ilvl="7" w:tplc="F566D190">
      <w:numFmt w:val="bullet"/>
      <w:lvlText w:val="•"/>
      <w:lvlJc w:val="left"/>
      <w:pPr>
        <w:ind w:left="1796" w:hanging="258"/>
      </w:pPr>
      <w:rPr>
        <w:rFonts w:hint="default"/>
        <w:lang w:val="ro-RO" w:eastAsia="en-US" w:bidi="ar-SA"/>
      </w:rPr>
    </w:lvl>
    <w:lvl w:ilvl="8" w:tplc="298403AC">
      <w:numFmt w:val="bullet"/>
      <w:lvlText w:val="•"/>
      <w:lvlJc w:val="left"/>
      <w:pPr>
        <w:ind w:left="2050" w:hanging="258"/>
      </w:pPr>
      <w:rPr>
        <w:rFonts w:hint="default"/>
        <w:lang w:val="ro-RO" w:eastAsia="en-US" w:bidi="ar-SA"/>
      </w:rPr>
    </w:lvl>
  </w:abstractNum>
  <w:abstractNum w:abstractNumId="90" w15:restartNumberingAfterBreak="0">
    <w:nsid w:val="39AF307C"/>
    <w:multiLevelType w:val="hybridMultilevel"/>
    <w:tmpl w:val="931C0C5C"/>
    <w:lvl w:ilvl="0" w:tplc="65248C8C">
      <w:start w:val="1"/>
      <w:numFmt w:val="decimal"/>
      <w:lvlText w:val="%1."/>
      <w:lvlJc w:val="left"/>
      <w:pPr>
        <w:ind w:left="828" w:hanging="361"/>
      </w:pPr>
      <w:rPr>
        <w:rFonts w:ascii="Times New Roman" w:eastAsia="Times New Roman" w:hAnsi="Times New Roman" w:cs="Times New Roman" w:hint="default"/>
        <w:w w:val="100"/>
        <w:sz w:val="24"/>
        <w:szCs w:val="24"/>
        <w:lang w:val="ro-RO" w:eastAsia="en-US" w:bidi="ar-SA"/>
      </w:rPr>
    </w:lvl>
    <w:lvl w:ilvl="1" w:tplc="608C5E38">
      <w:numFmt w:val="bullet"/>
      <w:lvlText w:val="•"/>
      <w:lvlJc w:val="left"/>
      <w:pPr>
        <w:ind w:left="1485" w:hanging="361"/>
      </w:pPr>
      <w:rPr>
        <w:rFonts w:hint="default"/>
        <w:lang w:val="ro-RO" w:eastAsia="en-US" w:bidi="ar-SA"/>
      </w:rPr>
    </w:lvl>
    <w:lvl w:ilvl="2" w:tplc="FFCE1D30">
      <w:numFmt w:val="bullet"/>
      <w:lvlText w:val="•"/>
      <w:lvlJc w:val="left"/>
      <w:pPr>
        <w:ind w:left="2150" w:hanging="361"/>
      </w:pPr>
      <w:rPr>
        <w:rFonts w:hint="default"/>
        <w:lang w:val="ro-RO" w:eastAsia="en-US" w:bidi="ar-SA"/>
      </w:rPr>
    </w:lvl>
    <w:lvl w:ilvl="3" w:tplc="217E570C">
      <w:numFmt w:val="bullet"/>
      <w:lvlText w:val="•"/>
      <w:lvlJc w:val="left"/>
      <w:pPr>
        <w:ind w:left="2815" w:hanging="361"/>
      </w:pPr>
      <w:rPr>
        <w:rFonts w:hint="default"/>
        <w:lang w:val="ro-RO" w:eastAsia="en-US" w:bidi="ar-SA"/>
      </w:rPr>
    </w:lvl>
    <w:lvl w:ilvl="4" w:tplc="D9E00B98">
      <w:numFmt w:val="bullet"/>
      <w:lvlText w:val="•"/>
      <w:lvlJc w:val="left"/>
      <w:pPr>
        <w:ind w:left="3480" w:hanging="361"/>
      </w:pPr>
      <w:rPr>
        <w:rFonts w:hint="default"/>
        <w:lang w:val="ro-RO" w:eastAsia="en-US" w:bidi="ar-SA"/>
      </w:rPr>
    </w:lvl>
    <w:lvl w:ilvl="5" w:tplc="22047ACC">
      <w:numFmt w:val="bullet"/>
      <w:lvlText w:val="•"/>
      <w:lvlJc w:val="left"/>
      <w:pPr>
        <w:ind w:left="4145" w:hanging="361"/>
      </w:pPr>
      <w:rPr>
        <w:rFonts w:hint="default"/>
        <w:lang w:val="ro-RO" w:eastAsia="en-US" w:bidi="ar-SA"/>
      </w:rPr>
    </w:lvl>
    <w:lvl w:ilvl="6" w:tplc="5C049268">
      <w:numFmt w:val="bullet"/>
      <w:lvlText w:val="•"/>
      <w:lvlJc w:val="left"/>
      <w:pPr>
        <w:ind w:left="4810" w:hanging="361"/>
      </w:pPr>
      <w:rPr>
        <w:rFonts w:hint="default"/>
        <w:lang w:val="ro-RO" w:eastAsia="en-US" w:bidi="ar-SA"/>
      </w:rPr>
    </w:lvl>
    <w:lvl w:ilvl="7" w:tplc="3D7C2F04">
      <w:numFmt w:val="bullet"/>
      <w:lvlText w:val="•"/>
      <w:lvlJc w:val="left"/>
      <w:pPr>
        <w:ind w:left="5475" w:hanging="361"/>
      </w:pPr>
      <w:rPr>
        <w:rFonts w:hint="default"/>
        <w:lang w:val="ro-RO" w:eastAsia="en-US" w:bidi="ar-SA"/>
      </w:rPr>
    </w:lvl>
    <w:lvl w:ilvl="8" w:tplc="FE8615CC">
      <w:numFmt w:val="bullet"/>
      <w:lvlText w:val="•"/>
      <w:lvlJc w:val="left"/>
      <w:pPr>
        <w:ind w:left="6140" w:hanging="361"/>
      </w:pPr>
      <w:rPr>
        <w:rFonts w:hint="default"/>
        <w:lang w:val="ro-RO" w:eastAsia="en-US" w:bidi="ar-SA"/>
      </w:rPr>
    </w:lvl>
  </w:abstractNum>
  <w:abstractNum w:abstractNumId="91" w15:restartNumberingAfterBreak="0">
    <w:nsid w:val="3A712FEA"/>
    <w:multiLevelType w:val="hybridMultilevel"/>
    <w:tmpl w:val="9B520EC4"/>
    <w:lvl w:ilvl="0" w:tplc="DD942914">
      <w:numFmt w:val="bullet"/>
      <w:lvlText w:val="-"/>
      <w:lvlJc w:val="left"/>
      <w:pPr>
        <w:ind w:left="24" w:hanging="252"/>
      </w:pPr>
      <w:rPr>
        <w:rFonts w:ascii="Times New Roman" w:eastAsia="Times New Roman" w:hAnsi="Times New Roman" w:cs="Times New Roman" w:hint="default"/>
        <w:w w:val="100"/>
        <w:sz w:val="22"/>
        <w:szCs w:val="22"/>
        <w:lang w:val="ro-RO" w:eastAsia="en-US" w:bidi="ar-SA"/>
      </w:rPr>
    </w:lvl>
    <w:lvl w:ilvl="1" w:tplc="6A0E121C">
      <w:numFmt w:val="bullet"/>
      <w:lvlText w:val="•"/>
      <w:lvlJc w:val="left"/>
      <w:pPr>
        <w:ind w:left="272" w:hanging="252"/>
      </w:pPr>
      <w:rPr>
        <w:rFonts w:hint="default"/>
        <w:lang w:val="ro-RO" w:eastAsia="en-US" w:bidi="ar-SA"/>
      </w:rPr>
    </w:lvl>
    <w:lvl w:ilvl="2" w:tplc="18A4C32A">
      <w:numFmt w:val="bullet"/>
      <w:lvlText w:val="•"/>
      <w:lvlJc w:val="left"/>
      <w:pPr>
        <w:ind w:left="524" w:hanging="252"/>
      </w:pPr>
      <w:rPr>
        <w:rFonts w:hint="default"/>
        <w:lang w:val="ro-RO" w:eastAsia="en-US" w:bidi="ar-SA"/>
      </w:rPr>
    </w:lvl>
    <w:lvl w:ilvl="3" w:tplc="A71ECD30">
      <w:numFmt w:val="bullet"/>
      <w:lvlText w:val="•"/>
      <w:lvlJc w:val="left"/>
      <w:pPr>
        <w:ind w:left="776" w:hanging="252"/>
      </w:pPr>
      <w:rPr>
        <w:rFonts w:hint="default"/>
        <w:lang w:val="ro-RO" w:eastAsia="en-US" w:bidi="ar-SA"/>
      </w:rPr>
    </w:lvl>
    <w:lvl w:ilvl="4" w:tplc="4BC63932">
      <w:numFmt w:val="bullet"/>
      <w:lvlText w:val="•"/>
      <w:lvlJc w:val="left"/>
      <w:pPr>
        <w:ind w:left="1028" w:hanging="252"/>
      </w:pPr>
      <w:rPr>
        <w:rFonts w:hint="default"/>
        <w:lang w:val="ro-RO" w:eastAsia="en-US" w:bidi="ar-SA"/>
      </w:rPr>
    </w:lvl>
    <w:lvl w:ilvl="5" w:tplc="A7364C66">
      <w:numFmt w:val="bullet"/>
      <w:lvlText w:val="•"/>
      <w:lvlJc w:val="left"/>
      <w:pPr>
        <w:ind w:left="1281" w:hanging="252"/>
      </w:pPr>
      <w:rPr>
        <w:rFonts w:hint="default"/>
        <w:lang w:val="ro-RO" w:eastAsia="en-US" w:bidi="ar-SA"/>
      </w:rPr>
    </w:lvl>
    <w:lvl w:ilvl="6" w:tplc="59907B54">
      <w:numFmt w:val="bullet"/>
      <w:lvlText w:val="•"/>
      <w:lvlJc w:val="left"/>
      <w:pPr>
        <w:ind w:left="1533" w:hanging="252"/>
      </w:pPr>
      <w:rPr>
        <w:rFonts w:hint="default"/>
        <w:lang w:val="ro-RO" w:eastAsia="en-US" w:bidi="ar-SA"/>
      </w:rPr>
    </w:lvl>
    <w:lvl w:ilvl="7" w:tplc="A5648080">
      <w:numFmt w:val="bullet"/>
      <w:lvlText w:val="•"/>
      <w:lvlJc w:val="left"/>
      <w:pPr>
        <w:ind w:left="1785" w:hanging="252"/>
      </w:pPr>
      <w:rPr>
        <w:rFonts w:hint="default"/>
        <w:lang w:val="ro-RO" w:eastAsia="en-US" w:bidi="ar-SA"/>
      </w:rPr>
    </w:lvl>
    <w:lvl w:ilvl="8" w:tplc="14567AA2">
      <w:numFmt w:val="bullet"/>
      <w:lvlText w:val="•"/>
      <w:lvlJc w:val="left"/>
      <w:pPr>
        <w:ind w:left="2037" w:hanging="252"/>
      </w:pPr>
      <w:rPr>
        <w:rFonts w:hint="default"/>
        <w:lang w:val="ro-RO" w:eastAsia="en-US" w:bidi="ar-SA"/>
      </w:rPr>
    </w:lvl>
  </w:abstractNum>
  <w:abstractNum w:abstractNumId="92" w15:restartNumberingAfterBreak="0">
    <w:nsid w:val="3B6E3CDB"/>
    <w:multiLevelType w:val="hybridMultilevel"/>
    <w:tmpl w:val="BED6C242"/>
    <w:lvl w:ilvl="0" w:tplc="DF4CFBCC">
      <w:numFmt w:val="bullet"/>
      <w:lvlText w:val="-"/>
      <w:lvlJc w:val="left"/>
      <w:pPr>
        <w:ind w:left="534" w:hanging="140"/>
      </w:pPr>
      <w:rPr>
        <w:rFonts w:ascii="Times New Roman" w:eastAsia="Times New Roman" w:hAnsi="Times New Roman" w:cs="Times New Roman" w:hint="default"/>
        <w:w w:val="99"/>
        <w:sz w:val="24"/>
        <w:szCs w:val="24"/>
        <w:lang w:val="ro-RO" w:eastAsia="en-US" w:bidi="ar-SA"/>
      </w:rPr>
    </w:lvl>
    <w:lvl w:ilvl="1" w:tplc="4AE6CA7A">
      <w:numFmt w:val="bullet"/>
      <w:lvlText w:val="•"/>
      <w:lvlJc w:val="left"/>
      <w:pPr>
        <w:ind w:left="1195" w:hanging="140"/>
      </w:pPr>
      <w:rPr>
        <w:rFonts w:hint="default"/>
        <w:lang w:val="ro-RO" w:eastAsia="en-US" w:bidi="ar-SA"/>
      </w:rPr>
    </w:lvl>
    <w:lvl w:ilvl="2" w:tplc="4DFAD638">
      <w:numFmt w:val="bullet"/>
      <w:lvlText w:val="•"/>
      <w:lvlJc w:val="left"/>
      <w:pPr>
        <w:ind w:left="1850" w:hanging="140"/>
      </w:pPr>
      <w:rPr>
        <w:rFonts w:hint="default"/>
        <w:lang w:val="ro-RO" w:eastAsia="en-US" w:bidi="ar-SA"/>
      </w:rPr>
    </w:lvl>
    <w:lvl w:ilvl="3" w:tplc="A69E7E4E">
      <w:numFmt w:val="bullet"/>
      <w:lvlText w:val="•"/>
      <w:lvlJc w:val="left"/>
      <w:pPr>
        <w:ind w:left="2505" w:hanging="140"/>
      </w:pPr>
      <w:rPr>
        <w:rFonts w:hint="default"/>
        <w:lang w:val="ro-RO" w:eastAsia="en-US" w:bidi="ar-SA"/>
      </w:rPr>
    </w:lvl>
    <w:lvl w:ilvl="4" w:tplc="1BBEBF40">
      <w:numFmt w:val="bullet"/>
      <w:lvlText w:val="•"/>
      <w:lvlJc w:val="left"/>
      <w:pPr>
        <w:ind w:left="3160" w:hanging="140"/>
      </w:pPr>
      <w:rPr>
        <w:rFonts w:hint="default"/>
        <w:lang w:val="ro-RO" w:eastAsia="en-US" w:bidi="ar-SA"/>
      </w:rPr>
    </w:lvl>
    <w:lvl w:ilvl="5" w:tplc="A4C46A4A">
      <w:numFmt w:val="bullet"/>
      <w:lvlText w:val="•"/>
      <w:lvlJc w:val="left"/>
      <w:pPr>
        <w:ind w:left="3815" w:hanging="140"/>
      </w:pPr>
      <w:rPr>
        <w:rFonts w:hint="default"/>
        <w:lang w:val="ro-RO" w:eastAsia="en-US" w:bidi="ar-SA"/>
      </w:rPr>
    </w:lvl>
    <w:lvl w:ilvl="6" w:tplc="F3048792">
      <w:numFmt w:val="bullet"/>
      <w:lvlText w:val="•"/>
      <w:lvlJc w:val="left"/>
      <w:pPr>
        <w:ind w:left="4470" w:hanging="140"/>
      </w:pPr>
      <w:rPr>
        <w:rFonts w:hint="default"/>
        <w:lang w:val="ro-RO" w:eastAsia="en-US" w:bidi="ar-SA"/>
      </w:rPr>
    </w:lvl>
    <w:lvl w:ilvl="7" w:tplc="6792D2EA">
      <w:numFmt w:val="bullet"/>
      <w:lvlText w:val="•"/>
      <w:lvlJc w:val="left"/>
      <w:pPr>
        <w:ind w:left="5125" w:hanging="140"/>
      </w:pPr>
      <w:rPr>
        <w:rFonts w:hint="default"/>
        <w:lang w:val="ro-RO" w:eastAsia="en-US" w:bidi="ar-SA"/>
      </w:rPr>
    </w:lvl>
    <w:lvl w:ilvl="8" w:tplc="0DCED6EC">
      <w:numFmt w:val="bullet"/>
      <w:lvlText w:val="•"/>
      <w:lvlJc w:val="left"/>
      <w:pPr>
        <w:ind w:left="5780" w:hanging="140"/>
      </w:pPr>
      <w:rPr>
        <w:rFonts w:hint="default"/>
        <w:lang w:val="ro-RO" w:eastAsia="en-US" w:bidi="ar-SA"/>
      </w:rPr>
    </w:lvl>
  </w:abstractNum>
  <w:abstractNum w:abstractNumId="93" w15:restartNumberingAfterBreak="0">
    <w:nsid w:val="3C2D4A84"/>
    <w:multiLevelType w:val="hybridMultilevel"/>
    <w:tmpl w:val="ECB22D7A"/>
    <w:lvl w:ilvl="0" w:tplc="07BABEFE">
      <w:numFmt w:val="bullet"/>
      <w:lvlText w:val="-"/>
      <w:lvlJc w:val="left"/>
      <w:pPr>
        <w:ind w:left="22" w:hanging="258"/>
      </w:pPr>
      <w:rPr>
        <w:rFonts w:ascii="Times New Roman" w:eastAsia="Times New Roman" w:hAnsi="Times New Roman" w:cs="Times New Roman" w:hint="default"/>
        <w:w w:val="100"/>
        <w:sz w:val="22"/>
        <w:szCs w:val="22"/>
        <w:lang w:val="ro-RO" w:eastAsia="en-US" w:bidi="ar-SA"/>
      </w:rPr>
    </w:lvl>
    <w:lvl w:ilvl="1" w:tplc="C73E35F4">
      <w:numFmt w:val="bullet"/>
      <w:lvlText w:val="•"/>
      <w:lvlJc w:val="left"/>
      <w:pPr>
        <w:ind w:left="273" w:hanging="258"/>
      </w:pPr>
      <w:rPr>
        <w:rFonts w:hint="default"/>
        <w:lang w:val="ro-RO" w:eastAsia="en-US" w:bidi="ar-SA"/>
      </w:rPr>
    </w:lvl>
    <w:lvl w:ilvl="2" w:tplc="40B6DBAC">
      <w:numFmt w:val="bullet"/>
      <w:lvlText w:val="•"/>
      <w:lvlJc w:val="left"/>
      <w:pPr>
        <w:ind w:left="527" w:hanging="258"/>
      </w:pPr>
      <w:rPr>
        <w:rFonts w:hint="default"/>
        <w:lang w:val="ro-RO" w:eastAsia="en-US" w:bidi="ar-SA"/>
      </w:rPr>
    </w:lvl>
    <w:lvl w:ilvl="3" w:tplc="D442A402">
      <w:numFmt w:val="bullet"/>
      <w:lvlText w:val="•"/>
      <w:lvlJc w:val="left"/>
      <w:pPr>
        <w:ind w:left="781" w:hanging="258"/>
      </w:pPr>
      <w:rPr>
        <w:rFonts w:hint="default"/>
        <w:lang w:val="ro-RO" w:eastAsia="en-US" w:bidi="ar-SA"/>
      </w:rPr>
    </w:lvl>
    <w:lvl w:ilvl="4" w:tplc="6E6CB3E8">
      <w:numFmt w:val="bullet"/>
      <w:lvlText w:val="•"/>
      <w:lvlJc w:val="left"/>
      <w:pPr>
        <w:ind w:left="1035" w:hanging="258"/>
      </w:pPr>
      <w:rPr>
        <w:rFonts w:hint="default"/>
        <w:lang w:val="ro-RO" w:eastAsia="en-US" w:bidi="ar-SA"/>
      </w:rPr>
    </w:lvl>
    <w:lvl w:ilvl="5" w:tplc="7EE0E810">
      <w:numFmt w:val="bullet"/>
      <w:lvlText w:val="•"/>
      <w:lvlJc w:val="left"/>
      <w:pPr>
        <w:ind w:left="1289" w:hanging="258"/>
      </w:pPr>
      <w:rPr>
        <w:rFonts w:hint="default"/>
        <w:lang w:val="ro-RO" w:eastAsia="en-US" w:bidi="ar-SA"/>
      </w:rPr>
    </w:lvl>
    <w:lvl w:ilvl="6" w:tplc="59D82680">
      <w:numFmt w:val="bullet"/>
      <w:lvlText w:val="•"/>
      <w:lvlJc w:val="left"/>
      <w:pPr>
        <w:ind w:left="1542" w:hanging="258"/>
      </w:pPr>
      <w:rPr>
        <w:rFonts w:hint="default"/>
        <w:lang w:val="ro-RO" w:eastAsia="en-US" w:bidi="ar-SA"/>
      </w:rPr>
    </w:lvl>
    <w:lvl w:ilvl="7" w:tplc="69AC61C2">
      <w:numFmt w:val="bullet"/>
      <w:lvlText w:val="•"/>
      <w:lvlJc w:val="left"/>
      <w:pPr>
        <w:ind w:left="1796" w:hanging="258"/>
      </w:pPr>
      <w:rPr>
        <w:rFonts w:hint="default"/>
        <w:lang w:val="ro-RO" w:eastAsia="en-US" w:bidi="ar-SA"/>
      </w:rPr>
    </w:lvl>
    <w:lvl w:ilvl="8" w:tplc="BF5CC174">
      <w:numFmt w:val="bullet"/>
      <w:lvlText w:val="•"/>
      <w:lvlJc w:val="left"/>
      <w:pPr>
        <w:ind w:left="2050" w:hanging="258"/>
      </w:pPr>
      <w:rPr>
        <w:rFonts w:hint="default"/>
        <w:lang w:val="ro-RO" w:eastAsia="en-US" w:bidi="ar-SA"/>
      </w:rPr>
    </w:lvl>
  </w:abstractNum>
  <w:abstractNum w:abstractNumId="94" w15:restartNumberingAfterBreak="0">
    <w:nsid w:val="3C401463"/>
    <w:multiLevelType w:val="hybridMultilevel"/>
    <w:tmpl w:val="69C2916E"/>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95" w15:restartNumberingAfterBreak="0">
    <w:nsid w:val="3EE17FAF"/>
    <w:multiLevelType w:val="hybridMultilevel"/>
    <w:tmpl w:val="737E241E"/>
    <w:lvl w:ilvl="0" w:tplc="03286344">
      <w:numFmt w:val="bullet"/>
      <w:lvlText w:val="-"/>
      <w:lvlJc w:val="left"/>
      <w:pPr>
        <w:ind w:left="24" w:hanging="252"/>
      </w:pPr>
      <w:rPr>
        <w:rFonts w:ascii="Times New Roman" w:eastAsia="Times New Roman" w:hAnsi="Times New Roman" w:cs="Times New Roman" w:hint="default"/>
        <w:w w:val="100"/>
        <w:sz w:val="22"/>
        <w:szCs w:val="22"/>
        <w:lang w:val="ro-RO" w:eastAsia="en-US" w:bidi="ar-SA"/>
      </w:rPr>
    </w:lvl>
    <w:lvl w:ilvl="1" w:tplc="A29E17F2">
      <w:numFmt w:val="bullet"/>
      <w:lvlText w:val="•"/>
      <w:lvlJc w:val="left"/>
      <w:pPr>
        <w:ind w:left="293" w:hanging="252"/>
      </w:pPr>
      <w:rPr>
        <w:rFonts w:hint="default"/>
        <w:lang w:val="ro-RO" w:eastAsia="en-US" w:bidi="ar-SA"/>
      </w:rPr>
    </w:lvl>
    <w:lvl w:ilvl="2" w:tplc="1C7881C6">
      <w:numFmt w:val="bullet"/>
      <w:lvlText w:val="•"/>
      <w:lvlJc w:val="left"/>
      <w:pPr>
        <w:ind w:left="567" w:hanging="252"/>
      </w:pPr>
      <w:rPr>
        <w:rFonts w:hint="default"/>
        <w:lang w:val="ro-RO" w:eastAsia="en-US" w:bidi="ar-SA"/>
      </w:rPr>
    </w:lvl>
    <w:lvl w:ilvl="3" w:tplc="09AEB784">
      <w:numFmt w:val="bullet"/>
      <w:lvlText w:val="•"/>
      <w:lvlJc w:val="left"/>
      <w:pPr>
        <w:ind w:left="840" w:hanging="252"/>
      </w:pPr>
      <w:rPr>
        <w:rFonts w:hint="default"/>
        <w:lang w:val="ro-RO" w:eastAsia="en-US" w:bidi="ar-SA"/>
      </w:rPr>
    </w:lvl>
    <w:lvl w:ilvl="4" w:tplc="F998FE16">
      <w:numFmt w:val="bullet"/>
      <w:lvlText w:val="•"/>
      <w:lvlJc w:val="left"/>
      <w:pPr>
        <w:ind w:left="1114" w:hanging="252"/>
      </w:pPr>
      <w:rPr>
        <w:rFonts w:hint="default"/>
        <w:lang w:val="ro-RO" w:eastAsia="en-US" w:bidi="ar-SA"/>
      </w:rPr>
    </w:lvl>
    <w:lvl w:ilvl="5" w:tplc="2B445858">
      <w:numFmt w:val="bullet"/>
      <w:lvlText w:val="•"/>
      <w:lvlJc w:val="left"/>
      <w:pPr>
        <w:ind w:left="1387" w:hanging="252"/>
      </w:pPr>
      <w:rPr>
        <w:rFonts w:hint="default"/>
        <w:lang w:val="ro-RO" w:eastAsia="en-US" w:bidi="ar-SA"/>
      </w:rPr>
    </w:lvl>
    <w:lvl w:ilvl="6" w:tplc="BBCC0CAA">
      <w:numFmt w:val="bullet"/>
      <w:lvlText w:val="•"/>
      <w:lvlJc w:val="left"/>
      <w:pPr>
        <w:ind w:left="1661" w:hanging="252"/>
      </w:pPr>
      <w:rPr>
        <w:rFonts w:hint="default"/>
        <w:lang w:val="ro-RO" w:eastAsia="en-US" w:bidi="ar-SA"/>
      </w:rPr>
    </w:lvl>
    <w:lvl w:ilvl="7" w:tplc="22DA6DD6">
      <w:numFmt w:val="bullet"/>
      <w:lvlText w:val="•"/>
      <w:lvlJc w:val="left"/>
      <w:pPr>
        <w:ind w:left="1934" w:hanging="252"/>
      </w:pPr>
      <w:rPr>
        <w:rFonts w:hint="default"/>
        <w:lang w:val="ro-RO" w:eastAsia="en-US" w:bidi="ar-SA"/>
      </w:rPr>
    </w:lvl>
    <w:lvl w:ilvl="8" w:tplc="2D4E7388">
      <w:numFmt w:val="bullet"/>
      <w:lvlText w:val="•"/>
      <w:lvlJc w:val="left"/>
      <w:pPr>
        <w:ind w:left="2208" w:hanging="252"/>
      </w:pPr>
      <w:rPr>
        <w:rFonts w:hint="default"/>
        <w:lang w:val="ro-RO" w:eastAsia="en-US" w:bidi="ar-SA"/>
      </w:rPr>
    </w:lvl>
  </w:abstractNum>
  <w:abstractNum w:abstractNumId="96" w15:restartNumberingAfterBreak="0">
    <w:nsid w:val="3EED5E12"/>
    <w:multiLevelType w:val="hybridMultilevel"/>
    <w:tmpl w:val="5372C6C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7" w15:restartNumberingAfterBreak="0">
    <w:nsid w:val="3FF13A36"/>
    <w:multiLevelType w:val="hybridMultilevel"/>
    <w:tmpl w:val="DE5AE2F4"/>
    <w:lvl w:ilvl="0" w:tplc="6E948D5C">
      <w:numFmt w:val="bullet"/>
      <w:lvlText w:val="-"/>
      <w:lvlJc w:val="left"/>
      <w:pPr>
        <w:ind w:left="109" w:hanging="125"/>
      </w:pPr>
      <w:rPr>
        <w:rFonts w:ascii="Times New Roman" w:eastAsia="Times New Roman" w:hAnsi="Times New Roman" w:cs="Times New Roman" w:hint="default"/>
        <w:w w:val="100"/>
        <w:sz w:val="22"/>
        <w:szCs w:val="22"/>
        <w:lang w:val="ro-RO" w:eastAsia="en-US" w:bidi="ar-SA"/>
      </w:rPr>
    </w:lvl>
    <w:lvl w:ilvl="1" w:tplc="992A6EDE">
      <w:numFmt w:val="bullet"/>
      <w:lvlText w:val="•"/>
      <w:lvlJc w:val="left"/>
      <w:pPr>
        <w:ind w:left="421" w:hanging="125"/>
      </w:pPr>
      <w:rPr>
        <w:rFonts w:hint="default"/>
        <w:lang w:val="ro-RO" w:eastAsia="en-US" w:bidi="ar-SA"/>
      </w:rPr>
    </w:lvl>
    <w:lvl w:ilvl="2" w:tplc="921850A2">
      <w:numFmt w:val="bullet"/>
      <w:lvlText w:val="•"/>
      <w:lvlJc w:val="left"/>
      <w:pPr>
        <w:ind w:left="743" w:hanging="125"/>
      </w:pPr>
      <w:rPr>
        <w:rFonts w:hint="default"/>
        <w:lang w:val="ro-RO" w:eastAsia="en-US" w:bidi="ar-SA"/>
      </w:rPr>
    </w:lvl>
    <w:lvl w:ilvl="3" w:tplc="B2E462C8">
      <w:numFmt w:val="bullet"/>
      <w:lvlText w:val="•"/>
      <w:lvlJc w:val="left"/>
      <w:pPr>
        <w:ind w:left="1064" w:hanging="125"/>
      </w:pPr>
      <w:rPr>
        <w:rFonts w:hint="default"/>
        <w:lang w:val="ro-RO" w:eastAsia="en-US" w:bidi="ar-SA"/>
      </w:rPr>
    </w:lvl>
    <w:lvl w:ilvl="4" w:tplc="1B7A9520">
      <w:numFmt w:val="bullet"/>
      <w:lvlText w:val="•"/>
      <w:lvlJc w:val="left"/>
      <w:pPr>
        <w:ind w:left="1386" w:hanging="125"/>
      </w:pPr>
      <w:rPr>
        <w:rFonts w:hint="default"/>
        <w:lang w:val="ro-RO" w:eastAsia="en-US" w:bidi="ar-SA"/>
      </w:rPr>
    </w:lvl>
    <w:lvl w:ilvl="5" w:tplc="5F0E1126">
      <w:numFmt w:val="bullet"/>
      <w:lvlText w:val="•"/>
      <w:lvlJc w:val="left"/>
      <w:pPr>
        <w:ind w:left="1708" w:hanging="125"/>
      </w:pPr>
      <w:rPr>
        <w:rFonts w:hint="default"/>
        <w:lang w:val="ro-RO" w:eastAsia="en-US" w:bidi="ar-SA"/>
      </w:rPr>
    </w:lvl>
    <w:lvl w:ilvl="6" w:tplc="365495F0">
      <w:numFmt w:val="bullet"/>
      <w:lvlText w:val="•"/>
      <w:lvlJc w:val="left"/>
      <w:pPr>
        <w:ind w:left="2029" w:hanging="125"/>
      </w:pPr>
      <w:rPr>
        <w:rFonts w:hint="default"/>
        <w:lang w:val="ro-RO" w:eastAsia="en-US" w:bidi="ar-SA"/>
      </w:rPr>
    </w:lvl>
    <w:lvl w:ilvl="7" w:tplc="97926A9A">
      <w:numFmt w:val="bullet"/>
      <w:lvlText w:val="•"/>
      <w:lvlJc w:val="left"/>
      <w:pPr>
        <w:ind w:left="2351" w:hanging="125"/>
      </w:pPr>
      <w:rPr>
        <w:rFonts w:hint="default"/>
        <w:lang w:val="ro-RO" w:eastAsia="en-US" w:bidi="ar-SA"/>
      </w:rPr>
    </w:lvl>
    <w:lvl w:ilvl="8" w:tplc="144E6CD6">
      <w:numFmt w:val="bullet"/>
      <w:lvlText w:val="•"/>
      <w:lvlJc w:val="left"/>
      <w:pPr>
        <w:ind w:left="2672" w:hanging="125"/>
      </w:pPr>
      <w:rPr>
        <w:rFonts w:hint="default"/>
        <w:lang w:val="ro-RO" w:eastAsia="en-US" w:bidi="ar-SA"/>
      </w:rPr>
    </w:lvl>
  </w:abstractNum>
  <w:abstractNum w:abstractNumId="98" w15:restartNumberingAfterBreak="0">
    <w:nsid w:val="40FD5CE3"/>
    <w:multiLevelType w:val="hybridMultilevel"/>
    <w:tmpl w:val="8E3C3050"/>
    <w:lvl w:ilvl="0" w:tplc="BBE6DE88">
      <w:numFmt w:val="bullet"/>
      <w:lvlText w:val="-"/>
      <w:lvlJc w:val="left"/>
      <w:pPr>
        <w:ind w:left="34" w:hanging="204"/>
      </w:pPr>
      <w:rPr>
        <w:rFonts w:ascii="Times New Roman" w:eastAsia="Times New Roman" w:hAnsi="Times New Roman" w:cs="Times New Roman" w:hint="default"/>
        <w:w w:val="100"/>
        <w:sz w:val="22"/>
        <w:szCs w:val="22"/>
        <w:lang w:val="ro-RO" w:eastAsia="en-US" w:bidi="ar-SA"/>
      </w:rPr>
    </w:lvl>
    <w:lvl w:ilvl="1" w:tplc="BA886966">
      <w:numFmt w:val="bullet"/>
      <w:lvlText w:val="•"/>
      <w:lvlJc w:val="left"/>
      <w:pPr>
        <w:ind w:left="292" w:hanging="204"/>
      </w:pPr>
      <w:rPr>
        <w:rFonts w:hint="default"/>
        <w:lang w:val="ro-RO" w:eastAsia="en-US" w:bidi="ar-SA"/>
      </w:rPr>
    </w:lvl>
    <w:lvl w:ilvl="2" w:tplc="E3468AAC">
      <w:numFmt w:val="bullet"/>
      <w:lvlText w:val="•"/>
      <w:lvlJc w:val="left"/>
      <w:pPr>
        <w:ind w:left="544" w:hanging="204"/>
      </w:pPr>
      <w:rPr>
        <w:rFonts w:hint="default"/>
        <w:lang w:val="ro-RO" w:eastAsia="en-US" w:bidi="ar-SA"/>
      </w:rPr>
    </w:lvl>
    <w:lvl w:ilvl="3" w:tplc="6BFC1400">
      <w:numFmt w:val="bullet"/>
      <w:lvlText w:val="•"/>
      <w:lvlJc w:val="left"/>
      <w:pPr>
        <w:ind w:left="796" w:hanging="204"/>
      </w:pPr>
      <w:rPr>
        <w:rFonts w:hint="default"/>
        <w:lang w:val="ro-RO" w:eastAsia="en-US" w:bidi="ar-SA"/>
      </w:rPr>
    </w:lvl>
    <w:lvl w:ilvl="4" w:tplc="94586474">
      <w:numFmt w:val="bullet"/>
      <w:lvlText w:val="•"/>
      <w:lvlJc w:val="left"/>
      <w:pPr>
        <w:ind w:left="1049" w:hanging="204"/>
      </w:pPr>
      <w:rPr>
        <w:rFonts w:hint="default"/>
        <w:lang w:val="ro-RO" w:eastAsia="en-US" w:bidi="ar-SA"/>
      </w:rPr>
    </w:lvl>
    <w:lvl w:ilvl="5" w:tplc="33AEF808">
      <w:numFmt w:val="bullet"/>
      <w:lvlText w:val="•"/>
      <w:lvlJc w:val="left"/>
      <w:pPr>
        <w:ind w:left="1301" w:hanging="204"/>
      </w:pPr>
      <w:rPr>
        <w:rFonts w:hint="default"/>
        <w:lang w:val="ro-RO" w:eastAsia="en-US" w:bidi="ar-SA"/>
      </w:rPr>
    </w:lvl>
    <w:lvl w:ilvl="6" w:tplc="DE74986C">
      <w:numFmt w:val="bullet"/>
      <w:lvlText w:val="•"/>
      <w:lvlJc w:val="left"/>
      <w:pPr>
        <w:ind w:left="1553" w:hanging="204"/>
      </w:pPr>
      <w:rPr>
        <w:rFonts w:hint="default"/>
        <w:lang w:val="ro-RO" w:eastAsia="en-US" w:bidi="ar-SA"/>
      </w:rPr>
    </w:lvl>
    <w:lvl w:ilvl="7" w:tplc="D360B1C8">
      <w:numFmt w:val="bullet"/>
      <w:lvlText w:val="•"/>
      <w:lvlJc w:val="left"/>
      <w:pPr>
        <w:ind w:left="1806" w:hanging="204"/>
      </w:pPr>
      <w:rPr>
        <w:rFonts w:hint="default"/>
        <w:lang w:val="ro-RO" w:eastAsia="en-US" w:bidi="ar-SA"/>
      </w:rPr>
    </w:lvl>
    <w:lvl w:ilvl="8" w:tplc="CF9C3EFA">
      <w:numFmt w:val="bullet"/>
      <w:lvlText w:val="•"/>
      <w:lvlJc w:val="left"/>
      <w:pPr>
        <w:ind w:left="2058" w:hanging="204"/>
      </w:pPr>
      <w:rPr>
        <w:rFonts w:hint="default"/>
        <w:lang w:val="ro-RO" w:eastAsia="en-US" w:bidi="ar-SA"/>
      </w:rPr>
    </w:lvl>
  </w:abstractNum>
  <w:abstractNum w:abstractNumId="99" w15:restartNumberingAfterBreak="0">
    <w:nsid w:val="424F1327"/>
    <w:multiLevelType w:val="hybridMultilevel"/>
    <w:tmpl w:val="C13A6A9C"/>
    <w:lvl w:ilvl="0" w:tplc="6D7830E0">
      <w:start w:val="1"/>
      <w:numFmt w:val="lowerLetter"/>
      <w:lvlText w:val="%1."/>
      <w:lvlJc w:val="left"/>
      <w:pPr>
        <w:ind w:left="1013" w:hanging="360"/>
      </w:pPr>
      <w:rPr>
        <w:rFonts w:ascii="Times New Roman" w:eastAsia="Times New Roman" w:hAnsi="Times New Roman" w:cs="Times New Roman" w:hint="default"/>
        <w:spacing w:val="-1"/>
        <w:w w:val="100"/>
        <w:sz w:val="24"/>
        <w:szCs w:val="24"/>
        <w:lang w:val="ro-RO" w:eastAsia="en-US" w:bidi="ar-SA"/>
      </w:rPr>
    </w:lvl>
    <w:lvl w:ilvl="1" w:tplc="74C63178">
      <w:numFmt w:val="bullet"/>
      <w:lvlText w:val="•"/>
      <w:lvlJc w:val="left"/>
      <w:pPr>
        <w:ind w:left="1936" w:hanging="360"/>
      </w:pPr>
      <w:rPr>
        <w:rFonts w:hint="default"/>
        <w:lang w:val="ro-RO" w:eastAsia="en-US" w:bidi="ar-SA"/>
      </w:rPr>
    </w:lvl>
    <w:lvl w:ilvl="2" w:tplc="1012BD78">
      <w:numFmt w:val="bullet"/>
      <w:lvlText w:val="•"/>
      <w:lvlJc w:val="left"/>
      <w:pPr>
        <w:ind w:left="2853" w:hanging="360"/>
      </w:pPr>
      <w:rPr>
        <w:rFonts w:hint="default"/>
        <w:lang w:val="ro-RO" w:eastAsia="en-US" w:bidi="ar-SA"/>
      </w:rPr>
    </w:lvl>
    <w:lvl w:ilvl="3" w:tplc="4560DD98">
      <w:numFmt w:val="bullet"/>
      <w:lvlText w:val="•"/>
      <w:lvlJc w:val="left"/>
      <w:pPr>
        <w:ind w:left="3769" w:hanging="360"/>
      </w:pPr>
      <w:rPr>
        <w:rFonts w:hint="default"/>
        <w:lang w:val="ro-RO" w:eastAsia="en-US" w:bidi="ar-SA"/>
      </w:rPr>
    </w:lvl>
    <w:lvl w:ilvl="4" w:tplc="A51C8F50">
      <w:numFmt w:val="bullet"/>
      <w:lvlText w:val="•"/>
      <w:lvlJc w:val="left"/>
      <w:pPr>
        <w:ind w:left="4686" w:hanging="360"/>
      </w:pPr>
      <w:rPr>
        <w:rFonts w:hint="default"/>
        <w:lang w:val="ro-RO" w:eastAsia="en-US" w:bidi="ar-SA"/>
      </w:rPr>
    </w:lvl>
    <w:lvl w:ilvl="5" w:tplc="6AEC578A">
      <w:numFmt w:val="bullet"/>
      <w:lvlText w:val="•"/>
      <w:lvlJc w:val="left"/>
      <w:pPr>
        <w:ind w:left="5603" w:hanging="360"/>
      </w:pPr>
      <w:rPr>
        <w:rFonts w:hint="default"/>
        <w:lang w:val="ro-RO" w:eastAsia="en-US" w:bidi="ar-SA"/>
      </w:rPr>
    </w:lvl>
    <w:lvl w:ilvl="6" w:tplc="BAB06D72">
      <w:numFmt w:val="bullet"/>
      <w:lvlText w:val="•"/>
      <w:lvlJc w:val="left"/>
      <w:pPr>
        <w:ind w:left="6519" w:hanging="360"/>
      </w:pPr>
      <w:rPr>
        <w:rFonts w:hint="default"/>
        <w:lang w:val="ro-RO" w:eastAsia="en-US" w:bidi="ar-SA"/>
      </w:rPr>
    </w:lvl>
    <w:lvl w:ilvl="7" w:tplc="39109B36">
      <w:numFmt w:val="bullet"/>
      <w:lvlText w:val="•"/>
      <w:lvlJc w:val="left"/>
      <w:pPr>
        <w:ind w:left="7436" w:hanging="360"/>
      </w:pPr>
      <w:rPr>
        <w:rFonts w:hint="default"/>
        <w:lang w:val="ro-RO" w:eastAsia="en-US" w:bidi="ar-SA"/>
      </w:rPr>
    </w:lvl>
    <w:lvl w:ilvl="8" w:tplc="DD8CFB86">
      <w:numFmt w:val="bullet"/>
      <w:lvlText w:val="•"/>
      <w:lvlJc w:val="left"/>
      <w:pPr>
        <w:ind w:left="8353" w:hanging="360"/>
      </w:pPr>
      <w:rPr>
        <w:rFonts w:hint="default"/>
        <w:lang w:val="ro-RO" w:eastAsia="en-US" w:bidi="ar-SA"/>
      </w:rPr>
    </w:lvl>
  </w:abstractNum>
  <w:abstractNum w:abstractNumId="100" w15:restartNumberingAfterBreak="0">
    <w:nsid w:val="42B565BC"/>
    <w:multiLevelType w:val="hybridMultilevel"/>
    <w:tmpl w:val="4FCA60D4"/>
    <w:lvl w:ilvl="0" w:tplc="3E1AE0A0">
      <w:numFmt w:val="bullet"/>
      <w:lvlText w:val="-"/>
      <w:lvlJc w:val="left"/>
      <w:pPr>
        <w:ind w:left="534" w:hanging="140"/>
      </w:pPr>
      <w:rPr>
        <w:rFonts w:ascii="Times New Roman" w:eastAsia="Times New Roman" w:hAnsi="Times New Roman" w:cs="Times New Roman" w:hint="default"/>
        <w:w w:val="99"/>
        <w:sz w:val="24"/>
        <w:szCs w:val="24"/>
        <w:lang w:val="ro-RO" w:eastAsia="en-US" w:bidi="ar-SA"/>
      </w:rPr>
    </w:lvl>
    <w:lvl w:ilvl="1" w:tplc="ECE81D50">
      <w:numFmt w:val="bullet"/>
      <w:lvlText w:val="•"/>
      <w:lvlJc w:val="left"/>
      <w:pPr>
        <w:ind w:left="1195" w:hanging="140"/>
      </w:pPr>
      <w:rPr>
        <w:rFonts w:hint="default"/>
        <w:lang w:val="ro-RO" w:eastAsia="en-US" w:bidi="ar-SA"/>
      </w:rPr>
    </w:lvl>
    <w:lvl w:ilvl="2" w:tplc="0450F402">
      <w:numFmt w:val="bullet"/>
      <w:lvlText w:val="•"/>
      <w:lvlJc w:val="left"/>
      <w:pPr>
        <w:ind w:left="1850" w:hanging="140"/>
      </w:pPr>
      <w:rPr>
        <w:rFonts w:hint="default"/>
        <w:lang w:val="ro-RO" w:eastAsia="en-US" w:bidi="ar-SA"/>
      </w:rPr>
    </w:lvl>
    <w:lvl w:ilvl="3" w:tplc="B240ADEE">
      <w:numFmt w:val="bullet"/>
      <w:lvlText w:val="•"/>
      <w:lvlJc w:val="left"/>
      <w:pPr>
        <w:ind w:left="2505" w:hanging="140"/>
      </w:pPr>
      <w:rPr>
        <w:rFonts w:hint="default"/>
        <w:lang w:val="ro-RO" w:eastAsia="en-US" w:bidi="ar-SA"/>
      </w:rPr>
    </w:lvl>
    <w:lvl w:ilvl="4" w:tplc="3544D036">
      <w:numFmt w:val="bullet"/>
      <w:lvlText w:val="•"/>
      <w:lvlJc w:val="left"/>
      <w:pPr>
        <w:ind w:left="3160" w:hanging="140"/>
      </w:pPr>
      <w:rPr>
        <w:rFonts w:hint="default"/>
        <w:lang w:val="ro-RO" w:eastAsia="en-US" w:bidi="ar-SA"/>
      </w:rPr>
    </w:lvl>
    <w:lvl w:ilvl="5" w:tplc="4A94714E">
      <w:numFmt w:val="bullet"/>
      <w:lvlText w:val="•"/>
      <w:lvlJc w:val="left"/>
      <w:pPr>
        <w:ind w:left="3815" w:hanging="140"/>
      </w:pPr>
      <w:rPr>
        <w:rFonts w:hint="default"/>
        <w:lang w:val="ro-RO" w:eastAsia="en-US" w:bidi="ar-SA"/>
      </w:rPr>
    </w:lvl>
    <w:lvl w:ilvl="6" w:tplc="192E4172">
      <w:numFmt w:val="bullet"/>
      <w:lvlText w:val="•"/>
      <w:lvlJc w:val="left"/>
      <w:pPr>
        <w:ind w:left="4470" w:hanging="140"/>
      </w:pPr>
      <w:rPr>
        <w:rFonts w:hint="default"/>
        <w:lang w:val="ro-RO" w:eastAsia="en-US" w:bidi="ar-SA"/>
      </w:rPr>
    </w:lvl>
    <w:lvl w:ilvl="7" w:tplc="134E0D06">
      <w:numFmt w:val="bullet"/>
      <w:lvlText w:val="•"/>
      <w:lvlJc w:val="left"/>
      <w:pPr>
        <w:ind w:left="5125" w:hanging="140"/>
      </w:pPr>
      <w:rPr>
        <w:rFonts w:hint="default"/>
        <w:lang w:val="ro-RO" w:eastAsia="en-US" w:bidi="ar-SA"/>
      </w:rPr>
    </w:lvl>
    <w:lvl w:ilvl="8" w:tplc="EAD6D03E">
      <w:numFmt w:val="bullet"/>
      <w:lvlText w:val="•"/>
      <w:lvlJc w:val="left"/>
      <w:pPr>
        <w:ind w:left="5780" w:hanging="140"/>
      </w:pPr>
      <w:rPr>
        <w:rFonts w:hint="default"/>
        <w:lang w:val="ro-RO" w:eastAsia="en-US" w:bidi="ar-SA"/>
      </w:rPr>
    </w:lvl>
  </w:abstractNum>
  <w:abstractNum w:abstractNumId="101" w15:restartNumberingAfterBreak="0">
    <w:nsid w:val="42F575A5"/>
    <w:multiLevelType w:val="multilevel"/>
    <w:tmpl w:val="31AA9C1C"/>
    <w:lvl w:ilvl="0">
      <w:start w:val="1"/>
      <w:numFmt w:val="decimal"/>
      <w:lvlText w:val="%1."/>
      <w:lvlJc w:val="left"/>
      <w:pPr>
        <w:ind w:left="720" w:hanging="360"/>
      </w:pPr>
      <w:rPr>
        <w:b w:val="0"/>
        <w:bCs/>
      </w:rPr>
    </w:lvl>
    <w:lvl w:ilvl="1">
      <w:start w:val="3"/>
      <w:numFmt w:val="decimal"/>
      <w:isLgl/>
      <w:lvlText w:val="%1.%2."/>
      <w:lvlJc w:val="left"/>
      <w:pPr>
        <w:ind w:left="644"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2" w15:restartNumberingAfterBreak="0">
    <w:nsid w:val="4314274D"/>
    <w:multiLevelType w:val="hybridMultilevel"/>
    <w:tmpl w:val="E140E1DC"/>
    <w:lvl w:ilvl="0" w:tplc="538A2908">
      <w:numFmt w:val="bullet"/>
      <w:lvlText w:val="-"/>
      <w:lvlJc w:val="left"/>
      <w:pPr>
        <w:ind w:left="793" w:hanging="360"/>
      </w:pPr>
      <w:rPr>
        <w:rFonts w:ascii="Calibri" w:eastAsia="Calibri" w:hAnsi="Calibri" w:cs="Calibri" w:hint="default"/>
        <w:w w:val="100"/>
        <w:sz w:val="24"/>
        <w:szCs w:val="24"/>
        <w:lang w:val="ro-RO" w:eastAsia="en-US" w:bidi="ar-SA"/>
      </w:rPr>
    </w:lvl>
    <w:lvl w:ilvl="1" w:tplc="A0AA0DCA">
      <w:numFmt w:val="bullet"/>
      <w:lvlText w:val="•"/>
      <w:lvlJc w:val="left"/>
      <w:pPr>
        <w:ind w:left="1762" w:hanging="360"/>
      </w:pPr>
      <w:rPr>
        <w:rFonts w:hint="default"/>
        <w:lang w:val="ro-RO" w:eastAsia="en-US" w:bidi="ar-SA"/>
      </w:rPr>
    </w:lvl>
    <w:lvl w:ilvl="2" w:tplc="72F2302E">
      <w:numFmt w:val="bullet"/>
      <w:lvlText w:val="•"/>
      <w:lvlJc w:val="left"/>
      <w:pPr>
        <w:ind w:left="2725" w:hanging="360"/>
      </w:pPr>
      <w:rPr>
        <w:rFonts w:hint="default"/>
        <w:lang w:val="ro-RO" w:eastAsia="en-US" w:bidi="ar-SA"/>
      </w:rPr>
    </w:lvl>
    <w:lvl w:ilvl="3" w:tplc="D310C9DC">
      <w:numFmt w:val="bullet"/>
      <w:lvlText w:val="•"/>
      <w:lvlJc w:val="left"/>
      <w:pPr>
        <w:ind w:left="3687" w:hanging="360"/>
      </w:pPr>
      <w:rPr>
        <w:rFonts w:hint="default"/>
        <w:lang w:val="ro-RO" w:eastAsia="en-US" w:bidi="ar-SA"/>
      </w:rPr>
    </w:lvl>
    <w:lvl w:ilvl="4" w:tplc="B53E8040">
      <w:numFmt w:val="bullet"/>
      <w:lvlText w:val="•"/>
      <w:lvlJc w:val="left"/>
      <w:pPr>
        <w:ind w:left="4650" w:hanging="360"/>
      </w:pPr>
      <w:rPr>
        <w:rFonts w:hint="default"/>
        <w:lang w:val="ro-RO" w:eastAsia="en-US" w:bidi="ar-SA"/>
      </w:rPr>
    </w:lvl>
    <w:lvl w:ilvl="5" w:tplc="A8926A80">
      <w:numFmt w:val="bullet"/>
      <w:lvlText w:val="•"/>
      <w:lvlJc w:val="left"/>
      <w:pPr>
        <w:ind w:left="5613" w:hanging="360"/>
      </w:pPr>
      <w:rPr>
        <w:rFonts w:hint="default"/>
        <w:lang w:val="ro-RO" w:eastAsia="en-US" w:bidi="ar-SA"/>
      </w:rPr>
    </w:lvl>
    <w:lvl w:ilvl="6" w:tplc="259A075C">
      <w:numFmt w:val="bullet"/>
      <w:lvlText w:val="•"/>
      <w:lvlJc w:val="left"/>
      <w:pPr>
        <w:ind w:left="6575" w:hanging="360"/>
      </w:pPr>
      <w:rPr>
        <w:rFonts w:hint="default"/>
        <w:lang w:val="ro-RO" w:eastAsia="en-US" w:bidi="ar-SA"/>
      </w:rPr>
    </w:lvl>
    <w:lvl w:ilvl="7" w:tplc="CB562F3A">
      <w:numFmt w:val="bullet"/>
      <w:lvlText w:val="•"/>
      <w:lvlJc w:val="left"/>
      <w:pPr>
        <w:ind w:left="7538" w:hanging="360"/>
      </w:pPr>
      <w:rPr>
        <w:rFonts w:hint="default"/>
        <w:lang w:val="ro-RO" w:eastAsia="en-US" w:bidi="ar-SA"/>
      </w:rPr>
    </w:lvl>
    <w:lvl w:ilvl="8" w:tplc="413AA844">
      <w:numFmt w:val="bullet"/>
      <w:lvlText w:val="•"/>
      <w:lvlJc w:val="left"/>
      <w:pPr>
        <w:ind w:left="8501" w:hanging="360"/>
      </w:pPr>
      <w:rPr>
        <w:rFonts w:hint="default"/>
        <w:lang w:val="ro-RO" w:eastAsia="en-US" w:bidi="ar-SA"/>
      </w:rPr>
    </w:lvl>
  </w:abstractNum>
  <w:abstractNum w:abstractNumId="103" w15:restartNumberingAfterBreak="0">
    <w:nsid w:val="442A4F18"/>
    <w:multiLevelType w:val="hybridMultilevel"/>
    <w:tmpl w:val="45B4864C"/>
    <w:lvl w:ilvl="0" w:tplc="9514B4AA">
      <w:numFmt w:val="bullet"/>
      <w:lvlText w:val="-"/>
      <w:lvlJc w:val="left"/>
      <w:pPr>
        <w:ind w:left="828" w:hanging="361"/>
      </w:pPr>
      <w:rPr>
        <w:rFonts w:ascii="Calibri" w:eastAsia="Calibri" w:hAnsi="Calibri" w:cs="Calibri" w:hint="default"/>
        <w:w w:val="100"/>
        <w:sz w:val="24"/>
        <w:szCs w:val="24"/>
        <w:lang w:val="ro-RO" w:eastAsia="en-US" w:bidi="ar-SA"/>
      </w:rPr>
    </w:lvl>
    <w:lvl w:ilvl="1" w:tplc="70AE2A20">
      <w:numFmt w:val="bullet"/>
      <w:lvlText w:val="•"/>
      <w:lvlJc w:val="left"/>
      <w:pPr>
        <w:ind w:left="1485" w:hanging="361"/>
      </w:pPr>
      <w:rPr>
        <w:rFonts w:hint="default"/>
        <w:lang w:val="ro-RO" w:eastAsia="en-US" w:bidi="ar-SA"/>
      </w:rPr>
    </w:lvl>
    <w:lvl w:ilvl="2" w:tplc="8DB6DFC6">
      <w:numFmt w:val="bullet"/>
      <w:lvlText w:val="•"/>
      <w:lvlJc w:val="left"/>
      <w:pPr>
        <w:ind w:left="2150" w:hanging="361"/>
      </w:pPr>
      <w:rPr>
        <w:rFonts w:hint="default"/>
        <w:lang w:val="ro-RO" w:eastAsia="en-US" w:bidi="ar-SA"/>
      </w:rPr>
    </w:lvl>
    <w:lvl w:ilvl="3" w:tplc="43625900">
      <w:numFmt w:val="bullet"/>
      <w:lvlText w:val="•"/>
      <w:lvlJc w:val="left"/>
      <w:pPr>
        <w:ind w:left="2815" w:hanging="361"/>
      </w:pPr>
      <w:rPr>
        <w:rFonts w:hint="default"/>
        <w:lang w:val="ro-RO" w:eastAsia="en-US" w:bidi="ar-SA"/>
      </w:rPr>
    </w:lvl>
    <w:lvl w:ilvl="4" w:tplc="BB84375E">
      <w:numFmt w:val="bullet"/>
      <w:lvlText w:val="•"/>
      <w:lvlJc w:val="left"/>
      <w:pPr>
        <w:ind w:left="3480" w:hanging="361"/>
      </w:pPr>
      <w:rPr>
        <w:rFonts w:hint="default"/>
        <w:lang w:val="ro-RO" w:eastAsia="en-US" w:bidi="ar-SA"/>
      </w:rPr>
    </w:lvl>
    <w:lvl w:ilvl="5" w:tplc="733897A0">
      <w:numFmt w:val="bullet"/>
      <w:lvlText w:val="•"/>
      <w:lvlJc w:val="left"/>
      <w:pPr>
        <w:ind w:left="4145" w:hanging="361"/>
      </w:pPr>
      <w:rPr>
        <w:rFonts w:hint="default"/>
        <w:lang w:val="ro-RO" w:eastAsia="en-US" w:bidi="ar-SA"/>
      </w:rPr>
    </w:lvl>
    <w:lvl w:ilvl="6" w:tplc="4DC4CEA0">
      <w:numFmt w:val="bullet"/>
      <w:lvlText w:val="•"/>
      <w:lvlJc w:val="left"/>
      <w:pPr>
        <w:ind w:left="4810" w:hanging="361"/>
      </w:pPr>
      <w:rPr>
        <w:rFonts w:hint="default"/>
        <w:lang w:val="ro-RO" w:eastAsia="en-US" w:bidi="ar-SA"/>
      </w:rPr>
    </w:lvl>
    <w:lvl w:ilvl="7" w:tplc="52144EEC">
      <w:numFmt w:val="bullet"/>
      <w:lvlText w:val="•"/>
      <w:lvlJc w:val="left"/>
      <w:pPr>
        <w:ind w:left="5475" w:hanging="361"/>
      </w:pPr>
      <w:rPr>
        <w:rFonts w:hint="default"/>
        <w:lang w:val="ro-RO" w:eastAsia="en-US" w:bidi="ar-SA"/>
      </w:rPr>
    </w:lvl>
    <w:lvl w:ilvl="8" w:tplc="374A9950">
      <w:numFmt w:val="bullet"/>
      <w:lvlText w:val="•"/>
      <w:lvlJc w:val="left"/>
      <w:pPr>
        <w:ind w:left="6140" w:hanging="361"/>
      </w:pPr>
      <w:rPr>
        <w:rFonts w:hint="default"/>
        <w:lang w:val="ro-RO" w:eastAsia="en-US" w:bidi="ar-SA"/>
      </w:rPr>
    </w:lvl>
  </w:abstractNum>
  <w:abstractNum w:abstractNumId="104" w15:restartNumberingAfterBreak="0">
    <w:nsid w:val="45627ECA"/>
    <w:multiLevelType w:val="hybridMultilevel"/>
    <w:tmpl w:val="B2F6094A"/>
    <w:lvl w:ilvl="0" w:tplc="697AE27E">
      <w:start w:val="1"/>
      <w:numFmt w:val="bullet"/>
      <w:lvlText w:val="-"/>
      <w:lvlJc w:val="left"/>
      <w:pPr>
        <w:ind w:left="720" w:hanging="360"/>
      </w:pPr>
      <w:rPr>
        <w:rFonts w:ascii="Times New Roman" w:eastAsia="Times New Roman" w:hAnsi="Times New Roman" w:hint="default"/>
        <w:b/>
        <w:bCs/>
        <w:w w:val="99"/>
        <w:sz w:val="22"/>
        <w:szCs w:val="22"/>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5" w15:restartNumberingAfterBreak="0">
    <w:nsid w:val="45656A54"/>
    <w:multiLevelType w:val="hybridMultilevel"/>
    <w:tmpl w:val="ECA07C84"/>
    <w:lvl w:ilvl="0" w:tplc="630A0916">
      <w:start w:val="1"/>
      <w:numFmt w:val="lowerLetter"/>
      <w:lvlText w:val="%1."/>
      <w:lvlJc w:val="left"/>
      <w:pPr>
        <w:ind w:left="1013" w:hanging="360"/>
      </w:pPr>
      <w:rPr>
        <w:rFonts w:ascii="Times New Roman" w:eastAsia="Times New Roman" w:hAnsi="Times New Roman" w:cs="Times New Roman" w:hint="default"/>
        <w:spacing w:val="-1"/>
        <w:w w:val="100"/>
        <w:sz w:val="24"/>
        <w:szCs w:val="24"/>
        <w:lang w:val="ro-RO" w:eastAsia="en-US" w:bidi="ar-SA"/>
      </w:rPr>
    </w:lvl>
    <w:lvl w:ilvl="1" w:tplc="0FE042EA">
      <w:numFmt w:val="bullet"/>
      <w:lvlText w:val="•"/>
      <w:lvlJc w:val="left"/>
      <w:pPr>
        <w:ind w:left="1936" w:hanging="360"/>
      </w:pPr>
      <w:rPr>
        <w:rFonts w:hint="default"/>
        <w:lang w:val="ro-RO" w:eastAsia="en-US" w:bidi="ar-SA"/>
      </w:rPr>
    </w:lvl>
    <w:lvl w:ilvl="2" w:tplc="582C0AAC">
      <w:numFmt w:val="bullet"/>
      <w:lvlText w:val="•"/>
      <w:lvlJc w:val="left"/>
      <w:pPr>
        <w:ind w:left="2853" w:hanging="360"/>
      </w:pPr>
      <w:rPr>
        <w:rFonts w:hint="default"/>
        <w:lang w:val="ro-RO" w:eastAsia="en-US" w:bidi="ar-SA"/>
      </w:rPr>
    </w:lvl>
    <w:lvl w:ilvl="3" w:tplc="E6107F9A">
      <w:numFmt w:val="bullet"/>
      <w:lvlText w:val="•"/>
      <w:lvlJc w:val="left"/>
      <w:pPr>
        <w:ind w:left="3769" w:hanging="360"/>
      </w:pPr>
      <w:rPr>
        <w:rFonts w:hint="default"/>
        <w:lang w:val="ro-RO" w:eastAsia="en-US" w:bidi="ar-SA"/>
      </w:rPr>
    </w:lvl>
    <w:lvl w:ilvl="4" w:tplc="D116BD66">
      <w:numFmt w:val="bullet"/>
      <w:lvlText w:val="•"/>
      <w:lvlJc w:val="left"/>
      <w:pPr>
        <w:ind w:left="4686" w:hanging="360"/>
      </w:pPr>
      <w:rPr>
        <w:rFonts w:hint="default"/>
        <w:lang w:val="ro-RO" w:eastAsia="en-US" w:bidi="ar-SA"/>
      </w:rPr>
    </w:lvl>
    <w:lvl w:ilvl="5" w:tplc="736EE3F4">
      <w:numFmt w:val="bullet"/>
      <w:lvlText w:val="•"/>
      <w:lvlJc w:val="left"/>
      <w:pPr>
        <w:ind w:left="5603" w:hanging="360"/>
      </w:pPr>
      <w:rPr>
        <w:rFonts w:hint="default"/>
        <w:lang w:val="ro-RO" w:eastAsia="en-US" w:bidi="ar-SA"/>
      </w:rPr>
    </w:lvl>
    <w:lvl w:ilvl="6" w:tplc="B04E1718">
      <w:numFmt w:val="bullet"/>
      <w:lvlText w:val="•"/>
      <w:lvlJc w:val="left"/>
      <w:pPr>
        <w:ind w:left="6519" w:hanging="360"/>
      </w:pPr>
      <w:rPr>
        <w:rFonts w:hint="default"/>
        <w:lang w:val="ro-RO" w:eastAsia="en-US" w:bidi="ar-SA"/>
      </w:rPr>
    </w:lvl>
    <w:lvl w:ilvl="7" w:tplc="365A76AA">
      <w:numFmt w:val="bullet"/>
      <w:lvlText w:val="•"/>
      <w:lvlJc w:val="left"/>
      <w:pPr>
        <w:ind w:left="7436" w:hanging="360"/>
      </w:pPr>
      <w:rPr>
        <w:rFonts w:hint="default"/>
        <w:lang w:val="ro-RO" w:eastAsia="en-US" w:bidi="ar-SA"/>
      </w:rPr>
    </w:lvl>
    <w:lvl w:ilvl="8" w:tplc="F872DBA2">
      <w:numFmt w:val="bullet"/>
      <w:lvlText w:val="•"/>
      <w:lvlJc w:val="left"/>
      <w:pPr>
        <w:ind w:left="8353" w:hanging="360"/>
      </w:pPr>
      <w:rPr>
        <w:rFonts w:hint="default"/>
        <w:lang w:val="ro-RO" w:eastAsia="en-US" w:bidi="ar-SA"/>
      </w:rPr>
    </w:lvl>
  </w:abstractNum>
  <w:abstractNum w:abstractNumId="106" w15:restartNumberingAfterBreak="0">
    <w:nsid w:val="48731AC9"/>
    <w:multiLevelType w:val="hybridMultilevel"/>
    <w:tmpl w:val="AF0AA584"/>
    <w:lvl w:ilvl="0" w:tplc="5AD28824">
      <w:start w:val="1"/>
      <w:numFmt w:val="decimal"/>
      <w:lvlText w:val="%1."/>
      <w:lvlJc w:val="left"/>
      <w:pPr>
        <w:ind w:left="828" w:hanging="361"/>
      </w:pPr>
      <w:rPr>
        <w:rFonts w:ascii="Times New Roman" w:eastAsia="Times New Roman" w:hAnsi="Times New Roman" w:cs="Times New Roman" w:hint="default"/>
        <w:w w:val="100"/>
        <w:sz w:val="24"/>
        <w:szCs w:val="24"/>
        <w:lang w:val="ro-RO" w:eastAsia="en-US" w:bidi="ar-SA"/>
      </w:rPr>
    </w:lvl>
    <w:lvl w:ilvl="1" w:tplc="6054DEBA">
      <w:numFmt w:val="bullet"/>
      <w:lvlText w:val="•"/>
      <w:lvlJc w:val="left"/>
      <w:pPr>
        <w:ind w:left="1485" w:hanging="361"/>
      </w:pPr>
      <w:rPr>
        <w:rFonts w:hint="default"/>
        <w:lang w:val="ro-RO" w:eastAsia="en-US" w:bidi="ar-SA"/>
      </w:rPr>
    </w:lvl>
    <w:lvl w:ilvl="2" w:tplc="0DA28186">
      <w:numFmt w:val="bullet"/>
      <w:lvlText w:val="•"/>
      <w:lvlJc w:val="left"/>
      <w:pPr>
        <w:ind w:left="2150" w:hanging="361"/>
      </w:pPr>
      <w:rPr>
        <w:rFonts w:hint="default"/>
        <w:lang w:val="ro-RO" w:eastAsia="en-US" w:bidi="ar-SA"/>
      </w:rPr>
    </w:lvl>
    <w:lvl w:ilvl="3" w:tplc="6A98D06A">
      <w:numFmt w:val="bullet"/>
      <w:lvlText w:val="•"/>
      <w:lvlJc w:val="left"/>
      <w:pPr>
        <w:ind w:left="2815" w:hanging="361"/>
      </w:pPr>
      <w:rPr>
        <w:rFonts w:hint="default"/>
        <w:lang w:val="ro-RO" w:eastAsia="en-US" w:bidi="ar-SA"/>
      </w:rPr>
    </w:lvl>
    <w:lvl w:ilvl="4" w:tplc="04CA38F6">
      <w:numFmt w:val="bullet"/>
      <w:lvlText w:val="•"/>
      <w:lvlJc w:val="left"/>
      <w:pPr>
        <w:ind w:left="3480" w:hanging="361"/>
      </w:pPr>
      <w:rPr>
        <w:rFonts w:hint="default"/>
        <w:lang w:val="ro-RO" w:eastAsia="en-US" w:bidi="ar-SA"/>
      </w:rPr>
    </w:lvl>
    <w:lvl w:ilvl="5" w:tplc="AA1454D6">
      <w:numFmt w:val="bullet"/>
      <w:lvlText w:val="•"/>
      <w:lvlJc w:val="left"/>
      <w:pPr>
        <w:ind w:left="4145" w:hanging="361"/>
      </w:pPr>
      <w:rPr>
        <w:rFonts w:hint="default"/>
        <w:lang w:val="ro-RO" w:eastAsia="en-US" w:bidi="ar-SA"/>
      </w:rPr>
    </w:lvl>
    <w:lvl w:ilvl="6" w:tplc="2020B780">
      <w:numFmt w:val="bullet"/>
      <w:lvlText w:val="•"/>
      <w:lvlJc w:val="left"/>
      <w:pPr>
        <w:ind w:left="4810" w:hanging="361"/>
      </w:pPr>
      <w:rPr>
        <w:rFonts w:hint="default"/>
        <w:lang w:val="ro-RO" w:eastAsia="en-US" w:bidi="ar-SA"/>
      </w:rPr>
    </w:lvl>
    <w:lvl w:ilvl="7" w:tplc="593CBAF6">
      <w:numFmt w:val="bullet"/>
      <w:lvlText w:val="•"/>
      <w:lvlJc w:val="left"/>
      <w:pPr>
        <w:ind w:left="5475" w:hanging="361"/>
      </w:pPr>
      <w:rPr>
        <w:rFonts w:hint="default"/>
        <w:lang w:val="ro-RO" w:eastAsia="en-US" w:bidi="ar-SA"/>
      </w:rPr>
    </w:lvl>
    <w:lvl w:ilvl="8" w:tplc="29143528">
      <w:numFmt w:val="bullet"/>
      <w:lvlText w:val="•"/>
      <w:lvlJc w:val="left"/>
      <w:pPr>
        <w:ind w:left="6140" w:hanging="361"/>
      </w:pPr>
      <w:rPr>
        <w:rFonts w:hint="default"/>
        <w:lang w:val="ro-RO" w:eastAsia="en-US" w:bidi="ar-SA"/>
      </w:rPr>
    </w:lvl>
  </w:abstractNum>
  <w:abstractNum w:abstractNumId="107" w15:restartNumberingAfterBreak="0">
    <w:nsid w:val="488F6C1E"/>
    <w:multiLevelType w:val="hybridMultilevel"/>
    <w:tmpl w:val="22046C1C"/>
    <w:lvl w:ilvl="0" w:tplc="697AE27E">
      <w:start w:val="1"/>
      <w:numFmt w:val="bullet"/>
      <w:lvlText w:val="-"/>
      <w:lvlJc w:val="left"/>
      <w:pPr>
        <w:tabs>
          <w:tab w:val="num" w:pos="921"/>
        </w:tabs>
        <w:ind w:left="921" w:hanging="360"/>
      </w:pPr>
      <w:rPr>
        <w:rFonts w:ascii="Times New Roman" w:eastAsia="Times New Roman" w:hAnsi="Times New Roman" w:hint="default"/>
        <w:b/>
        <w:bCs/>
        <w:w w:val="99"/>
        <w:sz w:val="22"/>
        <w:szCs w:val="22"/>
      </w:rPr>
    </w:lvl>
    <w:lvl w:ilvl="1" w:tplc="04090003" w:tentative="1">
      <w:start w:val="1"/>
      <w:numFmt w:val="bullet"/>
      <w:lvlText w:val="o"/>
      <w:lvlJc w:val="left"/>
      <w:pPr>
        <w:tabs>
          <w:tab w:val="num" w:pos="1661"/>
        </w:tabs>
        <w:ind w:left="1661" w:hanging="360"/>
      </w:pPr>
      <w:rPr>
        <w:rFonts w:ascii="Courier New" w:hAnsi="Courier New" w:cs="Courier New" w:hint="default"/>
      </w:rPr>
    </w:lvl>
    <w:lvl w:ilvl="2" w:tplc="04090005" w:tentative="1">
      <w:start w:val="1"/>
      <w:numFmt w:val="bullet"/>
      <w:lvlText w:val=""/>
      <w:lvlJc w:val="left"/>
      <w:pPr>
        <w:tabs>
          <w:tab w:val="num" w:pos="2381"/>
        </w:tabs>
        <w:ind w:left="2381" w:hanging="360"/>
      </w:pPr>
      <w:rPr>
        <w:rFonts w:ascii="Wingdings" w:hAnsi="Wingdings" w:hint="default"/>
      </w:rPr>
    </w:lvl>
    <w:lvl w:ilvl="3" w:tplc="04090001" w:tentative="1">
      <w:start w:val="1"/>
      <w:numFmt w:val="bullet"/>
      <w:lvlText w:val=""/>
      <w:lvlJc w:val="left"/>
      <w:pPr>
        <w:tabs>
          <w:tab w:val="num" w:pos="3101"/>
        </w:tabs>
        <w:ind w:left="3101" w:hanging="360"/>
      </w:pPr>
      <w:rPr>
        <w:rFonts w:ascii="Symbol" w:hAnsi="Symbol" w:hint="default"/>
      </w:rPr>
    </w:lvl>
    <w:lvl w:ilvl="4" w:tplc="04090003" w:tentative="1">
      <w:start w:val="1"/>
      <w:numFmt w:val="bullet"/>
      <w:lvlText w:val="o"/>
      <w:lvlJc w:val="left"/>
      <w:pPr>
        <w:tabs>
          <w:tab w:val="num" w:pos="3821"/>
        </w:tabs>
        <w:ind w:left="3821" w:hanging="360"/>
      </w:pPr>
      <w:rPr>
        <w:rFonts w:ascii="Courier New" w:hAnsi="Courier New" w:cs="Courier New" w:hint="default"/>
      </w:rPr>
    </w:lvl>
    <w:lvl w:ilvl="5" w:tplc="04090005" w:tentative="1">
      <w:start w:val="1"/>
      <w:numFmt w:val="bullet"/>
      <w:lvlText w:val=""/>
      <w:lvlJc w:val="left"/>
      <w:pPr>
        <w:tabs>
          <w:tab w:val="num" w:pos="4541"/>
        </w:tabs>
        <w:ind w:left="4541" w:hanging="360"/>
      </w:pPr>
      <w:rPr>
        <w:rFonts w:ascii="Wingdings" w:hAnsi="Wingdings" w:hint="default"/>
      </w:rPr>
    </w:lvl>
    <w:lvl w:ilvl="6" w:tplc="04090001" w:tentative="1">
      <w:start w:val="1"/>
      <w:numFmt w:val="bullet"/>
      <w:lvlText w:val=""/>
      <w:lvlJc w:val="left"/>
      <w:pPr>
        <w:tabs>
          <w:tab w:val="num" w:pos="5261"/>
        </w:tabs>
        <w:ind w:left="5261" w:hanging="360"/>
      </w:pPr>
      <w:rPr>
        <w:rFonts w:ascii="Symbol" w:hAnsi="Symbol" w:hint="default"/>
      </w:rPr>
    </w:lvl>
    <w:lvl w:ilvl="7" w:tplc="04090003" w:tentative="1">
      <w:start w:val="1"/>
      <w:numFmt w:val="bullet"/>
      <w:lvlText w:val="o"/>
      <w:lvlJc w:val="left"/>
      <w:pPr>
        <w:tabs>
          <w:tab w:val="num" w:pos="5981"/>
        </w:tabs>
        <w:ind w:left="5981" w:hanging="360"/>
      </w:pPr>
      <w:rPr>
        <w:rFonts w:ascii="Courier New" w:hAnsi="Courier New" w:cs="Courier New" w:hint="default"/>
      </w:rPr>
    </w:lvl>
    <w:lvl w:ilvl="8" w:tplc="04090005" w:tentative="1">
      <w:start w:val="1"/>
      <w:numFmt w:val="bullet"/>
      <w:lvlText w:val=""/>
      <w:lvlJc w:val="left"/>
      <w:pPr>
        <w:tabs>
          <w:tab w:val="num" w:pos="6701"/>
        </w:tabs>
        <w:ind w:left="6701" w:hanging="360"/>
      </w:pPr>
      <w:rPr>
        <w:rFonts w:ascii="Wingdings" w:hAnsi="Wingdings" w:hint="default"/>
      </w:rPr>
    </w:lvl>
  </w:abstractNum>
  <w:abstractNum w:abstractNumId="108" w15:restartNumberingAfterBreak="0">
    <w:nsid w:val="490054D5"/>
    <w:multiLevelType w:val="hybridMultilevel"/>
    <w:tmpl w:val="C4903F9E"/>
    <w:lvl w:ilvl="0" w:tplc="EE746EE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4944696E"/>
    <w:multiLevelType w:val="hybridMultilevel"/>
    <w:tmpl w:val="E39C7D68"/>
    <w:lvl w:ilvl="0" w:tplc="7B76FFA4">
      <w:numFmt w:val="bullet"/>
      <w:lvlText w:val="-"/>
      <w:lvlJc w:val="left"/>
      <w:pPr>
        <w:ind w:left="366" w:hanging="140"/>
      </w:pPr>
      <w:rPr>
        <w:rFonts w:ascii="Times New Roman" w:eastAsia="Times New Roman" w:hAnsi="Times New Roman" w:cs="Times New Roman" w:hint="default"/>
        <w:w w:val="99"/>
        <w:sz w:val="24"/>
        <w:szCs w:val="24"/>
        <w:lang w:val="ro-RO" w:eastAsia="en-US" w:bidi="ar-SA"/>
      </w:rPr>
    </w:lvl>
    <w:lvl w:ilvl="1" w:tplc="E3826D28">
      <w:numFmt w:val="bullet"/>
      <w:lvlText w:val="•"/>
      <w:lvlJc w:val="left"/>
      <w:pPr>
        <w:ind w:left="1033" w:hanging="140"/>
      </w:pPr>
      <w:rPr>
        <w:rFonts w:hint="default"/>
        <w:lang w:val="ro-RO" w:eastAsia="en-US" w:bidi="ar-SA"/>
      </w:rPr>
    </w:lvl>
    <w:lvl w:ilvl="2" w:tplc="3B08F56A">
      <w:numFmt w:val="bullet"/>
      <w:lvlText w:val="•"/>
      <w:lvlJc w:val="left"/>
      <w:pPr>
        <w:ind w:left="1706" w:hanging="140"/>
      </w:pPr>
      <w:rPr>
        <w:rFonts w:hint="default"/>
        <w:lang w:val="ro-RO" w:eastAsia="en-US" w:bidi="ar-SA"/>
      </w:rPr>
    </w:lvl>
    <w:lvl w:ilvl="3" w:tplc="9380F996">
      <w:numFmt w:val="bullet"/>
      <w:lvlText w:val="•"/>
      <w:lvlJc w:val="left"/>
      <w:pPr>
        <w:ind w:left="2379" w:hanging="140"/>
      </w:pPr>
      <w:rPr>
        <w:rFonts w:hint="default"/>
        <w:lang w:val="ro-RO" w:eastAsia="en-US" w:bidi="ar-SA"/>
      </w:rPr>
    </w:lvl>
    <w:lvl w:ilvl="4" w:tplc="79F62F54">
      <w:numFmt w:val="bullet"/>
      <w:lvlText w:val="•"/>
      <w:lvlJc w:val="left"/>
      <w:pPr>
        <w:ind w:left="3052" w:hanging="140"/>
      </w:pPr>
      <w:rPr>
        <w:rFonts w:hint="default"/>
        <w:lang w:val="ro-RO" w:eastAsia="en-US" w:bidi="ar-SA"/>
      </w:rPr>
    </w:lvl>
    <w:lvl w:ilvl="5" w:tplc="F9C22AD2">
      <w:numFmt w:val="bullet"/>
      <w:lvlText w:val="•"/>
      <w:lvlJc w:val="left"/>
      <w:pPr>
        <w:ind w:left="3725" w:hanging="140"/>
      </w:pPr>
      <w:rPr>
        <w:rFonts w:hint="default"/>
        <w:lang w:val="ro-RO" w:eastAsia="en-US" w:bidi="ar-SA"/>
      </w:rPr>
    </w:lvl>
    <w:lvl w:ilvl="6" w:tplc="44C8FF4E">
      <w:numFmt w:val="bullet"/>
      <w:lvlText w:val="•"/>
      <w:lvlJc w:val="left"/>
      <w:pPr>
        <w:ind w:left="4398" w:hanging="140"/>
      </w:pPr>
      <w:rPr>
        <w:rFonts w:hint="default"/>
        <w:lang w:val="ro-RO" w:eastAsia="en-US" w:bidi="ar-SA"/>
      </w:rPr>
    </w:lvl>
    <w:lvl w:ilvl="7" w:tplc="FDFA0F14">
      <w:numFmt w:val="bullet"/>
      <w:lvlText w:val="•"/>
      <w:lvlJc w:val="left"/>
      <w:pPr>
        <w:ind w:left="5071" w:hanging="140"/>
      </w:pPr>
      <w:rPr>
        <w:rFonts w:hint="default"/>
        <w:lang w:val="ro-RO" w:eastAsia="en-US" w:bidi="ar-SA"/>
      </w:rPr>
    </w:lvl>
    <w:lvl w:ilvl="8" w:tplc="DF404E66">
      <w:numFmt w:val="bullet"/>
      <w:lvlText w:val="•"/>
      <w:lvlJc w:val="left"/>
      <w:pPr>
        <w:ind w:left="5744" w:hanging="140"/>
      </w:pPr>
      <w:rPr>
        <w:rFonts w:hint="default"/>
        <w:lang w:val="ro-RO" w:eastAsia="en-US" w:bidi="ar-SA"/>
      </w:rPr>
    </w:lvl>
  </w:abstractNum>
  <w:abstractNum w:abstractNumId="110" w15:restartNumberingAfterBreak="0">
    <w:nsid w:val="498C33DC"/>
    <w:multiLevelType w:val="hybridMultilevel"/>
    <w:tmpl w:val="8EB0A036"/>
    <w:lvl w:ilvl="0" w:tplc="E5B012E4">
      <w:numFmt w:val="bullet"/>
      <w:lvlText w:val="-"/>
      <w:lvlJc w:val="left"/>
      <w:pPr>
        <w:ind w:left="713" w:hanging="360"/>
      </w:pPr>
      <w:rPr>
        <w:rFonts w:ascii="Calibri" w:eastAsia="Calibri" w:hAnsi="Calibri" w:cs="Calibri" w:hint="default"/>
        <w:w w:val="100"/>
        <w:sz w:val="24"/>
        <w:szCs w:val="24"/>
        <w:lang w:val="ro-RO" w:eastAsia="en-US" w:bidi="ar-SA"/>
      </w:rPr>
    </w:lvl>
    <w:lvl w:ilvl="1" w:tplc="FFD2DDB8">
      <w:numFmt w:val="bullet"/>
      <w:lvlText w:val="•"/>
      <w:lvlJc w:val="left"/>
      <w:pPr>
        <w:ind w:left="1666" w:hanging="360"/>
      </w:pPr>
      <w:rPr>
        <w:rFonts w:hint="default"/>
        <w:lang w:val="ro-RO" w:eastAsia="en-US" w:bidi="ar-SA"/>
      </w:rPr>
    </w:lvl>
    <w:lvl w:ilvl="2" w:tplc="901CE42E">
      <w:numFmt w:val="bullet"/>
      <w:lvlText w:val="•"/>
      <w:lvlJc w:val="left"/>
      <w:pPr>
        <w:ind w:left="2613" w:hanging="360"/>
      </w:pPr>
      <w:rPr>
        <w:rFonts w:hint="default"/>
        <w:lang w:val="ro-RO" w:eastAsia="en-US" w:bidi="ar-SA"/>
      </w:rPr>
    </w:lvl>
    <w:lvl w:ilvl="3" w:tplc="63F427EA">
      <w:numFmt w:val="bullet"/>
      <w:lvlText w:val="•"/>
      <w:lvlJc w:val="left"/>
      <w:pPr>
        <w:ind w:left="3559" w:hanging="360"/>
      </w:pPr>
      <w:rPr>
        <w:rFonts w:hint="default"/>
        <w:lang w:val="ro-RO" w:eastAsia="en-US" w:bidi="ar-SA"/>
      </w:rPr>
    </w:lvl>
    <w:lvl w:ilvl="4" w:tplc="ADA8889C">
      <w:numFmt w:val="bullet"/>
      <w:lvlText w:val="•"/>
      <w:lvlJc w:val="left"/>
      <w:pPr>
        <w:ind w:left="4506" w:hanging="360"/>
      </w:pPr>
      <w:rPr>
        <w:rFonts w:hint="default"/>
        <w:lang w:val="ro-RO" w:eastAsia="en-US" w:bidi="ar-SA"/>
      </w:rPr>
    </w:lvl>
    <w:lvl w:ilvl="5" w:tplc="4A0ADCE4">
      <w:numFmt w:val="bullet"/>
      <w:lvlText w:val="•"/>
      <w:lvlJc w:val="left"/>
      <w:pPr>
        <w:ind w:left="5453" w:hanging="360"/>
      </w:pPr>
      <w:rPr>
        <w:rFonts w:hint="default"/>
        <w:lang w:val="ro-RO" w:eastAsia="en-US" w:bidi="ar-SA"/>
      </w:rPr>
    </w:lvl>
    <w:lvl w:ilvl="6" w:tplc="A876635A">
      <w:numFmt w:val="bullet"/>
      <w:lvlText w:val="•"/>
      <w:lvlJc w:val="left"/>
      <w:pPr>
        <w:ind w:left="6399" w:hanging="360"/>
      </w:pPr>
      <w:rPr>
        <w:rFonts w:hint="default"/>
        <w:lang w:val="ro-RO" w:eastAsia="en-US" w:bidi="ar-SA"/>
      </w:rPr>
    </w:lvl>
    <w:lvl w:ilvl="7" w:tplc="0E9E136A">
      <w:numFmt w:val="bullet"/>
      <w:lvlText w:val="•"/>
      <w:lvlJc w:val="left"/>
      <w:pPr>
        <w:ind w:left="7346" w:hanging="360"/>
      </w:pPr>
      <w:rPr>
        <w:rFonts w:hint="default"/>
        <w:lang w:val="ro-RO" w:eastAsia="en-US" w:bidi="ar-SA"/>
      </w:rPr>
    </w:lvl>
    <w:lvl w:ilvl="8" w:tplc="342E4FA6">
      <w:numFmt w:val="bullet"/>
      <w:lvlText w:val="•"/>
      <w:lvlJc w:val="left"/>
      <w:pPr>
        <w:ind w:left="8293" w:hanging="360"/>
      </w:pPr>
      <w:rPr>
        <w:rFonts w:hint="default"/>
        <w:lang w:val="ro-RO" w:eastAsia="en-US" w:bidi="ar-SA"/>
      </w:rPr>
    </w:lvl>
  </w:abstractNum>
  <w:abstractNum w:abstractNumId="111" w15:restartNumberingAfterBreak="0">
    <w:nsid w:val="49D47B53"/>
    <w:multiLevelType w:val="hybridMultilevel"/>
    <w:tmpl w:val="3E3E5466"/>
    <w:lvl w:ilvl="0" w:tplc="34A400D6">
      <w:start w:val="1"/>
      <w:numFmt w:val="bullet"/>
      <w:lvlText w:val="-"/>
      <w:lvlJc w:val="left"/>
      <w:pPr>
        <w:ind w:left="720" w:hanging="360"/>
      </w:pPr>
      <w:rPr>
        <w:rFonts w:ascii="Times New Roman" w:eastAsia="Times New Roman" w:hAnsi="Times New Roman" w:cs="Times New Roman" w:hint="default"/>
        <w:b/>
      </w:rPr>
    </w:lvl>
    <w:lvl w:ilvl="1" w:tplc="2F205532">
      <w:start w:val="1"/>
      <w:numFmt w:val="bullet"/>
      <w:pStyle w:val="24"/>
      <w:lvlText w:val="-"/>
      <w:lvlJc w:val="left"/>
      <w:pPr>
        <w:ind w:left="1440" w:hanging="360"/>
      </w:pPr>
      <w:rPr>
        <w:rFonts w:ascii="Times New Roman" w:eastAsia="Times New Roman" w:hAnsi="Times New Roman" w:cs="Times New Roman" w:hint="default"/>
        <w:b/>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2" w15:restartNumberingAfterBreak="0">
    <w:nsid w:val="4AA14A74"/>
    <w:multiLevelType w:val="hybridMultilevel"/>
    <w:tmpl w:val="2784760C"/>
    <w:lvl w:ilvl="0" w:tplc="3000FD86">
      <w:numFmt w:val="bullet"/>
      <w:lvlText w:val="-"/>
      <w:lvlJc w:val="left"/>
      <w:pPr>
        <w:ind w:left="36" w:hanging="128"/>
      </w:pPr>
      <w:rPr>
        <w:rFonts w:ascii="Times New Roman" w:eastAsia="Times New Roman" w:hAnsi="Times New Roman" w:cs="Times New Roman" w:hint="default"/>
        <w:w w:val="100"/>
        <w:sz w:val="22"/>
        <w:szCs w:val="22"/>
        <w:lang w:val="ro-RO" w:eastAsia="en-US" w:bidi="ar-SA"/>
      </w:rPr>
    </w:lvl>
    <w:lvl w:ilvl="1" w:tplc="C68692DC">
      <w:numFmt w:val="bullet"/>
      <w:lvlText w:val="•"/>
      <w:lvlJc w:val="left"/>
      <w:pPr>
        <w:ind w:left="275" w:hanging="128"/>
      </w:pPr>
      <w:rPr>
        <w:rFonts w:hint="default"/>
        <w:lang w:val="ro-RO" w:eastAsia="en-US" w:bidi="ar-SA"/>
      </w:rPr>
    </w:lvl>
    <w:lvl w:ilvl="2" w:tplc="65644C3E">
      <w:numFmt w:val="bullet"/>
      <w:lvlText w:val="•"/>
      <w:lvlJc w:val="left"/>
      <w:pPr>
        <w:ind w:left="511" w:hanging="128"/>
      </w:pPr>
      <w:rPr>
        <w:rFonts w:hint="default"/>
        <w:lang w:val="ro-RO" w:eastAsia="en-US" w:bidi="ar-SA"/>
      </w:rPr>
    </w:lvl>
    <w:lvl w:ilvl="3" w:tplc="44EA4814">
      <w:numFmt w:val="bullet"/>
      <w:lvlText w:val="•"/>
      <w:lvlJc w:val="left"/>
      <w:pPr>
        <w:ind w:left="747" w:hanging="128"/>
      </w:pPr>
      <w:rPr>
        <w:rFonts w:hint="default"/>
        <w:lang w:val="ro-RO" w:eastAsia="en-US" w:bidi="ar-SA"/>
      </w:rPr>
    </w:lvl>
    <w:lvl w:ilvl="4" w:tplc="9AA05A26">
      <w:numFmt w:val="bullet"/>
      <w:lvlText w:val="•"/>
      <w:lvlJc w:val="left"/>
      <w:pPr>
        <w:ind w:left="983" w:hanging="128"/>
      </w:pPr>
      <w:rPr>
        <w:rFonts w:hint="default"/>
        <w:lang w:val="ro-RO" w:eastAsia="en-US" w:bidi="ar-SA"/>
      </w:rPr>
    </w:lvl>
    <w:lvl w:ilvl="5" w:tplc="BC78C390">
      <w:numFmt w:val="bullet"/>
      <w:lvlText w:val="•"/>
      <w:lvlJc w:val="left"/>
      <w:pPr>
        <w:ind w:left="1219" w:hanging="128"/>
      </w:pPr>
      <w:rPr>
        <w:rFonts w:hint="default"/>
        <w:lang w:val="ro-RO" w:eastAsia="en-US" w:bidi="ar-SA"/>
      </w:rPr>
    </w:lvl>
    <w:lvl w:ilvl="6" w:tplc="1D245DFA">
      <w:numFmt w:val="bullet"/>
      <w:lvlText w:val="•"/>
      <w:lvlJc w:val="left"/>
      <w:pPr>
        <w:ind w:left="1455" w:hanging="128"/>
      </w:pPr>
      <w:rPr>
        <w:rFonts w:hint="default"/>
        <w:lang w:val="ro-RO" w:eastAsia="en-US" w:bidi="ar-SA"/>
      </w:rPr>
    </w:lvl>
    <w:lvl w:ilvl="7" w:tplc="B71C550A">
      <w:numFmt w:val="bullet"/>
      <w:lvlText w:val="•"/>
      <w:lvlJc w:val="left"/>
      <w:pPr>
        <w:ind w:left="1691" w:hanging="128"/>
      </w:pPr>
      <w:rPr>
        <w:rFonts w:hint="default"/>
        <w:lang w:val="ro-RO" w:eastAsia="en-US" w:bidi="ar-SA"/>
      </w:rPr>
    </w:lvl>
    <w:lvl w:ilvl="8" w:tplc="F49A6586">
      <w:numFmt w:val="bullet"/>
      <w:lvlText w:val="•"/>
      <w:lvlJc w:val="left"/>
      <w:pPr>
        <w:ind w:left="1927" w:hanging="128"/>
      </w:pPr>
      <w:rPr>
        <w:rFonts w:hint="default"/>
        <w:lang w:val="ro-RO" w:eastAsia="en-US" w:bidi="ar-SA"/>
      </w:rPr>
    </w:lvl>
  </w:abstractNum>
  <w:abstractNum w:abstractNumId="113" w15:restartNumberingAfterBreak="0">
    <w:nsid w:val="4AD75851"/>
    <w:multiLevelType w:val="hybridMultilevel"/>
    <w:tmpl w:val="876CB8E2"/>
    <w:lvl w:ilvl="0" w:tplc="E3E44020">
      <w:numFmt w:val="bullet"/>
      <w:lvlText w:val="-"/>
      <w:lvlJc w:val="left"/>
      <w:pPr>
        <w:ind w:left="720" w:hanging="360"/>
      </w:pPr>
      <w:rPr>
        <w:rFonts w:ascii="Times New Roman" w:eastAsiaTheme="minorHAnsi" w:hAnsi="Times New Roman" w:cs="Times New Roman"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4BEA09CE"/>
    <w:multiLevelType w:val="hybridMultilevel"/>
    <w:tmpl w:val="CEC61682"/>
    <w:lvl w:ilvl="0" w:tplc="E8547DA8">
      <w:numFmt w:val="bullet"/>
      <w:lvlText w:val="-"/>
      <w:lvlJc w:val="left"/>
      <w:pPr>
        <w:ind w:left="22" w:hanging="258"/>
      </w:pPr>
      <w:rPr>
        <w:rFonts w:ascii="Times New Roman" w:eastAsia="Times New Roman" w:hAnsi="Times New Roman" w:cs="Times New Roman" w:hint="default"/>
        <w:w w:val="100"/>
        <w:sz w:val="22"/>
        <w:szCs w:val="22"/>
        <w:lang w:val="ro-RO" w:eastAsia="en-US" w:bidi="ar-SA"/>
      </w:rPr>
    </w:lvl>
    <w:lvl w:ilvl="1" w:tplc="F37EA956">
      <w:numFmt w:val="bullet"/>
      <w:lvlText w:val="•"/>
      <w:lvlJc w:val="left"/>
      <w:pPr>
        <w:ind w:left="273" w:hanging="258"/>
      </w:pPr>
      <w:rPr>
        <w:rFonts w:hint="default"/>
        <w:lang w:val="ro-RO" w:eastAsia="en-US" w:bidi="ar-SA"/>
      </w:rPr>
    </w:lvl>
    <w:lvl w:ilvl="2" w:tplc="D4847BE0">
      <w:numFmt w:val="bullet"/>
      <w:lvlText w:val="•"/>
      <w:lvlJc w:val="left"/>
      <w:pPr>
        <w:ind w:left="527" w:hanging="258"/>
      </w:pPr>
      <w:rPr>
        <w:rFonts w:hint="default"/>
        <w:lang w:val="ro-RO" w:eastAsia="en-US" w:bidi="ar-SA"/>
      </w:rPr>
    </w:lvl>
    <w:lvl w:ilvl="3" w:tplc="A7E219D6">
      <w:numFmt w:val="bullet"/>
      <w:lvlText w:val="•"/>
      <w:lvlJc w:val="left"/>
      <w:pPr>
        <w:ind w:left="781" w:hanging="258"/>
      </w:pPr>
      <w:rPr>
        <w:rFonts w:hint="default"/>
        <w:lang w:val="ro-RO" w:eastAsia="en-US" w:bidi="ar-SA"/>
      </w:rPr>
    </w:lvl>
    <w:lvl w:ilvl="4" w:tplc="8D242AD8">
      <w:numFmt w:val="bullet"/>
      <w:lvlText w:val="•"/>
      <w:lvlJc w:val="left"/>
      <w:pPr>
        <w:ind w:left="1035" w:hanging="258"/>
      </w:pPr>
      <w:rPr>
        <w:rFonts w:hint="default"/>
        <w:lang w:val="ro-RO" w:eastAsia="en-US" w:bidi="ar-SA"/>
      </w:rPr>
    </w:lvl>
    <w:lvl w:ilvl="5" w:tplc="018CCBB6">
      <w:numFmt w:val="bullet"/>
      <w:lvlText w:val="•"/>
      <w:lvlJc w:val="left"/>
      <w:pPr>
        <w:ind w:left="1289" w:hanging="258"/>
      </w:pPr>
      <w:rPr>
        <w:rFonts w:hint="default"/>
        <w:lang w:val="ro-RO" w:eastAsia="en-US" w:bidi="ar-SA"/>
      </w:rPr>
    </w:lvl>
    <w:lvl w:ilvl="6" w:tplc="9CE81B3E">
      <w:numFmt w:val="bullet"/>
      <w:lvlText w:val="•"/>
      <w:lvlJc w:val="left"/>
      <w:pPr>
        <w:ind w:left="1543" w:hanging="258"/>
      </w:pPr>
      <w:rPr>
        <w:rFonts w:hint="default"/>
        <w:lang w:val="ro-RO" w:eastAsia="en-US" w:bidi="ar-SA"/>
      </w:rPr>
    </w:lvl>
    <w:lvl w:ilvl="7" w:tplc="840C42D6">
      <w:numFmt w:val="bullet"/>
      <w:lvlText w:val="•"/>
      <w:lvlJc w:val="left"/>
      <w:pPr>
        <w:ind w:left="1797" w:hanging="258"/>
      </w:pPr>
      <w:rPr>
        <w:rFonts w:hint="default"/>
        <w:lang w:val="ro-RO" w:eastAsia="en-US" w:bidi="ar-SA"/>
      </w:rPr>
    </w:lvl>
    <w:lvl w:ilvl="8" w:tplc="958CAA28">
      <w:numFmt w:val="bullet"/>
      <w:lvlText w:val="•"/>
      <w:lvlJc w:val="left"/>
      <w:pPr>
        <w:ind w:left="2051" w:hanging="258"/>
      </w:pPr>
      <w:rPr>
        <w:rFonts w:hint="default"/>
        <w:lang w:val="ro-RO" w:eastAsia="en-US" w:bidi="ar-SA"/>
      </w:rPr>
    </w:lvl>
  </w:abstractNum>
  <w:abstractNum w:abstractNumId="115" w15:restartNumberingAfterBreak="0">
    <w:nsid w:val="4CE8274F"/>
    <w:multiLevelType w:val="hybridMultilevel"/>
    <w:tmpl w:val="6C00C210"/>
    <w:lvl w:ilvl="0" w:tplc="0418000F">
      <w:start w:val="1"/>
      <w:numFmt w:val="decimal"/>
      <w:lvlText w:val="%1."/>
      <w:lvlJc w:val="left"/>
      <w:pPr>
        <w:ind w:left="720" w:hanging="360"/>
      </w:pPr>
    </w:lvl>
    <w:lvl w:ilvl="1" w:tplc="04180019">
      <w:start w:val="1"/>
      <w:numFmt w:val="lowerLetter"/>
      <w:lvlText w:val="%2."/>
      <w:lvlJc w:val="left"/>
      <w:pPr>
        <w:ind w:left="9999"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6" w15:restartNumberingAfterBreak="0">
    <w:nsid w:val="4D8812DF"/>
    <w:multiLevelType w:val="hybridMultilevel"/>
    <w:tmpl w:val="6DFA9200"/>
    <w:lvl w:ilvl="0" w:tplc="A848609E">
      <w:numFmt w:val="bullet"/>
      <w:lvlText w:val=""/>
      <w:lvlJc w:val="left"/>
      <w:pPr>
        <w:ind w:left="1145" w:hanging="286"/>
      </w:pPr>
      <w:rPr>
        <w:rFonts w:ascii="Wingdings" w:eastAsia="Wingdings" w:hAnsi="Wingdings" w:cs="Wingdings" w:hint="default"/>
        <w:w w:val="100"/>
        <w:sz w:val="24"/>
        <w:szCs w:val="24"/>
        <w:lang w:val="ro-RO" w:eastAsia="en-US" w:bidi="ar-SA"/>
      </w:rPr>
    </w:lvl>
    <w:lvl w:ilvl="1" w:tplc="21AC3BBE">
      <w:numFmt w:val="bullet"/>
      <w:lvlText w:val="•"/>
      <w:lvlJc w:val="left"/>
      <w:pPr>
        <w:ind w:left="2044" w:hanging="286"/>
      </w:pPr>
      <w:rPr>
        <w:rFonts w:hint="default"/>
        <w:lang w:val="ro-RO" w:eastAsia="en-US" w:bidi="ar-SA"/>
      </w:rPr>
    </w:lvl>
    <w:lvl w:ilvl="2" w:tplc="42B81DF4">
      <w:numFmt w:val="bullet"/>
      <w:lvlText w:val="•"/>
      <w:lvlJc w:val="left"/>
      <w:pPr>
        <w:ind w:left="2949" w:hanging="286"/>
      </w:pPr>
      <w:rPr>
        <w:rFonts w:hint="default"/>
        <w:lang w:val="ro-RO" w:eastAsia="en-US" w:bidi="ar-SA"/>
      </w:rPr>
    </w:lvl>
    <w:lvl w:ilvl="3" w:tplc="6330A5F4">
      <w:numFmt w:val="bullet"/>
      <w:lvlText w:val="•"/>
      <w:lvlJc w:val="left"/>
      <w:pPr>
        <w:ind w:left="3853" w:hanging="286"/>
      </w:pPr>
      <w:rPr>
        <w:rFonts w:hint="default"/>
        <w:lang w:val="ro-RO" w:eastAsia="en-US" w:bidi="ar-SA"/>
      </w:rPr>
    </w:lvl>
    <w:lvl w:ilvl="4" w:tplc="04C41744">
      <w:numFmt w:val="bullet"/>
      <w:lvlText w:val="•"/>
      <w:lvlJc w:val="left"/>
      <w:pPr>
        <w:ind w:left="4758" w:hanging="286"/>
      </w:pPr>
      <w:rPr>
        <w:rFonts w:hint="default"/>
        <w:lang w:val="ro-RO" w:eastAsia="en-US" w:bidi="ar-SA"/>
      </w:rPr>
    </w:lvl>
    <w:lvl w:ilvl="5" w:tplc="E528F2B2">
      <w:numFmt w:val="bullet"/>
      <w:lvlText w:val="•"/>
      <w:lvlJc w:val="left"/>
      <w:pPr>
        <w:ind w:left="5663" w:hanging="286"/>
      </w:pPr>
      <w:rPr>
        <w:rFonts w:hint="default"/>
        <w:lang w:val="ro-RO" w:eastAsia="en-US" w:bidi="ar-SA"/>
      </w:rPr>
    </w:lvl>
    <w:lvl w:ilvl="6" w:tplc="5E9048D2">
      <w:numFmt w:val="bullet"/>
      <w:lvlText w:val="•"/>
      <w:lvlJc w:val="left"/>
      <w:pPr>
        <w:ind w:left="6567" w:hanging="286"/>
      </w:pPr>
      <w:rPr>
        <w:rFonts w:hint="default"/>
        <w:lang w:val="ro-RO" w:eastAsia="en-US" w:bidi="ar-SA"/>
      </w:rPr>
    </w:lvl>
    <w:lvl w:ilvl="7" w:tplc="17940E24">
      <w:numFmt w:val="bullet"/>
      <w:lvlText w:val="•"/>
      <w:lvlJc w:val="left"/>
      <w:pPr>
        <w:ind w:left="7472" w:hanging="286"/>
      </w:pPr>
      <w:rPr>
        <w:rFonts w:hint="default"/>
        <w:lang w:val="ro-RO" w:eastAsia="en-US" w:bidi="ar-SA"/>
      </w:rPr>
    </w:lvl>
    <w:lvl w:ilvl="8" w:tplc="FDDC741C">
      <w:numFmt w:val="bullet"/>
      <w:lvlText w:val="•"/>
      <w:lvlJc w:val="left"/>
      <w:pPr>
        <w:ind w:left="8377" w:hanging="286"/>
      </w:pPr>
      <w:rPr>
        <w:rFonts w:hint="default"/>
        <w:lang w:val="ro-RO" w:eastAsia="en-US" w:bidi="ar-SA"/>
      </w:rPr>
    </w:lvl>
  </w:abstractNum>
  <w:abstractNum w:abstractNumId="117" w15:restartNumberingAfterBreak="0">
    <w:nsid w:val="4DDA6753"/>
    <w:multiLevelType w:val="hybridMultilevel"/>
    <w:tmpl w:val="2F147A50"/>
    <w:lvl w:ilvl="0" w:tplc="04090001">
      <w:start w:val="1"/>
      <w:numFmt w:val="bullet"/>
      <w:lvlText w:val=""/>
      <w:lvlJc w:val="left"/>
      <w:pPr>
        <w:ind w:left="643"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18" w15:restartNumberingAfterBreak="0">
    <w:nsid w:val="4E7E7032"/>
    <w:multiLevelType w:val="hybridMultilevel"/>
    <w:tmpl w:val="EE9ED87A"/>
    <w:lvl w:ilvl="0" w:tplc="440E3DDC">
      <w:start w:val="1"/>
      <w:numFmt w:val="lowerLetter"/>
      <w:lvlText w:val="%1."/>
      <w:lvlJc w:val="left"/>
      <w:pPr>
        <w:ind w:left="1013" w:hanging="360"/>
      </w:pPr>
      <w:rPr>
        <w:rFonts w:ascii="Times New Roman" w:eastAsia="Times New Roman" w:hAnsi="Times New Roman" w:cs="Times New Roman" w:hint="default"/>
        <w:spacing w:val="-1"/>
        <w:w w:val="100"/>
        <w:sz w:val="24"/>
        <w:szCs w:val="24"/>
        <w:lang w:val="ro-RO" w:eastAsia="en-US" w:bidi="ar-SA"/>
      </w:rPr>
    </w:lvl>
    <w:lvl w:ilvl="1" w:tplc="A9B4E35A">
      <w:numFmt w:val="bullet"/>
      <w:lvlText w:val="•"/>
      <w:lvlJc w:val="left"/>
      <w:pPr>
        <w:ind w:left="1936" w:hanging="360"/>
      </w:pPr>
      <w:rPr>
        <w:rFonts w:hint="default"/>
        <w:lang w:val="ro-RO" w:eastAsia="en-US" w:bidi="ar-SA"/>
      </w:rPr>
    </w:lvl>
    <w:lvl w:ilvl="2" w:tplc="B07405D2">
      <w:numFmt w:val="bullet"/>
      <w:lvlText w:val="•"/>
      <w:lvlJc w:val="left"/>
      <w:pPr>
        <w:ind w:left="2853" w:hanging="360"/>
      </w:pPr>
      <w:rPr>
        <w:rFonts w:hint="default"/>
        <w:lang w:val="ro-RO" w:eastAsia="en-US" w:bidi="ar-SA"/>
      </w:rPr>
    </w:lvl>
    <w:lvl w:ilvl="3" w:tplc="9EA829DA">
      <w:numFmt w:val="bullet"/>
      <w:lvlText w:val="•"/>
      <w:lvlJc w:val="left"/>
      <w:pPr>
        <w:ind w:left="3769" w:hanging="360"/>
      </w:pPr>
      <w:rPr>
        <w:rFonts w:hint="default"/>
        <w:lang w:val="ro-RO" w:eastAsia="en-US" w:bidi="ar-SA"/>
      </w:rPr>
    </w:lvl>
    <w:lvl w:ilvl="4" w:tplc="F6886C14">
      <w:numFmt w:val="bullet"/>
      <w:lvlText w:val="•"/>
      <w:lvlJc w:val="left"/>
      <w:pPr>
        <w:ind w:left="4686" w:hanging="360"/>
      </w:pPr>
      <w:rPr>
        <w:rFonts w:hint="default"/>
        <w:lang w:val="ro-RO" w:eastAsia="en-US" w:bidi="ar-SA"/>
      </w:rPr>
    </w:lvl>
    <w:lvl w:ilvl="5" w:tplc="A344D25A">
      <w:numFmt w:val="bullet"/>
      <w:lvlText w:val="•"/>
      <w:lvlJc w:val="left"/>
      <w:pPr>
        <w:ind w:left="5603" w:hanging="360"/>
      </w:pPr>
      <w:rPr>
        <w:rFonts w:hint="default"/>
        <w:lang w:val="ro-RO" w:eastAsia="en-US" w:bidi="ar-SA"/>
      </w:rPr>
    </w:lvl>
    <w:lvl w:ilvl="6" w:tplc="49689B4A">
      <w:numFmt w:val="bullet"/>
      <w:lvlText w:val="•"/>
      <w:lvlJc w:val="left"/>
      <w:pPr>
        <w:ind w:left="6519" w:hanging="360"/>
      </w:pPr>
      <w:rPr>
        <w:rFonts w:hint="default"/>
        <w:lang w:val="ro-RO" w:eastAsia="en-US" w:bidi="ar-SA"/>
      </w:rPr>
    </w:lvl>
    <w:lvl w:ilvl="7" w:tplc="EEC0D17A">
      <w:numFmt w:val="bullet"/>
      <w:lvlText w:val="•"/>
      <w:lvlJc w:val="left"/>
      <w:pPr>
        <w:ind w:left="7436" w:hanging="360"/>
      </w:pPr>
      <w:rPr>
        <w:rFonts w:hint="default"/>
        <w:lang w:val="ro-RO" w:eastAsia="en-US" w:bidi="ar-SA"/>
      </w:rPr>
    </w:lvl>
    <w:lvl w:ilvl="8" w:tplc="CCA42854">
      <w:numFmt w:val="bullet"/>
      <w:lvlText w:val="•"/>
      <w:lvlJc w:val="left"/>
      <w:pPr>
        <w:ind w:left="8353" w:hanging="360"/>
      </w:pPr>
      <w:rPr>
        <w:rFonts w:hint="default"/>
        <w:lang w:val="ro-RO" w:eastAsia="en-US" w:bidi="ar-SA"/>
      </w:rPr>
    </w:lvl>
  </w:abstractNum>
  <w:abstractNum w:abstractNumId="119" w15:restartNumberingAfterBreak="0">
    <w:nsid w:val="4F0408C8"/>
    <w:multiLevelType w:val="hybridMultilevel"/>
    <w:tmpl w:val="2C52D588"/>
    <w:lvl w:ilvl="0" w:tplc="5AC80D66">
      <w:numFmt w:val="bullet"/>
      <w:lvlText w:val="-"/>
      <w:lvlJc w:val="left"/>
      <w:pPr>
        <w:ind w:left="24" w:hanging="252"/>
      </w:pPr>
      <w:rPr>
        <w:rFonts w:ascii="Times New Roman" w:eastAsia="Times New Roman" w:hAnsi="Times New Roman" w:cs="Times New Roman" w:hint="default"/>
        <w:w w:val="100"/>
        <w:sz w:val="22"/>
        <w:szCs w:val="22"/>
        <w:lang w:val="ro-RO" w:eastAsia="en-US" w:bidi="ar-SA"/>
      </w:rPr>
    </w:lvl>
    <w:lvl w:ilvl="1" w:tplc="469E9A66">
      <w:numFmt w:val="bullet"/>
      <w:lvlText w:val="•"/>
      <w:lvlJc w:val="left"/>
      <w:pPr>
        <w:ind w:left="272" w:hanging="252"/>
      </w:pPr>
      <w:rPr>
        <w:rFonts w:hint="default"/>
        <w:lang w:val="ro-RO" w:eastAsia="en-US" w:bidi="ar-SA"/>
      </w:rPr>
    </w:lvl>
    <w:lvl w:ilvl="2" w:tplc="AD0AC888">
      <w:numFmt w:val="bullet"/>
      <w:lvlText w:val="•"/>
      <w:lvlJc w:val="left"/>
      <w:pPr>
        <w:ind w:left="524" w:hanging="252"/>
      </w:pPr>
      <w:rPr>
        <w:rFonts w:hint="default"/>
        <w:lang w:val="ro-RO" w:eastAsia="en-US" w:bidi="ar-SA"/>
      </w:rPr>
    </w:lvl>
    <w:lvl w:ilvl="3" w:tplc="872039DE">
      <w:numFmt w:val="bullet"/>
      <w:lvlText w:val="•"/>
      <w:lvlJc w:val="left"/>
      <w:pPr>
        <w:ind w:left="776" w:hanging="252"/>
      </w:pPr>
      <w:rPr>
        <w:rFonts w:hint="default"/>
        <w:lang w:val="ro-RO" w:eastAsia="en-US" w:bidi="ar-SA"/>
      </w:rPr>
    </w:lvl>
    <w:lvl w:ilvl="4" w:tplc="57E454D4">
      <w:numFmt w:val="bullet"/>
      <w:lvlText w:val="•"/>
      <w:lvlJc w:val="left"/>
      <w:pPr>
        <w:ind w:left="1028" w:hanging="252"/>
      </w:pPr>
      <w:rPr>
        <w:rFonts w:hint="default"/>
        <w:lang w:val="ro-RO" w:eastAsia="en-US" w:bidi="ar-SA"/>
      </w:rPr>
    </w:lvl>
    <w:lvl w:ilvl="5" w:tplc="E4B0C82E">
      <w:numFmt w:val="bullet"/>
      <w:lvlText w:val="•"/>
      <w:lvlJc w:val="left"/>
      <w:pPr>
        <w:ind w:left="1281" w:hanging="252"/>
      </w:pPr>
      <w:rPr>
        <w:rFonts w:hint="default"/>
        <w:lang w:val="ro-RO" w:eastAsia="en-US" w:bidi="ar-SA"/>
      </w:rPr>
    </w:lvl>
    <w:lvl w:ilvl="6" w:tplc="326E0AC2">
      <w:numFmt w:val="bullet"/>
      <w:lvlText w:val="•"/>
      <w:lvlJc w:val="left"/>
      <w:pPr>
        <w:ind w:left="1533" w:hanging="252"/>
      </w:pPr>
      <w:rPr>
        <w:rFonts w:hint="default"/>
        <w:lang w:val="ro-RO" w:eastAsia="en-US" w:bidi="ar-SA"/>
      </w:rPr>
    </w:lvl>
    <w:lvl w:ilvl="7" w:tplc="1244096E">
      <w:numFmt w:val="bullet"/>
      <w:lvlText w:val="•"/>
      <w:lvlJc w:val="left"/>
      <w:pPr>
        <w:ind w:left="1785" w:hanging="252"/>
      </w:pPr>
      <w:rPr>
        <w:rFonts w:hint="default"/>
        <w:lang w:val="ro-RO" w:eastAsia="en-US" w:bidi="ar-SA"/>
      </w:rPr>
    </w:lvl>
    <w:lvl w:ilvl="8" w:tplc="43FA5DB4">
      <w:numFmt w:val="bullet"/>
      <w:lvlText w:val="•"/>
      <w:lvlJc w:val="left"/>
      <w:pPr>
        <w:ind w:left="2037" w:hanging="252"/>
      </w:pPr>
      <w:rPr>
        <w:rFonts w:hint="default"/>
        <w:lang w:val="ro-RO" w:eastAsia="en-US" w:bidi="ar-SA"/>
      </w:rPr>
    </w:lvl>
  </w:abstractNum>
  <w:abstractNum w:abstractNumId="120" w15:restartNumberingAfterBreak="0">
    <w:nsid w:val="4F8D0C53"/>
    <w:multiLevelType w:val="hybridMultilevel"/>
    <w:tmpl w:val="052CC7A4"/>
    <w:lvl w:ilvl="0" w:tplc="5F5A55BC">
      <w:start w:val="1"/>
      <w:numFmt w:val="lowerLetter"/>
      <w:lvlText w:val="%1)"/>
      <w:lvlJc w:val="left"/>
      <w:pPr>
        <w:ind w:left="1020" w:hanging="360"/>
      </w:pPr>
      <w:rPr>
        <w:rFonts w:ascii="Times New Roman" w:eastAsia="Times New Roman" w:hAnsi="Times New Roman" w:cs="Times New Roman" w:hint="default"/>
        <w:spacing w:val="-1"/>
        <w:w w:val="99"/>
        <w:sz w:val="24"/>
        <w:szCs w:val="24"/>
        <w:lang w:val="ro-RO" w:eastAsia="en-US" w:bidi="ar-SA"/>
      </w:rPr>
    </w:lvl>
    <w:lvl w:ilvl="1" w:tplc="9D3A4E02">
      <w:numFmt w:val="bullet"/>
      <w:lvlText w:val="•"/>
      <w:lvlJc w:val="left"/>
      <w:pPr>
        <w:ind w:left="1980" w:hanging="360"/>
      </w:pPr>
      <w:rPr>
        <w:rFonts w:hint="default"/>
        <w:lang w:val="ro-RO" w:eastAsia="en-US" w:bidi="ar-SA"/>
      </w:rPr>
    </w:lvl>
    <w:lvl w:ilvl="2" w:tplc="2FBA73B8">
      <w:numFmt w:val="bullet"/>
      <w:lvlText w:val="•"/>
      <w:lvlJc w:val="left"/>
      <w:pPr>
        <w:ind w:left="2940" w:hanging="360"/>
      </w:pPr>
      <w:rPr>
        <w:rFonts w:hint="default"/>
        <w:lang w:val="ro-RO" w:eastAsia="en-US" w:bidi="ar-SA"/>
      </w:rPr>
    </w:lvl>
    <w:lvl w:ilvl="3" w:tplc="BA6C3096">
      <w:numFmt w:val="bullet"/>
      <w:lvlText w:val="•"/>
      <w:lvlJc w:val="left"/>
      <w:pPr>
        <w:ind w:left="3900" w:hanging="360"/>
      </w:pPr>
      <w:rPr>
        <w:rFonts w:hint="default"/>
        <w:lang w:val="ro-RO" w:eastAsia="en-US" w:bidi="ar-SA"/>
      </w:rPr>
    </w:lvl>
    <w:lvl w:ilvl="4" w:tplc="57526A86">
      <w:numFmt w:val="bullet"/>
      <w:lvlText w:val="•"/>
      <w:lvlJc w:val="left"/>
      <w:pPr>
        <w:ind w:left="4860" w:hanging="360"/>
      </w:pPr>
      <w:rPr>
        <w:rFonts w:hint="default"/>
        <w:lang w:val="ro-RO" w:eastAsia="en-US" w:bidi="ar-SA"/>
      </w:rPr>
    </w:lvl>
    <w:lvl w:ilvl="5" w:tplc="FAC01B38">
      <w:numFmt w:val="bullet"/>
      <w:lvlText w:val="•"/>
      <w:lvlJc w:val="left"/>
      <w:pPr>
        <w:ind w:left="5820" w:hanging="360"/>
      </w:pPr>
      <w:rPr>
        <w:rFonts w:hint="default"/>
        <w:lang w:val="ro-RO" w:eastAsia="en-US" w:bidi="ar-SA"/>
      </w:rPr>
    </w:lvl>
    <w:lvl w:ilvl="6" w:tplc="7BEED5CE">
      <w:numFmt w:val="bullet"/>
      <w:lvlText w:val="•"/>
      <w:lvlJc w:val="left"/>
      <w:pPr>
        <w:ind w:left="6780" w:hanging="360"/>
      </w:pPr>
      <w:rPr>
        <w:rFonts w:hint="default"/>
        <w:lang w:val="ro-RO" w:eastAsia="en-US" w:bidi="ar-SA"/>
      </w:rPr>
    </w:lvl>
    <w:lvl w:ilvl="7" w:tplc="C89CC180">
      <w:numFmt w:val="bullet"/>
      <w:lvlText w:val="•"/>
      <w:lvlJc w:val="left"/>
      <w:pPr>
        <w:ind w:left="7740" w:hanging="360"/>
      </w:pPr>
      <w:rPr>
        <w:rFonts w:hint="default"/>
        <w:lang w:val="ro-RO" w:eastAsia="en-US" w:bidi="ar-SA"/>
      </w:rPr>
    </w:lvl>
    <w:lvl w:ilvl="8" w:tplc="033EC6F2">
      <w:numFmt w:val="bullet"/>
      <w:lvlText w:val="•"/>
      <w:lvlJc w:val="left"/>
      <w:pPr>
        <w:ind w:left="8700" w:hanging="360"/>
      </w:pPr>
      <w:rPr>
        <w:rFonts w:hint="default"/>
        <w:lang w:val="ro-RO" w:eastAsia="en-US" w:bidi="ar-SA"/>
      </w:rPr>
    </w:lvl>
  </w:abstractNum>
  <w:abstractNum w:abstractNumId="121" w15:restartNumberingAfterBreak="0">
    <w:nsid w:val="50DF3B5C"/>
    <w:multiLevelType w:val="hybridMultilevel"/>
    <w:tmpl w:val="E6AE40DA"/>
    <w:lvl w:ilvl="0" w:tplc="7CE2600A">
      <w:numFmt w:val="bullet"/>
      <w:lvlText w:val="-"/>
      <w:lvlJc w:val="left"/>
      <w:pPr>
        <w:ind w:left="534" w:hanging="140"/>
      </w:pPr>
      <w:rPr>
        <w:rFonts w:ascii="Times New Roman" w:eastAsia="Times New Roman" w:hAnsi="Times New Roman" w:cs="Times New Roman" w:hint="default"/>
        <w:w w:val="99"/>
        <w:sz w:val="24"/>
        <w:szCs w:val="24"/>
        <w:lang w:val="ro-RO" w:eastAsia="en-US" w:bidi="ar-SA"/>
      </w:rPr>
    </w:lvl>
    <w:lvl w:ilvl="1" w:tplc="C28294A4">
      <w:numFmt w:val="bullet"/>
      <w:lvlText w:val="•"/>
      <w:lvlJc w:val="left"/>
      <w:pPr>
        <w:ind w:left="1195" w:hanging="140"/>
      </w:pPr>
      <w:rPr>
        <w:rFonts w:hint="default"/>
        <w:lang w:val="ro-RO" w:eastAsia="en-US" w:bidi="ar-SA"/>
      </w:rPr>
    </w:lvl>
    <w:lvl w:ilvl="2" w:tplc="05B6567C">
      <w:numFmt w:val="bullet"/>
      <w:lvlText w:val="•"/>
      <w:lvlJc w:val="left"/>
      <w:pPr>
        <w:ind w:left="1850" w:hanging="140"/>
      </w:pPr>
      <w:rPr>
        <w:rFonts w:hint="default"/>
        <w:lang w:val="ro-RO" w:eastAsia="en-US" w:bidi="ar-SA"/>
      </w:rPr>
    </w:lvl>
    <w:lvl w:ilvl="3" w:tplc="52F88DAC">
      <w:numFmt w:val="bullet"/>
      <w:lvlText w:val="•"/>
      <w:lvlJc w:val="left"/>
      <w:pPr>
        <w:ind w:left="2505" w:hanging="140"/>
      </w:pPr>
      <w:rPr>
        <w:rFonts w:hint="default"/>
        <w:lang w:val="ro-RO" w:eastAsia="en-US" w:bidi="ar-SA"/>
      </w:rPr>
    </w:lvl>
    <w:lvl w:ilvl="4" w:tplc="84FEABC4">
      <w:numFmt w:val="bullet"/>
      <w:lvlText w:val="•"/>
      <w:lvlJc w:val="left"/>
      <w:pPr>
        <w:ind w:left="3160" w:hanging="140"/>
      </w:pPr>
      <w:rPr>
        <w:rFonts w:hint="default"/>
        <w:lang w:val="ro-RO" w:eastAsia="en-US" w:bidi="ar-SA"/>
      </w:rPr>
    </w:lvl>
    <w:lvl w:ilvl="5" w:tplc="214A7556">
      <w:numFmt w:val="bullet"/>
      <w:lvlText w:val="•"/>
      <w:lvlJc w:val="left"/>
      <w:pPr>
        <w:ind w:left="3815" w:hanging="140"/>
      </w:pPr>
      <w:rPr>
        <w:rFonts w:hint="default"/>
        <w:lang w:val="ro-RO" w:eastAsia="en-US" w:bidi="ar-SA"/>
      </w:rPr>
    </w:lvl>
    <w:lvl w:ilvl="6" w:tplc="F0DE13BA">
      <w:numFmt w:val="bullet"/>
      <w:lvlText w:val="•"/>
      <w:lvlJc w:val="left"/>
      <w:pPr>
        <w:ind w:left="4470" w:hanging="140"/>
      </w:pPr>
      <w:rPr>
        <w:rFonts w:hint="default"/>
        <w:lang w:val="ro-RO" w:eastAsia="en-US" w:bidi="ar-SA"/>
      </w:rPr>
    </w:lvl>
    <w:lvl w:ilvl="7" w:tplc="3488D44C">
      <w:numFmt w:val="bullet"/>
      <w:lvlText w:val="•"/>
      <w:lvlJc w:val="left"/>
      <w:pPr>
        <w:ind w:left="5125" w:hanging="140"/>
      </w:pPr>
      <w:rPr>
        <w:rFonts w:hint="default"/>
        <w:lang w:val="ro-RO" w:eastAsia="en-US" w:bidi="ar-SA"/>
      </w:rPr>
    </w:lvl>
    <w:lvl w:ilvl="8" w:tplc="FD846550">
      <w:numFmt w:val="bullet"/>
      <w:lvlText w:val="•"/>
      <w:lvlJc w:val="left"/>
      <w:pPr>
        <w:ind w:left="5780" w:hanging="140"/>
      </w:pPr>
      <w:rPr>
        <w:rFonts w:hint="default"/>
        <w:lang w:val="ro-RO" w:eastAsia="en-US" w:bidi="ar-SA"/>
      </w:rPr>
    </w:lvl>
  </w:abstractNum>
  <w:abstractNum w:abstractNumId="122" w15:restartNumberingAfterBreak="0">
    <w:nsid w:val="50F34F9E"/>
    <w:multiLevelType w:val="hybridMultilevel"/>
    <w:tmpl w:val="4E64C910"/>
    <w:lvl w:ilvl="0" w:tplc="E3107028">
      <w:numFmt w:val="bullet"/>
      <w:lvlText w:val="-"/>
      <w:lvlJc w:val="left"/>
      <w:pPr>
        <w:ind w:left="22" w:hanging="258"/>
      </w:pPr>
      <w:rPr>
        <w:rFonts w:ascii="Times New Roman" w:eastAsia="Times New Roman" w:hAnsi="Times New Roman" w:cs="Times New Roman" w:hint="default"/>
        <w:w w:val="100"/>
        <w:sz w:val="22"/>
        <w:szCs w:val="22"/>
        <w:lang w:val="ro-RO" w:eastAsia="en-US" w:bidi="ar-SA"/>
      </w:rPr>
    </w:lvl>
    <w:lvl w:ilvl="1" w:tplc="4F1C3EDA">
      <w:numFmt w:val="bullet"/>
      <w:lvlText w:val="•"/>
      <w:lvlJc w:val="left"/>
      <w:pPr>
        <w:ind w:left="273" w:hanging="258"/>
      </w:pPr>
      <w:rPr>
        <w:rFonts w:hint="default"/>
        <w:lang w:val="ro-RO" w:eastAsia="en-US" w:bidi="ar-SA"/>
      </w:rPr>
    </w:lvl>
    <w:lvl w:ilvl="2" w:tplc="9EB4F9E2">
      <w:numFmt w:val="bullet"/>
      <w:lvlText w:val="•"/>
      <w:lvlJc w:val="left"/>
      <w:pPr>
        <w:ind w:left="527" w:hanging="258"/>
      </w:pPr>
      <w:rPr>
        <w:rFonts w:hint="default"/>
        <w:lang w:val="ro-RO" w:eastAsia="en-US" w:bidi="ar-SA"/>
      </w:rPr>
    </w:lvl>
    <w:lvl w:ilvl="3" w:tplc="16CCDA5E">
      <w:numFmt w:val="bullet"/>
      <w:lvlText w:val="•"/>
      <w:lvlJc w:val="left"/>
      <w:pPr>
        <w:ind w:left="781" w:hanging="258"/>
      </w:pPr>
      <w:rPr>
        <w:rFonts w:hint="default"/>
        <w:lang w:val="ro-RO" w:eastAsia="en-US" w:bidi="ar-SA"/>
      </w:rPr>
    </w:lvl>
    <w:lvl w:ilvl="4" w:tplc="DBE2EB34">
      <w:numFmt w:val="bullet"/>
      <w:lvlText w:val="•"/>
      <w:lvlJc w:val="left"/>
      <w:pPr>
        <w:ind w:left="1035" w:hanging="258"/>
      </w:pPr>
      <w:rPr>
        <w:rFonts w:hint="default"/>
        <w:lang w:val="ro-RO" w:eastAsia="en-US" w:bidi="ar-SA"/>
      </w:rPr>
    </w:lvl>
    <w:lvl w:ilvl="5" w:tplc="B1AEE33A">
      <w:numFmt w:val="bullet"/>
      <w:lvlText w:val="•"/>
      <w:lvlJc w:val="left"/>
      <w:pPr>
        <w:ind w:left="1289" w:hanging="258"/>
      </w:pPr>
      <w:rPr>
        <w:rFonts w:hint="default"/>
        <w:lang w:val="ro-RO" w:eastAsia="en-US" w:bidi="ar-SA"/>
      </w:rPr>
    </w:lvl>
    <w:lvl w:ilvl="6" w:tplc="C7B85270">
      <w:numFmt w:val="bullet"/>
      <w:lvlText w:val="•"/>
      <w:lvlJc w:val="left"/>
      <w:pPr>
        <w:ind w:left="1542" w:hanging="258"/>
      </w:pPr>
      <w:rPr>
        <w:rFonts w:hint="default"/>
        <w:lang w:val="ro-RO" w:eastAsia="en-US" w:bidi="ar-SA"/>
      </w:rPr>
    </w:lvl>
    <w:lvl w:ilvl="7" w:tplc="F990C7E4">
      <w:numFmt w:val="bullet"/>
      <w:lvlText w:val="•"/>
      <w:lvlJc w:val="left"/>
      <w:pPr>
        <w:ind w:left="1796" w:hanging="258"/>
      </w:pPr>
      <w:rPr>
        <w:rFonts w:hint="default"/>
        <w:lang w:val="ro-RO" w:eastAsia="en-US" w:bidi="ar-SA"/>
      </w:rPr>
    </w:lvl>
    <w:lvl w:ilvl="8" w:tplc="0E0C2B28">
      <w:numFmt w:val="bullet"/>
      <w:lvlText w:val="•"/>
      <w:lvlJc w:val="left"/>
      <w:pPr>
        <w:ind w:left="2050" w:hanging="258"/>
      </w:pPr>
      <w:rPr>
        <w:rFonts w:hint="default"/>
        <w:lang w:val="ro-RO" w:eastAsia="en-US" w:bidi="ar-SA"/>
      </w:rPr>
    </w:lvl>
  </w:abstractNum>
  <w:abstractNum w:abstractNumId="123" w15:restartNumberingAfterBreak="0">
    <w:nsid w:val="517C51EF"/>
    <w:multiLevelType w:val="hybridMultilevel"/>
    <w:tmpl w:val="05284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52EA209B"/>
    <w:multiLevelType w:val="multilevel"/>
    <w:tmpl w:val="11FC51E0"/>
    <w:lvl w:ilvl="0">
      <w:start w:val="3"/>
      <w:numFmt w:val="decimal"/>
      <w:lvlText w:val="%1"/>
      <w:lvlJc w:val="left"/>
      <w:pPr>
        <w:ind w:left="1193" w:hanging="360"/>
      </w:pPr>
      <w:rPr>
        <w:rFonts w:hint="default"/>
        <w:lang w:val="ro-RO" w:eastAsia="en-US" w:bidi="ar-SA"/>
      </w:rPr>
    </w:lvl>
    <w:lvl w:ilvl="1">
      <w:start w:val="1"/>
      <w:numFmt w:val="bullet"/>
      <w:lvlText w:val=""/>
      <w:lvlJc w:val="left"/>
      <w:pPr>
        <w:ind w:left="1193" w:hanging="360"/>
      </w:pPr>
      <w:rPr>
        <w:rFonts w:ascii="Symbol" w:hAnsi="Symbol" w:hint="default"/>
        <w:b/>
        <w:bCs/>
        <w:spacing w:val="-1"/>
        <w:w w:val="100"/>
        <w:sz w:val="24"/>
        <w:szCs w:val="24"/>
        <w:lang w:val="ro-RO" w:eastAsia="en-US" w:bidi="ar-SA"/>
      </w:rPr>
    </w:lvl>
    <w:lvl w:ilvl="2">
      <w:numFmt w:val="bullet"/>
      <w:lvlText w:val="•"/>
      <w:lvlJc w:val="left"/>
      <w:pPr>
        <w:ind w:left="2997" w:hanging="360"/>
      </w:pPr>
      <w:rPr>
        <w:rFonts w:hint="default"/>
        <w:lang w:val="ro-RO" w:eastAsia="en-US" w:bidi="ar-SA"/>
      </w:rPr>
    </w:lvl>
    <w:lvl w:ilvl="3">
      <w:numFmt w:val="bullet"/>
      <w:lvlText w:val="•"/>
      <w:lvlJc w:val="left"/>
      <w:pPr>
        <w:ind w:left="3895" w:hanging="360"/>
      </w:pPr>
      <w:rPr>
        <w:rFonts w:hint="default"/>
        <w:lang w:val="ro-RO" w:eastAsia="en-US" w:bidi="ar-SA"/>
      </w:rPr>
    </w:lvl>
    <w:lvl w:ilvl="4">
      <w:numFmt w:val="bullet"/>
      <w:lvlText w:val="•"/>
      <w:lvlJc w:val="left"/>
      <w:pPr>
        <w:ind w:left="4794" w:hanging="360"/>
      </w:pPr>
      <w:rPr>
        <w:rFonts w:hint="default"/>
        <w:lang w:val="ro-RO" w:eastAsia="en-US" w:bidi="ar-SA"/>
      </w:rPr>
    </w:lvl>
    <w:lvl w:ilvl="5">
      <w:numFmt w:val="bullet"/>
      <w:lvlText w:val="•"/>
      <w:lvlJc w:val="left"/>
      <w:pPr>
        <w:ind w:left="5693" w:hanging="360"/>
      </w:pPr>
      <w:rPr>
        <w:rFonts w:hint="default"/>
        <w:lang w:val="ro-RO" w:eastAsia="en-US" w:bidi="ar-SA"/>
      </w:rPr>
    </w:lvl>
    <w:lvl w:ilvl="6">
      <w:numFmt w:val="bullet"/>
      <w:lvlText w:val="•"/>
      <w:lvlJc w:val="left"/>
      <w:pPr>
        <w:ind w:left="6591" w:hanging="360"/>
      </w:pPr>
      <w:rPr>
        <w:rFonts w:hint="default"/>
        <w:lang w:val="ro-RO" w:eastAsia="en-US" w:bidi="ar-SA"/>
      </w:rPr>
    </w:lvl>
    <w:lvl w:ilvl="7">
      <w:numFmt w:val="bullet"/>
      <w:lvlText w:val="•"/>
      <w:lvlJc w:val="left"/>
      <w:pPr>
        <w:ind w:left="7490" w:hanging="360"/>
      </w:pPr>
      <w:rPr>
        <w:rFonts w:hint="default"/>
        <w:lang w:val="ro-RO" w:eastAsia="en-US" w:bidi="ar-SA"/>
      </w:rPr>
    </w:lvl>
    <w:lvl w:ilvl="8">
      <w:numFmt w:val="bullet"/>
      <w:lvlText w:val="•"/>
      <w:lvlJc w:val="left"/>
      <w:pPr>
        <w:ind w:left="8389" w:hanging="360"/>
      </w:pPr>
      <w:rPr>
        <w:rFonts w:hint="default"/>
        <w:lang w:val="ro-RO" w:eastAsia="en-US" w:bidi="ar-SA"/>
      </w:rPr>
    </w:lvl>
  </w:abstractNum>
  <w:abstractNum w:abstractNumId="125" w15:restartNumberingAfterBreak="0">
    <w:nsid w:val="530E19E7"/>
    <w:multiLevelType w:val="hybridMultilevel"/>
    <w:tmpl w:val="E302744A"/>
    <w:lvl w:ilvl="0" w:tplc="95B271EC">
      <w:numFmt w:val="bullet"/>
      <w:lvlText w:val="-"/>
      <w:lvlJc w:val="left"/>
      <w:pPr>
        <w:ind w:left="22" w:hanging="258"/>
      </w:pPr>
      <w:rPr>
        <w:rFonts w:ascii="Times New Roman" w:eastAsia="Times New Roman" w:hAnsi="Times New Roman" w:cs="Times New Roman" w:hint="default"/>
        <w:w w:val="100"/>
        <w:sz w:val="22"/>
        <w:szCs w:val="22"/>
        <w:lang w:val="ro-RO" w:eastAsia="en-US" w:bidi="ar-SA"/>
      </w:rPr>
    </w:lvl>
    <w:lvl w:ilvl="1" w:tplc="FB929F56">
      <w:numFmt w:val="bullet"/>
      <w:lvlText w:val="•"/>
      <w:lvlJc w:val="left"/>
      <w:pPr>
        <w:ind w:left="273" w:hanging="258"/>
      </w:pPr>
      <w:rPr>
        <w:rFonts w:hint="default"/>
        <w:lang w:val="ro-RO" w:eastAsia="en-US" w:bidi="ar-SA"/>
      </w:rPr>
    </w:lvl>
    <w:lvl w:ilvl="2" w:tplc="3450561A">
      <w:numFmt w:val="bullet"/>
      <w:lvlText w:val="•"/>
      <w:lvlJc w:val="left"/>
      <w:pPr>
        <w:ind w:left="527" w:hanging="258"/>
      </w:pPr>
      <w:rPr>
        <w:rFonts w:hint="default"/>
        <w:lang w:val="ro-RO" w:eastAsia="en-US" w:bidi="ar-SA"/>
      </w:rPr>
    </w:lvl>
    <w:lvl w:ilvl="3" w:tplc="7F1E1368">
      <w:numFmt w:val="bullet"/>
      <w:lvlText w:val="•"/>
      <w:lvlJc w:val="left"/>
      <w:pPr>
        <w:ind w:left="781" w:hanging="258"/>
      </w:pPr>
      <w:rPr>
        <w:rFonts w:hint="default"/>
        <w:lang w:val="ro-RO" w:eastAsia="en-US" w:bidi="ar-SA"/>
      </w:rPr>
    </w:lvl>
    <w:lvl w:ilvl="4" w:tplc="E9BA1D4E">
      <w:numFmt w:val="bullet"/>
      <w:lvlText w:val="•"/>
      <w:lvlJc w:val="left"/>
      <w:pPr>
        <w:ind w:left="1035" w:hanging="258"/>
      </w:pPr>
      <w:rPr>
        <w:rFonts w:hint="default"/>
        <w:lang w:val="ro-RO" w:eastAsia="en-US" w:bidi="ar-SA"/>
      </w:rPr>
    </w:lvl>
    <w:lvl w:ilvl="5" w:tplc="8EA6139E">
      <w:numFmt w:val="bullet"/>
      <w:lvlText w:val="•"/>
      <w:lvlJc w:val="left"/>
      <w:pPr>
        <w:ind w:left="1289" w:hanging="258"/>
      </w:pPr>
      <w:rPr>
        <w:rFonts w:hint="default"/>
        <w:lang w:val="ro-RO" w:eastAsia="en-US" w:bidi="ar-SA"/>
      </w:rPr>
    </w:lvl>
    <w:lvl w:ilvl="6" w:tplc="1298AD0E">
      <w:numFmt w:val="bullet"/>
      <w:lvlText w:val="•"/>
      <w:lvlJc w:val="left"/>
      <w:pPr>
        <w:ind w:left="1543" w:hanging="258"/>
      </w:pPr>
      <w:rPr>
        <w:rFonts w:hint="default"/>
        <w:lang w:val="ro-RO" w:eastAsia="en-US" w:bidi="ar-SA"/>
      </w:rPr>
    </w:lvl>
    <w:lvl w:ilvl="7" w:tplc="77240862">
      <w:numFmt w:val="bullet"/>
      <w:lvlText w:val="•"/>
      <w:lvlJc w:val="left"/>
      <w:pPr>
        <w:ind w:left="1797" w:hanging="258"/>
      </w:pPr>
      <w:rPr>
        <w:rFonts w:hint="default"/>
        <w:lang w:val="ro-RO" w:eastAsia="en-US" w:bidi="ar-SA"/>
      </w:rPr>
    </w:lvl>
    <w:lvl w:ilvl="8" w:tplc="D3700E58">
      <w:numFmt w:val="bullet"/>
      <w:lvlText w:val="•"/>
      <w:lvlJc w:val="left"/>
      <w:pPr>
        <w:ind w:left="2051" w:hanging="258"/>
      </w:pPr>
      <w:rPr>
        <w:rFonts w:hint="default"/>
        <w:lang w:val="ro-RO" w:eastAsia="en-US" w:bidi="ar-SA"/>
      </w:rPr>
    </w:lvl>
  </w:abstractNum>
  <w:abstractNum w:abstractNumId="126" w15:restartNumberingAfterBreak="0">
    <w:nsid w:val="53385429"/>
    <w:multiLevelType w:val="hybridMultilevel"/>
    <w:tmpl w:val="BA6EB46E"/>
    <w:lvl w:ilvl="0" w:tplc="62801D7E">
      <w:start w:val="3"/>
      <w:numFmt w:val="decimal"/>
      <w:lvlText w:val="%1."/>
      <w:lvlJc w:val="left"/>
      <w:pPr>
        <w:ind w:left="828" w:hanging="361"/>
      </w:pPr>
      <w:rPr>
        <w:rFonts w:ascii="Times New Roman" w:eastAsia="Times New Roman" w:hAnsi="Times New Roman" w:cs="Times New Roman" w:hint="default"/>
        <w:w w:val="100"/>
        <w:sz w:val="24"/>
        <w:szCs w:val="24"/>
        <w:lang w:val="ro-RO" w:eastAsia="en-US" w:bidi="ar-SA"/>
      </w:rPr>
    </w:lvl>
    <w:lvl w:ilvl="1" w:tplc="E646C52E">
      <w:numFmt w:val="bullet"/>
      <w:lvlText w:val="•"/>
      <w:lvlJc w:val="left"/>
      <w:pPr>
        <w:ind w:left="1485" w:hanging="361"/>
      </w:pPr>
      <w:rPr>
        <w:rFonts w:hint="default"/>
        <w:lang w:val="ro-RO" w:eastAsia="en-US" w:bidi="ar-SA"/>
      </w:rPr>
    </w:lvl>
    <w:lvl w:ilvl="2" w:tplc="1FA66D5E">
      <w:numFmt w:val="bullet"/>
      <w:lvlText w:val="•"/>
      <w:lvlJc w:val="left"/>
      <w:pPr>
        <w:ind w:left="2150" w:hanging="361"/>
      </w:pPr>
      <w:rPr>
        <w:rFonts w:hint="default"/>
        <w:lang w:val="ro-RO" w:eastAsia="en-US" w:bidi="ar-SA"/>
      </w:rPr>
    </w:lvl>
    <w:lvl w:ilvl="3" w:tplc="4B60000E">
      <w:numFmt w:val="bullet"/>
      <w:lvlText w:val="•"/>
      <w:lvlJc w:val="left"/>
      <w:pPr>
        <w:ind w:left="2815" w:hanging="361"/>
      </w:pPr>
      <w:rPr>
        <w:rFonts w:hint="default"/>
        <w:lang w:val="ro-RO" w:eastAsia="en-US" w:bidi="ar-SA"/>
      </w:rPr>
    </w:lvl>
    <w:lvl w:ilvl="4" w:tplc="88C2F0C4">
      <w:numFmt w:val="bullet"/>
      <w:lvlText w:val="•"/>
      <w:lvlJc w:val="left"/>
      <w:pPr>
        <w:ind w:left="3480" w:hanging="361"/>
      </w:pPr>
      <w:rPr>
        <w:rFonts w:hint="default"/>
        <w:lang w:val="ro-RO" w:eastAsia="en-US" w:bidi="ar-SA"/>
      </w:rPr>
    </w:lvl>
    <w:lvl w:ilvl="5" w:tplc="29C2410E">
      <w:numFmt w:val="bullet"/>
      <w:lvlText w:val="•"/>
      <w:lvlJc w:val="left"/>
      <w:pPr>
        <w:ind w:left="4145" w:hanging="361"/>
      </w:pPr>
      <w:rPr>
        <w:rFonts w:hint="default"/>
        <w:lang w:val="ro-RO" w:eastAsia="en-US" w:bidi="ar-SA"/>
      </w:rPr>
    </w:lvl>
    <w:lvl w:ilvl="6" w:tplc="054A4F38">
      <w:numFmt w:val="bullet"/>
      <w:lvlText w:val="•"/>
      <w:lvlJc w:val="left"/>
      <w:pPr>
        <w:ind w:left="4810" w:hanging="361"/>
      </w:pPr>
      <w:rPr>
        <w:rFonts w:hint="default"/>
        <w:lang w:val="ro-RO" w:eastAsia="en-US" w:bidi="ar-SA"/>
      </w:rPr>
    </w:lvl>
    <w:lvl w:ilvl="7" w:tplc="9AB80026">
      <w:numFmt w:val="bullet"/>
      <w:lvlText w:val="•"/>
      <w:lvlJc w:val="left"/>
      <w:pPr>
        <w:ind w:left="5475" w:hanging="361"/>
      </w:pPr>
      <w:rPr>
        <w:rFonts w:hint="default"/>
        <w:lang w:val="ro-RO" w:eastAsia="en-US" w:bidi="ar-SA"/>
      </w:rPr>
    </w:lvl>
    <w:lvl w:ilvl="8" w:tplc="F7586FA0">
      <w:numFmt w:val="bullet"/>
      <w:lvlText w:val="•"/>
      <w:lvlJc w:val="left"/>
      <w:pPr>
        <w:ind w:left="6140" w:hanging="361"/>
      </w:pPr>
      <w:rPr>
        <w:rFonts w:hint="default"/>
        <w:lang w:val="ro-RO" w:eastAsia="en-US" w:bidi="ar-SA"/>
      </w:rPr>
    </w:lvl>
  </w:abstractNum>
  <w:abstractNum w:abstractNumId="127" w15:restartNumberingAfterBreak="0">
    <w:nsid w:val="53593D50"/>
    <w:multiLevelType w:val="hybridMultilevel"/>
    <w:tmpl w:val="CF32696C"/>
    <w:lvl w:ilvl="0" w:tplc="BE6CDD30">
      <w:numFmt w:val="bullet"/>
      <w:lvlText w:val="-"/>
      <w:lvlJc w:val="left"/>
      <w:pPr>
        <w:ind w:left="36" w:hanging="128"/>
      </w:pPr>
      <w:rPr>
        <w:rFonts w:ascii="Times New Roman" w:eastAsia="Times New Roman" w:hAnsi="Times New Roman" w:cs="Times New Roman" w:hint="default"/>
        <w:w w:val="100"/>
        <w:sz w:val="22"/>
        <w:szCs w:val="22"/>
        <w:lang w:val="ro-RO" w:eastAsia="en-US" w:bidi="ar-SA"/>
      </w:rPr>
    </w:lvl>
    <w:lvl w:ilvl="1" w:tplc="043A8EFE">
      <w:numFmt w:val="bullet"/>
      <w:lvlText w:val="•"/>
      <w:lvlJc w:val="left"/>
      <w:pPr>
        <w:ind w:left="275" w:hanging="128"/>
      </w:pPr>
      <w:rPr>
        <w:rFonts w:hint="default"/>
        <w:lang w:val="ro-RO" w:eastAsia="en-US" w:bidi="ar-SA"/>
      </w:rPr>
    </w:lvl>
    <w:lvl w:ilvl="2" w:tplc="094C0ADA">
      <w:numFmt w:val="bullet"/>
      <w:lvlText w:val="•"/>
      <w:lvlJc w:val="left"/>
      <w:pPr>
        <w:ind w:left="511" w:hanging="128"/>
      </w:pPr>
      <w:rPr>
        <w:rFonts w:hint="default"/>
        <w:lang w:val="ro-RO" w:eastAsia="en-US" w:bidi="ar-SA"/>
      </w:rPr>
    </w:lvl>
    <w:lvl w:ilvl="3" w:tplc="9F0AC4B2">
      <w:numFmt w:val="bullet"/>
      <w:lvlText w:val="•"/>
      <w:lvlJc w:val="left"/>
      <w:pPr>
        <w:ind w:left="747" w:hanging="128"/>
      </w:pPr>
      <w:rPr>
        <w:rFonts w:hint="default"/>
        <w:lang w:val="ro-RO" w:eastAsia="en-US" w:bidi="ar-SA"/>
      </w:rPr>
    </w:lvl>
    <w:lvl w:ilvl="4" w:tplc="5B66CEB4">
      <w:numFmt w:val="bullet"/>
      <w:lvlText w:val="•"/>
      <w:lvlJc w:val="left"/>
      <w:pPr>
        <w:ind w:left="983" w:hanging="128"/>
      </w:pPr>
      <w:rPr>
        <w:rFonts w:hint="default"/>
        <w:lang w:val="ro-RO" w:eastAsia="en-US" w:bidi="ar-SA"/>
      </w:rPr>
    </w:lvl>
    <w:lvl w:ilvl="5" w:tplc="556C9450">
      <w:numFmt w:val="bullet"/>
      <w:lvlText w:val="•"/>
      <w:lvlJc w:val="left"/>
      <w:pPr>
        <w:ind w:left="1219" w:hanging="128"/>
      </w:pPr>
      <w:rPr>
        <w:rFonts w:hint="default"/>
        <w:lang w:val="ro-RO" w:eastAsia="en-US" w:bidi="ar-SA"/>
      </w:rPr>
    </w:lvl>
    <w:lvl w:ilvl="6" w:tplc="2CEA5F74">
      <w:numFmt w:val="bullet"/>
      <w:lvlText w:val="•"/>
      <w:lvlJc w:val="left"/>
      <w:pPr>
        <w:ind w:left="1455" w:hanging="128"/>
      </w:pPr>
      <w:rPr>
        <w:rFonts w:hint="default"/>
        <w:lang w:val="ro-RO" w:eastAsia="en-US" w:bidi="ar-SA"/>
      </w:rPr>
    </w:lvl>
    <w:lvl w:ilvl="7" w:tplc="38325344">
      <w:numFmt w:val="bullet"/>
      <w:lvlText w:val="•"/>
      <w:lvlJc w:val="left"/>
      <w:pPr>
        <w:ind w:left="1691" w:hanging="128"/>
      </w:pPr>
      <w:rPr>
        <w:rFonts w:hint="default"/>
        <w:lang w:val="ro-RO" w:eastAsia="en-US" w:bidi="ar-SA"/>
      </w:rPr>
    </w:lvl>
    <w:lvl w:ilvl="8" w:tplc="B26454D2">
      <w:numFmt w:val="bullet"/>
      <w:lvlText w:val="•"/>
      <w:lvlJc w:val="left"/>
      <w:pPr>
        <w:ind w:left="1927" w:hanging="128"/>
      </w:pPr>
      <w:rPr>
        <w:rFonts w:hint="default"/>
        <w:lang w:val="ro-RO" w:eastAsia="en-US" w:bidi="ar-SA"/>
      </w:rPr>
    </w:lvl>
  </w:abstractNum>
  <w:abstractNum w:abstractNumId="128" w15:restartNumberingAfterBreak="0">
    <w:nsid w:val="539254E4"/>
    <w:multiLevelType w:val="hybridMultilevel"/>
    <w:tmpl w:val="FFB8BFF0"/>
    <w:lvl w:ilvl="0" w:tplc="D8B64EF8">
      <w:numFmt w:val="bullet"/>
      <w:lvlText w:val="-"/>
      <w:lvlJc w:val="left"/>
      <w:pPr>
        <w:ind w:left="107" w:hanging="361"/>
      </w:pPr>
      <w:rPr>
        <w:rFonts w:ascii="Calibri" w:eastAsia="Calibri" w:hAnsi="Calibri" w:cs="Calibri" w:hint="default"/>
        <w:w w:val="100"/>
        <w:sz w:val="24"/>
        <w:szCs w:val="24"/>
        <w:lang w:val="ro-RO" w:eastAsia="en-US" w:bidi="ar-SA"/>
      </w:rPr>
    </w:lvl>
    <w:lvl w:ilvl="1" w:tplc="0A2EF18E">
      <w:numFmt w:val="bullet"/>
      <w:lvlText w:val="•"/>
      <w:lvlJc w:val="left"/>
      <w:pPr>
        <w:ind w:left="837" w:hanging="361"/>
      </w:pPr>
      <w:rPr>
        <w:rFonts w:hint="default"/>
        <w:lang w:val="ro-RO" w:eastAsia="en-US" w:bidi="ar-SA"/>
      </w:rPr>
    </w:lvl>
    <w:lvl w:ilvl="2" w:tplc="559EDFF2">
      <w:numFmt w:val="bullet"/>
      <w:lvlText w:val="•"/>
      <w:lvlJc w:val="left"/>
      <w:pPr>
        <w:ind w:left="1574" w:hanging="361"/>
      </w:pPr>
      <w:rPr>
        <w:rFonts w:hint="default"/>
        <w:lang w:val="ro-RO" w:eastAsia="en-US" w:bidi="ar-SA"/>
      </w:rPr>
    </w:lvl>
    <w:lvl w:ilvl="3" w:tplc="01520090">
      <w:numFmt w:val="bullet"/>
      <w:lvlText w:val="•"/>
      <w:lvlJc w:val="left"/>
      <w:pPr>
        <w:ind w:left="2311" w:hanging="361"/>
      </w:pPr>
      <w:rPr>
        <w:rFonts w:hint="default"/>
        <w:lang w:val="ro-RO" w:eastAsia="en-US" w:bidi="ar-SA"/>
      </w:rPr>
    </w:lvl>
    <w:lvl w:ilvl="4" w:tplc="13A64F8C">
      <w:numFmt w:val="bullet"/>
      <w:lvlText w:val="•"/>
      <w:lvlJc w:val="left"/>
      <w:pPr>
        <w:ind w:left="3048" w:hanging="361"/>
      </w:pPr>
      <w:rPr>
        <w:rFonts w:hint="default"/>
        <w:lang w:val="ro-RO" w:eastAsia="en-US" w:bidi="ar-SA"/>
      </w:rPr>
    </w:lvl>
    <w:lvl w:ilvl="5" w:tplc="2D36E6B4">
      <w:numFmt w:val="bullet"/>
      <w:lvlText w:val="•"/>
      <w:lvlJc w:val="left"/>
      <w:pPr>
        <w:ind w:left="3785" w:hanging="361"/>
      </w:pPr>
      <w:rPr>
        <w:rFonts w:hint="default"/>
        <w:lang w:val="ro-RO" w:eastAsia="en-US" w:bidi="ar-SA"/>
      </w:rPr>
    </w:lvl>
    <w:lvl w:ilvl="6" w:tplc="4314CC1E">
      <w:numFmt w:val="bullet"/>
      <w:lvlText w:val="•"/>
      <w:lvlJc w:val="left"/>
      <w:pPr>
        <w:ind w:left="4522" w:hanging="361"/>
      </w:pPr>
      <w:rPr>
        <w:rFonts w:hint="default"/>
        <w:lang w:val="ro-RO" w:eastAsia="en-US" w:bidi="ar-SA"/>
      </w:rPr>
    </w:lvl>
    <w:lvl w:ilvl="7" w:tplc="4E7074F4">
      <w:numFmt w:val="bullet"/>
      <w:lvlText w:val="•"/>
      <w:lvlJc w:val="left"/>
      <w:pPr>
        <w:ind w:left="5259" w:hanging="361"/>
      </w:pPr>
      <w:rPr>
        <w:rFonts w:hint="default"/>
        <w:lang w:val="ro-RO" w:eastAsia="en-US" w:bidi="ar-SA"/>
      </w:rPr>
    </w:lvl>
    <w:lvl w:ilvl="8" w:tplc="1F2C5E9E">
      <w:numFmt w:val="bullet"/>
      <w:lvlText w:val="•"/>
      <w:lvlJc w:val="left"/>
      <w:pPr>
        <w:ind w:left="5996" w:hanging="361"/>
      </w:pPr>
      <w:rPr>
        <w:rFonts w:hint="default"/>
        <w:lang w:val="ro-RO" w:eastAsia="en-US" w:bidi="ar-SA"/>
      </w:rPr>
    </w:lvl>
  </w:abstractNum>
  <w:abstractNum w:abstractNumId="129" w15:restartNumberingAfterBreak="0">
    <w:nsid w:val="53B92ADE"/>
    <w:multiLevelType w:val="hybridMultilevel"/>
    <w:tmpl w:val="619C20AA"/>
    <w:lvl w:ilvl="0" w:tplc="04090001">
      <w:start w:val="1"/>
      <w:numFmt w:val="bullet"/>
      <w:lvlText w:val=""/>
      <w:lvlJc w:val="left"/>
      <w:pPr>
        <w:tabs>
          <w:tab w:val="num" w:pos="782"/>
        </w:tabs>
        <w:ind w:left="782"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3F51A55"/>
    <w:multiLevelType w:val="hybridMultilevel"/>
    <w:tmpl w:val="CACA2076"/>
    <w:lvl w:ilvl="0" w:tplc="ABF2D4B6">
      <w:numFmt w:val="bullet"/>
      <w:lvlText w:val="-"/>
      <w:lvlJc w:val="left"/>
      <w:pPr>
        <w:ind w:left="828" w:hanging="361"/>
      </w:pPr>
      <w:rPr>
        <w:rFonts w:ascii="Calibri" w:eastAsia="Calibri" w:hAnsi="Calibri" w:cs="Calibri" w:hint="default"/>
        <w:w w:val="100"/>
        <w:sz w:val="24"/>
        <w:szCs w:val="24"/>
        <w:lang w:val="ro-RO" w:eastAsia="en-US" w:bidi="ar-SA"/>
      </w:rPr>
    </w:lvl>
    <w:lvl w:ilvl="1" w:tplc="C596B286">
      <w:numFmt w:val="bullet"/>
      <w:lvlText w:val="•"/>
      <w:lvlJc w:val="left"/>
      <w:pPr>
        <w:ind w:left="1519" w:hanging="361"/>
      </w:pPr>
      <w:rPr>
        <w:rFonts w:hint="default"/>
        <w:lang w:val="ro-RO" w:eastAsia="en-US" w:bidi="ar-SA"/>
      </w:rPr>
    </w:lvl>
    <w:lvl w:ilvl="2" w:tplc="5B32ED32">
      <w:numFmt w:val="bullet"/>
      <w:lvlText w:val="•"/>
      <w:lvlJc w:val="left"/>
      <w:pPr>
        <w:ind w:left="2219" w:hanging="361"/>
      </w:pPr>
      <w:rPr>
        <w:rFonts w:hint="default"/>
        <w:lang w:val="ro-RO" w:eastAsia="en-US" w:bidi="ar-SA"/>
      </w:rPr>
    </w:lvl>
    <w:lvl w:ilvl="3" w:tplc="515EDDA0">
      <w:numFmt w:val="bullet"/>
      <w:lvlText w:val="•"/>
      <w:lvlJc w:val="left"/>
      <w:pPr>
        <w:ind w:left="2918" w:hanging="361"/>
      </w:pPr>
      <w:rPr>
        <w:rFonts w:hint="default"/>
        <w:lang w:val="ro-RO" w:eastAsia="en-US" w:bidi="ar-SA"/>
      </w:rPr>
    </w:lvl>
    <w:lvl w:ilvl="4" w:tplc="0472D272">
      <w:numFmt w:val="bullet"/>
      <w:lvlText w:val="•"/>
      <w:lvlJc w:val="left"/>
      <w:pPr>
        <w:ind w:left="3618" w:hanging="361"/>
      </w:pPr>
      <w:rPr>
        <w:rFonts w:hint="default"/>
        <w:lang w:val="ro-RO" w:eastAsia="en-US" w:bidi="ar-SA"/>
      </w:rPr>
    </w:lvl>
    <w:lvl w:ilvl="5" w:tplc="0E6C92D6">
      <w:numFmt w:val="bullet"/>
      <w:lvlText w:val="•"/>
      <w:lvlJc w:val="left"/>
      <w:pPr>
        <w:ind w:left="4318" w:hanging="361"/>
      </w:pPr>
      <w:rPr>
        <w:rFonts w:hint="default"/>
        <w:lang w:val="ro-RO" w:eastAsia="en-US" w:bidi="ar-SA"/>
      </w:rPr>
    </w:lvl>
    <w:lvl w:ilvl="6" w:tplc="8EDE761A">
      <w:numFmt w:val="bullet"/>
      <w:lvlText w:val="•"/>
      <w:lvlJc w:val="left"/>
      <w:pPr>
        <w:ind w:left="5017" w:hanging="361"/>
      </w:pPr>
      <w:rPr>
        <w:rFonts w:hint="default"/>
        <w:lang w:val="ro-RO" w:eastAsia="en-US" w:bidi="ar-SA"/>
      </w:rPr>
    </w:lvl>
    <w:lvl w:ilvl="7" w:tplc="264EF8FE">
      <w:numFmt w:val="bullet"/>
      <w:lvlText w:val="•"/>
      <w:lvlJc w:val="left"/>
      <w:pPr>
        <w:ind w:left="5717" w:hanging="361"/>
      </w:pPr>
      <w:rPr>
        <w:rFonts w:hint="default"/>
        <w:lang w:val="ro-RO" w:eastAsia="en-US" w:bidi="ar-SA"/>
      </w:rPr>
    </w:lvl>
    <w:lvl w:ilvl="8" w:tplc="D89C8BC0">
      <w:numFmt w:val="bullet"/>
      <w:lvlText w:val="•"/>
      <w:lvlJc w:val="left"/>
      <w:pPr>
        <w:ind w:left="6416" w:hanging="361"/>
      </w:pPr>
      <w:rPr>
        <w:rFonts w:hint="default"/>
        <w:lang w:val="ro-RO" w:eastAsia="en-US" w:bidi="ar-SA"/>
      </w:rPr>
    </w:lvl>
  </w:abstractNum>
  <w:abstractNum w:abstractNumId="131" w15:restartNumberingAfterBreak="0">
    <w:nsid w:val="559A3477"/>
    <w:multiLevelType w:val="hybridMultilevel"/>
    <w:tmpl w:val="CEFE9794"/>
    <w:lvl w:ilvl="0" w:tplc="8F0EAABC">
      <w:numFmt w:val="bullet"/>
      <w:lvlText w:val="-"/>
      <w:lvlJc w:val="left"/>
      <w:pPr>
        <w:ind w:left="24" w:hanging="252"/>
      </w:pPr>
      <w:rPr>
        <w:rFonts w:ascii="Times New Roman" w:eastAsia="Times New Roman" w:hAnsi="Times New Roman" w:cs="Times New Roman" w:hint="default"/>
        <w:w w:val="100"/>
        <w:sz w:val="22"/>
        <w:szCs w:val="22"/>
        <w:lang w:val="ro-RO" w:eastAsia="en-US" w:bidi="ar-SA"/>
      </w:rPr>
    </w:lvl>
    <w:lvl w:ilvl="1" w:tplc="5F7815B6">
      <w:numFmt w:val="bullet"/>
      <w:lvlText w:val="•"/>
      <w:lvlJc w:val="left"/>
      <w:pPr>
        <w:ind w:left="293" w:hanging="252"/>
      </w:pPr>
      <w:rPr>
        <w:rFonts w:hint="default"/>
        <w:lang w:val="ro-RO" w:eastAsia="en-US" w:bidi="ar-SA"/>
      </w:rPr>
    </w:lvl>
    <w:lvl w:ilvl="2" w:tplc="6E22AE88">
      <w:numFmt w:val="bullet"/>
      <w:lvlText w:val="•"/>
      <w:lvlJc w:val="left"/>
      <w:pPr>
        <w:ind w:left="567" w:hanging="252"/>
      </w:pPr>
      <w:rPr>
        <w:rFonts w:hint="default"/>
        <w:lang w:val="ro-RO" w:eastAsia="en-US" w:bidi="ar-SA"/>
      </w:rPr>
    </w:lvl>
    <w:lvl w:ilvl="3" w:tplc="04989C38">
      <w:numFmt w:val="bullet"/>
      <w:lvlText w:val="•"/>
      <w:lvlJc w:val="left"/>
      <w:pPr>
        <w:ind w:left="840" w:hanging="252"/>
      </w:pPr>
      <w:rPr>
        <w:rFonts w:hint="default"/>
        <w:lang w:val="ro-RO" w:eastAsia="en-US" w:bidi="ar-SA"/>
      </w:rPr>
    </w:lvl>
    <w:lvl w:ilvl="4" w:tplc="9572B134">
      <w:numFmt w:val="bullet"/>
      <w:lvlText w:val="•"/>
      <w:lvlJc w:val="left"/>
      <w:pPr>
        <w:ind w:left="1114" w:hanging="252"/>
      </w:pPr>
      <w:rPr>
        <w:rFonts w:hint="default"/>
        <w:lang w:val="ro-RO" w:eastAsia="en-US" w:bidi="ar-SA"/>
      </w:rPr>
    </w:lvl>
    <w:lvl w:ilvl="5" w:tplc="9C141D3C">
      <w:numFmt w:val="bullet"/>
      <w:lvlText w:val="•"/>
      <w:lvlJc w:val="left"/>
      <w:pPr>
        <w:ind w:left="1387" w:hanging="252"/>
      </w:pPr>
      <w:rPr>
        <w:rFonts w:hint="default"/>
        <w:lang w:val="ro-RO" w:eastAsia="en-US" w:bidi="ar-SA"/>
      </w:rPr>
    </w:lvl>
    <w:lvl w:ilvl="6" w:tplc="053C1C90">
      <w:numFmt w:val="bullet"/>
      <w:lvlText w:val="•"/>
      <w:lvlJc w:val="left"/>
      <w:pPr>
        <w:ind w:left="1661" w:hanging="252"/>
      </w:pPr>
      <w:rPr>
        <w:rFonts w:hint="default"/>
        <w:lang w:val="ro-RO" w:eastAsia="en-US" w:bidi="ar-SA"/>
      </w:rPr>
    </w:lvl>
    <w:lvl w:ilvl="7" w:tplc="36D858D2">
      <w:numFmt w:val="bullet"/>
      <w:lvlText w:val="•"/>
      <w:lvlJc w:val="left"/>
      <w:pPr>
        <w:ind w:left="1934" w:hanging="252"/>
      </w:pPr>
      <w:rPr>
        <w:rFonts w:hint="default"/>
        <w:lang w:val="ro-RO" w:eastAsia="en-US" w:bidi="ar-SA"/>
      </w:rPr>
    </w:lvl>
    <w:lvl w:ilvl="8" w:tplc="F79EF002">
      <w:numFmt w:val="bullet"/>
      <w:lvlText w:val="•"/>
      <w:lvlJc w:val="left"/>
      <w:pPr>
        <w:ind w:left="2208" w:hanging="252"/>
      </w:pPr>
      <w:rPr>
        <w:rFonts w:hint="default"/>
        <w:lang w:val="ro-RO" w:eastAsia="en-US" w:bidi="ar-SA"/>
      </w:rPr>
    </w:lvl>
  </w:abstractNum>
  <w:abstractNum w:abstractNumId="132" w15:restartNumberingAfterBreak="0">
    <w:nsid w:val="56350032"/>
    <w:multiLevelType w:val="hybridMultilevel"/>
    <w:tmpl w:val="6A5E2654"/>
    <w:lvl w:ilvl="0" w:tplc="AE2E8906">
      <w:numFmt w:val="bullet"/>
      <w:lvlText w:val="-"/>
      <w:lvlJc w:val="left"/>
      <w:pPr>
        <w:ind w:left="22" w:hanging="258"/>
      </w:pPr>
      <w:rPr>
        <w:rFonts w:ascii="Times New Roman" w:eastAsia="Times New Roman" w:hAnsi="Times New Roman" w:cs="Times New Roman" w:hint="default"/>
        <w:w w:val="100"/>
        <w:sz w:val="22"/>
        <w:szCs w:val="22"/>
        <w:lang w:val="ro-RO" w:eastAsia="en-US" w:bidi="ar-SA"/>
      </w:rPr>
    </w:lvl>
    <w:lvl w:ilvl="1" w:tplc="2AA09C8A">
      <w:numFmt w:val="bullet"/>
      <w:lvlText w:val="•"/>
      <w:lvlJc w:val="left"/>
      <w:pPr>
        <w:ind w:left="273" w:hanging="258"/>
      </w:pPr>
      <w:rPr>
        <w:rFonts w:hint="default"/>
        <w:lang w:val="ro-RO" w:eastAsia="en-US" w:bidi="ar-SA"/>
      </w:rPr>
    </w:lvl>
    <w:lvl w:ilvl="2" w:tplc="F16C56E6">
      <w:numFmt w:val="bullet"/>
      <w:lvlText w:val="•"/>
      <w:lvlJc w:val="left"/>
      <w:pPr>
        <w:ind w:left="527" w:hanging="258"/>
      </w:pPr>
      <w:rPr>
        <w:rFonts w:hint="default"/>
        <w:lang w:val="ro-RO" w:eastAsia="en-US" w:bidi="ar-SA"/>
      </w:rPr>
    </w:lvl>
    <w:lvl w:ilvl="3" w:tplc="35FC6532">
      <w:numFmt w:val="bullet"/>
      <w:lvlText w:val="•"/>
      <w:lvlJc w:val="left"/>
      <w:pPr>
        <w:ind w:left="781" w:hanging="258"/>
      </w:pPr>
      <w:rPr>
        <w:rFonts w:hint="default"/>
        <w:lang w:val="ro-RO" w:eastAsia="en-US" w:bidi="ar-SA"/>
      </w:rPr>
    </w:lvl>
    <w:lvl w:ilvl="4" w:tplc="B4C20708">
      <w:numFmt w:val="bullet"/>
      <w:lvlText w:val="•"/>
      <w:lvlJc w:val="left"/>
      <w:pPr>
        <w:ind w:left="1035" w:hanging="258"/>
      </w:pPr>
      <w:rPr>
        <w:rFonts w:hint="default"/>
        <w:lang w:val="ro-RO" w:eastAsia="en-US" w:bidi="ar-SA"/>
      </w:rPr>
    </w:lvl>
    <w:lvl w:ilvl="5" w:tplc="335A5F52">
      <w:numFmt w:val="bullet"/>
      <w:lvlText w:val="•"/>
      <w:lvlJc w:val="left"/>
      <w:pPr>
        <w:ind w:left="1289" w:hanging="258"/>
      </w:pPr>
      <w:rPr>
        <w:rFonts w:hint="default"/>
        <w:lang w:val="ro-RO" w:eastAsia="en-US" w:bidi="ar-SA"/>
      </w:rPr>
    </w:lvl>
    <w:lvl w:ilvl="6" w:tplc="217AA902">
      <w:numFmt w:val="bullet"/>
      <w:lvlText w:val="•"/>
      <w:lvlJc w:val="left"/>
      <w:pPr>
        <w:ind w:left="1543" w:hanging="258"/>
      </w:pPr>
      <w:rPr>
        <w:rFonts w:hint="default"/>
        <w:lang w:val="ro-RO" w:eastAsia="en-US" w:bidi="ar-SA"/>
      </w:rPr>
    </w:lvl>
    <w:lvl w:ilvl="7" w:tplc="399462FC">
      <w:numFmt w:val="bullet"/>
      <w:lvlText w:val="•"/>
      <w:lvlJc w:val="left"/>
      <w:pPr>
        <w:ind w:left="1797" w:hanging="258"/>
      </w:pPr>
      <w:rPr>
        <w:rFonts w:hint="default"/>
        <w:lang w:val="ro-RO" w:eastAsia="en-US" w:bidi="ar-SA"/>
      </w:rPr>
    </w:lvl>
    <w:lvl w:ilvl="8" w:tplc="C4045A68">
      <w:numFmt w:val="bullet"/>
      <w:lvlText w:val="•"/>
      <w:lvlJc w:val="left"/>
      <w:pPr>
        <w:ind w:left="2051" w:hanging="258"/>
      </w:pPr>
      <w:rPr>
        <w:rFonts w:hint="default"/>
        <w:lang w:val="ro-RO" w:eastAsia="en-US" w:bidi="ar-SA"/>
      </w:rPr>
    </w:lvl>
  </w:abstractNum>
  <w:abstractNum w:abstractNumId="133" w15:restartNumberingAfterBreak="0">
    <w:nsid w:val="56705857"/>
    <w:multiLevelType w:val="hybridMultilevel"/>
    <w:tmpl w:val="7DDE2594"/>
    <w:lvl w:ilvl="0" w:tplc="19C4C356">
      <w:numFmt w:val="bullet"/>
      <w:lvlText w:val="-"/>
      <w:lvlJc w:val="left"/>
      <w:pPr>
        <w:ind w:left="24" w:hanging="252"/>
      </w:pPr>
      <w:rPr>
        <w:rFonts w:ascii="Times New Roman" w:eastAsia="Times New Roman" w:hAnsi="Times New Roman" w:cs="Times New Roman" w:hint="default"/>
        <w:w w:val="100"/>
        <w:sz w:val="22"/>
        <w:szCs w:val="22"/>
        <w:lang w:val="ro-RO" w:eastAsia="en-US" w:bidi="ar-SA"/>
      </w:rPr>
    </w:lvl>
    <w:lvl w:ilvl="1" w:tplc="6CC668CE">
      <w:numFmt w:val="bullet"/>
      <w:lvlText w:val="•"/>
      <w:lvlJc w:val="left"/>
      <w:pPr>
        <w:ind w:left="272" w:hanging="252"/>
      </w:pPr>
      <w:rPr>
        <w:rFonts w:hint="default"/>
        <w:lang w:val="ro-RO" w:eastAsia="en-US" w:bidi="ar-SA"/>
      </w:rPr>
    </w:lvl>
    <w:lvl w:ilvl="2" w:tplc="20524D9A">
      <w:numFmt w:val="bullet"/>
      <w:lvlText w:val="•"/>
      <w:lvlJc w:val="left"/>
      <w:pPr>
        <w:ind w:left="524" w:hanging="252"/>
      </w:pPr>
      <w:rPr>
        <w:rFonts w:hint="default"/>
        <w:lang w:val="ro-RO" w:eastAsia="en-US" w:bidi="ar-SA"/>
      </w:rPr>
    </w:lvl>
    <w:lvl w:ilvl="3" w:tplc="6966D9F8">
      <w:numFmt w:val="bullet"/>
      <w:lvlText w:val="•"/>
      <w:lvlJc w:val="left"/>
      <w:pPr>
        <w:ind w:left="776" w:hanging="252"/>
      </w:pPr>
      <w:rPr>
        <w:rFonts w:hint="default"/>
        <w:lang w:val="ro-RO" w:eastAsia="en-US" w:bidi="ar-SA"/>
      </w:rPr>
    </w:lvl>
    <w:lvl w:ilvl="4" w:tplc="77A69B38">
      <w:numFmt w:val="bullet"/>
      <w:lvlText w:val="•"/>
      <w:lvlJc w:val="left"/>
      <w:pPr>
        <w:ind w:left="1028" w:hanging="252"/>
      </w:pPr>
      <w:rPr>
        <w:rFonts w:hint="default"/>
        <w:lang w:val="ro-RO" w:eastAsia="en-US" w:bidi="ar-SA"/>
      </w:rPr>
    </w:lvl>
    <w:lvl w:ilvl="5" w:tplc="23E21F2A">
      <w:numFmt w:val="bullet"/>
      <w:lvlText w:val="•"/>
      <w:lvlJc w:val="left"/>
      <w:pPr>
        <w:ind w:left="1281" w:hanging="252"/>
      </w:pPr>
      <w:rPr>
        <w:rFonts w:hint="default"/>
        <w:lang w:val="ro-RO" w:eastAsia="en-US" w:bidi="ar-SA"/>
      </w:rPr>
    </w:lvl>
    <w:lvl w:ilvl="6" w:tplc="09B836AC">
      <w:numFmt w:val="bullet"/>
      <w:lvlText w:val="•"/>
      <w:lvlJc w:val="left"/>
      <w:pPr>
        <w:ind w:left="1533" w:hanging="252"/>
      </w:pPr>
      <w:rPr>
        <w:rFonts w:hint="default"/>
        <w:lang w:val="ro-RO" w:eastAsia="en-US" w:bidi="ar-SA"/>
      </w:rPr>
    </w:lvl>
    <w:lvl w:ilvl="7" w:tplc="CF267FEC">
      <w:numFmt w:val="bullet"/>
      <w:lvlText w:val="•"/>
      <w:lvlJc w:val="left"/>
      <w:pPr>
        <w:ind w:left="1785" w:hanging="252"/>
      </w:pPr>
      <w:rPr>
        <w:rFonts w:hint="default"/>
        <w:lang w:val="ro-RO" w:eastAsia="en-US" w:bidi="ar-SA"/>
      </w:rPr>
    </w:lvl>
    <w:lvl w:ilvl="8" w:tplc="012C308C">
      <w:numFmt w:val="bullet"/>
      <w:lvlText w:val="•"/>
      <w:lvlJc w:val="left"/>
      <w:pPr>
        <w:ind w:left="2037" w:hanging="252"/>
      </w:pPr>
      <w:rPr>
        <w:rFonts w:hint="default"/>
        <w:lang w:val="ro-RO" w:eastAsia="en-US" w:bidi="ar-SA"/>
      </w:rPr>
    </w:lvl>
  </w:abstractNum>
  <w:abstractNum w:abstractNumId="134" w15:restartNumberingAfterBreak="0">
    <w:nsid w:val="57D43B72"/>
    <w:multiLevelType w:val="hybridMultilevel"/>
    <w:tmpl w:val="94282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7D5525E"/>
    <w:multiLevelType w:val="hybridMultilevel"/>
    <w:tmpl w:val="D24A059A"/>
    <w:lvl w:ilvl="0" w:tplc="6AC0D1A2">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6" w15:restartNumberingAfterBreak="0">
    <w:nsid w:val="58894F93"/>
    <w:multiLevelType w:val="multilevel"/>
    <w:tmpl w:val="F6B05AF0"/>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7" w15:restartNumberingAfterBreak="0">
    <w:nsid w:val="58C24B1D"/>
    <w:multiLevelType w:val="hybridMultilevel"/>
    <w:tmpl w:val="9E6E600C"/>
    <w:lvl w:ilvl="0" w:tplc="1FBE2504">
      <w:numFmt w:val="bullet"/>
      <w:lvlText w:val="-"/>
      <w:lvlJc w:val="left"/>
      <w:pPr>
        <w:ind w:left="34" w:hanging="204"/>
      </w:pPr>
      <w:rPr>
        <w:rFonts w:ascii="Times New Roman" w:eastAsia="Times New Roman" w:hAnsi="Times New Roman" w:cs="Times New Roman" w:hint="default"/>
        <w:w w:val="100"/>
        <w:sz w:val="22"/>
        <w:szCs w:val="22"/>
        <w:lang w:val="ro-RO" w:eastAsia="en-US" w:bidi="ar-SA"/>
      </w:rPr>
    </w:lvl>
    <w:lvl w:ilvl="1" w:tplc="97AE7284">
      <w:numFmt w:val="bullet"/>
      <w:lvlText w:val="•"/>
      <w:lvlJc w:val="left"/>
      <w:pPr>
        <w:ind w:left="292" w:hanging="204"/>
      </w:pPr>
      <w:rPr>
        <w:rFonts w:hint="default"/>
        <w:lang w:val="ro-RO" w:eastAsia="en-US" w:bidi="ar-SA"/>
      </w:rPr>
    </w:lvl>
    <w:lvl w:ilvl="2" w:tplc="9C201F24">
      <w:numFmt w:val="bullet"/>
      <w:lvlText w:val="•"/>
      <w:lvlJc w:val="left"/>
      <w:pPr>
        <w:ind w:left="544" w:hanging="204"/>
      </w:pPr>
      <w:rPr>
        <w:rFonts w:hint="default"/>
        <w:lang w:val="ro-RO" w:eastAsia="en-US" w:bidi="ar-SA"/>
      </w:rPr>
    </w:lvl>
    <w:lvl w:ilvl="3" w:tplc="EBD00FD8">
      <w:numFmt w:val="bullet"/>
      <w:lvlText w:val="•"/>
      <w:lvlJc w:val="left"/>
      <w:pPr>
        <w:ind w:left="796" w:hanging="204"/>
      </w:pPr>
      <w:rPr>
        <w:rFonts w:hint="default"/>
        <w:lang w:val="ro-RO" w:eastAsia="en-US" w:bidi="ar-SA"/>
      </w:rPr>
    </w:lvl>
    <w:lvl w:ilvl="4" w:tplc="35345EB0">
      <w:numFmt w:val="bullet"/>
      <w:lvlText w:val="•"/>
      <w:lvlJc w:val="left"/>
      <w:pPr>
        <w:ind w:left="1049" w:hanging="204"/>
      </w:pPr>
      <w:rPr>
        <w:rFonts w:hint="default"/>
        <w:lang w:val="ro-RO" w:eastAsia="en-US" w:bidi="ar-SA"/>
      </w:rPr>
    </w:lvl>
    <w:lvl w:ilvl="5" w:tplc="F01883FE">
      <w:numFmt w:val="bullet"/>
      <w:lvlText w:val="•"/>
      <w:lvlJc w:val="left"/>
      <w:pPr>
        <w:ind w:left="1301" w:hanging="204"/>
      </w:pPr>
      <w:rPr>
        <w:rFonts w:hint="default"/>
        <w:lang w:val="ro-RO" w:eastAsia="en-US" w:bidi="ar-SA"/>
      </w:rPr>
    </w:lvl>
    <w:lvl w:ilvl="6" w:tplc="41E430A6">
      <w:numFmt w:val="bullet"/>
      <w:lvlText w:val="•"/>
      <w:lvlJc w:val="left"/>
      <w:pPr>
        <w:ind w:left="1553" w:hanging="204"/>
      </w:pPr>
      <w:rPr>
        <w:rFonts w:hint="default"/>
        <w:lang w:val="ro-RO" w:eastAsia="en-US" w:bidi="ar-SA"/>
      </w:rPr>
    </w:lvl>
    <w:lvl w:ilvl="7" w:tplc="9EA81834">
      <w:numFmt w:val="bullet"/>
      <w:lvlText w:val="•"/>
      <w:lvlJc w:val="left"/>
      <w:pPr>
        <w:ind w:left="1806" w:hanging="204"/>
      </w:pPr>
      <w:rPr>
        <w:rFonts w:hint="default"/>
        <w:lang w:val="ro-RO" w:eastAsia="en-US" w:bidi="ar-SA"/>
      </w:rPr>
    </w:lvl>
    <w:lvl w:ilvl="8" w:tplc="E69A57A4">
      <w:numFmt w:val="bullet"/>
      <w:lvlText w:val="•"/>
      <w:lvlJc w:val="left"/>
      <w:pPr>
        <w:ind w:left="2058" w:hanging="204"/>
      </w:pPr>
      <w:rPr>
        <w:rFonts w:hint="default"/>
        <w:lang w:val="ro-RO" w:eastAsia="en-US" w:bidi="ar-SA"/>
      </w:rPr>
    </w:lvl>
  </w:abstractNum>
  <w:abstractNum w:abstractNumId="138" w15:restartNumberingAfterBreak="0">
    <w:nsid w:val="590852A3"/>
    <w:multiLevelType w:val="multilevel"/>
    <w:tmpl w:val="3B9AD6BE"/>
    <w:lvl w:ilvl="0">
      <w:start w:val="2"/>
      <w:numFmt w:val="decimal"/>
      <w:lvlText w:val="%1."/>
      <w:lvlJc w:val="left"/>
      <w:pPr>
        <w:ind w:left="293" w:hanging="293"/>
      </w:pPr>
      <w:rPr>
        <w:rFonts w:ascii="Times New Roman" w:eastAsia="Times New Roman" w:hAnsi="Times New Roman" w:cs="Times New Roman" w:hint="default"/>
        <w:b/>
        <w:bCs/>
        <w:w w:val="100"/>
        <w:sz w:val="24"/>
        <w:szCs w:val="24"/>
      </w:rPr>
    </w:lvl>
    <w:lvl w:ilvl="1">
      <w:start w:val="2"/>
      <w:numFmt w:val="decimal"/>
      <w:lvlText w:val="%2."/>
      <w:lvlJc w:val="left"/>
      <w:pPr>
        <w:ind w:left="1260" w:hanging="360"/>
      </w:pPr>
      <w:rPr>
        <w:rFonts w:ascii="Times New Roman" w:eastAsia="Cambria" w:hAnsi="Times New Roman" w:cs="Times New Roman" w:hint="default"/>
        <w:b/>
        <w:bCs/>
        <w:color w:val="auto"/>
        <w:w w:val="99"/>
        <w:sz w:val="24"/>
        <w:szCs w:val="24"/>
      </w:rPr>
    </w:lvl>
    <w:lvl w:ilvl="2">
      <w:start w:val="3"/>
      <w:numFmt w:val="upperRoman"/>
      <w:lvlText w:val="%3.2.1"/>
      <w:lvlJc w:val="left"/>
      <w:pPr>
        <w:ind w:left="1527" w:hanging="447"/>
      </w:pPr>
      <w:rPr>
        <w:rFonts w:hint="default"/>
        <w:b/>
        <w:bCs/>
        <w:spacing w:val="-1"/>
        <w:w w:val="100"/>
        <w:sz w:val="24"/>
        <w:szCs w:val="24"/>
      </w:rPr>
    </w:lvl>
    <w:lvl w:ilvl="3">
      <w:start w:val="1"/>
      <w:numFmt w:val="decimal"/>
      <w:lvlText w:val="%4."/>
      <w:lvlJc w:val="left"/>
      <w:pPr>
        <w:ind w:left="293" w:hanging="245"/>
      </w:pPr>
      <w:rPr>
        <w:rFonts w:ascii="Times New Roman" w:eastAsia="Times New Roman" w:hAnsi="Times New Roman" w:cs="Times New Roman" w:hint="default"/>
        <w:w w:val="100"/>
        <w:sz w:val="24"/>
        <w:szCs w:val="24"/>
      </w:rPr>
    </w:lvl>
    <w:lvl w:ilvl="4">
      <w:numFmt w:val="bullet"/>
      <w:lvlText w:val="•"/>
      <w:lvlJc w:val="left"/>
      <w:pPr>
        <w:ind w:left="3431" w:hanging="245"/>
      </w:pPr>
      <w:rPr>
        <w:rFonts w:hint="default"/>
      </w:rPr>
    </w:lvl>
    <w:lvl w:ilvl="5">
      <w:numFmt w:val="bullet"/>
      <w:lvlText w:val="•"/>
      <w:lvlJc w:val="left"/>
      <w:pPr>
        <w:ind w:left="4557" w:hanging="245"/>
      </w:pPr>
      <w:rPr>
        <w:rFonts w:hint="default"/>
      </w:rPr>
    </w:lvl>
    <w:lvl w:ilvl="6">
      <w:numFmt w:val="bullet"/>
      <w:lvlText w:val="•"/>
      <w:lvlJc w:val="left"/>
      <w:pPr>
        <w:ind w:left="5683" w:hanging="245"/>
      </w:pPr>
      <w:rPr>
        <w:rFonts w:hint="default"/>
      </w:rPr>
    </w:lvl>
    <w:lvl w:ilvl="7">
      <w:numFmt w:val="bullet"/>
      <w:lvlText w:val="•"/>
      <w:lvlJc w:val="left"/>
      <w:pPr>
        <w:ind w:left="6809" w:hanging="245"/>
      </w:pPr>
      <w:rPr>
        <w:rFonts w:hint="default"/>
      </w:rPr>
    </w:lvl>
    <w:lvl w:ilvl="8">
      <w:numFmt w:val="bullet"/>
      <w:lvlText w:val="•"/>
      <w:lvlJc w:val="left"/>
      <w:pPr>
        <w:ind w:left="7934" w:hanging="245"/>
      </w:pPr>
      <w:rPr>
        <w:rFonts w:hint="default"/>
      </w:rPr>
    </w:lvl>
  </w:abstractNum>
  <w:abstractNum w:abstractNumId="139" w15:restartNumberingAfterBreak="0">
    <w:nsid w:val="59210773"/>
    <w:multiLevelType w:val="hybridMultilevel"/>
    <w:tmpl w:val="DA883BE4"/>
    <w:lvl w:ilvl="0" w:tplc="2C062B00">
      <w:numFmt w:val="bullet"/>
      <w:lvlText w:val="-"/>
      <w:lvlJc w:val="left"/>
      <w:pPr>
        <w:ind w:left="713" w:hanging="360"/>
      </w:pPr>
      <w:rPr>
        <w:rFonts w:ascii="Calibri" w:eastAsia="Calibri" w:hAnsi="Calibri" w:cs="Calibri" w:hint="default"/>
        <w:w w:val="100"/>
        <w:sz w:val="24"/>
        <w:szCs w:val="24"/>
        <w:lang w:val="ro-RO" w:eastAsia="en-US" w:bidi="ar-SA"/>
      </w:rPr>
    </w:lvl>
    <w:lvl w:ilvl="1" w:tplc="07A8F702">
      <w:numFmt w:val="bullet"/>
      <w:lvlText w:val="•"/>
      <w:lvlJc w:val="left"/>
      <w:pPr>
        <w:ind w:left="1666" w:hanging="360"/>
      </w:pPr>
      <w:rPr>
        <w:rFonts w:hint="default"/>
        <w:lang w:val="ro-RO" w:eastAsia="en-US" w:bidi="ar-SA"/>
      </w:rPr>
    </w:lvl>
    <w:lvl w:ilvl="2" w:tplc="C3E02416">
      <w:numFmt w:val="bullet"/>
      <w:lvlText w:val="•"/>
      <w:lvlJc w:val="left"/>
      <w:pPr>
        <w:ind w:left="2613" w:hanging="360"/>
      </w:pPr>
      <w:rPr>
        <w:rFonts w:hint="default"/>
        <w:lang w:val="ro-RO" w:eastAsia="en-US" w:bidi="ar-SA"/>
      </w:rPr>
    </w:lvl>
    <w:lvl w:ilvl="3" w:tplc="E1424652">
      <w:numFmt w:val="bullet"/>
      <w:lvlText w:val="•"/>
      <w:lvlJc w:val="left"/>
      <w:pPr>
        <w:ind w:left="3559" w:hanging="360"/>
      </w:pPr>
      <w:rPr>
        <w:rFonts w:hint="default"/>
        <w:lang w:val="ro-RO" w:eastAsia="en-US" w:bidi="ar-SA"/>
      </w:rPr>
    </w:lvl>
    <w:lvl w:ilvl="4" w:tplc="0F38408A">
      <w:numFmt w:val="bullet"/>
      <w:lvlText w:val="•"/>
      <w:lvlJc w:val="left"/>
      <w:pPr>
        <w:ind w:left="4506" w:hanging="360"/>
      </w:pPr>
      <w:rPr>
        <w:rFonts w:hint="default"/>
        <w:lang w:val="ro-RO" w:eastAsia="en-US" w:bidi="ar-SA"/>
      </w:rPr>
    </w:lvl>
    <w:lvl w:ilvl="5" w:tplc="79F40C4E">
      <w:numFmt w:val="bullet"/>
      <w:lvlText w:val="•"/>
      <w:lvlJc w:val="left"/>
      <w:pPr>
        <w:ind w:left="5453" w:hanging="360"/>
      </w:pPr>
      <w:rPr>
        <w:rFonts w:hint="default"/>
        <w:lang w:val="ro-RO" w:eastAsia="en-US" w:bidi="ar-SA"/>
      </w:rPr>
    </w:lvl>
    <w:lvl w:ilvl="6" w:tplc="76982FC6">
      <w:numFmt w:val="bullet"/>
      <w:lvlText w:val="•"/>
      <w:lvlJc w:val="left"/>
      <w:pPr>
        <w:ind w:left="6399" w:hanging="360"/>
      </w:pPr>
      <w:rPr>
        <w:rFonts w:hint="default"/>
        <w:lang w:val="ro-RO" w:eastAsia="en-US" w:bidi="ar-SA"/>
      </w:rPr>
    </w:lvl>
    <w:lvl w:ilvl="7" w:tplc="05C8078E">
      <w:numFmt w:val="bullet"/>
      <w:lvlText w:val="•"/>
      <w:lvlJc w:val="left"/>
      <w:pPr>
        <w:ind w:left="7346" w:hanging="360"/>
      </w:pPr>
      <w:rPr>
        <w:rFonts w:hint="default"/>
        <w:lang w:val="ro-RO" w:eastAsia="en-US" w:bidi="ar-SA"/>
      </w:rPr>
    </w:lvl>
    <w:lvl w:ilvl="8" w:tplc="4DFE967A">
      <w:numFmt w:val="bullet"/>
      <w:lvlText w:val="•"/>
      <w:lvlJc w:val="left"/>
      <w:pPr>
        <w:ind w:left="8293" w:hanging="360"/>
      </w:pPr>
      <w:rPr>
        <w:rFonts w:hint="default"/>
        <w:lang w:val="ro-RO" w:eastAsia="en-US" w:bidi="ar-SA"/>
      </w:rPr>
    </w:lvl>
  </w:abstractNum>
  <w:abstractNum w:abstractNumId="140" w15:restartNumberingAfterBreak="0">
    <w:nsid w:val="594E50F7"/>
    <w:multiLevelType w:val="hybridMultilevel"/>
    <w:tmpl w:val="BB040432"/>
    <w:lvl w:ilvl="0" w:tplc="5D388BAC">
      <w:numFmt w:val="bullet"/>
      <w:lvlText w:val=""/>
      <w:lvlJc w:val="left"/>
      <w:pPr>
        <w:ind w:left="859" w:hanging="284"/>
      </w:pPr>
      <w:rPr>
        <w:rFonts w:ascii="Wingdings" w:eastAsia="Wingdings" w:hAnsi="Wingdings" w:cs="Wingdings" w:hint="default"/>
        <w:w w:val="100"/>
        <w:sz w:val="24"/>
        <w:szCs w:val="24"/>
        <w:lang w:val="ro-RO" w:eastAsia="en-US" w:bidi="ar-SA"/>
      </w:rPr>
    </w:lvl>
    <w:lvl w:ilvl="1" w:tplc="AE58D85C">
      <w:numFmt w:val="bullet"/>
      <w:lvlText w:val=""/>
      <w:lvlJc w:val="left"/>
      <w:pPr>
        <w:ind w:left="1145" w:hanging="286"/>
      </w:pPr>
      <w:rPr>
        <w:rFonts w:ascii="Wingdings" w:eastAsia="Wingdings" w:hAnsi="Wingdings" w:cs="Wingdings" w:hint="default"/>
        <w:w w:val="100"/>
        <w:sz w:val="24"/>
        <w:szCs w:val="24"/>
        <w:lang w:val="ro-RO" w:eastAsia="en-US" w:bidi="ar-SA"/>
      </w:rPr>
    </w:lvl>
    <w:lvl w:ilvl="2" w:tplc="F17E20A2">
      <w:numFmt w:val="bullet"/>
      <w:lvlText w:val="•"/>
      <w:lvlJc w:val="left"/>
      <w:pPr>
        <w:ind w:left="2145" w:hanging="286"/>
      </w:pPr>
      <w:rPr>
        <w:rFonts w:hint="default"/>
        <w:lang w:val="ro-RO" w:eastAsia="en-US" w:bidi="ar-SA"/>
      </w:rPr>
    </w:lvl>
    <w:lvl w:ilvl="3" w:tplc="40A088B0">
      <w:numFmt w:val="bullet"/>
      <w:lvlText w:val="•"/>
      <w:lvlJc w:val="left"/>
      <w:pPr>
        <w:ind w:left="3150" w:hanging="286"/>
      </w:pPr>
      <w:rPr>
        <w:rFonts w:hint="default"/>
        <w:lang w:val="ro-RO" w:eastAsia="en-US" w:bidi="ar-SA"/>
      </w:rPr>
    </w:lvl>
    <w:lvl w:ilvl="4" w:tplc="3148F322">
      <w:numFmt w:val="bullet"/>
      <w:lvlText w:val="•"/>
      <w:lvlJc w:val="left"/>
      <w:pPr>
        <w:ind w:left="4155" w:hanging="286"/>
      </w:pPr>
      <w:rPr>
        <w:rFonts w:hint="default"/>
        <w:lang w:val="ro-RO" w:eastAsia="en-US" w:bidi="ar-SA"/>
      </w:rPr>
    </w:lvl>
    <w:lvl w:ilvl="5" w:tplc="F214A7D4">
      <w:numFmt w:val="bullet"/>
      <w:lvlText w:val="•"/>
      <w:lvlJc w:val="left"/>
      <w:pPr>
        <w:ind w:left="5160" w:hanging="286"/>
      </w:pPr>
      <w:rPr>
        <w:rFonts w:hint="default"/>
        <w:lang w:val="ro-RO" w:eastAsia="en-US" w:bidi="ar-SA"/>
      </w:rPr>
    </w:lvl>
    <w:lvl w:ilvl="6" w:tplc="FDCABF0E">
      <w:numFmt w:val="bullet"/>
      <w:lvlText w:val="•"/>
      <w:lvlJc w:val="left"/>
      <w:pPr>
        <w:ind w:left="6165" w:hanging="286"/>
      </w:pPr>
      <w:rPr>
        <w:rFonts w:hint="default"/>
        <w:lang w:val="ro-RO" w:eastAsia="en-US" w:bidi="ar-SA"/>
      </w:rPr>
    </w:lvl>
    <w:lvl w:ilvl="7" w:tplc="21E2254E">
      <w:numFmt w:val="bullet"/>
      <w:lvlText w:val="•"/>
      <w:lvlJc w:val="left"/>
      <w:pPr>
        <w:ind w:left="7170" w:hanging="286"/>
      </w:pPr>
      <w:rPr>
        <w:rFonts w:hint="default"/>
        <w:lang w:val="ro-RO" w:eastAsia="en-US" w:bidi="ar-SA"/>
      </w:rPr>
    </w:lvl>
    <w:lvl w:ilvl="8" w:tplc="AC408A18">
      <w:numFmt w:val="bullet"/>
      <w:lvlText w:val="•"/>
      <w:lvlJc w:val="left"/>
      <w:pPr>
        <w:ind w:left="8176" w:hanging="286"/>
      </w:pPr>
      <w:rPr>
        <w:rFonts w:hint="default"/>
        <w:lang w:val="ro-RO" w:eastAsia="en-US" w:bidi="ar-SA"/>
      </w:rPr>
    </w:lvl>
  </w:abstractNum>
  <w:abstractNum w:abstractNumId="141" w15:restartNumberingAfterBreak="0">
    <w:nsid w:val="5AA244AB"/>
    <w:multiLevelType w:val="hybridMultilevel"/>
    <w:tmpl w:val="3A2AC122"/>
    <w:lvl w:ilvl="0" w:tplc="DB76EF98">
      <w:numFmt w:val="bullet"/>
      <w:lvlText w:val="-"/>
      <w:lvlJc w:val="left"/>
      <w:pPr>
        <w:ind w:left="1152" w:hanging="144"/>
      </w:pPr>
      <w:rPr>
        <w:rFonts w:ascii="Tahoma" w:eastAsia="Tahoma" w:hAnsi="Tahoma" w:cs="Tahoma" w:hint="default"/>
        <w:w w:val="100"/>
        <w:sz w:val="24"/>
        <w:szCs w:val="24"/>
        <w:lang w:val="ro-RO" w:eastAsia="en-US" w:bidi="ar-SA"/>
      </w:rPr>
    </w:lvl>
    <w:lvl w:ilvl="1" w:tplc="426467A4">
      <w:numFmt w:val="bullet"/>
      <w:lvlText w:val="•"/>
      <w:lvlJc w:val="left"/>
      <w:pPr>
        <w:ind w:left="2106" w:hanging="144"/>
      </w:pPr>
      <w:rPr>
        <w:rFonts w:hint="default"/>
        <w:lang w:val="ro-RO" w:eastAsia="en-US" w:bidi="ar-SA"/>
      </w:rPr>
    </w:lvl>
    <w:lvl w:ilvl="2" w:tplc="83329A22">
      <w:numFmt w:val="bullet"/>
      <w:lvlText w:val="•"/>
      <w:lvlJc w:val="left"/>
      <w:pPr>
        <w:ind w:left="3052" w:hanging="144"/>
      </w:pPr>
      <w:rPr>
        <w:rFonts w:hint="default"/>
        <w:lang w:val="ro-RO" w:eastAsia="en-US" w:bidi="ar-SA"/>
      </w:rPr>
    </w:lvl>
    <w:lvl w:ilvl="3" w:tplc="76FAC1A8">
      <w:numFmt w:val="bullet"/>
      <w:lvlText w:val="•"/>
      <w:lvlJc w:val="left"/>
      <w:pPr>
        <w:ind w:left="3998" w:hanging="144"/>
      </w:pPr>
      <w:rPr>
        <w:rFonts w:hint="default"/>
        <w:lang w:val="ro-RO" w:eastAsia="en-US" w:bidi="ar-SA"/>
      </w:rPr>
    </w:lvl>
    <w:lvl w:ilvl="4" w:tplc="F5E62C80">
      <w:numFmt w:val="bullet"/>
      <w:lvlText w:val="•"/>
      <w:lvlJc w:val="left"/>
      <w:pPr>
        <w:ind w:left="4944" w:hanging="144"/>
      </w:pPr>
      <w:rPr>
        <w:rFonts w:hint="default"/>
        <w:lang w:val="ro-RO" w:eastAsia="en-US" w:bidi="ar-SA"/>
      </w:rPr>
    </w:lvl>
    <w:lvl w:ilvl="5" w:tplc="9A68F5E6">
      <w:numFmt w:val="bullet"/>
      <w:lvlText w:val="•"/>
      <w:lvlJc w:val="left"/>
      <w:pPr>
        <w:ind w:left="5890" w:hanging="144"/>
      </w:pPr>
      <w:rPr>
        <w:rFonts w:hint="default"/>
        <w:lang w:val="ro-RO" w:eastAsia="en-US" w:bidi="ar-SA"/>
      </w:rPr>
    </w:lvl>
    <w:lvl w:ilvl="6" w:tplc="F88E0414">
      <w:numFmt w:val="bullet"/>
      <w:lvlText w:val="•"/>
      <w:lvlJc w:val="left"/>
      <w:pPr>
        <w:ind w:left="6836" w:hanging="144"/>
      </w:pPr>
      <w:rPr>
        <w:rFonts w:hint="default"/>
        <w:lang w:val="ro-RO" w:eastAsia="en-US" w:bidi="ar-SA"/>
      </w:rPr>
    </w:lvl>
    <w:lvl w:ilvl="7" w:tplc="F17CB270">
      <w:numFmt w:val="bullet"/>
      <w:lvlText w:val="•"/>
      <w:lvlJc w:val="left"/>
      <w:pPr>
        <w:ind w:left="7782" w:hanging="144"/>
      </w:pPr>
      <w:rPr>
        <w:rFonts w:hint="default"/>
        <w:lang w:val="ro-RO" w:eastAsia="en-US" w:bidi="ar-SA"/>
      </w:rPr>
    </w:lvl>
    <w:lvl w:ilvl="8" w:tplc="EF483FC2">
      <w:numFmt w:val="bullet"/>
      <w:lvlText w:val="•"/>
      <w:lvlJc w:val="left"/>
      <w:pPr>
        <w:ind w:left="8728" w:hanging="144"/>
      </w:pPr>
      <w:rPr>
        <w:rFonts w:hint="default"/>
        <w:lang w:val="ro-RO" w:eastAsia="en-US" w:bidi="ar-SA"/>
      </w:rPr>
    </w:lvl>
  </w:abstractNum>
  <w:abstractNum w:abstractNumId="142" w15:restartNumberingAfterBreak="0">
    <w:nsid w:val="5ABF1740"/>
    <w:multiLevelType w:val="hybridMultilevel"/>
    <w:tmpl w:val="726C073C"/>
    <w:lvl w:ilvl="0" w:tplc="6AC0D1A2">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3" w15:restartNumberingAfterBreak="0">
    <w:nsid w:val="5AC21CEE"/>
    <w:multiLevelType w:val="hybridMultilevel"/>
    <w:tmpl w:val="396E8D52"/>
    <w:lvl w:ilvl="0" w:tplc="E85E21D8">
      <w:numFmt w:val="bullet"/>
      <w:lvlText w:val="-"/>
      <w:lvlJc w:val="left"/>
      <w:pPr>
        <w:ind w:left="366" w:hanging="140"/>
      </w:pPr>
      <w:rPr>
        <w:rFonts w:ascii="Times New Roman" w:eastAsia="Times New Roman" w:hAnsi="Times New Roman" w:cs="Times New Roman" w:hint="default"/>
        <w:w w:val="99"/>
        <w:sz w:val="24"/>
        <w:szCs w:val="24"/>
        <w:lang w:val="ro-RO" w:eastAsia="en-US" w:bidi="ar-SA"/>
      </w:rPr>
    </w:lvl>
    <w:lvl w:ilvl="1" w:tplc="C5A87A8E">
      <w:numFmt w:val="bullet"/>
      <w:lvlText w:val="•"/>
      <w:lvlJc w:val="left"/>
      <w:pPr>
        <w:ind w:left="1033" w:hanging="140"/>
      </w:pPr>
      <w:rPr>
        <w:rFonts w:hint="default"/>
        <w:lang w:val="ro-RO" w:eastAsia="en-US" w:bidi="ar-SA"/>
      </w:rPr>
    </w:lvl>
    <w:lvl w:ilvl="2" w:tplc="263C2D48">
      <w:numFmt w:val="bullet"/>
      <w:lvlText w:val="•"/>
      <w:lvlJc w:val="left"/>
      <w:pPr>
        <w:ind w:left="1706" w:hanging="140"/>
      </w:pPr>
      <w:rPr>
        <w:rFonts w:hint="default"/>
        <w:lang w:val="ro-RO" w:eastAsia="en-US" w:bidi="ar-SA"/>
      </w:rPr>
    </w:lvl>
    <w:lvl w:ilvl="3" w:tplc="84460CA8">
      <w:numFmt w:val="bullet"/>
      <w:lvlText w:val="•"/>
      <w:lvlJc w:val="left"/>
      <w:pPr>
        <w:ind w:left="2379" w:hanging="140"/>
      </w:pPr>
      <w:rPr>
        <w:rFonts w:hint="default"/>
        <w:lang w:val="ro-RO" w:eastAsia="en-US" w:bidi="ar-SA"/>
      </w:rPr>
    </w:lvl>
    <w:lvl w:ilvl="4" w:tplc="D2E67EA8">
      <w:numFmt w:val="bullet"/>
      <w:lvlText w:val="•"/>
      <w:lvlJc w:val="left"/>
      <w:pPr>
        <w:ind w:left="3052" w:hanging="140"/>
      </w:pPr>
      <w:rPr>
        <w:rFonts w:hint="default"/>
        <w:lang w:val="ro-RO" w:eastAsia="en-US" w:bidi="ar-SA"/>
      </w:rPr>
    </w:lvl>
    <w:lvl w:ilvl="5" w:tplc="671AB800">
      <w:numFmt w:val="bullet"/>
      <w:lvlText w:val="•"/>
      <w:lvlJc w:val="left"/>
      <w:pPr>
        <w:ind w:left="3725" w:hanging="140"/>
      </w:pPr>
      <w:rPr>
        <w:rFonts w:hint="default"/>
        <w:lang w:val="ro-RO" w:eastAsia="en-US" w:bidi="ar-SA"/>
      </w:rPr>
    </w:lvl>
    <w:lvl w:ilvl="6" w:tplc="8D1A8114">
      <w:numFmt w:val="bullet"/>
      <w:lvlText w:val="•"/>
      <w:lvlJc w:val="left"/>
      <w:pPr>
        <w:ind w:left="4398" w:hanging="140"/>
      </w:pPr>
      <w:rPr>
        <w:rFonts w:hint="default"/>
        <w:lang w:val="ro-RO" w:eastAsia="en-US" w:bidi="ar-SA"/>
      </w:rPr>
    </w:lvl>
    <w:lvl w:ilvl="7" w:tplc="787CC45E">
      <w:numFmt w:val="bullet"/>
      <w:lvlText w:val="•"/>
      <w:lvlJc w:val="left"/>
      <w:pPr>
        <w:ind w:left="5071" w:hanging="140"/>
      </w:pPr>
      <w:rPr>
        <w:rFonts w:hint="default"/>
        <w:lang w:val="ro-RO" w:eastAsia="en-US" w:bidi="ar-SA"/>
      </w:rPr>
    </w:lvl>
    <w:lvl w:ilvl="8" w:tplc="DB9ECA78">
      <w:numFmt w:val="bullet"/>
      <w:lvlText w:val="•"/>
      <w:lvlJc w:val="left"/>
      <w:pPr>
        <w:ind w:left="5744" w:hanging="140"/>
      </w:pPr>
      <w:rPr>
        <w:rFonts w:hint="default"/>
        <w:lang w:val="ro-RO" w:eastAsia="en-US" w:bidi="ar-SA"/>
      </w:rPr>
    </w:lvl>
  </w:abstractNum>
  <w:abstractNum w:abstractNumId="144" w15:restartNumberingAfterBreak="0">
    <w:nsid w:val="5C1844C6"/>
    <w:multiLevelType w:val="hybridMultilevel"/>
    <w:tmpl w:val="22465B32"/>
    <w:lvl w:ilvl="0" w:tplc="E196D230">
      <w:numFmt w:val="bullet"/>
      <w:lvlText w:val="-"/>
      <w:lvlJc w:val="left"/>
      <w:pPr>
        <w:ind w:left="34" w:hanging="204"/>
      </w:pPr>
      <w:rPr>
        <w:rFonts w:ascii="Times New Roman" w:eastAsia="Times New Roman" w:hAnsi="Times New Roman" w:cs="Times New Roman" w:hint="default"/>
        <w:w w:val="100"/>
        <w:sz w:val="22"/>
        <w:szCs w:val="22"/>
        <w:lang w:val="ro-RO" w:eastAsia="en-US" w:bidi="ar-SA"/>
      </w:rPr>
    </w:lvl>
    <w:lvl w:ilvl="1" w:tplc="F5961E46">
      <w:numFmt w:val="bullet"/>
      <w:lvlText w:val="•"/>
      <w:lvlJc w:val="left"/>
      <w:pPr>
        <w:ind w:left="292" w:hanging="204"/>
      </w:pPr>
      <w:rPr>
        <w:rFonts w:hint="default"/>
        <w:lang w:val="ro-RO" w:eastAsia="en-US" w:bidi="ar-SA"/>
      </w:rPr>
    </w:lvl>
    <w:lvl w:ilvl="2" w:tplc="BFCC690E">
      <w:numFmt w:val="bullet"/>
      <w:lvlText w:val="•"/>
      <w:lvlJc w:val="left"/>
      <w:pPr>
        <w:ind w:left="544" w:hanging="204"/>
      </w:pPr>
      <w:rPr>
        <w:rFonts w:hint="default"/>
        <w:lang w:val="ro-RO" w:eastAsia="en-US" w:bidi="ar-SA"/>
      </w:rPr>
    </w:lvl>
    <w:lvl w:ilvl="3" w:tplc="B14A0430">
      <w:numFmt w:val="bullet"/>
      <w:lvlText w:val="•"/>
      <w:lvlJc w:val="left"/>
      <w:pPr>
        <w:ind w:left="796" w:hanging="204"/>
      </w:pPr>
      <w:rPr>
        <w:rFonts w:hint="default"/>
        <w:lang w:val="ro-RO" w:eastAsia="en-US" w:bidi="ar-SA"/>
      </w:rPr>
    </w:lvl>
    <w:lvl w:ilvl="4" w:tplc="FF284B2E">
      <w:numFmt w:val="bullet"/>
      <w:lvlText w:val="•"/>
      <w:lvlJc w:val="left"/>
      <w:pPr>
        <w:ind w:left="1049" w:hanging="204"/>
      </w:pPr>
      <w:rPr>
        <w:rFonts w:hint="default"/>
        <w:lang w:val="ro-RO" w:eastAsia="en-US" w:bidi="ar-SA"/>
      </w:rPr>
    </w:lvl>
    <w:lvl w:ilvl="5" w:tplc="B5F02A80">
      <w:numFmt w:val="bullet"/>
      <w:lvlText w:val="•"/>
      <w:lvlJc w:val="left"/>
      <w:pPr>
        <w:ind w:left="1301" w:hanging="204"/>
      </w:pPr>
      <w:rPr>
        <w:rFonts w:hint="default"/>
        <w:lang w:val="ro-RO" w:eastAsia="en-US" w:bidi="ar-SA"/>
      </w:rPr>
    </w:lvl>
    <w:lvl w:ilvl="6" w:tplc="D272F5D6">
      <w:numFmt w:val="bullet"/>
      <w:lvlText w:val="•"/>
      <w:lvlJc w:val="left"/>
      <w:pPr>
        <w:ind w:left="1553" w:hanging="204"/>
      </w:pPr>
      <w:rPr>
        <w:rFonts w:hint="default"/>
        <w:lang w:val="ro-RO" w:eastAsia="en-US" w:bidi="ar-SA"/>
      </w:rPr>
    </w:lvl>
    <w:lvl w:ilvl="7" w:tplc="A1DACCB4">
      <w:numFmt w:val="bullet"/>
      <w:lvlText w:val="•"/>
      <w:lvlJc w:val="left"/>
      <w:pPr>
        <w:ind w:left="1806" w:hanging="204"/>
      </w:pPr>
      <w:rPr>
        <w:rFonts w:hint="default"/>
        <w:lang w:val="ro-RO" w:eastAsia="en-US" w:bidi="ar-SA"/>
      </w:rPr>
    </w:lvl>
    <w:lvl w:ilvl="8" w:tplc="C75EFBC4">
      <w:numFmt w:val="bullet"/>
      <w:lvlText w:val="•"/>
      <w:lvlJc w:val="left"/>
      <w:pPr>
        <w:ind w:left="2058" w:hanging="204"/>
      </w:pPr>
      <w:rPr>
        <w:rFonts w:hint="default"/>
        <w:lang w:val="ro-RO" w:eastAsia="en-US" w:bidi="ar-SA"/>
      </w:rPr>
    </w:lvl>
  </w:abstractNum>
  <w:abstractNum w:abstractNumId="145" w15:restartNumberingAfterBreak="0">
    <w:nsid w:val="5C69014B"/>
    <w:multiLevelType w:val="hybridMultilevel"/>
    <w:tmpl w:val="8AF8C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CA20654"/>
    <w:multiLevelType w:val="hybridMultilevel"/>
    <w:tmpl w:val="CAE8B06E"/>
    <w:lvl w:ilvl="0" w:tplc="F07A0224">
      <w:numFmt w:val="bullet"/>
      <w:lvlText w:val="-"/>
      <w:lvlJc w:val="left"/>
      <w:pPr>
        <w:ind w:left="107" w:hanging="361"/>
      </w:pPr>
      <w:rPr>
        <w:rFonts w:ascii="Calibri" w:eastAsia="Calibri" w:hAnsi="Calibri" w:cs="Calibri" w:hint="default"/>
        <w:w w:val="100"/>
        <w:sz w:val="24"/>
        <w:szCs w:val="24"/>
        <w:lang w:val="ro-RO" w:eastAsia="en-US" w:bidi="ar-SA"/>
      </w:rPr>
    </w:lvl>
    <w:lvl w:ilvl="1" w:tplc="583694AA">
      <w:numFmt w:val="bullet"/>
      <w:lvlText w:val="•"/>
      <w:lvlJc w:val="left"/>
      <w:pPr>
        <w:ind w:left="837" w:hanging="361"/>
      </w:pPr>
      <w:rPr>
        <w:rFonts w:hint="default"/>
        <w:lang w:val="ro-RO" w:eastAsia="en-US" w:bidi="ar-SA"/>
      </w:rPr>
    </w:lvl>
    <w:lvl w:ilvl="2" w:tplc="B8F40226">
      <w:numFmt w:val="bullet"/>
      <w:lvlText w:val="•"/>
      <w:lvlJc w:val="left"/>
      <w:pPr>
        <w:ind w:left="1574" w:hanging="361"/>
      </w:pPr>
      <w:rPr>
        <w:rFonts w:hint="default"/>
        <w:lang w:val="ro-RO" w:eastAsia="en-US" w:bidi="ar-SA"/>
      </w:rPr>
    </w:lvl>
    <w:lvl w:ilvl="3" w:tplc="C73E0B92">
      <w:numFmt w:val="bullet"/>
      <w:lvlText w:val="•"/>
      <w:lvlJc w:val="left"/>
      <w:pPr>
        <w:ind w:left="2311" w:hanging="361"/>
      </w:pPr>
      <w:rPr>
        <w:rFonts w:hint="default"/>
        <w:lang w:val="ro-RO" w:eastAsia="en-US" w:bidi="ar-SA"/>
      </w:rPr>
    </w:lvl>
    <w:lvl w:ilvl="4" w:tplc="34449DE8">
      <w:numFmt w:val="bullet"/>
      <w:lvlText w:val="•"/>
      <w:lvlJc w:val="left"/>
      <w:pPr>
        <w:ind w:left="3048" w:hanging="361"/>
      </w:pPr>
      <w:rPr>
        <w:rFonts w:hint="default"/>
        <w:lang w:val="ro-RO" w:eastAsia="en-US" w:bidi="ar-SA"/>
      </w:rPr>
    </w:lvl>
    <w:lvl w:ilvl="5" w:tplc="3796D3F6">
      <w:numFmt w:val="bullet"/>
      <w:lvlText w:val="•"/>
      <w:lvlJc w:val="left"/>
      <w:pPr>
        <w:ind w:left="3785" w:hanging="361"/>
      </w:pPr>
      <w:rPr>
        <w:rFonts w:hint="default"/>
        <w:lang w:val="ro-RO" w:eastAsia="en-US" w:bidi="ar-SA"/>
      </w:rPr>
    </w:lvl>
    <w:lvl w:ilvl="6" w:tplc="3F1C7DFE">
      <w:numFmt w:val="bullet"/>
      <w:lvlText w:val="•"/>
      <w:lvlJc w:val="left"/>
      <w:pPr>
        <w:ind w:left="4522" w:hanging="361"/>
      </w:pPr>
      <w:rPr>
        <w:rFonts w:hint="default"/>
        <w:lang w:val="ro-RO" w:eastAsia="en-US" w:bidi="ar-SA"/>
      </w:rPr>
    </w:lvl>
    <w:lvl w:ilvl="7" w:tplc="1AA6D808">
      <w:numFmt w:val="bullet"/>
      <w:lvlText w:val="•"/>
      <w:lvlJc w:val="left"/>
      <w:pPr>
        <w:ind w:left="5259" w:hanging="361"/>
      </w:pPr>
      <w:rPr>
        <w:rFonts w:hint="default"/>
        <w:lang w:val="ro-RO" w:eastAsia="en-US" w:bidi="ar-SA"/>
      </w:rPr>
    </w:lvl>
    <w:lvl w:ilvl="8" w:tplc="6B785608">
      <w:numFmt w:val="bullet"/>
      <w:lvlText w:val="•"/>
      <w:lvlJc w:val="left"/>
      <w:pPr>
        <w:ind w:left="5996" w:hanging="361"/>
      </w:pPr>
      <w:rPr>
        <w:rFonts w:hint="default"/>
        <w:lang w:val="ro-RO" w:eastAsia="en-US" w:bidi="ar-SA"/>
      </w:rPr>
    </w:lvl>
  </w:abstractNum>
  <w:abstractNum w:abstractNumId="147" w15:restartNumberingAfterBreak="0">
    <w:nsid w:val="5D1246DF"/>
    <w:multiLevelType w:val="hybridMultilevel"/>
    <w:tmpl w:val="300E1116"/>
    <w:lvl w:ilvl="0" w:tplc="FE3A94A4">
      <w:numFmt w:val="bullet"/>
      <w:lvlText w:val="-"/>
      <w:lvlJc w:val="left"/>
      <w:pPr>
        <w:ind w:left="107" w:hanging="361"/>
      </w:pPr>
      <w:rPr>
        <w:rFonts w:ascii="Calibri" w:eastAsia="Calibri" w:hAnsi="Calibri" w:cs="Calibri" w:hint="default"/>
        <w:w w:val="100"/>
        <w:sz w:val="24"/>
        <w:szCs w:val="24"/>
        <w:lang w:val="ro-RO" w:eastAsia="en-US" w:bidi="ar-SA"/>
      </w:rPr>
    </w:lvl>
    <w:lvl w:ilvl="1" w:tplc="D4EAD574">
      <w:numFmt w:val="bullet"/>
      <w:lvlText w:val="•"/>
      <w:lvlJc w:val="left"/>
      <w:pPr>
        <w:ind w:left="837" w:hanging="361"/>
      </w:pPr>
      <w:rPr>
        <w:rFonts w:hint="default"/>
        <w:lang w:val="ro-RO" w:eastAsia="en-US" w:bidi="ar-SA"/>
      </w:rPr>
    </w:lvl>
    <w:lvl w:ilvl="2" w:tplc="3C6688AE">
      <w:numFmt w:val="bullet"/>
      <w:lvlText w:val="•"/>
      <w:lvlJc w:val="left"/>
      <w:pPr>
        <w:ind w:left="1574" w:hanging="361"/>
      </w:pPr>
      <w:rPr>
        <w:rFonts w:hint="default"/>
        <w:lang w:val="ro-RO" w:eastAsia="en-US" w:bidi="ar-SA"/>
      </w:rPr>
    </w:lvl>
    <w:lvl w:ilvl="3" w:tplc="16D0855C">
      <w:numFmt w:val="bullet"/>
      <w:lvlText w:val="•"/>
      <w:lvlJc w:val="left"/>
      <w:pPr>
        <w:ind w:left="2311" w:hanging="361"/>
      </w:pPr>
      <w:rPr>
        <w:rFonts w:hint="default"/>
        <w:lang w:val="ro-RO" w:eastAsia="en-US" w:bidi="ar-SA"/>
      </w:rPr>
    </w:lvl>
    <w:lvl w:ilvl="4" w:tplc="A77E0464">
      <w:numFmt w:val="bullet"/>
      <w:lvlText w:val="•"/>
      <w:lvlJc w:val="left"/>
      <w:pPr>
        <w:ind w:left="3048" w:hanging="361"/>
      </w:pPr>
      <w:rPr>
        <w:rFonts w:hint="default"/>
        <w:lang w:val="ro-RO" w:eastAsia="en-US" w:bidi="ar-SA"/>
      </w:rPr>
    </w:lvl>
    <w:lvl w:ilvl="5" w:tplc="D528F4C0">
      <w:numFmt w:val="bullet"/>
      <w:lvlText w:val="•"/>
      <w:lvlJc w:val="left"/>
      <w:pPr>
        <w:ind w:left="3785" w:hanging="361"/>
      </w:pPr>
      <w:rPr>
        <w:rFonts w:hint="default"/>
        <w:lang w:val="ro-RO" w:eastAsia="en-US" w:bidi="ar-SA"/>
      </w:rPr>
    </w:lvl>
    <w:lvl w:ilvl="6" w:tplc="03366C5C">
      <w:numFmt w:val="bullet"/>
      <w:lvlText w:val="•"/>
      <w:lvlJc w:val="left"/>
      <w:pPr>
        <w:ind w:left="4522" w:hanging="361"/>
      </w:pPr>
      <w:rPr>
        <w:rFonts w:hint="default"/>
        <w:lang w:val="ro-RO" w:eastAsia="en-US" w:bidi="ar-SA"/>
      </w:rPr>
    </w:lvl>
    <w:lvl w:ilvl="7" w:tplc="6A20D396">
      <w:numFmt w:val="bullet"/>
      <w:lvlText w:val="•"/>
      <w:lvlJc w:val="left"/>
      <w:pPr>
        <w:ind w:left="5259" w:hanging="361"/>
      </w:pPr>
      <w:rPr>
        <w:rFonts w:hint="default"/>
        <w:lang w:val="ro-RO" w:eastAsia="en-US" w:bidi="ar-SA"/>
      </w:rPr>
    </w:lvl>
    <w:lvl w:ilvl="8" w:tplc="C4D6D48A">
      <w:numFmt w:val="bullet"/>
      <w:lvlText w:val="•"/>
      <w:lvlJc w:val="left"/>
      <w:pPr>
        <w:ind w:left="5996" w:hanging="361"/>
      </w:pPr>
      <w:rPr>
        <w:rFonts w:hint="default"/>
        <w:lang w:val="ro-RO" w:eastAsia="en-US" w:bidi="ar-SA"/>
      </w:rPr>
    </w:lvl>
  </w:abstractNum>
  <w:abstractNum w:abstractNumId="148" w15:restartNumberingAfterBreak="0">
    <w:nsid w:val="5D403421"/>
    <w:multiLevelType w:val="hybridMultilevel"/>
    <w:tmpl w:val="3D0451B8"/>
    <w:lvl w:ilvl="0" w:tplc="04090001">
      <w:start w:val="1"/>
      <w:numFmt w:val="bullet"/>
      <w:lvlText w:val=""/>
      <w:lvlJc w:val="left"/>
      <w:pPr>
        <w:ind w:left="643"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49" w15:restartNumberingAfterBreak="0">
    <w:nsid w:val="5F69077D"/>
    <w:multiLevelType w:val="hybridMultilevel"/>
    <w:tmpl w:val="FA1A5D3A"/>
    <w:lvl w:ilvl="0" w:tplc="FE769DF4">
      <w:numFmt w:val="bullet"/>
      <w:lvlText w:val="-"/>
      <w:lvlJc w:val="left"/>
      <w:pPr>
        <w:ind w:left="534" w:hanging="140"/>
      </w:pPr>
      <w:rPr>
        <w:rFonts w:ascii="Times New Roman" w:eastAsia="Times New Roman" w:hAnsi="Times New Roman" w:cs="Times New Roman" w:hint="default"/>
        <w:w w:val="99"/>
        <w:sz w:val="24"/>
        <w:szCs w:val="24"/>
        <w:lang w:val="ro-RO" w:eastAsia="en-US" w:bidi="ar-SA"/>
      </w:rPr>
    </w:lvl>
    <w:lvl w:ilvl="1" w:tplc="226013F4">
      <w:numFmt w:val="bullet"/>
      <w:lvlText w:val="•"/>
      <w:lvlJc w:val="left"/>
      <w:pPr>
        <w:ind w:left="1195" w:hanging="140"/>
      </w:pPr>
      <w:rPr>
        <w:rFonts w:hint="default"/>
        <w:lang w:val="ro-RO" w:eastAsia="en-US" w:bidi="ar-SA"/>
      </w:rPr>
    </w:lvl>
    <w:lvl w:ilvl="2" w:tplc="FBE04754">
      <w:numFmt w:val="bullet"/>
      <w:lvlText w:val="•"/>
      <w:lvlJc w:val="left"/>
      <w:pPr>
        <w:ind w:left="1850" w:hanging="140"/>
      </w:pPr>
      <w:rPr>
        <w:rFonts w:hint="default"/>
        <w:lang w:val="ro-RO" w:eastAsia="en-US" w:bidi="ar-SA"/>
      </w:rPr>
    </w:lvl>
    <w:lvl w:ilvl="3" w:tplc="D9F64236">
      <w:numFmt w:val="bullet"/>
      <w:lvlText w:val="•"/>
      <w:lvlJc w:val="left"/>
      <w:pPr>
        <w:ind w:left="2505" w:hanging="140"/>
      </w:pPr>
      <w:rPr>
        <w:rFonts w:hint="default"/>
        <w:lang w:val="ro-RO" w:eastAsia="en-US" w:bidi="ar-SA"/>
      </w:rPr>
    </w:lvl>
    <w:lvl w:ilvl="4" w:tplc="8FF8819A">
      <w:numFmt w:val="bullet"/>
      <w:lvlText w:val="•"/>
      <w:lvlJc w:val="left"/>
      <w:pPr>
        <w:ind w:left="3160" w:hanging="140"/>
      </w:pPr>
      <w:rPr>
        <w:rFonts w:hint="default"/>
        <w:lang w:val="ro-RO" w:eastAsia="en-US" w:bidi="ar-SA"/>
      </w:rPr>
    </w:lvl>
    <w:lvl w:ilvl="5" w:tplc="5254D7FA">
      <w:numFmt w:val="bullet"/>
      <w:lvlText w:val="•"/>
      <w:lvlJc w:val="left"/>
      <w:pPr>
        <w:ind w:left="3815" w:hanging="140"/>
      </w:pPr>
      <w:rPr>
        <w:rFonts w:hint="default"/>
        <w:lang w:val="ro-RO" w:eastAsia="en-US" w:bidi="ar-SA"/>
      </w:rPr>
    </w:lvl>
    <w:lvl w:ilvl="6" w:tplc="0B506F26">
      <w:numFmt w:val="bullet"/>
      <w:lvlText w:val="•"/>
      <w:lvlJc w:val="left"/>
      <w:pPr>
        <w:ind w:left="4470" w:hanging="140"/>
      </w:pPr>
      <w:rPr>
        <w:rFonts w:hint="default"/>
        <w:lang w:val="ro-RO" w:eastAsia="en-US" w:bidi="ar-SA"/>
      </w:rPr>
    </w:lvl>
    <w:lvl w:ilvl="7" w:tplc="9F10BE10">
      <w:numFmt w:val="bullet"/>
      <w:lvlText w:val="•"/>
      <w:lvlJc w:val="left"/>
      <w:pPr>
        <w:ind w:left="5125" w:hanging="140"/>
      </w:pPr>
      <w:rPr>
        <w:rFonts w:hint="default"/>
        <w:lang w:val="ro-RO" w:eastAsia="en-US" w:bidi="ar-SA"/>
      </w:rPr>
    </w:lvl>
    <w:lvl w:ilvl="8" w:tplc="E2289CEE">
      <w:numFmt w:val="bullet"/>
      <w:lvlText w:val="•"/>
      <w:lvlJc w:val="left"/>
      <w:pPr>
        <w:ind w:left="5780" w:hanging="140"/>
      </w:pPr>
      <w:rPr>
        <w:rFonts w:hint="default"/>
        <w:lang w:val="ro-RO" w:eastAsia="en-US" w:bidi="ar-SA"/>
      </w:rPr>
    </w:lvl>
  </w:abstractNum>
  <w:abstractNum w:abstractNumId="150" w15:restartNumberingAfterBreak="0">
    <w:nsid w:val="5FF45374"/>
    <w:multiLevelType w:val="hybridMultilevel"/>
    <w:tmpl w:val="94027C1E"/>
    <w:lvl w:ilvl="0" w:tplc="0FF808B2">
      <w:numFmt w:val="bullet"/>
      <w:lvlText w:val="-"/>
      <w:lvlJc w:val="left"/>
      <w:pPr>
        <w:ind w:left="366" w:hanging="140"/>
      </w:pPr>
      <w:rPr>
        <w:rFonts w:ascii="Times New Roman" w:eastAsia="Times New Roman" w:hAnsi="Times New Roman" w:cs="Times New Roman" w:hint="default"/>
        <w:w w:val="99"/>
        <w:sz w:val="24"/>
        <w:szCs w:val="24"/>
        <w:lang w:val="ro-RO" w:eastAsia="en-US" w:bidi="ar-SA"/>
      </w:rPr>
    </w:lvl>
    <w:lvl w:ilvl="1" w:tplc="CE7E63DE">
      <w:numFmt w:val="bullet"/>
      <w:lvlText w:val="•"/>
      <w:lvlJc w:val="left"/>
      <w:pPr>
        <w:ind w:left="1033" w:hanging="140"/>
      </w:pPr>
      <w:rPr>
        <w:rFonts w:hint="default"/>
        <w:lang w:val="ro-RO" w:eastAsia="en-US" w:bidi="ar-SA"/>
      </w:rPr>
    </w:lvl>
    <w:lvl w:ilvl="2" w:tplc="911C4164">
      <w:numFmt w:val="bullet"/>
      <w:lvlText w:val="•"/>
      <w:lvlJc w:val="left"/>
      <w:pPr>
        <w:ind w:left="1706" w:hanging="140"/>
      </w:pPr>
      <w:rPr>
        <w:rFonts w:hint="default"/>
        <w:lang w:val="ro-RO" w:eastAsia="en-US" w:bidi="ar-SA"/>
      </w:rPr>
    </w:lvl>
    <w:lvl w:ilvl="3" w:tplc="1A3E0E32">
      <w:numFmt w:val="bullet"/>
      <w:lvlText w:val="•"/>
      <w:lvlJc w:val="left"/>
      <w:pPr>
        <w:ind w:left="2379" w:hanging="140"/>
      </w:pPr>
      <w:rPr>
        <w:rFonts w:hint="default"/>
        <w:lang w:val="ro-RO" w:eastAsia="en-US" w:bidi="ar-SA"/>
      </w:rPr>
    </w:lvl>
    <w:lvl w:ilvl="4" w:tplc="D2D00C2E">
      <w:numFmt w:val="bullet"/>
      <w:lvlText w:val="•"/>
      <w:lvlJc w:val="left"/>
      <w:pPr>
        <w:ind w:left="3052" w:hanging="140"/>
      </w:pPr>
      <w:rPr>
        <w:rFonts w:hint="default"/>
        <w:lang w:val="ro-RO" w:eastAsia="en-US" w:bidi="ar-SA"/>
      </w:rPr>
    </w:lvl>
    <w:lvl w:ilvl="5" w:tplc="865E4280">
      <w:numFmt w:val="bullet"/>
      <w:lvlText w:val="•"/>
      <w:lvlJc w:val="left"/>
      <w:pPr>
        <w:ind w:left="3725" w:hanging="140"/>
      </w:pPr>
      <w:rPr>
        <w:rFonts w:hint="default"/>
        <w:lang w:val="ro-RO" w:eastAsia="en-US" w:bidi="ar-SA"/>
      </w:rPr>
    </w:lvl>
    <w:lvl w:ilvl="6" w:tplc="74263224">
      <w:numFmt w:val="bullet"/>
      <w:lvlText w:val="•"/>
      <w:lvlJc w:val="left"/>
      <w:pPr>
        <w:ind w:left="4398" w:hanging="140"/>
      </w:pPr>
      <w:rPr>
        <w:rFonts w:hint="default"/>
        <w:lang w:val="ro-RO" w:eastAsia="en-US" w:bidi="ar-SA"/>
      </w:rPr>
    </w:lvl>
    <w:lvl w:ilvl="7" w:tplc="0EA63152">
      <w:numFmt w:val="bullet"/>
      <w:lvlText w:val="•"/>
      <w:lvlJc w:val="left"/>
      <w:pPr>
        <w:ind w:left="5071" w:hanging="140"/>
      </w:pPr>
      <w:rPr>
        <w:rFonts w:hint="default"/>
        <w:lang w:val="ro-RO" w:eastAsia="en-US" w:bidi="ar-SA"/>
      </w:rPr>
    </w:lvl>
    <w:lvl w:ilvl="8" w:tplc="72A818DE">
      <w:numFmt w:val="bullet"/>
      <w:lvlText w:val="•"/>
      <w:lvlJc w:val="left"/>
      <w:pPr>
        <w:ind w:left="5744" w:hanging="140"/>
      </w:pPr>
      <w:rPr>
        <w:rFonts w:hint="default"/>
        <w:lang w:val="ro-RO" w:eastAsia="en-US" w:bidi="ar-SA"/>
      </w:rPr>
    </w:lvl>
  </w:abstractNum>
  <w:abstractNum w:abstractNumId="151" w15:restartNumberingAfterBreak="0">
    <w:nsid w:val="618B634B"/>
    <w:multiLevelType w:val="hybridMultilevel"/>
    <w:tmpl w:val="12548878"/>
    <w:lvl w:ilvl="0" w:tplc="D110D8C8">
      <w:numFmt w:val="bullet"/>
      <w:lvlText w:val=""/>
      <w:lvlJc w:val="left"/>
      <w:pPr>
        <w:ind w:left="1813" w:hanging="360"/>
      </w:pPr>
      <w:rPr>
        <w:rFonts w:ascii="Symbol" w:eastAsia="Symbol" w:hAnsi="Symbol" w:cs="Symbol" w:hint="default"/>
        <w:w w:val="100"/>
        <w:sz w:val="24"/>
        <w:szCs w:val="24"/>
        <w:lang w:val="ro-RO" w:eastAsia="en-US" w:bidi="ar-SA"/>
      </w:rPr>
    </w:lvl>
    <w:lvl w:ilvl="1" w:tplc="1E9CCE98">
      <w:numFmt w:val="bullet"/>
      <w:lvlText w:val="•"/>
      <w:lvlJc w:val="left"/>
      <w:pPr>
        <w:ind w:left="2680" w:hanging="360"/>
      </w:pPr>
      <w:rPr>
        <w:rFonts w:hint="default"/>
        <w:lang w:val="ro-RO" w:eastAsia="en-US" w:bidi="ar-SA"/>
      </w:rPr>
    </w:lvl>
    <w:lvl w:ilvl="2" w:tplc="18A6DE14">
      <w:numFmt w:val="bullet"/>
      <w:lvlText w:val="•"/>
      <w:lvlJc w:val="left"/>
      <w:pPr>
        <w:ind w:left="3541" w:hanging="360"/>
      </w:pPr>
      <w:rPr>
        <w:rFonts w:hint="default"/>
        <w:lang w:val="ro-RO" w:eastAsia="en-US" w:bidi="ar-SA"/>
      </w:rPr>
    </w:lvl>
    <w:lvl w:ilvl="3" w:tplc="20A019BC">
      <w:numFmt w:val="bullet"/>
      <w:lvlText w:val="•"/>
      <w:lvlJc w:val="left"/>
      <w:pPr>
        <w:ind w:left="4401" w:hanging="360"/>
      </w:pPr>
      <w:rPr>
        <w:rFonts w:hint="default"/>
        <w:lang w:val="ro-RO" w:eastAsia="en-US" w:bidi="ar-SA"/>
      </w:rPr>
    </w:lvl>
    <w:lvl w:ilvl="4" w:tplc="BB58B0B2">
      <w:numFmt w:val="bullet"/>
      <w:lvlText w:val="•"/>
      <w:lvlJc w:val="left"/>
      <w:pPr>
        <w:ind w:left="5262" w:hanging="360"/>
      </w:pPr>
      <w:rPr>
        <w:rFonts w:hint="default"/>
        <w:lang w:val="ro-RO" w:eastAsia="en-US" w:bidi="ar-SA"/>
      </w:rPr>
    </w:lvl>
    <w:lvl w:ilvl="5" w:tplc="2E782720">
      <w:numFmt w:val="bullet"/>
      <w:lvlText w:val="•"/>
      <w:lvlJc w:val="left"/>
      <w:pPr>
        <w:ind w:left="6123" w:hanging="360"/>
      </w:pPr>
      <w:rPr>
        <w:rFonts w:hint="default"/>
        <w:lang w:val="ro-RO" w:eastAsia="en-US" w:bidi="ar-SA"/>
      </w:rPr>
    </w:lvl>
    <w:lvl w:ilvl="6" w:tplc="6C3CD5C8">
      <w:numFmt w:val="bullet"/>
      <w:lvlText w:val="•"/>
      <w:lvlJc w:val="left"/>
      <w:pPr>
        <w:ind w:left="6983" w:hanging="360"/>
      </w:pPr>
      <w:rPr>
        <w:rFonts w:hint="default"/>
        <w:lang w:val="ro-RO" w:eastAsia="en-US" w:bidi="ar-SA"/>
      </w:rPr>
    </w:lvl>
    <w:lvl w:ilvl="7" w:tplc="1C2413E4">
      <w:numFmt w:val="bullet"/>
      <w:lvlText w:val="•"/>
      <w:lvlJc w:val="left"/>
      <w:pPr>
        <w:ind w:left="7844" w:hanging="360"/>
      </w:pPr>
      <w:rPr>
        <w:rFonts w:hint="default"/>
        <w:lang w:val="ro-RO" w:eastAsia="en-US" w:bidi="ar-SA"/>
      </w:rPr>
    </w:lvl>
    <w:lvl w:ilvl="8" w:tplc="62F6D080">
      <w:numFmt w:val="bullet"/>
      <w:lvlText w:val="•"/>
      <w:lvlJc w:val="left"/>
      <w:pPr>
        <w:ind w:left="8705" w:hanging="360"/>
      </w:pPr>
      <w:rPr>
        <w:rFonts w:hint="default"/>
        <w:lang w:val="ro-RO" w:eastAsia="en-US" w:bidi="ar-SA"/>
      </w:rPr>
    </w:lvl>
  </w:abstractNum>
  <w:abstractNum w:abstractNumId="152" w15:restartNumberingAfterBreak="0">
    <w:nsid w:val="61E564D3"/>
    <w:multiLevelType w:val="hybridMultilevel"/>
    <w:tmpl w:val="99AA94B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53" w15:restartNumberingAfterBreak="0">
    <w:nsid w:val="63A16C85"/>
    <w:multiLevelType w:val="hybridMultilevel"/>
    <w:tmpl w:val="EF7CEC9E"/>
    <w:lvl w:ilvl="0" w:tplc="6AC0D1A2">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4" w15:restartNumberingAfterBreak="0">
    <w:nsid w:val="6468349C"/>
    <w:multiLevelType w:val="hybridMultilevel"/>
    <w:tmpl w:val="FF32D170"/>
    <w:lvl w:ilvl="0" w:tplc="67E40224">
      <w:numFmt w:val="bullet"/>
      <w:lvlText w:val="-"/>
      <w:lvlJc w:val="left"/>
      <w:pPr>
        <w:ind w:left="24" w:hanging="252"/>
      </w:pPr>
      <w:rPr>
        <w:rFonts w:ascii="Times New Roman" w:eastAsia="Times New Roman" w:hAnsi="Times New Roman" w:cs="Times New Roman" w:hint="default"/>
        <w:w w:val="100"/>
        <w:sz w:val="22"/>
        <w:szCs w:val="22"/>
        <w:lang w:val="ro-RO" w:eastAsia="en-US" w:bidi="ar-SA"/>
      </w:rPr>
    </w:lvl>
    <w:lvl w:ilvl="1" w:tplc="784A4624">
      <w:numFmt w:val="bullet"/>
      <w:lvlText w:val="•"/>
      <w:lvlJc w:val="left"/>
      <w:pPr>
        <w:ind w:left="272" w:hanging="252"/>
      </w:pPr>
      <w:rPr>
        <w:rFonts w:hint="default"/>
        <w:lang w:val="ro-RO" w:eastAsia="en-US" w:bidi="ar-SA"/>
      </w:rPr>
    </w:lvl>
    <w:lvl w:ilvl="2" w:tplc="5A0E5FF8">
      <w:numFmt w:val="bullet"/>
      <w:lvlText w:val="•"/>
      <w:lvlJc w:val="left"/>
      <w:pPr>
        <w:ind w:left="524" w:hanging="252"/>
      </w:pPr>
      <w:rPr>
        <w:rFonts w:hint="default"/>
        <w:lang w:val="ro-RO" w:eastAsia="en-US" w:bidi="ar-SA"/>
      </w:rPr>
    </w:lvl>
    <w:lvl w:ilvl="3" w:tplc="2492474C">
      <w:numFmt w:val="bullet"/>
      <w:lvlText w:val="•"/>
      <w:lvlJc w:val="left"/>
      <w:pPr>
        <w:ind w:left="776" w:hanging="252"/>
      </w:pPr>
      <w:rPr>
        <w:rFonts w:hint="default"/>
        <w:lang w:val="ro-RO" w:eastAsia="en-US" w:bidi="ar-SA"/>
      </w:rPr>
    </w:lvl>
    <w:lvl w:ilvl="4" w:tplc="8932CA30">
      <w:numFmt w:val="bullet"/>
      <w:lvlText w:val="•"/>
      <w:lvlJc w:val="left"/>
      <w:pPr>
        <w:ind w:left="1028" w:hanging="252"/>
      </w:pPr>
      <w:rPr>
        <w:rFonts w:hint="default"/>
        <w:lang w:val="ro-RO" w:eastAsia="en-US" w:bidi="ar-SA"/>
      </w:rPr>
    </w:lvl>
    <w:lvl w:ilvl="5" w:tplc="51442FDE">
      <w:numFmt w:val="bullet"/>
      <w:lvlText w:val="•"/>
      <w:lvlJc w:val="left"/>
      <w:pPr>
        <w:ind w:left="1281" w:hanging="252"/>
      </w:pPr>
      <w:rPr>
        <w:rFonts w:hint="default"/>
        <w:lang w:val="ro-RO" w:eastAsia="en-US" w:bidi="ar-SA"/>
      </w:rPr>
    </w:lvl>
    <w:lvl w:ilvl="6" w:tplc="D6A4DBA0">
      <w:numFmt w:val="bullet"/>
      <w:lvlText w:val="•"/>
      <w:lvlJc w:val="left"/>
      <w:pPr>
        <w:ind w:left="1533" w:hanging="252"/>
      </w:pPr>
      <w:rPr>
        <w:rFonts w:hint="default"/>
        <w:lang w:val="ro-RO" w:eastAsia="en-US" w:bidi="ar-SA"/>
      </w:rPr>
    </w:lvl>
    <w:lvl w:ilvl="7" w:tplc="10C84850">
      <w:numFmt w:val="bullet"/>
      <w:lvlText w:val="•"/>
      <w:lvlJc w:val="left"/>
      <w:pPr>
        <w:ind w:left="1785" w:hanging="252"/>
      </w:pPr>
      <w:rPr>
        <w:rFonts w:hint="default"/>
        <w:lang w:val="ro-RO" w:eastAsia="en-US" w:bidi="ar-SA"/>
      </w:rPr>
    </w:lvl>
    <w:lvl w:ilvl="8" w:tplc="9806A0D4">
      <w:numFmt w:val="bullet"/>
      <w:lvlText w:val="•"/>
      <w:lvlJc w:val="left"/>
      <w:pPr>
        <w:ind w:left="2037" w:hanging="252"/>
      </w:pPr>
      <w:rPr>
        <w:rFonts w:hint="default"/>
        <w:lang w:val="ro-RO" w:eastAsia="en-US" w:bidi="ar-SA"/>
      </w:rPr>
    </w:lvl>
  </w:abstractNum>
  <w:abstractNum w:abstractNumId="155" w15:restartNumberingAfterBreak="0">
    <w:nsid w:val="64C24006"/>
    <w:multiLevelType w:val="hybridMultilevel"/>
    <w:tmpl w:val="DD48BBFE"/>
    <w:lvl w:ilvl="0" w:tplc="AF106AFE">
      <w:numFmt w:val="bullet"/>
      <w:lvlText w:val="-"/>
      <w:lvlJc w:val="left"/>
      <w:pPr>
        <w:ind w:left="107" w:hanging="361"/>
      </w:pPr>
      <w:rPr>
        <w:rFonts w:ascii="Calibri" w:eastAsia="Calibri" w:hAnsi="Calibri" w:cs="Calibri" w:hint="default"/>
        <w:w w:val="100"/>
        <w:sz w:val="24"/>
        <w:szCs w:val="24"/>
        <w:lang w:val="ro-RO" w:eastAsia="en-US" w:bidi="ar-SA"/>
      </w:rPr>
    </w:lvl>
    <w:lvl w:ilvl="1" w:tplc="213C4A98">
      <w:numFmt w:val="bullet"/>
      <w:lvlText w:val="•"/>
      <w:lvlJc w:val="left"/>
      <w:pPr>
        <w:ind w:left="837" w:hanging="361"/>
      </w:pPr>
      <w:rPr>
        <w:rFonts w:hint="default"/>
        <w:lang w:val="ro-RO" w:eastAsia="en-US" w:bidi="ar-SA"/>
      </w:rPr>
    </w:lvl>
    <w:lvl w:ilvl="2" w:tplc="F7680544">
      <w:numFmt w:val="bullet"/>
      <w:lvlText w:val="•"/>
      <w:lvlJc w:val="left"/>
      <w:pPr>
        <w:ind w:left="1574" w:hanging="361"/>
      </w:pPr>
      <w:rPr>
        <w:rFonts w:hint="default"/>
        <w:lang w:val="ro-RO" w:eastAsia="en-US" w:bidi="ar-SA"/>
      </w:rPr>
    </w:lvl>
    <w:lvl w:ilvl="3" w:tplc="39D277DC">
      <w:numFmt w:val="bullet"/>
      <w:lvlText w:val="•"/>
      <w:lvlJc w:val="left"/>
      <w:pPr>
        <w:ind w:left="2311" w:hanging="361"/>
      </w:pPr>
      <w:rPr>
        <w:rFonts w:hint="default"/>
        <w:lang w:val="ro-RO" w:eastAsia="en-US" w:bidi="ar-SA"/>
      </w:rPr>
    </w:lvl>
    <w:lvl w:ilvl="4" w:tplc="A9E4004A">
      <w:numFmt w:val="bullet"/>
      <w:lvlText w:val="•"/>
      <w:lvlJc w:val="left"/>
      <w:pPr>
        <w:ind w:left="3048" w:hanging="361"/>
      </w:pPr>
      <w:rPr>
        <w:rFonts w:hint="default"/>
        <w:lang w:val="ro-RO" w:eastAsia="en-US" w:bidi="ar-SA"/>
      </w:rPr>
    </w:lvl>
    <w:lvl w:ilvl="5" w:tplc="85708242">
      <w:numFmt w:val="bullet"/>
      <w:lvlText w:val="•"/>
      <w:lvlJc w:val="left"/>
      <w:pPr>
        <w:ind w:left="3785" w:hanging="361"/>
      </w:pPr>
      <w:rPr>
        <w:rFonts w:hint="default"/>
        <w:lang w:val="ro-RO" w:eastAsia="en-US" w:bidi="ar-SA"/>
      </w:rPr>
    </w:lvl>
    <w:lvl w:ilvl="6" w:tplc="7F100D58">
      <w:numFmt w:val="bullet"/>
      <w:lvlText w:val="•"/>
      <w:lvlJc w:val="left"/>
      <w:pPr>
        <w:ind w:left="4522" w:hanging="361"/>
      </w:pPr>
      <w:rPr>
        <w:rFonts w:hint="default"/>
        <w:lang w:val="ro-RO" w:eastAsia="en-US" w:bidi="ar-SA"/>
      </w:rPr>
    </w:lvl>
    <w:lvl w:ilvl="7" w:tplc="35E0485E">
      <w:numFmt w:val="bullet"/>
      <w:lvlText w:val="•"/>
      <w:lvlJc w:val="left"/>
      <w:pPr>
        <w:ind w:left="5259" w:hanging="361"/>
      </w:pPr>
      <w:rPr>
        <w:rFonts w:hint="default"/>
        <w:lang w:val="ro-RO" w:eastAsia="en-US" w:bidi="ar-SA"/>
      </w:rPr>
    </w:lvl>
    <w:lvl w:ilvl="8" w:tplc="A3D486B8">
      <w:numFmt w:val="bullet"/>
      <w:lvlText w:val="•"/>
      <w:lvlJc w:val="left"/>
      <w:pPr>
        <w:ind w:left="5996" w:hanging="361"/>
      </w:pPr>
      <w:rPr>
        <w:rFonts w:hint="default"/>
        <w:lang w:val="ro-RO" w:eastAsia="en-US" w:bidi="ar-SA"/>
      </w:rPr>
    </w:lvl>
  </w:abstractNum>
  <w:abstractNum w:abstractNumId="156" w15:restartNumberingAfterBreak="0">
    <w:nsid w:val="656B1128"/>
    <w:multiLevelType w:val="hybridMultilevel"/>
    <w:tmpl w:val="B96C0EE6"/>
    <w:lvl w:ilvl="0" w:tplc="F1DACC28">
      <w:start w:val="1"/>
      <w:numFmt w:val="lowerLetter"/>
      <w:lvlText w:val="%1."/>
      <w:lvlJc w:val="left"/>
      <w:pPr>
        <w:ind w:left="1013" w:hanging="360"/>
      </w:pPr>
      <w:rPr>
        <w:rFonts w:ascii="Times New Roman" w:eastAsia="Times New Roman" w:hAnsi="Times New Roman" w:cs="Times New Roman" w:hint="default"/>
        <w:spacing w:val="-1"/>
        <w:w w:val="100"/>
        <w:sz w:val="24"/>
        <w:szCs w:val="24"/>
        <w:lang w:val="ro-RO" w:eastAsia="en-US" w:bidi="ar-SA"/>
      </w:rPr>
    </w:lvl>
    <w:lvl w:ilvl="1" w:tplc="8F3C8E3E">
      <w:numFmt w:val="bullet"/>
      <w:lvlText w:val="•"/>
      <w:lvlJc w:val="left"/>
      <w:pPr>
        <w:ind w:left="1936" w:hanging="360"/>
      </w:pPr>
      <w:rPr>
        <w:rFonts w:hint="default"/>
        <w:lang w:val="ro-RO" w:eastAsia="en-US" w:bidi="ar-SA"/>
      </w:rPr>
    </w:lvl>
    <w:lvl w:ilvl="2" w:tplc="478ACF90">
      <w:numFmt w:val="bullet"/>
      <w:lvlText w:val="•"/>
      <w:lvlJc w:val="left"/>
      <w:pPr>
        <w:ind w:left="2853" w:hanging="360"/>
      </w:pPr>
      <w:rPr>
        <w:rFonts w:hint="default"/>
        <w:lang w:val="ro-RO" w:eastAsia="en-US" w:bidi="ar-SA"/>
      </w:rPr>
    </w:lvl>
    <w:lvl w:ilvl="3" w:tplc="44ACFAB4">
      <w:numFmt w:val="bullet"/>
      <w:lvlText w:val="•"/>
      <w:lvlJc w:val="left"/>
      <w:pPr>
        <w:ind w:left="3769" w:hanging="360"/>
      </w:pPr>
      <w:rPr>
        <w:rFonts w:hint="default"/>
        <w:lang w:val="ro-RO" w:eastAsia="en-US" w:bidi="ar-SA"/>
      </w:rPr>
    </w:lvl>
    <w:lvl w:ilvl="4" w:tplc="6C4C0142">
      <w:numFmt w:val="bullet"/>
      <w:lvlText w:val="•"/>
      <w:lvlJc w:val="left"/>
      <w:pPr>
        <w:ind w:left="4686" w:hanging="360"/>
      </w:pPr>
      <w:rPr>
        <w:rFonts w:hint="default"/>
        <w:lang w:val="ro-RO" w:eastAsia="en-US" w:bidi="ar-SA"/>
      </w:rPr>
    </w:lvl>
    <w:lvl w:ilvl="5" w:tplc="A162D2F4">
      <w:numFmt w:val="bullet"/>
      <w:lvlText w:val="•"/>
      <w:lvlJc w:val="left"/>
      <w:pPr>
        <w:ind w:left="5603" w:hanging="360"/>
      </w:pPr>
      <w:rPr>
        <w:rFonts w:hint="default"/>
        <w:lang w:val="ro-RO" w:eastAsia="en-US" w:bidi="ar-SA"/>
      </w:rPr>
    </w:lvl>
    <w:lvl w:ilvl="6" w:tplc="5978E084">
      <w:numFmt w:val="bullet"/>
      <w:lvlText w:val="•"/>
      <w:lvlJc w:val="left"/>
      <w:pPr>
        <w:ind w:left="6519" w:hanging="360"/>
      </w:pPr>
      <w:rPr>
        <w:rFonts w:hint="default"/>
        <w:lang w:val="ro-RO" w:eastAsia="en-US" w:bidi="ar-SA"/>
      </w:rPr>
    </w:lvl>
    <w:lvl w:ilvl="7" w:tplc="AEBE50E0">
      <w:numFmt w:val="bullet"/>
      <w:lvlText w:val="•"/>
      <w:lvlJc w:val="left"/>
      <w:pPr>
        <w:ind w:left="7436" w:hanging="360"/>
      </w:pPr>
      <w:rPr>
        <w:rFonts w:hint="default"/>
        <w:lang w:val="ro-RO" w:eastAsia="en-US" w:bidi="ar-SA"/>
      </w:rPr>
    </w:lvl>
    <w:lvl w:ilvl="8" w:tplc="063EDF36">
      <w:numFmt w:val="bullet"/>
      <w:lvlText w:val="•"/>
      <w:lvlJc w:val="left"/>
      <w:pPr>
        <w:ind w:left="8353" w:hanging="360"/>
      </w:pPr>
      <w:rPr>
        <w:rFonts w:hint="default"/>
        <w:lang w:val="ro-RO" w:eastAsia="en-US" w:bidi="ar-SA"/>
      </w:rPr>
    </w:lvl>
  </w:abstractNum>
  <w:abstractNum w:abstractNumId="157" w15:restartNumberingAfterBreak="0">
    <w:nsid w:val="65E603F0"/>
    <w:multiLevelType w:val="hybridMultilevel"/>
    <w:tmpl w:val="8F9E409C"/>
    <w:lvl w:ilvl="0" w:tplc="20888316">
      <w:numFmt w:val="bullet"/>
      <w:lvlText w:val="-"/>
      <w:lvlJc w:val="left"/>
      <w:pPr>
        <w:ind w:left="107" w:hanging="361"/>
      </w:pPr>
      <w:rPr>
        <w:rFonts w:ascii="Calibri" w:eastAsia="Calibri" w:hAnsi="Calibri" w:cs="Calibri" w:hint="default"/>
        <w:w w:val="100"/>
        <w:sz w:val="24"/>
        <w:szCs w:val="24"/>
        <w:lang w:val="ro-RO" w:eastAsia="en-US" w:bidi="ar-SA"/>
      </w:rPr>
    </w:lvl>
    <w:lvl w:ilvl="1" w:tplc="5F5A82CA">
      <w:numFmt w:val="bullet"/>
      <w:lvlText w:val="•"/>
      <w:lvlJc w:val="left"/>
      <w:pPr>
        <w:ind w:left="837" w:hanging="361"/>
      </w:pPr>
      <w:rPr>
        <w:rFonts w:hint="default"/>
        <w:lang w:val="ro-RO" w:eastAsia="en-US" w:bidi="ar-SA"/>
      </w:rPr>
    </w:lvl>
    <w:lvl w:ilvl="2" w:tplc="F8FC7DDA">
      <w:numFmt w:val="bullet"/>
      <w:lvlText w:val="•"/>
      <w:lvlJc w:val="left"/>
      <w:pPr>
        <w:ind w:left="1574" w:hanging="361"/>
      </w:pPr>
      <w:rPr>
        <w:rFonts w:hint="default"/>
        <w:lang w:val="ro-RO" w:eastAsia="en-US" w:bidi="ar-SA"/>
      </w:rPr>
    </w:lvl>
    <w:lvl w:ilvl="3" w:tplc="A6ACAA78">
      <w:numFmt w:val="bullet"/>
      <w:lvlText w:val="•"/>
      <w:lvlJc w:val="left"/>
      <w:pPr>
        <w:ind w:left="2311" w:hanging="361"/>
      </w:pPr>
      <w:rPr>
        <w:rFonts w:hint="default"/>
        <w:lang w:val="ro-RO" w:eastAsia="en-US" w:bidi="ar-SA"/>
      </w:rPr>
    </w:lvl>
    <w:lvl w:ilvl="4" w:tplc="69A08A7E">
      <w:numFmt w:val="bullet"/>
      <w:lvlText w:val="•"/>
      <w:lvlJc w:val="left"/>
      <w:pPr>
        <w:ind w:left="3048" w:hanging="361"/>
      </w:pPr>
      <w:rPr>
        <w:rFonts w:hint="default"/>
        <w:lang w:val="ro-RO" w:eastAsia="en-US" w:bidi="ar-SA"/>
      </w:rPr>
    </w:lvl>
    <w:lvl w:ilvl="5" w:tplc="AE1E275C">
      <w:numFmt w:val="bullet"/>
      <w:lvlText w:val="•"/>
      <w:lvlJc w:val="left"/>
      <w:pPr>
        <w:ind w:left="3785" w:hanging="361"/>
      </w:pPr>
      <w:rPr>
        <w:rFonts w:hint="default"/>
        <w:lang w:val="ro-RO" w:eastAsia="en-US" w:bidi="ar-SA"/>
      </w:rPr>
    </w:lvl>
    <w:lvl w:ilvl="6" w:tplc="71265D2E">
      <w:numFmt w:val="bullet"/>
      <w:lvlText w:val="•"/>
      <w:lvlJc w:val="left"/>
      <w:pPr>
        <w:ind w:left="4522" w:hanging="361"/>
      </w:pPr>
      <w:rPr>
        <w:rFonts w:hint="default"/>
        <w:lang w:val="ro-RO" w:eastAsia="en-US" w:bidi="ar-SA"/>
      </w:rPr>
    </w:lvl>
    <w:lvl w:ilvl="7" w:tplc="1ED8A4CA">
      <w:numFmt w:val="bullet"/>
      <w:lvlText w:val="•"/>
      <w:lvlJc w:val="left"/>
      <w:pPr>
        <w:ind w:left="5259" w:hanging="361"/>
      </w:pPr>
      <w:rPr>
        <w:rFonts w:hint="default"/>
        <w:lang w:val="ro-RO" w:eastAsia="en-US" w:bidi="ar-SA"/>
      </w:rPr>
    </w:lvl>
    <w:lvl w:ilvl="8" w:tplc="72A2320A">
      <w:numFmt w:val="bullet"/>
      <w:lvlText w:val="•"/>
      <w:lvlJc w:val="left"/>
      <w:pPr>
        <w:ind w:left="5996" w:hanging="361"/>
      </w:pPr>
      <w:rPr>
        <w:rFonts w:hint="default"/>
        <w:lang w:val="ro-RO" w:eastAsia="en-US" w:bidi="ar-SA"/>
      </w:rPr>
    </w:lvl>
  </w:abstractNum>
  <w:abstractNum w:abstractNumId="158" w15:restartNumberingAfterBreak="0">
    <w:nsid w:val="688E5D85"/>
    <w:multiLevelType w:val="hybridMultilevel"/>
    <w:tmpl w:val="FA3462D8"/>
    <w:lvl w:ilvl="0" w:tplc="5D9A3D80">
      <w:numFmt w:val="bullet"/>
      <w:lvlText w:val="-"/>
      <w:lvlJc w:val="left"/>
      <w:pPr>
        <w:ind w:left="22" w:hanging="258"/>
      </w:pPr>
      <w:rPr>
        <w:rFonts w:ascii="Times New Roman" w:eastAsia="Times New Roman" w:hAnsi="Times New Roman" w:cs="Times New Roman" w:hint="default"/>
        <w:w w:val="100"/>
        <w:sz w:val="22"/>
        <w:szCs w:val="22"/>
        <w:lang w:val="ro-RO" w:eastAsia="en-US" w:bidi="ar-SA"/>
      </w:rPr>
    </w:lvl>
    <w:lvl w:ilvl="1" w:tplc="AD840DA0">
      <w:numFmt w:val="bullet"/>
      <w:lvlText w:val="•"/>
      <w:lvlJc w:val="left"/>
      <w:pPr>
        <w:ind w:left="273" w:hanging="258"/>
      </w:pPr>
      <w:rPr>
        <w:rFonts w:hint="default"/>
        <w:lang w:val="ro-RO" w:eastAsia="en-US" w:bidi="ar-SA"/>
      </w:rPr>
    </w:lvl>
    <w:lvl w:ilvl="2" w:tplc="1E7E47B2">
      <w:numFmt w:val="bullet"/>
      <w:lvlText w:val="•"/>
      <w:lvlJc w:val="left"/>
      <w:pPr>
        <w:ind w:left="527" w:hanging="258"/>
      </w:pPr>
      <w:rPr>
        <w:rFonts w:hint="default"/>
        <w:lang w:val="ro-RO" w:eastAsia="en-US" w:bidi="ar-SA"/>
      </w:rPr>
    </w:lvl>
    <w:lvl w:ilvl="3" w:tplc="F034A8EE">
      <w:numFmt w:val="bullet"/>
      <w:lvlText w:val="•"/>
      <w:lvlJc w:val="left"/>
      <w:pPr>
        <w:ind w:left="781" w:hanging="258"/>
      </w:pPr>
      <w:rPr>
        <w:rFonts w:hint="default"/>
        <w:lang w:val="ro-RO" w:eastAsia="en-US" w:bidi="ar-SA"/>
      </w:rPr>
    </w:lvl>
    <w:lvl w:ilvl="4" w:tplc="5F84ADBA">
      <w:numFmt w:val="bullet"/>
      <w:lvlText w:val="•"/>
      <w:lvlJc w:val="left"/>
      <w:pPr>
        <w:ind w:left="1035" w:hanging="258"/>
      </w:pPr>
      <w:rPr>
        <w:rFonts w:hint="default"/>
        <w:lang w:val="ro-RO" w:eastAsia="en-US" w:bidi="ar-SA"/>
      </w:rPr>
    </w:lvl>
    <w:lvl w:ilvl="5" w:tplc="69A8E67C">
      <w:numFmt w:val="bullet"/>
      <w:lvlText w:val="•"/>
      <w:lvlJc w:val="left"/>
      <w:pPr>
        <w:ind w:left="1289" w:hanging="258"/>
      </w:pPr>
      <w:rPr>
        <w:rFonts w:hint="default"/>
        <w:lang w:val="ro-RO" w:eastAsia="en-US" w:bidi="ar-SA"/>
      </w:rPr>
    </w:lvl>
    <w:lvl w:ilvl="6" w:tplc="D5942BEA">
      <w:numFmt w:val="bullet"/>
      <w:lvlText w:val="•"/>
      <w:lvlJc w:val="left"/>
      <w:pPr>
        <w:ind w:left="1542" w:hanging="258"/>
      </w:pPr>
      <w:rPr>
        <w:rFonts w:hint="default"/>
        <w:lang w:val="ro-RO" w:eastAsia="en-US" w:bidi="ar-SA"/>
      </w:rPr>
    </w:lvl>
    <w:lvl w:ilvl="7" w:tplc="28AC96CE">
      <w:numFmt w:val="bullet"/>
      <w:lvlText w:val="•"/>
      <w:lvlJc w:val="left"/>
      <w:pPr>
        <w:ind w:left="1796" w:hanging="258"/>
      </w:pPr>
      <w:rPr>
        <w:rFonts w:hint="default"/>
        <w:lang w:val="ro-RO" w:eastAsia="en-US" w:bidi="ar-SA"/>
      </w:rPr>
    </w:lvl>
    <w:lvl w:ilvl="8" w:tplc="F0BE5A5E">
      <w:numFmt w:val="bullet"/>
      <w:lvlText w:val="•"/>
      <w:lvlJc w:val="left"/>
      <w:pPr>
        <w:ind w:left="2050" w:hanging="258"/>
      </w:pPr>
      <w:rPr>
        <w:rFonts w:hint="default"/>
        <w:lang w:val="ro-RO" w:eastAsia="en-US" w:bidi="ar-SA"/>
      </w:rPr>
    </w:lvl>
  </w:abstractNum>
  <w:abstractNum w:abstractNumId="159" w15:restartNumberingAfterBreak="0">
    <w:nsid w:val="6914745F"/>
    <w:multiLevelType w:val="hybridMultilevel"/>
    <w:tmpl w:val="4378B30A"/>
    <w:lvl w:ilvl="0" w:tplc="2E9A459A">
      <w:start w:val="1"/>
      <w:numFmt w:val="decimal"/>
      <w:lvlText w:val="%1."/>
      <w:lvlJc w:val="left"/>
      <w:pPr>
        <w:ind w:left="828" w:hanging="361"/>
      </w:pPr>
      <w:rPr>
        <w:rFonts w:ascii="Times New Roman" w:eastAsia="Times New Roman" w:hAnsi="Times New Roman" w:cs="Times New Roman" w:hint="default"/>
        <w:w w:val="100"/>
        <w:sz w:val="24"/>
        <w:szCs w:val="24"/>
        <w:lang w:val="ro-RO" w:eastAsia="en-US" w:bidi="ar-SA"/>
      </w:rPr>
    </w:lvl>
    <w:lvl w:ilvl="1" w:tplc="AAF02B14">
      <w:numFmt w:val="bullet"/>
      <w:lvlText w:val="•"/>
      <w:lvlJc w:val="left"/>
      <w:pPr>
        <w:ind w:left="1485" w:hanging="361"/>
      </w:pPr>
      <w:rPr>
        <w:rFonts w:hint="default"/>
        <w:lang w:val="ro-RO" w:eastAsia="en-US" w:bidi="ar-SA"/>
      </w:rPr>
    </w:lvl>
    <w:lvl w:ilvl="2" w:tplc="F058F174">
      <w:numFmt w:val="bullet"/>
      <w:lvlText w:val="•"/>
      <w:lvlJc w:val="left"/>
      <w:pPr>
        <w:ind w:left="2150" w:hanging="361"/>
      </w:pPr>
      <w:rPr>
        <w:rFonts w:hint="default"/>
        <w:lang w:val="ro-RO" w:eastAsia="en-US" w:bidi="ar-SA"/>
      </w:rPr>
    </w:lvl>
    <w:lvl w:ilvl="3" w:tplc="A34628BA">
      <w:numFmt w:val="bullet"/>
      <w:lvlText w:val="•"/>
      <w:lvlJc w:val="left"/>
      <w:pPr>
        <w:ind w:left="2815" w:hanging="361"/>
      </w:pPr>
      <w:rPr>
        <w:rFonts w:hint="default"/>
        <w:lang w:val="ro-RO" w:eastAsia="en-US" w:bidi="ar-SA"/>
      </w:rPr>
    </w:lvl>
    <w:lvl w:ilvl="4" w:tplc="E720515A">
      <w:numFmt w:val="bullet"/>
      <w:lvlText w:val="•"/>
      <w:lvlJc w:val="left"/>
      <w:pPr>
        <w:ind w:left="3480" w:hanging="361"/>
      </w:pPr>
      <w:rPr>
        <w:rFonts w:hint="default"/>
        <w:lang w:val="ro-RO" w:eastAsia="en-US" w:bidi="ar-SA"/>
      </w:rPr>
    </w:lvl>
    <w:lvl w:ilvl="5" w:tplc="79448486">
      <w:numFmt w:val="bullet"/>
      <w:lvlText w:val="•"/>
      <w:lvlJc w:val="left"/>
      <w:pPr>
        <w:ind w:left="4145" w:hanging="361"/>
      </w:pPr>
      <w:rPr>
        <w:rFonts w:hint="default"/>
        <w:lang w:val="ro-RO" w:eastAsia="en-US" w:bidi="ar-SA"/>
      </w:rPr>
    </w:lvl>
    <w:lvl w:ilvl="6" w:tplc="7FDEF4E6">
      <w:numFmt w:val="bullet"/>
      <w:lvlText w:val="•"/>
      <w:lvlJc w:val="left"/>
      <w:pPr>
        <w:ind w:left="4810" w:hanging="361"/>
      </w:pPr>
      <w:rPr>
        <w:rFonts w:hint="default"/>
        <w:lang w:val="ro-RO" w:eastAsia="en-US" w:bidi="ar-SA"/>
      </w:rPr>
    </w:lvl>
    <w:lvl w:ilvl="7" w:tplc="BBEE389E">
      <w:numFmt w:val="bullet"/>
      <w:lvlText w:val="•"/>
      <w:lvlJc w:val="left"/>
      <w:pPr>
        <w:ind w:left="5475" w:hanging="361"/>
      </w:pPr>
      <w:rPr>
        <w:rFonts w:hint="default"/>
        <w:lang w:val="ro-RO" w:eastAsia="en-US" w:bidi="ar-SA"/>
      </w:rPr>
    </w:lvl>
    <w:lvl w:ilvl="8" w:tplc="51687EC4">
      <w:numFmt w:val="bullet"/>
      <w:lvlText w:val="•"/>
      <w:lvlJc w:val="left"/>
      <w:pPr>
        <w:ind w:left="6140" w:hanging="361"/>
      </w:pPr>
      <w:rPr>
        <w:rFonts w:hint="default"/>
        <w:lang w:val="ro-RO" w:eastAsia="en-US" w:bidi="ar-SA"/>
      </w:rPr>
    </w:lvl>
  </w:abstractNum>
  <w:abstractNum w:abstractNumId="160" w15:restartNumberingAfterBreak="0">
    <w:nsid w:val="69DC5FB7"/>
    <w:multiLevelType w:val="hybridMultilevel"/>
    <w:tmpl w:val="5C70C936"/>
    <w:lvl w:ilvl="0" w:tplc="9956F2FC">
      <w:numFmt w:val="bullet"/>
      <w:lvlText w:val="-"/>
      <w:lvlJc w:val="left"/>
      <w:pPr>
        <w:ind w:left="534" w:hanging="140"/>
      </w:pPr>
      <w:rPr>
        <w:rFonts w:ascii="Times New Roman" w:eastAsia="Times New Roman" w:hAnsi="Times New Roman" w:cs="Times New Roman" w:hint="default"/>
        <w:w w:val="99"/>
        <w:sz w:val="24"/>
        <w:szCs w:val="24"/>
        <w:lang w:val="ro-RO" w:eastAsia="en-US" w:bidi="ar-SA"/>
      </w:rPr>
    </w:lvl>
    <w:lvl w:ilvl="1" w:tplc="63EA94FE">
      <w:numFmt w:val="bullet"/>
      <w:lvlText w:val="•"/>
      <w:lvlJc w:val="left"/>
      <w:pPr>
        <w:ind w:left="1195" w:hanging="140"/>
      </w:pPr>
      <w:rPr>
        <w:rFonts w:hint="default"/>
        <w:lang w:val="ro-RO" w:eastAsia="en-US" w:bidi="ar-SA"/>
      </w:rPr>
    </w:lvl>
    <w:lvl w:ilvl="2" w:tplc="4EDE0C72">
      <w:numFmt w:val="bullet"/>
      <w:lvlText w:val="•"/>
      <w:lvlJc w:val="left"/>
      <w:pPr>
        <w:ind w:left="1850" w:hanging="140"/>
      </w:pPr>
      <w:rPr>
        <w:rFonts w:hint="default"/>
        <w:lang w:val="ro-RO" w:eastAsia="en-US" w:bidi="ar-SA"/>
      </w:rPr>
    </w:lvl>
    <w:lvl w:ilvl="3" w:tplc="D5140A06">
      <w:numFmt w:val="bullet"/>
      <w:lvlText w:val="•"/>
      <w:lvlJc w:val="left"/>
      <w:pPr>
        <w:ind w:left="2505" w:hanging="140"/>
      </w:pPr>
      <w:rPr>
        <w:rFonts w:hint="default"/>
        <w:lang w:val="ro-RO" w:eastAsia="en-US" w:bidi="ar-SA"/>
      </w:rPr>
    </w:lvl>
    <w:lvl w:ilvl="4" w:tplc="01E62DB8">
      <w:numFmt w:val="bullet"/>
      <w:lvlText w:val="•"/>
      <w:lvlJc w:val="left"/>
      <w:pPr>
        <w:ind w:left="3160" w:hanging="140"/>
      </w:pPr>
      <w:rPr>
        <w:rFonts w:hint="default"/>
        <w:lang w:val="ro-RO" w:eastAsia="en-US" w:bidi="ar-SA"/>
      </w:rPr>
    </w:lvl>
    <w:lvl w:ilvl="5" w:tplc="6B90CB26">
      <w:numFmt w:val="bullet"/>
      <w:lvlText w:val="•"/>
      <w:lvlJc w:val="left"/>
      <w:pPr>
        <w:ind w:left="3815" w:hanging="140"/>
      </w:pPr>
      <w:rPr>
        <w:rFonts w:hint="default"/>
        <w:lang w:val="ro-RO" w:eastAsia="en-US" w:bidi="ar-SA"/>
      </w:rPr>
    </w:lvl>
    <w:lvl w:ilvl="6" w:tplc="0480FCD4">
      <w:numFmt w:val="bullet"/>
      <w:lvlText w:val="•"/>
      <w:lvlJc w:val="left"/>
      <w:pPr>
        <w:ind w:left="4470" w:hanging="140"/>
      </w:pPr>
      <w:rPr>
        <w:rFonts w:hint="default"/>
        <w:lang w:val="ro-RO" w:eastAsia="en-US" w:bidi="ar-SA"/>
      </w:rPr>
    </w:lvl>
    <w:lvl w:ilvl="7" w:tplc="D3C0FECC">
      <w:numFmt w:val="bullet"/>
      <w:lvlText w:val="•"/>
      <w:lvlJc w:val="left"/>
      <w:pPr>
        <w:ind w:left="5125" w:hanging="140"/>
      </w:pPr>
      <w:rPr>
        <w:rFonts w:hint="default"/>
        <w:lang w:val="ro-RO" w:eastAsia="en-US" w:bidi="ar-SA"/>
      </w:rPr>
    </w:lvl>
    <w:lvl w:ilvl="8" w:tplc="9246292C">
      <w:numFmt w:val="bullet"/>
      <w:lvlText w:val="•"/>
      <w:lvlJc w:val="left"/>
      <w:pPr>
        <w:ind w:left="5780" w:hanging="140"/>
      </w:pPr>
      <w:rPr>
        <w:rFonts w:hint="default"/>
        <w:lang w:val="ro-RO" w:eastAsia="en-US" w:bidi="ar-SA"/>
      </w:rPr>
    </w:lvl>
  </w:abstractNum>
  <w:abstractNum w:abstractNumId="161" w15:restartNumberingAfterBreak="0">
    <w:nsid w:val="6A410F72"/>
    <w:multiLevelType w:val="hybridMultilevel"/>
    <w:tmpl w:val="67767362"/>
    <w:lvl w:ilvl="0" w:tplc="A720ECE4">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62" w15:restartNumberingAfterBreak="0">
    <w:nsid w:val="6B055A55"/>
    <w:multiLevelType w:val="hybridMultilevel"/>
    <w:tmpl w:val="501CB2A0"/>
    <w:lvl w:ilvl="0" w:tplc="34503DB2">
      <w:numFmt w:val="bullet"/>
      <w:lvlText w:val="-"/>
      <w:lvlJc w:val="left"/>
      <w:pPr>
        <w:ind w:left="713" w:hanging="360"/>
      </w:pPr>
      <w:rPr>
        <w:rFonts w:ascii="Calibri" w:eastAsia="Calibri" w:hAnsi="Calibri" w:cs="Calibri" w:hint="default"/>
        <w:w w:val="100"/>
        <w:sz w:val="24"/>
        <w:szCs w:val="24"/>
        <w:lang w:val="ro-RO" w:eastAsia="en-US" w:bidi="ar-SA"/>
      </w:rPr>
    </w:lvl>
    <w:lvl w:ilvl="1" w:tplc="48AEAB82">
      <w:numFmt w:val="bullet"/>
      <w:lvlText w:val="•"/>
      <w:lvlJc w:val="left"/>
      <w:pPr>
        <w:ind w:left="1666" w:hanging="360"/>
      </w:pPr>
      <w:rPr>
        <w:rFonts w:hint="default"/>
        <w:lang w:val="ro-RO" w:eastAsia="en-US" w:bidi="ar-SA"/>
      </w:rPr>
    </w:lvl>
    <w:lvl w:ilvl="2" w:tplc="1A9AFF64">
      <w:numFmt w:val="bullet"/>
      <w:lvlText w:val="•"/>
      <w:lvlJc w:val="left"/>
      <w:pPr>
        <w:ind w:left="2613" w:hanging="360"/>
      </w:pPr>
      <w:rPr>
        <w:rFonts w:hint="default"/>
        <w:lang w:val="ro-RO" w:eastAsia="en-US" w:bidi="ar-SA"/>
      </w:rPr>
    </w:lvl>
    <w:lvl w:ilvl="3" w:tplc="26C815EE">
      <w:numFmt w:val="bullet"/>
      <w:lvlText w:val="•"/>
      <w:lvlJc w:val="left"/>
      <w:pPr>
        <w:ind w:left="3559" w:hanging="360"/>
      </w:pPr>
      <w:rPr>
        <w:rFonts w:hint="default"/>
        <w:lang w:val="ro-RO" w:eastAsia="en-US" w:bidi="ar-SA"/>
      </w:rPr>
    </w:lvl>
    <w:lvl w:ilvl="4" w:tplc="CEDC4E36">
      <w:numFmt w:val="bullet"/>
      <w:lvlText w:val="•"/>
      <w:lvlJc w:val="left"/>
      <w:pPr>
        <w:ind w:left="4506" w:hanging="360"/>
      </w:pPr>
      <w:rPr>
        <w:rFonts w:hint="default"/>
        <w:lang w:val="ro-RO" w:eastAsia="en-US" w:bidi="ar-SA"/>
      </w:rPr>
    </w:lvl>
    <w:lvl w:ilvl="5" w:tplc="E2B83AB6">
      <w:numFmt w:val="bullet"/>
      <w:lvlText w:val="•"/>
      <w:lvlJc w:val="left"/>
      <w:pPr>
        <w:ind w:left="5453" w:hanging="360"/>
      </w:pPr>
      <w:rPr>
        <w:rFonts w:hint="default"/>
        <w:lang w:val="ro-RO" w:eastAsia="en-US" w:bidi="ar-SA"/>
      </w:rPr>
    </w:lvl>
    <w:lvl w:ilvl="6" w:tplc="CE7274E6">
      <w:numFmt w:val="bullet"/>
      <w:lvlText w:val="•"/>
      <w:lvlJc w:val="left"/>
      <w:pPr>
        <w:ind w:left="6399" w:hanging="360"/>
      </w:pPr>
      <w:rPr>
        <w:rFonts w:hint="default"/>
        <w:lang w:val="ro-RO" w:eastAsia="en-US" w:bidi="ar-SA"/>
      </w:rPr>
    </w:lvl>
    <w:lvl w:ilvl="7" w:tplc="FE1C4316">
      <w:numFmt w:val="bullet"/>
      <w:lvlText w:val="•"/>
      <w:lvlJc w:val="left"/>
      <w:pPr>
        <w:ind w:left="7346" w:hanging="360"/>
      </w:pPr>
      <w:rPr>
        <w:rFonts w:hint="default"/>
        <w:lang w:val="ro-RO" w:eastAsia="en-US" w:bidi="ar-SA"/>
      </w:rPr>
    </w:lvl>
    <w:lvl w:ilvl="8" w:tplc="F4146904">
      <w:numFmt w:val="bullet"/>
      <w:lvlText w:val="•"/>
      <w:lvlJc w:val="left"/>
      <w:pPr>
        <w:ind w:left="8293" w:hanging="360"/>
      </w:pPr>
      <w:rPr>
        <w:rFonts w:hint="default"/>
        <w:lang w:val="ro-RO" w:eastAsia="en-US" w:bidi="ar-SA"/>
      </w:rPr>
    </w:lvl>
  </w:abstractNum>
  <w:abstractNum w:abstractNumId="163" w15:restartNumberingAfterBreak="0">
    <w:nsid w:val="6B1F5915"/>
    <w:multiLevelType w:val="hybridMultilevel"/>
    <w:tmpl w:val="30E05E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6BCC36BE"/>
    <w:multiLevelType w:val="hybridMultilevel"/>
    <w:tmpl w:val="CB5C08AA"/>
    <w:lvl w:ilvl="0" w:tplc="9D4CD61A">
      <w:numFmt w:val="bullet"/>
      <w:lvlText w:val="-"/>
      <w:lvlJc w:val="left"/>
      <w:pPr>
        <w:ind w:left="4093" w:hanging="102"/>
      </w:pPr>
      <w:rPr>
        <w:rFonts w:ascii="Cambria" w:eastAsia="Cambria" w:hAnsi="Cambria" w:cs="Cambria" w:hint="default"/>
        <w:b/>
        <w:bCs/>
        <w:w w:val="100"/>
        <w:sz w:val="18"/>
        <w:szCs w:val="18"/>
        <w:lang w:val="ro-RO" w:eastAsia="en-US" w:bidi="ar-SA"/>
      </w:rPr>
    </w:lvl>
    <w:lvl w:ilvl="1" w:tplc="32D8EF0A">
      <w:numFmt w:val="bullet"/>
      <w:lvlText w:val="•"/>
      <w:lvlJc w:val="left"/>
      <w:pPr>
        <w:ind w:left="4487" w:hanging="102"/>
      </w:pPr>
      <w:rPr>
        <w:rFonts w:hint="default"/>
        <w:lang w:val="ro-RO" w:eastAsia="en-US" w:bidi="ar-SA"/>
      </w:rPr>
    </w:lvl>
    <w:lvl w:ilvl="2" w:tplc="E0AA9AB2">
      <w:numFmt w:val="bullet"/>
      <w:lvlText w:val="•"/>
      <w:lvlJc w:val="left"/>
      <w:pPr>
        <w:ind w:left="4875" w:hanging="102"/>
      </w:pPr>
      <w:rPr>
        <w:rFonts w:hint="default"/>
        <w:lang w:val="ro-RO" w:eastAsia="en-US" w:bidi="ar-SA"/>
      </w:rPr>
    </w:lvl>
    <w:lvl w:ilvl="3" w:tplc="37867DB0">
      <w:numFmt w:val="bullet"/>
      <w:lvlText w:val="•"/>
      <w:lvlJc w:val="left"/>
      <w:pPr>
        <w:ind w:left="5262" w:hanging="102"/>
      </w:pPr>
      <w:rPr>
        <w:rFonts w:hint="default"/>
        <w:lang w:val="ro-RO" w:eastAsia="en-US" w:bidi="ar-SA"/>
      </w:rPr>
    </w:lvl>
    <w:lvl w:ilvl="4" w:tplc="291C78EA">
      <w:numFmt w:val="bullet"/>
      <w:lvlText w:val="•"/>
      <w:lvlJc w:val="left"/>
      <w:pPr>
        <w:ind w:left="5650" w:hanging="102"/>
      </w:pPr>
      <w:rPr>
        <w:rFonts w:hint="default"/>
        <w:lang w:val="ro-RO" w:eastAsia="en-US" w:bidi="ar-SA"/>
      </w:rPr>
    </w:lvl>
    <w:lvl w:ilvl="5" w:tplc="4A3AFC70">
      <w:numFmt w:val="bullet"/>
      <w:lvlText w:val="•"/>
      <w:lvlJc w:val="left"/>
      <w:pPr>
        <w:ind w:left="6038" w:hanging="102"/>
      </w:pPr>
      <w:rPr>
        <w:rFonts w:hint="default"/>
        <w:lang w:val="ro-RO" w:eastAsia="en-US" w:bidi="ar-SA"/>
      </w:rPr>
    </w:lvl>
    <w:lvl w:ilvl="6" w:tplc="F16AEE54">
      <w:numFmt w:val="bullet"/>
      <w:lvlText w:val="•"/>
      <w:lvlJc w:val="left"/>
      <w:pPr>
        <w:ind w:left="6425" w:hanging="102"/>
      </w:pPr>
      <w:rPr>
        <w:rFonts w:hint="default"/>
        <w:lang w:val="ro-RO" w:eastAsia="en-US" w:bidi="ar-SA"/>
      </w:rPr>
    </w:lvl>
    <w:lvl w:ilvl="7" w:tplc="936071AA">
      <w:numFmt w:val="bullet"/>
      <w:lvlText w:val="•"/>
      <w:lvlJc w:val="left"/>
      <w:pPr>
        <w:ind w:left="6813" w:hanging="102"/>
      </w:pPr>
      <w:rPr>
        <w:rFonts w:hint="default"/>
        <w:lang w:val="ro-RO" w:eastAsia="en-US" w:bidi="ar-SA"/>
      </w:rPr>
    </w:lvl>
    <w:lvl w:ilvl="8" w:tplc="1850F47E">
      <w:numFmt w:val="bullet"/>
      <w:lvlText w:val="•"/>
      <w:lvlJc w:val="left"/>
      <w:pPr>
        <w:ind w:left="7200" w:hanging="102"/>
      </w:pPr>
      <w:rPr>
        <w:rFonts w:hint="default"/>
        <w:lang w:val="ro-RO" w:eastAsia="en-US" w:bidi="ar-SA"/>
      </w:rPr>
    </w:lvl>
  </w:abstractNum>
  <w:abstractNum w:abstractNumId="165" w15:restartNumberingAfterBreak="0">
    <w:nsid w:val="6CA66E67"/>
    <w:multiLevelType w:val="multilevel"/>
    <w:tmpl w:val="85768514"/>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6" w15:restartNumberingAfterBreak="0">
    <w:nsid w:val="6CC344EC"/>
    <w:multiLevelType w:val="hybridMultilevel"/>
    <w:tmpl w:val="C09A64CC"/>
    <w:lvl w:ilvl="0" w:tplc="4DB44C00">
      <w:numFmt w:val="bullet"/>
      <w:lvlText w:val="-"/>
      <w:lvlJc w:val="left"/>
      <w:pPr>
        <w:ind w:left="22" w:hanging="258"/>
      </w:pPr>
      <w:rPr>
        <w:rFonts w:ascii="Times New Roman" w:eastAsia="Times New Roman" w:hAnsi="Times New Roman" w:cs="Times New Roman" w:hint="default"/>
        <w:w w:val="100"/>
        <w:sz w:val="22"/>
        <w:szCs w:val="22"/>
        <w:lang w:val="ro-RO" w:eastAsia="en-US" w:bidi="ar-SA"/>
      </w:rPr>
    </w:lvl>
    <w:lvl w:ilvl="1" w:tplc="15E666BE">
      <w:numFmt w:val="bullet"/>
      <w:lvlText w:val="•"/>
      <w:lvlJc w:val="left"/>
      <w:pPr>
        <w:ind w:left="273" w:hanging="258"/>
      </w:pPr>
      <w:rPr>
        <w:rFonts w:hint="default"/>
        <w:lang w:val="ro-RO" w:eastAsia="en-US" w:bidi="ar-SA"/>
      </w:rPr>
    </w:lvl>
    <w:lvl w:ilvl="2" w:tplc="00EA6B1C">
      <w:numFmt w:val="bullet"/>
      <w:lvlText w:val="•"/>
      <w:lvlJc w:val="left"/>
      <w:pPr>
        <w:ind w:left="527" w:hanging="258"/>
      </w:pPr>
      <w:rPr>
        <w:rFonts w:hint="default"/>
        <w:lang w:val="ro-RO" w:eastAsia="en-US" w:bidi="ar-SA"/>
      </w:rPr>
    </w:lvl>
    <w:lvl w:ilvl="3" w:tplc="9B04559A">
      <w:numFmt w:val="bullet"/>
      <w:lvlText w:val="•"/>
      <w:lvlJc w:val="left"/>
      <w:pPr>
        <w:ind w:left="781" w:hanging="258"/>
      </w:pPr>
      <w:rPr>
        <w:rFonts w:hint="default"/>
        <w:lang w:val="ro-RO" w:eastAsia="en-US" w:bidi="ar-SA"/>
      </w:rPr>
    </w:lvl>
    <w:lvl w:ilvl="4" w:tplc="75E2C0A6">
      <w:numFmt w:val="bullet"/>
      <w:lvlText w:val="•"/>
      <w:lvlJc w:val="left"/>
      <w:pPr>
        <w:ind w:left="1035" w:hanging="258"/>
      </w:pPr>
      <w:rPr>
        <w:rFonts w:hint="default"/>
        <w:lang w:val="ro-RO" w:eastAsia="en-US" w:bidi="ar-SA"/>
      </w:rPr>
    </w:lvl>
    <w:lvl w:ilvl="5" w:tplc="1F6498CC">
      <w:numFmt w:val="bullet"/>
      <w:lvlText w:val="•"/>
      <w:lvlJc w:val="left"/>
      <w:pPr>
        <w:ind w:left="1289" w:hanging="258"/>
      </w:pPr>
      <w:rPr>
        <w:rFonts w:hint="default"/>
        <w:lang w:val="ro-RO" w:eastAsia="en-US" w:bidi="ar-SA"/>
      </w:rPr>
    </w:lvl>
    <w:lvl w:ilvl="6" w:tplc="48A09D80">
      <w:numFmt w:val="bullet"/>
      <w:lvlText w:val="•"/>
      <w:lvlJc w:val="left"/>
      <w:pPr>
        <w:ind w:left="1542" w:hanging="258"/>
      </w:pPr>
      <w:rPr>
        <w:rFonts w:hint="default"/>
        <w:lang w:val="ro-RO" w:eastAsia="en-US" w:bidi="ar-SA"/>
      </w:rPr>
    </w:lvl>
    <w:lvl w:ilvl="7" w:tplc="B4DCD3F2">
      <w:numFmt w:val="bullet"/>
      <w:lvlText w:val="•"/>
      <w:lvlJc w:val="left"/>
      <w:pPr>
        <w:ind w:left="1796" w:hanging="258"/>
      </w:pPr>
      <w:rPr>
        <w:rFonts w:hint="default"/>
        <w:lang w:val="ro-RO" w:eastAsia="en-US" w:bidi="ar-SA"/>
      </w:rPr>
    </w:lvl>
    <w:lvl w:ilvl="8" w:tplc="7D324A94">
      <w:numFmt w:val="bullet"/>
      <w:lvlText w:val="•"/>
      <w:lvlJc w:val="left"/>
      <w:pPr>
        <w:ind w:left="2050" w:hanging="258"/>
      </w:pPr>
      <w:rPr>
        <w:rFonts w:hint="default"/>
        <w:lang w:val="ro-RO" w:eastAsia="en-US" w:bidi="ar-SA"/>
      </w:rPr>
    </w:lvl>
  </w:abstractNum>
  <w:abstractNum w:abstractNumId="167" w15:restartNumberingAfterBreak="0">
    <w:nsid w:val="6ECD7D88"/>
    <w:multiLevelType w:val="hybridMultilevel"/>
    <w:tmpl w:val="600E973E"/>
    <w:lvl w:ilvl="0" w:tplc="04090001">
      <w:start w:val="1"/>
      <w:numFmt w:val="bullet"/>
      <w:lvlText w:val=""/>
      <w:lvlJc w:val="left"/>
      <w:pPr>
        <w:ind w:left="643"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68" w15:restartNumberingAfterBreak="0">
    <w:nsid w:val="6FBB29CB"/>
    <w:multiLevelType w:val="hybridMultilevel"/>
    <w:tmpl w:val="FEBE7D14"/>
    <w:lvl w:ilvl="0" w:tplc="F2228B94">
      <w:numFmt w:val="bullet"/>
      <w:lvlText w:val="-"/>
      <w:lvlJc w:val="left"/>
      <w:pPr>
        <w:ind w:left="22" w:hanging="258"/>
      </w:pPr>
      <w:rPr>
        <w:rFonts w:ascii="Times New Roman" w:eastAsia="Times New Roman" w:hAnsi="Times New Roman" w:cs="Times New Roman" w:hint="default"/>
        <w:w w:val="100"/>
        <w:sz w:val="22"/>
        <w:szCs w:val="22"/>
        <w:lang w:val="ro-RO" w:eastAsia="en-US" w:bidi="ar-SA"/>
      </w:rPr>
    </w:lvl>
    <w:lvl w:ilvl="1" w:tplc="1284B444">
      <w:numFmt w:val="bullet"/>
      <w:lvlText w:val="•"/>
      <w:lvlJc w:val="left"/>
      <w:pPr>
        <w:ind w:left="273" w:hanging="258"/>
      </w:pPr>
      <w:rPr>
        <w:rFonts w:hint="default"/>
        <w:lang w:val="ro-RO" w:eastAsia="en-US" w:bidi="ar-SA"/>
      </w:rPr>
    </w:lvl>
    <w:lvl w:ilvl="2" w:tplc="2C729E7E">
      <w:numFmt w:val="bullet"/>
      <w:lvlText w:val="•"/>
      <w:lvlJc w:val="left"/>
      <w:pPr>
        <w:ind w:left="527" w:hanging="258"/>
      </w:pPr>
      <w:rPr>
        <w:rFonts w:hint="default"/>
        <w:lang w:val="ro-RO" w:eastAsia="en-US" w:bidi="ar-SA"/>
      </w:rPr>
    </w:lvl>
    <w:lvl w:ilvl="3" w:tplc="EA8EF59A">
      <w:numFmt w:val="bullet"/>
      <w:lvlText w:val="•"/>
      <w:lvlJc w:val="left"/>
      <w:pPr>
        <w:ind w:left="781" w:hanging="258"/>
      </w:pPr>
      <w:rPr>
        <w:rFonts w:hint="default"/>
        <w:lang w:val="ro-RO" w:eastAsia="en-US" w:bidi="ar-SA"/>
      </w:rPr>
    </w:lvl>
    <w:lvl w:ilvl="4" w:tplc="C8D05376">
      <w:numFmt w:val="bullet"/>
      <w:lvlText w:val="•"/>
      <w:lvlJc w:val="left"/>
      <w:pPr>
        <w:ind w:left="1035" w:hanging="258"/>
      </w:pPr>
      <w:rPr>
        <w:rFonts w:hint="default"/>
        <w:lang w:val="ro-RO" w:eastAsia="en-US" w:bidi="ar-SA"/>
      </w:rPr>
    </w:lvl>
    <w:lvl w:ilvl="5" w:tplc="29282952">
      <w:numFmt w:val="bullet"/>
      <w:lvlText w:val="•"/>
      <w:lvlJc w:val="left"/>
      <w:pPr>
        <w:ind w:left="1289" w:hanging="258"/>
      </w:pPr>
      <w:rPr>
        <w:rFonts w:hint="default"/>
        <w:lang w:val="ro-RO" w:eastAsia="en-US" w:bidi="ar-SA"/>
      </w:rPr>
    </w:lvl>
    <w:lvl w:ilvl="6" w:tplc="9058E314">
      <w:numFmt w:val="bullet"/>
      <w:lvlText w:val="•"/>
      <w:lvlJc w:val="left"/>
      <w:pPr>
        <w:ind w:left="1543" w:hanging="258"/>
      </w:pPr>
      <w:rPr>
        <w:rFonts w:hint="default"/>
        <w:lang w:val="ro-RO" w:eastAsia="en-US" w:bidi="ar-SA"/>
      </w:rPr>
    </w:lvl>
    <w:lvl w:ilvl="7" w:tplc="F842C768">
      <w:numFmt w:val="bullet"/>
      <w:lvlText w:val="•"/>
      <w:lvlJc w:val="left"/>
      <w:pPr>
        <w:ind w:left="1797" w:hanging="258"/>
      </w:pPr>
      <w:rPr>
        <w:rFonts w:hint="default"/>
        <w:lang w:val="ro-RO" w:eastAsia="en-US" w:bidi="ar-SA"/>
      </w:rPr>
    </w:lvl>
    <w:lvl w:ilvl="8" w:tplc="6840EA5E">
      <w:numFmt w:val="bullet"/>
      <w:lvlText w:val="•"/>
      <w:lvlJc w:val="left"/>
      <w:pPr>
        <w:ind w:left="2051" w:hanging="258"/>
      </w:pPr>
      <w:rPr>
        <w:rFonts w:hint="default"/>
        <w:lang w:val="ro-RO" w:eastAsia="en-US" w:bidi="ar-SA"/>
      </w:rPr>
    </w:lvl>
  </w:abstractNum>
  <w:abstractNum w:abstractNumId="169" w15:restartNumberingAfterBreak="0">
    <w:nsid w:val="70413B96"/>
    <w:multiLevelType w:val="hybridMultilevel"/>
    <w:tmpl w:val="30360360"/>
    <w:lvl w:ilvl="0" w:tplc="FD8EC7FE">
      <w:numFmt w:val="bullet"/>
      <w:lvlText w:val="-"/>
      <w:lvlJc w:val="left"/>
      <w:pPr>
        <w:ind w:left="366" w:hanging="140"/>
      </w:pPr>
      <w:rPr>
        <w:rFonts w:ascii="Times New Roman" w:eastAsia="Times New Roman" w:hAnsi="Times New Roman" w:cs="Times New Roman" w:hint="default"/>
        <w:w w:val="99"/>
        <w:sz w:val="24"/>
        <w:szCs w:val="24"/>
        <w:lang w:val="ro-RO" w:eastAsia="en-US" w:bidi="ar-SA"/>
      </w:rPr>
    </w:lvl>
    <w:lvl w:ilvl="1" w:tplc="CE02B44C">
      <w:numFmt w:val="bullet"/>
      <w:lvlText w:val="•"/>
      <w:lvlJc w:val="left"/>
      <w:pPr>
        <w:ind w:left="1033" w:hanging="140"/>
      </w:pPr>
      <w:rPr>
        <w:rFonts w:hint="default"/>
        <w:lang w:val="ro-RO" w:eastAsia="en-US" w:bidi="ar-SA"/>
      </w:rPr>
    </w:lvl>
    <w:lvl w:ilvl="2" w:tplc="3F5873E4">
      <w:numFmt w:val="bullet"/>
      <w:lvlText w:val="•"/>
      <w:lvlJc w:val="left"/>
      <w:pPr>
        <w:ind w:left="1706" w:hanging="140"/>
      </w:pPr>
      <w:rPr>
        <w:rFonts w:hint="default"/>
        <w:lang w:val="ro-RO" w:eastAsia="en-US" w:bidi="ar-SA"/>
      </w:rPr>
    </w:lvl>
    <w:lvl w:ilvl="3" w:tplc="79785E2E">
      <w:numFmt w:val="bullet"/>
      <w:lvlText w:val="•"/>
      <w:lvlJc w:val="left"/>
      <w:pPr>
        <w:ind w:left="2379" w:hanging="140"/>
      </w:pPr>
      <w:rPr>
        <w:rFonts w:hint="default"/>
        <w:lang w:val="ro-RO" w:eastAsia="en-US" w:bidi="ar-SA"/>
      </w:rPr>
    </w:lvl>
    <w:lvl w:ilvl="4" w:tplc="5F9EA20A">
      <w:numFmt w:val="bullet"/>
      <w:lvlText w:val="•"/>
      <w:lvlJc w:val="left"/>
      <w:pPr>
        <w:ind w:left="3052" w:hanging="140"/>
      </w:pPr>
      <w:rPr>
        <w:rFonts w:hint="default"/>
        <w:lang w:val="ro-RO" w:eastAsia="en-US" w:bidi="ar-SA"/>
      </w:rPr>
    </w:lvl>
    <w:lvl w:ilvl="5" w:tplc="C36EEA12">
      <w:numFmt w:val="bullet"/>
      <w:lvlText w:val="•"/>
      <w:lvlJc w:val="left"/>
      <w:pPr>
        <w:ind w:left="3725" w:hanging="140"/>
      </w:pPr>
      <w:rPr>
        <w:rFonts w:hint="default"/>
        <w:lang w:val="ro-RO" w:eastAsia="en-US" w:bidi="ar-SA"/>
      </w:rPr>
    </w:lvl>
    <w:lvl w:ilvl="6" w:tplc="4C085A66">
      <w:numFmt w:val="bullet"/>
      <w:lvlText w:val="•"/>
      <w:lvlJc w:val="left"/>
      <w:pPr>
        <w:ind w:left="4398" w:hanging="140"/>
      </w:pPr>
      <w:rPr>
        <w:rFonts w:hint="default"/>
        <w:lang w:val="ro-RO" w:eastAsia="en-US" w:bidi="ar-SA"/>
      </w:rPr>
    </w:lvl>
    <w:lvl w:ilvl="7" w:tplc="78DABC20">
      <w:numFmt w:val="bullet"/>
      <w:lvlText w:val="•"/>
      <w:lvlJc w:val="left"/>
      <w:pPr>
        <w:ind w:left="5071" w:hanging="140"/>
      </w:pPr>
      <w:rPr>
        <w:rFonts w:hint="default"/>
        <w:lang w:val="ro-RO" w:eastAsia="en-US" w:bidi="ar-SA"/>
      </w:rPr>
    </w:lvl>
    <w:lvl w:ilvl="8" w:tplc="AF92F6AE">
      <w:numFmt w:val="bullet"/>
      <w:lvlText w:val="•"/>
      <w:lvlJc w:val="left"/>
      <w:pPr>
        <w:ind w:left="5744" w:hanging="140"/>
      </w:pPr>
      <w:rPr>
        <w:rFonts w:hint="default"/>
        <w:lang w:val="ro-RO" w:eastAsia="en-US" w:bidi="ar-SA"/>
      </w:rPr>
    </w:lvl>
  </w:abstractNum>
  <w:abstractNum w:abstractNumId="170" w15:restartNumberingAfterBreak="0">
    <w:nsid w:val="71E075C4"/>
    <w:multiLevelType w:val="hybridMultilevel"/>
    <w:tmpl w:val="4154BE6E"/>
    <w:lvl w:ilvl="0" w:tplc="1F7A0508">
      <w:numFmt w:val="bullet"/>
      <w:lvlText w:val=""/>
      <w:lvlJc w:val="left"/>
      <w:pPr>
        <w:ind w:left="1813" w:hanging="360"/>
      </w:pPr>
      <w:rPr>
        <w:rFonts w:ascii="Symbol" w:eastAsia="Symbol" w:hAnsi="Symbol" w:cs="Symbol" w:hint="default"/>
        <w:w w:val="100"/>
        <w:sz w:val="24"/>
        <w:szCs w:val="24"/>
        <w:lang w:val="ro-RO" w:eastAsia="en-US" w:bidi="ar-SA"/>
      </w:rPr>
    </w:lvl>
    <w:lvl w:ilvl="1" w:tplc="7100AB9A">
      <w:numFmt w:val="bullet"/>
      <w:lvlText w:val="•"/>
      <w:lvlJc w:val="left"/>
      <w:pPr>
        <w:ind w:left="2680" w:hanging="360"/>
      </w:pPr>
      <w:rPr>
        <w:rFonts w:hint="default"/>
        <w:lang w:val="ro-RO" w:eastAsia="en-US" w:bidi="ar-SA"/>
      </w:rPr>
    </w:lvl>
    <w:lvl w:ilvl="2" w:tplc="D1121E76">
      <w:numFmt w:val="bullet"/>
      <w:lvlText w:val="•"/>
      <w:lvlJc w:val="left"/>
      <w:pPr>
        <w:ind w:left="3541" w:hanging="360"/>
      </w:pPr>
      <w:rPr>
        <w:rFonts w:hint="default"/>
        <w:lang w:val="ro-RO" w:eastAsia="en-US" w:bidi="ar-SA"/>
      </w:rPr>
    </w:lvl>
    <w:lvl w:ilvl="3" w:tplc="1F209886">
      <w:numFmt w:val="bullet"/>
      <w:lvlText w:val="•"/>
      <w:lvlJc w:val="left"/>
      <w:pPr>
        <w:ind w:left="4401" w:hanging="360"/>
      </w:pPr>
      <w:rPr>
        <w:rFonts w:hint="default"/>
        <w:lang w:val="ro-RO" w:eastAsia="en-US" w:bidi="ar-SA"/>
      </w:rPr>
    </w:lvl>
    <w:lvl w:ilvl="4" w:tplc="C0A0558E">
      <w:numFmt w:val="bullet"/>
      <w:lvlText w:val="•"/>
      <w:lvlJc w:val="left"/>
      <w:pPr>
        <w:ind w:left="5262" w:hanging="360"/>
      </w:pPr>
      <w:rPr>
        <w:rFonts w:hint="default"/>
        <w:lang w:val="ro-RO" w:eastAsia="en-US" w:bidi="ar-SA"/>
      </w:rPr>
    </w:lvl>
    <w:lvl w:ilvl="5" w:tplc="8D0EEACC">
      <w:numFmt w:val="bullet"/>
      <w:lvlText w:val="•"/>
      <w:lvlJc w:val="left"/>
      <w:pPr>
        <w:ind w:left="6123" w:hanging="360"/>
      </w:pPr>
      <w:rPr>
        <w:rFonts w:hint="default"/>
        <w:lang w:val="ro-RO" w:eastAsia="en-US" w:bidi="ar-SA"/>
      </w:rPr>
    </w:lvl>
    <w:lvl w:ilvl="6" w:tplc="45E606F6">
      <w:numFmt w:val="bullet"/>
      <w:lvlText w:val="•"/>
      <w:lvlJc w:val="left"/>
      <w:pPr>
        <w:ind w:left="6983" w:hanging="360"/>
      </w:pPr>
      <w:rPr>
        <w:rFonts w:hint="default"/>
        <w:lang w:val="ro-RO" w:eastAsia="en-US" w:bidi="ar-SA"/>
      </w:rPr>
    </w:lvl>
    <w:lvl w:ilvl="7" w:tplc="7D34D7E0">
      <w:numFmt w:val="bullet"/>
      <w:lvlText w:val="•"/>
      <w:lvlJc w:val="left"/>
      <w:pPr>
        <w:ind w:left="7844" w:hanging="360"/>
      </w:pPr>
      <w:rPr>
        <w:rFonts w:hint="default"/>
        <w:lang w:val="ro-RO" w:eastAsia="en-US" w:bidi="ar-SA"/>
      </w:rPr>
    </w:lvl>
    <w:lvl w:ilvl="8" w:tplc="3378EBD6">
      <w:numFmt w:val="bullet"/>
      <w:lvlText w:val="•"/>
      <w:lvlJc w:val="left"/>
      <w:pPr>
        <w:ind w:left="8705" w:hanging="360"/>
      </w:pPr>
      <w:rPr>
        <w:rFonts w:hint="default"/>
        <w:lang w:val="ro-RO" w:eastAsia="en-US" w:bidi="ar-SA"/>
      </w:rPr>
    </w:lvl>
  </w:abstractNum>
  <w:abstractNum w:abstractNumId="171" w15:restartNumberingAfterBreak="0">
    <w:nsid w:val="7251617D"/>
    <w:multiLevelType w:val="hybridMultilevel"/>
    <w:tmpl w:val="9F74B192"/>
    <w:lvl w:ilvl="0" w:tplc="B2028BCA">
      <w:numFmt w:val="bullet"/>
      <w:lvlText w:val="-"/>
      <w:lvlJc w:val="left"/>
      <w:pPr>
        <w:ind w:left="467" w:hanging="360"/>
      </w:pPr>
      <w:rPr>
        <w:rFonts w:ascii="Calibri" w:eastAsia="Calibri" w:hAnsi="Calibri" w:cs="Calibri" w:hint="default"/>
        <w:w w:val="100"/>
        <w:sz w:val="24"/>
        <w:szCs w:val="24"/>
        <w:lang w:val="ro-RO" w:eastAsia="en-US" w:bidi="ar-SA"/>
      </w:rPr>
    </w:lvl>
    <w:lvl w:ilvl="1" w:tplc="58F28FEA">
      <w:start w:val="1"/>
      <w:numFmt w:val="decimal"/>
      <w:lvlText w:val="%2."/>
      <w:lvlJc w:val="left"/>
      <w:pPr>
        <w:ind w:left="828" w:hanging="361"/>
      </w:pPr>
      <w:rPr>
        <w:rFonts w:ascii="Times New Roman" w:eastAsia="Times New Roman" w:hAnsi="Times New Roman" w:cs="Times New Roman" w:hint="default"/>
        <w:w w:val="100"/>
        <w:sz w:val="24"/>
        <w:szCs w:val="24"/>
        <w:lang w:val="ro-RO" w:eastAsia="en-US" w:bidi="ar-SA"/>
      </w:rPr>
    </w:lvl>
    <w:lvl w:ilvl="2" w:tplc="A7E0B654">
      <w:numFmt w:val="bullet"/>
      <w:lvlText w:val="-"/>
      <w:lvlJc w:val="left"/>
      <w:pPr>
        <w:ind w:left="1176" w:hanging="360"/>
      </w:pPr>
      <w:rPr>
        <w:rFonts w:ascii="Calibri" w:eastAsia="Calibri" w:hAnsi="Calibri" w:cs="Calibri" w:hint="default"/>
        <w:w w:val="100"/>
        <w:sz w:val="24"/>
        <w:szCs w:val="24"/>
        <w:lang w:val="ro-RO" w:eastAsia="en-US" w:bidi="ar-SA"/>
      </w:rPr>
    </w:lvl>
    <w:lvl w:ilvl="3" w:tplc="3F2E1612">
      <w:numFmt w:val="bullet"/>
      <w:lvlText w:val="•"/>
      <w:lvlJc w:val="left"/>
      <w:pPr>
        <w:ind w:left="2009" w:hanging="360"/>
      </w:pPr>
      <w:rPr>
        <w:rFonts w:hint="default"/>
        <w:lang w:val="ro-RO" w:eastAsia="en-US" w:bidi="ar-SA"/>
      </w:rPr>
    </w:lvl>
    <w:lvl w:ilvl="4" w:tplc="2B361188">
      <w:numFmt w:val="bullet"/>
      <w:lvlText w:val="•"/>
      <w:lvlJc w:val="left"/>
      <w:pPr>
        <w:ind w:left="2839" w:hanging="360"/>
      </w:pPr>
      <w:rPr>
        <w:rFonts w:hint="default"/>
        <w:lang w:val="ro-RO" w:eastAsia="en-US" w:bidi="ar-SA"/>
      </w:rPr>
    </w:lvl>
    <w:lvl w:ilvl="5" w:tplc="E8DA8B84">
      <w:numFmt w:val="bullet"/>
      <w:lvlText w:val="•"/>
      <w:lvlJc w:val="left"/>
      <w:pPr>
        <w:ind w:left="3668" w:hanging="360"/>
      </w:pPr>
      <w:rPr>
        <w:rFonts w:hint="default"/>
        <w:lang w:val="ro-RO" w:eastAsia="en-US" w:bidi="ar-SA"/>
      </w:rPr>
    </w:lvl>
    <w:lvl w:ilvl="6" w:tplc="A904AA6A">
      <w:numFmt w:val="bullet"/>
      <w:lvlText w:val="•"/>
      <w:lvlJc w:val="left"/>
      <w:pPr>
        <w:ind w:left="4498" w:hanging="360"/>
      </w:pPr>
      <w:rPr>
        <w:rFonts w:hint="default"/>
        <w:lang w:val="ro-RO" w:eastAsia="en-US" w:bidi="ar-SA"/>
      </w:rPr>
    </w:lvl>
    <w:lvl w:ilvl="7" w:tplc="16E6D342">
      <w:numFmt w:val="bullet"/>
      <w:lvlText w:val="•"/>
      <w:lvlJc w:val="left"/>
      <w:pPr>
        <w:ind w:left="5327" w:hanging="360"/>
      </w:pPr>
      <w:rPr>
        <w:rFonts w:hint="default"/>
        <w:lang w:val="ro-RO" w:eastAsia="en-US" w:bidi="ar-SA"/>
      </w:rPr>
    </w:lvl>
    <w:lvl w:ilvl="8" w:tplc="0B32C676">
      <w:numFmt w:val="bullet"/>
      <w:lvlText w:val="•"/>
      <w:lvlJc w:val="left"/>
      <w:pPr>
        <w:ind w:left="6157" w:hanging="360"/>
      </w:pPr>
      <w:rPr>
        <w:rFonts w:hint="default"/>
        <w:lang w:val="ro-RO" w:eastAsia="en-US" w:bidi="ar-SA"/>
      </w:rPr>
    </w:lvl>
  </w:abstractNum>
  <w:abstractNum w:abstractNumId="172" w15:restartNumberingAfterBreak="0">
    <w:nsid w:val="74150BB9"/>
    <w:multiLevelType w:val="hybridMultilevel"/>
    <w:tmpl w:val="E38C1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74C16890"/>
    <w:multiLevelType w:val="hybridMultilevel"/>
    <w:tmpl w:val="3CD06A12"/>
    <w:lvl w:ilvl="0" w:tplc="B20ABE8A">
      <w:numFmt w:val="bullet"/>
      <w:lvlText w:val="-"/>
      <w:lvlJc w:val="left"/>
      <w:pPr>
        <w:ind w:left="366" w:hanging="140"/>
      </w:pPr>
      <w:rPr>
        <w:rFonts w:ascii="Times New Roman" w:eastAsia="Times New Roman" w:hAnsi="Times New Roman" w:cs="Times New Roman" w:hint="default"/>
        <w:w w:val="99"/>
        <w:sz w:val="24"/>
        <w:szCs w:val="24"/>
        <w:lang w:val="ro-RO" w:eastAsia="en-US" w:bidi="ar-SA"/>
      </w:rPr>
    </w:lvl>
    <w:lvl w:ilvl="1" w:tplc="527CCA0A">
      <w:numFmt w:val="bullet"/>
      <w:lvlText w:val="•"/>
      <w:lvlJc w:val="left"/>
      <w:pPr>
        <w:ind w:left="1033" w:hanging="140"/>
      </w:pPr>
      <w:rPr>
        <w:rFonts w:hint="default"/>
        <w:lang w:val="ro-RO" w:eastAsia="en-US" w:bidi="ar-SA"/>
      </w:rPr>
    </w:lvl>
    <w:lvl w:ilvl="2" w:tplc="76FAB97C">
      <w:numFmt w:val="bullet"/>
      <w:lvlText w:val="•"/>
      <w:lvlJc w:val="left"/>
      <w:pPr>
        <w:ind w:left="1706" w:hanging="140"/>
      </w:pPr>
      <w:rPr>
        <w:rFonts w:hint="default"/>
        <w:lang w:val="ro-RO" w:eastAsia="en-US" w:bidi="ar-SA"/>
      </w:rPr>
    </w:lvl>
    <w:lvl w:ilvl="3" w:tplc="5CB4BFD4">
      <w:numFmt w:val="bullet"/>
      <w:lvlText w:val="•"/>
      <w:lvlJc w:val="left"/>
      <w:pPr>
        <w:ind w:left="2379" w:hanging="140"/>
      </w:pPr>
      <w:rPr>
        <w:rFonts w:hint="default"/>
        <w:lang w:val="ro-RO" w:eastAsia="en-US" w:bidi="ar-SA"/>
      </w:rPr>
    </w:lvl>
    <w:lvl w:ilvl="4" w:tplc="A560D908">
      <w:numFmt w:val="bullet"/>
      <w:lvlText w:val="•"/>
      <w:lvlJc w:val="left"/>
      <w:pPr>
        <w:ind w:left="3052" w:hanging="140"/>
      </w:pPr>
      <w:rPr>
        <w:rFonts w:hint="default"/>
        <w:lang w:val="ro-RO" w:eastAsia="en-US" w:bidi="ar-SA"/>
      </w:rPr>
    </w:lvl>
    <w:lvl w:ilvl="5" w:tplc="C6A42FF0">
      <w:numFmt w:val="bullet"/>
      <w:lvlText w:val="•"/>
      <w:lvlJc w:val="left"/>
      <w:pPr>
        <w:ind w:left="3725" w:hanging="140"/>
      </w:pPr>
      <w:rPr>
        <w:rFonts w:hint="default"/>
        <w:lang w:val="ro-RO" w:eastAsia="en-US" w:bidi="ar-SA"/>
      </w:rPr>
    </w:lvl>
    <w:lvl w:ilvl="6" w:tplc="64CAF95A">
      <w:numFmt w:val="bullet"/>
      <w:lvlText w:val="•"/>
      <w:lvlJc w:val="left"/>
      <w:pPr>
        <w:ind w:left="4398" w:hanging="140"/>
      </w:pPr>
      <w:rPr>
        <w:rFonts w:hint="default"/>
        <w:lang w:val="ro-RO" w:eastAsia="en-US" w:bidi="ar-SA"/>
      </w:rPr>
    </w:lvl>
    <w:lvl w:ilvl="7" w:tplc="96B65ACA">
      <w:numFmt w:val="bullet"/>
      <w:lvlText w:val="•"/>
      <w:lvlJc w:val="left"/>
      <w:pPr>
        <w:ind w:left="5071" w:hanging="140"/>
      </w:pPr>
      <w:rPr>
        <w:rFonts w:hint="default"/>
        <w:lang w:val="ro-RO" w:eastAsia="en-US" w:bidi="ar-SA"/>
      </w:rPr>
    </w:lvl>
    <w:lvl w:ilvl="8" w:tplc="6F741954">
      <w:numFmt w:val="bullet"/>
      <w:lvlText w:val="•"/>
      <w:lvlJc w:val="left"/>
      <w:pPr>
        <w:ind w:left="5744" w:hanging="140"/>
      </w:pPr>
      <w:rPr>
        <w:rFonts w:hint="default"/>
        <w:lang w:val="ro-RO" w:eastAsia="en-US" w:bidi="ar-SA"/>
      </w:rPr>
    </w:lvl>
  </w:abstractNum>
  <w:abstractNum w:abstractNumId="174" w15:restartNumberingAfterBreak="0">
    <w:nsid w:val="7588333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5" w15:restartNumberingAfterBreak="0">
    <w:nsid w:val="76335491"/>
    <w:multiLevelType w:val="hybridMultilevel"/>
    <w:tmpl w:val="1668FDC2"/>
    <w:lvl w:ilvl="0" w:tplc="CA2C8BDA">
      <w:numFmt w:val="bullet"/>
      <w:lvlText w:val="-"/>
      <w:lvlJc w:val="left"/>
      <w:pPr>
        <w:ind w:left="24" w:hanging="252"/>
      </w:pPr>
      <w:rPr>
        <w:rFonts w:ascii="Times New Roman" w:eastAsia="Times New Roman" w:hAnsi="Times New Roman" w:cs="Times New Roman" w:hint="default"/>
        <w:w w:val="100"/>
        <w:sz w:val="22"/>
        <w:szCs w:val="22"/>
        <w:lang w:val="ro-RO" w:eastAsia="en-US" w:bidi="ar-SA"/>
      </w:rPr>
    </w:lvl>
    <w:lvl w:ilvl="1" w:tplc="B9268266">
      <w:numFmt w:val="bullet"/>
      <w:lvlText w:val="•"/>
      <w:lvlJc w:val="left"/>
      <w:pPr>
        <w:ind w:left="272" w:hanging="252"/>
      </w:pPr>
      <w:rPr>
        <w:rFonts w:hint="default"/>
        <w:lang w:val="ro-RO" w:eastAsia="en-US" w:bidi="ar-SA"/>
      </w:rPr>
    </w:lvl>
    <w:lvl w:ilvl="2" w:tplc="29284E6C">
      <w:numFmt w:val="bullet"/>
      <w:lvlText w:val="•"/>
      <w:lvlJc w:val="left"/>
      <w:pPr>
        <w:ind w:left="524" w:hanging="252"/>
      </w:pPr>
      <w:rPr>
        <w:rFonts w:hint="default"/>
        <w:lang w:val="ro-RO" w:eastAsia="en-US" w:bidi="ar-SA"/>
      </w:rPr>
    </w:lvl>
    <w:lvl w:ilvl="3" w:tplc="15F83C8C">
      <w:numFmt w:val="bullet"/>
      <w:lvlText w:val="•"/>
      <w:lvlJc w:val="left"/>
      <w:pPr>
        <w:ind w:left="776" w:hanging="252"/>
      </w:pPr>
      <w:rPr>
        <w:rFonts w:hint="default"/>
        <w:lang w:val="ro-RO" w:eastAsia="en-US" w:bidi="ar-SA"/>
      </w:rPr>
    </w:lvl>
    <w:lvl w:ilvl="4" w:tplc="1A302B8A">
      <w:numFmt w:val="bullet"/>
      <w:lvlText w:val="•"/>
      <w:lvlJc w:val="left"/>
      <w:pPr>
        <w:ind w:left="1028" w:hanging="252"/>
      </w:pPr>
      <w:rPr>
        <w:rFonts w:hint="default"/>
        <w:lang w:val="ro-RO" w:eastAsia="en-US" w:bidi="ar-SA"/>
      </w:rPr>
    </w:lvl>
    <w:lvl w:ilvl="5" w:tplc="CBB44974">
      <w:numFmt w:val="bullet"/>
      <w:lvlText w:val="•"/>
      <w:lvlJc w:val="left"/>
      <w:pPr>
        <w:ind w:left="1281" w:hanging="252"/>
      </w:pPr>
      <w:rPr>
        <w:rFonts w:hint="default"/>
        <w:lang w:val="ro-RO" w:eastAsia="en-US" w:bidi="ar-SA"/>
      </w:rPr>
    </w:lvl>
    <w:lvl w:ilvl="6" w:tplc="725231A8">
      <w:numFmt w:val="bullet"/>
      <w:lvlText w:val="•"/>
      <w:lvlJc w:val="left"/>
      <w:pPr>
        <w:ind w:left="1533" w:hanging="252"/>
      </w:pPr>
      <w:rPr>
        <w:rFonts w:hint="default"/>
        <w:lang w:val="ro-RO" w:eastAsia="en-US" w:bidi="ar-SA"/>
      </w:rPr>
    </w:lvl>
    <w:lvl w:ilvl="7" w:tplc="5922C5C8">
      <w:numFmt w:val="bullet"/>
      <w:lvlText w:val="•"/>
      <w:lvlJc w:val="left"/>
      <w:pPr>
        <w:ind w:left="1785" w:hanging="252"/>
      </w:pPr>
      <w:rPr>
        <w:rFonts w:hint="default"/>
        <w:lang w:val="ro-RO" w:eastAsia="en-US" w:bidi="ar-SA"/>
      </w:rPr>
    </w:lvl>
    <w:lvl w:ilvl="8" w:tplc="1B366BE6">
      <w:numFmt w:val="bullet"/>
      <w:lvlText w:val="•"/>
      <w:lvlJc w:val="left"/>
      <w:pPr>
        <w:ind w:left="2037" w:hanging="252"/>
      </w:pPr>
      <w:rPr>
        <w:rFonts w:hint="default"/>
        <w:lang w:val="ro-RO" w:eastAsia="en-US" w:bidi="ar-SA"/>
      </w:rPr>
    </w:lvl>
  </w:abstractNum>
  <w:abstractNum w:abstractNumId="176" w15:restartNumberingAfterBreak="0">
    <w:nsid w:val="770E2D9D"/>
    <w:multiLevelType w:val="hybridMultilevel"/>
    <w:tmpl w:val="43D01296"/>
    <w:lvl w:ilvl="0" w:tplc="04090001">
      <w:start w:val="1"/>
      <w:numFmt w:val="bullet"/>
      <w:lvlText w:val=""/>
      <w:lvlJc w:val="left"/>
      <w:pPr>
        <w:ind w:left="1429" w:hanging="360"/>
      </w:pPr>
      <w:rPr>
        <w:rFonts w:ascii="Symbol" w:hAnsi="Symbol" w:cs="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7" w15:restartNumberingAfterBreak="0">
    <w:nsid w:val="771406BD"/>
    <w:multiLevelType w:val="hybridMultilevel"/>
    <w:tmpl w:val="6DBE7608"/>
    <w:lvl w:ilvl="0" w:tplc="7F5EBD9C">
      <w:numFmt w:val="bullet"/>
      <w:lvlText w:val="-"/>
      <w:lvlJc w:val="left"/>
      <w:pPr>
        <w:ind w:left="24" w:hanging="252"/>
      </w:pPr>
      <w:rPr>
        <w:rFonts w:ascii="Times New Roman" w:eastAsia="Times New Roman" w:hAnsi="Times New Roman" w:cs="Times New Roman" w:hint="default"/>
        <w:w w:val="100"/>
        <w:sz w:val="22"/>
        <w:szCs w:val="22"/>
        <w:lang w:val="ro-RO" w:eastAsia="en-US" w:bidi="ar-SA"/>
      </w:rPr>
    </w:lvl>
    <w:lvl w:ilvl="1" w:tplc="A130361E">
      <w:numFmt w:val="bullet"/>
      <w:lvlText w:val="•"/>
      <w:lvlJc w:val="left"/>
      <w:pPr>
        <w:ind w:left="293" w:hanging="252"/>
      </w:pPr>
      <w:rPr>
        <w:rFonts w:hint="default"/>
        <w:lang w:val="ro-RO" w:eastAsia="en-US" w:bidi="ar-SA"/>
      </w:rPr>
    </w:lvl>
    <w:lvl w:ilvl="2" w:tplc="9398D2EA">
      <w:numFmt w:val="bullet"/>
      <w:lvlText w:val="•"/>
      <w:lvlJc w:val="left"/>
      <w:pPr>
        <w:ind w:left="567" w:hanging="252"/>
      </w:pPr>
      <w:rPr>
        <w:rFonts w:hint="default"/>
        <w:lang w:val="ro-RO" w:eastAsia="en-US" w:bidi="ar-SA"/>
      </w:rPr>
    </w:lvl>
    <w:lvl w:ilvl="3" w:tplc="D1FC26FE">
      <w:numFmt w:val="bullet"/>
      <w:lvlText w:val="•"/>
      <w:lvlJc w:val="left"/>
      <w:pPr>
        <w:ind w:left="840" w:hanging="252"/>
      </w:pPr>
      <w:rPr>
        <w:rFonts w:hint="default"/>
        <w:lang w:val="ro-RO" w:eastAsia="en-US" w:bidi="ar-SA"/>
      </w:rPr>
    </w:lvl>
    <w:lvl w:ilvl="4" w:tplc="3AC0607C">
      <w:numFmt w:val="bullet"/>
      <w:lvlText w:val="•"/>
      <w:lvlJc w:val="left"/>
      <w:pPr>
        <w:ind w:left="1114" w:hanging="252"/>
      </w:pPr>
      <w:rPr>
        <w:rFonts w:hint="default"/>
        <w:lang w:val="ro-RO" w:eastAsia="en-US" w:bidi="ar-SA"/>
      </w:rPr>
    </w:lvl>
    <w:lvl w:ilvl="5" w:tplc="CAFA7BCE">
      <w:numFmt w:val="bullet"/>
      <w:lvlText w:val="•"/>
      <w:lvlJc w:val="left"/>
      <w:pPr>
        <w:ind w:left="1387" w:hanging="252"/>
      </w:pPr>
      <w:rPr>
        <w:rFonts w:hint="default"/>
        <w:lang w:val="ro-RO" w:eastAsia="en-US" w:bidi="ar-SA"/>
      </w:rPr>
    </w:lvl>
    <w:lvl w:ilvl="6" w:tplc="0D782EBE">
      <w:numFmt w:val="bullet"/>
      <w:lvlText w:val="•"/>
      <w:lvlJc w:val="left"/>
      <w:pPr>
        <w:ind w:left="1661" w:hanging="252"/>
      </w:pPr>
      <w:rPr>
        <w:rFonts w:hint="default"/>
        <w:lang w:val="ro-RO" w:eastAsia="en-US" w:bidi="ar-SA"/>
      </w:rPr>
    </w:lvl>
    <w:lvl w:ilvl="7" w:tplc="7964566E">
      <w:numFmt w:val="bullet"/>
      <w:lvlText w:val="•"/>
      <w:lvlJc w:val="left"/>
      <w:pPr>
        <w:ind w:left="1934" w:hanging="252"/>
      </w:pPr>
      <w:rPr>
        <w:rFonts w:hint="default"/>
        <w:lang w:val="ro-RO" w:eastAsia="en-US" w:bidi="ar-SA"/>
      </w:rPr>
    </w:lvl>
    <w:lvl w:ilvl="8" w:tplc="559C93D2">
      <w:numFmt w:val="bullet"/>
      <w:lvlText w:val="•"/>
      <w:lvlJc w:val="left"/>
      <w:pPr>
        <w:ind w:left="2208" w:hanging="252"/>
      </w:pPr>
      <w:rPr>
        <w:rFonts w:hint="default"/>
        <w:lang w:val="ro-RO" w:eastAsia="en-US" w:bidi="ar-SA"/>
      </w:rPr>
    </w:lvl>
  </w:abstractNum>
  <w:abstractNum w:abstractNumId="178" w15:restartNumberingAfterBreak="0">
    <w:nsid w:val="7715238A"/>
    <w:multiLevelType w:val="hybridMultilevel"/>
    <w:tmpl w:val="193C87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788F4C7E"/>
    <w:multiLevelType w:val="hybridMultilevel"/>
    <w:tmpl w:val="6A10600E"/>
    <w:lvl w:ilvl="0" w:tplc="790C21A6">
      <w:numFmt w:val="bullet"/>
      <w:lvlText w:val="-"/>
      <w:lvlJc w:val="left"/>
      <w:pPr>
        <w:ind w:left="24" w:hanging="252"/>
      </w:pPr>
      <w:rPr>
        <w:rFonts w:ascii="Times New Roman" w:eastAsia="Times New Roman" w:hAnsi="Times New Roman" w:cs="Times New Roman" w:hint="default"/>
        <w:w w:val="100"/>
        <w:sz w:val="22"/>
        <w:szCs w:val="22"/>
        <w:lang w:val="ro-RO" w:eastAsia="en-US" w:bidi="ar-SA"/>
      </w:rPr>
    </w:lvl>
    <w:lvl w:ilvl="1" w:tplc="681A2D08">
      <w:numFmt w:val="bullet"/>
      <w:lvlText w:val="•"/>
      <w:lvlJc w:val="left"/>
      <w:pPr>
        <w:ind w:left="272" w:hanging="252"/>
      </w:pPr>
      <w:rPr>
        <w:rFonts w:hint="default"/>
        <w:lang w:val="ro-RO" w:eastAsia="en-US" w:bidi="ar-SA"/>
      </w:rPr>
    </w:lvl>
    <w:lvl w:ilvl="2" w:tplc="D0EEB8B0">
      <w:numFmt w:val="bullet"/>
      <w:lvlText w:val="•"/>
      <w:lvlJc w:val="left"/>
      <w:pPr>
        <w:ind w:left="524" w:hanging="252"/>
      </w:pPr>
      <w:rPr>
        <w:rFonts w:hint="default"/>
        <w:lang w:val="ro-RO" w:eastAsia="en-US" w:bidi="ar-SA"/>
      </w:rPr>
    </w:lvl>
    <w:lvl w:ilvl="3" w:tplc="AE6CE06E">
      <w:numFmt w:val="bullet"/>
      <w:lvlText w:val="•"/>
      <w:lvlJc w:val="left"/>
      <w:pPr>
        <w:ind w:left="776" w:hanging="252"/>
      </w:pPr>
      <w:rPr>
        <w:rFonts w:hint="default"/>
        <w:lang w:val="ro-RO" w:eastAsia="en-US" w:bidi="ar-SA"/>
      </w:rPr>
    </w:lvl>
    <w:lvl w:ilvl="4" w:tplc="7C02FA5E">
      <w:numFmt w:val="bullet"/>
      <w:lvlText w:val="•"/>
      <w:lvlJc w:val="left"/>
      <w:pPr>
        <w:ind w:left="1028" w:hanging="252"/>
      </w:pPr>
      <w:rPr>
        <w:rFonts w:hint="default"/>
        <w:lang w:val="ro-RO" w:eastAsia="en-US" w:bidi="ar-SA"/>
      </w:rPr>
    </w:lvl>
    <w:lvl w:ilvl="5" w:tplc="B57CF668">
      <w:numFmt w:val="bullet"/>
      <w:lvlText w:val="•"/>
      <w:lvlJc w:val="left"/>
      <w:pPr>
        <w:ind w:left="1281" w:hanging="252"/>
      </w:pPr>
      <w:rPr>
        <w:rFonts w:hint="default"/>
        <w:lang w:val="ro-RO" w:eastAsia="en-US" w:bidi="ar-SA"/>
      </w:rPr>
    </w:lvl>
    <w:lvl w:ilvl="6" w:tplc="9F502C8C">
      <w:numFmt w:val="bullet"/>
      <w:lvlText w:val="•"/>
      <w:lvlJc w:val="left"/>
      <w:pPr>
        <w:ind w:left="1533" w:hanging="252"/>
      </w:pPr>
      <w:rPr>
        <w:rFonts w:hint="default"/>
        <w:lang w:val="ro-RO" w:eastAsia="en-US" w:bidi="ar-SA"/>
      </w:rPr>
    </w:lvl>
    <w:lvl w:ilvl="7" w:tplc="596A90DA">
      <w:numFmt w:val="bullet"/>
      <w:lvlText w:val="•"/>
      <w:lvlJc w:val="left"/>
      <w:pPr>
        <w:ind w:left="1785" w:hanging="252"/>
      </w:pPr>
      <w:rPr>
        <w:rFonts w:hint="default"/>
        <w:lang w:val="ro-RO" w:eastAsia="en-US" w:bidi="ar-SA"/>
      </w:rPr>
    </w:lvl>
    <w:lvl w:ilvl="8" w:tplc="8070D486">
      <w:numFmt w:val="bullet"/>
      <w:lvlText w:val="•"/>
      <w:lvlJc w:val="left"/>
      <w:pPr>
        <w:ind w:left="2037" w:hanging="252"/>
      </w:pPr>
      <w:rPr>
        <w:rFonts w:hint="default"/>
        <w:lang w:val="ro-RO" w:eastAsia="en-US" w:bidi="ar-SA"/>
      </w:rPr>
    </w:lvl>
  </w:abstractNum>
  <w:abstractNum w:abstractNumId="180" w15:restartNumberingAfterBreak="0">
    <w:nsid w:val="792F4154"/>
    <w:multiLevelType w:val="hybridMultilevel"/>
    <w:tmpl w:val="F34082F2"/>
    <w:lvl w:ilvl="0" w:tplc="FF146710">
      <w:numFmt w:val="bullet"/>
      <w:lvlText w:val="-"/>
      <w:lvlJc w:val="left"/>
      <w:pPr>
        <w:ind w:left="34" w:hanging="204"/>
      </w:pPr>
      <w:rPr>
        <w:rFonts w:ascii="Times New Roman" w:eastAsia="Times New Roman" w:hAnsi="Times New Roman" w:cs="Times New Roman" w:hint="default"/>
        <w:w w:val="100"/>
        <w:sz w:val="22"/>
        <w:szCs w:val="22"/>
        <w:lang w:val="ro-RO" w:eastAsia="en-US" w:bidi="ar-SA"/>
      </w:rPr>
    </w:lvl>
    <w:lvl w:ilvl="1" w:tplc="56AEDEBA">
      <w:numFmt w:val="bullet"/>
      <w:lvlText w:val="•"/>
      <w:lvlJc w:val="left"/>
      <w:pPr>
        <w:ind w:left="292" w:hanging="204"/>
      </w:pPr>
      <w:rPr>
        <w:rFonts w:hint="default"/>
        <w:lang w:val="ro-RO" w:eastAsia="en-US" w:bidi="ar-SA"/>
      </w:rPr>
    </w:lvl>
    <w:lvl w:ilvl="2" w:tplc="40B6E8F8">
      <w:numFmt w:val="bullet"/>
      <w:lvlText w:val="•"/>
      <w:lvlJc w:val="left"/>
      <w:pPr>
        <w:ind w:left="544" w:hanging="204"/>
      </w:pPr>
      <w:rPr>
        <w:rFonts w:hint="default"/>
        <w:lang w:val="ro-RO" w:eastAsia="en-US" w:bidi="ar-SA"/>
      </w:rPr>
    </w:lvl>
    <w:lvl w:ilvl="3" w:tplc="389637A8">
      <w:numFmt w:val="bullet"/>
      <w:lvlText w:val="•"/>
      <w:lvlJc w:val="left"/>
      <w:pPr>
        <w:ind w:left="796" w:hanging="204"/>
      </w:pPr>
      <w:rPr>
        <w:rFonts w:hint="default"/>
        <w:lang w:val="ro-RO" w:eastAsia="en-US" w:bidi="ar-SA"/>
      </w:rPr>
    </w:lvl>
    <w:lvl w:ilvl="4" w:tplc="B144F4C6">
      <w:numFmt w:val="bullet"/>
      <w:lvlText w:val="•"/>
      <w:lvlJc w:val="left"/>
      <w:pPr>
        <w:ind w:left="1049" w:hanging="204"/>
      </w:pPr>
      <w:rPr>
        <w:rFonts w:hint="default"/>
        <w:lang w:val="ro-RO" w:eastAsia="en-US" w:bidi="ar-SA"/>
      </w:rPr>
    </w:lvl>
    <w:lvl w:ilvl="5" w:tplc="CFB008A0">
      <w:numFmt w:val="bullet"/>
      <w:lvlText w:val="•"/>
      <w:lvlJc w:val="left"/>
      <w:pPr>
        <w:ind w:left="1301" w:hanging="204"/>
      </w:pPr>
      <w:rPr>
        <w:rFonts w:hint="default"/>
        <w:lang w:val="ro-RO" w:eastAsia="en-US" w:bidi="ar-SA"/>
      </w:rPr>
    </w:lvl>
    <w:lvl w:ilvl="6" w:tplc="34E24C00">
      <w:numFmt w:val="bullet"/>
      <w:lvlText w:val="•"/>
      <w:lvlJc w:val="left"/>
      <w:pPr>
        <w:ind w:left="1553" w:hanging="204"/>
      </w:pPr>
      <w:rPr>
        <w:rFonts w:hint="default"/>
        <w:lang w:val="ro-RO" w:eastAsia="en-US" w:bidi="ar-SA"/>
      </w:rPr>
    </w:lvl>
    <w:lvl w:ilvl="7" w:tplc="F0EE8EA4">
      <w:numFmt w:val="bullet"/>
      <w:lvlText w:val="•"/>
      <w:lvlJc w:val="left"/>
      <w:pPr>
        <w:ind w:left="1806" w:hanging="204"/>
      </w:pPr>
      <w:rPr>
        <w:rFonts w:hint="default"/>
        <w:lang w:val="ro-RO" w:eastAsia="en-US" w:bidi="ar-SA"/>
      </w:rPr>
    </w:lvl>
    <w:lvl w:ilvl="8" w:tplc="C916041A">
      <w:numFmt w:val="bullet"/>
      <w:lvlText w:val="•"/>
      <w:lvlJc w:val="left"/>
      <w:pPr>
        <w:ind w:left="2058" w:hanging="204"/>
      </w:pPr>
      <w:rPr>
        <w:rFonts w:hint="default"/>
        <w:lang w:val="ro-RO" w:eastAsia="en-US" w:bidi="ar-SA"/>
      </w:rPr>
    </w:lvl>
  </w:abstractNum>
  <w:abstractNum w:abstractNumId="181" w15:restartNumberingAfterBreak="0">
    <w:nsid w:val="7AB67954"/>
    <w:multiLevelType w:val="hybridMultilevel"/>
    <w:tmpl w:val="A52271D8"/>
    <w:lvl w:ilvl="0" w:tplc="0A8AB2DC">
      <w:numFmt w:val="bullet"/>
      <w:lvlText w:val="-"/>
      <w:lvlJc w:val="left"/>
      <w:pPr>
        <w:ind w:left="366" w:hanging="140"/>
      </w:pPr>
      <w:rPr>
        <w:rFonts w:ascii="Times New Roman" w:eastAsia="Times New Roman" w:hAnsi="Times New Roman" w:cs="Times New Roman" w:hint="default"/>
        <w:w w:val="99"/>
        <w:sz w:val="24"/>
        <w:szCs w:val="24"/>
        <w:lang w:val="ro-RO" w:eastAsia="en-US" w:bidi="ar-SA"/>
      </w:rPr>
    </w:lvl>
    <w:lvl w:ilvl="1" w:tplc="126615C4">
      <w:numFmt w:val="bullet"/>
      <w:lvlText w:val="•"/>
      <w:lvlJc w:val="left"/>
      <w:pPr>
        <w:ind w:left="1033" w:hanging="140"/>
      </w:pPr>
      <w:rPr>
        <w:rFonts w:hint="default"/>
        <w:lang w:val="ro-RO" w:eastAsia="en-US" w:bidi="ar-SA"/>
      </w:rPr>
    </w:lvl>
    <w:lvl w:ilvl="2" w:tplc="882A5D92">
      <w:numFmt w:val="bullet"/>
      <w:lvlText w:val="•"/>
      <w:lvlJc w:val="left"/>
      <w:pPr>
        <w:ind w:left="1706" w:hanging="140"/>
      </w:pPr>
      <w:rPr>
        <w:rFonts w:hint="default"/>
        <w:lang w:val="ro-RO" w:eastAsia="en-US" w:bidi="ar-SA"/>
      </w:rPr>
    </w:lvl>
    <w:lvl w:ilvl="3" w:tplc="37F4F7FC">
      <w:numFmt w:val="bullet"/>
      <w:lvlText w:val="•"/>
      <w:lvlJc w:val="left"/>
      <w:pPr>
        <w:ind w:left="2379" w:hanging="140"/>
      </w:pPr>
      <w:rPr>
        <w:rFonts w:hint="default"/>
        <w:lang w:val="ro-RO" w:eastAsia="en-US" w:bidi="ar-SA"/>
      </w:rPr>
    </w:lvl>
    <w:lvl w:ilvl="4" w:tplc="0786E248">
      <w:numFmt w:val="bullet"/>
      <w:lvlText w:val="•"/>
      <w:lvlJc w:val="left"/>
      <w:pPr>
        <w:ind w:left="3052" w:hanging="140"/>
      </w:pPr>
      <w:rPr>
        <w:rFonts w:hint="default"/>
        <w:lang w:val="ro-RO" w:eastAsia="en-US" w:bidi="ar-SA"/>
      </w:rPr>
    </w:lvl>
    <w:lvl w:ilvl="5" w:tplc="94EA4580">
      <w:numFmt w:val="bullet"/>
      <w:lvlText w:val="•"/>
      <w:lvlJc w:val="left"/>
      <w:pPr>
        <w:ind w:left="3725" w:hanging="140"/>
      </w:pPr>
      <w:rPr>
        <w:rFonts w:hint="default"/>
        <w:lang w:val="ro-RO" w:eastAsia="en-US" w:bidi="ar-SA"/>
      </w:rPr>
    </w:lvl>
    <w:lvl w:ilvl="6" w:tplc="8C7E4146">
      <w:numFmt w:val="bullet"/>
      <w:lvlText w:val="•"/>
      <w:lvlJc w:val="left"/>
      <w:pPr>
        <w:ind w:left="4398" w:hanging="140"/>
      </w:pPr>
      <w:rPr>
        <w:rFonts w:hint="default"/>
        <w:lang w:val="ro-RO" w:eastAsia="en-US" w:bidi="ar-SA"/>
      </w:rPr>
    </w:lvl>
    <w:lvl w:ilvl="7" w:tplc="69E05496">
      <w:numFmt w:val="bullet"/>
      <w:lvlText w:val="•"/>
      <w:lvlJc w:val="left"/>
      <w:pPr>
        <w:ind w:left="5071" w:hanging="140"/>
      </w:pPr>
      <w:rPr>
        <w:rFonts w:hint="default"/>
        <w:lang w:val="ro-RO" w:eastAsia="en-US" w:bidi="ar-SA"/>
      </w:rPr>
    </w:lvl>
    <w:lvl w:ilvl="8" w:tplc="5C42B4A4">
      <w:numFmt w:val="bullet"/>
      <w:lvlText w:val="•"/>
      <w:lvlJc w:val="left"/>
      <w:pPr>
        <w:ind w:left="5744" w:hanging="140"/>
      </w:pPr>
      <w:rPr>
        <w:rFonts w:hint="default"/>
        <w:lang w:val="ro-RO" w:eastAsia="en-US" w:bidi="ar-SA"/>
      </w:rPr>
    </w:lvl>
  </w:abstractNum>
  <w:abstractNum w:abstractNumId="182" w15:restartNumberingAfterBreak="0">
    <w:nsid w:val="7C08060D"/>
    <w:multiLevelType w:val="hybridMultilevel"/>
    <w:tmpl w:val="A7D88206"/>
    <w:lvl w:ilvl="0" w:tplc="7DC8C0A6">
      <w:numFmt w:val="bullet"/>
      <w:lvlText w:val="-"/>
      <w:lvlJc w:val="left"/>
      <w:pPr>
        <w:ind w:left="713" w:hanging="360"/>
      </w:pPr>
      <w:rPr>
        <w:rFonts w:ascii="Calibri" w:eastAsia="Calibri" w:hAnsi="Calibri" w:cs="Calibri" w:hint="default"/>
        <w:w w:val="100"/>
        <w:sz w:val="24"/>
        <w:szCs w:val="24"/>
        <w:lang w:val="ro-RO" w:eastAsia="en-US" w:bidi="ar-SA"/>
      </w:rPr>
    </w:lvl>
    <w:lvl w:ilvl="1" w:tplc="3AF4F4DA">
      <w:numFmt w:val="bullet"/>
      <w:lvlText w:val="•"/>
      <w:lvlJc w:val="left"/>
      <w:pPr>
        <w:ind w:left="1666" w:hanging="360"/>
      </w:pPr>
      <w:rPr>
        <w:rFonts w:hint="default"/>
        <w:lang w:val="ro-RO" w:eastAsia="en-US" w:bidi="ar-SA"/>
      </w:rPr>
    </w:lvl>
    <w:lvl w:ilvl="2" w:tplc="F2486938">
      <w:numFmt w:val="bullet"/>
      <w:lvlText w:val="•"/>
      <w:lvlJc w:val="left"/>
      <w:pPr>
        <w:ind w:left="2613" w:hanging="360"/>
      </w:pPr>
      <w:rPr>
        <w:rFonts w:hint="default"/>
        <w:lang w:val="ro-RO" w:eastAsia="en-US" w:bidi="ar-SA"/>
      </w:rPr>
    </w:lvl>
    <w:lvl w:ilvl="3" w:tplc="026062E8">
      <w:numFmt w:val="bullet"/>
      <w:lvlText w:val="•"/>
      <w:lvlJc w:val="left"/>
      <w:pPr>
        <w:ind w:left="3559" w:hanging="360"/>
      </w:pPr>
      <w:rPr>
        <w:rFonts w:hint="default"/>
        <w:lang w:val="ro-RO" w:eastAsia="en-US" w:bidi="ar-SA"/>
      </w:rPr>
    </w:lvl>
    <w:lvl w:ilvl="4" w:tplc="B344B9A4">
      <w:numFmt w:val="bullet"/>
      <w:lvlText w:val="•"/>
      <w:lvlJc w:val="left"/>
      <w:pPr>
        <w:ind w:left="4506" w:hanging="360"/>
      </w:pPr>
      <w:rPr>
        <w:rFonts w:hint="default"/>
        <w:lang w:val="ro-RO" w:eastAsia="en-US" w:bidi="ar-SA"/>
      </w:rPr>
    </w:lvl>
    <w:lvl w:ilvl="5" w:tplc="78D4E4E0">
      <w:numFmt w:val="bullet"/>
      <w:lvlText w:val="•"/>
      <w:lvlJc w:val="left"/>
      <w:pPr>
        <w:ind w:left="5453" w:hanging="360"/>
      </w:pPr>
      <w:rPr>
        <w:rFonts w:hint="default"/>
        <w:lang w:val="ro-RO" w:eastAsia="en-US" w:bidi="ar-SA"/>
      </w:rPr>
    </w:lvl>
    <w:lvl w:ilvl="6" w:tplc="1ECC03F6">
      <w:numFmt w:val="bullet"/>
      <w:lvlText w:val="•"/>
      <w:lvlJc w:val="left"/>
      <w:pPr>
        <w:ind w:left="6399" w:hanging="360"/>
      </w:pPr>
      <w:rPr>
        <w:rFonts w:hint="default"/>
        <w:lang w:val="ro-RO" w:eastAsia="en-US" w:bidi="ar-SA"/>
      </w:rPr>
    </w:lvl>
    <w:lvl w:ilvl="7" w:tplc="2EA00C2E">
      <w:numFmt w:val="bullet"/>
      <w:lvlText w:val="•"/>
      <w:lvlJc w:val="left"/>
      <w:pPr>
        <w:ind w:left="7346" w:hanging="360"/>
      </w:pPr>
      <w:rPr>
        <w:rFonts w:hint="default"/>
        <w:lang w:val="ro-RO" w:eastAsia="en-US" w:bidi="ar-SA"/>
      </w:rPr>
    </w:lvl>
    <w:lvl w:ilvl="8" w:tplc="A906C93A">
      <w:numFmt w:val="bullet"/>
      <w:lvlText w:val="•"/>
      <w:lvlJc w:val="left"/>
      <w:pPr>
        <w:ind w:left="8293" w:hanging="360"/>
      </w:pPr>
      <w:rPr>
        <w:rFonts w:hint="default"/>
        <w:lang w:val="ro-RO" w:eastAsia="en-US" w:bidi="ar-SA"/>
      </w:rPr>
    </w:lvl>
  </w:abstractNum>
  <w:abstractNum w:abstractNumId="183" w15:restartNumberingAfterBreak="0">
    <w:nsid w:val="7C326DD0"/>
    <w:multiLevelType w:val="hybridMultilevel"/>
    <w:tmpl w:val="66BEF554"/>
    <w:lvl w:ilvl="0" w:tplc="83B2E4A0">
      <w:start w:val="5"/>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84" w15:restartNumberingAfterBreak="0">
    <w:nsid w:val="7CCB4C93"/>
    <w:multiLevelType w:val="hybridMultilevel"/>
    <w:tmpl w:val="AD5644F6"/>
    <w:lvl w:ilvl="0" w:tplc="F260D90E">
      <w:numFmt w:val="bullet"/>
      <w:lvlText w:val="-"/>
      <w:lvlJc w:val="left"/>
      <w:pPr>
        <w:ind w:left="22" w:hanging="258"/>
      </w:pPr>
      <w:rPr>
        <w:rFonts w:ascii="Times New Roman" w:eastAsia="Times New Roman" w:hAnsi="Times New Roman" w:cs="Times New Roman" w:hint="default"/>
        <w:w w:val="100"/>
        <w:sz w:val="22"/>
        <w:szCs w:val="22"/>
        <w:lang w:val="ro-RO" w:eastAsia="en-US" w:bidi="ar-SA"/>
      </w:rPr>
    </w:lvl>
    <w:lvl w:ilvl="1" w:tplc="980A1CFC">
      <w:numFmt w:val="bullet"/>
      <w:lvlText w:val="•"/>
      <w:lvlJc w:val="left"/>
      <w:pPr>
        <w:ind w:left="273" w:hanging="258"/>
      </w:pPr>
      <w:rPr>
        <w:rFonts w:hint="default"/>
        <w:lang w:val="ro-RO" w:eastAsia="en-US" w:bidi="ar-SA"/>
      </w:rPr>
    </w:lvl>
    <w:lvl w:ilvl="2" w:tplc="3A0894AC">
      <w:numFmt w:val="bullet"/>
      <w:lvlText w:val="•"/>
      <w:lvlJc w:val="left"/>
      <w:pPr>
        <w:ind w:left="527" w:hanging="258"/>
      </w:pPr>
      <w:rPr>
        <w:rFonts w:hint="default"/>
        <w:lang w:val="ro-RO" w:eastAsia="en-US" w:bidi="ar-SA"/>
      </w:rPr>
    </w:lvl>
    <w:lvl w:ilvl="3" w:tplc="36A00C96">
      <w:numFmt w:val="bullet"/>
      <w:lvlText w:val="•"/>
      <w:lvlJc w:val="left"/>
      <w:pPr>
        <w:ind w:left="781" w:hanging="258"/>
      </w:pPr>
      <w:rPr>
        <w:rFonts w:hint="default"/>
        <w:lang w:val="ro-RO" w:eastAsia="en-US" w:bidi="ar-SA"/>
      </w:rPr>
    </w:lvl>
    <w:lvl w:ilvl="4" w:tplc="34A02C9A">
      <w:numFmt w:val="bullet"/>
      <w:lvlText w:val="•"/>
      <w:lvlJc w:val="left"/>
      <w:pPr>
        <w:ind w:left="1035" w:hanging="258"/>
      </w:pPr>
      <w:rPr>
        <w:rFonts w:hint="default"/>
        <w:lang w:val="ro-RO" w:eastAsia="en-US" w:bidi="ar-SA"/>
      </w:rPr>
    </w:lvl>
    <w:lvl w:ilvl="5" w:tplc="5496559C">
      <w:numFmt w:val="bullet"/>
      <w:lvlText w:val="•"/>
      <w:lvlJc w:val="left"/>
      <w:pPr>
        <w:ind w:left="1289" w:hanging="258"/>
      </w:pPr>
      <w:rPr>
        <w:rFonts w:hint="default"/>
        <w:lang w:val="ro-RO" w:eastAsia="en-US" w:bidi="ar-SA"/>
      </w:rPr>
    </w:lvl>
    <w:lvl w:ilvl="6" w:tplc="AB00C0D2">
      <w:numFmt w:val="bullet"/>
      <w:lvlText w:val="•"/>
      <w:lvlJc w:val="left"/>
      <w:pPr>
        <w:ind w:left="1542" w:hanging="258"/>
      </w:pPr>
      <w:rPr>
        <w:rFonts w:hint="default"/>
        <w:lang w:val="ro-RO" w:eastAsia="en-US" w:bidi="ar-SA"/>
      </w:rPr>
    </w:lvl>
    <w:lvl w:ilvl="7" w:tplc="DEA4FADA">
      <w:numFmt w:val="bullet"/>
      <w:lvlText w:val="•"/>
      <w:lvlJc w:val="left"/>
      <w:pPr>
        <w:ind w:left="1796" w:hanging="258"/>
      </w:pPr>
      <w:rPr>
        <w:rFonts w:hint="default"/>
        <w:lang w:val="ro-RO" w:eastAsia="en-US" w:bidi="ar-SA"/>
      </w:rPr>
    </w:lvl>
    <w:lvl w:ilvl="8" w:tplc="3A08D730">
      <w:numFmt w:val="bullet"/>
      <w:lvlText w:val="•"/>
      <w:lvlJc w:val="left"/>
      <w:pPr>
        <w:ind w:left="2050" w:hanging="258"/>
      </w:pPr>
      <w:rPr>
        <w:rFonts w:hint="default"/>
        <w:lang w:val="ro-RO" w:eastAsia="en-US" w:bidi="ar-SA"/>
      </w:rPr>
    </w:lvl>
  </w:abstractNum>
  <w:abstractNum w:abstractNumId="185" w15:restartNumberingAfterBreak="0">
    <w:nsid w:val="7D9218CF"/>
    <w:multiLevelType w:val="hybridMultilevel"/>
    <w:tmpl w:val="F62CB1C2"/>
    <w:lvl w:ilvl="0" w:tplc="F0103914">
      <w:start w:val="3"/>
      <w:numFmt w:val="decimal"/>
      <w:lvlText w:val="%1."/>
      <w:lvlJc w:val="left"/>
      <w:pPr>
        <w:ind w:left="828" w:hanging="361"/>
      </w:pPr>
      <w:rPr>
        <w:rFonts w:ascii="Times New Roman" w:eastAsia="Times New Roman" w:hAnsi="Times New Roman" w:cs="Times New Roman" w:hint="default"/>
        <w:w w:val="100"/>
        <w:sz w:val="24"/>
        <w:szCs w:val="24"/>
        <w:lang w:val="ro-RO" w:eastAsia="en-US" w:bidi="ar-SA"/>
      </w:rPr>
    </w:lvl>
    <w:lvl w:ilvl="1" w:tplc="44D864FE">
      <w:numFmt w:val="bullet"/>
      <w:lvlText w:val="•"/>
      <w:lvlJc w:val="left"/>
      <w:pPr>
        <w:ind w:left="1485" w:hanging="361"/>
      </w:pPr>
      <w:rPr>
        <w:rFonts w:hint="default"/>
        <w:lang w:val="ro-RO" w:eastAsia="en-US" w:bidi="ar-SA"/>
      </w:rPr>
    </w:lvl>
    <w:lvl w:ilvl="2" w:tplc="F816305C">
      <w:numFmt w:val="bullet"/>
      <w:lvlText w:val="•"/>
      <w:lvlJc w:val="left"/>
      <w:pPr>
        <w:ind w:left="2150" w:hanging="361"/>
      </w:pPr>
      <w:rPr>
        <w:rFonts w:hint="default"/>
        <w:lang w:val="ro-RO" w:eastAsia="en-US" w:bidi="ar-SA"/>
      </w:rPr>
    </w:lvl>
    <w:lvl w:ilvl="3" w:tplc="A2D2D82A">
      <w:numFmt w:val="bullet"/>
      <w:lvlText w:val="•"/>
      <w:lvlJc w:val="left"/>
      <w:pPr>
        <w:ind w:left="2815" w:hanging="361"/>
      </w:pPr>
      <w:rPr>
        <w:rFonts w:hint="default"/>
        <w:lang w:val="ro-RO" w:eastAsia="en-US" w:bidi="ar-SA"/>
      </w:rPr>
    </w:lvl>
    <w:lvl w:ilvl="4" w:tplc="674A0E6C">
      <w:numFmt w:val="bullet"/>
      <w:lvlText w:val="•"/>
      <w:lvlJc w:val="left"/>
      <w:pPr>
        <w:ind w:left="3480" w:hanging="361"/>
      </w:pPr>
      <w:rPr>
        <w:rFonts w:hint="default"/>
        <w:lang w:val="ro-RO" w:eastAsia="en-US" w:bidi="ar-SA"/>
      </w:rPr>
    </w:lvl>
    <w:lvl w:ilvl="5" w:tplc="9CFAB482">
      <w:numFmt w:val="bullet"/>
      <w:lvlText w:val="•"/>
      <w:lvlJc w:val="left"/>
      <w:pPr>
        <w:ind w:left="4145" w:hanging="361"/>
      </w:pPr>
      <w:rPr>
        <w:rFonts w:hint="default"/>
        <w:lang w:val="ro-RO" w:eastAsia="en-US" w:bidi="ar-SA"/>
      </w:rPr>
    </w:lvl>
    <w:lvl w:ilvl="6" w:tplc="5210AB38">
      <w:numFmt w:val="bullet"/>
      <w:lvlText w:val="•"/>
      <w:lvlJc w:val="left"/>
      <w:pPr>
        <w:ind w:left="4810" w:hanging="361"/>
      </w:pPr>
      <w:rPr>
        <w:rFonts w:hint="default"/>
        <w:lang w:val="ro-RO" w:eastAsia="en-US" w:bidi="ar-SA"/>
      </w:rPr>
    </w:lvl>
    <w:lvl w:ilvl="7" w:tplc="1C80A9EC">
      <w:numFmt w:val="bullet"/>
      <w:lvlText w:val="•"/>
      <w:lvlJc w:val="left"/>
      <w:pPr>
        <w:ind w:left="5475" w:hanging="361"/>
      </w:pPr>
      <w:rPr>
        <w:rFonts w:hint="default"/>
        <w:lang w:val="ro-RO" w:eastAsia="en-US" w:bidi="ar-SA"/>
      </w:rPr>
    </w:lvl>
    <w:lvl w:ilvl="8" w:tplc="475C0F3A">
      <w:numFmt w:val="bullet"/>
      <w:lvlText w:val="•"/>
      <w:lvlJc w:val="left"/>
      <w:pPr>
        <w:ind w:left="6140" w:hanging="361"/>
      </w:pPr>
      <w:rPr>
        <w:rFonts w:hint="default"/>
        <w:lang w:val="ro-RO" w:eastAsia="en-US" w:bidi="ar-SA"/>
      </w:rPr>
    </w:lvl>
  </w:abstractNum>
  <w:abstractNum w:abstractNumId="186" w15:restartNumberingAfterBreak="0">
    <w:nsid w:val="7F0A684E"/>
    <w:multiLevelType w:val="hybridMultilevel"/>
    <w:tmpl w:val="6C7A1744"/>
    <w:lvl w:ilvl="0" w:tplc="D0B08026">
      <w:numFmt w:val="bullet"/>
      <w:lvlText w:val="-"/>
      <w:lvlJc w:val="left"/>
      <w:pPr>
        <w:ind w:left="24" w:hanging="252"/>
      </w:pPr>
      <w:rPr>
        <w:rFonts w:ascii="Times New Roman" w:eastAsia="Times New Roman" w:hAnsi="Times New Roman" w:cs="Times New Roman" w:hint="default"/>
        <w:w w:val="100"/>
        <w:sz w:val="22"/>
        <w:szCs w:val="22"/>
        <w:lang w:val="ro-RO" w:eastAsia="en-US" w:bidi="ar-SA"/>
      </w:rPr>
    </w:lvl>
    <w:lvl w:ilvl="1" w:tplc="CCC2B820">
      <w:numFmt w:val="bullet"/>
      <w:lvlText w:val="•"/>
      <w:lvlJc w:val="left"/>
      <w:pPr>
        <w:ind w:left="293" w:hanging="252"/>
      </w:pPr>
      <w:rPr>
        <w:rFonts w:hint="default"/>
        <w:lang w:val="ro-RO" w:eastAsia="en-US" w:bidi="ar-SA"/>
      </w:rPr>
    </w:lvl>
    <w:lvl w:ilvl="2" w:tplc="420C2A46">
      <w:numFmt w:val="bullet"/>
      <w:lvlText w:val="•"/>
      <w:lvlJc w:val="left"/>
      <w:pPr>
        <w:ind w:left="567" w:hanging="252"/>
      </w:pPr>
      <w:rPr>
        <w:rFonts w:hint="default"/>
        <w:lang w:val="ro-RO" w:eastAsia="en-US" w:bidi="ar-SA"/>
      </w:rPr>
    </w:lvl>
    <w:lvl w:ilvl="3" w:tplc="24DA03A0">
      <w:numFmt w:val="bullet"/>
      <w:lvlText w:val="•"/>
      <w:lvlJc w:val="left"/>
      <w:pPr>
        <w:ind w:left="840" w:hanging="252"/>
      </w:pPr>
      <w:rPr>
        <w:rFonts w:hint="default"/>
        <w:lang w:val="ro-RO" w:eastAsia="en-US" w:bidi="ar-SA"/>
      </w:rPr>
    </w:lvl>
    <w:lvl w:ilvl="4" w:tplc="8F1819B6">
      <w:numFmt w:val="bullet"/>
      <w:lvlText w:val="•"/>
      <w:lvlJc w:val="left"/>
      <w:pPr>
        <w:ind w:left="1114" w:hanging="252"/>
      </w:pPr>
      <w:rPr>
        <w:rFonts w:hint="default"/>
        <w:lang w:val="ro-RO" w:eastAsia="en-US" w:bidi="ar-SA"/>
      </w:rPr>
    </w:lvl>
    <w:lvl w:ilvl="5" w:tplc="DA76625C">
      <w:numFmt w:val="bullet"/>
      <w:lvlText w:val="•"/>
      <w:lvlJc w:val="left"/>
      <w:pPr>
        <w:ind w:left="1387" w:hanging="252"/>
      </w:pPr>
      <w:rPr>
        <w:rFonts w:hint="default"/>
        <w:lang w:val="ro-RO" w:eastAsia="en-US" w:bidi="ar-SA"/>
      </w:rPr>
    </w:lvl>
    <w:lvl w:ilvl="6" w:tplc="D9A2CA18">
      <w:numFmt w:val="bullet"/>
      <w:lvlText w:val="•"/>
      <w:lvlJc w:val="left"/>
      <w:pPr>
        <w:ind w:left="1661" w:hanging="252"/>
      </w:pPr>
      <w:rPr>
        <w:rFonts w:hint="default"/>
        <w:lang w:val="ro-RO" w:eastAsia="en-US" w:bidi="ar-SA"/>
      </w:rPr>
    </w:lvl>
    <w:lvl w:ilvl="7" w:tplc="887A190E">
      <w:numFmt w:val="bullet"/>
      <w:lvlText w:val="•"/>
      <w:lvlJc w:val="left"/>
      <w:pPr>
        <w:ind w:left="1934" w:hanging="252"/>
      </w:pPr>
      <w:rPr>
        <w:rFonts w:hint="default"/>
        <w:lang w:val="ro-RO" w:eastAsia="en-US" w:bidi="ar-SA"/>
      </w:rPr>
    </w:lvl>
    <w:lvl w:ilvl="8" w:tplc="7BB09452">
      <w:numFmt w:val="bullet"/>
      <w:lvlText w:val="•"/>
      <w:lvlJc w:val="left"/>
      <w:pPr>
        <w:ind w:left="2208" w:hanging="252"/>
      </w:pPr>
      <w:rPr>
        <w:rFonts w:hint="default"/>
        <w:lang w:val="ro-RO" w:eastAsia="en-US" w:bidi="ar-SA"/>
      </w:rPr>
    </w:lvl>
  </w:abstractNum>
  <w:abstractNum w:abstractNumId="187" w15:restartNumberingAfterBreak="0">
    <w:nsid w:val="7F943301"/>
    <w:multiLevelType w:val="hybridMultilevel"/>
    <w:tmpl w:val="EA7C4E40"/>
    <w:lvl w:ilvl="0" w:tplc="58029FBE">
      <w:start w:val="3"/>
      <w:numFmt w:val="decimal"/>
      <w:lvlText w:val="%1."/>
      <w:lvlJc w:val="left"/>
      <w:pPr>
        <w:ind w:left="828" w:hanging="361"/>
      </w:pPr>
      <w:rPr>
        <w:rFonts w:ascii="Times New Roman" w:eastAsia="Times New Roman" w:hAnsi="Times New Roman" w:cs="Times New Roman" w:hint="default"/>
        <w:w w:val="100"/>
        <w:sz w:val="24"/>
        <w:szCs w:val="24"/>
        <w:lang w:val="ro-RO" w:eastAsia="en-US" w:bidi="ar-SA"/>
      </w:rPr>
    </w:lvl>
    <w:lvl w:ilvl="1" w:tplc="EADED854">
      <w:numFmt w:val="bullet"/>
      <w:lvlText w:val="•"/>
      <w:lvlJc w:val="left"/>
      <w:pPr>
        <w:ind w:left="1485" w:hanging="361"/>
      </w:pPr>
      <w:rPr>
        <w:rFonts w:hint="default"/>
        <w:lang w:val="ro-RO" w:eastAsia="en-US" w:bidi="ar-SA"/>
      </w:rPr>
    </w:lvl>
    <w:lvl w:ilvl="2" w:tplc="94CA915A">
      <w:numFmt w:val="bullet"/>
      <w:lvlText w:val="•"/>
      <w:lvlJc w:val="left"/>
      <w:pPr>
        <w:ind w:left="2150" w:hanging="361"/>
      </w:pPr>
      <w:rPr>
        <w:rFonts w:hint="default"/>
        <w:lang w:val="ro-RO" w:eastAsia="en-US" w:bidi="ar-SA"/>
      </w:rPr>
    </w:lvl>
    <w:lvl w:ilvl="3" w:tplc="B4C2F908">
      <w:numFmt w:val="bullet"/>
      <w:lvlText w:val="•"/>
      <w:lvlJc w:val="left"/>
      <w:pPr>
        <w:ind w:left="2815" w:hanging="361"/>
      </w:pPr>
      <w:rPr>
        <w:rFonts w:hint="default"/>
        <w:lang w:val="ro-RO" w:eastAsia="en-US" w:bidi="ar-SA"/>
      </w:rPr>
    </w:lvl>
    <w:lvl w:ilvl="4" w:tplc="4330E4A0">
      <w:numFmt w:val="bullet"/>
      <w:lvlText w:val="•"/>
      <w:lvlJc w:val="left"/>
      <w:pPr>
        <w:ind w:left="3480" w:hanging="361"/>
      </w:pPr>
      <w:rPr>
        <w:rFonts w:hint="default"/>
        <w:lang w:val="ro-RO" w:eastAsia="en-US" w:bidi="ar-SA"/>
      </w:rPr>
    </w:lvl>
    <w:lvl w:ilvl="5" w:tplc="8BAE08A4">
      <w:numFmt w:val="bullet"/>
      <w:lvlText w:val="•"/>
      <w:lvlJc w:val="left"/>
      <w:pPr>
        <w:ind w:left="4145" w:hanging="361"/>
      </w:pPr>
      <w:rPr>
        <w:rFonts w:hint="default"/>
        <w:lang w:val="ro-RO" w:eastAsia="en-US" w:bidi="ar-SA"/>
      </w:rPr>
    </w:lvl>
    <w:lvl w:ilvl="6" w:tplc="FD343BF4">
      <w:numFmt w:val="bullet"/>
      <w:lvlText w:val="•"/>
      <w:lvlJc w:val="left"/>
      <w:pPr>
        <w:ind w:left="4810" w:hanging="361"/>
      </w:pPr>
      <w:rPr>
        <w:rFonts w:hint="default"/>
        <w:lang w:val="ro-RO" w:eastAsia="en-US" w:bidi="ar-SA"/>
      </w:rPr>
    </w:lvl>
    <w:lvl w:ilvl="7" w:tplc="9198EDD2">
      <w:numFmt w:val="bullet"/>
      <w:lvlText w:val="•"/>
      <w:lvlJc w:val="left"/>
      <w:pPr>
        <w:ind w:left="5475" w:hanging="361"/>
      </w:pPr>
      <w:rPr>
        <w:rFonts w:hint="default"/>
        <w:lang w:val="ro-RO" w:eastAsia="en-US" w:bidi="ar-SA"/>
      </w:rPr>
    </w:lvl>
    <w:lvl w:ilvl="8" w:tplc="52D06558">
      <w:numFmt w:val="bullet"/>
      <w:lvlText w:val="•"/>
      <w:lvlJc w:val="left"/>
      <w:pPr>
        <w:ind w:left="6140" w:hanging="361"/>
      </w:pPr>
      <w:rPr>
        <w:rFonts w:hint="default"/>
        <w:lang w:val="ro-RO" w:eastAsia="en-US" w:bidi="ar-SA"/>
      </w:rPr>
    </w:lvl>
  </w:abstractNum>
  <w:num w:numId="1" w16cid:durableId="390034924">
    <w:abstractNumId w:val="18"/>
  </w:num>
  <w:num w:numId="2" w16cid:durableId="365255179">
    <w:abstractNumId w:val="113"/>
  </w:num>
  <w:num w:numId="3" w16cid:durableId="87700349">
    <w:abstractNumId w:val="0"/>
  </w:num>
  <w:num w:numId="4" w16cid:durableId="1491559135">
    <w:abstractNumId w:val="77"/>
  </w:num>
  <w:num w:numId="5" w16cid:durableId="631520263">
    <w:abstractNumId w:val="41"/>
  </w:num>
  <w:num w:numId="6" w16cid:durableId="1702321810">
    <w:abstractNumId w:val="129"/>
  </w:num>
  <w:num w:numId="7" w16cid:durableId="203830553">
    <w:abstractNumId w:val="36"/>
  </w:num>
  <w:num w:numId="8" w16cid:durableId="988631096">
    <w:abstractNumId w:val="10"/>
  </w:num>
  <w:num w:numId="9" w16cid:durableId="2013412133">
    <w:abstractNumId w:val="86"/>
  </w:num>
  <w:num w:numId="10" w16cid:durableId="1058632370">
    <w:abstractNumId w:val="174"/>
  </w:num>
  <w:num w:numId="11" w16cid:durableId="641811256">
    <w:abstractNumId w:val="61"/>
  </w:num>
  <w:num w:numId="12" w16cid:durableId="423107589">
    <w:abstractNumId w:val="71"/>
  </w:num>
  <w:num w:numId="13" w16cid:durableId="998651055">
    <w:abstractNumId w:val="153"/>
  </w:num>
  <w:num w:numId="14" w16cid:durableId="1669940612">
    <w:abstractNumId w:val="60"/>
  </w:num>
  <w:num w:numId="15" w16cid:durableId="2010786409">
    <w:abstractNumId w:val="3"/>
  </w:num>
  <w:num w:numId="16" w16cid:durableId="387143596">
    <w:abstractNumId w:val="66"/>
  </w:num>
  <w:num w:numId="17" w16cid:durableId="2031488181">
    <w:abstractNumId w:val="142"/>
  </w:num>
  <w:num w:numId="18" w16cid:durableId="567616079">
    <w:abstractNumId w:val="96"/>
  </w:num>
  <w:num w:numId="19" w16cid:durableId="880360921">
    <w:abstractNumId w:val="115"/>
  </w:num>
  <w:num w:numId="20" w16cid:durableId="818308314">
    <w:abstractNumId w:val="135"/>
  </w:num>
  <w:num w:numId="21" w16cid:durableId="522286857">
    <w:abstractNumId w:val="165"/>
  </w:num>
  <w:num w:numId="22" w16cid:durableId="1922371453">
    <w:abstractNumId w:val="136"/>
  </w:num>
  <w:num w:numId="23" w16cid:durableId="480973967">
    <w:abstractNumId w:val="94"/>
  </w:num>
  <w:num w:numId="24" w16cid:durableId="1556508043">
    <w:abstractNumId w:val="34"/>
  </w:num>
  <w:num w:numId="25" w16cid:durableId="1580284588">
    <w:abstractNumId w:val="25"/>
  </w:num>
  <w:num w:numId="26" w16cid:durableId="1366710543">
    <w:abstractNumId w:val="7"/>
  </w:num>
  <w:num w:numId="27" w16cid:durableId="662782889">
    <w:abstractNumId w:val="52"/>
  </w:num>
  <w:num w:numId="28" w16cid:durableId="1020081384">
    <w:abstractNumId w:val="170"/>
  </w:num>
  <w:num w:numId="29" w16cid:durableId="1532838576">
    <w:abstractNumId w:val="144"/>
  </w:num>
  <w:num w:numId="30" w16cid:durableId="1254902033">
    <w:abstractNumId w:val="65"/>
  </w:num>
  <w:num w:numId="31" w16cid:durableId="863903725">
    <w:abstractNumId w:val="57"/>
  </w:num>
  <w:num w:numId="32" w16cid:durableId="320159733">
    <w:abstractNumId w:val="137"/>
  </w:num>
  <w:num w:numId="33" w16cid:durableId="1583490149">
    <w:abstractNumId w:val="98"/>
  </w:num>
  <w:num w:numId="34" w16cid:durableId="2556330">
    <w:abstractNumId w:val="62"/>
  </w:num>
  <w:num w:numId="35" w16cid:durableId="1654603724">
    <w:abstractNumId w:val="75"/>
  </w:num>
  <w:num w:numId="36" w16cid:durableId="892889283">
    <w:abstractNumId w:val="88"/>
  </w:num>
  <w:num w:numId="37" w16cid:durableId="1864512885">
    <w:abstractNumId w:val="180"/>
  </w:num>
  <w:num w:numId="38" w16cid:durableId="1211964729">
    <w:abstractNumId w:val="151"/>
  </w:num>
  <w:num w:numId="39" w16cid:durableId="1659456237">
    <w:abstractNumId w:val="63"/>
  </w:num>
  <w:num w:numId="40" w16cid:durableId="198901890">
    <w:abstractNumId w:val="102"/>
  </w:num>
  <w:num w:numId="41" w16cid:durableId="1335918388">
    <w:abstractNumId w:val="74"/>
  </w:num>
  <w:num w:numId="42" w16cid:durableId="274093350">
    <w:abstractNumId w:val="150"/>
  </w:num>
  <w:num w:numId="43" w16cid:durableId="219290453">
    <w:abstractNumId w:val="67"/>
  </w:num>
  <w:num w:numId="44" w16cid:durableId="95562344">
    <w:abstractNumId w:val="54"/>
  </w:num>
  <w:num w:numId="45" w16cid:durableId="1155220766">
    <w:abstractNumId w:val="5"/>
  </w:num>
  <w:num w:numId="46" w16cid:durableId="540174552">
    <w:abstractNumId w:val="177"/>
  </w:num>
  <w:num w:numId="47" w16cid:durableId="1073351096">
    <w:abstractNumId w:val="91"/>
  </w:num>
  <w:num w:numId="48" w16cid:durableId="1586761231">
    <w:abstractNumId w:val="14"/>
  </w:num>
  <w:num w:numId="49" w16cid:durableId="1332106302">
    <w:abstractNumId w:val="68"/>
  </w:num>
  <w:num w:numId="50" w16cid:durableId="1507986493">
    <w:abstractNumId w:val="175"/>
  </w:num>
  <w:num w:numId="51" w16cid:durableId="1996912300">
    <w:abstractNumId w:val="105"/>
  </w:num>
  <w:num w:numId="52" w16cid:durableId="354499188">
    <w:abstractNumId w:val="73"/>
  </w:num>
  <w:num w:numId="53" w16cid:durableId="1462571804">
    <w:abstractNumId w:val="53"/>
  </w:num>
  <w:num w:numId="54" w16cid:durableId="1598249645">
    <w:abstractNumId w:val="185"/>
  </w:num>
  <w:num w:numId="55" w16cid:durableId="862986298">
    <w:abstractNumId w:val="106"/>
  </w:num>
  <w:num w:numId="56" w16cid:durableId="487869441">
    <w:abstractNumId w:val="147"/>
  </w:num>
  <w:num w:numId="57" w16cid:durableId="1583952371">
    <w:abstractNumId w:val="56"/>
  </w:num>
  <w:num w:numId="58" w16cid:durableId="529531157">
    <w:abstractNumId w:val="160"/>
  </w:num>
  <w:num w:numId="59" w16cid:durableId="517230958">
    <w:abstractNumId w:val="169"/>
  </w:num>
  <w:num w:numId="60" w16cid:durableId="541553173">
    <w:abstractNumId w:val="43"/>
  </w:num>
  <w:num w:numId="61" w16cid:durableId="561407596">
    <w:abstractNumId w:val="80"/>
  </w:num>
  <w:num w:numId="62" w16cid:durableId="342510616">
    <w:abstractNumId w:val="78"/>
  </w:num>
  <w:num w:numId="63" w16cid:durableId="1333289445">
    <w:abstractNumId w:val="33"/>
  </w:num>
  <w:num w:numId="64" w16cid:durableId="1199273023">
    <w:abstractNumId w:val="16"/>
  </w:num>
  <w:num w:numId="65" w16cid:durableId="415707420">
    <w:abstractNumId w:val="27"/>
  </w:num>
  <w:num w:numId="66" w16cid:durableId="767504752">
    <w:abstractNumId w:val="119"/>
  </w:num>
  <w:num w:numId="67" w16cid:durableId="270354574">
    <w:abstractNumId w:val="50"/>
  </w:num>
  <w:num w:numId="68" w16cid:durableId="523253359">
    <w:abstractNumId w:val="179"/>
  </w:num>
  <w:num w:numId="69" w16cid:durableId="1064992341">
    <w:abstractNumId w:val="133"/>
  </w:num>
  <w:num w:numId="70" w16cid:durableId="1523519303">
    <w:abstractNumId w:val="154"/>
  </w:num>
  <w:num w:numId="71" w16cid:durableId="848327636">
    <w:abstractNumId w:val="156"/>
  </w:num>
  <w:num w:numId="72" w16cid:durableId="278225149">
    <w:abstractNumId w:val="103"/>
  </w:num>
  <w:num w:numId="73" w16cid:durableId="963804510">
    <w:abstractNumId w:val="9"/>
  </w:num>
  <w:num w:numId="74" w16cid:durableId="138427910">
    <w:abstractNumId w:val="47"/>
  </w:num>
  <w:num w:numId="75" w16cid:durableId="1270696967">
    <w:abstractNumId w:val="155"/>
  </w:num>
  <w:num w:numId="76" w16cid:durableId="1100250174">
    <w:abstractNumId w:val="139"/>
  </w:num>
  <w:num w:numId="77" w16cid:durableId="1550343281">
    <w:abstractNumId w:val="69"/>
  </w:num>
  <w:num w:numId="78" w16cid:durableId="221067651">
    <w:abstractNumId w:val="149"/>
  </w:num>
  <w:num w:numId="79" w16cid:durableId="1931232630">
    <w:abstractNumId w:val="181"/>
  </w:num>
  <w:num w:numId="80" w16cid:durableId="2017879909">
    <w:abstractNumId w:val="82"/>
  </w:num>
  <w:num w:numId="81" w16cid:durableId="1765150442">
    <w:abstractNumId w:val="97"/>
  </w:num>
  <w:num w:numId="82" w16cid:durableId="1741950842">
    <w:abstractNumId w:val="21"/>
  </w:num>
  <w:num w:numId="83" w16cid:durableId="121390802">
    <w:abstractNumId w:val="127"/>
  </w:num>
  <w:num w:numId="84" w16cid:durableId="1689942590">
    <w:abstractNumId w:val="87"/>
  </w:num>
  <w:num w:numId="85" w16cid:durableId="349112990">
    <w:abstractNumId w:val="112"/>
  </w:num>
  <w:num w:numId="86" w16cid:durableId="1763139097">
    <w:abstractNumId w:val="35"/>
  </w:num>
  <w:num w:numId="87" w16cid:durableId="939875183">
    <w:abstractNumId w:val="118"/>
  </w:num>
  <w:num w:numId="88" w16cid:durableId="1017190967">
    <w:abstractNumId w:val="58"/>
  </w:num>
  <w:num w:numId="89" w16cid:durableId="931007399">
    <w:abstractNumId w:val="8"/>
  </w:num>
  <w:num w:numId="90" w16cid:durableId="2023821610">
    <w:abstractNumId w:val="79"/>
  </w:num>
  <w:num w:numId="91" w16cid:durableId="183128786">
    <w:abstractNumId w:val="12"/>
  </w:num>
  <w:num w:numId="92" w16cid:durableId="953288187">
    <w:abstractNumId w:val="32"/>
  </w:num>
  <w:num w:numId="93" w16cid:durableId="202136515">
    <w:abstractNumId w:val="110"/>
  </w:num>
  <w:num w:numId="94" w16cid:durableId="1344819593">
    <w:abstractNumId w:val="92"/>
  </w:num>
  <w:num w:numId="95" w16cid:durableId="1740782941">
    <w:abstractNumId w:val="143"/>
  </w:num>
  <w:num w:numId="96" w16cid:durableId="2036692944">
    <w:abstractNumId w:val="173"/>
  </w:num>
  <w:num w:numId="97" w16cid:durableId="1948736085">
    <w:abstractNumId w:val="24"/>
  </w:num>
  <w:num w:numId="98" w16cid:durableId="524056613">
    <w:abstractNumId w:val="95"/>
  </w:num>
  <w:num w:numId="99" w16cid:durableId="2128615850">
    <w:abstractNumId w:val="131"/>
  </w:num>
  <w:num w:numId="100" w16cid:durableId="1887796123">
    <w:abstractNumId w:val="186"/>
  </w:num>
  <w:num w:numId="101" w16cid:durableId="292487477">
    <w:abstractNumId w:val="37"/>
  </w:num>
  <w:num w:numId="102" w16cid:durableId="699428077">
    <w:abstractNumId w:val="13"/>
  </w:num>
  <w:num w:numId="103" w16cid:durableId="2085957241">
    <w:abstractNumId w:val="76"/>
  </w:num>
  <w:num w:numId="104" w16cid:durableId="599917538">
    <w:abstractNumId w:val="126"/>
  </w:num>
  <w:num w:numId="105" w16cid:durableId="250555528">
    <w:abstractNumId w:val="159"/>
  </w:num>
  <w:num w:numId="106" w16cid:durableId="282466945">
    <w:abstractNumId w:val="146"/>
  </w:num>
  <w:num w:numId="107" w16cid:durableId="114757629">
    <w:abstractNumId w:val="162"/>
  </w:num>
  <w:num w:numId="108" w16cid:durableId="1217349918">
    <w:abstractNumId w:val="70"/>
  </w:num>
  <w:num w:numId="109" w16cid:durableId="116989684">
    <w:abstractNumId w:val="23"/>
  </w:num>
  <w:num w:numId="110" w16cid:durableId="1949003326">
    <w:abstractNumId w:val="130"/>
  </w:num>
  <w:num w:numId="111" w16cid:durableId="465700064">
    <w:abstractNumId w:val="171"/>
  </w:num>
  <w:num w:numId="112" w16cid:durableId="820735059">
    <w:abstractNumId w:val="28"/>
  </w:num>
  <w:num w:numId="113" w16cid:durableId="63378514">
    <w:abstractNumId w:val="116"/>
  </w:num>
  <w:num w:numId="114" w16cid:durableId="1027104100">
    <w:abstractNumId w:val="140"/>
  </w:num>
  <w:num w:numId="115" w16cid:durableId="1208568020">
    <w:abstractNumId w:val="49"/>
  </w:num>
  <w:num w:numId="116" w16cid:durableId="1635599815">
    <w:abstractNumId w:val="121"/>
  </w:num>
  <w:num w:numId="117" w16cid:durableId="624696369">
    <w:abstractNumId w:val="45"/>
  </w:num>
  <w:num w:numId="118" w16cid:durableId="700087703">
    <w:abstractNumId w:val="22"/>
  </w:num>
  <w:num w:numId="119" w16cid:durableId="1731002608">
    <w:abstractNumId w:val="120"/>
  </w:num>
  <w:num w:numId="120" w16cid:durableId="873809883">
    <w:abstractNumId w:val="141"/>
  </w:num>
  <w:num w:numId="121" w16cid:durableId="1145243136">
    <w:abstractNumId w:val="20"/>
  </w:num>
  <w:num w:numId="122" w16cid:durableId="329723723">
    <w:abstractNumId w:val="6"/>
  </w:num>
  <w:num w:numId="123" w16cid:durableId="122355840">
    <w:abstractNumId w:val="39"/>
  </w:num>
  <w:num w:numId="124" w16cid:durableId="1126316954">
    <w:abstractNumId w:val="89"/>
  </w:num>
  <w:num w:numId="125" w16cid:durableId="335426970">
    <w:abstractNumId w:val="40"/>
  </w:num>
  <w:num w:numId="126" w16cid:durableId="364215080">
    <w:abstractNumId w:val="93"/>
  </w:num>
  <w:num w:numId="127" w16cid:durableId="1192961251">
    <w:abstractNumId w:val="184"/>
  </w:num>
  <w:num w:numId="128" w16cid:durableId="2051177306">
    <w:abstractNumId w:val="158"/>
  </w:num>
  <w:num w:numId="129" w16cid:durableId="89469702">
    <w:abstractNumId w:val="64"/>
  </w:num>
  <w:num w:numId="130" w16cid:durableId="1739207731">
    <w:abstractNumId w:val="30"/>
  </w:num>
  <w:num w:numId="131" w16cid:durableId="410396630">
    <w:abstractNumId w:val="166"/>
  </w:num>
  <w:num w:numId="132" w16cid:durableId="1686981142">
    <w:abstractNumId w:val="122"/>
  </w:num>
  <w:num w:numId="133" w16cid:durableId="159273616">
    <w:abstractNumId w:val="29"/>
  </w:num>
  <w:num w:numId="134" w16cid:durableId="1407453686">
    <w:abstractNumId w:val="125"/>
  </w:num>
  <w:num w:numId="135" w16cid:durableId="711733399">
    <w:abstractNumId w:val="132"/>
  </w:num>
  <w:num w:numId="136" w16cid:durableId="959728471">
    <w:abstractNumId w:val="168"/>
  </w:num>
  <w:num w:numId="137" w16cid:durableId="1107118542">
    <w:abstractNumId w:val="114"/>
  </w:num>
  <w:num w:numId="138" w16cid:durableId="1502234732">
    <w:abstractNumId w:val="99"/>
  </w:num>
  <w:num w:numId="139" w16cid:durableId="1976596863">
    <w:abstractNumId w:val="2"/>
  </w:num>
  <w:num w:numId="140" w16cid:durableId="330068220">
    <w:abstractNumId w:val="72"/>
  </w:num>
  <w:num w:numId="141" w16cid:durableId="1347247196">
    <w:abstractNumId w:val="38"/>
  </w:num>
  <w:num w:numId="142" w16cid:durableId="178156760">
    <w:abstractNumId w:val="157"/>
  </w:num>
  <w:num w:numId="143" w16cid:durableId="1951473509">
    <w:abstractNumId w:val="182"/>
  </w:num>
  <w:num w:numId="144" w16cid:durableId="237131777">
    <w:abstractNumId w:val="100"/>
  </w:num>
  <w:num w:numId="145" w16cid:durableId="1573542693">
    <w:abstractNumId w:val="109"/>
  </w:num>
  <w:num w:numId="146" w16cid:durableId="1418987329">
    <w:abstractNumId w:val="31"/>
  </w:num>
  <w:num w:numId="147" w16cid:durableId="238949528">
    <w:abstractNumId w:val="26"/>
  </w:num>
  <w:num w:numId="148" w16cid:durableId="352729443">
    <w:abstractNumId w:val="176"/>
  </w:num>
  <w:num w:numId="149" w16cid:durableId="730346998">
    <w:abstractNumId w:val="4"/>
  </w:num>
  <w:num w:numId="150" w16cid:durableId="839084562">
    <w:abstractNumId w:val="59"/>
  </w:num>
  <w:num w:numId="151" w16cid:durableId="1818303292">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16cid:durableId="1457142082">
    <w:abstractNumId w:val="108"/>
  </w:num>
  <w:num w:numId="153" w16cid:durableId="2052415929">
    <w:abstractNumId w:val="101"/>
  </w:num>
  <w:num w:numId="154" w16cid:durableId="222066301">
    <w:abstractNumId w:val="104"/>
  </w:num>
  <w:num w:numId="155" w16cid:durableId="1022434335">
    <w:abstractNumId w:val="83"/>
  </w:num>
  <w:num w:numId="156" w16cid:durableId="1668479">
    <w:abstractNumId w:val="107"/>
  </w:num>
  <w:num w:numId="157" w16cid:durableId="2040084094">
    <w:abstractNumId w:val="111"/>
  </w:num>
  <w:num w:numId="158" w16cid:durableId="1380008045">
    <w:abstractNumId w:val="46"/>
  </w:num>
  <w:num w:numId="159" w16cid:durableId="740642678">
    <w:abstractNumId w:val="11"/>
  </w:num>
  <w:num w:numId="160" w16cid:durableId="2138838183">
    <w:abstractNumId w:val="15"/>
  </w:num>
  <w:num w:numId="161" w16cid:durableId="1080180503">
    <w:abstractNumId w:val="124"/>
  </w:num>
  <w:num w:numId="162" w16cid:durableId="394163756">
    <w:abstractNumId w:val="90"/>
  </w:num>
  <w:num w:numId="163" w16cid:durableId="22177075">
    <w:abstractNumId w:val="128"/>
  </w:num>
  <w:num w:numId="164" w16cid:durableId="1796560904">
    <w:abstractNumId w:val="187"/>
  </w:num>
  <w:num w:numId="165" w16cid:durableId="1327705177">
    <w:abstractNumId w:val="48"/>
  </w:num>
  <w:num w:numId="166" w16cid:durableId="1567375445">
    <w:abstractNumId w:val="85"/>
  </w:num>
  <w:num w:numId="167" w16cid:durableId="1230464379">
    <w:abstractNumId w:val="138"/>
  </w:num>
  <w:num w:numId="168" w16cid:durableId="671369820">
    <w:abstractNumId w:val="19"/>
  </w:num>
  <w:num w:numId="169" w16cid:durableId="316883725">
    <w:abstractNumId w:val="152"/>
  </w:num>
  <w:num w:numId="170" w16cid:durableId="1426614292">
    <w:abstractNumId w:val="55"/>
  </w:num>
  <w:num w:numId="171" w16cid:durableId="1584145034">
    <w:abstractNumId w:val="183"/>
  </w:num>
  <w:num w:numId="172" w16cid:durableId="543255358">
    <w:abstractNumId w:val="148"/>
  </w:num>
  <w:num w:numId="173" w16cid:durableId="845094125">
    <w:abstractNumId w:val="117"/>
  </w:num>
  <w:num w:numId="174" w16cid:durableId="2019959475">
    <w:abstractNumId w:val="167"/>
  </w:num>
  <w:num w:numId="175" w16cid:durableId="1349867846">
    <w:abstractNumId w:val="84"/>
  </w:num>
  <w:num w:numId="176" w16cid:durableId="571624653">
    <w:abstractNumId w:val="81"/>
  </w:num>
  <w:num w:numId="177" w16cid:durableId="606615912">
    <w:abstractNumId w:val="1"/>
  </w:num>
  <w:num w:numId="178" w16cid:durableId="150410282">
    <w:abstractNumId w:val="164"/>
  </w:num>
  <w:num w:numId="179" w16cid:durableId="1983660100">
    <w:abstractNumId w:val="134"/>
  </w:num>
  <w:num w:numId="180" w16cid:durableId="1093014472">
    <w:abstractNumId w:val="17"/>
  </w:num>
  <w:num w:numId="181" w16cid:durableId="2005284073">
    <w:abstractNumId w:val="163"/>
  </w:num>
  <w:num w:numId="182" w16cid:durableId="457338091">
    <w:abstractNumId w:val="51"/>
  </w:num>
  <w:num w:numId="183" w16cid:durableId="680426583">
    <w:abstractNumId w:val="42"/>
  </w:num>
  <w:num w:numId="184" w16cid:durableId="1335188458">
    <w:abstractNumId w:val="172"/>
  </w:num>
  <w:num w:numId="185" w16cid:durableId="767969728">
    <w:abstractNumId w:val="44"/>
  </w:num>
  <w:num w:numId="186" w16cid:durableId="1980961466">
    <w:abstractNumId w:val="178"/>
  </w:num>
  <w:num w:numId="187" w16cid:durableId="1261641938">
    <w:abstractNumId w:val="123"/>
  </w:num>
  <w:num w:numId="188" w16cid:durableId="365494620">
    <w:abstractNumId w:val="145"/>
  </w:num>
  <w:numIdMacAtCleanup w:val="1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6BF9"/>
    <w:rsid w:val="000017B9"/>
    <w:rsid w:val="0000597B"/>
    <w:rsid w:val="00005E47"/>
    <w:rsid w:val="000120B1"/>
    <w:rsid w:val="00013C52"/>
    <w:rsid w:val="00015C6E"/>
    <w:rsid w:val="0001729A"/>
    <w:rsid w:val="000222D6"/>
    <w:rsid w:val="000239B2"/>
    <w:rsid w:val="00024255"/>
    <w:rsid w:val="000315AE"/>
    <w:rsid w:val="00032A84"/>
    <w:rsid w:val="000348D5"/>
    <w:rsid w:val="0003674E"/>
    <w:rsid w:val="00037B2C"/>
    <w:rsid w:val="000420CA"/>
    <w:rsid w:val="00042176"/>
    <w:rsid w:val="00042B7E"/>
    <w:rsid w:val="0004515E"/>
    <w:rsid w:val="00046B33"/>
    <w:rsid w:val="00047196"/>
    <w:rsid w:val="000471FA"/>
    <w:rsid w:val="00047F16"/>
    <w:rsid w:val="00051439"/>
    <w:rsid w:val="00051F44"/>
    <w:rsid w:val="000521DB"/>
    <w:rsid w:val="00053A7C"/>
    <w:rsid w:val="00054F04"/>
    <w:rsid w:val="00055447"/>
    <w:rsid w:val="00055AA7"/>
    <w:rsid w:val="000570E2"/>
    <w:rsid w:val="00057EAB"/>
    <w:rsid w:val="00062648"/>
    <w:rsid w:val="00064A54"/>
    <w:rsid w:val="00064C1F"/>
    <w:rsid w:val="00065C1B"/>
    <w:rsid w:val="0007506F"/>
    <w:rsid w:val="0007555D"/>
    <w:rsid w:val="00077367"/>
    <w:rsid w:val="00081C1D"/>
    <w:rsid w:val="00082644"/>
    <w:rsid w:val="000864F1"/>
    <w:rsid w:val="00086D98"/>
    <w:rsid w:val="0008707F"/>
    <w:rsid w:val="0009444A"/>
    <w:rsid w:val="0009479B"/>
    <w:rsid w:val="0009575E"/>
    <w:rsid w:val="0009599D"/>
    <w:rsid w:val="000A0395"/>
    <w:rsid w:val="000A0B41"/>
    <w:rsid w:val="000A13F1"/>
    <w:rsid w:val="000A3AB7"/>
    <w:rsid w:val="000A5F7A"/>
    <w:rsid w:val="000B163A"/>
    <w:rsid w:val="000B261B"/>
    <w:rsid w:val="000B6BAF"/>
    <w:rsid w:val="000B7483"/>
    <w:rsid w:val="000C29F4"/>
    <w:rsid w:val="000C32CA"/>
    <w:rsid w:val="000C5A47"/>
    <w:rsid w:val="000C620A"/>
    <w:rsid w:val="000C6AEF"/>
    <w:rsid w:val="000D11A2"/>
    <w:rsid w:val="000D1333"/>
    <w:rsid w:val="000D2827"/>
    <w:rsid w:val="000D3090"/>
    <w:rsid w:val="000D3FD6"/>
    <w:rsid w:val="000D4031"/>
    <w:rsid w:val="000D4D11"/>
    <w:rsid w:val="000D6DAE"/>
    <w:rsid w:val="000E0917"/>
    <w:rsid w:val="000E489D"/>
    <w:rsid w:val="000F0C93"/>
    <w:rsid w:val="000F4901"/>
    <w:rsid w:val="00101046"/>
    <w:rsid w:val="0010257D"/>
    <w:rsid w:val="00102A1A"/>
    <w:rsid w:val="00105BC5"/>
    <w:rsid w:val="00106831"/>
    <w:rsid w:val="001079D8"/>
    <w:rsid w:val="00116BEE"/>
    <w:rsid w:val="001177CF"/>
    <w:rsid w:val="00117C84"/>
    <w:rsid w:val="001201C2"/>
    <w:rsid w:val="0012128F"/>
    <w:rsid w:val="001241EC"/>
    <w:rsid w:val="00125C7E"/>
    <w:rsid w:val="001278CC"/>
    <w:rsid w:val="00132285"/>
    <w:rsid w:val="001369AD"/>
    <w:rsid w:val="001373E8"/>
    <w:rsid w:val="0013770B"/>
    <w:rsid w:val="001412BF"/>
    <w:rsid w:val="00142F55"/>
    <w:rsid w:val="0014545B"/>
    <w:rsid w:val="00145634"/>
    <w:rsid w:val="0014714D"/>
    <w:rsid w:val="001513EB"/>
    <w:rsid w:val="0015221C"/>
    <w:rsid w:val="00152A65"/>
    <w:rsid w:val="00157CBA"/>
    <w:rsid w:val="001604AB"/>
    <w:rsid w:val="00160739"/>
    <w:rsid w:val="00160BFC"/>
    <w:rsid w:val="00161178"/>
    <w:rsid w:val="00163916"/>
    <w:rsid w:val="001665B7"/>
    <w:rsid w:val="00166DF1"/>
    <w:rsid w:val="00171119"/>
    <w:rsid w:val="00171337"/>
    <w:rsid w:val="00172455"/>
    <w:rsid w:val="00172477"/>
    <w:rsid w:val="0017379F"/>
    <w:rsid w:val="00173E16"/>
    <w:rsid w:val="00175189"/>
    <w:rsid w:val="00175369"/>
    <w:rsid w:val="0017673F"/>
    <w:rsid w:val="001768F5"/>
    <w:rsid w:val="00176903"/>
    <w:rsid w:val="00180D16"/>
    <w:rsid w:val="001811B5"/>
    <w:rsid w:val="00182DE3"/>
    <w:rsid w:val="00183BEC"/>
    <w:rsid w:val="001842B9"/>
    <w:rsid w:val="0019105B"/>
    <w:rsid w:val="001973B4"/>
    <w:rsid w:val="001975C5"/>
    <w:rsid w:val="001A1ABE"/>
    <w:rsid w:val="001A2AB4"/>
    <w:rsid w:val="001A2F1F"/>
    <w:rsid w:val="001A3400"/>
    <w:rsid w:val="001A39A9"/>
    <w:rsid w:val="001A64A4"/>
    <w:rsid w:val="001A7D22"/>
    <w:rsid w:val="001B008B"/>
    <w:rsid w:val="001B29DE"/>
    <w:rsid w:val="001B40A5"/>
    <w:rsid w:val="001C3A40"/>
    <w:rsid w:val="001C44E8"/>
    <w:rsid w:val="001C4653"/>
    <w:rsid w:val="001D1514"/>
    <w:rsid w:val="001D2685"/>
    <w:rsid w:val="001D34FE"/>
    <w:rsid w:val="001D389B"/>
    <w:rsid w:val="001E342B"/>
    <w:rsid w:val="001E54B0"/>
    <w:rsid w:val="001E648A"/>
    <w:rsid w:val="001F1454"/>
    <w:rsid w:val="001F2515"/>
    <w:rsid w:val="001F77AC"/>
    <w:rsid w:val="001F7D6F"/>
    <w:rsid w:val="001F7D7B"/>
    <w:rsid w:val="002012DB"/>
    <w:rsid w:val="00201AC0"/>
    <w:rsid w:val="0020348D"/>
    <w:rsid w:val="002044F7"/>
    <w:rsid w:val="002105EB"/>
    <w:rsid w:val="00213665"/>
    <w:rsid w:val="002139CE"/>
    <w:rsid w:val="002162E5"/>
    <w:rsid w:val="00216795"/>
    <w:rsid w:val="00216D5C"/>
    <w:rsid w:val="002174D0"/>
    <w:rsid w:val="0021774E"/>
    <w:rsid w:val="00217B01"/>
    <w:rsid w:val="00222166"/>
    <w:rsid w:val="002236E9"/>
    <w:rsid w:val="002250F4"/>
    <w:rsid w:val="00225552"/>
    <w:rsid w:val="00225AE6"/>
    <w:rsid w:val="00225CA9"/>
    <w:rsid w:val="00227782"/>
    <w:rsid w:val="00227BE1"/>
    <w:rsid w:val="00231A66"/>
    <w:rsid w:val="00232068"/>
    <w:rsid w:val="002321B9"/>
    <w:rsid w:val="002326D7"/>
    <w:rsid w:val="002328DF"/>
    <w:rsid w:val="00234050"/>
    <w:rsid w:val="00234EE9"/>
    <w:rsid w:val="0023560D"/>
    <w:rsid w:val="00242683"/>
    <w:rsid w:val="00243A25"/>
    <w:rsid w:val="00244A46"/>
    <w:rsid w:val="00246E14"/>
    <w:rsid w:val="00254806"/>
    <w:rsid w:val="00265647"/>
    <w:rsid w:val="00266609"/>
    <w:rsid w:val="00271153"/>
    <w:rsid w:val="002711A7"/>
    <w:rsid w:val="00274880"/>
    <w:rsid w:val="00276B4A"/>
    <w:rsid w:val="002771A8"/>
    <w:rsid w:val="00277E6E"/>
    <w:rsid w:val="002825C6"/>
    <w:rsid w:val="00292922"/>
    <w:rsid w:val="00296BA1"/>
    <w:rsid w:val="002A0448"/>
    <w:rsid w:val="002A0FD9"/>
    <w:rsid w:val="002A3E07"/>
    <w:rsid w:val="002A4336"/>
    <w:rsid w:val="002B0E8A"/>
    <w:rsid w:val="002B25DC"/>
    <w:rsid w:val="002B390E"/>
    <w:rsid w:val="002B410D"/>
    <w:rsid w:val="002B4EF3"/>
    <w:rsid w:val="002B77FF"/>
    <w:rsid w:val="002C4C64"/>
    <w:rsid w:val="002D0819"/>
    <w:rsid w:val="002D097E"/>
    <w:rsid w:val="002D34CC"/>
    <w:rsid w:val="002D3A9D"/>
    <w:rsid w:val="002D3CA7"/>
    <w:rsid w:val="002D547B"/>
    <w:rsid w:val="002D7205"/>
    <w:rsid w:val="002D7C72"/>
    <w:rsid w:val="002E0AAC"/>
    <w:rsid w:val="002E3DBF"/>
    <w:rsid w:val="002E774C"/>
    <w:rsid w:val="002F2461"/>
    <w:rsid w:val="002F6D96"/>
    <w:rsid w:val="002F7775"/>
    <w:rsid w:val="003002A9"/>
    <w:rsid w:val="00304C6D"/>
    <w:rsid w:val="0030520C"/>
    <w:rsid w:val="0030569B"/>
    <w:rsid w:val="003100FE"/>
    <w:rsid w:val="00312613"/>
    <w:rsid w:val="0031290F"/>
    <w:rsid w:val="00321647"/>
    <w:rsid w:val="003269C0"/>
    <w:rsid w:val="00333D08"/>
    <w:rsid w:val="003342C2"/>
    <w:rsid w:val="00336899"/>
    <w:rsid w:val="0033768D"/>
    <w:rsid w:val="00342A0B"/>
    <w:rsid w:val="00342B5C"/>
    <w:rsid w:val="003448E7"/>
    <w:rsid w:val="003459F1"/>
    <w:rsid w:val="00346AE4"/>
    <w:rsid w:val="00352437"/>
    <w:rsid w:val="003564EB"/>
    <w:rsid w:val="00356F83"/>
    <w:rsid w:val="00365A10"/>
    <w:rsid w:val="00365F5B"/>
    <w:rsid w:val="00370386"/>
    <w:rsid w:val="0037587F"/>
    <w:rsid w:val="003771D0"/>
    <w:rsid w:val="00383C79"/>
    <w:rsid w:val="00390C8E"/>
    <w:rsid w:val="0039426C"/>
    <w:rsid w:val="0039433A"/>
    <w:rsid w:val="00394C21"/>
    <w:rsid w:val="00397122"/>
    <w:rsid w:val="003A0F16"/>
    <w:rsid w:val="003A1293"/>
    <w:rsid w:val="003A79C7"/>
    <w:rsid w:val="003B09A2"/>
    <w:rsid w:val="003B76A9"/>
    <w:rsid w:val="003C06FE"/>
    <w:rsid w:val="003C199A"/>
    <w:rsid w:val="003C5358"/>
    <w:rsid w:val="003C576E"/>
    <w:rsid w:val="003C5EB5"/>
    <w:rsid w:val="003C71B0"/>
    <w:rsid w:val="003D0CE0"/>
    <w:rsid w:val="003D35AA"/>
    <w:rsid w:val="003D3A1E"/>
    <w:rsid w:val="003D420F"/>
    <w:rsid w:val="003D505F"/>
    <w:rsid w:val="003D6527"/>
    <w:rsid w:val="003D74CF"/>
    <w:rsid w:val="003E2244"/>
    <w:rsid w:val="003E3ED2"/>
    <w:rsid w:val="003F0E51"/>
    <w:rsid w:val="003F11BE"/>
    <w:rsid w:val="003F56D5"/>
    <w:rsid w:val="004016C0"/>
    <w:rsid w:val="00403755"/>
    <w:rsid w:val="0040499E"/>
    <w:rsid w:val="00405316"/>
    <w:rsid w:val="00410A83"/>
    <w:rsid w:val="00411BEE"/>
    <w:rsid w:val="0041337E"/>
    <w:rsid w:val="004137CC"/>
    <w:rsid w:val="00414577"/>
    <w:rsid w:val="004145D1"/>
    <w:rsid w:val="00415E52"/>
    <w:rsid w:val="00416B75"/>
    <w:rsid w:val="00416E40"/>
    <w:rsid w:val="004242AA"/>
    <w:rsid w:val="00426AD4"/>
    <w:rsid w:val="00430358"/>
    <w:rsid w:val="00430BDE"/>
    <w:rsid w:val="0043166C"/>
    <w:rsid w:val="00432DF8"/>
    <w:rsid w:val="0043650C"/>
    <w:rsid w:val="00446BB3"/>
    <w:rsid w:val="004471AF"/>
    <w:rsid w:val="00451ED8"/>
    <w:rsid w:val="0045207C"/>
    <w:rsid w:val="00454421"/>
    <w:rsid w:val="00457A51"/>
    <w:rsid w:val="00461831"/>
    <w:rsid w:val="00461C83"/>
    <w:rsid w:val="0046215B"/>
    <w:rsid w:val="00464988"/>
    <w:rsid w:val="0046578E"/>
    <w:rsid w:val="004668E0"/>
    <w:rsid w:val="00477BF8"/>
    <w:rsid w:val="00483FB4"/>
    <w:rsid w:val="00484EEE"/>
    <w:rsid w:val="00485617"/>
    <w:rsid w:val="00485722"/>
    <w:rsid w:val="00487720"/>
    <w:rsid w:val="00487855"/>
    <w:rsid w:val="004878E2"/>
    <w:rsid w:val="00491B45"/>
    <w:rsid w:val="00493079"/>
    <w:rsid w:val="0049533B"/>
    <w:rsid w:val="00495DCA"/>
    <w:rsid w:val="004A056E"/>
    <w:rsid w:val="004A326C"/>
    <w:rsid w:val="004A3791"/>
    <w:rsid w:val="004B00D1"/>
    <w:rsid w:val="004B1486"/>
    <w:rsid w:val="004B30D1"/>
    <w:rsid w:val="004B3E69"/>
    <w:rsid w:val="004B78DE"/>
    <w:rsid w:val="004C2A49"/>
    <w:rsid w:val="004C2BC2"/>
    <w:rsid w:val="004C2C1C"/>
    <w:rsid w:val="004C2E09"/>
    <w:rsid w:val="004C3D75"/>
    <w:rsid w:val="004C4C95"/>
    <w:rsid w:val="004C6064"/>
    <w:rsid w:val="004D38E5"/>
    <w:rsid w:val="004D6FA5"/>
    <w:rsid w:val="004E060E"/>
    <w:rsid w:val="004E07E7"/>
    <w:rsid w:val="004E2EAC"/>
    <w:rsid w:val="004E5451"/>
    <w:rsid w:val="004E5460"/>
    <w:rsid w:val="004E563D"/>
    <w:rsid w:val="004E6BFA"/>
    <w:rsid w:val="004F17DF"/>
    <w:rsid w:val="004F1EC5"/>
    <w:rsid w:val="004F3A3E"/>
    <w:rsid w:val="004F3FDB"/>
    <w:rsid w:val="004F5FEC"/>
    <w:rsid w:val="00500269"/>
    <w:rsid w:val="00504846"/>
    <w:rsid w:val="005050F7"/>
    <w:rsid w:val="00507CCA"/>
    <w:rsid w:val="00510367"/>
    <w:rsid w:val="005103DC"/>
    <w:rsid w:val="005112D2"/>
    <w:rsid w:val="00511A4E"/>
    <w:rsid w:val="00511F14"/>
    <w:rsid w:val="0051207D"/>
    <w:rsid w:val="00512D14"/>
    <w:rsid w:val="00517BD5"/>
    <w:rsid w:val="00520EEB"/>
    <w:rsid w:val="005214D0"/>
    <w:rsid w:val="0052296C"/>
    <w:rsid w:val="00526CEB"/>
    <w:rsid w:val="00526EDA"/>
    <w:rsid w:val="00527136"/>
    <w:rsid w:val="00527A8C"/>
    <w:rsid w:val="005344F1"/>
    <w:rsid w:val="005354C6"/>
    <w:rsid w:val="005411EF"/>
    <w:rsid w:val="005414EE"/>
    <w:rsid w:val="0054338B"/>
    <w:rsid w:val="0054339D"/>
    <w:rsid w:val="00543BAA"/>
    <w:rsid w:val="00546C91"/>
    <w:rsid w:val="0055413C"/>
    <w:rsid w:val="005608EF"/>
    <w:rsid w:val="00561511"/>
    <w:rsid w:val="00563788"/>
    <w:rsid w:val="005648A3"/>
    <w:rsid w:val="005665C2"/>
    <w:rsid w:val="00566B06"/>
    <w:rsid w:val="00577519"/>
    <w:rsid w:val="00577613"/>
    <w:rsid w:val="00577948"/>
    <w:rsid w:val="00580ED2"/>
    <w:rsid w:val="0058154E"/>
    <w:rsid w:val="0058348A"/>
    <w:rsid w:val="005861C0"/>
    <w:rsid w:val="00587251"/>
    <w:rsid w:val="0059040F"/>
    <w:rsid w:val="005910A8"/>
    <w:rsid w:val="005A2685"/>
    <w:rsid w:val="005A329C"/>
    <w:rsid w:val="005A3366"/>
    <w:rsid w:val="005A660C"/>
    <w:rsid w:val="005A6BDC"/>
    <w:rsid w:val="005A7483"/>
    <w:rsid w:val="005B0724"/>
    <w:rsid w:val="005B5987"/>
    <w:rsid w:val="005B7A6F"/>
    <w:rsid w:val="005C0D69"/>
    <w:rsid w:val="005C1CD3"/>
    <w:rsid w:val="005C6AA6"/>
    <w:rsid w:val="005C7101"/>
    <w:rsid w:val="005D50D2"/>
    <w:rsid w:val="005D6815"/>
    <w:rsid w:val="005D6D53"/>
    <w:rsid w:val="005E4313"/>
    <w:rsid w:val="005E4DD7"/>
    <w:rsid w:val="005E6317"/>
    <w:rsid w:val="005F237D"/>
    <w:rsid w:val="005F6E85"/>
    <w:rsid w:val="00600525"/>
    <w:rsid w:val="00603EC3"/>
    <w:rsid w:val="0060540B"/>
    <w:rsid w:val="0060574B"/>
    <w:rsid w:val="00607A2B"/>
    <w:rsid w:val="00611AE7"/>
    <w:rsid w:val="00613749"/>
    <w:rsid w:val="00614E04"/>
    <w:rsid w:val="00614EAD"/>
    <w:rsid w:val="00615572"/>
    <w:rsid w:val="006167FE"/>
    <w:rsid w:val="00620BC3"/>
    <w:rsid w:val="00623818"/>
    <w:rsid w:val="006241C5"/>
    <w:rsid w:val="0062457E"/>
    <w:rsid w:val="00624A70"/>
    <w:rsid w:val="0062786F"/>
    <w:rsid w:val="00634901"/>
    <w:rsid w:val="0063589D"/>
    <w:rsid w:val="00640014"/>
    <w:rsid w:val="00641D72"/>
    <w:rsid w:val="00642FAE"/>
    <w:rsid w:val="0064368D"/>
    <w:rsid w:val="006537BF"/>
    <w:rsid w:val="006548C9"/>
    <w:rsid w:val="00655F17"/>
    <w:rsid w:val="006600A6"/>
    <w:rsid w:val="006602EE"/>
    <w:rsid w:val="00660D67"/>
    <w:rsid w:val="006619E4"/>
    <w:rsid w:val="006663AE"/>
    <w:rsid w:val="006735BF"/>
    <w:rsid w:val="0067395E"/>
    <w:rsid w:val="00673EFE"/>
    <w:rsid w:val="0067707D"/>
    <w:rsid w:val="00680CF2"/>
    <w:rsid w:val="00683186"/>
    <w:rsid w:val="00683B81"/>
    <w:rsid w:val="00685257"/>
    <w:rsid w:val="00686123"/>
    <w:rsid w:val="006908E7"/>
    <w:rsid w:val="006909E2"/>
    <w:rsid w:val="00694729"/>
    <w:rsid w:val="00695452"/>
    <w:rsid w:val="006A019A"/>
    <w:rsid w:val="006A7E88"/>
    <w:rsid w:val="006B3D69"/>
    <w:rsid w:val="006B758F"/>
    <w:rsid w:val="006C0021"/>
    <w:rsid w:val="006D19F0"/>
    <w:rsid w:val="006D54D7"/>
    <w:rsid w:val="006E1A50"/>
    <w:rsid w:val="006E32DB"/>
    <w:rsid w:val="006E3609"/>
    <w:rsid w:val="006E6539"/>
    <w:rsid w:val="006E7847"/>
    <w:rsid w:val="006F1400"/>
    <w:rsid w:val="006F27C2"/>
    <w:rsid w:val="006F5AA0"/>
    <w:rsid w:val="006F7B60"/>
    <w:rsid w:val="00700115"/>
    <w:rsid w:val="00701FA2"/>
    <w:rsid w:val="0070304E"/>
    <w:rsid w:val="00704BB2"/>
    <w:rsid w:val="0070739C"/>
    <w:rsid w:val="0070780E"/>
    <w:rsid w:val="007125F4"/>
    <w:rsid w:val="00712B71"/>
    <w:rsid w:val="00714054"/>
    <w:rsid w:val="00725202"/>
    <w:rsid w:val="00725735"/>
    <w:rsid w:val="0072641A"/>
    <w:rsid w:val="00736E93"/>
    <w:rsid w:val="00746668"/>
    <w:rsid w:val="00750F59"/>
    <w:rsid w:val="00751CDB"/>
    <w:rsid w:val="00752668"/>
    <w:rsid w:val="00753249"/>
    <w:rsid w:val="00753B2F"/>
    <w:rsid w:val="00754BCA"/>
    <w:rsid w:val="00754DBC"/>
    <w:rsid w:val="00757096"/>
    <w:rsid w:val="007570BA"/>
    <w:rsid w:val="007643B9"/>
    <w:rsid w:val="00765BDB"/>
    <w:rsid w:val="007702CD"/>
    <w:rsid w:val="00782A7D"/>
    <w:rsid w:val="00783AF6"/>
    <w:rsid w:val="00783BB5"/>
    <w:rsid w:val="00791C27"/>
    <w:rsid w:val="00793F22"/>
    <w:rsid w:val="007977D1"/>
    <w:rsid w:val="007A76DC"/>
    <w:rsid w:val="007B325C"/>
    <w:rsid w:val="007B3AE6"/>
    <w:rsid w:val="007B3C6A"/>
    <w:rsid w:val="007B5134"/>
    <w:rsid w:val="007C177E"/>
    <w:rsid w:val="007C49E2"/>
    <w:rsid w:val="007C55EF"/>
    <w:rsid w:val="007C56B1"/>
    <w:rsid w:val="007C774B"/>
    <w:rsid w:val="007D1E05"/>
    <w:rsid w:val="007D2E1E"/>
    <w:rsid w:val="007D6255"/>
    <w:rsid w:val="007E347E"/>
    <w:rsid w:val="007E4F12"/>
    <w:rsid w:val="007E51BB"/>
    <w:rsid w:val="007F0A7F"/>
    <w:rsid w:val="007F5034"/>
    <w:rsid w:val="007F6479"/>
    <w:rsid w:val="007F7903"/>
    <w:rsid w:val="007F7FD9"/>
    <w:rsid w:val="00801964"/>
    <w:rsid w:val="00801966"/>
    <w:rsid w:val="008036BD"/>
    <w:rsid w:val="0080411D"/>
    <w:rsid w:val="00804D0E"/>
    <w:rsid w:val="00805B2D"/>
    <w:rsid w:val="008064BE"/>
    <w:rsid w:val="00807DA8"/>
    <w:rsid w:val="008104E0"/>
    <w:rsid w:val="00810785"/>
    <w:rsid w:val="00813885"/>
    <w:rsid w:val="00813B04"/>
    <w:rsid w:val="00814C24"/>
    <w:rsid w:val="00823C3B"/>
    <w:rsid w:val="00824509"/>
    <w:rsid w:val="00825962"/>
    <w:rsid w:val="00827BD5"/>
    <w:rsid w:val="00832C0B"/>
    <w:rsid w:val="008332B0"/>
    <w:rsid w:val="00834549"/>
    <w:rsid w:val="00835847"/>
    <w:rsid w:val="00835B89"/>
    <w:rsid w:val="008363D1"/>
    <w:rsid w:val="008373BD"/>
    <w:rsid w:val="0084485D"/>
    <w:rsid w:val="00846547"/>
    <w:rsid w:val="00846F34"/>
    <w:rsid w:val="008470D7"/>
    <w:rsid w:val="00852C28"/>
    <w:rsid w:val="00852D21"/>
    <w:rsid w:val="00852E1E"/>
    <w:rsid w:val="008533CE"/>
    <w:rsid w:val="00855F5C"/>
    <w:rsid w:val="008566CB"/>
    <w:rsid w:val="008567E4"/>
    <w:rsid w:val="008572F7"/>
    <w:rsid w:val="00861C79"/>
    <w:rsid w:val="00862009"/>
    <w:rsid w:val="00862257"/>
    <w:rsid w:val="00866A67"/>
    <w:rsid w:val="00871BB7"/>
    <w:rsid w:val="00873255"/>
    <w:rsid w:val="00873D4E"/>
    <w:rsid w:val="00873DF5"/>
    <w:rsid w:val="008762FD"/>
    <w:rsid w:val="00880DAA"/>
    <w:rsid w:val="00881670"/>
    <w:rsid w:val="0088331F"/>
    <w:rsid w:val="0088376E"/>
    <w:rsid w:val="00883E92"/>
    <w:rsid w:val="00884C5C"/>
    <w:rsid w:val="00885060"/>
    <w:rsid w:val="00886471"/>
    <w:rsid w:val="00886A57"/>
    <w:rsid w:val="008874E6"/>
    <w:rsid w:val="008905AE"/>
    <w:rsid w:val="0089091D"/>
    <w:rsid w:val="00894B9F"/>
    <w:rsid w:val="00895E13"/>
    <w:rsid w:val="00896C2C"/>
    <w:rsid w:val="008A5A40"/>
    <w:rsid w:val="008A7C6B"/>
    <w:rsid w:val="008B0AFB"/>
    <w:rsid w:val="008B2BC0"/>
    <w:rsid w:val="008B3F66"/>
    <w:rsid w:val="008B484C"/>
    <w:rsid w:val="008B5EFC"/>
    <w:rsid w:val="008B70E2"/>
    <w:rsid w:val="008B71DD"/>
    <w:rsid w:val="008B74D9"/>
    <w:rsid w:val="008C13EB"/>
    <w:rsid w:val="008C16F7"/>
    <w:rsid w:val="008C3BDF"/>
    <w:rsid w:val="008C454D"/>
    <w:rsid w:val="008C5267"/>
    <w:rsid w:val="008C6079"/>
    <w:rsid w:val="008C7828"/>
    <w:rsid w:val="008D1CE4"/>
    <w:rsid w:val="008D49E0"/>
    <w:rsid w:val="008D554E"/>
    <w:rsid w:val="008D5715"/>
    <w:rsid w:val="008D74BA"/>
    <w:rsid w:val="008E2181"/>
    <w:rsid w:val="008E257D"/>
    <w:rsid w:val="008E33FD"/>
    <w:rsid w:val="008E48EB"/>
    <w:rsid w:val="008E4D23"/>
    <w:rsid w:val="008E60F1"/>
    <w:rsid w:val="008E65B6"/>
    <w:rsid w:val="008E77F3"/>
    <w:rsid w:val="008F00C9"/>
    <w:rsid w:val="008F1756"/>
    <w:rsid w:val="008F197C"/>
    <w:rsid w:val="008F26E8"/>
    <w:rsid w:val="008F5DD0"/>
    <w:rsid w:val="008F7FDC"/>
    <w:rsid w:val="00910E00"/>
    <w:rsid w:val="009137FB"/>
    <w:rsid w:val="009138BB"/>
    <w:rsid w:val="00914F99"/>
    <w:rsid w:val="009201DC"/>
    <w:rsid w:val="0092497B"/>
    <w:rsid w:val="00925011"/>
    <w:rsid w:val="00926A66"/>
    <w:rsid w:val="00931718"/>
    <w:rsid w:val="009323E2"/>
    <w:rsid w:val="00934E7E"/>
    <w:rsid w:val="0093561C"/>
    <w:rsid w:val="00941435"/>
    <w:rsid w:val="0094315A"/>
    <w:rsid w:val="00944AE2"/>
    <w:rsid w:val="00945F51"/>
    <w:rsid w:val="00947919"/>
    <w:rsid w:val="00952589"/>
    <w:rsid w:val="009546F4"/>
    <w:rsid w:val="00966C80"/>
    <w:rsid w:val="009729EB"/>
    <w:rsid w:val="00973875"/>
    <w:rsid w:val="00974F1B"/>
    <w:rsid w:val="00980BDD"/>
    <w:rsid w:val="009811A1"/>
    <w:rsid w:val="00981CA1"/>
    <w:rsid w:val="009859C1"/>
    <w:rsid w:val="009870E5"/>
    <w:rsid w:val="00987BB7"/>
    <w:rsid w:val="00987BF0"/>
    <w:rsid w:val="00987C9E"/>
    <w:rsid w:val="00992275"/>
    <w:rsid w:val="0099398D"/>
    <w:rsid w:val="00993B86"/>
    <w:rsid w:val="00993E62"/>
    <w:rsid w:val="009953D6"/>
    <w:rsid w:val="00995AA6"/>
    <w:rsid w:val="00996581"/>
    <w:rsid w:val="00996E1E"/>
    <w:rsid w:val="00997182"/>
    <w:rsid w:val="009972B7"/>
    <w:rsid w:val="00997857"/>
    <w:rsid w:val="00997A46"/>
    <w:rsid w:val="009A0EA7"/>
    <w:rsid w:val="009A1A81"/>
    <w:rsid w:val="009A223E"/>
    <w:rsid w:val="009A3FC3"/>
    <w:rsid w:val="009A48F4"/>
    <w:rsid w:val="009A5646"/>
    <w:rsid w:val="009A57DF"/>
    <w:rsid w:val="009A5CFB"/>
    <w:rsid w:val="009A67BE"/>
    <w:rsid w:val="009B2573"/>
    <w:rsid w:val="009C3188"/>
    <w:rsid w:val="009C3F22"/>
    <w:rsid w:val="009C5417"/>
    <w:rsid w:val="009C668D"/>
    <w:rsid w:val="009C6AA5"/>
    <w:rsid w:val="009D07AE"/>
    <w:rsid w:val="009D3893"/>
    <w:rsid w:val="009D4642"/>
    <w:rsid w:val="009D56E7"/>
    <w:rsid w:val="009D5C67"/>
    <w:rsid w:val="009E4F32"/>
    <w:rsid w:val="009E5566"/>
    <w:rsid w:val="009E63E5"/>
    <w:rsid w:val="009E6DF9"/>
    <w:rsid w:val="009E6E8E"/>
    <w:rsid w:val="009E73C2"/>
    <w:rsid w:val="009E7A74"/>
    <w:rsid w:val="009F0458"/>
    <w:rsid w:val="009F21C0"/>
    <w:rsid w:val="009F2B33"/>
    <w:rsid w:val="009F5533"/>
    <w:rsid w:val="00A00D0F"/>
    <w:rsid w:val="00A04562"/>
    <w:rsid w:val="00A07195"/>
    <w:rsid w:val="00A07D6B"/>
    <w:rsid w:val="00A10428"/>
    <w:rsid w:val="00A1200C"/>
    <w:rsid w:val="00A128F4"/>
    <w:rsid w:val="00A16DAD"/>
    <w:rsid w:val="00A24A77"/>
    <w:rsid w:val="00A25475"/>
    <w:rsid w:val="00A25D28"/>
    <w:rsid w:val="00A26127"/>
    <w:rsid w:val="00A26D95"/>
    <w:rsid w:val="00A2793B"/>
    <w:rsid w:val="00A27960"/>
    <w:rsid w:val="00A304BD"/>
    <w:rsid w:val="00A30BAE"/>
    <w:rsid w:val="00A31F54"/>
    <w:rsid w:val="00A341AB"/>
    <w:rsid w:val="00A3506F"/>
    <w:rsid w:val="00A37B92"/>
    <w:rsid w:val="00A414ED"/>
    <w:rsid w:val="00A43D18"/>
    <w:rsid w:val="00A46032"/>
    <w:rsid w:val="00A46AC8"/>
    <w:rsid w:val="00A472D7"/>
    <w:rsid w:val="00A522E9"/>
    <w:rsid w:val="00A52452"/>
    <w:rsid w:val="00A545D8"/>
    <w:rsid w:val="00A55958"/>
    <w:rsid w:val="00A56E0E"/>
    <w:rsid w:val="00A5726F"/>
    <w:rsid w:val="00A6080C"/>
    <w:rsid w:val="00A627E3"/>
    <w:rsid w:val="00A62BEE"/>
    <w:rsid w:val="00A63E3E"/>
    <w:rsid w:val="00A65A9C"/>
    <w:rsid w:val="00A709D8"/>
    <w:rsid w:val="00A73958"/>
    <w:rsid w:val="00A74B6F"/>
    <w:rsid w:val="00A75C69"/>
    <w:rsid w:val="00A7682F"/>
    <w:rsid w:val="00A77A9B"/>
    <w:rsid w:val="00A77CF5"/>
    <w:rsid w:val="00A808FD"/>
    <w:rsid w:val="00A82714"/>
    <w:rsid w:val="00A83492"/>
    <w:rsid w:val="00A84313"/>
    <w:rsid w:val="00A84BF5"/>
    <w:rsid w:val="00A8671D"/>
    <w:rsid w:val="00A90A2C"/>
    <w:rsid w:val="00A930AA"/>
    <w:rsid w:val="00A94BD8"/>
    <w:rsid w:val="00A967D7"/>
    <w:rsid w:val="00A97BCC"/>
    <w:rsid w:val="00AA6493"/>
    <w:rsid w:val="00AA7BC1"/>
    <w:rsid w:val="00AB05A6"/>
    <w:rsid w:val="00AB7A28"/>
    <w:rsid w:val="00AC1CB3"/>
    <w:rsid w:val="00AC4383"/>
    <w:rsid w:val="00AC7887"/>
    <w:rsid w:val="00AD143D"/>
    <w:rsid w:val="00AD1855"/>
    <w:rsid w:val="00AD3F99"/>
    <w:rsid w:val="00AD4B7E"/>
    <w:rsid w:val="00AD7BB9"/>
    <w:rsid w:val="00AE0307"/>
    <w:rsid w:val="00AE0E73"/>
    <w:rsid w:val="00AE1732"/>
    <w:rsid w:val="00AE1F2C"/>
    <w:rsid w:val="00AE2B16"/>
    <w:rsid w:val="00AE3946"/>
    <w:rsid w:val="00AF05F2"/>
    <w:rsid w:val="00AF0D19"/>
    <w:rsid w:val="00AF1306"/>
    <w:rsid w:val="00AF1D6D"/>
    <w:rsid w:val="00AF21FB"/>
    <w:rsid w:val="00AF4730"/>
    <w:rsid w:val="00AF69C8"/>
    <w:rsid w:val="00B01838"/>
    <w:rsid w:val="00B03BAC"/>
    <w:rsid w:val="00B03F95"/>
    <w:rsid w:val="00B06FC3"/>
    <w:rsid w:val="00B11003"/>
    <w:rsid w:val="00B14847"/>
    <w:rsid w:val="00B15465"/>
    <w:rsid w:val="00B169E8"/>
    <w:rsid w:val="00B23064"/>
    <w:rsid w:val="00B26832"/>
    <w:rsid w:val="00B26F45"/>
    <w:rsid w:val="00B30FCB"/>
    <w:rsid w:val="00B31699"/>
    <w:rsid w:val="00B33307"/>
    <w:rsid w:val="00B3364E"/>
    <w:rsid w:val="00B36522"/>
    <w:rsid w:val="00B40E52"/>
    <w:rsid w:val="00B41BC9"/>
    <w:rsid w:val="00B43A2F"/>
    <w:rsid w:val="00B505CE"/>
    <w:rsid w:val="00B538DD"/>
    <w:rsid w:val="00B53EB4"/>
    <w:rsid w:val="00B5459A"/>
    <w:rsid w:val="00B57FC7"/>
    <w:rsid w:val="00B6030F"/>
    <w:rsid w:val="00B605A8"/>
    <w:rsid w:val="00B624AE"/>
    <w:rsid w:val="00B72D84"/>
    <w:rsid w:val="00B7542E"/>
    <w:rsid w:val="00B75BC7"/>
    <w:rsid w:val="00B77E3F"/>
    <w:rsid w:val="00B91972"/>
    <w:rsid w:val="00B93BDB"/>
    <w:rsid w:val="00B93D82"/>
    <w:rsid w:val="00B968C9"/>
    <w:rsid w:val="00B96D31"/>
    <w:rsid w:val="00BA134E"/>
    <w:rsid w:val="00BA22BB"/>
    <w:rsid w:val="00BA379B"/>
    <w:rsid w:val="00BA3FAD"/>
    <w:rsid w:val="00BA4FDC"/>
    <w:rsid w:val="00BA55E5"/>
    <w:rsid w:val="00BB01F6"/>
    <w:rsid w:val="00BB152A"/>
    <w:rsid w:val="00BB240C"/>
    <w:rsid w:val="00BB2BBB"/>
    <w:rsid w:val="00BB3756"/>
    <w:rsid w:val="00BB4331"/>
    <w:rsid w:val="00BB4940"/>
    <w:rsid w:val="00BB58A0"/>
    <w:rsid w:val="00BB65C3"/>
    <w:rsid w:val="00BC1618"/>
    <w:rsid w:val="00BC2B46"/>
    <w:rsid w:val="00BC330F"/>
    <w:rsid w:val="00BC3758"/>
    <w:rsid w:val="00BC3A0F"/>
    <w:rsid w:val="00BC4FE8"/>
    <w:rsid w:val="00BC5122"/>
    <w:rsid w:val="00BC5806"/>
    <w:rsid w:val="00BC6658"/>
    <w:rsid w:val="00BC7116"/>
    <w:rsid w:val="00BC7A24"/>
    <w:rsid w:val="00BC7E9E"/>
    <w:rsid w:val="00BD366E"/>
    <w:rsid w:val="00BD6CDA"/>
    <w:rsid w:val="00BE0078"/>
    <w:rsid w:val="00BE0855"/>
    <w:rsid w:val="00BE4B26"/>
    <w:rsid w:val="00C0128D"/>
    <w:rsid w:val="00C03031"/>
    <w:rsid w:val="00C04A38"/>
    <w:rsid w:val="00C05204"/>
    <w:rsid w:val="00C06977"/>
    <w:rsid w:val="00C10831"/>
    <w:rsid w:val="00C10BBC"/>
    <w:rsid w:val="00C20EE2"/>
    <w:rsid w:val="00C2353C"/>
    <w:rsid w:val="00C24DBE"/>
    <w:rsid w:val="00C25657"/>
    <w:rsid w:val="00C25BA2"/>
    <w:rsid w:val="00C263E5"/>
    <w:rsid w:val="00C3382C"/>
    <w:rsid w:val="00C34901"/>
    <w:rsid w:val="00C350FB"/>
    <w:rsid w:val="00C362D3"/>
    <w:rsid w:val="00C415A9"/>
    <w:rsid w:val="00C41E07"/>
    <w:rsid w:val="00C4278D"/>
    <w:rsid w:val="00C42CF8"/>
    <w:rsid w:val="00C43703"/>
    <w:rsid w:val="00C443A6"/>
    <w:rsid w:val="00C509C8"/>
    <w:rsid w:val="00C524F2"/>
    <w:rsid w:val="00C5285B"/>
    <w:rsid w:val="00C54A03"/>
    <w:rsid w:val="00C550AB"/>
    <w:rsid w:val="00C55580"/>
    <w:rsid w:val="00C55F88"/>
    <w:rsid w:val="00C5604A"/>
    <w:rsid w:val="00C56257"/>
    <w:rsid w:val="00C6027D"/>
    <w:rsid w:val="00C60B26"/>
    <w:rsid w:val="00C61654"/>
    <w:rsid w:val="00C73B82"/>
    <w:rsid w:val="00C7489A"/>
    <w:rsid w:val="00C8063A"/>
    <w:rsid w:val="00C82078"/>
    <w:rsid w:val="00C8254F"/>
    <w:rsid w:val="00C8397C"/>
    <w:rsid w:val="00C85EF5"/>
    <w:rsid w:val="00C86471"/>
    <w:rsid w:val="00C876EC"/>
    <w:rsid w:val="00C9018B"/>
    <w:rsid w:val="00C902DF"/>
    <w:rsid w:val="00C91D84"/>
    <w:rsid w:val="00C92BD8"/>
    <w:rsid w:val="00C92BFC"/>
    <w:rsid w:val="00C956E7"/>
    <w:rsid w:val="00C97A4B"/>
    <w:rsid w:val="00CA67E9"/>
    <w:rsid w:val="00CA6BF9"/>
    <w:rsid w:val="00CA782A"/>
    <w:rsid w:val="00CB4434"/>
    <w:rsid w:val="00CB5A4D"/>
    <w:rsid w:val="00CB65B7"/>
    <w:rsid w:val="00CC10DA"/>
    <w:rsid w:val="00CC2E09"/>
    <w:rsid w:val="00CC6486"/>
    <w:rsid w:val="00CC696F"/>
    <w:rsid w:val="00CD2547"/>
    <w:rsid w:val="00CD26D4"/>
    <w:rsid w:val="00CE1C3B"/>
    <w:rsid w:val="00CE4002"/>
    <w:rsid w:val="00CE48A9"/>
    <w:rsid w:val="00CE4E1F"/>
    <w:rsid w:val="00CF17B6"/>
    <w:rsid w:val="00CF4622"/>
    <w:rsid w:val="00D010DB"/>
    <w:rsid w:val="00D01917"/>
    <w:rsid w:val="00D01AAD"/>
    <w:rsid w:val="00D01FD9"/>
    <w:rsid w:val="00D05830"/>
    <w:rsid w:val="00D12E58"/>
    <w:rsid w:val="00D15BAB"/>
    <w:rsid w:val="00D161A3"/>
    <w:rsid w:val="00D16604"/>
    <w:rsid w:val="00D20919"/>
    <w:rsid w:val="00D20F6F"/>
    <w:rsid w:val="00D22C76"/>
    <w:rsid w:val="00D2413A"/>
    <w:rsid w:val="00D270C7"/>
    <w:rsid w:val="00D27118"/>
    <w:rsid w:val="00D308D5"/>
    <w:rsid w:val="00D31812"/>
    <w:rsid w:val="00D337D8"/>
    <w:rsid w:val="00D34702"/>
    <w:rsid w:val="00D4013E"/>
    <w:rsid w:val="00D40D63"/>
    <w:rsid w:val="00D43F4D"/>
    <w:rsid w:val="00D457AA"/>
    <w:rsid w:val="00D524A2"/>
    <w:rsid w:val="00D54D46"/>
    <w:rsid w:val="00D56D53"/>
    <w:rsid w:val="00D57317"/>
    <w:rsid w:val="00D64F27"/>
    <w:rsid w:val="00D66462"/>
    <w:rsid w:val="00D67835"/>
    <w:rsid w:val="00D70222"/>
    <w:rsid w:val="00D7173B"/>
    <w:rsid w:val="00D7564A"/>
    <w:rsid w:val="00D7658A"/>
    <w:rsid w:val="00D810D6"/>
    <w:rsid w:val="00D82FA7"/>
    <w:rsid w:val="00D832E9"/>
    <w:rsid w:val="00D848CF"/>
    <w:rsid w:val="00D91F9B"/>
    <w:rsid w:val="00D962C0"/>
    <w:rsid w:val="00D9639D"/>
    <w:rsid w:val="00D963D9"/>
    <w:rsid w:val="00D97209"/>
    <w:rsid w:val="00DA3B82"/>
    <w:rsid w:val="00DA464E"/>
    <w:rsid w:val="00DA78C0"/>
    <w:rsid w:val="00DB34D1"/>
    <w:rsid w:val="00DB6D01"/>
    <w:rsid w:val="00DC15E5"/>
    <w:rsid w:val="00DC1614"/>
    <w:rsid w:val="00DC2F35"/>
    <w:rsid w:val="00DC3FCB"/>
    <w:rsid w:val="00DC66C8"/>
    <w:rsid w:val="00DC7739"/>
    <w:rsid w:val="00DD1A5D"/>
    <w:rsid w:val="00DD2A82"/>
    <w:rsid w:val="00DD3620"/>
    <w:rsid w:val="00DD3C93"/>
    <w:rsid w:val="00DD451C"/>
    <w:rsid w:val="00DD5B31"/>
    <w:rsid w:val="00DD6EEB"/>
    <w:rsid w:val="00DE3D67"/>
    <w:rsid w:val="00DE490A"/>
    <w:rsid w:val="00DE4BC2"/>
    <w:rsid w:val="00DF0CC0"/>
    <w:rsid w:val="00DF2F01"/>
    <w:rsid w:val="00DF4A7F"/>
    <w:rsid w:val="00E05C8D"/>
    <w:rsid w:val="00E05F03"/>
    <w:rsid w:val="00E0702C"/>
    <w:rsid w:val="00E0753F"/>
    <w:rsid w:val="00E10222"/>
    <w:rsid w:val="00E10B8E"/>
    <w:rsid w:val="00E114A1"/>
    <w:rsid w:val="00E11E61"/>
    <w:rsid w:val="00E12F5B"/>
    <w:rsid w:val="00E13976"/>
    <w:rsid w:val="00E14BA2"/>
    <w:rsid w:val="00E14EEE"/>
    <w:rsid w:val="00E152F3"/>
    <w:rsid w:val="00E159D5"/>
    <w:rsid w:val="00E1608A"/>
    <w:rsid w:val="00E163C8"/>
    <w:rsid w:val="00E214D9"/>
    <w:rsid w:val="00E21DEC"/>
    <w:rsid w:val="00E2338B"/>
    <w:rsid w:val="00E31596"/>
    <w:rsid w:val="00E32BE2"/>
    <w:rsid w:val="00E32D29"/>
    <w:rsid w:val="00E35062"/>
    <w:rsid w:val="00E365F4"/>
    <w:rsid w:val="00E41F7A"/>
    <w:rsid w:val="00E46CC2"/>
    <w:rsid w:val="00E473B1"/>
    <w:rsid w:val="00E47716"/>
    <w:rsid w:val="00E47E19"/>
    <w:rsid w:val="00E50B69"/>
    <w:rsid w:val="00E51FDA"/>
    <w:rsid w:val="00E63C63"/>
    <w:rsid w:val="00E63D39"/>
    <w:rsid w:val="00E64D7B"/>
    <w:rsid w:val="00E6723E"/>
    <w:rsid w:val="00E72AA4"/>
    <w:rsid w:val="00E76301"/>
    <w:rsid w:val="00E77597"/>
    <w:rsid w:val="00E83CE6"/>
    <w:rsid w:val="00E870D1"/>
    <w:rsid w:val="00E87D2D"/>
    <w:rsid w:val="00E9004B"/>
    <w:rsid w:val="00E929F2"/>
    <w:rsid w:val="00E95F33"/>
    <w:rsid w:val="00EA0AAB"/>
    <w:rsid w:val="00EA0ED4"/>
    <w:rsid w:val="00EA2476"/>
    <w:rsid w:val="00EA3C6D"/>
    <w:rsid w:val="00EA4C52"/>
    <w:rsid w:val="00EA546B"/>
    <w:rsid w:val="00EA6EAD"/>
    <w:rsid w:val="00EB1E95"/>
    <w:rsid w:val="00EC0B93"/>
    <w:rsid w:val="00ED4258"/>
    <w:rsid w:val="00EE19B3"/>
    <w:rsid w:val="00EE30BA"/>
    <w:rsid w:val="00EF3EC7"/>
    <w:rsid w:val="00EF7888"/>
    <w:rsid w:val="00F01AB9"/>
    <w:rsid w:val="00F0224B"/>
    <w:rsid w:val="00F06B9E"/>
    <w:rsid w:val="00F07D5E"/>
    <w:rsid w:val="00F100E1"/>
    <w:rsid w:val="00F10F13"/>
    <w:rsid w:val="00F15849"/>
    <w:rsid w:val="00F15ADA"/>
    <w:rsid w:val="00F17D6A"/>
    <w:rsid w:val="00F20801"/>
    <w:rsid w:val="00F21B30"/>
    <w:rsid w:val="00F23FF6"/>
    <w:rsid w:val="00F2415A"/>
    <w:rsid w:val="00F24272"/>
    <w:rsid w:val="00F25D1B"/>
    <w:rsid w:val="00F26591"/>
    <w:rsid w:val="00F26B3F"/>
    <w:rsid w:val="00F30DB1"/>
    <w:rsid w:val="00F3113E"/>
    <w:rsid w:val="00F35C9C"/>
    <w:rsid w:val="00F41D0D"/>
    <w:rsid w:val="00F4256F"/>
    <w:rsid w:val="00F43012"/>
    <w:rsid w:val="00F4312E"/>
    <w:rsid w:val="00F43752"/>
    <w:rsid w:val="00F46EEF"/>
    <w:rsid w:val="00F51FF0"/>
    <w:rsid w:val="00F52FE8"/>
    <w:rsid w:val="00F54486"/>
    <w:rsid w:val="00F55658"/>
    <w:rsid w:val="00F55923"/>
    <w:rsid w:val="00F55CDF"/>
    <w:rsid w:val="00F61BC0"/>
    <w:rsid w:val="00F6226A"/>
    <w:rsid w:val="00F64B21"/>
    <w:rsid w:val="00F66B22"/>
    <w:rsid w:val="00F706F8"/>
    <w:rsid w:val="00F71081"/>
    <w:rsid w:val="00F718B8"/>
    <w:rsid w:val="00F73A38"/>
    <w:rsid w:val="00F768D2"/>
    <w:rsid w:val="00F82FF8"/>
    <w:rsid w:val="00F83FA6"/>
    <w:rsid w:val="00F86764"/>
    <w:rsid w:val="00F87C76"/>
    <w:rsid w:val="00F9369F"/>
    <w:rsid w:val="00F938F3"/>
    <w:rsid w:val="00F958CB"/>
    <w:rsid w:val="00F96E1B"/>
    <w:rsid w:val="00FA0AE6"/>
    <w:rsid w:val="00FA0D35"/>
    <w:rsid w:val="00FA59A9"/>
    <w:rsid w:val="00FA6887"/>
    <w:rsid w:val="00FA70AF"/>
    <w:rsid w:val="00FB0A9A"/>
    <w:rsid w:val="00FB248B"/>
    <w:rsid w:val="00FB2A0C"/>
    <w:rsid w:val="00FB57A1"/>
    <w:rsid w:val="00FC026B"/>
    <w:rsid w:val="00FC0687"/>
    <w:rsid w:val="00FC33FD"/>
    <w:rsid w:val="00FC5610"/>
    <w:rsid w:val="00FC65BA"/>
    <w:rsid w:val="00FC695C"/>
    <w:rsid w:val="00FC74DD"/>
    <w:rsid w:val="00FD1D84"/>
    <w:rsid w:val="00FD377C"/>
    <w:rsid w:val="00FE0FCD"/>
    <w:rsid w:val="00FE22FF"/>
    <w:rsid w:val="00FE68AE"/>
    <w:rsid w:val="00FE7B91"/>
    <w:rsid w:val="00FF2784"/>
    <w:rsid w:val="00FF4997"/>
    <w:rsid w:val="00FF5CC1"/>
    <w:rsid w:val="00FF6DC0"/>
    <w:rsid w:val="00FF72C2"/>
    <w:rsid w:val="00FF738A"/>
    <w:rsid w:val="00FF73D8"/>
    <w:rsid w:val="00FF7470"/>
    <w:rsid w:val="00FF76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2"/>
    </o:shapelayout>
  </w:shapeDefaults>
  <w:decimalSymbol w:val="."/>
  <w:listSeparator w:val=","/>
  <w14:docId w14:val="4F01B467"/>
  <w15:docId w15:val="{D2F92619-AA5A-45CD-85DD-0CD4AAC3A3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4A03"/>
    <w:pPr>
      <w:spacing w:after="0" w:line="240" w:lineRule="auto"/>
    </w:pPr>
    <w:rPr>
      <w:rFonts w:ascii="Times New Roman" w:eastAsia="Times New Roman" w:hAnsi="Times New Roman" w:cs="Times New Roman"/>
      <w:sz w:val="24"/>
      <w:szCs w:val="24"/>
      <w:lang w:val="ro-RO"/>
    </w:rPr>
  </w:style>
  <w:style w:type="paragraph" w:styleId="Heading1">
    <w:name w:val="heading 1"/>
    <w:basedOn w:val="Normal"/>
    <w:next w:val="Normal"/>
    <w:link w:val="Heading1Char"/>
    <w:uiPriority w:val="1"/>
    <w:qFormat/>
    <w:rsid w:val="00E14EEE"/>
    <w:pPr>
      <w:keepNext/>
      <w:keepLines/>
      <w:widowControl w:val="0"/>
      <w:autoSpaceDE w:val="0"/>
      <w:autoSpaceDN w:val="0"/>
      <w:adjustRightInd w:val="0"/>
      <w:spacing w:before="480"/>
      <w:outlineLvl w:val="0"/>
    </w:pPr>
    <w:rPr>
      <w:rFonts w:asciiTheme="majorHAnsi" w:eastAsiaTheme="majorEastAsia" w:hAnsiTheme="majorHAnsi" w:cstheme="majorBidi"/>
      <w:b/>
      <w:bCs/>
      <w:color w:val="2F5496" w:themeColor="accent1" w:themeShade="BF"/>
      <w:sz w:val="28"/>
      <w:szCs w:val="28"/>
      <w:lang w:val="en-US"/>
    </w:rPr>
  </w:style>
  <w:style w:type="paragraph" w:styleId="Heading2">
    <w:name w:val="heading 2"/>
    <w:basedOn w:val="Normal"/>
    <w:link w:val="Heading2Char"/>
    <w:uiPriority w:val="1"/>
    <w:qFormat/>
    <w:rsid w:val="00E14EEE"/>
    <w:pPr>
      <w:spacing w:before="100" w:beforeAutospacing="1" w:after="100" w:afterAutospacing="1"/>
      <w:outlineLvl w:val="1"/>
    </w:pPr>
    <w:rPr>
      <w:b/>
      <w:bCs/>
      <w:sz w:val="36"/>
      <w:szCs w:val="36"/>
      <w:lang w:val="en-US"/>
    </w:rPr>
  </w:style>
  <w:style w:type="paragraph" w:styleId="Heading3">
    <w:name w:val="heading 3"/>
    <w:basedOn w:val="Normal"/>
    <w:next w:val="Normal"/>
    <w:link w:val="Heading3Char"/>
    <w:uiPriority w:val="1"/>
    <w:unhideWhenUsed/>
    <w:qFormat/>
    <w:rsid w:val="00E14EEE"/>
    <w:pPr>
      <w:keepNext/>
      <w:keepLines/>
      <w:widowControl w:val="0"/>
      <w:autoSpaceDE w:val="0"/>
      <w:autoSpaceDN w:val="0"/>
      <w:adjustRightInd w:val="0"/>
      <w:spacing w:before="200"/>
      <w:outlineLvl w:val="2"/>
    </w:pPr>
    <w:rPr>
      <w:rFonts w:asciiTheme="majorHAnsi" w:eastAsiaTheme="majorEastAsia" w:hAnsiTheme="majorHAnsi" w:cstheme="majorBidi"/>
      <w:b/>
      <w:bCs/>
      <w:color w:val="4472C4" w:themeColor="accent1"/>
      <w:lang w:val="en-US"/>
    </w:rPr>
  </w:style>
  <w:style w:type="paragraph" w:styleId="Heading4">
    <w:name w:val="heading 4"/>
    <w:basedOn w:val="Normal"/>
    <w:next w:val="Normal"/>
    <w:link w:val="Heading4Char"/>
    <w:uiPriority w:val="1"/>
    <w:unhideWhenUsed/>
    <w:qFormat/>
    <w:rsid w:val="009811A1"/>
    <w:pPr>
      <w:keepNext/>
      <w:keepLines/>
      <w:spacing w:before="40" w:line="259" w:lineRule="auto"/>
      <w:ind w:left="864" w:hanging="864"/>
      <w:contextualSpacing/>
      <w:jc w:val="both"/>
      <w:outlineLvl w:val="3"/>
    </w:pPr>
    <w:rPr>
      <w:rFonts w:asciiTheme="majorHAnsi" w:eastAsiaTheme="majorEastAsia" w:hAnsiTheme="majorHAnsi" w:cstheme="majorBidi"/>
      <w:i/>
      <w:iCs/>
      <w:color w:val="2F5496" w:themeColor="accent1" w:themeShade="BF"/>
      <w:szCs w:val="22"/>
    </w:rPr>
  </w:style>
  <w:style w:type="paragraph" w:styleId="Heading5">
    <w:name w:val="heading 5"/>
    <w:basedOn w:val="Normal"/>
    <w:next w:val="Normal"/>
    <w:link w:val="Heading5Char"/>
    <w:uiPriority w:val="1"/>
    <w:unhideWhenUsed/>
    <w:qFormat/>
    <w:rsid w:val="009811A1"/>
    <w:pPr>
      <w:keepNext/>
      <w:keepLines/>
      <w:spacing w:before="40" w:line="259" w:lineRule="auto"/>
      <w:ind w:left="1008" w:hanging="1008"/>
      <w:contextualSpacing/>
      <w:jc w:val="both"/>
      <w:outlineLvl w:val="4"/>
    </w:pPr>
    <w:rPr>
      <w:rFonts w:asciiTheme="majorHAnsi" w:eastAsiaTheme="majorEastAsia" w:hAnsiTheme="majorHAnsi" w:cstheme="majorBidi"/>
      <w:color w:val="2F5496" w:themeColor="accent1" w:themeShade="BF"/>
      <w:szCs w:val="22"/>
    </w:rPr>
  </w:style>
  <w:style w:type="paragraph" w:styleId="Heading6">
    <w:name w:val="heading 6"/>
    <w:basedOn w:val="Normal"/>
    <w:next w:val="Normal"/>
    <w:link w:val="Heading6Char"/>
    <w:unhideWhenUsed/>
    <w:qFormat/>
    <w:rsid w:val="009811A1"/>
    <w:pPr>
      <w:keepNext/>
      <w:keepLines/>
      <w:spacing w:before="40" w:line="259" w:lineRule="auto"/>
      <w:ind w:left="1152" w:hanging="1152"/>
      <w:contextualSpacing/>
      <w:jc w:val="both"/>
      <w:outlineLvl w:val="5"/>
    </w:pPr>
    <w:rPr>
      <w:rFonts w:asciiTheme="majorHAnsi" w:eastAsiaTheme="majorEastAsia" w:hAnsiTheme="majorHAnsi" w:cstheme="majorBidi"/>
      <w:color w:val="1F3763" w:themeColor="accent1" w:themeShade="7F"/>
      <w:szCs w:val="22"/>
    </w:rPr>
  </w:style>
  <w:style w:type="paragraph" w:styleId="Heading7">
    <w:name w:val="heading 7"/>
    <w:basedOn w:val="Normal"/>
    <w:next w:val="Normal"/>
    <w:link w:val="Heading7Char"/>
    <w:uiPriority w:val="9"/>
    <w:unhideWhenUsed/>
    <w:qFormat/>
    <w:rsid w:val="009811A1"/>
    <w:pPr>
      <w:keepNext/>
      <w:keepLines/>
      <w:spacing w:before="40" w:line="259" w:lineRule="auto"/>
      <w:ind w:left="1296" w:hanging="1296"/>
      <w:contextualSpacing/>
      <w:jc w:val="both"/>
      <w:outlineLvl w:val="6"/>
    </w:pPr>
    <w:rPr>
      <w:rFonts w:asciiTheme="majorHAnsi" w:eastAsiaTheme="majorEastAsia" w:hAnsiTheme="majorHAnsi" w:cstheme="majorBidi"/>
      <w:i/>
      <w:iCs/>
      <w:color w:val="1F3763" w:themeColor="accent1" w:themeShade="7F"/>
      <w:szCs w:val="22"/>
    </w:rPr>
  </w:style>
  <w:style w:type="paragraph" w:styleId="Heading8">
    <w:name w:val="heading 8"/>
    <w:basedOn w:val="Normal"/>
    <w:next w:val="Normal"/>
    <w:link w:val="Heading8Char"/>
    <w:uiPriority w:val="9"/>
    <w:unhideWhenUsed/>
    <w:qFormat/>
    <w:rsid w:val="009811A1"/>
    <w:pPr>
      <w:keepNext/>
      <w:keepLines/>
      <w:spacing w:before="40" w:line="259" w:lineRule="auto"/>
      <w:ind w:left="1440" w:hanging="1440"/>
      <w:contextualSpacing/>
      <w:jc w:val="both"/>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unhideWhenUsed/>
    <w:qFormat/>
    <w:rsid w:val="009811A1"/>
    <w:pPr>
      <w:keepNext/>
      <w:keepLines/>
      <w:spacing w:before="40" w:line="259" w:lineRule="auto"/>
      <w:ind w:left="1584" w:hanging="1584"/>
      <w:contextualSpacing/>
      <w:jc w:val="both"/>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link w:val="Header"/>
    <w:uiPriority w:val="99"/>
    <w:locked/>
    <w:rsid w:val="00CA6BF9"/>
    <w:rPr>
      <w:sz w:val="24"/>
      <w:szCs w:val="24"/>
    </w:rPr>
  </w:style>
  <w:style w:type="paragraph" w:styleId="Header">
    <w:name w:val="header"/>
    <w:basedOn w:val="Normal"/>
    <w:link w:val="HeaderChar"/>
    <w:uiPriority w:val="99"/>
    <w:rsid w:val="00CA6BF9"/>
    <w:pPr>
      <w:tabs>
        <w:tab w:val="center" w:pos="4320"/>
        <w:tab w:val="right" w:pos="8640"/>
      </w:tabs>
    </w:pPr>
    <w:rPr>
      <w:rFonts w:asciiTheme="minorHAnsi" w:eastAsiaTheme="minorHAnsi" w:hAnsiTheme="minorHAnsi" w:cstheme="minorBidi"/>
      <w:lang w:val="en-US"/>
    </w:rPr>
  </w:style>
  <w:style w:type="character" w:customStyle="1" w:styleId="AntetCaracter1">
    <w:name w:val="Antet Caracter1"/>
    <w:basedOn w:val="DefaultParagraphFont"/>
    <w:uiPriority w:val="99"/>
    <w:semiHidden/>
    <w:rsid w:val="00CA6BF9"/>
    <w:rPr>
      <w:rFonts w:ascii="Times New Roman" w:eastAsia="Times New Roman" w:hAnsi="Times New Roman" w:cs="Times New Roman"/>
      <w:sz w:val="24"/>
      <w:szCs w:val="24"/>
      <w:lang w:val="ro-RO"/>
    </w:rPr>
  </w:style>
  <w:style w:type="paragraph" w:styleId="ListParagraph">
    <w:name w:val="List Paragraph"/>
    <w:aliases w:val="Normal bullet 2,List Paragraph1,Forth level,List1,body 2,List Paragraph11,Listă colorată - Accentuare 11,Bullet,Citation List"/>
    <w:basedOn w:val="Normal"/>
    <w:link w:val="ListParagraphChar"/>
    <w:uiPriority w:val="34"/>
    <w:qFormat/>
    <w:rsid w:val="00CA6BF9"/>
    <w:pPr>
      <w:ind w:left="720"/>
    </w:pPr>
    <w:rPr>
      <w:rFonts w:ascii="Calibri" w:eastAsiaTheme="minorHAnsi" w:hAnsi="Calibri" w:cs="Calibri"/>
      <w:sz w:val="22"/>
      <w:szCs w:val="22"/>
      <w:lang w:val="en-US"/>
    </w:rPr>
  </w:style>
  <w:style w:type="paragraph" w:styleId="BalloonText">
    <w:name w:val="Balloon Text"/>
    <w:basedOn w:val="Normal"/>
    <w:link w:val="BalloonTextChar"/>
    <w:uiPriority w:val="99"/>
    <w:unhideWhenUsed/>
    <w:rsid w:val="001369AD"/>
    <w:rPr>
      <w:rFonts w:ascii="Segoe UI" w:hAnsi="Segoe UI" w:cs="Segoe UI"/>
      <w:sz w:val="18"/>
      <w:szCs w:val="18"/>
    </w:rPr>
  </w:style>
  <w:style w:type="character" w:customStyle="1" w:styleId="BalloonTextChar">
    <w:name w:val="Balloon Text Char"/>
    <w:basedOn w:val="DefaultParagraphFont"/>
    <w:link w:val="BalloonText"/>
    <w:uiPriority w:val="99"/>
    <w:rsid w:val="001369AD"/>
    <w:rPr>
      <w:rFonts w:ascii="Segoe UI" w:eastAsia="Times New Roman" w:hAnsi="Segoe UI" w:cs="Segoe UI"/>
      <w:sz w:val="18"/>
      <w:szCs w:val="18"/>
      <w:lang w:val="ro-RO"/>
    </w:rPr>
  </w:style>
  <w:style w:type="paragraph" w:styleId="NoSpacing">
    <w:name w:val="No Spacing"/>
    <w:link w:val="NoSpacingChar"/>
    <w:qFormat/>
    <w:rsid w:val="00342A0B"/>
    <w:pPr>
      <w:spacing w:after="0" w:line="240" w:lineRule="auto"/>
    </w:pPr>
    <w:rPr>
      <w:rFonts w:ascii="Times New Roman" w:eastAsia="Times New Roman" w:hAnsi="Times New Roman" w:cs="Times New Roman"/>
      <w:sz w:val="24"/>
      <w:szCs w:val="24"/>
      <w:lang w:val="ro-RO"/>
    </w:rPr>
  </w:style>
  <w:style w:type="paragraph" w:styleId="Footer">
    <w:name w:val="footer"/>
    <w:basedOn w:val="Normal"/>
    <w:link w:val="FooterChar"/>
    <w:uiPriority w:val="99"/>
    <w:unhideWhenUsed/>
    <w:rsid w:val="00A74B6F"/>
    <w:pPr>
      <w:tabs>
        <w:tab w:val="center" w:pos="4680"/>
        <w:tab w:val="right" w:pos="9360"/>
      </w:tabs>
    </w:pPr>
  </w:style>
  <w:style w:type="character" w:customStyle="1" w:styleId="FooterChar">
    <w:name w:val="Footer Char"/>
    <w:basedOn w:val="DefaultParagraphFont"/>
    <w:link w:val="Footer"/>
    <w:uiPriority w:val="99"/>
    <w:rsid w:val="00A74B6F"/>
    <w:rPr>
      <w:rFonts w:ascii="Times New Roman" w:eastAsia="Times New Roman" w:hAnsi="Times New Roman" w:cs="Times New Roman"/>
      <w:sz w:val="24"/>
      <w:szCs w:val="24"/>
      <w:lang w:val="ro-RO"/>
    </w:rPr>
  </w:style>
  <w:style w:type="character" w:customStyle="1" w:styleId="Heading1Char">
    <w:name w:val="Heading 1 Char"/>
    <w:basedOn w:val="DefaultParagraphFont"/>
    <w:link w:val="Heading1"/>
    <w:rsid w:val="00E14EEE"/>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uiPriority w:val="9"/>
    <w:rsid w:val="00E14EEE"/>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rsid w:val="00E14EEE"/>
    <w:rPr>
      <w:rFonts w:asciiTheme="majorHAnsi" w:eastAsiaTheme="majorEastAsia" w:hAnsiTheme="majorHAnsi" w:cstheme="majorBidi"/>
      <w:b/>
      <w:bCs/>
      <w:color w:val="4472C4" w:themeColor="accent1"/>
      <w:sz w:val="24"/>
      <w:szCs w:val="24"/>
    </w:rPr>
  </w:style>
  <w:style w:type="numbering" w:customStyle="1" w:styleId="NoList1">
    <w:name w:val="No List1"/>
    <w:next w:val="NoList"/>
    <w:uiPriority w:val="99"/>
    <w:semiHidden/>
    <w:unhideWhenUsed/>
    <w:rsid w:val="00E14EEE"/>
  </w:style>
  <w:style w:type="character" w:styleId="Hyperlink">
    <w:name w:val="Hyperlink"/>
    <w:basedOn w:val="DefaultParagraphFont"/>
    <w:unhideWhenUsed/>
    <w:rsid w:val="00E14EEE"/>
    <w:rPr>
      <w:color w:val="0563C1" w:themeColor="hyperlink"/>
      <w:u w:val="single"/>
    </w:rPr>
  </w:style>
  <w:style w:type="paragraph" w:styleId="BodyText">
    <w:name w:val="Body Text"/>
    <w:basedOn w:val="Normal"/>
    <w:link w:val="BodyTextChar"/>
    <w:uiPriority w:val="1"/>
    <w:qFormat/>
    <w:rsid w:val="00E14EEE"/>
    <w:pPr>
      <w:widowControl w:val="0"/>
      <w:autoSpaceDE w:val="0"/>
      <w:autoSpaceDN w:val="0"/>
      <w:adjustRightInd w:val="0"/>
      <w:ind w:left="115"/>
    </w:pPr>
    <w:rPr>
      <w:rFonts w:eastAsiaTheme="minorEastAsia"/>
      <w:sz w:val="25"/>
      <w:szCs w:val="25"/>
      <w:lang w:val="en-US"/>
    </w:rPr>
  </w:style>
  <w:style w:type="character" w:customStyle="1" w:styleId="BodyTextChar">
    <w:name w:val="Body Text Char"/>
    <w:basedOn w:val="DefaultParagraphFont"/>
    <w:link w:val="BodyText"/>
    <w:uiPriority w:val="99"/>
    <w:rsid w:val="00E14EEE"/>
    <w:rPr>
      <w:rFonts w:ascii="Times New Roman" w:eastAsiaTheme="minorEastAsia" w:hAnsi="Times New Roman" w:cs="Times New Roman"/>
      <w:sz w:val="25"/>
      <w:szCs w:val="25"/>
    </w:rPr>
  </w:style>
  <w:style w:type="character" w:styleId="Strong">
    <w:name w:val="Strong"/>
    <w:uiPriority w:val="22"/>
    <w:qFormat/>
    <w:rsid w:val="00E14EEE"/>
    <w:rPr>
      <w:b/>
      <w:bCs/>
    </w:rPr>
  </w:style>
  <w:style w:type="paragraph" w:styleId="FootnoteText">
    <w:name w:val="footnote text"/>
    <w:aliases w:val="Char Char Char Char Char,Char Char Char Char Char Char,Char Char Char Caracter,Char Char Char Caracter Char,Char Char Char Caracter Caracter Char Char,Char Char Char Caracter Caracter Char Caracter Caracter,Fußnote,Footnote Text Cha"/>
    <w:basedOn w:val="Normal"/>
    <w:link w:val="FootnoteTextChar"/>
    <w:unhideWhenUsed/>
    <w:qFormat/>
    <w:rsid w:val="00E14EEE"/>
    <w:pPr>
      <w:ind w:left="1701"/>
      <w:jc w:val="both"/>
    </w:pPr>
    <w:rPr>
      <w:rFonts w:ascii="Trebuchet MS" w:eastAsia="MS Mincho" w:hAnsi="Trebuchet MS"/>
      <w:sz w:val="20"/>
      <w:szCs w:val="20"/>
      <w:lang w:val="en-US"/>
    </w:rPr>
  </w:style>
  <w:style w:type="character" w:customStyle="1" w:styleId="FootnoteTextChar">
    <w:name w:val="Footnote Text Char"/>
    <w:aliases w:val="Char Char Char Char Char Char1,Char Char Char Char Char Char Char2,Char Char Char Caracter Char1,Char Char Char Caracter Char Char,Char Char Char Caracter Caracter Char Char Char,Fußnote Char,Footnote Text Cha Char"/>
    <w:basedOn w:val="DefaultParagraphFont"/>
    <w:link w:val="FootnoteText"/>
    <w:qFormat/>
    <w:rsid w:val="00E14EEE"/>
    <w:rPr>
      <w:rFonts w:ascii="Trebuchet MS" w:eastAsia="MS Mincho" w:hAnsi="Trebuchet MS" w:cs="Times New Roman"/>
      <w:sz w:val="20"/>
      <w:szCs w:val="20"/>
    </w:rPr>
  </w:style>
  <w:style w:type="paragraph" w:styleId="NormalWeb">
    <w:name w:val="Normal (Web)"/>
    <w:basedOn w:val="Normal"/>
    <w:uiPriority w:val="99"/>
    <w:unhideWhenUsed/>
    <w:rsid w:val="00E14EEE"/>
    <w:pPr>
      <w:spacing w:before="100" w:beforeAutospacing="1" w:after="100" w:afterAutospacing="1"/>
    </w:pPr>
    <w:rPr>
      <w:lang w:val="en-US"/>
    </w:rPr>
  </w:style>
  <w:style w:type="paragraph" w:customStyle="1" w:styleId="CaracterCaracter1CharChar">
    <w:name w:val="Caracter Caracter1 Char Char"/>
    <w:basedOn w:val="Normal"/>
    <w:rsid w:val="00E14EEE"/>
    <w:rPr>
      <w:lang w:val="pl-PL" w:eastAsia="pl-PL"/>
    </w:rPr>
  </w:style>
  <w:style w:type="character" w:customStyle="1" w:styleId="15">
    <w:name w:val="15"/>
    <w:basedOn w:val="DefaultParagraphFont"/>
    <w:rsid w:val="00E14EEE"/>
    <w:rPr>
      <w:rFonts w:ascii="Arial" w:hAnsi="Arial" w:cs="Arial" w:hint="default"/>
      <w:color w:val="000000"/>
    </w:rPr>
  </w:style>
  <w:style w:type="character" w:customStyle="1" w:styleId="l5def1">
    <w:name w:val="l5def1"/>
    <w:rsid w:val="00E14EEE"/>
    <w:rPr>
      <w:rFonts w:ascii="Arial" w:hAnsi="Arial" w:cs="Arial" w:hint="default"/>
      <w:color w:val="000000"/>
      <w:sz w:val="26"/>
      <w:szCs w:val="26"/>
    </w:rPr>
  </w:style>
  <w:style w:type="character" w:customStyle="1" w:styleId="16">
    <w:name w:val="16"/>
    <w:basedOn w:val="DefaultParagraphFont"/>
    <w:rsid w:val="00E14EEE"/>
    <w:rPr>
      <w:rFonts w:ascii="Arial" w:hAnsi="Arial" w:cs="Arial" w:hint="default"/>
      <w:color w:val="000000"/>
    </w:rPr>
  </w:style>
  <w:style w:type="character" w:styleId="CommentReference">
    <w:name w:val="annotation reference"/>
    <w:uiPriority w:val="99"/>
    <w:rsid w:val="00E14EEE"/>
    <w:rPr>
      <w:sz w:val="16"/>
      <w:szCs w:val="16"/>
    </w:rPr>
  </w:style>
  <w:style w:type="paragraph" w:styleId="CommentText">
    <w:name w:val="annotation text"/>
    <w:basedOn w:val="Normal"/>
    <w:link w:val="CommentTextChar"/>
    <w:uiPriority w:val="99"/>
    <w:rsid w:val="00E14EEE"/>
    <w:rPr>
      <w:sz w:val="20"/>
      <w:szCs w:val="20"/>
      <w:lang w:val="en-US"/>
    </w:rPr>
  </w:style>
  <w:style w:type="character" w:customStyle="1" w:styleId="CommentTextChar">
    <w:name w:val="Comment Text Char"/>
    <w:basedOn w:val="DefaultParagraphFont"/>
    <w:link w:val="CommentText"/>
    <w:uiPriority w:val="99"/>
    <w:rsid w:val="00E14EEE"/>
    <w:rPr>
      <w:rFonts w:ascii="Times New Roman" w:eastAsia="Times New Roman" w:hAnsi="Times New Roman" w:cs="Times New Roman"/>
      <w:sz w:val="20"/>
      <w:szCs w:val="20"/>
    </w:rPr>
  </w:style>
  <w:style w:type="character" w:customStyle="1" w:styleId="ListParagraphChar">
    <w:name w:val="List Paragraph Char"/>
    <w:aliases w:val="Normal bullet 2 Char,List Paragraph1 Char,Forth level Char,List1 Char,body 2 Char,List Paragraph11 Char,Listă colorată - Accentuare 11 Char,Bullet Char,Citation List Char"/>
    <w:link w:val="ListParagraph"/>
    <w:uiPriority w:val="99"/>
    <w:qFormat/>
    <w:locked/>
    <w:rsid w:val="00E14EEE"/>
    <w:rPr>
      <w:rFonts w:ascii="Calibri" w:hAnsi="Calibri" w:cs="Calibri"/>
    </w:rPr>
  </w:style>
  <w:style w:type="character" w:customStyle="1" w:styleId="a">
    <w:name w:val="a"/>
    <w:basedOn w:val="DefaultParagraphFont"/>
    <w:uiPriority w:val="99"/>
    <w:rsid w:val="00E14EEE"/>
  </w:style>
  <w:style w:type="paragraph" w:customStyle="1" w:styleId="Default">
    <w:name w:val="Default"/>
    <w:uiPriority w:val="99"/>
    <w:rsid w:val="00E14EEE"/>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59"/>
    <w:rsid w:val="00E14E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aliases w:val="UL,List Bullet2,List Bullet 1,List Bullet Char"/>
    <w:basedOn w:val="Normal"/>
    <w:link w:val="ListBulletChar1"/>
    <w:rsid w:val="00E14EEE"/>
    <w:pPr>
      <w:numPr>
        <w:numId w:val="3"/>
      </w:numPr>
      <w:contextualSpacing/>
      <w:jc w:val="both"/>
    </w:pPr>
    <w:rPr>
      <w:sz w:val="28"/>
      <w:szCs w:val="20"/>
      <w:lang w:val="en-US"/>
    </w:rPr>
  </w:style>
  <w:style w:type="character" w:customStyle="1" w:styleId="ListBulletChar1">
    <w:name w:val="List Bullet Char1"/>
    <w:aliases w:val="UL Char,List Bullet2 Char,List Bullet 1 Char,List Bullet Char Char"/>
    <w:link w:val="ListBullet"/>
    <w:rsid w:val="00E14EEE"/>
    <w:rPr>
      <w:rFonts w:ascii="Times New Roman" w:eastAsia="Times New Roman" w:hAnsi="Times New Roman" w:cs="Times New Roman"/>
      <w:sz w:val="28"/>
      <w:szCs w:val="20"/>
    </w:rPr>
  </w:style>
  <w:style w:type="character" w:customStyle="1" w:styleId="date-display-single">
    <w:name w:val="date-display-single"/>
    <w:basedOn w:val="DefaultParagraphFont"/>
    <w:rsid w:val="00E14EEE"/>
  </w:style>
  <w:style w:type="paragraph" w:styleId="BodyTextIndent">
    <w:name w:val="Body Text Indent"/>
    <w:basedOn w:val="Normal"/>
    <w:link w:val="BodyTextIndentChar"/>
    <w:uiPriority w:val="99"/>
    <w:rsid w:val="00E14EEE"/>
    <w:pPr>
      <w:spacing w:after="120"/>
      <w:ind w:left="283"/>
    </w:pPr>
    <w:rPr>
      <w:rFonts w:eastAsia="Batang"/>
      <w:lang w:val="en-US" w:eastAsia="ko-KR"/>
    </w:rPr>
  </w:style>
  <w:style w:type="character" w:customStyle="1" w:styleId="BodyTextIndentChar">
    <w:name w:val="Body Text Indent Char"/>
    <w:basedOn w:val="DefaultParagraphFont"/>
    <w:link w:val="BodyTextIndent"/>
    <w:uiPriority w:val="99"/>
    <w:rsid w:val="00E14EEE"/>
    <w:rPr>
      <w:rFonts w:ascii="Times New Roman" w:eastAsia="Batang" w:hAnsi="Times New Roman" w:cs="Times New Roman"/>
      <w:sz w:val="24"/>
      <w:szCs w:val="24"/>
      <w:lang w:eastAsia="ko-KR"/>
    </w:rPr>
  </w:style>
  <w:style w:type="character" w:customStyle="1" w:styleId="FootnoteTextChar1">
    <w:name w:val="Footnote Text Char1"/>
    <w:aliases w:val="Char Char Char Char Char Char2,Char Char Char Char Char Char Char1,Char Char Char Caracter Char2,Char Char Char Caracter Char Char1,Char Char Char Caracter Caracter Char Char Char1,Fußnote Char1,Footnote Text Cha Char1"/>
    <w:qFormat/>
    <w:locked/>
    <w:rsid w:val="00E14EEE"/>
    <w:rPr>
      <w:rFonts w:ascii="Tahoma" w:hAnsi="Tahoma" w:cs="Tahoma"/>
    </w:rPr>
  </w:style>
  <w:style w:type="character" w:styleId="FollowedHyperlink">
    <w:name w:val="FollowedHyperlink"/>
    <w:basedOn w:val="DefaultParagraphFont"/>
    <w:uiPriority w:val="99"/>
    <w:unhideWhenUsed/>
    <w:rsid w:val="00E14EEE"/>
    <w:rPr>
      <w:color w:val="954F72" w:themeColor="followedHyperlink"/>
      <w:u w:val="single"/>
    </w:rPr>
  </w:style>
  <w:style w:type="paragraph" w:styleId="CommentSubject">
    <w:name w:val="annotation subject"/>
    <w:basedOn w:val="CommentText"/>
    <w:next w:val="CommentText"/>
    <w:link w:val="CommentSubjectChar"/>
    <w:uiPriority w:val="99"/>
    <w:unhideWhenUsed/>
    <w:rsid w:val="00E14EEE"/>
    <w:pPr>
      <w:spacing w:after="20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rsid w:val="00E14EEE"/>
    <w:rPr>
      <w:rFonts w:ascii="Times New Roman" w:eastAsia="Times New Roman" w:hAnsi="Times New Roman" w:cs="Times New Roman"/>
      <w:b/>
      <w:bCs/>
      <w:sz w:val="20"/>
      <w:szCs w:val="20"/>
    </w:rPr>
  </w:style>
  <w:style w:type="character" w:customStyle="1" w:styleId="Heading4Char">
    <w:name w:val="Heading 4 Char"/>
    <w:basedOn w:val="DefaultParagraphFont"/>
    <w:link w:val="Heading4"/>
    <w:uiPriority w:val="9"/>
    <w:rsid w:val="009811A1"/>
    <w:rPr>
      <w:rFonts w:asciiTheme="majorHAnsi" w:eastAsiaTheme="majorEastAsia" w:hAnsiTheme="majorHAnsi" w:cstheme="majorBidi"/>
      <w:i/>
      <w:iCs/>
      <w:color w:val="2F5496" w:themeColor="accent1" w:themeShade="BF"/>
      <w:sz w:val="24"/>
      <w:lang w:val="ro-RO"/>
    </w:rPr>
  </w:style>
  <w:style w:type="character" w:customStyle="1" w:styleId="Heading5Char">
    <w:name w:val="Heading 5 Char"/>
    <w:basedOn w:val="DefaultParagraphFont"/>
    <w:link w:val="Heading5"/>
    <w:rsid w:val="009811A1"/>
    <w:rPr>
      <w:rFonts w:asciiTheme="majorHAnsi" w:eastAsiaTheme="majorEastAsia" w:hAnsiTheme="majorHAnsi" w:cstheme="majorBidi"/>
      <w:color w:val="2F5496" w:themeColor="accent1" w:themeShade="BF"/>
      <w:sz w:val="24"/>
      <w:lang w:val="ro-RO"/>
    </w:rPr>
  </w:style>
  <w:style w:type="character" w:customStyle="1" w:styleId="Heading6Char">
    <w:name w:val="Heading 6 Char"/>
    <w:basedOn w:val="DefaultParagraphFont"/>
    <w:link w:val="Heading6"/>
    <w:rsid w:val="009811A1"/>
    <w:rPr>
      <w:rFonts w:asciiTheme="majorHAnsi" w:eastAsiaTheme="majorEastAsia" w:hAnsiTheme="majorHAnsi" w:cstheme="majorBidi"/>
      <w:color w:val="1F3763" w:themeColor="accent1" w:themeShade="7F"/>
      <w:sz w:val="24"/>
      <w:lang w:val="ro-RO"/>
    </w:rPr>
  </w:style>
  <w:style w:type="character" w:customStyle="1" w:styleId="Heading7Char">
    <w:name w:val="Heading 7 Char"/>
    <w:basedOn w:val="DefaultParagraphFont"/>
    <w:link w:val="Heading7"/>
    <w:uiPriority w:val="9"/>
    <w:rsid w:val="009811A1"/>
    <w:rPr>
      <w:rFonts w:asciiTheme="majorHAnsi" w:eastAsiaTheme="majorEastAsia" w:hAnsiTheme="majorHAnsi" w:cstheme="majorBidi"/>
      <w:i/>
      <w:iCs/>
      <w:color w:val="1F3763" w:themeColor="accent1" w:themeShade="7F"/>
      <w:sz w:val="24"/>
      <w:lang w:val="ro-RO"/>
    </w:rPr>
  </w:style>
  <w:style w:type="character" w:customStyle="1" w:styleId="Heading8Char">
    <w:name w:val="Heading 8 Char"/>
    <w:basedOn w:val="DefaultParagraphFont"/>
    <w:link w:val="Heading8"/>
    <w:uiPriority w:val="9"/>
    <w:rsid w:val="009811A1"/>
    <w:rPr>
      <w:rFonts w:asciiTheme="majorHAnsi" w:eastAsiaTheme="majorEastAsia" w:hAnsiTheme="majorHAnsi" w:cstheme="majorBidi"/>
      <w:color w:val="272727" w:themeColor="text1" w:themeTint="D8"/>
      <w:sz w:val="21"/>
      <w:szCs w:val="21"/>
      <w:lang w:val="ro-RO"/>
    </w:rPr>
  </w:style>
  <w:style w:type="character" w:customStyle="1" w:styleId="Heading9Char">
    <w:name w:val="Heading 9 Char"/>
    <w:basedOn w:val="DefaultParagraphFont"/>
    <w:link w:val="Heading9"/>
    <w:uiPriority w:val="99"/>
    <w:rsid w:val="009811A1"/>
    <w:rPr>
      <w:rFonts w:asciiTheme="majorHAnsi" w:eastAsiaTheme="majorEastAsia" w:hAnsiTheme="majorHAnsi" w:cstheme="majorBidi"/>
      <w:i/>
      <w:iCs/>
      <w:color w:val="272727" w:themeColor="text1" w:themeTint="D8"/>
      <w:sz w:val="21"/>
      <w:szCs w:val="21"/>
      <w:lang w:val="ro-RO"/>
    </w:rPr>
  </w:style>
  <w:style w:type="character" w:customStyle="1" w:styleId="UnresolvedMention1">
    <w:name w:val="Unresolved Mention1"/>
    <w:basedOn w:val="DefaultParagraphFont"/>
    <w:uiPriority w:val="99"/>
    <w:semiHidden/>
    <w:unhideWhenUsed/>
    <w:rsid w:val="009811A1"/>
    <w:rPr>
      <w:color w:val="605E5C"/>
      <w:shd w:val="clear" w:color="auto" w:fill="E1DFDD"/>
    </w:rPr>
  </w:style>
  <w:style w:type="numbering" w:customStyle="1" w:styleId="NoList2">
    <w:name w:val="No List2"/>
    <w:next w:val="NoList"/>
    <w:uiPriority w:val="99"/>
    <w:semiHidden/>
    <w:unhideWhenUsed/>
    <w:rsid w:val="00997857"/>
  </w:style>
  <w:style w:type="numbering" w:customStyle="1" w:styleId="NoList11">
    <w:name w:val="No List11"/>
    <w:next w:val="NoList"/>
    <w:uiPriority w:val="99"/>
    <w:semiHidden/>
    <w:unhideWhenUsed/>
    <w:rsid w:val="00997857"/>
  </w:style>
  <w:style w:type="character" w:customStyle="1" w:styleId="HeaderChar1">
    <w:name w:val="Header Char1"/>
    <w:basedOn w:val="DefaultParagraphFont"/>
    <w:uiPriority w:val="99"/>
    <w:semiHidden/>
    <w:rsid w:val="002F7775"/>
    <w:rPr>
      <w:rFonts w:ascii="Times New Roman" w:eastAsia="Times New Roman" w:hAnsi="Times New Roman" w:cs="Times New Roman"/>
      <w:sz w:val="24"/>
      <w:szCs w:val="24"/>
      <w:lang w:val="ro-RO"/>
    </w:rPr>
  </w:style>
  <w:style w:type="paragraph" w:customStyle="1" w:styleId="CharCharCharCaracterCaracter">
    <w:name w:val="Char Char Char Caracter Caracter"/>
    <w:basedOn w:val="Normal"/>
    <w:rsid w:val="00FF7470"/>
    <w:rPr>
      <w:rFonts w:ascii="Verdana" w:hAnsi="Verdana"/>
      <w:lang w:val="pl-PL" w:eastAsia="pl-PL"/>
    </w:rPr>
  </w:style>
  <w:style w:type="paragraph" w:styleId="Revision">
    <w:name w:val="Revision"/>
    <w:hidden/>
    <w:uiPriority w:val="99"/>
    <w:semiHidden/>
    <w:rsid w:val="002D547B"/>
    <w:pPr>
      <w:spacing w:after="0" w:line="240" w:lineRule="auto"/>
    </w:pPr>
    <w:rPr>
      <w:rFonts w:ascii="Times New Roman" w:eastAsia="Times New Roman" w:hAnsi="Times New Roman" w:cs="Times New Roman"/>
      <w:sz w:val="24"/>
      <w:szCs w:val="24"/>
      <w:lang w:val="ro-RO"/>
    </w:rPr>
  </w:style>
  <w:style w:type="table" w:customStyle="1" w:styleId="TableGrid1">
    <w:name w:val="Table Grid1"/>
    <w:basedOn w:val="TableNormal"/>
    <w:next w:val="TableGrid"/>
    <w:uiPriority w:val="59"/>
    <w:rsid w:val="00F6226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A57D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176903"/>
  </w:style>
  <w:style w:type="table" w:customStyle="1" w:styleId="TableGrid3">
    <w:name w:val="Table Grid3"/>
    <w:basedOn w:val="TableNormal"/>
    <w:next w:val="TableGrid"/>
    <w:uiPriority w:val="39"/>
    <w:rsid w:val="00176903"/>
    <w:pPr>
      <w:spacing w:after="0" w:line="240" w:lineRule="auto"/>
    </w:pPr>
    <w:rPr>
      <w:rFonts w:eastAsia="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qFormat/>
    <w:rsid w:val="00176903"/>
    <w:rPr>
      <w:vertAlign w:val="superscript"/>
    </w:rPr>
  </w:style>
  <w:style w:type="paragraph" w:customStyle="1" w:styleId="Style-3">
    <w:name w:val="Style-3"/>
    <w:rsid w:val="00176903"/>
    <w:pPr>
      <w:spacing w:after="0" w:line="240" w:lineRule="auto"/>
    </w:pPr>
    <w:rPr>
      <w:rFonts w:ascii="Times New Roman" w:eastAsia="Times New Roman" w:hAnsi="Times New Roman" w:cs="Times New Roman"/>
      <w:sz w:val="20"/>
      <w:szCs w:val="20"/>
    </w:rPr>
  </w:style>
  <w:style w:type="character" w:customStyle="1" w:styleId="hps">
    <w:name w:val="hps"/>
    <w:basedOn w:val="DefaultParagraphFont"/>
    <w:rsid w:val="00176903"/>
  </w:style>
  <w:style w:type="paragraph" w:customStyle="1" w:styleId="xl63">
    <w:name w:val="xl63"/>
    <w:basedOn w:val="Normal"/>
    <w:rsid w:val="0017690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8"/>
      <w:szCs w:val="28"/>
      <w:lang w:eastAsia="ro-RO"/>
    </w:rPr>
  </w:style>
  <w:style w:type="paragraph" w:customStyle="1" w:styleId="xl64">
    <w:name w:val="xl64"/>
    <w:basedOn w:val="Normal"/>
    <w:rsid w:val="0017690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sz w:val="20"/>
      <w:szCs w:val="20"/>
      <w:lang w:eastAsia="ro-RO"/>
    </w:rPr>
  </w:style>
  <w:style w:type="paragraph" w:customStyle="1" w:styleId="xl65">
    <w:name w:val="xl65"/>
    <w:basedOn w:val="Normal"/>
    <w:rsid w:val="0017690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eastAsia="ro-RO"/>
    </w:rPr>
  </w:style>
  <w:style w:type="paragraph" w:customStyle="1" w:styleId="xl66">
    <w:name w:val="xl66"/>
    <w:basedOn w:val="Normal"/>
    <w:rsid w:val="0017690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color w:val="000000"/>
      <w:sz w:val="18"/>
      <w:szCs w:val="18"/>
      <w:lang w:eastAsia="ro-RO"/>
    </w:rPr>
  </w:style>
  <w:style w:type="paragraph" w:customStyle="1" w:styleId="xl67">
    <w:name w:val="xl67"/>
    <w:basedOn w:val="Normal"/>
    <w:rsid w:val="0017690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eastAsia="ro-RO"/>
    </w:rPr>
  </w:style>
  <w:style w:type="paragraph" w:customStyle="1" w:styleId="TOC11">
    <w:name w:val="TOC 11"/>
    <w:basedOn w:val="Normal"/>
    <w:next w:val="Normal"/>
    <w:autoRedefine/>
    <w:uiPriority w:val="39"/>
    <w:unhideWhenUsed/>
    <w:rsid w:val="00176903"/>
    <w:pPr>
      <w:spacing w:after="100" w:line="259" w:lineRule="auto"/>
    </w:pPr>
    <w:rPr>
      <w:rFonts w:ascii="Calibri" w:eastAsia="Calibri" w:hAnsi="Calibri"/>
      <w:sz w:val="22"/>
      <w:szCs w:val="22"/>
    </w:rPr>
  </w:style>
  <w:style w:type="paragraph" w:customStyle="1" w:styleId="TOC21">
    <w:name w:val="TOC 21"/>
    <w:basedOn w:val="Normal"/>
    <w:next w:val="Normal"/>
    <w:autoRedefine/>
    <w:uiPriority w:val="39"/>
    <w:unhideWhenUsed/>
    <w:rsid w:val="00176903"/>
    <w:pPr>
      <w:spacing w:after="100" w:line="259" w:lineRule="auto"/>
      <w:ind w:left="220"/>
    </w:pPr>
    <w:rPr>
      <w:rFonts w:ascii="Calibri" w:eastAsia="Calibri" w:hAnsi="Calibri"/>
      <w:sz w:val="22"/>
      <w:szCs w:val="22"/>
    </w:rPr>
  </w:style>
  <w:style w:type="paragraph" w:customStyle="1" w:styleId="TOC31">
    <w:name w:val="TOC 31"/>
    <w:basedOn w:val="Normal"/>
    <w:next w:val="Normal"/>
    <w:autoRedefine/>
    <w:uiPriority w:val="39"/>
    <w:unhideWhenUsed/>
    <w:rsid w:val="00176903"/>
    <w:pPr>
      <w:spacing w:after="100" w:line="259" w:lineRule="auto"/>
      <w:ind w:left="440"/>
    </w:pPr>
    <w:rPr>
      <w:rFonts w:ascii="Calibri" w:eastAsia="Calibri" w:hAnsi="Calibri"/>
      <w:sz w:val="22"/>
      <w:szCs w:val="22"/>
    </w:rPr>
  </w:style>
  <w:style w:type="paragraph" w:customStyle="1" w:styleId="TOC41">
    <w:name w:val="TOC 41"/>
    <w:basedOn w:val="Normal"/>
    <w:next w:val="Normal"/>
    <w:autoRedefine/>
    <w:uiPriority w:val="39"/>
    <w:unhideWhenUsed/>
    <w:rsid w:val="00176903"/>
    <w:pPr>
      <w:spacing w:after="100" w:line="259" w:lineRule="auto"/>
      <w:ind w:left="660"/>
    </w:pPr>
    <w:rPr>
      <w:rFonts w:ascii="Calibri" w:eastAsia="Calibri" w:hAnsi="Calibri"/>
      <w:sz w:val="22"/>
      <w:szCs w:val="22"/>
    </w:rPr>
  </w:style>
  <w:style w:type="paragraph" w:customStyle="1" w:styleId="TOC51">
    <w:name w:val="TOC 51"/>
    <w:basedOn w:val="Normal"/>
    <w:next w:val="Normal"/>
    <w:autoRedefine/>
    <w:uiPriority w:val="39"/>
    <w:unhideWhenUsed/>
    <w:rsid w:val="00176903"/>
    <w:pPr>
      <w:spacing w:after="100" w:line="259" w:lineRule="auto"/>
      <w:ind w:left="880"/>
    </w:pPr>
    <w:rPr>
      <w:rFonts w:ascii="Calibri" w:hAnsi="Calibri"/>
      <w:sz w:val="22"/>
      <w:szCs w:val="22"/>
      <w:lang w:eastAsia="ro-RO"/>
    </w:rPr>
  </w:style>
  <w:style w:type="paragraph" w:customStyle="1" w:styleId="TOC61">
    <w:name w:val="TOC 61"/>
    <w:basedOn w:val="Normal"/>
    <w:next w:val="Normal"/>
    <w:autoRedefine/>
    <w:uiPriority w:val="39"/>
    <w:unhideWhenUsed/>
    <w:rsid w:val="00176903"/>
    <w:pPr>
      <w:spacing w:after="100" w:line="259" w:lineRule="auto"/>
      <w:ind w:left="1100"/>
    </w:pPr>
    <w:rPr>
      <w:rFonts w:ascii="Calibri" w:hAnsi="Calibri"/>
      <w:sz w:val="22"/>
      <w:szCs w:val="22"/>
      <w:lang w:eastAsia="ro-RO"/>
    </w:rPr>
  </w:style>
  <w:style w:type="paragraph" w:customStyle="1" w:styleId="TOC71">
    <w:name w:val="TOC 71"/>
    <w:basedOn w:val="Normal"/>
    <w:next w:val="Normal"/>
    <w:autoRedefine/>
    <w:uiPriority w:val="39"/>
    <w:unhideWhenUsed/>
    <w:rsid w:val="00176903"/>
    <w:pPr>
      <w:spacing w:after="100" w:line="259" w:lineRule="auto"/>
      <w:ind w:left="1320"/>
    </w:pPr>
    <w:rPr>
      <w:rFonts w:ascii="Calibri" w:hAnsi="Calibri"/>
      <w:sz w:val="22"/>
      <w:szCs w:val="22"/>
      <w:lang w:eastAsia="ro-RO"/>
    </w:rPr>
  </w:style>
  <w:style w:type="paragraph" w:customStyle="1" w:styleId="TOC81">
    <w:name w:val="TOC 81"/>
    <w:basedOn w:val="Normal"/>
    <w:next w:val="Normal"/>
    <w:autoRedefine/>
    <w:uiPriority w:val="39"/>
    <w:unhideWhenUsed/>
    <w:rsid w:val="00176903"/>
    <w:pPr>
      <w:spacing w:after="100" w:line="259" w:lineRule="auto"/>
      <w:ind w:left="1540"/>
    </w:pPr>
    <w:rPr>
      <w:rFonts w:ascii="Calibri" w:hAnsi="Calibri"/>
      <w:sz w:val="22"/>
      <w:szCs w:val="22"/>
      <w:lang w:eastAsia="ro-RO"/>
    </w:rPr>
  </w:style>
  <w:style w:type="paragraph" w:customStyle="1" w:styleId="TOC91">
    <w:name w:val="TOC 91"/>
    <w:basedOn w:val="Normal"/>
    <w:next w:val="Normal"/>
    <w:autoRedefine/>
    <w:uiPriority w:val="39"/>
    <w:unhideWhenUsed/>
    <w:rsid w:val="00176903"/>
    <w:pPr>
      <w:spacing w:after="100" w:line="259" w:lineRule="auto"/>
      <w:ind w:left="1760"/>
    </w:pPr>
    <w:rPr>
      <w:rFonts w:ascii="Calibri" w:hAnsi="Calibri"/>
      <w:sz w:val="22"/>
      <w:szCs w:val="22"/>
      <w:lang w:eastAsia="ro-RO"/>
    </w:rPr>
  </w:style>
  <w:style w:type="numbering" w:customStyle="1" w:styleId="NoList4">
    <w:name w:val="No List4"/>
    <w:next w:val="NoList"/>
    <w:uiPriority w:val="99"/>
    <w:semiHidden/>
    <w:unhideWhenUsed/>
    <w:rsid w:val="002C4C64"/>
  </w:style>
  <w:style w:type="table" w:customStyle="1" w:styleId="TableGrid4">
    <w:name w:val="Table Grid4"/>
    <w:basedOn w:val="TableNormal"/>
    <w:next w:val="TableGrid"/>
    <w:uiPriority w:val="39"/>
    <w:rsid w:val="002C4C64"/>
    <w:pPr>
      <w:spacing w:after="0" w:line="240" w:lineRule="auto"/>
    </w:pPr>
    <w:rPr>
      <w:rFonts w:eastAsia="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12">
    <w:name w:val="TOC 12"/>
    <w:basedOn w:val="Normal"/>
    <w:next w:val="Normal"/>
    <w:autoRedefine/>
    <w:uiPriority w:val="39"/>
    <w:unhideWhenUsed/>
    <w:rsid w:val="002C4C64"/>
    <w:pPr>
      <w:spacing w:after="100" w:line="259" w:lineRule="auto"/>
    </w:pPr>
    <w:rPr>
      <w:rFonts w:ascii="Calibri" w:eastAsia="Calibri" w:hAnsi="Calibri"/>
      <w:sz w:val="22"/>
      <w:szCs w:val="22"/>
    </w:rPr>
  </w:style>
  <w:style w:type="paragraph" w:customStyle="1" w:styleId="TOC22">
    <w:name w:val="TOC 22"/>
    <w:basedOn w:val="Normal"/>
    <w:next w:val="Normal"/>
    <w:autoRedefine/>
    <w:uiPriority w:val="39"/>
    <w:unhideWhenUsed/>
    <w:rsid w:val="002C4C64"/>
    <w:pPr>
      <w:spacing w:after="100" w:line="259" w:lineRule="auto"/>
      <w:ind w:left="220"/>
    </w:pPr>
    <w:rPr>
      <w:rFonts w:ascii="Calibri" w:eastAsia="Calibri" w:hAnsi="Calibri"/>
      <w:sz w:val="22"/>
      <w:szCs w:val="22"/>
    </w:rPr>
  </w:style>
  <w:style w:type="paragraph" w:customStyle="1" w:styleId="TOC32">
    <w:name w:val="TOC 32"/>
    <w:basedOn w:val="Normal"/>
    <w:next w:val="Normal"/>
    <w:autoRedefine/>
    <w:uiPriority w:val="39"/>
    <w:unhideWhenUsed/>
    <w:rsid w:val="002C4C64"/>
    <w:pPr>
      <w:spacing w:after="100" w:line="259" w:lineRule="auto"/>
      <w:ind w:left="440"/>
    </w:pPr>
    <w:rPr>
      <w:rFonts w:ascii="Calibri" w:eastAsia="Calibri" w:hAnsi="Calibri"/>
      <w:sz w:val="22"/>
      <w:szCs w:val="22"/>
    </w:rPr>
  </w:style>
  <w:style w:type="paragraph" w:customStyle="1" w:styleId="TOC42">
    <w:name w:val="TOC 42"/>
    <w:basedOn w:val="Normal"/>
    <w:next w:val="Normal"/>
    <w:autoRedefine/>
    <w:uiPriority w:val="39"/>
    <w:unhideWhenUsed/>
    <w:rsid w:val="002C4C64"/>
    <w:pPr>
      <w:spacing w:after="100" w:line="259" w:lineRule="auto"/>
      <w:ind w:left="660"/>
    </w:pPr>
    <w:rPr>
      <w:rFonts w:ascii="Calibri" w:eastAsia="Calibri" w:hAnsi="Calibri"/>
      <w:sz w:val="22"/>
      <w:szCs w:val="22"/>
    </w:rPr>
  </w:style>
  <w:style w:type="paragraph" w:customStyle="1" w:styleId="TOC52">
    <w:name w:val="TOC 52"/>
    <w:basedOn w:val="Normal"/>
    <w:next w:val="Normal"/>
    <w:autoRedefine/>
    <w:uiPriority w:val="39"/>
    <w:unhideWhenUsed/>
    <w:rsid w:val="002C4C64"/>
    <w:pPr>
      <w:spacing w:after="100" w:line="259" w:lineRule="auto"/>
      <w:ind w:left="880"/>
    </w:pPr>
    <w:rPr>
      <w:rFonts w:ascii="Calibri" w:hAnsi="Calibri"/>
      <w:sz w:val="22"/>
      <w:szCs w:val="22"/>
      <w:lang w:eastAsia="ro-RO"/>
    </w:rPr>
  </w:style>
  <w:style w:type="paragraph" w:customStyle="1" w:styleId="TOC62">
    <w:name w:val="TOC 62"/>
    <w:basedOn w:val="Normal"/>
    <w:next w:val="Normal"/>
    <w:autoRedefine/>
    <w:uiPriority w:val="39"/>
    <w:unhideWhenUsed/>
    <w:rsid w:val="002C4C64"/>
    <w:pPr>
      <w:spacing w:after="100" w:line="259" w:lineRule="auto"/>
      <w:ind w:left="1100"/>
    </w:pPr>
    <w:rPr>
      <w:rFonts w:ascii="Calibri" w:hAnsi="Calibri"/>
      <w:sz w:val="22"/>
      <w:szCs w:val="22"/>
      <w:lang w:eastAsia="ro-RO"/>
    </w:rPr>
  </w:style>
  <w:style w:type="paragraph" w:customStyle="1" w:styleId="TOC72">
    <w:name w:val="TOC 72"/>
    <w:basedOn w:val="Normal"/>
    <w:next w:val="Normal"/>
    <w:autoRedefine/>
    <w:uiPriority w:val="39"/>
    <w:unhideWhenUsed/>
    <w:rsid w:val="002C4C64"/>
    <w:pPr>
      <w:spacing w:after="100" w:line="259" w:lineRule="auto"/>
      <w:ind w:left="1320"/>
    </w:pPr>
    <w:rPr>
      <w:rFonts w:ascii="Calibri" w:hAnsi="Calibri"/>
      <w:sz w:val="22"/>
      <w:szCs w:val="22"/>
      <w:lang w:eastAsia="ro-RO"/>
    </w:rPr>
  </w:style>
  <w:style w:type="paragraph" w:customStyle="1" w:styleId="TOC82">
    <w:name w:val="TOC 82"/>
    <w:basedOn w:val="Normal"/>
    <w:next w:val="Normal"/>
    <w:autoRedefine/>
    <w:uiPriority w:val="39"/>
    <w:unhideWhenUsed/>
    <w:rsid w:val="002C4C64"/>
    <w:pPr>
      <w:spacing w:after="100" w:line="259" w:lineRule="auto"/>
      <w:ind w:left="1540"/>
    </w:pPr>
    <w:rPr>
      <w:rFonts w:ascii="Calibri" w:hAnsi="Calibri"/>
      <w:sz w:val="22"/>
      <w:szCs w:val="22"/>
      <w:lang w:eastAsia="ro-RO"/>
    </w:rPr>
  </w:style>
  <w:style w:type="paragraph" w:customStyle="1" w:styleId="TOC92">
    <w:name w:val="TOC 92"/>
    <w:basedOn w:val="Normal"/>
    <w:next w:val="Normal"/>
    <w:autoRedefine/>
    <w:uiPriority w:val="39"/>
    <w:unhideWhenUsed/>
    <w:rsid w:val="002C4C64"/>
    <w:pPr>
      <w:spacing w:after="100" w:line="259" w:lineRule="auto"/>
      <w:ind w:left="1760"/>
    </w:pPr>
    <w:rPr>
      <w:rFonts w:ascii="Calibri" w:hAnsi="Calibri"/>
      <w:sz w:val="22"/>
      <w:szCs w:val="22"/>
      <w:lang w:eastAsia="ro-RO"/>
    </w:rPr>
  </w:style>
  <w:style w:type="paragraph" w:styleId="TOC1">
    <w:name w:val="toc 1"/>
    <w:basedOn w:val="Normal"/>
    <w:uiPriority w:val="1"/>
    <w:qFormat/>
    <w:rsid w:val="006F1400"/>
    <w:pPr>
      <w:widowControl w:val="0"/>
      <w:autoSpaceDE w:val="0"/>
      <w:autoSpaceDN w:val="0"/>
      <w:spacing w:before="174"/>
      <w:ind w:left="293"/>
    </w:pPr>
    <w:rPr>
      <w:rFonts w:ascii="Cambria" w:eastAsia="Cambria" w:hAnsi="Cambria" w:cs="Cambria"/>
      <w:b/>
      <w:bCs/>
    </w:rPr>
  </w:style>
  <w:style w:type="paragraph" w:styleId="TOC2">
    <w:name w:val="toc 2"/>
    <w:basedOn w:val="Normal"/>
    <w:uiPriority w:val="39"/>
    <w:qFormat/>
    <w:rsid w:val="006F1400"/>
    <w:pPr>
      <w:widowControl w:val="0"/>
      <w:autoSpaceDE w:val="0"/>
      <w:autoSpaceDN w:val="0"/>
      <w:spacing w:before="163"/>
      <w:ind w:left="1013" w:hanging="712"/>
    </w:pPr>
    <w:rPr>
      <w:rFonts w:ascii="Cambria" w:eastAsia="Cambria" w:hAnsi="Cambria" w:cs="Cambria"/>
      <w:b/>
      <w:bCs/>
    </w:rPr>
  </w:style>
  <w:style w:type="paragraph" w:customStyle="1" w:styleId="TableParagraph">
    <w:name w:val="Table Paragraph"/>
    <w:basedOn w:val="Normal"/>
    <w:uiPriority w:val="1"/>
    <w:qFormat/>
    <w:rsid w:val="006F1400"/>
    <w:pPr>
      <w:widowControl w:val="0"/>
      <w:autoSpaceDE w:val="0"/>
      <w:autoSpaceDN w:val="0"/>
    </w:pPr>
    <w:rPr>
      <w:sz w:val="22"/>
      <w:szCs w:val="22"/>
    </w:rPr>
  </w:style>
  <w:style w:type="character" w:customStyle="1" w:styleId="UnresolvedMention2">
    <w:name w:val="Unresolved Mention2"/>
    <w:basedOn w:val="DefaultParagraphFont"/>
    <w:uiPriority w:val="99"/>
    <w:semiHidden/>
    <w:unhideWhenUsed/>
    <w:rsid w:val="006F1400"/>
    <w:rPr>
      <w:color w:val="605E5C"/>
      <w:shd w:val="clear" w:color="auto" w:fill="E1DFDD"/>
    </w:rPr>
  </w:style>
  <w:style w:type="character" w:customStyle="1" w:styleId="hpsatn">
    <w:name w:val="hps atn"/>
    <w:basedOn w:val="DefaultParagraphFont"/>
    <w:rsid w:val="006F1400"/>
  </w:style>
  <w:style w:type="character" w:customStyle="1" w:styleId="BodyText2Char1">
    <w:name w:val="Body Text 2 Char1"/>
    <w:semiHidden/>
    <w:rsid w:val="006F1400"/>
    <w:rPr>
      <w:sz w:val="22"/>
      <w:szCs w:val="22"/>
      <w:lang w:eastAsia="en-US"/>
    </w:rPr>
  </w:style>
  <w:style w:type="character" w:customStyle="1" w:styleId="CharChar6">
    <w:name w:val="Char Char6"/>
    <w:semiHidden/>
    <w:rsid w:val="006F1400"/>
    <w:rPr>
      <w:rFonts w:ascii="Tahoma" w:hAnsi="Tahoma" w:cs="Tahoma"/>
      <w:shd w:val="clear" w:color="auto" w:fill="000080"/>
      <w:lang w:eastAsia="en-US"/>
    </w:rPr>
  </w:style>
  <w:style w:type="character" w:customStyle="1" w:styleId="DocumentMapChar">
    <w:name w:val="Document Map Char"/>
    <w:link w:val="DocumentMap"/>
    <w:rsid w:val="006F1400"/>
    <w:rPr>
      <w:rFonts w:ascii="Tahoma" w:eastAsia="Times New Roman" w:hAnsi="Tahoma"/>
      <w:sz w:val="16"/>
      <w:szCs w:val="16"/>
      <w:lang w:val="ro-RO"/>
    </w:rPr>
  </w:style>
  <w:style w:type="character" w:customStyle="1" w:styleId="BodyText2Char">
    <w:name w:val="Body Text 2 Char"/>
    <w:link w:val="BodyText2"/>
    <w:uiPriority w:val="99"/>
    <w:rsid w:val="006F1400"/>
    <w:rPr>
      <w:rFonts w:ascii="Times New Roman" w:eastAsia="Times New Roman" w:hAnsi="Times New Roman"/>
      <w:sz w:val="24"/>
      <w:szCs w:val="24"/>
    </w:rPr>
  </w:style>
  <w:style w:type="character" w:customStyle="1" w:styleId="BodyTextIndent3Char">
    <w:name w:val="Body Text Indent 3 Char"/>
    <w:link w:val="BodyTextIndent3"/>
    <w:rsid w:val="006F1400"/>
    <w:rPr>
      <w:rFonts w:ascii="Tahoma" w:eastAsia="Times New Roman" w:hAnsi="Tahoma" w:cs="Times New Roman"/>
      <w:sz w:val="20"/>
      <w:szCs w:val="20"/>
      <w:lang w:val="en-GB" w:eastAsia="fr-FR"/>
    </w:rPr>
  </w:style>
  <w:style w:type="character" w:customStyle="1" w:styleId="FontStyle40">
    <w:name w:val="Font Style40"/>
    <w:rsid w:val="006F1400"/>
    <w:rPr>
      <w:rFonts w:ascii="Palatino Linotype" w:hAnsi="Palatino Linotype" w:cs="Palatino Linotype"/>
      <w:b/>
      <w:bCs/>
      <w:sz w:val="18"/>
      <w:szCs w:val="18"/>
    </w:rPr>
  </w:style>
  <w:style w:type="character" w:customStyle="1" w:styleId="BodyTextIndentChar1">
    <w:name w:val="Body Text Indent Char1"/>
    <w:semiHidden/>
    <w:rsid w:val="006F1400"/>
    <w:rPr>
      <w:sz w:val="22"/>
      <w:szCs w:val="22"/>
      <w:lang w:eastAsia="en-US"/>
    </w:rPr>
  </w:style>
  <w:style w:type="character" w:customStyle="1" w:styleId="HTMLPreformattedChar">
    <w:name w:val="HTML Preformatted Char"/>
    <w:link w:val="HTMLPreformatted"/>
    <w:rsid w:val="006F1400"/>
    <w:rPr>
      <w:rFonts w:ascii="Courier New" w:eastAsia="Times New Roman" w:hAnsi="Courier New" w:cs="Times New Roman"/>
      <w:sz w:val="20"/>
      <w:szCs w:val="20"/>
      <w:lang w:val="fr-FR" w:eastAsia="fr-FR"/>
    </w:rPr>
  </w:style>
  <w:style w:type="character" w:customStyle="1" w:styleId="FontStyle14">
    <w:name w:val="Font Style14"/>
    <w:rsid w:val="006F1400"/>
    <w:rPr>
      <w:rFonts w:ascii="Palatino Linotype" w:hAnsi="Palatino Linotype" w:cs="Palatino Linotype"/>
      <w:b/>
      <w:bCs/>
      <w:sz w:val="14"/>
      <w:szCs w:val="14"/>
    </w:rPr>
  </w:style>
  <w:style w:type="character" w:customStyle="1" w:styleId="tlid-translation">
    <w:name w:val="tlid-translation"/>
    <w:rsid w:val="006F1400"/>
  </w:style>
  <w:style w:type="character" w:customStyle="1" w:styleId="CharChar">
    <w:name w:val="Char Char"/>
    <w:locked/>
    <w:rsid w:val="006F1400"/>
    <w:rPr>
      <w:rFonts w:ascii="Tahoma" w:hAnsi="Tahoma"/>
      <w:sz w:val="22"/>
      <w:szCs w:val="22"/>
      <w:lang w:val="en-GB" w:eastAsia="fr-FR" w:bidi="ar-SA"/>
    </w:rPr>
  </w:style>
  <w:style w:type="character" w:customStyle="1" w:styleId="shorttext">
    <w:name w:val="short_text"/>
    <w:rsid w:val="006F1400"/>
  </w:style>
  <w:style w:type="character" w:customStyle="1" w:styleId="FontStyle15">
    <w:name w:val="Font Style15"/>
    <w:rsid w:val="006F1400"/>
    <w:rPr>
      <w:rFonts w:ascii="Palatino Linotype" w:hAnsi="Palatino Linotype" w:cs="Palatino Linotype"/>
      <w:i/>
      <w:iCs/>
      <w:sz w:val="16"/>
      <w:szCs w:val="16"/>
    </w:rPr>
  </w:style>
  <w:style w:type="character" w:customStyle="1" w:styleId="NoSpacingChar">
    <w:name w:val="No Spacing Char"/>
    <w:link w:val="NoSpacing"/>
    <w:locked/>
    <w:rsid w:val="006F1400"/>
    <w:rPr>
      <w:rFonts w:ascii="Times New Roman" w:eastAsia="Times New Roman" w:hAnsi="Times New Roman" w:cs="Times New Roman"/>
      <w:sz w:val="24"/>
      <w:szCs w:val="24"/>
      <w:lang w:val="ro-RO"/>
    </w:rPr>
  </w:style>
  <w:style w:type="character" w:customStyle="1" w:styleId="pagefirst">
    <w:name w:val="pagefirst"/>
    <w:basedOn w:val="DefaultParagraphFont"/>
    <w:rsid w:val="006F1400"/>
  </w:style>
  <w:style w:type="character" w:customStyle="1" w:styleId="apple-converted-space">
    <w:name w:val="apple-converted-space"/>
    <w:basedOn w:val="DefaultParagraphFont"/>
    <w:uiPriority w:val="99"/>
    <w:rsid w:val="006F1400"/>
  </w:style>
  <w:style w:type="character" w:customStyle="1" w:styleId="BodyTextChar1">
    <w:name w:val="Body Text Char1"/>
    <w:semiHidden/>
    <w:rsid w:val="006F1400"/>
    <w:rPr>
      <w:sz w:val="22"/>
      <w:szCs w:val="22"/>
      <w:lang w:eastAsia="en-US"/>
    </w:rPr>
  </w:style>
  <w:style w:type="character" w:customStyle="1" w:styleId="def">
    <w:name w:val="def"/>
    <w:rsid w:val="006F1400"/>
  </w:style>
  <w:style w:type="character" w:styleId="HTMLCite">
    <w:name w:val="HTML Cite"/>
    <w:uiPriority w:val="99"/>
    <w:rsid w:val="006F1400"/>
    <w:rPr>
      <w:i/>
      <w:iCs/>
    </w:rPr>
  </w:style>
  <w:style w:type="character" w:styleId="PageNumber">
    <w:name w:val="page number"/>
    <w:basedOn w:val="DefaultParagraphFont"/>
    <w:uiPriority w:val="99"/>
    <w:rsid w:val="006F1400"/>
  </w:style>
  <w:style w:type="character" w:styleId="Emphasis">
    <w:name w:val="Emphasis"/>
    <w:uiPriority w:val="20"/>
    <w:qFormat/>
    <w:rsid w:val="006F1400"/>
    <w:rPr>
      <w:i/>
      <w:iCs/>
    </w:rPr>
  </w:style>
  <w:style w:type="character" w:styleId="EndnoteReference">
    <w:name w:val="endnote reference"/>
    <w:uiPriority w:val="99"/>
    <w:unhideWhenUsed/>
    <w:rsid w:val="006F1400"/>
    <w:rPr>
      <w:vertAlign w:val="superscript"/>
    </w:rPr>
  </w:style>
  <w:style w:type="character" w:customStyle="1" w:styleId="msoins0">
    <w:name w:val="msoins"/>
    <w:basedOn w:val="DefaultParagraphFont"/>
    <w:rsid w:val="006F1400"/>
  </w:style>
  <w:style w:type="character" w:customStyle="1" w:styleId="articletitle">
    <w:name w:val="articletitle"/>
    <w:basedOn w:val="DefaultParagraphFont"/>
    <w:rsid w:val="006F1400"/>
  </w:style>
  <w:style w:type="character" w:customStyle="1" w:styleId="EndnoteTextChar">
    <w:name w:val="Endnote Text Char"/>
    <w:link w:val="EndnoteText"/>
    <w:uiPriority w:val="99"/>
    <w:rsid w:val="006F1400"/>
    <w:rPr>
      <w:rFonts w:ascii="Calibri" w:eastAsia="Times New Roman" w:hAnsi="Calibri" w:cs="Times New Roman"/>
      <w:sz w:val="20"/>
      <w:szCs w:val="20"/>
      <w:lang w:val="en-GB" w:eastAsia="fr-FR"/>
    </w:rPr>
  </w:style>
  <w:style w:type="character" w:customStyle="1" w:styleId="Bodytext2NotItalic">
    <w:name w:val="Body text (2) + Not Italic"/>
    <w:rsid w:val="006F1400"/>
    <w:rPr>
      <w:rFonts w:ascii="Trebuchet MS" w:eastAsia="Trebuchet MS" w:hAnsi="Trebuchet MS" w:cs="Trebuchet MS"/>
      <w:b w:val="0"/>
      <w:bCs w:val="0"/>
      <w:i/>
      <w:iCs/>
      <w:smallCaps w:val="0"/>
      <w:strike w:val="0"/>
      <w:color w:val="000000"/>
      <w:spacing w:val="0"/>
      <w:w w:val="100"/>
      <w:position w:val="0"/>
      <w:sz w:val="21"/>
      <w:szCs w:val="21"/>
      <w:u w:val="none"/>
      <w:lang w:val="ro-RO" w:eastAsia="ro-RO" w:bidi="ro-RO"/>
    </w:rPr>
  </w:style>
  <w:style w:type="character" w:customStyle="1" w:styleId="vol">
    <w:name w:val="vol"/>
    <w:basedOn w:val="DefaultParagraphFont"/>
    <w:rsid w:val="006F1400"/>
  </w:style>
  <w:style w:type="character" w:customStyle="1" w:styleId="pagination">
    <w:name w:val="pagination"/>
    <w:basedOn w:val="DefaultParagraphFont"/>
    <w:rsid w:val="006F1400"/>
  </w:style>
  <w:style w:type="character" w:customStyle="1" w:styleId="mw-headline">
    <w:name w:val="mw-headline"/>
    <w:basedOn w:val="DefaultParagraphFont"/>
    <w:rsid w:val="006F1400"/>
  </w:style>
  <w:style w:type="character" w:customStyle="1" w:styleId="z3988">
    <w:name w:val="z3988"/>
    <w:basedOn w:val="DefaultParagraphFont"/>
    <w:rsid w:val="006F1400"/>
  </w:style>
  <w:style w:type="character" w:customStyle="1" w:styleId="journaltitle">
    <w:name w:val="journaltitle"/>
    <w:basedOn w:val="DefaultParagraphFont"/>
    <w:rsid w:val="006F1400"/>
  </w:style>
  <w:style w:type="character" w:customStyle="1" w:styleId="Bodytext3">
    <w:name w:val="Body text (3)_"/>
    <w:link w:val="Bodytext30"/>
    <w:rsid w:val="006F1400"/>
    <w:rPr>
      <w:rFonts w:ascii="Trebuchet MS" w:eastAsia="Trebuchet MS" w:hAnsi="Trebuchet MS" w:cs="Trebuchet MS"/>
      <w:b/>
      <w:bCs/>
      <w:sz w:val="21"/>
      <w:szCs w:val="21"/>
      <w:shd w:val="clear" w:color="auto" w:fill="FFFFFF"/>
    </w:rPr>
  </w:style>
  <w:style w:type="character" w:customStyle="1" w:styleId="BodyTextIndent2Char1">
    <w:name w:val="Body Text Indent 2 Char1"/>
    <w:link w:val="BodyTextIndent2"/>
    <w:uiPriority w:val="99"/>
    <w:rsid w:val="006F1400"/>
    <w:rPr>
      <w:rFonts w:ascii="Times New Roman" w:eastAsia="Batang" w:hAnsi="Times New Roman"/>
      <w:sz w:val="24"/>
      <w:szCs w:val="24"/>
      <w:lang w:eastAsia="ko-KR"/>
    </w:rPr>
  </w:style>
  <w:style w:type="character" w:customStyle="1" w:styleId="BodyTextIndent2Char">
    <w:name w:val="Body Text Indent 2 Char"/>
    <w:locked/>
    <w:rsid w:val="006F1400"/>
    <w:rPr>
      <w:sz w:val="24"/>
      <w:szCs w:val="24"/>
    </w:rPr>
  </w:style>
  <w:style w:type="character" w:customStyle="1" w:styleId="Bodytext3NotBold">
    <w:name w:val="Body text (3) + Not Bold"/>
    <w:aliases w:val="Italic"/>
    <w:rsid w:val="006F1400"/>
    <w:rPr>
      <w:rFonts w:ascii="Trebuchet MS" w:eastAsia="Trebuchet MS" w:hAnsi="Trebuchet MS" w:cs="Trebuchet MS"/>
      <w:b/>
      <w:bCs/>
      <w:i/>
      <w:iCs/>
      <w:color w:val="000000"/>
      <w:spacing w:val="0"/>
      <w:w w:val="100"/>
      <w:position w:val="0"/>
      <w:sz w:val="21"/>
      <w:szCs w:val="21"/>
      <w:shd w:val="clear" w:color="auto" w:fill="FFFFFF"/>
      <w:lang w:val="ro-RO" w:eastAsia="ro-RO" w:bidi="ro-RO"/>
    </w:rPr>
  </w:style>
  <w:style w:type="character" w:customStyle="1" w:styleId="CharChar2">
    <w:name w:val="Char Char2"/>
    <w:semiHidden/>
    <w:rsid w:val="006F1400"/>
    <w:rPr>
      <w:rFonts w:ascii="Tahoma" w:hAnsi="Tahoma"/>
      <w:lang w:val="en-GB" w:eastAsia="en-GB" w:bidi="ar-SA"/>
    </w:rPr>
  </w:style>
  <w:style w:type="character" w:customStyle="1" w:styleId="CarCar1">
    <w:name w:val="Car Car1"/>
    <w:rsid w:val="006F1400"/>
    <w:rPr>
      <w:rFonts w:ascii="Tahoma" w:hAnsi="Tahoma"/>
      <w:lang w:val="en-GB" w:eastAsia="en-GB" w:bidi="ar-SA"/>
    </w:rPr>
  </w:style>
  <w:style w:type="character" w:customStyle="1" w:styleId="author">
    <w:name w:val="author"/>
    <w:basedOn w:val="DefaultParagraphFont"/>
    <w:rsid w:val="006F1400"/>
  </w:style>
  <w:style w:type="character" w:customStyle="1" w:styleId="pubyear">
    <w:name w:val="pubyear"/>
    <w:basedOn w:val="DefaultParagraphFont"/>
    <w:rsid w:val="006F1400"/>
  </w:style>
  <w:style w:type="character" w:customStyle="1" w:styleId="pagelast">
    <w:name w:val="pagelast"/>
    <w:basedOn w:val="DefaultParagraphFont"/>
    <w:rsid w:val="006F1400"/>
  </w:style>
  <w:style w:type="character" w:customStyle="1" w:styleId="CommentTextChar1">
    <w:name w:val="Comment Text Char1"/>
    <w:rsid w:val="006F1400"/>
    <w:rPr>
      <w:rFonts w:ascii="Arial" w:eastAsia="Times New Roman" w:hAnsi="Arial" w:cs="Times New Roman"/>
      <w:sz w:val="20"/>
      <w:szCs w:val="20"/>
      <w:lang w:val="de-DE" w:eastAsia="de-DE"/>
    </w:rPr>
  </w:style>
  <w:style w:type="paragraph" w:customStyle="1" w:styleId="alignmentl">
    <w:name w:val="alignment_l"/>
    <w:basedOn w:val="Normal"/>
    <w:uiPriority w:val="99"/>
    <w:rsid w:val="006F1400"/>
    <w:pPr>
      <w:spacing w:before="100" w:beforeAutospacing="1" w:after="100" w:afterAutospacing="1"/>
    </w:pPr>
    <w:rPr>
      <w:lang w:val="en-US"/>
    </w:rPr>
  </w:style>
  <w:style w:type="paragraph" w:styleId="DocumentMap">
    <w:name w:val="Document Map"/>
    <w:basedOn w:val="Normal"/>
    <w:link w:val="DocumentMapChar"/>
    <w:rsid w:val="006F1400"/>
    <w:rPr>
      <w:rFonts w:ascii="Tahoma" w:hAnsi="Tahoma" w:cstheme="minorBidi"/>
      <w:sz w:val="16"/>
      <w:szCs w:val="16"/>
    </w:rPr>
  </w:style>
  <w:style w:type="character" w:customStyle="1" w:styleId="DocumentMapChar1">
    <w:name w:val="Document Map Char1"/>
    <w:basedOn w:val="DefaultParagraphFont"/>
    <w:uiPriority w:val="99"/>
    <w:semiHidden/>
    <w:rsid w:val="006F1400"/>
    <w:rPr>
      <w:rFonts w:ascii="Segoe UI" w:eastAsia="Times New Roman" w:hAnsi="Segoe UI" w:cs="Segoe UI"/>
      <w:sz w:val="16"/>
      <w:szCs w:val="16"/>
      <w:lang w:val="ro-RO"/>
    </w:rPr>
  </w:style>
  <w:style w:type="paragraph" w:customStyle="1" w:styleId="BalloonText2">
    <w:name w:val="Balloon Text2"/>
    <w:basedOn w:val="Normal"/>
    <w:semiHidden/>
    <w:rsid w:val="006F1400"/>
    <w:rPr>
      <w:rFonts w:ascii="Tahoma" w:hAnsi="Tahoma" w:cs="Tahoma"/>
      <w:sz w:val="16"/>
      <w:szCs w:val="16"/>
      <w:lang w:val="fr-FR" w:eastAsia="fr-FR"/>
    </w:rPr>
  </w:style>
  <w:style w:type="paragraph" w:styleId="BodyTextIndent3">
    <w:name w:val="Body Text Indent 3"/>
    <w:basedOn w:val="Normal"/>
    <w:link w:val="BodyTextIndent3Char"/>
    <w:rsid w:val="006F1400"/>
    <w:pPr>
      <w:spacing w:after="120"/>
      <w:ind w:left="708"/>
    </w:pPr>
    <w:rPr>
      <w:rFonts w:ascii="Tahoma" w:hAnsi="Tahoma"/>
      <w:sz w:val="20"/>
      <w:szCs w:val="20"/>
      <w:lang w:val="en-GB" w:eastAsia="fr-FR"/>
    </w:rPr>
  </w:style>
  <w:style w:type="character" w:customStyle="1" w:styleId="BodyTextIndent3Char1">
    <w:name w:val="Body Text Indent 3 Char1"/>
    <w:basedOn w:val="DefaultParagraphFont"/>
    <w:uiPriority w:val="99"/>
    <w:semiHidden/>
    <w:rsid w:val="006F1400"/>
    <w:rPr>
      <w:rFonts w:ascii="Times New Roman" w:eastAsia="Times New Roman" w:hAnsi="Times New Roman" w:cs="Times New Roman"/>
      <w:sz w:val="16"/>
      <w:szCs w:val="16"/>
      <w:lang w:val="ro-RO"/>
    </w:rPr>
  </w:style>
  <w:style w:type="paragraph" w:customStyle="1" w:styleId="Char1">
    <w:name w:val="Char1"/>
    <w:basedOn w:val="Normal"/>
    <w:uiPriority w:val="99"/>
    <w:rsid w:val="006F1400"/>
    <w:pPr>
      <w:spacing w:after="160" w:line="240" w:lineRule="exact"/>
    </w:pPr>
    <w:rPr>
      <w:rFonts w:ascii="Tahoma" w:hAnsi="Tahoma" w:cs="Tahoma"/>
      <w:sz w:val="20"/>
      <w:szCs w:val="20"/>
      <w:lang w:val="en-US"/>
    </w:rPr>
  </w:style>
  <w:style w:type="paragraph" w:customStyle="1" w:styleId="CaracterCaracter">
    <w:name w:val="Caracter Caracter"/>
    <w:basedOn w:val="Normal"/>
    <w:rsid w:val="006F1400"/>
    <w:rPr>
      <w:rFonts w:eastAsia="MS Mincho"/>
      <w:lang w:val="pl-PL" w:eastAsia="pl-PL"/>
    </w:rPr>
  </w:style>
  <w:style w:type="paragraph" w:customStyle="1" w:styleId="font8">
    <w:name w:val="font8"/>
    <w:basedOn w:val="Normal"/>
    <w:rsid w:val="006F1400"/>
    <w:pPr>
      <w:spacing w:before="100" w:beforeAutospacing="1" w:after="100" w:afterAutospacing="1"/>
    </w:pPr>
    <w:rPr>
      <w:b/>
      <w:bCs/>
      <w:i/>
      <w:iCs/>
      <w:color w:val="000000"/>
      <w:lang w:val="en-US"/>
    </w:rPr>
  </w:style>
  <w:style w:type="paragraph" w:customStyle="1" w:styleId="Normal105pt">
    <w:name w:val="Normal + 10.5 pt"/>
    <w:aliases w:val="Justified"/>
    <w:basedOn w:val="Normal"/>
    <w:uiPriority w:val="99"/>
    <w:rsid w:val="006F1400"/>
    <w:pPr>
      <w:jc w:val="both"/>
    </w:pPr>
    <w:rPr>
      <w:sz w:val="18"/>
      <w:szCs w:val="18"/>
      <w:lang w:val="gsw-FR" w:eastAsia="sk-SK"/>
    </w:rPr>
  </w:style>
  <w:style w:type="paragraph" w:styleId="TOCHeading">
    <w:name w:val="TOC Heading"/>
    <w:basedOn w:val="Heading1"/>
    <w:next w:val="Normal"/>
    <w:uiPriority w:val="39"/>
    <w:qFormat/>
    <w:rsid w:val="006F1400"/>
    <w:pPr>
      <w:widowControl/>
      <w:autoSpaceDE/>
      <w:autoSpaceDN/>
      <w:adjustRightInd/>
      <w:spacing w:before="240" w:line="259" w:lineRule="auto"/>
      <w:outlineLvl w:val="9"/>
    </w:pPr>
    <w:rPr>
      <w:rFonts w:ascii="Cambria" w:eastAsia="Times New Roman" w:hAnsi="Cambria" w:cs="Times New Roman"/>
      <w:b w:val="0"/>
      <w:bCs w:val="0"/>
      <w:color w:val="365F91"/>
      <w:sz w:val="32"/>
      <w:szCs w:val="32"/>
    </w:rPr>
  </w:style>
  <w:style w:type="paragraph" w:customStyle="1" w:styleId="Footer1">
    <w:name w:val="Footer1"/>
    <w:basedOn w:val="Default"/>
    <w:next w:val="Default"/>
    <w:rsid w:val="006F1400"/>
    <w:rPr>
      <w:rFonts w:ascii="Arial" w:eastAsia="Times New Roman" w:hAnsi="Arial"/>
      <w:color w:val="auto"/>
      <w:lang w:val="fr-FR" w:eastAsia="fr-FR"/>
    </w:rPr>
  </w:style>
  <w:style w:type="paragraph" w:styleId="BodyText2">
    <w:name w:val="Body Text 2"/>
    <w:basedOn w:val="Normal"/>
    <w:link w:val="BodyText2Char"/>
    <w:uiPriority w:val="99"/>
    <w:rsid w:val="006F1400"/>
    <w:pPr>
      <w:spacing w:after="120" w:line="480" w:lineRule="auto"/>
    </w:pPr>
    <w:rPr>
      <w:rFonts w:cstheme="minorBidi"/>
      <w:lang w:val="en-US"/>
    </w:rPr>
  </w:style>
  <w:style w:type="character" w:customStyle="1" w:styleId="BodyText2Char2">
    <w:name w:val="Body Text 2 Char2"/>
    <w:basedOn w:val="DefaultParagraphFont"/>
    <w:uiPriority w:val="99"/>
    <w:semiHidden/>
    <w:rsid w:val="006F1400"/>
    <w:rPr>
      <w:rFonts w:ascii="Times New Roman" w:eastAsia="Times New Roman" w:hAnsi="Times New Roman" w:cs="Times New Roman"/>
      <w:sz w:val="24"/>
      <w:szCs w:val="24"/>
      <w:lang w:val="ro-RO"/>
    </w:rPr>
  </w:style>
  <w:style w:type="paragraph" w:customStyle="1" w:styleId="CharCharCharCaracterCaracter1">
    <w:name w:val="Char Char Char Caracter Caracter1"/>
    <w:basedOn w:val="Normal"/>
    <w:uiPriority w:val="99"/>
    <w:rsid w:val="006F1400"/>
    <w:rPr>
      <w:rFonts w:ascii="Verdana" w:hAnsi="Verdana" w:cs="Verdana"/>
      <w:lang w:val="pl-PL" w:eastAsia="pl-PL"/>
    </w:rPr>
  </w:style>
  <w:style w:type="paragraph" w:styleId="BodyTextIndent2">
    <w:name w:val="Body Text Indent 2"/>
    <w:basedOn w:val="Normal"/>
    <w:link w:val="BodyTextIndent2Char1"/>
    <w:uiPriority w:val="99"/>
    <w:rsid w:val="006F1400"/>
    <w:pPr>
      <w:ind w:left="-4788"/>
      <w:jc w:val="center"/>
    </w:pPr>
    <w:rPr>
      <w:rFonts w:eastAsia="Batang" w:cstheme="minorBidi"/>
      <w:lang w:val="en-US" w:eastAsia="ko-KR"/>
    </w:rPr>
  </w:style>
  <w:style w:type="character" w:customStyle="1" w:styleId="BodyTextIndent2Char2">
    <w:name w:val="Body Text Indent 2 Char2"/>
    <w:basedOn w:val="DefaultParagraphFont"/>
    <w:uiPriority w:val="99"/>
    <w:semiHidden/>
    <w:rsid w:val="006F1400"/>
    <w:rPr>
      <w:rFonts w:ascii="Times New Roman" w:eastAsia="Times New Roman" w:hAnsi="Times New Roman" w:cs="Times New Roman"/>
      <w:sz w:val="24"/>
      <w:szCs w:val="24"/>
      <w:lang w:val="ro-RO"/>
    </w:rPr>
  </w:style>
  <w:style w:type="paragraph" w:customStyle="1" w:styleId="CommentText1">
    <w:name w:val="Comment Text1"/>
    <w:basedOn w:val="Normal"/>
    <w:next w:val="Normal"/>
    <w:rsid w:val="006F1400"/>
    <w:pPr>
      <w:autoSpaceDE w:val="0"/>
      <w:autoSpaceDN w:val="0"/>
      <w:adjustRightInd w:val="0"/>
    </w:pPr>
    <w:rPr>
      <w:lang w:val="fr-FR" w:eastAsia="fr-FR"/>
    </w:rPr>
  </w:style>
  <w:style w:type="paragraph" w:customStyle="1" w:styleId="Bodytext30">
    <w:name w:val="Body text (3)"/>
    <w:basedOn w:val="Normal"/>
    <w:link w:val="Bodytext3"/>
    <w:rsid w:val="006F1400"/>
    <w:pPr>
      <w:widowControl w:val="0"/>
      <w:shd w:val="clear" w:color="auto" w:fill="FFFFFF"/>
      <w:spacing w:after="240" w:line="0" w:lineRule="atLeast"/>
      <w:jc w:val="center"/>
    </w:pPr>
    <w:rPr>
      <w:rFonts w:ascii="Trebuchet MS" w:eastAsia="Trebuchet MS" w:hAnsi="Trebuchet MS" w:cs="Trebuchet MS"/>
      <w:b/>
      <w:bCs/>
      <w:sz w:val="21"/>
      <w:szCs w:val="21"/>
      <w:lang w:val="en-US"/>
    </w:rPr>
  </w:style>
  <w:style w:type="paragraph" w:styleId="Caption">
    <w:name w:val="caption"/>
    <w:basedOn w:val="Normal"/>
    <w:next w:val="Normal"/>
    <w:qFormat/>
    <w:rsid w:val="006F1400"/>
    <w:pPr>
      <w:spacing w:before="360" w:after="120"/>
      <w:jc w:val="both"/>
    </w:pPr>
    <w:rPr>
      <w:rFonts w:ascii="Calibri" w:eastAsia="ヒラギノ角ゴ Pro W3" w:hAnsi="Calibri"/>
      <w:b/>
      <w:bCs/>
      <w:color w:val="000000"/>
      <w:sz w:val="22"/>
      <w:szCs w:val="20"/>
      <w:lang w:val="en-GB"/>
    </w:rPr>
  </w:style>
  <w:style w:type="paragraph" w:customStyle="1" w:styleId="Char">
    <w:name w:val="Char"/>
    <w:basedOn w:val="Normal"/>
    <w:uiPriority w:val="99"/>
    <w:rsid w:val="006F1400"/>
    <w:pPr>
      <w:spacing w:after="160" w:line="240" w:lineRule="exact"/>
    </w:pPr>
    <w:rPr>
      <w:rFonts w:ascii="Tahoma" w:hAnsi="Tahoma" w:cs="Tahoma"/>
      <w:sz w:val="20"/>
      <w:szCs w:val="20"/>
      <w:lang w:val="en-US"/>
    </w:rPr>
  </w:style>
  <w:style w:type="paragraph" w:customStyle="1" w:styleId="Tabledesmatiresniveau1">
    <w:name w:val="Table des matières niveau 1"/>
    <w:basedOn w:val="Normal"/>
    <w:next w:val="Normal"/>
    <w:uiPriority w:val="39"/>
    <w:rsid w:val="006F1400"/>
    <w:pPr>
      <w:tabs>
        <w:tab w:val="left" w:pos="720"/>
        <w:tab w:val="right" w:pos="9062"/>
      </w:tabs>
      <w:suppressAutoHyphens/>
      <w:ind w:left="34" w:hanging="10"/>
      <w:jc w:val="both"/>
    </w:pPr>
    <w:rPr>
      <w:rFonts w:ascii="Calibri" w:eastAsia="MS Mincho" w:hAnsi="Calibri"/>
      <w:sz w:val="18"/>
      <w:szCs w:val="18"/>
      <w:lang w:val="en-GB"/>
    </w:rPr>
  </w:style>
  <w:style w:type="paragraph" w:styleId="EndnoteText">
    <w:name w:val="endnote text"/>
    <w:basedOn w:val="Normal"/>
    <w:link w:val="EndnoteTextChar"/>
    <w:uiPriority w:val="99"/>
    <w:unhideWhenUsed/>
    <w:rsid w:val="006F1400"/>
    <w:rPr>
      <w:rFonts w:ascii="Calibri" w:hAnsi="Calibri"/>
      <w:sz w:val="20"/>
      <w:szCs w:val="20"/>
      <w:lang w:val="en-GB" w:eastAsia="fr-FR"/>
    </w:rPr>
  </w:style>
  <w:style w:type="character" w:customStyle="1" w:styleId="EndnoteTextChar1">
    <w:name w:val="Endnote Text Char1"/>
    <w:basedOn w:val="DefaultParagraphFont"/>
    <w:uiPriority w:val="99"/>
    <w:semiHidden/>
    <w:rsid w:val="006F1400"/>
    <w:rPr>
      <w:rFonts w:ascii="Times New Roman" w:eastAsia="Times New Roman" w:hAnsi="Times New Roman" w:cs="Times New Roman"/>
      <w:sz w:val="20"/>
      <w:szCs w:val="20"/>
      <w:lang w:val="ro-RO"/>
    </w:rPr>
  </w:style>
  <w:style w:type="paragraph" w:customStyle="1" w:styleId="CM1">
    <w:name w:val="CM1"/>
    <w:basedOn w:val="Normal"/>
    <w:next w:val="Normal"/>
    <w:rsid w:val="006F1400"/>
    <w:pPr>
      <w:autoSpaceDE w:val="0"/>
      <w:autoSpaceDN w:val="0"/>
      <w:adjustRightInd w:val="0"/>
    </w:pPr>
    <w:rPr>
      <w:rFonts w:ascii="EUAlbertina" w:hAnsi="EUAlbertina" w:cs="EUAlbertina"/>
    </w:rPr>
  </w:style>
  <w:style w:type="paragraph" w:customStyle="1" w:styleId="xl73">
    <w:name w:val="xl73"/>
    <w:basedOn w:val="Normal"/>
    <w:rsid w:val="006F1400"/>
    <w:pPr>
      <w:shd w:val="clear" w:color="auto" w:fill="C0C0C0"/>
      <w:spacing w:before="100" w:beforeAutospacing="1" w:after="100" w:afterAutospacing="1"/>
      <w:textAlignment w:val="top"/>
    </w:pPr>
    <w:rPr>
      <w:rFonts w:ascii="Calibri" w:hAnsi="Calibri" w:cs="Calibri"/>
      <w:b/>
      <w:bCs/>
      <w:sz w:val="28"/>
      <w:szCs w:val="28"/>
      <w:lang w:val="en-US"/>
    </w:rPr>
  </w:style>
  <w:style w:type="paragraph" w:customStyle="1" w:styleId="BalloonText1">
    <w:name w:val="Balloon Text1"/>
    <w:basedOn w:val="Normal"/>
    <w:semiHidden/>
    <w:rsid w:val="006F1400"/>
    <w:rPr>
      <w:rFonts w:ascii="Tahoma" w:hAnsi="Tahoma" w:cs="Tahoma"/>
      <w:sz w:val="16"/>
      <w:szCs w:val="16"/>
      <w:lang w:val="fr-FR" w:eastAsia="fr-FR"/>
    </w:rPr>
  </w:style>
  <w:style w:type="paragraph" w:styleId="TOC4">
    <w:name w:val="toc 4"/>
    <w:basedOn w:val="Normal"/>
    <w:next w:val="Normal"/>
    <w:uiPriority w:val="39"/>
    <w:rsid w:val="006F1400"/>
    <w:pPr>
      <w:ind w:left="720"/>
    </w:pPr>
    <w:rPr>
      <w:lang w:val="fr-FR" w:eastAsia="fr-FR"/>
    </w:rPr>
  </w:style>
  <w:style w:type="paragraph" w:styleId="HTMLPreformatted">
    <w:name w:val="HTML Preformatted"/>
    <w:basedOn w:val="Normal"/>
    <w:link w:val="HTMLPreformattedChar"/>
    <w:rsid w:val="006F1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fr-FR" w:eastAsia="fr-FR"/>
    </w:rPr>
  </w:style>
  <w:style w:type="character" w:customStyle="1" w:styleId="HTMLPreformattedChar1">
    <w:name w:val="HTML Preformatted Char1"/>
    <w:basedOn w:val="DefaultParagraphFont"/>
    <w:uiPriority w:val="99"/>
    <w:semiHidden/>
    <w:rsid w:val="006F1400"/>
    <w:rPr>
      <w:rFonts w:ascii="Consolas" w:eastAsia="Times New Roman" w:hAnsi="Consolas" w:cs="Consolas"/>
      <w:sz w:val="20"/>
      <w:szCs w:val="20"/>
      <w:lang w:val="ro-RO"/>
    </w:rPr>
  </w:style>
  <w:style w:type="paragraph" w:styleId="TOC6">
    <w:name w:val="toc 6"/>
    <w:basedOn w:val="Normal"/>
    <w:next w:val="Normal"/>
    <w:uiPriority w:val="39"/>
    <w:rsid w:val="006F1400"/>
    <w:pPr>
      <w:spacing w:after="100" w:line="276" w:lineRule="auto"/>
      <w:ind w:left="1100"/>
    </w:pPr>
    <w:rPr>
      <w:rFonts w:ascii="Calibri" w:hAnsi="Calibri" w:cs="Calibri"/>
      <w:sz w:val="22"/>
      <w:szCs w:val="22"/>
      <w:lang w:eastAsia="ro-RO"/>
    </w:rPr>
  </w:style>
  <w:style w:type="paragraph" w:styleId="NormalIndent">
    <w:name w:val="Normal Indent"/>
    <w:basedOn w:val="Normal"/>
    <w:uiPriority w:val="99"/>
    <w:rsid w:val="006F1400"/>
    <w:pPr>
      <w:spacing w:line="360" w:lineRule="auto"/>
      <w:ind w:firstLine="720"/>
      <w:jc w:val="both"/>
    </w:pPr>
    <w:rPr>
      <w:rFonts w:ascii="rom Times New Roman" w:hAnsi="rom Times New Roman" w:cs="rom Times New Roman"/>
      <w:sz w:val="28"/>
      <w:szCs w:val="28"/>
      <w:lang w:val="en-US"/>
    </w:rPr>
  </w:style>
  <w:style w:type="paragraph" w:styleId="TOC5">
    <w:name w:val="toc 5"/>
    <w:basedOn w:val="Normal"/>
    <w:next w:val="Normal"/>
    <w:uiPriority w:val="39"/>
    <w:rsid w:val="006F1400"/>
    <w:pPr>
      <w:spacing w:after="100" w:line="276" w:lineRule="auto"/>
      <w:ind w:left="880"/>
    </w:pPr>
    <w:rPr>
      <w:rFonts w:ascii="Calibri" w:hAnsi="Calibri" w:cs="Calibri"/>
      <w:sz w:val="22"/>
      <w:szCs w:val="22"/>
      <w:lang w:eastAsia="ro-RO"/>
    </w:rPr>
  </w:style>
  <w:style w:type="paragraph" w:styleId="TOC3">
    <w:name w:val="toc 3"/>
    <w:basedOn w:val="Normal"/>
    <w:next w:val="Normal"/>
    <w:uiPriority w:val="39"/>
    <w:qFormat/>
    <w:rsid w:val="006F1400"/>
    <w:pPr>
      <w:ind w:left="480"/>
    </w:pPr>
    <w:rPr>
      <w:lang w:val="fr-FR" w:eastAsia="fr-FR"/>
    </w:rPr>
  </w:style>
  <w:style w:type="paragraph" w:styleId="TOC7">
    <w:name w:val="toc 7"/>
    <w:basedOn w:val="Normal"/>
    <w:next w:val="Normal"/>
    <w:uiPriority w:val="39"/>
    <w:rsid w:val="006F1400"/>
    <w:pPr>
      <w:spacing w:after="100" w:line="276" w:lineRule="auto"/>
      <w:ind w:left="1320"/>
    </w:pPr>
    <w:rPr>
      <w:rFonts w:ascii="Calibri" w:hAnsi="Calibri" w:cs="Calibri"/>
      <w:sz w:val="22"/>
      <w:szCs w:val="22"/>
      <w:lang w:eastAsia="ro-RO"/>
    </w:rPr>
  </w:style>
  <w:style w:type="paragraph" w:styleId="TOC8">
    <w:name w:val="toc 8"/>
    <w:basedOn w:val="Normal"/>
    <w:next w:val="Normal"/>
    <w:uiPriority w:val="39"/>
    <w:rsid w:val="006F1400"/>
    <w:pPr>
      <w:spacing w:after="100" w:line="276" w:lineRule="auto"/>
      <w:ind w:left="1540"/>
    </w:pPr>
    <w:rPr>
      <w:rFonts w:ascii="Calibri" w:hAnsi="Calibri" w:cs="Calibri"/>
      <w:sz w:val="22"/>
      <w:szCs w:val="22"/>
      <w:lang w:eastAsia="ro-RO"/>
    </w:rPr>
  </w:style>
  <w:style w:type="paragraph" w:styleId="TOC9">
    <w:name w:val="toc 9"/>
    <w:basedOn w:val="Normal"/>
    <w:next w:val="Normal"/>
    <w:uiPriority w:val="39"/>
    <w:rsid w:val="006F1400"/>
    <w:pPr>
      <w:spacing w:after="100" w:line="276" w:lineRule="auto"/>
      <w:ind w:left="1760"/>
    </w:pPr>
    <w:rPr>
      <w:rFonts w:ascii="Calibri" w:hAnsi="Calibri" w:cs="Calibri"/>
      <w:sz w:val="22"/>
      <w:szCs w:val="22"/>
      <w:lang w:eastAsia="ro-RO"/>
    </w:rPr>
  </w:style>
  <w:style w:type="paragraph" w:customStyle="1" w:styleId="CM3">
    <w:name w:val="CM3"/>
    <w:basedOn w:val="Normal"/>
    <w:next w:val="Normal"/>
    <w:rsid w:val="006F1400"/>
    <w:pPr>
      <w:autoSpaceDE w:val="0"/>
      <w:autoSpaceDN w:val="0"/>
      <w:adjustRightInd w:val="0"/>
    </w:pPr>
    <w:rPr>
      <w:rFonts w:ascii="EUAlbertina" w:hAnsi="EUAlbertina" w:cs="EUAlbertina"/>
    </w:rPr>
  </w:style>
  <w:style w:type="paragraph" w:customStyle="1" w:styleId="CM4">
    <w:name w:val="CM4"/>
    <w:basedOn w:val="Normal"/>
    <w:next w:val="Normal"/>
    <w:rsid w:val="006F1400"/>
    <w:pPr>
      <w:autoSpaceDE w:val="0"/>
      <w:autoSpaceDN w:val="0"/>
      <w:adjustRightInd w:val="0"/>
    </w:pPr>
    <w:rPr>
      <w:rFonts w:ascii="EUAlbertina" w:hAnsi="EUAlbertina" w:cs="EUAlbertina"/>
    </w:rPr>
  </w:style>
  <w:style w:type="paragraph" w:customStyle="1" w:styleId="Style6">
    <w:name w:val="Style6"/>
    <w:basedOn w:val="Normal"/>
    <w:rsid w:val="006F1400"/>
    <w:pPr>
      <w:widowControl w:val="0"/>
      <w:autoSpaceDE w:val="0"/>
      <w:autoSpaceDN w:val="0"/>
      <w:adjustRightInd w:val="0"/>
      <w:spacing w:line="276" w:lineRule="auto"/>
      <w:jc w:val="both"/>
    </w:pPr>
    <w:rPr>
      <w:rFonts w:ascii="Arial" w:hAnsi="Arial" w:cs="Arial"/>
      <w:lang w:eastAsia="ro-RO"/>
    </w:rPr>
  </w:style>
  <w:style w:type="paragraph" w:customStyle="1" w:styleId="font5">
    <w:name w:val="font5"/>
    <w:basedOn w:val="Normal"/>
    <w:rsid w:val="006F1400"/>
    <w:pPr>
      <w:spacing w:before="100" w:beforeAutospacing="1" w:after="100" w:afterAutospacing="1"/>
    </w:pPr>
    <w:rPr>
      <w:b/>
      <w:bCs/>
      <w:color w:val="000000"/>
      <w:lang w:val="en-US"/>
    </w:rPr>
  </w:style>
  <w:style w:type="paragraph" w:customStyle="1" w:styleId="font6">
    <w:name w:val="font6"/>
    <w:basedOn w:val="Normal"/>
    <w:rsid w:val="006F1400"/>
    <w:pPr>
      <w:spacing w:before="100" w:beforeAutospacing="1" w:after="100" w:afterAutospacing="1"/>
    </w:pPr>
    <w:rPr>
      <w:color w:val="000000"/>
      <w:lang w:val="en-US"/>
    </w:rPr>
  </w:style>
  <w:style w:type="paragraph" w:customStyle="1" w:styleId="font7">
    <w:name w:val="font7"/>
    <w:basedOn w:val="Normal"/>
    <w:rsid w:val="006F1400"/>
    <w:pPr>
      <w:spacing w:before="100" w:beforeAutospacing="1" w:after="100" w:afterAutospacing="1"/>
    </w:pPr>
    <w:rPr>
      <w:i/>
      <w:iCs/>
      <w:color w:val="000000"/>
      <w:lang w:val="en-US"/>
    </w:rPr>
  </w:style>
  <w:style w:type="paragraph" w:customStyle="1" w:styleId="xl68">
    <w:name w:val="xl68"/>
    <w:basedOn w:val="Normal"/>
    <w:rsid w:val="006F1400"/>
    <w:pPr>
      <w:spacing w:before="100" w:beforeAutospacing="1" w:after="100" w:afterAutospacing="1"/>
      <w:textAlignment w:val="top"/>
    </w:pPr>
    <w:rPr>
      <w:rFonts w:ascii="Calibri" w:hAnsi="Calibri" w:cs="Calibri"/>
      <w:b/>
      <w:bCs/>
      <w:sz w:val="28"/>
      <w:szCs w:val="28"/>
      <w:lang w:val="en-US"/>
    </w:rPr>
  </w:style>
  <w:style w:type="paragraph" w:customStyle="1" w:styleId="xl69">
    <w:name w:val="xl69"/>
    <w:basedOn w:val="Normal"/>
    <w:rsid w:val="006F1400"/>
    <w:pPr>
      <w:spacing w:before="100" w:beforeAutospacing="1" w:after="100" w:afterAutospacing="1"/>
      <w:textAlignment w:val="top"/>
    </w:pPr>
    <w:rPr>
      <w:lang w:val="en-US"/>
    </w:rPr>
  </w:style>
  <w:style w:type="paragraph" w:customStyle="1" w:styleId="xl70">
    <w:name w:val="xl70"/>
    <w:basedOn w:val="Normal"/>
    <w:rsid w:val="006F1400"/>
    <w:pPr>
      <w:spacing w:before="100" w:beforeAutospacing="1" w:after="100" w:afterAutospacing="1"/>
      <w:textAlignment w:val="top"/>
    </w:pPr>
    <w:rPr>
      <w:b/>
      <w:bCs/>
      <w:lang w:val="en-US"/>
    </w:rPr>
  </w:style>
  <w:style w:type="paragraph" w:customStyle="1" w:styleId="xl71">
    <w:name w:val="xl71"/>
    <w:basedOn w:val="Normal"/>
    <w:rsid w:val="006F1400"/>
    <w:pPr>
      <w:spacing w:before="100" w:beforeAutospacing="1" w:after="100" w:afterAutospacing="1"/>
      <w:textAlignment w:val="top"/>
    </w:pPr>
    <w:rPr>
      <w:b/>
      <w:bCs/>
      <w:lang w:val="en-US"/>
    </w:rPr>
  </w:style>
  <w:style w:type="paragraph" w:customStyle="1" w:styleId="xl72">
    <w:name w:val="xl72"/>
    <w:basedOn w:val="Normal"/>
    <w:rsid w:val="006F1400"/>
    <w:pPr>
      <w:spacing w:before="100" w:beforeAutospacing="1" w:after="100" w:afterAutospacing="1"/>
    </w:pPr>
    <w:rPr>
      <w:b/>
      <w:bCs/>
      <w:lang w:val="en-US"/>
    </w:rPr>
  </w:style>
  <w:style w:type="paragraph" w:customStyle="1" w:styleId="ManualHeading1">
    <w:name w:val="Manual Heading 1"/>
    <w:basedOn w:val="Normal"/>
    <w:next w:val="Normal"/>
    <w:rsid w:val="006F1400"/>
    <w:pPr>
      <w:keepNext/>
      <w:tabs>
        <w:tab w:val="left" w:pos="850"/>
      </w:tabs>
      <w:spacing w:before="360" w:after="120"/>
      <w:ind w:left="850" w:hanging="850"/>
      <w:jc w:val="both"/>
      <w:outlineLvl w:val="0"/>
    </w:pPr>
    <w:rPr>
      <w:b/>
      <w:smallCaps/>
      <w:lang w:eastAsia="ro-RO" w:bidi="ro-RO"/>
    </w:rPr>
  </w:style>
  <w:style w:type="table" w:customStyle="1" w:styleId="LightList-Accent52">
    <w:name w:val="Light List - Accent 52"/>
    <w:basedOn w:val="TableNormal"/>
    <w:next w:val="LightList-Accent5"/>
    <w:uiPriority w:val="61"/>
    <w:rsid w:val="006F1400"/>
    <w:pPr>
      <w:spacing w:after="0" w:line="240" w:lineRule="auto"/>
    </w:pPr>
    <w:rPr>
      <w:rFonts w:ascii="Calibri" w:eastAsia="Calibri" w:hAnsi="Calibri" w:cs="Times New Roman"/>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5">
    <w:name w:val="Light List Accent 5"/>
    <w:basedOn w:val="TableNormal"/>
    <w:uiPriority w:val="61"/>
    <w:rsid w:val="006F1400"/>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paragraph" w:styleId="List">
    <w:name w:val="List"/>
    <w:basedOn w:val="Normal"/>
    <w:uiPriority w:val="99"/>
    <w:rsid w:val="006F1400"/>
    <w:pPr>
      <w:ind w:left="283" w:hanging="283"/>
    </w:pPr>
    <w:rPr>
      <w:lang w:val="en-GB"/>
    </w:rPr>
  </w:style>
  <w:style w:type="character" w:customStyle="1" w:styleId="atn">
    <w:name w:val="atn"/>
    <w:rsid w:val="006F1400"/>
  </w:style>
  <w:style w:type="paragraph" w:customStyle="1" w:styleId="bodytext0">
    <w:name w:val="bodytext"/>
    <w:basedOn w:val="Normal"/>
    <w:uiPriority w:val="99"/>
    <w:rsid w:val="006F1400"/>
    <w:pPr>
      <w:spacing w:before="100" w:beforeAutospacing="1" w:after="100" w:afterAutospacing="1"/>
    </w:pPr>
    <w:rPr>
      <w:rFonts w:eastAsia="SimSun"/>
      <w:color w:val="000000"/>
      <w:lang w:val="en-US" w:eastAsia="zh-CN"/>
    </w:rPr>
  </w:style>
  <w:style w:type="paragraph" w:styleId="PlainText">
    <w:name w:val="Plain Text"/>
    <w:basedOn w:val="Normal"/>
    <w:link w:val="PlainTextChar"/>
    <w:uiPriority w:val="99"/>
    <w:rsid w:val="006F1400"/>
    <w:rPr>
      <w:rFonts w:ascii="Courier New" w:hAnsi="Courier New"/>
      <w:sz w:val="20"/>
      <w:szCs w:val="20"/>
      <w:lang w:val="x-none" w:eastAsia="x-none"/>
    </w:rPr>
  </w:style>
  <w:style w:type="character" w:customStyle="1" w:styleId="PlainTextChar">
    <w:name w:val="Plain Text Char"/>
    <w:basedOn w:val="DefaultParagraphFont"/>
    <w:link w:val="PlainText"/>
    <w:uiPriority w:val="99"/>
    <w:rsid w:val="006F1400"/>
    <w:rPr>
      <w:rFonts w:ascii="Courier New" w:eastAsia="Times New Roman" w:hAnsi="Courier New" w:cs="Times New Roman"/>
      <w:sz w:val="20"/>
      <w:szCs w:val="20"/>
      <w:lang w:val="x-none" w:eastAsia="x-none"/>
    </w:rPr>
  </w:style>
  <w:style w:type="table" w:customStyle="1" w:styleId="TableGrid5">
    <w:name w:val="Table Grid5"/>
    <w:basedOn w:val="TableNormal"/>
    <w:next w:val="TableGrid"/>
    <w:uiPriority w:val="39"/>
    <w:rsid w:val="006F140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99"/>
    <w:qFormat/>
    <w:rsid w:val="006F1400"/>
    <w:pPr>
      <w:ind w:left="3600" w:hanging="3600"/>
      <w:jc w:val="center"/>
    </w:pPr>
    <w:rPr>
      <w:szCs w:val="20"/>
      <w:lang w:val="en-US"/>
    </w:rPr>
  </w:style>
  <w:style w:type="character" w:customStyle="1" w:styleId="TitleChar">
    <w:name w:val="Title Char"/>
    <w:basedOn w:val="DefaultParagraphFont"/>
    <w:link w:val="Title"/>
    <w:uiPriority w:val="99"/>
    <w:rsid w:val="006F1400"/>
    <w:rPr>
      <w:rFonts w:ascii="Times New Roman" w:eastAsia="Times New Roman" w:hAnsi="Times New Roman" w:cs="Times New Roman"/>
      <w:sz w:val="24"/>
      <w:szCs w:val="20"/>
    </w:rPr>
  </w:style>
  <w:style w:type="paragraph" w:styleId="Subtitle">
    <w:name w:val="Subtitle"/>
    <w:basedOn w:val="Normal"/>
    <w:link w:val="SubtitleChar"/>
    <w:uiPriority w:val="99"/>
    <w:qFormat/>
    <w:rsid w:val="006F1400"/>
    <w:pPr>
      <w:jc w:val="center"/>
    </w:pPr>
    <w:rPr>
      <w:b/>
      <w:szCs w:val="20"/>
    </w:rPr>
  </w:style>
  <w:style w:type="character" w:customStyle="1" w:styleId="SubtitleChar">
    <w:name w:val="Subtitle Char"/>
    <w:basedOn w:val="DefaultParagraphFont"/>
    <w:link w:val="Subtitle"/>
    <w:uiPriority w:val="99"/>
    <w:rsid w:val="006F1400"/>
    <w:rPr>
      <w:rFonts w:ascii="Times New Roman" w:eastAsia="Times New Roman" w:hAnsi="Times New Roman" w:cs="Times New Roman"/>
      <w:b/>
      <w:sz w:val="24"/>
      <w:szCs w:val="20"/>
      <w:lang w:val="ro-RO"/>
    </w:rPr>
  </w:style>
  <w:style w:type="paragraph" w:customStyle="1" w:styleId="CaracterCaracterCharCaracterCaracter">
    <w:name w:val="Caracter Caracter Char Caracter Caracter"/>
    <w:basedOn w:val="Normal"/>
    <w:uiPriority w:val="99"/>
    <w:rsid w:val="006F1400"/>
    <w:rPr>
      <w:lang w:val="pl-PL" w:eastAsia="pl-PL"/>
    </w:rPr>
  </w:style>
  <w:style w:type="paragraph" w:customStyle="1" w:styleId="msonospacing0">
    <w:name w:val="msonospacing"/>
    <w:basedOn w:val="Normal"/>
    <w:uiPriority w:val="99"/>
    <w:rsid w:val="006F1400"/>
    <w:rPr>
      <w:lang w:val="en-US"/>
    </w:rPr>
  </w:style>
  <w:style w:type="character" w:customStyle="1" w:styleId="st">
    <w:name w:val="st"/>
    <w:rsid w:val="006F1400"/>
  </w:style>
  <w:style w:type="table" w:styleId="LightShading">
    <w:name w:val="Light Shading"/>
    <w:basedOn w:val="TableNormal"/>
    <w:uiPriority w:val="60"/>
    <w:rsid w:val="006F140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MediumGrid2">
    <w:name w:val="Medium Grid 2"/>
    <w:basedOn w:val="TableNormal"/>
    <w:uiPriority w:val="68"/>
    <w:rsid w:val="006F140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rsid w:val="006F140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List1">
    <w:name w:val="Medium List 1"/>
    <w:basedOn w:val="TableNormal"/>
    <w:uiPriority w:val="65"/>
    <w:rsid w:val="006F140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ghtList-Accent51">
    <w:name w:val="Light List - Accent 51"/>
    <w:basedOn w:val="TableNormal"/>
    <w:next w:val="LightList-Accent5"/>
    <w:uiPriority w:val="61"/>
    <w:rsid w:val="006F1400"/>
    <w:pPr>
      <w:spacing w:after="0" w:line="240" w:lineRule="auto"/>
    </w:pPr>
    <w:rPr>
      <w:rFonts w:ascii="Calibri" w:eastAsia="Calibri" w:hAnsi="Calibri" w:cs="Times New Roman"/>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11">
    <w:name w:val="No List111"/>
    <w:next w:val="NoList"/>
    <w:uiPriority w:val="99"/>
    <w:semiHidden/>
    <w:unhideWhenUsed/>
    <w:rsid w:val="006F1400"/>
  </w:style>
  <w:style w:type="table" w:customStyle="1" w:styleId="LightShading1">
    <w:name w:val="Light Shading1"/>
    <w:basedOn w:val="TableNormal"/>
    <w:uiPriority w:val="60"/>
    <w:rsid w:val="006F140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Grid21">
    <w:name w:val="Medium Grid 21"/>
    <w:basedOn w:val="TableNormal"/>
    <w:uiPriority w:val="68"/>
    <w:rsid w:val="006F140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1">
    <w:name w:val="Medium Grid 2 - Accent 11"/>
    <w:basedOn w:val="TableNormal"/>
    <w:next w:val="MediumGrid2-Accent1"/>
    <w:uiPriority w:val="68"/>
    <w:rsid w:val="006F140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11">
    <w:name w:val="Medium List 11"/>
    <w:basedOn w:val="TableNormal"/>
    <w:uiPriority w:val="65"/>
    <w:rsid w:val="006F140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Gungsuh" w:eastAsia="Times New Roman" w:hAnsi="@Gungsuh"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ghtList-Accent511">
    <w:name w:val="Light List - Accent 511"/>
    <w:basedOn w:val="TableNormal"/>
    <w:next w:val="LightList-Accent5"/>
    <w:uiPriority w:val="61"/>
    <w:rsid w:val="006F1400"/>
    <w:pPr>
      <w:spacing w:after="0" w:line="240" w:lineRule="auto"/>
    </w:pPr>
    <w:rPr>
      <w:rFonts w:ascii="Calibri" w:eastAsia="Calibri" w:hAnsi="Calibri" w:cs="Times New Roman"/>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11">
    <w:name w:val="Table Grid11"/>
    <w:basedOn w:val="TableNormal"/>
    <w:next w:val="TableGrid"/>
    <w:uiPriority w:val="39"/>
    <w:rsid w:val="006F140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6F1400"/>
    <w:pPr>
      <w:spacing w:after="200" w:line="276" w:lineRule="auto"/>
    </w:pPr>
    <w:rPr>
      <w:rFonts w:ascii="Rockwell" w:eastAsia="Rockwell" w:hAnsi="Rockwell"/>
      <w:i/>
      <w:iCs/>
      <w:color w:val="000000"/>
      <w:sz w:val="22"/>
      <w:szCs w:val="22"/>
      <w:lang w:val="en-US"/>
    </w:rPr>
  </w:style>
  <w:style w:type="character" w:customStyle="1" w:styleId="QuoteChar">
    <w:name w:val="Quote Char"/>
    <w:basedOn w:val="DefaultParagraphFont"/>
    <w:link w:val="Quote"/>
    <w:uiPriority w:val="29"/>
    <w:rsid w:val="006F1400"/>
    <w:rPr>
      <w:rFonts w:ascii="Rockwell" w:eastAsia="Rockwell" w:hAnsi="Rockwell" w:cs="Times New Roman"/>
      <w:i/>
      <w:iCs/>
      <w:color w:val="000000"/>
    </w:rPr>
  </w:style>
  <w:style w:type="paragraph" w:styleId="IntenseQuote">
    <w:name w:val="Intense Quote"/>
    <w:basedOn w:val="Normal"/>
    <w:next w:val="Normal"/>
    <w:link w:val="IntenseQuoteChar"/>
    <w:uiPriority w:val="30"/>
    <w:qFormat/>
    <w:rsid w:val="006F1400"/>
    <w:pPr>
      <w:pBdr>
        <w:bottom w:val="single" w:sz="4" w:space="4" w:color="0F6FC6"/>
      </w:pBdr>
      <w:spacing w:before="200" w:after="280" w:line="276" w:lineRule="auto"/>
      <w:ind w:left="936" w:right="936"/>
    </w:pPr>
    <w:rPr>
      <w:rFonts w:ascii="Rockwell" w:eastAsia="Rockwell" w:hAnsi="Rockwell"/>
      <w:b/>
      <w:bCs/>
      <w:i/>
      <w:iCs/>
      <w:color w:val="0F6FC6"/>
      <w:sz w:val="22"/>
      <w:szCs w:val="22"/>
      <w:lang w:val="en-US"/>
    </w:rPr>
  </w:style>
  <w:style w:type="character" w:customStyle="1" w:styleId="IntenseQuoteChar">
    <w:name w:val="Intense Quote Char"/>
    <w:basedOn w:val="DefaultParagraphFont"/>
    <w:link w:val="IntenseQuote"/>
    <w:uiPriority w:val="30"/>
    <w:rsid w:val="006F1400"/>
    <w:rPr>
      <w:rFonts w:ascii="Rockwell" w:eastAsia="Rockwell" w:hAnsi="Rockwell" w:cs="Times New Roman"/>
      <w:b/>
      <w:bCs/>
      <w:i/>
      <w:iCs/>
      <w:color w:val="0F6FC6"/>
    </w:rPr>
  </w:style>
  <w:style w:type="character" w:styleId="IntenseEmphasis">
    <w:name w:val="Intense Emphasis"/>
    <w:uiPriority w:val="21"/>
    <w:qFormat/>
    <w:rsid w:val="006F1400"/>
    <w:rPr>
      <w:b/>
      <w:bCs/>
      <w:i/>
      <w:iCs/>
      <w:color w:val="0F6FC6"/>
    </w:rPr>
  </w:style>
  <w:style w:type="character" w:styleId="SubtleReference">
    <w:name w:val="Subtle Reference"/>
    <w:uiPriority w:val="31"/>
    <w:qFormat/>
    <w:rsid w:val="006F1400"/>
    <w:rPr>
      <w:smallCaps/>
      <w:color w:val="009DD9"/>
      <w:u w:val="single"/>
    </w:rPr>
  </w:style>
  <w:style w:type="character" w:styleId="IntenseReference">
    <w:name w:val="Intense Reference"/>
    <w:uiPriority w:val="32"/>
    <w:qFormat/>
    <w:rsid w:val="006F1400"/>
    <w:rPr>
      <w:b/>
      <w:bCs/>
      <w:smallCaps/>
      <w:color w:val="009DD9"/>
      <w:spacing w:val="5"/>
      <w:u w:val="single"/>
    </w:rPr>
  </w:style>
  <w:style w:type="character" w:styleId="BookTitle">
    <w:name w:val="Book Title"/>
    <w:uiPriority w:val="33"/>
    <w:qFormat/>
    <w:rsid w:val="006F1400"/>
    <w:rPr>
      <w:b/>
      <w:bCs/>
      <w:smallCaps/>
      <w:spacing w:val="5"/>
    </w:rPr>
  </w:style>
  <w:style w:type="table" w:customStyle="1" w:styleId="TableGrid21">
    <w:name w:val="Table Grid21"/>
    <w:basedOn w:val="TableNormal"/>
    <w:next w:val="TableGrid"/>
    <w:uiPriority w:val="99"/>
    <w:rsid w:val="006F140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
    <w:name w:val="Light Shading2"/>
    <w:basedOn w:val="TableNormal"/>
    <w:next w:val="LightShading"/>
    <w:uiPriority w:val="60"/>
    <w:rsid w:val="006F140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Grid22">
    <w:name w:val="Medium Grid 22"/>
    <w:basedOn w:val="TableNormal"/>
    <w:next w:val="MediumGrid2"/>
    <w:uiPriority w:val="68"/>
    <w:rsid w:val="006F140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2">
    <w:name w:val="Medium Grid 2 - Accent 12"/>
    <w:basedOn w:val="TableNormal"/>
    <w:next w:val="MediumGrid2-Accent1"/>
    <w:uiPriority w:val="68"/>
    <w:rsid w:val="006F140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List12">
    <w:name w:val="Medium List 12"/>
    <w:basedOn w:val="TableNormal"/>
    <w:next w:val="MediumList1"/>
    <w:uiPriority w:val="65"/>
    <w:rsid w:val="006F140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character" w:customStyle="1" w:styleId="sciname">
    <w:name w:val="sciname"/>
    <w:rsid w:val="006F1400"/>
  </w:style>
  <w:style w:type="character" w:customStyle="1" w:styleId="sheader6">
    <w:name w:val="sheader6"/>
    <w:rsid w:val="006F1400"/>
  </w:style>
  <w:style w:type="table" w:customStyle="1" w:styleId="TableGrid51">
    <w:name w:val="Table Grid51"/>
    <w:basedOn w:val="TableNormal"/>
    <w:next w:val="TableGrid"/>
    <w:uiPriority w:val="39"/>
    <w:rsid w:val="006F140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6F140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987BF0"/>
  </w:style>
  <w:style w:type="numbering" w:customStyle="1" w:styleId="NoList6">
    <w:name w:val="No List6"/>
    <w:next w:val="NoList"/>
    <w:uiPriority w:val="99"/>
    <w:semiHidden/>
    <w:unhideWhenUsed/>
    <w:rsid w:val="007D2E1E"/>
  </w:style>
  <w:style w:type="numbering" w:customStyle="1" w:styleId="NoList7">
    <w:name w:val="No List7"/>
    <w:next w:val="NoList"/>
    <w:uiPriority w:val="99"/>
    <w:semiHidden/>
    <w:unhideWhenUsed/>
    <w:rsid w:val="00F82FF8"/>
  </w:style>
  <w:style w:type="numbering" w:customStyle="1" w:styleId="NoList8">
    <w:name w:val="No List8"/>
    <w:next w:val="NoList"/>
    <w:uiPriority w:val="99"/>
    <w:semiHidden/>
    <w:unhideWhenUsed/>
    <w:rsid w:val="00825962"/>
  </w:style>
  <w:style w:type="numbering" w:customStyle="1" w:styleId="NoList9">
    <w:name w:val="No List9"/>
    <w:next w:val="NoList"/>
    <w:uiPriority w:val="99"/>
    <w:semiHidden/>
    <w:unhideWhenUsed/>
    <w:rsid w:val="00E13976"/>
  </w:style>
  <w:style w:type="numbering" w:customStyle="1" w:styleId="NoList10">
    <w:name w:val="No List10"/>
    <w:next w:val="NoList"/>
    <w:uiPriority w:val="99"/>
    <w:semiHidden/>
    <w:unhideWhenUsed/>
    <w:rsid w:val="00495DCA"/>
  </w:style>
  <w:style w:type="numbering" w:customStyle="1" w:styleId="NoList12">
    <w:name w:val="No List12"/>
    <w:next w:val="NoList"/>
    <w:uiPriority w:val="99"/>
    <w:semiHidden/>
    <w:unhideWhenUsed/>
    <w:rsid w:val="00F71081"/>
  </w:style>
  <w:style w:type="paragraph" w:customStyle="1" w:styleId="OTCap">
    <w:name w:val="OT_Cap"/>
    <w:basedOn w:val="Heading1"/>
    <w:next w:val="Normal"/>
    <w:uiPriority w:val="99"/>
    <w:rsid w:val="002D3A9D"/>
    <w:pPr>
      <w:keepLines w:val="0"/>
      <w:numPr>
        <w:numId w:val="147"/>
      </w:numPr>
      <w:suppressAutoHyphens/>
      <w:autoSpaceDE/>
      <w:autoSpaceDN/>
      <w:adjustRightInd/>
      <w:spacing w:before="360" w:after="240" w:line="360" w:lineRule="auto"/>
      <w:ind w:left="843" w:hanging="360"/>
      <w:jc w:val="both"/>
    </w:pPr>
    <w:rPr>
      <w:rFonts w:ascii="Times New Roman Bold" w:eastAsia="SimSun" w:hAnsi="Times New Roman Bold" w:cs="Times New Roman"/>
      <w:caps/>
      <w:color w:val="auto"/>
      <w:kern w:val="28"/>
      <w:szCs w:val="24"/>
      <w:lang w:val="ro-RO" w:eastAsia="de-DE"/>
    </w:rPr>
  </w:style>
  <w:style w:type="paragraph" w:customStyle="1" w:styleId="OTSSubCap">
    <w:name w:val="OT_SSubCap"/>
    <w:basedOn w:val="Heading3"/>
    <w:next w:val="Normal"/>
    <w:uiPriority w:val="99"/>
    <w:rsid w:val="002D3A9D"/>
    <w:pPr>
      <w:keepLines w:val="0"/>
      <w:widowControl/>
      <w:numPr>
        <w:ilvl w:val="2"/>
        <w:numId w:val="147"/>
      </w:numPr>
      <w:autoSpaceDE/>
      <w:autoSpaceDN/>
      <w:adjustRightInd/>
      <w:spacing w:before="240" w:after="200" w:line="360" w:lineRule="auto"/>
      <w:ind w:left="2283" w:hanging="360"/>
      <w:jc w:val="both"/>
    </w:pPr>
    <w:rPr>
      <w:rFonts w:ascii="Times New Roman Bold" w:eastAsia="Times New Roman" w:hAnsi="Times New Roman Bold" w:cs="Times New Roman"/>
      <w:color w:val="auto"/>
      <w:sz w:val="20"/>
      <w:szCs w:val="26"/>
      <w:lang w:val="ro-RO" w:eastAsia="ja-JP"/>
    </w:rPr>
  </w:style>
  <w:style w:type="paragraph" w:customStyle="1" w:styleId="OTSubCap">
    <w:name w:val="OT_SubCap"/>
    <w:basedOn w:val="Heading2"/>
    <w:next w:val="Normal"/>
    <w:link w:val="OTSubCapChar"/>
    <w:uiPriority w:val="99"/>
    <w:rsid w:val="002D3A9D"/>
    <w:pPr>
      <w:keepNext/>
      <w:numPr>
        <w:ilvl w:val="1"/>
        <w:numId w:val="147"/>
      </w:numPr>
      <w:spacing w:before="240" w:beforeAutospacing="0" w:after="200" w:afterAutospacing="0" w:line="360" w:lineRule="auto"/>
      <w:jc w:val="both"/>
    </w:pPr>
    <w:rPr>
      <w:rFonts w:ascii="Times New Roman Bold" w:hAnsi="Times New Roman Bold"/>
      <w:i/>
      <w:iCs/>
      <w:sz w:val="24"/>
      <w:szCs w:val="28"/>
      <w:lang w:val="ro-RO" w:eastAsia="ja-JP"/>
    </w:rPr>
  </w:style>
  <w:style w:type="character" w:customStyle="1" w:styleId="OTSubCapChar">
    <w:name w:val="OT_SubCap Char"/>
    <w:link w:val="OTSubCap"/>
    <w:uiPriority w:val="99"/>
    <w:locked/>
    <w:rsid w:val="002D3A9D"/>
    <w:rPr>
      <w:rFonts w:ascii="Times New Roman Bold" w:eastAsia="Times New Roman" w:hAnsi="Times New Roman Bold" w:cs="Times New Roman"/>
      <w:b/>
      <w:bCs/>
      <w:i/>
      <w:iCs/>
      <w:sz w:val="24"/>
      <w:szCs w:val="28"/>
      <w:lang w:val="ro-RO" w:eastAsia="ja-JP"/>
    </w:rPr>
  </w:style>
  <w:style w:type="table" w:styleId="LightList-Accent1">
    <w:name w:val="Light List Accent 1"/>
    <w:basedOn w:val="TableNormal"/>
    <w:uiPriority w:val="61"/>
    <w:rsid w:val="002D3A9D"/>
    <w:pPr>
      <w:spacing w:after="0" w:line="240" w:lineRule="auto"/>
      <w:jc w:val="center"/>
    </w:pPr>
    <w:rPr>
      <w:rFonts w:ascii="Times New Roman" w:hAnsi="Times New Roman"/>
      <w:sz w:val="24"/>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character" w:customStyle="1" w:styleId="FootnoteTextChar2">
    <w:name w:val="Footnote Text Char2"/>
    <w:basedOn w:val="DefaultParagraphFont"/>
    <w:uiPriority w:val="99"/>
    <w:semiHidden/>
    <w:rsid w:val="002D3A9D"/>
    <w:rPr>
      <w:rFonts w:asciiTheme="minorHAnsi" w:hAnsiTheme="minorHAnsi"/>
      <w:sz w:val="20"/>
      <w:szCs w:val="20"/>
      <w:lang w:val="ro-RO"/>
    </w:rPr>
  </w:style>
  <w:style w:type="character" w:customStyle="1" w:styleId="CommentTextChar2">
    <w:name w:val="Comment Text Char2"/>
    <w:basedOn w:val="DefaultParagraphFont"/>
    <w:uiPriority w:val="99"/>
    <w:semiHidden/>
    <w:rsid w:val="002D3A9D"/>
    <w:rPr>
      <w:rFonts w:asciiTheme="minorHAnsi" w:hAnsiTheme="minorHAnsi"/>
      <w:sz w:val="20"/>
      <w:szCs w:val="20"/>
      <w:lang w:val="ro-RO"/>
    </w:rPr>
  </w:style>
  <w:style w:type="character" w:customStyle="1" w:styleId="BodyTextChar2">
    <w:name w:val="Body Text Char2"/>
    <w:basedOn w:val="DefaultParagraphFont"/>
    <w:uiPriority w:val="99"/>
    <w:semiHidden/>
    <w:rsid w:val="002D3A9D"/>
    <w:rPr>
      <w:rFonts w:asciiTheme="minorHAnsi" w:hAnsiTheme="minorHAnsi"/>
      <w:sz w:val="22"/>
      <w:lang w:val="ro-RO"/>
    </w:rPr>
  </w:style>
  <w:style w:type="character" w:customStyle="1" w:styleId="BodyTextIndentChar2">
    <w:name w:val="Body Text Indent Char2"/>
    <w:basedOn w:val="DefaultParagraphFont"/>
    <w:uiPriority w:val="99"/>
    <w:semiHidden/>
    <w:rsid w:val="002D3A9D"/>
    <w:rPr>
      <w:rFonts w:asciiTheme="minorHAnsi" w:hAnsiTheme="minorHAnsi"/>
      <w:sz w:val="22"/>
      <w:lang w:val="ro-RO"/>
    </w:rPr>
  </w:style>
  <w:style w:type="character" w:customStyle="1" w:styleId="CommentSubjectChar1">
    <w:name w:val="Comment Subject Char1"/>
    <w:basedOn w:val="CommentTextChar2"/>
    <w:uiPriority w:val="99"/>
    <w:semiHidden/>
    <w:rsid w:val="002D3A9D"/>
    <w:rPr>
      <w:rFonts w:asciiTheme="minorHAnsi" w:hAnsiTheme="minorHAnsi"/>
      <w:b/>
      <w:bCs/>
      <w:sz w:val="20"/>
      <w:szCs w:val="20"/>
      <w:lang w:val="ro-RO"/>
    </w:rPr>
  </w:style>
  <w:style w:type="table" w:customStyle="1" w:styleId="TableGrid31">
    <w:name w:val="Table Grid31"/>
    <w:basedOn w:val="TableNormal"/>
    <w:next w:val="TableGrid"/>
    <w:uiPriority w:val="59"/>
    <w:rsid w:val="002D3A9D"/>
    <w:pPr>
      <w:spacing w:after="0" w:line="240" w:lineRule="auto"/>
      <w:jc w:val="center"/>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2D3A9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2"/>
    <w:uiPriority w:val="42"/>
    <w:rsid w:val="002D3A9D"/>
    <w:pPr>
      <w:spacing w:after="0" w:line="240" w:lineRule="auto"/>
    </w:pPr>
    <w:rPr>
      <w:rFonts w:ascii="Times New Roman" w:eastAsia="Calibri" w:hAnsi="Times New Roman" w:cs="Times New Roman"/>
      <w:sz w:val="24"/>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2">
    <w:name w:val="Plain Table 22"/>
    <w:basedOn w:val="TableNormal"/>
    <w:uiPriority w:val="42"/>
    <w:rsid w:val="002D3A9D"/>
    <w:pPr>
      <w:spacing w:after="0" w:line="240" w:lineRule="auto"/>
    </w:pPr>
    <w:rPr>
      <w:rFonts w:ascii="Calibri" w:eastAsia="Calibri" w:hAnsi="Calibri"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21">
    <w:name w:val="No List21"/>
    <w:next w:val="NoList"/>
    <w:uiPriority w:val="99"/>
    <w:semiHidden/>
    <w:unhideWhenUsed/>
    <w:rsid w:val="002D3A9D"/>
  </w:style>
  <w:style w:type="table" w:styleId="LightShading-Accent1">
    <w:name w:val="Light Shading Accent 1"/>
    <w:basedOn w:val="TableNormal"/>
    <w:uiPriority w:val="60"/>
    <w:rsid w:val="002D3A9D"/>
    <w:pPr>
      <w:spacing w:after="0" w:line="240" w:lineRule="auto"/>
      <w:jc w:val="center"/>
    </w:pPr>
    <w:rPr>
      <w:rFonts w:ascii="Times New Roman" w:eastAsia="Calibri" w:hAnsi="Times New Roman" w:cs="Times New Roman"/>
      <w:color w:val="365F91"/>
      <w:sz w:val="24"/>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7">
    <w:name w:val="Table Grid7"/>
    <w:basedOn w:val="TableNormal"/>
    <w:next w:val="TableGrid"/>
    <w:uiPriority w:val="59"/>
    <w:rsid w:val="002D3A9D"/>
    <w:pPr>
      <w:spacing w:after="0" w:line="240" w:lineRule="auto"/>
      <w:jc w:val="center"/>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2D3A9D"/>
    <w:pPr>
      <w:spacing w:after="0" w:line="240" w:lineRule="auto"/>
      <w:jc w:val="center"/>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2D3A9D"/>
    <w:pPr>
      <w:spacing w:after="0" w:line="240" w:lineRule="auto"/>
      <w:jc w:val="center"/>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4B78DE"/>
  </w:style>
  <w:style w:type="paragraph" w:customStyle="1" w:styleId="Note2">
    <w:name w:val="Note 2 –"/>
    <w:basedOn w:val="Normal"/>
    <w:rsid w:val="004C3D75"/>
    <w:pPr>
      <w:numPr>
        <w:numId w:val="155"/>
      </w:numPr>
      <w:spacing w:after="60"/>
    </w:pPr>
    <w:rPr>
      <w:rFonts w:ascii="Arial" w:hAnsi="Arial"/>
      <w:sz w:val="22"/>
      <w:lang w:val="en-US"/>
    </w:rPr>
  </w:style>
  <w:style w:type="paragraph" w:customStyle="1" w:styleId="24">
    <w:name w:val="2.4"/>
    <w:basedOn w:val="Normal"/>
    <w:qFormat/>
    <w:rsid w:val="004C3D75"/>
    <w:pPr>
      <w:numPr>
        <w:ilvl w:val="1"/>
        <w:numId w:val="157"/>
      </w:numPr>
      <w:tabs>
        <w:tab w:val="left" w:pos="-2410"/>
      </w:tabs>
      <w:spacing w:before="60" w:after="60" w:line="276" w:lineRule="auto"/>
      <w:ind w:left="1389" w:hanging="312"/>
      <w:jc w:val="both"/>
    </w:pPr>
    <w:rPr>
      <w:rFonts w:ascii="Arial" w:hAnsi="Arial"/>
      <w:sz w:val="22"/>
      <w:szCs w:val="20"/>
    </w:rPr>
  </w:style>
  <w:style w:type="table" w:customStyle="1" w:styleId="TableGrid10">
    <w:name w:val="Table Grid10"/>
    <w:basedOn w:val="TableNormal"/>
    <w:next w:val="TableGrid"/>
    <w:uiPriority w:val="39"/>
    <w:rsid w:val="00FB5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uiPriority w:val="99"/>
    <w:semiHidden/>
    <w:rsid w:val="009D5C67"/>
    <w:pPr>
      <w:spacing w:before="100" w:beforeAutospacing="1" w:after="100" w:afterAutospacing="1"/>
    </w:pPr>
    <w:rPr>
      <w:lang w:val="en-US"/>
    </w:rPr>
  </w:style>
  <w:style w:type="character" w:customStyle="1" w:styleId="TextnotdesubsolCaracter1">
    <w:name w:val="Text notă de subsol Caracter1"/>
    <w:aliases w:val="Fußnote Caracter1,Footnote Text Char Char Caracter1,single space Caracter1,footnote text Caracter1,FOOTNOTES Caracter1,fn Caracter1,stile 1 Caracter1,Footnote Caracter1,Footnote1 Caracter1,Footnote2 Caracter1"/>
    <w:basedOn w:val="DefaultParagraphFont"/>
    <w:semiHidden/>
    <w:rsid w:val="009D5C67"/>
    <w:rPr>
      <w:sz w:val="20"/>
      <w:szCs w:val="20"/>
      <w:lang w:val="ro-RO"/>
    </w:rPr>
  </w:style>
  <w:style w:type="paragraph" w:customStyle="1" w:styleId="CharCharCharCharCharCharChar">
    <w:name w:val="Char Char Char Char Char Char Char"/>
    <w:basedOn w:val="Normal"/>
    <w:uiPriority w:val="99"/>
    <w:semiHidden/>
    <w:rsid w:val="009D5C67"/>
    <w:rPr>
      <w:lang w:val="pl-PL" w:eastAsia="pl-PL"/>
    </w:rPr>
  </w:style>
  <w:style w:type="numbering" w:customStyle="1" w:styleId="NoList14">
    <w:name w:val="No List14"/>
    <w:next w:val="NoList"/>
    <w:uiPriority w:val="99"/>
    <w:semiHidden/>
    <w:unhideWhenUsed/>
    <w:rsid w:val="00FC65BA"/>
  </w:style>
  <w:style w:type="numbering" w:customStyle="1" w:styleId="NoList15">
    <w:name w:val="No List15"/>
    <w:next w:val="NoList"/>
    <w:uiPriority w:val="99"/>
    <w:semiHidden/>
    <w:unhideWhenUsed/>
    <w:rsid w:val="00F07D5E"/>
  </w:style>
  <w:style w:type="character" w:customStyle="1" w:styleId="UnresolvedMention3">
    <w:name w:val="Unresolved Mention3"/>
    <w:basedOn w:val="DefaultParagraphFont"/>
    <w:uiPriority w:val="99"/>
    <w:semiHidden/>
    <w:unhideWhenUsed/>
    <w:rsid w:val="00981CA1"/>
    <w:rPr>
      <w:color w:val="605E5C"/>
      <w:shd w:val="clear" w:color="auto" w:fill="E1DFDD"/>
    </w:rPr>
  </w:style>
  <w:style w:type="table" w:customStyle="1" w:styleId="TableGrid61">
    <w:name w:val="Table Grid61"/>
    <w:basedOn w:val="TableNormal"/>
    <w:next w:val="TableGrid"/>
    <w:uiPriority w:val="39"/>
    <w:rsid w:val="00FC026B"/>
    <w:pPr>
      <w:spacing w:after="0" w:line="240" w:lineRule="auto"/>
    </w:pPr>
    <w:rPr>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671790">
      <w:bodyDiv w:val="1"/>
      <w:marLeft w:val="0"/>
      <w:marRight w:val="0"/>
      <w:marTop w:val="0"/>
      <w:marBottom w:val="0"/>
      <w:divBdr>
        <w:top w:val="none" w:sz="0" w:space="0" w:color="auto"/>
        <w:left w:val="none" w:sz="0" w:space="0" w:color="auto"/>
        <w:bottom w:val="none" w:sz="0" w:space="0" w:color="auto"/>
        <w:right w:val="none" w:sz="0" w:space="0" w:color="auto"/>
      </w:divBdr>
    </w:div>
    <w:div w:id="65567802">
      <w:bodyDiv w:val="1"/>
      <w:marLeft w:val="0"/>
      <w:marRight w:val="0"/>
      <w:marTop w:val="0"/>
      <w:marBottom w:val="0"/>
      <w:divBdr>
        <w:top w:val="none" w:sz="0" w:space="0" w:color="auto"/>
        <w:left w:val="none" w:sz="0" w:space="0" w:color="auto"/>
        <w:bottom w:val="none" w:sz="0" w:space="0" w:color="auto"/>
        <w:right w:val="none" w:sz="0" w:space="0" w:color="auto"/>
      </w:divBdr>
    </w:div>
    <w:div w:id="77168302">
      <w:bodyDiv w:val="1"/>
      <w:marLeft w:val="0"/>
      <w:marRight w:val="0"/>
      <w:marTop w:val="0"/>
      <w:marBottom w:val="0"/>
      <w:divBdr>
        <w:top w:val="none" w:sz="0" w:space="0" w:color="auto"/>
        <w:left w:val="none" w:sz="0" w:space="0" w:color="auto"/>
        <w:bottom w:val="none" w:sz="0" w:space="0" w:color="auto"/>
        <w:right w:val="none" w:sz="0" w:space="0" w:color="auto"/>
      </w:divBdr>
    </w:div>
    <w:div w:id="116489087">
      <w:bodyDiv w:val="1"/>
      <w:marLeft w:val="0"/>
      <w:marRight w:val="0"/>
      <w:marTop w:val="0"/>
      <w:marBottom w:val="0"/>
      <w:divBdr>
        <w:top w:val="none" w:sz="0" w:space="0" w:color="auto"/>
        <w:left w:val="none" w:sz="0" w:space="0" w:color="auto"/>
        <w:bottom w:val="none" w:sz="0" w:space="0" w:color="auto"/>
        <w:right w:val="none" w:sz="0" w:space="0" w:color="auto"/>
      </w:divBdr>
    </w:div>
    <w:div w:id="142433152">
      <w:bodyDiv w:val="1"/>
      <w:marLeft w:val="0"/>
      <w:marRight w:val="0"/>
      <w:marTop w:val="0"/>
      <w:marBottom w:val="0"/>
      <w:divBdr>
        <w:top w:val="none" w:sz="0" w:space="0" w:color="auto"/>
        <w:left w:val="none" w:sz="0" w:space="0" w:color="auto"/>
        <w:bottom w:val="none" w:sz="0" w:space="0" w:color="auto"/>
        <w:right w:val="none" w:sz="0" w:space="0" w:color="auto"/>
      </w:divBdr>
    </w:div>
    <w:div w:id="174077844">
      <w:bodyDiv w:val="1"/>
      <w:marLeft w:val="0"/>
      <w:marRight w:val="0"/>
      <w:marTop w:val="0"/>
      <w:marBottom w:val="0"/>
      <w:divBdr>
        <w:top w:val="none" w:sz="0" w:space="0" w:color="auto"/>
        <w:left w:val="none" w:sz="0" w:space="0" w:color="auto"/>
        <w:bottom w:val="none" w:sz="0" w:space="0" w:color="auto"/>
        <w:right w:val="none" w:sz="0" w:space="0" w:color="auto"/>
      </w:divBdr>
    </w:div>
    <w:div w:id="257179366">
      <w:bodyDiv w:val="1"/>
      <w:marLeft w:val="0"/>
      <w:marRight w:val="0"/>
      <w:marTop w:val="0"/>
      <w:marBottom w:val="0"/>
      <w:divBdr>
        <w:top w:val="none" w:sz="0" w:space="0" w:color="auto"/>
        <w:left w:val="none" w:sz="0" w:space="0" w:color="auto"/>
        <w:bottom w:val="none" w:sz="0" w:space="0" w:color="auto"/>
        <w:right w:val="none" w:sz="0" w:space="0" w:color="auto"/>
      </w:divBdr>
    </w:div>
    <w:div w:id="442459382">
      <w:bodyDiv w:val="1"/>
      <w:marLeft w:val="0"/>
      <w:marRight w:val="0"/>
      <w:marTop w:val="0"/>
      <w:marBottom w:val="0"/>
      <w:divBdr>
        <w:top w:val="none" w:sz="0" w:space="0" w:color="auto"/>
        <w:left w:val="none" w:sz="0" w:space="0" w:color="auto"/>
        <w:bottom w:val="none" w:sz="0" w:space="0" w:color="auto"/>
        <w:right w:val="none" w:sz="0" w:space="0" w:color="auto"/>
      </w:divBdr>
    </w:div>
    <w:div w:id="600769325">
      <w:bodyDiv w:val="1"/>
      <w:marLeft w:val="0"/>
      <w:marRight w:val="0"/>
      <w:marTop w:val="0"/>
      <w:marBottom w:val="0"/>
      <w:divBdr>
        <w:top w:val="none" w:sz="0" w:space="0" w:color="auto"/>
        <w:left w:val="none" w:sz="0" w:space="0" w:color="auto"/>
        <w:bottom w:val="none" w:sz="0" w:space="0" w:color="auto"/>
        <w:right w:val="none" w:sz="0" w:space="0" w:color="auto"/>
      </w:divBdr>
    </w:div>
    <w:div w:id="644240720">
      <w:bodyDiv w:val="1"/>
      <w:marLeft w:val="0"/>
      <w:marRight w:val="0"/>
      <w:marTop w:val="0"/>
      <w:marBottom w:val="0"/>
      <w:divBdr>
        <w:top w:val="none" w:sz="0" w:space="0" w:color="auto"/>
        <w:left w:val="none" w:sz="0" w:space="0" w:color="auto"/>
        <w:bottom w:val="none" w:sz="0" w:space="0" w:color="auto"/>
        <w:right w:val="none" w:sz="0" w:space="0" w:color="auto"/>
      </w:divBdr>
    </w:div>
    <w:div w:id="679159304">
      <w:bodyDiv w:val="1"/>
      <w:marLeft w:val="0"/>
      <w:marRight w:val="0"/>
      <w:marTop w:val="0"/>
      <w:marBottom w:val="0"/>
      <w:divBdr>
        <w:top w:val="none" w:sz="0" w:space="0" w:color="auto"/>
        <w:left w:val="none" w:sz="0" w:space="0" w:color="auto"/>
        <w:bottom w:val="none" w:sz="0" w:space="0" w:color="auto"/>
        <w:right w:val="none" w:sz="0" w:space="0" w:color="auto"/>
      </w:divBdr>
    </w:div>
    <w:div w:id="717242327">
      <w:bodyDiv w:val="1"/>
      <w:marLeft w:val="0"/>
      <w:marRight w:val="0"/>
      <w:marTop w:val="0"/>
      <w:marBottom w:val="0"/>
      <w:divBdr>
        <w:top w:val="none" w:sz="0" w:space="0" w:color="auto"/>
        <w:left w:val="none" w:sz="0" w:space="0" w:color="auto"/>
        <w:bottom w:val="none" w:sz="0" w:space="0" w:color="auto"/>
        <w:right w:val="none" w:sz="0" w:space="0" w:color="auto"/>
      </w:divBdr>
    </w:div>
    <w:div w:id="749158716">
      <w:bodyDiv w:val="1"/>
      <w:marLeft w:val="0"/>
      <w:marRight w:val="0"/>
      <w:marTop w:val="0"/>
      <w:marBottom w:val="0"/>
      <w:divBdr>
        <w:top w:val="none" w:sz="0" w:space="0" w:color="auto"/>
        <w:left w:val="none" w:sz="0" w:space="0" w:color="auto"/>
        <w:bottom w:val="none" w:sz="0" w:space="0" w:color="auto"/>
        <w:right w:val="none" w:sz="0" w:space="0" w:color="auto"/>
      </w:divBdr>
    </w:div>
    <w:div w:id="1112047602">
      <w:bodyDiv w:val="1"/>
      <w:marLeft w:val="0"/>
      <w:marRight w:val="0"/>
      <w:marTop w:val="0"/>
      <w:marBottom w:val="0"/>
      <w:divBdr>
        <w:top w:val="none" w:sz="0" w:space="0" w:color="auto"/>
        <w:left w:val="none" w:sz="0" w:space="0" w:color="auto"/>
        <w:bottom w:val="none" w:sz="0" w:space="0" w:color="auto"/>
        <w:right w:val="none" w:sz="0" w:space="0" w:color="auto"/>
      </w:divBdr>
    </w:div>
    <w:div w:id="1118335714">
      <w:bodyDiv w:val="1"/>
      <w:marLeft w:val="0"/>
      <w:marRight w:val="0"/>
      <w:marTop w:val="0"/>
      <w:marBottom w:val="0"/>
      <w:divBdr>
        <w:top w:val="none" w:sz="0" w:space="0" w:color="auto"/>
        <w:left w:val="none" w:sz="0" w:space="0" w:color="auto"/>
        <w:bottom w:val="none" w:sz="0" w:space="0" w:color="auto"/>
        <w:right w:val="none" w:sz="0" w:space="0" w:color="auto"/>
      </w:divBdr>
    </w:div>
    <w:div w:id="1133055705">
      <w:bodyDiv w:val="1"/>
      <w:marLeft w:val="0"/>
      <w:marRight w:val="0"/>
      <w:marTop w:val="0"/>
      <w:marBottom w:val="0"/>
      <w:divBdr>
        <w:top w:val="none" w:sz="0" w:space="0" w:color="auto"/>
        <w:left w:val="none" w:sz="0" w:space="0" w:color="auto"/>
        <w:bottom w:val="none" w:sz="0" w:space="0" w:color="auto"/>
        <w:right w:val="none" w:sz="0" w:space="0" w:color="auto"/>
      </w:divBdr>
    </w:div>
    <w:div w:id="1295328198">
      <w:bodyDiv w:val="1"/>
      <w:marLeft w:val="0"/>
      <w:marRight w:val="0"/>
      <w:marTop w:val="0"/>
      <w:marBottom w:val="0"/>
      <w:divBdr>
        <w:top w:val="none" w:sz="0" w:space="0" w:color="auto"/>
        <w:left w:val="none" w:sz="0" w:space="0" w:color="auto"/>
        <w:bottom w:val="none" w:sz="0" w:space="0" w:color="auto"/>
        <w:right w:val="none" w:sz="0" w:space="0" w:color="auto"/>
      </w:divBdr>
    </w:div>
    <w:div w:id="1377005357">
      <w:bodyDiv w:val="1"/>
      <w:marLeft w:val="0"/>
      <w:marRight w:val="0"/>
      <w:marTop w:val="0"/>
      <w:marBottom w:val="0"/>
      <w:divBdr>
        <w:top w:val="none" w:sz="0" w:space="0" w:color="auto"/>
        <w:left w:val="none" w:sz="0" w:space="0" w:color="auto"/>
        <w:bottom w:val="none" w:sz="0" w:space="0" w:color="auto"/>
        <w:right w:val="none" w:sz="0" w:space="0" w:color="auto"/>
      </w:divBdr>
    </w:div>
    <w:div w:id="1512986833">
      <w:bodyDiv w:val="1"/>
      <w:marLeft w:val="0"/>
      <w:marRight w:val="0"/>
      <w:marTop w:val="0"/>
      <w:marBottom w:val="0"/>
      <w:divBdr>
        <w:top w:val="none" w:sz="0" w:space="0" w:color="auto"/>
        <w:left w:val="none" w:sz="0" w:space="0" w:color="auto"/>
        <w:bottom w:val="none" w:sz="0" w:space="0" w:color="auto"/>
        <w:right w:val="none" w:sz="0" w:space="0" w:color="auto"/>
      </w:divBdr>
    </w:div>
    <w:div w:id="1665888314">
      <w:bodyDiv w:val="1"/>
      <w:marLeft w:val="0"/>
      <w:marRight w:val="0"/>
      <w:marTop w:val="0"/>
      <w:marBottom w:val="0"/>
      <w:divBdr>
        <w:top w:val="none" w:sz="0" w:space="0" w:color="auto"/>
        <w:left w:val="none" w:sz="0" w:space="0" w:color="auto"/>
        <w:bottom w:val="none" w:sz="0" w:space="0" w:color="auto"/>
        <w:right w:val="none" w:sz="0" w:space="0" w:color="auto"/>
      </w:divBdr>
    </w:div>
    <w:div w:id="1734962350">
      <w:bodyDiv w:val="1"/>
      <w:marLeft w:val="0"/>
      <w:marRight w:val="0"/>
      <w:marTop w:val="0"/>
      <w:marBottom w:val="0"/>
      <w:divBdr>
        <w:top w:val="none" w:sz="0" w:space="0" w:color="auto"/>
        <w:left w:val="none" w:sz="0" w:space="0" w:color="auto"/>
        <w:bottom w:val="none" w:sz="0" w:space="0" w:color="auto"/>
        <w:right w:val="none" w:sz="0" w:space="0" w:color="auto"/>
      </w:divBdr>
    </w:div>
    <w:div w:id="1812554806">
      <w:bodyDiv w:val="1"/>
      <w:marLeft w:val="0"/>
      <w:marRight w:val="0"/>
      <w:marTop w:val="0"/>
      <w:marBottom w:val="0"/>
      <w:divBdr>
        <w:top w:val="none" w:sz="0" w:space="0" w:color="auto"/>
        <w:left w:val="none" w:sz="0" w:space="0" w:color="auto"/>
        <w:bottom w:val="none" w:sz="0" w:space="0" w:color="auto"/>
        <w:right w:val="none" w:sz="0" w:space="0" w:color="auto"/>
      </w:divBdr>
    </w:div>
    <w:div w:id="1850825243">
      <w:bodyDiv w:val="1"/>
      <w:marLeft w:val="0"/>
      <w:marRight w:val="0"/>
      <w:marTop w:val="0"/>
      <w:marBottom w:val="0"/>
      <w:divBdr>
        <w:top w:val="none" w:sz="0" w:space="0" w:color="auto"/>
        <w:left w:val="none" w:sz="0" w:space="0" w:color="auto"/>
        <w:bottom w:val="none" w:sz="0" w:space="0" w:color="auto"/>
        <w:right w:val="none" w:sz="0" w:space="0" w:color="auto"/>
      </w:divBdr>
    </w:div>
    <w:div w:id="2127309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footer" Target="footer2.xml"/><Relationship Id="rId42" Type="http://schemas.openxmlformats.org/officeDocument/2006/relationships/image" Target="media/image26.png"/><Relationship Id="rId47" Type="http://schemas.openxmlformats.org/officeDocument/2006/relationships/image" Target="media/image25.png"/><Relationship Id="rId63" Type="http://schemas.openxmlformats.org/officeDocument/2006/relationships/image" Target="media/image34.jpeg"/><Relationship Id="rId68" Type="http://schemas.openxmlformats.org/officeDocument/2006/relationships/header" Target="header11.xml"/><Relationship Id="rId84" Type="http://schemas.openxmlformats.org/officeDocument/2006/relationships/image" Target="media/image44.jpeg"/><Relationship Id="rId89" Type="http://schemas.openxmlformats.org/officeDocument/2006/relationships/image" Target="media/image48.png"/><Relationship Id="rId16" Type="http://schemas.openxmlformats.org/officeDocument/2006/relationships/image" Target="media/image4.jpeg"/><Relationship Id="rId11" Type="http://schemas.openxmlformats.org/officeDocument/2006/relationships/header" Target="header2.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jpeg"/><Relationship Id="rId58" Type="http://schemas.openxmlformats.org/officeDocument/2006/relationships/header" Target="header7.xml"/><Relationship Id="rId74" Type="http://schemas.openxmlformats.org/officeDocument/2006/relationships/header" Target="header14.xml"/><Relationship Id="rId79" Type="http://schemas.openxmlformats.org/officeDocument/2006/relationships/header" Target="header16.xml"/><Relationship Id="rId5" Type="http://schemas.openxmlformats.org/officeDocument/2006/relationships/webSettings" Target="webSettings.xml"/><Relationship Id="rId90" Type="http://schemas.openxmlformats.org/officeDocument/2006/relationships/image" Target="media/image49.png"/><Relationship Id="rId14" Type="http://schemas.openxmlformats.org/officeDocument/2006/relationships/image" Target="media/image2.jpeg"/><Relationship Id="rId22" Type="http://schemas.openxmlformats.org/officeDocument/2006/relationships/header" Target="header6.xml"/><Relationship Id="rId27" Type="http://schemas.openxmlformats.org/officeDocument/2006/relationships/image" Target="media/image8.png"/><Relationship Id="rId30" Type="http://schemas.openxmlformats.org/officeDocument/2006/relationships/image" Target="media/image13.png"/><Relationship Id="rId35" Type="http://schemas.openxmlformats.org/officeDocument/2006/relationships/image" Target="media/image10.png"/><Relationship Id="rId43" Type="http://schemas.openxmlformats.org/officeDocument/2006/relationships/image" Target="media/image22.png"/><Relationship Id="rId48" Type="http://schemas.openxmlformats.org/officeDocument/2006/relationships/image" Target="media/image31.png"/><Relationship Id="rId56" Type="http://schemas.openxmlformats.org/officeDocument/2006/relationships/image" Target="media/image31.jpeg"/><Relationship Id="rId64" Type="http://schemas.openxmlformats.org/officeDocument/2006/relationships/image" Target="media/image35.jpeg"/><Relationship Id="rId69" Type="http://schemas.openxmlformats.org/officeDocument/2006/relationships/footer" Target="footer4.xml"/><Relationship Id="rId77" Type="http://schemas.openxmlformats.org/officeDocument/2006/relationships/image" Target="media/image41.jpeg"/><Relationship Id="rId8" Type="http://schemas.openxmlformats.org/officeDocument/2006/relationships/image" Target="media/image1.jpeg"/><Relationship Id="rId51" Type="http://schemas.openxmlformats.org/officeDocument/2006/relationships/image" Target="media/image27.png"/><Relationship Id="rId72" Type="http://schemas.openxmlformats.org/officeDocument/2006/relationships/image" Target="media/image40.jpeg"/><Relationship Id="rId80" Type="http://schemas.openxmlformats.org/officeDocument/2006/relationships/header" Target="header17.xml"/><Relationship Id="rId85" Type="http://schemas.openxmlformats.org/officeDocument/2006/relationships/hyperlink" Target="http://www.mmediu.ro/articol/date-gis/434"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3.jpeg"/><Relationship Id="rId25" Type="http://schemas.openxmlformats.org/officeDocument/2006/relationships/image" Target="media/image6.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header" Target="header8.xml"/><Relationship Id="rId67" Type="http://schemas.openxmlformats.org/officeDocument/2006/relationships/header" Target="header10.xml"/><Relationship Id="rId20" Type="http://schemas.openxmlformats.org/officeDocument/2006/relationships/header" Target="header5.xml"/><Relationship Id="rId41" Type="http://schemas.openxmlformats.org/officeDocument/2006/relationships/image" Target="media/image19.png"/><Relationship Id="rId54" Type="http://schemas.openxmlformats.org/officeDocument/2006/relationships/image" Target="media/image29.jpeg"/><Relationship Id="rId62" Type="http://schemas.openxmlformats.org/officeDocument/2006/relationships/image" Target="media/image33.png"/><Relationship Id="rId70" Type="http://schemas.openxmlformats.org/officeDocument/2006/relationships/header" Target="header12.xml"/><Relationship Id="rId75" Type="http://schemas.openxmlformats.org/officeDocument/2006/relationships/footer" Target="footer5.xml"/><Relationship Id="rId83" Type="http://schemas.openxmlformats.org/officeDocument/2006/relationships/image" Target="media/image43.png"/><Relationship Id="rId88" Type="http://schemas.openxmlformats.org/officeDocument/2006/relationships/image" Target="media/image47.jpeg"/><Relationship Id="rId91"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1.png"/><Relationship Id="rId49" Type="http://schemas.openxmlformats.org/officeDocument/2006/relationships/hyperlink" Target="https://cdr.eionet.europa.eu/help/habitats_art17" TargetMode="External"/><Relationship Id="rId57" Type="http://schemas.openxmlformats.org/officeDocument/2006/relationships/image" Target="media/image32.jpeg"/><Relationship Id="rId10" Type="http://schemas.openxmlformats.org/officeDocument/2006/relationships/header" Target="header1.xml"/><Relationship Id="rId31" Type="http://schemas.openxmlformats.org/officeDocument/2006/relationships/image" Target="media/image14.png"/><Relationship Id="rId44" Type="http://schemas.openxmlformats.org/officeDocument/2006/relationships/image" Target="media/image23.png"/><Relationship Id="rId52" Type="http://schemas.openxmlformats.org/officeDocument/2006/relationships/image" Target="media/image28.jpeg"/><Relationship Id="rId60" Type="http://schemas.openxmlformats.org/officeDocument/2006/relationships/footer" Target="footer3.xml"/><Relationship Id="rId65" Type="http://schemas.openxmlformats.org/officeDocument/2006/relationships/image" Target="media/image37.jpeg"/><Relationship Id="rId73" Type="http://schemas.openxmlformats.org/officeDocument/2006/relationships/header" Target="header13.xml"/><Relationship Id="rId78" Type="http://schemas.openxmlformats.org/officeDocument/2006/relationships/image" Target="media/image42.jpeg"/><Relationship Id="rId81" Type="http://schemas.openxmlformats.org/officeDocument/2006/relationships/footer" Target="footer6.xml"/><Relationship Id="rId86"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hyperlink" Target="http://emblasproject.org/wpcontent/uploads/2017/01/Macrophytes_Manual-mainAnx123Mar2015-fin-PA3.pdf" TargetMode="External"/><Relationship Id="rId13" Type="http://schemas.openxmlformats.org/officeDocument/2006/relationships/header" Target="header3.xml"/><Relationship Id="rId18" Type="http://schemas.openxmlformats.org/officeDocument/2006/relationships/image" Target="media/image6.jpeg"/><Relationship Id="rId39" Type="http://schemas.openxmlformats.org/officeDocument/2006/relationships/image" Target="media/image18.png"/><Relationship Id="rId34" Type="http://schemas.openxmlformats.org/officeDocument/2006/relationships/image" Target="media/image17.png"/><Relationship Id="rId50" Type="http://schemas.openxmlformats.org/officeDocument/2006/relationships/image" Target="media/image26.jpeg"/><Relationship Id="rId55" Type="http://schemas.openxmlformats.org/officeDocument/2006/relationships/image" Target="media/image30.jpeg"/><Relationship Id="rId76" Type="http://schemas.openxmlformats.org/officeDocument/2006/relationships/header" Target="header15.xml"/><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5.png"/><Relationship Id="rId40" Type="http://schemas.openxmlformats.org/officeDocument/2006/relationships/image" Target="media/image24.png"/><Relationship Id="rId45" Type="http://schemas.openxmlformats.org/officeDocument/2006/relationships/image" Target="media/image28.png"/><Relationship Id="rId66" Type="http://schemas.openxmlformats.org/officeDocument/2006/relationships/image" Target="media/image38.jpeg"/><Relationship Id="rId87" Type="http://schemas.openxmlformats.org/officeDocument/2006/relationships/image" Target="media/image46.png"/><Relationship Id="rId61" Type="http://schemas.openxmlformats.org/officeDocument/2006/relationships/header" Target="header9.xml"/><Relationship Id="rId82" Type="http://schemas.openxmlformats.org/officeDocument/2006/relationships/header" Target="header18.xml"/><Relationship Id="rId19" Type="http://schemas.openxmlformats.org/officeDocument/2006/relationships/header" Target="head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44E797-FAC1-458B-8593-8B97B4194A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301</Pages>
  <Words>97223</Words>
  <Characters>554172</Characters>
  <Application>Microsoft Office Word</Application>
  <DocSecurity>0</DocSecurity>
  <Lines>4618</Lines>
  <Paragraphs>1300</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650095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Monica.Popescu</dc:creator>
  <cp:keywords/>
  <dc:description/>
  <cp:lastModifiedBy>Ramona Zotta-Cherascu</cp:lastModifiedBy>
  <cp:revision>3</cp:revision>
  <cp:lastPrinted>2023-08-24T14:17:00Z</cp:lastPrinted>
  <dcterms:created xsi:type="dcterms:W3CDTF">2023-09-19T11:59:00Z</dcterms:created>
  <dcterms:modified xsi:type="dcterms:W3CDTF">2023-09-19T12:01:00Z</dcterms:modified>
</cp:coreProperties>
</file>